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34EFF" w14:textId="77777777" w:rsidR="00D4651C" w:rsidRPr="008127F8" w:rsidRDefault="00D4651C" w:rsidP="001E0A84">
      <w:pPr>
        <w:pStyle w:val="Iauiue"/>
        <w:jc w:val="both"/>
        <w:rPr>
          <w:b/>
          <w:bCs/>
          <w:color w:val="000000" w:themeColor="text1"/>
          <w:sz w:val="16"/>
          <w:szCs w:val="16"/>
        </w:rPr>
      </w:pPr>
      <w:r w:rsidRPr="008127F8">
        <w:rPr>
          <w:b/>
          <w:bCs/>
          <w:color w:val="000000" w:themeColor="text1"/>
          <w:sz w:val="16"/>
          <w:szCs w:val="16"/>
        </w:rPr>
        <w:t>1942</w:t>
      </w:r>
    </w:p>
    <w:p w14:paraId="494A64E7" w14:textId="77777777" w:rsidR="002F6EB7" w:rsidRPr="008127F8" w:rsidRDefault="002F6EB7" w:rsidP="001E0A84">
      <w:pPr>
        <w:pStyle w:val="Iauiue"/>
        <w:jc w:val="both"/>
        <w:rPr>
          <w:i/>
          <w:iCs/>
          <w:color w:val="000000" w:themeColor="text1"/>
          <w:sz w:val="16"/>
          <w:szCs w:val="16"/>
        </w:rPr>
      </w:pPr>
    </w:p>
    <w:p w14:paraId="460DCAB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1A2664F6" w14:textId="77777777" w:rsidR="00D4651C" w:rsidRPr="008127F8" w:rsidRDefault="00D4651C" w:rsidP="001E0A84">
      <w:pPr>
        <w:pStyle w:val="Iauiue"/>
        <w:jc w:val="both"/>
        <w:rPr>
          <w:iCs/>
          <w:color w:val="000000" w:themeColor="text1"/>
          <w:sz w:val="16"/>
          <w:szCs w:val="16"/>
        </w:rPr>
      </w:pPr>
    </w:p>
    <w:p w14:paraId="308B29D1"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1942 г. прекратилось производство самолетов в районах Запада, Северо-Запада, Северного Кавказа и Юга и резко сократилось в районах Центра, в то же время в восточных районах оно увеличилось в несколько раз. По выпуску валовой авиационной продукции в системе НКАП в 1942 г. удельный вес восточных районов составил примерно три четверти.</w:t>
      </w:r>
    </w:p>
    <w:p w14:paraId="65D00ED1"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1940 г. в СССР выпускалось 26 типов самолетов, в том числе: истребителей - 11, бомбардировщиков - 8, транспортных - 2, учебных - 5. Во время войны некоторые устарелые типы самолетов были сняты с производства и заменены новыми, более эффективными. Уже в первом военном полугодии началось массовое производство усовершенствованных типов самолетов, в частности, штурмовиков Ил-2, пикирующих бомбардировщиков Пе-2 и истребителей ЛаГГ-3 (24305).</w:t>
      </w:r>
    </w:p>
    <w:p w14:paraId="79D5443C" w14:textId="77777777" w:rsidR="00275956" w:rsidRPr="008A2E5A" w:rsidRDefault="00275956" w:rsidP="00275956">
      <w:pPr>
        <w:spacing w:after="0" w:line="240" w:lineRule="auto"/>
        <w:jc w:val="both"/>
        <w:rPr>
          <w:rFonts w:ascii="Times New Roman" w:hAnsi="Times New Roman"/>
          <w:color w:val="0070C0"/>
          <w:sz w:val="16"/>
          <w:szCs w:val="16"/>
        </w:rPr>
      </w:pPr>
    </w:p>
    <w:p w14:paraId="406F2C19"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1942 г. был налажен серийный выпуск мотора М-82А в больших количествах на заводе №19 (Молотов, ныне – Пермь), а на заводе №16 (Казань) – предположительно, к концу этого года.</w:t>
      </w:r>
    </w:p>
    <w:p w14:paraId="03FB9048"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Двигатели этой модификации устанавливались на самолетах:</w:t>
      </w:r>
    </w:p>
    <w:p w14:paraId="64DABB6C"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истребитель Поликарпов И-185 (самолет «И», первый полет 21.07.41 г., мощность на I границе высотности 1600 л.с., на II границе – 1390 л.с., опытный);</w:t>
      </w:r>
    </w:p>
    <w:p w14:paraId="365510F3"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дальний бомбардировщик Ильюшин Ил-4 (ДБ-3ф 2М-82), первый полет 08.09.41 г., 10.01.42 г. (по др. данным – 10.02.42 г., в серии с конца 1942 г. и до восстановления поставок мотора М-88 в нужных объемах);</w:t>
      </w:r>
    </w:p>
    <w:p w14:paraId="787817A3"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истребитель Микоян и Гуревич МиГ-3 М-82 (И-210, «ИХ», ноябрь 1941 г., опытный);</w:t>
      </w:r>
    </w:p>
    <w:p w14:paraId="322FAE7E"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пикирующий бомбардировщик и разведчик Туполев «103В» (15.12.41 г., в серии с марта 1942 г. под обозначением Ту-2);</w:t>
      </w:r>
    </w:p>
    <w:p w14:paraId="6A45EF5D"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истребитель Лавочкин ЛаГГ-3 М-82 (считался модификацией серийного ЛаГГ-3, в проектировании которого конструкторы Горбунов и Гудков участвовали, а в этом самолете – нет, первый полет состоялся в начале 1942 г., в серию не запущен по причине дефектов самолета, они были устранены на самолете Ла-5, который считался новым типом, см. ниже);</w:t>
      </w:r>
    </w:p>
    <w:p w14:paraId="17FCA997"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истребитель Яковлев Як-7 М-82 (23.01.42 г., опытный);</w:t>
      </w:r>
    </w:p>
    <w:p w14:paraId="5302C16C"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истребитель Горбунов ЛаГ-5 (модификация серийного ЛаГГ-3, выполненная на заводе № 31 под руководством В.П. Горбунова в середине 1942 г., прошел испытания с удовлетворительной оценкой, но в серию не запускался, т.к. на заводе № 21 дефекты, отмеченные на ЛаГГ-3 М-82А были устранены и он был запущен в серию под обозначением Ла-5);</w:t>
      </w:r>
    </w:p>
    <w:p w14:paraId="2BC33596"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истребитель Лавочкин Ла-5 М-82А (середина 1942 г., головной облетан в середине 1942 г.);</w:t>
      </w:r>
    </w:p>
    <w:p w14:paraId="7AEB7DCD"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пикирующий бомбардировщик Пе-2 № 19/31 (первый полет 21.07.42 г., в ходе испытаний были выявлены многочисленные дефекты, ухудшение эксплуатационных качеств, (особенно по ВМГ, предположительно в ходе испытаний на этом самолете моторы заменены на М-82Ф, с которыми позже была построена малая серия – см. ниже);</w:t>
      </w:r>
    </w:p>
    <w:p w14:paraId="37461829"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Пе-8 и др.</w:t>
      </w:r>
    </w:p>
    <w:p w14:paraId="1719ABF2"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Моторы М-82 первых серий имели много серьезных производственных дефектов (отсутствие строевой эксплуатации затрудняло их выявление и соответственно своевременную отработку). В 1941 – первой половине 1942 гг. проводились лишь отдельные специальные испытания моторов. В частности, по самолету Пе-2 № 19/31, который совершил первый полет по программе ЗИ 21.07.42 г.:</w:t>
      </w:r>
    </w:p>
    <w:p w14:paraId="4EE62E97"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выброс масла через суфлеры приводил к заклиниванию двигателей;</w:t>
      </w:r>
    </w:p>
    <w:p w14:paraId="6F96423A"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скопление масла в головках нижних цилиндров вызывало жесткий удар поршней и обрыв головок;</w:t>
      </w:r>
    </w:p>
    <w:p w14:paraId="72779012"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был чрезмерным расход свечей ВГ-12 (ресурс – 5…6 моточасов);</w:t>
      </w:r>
    </w:p>
    <w:p w14:paraId="6FDEFD0B"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работало управление форсажом, что грозило отказом мотора при превышении времени его использования;</w:t>
      </w:r>
    </w:p>
    <w:p w14:paraId="589E8E99"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работал высотный корректор;</w:t>
      </w:r>
    </w:p>
    <w:p w14:paraId="55D16A4F"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эксплуатация мотора была более сложной по сравнению с М-105.</w:t>
      </w:r>
    </w:p>
    <w:p w14:paraId="5DE833A9"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Ресурс двигателя был назначен 100 ч до 1-й переборки. Но моторы первых серий, как правило, его не отрабатывали.</w:t>
      </w:r>
    </w:p>
    <w:p w14:paraId="3012C7DE"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(23571).</w:t>
      </w:r>
    </w:p>
    <w:p w14:paraId="5B8A5195" w14:textId="77777777" w:rsidR="00275956" w:rsidRPr="008A2E5A" w:rsidRDefault="00275956" w:rsidP="00275956">
      <w:pPr>
        <w:spacing w:after="0" w:line="240" w:lineRule="auto"/>
        <w:jc w:val="both"/>
        <w:rPr>
          <w:rFonts w:ascii="Times New Roman" w:hAnsi="Times New Roman"/>
          <w:color w:val="0070C0"/>
          <w:sz w:val="16"/>
          <w:szCs w:val="16"/>
        </w:rPr>
      </w:pPr>
    </w:p>
    <w:p w14:paraId="4DFBF7B9"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началу 1942 г. в 65-м шап ВВС МВО были про</w:t>
      </w:r>
      <w:r w:rsidRPr="008127F8">
        <w:rPr>
          <w:color w:val="000000" w:themeColor="text1"/>
          <w:sz w:val="16"/>
          <w:szCs w:val="16"/>
        </w:rPr>
        <w:softHyphen/>
        <w:t>ведены испытания ракетных снарядов М-13 от гвар</w:t>
      </w:r>
      <w:r w:rsidRPr="008127F8">
        <w:rPr>
          <w:color w:val="000000" w:themeColor="text1"/>
          <w:sz w:val="16"/>
          <w:szCs w:val="16"/>
        </w:rPr>
        <w:softHyphen/>
        <w:t>дейских минометов стрельбой с самолетов Ил-2. В докладе от 4 января 1942 г. командующего ВВС МВО генерал-майора Сбытова на имя командую</w:t>
      </w:r>
      <w:r w:rsidRPr="008127F8">
        <w:rPr>
          <w:color w:val="000000" w:themeColor="text1"/>
          <w:sz w:val="16"/>
          <w:szCs w:val="16"/>
        </w:rPr>
        <w:softHyphen/>
        <w:t>щего ВВС КА и заместителя наркома обороны гене</w:t>
      </w:r>
      <w:r w:rsidRPr="008127F8">
        <w:rPr>
          <w:color w:val="000000" w:themeColor="text1"/>
          <w:sz w:val="16"/>
          <w:szCs w:val="16"/>
        </w:rPr>
        <w:softHyphen/>
        <w:t>рал-полковника Жигарева отмечалось, что «в 65-м шап мною была проведена установка и испытание в боевых условиях на самолете Ил-2 РС типа М13 (системы Костикова — 42 кг). На каждую плоскость самолета подвешивалось по 2 РС-82 или РС-132 и по 2 М13. Испытания показали, что самолет в по</w:t>
      </w:r>
      <w:r w:rsidRPr="008127F8">
        <w:rPr>
          <w:color w:val="000000" w:themeColor="text1"/>
          <w:sz w:val="16"/>
          <w:szCs w:val="16"/>
        </w:rPr>
        <w:softHyphen/>
        <w:t>лете и при стрельбе ведет себя нормально, а дей</w:t>
      </w:r>
      <w:r w:rsidRPr="008127F8">
        <w:rPr>
          <w:color w:val="000000" w:themeColor="text1"/>
          <w:sz w:val="16"/>
          <w:szCs w:val="16"/>
        </w:rPr>
        <w:softHyphen/>
        <w:t>ствия М13 дают исключительно большую эффектив</w:t>
      </w:r>
      <w:r w:rsidRPr="008127F8">
        <w:rPr>
          <w:color w:val="000000" w:themeColor="text1"/>
          <w:sz w:val="16"/>
          <w:szCs w:val="16"/>
        </w:rPr>
        <w:softHyphen/>
        <w:t>ность. Взрыватели ставились от авиабомб».</w:t>
      </w:r>
    </w:p>
    <w:p w14:paraId="565B638D"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Копия доклада была направлена начальнику авиационного отдела Оперативного управления Ге</w:t>
      </w:r>
      <w:r w:rsidRPr="008127F8">
        <w:rPr>
          <w:color w:val="000000" w:themeColor="text1"/>
          <w:sz w:val="16"/>
          <w:szCs w:val="16"/>
        </w:rPr>
        <w:softHyphen/>
        <w:t>нерального штаба Красной Армии генерал-майору Викуленкову.</w:t>
      </w:r>
    </w:p>
    <w:p w14:paraId="0B06EEEB"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Как следует из доклада командира 65-го шап подполковника Витрука по результатам испытаний М-13, основными вариантами загрузки Ил-2 явля</w:t>
      </w:r>
      <w:r w:rsidRPr="008127F8">
        <w:rPr>
          <w:color w:val="000000" w:themeColor="text1"/>
          <w:sz w:val="16"/>
          <w:szCs w:val="16"/>
        </w:rPr>
        <w:softHyphen/>
        <w:t>лись: 4 снаряда М-13, 4 РС-132 или РС-82 и 4 бом</w:t>
      </w:r>
      <w:r w:rsidRPr="008127F8">
        <w:rPr>
          <w:color w:val="000000" w:themeColor="text1"/>
          <w:sz w:val="16"/>
          <w:szCs w:val="16"/>
        </w:rPr>
        <w:softHyphen/>
        <w:t>бы типа ФАБ-50. Использовались взрыватели типа АМ-А с переходной втулкой. Ветрянка контрилась проволокой за лопасть ветрянки.</w:t>
      </w:r>
    </w:p>
    <w:p w14:paraId="240866EB"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мнению старшего лейтенанта Торева, ракет</w:t>
      </w:r>
      <w:r w:rsidRPr="008127F8">
        <w:rPr>
          <w:color w:val="000000" w:themeColor="text1"/>
          <w:sz w:val="16"/>
          <w:szCs w:val="16"/>
        </w:rPr>
        <w:softHyphen/>
        <w:t>ный снаряд М-13 при действии по технике и живой силе действует весьма эффективно. По сравнению с ракетным снарядом типа РС-132 снаряд М-13 «при отрыве от самолета создает торможение на плоскость сильнее и снижение по траектории боль</w:t>
      </w:r>
      <w:r w:rsidRPr="008127F8">
        <w:rPr>
          <w:color w:val="000000" w:themeColor="text1"/>
          <w:sz w:val="16"/>
          <w:szCs w:val="16"/>
        </w:rPr>
        <w:softHyphen/>
        <w:t>ше». То есть при пуске М-13 с той же высоты, что и РС-132, снаряд «ложится по дистанции ближе».</w:t>
      </w:r>
    </w:p>
    <w:p w14:paraId="71610C07"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Применяя М-13 по автомашинам численностью около 30 единиц, Торев уже первым снарядом по</w:t>
      </w:r>
      <w:r w:rsidRPr="008127F8">
        <w:rPr>
          <w:color w:val="000000" w:themeColor="text1"/>
          <w:sz w:val="16"/>
          <w:szCs w:val="16"/>
        </w:rPr>
        <w:softHyphen/>
        <w:t>пал «метров в 30 от головы колонны, и 3 машины от волны разрыва были перевернуты за дорогу». Вто</w:t>
      </w:r>
      <w:r w:rsidRPr="008127F8">
        <w:rPr>
          <w:color w:val="000000" w:themeColor="text1"/>
          <w:sz w:val="16"/>
          <w:szCs w:val="16"/>
        </w:rPr>
        <w:softHyphen/>
        <w:t>рой снаряд попал точно в середину колонны. Было видно, как летят щепки и осколки от автомашин, «а в том месте, где была автомашина, после разрыва РС ничего не осталось». Последние «2 больших РС» старший лейтенант Торев «бросил по деревне, где было много пехоты и автомашин». Снаряд М-13 «попал точно в цель и задел дом, который тоже рас</w:t>
      </w:r>
      <w:r w:rsidRPr="008127F8">
        <w:rPr>
          <w:color w:val="000000" w:themeColor="text1"/>
          <w:sz w:val="16"/>
          <w:szCs w:val="16"/>
        </w:rPr>
        <w:softHyphen/>
        <w:t>катило по бревнам, наблюдался пожар и взрывы».</w:t>
      </w:r>
    </w:p>
    <w:p w14:paraId="33174D66"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Летчик Болгов выполнял пуски М-13 с дистан</w:t>
      </w:r>
      <w:r w:rsidRPr="008127F8">
        <w:rPr>
          <w:color w:val="000000" w:themeColor="text1"/>
          <w:sz w:val="16"/>
          <w:szCs w:val="16"/>
        </w:rPr>
        <w:softHyphen/>
        <w:t>ции от 600 до 300 м. В одном из полетов Болгов сделал залп из двух М-13 на цель из 7 груженых ав</w:t>
      </w:r>
      <w:r w:rsidRPr="008127F8">
        <w:rPr>
          <w:color w:val="000000" w:themeColor="text1"/>
          <w:sz w:val="16"/>
          <w:szCs w:val="16"/>
        </w:rPr>
        <w:softHyphen/>
        <w:t>томашин, подходивших к передовой. Первый сна</w:t>
      </w:r>
      <w:r w:rsidRPr="008127F8">
        <w:rPr>
          <w:color w:val="000000" w:themeColor="text1"/>
          <w:sz w:val="16"/>
          <w:szCs w:val="16"/>
        </w:rPr>
        <w:softHyphen/>
        <w:t>ряд разорвался в 1,5—2 м сбоку головной машины, а второй снаряд попал точно в середину колонны. Благодаря тому, что «машины были в движении и атака была произведена в лоб, задние на полном ходу наезжали одна на одну после того, как перед</w:t>
      </w:r>
      <w:r w:rsidRPr="008127F8">
        <w:rPr>
          <w:color w:val="000000" w:themeColor="text1"/>
          <w:sz w:val="16"/>
          <w:szCs w:val="16"/>
        </w:rPr>
        <w:softHyphen/>
        <w:t>няя была разбита». Второй снаряд уже разнес все машины. Было хорошо видно, что «струя пламени, снежной пыли и осколков от машин в момент раз</w:t>
      </w:r>
      <w:r w:rsidRPr="008127F8">
        <w:rPr>
          <w:color w:val="000000" w:themeColor="text1"/>
          <w:sz w:val="16"/>
          <w:szCs w:val="16"/>
        </w:rPr>
        <w:softHyphen/>
        <w:t>рыва РС летит до 50 м во все стороны».</w:t>
      </w:r>
    </w:p>
    <w:p w14:paraId="2001086A"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ряду основных выводов указывалось следую</w:t>
      </w:r>
      <w:r w:rsidRPr="008127F8">
        <w:rPr>
          <w:color w:val="000000" w:themeColor="text1"/>
          <w:sz w:val="16"/>
          <w:szCs w:val="16"/>
        </w:rPr>
        <w:softHyphen/>
        <w:t>щее: «Для более эффективного действия самолета штурмовика Ил-2 по танкам, автомашинам и живой силе противника желательно применять РС М-13, так как последние имеют исключительно большой эффект по уничтожению танков, автомашин и жи</w:t>
      </w:r>
      <w:r w:rsidRPr="008127F8">
        <w:rPr>
          <w:color w:val="000000" w:themeColor="text1"/>
          <w:sz w:val="16"/>
          <w:szCs w:val="16"/>
        </w:rPr>
        <w:softHyphen/>
        <w:t>вой силы противника. При этом нагрузку можно рекомендовать такую: РС М-13 — 4 шт., РС-132 или РС-82 — 4 шт., бомб ФАБ-50 или равных им — 4 шт., пушки ВЯ и патронов — полностью. Практикой под</w:t>
      </w:r>
      <w:r w:rsidRPr="008127F8">
        <w:rPr>
          <w:color w:val="000000" w:themeColor="text1"/>
          <w:sz w:val="16"/>
          <w:szCs w:val="16"/>
        </w:rPr>
        <w:softHyphen/>
        <w:t>тверждено, что такой вариант нагрузки наиболее удобен».</w:t>
      </w:r>
    </w:p>
    <w:p w14:paraId="62AC937C" w14:textId="77777777" w:rsidR="00263031" w:rsidRPr="008127F8" w:rsidRDefault="00263031"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Поскольку рассеивание ракетных снарядов типа РОФС-132 и М-13 было меньше, чем у осколочных снарядов РОС-132, а их баллистика совпадала с баллистическими характеристиками пуль пулемета ШКАС, то эти боеприпасы можно было эффектив</w:t>
      </w:r>
      <w:r w:rsidRPr="008127F8">
        <w:rPr>
          <w:color w:val="000000" w:themeColor="text1"/>
          <w:sz w:val="16"/>
          <w:szCs w:val="16"/>
        </w:rPr>
        <w:softHyphen/>
        <w:t>но применять по малоразмерным целям. При этом в ходе атаки цели сначала открывался огонь из пулеметов, для чего патронные ленты снаряжали трассирующими пулями. Учитывалась боковая по</w:t>
      </w:r>
      <w:r w:rsidRPr="008127F8">
        <w:rPr>
          <w:color w:val="000000" w:themeColor="text1"/>
          <w:sz w:val="16"/>
          <w:szCs w:val="16"/>
        </w:rPr>
        <w:softHyphen/>
        <w:t>правка на снос ветром, выбиралось упреждение по дальности. После этого выполнялся пуск ракетных снарядов (17500).</w:t>
      </w:r>
    </w:p>
    <w:p w14:paraId="11A2F91B" w14:textId="77777777" w:rsidR="00263031" w:rsidRPr="008127F8" w:rsidRDefault="00263031" w:rsidP="001E0A84">
      <w:pPr>
        <w:spacing w:after="0" w:line="240" w:lineRule="auto"/>
        <w:jc w:val="both"/>
        <w:rPr>
          <w:rFonts w:ascii="Times New Roman" w:hAnsi="Times New Roman"/>
          <w:color w:val="000000" w:themeColor="text1"/>
          <w:sz w:val="16"/>
          <w:szCs w:val="16"/>
        </w:rPr>
      </w:pPr>
    </w:p>
    <w:p w14:paraId="343B3A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основной противник нашего Як-1 на фронте - истребитель Мессершмитт В</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.109F - начал выпускаться с мотором DB-60IЕ, более мощным, чем DB-601 N. К моменту нападения Германии на СССР на Восточном фронте находилось всего около 150 машин модификации "F", при этом они составляли 60 % самолетного парка Люфтваффе. Широкое применение этих истребителей на востоке началось с октября 1941 г.</w:t>
      </w:r>
    </w:p>
    <w:p w14:paraId="5F3A7B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Новый мотор дал немецкому самолету еще большее преимущество в скорости (более чем на 40 км/ч) перед Як-1. Для сравнения можно привести следующие данные: испытанный в НИИ ВВС в начале 1942 года ВГ. 109F-1 с мотором DB-601N имел скорость на 19-27 км/ч больше скорости Як-1. Применение зимой на Як-1 лыжного шасси увеличивало эту разницу до 60 км/ч (и более). Быстро исправить положение можно было только тем же способом, а именно увеличить мощность мотора. Ситуация в моторостроении была такова: к началу 1942 г. в КБ В.Я. Климова был разработан и проходил испытания мотор М-107, который во многом отличался от серийно выпускавшегося М-105ПА. Внедрение и доводка М-107 потребовали бы много времени; кроме того, он неоднократно из-за различных дефектов снимался с испытаний (прошел их лишь к 19 сентября 1942 г.).</w:t>
      </w:r>
    </w:p>
    <w:p w14:paraId="61A900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М-105ПА уже имел одну степень форсирования. В августе 1941 г. на Як-1 был введен форсажный взлетный режим с ручным управлением от рычага на левом пульте кабины пилота. Этот режим достигался увеличением давления наддува с 910 до 950 мм рт.ст. (его разрешалось использовать только на взлете, до высоты 200 м и не более пяти минут) (12048).</w:t>
      </w:r>
    </w:p>
    <w:p w14:paraId="2B7EA97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537822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2D8A2403" w14:textId="77777777" w:rsidR="00D4651C" w:rsidRPr="008127F8" w:rsidRDefault="00D4651C" w:rsidP="001E0A84">
      <w:pPr>
        <w:pStyle w:val="Iauiue"/>
        <w:jc w:val="both"/>
        <w:rPr>
          <w:iCs/>
          <w:color w:val="000000" w:themeColor="text1"/>
          <w:sz w:val="16"/>
          <w:szCs w:val="16"/>
        </w:rPr>
      </w:pPr>
    </w:p>
    <w:p w14:paraId="27943FE3"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началу 1942 г. сотрудники НИИ-6 НКБ М. Я. Ва</w:t>
      </w:r>
      <w:r w:rsidRPr="008127F8">
        <w:rPr>
          <w:color w:val="000000" w:themeColor="text1"/>
          <w:sz w:val="16"/>
          <w:szCs w:val="16"/>
        </w:rPr>
        <w:softHyphen/>
        <w:t>сильев, З. В. Владимирова и Н. С. Житких спроекти</w:t>
      </w:r>
      <w:r w:rsidRPr="008127F8">
        <w:rPr>
          <w:color w:val="000000" w:themeColor="text1"/>
          <w:sz w:val="16"/>
          <w:szCs w:val="16"/>
        </w:rPr>
        <w:softHyphen/>
        <w:t>ровали и практически отработали первый в СССР кумулятивный снаряд для 76-мм полковых пушек. Снаряд имел конусную выемку, облицованную стальной оболочкой, и авиационный головной взрыватель мгновенного действия АМ-Б. Снаряжал</w:t>
      </w:r>
      <w:r w:rsidRPr="008127F8">
        <w:rPr>
          <w:color w:val="000000" w:themeColor="text1"/>
          <w:sz w:val="16"/>
          <w:szCs w:val="16"/>
        </w:rPr>
        <w:softHyphen/>
        <w:t>ся снаряд мощным взрывчатым веществом — спла</w:t>
      </w:r>
      <w:r w:rsidRPr="008127F8">
        <w:rPr>
          <w:color w:val="000000" w:themeColor="text1"/>
          <w:sz w:val="16"/>
          <w:szCs w:val="16"/>
        </w:rPr>
        <w:softHyphen/>
        <w:t>вом 70/30 (70% тротила, 30% гексогена). На испы</w:t>
      </w:r>
      <w:r w:rsidRPr="008127F8">
        <w:rPr>
          <w:color w:val="000000" w:themeColor="text1"/>
          <w:sz w:val="16"/>
          <w:szCs w:val="16"/>
        </w:rPr>
        <w:softHyphen/>
        <w:t>таниях снаряд надежно пробивал 100-мм броню по нормали и 60-мм под углом 30° к нормали. Снаряд был принят на вооружение и с мая 1942 г. произво</w:t>
      </w:r>
      <w:r w:rsidRPr="008127F8">
        <w:rPr>
          <w:color w:val="000000" w:themeColor="text1"/>
          <w:sz w:val="16"/>
          <w:szCs w:val="16"/>
        </w:rPr>
        <w:softHyphen/>
        <w:t>дился серийно до конца войны.</w:t>
      </w:r>
    </w:p>
    <w:p w14:paraId="7D63B529"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Действие кумулятивного боеприпаса заключа</w:t>
      </w:r>
      <w:r w:rsidRPr="008127F8">
        <w:rPr>
          <w:color w:val="000000" w:themeColor="text1"/>
          <w:sz w:val="16"/>
          <w:szCs w:val="16"/>
        </w:rPr>
        <w:softHyphen/>
        <w:t>лось в следующем. За счет наличия в заряде взрыв</w:t>
      </w:r>
      <w:r w:rsidRPr="008127F8">
        <w:rPr>
          <w:color w:val="000000" w:themeColor="text1"/>
          <w:sz w:val="16"/>
          <w:szCs w:val="16"/>
        </w:rPr>
        <w:softHyphen/>
        <w:t>чатого вещества кумулятивной выемки при его подрыве формировалась направленная от верши</w:t>
      </w:r>
      <w:r w:rsidRPr="008127F8">
        <w:rPr>
          <w:color w:val="000000" w:themeColor="text1"/>
          <w:sz w:val="16"/>
          <w:szCs w:val="16"/>
        </w:rPr>
        <w:softHyphen/>
        <w:t>ны выемки к ее основанию кумулятивная струя из металла облицовки выемки и продуктов взрыва бо</w:t>
      </w:r>
      <w:r w:rsidRPr="008127F8">
        <w:rPr>
          <w:color w:val="000000" w:themeColor="text1"/>
          <w:sz w:val="16"/>
          <w:szCs w:val="16"/>
        </w:rPr>
        <w:softHyphen/>
        <w:t>евого заряда. Мощный удар такой струи по броне танка приводил к образованию пробоины. Забро- невое действие сводилось к поражению экипажа, инициированию детонации боеприпасов, воспла</w:t>
      </w:r>
      <w:r w:rsidRPr="008127F8">
        <w:rPr>
          <w:color w:val="000000" w:themeColor="text1"/>
          <w:sz w:val="16"/>
          <w:szCs w:val="16"/>
        </w:rPr>
        <w:softHyphen/>
        <w:t>менению горючего или его паров.</w:t>
      </w:r>
    </w:p>
    <w:p w14:paraId="7529F3F5"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Учитывая опыт НИИ-6, одновременно в ГСКБ-47, ЦКБ-22 и СКБ-35 развернулись масштабные работы по практической отработке надежных конструк</w:t>
      </w:r>
      <w:r w:rsidRPr="008127F8">
        <w:rPr>
          <w:color w:val="000000" w:themeColor="text1"/>
          <w:sz w:val="16"/>
          <w:szCs w:val="16"/>
        </w:rPr>
        <w:softHyphen/>
        <w:t>ций кумулятивных авиационных бомб небольшого калибра, пригодных для массового производства. Малый вес и габариты кумулятивных бомб позво</w:t>
      </w:r>
      <w:r w:rsidRPr="008127F8">
        <w:rPr>
          <w:color w:val="000000" w:themeColor="text1"/>
          <w:sz w:val="16"/>
          <w:szCs w:val="16"/>
        </w:rPr>
        <w:softHyphen/>
        <w:t>ляли обеспечить (за счет их большого количества на борту боевых самолетов) высокую вероятность попадания бомбы в цель малых размеров — в не</w:t>
      </w:r>
      <w:r w:rsidRPr="008127F8">
        <w:rPr>
          <w:color w:val="000000" w:themeColor="text1"/>
          <w:sz w:val="16"/>
          <w:szCs w:val="16"/>
        </w:rPr>
        <w:softHyphen/>
        <w:t>сколько раз большую по сравнению с основными типами осколочных и фугасных бомб, применяемых в бомбардировочной и штурмовой авиации против танков. Таким образом, становилось возможным резко повысить эффективность авиации при дей</w:t>
      </w:r>
      <w:r w:rsidRPr="008127F8">
        <w:rPr>
          <w:color w:val="000000" w:themeColor="text1"/>
          <w:sz w:val="16"/>
          <w:szCs w:val="16"/>
        </w:rPr>
        <w:softHyphen/>
        <w:t>ствии по бронетехнике.</w:t>
      </w:r>
    </w:p>
    <w:p w14:paraId="6580E6D4"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Одновременно с противотанковыми авиабомба</w:t>
      </w:r>
      <w:r w:rsidRPr="008127F8">
        <w:rPr>
          <w:color w:val="000000" w:themeColor="text1"/>
          <w:sz w:val="16"/>
          <w:szCs w:val="16"/>
        </w:rPr>
        <w:softHyphen/>
        <w:t>ми совместными усилиями НИИ-3 и НИИ-6 отраба</w:t>
      </w:r>
      <w:r w:rsidRPr="008127F8">
        <w:rPr>
          <w:color w:val="000000" w:themeColor="text1"/>
          <w:sz w:val="16"/>
          <w:szCs w:val="16"/>
        </w:rPr>
        <w:softHyphen/>
        <w:t>тывался ракетный бронебойный снаряд с кумуля</w:t>
      </w:r>
      <w:r w:rsidRPr="008127F8">
        <w:rPr>
          <w:color w:val="000000" w:themeColor="text1"/>
          <w:sz w:val="16"/>
          <w:szCs w:val="16"/>
        </w:rPr>
        <w:softHyphen/>
        <w:t>тивной боевой частью калибра 82 мм — РБСК-82. Причем на полигонные испытания в филиале НИП АВ ВВС этот снаряд поступил даже раньше, чем пер</w:t>
      </w:r>
      <w:r w:rsidRPr="008127F8">
        <w:rPr>
          <w:color w:val="000000" w:themeColor="text1"/>
          <w:sz w:val="16"/>
          <w:szCs w:val="16"/>
        </w:rPr>
        <w:softHyphen/>
        <w:t>вый «летный» прототип противотанковой бомбы (17500).</w:t>
      </w:r>
    </w:p>
    <w:p w14:paraId="1D24315A" w14:textId="77777777" w:rsidR="00BD62A4" w:rsidRPr="008127F8" w:rsidRDefault="00BD62A4" w:rsidP="001E0A84">
      <w:pPr>
        <w:pStyle w:val="12a"/>
        <w:shd w:val="clear" w:color="auto" w:fill="auto"/>
        <w:spacing w:after="0" w:line="240" w:lineRule="auto"/>
        <w:jc w:val="both"/>
        <w:rPr>
          <w:color w:val="000000" w:themeColor="text1"/>
          <w:sz w:val="16"/>
          <w:szCs w:val="16"/>
        </w:rPr>
      </w:pPr>
    </w:p>
    <w:p w14:paraId="10861779" w14:textId="77777777" w:rsidR="005A053A" w:rsidRPr="008127F8" w:rsidRDefault="005A05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перевозка людей и оборудования заводов НКТанкпром в общих чертах завершилась. Но с вывозом эвакуируемого оборудования и людей трудности не закончились. Необходимо было в самые сжатые сроки организовать производство на новом месте. Здесь танкостроительным заводам помогло то, что конечными пунктами эвакуации были назначены крупные заводы Урала и Сибири, имевшие собственную солидную производственную базу. Некоторые из них имели к тому же значительные пустующие производственные площади. Конечно, это не избавляло полностью от необходимости возводить новые цеха. Но их строительство шло по упрощённым стандартам с расчётом на краткосрочную эксплуатацию (19507).</w:t>
      </w:r>
    </w:p>
    <w:p w14:paraId="033F4544" w14:textId="77777777" w:rsidR="005A053A" w:rsidRPr="008127F8" w:rsidRDefault="005A053A" w:rsidP="001E0A84">
      <w:pPr>
        <w:spacing w:after="0" w:line="240" w:lineRule="auto"/>
        <w:jc w:val="both"/>
        <w:rPr>
          <w:rFonts w:ascii="Times New Roman" w:hAnsi="Times New Roman"/>
          <w:color w:val="000000" w:themeColor="text1"/>
          <w:sz w:val="16"/>
          <w:szCs w:val="16"/>
        </w:rPr>
      </w:pPr>
    </w:p>
    <w:p w14:paraId="09958CD0"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1942 г. перевозка людей и оборудования танковых заводов в общих чертах завершилась. Но с вывозом эвакуируемого оборудования и людей трудности не закончились. Необходимо было в самые сжатые сроки организовать производство на новом месте. Здесь танкостроительным заводам помогло то, что конечными пунктами эвакуации были назначены крупные заводы Урала и Сибири, имевшие собственную солидную производственную базу. Некоторые из них имели к тому же значительные пустующие производственные площади. Конечно, это не избавляло полностью от необходимости возводить новые цеха. Но их строительство шло по упрощѐнным стандартам с расчѐтом на краткосрочную эксплуатацию. Надо сказать, что начать выпуск продукции заводам удалось в самые кратчайшие сроки. В целом к марту 1942 г. все основные заводы НКТП превзошли свой уровень производства на старом месте. Произошло это, во-первых, благодаря использованию производственных мощностей принимающих предприятий, а во-вторых, благодаря перестройке технологии производства. Но тот вред, который эвакуация нанесла промышленности, не исчерпывался только лишь потерянным временем из-за остановленного производства. Что касается потери кадров, то НКТП удалось восполнить их количественно, но не качественно, так как почти все новые работники наркомата представляли собой неквалифицированную рабочую силу. Потери оборудования частично были восполнены за счѐт предприятий, на которые эвакуировали заводы, частично – за счѐт присвоения так называемых “бездокументных грузов” (грузов, чью принадлежность установить было невозможно), которые тогда в большом количестве можно было найти на железной дороге. Другим негативным последствием эвакуации стало нарушение снабжения и распад системы хозяйственных связей, существовавшей к тому моменту в СССР (24157).</w:t>
      </w:r>
    </w:p>
    <w:p w14:paraId="4947BBCA" w14:textId="77777777" w:rsidR="00275956" w:rsidRPr="008A2E5A" w:rsidRDefault="00275956" w:rsidP="00275956">
      <w:pPr>
        <w:spacing w:after="0" w:line="240" w:lineRule="auto"/>
        <w:jc w:val="both"/>
        <w:rPr>
          <w:rFonts w:ascii="Times New Roman" w:hAnsi="Times New Roman"/>
          <w:color w:val="0070C0"/>
          <w:sz w:val="16"/>
          <w:szCs w:val="16"/>
        </w:rPr>
      </w:pPr>
    </w:p>
    <w:p w14:paraId="2D51000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Челябинский завод был в целом готов к выполнению программы выпуска тяжелых танков. Ведь оставалось толь</w:t>
      </w:r>
      <w:r w:rsidRPr="008127F8">
        <w:rPr>
          <w:rFonts w:ascii="Times New Roman" w:hAnsi="Times New Roman"/>
          <w:color w:val="000000" w:themeColor="text1"/>
          <w:sz w:val="16"/>
          <w:szCs w:val="16"/>
        </w:rPr>
        <w:softHyphen/>
        <w:t>ко сократить трудоемкость изготовления танка КВ. Впро</w:t>
      </w:r>
      <w:r w:rsidRPr="008127F8">
        <w:rPr>
          <w:rFonts w:ascii="Times New Roman" w:hAnsi="Times New Roman"/>
          <w:color w:val="000000" w:themeColor="text1"/>
          <w:sz w:val="16"/>
          <w:szCs w:val="16"/>
        </w:rPr>
        <w:softHyphen/>
        <w:t>чем, этой проблемой СКБ-2 болел ажс середины 1940 г. (10782).</w:t>
      </w:r>
    </w:p>
    <w:p w14:paraId="177B84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985DC6C" w14:textId="77777777" w:rsidR="0088204B" w:rsidRPr="008127F8" w:rsidRDefault="0088204B" w:rsidP="001E0A84">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r w:rsidRPr="008127F8">
        <w:rPr>
          <w:rStyle w:val="921"/>
          <w:rFonts w:ascii="Times New Roman" w:hAnsi="Times New Roman" w:cs="Times New Roman"/>
          <w:color w:val="000000" w:themeColor="text1"/>
          <w:sz w:val="16"/>
          <w:szCs w:val="16"/>
          <w:lang w:val="ru-RU"/>
        </w:rPr>
        <w:t>К</w:t>
      </w:r>
      <w:r w:rsidRPr="008127F8">
        <w:rPr>
          <w:rStyle w:val="921"/>
          <w:rFonts w:ascii="Times New Roman" w:hAnsi="Times New Roman" w:cs="Times New Roman"/>
          <w:color w:val="000000" w:themeColor="text1"/>
          <w:sz w:val="16"/>
          <w:szCs w:val="16"/>
        </w:rPr>
        <w:t xml:space="preserve"> началу 1942 года </w:t>
      </w:r>
      <w:r w:rsidRPr="008127F8">
        <w:rPr>
          <w:rStyle w:val="921"/>
          <w:rFonts w:ascii="Times New Roman" w:hAnsi="Times New Roman" w:cs="Times New Roman"/>
          <w:color w:val="000000" w:themeColor="text1"/>
          <w:sz w:val="16"/>
          <w:szCs w:val="16"/>
          <w:lang w:val="ru-RU"/>
        </w:rPr>
        <w:t xml:space="preserve">боевая масса КВ-1 </w:t>
      </w:r>
      <w:r w:rsidRPr="008127F8">
        <w:rPr>
          <w:rStyle w:val="921"/>
          <w:rFonts w:ascii="Times New Roman" w:hAnsi="Times New Roman" w:cs="Times New Roman"/>
          <w:color w:val="000000" w:themeColor="text1"/>
          <w:sz w:val="16"/>
          <w:szCs w:val="16"/>
        </w:rPr>
        <w:t>составляла около 50 тонн. Начались огром</w:t>
      </w:r>
      <w:r w:rsidRPr="008127F8">
        <w:rPr>
          <w:rStyle w:val="921"/>
          <w:rFonts w:ascii="Times New Roman" w:hAnsi="Times New Roman" w:cs="Times New Roman"/>
          <w:color w:val="000000" w:themeColor="text1"/>
          <w:sz w:val="16"/>
          <w:szCs w:val="16"/>
        </w:rPr>
        <w:softHyphen/>
        <w:t>ные проблемы с коробками передач. По этой причине было принято решение облегчить КВ, уменьшив толщину брони. Процесс про</w:t>
      </w:r>
      <w:r w:rsidRPr="008127F8">
        <w:rPr>
          <w:rStyle w:val="921"/>
          <w:rFonts w:ascii="Times New Roman" w:hAnsi="Times New Roman" w:cs="Times New Roman"/>
          <w:color w:val="000000" w:themeColor="text1"/>
          <w:sz w:val="16"/>
          <w:szCs w:val="16"/>
        </w:rPr>
        <w:softHyphen/>
        <w:t>исходил в несколько этапов, но при этом в марте 1942 года появился проект радикаль</w:t>
      </w:r>
      <w:r w:rsidRPr="008127F8">
        <w:rPr>
          <w:rStyle w:val="921"/>
          <w:rFonts w:ascii="Times New Roman" w:hAnsi="Times New Roman" w:cs="Times New Roman"/>
          <w:color w:val="000000" w:themeColor="text1"/>
          <w:sz w:val="16"/>
          <w:szCs w:val="16"/>
        </w:rPr>
        <w:softHyphen/>
        <w:t>ного решения проблемы с подвижностью</w:t>
      </w:r>
      <w:r w:rsidRPr="008127F8">
        <w:rPr>
          <w:rStyle w:val="921"/>
          <w:rFonts w:ascii="Times New Roman" w:hAnsi="Times New Roman" w:cs="Times New Roman"/>
          <w:color w:val="000000" w:themeColor="text1"/>
          <w:sz w:val="16"/>
          <w:szCs w:val="16"/>
          <w:lang w:val="ru-RU"/>
        </w:rPr>
        <w:t xml:space="preserve"> (19872)</w:t>
      </w:r>
      <w:r w:rsidRPr="008127F8">
        <w:rPr>
          <w:rStyle w:val="921"/>
          <w:rFonts w:ascii="Times New Roman" w:hAnsi="Times New Roman" w:cs="Times New Roman"/>
          <w:color w:val="000000" w:themeColor="text1"/>
          <w:sz w:val="16"/>
          <w:szCs w:val="16"/>
        </w:rPr>
        <w:t>.</w:t>
      </w:r>
    </w:p>
    <w:p w14:paraId="2F65E4BE" w14:textId="77777777" w:rsidR="0088204B" w:rsidRPr="008127F8" w:rsidRDefault="0088204B" w:rsidP="001E0A84">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p>
    <w:p w14:paraId="789C1523"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года почти все эвакуированное оборудование завода № 183 было установлено и подготовлено к пуску. Следует сказать, что площадка Уралвагонзавода позволила без особых проблем разместить три эвакуированных предприятия. Кроме того, здесь имелось мощное сталелитейное и горячештамповочное производство. Эта особенность, наряду с потерей заводов-поставщиков, потребовала внесения большого числа конструктивных и технологических изменений в конструкцию узлов и деталей Т-34.</w:t>
      </w:r>
    </w:p>
    <w:p w14:paraId="16E3DB33"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Танковое производство в Нижнем Тагиле организовывалось по принципу законченного цикла в иеху - тот цех, который изготавливал детали. сам собирал из них узлы и механизмы. Всего было создано 16 основных цехов: механосборочные «ПО» (ходовая часть) и «119» (трансмиссия). крепежный «125» (болты, гайки, шпильки и т.п.), корпусных деталей «710» (механическая обработка деталей корпуса), кузнечный «630» (горячая штамповка), прессовый «640» (холодная штамповка), штампованного крепежа «690», литейные - «550» (мелкого стального литья). «563» (крупного стального литья). «595» (цветного литья), термический «680» (термообработка деталей), медницкий «160» (радиаторы, баки, трубки и т.п.), сборочный «130» (сборка танков), корпусной отдел «700» (сборка и сварка корпусов и башен), инструментальный «430» (изготовление инструмента) и ремонтно-механический «800» (ремонт оборудования). Кроме того, имелось несколько вспомогательных цехов.</w:t>
      </w:r>
    </w:p>
    <w:p w14:paraId="3E5CF431"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развертывания производства Т-34 в Нижнем Тагиле было восстановлено, модернизировано и смонтировано 1691 единица оборудования, изготовлено 4876 приспособлений, 1025 холодных штампов, 215 пресс-форм и 200 комплектов металлических моделей.</w:t>
      </w:r>
    </w:p>
    <w:p w14:paraId="0F10CC47"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сразу выйти на плановый выпуск - 20 Т-34 в сутки - заводу № 183 не удалось. Например, в январе — марте 1942 года среднесуточный выпуск составлял не более 10-15 машин. Это было связано и с острым недостатком рабочей силы, прежде всего квалифицированной - на 1 января 1942 года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1279766B"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была пересмотрена технология изготовления Т-34, а также в кратчайшие сроки построены новые цеха для разгрузки существующих и сокращения номенклатуры изготовляемых в них деталей (корпус «184» - изготовление главных и бортовых фрикционов, подвески, ленивцев, тормозной ленты и ведущих колес, цех «140» - мелкие узлы арматуры и цех «170» - волочильный).</w:t>
      </w:r>
    </w:p>
    <w:p w14:paraId="58C0AA4E"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лучшей организации испытаний готовых танков сдаточный цех «150» выделили из состава сборочного цеха «130», а в бронекорпус- ном отделе «700» организовали заготовительные и сборочно-сварочные цеха (12217).</w:t>
      </w:r>
    </w:p>
    <w:p w14:paraId="72525E74"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4526D7C1" w14:textId="77777777" w:rsidR="0088204B" w:rsidRPr="008127F8" w:rsidRDefault="0088204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началу 1942 года сложилась ситуация, когда разработка самоходных артиллерийских установок стала насущной необходимостью. Производство артиллерийских тягачей прекратилось почти полностью, а это грозило большими проблемами с механизацией артиллерии, включая и дивизионную. С другой стороны, опыт создания ЗИС-30, инициативной разработки КБ завода №92, признали удачным. Несмотря на то, что во многом данная машина являлась эрзацем, в мирное время не имевшим ни единого шанса для выпуска, она показала себя как эффективное средство сопровождения танковых бригад. Правда, шасси тягача "Комсомолец" для подобных целей плохо подходило, да и выпускать его перестали еще с 1 августа 1941 года (21099).</w:t>
      </w:r>
    </w:p>
    <w:p w14:paraId="7E2FD3C3" w14:textId="77777777" w:rsidR="0088204B" w:rsidRPr="008127F8" w:rsidRDefault="0088204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468F59D"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1942 года С.А. Гинзбург, к тому моменту заместитель начальника 2-го отдела НКТП СССР стал инициатором разработки шасси для САУ на базе Т-60. В общей сложности предполагалось создать 5 боевых машин на одной базе - 2 варианта ЗСУ, легкий танк, транспортер и, в первую очередь, легкую штурмовую САУ. В качестве вооружения штурмовой САУ предполагались либо 76-мм дивизионное орудие Ф-22 УСВ, либо 76-мм танковое орудие ЗИС-5. Боевая масса машины ожидалась в районе 7,5-8 тонн, силовая установка представляла собой параллельно расположенные моторы ГАЗ-11 модель 202. Расчет составлял 4-5 человек, а броневая защита предполагалась противопульной.</w:t>
      </w:r>
    </w:p>
    <w:p w14:paraId="19A335D2" w14:textId="77777777" w:rsidR="00275956" w:rsidRPr="008A2E5A" w:rsidRDefault="00275956" w:rsidP="00275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дальнейшем легкий танк из списка выпал, поскольку на вооружение Красной Армии приняли Т-70. Исчез и транспортер, но при этом в НАТИ началась разработка аналогичной машины, получившей индекс НАТИ-Д. Позже этот тягач превратился в серийный Я-11. Исчез из списка и "зенитный танк" с башней Савина, зато в список добавился вариант ЗСУ с 25-мм зенитной автоматической пушкой 72-К. Правда, его так и не построили, поскольку с 72-К имелся ряд проблем. Что же касается штурмовой САУ, то весной 1942 года вместо Ф-22 УСВ основным вооружением стала 76-мм дивизионная пушка ЗИС-3. Как альтернативное вооружение сохранялась ЗИС-5, причем она выглядела более удачным решением. Танковое орудие получалось более компактным, имело менее громоздкую бронировку, оснащалось </w:t>
      </w:r>
      <w:r w:rsidRPr="008A2E5A">
        <w:rPr>
          <w:rFonts w:ascii="Times New Roman" w:hAnsi="Times New Roman"/>
          <w:color w:val="0070C0"/>
          <w:sz w:val="16"/>
          <w:szCs w:val="16"/>
        </w:rPr>
        <w:lastRenderedPageBreak/>
        <w:t>телескопическим прицелом. Но тут главными проблемами стали производственные возможности, а главное позиция ГАУ КА, где считали, что САУ должна получать буксируемое орудие с минимумом изменений. Так или иначе, но пара "легкая штурмовая САУ/ЗСУ" прописалась в системе вооружения Красной Армии. Не менее важно то, что шасси имело большие, чем Т-60 и Т-70, габариты. Это позволило получить достаточно просторное боевое отделение ЗИК-20, попытка создатель отечественный истребитель танков с башней кругового вращения. Неправильно сформированные ТТТ не позволили создать адекватную боевую машину (23382).</w:t>
      </w:r>
    </w:p>
    <w:p w14:paraId="25546C18" w14:textId="77777777" w:rsidR="00275956" w:rsidRPr="008A2E5A" w:rsidRDefault="00275956" w:rsidP="00275956">
      <w:pPr>
        <w:spacing w:after="0" w:line="240" w:lineRule="auto"/>
        <w:jc w:val="both"/>
        <w:rPr>
          <w:rFonts w:ascii="Times New Roman" w:hAnsi="Times New Roman"/>
          <w:color w:val="0070C0"/>
          <w:sz w:val="16"/>
          <w:szCs w:val="16"/>
        </w:rPr>
      </w:pPr>
    </w:p>
    <w:p w14:paraId="5CFE8C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года практически завершилась эвакуация пред</w:t>
      </w:r>
      <w:r w:rsidRPr="008127F8">
        <w:rPr>
          <w:rFonts w:ascii="Times New Roman" w:hAnsi="Times New Roman"/>
          <w:color w:val="000000" w:themeColor="text1"/>
          <w:sz w:val="16"/>
          <w:szCs w:val="16"/>
        </w:rPr>
        <w:softHyphen/>
        <w:t>приятий с европейской части СССР и уже функционировали предприятия, входившие в систему Главмотовелопрома, которо</w:t>
      </w:r>
      <w:r w:rsidRPr="008127F8">
        <w:rPr>
          <w:rFonts w:ascii="Times New Roman" w:hAnsi="Times New Roman"/>
          <w:color w:val="000000" w:themeColor="text1"/>
          <w:sz w:val="16"/>
          <w:szCs w:val="16"/>
        </w:rPr>
        <w:softHyphen/>
        <w:t>му предстояло наладить плановую работу всех подведомственных заводов. Боевые потери мототехники не представлялось возмож</w:t>
      </w:r>
      <w:r w:rsidRPr="008127F8">
        <w:rPr>
          <w:rFonts w:ascii="Times New Roman" w:hAnsi="Times New Roman"/>
          <w:color w:val="000000" w:themeColor="text1"/>
          <w:sz w:val="16"/>
          <w:szCs w:val="16"/>
        </w:rPr>
        <w:softHyphen/>
        <w:t>ным восполнять только за счёт отечественной мотопромышлен</w:t>
      </w:r>
      <w:r w:rsidRPr="008127F8">
        <w:rPr>
          <w:rFonts w:ascii="Times New Roman" w:hAnsi="Times New Roman"/>
          <w:color w:val="000000" w:themeColor="text1"/>
          <w:sz w:val="16"/>
          <w:szCs w:val="16"/>
        </w:rPr>
        <w:softHyphen/>
        <w:t>ности. Требовалось собирать с полей сражений повреждённые как наши, так и трофейные мотоциклы, организовывать их вос</w:t>
      </w:r>
      <w:r w:rsidRPr="008127F8">
        <w:rPr>
          <w:rFonts w:ascii="Times New Roman" w:hAnsi="Times New Roman"/>
          <w:color w:val="000000" w:themeColor="text1"/>
          <w:sz w:val="16"/>
          <w:szCs w:val="16"/>
        </w:rPr>
        <w:softHyphen/>
        <w:t>становление и возврат в вооружённые силы. Главной задачей правительство считало восстановление про</w:t>
      </w:r>
      <w:r w:rsidRPr="008127F8">
        <w:rPr>
          <w:rFonts w:ascii="Times New Roman" w:hAnsi="Times New Roman"/>
          <w:color w:val="000000" w:themeColor="text1"/>
          <w:sz w:val="16"/>
          <w:szCs w:val="16"/>
        </w:rPr>
        <w:softHyphen/>
        <w:t>изводства мотоциклов на эвакуированных мотозаводах (11429).</w:t>
      </w:r>
    </w:p>
    <w:p w14:paraId="2C5F82A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200B2425" w14:textId="3990B88D" w:rsidR="0088204B" w:rsidRPr="008127F8" w:rsidRDefault="0088204B" w:rsidP="001E0A84">
      <w:pPr>
        <w:pStyle w:val="Iauiue"/>
        <w:jc w:val="both"/>
        <w:rPr>
          <w:i/>
          <w:iCs/>
          <w:color w:val="000000" w:themeColor="text1"/>
          <w:sz w:val="16"/>
          <w:szCs w:val="16"/>
        </w:rPr>
      </w:pPr>
      <w:r w:rsidRPr="008127F8">
        <w:rPr>
          <w:i/>
          <w:iCs/>
          <w:color w:val="000000" w:themeColor="text1"/>
          <w:sz w:val="16"/>
          <w:szCs w:val="16"/>
        </w:rPr>
        <w:t>Армия:</w:t>
      </w:r>
    </w:p>
    <w:p w14:paraId="66321DB4" w14:textId="77777777" w:rsidR="0088204B" w:rsidRPr="008127F8" w:rsidRDefault="0088204B" w:rsidP="001E0A84">
      <w:pPr>
        <w:pStyle w:val="Iauiue"/>
        <w:jc w:val="both"/>
        <w:rPr>
          <w:i/>
          <w:iCs/>
          <w:color w:val="000000" w:themeColor="text1"/>
          <w:sz w:val="16"/>
          <w:szCs w:val="16"/>
        </w:rPr>
      </w:pPr>
    </w:p>
    <w:p w14:paraId="0004C714" w14:textId="77777777" w:rsidR="0088204B" w:rsidRPr="008127F8" w:rsidRDefault="0088204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воздухоплаватели ОВОААН приобрели ценный боевой опыт обо</w:t>
      </w:r>
      <w:r w:rsidRPr="008127F8">
        <w:rPr>
          <w:rFonts w:ascii="Times New Roman" w:hAnsi="Times New Roman"/>
          <w:color w:val="000000" w:themeColor="text1"/>
          <w:sz w:val="16"/>
          <w:szCs w:val="16"/>
        </w:rPr>
        <w:softHyphen/>
        <w:t>ронительных и наступательных боёв. В свою очередь, артиллерийские командиры не толь</w:t>
      </w:r>
      <w:r w:rsidRPr="008127F8">
        <w:rPr>
          <w:rFonts w:ascii="Times New Roman" w:hAnsi="Times New Roman"/>
          <w:color w:val="000000" w:themeColor="text1"/>
          <w:sz w:val="16"/>
          <w:szCs w:val="16"/>
        </w:rPr>
        <w:softHyphen/>
        <w:t>ко оценили действенность воздушной разведки с помощью ААН, но и стали её умело применять. Наибольших успехов в использовании аэроста</w:t>
      </w:r>
      <w:r w:rsidRPr="008127F8">
        <w:rPr>
          <w:rFonts w:ascii="Times New Roman" w:hAnsi="Times New Roman"/>
          <w:color w:val="000000" w:themeColor="text1"/>
          <w:sz w:val="16"/>
          <w:szCs w:val="16"/>
        </w:rPr>
        <w:softHyphen/>
        <w:t>тов наблюдения добились ленинградские артил</w:t>
      </w:r>
      <w:r w:rsidRPr="008127F8">
        <w:rPr>
          <w:rFonts w:ascii="Times New Roman" w:hAnsi="Times New Roman"/>
          <w:color w:val="000000" w:themeColor="text1"/>
          <w:sz w:val="16"/>
          <w:szCs w:val="16"/>
        </w:rPr>
        <w:softHyphen/>
        <w:t>леристы, действиям которых дал высокую оцен</w:t>
      </w:r>
      <w:r w:rsidRPr="008127F8">
        <w:rPr>
          <w:rFonts w:ascii="Times New Roman" w:hAnsi="Times New Roman"/>
          <w:color w:val="000000" w:themeColor="text1"/>
          <w:sz w:val="16"/>
          <w:szCs w:val="16"/>
        </w:rPr>
        <w:softHyphen/>
        <w:t>ку Главный маршал артиллерии Н.Н. Воронов.</w:t>
      </w:r>
    </w:p>
    <w:p w14:paraId="5255F32D" w14:textId="77777777" w:rsidR="0088204B" w:rsidRPr="008127F8" w:rsidRDefault="0088204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ощущалась необходимость из</w:t>
      </w:r>
      <w:r w:rsidRPr="008127F8">
        <w:rPr>
          <w:rFonts w:ascii="Times New Roman" w:hAnsi="Times New Roman"/>
          <w:color w:val="000000" w:themeColor="text1"/>
          <w:sz w:val="16"/>
          <w:szCs w:val="16"/>
        </w:rPr>
        <w:softHyphen/>
        <w:t>менить организационно-штатную структуру ОВОААН. Имелись недостатки и в организации боевых действий воздухоплавательных частей и соединений. Опыт боевого использования от</w:t>
      </w:r>
      <w:r w:rsidRPr="008127F8">
        <w:rPr>
          <w:rFonts w:ascii="Times New Roman" w:hAnsi="Times New Roman"/>
          <w:color w:val="000000" w:themeColor="text1"/>
          <w:sz w:val="16"/>
          <w:szCs w:val="16"/>
        </w:rPr>
        <w:softHyphen/>
        <w:t>дельных воздухоплавательных отрядов, разбро</w:t>
      </w:r>
      <w:r w:rsidRPr="008127F8">
        <w:rPr>
          <w:rFonts w:ascii="Times New Roman" w:hAnsi="Times New Roman"/>
          <w:color w:val="000000" w:themeColor="text1"/>
          <w:sz w:val="16"/>
          <w:szCs w:val="16"/>
        </w:rPr>
        <w:softHyphen/>
        <w:t>санных от Ладожского озера до Воронежа, пока</w:t>
      </w:r>
      <w:r w:rsidRPr="008127F8">
        <w:rPr>
          <w:rFonts w:ascii="Times New Roman" w:hAnsi="Times New Roman"/>
          <w:color w:val="000000" w:themeColor="text1"/>
          <w:sz w:val="16"/>
          <w:szCs w:val="16"/>
        </w:rPr>
        <w:softHyphen/>
        <w:t>зал, что управлять ими из одного центра, развёр</w:t>
      </w:r>
      <w:r w:rsidRPr="008127F8">
        <w:rPr>
          <w:rFonts w:ascii="Times New Roman" w:hAnsi="Times New Roman"/>
          <w:color w:val="000000" w:themeColor="text1"/>
          <w:sz w:val="16"/>
          <w:szCs w:val="16"/>
        </w:rPr>
        <w:softHyphen/>
        <w:t>нутого в Москве на удалении 700-800 км от них, практически невозможно. Не велась подготовка воздушных наблюдателей в специализирован</w:t>
      </w:r>
      <w:r w:rsidRPr="008127F8">
        <w:rPr>
          <w:rFonts w:ascii="Times New Roman" w:hAnsi="Times New Roman"/>
          <w:color w:val="000000" w:themeColor="text1"/>
          <w:sz w:val="16"/>
          <w:szCs w:val="16"/>
        </w:rPr>
        <w:softHyphen/>
        <w:t>ных учебных заведениях, уже накопленный бое</w:t>
      </w:r>
      <w:r w:rsidRPr="008127F8">
        <w:rPr>
          <w:rFonts w:ascii="Times New Roman" w:hAnsi="Times New Roman"/>
          <w:color w:val="000000" w:themeColor="text1"/>
          <w:sz w:val="16"/>
          <w:szCs w:val="16"/>
        </w:rPr>
        <w:softHyphen/>
        <w:t>вой опыт теоретически не обобщался (20120).</w:t>
      </w:r>
    </w:p>
    <w:p w14:paraId="465EE5EE" w14:textId="77777777" w:rsidR="0088204B" w:rsidRPr="008127F8" w:rsidRDefault="0088204B" w:rsidP="001E0A84">
      <w:pPr>
        <w:spacing w:after="0" w:line="240" w:lineRule="auto"/>
        <w:jc w:val="both"/>
        <w:rPr>
          <w:rFonts w:ascii="Times New Roman" w:hAnsi="Times New Roman"/>
          <w:color w:val="000000" w:themeColor="text1"/>
          <w:sz w:val="16"/>
          <w:szCs w:val="16"/>
        </w:rPr>
      </w:pPr>
    </w:p>
    <w:p w14:paraId="672511B1" w14:textId="66765F4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1424B441" w14:textId="77777777" w:rsidR="00D4651C" w:rsidRPr="008127F8" w:rsidRDefault="00D4651C" w:rsidP="001E0A84">
      <w:pPr>
        <w:pStyle w:val="Iauiue"/>
        <w:jc w:val="both"/>
        <w:rPr>
          <w:iCs/>
          <w:color w:val="000000" w:themeColor="text1"/>
          <w:sz w:val="16"/>
          <w:szCs w:val="16"/>
        </w:rPr>
      </w:pPr>
    </w:p>
    <w:p w14:paraId="180F2B37" w14:textId="77777777" w:rsidR="009F42FB" w:rsidRPr="008A2E5A" w:rsidRDefault="009F42FB" w:rsidP="009F42F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1942 г. «Даймлер-Бенц», славившаяся высоким уровнем технического совершенства выпус</w:t>
      </w:r>
      <w:r w:rsidRPr="008A2E5A">
        <w:rPr>
          <w:rFonts w:ascii="Times New Roman" w:hAnsi="Times New Roman"/>
          <w:color w:val="0070C0"/>
          <w:sz w:val="16"/>
          <w:szCs w:val="16"/>
        </w:rPr>
        <w:softHyphen/>
        <w:t>каемой ею продукции, под</w:t>
      </w:r>
      <w:r w:rsidRPr="008A2E5A">
        <w:rPr>
          <w:rFonts w:ascii="Times New Roman" w:hAnsi="Times New Roman"/>
          <w:color w:val="0070C0"/>
          <w:sz w:val="16"/>
          <w:szCs w:val="16"/>
        </w:rPr>
        <w:softHyphen/>
        <w:t>готовила к серийному выпуску новый двига</w:t>
      </w:r>
      <w:r w:rsidRPr="008A2E5A">
        <w:rPr>
          <w:rFonts w:ascii="Times New Roman" w:hAnsi="Times New Roman"/>
          <w:color w:val="0070C0"/>
          <w:sz w:val="16"/>
          <w:szCs w:val="16"/>
        </w:rPr>
        <w:softHyphen/>
        <w:t>тель DB 605А, созданный путем существен</w:t>
      </w:r>
      <w:r w:rsidRPr="008A2E5A">
        <w:rPr>
          <w:rFonts w:ascii="Times New Roman" w:hAnsi="Times New Roman"/>
          <w:color w:val="0070C0"/>
          <w:sz w:val="16"/>
          <w:szCs w:val="16"/>
        </w:rPr>
        <w:softHyphen/>
        <w:t>ной модернизации предшественника — мото</w:t>
      </w:r>
      <w:r w:rsidRPr="008A2E5A">
        <w:rPr>
          <w:rFonts w:ascii="Times New Roman" w:hAnsi="Times New Roman"/>
          <w:color w:val="0070C0"/>
          <w:sz w:val="16"/>
          <w:szCs w:val="16"/>
        </w:rPr>
        <w:softHyphen/>
        <w:t>ра DB 601Е. При сохранении общей схемы (12-цилиндровый инвертированный двига</w:t>
      </w:r>
      <w:r w:rsidRPr="008A2E5A">
        <w:rPr>
          <w:rFonts w:ascii="Times New Roman" w:hAnsi="Times New Roman"/>
          <w:color w:val="0070C0"/>
          <w:sz w:val="16"/>
          <w:szCs w:val="16"/>
        </w:rPr>
        <w:softHyphen/>
        <w:t>тель жидкостного охлаждения с непосредст</w:t>
      </w:r>
      <w:r w:rsidRPr="008A2E5A">
        <w:rPr>
          <w:rFonts w:ascii="Times New Roman" w:hAnsi="Times New Roman"/>
          <w:color w:val="0070C0"/>
          <w:sz w:val="16"/>
          <w:szCs w:val="16"/>
        </w:rPr>
        <w:softHyphen/>
        <w:t>венным впрыском топлива в цилиндры) и га</w:t>
      </w:r>
      <w:r w:rsidRPr="008A2E5A">
        <w:rPr>
          <w:rFonts w:ascii="Times New Roman" w:hAnsi="Times New Roman"/>
          <w:color w:val="0070C0"/>
          <w:sz w:val="16"/>
          <w:szCs w:val="16"/>
        </w:rPr>
        <w:softHyphen/>
        <w:t>баритов главными отличиями DB 605А явля</w:t>
      </w:r>
      <w:r w:rsidRPr="008A2E5A">
        <w:rPr>
          <w:rFonts w:ascii="Times New Roman" w:hAnsi="Times New Roman"/>
          <w:color w:val="0070C0"/>
          <w:sz w:val="16"/>
          <w:szCs w:val="16"/>
        </w:rPr>
        <w:softHyphen/>
        <w:t>лись: увеличенный до 154 мм диаметр ци</w:t>
      </w:r>
      <w:r w:rsidRPr="008A2E5A">
        <w:rPr>
          <w:rFonts w:ascii="Times New Roman" w:hAnsi="Times New Roman"/>
          <w:color w:val="0070C0"/>
          <w:sz w:val="16"/>
          <w:szCs w:val="16"/>
        </w:rPr>
        <w:softHyphen/>
        <w:t>линдра и, в связи с этим, возросший объем цилиндров мотора — 35,7 л; увеличенный на 6 мм диаметр крыльчатки ПЦН; повышенная до 2800 об./мин максимальная частота враще</w:t>
      </w:r>
      <w:r w:rsidRPr="008A2E5A">
        <w:rPr>
          <w:rFonts w:ascii="Times New Roman" w:hAnsi="Times New Roman"/>
          <w:color w:val="0070C0"/>
          <w:sz w:val="16"/>
          <w:szCs w:val="16"/>
        </w:rPr>
        <w:softHyphen/>
        <w:t>ния вала двигателя; увеличенная степень сжа</w:t>
      </w:r>
      <w:r w:rsidRPr="008A2E5A">
        <w:rPr>
          <w:rFonts w:ascii="Times New Roman" w:hAnsi="Times New Roman"/>
          <w:color w:val="0070C0"/>
          <w:sz w:val="16"/>
          <w:szCs w:val="16"/>
        </w:rPr>
        <w:softHyphen/>
        <w:t>тия (7,5 для правого блока и 7,3 для левого при работе на бензине В4 с октановым числом 87). Специалистам «Даймлер-Бенц» удалось полу</w:t>
      </w:r>
      <w:r w:rsidRPr="008A2E5A">
        <w:rPr>
          <w:rFonts w:ascii="Times New Roman" w:hAnsi="Times New Roman"/>
          <w:color w:val="0070C0"/>
          <w:sz w:val="16"/>
          <w:szCs w:val="16"/>
        </w:rPr>
        <w:softHyphen/>
        <w:t>чить мощность 1475 л.с. на взлете, 1355 л.с. на высоте 5700 м, 1310 л.с. при наборе высоты и на боевом режиме у земли и 1250 л.с. на высо</w:t>
      </w:r>
      <w:r w:rsidRPr="008A2E5A">
        <w:rPr>
          <w:rFonts w:ascii="Times New Roman" w:hAnsi="Times New Roman"/>
          <w:color w:val="0070C0"/>
          <w:sz w:val="16"/>
          <w:szCs w:val="16"/>
        </w:rPr>
        <w:softHyphen/>
        <w:t>те 5800 м. Обращал на себя внимание даль</w:t>
      </w:r>
      <w:r w:rsidRPr="008A2E5A">
        <w:rPr>
          <w:rFonts w:ascii="Times New Roman" w:hAnsi="Times New Roman"/>
          <w:color w:val="0070C0"/>
          <w:sz w:val="16"/>
          <w:szCs w:val="16"/>
        </w:rPr>
        <w:softHyphen/>
        <w:t>нейший рост высотности мотора. Разумеется, расплатиться за все эти достижения пришлось увеличением массы двигателя до 730—745 кг.</w:t>
      </w:r>
    </w:p>
    <w:p w14:paraId="18F98E36" w14:textId="77777777" w:rsidR="009F42FB" w:rsidRPr="008A2E5A" w:rsidRDefault="009F42FB" w:rsidP="009F42F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Именно это обстоятельство — прогрес</w:t>
      </w:r>
      <w:r w:rsidRPr="008A2E5A">
        <w:rPr>
          <w:rFonts w:ascii="Times New Roman" w:hAnsi="Times New Roman"/>
          <w:color w:val="0070C0"/>
          <w:sz w:val="16"/>
          <w:szCs w:val="16"/>
        </w:rPr>
        <w:softHyphen/>
        <w:t>сирующее увеличение массы силовой уста</w:t>
      </w:r>
      <w:r w:rsidRPr="008A2E5A">
        <w:rPr>
          <w:rFonts w:ascii="Times New Roman" w:hAnsi="Times New Roman"/>
          <w:color w:val="0070C0"/>
          <w:sz w:val="16"/>
          <w:szCs w:val="16"/>
        </w:rPr>
        <w:softHyphen/>
        <w:t>новки — потребовало усиления отдельных элементов конструкции «сто девятого» (на</w:t>
      </w:r>
      <w:r w:rsidRPr="008A2E5A">
        <w:rPr>
          <w:rFonts w:ascii="Times New Roman" w:hAnsi="Times New Roman"/>
          <w:color w:val="0070C0"/>
          <w:sz w:val="16"/>
          <w:szCs w:val="16"/>
        </w:rPr>
        <w:softHyphen/>
        <w:t>пример, стоек шасси) и привело к созданию новой модификации, известной как «Густав». По мнению большинства пилотов, летавших на Bf 109, на машинах этого варианта высокая маневренность была принесена в жертву ско</w:t>
      </w:r>
      <w:r w:rsidRPr="008A2E5A">
        <w:rPr>
          <w:rFonts w:ascii="Times New Roman" w:hAnsi="Times New Roman"/>
          <w:color w:val="0070C0"/>
          <w:sz w:val="16"/>
          <w:szCs w:val="16"/>
        </w:rPr>
        <w:softHyphen/>
        <w:t>ростным качествам. Однако некоторые асы, например, капитан В. Липферт, считали, что ранние «Густавы», в обшем-то, не уступали легким истребителям противника и, в частно</w:t>
      </w:r>
      <w:r w:rsidRPr="008A2E5A">
        <w:rPr>
          <w:rFonts w:ascii="Times New Roman" w:hAnsi="Times New Roman"/>
          <w:color w:val="0070C0"/>
          <w:sz w:val="16"/>
          <w:szCs w:val="16"/>
        </w:rPr>
        <w:softHyphen/>
        <w:t>сти, «якам» в горизонтальной маневренности.</w:t>
      </w:r>
    </w:p>
    <w:p w14:paraId="38D16E0E" w14:textId="77777777" w:rsidR="009F42FB" w:rsidRPr="008A2E5A" w:rsidRDefault="009F42FB" w:rsidP="009F42F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обычно, отладка конструкции само</w:t>
      </w:r>
      <w:r w:rsidRPr="008A2E5A">
        <w:rPr>
          <w:rFonts w:ascii="Times New Roman" w:hAnsi="Times New Roman"/>
          <w:color w:val="0070C0"/>
          <w:sz w:val="16"/>
          <w:szCs w:val="16"/>
        </w:rPr>
        <w:softHyphen/>
        <w:t>лета несколько опережала процесс доводки двигателя, поэтому предсерийные машины Bf 109G-0 (в конце 1941 г. построили 12 истре</w:t>
      </w:r>
      <w:r w:rsidRPr="008A2E5A">
        <w:rPr>
          <w:rFonts w:ascii="Times New Roman" w:hAnsi="Times New Roman"/>
          <w:color w:val="0070C0"/>
          <w:sz w:val="16"/>
          <w:szCs w:val="16"/>
        </w:rPr>
        <w:softHyphen/>
        <w:t>бителей с зав. № 14001 — 14012, причем три первых — в октябре) получили прежние дви</w:t>
      </w:r>
      <w:r w:rsidRPr="008A2E5A">
        <w:rPr>
          <w:rFonts w:ascii="Times New Roman" w:hAnsi="Times New Roman"/>
          <w:color w:val="0070C0"/>
          <w:sz w:val="16"/>
          <w:szCs w:val="16"/>
        </w:rPr>
        <w:softHyphen/>
        <w:t>гатели DB 601Е, характерные для «Фридри</w:t>
      </w:r>
      <w:r w:rsidRPr="008A2E5A">
        <w:rPr>
          <w:rFonts w:ascii="Times New Roman" w:hAnsi="Times New Roman"/>
          <w:color w:val="0070C0"/>
          <w:sz w:val="16"/>
          <w:szCs w:val="16"/>
        </w:rPr>
        <w:softHyphen/>
        <w:t>хов». Внешне эти самолеты весьма незначи</w:t>
      </w:r>
      <w:r w:rsidRPr="008A2E5A">
        <w:rPr>
          <w:rFonts w:ascii="Times New Roman" w:hAnsi="Times New Roman"/>
          <w:color w:val="0070C0"/>
          <w:sz w:val="16"/>
          <w:szCs w:val="16"/>
        </w:rPr>
        <w:softHyphen/>
        <w:t>тельно отличались от машин предыдущей мо</w:t>
      </w:r>
      <w:r w:rsidRPr="008A2E5A">
        <w:rPr>
          <w:rFonts w:ascii="Times New Roman" w:hAnsi="Times New Roman"/>
          <w:color w:val="0070C0"/>
          <w:sz w:val="16"/>
          <w:szCs w:val="16"/>
        </w:rPr>
        <w:softHyphen/>
        <w:t>дификации. Так, тоннель маслорадиатора стал немного шире, выше (для размещения радиатора увеличенной производительности, ведь отдача тепла в масло возросла с ростом мощности мотора) и получил несколько иные обводы, в фонаре пилота ликвидировали не</w:t>
      </w:r>
      <w:r w:rsidRPr="008A2E5A">
        <w:rPr>
          <w:rFonts w:ascii="Times New Roman" w:hAnsi="Times New Roman"/>
          <w:color w:val="0070C0"/>
          <w:sz w:val="16"/>
          <w:szCs w:val="16"/>
        </w:rPr>
        <w:softHyphen/>
        <w:t>большие треугольные окна под боковыми стеклами козырька, изменилось расположе</w:t>
      </w:r>
      <w:r w:rsidRPr="008A2E5A">
        <w:rPr>
          <w:rFonts w:ascii="Times New Roman" w:hAnsi="Times New Roman"/>
          <w:color w:val="0070C0"/>
          <w:sz w:val="16"/>
          <w:szCs w:val="16"/>
        </w:rPr>
        <w:softHyphen/>
        <w:t>ние некоторых маленьких воздухозаборни</w:t>
      </w:r>
      <w:r w:rsidRPr="008A2E5A">
        <w:rPr>
          <w:rFonts w:ascii="Times New Roman" w:hAnsi="Times New Roman"/>
          <w:color w:val="0070C0"/>
          <w:sz w:val="16"/>
          <w:szCs w:val="16"/>
        </w:rPr>
        <w:softHyphen/>
        <w:t>ков, служащих для охлаждения элементов мо</w:t>
      </w:r>
      <w:r w:rsidRPr="008A2E5A">
        <w:rPr>
          <w:rFonts w:ascii="Times New Roman" w:hAnsi="Times New Roman"/>
          <w:color w:val="0070C0"/>
          <w:sz w:val="16"/>
          <w:szCs w:val="16"/>
        </w:rPr>
        <w:softHyphen/>
        <w:t>тоустановки, и т.п. В общем, далеко не на каждой фотографии можно отличить предсерийный «Густав» от позднего «Фридриха» (24195).</w:t>
      </w:r>
    </w:p>
    <w:p w14:paraId="5577F104" w14:textId="77777777" w:rsidR="009F42FB" w:rsidRPr="008A2E5A" w:rsidRDefault="009F42FB" w:rsidP="009F42FB">
      <w:pPr>
        <w:spacing w:after="0" w:line="240" w:lineRule="auto"/>
        <w:jc w:val="both"/>
        <w:rPr>
          <w:rFonts w:ascii="Times New Roman" w:hAnsi="Times New Roman"/>
          <w:color w:val="0070C0"/>
          <w:sz w:val="16"/>
          <w:szCs w:val="16"/>
        </w:rPr>
      </w:pPr>
    </w:p>
    <w:p w14:paraId="457FED94" w14:textId="77777777" w:rsidR="0088204B" w:rsidRPr="008127F8" w:rsidRDefault="0088204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года Заводы в Рочестере и Белфасте дали 756 «стирлингов» Mk. I. Мощностей завода в Белфасте не хватало, Рочестер немцы постоянно бомбили, посему 140 самолетов S. 29 заказали заводам в Канаде. Для испытаний было переоборудовано четыре серийных самолета, названных «Стирлинг» Mk. II. С американскими моторами Райт «Циклон» R-2600-A5B (1600 л.с. на взлете) ожидался рост летных качеств самолета, но из-за трудностей с освоением машины на новом месте контракт аннулировали (22823).</w:t>
      </w:r>
    </w:p>
    <w:p w14:paraId="57CA300A" w14:textId="77777777" w:rsidR="0088204B" w:rsidRPr="008127F8" w:rsidRDefault="0088204B" w:rsidP="001E0A84">
      <w:pPr>
        <w:spacing w:after="0" w:line="240" w:lineRule="auto"/>
        <w:jc w:val="both"/>
        <w:rPr>
          <w:rFonts w:ascii="Times New Roman" w:hAnsi="Times New Roman"/>
          <w:color w:val="000000" w:themeColor="text1"/>
          <w:sz w:val="16"/>
          <w:szCs w:val="16"/>
        </w:rPr>
      </w:pPr>
    </w:p>
    <w:p w14:paraId="6C105D4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4AD6ECB8" w14:textId="77777777" w:rsidR="00D4651C" w:rsidRPr="008127F8" w:rsidRDefault="00D4651C" w:rsidP="001E0A84">
      <w:pPr>
        <w:pStyle w:val="Iauiue"/>
        <w:jc w:val="both"/>
        <w:rPr>
          <w:iCs/>
          <w:color w:val="000000" w:themeColor="text1"/>
          <w:sz w:val="16"/>
          <w:szCs w:val="16"/>
        </w:rPr>
      </w:pPr>
    </w:p>
    <w:p w14:paraId="324421C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 1942 г. максимальный взлетный вес самолета возрос на 3000 кг по сравнению с первыми серийными ДБ-3 и достиг 12000 кг при тех же размерах планера и относительно небольшом увеличении мощности двигателей. Дальнейшее улучшение летно-</w:t>
      </w:r>
      <w:proofErr w:type="gramStart"/>
      <w:r w:rsidRPr="008127F8">
        <w:rPr>
          <w:color w:val="000000" w:themeColor="text1"/>
          <w:sz w:val="16"/>
          <w:szCs w:val="16"/>
        </w:rPr>
        <w:t>такти-ческих</w:t>
      </w:r>
      <w:proofErr w:type="gramEnd"/>
      <w:r w:rsidRPr="008127F8">
        <w:rPr>
          <w:color w:val="000000" w:themeColor="text1"/>
          <w:sz w:val="16"/>
          <w:szCs w:val="16"/>
        </w:rPr>
        <w:t xml:space="preserve"> данных дальнего бомбардировщика могло быть обеспечено только при значительном повышении мощности его силовой установки и связанным с этим увеличением геометрических размеров и веса Это было сделано при создании опытных самолетов ДБ-4 и Ил-6 (9528).</w:t>
      </w:r>
    </w:p>
    <w:p w14:paraId="7AD11F24" w14:textId="77777777" w:rsidR="00D4651C" w:rsidRPr="008127F8" w:rsidRDefault="00D4651C" w:rsidP="001E0A84">
      <w:pPr>
        <w:pStyle w:val="Iauiue"/>
        <w:jc w:val="both"/>
        <w:rPr>
          <w:color w:val="000000" w:themeColor="text1"/>
          <w:sz w:val="16"/>
          <w:szCs w:val="16"/>
        </w:rPr>
      </w:pPr>
    </w:p>
    <w:p w14:paraId="43A4A35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1942 г. было восстановлено производство РС обоих калибров с бронебойными БЧ, т.к. в ходе войны выяснилось, что случаи применения осколочных и ос</w:t>
      </w:r>
      <w:r w:rsidRPr="008127F8">
        <w:rPr>
          <w:rFonts w:ascii="Times New Roman" w:hAnsi="Times New Roman"/>
          <w:color w:val="000000" w:themeColor="text1"/>
          <w:sz w:val="16"/>
          <w:szCs w:val="16"/>
        </w:rPr>
        <w:softHyphen/>
        <w:t>колочно-фугасных РС по германской бронетехнике и морским кораблям далеко не всегда приводят к желаемому результату. Однако, применяли их только в морской авиации. Бронебойность се</w:t>
      </w:r>
      <w:r w:rsidRPr="008127F8">
        <w:rPr>
          <w:rFonts w:ascii="Times New Roman" w:hAnsi="Times New Roman"/>
          <w:color w:val="000000" w:themeColor="text1"/>
          <w:sz w:val="16"/>
          <w:szCs w:val="16"/>
        </w:rPr>
        <w:softHyphen/>
        <w:t>рийных РБС-82 и РБС-132 составляла 60 и 75 мм соответственно (11402).</w:t>
      </w:r>
    </w:p>
    <w:p w14:paraId="1E1AEC7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9ED687F" w14:textId="77777777" w:rsidR="00263031" w:rsidRPr="008127F8" w:rsidRDefault="00263031" w:rsidP="001E0A84">
      <w:pPr>
        <w:pStyle w:val="a4"/>
        <w:rPr>
          <w:color w:val="000000" w:themeColor="text1"/>
          <w:lang w:val="ru-RU"/>
        </w:rPr>
      </w:pPr>
      <w:r w:rsidRPr="008127F8">
        <w:rPr>
          <w:color w:val="000000" w:themeColor="text1"/>
          <w:lang w:val="ru-RU"/>
        </w:rPr>
        <w:t>К но</w:t>
      </w:r>
      <w:r w:rsidRPr="008127F8">
        <w:rPr>
          <w:color w:val="000000" w:themeColor="text1"/>
          <w:lang w:val="ru-RU"/>
        </w:rPr>
        <w:softHyphen/>
        <w:t>вому 1942 г. самолет ДВБ-102 был готов к назем</w:t>
      </w:r>
      <w:r w:rsidRPr="008127F8">
        <w:rPr>
          <w:color w:val="000000" w:themeColor="text1"/>
          <w:lang w:val="ru-RU"/>
        </w:rPr>
        <w:softHyphen/>
        <w:t>ным испытаниям. Еще до эвакуации, в Москве, успели изготовить часть крупных агрегатов двух самолетов ДВБ-102. Но еще не было кон</w:t>
      </w:r>
      <w:r w:rsidRPr="008127F8">
        <w:rPr>
          <w:color w:val="000000" w:themeColor="text1"/>
          <w:lang w:val="ru-RU"/>
        </w:rPr>
        <w:softHyphen/>
        <w:t>солей крыла. На новом месте пока их собрать возможности не было, и спешно по эскизам сделали деревянные консоли, что позволило завершить сборку само</w:t>
      </w:r>
      <w:r w:rsidRPr="008127F8">
        <w:rPr>
          <w:color w:val="000000" w:themeColor="text1"/>
          <w:lang w:val="ru-RU"/>
        </w:rPr>
        <w:softHyphen/>
        <w:t>лета. Большой удачей было то, что еще в Москве успели получить практически все покупные изделия производства других заводов - даже моторы, компрессоры наддува гермокабин и вооружение (17739).</w:t>
      </w:r>
    </w:p>
    <w:p w14:paraId="73CE8183" w14:textId="77777777" w:rsidR="00263031" w:rsidRPr="008127F8" w:rsidRDefault="00263031" w:rsidP="001E0A84">
      <w:pPr>
        <w:spacing w:after="0" w:line="240" w:lineRule="auto"/>
        <w:jc w:val="both"/>
        <w:rPr>
          <w:rFonts w:ascii="Times New Roman" w:hAnsi="Times New Roman"/>
          <w:color w:val="000000" w:themeColor="text1"/>
          <w:sz w:val="16"/>
          <w:szCs w:val="16"/>
        </w:rPr>
      </w:pPr>
    </w:p>
    <w:p w14:paraId="544B735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6D94375A" w14:textId="77777777" w:rsidR="00D4651C" w:rsidRPr="008127F8" w:rsidRDefault="00D4651C" w:rsidP="001E0A84">
      <w:pPr>
        <w:pStyle w:val="Iauiue"/>
        <w:jc w:val="both"/>
        <w:rPr>
          <w:iCs/>
          <w:color w:val="000000" w:themeColor="text1"/>
          <w:sz w:val="16"/>
          <w:szCs w:val="16"/>
        </w:rPr>
      </w:pPr>
    </w:p>
    <w:p w14:paraId="6A1C6F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К 1942 году на все КВ стали ставить пушки ЗИС-5 или Ф-34-модификация той же пушки, предназначенная для T-34/76. Как и для Т-34, для КВ была разработана новая литая башня. "В 1942 году продолжалась острая нехватка надежных тяжелых танков. Эта нехватка привела к катастрофе в Крыму и под Харьковом. КВ-1 полностью дискредитировали себя, вместе с КВ-1 была дискредитирована идея тяжелого танка вообще". Эти слова принадлежали одному из разработчиков танка КВ-1. Основные недостатки КВ-1 </w:t>
      </w:r>
      <w:proofErr w:type="gramStart"/>
      <w:r w:rsidRPr="008127F8">
        <w:rPr>
          <w:color w:val="000000" w:themeColor="text1"/>
          <w:sz w:val="16"/>
          <w:szCs w:val="16"/>
        </w:rPr>
        <w:t>- это</w:t>
      </w:r>
      <w:proofErr w:type="gramEnd"/>
      <w:r w:rsidRPr="008127F8">
        <w:rPr>
          <w:color w:val="000000" w:themeColor="text1"/>
          <w:sz w:val="16"/>
          <w:szCs w:val="16"/>
        </w:rPr>
        <w:t xml:space="preserve"> слабая техническая надежность агрегатов, плохое размещение экипажа, плохие приборы наблюдения. Однако самая большая проблема - плохо подготовленные экипажи. Конструкторы попытались создать некий гибрид Т-34 и КВ. Этот танк был назван КВ-13, но в серию не пошел, хотя многие оригинальные идеи, предложенные для этого танка, были потом применены в конструкции танков серии "ИС" (3862).</w:t>
      </w:r>
    </w:p>
    <w:p w14:paraId="5FF73279" w14:textId="77777777" w:rsidR="00D4651C" w:rsidRPr="008127F8" w:rsidRDefault="00D4651C" w:rsidP="001E0A84">
      <w:pPr>
        <w:pStyle w:val="Iauiue"/>
        <w:jc w:val="both"/>
        <w:rPr>
          <w:color w:val="000000" w:themeColor="text1"/>
          <w:sz w:val="16"/>
          <w:szCs w:val="16"/>
        </w:rPr>
      </w:pPr>
    </w:p>
    <w:p w14:paraId="2958281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3607F0C6" w14:textId="77777777" w:rsidR="00D4651C" w:rsidRPr="008127F8" w:rsidRDefault="00D4651C" w:rsidP="001E0A84">
      <w:pPr>
        <w:pStyle w:val="Iauiue"/>
        <w:jc w:val="both"/>
        <w:rPr>
          <w:iCs/>
          <w:color w:val="000000" w:themeColor="text1"/>
          <w:sz w:val="16"/>
          <w:szCs w:val="16"/>
        </w:rPr>
      </w:pPr>
    </w:p>
    <w:p w14:paraId="69ACA8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 январю 1942 КБ А.Н.Т. закончила перепроектирование ВМГ 103 под М-82 и объем был 1500 чертежей (1835,19).</w:t>
      </w:r>
    </w:p>
    <w:p w14:paraId="1FCF0EDF" w14:textId="77777777" w:rsidR="00D4651C" w:rsidRPr="008127F8" w:rsidRDefault="00D4651C" w:rsidP="001E0A84">
      <w:pPr>
        <w:pStyle w:val="Iauiue"/>
        <w:jc w:val="both"/>
        <w:rPr>
          <w:color w:val="000000" w:themeColor="text1"/>
          <w:sz w:val="16"/>
          <w:szCs w:val="16"/>
        </w:rPr>
      </w:pPr>
    </w:p>
    <w:p w14:paraId="657A52A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20C2DCF7" w14:textId="77777777" w:rsidR="00D4651C" w:rsidRPr="008127F8" w:rsidRDefault="00D4651C" w:rsidP="001E0A84">
      <w:pPr>
        <w:pStyle w:val="Iauiue"/>
        <w:jc w:val="both"/>
        <w:rPr>
          <w:iCs/>
          <w:color w:val="000000" w:themeColor="text1"/>
          <w:sz w:val="16"/>
          <w:szCs w:val="16"/>
        </w:rPr>
      </w:pPr>
    </w:p>
    <w:p w14:paraId="0913CE22" w14:textId="77777777" w:rsidR="004D416D" w:rsidRPr="008A2E5A" w:rsidRDefault="004D416D" w:rsidP="004D41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январю 1942 г. челябинский завод № 200 НКТП закончил основные работы по размещению эвакуированного оборудования и смог приступить к выпуску бронекорпусов КВ. Так закончилась полуторагодовая эпопея по организации корпусного производства в Челябинске.</w:t>
      </w:r>
    </w:p>
    <w:p w14:paraId="57D7B5D5" w14:textId="77777777" w:rsidR="004D416D" w:rsidRPr="008A2E5A" w:rsidRDefault="004D416D" w:rsidP="004D41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завод так и не смог в течение 1942 г. выйти на стабильный уровень производства. Всю первую половину года предприятие в среднем выполняло программу не более чем на 83 % (подсчитано по данным таблицы 5.6 приложения). При этом нужно учитывать, что план, за исключением января, составлял не более 70-90 бронекорпусов в месяц, то есть был на достаточно низком уровне. УЗТМ в тот момент изготавливал в среднем около 240 корпусов КВ в месяц. Все попытки административного воздействия на руководство завода оказывались тщетными. Без дополнительной материальной и кадровой помощи извне предприятие не могло самостоятельно увеличить объемы производства (23536).</w:t>
      </w:r>
    </w:p>
    <w:p w14:paraId="09679129" w14:textId="77777777" w:rsidR="004D416D" w:rsidRPr="008A2E5A" w:rsidRDefault="004D416D" w:rsidP="004D416D">
      <w:pPr>
        <w:spacing w:after="0" w:line="240" w:lineRule="auto"/>
        <w:jc w:val="both"/>
        <w:rPr>
          <w:rFonts w:ascii="Times New Roman" w:hAnsi="Times New Roman"/>
          <w:color w:val="0070C0"/>
          <w:sz w:val="16"/>
          <w:szCs w:val="16"/>
        </w:rPr>
      </w:pPr>
    </w:p>
    <w:p w14:paraId="6EA3BDF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янва</w:t>
      </w:r>
      <w:r w:rsidRPr="008127F8">
        <w:rPr>
          <w:rFonts w:ascii="Times New Roman" w:hAnsi="Times New Roman"/>
          <w:color w:val="000000" w:themeColor="text1"/>
          <w:sz w:val="16"/>
          <w:szCs w:val="16"/>
        </w:rPr>
        <w:softHyphen/>
        <w:t>рю 1942 г. в чертежи деталей танка заводом № 183 было внесено разных конструктивных изменений, упрощающих их изготовление, по 770 наи</w:t>
      </w:r>
      <w:r w:rsidRPr="008127F8">
        <w:rPr>
          <w:rFonts w:ascii="Times New Roman" w:hAnsi="Times New Roman"/>
          <w:color w:val="000000" w:themeColor="text1"/>
          <w:sz w:val="16"/>
          <w:szCs w:val="16"/>
        </w:rPr>
        <w:softHyphen/>
        <w:t>менованиям. Кроме того, на танке было отменено (без замены другими деталями) 1265 наименований или 5641 деталь, сокращена на 20% но</w:t>
      </w:r>
      <w:r w:rsidRPr="008127F8">
        <w:rPr>
          <w:rFonts w:ascii="Times New Roman" w:hAnsi="Times New Roman"/>
          <w:color w:val="000000" w:themeColor="text1"/>
          <w:sz w:val="16"/>
          <w:szCs w:val="16"/>
        </w:rPr>
        <w:softHyphen/>
        <w:t>менклатура применявшихся на танке нормалей, отменено 206 наимено</w:t>
      </w:r>
      <w:r w:rsidRPr="008127F8">
        <w:rPr>
          <w:rFonts w:ascii="Times New Roman" w:hAnsi="Times New Roman"/>
          <w:color w:val="000000" w:themeColor="text1"/>
          <w:sz w:val="16"/>
          <w:szCs w:val="16"/>
        </w:rPr>
        <w:softHyphen/>
        <w:t>ваний покупных изделий. Трудоемкость по механической обработке бронедеталей корпуса танка была снижена с 260 до 80 нормо-часов (10703).</w:t>
      </w:r>
    </w:p>
    <w:p w14:paraId="1ABB2B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198A7D88"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К январю 1942 года был изготов</w:t>
      </w:r>
      <w:r w:rsidRPr="008127F8">
        <w:rPr>
          <w:i w:val="0"/>
          <w:color w:val="000000" w:themeColor="text1"/>
          <w:sz w:val="16"/>
          <w:szCs w:val="16"/>
        </w:rPr>
        <w:softHyphen/>
        <w:t>лен макетный образец танка, получившего заводской индекс ГАЗ-70. Помимо новой башни с 45-мм пушкой и расширенным погоном, танк получил удлиненный корпус, в качестве силовой установки использо</w:t>
      </w:r>
      <w:r w:rsidRPr="008127F8">
        <w:rPr>
          <w:i w:val="0"/>
          <w:color w:val="000000" w:themeColor="text1"/>
          <w:sz w:val="16"/>
          <w:szCs w:val="16"/>
        </w:rPr>
        <w:softHyphen/>
        <w:t>вались спаренные двигатели ГАЗ-202 (мотор получил индекс ГАЗ-203). Бронирование ГАЗ-70 увеличилось до 45 мм (центральный лобовой лист), при этом масса опытной машины составляла 7,5—8 тонн, что позволяло дополнительно усилить бронезащиту. Таким образом, вме</w:t>
      </w:r>
      <w:r w:rsidRPr="008127F8">
        <w:rPr>
          <w:i w:val="0"/>
          <w:color w:val="000000" w:themeColor="text1"/>
          <w:sz w:val="16"/>
          <w:szCs w:val="16"/>
        </w:rPr>
        <w:softHyphen/>
        <w:t>сто перевооружения серийного танка ГАЗ решился на разработку но</w:t>
      </w:r>
      <w:r w:rsidRPr="008127F8">
        <w:rPr>
          <w:i w:val="0"/>
          <w:color w:val="000000" w:themeColor="text1"/>
          <w:sz w:val="16"/>
          <w:szCs w:val="16"/>
        </w:rPr>
        <w:softHyphen/>
        <w:t>вого танка, причем проект установки 45-мм пушки в штатную башню оказался заброшен.</w:t>
      </w:r>
    </w:p>
    <w:p w14:paraId="70FE8BE4"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Не состоялось и внедрение башни Т-60 с 45-мм танковой пушкой по проекту завода № 92. Дело в том, что еще с августа 1941 года завод № 92 в инициативном порядке разрабатывал 37-мм танковую пушку. Пушка имела баллистику 37-мм зенитной автоматической пушки обр. 1939 года (61-К, она же ЗИК-37) и использовала те же боеприпасы. Новая танковая пушка состояла всего из 153 деталей (для сравнения 45-мм танковая пушка 20-К состояла из 436 деталей), вес системы со</w:t>
      </w:r>
      <w:r w:rsidRPr="008127F8">
        <w:rPr>
          <w:i w:val="0"/>
          <w:color w:val="000000" w:themeColor="text1"/>
          <w:sz w:val="16"/>
          <w:szCs w:val="16"/>
        </w:rPr>
        <w:softHyphen/>
        <w:t>ставлял 235 кг вместе с бронировкой (для 20-К этот показатель состав</w:t>
      </w:r>
      <w:r w:rsidRPr="008127F8">
        <w:rPr>
          <w:i w:val="0"/>
          <w:color w:val="000000" w:themeColor="text1"/>
          <w:sz w:val="16"/>
          <w:szCs w:val="16"/>
        </w:rPr>
        <w:softHyphen/>
        <w:t>лял 403,3 кг). В упомянутой докладной записке Арткома ГАУ по поводу данной пушки было сказано следующее:</w:t>
      </w:r>
    </w:p>
    <w:p w14:paraId="7049A09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как 45-мм пушка для Т-60 с существующей башней велика по сво</w:t>
      </w:r>
      <w:r w:rsidRPr="008127F8">
        <w:rPr>
          <w:rFonts w:ascii="Times New Roman" w:hAnsi="Times New Roman"/>
          <w:color w:val="000000" w:themeColor="text1"/>
          <w:sz w:val="16"/>
          <w:szCs w:val="16"/>
        </w:rPr>
        <w:softHyphen/>
        <w:t>им геометрическим размерам, в дальнейшем следует ориентироваться на новую 37-мм танковую пушку, спроектированную заводом № 92 (генерал- майор Грабин). Опытные образцы этой пушки будут готовы к 15.1.42 г. Следует просить завод № 92 ускорить изготовление опытных образцов 37-мм танковой пушки, установив ее на Т-60 к 1.2.42 г.»'</w:t>
      </w:r>
    </w:p>
    <w:p w14:paraId="53A296F2"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 xml:space="preserve">Несмотря на </w:t>
      </w:r>
      <w:proofErr w:type="gramStart"/>
      <w:r w:rsidRPr="008127F8">
        <w:rPr>
          <w:i w:val="0"/>
          <w:color w:val="000000" w:themeColor="text1"/>
          <w:sz w:val="16"/>
          <w:szCs w:val="16"/>
        </w:rPr>
        <w:t>то</w:t>
      </w:r>
      <w:proofErr w:type="gramEnd"/>
      <w:r w:rsidRPr="008127F8">
        <w:rPr>
          <w:i w:val="0"/>
          <w:color w:val="000000" w:themeColor="text1"/>
          <w:sz w:val="16"/>
          <w:szCs w:val="16"/>
        </w:rPr>
        <w:t xml:space="preserve"> что установку 45-мм пушки в башню Т-60 с заво</w:t>
      </w:r>
      <w:r w:rsidRPr="008127F8">
        <w:rPr>
          <w:i w:val="0"/>
          <w:color w:val="000000" w:themeColor="text1"/>
          <w:sz w:val="16"/>
          <w:szCs w:val="16"/>
        </w:rPr>
        <w:softHyphen/>
        <w:t>да № 92 не снимали, данная тема оказалась заморожена (17485).</w:t>
      </w:r>
    </w:p>
    <w:p w14:paraId="1F85B6E1"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p>
    <w:p w14:paraId="3159A513" w14:textId="77777777" w:rsidR="004D416D" w:rsidRPr="008127F8" w:rsidRDefault="004D416D" w:rsidP="004D416D">
      <w:pPr>
        <w:pStyle w:val="Iauiue"/>
        <w:jc w:val="both"/>
        <w:rPr>
          <w:iCs/>
          <w:color w:val="000000" w:themeColor="text1"/>
          <w:sz w:val="16"/>
          <w:szCs w:val="16"/>
        </w:rPr>
      </w:pPr>
      <w:r w:rsidRPr="008127F8">
        <w:rPr>
          <w:i/>
          <w:iCs/>
          <w:color w:val="000000" w:themeColor="text1"/>
          <w:sz w:val="16"/>
          <w:szCs w:val="16"/>
        </w:rPr>
        <w:t>Авиапромышленность:</w:t>
      </w:r>
    </w:p>
    <w:p w14:paraId="571E8F23" w14:textId="77777777" w:rsidR="004D416D" w:rsidRPr="008127F8" w:rsidRDefault="004D416D" w:rsidP="004D416D">
      <w:pPr>
        <w:pStyle w:val="Iauiue"/>
        <w:jc w:val="both"/>
        <w:rPr>
          <w:iCs/>
          <w:color w:val="000000" w:themeColor="text1"/>
          <w:sz w:val="16"/>
          <w:szCs w:val="16"/>
        </w:rPr>
      </w:pPr>
    </w:p>
    <w:p w14:paraId="4A660542" w14:textId="77777777" w:rsidR="004D416D" w:rsidRPr="008127F8" w:rsidRDefault="004D416D" w:rsidP="004D416D">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января 1942 года, несмотря на сложные усло</w:t>
      </w:r>
      <w:r w:rsidRPr="008127F8">
        <w:rPr>
          <w:rFonts w:ascii="Times New Roman" w:hAnsi="Times New Roman"/>
          <w:color w:val="000000" w:themeColor="text1"/>
          <w:sz w:val="16"/>
          <w:szCs w:val="16"/>
        </w:rPr>
        <w:softHyphen/>
        <w:t>вия эвакуации и организационную неразбериху, проект ДДБШ был до</w:t>
      </w:r>
      <w:r w:rsidRPr="008127F8">
        <w:rPr>
          <w:rFonts w:ascii="Times New Roman" w:hAnsi="Times New Roman"/>
          <w:color w:val="000000" w:themeColor="text1"/>
          <w:sz w:val="16"/>
          <w:szCs w:val="16"/>
        </w:rPr>
        <w:softHyphen/>
        <w:t>работан. В конструкцию самолета внесли некоторые изменения, зна</w:t>
      </w:r>
      <w:r w:rsidRPr="008127F8">
        <w:rPr>
          <w:rFonts w:ascii="Times New Roman" w:hAnsi="Times New Roman"/>
          <w:color w:val="000000" w:themeColor="text1"/>
          <w:sz w:val="16"/>
          <w:szCs w:val="16"/>
        </w:rPr>
        <w:softHyphen/>
        <w:t>чительно усилили вооружение са</w:t>
      </w:r>
      <w:r w:rsidRPr="008127F8">
        <w:rPr>
          <w:rFonts w:ascii="Times New Roman" w:hAnsi="Times New Roman"/>
          <w:color w:val="000000" w:themeColor="text1"/>
          <w:sz w:val="16"/>
          <w:szCs w:val="16"/>
        </w:rPr>
        <w:softHyphen/>
        <w:t>молета и его бронирование (11853).</w:t>
      </w:r>
    </w:p>
    <w:p w14:paraId="46E4A31F" w14:textId="77777777" w:rsidR="004D416D" w:rsidRPr="008127F8" w:rsidRDefault="004D416D" w:rsidP="004D416D">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98926" w14:textId="77777777" w:rsidR="0088204B" w:rsidRPr="008127F8" w:rsidRDefault="0088204B"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C6F7D3A" w14:textId="77777777" w:rsidR="0088204B" w:rsidRPr="008127F8" w:rsidRDefault="0088204B" w:rsidP="001E0A84">
      <w:pPr>
        <w:pStyle w:val="Iauiue"/>
        <w:jc w:val="both"/>
        <w:rPr>
          <w:iCs/>
          <w:color w:val="000000" w:themeColor="text1"/>
          <w:sz w:val="16"/>
          <w:szCs w:val="16"/>
        </w:rPr>
      </w:pPr>
    </w:p>
    <w:p w14:paraId="62ABCF8F" w14:textId="77777777" w:rsidR="0088204B" w:rsidRPr="008127F8" w:rsidRDefault="0088204B"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К началу января 1942 года, поскольку 5-й отдел Ижорского Завода, так тогда именовалось ОКБ-3 УЗТМ, было занято другими работами, облик истребителя танков стал формироваться. Ведущим инженером машины являлся Кострулин. Также в разработке проекта, получившего обозначение У-20, приняли участие инженеры-конструкторы А.Т. Гинзбург и М.Е. Безусов (последний позже был ведущим инженером по ряду проектов САУ завода №8). Булашев вел проект как начальник 5-го отдела Ижорского Завода, а общее руководство работами было за Петровым (20877). </w:t>
      </w:r>
    </w:p>
    <w:p w14:paraId="7446819B" w14:textId="77777777" w:rsidR="0088204B" w:rsidRPr="008127F8" w:rsidRDefault="0088204B" w:rsidP="001E0A84">
      <w:pPr>
        <w:pStyle w:val="article-renderblock"/>
        <w:shd w:val="clear" w:color="auto" w:fill="FFFFFF"/>
        <w:spacing w:before="0" w:beforeAutospacing="0" w:after="0" w:afterAutospacing="0"/>
        <w:jc w:val="both"/>
        <w:rPr>
          <w:color w:val="000000" w:themeColor="text1"/>
          <w:sz w:val="16"/>
          <w:szCs w:val="16"/>
        </w:rPr>
      </w:pPr>
    </w:p>
    <w:p w14:paraId="67C59DF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234A10D5" w14:textId="77777777" w:rsidR="00D4651C" w:rsidRPr="008127F8" w:rsidRDefault="00D4651C" w:rsidP="001E0A84">
      <w:pPr>
        <w:pStyle w:val="Iauiue"/>
        <w:jc w:val="both"/>
        <w:rPr>
          <w:iCs/>
          <w:color w:val="000000" w:themeColor="text1"/>
          <w:sz w:val="16"/>
          <w:szCs w:val="16"/>
        </w:rPr>
      </w:pPr>
    </w:p>
    <w:p w14:paraId="6B7477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г. начальник 10-го Управления ГУЗ ВВС КА генерал Бибиков обратился с письмом к заместителю нарко</w:t>
      </w:r>
      <w:r w:rsidRPr="008127F8">
        <w:rPr>
          <w:rFonts w:ascii="Times New Roman" w:hAnsi="Times New Roman"/>
          <w:color w:val="000000" w:themeColor="text1"/>
          <w:sz w:val="16"/>
          <w:szCs w:val="16"/>
        </w:rPr>
        <w:softHyphen/>
        <w:t>ма авиапромышленности Дементьеву с просьбой поручить «заводу № 1 в феврале — марте 1942 г. изготовить 20 Ил-2 с двойным управлением по чертежам завода № 18... Желатель</w:t>
      </w:r>
      <w:r w:rsidRPr="008127F8">
        <w:rPr>
          <w:rFonts w:ascii="Times New Roman" w:hAnsi="Times New Roman"/>
          <w:color w:val="000000" w:themeColor="text1"/>
          <w:sz w:val="16"/>
          <w:szCs w:val="16"/>
        </w:rPr>
        <w:softHyphen/>
        <w:t>на экономия дефицитных материалов, как то броня, броне</w:t>
      </w:r>
      <w:r w:rsidRPr="008127F8">
        <w:rPr>
          <w:rFonts w:ascii="Times New Roman" w:hAnsi="Times New Roman"/>
          <w:color w:val="000000" w:themeColor="text1"/>
          <w:sz w:val="16"/>
          <w:szCs w:val="16"/>
        </w:rPr>
        <w:softHyphen/>
        <w:t>стекло и т.д.».</w:t>
      </w:r>
    </w:p>
    <w:p w14:paraId="6E23A9D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сказать, задание построить учебно-тренировочную модификацию Ил-2 с АМ-38 было выдано С.В. Ильюшину еще 16 июля 1941 г. Однако неотложные работы, связанные с повышением летно-боевых качеств штурмовика и организаци</w:t>
      </w:r>
      <w:r w:rsidRPr="008127F8">
        <w:rPr>
          <w:rFonts w:ascii="Times New Roman" w:hAnsi="Times New Roman"/>
          <w:color w:val="000000" w:themeColor="text1"/>
          <w:sz w:val="16"/>
          <w:szCs w:val="16"/>
        </w:rPr>
        <w:softHyphen/>
        <w:t>ей его производства на новых площадях, не позволили ОКБ быстро выполнить эту работу.</w:t>
      </w:r>
    </w:p>
    <w:p w14:paraId="69377E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Учебно-тренировочный УИл-2 (или Ил-2У) с АМ-38 бьш оборудован двойным управлением. Кабина курсанта размеща</w:t>
      </w:r>
      <w:r w:rsidRPr="008127F8">
        <w:rPr>
          <w:rFonts w:ascii="Times New Roman" w:hAnsi="Times New Roman"/>
          <w:color w:val="000000" w:themeColor="text1"/>
          <w:sz w:val="16"/>
          <w:szCs w:val="16"/>
        </w:rPr>
        <w:softHyphen/>
        <w:t>лась впереди, а инструктора — сзади. Для изготовления носо</w:t>
      </w:r>
      <w:r w:rsidRPr="008127F8">
        <w:rPr>
          <w:rFonts w:ascii="Times New Roman" w:hAnsi="Times New Roman"/>
          <w:color w:val="000000" w:themeColor="text1"/>
          <w:sz w:val="16"/>
          <w:szCs w:val="16"/>
        </w:rPr>
        <w:softHyphen/>
        <w:t>вой части фюзеляжа самолета вместо брони использовалась обычная листовая нелегированная сталь. Вооружение самолета было сокращено и включало два пулемета ШКАС в крыле (1500 патронов), два ракетных орудия РО-82 и 200 кг бомб. В хвостовой части самолета устанавливалось оборудование для буксировки мишеней.</w:t>
      </w:r>
    </w:p>
    <w:p w14:paraId="110BA5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технике пилотирования учебный Ил-2 оказался проще своего прародителя и обладал лучшей продольной устойчиво</w:t>
      </w:r>
      <w:r w:rsidRPr="008127F8">
        <w:rPr>
          <w:rFonts w:ascii="Times New Roman" w:hAnsi="Times New Roman"/>
          <w:color w:val="000000" w:themeColor="text1"/>
          <w:sz w:val="16"/>
          <w:szCs w:val="16"/>
        </w:rPr>
        <w:softHyphen/>
        <w:t>стью. При нормальном полетном весе в «вывозном» варианте 4895 кг максимальная скорость полета на высоте 2300 м со</w:t>
      </w:r>
      <w:r w:rsidRPr="008127F8">
        <w:rPr>
          <w:rFonts w:ascii="Times New Roman" w:hAnsi="Times New Roman"/>
          <w:color w:val="000000" w:themeColor="text1"/>
          <w:sz w:val="16"/>
          <w:szCs w:val="16"/>
        </w:rPr>
        <w:softHyphen/>
        <w:t>ставляла 420 км/ч.</w:t>
      </w:r>
    </w:p>
    <w:p w14:paraId="06EA53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большую потребность, производство УИл-2 АМ-38 в 1942 г. ограничилось выпуском всего 34 экземпляров. Кроме этого, на заводе № 18 были построены 20 двухместных самолетов Ил-2 АМ-38 с двойным управлением, но без воору</w:t>
      </w:r>
      <w:r w:rsidRPr="008127F8">
        <w:rPr>
          <w:rFonts w:ascii="Times New Roman" w:hAnsi="Times New Roman"/>
          <w:color w:val="000000" w:themeColor="text1"/>
          <w:sz w:val="16"/>
          <w:szCs w:val="16"/>
        </w:rPr>
        <w:softHyphen/>
        <w:t>жения. К 20 мая эти самолеты были сданы военным «по бою» как учебные и направлены в части 1 -и запасной авиабригады для обучения летного состава маршевых авиаполков.</w:t>
      </w:r>
    </w:p>
    <w:p w14:paraId="66853DB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стоит сказать, что в запасных и учебно-тренировоч</w:t>
      </w:r>
      <w:r w:rsidRPr="008127F8">
        <w:rPr>
          <w:rFonts w:ascii="Times New Roman" w:hAnsi="Times New Roman"/>
          <w:color w:val="000000" w:themeColor="text1"/>
          <w:sz w:val="16"/>
          <w:szCs w:val="16"/>
        </w:rPr>
        <w:softHyphen/>
        <w:t>ных авиаполках в конструкцию УИл-2 вносились изменения, улучшающие эксплуатацию самолета в условиях интенсивного использования для полетов. В частности, при выполнении многочисленных взлетов и посадок в течение дня штатная сис</w:t>
      </w:r>
      <w:r w:rsidRPr="008127F8">
        <w:rPr>
          <w:rFonts w:ascii="Times New Roman" w:hAnsi="Times New Roman"/>
          <w:color w:val="000000" w:themeColor="text1"/>
          <w:sz w:val="16"/>
          <w:szCs w:val="16"/>
        </w:rPr>
        <w:softHyphen/>
        <w:t>тема охлаждения не справлялась (особенно летом) — вода ки</w:t>
      </w:r>
      <w:r w:rsidRPr="008127F8">
        <w:rPr>
          <w:rFonts w:ascii="Times New Roman" w:hAnsi="Times New Roman"/>
          <w:color w:val="000000" w:themeColor="text1"/>
          <w:sz w:val="16"/>
          <w:szCs w:val="16"/>
        </w:rPr>
        <w:softHyphen/>
        <w:t>пела, мотор длительное время работал в режиме предельных температур, вследствие чего быстро изнашивался и выходил из строя. Поэтому местные умельцы монтировали на самолет второй водорадиатор и с ним летали. Результаты были хоро</w:t>
      </w:r>
      <w:r w:rsidRPr="008127F8">
        <w:rPr>
          <w:rFonts w:ascii="Times New Roman" w:hAnsi="Times New Roman"/>
          <w:color w:val="000000" w:themeColor="text1"/>
          <w:sz w:val="16"/>
          <w:szCs w:val="16"/>
        </w:rPr>
        <w:softHyphen/>
        <w:t>шими. Тем не менее в серии эта доработка внедрена не была, несмотря на требования военных (11474,284).</w:t>
      </w:r>
    </w:p>
    <w:p w14:paraId="209D45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C501417" w14:textId="77777777" w:rsidR="00441E3A" w:rsidRPr="008127F8" w:rsidRDefault="00441E3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К 1 января 1942 г. для проведения совместных с заво</w:t>
      </w:r>
      <w:r w:rsidRPr="008127F8">
        <w:rPr>
          <w:rFonts w:ascii="Times New Roman" w:hAnsi="Times New Roman" w:cs="Times New Roman"/>
          <w:color w:val="000000" w:themeColor="text1"/>
          <w:sz w:val="16"/>
          <w:szCs w:val="16"/>
        </w:rPr>
        <w:softHyphen/>
        <w:t>дом №289 государственных испытаний второго опытного самолета Су-6 М-71 («82») в г. Молотов при</w:t>
      </w:r>
      <w:r w:rsidRPr="008127F8">
        <w:rPr>
          <w:rFonts w:ascii="Times New Roman" w:hAnsi="Times New Roman" w:cs="Times New Roman"/>
          <w:color w:val="000000" w:themeColor="text1"/>
          <w:sz w:val="16"/>
          <w:szCs w:val="16"/>
        </w:rPr>
        <w:softHyphen/>
        <w:t>была бригада НИИ ВВС.</w:t>
      </w:r>
    </w:p>
    <w:p w14:paraId="371F8734" w14:textId="77777777" w:rsidR="00441E3A" w:rsidRPr="008127F8" w:rsidRDefault="00441E3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Испытания проводили: ответствен</w:t>
      </w:r>
      <w:r w:rsidRPr="008127F8">
        <w:rPr>
          <w:rFonts w:ascii="Times New Roman" w:hAnsi="Times New Roman" w:cs="Times New Roman"/>
          <w:color w:val="000000" w:themeColor="text1"/>
          <w:sz w:val="16"/>
          <w:szCs w:val="16"/>
        </w:rPr>
        <w:softHyphen/>
        <w:t>ный исполнитель - начальник 5-го отде</w:t>
      </w:r>
      <w:r w:rsidRPr="008127F8">
        <w:rPr>
          <w:rFonts w:ascii="Times New Roman" w:hAnsi="Times New Roman" w:cs="Times New Roman"/>
          <w:color w:val="000000" w:themeColor="text1"/>
          <w:sz w:val="16"/>
          <w:szCs w:val="16"/>
        </w:rPr>
        <w:softHyphen/>
        <w:t>ления 3-го отдела НИИ ВВС военинженер 1-го ранга К.А. Калилец, ведущий ин</w:t>
      </w:r>
      <w:r w:rsidRPr="008127F8">
        <w:rPr>
          <w:rFonts w:ascii="Times New Roman" w:hAnsi="Times New Roman" w:cs="Times New Roman"/>
          <w:color w:val="000000" w:themeColor="text1"/>
          <w:sz w:val="16"/>
          <w:szCs w:val="16"/>
        </w:rPr>
        <w:softHyphen/>
        <w:t>женер по самолету - военинженер 2-го ранга А.В. Синельников, ведущий летчик - майор А.К.Долгов.</w:t>
      </w:r>
    </w:p>
    <w:p w14:paraId="4F92AF5B" w14:textId="77777777" w:rsidR="00441E3A" w:rsidRPr="008127F8" w:rsidRDefault="00441E3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Поскольку при внедрении в серию Су-6 должен иметь улучшенное брониро</w:t>
      </w:r>
      <w:r w:rsidRPr="008127F8">
        <w:rPr>
          <w:rFonts w:ascii="Times New Roman" w:hAnsi="Times New Roman" w:cs="Times New Roman"/>
          <w:color w:val="000000" w:themeColor="text1"/>
          <w:sz w:val="16"/>
          <w:szCs w:val="16"/>
        </w:rPr>
        <w:softHyphen/>
        <w:t>вание, колеса большего диаметра и уси</w:t>
      </w:r>
      <w:r w:rsidRPr="008127F8">
        <w:rPr>
          <w:rFonts w:ascii="Times New Roman" w:hAnsi="Times New Roman" w:cs="Times New Roman"/>
          <w:color w:val="000000" w:themeColor="text1"/>
          <w:sz w:val="16"/>
          <w:szCs w:val="16"/>
        </w:rPr>
        <w:softHyphen/>
        <w:t>ленное крыло, то самолет при всех поле</w:t>
      </w:r>
      <w:r w:rsidRPr="008127F8">
        <w:rPr>
          <w:rFonts w:ascii="Times New Roman" w:hAnsi="Times New Roman" w:cs="Times New Roman"/>
          <w:color w:val="000000" w:themeColor="text1"/>
          <w:sz w:val="16"/>
          <w:szCs w:val="16"/>
        </w:rPr>
        <w:softHyphen/>
        <w:t>тах догружался грузом в 126 кг до нор</w:t>
      </w:r>
      <w:r w:rsidRPr="008127F8">
        <w:rPr>
          <w:rFonts w:ascii="Times New Roman" w:hAnsi="Times New Roman" w:cs="Times New Roman"/>
          <w:color w:val="000000" w:themeColor="text1"/>
          <w:sz w:val="16"/>
          <w:szCs w:val="16"/>
        </w:rPr>
        <w:softHyphen/>
        <w:t>мального полетного веса 5250 кг (19844).</w:t>
      </w:r>
    </w:p>
    <w:p w14:paraId="495E0B40" w14:textId="77777777" w:rsidR="00441E3A" w:rsidRPr="008127F8" w:rsidRDefault="00441E3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D3D720A"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января 1942 г. Сообщение секретаря Горьковского обкома ВКП(б) М. И. Родионова И. В. Сталину о выпуске авиационным заводом № 21 самолетов за декабрь 1941 г.</w:t>
      </w:r>
    </w:p>
    <w:p w14:paraId="394CE38B"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декабрь заводом № 21 выпущено 207 самолетов. Кроме этого, 14 самолетов приняты военпредом, но не укомплектованы 37-мм пушкой из-за неполучения их с Ижевского завода. Вследствие путаницы в отчетах завода по сдаче готовых машин при проверке был установлен разрыв в количествах сообщенных и фактически сданных самолетов.</w:t>
      </w:r>
    </w:p>
    <w:p w14:paraId="55C2135A"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покрытия разрыва завод 29 и 30 декабря не показал выпуска самолетов. Фактически сдано военпреду: за 29 декабря — 10, за 30 декабря — 12 и за 31 декабря — 28 самолетов.</w:t>
      </w:r>
    </w:p>
    <w:p w14:paraId="116D44F5"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Бюро обкома ВКП(б) расследует факты неправильной информации, конкретные виновники будут наказаны.</w:t>
      </w:r>
    </w:p>
    <w:p w14:paraId="27FB15A4"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Горьковского обкома В КП (б) Родионов</w:t>
      </w:r>
    </w:p>
    <w:p w14:paraId="6679F59D"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Резолюции: 1. «Т[овари]щам Берия и Маленкову. Объяснение Родионова считаю глупостью или жульнической отпиской. Почему за 30 и 31 декабря завод № 21 не дал ни одного самолета — непонятно. Меня не удовлетворяет, что обком думает “расследовать” и “наказать”. Я думаю, что обком и его секретарь сами нуждаются в том, чтобы понести наказание. И. Сталин». </w:t>
      </w:r>
    </w:p>
    <w:p w14:paraId="6FD07B59"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«Т[овари]щам Берия и Маленкову. Нужно немедленно вызвать в Москву Родионова и выяснить дело в моем присутствии. И. Ст[алин]».</w:t>
      </w:r>
    </w:p>
    <w:p w14:paraId="2C18F414"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34. Л. 74. Копия (24099).</w:t>
      </w:r>
    </w:p>
    <w:p w14:paraId="545868B9" w14:textId="77777777" w:rsidR="00DC0FF7" w:rsidRPr="008A2E5A" w:rsidRDefault="00DC0FF7" w:rsidP="00DC0FF7">
      <w:pPr>
        <w:spacing w:after="0" w:line="240" w:lineRule="auto"/>
        <w:jc w:val="both"/>
        <w:rPr>
          <w:rFonts w:ascii="Times New Roman" w:hAnsi="Times New Roman"/>
          <w:color w:val="0070C0"/>
          <w:sz w:val="16"/>
          <w:szCs w:val="16"/>
        </w:rPr>
      </w:pPr>
    </w:p>
    <w:p w14:paraId="4C83567F"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 1 января 1942 г. техническая готовность самолета ИТП (М-1) оце</w:t>
      </w:r>
      <w:r w:rsidRPr="008127F8">
        <w:rPr>
          <w:color w:val="000000" w:themeColor="text1"/>
          <w:sz w:val="16"/>
          <w:szCs w:val="16"/>
        </w:rPr>
        <w:softHyphen/>
        <w:t>нивалась в 90%, а 2-го экземпляра ИТП (М-2) — в 70%.</w:t>
      </w:r>
    </w:p>
    <w:p w14:paraId="659A1928"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Основные работы на ИТП (М-1) находились в стадии завершения. В тире отстреляли все вооружение. Результаты стрельб оценили как удачные. Вскоре по требованию военных демонтировали пулеме</w:t>
      </w:r>
      <w:r w:rsidRPr="008127F8">
        <w:rPr>
          <w:color w:val="000000" w:themeColor="text1"/>
          <w:sz w:val="16"/>
          <w:szCs w:val="16"/>
        </w:rPr>
        <w:softHyphen/>
        <w:t>ты ШКАС и их установки. Основная причина — их низкая эффектив</w:t>
      </w:r>
      <w:r w:rsidRPr="008127F8">
        <w:rPr>
          <w:color w:val="000000" w:themeColor="text1"/>
          <w:sz w:val="16"/>
          <w:szCs w:val="16"/>
        </w:rPr>
        <w:softHyphen/>
        <w:t>ность в воздушном бою при дей</w:t>
      </w:r>
      <w:r w:rsidRPr="008127F8">
        <w:rPr>
          <w:color w:val="000000" w:themeColor="text1"/>
          <w:sz w:val="16"/>
          <w:szCs w:val="16"/>
        </w:rPr>
        <w:softHyphen/>
        <w:t>ствии по цельнометаллическим самолетам. Летчики, побывавшие в боях, называли пулеметы ШКАС не иначе как «гуманным оружием» или «принудительным ассортимен</w:t>
      </w:r>
      <w:r w:rsidRPr="008127F8">
        <w:rPr>
          <w:color w:val="000000" w:themeColor="text1"/>
          <w:sz w:val="16"/>
          <w:szCs w:val="16"/>
        </w:rPr>
        <w:softHyphen/>
        <w:t>том». Одновременно предусмотрели установку под крылом 8 ракетных орудий РО-82. При этом со</w:t>
      </w:r>
      <w:r w:rsidRPr="008127F8">
        <w:rPr>
          <w:color w:val="000000" w:themeColor="text1"/>
          <w:sz w:val="16"/>
          <w:szCs w:val="16"/>
        </w:rPr>
        <w:softHyphen/>
        <w:t>хранялась возможность подвески под крылом до 200 кг бомб на 4 держателях. Боекомплект к 37-мм пушке остался прежним — 50 снарядов, а боеза</w:t>
      </w:r>
      <w:r w:rsidRPr="008127F8">
        <w:rPr>
          <w:color w:val="000000" w:themeColor="text1"/>
          <w:sz w:val="16"/>
          <w:szCs w:val="16"/>
        </w:rPr>
        <w:softHyphen/>
        <w:t xml:space="preserve">пас к пушкам ШВАК сократили до 100 снарядов на ствол. Вес секундного залпа уменьшился до </w:t>
      </w:r>
      <w:r w:rsidRPr="008127F8">
        <w:rPr>
          <w:color w:val="000000" w:themeColor="text1"/>
          <w:sz w:val="16"/>
          <w:szCs w:val="16"/>
        </w:rPr>
        <w:lastRenderedPageBreak/>
        <w:t>5,04 кг, что было выше, чем у противотанковых истребите</w:t>
      </w:r>
      <w:r w:rsidRPr="008127F8">
        <w:rPr>
          <w:color w:val="000000" w:themeColor="text1"/>
          <w:sz w:val="16"/>
          <w:szCs w:val="16"/>
        </w:rPr>
        <w:softHyphen/>
        <w:t>лей Як-7-37 и ЛаГГ-3 с такой же пушкой. По размеру боекомплекта ИТП также имел перед ними преиму</w:t>
      </w:r>
      <w:r w:rsidRPr="008127F8">
        <w:rPr>
          <w:color w:val="000000" w:themeColor="text1"/>
          <w:sz w:val="16"/>
          <w:szCs w:val="16"/>
        </w:rPr>
        <w:softHyphen/>
        <w:t>щество.</w:t>
      </w:r>
    </w:p>
    <w:p w14:paraId="63C3F742"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Нормальный полетный вес после всех переде</w:t>
      </w:r>
      <w:r w:rsidRPr="008127F8">
        <w:rPr>
          <w:color w:val="000000" w:themeColor="text1"/>
          <w:sz w:val="16"/>
          <w:szCs w:val="16"/>
        </w:rPr>
        <w:softHyphen/>
        <w:t>лок равнялся 3570 кг. По расчетам, максимальная скорость ИТП (М-1) достигала 568 км/ч — у земли и 655 км/ч — на высоте 6300 м. Посадочная ско</w:t>
      </w:r>
      <w:r w:rsidRPr="008127F8">
        <w:rPr>
          <w:color w:val="000000" w:themeColor="text1"/>
          <w:sz w:val="16"/>
          <w:szCs w:val="16"/>
        </w:rPr>
        <w:softHyphen/>
        <w:t>рость не превышала 130 км/ч, время подъема на высоту 5000 м — 5,9 мин. Разбег — 350 м, пробег — 375 м. Скоростная дальность полета — 1000 км (17500).</w:t>
      </w:r>
    </w:p>
    <w:p w14:paraId="6FF1961C" w14:textId="77777777" w:rsidR="00BD62A4" w:rsidRPr="008127F8" w:rsidRDefault="00BD62A4" w:rsidP="001E0A84">
      <w:pPr>
        <w:pStyle w:val="12a"/>
        <w:shd w:val="clear" w:color="auto" w:fill="auto"/>
        <w:spacing w:after="0" w:line="240" w:lineRule="auto"/>
        <w:jc w:val="both"/>
        <w:rPr>
          <w:color w:val="000000" w:themeColor="text1"/>
          <w:sz w:val="16"/>
          <w:szCs w:val="16"/>
        </w:rPr>
      </w:pPr>
    </w:p>
    <w:p w14:paraId="2218A90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1 по 24 января 1942 удовлетворительно прошли войсковые испытания унифицированных лыж завода 164, которые были предназначены для Як-1, Як-7, ЛаГГ-3 и МиГ-3 (1684,71).</w:t>
      </w:r>
    </w:p>
    <w:p w14:paraId="2719714C" w14:textId="77777777" w:rsidR="00D4651C" w:rsidRPr="008127F8" w:rsidRDefault="00D4651C" w:rsidP="001E0A84">
      <w:pPr>
        <w:pStyle w:val="Iauiue"/>
        <w:jc w:val="both"/>
        <w:rPr>
          <w:color w:val="000000" w:themeColor="text1"/>
          <w:sz w:val="16"/>
          <w:szCs w:val="16"/>
        </w:rPr>
      </w:pPr>
    </w:p>
    <w:p w14:paraId="161C3ED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ян</w:t>
      </w:r>
      <w:r w:rsidRPr="008127F8">
        <w:rPr>
          <w:rFonts w:ascii="Times New Roman" w:hAnsi="Times New Roman"/>
          <w:color w:val="000000" w:themeColor="text1"/>
          <w:sz w:val="16"/>
          <w:szCs w:val="16"/>
        </w:rPr>
        <w:softHyphen/>
        <w:t>варя 1942 г. среди 1470 самолетов, числящихся в этом роде войск, насчитывалось 264 И-153. К лету 1944 г. бо</w:t>
      </w:r>
      <w:r w:rsidRPr="008127F8">
        <w:rPr>
          <w:rFonts w:ascii="Times New Roman" w:hAnsi="Times New Roman"/>
          <w:color w:val="000000" w:themeColor="text1"/>
          <w:sz w:val="16"/>
          <w:szCs w:val="16"/>
        </w:rPr>
        <w:softHyphen/>
        <w:t>евую службу несли последние 17 «чаек», списанные в конце того же года (10667).</w:t>
      </w:r>
    </w:p>
    <w:p w14:paraId="54A3637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B2CCB1E" w14:textId="77777777" w:rsidR="00F56758" w:rsidRPr="008127F8" w:rsidRDefault="00F56758" w:rsidP="001E0A84">
      <w:pPr>
        <w:pStyle w:val="a9"/>
        <w:jc w:val="both"/>
        <w:rPr>
          <w:rFonts w:ascii="Times New Roman" w:hAnsi="Times New Roman" w:cs="Times New Roman"/>
          <w:color w:val="000000" w:themeColor="text1"/>
        </w:rPr>
      </w:pPr>
      <w:r w:rsidRPr="008127F8">
        <w:rPr>
          <w:rFonts w:ascii="Times New Roman" w:hAnsi="Times New Roman" w:cs="Times New Roman"/>
          <w:color w:val="000000" w:themeColor="text1"/>
        </w:rPr>
        <w:t>На 1 января 1942 г в ведении ГУ ГВФ насчитывалось 28 Я-6. Некоторые из них вошли в состав особых авиагрупп и эскадрилий, приданных фронтам и флотам. Отдельные машины дожили до реорганизации их в полки ГВФ. Например, самолет Л1668 эксплуатировался в 6-й (санитарной) эскадрилье 70-го полка. А машина К182 летала в 3-й (транспортно-бомбардировочной) эскадрилье 80-го полка (19099).</w:t>
      </w:r>
    </w:p>
    <w:p w14:paraId="2078F86B" w14:textId="77777777" w:rsidR="00F56758" w:rsidRPr="008127F8" w:rsidRDefault="00F56758" w:rsidP="001E0A84">
      <w:pPr>
        <w:pStyle w:val="a9"/>
        <w:jc w:val="both"/>
        <w:rPr>
          <w:rFonts w:ascii="Times New Roman" w:hAnsi="Times New Roman" w:cs="Times New Roman"/>
          <w:color w:val="000000" w:themeColor="text1"/>
        </w:rPr>
      </w:pPr>
    </w:p>
    <w:p w14:paraId="5BDEF564" w14:textId="77777777" w:rsidR="00D4651C" w:rsidRPr="008127F8" w:rsidRDefault="00D4651C" w:rsidP="001E0A84">
      <w:pPr>
        <w:tabs>
          <w:tab w:val="left" w:pos="656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г. по приказам № 1с и № 13с от 6.01.1942 г. завод № 480 (Завод № 480 НКАП /г. Москва Ленинградское ш., 6/) со всем оборудованием и кадрами переведен на площадку бывшего завода № 294 НКАП, все сооружения и оборудование которого по приказу № 86с от 30.01.1942 г. переданы заводу № 480.</w:t>
      </w:r>
    </w:p>
    <w:p w14:paraId="1378D2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Площадка и сооружения бывшего завода № 161 переданы в систему НКМВ в распоряжение 1-го завода САМ.</w:t>
      </w:r>
    </w:p>
    <w:p w14:paraId="1D4265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1436с от 13.03.1942 г. и приказом НКАП № 207с от 16.03.1942 г. ОКБ-1 при заводе № 1 гл. конструктора Микояна с опытным цехом переведено из Куйбышева в Москву на территорию завода № 480, где образован новый завод № 155 НКАП.</w:t>
      </w:r>
    </w:p>
    <w:p w14:paraId="173E12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(11,1941-1942 г.)- А.И. Филиповых (11982) (11982).</w:t>
      </w:r>
    </w:p>
    <w:p w14:paraId="43627C1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43F292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Паспорт завода № 22 на 1942 год</w:t>
      </w:r>
    </w:p>
    <w:p w14:paraId="761A190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Составлен 15 марта 1942 года</w:t>
      </w:r>
    </w:p>
    <w:p w14:paraId="623FF2C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завода – Окулов</w:t>
      </w:r>
    </w:p>
    <w:p w14:paraId="4A52455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Казань 36, п/я 732</w:t>
      </w:r>
    </w:p>
    <w:p w14:paraId="5139F9A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октябре 1941 года завод № 22 был эвакуирован в Казань и разместился на территории бывш. завода № 124 (9477).</w:t>
      </w:r>
    </w:p>
    <w:p w14:paraId="382B9BF1" w14:textId="77777777" w:rsidR="00D4651C" w:rsidRPr="008127F8" w:rsidRDefault="00D4651C" w:rsidP="001E0A84">
      <w:pPr>
        <w:pStyle w:val="Iauiue"/>
        <w:jc w:val="both"/>
        <w:rPr>
          <w:color w:val="000000" w:themeColor="text1"/>
          <w:sz w:val="16"/>
          <w:szCs w:val="16"/>
        </w:rPr>
      </w:pPr>
    </w:p>
    <w:p w14:paraId="7C0A34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Паспорт завода № 23 на 1942 год</w:t>
      </w:r>
    </w:p>
    <w:p w14:paraId="2E867B2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Составлен 20 сентября 1942 года</w:t>
      </w:r>
    </w:p>
    <w:p w14:paraId="782FF5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Иосилович (9478).</w:t>
      </w:r>
    </w:p>
    <w:p w14:paraId="62F61A8E" w14:textId="77777777" w:rsidR="00D4651C" w:rsidRPr="008127F8" w:rsidRDefault="00D4651C" w:rsidP="001E0A84">
      <w:pPr>
        <w:pStyle w:val="Iauiue"/>
        <w:jc w:val="both"/>
        <w:rPr>
          <w:color w:val="000000" w:themeColor="text1"/>
          <w:sz w:val="16"/>
          <w:szCs w:val="16"/>
        </w:rPr>
      </w:pPr>
    </w:p>
    <w:p w14:paraId="1665AC4E" w14:textId="77777777" w:rsidR="00B5001C" w:rsidRPr="008127F8" w:rsidRDefault="00B500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1-е января 1942 года завод №125 вышел с заделом незавершенного производства в количестве 67,2 условных машин, и таким образом валовая продукция составила 211 условных единиц (Годовой отчет по основной деятельности дважды орденоносного завода № 39 за 1941 год. Центральный архив ИАЗ. Дело № 73, ч. 2, лист 5) (15223).</w:t>
      </w:r>
    </w:p>
    <w:p w14:paraId="558FE355" w14:textId="77777777" w:rsidR="00B5001C" w:rsidRPr="008127F8" w:rsidRDefault="00B5001C" w:rsidP="001E0A84">
      <w:pPr>
        <w:shd w:val="clear" w:color="auto" w:fill="FFFFFF"/>
        <w:spacing w:after="0" w:line="240" w:lineRule="auto"/>
        <w:jc w:val="both"/>
        <w:rPr>
          <w:rFonts w:ascii="Times New Roman" w:hAnsi="Times New Roman"/>
          <w:color w:val="000000" w:themeColor="text1"/>
          <w:sz w:val="16"/>
          <w:szCs w:val="16"/>
        </w:rPr>
      </w:pPr>
    </w:p>
    <w:p w14:paraId="0C111A29"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1-му января 1942 года на заводе № 39 насчитывалось 16879 человек, в том числе промышленно-производственная группа 15178. Из них всего рабочих 9631, производственных - 6083. При этом основной прирост составили высококвалифицированные кадры москвичей.</w:t>
      </w:r>
    </w:p>
    <w:p w14:paraId="0725480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Изменения на заводе в связи с объединением. Количество действующего оборудования составило 1926 единиц, в том числе металлорежущего (</w:t>
      </w:r>
      <w:proofErr w:type="gramStart"/>
      <w:r w:rsidRPr="008127F8">
        <w:rPr>
          <w:rFonts w:ascii="Times New Roman" w:hAnsi="Times New Roman"/>
          <w:color w:val="000000" w:themeColor="text1"/>
          <w:sz w:val="16"/>
          <w:szCs w:val="16"/>
        </w:rPr>
        <w:t>кузнечно-прессового</w:t>
      </w:r>
      <w:proofErr w:type="gramEnd"/>
      <w:r w:rsidRPr="008127F8">
        <w:rPr>
          <w:rFonts w:ascii="Times New Roman" w:hAnsi="Times New Roman"/>
          <w:color w:val="000000" w:themeColor="text1"/>
          <w:sz w:val="16"/>
          <w:szCs w:val="16"/>
        </w:rPr>
        <w:t>, металлодавильного, прокатного и деревообрабатывающего) – 1384. Продолжающее прибывать оборудование завода им. Менжинского к началу января на учет поставлено не было. Общие производственные площади завода увеличились до 111749 кв. метров. Изменение площади промышленных зданий и сооружений произошло за счет переданного завода № 104, а также введением в эксплуатацию вновь выстроенных зданий – объекта 59, корпуса цеха 27, расширенного главного материального склада и др. (Паспорт завода № 39 за 1942 год. Центральный архив ИАЗ. Дело № 25.).</w:t>
      </w:r>
    </w:p>
    <w:p w14:paraId="3C49D431" w14:textId="77777777" w:rsidR="00B5001C" w:rsidRPr="008127F8" w:rsidRDefault="00B500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задачи, поставленные перед коллективом объединенного завода в 1942 году, заключались в следующем (Отчет о работе завода № 39 за 1942 год. Центральный архив ИАЗ. Дело № 240, листы 1-3.):</w:t>
      </w:r>
    </w:p>
    <w:p w14:paraId="775E41DA"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1. Максимально в короткий срок внедрить и освоить мощности эвакуированного завода им. Менжинского.</w:t>
      </w:r>
    </w:p>
    <w:p w14:paraId="7611312B"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2. Выполнить программу, утвержденную наркоматом по выпуску боевых самолетов для Красной Армии.</w:t>
      </w:r>
    </w:p>
    <w:p w14:paraId="0C982AE5" w14:textId="77777777" w:rsidR="00B5001C" w:rsidRPr="008127F8" w:rsidRDefault="00B5001C" w:rsidP="001E0A84">
      <w:pPr>
        <w:pStyle w:val="rteindent11"/>
        <w:shd w:val="clear" w:color="auto" w:fill="FFFFFF"/>
        <w:spacing w:before="0" w:beforeAutospacing="0" w:after="0"/>
        <w:ind w:left="0" w:firstLine="0"/>
        <w:rPr>
          <w:rStyle w:val="af1"/>
          <w:i w:val="0"/>
          <w:color w:val="000000" w:themeColor="text1"/>
          <w:sz w:val="16"/>
          <w:szCs w:val="16"/>
        </w:rPr>
      </w:pPr>
      <w:r w:rsidRPr="008127F8">
        <w:rPr>
          <w:rStyle w:val="af1"/>
          <w:i w:val="0"/>
          <w:color w:val="000000" w:themeColor="text1"/>
          <w:sz w:val="16"/>
          <w:szCs w:val="16"/>
        </w:rPr>
        <w:t>3. Улучшить качество и боеспособность выпускаемых самолетов</w:t>
      </w:r>
    </w:p>
    <w:p w14:paraId="44B258CD"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4. Освоить выпуск самолетов Ил-4 в четвертом квартале».</w:t>
      </w:r>
    </w:p>
    <w:p w14:paraId="09058080"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5. Освоить выпуск корпусов 82 мм мин.</w:t>
      </w:r>
    </w:p>
    <w:p w14:paraId="331F61AD"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6. Организовать работу по переводу атотранспорта завода с жидкого топлива на твердое.</w:t>
      </w:r>
    </w:p>
    <w:p w14:paraId="55F30602" w14:textId="77777777" w:rsidR="00B5001C" w:rsidRPr="008127F8" w:rsidRDefault="00B500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катастрофическим отсутствием на заводе свободных площадей для размещения оборудования, немедленно начинается расширение существующих и строительство новых площадей, а на завод прибывает бригада Гипроавиапрома для разработки нового Генплана на месте (Паспорт завода № 39 за 1942 год. Центральный архив ИАЗ. Дело № 25.). Быстрыми темпами заканчивается строительство корпуса ремесленного училища и переоборудование его под механический цех арматуры, вводится в эксплуатацию цех цветного литья и кузница. Общий прирост площадей составил 6996 кв.м. Увеличены также площади бако-протекторного цеха и корпуса цеха № 75 для установки уникального пресса «Бердсборо». Одновременно с форсированием строительства и вводом в эксплуатацию новых производственных площадей продолжался монтаж прибывшего из Москвы оборудования. Лучшие силы монтажников службы главного механика А.А. Мынко были брошены на его установку. Под руководством начальника отдела № 9 И.И. Степаненко, монтажные работы велись круглосуточно. Всего из Москвы прибыло 1357 единиц оборудования (без учета перенаправленного на Улан-Удэнский завод № 99), из них установлено 1278: токарных – 203, фрезерных - 130, револьверных и автоматов -167, строгальных - 77, шлифовальных - 32, сверлильные - 194, прессов и молотов – 83, прочих - 392. Большая часть станков была установлена и запущена в первом квартале, окончательные работы завершились во втором квартале 1942 года. Оставшееся несмонтированное оборудование было некомплектным и требовало изготовления или приобретения большого количества запасных частей. Следует отметить, что в Иркутск не прибыло 5 платформ и 2 крытых вагона с оборудованием и материальными ценностями. Штаб эвакуации недосчитался 192-х станков: 47-ми токарных, 23-х револьверных, 34-х сверлильных, 49-ти фрезерных, 39-ти шлифовальных. Кроме того, не поступили части пресса «Толедо», пусковое устройство к молоту «Чемберсбург», другие предметы и части оборудования в количестве 440 единиц. Розыск вагонов по разным причинам окончился безрезультатно. По окончании строительных и монтажных работ производство завода существенно преобразилось. Были организованы новые цехи – механический, инструментальный, изготовления арматуры, производства деревянных деталей и оснастки. Преобразился и филиал завода «объект № 4», превратившись, по сути, в заготовительно-штамповочный комплекс. Здесь, с учетом прибывшего московского оборудования, также была произведена перепланировка существующих и организация новых цехов. Особенно много хлопот доставила установка демонтированного в Москве самого мощного и высокопроизводительного в то время гидравлического пресса «Бердсборо». Часть деталей от него прибыла с опозданием, некоторые части вообще не поступили, и завод изготавливал их своими силами. К установке и монтажу гидропресса были привлечены лучшие специалисты завода. Механиком этого уникального сооружения был москвич В.Н. Ушаков: под его непосредственным руководством и осуществлялся монтаж пресса. В эксплуатацию пресс был запущен в июле 1942 года, после чего приступили к формованию шпангоутов, диафрагм и других деталей из листового материала. После запуска «Бердсборо» случилось неожиданное: энергоемкие агрегаты гидропресса при работе потребляли такое количество электроэнергии, что ее не стало хватать механическим цехам, работающим в круглосуточном режиме. Выход из положения был найден путем организации работы на гидропрессе в обеденные перерывы и после полуночи, когда нагрузка в цехах снижалась. За это ограниченное время группа мастера А.А. Мишечкина производила формование необходимого количества деталей в соответствии с суточным заданием. Технические возможности объединенного предприятия резко выросли благодаря усилению кадрового потенциала, расширению станочного парка и внедрению новых технологий. В заготовительном производстве многие технологические процессы стали выполнять с применением падающих молотов, выколоточных станков, ножниц для раскроя материала. Были внедрены новые технологические процессы: сернокислое анодирование дюралюминиевых деталей, механообработка высокопрочных сталей до термообработки, цветное анодирование трубопроводов с помощью органических красителей. Освоено литье сплавов Ал-7 и Ал-9. Особенно ценным оказался обмен опытом работы обоих коллективов. Иркутянам было чему поучиться у прибывших московских специалистов, обладавших уникальными профессиональными знаниями и умением. Это была великолепная школа, позволившая поднять планку мастерства иркутян на качественно новый технологический уровень. Многотысячным коллективом в 1942 году было продолжено строительство пикирующих бомбардировщиков Пе-2 и истребителей Пе-3бис с общим плановым количеством - 564 машины. Напряженный производственный план по выпуску столь ожидаемых фронтом самолетов вызвал необходимость </w:t>
      </w:r>
      <w:r w:rsidRPr="008127F8">
        <w:rPr>
          <w:rFonts w:ascii="Times New Roman" w:hAnsi="Times New Roman"/>
          <w:color w:val="000000" w:themeColor="text1"/>
          <w:sz w:val="16"/>
          <w:szCs w:val="16"/>
        </w:rPr>
        <w:lastRenderedPageBreak/>
        <w:t>введения казарменного положения для основных цехов завода: агрегатных №№ 40, 41, 42, 43, слесарно-сварочного № 60, а также сборочных цехов №№ 22, 7, шасси-рамного № 17 и слесарно-сборочного № 37 (15223).</w:t>
      </w:r>
    </w:p>
    <w:p w14:paraId="673A6499" w14:textId="77777777" w:rsidR="00B5001C" w:rsidRPr="008127F8" w:rsidRDefault="00B5001C" w:rsidP="001E0A84">
      <w:pPr>
        <w:shd w:val="clear" w:color="auto" w:fill="FFFFFF"/>
        <w:spacing w:after="0" w:line="240" w:lineRule="auto"/>
        <w:jc w:val="both"/>
        <w:rPr>
          <w:rFonts w:ascii="Times New Roman" w:hAnsi="Times New Roman"/>
          <w:color w:val="000000" w:themeColor="text1"/>
          <w:sz w:val="16"/>
          <w:szCs w:val="16"/>
        </w:rPr>
      </w:pPr>
    </w:p>
    <w:p w14:paraId="04B5423F"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ранее 1 января 1942 г. Из ходатайства Куйбышевского обкома ВКП(б) в Политбюро ЦК ВКП(б) о награждении правительственными наградами работников Управления особого строительства НКВД СССР за создание в районе города Куйбышева мощной авиационной базы</w:t>
      </w:r>
    </w:p>
    <w:p w14:paraId="38BB0FAD"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ТОВАРИЩАМ БЕРИЯ, МАЛЕНКОВУ.</w:t>
      </w:r>
    </w:p>
    <w:p w14:paraId="7B5540CD"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Куйбышевский областной комитет ВКП(б) докладывает, что во исполнение решения Политбюро ЦК ВКП(б) о создании в районе Куйбышева мощной авиационной базы героическим трудом коллектива Управления особого строительства НКВД СССР завершены все первоочередные строительно-монтажные работы...</w:t>
      </w:r>
    </w:p>
    <w:p w14:paraId="10A3FA54"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Люди коллектива Управления особого строительства НКВД проявили высокую степень сознания своей ответственности за судьбы Родины в грозное время войны и неустанно боролись за освоение в предельно сжатые сроки грандиозной программы капитальных работ, программы, порученной Наркомвнуделу великим СТАЛИНЫМ.</w:t>
      </w:r>
    </w:p>
    <w:p w14:paraId="7DC713BF"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площадях строительства в районе города Куйбышева, где развернуло свои работы Управление особого строительства НКВД СССР, за один 1941 год построены:</w:t>
      </w:r>
    </w:p>
    <w:p w14:paraId="594D7F2B"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Самолетостроительный завод № 122, где размещен эвакуированный из Москвы завод № 1.</w:t>
      </w:r>
    </w:p>
    <w:p w14:paraId="0D148D56"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Самолетостроительный завод № 295, где размещен эвакуированный из Воронежа завод № 18.</w:t>
      </w:r>
    </w:p>
    <w:p w14:paraId="687EC141"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Моторостроительный завод № 337, где размещен эвакуированный из Москвы завод № 24.</w:t>
      </w:r>
    </w:p>
    <w:p w14:paraId="61C8D079"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Аэродром, наиболее мощный из существующих.</w:t>
      </w:r>
    </w:p>
    <w:p w14:paraId="6FF2A771"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Завод № 454, производящий пулеметы для самолетов.</w:t>
      </w:r>
    </w:p>
    <w:p w14:paraId="4B0E930F"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Завод № 145, производящий минометы.</w:t>
      </w:r>
    </w:p>
    <w:p w14:paraId="092C8DC7"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Завод № 305, изготавливающий нормали.</w:t>
      </w:r>
    </w:p>
    <w:p w14:paraId="0D47D148"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Завод № 35, производящий пропеллерные винты.</w:t>
      </w:r>
    </w:p>
    <w:p w14:paraId="17345D4C"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Завод № 1 Оргавиапрома, выпускающий пневматическое оснащение самолетов.</w:t>
      </w:r>
    </w:p>
    <w:p w14:paraId="4EEBF18B"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Первая очередь Безымянской ТЭЦ, мощностью 50 тыс. кВт.</w:t>
      </w:r>
    </w:p>
    <w:p w14:paraId="4C9E3F88"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Достроена и расширена Куйбышевская ТЭЦ, что позволило ввести дополнительную мощность в 12 тыс. кВт.</w:t>
      </w:r>
    </w:p>
    <w:p w14:paraId="6DF81CAB"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12. Рабочий поселок на 160 000 </w:t>
      </w:r>
      <w:proofErr w:type="gramStart"/>
      <w:r w:rsidRPr="008A2E5A">
        <w:rPr>
          <w:rFonts w:ascii="Times New Roman" w:hAnsi="Times New Roman"/>
          <w:color w:val="0070C0"/>
          <w:sz w:val="16"/>
          <w:szCs w:val="16"/>
        </w:rPr>
        <w:t>кв.м</w:t>
      </w:r>
      <w:proofErr w:type="gramEnd"/>
      <w:r w:rsidRPr="008A2E5A">
        <w:rPr>
          <w:rFonts w:ascii="Times New Roman" w:hAnsi="Times New Roman"/>
          <w:color w:val="0070C0"/>
          <w:sz w:val="16"/>
          <w:szCs w:val="16"/>
        </w:rPr>
        <w:t>, жилой площади.</w:t>
      </w:r>
    </w:p>
    <w:p w14:paraId="6270CB46"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Построен и оборудован Механический завод по изготовлению бронекорпусов для самолетов «Ил» и бронекорпусов для танков.</w:t>
      </w:r>
    </w:p>
    <w:p w14:paraId="1C331FB6"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Выстроен и нормально работает объект № 30-31 - радиостанция ТАСС.</w:t>
      </w:r>
    </w:p>
    <w:p w14:paraId="70545671"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Закончен строительством и готов для эксплуатации объект «А» - командный пункт специального назначения.</w:t>
      </w:r>
    </w:p>
    <w:p w14:paraId="6E851845"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Закончена строительством 1-я очередь Кислородного завода, с суточной мощностью в 100 куб.м.</w:t>
      </w:r>
    </w:p>
    <w:p w14:paraId="03010C93"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Строится специальный цех Наркомата вооружения на территории паровозоремонтного завода им. Куйбышева.</w:t>
      </w:r>
    </w:p>
    <w:p w14:paraId="5A4C2078"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Развернуто строительство объекта № 15 - мощной подземной радиостанции.</w:t>
      </w:r>
    </w:p>
    <w:p w14:paraId="358676DC"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Областной Комитет ВКП(б) с особым удовлетворением отмечает работу коллектива Управления особого строительства НКВД, ...ходатайствует перед Вами о присвоении коллективу... правительственной </w:t>
      </w:r>
    </w:p>
    <w:p w14:paraId="028AA98C"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награды и о награждении орденами и медалями Союза лучших людей этого коллектива.</w:t>
      </w:r>
    </w:p>
    <w:p w14:paraId="1C970840"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Областной комитет ВКП(б) особо отмечает исключительную энергию, организационный размах и подлинно большевистскую преданность делу начальника строительства ЛЕПИЛОВА А.П., достойного быть отмеченным высшей в нашей стране наградой, - званием Героя Социалистического Труда.</w:t>
      </w:r>
    </w:p>
    <w:p w14:paraId="69242F0E"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Куйбышевского обкома ВКП(б)</w:t>
      </w:r>
      <w:r w:rsidRPr="008A2E5A">
        <w:rPr>
          <w:rFonts w:ascii="Times New Roman" w:hAnsi="Times New Roman"/>
          <w:color w:val="0070C0"/>
          <w:sz w:val="16"/>
          <w:szCs w:val="16"/>
        </w:rPr>
        <w:tab/>
        <w:t>Канунников</w:t>
      </w:r>
    </w:p>
    <w:p w14:paraId="2C2E1895"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P-2064. On. 2. </w:t>
      </w:r>
      <w:r w:rsidRPr="008A2E5A">
        <w:rPr>
          <w:rFonts w:ascii="Times New Roman" w:hAnsi="Times New Roman"/>
          <w:color w:val="0070C0"/>
          <w:sz w:val="16"/>
          <w:szCs w:val="16"/>
        </w:rPr>
        <w:t>Д</w:t>
      </w:r>
      <w:r w:rsidRPr="0016279C">
        <w:rPr>
          <w:rFonts w:ascii="Times New Roman" w:hAnsi="Times New Roman"/>
          <w:color w:val="0070C0"/>
          <w:sz w:val="16"/>
          <w:szCs w:val="16"/>
          <w:lang w:val="en-US"/>
        </w:rPr>
        <w:t xml:space="preserve">. 56. </w:t>
      </w:r>
      <w:r w:rsidRPr="008A2E5A">
        <w:rPr>
          <w:rFonts w:ascii="Times New Roman" w:hAnsi="Times New Roman"/>
          <w:color w:val="0070C0"/>
          <w:sz w:val="16"/>
          <w:szCs w:val="16"/>
        </w:rPr>
        <w:t>Л</w:t>
      </w:r>
      <w:r w:rsidRPr="0016279C">
        <w:rPr>
          <w:rFonts w:ascii="Times New Roman" w:hAnsi="Times New Roman"/>
          <w:color w:val="0070C0"/>
          <w:sz w:val="16"/>
          <w:szCs w:val="16"/>
          <w:lang w:val="en-US"/>
        </w:rPr>
        <w:t xml:space="preserve">. 2-4. </w:t>
      </w:r>
      <w:r w:rsidRPr="008A2E5A">
        <w:rPr>
          <w:rFonts w:ascii="Times New Roman" w:hAnsi="Times New Roman"/>
          <w:color w:val="0070C0"/>
          <w:sz w:val="16"/>
          <w:szCs w:val="16"/>
        </w:rPr>
        <w:t>Копия (23954).</w:t>
      </w:r>
    </w:p>
    <w:p w14:paraId="7F71E690" w14:textId="77777777" w:rsidR="00DC0FF7" w:rsidRPr="008A2E5A" w:rsidRDefault="00DC0FF7" w:rsidP="00DC0FF7">
      <w:pPr>
        <w:spacing w:after="0" w:line="240" w:lineRule="auto"/>
        <w:jc w:val="both"/>
        <w:rPr>
          <w:rFonts w:ascii="Times New Roman" w:hAnsi="Times New Roman"/>
          <w:color w:val="0070C0"/>
          <w:sz w:val="16"/>
          <w:szCs w:val="16"/>
        </w:rPr>
      </w:pPr>
    </w:p>
    <w:p w14:paraId="463234A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Паспорт завода № 24 им. Фрунзе на 1942 год</w:t>
      </w:r>
    </w:p>
    <w:p w14:paraId="0F1B84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Жезлов</w:t>
      </w:r>
    </w:p>
    <w:p w14:paraId="2DB035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Куйбышев, п/я 32</w:t>
      </w:r>
    </w:p>
    <w:p w14:paraId="5C0DB9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24 эвакуирован из Москвы в Куйбышев, основан в соответствии с приказом НКАП от 9 октября 1941 года за № 1053сс на базе новостроящегося завода № 337, в состав которого приказом НКАП за № 726сс от 18 июля 1941 года и № 782сс от 1 августа 1941 года влились заводы системы НКАП № 452 из Днепропетровска и № 459 из Могилева со всеми материально-техническими средствами и кадрами. Кроме того, совместным приказом НКАП и НКСП за № 904сс/285сс от 25 августа 1941 года в состав завода № 337 влился завод системы НКСП № 181 из Ленинграда.</w:t>
      </w:r>
    </w:p>
    <w:p w14:paraId="1580A93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Технический проект завода, в период октябрь-ноябрь 1941 года прокорректирован на </w:t>
      </w:r>
      <w:proofErr w:type="gramStart"/>
      <w:r w:rsidRPr="008127F8">
        <w:rPr>
          <w:color w:val="000000" w:themeColor="text1"/>
          <w:sz w:val="16"/>
          <w:szCs w:val="16"/>
        </w:rPr>
        <w:t>крупно-серийный</w:t>
      </w:r>
      <w:proofErr w:type="gramEnd"/>
      <w:r w:rsidRPr="008127F8">
        <w:rPr>
          <w:color w:val="000000" w:themeColor="text1"/>
          <w:sz w:val="16"/>
          <w:szCs w:val="16"/>
        </w:rPr>
        <w:t xml:space="preserve"> выпуск авиационных моторов типа АМ35-А с последующими модификациями.</w:t>
      </w:r>
    </w:p>
    <w:p w14:paraId="03E8BB7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расположен северо-восточнее Куйбышева, вблизи ст. Безымянка, в северо-восточной части района “Пятилетка”. Площадка завода граничит с северо-запада с заводом НКСП им. Куйбышева, с северо-востока с Безымянской ТЭЦ и с юго-востока с Кабельным заводом.</w:t>
      </w:r>
    </w:p>
    <w:p w14:paraId="126C69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Расстояние от завода до центра Куйбышева – 29 км. Ближайшая ж/д станция Безымянка на расстоянии от завода 2,5 км (9480).</w:t>
      </w:r>
    </w:p>
    <w:p w14:paraId="64256459" w14:textId="77777777" w:rsidR="00D4651C" w:rsidRPr="008127F8" w:rsidRDefault="00D4651C" w:rsidP="001E0A84">
      <w:pPr>
        <w:pStyle w:val="Iauiue"/>
        <w:jc w:val="both"/>
        <w:rPr>
          <w:color w:val="000000" w:themeColor="text1"/>
          <w:sz w:val="16"/>
          <w:szCs w:val="16"/>
        </w:rPr>
      </w:pPr>
    </w:p>
    <w:p w14:paraId="0987A5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января 1942 Паспорт филиала завода № 25 на 1942 года</w:t>
      </w:r>
    </w:p>
    <w:p w14:paraId="33DA04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Составлен 15 ноября 1942 года</w:t>
      </w:r>
    </w:p>
    <w:p w14:paraId="4DF039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Шенкман</w:t>
      </w:r>
    </w:p>
    <w:p w14:paraId="13CF59E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20, п/я 2364/4 (9482)</w:t>
      </w:r>
    </w:p>
    <w:p w14:paraId="14B7EC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Паспорт завода № 16</w:t>
      </w:r>
    </w:p>
    <w:p w14:paraId="6EF2E37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Год основания – 1939</w:t>
      </w:r>
    </w:p>
    <w:p w14:paraId="770DB4A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Год ввода в эксплуатацию:</w:t>
      </w:r>
    </w:p>
    <w:p w14:paraId="63D87C4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частичного – 1939 год</w:t>
      </w:r>
    </w:p>
    <w:p w14:paraId="0323A0C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Новостройка</w:t>
      </w:r>
    </w:p>
    <w:p w14:paraId="08DAEF7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Характер производства – серийное</w:t>
      </w:r>
    </w:p>
    <w:p w14:paraId="5221A2E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Наименование производства – моторостроение</w:t>
      </w:r>
    </w:p>
    <w:p w14:paraId="6F72DC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Казань, 36, п/я 735</w:t>
      </w:r>
    </w:p>
    <w:p w14:paraId="24843F6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Во исполнение постановления ГКО от 19 ноября 1941 года за № 918сс, приказом НКАП от 19 ноября 1941 года на площадях завода № 27 в Казани созданы два самостоятельных завода:</w:t>
      </w:r>
    </w:p>
    <w:p w14:paraId="00812A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завод № 27 в Казани объединен с заводом № 16 Воронежа и создан единый завод с номером 16;</w:t>
      </w:r>
    </w:p>
    <w:p w14:paraId="763B354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выделен второй, самостоятельный завод по производству моторов М-30, с присвоением номера 82.</w:t>
      </w:r>
    </w:p>
    <w:p w14:paraId="587771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Разработка проекта завода № 16 (бывш. № 27) начата в 1932 году.</w:t>
      </w:r>
    </w:p>
    <w:p w14:paraId="7953EE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 августа 1933 года задание было уточнено, согласно которого завод № 16 подлежало запроектировать на выпуск 25000 моторов в год типа Кертис-Конкверор.</w:t>
      </w:r>
    </w:p>
    <w:p w14:paraId="23FDFC3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Дальнейшее проектирование завода не велось и строительство его не начиналось.</w:t>
      </w:r>
    </w:p>
    <w:p w14:paraId="61C131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1935 году приказом ГУАП от 3 апреля за № 28/173 Гипроавиа было предложено запроектировать самолетное и моторное производство на площади гл. корпуса самолетного производства с соответствующим расширением и заводу № 124 было присвоено название комбината № 124/27.</w:t>
      </w:r>
    </w:p>
    <w:p w14:paraId="4BA5458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задание подтверждается постановлением Правительства от 25 апреля 1935 года за № С-44сс. Разработанный Гипроавиа технический проект утвержден 15 января 1936 года зам. наркома тяжелой промышленности (протокол от 2 февраля 1936 года № 80/002257сс). Фактически по этому проекту завод никаких работ не выполнял.</w:t>
      </w:r>
    </w:p>
    <w:p w14:paraId="1E697CF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конце 1936 года, в связи с изменением задания по самолетному производству Гипроавиа совместно с заводом был поставлен перед 1 гл. управлением вопрос о нецелесообразности размещения в одном корпусе самолетного и моторного производства.</w:t>
      </w:r>
    </w:p>
    <w:p w14:paraId="4FEB4A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13 марта 1937 года в 1 гл. управление был представлен вариант </w:t>
      </w:r>
      <w:proofErr w:type="gramStart"/>
      <w:r w:rsidRPr="008127F8">
        <w:rPr>
          <w:color w:val="000000" w:themeColor="text1"/>
          <w:sz w:val="16"/>
          <w:szCs w:val="16"/>
        </w:rPr>
        <w:t>генплана</w:t>
      </w:r>
      <w:proofErr w:type="gramEnd"/>
      <w:r w:rsidRPr="008127F8">
        <w:rPr>
          <w:color w:val="000000" w:themeColor="text1"/>
          <w:sz w:val="16"/>
          <w:szCs w:val="16"/>
        </w:rPr>
        <w:t xml:space="preserve"> по которому моторный завод № 16 выносился в отдельные здания.</w:t>
      </w:r>
    </w:p>
    <w:p w14:paraId="1095CA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ГУАП письмом от 24 апреля 1937 года за № 905/3541 сообщил о разрешении строить моторный завод № 16 отдельно от самолетного, согласно представленного эскиза.</w:t>
      </w:r>
    </w:p>
    <w:p w14:paraId="5D7D94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Комплексный технический паспорт рассмотрен и утвержден НК оборонной промышленности 23 февраля 1938 года, протокол № 896/3555.</w:t>
      </w:r>
    </w:p>
    <w:p w14:paraId="35BBBCF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1939 году, согласно Постановления Правительства от 11 июня 1939 года за № 154сс, 1-м гл. управлением Проектным институтом вновь разработано задание на выпуск 6000 моторов в год типа М-105.</w:t>
      </w:r>
    </w:p>
    <w:p w14:paraId="7E4DB0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проектное задание, рассмотренное на совещании у начальника 3-го гл. управления НКАП, утвержденное 25 февраля 1939 года НКАП положено в основу представляемого комплексного технического проекта строительства завода.</w:t>
      </w:r>
    </w:p>
    <w:p w14:paraId="05798E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Рассматриваемый проект предусматривает выделение завода № 16 из состава комбината в качестве самостоятельного завода.</w:t>
      </w:r>
    </w:p>
    <w:p w14:paraId="2367EF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Согласно Постановления ГКО от 24 января 1942 года за № 1207с, завод № 82 должен эвакуироваться из Казани, следовательно освободить занимаемую площадь завода № 16.</w:t>
      </w:r>
    </w:p>
    <w:p w14:paraId="656238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Паспорт завода № 16 на 23 октября 1942 года</w:t>
      </w:r>
    </w:p>
    <w:p w14:paraId="041E8E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завода – Лукин (9406).</w:t>
      </w:r>
    </w:p>
    <w:p w14:paraId="2347ABE0" w14:textId="77777777" w:rsidR="00D4651C" w:rsidRPr="008127F8" w:rsidRDefault="00D4651C" w:rsidP="001E0A84">
      <w:pPr>
        <w:pStyle w:val="Iauiue"/>
        <w:jc w:val="both"/>
        <w:rPr>
          <w:color w:val="000000" w:themeColor="text1"/>
          <w:sz w:val="16"/>
          <w:szCs w:val="16"/>
        </w:rPr>
      </w:pPr>
    </w:p>
    <w:p w14:paraId="0F9965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Паспорт завода № 1 им. Сталина</w:t>
      </w:r>
    </w:p>
    <w:p w14:paraId="0AC671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Куйбышев, п/я 208</w:t>
      </w:r>
    </w:p>
    <w:p w14:paraId="7A08834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Третьяков</w:t>
      </w:r>
    </w:p>
    <w:p w14:paraId="33A1821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1 им. Сталина свою перебазировку из Москвы в Куйбышев на ст. Безымянка начал в октябре 1941 года и организован на базе бывш. завода № 122, расположенного в 3-х км от ст. Безымянка и 16 км от ст. Куйбышев по ж/д.</w:t>
      </w:r>
    </w:p>
    <w:p w14:paraId="5608FF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Территория аэродрома используется заводом № 1 и № 18.</w:t>
      </w:r>
    </w:p>
    <w:p w14:paraId="3241AC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Деревозаготовительный цех № 45 организован на базе бывш. мебельной фабрики (Куйбышев), который кроме лыж изготовляет отдельные детали лыж и крыла (9380).</w:t>
      </w:r>
    </w:p>
    <w:p w14:paraId="1C7CEB02" w14:textId="77777777" w:rsidR="00D4651C" w:rsidRPr="008127F8" w:rsidRDefault="00D4651C" w:rsidP="001E0A84">
      <w:pPr>
        <w:pStyle w:val="Iauiue"/>
        <w:jc w:val="both"/>
        <w:rPr>
          <w:color w:val="000000" w:themeColor="text1"/>
          <w:sz w:val="16"/>
          <w:szCs w:val="16"/>
        </w:rPr>
      </w:pPr>
    </w:p>
    <w:p w14:paraId="7F5073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октября 1942 года Паспорт завода № 18</w:t>
      </w:r>
    </w:p>
    <w:p w14:paraId="4C5ADD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Шенкман</w:t>
      </w:r>
    </w:p>
    <w:p w14:paraId="54E84D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Куйбышев 122, п/я 143</w:t>
      </w:r>
    </w:p>
    <w:p w14:paraId="6EFD9D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Белянский (9409)</w:t>
      </w:r>
    </w:p>
    <w:p w14:paraId="12854E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Паспорт завода № 19 им. Сталина</w:t>
      </w:r>
    </w:p>
    <w:p w14:paraId="1F2DDA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Кожевников</w:t>
      </w:r>
    </w:p>
    <w:p w14:paraId="3D2934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Для организации эвакуированного производства поршневых колец в августе 1941 года заводом частично занято помещение Молотовского авиационного техникума.</w:t>
      </w:r>
    </w:p>
    <w:p w14:paraId="70CFB61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 период августа-ноября 1941 года завод разместил на своей территории эвакуированные из прифронтовой полосы заводы №№ 462, 289 и 135 с предоставлением производственных и вспомогательных площадей.</w:t>
      </w:r>
    </w:p>
    <w:p w14:paraId="6B8974E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Паспорт завода № 19 им. Сталина на 10 ноября 1942 года</w:t>
      </w:r>
    </w:p>
    <w:p w14:paraId="1356DF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Солдатов (9410)</w:t>
      </w:r>
    </w:p>
    <w:p w14:paraId="06C8BE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 Паспорт завода № 20</w:t>
      </w:r>
    </w:p>
    <w:p w14:paraId="5E39DF3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Борисов</w:t>
      </w:r>
    </w:p>
    <w:p w14:paraId="6D3577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Омск, п/я 38</w:t>
      </w:r>
    </w:p>
    <w:p w14:paraId="37395B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20 эвакуирован из Москвы в течение октября-ноября 1941 года и восстановлен на базе завода № 495, который в свою очередь был организован как филиал завода № 20 в Омске в июле-августе 1941 года.</w:t>
      </w:r>
    </w:p>
    <w:p w14:paraId="2E85BA6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с/х машиностроения им. Куйбышева расположен в северо-восточной части Омска фасадом по ул. Герцена – западная граница, с юга граница идет по ул. Октябрьской, далее в северо-восточной части территория завода граничит с Шепелевским кладбищем и с северной стороны ограничивается ул. им. 5-й Армии.</w:t>
      </w:r>
    </w:p>
    <w:p w14:paraId="5B4CAC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Для организации производства агрегатов авиамоторов была проделана коренная реорганизация завода.</w:t>
      </w:r>
    </w:p>
    <w:p w14:paraId="278B34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августе 1941 года, кода завод № 495 еще не имел достаточного количества оборудования и были свободные площади, завод № 29 НКАП по приказу зам. наркома Дементьева разместил на территории завода № 495 инструментальный и кузнечный цеха.</w:t>
      </w:r>
    </w:p>
    <w:p w14:paraId="227B8F9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Паспорт завода № 20 на 1 октября 1942 год</w:t>
      </w:r>
    </w:p>
    <w:p w14:paraId="794085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Ивайкин (9412).</w:t>
      </w:r>
    </w:p>
    <w:p w14:paraId="3B606D6F" w14:textId="77777777" w:rsidR="00D4651C" w:rsidRPr="008127F8" w:rsidRDefault="00D4651C" w:rsidP="001E0A84">
      <w:pPr>
        <w:pStyle w:val="Iauiue"/>
        <w:jc w:val="both"/>
        <w:rPr>
          <w:color w:val="000000" w:themeColor="text1"/>
          <w:sz w:val="16"/>
          <w:szCs w:val="16"/>
        </w:rPr>
      </w:pPr>
    </w:p>
    <w:p w14:paraId="7D531C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Паспорт завода № 26</w:t>
      </w:r>
    </w:p>
    <w:p w14:paraId="7873B1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Завод № 26 перебазирован из Рыбинска и организован на базе завода № 384. </w:t>
      </w:r>
      <w:proofErr w:type="gramStart"/>
      <w:r w:rsidRPr="008127F8">
        <w:rPr>
          <w:color w:val="000000" w:themeColor="text1"/>
          <w:sz w:val="16"/>
          <w:szCs w:val="16"/>
        </w:rPr>
        <w:t>Кроме того</w:t>
      </w:r>
      <w:proofErr w:type="gramEnd"/>
      <w:r w:rsidRPr="008127F8">
        <w:rPr>
          <w:color w:val="000000" w:themeColor="text1"/>
          <w:sz w:val="16"/>
          <w:szCs w:val="16"/>
        </w:rPr>
        <w:t xml:space="preserve"> в него влились заводы №№ 234 и 451, эвакуированные из Ленинграда, новый строящийся завод № 338 и бывш. протезный завод.</w:t>
      </w:r>
    </w:p>
    <w:p w14:paraId="096DE28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размещен на трех площадках, из которых основная площадка № 1 бывш. завода № 384 находится на расстоянии 5 км от двух других площадок - № 2 – бывш. завода № 338 и № 3 бывш. протезного завода.</w:t>
      </w:r>
    </w:p>
    <w:p w14:paraId="579748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площадке № 3 организован механический цех завода № 16, т.е. ОКБ-250 (9523).</w:t>
      </w:r>
    </w:p>
    <w:p w14:paraId="61CCF310" w14:textId="77777777" w:rsidR="00D4651C" w:rsidRPr="008127F8" w:rsidRDefault="00D4651C" w:rsidP="001E0A84">
      <w:pPr>
        <w:pStyle w:val="Iauiue"/>
        <w:jc w:val="both"/>
        <w:rPr>
          <w:color w:val="000000" w:themeColor="text1"/>
          <w:sz w:val="16"/>
          <w:szCs w:val="16"/>
        </w:rPr>
      </w:pPr>
    </w:p>
    <w:p w14:paraId="0E95863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1 января 1942 года Паспорт завода № 29 </w:t>
      </w:r>
    </w:p>
    <w:p w14:paraId="194A47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Лукин</w:t>
      </w:r>
    </w:p>
    <w:p w14:paraId="519715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Омск, п/я 64</w:t>
      </w:r>
    </w:p>
    <w:p w14:paraId="2C2673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Перебазирован из Запорожья. Завод находится в периоде строительства, Своего аэродрома завод не имеет, пользуется аэродромом завода № 166 (9517).</w:t>
      </w:r>
    </w:p>
    <w:p w14:paraId="5A2F61D3" w14:textId="77777777" w:rsidR="00D4651C" w:rsidRPr="008127F8" w:rsidRDefault="00D4651C" w:rsidP="001E0A84">
      <w:pPr>
        <w:pStyle w:val="Iauiue"/>
        <w:jc w:val="both"/>
        <w:rPr>
          <w:color w:val="000000" w:themeColor="text1"/>
          <w:sz w:val="16"/>
          <w:szCs w:val="16"/>
        </w:rPr>
      </w:pPr>
    </w:p>
    <w:p w14:paraId="66C8B02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1 января 1942 года Паспорт завода № 28 </w:t>
      </w:r>
    </w:p>
    <w:p w14:paraId="3C1B5D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Свердловск, п/я 1005</w:t>
      </w:r>
    </w:p>
    <w:p w14:paraId="00E3B49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перебазирован из Москвы в Свердловск. Новая территория завода в Свердловске ранее принадлежала Мебельной фабрике (производство лыж), а с августа 1941 года заводам №№ 493 и 445 НКАП. Эти заводы, не развернув полностью своего производства, были перебазированы в другое место, а промплощадка передана заводу № 28 в ноябре 1941 года. Площадка расположена в юго-западной части Свердловска, около ст. Шарташ (9519).</w:t>
      </w:r>
    </w:p>
    <w:p w14:paraId="3A92F8AA" w14:textId="77777777" w:rsidR="00D4651C" w:rsidRPr="008127F8" w:rsidRDefault="00D4651C" w:rsidP="001E0A84">
      <w:pPr>
        <w:pStyle w:val="Iauiue"/>
        <w:jc w:val="both"/>
        <w:rPr>
          <w:color w:val="000000" w:themeColor="text1"/>
          <w:sz w:val="16"/>
          <w:szCs w:val="16"/>
        </w:rPr>
      </w:pPr>
    </w:p>
    <w:p w14:paraId="335A715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 1 января 1942 года на вновь отстроенных производственных площадях в Чкалове (Оренбурге) были смонтированы инструментальный, механический со штамповочным отделением и ремонтный цеха завода “Авторадиатор”, пущенного 1 ноября 1941. Гальванический цех работал на территории завода им.С.М.Кирова. Горячую воду для технологических нужд подавал старый паровоз, что стоял на заводских путях. В 1942 году на заводе работало 1072 человека, из них 852 рабочих. Из общего числа сотрудников завода 588 составляли женщины, 241 были несовершеннолетними. Много сил производству отдавал директор А.А.Саблин. "Энергия, инициатива командира производства служит примером для всех", - так писала о нем в те дни областная газета. В начале 1942 года А.А.Саблин был награжден орденом "Знака Почета". В 1944 году Саблина назначили начальником Главка Министерства, а завод принял Петунин К.А. - инициативный и опытный работник.</w:t>
      </w:r>
    </w:p>
    <w:p w14:paraId="2FBBFF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 продукции, необходимой фронту, завод выпускал взрыватели для 82-миллимитровых мин, корпуса для них изготавливал завод им. С.М.Кирова.</w:t>
      </w:r>
    </w:p>
    <w:p w14:paraId="5A4FA2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Оренбургский завод им. С.М.Кирова, сыгравший большую роль в становлении эвакуированного завода "Автозапччасть" на Оренбургской земле, являлся одним из пяти предприятий Управления "Главтрактородеталь" Наркомата среднего машиностроения, которые с первых дней войны начали выпускать танковые детали. Завод был молодой, всего биографии насчитывался только десяток лет и главным его назначением было производство запчастей к тракторным и сельскохозяйственным машинам Южного Урала. Оба завода сроднила кооперация в изготовлении сухопутных мин и близкая территориальная расположенность. Во второй половине 1943 года на заводе им.Кирова трудилось 880 человек, из них 300 человек в возрасте от 16 до 20 лет. В это время завод выпускал около 300 тысяч штук корпусов мин, а в 1945 году вновь перешел на выпуск основной продукции - деталей к тракторам (9686).</w:t>
      </w:r>
    </w:p>
    <w:p w14:paraId="3C254679" w14:textId="77777777" w:rsidR="00D4651C" w:rsidRPr="008127F8" w:rsidRDefault="00D4651C" w:rsidP="001E0A84">
      <w:pPr>
        <w:pStyle w:val="Iauiue"/>
        <w:jc w:val="both"/>
        <w:rPr>
          <w:color w:val="000000" w:themeColor="text1"/>
          <w:sz w:val="16"/>
          <w:szCs w:val="16"/>
        </w:rPr>
      </w:pPr>
    </w:p>
    <w:p w14:paraId="7D0D6C0A" w14:textId="77777777" w:rsidR="00F56758" w:rsidRPr="008127F8" w:rsidRDefault="00F567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г. [РГАЭ Ф. 303 оп. 1 д. 75, л. 2] отмечалось, что завод № 600 в Урумчи в короткий срок перестроил свое производство с самолетносборочного на изготовление агрегатов самолета И-16 (рули поворота и высоты, стабилизаторы, кили, капоты и др.) и уже закончил и отправил в Союз первую партию. Одновременно завод принял заказ от завода № 153 на изготовление агрегатов для самолета ЛАГГ-3 и запустил их в производство. Эти агрегаты включали оперение, заливные бачки, пожарные краны, маслофильтры и другие. В конце первого полугодия 1942 г. завод приступил к изготовлению агрегатов для самолёта Як-7Б. В их число входили руль высоты, руль поворота, киль, маслобаки, детали крепления капота, туннель маслорадиатора (19006).</w:t>
      </w:r>
    </w:p>
    <w:p w14:paraId="06F6C4E8" w14:textId="77777777" w:rsidR="00F56758" w:rsidRPr="008127F8" w:rsidRDefault="00F56758" w:rsidP="001E0A84">
      <w:pPr>
        <w:spacing w:after="0" w:line="240" w:lineRule="auto"/>
        <w:jc w:val="both"/>
        <w:rPr>
          <w:rFonts w:ascii="Times New Roman" w:hAnsi="Times New Roman"/>
          <w:color w:val="000000" w:themeColor="text1"/>
          <w:sz w:val="16"/>
          <w:szCs w:val="16"/>
        </w:rPr>
      </w:pPr>
    </w:p>
    <w:p w14:paraId="258A212A"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января 1942 года в 180.000 организаций Осоавиахима насчитывалось 7.489.000 членов, но на этот раз резкое сокращение количества первичных организаций и членов Общества произошло не за счет организационной неразберихи, а за счет их ликвидации на оккупированных территориях, где насчитывалось 129.700 первичных организаций и свыше 5 млн. членов Общества (ГАРФ. Ф.Р – 8355. Оп. 5. Д. 43. Л. 9) (21402).</w:t>
      </w:r>
    </w:p>
    <w:p w14:paraId="3F27094C" w14:textId="77777777" w:rsidR="00441E3A" w:rsidRPr="008127F8" w:rsidRDefault="00441E3A" w:rsidP="001E0A84">
      <w:pPr>
        <w:spacing w:after="0" w:line="240" w:lineRule="auto"/>
        <w:jc w:val="both"/>
        <w:rPr>
          <w:rFonts w:ascii="Times New Roman" w:hAnsi="Times New Roman"/>
          <w:color w:val="000000" w:themeColor="text1"/>
          <w:sz w:val="16"/>
          <w:szCs w:val="16"/>
        </w:rPr>
      </w:pPr>
    </w:p>
    <w:p w14:paraId="43ECA2C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682D12AA" w14:textId="77777777" w:rsidR="00D4651C" w:rsidRPr="008127F8" w:rsidRDefault="00D4651C" w:rsidP="001E0A84">
      <w:pPr>
        <w:pStyle w:val="Iauiue"/>
        <w:jc w:val="both"/>
        <w:rPr>
          <w:iCs/>
          <w:color w:val="000000" w:themeColor="text1"/>
          <w:sz w:val="16"/>
          <w:szCs w:val="16"/>
        </w:rPr>
      </w:pPr>
    </w:p>
    <w:p w14:paraId="2431FF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января 1942 г. на заводе № 611 НКБ (Завод № 611 НКБ, п/я 25 /г. Миасс Челябинской обл. п/я 25 «Корпус» (1943 г.)/). пущена в эксплуатацию мастерская по снаряжению бомб АО мощностью 3 млн. шт. в год.</w:t>
      </w:r>
    </w:p>
    <w:p w14:paraId="2D1C8E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12.1942-11.1943 г. - в ведении 1ГУ НКБ. В составе завода цехи (1943 г.): основные: № 1, 2, 4; вспомогательные: РМЦ.</w:t>
      </w:r>
    </w:p>
    <w:p w14:paraId="3B82A1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1946 г. завод влит в состав строящегося комбината № 817 ПГУ и получил наименование «База № 8». Руководство завода № 611 вошло в состав управления комбината, оборудование было передано родственным предприятиям. В цехах изготовлялась мебель для управления комбината.</w:t>
      </w:r>
    </w:p>
    <w:p w14:paraId="1D8612D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производственная (04.1943 г.)- 4380 м</w:t>
      </w:r>
      <w:r w:rsidRPr="008127F8">
        <w:rPr>
          <w:rFonts w:ascii="Times New Roman" w:hAnsi="Times New Roman"/>
          <w:color w:val="000000" w:themeColor="text1"/>
          <w:sz w:val="16"/>
          <w:szCs w:val="16"/>
          <w:vertAlign w:val="superscript"/>
        </w:rPr>
        <w:t>2</w:t>
      </w:r>
    </w:p>
    <w:p w14:paraId="3B8D5B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г.)- 1220 чел.; рабочих (04.1943 г.)- 900 чел.</w:t>
      </w:r>
    </w:p>
    <w:p w14:paraId="390213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Симоненко. Начальник (07.1943)- Мейпариани, (10.1943)- Аксенов.</w:t>
      </w:r>
    </w:p>
    <w:p w14:paraId="1FB4C1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(04.1943 г.)- Савальский; и.о. (08.1943 г.)- Лукьянов; (10.1943 г.)- Симоненко.</w:t>
      </w:r>
    </w:p>
    <w:p w14:paraId="747789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ФАБ-100, снаряды 122-мм, 152-мм; мины 120-мм; амматол (1943) (11982).</w:t>
      </w:r>
    </w:p>
    <w:p w14:paraId="28DD2AA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7BACE6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января 1942 г. в состав завода (Завод № 614 НКВ, МОП, и/я 214, Саратовский агрегатный завод МОП, ГУП, ФГУП «Саратовский агрегатный завод» /410078  г. Саратов ул. Астраханская, 45 тел. 25-39-75/.) вошел саратовский завод «Универсаль» для производства инструментов и приспособлений.</w:t>
      </w:r>
    </w:p>
    <w:p w14:paraId="648CBE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(начало 1950-х) опытная корабельная артустановка МИК-1 и МИК-2 (гл. конструктор- С. Гуренко).</w:t>
      </w:r>
    </w:p>
    <w:p w14:paraId="066A80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 в создании ЗРК «Стрела-10СВ» (1969-76 г.).</w:t>
      </w:r>
      <w:r w:rsidRPr="008127F8">
        <w:rPr>
          <w:rFonts w:ascii="Times New Roman" w:hAnsi="Times New Roman"/>
          <w:color w:val="000000" w:themeColor="text1"/>
          <w:sz w:val="16"/>
          <w:szCs w:val="16"/>
          <w:vertAlign w:val="superscript"/>
        </w:rPr>
        <w:t>57 58</w:t>
      </w:r>
    </w:p>
    <w:p w14:paraId="3EC229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наименование «п/я 214». Имел филиал в Саратове.</w:t>
      </w:r>
    </w:p>
    <w:p w14:paraId="39B6B1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детали механизмов заряжания и стрельбы для тяжелого вооружения; пусковое оборудование для ракет наземного базирования; прицепы легкие автомобильные; прицепные устройства, буксирные крюки для легковых автомобилей; воздухонагреватели, калориферы; машины и оборудование: для контактной сварки металла; для кислородно-ацетиленовой резки металла, горелки ацетиленовые; лампы настольные, утюги бытовые, зажигалки для газовых плит, приборы для разжигания каминов.</w:t>
      </w:r>
    </w:p>
    <w:p w14:paraId="30BCEA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A85E9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(1941 г.)- Саретов, (2002 г.)- Б.И. Коркин.</w:t>
      </w:r>
    </w:p>
    <w:p w14:paraId="5E52AD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14,5 мм ПТРС (1941-); зенитные артустановки: 37-мм спаренная В-11 и В-11М (1952-80-е), 45- мм спаренная СМ-16 (опытная, 1950)- 5 (вместе с заводом № 7), СМ-21 (1947-); агрегаты и системы для боевых машин: 9А31 для ЗРК «Стрела-1», ЗРК 9К35 «Стрела-10», «Штурм-С», «Хризантема-С», «Малютка»; аппаратура навигации и топопривязки для ЗРК; антенны: «Ива», АТН-5.1 (11982).</w:t>
      </w:r>
    </w:p>
    <w:p w14:paraId="24DD5C67"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5B2EA8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января 1942г. заводом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были выпущены первые минометы, в 03.1942г.- первая партия 50-мм мин. Приказом НКМВ № 236сс от 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280C6C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7FA183F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предприятия (1947г.) цехи: основные: машиностроительный, станкостроительный, литейный; вспомогательные: </w:t>
      </w:r>
      <w:proofErr w:type="gramStart"/>
      <w:r w:rsidRPr="008127F8">
        <w:rPr>
          <w:rFonts w:ascii="Times New Roman" w:hAnsi="Times New Roman"/>
          <w:color w:val="000000" w:themeColor="text1"/>
          <w:sz w:val="16"/>
          <w:szCs w:val="16"/>
        </w:rPr>
        <w:t>кузнечно-прессовый</w:t>
      </w:r>
      <w:proofErr w:type="gramEnd"/>
      <w:r w:rsidRPr="008127F8">
        <w:rPr>
          <w:rFonts w:ascii="Times New Roman" w:hAnsi="Times New Roman"/>
          <w:color w:val="000000" w:themeColor="text1"/>
          <w:sz w:val="16"/>
          <w:szCs w:val="16"/>
        </w:rPr>
        <w:t>, инструментальный, ремонтно-механический, электроцех.</w:t>
      </w:r>
    </w:p>
    <w:p w14:paraId="725004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1996г. завод «Полиграфмаш» обанкрочен и ликвидирован.</w:t>
      </w:r>
    </w:p>
    <w:p w14:paraId="02B759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(1946г.)- 285 ед., (1947г.)- 281 ед.</w:t>
      </w:r>
    </w:p>
    <w:p w14:paraId="4EDF75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(1947г.)- 2,0 га; застройки (1947г.)- 8170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(1946-47г.)- 5570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6DB24B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(1946г.)- 1053 чел., (1947г.)- 956 чел.</w:t>
      </w:r>
    </w:p>
    <w:p w14:paraId="6C0D6C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(06.1942г.)- Стругацкий, (1948г.)- Седелев.</w:t>
      </w:r>
    </w:p>
    <w:p w14:paraId="5A122A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(1948г.)- Росаткевич.</w:t>
      </w:r>
    </w:p>
    <w:p w14:paraId="05FD79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50-мм минометы; мины: 50-мм, 82-мм, АМБ, детали для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8127F8">
        <w:rPr>
          <w:rFonts w:ascii="Times New Roman" w:hAnsi="Times New Roman"/>
          <w:color w:val="000000" w:themeColor="text1"/>
          <w:sz w:val="16"/>
          <w:szCs w:val="16"/>
          <w:vertAlign w:val="superscript"/>
        </w:rPr>
        <w:t>124</w:t>
      </w:r>
    </w:p>
    <w:p w14:paraId="68191D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269ABD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1941г. действовал цех № 1 по производству авиационных взрывателей.</w:t>
      </w:r>
    </w:p>
    <w:p w14:paraId="19670B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213DF8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616E10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5668D8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(1939г.)- 110 ед., (1946г.)- 128 ед, (1947г.)- 246 ед.</w:t>
      </w:r>
    </w:p>
    <w:p w14:paraId="0F4FDD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(1947г.)- 21,65 га; застройки (1947г.)- 20474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(1939г.)-</w:t>
      </w:r>
    </w:p>
    <w:p w14:paraId="05FD91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(1946г.)- 9113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(1947г.)- 9767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6BB9A3B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(1939г.)- 1651 </w:t>
      </w:r>
      <w:proofErr w:type="gramStart"/>
      <w:r w:rsidRPr="008127F8">
        <w:rPr>
          <w:rFonts w:ascii="Times New Roman" w:hAnsi="Times New Roman"/>
          <w:color w:val="000000" w:themeColor="text1"/>
          <w:sz w:val="16"/>
          <w:szCs w:val="16"/>
        </w:rPr>
        <w:t>чел</w:t>
      </w:r>
      <w:proofErr w:type="gramEnd"/>
      <w:r w:rsidRPr="008127F8">
        <w:rPr>
          <w:rFonts w:ascii="Times New Roman" w:hAnsi="Times New Roman"/>
          <w:color w:val="000000" w:themeColor="text1"/>
          <w:sz w:val="16"/>
          <w:szCs w:val="16"/>
        </w:rPr>
        <w:t>, (1946г.)- 520 чел, (1947г.)- 594 чел.</w:t>
      </w:r>
    </w:p>
    <w:p w14:paraId="4BCB1D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(1948г.)- Реутов.</w:t>
      </w:r>
    </w:p>
    <w:p w14:paraId="4A2CB0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(1948г.)- Бурко.</w:t>
      </w:r>
    </w:p>
    <w:p w14:paraId="2F7E0E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8127F8">
        <w:rPr>
          <w:rFonts w:ascii="Times New Roman" w:hAnsi="Times New Roman"/>
          <w:color w:val="000000" w:themeColor="text1"/>
          <w:sz w:val="16"/>
          <w:szCs w:val="16"/>
          <w:vertAlign w:val="superscript"/>
        </w:rPr>
        <w:t>129</w:t>
      </w:r>
    </w:p>
    <w:p w14:paraId="120AB8C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6CF2ADF"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1942 года на Верхне-Салдинском заводе № 95 работали 1080 человек. Директором предприятия был назначен М.П. Семёнов (главный инженер завода), главным инженером — С.М. Воронов (главный металлург завода). Строительные работы от завода курировал начальник ОКСа П.П. Молчанов (впоследствии директор Куйбышевского металлургического завода). Здесь была спроектирована, а затем изготовлена установка непрерывного литья слитков алюминиевых сплавов в комплекте с плавильной печью ёмкостью 2 т (24303).</w:t>
      </w:r>
    </w:p>
    <w:p w14:paraId="04ACAEF1" w14:textId="77777777" w:rsidR="00DC0FF7" w:rsidRPr="008A2E5A" w:rsidRDefault="00DC0FF7" w:rsidP="00DC0FF7">
      <w:pPr>
        <w:spacing w:after="0" w:line="240" w:lineRule="auto"/>
        <w:jc w:val="both"/>
        <w:rPr>
          <w:rFonts w:ascii="Times New Roman" w:hAnsi="Times New Roman"/>
          <w:color w:val="0070C0"/>
          <w:sz w:val="16"/>
          <w:szCs w:val="16"/>
        </w:rPr>
      </w:pPr>
    </w:p>
    <w:p w14:paraId="6FC005D3"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 января 1942 г. на Уральском турбинном заводе из 1223 металлорежущих станков было смонтировано 926. Все производственные площади, намеченные к пуску еще осенью 1941 г., или находились в стадии завершения строительства, или продолжали возводиться. В основном производстве трехпролетный корпус был готов на 89 %, но уже был введен в эксплуатацию, пристрой к нему - на 61 %, новый механический цех еще активно строился (были закончены только земляные работы и бетонирование колонн). Во вспомогательном производстве новый инструментальный цех находился на стадии завершения строительства, его готовность составила 86 %.</w:t>
      </w:r>
    </w:p>
    <w:p w14:paraId="34AC6B49"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Монтировались 3 стенда второй очереди испытательной станции. Тем не менее, даже это незавершенное строительство позволило увеличить общую производственную площадь основных цехов с 7 тыс. кв. м до 26 тыс. кв. м, а вспомогательных - с 3,2 тыс. кв. м до более 7,1 тыс. кв. </w:t>
      </w:r>
      <w:proofErr w:type="gramStart"/>
      <w:r w:rsidRPr="008A2E5A">
        <w:rPr>
          <w:rFonts w:ascii="Times New Roman" w:hAnsi="Times New Roman"/>
          <w:color w:val="0070C0"/>
          <w:sz w:val="16"/>
          <w:szCs w:val="16"/>
        </w:rPr>
        <w:t>м[</w:t>
      </w:r>
      <w:proofErr w:type="gramEnd"/>
      <w:r w:rsidRPr="008A2E5A">
        <w:rPr>
          <w:rFonts w:ascii="Times New Roman" w:hAnsi="Times New Roman"/>
          <w:color w:val="0070C0"/>
          <w:sz w:val="16"/>
          <w:szCs w:val="16"/>
        </w:rPr>
        <w:t>360].</w:t>
      </w:r>
    </w:p>
    <w:p w14:paraId="559C9E45"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говоря о тяжелом положении с выпуском дизельных двигателей на заводе № 76 (Уральском турбинном заводе) в 1941 г., необходимо учитывать тот факт, что, во-первых, предприятие все еще находилось в состоянии строительства. А во-вторых, значительная часть полуфабрикатов, получаемых от заводов-поставщиков (в первую очередь от УЗТМ - основной заготовительной базы турбозавода, а также Кировского завода - единственного поставщика топливной аппаратуры), приходила с большими задержками, часто ниже заданной численности, и содержала большое количество брака, исправлять который приходилось уже дизельному заводу. На рубеже 1941-1942 гг. это можно считать основной причиной неудовлетворительной работы завода № 76.</w:t>
      </w:r>
    </w:p>
    <w:p w14:paraId="7470933B"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Сложность периода освоения выпуска В-2 во многом усугублялась тем, что первоначально эта задача была не единственной для Уральского турбинного завода. Кроме производства дизельного двигателя, на завод была возложена программа по авиационным моторам М-40. Т. е. еще то производство, которое осваивалось Кировским заводом в первой половине 1941 г. Осенью освоение производства В-2 стало приоритетным направлением деятельности Уралтурбозавода, с которым он справлялся крайне неудовлетворительно. Это не помешало руководству страны принять решение о выпуске на заводе двигателя М-40. Уже в конце 1941 г. вследствие того, что дизельный завод не мог справиться даже с основной программой, история с авиационными двигателями на заводе была </w:t>
      </w:r>
      <w:proofErr w:type="gramStart"/>
      <w:r w:rsidRPr="008A2E5A">
        <w:rPr>
          <w:rFonts w:ascii="Times New Roman" w:hAnsi="Times New Roman"/>
          <w:color w:val="0070C0"/>
          <w:sz w:val="16"/>
          <w:szCs w:val="16"/>
        </w:rPr>
        <w:t>прекращена[</w:t>
      </w:r>
      <w:proofErr w:type="gramEnd"/>
      <w:r w:rsidRPr="008A2E5A">
        <w:rPr>
          <w:rFonts w:ascii="Times New Roman" w:hAnsi="Times New Roman"/>
          <w:color w:val="0070C0"/>
          <w:sz w:val="16"/>
          <w:szCs w:val="16"/>
        </w:rPr>
        <w:t>359] (23536).</w:t>
      </w:r>
    </w:p>
    <w:p w14:paraId="1DCD3A4B" w14:textId="77777777" w:rsidR="00DC0FF7" w:rsidRPr="008A2E5A" w:rsidRDefault="00DC0FF7" w:rsidP="00DC0FF7">
      <w:pPr>
        <w:spacing w:after="0" w:line="240" w:lineRule="auto"/>
        <w:jc w:val="both"/>
        <w:rPr>
          <w:rFonts w:ascii="Times New Roman" w:hAnsi="Times New Roman"/>
          <w:color w:val="0070C0"/>
          <w:sz w:val="16"/>
          <w:szCs w:val="16"/>
        </w:rPr>
      </w:pPr>
    </w:p>
    <w:p w14:paraId="40603A48" w14:textId="77777777"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января 1942 г. по 20 марта 1943 г. на заводе N 2 Наркомата Вооружения осуждено только за прогулы 8102 человека, или 26,8% к списочному составу рабочих данного предприятия. На заводе N 183 Наркомата танковой промышленности осуждено за то же время 6965 человек, или 21,8% к общему числу рабочих на этом заводе. На заводе N 63 Наркомата Боеприпасов за время с 1 января 1942 г. по 30 марта 1943 г. осуждено за прогулы 3097 человек, или 40,7% к общему количеству рабочих (18406).</w:t>
      </w:r>
    </w:p>
    <w:p w14:paraId="46A8C3A2" w14:textId="77777777" w:rsidR="00396094" w:rsidRPr="008127F8" w:rsidRDefault="00396094" w:rsidP="001E0A84">
      <w:pPr>
        <w:spacing w:after="0" w:line="240" w:lineRule="auto"/>
        <w:jc w:val="both"/>
        <w:rPr>
          <w:rFonts w:ascii="Times New Roman" w:hAnsi="Times New Roman"/>
          <w:color w:val="000000" w:themeColor="text1"/>
          <w:sz w:val="16"/>
          <w:szCs w:val="16"/>
        </w:rPr>
      </w:pPr>
    </w:p>
    <w:p w14:paraId="5365F1C5" w14:textId="77777777" w:rsidR="00F56758" w:rsidRPr="008127F8" w:rsidRDefault="00F567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состоянию на 1 января 1942 г. в состав наркомата танковой промышленности СССР, который был образован в соответствии с Указом Президиума Верховного Совета СССР от 11 сентября 1941 г., вошли 27 предприятий с общим числом рабочих и служащих 218,3 тыс.чел. Кроме бронетанковой техники, дизельных моторов и запасных частей к танкам и артсамоходам предприятия наркомата производили снарядную заготовку, корпуса снарядов, мин и авиационных бомб, авиапоковки и бронедетали для самолетов Ил-2 и ЛаГГ-3, корпуса подводных лодок, броневые щиты, рядовой и качественный прокат черных металлов (18677).</w:t>
      </w:r>
    </w:p>
    <w:p w14:paraId="08F8FD31" w14:textId="77777777" w:rsidR="00F56758" w:rsidRPr="008127F8" w:rsidRDefault="00F56758" w:rsidP="001E0A84">
      <w:pPr>
        <w:spacing w:after="0" w:line="240" w:lineRule="auto"/>
        <w:jc w:val="both"/>
        <w:rPr>
          <w:rFonts w:ascii="Times New Roman" w:hAnsi="Times New Roman"/>
          <w:color w:val="000000" w:themeColor="text1"/>
          <w:sz w:val="16"/>
          <w:szCs w:val="16"/>
        </w:rPr>
      </w:pPr>
    </w:p>
    <w:p w14:paraId="5316067C"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на 1 января 1942 года НКТП имел жилой фонд общей площадью 1.092.312 кв. м., на котором проживало 295.048 человек. На одного человека приходилось всего 3,7 кв. м. площади, что, даже если не принимать во внимание качество жилья, было ниже любых санитарных норм (12290).</w:t>
      </w:r>
    </w:p>
    <w:p w14:paraId="0F039A0B"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1839470E" w14:textId="77777777" w:rsidR="00F658A1" w:rsidRPr="008127F8" w:rsidRDefault="00F658A1" w:rsidP="001E0A84">
      <w:pPr>
        <w:pStyle w:val="a4"/>
        <w:rPr>
          <w:color w:val="000000" w:themeColor="text1"/>
          <w:lang w:val="ru-RU"/>
        </w:rPr>
      </w:pPr>
      <w:r w:rsidRPr="008127F8">
        <w:rPr>
          <w:color w:val="000000" w:themeColor="text1"/>
          <w:lang w:val="ru-RU"/>
        </w:rPr>
        <w:t>С 1 января 1942 года в общей сложности парк металлорежущих станков наркомата танковой промышленности возрос с 24101 станка до 31687 станков на 1 января 1944 года и до 36179 штук на 1 января 1945 года (). Общий рост за три года войны составил 12.079 станков, то есть, в полтора раза. За 1944 год парк металлорежущих станков вырос на 14% (4492 станка). Правда, в это число входит оборудование восстановленных заводов. Прирост без восстановленных заводов составил 7139 станков в период с 1 января 1942 по 1 января 1945 года, и всего 1074 станка в 1944 году. Станочный парк наращивался по заводам неравномерно. Были свои лидеры, чья производственная база наращивалась наиболее интенсивно. Были и такие заводы, чей производственный потенциал наращивался незначительно, а порой и вовсе снижался.</w:t>
      </w:r>
    </w:p>
    <w:p w14:paraId="68679A42" w14:textId="77777777" w:rsidR="00F658A1" w:rsidRPr="008127F8" w:rsidRDefault="00F658A1" w:rsidP="001E0A84">
      <w:pPr>
        <w:pStyle w:val="a4"/>
        <w:rPr>
          <w:color w:val="000000" w:themeColor="text1"/>
          <w:lang w:val="ru-RU"/>
        </w:rPr>
      </w:pPr>
      <w:r w:rsidRPr="008127F8">
        <w:rPr>
          <w:color w:val="000000" w:themeColor="text1"/>
          <w:lang w:val="ru-RU"/>
        </w:rPr>
        <w:t>Большое внимание руководство НКТП уделяло увеличению количества уникального металлорежущего оборудования. Зачастую это оборудование закупалось за рубежом на специально выделяемые для этого валютные фонды. Всего количество уникального металлорежущего оборудования на предприятиях НКТП возросло более чем в два раза, со 152 штук на 1 июля 1942 года до 330 штук на 1 июля 1945 года</w:t>
      </w:r>
      <w:r w:rsidRPr="008127F8">
        <w:rPr>
          <w:color w:val="000000" w:themeColor="text1"/>
          <w:vertAlign w:val="superscript"/>
          <w:lang w:val="ru-RU"/>
        </w:rPr>
        <w:t>1</w:t>
      </w:r>
      <w:r w:rsidRPr="008127F8">
        <w:rPr>
          <w:color w:val="000000" w:themeColor="text1"/>
          <w:lang w:val="ru-RU"/>
        </w:rPr>
        <w:t>. Уникальные металлорежущие станки были нужны предприятиям НКТП в силу специфики производства танков. Кроме того, во многих случаях уникальное оборудование значительно повышало производительность труда.</w:t>
      </w:r>
    </w:p>
    <w:p w14:paraId="6995BC54" w14:textId="77777777" w:rsidR="00F658A1" w:rsidRPr="008127F8" w:rsidRDefault="00F658A1" w:rsidP="001E0A84">
      <w:pPr>
        <w:pStyle w:val="a4"/>
        <w:rPr>
          <w:color w:val="000000" w:themeColor="text1"/>
          <w:lang w:val="ru-RU"/>
        </w:rPr>
      </w:pPr>
      <w:r w:rsidRPr="008127F8">
        <w:rPr>
          <w:color w:val="000000" w:themeColor="text1"/>
          <w:lang w:val="ru-RU"/>
        </w:rPr>
        <w:t>Возросло количество другого важного вида оборудования, штамповочных молотов. С 94 штук на начало 1943 года оно увеличилось до 150 штук на начало 1945 года. За вычетом оборудования восстановленных заводов, оно увеличилось на 16 штук. Количество штамповочных молотов с массой падающей части свыше 2-х тонн возросло за это же время с 45 до 68. Количество ковочных молотов возросло за тот же период с 97 до 162 штук. За вычетом оборудования восстановленных заводов рост составил 40 штук</w:t>
      </w:r>
      <w:r w:rsidRPr="008127F8">
        <w:rPr>
          <w:color w:val="000000" w:themeColor="text1"/>
          <w:vertAlign w:val="superscript"/>
          <w:lang w:val="ru-RU"/>
        </w:rPr>
        <w:t>2</w:t>
      </w:r>
      <w:r w:rsidRPr="008127F8">
        <w:rPr>
          <w:color w:val="000000" w:themeColor="text1"/>
          <w:lang w:val="ru-RU"/>
        </w:rPr>
        <w:t>. Число горизонтально-ковочных машин возрасло с 47 до 85.</w:t>
      </w:r>
    </w:p>
    <w:p w14:paraId="3066C100" w14:textId="77777777" w:rsidR="00F658A1" w:rsidRPr="008127F8" w:rsidRDefault="00F658A1" w:rsidP="001E0A84">
      <w:pPr>
        <w:pStyle w:val="a4"/>
        <w:rPr>
          <w:color w:val="000000" w:themeColor="text1"/>
          <w:lang w:val="ru-RU"/>
        </w:rPr>
      </w:pPr>
      <w:r w:rsidRPr="008127F8">
        <w:rPr>
          <w:color w:val="000000" w:themeColor="text1"/>
          <w:lang w:val="ru-RU"/>
        </w:rPr>
        <w:t>Руководство отрасли много внимания уделяло расширению металлургического производства. Наркомат прочно занимал место одного из крупнейших производителей металлургической продукции. Почти все заводы НКТП имели собственное металлургическое производство. Это было связано с тенденцией сосредоточить в своих руках как можно большую часть технологической цепочки (12290).</w:t>
      </w:r>
    </w:p>
    <w:p w14:paraId="7106F8B6"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3380448C" w14:textId="77777777" w:rsidR="00F658A1" w:rsidRPr="008127F8" w:rsidRDefault="00F658A1" w:rsidP="001E0A84">
      <w:pPr>
        <w:pStyle w:val="a4"/>
        <w:rPr>
          <w:color w:val="000000" w:themeColor="text1"/>
          <w:lang w:val="ru-RU"/>
        </w:rPr>
      </w:pPr>
      <w:r w:rsidRPr="008127F8">
        <w:rPr>
          <w:color w:val="000000" w:themeColor="text1"/>
          <w:lang w:val="ru-RU"/>
        </w:rPr>
        <w:t>На 1 января 1942 года на предприятиях НКТП имелось 24 мартеновских и 39 электрических печей, на 1 января 1943 года - 32 мартеновские и 30 электрических печей, на 1 января 1944 года - 40 электрических и 37 мартеновских печей, а на 1 января 1945 года - 51 мартеновская и 42 электрических печей. В 1942 году НКТП выплавил 733.727 тонны стали, что составило 9,1% от общего производства по стране. В 1943 году стали выплавили уже 797.202 тонны, а в 1944 году был настоящий прорыв - 1.250.605 тонны, что составило 11,5% от общего производства стали по стране. Прорыв этот в основном обеспечило возобновление работы металлургических цехов ленинградского Кировского и Ижорского заводов. Крупных размеров достигала выплавка чугуна: 109.965 тонн в 1942 году, 130.110 - в 1943 году, 216.948 - в 1944 году.</w:t>
      </w:r>
    </w:p>
    <w:p w14:paraId="5AD26E06" w14:textId="77777777" w:rsidR="00F658A1" w:rsidRPr="008127F8" w:rsidRDefault="00F658A1" w:rsidP="001E0A84">
      <w:pPr>
        <w:pStyle w:val="a4"/>
        <w:rPr>
          <w:color w:val="000000" w:themeColor="text1"/>
          <w:lang w:val="ru-RU"/>
        </w:rPr>
      </w:pPr>
      <w:r w:rsidRPr="008127F8">
        <w:rPr>
          <w:color w:val="000000" w:themeColor="text1"/>
          <w:lang w:val="ru-RU"/>
        </w:rPr>
        <w:t>В 1942 году в НКТП имелось девять прокатных станов общей производительностью 237.800 тонн, в том числе, два среднелистовых, которые можно было использовать для производства бронелиста, общей производительностью в 65.400 тонн. В 1943 ситуация радикально не изменилась. В 1944 же году количество прокатных станов резко увеличилось и достигло к началу 1945 года двадцати трёх, в том числе, шесть среднелистовых, два тонколистовых и один толстолистовой. Их общая производительность составляла 718.800 тонн. Производство проката составило в 1942 году 146,9 тыс. тонн, в том числе - 42,2 тыс. тонн бронелиста, в 1943 - 187,1 тыс. тонн, в том числе - 24,5 тыс. тонн бронелиста. В 1944 - 385 тыс. тонн всего, и в том числе, 90 тыс. тонн бронелиста. Впрочем, потребность НКТП в бронелисте все-таки в основном удовлетворялась предприятиями НКЧМ, а не собственным производством. Так, в 1942 году НКЧМ поставил 466.550 тонн бронелиста, в 1943 году- 397.378 тонн бронелиста, а в 1944 году- 476.714 тонн бронелиста (РГАЭ. Ф. 8752. Оп. 4. Д. 728. Л. 139).</w:t>
      </w:r>
    </w:p>
    <w:p w14:paraId="55D3BABD" w14:textId="77777777" w:rsidR="00F658A1" w:rsidRPr="008127F8" w:rsidRDefault="00F658A1" w:rsidP="001E0A84">
      <w:pPr>
        <w:pStyle w:val="a4"/>
        <w:rPr>
          <w:color w:val="000000" w:themeColor="text1"/>
          <w:lang w:val="ru-RU"/>
        </w:rPr>
      </w:pPr>
      <w:r w:rsidRPr="008127F8">
        <w:rPr>
          <w:color w:val="000000" w:themeColor="text1"/>
          <w:lang w:val="ru-RU"/>
        </w:rPr>
        <w:t>Новое оборудование, поступавшее на заводы НКТП, происходило из двух источников. В первую очередь, это было оборудование, произведённое на советских станкостроительных заводах. В годы войны в СССР, несмотря на переключение большей части производственных мощностей на военное производство, было изготовлено значительное количество металлорежущих станков. Так, в 1942 году было произведено 22935 металлорежущих станков. В 1943 году уровень производства остался примерно тем же - 23281 станка. В 1944 году в этой области был достигнут существенный рост - было произведено уже 34049 станков (Народное хозяйство СССР в Великой Отечественной войне 1941 - 1945 гг.: статистический сборник. С. 62). Поскольку в 1940 году в СССР было произведено 58437 металлорежущих станка, то получается, что в 1942 - 1943 годах объём производства составлял 39% от довоенного, а в 1944 году он возрос до 58%. Фактически объёмы производства 1942-1943 годов соответствовали уровню середины 30-х годов, а производство 1944 года - уровню конца тридцатых годов, то есть, периодам интенсивного роста советской промышленности (12290).</w:t>
      </w:r>
    </w:p>
    <w:p w14:paraId="36AFC757" w14:textId="77777777" w:rsidR="00F658A1" w:rsidRPr="008127F8" w:rsidRDefault="00F658A1" w:rsidP="001E0A84">
      <w:pPr>
        <w:pStyle w:val="a4"/>
        <w:rPr>
          <w:color w:val="000000" w:themeColor="text1"/>
          <w:lang w:val="ru-RU"/>
        </w:rPr>
      </w:pPr>
    </w:p>
    <w:p w14:paraId="107F36EA"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января 1942 года на заводе № 183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7B6A6E78"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1942 года на завод № 183 было принято более 10000 рабочих. Кроме того, в это же время дляя устранения дефицита в снабжении сжатым воздухом построили и ввели в эксплуатацию три турбокомпрессора производительностью 55000 кубометров в час. Все эти мероприятия по наращиванию мощностей завода позволили к концу 1942 года довести среднесуточный выпуск Т-34 до 25 машин (12217).</w:t>
      </w:r>
    </w:p>
    <w:p w14:paraId="3D1CEC07"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19979AE4" w14:textId="77777777" w:rsidR="00F658A1" w:rsidRPr="008127F8" w:rsidRDefault="00F658A1" w:rsidP="001E0A84">
      <w:pPr>
        <w:pStyle w:val="a4"/>
        <w:rPr>
          <w:color w:val="000000" w:themeColor="text1"/>
          <w:lang w:val="ru-RU"/>
        </w:rPr>
      </w:pPr>
      <w:r w:rsidRPr="008127F8">
        <w:rPr>
          <w:color w:val="000000" w:themeColor="text1"/>
          <w:lang w:val="ru-RU"/>
        </w:rPr>
        <w:t>За период с 1 января 1942 года по 1 июля 1945 года трудоёмкость танка Т-34 снизилась на заводе №183 более чем в два раза, с 6900 человеко-часов до 3209 человеко-часов. Ещё сильнее, почти в четыре раза, за этот период снизилась трудоёмкость на заводе № 112, с 12400 человеко-часов до 3380 человеко-часов. Существенно снизилась трудоёмкость изделий, выпускаемых на других заводах. Всё это свидетельствует о том, что основой достижений Наркомата танковой промышленности было эффективное и рациональное использование оборудования и рабочей силы, умелое руководство производственным процессом на всех уровнях (12290).</w:t>
      </w:r>
    </w:p>
    <w:p w14:paraId="681DE834"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5E6208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января 1942 года по улицам Свердловска, предварительно проведя отстрел своего оружия на специально построенном полигоне прошли первые 20 танков Т-30 и Т-60, собранные с 15 декабря 1941 года на новом танковом заводе № 37 в Свердловске (главный конструктор Г.С. Суренян, затем Н.А. Попов), в основном из деталей, привезенных из Москвы. За первый квартал 1942 года завод произвел уже 512 машин (3862).</w:t>
      </w:r>
    </w:p>
    <w:p w14:paraId="71F6A33C" w14:textId="77777777" w:rsidR="00D4651C" w:rsidRPr="008127F8" w:rsidRDefault="00D4651C" w:rsidP="001E0A84">
      <w:pPr>
        <w:pStyle w:val="Iauiue"/>
        <w:jc w:val="both"/>
        <w:rPr>
          <w:color w:val="000000" w:themeColor="text1"/>
          <w:sz w:val="16"/>
          <w:szCs w:val="16"/>
        </w:rPr>
      </w:pPr>
    </w:p>
    <w:p w14:paraId="1DE12DC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 января 1942 года вышел приказ № 1скс/84 мс Наркомата среднего машиностроения и НКТП</w:t>
      </w:r>
    </w:p>
    <w:p w14:paraId="62A71F29"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Во исполнение распоряжения СНК от 29 декабря 1941 года за № 1090-кс:</w:t>
      </w:r>
    </w:p>
    <w:p w14:paraId="4063543E"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Наркомсредмашу передать, а НКТП принять завод ЗЭМ в Челябинске и оставшуюся часть завода ЗЭМ в Москве ……… (6045, 36).</w:t>
      </w:r>
    </w:p>
    <w:p w14:paraId="3DA39B07" w14:textId="77777777" w:rsidR="00D4651C" w:rsidRPr="008127F8" w:rsidRDefault="00D4651C" w:rsidP="001E0A84">
      <w:pPr>
        <w:pStyle w:val="Iauiue"/>
        <w:tabs>
          <w:tab w:val="left" w:pos="11199"/>
        </w:tabs>
        <w:jc w:val="both"/>
        <w:rPr>
          <w:color w:val="000000" w:themeColor="text1"/>
          <w:sz w:val="16"/>
          <w:szCs w:val="16"/>
        </w:rPr>
      </w:pPr>
    </w:p>
    <w:p w14:paraId="487F207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1 января 1942 года был подготовлен Паспорт завода № 112 “Красное Сормово” </w:t>
      </w:r>
    </w:p>
    <w:p w14:paraId="500DC65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Михалев (9671).</w:t>
      </w:r>
    </w:p>
    <w:p w14:paraId="3B7F6953" w14:textId="77777777" w:rsidR="00D4651C" w:rsidRPr="008127F8" w:rsidRDefault="00D4651C" w:rsidP="001E0A84">
      <w:pPr>
        <w:pStyle w:val="Iauiue"/>
        <w:jc w:val="both"/>
        <w:rPr>
          <w:color w:val="000000" w:themeColor="text1"/>
          <w:sz w:val="16"/>
          <w:szCs w:val="16"/>
        </w:rPr>
      </w:pPr>
    </w:p>
    <w:p w14:paraId="21F86DF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был подготовлен Производственный паспорт завода № 264</w:t>
      </w:r>
    </w:p>
    <w:p w14:paraId="529E99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Кордунер</w:t>
      </w:r>
    </w:p>
    <w:p w14:paraId="297D6DD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Сталинград 24, п/я 144</w:t>
      </w:r>
    </w:p>
    <w:p w14:paraId="4BEB73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264 начат постройкой в 1930 году как судостроительная верфь. В 1933 году были пущены в эксплуатацию основные судостроительные цехи. С 1937 года началась реконструкция судостроительной верфи и строительство новых цехов для производства корпусов и башен танка Т-26. В 1939 году были пущены основные цеха первой очереди. В конце 1939 года по распоряжению правительства Т-26 с производства были сняты и завод реконструировался на выпуск корпусов и башен танка Т-34. В 1940 году был начат постройкой цех для выпуска корпусов самолетов ИЛ-2, который пущен в эксплуатацию в 1941 году. С июля 1941 года судостроительное производство было прекращено и завод полностью перешел на танко и самолетостроение (9813).</w:t>
      </w:r>
    </w:p>
    <w:p w14:paraId="22C356E7" w14:textId="77777777" w:rsidR="00D4651C" w:rsidRPr="008127F8" w:rsidRDefault="00D4651C" w:rsidP="001E0A84">
      <w:pPr>
        <w:pStyle w:val="Iauiue"/>
        <w:jc w:val="both"/>
        <w:rPr>
          <w:color w:val="000000" w:themeColor="text1"/>
          <w:sz w:val="16"/>
          <w:szCs w:val="16"/>
        </w:rPr>
      </w:pPr>
    </w:p>
    <w:p w14:paraId="3AE99577" w14:textId="77777777"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января 1942 г. на новой территории завода № 37 в Свердловске уже действовало 1286 единиц металлообрабатывающего оборудования из 1842 доставленных на завод (из них 400 передали другим предприятиям). Не обошлось и без потерь при перевозках. Так и не прибыло на 1 января 1942 г. 470 вагонов из 3513 отправленных</w:t>
      </w:r>
      <w:r w:rsidRPr="008127F8">
        <w:rPr>
          <w:rFonts w:ascii="Times New Roman" w:hAnsi="Times New Roman"/>
          <w:color w:val="000000" w:themeColor="text1"/>
          <w:sz w:val="16"/>
          <w:szCs w:val="16"/>
          <w:vertAlign w:val="superscript"/>
          <w:lang w:val="en-US"/>
        </w:rPr>
        <w:t>xx</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vertAlign w:val="superscript"/>
          <w:lang w:val="en-US"/>
        </w:rPr>
        <w:t>x</w:t>
      </w:r>
      <w:r w:rsidRPr="008127F8">
        <w:rPr>
          <w:rFonts w:ascii="Times New Roman" w:hAnsi="Times New Roman"/>
          <w:color w:val="000000" w:themeColor="text1"/>
          <w:sz w:val="16"/>
          <w:szCs w:val="16"/>
        </w:rPr>
        <w:t xml:space="preserve">. Проблема вывоза людей также не была решена полностью. В город Свердловск из всех трёх эвакуируемых заводов прибыло 3513 рабочих и служащих, притом, что ранее на них работало 11527 человек. Наряду с тремя с половиной тысячами сотрудников в Свердловск было эвакуировано восемь с половиной </w:t>
      </w:r>
      <w:r w:rsidRPr="008127F8">
        <w:rPr>
          <w:rFonts w:ascii="Times New Roman" w:hAnsi="Times New Roman"/>
          <w:color w:val="000000" w:themeColor="text1"/>
          <w:sz w:val="16"/>
          <w:szCs w:val="16"/>
        </w:rPr>
        <w:lastRenderedPageBreak/>
        <w:t>тысяч членов их семей. Вместо планировавшихся ГКО 20 тысяч человек на место назначения прибыло только 12 тысяч. Правда, не всё оборудование и кадры этих заводов эвакуировались в город Свердловск. Некоторые побочные производства, такие, как: изготовление боеприпасов, мотоциклетных моторов, некоторых видов нефтяного и горнодобывающего оборудования, были переданы заводам других наркоматов. Производство танков налаживалось на заводе № 50 с большим трудом. Завод не выполнил обязательство начать выпуск танков 25 ноября. Первый танк был изготовлен только 15 декабря.</w:t>
      </w:r>
    </w:p>
    <w:p w14:paraId="2E17BCE4" w14:textId="77777777" w:rsidR="00396094" w:rsidRPr="008127F8" w:rsidRDefault="00396094" w:rsidP="001E0A84">
      <w:pPr>
        <w:spacing w:after="0" w:line="240" w:lineRule="auto"/>
        <w:jc w:val="both"/>
        <w:rPr>
          <w:rFonts w:ascii="Times New Roman" w:hAnsi="Times New Roman"/>
          <w:color w:val="000000" w:themeColor="text1"/>
          <w:sz w:val="16"/>
          <w:szCs w:val="16"/>
        </w:rPr>
      </w:pPr>
    </w:p>
    <w:p w14:paraId="5FB63551" w14:textId="77777777" w:rsidR="00D4651C" w:rsidRPr="008127F8" w:rsidRDefault="00D4651C" w:rsidP="001E0A84">
      <w:pPr>
        <w:pStyle w:val="a9"/>
        <w:widowControl/>
        <w:jc w:val="both"/>
        <w:rPr>
          <w:rFonts w:ascii="Times New Roman" w:hAnsi="Times New Roman" w:cs="Times New Roman"/>
          <w:color w:val="000000" w:themeColor="text1"/>
        </w:rPr>
      </w:pPr>
      <w:r w:rsidRPr="008127F8">
        <w:rPr>
          <w:rFonts w:ascii="Times New Roman" w:hAnsi="Times New Roman" w:cs="Times New Roman"/>
          <w:color w:val="000000" w:themeColor="text1"/>
        </w:rPr>
        <w:t>К 1 января 1942 года вследствие сложностей с чертежами, а в отдельных случаях и с металлом, было сдано только 10 бронепоездов ОБ-3 ("Ковровский большевик", "Челябинский железнодорожник", "Южно-уральский железнодорожник" и др.). В январе армия получила 12 ("Василий Чапаев", "Кзыл Татарстан", "Вперед, на запад!" и др.), в феврале 17 ("Сталинский Урал", "Свердловский железнодорожник", "Советская Сибирь", "Железнодорожник Кузбасса", "Победа", "За Родину!", "Сибиряк-Барабинец" и др.) и в марте 26 ("Лунинец", "Комсомол Чувашии", "Сибиряк", "Металлург Кузбасса", "Североказахстанец", "Сталинец", "Москвич" и др.) бронепоездов типа ОБ-3 (9642).</w:t>
      </w:r>
    </w:p>
    <w:p w14:paraId="6C2850FF" w14:textId="77777777" w:rsidR="00D4651C" w:rsidRPr="008127F8" w:rsidRDefault="00D4651C" w:rsidP="001E0A84">
      <w:pPr>
        <w:pStyle w:val="a9"/>
        <w:widowControl/>
        <w:jc w:val="both"/>
        <w:rPr>
          <w:rFonts w:ascii="Times New Roman" w:hAnsi="Times New Roman" w:cs="Times New Roman"/>
          <w:color w:val="000000" w:themeColor="text1"/>
        </w:rPr>
      </w:pPr>
    </w:p>
    <w:p w14:paraId="61B828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были следующие Паспорта заводом НКМВ:</w:t>
      </w:r>
    </w:p>
    <w:p w14:paraId="70E50C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Главное управление</w:t>
      </w:r>
    </w:p>
    <w:p w14:paraId="1E2DE5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701</w:t>
      </w:r>
    </w:p>
    <w:p w14:paraId="61CED2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Челябинск п/я 239</w:t>
      </w:r>
    </w:p>
    <w:p w14:paraId="5672A04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Завод № 702 им. </w:t>
      </w:r>
      <w:proofErr w:type="gramStart"/>
      <w:r w:rsidRPr="008127F8">
        <w:rPr>
          <w:color w:val="000000" w:themeColor="text1"/>
          <w:sz w:val="16"/>
          <w:szCs w:val="16"/>
        </w:rPr>
        <w:t>К.Е</w:t>
      </w:r>
      <w:proofErr w:type="gramEnd"/>
      <w:r w:rsidRPr="008127F8">
        <w:rPr>
          <w:color w:val="000000" w:themeColor="text1"/>
          <w:sz w:val="16"/>
          <w:szCs w:val="16"/>
        </w:rPr>
        <w:t xml:space="preserve"> Ворошилова</w:t>
      </w:r>
    </w:p>
    <w:p w14:paraId="067CD74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Ташкент, ул. Сельмаша, д. 2</w:t>
      </w:r>
    </w:p>
    <w:p w14:paraId="7E5BC4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704</w:t>
      </w:r>
    </w:p>
    <w:p w14:paraId="2181656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 Белинская Пензенской области, п/я № 200</w:t>
      </w:r>
    </w:p>
    <w:p w14:paraId="7C1B50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707</w:t>
      </w:r>
    </w:p>
    <w:p w14:paraId="3EF0AC7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бывшего Машзавода Главпродмаш</w:t>
      </w:r>
    </w:p>
    <w:p w14:paraId="32144C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Курган Челябинской области, п/я 49</w:t>
      </w:r>
    </w:p>
    <w:p w14:paraId="4FC3239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Курганский машиностроительный завод № 709</w:t>
      </w:r>
    </w:p>
    <w:p w14:paraId="0C3854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Музыкальной фабрики Облместпрома и литейной артели “Металлист”</w:t>
      </w:r>
    </w:p>
    <w:p w14:paraId="682008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Курган Челябинской области</w:t>
      </w:r>
    </w:p>
    <w:p w14:paraId="2FEC69B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711 им. Ухтомского</w:t>
      </w:r>
    </w:p>
    <w:p w14:paraId="1BA14EB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Люберцы Московской области, п/я 66</w:t>
      </w:r>
    </w:p>
    <w:p w14:paraId="165611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Болшевский машиностроительный завод № 715</w:t>
      </w:r>
    </w:p>
    <w:p w14:paraId="7EFBBC6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Болшево Московской области, п/я 65</w:t>
      </w:r>
    </w:p>
    <w:p w14:paraId="1A783B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743</w:t>
      </w:r>
    </w:p>
    <w:p w14:paraId="119337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Иваново, Загородная, 28</w:t>
      </w:r>
    </w:p>
    <w:p w14:paraId="57C99CD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744</w:t>
      </w:r>
    </w:p>
    <w:p w14:paraId="6C92A1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Пензенского спиртоводочного завода</w:t>
      </w:r>
    </w:p>
    <w:p w14:paraId="505AAE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Пенза, п/я 13/6</w:t>
      </w:r>
    </w:p>
    <w:p w14:paraId="41F6A6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749 им. 1-го Августа</w:t>
      </w:r>
    </w:p>
    <w:p w14:paraId="2E68D5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Варшавское шоссе, д. 15</w:t>
      </w:r>
    </w:p>
    <w:p w14:paraId="06D31B4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750</w:t>
      </w:r>
    </w:p>
    <w:p w14:paraId="6BC9C70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прежнего Климовского завода</w:t>
      </w:r>
    </w:p>
    <w:p w14:paraId="36E57B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Климовск Московской области, п/я № 45</w:t>
      </w:r>
    </w:p>
    <w:p w14:paraId="1CB0CF1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755</w:t>
      </w:r>
    </w:p>
    <w:p w14:paraId="4605911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22, 2-я Звенигородская ул., д. 7</w:t>
      </w:r>
    </w:p>
    <w:p w14:paraId="5E9C73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849</w:t>
      </w:r>
    </w:p>
    <w:p w14:paraId="331831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Орехово-Зуево Московской области, Ликинское шоссе</w:t>
      </w:r>
    </w:p>
    <w:p w14:paraId="421CA8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Главное управление</w:t>
      </w:r>
    </w:p>
    <w:p w14:paraId="606755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Горьковский машиностроительный завод № 729</w:t>
      </w:r>
    </w:p>
    <w:p w14:paraId="774FE4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строящегося вагоноремонтного завода</w:t>
      </w:r>
    </w:p>
    <w:p w14:paraId="4F0E79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Горький, Чебоксарская ул, 9</w:t>
      </w:r>
    </w:p>
    <w:p w14:paraId="79467B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761</w:t>
      </w:r>
    </w:p>
    <w:p w14:paraId="1FEE7C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бывшего Нардома</w:t>
      </w:r>
    </w:p>
    <w:p w14:paraId="1B2D05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Курган Челябинской области, п/я 62</w:t>
      </w:r>
    </w:p>
    <w:p w14:paraId="2946C4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762</w:t>
      </w:r>
    </w:p>
    <w:p w14:paraId="1AEF4A3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завода “Механик”</w:t>
      </w:r>
    </w:p>
    <w:p w14:paraId="68FDDB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Тюмень, п/я 54</w:t>
      </w:r>
    </w:p>
    <w:p w14:paraId="6DE10C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765</w:t>
      </w:r>
    </w:p>
    <w:p w14:paraId="6DB7105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Рыбинск Ярославской области, п/я 128</w:t>
      </w:r>
    </w:p>
    <w:p w14:paraId="22F9B6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766</w:t>
      </w:r>
    </w:p>
    <w:p w14:paraId="60DAA2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новостроящегося завода “Механик”</w:t>
      </w:r>
    </w:p>
    <w:p w14:paraId="3EA30C6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Тюмень</w:t>
      </w:r>
    </w:p>
    <w:p w14:paraId="101E8A2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Тюменский экскаваторный завод № 769</w:t>
      </w:r>
    </w:p>
    <w:p w14:paraId="7EA7CF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Тюменских государственных конюшен</w:t>
      </w:r>
    </w:p>
    <w:p w14:paraId="06C650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Тюмень Омской облатси, ул. Семакова, 22</w:t>
      </w:r>
    </w:p>
    <w:p w14:paraId="011567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770 экскаваторный</w:t>
      </w:r>
    </w:p>
    <w:p w14:paraId="2D40476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Ташкент, Огородная, 25</w:t>
      </w:r>
    </w:p>
    <w:p w14:paraId="15FF70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771</w:t>
      </w:r>
    </w:p>
    <w:p w14:paraId="038A5F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Ярославль, п/я 135</w:t>
      </w:r>
    </w:p>
    <w:p w14:paraId="6E8C35D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772 “Северный коммунар”</w:t>
      </w:r>
    </w:p>
    <w:p w14:paraId="13FAD3D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Вологда, Малые Кожевники, д. 13</w:t>
      </w:r>
    </w:p>
    <w:p w14:paraId="189E711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773 “Рабочий металлист”</w:t>
      </w:r>
    </w:p>
    <w:p w14:paraId="11666F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Кострома</w:t>
      </w:r>
    </w:p>
    <w:p w14:paraId="21D824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777 “Красный маяк”</w:t>
      </w:r>
    </w:p>
    <w:p w14:paraId="7BEEFA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лакокрасочного завода</w:t>
      </w:r>
    </w:p>
    <w:p w14:paraId="1A158B4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Ярославль п/я 7</w:t>
      </w:r>
    </w:p>
    <w:p w14:paraId="478C4D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788 им. Маленкова</w:t>
      </w:r>
    </w:p>
    <w:p w14:paraId="6C78936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113, М. Красносельская, 2/8</w:t>
      </w:r>
    </w:p>
    <w:p w14:paraId="68BBC6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802</w:t>
      </w:r>
    </w:p>
    <w:p w14:paraId="06ACFFF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Гусь-Хрустальный Ивановской области</w:t>
      </w:r>
    </w:p>
    <w:p w14:paraId="35E452A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822</w:t>
      </w:r>
    </w:p>
    <w:p w14:paraId="134321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Поселок Сысерть Свердловской области, п/я 102</w:t>
      </w:r>
    </w:p>
    <w:p w14:paraId="117BBA8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Главное управление</w:t>
      </w:r>
    </w:p>
    <w:p w14:paraId="52AFC22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Московский завод трикотажных машин № 738</w:t>
      </w:r>
    </w:p>
    <w:p w14:paraId="3BB84E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Калужский переулок, д. 4</w:t>
      </w:r>
    </w:p>
    <w:p w14:paraId="28AFFE8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740</w:t>
      </w:r>
    </w:p>
    <w:p w14:paraId="02C417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Пензенской бисквитной фабрики</w:t>
      </w:r>
    </w:p>
    <w:p w14:paraId="37D2B5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Пенза, п/я 250</w:t>
      </w:r>
    </w:p>
    <w:p w14:paraId="298A8E2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745 им. Фрунзе</w:t>
      </w:r>
    </w:p>
    <w:p w14:paraId="437D438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Шуя, Ивановской области, 1-я Нагорная ул., д. 6</w:t>
      </w:r>
    </w:p>
    <w:p w14:paraId="3794F4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748</w:t>
      </w:r>
    </w:p>
    <w:p w14:paraId="686B236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завода “Возрождение” НКТП</w:t>
      </w:r>
    </w:p>
    <w:p w14:paraId="7139EC5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Кузнецк, Пензенской области, п/я 8</w:t>
      </w:r>
    </w:p>
    <w:p w14:paraId="562C18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760</w:t>
      </w:r>
    </w:p>
    <w:p w14:paraId="74A373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учебного крпуса Уральского индустриального института им. Кирова</w:t>
      </w:r>
    </w:p>
    <w:p w14:paraId="3D9D76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Сведловск, Втузгородок</w:t>
      </w:r>
    </w:p>
    <w:p w14:paraId="5CE94A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Филиал № 1 завода № 760</w:t>
      </w:r>
    </w:p>
    <w:p w14:paraId="7CDEE4B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Дормашзавода Гушосдора НКВД (с 1942 года).</w:t>
      </w:r>
    </w:p>
    <w:p w14:paraId="0DF9D96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Свердловск</w:t>
      </w:r>
    </w:p>
    <w:p w14:paraId="451583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768*</w:t>
      </w:r>
    </w:p>
    <w:p w14:paraId="656C66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п/я 133</w:t>
      </w:r>
    </w:p>
    <w:p w14:paraId="0A9E1E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798 (Машиностроительный).</w:t>
      </w:r>
    </w:p>
    <w:p w14:paraId="6EF760C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22, п/я 2259</w:t>
      </w:r>
    </w:p>
    <w:p w14:paraId="2348D5B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808</w:t>
      </w:r>
    </w:p>
    <w:p w14:paraId="3C3B871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Рыбинск Ярославской области, п/я 40</w:t>
      </w:r>
    </w:p>
    <w:p w14:paraId="52BABE1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815</w:t>
      </w:r>
    </w:p>
    <w:p w14:paraId="611A99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Шадринского мотороремонтного завода НКЗ (с 1941 года).</w:t>
      </w:r>
    </w:p>
    <w:p w14:paraId="5476D90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Шадринск Челябинской области, ул. Короткая, 4, п/я 38</w:t>
      </w:r>
    </w:p>
    <w:p w14:paraId="6E7025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819</w:t>
      </w:r>
    </w:p>
    <w:p w14:paraId="5F6DB2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бывшего грамофонного завода</w:t>
      </w:r>
    </w:p>
    <w:p w14:paraId="0E583C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Коломна Московской области</w:t>
      </w:r>
    </w:p>
    <w:p w14:paraId="6A22C0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Пензенский литейно-механический завод № 821</w:t>
      </w:r>
    </w:p>
    <w:p w14:paraId="523431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базе площадей Чугунно-литейного завода Наркомпищепрома РСФСР </w:t>
      </w:r>
      <w:proofErr w:type="gramStart"/>
      <w:r w:rsidRPr="008127F8">
        <w:rPr>
          <w:color w:val="000000" w:themeColor="text1"/>
          <w:sz w:val="16"/>
          <w:szCs w:val="16"/>
        </w:rPr>
        <w:t>( с</w:t>
      </w:r>
      <w:proofErr w:type="gramEnd"/>
      <w:r w:rsidRPr="008127F8">
        <w:rPr>
          <w:color w:val="000000" w:themeColor="text1"/>
          <w:sz w:val="16"/>
          <w:szCs w:val="16"/>
        </w:rPr>
        <w:t xml:space="preserve"> 1941 года).</w:t>
      </w:r>
    </w:p>
    <w:p w14:paraId="376C43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Пенза, Каракозовская ул., д. 26</w:t>
      </w:r>
    </w:p>
    <w:p w14:paraId="4F5E40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828</w:t>
      </w:r>
    </w:p>
    <w:p w14:paraId="6DE9E1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п/я 1543</w:t>
      </w:r>
    </w:p>
    <w:p w14:paraId="4087643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829</w:t>
      </w:r>
    </w:p>
    <w:p w14:paraId="251B57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5, Ольховская ул., 27</w:t>
      </w:r>
    </w:p>
    <w:p w14:paraId="24FDC5A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830</w:t>
      </w:r>
    </w:p>
    <w:p w14:paraId="369495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71, 4-ый Михайловский проезд, д. 8а</w:t>
      </w:r>
    </w:p>
    <w:p w14:paraId="7D429B4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847</w:t>
      </w:r>
    </w:p>
    <w:p w14:paraId="7F4CD90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23, Б. Семеновская ул., д. 11</w:t>
      </w:r>
    </w:p>
    <w:p w14:paraId="422EA5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Главное управление</w:t>
      </w:r>
    </w:p>
    <w:p w14:paraId="128A566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718</w:t>
      </w:r>
    </w:p>
    <w:p w14:paraId="60204AD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Горький, Ленинский район</w:t>
      </w:r>
    </w:p>
    <w:p w14:paraId="51E3C2C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720 им. Калинина</w:t>
      </w:r>
    </w:p>
    <w:p w14:paraId="29B4B1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17, п/я 414</w:t>
      </w:r>
    </w:p>
    <w:p w14:paraId="140767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721</w:t>
      </w:r>
    </w:p>
    <w:p w14:paraId="7B1E8A4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базе площадей гаража Облавтотранспорта и склада ГУТАП </w:t>
      </w:r>
      <w:proofErr w:type="gramStart"/>
      <w:r w:rsidRPr="008127F8">
        <w:rPr>
          <w:color w:val="000000" w:themeColor="text1"/>
          <w:sz w:val="16"/>
          <w:szCs w:val="16"/>
        </w:rPr>
        <w:t>( с</w:t>
      </w:r>
      <w:proofErr w:type="gramEnd"/>
      <w:r w:rsidRPr="008127F8">
        <w:rPr>
          <w:color w:val="000000" w:themeColor="text1"/>
          <w:sz w:val="16"/>
          <w:szCs w:val="16"/>
        </w:rPr>
        <w:t xml:space="preserve"> 1941 года).</w:t>
      </w:r>
    </w:p>
    <w:p w14:paraId="5DACF33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Челябинск, п/я 241</w:t>
      </w:r>
    </w:p>
    <w:p w14:paraId="4EFB11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724 им. Фрунзе</w:t>
      </w:r>
    </w:p>
    <w:p w14:paraId="10DAF56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Ремонтно-механического завода, Ремонтно-механического комбината им. Сталина (с 1941 года).</w:t>
      </w:r>
    </w:p>
    <w:p w14:paraId="3B062A9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Узбекская ССР, Ташкентская обасть, Чирчик, п/я 2</w:t>
      </w:r>
    </w:p>
    <w:p w14:paraId="769CD47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726</w:t>
      </w:r>
    </w:p>
    <w:p w14:paraId="798F01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строительства Уралтяжхиммаша (с 1941 года).</w:t>
      </w:r>
    </w:p>
    <w:p w14:paraId="7E333E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Свердловск, Н. Исетск</w:t>
      </w:r>
    </w:p>
    <w:p w14:paraId="0EE02B4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733</w:t>
      </w:r>
    </w:p>
    <w:p w14:paraId="48E9F3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бывшего завода “Компрессор”</w:t>
      </w:r>
    </w:p>
    <w:p w14:paraId="523BD11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24, п/я 3093 (Донгауэровская слобода, д. 20).</w:t>
      </w:r>
    </w:p>
    <w:p w14:paraId="5BD1980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746</w:t>
      </w:r>
    </w:p>
    <w:p w14:paraId="12C321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фабрики им. “XIII Годовщины Октября (с 1941 года).</w:t>
      </w:r>
    </w:p>
    <w:p w14:paraId="62DA08B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п/я 1121</w:t>
      </w:r>
    </w:p>
    <w:p w14:paraId="618D0A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792</w:t>
      </w:r>
    </w:p>
    <w:p w14:paraId="7AD02F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47, Александро-Невская ул., 1</w:t>
      </w:r>
    </w:p>
    <w:p w14:paraId="1FC17FD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Главное управление</w:t>
      </w:r>
    </w:p>
    <w:p w14:paraId="5D5281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742</w:t>
      </w:r>
    </w:p>
    <w:p w14:paraId="4145752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эвакуированного Игольно-платин. Завода им. КИМ (с 1941 года).</w:t>
      </w:r>
    </w:p>
    <w:p w14:paraId="20AC58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Кунцево Московской области, п/я 78</w:t>
      </w:r>
    </w:p>
    <w:p w14:paraId="0EDC23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753 им. Калинина</w:t>
      </w:r>
    </w:p>
    <w:p w14:paraId="2E5C601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83, 2-я Хуторская, 38а</w:t>
      </w:r>
    </w:p>
    <w:p w14:paraId="28E0513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825</w:t>
      </w:r>
    </w:p>
    <w:p w14:paraId="409972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Кусинского дома Совета (с 1942 года).</w:t>
      </w:r>
    </w:p>
    <w:p w14:paraId="59B8E4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Р-н Куса Челябинской области, п/я 01</w:t>
      </w:r>
    </w:p>
    <w:p w14:paraId="2523719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4-й Часовой завод № 834</w:t>
      </w:r>
    </w:p>
    <w:p w14:paraId="5BC9C5A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бывшего городского театра и школы № 21 Златоуста (с 1942 года).</w:t>
      </w:r>
    </w:p>
    <w:p w14:paraId="66B0BE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Златоуст Челябинской области 1-ый часовой завод им. Кирова</w:t>
      </w:r>
    </w:p>
    <w:p w14:paraId="2584953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2-й Государственный часовой завод № 835</w:t>
      </w:r>
    </w:p>
    <w:p w14:paraId="6A5D09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школы № 1, школы № 2, Пединститута, Водочного завода, библиотеки</w:t>
      </w:r>
    </w:p>
    <w:p w14:paraId="0E4C732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Чистополь ТАССР, улица Маркса, 15</w:t>
      </w:r>
    </w:p>
    <w:p w14:paraId="25EB706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836</w:t>
      </w:r>
    </w:p>
    <w:p w14:paraId="5444A85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эвакуированного завода “Манометр”</w:t>
      </w:r>
    </w:p>
    <w:p w14:paraId="68FBDC6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120, п/я 1532</w:t>
      </w:r>
    </w:p>
    <w:p w14:paraId="2143A62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837</w:t>
      </w:r>
    </w:p>
    <w:p w14:paraId="3B4AD3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завода ТТК-2</w:t>
      </w:r>
    </w:p>
    <w:p w14:paraId="40AA70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Углич Ярославской области, п/я № 1</w:t>
      </w:r>
    </w:p>
    <w:p w14:paraId="65BAF77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838</w:t>
      </w:r>
    </w:p>
    <w:p w14:paraId="50B428A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Ликеро-водочного завода (с 1941 года).</w:t>
      </w:r>
    </w:p>
    <w:p w14:paraId="2A8897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Томск, пр. Тимирязева, 68</w:t>
      </w:r>
    </w:p>
    <w:p w14:paraId="551A047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839 (с 1942 года).</w:t>
      </w:r>
    </w:p>
    <w:p w14:paraId="6229DCE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Барнаул Алтайского края, п/я 135</w:t>
      </w:r>
    </w:p>
    <w:p w14:paraId="7B0DB44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840</w:t>
      </w:r>
    </w:p>
    <w:p w14:paraId="57C9365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п/я 2304, Кудринский пер., д. 10</w:t>
      </w:r>
    </w:p>
    <w:p w14:paraId="5D36BD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843 “Готовальня”</w:t>
      </w:r>
    </w:p>
    <w:p w14:paraId="18069CE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бывшего ОКБ-3 (с 1935 года).</w:t>
      </w:r>
    </w:p>
    <w:p w14:paraId="50BD6E2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Москва 23, Электрозаводская ул., д. 52</w:t>
      </w:r>
    </w:p>
    <w:p w14:paraId="0E36D4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845 1-й Московский государственный часовой завод (с 1942 года).</w:t>
      </w:r>
    </w:p>
    <w:p w14:paraId="6888333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4, Воронцовская ул., д. 35б</w:t>
      </w:r>
    </w:p>
    <w:p w14:paraId="4C2212E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846</w:t>
      </w:r>
    </w:p>
    <w:p w14:paraId="523B47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15, Панская ул., д. 14</w:t>
      </w:r>
    </w:p>
    <w:p w14:paraId="473802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853</w:t>
      </w:r>
    </w:p>
    <w:p w14:paraId="4AC0AF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2-го Государственного часового завода в Москве</w:t>
      </w:r>
    </w:p>
    <w:p w14:paraId="5D249CB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п/я 3005</w:t>
      </w:r>
    </w:p>
    <w:p w14:paraId="609D0B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856</w:t>
      </w:r>
    </w:p>
    <w:p w14:paraId="03CEDA0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Старой текстильной фабрики (с 1932 года).</w:t>
      </w:r>
    </w:p>
    <w:p w14:paraId="318E54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Орехово-Зуево Московской области, улица Техники безопасности, д. 15</w:t>
      </w:r>
    </w:p>
    <w:p w14:paraId="3C4D4B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857</w:t>
      </w:r>
    </w:p>
    <w:p w14:paraId="7C4FCD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4-й Рощинский пер., д. 21</w:t>
      </w:r>
    </w:p>
    <w:p w14:paraId="1C9053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Дом звукозаписи</w:t>
      </w:r>
    </w:p>
    <w:p w14:paraId="67DF864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Малая Никитская ул., д. 24</w:t>
      </w:r>
    </w:p>
    <w:p w14:paraId="053012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Главсельмаш</w:t>
      </w:r>
    </w:p>
    <w:p w14:paraId="2030C9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им. Октябрьской Революции</w:t>
      </w:r>
    </w:p>
    <w:p w14:paraId="0ABC56D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бывшего строящегося Сахарного завода законсервированного в 1932 году</w:t>
      </w:r>
    </w:p>
    <w:p w14:paraId="765D05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Рубцовск Алтайского края п/я 50</w:t>
      </w:r>
    </w:p>
    <w:p w14:paraId="69A00F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Производственный филиал ВИСХОМа (1941 год).</w:t>
      </w:r>
    </w:p>
    <w:p w14:paraId="3C83FB7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107, Лихачевское шоссе, д. 6</w:t>
      </w:r>
    </w:p>
    <w:p w14:paraId="2E51C5C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Главхиммаш</w:t>
      </w:r>
    </w:p>
    <w:p w14:paraId="121CAE0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Златоустовский насосный завод</w:t>
      </w:r>
    </w:p>
    <w:p w14:paraId="714CCA0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Эвакуирован из Свесса Сумской области</w:t>
      </w:r>
    </w:p>
    <w:p w14:paraId="29EF9B6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Горпромкомбината (с 1941 года).</w:t>
      </w:r>
    </w:p>
    <w:p w14:paraId="68299A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Златоуст Челябинской области, ул. Карла Маркса, 143</w:t>
      </w:r>
    </w:p>
    <w:p w14:paraId="1F07EA8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Машиностроительный завод им. Калинина</w:t>
      </w:r>
    </w:p>
    <w:p w14:paraId="0DBDC01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металлозавода № 12</w:t>
      </w:r>
    </w:p>
    <w:p w14:paraId="437E49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Кинешма Ивановской области, Железнодорожная ул., 38</w:t>
      </w:r>
    </w:p>
    <w:p w14:paraId="5EE05B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Насосокомпрессорный завод</w:t>
      </w:r>
    </w:p>
    <w:p w14:paraId="6020A7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 Катайск Челябинской области</w:t>
      </w:r>
    </w:p>
    <w:p w14:paraId="5FD48A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Бессоновский машиностроительный завод</w:t>
      </w:r>
    </w:p>
    <w:p w14:paraId="77CE3E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Бессоновского крахмального завода</w:t>
      </w:r>
    </w:p>
    <w:p w14:paraId="3E52C1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 Бессоновка Пензенской области</w:t>
      </w:r>
    </w:p>
    <w:p w14:paraId="07C6086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Очерский завод</w:t>
      </w:r>
    </w:p>
    <w:p w14:paraId="533C9B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Молотовская область</w:t>
      </w:r>
    </w:p>
    <w:p w14:paraId="5736A4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“Машиностроитель”</w:t>
      </w:r>
    </w:p>
    <w:p w14:paraId="664D93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Сибирского НИИ зернового хозяйства, артели “Свой труд”</w:t>
      </w:r>
    </w:p>
    <w:p w14:paraId="49245DC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Омск, ул. Красный путь, 76</w:t>
      </w:r>
    </w:p>
    <w:p w14:paraId="132E652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“Красный Факел”</w:t>
      </w:r>
    </w:p>
    <w:p w14:paraId="75EC269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72, Софийская набережная, 12</w:t>
      </w:r>
    </w:p>
    <w:p w14:paraId="7F9083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Производственные мастерские Н.И. Гидромашиностроит.</w:t>
      </w:r>
    </w:p>
    <w:p w14:paraId="661F5A1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ЦАГИ</w:t>
      </w:r>
    </w:p>
    <w:p w14:paraId="5BCF6BE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Н. Кирочный, д. 6</w:t>
      </w:r>
    </w:p>
    <w:p w14:paraId="3F6C924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им. Воровского</w:t>
      </w:r>
    </w:p>
    <w:p w14:paraId="4334A1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Свердловск, ул. Цвиллинга, д. 7</w:t>
      </w:r>
    </w:p>
    <w:p w14:paraId="5526B6C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“Смычка”</w:t>
      </w:r>
    </w:p>
    <w:p w14:paraId="493EC3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Свердловск, Н. Исетск</w:t>
      </w:r>
    </w:p>
    <w:p w14:paraId="07D4D7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Грабовский продовольственного машиностроения</w:t>
      </w:r>
    </w:p>
    <w:p w14:paraId="0B6C4D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базе площадей Грабовского крахмального завода </w:t>
      </w:r>
      <w:proofErr w:type="gramStart"/>
      <w:r w:rsidRPr="008127F8">
        <w:rPr>
          <w:color w:val="000000" w:themeColor="text1"/>
          <w:sz w:val="16"/>
          <w:szCs w:val="16"/>
        </w:rPr>
        <w:t>( с</w:t>
      </w:r>
      <w:proofErr w:type="gramEnd"/>
      <w:r w:rsidRPr="008127F8">
        <w:rPr>
          <w:color w:val="000000" w:themeColor="text1"/>
          <w:sz w:val="16"/>
          <w:szCs w:val="16"/>
        </w:rPr>
        <w:t xml:space="preserve"> 1941 года).</w:t>
      </w:r>
    </w:p>
    <w:p w14:paraId="54EAEB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Село Грабово, Бессоновского района Пензенской области</w:t>
      </w:r>
    </w:p>
    <w:p w14:paraId="535D9C8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Главармалит</w:t>
      </w:r>
    </w:p>
    <w:p w14:paraId="494A031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Московский формовый завод № 3</w:t>
      </w:r>
    </w:p>
    <w:p w14:paraId="3765575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Крымская набережная, 4</w:t>
      </w:r>
    </w:p>
    <w:p w14:paraId="45D51B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“Буровая техника”</w:t>
      </w:r>
    </w:p>
    <w:p w14:paraId="1B83FE6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Воронцовская ул., 18/20</w:t>
      </w:r>
    </w:p>
    <w:p w14:paraId="31C3BB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Орский механический завод по производству бурового оборудования</w:t>
      </w:r>
    </w:p>
    <w:p w14:paraId="3CFE7C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НА базе площадей склада “Союзсельхозмашснаба” и гаража линейного узла связи </w:t>
      </w:r>
      <w:proofErr w:type="gramStart"/>
      <w:r w:rsidRPr="008127F8">
        <w:rPr>
          <w:color w:val="000000" w:themeColor="text1"/>
          <w:sz w:val="16"/>
          <w:szCs w:val="16"/>
        </w:rPr>
        <w:t>( с</w:t>
      </w:r>
      <w:proofErr w:type="gramEnd"/>
      <w:r w:rsidRPr="008127F8">
        <w:rPr>
          <w:color w:val="000000" w:themeColor="text1"/>
          <w:sz w:val="16"/>
          <w:szCs w:val="16"/>
        </w:rPr>
        <w:t xml:space="preserve"> 1942 года).</w:t>
      </w:r>
    </w:p>
    <w:p w14:paraId="09F037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Орск Чкаловской области, ул. Петрашевцев, 40</w:t>
      </w:r>
    </w:p>
    <w:p w14:paraId="5F7DBF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Мышегский завод</w:t>
      </w:r>
    </w:p>
    <w:p w14:paraId="763104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Алексин Тульской области</w:t>
      </w:r>
    </w:p>
    <w:p w14:paraId="518C82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Пензенский арматурный завод</w:t>
      </w:r>
    </w:p>
    <w:p w14:paraId="168341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пензенского 2-го механического завода (с 1941 года).</w:t>
      </w:r>
    </w:p>
    <w:p w14:paraId="4463613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Пенза, Транспортная, 1</w:t>
      </w:r>
    </w:p>
    <w:p w14:paraId="339679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Уральский завод литейного и лабораторного оборудования</w:t>
      </w:r>
    </w:p>
    <w:p w14:paraId="2EB9D51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Уральского Зооветтехникума (с 1942 года).</w:t>
      </w:r>
    </w:p>
    <w:p w14:paraId="2A3004E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Уральск Казахской ССР</w:t>
      </w:r>
    </w:p>
    <w:p w14:paraId="0F390B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Филиал Уральского завода литейного и лабораторного оборудования</w:t>
      </w:r>
    </w:p>
    <w:p w14:paraId="1A736C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Уральского механического завода им. Ленина НКЭП</w:t>
      </w:r>
    </w:p>
    <w:p w14:paraId="591E06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Уральск Казахской ССР, ул. Советская, 217</w:t>
      </w:r>
    </w:p>
    <w:p w14:paraId="6FDF4B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“Спринклер”</w:t>
      </w:r>
    </w:p>
    <w:p w14:paraId="646A04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Москва 118, п/я 277, ул. Кирпичная, 32</w:t>
      </w:r>
    </w:p>
    <w:p w14:paraId="5238B7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Талкинский завод противопожарного оборудования</w:t>
      </w:r>
    </w:p>
    <w:p w14:paraId="64D9AF3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ремонтной мастерской совхоза № 170</w:t>
      </w:r>
    </w:p>
    <w:p w14:paraId="0E23C2F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Талки Новосибирской области</w:t>
      </w:r>
    </w:p>
    <w:p w14:paraId="0CFAA25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Щучанский ППО</w:t>
      </w:r>
    </w:p>
    <w:p w14:paraId="0631E6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 Чумляк Челябинской области</w:t>
      </w:r>
    </w:p>
    <w:p w14:paraId="436682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Варгашинский завод противопожарного оборудования</w:t>
      </w:r>
    </w:p>
    <w:p w14:paraId="4EBC26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площадей бывшей Ваграшинской МТС</w:t>
      </w:r>
    </w:p>
    <w:p w14:paraId="232F794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 Варгаши Челяюинской облатси</w:t>
      </w:r>
    </w:p>
    <w:p w14:paraId="6F4D08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Государственный союзный Вешняковский арматурно-литейный завод</w:t>
      </w:r>
    </w:p>
    <w:p w14:paraId="794B7F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 Вешняки Московской области, Интернациональная ул., д. 2</w:t>
      </w:r>
    </w:p>
    <w:p w14:paraId="60756D8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Шумихинский завод противопожарного оборудования</w:t>
      </w:r>
    </w:p>
    <w:p w14:paraId="13F85E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Поселок Шумиха Челябинской области (с 1941 года).</w:t>
      </w:r>
    </w:p>
    <w:p w14:paraId="3A3F58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Беловский граммпластинок завод № 842</w:t>
      </w:r>
    </w:p>
    <w:p w14:paraId="2B36CC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Белово Новосибирской области, п/я 17 (6493).</w:t>
      </w:r>
    </w:p>
    <w:p w14:paraId="70430D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состоянию на 1 января 1942 года заводу № 614 МОП был передан Саратовский завод “Универсаль” для производства инструментария и приспособлений.</w:t>
      </w:r>
    </w:p>
    <w:p w14:paraId="5779E6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Саратов, 25, п/я 214</w:t>
      </w:r>
    </w:p>
    <w:p w14:paraId="7A7C9B4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Таким образом, завод расположен на двух территориях: основной, находящейся на Астраханской улице, д. 45 и филиала, находящейся на Университетской ул., д. 37 (9569).</w:t>
      </w:r>
    </w:p>
    <w:p w14:paraId="195CEE79" w14:textId="77777777" w:rsidR="00D4651C" w:rsidRPr="008127F8" w:rsidRDefault="00D4651C" w:rsidP="001E0A84">
      <w:pPr>
        <w:pStyle w:val="Iauiue"/>
        <w:jc w:val="both"/>
        <w:rPr>
          <w:color w:val="000000" w:themeColor="text1"/>
          <w:sz w:val="16"/>
          <w:szCs w:val="16"/>
        </w:rPr>
      </w:pPr>
    </w:p>
    <w:p w14:paraId="1D3554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был подготовлен отчет по ГСКБ-47 НКБ за 1941 год</w:t>
      </w:r>
    </w:p>
    <w:p w14:paraId="21E923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Эвакуировано в Миасс в октябре 1941 года. Филиал остался в Москве.</w:t>
      </w:r>
    </w:p>
    <w:p w14:paraId="0816B5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Начальник – Кулаков (10147).</w:t>
      </w:r>
    </w:p>
    <w:p w14:paraId="6A37C449" w14:textId="77777777" w:rsidR="00D4651C" w:rsidRPr="008127F8" w:rsidRDefault="00D4651C" w:rsidP="001E0A84">
      <w:pPr>
        <w:pStyle w:val="Iauiue"/>
        <w:jc w:val="both"/>
        <w:rPr>
          <w:color w:val="000000" w:themeColor="text1"/>
          <w:sz w:val="16"/>
          <w:szCs w:val="16"/>
        </w:rPr>
      </w:pPr>
    </w:p>
    <w:p w14:paraId="7872241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Отчет завода № 545 за 1941 год</w:t>
      </w:r>
    </w:p>
    <w:p w14:paraId="4DE09FE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Лазарев</w:t>
      </w:r>
    </w:p>
    <w:p w14:paraId="3D63A82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Своим решением от 30 июля 1941 года ГКО обязал НКВ организовать в Чкалове завод № 545 по выпуску патронов с тяжелой пулей. Для этого передавались учебные здания С/х института Наркомсовхоза СССР.</w:t>
      </w:r>
    </w:p>
    <w:p w14:paraId="3336B9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Но учебные здания С/х института были уже ранее переданы по решению ГКО – одна часть НК станкостроения СССР и другая НК зерносовхозов РСФСР.</w:t>
      </w:r>
    </w:p>
    <w:p w14:paraId="5570D19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Поэтому заводу были предложены другие здания: склады областной конторы Сельхозснаба и межрайонного объединения Главтракторосбыт, склады Военведа и склады Горторга, а из помещений С/х института только здание хирургической и терапевтической клиник и учебной кузницы.</w:t>
      </w:r>
    </w:p>
    <w:p w14:paraId="642459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Основные площадки №№ 1 и 2 удалены одна от другой на 3 км.</w:t>
      </w:r>
    </w:p>
    <w:p w14:paraId="61879B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Оборудование получено с заводов №№ 304, 60, 303, 17, 188, 3 (10087).</w:t>
      </w:r>
    </w:p>
    <w:p w14:paraId="2A716603" w14:textId="77777777" w:rsidR="00D4651C" w:rsidRPr="008127F8" w:rsidRDefault="00D4651C" w:rsidP="001E0A84">
      <w:pPr>
        <w:pStyle w:val="Iauiue"/>
        <w:jc w:val="both"/>
        <w:rPr>
          <w:color w:val="000000" w:themeColor="text1"/>
          <w:sz w:val="16"/>
          <w:szCs w:val="16"/>
        </w:rPr>
      </w:pPr>
    </w:p>
    <w:p w14:paraId="5B6346B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Паспорт завода № 513 НКБ</w:t>
      </w:r>
    </w:p>
    <w:p w14:paraId="0A9C11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513 был восстановлен на базе эвакуированного оборудования гильзового производства бывш. Ростовского-на-Дону завода № 513 по калибру 200 мм гильзы и оборудования вспомогательных цехов и звеньевого производства бывш. Тульского завода № 187 по калибрам 20 мм звеньев, 23 мм звеньев и 7,62 мм звеньев.</w:t>
      </w:r>
    </w:p>
    <w:p w14:paraId="2046F94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вступил в строй 2 февраля 1942 года, когда были закончены основные строительные монтажные работы.</w:t>
      </w:r>
    </w:p>
    <w:p w14:paraId="5DD55B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Середин</w:t>
      </w:r>
    </w:p>
    <w:p w14:paraId="5D24275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Омск-20, поселок Буденного, п/я № 7 (9993).</w:t>
      </w:r>
    </w:p>
    <w:p w14:paraId="4F075A9A" w14:textId="77777777" w:rsidR="00D4651C" w:rsidRPr="008127F8" w:rsidRDefault="00D4651C" w:rsidP="001E0A84">
      <w:pPr>
        <w:pStyle w:val="Iauiue"/>
        <w:jc w:val="both"/>
        <w:rPr>
          <w:color w:val="000000" w:themeColor="text1"/>
          <w:sz w:val="16"/>
          <w:szCs w:val="16"/>
        </w:rPr>
      </w:pPr>
    </w:p>
    <w:p w14:paraId="682B9FC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Паспорт завода № 325 на 1942 год НКБ</w:t>
      </w:r>
    </w:p>
    <w:p w14:paraId="6C9DB3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Новосибирск, п/я 126 (9994)</w:t>
      </w:r>
    </w:p>
    <w:p w14:paraId="790366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Отчет завода № 543 за 1941 год</w:t>
      </w:r>
    </w:p>
    <w:p w14:paraId="1287629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организован на основании постановления СНК от 6 июня 1941 года на базе Швейной фабрики № 6 НКЛП ТАССР, находящейся в Казани, сл. Красной Армии, ул. Клары Цеткин, д. 18.</w:t>
      </w:r>
    </w:p>
    <w:p w14:paraId="6EDE80B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Оборудование на завод поступало с завода № 60. Выпуск патронов (10088).</w:t>
      </w:r>
    </w:p>
    <w:p w14:paraId="68FDC7D9" w14:textId="77777777" w:rsidR="00D4651C" w:rsidRPr="008127F8" w:rsidRDefault="00D4651C" w:rsidP="001E0A84">
      <w:pPr>
        <w:pStyle w:val="Iauiue"/>
        <w:jc w:val="both"/>
        <w:rPr>
          <w:color w:val="000000" w:themeColor="text1"/>
          <w:sz w:val="16"/>
          <w:szCs w:val="16"/>
        </w:rPr>
      </w:pPr>
    </w:p>
    <w:p w14:paraId="6AE8ACF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Отчет завода № 541 за 1941 год</w:t>
      </w:r>
    </w:p>
    <w:p w14:paraId="7B4077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основании Постановления ГКО от 30 июля 1941 года и приказа НКВ от 4 августа 1941 года за № 327сс в Челябинске организован завод № 541 на базе бывш. Института механизации с/х, Пединститута, Дивизиона войск НКВД с гаражем.</w:t>
      </w:r>
    </w:p>
    <w:p w14:paraId="7333F44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Оборудование поступило с заводов №№ 38, 60 и 529. </w:t>
      </w:r>
      <w:proofErr w:type="gramStart"/>
      <w:r w:rsidRPr="008127F8">
        <w:rPr>
          <w:color w:val="000000" w:themeColor="text1"/>
          <w:sz w:val="16"/>
          <w:szCs w:val="16"/>
        </w:rPr>
        <w:t>Кроме того</w:t>
      </w:r>
      <w:proofErr w:type="gramEnd"/>
      <w:r w:rsidRPr="008127F8">
        <w:rPr>
          <w:color w:val="000000" w:themeColor="text1"/>
          <w:sz w:val="16"/>
          <w:szCs w:val="16"/>
        </w:rPr>
        <w:t xml:space="preserve"> прибыли работники с завода № 303.</w:t>
      </w:r>
    </w:p>
    <w:p w14:paraId="2B2E74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приступил к производственной деятельности в 4 квартале 1941 года, как вновь организованное предприятие.</w:t>
      </w:r>
    </w:p>
    <w:p w14:paraId="303FC0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Алешин (10089).</w:t>
      </w:r>
    </w:p>
    <w:p w14:paraId="18B8C34B" w14:textId="77777777" w:rsidR="00D4651C" w:rsidRPr="008127F8" w:rsidRDefault="00D4651C" w:rsidP="001E0A84">
      <w:pPr>
        <w:pStyle w:val="Iauiue"/>
        <w:jc w:val="both"/>
        <w:rPr>
          <w:color w:val="000000" w:themeColor="text1"/>
          <w:sz w:val="16"/>
          <w:szCs w:val="16"/>
        </w:rPr>
      </w:pPr>
    </w:p>
    <w:p w14:paraId="0328C9A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Отчет завода № 541 за 1941 год</w:t>
      </w:r>
    </w:p>
    <w:p w14:paraId="4ECD92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Челябинск, п/я 97 (10090).</w:t>
      </w:r>
    </w:p>
    <w:p w14:paraId="3F7AB34A" w14:textId="77777777" w:rsidR="00D4651C" w:rsidRPr="008127F8" w:rsidRDefault="00D4651C" w:rsidP="001E0A84">
      <w:pPr>
        <w:pStyle w:val="Iauiue"/>
        <w:jc w:val="both"/>
        <w:rPr>
          <w:color w:val="000000" w:themeColor="text1"/>
          <w:sz w:val="16"/>
          <w:szCs w:val="16"/>
        </w:rPr>
      </w:pPr>
    </w:p>
    <w:p w14:paraId="613CE6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Завод № 38-б 1941 год</w:t>
      </w:r>
    </w:p>
    <w:p w14:paraId="786323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Юрюзань, п/я 1</w:t>
      </w:r>
    </w:p>
    <w:p w14:paraId="0E5A7F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базе Металлообрабатывающего Юрюзанского завода Челябинской области Главобозостроения НК местной промышленности РСФСР передать в НКВ на основании постановления ГКО № 4сс от 3 июля 1941 года (10105).</w:t>
      </w:r>
    </w:p>
    <w:p w14:paraId="40D18BA7" w14:textId="77777777" w:rsidR="00D4651C" w:rsidRPr="008127F8" w:rsidRDefault="00D4651C" w:rsidP="001E0A84">
      <w:pPr>
        <w:pStyle w:val="Iauiue"/>
        <w:jc w:val="both"/>
        <w:rPr>
          <w:color w:val="000000" w:themeColor="text1"/>
          <w:sz w:val="16"/>
          <w:szCs w:val="16"/>
        </w:rPr>
      </w:pPr>
    </w:p>
    <w:p w14:paraId="41E75C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Паспорт завода № 187 НКБ</w:t>
      </w:r>
    </w:p>
    <w:p w14:paraId="63DD74A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Тула – Засека, п/я 23</w:t>
      </w:r>
    </w:p>
    <w:p w14:paraId="41D235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Платонов (9996)</w:t>
      </w:r>
    </w:p>
    <w:p w14:paraId="386E11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Паспорт завода № 62 НКБ</w:t>
      </w:r>
    </w:p>
    <w:p w14:paraId="71A7752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Завражнов</w:t>
      </w:r>
    </w:p>
    <w:p w14:paraId="40472CD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Челябинск, п/я 161 (9998)</w:t>
      </w:r>
    </w:p>
    <w:p w14:paraId="058F36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был подготовлен Отчет завода № 522 НКБ за 1941 год</w:t>
      </w:r>
    </w:p>
    <w:p w14:paraId="622302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Ленинград 43</w:t>
      </w:r>
    </w:p>
    <w:p w14:paraId="742EB8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Николаев (10333).</w:t>
      </w:r>
    </w:p>
    <w:p w14:paraId="3F6AE9C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396D7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был подготовлен Отчет завода № 319 НКБ за 1941 год</w:t>
      </w:r>
    </w:p>
    <w:p w14:paraId="4CD429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Кемерово</w:t>
      </w:r>
    </w:p>
    <w:p w14:paraId="02379C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Валеев</w:t>
      </w:r>
    </w:p>
    <w:p w14:paraId="2A6D97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строительства по заводу был утвержден НКБ 2 июля 1941 года за № 192с.</w:t>
      </w:r>
    </w:p>
    <w:p w14:paraId="496BFA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эвакуации на завод № 319 прибыло некомплектно оборудование с завода № 64 – тротиловое производство и оборудование завода № 20 – олеумное производство (10334).</w:t>
      </w:r>
    </w:p>
    <w:p w14:paraId="4E6AB06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DFF12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был подготовлен Отчет завода № 20 НКБ за 1941 год</w:t>
      </w:r>
    </w:p>
    <w:p w14:paraId="6D6354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20 выделился из системы Рубежанского химического комбината НК химии в самостоятельный завод НКХП к 1 апреля 1941 года, а затем был передан в НКБ.</w:t>
      </w:r>
    </w:p>
    <w:p w14:paraId="16ADE1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самостоятельное действующее предприятие НКБ завод № 20 существовал до 8 октября 1941 года, когда согласно решения ГКО № 717с от 27 сентября 1941 года и приказа НКБ № 567 от 20 сентября 1941 года, цеха завода № 20 подлежали эвакуации в пункт эвакуации Рубежанского химического комбината НКХП, а строившийся цех олеума эвакуировался в Кемерово на завод № 319.</w:t>
      </w:r>
    </w:p>
    <w:p w14:paraId="27AF24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как согласно решения ГКО цехи Рубежанского химического комбината, связанные с заводом № 20 эвакуировались в Уфу на площадку завода № 505, то и НКБ принял решение эвакуировать и восстановить цеха завода № 20 в этом же пункте.</w:t>
      </w:r>
    </w:p>
    <w:p w14:paraId="0515BBD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Протоколом совещания при заместителе наркома боеприпасов Клюеве от 15 января 1942 года было принято решение:</w:t>
      </w:r>
    </w:p>
    <w:p w14:paraId="2DD44189" w14:textId="77777777" w:rsidR="00D4651C" w:rsidRPr="008127F8" w:rsidRDefault="00D4651C" w:rsidP="001E0A84">
      <w:pPr>
        <w:numPr>
          <w:ilvl w:val="0"/>
          <w:numId w:val="1"/>
        </w:numPr>
        <w:tabs>
          <w:tab w:val="left" w:pos="360"/>
        </w:tabs>
        <w:spacing w:after="0" w:line="240" w:lineRule="auto"/>
        <w:ind w:left="0" w:firstLine="0"/>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восстановлении завода № 20 на площадке «Крекинг» завода в Уфе.</w:t>
      </w:r>
    </w:p>
    <w:p w14:paraId="42E2E61B" w14:textId="77777777" w:rsidR="00D4651C" w:rsidRPr="008127F8" w:rsidRDefault="00D4651C" w:rsidP="001E0A84">
      <w:pPr>
        <w:numPr>
          <w:ilvl w:val="0"/>
          <w:numId w:val="2"/>
        </w:numPr>
        <w:tabs>
          <w:tab w:val="left" w:pos="360"/>
        </w:tabs>
        <w:spacing w:after="0" w:line="240" w:lineRule="auto"/>
        <w:ind w:left="0" w:firstLine="0"/>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Цехи динитронафталина и ксилила восстановить на заводе № 15 в Чапаевске.</w:t>
      </w:r>
    </w:p>
    <w:p w14:paraId="15A282A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Уфа, п/я 6</w:t>
      </w:r>
    </w:p>
    <w:p w14:paraId="167A5F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Куценко (10336).</w:t>
      </w:r>
    </w:p>
    <w:p w14:paraId="6F9FA25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A23D6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1942 был подготовлен Отчет КБ-25 НКБ за 1939 год</w:t>
      </w:r>
    </w:p>
    <w:p w14:paraId="2BE4C5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ул. Кирова, д. 20</w:t>
      </w:r>
    </w:p>
    <w:p w14:paraId="026732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 Чесноков</w:t>
      </w:r>
    </w:p>
    <w:p w14:paraId="4C1B525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задачей КБ-25 является конструирование частичное изготовление и отработка новых видов оборудования, для оснащения высокопроизводительными машинами технологического процесса снаряжения артснарядов, авиабомб, капсюльного и пиротехнического производств (10337).</w:t>
      </w:r>
    </w:p>
    <w:p w14:paraId="4F32FCA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2132E6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января 1942 был подготовлен Отчет завода № 318 НКБ за 1941 год</w:t>
      </w:r>
    </w:p>
    <w:p w14:paraId="64E794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Азов</w:t>
      </w:r>
    </w:p>
    <w:p w14:paraId="2329D1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Правительством 7 октября 1938 года за № 227 было вынесено решение о строительстве завода оборонного значения в районе юга (10338).</w:t>
      </w:r>
    </w:p>
    <w:p w14:paraId="165D11E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B852FD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0F88881F" w14:textId="77777777" w:rsidR="00D4651C" w:rsidRPr="008127F8" w:rsidRDefault="00D4651C" w:rsidP="001E0A84">
      <w:pPr>
        <w:pStyle w:val="Iauiue"/>
        <w:jc w:val="both"/>
        <w:rPr>
          <w:iCs/>
          <w:color w:val="000000" w:themeColor="text1"/>
          <w:sz w:val="16"/>
          <w:szCs w:val="16"/>
        </w:rPr>
      </w:pPr>
    </w:p>
    <w:p w14:paraId="03DAD845"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7DA77BB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 января наши войска вели бои с противником на всех фронтах.</w:t>
      </w:r>
    </w:p>
    <w:p w14:paraId="1D424BF0"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преодолевая упорное сопротивление противника, за день боёв освободила от немцев 15 населённых пунктов и захватила: 47 орудий, 151 миномёт, 13 пулемётов, 200 велосипедов, 22 ящика гранат, 180 ящиков патронов, более 1.000 снарядов, 40 километров провода и истребила свыше 600 немецких солдат и офицеров.</w:t>
      </w:r>
    </w:p>
    <w:p w14:paraId="1368070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города Козельска наши бойцы захватили 5 железнодорожных эшелонов с 200 вагонами, гружёнными боеприпасами, продовольствием, обмундированием и автомашинами.</w:t>
      </w:r>
    </w:p>
    <w:p w14:paraId="18E2BDB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лётчики, действующие на Южном фронте, за один день уничтожили более 240 автомашин, автобус с рацией, 23 танка, 6 орудий и истребили свыше 800 солдат и офицеров противника.</w:t>
      </w:r>
    </w:p>
    <w:p w14:paraId="4D95AA7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Отделение сержанта Савельева в бою у деревни Троицкое уничтожило 27 немцев. Красноармеец Карев двумя гранатами вывел из строя пулемёт и истребил 4 вражеских пулемётчиков.</w:t>
      </w:r>
    </w:p>
    <w:p w14:paraId="01BA6B69"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Подведены итоги боевых действий группы партизанских отрядов, действующих в районах Ленинградской области, оккупированных немцами. Доблестные советские патриоты истребили 6 немецких полковников и подполковников, 32 офицеров, 1.120 солдат и 91 фашистского шпиона. Партизаны уничтожили 5 немецких самолётов, 2 танка, 19 танкеток, 157 грузовых машин, несколько орудий, пулемётов и другое вооружение. Взорваны и разрушены 7 складов с боеприпасами, склад с горючим, 2 склада с продовольствием и фуражом, 44 железнодорожных и шоссейных моста. Пущены под откос 14 поездов, в результате чего разбито свыше 200 вагонов с пушками, танкетками, автомашинами и живой силой противника. Во многих местах разрушена телефонная и телеграфная связь.</w:t>
      </w:r>
    </w:p>
    <w:p w14:paraId="67B74122"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радист 2 батальона 36 пехотного полка 9 дивизии Гейнц Крау на допросе дал следующие показания: «Мы не имеем зимнего обмундирования и вынуждены сами мастерить себе подшлемники из старых чулок. Один солдат 57 полка нашей дивизии раздобыл гражданскую одежду и хотел на лошади вернуться на родину, в Германию. За Богуславом он был пойман и отдан под суд. Офицеры нам часто рассказывали о подобных случаях и обращали наше внимание на суровые последствия. В этом году празднование рождества в Германии превратилось в панихиду, потому что миллионы немецких солдат похоронены в холодной русской земле, а оставшихся ещё в живых ждёт такая же участь».</w:t>
      </w:r>
    </w:p>
    <w:p w14:paraId="7C4A92B6"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Павлово-Лужецкое, Истринского района, Московской области, немецко-фашистские мерзавцы расстреляли 70-летнего колхозника Прохорова. И. А., сожгли женщину вместе с двумя малолетними детьми и изнасиловали многих девушек.</w:t>
      </w:r>
    </w:p>
    <w:p w14:paraId="53EB4D65"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Нефтяники гор. Грозного, досрочно выполнив годовой план, уже дали стране сотни тысяч тонн нефти сверх плана. Коллектив нефтеперегонного завода, где директором тов. Иванюков, перевыполнил годовой план выпуска высокосортного бензина почти втрое. Отлично работают многие рабочие и служащие треста «Старогрознефть». Бригады тт. Лебедева, Татьяненко и Салыкова вырабатывают по 4—5 норм в смену. За последние дни на промыслах Грознефтекомбината введены в строй 30 бездействовавших скважин. Добыча нефти непрерывно растёт.» (14996).</w:t>
      </w:r>
    </w:p>
    <w:p w14:paraId="05051082"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2E570586"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5B7BA54B"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 января на ряде участков фронта наши войска, преодолевая сопротивление противника, продолжали продвигаться вперёд, заняли ряд населённых пунктов и в числе их город Старица.</w:t>
      </w:r>
    </w:p>
    <w:p w14:paraId="3181104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31 декабря уничтожено 12 немецких самолётов. Наши потери —4 самолёта.</w:t>
      </w:r>
    </w:p>
    <w:p w14:paraId="3F59579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декабря наша авиачасть, действующая на Западном фронте, уничтожила 4 немецких танка, 154 автомашины с военными грузами, 34 повозки со снарядами, несколько железнодорожных цистерн с горючим, подожгла 3 железнодорожных состава и рассеяла 2 батальона вражеской пехоты.</w:t>
      </w:r>
    </w:p>
    <w:p w14:paraId="61813A3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упорных боёв с противником наша часть, действующая на одном из участков Западного фронта, выбила немцев из ряда населённых пунктов, истребила 800 вражеских солдат и офицеров и захватила 12 немецких орудий, 20 станковых пулемётов, 5 миномётов, 2 танка, 12 автомашин и много других военных материалов.</w:t>
      </w:r>
    </w:p>
    <w:p w14:paraId="35A3BA22"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сломив упорное сопротивление немцев, за один день боёв заняли 22 населённых пункта и захватили 76 вражеских орудий, 8 миномётов, 25 пулемётов, 150 автоматов, 117 автомашин, 2.506 винтовок, 10 миноискателей, много боеприпасов, уничтожили 5 немецких танков, 15 орудий и 6 пулемётов.</w:t>
      </w:r>
    </w:p>
    <w:p w14:paraId="652875E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тов. Александрова, действующей на Западном фронте, за одну ночь уничтожили 2 немецкие миномётные батареи, 2 пулемётные точки и истребили роту пехоты противника.</w:t>
      </w:r>
    </w:p>
    <w:p w14:paraId="5C3F162C"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эскадрона лейтенант Кучерявый под непрерывным обстрелом противника подполз к огневым точкам фашистов, мешавшим продвижению наших частей, и забросал их гранатами. Заметив вражеский танк, тов. Кучерявый незаметно подкрался к вражеской машине и подорвал её противотанковой гранатой.</w:t>
      </w:r>
    </w:p>
    <w:p w14:paraId="7B42833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письмах, получаемых германскими солдатами из тыла, всё чаще сквозит тревога и неуверенность. Обер-ефрейтор Вольфганг Гейне пишет из Варшавы своему брату Францу Гейне на Восточный фронт: «В городе свирепствует эпидемия сыпного тифа. Многие наши солдаты заболели. Местные жители нас ненавидят. В любую минуту жди удара из-за угла. В Польше погибает немало немецких солдат, хотя война здесь уже давно окончена». Ефрейтору Феликсу Зелигер сообщают: «В Польше странные вещи происходят. Ведь там нет ни одного человека, который был бы доволен». В письме, обнаруженном у немецкого унтер-офицера Вальтера Рейнбергера, говорится: «В Югославии партизаны бродят по лесам. Каждую неделю они убивают немецких солдат или полицейских».</w:t>
      </w:r>
    </w:p>
    <w:p w14:paraId="41B141D4"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Жителя освобождённого ныне от немецких захватчиков города Плавска сообщают: «В Плавске немцы организовали лагерь для военнопленных. Красноармейцев в этом лагере было немного. Фашисты загнали сюда главным образом жителей города и соседних районов. Пища заключённых на день состояла из двух картофелин. Воды в лагере не было. Заключённым предлагалось утолять жажду снегом. От голода, холода, побоев и пыток ежедневно умирало 25—30 человек. Больных и обессилевших, неспособных выполнять тяжёлую работу, фашисты расстреливали».».</w:t>
      </w:r>
    </w:p>
    <w:p w14:paraId="4837424C"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Западного фронта за период с 26 по 31 декабря.</w:t>
      </w:r>
    </w:p>
    <w:p w14:paraId="0AF7471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неполным, предварительным данным, войсками Западного фронта за период с 26 по 31 декабря 1941 года захвачено: танков —60, бронемашин— 11, орудий —287, миномётов — 91, пулемётов— 461, автоматов — 309, винтовок — 2.211, автомашин — 938, мотоциклов — 249, велосипедов — 1.448, тракторов и тягачей—30, радиостанций — 7, повозок— 226, паровозов — 40, вагонов — 425, железнодорожных эшелонов: с боеприпасами— 1, с обмундированием — 1, имущества связи — несколько вагонов, продовольствия—14 вагонов, авиабомб, мин и снарядов — 14 вагонов, овчин — 1 вагон, личных офицерских и солдатских вещей — 3 вагона, мотоциклов — 1 вагон, велосипедов — 1 вагон.</w:t>
      </w:r>
    </w:p>
    <w:p w14:paraId="4B6FCD6B"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захваченных артиллерийских складах предварительно учтено: снарядов— 20.360 и 1.190 ящиков со снарядами, мин — 12.910, патронов — 6.193.000.</w:t>
      </w:r>
    </w:p>
    <w:p w14:paraId="1B28705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 свыше 15 тысяч немецких солдат и офицеров.» (14996).</w:t>
      </w:r>
    </w:p>
    <w:p w14:paraId="7969A339"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64A7AC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в строю было (786,23):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245"/>
      </w:tblGrid>
      <w:tr w:rsidR="008127F8" w:rsidRPr="008127F8" w14:paraId="76A063C4" w14:textId="77777777">
        <w:tc>
          <w:tcPr>
            <w:tcW w:w="5211" w:type="dxa"/>
            <w:tcBorders>
              <w:top w:val="single" w:sz="12" w:space="0" w:color="auto"/>
            </w:tcBorders>
          </w:tcPr>
          <w:p w14:paraId="0F995D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Истребители:</w:t>
            </w:r>
          </w:p>
        </w:tc>
        <w:tc>
          <w:tcPr>
            <w:tcW w:w="5245" w:type="dxa"/>
            <w:tcBorders>
              <w:top w:val="single" w:sz="12" w:space="0" w:color="auto"/>
            </w:tcBorders>
          </w:tcPr>
          <w:p w14:paraId="09B4C2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2401 (новых) (потери за 1942 - 4843</w:t>
            </w:r>
          </w:p>
        </w:tc>
      </w:tr>
      <w:tr w:rsidR="008127F8" w:rsidRPr="008127F8" w14:paraId="27DEDC4B" w14:textId="77777777">
        <w:tc>
          <w:tcPr>
            <w:tcW w:w="5211" w:type="dxa"/>
          </w:tcPr>
          <w:p w14:paraId="022047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Як-1</w:t>
            </w:r>
          </w:p>
        </w:tc>
        <w:tc>
          <w:tcPr>
            <w:tcW w:w="5245" w:type="dxa"/>
          </w:tcPr>
          <w:p w14:paraId="2B639F3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290 (потери - 1789)</w:t>
            </w:r>
          </w:p>
        </w:tc>
      </w:tr>
      <w:tr w:rsidR="008127F8" w:rsidRPr="008127F8" w14:paraId="2E634D57" w14:textId="77777777">
        <w:tc>
          <w:tcPr>
            <w:tcW w:w="5211" w:type="dxa"/>
          </w:tcPr>
          <w:p w14:paraId="2BB5EA4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Як-7</w:t>
            </w:r>
          </w:p>
        </w:tc>
        <w:tc>
          <w:tcPr>
            <w:tcW w:w="5245" w:type="dxa"/>
          </w:tcPr>
          <w:p w14:paraId="7CE9BF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213 (358)</w:t>
            </w:r>
          </w:p>
        </w:tc>
      </w:tr>
      <w:tr w:rsidR="008127F8" w:rsidRPr="008127F8" w14:paraId="6E694A1E" w14:textId="77777777">
        <w:tc>
          <w:tcPr>
            <w:tcW w:w="5211" w:type="dxa"/>
          </w:tcPr>
          <w:p w14:paraId="329AC81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Ла-5</w:t>
            </w:r>
          </w:p>
        </w:tc>
        <w:tc>
          <w:tcPr>
            <w:tcW w:w="5245" w:type="dxa"/>
          </w:tcPr>
          <w:p w14:paraId="76F9F64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0 (152)</w:t>
            </w:r>
          </w:p>
        </w:tc>
      </w:tr>
      <w:tr w:rsidR="008127F8" w:rsidRPr="008127F8" w14:paraId="39BBF5C1" w14:textId="77777777">
        <w:tc>
          <w:tcPr>
            <w:tcW w:w="5211" w:type="dxa"/>
          </w:tcPr>
          <w:p w14:paraId="584D62B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ЛаГГ-3</w:t>
            </w:r>
          </w:p>
        </w:tc>
        <w:tc>
          <w:tcPr>
            <w:tcW w:w="5245" w:type="dxa"/>
          </w:tcPr>
          <w:p w14:paraId="2BD231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746 (1683)</w:t>
            </w:r>
          </w:p>
        </w:tc>
      </w:tr>
      <w:tr w:rsidR="008127F8" w:rsidRPr="008127F8" w14:paraId="49648989" w14:textId="77777777">
        <w:tc>
          <w:tcPr>
            <w:tcW w:w="5211" w:type="dxa"/>
          </w:tcPr>
          <w:p w14:paraId="7ACFBF7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МиГ-3</w:t>
            </w:r>
          </w:p>
        </w:tc>
        <w:tc>
          <w:tcPr>
            <w:tcW w:w="5245" w:type="dxa"/>
          </w:tcPr>
          <w:p w14:paraId="0EF0DD4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686 (326)</w:t>
            </w:r>
          </w:p>
        </w:tc>
      </w:tr>
      <w:tr w:rsidR="008127F8" w:rsidRPr="008127F8" w14:paraId="1250D2A9" w14:textId="77777777">
        <w:tc>
          <w:tcPr>
            <w:tcW w:w="5211" w:type="dxa"/>
          </w:tcPr>
          <w:p w14:paraId="30FD29D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Харрикейн</w:t>
            </w:r>
          </w:p>
        </w:tc>
        <w:tc>
          <w:tcPr>
            <w:tcW w:w="5245" w:type="dxa"/>
          </w:tcPr>
          <w:p w14:paraId="7B3A9AC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466 (462)</w:t>
            </w:r>
          </w:p>
        </w:tc>
      </w:tr>
      <w:tr w:rsidR="008127F8" w:rsidRPr="008127F8" w14:paraId="23488068" w14:textId="77777777">
        <w:tc>
          <w:tcPr>
            <w:tcW w:w="5211" w:type="dxa"/>
          </w:tcPr>
          <w:p w14:paraId="41AE555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Аэрокобра</w:t>
            </w:r>
          </w:p>
        </w:tc>
        <w:tc>
          <w:tcPr>
            <w:tcW w:w="5245" w:type="dxa"/>
          </w:tcPr>
          <w:p w14:paraId="580DC4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0 (73)</w:t>
            </w:r>
          </w:p>
        </w:tc>
      </w:tr>
      <w:tr w:rsidR="008127F8" w:rsidRPr="008127F8" w14:paraId="3DAA45D7" w14:textId="77777777">
        <w:tc>
          <w:tcPr>
            <w:tcW w:w="5211" w:type="dxa"/>
          </w:tcPr>
          <w:p w14:paraId="2F72D41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Бомбардировщики: (1134 и потери за 1942 1597)</w:t>
            </w:r>
          </w:p>
        </w:tc>
        <w:tc>
          <w:tcPr>
            <w:tcW w:w="5245" w:type="dxa"/>
          </w:tcPr>
          <w:p w14:paraId="634087E5" w14:textId="77777777" w:rsidR="00D4651C" w:rsidRPr="008127F8" w:rsidRDefault="00D4651C" w:rsidP="001E0A84">
            <w:pPr>
              <w:pStyle w:val="Iauiue"/>
              <w:jc w:val="both"/>
              <w:rPr>
                <w:color w:val="000000" w:themeColor="text1"/>
                <w:sz w:val="16"/>
                <w:szCs w:val="16"/>
              </w:rPr>
            </w:pPr>
          </w:p>
        </w:tc>
      </w:tr>
      <w:tr w:rsidR="008127F8" w:rsidRPr="008127F8" w14:paraId="2534A48B" w14:textId="77777777">
        <w:tc>
          <w:tcPr>
            <w:tcW w:w="5211" w:type="dxa"/>
          </w:tcPr>
          <w:p w14:paraId="484627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Пе-2</w:t>
            </w:r>
          </w:p>
        </w:tc>
        <w:tc>
          <w:tcPr>
            <w:tcW w:w="5245" w:type="dxa"/>
          </w:tcPr>
          <w:p w14:paraId="465E281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431 (1001)</w:t>
            </w:r>
          </w:p>
        </w:tc>
      </w:tr>
      <w:tr w:rsidR="008127F8" w:rsidRPr="008127F8" w14:paraId="619B2FB1" w14:textId="77777777">
        <w:tc>
          <w:tcPr>
            <w:tcW w:w="5211" w:type="dxa"/>
          </w:tcPr>
          <w:p w14:paraId="6F99261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Ил-4</w:t>
            </w:r>
          </w:p>
        </w:tc>
        <w:tc>
          <w:tcPr>
            <w:tcW w:w="5245" w:type="dxa"/>
          </w:tcPr>
          <w:p w14:paraId="6156FF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703 (496)</w:t>
            </w:r>
          </w:p>
        </w:tc>
      </w:tr>
      <w:tr w:rsidR="008127F8" w:rsidRPr="008127F8" w14:paraId="0C1D4F1A" w14:textId="77777777">
        <w:tc>
          <w:tcPr>
            <w:tcW w:w="5211" w:type="dxa"/>
          </w:tcPr>
          <w:p w14:paraId="19817AB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Бостон</w:t>
            </w:r>
          </w:p>
        </w:tc>
        <w:tc>
          <w:tcPr>
            <w:tcW w:w="5245" w:type="dxa"/>
          </w:tcPr>
          <w:p w14:paraId="174D50B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0 (150)</w:t>
            </w:r>
          </w:p>
        </w:tc>
      </w:tr>
      <w:tr w:rsidR="008127F8" w:rsidRPr="008127F8" w14:paraId="019262E3" w14:textId="77777777">
        <w:tc>
          <w:tcPr>
            <w:tcW w:w="5211" w:type="dxa"/>
          </w:tcPr>
          <w:p w14:paraId="5B703FC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Штурмовики:</w:t>
            </w:r>
          </w:p>
        </w:tc>
        <w:tc>
          <w:tcPr>
            <w:tcW w:w="5245" w:type="dxa"/>
          </w:tcPr>
          <w:p w14:paraId="7C4BC35B" w14:textId="77777777" w:rsidR="00D4651C" w:rsidRPr="008127F8" w:rsidRDefault="00D4651C" w:rsidP="001E0A84">
            <w:pPr>
              <w:pStyle w:val="Iauiue"/>
              <w:jc w:val="both"/>
              <w:rPr>
                <w:color w:val="000000" w:themeColor="text1"/>
                <w:sz w:val="16"/>
                <w:szCs w:val="16"/>
              </w:rPr>
            </w:pPr>
          </w:p>
        </w:tc>
      </w:tr>
      <w:tr w:rsidR="00687FE2" w:rsidRPr="008127F8" w14:paraId="200BAD01" w14:textId="77777777">
        <w:tc>
          <w:tcPr>
            <w:tcW w:w="5211" w:type="dxa"/>
            <w:tcBorders>
              <w:bottom w:val="single" w:sz="12" w:space="0" w:color="auto"/>
            </w:tcBorders>
          </w:tcPr>
          <w:p w14:paraId="67E856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Ил-2</w:t>
            </w:r>
          </w:p>
        </w:tc>
        <w:tc>
          <w:tcPr>
            <w:tcW w:w="5245" w:type="dxa"/>
            <w:tcBorders>
              <w:bottom w:val="single" w:sz="12" w:space="0" w:color="auto"/>
            </w:tcBorders>
          </w:tcPr>
          <w:p w14:paraId="5748D47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202 (2439) (786)</w:t>
            </w:r>
          </w:p>
        </w:tc>
      </w:tr>
    </w:tbl>
    <w:p w14:paraId="7AF8B5AF" w14:textId="77777777" w:rsidR="00D4651C" w:rsidRPr="008127F8" w:rsidRDefault="00D4651C" w:rsidP="001E0A84">
      <w:pPr>
        <w:pStyle w:val="Iauiue"/>
        <w:jc w:val="both"/>
        <w:rPr>
          <w:color w:val="000000" w:themeColor="text1"/>
          <w:sz w:val="16"/>
          <w:szCs w:val="16"/>
        </w:rPr>
      </w:pPr>
    </w:p>
    <w:p w14:paraId="325EEE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Наличие самолетов Пе-2/Пе-З в частях действующей армии на некоторые даты по данным "Справочника </w:t>
      </w:r>
      <w:proofErr w:type="gramStart"/>
      <w:r w:rsidRPr="008127F8">
        <w:rPr>
          <w:rFonts w:ascii="Times New Roman" w:hAnsi="Times New Roman"/>
          <w:color w:val="000000" w:themeColor="text1"/>
          <w:sz w:val="16"/>
          <w:szCs w:val="16"/>
        </w:rPr>
        <w:t>по боевому</w:t>
      </w:r>
      <w:proofErr w:type="gramEnd"/>
      <w:r w:rsidRPr="008127F8">
        <w:rPr>
          <w:rFonts w:ascii="Times New Roman" w:hAnsi="Times New Roman"/>
          <w:color w:val="000000" w:themeColor="text1"/>
          <w:sz w:val="16"/>
          <w:szCs w:val="16"/>
        </w:rPr>
        <w:t xml:space="preserve"> и численному составу ВВС СА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tblGrid>
      <w:tr w:rsidR="008127F8" w:rsidRPr="008127F8" w14:paraId="527F23DB" w14:textId="77777777">
        <w:tc>
          <w:tcPr>
            <w:tcW w:w="1019" w:type="dxa"/>
            <w:tcBorders>
              <w:top w:val="single" w:sz="12" w:space="0" w:color="auto"/>
            </w:tcBorders>
          </w:tcPr>
          <w:p w14:paraId="7EFE6A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Соединение (объединение)</w:t>
            </w:r>
          </w:p>
        </w:tc>
        <w:tc>
          <w:tcPr>
            <w:tcW w:w="1019" w:type="dxa"/>
            <w:tcBorders>
              <w:top w:val="single" w:sz="12" w:space="0" w:color="auto"/>
            </w:tcBorders>
          </w:tcPr>
          <w:p w14:paraId="014999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20.9.1941</w:t>
            </w:r>
          </w:p>
        </w:tc>
        <w:tc>
          <w:tcPr>
            <w:tcW w:w="1019" w:type="dxa"/>
            <w:tcBorders>
              <w:top w:val="single" w:sz="12" w:space="0" w:color="auto"/>
            </w:tcBorders>
          </w:tcPr>
          <w:p w14:paraId="7F92C9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1.10.1941</w:t>
            </w:r>
          </w:p>
        </w:tc>
        <w:tc>
          <w:tcPr>
            <w:tcW w:w="1019" w:type="dxa"/>
            <w:tcBorders>
              <w:top w:val="single" w:sz="12" w:space="0" w:color="auto"/>
            </w:tcBorders>
          </w:tcPr>
          <w:p w14:paraId="3D4518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1.11.1941</w:t>
            </w:r>
          </w:p>
        </w:tc>
        <w:tc>
          <w:tcPr>
            <w:tcW w:w="1019" w:type="dxa"/>
            <w:tcBorders>
              <w:top w:val="single" w:sz="12" w:space="0" w:color="auto"/>
            </w:tcBorders>
          </w:tcPr>
          <w:p w14:paraId="1EBF94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1.12.1941</w:t>
            </w:r>
          </w:p>
        </w:tc>
        <w:tc>
          <w:tcPr>
            <w:tcW w:w="1019" w:type="dxa"/>
            <w:tcBorders>
              <w:top w:val="single" w:sz="12" w:space="0" w:color="auto"/>
            </w:tcBorders>
          </w:tcPr>
          <w:p w14:paraId="36AE29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1.1.1942</w:t>
            </w:r>
          </w:p>
        </w:tc>
      </w:tr>
      <w:tr w:rsidR="008127F8" w:rsidRPr="008127F8" w14:paraId="1DC53510" w14:textId="77777777">
        <w:tc>
          <w:tcPr>
            <w:tcW w:w="1019" w:type="dxa"/>
          </w:tcPr>
          <w:p w14:paraId="728F6EC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ЛенФ</w:t>
            </w:r>
          </w:p>
        </w:tc>
        <w:tc>
          <w:tcPr>
            <w:tcW w:w="1019" w:type="dxa"/>
          </w:tcPr>
          <w:p w14:paraId="0398FF6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019" w:type="dxa"/>
          </w:tcPr>
          <w:p w14:paraId="1F8A5C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019" w:type="dxa"/>
          </w:tcPr>
          <w:p w14:paraId="1A1E68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1019" w:type="dxa"/>
          </w:tcPr>
          <w:p w14:paraId="1BABE7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1019" w:type="dxa"/>
          </w:tcPr>
          <w:p w14:paraId="2CE665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r>
      <w:tr w:rsidR="008127F8" w:rsidRPr="008127F8" w14:paraId="2A626846" w14:textId="77777777">
        <w:tc>
          <w:tcPr>
            <w:tcW w:w="1019" w:type="dxa"/>
          </w:tcPr>
          <w:p w14:paraId="319170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СЗФ</w:t>
            </w:r>
          </w:p>
        </w:tc>
        <w:tc>
          <w:tcPr>
            <w:tcW w:w="1019" w:type="dxa"/>
          </w:tcPr>
          <w:p w14:paraId="33A893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019" w:type="dxa"/>
          </w:tcPr>
          <w:p w14:paraId="652A67D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26/3</w:t>
            </w:r>
          </w:p>
        </w:tc>
        <w:tc>
          <w:tcPr>
            <w:tcW w:w="1019" w:type="dxa"/>
          </w:tcPr>
          <w:p w14:paraId="26DEBC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w:t>
            </w:r>
          </w:p>
        </w:tc>
        <w:tc>
          <w:tcPr>
            <w:tcW w:w="1019" w:type="dxa"/>
          </w:tcPr>
          <w:p w14:paraId="49F1B3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w:t>
            </w:r>
          </w:p>
        </w:tc>
        <w:tc>
          <w:tcPr>
            <w:tcW w:w="1019" w:type="dxa"/>
          </w:tcPr>
          <w:p w14:paraId="589014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r>
      <w:tr w:rsidR="008127F8" w:rsidRPr="008127F8" w14:paraId="09916582" w14:textId="77777777">
        <w:tc>
          <w:tcPr>
            <w:tcW w:w="1019" w:type="dxa"/>
          </w:tcPr>
          <w:p w14:paraId="1C4717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ЗФ</w:t>
            </w:r>
          </w:p>
        </w:tc>
        <w:tc>
          <w:tcPr>
            <w:tcW w:w="1019" w:type="dxa"/>
          </w:tcPr>
          <w:p w14:paraId="6E50F9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019" w:type="dxa"/>
          </w:tcPr>
          <w:p w14:paraId="33885E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w:t>
            </w:r>
          </w:p>
        </w:tc>
        <w:tc>
          <w:tcPr>
            <w:tcW w:w="1019" w:type="dxa"/>
          </w:tcPr>
          <w:p w14:paraId="11ABEA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43/12</w:t>
            </w:r>
          </w:p>
        </w:tc>
        <w:tc>
          <w:tcPr>
            <w:tcW w:w="1019" w:type="dxa"/>
          </w:tcPr>
          <w:p w14:paraId="0B419D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23/8</w:t>
            </w:r>
          </w:p>
        </w:tc>
        <w:tc>
          <w:tcPr>
            <w:tcW w:w="1019" w:type="dxa"/>
          </w:tcPr>
          <w:p w14:paraId="6F32C3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w:t>
            </w:r>
          </w:p>
        </w:tc>
      </w:tr>
      <w:tr w:rsidR="008127F8" w:rsidRPr="008127F8" w14:paraId="74168C35" w14:textId="77777777">
        <w:tc>
          <w:tcPr>
            <w:tcW w:w="1019" w:type="dxa"/>
          </w:tcPr>
          <w:p w14:paraId="29EFECE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ЮЗФ</w:t>
            </w:r>
          </w:p>
        </w:tc>
        <w:tc>
          <w:tcPr>
            <w:tcW w:w="1019" w:type="dxa"/>
          </w:tcPr>
          <w:p w14:paraId="745FB7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 10.9)</w:t>
            </w:r>
          </w:p>
        </w:tc>
        <w:tc>
          <w:tcPr>
            <w:tcW w:w="1019" w:type="dxa"/>
          </w:tcPr>
          <w:p w14:paraId="1707E1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19" w:type="dxa"/>
          </w:tcPr>
          <w:p w14:paraId="24745D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19" w:type="dxa"/>
          </w:tcPr>
          <w:p w14:paraId="1F424D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019" w:type="dxa"/>
          </w:tcPr>
          <w:p w14:paraId="4DA2A81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8127F8" w:rsidRPr="008127F8" w14:paraId="63D3AA64" w14:textId="77777777">
        <w:tc>
          <w:tcPr>
            <w:tcW w:w="1019" w:type="dxa"/>
          </w:tcPr>
          <w:p w14:paraId="200DCD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ЮФ</w:t>
            </w:r>
          </w:p>
        </w:tc>
        <w:tc>
          <w:tcPr>
            <w:tcW w:w="1019" w:type="dxa"/>
          </w:tcPr>
          <w:p w14:paraId="4C7E94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019" w:type="dxa"/>
          </w:tcPr>
          <w:p w14:paraId="2F01A3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6CE12F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19" w:type="dxa"/>
          </w:tcPr>
          <w:p w14:paraId="15EA62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019" w:type="dxa"/>
          </w:tcPr>
          <w:p w14:paraId="5BC65C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r>
      <w:tr w:rsidR="008127F8" w:rsidRPr="008127F8" w14:paraId="0E5C77F9" w14:textId="77777777">
        <w:tc>
          <w:tcPr>
            <w:tcW w:w="1019" w:type="dxa"/>
          </w:tcPr>
          <w:p w14:paraId="4A3CA9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БрянФ</w:t>
            </w:r>
          </w:p>
        </w:tc>
        <w:tc>
          <w:tcPr>
            <w:tcW w:w="1019" w:type="dxa"/>
          </w:tcPr>
          <w:p w14:paraId="143B9D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019" w:type="dxa"/>
          </w:tcPr>
          <w:p w14:paraId="4E17E8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17/11</w:t>
            </w:r>
          </w:p>
        </w:tc>
        <w:tc>
          <w:tcPr>
            <w:tcW w:w="1019" w:type="dxa"/>
          </w:tcPr>
          <w:p w14:paraId="063EDB1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019" w:type="dxa"/>
          </w:tcPr>
          <w:p w14:paraId="346755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7B4E85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r>
      <w:tr w:rsidR="008127F8" w:rsidRPr="008127F8" w14:paraId="40B37510" w14:textId="77777777">
        <w:tc>
          <w:tcPr>
            <w:tcW w:w="1019" w:type="dxa"/>
          </w:tcPr>
          <w:p w14:paraId="0C734A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 рез. армий</w:t>
            </w:r>
          </w:p>
        </w:tc>
        <w:tc>
          <w:tcPr>
            <w:tcW w:w="1019" w:type="dxa"/>
          </w:tcPr>
          <w:p w14:paraId="3DF714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019" w:type="dxa"/>
          </w:tcPr>
          <w:p w14:paraId="4AE748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8/11</w:t>
            </w:r>
          </w:p>
        </w:tc>
        <w:tc>
          <w:tcPr>
            <w:tcW w:w="1019" w:type="dxa"/>
          </w:tcPr>
          <w:p w14:paraId="25E4CD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559CB8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786E76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13AC1048" w14:textId="77777777">
        <w:tc>
          <w:tcPr>
            <w:tcW w:w="1019" w:type="dxa"/>
          </w:tcPr>
          <w:p w14:paraId="3F9EC4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 ГК</w:t>
            </w:r>
          </w:p>
        </w:tc>
        <w:tc>
          <w:tcPr>
            <w:tcW w:w="1019" w:type="dxa"/>
          </w:tcPr>
          <w:p w14:paraId="48E151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019" w:type="dxa"/>
          </w:tcPr>
          <w:p w14:paraId="070EC98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1019" w:type="dxa"/>
          </w:tcPr>
          <w:p w14:paraId="5D56210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w:t>
            </w:r>
          </w:p>
        </w:tc>
        <w:tc>
          <w:tcPr>
            <w:tcW w:w="1019" w:type="dxa"/>
          </w:tcPr>
          <w:p w14:paraId="4C3CD8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554A04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r>
      <w:tr w:rsidR="008127F8" w:rsidRPr="008127F8" w14:paraId="4609E002" w14:textId="77777777">
        <w:tc>
          <w:tcPr>
            <w:tcW w:w="1019" w:type="dxa"/>
          </w:tcPr>
          <w:p w14:paraId="4AF94A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1-я par</w:t>
            </w:r>
          </w:p>
        </w:tc>
        <w:tc>
          <w:tcPr>
            <w:tcW w:w="1019" w:type="dxa"/>
          </w:tcPr>
          <w:p w14:paraId="58A2B758"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019" w:type="dxa"/>
          </w:tcPr>
          <w:p w14:paraId="75607DFD"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019" w:type="dxa"/>
          </w:tcPr>
          <w:p w14:paraId="11CE36A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019" w:type="dxa"/>
          </w:tcPr>
          <w:p w14:paraId="2F1302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1019" w:type="dxa"/>
          </w:tcPr>
          <w:p w14:paraId="0750E9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794A00C3" w14:textId="77777777">
        <w:tc>
          <w:tcPr>
            <w:tcW w:w="1019" w:type="dxa"/>
          </w:tcPr>
          <w:p w14:paraId="03E374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2-я par</w:t>
            </w:r>
          </w:p>
        </w:tc>
        <w:tc>
          <w:tcPr>
            <w:tcW w:w="1019" w:type="dxa"/>
          </w:tcPr>
          <w:p w14:paraId="47F3B9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019" w:type="dxa"/>
          </w:tcPr>
          <w:p w14:paraId="6C2ABE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w:t>
            </w:r>
          </w:p>
        </w:tc>
        <w:tc>
          <w:tcPr>
            <w:tcW w:w="1019" w:type="dxa"/>
          </w:tcPr>
          <w:p w14:paraId="3ED303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1019" w:type="dxa"/>
          </w:tcPr>
          <w:p w14:paraId="402D13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19" w:type="dxa"/>
          </w:tcPr>
          <w:p w14:paraId="1C5162D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r>
      <w:tr w:rsidR="008127F8" w:rsidRPr="008127F8" w14:paraId="3E282106" w14:textId="77777777">
        <w:tc>
          <w:tcPr>
            <w:tcW w:w="1019" w:type="dxa"/>
          </w:tcPr>
          <w:p w14:paraId="270C22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3-я par</w:t>
            </w:r>
          </w:p>
        </w:tc>
        <w:tc>
          <w:tcPr>
            <w:tcW w:w="1019" w:type="dxa"/>
          </w:tcPr>
          <w:p w14:paraId="178874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019" w:type="dxa"/>
          </w:tcPr>
          <w:p w14:paraId="68E10C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29/7г</w:t>
            </w:r>
          </w:p>
        </w:tc>
        <w:tc>
          <w:tcPr>
            <w:tcW w:w="1019" w:type="dxa"/>
          </w:tcPr>
          <w:p w14:paraId="1CAD36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1019" w:type="dxa"/>
          </w:tcPr>
          <w:p w14:paraId="3C1A56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019" w:type="dxa"/>
          </w:tcPr>
          <w:p w14:paraId="5976D0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r w:rsidR="008127F8" w:rsidRPr="008127F8" w14:paraId="362609B8" w14:textId="77777777">
        <w:tc>
          <w:tcPr>
            <w:tcW w:w="1019" w:type="dxa"/>
          </w:tcPr>
          <w:p w14:paraId="2487BB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4-я par</w:t>
            </w:r>
          </w:p>
        </w:tc>
        <w:tc>
          <w:tcPr>
            <w:tcW w:w="1019" w:type="dxa"/>
          </w:tcPr>
          <w:p w14:paraId="06207DD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19" w:type="dxa"/>
          </w:tcPr>
          <w:p w14:paraId="2788E5A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c>
          <w:tcPr>
            <w:tcW w:w="1019" w:type="dxa"/>
          </w:tcPr>
          <w:p w14:paraId="49DEAF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019" w:type="dxa"/>
          </w:tcPr>
          <w:p w14:paraId="7EFCC3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1019" w:type="dxa"/>
          </w:tcPr>
          <w:p w14:paraId="41D8D3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9/11</w:t>
            </w:r>
          </w:p>
        </w:tc>
      </w:tr>
      <w:tr w:rsidR="008127F8" w:rsidRPr="008127F8" w14:paraId="4F02997C" w14:textId="77777777">
        <w:tc>
          <w:tcPr>
            <w:tcW w:w="1019" w:type="dxa"/>
          </w:tcPr>
          <w:p w14:paraId="6C4FA9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КарФ</w:t>
            </w:r>
          </w:p>
        </w:tc>
        <w:tc>
          <w:tcPr>
            <w:tcW w:w="1019" w:type="dxa"/>
          </w:tcPr>
          <w:p w14:paraId="473285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019" w:type="dxa"/>
          </w:tcPr>
          <w:p w14:paraId="7844D3D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48/4</w:t>
            </w:r>
          </w:p>
        </w:tc>
        <w:tc>
          <w:tcPr>
            <w:tcW w:w="1019" w:type="dxa"/>
          </w:tcPr>
          <w:p w14:paraId="037F669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19" w:type="dxa"/>
          </w:tcPr>
          <w:p w14:paraId="498FDB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19" w:type="dxa"/>
          </w:tcPr>
          <w:p w14:paraId="2EECD7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8127F8" w:rsidRPr="008127F8" w14:paraId="0CD4C259" w14:textId="77777777">
        <w:tc>
          <w:tcPr>
            <w:tcW w:w="1019" w:type="dxa"/>
          </w:tcPr>
          <w:p w14:paraId="31C717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МВО</w:t>
            </w:r>
          </w:p>
        </w:tc>
        <w:tc>
          <w:tcPr>
            <w:tcW w:w="1019" w:type="dxa"/>
          </w:tcPr>
          <w:p w14:paraId="3DE6AA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19" w:type="dxa"/>
          </w:tcPr>
          <w:p w14:paraId="5535CE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0C31AC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68BDC0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529A84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76C3A9AF" w14:textId="77777777">
        <w:tc>
          <w:tcPr>
            <w:tcW w:w="1019" w:type="dxa"/>
          </w:tcPr>
          <w:p w14:paraId="59308C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Авиация ГК</w:t>
            </w:r>
          </w:p>
        </w:tc>
        <w:tc>
          <w:tcPr>
            <w:tcW w:w="1019" w:type="dxa"/>
          </w:tcPr>
          <w:p w14:paraId="36909E9D"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019" w:type="dxa"/>
          </w:tcPr>
          <w:p w14:paraId="6521AC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019" w:type="dxa"/>
          </w:tcPr>
          <w:p w14:paraId="57E37E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w:t>
            </w:r>
          </w:p>
        </w:tc>
        <w:tc>
          <w:tcPr>
            <w:tcW w:w="1019" w:type="dxa"/>
          </w:tcPr>
          <w:p w14:paraId="4D7B79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1019" w:type="dxa"/>
          </w:tcPr>
          <w:p w14:paraId="14E6D6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r>
      <w:tr w:rsidR="008127F8" w:rsidRPr="008127F8" w14:paraId="6A95E7DC" w14:textId="77777777">
        <w:tc>
          <w:tcPr>
            <w:tcW w:w="1019" w:type="dxa"/>
          </w:tcPr>
          <w:p w14:paraId="4B5193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5-я par</w:t>
            </w:r>
          </w:p>
        </w:tc>
        <w:tc>
          <w:tcPr>
            <w:tcW w:w="1019" w:type="dxa"/>
          </w:tcPr>
          <w:p w14:paraId="138D3D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2C8C98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w:t>
            </w:r>
          </w:p>
        </w:tc>
        <w:tc>
          <w:tcPr>
            <w:tcW w:w="1019" w:type="dxa"/>
          </w:tcPr>
          <w:p w14:paraId="28C6B2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1019" w:type="dxa"/>
          </w:tcPr>
          <w:p w14:paraId="69B0E9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019" w:type="dxa"/>
          </w:tcPr>
          <w:p w14:paraId="42EBC9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r>
      <w:tr w:rsidR="008127F8" w:rsidRPr="008127F8" w14:paraId="2189C603" w14:textId="77777777">
        <w:tc>
          <w:tcPr>
            <w:tcW w:w="1019" w:type="dxa"/>
          </w:tcPr>
          <w:p w14:paraId="13ECC3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6-я par</w:t>
            </w:r>
          </w:p>
        </w:tc>
        <w:tc>
          <w:tcPr>
            <w:tcW w:w="1019" w:type="dxa"/>
          </w:tcPr>
          <w:p w14:paraId="7D208A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64689A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19" w:type="dxa"/>
          </w:tcPr>
          <w:p w14:paraId="1C03B6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557ED3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7D82E4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331E0BD5" w14:textId="77777777">
        <w:tc>
          <w:tcPr>
            <w:tcW w:w="1019" w:type="dxa"/>
          </w:tcPr>
          <w:p w14:paraId="3D7E2C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51-й А</w:t>
            </w:r>
          </w:p>
        </w:tc>
        <w:tc>
          <w:tcPr>
            <w:tcW w:w="1019" w:type="dxa"/>
          </w:tcPr>
          <w:p w14:paraId="2C7FA6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38351C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1019" w:type="dxa"/>
          </w:tcPr>
          <w:p w14:paraId="689C2B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1019" w:type="dxa"/>
          </w:tcPr>
          <w:p w14:paraId="4A36A6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19" w:type="dxa"/>
          </w:tcPr>
          <w:p w14:paraId="2D911D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r>
      <w:tr w:rsidR="008127F8" w:rsidRPr="008127F8" w14:paraId="5118DA86" w14:textId="77777777">
        <w:tc>
          <w:tcPr>
            <w:tcW w:w="1019" w:type="dxa"/>
          </w:tcPr>
          <w:p w14:paraId="22B8C3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7-й А</w:t>
            </w:r>
          </w:p>
        </w:tc>
        <w:tc>
          <w:tcPr>
            <w:tcW w:w="1019" w:type="dxa"/>
          </w:tcPr>
          <w:p w14:paraId="25384A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7B9F0F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20269F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c>
          <w:tcPr>
            <w:tcW w:w="1019" w:type="dxa"/>
          </w:tcPr>
          <w:p w14:paraId="04B924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019" w:type="dxa"/>
          </w:tcPr>
          <w:p w14:paraId="4DC9C8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r>
      <w:tr w:rsidR="008127F8" w:rsidRPr="008127F8" w14:paraId="79C14B9D" w14:textId="77777777">
        <w:tc>
          <w:tcPr>
            <w:tcW w:w="1019" w:type="dxa"/>
          </w:tcPr>
          <w:p w14:paraId="418423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КалинФ</w:t>
            </w:r>
          </w:p>
        </w:tc>
        <w:tc>
          <w:tcPr>
            <w:tcW w:w="1019" w:type="dxa"/>
          </w:tcPr>
          <w:p w14:paraId="055BFA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34A30F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6E9A3E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1019" w:type="dxa"/>
          </w:tcPr>
          <w:p w14:paraId="2E6C8B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1019" w:type="dxa"/>
          </w:tcPr>
          <w:p w14:paraId="1522F9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r>
      <w:tr w:rsidR="008127F8" w:rsidRPr="008127F8" w14:paraId="2CA2B001" w14:textId="77777777">
        <w:tc>
          <w:tcPr>
            <w:tcW w:w="1019" w:type="dxa"/>
          </w:tcPr>
          <w:p w14:paraId="077EC2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Петрова</w:t>
            </w:r>
          </w:p>
        </w:tc>
        <w:tc>
          <w:tcPr>
            <w:tcW w:w="1019" w:type="dxa"/>
          </w:tcPr>
          <w:p w14:paraId="2503A9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189814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1D5DC3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311C4EB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1019" w:type="dxa"/>
          </w:tcPr>
          <w:p w14:paraId="260519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r>
      <w:tr w:rsidR="008127F8" w:rsidRPr="008127F8" w14:paraId="1B296DEB" w14:textId="77777777">
        <w:tc>
          <w:tcPr>
            <w:tcW w:w="1019" w:type="dxa"/>
          </w:tcPr>
          <w:p w14:paraId="7846F1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Сбытова</w:t>
            </w:r>
          </w:p>
        </w:tc>
        <w:tc>
          <w:tcPr>
            <w:tcW w:w="1019" w:type="dxa"/>
          </w:tcPr>
          <w:p w14:paraId="549C4B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0AF680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2DAE0E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097A41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019" w:type="dxa"/>
          </w:tcPr>
          <w:p w14:paraId="322A48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74AE8E85" w14:textId="77777777">
        <w:tc>
          <w:tcPr>
            <w:tcW w:w="1019" w:type="dxa"/>
          </w:tcPr>
          <w:p w14:paraId="1F6A8E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Полынина</w:t>
            </w:r>
          </w:p>
        </w:tc>
        <w:tc>
          <w:tcPr>
            <w:tcW w:w="1019" w:type="dxa"/>
          </w:tcPr>
          <w:p w14:paraId="55EBFB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59096D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59BF23D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19" w:type="dxa"/>
          </w:tcPr>
          <w:p w14:paraId="14CE8F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1019" w:type="dxa"/>
          </w:tcPr>
          <w:p w14:paraId="5368C0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78E05E0E" w14:textId="77777777">
        <w:tc>
          <w:tcPr>
            <w:tcW w:w="1019" w:type="dxa"/>
            <w:tcBorders>
              <w:bottom w:val="single" w:sz="12" w:space="0" w:color="auto"/>
            </w:tcBorders>
          </w:tcPr>
          <w:p w14:paraId="679E8D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на фронтах</w:t>
            </w:r>
          </w:p>
        </w:tc>
        <w:tc>
          <w:tcPr>
            <w:tcW w:w="1019" w:type="dxa"/>
            <w:tcBorders>
              <w:bottom w:val="single" w:sz="12" w:space="0" w:color="auto"/>
            </w:tcBorders>
          </w:tcPr>
          <w:p w14:paraId="489C25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229</w:t>
            </w:r>
          </w:p>
        </w:tc>
        <w:tc>
          <w:tcPr>
            <w:tcW w:w="1019" w:type="dxa"/>
            <w:tcBorders>
              <w:bottom w:val="single" w:sz="12" w:space="0" w:color="auto"/>
            </w:tcBorders>
          </w:tcPr>
          <w:p w14:paraId="2946A5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243/62</w:t>
            </w:r>
          </w:p>
        </w:tc>
        <w:tc>
          <w:tcPr>
            <w:tcW w:w="1019" w:type="dxa"/>
            <w:tcBorders>
              <w:bottom w:val="single" w:sz="12" w:space="0" w:color="auto"/>
            </w:tcBorders>
          </w:tcPr>
          <w:p w14:paraId="16477B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163/52'</w:t>
            </w:r>
          </w:p>
        </w:tc>
        <w:tc>
          <w:tcPr>
            <w:tcW w:w="1019" w:type="dxa"/>
            <w:tcBorders>
              <w:bottom w:val="single" w:sz="12" w:space="0" w:color="auto"/>
            </w:tcBorders>
          </w:tcPr>
          <w:p w14:paraId="4F5DE9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128/47"</w:t>
            </w:r>
          </w:p>
        </w:tc>
        <w:tc>
          <w:tcPr>
            <w:tcW w:w="1019" w:type="dxa"/>
            <w:tcBorders>
              <w:bottom w:val="single" w:sz="12" w:space="0" w:color="auto"/>
            </w:tcBorders>
          </w:tcPr>
          <w:p w14:paraId="60CB78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109/685</w:t>
            </w:r>
          </w:p>
        </w:tc>
      </w:tr>
    </w:tbl>
    <w:p w14:paraId="528532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Вместе с ВВС 4-й А</w:t>
      </w:r>
    </w:p>
    <w:p w14:paraId="5AF121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Вместе с ВВС 54-й А</w:t>
      </w:r>
    </w:p>
    <w:p w14:paraId="6FA36E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Еше 110 самолетов Пе-2 в запасных и маршевых полках</w:t>
      </w:r>
    </w:p>
    <w:p w14:paraId="6BD06F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Еше 92/6 самолетов Пе-2 в запасных и маршевых полках</w:t>
      </w:r>
    </w:p>
    <w:p w14:paraId="36510B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Еше 142/20 самолетов Пе-2 в запасных и маршевых полках</w:t>
      </w:r>
    </w:p>
    <w:p w14:paraId="5E392DB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числителе - число исправных, в знаменателе - число неисправных самолетов (12042).</w:t>
      </w:r>
    </w:p>
    <w:p w14:paraId="529C48E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0A4D9CC" w14:textId="77777777" w:rsidR="00D4651C" w:rsidRPr="008127F8" w:rsidRDefault="00D4651C" w:rsidP="001E0A84">
      <w:pPr>
        <w:pStyle w:val="a4"/>
        <w:rPr>
          <w:color w:val="000000" w:themeColor="text1"/>
          <w:lang w:val="ru-RU"/>
        </w:rPr>
      </w:pPr>
      <w:r w:rsidRPr="008127F8">
        <w:rPr>
          <w:color w:val="000000" w:themeColor="text1"/>
          <w:lang w:val="ru-RU"/>
        </w:rPr>
        <w:t>На 1 января 1942 г. в ВВС РККА числился 2401 истребитель новых типов, из них 686 МиГ-3. Больше было только «ЛаГГов» — 746 штук. «МиГи» появились и на тех фронтах, куда к началу войны поставить их не успели. Например, сформированный в сентябре 1941 г. в Кандалакше (район Мурманска) 609-й ИАП м-ра Гальченко получил смесь из И-153, ЛаГГ-3 и МиГ-3. Истребителями Микояна были вооружены многие полки, со</w:t>
      </w:r>
      <w:r w:rsidRPr="008127F8">
        <w:rPr>
          <w:color w:val="000000" w:themeColor="text1"/>
          <w:lang w:val="ru-RU"/>
        </w:rPr>
        <w:softHyphen/>
        <w:t>ставлявшие элиту советской авиации. Так, весной 1942 г. на Калининском фронте действовал 1-й Гвардейский Красно</w:t>
      </w:r>
      <w:r w:rsidRPr="008127F8">
        <w:rPr>
          <w:color w:val="000000" w:themeColor="text1"/>
          <w:lang w:val="ru-RU"/>
        </w:rPr>
        <w:softHyphen/>
        <w:t>гвардейский орденов Ленина и Красного Знамени ИАП, воору</w:t>
      </w:r>
      <w:r w:rsidRPr="008127F8">
        <w:rPr>
          <w:color w:val="000000" w:themeColor="text1"/>
          <w:lang w:val="ru-RU"/>
        </w:rPr>
        <w:softHyphen/>
        <w:t>женный МиГ-3 и «Харрикейнами МВ». На этой технике за десять апрельских дней участия в первой Ржевской операции, когда враг господствовал в воздухе, полк сбил 15 самолетов (11938).</w:t>
      </w:r>
    </w:p>
    <w:p w14:paraId="5F443CD3" w14:textId="77777777" w:rsidR="00D4651C" w:rsidRPr="008127F8" w:rsidRDefault="00D4651C" w:rsidP="001E0A84">
      <w:pPr>
        <w:pStyle w:val="a4"/>
        <w:rPr>
          <w:color w:val="000000" w:themeColor="text1"/>
          <w:lang w:val="ru-RU"/>
        </w:rPr>
      </w:pPr>
    </w:p>
    <w:p w14:paraId="645A424B" w14:textId="35D907F4" w:rsidR="00441E3A" w:rsidRPr="008127F8" w:rsidRDefault="00441E3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На 1 января 1942 г. в ВВС Красной Армии числился 2401 истребитель новых типов, из них 686 – это были МиГ-3. Они по-прежнему составляли весомую часть нашей авиации: из истребителей больше было только ЛаГГ-</w:t>
      </w:r>
      <w:proofErr w:type="gramStart"/>
      <w:r w:rsidRPr="008127F8">
        <w:rPr>
          <w:rFonts w:ascii="Times New Roman" w:hAnsi="Times New Roman" w:cs="Times New Roman"/>
          <w:color w:val="000000" w:themeColor="text1"/>
          <w:sz w:val="16"/>
          <w:szCs w:val="16"/>
        </w:rPr>
        <w:t>3</w:t>
      </w:r>
      <w:r w:rsidR="008127F8">
        <w:rPr>
          <w:rFonts w:ascii="Times New Roman" w:hAnsi="Times New Roman" w:cs="Times New Roman"/>
          <w:color w:val="000000" w:themeColor="text1"/>
          <w:sz w:val="16"/>
          <w:szCs w:val="16"/>
        </w:rPr>
        <w:t xml:space="preserve">  </w:t>
      </w:r>
      <w:r w:rsidRPr="008127F8">
        <w:rPr>
          <w:rFonts w:ascii="Times New Roman" w:hAnsi="Times New Roman" w:cs="Times New Roman"/>
          <w:color w:val="000000" w:themeColor="text1"/>
          <w:sz w:val="16"/>
          <w:szCs w:val="16"/>
        </w:rPr>
        <w:t>–</w:t>
      </w:r>
      <w:proofErr w:type="gramEnd"/>
      <w:r w:rsidRPr="008127F8">
        <w:rPr>
          <w:rFonts w:ascii="Times New Roman" w:hAnsi="Times New Roman" w:cs="Times New Roman"/>
          <w:color w:val="000000" w:themeColor="text1"/>
          <w:sz w:val="16"/>
          <w:szCs w:val="16"/>
        </w:rPr>
        <w:t xml:space="preserve"> 746</w:t>
      </w:r>
      <w:r w:rsidR="008127F8">
        <w:rPr>
          <w:rFonts w:ascii="Times New Roman" w:hAnsi="Times New Roman" w:cs="Times New Roman"/>
          <w:color w:val="000000" w:themeColor="text1"/>
          <w:sz w:val="16"/>
          <w:szCs w:val="16"/>
        </w:rPr>
        <w:t xml:space="preserve">  </w:t>
      </w:r>
      <w:r w:rsidRPr="008127F8">
        <w:rPr>
          <w:rFonts w:ascii="Times New Roman" w:hAnsi="Times New Roman" w:cs="Times New Roman"/>
          <w:color w:val="000000" w:themeColor="text1"/>
          <w:sz w:val="16"/>
          <w:szCs w:val="16"/>
        </w:rPr>
        <w:t>штук. К тому времени МиГи появились и на тех фронтах, куда к началу войны поставить их не успели (23185).</w:t>
      </w:r>
    </w:p>
    <w:p w14:paraId="75AE22B1" w14:textId="77777777" w:rsidR="00441E3A" w:rsidRPr="008127F8" w:rsidRDefault="00441E3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CD370B2" w14:textId="77777777" w:rsidR="00441E3A" w:rsidRPr="008127F8" w:rsidRDefault="00441E3A" w:rsidP="001E0A84">
      <w:pPr>
        <w:pStyle w:val="Iauiue"/>
        <w:jc w:val="both"/>
        <w:rPr>
          <w:color w:val="000000" w:themeColor="text1"/>
          <w:sz w:val="16"/>
          <w:szCs w:val="16"/>
        </w:rPr>
      </w:pPr>
      <w:r w:rsidRPr="008127F8">
        <w:rPr>
          <w:color w:val="000000" w:themeColor="text1"/>
          <w:sz w:val="16"/>
          <w:szCs w:val="16"/>
        </w:rPr>
        <w:t>C 1 января по 31 августа 1942 г. общие потери самолетов Люфтваффе составили 8301 машину. В том числе на Восточном фронте - 4460, на Западе и в Германии - 2121, в Африке и на Средиземноморье - 1520. Убитыми, раненными и пропавшими без вести значилось 8870 человек летного состава: на Восточном фронте - 4689, на Западе и в Германии - 2381, в Африке и на Средиземноморье - 1800 (3573).</w:t>
      </w:r>
    </w:p>
    <w:p w14:paraId="369735D4" w14:textId="77777777" w:rsidR="00441E3A" w:rsidRPr="008127F8" w:rsidRDefault="00441E3A" w:rsidP="001E0A84">
      <w:pPr>
        <w:pStyle w:val="Iauiue"/>
        <w:jc w:val="both"/>
        <w:rPr>
          <w:color w:val="000000" w:themeColor="text1"/>
          <w:sz w:val="16"/>
          <w:szCs w:val="16"/>
        </w:rPr>
      </w:pPr>
    </w:p>
    <w:p w14:paraId="57DE63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января 1942 г. ВВС ЧФ располагали 16 Пе-2, восемь из них базировались в Севастополе (12042).</w:t>
      </w:r>
    </w:p>
    <w:p w14:paraId="098B32AF" w14:textId="77777777" w:rsidR="00D4651C" w:rsidRPr="008127F8" w:rsidRDefault="00D4651C" w:rsidP="001E0A84">
      <w:pPr>
        <w:pStyle w:val="Iauiue"/>
        <w:jc w:val="both"/>
        <w:rPr>
          <w:color w:val="000000" w:themeColor="text1"/>
          <w:sz w:val="16"/>
          <w:szCs w:val="16"/>
        </w:rPr>
      </w:pPr>
    </w:p>
    <w:p w14:paraId="505C3E1D"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1942 года на Черном море сохранилось всего пять ГСТ. Они входили в состав Севастопольской группы. Заняты были в основном перевозкой в осаж</w:t>
      </w:r>
      <w:r w:rsidRPr="008A2E5A">
        <w:rPr>
          <w:rFonts w:ascii="Times New Roman" w:hAnsi="Times New Roman"/>
          <w:color w:val="0070C0"/>
          <w:sz w:val="16"/>
          <w:szCs w:val="16"/>
        </w:rPr>
        <w:softHyphen/>
        <w:t>денный город особо важных грузов. К 22 апреля их ос</w:t>
      </w:r>
      <w:r w:rsidRPr="008A2E5A">
        <w:rPr>
          <w:rFonts w:ascii="Times New Roman" w:hAnsi="Times New Roman"/>
          <w:color w:val="0070C0"/>
          <w:sz w:val="16"/>
          <w:szCs w:val="16"/>
        </w:rPr>
        <w:softHyphen/>
        <w:t>талось только три. ГСТ перебросили на побережье Кав</w:t>
      </w:r>
      <w:r w:rsidRPr="008A2E5A">
        <w:rPr>
          <w:rFonts w:ascii="Times New Roman" w:hAnsi="Times New Roman"/>
          <w:color w:val="0070C0"/>
          <w:sz w:val="16"/>
          <w:szCs w:val="16"/>
        </w:rPr>
        <w:softHyphen/>
        <w:t>каза, в Геленджик. Оттуда они участвовали в эвакуации из Севастополя, а затем в снабжении парти</w:t>
      </w:r>
      <w:r w:rsidRPr="008A2E5A">
        <w:rPr>
          <w:rFonts w:ascii="Times New Roman" w:hAnsi="Times New Roman"/>
          <w:color w:val="0070C0"/>
          <w:sz w:val="16"/>
          <w:szCs w:val="16"/>
        </w:rPr>
        <w:softHyphen/>
        <w:t>зан Крыма. Разведку теперь вели не далее меридиана Евпатории—не позволял радиус действия. 8 сентября последний уцелевший на Черном море ГСТ вместе с «Каталинами» высаживал десант в Варне (Болгария).</w:t>
      </w:r>
    </w:p>
    <w:p w14:paraId="7DC7BE37"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Северном флоте один самолет этого типа дослу</w:t>
      </w:r>
      <w:r w:rsidRPr="008A2E5A">
        <w:rPr>
          <w:rFonts w:ascii="Times New Roman" w:hAnsi="Times New Roman"/>
          <w:color w:val="0070C0"/>
          <w:sz w:val="16"/>
          <w:szCs w:val="16"/>
        </w:rPr>
        <w:softHyphen/>
        <w:t>жил до конца войны в 16-м транспортном отряде. Он летал на разведку, прикрытие конвоев, противолодочное патрулирование и, само собой, возил людей и грузы (23545).</w:t>
      </w:r>
    </w:p>
    <w:p w14:paraId="72D94275" w14:textId="77777777" w:rsidR="00DC0FF7" w:rsidRPr="008A2E5A" w:rsidRDefault="00DC0FF7" w:rsidP="00DC0FF7">
      <w:pPr>
        <w:spacing w:after="0" w:line="240" w:lineRule="auto"/>
        <w:jc w:val="both"/>
        <w:rPr>
          <w:rFonts w:ascii="Times New Roman" w:hAnsi="Times New Roman"/>
          <w:color w:val="0070C0"/>
          <w:sz w:val="16"/>
          <w:szCs w:val="16"/>
        </w:rPr>
      </w:pPr>
    </w:p>
    <w:p w14:paraId="13D773B9"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1942 года числилось 403 КВ всех типов, за 1942 год сдали 1802 КВ-1 (из них 102 КВ-8), а КВ-1с, за это же время, 624 штуки (из них 25 огнеметных КВ-8с). Конечно, на огромные потери КВ-1 повлияли неудачи Красной Армии в ряде сражений 1942 года. Тем не менее, по поводу выживаемости КВ-1 обольщаться не стоит. На фоне массового появления у немцев новых образцов танковой и противотанковой артиллерии выживаемость КВ-1 неуклонно снижалась (23364).</w:t>
      </w:r>
    </w:p>
    <w:p w14:paraId="4B7F455E" w14:textId="77777777" w:rsidR="00DC0FF7" w:rsidRPr="008A2E5A" w:rsidRDefault="00DC0FF7" w:rsidP="00DC0FF7">
      <w:pPr>
        <w:spacing w:after="0" w:line="240" w:lineRule="auto"/>
        <w:jc w:val="both"/>
        <w:rPr>
          <w:rFonts w:ascii="Times New Roman" w:hAnsi="Times New Roman"/>
          <w:color w:val="0070C0"/>
          <w:sz w:val="16"/>
          <w:szCs w:val="16"/>
        </w:rPr>
      </w:pPr>
    </w:p>
    <w:p w14:paraId="4D7F33D5"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января 1942 г. к перечню задач, стоящих перед совет</w:t>
      </w:r>
      <w:r w:rsidRPr="008127F8">
        <w:rPr>
          <w:rFonts w:ascii="Times New Roman" w:hAnsi="Times New Roman"/>
          <w:color w:val="000000" w:themeColor="text1"/>
          <w:sz w:val="16"/>
          <w:szCs w:val="16"/>
        </w:rPr>
        <w:softHyphen/>
        <w:t>скими «Каталинами», добавились полеты на снабжение крымских партизан (19852).</w:t>
      </w:r>
    </w:p>
    <w:p w14:paraId="23F45510" w14:textId="77777777" w:rsidR="00441E3A" w:rsidRPr="008127F8" w:rsidRDefault="00441E3A" w:rsidP="001E0A84">
      <w:pPr>
        <w:spacing w:after="0" w:line="240" w:lineRule="auto"/>
        <w:jc w:val="both"/>
        <w:rPr>
          <w:rFonts w:ascii="Times New Roman" w:hAnsi="Times New Roman"/>
          <w:color w:val="000000" w:themeColor="text1"/>
          <w:sz w:val="16"/>
          <w:szCs w:val="16"/>
        </w:rPr>
      </w:pPr>
    </w:p>
    <w:p w14:paraId="79702A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1 января 1942 года в полках истребительно-противотанковой артиллерии имелось 196 37-мм зенитных автоматов (3861).</w:t>
      </w:r>
    </w:p>
    <w:p w14:paraId="5F0C877B" w14:textId="77777777" w:rsidR="00D4651C" w:rsidRPr="008127F8" w:rsidRDefault="00D4651C" w:rsidP="001E0A84">
      <w:pPr>
        <w:pStyle w:val="Iauiue"/>
        <w:jc w:val="both"/>
        <w:rPr>
          <w:color w:val="000000" w:themeColor="text1"/>
          <w:sz w:val="16"/>
          <w:szCs w:val="16"/>
        </w:rPr>
      </w:pPr>
    </w:p>
    <w:p w14:paraId="7EB657B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СВЕДЕНИЯ О НАЛИЧИИ АВТОМОБИЛЕЙ, ТРАКТОРОВ, ПРИЦЕПОВ И МОТОЦИКЛОВ В КРАСНОЙ АРМИИ НА 1.1.1942 г.</w:t>
      </w:r>
    </w:p>
    <w:tbl>
      <w:tblPr>
        <w:tblW w:w="0" w:type="auto"/>
        <w:tblInd w:w="40" w:type="dxa"/>
        <w:tblLayout w:type="fixed"/>
        <w:tblCellMar>
          <w:left w:w="40" w:type="dxa"/>
          <w:right w:w="40" w:type="dxa"/>
        </w:tblCellMar>
        <w:tblLook w:val="0000" w:firstRow="0" w:lastRow="0" w:firstColumn="0" w:lastColumn="0" w:noHBand="0" w:noVBand="0"/>
      </w:tblPr>
      <w:tblGrid>
        <w:gridCol w:w="1853"/>
        <w:gridCol w:w="931"/>
        <w:gridCol w:w="883"/>
        <w:gridCol w:w="883"/>
        <w:gridCol w:w="874"/>
        <w:gridCol w:w="883"/>
        <w:gridCol w:w="883"/>
        <w:gridCol w:w="749"/>
        <w:gridCol w:w="749"/>
        <w:gridCol w:w="768"/>
      </w:tblGrid>
      <w:tr w:rsidR="006F4095" w:rsidRPr="008127F8" w14:paraId="32749B81" w14:textId="77777777">
        <w:trPr>
          <w:trHeight w:val="173"/>
        </w:trPr>
        <w:tc>
          <w:tcPr>
            <w:tcW w:w="1853" w:type="dxa"/>
            <w:tcBorders>
              <w:top w:val="single" w:sz="6" w:space="0" w:color="auto"/>
              <w:left w:val="single" w:sz="6" w:space="0" w:color="auto"/>
              <w:bottom w:val="nil"/>
              <w:right w:val="single" w:sz="6" w:space="0" w:color="auto"/>
            </w:tcBorders>
          </w:tcPr>
          <w:p w14:paraId="345006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Номенклатура</w:t>
            </w:r>
          </w:p>
        </w:tc>
        <w:tc>
          <w:tcPr>
            <w:tcW w:w="931" w:type="dxa"/>
            <w:tcBorders>
              <w:top w:val="single" w:sz="6" w:space="0" w:color="auto"/>
              <w:left w:val="single" w:sz="6" w:space="0" w:color="auto"/>
              <w:bottom w:val="nil"/>
              <w:right w:val="single" w:sz="6" w:space="0" w:color="auto"/>
            </w:tcBorders>
          </w:tcPr>
          <w:p w14:paraId="7D0739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на 22.06 1941 г.</w:t>
            </w:r>
          </w:p>
        </w:tc>
        <w:tc>
          <w:tcPr>
            <w:tcW w:w="3523" w:type="dxa"/>
            <w:gridSpan w:val="4"/>
            <w:tcBorders>
              <w:top w:val="single" w:sz="6" w:space="0" w:color="auto"/>
              <w:left w:val="single" w:sz="6" w:space="0" w:color="auto"/>
              <w:bottom w:val="single" w:sz="6" w:space="0" w:color="auto"/>
              <w:right w:val="single" w:sz="6" w:space="0" w:color="auto"/>
            </w:tcBorders>
          </w:tcPr>
          <w:p w14:paraId="1926D85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Поступило с 22.6.41 г. по 1.1.1942 г.</w:t>
            </w:r>
          </w:p>
        </w:tc>
        <w:tc>
          <w:tcPr>
            <w:tcW w:w="883" w:type="dxa"/>
            <w:tcBorders>
              <w:top w:val="single" w:sz="6" w:space="0" w:color="auto"/>
              <w:left w:val="single" w:sz="6" w:space="0" w:color="auto"/>
              <w:bottom w:val="nil"/>
              <w:right w:val="single" w:sz="6" w:space="0" w:color="auto"/>
            </w:tcBorders>
          </w:tcPr>
          <w:p w14:paraId="024559B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Должно быть в Красной Армии</w:t>
            </w:r>
          </w:p>
        </w:tc>
        <w:tc>
          <w:tcPr>
            <w:tcW w:w="2266" w:type="dxa"/>
            <w:gridSpan w:val="3"/>
            <w:tcBorders>
              <w:top w:val="single" w:sz="6" w:space="0" w:color="auto"/>
              <w:left w:val="single" w:sz="6" w:space="0" w:color="auto"/>
              <w:bottom w:val="single" w:sz="6" w:space="0" w:color="auto"/>
              <w:right w:val="single" w:sz="6" w:space="0" w:color="auto"/>
            </w:tcBorders>
          </w:tcPr>
          <w:p w14:paraId="398EB2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на 1.1.1942 г.</w:t>
            </w:r>
          </w:p>
        </w:tc>
      </w:tr>
      <w:tr w:rsidR="006F4095" w:rsidRPr="008127F8" w14:paraId="4A6004AC" w14:textId="77777777">
        <w:trPr>
          <w:trHeight w:val="173"/>
        </w:trPr>
        <w:tc>
          <w:tcPr>
            <w:tcW w:w="1853" w:type="dxa"/>
            <w:tcBorders>
              <w:top w:val="nil"/>
              <w:left w:val="single" w:sz="6" w:space="0" w:color="auto"/>
              <w:bottom w:val="nil"/>
              <w:right w:val="single" w:sz="6" w:space="0" w:color="auto"/>
            </w:tcBorders>
          </w:tcPr>
          <w:p w14:paraId="3E7E7250"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931" w:type="dxa"/>
            <w:tcBorders>
              <w:top w:val="nil"/>
              <w:left w:val="single" w:sz="6" w:space="0" w:color="auto"/>
              <w:bottom w:val="nil"/>
              <w:right w:val="single" w:sz="6" w:space="0" w:color="auto"/>
            </w:tcBorders>
          </w:tcPr>
          <w:p w14:paraId="13F447B9"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1D7043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промышлен</w:t>
            </w:r>
            <w:r w:rsidRPr="008127F8">
              <w:rPr>
                <w:rFonts w:ascii="Times New Roman" w:hAnsi="Times New Roman"/>
                <w:color w:val="000000" w:themeColor="text1"/>
                <w:sz w:val="16"/>
                <w:szCs w:val="16"/>
              </w:rPr>
              <w:softHyphen/>
              <w:t>ности</w:t>
            </w:r>
          </w:p>
        </w:tc>
        <w:tc>
          <w:tcPr>
            <w:tcW w:w="1757" w:type="dxa"/>
            <w:gridSpan w:val="2"/>
            <w:tcBorders>
              <w:top w:val="single" w:sz="6" w:space="0" w:color="auto"/>
              <w:left w:val="single" w:sz="6" w:space="0" w:color="auto"/>
              <w:bottom w:val="single" w:sz="6" w:space="0" w:color="auto"/>
              <w:right w:val="single" w:sz="6" w:space="0" w:color="auto"/>
            </w:tcBorders>
          </w:tcPr>
          <w:p w14:paraId="76E6B1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народного хозяйства</w:t>
            </w:r>
          </w:p>
        </w:tc>
        <w:tc>
          <w:tcPr>
            <w:tcW w:w="883" w:type="dxa"/>
            <w:tcBorders>
              <w:top w:val="single" w:sz="6" w:space="0" w:color="auto"/>
              <w:left w:val="single" w:sz="6" w:space="0" w:color="auto"/>
              <w:bottom w:val="nil"/>
              <w:right w:val="single" w:sz="6" w:space="0" w:color="auto"/>
            </w:tcBorders>
          </w:tcPr>
          <w:p w14:paraId="0B2C7A9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883" w:type="dxa"/>
            <w:tcBorders>
              <w:top w:val="nil"/>
              <w:left w:val="single" w:sz="6" w:space="0" w:color="auto"/>
              <w:bottom w:val="nil"/>
              <w:right w:val="single" w:sz="6" w:space="0" w:color="auto"/>
            </w:tcBorders>
          </w:tcPr>
          <w:p w14:paraId="4466CAF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368457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донесе</w:t>
            </w:r>
            <w:r w:rsidRPr="008127F8">
              <w:rPr>
                <w:rFonts w:ascii="Times New Roman" w:hAnsi="Times New Roman"/>
                <w:color w:val="000000" w:themeColor="text1"/>
                <w:sz w:val="16"/>
                <w:szCs w:val="16"/>
              </w:rPr>
              <w:softHyphen/>
              <w:t xml:space="preserve">ниям </w:t>
            </w:r>
            <w:r w:rsidRPr="008127F8">
              <w:rPr>
                <w:rFonts w:ascii="Times New Roman" w:hAnsi="Times New Roman"/>
                <w:color w:val="000000" w:themeColor="text1"/>
                <w:sz w:val="16"/>
                <w:szCs w:val="16"/>
              </w:rPr>
              <w:lastRenderedPageBreak/>
              <w:t>округов и фронтов</w:t>
            </w:r>
          </w:p>
        </w:tc>
        <w:tc>
          <w:tcPr>
            <w:tcW w:w="749" w:type="dxa"/>
            <w:tcBorders>
              <w:top w:val="single" w:sz="6" w:space="0" w:color="auto"/>
              <w:left w:val="single" w:sz="6" w:space="0" w:color="auto"/>
              <w:bottom w:val="nil"/>
              <w:right w:val="single" w:sz="6" w:space="0" w:color="auto"/>
            </w:tcBorders>
          </w:tcPr>
          <w:p w14:paraId="0E12C6C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рембазах и заводах</w:t>
            </w:r>
          </w:p>
        </w:tc>
        <w:tc>
          <w:tcPr>
            <w:tcW w:w="768" w:type="dxa"/>
            <w:tcBorders>
              <w:top w:val="single" w:sz="6" w:space="0" w:color="auto"/>
              <w:left w:val="single" w:sz="6" w:space="0" w:color="auto"/>
              <w:bottom w:val="nil"/>
              <w:right w:val="single" w:sz="6" w:space="0" w:color="auto"/>
            </w:tcBorders>
          </w:tcPr>
          <w:p w14:paraId="015F919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3094CB78" w14:textId="77777777">
        <w:trPr>
          <w:trHeight w:val="634"/>
        </w:trPr>
        <w:tc>
          <w:tcPr>
            <w:tcW w:w="1853" w:type="dxa"/>
            <w:tcBorders>
              <w:top w:val="nil"/>
              <w:left w:val="single" w:sz="6" w:space="0" w:color="auto"/>
              <w:bottom w:val="single" w:sz="6" w:space="0" w:color="auto"/>
              <w:right w:val="single" w:sz="6" w:space="0" w:color="auto"/>
            </w:tcBorders>
          </w:tcPr>
          <w:p w14:paraId="60A01FA3"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931" w:type="dxa"/>
            <w:tcBorders>
              <w:top w:val="nil"/>
              <w:left w:val="single" w:sz="6" w:space="0" w:color="auto"/>
              <w:bottom w:val="single" w:sz="6" w:space="0" w:color="auto"/>
              <w:right w:val="single" w:sz="6" w:space="0" w:color="auto"/>
            </w:tcBorders>
          </w:tcPr>
          <w:p w14:paraId="79EA9DC2"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38B30ABF"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B011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мобили</w:t>
            </w:r>
            <w:r w:rsidRPr="008127F8">
              <w:rPr>
                <w:rFonts w:ascii="Times New Roman" w:hAnsi="Times New Roman"/>
                <w:color w:val="000000" w:themeColor="text1"/>
                <w:sz w:val="16"/>
                <w:szCs w:val="16"/>
              </w:rPr>
              <w:softHyphen/>
              <w:t>зации</w:t>
            </w:r>
          </w:p>
        </w:tc>
        <w:tc>
          <w:tcPr>
            <w:tcW w:w="874" w:type="dxa"/>
            <w:tcBorders>
              <w:top w:val="single" w:sz="6" w:space="0" w:color="auto"/>
              <w:left w:val="single" w:sz="6" w:space="0" w:color="auto"/>
              <w:bottom w:val="single" w:sz="6" w:space="0" w:color="auto"/>
              <w:right w:val="single" w:sz="6" w:space="0" w:color="auto"/>
            </w:tcBorders>
          </w:tcPr>
          <w:p w14:paraId="4890231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поста</w:t>
            </w:r>
            <w:r w:rsidRPr="008127F8">
              <w:rPr>
                <w:rFonts w:ascii="Times New Roman" w:hAnsi="Times New Roman"/>
                <w:color w:val="000000" w:themeColor="text1"/>
                <w:sz w:val="16"/>
                <w:szCs w:val="16"/>
              </w:rPr>
              <w:softHyphen/>
              <w:t>новлению ГКО № 618 от 2. 9.41 г.</w:t>
            </w:r>
          </w:p>
        </w:tc>
        <w:tc>
          <w:tcPr>
            <w:tcW w:w="883" w:type="dxa"/>
            <w:tcBorders>
              <w:top w:val="nil"/>
              <w:left w:val="single" w:sz="6" w:space="0" w:color="auto"/>
              <w:bottom w:val="single" w:sz="6" w:space="0" w:color="auto"/>
              <w:right w:val="single" w:sz="6" w:space="0" w:color="auto"/>
            </w:tcBorders>
          </w:tcPr>
          <w:p w14:paraId="5C9E521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40BF189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7E1E239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6548BC3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nil"/>
              <w:left w:val="single" w:sz="6" w:space="0" w:color="auto"/>
              <w:bottom w:val="single" w:sz="6" w:space="0" w:color="auto"/>
              <w:right w:val="single" w:sz="6" w:space="0" w:color="auto"/>
            </w:tcBorders>
          </w:tcPr>
          <w:p w14:paraId="326A3C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44163EE2"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574E8AF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Автомобили из них:</w:t>
            </w:r>
          </w:p>
        </w:tc>
        <w:tc>
          <w:tcPr>
            <w:tcW w:w="931" w:type="dxa"/>
            <w:tcBorders>
              <w:top w:val="single" w:sz="6" w:space="0" w:color="auto"/>
              <w:left w:val="single" w:sz="6" w:space="0" w:color="auto"/>
              <w:bottom w:val="single" w:sz="6" w:space="0" w:color="auto"/>
              <w:right w:val="single" w:sz="6" w:space="0" w:color="auto"/>
            </w:tcBorders>
          </w:tcPr>
          <w:p w14:paraId="7B3708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272605</w:t>
            </w:r>
          </w:p>
        </w:tc>
        <w:tc>
          <w:tcPr>
            <w:tcW w:w="883" w:type="dxa"/>
            <w:tcBorders>
              <w:top w:val="single" w:sz="6" w:space="0" w:color="auto"/>
              <w:left w:val="single" w:sz="6" w:space="0" w:color="auto"/>
              <w:bottom w:val="single" w:sz="6" w:space="0" w:color="auto"/>
              <w:right w:val="single" w:sz="6" w:space="0" w:color="auto"/>
            </w:tcBorders>
          </w:tcPr>
          <w:p w14:paraId="0945EC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37321</w:t>
            </w:r>
          </w:p>
        </w:tc>
        <w:tc>
          <w:tcPr>
            <w:tcW w:w="883" w:type="dxa"/>
            <w:tcBorders>
              <w:top w:val="single" w:sz="6" w:space="0" w:color="auto"/>
              <w:left w:val="single" w:sz="6" w:space="0" w:color="auto"/>
              <w:bottom w:val="single" w:sz="6" w:space="0" w:color="auto"/>
              <w:right w:val="single" w:sz="6" w:space="0" w:color="auto"/>
            </w:tcBorders>
          </w:tcPr>
          <w:p w14:paraId="5A9A60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206179</w:t>
            </w:r>
          </w:p>
        </w:tc>
        <w:tc>
          <w:tcPr>
            <w:tcW w:w="874" w:type="dxa"/>
            <w:tcBorders>
              <w:top w:val="single" w:sz="6" w:space="0" w:color="auto"/>
              <w:left w:val="single" w:sz="6" w:space="0" w:color="auto"/>
              <w:bottom w:val="single" w:sz="6" w:space="0" w:color="auto"/>
              <w:right w:val="single" w:sz="6" w:space="0" w:color="auto"/>
            </w:tcBorders>
          </w:tcPr>
          <w:p w14:paraId="6F6D05B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24804</w:t>
            </w:r>
          </w:p>
        </w:tc>
        <w:tc>
          <w:tcPr>
            <w:tcW w:w="883" w:type="dxa"/>
            <w:tcBorders>
              <w:top w:val="single" w:sz="6" w:space="0" w:color="auto"/>
              <w:left w:val="single" w:sz="6" w:space="0" w:color="auto"/>
              <w:bottom w:val="single" w:sz="6" w:space="0" w:color="auto"/>
              <w:right w:val="single" w:sz="6" w:space="0" w:color="auto"/>
            </w:tcBorders>
          </w:tcPr>
          <w:p w14:paraId="44805F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268304</w:t>
            </w:r>
          </w:p>
        </w:tc>
        <w:tc>
          <w:tcPr>
            <w:tcW w:w="883" w:type="dxa"/>
            <w:tcBorders>
              <w:top w:val="single" w:sz="6" w:space="0" w:color="auto"/>
              <w:left w:val="single" w:sz="6" w:space="0" w:color="auto"/>
              <w:bottom w:val="single" w:sz="6" w:space="0" w:color="auto"/>
              <w:right w:val="single" w:sz="6" w:space="0" w:color="auto"/>
            </w:tcBorders>
          </w:tcPr>
          <w:p w14:paraId="0BDA73E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540909</w:t>
            </w:r>
          </w:p>
        </w:tc>
        <w:tc>
          <w:tcPr>
            <w:tcW w:w="749" w:type="dxa"/>
            <w:tcBorders>
              <w:top w:val="single" w:sz="6" w:space="0" w:color="auto"/>
              <w:left w:val="single" w:sz="6" w:space="0" w:color="auto"/>
              <w:bottom w:val="single" w:sz="6" w:space="0" w:color="auto"/>
              <w:right w:val="single" w:sz="6" w:space="0" w:color="auto"/>
            </w:tcBorders>
          </w:tcPr>
          <w:p w14:paraId="569D367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312793</w:t>
            </w:r>
          </w:p>
        </w:tc>
        <w:tc>
          <w:tcPr>
            <w:tcW w:w="749" w:type="dxa"/>
            <w:tcBorders>
              <w:top w:val="single" w:sz="6" w:space="0" w:color="auto"/>
              <w:left w:val="single" w:sz="6" w:space="0" w:color="auto"/>
              <w:bottom w:val="single" w:sz="6" w:space="0" w:color="auto"/>
              <w:right w:val="single" w:sz="6" w:space="0" w:color="auto"/>
            </w:tcBorders>
          </w:tcPr>
          <w:p w14:paraId="683E58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5692</w:t>
            </w:r>
          </w:p>
        </w:tc>
        <w:tc>
          <w:tcPr>
            <w:tcW w:w="768" w:type="dxa"/>
            <w:tcBorders>
              <w:top w:val="single" w:sz="6" w:space="0" w:color="auto"/>
              <w:left w:val="single" w:sz="6" w:space="0" w:color="auto"/>
              <w:bottom w:val="single" w:sz="6" w:space="0" w:color="auto"/>
              <w:right w:val="single" w:sz="6" w:space="0" w:color="auto"/>
            </w:tcBorders>
          </w:tcPr>
          <w:p w14:paraId="3AD623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318485</w:t>
            </w:r>
          </w:p>
        </w:tc>
      </w:tr>
      <w:tr w:rsidR="006F4095" w:rsidRPr="008127F8" w14:paraId="202ED221"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2477372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Легковые</w:t>
            </w:r>
          </w:p>
        </w:tc>
        <w:tc>
          <w:tcPr>
            <w:tcW w:w="931" w:type="dxa"/>
            <w:tcBorders>
              <w:top w:val="single" w:sz="6" w:space="0" w:color="auto"/>
              <w:left w:val="single" w:sz="6" w:space="0" w:color="auto"/>
              <w:bottom w:val="single" w:sz="6" w:space="0" w:color="auto"/>
              <w:right w:val="single" w:sz="6" w:space="0" w:color="auto"/>
            </w:tcBorders>
          </w:tcPr>
          <w:p w14:paraId="0C8A83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14814</w:t>
            </w:r>
          </w:p>
        </w:tc>
        <w:tc>
          <w:tcPr>
            <w:tcW w:w="883" w:type="dxa"/>
            <w:tcBorders>
              <w:top w:val="single" w:sz="6" w:space="0" w:color="auto"/>
              <w:left w:val="single" w:sz="6" w:space="0" w:color="auto"/>
              <w:bottom w:val="single" w:sz="6" w:space="0" w:color="auto"/>
              <w:right w:val="single" w:sz="6" w:space="0" w:color="auto"/>
            </w:tcBorders>
          </w:tcPr>
          <w:p w14:paraId="38F6780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1048</w:t>
            </w:r>
          </w:p>
        </w:tc>
        <w:tc>
          <w:tcPr>
            <w:tcW w:w="883" w:type="dxa"/>
            <w:tcBorders>
              <w:top w:val="single" w:sz="6" w:space="0" w:color="auto"/>
              <w:left w:val="single" w:sz="6" w:space="0" w:color="auto"/>
              <w:bottom w:val="single" w:sz="6" w:space="0" w:color="auto"/>
              <w:right w:val="single" w:sz="6" w:space="0" w:color="auto"/>
            </w:tcBorders>
          </w:tcPr>
          <w:p w14:paraId="626836D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17464</w:t>
            </w:r>
          </w:p>
        </w:tc>
        <w:tc>
          <w:tcPr>
            <w:tcW w:w="874" w:type="dxa"/>
            <w:tcBorders>
              <w:top w:val="single" w:sz="6" w:space="0" w:color="auto"/>
              <w:left w:val="single" w:sz="6" w:space="0" w:color="auto"/>
              <w:bottom w:val="single" w:sz="6" w:space="0" w:color="auto"/>
              <w:right w:val="single" w:sz="6" w:space="0" w:color="auto"/>
            </w:tcBorders>
          </w:tcPr>
          <w:p w14:paraId="530D48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B180A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18512</w:t>
            </w:r>
          </w:p>
        </w:tc>
        <w:tc>
          <w:tcPr>
            <w:tcW w:w="883" w:type="dxa"/>
            <w:tcBorders>
              <w:top w:val="single" w:sz="6" w:space="0" w:color="auto"/>
              <w:left w:val="single" w:sz="6" w:space="0" w:color="auto"/>
              <w:bottom w:val="single" w:sz="6" w:space="0" w:color="auto"/>
              <w:right w:val="single" w:sz="6" w:space="0" w:color="auto"/>
            </w:tcBorders>
          </w:tcPr>
          <w:p w14:paraId="17A096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33326</w:t>
            </w:r>
          </w:p>
        </w:tc>
        <w:tc>
          <w:tcPr>
            <w:tcW w:w="749" w:type="dxa"/>
            <w:tcBorders>
              <w:top w:val="single" w:sz="6" w:space="0" w:color="auto"/>
              <w:left w:val="single" w:sz="6" w:space="0" w:color="auto"/>
              <w:bottom w:val="single" w:sz="6" w:space="0" w:color="auto"/>
              <w:right w:val="single" w:sz="6" w:space="0" w:color="auto"/>
            </w:tcBorders>
          </w:tcPr>
          <w:p w14:paraId="06C329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17910</w:t>
            </w:r>
          </w:p>
        </w:tc>
        <w:tc>
          <w:tcPr>
            <w:tcW w:w="749" w:type="dxa"/>
            <w:tcBorders>
              <w:top w:val="single" w:sz="6" w:space="0" w:color="auto"/>
              <w:left w:val="single" w:sz="6" w:space="0" w:color="auto"/>
              <w:bottom w:val="single" w:sz="6" w:space="0" w:color="auto"/>
              <w:right w:val="single" w:sz="6" w:space="0" w:color="auto"/>
            </w:tcBorders>
          </w:tcPr>
          <w:p w14:paraId="080F61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117FC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17910</w:t>
            </w:r>
          </w:p>
        </w:tc>
      </w:tr>
      <w:tr w:rsidR="006F4095" w:rsidRPr="008127F8" w14:paraId="57D7F0DC"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3F3FF25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 и специальные</w:t>
            </w:r>
          </w:p>
        </w:tc>
        <w:tc>
          <w:tcPr>
            <w:tcW w:w="931" w:type="dxa"/>
            <w:tcBorders>
              <w:top w:val="single" w:sz="6" w:space="0" w:color="auto"/>
              <w:left w:val="single" w:sz="6" w:space="0" w:color="auto"/>
              <w:bottom w:val="single" w:sz="6" w:space="0" w:color="auto"/>
              <w:right w:val="single" w:sz="6" w:space="0" w:color="auto"/>
            </w:tcBorders>
          </w:tcPr>
          <w:p w14:paraId="133FB4F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257791</w:t>
            </w:r>
          </w:p>
        </w:tc>
        <w:tc>
          <w:tcPr>
            <w:tcW w:w="883" w:type="dxa"/>
            <w:tcBorders>
              <w:top w:val="single" w:sz="6" w:space="0" w:color="auto"/>
              <w:left w:val="single" w:sz="6" w:space="0" w:color="auto"/>
              <w:bottom w:val="single" w:sz="6" w:space="0" w:color="auto"/>
              <w:right w:val="single" w:sz="6" w:space="0" w:color="auto"/>
            </w:tcBorders>
          </w:tcPr>
          <w:p w14:paraId="0E0F24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36273</w:t>
            </w:r>
          </w:p>
        </w:tc>
        <w:tc>
          <w:tcPr>
            <w:tcW w:w="883" w:type="dxa"/>
            <w:tcBorders>
              <w:top w:val="single" w:sz="6" w:space="0" w:color="auto"/>
              <w:left w:val="single" w:sz="6" w:space="0" w:color="auto"/>
              <w:bottom w:val="single" w:sz="6" w:space="0" w:color="auto"/>
              <w:right w:val="single" w:sz="6" w:space="0" w:color="auto"/>
            </w:tcBorders>
          </w:tcPr>
          <w:p w14:paraId="75EAC8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188715</w:t>
            </w:r>
          </w:p>
        </w:tc>
        <w:tc>
          <w:tcPr>
            <w:tcW w:w="874" w:type="dxa"/>
            <w:tcBorders>
              <w:top w:val="single" w:sz="6" w:space="0" w:color="auto"/>
              <w:left w:val="single" w:sz="6" w:space="0" w:color="auto"/>
              <w:bottom w:val="single" w:sz="6" w:space="0" w:color="auto"/>
              <w:right w:val="single" w:sz="6" w:space="0" w:color="auto"/>
            </w:tcBorders>
          </w:tcPr>
          <w:p w14:paraId="4B1FA7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24804</w:t>
            </w:r>
          </w:p>
        </w:tc>
        <w:tc>
          <w:tcPr>
            <w:tcW w:w="883" w:type="dxa"/>
            <w:tcBorders>
              <w:top w:val="single" w:sz="6" w:space="0" w:color="auto"/>
              <w:left w:val="single" w:sz="6" w:space="0" w:color="auto"/>
              <w:bottom w:val="single" w:sz="6" w:space="0" w:color="auto"/>
              <w:right w:val="single" w:sz="6" w:space="0" w:color="auto"/>
            </w:tcBorders>
          </w:tcPr>
          <w:p w14:paraId="1877F8B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249792</w:t>
            </w:r>
          </w:p>
        </w:tc>
        <w:tc>
          <w:tcPr>
            <w:tcW w:w="883" w:type="dxa"/>
            <w:tcBorders>
              <w:top w:val="single" w:sz="6" w:space="0" w:color="auto"/>
              <w:left w:val="single" w:sz="6" w:space="0" w:color="auto"/>
              <w:bottom w:val="single" w:sz="6" w:space="0" w:color="auto"/>
              <w:right w:val="single" w:sz="6" w:space="0" w:color="auto"/>
            </w:tcBorders>
          </w:tcPr>
          <w:p w14:paraId="4D8C80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507792</w:t>
            </w:r>
          </w:p>
        </w:tc>
        <w:tc>
          <w:tcPr>
            <w:tcW w:w="749" w:type="dxa"/>
            <w:tcBorders>
              <w:top w:val="single" w:sz="6" w:space="0" w:color="auto"/>
              <w:left w:val="single" w:sz="6" w:space="0" w:color="auto"/>
              <w:bottom w:val="single" w:sz="6" w:space="0" w:color="auto"/>
              <w:right w:val="single" w:sz="6" w:space="0" w:color="auto"/>
            </w:tcBorders>
          </w:tcPr>
          <w:p w14:paraId="222EA0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294883</w:t>
            </w:r>
          </w:p>
        </w:tc>
        <w:tc>
          <w:tcPr>
            <w:tcW w:w="749" w:type="dxa"/>
            <w:tcBorders>
              <w:top w:val="single" w:sz="6" w:space="0" w:color="auto"/>
              <w:left w:val="single" w:sz="6" w:space="0" w:color="auto"/>
              <w:bottom w:val="single" w:sz="6" w:space="0" w:color="auto"/>
              <w:right w:val="single" w:sz="6" w:space="0" w:color="auto"/>
            </w:tcBorders>
          </w:tcPr>
          <w:p w14:paraId="71C232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2231B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294883</w:t>
            </w:r>
          </w:p>
        </w:tc>
      </w:tr>
      <w:tr w:rsidR="006F4095" w:rsidRPr="008127F8" w14:paraId="7F61B636"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124006A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Тракторы из них:</w:t>
            </w:r>
          </w:p>
        </w:tc>
        <w:tc>
          <w:tcPr>
            <w:tcW w:w="931" w:type="dxa"/>
            <w:tcBorders>
              <w:top w:val="single" w:sz="6" w:space="0" w:color="auto"/>
              <w:left w:val="single" w:sz="6" w:space="0" w:color="auto"/>
              <w:bottom w:val="single" w:sz="6" w:space="0" w:color="auto"/>
              <w:right w:val="single" w:sz="6" w:space="0" w:color="auto"/>
            </w:tcBorders>
          </w:tcPr>
          <w:p w14:paraId="3D4B3F1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43048</w:t>
            </w:r>
          </w:p>
        </w:tc>
        <w:tc>
          <w:tcPr>
            <w:tcW w:w="883" w:type="dxa"/>
            <w:tcBorders>
              <w:top w:val="single" w:sz="6" w:space="0" w:color="auto"/>
              <w:left w:val="single" w:sz="6" w:space="0" w:color="auto"/>
              <w:bottom w:val="single" w:sz="6" w:space="0" w:color="auto"/>
              <w:right w:val="single" w:sz="6" w:space="0" w:color="auto"/>
            </w:tcBorders>
          </w:tcPr>
          <w:p w14:paraId="0AC0C8E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8354</w:t>
            </w:r>
          </w:p>
        </w:tc>
        <w:tc>
          <w:tcPr>
            <w:tcW w:w="883" w:type="dxa"/>
            <w:tcBorders>
              <w:top w:val="single" w:sz="6" w:space="0" w:color="auto"/>
              <w:left w:val="single" w:sz="6" w:space="0" w:color="auto"/>
              <w:bottom w:val="single" w:sz="6" w:space="0" w:color="auto"/>
              <w:right w:val="single" w:sz="6" w:space="0" w:color="auto"/>
            </w:tcBorders>
          </w:tcPr>
          <w:p w14:paraId="20E6F99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30300</w:t>
            </w:r>
          </w:p>
        </w:tc>
        <w:tc>
          <w:tcPr>
            <w:tcW w:w="874" w:type="dxa"/>
            <w:tcBorders>
              <w:top w:val="single" w:sz="6" w:space="0" w:color="auto"/>
              <w:left w:val="single" w:sz="6" w:space="0" w:color="auto"/>
              <w:bottom w:val="single" w:sz="6" w:space="0" w:color="auto"/>
              <w:right w:val="single" w:sz="6" w:space="0" w:color="auto"/>
            </w:tcBorders>
          </w:tcPr>
          <w:p w14:paraId="5801E2E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B69C7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38654</w:t>
            </w:r>
          </w:p>
        </w:tc>
        <w:tc>
          <w:tcPr>
            <w:tcW w:w="883" w:type="dxa"/>
            <w:tcBorders>
              <w:top w:val="single" w:sz="6" w:space="0" w:color="auto"/>
              <w:left w:val="single" w:sz="6" w:space="0" w:color="auto"/>
              <w:bottom w:val="single" w:sz="6" w:space="0" w:color="auto"/>
              <w:right w:val="single" w:sz="6" w:space="0" w:color="auto"/>
            </w:tcBorders>
          </w:tcPr>
          <w:p w14:paraId="04156E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81702</w:t>
            </w:r>
          </w:p>
        </w:tc>
        <w:tc>
          <w:tcPr>
            <w:tcW w:w="749" w:type="dxa"/>
            <w:tcBorders>
              <w:top w:val="single" w:sz="6" w:space="0" w:color="auto"/>
              <w:left w:val="single" w:sz="6" w:space="0" w:color="auto"/>
              <w:bottom w:val="single" w:sz="6" w:space="0" w:color="auto"/>
              <w:right w:val="single" w:sz="6" w:space="0" w:color="auto"/>
            </w:tcBorders>
          </w:tcPr>
          <w:p w14:paraId="453667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37472</w:t>
            </w:r>
          </w:p>
        </w:tc>
        <w:tc>
          <w:tcPr>
            <w:tcW w:w="749" w:type="dxa"/>
            <w:tcBorders>
              <w:top w:val="single" w:sz="6" w:space="0" w:color="auto"/>
              <w:left w:val="single" w:sz="6" w:space="0" w:color="auto"/>
              <w:bottom w:val="single" w:sz="6" w:space="0" w:color="auto"/>
              <w:right w:val="single" w:sz="6" w:space="0" w:color="auto"/>
            </w:tcBorders>
          </w:tcPr>
          <w:p w14:paraId="5329C0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2153</w:t>
            </w:r>
          </w:p>
        </w:tc>
        <w:tc>
          <w:tcPr>
            <w:tcW w:w="768" w:type="dxa"/>
            <w:tcBorders>
              <w:top w:val="single" w:sz="6" w:space="0" w:color="auto"/>
              <w:left w:val="single" w:sz="6" w:space="0" w:color="auto"/>
              <w:bottom w:val="single" w:sz="6" w:space="0" w:color="auto"/>
              <w:right w:val="single" w:sz="6" w:space="0" w:color="auto"/>
            </w:tcBorders>
          </w:tcPr>
          <w:p w14:paraId="03DAE3C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39625</w:t>
            </w:r>
          </w:p>
        </w:tc>
      </w:tr>
      <w:tr w:rsidR="006F4095" w:rsidRPr="008127F8" w14:paraId="4067638A"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629843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«Ворошиловец»</w:t>
            </w:r>
          </w:p>
        </w:tc>
        <w:tc>
          <w:tcPr>
            <w:tcW w:w="931" w:type="dxa"/>
            <w:tcBorders>
              <w:top w:val="single" w:sz="6" w:space="0" w:color="auto"/>
              <w:left w:val="single" w:sz="6" w:space="0" w:color="auto"/>
              <w:bottom w:val="single" w:sz="6" w:space="0" w:color="auto"/>
              <w:right w:val="single" w:sz="6" w:space="0" w:color="auto"/>
            </w:tcBorders>
          </w:tcPr>
          <w:p w14:paraId="065534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780</w:t>
            </w:r>
          </w:p>
        </w:tc>
        <w:tc>
          <w:tcPr>
            <w:tcW w:w="883" w:type="dxa"/>
            <w:tcBorders>
              <w:top w:val="single" w:sz="6" w:space="0" w:color="auto"/>
              <w:left w:val="single" w:sz="6" w:space="0" w:color="auto"/>
              <w:bottom w:val="single" w:sz="6" w:space="0" w:color="auto"/>
              <w:right w:val="single" w:sz="6" w:space="0" w:color="auto"/>
            </w:tcBorders>
          </w:tcPr>
          <w:p w14:paraId="0DB959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883" w:type="dxa"/>
            <w:tcBorders>
              <w:top w:val="single" w:sz="6" w:space="0" w:color="auto"/>
              <w:left w:val="single" w:sz="6" w:space="0" w:color="auto"/>
              <w:bottom w:val="single" w:sz="6" w:space="0" w:color="auto"/>
              <w:right w:val="single" w:sz="6" w:space="0" w:color="auto"/>
            </w:tcBorders>
          </w:tcPr>
          <w:p w14:paraId="1A9E86B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EA1CD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0435D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883" w:type="dxa"/>
            <w:tcBorders>
              <w:top w:val="single" w:sz="6" w:space="0" w:color="auto"/>
              <w:left w:val="single" w:sz="6" w:space="0" w:color="auto"/>
              <w:bottom w:val="single" w:sz="6" w:space="0" w:color="auto"/>
              <w:right w:val="single" w:sz="6" w:space="0" w:color="auto"/>
            </w:tcBorders>
          </w:tcPr>
          <w:p w14:paraId="2358C8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807</w:t>
            </w:r>
          </w:p>
        </w:tc>
        <w:tc>
          <w:tcPr>
            <w:tcW w:w="749" w:type="dxa"/>
            <w:tcBorders>
              <w:top w:val="single" w:sz="6" w:space="0" w:color="auto"/>
              <w:left w:val="single" w:sz="6" w:space="0" w:color="auto"/>
              <w:bottom w:val="single" w:sz="6" w:space="0" w:color="auto"/>
              <w:right w:val="single" w:sz="6" w:space="0" w:color="auto"/>
            </w:tcBorders>
          </w:tcPr>
          <w:p w14:paraId="2003621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w:t>
            </w:r>
          </w:p>
        </w:tc>
        <w:tc>
          <w:tcPr>
            <w:tcW w:w="749" w:type="dxa"/>
            <w:tcBorders>
              <w:top w:val="single" w:sz="6" w:space="0" w:color="auto"/>
              <w:left w:val="single" w:sz="6" w:space="0" w:color="auto"/>
              <w:bottom w:val="single" w:sz="6" w:space="0" w:color="auto"/>
              <w:right w:val="single" w:sz="6" w:space="0" w:color="auto"/>
            </w:tcBorders>
          </w:tcPr>
          <w:p w14:paraId="3CD7426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91C5E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w:t>
            </w:r>
          </w:p>
        </w:tc>
      </w:tr>
      <w:tr w:rsidR="006F4095" w:rsidRPr="008127F8" w14:paraId="159CF47A"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5962742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«Комсомолец»</w:t>
            </w:r>
          </w:p>
        </w:tc>
        <w:tc>
          <w:tcPr>
            <w:tcW w:w="931" w:type="dxa"/>
            <w:tcBorders>
              <w:top w:val="single" w:sz="6" w:space="0" w:color="auto"/>
              <w:left w:val="single" w:sz="6" w:space="0" w:color="auto"/>
              <w:bottom w:val="single" w:sz="6" w:space="0" w:color="auto"/>
              <w:right w:val="single" w:sz="6" w:space="0" w:color="auto"/>
            </w:tcBorders>
          </w:tcPr>
          <w:p w14:paraId="310FFAC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6668</w:t>
            </w:r>
          </w:p>
        </w:tc>
        <w:tc>
          <w:tcPr>
            <w:tcW w:w="883" w:type="dxa"/>
            <w:tcBorders>
              <w:top w:val="single" w:sz="6" w:space="0" w:color="auto"/>
              <w:left w:val="single" w:sz="6" w:space="0" w:color="auto"/>
              <w:bottom w:val="single" w:sz="6" w:space="0" w:color="auto"/>
              <w:right w:val="single" w:sz="6" w:space="0" w:color="auto"/>
            </w:tcBorders>
          </w:tcPr>
          <w:p w14:paraId="4D1383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9A21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3FB01D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82BB0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54CB3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6668</w:t>
            </w:r>
          </w:p>
        </w:tc>
        <w:tc>
          <w:tcPr>
            <w:tcW w:w="749" w:type="dxa"/>
            <w:tcBorders>
              <w:top w:val="single" w:sz="6" w:space="0" w:color="auto"/>
              <w:left w:val="single" w:sz="6" w:space="0" w:color="auto"/>
              <w:bottom w:val="single" w:sz="6" w:space="0" w:color="auto"/>
              <w:right w:val="single" w:sz="6" w:space="0" w:color="auto"/>
            </w:tcBorders>
          </w:tcPr>
          <w:p w14:paraId="3A9B66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1770</w:t>
            </w:r>
          </w:p>
        </w:tc>
        <w:tc>
          <w:tcPr>
            <w:tcW w:w="749" w:type="dxa"/>
            <w:tcBorders>
              <w:top w:val="single" w:sz="6" w:space="0" w:color="auto"/>
              <w:left w:val="single" w:sz="6" w:space="0" w:color="auto"/>
              <w:bottom w:val="single" w:sz="6" w:space="0" w:color="auto"/>
              <w:right w:val="single" w:sz="6" w:space="0" w:color="auto"/>
            </w:tcBorders>
          </w:tcPr>
          <w:p w14:paraId="76A8624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4CF73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1770</w:t>
            </w:r>
          </w:p>
        </w:tc>
      </w:tr>
      <w:tr w:rsidR="006F4095" w:rsidRPr="008127F8" w14:paraId="5CF0BD06"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415BA4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ЧТЗ</w:t>
            </w:r>
          </w:p>
        </w:tc>
        <w:tc>
          <w:tcPr>
            <w:tcW w:w="931" w:type="dxa"/>
            <w:tcBorders>
              <w:top w:val="single" w:sz="6" w:space="0" w:color="auto"/>
              <w:left w:val="single" w:sz="6" w:space="0" w:color="auto"/>
              <w:bottom w:val="single" w:sz="6" w:space="0" w:color="auto"/>
              <w:right w:val="single" w:sz="6" w:space="0" w:color="auto"/>
            </w:tcBorders>
          </w:tcPr>
          <w:p w14:paraId="73B7BF2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11627</w:t>
            </w:r>
          </w:p>
        </w:tc>
        <w:tc>
          <w:tcPr>
            <w:tcW w:w="883" w:type="dxa"/>
            <w:tcBorders>
              <w:top w:val="single" w:sz="6" w:space="0" w:color="auto"/>
              <w:left w:val="single" w:sz="6" w:space="0" w:color="auto"/>
              <w:bottom w:val="single" w:sz="6" w:space="0" w:color="auto"/>
              <w:right w:val="single" w:sz="6" w:space="0" w:color="auto"/>
            </w:tcBorders>
          </w:tcPr>
          <w:p w14:paraId="6B2D079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3087</w:t>
            </w:r>
          </w:p>
        </w:tc>
        <w:tc>
          <w:tcPr>
            <w:tcW w:w="883" w:type="dxa"/>
            <w:tcBorders>
              <w:top w:val="single" w:sz="6" w:space="0" w:color="auto"/>
              <w:left w:val="single" w:sz="6" w:space="0" w:color="auto"/>
              <w:bottom w:val="nil"/>
              <w:right w:val="single" w:sz="6" w:space="0" w:color="auto"/>
            </w:tcBorders>
          </w:tcPr>
          <w:p w14:paraId="3989368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30300</w:t>
            </w:r>
          </w:p>
        </w:tc>
        <w:tc>
          <w:tcPr>
            <w:tcW w:w="874" w:type="dxa"/>
            <w:tcBorders>
              <w:top w:val="single" w:sz="6" w:space="0" w:color="auto"/>
              <w:left w:val="single" w:sz="6" w:space="0" w:color="auto"/>
              <w:bottom w:val="single" w:sz="6" w:space="0" w:color="auto"/>
              <w:right w:val="single" w:sz="6" w:space="0" w:color="auto"/>
            </w:tcBorders>
          </w:tcPr>
          <w:p w14:paraId="5FFE7B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40C500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38627</w:t>
            </w:r>
          </w:p>
        </w:tc>
        <w:tc>
          <w:tcPr>
            <w:tcW w:w="883" w:type="dxa"/>
            <w:tcBorders>
              <w:top w:val="single" w:sz="6" w:space="0" w:color="auto"/>
              <w:left w:val="single" w:sz="6" w:space="0" w:color="auto"/>
              <w:bottom w:val="nil"/>
              <w:right w:val="single" w:sz="6" w:space="0" w:color="auto"/>
            </w:tcBorders>
          </w:tcPr>
          <w:p w14:paraId="60A616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74227</w:t>
            </w:r>
          </w:p>
        </w:tc>
        <w:tc>
          <w:tcPr>
            <w:tcW w:w="749" w:type="dxa"/>
            <w:tcBorders>
              <w:top w:val="single" w:sz="6" w:space="0" w:color="auto"/>
              <w:left w:val="single" w:sz="6" w:space="0" w:color="auto"/>
              <w:bottom w:val="nil"/>
              <w:right w:val="single" w:sz="6" w:space="0" w:color="auto"/>
            </w:tcBorders>
          </w:tcPr>
          <w:p w14:paraId="5EAD67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35408</w:t>
            </w:r>
          </w:p>
        </w:tc>
        <w:tc>
          <w:tcPr>
            <w:tcW w:w="749" w:type="dxa"/>
            <w:tcBorders>
              <w:top w:val="single" w:sz="6" w:space="0" w:color="auto"/>
              <w:left w:val="single" w:sz="6" w:space="0" w:color="auto"/>
              <w:bottom w:val="single" w:sz="6" w:space="0" w:color="auto"/>
              <w:right w:val="single" w:sz="6" w:space="0" w:color="auto"/>
            </w:tcBorders>
          </w:tcPr>
          <w:p w14:paraId="3D7431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nil"/>
              <w:right w:val="single" w:sz="6" w:space="0" w:color="auto"/>
            </w:tcBorders>
          </w:tcPr>
          <w:p w14:paraId="2D8EDE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35408</w:t>
            </w:r>
          </w:p>
        </w:tc>
      </w:tr>
      <w:tr w:rsidR="006F4095" w:rsidRPr="008127F8" w14:paraId="71421F51"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1A907A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Прочие марки тракторов</w:t>
            </w:r>
          </w:p>
        </w:tc>
        <w:tc>
          <w:tcPr>
            <w:tcW w:w="931" w:type="dxa"/>
            <w:tcBorders>
              <w:top w:val="single" w:sz="6" w:space="0" w:color="auto"/>
              <w:left w:val="single" w:sz="6" w:space="0" w:color="auto"/>
              <w:bottom w:val="single" w:sz="6" w:space="0" w:color="auto"/>
              <w:right w:val="single" w:sz="6" w:space="0" w:color="auto"/>
            </w:tcBorders>
          </w:tcPr>
          <w:p w14:paraId="33B778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23973</w:t>
            </w:r>
          </w:p>
        </w:tc>
        <w:tc>
          <w:tcPr>
            <w:tcW w:w="883" w:type="dxa"/>
            <w:tcBorders>
              <w:top w:val="single" w:sz="6" w:space="0" w:color="auto"/>
              <w:left w:val="single" w:sz="6" w:space="0" w:color="auto"/>
              <w:bottom w:val="single" w:sz="6" w:space="0" w:color="auto"/>
              <w:right w:val="single" w:sz="6" w:space="0" w:color="auto"/>
            </w:tcBorders>
          </w:tcPr>
          <w:p w14:paraId="2091135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5240</w:t>
            </w:r>
          </w:p>
        </w:tc>
        <w:tc>
          <w:tcPr>
            <w:tcW w:w="883" w:type="dxa"/>
            <w:tcBorders>
              <w:top w:val="nil"/>
              <w:left w:val="single" w:sz="6" w:space="0" w:color="auto"/>
              <w:bottom w:val="single" w:sz="6" w:space="0" w:color="auto"/>
              <w:right w:val="single" w:sz="6" w:space="0" w:color="auto"/>
            </w:tcBorders>
          </w:tcPr>
          <w:p w14:paraId="789F2F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DFF13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0DA5BFD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2ABD3D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38F5B8E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5C32F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nil"/>
              <w:left w:val="single" w:sz="6" w:space="0" w:color="auto"/>
              <w:bottom w:val="single" w:sz="6" w:space="0" w:color="auto"/>
              <w:right w:val="single" w:sz="6" w:space="0" w:color="auto"/>
            </w:tcBorders>
          </w:tcPr>
          <w:p w14:paraId="6C00AE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22A153FE"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10B8532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Прицепы</w:t>
            </w:r>
          </w:p>
        </w:tc>
        <w:tc>
          <w:tcPr>
            <w:tcW w:w="931" w:type="dxa"/>
            <w:tcBorders>
              <w:top w:val="single" w:sz="6" w:space="0" w:color="auto"/>
              <w:left w:val="single" w:sz="6" w:space="0" w:color="auto"/>
              <w:bottom w:val="single" w:sz="6" w:space="0" w:color="auto"/>
              <w:right w:val="single" w:sz="6" w:space="0" w:color="auto"/>
            </w:tcBorders>
          </w:tcPr>
          <w:p w14:paraId="0A5AA1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27319</w:t>
            </w:r>
          </w:p>
        </w:tc>
        <w:tc>
          <w:tcPr>
            <w:tcW w:w="883" w:type="dxa"/>
            <w:tcBorders>
              <w:top w:val="single" w:sz="6" w:space="0" w:color="auto"/>
              <w:left w:val="single" w:sz="6" w:space="0" w:color="auto"/>
              <w:bottom w:val="single" w:sz="6" w:space="0" w:color="auto"/>
              <w:right w:val="single" w:sz="6" w:space="0" w:color="auto"/>
            </w:tcBorders>
          </w:tcPr>
          <w:p w14:paraId="5200529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3057</w:t>
            </w:r>
          </w:p>
        </w:tc>
        <w:tc>
          <w:tcPr>
            <w:tcW w:w="883" w:type="dxa"/>
            <w:tcBorders>
              <w:top w:val="single" w:sz="6" w:space="0" w:color="auto"/>
              <w:left w:val="single" w:sz="6" w:space="0" w:color="auto"/>
              <w:bottom w:val="single" w:sz="6" w:space="0" w:color="auto"/>
              <w:right w:val="single" w:sz="6" w:space="0" w:color="auto"/>
            </w:tcBorders>
          </w:tcPr>
          <w:p w14:paraId="716CF9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CBC736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4A417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3057</w:t>
            </w:r>
          </w:p>
        </w:tc>
        <w:tc>
          <w:tcPr>
            <w:tcW w:w="883" w:type="dxa"/>
            <w:tcBorders>
              <w:top w:val="single" w:sz="6" w:space="0" w:color="auto"/>
              <w:left w:val="single" w:sz="6" w:space="0" w:color="auto"/>
              <w:bottom w:val="single" w:sz="6" w:space="0" w:color="auto"/>
              <w:right w:val="single" w:sz="6" w:space="0" w:color="auto"/>
            </w:tcBorders>
          </w:tcPr>
          <w:p w14:paraId="062FF8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30376</w:t>
            </w:r>
          </w:p>
        </w:tc>
        <w:tc>
          <w:tcPr>
            <w:tcW w:w="749" w:type="dxa"/>
            <w:tcBorders>
              <w:top w:val="single" w:sz="6" w:space="0" w:color="auto"/>
              <w:left w:val="single" w:sz="6" w:space="0" w:color="auto"/>
              <w:bottom w:val="single" w:sz="6" w:space="0" w:color="auto"/>
              <w:right w:val="single" w:sz="6" w:space="0" w:color="auto"/>
            </w:tcBorders>
          </w:tcPr>
          <w:p w14:paraId="796847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12471</w:t>
            </w:r>
          </w:p>
        </w:tc>
        <w:tc>
          <w:tcPr>
            <w:tcW w:w="749" w:type="dxa"/>
            <w:tcBorders>
              <w:top w:val="single" w:sz="6" w:space="0" w:color="auto"/>
              <w:left w:val="single" w:sz="6" w:space="0" w:color="auto"/>
              <w:bottom w:val="single" w:sz="6" w:space="0" w:color="auto"/>
              <w:right w:val="single" w:sz="6" w:space="0" w:color="auto"/>
            </w:tcBorders>
          </w:tcPr>
          <w:p w14:paraId="3090DB0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03093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12471</w:t>
            </w:r>
          </w:p>
        </w:tc>
      </w:tr>
      <w:tr w:rsidR="006F4095" w:rsidRPr="008127F8" w14:paraId="5CE4CCC8" w14:textId="77777777">
        <w:trPr>
          <w:trHeight w:val="202"/>
        </w:trPr>
        <w:tc>
          <w:tcPr>
            <w:tcW w:w="1853" w:type="dxa"/>
            <w:tcBorders>
              <w:top w:val="single" w:sz="6" w:space="0" w:color="auto"/>
              <w:left w:val="single" w:sz="6" w:space="0" w:color="auto"/>
              <w:bottom w:val="single" w:sz="6" w:space="0" w:color="auto"/>
              <w:right w:val="single" w:sz="6" w:space="0" w:color="auto"/>
            </w:tcBorders>
          </w:tcPr>
          <w:p w14:paraId="221FFA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Мотоциклы</w:t>
            </w:r>
          </w:p>
        </w:tc>
        <w:tc>
          <w:tcPr>
            <w:tcW w:w="931" w:type="dxa"/>
            <w:tcBorders>
              <w:top w:val="single" w:sz="6" w:space="0" w:color="auto"/>
              <w:left w:val="single" w:sz="6" w:space="0" w:color="auto"/>
              <w:bottom w:val="single" w:sz="6" w:space="0" w:color="auto"/>
              <w:right w:val="single" w:sz="6" w:space="0" w:color="auto"/>
            </w:tcBorders>
          </w:tcPr>
          <w:p w14:paraId="3FEA7D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16234</w:t>
            </w:r>
          </w:p>
        </w:tc>
        <w:tc>
          <w:tcPr>
            <w:tcW w:w="883" w:type="dxa"/>
            <w:tcBorders>
              <w:top w:val="single" w:sz="6" w:space="0" w:color="auto"/>
              <w:left w:val="single" w:sz="6" w:space="0" w:color="auto"/>
              <w:bottom w:val="single" w:sz="6" w:space="0" w:color="auto"/>
              <w:right w:val="single" w:sz="6" w:space="0" w:color="auto"/>
            </w:tcBorders>
          </w:tcPr>
          <w:p w14:paraId="21DCF6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7870</w:t>
            </w:r>
          </w:p>
        </w:tc>
        <w:tc>
          <w:tcPr>
            <w:tcW w:w="883" w:type="dxa"/>
            <w:tcBorders>
              <w:top w:val="single" w:sz="6" w:space="0" w:color="auto"/>
              <w:left w:val="single" w:sz="6" w:space="0" w:color="auto"/>
              <w:bottom w:val="single" w:sz="6" w:space="0" w:color="auto"/>
              <w:right w:val="single" w:sz="6" w:space="0" w:color="auto"/>
            </w:tcBorders>
          </w:tcPr>
          <w:p w14:paraId="34D67D2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38BED2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A15BC8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7870</w:t>
            </w:r>
          </w:p>
        </w:tc>
        <w:tc>
          <w:tcPr>
            <w:tcW w:w="883" w:type="dxa"/>
            <w:tcBorders>
              <w:top w:val="single" w:sz="6" w:space="0" w:color="auto"/>
              <w:left w:val="single" w:sz="6" w:space="0" w:color="auto"/>
              <w:bottom w:val="single" w:sz="6" w:space="0" w:color="auto"/>
              <w:right w:val="single" w:sz="6" w:space="0" w:color="auto"/>
            </w:tcBorders>
          </w:tcPr>
          <w:p w14:paraId="3EEF16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24104</w:t>
            </w:r>
          </w:p>
        </w:tc>
        <w:tc>
          <w:tcPr>
            <w:tcW w:w="749" w:type="dxa"/>
            <w:tcBorders>
              <w:top w:val="single" w:sz="6" w:space="0" w:color="auto"/>
              <w:left w:val="single" w:sz="6" w:space="0" w:color="auto"/>
              <w:bottom w:val="single" w:sz="6" w:space="0" w:color="auto"/>
              <w:right w:val="single" w:sz="6" w:space="0" w:color="auto"/>
            </w:tcBorders>
          </w:tcPr>
          <w:p w14:paraId="753996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10874</w:t>
            </w:r>
          </w:p>
        </w:tc>
        <w:tc>
          <w:tcPr>
            <w:tcW w:w="749" w:type="dxa"/>
            <w:tcBorders>
              <w:top w:val="single" w:sz="6" w:space="0" w:color="auto"/>
              <w:left w:val="single" w:sz="6" w:space="0" w:color="auto"/>
              <w:bottom w:val="single" w:sz="6" w:space="0" w:color="auto"/>
              <w:right w:val="single" w:sz="6" w:space="0" w:color="auto"/>
            </w:tcBorders>
          </w:tcPr>
          <w:p w14:paraId="3D514B8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766</w:t>
            </w:r>
          </w:p>
        </w:tc>
        <w:tc>
          <w:tcPr>
            <w:tcW w:w="768" w:type="dxa"/>
            <w:tcBorders>
              <w:top w:val="single" w:sz="6" w:space="0" w:color="auto"/>
              <w:left w:val="single" w:sz="6" w:space="0" w:color="auto"/>
              <w:bottom w:val="single" w:sz="6" w:space="0" w:color="auto"/>
              <w:right w:val="single" w:sz="6" w:space="0" w:color="auto"/>
            </w:tcBorders>
          </w:tcPr>
          <w:p w14:paraId="72CA7B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11640</w:t>
            </w:r>
          </w:p>
        </w:tc>
      </w:tr>
    </w:tbl>
    <w:p w14:paraId="509107A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кроме того, захвачено в боях трофейных машин по состоянию на 1.1.1942 г.</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104"/>
        <w:gridCol w:w="1430"/>
      </w:tblGrid>
      <w:tr w:rsidR="006F4095" w:rsidRPr="008127F8" w14:paraId="6116C95D" w14:textId="77777777">
        <w:trPr>
          <w:trHeight w:val="202"/>
        </w:trPr>
        <w:tc>
          <w:tcPr>
            <w:tcW w:w="2304" w:type="dxa"/>
            <w:tcBorders>
              <w:top w:val="single" w:sz="6" w:space="0" w:color="auto"/>
              <w:left w:val="single" w:sz="6" w:space="0" w:color="auto"/>
              <w:bottom w:val="single" w:sz="6" w:space="0" w:color="auto"/>
              <w:right w:val="single" w:sz="6" w:space="0" w:color="auto"/>
            </w:tcBorders>
          </w:tcPr>
          <w:p w14:paraId="66E0245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Легковых</w:t>
            </w:r>
          </w:p>
        </w:tc>
        <w:tc>
          <w:tcPr>
            <w:tcW w:w="1104" w:type="dxa"/>
            <w:tcBorders>
              <w:top w:val="single" w:sz="6" w:space="0" w:color="auto"/>
              <w:left w:val="single" w:sz="6" w:space="0" w:color="auto"/>
              <w:bottom w:val="single" w:sz="6" w:space="0" w:color="auto"/>
              <w:right w:val="single" w:sz="6" w:space="0" w:color="auto"/>
            </w:tcBorders>
          </w:tcPr>
          <w:p w14:paraId="3FDF8CD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-2114шт. '</w:t>
            </w:r>
          </w:p>
        </w:tc>
        <w:tc>
          <w:tcPr>
            <w:tcW w:w="1430" w:type="dxa"/>
            <w:tcBorders>
              <w:top w:val="single" w:sz="6" w:space="0" w:color="auto"/>
              <w:left w:val="single" w:sz="6" w:space="0" w:color="auto"/>
              <w:bottom w:val="nil"/>
              <w:right w:val="single" w:sz="6" w:space="0" w:color="auto"/>
            </w:tcBorders>
          </w:tcPr>
          <w:p w14:paraId="7E2B603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23855шт.</w:t>
            </w:r>
          </w:p>
        </w:tc>
      </w:tr>
      <w:tr w:rsidR="006F4095" w:rsidRPr="008127F8" w14:paraId="2ACCD6A5" w14:textId="77777777">
        <w:trPr>
          <w:trHeight w:val="182"/>
        </w:trPr>
        <w:tc>
          <w:tcPr>
            <w:tcW w:w="2304" w:type="dxa"/>
            <w:tcBorders>
              <w:top w:val="single" w:sz="6" w:space="0" w:color="auto"/>
              <w:left w:val="single" w:sz="6" w:space="0" w:color="auto"/>
              <w:bottom w:val="single" w:sz="6" w:space="0" w:color="auto"/>
              <w:right w:val="single" w:sz="6" w:space="0" w:color="auto"/>
            </w:tcBorders>
          </w:tcPr>
          <w:p w14:paraId="4237D5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Грузовых и специал.</w:t>
            </w:r>
          </w:p>
        </w:tc>
        <w:tc>
          <w:tcPr>
            <w:tcW w:w="1104" w:type="dxa"/>
            <w:tcBorders>
              <w:top w:val="single" w:sz="6" w:space="0" w:color="auto"/>
              <w:left w:val="single" w:sz="6" w:space="0" w:color="auto"/>
              <w:bottom w:val="single" w:sz="6" w:space="0" w:color="auto"/>
              <w:right w:val="single" w:sz="6" w:space="0" w:color="auto"/>
            </w:tcBorders>
          </w:tcPr>
          <w:p w14:paraId="72FB966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-21741 шт.</w:t>
            </w:r>
          </w:p>
        </w:tc>
        <w:tc>
          <w:tcPr>
            <w:tcW w:w="1430" w:type="dxa"/>
            <w:tcBorders>
              <w:top w:val="nil"/>
              <w:left w:val="single" w:sz="6" w:space="0" w:color="auto"/>
              <w:bottom w:val="single" w:sz="6" w:space="0" w:color="auto"/>
              <w:right w:val="single" w:sz="6" w:space="0" w:color="auto"/>
            </w:tcBorders>
          </w:tcPr>
          <w:p w14:paraId="38C64EE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454BC922" w14:textId="77777777">
        <w:trPr>
          <w:trHeight w:val="192"/>
        </w:trPr>
        <w:tc>
          <w:tcPr>
            <w:tcW w:w="2304" w:type="dxa"/>
            <w:tcBorders>
              <w:top w:val="single" w:sz="6" w:space="0" w:color="auto"/>
              <w:left w:val="single" w:sz="6" w:space="0" w:color="auto"/>
              <w:bottom w:val="single" w:sz="6" w:space="0" w:color="auto"/>
              <w:right w:val="single" w:sz="6" w:space="0" w:color="auto"/>
            </w:tcBorders>
          </w:tcPr>
          <w:p w14:paraId="0F5347A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Тракторов</w:t>
            </w:r>
          </w:p>
        </w:tc>
        <w:tc>
          <w:tcPr>
            <w:tcW w:w="1104" w:type="dxa"/>
            <w:tcBorders>
              <w:top w:val="single" w:sz="6" w:space="0" w:color="auto"/>
              <w:left w:val="single" w:sz="6" w:space="0" w:color="auto"/>
              <w:bottom w:val="single" w:sz="6" w:space="0" w:color="auto"/>
              <w:right w:val="single" w:sz="6" w:space="0" w:color="auto"/>
            </w:tcBorders>
          </w:tcPr>
          <w:p w14:paraId="08F128C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- 598 шт.</w:t>
            </w:r>
          </w:p>
        </w:tc>
        <w:tc>
          <w:tcPr>
            <w:tcW w:w="1430" w:type="dxa"/>
            <w:tcBorders>
              <w:top w:val="single" w:sz="6" w:space="0" w:color="auto"/>
              <w:left w:val="single" w:sz="6" w:space="0" w:color="auto"/>
              <w:bottom w:val="nil"/>
              <w:right w:val="single" w:sz="6" w:space="0" w:color="auto"/>
            </w:tcBorders>
          </w:tcPr>
          <w:p w14:paraId="26B693A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770 шт.</w:t>
            </w:r>
          </w:p>
        </w:tc>
      </w:tr>
      <w:tr w:rsidR="006F4095" w:rsidRPr="008127F8" w14:paraId="28BE6A58" w14:textId="77777777">
        <w:trPr>
          <w:trHeight w:val="182"/>
        </w:trPr>
        <w:tc>
          <w:tcPr>
            <w:tcW w:w="2304" w:type="dxa"/>
            <w:tcBorders>
              <w:top w:val="single" w:sz="6" w:space="0" w:color="auto"/>
              <w:left w:val="single" w:sz="6" w:space="0" w:color="auto"/>
              <w:bottom w:val="single" w:sz="6" w:space="0" w:color="auto"/>
              <w:right w:val="single" w:sz="6" w:space="0" w:color="auto"/>
            </w:tcBorders>
          </w:tcPr>
          <w:p w14:paraId="076FF8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Вездеход, и тягачей</w:t>
            </w:r>
          </w:p>
        </w:tc>
        <w:tc>
          <w:tcPr>
            <w:tcW w:w="1104" w:type="dxa"/>
            <w:tcBorders>
              <w:top w:val="single" w:sz="6" w:space="0" w:color="auto"/>
              <w:left w:val="single" w:sz="6" w:space="0" w:color="auto"/>
              <w:bottom w:val="single" w:sz="6" w:space="0" w:color="auto"/>
              <w:right w:val="single" w:sz="6" w:space="0" w:color="auto"/>
            </w:tcBorders>
          </w:tcPr>
          <w:p w14:paraId="6D9042C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-172шт.</w:t>
            </w:r>
          </w:p>
        </w:tc>
        <w:tc>
          <w:tcPr>
            <w:tcW w:w="1430" w:type="dxa"/>
            <w:tcBorders>
              <w:top w:val="nil"/>
              <w:left w:val="single" w:sz="6" w:space="0" w:color="auto"/>
              <w:bottom w:val="single" w:sz="6" w:space="0" w:color="auto"/>
              <w:right w:val="single" w:sz="6" w:space="0" w:color="auto"/>
            </w:tcBorders>
          </w:tcPr>
          <w:p w14:paraId="525F2FE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1F50A2A" w14:textId="77777777">
        <w:trPr>
          <w:trHeight w:val="211"/>
        </w:trPr>
        <w:tc>
          <w:tcPr>
            <w:tcW w:w="2304" w:type="dxa"/>
            <w:tcBorders>
              <w:top w:val="single" w:sz="6" w:space="0" w:color="auto"/>
              <w:left w:val="single" w:sz="6" w:space="0" w:color="auto"/>
              <w:bottom w:val="single" w:sz="6" w:space="0" w:color="auto"/>
              <w:right w:val="single" w:sz="6" w:space="0" w:color="auto"/>
            </w:tcBorders>
          </w:tcPr>
          <w:p w14:paraId="2C0284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Мотоциклов</w:t>
            </w:r>
          </w:p>
        </w:tc>
        <w:tc>
          <w:tcPr>
            <w:tcW w:w="1104" w:type="dxa"/>
            <w:tcBorders>
              <w:top w:val="single" w:sz="6" w:space="0" w:color="auto"/>
              <w:left w:val="single" w:sz="6" w:space="0" w:color="auto"/>
              <w:bottom w:val="single" w:sz="6" w:space="0" w:color="auto"/>
              <w:right w:val="single" w:sz="6" w:space="0" w:color="auto"/>
            </w:tcBorders>
          </w:tcPr>
          <w:p w14:paraId="779802E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- 5079 шт.</w:t>
            </w:r>
          </w:p>
        </w:tc>
        <w:tc>
          <w:tcPr>
            <w:tcW w:w="1430" w:type="dxa"/>
            <w:tcBorders>
              <w:top w:val="single" w:sz="6" w:space="0" w:color="auto"/>
              <w:left w:val="single" w:sz="6" w:space="0" w:color="auto"/>
              <w:bottom w:val="single" w:sz="6" w:space="0" w:color="auto"/>
              <w:right w:val="single" w:sz="6" w:space="0" w:color="auto"/>
            </w:tcBorders>
          </w:tcPr>
          <w:p w14:paraId="1DB55E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bl>
    <w:p w14:paraId="4093C3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 отдела АТУ военинженер 1 ранга Гольберг</w:t>
      </w:r>
    </w:p>
    <w:p w14:paraId="7FBD021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11492. Д. 52. Л. 326. Подлинник (11211).</w:t>
      </w:r>
    </w:p>
    <w:p w14:paraId="11060F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309B4D2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1.01.1941 г. ПО 1.01.1944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6F4095" w:rsidRPr="008127F8" w14:paraId="30FA5C8F"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0EBB0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p w14:paraId="7CCCD4B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90A021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танков</w:t>
            </w:r>
          </w:p>
          <w:p w14:paraId="7000203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E1170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по переучетным данным по состоянию на 1.01.1941 г.</w:t>
            </w:r>
          </w:p>
          <w:p w14:paraId="093E40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446658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Выпущено заводами про-мышлен. за 1-е полугодие 1941 г.</w:t>
            </w:r>
          </w:p>
          <w:p w14:paraId="0BB1E8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25C5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танков на 1.07.1941 г.</w:t>
            </w:r>
          </w:p>
          <w:p w14:paraId="1B1837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0C25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Выпущено за 2-е полугодие 1941 г.</w:t>
            </w:r>
          </w:p>
          <w:p w14:paraId="6C1619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D1D26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танков на 1.01.1942г.</w:t>
            </w:r>
          </w:p>
          <w:p w14:paraId="5A80C2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A185B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Выпущено за 1942 г.</w:t>
            </w:r>
          </w:p>
          <w:p w14:paraId="079406F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DBF5C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танков на 1.01.1943г.</w:t>
            </w:r>
          </w:p>
          <w:p w14:paraId="1570375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080E5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Выпущено за 1943г.</w:t>
            </w:r>
          </w:p>
          <w:p w14:paraId="091A5A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0CAE8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танков на 1.01.1944 г.</w:t>
            </w:r>
          </w:p>
          <w:p w14:paraId="288FD56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4AD28EC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FBD9DC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785A04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05B3C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w:t>
            </w:r>
          </w:p>
          <w:p w14:paraId="373173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F15E5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625526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D759D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09E62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7420AB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BA14A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C3132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7C372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1E9B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1346D6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5526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4B253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435AB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AFB1AC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3E51E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p w14:paraId="77D7F0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2379D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p w14:paraId="1AA1C3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48597456"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0ABC36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7192B7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9387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ИС-2</w:t>
            </w:r>
          </w:p>
          <w:p w14:paraId="4AD417E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A6A8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5AD5C6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BED6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23B9D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406A90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E8FC0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CA36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7A4887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14606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EC400C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05DA6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3D429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D3CEA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50BAEC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3CD7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p w14:paraId="2523D67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E756F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p w14:paraId="4800235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1BDE98B"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AD0E1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2A54D46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665D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КВ-1</w:t>
            </w:r>
          </w:p>
          <w:p w14:paraId="591CB8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EAAC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w:t>
            </w:r>
          </w:p>
          <w:p w14:paraId="6EE77E8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EE532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w:t>
            </w:r>
          </w:p>
          <w:p w14:paraId="6EF872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4224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423</w:t>
            </w:r>
          </w:p>
          <w:p w14:paraId="208BE7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40F2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933</w:t>
            </w:r>
          </w:p>
          <w:p w14:paraId="0097DCD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0060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1356</w:t>
            </w:r>
          </w:p>
          <w:p w14:paraId="7287B44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1B675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1802</w:t>
            </w:r>
          </w:p>
          <w:p w14:paraId="4558A8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4B216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3158</w:t>
            </w:r>
          </w:p>
          <w:p w14:paraId="5E4C52B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0F08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8B3FFE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C6D61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3158</w:t>
            </w:r>
          </w:p>
          <w:p w14:paraId="2B4D5B8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282430B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DB551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3008BEE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8FF5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КВ-2</w:t>
            </w:r>
          </w:p>
          <w:p w14:paraId="5FDCB77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78025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p w14:paraId="63FD90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AF9F7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w:t>
            </w:r>
          </w:p>
          <w:p w14:paraId="198547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06D85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p w14:paraId="06A563A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ED01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C699E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04064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p w14:paraId="3471B3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90009F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18A57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F0B0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p w14:paraId="5A67F1B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0B043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50D3B4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A82C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p w14:paraId="19C4A6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ADE658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F6CF7E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627022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D8311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КВ-1 с</w:t>
            </w:r>
          </w:p>
          <w:p w14:paraId="3ADFC7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0771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687F4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C1A6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80D06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D0DFF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62CBD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5D90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96A99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892E6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EC67ED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FFD9C6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624</w:t>
            </w:r>
          </w:p>
          <w:p w14:paraId="0F661D7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8651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624</w:t>
            </w:r>
          </w:p>
          <w:p w14:paraId="4AE5F6F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340D2C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w:t>
            </w:r>
          </w:p>
          <w:p w14:paraId="18E2DC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3AD3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1087</w:t>
            </w:r>
          </w:p>
          <w:p w14:paraId="35DEAE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0430C6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0E9BC5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p w14:paraId="21EC31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D283D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КВ-8</w:t>
            </w:r>
          </w:p>
          <w:p w14:paraId="0BC0EA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FB2E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937BC2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395DA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5CB102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37C0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7E94C2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1B50E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EFC8F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A1468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BED89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C29B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p w14:paraId="4EDCD6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184C3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p w14:paraId="04305D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7A26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F1870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B144B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p w14:paraId="56A5C35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16CA7DA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73F058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p w14:paraId="67C33A5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A328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КВ-8с</w:t>
            </w:r>
          </w:p>
          <w:p w14:paraId="5961159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C8628E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1DB36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C982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AA1B9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566D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3BCF0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6F066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85633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F62C4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80E4F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0BDC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p w14:paraId="5A142B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C34E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p w14:paraId="29A5D11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9526EF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p w14:paraId="4A77C1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55F83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p w14:paraId="5020D6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2B2C234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1441BA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p w14:paraId="5CE6C7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727D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КВ-85</w:t>
            </w:r>
          </w:p>
          <w:p w14:paraId="6F3EE3C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B4D7C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6C5E3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0A9FE6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492B9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D6A6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4BC5E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943E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71EC4B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6D311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2020B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38C021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D3899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563A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A0113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65503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w:t>
            </w:r>
          </w:p>
          <w:p w14:paraId="766466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AB81E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w:t>
            </w:r>
          </w:p>
          <w:p w14:paraId="42A410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6F2A37B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752608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p w14:paraId="0E4E70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247DD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Т-35</w:t>
            </w:r>
          </w:p>
          <w:p w14:paraId="4A1C69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0B735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p w14:paraId="35548DE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D47A5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D66F2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6042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p w14:paraId="14E6CC4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36C52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1359C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B9B54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p w14:paraId="3F6D0C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83DB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E7F95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F9FA1C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p w14:paraId="6A0DA1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FCD8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A1CAE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59DA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p w14:paraId="771EAE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28542C6F"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1A8D53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p w14:paraId="0508F94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44EC44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Т-28</w:t>
            </w:r>
          </w:p>
          <w:p w14:paraId="1CCD6C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C2A3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w:t>
            </w:r>
          </w:p>
          <w:p w14:paraId="38FD669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55FD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9D9FD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ADEAA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w:t>
            </w:r>
          </w:p>
          <w:p w14:paraId="4B4F61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F6974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B982B7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C75CA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w:t>
            </w:r>
          </w:p>
          <w:p w14:paraId="263A3A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2F267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87164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2EAA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w:t>
            </w:r>
          </w:p>
          <w:p w14:paraId="364F5F1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00D65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12BBCA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F0D52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w:t>
            </w:r>
          </w:p>
          <w:p w14:paraId="232D9FB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17C6B0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0395DB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p w14:paraId="73CD029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AE8E4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Т-29</w:t>
            </w:r>
          </w:p>
          <w:p w14:paraId="7390CCD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0F55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0858CA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14CAD9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5AB60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AC88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6801AC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343CB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609CE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14CDA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5C585FE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6310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4756A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8F655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432E66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FB3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F05CC5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7D81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65ED08E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0C18CD7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D22B9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p w14:paraId="2840663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9D2D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w:t>
            </w:r>
          </w:p>
          <w:p w14:paraId="2DED67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A052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p w14:paraId="2C98692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0657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1110</w:t>
            </w:r>
          </w:p>
          <w:p w14:paraId="044596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A35A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1225</w:t>
            </w:r>
          </w:p>
          <w:p w14:paraId="21CDA40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1B8F0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1886</w:t>
            </w:r>
          </w:p>
          <w:p w14:paraId="614A75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96222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3111</w:t>
            </w:r>
          </w:p>
          <w:p w14:paraId="1AA8DC2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11AD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12211</w:t>
            </w:r>
          </w:p>
          <w:p w14:paraId="50282F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0BF12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15322</w:t>
            </w:r>
          </w:p>
          <w:p w14:paraId="2D2963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E76BD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15218</w:t>
            </w:r>
          </w:p>
          <w:p w14:paraId="74202C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162D8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30540</w:t>
            </w:r>
          </w:p>
          <w:p w14:paraId="180B7F2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04312D3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E8FE63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p w14:paraId="618083F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A541B8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Т-О34</w:t>
            </w:r>
          </w:p>
          <w:p w14:paraId="27B036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E2A71E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D6096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6F9A0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D7463B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2262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33483E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B3ED7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1A98D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A5515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12E82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03E71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w:t>
            </w:r>
          </w:p>
          <w:p w14:paraId="76967F0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693AC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w:t>
            </w:r>
          </w:p>
          <w:p w14:paraId="6A3B35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8EA8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p w14:paraId="07D372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E69F2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787</w:t>
            </w:r>
          </w:p>
          <w:p w14:paraId="0B74356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0E47F03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D9FB8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p w14:paraId="236D18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B51632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БТ-7</w:t>
            </w:r>
          </w:p>
          <w:p w14:paraId="6C54BC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C33C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4675</w:t>
            </w:r>
          </w:p>
          <w:p w14:paraId="21E939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41A7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0C633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BF10C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4675</w:t>
            </w:r>
          </w:p>
          <w:p w14:paraId="02F458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FC79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AC8BB8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1D00E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4675</w:t>
            </w:r>
          </w:p>
          <w:p w14:paraId="05BCBB2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6482B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EF84FA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1455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4675</w:t>
            </w:r>
          </w:p>
          <w:p w14:paraId="12255E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AFAE4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4BCE5A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C3230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4675</w:t>
            </w:r>
          </w:p>
          <w:p w14:paraId="12241BB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0AA36E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8D7DC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p w14:paraId="0C32146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44A1F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БТ-7М</w:t>
            </w:r>
          </w:p>
          <w:p w14:paraId="7C0704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44D5F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708</w:t>
            </w:r>
          </w:p>
          <w:p w14:paraId="1748910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F040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CEA97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B68D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708</w:t>
            </w:r>
          </w:p>
          <w:p w14:paraId="4C647C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0770F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685931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69A2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708</w:t>
            </w:r>
          </w:p>
          <w:p w14:paraId="087E1A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8C83E8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513C2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08FE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708</w:t>
            </w:r>
          </w:p>
          <w:p w14:paraId="6E0A572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DBDAC1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07EAD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C9E0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708</w:t>
            </w:r>
          </w:p>
          <w:p w14:paraId="69A9C2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D9A87B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0A2C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p w14:paraId="5A4E24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DDED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БТ-2-5</w:t>
            </w:r>
          </w:p>
          <w:p w14:paraId="16FC69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7657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2434</w:t>
            </w:r>
          </w:p>
          <w:p w14:paraId="12FED8F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D57E8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A63C6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D1644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2434</w:t>
            </w:r>
          </w:p>
          <w:p w14:paraId="5C01D1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D24B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AB0B9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CC18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2434</w:t>
            </w:r>
          </w:p>
          <w:p w14:paraId="38D176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B9C86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04930B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DDCF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2434</w:t>
            </w:r>
          </w:p>
          <w:p w14:paraId="125BA8B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16358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B51D0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CAF91D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2434</w:t>
            </w:r>
          </w:p>
          <w:p w14:paraId="067B272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60440B6"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C5480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p w14:paraId="00DDD06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88FCA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Т-50</w:t>
            </w:r>
          </w:p>
          <w:p w14:paraId="1F5CDDC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B4DA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D1F39B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F5CC0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DA17C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2169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7CF844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F11A0C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p w14:paraId="5252EDF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7F91C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p w14:paraId="0308DEA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65298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p w14:paraId="29B3BB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35E9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p w14:paraId="024F09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25B8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B12B11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201B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p w14:paraId="65C79D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7A288FD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C33452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p w14:paraId="35EFF9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55B06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Т-26</w:t>
            </w:r>
          </w:p>
          <w:p w14:paraId="3C5C5AC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140A9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11090</w:t>
            </w:r>
          </w:p>
          <w:p w14:paraId="21E8265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12BFE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p w14:paraId="0457D5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9479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11206</w:t>
            </w:r>
          </w:p>
          <w:p w14:paraId="3314B5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C74BD2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58859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20A6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11206</w:t>
            </w:r>
          </w:p>
          <w:p w14:paraId="26E629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D988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2668C9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32D5CC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11206</w:t>
            </w:r>
          </w:p>
          <w:p w14:paraId="2E4DB7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696EE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73BE2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6784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11206</w:t>
            </w:r>
          </w:p>
          <w:p w14:paraId="7162E64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04CEB50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1236D4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p w14:paraId="4722D5A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E6AC08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Т-80</w:t>
            </w:r>
          </w:p>
          <w:p w14:paraId="0069F3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BFE45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BA72F7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7D43B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3EFE70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7DABC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13528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71AD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70E682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BE65D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95633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F68DD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FACE71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2A6A1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134130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CAA8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p w14:paraId="6ABE194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9DBB81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p w14:paraId="1D313B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0F3CAF3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0902C94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p w14:paraId="4AF12B9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224E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Т-70</w:t>
            </w:r>
          </w:p>
          <w:p w14:paraId="3C39778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AAD2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B473C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D737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966065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A0F18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023CE6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B271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0C5AA2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1CA53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7FAA7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5F27A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4883</w:t>
            </w:r>
          </w:p>
          <w:p w14:paraId="324760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3ADFE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4883</w:t>
            </w:r>
          </w:p>
          <w:p w14:paraId="28AC7D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47524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3343</w:t>
            </w:r>
          </w:p>
          <w:p w14:paraId="572CBB8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23BB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8226</w:t>
            </w:r>
          </w:p>
          <w:p w14:paraId="77E109A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C9DAAC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61B104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p w14:paraId="774C1CD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DFBC5B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Т-40-60</w:t>
            </w:r>
          </w:p>
          <w:p w14:paraId="7EDCD45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CA3B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p w14:paraId="015E9A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64B7E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181</w:t>
            </w:r>
          </w:p>
          <w:p w14:paraId="23F0238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9025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w:t>
            </w:r>
          </w:p>
          <w:p w14:paraId="0AF9E4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FB2FB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1873</w:t>
            </w:r>
          </w:p>
          <w:p w14:paraId="0069E1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8FC3CE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2095</w:t>
            </w:r>
          </w:p>
          <w:p w14:paraId="7FB8F7C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6068C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4474</w:t>
            </w:r>
          </w:p>
          <w:p w14:paraId="745254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7425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6569</w:t>
            </w:r>
          </w:p>
          <w:p w14:paraId="23D45EE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491C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p w14:paraId="00DD2BF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ECF29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6624</w:t>
            </w:r>
          </w:p>
          <w:p w14:paraId="002313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0E57349"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7ACF60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p w14:paraId="31671DB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EBF8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Т-38</w:t>
            </w:r>
          </w:p>
          <w:p w14:paraId="069628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9278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w:t>
            </w:r>
          </w:p>
          <w:p w14:paraId="133476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AB60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F8F061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EA7B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w:t>
            </w:r>
          </w:p>
          <w:p w14:paraId="2A82466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D2C3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A97F5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BFF3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w:t>
            </w:r>
          </w:p>
          <w:p w14:paraId="58F8FB7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D468C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9C3DA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AED6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w:t>
            </w:r>
          </w:p>
          <w:p w14:paraId="036C894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5DB11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03787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55B5F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w:t>
            </w:r>
          </w:p>
          <w:p w14:paraId="7C3323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D076DC1"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84A18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p w14:paraId="34362C2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48F2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Т-37</w:t>
            </w:r>
          </w:p>
          <w:p w14:paraId="128B9E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40B68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2418</w:t>
            </w:r>
          </w:p>
          <w:p w14:paraId="7AA68AF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2E1B9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DE5656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7093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2418</w:t>
            </w:r>
          </w:p>
          <w:p w14:paraId="6DD6DF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3CA7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CE35DB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8E59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2418</w:t>
            </w:r>
          </w:p>
          <w:p w14:paraId="451C678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DBDB4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1D41D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750E6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2418</w:t>
            </w:r>
          </w:p>
          <w:p w14:paraId="62B57F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7E15B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B74B6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78A39D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2418</w:t>
            </w:r>
          </w:p>
          <w:p w14:paraId="6CD907A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654B514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10A68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p w14:paraId="0748388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ADB5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Т-27</w:t>
            </w:r>
          </w:p>
          <w:p w14:paraId="3B09FA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DFDF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2581</w:t>
            </w:r>
          </w:p>
          <w:p w14:paraId="0F7EDD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096CF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1A6F74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6969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2581</w:t>
            </w:r>
          </w:p>
          <w:p w14:paraId="7FEF5C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CED37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59249D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2711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2581</w:t>
            </w:r>
          </w:p>
          <w:p w14:paraId="2DCB9A6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6F0640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F3B046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2436B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2581</w:t>
            </w:r>
          </w:p>
          <w:p w14:paraId="0652C6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A8DB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90A3B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9DBD1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2581</w:t>
            </w:r>
          </w:p>
          <w:p w14:paraId="566B168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7EC6C847"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157987F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Всего танков</w:t>
            </w:r>
          </w:p>
          <w:p w14:paraId="726164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669E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26013</w:t>
            </w:r>
          </w:p>
          <w:p w14:paraId="04CAC5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21011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p w14:paraId="6D8EF1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C806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27813</w:t>
            </w:r>
          </w:p>
          <w:p w14:paraId="57B6AE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6611A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4742</w:t>
            </w:r>
          </w:p>
          <w:p w14:paraId="263BE1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508FC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32555</w:t>
            </w:r>
          </w:p>
          <w:p w14:paraId="47A826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CE3D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24445</w:t>
            </w:r>
          </w:p>
          <w:p w14:paraId="3B23FD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AF3F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57000</w:t>
            </w:r>
          </w:p>
          <w:p w14:paraId="543711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B66C8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19892</w:t>
            </w:r>
          </w:p>
          <w:p w14:paraId="746F992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52E9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76892</w:t>
            </w:r>
          </w:p>
          <w:p w14:paraId="1FC90B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bl>
    <w:p w14:paraId="2AFE3A8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761885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663. Л. 9. Подлинник (11403).</w:t>
      </w:r>
    </w:p>
    <w:p w14:paraId="25C9DA4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BC8C444" w14:textId="77777777"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января 1942 года что из имевшихся на 1 января 1941 года 9987 лёгких танков Т-26 осталось 2742, то есть немногим больше четверти. Из них бо́льшая часть находилась в Закавказье и на Дальнем Востоке, а в боевых частях много Т-26 оставалось на Ленинградском фронте.</w:t>
      </w:r>
    </w:p>
    <w:p w14:paraId="701E4E0D" w14:textId="77777777"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Плачевная ситуация с Т-50 вынудила завод №174 срочно «разморозить» выпуск Т-26. Из задела за июль-август 1941 года там построили 116 танков этого типа, которые продолжали воевать вплоть до 1944 года. При этом сам Т-26 превосходил Т-40 и Т-60 только по вооружению и наличию более крупной, двухместной башни. В остальном же даже машины с конической башней и конической подбашенной коробкой мало чем могли похвастаться. Броневая защита была такой же, как у Т-40, скорость ниже в 1,5 раза, да и проходимость в летних и осенних условиях была хуже. Связано это и с бо́льшим удельным давлением на грунт, и с меньшей удельной мощностью. Кроме того, особенность ходовой части Т-26 требовала аккуратного вождения по мягким грунтам, в противном случае имелся риск сброса гусеничной ленты. Наконец, Т-26 был довольно высоким танком, разница между ним и Т-40 составляла около 40 см. В случае же с Т-60 разница по высоте была более полуметра (19802).</w:t>
      </w:r>
    </w:p>
    <w:p w14:paraId="55A53166" w14:textId="77777777" w:rsidR="00396094" w:rsidRPr="008127F8" w:rsidRDefault="00396094" w:rsidP="001E0A84">
      <w:pPr>
        <w:spacing w:after="0" w:line="240" w:lineRule="auto"/>
        <w:jc w:val="both"/>
        <w:rPr>
          <w:rFonts w:ascii="Times New Roman" w:hAnsi="Times New Roman"/>
          <w:color w:val="000000" w:themeColor="text1"/>
          <w:sz w:val="16"/>
          <w:szCs w:val="16"/>
        </w:rPr>
      </w:pPr>
    </w:p>
    <w:p w14:paraId="3D64E674" w14:textId="77777777"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января 1942 года, согласно сводному отчёту организационного отдела штаба БТ и МВ КА за 1944 год, в войсках имелось 710 Т-60. В это количество частично не входят танки, выпущенные за декабрь 1941 года, но входят Т-30, которые в документах также именовали как Т-60 — то есть немногим меньше половины Т-60 и Т-30, выпущенных за 1941 год. Если предположить, что сюда же вписали Т-40 (а, скорее всего, дела обстоят именно так), а число всё же включает и выпущенные танки, то имелось 710 машин из 2014. То есть в пекле сражений 1941 года выжила треть от «малышей» по сравнению с одной пятой в случае Т-34.</w:t>
      </w:r>
    </w:p>
    <w:p w14:paraId="62E9C628" w14:textId="0894AD12"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1941 года имелось 1129 танков, ещё 1886 изготовили в июле-декабре 1941 года. Итого 3115 танков (число не совсем точное, так как не полностью учитывает выпуск июня 1941 года), из них на 1 января 1942 года числился… 651 танк, то есть около пятой части из всех Т-34. Ещё можно вспомнить статистику выживаемости такого танка как КВ. К 1 июля 1941 года было сдано 636 КВ-</w:t>
      </w:r>
      <w:proofErr w:type="gramStart"/>
      <w:r w:rsidRPr="008127F8">
        <w:rPr>
          <w:rFonts w:ascii="Times New Roman" w:hAnsi="Times New Roman"/>
          <w:color w:val="000000" w:themeColor="text1"/>
          <w:sz w:val="16"/>
          <w:szCs w:val="16"/>
        </w:rPr>
        <w:t>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w:t>
      </w:r>
      <w:proofErr w:type="gramEnd"/>
      <w:r w:rsidRPr="008127F8">
        <w:rPr>
          <w:rFonts w:ascii="Times New Roman" w:hAnsi="Times New Roman"/>
          <w:color w:val="000000" w:themeColor="text1"/>
          <w:sz w:val="16"/>
          <w:szCs w:val="16"/>
        </w:rPr>
        <w:t xml:space="preserve"> КВ-2, ещё 930 сдали во второй половине 1941 года. Итого 1566 КВ, из них к 1 января 1942 года числилось 403 танка, то есть немногим более четверти. Невольно начинаешь задаваться вопросом о том, а тот ли танк назвали «смертником» (19802).</w:t>
      </w:r>
    </w:p>
    <w:p w14:paraId="3D63DA74" w14:textId="77777777" w:rsidR="00396094" w:rsidRPr="008127F8" w:rsidRDefault="00396094" w:rsidP="001E0A84">
      <w:pPr>
        <w:spacing w:after="0" w:line="240" w:lineRule="auto"/>
        <w:jc w:val="both"/>
        <w:rPr>
          <w:rFonts w:ascii="Times New Roman" w:hAnsi="Times New Roman"/>
          <w:color w:val="000000" w:themeColor="text1"/>
          <w:sz w:val="16"/>
          <w:szCs w:val="16"/>
        </w:rPr>
      </w:pPr>
    </w:p>
    <w:p w14:paraId="3AC05986" w14:textId="77777777" w:rsidR="00396094" w:rsidRPr="008127F8" w:rsidRDefault="00396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1 января 1942 г., согласно справке «Сведения о наличии автомобилей, тракторов, прицепов и мотоциклов в Красной Армии на 1.01.42 г.» в общей сложности было захвачено в боях 5079 трофейных мотоциклов. Исправные или требующие мелкого ремонта мотоциклы сразу же включали в состав боевых подразделений или ремонтировали силами воинских частей. Получившие существенные повреждения или некомплектные мотоциклы передавали в ремонтные мастерские, бронетанковые ремзаводы или на предприятия промышленности. В числе крупнейших организаций Московского региона, занимавшихся ремонтом трофейной техники, можно указать заводы БТРЗ-20, СМЗ и ММЗ (19776). </w:t>
      </w:r>
    </w:p>
    <w:p w14:paraId="00374B2A" w14:textId="77777777" w:rsidR="00396094" w:rsidRPr="008127F8" w:rsidRDefault="00396094" w:rsidP="001E0A84">
      <w:pPr>
        <w:spacing w:after="0" w:line="240" w:lineRule="auto"/>
        <w:jc w:val="both"/>
        <w:rPr>
          <w:rFonts w:ascii="Times New Roman" w:hAnsi="Times New Roman"/>
          <w:color w:val="000000" w:themeColor="text1"/>
          <w:sz w:val="16"/>
          <w:szCs w:val="16"/>
        </w:rPr>
      </w:pPr>
    </w:p>
    <w:p w14:paraId="644B49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января 1942 г. отряд полковника Баринова прошел по тонкому льду на остров Гогланд и выбил оттуда финнов. Вражеская сторона предпринимала неоднократные попытки изменить ситуацию в свою пользу. Вплоть до весны, с переменным успехом, шли бои за остров Гогланд, а также за острова Сескар и Большой Тютерс. Бои велись небольшими пехотными группами с использованием аэросаней. Снабжение действующих здесь советских подразделений велось самолетами МБР-2, защиту последних, разведку над заливом и борьбу с вражескими группами вели И-153 и И-16 из состава 71 -го иап. Финская авиация занималась аналогичной деятельностью, добавляя в круг своих интересов и самый крупный из островов - Лавенсаари, находящийся в руках советских частей. Участвовала в этих боевых действиях и LeLv6, базирующаяся в тот период на ледовом аэродроме в Котке. В течении первой половины 1942 г. эскадрилья эксплуатировала от трех до пяти И-153 одновременно. Практически каждый месяц происходила серьезная авария, восполняемая потом аппаратом, прибывшим из ремонта. В конце марта в летном состоянии находилось четыре самолета. Встреч с советскими истребителями в этот период отмечено не было, боевая деятельность сводилась в основном к задачам по патрулированию над заливом и к атакам наземных целей (6592).</w:t>
      </w:r>
    </w:p>
    <w:p w14:paraId="375AF226" w14:textId="77777777" w:rsidR="00D4651C" w:rsidRPr="008127F8" w:rsidRDefault="00D4651C" w:rsidP="001E0A84">
      <w:pPr>
        <w:pStyle w:val="Iauiue"/>
        <w:jc w:val="both"/>
        <w:rPr>
          <w:color w:val="000000" w:themeColor="text1"/>
          <w:sz w:val="16"/>
          <w:szCs w:val="16"/>
        </w:rPr>
      </w:pPr>
    </w:p>
    <w:p w14:paraId="370878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января 1942 г. летчик 788-го ИАП ПВО с-т Лямин Юрий Петрович уничтожил первый самолет в районе Сталинграда, отрубив винтом хвостовое оперение “Юнкерсу” недалеко от станицы Иловлинская. Два немца выпрыгнули с парашютами и оказались в плену. По всей видимости, это был пропавший без вести Ju 88 (w/n 1458, борт E6+NM) из эскадрильи </w:t>
      </w:r>
      <w:proofErr w:type="gramStart"/>
      <w:r w:rsidRPr="008127F8">
        <w:rPr>
          <w:rFonts w:ascii="Times New Roman" w:hAnsi="Times New Roman"/>
          <w:color w:val="000000" w:themeColor="text1"/>
          <w:sz w:val="16"/>
          <w:szCs w:val="16"/>
        </w:rPr>
        <w:t>4.(</w:t>
      </w:r>
      <w:proofErr w:type="gramEnd"/>
      <w:r w:rsidRPr="008127F8">
        <w:rPr>
          <w:rFonts w:ascii="Times New Roman" w:hAnsi="Times New Roman"/>
          <w:color w:val="000000" w:themeColor="text1"/>
          <w:sz w:val="16"/>
          <w:szCs w:val="16"/>
        </w:rPr>
        <w:t>F)/122. Лямина наградили орденом Ленина. К сожалению, он погиб в воздушном бою 6 сентября 1942 г. (10205).</w:t>
      </w:r>
    </w:p>
    <w:p w14:paraId="5AFAA81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D0F36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января 1942 г. на строительство рубежей обороны работало 1,48 млн, человек (10692).</w:t>
      </w:r>
    </w:p>
    <w:p w14:paraId="2BAE66E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CAF2F5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47B7307C" w14:textId="77777777" w:rsidR="00D4651C" w:rsidRPr="008127F8" w:rsidRDefault="00D4651C" w:rsidP="001E0A84">
      <w:pPr>
        <w:pStyle w:val="Iauiue"/>
        <w:jc w:val="both"/>
        <w:rPr>
          <w:iCs/>
          <w:color w:val="000000" w:themeColor="text1"/>
          <w:sz w:val="16"/>
          <w:szCs w:val="16"/>
        </w:rPr>
      </w:pPr>
    </w:p>
    <w:p w14:paraId="59CBDAC3"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численность ВКП(б) составила 3064 тысячи членов и кандидатов (14996).</w:t>
      </w:r>
    </w:p>
    <w:p w14:paraId="7C94633F"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63B064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января 1942 г. была начата продажа по карточкам тканей, обуви, одежды, головных уборов, белья, трикотажа, чулок-носков, мыла, некоторых предметов хозяйственного обихода и других изделий в круп н ых городах и промы ш ле нн ых центрах, а такж е на п редприятиях, обслуживавших работников оборонных предприятий вне этих пунктов. По непродовольственным товарам не устанавливался жесткий ассортимент отпуска. Каждой категории снабжаемого населения предназначалось установленное количество товаров широкого потребления, выраженное в условных единицах – купонах. В соответствии с имевшимся количеством купонов их владелец мог приобрести любимые нормированные промышленные товары, имевшиеся в продаже. Для рабочих и ИТР предусматривалось 125 купонов, для служащих – 100, для иждивенцев, детей и учащихся – 80 купонов. При покупке одной пары обуви для взрослых нужно было сдать 30 купонов, за пальто - 80, за хлопчатобумажное платье – 35 [Российский центр хранения и изучения документов новейшей истории. Ф. 17. Оп.121. Ф. 7971. Оп. 1. Д. 892. Л. 97, 104-105]. Карточки на промышленные товары выдавались на основании общей стандартной справки, печатавшейся вместе с продовольственными карточками (11121).</w:t>
      </w:r>
    </w:p>
    <w:p w14:paraId="00FDB30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FCA157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26A67516" w14:textId="77777777" w:rsidR="00D4651C" w:rsidRPr="008127F8" w:rsidRDefault="00D4651C" w:rsidP="001E0A84">
      <w:pPr>
        <w:pStyle w:val="Iauiue"/>
        <w:jc w:val="both"/>
        <w:rPr>
          <w:iCs/>
          <w:color w:val="000000" w:themeColor="text1"/>
          <w:sz w:val="16"/>
          <w:szCs w:val="16"/>
        </w:rPr>
      </w:pPr>
    </w:p>
    <w:p w14:paraId="5AE69F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января 1942 г. во время визита Черчилля в США была подписана Декларация Объединенных Наций. Проект был выработан на основе британско-американских предложений. Декларация была подписана в кабинете американского президента Рузвельтом, Черчиллем, послом СССР Литвиновым и министром иностранных дел Китая Суном.</w:t>
      </w:r>
    </w:p>
    <w:p w14:paraId="5C8E472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Госдепартамент США должен был собрать подписи еще 22 наций, так или иначе сотрудничавших в антифашистской коалиции. Декларация говорила о приверженности подписавших ее стран Атлантической хартии. Полная победа над противником объявлялась необходимым условием защиты жизни, свободы, независимости и религиозной свободы, а также прав человека и справедливости. Правительства, подписавшие декларацию, заявляли о том, что употребят все свои военные и экономические ресурсы на борьбу против Германии, Италии, Японии и их союзников, будут сотрудничать друг с другом и не будут заключать сепаратного перемирия или мира с противником (3871).</w:t>
      </w:r>
    </w:p>
    <w:p w14:paraId="594C1E5F" w14:textId="77777777" w:rsidR="00D4651C" w:rsidRPr="008127F8" w:rsidRDefault="00D4651C" w:rsidP="001E0A84">
      <w:pPr>
        <w:pStyle w:val="Iauiue"/>
        <w:jc w:val="both"/>
        <w:rPr>
          <w:color w:val="000000" w:themeColor="text1"/>
          <w:sz w:val="16"/>
          <w:szCs w:val="16"/>
        </w:rPr>
      </w:pPr>
    </w:p>
    <w:p w14:paraId="58360ABC"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On January 1, 1942, the representatives of 26 nations fighting against the Axis powers proclaimed their support for the Atlantic Charter by signing the "Declaration by United Nations." This document marked the first official use of the term "United Nations," which was suggested by President Roosevelt (1286).</w:t>
      </w:r>
    </w:p>
    <w:p w14:paraId="2C46C18A" w14:textId="77777777" w:rsidR="00D4651C" w:rsidRPr="008127F8" w:rsidRDefault="00D4651C" w:rsidP="001E0A84">
      <w:pPr>
        <w:pStyle w:val="Iauiue"/>
        <w:jc w:val="both"/>
        <w:rPr>
          <w:color w:val="000000" w:themeColor="text1"/>
          <w:sz w:val="16"/>
          <w:szCs w:val="16"/>
          <w:lang w:val="en-US"/>
        </w:rPr>
      </w:pPr>
    </w:p>
    <w:p w14:paraId="317B8C8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января 1942 26 государств, в т.ч. СССР, США и Англия подписали декларацию об объединении военных и экономических ресурсов для разгрома фашистского блока (340,71) - декларацию Объединенных наций (512,141).</w:t>
      </w:r>
    </w:p>
    <w:p w14:paraId="6BCBA049" w14:textId="77777777" w:rsidR="00D4651C" w:rsidRPr="008127F8" w:rsidRDefault="00D4651C" w:rsidP="001E0A84">
      <w:pPr>
        <w:pStyle w:val="Iauiue"/>
        <w:jc w:val="both"/>
        <w:rPr>
          <w:color w:val="000000" w:themeColor="text1"/>
          <w:sz w:val="16"/>
          <w:szCs w:val="16"/>
        </w:rPr>
      </w:pPr>
    </w:p>
    <w:p w14:paraId="7DD11105"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в Вашингтоне подписана Декларация 26 государств (СССР, США, Великобритания, Китай, Австралия, Индия, Канада, Коста-Рика, Куба, Доминиканская Республика, Сальвадор, Гватемала, Гаити, Гондурас, Новая Зеландия, Никарагуа, Панама, Южно-Африканский Союз и эмигрантские правительства Бельгии, Греции, Люксембурга, Нидерландов, Норвегии, Польши, Чехословакии и Югославии), оформившая их военный союз в борьбе против стран фашистского блока. Декларация также включала обязательство не заключать сепаратного перемирия или мира с державами Тройственного Пакта (14996).</w:t>
      </w:r>
    </w:p>
    <w:p w14:paraId="5886DA6F"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4876CAA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1048A1CA" w14:textId="77777777" w:rsidR="00D4651C" w:rsidRPr="008127F8" w:rsidRDefault="00D4651C" w:rsidP="001E0A84">
      <w:pPr>
        <w:pStyle w:val="Iauiue"/>
        <w:jc w:val="both"/>
        <w:rPr>
          <w:iCs/>
          <w:color w:val="000000" w:themeColor="text1"/>
          <w:sz w:val="16"/>
          <w:szCs w:val="16"/>
        </w:rPr>
      </w:pPr>
    </w:p>
    <w:p w14:paraId="4D737C4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численность Национал-социалистической немецкой рабочей партии составила 7,1 млн. членов (14996).</w:t>
      </w:r>
    </w:p>
    <w:p w14:paraId="62747F78"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2A4B1535"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1 января</w:t>
      </w:r>
      <w:r w:rsidRPr="008127F8">
        <w:rPr>
          <w:rFonts w:ascii="Times New Roman" w:hAnsi="Times New Roman"/>
          <w:color w:val="000000" w:themeColor="text1"/>
          <w:sz w:val="16"/>
          <w:szCs w:val="16"/>
        </w:rPr>
        <w:t xml:space="preserve"> в 1942 году численность Фашистской Национальной Партии в Италии составила 6,8 млн. членов (14996).</w:t>
      </w:r>
    </w:p>
    <w:p w14:paraId="1D795A56"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538B650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Траудль (Гертруда) Юнга становится личной секретаршей Гитлера (14996).</w:t>
      </w:r>
    </w:p>
    <w:p w14:paraId="25B01BA2"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7020D803"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23 немецкие подводные лодки действуют в Средиземном море (14996).</w:t>
      </w:r>
    </w:p>
    <w:p w14:paraId="370BD3D7"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5BCAB68C"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января</w:t>
      </w:r>
      <w:r w:rsidRPr="008127F8">
        <w:rPr>
          <w:rFonts w:ascii="Times New Roman" w:hAnsi="Times New Roman"/>
          <w:color w:val="000000" w:themeColor="text1"/>
          <w:sz w:val="16"/>
          <w:szCs w:val="16"/>
        </w:rPr>
        <w:t xml:space="preserve"> в 1942 году рейхсминистр иностранных дел фон Риббентроп заговорил с Гитлером о возможности заключения компромиссного мира с Россией на встрече в ставке по случаю встречи Нового года. Однако Гитлер оборвал Риббентропа. «На Востоке речь может идти только о безусловном окончании войны в нашу пользу», - заявил фюрер (14996).</w:t>
      </w:r>
    </w:p>
    <w:p w14:paraId="0AC9F1BA"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004B3062"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 января 1942 в США на период войны запрещена торговля новыми автомобилями (4962).</w:t>
      </w:r>
    </w:p>
    <w:p w14:paraId="5F8BE1D6" w14:textId="77777777" w:rsidR="00D4651C" w:rsidRPr="008127F8" w:rsidRDefault="00D4651C" w:rsidP="001E0A84">
      <w:pPr>
        <w:pStyle w:val="Iauiue"/>
        <w:tabs>
          <w:tab w:val="left" w:pos="11199"/>
        </w:tabs>
        <w:jc w:val="both"/>
        <w:rPr>
          <w:color w:val="000000" w:themeColor="text1"/>
          <w:sz w:val="16"/>
          <w:szCs w:val="16"/>
        </w:rPr>
      </w:pPr>
    </w:p>
    <w:p w14:paraId="1463BE7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518E966C" w14:textId="77777777" w:rsidR="00D4651C" w:rsidRPr="008127F8" w:rsidRDefault="00D4651C" w:rsidP="001E0A84">
      <w:pPr>
        <w:pStyle w:val="Iauiue"/>
        <w:jc w:val="both"/>
        <w:rPr>
          <w:iCs/>
          <w:color w:val="000000" w:themeColor="text1"/>
          <w:sz w:val="16"/>
          <w:szCs w:val="16"/>
        </w:rPr>
      </w:pPr>
    </w:p>
    <w:p w14:paraId="662D9A1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вышел приказ НКАП N 2с об обеспечении выполнения программы на заводе 166 по самолету 103 (1528,8).</w:t>
      </w:r>
    </w:p>
    <w:p w14:paraId="7E7DD4B9" w14:textId="77777777" w:rsidR="00D4651C" w:rsidRPr="008127F8" w:rsidRDefault="00D4651C" w:rsidP="001E0A84">
      <w:pPr>
        <w:pStyle w:val="Iauiue"/>
        <w:jc w:val="both"/>
        <w:rPr>
          <w:color w:val="000000" w:themeColor="text1"/>
          <w:sz w:val="16"/>
          <w:szCs w:val="16"/>
        </w:rPr>
      </w:pPr>
    </w:p>
    <w:p w14:paraId="3C56B20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вышел приказ N 2 по заводу 126 НКАП:</w:t>
      </w:r>
    </w:p>
    <w:p w14:paraId="64F84A8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Приказ по заводу 126 N 497 от 9 ноября 1942 отменяю.</w:t>
      </w:r>
    </w:p>
    <w:p w14:paraId="2450C9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Для проведения заводских и гос. испытаний машины 7102 с 2М-82 ви назначается ви НИИ ВВС Н.Н.Фингеров</w:t>
      </w:r>
    </w:p>
    <w:p w14:paraId="4A5AC1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Программу заводских и гос. испытаний машины 7102 2М-82, пересмотренную ви НИИ ВВС Н.Н.Ф. утверждаю.</w:t>
      </w:r>
    </w:p>
    <w:p w14:paraId="16C6A0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Всем нач. цехов и отделов требования на выдачу материала, деталей, производство работ по машине 7102, завизированные ви Н.Н.Ф. выполнять вне всякой очереди...</w:t>
      </w:r>
    </w:p>
    <w:p w14:paraId="5D0988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Утвердить следующий график испытания 7102:</w:t>
      </w:r>
    </w:p>
    <w:p w14:paraId="51D202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2 по 5 января 1942 на 1-м этапе:</w:t>
      </w:r>
    </w:p>
    <w:p w14:paraId="00C731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осмотр ВМГ</w:t>
      </w:r>
    </w:p>
    <w:p w14:paraId="74D0B71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опробование системы подъема и опускания шасси и щитков</w:t>
      </w:r>
    </w:p>
    <w:p w14:paraId="060DA6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проверка документации</w:t>
      </w:r>
    </w:p>
    <w:p w14:paraId="54B8A50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 взвешивание и определение ЦТ</w:t>
      </w:r>
    </w:p>
    <w:p w14:paraId="4AA10B4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 проба моторов на земле</w:t>
      </w:r>
    </w:p>
    <w:p w14:paraId="1F39E8E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6 января - 2-й этап. Рулежка и подлеты</w:t>
      </w:r>
    </w:p>
    <w:p w14:paraId="0BA7A3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7 по 9 января - 3 этап. 4 полета.</w:t>
      </w:r>
    </w:p>
    <w:p w14:paraId="393A51A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9 по 15 сентября - 4 этап - производство остальных полетов по программе и сдача отчета испытаний.</w:t>
      </w:r>
    </w:p>
    <w:p w14:paraId="0D5C6AE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Назначить вл по испытаниям машины 7102 т. Будкина, л-и завода 126. т. Галицкого - л штаба фронта ДВФ</w:t>
      </w:r>
    </w:p>
    <w:p w14:paraId="2D7E394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Ви Н.Н.Ф. представить к 15 января 1942 Акт и отчет испытаний самолета 7102 с 2М-82 (2164).</w:t>
      </w:r>
    </w:p>
    <w:p w14:paraId="5E68EB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 2</w:t>
      </w:r>
    </w:p>
    <w:p w14:paraId="7A1EA3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Заводу № 126 НКАП от 2-го Января 1942г.</w:t>
      </w:r>
    </w:p>
    <w:p w14:paraId="047258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1.</w:t>
      </w:r>
    </w:p>
    <w:p w14:paraId="31B3AC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по заподу № 126 от 9 Ноября 1941 года за № 497 о т м е н я ю.</w:t>
      </w:r>
    </w:p>
    <w:p w14:paraId="550046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2</w:t>
      </w:r>
    </w:p>
    <w:p w14:paraId="06948F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проведения заводских и государственных испытание машины 102 с 2-мя моторами М82 ведущим инженером по данное машине назначен ведущий инженер НИИ ВВС тов. ФИНГЕРОВ Н.Н.</w:t>
      </w:r>
    </w:p>
    <w:p w14:paraId="0C45571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3</w:t>
      </w:r>
    </w:p>
    <w:p w14:paraId="5B2BBB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Программу заводских и государственных испытаний машины 7102 2-мя моторами М82 пересмотренную ведущим инженером НИМ ВВС </w:t>
      </w:r>
      <w:proofErr w:type="gramStart"/>
      <w:r w:rsidRPr="008127F8">
        <w:rPr>
          <w:rFonts w:ascii="Times New Roman" w:hAnsi="Times New Roman"/>
          <w:color w:val="000000" w:themeColor="text1"/>
          <w:sz w:val="16"/>
          <w:szCs w:val="16"/>
        </w:rPr>
        <w:t>тов.ФИНГЕРОМ</w:t>
      </w:r>
      <w:proofErr w:type="gramEnd"/>
      <w:r w:rsidRPr="008127F8">
        <w:rPr>
          <w:rFonts w:ascii="Times New Roman" w:hAnsi="Times New Roman"/>
          <w:color w:val="000000" w:themeColor="text1"/>
          <w:sz w:val="16"/>
          <w:szCs w:val="16"/>
        </w:rPr>
        <w:t xml:space="preserve"> утверждаю.</w:t>
      </w:r>
    </w:p>
    <w:p w14:paraId="37D7CB8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4</w:t>
      </w:r>
    </w:p>
    <w:p w14:paraId="6CA8B6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 начальникам цехов и отделов требования на выдачу материала, деталей, производство работ по машине 7102, завизированные ведущим шженером т. ФИНГЕРОВЫМ выполнять вне всякой очереди.</w:t>
      </w:r>
    </w:p>
    <w:p w14:paraId="1F728F7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5</w:t>
      </w:r>
    </w:p>
    <w:p w14:paraId="08F56C7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Нач-ку ЛИС тов. ЗУСМАН обеспечить выполнение вспомогателных работ в сроки, указанные ведущим инженером по обслуживанию машины 7102, обеспечив в ангаре постоянное место для данной машины.</w:t>
      </w:r>
    </w:p>
    <w:p w14:paraId="4A4EF4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6</w:t>
      </w:r>
    </w:p>
    <w:p w14:paraId="5209F2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производства работ по обслуживанию и подготовке машины к полетам назначаю, следующий экипаж:</w:t>
      </w:r>
    </w:p>
    <w:p w14:paraId="62B3F01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Бортмехаником тов. КЛИМЕНКО, с освобождением его на время испытаний самолета от обязанностей ст. механика пролета,</w:t>
      </w:r>
    </w:p>
    <w:p w14:paraId="2C0FACB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мотористом тов. ДУДАРОВА</w:t>
      </w:r>
    </w:p>
    <w:p w14:paraId="70614E4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Мотористами тов. ИЛЬИЧЕВА, МАЛЫШЕВА, ПОНОМАРЕВА, МУРЗИНА, МУЗЫКА, БАРАНОВА</w:t>
      </w:r>
    </w:p>
    <w:p w14:paraId="6003FD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Контрольным бортмехаником тов. ИГРУНОВА</w:t>
      </w:r>
    </w:p>
    <w:p w14:paraId="142BF0B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Инженером по приборам и обработке летных данных тов. ПРОШИНА</w:t>
      </w:r>
    </w:p>
    <w:p w14:paraId="74BDAC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 ЭКО тов. Вильмана</w:t>
      </w:r>
    </w:p>
    <w:p w14:paraId="2BA234F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Представитель завода № 19 тов. Осипова</w:t>
      </w:r>
    </w:p>
    <w:p w14:paraId="08D68D2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От военного представительства и по ВМГ т. Грачев</w:t>
      </w:r>
    </w:p>
    <w:p w14:paraId="29F0AA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7</w:t>
      </w:r>
    </w:p>
    <w:p w14:paraId="10BFC70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Обязанности ст. механика пролета тов. КЛИМЕНКО на время испытаний машины возлагаю на тов. АРЖАНОВА.</w:t>
      </w:r>
    </w:p>
    <w:p w14:paraId="2843C58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8</w:t>
      </w:r>
    </w:p>
    <w:p w14:paraId="4AFD2E9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Ведущему инженеру тов. ФИНГЕРОВУ организовать круглосуточную работу по подготовке и проведению полетов машины 7102.</w:t>
      </w:r>
    </w:p>
    <w:p w14:paraId="6DF16E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цеха 21 тов. ЗУСМАНУ обеспечить местом отдыха и питанием бригаду по обслуживанию самолета</w:t>
      </w:r>
    </w:p>
    <w:p w14:paraId="622F236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9</w:t>
      </w:r>
    </w:p>
    <w:p w14:paraId="456D464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УТВЕРДИТЬ следующий график испытания самолета 7102.</w:t>
      </w:r>
    </w:p>
    <w:p w14:paraId="0C2E36A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 по 5 января 1942 1-й эталон:</w:t>
      </w:r>
    </w:p>
    <w:p w14:paraId="63F2D6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Осмотр ВМГ</w:t>
      </w:r>
    </w:p>
    <w:p w14:paraId="760B35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Опробование системы подъема и опускания шасси и щиткав.</w:t>
      </w:r>
    </w:p>
    <w:p w14:paraId="271500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Проверка документации.</w:t>
      </w:r>
    </w:p>
    <w:p w14:paraId="6BC9FC6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взвешивание и определение центра тяжести самолета</w:t>
      </w:r>
    </w:p>
    <w:p w14:paraId="3EE48F3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position w:val="0"/>
          <w:sz w:val="16"/>
          <w:szCs w:val="16"/>
        </w:rPr>
        <w:t>д) проба моторов на земле</w:t>
      </w:r>
    </w:p>
    <w:p w14:paraId="61566F9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6 января - П-й этап. Рулежка и полеты</w:t>
      </w:r>
    </w:p>
    <w:p w14:paraId="4C02F7E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по 9 января января Ш-й этап - первые 4 полета</w:t>
      </w:r>
    </w:p>
    <w:p w14:paraId="28EE08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9 по 15 января 4-й этап - производство остальннх: полетов по программе и сдача отчета испытаний.</w:t>
      </w:r>
    </w:p>
    <w:p w14:paraId="4EC15D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w:t>
      </w:r>
    </w:p>
    <w:p w14:paraId="6B2F7D95"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Нач-ку ООТ-тов. Брюханову к З января 1942г. разработать и представить мне на утверждение премиальную систему оплаты работников, связаннных с испытанием машины 7102 за выполнение каждого этапа испытаний в срок</w:t>
      </w:r>
    </w:p>
    <w:p w14:paraId="17F1AB47"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 11</w:t>
      </w:r>
    </w:p>
    <w:p w14:paraId="2D4476DF"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Назначить ведущим летчиком по испытаниям машины 7102 т. Буткина, л завода № 126, тов. Галицкого, л штаба фронта ДВФ</w:t>
      </w:r>
    </w:p>
    <w:p w14:paraId="369105B4"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 11</w:t>
      </w:r>
    </w:p>
    <w:p w14:paraId="7494A92C"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position w:val="0"/>
          <w:sz w:val="16"/>
          <w:szCs w:val="16"/>
        </w:rPr>
        <w:t>Ведущему и тов. Фингерову представить к 15 января 1942 Акт и отчет по испытаниям с-та 7102 с 2хМ-82 (2164).</w:t>
      </w:r>
    </w:p>
    <w:p w14:paraId="062AF493" w14:textId="77777777" w:rsidR="00D4651C" w:rsidRPr="008127F8" w:rsidRDefault="00D4651C" w:rsidP="001E0A84">
      <w:pPr>
        <w:pStyle w:val="afff5"/>
        <w:jc w:val="both"/>
        <w:rPr>
          <w:i w:val="0"/>
          <w:iCs w:val="0"/>
          <w:color w:val="000000" w:themeColor="text1"/>
          <w:spacing w:val="0"/>
          <w:kern w:val="0"/>
          <w:position w:val="0"/>
          <w:sz w:val="16"/>
          <w:szCs w:val="16"/>
        </w:rPr>
      </w:pPr>
    </w:p>
    <w:p w14:paraId="6E41AD1F" w14:textId="77777777" w:rsidR="0032416F" w:rsidRPr="008127F8" w:rsidRDefault="003241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января 1942 года испытания ТИС-1 показали состоятельность идеи. В виду маломощности мотора максимальная скорость составила всего 6,8 км/ч, но тут главным было немного другое. А именно задача убедиться в принципиальной жизнеспособности идеи. Немного заглубившись в снег, ТИС-1 вполне уверенно двигалась по </w:t>
      </w:r>
      <w:r w:rsidRPr="008127F8">
        <w:rPr>
          <w:rFonts w:ascii="Times New Roman" w:hAnsi="Times New Roman"/>
          <w:color w:val="000000" w:themeColor="text1"/>
          <w:sz w:val="16"/>
          <w:szCs w:val="16"/>
        </w:rPr>
        <w:lastRenderedPageBreak/>
        <w:t>заснеженной целине. Поворачивалась она путем выключения одной из лент. Вполне успешно ТИС-1 двигалась и по накатанной дороге, дважды переезжала через пни. По большому счету, единственной претензией комиссии стала недостаточная скорость, но другого мотора у Куфарева не имелось. По итогам испытаний командование АБТВ Сибирского Военного Округа рекомендовало доработать танкетку (поставить более мощный мотор) и направить в одну из лыжных частей. Также материалы по танкетке направили в ГАБТУ КА (22573).</w:t>
      </w:r>
    </w:p>
    <w:p w14:paraId="689B7B04" w14:textId="77777777" w:rsidR="0032416F" w:rsidRPr="008127F8" w:rsidRDefault="0032416F" w:rsidP="001E0A84">
      <w:pPr>
        <w:spacing w:after="0" w:line="240" w:lineRule="auto"/>
        <w:jc w:val="both"/>
        <w:rPr>
          <w:rFonts w:ascii="Times New Roman" w:hAnsi="Times New Roman"/>
          <w:color w:val="000000" w:themeColor="text1"/>
          <w:sz w:val="16"/>
          <w:szCs w:val="16"/>
        </w:rPr>
      </w:pPr>
    </w:p>
    <w:p w14:paraId="59AA6421"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января 1942 г. Докладная записка командира третьей авиадивизии дальнего действия А. Е. Голованова председателю ГКО СССР И. В. Сталину об использовании самолета ТБ-7 в качестве бомбардировщика дальнего действия</w:t>
      </w:r>
    </w:p>
    <w:p w14:paraId="78D02BAA"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5280541"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w:t>
      </w:r>
    </w:p>
    <w:p w14:paraId="4B5E690D"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решения ГКО от 30 ноября № ГКО-977сс п. 9 третья авиационная дивизия дальнего действия провела испытания самолета ТБ-7 с моторами АМ-35А с полетным весом 35 тонн. Испытания показали, что самолет ТБ-7 с этим полетным весом взлетает с хорошо укатанного снегового аэродрома с разбегом 800-850 м за 33-35 секунд. Доведение полетного веса до 35 т дает возможность увеличить запас горючего до 12 т и таким образом иметь практический радиус действия с одной тонной бомб до 2 тыс. км, т. е. самолет может свободно доходить до Берлина и обратно, а также надежно проходить при надобности и водные пространства на Востоке.</w:t>
      </w:r>
    </w:p>
    <w:p w14:paraId="7FF0FAC6"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Испытательные полеты и поверочные расчеты показали, что самолет ТБ-7 и все его агрегаты имеют достаточный запас прочности при полетном весе 35 тонн. Испытания проводились на серийном самолете с серийными моторами AM-35А, и, таким образом, мы получили бомбардировщик, обладающий </w:t>
      </w:r>
      <w:proofErr w:type="gramStart"/>
      <w:r w:rsidRPr="008A2E5A">
        <w:rPr>
          <w:rFonts w:ascii="Times New Roman" w:hAnsi="Times New Roman"/>
          <w:color w:val="0070C0"/>
          <w:sz w:val="16"/>
          <w:szCs w:val="16"/>
        </w:rPr>
        <w:t>необходимой дальностью</w:t>
      </w:r>
      <w:proofErr w:type="gramEnd"/>
      <w:r w:rsidRPr="008A2E5A">
        <w:rPr>
          <w:rFonts w:ascii="Times New Roman" w:hAnsi="Times New Roman"/>
          <w:color w:val="0070C0"/>
          <w:sz w:val="16"/>
          <w:szCs w:val="16"/>
        </w:rPr>
        <w:t xml:space="preserve"> и могущий быть пущенным в эксплуатацию без дальнейших доделок и научно-исследовательских работ.</w:t>
      </w:r>
    </w:p>
    <w:p w14:paraId="5AD18313"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w:t>
      </w:r>
    </w:p>
    <w:p w14:paraId="329E6790"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ГКО от 30 ноября НКАП (завод № 124) был обязан сдать дивизии дальнего действия в декабре 8 самолетов и в январе — 7 самолетов ТБ-7 с моторами АМ-35А. Фактически в декабре завод сдал только 1 самолет. По состоянию на 28 декабря 1941 г. завод имеет 8 готовых самолетов с моторами АМ-35А (из них 5 самолетов не укомплектованы моторами) и 7 самолетов находятся в сборке, укомплектованные всеми агрегатами, за исключением моторов АМ-35А. Таким образом, НКАП имеет все возможности выполнить постановление ГКО за № 977сс и дооборудовать все 15 самолетов дополнительными бензобаками к 1 февраля 1942 г., как указано в постановлении.</w:t>
      </w:r>
    </w:p>
    <w:p w14:paraId="01F7DC3A"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этого, на заводе имеется 7 готовых самолетов, но не укомплектованных моторами М-30. В данное время на полностью собранных самолетах, где остался только монтаж моторов и отдельных агрегатов, все работы прекращены, самолеты выведены из цехов на аэродром, где будут стоять на консервации. Постановление ГКО от 30 ноября за № 977сс п. 7 о сдаче дивизии 15 самолетов ТБ-7 с моторами АМ-35А к 1 февраля 1942 г. выполнено не будет.</w:t>
      </w:r>
    </w:p>
    <w:p w14:paraId="1CC8598A"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w:t>
      </w:r>
    </w:p>
    <w:p w14:paraId="4D1FCD04"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Считал бы весьма необходимым иметь в Вашем распоряжении авиацию дальнего действия, которая не была бы резко ограничена радиусом своего действия и могла бы доставать до политических и промышленных центров наших врагов.</w:t>
      </w:r>
    </w:p>
    <w:p w14:paraId="5808E0AD"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ТБ-7 после проведенных испытаний является по существу готовым бомбардировщиком, который может быть применен в боевой работе для выполнения этих задач.</w:t>
      </w:r>
    </w:p>
    <w:p w14:paraId="67A03EF6"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Командир 3-й а[виа]д[ивизии] д[алънего] действия] генерал-майор авиации Голованов</w:t>
      </w:r>
    </w:p>
    <w:p w14:paraId="099C55B6" w14:textId="77777777" w:rsidR="00DC0FF7" w:rsidRPr="008A2E5A" w:rsidRDefault="00DC0FF7" w:rsidP="00DC0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34. Л. 76-77. Подлинник (23934).</w:t>
      </w:r>
    </w:p>
    <w:p w14:paraId="4D90E1A3" w14:textId="77777777" w:rsidR="00DC0FF7" w:rsidRPr="008A2E5A" w:rsidRDefault="00DC0FF7" w:rsidP="00DC0FF7">
      <w:pPr>
        <w:spacing w:after="0" w:line="240" w:lineRule="auto"/>
        <w:jc w:val="both"/>
        <w:rPr>
          <w:rFonts w:ascii="Times New Roman" w:hAnsi="Times New Roman"/>
          <w:color w:val="0070C0"/>
          <w:sz w:val="16"/>
          <w:szCs w:val="16"/>
        </w:rPr>
      </w:pPr>
    </w:p>
    <w:p w14:paraId="38F55AFC" w14:textId="77777777" w:rsidR="00B5001C" w:rsidRPr="008127F8" w:rsidRDefault="00B5001C" w:rsidP="001E0A84">
      <w:pPr>
        <w:pStyle w:val="rteindent11"/>
        <w:shd w:val="clear" w:color="auto" w:fill="FFFFFF"/>
        <w:spacing w:before="0" w:beforeAutospacing="0" w:after="0"/>
        <w:ind w:left="0" w:firstLine="0"/>
        <w:rPr>
          <w:rStyle w:val="af1"/>
          <w:i w:val="0"/>
          <w:color w:val="000000" w:themeColor="text1"/>
          <w:sz w:val="16"/>
          <w:szCs w:val="16"/>
        </w:rPr>
      </w:pPr>
      <w:r w:rsidRPr="008127F8">
        <w:rPr>
          <w:rStyle w:val="af1"/>
          <w:i w:val="0"/>
          <w:color w:val="000000" w:themeColor="text1"/>
          <w:sz w:val="16"/>
          <w:szCs w:val="16"/>
        </w:rPr>
        <w:t>2 января 1942 г.</w:t>
      </w:r>
    </w:p>
    <w:p w14:paraId="37B03623"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ВЫПИСКА ИЗ ПРИКАЗА НАРОДНОГО КОМИССАРА АВИАЦИОННОЙ ПРОМЫШЛЕННОСТИ № 3-с</w:t>
      </w:r>
    </w:p>
    <w:p w14:paraId="7E19A637"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Город Москва 2 января 1942 г.</w:t>
      </w:r>
    </w:p>
    <w:p w14:paraId="390A9374"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В целях обеспечения ремонта самолетов, возвращаемых из воинских частей, а также сборки самолетов, выпускаемых периферийными заводами и отправляемых в упаковке по железной дороге –</w:t>
      </w:r>
    </w:p>
    <w:p w14:paraId="65C78C33"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ПРИКАЗЫВАЮ:</w:t>
      </w:r>
    </w:p>
    <w:p w14:paraId="335A702C" w14:textId="77777777" w:rsidR="00B5001C" w:rsidRPr="008127F8" w:rsidRDefault="00B5001C" w:rsidP="001E0A84">
      <w:pPr>
        <w:pStyle w:val="rteindent11"/>
        <w:shd w:val="clear" w:color="auto" w:fill="FFFFFF"/>
        <w:spacing w:before="0" w:beforeAutospacing="0" w:after="0"/>
        <w:ind w:left="0" w:firstLine="0"/>
        <w:rPr>
          <w:rStyle w:val="af1"/>
          <w:i w:val="0"/>
          <w:color w:val="000000" w:themeColor="text1"/>
          <w:sz w:val="16"/>
          <w:szCs w:val="16"/>
        </w:rPr>
      </w:pPr>
      <w:r w:rsidRPr="008127F8">
        <w:rPr>
          <w:rStyle w:val="af1"/>
          <w:i w:val="0"/>
          <w:color w:val="000000" w:themeColor="text1"/>
          <w:sz w:val="16"/>
          <w:szCs w:val="16"/>
        </w:rPr>
        <w:t>1. На площади эвакуированного завода № 39 в Москве организовать самостоятельный ремонтно-сборочный завод, присвоив ему наименование «Ремонтно-сборочный завод № 81 НКАП», с отнесением его к заводу первой категории.</w:t>
      </w:r>
    </w:p>
    <w:p w14:paraId="2F8E1430"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2. Ремонтно-сборочный завод № 81 включить в состав 10-го Главного Управления НКАП.</w:t>
      </w:r>
    </w:p>
    <w:p w14:paraId="78A944DC"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3. Директором завода № 81 назначить тов. Филимончук Т.Х., его заместителем по общим вопросам и охране завода тов. Курылева.</w:t>
      </w:r>
    </w:p>
    <w:p w14:paraId="10C39A72"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4. Установить следующий профиль ремонтно-сборочного завода № 81:</w:t>
      </w:r>
    </w:p>
    <w:p w14:paraId="3B08B7E5"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б) по сборке самолетов – сборка, испытание и сдача ГУ ВВС КА самолетов Пе-2, 103, и ДБ-3Ф, поступающих с периферийных заводов №№ 39, 166 и 126 в упаковке по железной дороге.</w:t>
      </w:r>
    </w:p>
    <w:p w14:paraId="588393AC"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 xml:space="preserve">6. Все основные средства, оставшиеся в Москве от эвакуированного завода № 39, </w:t>
      </w:r>
      <w:proofErr w:type="gramStart"/>
      <w:r w:rsidRPr="008127F8">
        <w:rPr>
          <w:rStyle w:val="af1"/>
          <w:i w:val="0"/>
          <w:color w:val="000000" w:themeColor="text1"/>
          <w:sz w:val="16"/>
          <w:szCs w:val="16"/>
        </w:rPr>
        <w:t>как то</w:t>
      </w:r>
      <w:proofErr w:type="gramEnd"/>
      <w:r w:rsidRPr="008127F8">
        <w:rPr>
          <w:rStyle w:val="af1"/>
          <w:i w:val="0"/>
          <w:color w:val="000000" w:themeColor="text1"/>
          <w:sz w:val="16"/>
          <w:szCs w:val="16"/>
        </w:rPr>
        <w:t>: здания, сооружения, оборудование, механизмы, жилой фонд, транспортные средства, материальные и денежные средства и хозяйственный инвентарь, передать на баланс вновь организованного в Москве завода № 81, каковые средства считать уставным фондом завода.</w:t>
      </w:r>
    </w:p>
    <w:p w14:paraId="4AC51243" w14:textId="77777777" w:rsidR="00B5001C" w:rsidRPr="008127F8" w:rsidRDefault="00B5001C" w:rsidP="001E0A84">
      <w:pPr>
        <w:pStyle w:val="rteindent11"/>
        <w:shd w:val="clear" w:color="auto" w:fill="FFFFFF"/>
        <w:spacing w:before="0" w:beforeAutospacing="0" w:after="0"/>
        <w:ind w:left="0" w:firstLine="0"/>
        <w:rPr>
          <w:color w:val="000000" w:themeColor="text1"/>
          <w:sz w:val="16"/>
          <w:szCs w:val="16"/>
        </w:rPr>
      </w:pPr>
      <w:r w:rsidRPr="008127F8">
        <w:rPr>
          <w:rStyle w:val="af1"/>
          <w:i w:val="0"/>
          <w:color w:val="000000" w:themeColor="text1"/>
          <w:sz w:val="16"/>
          <w:szCs w:val="16"/>
        </w:rPr>
        <w:t>НАРОДНЫЙ КОМИССАР АВИАЦИОННОЙ ПРОМЫШЛЕННОСТИ – А. ШАХУРИН/</w:t>
      </w:r>
    </w:p>
    <w:p w14:paraId="055A79F2" w14:textId="77777777" w:rsidR="00B5001C" w:rsidRPr="008127F8" w:rsidRDefault="00B5001C" w:rsidP="001E0A84">
      <w:pPr>
        <w:shd w:val="clear" w:color="auto" w:fill="FFFFFF"/>
        <w:spacing w:after="0" w:line="240" w:lineRule="auto"/>
        <w:jc w:val="both"/>
        <w:rPr>
          <w:rFonts w:ascii="Times New Roman" w:hAnsi="Times New Roman"/>
          <w:color w:val="000000" w:themeColor="text1"/>
          <w:sz w:val="16"/>
          <w:szCs w:val="16"/>
        </w:rPr>
      </w:pPr>
    </w:p>
    <w:p w14:paraId="7B04F813"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w:t>
      </w:r>
    </w:p>
    <w:p w14:paraId="08ADF5D4"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ВЫПИСКА ИЗ ПРИКАЗА НАРОДНОГО КОМИССАРА АВИАЦИОННОЙ ПРОМЫШЛЕННОСТИ № 3-с</w:t>
      </w:r>
    </w:p>
    <w:p w14:paraId="14BC827C"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Город Москва 2 января 1942 г.</w:t>
      </w:r>
    </w:p>
    <w:p w14:paraId="1EE698EE"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ремонта самолетов, возвращаемых из воинских частей, а также сборки самолетов, выпускаемых периферийными заводами и отправляемых в упаковке по железной дороге –</w:t>
      </w:r>
    </w:p>
    <w:p w14:paraId="0F8599B0"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1365A365"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 площади эвакуированного завода № 39 в Москве организовать самостоятельный ремонтно-сборочный завод, присвоив ему наименование «Ремонтно-сборочный завод № 81 НКАП», с отнесением его к заводу первой категории.</w:t>
      </w:r>
    </w:p>
    <w:p w14:paraId="3D3A24D8"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Ремонтно-сборочный завод № 81 включить в состав 10-го Главного Управления НКАП.</w:t>
      </w:r>
    </w:p>
    <w:p w14:paraId="7AA4536C"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Директором завода № 81 назначить тов. Филимончук Т.Х., его заместителем по общим вопросам и охране завода тов. Курылева.</w:t>
      </w:r>
    </w:p>
    <w:p w14:paraId="0D215817"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следующий профиль ремонтно-сборочного завода № 81:</w:t>
      </w:r>
    </w:p>
    <w:p w14:paraId="533D1597"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сборке самолетов – сборка, испытание и сдача ГУ ВВС КА самолетов Пе-2, 103, и ДБ-3Ф, поступающих с периферийных заводов №№ 39, 166 и 126 в упаковке по железной дороге.</w:t>
      </w:r>
    </w:p>
    <w:p w14:paraId="69721446"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Все основные средства, оставшиеся в Москве от эвакуированного завода № 39, </w:t>
      </w:r>
      <w:proofErr w:type="gramStart"/>
      <w:r w:rsidRPr="008127F8">
        <w:rPr>
          <w:rFonts w:ascii="Times New Roman" w:hAnsi="Times New Roman"/>
          <w:color w:val="000000" w:themeColor="text1"/>
          <w:sz w:val="16"/>
          <w:szCs w:val="16"/>
        </w:rPr>
        <w:t>как то</w:t>
      </w:r>
      <w:proofErr w:type="gramEnd"/>
      <w:r w:rsidRPr="008127F8">
        <w:rPr>
          <w:rFonts w:ascii="Times New Roman" w:hAnsi="Times New Roman"/>
          <w:color w:val="000000" w:themeColor="text1"/>
          <w:sz w:val="16"/>
          <w:szCs w:val="16"/>
        </w:rPr>
        <w:t>: здания, сооружения, оборудование, механизмы, жилой фонд, транспортные средства, материальные и денежные средства и хозяйственный инвентарь, передать на баланс вновь организованного в Москве завода № 81, каковые средства считать уставным фондом завода.</w:t>
      </w:r>
    </w:p>
    <w:p w14:paraId="5880BA23" w14:textId="77777777" w:rsidR="0090683E" w:rsidRPr="008127F8" w:rsidRDefault="009068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АВИАЦИОННОЙ ПРОМЫШЛЕННОСТИ – А. ШАХУРИН (18293).</w:t>
      </w:r>
    </w:p>
    <w:p w14:paraId="5D71C274" w14:textId="77777777" w:rsidR="0090683E" w:rsidRPr="008127F8" w:rsidRDefault="0090683E" w:rsidP="001E0A84">
      <w:pPr>
        <w:spacing w:after="0" w:line="240" w:lineRule="auto"/>
        <w:jc w:val="both"/>
        <w:rPr>
          <w:rFonts w:ascii="Times New Roman" w:hAnsi="Times New Roman"/>
          <w:color w:val="000000" w:themeColor="text1"/>
          <w:sz w:val="16"/>
          <w:szCs w:val="16"/>
        </w:rPr>
      </w:pPr>
    </w:p>
    <w:p w14:paraId="703DD2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вышел приказ НКАП N 4с:</w:t>
      </w:r>
    </w:p>
    <w:p w14:paraId="0EAE3F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обеспечения сборки самолетов, выпускаемых периферийными заводами и отправленных в упаковке по ж/д:</w:t>
      </w:r>
    </w:p>
    <w:p w14:paraId="4DC671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На площади эвакуированного завода 84 в Москве организовать самолетостроительный завод, присвоив ему номер 165.</w:t>
      </w:r>
    </w:p>
    <w:p w14:paraId="50EC0D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Назначить Водичкина М.С. директором завода 165</w:t>
      </w:r>
    </w:p>
    <w:p w14:paraId="0AC881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На заводе 165 производить сборку, испытание и сдачу ГУ ВВС самолетов Ил-2 производства заводов 381, 1 и 18, отгруженных этими заводами в упаковке по ж/д об обеспечении выполнения программы на заводе 166 по самолету 103 (1528,22).</w:t>
      </w:r>
    </w:p>
    <w:p w14:paraId="492181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это же время был подготовлен документ N 89-ЕМ/ИФ "Мероприятия по ускорению транспортировки по ж/д самолетов Ил-2 с заводов-поставщиков и их сборке"</w:t>
      </w:r>
    </w:p>
    <w:p w14:paraId="256D778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"Самолеты Ил-2 для перевозки по ж/д с заводов 18, 1, 381 к месту сборки на завод 23 грузятся на большегрузные платформы.</w:t>
      </w:r>
    </w:p>
    <w:p w14:paraId="738F31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 погрузке самолета у него отстыковываются крылья и ГО (стабилизатор и РВ).</w:t>
      </w:r>
    </w:p>
    <w:p w14:paraId="5760B7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Винт остается на самолете. Оружие (пулеметы и пушки) при отъеме крыльев оставлять установленным на лафетах</w:t>
      </w:r>
    </w:p>
    <w:p w14:paraId="3472F2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Самолет с убранным шасси укладывается на спец. ложемент под фюзеляжем и центропланом самолета, которые прибалчиваются к платформе</w:t>
      </w:r>
    </w:p>
    <w:p w14:paraId="38BF17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Хвостовая часть фюзеляжа с убранным костылем также укладывается на свой ложемент, приболченный к платформе</w:t>
      </w:r>
    </w:p>
    <w:p w14:paraId="1606C82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Уложенный на ложемент самолет раскрепляется к платформе спец. креплением</w:t>
      </w:r>
    </w:p>
    <w:p w14:paraId="1D3A4C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Учитывая, что самолет, таким образом погруженный на платформу, на пределе вписывается в ж/д габарит, следить за тем, чтобы ось самолета совпадала бы с осью платформы, т.к. малейший сдвиг вбок может вызвать на некоторых участках пути поломку стыковых узлов центроплана.</w:t>
      </w:r>
    </w:p>
    <w:p w14:paraId="609D4D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 внешние металлические части самолета: стыковочные узлы, концы тяг и т.д. должны быть законсервированы тавотом, обернуты бумагой и обвязаны шпагатом</w:t>
      </w:r>
    </w:p>
    <w:p w14:paraId="0DB376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Обе части стабилизатора грузятся на ту же платформу в спец. ложементах по обеим сторонам фюзеляжа.</w:t>
      </w:r>
    </w:p>
    <w:p w14:paraId="38CE4E6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Крылья грузятся в спец. ложементах на отдельную платформу.</w:t>
      </w:r>
    </w:p>
    <w:p w14:paraId="5DA2848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2. Самолеты отправлять </w:t>
      </w:r>
      <w:proofErr w:type="gramStart"/>
      <w:r w:rsidRPr="008127F8">
        <w:rPr>
          <w:color w:val="000000" w:themeColor="text1"/>
          <w:sz w:val="16"/>
          <w:szCs w:val="16"/>
        </w:rPr>
        <w:t>по ж/д эшелонами</w:t>
      </w:r>
      <w:proofErr w:type="gramEnd"/>
      <w:r w:rsidRPr="008127F8">
        <w:rPr>
          <w:color w:val="000000" w:themeColor="text1"/>
          <w:sz w:val="16"/>
          <w:szCs w:val="16"/>
        </w:rPr>
        <w:t xml:space="preserve"> не менее 10-12</w:t>
      </w:r>
    </w:p>
    <w:p w14:paraId="3EC246D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Установить место сборки самолетов Ил-2, выпускаемых заводами 18, 1 и 381 завод 23 в Москве</w:t>
      </w:r>
    </w:p>
    <w:p w14:paraId="3E23A6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7. Работа в сборочном цехе должна быть организована таким образом, чтобы единовременно собирались все прибывшие </w:t>
      </w:r>
      <w:proofErr w:type="gramStart"/>
      <w:r w:rsidRPr="008127F8">
        <w:rPr>
          <w:color w:val="000000" w:themeColor="text1"/>
          <w:sz w:val="16"/>
          <w:szCs w:val="16"/>
        </w:rPr>
        <w:t>машины</w:t>
      </w:r>
      <w:proofErr w:type="gramEnd"/>
      <w:r w:rsidRPr="008127F8">
        <w:rPr>
          <w:color w:val="000000" w:themeColor="text1"/>
          <w:sz w:val="16"/>
          <w:szCs w:val="16"/>
        </w:rPr>
        <w:t xml:space="preserve"> не допуская последовательной работы</w:t>
      </w:r>
    </w:p>
    <w:p w14:paraId="78C00F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Установить срок аэродромной отработки самолетов, облета их и сдачи в в/ч - 12 часов (1623,32).</w:t>
      </w:r>
    </w:p>
    <w:p w14:paraId="7B1F8A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Потом в "Мероприятиях по транспортировке по ж/д самолетов Ил-2 и ЛаГГ-3 и их сборке в г. Воронеже на территории эвакуированного завода 18" срок сборки 10 Ил-2 установили 48 час. (1623,43).</w:t>
      </w:r>
    </w:p>
    <w:p w14:paraId="041E8FA9" w14:textId="77777777" w:rsidR="00D4651C" w:rsidRPr="008127F8" w:rsidRDefault="00D4651C" w:rsidP="001E0A84">
      <w:pPr>
        <w:pStyle w:val="Iauiue"/>
        <w:jc w:val="both"/>
        <w:rPr>
          <w:color w:val="000000" w:themeColor="text1"/>
          <w:sz w:val="16"/>
          <w:szCs w:val="16"/>
        </w:rPr>
      </w:pPr>
    </w:p>
    <w:p w14:paraId="2379FE5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января 1942 г. для лучшей организации работ по опытным моторам МБ-100 (гл. Конструктор -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Добротворский) и М-20 по приказу № 5сс в Казани было образовано Особое КБ завода № 16 (ОТБ НКВД). В него вошла группа заключенных конструкторов- моторостроителей из 4-го Спецотдела НКВД, эвакуированная в Казань с завода № 82, и вольнонаемные работники завода. Сюда также была влита Спецгруппа В.П. Глушко, работавшая с лета 1940 г. на заводе № 27 НКАП.</w:t>
      </w:r>
    </w:p>
    <w:p w14:paraId="1A2029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МБ-100 и МБ-102, по ускорителю «УС» (-1943 г., Б.С. Стечкин). Создан дизель М-30 и его модификации.</w:t>
      </w:r>
    </w:p>
    <w:p w14:paraId="5EF531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06.1942 г. дизельная группа под руководством А.Д. Чаромского переведена на вновь образованный завод № 500.</w:t>
      </w:r>
    </w:p>
    <w:p w14:paraId="7F7521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Спецгруппа В.П. Глушко работала над вспомогательными ЖРД. Созданы РД-1, РД-1ХЗ, РД-2, РД-3. 19.11.1942 г. в группу Глушко переведен С.П. Королев. 8.01.1943 г. для создания реактивной установки РУ-1 для Пе-2 создается группа реак тивных установок № 5 во главе с С.П. Королевым. Группа состояла из четырех бригад общей численностью 16 чел., из которых 5 были заключенными, остальные- вольнонаемные. 9.08.1944 г. был освобожден Королев, а 29.08.1944 г.- Глушко.</w:t>
      </w:r>
    </w:p>
    <w:p w14:paraId="4B8480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Разработаны проекты баллистической и крылатой ракет Д-1 и Д-2 с РДТТ и проекты Д-3 и Д-4 с ЖРД.</w:t>
      </w:r>
      <w:r w:rsidRPr="008127F8">
        <w:rPr>
          <w:rFonts w:ascii="Times New Roman" w:hAnsi="Times New Roman"/>
          <w:color w:val="000000" w:themeColor="text1"/>
          <w:sz w:val="16"/>
          <w:szCs w:val="16"/>
          <w:vertAlign w:val="superscript"/>
        </w:rPr>
        <w:t>59</w:t>
      </w:r>
    </w:p>
    <w:p w14:paraId="3551BA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00446/262сс от 18.04.1944 г. Особое КБ 4-го Спецотдела НКВД было слито с Серийным КБ завода № 16 и образовано единое ОКБ завода № 16 НКАП. Одновременно группа В.П. Глушко выделялась в самостоятельное ОКБ-16сб.</w:t>
      </w:r>
    </w:p>
    <w:p w14:paraId="1B7C88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(1942-03.1943 г.-)- В.А. Бекетов.</w:t>
      </w:r>
    </w:p>
    <w:p w14:paraId="13806EF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12E3D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г. в донесении от заместителя командира эскадрильи 28 литер «А» иап старшего лейтенанта Б.В.Задворнова об испытаниях самолета Харрикейн, вооруженного четырьмя 20-мм пушками ШВАК, двумя 7,62-мм пулеметами ШКАС и ше</w:t>
      </w:r>
      <w:r w:rsidRPr="008127F8">
        <w:rPr>
          <w:rFonts w:ascii="Times New Roman" w:hAnsi="Times New Roman"/>
          <w:color w:val="000000" w:themeColor="text1"/>
          <w:sz w:val="16"/>
          <w:szCs w:val="16"/>
        </w:rPr>
        <w:softHyphen/>
        <w:t>стью РС-82, говорилось: «Мною произведено два полета. Стрельбу про</w:t>
      </w:r>
      <w:r w:rsidRPr="008127F8">
        <w:rPr>
          <w:rFonts w:ascii="Times New Roman" w:hAnsi="Times New Roman"/>
          <w:color w:val="000000" w:themeColor="text1"/>
          <w:sz w:val="16"/>
          <w:szCs w:val="16"/>
        </w:rPr>
        <w:softHyphen/>
        <w:t>изводил при различных положениях самолета, с кабрирования, на бое</w:t>
      </w:r>
      <w:r w:rsidRPr="008127F8">
        <w:rPr>
          <w:rFonts w:ascii="Times New Roman" w:hAnsi="Times New Roman"/>
          <w:color w:val="000000" w:themeColor="text1"/>
          <w:sz w:val="16"/>
          <w:szCs w:val="16"/>
        </w:rPr>
        <w:softHyphen/>
        <w:t>вом развороте, на глубоком вираже, при выходе из пикирования, с пря</w:t>
      </w:r>
      <w:r w:rsidRPr="008127F8">
        <w:rPr>
          <w:rFonts w:ascii="Times New Roman" w:hAnsi="Times New Roman"/>
          <w:color w:val="000000" w:themeColor="text1"/>
          <w:sz w:val="16"/>
          <w:szCs w:val="16"/>
        </w:rPr>
        <w:softHyphen/>
        <w:t>мой. Пушки стреляют отлично, управление огнем - легкое, перезаряжа</w:t>
      </w:r>
      <w:r w:rsidRPr="008127F8">
        <w:rPr>
          <w:rFonts w:ascii="Times New Roman" w:hAnsi="Times New Roman"/>
          <w:color w:val="000000" w:themeColor="text1"/>
          <w:sz w:val="16"/>
          <w:szCs w:val="16"/>
        </w:rPr>
        <w:softHyphen/>
        <w:t>ние пушек в воздухе - легкое и удобное. Самолет, по сравнению со ста</w:t>
      </w:r>
      <w:r w:rsidRPr="008127F8">
        <w:rPr>
          <w:rFonts w:ascii="Times New Roman" w:hAnsi="Times New Roman"/>
          <w:color w:val="000000" w:themeColor="text1"/>
          <w:sz w:val="16"/>
          <w:szCs w:val="16"/>
        </w:rPr>
        <w:softHyphen/>
        <w:t>рым вариантом, в основном стал тяжелее, управление немного тяжелое (вялое). Запас патронов вполне достаточен, хватает и для воздушного боя, и для штурмовки наземных войск.</w:t>
      </w:r>
    </w:p>
    <w:p w14:paraId="260382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Рекомендую переделать управление огнем, поставить раздельноена четыре пушки - одна гашетка и на два пулемета ШКАС - другая. При</w:t>
      </w:r>
      <w:r w:rsidRPr="008127F8">
        <w:rPr>
          <w:rFonts w:ascii="Times New Roman" w:hAnsi="Times New Roman"/>
          <w:color w:val="000000" w:themeColor="text1"/>
          <w:sz w:val="16"/>
          <w:szCs w:val="16"/>
        </w:rPr>
        <w:softHyphen/>
        <w:t>чем, гашетку для стрельбы РС поставить новую, и лучше закрепить ее на ручке управления самолетом. ЭСБР-3п удобнее поставить выше и не</w:t>
      </w:r>
      <w:r w:rsidRPr="008127F8">
        <w:rPr>
          <w:rFonts w:ascii="Times New Roman" w:hAnsi="Times New Roman"/>
          <w:color w:val="000000" w:themeColor="text1"/>
          <w:sz w:val="16"/>
          <w:szCs w:val="16"/>
        </w:rPr>
        <w:softHyphen/>
        <w:t>много вперед. Считаю, что такой вариант вооружения самолета Харрикейн вполне соответствует требованиям УВВС КА.</w:t>
      </w:r>
    </w:p>
    <w:p w14:paraId="6FB093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самолета Харрикейн (4-пушечный вариант) состоит из че</w:t>
      </w:r>
      <w:r w:rsidRPr="008127F8">
        <w:rPr>
          <w:rFonts w:ascii="Times New Roman" w:hAnsi="Times New Roman"/>
          <w:color w:val="000000" w:themeColor="text1"/>
          <w:sz w:val="16"/>
          <w:szCs w:val="16"/>
        </w:rPr>
        <w:softHyphen/>
        <w:t>тырех 20-мм пушек ШВАК (по две в каждом крыле), двух 7,62-мм пуле</w:t>
      </w:r>
      <w:r w:rsidRPr="008127F8">
        <w:rPr>
          <w:rFonts w:ascii="Times New Roman" w:hAnsi="Times New Roman"/>
          <w:color w:val="000000" w:themeColor="text1"/>
          <w:sz w:val="16"/>
          <w:szCs w:val="16"/>
        </w:rPr>
        <w:softHyphen/>
        <w:t>метов ШКАС и шести РО-82. Под каждой плоскостью самолета смонти</w:t>
      </w:r>
      <w:r w:rsidRPr="008127F8">
        <w:rPr>
          <w:rFonts w:ascii="Times New Roman" w:hAnsi="Times New Roman"/>
          <w:color w:val="000000" w:themeColor="text1"/>
          <w:sz w:val="16"/>
          <w:szCs w:val="16"/>
        </w:rPr>
        <w:softHyphen/>
        <w:t>ровано на общей гирлянде по три РО-82. Установка - серийная, с само</w:t>
      </w:r>
      <w:r w:rsidRPr="008127F8">
        <w:rPr>
          <w:rFonts w:ascii="Times New Roman" w:hAnsi="Times New Roman"/>
          <w:color w:val="000000" w:themeColor="text1"/>
          <w:sz w:val="16"/>
          <w:szCs w:val="16"/>
        </w:rPr>
        <w:softHyphen/>
        <w:t>лета МиГ-3. В кабине летчика с правой стороны установлен ЭСБР-3п для питания напряжением 12 В, дающий возможность летчику вести огонь попарно или общим залпом. Огонь ведут с помощью гашетки на штурвале в кабине летчика.</w:t>
      </w:r>
    </w:p>
    <w:p w14:paraId="641A5C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Исходный вариант вооружения - с 12-ю 7,62-мм пулеметами «Брау</w:t>
      </w:r>
      <w:r w:rsidRPr="008127F8">
        <w:rPr>
          <w:rFonts w:ascii="Times New Roman" w:hAnsi="Times New Roman"/>
          <w:color w:val="000000" w:themeColor="text1"/>
          <w:sz w:val="16"/>
          <w:szCs w:val="16"/>
        </w:rPr>
        <w:softHyphen/>
        <w:t>нинг» по огневой мощи в 3,3 раза уступал новому из четырех 20-мм пу</w:t>
      </w:r>
      <w:r w:rsidRPr="008127F8">
        <w:rPr>
          <w:rFonts w:ascii="Times New Roman" w:hAnsi="Times New Roman"/>
          <w:color w:val="000000" w:themeColor="text1"/>
          <w:sz w:val="16"/>
          <w:szCs w:val="16"/>
        </w:rPr>
        <w:softHyphen/>
        <w:t>шек ШВАК, двух 7,62-мм пулеметов ШКАС даже без учета шести РС-82 которые, несомненно, еще больше повышали боевой потенциал маши</w:t>
      </w:r>
      <w:r w:rsidRPr="008127F8">
        <w:rPr>
          <w:rFonts w:ascii="Times New Roman" w:hAnsi="Times New Roman"/>
          <w:color w:val="000000" w:themeColor="text1"/>
          <w:sz w:val="16"/>
          <w:szCs w:val="16"/>
        </w:rPr>
        <w:softHyphen/>
        <w:t>ны.</w:t>
      </w:r>
    </w:p>
    <w:p w14:paraId="6265E0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вспоминал дважды Герой Советского Союза генерал-полковник авиации М.П.Одинцов, некоторые крылатые машины, состоящие на вооружении ВВС Красной Армии из поставленных СССР в 1941-1942 га по лендлизу союзниками у нас дорабатывали в полках самостоятельно. При этом электроспуск пулеметов запараллеливали, а на высвободив</w:t>
      </w:r>
      <w:r w:rsidRPr="008127F8">
        <w:rPr>
          <w:rFonts w:ascii="Times New Roman" w:hAnsi="Times New Roman"/>
          <w:color w:val="000000" w:themeColor="text1"/>
          <w:sz w:val="16"/>
          <w:szCs w:val="16"/>
        </w:rPr>
        <w:softHyphen/>
        <w:t>шийся провод «сажали» боевую кнопку управления огнем РС. Этой до</w:t>
      </w:r>
      <w:r w:rsidRPr="008127F8">
        <w:rPr>
          <w:rFonts w:ascii="Times New Roman" w:hAnsi="Times New Roman"/>
          <w:color w:val="000000" w:themeColor="text1"/>
          <w:sz w:val="16"/>
          <w:szCs w:val="16"/>
        </w:rPr>
        <w:softHyphen/>
        <w:t>работке подвергали американские истребители Киттихок и английские Харрикейн. Американские истребители Аэрокобра в подобном не нуждались, поскольку с одной стороны обладали хорошим пулеметно-пушечным вооружением, с другой - поставлялись в СССР после выхода приказа ГКО о снятии реактивного вооружения с истребителей (11402).</w:t>
      </w:r>
    </w:p>
    <w:p w14:paraId="796F41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3C2F56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г. по приказу № 3 на месте эвакуированного завода № 39 был организован завод № 81 при 10ГУ НКАП. На площадке эвакуированного завода в Москве с 10.1941 г. образовались самолетные Ремонтные мастерские при Ремотделе НКАП (11982).</w:t>
      </w:r>
    </w:p>
    <w:p w14:paraId="7F0D0EB2" w14:textId="77777777" w:rsidR="00D4651C" w:rsidRPr="008127F8" w:rsidRDefault="00D4651C" w:rsidP="001E0A84">
      <w:pPr>
        <w:pStyle w:val="Iauiue"/>
        <w:jc w:val="both"/>
        <w:rPr>
          <w:iCs/>
          <w:color w:val="000000" w:themeColor="text1"/>
          <w:sz w:val="16"/>
          <w:szCs w:val="16"/>
        </w:rPr>
      </w:pPr>
    </w:p>
    <w:p w14:paraId="32F9B2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г. на площадке эвакуированного завода № 39 в Москве на базе Ремонтных мастерских для обеспечения ремонта армейских самолетов, сборки из готовых частей был создан завод № 81 НКАП. Планировался ремонт Пе-2, ДБ-3, производство Пе-2, ДБ-ЗФ, из частей, поступающих с заводов № 39, № 166, № 126. Было поручено также провести перевооружение истребителя «Харрикейн» на отечественные образцы.</w:t>
      </w:r>
    </w:p>
    <w:p w14:paraId="302ECD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1387с от 4.03.1942 г. и приказом № 188сс от 9.03.1942 г. был организован самолетостроительный завод № 81 НКАП. Поставлена задача освоения производства ДБ-ЗФ, для чего в помощь заводу передано оборудование, кадры и документация с заводов № 39, № 126, № 18 и его филиала. Кроме того, с 09.1942 г. проводилась модернизация и перевооружение самолетов «Харрикейн», «Бостон-3», которьм занималось КБ А.П. Голубкова. Производился ремонт Пе-2. С февраля до конца 1942 г. собрано 77 ДБ-ЗФ.</w:t>
      </w:r>
      <w:r w:rsidRPr="008127F8">
        <w:rPr>
          <w:rFonts w:ascii="Times New Roman" w:hAnsi="Times New Roman"/>
          <w:color w:val="000000" w:themeColor="text1"/>
          <w:sz w:val="16"/>
          <w:szCs w:val="16"/>
          <w:vertAlign w:val="superscript"/>
        </w:rPr>
        <w:t>85</w:t>
      </w:r>
    </w:p>
    <w:p w14:paraId="0E9121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3028сс от 12.03.1943 г. и приказом № 174с от 27.03.1943 г. кадры и оборудование завода № 381 1ГУ НКАП из Нижнего Тагила переведены в Москву на площадку завода № 81 и подлежали передаче в его состав. В связи с этим единый завод № 81 должен был передаваться из ЮГУ в 1ГУ. По этому же приказу весь задел работ по иностранным самолетам вместе с КБ А.П. Голубкова были переведены на завод № 89 НКАП. Одновременно (тот же приказ) на площадку завода № 81 переведены кадры и оборудование по деревообработке с завода № 445 НКАП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Алапаевск).</w:t>
      </w:r>
    </w:p>
    <w:p w14:paraId="70BFD01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 итоге объединенный завод получил название завод № 381 НКАП. Директор (1942-43 г.)- Т.А. Филимончук.</w:t>
      </w:r>
    </w:p>
    <w:p w14:paraId="099F0E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В.М. Курылев. Гл. инженер (1942 г.-)- П.М. Морозов (11982).</w:t>
      </w:r>
    </w:p>
    <w:p w14:paraId="35F54551"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1D7112F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г. по приказу № 4с на месте эвакуированногог завода № 84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 (11982).</w:t>
      </w:r>
    </w:p>
    <w:p w14:paraId="15F2303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731036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7E5B5FB3" w14:textId="77777777" w:rsidR="00D4651C" w:rsidRPr="008127F8" w:rsidRDefault="00D4651C" w:rsidP="001E0A84">
      <w:pPr>
        <w:pStyle w:val="Iauiue"/>
        <w:jc w:val="both"/>
        <w:rPr>
          <w:iCs/>
          <w:color w:val="000000" w:themeColor="text1"/>
          <w:sz w:val="16"/>
          <w:szCs w:val="16"/>
        </w:rPr>
      </w:pPr>
    </w:p>
    <w:p w14:paraId="12735077" w14:textId="77777777" w:rsidR="00B500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вышло Постановление ГКО № 1088 Об организации на заводе № 66 (г.Тула) Наркомвооружения производства 120 мм полковых минометов. РГАНИР, Фонд ГКО, д. 18, лл. 59 (11012).</w:t>
      </w:r>
    </w:p>
    <w:p w14:paraId="6CE29136"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4AE9B65C" w14:textId="77777777" w:rsidR="00B5001C"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2 января 1942 вышло</w:t>
      </w:r>
    </w:p>
    <w:p w14:paraId="0305B713" w14:textId="77777777" w:rsidR="00B5001C"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ПОСТАНОВЛЕНИЕ Государственного Комитета Обороны № ГКО-1088сс от «2» января 1942 г. Москва, Кремль.</w:t>
      </w:r>
    </w:p>
    <w:p w14:paraId="0D4D0A9A" w14:textId="77777777" w:rsidR="00B5001C"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Об организации на заводе № 66 (г.Тула)</w:t>
      </w:r>
    </w:p>
    <w:p w14:paraId="5F9C805A" w14:textId="77777777" w:rsidR="00D4651C"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Наркомвооружения производства 120 мм. полковых минометов</w:t>
      </w:r>
    </w:p>
    <w:p w14:paraId="11F4D55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78A8BD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Принять предложения Тульского Обкома ВКП(б) (т.ЖАВОРОНКОВ) об организации на заводе № 66 (г.Тула) производства 120 мм полковых минометов.</w:t>
      </w:r>
    </w:p>
    <w:p w14:paraId="7C7AA40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следующий план производства и поставок 120 мм полковых минометов с завода № 66 НКВ: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11"/>
        <w:gridCol w:w="2570"/>
      </w:tblGrid>
      <w:tr w:rsidR="006F4095" w:rsidRPr="008127F8" w14:paraId="010D2FF9" w14:textId="77777777" w:rsidTr="00B5001C">
        <w:tc>
          <w:tcPr>
            <w:tcW w:w="5711" w:type="dxa"/>
            <w:tcBorders>
              <w:top w:val="single" w:sz="12" w:space="0" w:color="auto"/>
            </w:tcBorders>
          </w:tcPr>
          <w:p w14:paraId="07F27F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месяц 1942 г.</w:t>
            </w:r>
          </w:p>
        </w:tc>
        <w:tc>
          <w:tcPr>
            <w:tcW w:w="2570" w:type="dxa"/>
            <w:tcBorders>
              <w:top w:val="single" w:sz="12" w:space="0" w:color="auto"/>
            </w:tcBorders>
          </w:tcPr>
          <w:p w14:paraId="7D0D44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- 150 шт.</w:t>
            </w:r>
          </w:p>
        </w:tc>
      </w:tr>
      <w:tr w:rsidR="006F4095" w:rsidRPr="008127F8" w14:paraId="34B19410" w14:textId="77777777" w:rsidTr="00B5001C">
        <w:tc>
          <w:tcPr>
            <w:tcW w:w="5711" w:type="dxa"/>
          </w:tcPr>
          <w:p w14:paraId="71F612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2570" w:type="dxa"/>
          </w:tcPr>
          <w:p w14:paraId="0822A8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- 250 "</w:t>
            </w:r>
          </w:p>
        </w:tc>
      </w:tr>
      <w:tr w:rsidR="006F4095" w:rsidRPr="008127F8" w14:paraId="3ED0397B" w14:textId="77777777" w:rsidTr="00B5001C">
        <w:tc>
          <w:tcPr>
            <w:tcW w:w="5711" w:type="dxa"/>
            <w:tcBorders>
              <w:bottom w:val="single" w:sz="12" w:space="0" w:color="auto"/>
            </w:tcBorders>
          </w:tcPr>
          <w:p w14:paraId="1B8A056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2570" w:type="dxa"/>
            <w:tcBorders>
              <w:bottom w:val="single" w:sz="12" w:space="0" w:color="auto"/>
            </w:tcBorders>
          </w:tcPr>
          <w:p w14:paraId="18FD0C5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- 350 "</w:t>
            </w:r>
          </w:p>
        </w:tc>
      </w:tr>
    </w:tbl>
    <w:p w14:paraId="5539FA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Освободить завод № 66 НКВ от производства 82 мм батальонных минометов.</w:t>
      </w:r>
    </w:p>
    <w:p w14:paraId="2C4CD4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Наркомтяжмаш (т.Казаков) обеспечить в январе месяце 1942 года поставку заводу № 66 НКВ 750 баллонов кислорода.</w:t>
      </w:r>
    </w:p>
    <w:p w14:paraId="1A81FD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 Обязать Наркомчермет (т. Тевосян) обеспечить в январе месяце поставку заводу № 66 НКВ (г.Тула) труб манессмановского проката и другого металла, необходимого для изготовления 120 мм полковых минометов, предусмотренных настоящим постановлением.</w:t>
      </w:r>
    </w:p>
    <w:p w14:paraId="07E557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Обязать Наркомвооружения (т.Устинов) принять все необходимые меры к обеспечению изготовления и поставок заводом № 66 (г.Тула) 120 мм полковых минометов, а секретарю Тульского Обкома ВКП(б) Т. ЖАВОРОНКОВУ установить повседневный контроль за. выполнением настоящего постановления. </w:t>
      </w:r>
    </w:p>
    <w:p w14:paraId="044B8C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И. СТАЛИН (11813).</w:t>
      </w:r>
    </w:p>
    <w:p w14:paraId="61539D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Председателю Государственного Комитета Обороны тов. Сталину И.В. </w:t>
      </w:r>
    </w:p>
    <w:p w14:paraId="5FD9A4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Представляю при этом проект постановления Государственного Комитета Обороны "Об организации на заводе № 66 (г.Тула) Наркомвооружения производства 120 мм полковых минометов". </w:t>
      </w:r>
    </w:p>
    <w:p w14:paraId="3B7B4E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Настоящий проект разработан совместно с секретарем Тульского Обкома ВКП(б) т.ЖАВОРОНКОВЫМ и согласован с Наркомвооружения т.УСТИНОВЫМ.</w:t>
      </w:r>
    </w:p>
    <w:p w14:paraId="047E5D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утвердить прилагаемый проект постановления (11813).</w:t>
      </w:r>
    </w:p>
    <w:p w14:paraId="7EE0BC1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E9C90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вышло Постановление ГКО № 1089 О плане производства минометов на январь месяц и I квартал 1942 г. РГАНИР, Фонд ГКО, д. 18, лл. 60-65 (11012).</w:t>
      </w:r>
    </w:p>
    <w:p w14:paraId="2762551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267A5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вышло Постановление ГКО № 1090 О плане производства и поставок артиллерийского и стрелкового вооружения и военных приборов на январь месяц и I квартал 1942 г. РГАНИР, Фонд ГКО, д. 18, лл. 66-76, 77-100 (11012).</w:t>
      </w:r>
    </w:p>
    <w:p w14:paraId="5D37B9C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DDF2E16" w14:textId="77777777" w:rsidR="00B5001C" w:rsidRPr="008127F8" w:rsidRDefault="00B5001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Ко 2 января 1942 года был составлен отчёт об испытаниях танковой пушки М75 на Уральском артиллерийском полигоне (ныне Нижнетагильский институт испытания металлов (НТИИМ)), которые проходили с 29 сентября по 11 декабря 1941.</w:t>
      </w:r>
    </w:p>
    <w:p w14:paraId="35F7D936" w14:textId="77777777" w:rsidR="00B5001C" w:rsidRPr="008127F8" w:rsidRDefault="00B5001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0054B095" w14:textId="77777777" w:rsidR="00B5001C" w:rsidRPr="008127F8" w:rsidRDefault="00B5001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выдержавшей испытания.</w:t>
      </w:r>
    </w:p>
    <w:p w14:paraId="4C06EDF0" w14:textId="77777777" w:rsidR="00B5001C" w:rsidRPr="008127F8" w:rsidRDefault="00B5001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(17108).</w:t>
      </w:r>
    </w:p>
    <w:p w14:paraId="40E2F7AA" w14:textId="77777777" w:rsidR="00B5001C" w:rsidRPr="008127F8" w:rsidRDefault="00B5001C" w:rsidP="001E0A84">
      <w:pPr>
        <w:pStyle w:val="af"/>
        <w:shd w:val="clear" w:color="auto" w:fill="FFFFFF"/>
        <w:spacing w:before="0" w:after="0"/>
        <w:jc w:val="both"/>
        <w:rPr>
          <w:color w:val="000000" w:themeColor="text1"/>
          <w:sz w:val="16"/>
          <w:szCs w:val="16"/>
        </w:rPr>
      </w:pPr>
    </w:p>
    <w:p w14:paraId="5E44171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2-3 января 1942 М.В.Веселовский утвердил серийные чертежи аэросаней РФ-8 для производства </w:t>
      </w:r>
      <w:proofErr w:type="gramStart"/>
      <w:r w:rsidRPr="008127F8">
        <w:rPr>
          <w:color w:val="000000" w:themeColor="text1"/>
          <w:sz w:val="16"/>
          <w:szCs w:val="16"/>
        </w:rPr>
        <w:t>на ГАЗ</w:t>
      </w:r>
      <w:proofErr w:type="gramEnd"/>
      <w:r w:rsidRPr="008127F8">
        <w:rPr>
          <w:color w:val="000000" w:themeColor="text1"/>
          <w:sz w:val="16"/>
          <w:szCs w:val="16"/>
        </w:rPr>
        <w:t xml:space="preserve"> и они были согласованы с военпредами (8285,18).</w:t>
      </w:r>
    </w:p>
    <w:p w14:paraId="7535A6A3" w14:textId="77777777" w:rsidR="00D4651C" w:rsidRPr="008127F8" w:rsidRDefault="00D4651C" w:rsidP="001E0A84">
      <w:pPr>
        <w:pStyle w:val="Iauiue"/>
        <w:jc w:val="both"/>
        <w:rPr>
          <w:color w:val="000000" w:themeColor="text1"/>
          <w:sz w:val="16"/>
          <w:szCs w:val="16"/>
        </w:rPr>
      </w:pPr>
    </w:p>
    <w:p w14:paraId="2646B5A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 января 1942 года вышел приказ № 1с/92мс НКМВ и НКТП</w:t>
      </w:r>
    </w:p>
    <w:p w14:paraId="01B373A8"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 соответствии с постановлением СНК от 1 декабря 1941 года за № 2237-24с:</w:t>
      </w:r>
    </w:p>
    <w:p w14:paraId="5C68990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Передать Икшинский завод “гидропривод” из системы НКТП в НКМВ (6045, 95).</w:t>
      </w:r>
    </w:p>
    <w:p w14:paraId="33C430DD" w14:textId="77777777" w:rsidR="00D4651C" w:rsidRPr="008127F8" w:rsidRDefault="00D4651C" w:rsidP="001E0A84">
      <w:pPr>
        <w:pStyle w:val="Iauiue"/>
        <w:tabs>
          <w:tab w:val="left" w:pos="11199"/>
        </w:tabs>
        <w:jc w:val="both"/>
        <w:rPr>
          <w:color w:val="000000" w:themeColor="text1"/>
          <w:sz w:val="16"/>
          <w:szCs w:val="16"/>
        </w:rPr>
      </w:pPr>
    </w:p>
    <w:p w14:paraId="08934E0E"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 января 1942 года вышел приказ № 87 мс НКТП</w:t>
      </w:r>
    </w:p>
    <w:p w14:paraId="1626124E"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Во исполнение распоряжения СНК № 1090 кс от 29 декабря 1941 года:</w:t>
      </w:r>
    </w:p>
    <w:p w14:paraId="4D98FC0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 xml:space="preserve">Организовать производство танковой электроаппаратуры на площадях МЗСЭМ (бывш. ЗЭМ) в Москве – завод низковольтной аппаратуры и завода Электронасосов. Присвоить заводу № 254. Назначить директором завода № 254 Козлова </w:t>
      </w:r>
      <w:proofErr w:type="gramStart"/>
      <w:r w:rsidRPr="008127F8">
        <w:rPr>
          <w:color w:val="000000" w:themeColor="text1"/>
          <w:sz w:val="16"/>
          <w:szCs w:val="16"/>
        </w:rPr>
        <w:t>А.Л</w:t>
      </w:r>
      <w:proofErr w:type="gramEnd"/>
      <w:r w:rsidRPr="008127F8">
        <w:rPr>
          <w:color w:val="000000" w:themeColor="text1"/>
          <w:sz w:val="16"/>
          <w:szCs w:val="16"/>
        </w:rPr>
        <w:t xml:space="preserve"> (6045, 54).</w:t>
      </w:r>
    </w:p>
    <w:p w14:paraId="010A3DAB" w14:textId="77777777" w:rsidR="00D4651C" w:rsidRPr="008127F8" w:rsidRDefault="00D4651C" w:rsidP="001E0A84">
      <w:pPr>
        <w:pStyle w:val="Iauiue"/>
        <w:tabs>
          <w:tab w:val="left" w:pos="11199"/>
        </w:tabs>
        <w:jc w:val="both"/>
        <w:rPr>
          <w:color w:val="000000" w:themeColor="text1"/>
          <w:sz w:val="16"/>
          <w:szCs w:val="16"/>
        </w:rPr>
      </w:pPr>
    </w:p>
    <w:p w14:paraId="00EC6C6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0907E731" w14:textId="77777777" w:rsidR="00D4651C" w:rsidRPr="008127F8" w:rsidRDefault="00D4651C" w:rsidP="001E0A84">
      <w:pPr>
        <w:pStyle w:val="Iauiue"/>
        <w:jc w:val="both"/>
        <w:rPr>
          <w:iCs/>
          <w:color w:val="000000" w:themeColor="text1"/>
          <w:sz w:val="16"/>
          <w:szCs w:val="16"/>
        </w:rPr>
      </w:pPr>
    </w:p>
    <w:p w14:paraId="0F3D091F"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3393ABF2"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 января наши войска вели бои с противником на всех фронтах.».</w:t>
      </w:r>
    </w:p>
    <w:p w14:paraId="433840C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Гитлеровская брехня о налетах немецкой авиации на Москву.</w:t>
      </w:r>
    </w:p>
    <w:p w14:paraId="601AC2C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«Немецкое командование завело манеру публиковать лживые сообщения о якобы успешных действиях немецкой авиации на Востоке. Особенно рьяно упражняется в этом берлинское радио с тех пор, как гитлеровская армия терпит одну неудачу за другой на советско-германском фронте. Так, например, 28 декабря немцы сообщили по радио о том, что их «самолёты продолжают бомбардировку Москвы». 31 декабря гитлеровцы оповестили по радио: «Вчера соединения германской авиации совершили несколько налётов на Москву».</w:t>
      </w:r>
    </w:p>
    <w:p w14:paraId="7DB01380"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пустобрёхи подобными сводками лишь ставят себя в глупое и смешное положение, ибо в указанные дни ни больших, ни малых «соединений германской авиации» над Москвой не появлялось, как их и вообще не появлялось за последние недели. 30 декабря 2 немецких самолёта подходили к столице, но были обращены в бегство после первых же выстрелов советской зенитной артиллерии.</w:t>
      </w:r>
    </w:p>
    <w:p w14:paraId="66E91E5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Своей брехнёй о несуществующих действиях немецкой авиации гитлеровцы продолжают одурачивать немецких обывателей, скрывая свои поражения на советско-германском фронте.</w:t>
      </w:r>
    </w:p>
    <w:p w14:paraId="183CFD5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Преследуя отступающего противника на одном из участков Западного фронта, бойцы тов. Фирсова за один день освободили 4 населённых пункта и захватили 15 пулемётов, 13 штабных и легковых машин, 9 мотоциклов и 110 велосипедов. На другом участке фронта одна наша часть нанесла серьёзный урон противнику и захватила 74 автомашины, 20 мотоциклов, 23 орудия, 113 велосипедов и много других трофеев.</w:t>
      </w:r>
    </w:p>
    <w:p w14:paraId="76CFCC5E"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 ведя наступательные бои, истребила более 150 немецких солдат и офицеров и захватила 2 вражеских танка, свыше 30 автомашин, 2 зенитных орудия, 1.200 снарядов. 400 противотанковых мин, 60 ящиков взрывчатых веществ и много другого военного имущества.</w:t>
      </w:r>
    </w:p>
    <w:p w14:paraId="1CE0233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авиачасти тов. Данилова совершили удачный штурмовой налёт на одну железнодорожную станцию и на скопление войск противника. Прямыми попаданиями бомб и пулемётным огнём уничтожено 10 железнодорожных вагонов, 15 автомашин с пехотой, 2 бронемашины и истреблено свыше 200 солдат и офицеров противника.</w:t>
      </w:r>
    </w:p>
    <w:p w14:paraId="5DB3D290"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Танкист-стрелок Зотов в одном из боёв уничтожил 2 немецких противотанковых орудия, 76-миллиметровую пушку и расстрелял несколько десятков вражеских солдат. Будучи ранен, тов. Зотов продолжал вести огонь по противнику до тех пор, пока не израсходовал все боеприпасы.</w:t>
      </w:r>
    </w:p>
    <w:p w14:paraId="56A1D97E"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Активно действуют партизаны Донбасса. Отряд товарища Г. взорвал в тылу врага два моста. В результате доставка боеприпасов и горючего для войск противника была задержана на несколько дней. На окраине села И. партизаны-разведчики, забросав гранатами немецкую бронемашину, уничтожили её вместе с экипажем. Организовав засаду у села А., отряд обстрелял колонну итальянцев и перебил 23 оккупанта. В этот же день несколько партизан захватило в плен часового, стоявшего на посту у итальянского орудия. Испортив и бросив орудие в овраг, партизаны доставили пленного к командиру советской части. Недавно отряд тов. Г. произвёл удачное нападение на село, занятое итальянцами. Забросав врага гранатами, партизаны истребили 300 солдат и офицеров и уничтожили 16 автомашин, штабной автобус, два трактора и 8 пулемётов противника.</w:t>
      </w:r>
    </w:p>
    <w:p w14:paraId="1A21A84B"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роты 93 мотополка 13 немецкой танковой дивизии Рудольф Панкрац на допросе заявил: «Наша рота за последнее время потеряла только убитыми до 50 процентов личного состава. В связи с неудачами на фронте боевой дух солдат резко снизился. Многие из них, чтобы уклоняться от предстоящего боя, объявляют себя больными. В связи с этим командование дивизии запретило врачам принимать солдат перед боем и оказывать им какую-либо медицинскую помощь».</w:t>
      </w:r>
    </w:p>
    <w:p w14:paraId="1841FFD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Маслено после оставления её фашистами обнаружены трупы 8 женщин и одного 14-летнего мальчика. Женщины были изнасилованы, а затем убиты. У несчастных обрезаны носы, изрезаны лица, у одной женщины распорот живот.</w:t>
      </w:r>
    </w:p>
    <w:p w14:paraId="3700B69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Таммерфорсе (Финляндия) из-за недостатка муки прекратили работу все хлебозаводы и пекарни. Городские власти объявили населению, что хлеб не будет выдаваться в течение неопределённого времени. В связи с этим в городе произошли массовые беспорядки. Полиция произвела многочисленные аресты.» (14997).</w:t>
      </w:r>
    </w:p>
    <w:p w14:paraId="3169B6BE"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3F94627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3A92B8C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 января на ряде участков фронта наши войска продолжали наступление, успешно преодолевая попытки немецко-фашистских войск создать для себя новые оборонительные рубежи. Наши войска заняли ряд населённых пунктов и в числе их город Малоярославец.</w:t>
      </w:r>
    </w:p>
    <w:p w14:paraId="29C7E863"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уточненным данным, за 31 декабря уничтожено не 12 немецких самолётов, как об этом сообщалось ранее, а 31 немецкий самолёт.</w:t>
      </w:r>
    </w:p>
    <w:p w14:paraId="752AF0FC"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января уничтожено 28 немецких самолётов. Наши потери — 9 самолётов.</w:t>
      </w:r>
    </w:p>
    <w:p w14:paraId="0B6BD74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наша авиация уничтожила 8 немецких танков, 595 автомашин с военными грузами, 334 повозки со снарядами, взорвала и сожгла 6 железнодорожных составов и рассеяла более 3 полков немецкой пехоты.</w:t>
      </w:r>
    </w:p>
    <w:p w14:paraId="432E8FA4"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Продолжая преследовать отступающего противника, часть тов. Фирсова, действующая на одном из участков Западного фронта, за один день боёв освободила 10 населённых пунктов и захватила 85 автомашин, тягачей и тракторов, 87 мотоциклов, более 80 велосипедов, 8 орудий, 9 миномётов, 7 пулемётов и 200 бочек бензина. Бросая технику, боеприпасы и обозы, противник продолжал отходить в западном направлении.</w:t>
      </w:r>
    </w:p>
    <w:p w14:paraId="6C49600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Совершив внезапное нападение на расположившиеся в селе Недельном (Западный фронт) вражеские войска, автоматчики тов. Короткова обратили в бегство крупную немецкую часть. Противник в панике бежал, бросив 270 автомашин с включёнными моторами и зажжёнными фарами. Наши бойцы захватили много штабных документов, машину с фашистскими орденами, предназначенными для выдачи солдатам и офицерам в день нового года, полевую почту и обоз. В ночь на 1 января 15 лыжников-автоматчиков части тов. Короткова захватили село К., рассеяли 300 немецких солдат и офицеров, захватили 2 тяжёлых орудия и большое количество пулемётов и винтовок.</w:t>
      </w:r>
    </w:p>
    <w:p w14:paraId="55F65B30"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 деятельности партизанского отряда т. X., оперирующего в одном из оккупированных районов Московской области. За последнее время отряд уничтожил 30 вражеских автомашин, в том числе 4 штабные, склад с боеприпасами, сбил немецкий транспортный самолёт, подорвал 2 моста на важных магистралях и истребил 90 фашистских солдат и 9 офицеров. Партизаны минировали во многих местах шоссейные и грунтовые дороги.</w:t>
      </w:r>
    </w:p>
    <w:p w14:paraId="67152E8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Неудачи гитлеровской армии на Восточном фронте вызвали большое замешательство в шайке фальшивомонетчиков из германского информационного бюро. Видя, что беспомощный лепет о переходе немецких войск к «позиционной войне» не успокаивает население Германии, геббельсовские врали приступили к срочному изготовлению сказок о мифических подвигах немецких офицеров на Восточном фронте. Так, например, 1 января берлинское радио сообщило, будто бы на центральном участке Восточного фронта один унтер-офицер (фамилию унтер-офицера гитлеровцы предусмотрительно не называют!) отразил атаку 42 русских тяжёлых танков и обратил их в бегство, уничтожив при этом из своего ружья 6 машин. Понятно, что ничего подобного на советско-германском фронте не происходило и не могло произойти. Да и в Германии мало найдётся дураков, которые бы поверили этой очередной брехне немецкого командования.</w:t>
      </w:r>
    </w:p>
    <w:p w14:paraId="32A6048C"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Новыми производственными победами встретил новый год трудящиеся Омской области. Коллектив Омской суконной фабрики дал сверх годового плана продукции на один миллион рублей. Более ста центнеров высококачественного масла выработал сверх плана коллектив Белящевского маслозавода. Непрерывно повышают производительность труда железнодорожники станции Омск.</w:t>
      </w:r>
    </w:p>
    <w:p w14:paraId="2609481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Плотник цеха среднего ремонта вагонов тов. Столбов выполняет сменное задание на 900 процентов; по 7—8 норм дают в смену плотники Галинский и Хорошенко. В цехе текущего ремонта вагонов рекордной выработки достиг электросварщик Верещагин. За смену он выполняет 5—</w:t>
      </w:r>
      <w:proofErr w:type="gramStart"/>
      <w:r w:rsidRPr="008127F8">
        <w:rPr>
          <w:rFonts w:ascii="Times New Roman" w:hAnsi="Times New Roman"/>
          <w:color w:val="000000" w:themeColor="text1"/>
          <w:sz w:val="16"/>
          <w:szCs w:val="16"/>
        </w:rPr>
        <w:t>6 дневных</w:t>
      </w:r>
      <w:proofErr w:type="gramEnd"/>
      <w:r w:rsidRPr="008127F8">
        <w:rPr>
          <w:rFonts w:ascii="Times New Roman" w:hAnsi="Times New Roman"/>
          <w:color w:val="000000" w:themeColor="text1"/>
          <w:sz w:val="16"/>
          <w:szCs w:val="16"/>
        </w:rPr>
        <w:t xml:space="preserve"> норм.».</w:t>
      </w:r>
    </w:p>
    <w:p w14:paraId="4D1FCDBC"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5824794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Юго-Западного фронта за период с 25 по 31 декабря 1941 года.</w:t>
      </w:r>
    </w:p>
    <w:p w14:paraId="0A4DFD7A"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неполным, предварительным данным, войсками Юго-Западного фронта за период с 25 по 31 декабря 1941 года ЗАХВАЧЕНО: танков— 22, орудий — 122, миномётов — 80, пулемётов — 128, автоматов — 42, винтовок — 1.000, автомашин — 210, мотоциклов — 65, радиостанций—3, повозок с грузом — 180, мин — свыше 7.000, снарядов — 13.536, винтовочных патронов — 200.000.</w:t>
      </w:r>
    </w:p>
    <w:p w14:paraId="6D01F2E1"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этот же период уничтожено: два немецких штаба, автомашин с грузом и живой силой противника — 745, танков — 5, орудий — 21, станковых пулеметов — 15, повозок с грузом — 552.</w:t>
      </w:r>
    </w:p>
    <w:p w14:paraId="7ECF9F77"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 25 по 31 декабря уничтожено более 10.000 немецких солдат и офицеров.».</w:t>
      </w:r>
    </w:p>
    <w:p w14:paraId="7E2590A3"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Кавказского фронта в крыму за период с 28 декабря 1941 года по 2 января 1942 года.</w:t>
      </w:r>
    </w:p>
    <w:p w14:paraId="022AB986"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на Керченском полуострове за период с 28 декабря 1941 г. по 2 января 1942 г., по неполным данным, ЗАХВАЧЕНЫ следующие трофеи: винтовок — 3.000, автоматов — 150, станковых пулемётов — 50, орудий— 48, миномётов — 20, мотоциклов — свыше 1.000, грузовых машин— 250, легковых машин — 115, автобусов — 33, лошадей — 256, а также склады с боеприпасами, продовольствием и снаряжением.</w:t>
      </w:r>
    </w:p>
    <w:p w14:paraId="3C1C0A58"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 в одной только Феодосии свыше 2.000 немцев и румын.» (14997).</w:t>
      </w:r>
    </w:p>
    <w:p w14:paraId="1AC5A272"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2AF5BD0B"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января</w:t>
      </w:r>
      <w:r w:rsidRPr="008127F8">
        <w:rPr>
          <w:rFonts w:ascii="Times New Roman" w:hAnsi="Times New Roman"/>
          <w:color w:val="000000" w:themeColor="text1"/>
          <w:sz w:val="16"/>
          <w:szCs w:val="16"/>
        </w:rPr>
        <w:t xml:space="preserve"> в 1942 году завершилась Керченско-Феодосийская десантная операция. Войска Кавказского фронта освободили Керченский полуостров, продвинулись на запад на 100–110 км (вышли на рубеж Киет, Новая Покровка, Коктебель), отвлекли часть сил вермахта от Севастополя и предотвратили возможность вторжения немецких войск на Кавказ через Таманский полуостров (14997).</w:t>
      </w:r>
    </w:p>
    <w:p w14:paraId="3062095E"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3C0E21B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закончилась Керченско-Феодосийская десантная операция, которая началась 25 декабря 1941. В Крым ЧФ и АФ перебросили 40 тыс. чел. из состава войск ЗакФ (3398,10).</w:t>
      </w:r>
    </w:p>
    <w:p w14:paraId="0530E0D3" w14:textId="77777777" w:rsidR="00D4651C" w:rsidRPr="008127F8" w:rsidRDefault="00D4651C" w:rsidP="001E0A84">
      <w:pPr>
        <w:pStyle w:val="Iauiue"/>
        <w:jc w:val="both"/>
        <w:rPr>
          <w:color w:val="000000" w:themeColor="text1"/>
          <w:sz w:val="16"/>
          <w:szCs w:val="16"/>
        </w:rPr>
      </w:pPr>
    </w:p>
    <w:p w14:paraId="3F2DA2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войска ЗФ освободили Малоярославец (3186).</w:t>
      </w:r>
    </w:p>
    <w:p w14:paraId="54C4686E" w14:textId="77777777" w:rsidR="00D4651C" w:rsidRPr="008127F8" w:rsidRDefault="00D4651C" w:rsidP="001E0A84">
      <w:pPr>
        <w:pStyle w:val="Iauiue"/>
        <w:jc w:val="both"/>
        <w:rPr>
          <w:color w:val="000000" w:themeColor="text1"/>
          <w:sz w:val="16"/>
          <w:szCs w:val="16"/>
        </w:rPr>
      </w:pPr>
    </w:p>
    <w:p w14:paraId="0DE7266C"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2, 1942: On the central front in Russia, the Red Army achieves a breakthrough at Rshev (3819).</w:t>
      </w:r>
    </w:p>
    <w:p w14:paraId="77B9A445" w14:textId="77777777" w:rsidR="00D4651C" w:rsidRPr="008127F8" w:rsidRDefault="00D4651C" w:rsidP="001E0A84">
      <w:pPr>
        <w:pStyle w:val="Iauiue"/>
        <w:jc w:val="both"/>
        <w:rPr>
          <w:color w:val="000000" w:themeColor="text1"/>
          <w:sz w:val="16"/>
          <w:szCs w:val="16"/>
          <w:lang w:val="en-US"/>
        </w:rPr>
      </w:pPr>
    </w:p>
    <w:p w14:paraId="27DFDD4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янваяр 1941 КА на центральном фронте прорвалась к Ржеву (3819).</w:t>
      </w:r>
    </w:p>
    <w:p w14:paraId="5237FFEC" w14:textId="77777777" w:rsidR="00D4651C" w:rsidRPr="008127F8" w:rsidRDefault="00D4651C" w:rsidP="001E0A84">
      <w:pPr>
        <w:pStyle w:val="Iauiue"/>
        <w:jc w:val="both"/>
        <w:rPr>
          <w:color w:val="000000" w:themeColor="text1"/>
          <w:sz w:val="16"/>
          <w:szCs w:val="16"/>
        </w:rPr>
      </w:pPr>
    </w:p>
    <w:p w14:paraId="4961DD7F"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января</w:t>
      </w:r>
      <w:r w:rsidRPr="008127F8">
        <w:rPr>
          <w:rFonts w:ascii="Times New Roman" w:hAnsi="Times New Roman"/>
          <w:color w:val="000000" w:themeColor="text1"/>
          <w:sz w:val="16"/>
          <w:szCs w:val="16"/>
        </w:rPr>
        <w:t xml:space="preserve"> в 1942 году отряд советских моряков уничтожил финский гарнизон на Гогланде и удерживал остров до 27 марта (14997).</w:t>
      </w:r>
    </w:p>
    <w:p w14:paraId="4A7B2608"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716ED306" w14:textId="77777777" w:rsidR="00B500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43A29061" w14:textId="77777777" w:rsidR="00B5001C" w:rsidRPr="008127F8" w:rsidRDefault="00B5001C" w:rsidP="001E0A84">
      <w:pPr>
        <w:pStyle w:val="Iauiue"/>
        <w:jc w:val="both"/>
        <w:rPr>
          <w:iCs/>
          <w:color w:val="000000" w:themeColor="text1"/>
          <w:sz w:val="16"/>
          <w:szCs w:val="16"/>
        </w:rPr>
      </w:pPr>
    </w:p>
    <w:p w14:paraId="4D336420"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1942 года</w:t>
      </w:r>
    </w:p>
    <w:p w14:paraId="4794F56B"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 документу № 71</w:t>
      </w:r>
    </w:p>
    <w:p w14:paraId="3897E2E3"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ПАМЯТНАЯ ЗАПИСКА*</w:t>
      </w:r>
    </w:p>
    <w:p w14:paraId="35E7F036"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тщательного изучения различных способов поставки самолетов Советскому Правительству было решено, что наиболее удобным и скорым для сборки и полета в Советский Союз является путь через Персидский залив.</w:t>
      </w:r>
    </w:p>
    <w:p w14:paraId="1DF727FA"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постройке в Абадане, Иран, американского авиасборочного завода с Британским Правительством было в принципе достигнуто соглашение, и постройка необходимых приспособлений была немедленно предпринята в Абадане.</w:t>
      </w:r>
    </w:p>
    <w:p w14:paraId="2DC56BED"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отгружаются на Басру, где они будут собраны англичанами, которые закончат комплектование по американским проектам сборки.</w:t>
      </w:r>
    </w:p>
    <w:p w14:paraId="09CA2F3A"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Американское посольство получило указание проинформировать Советское Правительство о вышеизложенном и обсудить с советскими властями пункт, в котором они желали бы производить приемку самолетов.</w:t>
      </w:r>
    </w:p>
    <w:p w14:paraId="2C828C87"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Предпочтительным было бы, если в качестве пункта для сдачи самолетов было избрано какое-либо место в Иране, и в качестве такового предлагается Казвин.</w:t>
      </w:r>
    </w:p>
    <w:p w14:paraId="2755E352"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Военный Департамент обеспечивает на пункте сдачи отвечающий техническим требованиям квалифицированный персонал. От Советского Правительства ожидается, что оно обеспечит территорию для ангаров и рабочие строения, так </w:t>
      </w:r>
      <w:proofErr w:type="gramStart"/>
      <w:r w:rsidRPr="008127F8">
        <w:rPr>
          <w:rFonts w:ascii="Times New Roman" w:hAnsi="Times New Roman"/>
          <w:color w:val="000000" w:themeColor="text1"/>
          <w:sz w:val="16"/>
          <w:szCs w:val="16"/>
        </w:rPr>
        <w:t>же</w:t>
      </w:r>
      <w:proofErr w:type="gramEnd"/>
      <w:r w:rsidRPr="008127F8">
        <w:rPr>
          <w:rFonts w:ascii="Times New Roman" w:hAnsi="Times New Roman"/>
          <w:color w:val="000000" w:themeColor="text1"/>
          <w:sz w:val="16"/>
          <w:szCs w:val="16"/>
        </w:rPr>
        <w:t xml:space="preserve"> как и 100-октановое горючее и масла в соответствующих количествах. Пункт, который будет выбран, должен иметь удовлетворительное посадочное поле и достаточные приспособления д ля горючего. Необходимому персоналу должны быть обеспечены условия для жилья и для работы. Пункт должен также быть в достаточной мере защищен советскими войсками.</w:t>
      </w:r>
    </w:p>
    <w:p w14:paraId="24FE972F"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Посольство предполагает, что генерал Уиллер стремится установить контакт с советскими властями в Иране, с тем чтобы подробно обсудить с ними вышеприведенные вопросы.</w:t>
      </w:r>
    </w:p>
    <w:p w14:paraId="55FAAA1C"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2 января 1942 года</w:t>
      </w:r>
    </w:p>
    <w:p w14:paraId="0C5CCB51" w14:textId="77777777" w:rsidR="00441E3A" w:rsidRPr="008127F8" w:rsidRDefault="00441E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АВП РФ. Ф. 06. On. 4. П. 2. Д. 22. Л. 3—4. Перевод с английского. Копия (20866).</w:t>
      </w:r>
    </w:p>
    <w:p w14:paraId="5EF09F6A" w14:textId="77777777" w:rsidR="00441E3A" w:rsidRPr="008127F8" w:rsidRDefault="00441E3A" w:rsidP="001E0A84">
      <w:pPr>
        <w:spacing w:after="0" w:line="240" w:lineRule="auto"/>
        <w:jc w:val="both"/>
        <w:rPr>
          <w:rFonts w:ascii="Times New Roman" w:hAnsi="Times New Roman"/>
          <w:color w:val="000000" w:themeColor="text1"/>
          <w:sz w:val="16"/>
          <w:szCs w:val="16"/>
        </w:rPr>
      </w:pPr>
    </w:p>
    <w:p w14:paraId="4E89B52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января</w:t>
      </w:r>
      <w:r w:rsidRPr="008127F8">
        <w:rPr>
          <w:rFonts w:ascii="Times New Roman" w:hAnsi="Times New Roman"/>
          <w:color w:val="000000" w:themeColor="text1"/>
          <w:sz w:val="16"/>
          <w:szCs w:val="16"/>
        </w:rPr>
        <w:t xml:space="preserve"> в 1942 году в Вашингтоне, федеральный округ Колумбия, США, союзные державы США, Великобритания, СССР, Китай и еще 22 государства (называющие себя Объединенными нациям) обязуются не вести сепаратные переговоры с врагом (14997).</w:t>
      </w:r>
    </w:p>
    <w:p w14:paraId="13F85452"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38C7808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589A20AB" w14:textId="77777777" w:rsidR="00D4651C" w:rsidRPr="008127F8" w:rsidRDefault="00D4651C" w:rsidP="001E0A84">
      <w:pPr>
        <w:pStyle w:val="Iauiue"/>
        <w:jc w:val="both"/>
        <w:rPr>
          <w:iCs/>
          <w:color w:val="000000" w:themeColor="text1"/>
          <w:sz w:val="16"/>
          <w:szCs w:val="16"/>
        </w:rPr>
      </w:pPr>
    </w:p>
    <w:p w14:paraId="2BE41C5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 января 1942 японские войска захватили Манилу (4962).</w:t>
      </w:r>
    </w:p>
    <w:p w14:paraId="6920BFE6" w14:textId="77777777" w:rsidR="00D4651C" w:rsidRPr="008127F8" w:rsidRDefault="00D4651C" w:rsidP="001E0A84">
      <w:pPr>
        <w:pStyle w:val="Iauiue"/>
        <w:tabs>
          <w:tab w:val="left" w:pos="11199"/>
        </w:tabs>
        <w:jc w:val="both"/>
        <w:rPr>
          <w:color w:val="000000" w:themeColor="text1"/>
          <w:sz w:val="16"/>
          <w:szCs w:val="16"/>
        </w:rPr>
      </w:pPr>
    </w:p>
    <w:p w14:paraId="286EC98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японские войска вошли в Манилу, а американцы были выдворены с Батаана (2245,1).</w:t>
      </w:r>
    </w:p>
    <w:p w14:paraId="3D35F3E5" w14:textId="77777777" w:rsidR="00D4651C" w:rsidRPr="008127F8" w:rsidRDefault="00D4651C" w:rsidP="001E0A84">
      <w:pPr>
        <w:pStyle w:val="Iauiue"/>
        <w:jc w:val="both"/>
        <w:rPr>
          <w:color w:val="000000" w:themeColor="text1"/>
          <w:sz w:val="16"/>
          <w:szCs w:val="16"/>
        </w:rPr>
      </w:pPr>
    </w:p>
    <w:p w14:paraId="59DA66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января 1942 японцы начали бомбардировку Сингапура (3186).</w:t>
      </w:r>
    </w:p>
    <w:p w14:paraId="2A9502C1" w14:textId="77777777" w:rsidR="00D4651C" w:rsidRPr="008127F8" w:rsidRDefault="00D4651C" w:rsidP="001E0A84">
      <w:pPr>
        <w:pStyle w:val="Iauiue"/>
        <w:jc w:val="both"/>
        <w:rPr>
          <w:color w:val="000000" w:themeColor="text1"/>
          <w:sz w:val="16"/>
          <w:szCs w:val="16"/>
        </w:rPr>
      </w:pPr>
    </w:p>
    <w:p w14:paraId="31977636"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1A9ED621" w14:textId="77777777" w:rsidR="00D4651C" w:rsidRPr="008127F8" w:rsidRDefault="00D4651C" w:rsidP="001E0A84">
      <w:pPr>
        <w:pStyle w:val="Iauiue"/>
        <w:jc w:val="both"/>
        <w:rPr>
          <w:iCs/>
          <w:color w:val="000000" w:themeColor="text1"/>
          <w:sz w:val="16"/>
          <w:szCs w:val="16"/>
        </w:rPr>
      </w:pPr>
    </w:p>
    <w:p w14:paraId="5A8961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января 1942 Нач. 10 У ГУ ВВС Бибиков писал Дементьеву письмо N 373654:</w:t>
      </w:r>
    </w:p>
    <w:p w14:paraId="6374A1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 практики переучивания л, вновь формируемых частей ВВС, на самолет Ил-2 АМ-38 выявлена необходимость иметь 2-х местные самолеты Ил-2 с вторым управлением, на котором можно было бы вывозить вновь выпускаемых л.</w:t>
      </w:r>
    </w:p>
    <w:p w14:paraId="0C5192E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Прошу Вашего распоряжения директору завода 1 об изготовлении в феврале-марте 1942 20 самолетов Ил-2 с двойным управлением по чертежам завода 18.</w:t>
      </w:r>
    </w:p>
    <w:p w14:paraId="307EA00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Учитывая, что эти самолеты будут использованы для учебных целей, считаю возможным изготавливать их без применения дефицитных материалов, как, например, броня и бронестекло (1635,143).</w:t>
      </w:r>
    </w:p>
    <w:p w14:paraId="04CF3300" w14:textId="77777777" w:rsidR="00D4651C" w:rsidRPr="008127F8" w:rsidRDefault="00D4651C" w:rsidP="001E0A84">
      <w:pPr>
        <w:pStyle w:val="Iauiue"/>
        <w:jc w:val="both"/>
        <w:rPr>
          <w:color w:val="000000" w:themeColor="text1"/>
          <w:sz w:val="16"/>
          <w:szCs w:val="16"/>
        </w:rPr>
      </w:pPr>
    </w:p>
    <w:p w14:paraId="1BE4286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3/4 января 1942 Нач. 10 ГУ ГУ ВВС КА Бибиков писал письмо N 373654 по НКАП Дементьеву вопросу изготовления Ил-2 с двойным управлением на заводе 1:</w:t>
      </w:r>
    </w:p>
    <w:p w14:paraId="1AEF6B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 практики переучивания л вновь формирующихся частей ВВС КА на Ил-2 АМ-38 выявлена необходимость иметь двухместные Ил-2 с двойным управлением, на которых можно было бы вывозить выпускаемых летчиков.</w:t>
      </w:r>
    </w:p>
    <w:p w14:paraId="6DEED90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Прошу Вашего распоряжения директору завода 1 им. И.В.С. об изготовлении в феврале-марте 1942 20 Ил-2 с двойным управлением по чертежам завода 18 в счет программы.</w:t>
      </w:r>
    </w:p>
    <w:p w14:paraId="7F082F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Учитывая, что эти самолеты будут использоваться для учебных целей, считаю возможным изготавливать их без применения дефицитных материалов, как например, брони и бронестекла." (1635,146).</w:t>
      </w:r>
    </w:p>
    <w:p w14:paraId="78046271" w14:textId="77777777" w:rsidR="00D4651C" w:rsidRPr="008127F8" w:rsidRDefault="00D4651C" w:rsidP="001E0A84">
      <w:pPr>
        <w:pStyle w:val="Iauiue"/>
        <w:jc w:val="both"/>
        <w:rPr>
          <w:color w:val="000000" w:themeColor="text1"/>
          <w:sz w:val="16"/>
          <w:szCs w:val="16"/>
        </w:rPr>
      </w:pPr>
    </w:p>
    <w:p w14:paraId="5B41937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января 1942 Нач. 10 ГУ ГУВВС Алексеев писал Зам. НКАП Дементьеву письмо N 378202сс по вопросу организации производства Ил-2 на заводе 135:</w:t>
      </w:r>
    </w:p>
    <w:p w14:paraId="7DC242C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"Во исполнение Постановления ГКО о выпуске заводом 135 Ил-2 с 15 февраля 1942 заводом разработан график организации производства Ил-2.</w:t>
      </w:r>
    </w:p>
    <w:p w14:paraId="20886EE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Существующий график предусматривает получение от завода 18 в декабре 1941 ТД, необходимой для организации производства и агрегатов для начала работы.</w:t>
      </w:r>
    </w:p>
    <w:p w14:paraId="2D13B7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Сроки поставки ТД и агрегатов от завода 18 были указаны в проекте приказа НКАП.</w:t>
      </w:r>
    </w:p>
    <w:p w14:paraId="6872FDE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 НКАП на завод 135 до 20 декабря не получен. Сроки поставки ТД и агрегатов - сорваны.</w:t>
      </w:r>
    </w:p>
    <w:p w14:paraId="1E82F8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135 из-за отсутствия ТД подготовительных работ по организации производства Ил-2 не ведет и программы по Су-2 - не выполняет.</w:t>
      </w:r>
    </w:p>
    <w:p w14:paraId="218837E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Просил принять срочные меры</w:t>
      </w:r>
      <w:proofErr w:type="gramStart"/>
      <w:r w:rsidRPr="008127F8">
        <w:rPr>
          <w:color w:val="000000" w:themeColor="text1"/>
          <w:sz w:val="16"/>
          <w:szCs w:val="16"/>
        </w:rPr>
        <w:t>...(</w:t>
      </w:r>
      <w:proofErr w:type="gramEnd"/>
      <w:r w:rsidRPr="008127F8">
        <w:rPr>
          <w:color w:val="000000" w:themeColor="text1"/>
          <w:sz w:val="16"/>
          <w:szCs w:val="16"/>
        </w:rPr>
        <w:t>1636,36).</w:t>
      </w:r>
    </w:p>
    <w:p w14:paraId="01D5CB2D" w14:textId="77777777" w:rsidR="00D4651C" w:rsidRPr="008127F8" w:rsidRDefault="00D4651C" w:rsidP="001E0A84">
      <w:pPr>
        <w:pStyle w:val="Iauiue"/>
        <w:jc w:val="both"/>
        <w:rPr>
          <w:color w:val="000000" w:themeColor="text1"/>
          <w:sz w:val="16"/>
          <w:szCs w:val="16"/>
        </w:rPr>
      </w:pPr>
    </w:p>
    <w:p w14:paraId="01E0358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января 1942 ЗА НАЧАЛЬНИКА 10-го УПРАВЛЕНИЯ ГУ ВВС КРАСНОЙ АРМИИ ВОЕНИНЖЕРа 1 РАНГА АЛЕКСЕЕВА было направлено письмо № 378202сс ЗАМЕСТИТЕЛЮ НАРОДНОГО КОМИССАРА АВИАЦИОННОЙ ПРОМЫШЛЕННОСТИ </w:t>
      </w:r>
      <w:proofErr w:type="gramStart"/>
      <w:r w:rsidRPr="008127F8">
        <w:rPr>
          <w:rFonts w:ascii="Times New Roman" w:hAnsi="Times New Roman"/>
          <w:color w:val="000000" w:themeColor="text1"/>
          <w:sz w:val="16"/>
          <w:szCs w:val="16"/>
        </w:rPr>
        <w:t>С .</w:t>
      </w:r>
      <w:proofErr w:type="gramEnd"/>
      <w:r w:rsidRPr="008127F8">
        <w:rPr>
          <w:rFonts w:ascii="Times New Roman" w:hAnsi="Times New Roman"/>
          <w:color w:val="000000" w:themeColor="text1"/>
          <w:sz w:val="16"/>
          <w:szCs w:val="16"/>
        </w:rPr>
        <w:t xml:space="preserve">С. </w:t>
      </w:r>
      <w:proofErr w:type="gramStart"/>
      <w:r w:rsidRPr="008127F8">
        <w:rPr>
          <w:rFonts w:ascii="Times New Roman" w:hAnsi="Times New Roman"/>
          <w:color w:val="000000" w:themeColor="text1"/>
          <w:sz w:val="16"/>
          <w:szCs w:val="16"/>
        </w:rPr>
        <w:t>С .Р</w:t>
      </w:r>
      <w:proofErr w:type="gramEnd"/>
      <w:r w:rsidRPr="008127F8">
        <w:rPr>
          <w:rFonts w:ascii="Times New Roman" w:hAnsi="Times New Roman"/>
          <w:color w:val="000000" w:themeColor="text1"/>
          <w:sz w:val="16"/>
          <w:szCs w:val="16"/>
        </w:rPr>
        <w:t xml:space="preserve"> тов. ДЕМЕНТЪЕВУ:</w:t>
      </w:r>
    </w:p>
    <w:p w14:paraId="1172F8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 выпуске заводом № 135 самолетов ИЛ-2 с 15 февраля 1942 г. заводом разработан, график организации производства самолетов ИЛ-2.</w:t>
      </w:r>
    </w:p>
    <w:p w14:paraId="02A7CF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Существующий график предусматривает получение от завода № 18 в декабре 1941 г. технической документации, необходимой для организации производства и агрегатов для начала работы.</w:t>
      </w:r>
    </w:p>
    <w:p w14:paraId="7AD60E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Сроки поставки технической документа-щи и агрегатов от завода № 18 были указаны в проекте приказа НКАП.</w:t>
      </w:r>
    </w:p>
    <w:p w14:paraId="0102D4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на заводе № 135 до 20 де</w:t>
      </w:r>
      <w:r w:rsidRPr="008127F8">
        <w:rPr>
          <w:rFonts w:ascii="Times New Roman" w:hAnsi="Times New Roman"/>
          <w:color w:val="000000" w:themeColor="text1"/>
          <w:sz w:val="16"/>
          <w:szCs w:val="16"/>
        </w:rPr>
        <w:softHyphen/>
        <w:t>кабря не получен. Сроки поставки технической документации и агрегатов по целому ряду ос</w:t>
      </w:r>
      <w:r w:rsidRPr="008127F8">
        <w:rPr>
          <w:rFonts w:ascii="Times New Roman" w:hAnsi="Times New Roman"/>
          <w:color w:val="000000" w:themeColor="text1"/>
          <w:sz w:val="16"/>
          <w:szCs w:val="16"/>
        </w:rPr>
        <w:softHyphen/>
        <w:t>новных номенклатур сорваны.</w:t>
      </w:r>
    </w:p>
    <w:p w14:paraId="648C7A7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135 из-за отсутствия техничес</w:t>
      </w:r>
      <w:r w:rsidRPr="008127F8">
        <w:rPr>
          <w:rFonts w:ascii="Times New Roman" w:hAnsi="Times New Roman"/>
          <w:color w:val="000000" w:themeColor="text1"/>
          <w:sz w:val="16"/>
          <w:szCs w:val="16"/>
        </w:rPr>
        <w:softHyphen/>
        <w:t>кой документации подготовительна работ по организации производства самолетов ИЛ-2 не ведет и программу по самолетам СУ-2 не выпол</w:t>
      </w:r>
      <w:r w:rsidRPr="008127F8">
        <w:rPr>
          <w:rFonts w:ascii="Times New Roman" w:hAnsi="Times New Roman"/>
          <w:color w:val="000000" w:themeColor="text1"/>
          <w:sz w:val="16"/>
          <w:szCs w:val="16"/>
        </w:rPr>
        <w:softHyphen/>
        <w:t>няет.</w:t>
      </w:r>
    </w:p>
    <w:p w14:paraId="7C42047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принять срочные меры по ока</w:t>
      </w:r>
      <w:r w:rsidRPr="008127F8">
        <w:rPr>
          <w:rFonts w:ascii="Times New Roman" w:hAnsi="Times New Roman"/>
          <w:color w:val="000000" w:themeColor="text1"/>
          <w:sz w:val="16"/>
          <w:szCs w:val="16"/>
        </w:rPr>
        <w:softHyphen/>
        <w:t>занию помощи заводу № 135 в выполнении Поста •новления ГКО по выпуску самолетов ИЛ-2 и выполнении программы по самолетам Су-2.</w:t>
      </w:r>
    </w:p>
    <w:p w14:paraId="0BB300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Вашем решении прошу сообщить (1165,34).</w:t>
      </w:r>
    </w:p>
    <w:p w14:paraId="6D2C1C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50597E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завод № 22 сообщил в ЦАГИ письмом за №16с. В апреле 1943 г. сообщение о разрушении лонжеронов направили в отдел прочности ЦАГИ - в нем указывались номера самолетов и характер повреждений (указаны были далеко не все случаи)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F4095" w:rsidRPr="008127F8" w14:paraId="6FC2E0BC" w14:textId="77777777">
        <w:tc>
          <w:tcPr>
            <w:tcW w:w="2242" w:type="dxa"/>
            <w:tcBorders>
              <w:top w:val="single" w:sz="12" w:space="0" w:color="auto"/>
            </w:tcBorders>
          </w:tcPr>
          <w:p w14:paraId="145E62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2242" w:type="dxa"/>
            <w:tcBorders>
              <w:top w:val="single" w:sz="12" w:space="0" w:color="auto"/>
            </w:tcBorders>
          </w:tcPr>
          <w:p w14:paraId="03FC9C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Налет</w:t>
            </w:r>
          </w:p>
        </w:tc>
        <w:tc>
          <w:tcPr>
            <w:tcW w:w="2242" w:type="dxa"/>
            <w:tcBorders>
              <w:top w:val="single" w:sz="12" w:space="0" w:color="auto"/>
            </w:tcBorders>
          </w:tcPr>
          <w:p w14:paraId="0D034AC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(т)</w:t>
            </w:r>
          </w:p>
        </w:tc>
        <w:tc>
          <w:tcPr>
            <w:tcW w:w="2242" w:type="dxa"/>
            <w:tcBorders>
              <w:top w:val="single" w:sz="12" w:space="0" w:color="auto"/>
            </w:tcBorders>
          </w:tcPr>
          <w:p w14:paraId="52593E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Фигура</w:t>
            </w:r>
          </w:p>
        </w:tc>
        <w:tc>
          <w:tcPr>
            <w:tcW w:w="2242" w:type="dxa"/>
            <w:tcBorders>
              <w:top w:val="single" w:sz="12" w:space="0" w:color="auto"/>
            </w:tcBorders>
          </w:tcPr>
          <w:p w14:paraId="44B1B0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 разрушения</w:t>
            </w:r>
          </w:p>
        </w:tc>
      </w:tr>
      <w:tr w:rsidR="006F4095" w:rsidRPr="008127F8" w14:paraId="0A844247" w14:textId="77777777">
        <w:tc>
          <w:tcPr>
            <w:tcW w:w="2242" w:type="dxa"/>
          </w:tcPr>
          <w:p w14:paraId="22347E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№42055</w:t>
            </w:r>
          </w:p>
        </w:tc>
        <w:tc>
          <w:tcPr>
            <w:tcW w:w="2242" w:type="dxa"/>
          </w:tcPr>
          <w:p w14:paraId="52E834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2242" w:type="dxa"/>
          </w:tcPr>
          <w:p w14:paraId="312B4D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2242" w:type="dxa"/>
          </w:tcPr>
          <w:p w14:paraId="654C1E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вираж с горкой</w:t>
            </w:r>
          </w:p>
        </w:tc>
        <w:tc>
          <w:tcPr>
            <w:tcW w:w="2242" w:type="dxa"/>
          </w:tcPr>
          <w:p w14:paraId="343258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пояс переднего лонжерона</w:t>
            </w:r>
          </w:p>
        </w:tc>
      </w:tr>
      <w:tr w:rsidR="006F4095" w:rsidRPr="008127F8" w14:paraId="6DF065D8" w14:textId="77777777">
        <w:tc>
          <w:tcPr>
            <w:tcW w:w="2242" w:type="dxa"/>
          </w:tcPr>
          <w:p w14:paraId="0EEF66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№4214</w:t>
            </w:r>
          </w:p>
        </w:tc>
        <w:tc>
          <w:tcPr>
            <w:tcW w:w="2242" w:type="dxa"/>
          </w:tcPr>
          <w:p w14:paraId="114C505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2242" w:type="dxa"/>
          </w:tcPr>
          <w:p w14:paraId="37B3D7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w:t>
            </w:r>
          </w:p>
        </w:tc>
        <w:tc>
          <w:tcPr>
            <w:tcW w:w="2242" w:type="dxa"/>
          </w:tcPr>
          <w:p w14:paraId="095D44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гп*</w:t>
            </w:r>
          </w:p>
        </w:tc>
        <w:tc>
          <w:tcPr>
            <w:tcW w:w="2242" w:type="dxa"/>
          </w:tcPr>
          <w:p w14:paraId="5A1B8C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9621CC0" w14:textId="77777777">
        <w:tc>
          <w:tcPr>
            <w:tcW w:w="2242" w:type="dxa"/>
          </w:tcPr>
          <w:p w14:paraId="3A7FF49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№4218</w:t>
            </w:r>
          </w:p>
        </w:tc>
        <w:tc>
          <w:tcPr>
            <w:tcW w:w="2242" w:type="dxa"/>
          </w:tcPr>
          <w:p w14:paraId="59D859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2242" w:type="dxa"/>
          </w:tcPr>
          <w:p w14:paraId="5C0144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2242" w:type="dxa"/>
          </w:tcPr>
          <w:p w14:paraId="379FA4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гп</w:t>
            </w:r>
          </w:p>
        </w:tc>
        <w:tc>
          <w:tcPr>
            <w:tcW w:w="2242" w:type="dxa"/>
          </w:tcPr>
          <w:p w14:paraId="02783A5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E9B27F9" w14:textId="77777777">
        <w:tc>
          <w:tcPr>
            <w:tcW w:w="2242" w:type="dxa"/>
          </w:tcPr>
          <w:p w14:paraId="23F5DE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№4212</w:t>
            </w:r>
          </w:p>
        </w:tc>
        <w:tc>
          <w:tcPr>
            <w:tcW w:w="2242" w:type="dxa"/>
          </w:tcPr>
          <w:p w14:paraId="2A5648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w:t>
            </w:r>
          </w:p>
        </w:tc>
        <w:tc>
          <w:tcPr>
            <w:tcW w:w="2242" w:type="dxa"/>
          </w:tcPr>
          <w:p w14:paraId="4B2B84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2242" w:type="dxa"/>
          </w:tcPr>
          <w:p w14:paraId="5F8F8C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гп</w:t>
            </w:r>
          </w:p>
        </w:tc>
        <w:tc>
          <w:tcPr>
            <w:tcW w:w="2242" w:type="dxa"/>
          </w:tcPr>
          <w:p w14:paraId="20FD405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8BCF76C" w14:textId="77777777">
        <w:tc>
          <w:tcPr>
            <w:tcW w:w="2242" w:type="dxa"/>
            <w:tcBorders>
              <w:bottom w:val="single" w:sz="12" w:space="0" w:color="auto"/>
            </w:tcBorders>
          </w:tcPr>
          <w:p w14:paraId="11593C6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№42058</w:t>
            </w:r>
          </w:p>
        </w:tc>
        <w:tc>
          <w:tcPr>
            <w:tcW w:w="2242" w:type="dxa"/>
            <w:tcBorders>
              <w:bottom w:val="single" w:sz="12" w:space="0" w:color="auto"/>
            </w:tcBorders>
          </w:tcPr>
          <w:p w14:paraId="276FC1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2242" w:type="dxa"/>
            <w:tcBorders>
              <w:bottom w:val="single" w:sz="12" w:space="0" w:color="auto"/>
            </w:tcBorders>
          </w:tcPr>
          <w:p w14:paraId="05544DD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2242" w:type="dxa"/>
            <w:tcBorders>
              <w:bottom w:val="single" w:sz="12" w:space="0" w:color="auto"/>
            </w:tcBorders>
          </w:tcPr>
          <w:p w14:paraId="0E3B42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вираж 35°</w:t>
            </w:r>
          </w:p>
        </w:tc>
        <w:tc>
          <w:tcPr>
            <w:tcW w:w="2242" w:type="dxa"/>
            <w:tcBorders>
              <w:bottom w:val="single" w:sz="12" w:space="0" w:color="auto"/>
            </w:tcBorders>
          </w:tcPr>
          <w:p w14:paraId="127D37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bl>
    <w:p w14:paraId="346CE96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горизонтальный полет</w:t>
      </w:r>
    </w:p>
    <w:p w14:paraId="51425E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расследовании причин разрушений в ЦАГИ установили, что ни статическая перегрузка от увеличения веса, ни усталость материала лонжерона не могли стать причиной аварии. Так как одновременно определили партию некачественных стальных труб, поставленных на авиазавод №22, в дальней шем предлагалось производить более тщательную дефектацию получаемых материалов, в частности исследовать их с помощью магнитного дефектоскопа.</w:t>
      </w:r>
    </w:p>
    <w:p w14:paraId="7A2384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Дополнительные исследования ЗОХГСА показали, что эта сталь, работая длительное время при высоких напряжениях, склонна к усталостным разрушениям и обладает низким эксплуатационным ресурсом. На уже эксплуатируемых самолетах предлагалось произвести повсеместное усиление лонжеронов крыла и центроплана (12025).</w:t>
      </w:r>
    </w:p>
    <w:p w14:paraId="3F98ECF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8C6FD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вышло Постановление ГКО № 1094 О подготовке серийного производства самолета 103 на заводе № 22 в гор. Казани. РГАНИР, Фонд ГКО, д. 18, лл. 109-110 (11012).</w:t>
      </w:r>
    </w:p>
    <w:p w14:paraId="34E955B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68B3E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вышло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 (11982).</w:t>
      </w:r>
    </w:p>
    <w:p w14:paraId="56F5241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575D2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января 1942 года вышло Постановление ГКО N 1094</w:t>
      </w:r>
    </w:p>
    <w:p w14:paraId="6416A4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 подготовке серийного производства самолета 103 на заводе N 22 в г. Казани.</w:t>
      </w:r>
    </w:p>
    <w:p w14:paraId="53B264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Обязать Наркомавиапрома - Шахурина, директора завода N 22 - Карпова, гл. конструктора - Туполева поставить серийное производство самолета 103 на заводе N 22.</w:t>
      </w:r>
    </w:p>
    <w:p w14:paraId="7DD96C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Принять к сведению заявление гл. конструктора самолета 103 Туполева, что самолет 103 с мотором М-82 имеет преимущества перед самолетом 103 с мотором АМ-37 (по взлету, горизонтальным скоростям до высоты 3000 метров и увеличенной дальности) и имеет следующие расчетные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6F4095" w:rsidRPr="008127F8" w14:paraId="6DC1E6E2" w14:textId="77777777">
        <w:tc>
          <w:tcPr>
            <w:tcW w:w="1878" w:type="dxa"/>
            <w:tcBorders>
              <w:top w:val="single" w:sz="12" w:space="0" w:color="auto"/>
            </w:tcBorders>
          </w:tcPr>
          <w:p w14:paraId="19353F62" w14:textId="77777777" w:rsidR="00D4651C" w:rsidRPr="008127F8" w:rsidRDefault="00D4651C" w:rsidP="001E0A84">
            <w:pPr>
              <w:pStyle w:val="Iauiue"/>
              <w:jc w:val="both"/>
              <w:rPr>
                <w:color w:val="000000" w:themeColor="text1"/>
                <w:sz w:val="16"/>
                <w:szCs w:val="16"/>
              </w:rPr>
            </w:pPr>
          </w:p>
        </w:tc>
        <w:tc>
          <w:tcPr>
            <w:tcW w:w="1878" w:type="dxa"/>
            <w:tcBorders>
              <w:top w:val="single" w:sz="12" w:space="0" w:color="auto"/>
            </w:tcBorders>
          </w:tcPr>
          <w:p w14:paraId="2ACD40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мотором</w:t>
            </w:r>
          </w:p>
        </w:tc>
        <w:tc>
          <w:tcPr>
            <w:tcW w:w="1878" w:type="dxa"/>
            <w:tcBorders>
              <w:top w:val="single" w:sz="12" w:space="0" w:color="auto"/>
            </w:tcBorders>
          </w:tcPr>
          <w:p w14:paraId="1F2BC8C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мотором</w:t>
            </w:r>
          </w:p>
        </w:tc>
      </w:tr>
      <w:tr w:rsidR="006F4095" w:rsidRPr="008127F8" w14:paraId="710A1475" w14:textId="77777777">
        <w:tc>
          <w:tcPr>
            <w:tcW w:w="1878" w:type="dxa"/>
          </w:tcPr>
          <w:p w14:paraId="42C36A95" w14:textId="77777777" w:rsidR="00D4651C" w:rsidRPr="008127F8" w:rsidRDefault="00D4651C" w:rsidP="001E0A84">
            <w:pPr>
              <w:pStyle w:val="Iauiue"/>
              <w:jc w:val="both"/>
              <w:rPr>
                <w:color w:val="000000" w:themeColor="text1"/>
                <w:sz w:val="16"/>
                <w:szCs w:val="16"/>
              </w:rPr>
            </w:pPr>
          </w:p>
        </w:tc>
        <w:tc>
          <w:tcPr>
            <w:tcW w:w="1878" w:type="dxa"/>
          </w:tcPr>
          <w:p w14:paraId="5DDCA0F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М-82</w:t>
            </w:r>
          </w:p>
        </w:tc>
        <w:tc>
          <w:tcPr>
            <w:tcW w:w="1878" w:type="dxa"/>
          </w:tcPr>
          <w:p w14:paraId="7418A8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АМ-37</w:t>
            </w:r>
          </w:p>
        </w:tc>
      </w:tr>
      <w:tr w:rsidR="006F4095" w:rsidRPr="008127F8" w14:paraId="7A8E52AA" w14:textId="77777777">
        <w:tc>
          <w:tcPr>
            <w:tcW w:w="1878" w:type="dxa"/>
          </w:tcPr>
          <w:p w14:paraId="2ABFC2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скорость у земли</w:t>
            </w:r>
          </w:p>
        </w:tc>
        <w:tc>
          <w:tcPr>
            <w:tcW w:w="1878" w:type="dxa"/>
          </w:tcPr>
          <w:p w14:paraId="19A75E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470</w:t>
            </w:r>
          </w:p>
        </w:tc>
        <w:tc>
          <w:tcPr>
            <w:tcW w:w="1878" w:type="dxa"/>
          </w:tcPr>
          <w:p w14:paraId="44DA021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470</w:t>
            </w:r>
          </w:p>
        </w:tc>
      </w:tr>
      <w:tr w:rsidR="006F4095" w:rsidRPr="008127F8" w14:paraId="1D039730" w14:textId="77777777">
        <w:tc>
          <w:tcPr>
            <w:tcW w:w="1878" w:type="dxa"/>
          </w:tcPr>
          <w:p w14:paraId="410633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на 3000 м</w:t>
            </w:r>
          </w:p>
        </w:tc>
        <w:tc>
          <w:tcPr>
            <w:tcW w:w="1878" w:type="dxa"/>
          </w:tcPr>
          <w:p w14:paraId="25FA42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521</w:t>
            </w:r>
          </w:p>
        </w:tc>
        <w:tc>
          <w:tcPr>
            <w:tcW w:w="1878" w:type="dxa"/>
          </w:tcPr>
          <w:p w14:paraId="0CCC84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541</w:t>
            </w:r>
          </w:p>
        </w:tc>
      </w:tr>
      <w:tr w:rsidR="006F4095" w:rsidRPr="008127F8" w14:paraId="554C96BB" w14:textId="77777777">
        <w:tc>
          <w:tcPr>
            <w:tcW w:w="1878" w:type="dxa"/>
          </w:tcPr>
          <w:p w14:paraId="2DCBD5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на 6500 м</w:t>
            </w:r>
          </w:p>
        </w:tc>
        <w:tc>
          <w:tcPr>
            <w:tcW w:w="1878" w:type="dxa"/>
          </w:tcPr>
          <w:p w14:paraId="7FD87F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580</w:t>
            </w:r>
          </w:p>
        </w:tc>
        <w:tc>
          <w:tcPr>
            <w:tcW w:w="1878" w:type="dxa"/>
          </w:tcPr>
          <w:p w14:paraId="2FAB2F9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576</w:t>
            </w:r>
          </w:p>
        </w:tc>
      </w:tr>
      <w:tr w:rsidR="006F4095" w:rsidRPr="008127F8" w14:paraId="61159AC1" w14:textId="77777777">
        <w:tc>
          <w:tcPr>
            <w:tcW w:w="1878" w:type="dxa"/>
          </w:tcPr>
          <w:p w14:paraId="763F619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на 7000 м</w:t>
            </w:r>
          </w:p>
        </w:tc>
        <w:tc>
          <w:tcPr>
            <w:tcW w:w="1878" w:type="dxa"/>
          </w:tcPr>
          <w:p w14:paraId="788FE0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590</w:t>
            </w:r>
          </w:p>
        </w:tc>
        <w:tc>
          <w:tcPr>
            <w:tcW w:w="1878" w:type="dxa"/>
          </w:tcPr>
          <w:p w14:paraId="429173D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570</w:t>
            </w:r>
          </w:p>
        </w:tc>
      </w:tr>
      <w:tr w:rsidR="006F4095" w:rsidRPr="008127F8" w14:paraId="77398600" w14:textId="77777777">
        <w:tc>
          <w:tcPr>
            <w:tcW w:w="1878" w:type="dxa"/>
          </w:tcPr>
          <w:p w14:paraId="14DEB8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дальность max км</w:t>
            </w:r>
          </w:p>
        </w:tc>
        <w:tc>
          <w:tcPr>
            <w:tcW w:w="1878" w:type="dxa"/>
          </w:tcPr>
          <w:p w14:paraId="3F693B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1880</w:t>
            </w:r>
          </w:p>
        </w:tc>
        <w:tc>
          <w:tcPr>
            <w:tcW w:w="1878" w:type="dxa"/>
          </w:tcPr>
          <w:p w14:paraId="4321800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2400</w:t>
            </w:r>
          </w:p>
        </w:tc>
      </w:tr>
      <w:tr w:rsidR="006F4095" w:rsidRPr="008127F8" w14:paraId="28C8384B" w14:textId="77777777">
        <w:tc>
          <w:tcPr>
            <w:tcW w:w="1878" w:type="dxa"/>
          </w:tcPr>
          <w:p w14:paraId="74D698B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разбег м</w:t>
            </w:r>
          </w:p>
        </w:tc>
        <w:tc>
          <w:tcPr>
            <w:tcW w:w="1878" w:type="dxa"/>
          </w:tcPr>
          <w:p w14:paraId="67ACD7A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440</w:t>
            </w:r>
          </w:p>
        </w:tc>
        <w:tc>
          <w:tcPr>
            <w:tcW w:w="1878" w:type="dxa"/>
          </w:tcPr>
          <w:p w14:paraId="6CDB012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350</w:t>
            </w:r>
          </w:p>
        </w:tc>
      </w:tr>
      <w:tr w:rsidR="006F4095" w:rsidRPr="008127F8" w14:paraId="45BA8A0E" w14:textId="77777777">
        <w:tc>
          <w:tcPr>
            <w:tcW w:w="1878" w:type="dxa"/>
          </w:tcPr>
          <w:p w14:paraId="24246A4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полетный вес кг</w:t>
            </w:r>
          </w:p>
        </w:tc>
        <w:tc>
          <w:tcPr>
            <w:tcW w:w="1878" w:type="dxa"/>
          </w:tcPr>
          <w:p w14:paraId="240E78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10800</w:t>
            </w:r>
          </w:p>
        </w:tc>
        <w:tc>
          <w:tcPr>
            <w:tcW w:w="1878" w:type="dxa"/>
          </w:tcPr>
          <w:p w14:paraId="5A428A2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10400</w:t>
            </w:r>
          </w:p>
        </w:tc>
      </w:tr>
      <w:tr w:rsidR="006F4095" w:rsidRPr="008127F8" w14:paraId="5C49D921" w14:textId="77777777">
        <w:tc>
          <w:tcPr>
            <w:tcW w:w="1878" w:type="dxa"/>
          </w:tcPr>
          <w:p w14:paraId="204F02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взлетная мощность</w:t>
            </w:r>
          </w:p>
        </w:tc>
        <w:tc>
          <w:tcPr>
            <w:tcW w:w="1878" w:type="dxa"/>
          </w:tcPr>
          <w:p w14:paraId="120E3A5D" w14:textId="77777777" w:rsidR="00D4651C" w:rsidRPr="008127F8" w:rsidRDefault="00D4651C" w:rsidP="001E0A84">
            <w:pPr>
              <w:pStyle w:val="Iauiue"/>
              <w:jc w:val="both"/>
              <w:rPr>
                <w:color w:val="000000" w:themeColor="text1"/>
                <w:sz w:val="16"/>
                <w:szCs w:val="16"/>
              </w:rPr>
            </w:pPr>
          </w:p>
        </w:tc>
        <w:tc>
          <w:tcPr>
            <w:tcW w:w="1878" w:type="dxa"/>
          </w:tcPr>
          <w:p w14:paraId="46E1B782" w14:textId="77777777" w:rsidR="00D4651C" w:rsidRPr="008127F8" w:rsidRDefault="00D4651C" w:rsidP="001E0A84">
            <w:pPr>
              <w:pStyle w:val="Iauiue"/>
              <w:jc w:val="both"/>
              <w:rPr>
                <w:color w:val="000000" w:themeColor="text1"/>
                <w:sz w:val="16"/>
                <w:szCs w:val="16"/>
              </w:rPr>
            </w:pPr>
          </w:p>
        </w:tc>
      </w:tr>
      <w:tr w:rsidR="006F4095" w:rsidRPr="008127F8" w14:paraId="6FF3CF4C" w14:textId="77777777">
        <w:tc>
          <w:tcPr>
            <w:tcW w:w="1878" w:type="dxa"/>
          </w:tcPr>
          <w:p w14:paraId="181BBE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л.с.</w:t>
            </w:r>
          </w:p>
        </w:tc>
        <w:tc>
          <w:tcPr>
            <w:tcW w:w="1878" w:type="dxa"/>
          </w:tcPr>
          <w:p w14:paraId="7B5C83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1250-1350</w:t>
            </w:r>
          </w:p>
        </w:tc>
        <w:tc>
          <w:tcPr>
            <w:tcW w:w="1878" w:type="dxa"/>
          </w:tcPr>
          <w:p w14:paraId="27407C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1700</w:t>
            </w:r>
          </w:p>
        </w:tc>
      </w:tr>
      <w:tr w:rsidR="006F4095" w:rsidRPr="008127F8" w14:paraId="2F7A4BE5" w14:textId="77777777">
        <w:tc>
          <w:tcPr>
            <w:tcW w:w="1878" w:type="dxa"/>
          </w:tcPr>
          <w:p w14:paraId="776490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мощность на высоте</w:t>
            </w:r>
          </w:p>
        </w:tc>
        <w:tc>
          <w:tcPr>
            <w:tcW w:w="1878" w:type="dxa"/>
          </w:tcPr>
          <w:p w14:paraId="6800667C" w14:textId="77777777" w:rsidR="00D4651C" w:rsidRPr="008127F8" w:rsidRDefault="00D4651C" w:rsidP="001E0A84">
            <w:pPr>
              <w:pStyle w:val="Iauiue"/>
              <w:jc w:val="both"/>
              <w:rPr>
                <w:color w:val="000000" w:themeColor="text1"/>
                <w:sz w:val="16"/>
                <w:szCs w:val="16"/>
              </w:rPr>
            </w:pPr>
          </w:p>
        </w:tc>
        <w:tc>
          <w:tcPr>
            <w:tcW w:w="1878" w:type="dxa"/>
          </w:tcPr>
          <w:p w14:paraId="726889C5" w14:textId="77777777" w:rsidR="00D4651C" w:rsidRPr="008127F8" w:rsidRDefault="00D4651C" w:rsidP="001E0A84">
            <w:pPr>
              <w:pStyle w:val="Iauiue"/>
              <w:jc w:val="both"/>
              <w:rPr>
                <w:color w:val="000000" w:themeColor="text1"/>
                <w:sz w:val="16"/>
                <w:szCs w:val="16"/>
              </w:rPr>
            </w:pPr>
          </w:p>
        </w:tc>
      </w:tr>
      <w:tr w:rsidR="006F4095" w:rsidRPr="008127F8" w14:paraId="3465F279" w14:textId="77777777">
        <w:tc>
          <w:tcPr>
            <w:tcW w:w="1878" w:type="dxa"/>
          </w:tcPr>
          <w:p w14:paraId="01BE577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2000 м</w:t>
            </w:r>
          </w:p>
        </w:tc>
        <w:tc>
          <w:tcPr>
            <w:tcW w:w="1878" w:type="dxa"/>
          </w:tcPr>
          <w:p w14:paraId="7E2DA6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1300</w:t>
            </w:r>
          </w:p>
        </w:tc>
        <w:tc>
          <w:tcPr>
            <w:tcW w:w="1878" w:type="dxa"/>
          </w:tcPr>
          <w:p w14:paraId="385F20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1530</w:t>
            </w:r>
          </w:p>
        </w:tc>
      </w:tr>
      <w:tr w:rsidR="006F4095" w:rsidRPr="008127F8" w14:paraId="48FA196A" w14:textId="77777777">
        <w:tc>
          <w:tcPr>
            <w:tcW w:w="1878" w:type="dxa"/>
          </w:tcPr>
          <w:p w14:paraId="4613EC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мощность на высоте</w:t>
            </w:r>
          </w:p>
        </w:tc>
        <w:tc>
          <w:tcPr>
            <w:tcW w:w="1878" w:type="dxa"/>
          </w:tcPr>
          <w:p w14:paraId="05522A0D" w14:textId="77777777" w:rsidR="00D4651C" w:rsidRPr="008127F8" w:rsidRDefault="00D4651C" w:rsidP="001E0A84">
            <w:pPr>
              <w:pStyle w:val="Iauiue"/>
              <w:jc w:val="both"/>
              <w:rPr>
                <w:color w:val="000000" w:themeColor="text1"/>
                <w:sz w:val="16"/>
                <w:szCs w:val="16"/>
              </w:rPr>
            </w:pPr>
          </w:p>
        </w:tc>
        <w:tc>
          <w:tcPr>
            <w:tcW w:w="1878" w:type="dxa"/>
          </w:tcPr>
          <w:p w14:paraId="3C23EAF9" w14:textId="77777777" w:rsidR="00D4651C" w:rsidRPr="008127F8" w:rsidRDefault="00D4651C" w:rsidP="001E0A84">
            <w:pPr>
              <w:pStyle w:val="Iauiue"/>
              <w:jc w:val="both"/>
              <w:rPr>
                <w:color w:val="000000" w:themeColor="text1"/>
                <w:sz w:val="16"/>
                <w:szCs w:val="16"/>
              </w:rPr>
            </w:pPr>
          </w:p>
        </w:tc>
      </w:tr>
      <w:tr w:rsidR="006F4095" w:rsidRPr="008127F8" w14:paraId="25910BC2" w14:textId="77777777">
        <w:tc>
          <w:tcPr>
            <w:tcW w:w="1878" w:type="dxa"/>
            <w:tcBorders>
              <w:bottom w:val="single" w:sz="12" w:space="0" w:color="auto"/>
            </w:tcBorders>
          </w:tcPr>
          <w:p w14:paraId="3DADD1D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7000 м</w:t>
            </w:r>
          </w:p>
        </w:tc>
        <w:tc>
          <w:tcPr>
            <w:tcW w:w="1878" w:type="dxa"/>
            <w:tcBorders>
              <w:bottom w:val="single" w:sz="12" w:space="0" w:color="auto"/>
            </w:tcBorders>
          </w:tcPr>
          <w:p w14:paraId="5059341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1400</w:t>
            </w:r>
          </w:p>
        </w:tc>
        <w:tc>
          <w:tcPr>
            <w:tcW w:w="1878" w:type="dxa"/>
            <w:tcBorders>
              <w:bottom w:val="single" w:sz="12" w:space="0" w:color="auto"/>
            </w:tcBorders>
          </w:tcPr>
          <w:p w14:paraId="093085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1330</w:t>
            </w:r>
          </w:p>
        </w:tc>
      </w:tr>
    </w:tbl>
    <w:p w14:paraId="487CEA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Принять к постройке на заводе N 22 в г. Казани самолет 103 с мотором М-82 с следующими летно-тактическими данными самолета:</w:t>
      </w:r>
    </w:p>
    <w:p w14:paraId="7B4DF4B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а) скорость максимальная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8127F8" w14:paraId="4DE2DC55" w14:textId="77777777">
        <w:tc>
          <w:tcPr>
            <w:tcW w:w="2818" w:type="dxa"/>
            <w:tcBorders>
              <w:top w:val="single" w:sz="12" w:space="0" w:color="auto"/>
            </w:tcBorders>
          </w:tcPr>
          <w:p w14:paraId="78B30B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потолок</w:t>
            </w:r>
          </w:p>
        </w:tc>
        <w:tc>
          <w:tcPr>
            <w:tcW w:w="2818" w:type="dxa"/>
            <w:tcBorders>
              <w:top w:val="single" w:sz="12" w:space="0" w:color="auto"/>
            </w:tcBorders>
          </w:tcPr>
          <w:p w14:paraId="07BA8B2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9800 м</w:t>
            </w:r>
          </w:p>
        </w:tc>
        <w:tc>
          <w:tcPr>
            <w:tcW w:w="2818" w:type="dxa"/>
            <w:tcBorders>
              <w:top w:val="single" w:sz="12" w:space="0" w:color="auto"/>
            </w:tcBorders>
          </w:tcPr>
          <w:p w14:paraId="1A79CE0F" w14:textId="77777777" w:rsidR="00D4651C" w:rsidRPr="008127F8" w:rsidRDefault="00D4651C" w:rsidP="001E0A84">
            <w:pPr>
              <w:pStyle w:val="Iauiue"/>
              <w:jc w:val="both"/>
              <w:rPr>
                <w:color w:val="000000" w:themeColor="text1"/>
                <w:sz w:val="16"/>
                <w:szCs w:val="16"/>
              </w:rPr>
            </w:pPr>
          </w:p>
        </w:tc>
      </w:tr>
      <w:tr w:rsidR="006F4095" w:rsidRPr="008127F8" w14:paraId="762B97C1" w14:textId="77777777">
        <w:tc>
          <w:tcPr>
            <w:tcW w:w="2818" w:type="dxa"/>
          </w:tcPr>
          <w:p w14:paraId="132B7C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дальность нормальная</w:t>
            </w:r>
          </w:p>
        </w:tc>
        <w:tc>
          <w:tcPr>
            <w:tcW w:w="2818" w:type="dxa"/>
          </w:tcPr>
          <w:p w14:paraId="064B69A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1000 км</w:t>
            </w:r>
          </w:p>
        </w:tc>
        <w:tc>
          <w:tcPr>
            <w:tcW w:w="2818" w:type="dxa"/>
          </w:tcPr>
          <w:p w14:paraId="162074C0" w14:textId="77777777" w:rsidR="00D4651C" w:rsidRPr="008127F8" w:rsidRDefault="00D4651C" w:rsidP="001E0A84">
            <w:pPr>
              <w:pStyle w:val="Iauiue"/>
              <w:jc w:val="both"/>
              <w:rPr>
                <w:color w:val="000000" w:themeColor="text1"/>
                <w:sz w:val="16"/>
                <w:szCs w:val="16"/>
              </w:rPr>
            </w:pPr>
          </w:p>
        </w:tc>
      </w:tr>
      <w:tr w:rsidR="006F4095" w:rsidRPr="008127F8" w14:paraId="64DB0C77" w14:textId="77777777">
        <w:tc>
          <w:tcPr>
            <w:tcW w:w="2818" w:type="dxa"/>
          </w:tcPr>
          <w:p w14:paraId="0169B53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 дальность максимальная</w:t>
            </w:r>
          </w:p>
        </w:tc>
        <w:tc>
          <w:tcPr>
            <w:tcW w:w="2818" w:type="dxa"/>
          </w:tcPr>
          <w:p w14:paraId="4F589F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2400 км</w:t>
            </w:r>
          </w:p>
        </w:tc>
        <w:tc>
          <w:tcPr>
            <w:tcW w:w="2818" w:type="dxa"/>
          </w:tcPr>
          <w:p w14:paraId="15EA9ECE" w14:textId="77777777" w:rsidR="00D4651C" w:rsidRPr="008127F8" w:rsidRDefault="00D4651C" w:rsidP="001E0A84">
            <w:pPr>
              <w:pStyle w:val="Iauiue"/>
              <w:jc w:val="both"/>
              <w:rPr>
                <w:color w:val="000000" w:themeColor="text1"/>
                <w:sz w:val="16"/>
                <w:szCs w:val="16"/>
              </w:rPr>
            </w:pPr>
          </w:p>
        </w:tc>
      </w:tr>
      <w:tr w:rsidR="006F4095" w:rsidRPr="008127F8" w14:paraId="3A038645" w14:textId="77777777">
        <w:tc>
          <w:tcPr>
            <w:tcW w:w="2818" w:type="dxa"/>
          </w:tcPr>
          <w:p w14:paraId="427A23F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 дальность с добавочным баком</w:t>
            </w:r>
          </w:p>
        </w:tc>
        <w:tc>
          <w:tcPr>
            <w:tcW w:w="2818" w:type="dxa"/>
          </w:tcPr>
          <w:p w14:paraId="62C1D8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3000 км</w:t>
            </w:r>
          </w:p>
        </w:tc>
        <w:tc>
          <w:tcPr>
            <w:tcW w:w="2818" w:type="dxa"/>
          </w:tcPr>
          <w:p w14:paraId="4192DBB5" w14:textId="77777777" w:rsidR="00D4651C" w:rsidRPr="008127F8" w:rsidRDefault="00D4651C" w:rsidP="001E0A84">
            <w:pPr>
              <w:pStyle w:val="Iauiue"/>
              <w:jc w:val="both"/>
              <w:rPr>
                <w:color w:val="000000" w:themeColor="text1"/>
                <w:sz w:val="16"/>
                <w:szCs w:val="16"/>
              </w:rPr>
            </w:pPr>
          </w:p>
        </w:tc>
      </w:tr>
      <w:tr w:rsidR="006F4095" w:rsidRPr="008127F8" w14:paraId="3AB1E65A" w14:textId="77777777">
        <w:tc>
          <w:tcPr>
            <w:tcW w:w="2818" w:type="dxa"/>
          </w:tcPr>
          <w:p w14:paraId="3442E4E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е) бомбовая нагрузка нормальная</w:t>
            </w:r>
          </w:p>
        </w:tc>
        <w:tc>
          <w:tcPr>
            <w:tcW w:w="2818" w:type="dxa"/>
          </w:tcPr>
          <w:p w14:paraId="055431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1000 кг</w:t>
            </w:r>
          </w:p>
        </w:tc>
        <w:tc>
          <w:tcPr>
            <w:tcW w:w="2818" w:type="dxa"/>
          </w:tcPr>
          <w:p w14:paraId="09FFF049" w14:textId="77777777" w:rsidR="00D4651C" w:rsidRPr="008127F8" w:rsidRDefault="00D4651C" w:rsidP="001E0A84">
            <w:pPr>
              <w:pStyle w:val="Iauiue"/>
              <w:jc w:val="both"/>
              <w:rPr>
                <w:color w:val="000000" w:themeColor="text1"/>
                <w:sz w:val="16"/>
                <w:szCs w:val="16"/>
              </w:rPr>
            </w:pPr>
          </w:p>
        </w:tc>
      </w:tr>
      <w:tr w:rsidR="006F4095" w:rsidRPr="008127F8" w14:paraId="571C1849" w14:textId="77777777">
        <w:tc>
          <w:tcPr>
            <w:tcW w:w="2818" w:type="dxa"/>
          </w:tcPr>
          <w:p w14:paraId="55DEEF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ж) емкость бомбодержат. максим.</w:t>
            </w:r>
          </w:p>
        </w:tc>
        <w:tc>
          <w:tcPr>
            <w:tcW w:w="2818" w:type="dxa"/>
          </w:tcPr>
          <w:p w14:paraId="649B9A4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3000 кг</w:t>
            </w:r>
          </w:p>
        </w:tc>
        <w:tc>
          <w:tcPr>
            <w:tcW w:w="2818" w:type="dxa"/>
          </w:tcPr>
          <w:p w14:paraId="407B5942" w14:textId="77777777" w:rsidR="00D4651C" w:rsidRPr="008127F8" w:rsidRDefault="00D4651C" w:rsidP="001E0A84">
            <w:pPr>
              <w:pStyle w:val="Iauiue"/>
              <w:jc w:val="both"/>
              <w:rPr>
                <w:color w:val="000000" w:themeColor="text1"/>
                <w:sz w:val="16"/>
                <w:szCs w:val="16"/>
              </w:rPr>
            </w:pPr>
          </w:p>
        </w:tc>
      </w:tr>
      <w:tr w:rsidR="006F4095" w:rsidRPr="008127F8" w14:paraId="4854EC01" w14:textId="77777777">
        <w:tc>
          <w:tcPr>
            <w:tcW w:w="2818" w:type="dxa"/>
          </w:tcPr>
          <w:p w14:paraId="6BDC842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 вооружение:</w:t>
            </w:r>
          </w:p>
        </w:tc>
        <w:tc>
          <w:tcPr>
            <w:tcW w:w="2818" w:type="dxa"/>
          </w:tcPr>
          <w:p w14:paraId="05C6D1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Шкас</w:t>
            </w:r>
          </w:p>
        </w:tc>
        <w:tc>
          <w:tcPr>
            <w:tcW w:w="2818" w:type="dxa"/>
          </w:tcPr>
          <w:p w14:paraId="3772C0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шт.</w:t>
            </w:r>
          </w:p>
        </w:tc>
      </w:tr>
      <w:tr w:rsidR="006F4095" w:rsidRPr="008127F8" w14:paraId="4385FEFF" w14:textId="77777777">
        <w:tc>
          <w:tcPr>
            <w:tcW w:w="2818" w:type="dxa"/>
          </w:tcPr>
          <w:p w14:paraId="7CEEC471" w14:textId="77777777" w:rsidR="00D4651C" w:rsidRPr="008127F8" w:rsidRDefault="00D4651C" w:rsidP="001E0A84">
            <w:pPr>
              <w:pStyle w:val="Iauiue"/>
              <w:jc w:val="both"/>
              <w:rPr>
                <w:color w:val="000000" w:themeColor="text1"/>
                <w:sz w:val="16"/>
                <w:szCs w:val="16"/>
              </w:rPr>
            </w:pPr>
          </w:p>
        </w:tc>
        <w:tc>
          <w:tcPr>
            <w:tcW w:w="2818" w:type="dxa"/>
          </w:tcPr>
          <w:p w14:paraId="6EF31A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Пушки - Швак</w:t>
            </w:r>
          </w:p>
        </w:tc>
        <w:tc>
          <w:tcPr>
            <w:tcW w:w="2818" w:type="dxa"/>
          </w:tcPr>
          <w:p w14:paraId="7F4635A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шт.</w:t>
            </w:r>
          </w:p>
        </w:tc>
      </w:tr>
      <w:tr w:rsidR="006F4095" w:rsidRPr="008127F8" w14:paraId="7E431EC9" w14:textId="77777777">
        <w:tc>
          <w:tcPr>
            <w:tcW w:w="2818" w:type="dxa"/>
          </w:tcPr>
          <w:p w14:paraId="06944BB1" w14:textId="77777777" w:rsidR="00D4651C" w:rsidRPr="008127F8" w:rsidRDefault="00D4651C" w:rsidP="001E0A84">
            <w:pPr>
              <w:pStyle w:val="Iauiue"/>
              <w:jc w:val="both"/>
              <w:rPr>
                <w:color w:val="000000" w:themeColor="text1"/>
                <w:sz w:val="16"/>
                <w:szCs w:val="16"/>
              </w:rPr>
            </w:pPr>
          </w:p>
        </w:tc>
        <w:tc>
          <w:tcPr>
            <w:tcW w:w="2818" w:type="dxa"/>
          </w:tcPr>
          <w:p w14:paraId="02286A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Реактивн. орудия</w:t>
            </w:r>
          </w:p>
        </w:tc>
        <w:tc>
          <w:tcPr>
            <w:tcW w:w="2818" w:type="dxa"/>
          </w:tcPr>
          <w:p w14:paraId="638EF46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шт.</w:t>
            </w:r>
          </w:p>
        </w:tc>
      </w:tr>
      <w:tr w:rsidR="006F4095" w:rsidRPr="008127F8" w14:paraId="0A0D8877" w14:textId="77777777">
        <w:tc>
          <w:tcPr>
            <w:tcW w:w="2818" w:type="dxa"/>
          </w:tcPr>
          <w:p w14:paraId="7000F02A" w14:textId="77777777" w:rsidR="00D4651C" w:rsidRPr="008127F8" w:rsidRDefault="00D4651C" w:rsidP="001E0A84">
            <w:pPr>
              <w:pStyle w:val="Iauiue"/>
              <w:jc w:val="both"/>
              <w:rPr>
                <w:color w:val="000000" w:themeColor="text1"/>
                <w:sz w:val="16"/>
                <w:szCs w:val="16"/>
              </w:rPr>
            </w:pPr>
          </w:p>
        </w:tc>
        <w:tc>
          <w:tcPr>
            <w:tcW w:w="2818" w:type="dxa"/>
          </w:tcPr>
          <w:p w14:paraId="6F0A71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Пулеметы Шкас</w:t>
            </w:r>
          </w:p>
        </w:tc>
        <w:tc>
          <w:tcPr>
            <w:tcW w:w="2818" w:type="dxa"/>
          </w:tcPr>
          <w:p w14:paraId="7EBF40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шт.</w:t>
            </w:r>
          </w:p>
        </w:tc>
      </w:tr>
      <w:tr w:rsidR="006F4095" w:rsidRPr="008127F8" w14:paraId="7C6A4D79" w14:textId="77777777">
        <w:tc>
          <w:tcPr>
            <w:tcW w:w="2818" w:type="dxa"/>
            <w:tcBorders>
              <w:bottom w:val="single" w:sz="12" w:space="0" w:color="auto"/>
            </w:tcBorders>
          </w:tcPr>
          <w:p w14:paraId="443904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Назад</w:t>
            </w:r>
          </w:p>
        </w:tc>
        <w:tc>
          <w:tcPr>
            <w:tcW w:w="2818" w:type="dxa"/>
            <w:tcBorders>
              <w:bottom w:val="single" w:sz="12" w:space="0" w:color="auto"/>
            </w:tcBorders>
          </w:tcPr>
          <w:p w14:paraId="5A797EC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пулем. Березина</w:t>
            </w:r>
          </w:p>
        </w:tc>
        <w:tc>
          <w:tcPr>
            <w:tcW w:w="2818" w:type="dxa"/>
            <w:tcBorders>
              <w:bottom w:val="single" w:sz="12" w:space="0" w:color="auto"/>
            </w:tcBorders>
          </w:tcPr>
          <w:p w14:paraId="020106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шт.</w:t>
            </w:r>
          </w:p>
        </w:tc>
      </w:tr>
    </w:tbl>
    <w:p w14:paraId="152B1C5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К 20 января 1942 года организовать в г. Казани на заводе N 22 КБ по самолету 103. Возложить руководство этим бюро по совместительству на гл. конструктора самолета 103 Туполева.</w:t>
      </w:r>
    </w:p>
    <w:p w14:paraId="31EBDA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Туполеву выделить себе постоянных заместителей по КБ заводов NN 166 и 22.</w:t>
      </w:r>
    </w:p>
    <w:p w14:paraId="402A3B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Заводу N 166 изготовить и закончить выдачу чертежей, плазов и шаблонов заводу N 22 по имеющейся номенклатуре - к 10 февраля 1942 г.</w:t>
      </w:r>
    </w:p>
    <w:p w14:paraId="2F3DCB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Завод N 22 изготовить первые комплекты стапелей, приспособлений и инструмента до 15 апреля 1942 года.</w:t>
      </w:r>
    </w:p>
    <w:p w14:paraId="70A49E5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Запуск самолета 103 в серийное производство на заводе N 22 осуществить с 15 марта 1942 года, с запуском отдельных деталей и узлов - с 1 марта 1942 года.</w:t>
      </w:r>
    </w:p>
    <w:p w14:paraId="765AAAB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Установить, что в настоящее время завод N 22 развивает производство на полную мощность по Пе-2 и по мере внедрения в серийное производство самолетов 103, производство самолетов Пе-2 будет прекращаться7</w:t>
      </w:r>
    </w:p>
    <w:p w14:paraId="0F553E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Утвердить программу заводу N 22 по производству самолетов 103 и Пе-2 на II, III и IV кварталы 1942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F4095" w:rsidRPr="008127F8" w14:paraId="632A4759" w14:textId="77777777">
        <w:tc>
          <w:tcPr>
            <w:tcW w:w="3757" w:type="dxa"/>
            <w:tcBorders>
              <w:top w:val="single" w:sz="12" w:space="0" w:color="auto"/>
            </w:tcBorders>
          </w:tcPr>
          <w:p w14:paraId="543B2CE7" w14:textId="77777777" w:rsidR="00D4651C" w:rsidRPr="008127F8" w:rsidRDefault="00D4651C" w:rsidP="001E0A84">
            <w:pPr>
              <w:pStyle w:val="Iauiue"/>
              <w:jc w:val="both"/>
              <w:rPr>
                <w:color w:val="000000" w:themeColor="text1"/>
                <w:sz w:val="16"/>
                <w:szCs w:val="16"/>
              </w:rPr>
            </w:pPr>
          </w:p>
        </w:tc>
        <w:tc>
          <w:tcPr>
            <w:tcW w:w="3757" w:type="dxa"/>
            <w:tcBorders>
              <w:top w:val="single" w:sz="12" w:space="0" w:color="auto"/>
            </w:tcBorders>
          </w:tcPr>
          <w:p w14:paraId="7D3677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Пе-2</w:t>
            </w:r>
          </w:p>
        </w:tc>
        <w:tc>
          <w:tcPr>
            <w:tcW w:w="3757" w:type="dxa"/>
            <w:tcBorders>
              <w:top w:val="single" w:sz="12" w:space="0" w:color="auto"/>
            </w:tcBorders>
          </w:tcPr>
          <w:p w14:paraId="2D8505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103 с М-82</w:t>
            </w:r>
          </w:p>
        </w:tc>
      </w:tr>
      <w:tr w:rsidR="006F4095" w:rsidRPr="008127F8" w14:paraId="09429484" w14:textId="77777777">
        <w:tc>
          <w:tcPr>
            <w:tcW w:w="3757" w:type="dxa"/>
          </w:tcPr>
          <w:p w14:paraId="680007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апрель</w:t>
            </w:r>
          </w:p>
        </w:tc>
        <w:tc>
          <w:tcPr>
            <w:tcW w:w="3757" w:type="dxa"/>
          </w:tcPr>
          <w:p w14:paraId="6428239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3757" w:type="dxa"/>
          </w:tcPr>
          <w:p w14:paraId="72E9AA9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w:t>
            </w:r>
          </w:p>
        </w:tc>
      </w:tr>
      <w:tr w:rsidR="006F4095" w:rsidRPr="008127F8" w14:paraId="50B9C6AF" w14:textId="77777777">
        <w:tc>
          <w:tcPr>
            <w:tcW w:w="3757" w:type="dxa"/>
          </w:tcPr>
          <w:p w14:paraId="5A4832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май</w:t>
            </w:r>
          </w:p>
        </w:tc>
        <w:tc>
          <w:tcPr>
            <w:tcW w:w="3757" w:type="dxa"/>
          </w:tcPr>
          <w:p w14:paraId="1ED3465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3757" w:type="dxa"/>
          </w:tcPr>
          <w:p w14:paraId="2A3F12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w:t>
            </w:r>
          </w:p>
        </w:tc>
      </w:tr>
      <w:tr w:rsidR="006F4095" w:rsidRPr="008127F8" w14:paraId="2026EF58" w14:textId="77777777">
        <w:tc>
          <w:tcPr>
            <w:tcW w:w="3757" w:type="dxa"/>
          </w:tcPr>
          <w:p w14:paraId="020803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июнь</w:t>
            </w:r>
          </w:p>
        </w:tc>
        <w:tc>
          <w:tcPr>
            <w:tcW w:w="3757" w:type="dxa"/>
          </w:tcPr>
          <w:p w14:paraId="087B8D9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3757" w:type="dxa"/>
          </w:tcPr>
          <w:p w14:paraId="06F280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w:t>
            </w:r>
          </w:p>
        </w:tc>
      </w:tr>
      <w:tr w:rsidR="006F4095" w:rsidRPr="008127F8" w14:paraId="0195E38D" w14:textId="77777777">
        <w:tc>
          <w:tcPr>
            <w:tcW w:w="3757" w:type="dxa"/>
          </w:tcPr>
          <w:p w14:paraId="10B8C6E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июль</w:t>
            </w:r>
          </w:p>
        </w:tc>
        <w:tc>
          <w:tcPr>
            <w:tcW w:w="3757" w:type="dxa"/>
          </w:tcPr>
          <w:p w14:paraId="1BB29C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175</w:t>
            </w:r>
          </w:p>
        </w:tc>
        <w:tc>
          <w:tcPr>
            <w:tcW w:w="3757" w:type="dxa"/>
          </w:tcPr>
          <w:p w14:paraId="2E3350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w:t>
            </w:r>
          </w:p>
        </w:tc>
      </w:tr>
      <w:tr w:rsidR="006F4095" w:rsidRPr="008127F8" w14:paraId="281065DE" w14:textId="77777777">
        <w:tc>
          <w:tcPr>
            <w:tcW w:w="3757" w:type="dxa"/>
          </w:tcPr>
          <w:p w14:paraId="6E47385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август</w:t>
            </w:r>
          </w:p>
        </w:tc>
        <w:tc>
          <w:tcPr>
            <w:tcW w:w="3757" w:type="dxa"/>
          </w:tcPr>
          <w:p w14:paraId="3D4A451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125</w:t>
            </w:r>
          </w:p>
        </w:tc>
        <w:tc>
          <w:tcPr>
            <w:tcW w:w="3757" w:type="dxa"/>
          </w:tcPr>
          <w:p w14:paraId="654877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w:t>
            </w:r>
          </w:p>
        </w:tc>
      </w:tr>
      <w:tr w:rsidR="006F4095" w:rsidRPr="008127F8" w14:paraId="525D9985" w14:textId="77777777">
        <w:tc>
          <w:tcPr>
            <w:tcW w:w="3757" w:type="dxa"/>
          </w:tcPr>
          <w:p w14:paraId="1820C6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сентябрь</w:t>
            </w:r>
          </w:p>
        </w:tc>
        <w:tc>
          <w:tcPr>
            <w:tcW w:w="3757" w:type="dxa"/>
          </w:tcPr>
          <w:p w14:paraId="3C774F1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75</w:t>
            </w:r>
          </w:p>
        </w:tc>
        <w:tc>
          <w:tcPr>
            <w:tcW w:w="3757" w:type="dxa"/>
          </w:tcPr>
          <w:p w14:paraId="4821C3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w:t>
            </w:r>
          </w:p>
        </w:tc>
      </w:tr>
      <w:tr w:rsidR="006F4095" w:rsidRPr="008127F8" w14:paraId="35142A52" w14:textId="77777777">
        <w:tc>
          <w:tcPr>
            <w:tcW w:w="3757" w:type="dxa"/>
          </w:tcPr>
          <w:p w14:paraId="6BD767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октябрь</w:t>
            </w:r>
          </w:p>
        </w:tc>
        <w:tc>
          <w:tcPr>
            <w:tcW w:w="3757" w:type="dxa"/>
          </w:tcPr>
          <w:p w14:paraId="41BB869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3757" w:type="dxa"/>
          </w:tcPr>
          <w:p w14:paraId="5226C9A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70</w:t>
            </w:r>
          </w:p>
        </w:tc>
      </w:tr>
      <w:tr w:rsidR="006F4095" w:rsidRPr="008127F8" w14:paraId="6DF7F46D" w14:textId="77777777">
        <w:tc>
          <w:tcPr>
            <w:tcW w:w="3757" w:type="dxa"/>
          </w:tcPr>
          <w:p w14:paraId="61A86D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ноябрь</w:t>
            </w:r>
          </w:p>
        </w:tc>
        <w:tc>
          <w:tcPr>
            <w:tcW w:w="3757" w:type="dxa"/>
          </w:tcPr>
          <w:p w14:paraId="1574D5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w:t>
            </w:r>
          </w:p>
        </w:tc>
        <w:tc>
          <w:tcPr>
            <w:tcW w:w="3757" w:type="dxa"/>
          </w:tcPr>
          <w:p w14:paraId="3E4166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120</w:t>
            </w:r>
          </w:p>
        </w:tc>
      </w:tr>
      <w:tr w:rsidR="00687FE2" w:rsidRPr="008127F8" w14:paraId="442282A9" w14:textId="77777777">
        <w:tc>
          <w:tcPr>
            <w:tcW w:w="3757" w:type="dxa"/>
            <w:tcBorders>
              <w:bottom w:val="single" w:sz="12" w:space="0" w:color="auto"/>
            </w:tcBorders>
          </w:tcPr>
          <w:p w14:paraId="5C68DD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декабрь</w:t>
            </w:r>
          </w:p>
        </w:tc>
        <w:tc>
          <w:tcPr>
            <w:tcW w:w="3757" w:type="dxa"/>
            <w:tcBorders>
              <w:bottom w:val="single" w:sz="12" w:space="0" w:color="auto"/>
            </w:tcBorders>
          </w:tcPr>
          <w:p w14:paraId="3E10EF9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w:t>
            </w:r>
          </w:p>
        </w:tc>
        <w:tc>
          <w:tcPr>
            <w:tcW w:w="3757" w:type="dxa"/>
            <w:tcBorders>
              <w:bottom w:val="single" w:sz="12" w:space="0" w:color="auto"/>
            </w:tcBorders>
          </w:tcPr>
          <w:p w14:paraId="2AC4349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w:t>
            </w:r>
            <w:proofErr w:type="gramStart"/>
            <w:r w:rsidRPr="008127F8">
              <w:rPr>
                <w:color w:val="000000" w:themeColor="text1"/>
                <w:sz w:val="16"/>
                <w:szCs w:val="16"/>
              </w:rPr>
              <w:t>...(</w:t>
            </w:r>
            <w:proofErr w:type="gramEnd"/>
            <w:r w:rsidRPr="008127F8">
              <w:rPr>
                <w:color w:val="000000" w:themeColor="text1"/>
                <w:sz w:val="16"/>
                <w:szCs w:val="16"/>
              </w:rPr>
              <w:t>2760,87)</w:t>
            </w:r>
          </w:p>
        </w:tc>
      </w:tr>
    </w:tbl>
    <w:p w14:paraId="7AFB6642" w14:textId="77777777" w:rsidR="00D4651C" w:rsidRPr="008127F8" w:rsidRDefault="00D4651C" w:rsidP="001E0A84">
      <w:pPr>
        <w:pStyle w:val="Iauiue"/>
        <w:jc w:val="both"/>
        <w:rPr>
          <w:color w:val="000000" w:themeColor="text1"/>
          <w:sz w:val="16"/>
          <w:szCs w:val="16"/>
        </w:rPr>
      </w:pPr>
    </w:p>
    <w:p w14:paraId="198EDC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года ГКО своим постановлением обязал руководство завода № 22 в Казани организовать серийное производство самолета "103-В". На основании приказа НКАП от 6 января 1942 года заводу № 22 предписывалось в июне сдать заказчику первые три Ту-2 и, постепенно наращивая объемы производства, в ноябре полностью сменить на стапелях пикирующий бомбардировщик Пе-2. В декабре предприятие должно было выпустить 150 Ту-2. При этом Туполев должен был возглавить КБ и постоянно находиться на заводе № 22. Однако спустя два месяца данное постановление было отменено, а завод № 22 продолжил выпуск Пе-2 (12035).</w:t>
      </w:r>
    </w:p>
    <w:p w14:paraId="18A0867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153ED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опасения военных в надежности сложной "начинки" самолета 103 были подкреплена постановлением ГКО, которое предлагало сократить применение электрических и гидравлических механизмов, но "без ухудшения боевых и летно-тактических качеств самолета". Поэтому Туполеву пришлось пойти на частичную замену их приводом вручную.</w:t>
      </w:r>
    </w:p>
    <w:p w14:paraId="6BB834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Серийные машины вооружались пятью пулеметами ШКАС (в том числе двумя неподвижными в носу), двумя пушками ШВАК и десятью реактивными снарядами РС-132 по типу опытного самолета "103Б".</w:t>
      </w:r>
    </w:p>
    <w:p w14:paraId="14CD81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нового комплекта рабочих чертежей завершили к концу января 1942 г. Пришлось заменить около 1500 листов документации. Теперь можно было развертывать производство новых бомбардировщиков. Это делалось в труднейших условиях: на недостроенном заводе, при постоянной нехватке сырья, полуфабрикатов и комплектующего оборудования. С большими перебоями поступали дюралюминиевые лист и профили, колеса, броневые спинки и плиты, шланги для гидросистемы (11988).</w:t>
      </w:r>
    </w:p>
    <w:p w14:paraId="2AFFF29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4E6D8FD"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января 1942 г. вышло Постановление ГКО № 1094сс «О подготовке серийного производства самолета 103 на заводе № 22 в г. Казани». Им предусматривалось сокращение выпуска Пе-2 на заводе с 200 в месяц в апреле-июне 1942 г. до </w:t>
      </w:r>
      <w:proofErr w:type="gramStart"/>
      <w:r w:rsidRPr="008A2E5A">
        <w:rPr>
          <w:rFonts w:ascii="Times New Roman" w:hAnsi="Times New Roman"/>
          <w:color w:val="0070C0"/>
          <w:sz w:val="16"/>
          <w:szCs w:val="16"/>
        </w:rPr>
        <w:t>50</w:t>
      </w:r>
      <w:proofErr w:type="gramEnd"/>
      <w:r w:rsidRPr="008A2E5A">
        <w:rPr>
          <w:rFonts w:ascii="Times New Roman" w:hAnsi="Times New Roman"/>
          <w:color w:val="0070C0"/>
          <w:sz w:val="16"/>
          <w:szCs w:val="16"/>
        </w:rPr>
        <w:t xml:space="preserve"> а октябре и прекращение выпуска с ноября в пользу самолета Ту-2.</w:t>
      </w:r>
    </w:p>
    <w:p w14:paraId="471F2113"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января 1942 г. во исполнение Постановления ГКО № 1094сс вышел приказ НКАП № 15сс (23570).</w:t>
      </w:r>
    </w:p>
    <w:p w14:paraId="1044B477" w14:textId="77777777" w:rsidR="000F2D49" w:rsidRPr="008A2E5A" w:rsidRDefault="000F2D49" w:rsidP="000F2D49">
      <w:pPr>
        <w:spacing w:after="0" w:line="240" w:lineRule="auto"/>
        <w:jc w:val="both"/>
        <w:rPr>
          <w:rFonts w:ascii="Times New Roman" w:hAnsi="Times New Roman"/>
          <w:color w:val="0070C0"/>
          <w:sz w:val="16"/>
          <w:szCs w:val="16"/>
        </w:rPr>
      </w:pPr>
    </w:p>
    <w:p w14:paraId="380B63F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января 1942 НКАП актом оформил приемку завода 125 в Подольске, созданного на базе эвакуированного в Куйбышев 207 им. Орджоникидзе и завод начал работать (1685,16).</w:t>
      </w:r>
    </w:p>
    <w:p w14:paraId="280739B9" w14:textId="77777777" w:rsidR="00D4651C" w:rsidRPr="008127F8" w:rsidRDefault="00D4651C" w:rsidP="001E0A84">
      <w:pPr>
        <w:pStyle w:val="Iauiue"/>
        <w:jc w:val="both"/>
        <w:rPr>
          <w:color w:val="000000" w:themeColor="text1"/>
          <w:sz w:val="16"/>
          <w:szCs w:val="16"/>
        </w:rPr>
      </w:pPr>
    </w:p>
    <w:p w14:paraId="383E48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авиамастерским, кото</w:t>
      </w:r>
      <w:r w:rsidRPr="008127F8">
        <w:rPr>
          <w:rFonts w:ascii="Times New Roman" w:hAnsi="Times New Roman"/>
          <w:color w:val="000000" w:themeColor="text1"/>
          <w:sz w:val="16"/>
          <w:szCs w:val="16"/>
        </w:rPr>
        <w:softHyphen/>
        <w:t>рые возникли на базе эвакуированного завода № 167 в Кунцево поручили выполнить работу по лыжному шасси МИГ-3. Учитывался большой опыт, накопленный предприятием при проведении аналогичных работ в конце 30-х годов. От директора вновь созданного за</w:t>
      </w:r>
      <w:r w:rsidRPr="008127F8">
        <w:rPr>
          <w:rFonts w:ascii="Times New Roman" w:hAnsi="Times New Roman"/>
          <w:color w:val="000000" w:themeColor="text1"/>
          <w:sz w:val="16"/>
          <w:szCs w:val="16"/>
        </w:rPr>
        <w:softHyphen/>
        <w:t>вода № 164 потребовали создать небольшое КБ и «немедленно доработать авиалыжи к МиГ—3, орга</w:t>
      </w:r>
      <w:r w:rsidRPr="008127F8">
        <w:rPr>
          <w:rFonts w:ascii="Times New Roman" w:hAnsi="Times New Roman"/>
          <w:color w:val="000000" w:themeColor="text1"/>
          <w:sz w:val="16"/>
          <w:szCs w:val="16"/>
        </w:rPr>
        <w:softHyphen/>
        <w:t>низовать выезд на фронт и проверить эксплуатацию лыж в частях ВВС фронта». И снова особых успехов добиться не удалось, ре</w:t>
      </w:r>
      <w:r w:rsidRPr="008127F8">
        <w:rPr>
          <w:rFonts w:ascii="Times New Roman" w:hAnsi="Times New Roman"/>
          <w:color w:val="000000" w:themeColor="text1"/>
          <w:sz w:val="16"/>
          <w:szCs w:val="16"/>
        </w:rPr>
        <w:softHyphen/>
        <w:t>ально лыжи начали устанавливать на МиГ—3 только в конце зимы. Плохо работал механизм уборки лыж в полете, полозы недостаточно плотно прилегали к фюзеляжу при уборке, а также как бы «присасыва</w:t>
      </w:r>
      <w:r w:rsidRPr="008127F8">
        <w:rPr>
          <w:rFonts w:ascii="Times New Roman" w:hAnsi="Times New Roman"/>
          <w:color w:val="000000" w:themeColor="text1"/>
          <w:sz w:val="16"/>
          <w:szCs w:val="16"/>
        </w:rPr>
        <w:softHyphen/>
        <w:t>лись» к снегу на стоянке — сдвинуть самолет с места удавалось лишь дружными усилиями всего техсостава (9984).</w:t>
      </w:r>
    </w:p>
    <w:p w14:paraId="4861A5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52664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по приказу НКАП № 10с на площадке завода № 167 для разработки и производства авиационных лыж был вновь образован Завод № 164 НКАП /ст. Кунцево Московской обл./.</w:t>
      </w:r>
    </w:p>
    <w:p w14:paraId="0CDE54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778с от 29.12.1943 г. завод с 1.01.1944 г. передан из 6ГУ в 11ГУ для производства спецоборудования для КБ и НИИ НКАП.</w:t>
      </w:r>
    </w:p>
    <w:p w14:paraId="484ACB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Планировалось организовать на заводе выпуск планера А-2 конструкции </w:t>
      </w:r>
      <w:r w:rsidRPr="008127F8">
        <w:rPr>
          <w:rFonts w:ascii="Times New Roman" w:hAnsi="Times New Roman"/>
          <w:color w:val="000000" w:themeColor="text1"/>
          <w:sz w:val="16"/>
          <w:szCs w:val="16"/>
          <w:lang w:val="en-US"/>
        </w:rPr>
        <w:t>O</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Антонова по документации завода № 273. В 1946 г. завод передан в МВС.</w:t>
      </w:r>
    </w:p>
    <w:p w14:paraId="787BBB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(01.1942-01.1946 г.-)- Н.Д. Андреев.</w:t>
      </w:r>
    </w:p>
    <w:p w14:paraId="3DC291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(01.1942-09.1943 г.)- Н.И. Жохов.</w:t>
      </w:r>
    </w:p>
    <w:p w14:paraId="6C5777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лыжи: для самолета «302» (1942), для Ще-2 (-1946).</w:t>
      </w:r>
    </w:p>
    <w:p w14:paraId="728ED9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ОКБ-164 НКАП /ст. Кунцево Московской обл./</w:t>
      </w:r>
    </w:p>
    <w:p w14:paraId="6D3B42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при заводе в составе 20 чел. начало действовать с образованием завода. Авиационные лыжи для МиГ-3, Пе-2, Ил-2, Су-2, ПС-84.</w:t>
      </w:r>
    </w:p>
    <w:p w14:paraId="1583F4F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586с от 23.09.1943 г. лыжное ОКБ-164 в полном составе влито в состав ОКБ завода № 219 НКАП для концентрации работ по взлетно-посадочным устройствам самолетов.</w:t>
      </w:r>
    </w:p>
    <w:p w14:paraId="025A54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(01.1942-09.1943 г.)- Н.И. Жохов (затем- зам. гл. конструктора ОКБ завода № 219) (10982).</w:t>
      </w:r>
    </w:p>
    <w:p w14:paraId="5E76A303"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085886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по приказу № 10с на площадке эвакуированного завода № 167 НКАП в Кунцево образован завод № 164 НКАП для разработки и производства авиационных лыж (11982).</w:t>
      </w:r>
    </w:p>
    <w:p w14:paraId="47206642" w14:textId="77777777" w:rsidR="00D4651C" w:rsidRPr="008127F8" w:rsidRDefault="00D4651C" w:rsidP="001E0A84">
      <w:pPr>
        <w:pStyle w:val="Iauiue"/>
        <w:jc w:val="both"/>
        <w:rPr>
          <w:iCs/>
          <w:color w:val="000000" w:themeColor="text1"/>
          <w:sz w:val="16"/>
          <w:szCs w:val="16"/>
        </w:rPr>
      </w:pPr>
    </w:p>
    <w:p w14:paraId="40FFB9C2" w14:textId="77777777" w:rsidR="00F85907" w:rsidRPr="008127F8" w:rsidRDefault="00F859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в состав СКБ (серийного) з-да 26 был включен отдел главного конструктора завода № 384 (19705).</w:t>
      </w:r>
    </w:p>
    <w:p w14:paraId="2D8621C4" w14:textId="77777777" w:rsidR="00F85907" w:rsidRPr="008127F8" w:rsidRDefault="00F85907" w:rsidP="001E0A84">
      <w:pPr>
        <w:spacing w:after="0" w:line="240" w:lineRule="auto"/>
        <w:jc w:val="both"/>
        <w:rPr>
          <w:rFonts w:ascii="Times New Roman" w:hAnsi="Times New Roman"/>
          <w:color w:val="000000" w:themeColor="text1"/>
          <w:sz w:val="16"/>
          <w:szCs w:val="16"/>
        </w:rPr>
      </w:pPr>
    </w:p>
    <w:p w14:paraId="0DCA315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20D2FDD1" w14:textId="77777777" w:rsidR="00D4651C" w:rsidRPr="008127F8" w:rsidRDefault="00D4651C" w:rsidP="001E0A84">
      <w:pPr>
        <w:pStyle w:val="Iauiue"/>
        <w:jc w:val="both"/>
        <w:rPr>
          <w:iCs/>
          <w:color w:val="000000" w:themeColor="text1"/>
          <w:sz w:val="16"/>
          <w:szCs w:val="16"/>
        </w:rPr>
      </w:pPr>
    </w:p>
    <w:p w14:paraId="59600B66" w14:textId="77777777" w:rsidR="00B5001C" w:rsidRPr="008127F8" w:rsidRDefault="00B5001C"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3 января 1942 года на Ижорском заводе состоялось техническое совещание, в ходе которого были рассмотрены технические проекты установки 85-мм зенитной пушки на базу Т-34. В качестве руководителя разработки выступал Ф. Ф. Петров. Согласно требованиям, установка должна была иметь круговой сектор обстрела с углами </w:t>
      </w:r>
      <w:r w:rsidRPr="008127F8">
        <w:rPr>
          <w:color w:val="000000" w:themeColor="text1"/>
          <w:sz w:val="16"/>
          <w:szCs w:val="16"/>
        </w:rPr>
        <w:lastRenderedPageBreak/>
        <w:t>вертикальной наводки в пределах от −8 до +30 градусов. Боекомплект, согласно требованиям, должен был включать от 30 до 40 снарядов. Одним из пунктов требований являлся запрет на внесение изменений в конструкцию базы Т-34.</w:t>
      </w:r>
    </w:p>
    <w:p w14:paraId="54A2250A" w14:textId="77777777" w:rsidR="00B5001C" w:rsidRPr="008127F8" w:rsidRDefault="00B5001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Конструкторский коллектив предложил сразу два варианта истребителя танков. Первый из них предполагал много изменений в конструкции орудия с использованием наработок по 122-мм гаубице М-30 и 85-мм дивизионной пушке У-10. Второй вариант оснащался 85-мм зенитной пушкой обр.1939 года с минимумом изменений, но при этом башня получалась заметно больше. Для обоих проектов предлагалось увеличить орудийный расчёт до 3 человек. Рассмотрев проект, комиссия решила, что оба проекта удовлетворяют техническому заданию. Конструкторское бюро УЗТМ считало наиболее верным размещение моторного отделения в передней части корпуса, но поскольку на изменение конструкции шасси наложили запрет, предложенные варианты признали наиболее подходящими. Комиссия предложила изготовить по одному образцу каждого варианта (15615).</w:t>
      </w:r>
    </w:p>
    <w:p w14:paraId="6B73DA6E" w14:textId="77777777" w:rsidR="00B5001C" w:rsidRPr="008127F8" w:rsidRDefault="00B5001C" w:rsidP="001E0A84">
      <w:pPr>
        <w:pStyle w:val="af"/>
        <w:shd w:val="clear" w:color="auto" w:fill="FFFFFF"/>
        <w:spacing w:before="0" w:after="0"/>
        <w:jc w:val="both"/>
        <w:rPr>
          <w:color w:val="000000" w:themeColor="text1"/>
          <w:sz w:val="16"/>
          <w:szCs w:val="16"/>
        </w:rPr>
      </w:pPr>
    </w:p>
    <w:p w14:paraId="568F9A15" w14:textId="77777777" w:rsidR="00BD62A4" w:rsidRPr="008127F8" w:rsidRDefault="00BD62A4"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 января 1942 года на Ижорском заводе в Свердловске состоялось техническое совещание, в ходе которого были рассмотрены технические проекты установки 85-мм зенитной пушки на базу Т-34. В качестве руководителя разработки выступал Ф. Ф. Петров. Согласно требованиям, установка должна была иметь круговой сектор обстрела с углами вертикальной наводки в пределах от −8 до +30 градусов. Боекомплект, согласно требованиям, должен был включать от 30 до 40 снарядов. Одним из пунктов требований являлся запрет на внесение изменений в конструкцию базы Т-34.</w:t>
      </w:r>
    </w:p>
    <w:p w14:paraId="5E16F5AA" w14:textId="77777777" w:rsidR="00BD62A4" w:rsidRPr="008127F8" w:rsidRDefault="00BD62A4"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Конструкторский коллектив предложил сразу два варианта истребителя танков. Первый из них предполагал много изменений в конструкции орудия с использованием наработок по 122-мм гаубице М-30 и 85-мм дивизионной пушке У-10. Второй вариант оснащался 85-мм зенитной пушкой обр. 1939 года с минимумом изменений, но при этом башня получалась заметно больше. Для обоих проектов предлагалось увеличить орудийный расчёт до 3 человек. Рассмотрев проект, комиссия решила, что оба проекта удовлетворяют техническому заданию. Конструкторское бюро УЗТМ считало наиболее верным размещение моторного отделения в передней части корпуса, но поскольку на изменение конструкции шасси наложили запрет, предложенные варианты признали наиболее подходящими. Комиссия предложила изготовить по одному образцу каждого варианта (17641).</w:t>
      </w:r>
    </w:p>
    <w:p w14:paraId="31DB5306" w14:textId="77777777" w:rsidR="00BD62A4" w:rsidRPr="008127F8" w:rsidRDefault="00BD62A4" w:rsidP="001E0A84">
      <w:pPr>
        <w:pStyle w:val="12a"/>
        <w:shd w:val="clear" w:color="auto" w:fill="auto"/>
        <w:spacing w:after="0" w:line="240" w:lineRule="auto"/>
        <w:jc w:val="both"/>
        <w:rPr>
          <w:color w:val="000000" w:themeColor="text1"/>
          <w:sz w:val="16"/>
          <w:szCs w:val="16"/>
        </w:rPr>
      </w:pPr>
    </w:p>
    <w:p w14:paraId="460CE5F8"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 января 1942 года завод №183 сообщил, что экранировку должна была получить только носовая часть корпуса. Улучшение защиты башни осуществлялось путём увеличения толщины её брони до 60 мм. С учётом того, что башня была литой, а толщина 52 мм соответствовала катаной броне толщиной 45 мм, получалось, что уровень защиты такой башни оказывался ниже требуемого. При этом фактически башни так и продолжали лить с толщиной стенок 52 мм (18883).</w:t>
      </w:r>
    </w:p>
    <w:p w14:paraId="77DF3E4C"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p>
    <w:p w14:paraId="1BEE0C15" w14:textId="77777777" w:rsidR="0032416F" w:rsidRPr="008127F8" w:rsidRDefault="0032416F"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3 января 1942 года, когда был рассмотрен предварительный вариант проекта истребителя танков, он существовал в двух вариантах. Дело в том, что составители требований из ГАУ КА явно не понимали всю неоднозначность задания. С одной стороны, они хотели ставить орудие без изменений, а с другой, получить угол возвышения 30 градусов. Простое наложение орудия на шасси Т-34 (в него тоже запрещалось вносить правки) показывало, что обеспечить требуемые параметры попросту невозможно. Поэтому появилось предложение поставить альтернативное орудие - уже упомянутую 85-мм дивизионную пушку У-10. Как раз к началу января 1942 года была изготовлена опытная батарея из четырех таких орудий. При необходимости завод №8 мог быстро организовать выпуск У-10, благо что орудие было помесью 52-К и М-30.</w:t>
      </w:r>
    </w:p>
    <w:p w14:paraId="16523EDA" w14:textId="77777777" w:rsidR="0032416F" w:rsidRPr="008127F8" w:rsidRDefault="0032416F"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Самым важным было то, что У-10 оказалась куда более подходящей для поставленной задачи. Посему первый, наиболее приоритетный для Ижорского Завода вариант подразумевал использование У-10 как базы для орудийной установки. Именно он позже именовался как У-20. То, что захотели в ГАУ КА, являлось вторым вариантом. Изначально оба варианта имели расчет боевого отделения из двух человек и максимальный угол возвышения 15 градусов. На совещании 3 января 1942 года было дано указание увеличить расчет до трех человек, оборудовать платформу под размещение не менее 20 патронов калибра 85 мм (по проекту изначально их было 10 штук), а хвостовую часть рубки увеличить. Оба проекта отличались сильным выносом ствола орудия вперед, но в виду требований о неизменности шасси Т-34 переделать его они не могли. Кстати говоря, в Свердловске высказывали мысль о переносе моторного отделения вперед, то есть фактически там тоже пришли к концепции А-46. Но к началу 1942 года АТ-42 уже давно скончался, при этом ГАУ КА выдвигало очень жесткие требования по унификации. Посему в Свердловске исходили из того, что есть (20877).</w:t>
      </w:r>
    </w:p>
    <w:p w14:paraId="6C41E4AB" w14:textId="77777777" w:rsidR="0032416F" w:rsidRPr="008127F8" w:rsidRDefault="0032416F" w:rsidP="001E0A84">
      <w:pPr>
        <w:pStyle w:val="article-renderblock"/>
        <w:shd w:val="clear" w:color="auto" w:fill="FFFFFF"/>
        <w:spacing w:before="0" w:beforeAutospacing="0" w:after="0" w:afterAutospacing="0"/>
        <w:jc w:val="both"/>
        <w:rPr>
          <w:color w:val="000000" w:themeColor="text1"/>
          <w:sz w:val="16"/>
          <w:szCs w:val="16"/>
        </w:rPr>
      </w:pPr>
    </w:p>
    <w:p w14:paraId="4A65D654" w14:textId="77777777" w:rsidR="00BD62A4" w:rsidRPr="008127F8" w:rsidRDefault="00BD62A4"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 января ГАЗ собрал первый корпус Т-60 с экранировкой (всего же за январь их было собрано 7 штук), а 29 числа — первый корпус с утолщённой броней (17672).</w:t>
      </w:r>
    </w:p>
    <w:p w14:paraId="3FDC43EF" w14:textId="77777777" w:rsidR="00BD62A4" w:rsidRPr="008127F8" w:rsidRDefault="00BD62A4" w:rsidP="001E0A84">
      <w:pPr>
        <w:pStyle w:val="12a"/>
        <w:shd w:val="clear" w:color="auto" w:fill="auto"/>
        <w:spacing w:after="0" w:line="240" w:lineRule="auto"/>
        <w:jc w:val="both"/>
        <w:rPr>
          <w:color w:val="000000" w:themeColor="text1"/>
          <w:sz w:val="16"/>
          <w:szCs w:val="16"/>
        </w:rPr>
      </w:pPr>
    </w:p>
    <w:p w14:paraId="0027057D" w14:textId="77777777" w:rsidR="00B5001C" w:rsidRPr="008127F8" w:rsidRDefault="00B500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января 1942 года проект установки, получившей обозначение У-20 был рассмотрен руководством УЗТМ. Вел тему У-20 известный конструктор орудийных систем Ф.Ф. Петров. Первый вариант У-20, о котором идет речь в данном посте, представлял собой Т-34, на котором была установлена открытая сверху башня с расчетом из 3-х человек. Толщина лобового листа башни составляла 45 мм, бортов 20 мм. Вместо 52-К в башне размещалась пушка У-10, представлявшая собой наложение 85-мм ствола 52-К на лафет 122-мм гаубицы М-30. Подобное решение позволило сократить габариты системы и получить относительно компактную конструкцию. Вместе с тем, ствол выступал перед корпусом </w:t>
      </w:r>
      <w:hyperlink r:id="rId6"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на 850 мм, это считалось большим недостатком (15644).</w:t>
      </w:r>
    </w:p>
    <w:p w14:paraId="740A41D5"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488C75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вышло постановление СНК «О прекращении эвакуации и возобновлении работы ГСЗ № 260 во Владимире». 24.02.1942 г. вышло постановление ГКО № 1345 о возврате части эвакуированного оборудования и кадров завода № 260 (Завод № 260 НКБ, Владимирский завод портативных граммофонов, п/я 334, Пермский велосипедный завод, ОАО «Велта» Росбоеприпаса /г. Владимир;  г. Молотов, 10 п/я 334 «Автомат» (1943 г.)/ /614010  г. Пермь ул. Героев Хасана, 105 тел. (3422) 68-10-08/). По приказу НКБ в 04.1942 г. на старом месте во Владимире образован завод, которому присвоено наименование ГЗ № 521. В 12.1942-09.1944 г. завод № 260 - в ведении 2ГУ НКБ. Имел обозначение «п/я 334» (1943 г.).</w:t>
      </w:r>
    </w:p>
    <w:p w14:paraId="4F8F1C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цехи (1943 г.): основные: корпуса: литейный № 7, прокатный № 6, № 1; вспомогательные: заготовительный. Количество оборудования- 856 ед.</w:t>
      </w:r>
    </w:p>
    <w:p w14:paraId="404ADF7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21.04.1944 г. вышло распоряжение ГКО № 5698 о мерах по обеспечению увеличения производства на заводе взрывателей для артснарядов.</w:t>
      </w:r>
    </w:p>
    <w:p w14:paraId="136C16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СМ СССР от 20.10.1961 г. завод определен головным по производству неконтактных взрывателей для УРВБ.</w:t>
      </w:r>
    </w:p>
    <w:p w14:paraId="34ACC0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Пермский велосипедный завод. В 2003 г. ОАО «Велта»- в ведении Росбоеприпаса.</w:t>
      </w:r>
    </w:p>
    <w:p w14:paraId="6267C0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 г.): механические взрыватели, вышибные устройства для 23- и 30-мм авиационных снарядов; ударно-дистанционные взрыватели к гранатам (ручным, для гранатометов) и капсулам огнеметов; электромеханические взрыватели для ПЛ торпед, снарядов, реактивных мин; системы контактных датчиков и предохранительно-исполнительных механизмов для УРВБ и УРВП; предконтактные взрывателыше устройства яяя ПЛ ракет; неконтактные взрыватели для УРВБ и противотанковых мин; велосипеды: дорожные, универсальные, снегокаты, велотренажеры.</w:t>
      </w:r>
    </w:p>
    <w:p w14:paraId="414836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(1943 г.): производственная- 16080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вспомогательная- 3750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0A4EEE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(09.1941 г.)- 4880 чел., (12.1942 г.)- 3191 чел.</w:t>
      </w:r>
    </w:p>
    <w:p w14:paraId="1123C4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(1933 г.-)- К.Ф. Гроднер, (1940-04.1943 г.-)- А.П. Баталин.</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Гендиректор (2000 г.)- С. Семенов.</w:t>
      </w:r>
    </w:p>
    <w:p w14:paraId="24275B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(2000 г.)- И. Кожевников.</w:t>
      </w:r>
    </w:p>
    <w:p w14:paraId="14E5D5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(ВОВ)- В.Я. Далингер.</w:t>
      </w:r>
    </w:p>
    <w:p w14:paraId="504396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(1943 г.-)- В.Ф. Маркелов. (с 1951 г. назначен гл. инженером родственного завода, а затем зам. директора по научной части крупного НИИ; на этой должности работал 27 лет). Гл. механик (04.1943 г.)- Яковлев.</w:t>
      </w:r>
    </w:p>
    <w:p w14:paraId="4BEEDD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(ВОВ)- В.Ф. Маркелов.</w:t>
      </w:r>
    </w:p>
    <w:p w14:paraId="25B300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мобилизационно-планового (04.1943 г.)- Груздев.</w:t>
      </w:r>
    </w:p>
    <w:p w14:paraId="5F258D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взрыватели: М-50, МД-5, К-20 (11982).</w:t>
      </w:r>
    </w:p>
    <w:p w14:paraId="3EBAF0C3" w14:textId="77777777" w:rsidR="00B5001C" w:rsidRPr="008127F8" w:rsidRDefault="00B5001C" w:rsidP="001E0A84">
      <w:pPr>
        <w:spacing w:after="0" w:line="240" w:lineRule="auto"/>
        <w:jc w:val="both"/>
        <w:rPr>
          <w:rFonts w:ascii="Times New Roman" w:hAnsi="Times New Roman"/>
          <w:color w:val="000000" w:themeColor="text1"/>
          <w:sz w:val="16"/>
          <w:szCs w:val="16"/>
        </w:rPr>
      </w:pPr>
    </w:p>
    <w:p w14:paraId="24B33AA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января 1942 г. вышло постановление СНК «О прекращении эвакуации и возобновлении работы ГСЗ № 260 во Владимире» (Завод № 521 НКБ, МСХМ,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п/я 50, Владимирский завод точного машиностроения «Точмаш» ММ, ПО «Точмаш» МОП, ФГУП «Владимирское ПО «Точмаш» Росбоеприпаса, ФГУП «Владимирский завод точного машиностроения» Росатома /г. Владимир Ивановской обл. п/я 50 «Игла» (-1943-44 г.)/ /600007  г. Владимир ул. Северная, 1А тел. 23-06-45/). 24.02.1942 г. вышло постановление ГКО № 1345 о возврате части эвакуированного оборудования и кадров завода № 260. По приказу НКБ в 04.1942 г. на месте эвакуированного завода № 260 НКБ во Владимире образован новый завод, которому присвоено наименование ГЗ № 521. Уже через три месяца начат выпуск боеприпасов. В 1945 г. на заводе собраны первые отечественные радиовзрыватели для авиабомб. В 08.1943- 09.1944 г. - в ведении 2ГУ. Имел обозначение «п/я 50» (1943 г.).</w:t>
      </w:r>
    </w:p>
    <w:p w14:paraId="0ADE4C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основные цехи (1943 г.): механический, термический, прессовый.</w:t>
      </w:r>
    </w:p>
    <w:p w14:paraId="0D321B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передан в ведение МСХМ. Начато производство гражданской продукции: деталей для сельхозмашин, механизмов для патефонов, ТНП; организация часового и станкостроительного производства. С 1947 г. начато освоение выпуска механических часов «Весна».</w:t>
      </w:r>
    </w:p>
    <w:p w14:paraId="5649F3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1949 г. завод передан в ведение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в 1951 г. получил наименование «предприятие п/я 50». В 1966 г. завод передан в ведение ММ и переименован во Владимирский завод точного машиностроения «Точмаш». 25.05.1977 г. завод преобразован во Владимирское ПО «Точмаш» с филиалом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Коврове.</w:t>
      </w:r>
    </w:p>
    <w:p w14:paraId="6E07BC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1959 г. начат выпуск уникального оборудования для атомной промышленности; с 1965 г.- производство автокомпонентов.</w:t>
      </w:r>
    </w:p>
    <w:p w14:paraId="39CE81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1993 г. на заводе реализуется программа конверсии, освоен выпуск 137 наименований гражданской продукции. В 1993-97 г. изготовлено уникальное оборудование для атомной энергетики Китая.</w:t>
      </w:r>
    </w:p>
    <w:p w14:paraId="423B9A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приказу МЭ № 33 от 3.02.1998 г. предприятие получило статус ФГУП.</w:t>
      </w:r>
    </w:p>
    <w:p w14:paraId="03ADF0C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радиовзрыватели и ПИМы для УРВВ, УРВГ1, артиллерийских выстрелов; технологическое оборудование для Минатома (один из двух производителей газовых центрифуг в России); автомобильное электрооборудование; станки; приборы учета расхода воды и газа; автоматы для пищевой промышленности; часы.</w:t>
      </w:r>
    </w:p>
    <w:p w14:paraId="42FAE16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2006 г. планировалось вхождение завода в центр центрифужного машиностроения «Русская центрифуга», создаваемого на базе КМЗ, завод передан в ведение Росатома.</w:t>
      </w:r>
    </w:p>
    <w:p w14:paraId="2DA50C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2009 г. завод входил в состав ОАО «Инжиниринговый центр «Русская газовая центрифуга» (РГЦ).</w:t>
      </w:r>
    </w:p>
    <w:p w14:paraId="2FEF71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(04.1943 г.): производственная- 9242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вспомогательная- 12678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0FF206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г.)- 3356 чел.</w:t>
      </w:r>
      <w:r w:rsidRPr="008127F8">
        <w:rPr>
          <w:rFonts w:ascii="Times New Roman" w:hAnsi="Times New Roman"/>
          <w:color w:val="000000" w:themeColor="text1"/>
          <w:sz w:val="16"/>
          <w:szCs w:val="16"/>
          <w:vertAlign w:val="superscript"/>
        </w:rPr>
        <w:t>132</w:t>
      </w:r>
    </w:p>
    <w:p w14:paraId="52EE98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Харицкий, (1940-е-71 г.-&gt; В.Я. Степин, (1974-75 г.-)- В.В. Егоров. Гендиректор (03.1997 г.-&gt; Ю.А. Замбии.</w:t>
      </w:r>
    </w:p>
    <w:p w14:paraId="265503E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(1940-е-64 г.-)- И.Я. Елисеев. Гл. технолог (1950 г.)- И.В. Крылов.</w:t>
      </w:r>
    </w:p>
    <w:p w14:paraId="2684B26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(-1951-70 г.-)- П.Н. Грачев.</w:t>
      </w:r>
    </w:p>
    <w:p w14:paraId="4BBC02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(1943 г.)- М.И. Лихницкий.</w:t>
      </w:r>
    </w:p>
    <w:p w14:paraId="06C4BB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ОКБ (1970 г.)- П. Г. Цыпляков.</w:t>
      </w:r>
    </w:p>
    <w:p w14:paraId="445FEA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мобилизационно-планового (04.1943 г.)- Точигин.</w:t>
      </w:r>
    </w:p>
    <w:p w14:paraId="2EB631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взрыватели:</w:t>
      </w:r>
      <w:r w:rsidRPr="008127F8">
        <w:rPr>
          <w:rFonts w:ascii="Times New Roman" w:hAnsi="Times New Roman"/>
          <w:color w:val="000000" w:themeColor="text1"/>
          <w:sz w:val="16"/>
          <w:szCs w:val="16"/>
        </w:rPr>
        <w:t xml:space="preserve"> ЭВ-11, КТМ-1, МП-82 (1943); радиовзрыватели для авиабомб (1945-), УРВВ, УРВП (2004); оптико-электронные головки коррекции для комплексов «Смельчак» и «Сантиметр»; часовые механизмы для взрывателей; газовые центрифуги, оборудование для обогащения урана</w:t>
      </w:r>
    </w:p>
    <w:p w14:paraId="1E8AC67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(1959-2000-е);</w:t>
      </w:r>
    </w:p>
    <w:p w14:paraId="4CECF2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часы:</w:t>
      </w:r>
      <w:r w:rsidRPr="008127F8">
        <w:rPr>
          <w:rFonts w:ascii="Times New Roman" w:hAnsi="Times New Roman"/>
          <w:color w:val="000000" w:themeColor="text1"/>
          <w:sz w:val="16"/>
          <w:szCs w:val="16"/>
        </w:rPr>
        <w:t xml:space="preserve"> «Весна» (1947-2004-), «Победа» (1958-);</w:t>
      </w:r>
      <w:r w:rsidRPr="008127F8">
        <w:rPr>
          <w:rFonts w:ascii="Times New Roman" w:hAnsi="Times New Roman"/>
          <w:iCs/>
          <w:color w:val="000000" w:themeColor="text1"/>
          <w:sz w:val="16"/>
          <w:szCs w:val="16"/>
        </w:rPr>
        <w:t xml:space="preserve"> станки:</w:t>
      </w:r>
      <w:r w:rsidRPr="008127F8">
        <w:rPr>
          <w:rFonts w:ascii="Times New Roman" w:hAnsi="Times New Roman"/>
          <w:color w:val="000000" w:themeColor="text1"/>
          <w:sz w:val="16"/>
          <w:szCs w:val="16"/>
        </w:rPr>
        <w:t xml:space="preserve"> фрезерные В-34, токарные В-5, В-100, Тн-12, токарно- затыловочные и шлифовальные В-41, В-88, В-175 (1950-е);</w:t>
      </w:r>
      <w:r w:rsidRPr="008127F8">
        <w:rPr>
          <w:rFonts w:ascii="Times New Roman" w:hAnsi="Times New Roman"/>
          <w:iCs/>
          <w:color w:val="000000" w:themeColor="text1"/>
          <w:sz w:val="16"/>
          <w:szCs w:val="16"/>
        </w:rPr>
        <w:t xml:space="preserve"> радиоприемники:</w:t>
      </w:r>
      <w:r w:rsidRPr="008127F8">
        <w:rPr>
          <w:rFonts w:ascii="Times New Roman" w:hAnsi="Times New Roman"/>
          <w:color w:val="000000" w:themeColor="text1"/>
          <w:sz w:val="16"/>
          <w:szCs w:val="16"/>
        </w:rPr>
        <w:t xml:space="preserve"> «Нерль» РП-205, РП-218, РПЧ-220, РП-231, РГ1-233, РП-235;</w:t>
      </w:r>
      <w:r w:rsidRPr="008127F8">
        <w:rPr>
          <w:rFonts w:ascii="Times New Roman" w:hAnsi="Times New Roman"/>
          <w:iCs/>
          <w:color w:val="000000" w:themeColor="text1"/>
          <w:sz w:val="16"/>
          <w:szCs w:val="16"/>
        </w:rPr>
        <w:t xml:space="preserve"> магнитофоны:</w:t>
      </w:r>
      <w:r w:rsidRPr="008127F8">
        <w:rPr>
          <w:rFonts w:ascii="Times New Roman" w:hAnsi="Times New Roman"/>
          <w:color w:val="000000" w:themeColor="text1"/>
          <w:sz w:val="16"/>
          <w:szCs w:val="16"/>
        </w:rPr>
        <w:t xml:space="preserve"> «Нерль-307, -310С, П-411С, ПР-321С»; магнитола «Нерль-206»; автоприборы и детали для «Москвич-412» (1965-), для ВАЗа, АЗЖ, ЗиЛа, ГАЗа, «Ижмаша» (1993-); счетчики воды и газа (1993-); генераторы аэроионов (2004).</w:t>
      </w:r>
      <w:r w:rsidRPr="008127F8">
        <w:rPr>
          <w:rFonts w:ascii="Times New Roman" w:hAnsi="Times New Roman"/>
          <w:color w:val="000000" w:themeColor="text1"/>
          <w:sz w:val="16"/>
          <w:szCs w:val="16"/>
          <w:vertAlign w:val="superscript"/>
        </w:rPr>
        <w:t>101</w:t>
      </w:r>
    </w:p>
    <w:p w14:paraId="3919BA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«Точмаш» /г. Владимир/</w:t>
      </w:r>
    </w:p>
    <w:p w14:paraId="2B02E195" w14:textId="77777777" w:rsidR="00D4651C" w:rsidRPr="008127F8" w:rsidRDefault="00D4651C" w:rsidP="001E0A84">
      <w:pPr>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Разработка и изготовление устройств и специнструмента для сращивания волоконно-оптических кабелей.</w:t>
      </w:r>
      <w:r w:rsidRPr="008127F8">
        <w:rPr>
          <w:rFonts w:ascii="Times New Roman" w:hAnsi="Times New Roman"/>
          <w:color w:val="000000" w:themeColor="text1"/>
          <w:sz w:val="16"/>
          <w:szCs w:val="16"/>
          <w:vertAlign w:val="superscript"/>
        </w:rPr>
        <w:t xml:space="preserve">101 </w:t>
      </w:r>
    </w:p>
    <w:p w14:paraId="2894E3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Ковровский филиал ПО «Точмаш», Ковровский приборостроительный завод МОП, ГУП, ОАО «Ковровский приборостроительный завод» Росбоеприпаса, ФАП /</w:t>
      </w:r>
      <w:proofErr w:type="gramStart"/>
      <w:r w:rsidRPr="008127F8">
        <w:rPr>
          <w:rFonts w:ascii="Times New Roman" w:hAnsi="Times New Roman"/>
          <w:color w:val="000000" w:themeColor="text1"/>
          <w:sz w:val="16"/>
          <w:szCs w:val="16"/>
        </w:rPr>
        <w:t>601914  г.</w:t>
      </w:r>
      <w:proofErr w:type="gramEnd"/>
      <w:r w:rsidRPr="008127F8">
        <w:rPr>
          <w:rFonts w:ascii="Times New Roman" w:hAnsi="Times New Roman"/>
          <w:color w:val="000000" w:themeColor="text1"/>
          <w:sz w:val="16"/>
          <w:szCs w:val="16"/>
        </w:rPr>
        <w:t xml:space="preserve"> Ковров Владимирской обл. ул. Комсомольская, 116/</w:t>
      </w:r>
    </w:p>
    <w:p w14:paraId="72F02A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в Коврове начал строиться в 1973 г. 25.05.1977 г. образовано Владимирское ПО «Точмаш» с филиалом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Коврове.</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В 1979 г. филиалом выпущена первая оборонная продукция. По приказу МОП в 1989 г. филиал преобразован в самостоятельный Ковровский приборостроительный завод.</w:t>
      </w:r>
    </w:p>
    <w:p w14:paraId="029402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1983 г. начата подготовка к выпуску бытовых магнитофонов. В 1985 г. организовано станочное производство.</w:t>
      </w:r>
    </w:p>
    <w:p w14:paraId="03252EC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10.07.2003 г. предприятие преобразовано в ОАО. По решению правительства № 22-р от 9.01.2004 г. и Указу Президента РФ № 1009 от 4.08.2004 г. ОАО вошло в число стратегических оборонных предприятий.</w:t>
      </w:r>
    </w:p>
    <w:p w14:paraId="448050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плетеные буксировочные тросы; плетельное оборудование для производства шнуров, фалов, оплетки электрических жгутов; запирающие устройства: замки: врезные, кодовые; фильтрующие элементы для дизельных двигателей автомобилей КамАЗ, МАЗ, ГАЗ, ЗиЛ, «Урал».</w:t>
      </w:r>
    </w:p>
    <w:p w14:paraId="099859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тесьмо-плетельная машина ТП-21-3-1 (1989-); магнитолы: «Нерль РМ-301 (1992-), -308С, - 201С, -206С» (11982).</w:t>
      </w:r>
    </w:p>
    <w:p w14:paraId="34B4F5C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D4582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вышло Постановление ГКО № 1091 О частичном восстановлении производства вооружения и боеприпасов на Тульских заводах Наркомвооружения и Наркомбоеприпасов. РГАНИР, Фонд ГКО, д. 18, лл. 101-103 (11012).</w:t>
      </w:r>
    </w:p>
    <w:p w14:paraId="0E9AED6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891BF7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3 января 1942 </w:t>
      </w:r>
      <w:proofErr w:type="gramStart"/>
      <w:r w:rsidRPr="008127F8">
        <w:rPr>
          <w:color w:val="000000" w:themeColor="text1"/>
          <w:sz w:val="16"/>
          <w:szCs w:val="16"/>
        </w:rPr>
        <w:t>года</w:t>
      </w:r>
      <w:proofErr w:type="gramEnd"/>
      <w:r w:rsidRPr="008127F8">
        <w:rPr>
          <w:color w:val="000000" w:themeColor="text1"/>
          <w:sz w:val="16"/>
          <w:szCs w:val="16"/>
        </w:rPr>
        <w:t xml:space="preserve"> Согласно постановления ГКО за № 1091сс завод № 176 приступил к восстановительным работам по монтажу оборудования основных цехов завода (9997).</w:t>
      </w:r>
    </w:p>
    <w:p w14:paraId="3A6A08AD" w14:textId="77777777" w:rsidR="00D4651C" w:rsidRPr="008127F8" w:rsidRDefault="00D4651C" w:rsidP="001E0A84">
      <w:pPr>
        <w:pStyle w:val="Iauiue"/>
        <w:jc w:val="both"/>
        <w:rPr>
          <w:color w:val="000000" w:themeColor="text1"/>
          <w:sz w:val="16"/>
          <w:szCs w:val="16"/>
        </w:rPr>
      </w:pPr>
    </w:p>
    <w:p w14:paraId="10DB98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вышло Постановление ГКО № 1092 О поставке Hаркомтанкопрому основных номенклатур электрооборудования, приборов, подшипников и цветных металлов в январе 1942 года. РГАНИР, Фонд ГКО, д. 18, лл. 104-105, 106-107 (11012).</w:t>
      </w:r>
    </w:p>
    <w:p w14:paraId="536DEE4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4EFB669"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января 1942 г. Доклад наркома танковой промышленности СССР В. А. Малышева председателю ГКО СССР И. В. Сталину об итогах работы танковой промышленности за 1941 г.</w:t>
      </w:r>
    </w:p>
    <w:p w14:paraId="5B35B4C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6663ACC"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Докладываю об итогах работы танковой промышленности за 1941 г.</w:t>
      </w:r>
    </w:p>
    <w:p w14:paraId="0AEA7689"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 выпуске танков. Всего в 1941 г. выпущено танков 6629 шт., в том числе во втором полугодии 1941 г. 4914 шт. (В 1939 г. было выпущено танков 2945 шт. и (в 1940 г. — 2789 шт.) Из общего количества 6629 танков изготовлено: танков КВ — 1370 шт., танков Т-34 — 3027 шт., танков Т-50 — 48 шт., танков Т-26 — 102 шт., танков Т-40 — 252 шт., танков Т-60 — 1830 шт. Выпуск танков по месяцам показан в таблице: |</w:t>
      </w:r>
    </w:p>
    <w:p w14:paraId="5FD211C0"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танка</w:t>
      </w:r>
      <w:r w:rsidRPr="008A2E5A">
        <w:rPr>
          <w:rFonts w:ascii="Times New Roman" w:hAnsi="Times New Roman"/>
          <w:color w:val="0070C0"/>
          <w:sz w:val="16"/>
          <w:szCs w:val="16"/>
        </w:rPr>
        <w:tab/>
        <w:t>I</w:t>
      </w:r>
      <w:r w:rsidRPr="008A2E5A">
        <w:rPr>
          <w:rFonts w:ascii="Times New Roman" w:hAnsi="Times New Roman"/>
          <w:color w:val="0070C0"/>
          <w:sz w:val="16"/>
          <w:szCs w:val="16"/>
        </w:rPr>
        <w:tab/>
        <w:t>II</w:t>
      </w:r>
      <w:r w:rsidRPr="008A2E5A">
        <w:rPr>
          <w:rFonts w:ascii="Times New Roman" w:hAnsi="Times New Roman"/>
          <w:color w:val="0070C0"/>
          <w:sz w:val="16"/>
          <w:szCs w:val="16"/>
        </w:rPr>
        <w:tab/>
        <w:t>III</w:t>
      </w:r>
      <w:r w:rsidRPr="008A2E5A">
        <w:rPr>
          <w:rFonts w:ascii="Times New Roman" w:hAnsi="Times New Roman"/>
          <w:color w:val="0070C0"/>
          <w:sz w:val="16"/>
          <w:szCs w:val="16"/>
        </w:rPr>
        <w:tab/>
        <w:t>IV</w:t>
      </w:r>
      <w:r w:rsidRPr="008A2E5A">
        <w:rPr>
          <w:rFonts w:ascii="Times New Roman" w:hAnsi="Times New Roman"/>
          <w:color w:val="0070C0"/>
          <w:sz w:val="16"/>
          <w:szCs w:val="16"/>
        </w:rPr>
        <w:tab/>
        <w:t>V</w:t>
      </w:r>
      <w:r w:rsidRPr="008A2E5A">
        <w:rPr>
          <w:rFonts w:ascii="Times New Roman" w:hAnsi="Times New Roman"/>
          <w:color w:val="0070C0"/>
          <w:sz w:val="16"/>
          <w:szCs w:val="16"/>
        </w:rPr>
        <w:tab/>
        <w:t>VI</w:t>
      </w:r>
      <w:r w:rsidRPr="008A2E5A">
        <w:rPr>
          <w:rFonts w:ascii="Times New Roman" w:hAnsi="Times New Roman"/>
          <w:color w:val="0070C0"/>
          <w:sz w:val="16"/>
          <w:szCs w:val="16"/>
        </w:rPr>
        <w:tab/>
        <w:t>VII</w:t>
      </w:r>
      <w:r w:rsidRPr="008A2E5A">
        <w:rPr>
          <w:rFonts w:ascii="Times New Roman" w:hAnsi="Times New Roman"/>
          <w:color w:val="0070C0"/>
          <w:sz w:val="16"/>
          <w:szCs w:val="16"/>
        </w:rPr>
        <w:tab/>
        <w:t>VIII</w:t>
      </w:r>
      <w:r w:rsidRPr="008A2E5A">
        <w:rPr>
          <w:rFonts w:ascii="Times New Roman" w:hAnsi="Times New Roman"/>
          <w:color w:val="0070C0"/>
          <w:sz w:val="16"/>
          <w:szCs w:val="16"/>
        </w:rPr>
        <w:tab/>
        <w:t>IX</w:t>
      </w:r>
      <w:r w:rsidRPr="008A2E5A">
        <w:rPr>
          <w:rFonts w:ascii="Times New Roman" w:hAnsi="Times New Roman"/>
          <w:color w:val="0070C0"/>
          <w:sz w:val="16"/>
          <w:szCs w:val="16"/>
        </w:rPr>
        <w:tab/>
        <w:t>X</w:t>
      </w:r>
      <w:r w:rsidRPr="008A2E5A">
        <w:rPr>
          <w:rFonts w:ascii="Times New Roman" w:hAnsi="Times New Roman"/>
          <w:color w:val="0070C0"/>
          <w:sz w:val="16"/>
          <w:szCs w:val="16"/>
        </w:rPr>
        <w:tab/>
        <w:t>XI</w:t>
      </w:r>
      <w:r w:rsidRPr="008A2E5A">
        <w:rPr>
          <w:rFonts w:ascii="Times New Roman" w:hAnsi="Times New Roman"/>
          <w:color w:val="0070C0"/>
          <w:sz w:val="16"/>
          <w:szCs w:val="16"/>
        </w:rPr>
        <w:tab/>
        <w:t>XII</w:t>
      </w:r>
      <w:r w:rsidRPr="008A2E5A">
        <w:rPr>
          <w:rFonts w:ascii="Times New Roman" w:hAnsi="Times New Roman"/>
          <w:color w:val="0070C0"/>
          <w:sz w:val="16"/>
          <w:szCs w:val="16"/>
        </w:rPr>
        <w:tab/>
        <w:t>Всего</w:t>
      </w:r>
    </w:p>
    <w:p w14:paraId="18FFE47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КВ</w:t>
      </w:r>
      <w:r w:rsidRPr="008A2E5A">
        <w:rPr>
          <w:rFonts w:ascii="Times New Roman" w:hAnsi="Times New Roman"/>
          <w:color w:val="0070C0"/>
          <w:sz w:val="16"/>
          <w:szCs w:val="16"/>
        </w:rPr>
        <w:tab/>
        <w:t>42</w:t>
      </w:r>
      <w:r w:rsidRPr="008A2E5A">
        <w:rPr>
          <w:rFonts w:ascii="Times New Roman" w:hAnsi="Times New Roman"/>
          <w:color w:val="0070C0"/>
          <w:sz w:val="16"/>
          <w:szCs w:val="16"/>
        </w:rPr>
        <w:tab/>
        <w:t>51</w:t>
      </w:r>
      <w:r w:rsidRPr="008A2E5A">
        <w:rPr>
          <w:rFonts w:ascii="Times New Roman" w:hAnsi="Times New Roman"/>
          <w:color w:val="0070C0"/>
          <w:sz w:val="16"/>
          <w:szCs w:val="16"/>
        </w:rPr>
        <w:tab/>
        <w:t>63</w:t>
      </w:r>
      <w:r w:rsidRPr="008A2E5A">
        <w:rPr>
          <w:rFonts w:ascii="Times New Roman" w:hAnsi="Times New Roman"/>
          <w:color w:val="0070C0"/>
          <w:sz w:val="16"/>
          <w:szCs w:val="16"/>
        </w:rPr>
        <w:tab/>
        <w:t>70</w:t>
      </w:r>
      <w:r w:rsidRPr="008A2E5A">
        <w:rPr>
          <w:rFonts w:ascii="Times New Roman" w:hAnsi="Times New Roman"/>
          <w:color w:val="0070C0"/>
          <w:sz w:val="16"/>
          <w:szCs w:val="16"/>
        </w:rPr>
        <w:tab/>
        <w:t>76</w:t>
      </w:r>
      <w:r w:rsidRPr="008A2E5A">
        <w:rPr>
          <w:rFonts w:ascii="Times New Roman" w:hAnsi="Times New Roman"/>
          <w:color w:val="0070C0"/>
          <w:sz w:val="16"/>
          <w:szCs w:val="16"/>
        </w:rPr>
        <w:tab/>
        <w:t>91</w:t>
      </w:r>
      <w:r w:rsidRPr="008A2E5A">
        <w:rPr>
          <w:rFonts w:ascii="Times New Roman" w:hAnsi="Times New Roman"/>
          <w:color w:val="0070C0"/>
          <w:sz w:val="16"/>
          <w:szCs w:val="16"/>
        </w:rPr>
        <w:tab/>
        <w:t>177</w:t>
      </w:r>
      <w:r w:rsidRPr="008A2E5A">
        <w:rPr>
          <w:rFonts w:ascii="Times New Roman" w:hAnsi="Times New Roman"/>
          <w:color w:val="0070C0"/>
          <w:sz w:val="16"/>
          <w:szCs w:val="16"/>
        </w:rPr>
        <w:tab/>
        <w:t>207</w:t>
      </w:r>
      <w:r w:rsidRPr="008A2E5A">
        <w:rPr>
          <w:rFonts w:ascii="Times New Roman" w:hAnsi="Times New Roman"/>
          <w:color w:val="0070C0"/>
          <w:sz w:val="16"/>
          <w:szCs w:val="16"/>
        </w:rPr>
        <w:tab/>
        <w:t>128</w:t>
      </w:r>
      <w:r w:rsidRPr="008A2E5A">
        <w:rPr>
          <w:rFonts w:ascii="Times New Roman" w:hAnsi="Times New Roman"/>
          <w:color w:val="0070C0"/>
          <w:sz w:val="16"/>
          <w:szCs w:val="16"/>
        </w:rPr>
        <w:tab/>
        <w:t>177</w:t>
      </w:r>
      <w:r w:rsidRPr="008A2E5A">
        <w:rPr>
          <w:rFonts w:ascii="Times New Roman" w:hAnsi="Times New Roman"/>
          <w:color w:val="0070C0"/>
          <w:sz w:val="16"/>
          <w:szCs w:val="16"/>
        </w:rPr>
        <w:tab/>
        <w:t>156</w:t>
      </w:r>
      <w:r w:rsidRPr="008A2E5A">
        <w:rPr>
          <w:rFonts w:ascii="Times New Roman" w:hAnsi="Times New Roman"/>
          <w:color w:val="0070C0"/>
          <w:sz w:val="16"/>
          <w:szCs w:val="16"/>
        </w:rPr>
        <w:tab/>
        <w:t>192</w:t>
      </w:r>
      <w:r w:rsidRPr="008A2E5A">
        <w:rPr>
          <w:rFonts w:ascii="Times New Roman" w:hAnsi="Times New Roman"/>
          <w:color w:val="0070C0"/>
          <w:sz w:val="16"/>
          <w:szCs w:val="16"/>
        </w:rPr>
        <w:tab/>
        <w:t>13701 2*</w:t>
      </w:r>
    </w:p>
    <w:p w14:paraId="2BED8546"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Т-34</w:t>
      </w:r>
      <w:r w:rsidRPr="008A2E5A">
        <w:rPr>
          <w:rFonts w:ascii="Times New Roman" w:hAnsi="Times New Roman"/>
          <w:color w:val="0070C0"/>
          <w:sz w:val="16"/>
          <w:szCs w:val="16"/>
        </w:rPr>
        <w:tab/>
        <w:t>165</w:t>
      </w:r>
      <w:r w:rsidRPr="008A2E5A">
        <w:rPr>
          <w:rFonts w:ascii="Times New Roman" w:hAnsi="Times New Roman"/>
          <w:color w:val="0070C0"/>
          <w:sz w:val="16"/>
          <w:szCs w:val="16"/>
        </w:rPr>
        <w:tab/>
        <w:t>125</w:t>
      </w:r>
      <w:r w:rsidRPr="008A2E5A">
        <w:rPr>
          <w:rFonts w:ascii="Times New Roman" w:hAnsi="Times New Roman"/>
          <w:color w:val="0070C0"/>
          <w:sz w:val="16"/>
          <w:szCs w:val="16"/>
        </w:rPr>
        <w:tab/>
        <w:t>170</w:t>
      </w:r>
      <w:r w:rsidRPr="008A2E5A">
        <w:rPr>
          <w:rFonts w:ascii="Times New Roman" w:hAnsi="Times New Roman"/>
          <w:color w:val="0070C0"/>
          <w:sz w:val="16"/>
          <w:szCs w:val="16"/>
        </w:rPr>
        <w:tab/>
        <w:t>203</w:t>
      </w:r>
      <w:r w:rsidRPr="008A2E5A">
        <w:rPr>
          <w:rFonts w:ascii="Times New Roman" w:hAnsi="Times New Roman"/>
          <w:color w:val="0070C0"/>
          <w:sz w:val="16"/>
          <w:szCs w:val="16"/>
        </w:rPr>
        <w:tab/>
        <w:t>228</w:t>
      </w:r>
      <w:r w:rsidRPr="008A2E5A">
        <w:rPr>
          <w:rFonts w:ascii="Times New Roman" w:hAnsi="Times New Roman"/>
          <w:color w:val="0070C0"/>
          <w:sz w:val="16"/>
          <w:szCs w:val="16"/>
        </w:rPr>
        <w:tab/>
        <w:t>246</w:t>
      </w:r>
      <w:r w:rsidRPr="008A2E5A">
        <w:rPr>
          <w:rFonts w:ascii="Times New Roman" w:hAnsi="Times New Roman"/>
          <w:color w:val="0070C0"/>
          <w:sz w:val="16"/>
          <w:szCs w:val="16"/>
        </w:rPr>
        <w:tab/>
        <w:t>318</w:t>
      </w:r>
      <w:r w:rsidRPr="008A2E5A">
        <w:rPr>
          <w:rFonts w:ascii="Times New Roman" w:hAnsi="Times New Roman"/>
          <w:color w:val="0070C0"/>
          <w:sz w:val="16"/>
          <w:szCs w:val="16"/>
        </w:rPr>
        <w:tab/>
        <w:t>405</w:t>
      </w:r>
      <w:r w:rsidRPr="008A2E5A">
        <w:rPr>
          <w:rFonts w:ascii="Times New Roman" w:hAnsi="Times New Roman"/>
          <w:color w:val="0070C0"/>
          <w:sz w:val="16"/>
          <w:szCs w:val="16"/>
        </w:rPr>
        <w:tab/>
        <w:t>390</w:t>
      </w:r>
      <w:r w:rsidRPr="008A2E5A">
        <w:rPr>
          <w:rFonts w:ascii="Times New Roman" w:hAnsi="Times New Roman"/>
          <w:color w:val="0070C0"/>
          <w:sz w:val="16"/>
          <w:szCs w:val="16"/>
        </w:rPr>
        <w:tab/>
        <w:t>174</w:t>
      </w:r>
      <w:r w:rsidRPr="008A2E5A">
        <w:rPr>
          <w:rFonts w:ascii="Times New Roman" w:hAnsi="Times New Roman"/>
          <w:color w:val="0070C0"/>
          <w:sz w:val="16"/>
          <w:szCs w:val="16"/>
        </w:rPr>
        <w:tab/>
        <w:t>256</w:t>
      </w:r>
      <w:r w:rsidRPr="008A2E5A">
        <w:rPr>
          <w:rFonts w:ascii="Times New Roman" w:hAnsi="Times New Roman"/>
          <w:color w:val="0070C0"/>
          <w:sz w:val="16"/>
          <w:szCs w:val="16"/>
        </w:rPr>
        <w:tab/>
        <w:t>355</w:t>
      </w:r>
      <w:r w:rsidRPr="008A2E5A">
        <w:rPr>
          <w:rFonts w:ascii="Times New Roman" w:hAnsi="Times New Roman"/>
          <w:color w:val="0070C0"/>
          <w:sz w:val="16"/>
          <w:szCs w:val="16"/>
        </w:rPr>
        <w:tab/>
        <w:t>30273’</w:t>
      </w:r>
    </w:p>
    <w:p w14:paraId="521E9D8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Т-50</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19</w:t>
      </w:r>
      <w:r w:rsidRPr="008A2E5A">
        <w:rPr>
          <w:rFonts w:ascii="Times New Roman" w:hAnsi="Times New Roman"/>
          <w:color w:val="0070C0"/>
          <w:sz w:val="16"/>
          <w:szCs w:val="16"/>
        </w:rPr>
        <w:tab/>
        <w:t>21</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&amp;</w:t>
      </w:r>
      <w:r w:rsidRPr="008A2E5A">
        <w:rPr>
          <w:rFonts w:ascii="Times New Roman" w:hAnsi="Times New Roman"/>
          <w:color w:val="0070C0"/>
          <w:sz w:val="16"/>
          <w:szCs w:val="16"/>
        </w:rPr>
        <w:tab/>
        <w:t>8</w:t>
      </w:r>
      <w:r w:rsidRPr="008A2E5A">
        <w:rPr>
          <w:rFonts w:ascii="Times New Roman" w:hAnsi="Times New Roman"/>
          <w:color w:val="0070C0"/>
          <w:sz w:val="16"/>
          <w:szCs w:val="16"/>
        </w:rPr>
        <w:tab/>
        <w:t>48</w:t>
      </w:r>
    </w:p>
    <w:p w14:paraId="7B8F233B"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Т-26</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w:t>
      </w:r>
      <w:r w:rsidRPr="008A2E5A">
        <w:rPr>
          <w:rFonts w:ascii="Times New Roman" w:hAnsi="Times New Roman"/>
          <w:color w:val="0070C0"/>
          <w:sz w:val="16"/>
          <w:szCs w:val="16"/>
        </w:rPr>
        <w:tab/>
      </w:r>
      <w:r w:rsidRPr="008A2E5A">
        <w:rPr>
          <w:rFonts w:ascii="Times New Roman" w:hAnsi="Times New Roman"/>
          <w:color w:val="0070C0"/>
          <w:sz w:val="16"/>
          <w:szCs w:val="16"/>
        </w:rPr>
        <w:tab/>
        <w:t>47</w:t>
      </w:r>
      <w:r w:rsidRPr="008A2E5A">
        <w:rPr>
          <w:rFonts w:ascii="Times New Roman" w:hAnsi="Times New Roman"/>
          <w:color w:val="0070C0"/>
          <w:sz w:val="16"/>
          <w:szCs w:val="16"/>
        </w:rPr>
        <w:tab/>
        <w:t>55</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w:t>
      </w:r>
      <w:r w:rsidRPr="008A2E5A">
        <w:rPr>
          <w:rFonts w:ascii="Times New Roman" w:hAnsi="Times New Roman"/>
          <w:color w:val="0070C0"/>
          <w:sz w:val="16"/>
          <w:szCs w:val="16"/>
        </w:rPr>
        <w:tab/>
      </w:r>
      <w:r w:rsidRPr="008A2E5A">
        <w:rPr>
          <w:rFonts w:ascii="Times New Roman" w:hAnsi="Times New Roman"/>
          <w:color w:val="0070C0"/>
          <w:sz w:val="16"/>
          <w:szCs w:val="16"/>
        </w:rPr>
        <w:tab/>
        <w:t>102</w:t>
      </w:r>
    </w:p>
    <w:p w14:paraId="3D4775AF"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Т-40</w:t>
      </w:r>
      <w:r w:rsidRPr="008A2E5A">
        <w:rPr>
          <w:rFonts w:ascii="Times New Roman" w:hAnsi="Times New Roman"/>
          <w:color w:val="0070C0"/>
          <w:sz w:val="16"/>
          <w:szCs w:val="16"/>
        </w:rPr>
        <w:tab/>
        <w:t>23</w:t>
      </w:r>
      <w:r w:rsidRPr="008A2E5A">
        <w:rPr>
          <w:rFonts w:ascii="Times New Roman" w:hAnsi="Times New Roman"/>
          <w:color w:val="0070C0"/>
          <w:sz w:val="16"/>
          <w:szCs w:val="16"/>
        </w:rPr>
        <w:tab/>
        <w:t>30</w:t>
      </w:r>
      <w:r w:rsidRPr="008A2E5A">
        <w:rPr>
          <w:rFonts w:ascii="Times New Roman" w:hAnsi="Times New Roman"/>
          <w:color w:val="0070C0"/>
          <w:sz w:val="16"/>
          <w:szCs w:val="16"/>
        </w:rPr>
        <w:tab/>
        <w:t>32</w:t>
      </w:r>
      <w:r w:rsidRPr="008A2E5A">
        <w:rPr>
          <w:rFonts w:ascii="Times New Roman" w:hAnsi="Times New Roman"/>
          <w:color w:val="0070C0"/>
          <w:sz w:val="16"/>
          <w:szCs w:val="16"/>
        </w:rPr>
        <w:tab/>
        <w:t>27</w:t>
      </w:r>
      <w:r w:rsidRPr="008A2E5A">
        <w:rPr>
          <w:rFonts w:ascii="Times New Roman" w:hAnsi="Times New Roman"/>
          <w:color w:val="0070C0"/>
          <w:sz w:val="16"/>
          <w:szCs w:val="16"/>
        </w:rPr>
        <w:tab/>
        <w:t>39</w:t>
      </w:r>
      <w:r w:rsidRPr="008A2E5A">
        <w:rPr>
          <w:rFonts w:ascii="Times New Roman" w:hAnsi="Times New Roman"/>
          <w:color w:val="0070C0"/>
          <w:sz w:val="16"/>
          <w:szCs w:val="16"/>
        </w:rPr>
        <w:tab/>
        <w:t>41</w:t>
      </w:r>
      <w:r w:rsidRPr="008A2E5A">
        <w:rPr>
          <w:rFonts w:ascii="Times New Roman" w:hAnsi="Times New Roman"/>
          <w:color w:val="0070C0"/>
          <w:sz w:val="16"/>
          <w:szCs w:val="16"/>
        </w:rPr>
        <w:tab/>
        <w:t>60</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LLi/5</w:t>
      </w:r>
      <w:r w:rsidRPr="008A2E5A">
        <w:rPr>
          <w:rFonts w:ascii="Times New Roman" w:hAnsi="Times New Roman"/>
          <w:color w:val="0070C0"/>
          <w:sz w:val="16"/>
          <w:szCs w:val="16"/>
        </w:rPr>
        <w:tab/>
        <w:t>252</w:t>
      </w:r>
    </w:p>
    <w:p w14:paraId="797AA019"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Т-60</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90</w:t>
      </w:r>
      <w:r w:rsidRPr="008A2E5A">
        <w:rPr>
          <w:rFonts w:ascii="Times New Roman" w:hAnsi="Times New Roman"/>
          <w:color w:val="0070C0"/>
          <w:sz w:val="16"/>
          <w:szCs w:val="16"/>
        </w:rPr>
        <w:tab/>
        <w:t>207</w:t>
      </w:r>
      <w:r w:rsidRPr="008A2E5A">
        <w:rPr>
          <w:rFonts w:ascii="Times New Roman" w:hAnsi="Times New Roman"/>
          <w:color w:val="0070C0"/>
          <w:sz w:val="16"/>
          <w:szCs w:val="16"/>
        </w:rPr>
        <w:tab/>
        <w:t>362</w:t>
      </w:r>
      <w:r w:rsidRPr="008A2E5A">
        <w:rPr>
          <w:rFonts w:ascii="Times New Roman" w:hAnsi="Times New Roman"/>
          <w:color w:val="0070C0"/>
          <w:sz w:val="16"/>
          <w:szCs w:val="16"/>
        </w:rPr>
        <w:tab/>
        <w:t>481</w:t>
      </w:r>
      <w:r w:rsidRPr="008A2E5A">
        <w:rPr>
          <w:rFonts w:ascii="Times New Roman" w:hAnsi="Times New Roman"/>
          <w:color w:val="0070C0"/>
          <w:sz w:val="16"/>
          <w:szCs w:val="16"/>
        </w:rPr>
        <w:tab/>
        <w:t>690</w:t>
      </w:r>
      <w:r w:rsidRPr="008A2E5A">
        <w:rPr>
          <w:rFonts w:ascii="Times New Roman" w:hAnsi="Times New Roman"/>
          <w:color w:val="0070C0"/>
          <w:sz w:val="16"/>
          <w:szCs w:val="16"/>
        </w:rPr>
        <w:tab/>
        <w:t>1830</w:t>
      </w:r>
    </w:p>
    <w:p w14:paraId="705CE401"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230</w:t>
      </w:r>
      <w:r w:rsidRPr="008A2E5A">
        <w:rPr>
          <w:rFonts w:ascii="Times New Roman" w:hAnsi="Times New Roman"/>
          <w:color w:val="0070C0"/>
          <w:sz w:val="16"/>
          <w:szCs w:val="16"/>
        </w:rPr>
        <w:tab/>
        <w:t>206</w:t>
      </w:r>
      <w:r w:rsidRPr="008A2E5A">
        <w:rPr>
          <w:rFonts w:ascii="Times New Roman" w:hAnsi="Times New Roman"/>
          <w:color w:val="0070C0"/>
          <w:sz w:val="16"/>
          <w:szCs w:val="16"/>
        </w:rPr>
        <w:tab/>
        <w:t>265</w:t>
      </w:r>
      <w:r w:rsidRPr="008A2E5A">
        <w:rPr>
          <w:rFonts w:ascii="Times New Roman" w:hAnsi="Times New Roman"/>
          <w:color w:val="0070C0"/>
          <w:sz w:val="16"/>
          <w:szCs w:val="16"/>
        </w:rPr>
        <w:tab/>
        <w:t>300</w:t>
      </w:r>
      <w:r w:rsidRPr="008A2E5A">
        <w:rPr>
          <w:rFonts w:ascii="Times New Roman" w:hAnsi="Times New Roman"/>
          <w:color w:val="0070C0"/>
          <w:sz w:val="16"/>
          <w:szCs w:val="16"/>
        </w:rPr>
        <w:tab/>
        <w:t>3354*</w:t>
      </w:r>
      <w:r w:rsidRPr="008A2E5A">
        <w:rPr>
          <w:rFonts w:ascii="Times New Roman" w:hAnsi="Times New Roman"/>
          <w:color w:val="0070C0"/>
          <w:sz w:val="16"/>
          <w:szCs w:val="16"/>
        </w:rPr>
        <w:tab/>
        <w:t>378</w:t>
      </w:r>
      <w:r w:rsidRPr="008A2E5A">
        <w:rPr>
          <w:rFonts w:ascii="Times New Roman" w:hAnsi="Times New Roman"/>
          <w:color w:val="0070C0"/>
          <w:sz w:val="16"/>
          <w:szCs w:val="16"/>
        </w:rPr>
        <w:tab/>
        <w:t>621</w:t>
      </w:r>
      <w:r w:rsidRPr="008A2E5A">
        <w:rPr>
          <w:rFonts w:ascii="Times New Roman" w:hAnsi="Times New Roman"/>
          <w:color w:val="0070C0"/>
          <w:sz w:val="16"/>
          <w:szCs w:val="16"/>
        </w:rPr>
        <w:tab/>
        <w:t>778</w:t>
      </w:r>
      <w:r w:rsidRPr="008A2E5A">
        <w:rPr>
          <w:rFonts w:ascii="Times New Roman" w:hAnsi="Times New Roman"/>
          <w:color w:val="0070C0"/>
          <w:sz w:val="16"/>
          <w:szCs w:val="16"/>
        </w:rPr>
        <w:tab/>
        <w:t>725</w:t>
      </w:r>
      <w:r w:rsidRPr="008A2E5A">
        <w:rPr>
          <w:rFonts w:ascii="Times New Roman" w:hAnsi="Times New Roman"/>
          <w:color w:val="0070C0"/>
          <w:sz w:val="16"/>
          <w:szCs w:val="16"/>
        </w:rPr>
        <w:tab/>
        <w:t>6535’</w:t>
      </w:r>
      <w:r w:rsidRPr="008A2E5A">
        <w:rPr>
          <w:rFonts w:ascii="Times New Roman" w:hAnsi="Times New Roman"/>
          <w:color w:val="0070C0"/>
          <w:sz w:val="16"/>
          <w:szCs w:val="16"/>
        </w:rPr>
        <w:tab/>
        <w:t>893</w:t>
      </w:r>
      <w:r w:rsidRPr="008A2E5A">
        <w:rPr>
          <w:rFonts w:ascii="Times New Roman" w:hAnsi="Times New Roman"/>
          <w:color w:val="0070C0"/>
          <w:sz w:val="16"/>
          <w:szCs w:val="16"/>
        </w:rPr>
        <w:tab/>
        <w:t>1245</w:t>
      </w:r>
      <w:r w:rsidRPr="008A2E5A">
        <w:rPr>
          <w:rFonts w:ascii="Times New Roman" w:hAnsi="Times New Roman"/>
          <w:color w:val="0070C0"/>
          <w:sz w:val="16"/>
          <w:szCs w:val="16"/>
        </w:rPr>
        <w:tab/>
        <w:t>6629</w:t>
      </w:r>
    </w:p>
    <w:p w14:paraId="36A3DD32"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Ниже показан выпуск танков в 1941 г. по отдельным заводам.</w:t>
      </w:r>
    </w:p>
    <w:p w14:paraId="4769911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Танки КВ: Кировский в Ленинграде — 828 шт., Кировский в Челябинске (быв. ЧТЗ) — 542 шт.; танки Т-34: завод № 183 (ХПЗ) — 1597 шт., СТЗ — 1256 шт., завод № 112 («Красное Сормово») — 174 шт.; танки Т-50: завод № 174 — 48 шт.; танки Т-26: завод № 174 — 102 шт.; танки Т-40 и Т-60: завод № 37 — 709 шт., ГАЗ — 1320 шт., ХТЗ (№ 264) - 53 шт.</w:t>
      </w:r>
    </w:p>
    <w:p w14:paraId="37F11074"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1941 г. организовано производство танков на следующих заводах: Челябинском тракторном, Сталинградском тракторном, Харьковском тракторном (ныне завод № 264), «Красное Сормово» и Горьковском автомобильном. В ближайшие дни начнет выпуск танков Т-60 Коломенский завод в г. Кирове.</w:t>
      </w:r>
    </w:p>
    <w:p w14:paraId="361102D7"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выпуске танковых дизелей В-2. Всего в 1941 г. изготовлено танковых дизелей 4872 шт. (в 1939 г. было изготовлено 477 шт. и в 1940 г. — 1938 шт.). Выпуск танковых дизелей по месяцам 1941 г. показан в таблице:</w:t>
      </w:r>
    </w:p>
    <w:p w14:paraId="45A6BDA2" w14:textId="77777777" w:rsidR="000F2D49" w:rsidRPr="001F3545"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16279C">
        <w:rPr>
          <w:rFonts w:ascii="Times New Roman" w:hAnsi="Times New Roman"/>
          <w:color w:val="0070C0"/>
          <w:sz w:val="16"/>
          <w:szCs w:val="16"/>
          <w:lang w:val="en-US"/>
        </w:rPr>
        <w:t>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II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III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IV</w:t>
      </w:r>
      <w:r w:rsidRPr="001F3545">
        <w:rPr>
          <w:rFonts w:ascii="Times New Roman" w:hAnsi="Times New Roman"/>
          <w:color w:val="0070C0"/>
          <w:sz w:val="16"/>
          <w:szCs w:val="16"/>
        </w:rPr>
        <w:tab/>
      </w:r>
      <w:r w:rsidRPr="0016279C">
        <w:rPr>
          <w:rFonts w:ascii="Times New Roman" w:hAnsi="Times New Roman"/>
          <w:color w:val="0070C0"/>
          <w:sz w:val="16"/>
          <w:szCs w:val="16"/>
          <w:lang w:val="en-US"/>
        </w:rPr>
        <w:t>V</w:t>
      </w:r>
      <w:r w:rsidRPr="001F3545">
        <w:rPr>
          <w:rFonts w:ascii="Times New Roman" w:hAnsi="Times New Roman"/>
          <w:color w:val="0070C0"/>
          <w:sz w:val="16"/>
          <w:szCs w:val="16"/>
        </w:rPr>
        <w:tab/>
      </w:r>
      <w:r w:rsidRPr="0016279C">
        <w:rPr>
          <w:rFonts w:ascii="Times New Roman" w:hAnsi="Times New Roman"/>
          <w:color w:val="0070C0"/>
          <w:sz w:val="16"/>
          <w:szCs w:val="16"/>
          <w:lang w:val="en-US"/>
        </w:rPr>
        <w:t>VI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VII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VIII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IX</w:t>
      </w:r>
      <w:r w:rsidRPr="001F3545">
        <w:rPr>
          <w:rFonts w:ascii="Times New Roman" w:hAnsi="Times New Roman"/>
          <w:color w:val="0070C0"/>
          <w:sz w:val="16"/>
          <w:szCs w:val="16"/>
        </w:rPr>
        <w:tab/>
      </w:r>
      <w:r w:rsidRPr="0016279C">
        <w:rPr>
          <w:rFonts w:ascii="Times New Roman" w:hAnsi="Times New Roman"/>
          <w:color w:val="0070C0"/>
          <w:sz w:val="16"/>
          <w:szCs w:val="16"/>
          <w:lang w:val="en-US"/>
        </w:rPr>
        <w:t>X</w:t>
      </w:r>
      <w:r w:rsidRPr="001F3545">
        <w:rPr>
          <w:rFonts w:ascii="Times New Roman" w:hAnsi="Times New Roman"/>
          <w:color w:val="0070C0"/>
          <w:sz w:val="16"/>
          <w:szCs w:val="16"/>
        </w:rPr>
        <w:tab/>
      </w:r>
      <w:r w:rsidRPr="0016279C">
        <w:rPr>
          <w:rFonts w:ascii="Times New Roman" w:hAnsi="Times New Roman"/>
          <w:color w:val="0070C0"/>
          <w:sz w:val="16"/>
          <w:szCs w:val="16"/>
          <w:lang w:val="en-US"/>
        </w:rPr>
        <w:t>XI</w:t>
      </w:r>
      <w:r w:rsidRPr="001F3545">
        <w:rPr>
          <w:rFonts w:ascii="Times New Roman" w:hAnsi="Times New Roman"/>
          <w:color w:val="0070C0"/>
          <w:sz w:val="16"/>
          <w:szCs w:val="16"/>
        </w:rPr>
        <w:tab/>
      </w:r>
      <w:r w:rsidRPr="0016279C">
        <w:rPr>
          <w:rFonts w:ascii="Times New Roman" w:hAnsi="Times New Roman"/>
          <w:color w:val="0070C0"/>
          <w:sz w:val="16"/>
          <w:szCs w:val="16"/>
          <w:lang w:val="en-US"/>
        </w:rPr>
        <w:t>XII</w:t>
      </w:r>
      <w:r w:rsidRPr="001F3545">
        <w:rPr>
          <w:rFonts w:ascii="Times New Roman" w:hAnsi="Times New Roman"/>
          <w:color w:val="0070C0"/>
          <w:sz w:val="16"/>
          <w:szCs w:val="16"/>
        </w:rPr>
        <w:tab/>
      </w:r>
      <w:r w:rsidRPr="008A2E5A">
        <w:rPr>
          <w:rFonts w:ascii="Times New Roman" w:hAnsi="Times New Roman"/>
          <w:color w:val="0070C0"/>
          <w:sz w:val="16"/>
          <w:szCs w:val="16"/>
        </w:rPr>
        <w:t>Всего</w:t>
      </w:r>
    </w:p>
    <w:p w14:paraId="28C5CD4A"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Дизелей</w:t>
      </w:r>
      <w:r w:rsidRPr="008A2E5A">
        <w:rPr>
          <w:rFonts w:ascii="Times New Roman" w:hAnsi="Times New Roman"/>
          <w:color w:val="0070C0"/>
          <w:sz w:val="16"/>
          <w:szCs w:val="16"/>
        </w:rPr>
        <w:tab/>
        <w:t>324</w:t>
      </w:r>
      <w:r w:rsidRPr="008A2E5A">
        <w:rPr>
          <w:rFonts w:ascii="Times New Roman" w:hAnsi="Times New Roman"/>
          <w:color w:val="0070C0"/>
          <w:sz w:val="16"/>
          <w:szCs w:val="16"/>
        </w:rPr>
        <w:tab/>
        <w:t>321</w:t>
      </w:r>
      <w:r w:rsidRPr="008A2E5A">
        <w:rPr>
          <w:rFonts w:ascii="Times New Roman" w:hAnsi="Times New Roman"/>
          <w:color w:val="0070C0"/>
          <w:sz w:val="16"/>
          <w:szCs w:val="16"/>
        </w:rPr>
        <w:tab/>
        <w:t>356</w:t>
      </w:r>
      <w:r w:rsidRPr="008A2E5A">
        <w:rPr>
          <w:rFonts w:ascii="Times New Roman" w:hAnsi="Times New Roman"/>
          <w:color w:val="0070C0"/>
          <w:sz w:val="16"/>
          <w:szCs w:val="16"/>
        </w:rPr>
        <w:tab/>
        <w:t>402</w:t>
      </w:r>
      <w:r w:rsidRPr="008A2E5A">
        <w:rPr>
          <w:rFonts w:ascii="Times New Roman" w:hAnsi="Times New Roman"/>
          <w:color w:val="0070C0"/>
          <w:sz w:val="16"/>
          <w:szCs w:val="16"/>
        </w:rPr>
        <w:tab/>
        <w:t>378</w:t>
      </w:r>
      <w:r w:rsidRPr="008A2E5A">
        <w:rPr>
          <w:rFonts w:ascii="Times New Roman" w:hAnsi="Times New Roman"/>
          <w:color w:val="0070C0"/>
          <w:sz w:val="16"/>
          <w:szCs w:val="16"/>
        </w:rPr>
        <w:tab/>
        <w:t>450</w:t>
      </w:r>
      <w:r w:rsidRPr="008A2E5A">
        <w:rPr>
          <w:rFonts w:ascii="Times New Roman" w:hAnsi="Times New Roman"/>
          <w:color w:val="0070C0"/>
          <w:sz w:val="16"/>
          <w:szCs w:val="16"/>
        </w:rPr>
        <w:tab/>
        <w:t>702</w:t>
      </w:r>
      <w:r w:rsidRPr="008A2E5A">
        <w:rPr>
          <w:rFonts w:ascii="Times New Roman" w:hAnsi="Times New Roman"/>
          <w:color w:val="0070C0"/>
          <w:sz w:val="16"/>
          <w:szCs w:val="16"/>
        </w:rPr>
        <w:tab/>
        <w:t>803</w:t>
      </w:r>
      <w:r w:rsidRPr="008A2E5A">
        <w:rPr>
          <w:rFonts w:ascii="Times New Roman" w:hAnsi="Times New Roman"/>
          <w:color w:val="0070C0"/>
          <w:sz w:val="16"/>
          <w:szCs w:val="16"/>
        </w:rPr>
        <w:tab/>
        <w:t>491</w:t>
      </w:r>
      <w:r w:rsidRPr="008A2E5A">
        <w:rPr>
          <w:rFonts w:ascii="Times New Roman" w:hAnsi="Times New Roman"/>
          <w:color w:val="0070C0"/>
          <w:sz w:val="16"/>
          <w:szCs w:val="16"/>
        </w:rPr>
        <w:tab/>
        <w:t>102</w:t>
      </w:r>
      <w:r w:rsidRPr="008A2E5A">
        <w:rPr>
          <w:rFonts w:ascii="Times New Roman" w:hAnsi="Times New Roman"/>
          <w:color w:val="0070C0"/>
          <w:sz w:val="16"/>
          <w:szCs w:val="16"/>
        </w:rPr>
        <w:tab/>
        <w:t>148</w:t>
      </w:r>
      <w:r w:rsidRPr="008A2E5A">
        <w:rPr>
          <w:rFonts w:ascii="Times New Roman" w:hAnsi="Times New Roman"/>
          <w:color w:val="0070C0"/>
          <w:sz w:val="16"/>
          <w:szCs w:val="16"/>
        </w:rPr>
        <w:tab/>
        <w:t>395</w:t>
      </w:r>
      <w:r w:rsidRPr="008A2E5A">
        <w:rPr>
          <w:rFonts w:ascii="Times New Roman" w:hAnsi="Times New Roman"/>
          <w:color w:val="0070C0"/>
          <w:sz w:val="16"/>
          <w:szCs w:val="16"/>
        </w:rPr>
        <w:tab/>
        <w:t>4872</w:t>
      </w:r>
    </w:p>
    <w:p w14:paraId="476156C4"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танковых дизелей по заводам: завод № 75 (быв. Харьковский, ныне Кировский в Челябинске) — 4472 шт.; СТЗ — 199 шт.; № 76 (быв. Уралтурбозавод) — 201 шт.</w:t>
      </w:r>
    </w:p>
    <w:p w14:paraId="7C4A7098"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1941 г. организовано производство танковых дизелей на Сталинградском тракторном заводе и на Уралтурбозаводе в Свердловске. В 1941 г. дизельными заводами отремонтировано для армии средним и капитальным ремонтом 460 шт. дизелей.</w:t>
      </w:r>
    </w:p>
    <w:p w14:paraId="4ECE7DCA"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 выпуске корпусов и башен. Всего в 1941 г. изготовлено 7428 шт. корпусов для танков. Выпуск танковых корпусов по заводам: для танков КВ: Ижорский в Ленинграде — 891 шт., Уралмашзавод — 606 шт., завод № 200 в Челябинске — 70 шт.; для танков Т-34: завод № 183 (ХПЗ) — 2340 шт., завод № 264 (Сталинград) — 643 шт., «Красное Сормово» — 267 шт.; для танков Т-50: Ижорский завод в Ленинграде — 66 шт.; для танков Т-40 и Т-60: Подольский завод — 695 шт., Коломенский завод — 208 шт., Новокраматорский завод — 53 шт., Ворошиловградский паровозный — 205 шт., Таганрогский — 51 шт., Муромский № 176 — 793 шт., Выксунский № 177 — 480 шт., Кулебакский № 178 — 60 шт.</w:t>
      </w:r>
    </w:p>
    <w:p w14:paraId="62BC90E9"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1941 г. организовано производство корпусов и башен для танков на заводах:</w:t>
      </w:r>
    </w:p>
    <w:p w14:paraId="77103560"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 264 (быв. Красноармейская судоверфь), 2) Уралмашзаводе, 3) «Красном Сормове», 4) Челябинском № 200 (быв. № 78), 5) Коломенском, 6) Новокраматорском, 7) Ворошиловградском паровозном, 8) Таганрогском котельном, 9) Муромском паровозоремонтном, 10) Выксунском дробильно-размольного оборудования и 11) Кулебакском им. Кирова.</w:t>
      </w:r>
    </w:p>
    <w:p w14:paraId="43DC91F2"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эвакуацией и прекращением производства корпусов и башен на заводах: Новокраматорском, Ворошиловградском паровозном и Таганрогском котельном было увеличено, до полной потребности, производство корпусов на Муромском и Выксунском заводах. Налаживается производство корпусов и башен для танков Т-50 на Саратовском вагоноремонтном заводе.</w:t>
      </w:r>
    </w:p>
    <w:p w14:paraId="7FD7C44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 О выпуске артиллерийских тягачей. Всего в 1941 г. выпущено 7253 шт. артиллерийских тягачей, из них: челябинских С-2 — 1190 шт., сталинградских СТЗ-5 — 4777 шт., «Ворошиловцев» — 529 шт., «Комсомольцев» — 757 шт.</w:t>
      </w:r>
    </w:p>
    <w:p w14:paraId="1392EAE9"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 эвакуации танковых заводов. В связи с войной были эвакуированы на восток следующие заводы: 1) Харьковский танковый № 183 (ХПЗ) — в г. Нижний Тагил, на Уралвагонзавод, 2) Мариупольский им. Ильича (броневой завод) — туда же, 3) Харьковский дизельный № 75 — в Челябинск, на тракторный завод, 4) Ленинградский танковый № 174 им. Ворошилова — в г. Чкалов, на вагоноремонтный завод, 5) Московский танковый № 37 (вместе с частью завода КИМ) — в г. Свердловск, на вагоноремонтный завод, 6) Подольский корпусной завод — в г. Свердловск, на завод «Металлист», 7) Харьковский тракторный (танковое производство) — в г. Сталинград, на завод № 264, а дизельное производство — на Сталинградский тракторный, 8) дизельное производство Кировского завода — из Ленинграда в г. Свердловск на Уралтурбозавод и 9) Коломенский завод (корпусное производство) — в г. Киров, на машиностроительный завод.</w:t>
      </w:r>
    </w:p>
    <w:p w14:paraId="064AA8D1"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эвакуированные заводы в декабре месяце 1941 г. (а дизельное производство завода СТЗ и Уралтурбозавод в октябре мес[яце]) начали выпуск танков, дизелей и корпусов. В связи с эвакуацией основные танковые заводы имели перерыв в выпуске продукции в один месяц, а дизельный завод № 75 не имел перерыва ни на один месяц.</w:t>
      </w:r>
    </w:p>
    <w:p w14:paraId="793B07E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временно прекращено производство танков КВ на Кировском и Ижорском заводах в Ленинграде.</w:t>
      </w:r>
    </w:p>
    <w:p w14:paraId="68AC2387"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постановлений правительства и партии созданы три самостоятельных танковых базы: на Урале, в Сталинграде и Горьком.</w:t>
      </w:r>
    </w:p>
    <w:p w14:paraId="2EDBEBC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 вновь созданных базах танковой промышленности.</w:t>
      </w:r>
    </w:p>
    <w:p w14:paraId="45F1F7A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 Урал. После эвакуации и организации новых заводов на Урале в настоящее время имеются следующие танковые, дизельные и корпусные заводы:</w:t>
      </w:r>
    </w:p>
    <w:p w14:paraId="6EB7B0BD"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танковый и корпусной завод № 183 (г. Нижний Тагил), выпускающий танки Т-34 и корпуса к ним;</w:t>
      </w:r>
    </w:p>
    <w:p w14:paraId="18043D65"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Кировский завод (г. Челябинск), выпускающий танки КВ; </w:t>
      </w:r>
    </w:p>
    <w:p w14:paraId="75B4138B"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танковый и корпусной завод № 37 (г. Свердловск), выпускающий танки Т-60 и корпуса к ним; </w:t>
      </w:r>
    </w:p>
    <w:p w14:paraId="185EC31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 Уралмашзавод (г. Свердловск), выпускающий корпуса и башни танков КВ; </w:t>
      </w:r>
    </w:p>
    <w:p w14:paraId="0670270D"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корпусной завод № 200 (г. Челябинск), выпускающий корпуса и башни танков КВ;</w:t>
      </w:r>
    </w:p>
    <w:p w14:paraId="1796C656"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дизельный завод № 76 (г. Свердловск);</w:t>
      </w:r>
    </w:p>
    <w:p w14:paraId="0E4395F4"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дизельный завод № 75 (г. Челябинск);</w:t>
      </w:r>
    </w:p>
    <w:p w14:paraId="51DC7AC5"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танковый завод № 174 (г. Чкалов), выпускающий танки Т-50.</w:t>
      </w:r>
    </w:p>
    <w:p w14:paraId="125EBC33"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на Урале и в Сибири Наркомчерметом созданы три мощные броневые базы:</w:t>
      </w:r>
    </w:p>
    <w:p w14:paraId="5766A1D4"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Нижнем Тагиле на Новотагильском металлургическом заводе установлен эвакуированный с Кировского завода (Ленинград) броневой прокатный стан. Организован прокат брони толщиной 45 и 60 мм для танков Т-34 для завода № 183;</w:t>
      </w:r>
    </w:p>
    <w:p w14:paraId="175B2FCA"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Магнитогорском металлургическом заводе установлен эвакуированный с Мариупольского завода броневой прокатный стан, на котором, а также на блюминге, организован прокат брони толщиной 75 мм и выше для танков КВ для заводов: Уралмашзавода и № 200;</w:t>
      </w:r>
    </w:p>
    <w:p w14:paraId="20450FD5"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 Кузнецком металлургическом заводе организован прокат брони толщиной до 30 мм для танковых и корпусных заводов Урала.</w:t>
      </w:r>
    </w:p>
    <w:p w14:paraId="147D21B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Сталинград. В Сталинграде создана крупная комплексная танковая база, состоящая из заводов: 1) Сталинградского тракторного, выпускающего танки Т-34 и танковые дизели В-2; 2) корпусного завода № 264, выпускающего корпуса и башни для танков Т-34; 3) танкового завода № 264 (быв. ХТЗ), выпускающего танки Т-60, и 4) броневого и корпусного завода «Красный Октябрь» Наркомчермета, изготавливающего броню для танков Т-34 и Т-60 и корпуса для танков Т-60.</w:t>
      </w:r>
    </w:p>
    <w:p w14:paraId="1F8434D1"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B. Горький. В г. Горьком и Горьковской области также создана серьезная комплексная танковая база, состоящая из заводов: 1) «Красное Сормово», выпускающего танки Т-34 и корпуса к ним; 2) Горьковского автозавода, выпускающего танки Т-60 и лоторы к ним, а также моторы М-17 для танков Т-34 производства завода «Красное j Сормово»; 3) Муромского № 176, Выксунского № 177 и Кулебакского № 178, выпускаощих </w:t>
      </w:r>
    </w:p>
    <w:p w14:paraId="2DEAF1A5"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корпуса для танков Т-60 производства Горьковского автозавода.</w:t>
      </w:r>
    </w:p>
    <w:p w14:paraId="294517DE"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Производство брони для танков Т-34 и Т-60 организовано на заводах «Красное Зормово» и Кулебакском.</w:t>
      </w:r>
    </w:p>
    <w:p w14:paraId="5AB159B7"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за 4 последних месяца 1941 г. на базе эвакуированных и вновь привлеченных заводов создана танковая промышленность в составе 8 танковых, 6 корпусных и 3 дизельных заводов и вновь организуемых заводов — двух танковых и одного корпусного. Все эвакуированные заводы и часть вновь организованных заводов еще не успели развернуться на полную мощность и по-настоящему начнут работать в январе и феврале месяцах 1942 г.</w:t>
      </w:r>
    </w:p>
    <w:p w14:paraId="60CBB8EA"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сейчас серьезным препятствием для дальнейшего увеличения выпуска танков является снабжение танковых заводов материалами и кооперированными изделиями (шарикоподшипниками, электро- и радиооборудованием, оптикой, вооружением, резиновыми изделиями). Заводы, кооперирующиеся с танковой промышленностью, отстают в выпуске продукции от роста танковой промышленности, а эвакуированные заводы-смежники слишком медленно восстанавливаются и срывают снабжение танковой промышленности.</w:t>
      </w:r>
    </w:p>
    <w:p w14:paraId="0281D762"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Считаю, что для обеспечения ежедневного выпуска 100-125 танков в день необходимо создать специальную, смежную танковой, промышленность, как это было в свое время сделано для автотракторной промышленности. В эту промышленность должны войти: 1 или 2 шарикоподшипниковых завода, 3-4 завода танкового электрооборудования, 1 радиозавод, 2 завода оптики, 2 завода резиновых изделий для танков, 5-6 мелких заводов, изготовляющих прокладки, кожаные и швейные изделия и т. д.</w:t>
      </w:r>
    </w:p>
    <w:p w14:paraId="4A306D11"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 заводы, объединенные в специальный главк, должны входить в Наркомтанкопром.</w:t>
      </w:r>
    </w:p>
    <w:p w14:paraId="3ED5144C"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Вашем согласии с этим предложением мной будет представлен список заводов.</w:t>
      </w:r>
    </w:p>
    <w:p w14:paraId="0F788067"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Малышев</w:t>
      </w:r>
    </w:p>
    <w:p w14:paraId="1CE2AC43"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388. Л. 6-12. Подлинник (24028).</w:t>
      </w:r>
    </w:p>
    <w:p w14:paraId="3EF74CB3" w14:textId="77777777" w:rsidR="000F2D49" w:rsidRPr="008A2E5A" w:rsidRDefault="000F2D49" w:rsidP="000F2D49">
      <w:pPr>
        <w:spacing w:after="0" w:line="240" w:lineRule="auto"/>
        <w:jc w:val="both"/>
        <w:rPr>
          <w:rFonts w:ascii="Times New Roman" w:hAnsi="Times New Roman"/>
          <w:color w:val="0070C0"/>
          <w:sz w:val="16"/>
          <w:szCs w:val="16"/>
        </w:rPr>
      </w:pPr>
    </w:p>
    <w:p w14:paraId="3B5AF7C1"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Постановление ГКО содержит типичную для того времени формулировку: по II кварталу 1942 г. «важнейшей задачей работы обкомов ВКП(б): Челябинского, Свердловского, Сталинградского, Горьковского, Омского, Кировского и их первых секретарей тт. Патоличева, Андриянова, Чуянова, Радионова, Куликова и Лукьянова является обеспечение выполнения плана по выпуску танков, танковых дизелей и запчастей к ним».</w:t>
      </w:r>
    </w:p>
    <w:p w14:paraId="2BDF7869"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этим решением ГКО, приказ № 334сс Наркома танковой промышленности В.А.Малышева от 12 апреля 1942 г. «О плане производства танков и о материально-техническом обеспечении танковой промышленности на II кв. 1942 г.» предусматривал следующие меры: «Предупредить директоров, главных инженеров и главных металлургов заводов, что за невыполнение плана по внутринаркоматовской кооперации они будут привлекаться к судебной ответственности по законам военного времени в соответствии с решением ГКО от 3.1. 1942 г.</w:t>
      </w:r>
    </w:p>
    <w:p w14:paraId="371B310E"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директоров заводов телеграфировать заводам-потребителям, в копии наркомату о каждой производственной отгрузке изделий по кооперации»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\l "22"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[22]</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w:t>
      </w:r>
    </w:p>
    <w:p w14:paraId="2935C8EB"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Сокращение сроков отчетности по военным заказам: отчеты наркоматов по выполнению планов производства оборонной продукции давались за следующие сроки: месяц, 20 дней, 15 дней, декада, пятидневка, день (например, 11,12,13,14,15 декабря 1942 г.).</w:t>
      </w:r>
    </w:p>
    <w:p w14:paraId="0F69A941"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Сосредоточение ресурсов на небольшом количестве заводов-гигантов. Так, в системе Наркомтанкопрома создавались предприятия с числом рабочих 5.000-10.000 - ориентированные на самообеспечение комбинаты, объединяющие различные производства, максимально независимые от поставщиков и работы транспорта (12291).</w:t>
      </w:r>
    </w:p>
    <w:p w14:paraId="638ED9D5"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7A47BB8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3 января 1942 вышло Распоряжение ГКО № 1093 [О передаче НКАТ РСФСР 15 грузовых автомашин для НКУП.] (7019, 108).</w:t>
      </w:r>
    </w:p>
    <w:p w14:paraId="2CF34E78" w14:textId="77777777" w:rsidR="00D4651C" w:rsidRPr="008127F8" w:rsidRDefault="00D4651C" w:rsidP="001E0A84">
      <w:pPr>
        <w:pStyle w:val="Iauiue"/>
        <w:tabs>
          <w:tab w:val="left" w:pos="11199"/>
        </w:tabs>
        <w:jc w:val="both"/>
        <w:rPr>
          <w:color w:val="000000" w:themeColor="text1"/>
          <w:sz w:val="16"/>
          <w:szCs w:val="16"/>
        </w:rPr>
      </w:pPr>
    </w:p>
    <w:p w14:paraId="0D160C4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3 января 1942 вышло Постановление ГКО № 1095 О восстановлении железных дорог. (7019, 111-123,124-144).</w:t>
      </w:r>
    </w:p>
    <w:p w14:paraId="21E148CC" w14:textId="77777777" w:rsidR="00D4651C" w:rsidRPr="008127F8" w:rsidRDefault="00D4651C" w:rsidP="001E0A84">
      <w:pPr>
        <w:pStyle w:val="Iauiue"/>
        <w:tabs>
          <w:tab w:val="left" w:pos="11199"/>
        </w:tabs>
        <w:jc w:val="both"/>
        <w:rPr>
          <w:color w:val="000000" w:themeColor="text1"/>
          <w:sz w:val="16"/>
          <w:szCs w:val="16"/>
        </w:rPr>
      </w:pPr>
    </w:p>
    <w:p w14:paraId="5AB287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вышло Постановление ГКО № 1098 О восстановлении производства диизобутилена на Московском крекингзаводе. РГАНИР, Фонд ГКО, д. 18, лл. 148 (11012).</w:t>
      </w:r>
    </w:p>
    <w:p w14:paraId="0E05786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2E973D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января 1942 г. была подготовлена Докладная записка секретаря Азинского райкома ВКП (б) г. Ижевска Е.Г. Васильевой в Ижевский горком ВКП(б) о подготовке к выпуску пулеметов "Максим" на Ижевском мотоциклетном заводе во второй половине декабря 1941 г.</w:t>
      </w:r>
    </w:p>
    <w:p w14:paraId="510CF5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[...]Подготовка к освоению нового вида производства по объекту [№] 504 проходит крайне неудовлетворительно, завод до сего времени организационно не перестроился, нет структуры организации управления заводом, количество цехов не установлено, расчеты производственных площадей и необходимого оборудования до сего времени окончательно не уточнены, заявки на материалы высланы 29/XII-41 г. и ряд других недочетов, тормозящих работу завода1.</w:t>
      </w:r>
    </w:p>
    <w:p w14:paraId="793A35D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Техническая документация на объект [№] 504 получена с завода № 66 г. Златоуста2 с большим опозданием, прибыла в одном экземпляре и не достает ряд основных чертежей.</w:t>
      </w:r>
    </w:p>
    <w:p w14:paraId="493015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Вопросы перестройки работы завода по новой продукции решаются очень </w:t>
      </w:r>
      <w:proofErr w:type="gramStart"/>
      <w:r w:rsidRPr="008127F8">
        <w:rPr>
          <w:color w:val="000000" w:themeColor="text1"/>
          <w:sz w:val="16"/>
          <w:szCs w:val="16"/>
        </w:rPr>
        <w:t>медленно, несмотря на то, что</w:t>
      </w:r>
      <w:proofErr w:type="gramEnd"/>
      <w:r w:rsidRPr="008127F8">
        <w:rPr>
          <w:color w:val="000000" w:themeColor="text1"/>
          <w:sz w:val="16"/>
          <w:szCs w:val="16"/>
        </w:rPr>
        <w:t xml:space="preserve"> на заводе сейчас находятся несколько работников Наркомата вооружения.</w:t>
      </w:r>
    </w:p>
    <w:p w14:paraId="54B5C9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приказу Наркомата вооружения завод в декабре месяце обязан был выпустить 50 машин объекта № 504 - фактически не выпущено ни одной машины.</w:t>
      </w:r>
    </w:p>
    <w:p w14:paraId="5D08086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сейчас сосредоточил все свое внимание на разработку технической документации, изготовление оснащения по инструменту и приспособлениям. Эта работа также еще идет слабо.</w:t>
      </w:r>
    </w:p>
    <w:p w14:paraId="18376D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Большую работу в декабре месяце проделал инструментальный цех, руководимый начальником цеха тов. Захваткиным и его заместителем тов. Гуторовичем.</w:t>
      </w:r>
    </w:p>
    <w:p w14:paraId="2181D9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Цех за 20 дней декабря изготовил 64 штампа и большое количество режущего инструмента.</w:t>
      </w:r>
    </w:p>
    <w:p w14:paraId="0D90FF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Ст[арший] мастер тов. Полонский, мастера Ширяев и </w:t>
      </w:r>
      <w:proofErr w:type="gramStart"/>
      <w:r w:rsidRPr="008127F8">
        <w:rPr>
          <w:color w:val="000000" w:themeColor="text1"/>
          <w:sz w:val="16"/>
          <w:szCs w:val="16"/>
        </w:rPr>
        <w:t>Алмазов</w:t>
      </w:r>
      <w:proofErr w:type="gramEnd"/>
      <w:r w:rsidRPr="008127F8">
        <w:rPr>
          <w:color w:val="000000" w:themeColor="text1"/>
          <w:sz w:val="16"/>
          <w:szCs w:val="16"/>
        </w:rPr>
        <w:t xml:space="preserve"> не считаясь со временем, не выходя из цеха по несколько дней, выполнили досрочно данное им задание при высоком качестве изделий.</w:t>
      </w:r>
    </w:p>
    <w:p w14:paraId="0E9886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Образцы самоотверженной и стахановской работы показали рабочие Тарасов, Канашин, Мерзляков, Богомолов и др., которые изо дня в день выполняли свое производственное задание свыше 200%.</w:t>
      </w:r>
    </w:p>
    <w:p w14:paraId="0C5E84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декабре месяце безупречно и хорошо работал спеццех, возглавляемый начальником тов. Могилевским - членом ВКП(б). Программа по выпуску спецпродукции цехом выполнена на 125%.</w:t>
      </w:r>
    </w:p>
    <w:p w14:paraId="210CB95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Особо следует отметить работу мастера спеццеха тов. Костенко - беспартийный, который в течение всего месяца ежедневно перевыполнял свой график. Образцы стахановской работы показали токаря: Розинблит, Холмогоров, Сафронов, Авраменко, Шинкарев, выполняющие свои производственные задания от 160 до 200%. Спеццех стал работать нормально и по графику. [...]</w:t>
      </w:r>
    </w:p>
    <w:p w14:paraId="002E74C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Секретарь Азинского РК ВКП(б) Васильева</w:t>
      </w:r>
    </w:p>
    <w:p w14:paraId="1143B98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ЦДНИ УР, ф.54, оп.2, д.1594, л.39-39об. Подлинник. Машинопись (9681).</w:t>
      </w:r>
    </w:p>
    <w:p w14:paraId="6E31872C" w14:textId="77777777" w:rsidR="00D4651C" w:rsidRPr="008127F8" w:rsidRDefault="00D4651C" w:rsidP="001E0A84">
      <w:pPr>
        <w:pStyle w:val="Iauiue"/>
        <w:jc w:val="both"/>
        <w:rPr>
          <w:color w:val="000000" w:themeColor="text1"/>
          <w:sz w:val="16"/>
          <w:szCs w:val="16"/>
        </w:rPr>
      </w:pPr>
    </w:p>
    <w:p w14:paraId="7D1B9959"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3 января 1942 года вышел приказ № 52с НКБ Москва</w:t>
      </w:r>
    </w:p>
    <w:p w14:paraId="26D6F32E"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 связи с прекращением эвакуации завода № 260 из Владимира (5755, 1-2).</w:t>
      </w:r>
    </w:p>
    <w:p w14:paraId="1F3BEB54" w14:textId="77777777" w:rsidR="00D4651C" w:rsidRPr="008127F8" w:rsidRDefault="00D4651C" w:rsidP="001E0A84">
      <w:pPr>
        <w:pStyle w:val="Iauiue"/>
        <w:tabs>
          <w:tab w:val="left" w:pos="11199"/>
        </w:tabs>
        <w:jc w:val="both"/>
        <w:rPr>
          <w:color w:val="000000" w:themeColor="text1"/>
          <w:sz w:val="16"/>
          <w:szCs w:val="16"/>
        </w:rPr>
      </w:pPr>
    </w:p>
    <w:p w14:paraId="223639E1"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января 1942 г. выходит постановление СНК СССР, со</w:t>
      </w:r>
      <w:r w:rsidRPr="008A2E5A">
        <w:rPr>
          <w:rFonts w:ascii="Times New Roman" w:hAnsi="Times New Roman"/>
          <w:color w:val="0070C0"/>
          <w:sz w:val="16"/>
          <w:szCs w:val="16"/>
        </w:rPr>
        <w:softHyphen/>
        <w:t>гласно которому директорам оборонных заводов вменялось в обязанность направлять материалы о дезертирах воен</w:t>
      </w:r>
      <w:r w:rsidRPr="008A2E5A">
        <w:rPr>
          <w:rFonts w:ascii="Times New Roman" w:hAnsi="Times New Roman"/>
          <w:color w:val="0070C0"/>
          <w:sz w:val="16"/>
          <w:szCs w:val="16"/>
        </w:rPr>
        <w:softHyphen/>
        <w:t>ному прокурору не позднее, чем на следующий день после установления факта правонарушения. В свою очередь, ор</w:t>
      </w:r>
      <w:r w:rsidRPr="008A2E5A">
        <w:rPr>
          <w:rFonts w:ascii="Times New Roman" w:hAnsi="Times New Roman"/>
          <w:color w:val="0070C0"/>
          <w:sz w:val="16"/>
          <w:szCs w:val="16"/>
        </w:rPr>
        <w:softHyphen/>
        <w:t>ганы военной прокуратуры должны были немедленно, без предварительного расследования, выносить постановления о привлечении обвиняемых к ответственности и передавать эти постановления в ближайший военный трибунал вместе с материалами, полученными от директоров предприятий. Дела по указу от 26 декабря 1941 г. следовало рассматри</w:t>
      </w:r>
      <w:r w:rsidRPr="008A2E5A">
        <w:rPr>
          <w:rFonts w:ascii="Times New Roman" w:hAnsi="Times New Roman"/>
          <w:color w:val="0070C0"/>
          <w:sz w:val="16"/>
          <w:szCs w:val="16"/>
        </w:rPr>
        <w:softHyphen/>
        <w:t>вать военными трибуналами во внеочередном порядке (23346).</w:t>
      </w:r>
    </w:p>
    <w:p w14:paraId="155733C6" w14:textId="77777777" w:rsidR="000F2D49" w:rsidRPr="008A2E5A" w:rsidRDefault="000F2D49" w:rsidP="000F2D49">
      <w:pPr>
        <w:spacing w:after="0" w:line="240" w:lineRule="auto"/>
        <w:jc w:val="both"/>
        <w:rPr>
          <w:rFonts w:ascii="Times New Roman" w:hAnsi="Times New Roman"/>
          <w:color w:val="0070C0"/>
          <w:sz w:val="16"/>
          <w:szCs w:val="16"/>
        </w:rPr>
      </w:pPr>
    </w:p>
    <w:p w14:paraId="58BFB128" w14:textId="77777777" w:rsidR="00D4651C" w:rsidRPr="008127F8" w:rsidRDefault="00A72CAA" w:rsidP="001E0A84">
      <w:pPr>
        <w:pStyle w:val="Iauiue"/>
        <w:tabs>
          <w:tab w:val="left" w:pos="11199"/>
        </w:tabs>
        <w:jc w:val="both"/>
        <w:rPr>
          <w:iCs/>
          <w:color w:val="000000" w:themeColor="text1"/>
          <w:sz w:val="16"/>
          <w:szCs w:val="16"/>
        </w:rPr>
      </w:pPr>
      <w:r w:rsidRPr="008127F8">
        <w:rPr>
          <w:i/>
          <w:iCs/>
          <w:color w:val="000000" w:themeColor="text1"/>
          <w:sz w:val="16"/>
          <w:szCs w:val="16"/>
        </w:rPr>
        <w:t>Армия:</w:t>
      </w:r>
    </w:p>
    <w:p w14:paraId="4CFC3BD9" w14:textId="77777777" w:rsidR="00D4651C" w:rsidRPr="008127F8" w:rsidRDefault="00D4651C" w:rsidP="001E0A84">
      <w:pPr>
        <w:pStyle w:val="Iauiue"/>
        <w:tabs>
          <w:tab w:val="left" w:pos="11199"/>
        </w:tabs>
        <w:jc w:val="both"/>
        <w:rPr>
          <w:iCs/>
          <w:color w:val="000000" w:themeColor="text1"/>
          <w:sz w:val="16"/>
          <w:szCs w:val="16"/>
        </w:rPr>
      </w:pPr>
    </w:p>
    <w:p w14:paraId="0390D864"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66CA1EA9"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 января наши войска вели бои с противником на всех фронтах.</w:t>
      </w:r>
    </w:p>
    <w:p w14:paraId="73072B48"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день упорных боёв с противником выбила немцев из трёх населённых пунктов и захватила 5 орудий, 8 пулемётов, 3 миномёта, много снарядов и мин. На поле боя противник оставил 750 трупов солдат и офицеров. На другом участке фронта, в районе деревни П., наши бойцы окружили и истребили свыше 700 немцев, захватив при этом большое количество военного имущества и продовольствия.</w:t>
      </w:r>
    </w:p>
    <w:p w14:paraId="75146CF4"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Совершив ночной налёт на селение Н., занятое немцами (Юго-Западный фронт), наши бойцы истребили 500 вражеских солдат и офицеров и захватили 2 немецких танка, 7 орудий, 35 автомашин, 12 пулемётов, большое количество автоматов и винтовок.</w:t>
      </w:r>
    </w:p>
    <w:p w14:paraId="2BA4B9F6"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Взятый на днях в плен на одном из участков Западного фронта старший стрелок 10 роты 240 полка 106 немецкой пехотной дивизии Франц Вельфль заявил: «Солдаты моей роты, как и весь личный состав дивизии, в моральном отношении—конченные люди. Они крайне переутомлены и истощены. В роте осталась всего лишь четверть состава. Мы все ждали, что к зиме уедем домой, как нам всё время обещало наше командование. Но обещания эти оказались сплошным обманом. Когда началось наступление русских, настроение совсем упало. Чтобы поддержать дисциплину, командир батальона майор Мюллер заявил нам: мы отойдём километров на 30, укрепимся и снова пойдем вперёд. Этому, конечно, никто теперь не верит. Один из солдат ответил командиру: «Да, мы пойдём вперёд, но двигаемся назад». Мюллер промолчал. Большинство солдат сейчас настроено против продолжения бессмысленной войны.</w:t>
      </w:r>
    </w:p>
    <w:p w14:paraId="697EECCE"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страх перед начальством и боязнь суровых наказаний удерживают пока солдат от открытых выступлений. Всё же они стали более открыто выражать недовольство войной. В нашей роте имеется несколько штурмовиков, в присутствии которых раньше нельзя было выражать недовольство. Теперь же они сами участвуют в таких разговорах и не доносят о них офицерам. Немецкие солдаты не верят в победу Германии».</w:t>
      </w:r>
    </w:p>
    <w:p w14:paraId="454F7DE4"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Дарницком лагере для военнопленных, близ Киева, находится несколько тысяч мирных жителей Киевской области. Заключённые в этом лагере спят под открытым небом и по 10—15 дней не получают хлеба. Фашистская охрана издевается над заключёнными, избивает их палками и прикладами. За малейшее проявление недовольства заключённых расстреливают на месте.</w:t>
      </w:r>
    </w:p>
    <w:p w14:paraId="159D729E"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Недавно на Ангальтском вокзале города Берлина большая толпа женщин пыталась помешать отправке двух воинских эшелонов на Восточный фронт. Женщины легли на рельсы перед паровозами. Полиция и жандармы не могли разогнать толпу. Вызванный отряд «СС» открыл по женщинам стрельбу из пулемётов. Убито и ранено несколько десятков человек.» (14998).</w:t>
      </w:r>
    </w:p>
    <w:p w14:paraId="5442C242" w14:textId="77777777" w:rsidR="00DB7284" w:rsidRPr="008127F8" w:rsidRDefault="00DB7284" w:rsidP="001E0A84">
      <w:pPr>
        <w:spacing w:after="0" w:line="240" w:lineRule="auto"/>
        <w:jc w:val="both"/>
        <w:rPr>
          <w:rFonts w:ascii="Times New Roman" w:hAnsi="Times New Roman"/>
          <w:color w:val="000000" w:themeColor="text1"/>
          <w:sz w:val="16"/>
          <w:szCs w:val="16"/>
        </w:rPr>
      </w:pPr>
    </w:p>
    <w:p w14:paraId="202333EC"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18BA554"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 января на ряде участков фронта наши войска, преодолевая сопротивление противника, продвинулись вперёд и заняли ряд населённых пунктов.</w:t>
      </w:r>
    </w:p>
    <w:p w14:paraId="65522AA8"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января уничтожено 5 немецких самолётов.</w:t>
      </w:r>
    </w:p>
    <w:p w14:paraId="1C3B5024"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под Москвой сбито 2 немецких самолёта.</w:t>
      </w:r>
    </w:p>
    <w:p w14:paraId="2A7E439B"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части нашей авиации уничтожили 4 бронемашины, 309 автомашин и 184 повозки с пехотой противника и военным грузом, 5 полевых орудий, сожгли 6 железнодорожных составов и 3 ангара, рассеяли и частично уничтожили до полка пехоты и взвод немецких кавалеристов.</w:t>
      </w:r>
    </w:p>
    <w:p w14:paraId="48F45292"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сломив сопротивление противника, за один день заняла 5 населённых пунктов и захватила 5 пулемётов, 7 автомашин и 2 орудия. На другом участке фронта наши бойцы, продолжая наступление, захватили 8 орудий, 13 миномётов, 34 пулемёта, 385 винтовок, 10.000 патронов, 400 мин, 2 радиостанции и истребили свыше 150 немцев.</w:t>
      </w:r>
    </w:p>
    <w:p w14:paraId="60108CE5"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упорных боёв на одном из участков Ленинградского фронта наша часть истребила 400 немецких солдат и офицеров. На другом участке фронта наше подразделение, осуществив хорошо продуманную операцию, нанесло серьёзное поражение противнику. На поле боя осталось свыше 200 трупов немецких солдат и офицеров. Нами захвачены трофеи: 2 орудия, 10 пулемётов, 2 миномёта, много винтовок, автоматов, снарядов и патронов.</w:t>
      </w:r>
    </w:p>
    <w:p w14:paraId="75FA0F92"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Бесстрашно громят немецких оккупантов партизаны Приазовья. Бойцы отряда, где командиром тов. К., уничтожили 14 немецких больших моторных лодок с боеприпасами. Бойцы отряда тов. Г. взорвали фашистский сторожевой катер, разгромили обоз из 14 подвод и 2 грузовых автомашин с боеприпасами. Во время этих боевых действий перебито свыше 30 немецких солдат.</w:t>
      </w:r>
    </w:p>
    <w:p w14:paraId="153440D6"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Блестящих успехов добились бойцы двух объединённых отрядов командиров П. и Г. Умело организовав разведку, патриоты узнали время и место отправления немецкого поезда с танками и снарядами. Взорвав поезд, патриоты уничтожили 5 вагонов со снарядами и много танков.</w:t>
      </w:r>
    </w:p>
    <w:p w14:paraId="10A821B2"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Военнопленный солдат 1 батальона 269 пехотного полка испанской «Голубой дивизии» Эусебио Бельосильо на допросе заявил: «Голубая дивизия» уже потеряла до 8.000 человек. В частях сотни обмороженных солдат. Многим из них ампутировали ноги. Особенно велики потери 269 полка, которым командует полковник Эспарсо. Солдаты говорят, что он старается выслужиться перед Гитлером, и называют его убийцей».</w:t>
      </w:r>
    </w:p>
    <w:p w14:paraId="1D2155E0"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освобождённого от немцев села Большие Рязищи, Ленинградской области, рассказывают, что немецкий отряд, отступая из села под ударами наших частей, расстрелял 15 детей—мальчиков и девочек — в возрасте 13—14 лет.</w:t>
      </w:r>
    </w:p>
    <w:p w14:paraId="22E82C4C"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Мародёрство в финской армии всемерно поощряется и входит в обязанности финских солдат. В секретной инструкции штаба 7 финской пехотной дивизии за № 511 говорится: «При всех обстоятельствах, как только позволяет обстановка, надо снимать с убитых солдат противника все обмундирование и снаряжение (подчёркнуто в оригинале). В случае надобности к этой работе можно привлекать военнопленных. (Основание: телеграфное распоряжение штаба Карельской армии)».</w:t>
      </w:r>
    </w:p>
    <w:p w14:paraId="3FF822BF"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Омской области, воодушевлённые успехами Красной Армии, дают стране всё больше сельскохозяйственных продуктов. Колхоз «Новая жизнь», Исиль-Кульского района, выполнив план хлебопоставок, продал государству 27 тысяч пудов хлеба и сдал в фонд обороны СССР 3 тысячи пудов. Сельскохозяйственная артель имени X годовщины Октября, Полтавского района, продала государству 18 тысяч пудов хлеба и 6 тысяч пудов внесла в фонд обороны страны.».</w:t>
      </w:r>
    </w:p>
    <w:p w14:paraId="2D59C9A3"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68993A4B"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Калининского фронта за период с 28 декабря 1941 г. по 3 января 1942 года</w:t>
      </w:r>
    </w:p>
    <w:p w14:paraId="595E4568"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«Войсками Калининского фронта за период с 28 декабря 1941 г. по 3 января 1942 г. захвачены у противника следующие трофеи: орудий разного калибра — 340, танков и танкеток—19, самолётов — 8, винтовок— 3.891, пулемётов — 274, автоматов — 686, миномётов — 53, ружей противотанковых — 15, автомашин — 929, мотоциклов — 636, велосипедов — 622, радиостанций — 22, гранат — 50 ящиков, ракет — 40 ящиков, пороха — 145 ящиков, мин разного калибра — свыше 36.100, снарядов — 37.889, винтовочных патронов — 425.000. Кроме того, захвачены тракторы, тягачи, лошади, повозки, телеграфный кабель и другое военное имущество.» (14998).</w:t>
      </w:r>
    </w:p>
    <w:p w14:paraId="109991C8" w14:textId="77777777" w:rsidR="00DB7284" w:rsidRPr="008127F8" w:rsidRDefault="00DB7284" w:rsidP="001E0A84">
      <w:pPr>
        <w:spacing w:after="0" w:line="240" w:lineRule="auto"/>
        <w:jc w:val="both"/>
        <w:rPr>
          <w:rFonts w:ascii="Times New Roman" w:hAnsi="Times New Roman"/>
          <w:color w:val="000000" w:themeColor="text1"/>
          <w:sz w:val="16"/>
          <w:szCs w:val="16"/>
        </w:rPr>
      </w:pPr>
    </w:p>
    <w:p w14:paraId="6E7A67D1" w14:textId="77777777" w:rsidR="00DB7284" w:rsidRPr="008127F8" w:rsidRDefault="00DB72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января</w:t>
      </w:r>
      <w:r w:rsidRPr="008127F8">
        <w:rPr>
          <w:rFonts w:ascii="Times New Roman" w:hAnsi="Times New Roman"/>
          <w:color w:val="000000" w:themeColor="text1"/>
          <w:sz w:val="16"/>
          <w:szCs w:val="16"/>
        </w:rPr>
        <w:t xml:space="preserve"> в 1942 году войска 10-й армии Западного фронта нанесли поражение группировке противника в районе Сухиничей (14998).</w:t>
      </w:r>
    </w:p>
    <w:p w14:paraId="68EDA5AC" w14:textId="77777777" w:rsidR="00DB7284" w:rsidRPr="008127F8" w:rsidRDefault="00DB7284" w:rsidP="001E0A84">
      <w:pPr>
        <w:spacing w:after="0" w:line="240" w:lineRule="auto"/>
        <w:jc w:val="both"/>
        <w:rPr>
          <w:rFonts w:ascii="Times New Roman" w:hAnsi="Times New Roman"/>
          <w:color w:val="000000" w:themeColor="text1"/>
          <w:sz w:val="16"/>
          <w:szCs w:val="16"/>
        </w:rPr>
      </w:pPr>
    </w:p>
    <w:p w14:paraId="7FF9B54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г. была подготовлена ВЫПИСКА ИЗ ОПРОСНОГО ЛИСТА ВОЕННОПЛЕННОГО ПО ВОПРОСАМ АВТОТЕХНИЧЕСКОГО ОБЕСПЕЧЕНИЯ ЧАСТЕЙ ГЕРМАНСКОЙ АРМИИ</w:t>
      </w:r>
    </w:p>
    <w:p w14:paraId="29ACB0C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Выписка из опросного листа германского военного старшего лейтенанта Отто Брема, служивше</w:t>
      </w:r>
      <w:r w:rsidRPr="008127F8">
        <w:rPr>
          <w:rFonts w:ascii="Times New Roman" w:hAnsi="Times New Roman"/>
          <w:color w:val="000000" w:themeColor="text1"/>
          <w:sz w:val="16"/>
          <w:szCs w:val="16"/>
        </w:rPr>
        <w:softHyphen/>
        <w:t>го в 120 армейском авторемонтном округе (взят в плен 20.11.1941 г. в районе ст. Майорская)</w:t>
      </w:r>
    </w:p>
    <w:p w14:paraId="610579B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в мае 1941 г. был зачислен в 9 запасный автобатальон в Герфельд и в конце июня пере</w:t>
      </w:r>
      <w:r w:rsidRPr="008127F8">
        <w:rPr>
          <w:rFonts w:ascii="Times New Roman" w:hAnsi="Times New Roman"/>
          <w:color w:val="000000" w:themeColor="text1"/>
          <w:sz w:val="16"/>
          <w:szCs w:val="16"/>
        </w:rPr>
        <w:softHyphen/>
        <w:t>веден в 120 армейский авторемонтный округ в город Кассель. В половине июля пересек границу СССР в районе Перемышль, находясь в должности начальника разведчасти 120 авторемонтного ок</w:t>
      </w:r>
      <w:r w:rsidRPr="008127F8">
        <w:rPr>
          <w:rFonts w:ascii="Times New Roman" w:hAnsi="Times New Roman"/>
          <w:color w:val="000000" w:themeColor="text1"/>
          <w:sz w:val="16"/>
          <w:szCs w:val="16"/>
        </w:rPr>
        <w:softHyphen/>
        <w:t>руга, обслуживавшего 17 армию (вообще армия обслуживается несколькими авторемонтными окру</w:t>
      </w:r>
      <w:r w:rsidRPr="008127F8">
        <w:rPr>
          <w:rFonts w:ascii="Times New Roman" w:hAnsi="Times New Roman"/>
          <w:color w:val="000000" w:themeColor="text1"/>
          <w:sz w:val="16"/>
          <w:szCs w:val="16"/>
        </w:rPr>
        <w:softHyphen/>
        <w:t>гами через свой отдел моторизации).</w:t>
      </w:r>
    </w:p>
    <w:p w14:paraId="2A1B0B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120 авторемонтного округа был капитан Кляузинг.</w:t>
      </w:r>
    </w:p>
    <w:p w14:paraId="6A8CFD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Пленному известно, что в Риге находился 121 авторемонтный округ.</w:t>
      </w:r>
    </w:p>
    <w:p w14:paraId="3DE0865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сообщил сведения по следующим вопросам:</w:t>
      </w:r>
    </w:p>
    <w:p w14:paraId="698EA23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Состояние автопарка.</w:t>
      </w:r>
    </w:p>
    <w:p w14:paraId="1FF277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В/п оценивает состояние автопарка, как сплошь плохое. До 50% машин потеряны окончатель</w:t>
      </w:r>
      <w:r w:rsidRPr="008127F8">
        <w:rPr>
          <w:rFonts w:ascii="Times New Roman" w:hAnsi="Times New Roman"/>
          <w:color w:val="000000" w:themeColor="text1"/>
          <w:sz w:val="16"/>
          <w:szCs w:val="16"/>
        </w:rPr>
        <w:softHyphen/>
        <w:t>но и не могут быть восстановлены. Пополнения автопарка из Германии нет совершенно. Так, 120 ок</w:t>
      </w:r>
      <w:r w:rsidRPr="008127F8">
        <w:rPr>
          <w:rFonts w:ascii="Times New Roman" w:hAnsi="Times New Roman"/>
          <w:color w:val="000000" w:themeColor="text1"/>
          <w:sz w:val="16"/>
          <w:szCs w:val="16"/>
        </w:rPr>
        <w:softHyphen/>
        <w:t>руг работает все время со старыми машинами и нет оснований предполагать, что в других округах положение лучше.</w:t>
      </w:r>
    </w:p>
    <w:p w14:paraId="33D090E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наличного состава автомашин 10-15% непрерывно находятся в ремонте.</w:t>
      </w:r>
    </w:p>
    <w:p w14:paraId="635350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к началу 6 месяца войны войсковой автопарк имеет лишь 35-40 машин из 100, бывших у него 22.6.1941 г.</w:t>
      </w:r>
    </w:p>
    <w:p w14:paraId="0E3A5D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 подчеркивает, что к началу войны все машины были на ходу.</w:t>
      </w:r>
    </w:p>
    <w:p w14:paraId="701EDE9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указанному выше количеству действующих (на ходу) машин в/п прибавляет примерно 10% трофейных машин.</w:t>
      </w:r>
    </w:p>
    <w:p w14:paraId="6B4DFE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 число машин на ходу в настоящее время равно 45% по отношению к наличному соста</w:t>
      </w:r>
      <w:r w:rsidRPr="008127F8">
        <w:rPr>
          <w:rFonts w:ascii="Times New Roman" w:hAnsi="Times New Roman"/>
          <w:color w:val="000000" w:themeColor="text1"/>
          <w:sz w:val="16"/>
          <w:szCs w:val="16"/>
        </w:rPr>
        <w:softHyphen/>
        <w:t>ву на 22.6.1941 г.</w:t>
      </w:r>
    </w:p>
    <w:p w14:paraId="2A3B98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Попутно в/п подчеркивает стремление частей скрыть имеющиеся у них трофейные машины от учета и планового перераспределения органами 120 округа. Для этого части перекрашивают русские зеленые грузовики в серый цвет.</w:t>
      </w:r>
    </w:p>
    <w:p w14:paraId="4B5A5FC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германской армии имеются следующие марки автомашин:</w:t>
      </w:r>
    </w:p>
    <w:p w14:paraId="65193D9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Дизельные: Хеншель, Крупп, Фоиаг, Бюссинг, Наг.</w:t>
      </w:r>
    </w:p>
    <w:p w14:paraId="145CC4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Машины с обычным мотором: Опель и Мерседес.</w:t>
      </w:r>
    </w:p>
    <w:p w14:paraId="45DA7D7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Грузоподъемность машин преимущественно грузовики от 3,5 до 5 тонн. Число их доходит до по</w:t>
      </w:r>
      <w:r w:rsidRPr="008127F8">
        <w:rPr>
          <w:rFonts w:ascii="Times New Roman" w:hAnsi="Times New Roman"/>
          <w:color w:val="000000" w:themeColor="text1"/>
          <w:sz w:val="16"/>
          <w:szCs w:val="16"/>
        </w:rPr>
        <w:softHyphen/>
        <w:t>ловины всего парка.</w:t>
      </w:r>
    </w:p>
    <w:p w14:paraId="6A0C2E6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Грузоподъемность машин войскового парка разнообразна, вообще же она колеблется от 1,5 до 10 тонн. Трехосных грузовых машин нет.</w:t>
      </w:r>
    </w:p>
    <w:p w14:paraId="705CD5A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вездеходов в/п определяет, примерно, в 1% ко всему составу парка и объясняет это тем, что в Германии вездеходы не были нужны, а потому почти и не производились на заводах.</w:t>
      </w:r>
    </w:p>
    <w:p w14:paraId="347E00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Тягачей также мало, как и вездеходов.</w:t>
      </w:r>
    </w:p>
    <w:p w14:paraId="60E320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В/п исчисляет грузовой автопарк 17 А, примерно, в 30-35 тысяч машин, исходя из расчетов: с начала войны 120 автоокруг, обслуживающий 17 А, произвел более 80 тысяч ремонтов, из них — до половины грузовых машин.</w:t>
      </w:r>
    </w:p>
    <w:p w14:paraId="0460C73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Каждая машина становилась на ремонт в среднем один раз.</w:t>
      </w:r>
    </w:p>
    <w:p w14:paraId="0FC7C1AF"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Учитывая в отдельных случаях двухкратный ремонт и ремонт отдельных машин из других ар</w:t>
      </w:r>
      <w:r w:rsidRPr="008127F8">
        <w:rPr>
          <w:i w:val="0"/>
          <w:iCs w:val="0"/>
          <w:color w:val="000000" w:themeColor="text1"/>
          <w:spacing w:val="0"/>
          <w:position w:val="0"/>
          <w:sz w:val="16"/>
          <w:szCs w:val="16"/>
        </w:rPr>
        <w:softHyphen/>
        <w:t>мий, в/п приходит к выводу, что общее количество грузовых машин, имеющихся в 17 А, составляет, примерно, 15-20 тысяч машин.</w:t>
      </w:r>
    </w:p>
    <w:p w14:paraId="7D5E003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 отмечает, что германская армия имеет и французские машины, но их очень немного и они почти исключительно легковые.</w:t>
      </w:r>
    </w:p>
    <w:p w14:paraId="1A3BD7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Организация ремонта машин на фронте.</w:t>
      </w:r>
    </w:p>
    <w:p w14:paraId="04C0DA7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Польская кампания показала, что материальная часть мотомехчастей требует ремонта в боль</w:t>
      </w:r>
      <w:r w:rsidRPr="008127F8">
        <w:rPr>
          <w:rFonts w:ascii="Times New Roman" w:hAnsi="Times New Roman"/>
          <w:color w:val="000000" w:themeColor="text1"/>
          <w:sz w:val="16"/>
          <w:szCs w:val="16"/>
        </w:rPr>
        <w:softHyphen/>
        <w:t>ших масштабах, чем это предусмотрено планом ремонта. Раньше каждой дивизии придавались мо</w:t>
      </w:r>
      <w:r w:rsidRPr="008127F8">
        <w:rPr>
          <w:rFonts w:ascii="Times New Roman" w:hAnsi="Times New Roman"/>
          <w:color w:val="000000" w:themeColor="text1"/>
          <w:sz w:val="16"/>
          <w:szCs w:val="16"/>
        </w:rPr>
        <w:softHyphen/>
        <w:t>торизованные ремонтные роты, сокращенно И. Комп. (мот), которые выполняли несложный ремонт. Более крупный ремонт производился в авторемонтных мастерских в Германии. Генералу Шеллю было поручено создать организацию для ремонта автомашин с тем, чтобы объединить, ускорить и упорядочить весь процесс ремонта.</w:t>
      </w:r>
    </w:p>
    <w:p w14:paraId="758A6B2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главе организации стоит автоцентр, начальником которого является Шелль. Перед автоцент</w:t>
      </w:r>
      <w:r w:rsidRPr="008127F8">
        <w:rPr>
          <w:rFonts w:ascii="Times New Roman" w:hAnsi="Times New Roman"/>
          <w:color w:val="000000" w:themeColor="text1"/>
          <w:sz w:val="16"/>
          <w:szCs w:val="16"/>
        </w:rPr>
        <w:softHyphen/>
        <w:t>ром были поставлены следующие задачи:</w:t>
      </w:r>
    </w:p>
    <w:p w14:paraId="5A3DF2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доставка бензина и масла;</w:t>
      </w:r>
    </w:p>
    <w:p w14:paraId="159AE29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ремонт и доставка шин;</w:t>
      </w:r>
    </w:p>
    <w:p w14:paraId="71F2F68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доставка или закупка новых машин;</w:t>
      </w:r>
    </w:p>
    <w:p w14:paraId="10E8335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восстановление трофейных машин;</w:t>
      </w:r>
    </w:p>
    <w:p w14:paraId="3706878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ремонт поврежденных машин;</w:t>
      </w:r>
    </w:p>
    <w:p w14:paraId="1089B6E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обеспечение запасными частями.</w:t>
      </w:r>
    </w:p>
    <w:p w14:paraId="0E3AC7F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того, чтобы выполнить эти задачи, автоцентр организует новые учреждения. Каждый штаб армии имеет учреждение — отдел моторизации, в задачи которого входит доставка бензина, масла, шин и обеспечение запасными частями. Это учреждение каждые два дня помещает извещение в «Особых распоряжениях по армии», где указывается, сколько литров горючего и масла полагается каждой части, приданной армии, и где находится заправочная станция. Позже, в связи с нехваткой горючего, нормы отпуска бензина и масла резко сократились и отдельные извещения больше не опубликовывались, а каждая часть, приданная армии, стала получать свою норму в виде талонов на бензин и масло. Так, например, приблизительно три недели тому назад установлены нормы отпуска бензина и масла для войсковых частей на Украине, Латвии и Литве. Отпуск горючего производится по талонам, выдаваемым войсковым частям из отдела моторизации штаба армии.</w:t>
      </w:r>
    </w:p>
    <w:p w14:paraId="0015EE8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дизель-моторов, то для них горючее можно получать без ограничения из цистерн, находящихся в порту Кременчуг. Бывают случаи, когда воинской части не хватает нормы бензина, отпускаемого по талонам. Так, например, две недели тому назад, вследствие плохого состояния до</w:t>
      </w:r>
      <w:r w:rsidRPr="008127F8">
        <w:rPr>
          <w:rFonts w:ascii="Times New Roman" w:hAnsi="Times New Roman"/>
          <w:color w:val="000000" w:themeColor="text1"/>
          <w:sz w:val="16"/>
          <w:szCs w:val="16"/>
        </w:rPr>
        <w:softHyphen/>
        <w:t>рог, начальник колонны должен был лично связаться с отделом моторизации для того, чтобы полу</w:t>
      </w:r>
      <w:r w:rsidRPr="008127F8">
        <w:rPr>
          <w:rFonts w:ascii="Times New Roman" w:hAnsi="Times New Roman"/>
          <w:color w:val="000000" w:themeColor="text1"/>
          <w:sz w:val="16"/>
          <w:szCs w:val="16"/>
        </w:rPr>
        <w:softHyphen/>
        <w:t>чить дополнительные талоны на бензин, однако, этого не всегда удается добиться. Талоны на бензин имеют хождение только в действующей армии.</w:t>
      </w:r>
    </w:p>
    <w:p w14:paraId="646B7E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Германии горючее выдается также только по особым нарядам, которые действительны как для гражданских организаций, так и для воинских частей. Наряды выдаются воинским частям также от</w:t>
      </w:r>
      <w:r w:rsidRPr="008127F8">
        <w:rPr>
          <w:rFonts w:ascii="Times New Roman" w:hAnsi="Times New Roman"/>
          <w:color w:val="000000" w:themeColor="text1"/>
          <w:sz w:val="16"/>
          <w:szCs w:val="16"/>
        </w:rPr>
        <w:softHyphen/>
        <w:t>делами моторизации по особым заявкам. В Германии они выдаются управлением округа.</w:t>
      </w:r>
    </w:p>
    <w:p w14:paraId="0AF1A0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Дальнейшая задача отдела моторизации — доставать покрышки и камеры. Отдельные воинские части получают их также по особым талонам, по одной камере на талон. Вследствие большого недо</w:t>
      </w:r>
      <w:r w:rsidRPr="008127F8">
        <w:rPr>
          <w:rFonts w:ascii="Times New Roman" w:hAnsi="Times New Roman"/>
          <w:color w:val="000000" w:themeColor="text1"/>
          <w:sz w:val="16"/>
          <w:szCs w:val="16"/>
        </w:rPr>
        <w:softHyphen/>
        <w:t>статка авторезины, талоны на нее получить трудно. Кроме того, отдел моторизации выдает запасные части по нарядам армейского автопарка, о котором будет сказано ниже.</w:t>
      </w:r>
    </w:p>
    <w:p w14:paraId="729D56F1"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Дальнейшая организация автоцентра: авторемонтный парк, находящийся в Германии, армейский и этапный автопарки. Задача всех трех парков — ремонтировать неисправные машины. До сих пор эти задачи выполняли ремонтные роты, которые были приданы дивизиям. Эти парки имеют и другую зада</w:t>
      </w:r>
      <w:r w:rsidRPr="008127F8">
        <w:rPr>
          <w:i w:val="0"/>
          <w:iCs w:val="0"/>
          <w:color w:val="000000" w:themeColor="text1"/>
          <w:spacing w:val="0"/>
          <w:position w:val="0"/>
          <w:sz w:val="16"/>
          <w:szCs w:val="16"/>
        </w:rPr>
        <w:softHyphen/>
        <w:t>чу — доставлять на буксире в мастерскую машины, требующие ремонта. Для этого каждый парк имеет буксирный отряд, который снабжен особо сконструированными автомашинами и отдельными гусенич</w:t>
      </w:r>
      <w:r w:rsidRPr="008127F8">
        <w:rPr>
          <w:i w:val="0"/>
          <w:iCs w:val="0"/>
          <w:color w:val="000000" w:themeColor="text1"/>
          <w:spacing w:val="0"/>
          <w:position w:val="0"/>
          <w:sz w:val="16"/>
          <w:szCs w:val="16"/>
        </w:rPr>
        <w:softHyphen/>
        <w:t>ными тягачами. И, наконец, в задачу парков входит восстановительный ремонт трофейных машин.</w:t>
      </w:r>
    </w:p>
    <w:p w14:paraId="191D556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Процесс </w:t>
      </w:r>
      <w:proofErr w:type="gramStart"/>
      <w:r w:rsidRPr="008127F8">
        <w:rPr>
          <w:rFonts w:ascii="Times New Roman" w:hAnsi="Times New Roman"/>
          <w:color w:val="000000" w:themeColor="text1"/>
          <w:sz w:val="16"/>
          <w:szCs w:val="16"/>
        </w:rPr>
        <w:t>ремонта</w:t>
      </w:r>
      <w:proofErr w:type="gramEnd"/>
      <w:r w:rsidRPr="008127F8">
        <w:rPr>
          <w:rFonts w:ascii="Times New Roman" w:hAnsi="Times New Roman"/>
          <w:color w:val="000000" w:themeColor="text1"/>
          <w:sz w:val="16"/>
          <w:szCs w:val="16"/>
        </w:rPr>
        <w:t xml:space="preserve"> следующий: воинская часть отдает свою поврежденную машину в моторизо</w:t>
      </w:r>
      <w:r w:rsidRPr="008127F8">
        <w:rPr>
          <w:rFonts w:ascii="Times New Roman" w:hAnsi="Times New Roman"/>
          <w:color w:val="000000" w:themeColor="text1"/>
          <w:sz w:val="16"/>
          <w:szCs w:val="16"/>
        </w:rPr>
        <w:softHyphen/>
        <w:t>ванную роту дивизии. Если повреждение не может быть быстро установлено, или когда моторизо</w:t>
      </w:r>
      <w:r w:rsidRPr="008127F8">
        <w:rPr>
          <w:rFonts w:ascii="Times New Roman" w:hAnsi="Times New Roman"/>
          <w:color w:val="000000" w:themeColor="text1"/>
          <w:sz w:val="16"/>
          <w:szCs w:val="16"/>
        </w:rPr>
        <w:softHyphen/>
        <w:t>ванная ремонтная рота сильно повреждена, воинская часть отправляет свои машины в этапный парк, где машины отсылаются на сборный пункт и распределяются по группам:</w:t>
      </w:r>
    </w:p>
    <w:p w14:paraId="156177E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Машины с малым повреждением, которое может быть устранено в ремонтных мастерских этапного автопарка.</w:t>
      </w:r>
    </w:p>
    <w:p w14:paraId="5742AB7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Что не может исправить этапный автопарк, он отдает в армейский автопарк.</w:t>
      </w:r>
    </w:p>
    <w:p w14:paraId="33B800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Машины с большим повреждением, для устранения которого требуется специальное обору</w:t>
      </w:r>
      <w:r w:rsidRPr="008127F8">
        <w:rPr>
          <w:rFonts w:ascii="Times New Roman" w:hAnsi="Times New Roman"/>
          <w:color w:val="000000" w:themeColor="text1"/>
          <w:sz w:val="16"/>
          <w:szCs w:val="16"/>
        </w:rPr>
        <w:softHyphen/>
        <w:t>дование, отправляются в Германию, где поступают в автопарки.</w:t>
      </w:r>
    </w:p>
    <w:p w14:paraId="3507FC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Машины, которые не могут быть отремонтированы, отдаются в качестве железного лома вой</w:t>
      </w:r>
      <w:r w:rsidRPr="008127F8">
        <w:rPr>
          <w:rFonts w:ascii="Times New Roman" w:hAnsi="Times New Roman"/>
          <w:color w:val="000000" w:themeColor="text1"/>
          <w:sz w:val="16"/>
          <w:szCs w:val="16"/>
        </w:rPr>
        <w:softHyphen/>
        <w:t>сковым частям для использования подходящих деталей.</w:t>
      </w:r>
    </w:p>
    <w:p w14:paraId="0E671A6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этапный автопарк и армейский парк имеют задачу ремонтировать трофейные ма</w:t>
      </w:r>
      <w:r w:rsidRPr="008127F8">
        <w:rPr>
          <w:rFonts w:ascii="Times New Roman" w:hAnsi="Times New Roman"/>
          <w:color w:val="000000" w:themeColor="text1"/>
          <w:sz w:val="16"/>
          <w:szCs w:val="16"/>
        </w:rPr>
        <w:softHyphen/>
        <w:t>шины. Сейчас же после боев в районе Киева 602 армейский автопарк (Киев) и 622 армейский авто</w:t>
      </w:r>
      <w:r w:rsidRPr="008127F8">
        <w:rPr>
          <w:rFonts w:ascii="Times New Roman" w:hAnsi="Times New Roman"/>
          <w:color w:val="000000" w:themeColor="text1"/>
          <w:sz w:val="16"/>
          <w:szCs w:val="16"/>
        </w:rPr>
        <w:softHyphen/>
        <w:t>парк (Любяч) вывезли 2000 автомашин и отправили в особые пункты в районе Любяч и Борисполь. Все же только около 100 машин из них могли быть снова восстановлены, так как у всех других отсут</w:t>
      </w:r>
      <w:r w:rsidRPr="008127F8">
        <w:rPr>
          <w:rFonts w:ascii="Times New Roman" w:hAnsi="Times New Roman"/>
          <w:color w:val="000000" w:themeColor="text1"/>
          <w:sz w:val="16"/>
          <w:szCs w:val="16"/>
        </w:rPr>
        <w:softHyphen/>
        <w:t>ствовали части системы зажигания, которые нельзя было получить со склада.</w:t>
      </w:r>
    </w:p>
    <w:p w14:paraId="246B86C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того чтобы охватить все парки, автоцентр создал высшее учреждение — армейский автоок</w:t>
      </w:r>
      <w:r w:rsidRPr="008127F8">
        <w:rPr>
          <w:rFonts w:ascii="Times New Roman" w:hAnsi="Times New Roman"/>
          <w:color w:val="000000" w:themeColor="text1"/>
          <w:sz w:val="16"/>
          <w:szCs w:val="16"/>
        </w:rPr>
        <w:softHyphen/>
        <w:t>руг, которому подчиняются 3-4 парка. В армии на востоке в качестве новой организации, объединя</w:t>
      </w:r>
      <w:r w:rsidRPr="008127F8">
        <w:rPr>
          <w:rFonts w:ascii="Times New Roman" w:hAnsi="Times New Roman"/>
          <w:color w:val="000000" w:themeColor="text1"/>
          <w:sz w:val="16"/>
          <w:szCs w:val="16"/>
        </w:rPr>
        <w:softHyphen/>
        <w:t>ющей армейские автоокруга, созданы три командных пункта: северный, центральный и южный. Последний частично находится в Полтаве.</w:t>
      </w:r>
    </w:p>
    <w:p w14:paraId="4C1E59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Структура АЦ армии на востоке:</w:t>
      </w:r>
    </w:p>
    <w:p w14:paraId="434C5DD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Автоцентр (восточный): начальник майор Нильшер — Варшава.</w:t>
      </w:r>
    </w:p>
    <w:p w14:paraId="63B8A1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 охватывает:</w:t>
      </w:r>
    </w:p>
    <w:p w14:paraId="3D092B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Северный командный пункт.</w:t>
      </w:r>
    </w:p>
    <w:p w14:paraId="23D3CB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Центральный командный пункт.</w:t>
      </w:r>
    </w:p>
    <w:p w14:paraId="0F2AB5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Южный командный пункт (частично в Полтаве), руководитель — капитан Шварцкопф. Южный командный пункт имеет:</w:t>
      </w:r>
    </w:p>
    <w:p w14:paraId="748CF3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106 армейский автоокруг — Львов. Он простирается от Львова до Проскурова. Парки распо</w:t>
      </w:r>
      <w:r w:rsidRPr="008127F8">
        <w:rPr>
          <w:rFonts w:ascii="Times New Roman" w:hAnsi="Times New Roman"/>
          <w:color w:val="000000" w:themeColor="text1"/>
          <w:sz w:val="16"/>
          <w:szCs w:val="16"/>
        </w:rPr>
        <w:softHyphen/>
        <w:t>ложены: Тарнополь, Броды, Львов.</w:t>
      </w:r>
    </w:p>
    <w:p w14:paraId="5E629B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108 армейский автоокруг. Начальник майор Жипер, Киев. Парки расположены: Житомир, Киев, Винница.</w:t>
      </w:r>
    </w:p>
    <w:p w14:paraId="07EB92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119 армейский автоокруг — Кировоград. Парки расположены: Кировоград, Кривой Рог.</w:t>
      </w:r>
    </w:p>
    <w:p w14:paraId="736B18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129 армейский автоокруг — Кременчуг. Парки расположены: Лубны, Полтава, Днепропетровск.</w:t>
      </w:r>
    </w:p>
    <w:p w14:paraId="6E927E7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120 армейский автоокруг — Сталино (только что организован). Начальник — капитан Клау-зинг. Место расположения парков намечено в Сталино и Ростове.</w:t>
      </w:r>
    </w:p>
    <w:p w14:paraId="050AEE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Этапный автопарк 17 армии находился недавно в Кременчуге. 20.11.1941 г. в/п проезжал че</w:t>
      </w:r>
      <w:r w:rsidRPr="008127F8">
        <w:rPr>
          <w:rFonts w:ascii="Times New Roman" w:hAnsi="Times New Roman"/>
          <w:color w:val="000000" w:themeColor="text1"/>
          <w:sz w:val="16"/>
          <w:szCs w:val="16"/>
        </w:rPr>
        <w:softHyphen/>
        <w:t>рез Кременчуг и видел, что все гаражи были конфискованы, но еще не заняты.</w:t>
      </w:r>
    </w:p>
    <w:p w14:paraId="0F64F4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Работа парков.</w:t>
      </w:r>
    </w:p>
    <w:p w14:paraId="2EF2E4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Парки имеют чрезвычайно много работы. В большинстве случаев они настолько перегружены, что вывешивают дощечку с надписью: «Прием закрыт». Немецкие машины не приспособлены к рус</w:t>
      </w:r>
      <w:r w:rsidRPr="008127F8">
        <w:rPr>
          <w:rFonts w:ascii="Times New Roman" w:hAnsi="Times New Roman"/>
          <w:color w:val="000000" w:themeColor="text1"/>
          <w:sz w:val="16"/>
          <w:szCs w:val="16"/>
        </w:rPr>
        <w:softHyphen/>
        <w:t>ским дорожным условиям. Часто бывают поломки рессор. В июле и августе был большой недостаток стали, поэтому много машин не могло ремонтироваться.</w:t>
      </w:r>
    </w:p>
    <w:p w14:paraId="3746E6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Хорошая ремонтная мастерская парка ежедневно ремонтировала 10-12 машин.</w:t>
      </w:r>
    </w:p>
    <w:p w14:paraId="3615A3A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 парка предназначены для ремонта автомашин, а не танков. Танковая группа Кляйста имеет для ремонта танков свои собственные мастерские. Только в августе, когда тан</w:t>
      </w:r>
      <w:r w:rsidRPr="008127F8">
        <w:rPr>
          <w:rFonts w:ascii="Times New Roman" w:hAnsi="Times New Roman"/>
          <w:color w:val="000000" w:themeColor="text1"/>
          <w:sz w:val="16"/>
          <w:szCs w:val="16"/>
        </w:rPr>
        <w:softHyphen/>
        <w:t>ковая группа Кляйста готовилась к новому наступлению, все мастерские парка были использованы для ремонта всех машин, принадлежащих группе Кляйста.</w:t>
      </w:r>
    </w:p>
    <w:p w14:paraId="773344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Запасные части.</w:t>
      </w:r>
    </w:p>
    <w:p w14:paraId="04DDD3D3"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Небольшое количество запасных частей находится на складах запчастей этапного автопарка. Большое количество — на центральных складах, один из которых расположен в Крабане, другой — в Вердичеве для южного командного пункта. Новый склад должен быть организован в Сталино (11211).</w:t>
      </w:r>
    </w:p>
    <w:p w14:paraId="4D14039E" w14:textId="77777777" w:rsidR="00D4651C" w:rsidRPr="008127F8" w:rsidRDefault="00D4651C" w:rsidP="001E0A84">
      <w:pPr>
        <w:pStyle w:val="afff5"/>
        <w:jc w:val="both"/>
        <w:rPr>
          <w:i w:val="0"/>
          <w:iCs w:val="0"/>
          <w:color w:val="000000" w:themeColor="text1"/>
          <w:spacing w:val="0"/>
          <w:position w:val="0"/>
          <w:sz w:val="16"/>
          <w:szCs w:val="16"/>
        </w:rPr>
      </w:pPr>
    </w:p>
    <w:p w14:paraId="13DBA68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6C916D79" w14:textId="77777777" w:rsidR="00D4651C" w:rsidRPr="008127F8" w:rsidRDefault="00D4651C" w:rsidP="001E0A84">
      <w:pPr>
        <w:pStyle w:val="Iauiue"/>
        <w:jc w:val="both"/>
        <w:rPr>
          <w:iCs/>
          <w:color w:val="000000" w:themeColor="text1"/>
          <w:sz w:val="16"/>
          <w:szCs w:val="16"/>
        </w:rPr>
      </w:pPr>
    </w:p>
    <w:p w14:paraId="2221BDA2" w14:textId="77777777" w:rsidR="00631A45" w:rsidRPr="008127F8" w:rsidRDefault="00631A4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Зоотехник С.Ю. Канцлер вспоминал: "В ночь с 3 на 4 января 1942 г. я был ответственным дежурным по Зоопарку. Часов в десять вечера противник неожиданно начал бомбить нашу территорию. Не помню, была тревога или нет - я находился в это время в управлении, как вдруг услышал взрывы фугасных бомб, правда небольших. Одновременно было сброшено много зажигательных бомб. Когда я вышел из помещения, то увидел такую картину: весь львятник и обезьянник в дыму и огне. Оказалось, что на них сброшены зажигательные бомбы. Огонь начал охватывать стропила, но разгорался медленно, и мы быстро потушили его. Зажигалки пробили крышу и попали в помещение, где находилась человекообразная обезьяна по кличке Парис Обезьяна была чрезвычайно напугана, рвала дверь, бросалась на решетку. Ночной огонь, блеск возбуждающе действовали на животных. Впечатление было такое, что обезьянник горит изнутри. Наш работник Комарова Липа, пожарник, влезла на крышу и затушила эти зажигалки. Мы открыли помещение, проветрили его так, чтобы там не было дыма, и все обошлось благополучно... Не успели мы затушить львятник и обезьянник, как ко мне прибежал связной и сказал, что горит слоновник. В слоновники у нас находятся наиболее ценные животные: слоны, бегемоты, жирафы... Там все стекла оказались выбитыми взрывной волной, из помещении шц который служащие приняли за дым, и р ли, что слоновник горит. Пожара не осталось, но, поскольку в этот день был силищ мороз, примерно 30 градусов, и тан шц лись ценные теплолюбивые животные, иеобходимо было немедленно забить окна. Буквально за какие-нибудь 20 мин. все пробоины были заделаны" (18696).</w:t>
      </w:r>
    </w:p>
    <w:p w14:paraId="0374C14D" w14:textId="77777777" w:rsidR="00631A45" w:rsidRPr="008127F8" w:rsidRDefault="00631A45" w:rsidP="001E0A84">
      <w:pPr>
        <w:spacing w:after="0" w:line="240" w:lineRule="auto"/>
        <w:jc w:val="both"/>
        <w:rPr>
          <w:rFonts w:ascii="Times New Roman" w:hAnsi="Times New Roman"/>
          <w:color w:val="000000" w:themeColor="text1"/>
          <w:sz w:val="16"/>
          <w:szCs w:val="16"/>
        </w:rPr>
      </w:pPr>
    </w:p>
    <w:p w14:paraId="31286B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1942 вышло Постановление ГКО № 1097 О возврате на Монинский камвольный комбинат, эвакуированного с него оборудования. РГАНИР, Фонд ГКО, д. 18, лл. 147 (11012).</w:t>
      </w:r>
    </w:p>
    <w:p w14:paraId="76AF421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C875D5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3014F5E0" w14:textId="77777777" w:rsidR="00D4651C" w:rsidRPr="008127F8" w:rsidRDefault="00D4651C" w:rsidP="001E0A84">
      <w:pPr>
        <w:pStyle w:val="Iauiue"/>
        <w:jc w:val="both"/>
        <w:rPr>
          <w:iCs/>
          <w:color w:val="000000" w:themeColor="text1"/>
          <w:sz w:val="16"/>
          <w:szCs w:val="16"/>
        </w:rPr>
      </w:pPr>
    </w:p>
    <w:p w14:paraId="2F296459"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3 января 1942 вышло Постановление ГКО № 1096 О Чехословацкой бригаде на территории Союза ССР. (7019, 145-146).</w:t>
      </w:r>
    </w:p>
    <w:p w14:paraId="61FB793B" w14:textId="77777777" w:rsidR="00D4651C" w:rsidRPr="008127F8" w:rsidRDefault="00D4651C" w:rsidP="001E0A84">
      <w:pPr>
        <w:pStyle w:val="Iauiue"/>
        <w:tabs>
          <w:tab w:val="left" w:pos="11199"/>
        </w:tabs>
        <w:jc w:val="both"/>
        <w:rPr>
          <w:color w:val="000000" w:themeColor="text1"/>
          <w:sz w:val="16"/>
          <w:szCs w:val="16"/>
        </w:rPr>
      </w:pPr>
    </w:p>
    <w:p w14:paraId="0766B08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098F6B63" w14:textId="77777777" w:rsidR="00D4651C" w:rsidRPr="008127F8" w:rsidRDefault="00D4651C" w:rsidP="001E0A84">
      <w:pPr>
        <w:pStyle w:val="Iauiue"/>
        <w:jc w:val="both"/>
        <w:rPr>
          <w:iCs/>
          <w:color w:val="000000" w:themeColor="text1"/>
          <w:sz w:val="16"/>
          <w:szCs w:val="16"/>
        </w:rPr>
      </w:pPr>
    </w:p>
    <w:p w14:paraId="5E1772DB" w14:textId="77777777" w:rsidR="00231335" w:rsidRPr="008127F8" w:rsidRDefault="00231335"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января</w:t>
      </w:r>
      <w:r w:rsidRPr="008127F8">
        <w:rPr>
          <w:rFonts w:ascii="Times New Roman" w:hAnsi="Times New Roman"/>
          <w:color w:val="000000" w:themeColor="text1"/>
          <w:sz w:val="16"/>
          <w:szCs w:val="16"/>
        </w:rPr>
        <w:t xml:space="preserve"> в 1942 году первый пробный полет одной из двух собранный в Канзас-Сити «B-25D» («NA-87») "Mitchell", пилотировал машину Пол Балфур. Через месяц пробных полетов начался серийный выпуск. Самолеты «В-25D» целиком изготавливались филиалом «NAA» в Канзас-Сити и фирмой «Fisher Body Division». Первоначально «B-25D» ничем не отличались от «В-25С», но уже на серии «B-25D-1» появились наружные бомбодержатели под крыльями (можно было подвесить шесть-восемь бомб массой от 100 до 325 фунтов - 45,5...147,5 кг), самогерметизирующиеся бензобаки в центроплане, самогерметизирующиеся маслобаки и воздушные фильтры на наддуве. Как и на «В-25С» за кабиной пилота установили астронавигационную башенку, а также начали использовать турели «Bendix Amplidyne». Под фюзеляжем установили подвеску для торпеды, а начиная с экземпляра 41-30352 на самолеты начали ставить "пальцевые" пламегасители на выхлопные патрубки. В варианте «B-25D-5» усилили защиту передней полусферы самолета. Вместо пулемета калибра 7,62 мм установили три 12,7-мм пулемета - два неподвижно и один с возможностью наведения. Был усовершенствован бомбоприцел, а начиная с экземпляра 41-30532 в каждой третьей машине устанавливался в бомбоотсеке сбрасываемый топливный бак объемом 585 галлонов (2145 л). Начиная с экземпляра 41-30057 самолеты получили усиленный обогрев кабины пилотов. Дополнительное оборудование появилось на «B-25D-10». Самолеты этой серии были приспособлены к эксплуатации в условиях крайнего севера. Как и на «С-10», на них поставили компас AM и систему аварийного выпуска шасси. Следующая серия «B-25D-15» оснащалась системой отвода выхлопных газов типа «Clayton» "S". Серия «D-20» началась с экземпляра 41-30533. Самолеты этой серии отличались фонарем кабины пилотов с меньшим числом переплетов, а также наличием бронеспинки на кресле второго пилота. Кроме того, самолеты оснастили приборами «D-14», позволявшими контролировать давление масла и топлива. В бомбоотсеке установили самогерметизирующиеся бензобаки объемом 250 галлонов (870 л), а в каждом втором самолете ставили дополнительный бак объемом 325 галлонов (1230 л). Серия «B-25D-25» отличалась наличием переносных кислородных приборов, а машины «D-30» проходили дополнительную подготовку к эксплуатации в зимних условиях. Последний «B-25D» "Mitchell" покинул ворота завода в Канзас-Сити в марте 1944 года (14998).</w:t>
      </w:r>
    </w:p>
    <w:p w14:paraId="449E16BF" w14:textId="77777777" w:rsidR="00231335" w:rsidRPr="008127F8" w:rsidRDefault="00231335" w:rsidP="001E0A84">
      <w:pPr>
        <w:spacing w:after="0" w:line="240" w:lineRule="auto"/>
        <w:jc w:val="both"/>
        <w:rPr>
          <w:rFonts w:ascii="Times New Roman" w:hAnsi="Times New Roman"/>
          <w:color w:val="000000" w:themeColor="text1"/>
          <w:sz w:val="16"/>
          <w:szCs w:val="16"/>
        </w:rPr>
      </w:pPr>
    </w:p>
    <w:p w14:paraId="7FDB79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января 1942 немецко-итальянские части, окруженные в Баридии, сдались британским войскам (3186).</w:t>
      </w:r>
    </w:p>
    <w:p w14:paraId="21CD19FE" w14:textId="77777777" w:rsidR="00D4651C" w:rsidRPr="008127F8" w:rsidRDefault="00D4651C" w:rsidP="001E0A84">
      <w:pPr>
        <w:pStyle w:val="Iauiue"/>
        <w:jc w:val="both"/>
        <w:rPr>
          <w:color w:val="000000" w:themeColor="text1"/>
          <w:sz w:val="16"/>
          <w:szCs w:val="16"/>
        </w:rPr>
      </w:pPr>
    </w:p>
    <w:p w14:paraId="546AFA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3 января 1942 г. началась регулярная приемка Hsl29B-l люфтваффе. Всего по апрель месяц включительно люфтваффе приняло 44 Hsl29B-l (8907).</w:t>
      </w:r>
    </w:p>
    <w:p w14:paraId="2711D57C" w14:textId="77777777" w:rsidR="00D4651C" w:rsidRPr="008127F8" w:rsidRDefault="00D4651C" w:rsidP="001E0A84">
      <w:pPr>
        <w:pStyle w:val="Iauiue"/>
        <w:jc w:val="both"/>
        <w:rPr>
          <w:color w:val="000000" w:themeColor="text1"/>
          <w:sz w:val="16"/>
          <w:szCs w:val="16"/>
        </w:rPr>
      </w:pPr>
    </w:p>
    <w:p w14:paraId="7237CAA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6165D230" w14:textId="77777777" w:rsidR="00D4651C" w:rsidRPr="008127F8" w:rsidRDefault="00D4651C" w:rsidP="001E0A84">
      <w:pPr>
        <w:pStyle w:val="Iauiue"/>
        <w:jc w:val="both"/>
        <w:rPr>
          <w:iCs/>
          <w:color w:val="000000" w:themeColor="text1"/>
          <w:sz w:val="16"/>
          <w:szCs w:val="16"/>
        </w:rPr>
      </w:pPr>
    </w:p>
    <w:p w14:paraId="1A3D68C3"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4 января 1942 г. в докладе командующего ВВС МВО генерал-майора Сбытова на имя командую</w:t>
      </w:r>
      <w:r w:rsidRPr="008127F8">
        <w:rPr>
          <w:color w:val="000000" w:themeColor="text1"/>
          <w:sz w:val="16"/>
          <w:szCs w:val="16"/>
        </w:rPr>
        <w:softHyphen/>
        <w:t>щего ВВС КА и заместителя наркома обороны гене</w:t>
      </w:r>
      <w:r w:rsidRPr="008127F8">
        <w:rPr>
          <w:color w:val="000000" w:themeColor="text1"/>
          <w:sz w:val="16"/>
          <w:szCs w:val="16"/>
        </w:rPr>
        <w:softHyphen/>
        <w:t>рал-полковника Жигарева отмечалось, что «в 65-м шап мною была проведена установка и испытание в боевых условиях на самолете Ил-2 РС типа М13 (системы Костикова — 42 кг). На каждую плоскость самолета подвешивалось по 2 РС-82 или РС-132 и по 2 М13. Испытания показали, что самолет в по</w:t>
      </w:r>
      <w:r w:rsidRPr="008127F8">
        <w:rPr>
          <w:color w:val="000000" w:themeColor="text1"/>
          <w:sz w:val="16"/>
          <w:szCs w:val="16"/>
        </w:rPr>
        <w:softHyphen/>
        <w:t>лете и при стрельбе ведет себя нормально, а дей</w:t>
      </w:r>
      <w:r w:rsidRPr="008127F8">
        <w:rPr>
          <w:color w:val="000000" w:themeColor="text1"/>
          <w:sz w:val="16"/>
          <w:szCs w:val="16"/>
        </w:rPr>
        <w:softHyphen/>
        <w:t>ствия М13 дают исключительно большую эффектив</w:t>
      </w:r>
      <w:r w:rsidRPr="008127F8">
        <w:rPr>
          <w:color w:val="000000" w:themeColor="text1"/>
          <w:sz w:val="16"/>
          <w:szCs w:val="16"/>
        </w:rPr>
        <w:softHyphen/>
        <w:t>ность. Взрыватели ставились от авиабомб».</w:t>
      </w:r>
    </w:p>
    <w:p w14:paraId="40E8B4D7"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Копия доклада была направлена начальнику авиационного отдела Оперативного управления Ге</w:t>
      </w:r>
      <w:r w:rsidRPr="008127F8">
        <w:rPr>
          <w:color w:val="000000" w:themeColor="text1"/>
          <w:sz w:val="16"/>
          <w:szCs w:val="16"/>
        </w:rPr>
        <w:softHyphen/>
        <w:t>нерального штаба Красной Армии генерал-майору Викуленкову.</w:t>
      </w:r>
    </w:p>
    <w:p w14:paraId="3A6E7831"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Как следует из доклада командира 65-го шап подполковника Витрука по результатам испытаний М-13, основными вариантами загрузки Ил-2 явля</w:t>
      </w:r>
      <w:r w:rsidRPr="008127F8">
        <w:rPr>
          <w:color w:val="000000" w:themeColor="text1"/>
          <w:sz w:val="16"/>
          <w:szCs w:val="16"/>
        </w:rPr>
        <w:softHyphen/>
        <w:t>лись: 4 снаряда М-13, 4 РС-132 или РС-82 и 4 бом</w:t>
      </w:r>
      <w:r w:rsidRPr="008127F8">
        <w:rPr>
          <w:color w:val="000000" w:themeColor="text1"/>
          <w:sz w:val="16"/>
          <w:szCs w:val="16"/>
        </w:rPr>
        <w:softHyphen/>
        <w:t>бы типа ФАБ-50. Использовались взрыватели типа АМ-А с переходной втулкой. Ветрянка контрилась проволокой за лопасть ветрянки.</w:t>
      </w:r>
    </w:p>
    <w:p w14:paraId="3B05D2B5"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мнению старшего лейтенанта Торева, ракет</w:t>
      </w:r>
      <w:r w:rsidRPr="008127F8">
        <w:rPr>
          <w:color w:val="000000" w:themeColor="text1"/>
          <w:sz w:val="16"/>
          <w:szCs w:val="16"/>
        </w:rPr>
        <w:softHyphen/>
        <w:t>ный снаряд М-13 при действии по технике и живой силе действует весьма эффективно. По сравнению с ракетным снарядом типа РС-132 снаряд М-13 «при отрыве от самолета создает торможение на плоскость сильнее и снижение по траектории боль</w:t>
      </w:r>
      <w:r w:rsidRPr="008127F8">
        <w:rPr>
          <w:color w:val="000000" w:themeColor="text1"/>
          <w:sz w:val="16"/>
          <w:szCs w:val="16"/>
        </w:rPr>
        <w:softHyphen/>
        <w:t>ше». То есть при пуске М-13 с той же высоты, что и РС-132, снаряд «ложится по дистанции ближе».</w:t>
      </w:r>
    </w:p>
    <w:p w14:paraId="69713A99"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Применяя М-13 по автомашинам численностью около 30 единиц, Торев уже первым снарядом по</w:t>
      </w:r>
      <w:r w:rsidRPr="008127F8">
        <w:rPr>
          <w:color w:val="000000" w:themeColor="text1"/>
          <w:sz w:val="16"/>
          <w:szCs w:val="16"/>
        </w:rPr>
        <w:softHyphen/>
        <w:t>пал «метров в 30 от головы колонны, и 3 машины от волны разрыва были перевернуты за дорогу». Вто</w:t>
      </w:r>
      <w:r w:rsidRPr="008127F8">
        <w:rPr>
          <w:color w:val="000000" w:themeColor="text1"/>
          <w:sz w:val="16"/>
          <w:szCs w:val="16"/>
        </w:rPr>
        <w:softHyphen/>
        <w:t>рой снаряд попал точно в середину колонны. Было видно, как летят щепки и осколки от автомашин, «а в том месте, где была автомашина, после разрыва РС ничего не осталось». Последние «2 больших РС» старший лейтенант Торев «бросил по деревне, где было много пехоты и автомашин». Снаряд М-13 «попал точно в цель и задел дом, который тоже рас</w:t>
      </w:r>
      <w:r w:rsidRPr="008127F8">
        <w:rPr>
          <w:color w:val="000000" w:themeColor="text1"/>
          <w:sz w:val="16"/>
          <w:szCs w:val="16"/>
        </w:rPr>
        <w:softHyphen/>
        <w:t>катило по бревнам, наблюдался пожар и взрывы».</w:t>
      </w:r>
    </w:p>
    <w:p w14:paraId="37E1FF69"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Летчик Болгов выполнял пуски М-13 с дистан</w:t>
      </w:r>
      <w:r w:rsidRPr="008127F8">
        <w:rPr>
          <w:color w:val="000000" w:themeColor="text1"/>
          <w:sz w:val="16"/>
          <w:szCs w:val="16"/>
        </w:rPr>
        <w:softHyphen/>
        <w:t>ции от 600 до 300 м. В одном из полетов Болгов сделал залп из двух М-13 на цель из 7 груженых ав</w:t>
      </w:r>
      <w:r w:rsidRPr="008127F8">
        <w:rPr>
          <w:color w:val="000000" w:themeColor="text1"/>
          <w:sz w:val="16"/>
          <w:szCs w:val="16"/>
        </w:rPr>
        <w:softHyphen/>
        <w:t>томашин, подходивших к передовой. Первый сна</w:t>
      </w:r>
      <w:r w:rsidRPr="008127F8">
        <w:rPr>
          <w:color w:val="000000" w:themeColor="text1"/>
          <w:sz w:val="16"/>
          <w:szCs w:val="16"/>
        </w:rPr>
        <w:softHyphen/>
        <w:t>ряд разорвался в 1,5—2 м сбоку головной машины, а второй снаряд попал точно в середину колонны. Благодаря тому, что «машины были в движении и атака была произведена в лоб, задние на полном ходу наезжали одна на одну после того, как перед</w:t>
      </w:r>
      <w:r w:rsidRPr="008127F8">
        <w:rPr>
          <w:color w:val="000000" w:themeColor="text1"/>
          <w:sz w:val="16"/>
          <w:szCs w:val="16"/>
        </w:rPr>
        <w:softHyphen/>
        <w:t>няя была разбита». Второй снаряд уже разнес все машины. Было хорошо видно, что «струя пламени, снежной пыли и осколков от машин в момент раз</w:t>
      </w:r>
      <w:r w:rsidRPr="008127F8">
        <w:rPr>
          <w:color w:val="000000" w:themeColor="text1"/>
          <w:sz w:val="16"/>
          <w:szCs w:val="16"/>
        </w:rPr>
        <w:softHyphen/>
        <w:t>рыва РС летит до 50 м во все стороны».</w:t>
      </w:r>
    </w:p>
    <w:p w14:paraId="74103456"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ряду основных выводов указывалось следую</w:t>
      </w:r>
      <w:r w:rsidRPr="008127F8">
        <w:rPr>
          <w:color w:val="000000" w:themeColor="text1"/>
          <w:sz w:val="16"/>
          <w:szCs w:val="16"/>
        </w:rPr>
        <w:softHyphen/>
        <w:t>щее: «Для более эффективного действия самолета штурмовика Ил-2 по танкам, автомашинам и живой силе противника желательно применять РС М-13, так как последние имеют исключительно большой эффект по уничтожению танков, автомашин и жи</w:t>
      </w:r>
      <w:r w:rsidRPr="008127F8">
        <w:rPr>
          <w:color w:val="000000" w:themeColor="text1"/>
          <w:sz w:val="16"/>
          <w:szCs w:val="16"/>
        </w:rPr>
        <w:softHyphen/>
        <w:t xml:space="preserve">вой силы противника. При этом </w:t>
      </w:r>
      <w:r w:rsidRPr="008127F8">
        <w:rPr>
          <w:color w:val="000000" w:themeColor="text1"/>
          <w:sz w:val="16"/>
          <w:szCs w:val="16"/>
        </w:rPr>
        <w:lastRenderedPageBreak/>
        <w:t>нагрузку можно рекомендовать такую: РС М-13 — 4 шт., РС-132 или РС-82 — 4 шт., бомб ФАБ-50 или равных им — 4 шт., пушки ВЯ и патронов — полностью. Практикой под</w:t>
      </w:r>
      <w:r w:rsidRPr="008127F8">
        <w:rPr>
          <w:color w:val="000000" w:themeColor="text1"/>
          <w:sz w:val="16"/>
          <w:szCs w:val="16"/>
        </w:rPr>
        <w:softHyphen/>
        <w:t>тверждено, что такой вариант нагрузки наиболее удобен».</w:t>
      </w:r>
    </w:p>
    <w:p w14:paraId="2CB4B53D" w14:textId="77777777" w:rsidR="00BD62A4" w:rsidRPr="008127F8" w:rsidRDefault="00BD62A4"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Поскольку рассеивание ракетных снарядов типа РОФС-132 и М-13 было меньше, чем у осколочных снарядов РОС-132, а их баллистика совпадала с баллистическими характеристиками пуль пулемета ШКАС, то эти боеприпасы можно было эффектив</w:t>
      </w:r>
      <w:r w:rsidRPr="008127F8">
        <w:rPr>
          <w:color w:val="000000" w:themeColor="text1"/>
          <w:sz w:val="16"/>
          <w:szCs w:val="16"/>
        </w:rPr>
        <w:softHyphen/>
        <w:t>но применять по малоразмерным целям. При этом в ходе атаки цели сначала открывался огонь из пулеметов, для чего патронные ленты снаряжали трассирующими пулями. Учитывалась боковая по</w:t>
      </w:r>
      <w:r w:rsidRPr="008127F8">
        <w:rPr>
          <w:color w:val="000000" w:themeColor="text1"/>
          <w:sz w:val="16"/>
          <w:szCs w:val="16"/>
        </w:rPr>
        <w:softHyphen/>
        <w:t>правка на снос ветром, выбиралось упреждение по дальности. После этого выполнялся пуск ракетных снарядов (17500).</w:t>
      </w:r>
    </w:p>
    <w:p w14:paraId="2B99B183" w14:textId="77777777" w:rsidR="00BD62A4" w:rsidRPr="008127F8" w:rsidRDefault="00BD62A4" w:rsidP="001E0A84">
      <w:pPr>
        <w:spacing w:after="0" w:line="240" w:lineRule="auto"/>
        <w:jc w:val="both"/>
        <w:rPr>
          <w:rFonts w:ascii="Times New Roman" w:hAnsi="Times New Roman"/>
          <w:color w:val="000000" w:themeColor="text1"/>
          <w:sz w:val="16"/>
          <w:szCs w:val="16"/>
        </w:rPr>
      </w:pPr>
    </w:p>
    <w:p w14:paraId="423BCBF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января 1942 вышел приказ НКАП N 6с:</w:t>
      </w:r>
    </w:p>
    <w:p w14:paraId="0B0C0F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быстрейшей организации текущего и восстановительного ремонта самолета Ер-2 и обеспечения техпомощью эксплуатации указанных самолетов:</w:t>
      </w:r>
    </w:p>
    <w:p w14:paraId="68BD921A" w14:textId="77777777" w:rsidR="00D4651C" w:rsidRPr="008127F8" w:rsidRDefault="00D4651C" w:rsidP="001E0A84">
      <w:pPr>
        <w:pStyle w:val="Iauiue"/>
        <w:numPr>
          <w:ilvl w:val="0"/>
          <w:numId w:val="3"/>
        </w:numPr>
        <w:ind w:left="0" w:firstLine="0"/>
        <w:jc w:val="both"/>
        <w:rPr>
          <w:color w:val="000000" w:themeColor="text1"/>
          <w:sz w:val="16"/>
          <w:szCs w:val="16"/>
        </w:rPr>
      </w:pPr>
      <w:r w:rsidRPr="008127F8">
        <w:rPr>
          <w:color w:val="000000" w:themeColor="text1"/>
          <w:sz w:val="16"/>
          <w:szCs w:val="16"/>
        </w:rPr>
        <w:t>Директору и ГК завода 240 Ермолаеву организовать текущий ремонт и восстановительный ремонт самолетов Ер-2 на базе завода 240 в Москве (1528,34).</w:t>
      </w:r>
    </w:p>
    <w:p w14:paraId="4B9ACF47" w14:textId="77777777" w:rsidR="00D4651C" w:rsidRPr="008127F8" w:rsidRDefault="00D4651C" w:rsidP="001E0A84">
      <w:pPr>
        <w:pStyle w:val="Iauiue"/>
        <w:jc w:val="both"/>
        <w:rPr>
          <w:color w:val="000000" w:themeColor="text1"/>
          <w:sz w:val="16"/>
          <w:szCs w:val="16"/>
        </w:rPr>
      </w:pPr>
    </w:p>
    <w:p w14:paraId="0D0EBCD9" w14:textId="77777777" w:rsidR="00D4651C" w:rsidRPr="008127F8" w:rsidRDefault="00D4651C" w:rsidP="001E0A84">
      <w:pPr>
        <w:pStyle w:val="Iniiaiieoaeno2"/>
        <w:widowControl/>
        <w:rPr>
          <w:color w:val="000000" w:themeColor="text1"/>
        </w:rPr>
      </w:pPr>
      <w:r w:rsidRPr="008127F8">
        <w:rPr>
          <w:color w:val="000000" w:themeColor="text1"/>
        </w:rPr>
        <w:t>4 января 1942 года приказом НКАП № 1053сс во исполнение Постановления ГКО № 761сс 8 сентября 1941 года завод № 207 со всем оборудованием и кадрами был эвакуирован в Молотов, где был объединен с заводом № 135. С этого времени завод прекратил свое самостоятельное существование как завод № 207.</w:t>
      </w:r>
    </w:p>
    <w:p w14:paraId="096F9372" w14:textId="77777777" w:rsidR="00D4651C" w:rsidRPr="008127F8" w:rsidRDefault="00D4651C" w:rsidP="001E0A84">
      <w:pPr>
        <w:pStyle w:val="Iniiaiieoaeno2"/>
        <w:widowControl/>
        <w:rPr>
          <w:color w:val="000000" w:themeColor="text1"/>
        </w:rPr>
      </w:pPr>
      <w:r w:rsidRPr="008127F8">
        <w:rPr>
          <w:color w:val="000000" w:themeColor="text1"/>
        </w:rPr>
        <w:t>После эвакуации на площадке завода, согласно приказу НКАП № 93с от 2 февраля 1942 года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w:t>
      </w:r>
    </w:p>
    <w:p w14:paraId="18784240" w14:textId="77777777" w:rsidR="00D4651C" w:rsidRPr="008127F8" w:rsidRDefault="00D4651C" w:rsidP="001E0A84">
      <w:pPr>
        <w:pStyle w:val="Iniiaiieoaeno2"/>
        <w:widowControl/>
        <w:rPr>
          <w:color w:val="000000" w:themeColor="text1"/>
        </w:rPr>
      </w:pPr>
      <w:r w:rsidRPr="008127F8">
        <w:rPr>
          <w:color w:val="000000" w:themeColor="text1"/>
        </w:rPr>
        <w:t>В 1943 году на заводе было освоено изготовление запчастей самолета МИГ-3.</w:t>
      </w:r>
    </w:p>
    <w:p w14:paraId="58924FD0" w14:textId="77777777" w:rsidR="00D4651C" w:rsidRPr="008127F8" w:rsidRDefault="00D4651C" w:rsidP="001E0A84">
      <w:pPr>
        <w:pStyle w:val="Iniiaiieoaeno2"/>
        <w:widowControl/>
        <w:rPr>
          <w:color w:val="000000" w:themeColor="text1"/>
        </w:rPr>
      </w:pPr>
      <w:r w:rsidRPr="008127F8">
        <w:rPr>
          <w:color w:val="000000" w:themeColor="text1"/>
        </w:rPr>
        <w:t>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000CD21B" w14:textId="77777777" w:rsidR="00D4651C" w:rsidRPr="008127F8" w:rsidRDefault="00D4651C" w:rsidP="001E0A84">
      <w:pPr>
        <w:pStyle w:val="Iniiaiieoaeno2"/>
        <w:widowControl/>
        <w:rPr>
          <w:color w:val="000000" w:themeColor="text1"/>
        </w:rPr>
      </w:pPr>
      <w:r w:rsidRPr="008127F8">
        <w:rPr>
          <w:color w:val="000000" w:themeColor="text1"/>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06E50CBC" w14:textId="77777777" w:rsidR="00D4651C" w:rsidRPr="008127F8" w:rsidRDefault="00D4651C" w:rsidP="001E0A84">
      <w:pPr>
        <w:pStyle w:val="Iniiaiieoaeno2"/>
        <w:widowControl/>
        <w:rPr>
          <w:color w:val="000000" w:themeColor="text1"/>
        </w:rPr>
      </w:pPr>
      <w:r w:rsidRPr="008127F8">
        <w:rPr>
          <w:color w:val="000000" w:themeColor="text1"/>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1C26413F" w14:textId="77777777" w:rsidR="00D4651C" w:rsidRPr="008127F8" w:rsidRDefault="00D4651C" w:rsidP="001E0A84">
      <w:pPr>
        <w:pStyle w:val="Iniiaiieoaeno2"/>
        <w:widowControl/>
        <w:rPr>
          <w:color w:val="000000" w:themeColor="text1"/>
        </w:rPr>
      </w:pPr>
      <w:r w:rsidRPr="008127F8">
        <w:rPr>
          <w:color w:val="000000" w:themeColor="text1"/>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02A1D0D2" w14:textId="77777777" w:rsidR="00D4651C" w:rsidRPr="008127F8" w:rsidRDefault="00D4651C" w:rsidP="001E0A84">
      <w:pPr>
        <w:pStyle w:val="Iniiaiieoaeno2"/>
        <w:widowControl/>
        <w:rPr>
          <w:color w:val="000000" w:themeColor="text1"/>
        </w:rPr>
      </w:pPr>
      <w:r w:rsidRPr="008127F8">
        <w:rPr>
          <w:color w:val="000000" w:themeColor="text1"/>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14D4BBC5" w14:textId="77777777" w:rsidR="00D4651C" w:rsidRPr="008127F8" w:rsidRDefault="00D4651C" w:rsidP="001E0A84">
      <w:pPr>
        <w:pStyle w:val="Iniiaiieoaeno2"/>
        <w:widowControl/>
        <w:rPr>
          <w:color w:val="000000" w:themeColor="text1"/>
        </w:rPr>
      </w:pPr>
      <w:r w:rsidRPr="008127F8">
        <w:rPr>
          <w:color w:val="000000" w:themeColor="text1"/>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40341FE1" w14:textId="77777777" w:rsidR="00D4651C" w:rsidRPr="008127F8" w:rsidRDefault="00D4651C" w:rsidP="001E0A84">
      <w:pPr>
        <w:pStyle w:val="Iniiaiieoaeno2"/>
        <w:widowControl/>
        <w:rPr>
          <w:color w:val="000000" w:themeColor="text1"/>
        </w:rPr>
      </w:pPr>
      <w:r w:rsidRPr="008127F8">
        <w:rPr>
          <w:color w:val="000000" w:themeColor="text1"/>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2AB7C4C5" w14:textId="77777777" w:rsidR="00D4651C" w:rsidRPr="008127F8" w:rsidRDefault="00D4651C" w:rsidP="001E0A84">
      <w:pPr>
        <w:pStyle w:val="Iniiaiieoaeno2"/>
        <w:widowControl/>
        <w:rPr>
          <w:color w:val="000000" w:themeColor="text1"/>
        </w:rPr>
      </w:pPr>
      <w:r w:rsidRPr="008127F8">
        <w:rPr>
          <w:color w:val="000000" w:themeColor="text1"/>
        </w:rPr>
        <w:t>Адрес: ст. Долгопрудная Московской области, п/я 1078</w:t>
      </w:r>
    </w:p>
    <w:p w14:paraId="67047EB9" w14:textId="77777777" w:rsidR="00D4651C" w:rsidRPr="008127F8" w:rsidRDefault="00D4651C" w:rsidP="001E0A84">
      <w:pPr>
        <w:pStyle w:val="Iniiaiieoaeno2"/>
        <w:widowControl/>
        <w:rPr>
          <w:color w:val="000000" w:themeColor="text1"/>
        </w:rPr>
      </w:pPr>
      <w:r w:rsidRPr="008127F8">
        <w:rPr>
          <w:color w:val="000000" w:themeColor="text1"/>
        </w:rPr>
        <w:t>В 1953 году 28 марта в соответствии с Постановлением СМ приказом № 30сс МОП завод № 464 переходит из ведения МАП в МОП (9559).</w:t>
      </w:r>
    </w:p>
    <w:p w14:paraId="327E7226" w14:textId="77777777" w:rsidR="00D4651C" w:rsidRPr="008127F8" w:rsidRDefault="00D4651C" w:rsidP="001E0A84">
      <w:pPr>
        <w:pStyle w:val="Iniiaiieoaeno2"/>
        <w:widowControl/>
        <w:rPr>
          <w:color w:val="000000" w:themeColor="text1"/>
        </w:rPr>
      </w:pPr>
    </w:p>
    <w:p w14:paraId="37EDE7B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г. по приказу № 6с завод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3CDEE4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4DF74C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2348AA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35B2C2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25E6EE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274B78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55F9B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0FD382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w:t>
      </w:r>
      <w:proofErr w:type="gramStart"/>
      <w:r w:rsidRPr="008127F8">
        <w:rPr>
          <w:rFonts w:ascii="Times New Roman" w:hAnsi="Times New Roman"/>
          <w:color w:val="000000" w:themeColor="text1"/>
          <w:sz w:val="16"/>
          <w:szCs w:val="16"/>
        </w:rPr>
        <w:t>е  г.</w:t>
      </w:r>
      <w:proofErr w:type="gramEnd"/>
    </w:p>
    <w:p w14:paraId="404DAD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7F11FF5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707EAE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46ED36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w:t>
      </w:r>
      <w:proofErr w:type="gramStart"/>
      <w:r w:rsidRPr="008127F8">
        <w:rPr>
          <w:rFonts w:ascii="Times New Roman" w:hAnsi="Times New Roman"/>
          <w:color w:val="000000" w:themeColor="text1"/>
          <w:sz w:val="16"/>
          <w:szCs w:val="16"/>
        </w:rPr>
        <w:t>е  г.</w:t>
      </w:r>
      <w:proofErr w:type="gramEnd"/>
    </w:p>
    <w:p w14:paraId="155BA4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создана сварочная лаборатория, преобразованная затем в службу гл. сварщика- экспериментальный отдел сварки (ЭОС).</w:t>
      </w:r>
    </w:p>
    <w:p w14:paraId="77C82F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55DE87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5500B34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ОГЭ цеха: № 11, № 12, № 13, энергообеспечения № 14 (создан в 1944 г.).</w:t>
      </w:r>
    </w:p>
    <w:p w14:paraId="16EAA8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 состав ОКС влился строительный цех.</w:t>
      </w:r>
    </w:p>
    <w:p w14:paraId="433EAF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56D9F0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01E692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8127F8">
        <w:rPr>
          <w:rFonts w:ascii="Times New Roman" w:hAnsi="Times New Roman"/>
          <w:color w:val="000000" w:themeColor="text1"/>
          <w:sz w:val="16"/>
          <w:szCs w:val="16"/>
          <w:lang w:val="en-US"/>
        </w:rPr>
        <w:t>OAK</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Численность персонала (1.01.1940 г.)-784 чел.</w:t>
      </w:r>
    </w:p>
    <w:p w14:paraId="0595B2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5AED55B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5DFEBC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1083A9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Р.Л. Бартини, (03.1940-42 г.)- В. Г. Ермолаев, (07.1942-1970 г.)- С.В. Ильюшин. Ген. Конструктор (07.1970-2005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Новожилов.</w:t>
      </w:r>
    </w:p>
    <w:p w14:paraId="260E8F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17B451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7B9A78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700C86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2BA340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30FD78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0710CB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2A669A0A" w14:textId="77777777" w:rsidR="00D4651C" w:rsidRPr="008127F8" w:rsidRDefault="00D4651C" w:rsidP="001E0A84">
      <w:pPr>
        <w:tabs>
          <w:tab w:val="left" w:pos="45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3D3038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7DE3B4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2382023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лабораторий: ЦЗЛ- Л.Б. Усенко; рентгеновской (1948 г.)- В.В. Алексеев; химической (1948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8127F8">
        <w:rPr>
          <w:rFonts w:ascii="Times New Roman" w:hAnsi="Times New Roman"/>
          <w:iCs/>
          <w:color w:val="000000" w:themeColor="text1"/>
          <w:sz w:val="16"/>
          <w:szCs w:val="16"/>
        </w:rPr>
        <w:t xml:space="preserve"> Е.Я.</w:t>
      </w:r>
      <w:r w:rsidRPr="008127F8">
        <w:rPr>
          <w:rFonts w:ascii="Times New Roman" w:hAnsi="Times New Roman"/>
          <w:color w:val="000000" w:themeColor="text1"/>
          <w:sz w:val="16"/>
          <w:szCs w:val="16"/>
        </w:rPr>
        <w:t xml:space="preserve"> Белкин, Ф.Р. Куликов; фотоконтактной - Ю.И. Жиганов; Н.Т. Рошаль,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Мухортов.</w:t>
      </w:r>
      <w:r w:rsidRPr="008127F8">
        <w:rPr>
          <w:rFonts w:ascii="Times New Roman" w:hAnsi="Times New Roman"/>
          <w:color w:val="000000" w:themeColor="text1"/>
          <w:sz w:val="16"/>
          <w:szCs w:val="16"/>
          <w:vertAlign w:val="superscript"/>
        </w:rPr>
        <w:t>100</w:t>
      </w:r>
    </w:p>
    <w:p w14:paraId="4D9B18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Ил-22 (1947)- 1, Ил-28 (1948)- 1, Ил-30 (1949)- 1, Ил-46 (1951)- 1, Ил-54 (1954)- 2 (11982).</w:t>
      </w:r>
    </w:p>
    <w:p w14:paraId="520B76A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CD3D3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г. был доклад заместителю наркома обороны Союза ССР генерал-полковнику Жигареву, начальнику авиационного отдела оперативного управления Генерального штаба Красной Армии генерал-майору авиа</w:t>
      </w:r>
      <w:r w:rsidRPr="008127F8">
        <w:rPr>
          <w:rFonts w:ascii="Times New Roman" w:hAnsi="Times New Roman"/>
          <w:color w:val="000000" w:themeColor="text1"/>
          <w:sz w:val="16"/>
          <w:szCs w:val="16"/>
        </w:rPr>
        <w:softHyphen/>
        <w:t>ции Викуленкову от командующего ВВС МВО генерал-майора авиа</w:t>
      </w:r>
      <w:r w:rsidRPr="008127F8">
        <w:rPr>
          <w:rFonts w:ascii="Times New Roman" w:hAnsi="Times New Roman"/>
          <w:color w:val="000000" w:themeColor="text1"/>
          <w:sz w:val="16"/>
          <w:szCs w:val="16"/>
        </w:rPr>
        <w:softHyphen/>
        <w:t>ции Сытова, из которого следует, что в 65-м шап фактически бы</w:t>
      </w:r>
      <w:r w:rsidRPr="008127F8">
        <w:rPr>
          <w:rFonts w:ascii="Times New Roman" w:hAnsi="Times New Roman"/>
          <w:color w:val="000000" w:themeColor="text1"/>
          <w:sz w:val="16"/>
          <w:szCs w:val="16"/>
        </w:rPr>
        <w:softHyphen/>
        <w:t>ли проведены войсковые испытания новых реактивных систем на штурмовиках. То есть, «установка и испытание в боевых условиях на самолетах Ил-2 ракетных снарядов М-13 (системы Костикова — 42 кг)». Вот так. Коротко и емко — 42 кг (масса окончательно снаряжен</w:t>
      </w:r>
      <w:r w:rsidRPr="008127F8">
        <w:rPr>
          <w:rFonts w:ascii="Times New Roman" w:hAnsi="Times New Roman"/>
          <w:color w:val="000000" w:themeColor="text1"/>
          <w:sz w:val="16"/>
          <w:szCs w:val="16"/>
        </w:rPr>
        <w:softHyphen/>
        <w:t>ного ракетного снаряда), значит - «системы Костикова», а вовсе не Шитова... То есть, легенду о непревзойденном конструкторе, «отце «катюши» начали создавать в Красной Армии уже в начале войны, и не без участия НКВД...</w:t>
      </w:r>
    </w:p>
    <w:p w14:paraId="0553EF7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Итак, войсковые испытания «пехотных» ракетных снарядов М-13 в авиации... На каждую консоль крыла штурмовика для сравнения под</w:t>
      </w:r>
      <w:r w:rsidRPr="008127F8">
        <w:rPr>
          <w:rFonts w:ascii="Times New Roman" w:hAnsi="Times New Roman"/>
          <w:color w:val="000000" w:themeColor="text1"/>
          <w:sz w:val="16"/>
          <w:szCs w:val="16"/>
        </w:rPr>
        <w:softHyphen/>
        <w:t>вешивали по два РС-82 или РС-132 и по два М-13. Испытания показали, что самолет в полете и при стрельбе ведет себя нормально, а М-13 обла</w:t>
      </w:r>
      <w:r w:rsidRPr="008127F8">
        <w:rPr>
          <w:rFonts w:ascii="Times New Roman" w:hAnsi="Times New Roman"/>
          <w:color w:val="000000" w:themeColor="text1"/>
          <w:sz w:val="16"/>
          <w:szCs w:val="16"/>
        </w:rPr>
        <w:softHyphen/>
        <w:t>дают «исключительно большой эффективностью». Взрыватели на М-13 использовали от авиабомб. Наряду с отчетом, были представлены фото</w:t>
      </w:r>
      <w:r w:rsidRPr="008127F8">
        <w:rPr>
          <w:rFonts w:ascii="Times New Roman" w:hAnsi="Times New Roman"/>
          <w:color w:val="000000" w:themeColor="text1"/>
          <w:sz w:val="16"/>
          <w:szCs w:val="16"/>
        </w:rPr>
        <w:softHyphen/>
        <w:t>снимки пусковых установок М-13 на штурмовике Ил-2 и пикирующем бомбардировщике Пе-2.</w:t>
      </w:r>
    </w:p>
    <w:p w14:paraId="001670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на имя командующего ВВС МВО поступили более подробные материалы по эксплуатации упомянутых ракетных систем на самолете Ил-2 от командира 65-го шап подполковника Витрука. В них, в частности, говорилось, как на самолетах Ил-2 из состава 65-го шап во время боевых вылетов применяли РС-82, РС-132 и снаряды М-13.</w:t>
      </w:r>
    </w:p>
    <w:p w14:paraId="77F95BB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инструкциями, проверив ракетные орудия РО-82 и ис</w:t>
      </w:r>
      <w:r w:rsidRPr="008127F8">
        <w:rPr>
          <w:rFonts w:ascii="Times New Roman" w:hAnsi="Times New Roman"/>
          <w:color w:val="000000" w:themeColor="text1"/>
          <w:sz w:val="16"/>
          <w:szCs w:val="16"/>
        </w:rPr>
        <w:softHyphen/>
        <w:t>правность электропроводки к ним, полковые специалисты заряжали пиро-пистолеты. Было отмечено, что желательно фиксирующие штифты затвора укоротить наполовину, так как гнезда для них засоряются, и контакт пиро-затвора не доходит до контакта пиропатрона. Далее осматривали РС - целы ли ведущие штифты, вывинчивали пробки из очка взрывателя, вынимали деревянные вкладыши, проверяли наличие дополнительного детонатора. Затем заряжали РС в РО, ввертывали «взрыватель АМ-А для штурмовки». Если взрыватель был с контровочным усом, то, отвернув крыльчатку на 1-1,5 оборота, ус заправляли в паз РО и досылали РС назад до постановки в замки. Перед вылетом, как требовалось, выбивали картонную сопловую заглушку. Подготовка РС-132 к стрельбе была аналогична.</w:t>
      </w:r>
    </w:p>
    <w:p w14:paraId="343FA7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Часто в сырую погоду и зимой РС-82 и РС-132 отказывали в стрель</w:t>
      </w:r>
      <w:r w:rsidRPr="008127F8">
        <w:rPr>
          <w:rFonts w:ascii="Times New Roman" w:hAnsi="Times New Roman"/>
          <w:color w:val="000000" w:themeColor="text1"/>
          <w:sz w:val="16"/>
          <w:szCs w:val="16"/>
        </w:rPr>
        <w:softHyphen/>
        <w:t>бе. То есть, пиропатрон срабатывал, а РС не стартовал - либо отсырел по</w:t>
      </w:r>
      <w:r w:rsidRPr="008127F8">
        <w:rPr>
          <w:rFonts w:ascii="Times New Roman" w:hAnsi="Times New Roman"/>
          <w:color w:val="000000" w:themeColor="text1"/>
          <w:sz w:val="16"/>
          <w:szCs w:val="16"/>
        </w:rPr>
        <w:softHyphen/>
        <w:t>роховой заряд (вернее, пороховые воспламенители), либо при рулении и взлете самолета снегом забивало сопло РС. С цель исключения этого военные рекомендовали удлинить стволы пиропистолета, чтобы часть его входила в сопло через картонную заглушку, которую не удалять перед полетом на применение РС.</w:t>
      </w:r>
    </w:p>
    <w:p w14:paraId="091A757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марта 1942 г. было письмо главного конструктора самолета Ил-2 С.В.Ильюшина </w:t>
      </w:r>
      <w:proofErr w:type="gramStart"/>
      <w:r w:rsidRPr="008127F8">
        <w:rPr>
          <w:rFonts w:ascii="Times New Roman" w:hAnsi="Times New Roman"/>
          <w:color w:val="000000" w:themeColor="text1"/>
          <w:sz w:val="16"/>
          <w:szCs w:val="16"/>
        </w:rPr>
        <w:t>И.В</w:t>
      </w:r>
      <w:proofErr w:type="gramEnd"/>
      <w:r w:rsidRPr="008127F8">
        <w:rPr>
          <w:rFonts w:ascii="Times New Roman" w:hAnsi="Times New Roman"/>
          <w:color w:val="000000" w:themeColor="text1"/>
          <w:sz w:val="16"/>
          <w:szCs w:val="16"/>
        </w:rPr>
        <w:t>.Сталину: «На основании ознакомления с работой самолетов Ил-2 в действующих частях, вношу на Ваше рассмотрение следующие предложения:</w:t>
      </w:r>
    </w:p>
    <w:p w14:paraId="5717F59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 расходовать самолеты Ил-2 в течение ближайших двух месяцев</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а начать производить накопление их к весенним операциям для истреб</w:t>
      </w:r>
      <w:r w:rsidRPr="008127F8">
        <w:rPr>
          <w:rFonts w:ascii="Times New Roman" w:hAnsi="Times New Roman"/>
          <w:color w:val="000000" w:themeColor="text1"/>
          <w:sz w:val="16"/>
          <w:szCs w:val="16"/>
        </w:rPr>
        <w:softHyphen/>
        <w:t xml:space="preserve">ления танков врага. За март и апрель авиационная промышленность </w:t>
      </w:r>
      <w:proofErr w:type="gramStart"/>
      <w:r w:rsidRPr="008127F8">
        <w:rPr>
          <w:rFonts w:ascii="Times New Roman" w:hAnsi="Times New Roman"/>
          <w:color w:val="000000" w:themeColor="text1"/>
          <w:sz w:val="16"/>
          <w:szCs w:val="16"/>
        </w:rPr>
        <w:t>даст</w:t>
      </w:r>
      <w:proofErr w:type="gramEnd"/>
      <w:r w:rsidRPr="008127F8">
        <w:rPr>
          <w:rFonts w:ascii="Times New Roman" w:hAnsi="Times New Roman"/>
          <w:color w:val="000000" w:themeColor="text1"/>
          <w:sz w:val="16"/>
          <w:szCs w:val="16"/>
        </w:rPr>
        <w:t xml:space="preserve"> Не менее 1000 самолетов Ил-2, что составит 50 штурмовых авиаполков.</w:t>
      </w:r>
    </w:p>
    <w:p w14:paraId="4D35B2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нанесения сокрушительных ударов по танкам врага необходи</w:t>
      </w:r>
      <w:r w:rsidRPr="008127F8">
        <w:rPr>
          <w:rFonts w:ascii="Times New Roman" w:hAnsi="Times New Roman"/>
          <w:color w:val="000000" w:themeColor="text1"/>
          <w:sz w:val="16"/>
          <w:szCs w:val="16"/>
        </w:rPr>
        <w:softHyphen/>
        <w:t>мо вместо 82-мм реактивных снарядов самолеты Ил-2 снабдить в достаточном количестве реактивными снарядами М-13. 82-мм реактивные снаряды снять с самолета Ил-2 совсем, как малоэффективные для стрельбы по танкам. Точно так же необходимо за эти два месяца, во что бы то ни стало накопить достаточное количество снарядов М-13».</w:t>
      </w:r>
    </w:p>
    <w:p w14:paraId="20208D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Снаряды М-13 заряжали в РО-132, дополнительно оборудованные дву</w:t>
      </w:r>
      <w:r w:rsidRPr="008127F8">
        <w:rPr>
          <w:rFonts w:ascii="Times New Roman" w:hAnsi="Times New Roman"/>
          <w:color w:val="000000" w:themeColor="text1"/>
          <w:sz w:val="16"/>
          <w:szCs w:val="16"/>
        </w:rPr>
        <w:softHyphen/>
        <w:t>мя электроконтактами. Самолеты Ил-2, вооруженные пушками ВЯ, РС ос</w:t>
      </w:r>
      <w:r w:rsidRPr="008127F8">
        <w:rPr>
          <w:rFonts w:ascii="Times New Roman" w:hAnsi="Times New Roman"/>
          <w:color w:val="000000" w:themeColor="text1"/>
          <w:sz w:val="16"/>
          <w:szCs w:val="16"/>
        </w:rPr>
        <w:softHyphen/>
        <w:t>нащали из расчета М-13 и РС-82 - по четыре штуки и столько же фугасных авиабомб ФАБ-50. Техсостав полка отмечал, что при массовом применении завод должен изготавливать М-13 с очком для взрывателей АМ-А, то есть, с диаметром 26 мм. Забегая вперед, можно отметить, что это пожелание так и осталось «криком в пустыне» — гвардейские минометчики эгоистично использовали на все 100% свое монопольное право гензаказчика РС.</w:t>
      </w:r>
    </w:p>
    <w:p w14:paraId="1BF058F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следовало описание применения новой реактивной системы по танкам, автомашинам и живой силе. Первыми снаряды М-13 в авиа</w:t>
      </w:r>
      <w:r w:rsidRPr="008127F8">
        <w:rPr>
          <w:rFonts w:ascii="Times New Roman" w:hAnsi="Times New Roman"/>
          <w:color w:val="000000" w:themeColor="text1"/>
          <w:sz w:val="16"/>
          <w:szCs w:val="16"/>
        </w:rPr>
        <w:softHyphen/>
        <w:t>ции применили старший лейтенант Торев и военлет Болгов. Их пись</w:t>
      </w:r>
      <w:r w:rsidRPr="008127F8">
        <w:rPr>
          <w:rFonts w:ascii="Times New Roman" w:hAnsi="Times New Roman"/>
          <w:color w:val="000000" w:themeColor="text1"/>
          <w:sz w:val="16"/>
          <w:szCs w:val="16"/>
        </w:rPr>
        <w:softHyphen/>
        <w:t>менные отзывы практически слово в слово повторяются, поэтому изло</w:t>
      </w:r>
      <w:r w:rsidRPr="008127F8">
        <w:rPr>
          <w:rFonts w:ascii="Times New Roman" w:hAnsi="Times New Roman"/>
          <w:color w:val="000000" w:themeColor="text1"/>
          <w:sz w:val="16"/>
          <w:szCs w:val="16"/>
        </w:rPr>
        <w:softHyphen/>
        <w:t>жим лишь суть докладов. «При применении в штурмовой авиации про</w:t>
      </w:r>
      <w:r w:rsidRPr="008127F8">
        <w:rPr>
          <w:rFonts w:ascii="Times New Roman" w:hAnsi="Times New Roman"/>
          <w:color w:val="000000" w:themeColor="text1"/>
          <w:sz w:val="16"/>
          <w:szCs w:val="16"/>
        </w:rPr>
        <w:softHyphen/>
        <w:t>тив техники и живой силы противника действует эффективно. В сравне</w:t>
      </w:r>
      <w:r w:rsidRPr="008127F8">
        <w:rPr>
          <w:rFonts w:ascii="Times New Roman" w:hAnsi="Times New Roman"/>
          <w:color w:val="000000" w:themeColor="text1"/>
          <w:sz w:val="16"/>
          <w:szCs w:val="16"/>
        </w:rPr>
        <w:softHyphen/>
        <w:t>нии с РС-132, М-13 при отрыве от самолета создает торможение на пло</w:t>
      </w:r>
      <w:r w:rsidRPr="008127F8">
        <w:rPr>
          <w:rFonts w:ascii="Times New Roman" w:hAnsi="Times New Roman"/>
          <w:color w:val="000000" w:themeColor="text1"/>
          <w:sz w:val="16"/>
          <w:szCs w:val="16"/>
        </w:rPr>
        <w:softHyphen/>
        <w:t>скость сильнее и снижается по траектории больше. То есть, сбрасывая его с той же высоты, что и РС-132, снаряд ложится по дистанции бли/ке». Терминология пилотов наводит на мысль, что ракетными снарядами они скорее бомбили, чем стреляли.</w:t>
      </w:r>
    </w:p>
    <w:p w14:paraId="6E90EBB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«Применяя снаряды М-13 по автомашинам противника численно</w:t>
      </w:r>
      <w:r w:rsidRPr="008127F8">
        <w:rPr>
          <w:rFonts w:ascii="Times New Roman" w:hAnsi="Times New Roman"/>
          <w:color w:val="000000" w:themeColor="text1"/>
          <w:sz w:val="16"/>
          <w:szCs w:val="16"/>
        </w:rPr>
        <w:softHyphen/>
        <w:t>стью до 30 штук, я первым РС попал метрах в трех от головы колонны, и три машины от волны разрыва были перевернуты за дорогу. Вторым РС попал в середину автоколонны точно по дороге, и было видно, как летят щепки и осколки от автомашин, а на том месте, где была автомашина, после разрыва РС ничего не оказалось. Последние два больших РС я бросил по деревне, где было много пехоты и автомашин. РС попал точ</w:t>
      </w:r>
      <w:r w:rsidRPr="008127F8">
        <w:rPr>
          <w:rFonts w:ascii="Times New Roman" w:hAnsi="Times New Roman"/>
          <w:color w:val="000000" w:themeColor="text1"/>
          <w:sz w:val="16"/>
          <w:szCs w:val="16"/>
        </w:rPr>
        <w:softHyphen/>
        <w:t>но в цель и задел дом, который тоже раскатило по бревнам, и наблюдал</w:t>
      </w:r>
      <w:r w:rsidRPr="008127F8">
        <w:rPr>
          <w:rFonts w:ascii="Times New Roman" w:hAnsi="Times New Roman"/>
          <w:color w:val="000000" w:themeColor="text1"/>
          <w:sz w:val="16"/>
          <w:szCs w:val="16"/>
        </w:rPr>
        <w:softHyphen/>
        <w:t>ся пожар и взрывы».</w:t>
      </w:r>
    </w:p>
    <w:p w14:paraId="48AFC75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пилот докладывал: «М-13 мне приходилось бросать на дис</w:t>
      </w:r>
      <w:r w:rsidRPr="008127F8">
        <w:rPr>
          <w:rFonts w:ascii="Times New Roman" w:hAnsi="Times New Roman"/>
          <w:color w:val="000000" w:themeColor="text1"/>
          <w:sz w:val="16"/>
          <w:szCs w:val="16"/>
        </w:rPr>
        <w:softHyphen/>
        <w:t>танции от 300 до 600 м, и чем дальше он рвется, тем отчетливее видны его результаты. В одном из полетов я бросил два М-13 на семь груже</w:t>
      </w:r>
      <w:r w:rsidRPr="008127F8">
        <w:rPr>
          <w:rFonts w:ascii="Times New Roman" w:hAnsi="Times New Roman"/>
          <w:color w:val="000000" w:themeColor="text1"/>
          <w:sz w:val="16"/>
          <w:szCs w:val="16"/>
        </w:rPr>
        <w:softHyphen/>
        <w:t>ных автомашин, подходивших к передовой. Первый РС упал сбоку в метрах 1,5-2 от головной машины, а второй попал в центр автома</w:t>
      </w:r>
      <w:r w:rsidRPr="008127F8">
        <w:rPr>
          <w:rFonts w:ascii="Times New Roman" w:hAnsi="Times New Roman"/>
          <w:color w:val="000000" w:themeColor="text1"/>
          <w:sz w:val="16"/>
          <w:szCs w:val="16"/>
        </w:rPr>
        <w:softHyphen/>
        <w:t>шин. Благодаря тому, что машины были в движении, и атака произве</w:t>
      </w:r>
      <w:r w:rsidRPr="008127F8">
        <w:rPr>
          <w:rFonts w:ascii="Times New Roman" w:hAnsi="Times New Roman"/>
          <w:color w:val="000000" w:themeColor="text1"/>
          <w:sz w:val="16"/>
          <w:szCs w:val="16"/>
        </w:rPr>
        <w:softHyphen/>
        <w:t>дена в лоб, то задние на полном ходу наезжали одна на одну после то</w:t>
      </w:r>
      <w:r w:rsidRPr="008127F8">
        <w:rPr>
          <w:rFonts w:ascii="Times New Roman" w:hAnsi="Times New Roman"/>
          <w:color w:val="000000" w:themeColor="text1"/>
          <w:sz w:val="16"/>
          <w:szCs w:val="16"/>
        </w:rPr>
        <w:softHyphen/>
        <w:t>го, как передняя была разбита. Второй РС уже разнес все машины. С близкого расстояния хорошо видно, что струя пламя, снежной пыли и осколков от машин в момент разрыва РС летят до пятидесяти метров во все стороны».</w:t>
      </w:r>
    </w:p>
    <w:p w14:paraId="1A7F11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комиссии указывалось, что для более эффективного дей</w:t>
      </w:r>
      <w:r w:rsidRPr="008127F8">
        <w:rPr>
          <w:rFonts w:ascii="Times New Roman" w:hAnsi="Times New Roman"/>
          <w:color w:val="000000" w:themeColor="text1"/>
          <w:sz w:val="16"/>
          <w:szCs w:val="16"/>
        </w:rPr>
        <w:softHyphen/>
        <w:t>ствия штурмовика Ил-2 по танкам, автомашинам и живой силе против</w:t>
      </w:r>
      <w:r w:rsidRPr="008127F8">
        <w:rPr>
          <w:rFonts w:ascii="Times New Roman" w:hAnsi="Times New Roman"/>
          <w:color w:val="000000" w:themeColor="text1"/>
          <w:sz w:val="16"/>
          <w:szCs w:val="16"/>
        </w:rPr>
        <w:softHyphen/>
        <w:t>ника впредь желательно применять снаряды М-13, как «имеющие ис</w:t>
      </w:r>
      <w:r w:rsidRPr="008127F8">
        <w:rPr>
          <w:rFonts w:ascii="Times New Roman" w:hAnsi="Times New Roman"/>
          <w:color w:val="000000" w:themeColor="text1"/>
          <w:sz w:val="16"/>
          <w:szCs w:val="16"/>
        </w:rPr>
        <w:softHyphen/>
        <w:t>ключительно большой эффект по уничтожению танков, автомашин и живой силы». При этом боевую нагрузку на Ил-2 рекомендовали в со</w:t>
      </w:r>
      <w:r w:rsidRPr="008127F8">
        <w:rPr>
          <w:rFonts w:ascii="Times New Roman" w:hAnsi="Times New Roman"/>
          <w:color w:val="000000" w:themeColor="text1"/>
          <w:sz w:val="16"/>
          <w:szCs w:val="16"/>
        </w:rPr>
        <w:softHyphen/>
        <w:t>ставе смешанного варианта ракетного вооружения из четырех снарядов М-13 и такого же количества РС-132 или 82, а также четырех авиабомб 50-кг калибра. Пушки ВЯ и патроны - полностью. По мнению летчиков, практика подтвердила, что такой вариант нагрузки наиболее удобен.</w:t>
      </w:r>
    </w:p>
    <w:p w14:paraId="17DB8E7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РОФС-132 (М-13) отличался высокой эффективностью действия по бронированным целям. Его рассеивание было меньше, чем у РОС-132, а баллистика совпадала с баллистическими характеристиками пуль пуле</w:t>
      </w:r>
      <w:r w:rsidRPr="008127F8">
        <w:rPr>
          <w:rFonts w:ascii="Times New Roman" w:hAnsi="Times New Roman"/>
          <w:color w:val="000000" w:themeColor="text1"/>
          <w:sz w:val="16"/>
          <w:szCs w:val="16"/>
        </w:rPr>
        <w:softHyphen/>
        <w:t>мета ШКАС. Эти особенности позволяли применять М-13 по точечным целям. При этом атака обнаруженной бронированной цели начиналась пристрелкой из пулеметов, для чего каждый пятый или шестой патрон в ленте устанавливали с трассирующей пулей. Это позволяло визуально учесть поправки на снос боковым ветром и выбрать упреждение по даль</w:t>
      </w:r>
      <w:r w:rsidRPr="008127F8">
        <w:rPr>
          <w:rFonts w:ascii="Times New Roman" w:hAnsi="Times New Roman"/>
          <w:color w:val="000000" w:themeColor="text1"/>
          <w:sz w:val="16"/>
          <w:szCs w:val="16"/>
        </w:rPr>
        <w:softHyphen/>
        <w:t>ности. Только после этого пускали РС. К сожалению, снарядов этого ти</w:t>
      </w:r>
      <w:r w:rsidRPr="008127F8">
        <w:rPr>
          <w:rFonts w:ascii="Times New Roman" w:hAnsi="Times New Roman"/>
          <w:color w:val="000000" w:themeColor="text1"/>
          <w:sz w:val="16"/>
          <w:szCs w:val="16"/>
        </w:rPr>
        <w:softHyphen/>
        <w:t>па в авиацию поступало мало, и они пользовались большой популярно</w:t>
      </w:r>
      <w:r w:rsidRPr="008127F8">
        <w:rPr>
          <w:rFonts w:ascii="Times New Roman" w:hAnsi="Times New Roman"/>
          <w:color w:val="000000" w:themeColor="text1"/>
          <w:sz w:val="16"/>
          <w:szCs w:val="16"/>
        </w:rPr>
        <w:softHyphen/>
        <w:t>стью в войсках. Была и моральная заинтересованность - к званию Героя Советского Союза летчиков представляли за 12 уничтоженных танков. А некоторые асы умудрялись в одном вылете четырьмя РОФС-132 под</w:t>
      </w:r>
      <w:r w:rsidRPr="008127F8">
        <w:rPr>
          <w:rFonts w:ascii="Times New Roman" w:hAnsi="Times New Roman"/>
          <w:color w:val="000000" w:themeColor="text1"/>
          <w:sz w:val="16"/>
          <w:szCs w:val="16"/>
        </w:rPr>
        <w:softHyphen/>
        <w:t>бить четыре танка. Чего греха таить, на аэродроме при дележе боезапаса этих РС иной раз доходило и до драки летчиков... К тому же, приказ на вылет для борьбы специально с танками поступал не так часто, а в обыч</w:t>
      </w:r>
      <w:r w:rsidRPr="008127F8">
        <w:rPr>
          <w:rFonts w:ascii="Times New Roman" w:hAnsi="Times New Roman"/>
          <w:color w:val="000000" w:themeColor="text1"/>
          <w:sz w:val="16"/>
          <w:szCs w:val="16"/>
        </w:rPr>
        <w:softHyphen/>
        <w:t>ном налете незапланированно уничтожить бронированную цель можно «Ыло и обычным осколочным РС-132.</w:t>
      </w:r>
    </w:p>
    <w:p w14:paraId="5CF62C2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Верхний бронированный лист танка, особенно над моторным отд</w:t>
      </w:r>
      <w:r w:rsidRPr="008127F8">
        <w:rPr>
          <w:rFonts w:ascii="Times New Roman" w:hAnsi="Times New Roman"/>
          <w:color w:val="000000" w:themeColor="text1"/>
          <w:sz w:val="16"/>
          <w:szCs w:val="16"/>
          <w:vertAlign w:val="subscript"/>
        </w:rPr>
        <w:t xml:space="preserve">е </w:t>
      </w:r>
      <w:r w:rsidRPr="008127F8">
        <w:rPr>
          <w:rFonts w:ascii="Times New Roman" w:hAnsi="Times New Roman"/>
          <w:color w:val="000000" w:themeColor="text1"/>
          <w:sz w:val="16"/>
          <w:szCs w:val="16"/>
        </w:rPr>
        <w:t xml:space="preserve">лением, с высоты 200-250 м пробивал даже снаряд пушки ВЯ. В этих же условиях у РС еще только заканчивался активный участок </w:t>
      </w:r>
      <w:proofErr w:type="gramStart"/>
      <w:r w:rsidRPr="008127F8">
        <w:rPr>
          <w:rFonts w:ascii="Times New Roman" w:hAnsi="Times New Roman"/>
          <w:color w:val="000000" w:themeColor="text1"/>
          <w:sz w:val="16"/>
          <w:szCs w:val="16"/>
        </w:rPr>
        <w:t>траектории</w:t>
      </w:r>
      <w:proofErr w:type="gramEnd"/>
      <w:r w:rsidRPr="008127F8">
        <w:rPr>
          <w:rFonts w:ascii="Times New Roman" w:hAnsi="Times New Roman"/>
          <w:color w:val="000000" w:themeColor="text1"/>
          <w:sz w:val="16"/>
          <w:szCs w:val="16"/>
        </w:rPr>
        <w:t xml:space="preserve"> а при куда менее чем у пушечного снаряда скорости, превосходил ею по массе на два с лишним порядка. Редкая цель могла выдержать прямое попадание такого средства поражения. Даже тяжелый танк не подлежал восстановлению после попадания РС-132 в моторный отсек.</w:t>
      </w:r>
    </w:p>
    <w:p w14:paraId="6B08865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ниже 100 м применять РС-132 было невозможно. При под</w:t>
      </w:r>
      <w:r w:rsidRPr="008127F8">
        <w:rPr>
          <w:rFonts w:ascii="Times New Roman" w:hAnsi="Times New Roman"/>
          <w:color w:val="000000" w:themeColor="text1"/>
          <w:sz w:val="16"/>
          <w:szCs w:val="16"/>
        </w:rPr>
        <w:softHyphen/>
        <w:t>рыве на открытой местности он давал большой разлет осколков, а если еще взрывалась и пораженная цель... По свидетельству М.П.Одинцова в боях под Кировоградом РС очень помогли в уничтожении крупного склада боеприпасов противника. К сожалению, не было заранее учтено, что его удастся взорвать двенадцатью РС-132 с первого захода. Второе звено шло ниже первого, и все самолеты попали под осколки, а один сра</w:t>
      </w:r>
      <w:r w:rsidRPr="008127F8">
        <w:rPr>
          <w:rFonts w:ascii="Times New Roman" w:hAnsi="Times New Roman"/>
          <w:color w:val="000000" w:themeColor="text1"/>
          <w:sz w:val="16"/>
          <w:szCs w:val="16"/>
        </w:rPr>
        <w:softHyphen/>
        <w:t>зу загорелся и взорвался над целью (11402).</w:t>
      </w:r>
    </w:p>
    <w:p w14:paraId="4117B8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619D6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г. был доклад заместителю народного комиссара обороны Союза ССР генерал-полковнику Жигареву, начальнику авиационного отдела опера</w:t>
      </w:r>
      <w:r w:rsidRPr="008127F8">
        <w:rPr>
          <w:rFonts w:ascii="Times New Roman" w:hAnsi="Times New Roman"/>
          <w:color w:val="000000" w:themeColor="text1"/>
          <w:sz w:val="16"/>
          <w:szCs w:val="16"/>
        </w:rPr>
        <w:softHyphen/>
        <w:t>тивного управления Генерального штаба Красной Армии генерал-майо</w:t>
      </w:r>
      <w:r w:rsidRPr="008127F8">
        <w:rPr>
          <w:rFonts w:ascii="Times New Roman" w:hAnsi="Times New Roman"/>
          <w:color w:val="000000" w:themeColor="text1"/>
          <w:sz w:val="16"/>
          <w:szCs w:val="16"/>
        </w:rPr>
        <w:softHyphen/>
        <w:t>ру авиации Викуленкову от командующего ВВС МВО генерал-майора авиации Сытова, из еоторого следует, что в 65-м шап фактически были проведены войсковые испытания новых реактивных систем на штурмовиках. Снаряды М-13 с заводов поступили окончательно снаря</w:t>
      </w:r>
      <w:r w:rsidRPr="008127F8">
        <w:rPr>
          <w:rFonts w:ascii="Times New Roman" w:hAnsi="Times New Roman"/>
          <w:color w:val="000000" w:themeColor="text1"/>
          <w:sz w:val="16"/>
          <w:szCs w:val="16"/>
        </w:rPr>
        <w:softHyphen/>
        <w:t>женными с вложенными пиропатронами и ввернутыми взрывателями ГВМЗ «для мин», головное очко для взрывателя - 36 мм. Но с ними сна</w:t>
      </w:r>
      <w:r w:rsidRPr="008127F8">
        <w:rPr>
          <w:rFonts w:ascii="Times New Roman" w:hAnsi="Times New Roman"/>
          <w:color w:val="000000" w:themeColor="text1"/>
          <w:sz w:val="16"/>
          <w:szCs w:val="16"/>
        </w:rPr>
        <w:softHyphen/>
        <w:t>ряды в авиации применять было невозможно, поскольку взрыватель не имел достаточных ступеней предохранения и мог подействовать при взлете, в полете или при посадке с убранными шасси. Поэтому применя</w:t>
      </w:r>
      <w:r w:rsidRPr="008127F8">
        <w:rPr>
          <w:rFonts w:ascii="Times New Roman" w:hAnsi="Times New Roman"/>
          <w:color w:val="000000" w:themeColor="text1"/>
          <w:sz w:val="16"/>
          <w:szCs w:val="16"/>
        </w:rPr>
        <w:softHyphen/>
        <w:t>ли только взрыватели АМ-А, предварительно установив в очко РС пере</w:t>
      </w:r>
      <w:r w:rsidRPr="008127F8">
        <w:rPr>
          <w:rFonts w:ascii="Times New Roman" w:hAnsi="Times New Roman"/>
          <w:color w:val="000000" w:themeColor="text1"/>
          <w:sz w:val="16"/>
          <w:szCs w:val="16"/>
        </w:rPr>
        <w:softHyphen/>
        <w:t>ходную втулку. От преждевременного скручивания крыльчатку взрыва</w:t>
      </w:r>
      <w:r w:rsidRPr="008127F8">
        <w:rPr>
          <w:rFonts w:ascii="Times New Roman" w:hAnsi="Times New Roman"/>
          <w:color w:val="000000" w:themeColor="text1"/>
          <w:sz w:val="16"/>
          <w:szCs w:val="16"/>
        </w:rPr>
        <w:softHyphen/>
        <w:t>теля фиксировали контровочной проволокой за лопасть.</w:t>
      </w:r>
    </w:p>
    <w:p w14:paraId="684156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«нештатном» применении неконтактных взрывателей АГДТ упоминается в книге С.А.Микояна «Воспоминания военного летчика-испытателя»: «Позже я узнал о тяжелом ЧП. Василий Сталин с группой летчиков на озере глушили рыбу. Инженер полка по вооружению стал бросать в воду реактивные снаряды, поставив взрыватель на задержку. Но на очередном снаряде, видимо из-за его ошибки, взрыватель срабо</w:t>
      </w:r>
      <w:r w:rsidRPr="008127F8">
        <w:rPr>
          <w:rFonts w:ascii="Times New Roman" w:hAnsi="Times New Roman"/>
          <w:color w:val="000000" w:themeColor="text1"/>
          <w:sz w:val="16"/>
          <w:szCs w:val="16"/>
        </w:rPr>
        <w:softHyphen/>
        <w:t>тал без задержки. Инженера разорвало на месте, а Герой Советского Со</w:t>
      </w:r>
      <w:r w:rsidRPr="008127F8">
        <w:rPr>
          <w:rFonts w:ascii="Times New Roman" w:hAnsi="Times New Roman"/>
          <w:color w:val="000000" w:themeColor="text1"/>
          <w:sz w:val="16"/>
          <w:szCs w:val="16"/>
        </w:rPr>
        <w:softHyphen/>
        <w:t>юза Саша Котов получил ранение позвоночника, после чего уже не мог летать. Осколком был легко ранен и Василий. Приказом Сталина Васи</w:t>
      </w:r>
      <w:r w:rsidRPr="008127F8">
        <w:rPr>
          <w:rFonts w:ascii="Times New Roman" w:hAnsi="Times New Roman"/>
          <w:color w:val="000000" w:themeColor="text1"/>
          <w:sz w:val="16"/>
          <w:szCs w:val="16"/>
        </w:rPr>
        <w:softHyphen/>
        <w:t>лия опять сняли с должности, и несколько месяцев он был не у дел».</w:t>
      </w:r>
    </w:p>
    <w:p w14:paraId="2D968C0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Кстати, Ф.Ф.Прокопенко в своей книге «Вся жизнь в авиации» уточняет, что данное событие имело место в 1943 г., в бытность В.И.Сталина командиром 32-го гвиап, отведенного в тыл на перефор</w:t>
      </w:r>
      <w:r w:rsidRPr="008127F8">
        <w:rPr>
          <w:rFonts w:ascii="Times New Roman" w:hAnsi="Times New Roman"/>
          <w:color w:val="000000" w:themeColor="text1"/>
          <w:sz w:val="16"/>
          <w:szCs w:val="16"/>
        </w:rPr>
        <w:softHyphen/>
        <w:t>мирование. Все сходится: если АГДТ оставить на предохранителе (в положении «П»), вынуть походную и боевую чеки, а также скрутить крыльчатку, дистанционная трубка срабатывала мгновенно. Инженер, наверняка, это знал, но просто перепутал последовательность дейст</w:t>
      </w:r>
      <w:r w:rsidRPr="008127F8">
        <w:rPr>
          <w:rFonts w:ascii="Times New Roman" w:hAnsi="Times New Roman"/>
          <w:color w:val="000000" w:themeColor="text1"/>
          <w:sz w:val="16"/>
          <w:szCs w:val="16"/>
        </w:rPr>
        <w:softHyphen/>
        <w:t>вий. Очевидно, «полководцы» его постоянно поторапливали, - им хо</w:t>
      </w:r>
      <w:r w:rsidRPr="008127F8">
        <w:rPr>
          <w:rFonts w:ascii="Times New Roman" w:hAnsi="Times New Roman"/>
          <w:color w:val="000000" w:themeColor="text1"/>
          <w:sz w:val="16"/>
          <w:szCs w:val="16"/>
        </w:rPr>
        <w:softHyphen/>
        <w:t>телось свежей ушицы</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11402).</w:t>
      </w:r>
    </w:p>
    <w:p w14:paraId="0386938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5CD76C1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F5B0027" w14:textId="77777777" w:rsidR="00D4651C" w:rsidRPr="008127F8" w:rsidRDefault="00D4651C" w:rsidP="001E0A84">
      <w:pPr>
        <w:pStyle w:val="Iauiue"/>
        <w:jc w:val="both"/>
        <w:rPr>
          <w:iCs/>
          <w:color w:val="000000" w:themeColor="text1"/>
          <w:sz w:val="16"/>
          <w:szCs w:val="16"/>
        </w:rPr>
      </w:pPr>
    </w:p>
    <w:p w14:paraId="7121C8C8" w14:textId="77777777" w:rsidR="008D722B" w:rsidRPr="008127F8" w:rsidRDefault="008D722B" w:rsidP="001E0A84">
      <w:pPr>
        <w:pStyle w:val="a4"/>
        <w:rPr>
          <w:color w:val="000000" w:themeColor="text1"/>
          <w:lang w:val="ru-RU"/>
        </w:rPr>
      </w:pPr>
      <w:r w:rsidRPr="008127F8">
        <w:rPr>
          <w:color w:val="000000" w:themeColor="text1"/>
          <w:lang w:val="ru-RU"/>
        </w:rPr>
        <w:t>4 января 1942 года УЗТМ, который стал Ижорским заводом, вновь вернули старое название. Дополнительной нагрузкой УЗТМ являлось то, что на его площадку осенью 1941 года также были эвакуи</w:t>
      </w:r>
      <w:r w:rsidRPr="008127F8">
        <w:rPr>
          <w:color w:val="000000" w:themeColor="text1"/>
          <w:lang w:val="ru-RU"/>
        </w:rPr>
        <w:softHyphen/>
        <w:t>рованы завод №8 им. М.И. Калинина и завод №37 им. Орджоникидзе (г. Москва). Разрабатывавший двигатель В-5 завод №75 был эвакуиро</w:t>
      </w:r>
      <w:r w:rsidRPr="008127F8">
        <w:rPr>
          <w:color w:val="000000" w:themeColor="text1"/>
          <w:lang w:val="ru-RU"/>
        </w:rPr>
        <w:softHyphen/>
        <w:t>ван в Челябинск, и главной задачей было развертывание на новом ме</w:t>
      </w:r>
      <w:r w:rsidRPr="008127F8">
        <w:rPr>
          <w:color w:val="000000" w:themeColor="text1"/>
          <w:lang w:val="ru-RU"/>
        </w:rPr>
        <w:softHyphen/>
        <w:t>сте производства куда более необходимого дизельного двигателя В-2. С производством 152-мм пушек БР-2 ситуация была ничуть не лучше: последнюю пушку данного типа завод №221 («Баррикады», г. Сталин</w:t>
      </w:r>
      <w:r w:rsidRPr="008127F8">
        <w:rPr>
          <w:color w:val="000000" w:themeColor="text1"/>
          <w:lang w:val="ru-RU"/>
        </w:rPr>
        <w:softHyphen/>
        <w:t>град, ныне Волгоград) изготовил в 1940 году (17484).</w:t>
      </w:r>
    </w:p>
    <w:p w14:paraId="3820A116" w14:textId="77777777" w:rsidR="008D722B" w:rsidRPr="008127F8" w:rsidRDefault="008D722B" w:rsidP="001E0A84">
      <w:pPr>
        <w:spacing w:after="0" w:line="240" w:lineRule="auto"/>
        <w:jc w:val="both"/>
        <w:rPr>
          <w:rFonts w:ascii="Times New Roman" w:hAnsi="Times New Roman"/>
          <w:color w:val="000000" w:themeColor="text1"/>
          <w:sz w:val="16"/>
          <w:szCs w:val="16"/>
        </w:rPr>
      </w:pPr>
    </w:p>
    <w:p w14:paraId="56D0895B" w14:textId="77777777" w:rsidR="005070F8" w:rsidRPr="008127F8" w:rsidRDefault="005070F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 января 1941 года Сталин подписал постановление ГКО №1107, вернувшее УЗТМ, который некоторое время именовался как Ижорский завод, старое обозначение. Еще раньше, 27 декабря 1941 года, было подписано постановление ГКО №1077сс «О строительстве завода №8 НКВ». Впрочем, и без этого в Свердловске постепенно начало разворачиваться производство танкового вооружение.</w:t>
      </w:r>
    </w:p>
    <w:p w14:paraId="19324306" w14:textId="77777777" w:rsidR="005070F8" w:rsidRPr="008127F8" w:rsidRDefault="005070F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Вскоре в Свердловске развернули и выпуск орудий ЗИС-5, что обеспечило ЧТЗ (к 1942 году ЧКЗ) танковыми орудиями. К имевшемуся коллективу конструкторского бюро добавились новые кадры, включая конструктора Л.И. Горлицкого. Именно дуэт Горлицкого и Ф.Ф. Петрова руководил созданием перспективных артиллерийских систем для КВ-1 (17675).</w:t>
      </w:r>
    </w:p>
    <w:p w14:paraId="3842044A" w14:textId="77777777" w:rsidR="005070F8" w:rsidRPr="008127F8" w:rsidRDefault="005070F8" w:rsidP="001E0A84">
      <w:pPr>
        <w:spacing w:after="0" w:line="240" w:lineRule="auto"/>
        <w:jc w:val="both"/>
        <w:rPr>
          <w:rFonts w:ascii="Times New Roman" w:hAnsi="Times New Roman"/>
          <w:color w:val="000000" w:themeColor="text1"/>
          <w:sz w:val="16"/>
          <w:szCs w:val="16"/>
        </w:rPr>
      </w:pPr>
    </w:p>
    <w:p w14:paraId="57AB4C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г. вышло постановление ГКО № 1107 о сохранении названия «Уралмашзавод».</w:t>
      </w:r>
    </w:p>
    <w:p w14:paraId="61AEE8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1245 от 4.02.1942г. артиллерийское производство Уралмашзавода выделено в самостоятельный завод № 9 НКВ. По распоряжению ГКО № 4098 от 13.09.1943г. филиалы № 1 и № 2 УЗТМ выделены в самостоятельный завод № 50.</w:t>
      </w:r>
    </w:p>
    <w:p w14:paraId="0E0C44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11.1941 г. выпускал бронелисты для корпусов и башен Т-34, траки, в 01.1942г. освоен выпуск литых башен для танка КВ. В начале 1943г. изготовлены два опытных корпуса танка КВ-13. Распоряжением ГКО № 2120 от 28.07.1942г. заводу поручено к 1.10.1942г. освоить выпуск танков Т-34. В 09.1942г. выпущены первые 5 Т-34. </w:t>
      </w:r>
      <w:r w:rsidRPr="008127F8">
        <w:rPr>
          <w:rFonts w:ascii="Times New Roman" w:hAnsi="Times New Roman"/>
          <w:color w:val="000000" w:themeColor="text1"/>
          <w:sz w:val="16"/>
          <w:szCs w:val="16"/>
        </w:rPr>
        <w:lastRenderedPageBreak/>
        <w:t>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w:t>
      </w:r>
    </w:p>
    <w:p w14:paraId="0799CA8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03.1942г. велась разработка САУ У-18. По приказу НКТП № 764 от 13.11.1942г. для создания САУ конструкторы Н.В. Курин, Г.Н. Рыбин, К.Н. Ильин и В.А. Вишняков были переведены в КБ ЧКЗ.</w:t>
      </w:r>
    </w:p>
    <w:p w14:paraId="31FB9A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18.08.1942г. вышло постановление ГКО № 2184 о строительстве на «Уралмашзаводе» НКТП мартеновской печи № 5. В соответствии с пост. ГКО № 3158 от 10.04.1943г. на завод мобилизовано 500 чел. служащих и неработающих г. Свердловска. 7.10.1943г. вышло распоряжение ГКО № 4281 об отсрочке изготовления запчастей и оборудования для цементных заводов в связи с производством СУ-85. 21.11.1943г.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23.03.1944г. - постановление ГКО № 5455 о разгрузке Уралмашзавода от производства изделий, не связанных с производством танков и пушек; 4.06.1944г. - постановление ГКО № 6000 о мерах по обеспечению кислородом производства корпусов тяжелых танков и самоходов на заводе. 23.11.1944г. вышло постановление ГКО № 6995 о плане производства на заводе гражданской продукции на 4-й квартал 1944г.</w:t>
      </w:r>
    </w:p>
    <w:p w14:paraId="1C50B1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3.07.1944г. вышло постановление ГКО № 6131 об организации на «Уралмашзаводе» НКТП производства САУ СУ-100.</w:t>
      </w:r>
    </w:p>
    <w:p w14:paraId="5EA7BD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640C0D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бурового оборудования. С 1945 по 2007г. выпущено более 15 тыс. буровых установок.</w:t>
      </w:r>
    </w:p>
    <w:p w14:paraId="3D5FDB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1992г. - ОАО «Уралмаш». В это время в его состав вошло АО «Спецмаш». Позднее оно стало независимым и преобразовано в ГП «Завод № 9». В 1996г.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2007г. ОАО «Уралмашзавод» вошло в состав СП «Машиностроительная корпорация «Уралмаш», созданного ОМЗ и УК «Металлоинвест».</w:t>
      </w:r>
    </w:p>
    <w:p w14:paraId="216B8F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металлургического оборудования. В 2006г. дивизионом «ОМЗ-Уралмаш» выпущены две машины непрерывного литья заготовок (</w:t>
      </w:r>
      <w:r w:rsidRPr="008127F8">
        <w:rPr>
          <w:rFonts w:ascii="Times New Roman" w:hAnsi="Times New Roman"/>
          <w:color w:val="000000" w:themeColor="text1"/>
          <w:sz w:val="16"/>
          <w:szCs w:val="16"/>
          <w:lang w:val="en-US"/>
        </w:rPr>
        <w:t>MHJI</w:t>
      </w:r>
      <w:r w:rsidRPr="008127F8">
        <w:rPr>
          <w:rFonts w:ascii="Times New Roman" w:hAnsi="Times New Roman"/>
          <w:color w:val="000000" w:themeColor="text1"/>
          <w:sz w:val="16"/>
          <w:szCs w:val="16"/>
        </w:rPr>
        <w:t>3).</w:t>
      </w:r>
    </w:p>
    <w:p w14:paraId="36674CC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площади (ВОВ)- 286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3F878E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(1934г.)- С.А. Акопов, (11.1936г.)- Владимиров, (1939-47г.)- г-м Б.Г. Музруков, (1965г.)- Н.И. Рыжков. Гендиректор (- 07.2000 г.)- О. Белоненко, (07.2000-12.2003г.)- К. Бендукидзе, (12.2003-15.12.2004г.)- Ф.А. Воропаев, (12.2004-05г.-)- М.И. Матвиенко, (2006г.)- Б.П. Васильев, (2006-08г.-)- Н.Т. Эфендиев, (2010 г.)- А. Чумаченко.</w:t>
      </w:r>
    </w:p>
    <w:p w14:paraId="5E4237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(12.2004г.-)- А. Кошелев. Зам. гендиректора (2007г.)- Е.Ф. Абысова.</w:t>
      </w:r>
    </w:p>
    <w:p w14:paraId="2D612B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исполнительный (-2001 г.)- М. Матвиенко, (12.2001-12.2003г.)- Ф.А. Воропаев; финансовый (-2004г.)- Е. Пакерманов, (2004г.-)- К. Войтелев, по экономике и финансам (-2006-07г.-)- Е.Ф. Абысова, (2008г.)- С.А. Воронцова; по продажам (-12.2004г.)- А. Кошелев, (02.2005г.-)- С. Колесниченко; по персоналу (2006г.)- М.Б. Столовицкий, по персоналу и социальным вопросам (2007г.)- А.А. Павлюк.</w:t>
      </w:r>
    </w:p>
    <w:p w14:paraId="03E1A36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Советник гендиректора (2004г.)- Б. Красилов.</w:t>
      </w:r>
    </w:p>
    <w:p w14:paraId="0246E1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(-1942-43г.-)- Л.И. Горлицкий.</w:t>
      </w:r>
    </w:p>
    <w:p w14:paraId="7451CD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гаубицы: 122-мм (1938), Д-30А (2004); танк Т-34 (1942-43)- 266 (1942); САУ: СУ-122 (1942-43- ), СУ-85 (1943-44), СУ-100 (1944) (11982).</w:t>
      </w:r>
    </w:p>
    <w:p w14:paraId="013C8858" w14:textId="77777777" w:rsidR="00346683" w:rsidRPr="008127F8" w:rsidRDefault="00346683" w:rsidP="001E0A84">
      <w:pPr>
        <w:shd w:val="clear" w:color="auto" w:fill="FFFFFF"/>
        <w:spacing w:after="0" w:line="240" w:lineRule="auto"/>
        <w:jc w:val="both"/>
        <w:rPr>
          <w:rFonts w:ascii="Times New Roman" w:hAnsi="Times New Roman"/>
          <w:color w:val="000000" w:themeColor="text1"/>
          <w:sz w:val="16"/>
          <w:szCs w:val="16"/>
        </w:rPr>
      </w:pPr>
    </w:p>
    <w:p w14:paraId="0A474BE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г. была подготовлена СПРАВКА НАЧАЛЬНИКА АТУ ПО ВОПРОСУ ИСПОЛЬЗОВАНИЯ В ВОЗДУШНО-ДЕСАНТНЫХ ВОЙСКАХ АВТОМАШИН ГАЗ-64</w:t>
      </w:r>
    </w:p>
    <w:p w14:paraId="6C3765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Автомашина ГАЗ-64 для воздушно-десантных частей является более подходящей, чем ГАЗ-ААА, но лучше применить автомашину ГАЗ-61 «Пикап» с двумя ведущими осями.</w:t>
      </w:r>
    </w:p>
    <w:p w14:paraId="24367A3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 ГАЗ-61 с успехом может быть использована для монтажа радиостанции РСБ, как транс</w:t>
      </w:r>
      <w:r w:rsidRPr="008127F8">
        <w:rPr>
          <w:rFonts w:ascii="Times New Roman" w:hAnsi="Times New Roman"/>
          <w:color w:val="000000" w:themeColor="text1"/>
          <w:sz w:val="16"/>
          <w:szCs w:val="16"/>
        </w:rPr>
        <w:softHyphen/>
        <w:t>портер для боеприпасов и тягач 45-мм пушки, а также для установки батальонных 82-мм минометов.</w:t>
      </w:r>
    </w:p>
    <w:p w14:paraId="58FBE2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Автомашина ГАЗ-64 в Красной Армии используется как машина разведки, связи и как коман</w:t>
      </w:r>
      <w:r w:rsidRPr="008127F8">
        <w:rPr>
          <w:rFonts w:ascii="Times New Roman" w:hAnsi="Times New Roman"/>
          <w:color w:val="000000" w:themeColor="text1"/>
          <w:sz w:val="16"/>
          <w:szCs w:val="16"/>
        </w:rPr>
        <w:softHyphen/>
        <w:t>дирская машина.</w:t>
      </w:r>
    </w:p>
    <w:p w14:paraId="52259F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первую очередь этими машинами необходимо снабдить армии, дивизии, а затем полки.</w:t>
      </w:r>
    </w:p>
    <w:p w14:paraId="0851CCF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месяце 1941 года автозаводом им. Молотова выпущено автомашин ГАЗ-64 - 79 штук, в декабре выпуска не было.</w:t>
      </w:r>
    </w:p>
    <w:p w14:paraId="453022C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этих машин прекращен заводом из-за отсутствия подшипников.</w:t>
      </w:r>
    </w:p>
    <w:p w14:paraId="62B1FA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автомашины ГАЗ-64 использовать в военно-воздушных войсках нецелесообразно.</w:t>
      </w:r>
    </w:p>
    <w:p w14:paraId="60E365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АТУ ГАБТУ КА бригинженер Тягунов</w:t>
      </w:r>
    </w:p>
    <w:p w14:paraId="0ECBF620"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Военный комиссар АТУ ГАБТУ КА полковой комиссар Лозовский (11211).</w:t>
      </w:r>
    </w:p>
    <w:p w14:paraId="41ADD5FC" w14:textId="77777777" w:rsidR="00D4651C" w:rsidRPr="008127F8" w:rsidRDefault="00D4651C" w:rsidP="001E0A84">
      <w:pPr>
        <w:pStyle w:val="afff5"/>
        <w:jc w:val="both"/>
        <w:rPr>
          <w:i w:val="0"/>
          <w:iCs w:val="0"/>
          <w:color w:val="000000" w:themeColor="text1"/>
          <w:spacing w:val="0"/>
          <w:position w:val="0"/>
          <w:sz w:val="16"/>
          <w:szCs w:val="16"/>
        </w:rPr>
      </w:pPr>
    </w:p>
    <w:p w14:paraId="44F6EC67" w14:textId="77777777" w:rsidR="00F85907" w:rsidRPr="008127F8" w:rsidRDefault="00F859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г. постановление ГОКО № 1106сс обязало Наркомвнешторг закупить в Америке и Англии 20000 мотоциклов с колясками, которые состояли на вооружении армий этих стран. США предложили мотоциклы фирмы Indian модели 741-B. При этом если Наркомвнешторг настаивал на моделях с колясками, то департамент США от поставки мотоциклов с колясками категорически отказался.</w:t>
      </w:r>
    </w:p>
    <w:p w14:paraId="4FD80CAD" w14:textId="77777777" w:rsidR="00F85907" w:rsidRPr="008127F8" w:rsidRDefault="00F859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Первоначально заказ на коляски планировали разместить на Карачаровском мехническом заводе Наркомата коммунального хозяйства РСФСР. Согласно Постановлению ЦК ВКП(б) и СНК Союза ССР от 10 августа 1940 г. за №П19/160 на Карачаровский завод было возложено изготовление в 1940 г. — 100 шт и в 1941 г. 5500 шт. прицепных колясок к мотоциклам «нового типа». Однако до октября 1940 г. техническая документация на завод так и не поступила, в вязи с чем глава Наркомхоза РСФСР В. Макаров писал маршалу Ворошилову: «Вся техническая документация (чертежи и технические условия) на прицепную коляску должна быть представлена Карачаровскому заводу Главмотовелопромом […]. Главмотовелопром […] приступил к проектированию коляски образца БМВ-К-71 и может дать техническую документацию Карачаровскому заводу после опробирования образца и корректировки чертежей. Не имея технической документации, Наркомхоз РСФСР лишен возможности организовать выпуск в 1У квартале 1940 года — 100 шт. прицепных колясок, а также произвести подготовку производства к выпуску прицепных колясок с начала 1941 года. Прошу дать указание […] обеспечить изготовление и передачу Наркомхозу РСФСР чертежей и технических условий коляски БМВ-К-71 не позже 15 декабря 1940 г. Это даст возможность подготовить производство к выпуску прицепных колясок в 1941 г.» (19776).</w:t>
      </w:r>
    </w:p>
    <w:p w14:paraId="2E6B19D9" w14:textId="77777777" w:rsidR="00F85907" w:rsidRPr="008127F8" w:rsidRDefault="00F85907" w:rsidP="001E0A84">
      <w:pPr>
        <w:spacing w:after="0" w:line="240" w:lineRule="auto"/>
        <w:jc w:val="both"/>
        <w:rPr>
          <w:rFonts w:ascii="Times New Roman" w:hAnsi="Times New Roman"/>
          <w:color w:val="000000" w:themeColor="text1"/>
          <w:sz w:val="16"/>
          <w:szCs w:val="16"/>
        </w:rPr>
      </w:pPr>
    </w:p>
    <w:p w14:paraId="5DCB5A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ГКО № 1101 Вопросы Главупраформа.РГАНИР, Фонд ГКО, д. 18, лл. 152 (11012).</w:t>
      </w:r>
    </w:p>
    <w:p w14:paraId="5D69E9F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34171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 1102 ГКО О производстве на СТЗ тягача СТЗ-5. РГАНИР, Фонд ГКО, д. 18, лл. 153 (11012).</w:t>
      </w:r>
    </w:p>
    <w:p w14:paraId="409D2AD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8817A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 1103 ГКО Об отмене решения о передаче станков с завода № 76 HКТП на завод № 212 HКСП. РГАНИР, Фонд ГКО, д. 18, лл. 154 (11012).</w:t>
      </w:r>
    </w:p>
    <w:p w14:paraId="4A57D93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734A0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ГКО № 1104 О ремонте на ЧТЗ тракторов взамен их производства. РГАНИР, Фонд ГКО, д. 18, лл. 155 (11012).</w:t>
      </w:r>
    </w:p>
    <w:p w14:paraId="290E28F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F4684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ГКО № 1106 О закупке мотоциклов. РГАНИР, Фонд ГКО, д. 18, лл. 157 (11012).</w:t>
      </w:r>
    </w:p>
    <w:p w14:paraId="6F568E4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69DEB59" w14:textId="77777777" w:rsidR="00346683" w:rsidRPr="008127F8" w:rsidRDefault="00346683"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4 января 1942 г. постановление ГОКО №1106сс обязало Наркомвнешторг закупить в Америке и Англии 20000 мотоциклов с колясками, которые состояли на вооружении армий этих стран. В это время Второй фронт еще не был открыт, поэтому не удивительно, что английское правительство в пос</w:t>
      </w:r>
      <w:r w:rsidRPr="008127F8">
        <w:rPr>
          <w:rFonts w:ascii="Times New Roman" w:cs="Times New Roman"/>
          <w:color w:val="000000" w:themeColor="text1"/>
          <w:spacing w:val="0"/>
          <w:sz w:val="16"/>
          <w:szCs w:val="16"/>
        </w:rPr>
        <w:softHyphen/>
        <w:t>тавке мотоциклов отказало. США поставки в Советский Союз одобрили, предложив мотоциклы фирмы «Индиан» модели 741-В. При этом если Наркомвнешторг настаи</w:t>
      </w:r>
      <w:r w:rsidRPr="008127F8">
        <w:rPr>
          <w:rFonts w:ascii="Times New Roman" w:cs="Times New Roman"/>
          <w:color w:val="000000" w:themeColor="text1"/>
          <w:spacing w:val="0"/>
          <w:sz w:val="16"/>
          <w:szCs w:val="16"/>
        </w:rPr>
        <w:softHyphen/>
        <w:t>вал на моделях с колясками, то департамент США от этого категориче</w:t>
      </w:r>
      <w:r w:rsidRPr="008127F8">
        <w:rPr>
          <w:rFonts w:ascii="Times New Roman" w:cs="Times New Roman"/>
          <w:color w:val="000000" w:themeColor="text1"/>
          <w:spacing w:val="0"/>
          <w:sz w:val="16"/>
          <w:szCs w:val="16"/>
        </w:rPr>
        <w:softHyphen/>
        <w:t>ски отказался (15769).</w:t>
      </w:r>
    </w:p>
    <w:p w14:paraId="535AAB58"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586C2C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ГКО № 1107 О сохранении названия "Уралмашзавод". РГАНИР, Фонд ГКО, д. 18, лл. 158 (11012).</w:t>
      </w:r>
    </w:p>
    <w:p w14:paraId="48E1F94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02633B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749A385C" w14:textId="77777777" w:rsidR="00D4651C" w:rsidRPr="008127F8" w:rsidRDefault="00D4651C" w:rsidP="001E0A84">
      <w:pPr>
        <w:pStyle w:val="Iauiue"/>
        <w:jc w:val="both"/>
        <w:rPr>
          <w:iCs/>
          <w:color w:val="000000" w:themeColor="text1"/>
          <w:sz w:val="16"/>
          <w:szCs w:val="16"/>
        </w:rPr>
      </w:pPr>
    </w:p>
    <w:p w14:paraId="5B71158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1C54FDC5"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4 января наши войска вели бои с противником на всех фронтах.</w:t>
      </w:r>
    </w:p>
    <w:p w14:paraId="03983AD9"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Продолжая развивать наступление, наша часть, действующая на одном из участков Западного фронта, выбила немцев из 4 населённых пунктов и захватила немецкий танк, 8 орудий, 36 автомашин, 17 пулемётов и много боеприпасов. На другом участке захвачен штаб 12 полка 31 немецкой пехотной дивизии, взяты 3 грузовых и одна легковая машины, документы и имущество штаба.</w:t>
      </w:r>
    </w:p>
    <w:p w14:paraId="021646DD"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разведка установила, что на вражеском аэродроме близ города Т. находится 10 самолётов противника. Утром 2 января группа истребителей капитана Картузова совершила внезапный налёт на вражеский аэродром и уничтожила 6 немецких самолетов. Остальные самолёты получили серьезные повреждения.</w:t>
      </w:r>
    </w:p>
    <w:p w14:paraId="2BA9505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Экипаж танка лейтенанта Федоренко в одном из боёв с противником уничтожил 3 немецкие </w:t>
      </w:r>
      <w:proofErr w:type="gramStart"/>
      <w:r w:rsidRPr="008127F8">
        <w:rPr>
          <w:rFonts w:ascii="Times New Roman" w:hAnsi="Times New Roman"/>
          <w:color w:val="000000" w:themeColor="text1"/>
          <w:sz w:val="16"/>
          <w:szCs w:val="16"/>
        </w:rPr>
        <w:t>дерево-земляные</w:t>
      </w:r>
      <w:proofErr w:type="gramEnd"/>
      <w:r w:rsidRPr="008127F8">
        <w:rPr>
          <w:rFonts w:ascii="Times New Roman" w:hAnsi="Times New Roman"/>
          <w:color w:val="000000" w:themeColor="text1"/>
          <w:sz w:val="16"/>
          <w:szCs w:val="16"/>
        </w:rPr>
        <w:t xml:space="preserve"> огневые точки и истребил 25 вражеских солдат и офицеров. Командир орудия другого танкового экипажа тов. Мостовицкий артиллерийским огнём истребил до роты пехоты противника.</w:t>
      </w:r>
    </w:p>
    <w:p w14:paraId="197B30F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«Грозный», «Боевой», «Храбрый» и «За Родину», действующие в двух оккупированных немцами районах Ленинградской области, наносят фашистам непрерывные удары. Только за последнее время партизаны взорвали 3 вражеских артиллерийских склада, уничтожили самолёт-разведчик с экипажем, 8 грузовых и 4 легковых автомашины, автобус с 6 офицерами и 10 солдатами и 3 больших фургона. Славные советские патриоты разрушили в разных местах 8 километров шоссейных дорог, 300 метров железнодорожного полотна, 4 моста и много линий полевой связи, вырезали 1.700 метров кабеля. Партизанские отряды совершили 5 налётов на деревни, занятые немцами, разгромили 2 фашистских карательных отряда. Всего партизаны истребили 297 немецких солдат, 23 офицеров и нескольких фашистских шпионов.</w:t>
      </w:r>
    </w:p>
    <w:p w14:paraId="261114D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Андреевка, Балаклейского района, Харьковской области, гитлеровские бандиты расстреляли 40 местных жителей, в том числе нескольких женщин и детей. В селе Андрюшино, Киевской области, немцы арестовали и увели в неизвестном направлении всё мужское население в возрасте от 14 до 60 лет.</w:t>
      </w:r>
    </w:p>
    <w:p w14:paraId="78588784"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Румынии вновь резко сокращены нормы выдачи продуктов. Жители ряда городов совершенно не получают хлеба, овощей, не говоря уже о мясе. В городах Плоешти, Фаурей и Бузау в конце декабря произошли голодные демонстрации.</w:t>
      </w:r>
    </w:p>
    <w:p w14:paraId="7753BAE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Южнее Бергена (Норвегия) взорван немецкий склад боеприпасов и батарея дальнобойных орудий, взрывом уничтожена артиллерийская прислуга и охрана складов.</w:t>
      </w:r>
    </w:p>
    <w:p w14:paraId="6235212E"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Советские патриотки успешно заменяют мужчин, ушедших на фронт Великой Отечественной войны. На руднике «Сокольный» (Алтайский край) тов. Давыдченко овладела профессией бурильщика. Сейчас она выполняет по две нормы в смену. Домохозяйка Слепова, заменившая на руднике мужа, ушедшего на фронт, управляет сложными машинами и выполняет сменное задание, на 200 процентов. Председатель сельскохозяйственной артели «Красный Октябрь», Альшеевского района (Башкирия), ушёл на фронт. Председателем артели колхозники избрали тов. Соколову, которая теперь успешно руководит сложным общественным хозяйством. Колхоз выполнил обязательства перед государством, засыпал семена, обеспечил скот кормами. За последний месяц в Альшеевском районе 55 женщин выдвинуто в заведующие животноводческими фермами. В Илишевском районе на пост председателей колхозов выдвинуто 63 женщины, назначены бригадирами — 125 и заведующими фермами—135 женщин.» (14999).</w:t>
      </w:r>
    </w:p>
    <w:p w14:paraId="2B46BAA7"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5373637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CBAF0E5"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4 января на ряде участков фронта наши войска, преодолевая попытки немецко-фашистских войск закрепиться на новых рубежах, нанесли противнику большой урон в технике и живой силе. Наши войска заняли ряд населённых пунктов и в числе их г. Боровск.</w:t>
      </w:r>
    </w:p>
    <w:p w14:paraId="7AB84AEB"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января уничтожено 19 немецких самолётов. Наши потери — 5 самолётов.</w:t>
      </w:r>
    </w:p>
    <w:p w14:paraId="0B1F0F6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4 января под Москвой сбито 11 немецких самолётов.</w:t>
      </w:r>
    </w:p>
    <w:p w14:paraId="419DFFBD"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части нашей авиации уничтожили 23 немецких танка, 3 бронемашины, более 290 автомашин с пехотой и грузами, около 100 повозок с боеприпасами, автоцистерну с бензином, взорвали склад с боеприпасами, сожгли 4 железнодорожных эшелона, рассеяли и частью уничтожили до 2 полков пехоты противника.</w:t>
      </w:r>
    </w:p>
    <w:p w14:paraId="6568C70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города Малоярославца одна наша часть захватила 19 немецких танков, 6 танкеток, 8 бронемашин, 65 орудий, 293 автомашины, 98 пулемётов, 26 миномётов, 48 автоматов, 65 мотоциклов, 195 велосипедов, 2 радиостанции, 275 повозок, 158 лошадей, 100 тонн овса, много продовольствия и боеприпасов.</w:t>
      </w:r>
    </w:p>
    <w:p w14:paraId="7FA861C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в ожесточённых сражениях с противником на одном из участков Западного фронта освободили от немцев 7 населённых пунктов и захватили вражеский танк, тяжёлое орудие, 4 станковых пулемёта, 50.000 снарядов, 11.000 мин, 72.000 патронов, 2 вагона с лыжами, 3 паровоза, 26 вагонов с военными грузами и истребили 200 солдат и офицеров противника.</w:t>
      </w:r>
    </w:p>
    <w:p w14:paraId="79BC3ABA"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Корабли и береговые батареи Балтийского флота, обстреляв вражеские позиции, подавили три немецкие батареи, уничтожили миномётную батарею и большое количество автомашин.</w:t>
      </w:r>
    </w:p>
    <w:p w14:paraId="4525E23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Старшина Леонов во время боя с противником истребил из автомата 16 немецких солдат и офицеров. Когда был ранен командир роты, тов. Леонов взял на себя командование ротой и смело повёл бойцов в атаку. Враг был выбит из занимаемых им позиций.</w:t>
      </w:r>
    </w:p>
    <w:p w14:paraId="5963259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Е., действующий в одном из оккупированных немцами районов Московской области, ведёт неустанную борьбу против немецких захватчиков. Партизаны выследили вражескую автомашину с прицепленной сзади пушкой. Командир отряда метнул гранату и попал в кузов грузовика. Вслед за командиром бойцы бросили в машину гранаты и бутылки с горючим. Взрывом снарядов, находившихся в машине, и осколками гранат убито 12 немецких солдат, а пушка приведена в негодность. В тот же день партизаны уничтожили в разных пунктах 24 фашистских солдата, 2 повозки с патронами, повозку с термосами для пищи. В последующие дни партизаны истребили 13 фашистов, уничтожили одну грузовую машину и 2 мотоцикла, перерезали 12 телефонных линий, обрубили и вырезали кабель в нескольких пунктах. Группа партизан совместно с нашей войсковой разведкой совершила ночной налёт на деревню Г. В завязавшемся бою убито около ста фашистских солдат.</w:t>
      </w:r>
    </w:p>
    <w:p w14:paraId="4BA565F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роты 20 мотополка 1 словацкой мотодивизии Ян Тессари на допросе заявил: «С 16 по 25 декабря в нашей роте было 7 случаев умышленного членовредительства. Солдаты сами простреливали себе руки, чтобы таким образом избавиться от войны».</w:t>
      </w:r>
    </w:p>
    <w:p w14:paraId="2344E42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31 декабря токарь механических мастерских треста «Балейзолото» тов. Суздалев, изготовляя детали для перфораторных молотков, выполнил сменную норму на 4.900 процентов и заработал 544 рубля. Половину своего заработка он передал в фонд обороны СССР.» (14999).</w:t>
      </w:r>
    </w:p>
    <w:p w14:paraId="24F2AECD"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0D28AC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Сведения о наличии самолетов Пе-3 в строевых частях ВВС КА по состоянию на 4 января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1166"/>
        <w:gridCol w:w="1166"/>
      </w:tblGrid>
      <w:tr w:rsidR="006F4095" w:rsidRPr="008127F8" w14:paraId="3CFE9524" w14:textId="77777777">
        <w:tc>
          <w:tcPr>
            <w:tcW w:w="5605" w:type="dxa"/>
            <w:tcBorders>
              <w:top w:val="single" w:sz="12" w:space="0" w:color="auto"/>
            </w:tcBorders>
          </w:tcPr>
          <w:p w14:paraId="6C60A7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Авиационные части </w:t>
            </w:r>
          </w:p>
        </w:tc>
        <w:tc>
          <w:tcPr>
            <w:tcW w:w="1166" w:type="dxa"/>
            <w:tcBorders>
              <w:top w:val="single" w:sz="12" w:space="0" w:color="auto"/>
            </w:tcBorders>
          </w:tcPr>
          <w:p w14:paraId="53015CC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w:t>
            </w:r>
          </w:p>
        </w:tc>
        <w:tc>
          <w:tcPr>
            <w:tcW w:w="1166" w:type="dxa"/>
            <w:tcBorders>
              <w:top w:val="single" w:sz="12" w:space="0" w:color="auto"/>
            </w:tcBorders>
          </w:tcPr>
          <w:p w14:paraId="7651D8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w:t>
            </w:r>
          </w:p>
        </w:tc>
      </w:tr>
      <w:tr w:rsidR="006F4095" w:rsidRPr="008127F8" w14:paraId="7178FDA8" w14:textId="77777777">
        <w:tc>
          <w:tcPr>
            <w:tcW w:w="5605" w:type="dxa"/>
          </w:tcPr>
          <w:p w14:paraId="0DAC4C24"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166" w:type="dxa"/>
          </w:tcPr>
          <w:p w14:paraId="25F1AE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исправных</w:t>
            </w:r>
          </w:p>
        </w:tc>
        <w:tc>
          <w:tcPr>
            <w:tcW w:w="1166" w:type="dxa"/>
          </w:tcPr>
          <w:p w14:paraId="43B428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неисправных</w:t>
            </w:r>
          </w:p>
        </w:tc>
      </w:tr>
      <w:tr w:rsidR="006F4095" w:rsidRPr="008127F8" w14:paraId="4949A6E0" w14:textId="77777777">
        <w:tc>
          <w:tcPr>
            <w:tcW w:w="5605" w:type="dxa"/>
          </w:tcPr>
          <w:p w14:paraId="49A811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Западного фронта</w:t>
            </w:r>
          </w:p>
        </w:tc>
        <w:tc>
          <w:tcPr>
            <w:tcW w:w="1166" w:type="dxa"/>
          </w:tcPr>
          <w:p w14:paraId="4FA65656"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166" w:type="dxa"/>
          </w:tcPr>
          <w:p w14:paraId="3B4B0D4A"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088155B7" w14:textId="77777777">
        <w:tc>
          <w:tcPr>
            <w:tcW w:w="5605" w:type="dxa"/>
          </w:tcPr>
          <w:p w14:paraId="2993B4C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54-й бап </w:t>
            </w:r>
          </w:p>
        </w:tc>
        <w:tc>
          <w:tcPr>
            <w:tcW w:w="1166" w:type="dxa"/>
          </w:tcPr>
          <w:p w14:paraId="228BAC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166" w:type="dxa"/>
          </w:tcPr>
          <w:p w14:paraId="635D2C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r>
      <w:tr w:rsidR="006F4095" w:rsidRPr="008127F8" w14:paraId="77197D74" w14:textId="77777777">
        <w:tc>
          <w:tcPr>
            <w:tcW w:w="5605" w:type="dxa"/>
          </w:tcPr>
          <w:p w14:paraId="64C202D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511-й бап </w:t>
            </w:r>
          </w:p>
        </w:tc>
        <w:tc>
          <w:tcPr>
            <w:tcW w:w="1166" w:type="dxa"/>
          </w:tcPr>
          <w:p w14:paraId="01F365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166" w:type="dxa"/>
          </w:tcPr>
          <w:p w14:paraId="718785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6AF857B8" w14:textId="77777777">
        <w:tc>
          <w:tcPr>
            <w:tcW w:w="5605" w:type="dxa"/>
          </w:tcPr>
          <w:p w14:paraId="27EEC8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38-я ораэ </w:t>
            </w:r>
          </w:p>
        </w:tc>
        <w:tc>
          <w:tcPr>
            <w:tcW w:w="1166" w:type="dxa"/>
          </w:tcPr>
          <w:p w14:paraId="0E9FC4D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66" w:type="dxa"/>
          </w:tcPr>
          <w:p w14:paraId="224FD0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E66263E" w14:textId="77777777">
        <w:tc>
          <w:tcPr>
            <w:tcW w:w="5605" w:type="dxa"/>
          </w:tcPr>
          <w:p w14:paraId="544A1D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Юго-Западного фронта</w:t>
            </w:r>
          </w:p>
        </w:tc>
        <w:tc>
          <w:tcPr>
            <w:tcW w:w="1166" w:type="dxa"/>
          </w:tcPr>
          <w:p w14:paraId="3A6B4FD6"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166" w:type="dxa"/>
          </w:tcPr>
          <w:p w14:paraId="41E2A1CE"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10116DED" w14:textId="77777777">
        <w:tc>
          <w:tcPr>
            <w:tcW w:w="5605" w:type="dxa"/>
          </w:tcPr>
          <w:p w14:paraId="1FD5DA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322-я раз</w:t>
            </w:r>
          </w:p>
        </w:tc>
        <w:tc>
          <w:tcPr>
            <w:tcW w:w="1166" w:type="dxa"/>
          </w:tcPr>
          <w:p w14:paraId="6A1F35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166" w:type="dxa"/>
          </w:tcPr>
          <w:p w14:paraId="4A49E6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B009405" w14:textId="77777777">
        <w:tc>
          <w:tcPr>
            <w:tcW w:w="5605" w:type="dxa"/>
          </w:tcPr>
          <w:p w14:paraId="07B2DB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Разведывательная авиация Главного Командования</w:t>
            </w:r>
          </w:p>
        </w:tc>
        <w:tc>
          <w:tcPr>
            <w:tcW w:w="1166" w:type="dxa"/>
          </w:tcPr>
          <w:p w14:paraId="73993652"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166" w:type="dxa"/>
          </w:tcPr>
          <w:p w14:paraId="57C5D170"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0F9B470E" w14:textId="77777777">
        <w:tc>
          <w:tcPr>
            <w:tcW w:w="5605" w:type="dxa"/>
          </w:tcPr>
          <w:p w14:paraId="403B77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2-й апр ГК КА </w:t>
            </w:r>
          </w:p>
        </w:tc>
        <w:tc>
          <w:tcPr>
            <w:tcW w:w="1166" w:type="dxa"/>
          </w:tcPr>
          <w:p w14:paraId="4475BA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66" w:type="dxa"/>
          </w:tcPr>
          <w:p w14:paraId="73794D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A801C67" w14:textId="77777777">
        <w:tc>
          <w:tcPr>
            <w:tcW w:w="5605" w:type="dxa"/>
          </w:tcPr>
          <w:p w14:paraId="5301A7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40-й апр ГК КА </w:t>
            </w:r>
          </w:p>
        </w:tc>
        <w:tc>
          <w:tcPr>
            <w:tcW w:w="1166" w:type="dxa"/>
          </w:tcPr>
          <w:p w14:paraId="0181A5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166" w:type="dxa"/>
          </w:tcPr>
          <w:p w14:paraId="65B98D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6F4095" w:rsidRPr="008127F8" w14:paraId="206E2F17" w14:textId="77777777">
        <w:tc>
          <w:tcPr>
            <w:tcW w:w="5605" w:type="dxa"/>
          </w:tcPr>
          <w:p w14:paraId="3FCE60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215-я ораэ </w:t>
            </w:r>
          </w:p>
        </w:tc>
        <w:tc>
          <w:tcPr>
            <w:tcW w:w="1166" w:type="dxa"/>
          </w:tcPr>
          <w:p w14:paraId="6B6A39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66" w:type="dxa"/>
          </w:tcPr>
          <w:p w14:paraId="65343F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16B8CA66" w14:textId="77777777">
        <w:tc>
          <w:tcPr>
            <w:tcW w:w="5605" w:type="dxa"/>
          </w:tcPr>
          <w:p w14:paraId="3E115A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321-я ораэ </w:t>
            </w:r>
          </w:p>
        </w:tc>
        <w:tc>
          <w:tcPr>
            <w:tcW w:w="1166" w:type="dxa"/>
          </w:tcPr>
          <w:p w14:paraId="3AC2FB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166" w:type="dxa"/>
          </w:tcPr>
          <w:p w14:paraId="652D52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9C28281" w14:textId="77777777">
        <w:tc>
          <w:tcPr>
            <w:tcW w:w="5605" w:type="dxa"/>
          </w:tcPr>
          <w:p w14:paraId="4A39758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6-й истребительный авиационный корпус</w:t>
            </w:r>
          </w:p>
        </w:tc>
        <w:tc>
          <w:tcPr>
            <w:tcW w:w="1166" w:type="dxa"/>
          </w:tcPr>
          <w:p w14:paraId="195ED161"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166" w:type="dxa"/>
          </w:tcPr>
          <w:p w14:paraId="65932A16"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349D45F5" w14:textId="77777777">
        <w:tc>
          <w:tcPr>
            <w:tcW w:w="5605" w:type="dxa"/>
          </w:tcPr>
          <w:p w14:paraId="16157A0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95-й иап </w:t>
            </w:r>
          </w:p>
        </w:tc>
        <w:tc>
          <w:tcPr>
            <w:tcW w:w="1166" w:type="dxa"/>
          </w:tcPr>
          <w:p w14:paraId="50F695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166" w:type="dxa"/>
          </w:tcPr>
          <w:p w14:paraId="1EC632F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6F4095" w:rsidRPr="008127F8" w14:paraId="2E265969" w14:textId="77777777">
        <w:tc>
          <w:tcPr>
            <w:tcW w:w="5605" w:type="dxa"/>
          </w:tcPr>
          <w:p w14:paraId="10918BE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208-й бап </w:t>
            </w:r>
          </w:p>
        </w:tc>
        <w:tc>
          <w:tcPr>
            <w:tcW w:w="1166" w:type="dxa"/>
          </w:tcPr>
          <w:p w14:paraId="3AB0730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166" w:type="dxa"/>
          </w:tcPr>
          <w:p w14:paraId="1E39E5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r>
      <w:tr w:rsidR="006F4095" w:rsidRPr="008127F8" w14:paraId="41E331A8" w14:textId="77777777">
        <w:tc>
          <w:tcPr>
            <w:tcW w:w="5605" w:type="dxa"/>
          </w:tcPr>
          <w:p w14:paraId="1040D8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Резерв Главного Командования</w:t>
            </w:r>
          </w:p>
        </w:tc>
        <w:tc>
          <w:tcPr>
            <w:tcW w:w="1166" w:type="dxa"/>
          </w:tcPr>
          <w:p w14:paraId="22CED663"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166" w:type="dxa"/>
          </w:tcPr>
          <w:p w14:paraId="74036915"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6B51BDCF" w14:textId="77777777">
        <w:tc>
          <w:tcPr>
            <w:tcW w:w="5605" w:type="dxa"/>
          </w:tcPr>
          <w:p w14:paraId="43F4CA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9-й бап </w:t>
            </w:r>
          </w:p>
        </w:tc>
        <w:tc>
          <w:tcPr>
            <w:tcW w:w="1166" w:type="dxa"/>
          </w:tcPr>
          <w:p w14:paraId="210C73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166" w:type="dxa"/>
          </w:tcPr>
          <w:p w14:paraId="75C03F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33960720" w14:textId="77777777">
        <w:tc>
          <w:tcPr>
            <w:tcW w:w="5605" w:type="dxa"/>
          </w:tcPr>
          <w:p w14:paraId="39EBAF0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Запасные авиаполки </w:t>
            </w:r>
          </w:p>
        </w:tc>
        <w:tc>
          <w:tcPr>
            <w:tcW w:w="1166" w:type="dxa"/>
          </w:tcPr>
          <w:p w14:paraId="21A576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166" w:type="dxa"/>
          </w:tcPr>
          <w:p w14:paraId="63B1B5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5B296C65" w14:textId="77777777">
        <w:tc>
          <w:tcPr>
            <w:tcW w:w="5605" w:type="dxa"/>
            <w:tcBorders>
              <w:bottom w:val="single" w:sz="12" w:space="0" w:color="auto"/>
            </w:tcBorders>
          </w:tcPr>
          <w:p w14:paraId="1D9C2C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Итого </w:t>
            </w:r>
          </w:p>
        </w:tc>
        <w:tc>
          <w:tcPr>
            <w:tcW w:w="1166" w:type="dxa"/>
            <w:tcBorders>
              <w:bottom w:val="single" w:sz="12" w:space="0" w:color="auto"/>
            </w:tcBorders>
          </w:tcPr>
          <w:p w14:paraId="0B74FC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1166" w:type="dxa"/>
            <w:tcBorders>
              <w:bottom w:val="single" w:sz="12" w:space="0" w:color="auto"/>
            </w:tcBorders>
          </w:tcPr>
          <w:p w14:paraId="221A04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r>
    </w:tbl>
    <w:p w14:paraId="5F3036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(12042).</w:t>
      </w:r>
    </w:p>
    <w:p w14:paraId="57A7EE9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0782C9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января 1942 г. вышел ПРИКАЗ НКО № 005 О МЕРАХ ПО БОРЬБЕ С АВАРИЙНОСТЬЮ В ЧАСТЯХ ВВС ОКРУГОВ И ЗАПАСНЫХ АВИАПОЛКАХ</w:t>
      </w:r>
    </w:p>
    <w:p w14:paraId="7D5420C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 период с 1.07 по 15.12.1941 г. во внутренних округах и запасных авиаполках произошло 337 катастроф и 586 аварий. При этом погибло 604 человека личного состава и разбито 747 самолетов.</w:t>
      </w:r>
    </w:p>
    <w:p w14:paraId="1F7A76C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Рост аварийности не прекращается потому, что многие командиры частей стали равнодушно относиться к самому факту летных происшествий, не принимая решительных мер к ее предупреждению. Расхлябанность и разгильдяйство, безответственность и халатность приводили и продолжают приводить к бессмысленному и варварскому уничтожению материальной части.</w:t>
      </w:r>
    </w:p>
    <w:p w14:paraId="382B1C7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12.10.41 г. командир эскадрильи 514 ББП капитан Котнов, вопреки здравому смыслу и существующим правилам полетов, начал перелет пятью самолетами Пе-2 без знания метеорологических условий по маршруту полета, без учета времени, наступления темноты и предварительного оповещения о перелете. Вследствие такой преступной организации перелета, группа самолетов Пе-2, совершающая перелет, была рассеяна атакой вылетевших своих истребителей, а потерявший ориентировку лейтенант Новик садился в полной темноте на лес и разбил самолет.</w:t>
      </w:r>
    </w:p>
    <w:p w14:paraId="68EEC95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16.11.41 г. 5 самолетов СБ Ворошиловградской авиашколы при перелете из Энгельса в Петровск вошли в туман. В результате 4 самолета потерпели катастрофы. </w:t>
      </w:r>
      <w:r w:rsidRPr="008127F8">
        <w:rPr>
          <w:color w:val="000000" w:themeColor="text1"/>
          <w:sz w:val="16"/>
          <w:szCs w:val="16"/>
        </w:rPr>
        <w:lastRenderedPageBreak/>
        <w:t>Погибло 15 человек личного состава.</w:t>
      </w:r>
    </w:p>
    <w:p w14:paraId="2BAF8BA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Эти тяжелые катастрофы явились следствием исключительно безобразной организации вылета самолетов с аэродрома Энгельсской авиашколы. Экипажи были выпущены в перелет без предварительной информации о фактической погоде по маршруту перелета.</w:t>
      </w:r>
    </w:p>
    <w:p w14:paraId="088CD56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Исключительно безобразным и преступным явился перелет 21.10.41 г. 7 самолетов ДБ-3 1-й Высшей школы штурманов. Самолеты попали в снегопад и туман и потеряли ориентировку, в результате чего 4 самолета потерпели катастрофу и 3 произвели вынужденную посадку.</w:t>
      </w:r>
    </w:p>
    <w:p w14:paraId="1DE41E4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Эти катастрофы и вынужденные посадки произошли вследствие отсутствия организации, несоблюдения элементарных правил перелета и беспорядка, допущенных заместителем начальника 1-й высшей школы штурманов подполковником т. Сабуровым.</w:t>
      </w:r>
    </w:p>
    <w:p w14:paraId="53692F7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Главными причинами высокой аварийности являются:</w:t>
      </w:r>
    </w:p>
    <w:p w14:paraId="054E437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Недопустимая халатность в деле организации и руководства летной подготовкой со стороны командиров частей.</w:t>
      </w:r>
    </w:p>
    <w:p w14:paraId="267E18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Отсутствие немедленного воздействия на всех нарушителей дисциплины, либерализм к разгильдяям, которые по своей распущенности и недисциплинированности безжалостно и безнаказанно истребляют материальную часть.</w:t>
      </w:r>
    </w:p>
    <w:p w14:paraId="4E892B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Неуменье правильно оценить метеорологическую обстановку, особенно во внеаэродромных полетах и перелетах. Только в результате неучета метеорологической обстановки произошло 22 катастрофы и 20 аварий.</w:t>
      </w:r>
    </w:p>
    <w:p w14:paraId="7F619F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Низкая методика обучения и переучивания летного состава в запасных авиаполках. Уделяется мало внимания отработке боевого применения у летного состава формируемых авиаполков перед отправкой в действующую армию.</w:t>
      </w:r>
    </w:p>
    <w:p w14:paraId="5F2837C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Аварийность в запасных авиаполках за период войны составляет 25 % к общей аварийности.</w:t>
      </w:r>
    </w:p>
    <w:p w14:paraId="24F127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Неудовлетворительная штурманская подготовка летного состава. Потери ориентировки стали обычным явлением при совершении внеаэродромных полетов.</w:t>
      </w:r>
    </w:p>
    <w:p w14:paraId="5292F6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Плохая служба связи и обеспечения перелетов одиночных самолетов и групп в действующую армию. По этим причинам по далеко не полным данным произошло 19 катастроф, 26 аварий и 176 мелких поломок и вынужденных посадок.</w:t>
      </w:r>
    </w:p>
    <w:p w14:paraId="6B1480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происходит потому, что многие еще командиры вопросы организации летной работы и обучение летного состава передали на откуп малоопытным командирам, а сами предпочитают больше отсиживаться в штабах и землянках, чем непосредственно находиться на аэродроме и старте.</w:t>
      </w:r>
    </w:p>
    <w:p w14:paraId="0C9B4B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решительного снижения аварийности и предупреждения летных происшествий приказываю:</w:t>
      </w:r>
    </w:p>
    <w:p w14:paraId="3CB0C3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Военным советам и командующим ВВС округов произвести тщательный анализ причин аварийности с проверкой отдельных частей и школ; наметить конкретные мероприятия и потребовать жесткого их выполнения в частях ВВС округа.</w:t>
      </w:r>
    </w:p>
    <w:p w14:paraId="644A68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Командующим ВВС округов о проводимых мероприятиях донести мне к 30 января 1942 г.</w:t>
      </w:r>
    </w:p>
    <w:p w14:paraId="159757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Все внеаэродромные полеты и перелеты производить только при наличии у командира экипажа полетного листа в соответствии с требованиями Наставления по производству полетов НПП-38.</w:t>
      </w:r>
    </w:p>
    <w:p w14:paraId="6A0C7B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Внеаэродромный полет или перелет производить только с разрешения командира полка или его заместителя, а в школах — начальника школы или его помощника по летной подготовке.</w:t>
      </w:r>
    </w:p>
    <w:p w14:paraId="7BEA683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Начальникам авиагарнизонов производить техническое обслуживание и обеспечение перелетающих самолетов только при наличии у экипажа полетного листа, а при перелете группы самолетов — при наличии полетного листа у командира группы или его заместителя.</w:t>
      </w:r>
    </w:p>
    <w:p w14:paraId="6AACDED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Внеаэродромные полеты и перелеты в составе групп самолетов выполнять при условии высоты облаков не ниже 200 м и видимости не менее 2 км, а для одиночных самолетов и групп штурмовиков — при высоте облачности не ниже 100 м и видимости не менее 2 км.</w:t>
      </w:r>
    </w:p>
    <w:p w14:paraId="04EDEE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В целях поднятия качества летной подготовки и улучшения организации полетов руководство полетами независимо от количества летающих самолетов возложить лично на командиров авиаполков и их заместителей.</w:t>
      </w:r>
    </w:p>
    <w:p w14:paraId="36EEB1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запасных авиаполках руководство полетами разрешить командирам эскадрилий запасных авиаполков. При этом во всех случаях присутствие на полетах командира формируемого авиаполка, когда летает его личный состав — обязательно.</w:t>
      </w:r>
    </w:p>
    <w:p w14:paraId="7E2C6BD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Командующим ВВС округов и командирам запасных авиаполков в месячный срок выявить соответствие инструкторского состава в занимаемых должностях. Всех неспособных к инструкторской работе, но имеющих хорошую технику пилотирования перевести в боевые авиаполки.</w:t>
      </w:r>
    </w:p>
    <w:p w14:paraId="093237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Заместителя начальника 1-й Высшей школы штурманов подполковника т. Сабурова за допущенную халатность и игнорирование правил перелета, следствием чего произошло 4 катастрофы и 3 вынужденных посадки, арестовать на 15 суток домашним арестом с исполнением служебных обязанностей и удержанием 50 % суточной заработной платы за каждый день ареста.</w:t>
      </w:r>
    </w:p>
    <w:p w14:paraId="6691AB5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Принимая во внимание прежнюю хорошую работу подполковника т. Сабурова, ограничиваюсь только наложением на него дисциплинарного взыскания.</w:t>
      </w:r>
    </w:p>
    <w:p w14:paraId="7D6847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Заместителя командира 14 ЗАП по летной подготовке капитана Ковалева за плохую организацию летной работы, отсутствие руководства и требовательности, а также за высокую аварийность в полку отстранить от занимаемой дожности и назначить на менее ответственную работу.</w:t>
      </w:r>
    </w:p>
    <w:p w14:paraId="248E0F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Командиру 4 ЗАП полковнику т. Веселову за плохую организацию и слабое руководство летной работой объявить выговор.</w:t>
      </w:r>
    </w:p>
    <w:p w14:paraId="790666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Требую от всего командного состава ВВС Красной Армии резко повысить качество летной подготовки, улучшить организацию летной работы и поднять дисциплину личного состава; усилить интенсивность полетов за счет более четкой организации и добиться подготовки летного и технического состава к боевой работе в более короткие </w:t>
      </w:r>
      <w:proofErr w:type="gramStart"/>
      <w:r w:rsidRPr="008127F8">
        <w:rPr>
          <w:color w:val="000000" w:themeColor="text1"/>
          <w:sz w:val="16"/>
          <w:szCs w:val="16"/>
        </w:rPr>
        <w:t>сроки.*</w:t>
      </w:r>
      <w:proofErr w:type="gramEnd"/>
    </w:p>
    <w:p w14:paraId="058597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 изучить всему летному и техническому составу до пилота и авиатехника включительно.</w:t>
      </w:r>
    </w:p>
    <w:p w14:paraId="7111EBBA"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t xml:space="preserve">Заместитель Народного комиссара обороны СССР генерал-полковник авиации ЖИГАРЕВ </w:t>
      </w:r>
      <w:r w:rsidRPr="008127F8">
        <w:rPr>
          <w:color w:val="000000" w:themeColor="text1"/>
          <w:sz w:val="16"/>
          <w:szCs w:val="16"/>
        </w:rPr>
        <w:t>(9844).</w:t>
      </w:r>
    </w:p>
    <w:p w14:paraId="578D43CB" w14:textId="77777777" w:rsidR="00D4651C" w:rsidRPr="008127F8" w:rsidRDefault="00D4651C" w:rsidP="001E0A84">
      <w:pPr>
        <w:pStyle w:val="Iauiue"/>
        <w:jc w:val="both"/>
        <w:rPr>
          <w:color w:val="000000" w:themeColor="text1"/>
          <w:sz w:val="16"/>
          <w:szCs w:val="16"/>
        </w:rPr>
      </w:pPr>
    </w:p>
    <w:p w14:paraId="133845FA" w14:textId="77777777" w:rsidR="0032416F" w:rsidRPr="008127F8" w:rsidRDefault="0032416F"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4–7 января 1942 авиация советских ВВС атакует передовые аэродромы люфтваффе в Ржеве и Великих Луках, которые немецкие транспортные самолеты используют для пополнения запасов немецких наземных частей. Советы заявляют, что девять Junkers Ju 52 уничтожены на земле и один Dornier Do 217 сбит в воздушном бою </w:t>
      </w:r>
      <w:r w:rsidRPr="008127F8">
        <w:rPr>
          <w:rFonts w:ascii="Times New Roman" w:hAnsi="Times New Roman"/>
          <w:color w:val="000000" w:themeColor="text1"/>
          <w:sz w:val="16"/>
          <w:szCs w:val="16"/>
          <w:lang w:val="en-US"/>
        </w:rPr>
        <w:t>(20793).</w:t>
      </w:r>
    </w:p>
    <w:p w14:paraId="70E13E97" w14:textId="77777777" w:rsidR="0032416F" w:rsidRPr="008127F8" w:rsidRDefault="0032416F" w:rsidP="001E0A84">
      <w:pPr>
        <w:spacing w:after="0" w:line="240" w:lineRule="auto"/>
        <w:jc w:val="both"/>
        <w:rPr>
          <w:rFonts w:ascii="Times New Roman" w:hAnsi="Times New Roman"/>
          <w:color w:val="000000" w:themeColor="text1"/>
          <w:sz w:val="16"/>
          <w:szCs w:val="16"/>
          <w:lang w:val="en-US"/>
        </w:rPr>
      </w:pPr>
    </w:p>
    <w:p w14:paraId="616E9B16"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 xml:space="preserve">4 </w:t>
      </w:r>
      <w:r w:rsidRPr="008127F8">
        <w:rPr>
          <w:color w:val="000000" w:themeColor="text1"/>
          <w:sz w:val="16"/>
          <w:szCs w:val="16"/>
        </w:rPr>
        <w:t>января</w:t>
      </w:r>
      <w:r w:rsidRPr="008127F8">
        <w:rPr>
          <w:color w:val="000000" w:themeColor="text1"/>
          <w:sz w:val="16"/>
          <w:szCs w:val="16"/>
          <w:lang w:val="en-US"/>
        </w:rPr>
        <w:t xml:space="preserve"> 1942 </w:t>
      </w:r>
      <w:r w:rsidRPr="008127F8">
        <w:rPr>
          <w:color w:val="000000" w:themeColor="text1"/>
          <w:sz w:val="16"/>
          <w:szCs w:val="16"/>
        </w:rPr>
        <w:t>КАотбилаБоровск</w:t>
      </w:r>
      <w:r w:rsidRPr="008127F8">
        <w:rPr>
          <w:color w:val="000000" w:themeColor="text1"/>
          <w:sz w:val="16"/>
          <w:szCs w:val="16"/>
          <w:lang w:val="en-US"/>
        </w:rPr>
        <w:t xml:space="preserve"> (2261).</w:t>
      </w:r>
    </w:p>
    <w:p w14:paraId="6B407AC0" w14:textId="77777777" w:rsidR="00D4651C" w:rsidRPr="008127F8" w:rsidRDefault="00D4651C" w:rsidP="001E0A84">
      <w:pPr>
        <w:pStyle w:val="Iauiue"/>
        <w:jc w:val="both"/>
        <w:rPr>
          <w:color w:val="000000" w:themeColor="text1"/>
          <w:sz w:val="16"/>
          <w:szCs w:val="16"/>
          <w:lang w:val="en-US"/>
        </w:rPr>
      </w:pPr>
    </w:p>
    <w:p w14:paraId="23B1F6D6"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4, 1942: The Red Army captures Kaluga SW of Moscow (3819).</w:t>
      </w:r>
    </w:p>
    <w:p w14:paraId="7D57368C" w14:textId="77777777" w:rsidR="00D4651C" w:rsidRPr="008127F8" w:rsidRDefault="00D4651C" w:rsidP="001E0A84">
      <w:pPr>
        <w:pStyle w:val="Iauiue"/>
        <w:jc w:val="both"/>
        <w:rPr>
          <w:color w:val="000000" w:themeColor="text1"/>
          <w:sz w:val="16"/>
          <w:szCs w:val="16"/>
          <w:lang w:val="en-US"/>
        </w:rPr>
      </w:pPr>
    </w:p>
    <w:p w14:paraId="15D48B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января 1942 КА освободила Калугу (3819).</w:t>
      </w:r>
    </w:p>
    <w:p w14:paraId="15FE43A3" w14:textId="77777777" w:rsidR="00D4651C" w:rsidRPr="008127F8" w:rsidRDefault="00D4651C" w:rsidP="001E0A84">
      <w:pPr>
        <w:pStyle w:val="Iauiue"/>
        <w:jc w:val="both"/>
        <w:rPr>
          <w:color w:val="000000" w:themeColor="text1"/>
          <w:sz w:val="16"/>
          <w:szCs w:val="16"/>
        </w:rPr>
      </w:pPr>
    </w:p>
    <w:p w14:paraId="567580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января 1942 вышло Постановление ГКО № 1105 О закупке верховых лошадей. РГАНИР, Фонд ГКО, д. 18, лл. 156 (11012).</w:t>
      </w:r>
    </w:p>
    <w:p w14:paraId="74BCA49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4041DB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2CF4A091" w14:textId="77777777" w:rsidR="00D4651C" w:rsidRPr="008127F8" w:rsidRDefault="00D4651C" w:rsidP="001E0A84">
      <w:pPr>
        <w:pStyle w:val="Iauiue"/>
        <w:jc w:val="both"/>
        <w:rPr>
          <w:iCs/>
          <w:color w:val="000000" w:themeColor="text1"/>
          <w:sz w:val="16"/>
          <w:szCs w:val="16"/>
        </w:rPr>
      </w:pPr>
    </w:p>
    <w:p w14:paraId="3FC09F29"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4 января 1942 вышло Постановление ГКО № 1099 [О порядке создания гарнизонов из войск НКВД в освобождаемых городах.] (7019, 149).</w:t>
      </w:r>
    </w:p>
    <w:p w14:paraId="5BA6C27B" w14:textId="77777777" w:rsidR="00D4651C" w:rsidRPr="008127F8" w:rsidRDefault="00D4651C" w:rsidP="001E0A84">
      <w:pPr>
        <w:pStyle w:val="Iauiue"/>
        <w:tabs>
          <w:tab w:val="left" w:pos="11199"/>
        </w:tabs>
        <w:jc w:val="both"/>
        <w:rPr>
          <w:color w:val="000000" w:themeColor="text1"/>
          <w:sz w:val="16"/>
          <w:szCs w:val="16"/>
        </w:rPr>
      </w:pPr>
    </w:p>
    <w:p w14:paraId="277FD9AD" w14:textId="77777777" w:rsidR="00346683"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6ECE9863" w14:textId="77777777" w:rsidR="00346683" w:rsidRPr="008127F8" w:rsidRDefault="00346683" w:rsidP="001E0A84">
      <w:pPr>
        <w:pStyle w:val="Iauiue"/>
        <w:jc w:val="both"/>
        <w:rPr>
          <w:iCs/>
          <w:color w:val="000000" w:themeColor="text1"/>
          <w:sz w:val="16"/>
          <w:szCs w:val="16"/>
        </w:rPr>
      </w:pPr>
    </w:p>
    <w:p w14:paraId="06B9064E"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января</w:t>
      </w:r>
      <w:r w:rsidRPr="008127F8">
        <w:rPr>
          <w:rFonts w:ascii="Times New Roman" w:hAnsi="Times New Roman"/>
          <w:color w:val="000000" w:themeColor="text1"/>
          <w:sz w:val="16"/>
          <w:szCs w:val="16"/>
        </w:rPr>
        <w:t xml:space="preserve"> в 1942 году Чан </w:t>
      </w:r>
      <w:proofErr w:type="gramStart"/>
      <w:r w:rsidRPr="008127F8">
        <w:rPr>
          <w:rFonts w:ascii="Times New Roman" w:hAnsi="Times New Roman"/>
          <w:color w:val="000000" w:themeColor="text1"/>
          <w:sz w:val="16"/>
          <w:szCs w:val="16"/>
        </w:rPr>
        <w:t>Кай-ши</w:t>
      </w:r>
      <w:proofErr w:type="gramEnd"/>
      <w:r w:rsidRPr="008127F8">
        <w:rPr>
          <w:rFonts w:ascii="Times New Roman" w:hAnsi="Times New Roman"/>
          <w:color w:val="000000" w:themeColor="text1"/>
          <w:sz w:val="16"/>
          <w:szCs w:val="16"/>
        </w:rPr>
        <w:t xml:space="preserve"> назначен Верховным союзным командующим в Китае (14999).</w:t>
      </w:r>
    </w:p>
    <w:p w14:paraId="03338707"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6ACFBCD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3E8D08EF" w14:textId="77777777" w:rsidR="00D4651C" w:rsidRPr="008127F8" w:rsidRDefault="00D4651C" w:rsidP="001E0A84">
      <w:pPr>
        <w:pStyle w:val="Iauiue"/>
        <w:jc w:val="both"/>
        <w:rPr>
          <w:iCs/>
          <w:color w:val="000000" w:themeColor="text1"/>
          <w:sz w:val="16"/>
          <w:szCs w:val="16"/>
        </w:rPr>
      </w:pPr>
    </w:p>
    <w:p w14:paraId="57458A65" w14:textId="77777777" w:rsidR="0032416F" w:rsidRPr="008127F8" w:rsidRDefault="0032416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К 5 января 1942 г. в ОКБ завода №289 были отработаны две улучшенные схемы бронирования Су-6, особенностью которых являлось частичное включение брони в силовую схему самолета. Общий вес брони увеличивался до 612-617,5 кг («с учетом экономии, полученной при введении брони в конструкцию самолета, которая выражается в 33 кг»).</w:t>
      </w:r>
    </w:p>
    <w:p w14:paraId="21DB32FD" w14:textId="77777777" w:rsidR="0032416F" w:rsidRPr="008127F8" w:rsidRDefault="0032416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Предложенные схемы бронирования рассматривались 7 января специалистами 14-го отдела НИИ ВВС на совещании с представителями завода №289.</w:t>
      </w:r>
    </w:p>
    <w:p w14:paraId="713FD5C5" w14:textId="77777777" w:rsidR="0032416F" w:rsidRPr="008127F8" w:rsidRDefault="0032416F" w:rsidP="001E0A84">
      <w:pPr>
        <w:pStyle w:val="28"/>
        <w:shd w:val="clear" w:color="auto" w:fill="auto"/>
        <w:spacing w:before="0" w:line="240" w:lineRule="auto"/>
        <w:jc w:val="both"/>
        <w:rPr>
          <w:rStyle w:val="28pt100"/>
          <w:rFonts w:ascii="Times New Roman" w:hAnsi="Times New Roman" w:cs="Times New Roman"/>
          <w:i w:val="0"/>
          <w:iCs w:val="0"/>
          <w:color w:val="000000" w:themeColor="text1"/>
        </w:rPr>
      </w:pPr>
      <w:r w:rsidRPr="008127F8">
        <w:rPr>
          <w:rStyle w:val="28pt100"/>
          <w:rFonts w:ascii="Times New Roman" w:hAnsi="Times New Roman" w:cs="Times New Roman"/>
          <w:i w:val="0"/>
          <w:iCs w:val="0"/>
          <w:color w:val="000000" w:themeColor="text1"/>
        </w:rPr>
        <w:t>Отмечалось, что:</w:t>
      </w:r>
      <w:r w:rsidRPr="008127F8">
        <w:rPr>
          <w:rFonts w:ascii="Times New Roman" w:hAnsi="Times New Roman" w:cs="Times New Roman"/>
          <w:i/>
          <w:iCs/>
          <w:color w:val="000000" w:themeColor="text1"/>
          <w:sz w:val="16"/>
          <w:szCs w:val="16"/>
        </w:rPr>
        <w:t xml:space="preserve"> </w:t>
      </w:r>
      <w:r w:rsidRPr="008127F8">
        <w:rPr>
          <w:rFonts w:ascii="Times New Roman" w:hAnsi="Times New Roman" w:cs="Times New Roman"/>
          <w:color w:val="000000" w:themeColor="text1"/>
          <w:sz w:val="16"/>
          <w:szCs w:val="16"/>
        </w:rPr>
        <w:t>«1) кабина лет</w:t>
      </w:r>
      <w:r w:rsidRPr="008127F8">
        <w:rPr>
          <w:rFonts w:ascii="Times New Roman" w:hAnsi="Times New Roman" w:cs="Times New Roman"/>
          <w:color w:val="000000" w:themeColor="text1"/>
          <w:sz w:val="16"/>
          <w:szCs w:val="16"/>
        </w:rPr>
        <w:softHyphen/>
        <w:t>чика становится просторнее; 2) все аг</w:t>
      </w:r>
      <w:r w:rsidRPr="008127F8">
        <w:rPr>
          <w:rFonts w:ascii="Times New Roman" w:hAnsi="Times New Roman" w:cs="Times New Roman"/>
          <w:color w:val="000000" w:themeColor="text1"/>
          <w:sz w:val="16"/>
          <w:szCs w:val="16"/>
        </w:rPr>
        <w:softHyphen/>
        <w:t>регаты управления самолетом, краны шасси и оборудование полностью защи</w:t>
      </w:r>
      <w:r w:rsidRPr="008127F8">
        <w:rPr>
          <w:rFonts w:ascii="Times New Roman" w:hAnsi="Times New Roman" w:cs="Times New Roman"/>
          <w:color w:val="000000" w:themeColor="text1"/>
          <w:sz w:val="16"/>
          <w:szCs w:val="16"/>
        </w:rPr>
        <w:softHyphen/>
        <w:t>щены; 3) общее увеличение веса брони при этом несколько компенсируется отсут</w:t>
      </w:r>
      <w:r w:rsidRPr="008127F8">
        <w:rPr>
          <w:rFonts w:ascii="Times New Roman" w:hAnsi="Times New Roman" w:cs="Times New Roman"/>
          <w:color w:val="000000" w:themeColor="text1"/>
          <w:sz w:val="16"/>
          <w:szCs w:val="16"/>
        </w:rPr>
        <w:softHyphen/>
        <w:t>ствием деревянных каркаса и обшивки. При этом второй вариант</w:t>
      </w:r>
      <w:r w:rsidRPr="008127F8">
        <w:rPr>
          <w:rStyle w:val="28pt100"/>
          <w:rFonts w:ascii="Times New Roman" w:hAnsi="Times New Roman" w:cs="Times New Roman"/>
          <w:color w:val="000000" w:themeColor="text1"/>
        </w:rPr>
        <w:t xml:space="preserve"> (№3 на схеме)</w:t>
      </w:r>
      <w:r w:rsidRPr="008127F8">
        <w:rPr>
          <w:rFonts w:ascii="Times New Roman" w:hAnsi="Times New Roman" w:cs="Times New Roman"/>
          <w:color w:val="000000" w:themeColor="text1"/>
          <w:sz w:val="16"/>
          <w:szCs w:val="16"/>
        </w:rPr>
        <w:t xml:space="preserve"> полностью отвечает требова</w:t>
      </w:r>
      <w:r w:rsidRPr="008127F8">
        <w:rPr>
          <w:rFonts w:ascii="Times New Roman" w:hAnsi="Times New Roman" w:cs="Times New Roman"/>
          <w:color w:val="000000" w:themeColor="text1"/>
          <w:sz w:val="16"/>
          <w:szCs w:val="16"/>
        </w:rPr>
        <w:softHyphen/>
        <w:t>ниям ВВС Красной Армии, предъявляемым к бронезащите штурмовиков», «толщины брони /.../ обеспечивают защиту пилота и бензобака от пуль крупного калибра (12- 15 мм)».</w:t>
      </w:r>
      <w:r w:rsidRPr="008127F8">
        <w:rPr>
          <w:rStyle w:val="28pt100"/>
          <w:rFonts w:ascii="Times New Roman" w:hAnsi="Times New Roman" w:cs="Times New Roman"/>
          <w:color w:val="000000" w:themeColor="text1"/>
        </w:rPr>
        <w:t xml:space="preserve"> </w:t>
      </w:r>
      <w:r w:rsidRPr="008127F8">
        <w:rPr>
          <w:rStyle w:val="28pt100"/>
          <w:rFonts w:ascii="Times New Roman" w:hAnsi="Times New Roman" w:cs="Times New Roman"/>
          <w:i w:val="0"/>
          <w:iCs w:val="0"/>
          <w:color w:val="000000" w:themeColor="text1"/>
        </w:rPr>
        <w:t>Именно эта схема и была утвер</w:t>
      </w:r>
      <w:r w:rsidRPr="008127F8">
        <w:rPr>
          <w:rStyle w:val="28pt100"/>
          <w:rFonts w:ascii="Times New Roman" w:hAnsi="Times New Roman" w:cs="Times New Roman"/>
          <w:i w:val="0"/>
          <w:iCs w:val="0"/>
          <w:color w:val="000000" w:themeColor="text1"/>
        </w:rPr>
        <w:softHyphen/>
        <w:t>ждена в официальном заключении НИИ ВВС от 13 января в качестве броневой за</w:t>
      </w:r>
      <w:r w:rsidRPr="008127F8">
        <w:rPr>
          <w:rStyle w:val="28pt100"/>
          <w:rFonts w:ascii="Times New Roman" w:hAnsi="Times New Roman" w:cs="Times New Roman"/>
          <w:i w:val="0"/>
          <w:iCs w:val="0"/>
          <w:color w:val="000000" w:themeColor="text1"/>
        </w:rPr>
        <w:softHyphen/>
        <w:t>щиты серийных самолетов Су-6 (19844).</w:t>
      </w:r>
    </w:p>
    <w:p w14:paraId="38F8D9CF" w14:textId="77777777" w:rsidR="0032416F" w:rsidRPr="008127F8" w:rsidRDefault="0032416F"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439C8E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Начиная с 5 января 1942 завод № 39 стал выпускать три Пе-2 в день, а с 23 января темп возрос до пяти машин в сутки. На 1942 г. заводу спустили план по выпуску 587 бомбардировщиков Пе-2. Из них в январе были построены 87 машин.</w:t>
      </w:r>
    </w:p>
    <w:p w14:paraId="68125C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Выпуск машин подчинялся строгому суточному графику, и за каждое отклонение от него директор отчитывался в Наркомате. В конце зимы 1942 г. перед заводом в "полный рост" встала хорошо знакомая проблема. Близилась пора таяния снега, что раньше приводило к появлению на летном поле настоящего озера. Рельеф был таков, что как раз посередине находилась низина, и туда устремлялись талые воды. В былые времена с этим приходилось </w:t>
      </w:r>
      <w:proofErr w:type="gramStart"/>
      <w:r w:rsidRPr="008127F8">
        <w:rPr>
          <w:rFonts w:ascii="Times New Roman" w:hAnsi="Times New Roman"/>
          <w:color w:val="000000" w:themeColor="text1"/>
          <w:sz w:val="16"/>
          <w:szCs w:val="16"/>
        </w:rPr>
        <w:t>мириться, тем более, что</w:t>
      </w:r>
      <w:proofErr w:type="gramEnd"/>
      <w:r w:rsidRPr="008127F8">
        <w:rPr>
          <w:rFonts w:ascii="Times New Roman" w:hAnsi="Times New Roman"/>
          <w:color w:val="000000" w:themeColor="text1"/>
          <w:sz w:val="16"/>
          <w:szCs w:val="16"/>
        </w:rPr>
        <w:t xml:space="preserve"> аэродром вообще стоял на заболоченном участке, и даже "после сильных дождей нельзя было летать из-за огромных луж. В 1938 г. началось строительство бетонированной взлетно-посадочной полосы, но из-за постоянного дефицита стройматериалов и нехватки людей ее так и не завершили.</w:t>
      </w:r>
    </w:p>
    <w:p w14:paraId="237A0C7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теперь ситуация была совершенно иной. За срыв графика руководство, в полном смысле слова, могло ответить головой. Справиться с проблемой своими силами завод не мог, директор Иосилович и парторг ЦК ВКП(б) на заводе Зенков обратились за помощью к секретарю Иркутского обкома партии по авиационной промышленности Краснову, тот в свою очередь внес вопрос в повестку дня заседания бюро обкома. В результате было принято решение, назначить начальника строительства ВПП и обязать его до 20 марта провести все необходимые работы по подсыпке поля и рытью дренажей для отвода талых вод. Для выполнения этой работы областное управление НКВД выделяло 1500 заключенных, еще 1200 человек направлял в порядке трудовой мобилизации сам обком.</w:t>
      </w:r>
    </w:p>
    <w:p w14:paraId="1C3D5D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была программа-минимум. В ближайшей перспективе надо было достроить бетонную полосу, поскольку на следующий год со 100-процентной вероятностью ситуация должна была повториться. Но в условиях жесточайшего фондирования материалов пришлось писать письмо в ГОКО с просьбой включить строительство бетонированной ВПП размером 60х 1200 м на заводе №39 как особую стройку. Ответ пришел скоро - новую ВПП надлежало сдать к 1 августа 1942 г.</w:t>
      </w:r>
    </w:p>
    <w:p w14:paraId="793B54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все усилия, справиться с водой в полном объеме не удалось, и в отчете диспетчера Наркомата в апреле появилась фраза: "Сдача самолетов заводом №39 в течение пяти дней не производилась из-за неготовности аэродрома по причине таяния снега...".</w:t>
      </w:r>
    </w:p>
    <w:p w14:paraId="7431F1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 удалось наверстать быстро, но работу тормозила не только погода. Куда сложнее было справиться с неритмичностью поступления готовых комплектующих с заводов-смежников. Для экспресс-доставки материалов и узлов НКАП даже выделили заводу самолет ПС-84 (12037).</w:t>
      </w:r>
    </w:p>
    <w:p w14:paraId="3B0F725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AA297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5 января 1942 г. завод № 292 изготовил опытный образец системы нейтрального газа (НГ) и провел почти полностью ее заводские испытания. В НИИ ВВС она проверялась на Як-1 № 3855. Основное отличие этой системы НГ от предыдущей заключалось в том, что в качестве рабочего тела применялся углекислый газ (из специального двухлитрового баллона), а не выхлопные газы. Давление зарядки контролировалось по манометру, а расход газа регулировался редуктором с отверстием в 0,7 мм. После открытия крана углекислый газ поступал в бензобаки под избыточным давлением 0,1 кг/</w:t>
      </w:r>
      <w:proofErr w:type="gramStart"/>
      <w:r w:rsidRPr="008127F8">
        <w:rPr>
          <w:rFonts w:ascii="Times New Roman" w:hAnsi="Times New Roman"/>
          <w:color w:val="000000" w:themeColor="text1"/>
          <w:sz w:val="16"/>
          <w:szCs w:val="16"/>
        </w:rPr>
        <w:t>см:.</w:t>
      </w:r>
      <w:proofErr w:type="gramEnd"/>
      <w:r w:rsidRPr="008127F8">
        <w:rPr>
          <w:rFonts w:ascii="Times New Roman" w:hAnsi="Times New Roman"/>
          <w:color w:val="000000" w:themeColor="text1"/>
          <w:sz w:val="16"/>
          <w:szCs w:val="16"/>
        </w:rPr>
        <w:t xml:space="preserve"> При этом его концентрация в баках была от 4,9 до 34,2 %. Вытеснение паров бензина происходило через дренаж. При испытаниях эта система работала надежно, но требовала специальной зарядки углекислым газом, что не всегда было возможно во фронтовых условиях.</w:t>
      </w:r>
    </w:p>
    <w:p w14:paraId="2A99E0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апреля 1942 г. на заводе вернулись к прежней системе НГ по схеме завода № 115, утвержденной при совместных испытаниях ЛИИ НКАП и НИИ ВВС, которая требовала повышения надежности работы: фиксировались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 </w:t>
      </w:r>
    </w:p>
    <w:p w14:paraId="6C3F31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4F5557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w:t>
      </w:r>
      <w:proofErr w:type="gramStart"/>
      <w:r w:rsidRPr="008127F8">
        <w:rPr>
          <w:rFonts w:ascii="Times New Roman" w:hAnsi="Times New Roman"/>
          <w:color w:val="000000" w:themeColor="text1"/>
          <w:sz w:val="16"/>
          <w:szCs w:val="16"/>
        </w:rPr>
        <w:t>на нравом</w:t>
      </w:r>
      <w:proofErr w:type="gramEnd"/>
      <w:r w:rsidRPr="008127F8">
        <w:rPr>
          <w:rFonts w:ascii="Times New Roman" w:hAnsi="Times New Roman"/>
          <w:color w:val="000000" w:themeColor="text1"/>
          <w:sz w:val="16"/>
          <w:szCs w:val="16"/>
        </w:rPr>
        <w:t xml:space="preserve"> пульте кабины сообщал баки или с системой НГ, или, для заправки топливом на земле, с атмосферой.</w:t>
      </w:r>
    </w:p>
    <w:p w14:paraId="17FD97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76A3971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7AB1FA8"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5 января 1942 г. завод № 292 изготовил опытный образец системы нейтрального газа (НГ) и провел почти полностью ее заводские испытания. В НИИ ВВС она проверялась на Як-1 № 3855. Основное ее отличие от предыдущей заключалось в том, что в ней не использовались выхлопные газы. Углекислым газом заряжался специальный двухлитровый баллон. Давление зарядки контролировалось по манометру, а расход газа регулировался редуктором с отверстием в 0.7 мм. После открытия крана углекислый газ поступал в бензобаки под избыточным давлением 0.1 кг/см. При этом его концентрация в баках была от 4.9 до 34.2%. Вытеснение паров бензина происходило через дренаж. При испытаниях эта система работала надежно, но требовала специальной зарядки углекислым газом, что не всегда было возможно в фронтовых условиях.</w:t>
      </w:r>
    </w:p>
    <w:p w14:paraId="7AEA7387"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Конструкторы опять обратились к идее отбора отработанных газов от мотора. Но эта система оставалась недоведенной. Конденсирующаяся при охлаждении газов влага скапливалась в трубах, замерзая при низких температурах наружного воздуха. При этом после включения системы в работу в баках образовывалось разряжение, препятствующее нормальной выработке топлива, - моторы глохли. Были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w:t>
      </w:r>
    </w:p>
    <w:p w14:paraId="0F5EF9DB"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смонтировать ее на Як-1 и далее в десятидневный срок совместно с ЛИИ НКАП испытать. Этим же приказом КБ поручалось разработать мероприятия по устранению конструктивных дефектов существующих систем к 1 августа 1942 г. и потом в десятидневный срок провести и их испытания (23451).</w:t>
      </w:r>
    </w:p>
    <w:p w14:paraId="49A40B1E" w14:textId="77777777" w:rsidR="000F2D49" w:rsidRPr="008A2E5A" w:rsidRDefault="000F2D49" w:rsidP="000F2D49">
      <w:pPr>
        <w:spacing w:after="0" w:line="240" w:lineRule="auto"/>
        <w:jc w:val="both"/>
        <w:rPr>
          <w:rFonts w:ascii="Times New Roman" w:hAnsi="Times New Roman"/>
          <w:color w:val="0070C0"/>
          <w:sz w:val="16"/>
          <w:szCs w:val="16"/>
        </w:rPr>
      </w:pPr>
    </w:p>
    <w:p w14:paraId="7CE8D0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 г. по приказу НКАП № 25с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0AA615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Действовал филиал завода № 120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Березовске восстановлен как самостоятельный (11982).</w:t>
      </w:r>
    </w:p>
    <w:p w14:paraId="20A1695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B5244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 г. по приказу № 25с площади эвакуированного завода № 120 НКАП с оставшимся оборудованием и кадрами переданы заводу № 219 (заводы располагались на смежных территориях). Далее по приказу № 435с от 12.11.1945 г. часть специалистов (300 чел.) завода № 120 НКАП переданы ОКБ завода № 219 для его укрепления.</w:t>
      </w:r>
    </w:p>
    <w:p w14:paraId="4E2680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69с/06 от 4.02.1943 г. производственные корпуса эвакуированного из Балашихи завода № 49 НКАП переданы во временное пользование заводу № 219 </w:t>
      </w:r>
      <w:r w:rsidRPr="008127F8">
        <w:rPr>
          <w:rFonts w:ascii="Times New Roman" w:hAnsi="Times New Roman"/>
          <w:color w:val="000000" w:themeColor="text1"/>
          <w:sz w:val="16"/>
          <w:szCs w:val="16"/>
          <w:lang w:val="en-US"/>
        </w:rPr>
        <w:t>HKAII</w:t>
      </w:r>
      <w:r w:rsidRPr="008127F8">
        <w:rPr>
          <w:rFonts w:ascii="Times New Roman" w:hAnsi="Times New Roman"/>
          <w:color w:val="000000" w:themeColor="text1"/>
          <w:sz w:val="16"/>
          <w:szCs w:val="16"/>
        </w:rPr>
        <w:t>.</w:t>
      </w:r>
    </w:p>
    <w:p w14:paraId="362657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на завод передано 348 единиц оборудования с завода Юнкерса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Таргемюнде (Германия) и 944 единицы оборудования с завода Юнкерса в  г. Макленбурге.</w:t>
      </w:r>
    </w:p>
    <w:p w14:paraId="780854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7.05.1946 г. завод № 219 передан из 2ГУ в 9ГУ. В соответствии с пост. СМ СССР № 713- 342 от 26.06.1957 г. передан в ведение СНХ РСФСР. Имел наименование «п/я 845».</w:t>
      </w:r>
    </w:p>
    <w:p w14:paraId="7295E3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 г. осуществлялось литье корпусов снарядов К-5М из магниевого сплава для завода № 455.</w:t>
      </w:r>
    </w:p>
    <w:p w14:paraId="7B3A6A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г.)- 2100 чел., (1.04.2003 г.)- 1785 чел.</w:t>
      </w:r>
    </w:p>
    <w:p w14:paraId="0B055F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(5.04-13.11.1937 г.)- Ю.И. Вержинский, (13.11.1937-21.06.1938 г.)- А.А. Калинин (снят в связи с неудовлетворительной работой), (21.06.1938-41 г.-)- В. Г. Першин, (-05.1942-02.1945 г.-)- И.А. Жихарев, (1997 г.)- Н.П. Евстафьев. Гендиректор (-1998-2004 г.-)- В.М. Шитов, (02.2005 г.)- Р.А. Антонян.</w:t>
      </w:r>
    </w:p>
    <w:p w14:paraId="6829EB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(21.06.1938 г.-)- А.А. Калинин. Помощник директора по найму и увольнению (10.1941 г.)- Рыгин.</w:t>
      </w:r>
    </w:p>
    <w:p w14:paraId="2B33DC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коммерческий (2002 г.)- Р.А. Ханукаев; по маркетингу (2002 г.)- С.В. Шитов.</w:t>
      </w:r>
    </w:p>
    <w:p w14:paraId="7F8FE5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инженер (12.1937 г.)- С.С. Фельдман, (01-07.1942 г.)- П.В. Флеров.</w:t>
      </w:r>
    </w:p>
    <w:p w14:paraId="4E617CD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управлений: УКС (06.1938 г.)- Афанасьев.</w:t>
      </w:r>
    </w:p>
    <w:p w14:paraId="0CFEE9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авиационные колеса КТ-98/2, КТ-106/2, КТ-83 (1960-е); комплектующие для ОК «Буран»; 2004 г.: колеса для Ан-124, Ан-225, Ил-76, Ил-86, Ту-154 и др., тормоза и агрегаты управления ими, гидравлическая аппаратура (клапаны, дозаторы, переключатели, ускорители), аварийно-спасательное, взлетно- посадочное оборудование; фасонные отливки из титановых, магниевых и алюминиевых сплавов.</w:t>
      </w:r>
      <w:r w:rsidRPr="008127F8">
        <w:rPr>
          <w:rFonts w:ascii="Times New Roman" w:hAnsi="Times New Roman"/>
          <w:color w:val="000000" w:themeColor="text1"/>
          <w:sz w:val="16"/>
          <w:szCs w:val="16"/>
          <w:vertAlign w:val="superscript"/>
        </w:rPr>
        <w:t>69</w:t>
      </w:r>
    </w:p>
    <w:p w14:paraId="2A5079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219 НКАП, ОКБ-219 МАП</w:t>
      </w:r>
    </w:p>
    <w:p w14:paraId="6C432E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w:t>
      </w:r>
      <w:proofErr w:type="gramStart"/>
      <w:r w:rsidRPr="008127F8">
        <w:rPr>
          <w:rFonts w:ascii="Times New Roman" w:hAnsi="Times New Roman"/>
          <w:color w:val="000000" w:themeColor="text1"/>
          <w:sz w:val="16"/>
          <w:szCs w:val="16"/>
        </w:rPr>
        <w:t>Реутов;  г.</w:t>
      </w:r>
      <w:proofErr w:type="gramEnd"/>
      <w:r w:rsidRPr="008127F8">
        <w:rPr>
          <w:rFonts w:ascii="Times New Roman" w:hAnsi="Times New Roman"/>
          <w:color w:val="000000" w:themeColor="text1"/>
          <w:sz w:val="16"/>
          <w:szCs w:val="16"/>
        </w:rPr>
        <w:t xml:space="preserve"> Балашиха Московской обл./</w:t>
      </w:r>
    </w:p>
    <w:p w14:paraId="6858936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при заводе № 219 с опытным цехом было образовано по приказу № 542с от 18.07.1942 г. для опытных работ по авиаколесам. Колеса для Ил-2.</w:t>
      </w:r>
    </w:p>
    <w:p w14:paraId="291B38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146573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586с от 23.09.1943 г. в состав'ОКБ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130E28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213E7A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Реутов).</w:t>
      </w:r>
    </w:p>
    <w:p w14:paraId="74DE6F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гл. конструктор (1942-46 г.)- П.В. Флеров.</w:t>
      </w:r>
    </w:p>
    <w:p w14:paraId="145A870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(09.1943 г.-)- Н.И. Жохов (11982).</w:t>
      </w:r>
    </w:p>
    <w:p w14:paraId="6FFBE8F1"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E2462F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4F613B8" w14:textId="77777777" w:rsidR="00D4651C" w:rsidRPr="008127F8" w:rsidRDefault="00D4651C" w:rsidP="001E0A84">
      <w:pPr>
        <w:pStyle w:val="Iauiue"/>
        <w:jc w:val="both"/>
        <w:rPr>
          <w:iCs/>
          <w:color w:val="000000" w:themeColor="text1"/>
          <w:sz w:val="16"/>
          <w:szCs w:val="16"/>
        </w:rPr>
      </w:pPr>
    </w:p>
    <w:p w14:paraId="2F5F6032"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w:t>
      </w:r>
    </w:p>
    <w:p w14:paraId="78FA3CA5"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 лист 97 – 98</w:t>
      </w:r>
    </w:p>
    <w:p w14:paraId="32F58805"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4.1-42 г. № 101</w:t>
      </w:r>
    </w:p>
    <w:p w14:paraId="106FE7E2" w14:textId="4DF33A78"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301F8831"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4B89764"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СССР</w:t>
      </w:r>
    </w:p>
    <w:p w14:paraId="7894BE20"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93-Мсс</w:t>
      </w:r>
    </w:p>
    <w:p w14:paraId="7D4ED9EB"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550AF5CB"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 г.</w:t>
      </w:r>
    </w:p>
    <w:p w14:paraId="20845C77" w14:textId="12C53580"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проверки работы наркоматов по восстановлению эвакуированных на Восток предприятий, произведенной Наркоматом Госконтроля, Совет Народных Комиссаров СССР в постановлении от 30 декабря 1941 года за № 2308-1060сс отметил следующие недостатки по Наркомату танковой промышленности:</w:t>
      </w:r>
      <w:r w:rsidR="008127F8">
        <w:rPr>
          <w:rFonts w:ascii="Times New Roman" w:hAnsi="Times New Roman"/>
          <w:color w:val="000000" w:themeColor="text1"/>
          <w:sz w:val="16"/>
          <w:szCs w:val="16"/>
        </w:rPr>
        <w:t xml:space="preserve">  </w:t>
      </w:r>
    </w:p>
    <w:p w14:paraId="10DC1467" w14:textId="150CF57D"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Восстановление заводов Наркомтанкопрома проходит с нарушением установленных планов.</w:t>
      </w:r>
      <w:r w:rsidR="008127F8">
        <w:rPr>
          <w:rFonts w:ascii="Times New Roman" w:hAnsi="Times New Roman"/>
          <w:color w:val="000000" w:themeColor="text1"/>
          <w:sz w:val="16"/>
          <w:szCs w:val="16"/>
        </w:rPr>
        <w:t xml:space="preserve">  </w:t>
      </w:r>
    </w:p>
    <w:p w14:paraId="66077EB8" w14:textId="0676410D"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Решение ГКО от 9 ноября п/года по заводам № 174, № 264 и № 183 не выполнено, установка и ввод в эксплоатацию оборудования отстает от сроков, намеченных решением ГКО.</w:t>
      </w:r>
      <w:r w:rsidR="008127F8">
        <w:rPr>
          <w:rFonts w:ascii="Times New Roman" w:hAnsi="Times New Roman"/>
          <w:color w:val="000000" w:themeColor="text1"/>
          <w:sz w:val="16"/>
          <w:szCs w:val="16"/>
        </w:rPr>
        <w:t xml:space="preserve">  </w:t>
      </w:r>
    </w:p>
    <w:p w14:paraId="489547BD" w14:textId="7A14E1E3"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Подготовка заводов к приему эвакуированного оборудования своевременно не была организована. Так, например, окончательная планировка цехов и размещение оборудования не заводе № 183 утверждена Наркоматом лишь через месяц после начала поступления оборудования, в результате чего 111 установленных станков были демонтированы и вторично установлены на другие места.</w:t>
      </w:r>
      <w:r w:rsidR="008127F8">
        <w:rPr>
          <w:rFonts w:ascii="Times New Roman" w:hAnsi="Times New Roman"/>
          <w:color w:val="000000" w:themeColor="text1"/>
          <w:sz w:val="16"/>
          <w:szCs w:val="16"/>
        </w:rPr>
        <w:t xml:space="preserve">  </w:t>
      </w:r>
    </w:p>
    <w:p w14:paraId="21EDF0E8" w14:textId="1A574EC5"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Было допущено недостаточное внимание к производству танка Т-50 и особенно к организации производства бронекорпусов и башен этого танка на заводе № 180 в г. Саратове.</w:t>
      </w:r>
      <w:r w:rsidR="008127F8">
        <w:rPr>
          <w:rFonts w:ascii="Times New Roman" w:hAnsi="Times New Roman"/>
          <w:color w:val="000000" w:themeColor="text1"/>
          <w:sz w:val="16"/>
          <w:szCs w:val="16"/>
        </w:rPr>
        <w:t xml:space="preserve">  </w:t>
      </w:r>
    </w:p>
    <w:p w14:paraId="403FC68E" w14:textId="15B7EB3F"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НКПСом не обеспечена в установленные постановлениями ГКО сроки доставка оборудования эвакуированных танковых заводов. На 1 декабря п.г. по заводу № 183 не было доставлено 320 вагонов, по заводу № 75 – 236 вагонов, по Мариупольскому заводу им. Ильича – 700 вагонов.</w:t>
      </w:r>
      <w:r w:rsidR="008127F8">
        <w:rPr>
          <w:rFonts w:ascii="Times New Roman" w:hAnsi="Times New Roman"/>
          <w:color w:val="000000" w:themeColor="text1"/>
          <w:sz w:val="16"/>
          <w:szCs w:val="16"/>
        </w:rPr>
        <w:t xml:space="preserve">  </w:t>
      </w:r>
    </w:p>
    <w:p w14:paraId="69B0F9FE" w14:textId="65BAC016"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Вышеуказанным постановлением Совет Народных Комиссаров СССР предупреждает директоров заводов: № 183 – т. Максарева, № 37 – т. Фрезерова, № 174 – т. Кацнельсона, что в дальнейшем за несвоевременное восстановление производства они будут привлечены к ответственности и обязал их ускорить восстановление производства, сообщив Совнаркому СССР к 10.I-42 г. графики подготовки и освоения производства.</w:t>
      </w:r>
      <w:r w:rsidR="008127F8">
        <w:rPr>
          <w:rFonts w:ascii="Times New Roman" w:hAnsi="Times New Roman"/>
          <w:color w:val="000000" w:themeColor="text1"/>
          <w:sz w:val="16"/>
          <w:szCs w:val="16"/>
        </w:rPr>
        <w:t xml:space="preserve">  </w:t>
      </w:r>
    </w:p>
    <w:p w14:paraId="45737F42" w14:textId="56C8F874"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 Народных Комиссаров обязал Наркомтанкопром провести инвентаризацию всего имеющегося оборудования по состоянию на 15 января 1942 года, излишнее перераспределить между другими заводами и о результатах сообщить к 20 января с.г. Совнаркому СССР.</w:t>
      </w:r>
      <w:r w:rsidR="008127F8">
        <w:rPr>
          <w:rFonts w:ascii="Times New Roman" w:hAnsi="Times New Roman"/>
          <w:color w:val="000000" w:themeColor="text1"/>
          <w:sz w:val="16"/>
          <w:szCs w:val="16"/>
        </w:rPr>
        <w:t xml:space="preserve">  </w:t>
      </w:r>
    </w:p>
    <w:p w14:paraId="7AE5D5B9" w14:textId="7D1A729E"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Народному Комиссару Государственного Контроля СССР поручено провести тщательную проверку и выявить конкретных виновников в срыве выполнения постановления Государственного Комитета Обороны по обеспечению продвижения эшелонов эвакуированных танковых заводов.</w:t>
      </w:r>
      <w:r w:rsidR="008127F8">
        <w:rPr>
          <w:rFonts w:ascii="Times New Roman" w:hAnsi="Times New Roman"/>
          <w:color w:val="000000" w:themeColor="text1"/>
          <w:sz w:val="16"/>
          <w:szCs w:val="16"/>
        </w:rPr>
        <w:t xml:space="preserve">  </w:t>
      </w:r>
    </w:p>
    <w:p w14:paraId="5E4516BD" w14:textId="38D2AC85"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НКСП (т. Кагановича) возложено обязательство разыскать эшелоны и отдельные вагоны с оборудованием танковых заводов, и в 10-дневный срок обеспечить доставку вагонов на место назначения.</w:t>
      </w:r>
      <w:r w:rsidR="008127F8">
        <w:rPr>
          <w:rFonts w:ascii="Times New Roman" w:hAnsi="Times New Roman"/>
          <w:color w:val="000000" w:themeColor="text1"/>
          <w:sz w:val="16"/>
          <w:szCs w:val="16"/>
        </w:rPr>
        <w:t xml:space="preserve">  </w:t>
      </w:r>
    </w:p>
    <w:p w14:paraId="1B86264E" w14:textId="4AB22B00"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 Народных Комиссаров обязал к 10 января 1942 г. представить в Совнарком СССР отчет о ходе восстановления эвакуированных предприятий и о выполнении вышеуказанного постановления СНК СССР.</w:t>
      </w:r>
      <w:r w:rsidR="008127F8">
        <w:rPr>
          <w:rFonts w:ascii="Times New Roman" w:hAnsi="Times New Roman"/>
          <w:color w:val="000000" w:themeColor="text1"/>
          <w:sz w:val="16"/>
          <w:szCs w:val="16"/>
        </w:rPr>
        <w:t xml:space="preserve">  </w:t>
      </w:r>
    </w:p>
    <w:p w14:paraId="0478496B" w14:textId="1CECD38E"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вышеизложенного, ПРИКАЗЫВАЮ:</w:t>
      </w:r>
      <w:r w:rsidR="008127F8">
        <w:rPr>
          <w:rFonts w:ascii="Times New Roman" w:hAnsi="Times New Roman"/>
          <w:color w:val="000000" w:themeColor="text1"/>
          <w:sz w:val="16"/>
          <w:szCs w:val="16"/>
        </w:rPr>
        <w:t xml:space="preserve">  </w:t>
      </w:r>
    </w:p>
    <w:p w14:paraId="15A54180" w14:textId="7D5F061A"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 183 – т. Максареву, № 37 – т. Фрезерову и № 174 – т. Кацнельсону в целях ускорения восстановления производства на этих заводах представить к 9 января в Наркомтанкопром пересмотренные графики подготовки и освоения производства, предусмотрев в них изготовление приспособлений, инструмента, штампов, приведение в порядок всей технической документации, создание задела деталей и узлов.</w:t>
      </w:r>
      <w:r w:rsidR="008127F8">
        <w:rPr>
          <w:rFonts w:ascii="Times New Roman" w:hAnsi="Times New Roman"/>
          <w:color w:val="000000" w:themeColor="text1"/>
          <w:sz w:val="16"/>
          <w:szCs w:val="16"/>
        </w:rPr>
        <w:t xml:space="preserve">  </w:t>
      </w:r>
    </w:p>
    <w:p w14:paraId="7FCE84BE" w14:textId="00A477D6"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целях выявления на заводах Наркомтанкопрома ненужного и излишнего оборудования всем директорам заводов провести инвентаризацию всего имеющегося оборудования по состоянию на 15 января с.г. и к 17 января представить материалы в отдел Главного механика НКТП.</w:t>
      </w:r>
      <w:r w:rsidR="008127F8">
        <w:rPr>
          <w:rFonts w:ascii="Times New Roman" w:hAnsi="Times New Roman"/>
          <w:color w:val="000000" w:themeColor="text1"/>
          <w:sz w:val="16"/>
          <w:szCs w:val="16"/>
        </w:rPr>
        <w:t xml:space="preserve">  </w:t>
      </w:r>
    </w:p>
    <w:p w14:paraId="30C76489" w14:textId="540F277A"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Отделу Главного механика и энергетики т. Белику произвести перераспределение излишнего оборудования между другими заводами, подготовив к 20 января с.г. исчерпывающий материал по этому вопросу для сообщения в СНК СССР.</w:t>
      </w:r>
      <w:r w:rsidR="008127F8">
        <w:rPr>
          <w:rFonts w:ascii="Times New Roman" w:hAnsi="Times New Roman"/>
          <w:color w:val="000000" w:themeColor="text1"/>
          <w:sz w:val="16"/>
          <w:szCs w:val="16"/>
        </w:rPr>
        <w:t xml:space="preserve">  </w:t>
      </w:r>
    </w:p>
    <w:p w14:paraId="6C68AAD1" w14:textId="5BE87D88"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Транспортного отдела НКТП т. Косолапову установить местонахождение эшелонов и отдельных вагонов с оборудованием эвакуированных танковых заводов и ежедневно докладывать мне о продвижении или задержки эшелонов и вагонов.</w:t>
      </w:r>
      <w:r w:rsidR="008127F8">
        <w:rPr>
          <w:rFonts w:ascii="Times New Roman" w:hAnsi="Times New Roman"/>
          <w:color w:val="000000" w:themeColor="text1"/>
          <w:sz w:val="16"/>
          <w:szCs w:val="16"/>
        </w:rPr>
        <w:t xml:space="preserve">  </w:t>
      </w:r>
    </w:p>
    <w:p w14:paraId="066E05F8"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И.о. нач. 1-го отд. тов. Давтян к 10 января с.г. подготовить материалы для отчета в Совнаркоме СССР о ходе восстановления эвакуированных предприятий и о выполнении постановления СНК СССР за № 2308-1060сс от 30 декабря 1941 года.</w:t>
      </w:r>
    </w:p>
    <w:p w14:paraId="45E7C041"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66C74A30" w14:textId="77777777" w:rsidR="00E47C26" w:rsidRPr="008127F8" w:rsidRDefault="00E47C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(НОСЕНКО) (18228).</w:t>
      </w:r>
    </w:p>
    <w:p w14:paraId="067605B5" w14:textId="77777777" w:rsidR="00E47C26" w:rsidRPr="008127F8" w:rsidRDefault="00E47C26" w:rsidP="001E0A84">
      <w:pPr>
        <w:spacing w:after="0" w:line="240" w:lineRule="auto"/>
        <w:jc w:val="both"/>
        <w:rPr>
          <w:rFonts w:ascii="Times New Roman" w:hAnsi="Times New Roman"/>
          <w:color w:val="000000" w:themeColor="text1"/>
          <w:sz w:val="16"/>
          <w:szCs w:val="16"/>
        </w:rPr>
      </w:pPr>
    </w:p>
    <w:p w14:paraId="78C5A44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 г. нарком В. Малышев предписал осуществить дополнительное бронирование лба и бортов корпуса Т-34, укомплектованного бензиновым двигателем, листами брони высокой твердости толщиной 15-20 мм. Но исследования НИИ-48 показали, что искры, срывающи</w:t>
      </w:r>
      <w:r w:rsidRPr="008127F8">
        <w:rPr>
          <w:rFonts w:ascii="Times New Roman" w:hAnsi="Times New Roman"/>
          <w:color w:val="000000" w:themeColor="text1"/>
          <w:sz w:val="16"/>
          <w:szCs w:val="16"/>
        </w:rPr>
        <w:softHyphen/>
        <w:t>еся при отколе «вторичных осколков» от тыльной стороны башни, также опасны при закрытых люках танка, так как мо</w:t>
      </w:r>
      <w:r w:rsidRPr="008127F8">
        <w:rPr>
          <w:rFonts w:ascii="Times New Roman" w:hAnsi="Times New Roman"/>
          <w:color w:val="000000" w:themeColor="text1"/>
          <w:sz w:val="16"/>
          <w:szCs w:val="16"/>
        </w:rPr>
        <w:softHyphen/>
        <w:t>гут вызвать взрыв паров бензина в башне танка при закрытых люках. Поэтому весной 1942 г. завод № 112 экранирует кор</w:t>
      </w:r>
      <w:r w:rsidRPr="008127F8">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8127F8">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8127F8">
        <w:rPr>
          <w:rFonts w:ascii="Times New Roman" w:hAnsi="Times New Roman"/>
          <w:color w:val="000000" w:themeColor="text1"/>
          <w:sz w:val="16"/>
          <w:szCs w:val="16"/>
        </w:rPr>
        <w:softHyphen/>
        <w:t>прягаются друг с другом по оборудованию. Не раз случа</w:t>
      </w:r>
      <w:r w:rsidRPr="008127F8">
        <w:rPr>
          <w:rFonts w:ascii="Times New Roman" w:hAnsi="Times New Roman"/>
          <w:color w:val="000000" w:themeColor="text1"/>
          <w:sz w:val="16"/>
          <w:szCs w:val="16"/>
        </w:rPr>
        <w:softHyphen/>
        <w:t>лось так, что в ходе ремонта техники, поврежденной в бо</w:t>
      </w:r>
      <w:r w:rsidRPr="008127F8">
        <w:rPr>
          <w:rFonts w:ascii="Times New Roman" w:hAnsi="Times New Roman"/>
          <w:color w:val="000000" w:themeColor="text1"/>
          <w:sz w:val="16"/>
          <w:szCs w:val="16"/>
        </w:rPr>
        <w:softHyphen/>
        <w:t xml:space="preserve">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совместная комиссия НИИ-48 и за</w:t>
      </w:r>
      <w:r w:rsidRPr="008127F8">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8127F8">
        <w:rPr>
          <w:rFonts w:ascii="Times New Roman" w:hAnsi="Times New Roman"/>
          <w:color w:val="000000" w:themeColor="text1"/>
          <w:sz w:val="16"/>
          <w:szCs w:val="16"/>
        </w:rPr>
        <w:softHyphen/>
        <w:t>ней толщиной 60 мм. А уже 28 декабря группа НИИ-48 на за</w:t>
      </w:r>
      <w:r w:rsidRPr="008127F8">
        <w:rPr>
          <w:rFonts w:ascii="Times New Roman" w:hAnsi="Times New Roman"/>
          <w:color w:val="000000" w:themeColor="text1"/>
          <w:sz w:val="16"/>
          <w:szCs w:val="16"/>
        </w:rPr>
        <w:softHyphen/>
        <w:t>воде № 264 под руководством Кофмана провела исследова</w:t>
      </w:r>
      <w:r w:rsidRPr="008127F8">
        <w:rPr>
          <w:rFonts w:ascii="Times New Roman" w:hAnsi="Times New Roman"/>
          <w:color w:val="000000" w:themeColor="text1"/>
          <w:sz w:val="16"/>
          <w:szCs w:val="16"/>
        </w:rPr>
        <w:softHyphen/>
        <w:t>ния броневых листов толщиной 45 мм, применявшихся заво</w:t>
      </w:r>
      <w:r w:rsidRPr="008127F8">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8127F8">
        <w:rPr>
          <w:rFonts w:ascii="Times New Roman" w:hAnsi="Times New Roman"/>
          <w:color w:val="000000" w:themeColor="text1"/>
          <w:sz w:val="16"/>
          <w:szCs w:val="16"/>
        </w:rPr>
        <w:softHyphen/>
        <w:t>ли весьма высокую стойкость к воздействию малокалибер</w:t>
      </w:r>
      <w:r w:rsidRPr="008127F8">
        <w:rPr>
          <w:rFonts w:ascii="Times New Roman" w:hAnsi="Times New Roman"/>
          <w:color w:val="000000" w:themeColor="text1"/>
          <w:sz w:val="16"/>
          <w:szCs w:val="16"/>
        </w:rPr>
        <w:softHyphen/>
        <w:t>ных бронебойных снарядов (37-мм, 45-мм), они недоста</w:t>
      </w:r>
      <w:r w:rsidRPr="008127F8">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8127F8">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8127F8">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513D1C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15EA42ED"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5 января 1942 г. распоряжению наркома В.А. Малышева все танки Т-34, укомплектованные бензиновым двигателем, получили дополнительное бронирование лба и бортов корпуса листами брони высокой твердости толщиной 15-20 мм. </w:t>
      </w:r>
    </w:p>
    <w:p w14:paraId="57163F95"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Установка в танки бензинового мотора создавала проблемы с безопасностью экипажа. При попадании в броню танка бронебойного снаряда, даже если броня танка не была пробита, от её тыльной стороны откалывались «вторичные осколки», что могло вызвать взрыв бензиновых паров. Ведь бензобаки танка находились в боевом отделении. </w:t>
      </w:r>
    </w:p>
    <w:p w14:paraId="0B922DE5"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это не решило проблему полностью Проведённые НИИ-48 исследования показали, что при закрытых люках танка, искры, срывающиеся при отколе «вторичных осколков» от внутренней поверхности башни, также могут вызвать взрыв паров бензина в башне танка (Свирин, М.Н. Броневой щит Сталина. История советского танка. 1937-1943. - С. 384-385.).</w:t>
      </w:r>
    </w:p>
    <w:p w14:paraId="01F759DA"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«Красное Сормово» первую экранированную башню изготовили к 21 января 1942 г., а к 25 февраля - первый корпус. Всего по данным завода № 112 было выпущено 80 экранированных корпусов и 109 башен (Кирсанов, С. Т-34: снизу доверху / С. Кирсанов // Танкомастер. 2003. - № 4. - С. 5.). Помимо экранировки несколько литых башен изготавливали несколько литых башен с броней увеличенной толщины. Первые восемь башен отлили к 1 марта 1942 г. Они имели толщину брони до 75мм (Танкомастер. 2003. - № 4. - С. 5.). На экранировку сормовскихТ-34 шли отходы брони от её раскроя (Свирин, М.Н. Броневой щит Сталина. История советского танка. 1937-1943. - С. 387) (23540).</w:t>
      </w:r>
    </w:p>
    <w:p w14:paraId="093EA164" w14:textId="77777777" w:rsidR="000F2D49" w:rsidRPr="008A2E5A" w:rsidRDefault="000F2D49" w:rsidP="000F2D49">
      <w:pPr>
        <w:spacing w:after="0" w:line="240" w:lineRule="auto"/>
        <w:jc w:val="both"/>
        <w:rPr>
          <w:rFonts w:ascii="Times New Roman" w:hAnsi="Times New Roman"/>
          <w:color w:val="0070C0"/>
          <w:sz w:val="16"/>
          <w:szCs w:val="16"/>
        </w:rPr>
      </w:pPr>
    </w:p>
    <w:p w14:paraId="308D782A" w14:textId="77777777" w:rsidR="00346683" w:rsidRPr="008127F8" w:rsidRDefault="00346683"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hAnsi="Times New Roman"/>
          <w:color w:val="000000" w:themeColor="text1"/>
          <w:sz w:val="16"/>
          <w:szCs w:val="16"/>
        </w:rPr>
        <w:t xml:space="preserve">5 января 1942 КВ-7 </w:t>
      </w:r>
      <w:r w:rsidRPr="008127F8">
        <w:rPr>
          <w:rFonts w:ascii="Times New Roman" w:eastAsia="Times New Roman" w:hAnsi="Times New Roman"/>
          <w:color w:val="000000" w:themeColor="text1"/>
          <w:sz w:val="16"/>
          <w:szCs w:val="16"/>
        </w:rPr>
        <w:t>состоялись испытания КВ-7, проходившие на полигоне завода №8 в Мытищах. Тогда же состоялся и осмотр машины комиссией, в которую входили начальники ГАБТУ, ГАУ, НКВ, а также Ворошилов и Котин. В ходе стрельбы с места только с третьего залпа удалось добиться одновременного выстрела сразу из трёх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из каждого орудия оказалась примерно на уровне обычных танков, причём сама по себе идея залпового огня оказалась под вопросом. Если 76-мм пушка Ф-34 успевала сделать за 34 секунды 3 выстрела, то 45-мм танковые пушки – по 5 выстрелов. Впрочем, скорострельность комиссия признала удовлетворительной. Помимо низкой кучности стрельбы, особенно при залпе, неожиданно была признана недостаточной толщина лобовой брони. Её предложили увеличить до 110–120 мм. Кроме того, было предложено вместо строенной установки разработать спаренную – с двумя 76-мм орудиями.</w:t>
      </w:r>
    </w:p>
    <w:p w14:paraId="3E47B8D4" w14:textId="77777777" w:rsidR="00346683" w:rsidRPr="008127F8" w:rsidRDefault="00346683"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Получив данные о результатах испытаний, Сталин собственноручно составил постановление ГКО №1110сс «О производстве танков «КВ-7» и «КВ-8». В нём первым же пунктом шло: </w:t>
      </w:r>
      <w:r w:rsidRPr="008127F8">
        <w:rPr>
          <w:rFonts w:ascii="Times New Roman" w:eastAsia="Times New Roman" w:hAnsi="Times New Roman"/>
          <w:iCs/>
          <w:color w:val="000000" w:themeColor="text1"/>
          <w:sz w:val="16"/>
          <w:szCs w:val="16"/>
        </w:rPr>
        <w:t>«Представленный 3-орудийный образец «КВ-7» отставить»</w:t>
      </w:r>
      <w:r w:rsidRPr="008127F8">
        <w:rPr>
          <w:rFonts w:ascii="Times New Roman" w:eastAsia="Times New Roman" w:hAnsi="Times New Roman"/>
          <w:color w:val="000000" w:themeColor="text1"/>
          <w:sz w:val="16"/>
          <w:szCs w:val="16"/>
        </w:rPr>
        <w:t>. О полной отмене работ по КВ-7 речи не было, но производство установочной партии машин так и не состоялось (15838).</w:t>
      </w:r>
    </w:p>
    <w:p w14:paraId="608A6120" w14:textId="77777777" w:rsidR="00346683" w:rsidRPr="008127F8" w:rsidRDefault="00346683" w:rsidP="001E0A84">
      <w:pPr>
        <w:shd w:val="clear" w:color="auto" w:fill="FFFFFF"/>
        <w:spacing w:after="0" w:line="240" w:lineRule="auto"/>
        <w:jc w:val="both"/>
        <w:rPr>
          <w:rFonts w:ascii="Times New Roman" w:eastAsia="Times New Roman" w:hAnsi="Times New Roman"/>
          <w:color w:val="000000" w:themeColor="text1"/>
          <w:sz w:val="16"/>
          <w:szCs w:val="16"/>
        </w:rPr>
      </w:pPr>
    </w:p>
    <w:p w14:paraId="37BCE6BC" w14:textId="77777777" w:rsidR="008D722B" w:rsidRPr="008127F8" w:rsidRDefault="008D722B" w:rsidP="001E0A84">
      <w:pPr>
        <w:pStyle w:val="a4"/>
        <w:rPr>
          <w:color w:val="000000" w:themeColor="text1"/>
          <w:lang w:val="ru-RU"/>
        </w:rPr>
      </w:pPr>
      <w:r w:rsidRPr="008127F8">
        <w:rPr>
          <w:color w:val="000000" w:themeColor="text1"/>
          <w:lang w:val="ru-RU"/>
        </w:rPr>
        <w:t>5 января 1942 года на полигоне завода №8, куда КВ-7 и КВ-8 отправили в первых числах месяца, прошел следующий этап огневых испытаний КВ-7. В ходе стрельбы с места только с третьего залпа удалось добиться выстрела сразу из трех стволов, при этом кучность на дис</w:t>
      </w:r>
      <w:r w:rsidRPr="008127F8">
        <w:rPr>
          <w:color w:val="000000" w:themeColor="text1"/>
          <w:lang w:val="ru-RU"/>
        </w:rPr>
        <w:softHyphen/>
        <w:t>танции 400 метров оказалась достаточно низкой. Испытания на ско</w:t>
      </w:r>
      <w:r w:rsidRPr="008127F8">
        <w:rPr>
          <w:color w:val="000000" w:themeColor="text1"/>
          <w:lang w:val="ru-RU"/>
        </w:rPr>
        <w:softHyphen/>
        <w:t>рострельность с места дали результат на уровне от 20 до 24 выстрелов в минуту. По отдельности скорострельность получилась примерно на уровне обычных танков, но сама по себе идея залпового огня оказалась под вопросом. Дело в том, что за 34 секунды 76-мм пушка Ф-34 успева</w:t>
      </w:r>
      <w:r w:rsidRPr="008127F8">
        <w:rPr>
          <w:color w:val="000000" w:themeColor="text1"/>
          <w:lang w:val="ru-RU"/>
        </w:rPr>
        <w:softHyphen/>
        <w:t>ла сделать 3 выстрела, а 45-мм танковые пушки — по 5 выстрелов.</w:t>
      </w:r>
    </w:p>
    <w:p w14:paraId="64EC9987" w14:textId="77777777" w:rsidR="008D722B" w:rsidRPr="008127F8" w:rsidRDefault="008D722B" w:rsidP="001E0A84">
      <w:pPr>
        <w:pStyle w:val="a4"/>
        <w:rPr>
          <w:color w:val="000000" w:themeColor="text1"/>
          <w:lang w:val="ru-RU"/>
        </w:rPr>
      </w:pPr>
      <w:r w:rsidRPr="008127F8">
        <w:rPr>
          <w:color w:val="000000" w:themeColor="text1"/>
          <w:lang w:val="ru-RU"/>
        </w:rPr>
        <w:t>Испытания стрельбой совпали с показом высшему руководству опытных образцов КВ-7 и КВ-8, по результатам которых был состав</w:t>
      </w:r>
      <w:r w:rsidRPr="008127F8">
        <w:rPr>
          <w:color w:val="000000" w:themeColor="text1"/>
          <w:lang w:val="ru-RU"/>
        </w:rPr>
        <w:softHyphen/>
        <w:t>лен акт:</w:t>
      </w:r>
    </w:p>
    <w:p w14:paraId="63CACB13"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«Осмотр танков состоялся 5.1.1942 года на Полигоне завода №8, станция Мытищи, в присутствии: Зам. Председателя Совнаркома СССР Маршала Советского Союза тов. Ворошилова, Зам. Председате</w:t>
      </w:r>
      <w:r w:rsidRPr="008127F8">
        <w:rPr>
          <w:i w:val="0"/>
          <w:color w:val="000000" w:themeColor="text1"/>
          <w:sz w:val="16"/>
          <w:szCs w:val="16"/>
        </w:rPr>
        <w:softHyphen/>
        <w:t>ля Совнаркома СССР Народного Комиссара Танковой Промышленности тов. Малышева, Зам. Предсовнаркома тов. Вознесенского, Зам. Нарко</w:t>
      </w:r>
      <w:r w:rsidRPr="008127F8">
        <w:rPr>
          <w:i w:val="0"/>
          <w:color w:val="000000" w:themeColor="text1"/>
          <w:sz w:val="16"/>
          <w:szCs w:val="16"/>
        </w:rPr>
        <w:softHyphen/>
        <w:t>ма Обороны Союза ССР Тенерал-Полковника тов. Воронова, Зам Нар</w:t>
      </w:r>
      <w:r w:rsidRPr="008127F8">
        <w:rPr>
          <w:i w:val="0"/>
          <w:color w:val="000000" w:themeColor="text1"/>
          <w:sz w:val="16"/>
          <w:szCs w:val="16"/>
        </w:rPr>
        <w:softHyphen/>
        <w:t>кома Обороны Союза ССР — Начальниа ТАБТУ Красной Армии, Генерала ГАБТУ Красной Армии Армейского Комиссара 2 ранга тов. Бирюкова, заместителей Наркома Танковой Промышленности товарищей Заль</w:t>
      </w:r>
      <w:r w:rsidRPr="008127F8">
        <w:rPr>
          <w:i w:val="0"/>
          <w:color w:val="000000" w:themeColor="text1"/>
          <w:sz w:val="16"/>
          <w:szCs w:val="16"/>
        </w:rPr>
        <w:softHyphen/>
        <w:t>цман, Носенко и Петрасьян, начальника ГАУ КА Генерал-Полковника тов. Яковлева, Начальника ГУХЗ Генерал Майона тов. Мельникова, на</w:t>
      </w:r>
      <w:r w:rsidRPr="008127F8">
        <w:rPr>
          <w:i w:val="0"/>
          <w:color w:val="000000" w:themeColor="text1"/>
          <w:sz w:val="16"/>
          <w:szCs w:val="16"/>
        </w:rPr>
        <w:softHyphen/>
        <w:t>чальника Бронетанкового Управления ГАБТУ Красной Армии Бригинже- нера тов. Коробкова и Главного Конструктора Отдела №1 Кировского завод тов. Котина.</w:t>
      </w:r>
    </w:p>
    <w:p w14:paraId="75DD7B7B"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Танк КВ-7</w:t>
      </w:r>
    </w:p>
    <w:p w14:paraId="4CD706E2"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 xml:space="preserve">Представленный опытный образец танка прорыва </w:t>
      </w:r>
      <w:r w:rsidRPr="008127F8">
        <w:rPr>
          <w:i w:val="0"/>
          <w:color w:val="000000" w:themeColor="text1"/>
          <w:sz w:val="16"/>
          <w:szCs w:val="16"/>
          <w:lang w:val="en-US"/>
        </w:rPr>
        <w:t>KB</w:t>
      </w:r>
      <w:r w:rsidRPr="008127F8">
        <w:rPr>
          <w:i w:val="0"/>
          <w:color w:val="000000" w:themeColor="text1"/>
          <w:sz w:val="16"/>
          <w:szCs w:val="16"/>
        </w:rPr>
        <w:t>-7 имеет ходо</w:t>
      </w:r>
      <w:r w:rsidRPr="008127F8">
        <w:rPr>
          <w:i w:val="0"/>
          <w:color w:val="000000" w:themeColor="text1"/>
          <w:sz w:val="16"/>
          <w:szCs w:val="16"/>
        </w:rPr>
        <w:softHyphen/>
        <w:t>вую и трансмиссионную часть серийного танка КВ-1.</w:t>
      </w:r>
    </w:p>
    <w:p w14:paraId="702FE6D6"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Вместо башни с 360° поворотом имеет невращающуюся башню с уста</w:t>
      </w:r>
      <w:r w:rsidRPr="008127F8">
        <w:rPr>
          <w:i w:val="0"/>
          <w:color w:val="000000" w:themeColor="text1"/>
          <w:sz w:val="16"/>
          <w:szCs w:val="16"/>
        </w:rPr>
        <w:softHyphen/>
        <w:t>новленными тремя пушками, из которых две калибра 45 мм и одна пуш</w:t>
      </w:r>
      <w:r w:rsidRPr="008127F8">
        <w:rPr>
          <w:i w:val="0"/>
          <w:color w:val="000000" w:themeColor="text1"/>
          <w:sz w:val="16"/>
          <w:szCs w:val="16"/>
        </w:rPr>
        <w:softHyphen/>
        <w:t>ка — калибра 76 мм (Ф-34).</w:t>
      </w:r>
    </w:p>
    <w:p w14:paraId="78B79EAB"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Строенная орудийная установка имеет горизонтальный угол вращения +/— 7,5°, угол снижения —5° и угол возвышения +15°.</w:t>
      </w:r>
    </w:p>
    <w:p w14:paraId="374EFAEF"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Спуск пушек — раздельный. Пулеметов ДТ — 2 шт.</w:t>
      </w:r>
    </w:p>
    <w:p w14:paraId="6BFD838E"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Боекомплект: 200 снарядов для 45-мм пушек и 93 снаряда для 76-мм пушки.</w:t>
      </w:r>
    </w:p>
    <w:p w14:paraId="77ACCB87"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Толщина брони лобовых листов корпуса 100мм, башни 105мм, и брони</w:t>
      </w:r>
      <w:r w:rsidRPr="008127F8">
        <w:rPr>
          <w:i w:val="0"/>
          <w:color w:val="000000" w:themeColor="text1"/>
          <w:sz w:val="16"/>
          <w:szCs w:val="16"/>
        </w:rPr>
        <w:softHyphen/>
        <w:t>ровка орудийной установки 100 мм.</w:t>
      </w:r>
    </w:p>
    <w:p w14:paraId="3B08FE71"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Экипаж 6 человек.</w:t>
      </w:r>
    </w:p>
    <w:p w14:paraId="63160D64"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После осмотра и испытания стрельбой было отмечено следующее:</w:t>
      </w:r>
    </w:p>
    <w:p w14:paraId="600C9516" w14:textId="77777777" w:rsidR="008D722B" w:rsidRPr="008127F8" w:rsidRDefault="008D722B" w:rsidP="001E0A84">
      <w:pPr>
        <w:pStyle w:val="Bodytext141"/>
        <w:shd w:val="clear" w:color="auto" w:fill="auto"/>
        <w:tabs>
          <w:tab w:val="left" w:pos="3852"/>
        </w:tabs>
        <w:spacing w:line="240" w:lineRule="auto"/>
        <w:ind w:firstLine="0"/>
        <w:jc w:val="both"/>
        <w:rPr>
          <w:i w:val="0"/>
          <w:color w:val="000000" w:themeColor="text1"/>
          <w:sz w:val="16"/>
          <w:szCs w:val="16"/>
        </w:rPr>
      </w:pPr>
      <w:r w:rsidRPr="008127F8">
        <w:rPr>
          <w:i w:val="0"/>
          <w:color w:val="000000" w:themeColor="text1"/>
          <w:sz w:val="16"/>
          <w:szCs w:val="16"/>
        </w:rPr>
        <w:t>1. Ходовые качества машины удовлетворительные.</w:t>
      </w:r>
    </w:p>
    <w:p w14:paraId="5DC04C13" w14:textId="77777777" w:rsidR="008D722B" w:rsidRPr="008127F8" w:rsidRDefault="008D722B" w:rsidP="001E0A84">
      <w:pPr>
        <w:pStyle w:val="a4"/>
        <w:rPr>
          <w:color w:val="000000" w:themeColor="text1"/>
          <w:lang w:val="ru-RU"/>
        </w:rPr>
      </w:pPr>
      <w:r w:rsidRPr="008127F8">
        <w:rPr>
          <w:color w:val="000000" w:themeColor="text1"/>
          <w:lang w:val="ru-RU"/>
        </w:rPr>
        <w:t>2. Бронирование лобовых листов корпуса и башни недостаточное.</w:t>
      </w:r>
    </w:p>
    <w:p w14:paraId="35336200" w14:textId="77777777" w:rsidR="008D722B" w:rsidRPr="008127F8" w:rsidRDefault="008D722B" w:rsidP="001E0A84">
      <w:pPr>
        <w:pStyle w:val="Bodytext141"/>
        <w:shd w:val="clear" w:color="auto" w:fill="auto"/>
        <w:tabs>
          <w:tab w:val="left" w:pos="3890"/>
        </w:tabs>
        <w:spacing w:line="240" w:lineRule="auto"/>
        <w:ind w:firstLine="0"/>
        <w:jc w:val="both"/>
        <w:rPr>
          <w:i w:val="0"/>
          <w:color w:val="000000" w:themeColor="text1"/>
          <w:sz w:val="16"/>
          <w:szCs w:val="16"/>
        </w:rPr>
      </w:pPr>
      <w:r w:rsidRPr="008127F8">
        <w:rPr>
          <w:i w:val="0"/>
          <w:color w:val="000000" w:themeColor="text1"/>
          <w:sz w:val="16"/>
          <w:szCs w:val="16"/>
        </w:rPr>
        <w:t>3. Практическая скорострельность орудийной установки (5-6 полных залпов в минуту) удовлетворительная.</w:t>
      </w:r>
    </w:p>
    <w:p w14:paraId="0F435F76" w14:textId="77777777" w:rsidR="008D722B" w:rsidRPr="008127F8" w:rsidRDefault="008D722B" w:rsidP="001E0A84">
      <w:pPr>
        <w:pStyle w:val="Bodytext141"/>
        <w:shd w:val="clear" w:color="auto" w:fill="auto"/>
        <w:tabs>
          <w:tab w:val="left" w:pos="3886"/>
        </w:tabs>
        <w:spacing w:line="240" w:lineRule="auto"/>
        <w:ind w:firstLine="0"/>
        <w:jc w:val="both"/>
        <w:rPr>
          <w:i w:val="0"/>
          <w:color w:val="000000" w:themeColor="text1"/>
          <w:sz w:val="16"/>
          <w:szCs w:val="16"/>
        </w:rPr>
      </w:pPr>
      <w:r w:rsidRPr="008127F8">
        <w:rPr>
          <w:i w:val="0"/>
          <w:color w:val="000000" w:themeColor="text1"/>
          <w:sz w:val="16"/>
          <w:szCs w:val="16"/>
        </w:rPr>
        <w:t>4. Компоновка, расположение строенной установки и боекомплект удовлетворительные.</w:t>
      </w:r>
    </w:p>
    <w:p w14:paraId="26B1F3F5" w14:textId="77777777" w:rsidR="008D722B" w:rsidRPr="008127F8" w:rsidRDefault="008D722B" w:rsidP="001E0A84">
      <w:pPr>
        <w:pStyle w:val="Bodytext141"/>
        <w:shd w:val="clear" w:color="auto" w:fill="auto"/>
        <w:tabs>
          <w:tab w:val="left" w:pos="3881"/>
        </w:tabs>
        <w:spacing w:line="240" w:lineRule="auto"/>
        <w:ind w:firstLine="0"/>
        <w:jc w:val="both"/>
        <w:rPr>
          <w:i w:val="0"/>
          <w:color w:val="000000" w:themeColor="text1"/>
          <w:sz w:val="16"/>
          <w:szCs w:val="16"/>
        </w:rPr>
      </w:pPr>
      <w:r w:rsidRPr="008127F8">
        <w:rPr>
          <w:i w:val="0"/>
          <w:color w:val="000000" w:themeColor="text1"/>
          <w:sz w:val="16"/>
          <w:szCs w:val="16"/>
        </w:rPr>
        <w:t>5. Кучность попадания неудовлетворительная.</w:t>
      </w:r>
    </w:p>
    <w:p w14:paraId="13E8B96D"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Необходимо:</w:t>
      </w:r>
    </w:p>
    <w:p w14:paraId="621E3FA5" w14:textId="77777777" w:rsidR="008D722B" w:rsidRPr="008127F8" w:rsidRDefault="008D722B" w:rsidP="001E0A84">
      <w:pPr>
        <w:pStyle w:val="Bodytext141"/>
        <w:shd w:val="clear" w:color="auto" w:fill="auto"/>
        <w:tabs>
          <w:tab w:val="left" w:pos="3886"/>
        </w:tabs>
        <w:spacing w:line="240" w:lineRule="auto"/>
        <w:ind w:firstLine="0"/>
        <w:jc w:val="both"/>
        <w:rPr>
          <w:i w:val="0"/>
          <w:color w:val="000000" w:themeColor="text1"/>
          <w:sz w:val="16"/>
          <w:szCs w:val="16"/>
        </w:rPr>
      </w:pPr>
      <w:r w:rsidRPr="008127F8">
        <w:rPr>
          <w:i w:val="0"/>
          <w:color w:val="000000" w:themeColor="text1"/>
          <w:sz w:val="16"/>
          <w:szCs w:val="16"/>
        </w:rPr>
        <w:t>1. Толщину брони лобовых листов башни установить 115-20 мм и тол</w:t>
      </w:r>
      <w:r w:rsidRPr="008127F8">
        <w:rPr>
          <w:i w:val="0"/>
          <w:color w:val="000000" w:themeColor="text1"/>
          <w:sz w:val="16"/>
          <w:szCs w:val="16"/>
        </w:rPr>
        <w:softHyphen/>
        <w:t>щину брони лобовых листов корпуса установить 110 мм.</w:t>
      </w:r>
    </w:p>
    <w:p w14:paraId="3D7C8DDC" w14:textId="77777777" w:rsidR="008D722B" w:rsidRPr="008127F8" w:rsidRDefault="008D722B" w:rsidP="001E0A84">
      <w:pPr>
        <w:pStyle w:val="Bodytext141"/>
        <w:shd w:val="clear" w:color="auto" w:fill="auto"/>
        <w:tabs>
          <w:tab w:val="left" w:pos="3890"/>
        </w:tabs>
        <w:spacing w:line="240" w:lineRule="auto"/>
        <w:ind w:firstLine="0"/>
        <w:jc w:val="both"/>
        <w:rPr>
          <w:i w:val="0"/>
          <w:color w:val="000000" w:themeColor="text1"/>
          <w:sz w:val="16"/>
          <w:szCs w:val="16"/>
        </w:rPr>
      </w:pPr>
      <w:r w:rsidRPr="008127F8">
        <w:rPr>
          <w:i w:val="0"/>
          <w:color w:val="000000" w:themeColor="text1"/>
          <w:sz w:val="16"/>
          <w:szCs w:val="16"/>
        </w:rPr>
        <w:t>2. С целью улучшения кучности попадания, необходимо доработать по</w:t>
      </w:r>
      <w:r w:rsidRPr="008127F8">
        <w:rPr>
          <w:i w:val="0"/>
          <w:color w:val="000000" w:themeColor="text1"/>
          <w:sz w:val="16"/>
          <w:szCs w:val="16"/>
        </w:rPr>
        <w:softHyphen/>
        <w:t>воротный механизм орудийной установки.</w:t>
      </w:r>
    </w:p>
    <w:p w14:paraId="6E5B007E"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Доработать установку оптического прицела.</w:t>
      </w:r>
    </w:p>
    <w:p w14:paraId="342EDE3B"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Отработать спусковые механизмы с целью обеспечения выстрела из</w:t>
      </w:r>
    </w:p>
    <w:p w14:paraId="05104C0A"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трех систем одновременно.</w:t>
      </w:r>
    </w:p>
    <w:p w14:paraId="5D41BD80" w14:textId="77777777" w:rsidR="008D722B" w:rsidRPr="008127F8" w:rsidRDefault="008D722B" w:rsidP="001E0A84">
      <w:pPr>
        <w:pStyle w:val="Bodytext141"/>
        <w:shd w:val="clear" w:color="auto" w:fill="auto"/>
        <w:tabs>
          <w:tab w:val="left" w:pos="3890"/>
        </w:tabs>
        <w:spacing w:line="240" w:lineRule="auto"/>
        <w:ind w:firstLine="0"/>
        <w:jc w:val="both"/>
        <w:rPr>
          <w:i w:val="0"/>
          <w:color w:val="000000" w:themeColor="text1"/>
          <w:sz w:val="16"/>
          <w:szCs w:val="16"/>
        </w:rPr>
      </w:pPr>
      <w:r w:rsidRPr="008127F8">
        <w:rPr>
          <w:i w:val="0"/>
          <w:color w:val="000000" w:themeColor="text1"/>
          <w:sz w:val="16"/>
          <w:szCs w:val="16"/>
        </w:rPr>
        <w:t>3. Считать необходимым один из танков КВ-7 первой партии про</w:t>
      </w:r>
      <w:r w:rsidRPr="008127F8">
        <w:rPr>
          <w:i w:val="0"/>
          <w:color w:val="000000" w:themeColor="text1"/>
          <w:sz w:val="16"/>
          <w:szCs w:val="16"/>
        </w:rPr>
        <w:softHyphen/>
        <w:t>граммы завода на январь-февраль месяцы подвергнуть в части арт- установки полигонным испытаниям по программе УВНА ГАУКА, со</w:t>
      </w:r>
      <w:r w:rsidRPr="008127F8">
        <w:rPr>
          <w:i w:val="0"/>
          <w:color w:val="000000" w:themeColor="text1"/>
          <w:sz w:val="16"/>
          <w:szCs w:val="16"/>
        </w:rPr>
        <w:softHyphen/>
        <w:t>гласованной с ГАБТУ КА с целью проверки устранения отмеченных недочетов при изготовлении установочной партии.</w:t>
      </w:r>
    </w:p>
    <w:p w14:paraId="3E0FB53C" w14:textId="77777777" w:rsidR="008D722B" w:rsidRPr="008127F8" w:rsidRDefault="008D722B" w:rsidP="001E0A84">
      <w:pPr>
        <w:pStyle w:val="a4"/>
        <w:rPr>
          <w:color w:val="000000" w:themeColor="text1"/>
          <w:lang w:val="ru-RU"/>
        </w:rPr>
      </w:pPr>
      <w:r w:rsidRPr="008127F8">
        <w:rPr>
          <w:color w:val="000000" w:themeColor="text1"/>
          <w:lang w:val="ru-RU"/>
        </w:rPr>
        <w:t>Испытания провести до 15-го февраля 1942 года</w:t>
      </w:r>
    </w:p>
    <w:p w14:paraId="7BA8A18D"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 xml:space="preserve">Комиссия считает желательным разработать и установить на танке </w:t>
      </w:r>
      <w:r w:rsidRPr="008127F8">
        <w:rPr>
          <w:i w:val="0"/>
          <w:color w:val="000000" w:themeColor="text1"/>
          <w:sz w:val="16"/>
          <w:szCs w:val="16"/>
          <w:lang w:val="en-US"/>
        </w:rPr>
        <w:t>KB</w:t>
      </w:r>
      <w:r w:rsidRPr="008127F8">
        <w:rPr>
          <w:i w:val="0"/>
          <w:color w:val="000000" w:themeColor="text1"/>
          <w:sz w:val="16"/>
          <w:szCs w:val="16"/>
        </w:rPr>
        <w:t>- 7спаренную артустановку из двух 76мм пушек Ф-34, а также отра</w:t>
      </w:r>
      <w:r w:rsidRPr="008127F8">
        <w:rPr>
          <w:i w:val="0"/>
          <w:color w:val="000000" w:themeColor="text1"/>
          <w:sz w:val="16"/>
          <w:szCs w:val="16"/>
        </w:rPr>
        <w:softHyphen/>
        <w:t>ботать установку на этом же танке более мощных артсистем калибра 122 или 85 мм.</w:t>
      </w:r>
    </w:p>
    <w:p w14:paraId="0F4A8780"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Разработку этих опытных артустановок поручить Конструкторско</w:t>
      </w:r>
      <w:r w:rsidRPr="008127F8">
        <w:rPr>
          <w:i w:val="0"/>
          <w:color w:val="000000" w:themeColor="text1"/>
          <w:sz w:val="16"/>
          <w:szCs w:val="16"/>
        </w:rPr>
        <w:softHyphen/>
        <w:t>му бюро Кировского завода Наркомата Танковой Промышленности».</w:t>
      </w:r>
    </w:p>
    <w:p w14:paraId="393CF4EB" w14:textId="77777777" w:rsidR="008D722B" w:rsidRPr="008127F8" w:rsidRDefault="008D722B" w:rsidP="001E0A84">
      <w:pPr>
        <w:pStyle w:val="a4"/>
        <w:rPr>
          <w:color w:val="000000" w:themeColor="text1"/>
          <w:lang w:val="ru-RU"/>
        </w:rPr>
      </w:pPr>
      <w:r w:rsidRPr="008127F8">
        <w:rPr>
          <w:color w:val="000000" w:themeColor="text1"/>
          <w:lang w:val="ru-RU"/>
        </w:rPr>
        <w:t>Кроме того, КВ-7 осмотрели военинженеры Обухов и Кивалин, которые исследовали удобство пользования установкой У-13. По ходу осмотра возник целый ряд вопросов. Прицельным налобником оказалось невозможно пользоваться, а выверка самого прицела была сложна и неудобна. Кроме того, на установке У-13 был установлен прицел ТМФД-8 с нарезкой шкал под пушку Ф-32, которая имела разную с Ф-34 баллистику. Отверстие в орудийной маске под прицел было выполнено слишком большим, что повышало опасность пора</w:t>
      </w:r>
      <w:r w:rsidRPr="008127F8">
        <w:rPr>
          <w:color w:val="000000" w:themeColor="text1"/>
          <w:lang w:val="ru-RU"/>
        </w:rPr>
        <w:softHyphen/>
        <w:t>жения от вражеского огня. По итогам осмотра было предложено уста</w:t>
      </w:r>
      <w:r w:rsidRPr="008127F8">
        <w:rPr>
          <w:color w:val="000000" w:themeColor="text1"/>
          <w:lang w:val="ru-RU"/>
        </w:rPr>
        <w:softHyphen/>
        <w:t>навливать в серийных образцах триплекса прицел 9Т-7 и разработать новое крепление прицела.</w:t>
      </w:r>
    </w:p>
    <w:p w14:paraId="728CB6C8"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Установочной партии КВ-7, впрочем, так и не последовало (17484).</w:t>
      </w:r>
    </w:p>
    <w:p w14:paraId="1B4D0793" w14:textId="77777777" w:rsidR="008D722B" w:rsidRPr="008127F8" w:rsidRDefault="008D722B" w:rsidP="001E0A84">
      <w:pPr>
        <w:pStyle w:val="a4"/>
        <w:rPr>
          <w:color w:val="000000" w:themeColor="text1"/>
          <w:lang w:val="ru-RU"/>
        </w:rPr>
      </w:pPr>
    </w:p>
    <w:p w14:paraId="7D80514F" w14:textId="77777777" w:rsidR="0032416F" w:rsidRPr="008127F8" w:rsidRDefault="003241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5 января 1942 года состоялся показ КВ-8 огнеметного на полигоне завода №8 в Мытищах. Принимала машину комиссия под председательством Ворошилова. Одновременно показывали и КВ-7, штурмовой танк со спаркой 45-мм пушек и одной 76-мм пушкой. И если трехстволка, созданная по предложению Сталина, испытания провалила, то КВ-8 повел себя несколько иначе. Как следует из дальнейшей переписки, машину признали сырой, имелись проблемы с огнеметом (включая и попадание бензина внутрь танка), тем не менее, провалом испытания не закончились. При использовании специальной огнесмеси дальность пуска достигла 90 метров, этого оказалось вполне достаточно. На следующий день Сталин собственноручно подписал постановление ГКО №1110сс, согласно которому КВ-8 приняли на вооружение Красной Армии. Уже в январе 1942 года ожидалось получить первые 10 танков, а в феврале 50. (22806).</w:t>
      </w:r>
    </w:p>
    <w:p w14:paraId="3EBC3451" w14:textId="77777777" w:rsidR="0032416F" w:rsidRPr="008127F8" w:rsidRDefault="0032416F" w:rsidP="001E0A84">
      <w:pPr>
        <w:spacing w:after="0" w:line="240" w:lineRule="auto"/>
        <w:jc w:val="both"/>
        <w:rPr>
          <w:rFonts w:ascii="Times New Roman" w:hAnsi="Times New Roman"/>
          <w:color w:val="000000" w:themeColor="text1"/>
          <w:sz w:val="16"/>
          <w:szCs w:val="16"/>
        </w:rPr>
      </w:pPr>
    </w:p>
    <w:p w14:paraId="1274EC79"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 января 1942 года решилась судьба КВ-7. Опытный образец машины отправили в Москву, 5 января 1942 года прошли испытания, проходившие на полигоне эвакуированного завода №8. На испытаниях присутствовало руководство НКО, НКТП и других ведомств. В ходе стрельбы с места только с третьего залпа удалось добиться выстрела сразу из трех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получилась примерно на уровне обычных танков, но сама по себе идея залпового огня оказалась под вопросом. Дело в том, что за 34 секунды 76-мм пушка Ф-34 успевала сделать 3 выстрела, а 45-мм танковые пушки – по 5 выстрелов.</w:t>
      </w:r>
    </w:p>
    <w:p w14:paraId="2AA08C0A" w14:textId="77777777" w:rsidR="000F2D49" w:rsidRPr="008A2E5A" w:rsidRDefault="000F2D49" w:rsidP="000F2D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Испытания четко показали, что строенная установка является плохой идеей. Не говоря о том, что сама установка У-13 имела ряд недостатков. Инженеры Обухов и Кивалин, проводившие ее изучение, указывали на то, что прицельные приспособления оказались выполнены с рядом недочетов. Впрочем, на этом работы по КВ-7 отнюдь не закончились. Комиссия, присутствовавшая на испытаниях, предложила переделка КВ-7, поставив, вместо 3 пушек разного калибра, 2 орудия калибра 76 мм (23551).</w:t>
      </w:r>
    </w:p>
    <w:p w14:paraId="6C292A4E" w14:textId="77777777" w:rsidR="000F2D49" w:rsidRPr="008A2E5A" w:rsidRDefault="000F2D49" w:rsidP="000F2D49">
      <w:pPr>
        <w:spacing w:after="0" w:line="240" w:lineRule="auto"/>
        <w:jc w:val="both"/>
        <w:rPr>
          <w:rFonts w:ascii="Times New Roman" w:hAnsi="Times New Roman"/>
          <w:color w:val="0070C0"/>
          <w:sz w:val="16"/>
          <w:szCs w:val="16"/>
        </w:rPr>
      </w:pPr>
    </w:p>
    <w:p w14:paraId="752862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 г. НКО передал НКТП для работы на его заводах 13 тыс. человек из числа военнообязанных (РГАЭ, ф. 8752, on. 1, д. 24, л. 14.). Наркомат обороны помогал НКТП и в дальнейшем: так, например, 13 мая 1942 г. заместитель наркома обороны Е.А. Щаденко выделил для НКТП 14.5 тыс. военнослужащих, выписывающихся из госпиталей (РГАЭ, ф. 8752, on. 1, д. 24, л. 14.). Однако их квалификация была низкой. В свою очередь, руководство НКТП решило максимально сократить число вспомогательных рабочих, служащих и ИТР. Определенное представление о том, из каких источников пополнялись ряды рабочих предприятий НКТН, могут дать сведения по заводу № 183. Эвакуировано из Харькова было 2.5 тыс. человек. В Нижнем Тагиле к ним присоединилось 6 234 производственных и 5813 вспомогательных рабочих с Уральского вагоностроительного завода. 550 рабочих прибыли из Мариуполя и других мест. В 1942 г. были приняты на работу еще 25 064 человека. Самым массовым источником пополнения рабочей силы оказались стройтрудколонны. Это были формирования Наркомата обороны, состоявшие из военнообязанных, признанных непригодными к использованию в других частях, в том числе и по национальному признаку (Работников стройтрудколонны нельзя отождествлять, как это теперь часто делается, с узниками ГУЛАГа. Стройтрудколонны в составе промышленных наркоматов просуществовали недолго. На основании постановлений ГКО от 21 марта и 3 апреля их расформировали,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294669C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D550E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был утвержден акт испытаний КВ с огнеметом АТО-41 со 107 патронами и 980 л огнесмеси (5219, 32).</w:t>
      </w:r>
    </w:p>
    <w:p w14:paraId="131CECFB" w14:textId="77777777" w:rsidR="00D4651C" w:rsidRPr="008127F8" w:rsidRDefault="00D4651C" w:rsidP="001E0A84">
      <w:pPr>
        <w:pStyle w:val="Iauiue"/>
        <w:jc w:val="both"/>
        <w:rPr>
          <w:color w:val="000000" w:themeColor="text1"/>
          <w:sz w:val="16"/>
          <w:szCs w:val="16"/>
        </w:rPr>
      </w:pPr>
    </w:p>
    <w:p w14:paraId="57BC08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1942 вышло Постановление ГКО № 1108 О заводе № 92. РГАНИР, Фонд ГКО, д. 18, лл. 159 (11012).</w:t>
      </w:r>
    </w:p>
    <w:p w14:paraId="63AEC78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329940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января</w:t>
      </w:r>
      <w:r w:rsidRPr="008127F8">
        <w:rPr>
          <w:rFonts w:ascii="Times New Roman" w:hAnsi="Times New Roman"/>
          <w:color w:val="000000" w:themeColor="text1"/>
          <w:sz w:val="16"/>
          <w:szCs w:val="16"/>
        </w:rPr>
        <w:t xml:space="preserve"> в 1942 году мебельная фабрика Златоста выпустила первую партию лыж для бойцов Красной Армии (15000).</w:t>
      </w:r>
    </w:p>
    <w:p w14:paraId="2D20D8C4"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602893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года была подготовлена справка:</w:t>
      </w:r>
    </w:p>
    <w:p w14:paraId="0FA4B82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Устав завода № 526 НКВ (9276).</w:t>
      </w:r>
    </w:p>
    <w:p w14:paraId="3D390D07" w14:textId="77777777" w:rsidR="00D4651C" w:rsidRPr="008127F8" w:rsidRDefault="00D4651C" w:rsidP="001E0A84">
      <w:pPr>
        <w:pStyle w:val="Iauiue"/>
        <w:jc w:val="both"/>
        <w:rPr>
          <w:color w:val="000000" w:themeColor="text1"/>
          <w:sz w:val="16"/>
          <w:szCs w:val="16"/>
        </w:rPr>
      </w:pPr>
    </w:p>
    <w:p w14:paraId="50B5981D"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619970D1" w14:textId="77777777" w:rsidR="00D4651C" w:rsidRPr="008127F8" w:rsidRDefault="00D4651C" w:rsidP="001E0A84">
      <w:pPr>
        <w:pStyle w:val="Iauiue"/>
        <w:jc w:val="both"/>
        <w:rPr>
          <w:iCs/>
          <w:color w:val="000000" w:themeColor="text1"/>
          <w:sz w:val="16"/>
          <w:szCs w:val="16"/>
        </w:rPr>
      </w:pPr>
    </w:p>
    <w:p w14:paraId="5689EB6C"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rPr>
        <w:t xml:space="preserve">5 января 1942 71 морская стрелковая бригада стала первой гвардейской морской частью </w:t>
      </w:r>
      <w:r w:rsidRPr="008127F8">
        <w:rPr>
          <w:color w:val="000000" w:themeColor="text1"/>
          <w:sz w:val="16"/>
          <w:szCs w:val="16"/>
          <w:lang w:val="en-US"/>
        </w:rPr>
        <w:t>(3398,12).</w:t>
      </w:r>
    </w:p>
    <w:p w14:paraId="041984DA" w14:textId="77777777" w:rsidR="00D4651C" w:rsidRPr="008127F8" w:rsidRDefault="00D4651C" w:rsidP="001E0A84">
      <w:pPr>
        <w:pStyle w:val="Iauiue"/>
        <w:jc w:val="both"/>
        <w:rPr>
          <w:color w:val="000000" w:themeColor="text1"/>
          <w:sz w:val="16"/>
          <w:szCs w:val="16"/>
          <w:lang w:val="en-US"/>
        </w:rPr>
      </w:pPr>
    </w:p>
    <w:p w14:paraId="620A40E9" w14:textId="77777777" w:rsidR="00D4651C" w:rsidRPr="00275956" w:rsidRDefault="00D4651C" w:rsidP="001E0A84">
      <w:pPr>
        <w:pStyle w:val="Iauiue"/>
        <w:jc w:val="both"/>
        <w:rPr>
          <w:color w:val="000000" w:themeColor="text1"/>
          <w:sz w:val="16"/>
          <w:szCs w:val="16"/>
          <w:lang w:val="en-US"/>
        </w:rPr>
      </w:pPr>
      <w:r w:rsidRPr="008127F8">
        <w:rPr>
          <w:color w:val="000000" w:themeColor="text1"/>
          <w:sz w:val="16"/>
          <w:szCs w:val="16"/>
          <w:lang w:val="en-US"/>
        </w:rPr>
        <w:t xml:space="preserve">January 5 1942 Stalin orders new offensive. </w:t>
      </w:r>
      <w:r w:rsidRPr="00275956">
        <w:rPr>
          <w:color w:val="000000" w:themeColor="text1"/>
          <w:sz w:val="16"/>
          <w:szCs w:val="16"/>
          <w:lang w:val="en-US"/>
        </w:rPr>
        <w:t>(1052).</w:t>
      </w:r>
    </w:p>
    <w:p w14:paraId="3E6920CF" w14:textId="77777777" w:rsidR="00D4651C" w:rsidRPr="00275956" w:rsidRDefault="00D4651C" w:rsidP="001E0A84">
      <w:pPr>
        <w:pStyle w:val="Iauiue"/>
        <w:jc w:val="both"/>
        <w:rPr>
          <w:color w:val="000000" w:themeColor="text1"/>
          <w:sz w:val="16"/>
          <w:szCs w:val="16"/>
          <w:lang w:val="en-US"/>
        </w:rPr>
      </w:pPr>
    </w:p>
    <w:p w14:paraId="621C69D5" w14:textId="77777777" w:rsidR="00D4651C" w:rsidRPr="00275956" w:rsidRDefault="00D4651C" w:rsidP="001E0A84">
      <w:pPr>
        <w:pStyle w:val="Iauiue"/>
        <w:jc w:val="both"/>
        <w:rPr>
          <w:color w:val="000000" w:themeColor="text1"/>
          <w:sz w:val="16"/>
          <w:szCs w:val="16"/>
          <w:lang w:val="en-US"/>
        </w:rPr>
      </w:pPr>
      <w:r w:rsidRPr="00275956">
        <w:rPr>
          <w:color w:val="000000" w:themeColor="text1"/>
          <w:sz w:val="16"/>
          <w:szCs w:val="16"/>
          <w:lang w:val="en-US"/>
        </w:rPr>
        <w:t xml:space="preserve">5 </w:t>
      </w:r>
      <w:r w:rsidRPr="008127F8">
        <w:rPr>
          <w:color w:val="000000" w:themeColor="text1"/>
          <w:sz w:val="16"/>
          <w:szCs w:val="16"/>
        </w:rPr>
        <w:t>января</w:t>
      </w:r>
      <w:r w:rsidRPr="00275956">
        <w:rPr>
          <w:color w:val="000000" w:themeColor="text1"/>
          <w:sz w:val="16"/>
          <w:szCs w:val="16"/>
          <w:lang w:val="en-US"/>
        </w:rPr>
        <w:t xml:space="preserve"> 1942 </w:t>
      </w:r>
      <w:r w:rsidRPr="008127F8">
        <w:rPr>
          <w:color w:val="000000" w:themeColor="text1"/>
          <w:sz w:val="16"/>
          <w:szCs w:val="16"/>
        </w:rPr>
        <w:t>И</w:t>
      </w:r>
      <w:r w:rsidRPr="00275956">
        <w:rPr>
          <w:color w:val="000000" w:themeColor="text1"/>
          <w:sz w:val="16"/>
          <w:szCs w:val="16"/>
          <w:lang w:val="en-US"/>
        </w:rPr>
        <w:t>.</w:t>
      </w:r>
      <w:r w:rsidRPr="008127F8">
        <w:rPr>
          <w:color w:val="000000" w:themeColor="text1"/>
          <w:sz w:val="16"/>
          <w:szCs w:val="16"/>
        </w:rPr>
        <w:t>В</w:t>
      </w:r>
      <w:r w:rsidRPr="00275956">
        <w:rPr>
          <w:color w:val="000000" w:themeColor="text1"/>
          <w:sz w:val="16"/>
          <w:szCs w:val="16"/>
          <w:lang w:val="en-US"/>
        </w:rPr>
        <w:t>.</w:t>
      </w:r>
      <w:r w:rsidRPr="008127F8">
        <w:rPr>
          <w:color w:val="000000" w:themeColor="text1"/>
          <w:sz w:val="16"/>
          <w:szCs w:val="16"/>
        </w:rPr>
        <w:t>С</w:t>
      </w:r>
      <w:r w:rsidRPr="00275956">
        <w:rPr>
          <w:color w:val="000000" w:themeColor="text1"/>
          <w:sz w:val="16"/>
          <w:szCs w:val="16"/>
          <w:lang w:val="en-US"/>
        </w:rPr>
        <w:t xml:space="preserve">. </w:t>
      </w:r>
      <w:r w:rsidRPr="008127F8">
        <w:rPr>
          <w:color w:val="000000" w:themeColor="text1"/>
          <w:sz w:val="16"/>
          <w:szCs w:val="16"/>
        </w:rPr>
        <w:t>издал</w:t>
      </w:r>
      <w:r w:rsidRPr="00275956">
        <w:rPr>
          <w:color w:val="000000" w:themeColor="text1"/>
          <w:sz w:val="16"/>
          <w:szCs w:val="16"/>
          <w:lang w:val="en-US"/>
        </w:rPr>
        <w:t xml:space="preserve"> </w:t>
      </w:r>
      <w:r w:rsidRPr="008127F8">
        <w:rPr>
          <w:color w:val="000000" w:themeColor="text1"/>
          <w:sz w:val="16"/>
          <w:szCs w:val="16"/>
        </w:rPr>
        <w:t>приказ</w:t>
      </w:r>
      <w:r w:rsidRPr="00275956">
        <w:rPr>
          <w:color w:val="000000" w:themeColor="text1"/>
          <w:sz w:val="16"/>
          <w:szCs w:val="16"/>
          <w:lang w:val="en-US"/>
        </w:rPr>
        <w:t xml:space="preserve"> </w:t>
      </w:r>
      <w:r w:rsidRPr="008127F8">
        <w:rPr>
          <w:color w:val="000000" w:themeColor="text1"/>
          <w:sz w:val="16"/>
          <w:szCs w:val="16"/>
        </w:rPr>
        <w:t>о</w:t>
      </w:r>
      <w:r w:rsidRPr="00275956">
        <w:rPr>
          <w:color w:val="000000" w:themeColor="text1"/>
          <w:sz w:val="16"/>
          <w:szCs w:val="16"/>
          <w:lang w:val="en-US"/>
        </w:rPr>
        <w:t xml:space="preserve"> </w:t>
      </w:r>
      <w:r w:rsidRPr="008127F8">
        <w:rPr>
          <w:color w:val="000000" w:themeColor="text1"/>
          <w:sz w:val="16"/>
          <w:szCs w:val="16"/>
        </w:rPr>
        <w:t>новом</w:t>
      </w:r>
      <w:r w:rsidRPr="00275956">
        <w:rPr>
          <w:color w:val="000000" w:themeColor="text1"/>
          <w:sz w:val="16"/>
          <w:szCs w:val="16"/>
          <w:lang w:val="en-US"/>
        </w:rPr>
        <w:t xml:space="preserve"> </w:t>
      </w:r>
      <w:r w:rsidRPr="008127F8">
        <w:rPr>
          <w:color w:val="000000" w:themeColor="text1"/>
          <w:sz w:val="16"/>
          <w:szCs w:val="16"/>
        </w:rPr>
        <w:t>наступлении</w:t>
      </w:r>
      <w:r w:rsidRPr="00275956">
        <w:rPr>
          <w:color w:val="000000" w:themeColor="text1"/>
          <w:sz w:val="16"/>
          <w:szCs w:val="16"/>
          <w:lang w:val="en-US"/>
        </w:rPr>
        <w:t xml:space="preserve"> (1052).</w:t>
      </w:r>
    </w:p>
    <w:p w14:paraId="7714F8E7" w14:textId="77777777" w:rsidR="00D4651C" w:rsidRPr="00275956" w:rsidRDefault="00D4651C" w:rsidP="001E0A84">
      <w:pPr>
        <w:pStyle w:val="Iauiue"/>
        <w:jc w:val="both"/>
        <w:rPr>
          <w:color w:val="000000" w:themeColor="text1"/>
          <w:sz w:val="16"/>
          <w:szCs w:val="16"/>
          <w:lang w:val="en-US"/>
        </w:rPr>
      </w:pPr>
    </w:p>
    <w:p w14:paraId="7A9D9EAA"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5, 1942: German forces in the Crimea repulse a Soviet landing at Eupatoria (3819).</w:t>
      </w:r>
    </w:p>
    <w:p w14:paraId="0BDCDD91" w14:textId="77777777" w:rsidR="00D4651C" w:rsidRPr="008127F8" w:rsidRDefault="00D4651C" w:rsidP="001E0A84">
      <w:pPr>
        <w:pStyle w:val="Iauiue"/>
        <w:jc w:val="both"/>
        <w:rPr>
          <w:color w:val="000000" w:themeColor="text1"/>
          <w:sz w:val="16"/>
          <w:szCs w:val="16"/>
          <w:lang w:val="en-US"/>
        </w:rPr>
      </w:pPr>
    </w:p>
    <w:p w14:paraId="332CB6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немцы отбили десант в Евпатории (3819).</w:t>
      </w:r>
    </w:p>
    <w:p w14:paraId="5558A664" w14:textId="77777777" w:rsidR="00D4651C" w:rsidRPr="008127F8" w:rsidRDefault="00D4651C" w:rsidP="001E0A84">
      <w:pPr>
        <w:pStyle w:val="Iauiue"/>
        <w:jc w:val="both"/>
        <w:rPr>
          <w:color w:val="000000" w:themeColor="text1"/>
          <w:sz w:val="16"/>
          <w:szCs w:val="16"/>
        </w:rPr>
      </w:pPr>
    </w:p>
    <w:p w14:paraId="44F42E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состоялся Евпаторийский десант с целью отвлечения противника от Севастополя. 700 чел. овладели городом, но 8 января их разбили (2438,224).</w:t>
      </w:r>
    </w:p>
    <w:p w14:paraId="66B484ED" w14:textId="77777777" w:rsidR="00D4651C" w:rsidRPr="008127F8" w:rsidRDefault="00D4651C" w:rsidP="001E0A84">
      <w:pPr>
        <w:pStyle w:val="Iauiue"/>
        <w:jc w:val="both"/>
        <w:rPr>
          <w:color w:val="000000" w:themeColor="text1"/>
          <w:sz w:val="16"/>
          <w:szCs w:val="16"/>
        </w:rPr>
      </w:pPr>
    </w:p>
    <w:p w14:paraId="365C6E1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ночь с 5 на б января 1942 г. ТКА №111 “попал в плен” у Евпатории при попытке снабдить боеприпасами поддерживавший огнем евпаторийский десант. Не сумев с сняться с мели, 7 января 1942 ТКА № 111 был захвачен врагом. Но возможно, что 111-й оказался на берегу не случайно, а выбросился вполне целенаправленно - из-за ранее полученных повреждений. Так или иначе, но спустя непродолжительное время его сняли с мели саперы вермахта (6002).</w:t>
      </w:r>
    </w:p>
    <w:p w14:paraId="12F9053C" w14:textId="77777777" w:rsidR="00D4651C" w:rsidRPr="008127F8" w:rsidRDefault="00D4651C" w:rsidP="001E0A84">
      <w:pPr>
        <w:pStyle w:val="Iauiue"/>
        <w:jc w:val="both"/>
        <w:rPr>
          <w:color w:val="000000" w:themeColor="text1"/>
          <w:sz w:val="16"/>
          <w:szCs w:val="16"/>
        </w:rPr>
      </w:pPr>
    </w:p>
    <w:p w14:paraId="764A993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января</w:t>
      </w:r>
      <w:r w:rsidRPr="008127F8">
        <w:rPr>
          <w:rFonts w:ascii="Times New Roman" w:hAnsi="Times New Roman"/>
          <w:color w:val="000000" w:themeColor="text1"/>
          <w:sz w:val="16"/>
          <w:szCs w:val="16"/>
        </w:rPr>
        <w:t xml:space="preserve"> в 1942 году Евпаторийский тактический морской десант высаживается с целью отвлечь силы противника от осажденного Севастополя и Керченского полуострова. Евпаторийский десант состоял из усиленного батальона морской пехоты (700 человек под командованием капитана Г.К.Бузинова). Перевозку его осуществлял отряд кораблей Черноморского флота (базовый тральщик «Взрыватель», 7 сторожевых катеров типа «МО-IV» и морской буксир «СП-14» под командованием капитана 2-го ранга Н.В.Буслаева), который вышел из Севастополя 4 января в 23 ч 30 мин и за время с 3 до 6 ч утра 5 января произвёл высадку десанта. Десантники овладели южной частью города. Противник направил против них из-под Севастополя пехотный полк, 2 батальона и несколько батарей. Штормовая погода помешала оказать помощь десантникам. 3 дня они сражались с превосходящими силами врага. Одновременно в городе вспыхнуло восстание, в котором участвовала часть населения города и прибывшие на подмогу партизаны. Из семисот десантников осталось в живых меньше сотни. Евпаторийский десант отвлёк часть сил противника от Севастополя, а также способствовал закреплению успеха советских войск на Керченском полуострове. Завершив ликвидацию десанта, немцы расстреляли на Красной Горке в Евпатории 12 640 стариков, женщин, детей и раненых советских моряков (15000).</w:t>
      </w:r>
    </w:p>
    <w:p w14:paraId="26E42188"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18E7166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74525503" w14:textId="77777777" w:rsidR="00D4651C" w:rsidRPr="008127F8" w:rsidRDefault="00D4651C" w:rsidP="001E0A84">
      <w:pPr>
        <w:pStyle w:val="Iauiue"/>
        <w:jc w:val="both"/>
        <w:rPr>
          <w:iCs/>
          <w:color w:val="000000" w:themeColor="text1"/>
          <w:sz w:val="16"/>
          <w:szCs w:val="16"/>
        </w:rPr>
      </w:pPr>
    </w:p>
    <w:p w14:paraId="159442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года было получено:</w:t>
      </w:r>
    </w:p>
    <w:p w14:paraId="73D1F1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 ЧЕРЧИЛЛЬ И. В. СТАЛИНУ *</w:t>
      </w:r>
    </w:p>
    <w:p w14:paraId="5821303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Я был весьма озабочен, прочитав в американской прессе статью, напечатанную в “Правде” от 31 декабря</w:t>
      </w:r>
      <w:r w:rsidRPr="008127F8">
        <w:rPr>
          <w:color w:val="000000" w:themeColor="text1"/>
          <w:sz w:val="16"/>
          <w:szCs w:val="16"/>
          <w:vertAlign w:val="superscript"/>
        </w:rPr>
        <w:t>13,</w:t>
      </w:r>
      <w:r w:rsidRPr="008127F8">
        <w:rPr>
          <w:color w:val="000000" w:themeColor="text1"/>
          <w:sz w:val="16"/>
          <w:szCs w:val="16"/>
        </w:rPr>
        <w:t xml:space="preserve"> так как предполагается, что такие статьи получают одобрение Русского Правительства. Я полагаю, что Вы разрешите мне указать Вам на очень большую опасность, которая может возникнуть в Соединенных Штатах в результате продолжения подобной критики. С первого же дня нацистского нападения на Вашу страну я трудился, чтобы получить всю возможную поддержку для Советской России в Соединенных Штатах, и поэтому я позволю себе послать Вам эти сугубо личные и сугубо дружественные замечания.</w:t>
      </w:r>
    </w:p>
    <w:p w14:paraId="0C4393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vertAlign w:val="superscript"/>
        </w:rPr>
        <w:t>13</w:t>
      </w:r>
      <w:r w:rsidRPr="008127F8">
        <w:rPr>
          <w:color w:val="000000" w:themeColor="text1"/>
          <w:sz w:val="16"/>
          <w:szCs w:val="16"/>
        </w:rPr>
        <w:t xml:space="preserve"> В письме заместителю народного комиссара иностранных дел СССР А. Я. Вышинскому от 5 января 1942 г. английский посол в СССР Криппс сообщил, что в послании Черчилля имеется в виду статья Д. Заславского “Петэновские методы на Филиппинах”. Эта статья была опубликована в “Правде” 30 декабря 1941 г. (а не 31 декабря, как это указано в публикуемом послании Черчилля) (7430).</w:t>
      </w:r>
    </w:p>
    <w:p w14:paraId="177EC0CA" w14:textId="77777777" w:rsidR="00D4651C" w:rsidRPr="008127F8" w:rsidRDefault="00D4651C" w:rsidP="001E0A84">
      <w:pPr>
        <w:pStyle w:val="Iauiue"/>
        <w:jc w:val="both"/>
        <w:rPr>
          <w:color w:val="000000" w:themeColor="text1"/>
          <w:sz w:val="16"/>
          <w:szCs w:val="16"/>
        </w:rPr>
      </w:pPr>
    </w:p>
    <w:p w14:paraId="74B6C1B2"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2231D256" w14:textId="77777777" w:rsidR="00D4651C" w:rsidRPr="008127F8" w:rsidRDefault="00D4651C" w:rsidP="001E0A84">
      <w:pPr>
        <w:pStyle w:val="Iauiue"/>
        <w:jc w:val="both"/>
        <w:rPr>
          <w:iCs/>
          <w:color w:val="000000" w:themeColor="text1"/>
          <w:sz w:val="16"/>
          <w:szCs w:val="16"/>
        </w:rPr>
      </w:pPr>
    </w:p>
    <w:p w14:paraId="6C5EEC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японцы высадились на западном побережье Малайзии (2261).</w:t>
      </w:r>
    </w:p>
    <w:p w14:paraId="10ABAFD4" w14:textId="77777777" w:rsidR="00D4651C" w:rsidRPr="008127F8" w:rsidRDefault="00D4651C" w:rsidP="001E0A84">
      <w:pPr>
        <w:pStyle w:val="Iauiue"/>
        <w:jc w:val="both"/>
        <w:rPr>
          <w:color w:val="000000" w:themeColor="text1"/>
          <w:sz w:val="16"/>
          <w:szCs w:val="16"/>
        </w:rPr>
      </w:pPr>
    </w:p>
    <w:p w14:paraId="25850400"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05 1942 Rubber rationing begins in the United States (1242).</w:t>
      </w:r>
    </w:p>
    <w:p w14:paraId="7AF73F60" w14:textId="77777777" w:rsidR="00D4651C" w:rsidRPr="008127F8" w:rsidRDefault="00D4651C" w:rsidP="001E0A84">
      <w:pPr>
        <w:pStyle w:val="Iauiue"/>
        <w:jc w:val="both"/>
        <w:rPr>
          <w:color w:val="000000" w:themeColor="text1"/>
          <w:sz w:val="16"/>
          <w:szCs w:val="16"/>
          <w:lang w:val="en-US"/>
        </w:rPr>
      </w:pPr>
    </w:p>
    <w:p w14:paraId="7A473B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в США были введены ограничения на продажу резины (1242).</w:t>
      </w:r>
    </w:p>
    <w:p w14:paraId="19CB90DD" w14:textId="77777777" w:rsidR="00D4651C" w:rsidRPr="008127F8" w:rsidRDefault="00D4651C" w:rsidP="001E0A84">
      <w:pPr>
        <w:pStyle w:val="Iauiue"/>
        <w:jc w:val="both"/>
        <w:rPr>
          <w:color w:val="000000" w:themeColor="text1"/>
          <w:sz w:val="16"/>
          <w:szCs w:val="16"/>
        </w:rPr>
      </w:pPr>
    </w:p>
    <w:p w14:paraId="318121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января 1942 в Польше была образована ПРП (3186).</w:t>
      </w:r>
    </w:p>
    <w:p w14:paraId="41F347C5" w14:textId="77777777" w:rsidR="00D4651C" w:rsidRPr="008127F8" w:rsidRDefault="00D4651C" w:rsidP="001E0A84">
      <w:pPr>
        <w:pStyle w:val="Iauiue"/>
        <w:jc w:val="both"/>
        <w:rPr>
          <w:color w:val="000000" w:themeColor="text1"/>
          <w:sz w:val="16"/>
          <w:szCs w:val="16"/>
        </w:rPr>
      </w:pPr>
    </w:p>
    <w:p w14:paraId="2D15323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января</w:t>
      </w:r>
      <w:r w:rsidRPr="008127F8">
        <w:rPr>
          <w:rFonts w:ascii="Times New Roman" w:hAnsi="Times New Roman"/>
          <w:color w:val="000000" w:themeColor="text1"/>
          <w:sz w:val="16"/>
          <w:szCs w:val="16"/>
        </w:rPr>
        <w:t xml:space="preserve"> в 1942 году образование Польской рабочей партии (15000).</w:t>
      </w:r>
    </w:p>
    <w:p w14:paraId="21339C01"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53F4A52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6B70E4B7" w14:textId="77777777" w:rsidR="00D4651C" w:rsidRPr="008127F8" w:rsidRDefault="00D4651C" w:rsidP="001E0A84">
      <w:pPr>
        <w:pStyle w:val="Iauiue"/>
        <w:jc w:val="both"/>
        <w:rPr>
          <w:iCs/>
          <w:color w:val="000000" w:themeColor="text1"/>
          <w:sz w:val="16"/>
          <w:szCs w:val="16"/>
        </w:rPr>
      </w:pPr>
    </w:p>
    <w:p w14:paraId="650343F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января 1942 вышел приказ НКАП N 15сс</w:t>
      </w:r>
    </w:p>
    <w:p w14:paraId="4953C5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"ГКО постановлением от 3 января 1942 N ГКО-1094сс принял к сведению заявление ГК самолета А.Н.Т., что самолет 103 с М-82 имеет преимущества перед самолетом 103 с мотором АМ-37... и обязал поставить серийное производство самолета 103 с М-82 на заводе 22 в Казани.</w:t>
      </w:r>
    </w:p>
    <w:p w14:paraId="2DD19C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исполнение постановления ГКО:</w:t>
      </w:r>
    </w:p>
    <w:p w14:paraId="5D6769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p w14:paraId="6353DB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к 20 января 1942 организовать в Казани на заводе 22 КБ по самолету 103</w:t>
      </w:r>
    </w:p>
    <w:p w14:paraId="2305B2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Руководство КБ по самолету 103 возложить на ГК самолета 103 А.Н.Т. с постоянным нахождением ГК на заводе 22</w:t>
      </w:r>
    </w:p>
    <w:p w14:paraId="2C94D3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А.Н.Т. выделить постоянного заместителя по КБ завода 166</w:t>
      </w:r>
    </w:p>
    <w:p w14:paraId="6470F5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 Запуск самолета 103 в серийное производство на заводе 22 осуществить с 15 марта 1942 с запуском отдельных деталей и узлов с 1 марта 1942</w:t>
      </w:r>
    </w:p>
    <w:p w14:paraId="5C88468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ГКО установил, что в настоящее время завод 22 развивает на полную мощность производство самолетов Пе-2 и по мере внедрения в серийное производство самолета 103, производство самолета Пе-2 на заводе 22 прекращается.</w:t>
      </w:r>
    </w:p>
    <w:p w14:paraId="7305DC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 Увеличить выполнение программы завода 22 по производству самолетов 103 и Пе-2, начиная с июня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tblGrid>
      <w:tr w:rsidR="006F4095" w:rsidRPr="008127F8" w14:paraId="20D2A172" w14:textId="77777777">
        <w:tc>
          <w:tcPr>
            <w:tcW w:w="1409" w:type="dxa"/>
            <w:tcBorders>
              <w:top w:val="single" w:sz="12" w:space="0" w:color="auto"/>
            </w:tcBorders>
          </w:tcPr>
          <w:p w14:paraId="42F6085C" w14:textId="77777777" w:rsidR="00D4651C" w:rsidRPr="008127F8" w:rsidRDefault="00D4651C" w:rsidP="001E0A84">
            <w:pPr>
              <w:pStyle w:val="Iauiue"/>
              <w:jc w:val="both"/>
              <w:rPr>
                <w:color w:val="000000" w:themeColor="text1"/>
                <w:sz w:val="16"/>
                <w:szCs w:val="16"/>
              </w:rPr>
            </w:pPr>
          </w:p>
        </w:tc>
        <w:tc>
          <w:tcPr>
            <w:tcW w:w="1409" w:type="dxa"/>
            <w:tcBorders>
              <w:top w:val="single" w:sz="12" w:space="0" w:color="auto"/>
            </w:tcBorders>
          </w:tcPr>
          <w:p w14:paraId="73AB8CC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Пе-2</w:t>
            </w:r>
          </w:p>
        </w:tc>
        <w:tc>
          <w:tcPr>
            <w:tcW w:w="1409" w:type="dxa"/>
            <w:tcBorders>
              <w:top w:val="single" w:sz="12" w:space="0" w:color="auto"/>
            </w:tcBorders>
          </w:tcPr>
          <w:p w14:paraId="1743D86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103</w:t>
            </w:r>
          </w:p>
        </w:tc>
      </w:tr>
      <w:tr w:rsidR="006F4095" w:rsidRPr="008127F8" w14:paraId="4169C39E" w14:textId="77777777">
        <w:tc>
          <w:tcPr>
            <w:tcW w:w="1409" w:type="dxa"/>
          </w:tcPr>
          <w:p w14:paraId="4B884F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июнь</w:t>
            </w:r>
          </w:p>
        </w:tc>
        <w:tc>
          <w:tcPr>
            <w:tcW w:w="1409" w:type="dxa"/>
          </w:tcPr>
          <w:p w14:paraId="47669C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1409" w:type="dxa"/>
          </w:tcPr>
          <w:p w14:paraId="4690F09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w:t>
            </w:r>
          </w:p>
        </w:tc>
      </w:tr>
      <w:tr w:rsidR="006F4095" w:rsidRPr="008127F8" w14:paraId="78B4C208" w14:textId="77777777">
        <w:tc>
          <w:tcPr>
            <w:tcW w:w="1409" w:type="dxa"/>
          </w:tcPr>
          <w:p w14:paraId="11824F2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август</w:t>
            </w:r>
          </w:p>
        </w:tc>
        <w:tc>
          <w:tcPr>
            <w:tcW w:w="1409" w:type="dxa"/>
          </w:tcPr>
          <w:p w14:paraId="4F2455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125</w:t>
            </w:r>
          </w:p>
        </w:tc>
        <w:tc>
          <w:tcPr>
            <w:tcW w:w="1409" w:type="dxa"/>
          </w:tcPr>
          <w:p w14:paraId="3FFD6FB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w:t>
            </w:r>
          </w:p>
        </w:tc>
      </w:tr>
      <w:tr w:rsidR="006F4095" w:rsidRPr="008127F8" w14:paraId="5574C9A6" w14:textId="77777777">
        <w:tc>
          <w:tcPr>
            <w:tcW w:w="1409" w:type="dxa"/>
          </w:tcPr>
          <w:p w14:paraId="4984B0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октябрь</w:t>
            </w:r>
          </w:p>
        </w:tc>
        <w:tc>
          <w:tcPr>
            <w:tcW w:w="1409" w:type="dxa"/>
          </w:tcPr>
          <w:p w14:paraId="026D777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1409" w:type="dxa"/>
          </w:tcPr>
          <w:p w14:paraId="3C8BAC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70</w:t>
            </w:r>
          </w:p>
        </w:tc>
      </w:tr>
      <w:tr w:rsidR="00687FE2" w:rsidRPr="008127F8" w14:paraId="63937EB2" w14:textId="77777777">
        <w:tc>
          <w:tcPr>
            <w:tcW w:w="1409" w:type="dxa"/>
            <w:tcBorders>
              <w:bottom w:val="single" w:sz="12" w:space="0" w:color="auto"/>
            </w:tcBorders>
          </w:tcPr>
          <w:p w14:paraId="7C68CA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декабрь</w:t>
            </w:r>
          </w:p>
        </w:tc>
        <w:tc>
          <w:tcPr>
            <w:tcW w:w="1409" w:type="dxa"/>
            <w:tcBorders>
              <w:bottom w:val="single" w:sz="12" w:space="0" w:color="auto"/>
            </w:tcBorders>
          </w:tcPr>
          <w:p w14:paraId="5B3A2B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w:t>
            </w:r>
          </w:p>
        </w:tc>
        <w:tc>
          <w:tcPr>
            <w:tcW w:w="1409" w:type="dxa"/>
            <w:tcBorders>
              <w:bottom w:val="single" w:sz="12" w:space="0" w:color="auto"/>
            </w:tcBorders>
          </w:tcPr>
          <w:p w14:paraId="61B479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 (1527,91)</w:t>
            </w:r>
          </w:p>
        </w:tc>
      </w:tr>
    </w:tbl>
    <w:p w14:paraId="2C705040" w14:textId="77777777" w:rsidR="00D4651C" w:rsidRPr="008127F8" w:rsidRDefault="00D4651C" w:rsidP="001E0A84">
      <w:pPr>
        <w:pStyle w:val="Iauiue"/>
        <w:jc w:val="both"/>
        <w:rPr>
          <w:iCs/>
          <w:color w:val="000000" w:themeColor="text1"/>
          <w:sz w:val="16"/>
          <w:szCs w:val="16"/>
        </w:rPr>
      </w:pPr>
    </w:p>
    <w:p w14:paraId="6BC37C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января 1942 г. вышел приказ НКАП о подготовке к серийному производству будущего Ту-2 в варианте "103-В" на заводе № 22 в Казани. Но предприятие так и не выпустило ни одной машины. Более того, спустя три месяца, 6 марта, это постановление отменили. Первым же предприятием, приступившим к серийному строительству Ту-2, стал завод № 166 в Омске, но </w:t>
      </w:r>
      <w:proofErr w:type="gramStart"/>
      <w:r w:rsidRPr="008127F8">
        <w:rPr>
          <w:rFonts w:ascii="Times New Roman" w:hAnsi="Times New Roman"/>
          <w:color w:val="000000" w:themeColor="text1"/>
          <w:sz w:val="16"/>
          <w:szCs w:val="16"/>
        </w:rPr>
        <w:t>не надолго</w:t>
      </w:r>
      <w:proofErr w:type="gramEnd"/>
      <w:r w:rsidRPr="008127F8">
        <w:rPr>
          <w:rFonts w:ascii="Times New Roman" w:hAnsi="Times New Roman"/>
          <w:color w:val="000000" w:themeColor="text1"/>
          <w:sz w:val="16"/>
          <w:szCs w:val="16"/>
        </w:rPr>
        <w:t>. Это потребовало срочной переделки конструкторско-технологической документации под новую винтомоторную установку (12035).</w:t>
      </w:r>
    </w:p>
    <w:p w14:paraId="457B89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серийный самолет, получивший обозначение "103-ВС" ("103ВС") был построен в феврале 1942 г. Серийные бомбардировщики, которым в марте 1942 года присвоили обозначение Ту-2, покидали сборочный цех 166-го завода, но заказчик их не принимал. Лишь в апреле три головные, еще "сырые", но самые лучшие машины передали НИИ ВВС, который тогда находился в эвакуации на аэродроме Кольцово под Свердловском (Екатеринбург), для первого этапа войсковых испытаний, начавшихся в мае. Однако, вопреки ожиданиям, этот этап начался с летных происшествий. Первое из них имело место 23 мая. Машину, пилотировавшуюся Майоровым, на пробеге неожиданно развернуло. Как показало расследование, причиной были тормоза, неравномерно схватывавшие барабаны колес. Спустя три дня произошла вторая (после "103-У") катастрофа, унесшая жизни трех человек, включая командира экипажа Ишенко. Несмотря на то, что остался жив стрелок, разобраться в причинах трагедии так и не смогли.</w:t>
      </w:r>
    </w:p>
    <w:p w14:paraId="2F5E2C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этап войсковых испытаний третьего Ту-2 завершился в июле 1942 г. В итоге, специалисты НИИ ВВС вынесли свой вердикт: "Серийные самолеты Ту-2 &lt;...&gt; по своим летным свойствам, надежности работы моторов и вооружению могут быть использованы в боевой работе...".</w:t>
      </w:r>
    </w:p>
    <w:p w14:paraId="4AD79B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было выявлено множество недостатков от тормозов до силовых установок и оборонительного вооружения, требовавших устранения (12035).</w:t>
      </w:r>
    </w:p>
    <w:p w14:paraId="4C6EFFA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95228C5" w14:textId="77777777" w:rsidR="00E04996" w:rsidRPr="008127F8" w:rsidRDefault="00E0499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года — вышел приказ наркомата авиапромышленности СССР «О подготовке серийного производства самолета “103” на заводе № 22 в г. Казани». В нем, в частности, говорилось, что «ГКО принял к сведению заявление главного конструктора самолета “103” т. Туполева, что самолет “103” с моторами М-82 имеет преимущество перед самолетом “103” с моторами АМ-37… и обязал поставить серийное производство самолета “103” с мотором М-82 на заводе № 22 в Казани… и по мере внедрения в серийное производство самолета “103”, производство самолетов Пе-2 прекратить».</w:t>
      </w:r>
    </w:p>
    <w:p w14:paraId="3FF2E083" w14:textId="77777777" w:rsidR="00E04996" w:rsidRPr="008127F8" w:rsidRDefault="00E0499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как прокомментировал эти действия наркомата историк авиации И. Валеев: «Надо сказать, что к тому времени самолет “103” еще не прошел ни заводских, ни государственных испытаний. Не удалось наладить его серийное производство в Омске, куда были эвакуированы два московских завода № 156 и 81, а также ОКБ Туполева. Тогда как Пе-2 прошел все стадии испытаний, еще перед войной был запущен в производство на трех авиазаводах и массово поставлялся в войска. Какие доводы подтолкнули наркома Шахурина подписать указанный выше приказ, нам никогда не узнать, но человек, поставленный на столь высокий пост, должен был ясно представлять, какую ответственность на себя берет. Чтобы наладить выпуск нового самолета, предстояло провести огромный комплекс подготовительных работ, включая изготовление всей производственной оснастки. И это в тяжелейшее время, когда высококлассных специалистов призвали в армию, потребности фронта не позволяли снизить темп выпуска самолетов, каждая “пешка” [34] была буквально на вес золота, а за срыв плана сдачи Пе-2 все заводоуправление могло оказаться в местах не столь отдаленных» [35].</w:t>
      </w:r>
    </w:p>
    <w:p w14:paraId="639BDE59" w14:textId="77777777" w:rsidR="00E04996" w:rsidRPr="008127F8" w:rsidRDefault="00E0499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после выхода этого приказа в Казань прибыл А.Н. Туполев. И. Валеев приводит свидетельство одной из помощниц В.М. Петлякова, по этическим соображениям не называя ее имени и фамилии: «Когда Туполев с командой появился на заводе, повели они себя, честно сказать, по-хамски, считая, что завод принадлежит уже им. Андрей Николаевич прошел в кабинет к Петлякову, и через плотно закрытую дверь я слышала истерические визги Туполева, он кричал на Владимира Михайловича, чтобы тот убирался с его завода (Вовка, уе…вай с моего завода…). Наоравшись, Туполев ушел, через некоторое время вышел Петляков, он был очень бледный и взволнованный» [36] (18619).</w:t>
      </w:r>
    </w:p>
    <w:p w14:paraId="6DADF796" w14:textId="77777777" w:rsidR="00E04996" w:rsidRPr="008127F8" w:rsidRDefault="00E04996" w:rsidP="001E0A84">
      <w:pPr>
        <w:spacing w:after="0" w:line="240" w:lineRule="auto"/>
        <w:jc w:val="both"/>
        <w:rPr>
          <w:rFonts w:ascii="Times New Roman" w:hAnsi="Times New Roman"/>
          <w:color w:val="000000" w:themeColor="text1"/>
          <w:sz w:val="16"/>
          <w:szCs w:val="16"/>
        </w:rPr>
      </w:pPr>
    </w:p>
    <w:p w14:paraId="2456D3D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января 1942 г. Приказ Наркомата авиационной промышленности СССР «О подготовке серийного производства самолета 103 на заводе № 22 в г. Казани»</w:t>
      </w:r>
    </w:p>
    <w:p w14:paraId="32090CE9"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постановлением от 3 января 1942 г. принял к сведению заявление главного конструктора самолета 103 т. Туполева, что самолет 103 с мотором М-82 имеет преимущества перед самолетом 103 с мотором АМ-37, что видно из следующих расчетных характеристик:</w:t>
      </w:r>
    </w:p>
    <w:p w14:paraId="20411685"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с мотором</w:t>
      </w:r>
      <w:r w:rsidRPr="008A2E5A">
        <w:rPr>
          <w:rFonts w:ascii="Times New Roman" w:hAnsi="Times New Roman"/>
          <w:color w:val="0070C0"/>
          <w:sz w:val="16"/>
          <w:szCs w:val="16"/>
        </w:rPr>
        <w:tab/>
        <w:t>с мотором</w:t>
      </w:r>
    </w:p>
    <w:p w14:paraId="7C09B7EA"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М-82</w:t>
      </w:r>
      <w:r w:rsidRPr="008A2E5A">
        <w:rPr>
          <w:rFonts w:ascii="Times New Roman" w:hAnsi="Times New Roman"/>
          <w:color w:val="0070C0"/>
          <w:sz w:val="16"/>
          <w:szCs w:val="16"/>
        </w:rPr>
        <w:tab/>
        <w:t>АМ-37</w:t>
      </w:r>
    </w:p>
    <w:p w14:paraId="1BE196C7"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w:t>
      </w:r>
      <w:r w:rsidRPr="008A2E5A">
        <w:rPr>
          <w:rFonts w:ascii="Times New Roman" w:hAnsi="Times New Roman"/>
          <w:color w:val="0070C0"/>
          <w:sz w:val="16"/>
          <w:szCs w:val="16"/>
        </w:rPr>
        <w:tab/>
        <w:t>у земли в</w:t>
      </w:r>
      <w:r w:rsidRPr="008A2E5A">
        <w:rPr>
          <w:rFonts w:ascii="Times New Roman" w:hAnsi="Times New Roman"/>
          <w:color w:val="0070C0"/>
          <w:sz w:val="16"/>
          <w:szCs w:val="16"/>
        </w:rPr>
        <w:tab/>
        <w:t>км</w:t>
      </w:r>
      <w:r w:rsidRPr="008A2E5A">
        <w:rPr>
          <w:rFonts w:ascii="Times New Roman" w:hAnsi="Times New Roman"/>
          <w:color w:val="0070C0"/>
          <w:sz w:val="16"/>
          <w:szCs w:val="16"/>
        </w:rPr>
        <w:tab/>
      </w:r>
      <w:r w:rsidRPr="008A2E5A">
        <w:rPr>
          <w:rFonts w:ascii="Times New Roman" w:hAnsi="Times New Roman"/>
          <w:color w:val="0070C0"/>
          <w:sz w:val="16"/>
          <w:szCs w:val="16"/>
        </w:rPr>
        <w:tab/>
        <w:t>470</w:t>
      </w:r>
      <w:r w:rsidRPr="008A2E5A">
        <w:rPr>
          <w:rFonts w:ascii="Times New Roman" w:hAnsi="Times New Roman"/>
          <w:color w:val="0070C0"/>
          <w:sz w:val="16"/>
          <w:szCs w:val="16"/>
        </w:rPr>
        <w:tab/>
        <w:t>470</w:t>
      </w:r>
    </w:p>
    <w:p w14:paraId="3862130E"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3000 м</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541</w:t>
      </w:r>
      <w:r w:rsidRPr="008A2E5A">
        <w:rPr>
          <w:rFonts w:ascii="Times New Roman" w:hAnsi="Times New Roman"/>
          <w:color w:val="0070C0"/>
          <w:sz w:val="16"/>
          <w:szCs w:val="16"/>
        </w:rPr>
        <w:tab/>
        <w:t>521</w:t>
      </w:r>
    </w:p>
    <w:p w14:paraId="2581D3D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6500 м</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576</w:t>
      </w:r>
      <w:r w:rsidRPr="008A2E5A">
        <w:rPr>
          <w:rFonts w:ascii="Times New Roman" w:hAnsi="Times New Roman"/>
          <w:color w:val="0070C0"/>
          <w:sz w:val="16"/>
          <w:szCs w:val="16"/>
        </w:rPr>
        <w:tab/>
        <w:t>580</w:t>
      </w:r>
    </w:p>
    <w:p w14:paraId="00A95540"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7000 м</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570</w:t>
      </w:r>
      <w:r w:rsidRPr="008A2E5A">
        <w:rPr>
          <w:rFonts w:ascii="Times New Roman" w:hAnsi="Times New Roman"/>
          <w:color w:val="0070C0"/>
          <w:sz w:val="16"/>
          <w:szCs w:val="16"/>
        </w:rPr>
        <w:tab/>
        <w:t>590</w:t>
      </w:r>
    </w:p>
    <w:p w14:paraId="7B381FCF"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w:t>
      </w:r>
      <w:r w:rsidRPr="008A2E5A">
        <w:rPr>
          <w:rFonts w:ascii="Times New Roman" w:hAnsi="Times New Roman"/>
          <w:color w:val="0070C0"/>
          <w:sz w:val="16"/>
          <w:szCs w:val="16"/>
        </w:rPr>
        <w:tab/>
        <w:t>максимальная</w:t>
      </w:r>
      <w:r w:rsidRPr="008A2E5A">
        <w:rPr>
          <w:rFonts w:ascii="Times New Roman" w:hAnsi="Times New Roman"/>
          <w:color w:val="0070C0"/>
          <w:sz w:val="16"/>
          <w:szCs w:val="16"/>
        </w:rPr>
        <w:tab/>
      </w:r>
      <w:r w:rsidRPr="008A2E5A">
        <w:rPr>
          <w:rFonts w:ascii="Times New Roman" w:hAnsi="Times New Roman"/>
          <w:color w:val="0070C0"/>
          <w:sz w:val="16"/>
          <w:szCs w:val="16"/>
        </w:rPr>
        <w:tab/>
        <w:t>км</w:t>
      </w:r>
      <w:r w:rsidRPr="008A2E5A">
        <w:rPr>
          <w:rFonts w:ascii="Times New Roman" w:hAnsi="Times New Roman"/>
          <w:color w:val="0070C0"/>
          <w:sz w:val="16"/>
          <w:szCs w:val="16"/>
        </w:rPr>
        <w:tab/>
        <w:t>2400</w:t>
      </w:r>
      <w:r w:rsidRPr="008A2E5A">
        <w:rPr>
          <w:rFonts w:ascii="Times New Roman" w:hAnsi="Times New Roman"/>
          <w:color w:val="0070C0"/>
          <w:sz w:val="16"/>
          <w:szCs w:val="16"/>
        </w:rPr>
        <w:tab/>
        <w:t>1880</w:t>
      </w:r>
    </w:p>
    <w:p w14:paraId="332944CF"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 м</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350</w:t>
      </w:r>
      <w:r w:rsidRPr="008A2E5A">
        <w:rPr>
          <w:rFonts w:ascii="Times New Roman" w:hAnsi="Times New Roman"/>
          <w:color w:val="0070C0"/>
          <w:sz w:val="16"/>
          <w:szCs w:val="16"/>
        </w:rPr>
        <w:tab/>
        <w:t>440</w:t>
      </w:r>
    </w:p>
    <w:p w14:paraId="51417AE9"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w:t>
      </w:r>
      <w:r w:rsidRPr="008A2E5A">
        <w:rPr>
          <w:rFonts w:ascii="Times New Roman" w:hAnsi="Times New Roman"/>
          <w:color w:val="0070C0"/>
          <w:sz w:val="16"/>
          <w:szCs w:val="16"/>
        </w:rPr>
        <w:tab/>
        <w:t>вес кг</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10400</w:t>
      </w:r>
      <w:r w:rsidRPr="008A2E5A">
        <w:rPr>
          <w:rFonts w:ascii="Times New Roman" w:hAnsi="Times New Roman"/>
          <w:color w:val="0070C0"/>
          <w:sz w:val="16"/>
          <w:szCs w:val="16"/>
        </w:rPr>
        <w:tab/>
        <w:t>10800</w:t>
      </w:r>
    </w:p>
    <w:p w14:paraId="581521F2"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r w:rsidRPr="008A2E5A">
        <w:rPr>
          <w:rFonts w:ascii="Times New Roman" w:hAnsi="Times New Roman"/>
          <w:color w:val="0070C0"/>
          <w:sz w:val="16"/>
          <w:szCs w:val="16"/>
        </w:rPr>
        <w:tab/>
        <w:t>мощность</w:t>
      </w:r>
      <w:r w:rsidRPr="008A2E5A">
        <w:rPr>
          <w:rFonts w:ascii="Times New Roman" w:hAnsi="Times New Roman"/>
          <w:color w:val="0070C0"/>
          <w:sz w:val="16"/>
          <w:szCs w:val="16"/>
        </w:rPr>
        <w:tab/>
        <w:t>Л • С •</w:t>
      </w:r>
      <w:r w:rsidRPr="008A2E5A">
        <w:rPr>
          <w:rFonts w:ascii="Times New Roman" w:hAnsi="Times New Roman"/>
          <w:color w:val="0070C0"/>
          <w:sz w:val="16"/>
          <w:szCs w:val="16"/>
        </w:rPr>
        <w:tab/>
      </w:r>
      <w:r w:rsidRPr="008A2E5A">
        <w:rPr>
          <w:rFonts w:ascii="Times New Roman" w:hAnsi="Times New Roman"/>
          <w:color w:val="0070C0"/>
          <w:sz w:val="16"/>
          <w:szCs w:val="16"/>
        </w:rPr>
        <w:tab/>
        <w:t>1700</w:t>
      </w:r>
      <w:r w:rsidRPr="008A2E5A">
        <w:rPr>
          <w:rFonts w:ascii="Times New Roman" w:hAnsi="Times New Roman"/>
          <w:color w:val="0070C0"/>
          <w:sz w:val="16"/>
          <w:szCs w:val="16"/>
        </w:rPr>
        <w:tab/>
        <w:t>1250-1350</w:t>
      </w:r>
    </w:p>
    <w:p w14:paraId="3DC430EF"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w:t>
      </w:r>
      <w:r w:rsidRPr="008A2E5A">
        <w:rPr>
          <w:rFonts w:ascii="Times New Roman" w:hAnsi="Times New Roman"/>
          <w:color w:val="0070C0"/>
          <w:sz w:val="16"/>
          <w:szCs w:val="16"/>
        </w:rPr>
        <w:tab/>
        <w:t>на высоте</w:t>
      </w:r>
      <w:r w:rsidRPr="008A2E5A">
        <w:rPr>
          <w:rFonts w:ascii="Times New Roman" w:hAnsi="Times New Roman"/>
          <w:color w:val="0070C0"/>
          <w:sz w:val="16"/>
          <w:szCs w:val="16"/>
        </w:rPr>
        <w:tab/>
        <w:t>2000</w:t>
      </w:r>
      <w:r w:rsidRPr="008A2E5A">
        <w:rPr>
          <w:rFonts w:ascii="Times New Roman" w:hAnsi="Times New Roman"/>
          <w:color w:val="0070C0"/>
          <w:sz w:val="16"/>
          <w:szCs w:val="16"/>
        </w:rPr>
        <w:tab/>
        <w:t>м л.с.</w:t>
      </w:r>
      <w:r w:rsidRPr="008A2E5A">
        <w:rPr>
          <w:rFonts w:ascii="Times New Roman" w:hAnsi="Times New Roman"/>
          <w:color w:val="0070C0"/>
          <w:sz w:val="16"/>
          <w:szCs w:val="16"/>
        </w:rPr>
        <w:tab/>
        <w:t>1530</w:t>
      </w:r>
      <w:r w:rsidRPr="008A2E5A">
        <w:rPr>
          <w:rFonts w:ascii="Times New Roman" w:hAnsi="Times New Roman"/>
          <w:color w:val="0070C0"/>
          <w:sz w:val="16"/>
          <w:szCs w:val="16"/>
        </w:rPr>
        <w:tab/>
        <w:t>1300</w:t>
      </w:r>
    </w:p>
    <w:p w14:paraId="2A960982"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w:t>
      </w:r>
      <w:r w:rsidRPr="008A2E5A">
        <w:rPr>
          <w:rFonts w:ascii="Times New Roman" w:hAnsi="Times New Roman"/>
          <w:color w:val="0070C0"/>
          <w:sz w:val="16"/>
          <w:szCs w:val="16"/>
        </w:rPr>
        <w:tab/>
        <w:t>на высоте</w:t>
      </w:r>
      <w:r w:rsidRPr="008A2E5A">
        <w:rPr>
          <w:rFonts w:ascii="Times New Roman" w:hAnsi="Times New Roman"/>
          <w:color w:val="0070C0"/>
          <w:sz w:val="16"/>
          <w:szCs w:val="16"/>
        </w:rPr>
        <w:tab/>
        <w:t>7000</w:t>
      </w:r>
      <w:r w:rsidRPr="008A2E5A">
        <w:rPr>
          <w:rFonts w:ascii="Times New Roman" w:hAnsi="Times New Roman"/>
          <w:color w:val="0070C0"/>
          <w:sz w:val="16"/>
          <w:szCs w:val="16"/>
        </w:rPr>
        <w:tab/>
        <w:t>м л. с.</w:t>
      </w:r>
      <w:r w:rsidRPr="008A2E5A">
        <w:rPr>
          <w:rFonts w:ascii="Times New Roman" w:hAnsi="Times New Roman"/>
          <w:color w:val="0070C0"/>
          <w:sz w:val="16"/>
          <w:szCs w:val="16"/>
        </w:rPr>
        <w:tab/>
        <w:t>1330</w:t>
      </w:r>
      <w:r w:rsidRPr="008A2E5A">
        <w:rPr>
          <w:rFonts w:ascii="Times New Roman" w:hAnsi="Times New Roman"/>
          <w:color w:val="0070C0"/>
          <w:sz w:val="16"/>
          <w:szCs w:val="16"/>
        </w:rPr>
        <w:tab/>
        <w:t>1400</w:t>
      </w:r>
    </w:p>
    <w:p w14:paraId="58F77B0B"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обязал поставить серийное производство самолета 103 с мотором М-82 на заводе № 22 в Казани.</w:t>
      </w:r>
    </w:p>
    <w:p w14:paraId="29384564"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установил, что в настоящее время завод № 22 развивает на полную мощность производство самолетов Пе-2 и по мере внедрения в серийное производство самолета 103, производство самолетов Пе-2 на заводе № 22 прекратить;</w:t>
      </w:r>
    </w:p>
    <w:p w14:paraId="6ECAD27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выполнение программы завода № 22 по производству самолетов 103 и Пе-2, начиная с июня месяца 1942 года:</w:t>
      </w:r>
    </w:p>
    <w:p w14:paraId="75F9D1F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Пе-2</w:t>
      </w:r>
      <w:r w:rsidRPr="008A2E5A">
        <w:rPr>
          <w:rFonts w:ascii="Times New Roman" w:hAnsi="Times New Roman"/>
          <w:color w:val="0070C0"/>
          <w:sz w:val="16"/>
          <w:szCs w:val="16"/>
        </w:rPr>
        <w:tab/>
        <w:t>103</w:t>
      </w:r>
    </w:p>
    <w:p w14:paraId="0BF9A2F7"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w:t>
      </w:r>
      <w:r w:rsidRPr="008A2E5A">
        <w:rPr>
          <w:rFonts w:ascii="Times New Roman" w:hAnsi="Times New Roman"/>
          <w:color w:val="0070C0"/>
          <w:sz w:val="16"/>
          <w:szCs w:val="16"/>
        </w:rPr>
        <w:tab/>
        <w:t>200</w:t>
      </w:r>
      <w:r w:rsidRPr="008A2E5A">
        <w:rPr>
          <w:rFonts w:ascii="Times New Roman" w:hAnsi="Times New Roman"/>
          <w:color w:val="0070C0"/>
          <w:sz w:val="16"/>
          <w:szCs w:val="16"/>
        </w:rPr>
        <w:tab/>
        <w:t>3</w:t>
      </w:r>
    </w:p>
    <w:p w14:paraId="02ED9F4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r w:rsidRPr="008A2E5A">
        <w:rPr>
          <w:rFonts w:ascii="Times New Roman" w:hAnsi="Times New Roman"/>
          <w:color w:val="0070C0"/>
          <w:sz w:val="16"/>
          <w:szCs w:val="16"/>
        </w:rPr>
        <w:tab/>
        <w:t>175</w:t>
      </w:r>
      <w:r w:rsidRPr="008A2E5A">
        <w:rPr>
          <w:rFonts w:ascii="Times New Roman" w:hAnsi="Times New Roman"/>
          <w:color w:val="0070C0"/>
          <w:sz w:val="16"/>
          <w:szCs w:val="16"/>
        </w:rPr>
        <w:tab/>
        <w:t>10</w:t>
      </w:r>
    </w:p>
    <w:p w14:paraId="7104D79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r w:rsidRPr="008A2E5A">
        <w:rPr>
          <w:rFonts w:ascii="Times New Roman" w:hAnsi="Times New Roman"/>
          <w:color w:val="0070C0"/>
          <w:sz w:val="16"/>
          <w:szCs w:val="16"/>
        </w:rPr>
        <w:tab/>
        <w:t>125</w:t>
      </w:r>
      <w:r w:rsidRPr="008A2E5A">
        <w:rPr>
          <w:rFonts w:ascii="Times New Roman" w:hAnsi="Times New Roman"/>
          <w:color w:val="0070C0"/>
          <w:sz w:val="16"/>
          <w:szCs w:val="16"/>
        </w:rPr>
        <w:tab/>
        <w:t>25</w:t>
      </w:r>
    </w:p>
    <w:p w14:paraId="61D073EF"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r w:rsidRPr="008A2E5A">
        <w:rPr>
          <w:rFonts w:ascii="Times New Roman" w:hAnsi="Times New Roman"/>
          <w:color w:val="0070C0"/>
          <w:sz w:val="16"/>
          <w:szCs w:val="16"/>
        </w:rPr>
        <w:tab/>
        <w:t>75</w:t>
      </w:r>
      <w:r w:rsidRPr="008A2E5A">
        <w:rPr>
          <w:rFonts w:ascii="Times New Roman" w:hAnsi="Times New Roman"/>
          <w:color w:val="0070C0"/>
          <w:sz w:val="16"/>
          <w:szCs w:val="16"/>
        </w:rPr>
        <w:tab/>
        <w:t>40</w:t>
      </w:r>
    </w:p>
    <w:p w14:paraId="14FC76C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октябрь</w:t>
      </w:r>
      <w:r w:rsidRPr="008A2E5A">
        <w:rPr>
          <w:rFonts w:ascii="Times New Roman" w:hAnsi="Times New Roman"/>
          <w:color w:val="0070C0"/>
          <w:sz w:val="16"/>
          <w:szCs w:val="16"/>
        </w:rPr>
        <w:tab/>
        <w:t>50</w:t>
      </w:r>
      <w:r w:rsidRPr="008A2E5A">
        <w:rPr>
          <w:rFonts w:ascii="Times New Roman" w:hAnsi="Times New Roman"/>
          <w:color w:val="0070C0"/>
          <w:sz w:val="16"/>
          <w:szCs w:val="16"/>
        </w:rPr>
        <w:tab/>
        <w:t>70</w:t>
      </w:r>
    </w:p>
    <w:p w14:paraId="3464CFA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r w:rsidRPr="008A2E5A">
        <w:rPr>
          <w:rFonts w:ascii="Times New Roman" w:hAnsi="Times New Roman"/>
          <w:color w:val="0070C0"/>
          <w:sz w:val="16"/>
          <w:szCs w:val="16"/>
        </w:rPr>
        <w:tab/>
        <w:t>—</w:t>
      </w:r>
      <w:r w:rsidRPr="008A2E5A">
        <w:rPr>
          <w:rFonts w:ascii="Times New Roman" w:hAnsi="Times New Roman"/>
          <w:color w:val="0070C0"/>
          <w:sz w:val="16"/>
          <w:szCs w:val="16"/>
        </w:rPr>
        <w:tab/>
        <w:t>120</w:t>
      </w:r>
    </w:p>
    <w:p w14:paraId="1A7E6DEB"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r w:rsidRPr="008A2E5A">
        <w:rPr>
          <w:rFonts w:ascii="Times New Roman" w:hAnsi="Times New Roman"/>
          <w:color w:val="0070C0"/>
          <w:sz w:val="16"/>
          <w:szCs w:val="16"/>
        </w:rPr>
        <w:tab/>
        <w:t>—</w:t>
      </w:r>
      <w:r w:rsidRPr="008A2E5A">
        <w:rPr>
          <w:rFonts w:ascii="Times New Roman" w:hAnsi="Times New Roman"/>
          <w:color w:val="0070C0"/>
          <w:sz w:val="16"/>
          <w:szCs w:val="16"/>
        </w:rPr>
        <w:tab/>
        <w:t>150</w:t>
      </w:r>
    </w:p>
    <w:p w14:paraId="7F4B91B4"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приказываю:</w:t>
      </w:r>
    </w:p>
    <w:p w14:paraId="1121B595"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10-го Главного управления т. Тарасевичу, директору завода № 22 т. Карпову и главному конструктору т. Туполеву:</w:t>
      </w:r>
    </w:p>
    <w:p w14:paraId="553FCD19"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поставить на заводе № 22 в г. Казани серийное производство самолета 103 с мотором М-82 со следующими летно-тактическими данными и вооружением:</w:t>
      </w:r>
    </w:p>
    <w:p w14:paraId="0BAC2C39"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 576 км/час</w:t>
      </w:r>
    </w:p>
    <w:p w14:paraId="67294F0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 9800 м</w:t>
      </w:r>
    </w:p>
    <w:p w14:paraId="36C90ACB"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нормальная — 1000 км</w:t>
      </w:r>
    </w:p>
    <w:p w14:paraId="59AFEC61"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максимальная — 2400 км</w:t>
      </w:r>
    </w:p>
    <w:p w14:paraId="4D0C2EE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с добавочным баком — 3000 км</w:t>
      </w:r>
    </w:p>
    <w:p w14:paraId="676F98A6"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нормальная — 1000 кг</w:t>
      </w:r>
    </w:p>
    <w:p w14:paraId="3F3FFE82"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емкость бомбодержателя максимальная — 3000 кг</w:t>
      </w:r>
    </w:p>
    <w:p w14:paraId="151391C7"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для стрельбы вперед две пушки Швак и два пулемета Шкас и десять установок для реактивных снарядов и для стрельбы назад — два пулемета Шкас и пулемет Березина;</w:t>
      </w:r>
    </w:p>
    <w:p w14:paraId="2ACC3CE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к 20 января 1942 г. организовать в г. Казани на заводе № 22 конструкторское бюро по самолету 103.</w:t>
      </w:r>
    </w:p>
    <w:p w14:paraId="78488FC7"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конструкторским бюро по самолету 103 возложить на главного конструктора самолета 103 т. Туполева, с постоянным нахождением главного конструктора на заводе № 22.</w:t>
      </w:r>
    </w:p>
    <w:p w14:paraId="12C0B1CB"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Туполеву выделить постоянного заместителя по конструкторскому бюро завода № 166;</w:t>
      </w:r>
    </w:p>
    <w:p w14:paraId="05716CD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обеспечить изготовление комплектов стапелей, приспособлений и инструмента до 15 апреля 1942 г.</w:t>
      </w:r>
    </w:p>
    <w:p w14:paraId="6B689758"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запуск самолета 103 в серийное производство на заводе № 22 осуществить с 15 марта 1942 г., с запуском отдельных деталей и узлов — с 1 марта 1942 г.</w:t>
      </w:r>
    </w:p>
    <w:p w14:paraId="2682E9C1"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166 т. Соколову заготовить и закончить выдачу чертежей планов и шаблонов для самолета 103 заводу № 22 по имеющейся номенклатуре к 10 февраля 1942 г.</w:t>
      </w:r>
    </w:p>
    <w:p w14:paraId="074E626A"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Главному конструктору т. Туполеву совместно с ВВС Красной Армии проработать и доложить до 1 февраля 1942 г. вопрос </w:t>
      </w:r>
      <w:r w:rsidRPr="008A2E5A">
        <w:rPr>
          <w:rFonts w:ascii="Tahoma" w:hAnsi="Tahoma" w:cs="Tahoma"/>
          <w:color w:val="0070C0"/>
          <w:sz w:val="16"/>
          <w:szCs w:val="16"/>
        </w:rPr>
        <w:t>﻿</w:t>
      </w:r>
      <w:r w:rsidRPr="008A2E5A">
        <w:rPr>
          <w:rFonts w:ascii="Times New Roman" w:hAnsi="Times New Roman"/>
          <w:color w:val="0070C0"/>
          <w:sz w:val="16"/>
          <w:szCs w:val="16"/>
        </w:rPr>
        <w:t>о</w:t>
      </w:r>
      <w:r w:rsidRPr="008A2E5A">
        <w:rPr>
          <w:rFonts w:ascii="Times New Roman" w:hAnsi="Times New Roman"/>
          <w:color w:val="0070C0"/>
          <w:sz w:val="16"/>
          <w:szCs w:val="16"/>
        </w:rPr>
        <w:tab/>
        <w:t>возможности сокращения элементов гидроуправления и дистанционного управления самолетом 103 без ухудшений боевых летно-тактических качеств самолета.</w:t>
      </w:r>
    </w:p>
    <w:p w14:paraId="6522330E"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Этим же постановлением Государственный Комитет Обороны обязал:</w:t>
      </w:r>
    </w:p>
    <w:p w14:paraId="6C0D82EA"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Для организации конструкторского бюро по самолету 103 на заводе № 22:</w:t>
      </w:r>
    </w:p>
    <w:p w14:paraId="5D643B40"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освободить помещение ремесленного училища Управления трудовых резервов на заводе № 22;</w:t>
      </w:r>
    </w:p>
    <w:p w14:paraId="6941E3F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разместить ремесленное училище во вновь отстроенном, упрощенного типа, корпусе завода № 22, площадью 4500 кв. м; оборудование этого помещения под ремесленное училище провести за счет средств завода № 22;</w:t>
      </w:r>
    </w:p>
    <w:p w14:paraId="1FD41D4E"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СНК Татарской республики обеспечить жилплощадью 100 конструкторов и технологов (с семьями) завода № 166, командируемых на завод № 22.</w:t>
      </w:r>
    </w:p>
    <w:p w14:paraId="2774FC40"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Наркомфин СССР выделить Наркомавиапрому для завода № 22 на постановку производства самолета 103 10 млн. рублей.</w:t>
      </w:r>
    </w:p>
    <w:p w14:paraId="4DFDDE98"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w:t>
      </w:r>
      <w:r w:rsidRPr="008A2E5A">
        <w:rPr>
          <w:rFonts w:ascii="Times New Roman" w:hAnsi="Times New Roman"/>
          <w:color w:val="0070C0"/>
          <w:sz w:val="16"/>
          <w:szCs w:val="16"/>
        </w:rPr>
        <w:tab/>
        <w:t>А. Шахурин</w:t>
      </w:r>
    </w:p>
    <w:p w14:paraId="1F5141AA"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117. Л. 59-60. Заверенная копия (23835).</w:t>
      </w:r>
    </w:p>
    <w:p w14:paraId="0B50E570" w14:textId="77777777" w:rsidR="00864A24" w:rsidRPr="008A2E5A" w:rsidRDefault="00864A24" w:rsidP="00864A24">
      <w:pPr>
        <w:spacing w:after="0" w:line="240" w:lineRule="auto"/>
        <w:jc w:val="both"/>
        <w:rPr>
          <w:rFonts w:ascii="Times New Roman" w:hAnsi="Times New Roman"/>
          <w:color w:val="0070C0"/>
          <w:sz w:val="16"/>
          <w:szCs w:val="16"/>
        </w:rPr>
      </w:pPr>
    </w:p>
    <w:p w14:paraId="46002D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выходит приказ НКАП «О подготовке серийного производства самолета «103» на заводе № 22 в Казани». Приведем его полностью, как отражение состояния советской экономики в то время.</w:t>
      </w:r>
    </w:p>
    <w:p w14:paraId="0FF0AC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«ГКО принял к сведению заявление главного конструктора самолета «103» т. Туполева, что самолет «103» с моторами М-82 имеет преимущества перед самолетом «103» с моторами АМ-37, что видно из расчетных характеристик (! - авт.), и обязал поставить серийное производство самолета «103» с М-82 на заводе № 22 в Казани. По мере внедрения самолета «103» (с 3-х в июне до 150 в декабре) производство Пе-2 (с 200 в июне до 50 в октябре) на заводе </w:t>
      </w:r>
      <w:proofErr w:type="gramStart"/>
      <w:r w:rsidRPr="008127F8">
        <w:rPr>
          <w:rFonts w:ascii="Times New Roman" w:hAnsi="Times New Roman"/>
          <w:color w:val="000000" w:themeColor="text1"/>
          <w:sz w:val="16"/>
          <w:szCs w:val="16"/>
        </w:rPr>
        <w:t>прекратить.(...)</w:t>
      </w:r>
      <w:proofErr w:type="gramEnd"/>
    </w:p>
    <w:p w14:paraId="1F1C84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 января 1942 г. организовать в Казани на заводе № 22 КБ по самолету «103». Руководство КБ возложить на т. Туполева, с постоянным нахождением главного конструктора на заводе № 22. Организацию КБ произвести на базе основных кадров КБ в Омске с использованием состава КБ Петлякова и ОКБ завода № 22» (12049).</w:t>
      </w:r>
    </w:p>
    <w:p w14:paraId="2423133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0A41C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 21 января 1942 заводом № 292 было отгружено для последующей сборки и облета 110 самолетов Як-1 (20 машин было отправлено в адрес ЦАГИ (Раменское), 10 на завод № 301 (Химки) и 80 на завод № 30 (Пресня) ГАСО ф.Р-1261 оп.З д.218). В процессе продвижения эшелонов их груз переадресовали. Фактически самолеты поступили только на завод № 30 (74 машины) и № 301 (36 машин). Все самолеты были отправлены в части (40 в январе и 69 в феврале), за исключением одного, задержавшегося на заводе № 30 из-за замены мотора (12048).</w:t>
      </w:r>
    </w:p>
    <w:p w14:paraId="62D3776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59996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января 1942 г. По приказу НКАП № 13с </w:t>
      </w:r>
      <w:proofErr w:type="gramStart"/>
      <w:r w:rsidRPr="008127F8">
        <w:rPr>
          <w:rFonts w:ascii="Times New Roman" w:hAnsi="Times New Roman"/>
          <w:color w:val="000000" w:themeColor="text1"/>
          <w:sz w:val="16"/>
          <w:szCs w:val="16"/>
        </w:rPr>
        <w:t>от завод</w:t>
      </w:r>
      <w:proofErr w:type="gramEnd"/>
      <w:r w:rsidRPr="008127F8">
        <w:rPr>
          <w:rFonts w:ascii="Times New Roman" w:hAnsi="Times New Roman"/>
          <w:color w:val="000000" w:themeColor="text1"/>
          <w:sz w:val="16"/>
          <w:szCs w:val="16"/>
        </w:rPr>
        <w:t xml:space="preserve">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ППШ (10776).</w:t>
      </w:r>
    </w:p>
    <w:p w14:paraId="503ACFC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B42AE1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по приказу НКАП № 13с завод № 480 переведен с площадки бывшего завода № 161 (Завод № 161 НКАП, МАП, Уфимский агрегатный завод, ФГУП, ОАО «Уфимское агрегатное ПО (УАПО)». /г. Москва;  г. Уфа ул. Сталина, 53 (1942 г.); ул. Аксакова, 93 (1947 г.)/) в Москве на площадку бывшего завода № 294 НКАП, а все сооружения бывшего завода № 161 переданы в систему НКМВ в распоряжение 1-го завода САМ для производства ППШ (11982).</w:t>
      </w:r>
    </w:p>
    <w:p w14:paraId="481D47D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6594E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по приказу № 13с на площадку бывшего завода № 294</w:t>
      </w:r>
      <w:r w:rsidRPr="008127F8">
        <w:rPr>
          <w:rFonts w:ascii="Times New Roman" w:hAnsi="Times New Roman"/>
          <w:iCs/>
          <w:color w:val="000000" w:themeColor="text1"/>
          <w:sz w:val="16"/>
          <w:szCs w:val="16"/>
        </w:rPr>
        <w:t xml:space="preserve"> в</w:t>
      </w:r>
      <w:r w:rsidRPr="008127F8">
        <w:rPr>
          <w:rFonts w:ascii="Times New Roman" w:hAnsi="Times New Roman"/>
          <w:color w:val="000000" w:themeColor="text1"/>
          <w:sz w:val="16"/>
          <w:szCs w:val="16"/>
        </w:rPr>
        <w:t xml:space="preserve"> Москве переведен завод № 480 НКАП (11982).</w:t>
      </w:r>
    </w:p>
    <w:p w14:paraId="4B28774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A75C89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39E5B12" w14:textId="77777777" w:rsidR="00D4651C" w:rsidRPr="008127F8" w:rsidRDefault="00D4651C" w:rsidP="001E0A84">
      <w:pPr>
        <w:pStyle w:val="Iauiue"/>
        <w:jc w:val="both"/>
        <w:rPr>
          <w:iCs/>
          <w:color w:val="000000" w:themeColor="text1"/>
          <w:sz w:val="16"/>
          <w:szCs w:val="16"/>
        </w:rPr>
      </w:pPr>
    </w:p>
    <w:p w14:paraId="2D189D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вышло Постановление ГКО № 1109 О переводе в Москву части аппарата Главнефтесбыта при СНК СССР и Наркомугля. РГАНИР, Фонд ГКО, д. 18, лл. 160 (11012).</w:t>
      </w:r>
    </w:p>
    <w:p w14:paraId="2452A6C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1D616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вышло Постановление ГКО № 1110 О производстве танков КВ-7 и КВ-8. РГАНИР, Фонд ГКО, д. 18, лл. 161 (11012).</w:t>
      </w:r>
    </w:p>
    <w:p w14:paraId="5D26915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BA360B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года после испытаний и демонстрации пред</w:t>
      </w:r>
      <w:r w:rsidRPr="008127F8">
        <w:rPr>
          <w:rFonts w:ascii="Times New Roman" w:hAnsi="Times New Roman"/>
          <w:color w:val="000000" w:themeColor="text1"/>
          <w:sz w:val="16"/>
          <w:szCs w:val="16"/>
        </w:rPr>
        <w:softHyphen/>
        <w:t>ставителям Ставки ВГК в Москве, постанов</w:t>
      </w:r>
      <w:r w:rsidRPr="008127F8">
        <w:rPr>
          <w:rFonts w:ascii="Times New Roman" w:hAnsi="Times New Roman"/>
          <w:color w:val="000000" w:themeColor="text1"/>
          <w:sz w:val="16"/>
          <w:szCs w:val="16"/>
        </w:rPr>
        <w:softHyphen/>
        <w:t>лением Государственного Комитета Оборо</w:t>
      </w:r>
      <w:r w:rsidRPr="008127F8">
        <w:rPr>
          <w:rFonts w:ascii="Times New Roman" w:hAnsi="Times New Roman"/>
          <w:color w:val="000000" w:themeColor="text1"/>
          <w:sz w:val="16"/>
          <w:szCs w:val="16"/>
        </w:rPr>
        <w:softHyphen/>
        <w:t>ны № 1110сс огнеметный танк на базе КВ-1 - танк КВ-8 приняли на вооружение Красной Армии. Се</w:t>
      </w:r>
      <w:r w:rsidRPr="008127F8">
        <w:rPr>
          <w:rFonts w:ascii="Times New Roman" w:hAnsi="Times New Roman"/>
          <w:color w:val="000000" w:themeColor="text1"/>
          <w:sz w:val="16"/>
          <w:szCs w:val="16"/>
        </w:rPr>
        <w:softHyphen/>
        <w:t>рийное производство этих машин началось в апреле 1942 года на Челябинском Киров</w:t>
      </w:r>
      <w:r w:rsidRPr="008127F8">
        <w:rPr>
          <w:rFonts w:ascii="Times New Roman" w:hAnsi="Times New Roman"/>
          <w:color w:val="000000" w:themeColor="text1"/>
          <w:sz w:val="16"/>
          <w:szCs w:val="16"/>
        </w:rPr>
        <w:softHyphen/>
        <w:t>ском заводе, и до сентября их изготовили 102 машины (15226).</w:t>
      </w:r>
    </w:p>
    <w:p w14:paraId="35C34F90"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20D0086D"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6 января 1942 вышло Постановление ГКО № 1110 О производстве танков КВ-7 и КВ-8 - КВ-8 - с огнеметом АТО-41 и 45 мм пушкой в маскировочном кожухе, воспроизводящим 76 мм Ф-32 (5219, 32).</w:t>
      </w:r>
    </w:p>
    <w:p w14:paraId="67E01184" w14:textId="77777777" w:rsidR="00D4651C" w:rsidRPr="008127F8" w:rsidRDefault="00D4651C" w:rsidP="001E0A84">
      <w:pPr>
        <w:pStyle w:val="Iauiue"/>
        <w:tabs>
          <w:tab w:val="left" w:pos="11199"/>
        </w:tabs>
        <w:jc w:val="both"/>
        <w:rPr>
          <w:color w:val="000000" w:themeColor="text1"/>
          <w:sz w:val="16"/>
          <w:szCs w:val="16"/>
        </w:rPr>
      </w:pPr>
    </w:p>
    <w:p w14:paraId="1A0CDF9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огнеметный Танк КВ-8 был принят на вооружение Красной Армии постановлением ГКО. Всесторонние полигон</w:t>
      </w:r>
      <w:r w:rsidRPr="008127F8">
        <w:rPr>
          <w:rFonts w:ascii="Times New Roman" w:hAnsi="Times New Roman"/>
          <w:color w:val="000000" w:themeColor="text1"/>
          <w:sz w:val="16"/>
          <w:szCs w:val="16"/>
        </w:rPr>
        <w:softHyphen/>
        <w:t>ные испытания танк КВ-8 прошел в феврале 1942 г. в Челябинске и Ко</w:t>
      </w:r>
      <w:r w:rsidRPr="008127F8">
        <w:rPr>
          <w:rFonts w:ascii="Times New Roman" w:hAnsi="Times New Roman"/>
          <w:color w:val="000000" w:themeColor="text1"/>
          <w:sz w:val="16"/>
          <w:szCs w:val="16"/>
        </w:rPr>
        <w:softHyphen/>
        <w:t>пейске. Серийное производство машины было организовано на Челя</w:t>
      </w:r>
      <w:r w:rsidRPr="008127F8">
        <w:rPr>
          <w:rFonts w:ascii="Times New Roman" w:hAnsi="Times New Roman"/>
          <w:color w:val="000000" w:themeColor="text1"/>
          <w:sz w:val="16"/>
          <w:szCs w:val="16"/>
        </w:rPr>
        <w:softHyphen/>
        <w:t>бинском Кировском заводе в марте — апреле 1942 г. и продолжалось в течение 1942 г. Всего было выпущено 102 огнеметных танка КВ-8, кото</w:t>
      </w:r>
      <w:r w:rsidRPr="008127F8">
        <w:rPr>
          <w:rFonts w:ascii="Times New Roman" w:hAnsi="Times New Roman"/>
          <w:color w:val="000000" w:themeColor="text1"/>
          <w:sz w:val="16"/>
          <w:szCs w:val="16"/>
        </w:rPr>
        <w:softHyphen/>
        <w:t>рые использовались на фронтах Великой Отечественной войны (10703).</w:t>
      </w:r>
    </w:p>
    <w:p w14:paraId="7AE9F6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BDE7A40" w14:textId="77777777" w:rsidR="0032416F" w:rsidRPr="008127F8" w:rsidRDefault="0032416F" w:rsidP="001E0A84">
      <w:pPr>
        <w:pStyle w:val="28"/>
        <w:shd w:val="clear" w:color="auto" w:fill="auto"/>
        <w:spacing w:before="0" w:line="240" w:lineRule="auto"/>
        <w:jc w:val="both"/>
        <w:rPr>
          <w:rFonts w:ascii="Times New Roman" w:hAnsi="Times New Roman" w:cs="Times New Roman"/>
          <w:color w:val="000000" w:themeColor="text1"/>
          <w:sz w:val="16"/>
          <w:szCs w:val="16"/>
          <w:shd w:val="clear" w:color="auto" w:fill="FFFFFF"/>
        </w:rPr>
      </w:pPr>
      <w:r w:rsidRPr="008127F8">
        <w:rPr>
          <w:rFonts w:ascii="Times New Roman" w:hAnsi="Times New Roman" w:cs="Times New Roman"/>
          <w:color w:val="000000" w:themeColor="text1"/>
          <w:sz w:val="16"/>
          <w:szCs w:val="16"/>
          <w:shd w:val="clear" w:color="auto" w:fill="FFFFFF"/>
        </w:rPr>
        <w:t>6 января 1942 года танк КВ-8 (чертежное обозначение 228), которая отчасти стала возвращением к концепции ХТ, по крайней мере что касалось размещения огнемета, приняли на вооружение Красной Армии.</w:t>
      </w:r>
    </w:p>
    <w:p w14:paraId="71049BC0" w14:textId="77777777" w:rsidR="0032416F" w:rsidRPr="008127F8" w:rsidRDefault="0032416F" w:rsidP="001E0A84">
      <w:pPr>
        <w:pStyle w:val="28"/>
        <w:shd w:val="clear" w:color="auto" w:fill="auto"/>
        <w:spacing w:before="0" w:line="240" w:lineRule="auto"/>
        <w:jc w:val="both"/>
        <w:rPr>
          <w:rFonts w:ascii="Times New Roman" w:hAnsi="Times New Roman" w:cs="Times New Roman"/>
          <w:color w:val="000000" w:themeColor="text1"/>
          <w:sz w:val="16"/>
          <w:szCs w:val="16"/>
          <w:shd w:val="clear" w:color="auto" w:fill="FFFFFF"/>
        </w:rPr>
      </w:pPr>
      <w:r w:rsidRPr="008127F8">
        <w:rPr>
          <w:rFonts w:ascii="Times New Roman" w:hAnsi="Times New Roman" w:cs="Times New Roman"/>
          <w:color w:val="000000" w:themeColor="text1"/>
          <w:sz w:val="16"/>
          <w:szCs w:val="16"/>
          <w:shd w:val="clear" w:color="auto" w:fill="FFFFFF"/>
        </w:rPr>
        <w:t>Танк отправили в Москву для показа 5 января безо всяких испытаний, поэтому его доработка началась еще до показа Ворошилову. Как и ранее, старшим инженером машины выступал Аристов. Для начала, несколько была доработана строенная установка. Огнемет получил характерную бронировку, которой не имелось на опытном образце. Также доработали башню, в крыше которой появились заливные горловины. Их, кстати говоря, хорошо видно на снимках, но глазастая братия стендовых моделистов горловины благополучно проморгала. Также в полу боевого отделения появилась сливная горловина для огнесмеси. Нельзя сказать, что изменения носили глобальный характер, но всё же 228-й имел дополнительные отличия.</w:t>
      </w:r>
    </w:p>
    <w:p w14:paraId="58D7FEEC" w14:textId="77777777" w:rsidR="0032416F" w:rsidRPr="008127F8" w:rsidRDefault="0032416F" w:rsidP="001E0A84">
      <w:pPr>
        <w:pStyle w:val="28"/>
        <w:shd w:val="clear" w:color="auto" w:fill="auto"/>
        <w:spacing w:before="0" w:line="240" w:lineRule="auto"/>
        <w:jc w:val="both"/>
        <w:rPr>
          <w:rFonts w:ascii="Times New Roman" w:hAnsi="Times New Roman" w:cs="Times New Roman"/>
          <w:color w:val="000000" w:themeColor="text1"/>
          <w:sz w:val="16"/>
          <w:szCs w:val="16"/>
          <w:shd w:val="clear" w:color="auto" w:fill="FFFFFF"/>
        </w:rPr>
      </w:pPr>
      <w:r w:rsidRPr="008127F8">
        <w:rPr>
          <w:rFonts w:ascii="Times New Roman" w:hAnsi="Times New Roman" w:cs="Times New Roman"/>
          <w:color w:val="000000" w:themeColor="text1"/>
          <w:sz w:val="16"/>
          <w:szCs w:val="16"/>
          <w:shd w:val="clear" w:color="auto" w:fill="FFFFFF"/>
        </w:rPr>
        <w:t xml:space="preserve">Надо сказать, что имелись и возражения по поводу существующей конструкции танка. Например, 6 января 1942 года в ГАБТУ КА пришло письмо инженер-майора Симонова, который предлагал переделать танк куда сильнее. </w:t>
      </w:r>
      <w:proofErr w:type="gramStart"/>
      <w:r w:rsidRPr="008127F8">
        <w:rPr>
          <w:rFonts w:ascii="Times New Roman" w:hAnsi="Times New Roman" w:cs="Times New Roman"/>
          <w:color w:val="000000" w:themeColor="text1"/>
          <w:sz w:val="16"/>
          <w:szCs w:val="16"/>
          <w:shd w:val="clear" w:color="auto" w:fill="FFFFFF"/>
        </w:rPr>
        <w:t>По сути</w:t>
      </w:r>
      <w:proofErr w:type="gramEnd"/>
      <w:r w:rsidRPr="008127F8">
        <w:rPr>
          <w:rFonts w:ascii="Times New Roman" w:hAnsi="Times New Roman" w:cs="Times New Roman"/>
          <w:color w:val="000000" w:themeColor="text1"/>
          <w:sz w:val="16"/>
          <w:szCs w:val="16"/>
          <w:shd w:val="clear" w:color="auto" w:fill="FFFFFF"/>
        </w:rPr>
        <w:t xml:space="preserve"> речь шла о возвращении исходной конфигурации, с огнеметом в корпусе. Но такие идеи тут же </w:t>
      </w:r>
      <w:r w:rsidRPr="008127F8">
        <w:rPr>
          <w:rFonts w:ascii="Times New Roman" w:hAnsi="Times New Roman" w:cs="Times New Roman"/>
          <w:color w:val="000000" w:themeColor="text1"/>
          <w:sz w:val="16"/>
          <w:szCs w:val="16"/>
          <w:shd w:val="clear" w:color="auto" w:fill="FFFFFF"/>
        </w:rPr>
        <w:lastRenderedPageBreak/>
        <w:t>завернули и просили больше не показывать. Вместе с тем, выпустить те самые 10 танков установочной партии завод не мог. Параллельно с изготовлением технической документации по серийному образцу шла доводка первой опытной машины (22806).</w:t>
      </w:r>
    </w:p>
    <w:p w14:paraId="715B8C68" w14:textId="77777777" w:rsidR="0032416F" w:rsidRPr="008127F8" w:rsidRDefault="0032416F"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7CA070C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постановлением ГКО под маркой КВ-8 машина Объект 228 была принята на вооружение Красной Армии (10703).</w:t>
      </w:r>
    </w:p>
    <w:p w14:paraId="32130B1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1F9C220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своим постановлением № 1110 ГКО снял предложенный образец КВ-7 с испытаний, предложив во</w:t>
      </w:r>
      <w:r w:rsidRPr="008127F8">
        <w:rPr>
          <w:rFonts w:ascii="Times New Roman" w:hAnsi="Times New Roman"/>
          <w:color w:val="000000" w:themeColor="text1"/>
          <w:sz w:val="16"/>
          <w:szCs w:val="16"/>
        </w:rPr>
        <w:softHyphen/>
        <w:t>оружить его спаренной установкой 76,2-мм пушек. Параллельно с КВ-7 была начата разработка артилле</w:t>
      </w:r>
      <w:r w:rsidRPr="008127F8">
        <w:rPr>
          <w:rFonts w:ascii="Times New Roman" w:hAnsi="Times New Roman"/>
          <w:color w:val="000000" w:themeColor="text1"/>
          <w:sz w:val="16"/>
          <w:szCs w:val="16"/>
        </w:rPr>
        <w:softHyphen/>
        <w:t>рийского танка, вооруженного орудием калибра 122 мм в штатной вращающейся башне. Этот проект, получивший индекс КВ-9, выполняла группа под руководством Н. Ку</w:t>
      </w:r>
      <w:r w:rsidRPr="008127F8">
        <w:rPr>
          <w:rFonts w:ascii="Times New Roman" w:hAnsi="Times New Roman"/>
          <w:color w:val="000000" w:themeColor="text1"/>
          <w:sz w:val="16"/>
          <w:szCs w:val="16"/>
        </w:rPr>
        <w:softHyphen/>
        <w:t>рина, артиллерийская система У-11, несшая откатные час</w:t>
      </w:r>
      <w:r w:rsidRPr="008127F8">
        <w:rPr>
          <w:rFonts w:ascii="Times New Roman" w:hAnsi="Times New Roman"/>
          <w:color w:val="000000" w:themeColor="text1"/>
          <w:sz w:val="16"/>
          <w:szCs w:val="16"/>
        </w:rPr>
        <w:softHyphen/>
        <w:t>ти 122-мм гаубицы М-30, создавалась ведущими конструк</w:t>
      </w:r>
      <w:r w:rsidRPr="008127F8">
        <w:rPr>
          <w:rFonts w:ascii="Times New Roman" w:hAnsi="Times New Roman"/>
          <w:color w:val="000000" w:themeColor="text1"/>
          <w:sz w:val="16"/>
          <w:szCs w:val="16"/>
        </w:rPr>
        <w:softHyphen/>
        <w:t>торами Н. Сидоренко и В. Усенко. Предполагалось, что КВ-9 займет в войсках место снятого с вооружения артил</w:t>
      </w:r>
      <w:r w:rsidRPr="008127F8">
        <w:rPr>
          <w:rFonts w:ascii="Times New Roman" w:hAnsi="Times New Roman"/>
          <w:color w:val="000000" w:themeColor="text1"/>
          <w:sz w:val="16"/>
          <w:szCs w:val="16"/>
        </w:rPr>
        <w:softHyphen/>
        <w:t>лерийского танка КВ-2 и будет активно использоваться «для борьбы со скоплениями живой силы, средними и тя</w:t>
      </w:r>
      <w:r w:rsidRPr="008127F8">
        <w:rPr>
          <w:rFonts w:ascii="Times New Roman" w:hAnsi="Times New Roman"/>
          <w:color w:val="000000" w:themeColor="text1"/>
          <w:sz w:val="16"/>
          <w:szCs w:val="16"/>
        </w:rPr>
        <w:softHyphen/>
        <w:t>желыми танками, а также укреплениями противника». Установка гаубицы была осуществлена в штатной ли</w:t>
      </w:r>
      <w:r w:rsidRPr="008127F8">
        <w:rPr>
          <w:rFonts w:ascii="Times New Roman" w:hAnsi="Times New Roman"/>
          <w:color w:val="000000" w:themeColor="text1"/>
          <w:sz w:val="16"/>
          <w:szCs w:val="16"/>
        </w:rPr>
        <w:softHyphen/>
        <w:t>той башне танка КВ-1 с измененной лобовой деталью, дополненной новой маской (10782).</w:t>
      </w:r>
    </w:p>
    <w:p w14:paraId="43D24F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64A06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 своим постановлением № 1110 ГКО снял предложенный образец КВ-7 с дальнейшего хода испытаний, предложив вооружить его спаренной установкой 76,2-мм пушек ЗИС-5 или Ф-34.</w:t>
      </w:r>
    </w:p>
    <w:p w14:paraId="10F23F6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то, что проект спаренной'установки двух орудий калибра 76,2-мм в маске КВ-7, получивший завод</w:t>
      </w:r>
      <w:r w:rsidRPr="008127F8">
        <w:rPr>
          <w:rFonts w:ascii="Times New Roman" w:hAnsi="Times New Roman"/>
          <w:color w:val="000000" w:themeColor="text1"/>
          <w:sz w:val="16"/>
          <w:szCs w:val="16"/>
        </w:rPr>
        <w:softHyphen/>
        <w:t>ской индекс У-14, был готов уже в конце января, опытный образец танка был собран только в мае. Кучность стрельбы, конечно, улучшилась, но все равно оставляла желать луч</w:t>
      </w:r>
      <w:r w:rsidRPr="008127F8">
        <w:rPr>
          <w:rFonts w:ascii="Times New Roman" w:hAnsi="Times New Roman"/>
          <w:color w:val="000000" w:themeColor="text1"/>
          <w:sz w:val="16"/>
          <w:szCs w:val="16"/>
        </w:rPr>
        <w:softHyphen/>
        <w:t>шего. Кроме того, масса такой спарки была весьма значи</w:t>
      </w:r>
      <w:r w:rsidRPr="008127F8">
        <w:rPr>
          <w:rFonts w:ascii="Times New Roman" w:hAnsi="Times New Roman"/>
          <w:color w:val="000000" w:themeColor="text1"/>
          <w:sz w:val="16"/>
          <w:szCs w:val="16"/>
        </w:rPr>
        <w:softHyphen/>
        <w:t>тельной и позволяла без проблем установить вместо них одну пушку значительно большего могущества.</w:t>
      </w:r>
    </w:p>
    <w:p w14:paraId="3877473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Первым кандидатом на вооружение КВ-7 стала строен</w:t>
      </w:r>
      <w:r w:rsidRPr="008127F8">
        <w:rPr>
          <w:rFonts w:ascii="Times New Roman" w:hAnsi="Times New Roman"/>
          <w:color w:val="000000" w:themeColor="text1"/>
          <w:sz w:val="16"/>
          <w:szCs w:val="16"/>
        </w:rPr>
        <w:softHyphen/>
        <w:t>ная установка ЗИС-6А конструкции ОГК завода № 92. Она состояла из 107-мм пушки обр. 1941 г. ЗИС-6, 45-мм пушки обр. 1934 г. 20К и пулемета ДТ в рамке и была первоначально разработана для вооружения тяжелых танков КВ-3 или КВ-2. Однако выпуск 107-мм боеприпасов в СССР в 1942 г. не вел</w:t>
      </w:r>
      <w:r w:rsidRPr="008127F8">
        <w:rPr>
          <w:rFonts w:ascii="Times New Roman" w:hAnsi="Times New Roman"/>
          <w:color w:val="000000" w:themeColor="text1"/>
          <w:sz w:val="16"/>
          <w:szCs w:val="16"/>
        </w:rPr>
        <w:softHyphen/>
        <w:t>ся и поэтому установку ЗИС-6А было решено заменить од</w:t>
      </w:r>
      <w:r w:rsidRPr="008127F8">
        <w:rPr>
          <w:rFonts w:ascii="Times New Roman" w:hAnsi="Times New Roman"/>
          <w:color w:val="000000" w:themeColor="text1"/>
          <w:sz w:val="16"/>
          <w:szCs w:val="16"/>
        </w:rPr>
        <w:softHyphen/>
        <w:t>ним орудием большей мощности. И сразу после пленума 15 апреля начальник бюро самоходной артиллерии, зам на</w:t>
      </w:r>
      <w:r w:rsidRPr="008127F8">
        <w:rPr>
          <w:rFonts w:ascii="Times New Roman" w:hAnsi="Times New Roman"/>
          <w:color w:val="000000" w:themeColor="text1"/>
          <w:sz w:val="16"/>
          <w:szCs w:val="16"/>
        </w:rPr>
        <w:softHyphen/>
        <w:t>чальника 2-го управления НКТП С.А. Гинзбург направляет в ГКО письмо, в котором обосновал целесообразность созда</w:t>
      </w:r>
      <w:r w:rsidRPr="008127F8">
        <w:rPr>
          <w:rFonts w:ascii="Times New Roman" w:hAnsi="Times New Roman"/>
          <w:color w:val="000000" w:themeColor="text1"/>
          <w:sz w:val="16"/>
          <w:szCs w:val="16"/>
        </w:rPr>
        <w:softHyphen/>
        <w:t>ния штурмовой толстобронной САУ в виде 152-мм гаубицы-пушки МЛ-20 на шасси танка КВ-1 всего за 1,5-2 месяца.</w:t>
      </w:r>
    </w:p>
    <w:p w14:paraId="52F483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Предложение понравилось, но бюро самоходной артил</w:t>
      </w:r>
      <w:r w:rsidRPr="008127F8">
        <w:rPr>
          <w:rFonts w:ascii="Times New Roman" w:hAnsi="Times New Roman"/>
          <w:color w:val="000000" w:themeColor="text1"/>
          <w:sz w:val="16"/>
          <w:szCs w:val="16"/>
        </w:rPr>
        <w:softHyphen/>
        <w:t>лерии НКТП в этот момент было занято работами по созда</w:t>
      </w:r>
      <w:r w:rsidRPr="008127F8">
        <w:rPr>
          <w:rFonts w:ascii="Times New Roman" w:hAnsi="Times New Roman"/>
          <w:color w:val="000000" w:themeColor="text1"/>
          <w:sz w:val="16"/>
          <w:szCs w:val="16"/>
        </w:rPr>
        <w:softHyphen/>
        <w:t>нию универсальной повозки на шасси легких танков, и по</w:t>
      </w:r>
      <w:r w:rsidRPr="008127F8">
        <w:rPr>
          <w:rFonts w:ascii="Times New Roman" w:hAnsi="Times New Roman"/>
          <w:color w:val="000000" w:themeColor="text1"/>
          <w:sz w:val="16"/>
          <w:szCs w:val="16"/>
        </w:rPr>
        <w:softHyphen/>
        <w:t>тому установкой 152-мм гаубицы-пушки под индексом У-18 для тяжелой штурмовой САУ по решению ГКО занялись УЗТМ при участии ЧКЗ. На УЗТМ эскизный проект уста</w:t>
      </w:r>
      <w:r w:rsidRPr="008127F8">
        <w:rPr>
          <w:rFonts w:ascii="Times New Roman" w:hAnsi="Times New Roman"/>
          <w:color w:val="000000" w:themeColor="text1"/>
          <w:sz w:val="16"/>
          <w:szCs w:val="16"/>
        </w:rPr>
        <w:softHyphen/>
        <w:t>новки 152,4-мм гаубицы-пушки МЛ-20 под индексом У-18 был разработан конструкторами Г.Н. Рыбиным и К.Н. Иль</w:t>
      </w:r>
      <w:r w:rsidRPr="008127F8">
        <w:rPr>
          <w:rFonts w:ascii="Times New Roman" w:hAnsi="Times New Roman"/>
          <w:color w:val="000000" w:themeColor="text1"/>
          <w:sz w:val="16"/>
          <w:szCs w:val="16"/>
        </w:rPr>
        <w:softHyphen/>
        <w:t>иным, но работы по доводке проекта затянулись.</w:t>
      </w:r>
    </w:p>
    <w:p w14:paraId="0955EF5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Их работа значительно осложнялась тем, что по заказу ГАУ пришлось спешно выполнять проект 203,2-мм гаубицы обр. 1931 г. на шасси танка КВ, который шел под индексом У-19, причем данные работы велись параллельно с У-18. Од</w:t>
      </w:r>
      <w:r w:rsidRPr="008127F8">
        <w:rPr>
          <w:rFonts w:ascii="Times New Roman" w:hAnsi="Times New Roman"/>
          <w:color w:val="000000" w:themeColor="text1"/>
          <w:sz w:val="16"/>
          <w:szCs w:val="16"/>
        </w:rPr>
        <w:softHyphen/>
        <w:t>нако шасси 203,2-мм САУ получалось излишне перегружен</w:t>
      </w:r>
      <w:r w:rsidRPr="008127F8">
        <w:rPr>
          <w:rFonts w:ascii="Times New Roman" w:hAnsi="Times New Roman"/>
          <w:color w:val="000000" w:themeColor="text1"/>
          <w:sz w:val="16"/>
          <w:szCs w:val="16"/>
        </w:rPr>
        <w:softHyphen/>
        <w:t>ными, и работы по У-19 были отложены.</w:t>
      </w:r>
    </w:p>
    <w:p w14:paraId="40CB71E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временем для форсирования работ по 152-мм САУ в КБ ЧКЗ была создана специальная группа, в которую по приказу наркома танковой промышленности № 764 пере</w:t>
      </w:r>
      <w:r w:rsidRPr="008127F8">
        <w:rPr>
          <w:rFonts w:ascii="Times New Roman" w:hAnsi="Times New Roman"/>
          <w:color w:val="000000" w:themeColor="text1"/>
          <w:sz w:val="16"/>
          <w:szCs w:val="16"/>
        </w:rPr>
        <w:softHyphen/>
        <w:t>шли с УЗТМ конструкторы Н.В. Курин, Г.Н. Рыбин,</w:t>
      </w:r>
    </w:p>
    <w:p w14:paraId="57DCDB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К.Н. Ильин и В.А. Вишняков (11417).</w:t>
      </w:r>
    </w:p>
    <w:p w14:paraId="4EDA7C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2EE432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января 1942 года ГКО своим постановлением № 1110сс «отставил представленный трехорудийный образец КВ-7 и постановил вооружить КВ-7 спаренной установкой 76-мм орудий». </w:t>
      </w:r>
    </w:p>
    <w:p w14:paraId="036A59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Спаренная установка вооружения (заводской индекс У-14) была разработана в КБ УЗТМ в январе 1942 года конструкторами Н.В.Куриным, Т.Ф.Ксюниным и др.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21EA71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8127F8">
        <w:rPr>
          <w:rFonts w:ascii="Times New Roman" w:hAnsi="Times New Roman"/>
          <w:color w:val="000000" w:themeColor="text1"/>
          <w:sz w:val="16"/>
          <w:szCs w:val="16"/>
        </w:rPr>
        <w:t>выстр./</w:t>
      </w:r>
      <w:proofErr w:type="gramEnd"/>
      <w:r w:rsidRPr="008127F8">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3A03AC0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9EC421E" w14:textId="77777777" w:rsidR="008D722B" w:rsidRPr="008127F8" w:rsidRDefault="008D722B" w:rsidP="001E0A84">
      <w:pPr>
        <w:pStyle w:val="a4"/>
        <w:rPr>
          <w:color w:val="000000" w:themeColor="text1"/>
          <w:lang w:val="ru-RU"/>
        </w:rPr>
      </w:pPr>
      <w:r w:rsidRPr="008127F8">
        <w:rPr>
          <w:color w:val="000000" w:themeColor="text1"/>
          <w:lang w:val="ru-RU"/>
        </w:rPr>
        <w:t>6 января 1942, на следующий день после показа КВ-7 комиссии, Сталин собственноруч</w:t>
      </w:r>
      <w:r w:rsidRPr="008127F8">
        <w:rPr>
          <w:color w:val="000000" w:themeColor="text1"/>
          <w:lang w:val="ru-RU"/>
        </w:rPr>
        <w:softHyphen/>
        <w:t>но подготовил постановление ГКО №11 10сс «О производстве танков "КВ-7" и "КВ-8"»:</w:t>
      </w:r>
    </w:p>
    <w:p w14:paraId="37B1591B"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«1. Представленный 3-орудийный образец «КВ-7» отставить.</w:t>
      </w:r>
    </w:p>
    <w:p w14:paraId="29B44357" w14:textId="77777777" w:rsidR="008D722B" w:rsidRPr="008127F8" w:rsidRDefault="008D722B" w:rsidP="001E0A84">
      <w:pPr>
        <w:pStyle w:val="Bodytext141"/>
        <w:shd w:val="clear" w:color="auto" w:fill="auto"/>
        <w:tabs>
          <w:tab w:val="left" w:pos="539"/>
        </w:tabs>
        <w:spacing w:line="240" w:lineRule="auto"/>
        <w:ind w:firstLine="0"/>
        <w:jc w:val="both"/>
        <w:rPr>
          <w:i w:val="0"/>
          <w:color w:val="000000" w:themeColor="text1"/>
          <w:sz w:val="16"/>
          <w:szCs w:val="16"/>
        </w:rPr>
      </w:pPr>
      <w:r w:rsidRPr="008127F8">
        <w:rPr>
          <w:i w:val="0"/>
          <w:color w:val="000000" w:themeColor="text1"/>
          <w:sz w:val="16"/>
          <w:szCs w:val="16"/>
        </w:rPr>
        <w:t>2. Установить в «КВ-</w:t>
      </w:r>
      <w:r w:rsidRPr="008127F8">
        <w:rPr>
          <w:rStyle w:val="Bodytext14NotItalic14"/>
          <w:i w:val="0"/>
          <w:iCs w:val="0"/>
          <w:color w:val="000000" w:themeColor="text1"/>
          <w:sz w:val="16"/>
          <w:szCs w:val="16"/>
        </w:rPr>
        <w:t xml:space="preserve"> 7»</w:t>
      </w:r>
      <w:r w:rsidRPr="008127F8">
        <w:rPr>
          <w:i w:val="0"/>
          <w:color w:val="000000" w:themeColor="text1"/>
          <w:sz w:val="16"/>
          <w:szCs w:val="16"/>
        </w:rPr>
        <w:t xml:space="preserve"> спаренно 2 орудия 76 мм с горизонтальным углом поворота +/— 7,5° и вертикальным углом +15°—5°.</w:t>
      </w:r>
    </w:p>
    <w:p w14:paraId="038834FB" w14:textId="77777777" w:rsidR="008D722B" w:rsidRPr="008127F8" w:rsidRDefault="008D722B" w:rsidP="001E0A84">
      <w:pPr>
        <w:pStyle w:val="a4"/>
        <w:rPr>
          <w:color w:val="000000" w:themeColor="text1"/>
          <w:lang w:val="ru-RU"/>
        </w:rPr>
      </w:pPr>
      <w:r w:rsidRPr="008127F8">
        <w:rPr>
          <w:color w:val="000000" w:themeColor="text1"/>
          <w:lang w:val="ru-RU"/>
        </w:rPr>
        <w:t xml:space="preserve">3. Принять на вооружение и приступить к производству «КВ-8». </w:t>
      </w:r>
    </w:p>
    <w:p w14:paraId="1B652287" w14:textId="77777777" w:rsidR="008D722B" w:rsidRPr="008127F8" w:rsidRDefault="008D722B" w:rsidP="001E0A84">
      <w:pPr>
        <w:pStyle w:val="a4"/>
        <w:rPr>
          <w:color w:val="000000" w:themeColor="text1"/>
          <w:lang w:val="ru-RU"/>
        </w:rPr>
      </w:pPr>
      <w:r w:rsidRPr="008127F8">
        <w:rPr>
          <w:color w:val="000000" w:themeColor="text1"/>
          <w:lang w:val="ru-RU"/>
        </w:rPr>
        <w:t>4. Изготовить КВ-8 в январе месяце 10 штук, в феврале месяце 50 штук, устранив недостатки, отмеченные в акте от 5 января 1942 года</w:t>
      </w:r>
    </w:p>
    <w:p w14:paraId="11EA685E" w14:textId="77777777" w:rsidR="008D722B" w:rsidRPr="008127F8" w:rsidRDefault="008D722B" w:rsidP="001E0A84">
      <w:pPr>
        <w:pStyle w:val="a4"/>
        <w:rPr>
          <w:color w:val="000000" w:themeColor="text1"/>
          <w:lang w:val="ru-RU"/>
        </w:rPr>
      </w:pPr>
      <w:r w:rsidRPr="008127F8">
        <w:rPr>
          <w:color w:val="000000" w:themeColor="text1"/>
          <w:lang w:val="ru-RU"/>
        </w:rPr>
        <w:t>5. Изготовить серийный образец КВ-1 с установкой 122 мм к 25 ян</w:t>
      </w:r>
      <w:r w:rsidRPr="008127F8">
        <w:rPr>
          <w:color w:val="000000" w:themeColor="text1"/>
          <w:lang w:val="ru-RU"/>
        </w:rPr>
        <w:softHyphen/>
        <w:t>варя» (17484).</w:t>
      </w:r>
    </w:p>
    <w:p w14:paraId="68B29106" w14:textId="77777777" w:rsidR="008D722B" w:rsidRPr="008127F8" w:rsidRDefault="008D722B" w:rsidP="001E0A84">
      <w:pPr>
        <w:pStyle w:val="a4"/>
        <w:rPr>
          <w:color w:val="000000" w:themeColor="text1"/>
          <w:lang w:val="ru-RU"/>
        </w:rPr>
      </w:pPr>
    </w:p>
    <w:p w14:paraId="05047873"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января 1942 года И.В.С. подписал постановление ГКО №1110сс “О производстве танков “КВ-7” и “КВ-8”". Постановление Сталин написал от руки, лишнее доказательство того, кто являлся инициатором данного проекта. 27 января 1942 года заместителем начальника 2-го отдела НКТП С.А. Гинсбургом были подготовлены тактико-технические требования на новый вариант КВ-7. Боевая масса машины составляла 50-55 тонн, поскольку предполагалось увеличить толщину лобовой брони. Боекомплект составлял 120-150 унитаров, то есть на 60-75 залпов (23551).</w:t>
      </w:r>
    </w:p>
    <w:p w14:paraId="178D7C04" w14:textId="77777777" w:rsidR="00864A24" w:rsidRPr="008A2E5A" w:rsidRDefault="00864A24" w:rsidP="00864A24">
      <w:pPr>
        <w:spacing w:after="0" w:line="240" w:lineRule="auto"/>
        <w:jc w:val="both"/>
        <w:rPr>
          <w:rFonts w:ascii="Times New Roman" w:hAnsi="Times New Roman"/>
          <w:color w:val="0070C0"/>
          <w:sz w:val="16"/>
          <w:szCs w:val="16"/>
        </w:rPr>
      </w:pPr>
    </w:p>
    <w:p w14:paraId="257279D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вышло Постановление ГКО № 1114 О производстве танков Т-50. РГАНИР, Фонд ГКО, д. 18, лл. 197 (11012).</w:t>
      </w:r>
    </w:p>
    <w:p w14:paraId="33B8B46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FEC921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января 1942 г. ГКО было принято решение - танки Т-50 с производства снять и ориентировать г № 173 на производство средних танков Т-34. Всего за период прои ства было выпущено 75 танков Т-50, что ни в коей мере не могло уд летворить потребности действующей Красной Армии. Вот почему в конце июля 1941 г., учитывая невозможность быстрого освоения промышленностью выпуска танка Т-50, значительно более сложного и трудоемкого, чем танк Т-30, главный конструктор завода № 37 Н.А. Астров в чрезвычайно сжатые сроки (за две недели) спроектировал на базе (новных узлов и агрегатов малого танка Т-40 (Т-40С) новый легкий танк Т-60 с увеличенной толщиной броневой защиты лобовой части корпуса до 35 мм. </w:t>
      </w:r>
      <w:proofErr w:type="gramStart"/>
      <w:r w:rsidRPr="008127F8">
        <w:rPr>
          <w:rFonts w:ascii="Times New Roman" w:hAnsi="Times New Roman"/>
          <w:color w:val="000000" w:themeColor="text1"/>
          <w:sz w:val="16"/>
          <w:szCs w:val="16"/>
        </w:rPr>
        <w:t>Согласно проекту</w:t>
      </w:r>
      <w:proofErr w:type="gramEnd"/>
      <w:r w:rsidRPr="008127F8">
        <w:rPr>
          <w:rFonts w:ascii="Times New Roman" w:hAnsi="Times New Roman"/>
          <w:color w:val="000000" w:themeColor="text1"/>
          <w:sz w:val="16"/>
          <w:szCs w:val="16"/>
        </w:rPr>
        <w:t xml:space="preserve"> танк Т-60 первоначально был вооружен спаренной установкой 12,7-мм пулемета ДШК и 7,62-мм пулемета ДТ, однако в варианте для серийного производства предпочтение было от</w:t>
      </w:r>
      <w:r w:rsidRPr="008127F8">
        <w:rPr>
          <w:rFonts w:ascii="Times New Roman" w:hAnsi="Times New Roman"/>
          <w:color w:val="000000" w:themeColor="text1"/>
          <w:sz w:val="16"/>
          <w:szCs w:val="16"/>
        </w:rPr>
        <w:softHyphen/>
        <w:t>дано 20-мм автоматической пушке ТНШ (10703).</w:t>
      </w:r>
    </w:p>
    <w:p w14:paraId="41ADD75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52C2EE1"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года было принято постановление ГКО № 1144сс «О прекращении выпуска танков Т-50» (РГАСПИ. Ф. 644. Оп. 1. Д. 18. л. 197), предписывавшее начать производство этого танка на заводах № 173 и № 174. 7 марта - новое постановление № 1410сс «О организации производства танков Т-34 на заводе № 174», в соответствии с которым оба завода сливались в один, расположенный в Омске. Перевозка завода № 174 в Омск должна была завершиться к 15 апреля. Для неё выделялось 1500 вагонов для оборудования и 500 вагонов для людей. Для размещения работников завода из Омска предполагалось выселить 20.000 человек, а также выделить 100 стандартных брусовых домика.</w:t>
      </w:r>
    </w:p>
    <w:p w14:paraId="4B0F3FA2"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Объединённый завод должен был иметь собственное бронекорпусное производство, а в перспективе - создать свою металлургическую базу (в том числе, построить 6 мартеновских печей), литейное и кузнечное производство, то есть, стать ещё одним танкостроительным заводом-комбинатом. Для оснащения завода предусматривалось выделить ему 179 металлообрабатывающих станка разных типов и 4 штамповочных молота из числа неустановленного и неиспользованного оборудования с других заводов. Заводу предоставлялось право забирать оборудование неустановленной принадлежности с Омской эвакобазы. Наркомвнешторгу поручалось закупить для Омского завода 12 станков «Глиссон» для нарезки конических спиральных шестерён (производство станков такого типа в СССР было налажено только после войны).</w:t>
      </w:r>
    </w:p>
    <w:p w14:paraId="23091826"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завод дал первую продукцию - 9 танков Т-34. Правда, ранее в постановлении ГКО сроком начала производства был установлен май. В октябре месячное производство танков на заводе достигло 105 штук. Можно считать, что к этому моменту организация производства Т- 34 на заводе завершилась, хотя установленный постановлением ГКО № 1144сс уровень производства 250 танков в месяц так и не был достигнут (12290).</w:t>
      </w:r>
    </w:p>
    <w:p w14:paraId="2EF02BAB"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289E0E28"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января 1942 года И. В. Сталин подпи</w:t>
      </w:r>
      <w:r w:rsidRPr="008A2E5A">
        <w:rPr>
          <w:rFonts w:ascii="Times New Roman" w:hAnsi="Times New Roman"/>
          <w:color w:val="0070C0"/>
          <w:sz w:val="16"/>
          <w:szCs w:val="16"/>
        </w:rPr>
        <w:softHyphen/>
        <w:t>сал постановление ГКО № 1114сс «О танках Т-50», в котором говорилось:</w:t>
      </w:r>
    </w:p>
    <w:p w14:paraId="5291CC6D"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Прекратить производство танков Т-50 в связи с организацией производства танков Т-60 с броней 35 мм».</w:t>
      </w:r>
    </w:p>
    <w:p w14:paraId="3E5C5EC5"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же постановлением ГКО завод № 174 переключался на изготовление узлов для тан</w:t>
      </w:r>
      <w:r w:rsidRPr="008A2E5A">
        <w:rPr>
          <w:rFonts w:ascii="Times New Roman" w:hAnsi="Times New Roman"/>
          <w:color w:val="0070C0"/>
          <w:sz w:val="16"/>
          <w:szCs w:val="16"/>
        </w:rPr>
        <w:softHyphen/>
        <w:t>ка КВ: вентилятора, коробки перемены пере</w:t>
      </w:r>
      <w:r w:rsidRPr="008A2E5A">
        <w:rPr>
          <w:rFonts w:ascii="Times New Roman" w:hAnsi="Times New Roman"/>
          <w:color w:val="0070C0"/>
          <w:sz w:val="16"/>
          <w:szCs w:val="16"/>
        </w:rPr>
        <w:softHyphen/>
        <w:t>дач, главного и бортовых фрикционов. Под</w:t>
      </w:r>
      <w:r w:rsidRPr="008A2E5A">
        <w:rPr>
          <w:rFonts w:ascii="Times New Roman" w:hAnsi="Times New Roman"/>
          <w:color w:val="0070C0"/>
          <w:sz w:val="16"/>
          <w:szCs w:val="16"/>
        </w:rPr>
        <w:softHyphen/>
        <w:t>готовка к выпуску новой продукции началась с середины января 1942 года. Параллельно шла доделка и сдача последних Т-50, сбор</w:t>
      </w:r>
      <w:r w:rsidRPr="008A2E5A">
        <w:rPr>
          <w:rFonts w:ascii="Times New Roman" w:hAnsi="Times New Roman"/>
          <w:color w:val="0070C0"/>
          <w:sz w:val="16"/>
          <w:szCs w:val="16"/>
        </w:rPr>
        <w:softHyphen/>
        <w:t>ка которых началась еще в 1941 году. В янва</w:t>
      </w:r>
      <w:r w:rsidRPr="008A2E5A">
        <w:rPr>
          <w:rFonts w:ascii="Times New Roman" w:hAnsi="Times New Roman"/>
          <w:color w:val="0070C0"/>
          <w:sz w:val="16"/>
          <w:szCs w:val="16"/>
        </w:rPr>
        <w:softHyphen/>
        <w:t>ре- феврале завод № 174 сдал представителям военной приемки 15 новых машин и две ка</w:t>
      </w:r>
      <w:r w:rsidRPr="008A2E5A">
        <w:rPr>
          <w:rFonts w:ascii="Times New Roman" w:hAnsi="Times New Roman"/>
          <w:color w:val="0070C0"/>
          <w:sz w:val="16"/>
          <w:szCs w:val="16"/>
        </w:rPr>
        <w:softHyphen/>
        <w:t xml:space="preserve">питально отремонтированные, прибывшие </w:t>
      </w:r>
      <w:r w:rsidRPr="008A2E5A">
        <w:rPr>
          <w:rFonts w:ascii="Times New Roman" w:hAnsi="Times New Roman"/>
          <w:color w:val="0070C0"/>
          <w:sz w:val="16"/>
          <w:szCs w:val="16"/>
        </w:rPr>
        <w:lastRenderedPageBreak/>
        <w:t>с фронта. Таким образом, суммарный выпуск танков Т-50 в Чкалове составил 25 танков. Еще трем машинам, доставленным из Дей</w:t>
      </w:r>
      <w:r w:rsidRPr="008A2E5A">
        <w:rPr>
          <w:rFonts w:ascii="Times New Roman" w:hAnsi="Times New Roman"/>
          <w:color w:val="0070C0"/>
          <w:sz w:val="16"/>
          <w:szCs w:val="16"/>
        </w:rPr>
        <w:softHyphen/>
        <w:t>ствующей Армии, был проведен капитальный ремонт. Кстати, один ремонтный танк был учтен военпредом в приведенной выше докладной записке от 23 декабря 1941 года. Напомним, что в ней указано шесть сданных Т-50, девять прошедших сдаточный пробег и 11 находящихся на сборке, всего 26 штук.</w:t>
      </w:r>
    </w:p>
    <w:p w14:paraId="78AC77FD"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всего в 1941-1942 годах за</w:t>
      </w:r>
      <w:r w:rsidRPr="008A2E5A">
        <w:rPr>
          <w:rFonts w:ascii="Times New Roman" w:hAnsi="Times New Roman"/>
          <w:color w:val="0070C0"/>
          <w:sz w:val="16"/>
          <w:szCs w:val="16"/>
        </w:rPr>
        <w:softHyphen/>
        <w:t>вод № 174 изготовил 75 серийных танков Т-50 и два опытных образца.</w:t>
      </w:r>
    </w:p>
    <w:p w14:paraId="0B842F9B"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постановления ГКО от 6 ян</w:t>
      </w:r>
      <w:r w:rsidRPr="008A2E5A">
        <w:rPr>
          <w:rFonts w:ascii="Times New Roman" w:hAnsi="Times New Roman"/>
          <w:color w:val="0070C0"/>
          <w:sz w:val="16"/>
          <w:szCs w:val="16"/>
        </w:rPr>
        <w:softHyphen/>
        <w:t>варя 1941 года завод № 174 переключался на изготовление узлов для танка КВ: венти</w:t>
      </w:r>
      <w:r w:rsidRPr="008A2E5A">
        <w:rPr>
          <w:rFonts w:ascii="Times New Roman" w:hAnsi="Times New Roman"/>
          <w:color w:val="0070C0"/>
          <w:sz w:val="16"/>
          <w:szCs w:val="16"/>
        </w:rPr>
        <w:softHyphen/>
        <w:t>лятора, коробки перемены передач, главного и бортовых фрикционов. Подготовка к вы</w:t>
      </w:r>
      <w:r w:rsidRPr="008A2E5A">
        <w:rPr>
          <w:rFonts w:ascii="Times New Roman" w:hAnsi="Times New Roman"/>
          <w:color w:val="0070C0"/>
          <w:sz w:val="16"/>
          <w:szCs w:val="16"/>
        </w:rPr>
        <w:softHyphen/>
        <w:t>пуску новой продукции началась с середины января 1942 года.</w:t>
      </w:r>
    </w:p>
    <w:p w14:paraId="6923092D"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же постановлением упоминаемый выше завод № 173 в Омске, который так и не успел приступить к выпуску Т-50, полу</w:t>
      </w:r>
      <w:r w:rsidRPr="008A2E5A">
        <w:rPr>
          <w:rFonts w:ascii="Times New Roman" w:hAnsi="Times New Roman"/>
          <w:color w:val="0070C0"/>
          <w:sz w:val="16"/>
          <w:szCs w:val="16"/>
        </w:rPr>
        <w:softHyphen/>
        <w:t>чил новое задание - организовать производ</w:t>
      </w:r>
      <w:r w:rsidRPr="008A2E5A">
        <w:rPr>
          <w:rFonts w:ascii="Times New Roman" w:hAnsi="Times New Roman"/>
          <w:color w:val="0070C0"/>
          <w:sz w:val="16"/>
          <w:szCs w:val="16"/>
        </w:rPr>
        <w:softHyphen/>
        <w:t>ство узлов и деталей к танку Т-34, с одновре</w:t>
      </w:r>
      <w:r w:rsidRPr="008A2E5A">
        <w:rPr>
          <w:rFonts w:ascii="Times New Roman" w:hAnsi="Times New Roman"/>
          <w:color w:val="0070C0"/>
          <w:sz w:val="16"/>
          <w:szCs w:val="16"/>
        </w:rPr>
        <w:softHyphen/>
        <w:t>менной подготовкой к его серийному выпу</w:t>
      </w:r>
      <w:r w:rsidRPr="008A2E5A">
        <w:rPr>
          <w:rFonts w:ascii="Times New Roman" w:hAnsi="Times New Roman"/>
          <w:color w:val="0070C0"/>
          <w:sz w:val="16"/>
          <w:szCs w:val="16"/>
        </w:rPr>
        <w:softHyphen/>
        <w:t>ску. А 7 марта 1942 года постановлением ГКО № 1880 завод № 173 объединялся с заводом № 174 (соответственно последний переезжал из Чкалова в Омск). За объединенным пред</w:t>
      </w:r>
      <w:r w:rsidRPr="008A2E5A">
        <w:rPr>
          <w:rFonts w:ascii="Times New Roman" w:hAnsi="Times New Roman"/>
          <w:color w:val="0070C0"/>
          <w:sz w:val="16"/>
          <w:szCs w:val="16"/>
        </w:rPr>
        <w:softHyphen/>
        <w:t>приятием закрепили № 174, и оно приступа</w:t>
      </w:r>
      <w:r w:rsidRPr="008A2E5A">
        <w:rPr>
          <w:rFonts w:ascii="Times New Roman" w:hAnsi="Times New Roman"/>
          <w:color w:val="0070C0"/>
          <w:sz w:val="16"/>
          <w:szCs w:val="16"/>
        </w:rPr>
        <w:softHyphen/>
        <w:t>ло к подготовке производства Т-34 (23380).</w:t>
      </w:r>
    </w:p>
    <w:p w14:paraId="0023E236" w14:textId="77777777" w:rsidR="00864A24" w:rsidRPr="008A2E5A" w:rsidRDefault="00864A24" w:rsidP="00864A24">
      <w:pPr>
        <w:spacing w:after="0" w:line="240" w:lineRule="auto"/>
        <w:jc w:val="both"/>
        <w:rPr>
          <w:rFonts w:ascii="Times New Roman" w:hAnsi="Times New Roman"/>
          <w:color w:val="0070C0"/>
          <w:sz w:val="16"/>
          <w:szCs w:val="16"/>
        </w:rPr>
      </w:pPr>
    </w:p>
    <w:p w14:paraId="7BA9E371"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6 января 1942 г. ГКО решил полностью свернуть выпуск легкого танка Т-50 и перестроить заводы, занятые в его изготовлении. Одной из причин стало фактическое отсутствие двигателей В-4 для этого танка. В этих условиях чкаловский завод № 174 приступил к организации производства узлов и агрегатов танка КВ для Кировского завода. Омский завод № 173 начал подготовку выпуска Т-34, а саратовский завод должен был переориентироваться с выпуска корпусов Т-50 на броневые корпуса к другому легкому танку - Т-60 для сталинградского завода № 264[445]. В марте 1942 г. закончилась недолгая история танкового производства в Чкалове. По решению советского руководства чкаловский завод переводился в Омск и объединялся с заводом № 173 для совместного производства Т-34. Так появился омский завод № 174 НКТП. В Чкалове оставался только выпуск </w:t>
      </w:r>
      <w:proofErr w:type="gramStart"/>
      <w:r w:rsidRPr="008A2E5A">
        <w:rPr>
          <w:rFonts w:ascii="Times New Roman" w:hAnsi="Times New Roman"/>
          <w:color w:val="0070C0"/>
          <w:sz w:val="16"/>
          <w:szCs w:val="16"/>
        </w:rPr>
        <w:t>боеприпасов[</w:t>
      </w:r>
      <w:proofErr w:type="gramEnd"/>
      <w:r w:rsidRPr="008A2E5A">
        <w:rPr>
          <w:rFonts w:ascii="Times New Roman" w:hAnsi="Times New Roman"/>
          <w:color w:val="0070C0"/>
          <w:sz w:val="16"/>
          <w:szCs w:val="16"/>
        </w:rPr>
        <w:t>446].</w:t>
      </w:r>
    </w:p>
    <w:p w14:paraId="3F875E3D"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января 1942 г. строящиеся новые площадки вместо планируемого изначально выпуска легкого танка были переориентированы на изготовление Т-34. Барнаульские заводы были объединены в единое предприятие под индексом С-10. Челябинский завод получил индекс С-70. Тогда же начались работы по выделению бывшей площадки «Стройсемь» из состава завода № 200 для будущего С-70[447]. Но уже в марте 1942 г. все работы по созданию нового завода в Челябинске были свернуты, и недостроенные мощности влились обратно в состав завода № 200[448].</w:t>
      </w:r>
    </w:p>
    <w:p w14:paraId="47371982"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Решение о начале создания новых танковых производств изначально выглядело более чем спорно. В момент, когда страна встает перед колоссальной проблемой восстановления эвакуированных мощностей, возникает задача строительства новых. Это неизбежное и ненужное распыление ресурсов впоследствии было осознано, и новое строительство было прекращено (23536).</w:t>
      </w:r>
    </w:p>
    <w:p w14:paraId="27DA77C7" w14:textId="77777777" w:rsidR="00864A24" w:rsidRPr="008A2E5A" w:rsidRDefault="00864A24" w:rsidP="00864A24">
      <w:pPr>
        <w:spacing w:after="0" w:line="240" w:lineRule="auto"/>
        <w:jc w:val="both"/>
        <w:rPr>
          <w:rFonts w:ascii="Times New Roman" w:hAnsi="Times New Roman"/>
          <w:color w:val="0070C0"/>
          <w:sz w:val="16"/>
          <w:szCs w:val="16"/>
        </w:rPr>
      </w:pPr>
    </w:p>
    <w:p w14:paraId="4EC80BFF" w14:textId="77777777" w:rsidR="00F658A1" w:rsidRPr="008127F8" w:rsidRDefault="00F658A1" w:rsidP="001E0A84">
      <w:pPr>
        <w:spacing w:after="0" w:line="240" w:lineRule="auto"/>
        <w:jc w:val="both"/>
        <w:rPr>
          <w:rStyle w:val="a8"/>
          <w:rFonts w:ascii="Times New Roman" w:hAnsi="Times New Roman"/>
          <w:b w:val="0"/>
          <w:color w:val="000000" w:themeColor="text1"/>
          <w:sz w:val="16"/>
          <w:szCs w:val="16"/>
        </w:rPr>
      </w:pPr>
      <w:r w:rsidRPr="008127F8">
        <w:rPr>
          <w:rFonts w:ascii="Times New Roman" w:hAnsi="Times New Roman"/>
          <w:color w:val="000000" w:themeColor="text1"/>
          <w:sz w:val="16"/>
          <w:szCs w:val="16"/>
        </w:rPr>
        <w:t>6 января 1942 г. постановление ГКО №1110 от одновременно поставили крест на дальнейших работах отдела №520 завода №183 по теме Т-34-3, но, в тоже время, должны были стимулировать и подхлестнуть работы УТЗ в направлении создания огнеметной машины Т-34-2, однако этого также не произошло. Виной тому была крайне тяжелая ситуация, сложившаяся на заводе в конце декабря 1941– январе 1942 года, с выпуском серийной продукции, ориентация работы КБ со стороны А.А.Морозова на проект Т-34М, а так же приоритетное продолжение работ по усилению конкретно артиллерийского вооружения танка (16267).</w:t>
      </w:r>
    </w:p>
    <w:p w14:paraId="6B811D69" w14:textId="77777777" w:rsidR="00F658A1" w:rsidRPr="008127F8" w:rsidRDefault="00F658A1" w:rsidP="001E0A84">
      <w:pPr>
        <w:spacing w:after="0" w:line="240" w:lineRule="auto"/>
        <w:jc w:val="both"/>
        <w:rPr>
          <w:rStyle w:val="a8"/>
          <w:rFonts w:ascii="Times New Roman" w:hAnsi="Times New Roman"/>
          <w:b w:val="0"/>
          <w:color w:val="000000" w:themeColor="text1"/>
          <w:sz w:val="16"/>
          <w:szCs w:val="16"/>
        </w:rPr>
      </w:pPr>
    </w:p>
    <w:p w14:paraId="29FFDC1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января 1942 г. Беседа с майором армии США г. Корногом</w:t>
      </w:r>
    </w:p>
    <w:p w14:paraId="57ABDE29"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Присутствовали военный атташе США майор Андик, Алексе</w:t>
      </w:r>
      <w:r w:rsidRPr="008A2E5A">
        <w:rPr>
          <w:rFonts w:ascii="Times New Roman" w:hAnsi="Times New Roman"/>
          <w:color w:val="0070C0"/>
          <w:sz w:val="16"/>
          <w:szCs w:val="16"/>
        </w:rPr>
        <w:softHyphen/>
        <w:t>ев, Полянский, Коротаев, Чернухин.</w:t>
      </w:r>
    </w:p>
    <w:p w14:paraId="7776A960"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Майор Корног: «Лучше бы разгрузку прибывших автомашин произодить в порту Бендер-Шахпур, по железной дороге транспортировать их до станции Андимешк и далее своим ходом. От советской стороны нужно командира и штат квали</w:t>
      </w:r>
      <w:r w:rsidRPr="008A2E5A">
        <w:rPr>
          <w:rFonts w:ascii="Times New Roman" w:hAnsi="Times New Roman"/>
          <w:color w:val="0070C0"/>
          <w:sz w:val="16"/>
          <w:szCs w:val="16"/>
        </w:rPr>
        <w:softHyphen/>
        <w:t>фицированных людей 25 человек, которые будут контроли</w:t>
      </w:r>
      <w:r w:rsidRPr="008A2E5A">
        <w:rPr>
          <w:rFonts w:ascii="Times New Roman" w:hAnsi="Times New Roman"/>
          <w:color w:val="0070C0"/>
          <w:sz w:val="16"/>
          <w:szCs w:val="16"/>
        </w:rPr>
        <w:softHyphen/>
        <w:t>ровать правильность сборки автомашин и знакомить ваших прибывающих шоферов с новыми марками машин.</w:t>
      </w:r>
    </w:p>
    <w:p w14:paraId="1E4CC9F4"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автомашин мотор и задний мост собраны и поставлены на шасси, нужно только одеть кабину и кузов. Будем монтиро</w:t>
      </w:r>
      <w:r w:rsidRPr="008A2E5A">
        <w:rPr>
          <w:rFonts w:ascii="Times New Roman" w:hAnsi="Times New Roman"/>
          <w:color w:val="0070C0"/>
          <w:sz w:val="16"/>
          <w:szCs w:val="16"/>
        </w:rPr>
        <w:softHyphen/>
        <w:t>вать 2000 автомашин в месяц.</w:t>
      </w:r>
    </w:p>
    <w:p w14:paraId="02EC55B5"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Машины поступят между 1 и 10 февраля 1942 года. В сутки бу</w:t>
      </w:r>
      <w:r w:rsidRPr="008A2E5A">
        <w:rPr>
          <w:rFonts w:ascii="Times New Roman" w:hAnsi="Times New Roman"/>
          <w:color w:val="0070C0"/>
          <w:sz w:val="16"/>
          <w:szCs w:val="16"/>
        </w:rPr>
        <w:softHyphen/>
        <w:t>дет производиться монтаж 70-80 автомашин — трехтонные «Студебеккер», «Додж», «Шевроле», «Даймонд», «Броклей».</w:t>
      </w:r>
    </w:p>
    <w:p w14:paraId="3FA0BFD8"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сборки и проверки прибывающих в ящиках в виде сбо</w:t>
      </w:r>
      <w:r w:rsidRPr="008A2E5A">
        <w:rPr>
          <w:rFonts w:ascii="Times New Roman" w:hAnsi="Times New Roman"/>
          <w:color w:val="0070C0"/>
          <w:sz w:val="16"/>
          <w:szCs w:val="16"/>
        </w:rPr>
        <w:softHyphen/>
        <w:t>рочных комплектов автомашин в кратчайшие сроки были по</w:t>
      </w:r>
      <w:r w:rsidRPr="008A2E5A">
        <w:rPr>
          <w:rFonts w:ascii="Times New Roman" w:hAnsi="Times New Roman"/>
          <w:color w:val="0070C0"/>
          <w:sz w:val="16"/>
          <w:szCs w:val="16"/>
        </w:rPr>
        <w:softHyphen/>
        <w:t>строены автосборочные заводы в порту Хорремшехр и в порту Бушир. В середине 1943 года приступили к работе автосбороч</w:t>
      </w:r>
      <w:r w:rsidRPr="008A2E5A">
        <w:rPr>
          <w:rFonts w:ascii="Times New Roman" w:hAnsi="Times New Roman"/>
          <w:color w:val="0070C0"/>
          <w:sz w:val="16"/>
          <w:szCs w:val="16"/>
        </w:rPr>
        <w:softHyphen/>
        <w:t>ные заводы в Шуайбе (Ирак) и в Андимешке. На всех автосбо</w:t>
      </w:r>
      <w:r w:rsidRPr="008A2E5A">
        <w:rPr>
          <w:rFonts w:ascii="Times New Roman" w:hAnsi="Times New Roman"/>
          <w:color w:val="0070C0"/>
          <w:sz w:val="16"/>
          <w:szCs w:val="16"/>
        </w:rPr>
        <w:softHyphen/>
        <w:t>рочных заводах администрация и инженерно-технический со</w:t>
      </w:r>
      <w:r w:rsidRPr="008A2E5A">
        <w:rPr>
          <w:rFonts w:ascii="Times New Roman" w:hAnsi="Times New Roman"/>
          <w:color w:val="0070C0"/>
          <w:sz w:val="16"/>
          <w:szCs w:val="16"/>
        </w:rPr>
        <w:softHyphen/>
        <w:t>став — офицеры и сержанты армии США, рабочие — местные жители, приемщики продукции - советские военные специали</w:t>
      </w:r>
      <w:r w:rsidRPr="008A2E5A">
        <w:rPr>
          <w:rFonts w:ascii="Times New Roman" w:hAnsi="Times New Roman"/>
          <w:color w:val="0070C0"/>
          <w:sz w:val="16"/>
          <w:szCs w:val="16"/>
        </w:rPr>
        <w:softHyphen/>
        <w:t>сты.</w:t>
      </w:r>
    </w:p>
    <w:p w14:paraId="14EC9911"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Собирали автомашины на берегу, вручную. Со временем для рабочих были построены бараки, налажен быт и питание.</w:t>
      </w:r>
    </w:p>
    <w:p w14:paraId="53B8D241"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Автосборочный завод в Басре (Шуайбе) представлял собой каркас из металлоконструкций, установленный на бетонное ос</w:t>
      </w:r>
      <w:r w:rsidRPr="008A2E5A">
        <w:rPr>
          <w:rFonts w:ascii="Times New Roman" w:hAnsi="Times New Roman"/>
          <w:color w:val="0070C0"/>
          <w:sz w:val="16"/>
          <w:szCs w:val="16"/>
        </w:rPr>
        <w:softHyphen/>
        <w:t>нование. Имелись краны, лебедки, агрегаты для зарядки акку</w:t>
      </w:r>
      <w:r w:rsidRPr="008A2E5A">
        <w:rPr>
          <w:rFonts w:ascii="Times New Roman" w:hAnsi="Times New Roman"/>
          <w:color w:val="0070C0"/>
          <w:sz w:val="16"/>
          <w:szCs w:val="16"/>
        </w:rPr>
        <w:softHyphen/>
        <w:t>муляторов.</w:t>
      </w:r>
    </w:p>
    <w:p w14:paraId="7466E07A"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Хорремшехре ящики с машинокомплектами с порта пере</w:t>
      </w:r>
      <w:r w:rsidRPr="008A2E5A">
        <w:rPr>
          <w:rFonts w:ascii="Times New Roman" w:hAnsi="Times New Roman"/>
          <w:color w:val="0070C0"/>
          <w:sz w:val="16"/>
          <w:szCs w:val="16"/>
        </w:rPr>
        <w:softHyphen/>
        <w:t>мещались сразу на автосборочный завод, где собирались на производственных линиях и выкатывались на другом конце ли</w:t>
      </w:r>
      <w:r w:rsidRPr="008A2E5A">
        <w:rPr>
          <w:rFonts w:ascii="Times New Roman" w:hAnsi="Times New Roman"/>
          <w:color w:val="0070C0"/>
          <w:sz w:val="16"/>
          <w:szCs w:val="16"/>
        </w:rPr>
        <w:softHyphen/>
        <w:t>нии уже готовыми к движению на север.</w:t>
      </w:r>
    </w:p>
    <w:p w14:paraId="29BE927F"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Автосборочный завод в Рафадайе (Бушир) работал анало</w:t>
      </w:r>
      <w:r w:rsidRPr="008A2E5A">
        <w:rPr>
          <w:rFonts w:ascii="Times New Roman" w:hAnsi="Times New Roman"/>
          <w:color w:val="0070C0"/>
          <w:sz w:val="16"/>
          <w:szCs w:val="16"/>
        </w:rPr>
        <w:softHyphen/>
        <w:t>гично.</w:t>
      </w:r>
    </w:p>
    <w:p w14:paraId="0F06D474"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Автосборочный завод в Андимешке был построен американ</w:t>
      </w:r>
      <w:r w:rsidRPr="008A2E5A">
        <w:rPr>
          <w:rFonts w:ascii="Times New Roman" w:hAnsi="Times New Roman"/>
          <w:color w:val="0070C0"/>
          <w:sz w:val="16"/>
          <w:szCs w:val="16"/>
        </w:rPr>
        <w:softHyphen/>
        <w:t>цами рядом с железнодорожной станцией. Общая площадь — 100 000 кв. м. Сборочный корпус представлял собой одно</w:t>
      </w:r>
      <w:r w:rsidRPr="008A2E5A">
        <w:rPr>
          <w:rFonts w:ascii="Times New Roman" w:hAnsi="Times New Roman"/>
          <w:color w:val="0070C0"/>
          <w:sz w:val="16"/>
          <w:szCs w:val="16"/>
        </w:rPr>
        <w:softHyphen/>
        <w:t>этажное здание из металлоконструкций площадью 4600 кв. м. Территория завода была выложена бетонными плитами. Вокруг завода и в здании проложены железнодорожные пути. Длина здания около 100 м, ширина — 15 м. Пол — бетонные плиты. В здании — три крана на гусеничном ходу грузоподъемностью около 5 тонн, три железнодорожных крана по 10 тонн.</w:t>
      </w:r>
    </w:p>
    <w:p w14:paraId="1411101A"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Ежемесячно собиралось и отправлялось в СССР не менее 3000 автомобилей. В Андимешке за весь период работы было собрано почти 78 000 автомашин.</w:t>
      </w:r>
    </w:p>
    <w:p w14:paraId="6DA3847E"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было собрано 191 075 автомобилей, в том числе 184 112 — для СССР. При автосборочных заводах были созданы пункты приемки собранных автомобилей от американцев и ан</w:t>
      </w:r>
      <w:r w:rsidRPr="008A2E5A">
        <w:rPr>
          <w:rFonts w:ascii="Times New Roman" w:hAnsi="Times New Roman"/>
          <w:color w:val="0070C0"/>
          <w:sz w:val="16"/>
          <w:szCs w:val="16"/>
        </w:rPr>
        <w:softHyphen/>
        <w:t>гличан и лагеря формирования автоколонн (24342).</w:t>
      </w:r>
    </w:p>
    <w:p w14:paraId="351EC7D1" w14:textId="77777777" w:rsidR="00864A24" w:rsidRPr="008A2E5A" w:rsidRDefault="00864A24" w:rsidP="00864A24">
      <w:pPr>
        <w:spacing w:after="0" w:line="240" w:lineRule="auto"/>
        <w:jc w:val="both"/>
        <w:rPr>
          <w:rFonts w:ascii="Times New Roman" w:hAnsi="Times New Roman"/>
          <w:color w:val="0070C0"/>
          <w:sz w:val="16"/>
          <w:szCs w:val="16"/>
        </w:rPr>
      </w:pPr>
    </w:p>
    <w:p w14:paraId="535234F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6 января 1942 вышло Постановление ГКО № 1111 О производстве твердых сплавов и металлокерамических сердечников на Московском комбинате твердых сплавов. (7019, 162-163).</w:t>
      </w:r>
    </w:p>
    <w:p w14:paraId="13C5B554" w14:textId="77777777" w:rsidR="00D4651C" w:rsidRPr="008127F8" w:rsidRDefault="00D4651C" w:rsidP="001E0A84">
      <w:pPr>
        <w:pStyle w:val="Iauiue"/>
        <w:tabs>
          <w:tab w:val="left" w:pos="11199"/>
        </w:tabs>
        <w:jc w:val="both"/>
        <w:rPr>
          <w:color w:val="000000" w:themeColor="text1"/>
          <w:sz w:val="16"/>
          <w:szCs w:val="16"/>
        </w:rPr>
      </w:pPr>
    </w:p>
    <w:p w14:paraId="22CA1EB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6 января 1942 вышло Постановление ГКО № 1112 О мероприятиях по обеспечению производства (сдачи) средств связи для Главного управления связи Красной Армии в I квартале 1942 г. (7019, 164-172,173-178).</w:t>
      </w:r>
    </w:p>
    <w:p w14:paraId="3F0881EF" w14:textId="77777777" w:rsidR="00D4651C" w:rsidRPr="008127F8" w:rsidRDefault="00D4651C" w:rsidP="001E0A84">
      <w:pPr>
        <w:pStyle w:val="Iauiue"/>
        <w:tabs>
          <w:tab w:val="left" w:pos="11199"/>
        </w:tabs>
        <w:jc w:val="both"/>
        <w:rPr>
          <w:color w:val="000000" w:themeColor="text1"/>
          <w:sz w:val="16"/>
          <w:szCs w:val="16"/>
        </w:rPr>
      </w:pPr>
    </w:p>
    <w:p w14:paraId="446D7D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вышло Постановление ГКО № 1113 О восстановлении производства грузовых машин на автозаводе им. Сталина. РГАНИР, Фонд ГКО, д. 18, лл. 179-186, 187-196 (11012).</w:t>
      </w:r>
    </w:p>
    <w:p w14:paraId="377647E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FB0BC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Госкомитет обороны принял постановления о возобновлении производства грузовиков на Московском автозаводе им. Сталина, а также о возвращении в Москву части аппарата Главнефтесбыта и Наркомугля. Возвращать в столицу остальные наркоматы пока не решились, но на следующий день было принято решение организовать здесь их оперативные группы. В то же время штабы Западного и Калининского фронтов получили приказ продолжать наступление, окружить и уничтожить группу армий «Центр» (11774).</w:t>
      </w:r>
    </w:p>
    <w:p w14:paraId="4A2D668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AC3E3AC" w14:textId="77777777" w:rsidR="00346683"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58021D04" w14:textId="77777777" w:rsidR="00346683" w:rsidRPr="008127F8" w:rsidRDefault="00346683" w:rsidP="001E0A84">
      <w:pPr>
        <w:pStyle w:val="Iauiue"/>
        <w:jc w:val="both"/>
        <w:rPr>
          <w:iCs/>
          <w:color w:val="000000" w:themeColor="text1"/>
          <w:sz w:val="16"/>
          <w:szCs w:val="16"/>
        </w:rPr>
      </w:pPr>
    </w:p>
    <w:p w14:paraId="642012FE"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3D8593BC"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6 января наши войска вели бои с противником на всех фронтах.</w:t>
      </w:r>
    </w:p>
    <w:p w14:paraId="488157A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за один день боёв (Западный фронт) захватила у противника 42 грузовых и 7 легковых автомашин, 3 тягача, 4 походных кухни, 4 мотоцикла, 20 ящиков снарядов. На другом участке наше подразделение, преследуя отступающего противника, уничтожило 40 немецких солдат и офицеров и захватило 3 орудия, 10 пулемётов, 2 автомашины и 2 радиостанции.</w:t>
      </w:r>
    </w:p>
    <w:p w14:paraId="250BAE81"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Артиллеристы одной нашей части, действующей на Южном фронте, за один день боевых действий разрушили 2 вражеских блиндажа, одну </w:t>
      </w:r>
      <w:proofErr w:type="gramStart"/>
      <w:r w:rsidRPr="008127F8">
        <w:rPr>
          <w:rFonts w:ascii="Times New Roman" w:hAnsi="Times New Roman"/>
          <w:color w:val="000000" w:themeColor="text1"/>
          <w:sz w:val="16"/>
          <w:szCs w:val="16"/>
        </w:rPr>
        <w:t>дерево-земляную</w:t>
      </w:r>
      <w:proofErr w:type="gramEnd"/>
      <w:r w:rsidRPr="008127F8">
        <w:rPr>
          <w:rFonts w:ascii="Times New Roman" w:hAnsi="Times New Roman"/>
          <w:color w:val="000000" w:themeColor="text1"/>
          <w:sz w:val="16"/>
          <w:szCs w:val="16"/>
        </w:rPr>
        <w:t xml:space="preserve"> огневую точку, уничтожили немецкую артиллерийскую батарею и рассеяли до двух взводов вражеской пехоты.</w:t>
      </w:r>
    </w:p>
    <w:p w14:paraId="4C325DBC"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лётчики, действующие на Ленинградском фронте, произвели успешный налёт на воинские железнодорожные эшелоны противника и уничтожили 36 вагонов с пехотой и военными грузами.</w:t>
      </w:r>
    </w:p>
    <w:p w14:paraId="4342CB17"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советских разведчиков внезапно атаковало немецкий отряд, находившийся в селении Алферьево, и истребило около 250 фашистов. При бегстве из деревни немцы побросали оружие и военное имущество. Командир взвода Никитин вместе с 3 красноармейцами-разведчиками первым ворвался в село и уничтожил из автомата 13 немцев, в том числе 2 офицеров.</w:t>
      </w:r>
    </w:p>
    <w:p w14:paraId="74760A5E"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Партизанский отряд под командованием тов. П., действующий в нескольких оккупированных немцами районах Ленинградской области, за всё время своей деятельности истребил 1.483 немецких солдата и офицера, уничтожил 68 автомашин, 4 цистерны с горючим, 3 танка, 3 бронемашины, 28 мотоциклов, 120 бочек с горючим и пустил под откос один воинский эшелон. Отряд захватил 4 противотанковых ружья, 350 винтовок, 7 автомашин и другое военное имущество.</w:t>
      </w:r>
    </w:p>
    <w:p w14:paraId="6F78B04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Приводим выдержку из письма к родным, найденного у замёрзшего немецкого солдата Иозефа Гааса: «Не знаю, дойдут ли до вас эти строки. Мы сейчас начали отступать. Знаете ли вы, что такое отступление в русскую зиму? Наполеон это знал. Мы отступаем при 35-градусном морозе; кругом буря и снега. Сейчас так тяжело, болит сердце. Ветер сердито завывает. Ноги и руки обморожены. Я больше не могу...».</w:t>
      </w:r>
    </w:p>
    <w:p w14:paraId="040EB46A"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Туркмении внесли в фонд обороны страны 11 миллионов 371 тысячу рублей деньгами и на 51 миллион 267 тысяч рублей облигаций госзаймов. Колхозница сельхозартели «Красный Октябрь», Ашхабадского района, тов. Нанаева Hyp Набат внесла 1.400 граммов серебра, колхозница сельхозартели имени Кирова, Геок-Тепинского района, Огуль Сапор Дурдыева сдала золотые часы и 760 граммов серебряных украшений. Всего трудящиеся Туркмении внесли в фонд обороны 5 тонн серебра. Кроме того, колхозники и колхозы республики сдали в фонд обороны 15 тысяч голов крупного и мелкого скота. Один только колхоз «Двадцать лет Октября», Тахта-Базарского района, сдал 600 овец и коз.» (15001).</w:t>
      </w:r>
    </w:p>
    <w:p w14:paraId="432BF14B"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07D49939"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206E46C"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6 января на ряде участков фронта наши войска продолжали наступление и заняли несколько населённых пунктов. В ходе боёв немецко-фашистским войскам нанесён большой урон в живой силе и технике.</w:t>
      </w:r>
    </w:p>
    <w:p w14:paraId="5D75A60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января уничтожено 14 немецких самолётов, наши потери — 6 самолётов.</w:t>
      </w:r>
    </w:p>
    <w:p w14:paraId="056E32A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января под Москвой сбито 2 немецких самолёта. Наши корабли в Баренцевом море потопили два транспорта и один сторожевой корабль противника.</w:t>
      </w:r>
    </w:p>
    <w:p w14:paraId="6F99392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части нашей авиации уничтожили 13 немецких танков, более 780 автомашин с пехотой и грузами, 13 орудий с прислугой, свыше 320 повозок с боеприпасами, повредили железнодорожный мост, разрушили в ряде мест железнодорожное полотно, подожгли несколько железнодорожных эшелонов, рассеяли и частью истребили до четырёх батальонов пехоты противника.</w:t>
      </w:r>
    </w:p>
    <w:p w14:paraId="6432983C"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тов. Латышева в течение двух дней вела ожесточённые бои с противником за населённый пункт Л. (Западный фронт). Перейдя в атаку, наши бойцы захватили пункт Л. и нанесли немцам большие потери. На поле боя осталось свыше 700 трупов вражеских солдат и офицеров. Захвачены трофеи: дальнобойное орудие, 3 противотанковых орудия, 4 миномёта, 12 станковых пулемётов, 18 автоматов, другое вооружение и боеприпасы.</w:t>
      </w:r>
    </w:p>
    <w:p w14:paraId="0407146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Гордова в ожесточённом бою с противником на одном из участков Юго-Западного фронта заняли железнодорожную станцию и захватили 19 немецких орудий, бронемашину, 25 автомашин, несколько пулемётов и автоматов.</w:t>
      </w:r>
    </w:p>
    <w:p w14:paraId="1EA7A99D"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красноармейца-автоматчика под командованием младшего лейтенанта Сандетского совершили внезапный налёт на деревню С., в которой остановилась отступающая немецкая часть. Открыв огонь с четырёх сторон, отважные бойцы истребили 90 вражеских солдат и офицеров.</w:t>
      </w:r>
    </w:p>
    <w:p w14:paraId="2122A3DC"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Головаково (Московская область) гитлеровцы учинили зверскую расправу над крестьянином Петром Зуйковым. Бандиты изрезали ему лицо, грудь и руки, выкололи глаза, а затем ломом проломили череп.</w:t>
      </w:r>
    </w:p>
    <w:p w14:paraId="48F4EEC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Продовольственное положение Германии ухудшается с каждым днём. В ряде городов, в том числе в Гамбурге, населению до сих пор не выданы продовольственные карточки на январь. Изголодавшиеся жители городов круглые сутки дежурят у продуктовых магазинов и складов. 2 января в Гамбурге голодная толпа женщин разгромила три магазина и тяжело ранила при этом двух полицейских.</w:t>
      </w:r>
    </w:p>
    <w:p w14:paraId="77787F6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машиностроительных заводов Урала закончено сооружение двух производственных корпусов площадью в десять тысяч квадратных метров. Большую помощь строителям оказало местное население. На площадке работали тысячи служащих, рабочих, студентов и домашних хозяек. Корпуса построены за 12 дней. После окончания постройки многие строители изъявили желание остаться работать на монтаже оборудования.</w:t>
      </w:r>
    </w:p>
    <w:p w14:paraId="64BBDCEB"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 немецкой армии для успокоения населения Германии опубликовало очередное лживое сообщение о «победе» фашистской авиации. Оказывается, что за период с 27 декабря по 2 января немцами якобы сбито 98 советских самолётов, а потеряли они всего-навсего 12 самолётов. Эти насквозь фальшивые и смехотворные данные придуманы гитлеровцами для того, чтобы несколько прикрыть неудачи немецко-фашистских войск на советско-германском фронте. На самом деле, немецкая авиация потеряла за указанный период 110 самолётов. Потери советской авиации за это же время — 25 самолётов.» (15001).</w:t>
      </w:r>
    </w:p>
    <w:p w14:paraId="16170934"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29C5B29E" w14:textId="77777777" w:rsidR="0032416F" w:rsidRPr="008127F8" w:rsidRDefault="003241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первая фаза зимнего контрнаступления советских войск 1941-1942 годов подходит к концу через 33 дня. С начала 5 -го декабря 1941 года ВВС СССР выполнили 16,000 самолетовылетов в поддержку наступлния, около половины из них для прямой поддержки сухопутных войск и около 70 процентов из них для наступления в северном секторе (20793).</w:t>
      </w:r>
    </w:p>
    <w:p w14:paraId="20622D58" w14:textId="77777777" w:rsidR="0032416F" w:rsidRPr="008127F8" w:rsidRDefault="0032416F" w:rsidP="001E0A84">
      <w:pPr>
        <w:spacing w:after="0" w:line="240" w:lineRule="auto"/>
        <w:jc w:val="both"/>
        <w:rPr>
          <w:rFonts w:ascii="Times New Roman" w:hAnsi="Times New Roman"/>
          <w:color w:val="000000" w:themeColor="text1"/>
          <w:sz w:val="16"/>
          <w:szCs w:val="16"/>
        </w:rPr>
      </w:pPr>
    </w:p>
    <w:p w14:paraId="0CC8BD9A" w14:textId="77777777" w:rsidR="00E04996" w:rsidRPr="008127F8" w:rsidRDefault="00E04996"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0C1E68C8" w14:textId="77777777" w:rsidR="00E04996" w:rsidRPr="008127F8" w:rsidRDefault="00E04996" w:rsidP="001E0A84">
      <w:pPr>
        <w:pStyle w:val="Iauiue"/>
        <w:jc w:val="both"/>
        <w:rPr>
          <w:iCs/>
          <w:color w:val="000000" w:themeColor="text1"/>
          <w:sz w:val="16"/>
          <w:szCs w:val="16"/>
        </w:rPr>
      </w:pPr>
    </w:p>
    <w:p w14:paraId="05A67E1A" w14:textId="77777777" w:rsidR="00E04996" w:rsidRPr="008127F8" w:rsidRDefault="00E0499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Из дневника журналиста H.К. Вержбицкого: "В гостинице "Метрополь в большом зале, открылся Дансинг-</w:t>
      </w:r>
      <w:proofErr w:type="gramStart"/>
      <w:r w:rsidRPr="008127F8">
        <w:rPr>
          <w:rFonts w:ascii="Times New Roman" w:hAnsi="Times New Roman"/>
          <w:color w:val="000000" w:themeColor="text1"/>
          <w:sz w:val="16"/>
          <w:szCs w:val="16"/>
        </w:rPr>
        <w:t>хол.танцуют</w:t>
      </w:r>
      <w:proofErr w:type="gramEnd"/>
      <w:r w:rsidRPr="008127F8">
        <w:rPr>
          <w:rFonts w:ascii="Times New Roman" w:hAnsi="Times New Roman"/>
          <w:color w:val="000000" w:themeColor="text1"/>
          <w:sz w:val="16"/>
          <w:szCs w:val="16"/>
        </w:rPr>
        <w:t xml:space="preserve"> под джаз с б до 10 час. О6 этом вывешены плакаты с изображением танцующей пары: он - в смокинге, она - в декольте" (18696).</w:t>
      </w:r>
    </w:p>
    <w:p w14:paraId="5F405CD2" w14:textId="77777777" w:rsidR="00E04996" w:rsidRPr="008127F8" w:rsidRDefault="00E04996" w:rsidP="001E0A84">
      <w:pPr>
        <w:spacing w:after="0" w:line="240" w:lineRule="auto"/>
        <w:jc w:val="both"/>
        <w:rPr>
          <w:rFonts w:ascii="Times New Roman" w:hAnsi="Times New Roman"/>
          <w:color w:val="000000" w:themeColor="text1"/>
          <w:sz w:val="16"/>
          <w:szCs w:val="16"/>
        </w:rPr>
      </w:pPr>
    </w:p>
    <w:p w14:paraId="4335D907" w14:textId="77777777" w:rsidR="00346683"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03D3BB3C" w14:textId="77777777" w:rsidR="00346683" w:rsidRPr="008127F8" w:rsidRDefault="00346683" w:rsidP="001E0A84">
      <w:pPr>
        <w:pStyle w:val="Iauiue"/>
        <w:jc w:val="both"/>
        <w:rPr>
          <w:iCs/>
          <w:color w:val="000000" w:themeColor="text1"/>
          <w:sz w:val="16"/>
          <w:szCs w:val="16"/>
        </w:rPr>
      </w:pPr>
    </w:p>
    <w:p w14:paraId="6CC2B08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января</w:t>
      </w:r>
      <w:r w:rsidRPr="008127F8">
        <w:rPr>
          <w:rFonts w:ascii="Times New Roman" w:hAnsi="Times New Roman"/>
          <w:color w:val="000000" w:themeColor="text1"/>
          <w:sz w:val="16"/>
          <w:szCs w:val="16"/>
        </w:rPr>
        <w:t xml:space="preserve"> в 1942 году нота Советского правительства послам и посланникам стран, с которыми СССР имел дипломатические отношения, о повсеместных грабежах, разорении населения и чудовищных зверствах германских властей на захваченных ими советских территориях (15001).</w:t>
      </w:r>
    </w:p>
    <w:p w14:paraId="03FB330B"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56E1D42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3095E8D7" w14:textId="77777777" w:rsidR="00D4651C" w:rsidRPr="008127F8" w:rsidRDefault="00D4651C" w:rsidP="001E0A84">
      <w:pPr>
        <w:pStyle w:val="Iauiue"/>
        <w:jc w:val="both"/>
        <w:rPr>
          <w:iCs/>
          <w:color w:val="000000" w:themeColor="text1"/>
          <w:sz w:val="16"/>
          <w:szCs w:val="16"/>
        </w:rPr>
      </w:pPr>
    </w:p>
    <w:p w14:paraId="02124AD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6 января 1942 завершился первый коммерческий полет вокруг Земли самолета компании “Пан Американ” (4962).</w:t>
      </w:r>
    </w:p>
    <w:p w14:paraId="12CCC4B6" w14:textId="77777777" w:rsidR="00D4651C" w:rsidRPr="008127F8" w:rsidRDefault="00D4651C" w:rsidP="001E0A84">
      <w:pPr>
        <w:pStyle w:val="Iauiue"/>
        <w:tabs>
          <w:tab w:val="left" w:pos="11199"/>
        </w:tabs>
        <w:jc w:val="both"/>
        <w:rPr>
          <w:color w:val="000000" w:themeColor="text1"/>
          <w:sz w:val="16"/>
          <w:szCs w:val="16"/>
        </w:rPr>
      </w:pPr>
    </w:p>
    <w:p w14:paraId="54A347F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января</w:t>
      </w:r>
      <w:r w:rsidRPr="008127F8">
        <w:rPr>
          <w:rFonts w:ascii="Times New Roman" w:hAnsi="Times New Roman"/>
          <w:color w:val="000000" w:themeColor="text1"/>
          <w:sz w:val="16"/>
          <w:szCs w:val="16"/>
        </w:rPr>
        <w:t xml:space="preserve"> в 1942 году завершается первый коммерческий полет вокруг Земли самолета компании «Pan American». Старт был дан 2 декабря 1941, общее время нахождения в воздухе составило более 200 часов, а самолет назывался </w:t>
      </w:r>
      <w:hyperlink r:id="rId7" w:tgtFrame="_blank" w:history="1">
        <w:r w:rsidRPr="008127F8">
          <w:rPr>
            <w:rFonts w:ascii="Times New Roman" w:hAnsi="Times New Roman"/>
            <w:color w:val="000000" w:themeColor="text1"/>
            <w:sz w:val="16"/>
            <w:szCs w:val="16"/>
          </w:rPr>
          <w:t xml:space="preserve">«Boeing 314» «Pacific Clipper» </w:t>
        </w:r>
      </w:hyperlink>
      <w:r w:rsidRPr="008127F8">
        <w:rPr>
          <w:rFonts w:ascii="Times New Roman" w:hAnsi="Times New Roman"/>
          <w:color w:val="000000" w:themeColor="text1"/>
          <w:sz w:val="16"/>
          <w:szCs w:val="16"/>
        </w:rPr>
        <w:t>Экипаж «Clipper»: Капитан Роберт Форд, Первый Офицер Джон Х.Мак, Второй Офицер-Навигатор Родерик Н.Браун, Третий Офицер Джеймс Г.Хенриксен, Четвертый помощник Джон Д.Бычков, Первый Инженер Homans К."Швед" Рота, Второй Инженер Джон Б.-Джоко, " Приход", Первый радист John Poindexter, Второй радист, Оскар Хендриксон, Эконом Барни Sawicki, Ассистент эконома Верн Эдвардс (15001).</w:t>
      </w:r>
    </w:p>
    <w:p w14:paraId="170CDB60"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5131AF5F" w14:textId="342951AE" w:rsidR="0032416F" w:rsidRPr="008127F8" w:rsidRDefault="003241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января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Завершается первый коммерческий полет вокруг Земли самолета компании Pan American. Общее время нахождения в воздухе составило более 200 часов, а самолет назывался Boeing 314 Pacific Clipper.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Борт вылетел 2 декабря 1941 года из Сан-Франциско в Окленд, Новая Зеландия, с промежуточной посадкой в Перл-Харборе, Гавайи, и оказался отрезан от США зоной боевых действий после атаки Японии на Перл-Харбор. В связи с тем, что Boeing 314 представлял существенную ценность для армии, было принято решение вернуть самолет в США облетев вокруг земного шара, и достигнув Нью-Йорка. 6 января 1942 года Pacific Clipper успешно завершил маршрут, преодолев в общей сложности более 50000 километров, и совершив десять промежуточных посадок для дозаправки.</w:t>
      </w:r>
    </w:p>
    <w:p w14:paraId="7A21C1C6" w14:textId="77777777" w:rsidR="0032416F" w:rsidRPr="008127F8" w:rsidRDefault="003241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Роберт Форд (22678).</w:t>
      </w:r>
    </w:p>
    <w:p w14:paraId="7C13C934" w14:textId="77777777" w:rsidR="0032416F" w:rsidRPr="008127F8" w:rsidRDefault="0032416F"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1E1ACEE5" w14:textId="77777777" w:rsidR="0032416F" w:rsidRPr="008127F8" w:rsidRDefault="003241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1942 самолеты Императорского флота Японии, базирующиеся в Труке, начинают атаковать австралийскую авиабазу в Рабауле (20793).</w:t>
      </w:r>
    </w:p>
    <w:p w14:paraId="057FFC8A" w14:textId="77777777" w:rsidR="0032416F" w:rsidRPr="008127F8" w:rsidRDefault="0032416F" w:rsidP="001E0A84">
      <w:pPr>
        <w:spacing w:after="0" w:line="240" w:lineRule="auto"/>
        <w:jc w:val="both"/>
        <w:rPr>
          <w:rFonts w:ascii="Times New Roman" w:hAnsi="Times New Roman"/>
          <w:color w:val="000000" w:themeColor="text1"/>
          <w:sz w:val="16"/>
          <w:szCs w:val="16"/>
        </w:rPr>
      </w:pPr>
    </w:p>
    <w:p w14:paraId="6348A307"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января</w:t>
      </w:r>
      <w:r w:rsidRPr="008127F8">
        <w:rPr>
          <w:rFonts w:ascii="Times New Roman" w:hAnsi="Times New Roman"/>
          <w:color w:val="000000" w:themeColor="text1"/>
          <w:sz w:val="16"/>
          <w:szCs w:val="16"/>
        </w:rPr>
        <w:t xml:space="preserve"> в 1942 году президент Рузвельт обратился к конгрессу, обьявив о беспрецедентном в истории США увеличении в производстве вооружений. В первый же год, по словам президента, запланировано производство 45 000 танков, 45 000 самолетов, 20 000 зенитных орудий и новых судов общим водоизмещением в 8 миллионов тонн (15001).</w:t>
      </w:r>
    </w:p>
    <w:p w14:paraId="74A32360"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3190FF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января 1942 в Ливии британские войска вели наступление в западном направлении и выходят к Мерса Брига (3907,235).</w:t>
      </w:r>
    </w:p>
    <w:p w14:paraId="22B71039" w14:textId="77777777" w:rsidR="00D4651C" w:rsidRPr="008127F8" w:rsidRDefault="00D4651C" w:rsidP="001E0A84">
      <w:pPr>
        <w:pStyle w:val="Iauiue"/>
        <w:jc w:val="both"/>
        <w:rPr>
          <w:color w:val="000000" w:themeColor="text1"/>
          <w:sz w:val="16"/>
          <w:szCs w:val="16"/>
        </w:rPr>
      </w:pPr>
    </w:p>
    <w:p w14:paraId="63F62E7A" w14:textId="77777777" w:rsidR="00346683" w:rsidRPr="008127F8" w:rsidRDefault="00346683" w:rsidP="001E0A84">
      <w:pPr>
        <w:pStyle w:val="Iauiue"/>
        <w:jc w:val="both"/>
        <w:rPr>
          <w:color w:val="000000" w:themeColor="text1"/>
          <w:sz w:val="16"/>
          <w:szCs w:val="16"/>
        </w:rPr>
      </w:pPr>
      <w:r w:rsidRPr="008127F8">
        <w:rPr>
          <w:color w:val="000000" w:themeColor="text1"/>
          <w:sz w:val="16"/>
          <w:szCs w:val="16"/>
        </w:rPr>
        <w:t>6 января 1942 Гейзенберг выпустил отчет по работам с реактором B-III, в котором использовался парафин и урановый порошок. Он не производил нейтроны (2221).</w:t>
      </w:r>
    </w:p>
    <w:p w14:paraId="7661DB01" w14:textId="77777777" w:rsidR="00346683" w:rsidRPr="008127F8" w:rsidRDefault="00346683" w:rsidP="001E0A84">
      <w:pPr>
        <w:pStyle w:val="Iauiue"/>
        <w:jc w:val="both"/>
        <w:rPr>
          <w:color w:val="000000" w:themeColor="text1"/>
          <w:sz w:val="16"/>
          <w:szCs w:val="16"/>
        </w:rPr>
      </w:pPr>
    </w:p>
    <w:p w14:paraId="231BA9A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774841E8" w14:textId="77777777" w:rsidR="00D4651C" w:rsidRPr="008127F8" w:rsidRDefault="00D4651C" w:rsidP="001E0A84">
      <w:pPr>
        <w:pStyle w:val="Iauiue"/>
        <w:jc w:val="both"/>
        <w:rPr>
          <w:iCs/>
          <w:color w:val="000000" w:themeColor="text1"/>
          <w:sz w:val="16"/>
          <w:szCs w:val="16"/>
        </w:rPr>
      </w:pPr>
    </w:p>
    <w:p w14:paraId="063BB65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начале января 1942 г. были подготовлены «Мероприятия о транспортировке по железной дороге самолетов Пе-2 и их сборке на заводе №81 в Москве» (ранее самолеты перегонялись получателям своим ходом). На разгрузку эшелона с 10 самолетами Пе-2 отводилось 24 ч., на их сборку – 72 ч. Но в том же месяце (не позже </w:t>
      </w:r>
      <w:r w:rsidRPr="008A2E5A">
        <w:rPr>
          <w:rFonts w:ascii="Times New Roman" w:hAnsi="Times New Roman"/>
          <w:color w:val="0070C0"/>
          <w:sz w:val="16"/>
          <w:szCs w:val="16"/>
        </w:rPr>
        <w:lastRenderedPageBreak/>
        <w:t>20 января) это решение было отменено. Самолеты продолжили перегоняться своим ходом, т.к. перевозка ж/д транспортом была слишком трудоемкой и дорогостоящей, а на многих участках фронта не было условий для выгрузки и сборки самолетов такой размернрости (23570).</w:t>
      </w:r>
    </w:p>
    <w:p w14:paraId="3BCF8DF0" w14:textId="77777777" w:rsidR="00864A24" w:rsidRPr="008A2E5A" w:rsidRDefault="00864A24" w:rsidP="00864A24">
      <w:pPr>
        <w:spacing w:after="0" w:line="240" w:lineRule="auto"/>
        <w:jc w:val="both"/>
        <w:rPr>
          <w:rFonts w:ascii="Times New Roman" w:hAnsi="Times New Roman"/>
          <w:color w:val="0070C0"/>
          <w:sz w:val="16"/>
          <w:szCs w:val="16"/>
        </w:rPr>
      </w:pPr>
    </w:p>
    <w:p w14:paraId="2A1564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января 1942 завершили по</w:t>
      </w:r>
      <w:r w:rsidRPr="008127F8">
        <w:rPr>
          <w:rFonts w:ascii="Times New Roman" w:hAnsi="Times New Roman"/>
          <w:color w:val="000000" w:themeColor="text1"/>
          <w:sz w:val="16"/>
          <w:szCs w:val="16"/>
        </w:rPr>
        <w:softHyphen/>
        <w:t>стройку второго опытного экземп</w:t>
      </w:r>
      <w:r w:rsidRPr="008127F8">
        <w:rPr>
          <w:rFonts w:ascii="Times New Roman" w:hAnsi="Times New Roman"/>
          <w:color w:val="000000" w:themeColor="text1"/>
          <w:sz w:val="16"/>
          <w:szCs w:val="16"/>
        </w:rPr>
        <w:softHyphen/>
        <w:t>ляра самолета Су-6 («82»). Для про</w:t>
      </w:r>
      <w:r w:rsidRPr="008127F8">
        <w:rPr>
          <w:rFonts w:ascii="Times New Roman" w:hAnsi="Times New Roman"/>
          <w:color w:val="000000" w:themeColor="text1"/>
          <w:sz w:val="16"/>
          <w:szCs w:val="16"/>
        </w:rPr>
        <w:softHyphen/>
        <w:t>ведения испытаний в г. Молотов прибыла бригада НИИ ВВС КА. С 15 января по 23 февраля 1942 года летчик-испытатель НИИ ВВС КА майор А.К.Долгов выполнил на нем программу заводских испыта</w:t>
      </w:r>
      <w:r w:rsidRPr="008127F8">
        <w:rPr>
          <w:rFonts w:ascii="Times New Roman" w:hAnsi="Times New Roman"/>
          <w:color w:val="000000" w:themeColor="text1"/>
          <w:sz w:val="16"/>
          <w:szCs w:val="16"/>
        </w:rPr>
        <w:softHyphen/>
        <w:t>ний, 24 февраля самолет переле</w:t>
      </w:r>
      <w:r w:rsidRPr="008127F8">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11AE3F5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4C0DD25" w14:textId="77777777" w:rsidR="005070F8" w:rsidRPr="008127F8" w:rsidRDefault="005070F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началу января 1942 г. проект двухмоторного двухместного брониро</w:t>
      </w:r>
      <w:r w:rsidRPr="008127F8">
        <w:rPr>
          <w:color w:val="000000" w:themeColor="text1"/>
          <w:sz w:val="16"/>
          <w:szCs w:val="16"/>
        </w:rPr>
        <w:softHyphen/>
        <w:t>ванного штурмовика ДДБШ был доработан с учетом замечаний макетной комис</w:t>
      </w:r>
      <w:r w:rsidRPr="008127F8">
        <w:rPr>
          <w:color w:val="000000" w:themeColor="text1"/>
          <w:sz w:val="16"/>
          <w:szCs w:val="16"/>
        </w:rPr>
        <w:softHyphen/>
        <w:t>сии и в мае с моторами М-71 или М-90 был включен в план опытного самолетостроения на 1941 г. Пред</w:t>
      </w:r>
      <w:r w:rsidRPr="008127F8">
        <w:rPr>
          <w:color w:val="000000" w:themeColor="text1"/>
          <w:sz w:val="16"/>
          <w:szCs w:val="16"/>
        </w:rPr>
        <w:softHyphen/>
        <w:t>полагалась постройка сразу 3 экземпляров этого самолета (2 летных и один — для статиспытаний).</w:t>
      </w:r>
    </w:p>
    <w:p w14:paraId="55F0CDE6" w14:textId="77777777" w:rsidR="005070F8" w:rsidRPr="008127F8" w:rsidRDefault="005070F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Назначение машины — нанесение бомбоштур- мовых ударов на всю глубину оперативного по</w:t>
      </w:r>
      <w:r w:rsidRPr="008127F8">
        <w:rPr>
          <w:color w:val="000000" w:themeColor="text1"/>
          <w:sz w:val="16"/>
          <w:szCs w:val="16"/>
        </w:rPr>
        <w:softHyphen/>
        <w:t>строения войск противника, огневая поддержка своих войск (главным образом танковых и мото- мехкорпусов) в наступлении (прорыве) на большом удалении от своих аэродромов.</w:t>
      </w:r>
    </w:p>
    <w:p w14:paraId="1217DB41" w14:textId="77777777" w:rsidR="005070F8" w:rsidRPr="008127F8" w:rsidRDefault="005070F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Наступательное вооружение включало подфюзеляжную батарею из 2 пушек Ш-37 (80 снарядов) и 2 пулеметов УБК (500 патронов), 8 пулеметов</w:t>
      </w:r>
    </w:p>
    <w:p w14:paraId="38431944" w14:textId="77777777" w:rsidR="005070F8" w:rsidRPr="008127F8" w:rsidRDefault="005070F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ШКАС (5200 патронов) в консолях крыла, 6 РО-132 и 400 кг бомб (в перегрузку 1600 кг).</w:t>
      </w:r>
    </w:p>
    <w:p w14:paraId="012D1894" w14:textId="77777777" w:rsidR="005070F8" w:rsidRPr="008127F8" w:rsidRDefault="005070F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Оборонительное вооружение состояло из пу</w:t>
      </w:r>
      <w:r w:rsidRPr="008127F8">
        <w:rPr>
          <w:color w:val="000000" w:themeColor="text1"/>
          <w:sz w:val="16"/>
          <w:szCs w:val="16"/>
        </w:rPr>
        <w:softHyphen/>
        <w:t>лемета УБТ (200 патронов) на верхней турели для стрельбы назад в верхней полусфере и 1 пулеме</w:t>
      </w:r>
      <w:r w:rsidRPr="008127F8">
        <w:rPr>
          <w:color w:val="000000" w:themeColor="text1"/>
          <w:sz w:val="16"/>
          <w:szCs w:val="16"/>
        </w:rPr>
        <w:softHyphen/>
        <w:t>та ШКАС (500 патронов) в люковой установке для стрельбы назад в нижней полусфере.</w:t>
      </w:r>
    </w:p>
    <w:p w14:paraId="3A149532" w14:textId="77777777" w:rsidR="005070F8" w:rsidRPr="008127F8" w:rsidRDefault="005070F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Максимальная скорость, по расчетам, составля</w:t>
      </w:r>
      <w:r w:rsidRPr="008127F8">
        <w:rPr>
          <w:color w:val="000000" w:themeColor="text1"/>
          <w:sz w:val="16"/>
          <w:szCs w:val="16"/>
        </w:rPr>
        <w:softHyphen/>
        <w:t>ла у земли 500 км/ч, на высоте 3700 м — 550 км/ч. Время подъема на высоту 5000 м — 10 мин. Поса</w:t>
      </w:r>
      <w:r w:rsidRPr="008127F8">
        <w:rPr>
          <w:color w:val="000000" w:themeColor="text1"/>
          <w:sz w:val="16"/>
          <w:szCs w:val="16"/>
        </w:rPr>
        <w:softHyphen/>
        <w:t>дочная скорость — 135 км/ч. Максимальная даль</w:t>
      </w:r>
      <w:r w:rsidRPr="008127F8">
        <w:rPr>
          <w:color w:val="000000" w:themeColor="text1"/>
          <w:sz w:val="16"/>
          <w:szCs w:val="16"/>
        </w:rPr>
        <w:softHyphen/>
        <w:t>ность полета на 0,9</w:t>
      </w:r>
      <w:r w:rsidRPr="008127F8">
        <w:rPr>
          <w:color w:val="000000" w:themeColor="text1"/>
          <w:sz w:val="16"/>
          <w:szCs w:val="16"/>
          <w:lang w:val="en-US"/>
        </w:rPr>
        <w:t>V</w:t>
      </w:r>
      <w:r w:rsidRPr="008127F8">
        <w:rPr>
          <w:color w:val="000000" w:themeColor="text1"/>
          <w:sz w:val="16"/>
          <w:szCs w:val="16"/>
          <w:vertAlign w:val="subscript"/>
          <w:lang w:val="en-US"/>
        </w:rPr>
        <w:t>max</w:t>
      </w:r>
      <w:r w:rsidRPr="008127F8">
        <w:rPr>
          <w:color w:val="000000" w:themeColor="text1"/>
          <w:sz w:val="16"/>
          <w:szCs w:val="16"/>
        </w:rPr>
        <w:t>— 700 км (в перегрузочном варианте — 1000 км) (17500).</w:t>
      </w:r>
    </w:p>
    <w:p w14:paraId="42AC782E" w14:textId="77777777" w:rsidR="005070F8" w:rsidRPr="008127F8" w:rsidRDefault="005070F8" w:rsidP="001E0A84">
      <w:pPr>
        <w:pStyle w:val="12a"/>
        <w:shd w:val="clear" w:color="auto" w:fill="auto"/>
        <w:spacing w:after="0" w:line="240" w:lineRule="auto"/>
        <w:jc w:val="both"/>
        <w:rPr>
          <w:color w:val="000000" w:themeColor="text1"/>
          <w:sz w:val="16"/>
          <w:szCs w:val="16"/>
        </w:rPr>
      </w:pPr>
    </w:p>
    <w:p w14:paraId="6D8B59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начале января 1942 было выпущено 12 самолетов 2Л-7, вооруженных пушкой ВЯ (2147,4).</w:t>
      </w:r>
    </w:p>
    <w:p w14:paraId="16058B14" w14:textId="77777777" w:rsidR="00D4651C" w:rsidRPr="008127F8" w:rsidRDefault="00D4651C" w:rsidP="001E0A84">
      <w:pPr>
        <w:pStyle w:val="Iauiue"/>
        <w:jc w:val="both"/>
        <w:rPr>
          <w:color w:val="000000" w:themeColor="text1"/>
          <w:sz w:val="16"/>
          <w:szCs w:val="16"/>
        </w:rPr>
      </w:pPr>
    </w:p>
    <w:p w14:paraId="6DB537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В начале января 1942 г. закончились испытательные полеты Ер-2 АМ-37 на гос. испытаниях в НИИ ВВС, которые начались 20 сентября 1941 и были прерваны 24 сентября 1941. Помимо достаточно тривиальных (для каждой опытной машины) недоработок, начальник института бригадный инженер Федоров доложил начальнику ГУ ВВС генералу Петрову о поразительных вещах, например о том, что летчик Ер-2 2АМ-37 "при выпуске и уборке шасси вынужден передавать управление штурману, после чего он двумя руками с помощью левой ноги смещает ручку управления краном..." Далее Федоров настаивал на необходимости "обязать главного конструктора завода N 240 тов. Ермолаева немедленно устранить указанные дефекты". Испытания затянулись в связи с вынужденной переброской самолета в Свердловск на аэродром Кольцово, куда было переведено соответствующее подразделение НИИ ВВС. Несмотря на обилие недостатков, постепенно устранявшихся, Ер-2 с моторами АМ-37 был чрезвычайно высоко оценен летчиками и инженерами НИИ ВВС. По мнению Николая Максимовича Кокорина, по "комплексу летно-тактических данных ему не было равных в мире". Действительно, этот дальний бомбардировщик обладал максимальной скоростью, превысившей 500 км/ч на высоте 6000 м, и был способен пролететь расстояние в 3000 км с грузом бомб 1000 кг при средней скорости 408 км/ч. Высокая средняя скорость снижала вероятность перехвата и время пребывания над территорией противника. Самолет был хорошо вооружен (три крупнокалиберных пулемета) и забронирован (130 кг стальной брони), имел лучшую устойчивость по сравнению с Ил-4 и меньше утомлял пилота. Наибольшие трудности при доводке создавала своеобразная система охлаждения двигателей. Водо-воздушные радиаторы в консолях крыла между лонжеронами (типа ОП-158) были на этом варианте машины дополнены еще двумя парами радиаторов ОП-275, установленными в задней части мотогондол (как на яковлевском ББ-22 и микояновском МиГ-5). Эти последние работали совместно с водомасляным радиатором ОП-355 (охлаждение масла) и воздухо-водяным радиатором тип 307, предназначенным для охлаждения воздуха за нагнетателем. Таким образом, привычных воздухозаборников маслорадиаторов на Ер-2 2АМ-37 не было совсем. Многоконтурная система охлаждения оказалась недостаточно сбалансированной. Потребовалось повышение производительности всех первичных водо-воздушных радиаторов, а это было совсем не просто в условиях войны, когда малейшие изменения в серийные образцы техники разрешалось вносить только после согласования с наркомом. Другим крупным недостатком машины являлись плохие взлетно-посадочные характеристики. Моторы стали мощнее почти на 30%, но и масса пустого самолета увеличилась на 1800 кг. К тому же, стремясь избежать крупных переделок, конструкторы не стали радикально менять конструкцию мотоотсеков, поэтому диаметр винтов нельзя было сделать больше 3,4 м - лопасти задели бы за фюзеляж. Такие винты не обеспечивали эффективного съема мощности с моторов. В связи с этим длина разбега самолета при взлетной массе 14000 кг составила 975 м, а взлетная дистанция - 2270 м. И все же главной причиной отказа от серийного производства Ер-2 2АМ-37 оказались отнюдь не указанные выше недостатки. Мотор АМ-37 накануне войны считался запущенным в серийное производство на заводе N 24, но объемы этого производства были минимальными. </w:t>
      </w:r>
      <w:proofErr w:type="gramStart"/>
      <w:r w:rsidRPr="008127F8">
        <w:rPr>
          <w:color w:val="000000" w:themeColor="text1"/>
          <w:sz w:val="16"/>
          <w:szCs w:val="16"/>
        </w:rPr>
        <w:t xml:space="preserve">По официальным сведениям </w:t>
      </w:r>
      <w:proofErr w:type="gramEnd"/>
      <w:r w:rsidRPr="008127F8">
        <w:rPr>
          <w:color w:val="000000" w:themeColor="text1"/>
          <w:sz w:val="16"/>
          <w:szCs w:val="16"/>
        </w:rPr>
        <w:t xml:space="preserve">НКАП, в 1941 г. были построены всего 29 двигателей этого типа. Между тем, желающих получить этот мотор было предостаточно, напомним лишь главных претендентов: "103" А.Н.Туполева, ТИС Н.Н.Поликарпова, МиГ-5 (ДиС) и МиГ-7 А.И.Микояна... Как известно, в 1942 г. по решению правительства все усилия завода были сосредоточены на производстве двигателей АМ-38 для штурмовиков Ил-2 и незначительного количества АМ-35А, предназначенных для МиГов и ТБ-7. Ер-2 снова не повезло с двигателем. Существует и версия, что А.А.М. </w:t>
      </w:r>
      <w:proofErr w:type="gramStart"/>
      <w:r w:rsidRPr="008127F8">
        <w:rPr>
          <w:color w:val="000000" w:themeColor="text1"/>
          <w:sz w:val="16"/>
          <w:szCs w:val="16"/>
        </w:rPr>
        <w:t>обиделся</w:t>
      </w:r>
      <w:proofErr w:type="gramEnd"/>
      <w:r w:rsidRPr="008127F8">
        <w:rPr>
          <w:color w:val="000000" w:themeColor="text1"/>
          <w:sz w:val="16"/>
          <w:szCs w:val="16"/>
        </w:rPr>
        <w:t xml:space="preserve"> не получив обещанную Сталинскую премию в 1940 перестал доводить этот мотор (3322,33).</w:t>
      </w:r>
    </w:p>
    <w:p w14:paraId="5C280D59" w14:textId="77777777" w:rsidR="00D4651C" w:rsidRPr="008127F8" w:rsidRDefault="00D4651C" w:rsidP="001E0A84">
      <w:pPr>
        <w:pStyle w:val="Iauiue"/>
        <w:jc w:val="both"/>
        <w:rPr>
          <w:color w:val="000000" w:themeColor="text1"/>
          <w:sz w:val="16"/>
          <w:szCs w:val="16"/>
        </w:rPr>
      </w:pPr>
    </w:p>
    <w:p w14:paraId="0794F8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начале января 1942 года были подготовлены Мероприятия по транспортировке по железной дороге самолетов Ил-2 и Лагг-3 и их сборке в Воронеже на территории эвакуированного завода N 18.</w:t>
      </w:r>
    </w:p>
    <w:p w14:paraId="790C74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Ответственными перед ГКО за своевременную погрузку самолетов Ил-2 и Лагг-3, доставку их по железной дороге, разгрузку и сборку на сборочной базе в Воронеже считать следующих лиц:</w:t>
      </w:r>
    </w:p>
    <w:p w14:paraId="6DD57E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за своевременную погрузку самолетов Ил-2 на заводе N 18 директора завода Шенкмана и самолетов Лагг-3 на заводе N 21 - директора завода Гостинцева;</w:t>
      </w:r>
    </w:p>
    <w:p w14:paraId="325412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за своевременную доставку самолетов Ил-2 и Лагг-3 по железной дороге первого зам. наркома Путей сообщения Арутюнова;</w:t>
      </w:r>
    </w:p>
    <w:p w14:paraId="5E65DE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за своевременную разгрузку и сборку самолетов Ил-2 и Лагг-3 начальника сборочной базы в Воронеже Малышева;</w:t>
      </w:r>
    </w:p>
    <w:p w14:paraId="0522BD6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 за обеспечение своевременной отгрузки самолетов Ил-2 с завода N 18 и Лагг-3 с завода N 21, за сборку и сдачу их ВВС - первого зам. наркома Авиапрома Дементьева.</w:t>
      </w:r>
    </w:p>
    <w:p w14:paraId="20C967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НКПС - Каганович и Арутюнов обязаны обеспечить доставку по железной дороге самолетов Ил-2 и Лагг-3 в Воронеж на сборочную базу из Куйбышева в течение 60 часов, и из Горького - в течение 75 часов, считая с момента окончания погрузки самолетов.</w:t>
      </w:r>
    </w:p>
    <w:p w14:paraId="6986D5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НКАП - Дементьев и Малышев обязаны:</w:t>
      </w:r>
    </w:p>
    <w:p w14:paraId="74C8C2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разгрузку каждого эшелона с десятью самолетами Ил-2 заканчивать не более, чем за 15 часов, а с десятью самолетами Лагг-3 - не более, чем за 12 часов;</w:t>
      </w:r>
    </w:p>
    <w:p w14:paraId="54CC43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одновременную сборку и сдачу на аэродром десяти самолетов Ил-2 производить за 48 часов, а десяти самолетов Лагг-3 - не более, чем за 24 часа (1623,43).</w:t>
      </w:r>
    </w:p>
    <w:p w14:paraId="3B3B0C37" w14:textId="77777777" w:rsidR="00D4651C" w:rsidRPr="008127F8" w:rsidRDefault="00D4651C" w:rsidP="001E0A84">
      <w:pPr>
        <w:pStyle w:val="Iauiue"/>
        <w:jc w:val="both"/>
        <w:rPr>
          <w:color w:val="000000" w:themeColor="text1"/>
          <w:sz w:val="16"/>
          <w:szCs w:val="16"/>
        </w:rPr>
      </w:pPr>
    </w:p>
    <w:p w14:paraId="63506A2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начале января 1942 года были подготовлены Мероприятия о транспортировке по железной дороге самолетов Пе-2 и их сборке на заводе N 81 в Москве</w:t>
      </w:r>
    </w:p>
    <w:p w14:paraId="1F0541A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Ответственными перед ГКО за своевременную погрузку самолетов Пе-2, доставку их по железной дороге, разгрузку и сборку на заводе N 81 (на территории эвакуированного завода N 39) считать следующих лиц:</w:t>
      </w:r>
    </w:p>
    <w:p w14:paraId="27B42AD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за своевременную погрузку самолетов Пе-2 на заводе N 39 директора завода Иосиловича;</w:t>
      </w:r>
    </w:p>
    <w:p w14:paraId="45DD248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за своевременную доставку самолетов Пе-2 по железной дороге первого зам. наркома Путей сообщения Арутюнова;</w:t>
      </w:r>
    </w:p>
    <w:p w14:paraId="4FCFD48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за своевременную разгрузку и сборку самолетов Пе-2 директора завода N 81 Филимончука;</w:t>
      </w:r>
    </w:p>
    <w:p w14:paraId="7319AF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г) за обеспечение своевременной отгрузки самолетов Пе-2 с завода N 39, за сборку и сдачу их ВВС первого зам. наркома Авиапрома Дементьева.</w:t>
      </w:r>
    </w:p>
    <w:p w14:paraId="3B6E23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НКПС - Каганович и Арутюнов обязаны обеспечить доставку по железной дороге самолетов Пе-2 в Москву на завод N 81 из Иркутска в течение 11 суток, считая с момента окончания погрузки самолетов.</w:t>
      </w:r>
    </w:p>
    <w:p w14:paraId="0B6158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НКАП - Дементьев и Филимончук обязаны:</w:t>
      </w:r>
    </w:p>
    <w:p w14:paraId="308EFF9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разгрузку каждого эшелона с десятью самолетами Пе-2 заканчивать не более, чем за 24 часа;</w:t>
      </w:r>
    </w:p>
    <w:p w14:paraId="78EF88E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одновременную сборку и сдачу на аэродром 10 самолетов Пе-2 производить за 72 часа (1623,32).</w:t>
      </w:r>
    </w:p>
    <w:p w14:paraId="1863482E" w14:textId="77777777" w:rsidR="00D4651C" w:rsidRPr="008127F8" w:rsidRDefault="00D4651C" w:rsidP="001E0A84">
      <w:pPr>
        <w:pStyle w:val="Iauiue"/>
        <w:jc w:val="both"/>
        <w:rPr>
          <w:color w:val="000000" w:themeColor="text1"/>
          <w:sz w:val="16"/>
          <w:szCs w:val="16"/>
        </w:rPr>
      </w:pPr>
    </w:p>
    <w:p w14:paraId="33D4CCC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начале января 1942 были подготовлены:</w:t>
      </w:r>
    </w:p>
    <w:p w14:paraId="05C0AD6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Мероприятия по транспортировке </w:t>
      </w:r>
      <w:proofErr w:type="gramStart"/>
      <w:r w:rsidRPr="008127F8">
        <w:rPr>
          <w:color w:val="000000" w:themeColor="text1"/>
          <w:sz w:val="16"/>
          <w:szCs w:val="16"/>
        </w:rPr>
        <w:t>по ж/д самолетов</w:t>
      </w:r>
      <w:proofErr w:type="gramEnd"/>
      <w:r w:rsidRPr="008127F8">
        <w:rPr>
          <w:color w:val="000000" w:themeColor="text1"/>
          <w:sz w:val="16"/>
          <w:szCs w:val="16"/>
        </w:rPr>
        <w:t xml:space="preserve"> Як-1, Як-3 и ЛаГГ-3 и их сборке на заводе 30 и рембазе завода 301 в Москве</w:t>
      </w:r>
    </w:p>
    <w:p w14:paraId="4BC8603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МЕРОПРИЯТИЯ</w:t>
      </w:r>
    </w:p>
    <w:p w14:paraId="611F1E9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транспортировке по железной дороге самолетов Як-1, Як-3 и Лагг-3 и их сборке на заводе № 30 и ремонтной базе завода № 301 в гор. Москве.</w:t>
      </w:r>
    </w:p>
    <w:p w14:paraId="01E5DBE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Ответственными перед Государственным Комитетом Обороны за своевременную погрузку самолетов, доставку их по железной дороге, разгрузку и сборку на заводах в Москве считать следующих лиц:</w:t>
      </w:r>
    </w:p>
    <w:p w14:paraId="6A3109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 своевременную погрузку самолетов Як-1 на заводе № 292 - директора завода товЛевина, самолетов Лагг-3 и. Як-3 на заводе № 153:</w:t>
      </w:r>
    </w:p>
    <w:p w14:paraId="764EE6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директора завода </w:t>
      </w:r>
      <w:proofErr w:type="gramStart"/>
      <w:r w:rsidRPr="008127F8">
        <w:rPr>
          <w:rFonts w:ascii="Times New Roman" w:hAnsi="Times New Roman"/>
          <w:color w:val="000000" w:themeColor="text1"/>
          <w:sz w:val="16"/>
          <w:szCs w:val="16"/>
        </w:rPr>
        <w:t>тов.Ромавова</w:t>
      </w:r>
      <w:proofErr w:type="gramEnd"/>
      <w:r w:rsidRPr="008127F8">
        <w:rPr>
          <w:rFonts w:ascii="Times New Roman" w:hAnsi="Times New Roman"/>
          <w:color w:val="000000" w:themeColor="text1"/>
          <w:sz w:val="16"/>
          <w:szCs w:val="16"/>
        </w:rPr>
        <w:t xml:space="preserve"> и самолетов Лагг-3 на заводе $ 21</w:t>
      </w:r>
    </w:p>
    <w:p w14:paraId="4BFC53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-директора завода </w:t>
      </w:r>
      <w:proofErr w:type="gramStart"/>
      <w:r w:rsidRPr="008127F8">
        <w:rPr>
          <w:rFonts w:ascii="Times New Roman" w:hAnsi="Times New Roman"/>
          <w:color w:val="000000" w:themeColor="text1"/>
          <w:sz w:val="16"/>
          <w:szCs w:val="16"/>
        </w:rPr>
        <w:t>тов.Гостинцева</w:t>
      </w:r>
      <w:proofErr w:type="gramEnd"/>
      <w:r w:rsidRPr="008127F8">
        <w:rPr>
          <w:rFonts w:ascii="Times New Roman" w:hAnsi="Times New Roman"/>
          <w:color w:val="000000" w:themeColor="text1"/>
          <w:sz w:val="16"/>
          <w:szCs w:val="16"/>
        </w:rPr>
        <w:t>;</w:t>
      </w:r>
    </w:p>
    <w:p w14:paraId="2A1969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за своевременную доставку самолетов по железной дороге -первого Заместителя Наркома Путей Сообщения тов. Арутюнова;</w:t>
      </w:r>
    </w:p>
    <w:p w14:paraId="2BDEB8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за своевременную"разгрузку к сборку самолетов Як-1 и Як-3 - директора завода 3^ 30 </w:t>
      </w:r>
      <w:proofErr w:type="gramStart"/>
      <w:r w:rsidRPr="008127F8">
        <w:rPr>
          <w:rFonts w:ascii="Times New Roman" w:hAnsi="Times New Roman"/>
          <w:color w:val="000000" w:themeColor="text1"/>
          <w:sz w:val="16"/>
          <w:szCs w:val="16"/>
        </w:rPr>
        <w:t>тов.Агаджзнова</w:t>
      </w:r>
      <w:proofErr w:type="gramEnd"/>
      <w:r w:rsidRPr="008127F8">
        <w:rPr>
          <w:rFonts w:ascii="Times New Roman" w:hAnsi="Times New Roman"/>
          <w:color w:val="000000" w:themeColor="text1"/>
          <w:sz w:val="16"/>
          <w:szCs w:val="16"/>
        </w:rPr>
        <w:t>, самолетов Лагг-3 - началъ-|йЕика ремонтной базы завода И 301 тов .Уголькова;</w:t>
      </w:r>
    </w:p>
    <w:p w14:paraId="1A50AFB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за обеспечение своевременной отгрузки самолетов с заводов №№ 292, 153 и 21, за сборку и сдачу их ВВС - Заместителя Народного |^Комиссара Авиапромышленности </w:t>
      </w:r>
      <w:proofErr w:type="gramStart"/>
      <w:r w:rsidRPr="008127F8">
        <w:rPr>
          <w:rFonts w:ascii="Times New Roman" w:hAnsi="Times New Roman"/>
          <w:color w:val="000000" w:themeColor="text1"/>
          <w:sz w:val="16"/>
          <w:szCs w:val="16"/>
        </w:rPr>
        <w:t>тов.Воронина</w:t>
      </w:r>
      <w:proofErr w:type="gramEnd"/>
      <w:r w:rsidRPr="008127F8">
        <w:rPr>
          <w:rFonts w:ascii="Times New Roman" w:hAnsi="Times New Roman"/>
          <w:color w:val="000000" w:themeColor="text1"/>
          <w:sz w:val="16"/>
          <w:szCs w:val="16"/>
        </w:rPr>
        <w:t>.</w:t>
      </w:r>
    </w:p>
    <w:p w14:paraId="24711E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НКПС - т.т. Каганович и Арутюнов обязаны обеспечить доставку по железной дороге самолетов Як-1 из Саратова с завода № 292 на завод № 30 в Москву - в течение 60 часов, Из Новосибирска с завода № 153 самолетов Як-3 на завод № 30 и самолетов ЛаГГ-3 на ремонтную базу завода № 301 в Москву - в течение 7 суток, и самолетов Лагг-3 из Горького с завода № 21 ня ремонтную базу завода № 301 в течение 30 часов.</w:t>
      </w:r>
    </w:p>
    <w:p w14:paraId="229B93A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НКАП - </w:t>
      </w:r>
      <w:proofErr w:type="gramStart"/>
      <w:r w:rsidRPr="008127F8">
        <w:rPr>
          <w:rFonts w:ascii="Times New Roman" w:hAnsi="Times New Roman"/>
          <w:color w:val="000000" w:themeColor="text1"/>
          <w:sz w:val="16"/>
          <w:szCs w:val="16"/>
        </w:rPr>
        <w:t>т.т.Дементьев,Агаджанов</w:t>
      </w:r>
      <w:proofErr w:type="gramEnd"/>
      <w:r w:rsidRPr="008127F8">
        <w:rPr>
          <w:rFonts w:ascii="Times New Roman" w:hAnsi="Times New Roman"/>
          <w:color w:val="000000" w:themeColor="text1"/>
          <w:sz w:val="16"/>
          <w:szCs w:val="16"/>
        </w:rPr>
        <w:t xml:space="preserve"> и Угольков обязаны:</w:t>
      </w:r>
    </w:p>
    <w:p w14:paraId="457C0B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разгрузку каждого эшелона с десятью самолетами заканчивать не более, чем за </w:t>
      </w:r>
      <w:proofErr w:type="gramStart"/>
      <w:r w:rsidRPr="008127F8">
        <w:rPr>
          <w:rFonts w:ascii="Times New Roman" w:hAnsi="Times New Roman"/>
          <w:color w:val="000000" w:themeColor="text1"/>
          <w:sz w:val="16"/>
          <w:szCs w:val="16"/>
        </w:rPr>
        <w:t>12 .часов</w:t>
      </w:r>
      <w:proofErr w:type="gramEnd"/>
      <w:r w:rsidRPr="008127F8">
        <w:rPr>
          <w:rFonts w:ascii="Times New Roman" w:hAnsi="Times New Roman"/>
          <w:color w:val="000000" w:themeColor="text1"/>
          <w:sz w:val="16"/>
          <w:szCs w:val="16"/>
        </w:rPr>
        <w:t>;</w:t>
      </w:r>
    </w:p>
    <w:p w14:paraId="42D19F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одновременную сборку и сдачу на аэродром 10 самолетов производить в течение 24 часов (1623,38).</w:t>
      </w:r>
    </w:p>
    <w:p w14:paraId="7EE05985" w14:textId="77777777" w:rsidR="00D4651C" w:rsidRPr="008127F8" w:rsidRDefault="00D4651C" w:rsidP="001E0A84">
      <w:pPr>
        <w:pStyle w:val="Iauiue"/>
        <w:jc w:val="both"/>
        <w:rPr>
          <w:color w:val="000000" w:themeColor="text1"/>
          <w:sz w:val="16"/>
          <w:szCs w:val="16"/>
        </w:rPr>
      </w:pPr>
    </w:p>
    <w:p w14:paraId="7D175573" w14:textId="77777777" w:rsidR="00964C9E" w:rsidRPr="008127F8" w:rsidRDefault="00964C9E"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начале января 1942 г. Туполев с группой конструкторов побывал в Ка</w:t>
      </w:r>
      <w:r w:rsidRPr="008127F8">
        <w:rPr>
          <w:rFonts w:ascii="Times New Roman" w:hAnsi="Times New Roman"/>
          <w:color w:val="000000" w:themeColor="text1"/>
          <w:sz w:val="16"/>
          <w:szCs w:val="16"/>
          <w:lang w:eastAsia="ru-RU" w:bidi="ru-RU"/>
        </w:rPr>
        <w:softHyphen/>
        <w:t>зани, где хотели организовать филиал конструкторского бюро. Но в условиях больших потерь на фронте не рискнули пожертвовать вы</w:t>
      </w:r>
      <w:r w:rsidRPr="008127F8">
        <w:rPr>
          <w:rFonts w:ascii="Times New Roman" w:hAnsi="Times New Roman"/>
          <w:color w:val="000000" w:themeColor="text1"/>
          <w:sz w:val="16"/>
          <w:szCs w:val="16"/>
          <w:lang w:eastAsia="ru-RU" w:bidi="ru-RU"/>
        </w:rPr>
        <w:softHyphen/>
        <w:t>пуском Пе-2. Уже 6 марта 1942 г. преды</w:t>
      </w:r>
      <w:r w:rsidRPr="008127F8">
        <w:rPr>
          <w:rFonts w:ascii="Times New Roman" w:hAnsi="Times New Roman"/>
          <w:color w:val="000000" w:themeColor="text1"/>
          <w:sz w:val="16"/>
          <w:szCs w:val="16"/>
          <w:lang w:eastAsia="ru-RU" w:bidi="ru-RU"/>
        </w:rPr>
        <w:softHyphen/>
        <w:t>дущее постановление отменили. Завод №22 продолжал строить Пе-2 до самого конца войны.</w:t>
      </w:r>
    </w:p>
    <w:p w14:paraId="03361CD5" w14:textId="77777777" w:rsidR="00964C9E" w:rsidRPr="008127F8" w:rsidRDefault="00964C9E"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Исключили из программы и завод №23. 14 марта 1942 г. распорядились со</w:t>
      </w:r>
      <w:r w:rsidRPr="008127F8">
        <w:rPr>
          <w:rFonts w:ascii="Times New Roman" w:hAnsi="Times New Roman"/>
          <w:color w:val="000000" w:themeColor="text1"/>
          <w:sz w:val="16"/>
          <w:szCs w:val="16"/>
          <w:lang w:eastAsia="ru-RU" w:bidi="ru-RU"/>
        </w:rPr>
        <w:softHyphen/>
        <w:t>бирать там ДБ-3Ф. Про «103» там речь уже не шла. Вообще про самолет с мото</w:t>
      </w:r>
      <w:r w:rsidRPr="008127F8">
        <w:rPr>
          <w:rFonts w:ascii="Times New Roman" w:hAnsi="Times New Roman"/>
          <w:color w:val="000000" w:themeColor="text1"/>
          <w:sz w:val="16"/>
          <w:szCs w:val="16"/>
          <w:lang w:eastAsia="ru-RU" w:bidi="ru-RU"/>
        </w:rPr>
        <w:softHyphen/>
        <w:t>рами АМ-37 более уже не вспоминали (21061).</w:t>
      </w:r>
    </w:p>
    <w:p w14:paraId="4DFCDB30" w14:textId="77777777" w:rsidR="00964C9E" w:rsidRPr="008127F8" w:rsidRDefault="00964C9E" w:rsidP="001E0A84">
      <w:pPr>
        <w:spacing w:after="0" w:line="240" w:lineRule="auto"/>
        <w:jc w:val="both"/>
        <w:rPr>
          <w:rFonts w:ascii="Times New Roman" w:hAnsi="Times New Roman"/>
          <w:color w:val="000000" w:themeColor="text1"/>
          <w:sz w:val="16"/>
          <w:szCs w:val="16"/>
        </w:rPr>
      </w:pPr>
    </w:p>
    <w:p w14:paraId="7FD73EB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начале января 1942 были подготовлены:</w:t>
      </w:r>
    </w:p>
    <w:p w14:paraId="7F8E1F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Мероприятия по транспортировке </w:t>
      </w:r>
      <w:proofErr w:type="gramStart"/>
      <w:r w:rsidRPr="008127F8">
        <w:rPr>
          <w:color w:val="000000" w:themeColor="text1"/>
          <w:sz w:val="16"/>
          <w:szCs w:val="16"/>
        </w:rPr>
        <w:t>по ж/д самолетов</w:t>
      </w:r>
      <w:proofErr w:type="gramEnd"/>
      <w:r w:rsidRPr="008127F8">
        <w:rPr>
          <w:color w:val="000000" w:themeColor="text1"/>
          <w:sz w:val="16"/>
          <w:szCs w:val="16"/>
        </w:rPr>
        <w:t xml:space="preserve"> МиГ-3, Як-3 и ЛаГГ-3 и их сборке на заводе 116 в Семеновке Приамурского края (1623,37-39).</w:t>
      </w:r>
    </w:p>
    <w:p w14:paraId="0A5528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МЕРОПРИЯТИЯ</w:t>
      </w:r>
    </w:p>
    <w:p w14:paraId="7FF5B2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ТРАНСПОРТИРОВКЕ ПО ЖЕЛЕЗНОЙ ДОРОГЕ САМОЛЕТОВ МИГ-3, ЯК-3 и ЛАГГ-3 И ИХ СБОРКЕ Н1А ЗАВОДЕ № 116 в СЕМЕНОВНЕ ПРИАМУРСКОГО КРАЯ.</w:t>
      </w:r>
    </w:p>
    <w:p w14:paraId="0FBCB3A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Ответственными перед Государственным Коштетом Обороны за своевременную погрузку самолетов Миг-3, Як-3 и Лагг-3, доставку их по железной дороге, разгрузку и сборку на заводе № 116 в Семеновке, считать следующих лиц:</w:t>
      </w:r>
    </w:p>
    <w:p w14:paraId="5543FA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за своевременную погрузку самолетов Як-3 и Лагг-3 на заводе 153 - директора завода тов. Романова, а самолетов Миг-3 на заводе 1 - директора завода </w:t>
      </w:r>
      <w:proofErr w:type="gramStart"/>
      <w:r w:rsidRPr="008127F8">
        <w:rPr>
          <w:rFonts w:ascii="Times New Roman" w:hAnsi="Times New Roman"/>
          <w:color w:val="000000" w:themeColor="text1"/>
          <w:sz w:val="16"/>
          <w:szCs w:val="16"/>
        </w:rPr>
        <w:t>тов.Третьякова</w:t>
      </w:r>
      <w:proofErr w:type="gramEnd"/>
      <w:r w:rsidRPr="008127F8">
        <w:rPr>
          <w:rFonts w:ascii="Times New Roman" w:hAnsi="Times New Roman"/>
          <w:color w:val="000000" w:themeColor="text1"/>
          <w:sz w:val="16"/>
          <w:szCs w:val="16"/>
        </w:rPr>
        <w:t>;</w:t>
      </w:r>
    </w:p>
    <w:p w14:paraId="2BF6D0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 своевременную доставку самолетов Миг-3, Як-3 и Лагг-3 по железной дороге - первого Заместителя Наркома Путей Сообщения тов. Арутюнова;</w:t>
      </w:r>
    </w:p>
    <w:p w14:paraId="36AC35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 своевременную разгрузку и сборку самолетов Миг-3, Як-3 и Лагг-3 - директора завода № 116 тов. Новикова;</w:t>
      </w:r>
    </w:p>
    <w:p w14:paraId="078B50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 обеспечение своевременной отгрузки самолетов Як-3 и Лагг-3 с завода № 153 и самолетов Миг-3 с завода № 1, за сборку и сдачу их ВВС - Заместителя Народного Комиссара тов. Воронииа.</w:t>
      </w:r>
    </w:p>
    <w:p w14:paraId="069827C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Т.т.Каганович и Арутюнов обязаны обеспечить доставку по железной дороге самолетов Як-3 и Лагг-3 из Новосибирска с завода № 153 на завод № 116 в Семеновке до ст. Манзовка Приморской железной дороги в. течение 13 суток и самолетов Лагг-3 из г.Куйбышева с завода № 1 - в течение 13 суток.</w:t>
      </w:r>
    </w:p>
    <w:p w14:paraId="163BE0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 т.т. Воронин и Новиков обязаны:</w:t>
      </w:r>
    </w:p>
    <w:p w14:paraId="120D5BD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разгрузку каждого эшелона с десятью самолетами заканчивать не более, чем за 12 часов;</w:t>
      </w:r>
    </w:p>
    <w:p w14:paraId="2589C4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одновременную сборку и сдачу на аэродром 5 самолетов произ</w:t>
      </w:r>
      <w:r w:rsidRPr="008127F8">
        <w:rPr>
          <w:rFonts w:ascii="Times New Roman" w:hAnsi="Times New Roman"/>
          <w:color w:val="000000" w:themeColor="text1"/>
          <w:sz w:val="16"/>
          <w:szCs w:val="16"/>
        </w:rPr>
        <w:softHyphen/>
        <w:t>водить за трое суток (1623,39).</w:t>
      </w:r>
    </w:p>
    <w:p w14:paraId="31337C0B" w14:textId="77777777" w:rsidR="00D4651C" w:rsidRPr="008127F8" w:rsidRDefault="00D4651C" w:rsidP="001E0A84">
      <w:pPr>
        <w:pStyle w:val="Iauiue"/>
        <w:jc w:val="both"/>
        <w:rPr>
          <w:color w:val="000000" w:themeColor="text1"/>
          <w:sz w:val="16"/>
          <w:szCs w:val="16"/>
        </w:rPr>
      </w:pPr>
    </w:p>
    <w:p w14:paraId="1F2A90D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3F03F9C0" w14:textId="77777777" w:rsidR="00D4651C" w:rsidRPr="008127F8" w:rsidRDefault="00D4651C" w:rsidP="001E0A84">
      <w:pPr>
        <w:pStyle w:val="Iauiue"/>
        <w:jc w:val="both"/>
        <w:rPr>
          <w:iCs/>
          <w:color w:val="000000" w:themeColor="text1"/>
          <w:sz w:val="16"/>
          <w:szCs w:val="16"/>
        </w:rPr>
      </w:pPr>
    </w:p>
    <w:p w14:paraId="16910C93" w14:textId="77777777" w:rsidR="00F658A1" w:rsidRPr="008127F8" w:rsidRDefault="00F658A1" w:rsidP="001E0A84">
      <w:pPr>
        <w:spacing w:after="0" w:line="240" w:lineRule="auto"/>
        <w:jc w:val="both"/>
        <w:rPr>
          <w:rStyle w:val="a8"/>
          <w:rFonts w:ascii="Times New Roman" w:hAnsi="Times New Roman"/>
          <w:b w:val="0"/>
          <w:color w:val="000000" w:themeColor="text1"/>
          <w:sz w:val="16"/>
          <w:szCs w:val="16"/>
        </w:rPr>
      </w:pPr>
      <w:r w:rsidRPr="008127F8">
        <w:rPr>
          <w:rFonts w:ascii="Times New Roman" w:hAnsi="Times New Roman"/>
          <w:color w:val="000000" w:themeColor="text1"/>
          <w:sz w:val="16"/>
          <w:szCs w:val="16"/>
        </w:rPr>
        <w:t>В первых числах января 1942 года испытания КВ-7 и КВ-8 и вышедшее в их итоге Постановление ГКО №1110 от 06.01.1942г., одновременно поставили крест на дальнейших работах отдела №520 завода №183 по теме Т-34-3, но, в тоже время, должны были стимулировать и подхлестнуть работы УТЗ в направлении создания огнеметной машины Т-34-2, однако этого также не произошло. Виной тому была крайне тяжелая ситуация, сложившаяся на заводе в конце декабря 1941– январе 1942 года, с выпуском серийной продукции, ориентация работы КБ со стороны А.А.Морозова на проект Т-34М, а так же приоритетное продолжение работ по усилению конкретно артиллерийского вооружения танка (16267).</w:t>
      </w:r>
    </w:p>
    <w:p w14:paraId="559C245D" w14:textId="77777777" w:rsidR="00F658A1" w:rsidRPr="008127F8" w:rsidRDefault="00F658A1" w:rsidP="001E0A84">
      <w:pPr>
        <w:spacing w:after="0" w:line="240" w:lineRule="auto"/>
        <w:jc w:val="both"/>
        <w:rPr>
          <w:rStyle w:val="a8"/>
          <w:rFonts w:ascii="Times New Roman" w:hAnsi="Times New Roman"/>
          <w:b w:val="0"/>
          <w:color w:val="000000" w:themeColor="text1"/>
          <w:sz w:val="16"/>
          <w:szCs w:val="16"/>
        </w:rPr>
      </w:pPr>
    </w:p>
    <w:p w14:paraId="622BF021" w14:textId="77777777" w:rsidR="008D722B" w:rsidRPr="008127F8" w:rsidRDefault="008D722B" w:rsidP="001E0A84">
      <w:pPr>
        <w:pStyle w:val="a4"/>
        <w:rPr>
          <w:color w:val="000000" w:themeColor="text1"/>
          <w:lang w:val="ru-RU"/>
        </w:rPr>
      </w:pPr>
      <w:r w:rsidRPr="008127F8">
        <w:rPr>
          <w:color w:val="000000" w:themeColor="text1"/>
          <w:lang w:val="ru-RU"/>
        </w:rPr>
        <w:t>В начале января 1942 среди руководства ГАБТУ стали витать идеи вооружения КВ-7 еще более мощным орудием, чем спарка 76-мм пушек или 122-мм гаубица, которые упоминались в акте об испы</w:t>
      </w:r>
      <w:r w:rsidRPr="008127F8">
        <w:rPr>
          <w:color w:val="000000" w:themeColor="text1"/>
          <w:lang w:val="ru-RU"/>
        </w:rPr>
        <w:softHyphen/>
        <w:t>тании штурмового танка. Подобное предложение имеется, к примеру, в заключении о КВ-7, подписанном помощником начальника 4-го от</w:t>
      </w:r>
      <w:r w:rsidRPr="008127F8">
        <w:rPr>
          <w:color w:val="000000" w:themeColor="text1"/>
          <w:lang w:val="ru-RU"/>
        </w:rPr>
        <w:softHyphen/>
        <w:t>деления 3-го отдела БТУ КА майором Гороховым, датированном 8 ян</w:t>
      </w:r>
      <w:r w:rsidRPr="008127F8">
        <w:rPr>
          <w:color w:val="000000" w:themeColor="text1"/>
          <w:lang w:val="ru-RU"/>
        </w:rPr>
        <w:softHyphen/>
        <w:t>варя 1942 года:</w:t>
      </w:r>
    </w:p>
    <w:p w14:paraId="4AA814DA"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«Ознакомившись с установкой и стрельбой из нее, считаю, что данный вид вооружения для танковых войск неприемлем по следующим соображе</w:t>
      </w:r>
      <w:r w:rsidRPr="008127F8">
        <w:rPr>
          <w:rStyle w:val="Bodytext145"/>
          <w:i w:val="0"/>
          <w:iCs w:val="0"/>
          <w:color w:val="000000" w:themeColor="text1"/>
          <w:sz w:val="16"/>
          <w:szCs w:val="16"/>
        </w:rPr>
        <w:softHyphen/>
        <w:t>ниям:</w:t>
      </w:r>
    </w:p>
    <w:p w14:paraId="2D34DA7E" w14:textId="77777777" w:rsidR="008D722B" w:rsidRPr="008127F8" w:rsidRDefault="008D722B" w:rsidP="001E0A84">
      <w:pPr>
        <w:pStyle w:val="Bodytext141"/>
        <w:shd w:val="clear" w:color="auto" w:fill="auto"/>
        <w:tabs>
          <w:tab w:val="left" w:pos="502"/>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Для борьбы с танками установка беспомощна, так как маневрен</w:t>
      </w:r>
      <w:r w:rsidRPr="008127F8">
        <w:rPr>
          <w:rStyle w:val="Bodytext145"/>
          <w:i w:val="0"/>
          <w:iCs w:val="0"/>
          <w:color w:val="000000" w:themeColor="text1"/>
          <w:sz w:val="16"/>
          <w:szCs w:val="16"/>
        </w:rPr>
        <w:softHyphen/>
        <w:t>ность огнем слишком мала, угол поворота всего 15° в обе стороны.</w:t>
      </w:r>
    </w:p>
    <w:p w14:paraId="5FAEF1CF" w14:textId="77777777" w:rsidR="008D722B" w:rsidRPr="008127F8" w:rsidRDefault="008D722B" w:rsidP="001E0A84">
      <w:pPr>
        <w:pStyle w:val="Bodytext141"/>
        <w:shd w:val="clear" w:color="auto" w:fill="auto"/>
        <w:tabs>
          <w:tab w:val="left" w:pos="52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Для борьбы с ДОТами и ДЗОТами также не может быть исполь</w:t>
      </w:r>
      <w:r w:rsidRPr="008127F8">
        <w:rPr>
          <w:rStyle w:val="Bodytext145"/>
          <w:i w:val="0"/>
          <w:iCs w:val="0"/>
          <w:color w:val="000000" w:themeColor="text1"/>
          <w:sz w:val="16"/>
          <w:szCs w:val="16"/>
        </w:rPr>
        <w:softHyphen/>
        <w:t>зована, так как маломощна по своим баллистическим качествам и разрушительной силе снаряда.</w:t>
      </w:r>
    </w:p>
    <w:p w14:paraId="557F6A77"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Считаю, что целесообразнее иметь установку такого типа крупно</w:t>
      </w:r>
      <w:r w:rsidRPr="008127F8">
        <w:rPr>
          <w:rStyle w:val="Bodytext145"/>
          <w:i w:val="0"/>
          <w:iCs w:val="0"/>
          <w:color w:val="000000" w:themeColor="text1"/>
          <w:sz w:val="16"/>
          <w:szCs w:val="16"/>
        </w:rPr>
        <w:softHyphen/>
        <w:t xml:space="preserve">го калибра, примерно 152-мм орудия, которое было установлено на танк КВ-2— </w:t>
      </w:r>
      <w:r w:rsidRPr="008127F8">
        <w:rPr>
          <w:rStyle w:val="Bodytext145"/>
          <w:i w:val="0"/>
          <w:iCs w:val="0"/>
          <w:color w:val="000000" w:themeColor="text1"/>
          <w:sz w:val="16"/>
          <w:szCs w:val="16"/>
          <w:lang w:val="en-US"/>
        </w:rPr>
        <w:t>Ml</w:t>
      </w:r>
      <w:r w:rsidRPr="008127F8">
        <w:rPr>
          <w:rStyle w:val="Bodytext145"/>
          <w:i w:val="0"/>
          <w:iCs w:val="0"/>
          <w:color w:val="000000" w:themeColor="text1"/>
          <w:sz w:val="16"/>
          <w:szCs w:val="16"/>
        </w:rPr>
        <w:t xml:space="preserve"> О» (17484).</w:t>
      </w:r>
    </w:p>
    <w:p w14:paraId="14243006" w14:textId="77777777" w:rsidR="008D722B" w:rsidRPr="008127F8" w:rsidRDefault="008D722B" w:rsidP="001E0A84">
      <w:pPr>
        <w:pStyle w:val="a4"/>
        <w:rPr>
          <w:color w:val="000000" w:themeColor="text1"/>
          <w:lang w:val="ru-RU"/>
        </w:rPr>
      </w:pPr>
    </w:p>
    <w:p w14:paraId="4B531305" w14:textId="77777777" w:rsidR="009F7673" w:rsidRPr="008127F8" w:rsidRDefault="009F7673"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начале января 1942 года в ГАБТУ начал обсуждаться вопрос о том, что в рубку КВ-7 можно установить что-то более мощное, чем строенная установка пушек калибра 76 и 45 мм. Первоначальное предложение заключалось в установке 152-мм гаубицы М-10. Уже к концу января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 (15838).</w:t>
      </w:r>
    </w:p>
    <w:p w14:paraId="4D0D9389" w14:textId="77777777" w:rsidR="009F7673" w:rsidRPr="008127F8" w:rsidRDefault="009F7673" w:rsidP="001E0A84">
      <w:pPr>
        <w:pStyle w:val="af"/>
        <w:shd w:val="clear" w:color="auto" w:fill="FFFFFF"/>
        <w:spacing w:before="0" w:after="0"/>
        <w:jc w:val="both"/>
        <w:rPr>
          <w:color w:val="000000" w:themeColor="text1"/>
          <w:sz w:val="16"/>
          <w:szCs w:val="16"/>
        </w:rPr>
      </w:pPr>
    </w:p>
    <w:p w14:paraId="1CE1DE1E"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января 1942 состоялись испытания КВ-7, проходившие на полигоне завода №8 в Мытищах. Тогда же состоялся и осмотр машины комиссией, в которую входили начальники ГАБТУ, ГАУ, НКВ, а также Ворошилов и Котин. В ходе стрельбы с места только с третьего залпа удалось добиться одновременного выстрела сразу из трёх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из каждого орудия оказалась примерно на уровне обычных танков, причём сама по себе идея залпового огня оказалась под вопросом. Если 76-мм пушка Ф-34 успевала сделать за 34 секунды 3 выстрела, то 45-мм танковые пушки – по 5 выстрелов. Впрочем, скорострельность комиссия признала удовлетворительной. Помимо низкой кучности стрельбы, особенно при залпе, неожиданно была признана недостаточной толщина лобовой брони. Её предложили увеличить до 110–120 мм. Кроме того, было предложено вместо строенной установки разработать спаренную – с двумя 76-мм орудиями.</w:t>
      </w:r>
    </w:p>
    <w:p w14:paraId="2012D53B"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Получив данные о результатах испытаний, Сталин собственноручно составил постановление ГКО №1110сс «О производстве танков «КВ-7» и «КВ-8». В нём первым же пунктом шло: </w:t>
      </w:r>
      <w:r w:rsidRPr="008127F8">
        <w:rPr>
          <w:rFonts w:ascii="Times New Roman" w:eastAsia="Times New Roman" w:hAnsi="Times New Roman"/>
          <w:iCs/>
          <w:color w:val="000000" w:themeColor="text1"/>
          <w:sz w:val="16"/>
          <w:szCs w:val="16"/>
          <w:lang w:eastAsia="ru-RU"/>
        </w:rPr>
        <w:t>«Представленный 3-орудийный образец «КВ-7» отставить»</w:t>
      </w:r>
      <w:r w:rsidRPr="008127F8">
        <w:rPr>
          <w:rFonts w:ascii="Times New Roman" w:eastAsia="Times New Roman" w:hAnsi="Times New Roman"/>
          <w:color w:val="000000" w:themeColor="text1"/>
          <w:sz w:val="16"/>
          <w:szCs w:val="16"/>
          <w:lang w:eastAsia="ru-RU"/>
        </w:rPr>
        <w:t>. О полной отмене работ по КВ-7 речи не было, но производство установочной партии машин так и не состоялось. 27 января были составлены тактико-технические требования на машину со спаренной установкой 76-мм пушек ЗИС-5.</w:t>
      </w:r>
    </w:p>
    <w:p w14:paraId="0D8AF1FB"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Как и в случае с орудийной системой первого варианта КВ-7, работа над спаренной установкой 76-мм пушек ЗИС-5 была поручена УЗТМ. Общее руководство над работами вёл Л. И. Горлицкий. Над установкой, получившей заводской индекс У-14, трудились также Н. В. Курин и Г. Ф. Ксюнин. Судя по датам на чертежах отдельных деталей установки, проектирование началось не позднее 25 января 1942 года, то есть ещё до получения тактико-технических требований.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(17647).</w:t>
      </w:r>
    </w:p>
    <w:p w14:paraId="2671F0D8" w14:textId="77777777" w:rsidR="00277995" w:rsidRPr="008127F8" w:rsidRDefault="00277995" w:rsidP="001E0A84">
      <w:pPr>
        <w:spacing w:after="0" w:line="240" w:lineRule="auto"/>
        <w:jc w:val="both"/>
        <w:rPr>
          <w:rFonts w:ascii="Times New Roman" w:hAnsi="Times New Roman"/>
          <w:color w:val="000000" w:themeColor="text1"/>
          <w:sz w:val="16"/>
          <w:szCs w:val="16"/>
        </w:rPr>
      </w:pPr>
    </w:p>
    <w:p w14:paraId="7C314CF5"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января 1942 года в ГАБТУ начал обсуждаться вопрос о том, что в рубку КВ-7 можно установить что-то более мощное, чем строенная установка пушек калибра 76 и 45 мм. Первоначальное предложение заключалось в установке 152-мм гаубицы М-10.</w:t>
      </w:r>
    </w:p>
    <w:p w14:paraId="0A623F94"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Уже к концу января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w:t>
      </w:r>
      <w:r w:rsidRPr="008127F8">
        <w:rPr>
          <w:rFonts w:ascii="Times New Roman" w:eastAsia="Times New Roman" w:hAnsi="Times New Roman"/>
          <w:color w:val="000000" w:themeColor="text1"/>
          <w:sz w:val="16"/>
          <w:szCs w:val="16"/>
          <w:lang w:eastAsia="ru-RU"/>
        </w:rPr>
        <w:lastRenderedPageBreak/>
        <w:t>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762DCBE2"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(17647).</w:t>
      </w:r>
    </w:p>
    <w:p w14:paraId="55F38301" w14:textId="77777777" w:rsidR="00277995" w:rsidRPr="008127F8" w:rsidRDefault="00277995" w:rsidP="001E0A84">
      <w:pPr>
        <w:pStyle w:val="12a"/>
        <w:shd w:val="clear" w:color="auto" w:fill="auto"/>
        <w:spacing w:after="0" w:line="240" w:lineRule="auto"/>
        <w:jc w:val="both"/>
        <w:rPr>
          <w:color w:val="000000" w:themeColor="text1"/>
          <w:sz w:val="16"/>
          <w:szCs w:val="16"/>
        </w:rPr>
      </w:pPr>
    </w:p>
    <w:p w14:paraId="79F5986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первых числах 1942 г. на СТЗ начались работы по усилению броневой защиты танка Т-34-76. Уже 14 января на полигоне завода "Красный Октябрь", изготавливавшего броневые листы, представите</w:t>
      </w:r>
      <w:r w:rsidRPr="008127F8">
        <w:rPr>
          <w:rFonts w:ascii="Times New Roman" w:hAnsi="Times New Roman"/>
          <w:color w:val="000000" w:themeColor="text1"/>
          <w:sz w:val="16"/>
          <w:szCs w:val="16"/>
        </w:rPr>
        <w:softHyphen/>
        <w:t>лями завода № 264 были проведены успешные испытания двух вариан</w:t>
      </w:r>
      <w:r w:rsidRPr="008127F8">
        <w:rPr>
          <w:rFonts w:ascii="Times New Roman" w:hAnsi="Times New Roman"/>
          <w:color w:val="000000" w:themeColor="text1"/>
          <w:sz w:val="16"/>
          <w:szCs w:val="16"/>
        </w:rPr>
        <w:softHyphen/>
        <w:t>тов экранировки лобовой части корпуса танка. Вопрос о замене лобово</w:t>
      </w:r>
      <w:r w:rsidRPr="008127F8">
        <w:rPr>
          <w:rFonts w:ascii="Times New Roman" w:hAnsi="Times New Roman"/>
          <w:color w:val="000000" w:themeColor="text1"/>
          <w:sz w:val="16"/>
          <w:szCs w:val="16"/>
        </w:rPr>
        <w:softHyphen/>
        <w:t xml:space="preserve">го ласта корпуса толщиной 45 мм на лист толщиной 60 мм зависел от возможности проката броневых листов данной толщины на заводе "Красный Октябрь". Однако на данный момент времени, завод не мог катать броневые листы необходимой толщины. Начиная с 25 января 1942 г. завод № 264 перешел на выпуск корпусов и башен </w:t>
      </w:r>
      <w:proofErr w:type="gramStart"/>
      <w:r w:rsidRPr="008127F8">
        <w:rPr>
          <w:rFonts w:ascii="Times New Roman" w:hAnsi="Times New Roman"/>
          <w:color w:val="000000" w:themeColor="text1"/>
          <w:sz w:val="16"/>
          <w:szCs w:val="16"/>
        </w:rPr>
        <w:t>с .составной</w:t>
      </w:r>
      <w:proofErr w:type="gramEnd"/>
      <w:r w:rsidRPr="008127F8">
        <w:rPr>
          <w:rFonts w:ascii="Times New Roman" w:hAnsi="Times New Roman"/>
          <w:color w:val="000000" w:themeColor="text1"/>
          <w:sz w:val="16"/>
          <w:szCs w:val="16"/>
        </w:rPr>
        <w:t xml:space="preserve"> броней; предназначавшихся для сборки танков Т-34-76 на СТЗ (10703).</w:t>
      </w:r>
    </w:p>
    <w:p w14:paraId="5DE475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207C471B" w14:textId="77777777" w:rsidR="008D722B" w:rsidRPr="008127F8" w:rsidRDefault="008D722B" w:rsidP="001E0A84">
      <w:pPr>
        <w:pStyle w:val="a4"/>
        <w:rPr>
          <w:color w:val="000000" w:themeColor="text1"/>
          <w:lang w:val="ru-RU"/>
        </w:rPr>
      </w:pPr>
      <w:r w:rsidRPr="008127F8">
        <w:rPr>
          <w:color w:val="000000" w:themeColor="text1"/>
          <w:lang w:val="ru-RU"/>
        </w:rPr>
        <w:t>В начале января 1942 года вопрос о наладке производства Т-60 в Таш</w:t>
      </w:r>
      <w:r w:rsidRPr="008127F8">
        <w:rPr>
          <w:color w:val="000000" w:themeColor="text1"/>
          <w:lang w:val="ru-RU"/>
        </w:rPr>
        <w:softHyphen/>
        <w:t xml:space="preserve">кенте поднимался еще раз, но уже все было решено. Впрочем, броневое производство в Ташкенте все же было налажено. 12 января 1942 года Ташкентский паровозоремонтный завод имени </w:t>
      </w:r>
      <w:r w:rsidRPr="008127F8">
        <w:rPr>
          <w:color w:val="000000" w:themeColor="text1"/>
        </w:rPr>
        <w:t>Jl</w:t>
      </w:r>
      <w:r w:rsidRPr="008127F8">
        <w:rPr>
          <w:color w:val="000000" w:themeColor="text1"/>
          <w:lang w:val="ru-RU"/>
        </w:rPr>
        <w:t>. М. Кагановича сдал первый бронепоезд (17485).</w:t>
      </w:r>
    </w:p>
    <w:p w14:paraId="5AC0929A" w14:textId="77777777" w:rsidR="008D722B" w:rsidRPr="008127F8" w:rsidRDefault="008D722B" w:rsidP="001E0A84">
      <w:pPr>
        <w:pStyle w:val="a4"/>
        <w:rPr>
          <w:color w:val="000000" w:themeColor="text1"/>
          <w:lang w:val="ru-RU"/>
        </w:rPr>
      </w:pPr>
    </w:p>
    <w:p w14:paraId="28C4F5D7"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января 1942 года перевооружённая «Матильда» была доставлена в Москву, где её осмотрели члены правительства. Рассматривался вопрос о том, чтобы изготовить 120 комплектов установок для перевооружения в ремонтных мастерских. В переписке систему, которую предполагалось ставить в английский танк, стали именовать Ф-96. Увы, у идеи нашёлся противник, и очень серьёзный – начальник ГАБТУ КА Федоренко. 9 января 1942 года он направил в адрес Берии, который заведовал, в том числе, и вооружением, письмо следующего содержания:</w:t>
      </w:r>
    </w:p>
    <w:p w14:paraId="2717EF0E"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“Главным конструктором завода №92 генерал-майором технических войск тов. Грабиным установлено отечественное вооружение в 2-х английских танках “Матильда” и “Валентин”.</w:t>
      </w:r>
    </w:p>
    <w:p w14:paraId="5C3ABD88"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танке “Валентин”, вместо английской 40 мм пушки и 7,92 мм пулемета, установлены наша 45 мм танковая пушка и пулемет ДТ.</w:t>
      </w:r>
    </w:p>
    <w:p w14:paraId="5485F541"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Опытные образцы проходили испытания на заводе №92 в г. Горький и показывались в Москве.</w:t>
      </w:r>
    </w:p>
    <w:p w14:paraId="321E9934"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На основании личного осмотра и материалов испытаний, считаю перевооружение английских танков нецелесообразным по следующим соображениям:</w:t>
      </w:r>
    </w:p>
    <w:p w14:paraId="5AE82A85"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Танк “Валентин”</w:t>
      </w:r>
    </w:p>
    <w:p w14:paraId="17B406DD"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45 мм танковая пушка по бронепробиваемости практически равноценна английской 40 мм, а поэтому имеет полный смысл для этого танка использовать английское вооружение, а свое беречь для отечественных машин.</w:t>
      </w:r>
    </w:p>
    <w:p w14:paraId="7077F7E4"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Танк “Матильда”</w:t>
      </w:r>
    </w:p>
    <w:p w14:paraId="456DDB17"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Установка 76 мм танковой пушки выполнена неудовлетворительно. В башне тесно и работать экипажу неудобно. Для установки 76 мм пушки требуются капитальные переделки в машине, а поэтому в танке “Матильда” также целесообразно оставить существующее вооружение.</w:t>
      </w:r>
    </w:p>
    <w:p w14:paraId="227AE589"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данное время боеприпасами английские танки обеспечены. Даже в случае недостатка английских снарядов будет более правильным наладить их производство у себя, тем более что снаряд к 40 мм пушке представляет цельную болванку с трассером, чем ставить в английском танке наше вооружение”.</w:t>
      </w:r>
    </w:p>
    <w:p w14:paraId="5FC48CFD"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Насчёт поставок боеприпасов Федоренко не лукавил. В самом конце ноября 1941 года началась бурная переписка между ГАБТУ КА и британской военной миссией в СССР, которую в 1941–42 годах возглавлял генерал Фрэнк Ноэль Мейсон-Макфарлейн (в переписке фигурирует под фамилией Макфарлан). 5 декабря состоялась личная встреча Мейсона-Макфарлейна с Федоренко в Москве.</w:t>
      </w:r>
    </w:p>
    <w:p w14:paraId="1261A60C"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итогам переговоров многие проблемы с поставками английских танков удалось в значительной степени разрешить. Для начала, англичане в систему охлаждения вместо воды стали заливать этиленгликоль. Чтобы незамерзающую смесь не сливали, на борта танков наносились соответствующие надписи на русском языке. Одновременно стали использоваться более устойчивые к морозам сорта смазки, что также положительно сказалось на зимней эксплуатации танков.</w:t>
      </w:r>
    </w:p>
    <w:p w14:paraId="472BCF8F"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Объём поставляемых из Великобритании боеприпасов был увеличен до 671 выстрела на танк, то есть почти до 10 боекомплектов. Наконец, наряду с обычными машинами, оснащёнными 2-фунтовыми пушками, была организована поставка танков Matilda IIICS, вооружённых 3-дюймовой (76 мм) гаубицей. У неё не было бронебойных снарядов, зато имелись осколочно-фугасные и дымовые. Партия Matilda IIICS прибыла 20 декабря 1941 года вместе с конвоем PQ-6. Этим же конвоем пришли и первые Matilda IV, машины самого массового типа «Матильд» из числа поставлявшихся англичанами. Всего в Советский Союз их было отправлено 915 штук (и еще 156 Matilda IVCS).</w:t>
      </w:r>
    </w:p>
    <w:p w14:paraId="76C67970"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Впрочем, на деле причины, по которым работы по перевооружению «Матильды» оказались отменены, надо искать в другой плоскости. Во-первых, инициатором перевооружения выступила не ГАБТУ, а Главное артиллерийское управление (ГАУ). Очень непростые взаимоотношения этих двух ведомств вполне могли оказать влияние на конечный итог работ.</w:t>
      </w:r>
    </w:p>
    <w:p w14:paraId="372DAB62"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Кроме того, Федоренко мог быть совсем не в восторге от того, что в качестве изготовителя комплектов для перевооружения английских танков должен был выступать завод №112. Предприятие с большим трудом осваивало выпуск Т-34 и только в декабре 1941 года, наконец, здесь удалось преодолеть планку в 100 выпущенных танков за месяц. Но всё ещё имели место проблемы с качеством продукции. Загружать завод №112 в такой ответственный момент ещё чем-то означало сорвать выпуск столь нужных фронту Т-34.</w:t>
      </w:r>
    </w:p>
    <w:p w14:paraId="6E14A571"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Да и с пушкой ЗИС-5 в тот момент было не всё гладко: их едва хватало для обеспечения выпуска отечественных КВ-1. Таким образом, у Федоренко были веские основания высказаться против проекта перевооружения «Матильды» на Ф-96.</w:t>
      </w:r>
    </w:p>
    <w:p w14:paraId="291BCDE6"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Отмена перевооружения «Матильды», несмотря на имевшиеся объективные проблемы, всё же оказалась большой ошибкой. Уже к весне 1942 года 2-фунтовая пушка стала почти бесполезной против немецких танков. Эффективно бороться она могла в основном против машин лёгкого типа, а средние танки с лобовой бронёй 50 мм были для неё непробиваемы. Слабое вооружение, к слову, стало одной из причин, почему англичане сняли танки Matilda с вооружения.</w:t>
      </w:r>
    </w:p>
    <w:p w14:paraId="2AB6AF1F"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Установка пушки Ф-96 могла значительно повысить огневую мощь танка, не говоря уже о том, что в её боекомплекте появлялся осколочно-фугасный боеприпас. Жалобы на его отсутствие шли от экипажей «Матильд» до самого конца их эксплуатации (17662).</w:t>
      </w:r>
    </w:p>
    <w:p w14:paraId="3D690570"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880E88"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января 1942 перевооруженный на ЗИС-5 (в таком варианте пушку назвали Ф-96) танк Матильда доставили в Москву, но 9 января 1942 от маршала Федоренко, начальника ГАБТУ КА, последовал отрицательный вердикт. Он сослался на тесноту внутри машины, но на самом деле вердикт начальника ГАБТУ КА имел ряд других причин. Первая - в ГАБТУ явно не хотели, чтобы завод №112 загружали чем-то кроме Т-34. Вторая - производство ЗИС-5 и в начале января 1942 года находилось в сложном состоянии. Ситуация улучшилась только после запуска производства орудий на заводе №8 в Свердловске. Третья - даже если завод №112 загрузили выпуском деталей, требовалось растолкать ремзавод, который бы производил такое перевооружение. Не факт, что БТРЗ №82 таким стал бы заниматься. Наконец, еще в декабре 1941 года англичане решили проблему с запчастями. В СССР пошли и запасные стволы, и куда больше снарядов (в расчете на 10 боекомплектов), также с конвоем PQ-6 прибыли первые Matilda III CS. В результате особого смысла в перевооружении не имелось. Вместе с тем, переделка на Ф-34 (новая установка вооружения, с креплением на болтах, была введена на заводе №183) вполне могла решить проблему. Но... после всех описанных процессов необходимости в этом не имелось. Хотя войска просили усилить вооружение танка, или хотя бы внедрить осколочно-фугасные снаряды (22545).</w:t>
      </w:r>
    </w:p>
    <w:p w14:paraId="35A22B1C" w14:textId="77777777" w:rsidR="00964C9E" w:rsidRPr="008127F8" w:rsidRDefault="00964C9E" w:rsidP="001E0A84">
      <w:pPr>
        <w:shd w:val="clear" w:color="auto" w:fill="FFFFFF"/>
        <w:spacing w:after="0" w:line="240" w:lineRule="auto"/>
        <w:jc w:val="both"/>
        <w:rPr>
          <w:rFonts w:ascii="Times New Roman" w:hAnsi="Times New Roman"/>
          <w:color w:val="000000" w:themeColor="text1"/>
          <w:sz w:val="16"/>
          <w:szCs w:val="16"/>
        </w:rPr>
      </w:pPr>
    </w:p>
    <w:p w14:paraId="010276FA" w14:textId="77777777" w:rsidR="00277995" w:rsidRPr="008127F8" w:rsidRDefault="0027799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января 1942 года танки Тетрарх, наконец, были приняты, после чего их переправили в Баку. С запчастями вопрос решался дольше. В феврале было принято решение об отправке необходимых инструментов и принадлежностей через Архангельск. Пока решались организационные вопросы, танки оставались в Баку, и лишь в начале марта 1942 года их передали в распоряжение 21-го отдельного учебного танкового полка, располагавшегося в городе Шаумян рядом с Ереваном (Армения) (17648).</w:t>
      </w:r>
    </w:p>
    <w:p w14:paraId="569B0DC4" w14:textId="77777777" w:rsidR="00277995" w:rsidRPr="008127F8" w:rsidRDefault="00277995" w:rsidP="001E0A84">
      <w:pPr>
        <w:pStyle w:val="12a"/>
        <w:shd w:val="clear" w:color="auto" w:fill="auto"/>
        <w:spacing w:after="0" w:line="240" w:lineRule="auto"/>
        <w:jc w:val="both"/>
        <w:rPr>
          <w:color w:val="000000" w:themeColor="text1"/>
          <w:sz w:val="16"/>
          <w:szCs w:val="16"/>
        </w:rPr>
      </w:pPr>
    </w:p>
    <w:p w14:paraId="156BF3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января 1942 г. на совещании у главного инженера Ижорского завода с участием представителей от пятого отдела НКТП во главе с С.А. Гинзбургом были рассмотрены оба проекта противотанковых СУ и были признаны в основном отвечающими требованиям, предъявляемым к данному типу боевых машин. Были сделаны замечания по увеличению численности орудийного расчета на платформе, а также увеличению боекомплекта, размещенного непосредственно рядом с орудием. Однако было отмече</w:t>
      </w:r>
      <w:r w:rsidRPr="008127F8">
        <w:rPr>
          <w:rFonts w:ascii="Times New Roman" w:hAnsi="Times New Roman"/>
          <w:color w:val="000000" w:themeColor="text1"/>
          <w:sz w:val="16"/>
          <w:szCs w:val="16"/>
        </w:rPr>
        <w:softHyphen/>
        <w:t>но, что более компактная установка 85-мм зенитной пушки в танке Т-34 может быть достигнута только за счет перекомпоновки самого танка (в первую очередь за счет отнесения вперед моторной группы), на что за</w:t>
      </w:r>
      <w:r w:rsidRPr="008127F8">
        <w:rPr>
          <w:rFonts w:ascii="Times New Roman" w:hAnsi="Times New Roman"/>
          <w:color w:val="000000" w:themeColor="text1"/>
          <w:sz w:val="16"/>
          <w:szCs w:val="16"/>
        </w:rPr>
        <w:softHyphen/>
        <w:t>вод самостоятельно пойти не мог (10703).</w:t>
      </w:r>
    </w:p>
    <w:p w14:paraId="69766A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ECE70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января 1942 г. был изготовлен Опытный образец машины БА-64. После успешного за</w:t>
      </w:r>
      <w:r w:rsidRPr="008127F8">
        <w:rPr>
          <w:rFonts w:ascii="Times New Roman" w:hAnsi="Times New Roman"/>
          <w:color w:val="000000" w:themeColor="text1"/>
          <w:sz w:val="16"/>
          <w:szCs w:val="16"/>
        </w:rPr>
        <w:softHyphen/>
        <w:t>вершения государственных испытаний летом 1942 г. первая партия ма</w:t>
      </w:r>
      <w:r w:rsidRPr="008127F8">
        <w:rPr>
          <w:rFonts w:ascii="Times New Roman" w:hAnsi="Times New Roman"/>
          <w:color w:val="000000" w:themeColor="text1"/>
          <w:sz w:val="16"/>
          <w:szCs w:val="16"/>
        </w:rPr>
        <w:softHyphen/>
        <w:t>шин была направлена в войска Брянского и Воронежского фронтов. Постановлением ГКО от 14 марта 1942 г. бронеавтомобиль был принят на вооружение и находился в серийном производстве на заводе ГАЗ с апреля 1942 г. до августа 1943 г.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8127F8">
        <w:rPr>
          <w:rFonts w:ascii="Times New Roman" w:hAnsi="Times New Roman"/>
          <w:color w:val="000000" w:themeColor="text1"/>
          <w:sz w:val="16"/>
          <w:szCs w:val="16"/>
        </w:rPr>
        <w:softHyphen/>
        <w:t>биль БА-64, из них 1352 машины с радиостанцией (10703).</w:t>
      </w:r>
    </w:p>
    <w:p w14:paraId="50AF5BF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26776A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начало 1942</w:t>
      </w:r>
    </w:p>
    <w:p w14:paraId="063EFA46"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Список номерных предприятий, находящихся в годы войны на территории Челябинской области № п/п № и название завода Местонахождение </w:t>
      </w:r>
    </w:p>
    <w:p w14:paraId="3914059B"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 3 – Автомеханический завод (завод передвижных электростанций) Г. Челябинск, Тракторозаводский район </w:t>
      </w:r>
    </w:p>
    <w:p w14:paraId="5027CB4C"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П/Я № 3 – Комбинат «Борец» Г. Аша </w:t>
      </w:r>
    </w:p>
    <w:p w14:paraId="21AF0119"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 К-4 – Завод «Оргстекло» Г. Челябинск, Центральный район </w:t>
      </w:r>
    </w:p>
    <w:p w14:paraId="51C9D16E"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 8 – Завод «Строммашина» Г. Челябинск, Тракторозаводский район </w:t>
      </w:r>
    </w:p>
    <w:p w14:paraId="46744F63"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 13 – Усть-Катавский вагоностроительный завод им. Кирова Г. Усть-Катав </w:t>
      </w:r>
    </w:p>
    <w:p w14:paraId="77166E6A"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 14 – Завод по производству масел Г. Челябинск, Кировский район </w:t>
      </w:r>
    </w:p>
    <w:p w14:paraId="3296D677"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 15 – Кыштымский машиностроительный завод Г. Кыштым </w:t>
      </w:r>
    </w:p>
    <w:p w14:paraId="5FAE53BE"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П/Я № 18 – Кыштымский радиозавод Г. Кыштым </w:t>
      </w:r>
    </w:p>
    <w:p w14:paraId="3DCF88EC"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П/Я № 20 – Каслинский машиностроительный завод Г. Касли </w:t>
      </w:r>
    </w:p>
    <w:p w14:paraId="5DC4AAF6"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 34 – Лакокрасочный завод Г. Челябинск </w:t>
      </w:r>
    </w:p>
    <w:p w14:paraId="5CDF886A"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 34 – Авиамоторный (электромеханический) Г. Троицк </w:t>
      </w:r>
    </w:p>
    <w:p w14:paraId="06813DAD"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 38 – Юрюзанский завод им. Кирова Г. Юрюзань </w:t>
      </w:r>
    </w:p>
    <w:p w14:paraId="2727D04B"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П/Я № 41 - Химмашзавод Г. Златоуст, Новозлатоустовский завод </w:t>
      </w:r>
    </w:p>
    <w:p w14:paraId="3D6E9ACC"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 62 – Автоматно-механический завод Г. Челябинск </w:t>
      </w:r>
    </w:p>
    <w:p w14:paraId="57355DDF"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 66 - Машзавод Г. Златоуст, Новозлатоустовский район </w:t>
      </w:r>
    </w:p>
    <w:p w14:paraId="355F2514"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 78 – Завод им. Серго Орджоникидзе Г. Челябинск, Ленинский район </w:t>
      </w:r>
    </w:p>
    <w:p w14:paraId="1E1E4DC7"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П/Я № 96 – База госрезерва Г. Челябинск, Кировский район </w:t>
      </w:r>
    </w:p>
    <w:p w14:paraId="0B9A9926"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 100 – Опытный завод (на базе ЧТЗ) Г. Челябинск, Тракторозаводский район </w:t>
      </w:r>
    </w:p>
    <w:p w14:paraId="44F1EFB7"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 114 – Завод пластмасс Г. Копейск </w:t>
      </w:r>
    </w:p>
    <w:p w14:paraId="1086201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 128 – Завод штурманских приборов Г. Юрюзань </w:t>
      </w:r>
    </w:p>
    <w:p w14:paraId="0488E4D3"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 132 –Механический завод Г. Сим </w:t>
      </w:r>
    </w:p>
    <w:p w14:paraId="12BF326B"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22 № 193 - Радиозавод Г. Касли </w:t>
      </w:r>
    </w:p>
    <w:p w14:paraId="4BFDFC73"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 200 – Станкомаш (на базе завода им. Серго Орджоникидзе) Г. Челябинск, Ленинский район </w:t>
      </w:r>
    </w:p>
    <w:p w14:paraId="69CAAFDA"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 254 – Завод производства сигнальных средств Г. Челябинск, Ленинский район </w:t>
      </w:r>
    </w:p>
    <w:p w14:paraId="1FC92380"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 255 – Завод электромашин Г. Челябинск, Ленинский район </w:t>
      </w:r>
    </w:p>
    <w:p w14:paraId="0263AF29"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 258 – Машиностроительный завод им. Кирова Г. Копейск </w:t>
      </w:r>
    </w:p>
    <w:p w14:paraId="45435A36"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 259 – Машзавод им. Ленина Г. Златоуст </w:t>
      </w:r>
    </w:p>
    <w:p w14:paraId="43E8AACD"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28 № 303 – Абразивный завод Г. Миасс </w:t>
      </w:r>
    </w:p>
    <w:p w14:paraId="4FED5B8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 378 – Электромеханический завод Г. Аша </w:t>
      </w:r>
    </w:p>
    <w:p w14:paraId="5FDC465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 385 – Станкостроительный завод Г. Златоуст </w:t>
      </w:r>
    </w:p>
    <w:p w14:paraId="2082853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31 № 391 – Инструментально-металлургический Г. Златоуст завод </w:t>
      </w:r>
    </w:p>
    <w:p w14:paraId="4A3C74A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32 № 401 – ПО «Сигнал» Г. Аша </w:t>
      </w:r>
    </w:p>
    <w:p w14:paraId="0C531770"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33 № 541 – Патронный завод Г. Челябинск, Центральный район </w:t>
      </w:r>
    </w:p>
    <w:p w14:paraId="6AB6DA15"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34 № 613 - Машзавод Г. Касл и </w:t>
      </w:r>
    </w:p>
    <w:p w14:paraId="03D952E4"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35 № 701 – Завод им. Колющенко Г. Челябинск, Советский район </w:t>
      </w:r>
    </w:p>
    <w:p w14:paraId="434DA096"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36 № 701 – Металлургический завод Г. Чебаркуль </w:t>
      </w:r>
    </w:p>
    <w:p w14:paraId="14167755"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37 № 721 – Завод «Компрессор» Г. Челябинск, Советский район </w:t>
      </w:r>
    </w:p>
    <w:p w14:paraId="3CECAD61"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 № 785 – Завод «Уралэлемент» Г. Верхний Уфалей</w:t>
      </w:r>
    </w:p>
    <w:p w14:paraId="5EC4303D"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39 № 825 – Машиностроительный завод Г. Куса </w:t>
      </w:r>
    </w:p>
    <w:p w14:paraId="277B715F" w14:textId="77777777" w:rsidR="001602D2" w:rsidRPr="008127F8" w:rsidRDefault="001602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 834 – Часовой завод Г. Златоуст (18579).</w:t>
      </w:r>
    </w:p>
    <w:p w14:paraId="45B921DA" w14:textId="77777777" w:rsidR="001602D2" w:rsidRPr="008127F8" w:rsidRDefault="001602D2" w:rsidP="001E0A84">
      <w:pPr>
        <w:spacing w:after="0" w:line="240" w:lineRule="auto"/>
        <w:jc w:val="both"/>
        <w:rPr>
          <w:rFonts w:ascii="Times New Roman" w:hAnsi="Times New Roman"/>
          <w:color w:val="000000" w:themeColor="text1"/>
          <w:sz w:val="16"/>
          <w:szCs w:val="16"/>
        </w:rPr>
      </w:pPr>
    </w:p>
    <w:p w14:paraId="6A5487F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47F07AB9" w14:textId="77777777" w:rsidR="00D4651C" w:rsidRPr="008127F8" w:rsidRDefault="00D4651C" w:rsidP="001E0A84">
      <w:pPr>
        <w:pStyle w:val="Iauiue"/>
        <w:jc w:val="both"/>
        <w:rPr>
          <w:iCs/>
          <w:color w:val="000000" w:themeColor="text1"/>
          <w:sz w:val="16"/>
          <w:szCs w:val="16"/>
        </w:rPr>
      </w:pPr>
    </w:p>
    <w:p w14:paraId="6FA0F84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начале января 1942 начали наступление на юго-западном направлении (512,172).</w:t>
      </w:r>
    </w:p>
    <w:p w14:paraId="0D628DCC" w14:textId="77777777" w:rsidR="00D4651C" w:rsidRPr="008127F8" w:rsidRDefault="00D4651C" w:rsidP="001E0A84">
      <w:pPr>
        <w:pStyle w:val="Iauiue"/>
        <w:jc w:val="both"/>
        <w:rPr>
          <w:color w:val="000000" w:themeColor="text1"/>
          <w:sz w:val="16"/>
          <w:szCs w:val="16"/>
        </w:rPr>
      </w:pPr>
    </w:p>
    <w:p w14:paraId="18E68D46"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5FC678D1" w14:textId="77777777" w:rsidR="00D4651C" w:rsidRPr="008127F8" w:rsidRDefault="00D4651C" w:rsidP="001E0A84">
      <w:pPr>
        <w:pStyle w:val="Iauiue"/>
        <w:jc w:val="both"/>
        <w:rPr>
          <w:iCs/>
          <w:color w:val="000000" w:themeColor="text1"/>
          <w:sz w:val="16"/>
          <w:szCs w:val="16"/>
        </w:rPr>
      </w:pPr>
    </w:p>
    <w:p w14:paraId="5C15C1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вышло Постановление ГКО № 1115 О транспортировке по железной дороге самолетов Ил-2 и их сборке на заводе № 23 в Москве. РГАНИР, Фонд ГКО, д. 18, лл. 198-199 (11012).</w:t>
      </w:r>
    </w:p>
    <w:p w14:paraId="49A24C4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254E57B" w14:textId="77777777" w:rsidR="001B531F" w:rsidRPr="008127F8" w:rsidRDefault="001B531F" w:rsidP="001E0A84">
      <w:pPr>
        <w:pStyle w:val="af"/>
        <w:shd w:val="clear" w:color="auto" w:fill="FFFFFF"/>
        <w:spacing w:before="0" w:after="0"/>
        <w:jc w:val="both"/>
        <w:rPr>
          <w:color w:val="000000" w:themeColor="text1"/>
          <w:sz w:val="16"/>
          <w:szCs w:val="16"/>
        </w:rPr>
      </w:pPr>
      <w:r w:rsidRPr="008127F8">
        <w:rPr>
          <w:color w:val="000000" w:themeColor="text1"/>
          <w:sz w:val="16"/>
          <w:szCs w:val="16"/>
        </w:rPr>
        <w:t>7 января 1942 вышел приказ НКАП № 17сс</w:t>
      </w:r>
    </w:p>
    <w:p w14:paraId="3DF48789" w14:textId="77777777" w:rsidR="001B531F" w:rsidRPr="008127F8" w:rsidRDefault="001B531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 транспортировке по ж/д самолетов Ил-2 и их сборке на з-де #23 в г. Москва (с 1го, 18го и 381го заводов на 23й направляются самолеты и бригады для сборки) (19706).</w:t>
      </w:r>
    </w:p>
    <w:p w14:paraId="69006351" w14:textId="77777777" w:rsidR="001B531F" w:rsidRPr="008127F8" w:rsidRDefault="001B531F" w:rsidP="001E0A84">
      <w:pPr>
        <w:pStyle w:val="af"/>
        <w:shd w:val="clear" w:color="auto" w:fill="FFFFFF"/>
        <w:spacing w:before="0" w:after="0"/>
        <w:jc w:val="both"/>
        <w:rPr>
          <w:color w:val="000000" w:themeColor="text1"/>
          <w:sz w:val="16"/>
          <w:szCs w:val="16"/>
        </w:rPr>
      </w:pPr>
    </w:p>
    <w:p w14:paraId="4EEEFE6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года были подготовлены мероприятия:</w:t>
      </w:r>
    </w:p>
    <w:p w14:paraId="41A1B4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 транспортировке по железной дороге самолетов Ил-2 и их сборке.</w:t>
      </w:r>
    </w:p>
    <w:p w14:paraId="73A661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Самолеты Ил-2, для перевозки их по железной дороге с заводов N 18, 1, 381 к месту сборки на завод N 23 грузятся на большегрузные платформы.</w:t>
      </w:r>
    </w:p>
    <w:p w14:paraId="50F76C4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 погрузке самолета у него отстыковываются крылья и горизонтальное хвостовое оперение (стабилизатор и рули высоты).</w:t>
      </w:r>
    </w:p>
    <w:p w14:paraId="3F02A91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Винт остается на самолете. Оружие (пулеметы и пушки) при отъеме крыльев оставлять установленным на лафетах.</w:t>
      </w:r>
    </w:p>
    <w:p w14:paraId="641E30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Самолет с убранными шасси укладывается на специальный ложемент под фюзеляж и центроплан самолета, который прибалчивается к платформе.</w:t>
      </w:r>
    </w:p>
    <w:p w14:paraId="752BE1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Хвостовая часть фюзеляжа с убранным костылем также укладывается на свой ложемент, приболченный к платформе.</w:t>
      </w:r>
    </w:p>
    <w:p w14:paraId="2F7BB3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Уложенный на ложементы самолет раскрепляется к платформе специальным креплением.</w:t>
      </w:r>
    </w:p>
    <w:p w14:paraId="37ADC94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Учитывая, что самолет, таким образом погруженный на платформу, на пределе вписывается в железнодорожный габарит, следить за тем, чтобы ось самолета совпадала бы с осью платформы, так как малейший сдвиг вбок может вызвать на некоторых участках пути поломку стыковых узлов центроплана.</w:t>
      </w:r>
    </w:p>
    <w:p w14:paraId="210F10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 прибалчивании ложементов к платформе необходимо мелом отбить осевую линию платформы и следить, чтобы осевая линия ложемента совпала с осью платформы.</w:t>
      </w:r>
    </w:p>
    <w:p w14:paraId="5A0AB6B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 внешние металлические части самолета, как-то: стыковые узлы, концы тяг и т.д., должны быть законсервированы тавотом, обернуты бумагой и обвязаны шпагатом.</w:t>
      </w:r>
    </w:p>
    <w:p w14:paraId="68103B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Никакой дополнительной консервации при указанной транспортировке самолет не требует.</w:t>
      </w:r>
    </w:p>
    <w:p w14:paraId="51D8152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Обе части стабилизатора грузятся на эту же платформу в специальных ложементах по обеим сторонам фюзеляжа.</w:t>
      </w:r>
    </w:p>
    <w:p w14:paraId="69B0E83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Крылья грузятся в специальных ложементах на отдельной платформе.</w:t>
      </w:r>
    </w:p>
    <w:p w14:paraId="42C863E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Самолеты отправлять по железной дороге эшелонами не менее 10-12 самолетов.</w:t>
      </w:r>
    </w:p>
    <w:p w14:paraId="1CADBFC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 24 часа до момента подачи состава на заводскую ветку, директор завода должен сделать заявку и Управление дороги, с указанием часа подачи на завод состава под погрузку, количества платформ, крытых вагонов и теплушки для охраны и сопровождающих.</w:t>
      </w:r>
    </w:p>
    <w:p w14:paraId="50A22E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Установить время на погрузку 10-12 самолетов на вагоны - в 12 часов, считая с момента подачи на заводскую ветку вагонов и до момента приемки эшелона представителями станции отправления.</w:t>
      </w:r>
    </w:p>
    <w:p w14:paraId="78D8E0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Ответственность за своевременную и качественную погрузку самолетов на платформы возлагается на директоров заводов NN 18, 1 и 381; и персонально по заводу N 1 - на Попова, по заводу N 18 - на Белинского и по заводу N 381 - на Ицкова.</w:t>
      </w:r>
    </w:p>
    <w:p w14:paraId="333CA09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комплектность отправляемых самолетов возлагается, кроме директора завода, также на старшего военпреда завода.</w:t>
      </w:r>
    </w:p>
    <w:p w14:paraId="37E937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своевременную подачу и состояние вагонов эшелона возложить на начальника соответствующей Дороги и начальника станции отправления, с которой подаются на завод вагоны.</w:t>
      </w:r>
    </w:p>
    <w:p w14:paraId="08F15C5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приемку эшелона после погрузки и немедленный вывод эшелона на станцию отправления возложить на начальника станции.</w:t>
      </w:r>
    </w:p>
    <w:p w14:paraId="2E704A0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Ответственность за безостановочное продвижение в пути эшелона с самолетами возложить на начальника соответствующей дороги и на зам. наркома Путей </w:t>
      </w:r>
      <w:r w:rsidRPr="008127F8">
        <w:rPr>
          <w:color w:val="000000" w:themeColor="text1"/>
          <w:sz w:val="16"/>
          <w:szCs w:val="16"/>
        </w:rPr>
        <w:lastRenderedPageBreak/>
        <w:t>сообщения Арутюнова.</w:t>
      </w:r>
    </w:p>
    <w:p w14:paraId="24D5A36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подачу прибывшего к месту сборки эшелона на заводские пути возложить на начальника станции, куда адресован эшелон.</w:t>
      </w:r>
    </w:p>
    <w:p w14:paraId="32EA4F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Установить место сборки самолетов Ил-2, выпускаемых заводами NN 1, 18 и 381 - завод N 23 в Москве.</w:t>
      </w:r>
    </w:p>
    <w:p w14:paraId="61EF4A3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готовность заводских путей к приему эшелона под разгрузку возложить на директора завода N 23 Окулова.</w:t>
      </w:r>
    </w:p>
    <w:p w14:paraId="33FF76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Установить срок - 4 часа с момента прибытия эшелона на станцию назначения до постановки его под разгрузку на заводе, куда адресован эшелон.</w:t>
      </w:r>
    </w:p>
    <w:p w14:paraId="6A6668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Установить срок разгрузки прибывшего на ветку завода эшелона с 10-12 самолетами - 8 часов, считая с момента постановки вагонов у разгрузочной рампы.</w:t>
      </w:r>
    </w:p>
    <w:p w14:paraId="75BB5F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Время постановки под разгрузку на заводе эшелона должно фиксироваться в специальном акте НКПС за двумя подписями - представителя железнодорожной станции, подавшей эшелон и представителя транспортного отдела завода.</w:t>
      </w:r>
    </w:p>
    <w:p w14:paraId="30423D4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срок разгрузки эшелона возложить на директора завода N 23 Окулова и начальника сборочного цеха Рыбко.</w:t>
      </w:r>
    </w:p>
    <w:p w14:paraId="783649A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Учитывая, что на заводе N 23 разгрузка, по условиям габарита может быть произведена на одноколейном пути, и следовательно паровой железнодорожный кран не может быть эффективно применен, обязать Моссовет - Пронина передать заводу N 23 для целей разгрузки прибывающих эшелонов один 7,5-тонный гусеничный подъемный кран.</w:t>
      </w:r>
    </w:p>
    <w:p w14:paraId="55B54D1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Работа в сборочном цехе должна быть организована таким образом, чтобы единовременно собирались все прибывшие самолеты, не допуская последовательной работы.</w:t>
      </w:r>
    </w:p>
    <w:p w14:paraId="275C0E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Для обеспечения ведения работы указанным порядком весь коллектив сборщиков и ИТР должен быть разбит на 12 комплексных бригад.</w:t>
      </w:r>
    </w:p>
    <w:p w14:paraId="119D85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Установить срок сборки 10-12 самолетов Ил-2 в 24 часа, считая от момента завоза последнего самолета в сборочный цех до выкатки его из цеха на аэродром.</w:t>
      </w:r>
    </w:p>
    <w:p w14:paraId="631FFD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Ввести для рабочих резко прогрессивную оплату за сокращение каждого часа самолета, исходя из установленной нормы в 24 часа, а для ИТР и старшего руководства сборкой - премиальную систему, основными показателями которой должны быть сокращение срока против установленной нормы и качество сборки. Критерием для определения качества сборки должна являться квитанция военпреда сборочного цеха, принявшего самолет после общего осмотра перед вывозом на аэродром.</w:t>
      </w:r>
    </w:p>
    <w:p w14:paraId="5D5385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сроки и качество сборки самолетов Ил-2 возложить на директора завода N 23 Окулова, начальника сборочного цеха - Рыбко и старшего военпреда завода N 23 - Ковалева.</w:t>
      </w:r>
    </w:p>
    <w:p w14:paraId="6840EC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Установить срок аэродромной отработки самолетов, облета их и сдачи воинским частям - 12 часов, считая с момента вывоза самолета на аэродром.</w:t>
      </w:r>
    </w:p>
    <w:p w14:paraId="1DCD352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установленную норму времени и сдачу самолетов экипажем воинских частей и возложить на директора и старшего военпреда завода.</w:t>
      </w:r>
    </w:p>
    <w:p w14:paraId="647E08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Ответственность за своевременное обеспечение готовых самолетов экипажами возложить на генерал-майора авиации Никитина.</w:t>
      </w:r>
    </w:p>
    <w:p w14:paraId="522046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Возложить ответственность за организацию отгрузки самолетов с заводов-поставщиков, сборку их и сдачу экипажами воинских частей на заводе N 23 - на начальника 10 гл. управления НКАП Тарасевича (1623,32).</w:t>
      </w:r>
    </w:p>
    <w:p w14:paraId="3B2EC23E" w14:textId="77777777" w:rsidR="00D4651C" w:rsidRPr="008127F8" w:rsidRDefault="00D4651C" w:rsidP="001E0A84">
      <w:pPr>
        <w:pStyle w:val="Iauiue"/>
        <w:jc w:val="both"/>
        <w:rPr>
          <w:color w:val="000000" w:themeColor="text1"/>
          <w:sz w:val="16"/>
          <w:szCs w:val="16"/>
        </w:rPr>
      </w:pPr>
    </w:p>
    <w:p w14:paraId="0BDE9A1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вышел приказ НКАП N 17сс о транспортировке по ж/д самолетов Ил-2 и их сборке на заводе 23 в Москве (отгрузка с заводов 1, 18, 381):</w:t>
      </w:r>
    </w:p>
    <w:p w14:paraId="75CA4E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Этим же постановлением ГКО обязал:</w:t>
      </w:r>
    </w:p>
    <w:p w14:paraId="6D3EF9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а) НКПС - Л.М.К. и Арутюнова обеспечить доставку по ж/д самолетов Ил-2 в Москву на завод 23 из Куйбышева в течение 54 </w:t>
      </w:r>
      <w:proofErr w:type="gramStart"/>
      <w:r w:rsidRPr="008127F8">
        <w:rPr>
          <w:color w:val="000000" w:themeColor="text1"/>
          <w:sz w:val="16"/>
          <w:szCs w:val="16"/>
        </w:rPr>
        <w:t>час..</w:t>
      </w:r>
      <w:proofErr w:type="gramEnd"/>
      <w:r w:rsidRPr="008127F8">
        <w:rPr>
          <w:color w:val="000000" w:themeColor="text1"/>
          <w:sz w:val="16"/>
          <w:szCs w:val="16"/>
        </w:rPr>
        <w:t xml:space="preserve"> а из Тагила в течение 74 час., считая с момента окончания погрузки самолетов</w:t>
      </w:r>
    </w:p>
    <w:p w14:paraId="23E81F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НКАП - Дементьеву и Окулову:</w:t>
      </w:r>
    </w:p>
    <w:p w14:paraId="1B1B0F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разгрузку каждого эшелона с 10 самолетами Ил-2 закончить не более, чем за 10 час.</w:t>
      </w:r>
    </w:p>
    <w:p w14:paraId="7834D7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одновременную сборку и сдачу на аэродром 10 самолетов Ил-2 производить за 24 час.</w:t>
      </w:r>
    </w:p>
    <w:p w14:paraId="1E34B06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исполнение постановления ГКО:</w:t>
      </w:r>
    </w:p>
    <w:p w14:paraId="6660ADB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 Директорам заводов 1 - Третьякову, 18 - Шенкману, 23 - Окулову и 381 - Журавлеву принять </w:t>
      </w:r>
      <w:proofErr w:type="gramStart"/>
      <w:r w:rsidRPr="008127F8">
        <w:rPr>
          <w:color w:val="000000" w:themeColor="text1"/>
          <w:sz w:val="16"/>
          <w:szCs w:val="16"/>
        </w:rPr>
        <w:t>с неуклонному исполнению</w:t>
      </w:r>
      <w:proofErr w:type="gramEnd"/>
      <w:r w:rsidRPr="008127F8">
        <w:rPr>
          <w:color w:val="000000" w:themeColor="text1"/>
          <w:sz w:val="16"/>
          <w:szCs w:val="16"/>
        </w:rPr>
        <w:t xml:space="preserve"> постановление ГКО и обеспечить:</w:t>
      </w:r>
    </w:p>
    <w:p w14:paraId="25F461A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своевременную погрузку полностью отработанных (пристрелянных-облетанных) и оформленных военпредом самолетов Ил-2 на заводах 1, 18 и 381</w:t>
      </w:r>
    </w:p>
    <w:p w14:paraId="2B5405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Директору завода 23 Окулову ежедневно докладывать мне письменно рапортом не позже 10 час. утра о количестве самолетов Ил-2, собранных на заводе 23 и сданных ВВС (1527,109).</w:t>
      </w:r>
    </w:p>
    <w:p w14:paraId="516EC4FD" w14:textId="77777777" w:rsidR="00D4651C" w:rsidRPr="008127F8" w:rsidRDefault="00D4651C" w:rsidP="001E0A84">
      <w:pPr>
        <w:pStyle w:val="Iauiue"/>
        <w:jc w:val="both"/>
        <w:rPr>
          <w:color w:val="000000" w:themeColor="text1"/>
          <w:sz w:val="16"/>
          <w:szCs w:val="16"/>
        </w:rPr>
      </w:pPr>
    </w:p>
    <w:p w14:paraId="6330E980"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января 1942 г. поста</w:t>
      </w:r>
      <w:r w:rsidRPr="008A2E5A">
        <w:rPr>
          <w:rFonts w:ascii="Times New Roman" w:hAnsi="Times New Roman"/>
          <w:color w:val="0070C0"/>
          <w:sz w:val="16"/>
          <w:szCs w:val="16"/>
        </w:rPr>
        <w:softHyphen/>
        <w:t>новлением ГКО № 1115сс «О транспор</w:t>
      </w:r>
      <w:r w:rsidRPr="008A2E5A">
        <w:rPr>
          <w:rFonts w:ascii="Times New Roman" w:hAnsi="Times New Roman"/>
          <w:color w:val="0070C0"/>
          <w:sz w:val="16"/>
          <w:szCs w:val="16"/>
        </w:rPr>
        <w:softHyphen/>
        <w:t>тировке по железной дороге самолетов Ил-2 и их сборке на заводе № 23 в Москве» был формально закреплен сложившийся порядок сдачи Ил-2. Однако вскоре заработали летно</w:t>
      </w:r>
      <w:r w:rsidRPr="008A2E5A">
        <w:rPr>
          <w:rFonts w:ascii="Times New Roman" w:hAnsi="Times New Roman"/>
          <w:color w:val="0070C0"/>
          <w:sz w:val="16"/>
          <w:szCs w:val="16"/>
        </w:rPr>
        <w:softHyphen/>
        <w:t>испытательные станции заводов и 11 января постановле</w:t>
      </w:r>
      <w:r w:rsidRPr="008A2E5A">
        <w:rPr>
          <w:rFonts w:ascii="Times New Roman" w:hAnsi="Times New Roman"/>
          <w:color w:val="0070C0"/>
          <w:sz w:val="16"/>
          <w:szCs w:val="16"/>
        </w:rPr>
        <w:softHyphen/>
        <w:t>нием ГКО № 1136сс от практики разборки самолетов Ил-2 и отправки их в Москву ж.д. транспортом отказались. Теперь все самолеты облетывались и принимались военной при</w:t>
      </w:r>
      <w:r w:rsidRPr="008A2E5A">
        <w:rPr>
          <w:rFonts w:ascii="Times New Roman" w:hAnsi="Times New Roman"/>
          <w:color w:val="0070C0"/>
          <w:sz w:val="16"/>
          <w:szCs w:val="16"/>
        </w:rPr>
        <w:softHyphen/>
        <w:t>емкой на ЛИС заводов, после чего машины перегонялись в Москву лётом (23346).</w:t>
      </w:r>
    </w:p>
    <w:p w14:paraId="667AC145" w14:textId="77777777" w:rsidR="00864A24" w:rsidRPr="008A2E5A" w:rsidRDefault="00864A24" w:rsidP="00864A24">
      <w:pPr>
        <w:spacing w:after="0" w:line="240" w:lineRule="auto"/>
        <w:jc w:val="both"/>
        <w:rPr>
          <w:rFonts w:ascii="Times New Roman" w:hAnsi="Times New Roman"/>
          <w:color w:val="0070C0"/>
          <w:sz w:val="16"/>
          <w:szCs w:val="16"/>
        </w:rPr>
      </w:pPr>
    </w:p>
    <w:p w14:paraId="3A1CC550" w14:textId="77777777" w:rsidR="00964C9E" w:rsidRPr="008127F8" w:rsidRDefault="00964C9E"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7 января 1942 предложенные схемы бронирования Су-6 рассматривались специалистами 14-го отдела НИИ ВВС на совещании с представителями завода №289.</w:t>
      </w:r>
    </w:p>
    <w:p w14:paraId="7CCA68F2" w14:textId="77777777" w:rsidR="00964C9E" w:rsidRPr="008127F8" w:rsidRDefault="00964C9E" w:rsidP="001E0A84">
      <w:pPr>
        <w:pStyle w:val="28"/>
        <w:shd w:val="clear" w:color="auto" w:fill="auto"/>
        <w:spacing w:before="0" w:line="240" w:lineRule="auto"/>
        <w:jc w:val="both"/>
        <w:rPr>
          <w:rStyle w:val="28pt100"/>
          <w:rFonts w:ascii="Times New Roman" w:hAnsi="Times New Roman" w:cs="Times New Roman"/>
          <w:i w:val="0"/>
          <w:iCs w:val="0"/>
          <w:color w:val="000000" w:themeColor="text1"/>
        </w:rPr>
      </w:pPr>
      <w:r w:rsidRPr="008127F8">
        <w:rPr>
          <w:rStyle w:val="28pt100"/>
          <w:rFonts w:ascii="Times New Roman" w:hAnsi="Times New Roman" w:cs="Times New Roman"/>
          <w:i w:val="0"/>
          <w:iCs w:val="0"/>
          <w:color w:val="000000" w:themeColor="text1"/>
        </w:rPr>
        <w:t>Отмечалось, что:</w:t>
      </w:r>
      <w:r w:rsidRPr="008127F8">
        <w:rPr>
          <w:rFonts w:ascii="Times New Roman" w:hAnsi="Times New Roman" w:cs="Times New Roman"/>
          <w:color w:val="000000" w:themeColor="text1"/>
          <w:sz w:val="16"/>
          <w:szCs w:val="16"/>
        </w:rPr>
        <w:t xml:space="preserve"> «1) кабина лет</w:t>
      </w:r>
      <w:r w:rsidRPr="008127F8">
        <w:rPr>
          <w:rFonts w:ascii="Times New Roman" w:hAnsi="Times New Roman" w:cs="Times New Roman"/>
          <w:color w:val="000000" w:themeColor="text1"/>
          <w:sz w:val="16"/>
          <w:szCs w:val="16"/>
        </w:rPr>
        <w:softHyphen/>
        <w:t>чика становится просторнее; 2) все аг</w:t>
      </w:r>
      <w:r w:rsidRPr="008127F8">
        <w:rPr>
          <w:rFonts w:ascii="Times New Roman" w:hAnsi="Times New Roman" w:cs="Times New Roman"/>
          <w:color w:val="000000" w:themeColor="text1"/>
          <w:sz w:val="16"/>
          <w:szCs w:val="16"/>
        </w:rPr>
        <w:softHyphen/>
        <w:t>регаты управления самолетом, краны шасси и оборудование полностью защи</w:t>
      </w:r>
      <w:r w:rsidRPr="008127F8">
        <w:rPr>
          <w:rFonts w:ascii="Times New Roman" w:hAnsi="Times New Roman" w:cs="Times New Roman"/>
          <w:color w:val="000000" w:themeColor="text1"/>
          <w:sz w:val="16"/>
          <w:szCs w:val="16"/>
        </w:rPr>
        <w:softHyphen/>
        <w:t>щены; 3) общее увеличение веса брони при этом несколько компенсируется отсут</w:t>
      </w:r>
      <w:r w:rsidRPr="008127F8">
        <w:rPr>
          <w:rFonts w:ascii="Times New Roman" w:hAnsi="Times New Roman" w:cs="Times New Roman"/>
          <w:color w:val="000000" w:themeColor="text1"/>
          <w:sz w:val="16"/>
          <w:szCs w:val="16"/>
        </w:rPr>
        <w:softHyphen/>
        <w:t>ствием деревянных каркаса и обшивки. При этом второй вариант</w:t>
      </w:r>
      <w:r w:rsidRPr="008127F8">
        <w:rPr>
          <w:rStyle w:val="28pt100"/>
          <w:rFonts w:ascii="Times New Roman" w:hAnsi="Times New Roman" w:cs="Times New Roman"/>
          <w:color w:val="000000" w:themeColor="text1"/>
        </w:rPr>
        <w:t xml:space="preserve"> </w:t>
      </w:r>
      <w:r w:rsidRPr="008127F8">
        <w:rPr>
          <w:rStyle w:val="28pt100"/>
          <w:rFonts w:ascii="Times New Roman" w:hAnsi="Times New Roman" w:cs="Times New Roman"/>
          <w:i w:val="0"/>
          <w:iCs w:val="0"/>
          <w:color w:val="000000" w:themeColor="text1"/>
        </w:rPr>
        <w:t>(№3 на схеме)</w:t>
      </w:r>
      <w:r w:rsidRPr="008127F8">
        <w:rPr>
          <w:rFonts w:ascii="Times New Roman" w:hAnsi="Times New Roman" w:cs="Times New Roman"/>
          <w:color w:val="000000" w:themeColor="text1"/>
          <w:sz w:val="16"/>
          <w:szCs w:val="16"/>
        </w:rPr>
        <w:t xml:space="preserve"> полностью отвечает требова</w:t>
      </w:r>
      <w:r w:rsidRPr="008127F8">
        <w:rPr>
          <w:rFonts w:ascii="Times New Roman" w:hAnsi="Times New Roman" w:cs="Times New Roman"/>
          <w:color w:val="000000" w:themeColor="text1"/>
          <w:sz w:val="16"/>
          <w:szCs w:val="16"/>
        </w:rPr>
        <w:softHyphen/>
        <w:t>ниям ВВС Красной Армии, предъявляемым к бронезащите штурмовиков», «толщины брони /.../ обеспечивают защиту пилота и бензобака от пуль крупного калибра (12- 15 мм</w:t>
      </w:r>
      <w:r w:rsidRPr="008127F8">
        <w:rPr>
          <w:rFonts w:ascii="Times New Roman" w:hAnsi="Times New Roman" w:cs="Times New Roman"/>
          <w:i/>
          <w:iCs/>
          <w:color w:val="000000" w:themeColor="text1"/>
          <w:sz w:val="16"/>
          <w:szCs w:val="16"/>
        </w:rPr>
        <w:t>)».</w:t>
      </w:r>
      <w:r w:rsidRPr="008127F8">
        <w:rPr>
          <w:rStyle w:val="28pt100"/>
          <w:rFonts w:ascii="Times New Roman" w:hAnsi="Times New Roman" w:cs="Times New Roman"/>
          <w:i w:val="0"/>
          <w:iCs w:val="0"/>
          <w:color w:val="000000" w:themeColor="text1"/>
        </w:rPr>
        <w:t xml:space="preserve"> Именно эта схема и была утвер</w:t>
      </w:r>
      <w:r w:rsidRPr="008127F8">
        <w:rPr>
          <w:rStyle w:val="28pt100"/>
          <w:rFonts w:ascii="Times New Roman" w:hAnsi="Times New Roman" w:cs="Times New Roman"/>
          <w:i w:val="0"/>
          <w:iCs w:val="0"/>
          <w:color w:val="000000" w:themeColor="text1"/>
        </w:rPr>
        <w:softHyphen/>
        <w:t>ждена в официальном заключении НИИ ВВС от 13 января в качестве броневой за</w:t>
      </w:r>
      <w:r w:rsidRPr="008127F8">
        <w:rPr>
          <w:rStyle w:val="28pt100"/>
          <w:rFonts w:ascii="Times New Roman" w:hAnsi="Times New Roman" w:cs="Times New Roman"/>
          <w:i w:val="0"/>
          <w:iCs w:val="0"/>
          <w:color w:val="000000" w:themeColor="text1"/>
        </w:rPr>
        <w:softHyphen/>
        <w:t>щиты серийных самолетов Су-6 (19844).</w:t>
      </w:r>
    </w:p>
    <w:p w14:paraId="7C2918C7" w14:textId="77777777" w:rsidR="00964C9E" w:rsidRPr="008127F8" w:rsidRDefault="00964C9E" w:rsidP="001E0A84">
      <w:pPr>
        <w:pStyle w:val="28"/>
        <w:shd w:val="clear" w:color="auto" w:fill="auto"/>
        <w:spacing w:before="0" w:line="240" w:lineRule="auto"/>
        <w:jc w:val="both"/>
        <w:rPr>
          <w:rFonts w:ascii="Times New Roman" w:hAnsi="Times New Roman" w:cs="Times New Roman"/>
          <w:i/>
          <w:iCs/>
          <w:color w:val="000000" w:themeColor="text1"/>
          <w:sz w:val="16"/>
          <w:szCs w:val="16"/>
        </w:rPr>
      </w:pPr>
    </w:p>
    <w:p w14:paraId="2187F7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в Ташкенте собрали первый ПС-84 (4141,22).</w:t>
      </w:r>
    </w:p>
    <w:p w14:paraId="781B93B6" w14:textId="77777777" w:rsidR="00D4651C" w:rsidRPr="008127F8" w:rsidRDefault="00D4651C" w:rsidP="001E0A84">
      <w:pPr>
        <w:pStyle w:val="Iauiue"/>
        <w:jc w:val="both"/>
        <w:rPr>
          <w:color w:val="000000" w:themeColor="text1"/>
          <w:sz w:val="16"/>
          <w:szCs w:val="16"/>
        </w:rPr>
      </w:pPr>
    </w:p>
    <w:p w14:paraId="2A7D758D" w14:textId="23FD5221"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января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Летчик испытатель Н.В.Герасимов поднял в воздух первый собранный в Ташкенте на эвакуированном заводе № 84 самолет ПС-84 (Ли-2) (22677).</w:t>
      </w:r>
    </w:p>
    <w:p w14:paraId="2A1369B5" w14:textId="77777777" w:rsidR="00964C9E" w:rsidRPr="008127F8" w:rsidRDefault="00964C9E" w:rsidP="001E0A84">
      <w:pPr>
        <w:spacing w:after="0" w:line="240" w:lineRule="auto"/>
        <w:jc w:val="both"/>
        <w:rPr>
          <w:rFonts w:ascii="Times New Roman" w:hAnsi="Times New Roman"/>
          <w:color w:val="000000" w:themeColor="text1"/>
          <w:sz w:val="16"/>
          <w:szCs w:val="16"/>
        </w:rPr>
      </w:pPr>
    </w:p>
    <w:p w14:paraId="54FEAFB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года завод № 84 начал выпуск самолетов в Ташкенте, через 80 дней после прекращения выпуска самолетов ПС-84 в г. Химки (9461).</w:t>
      </w:r>
    </w:p>
    <w:p w14:paraId="49A7F066" w14:textId="77777777" w:rsidR="00D4651C" w:rsidRPr="008127F8" w:rsidRDefault="00D4651C" w:rsidP="001E0A84">
      <w:pPr>
        <w:pStyle w:val="Iauiue"/>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93"/>
        <w:gridCol w:w="1134"/>
        <w:gridCol w:w="1417"/>
        <w:gridCol w:w="2151"/>
        <w:gridCol w:w="2151"/>
      </w:tblGrid>
      <w:tr w:rsidR="006F4095" w:rsidRPr="008127F8" w14:paraId="1412DD0B" w14:textId="77777777">
        <w:tc>
          <w:tcPr>
            <w:tcW w:w="993" w:type="dxa"/>
            <w:tcBorders>
              <w:top w:val="single" w:sz="12" w:space="0" w:color="auto"/>
            </w:tcBorders>
          </w:tcPr>
          <w:p w14:paraId="4ABE48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1134" w:type="dxa"/>
            <w:tcBorders>
              <w:top w:val="single" w:sz="12" w:space="0" w:color="auto"/>
            </w:tcBorders>
          </w:tcPr>
          <w:p w14:paraId="00F51E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7" w:type="dxa"/>
            <w:tcBorders>
              <w:top w:val="single" w:sz="12" w:space="0" w:color="auto"/>
            </w:tcBorders>
          </w:tcPr>
          <w:p w14:paraId="56A308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151" w:type="dxa"/>
            <w:tcBorders>
              <w:top w:val="single" w:sz="12" w:space="0" w:color="auto"/>
            </w:tcBorders>
          </w:tcPr>
          <w:p w14:paraId="478FD6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2151" w:type="dxa"/>
            <w:tcBorders>
              <w:top w:val="single" w:sz="12" w:space="0" w:color="auto"/>
            </w:tcBorders>
          </w:tcPr>
          <w:p w14:paraId="741CE8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87FE2" w:rsidRPr="008127F8" w14:paraId="23C79809" w14:textId="77777777">
        <w:tc>
          <w:tcPr>
            <w:tcW w:w="993" w:type="dxa"/>
            <w:tcBorders>
              <w:bottom w:val="single" w:sz="12" w:space="0" w:color="auto"/>
            </w:tcBorders>
          </w:tcPr>
          <w:p w14:paraId="32B6A4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w:t>
            </w:r>
          </w:p>
        </w:tc>
        <w:tc>
          <w:tcPr>
            <w:tcW w:w="1134" w:type="dxa"/>
            <w:tcBorders>
              <w:bottom w:val="single" w:sz="12" w:space="0" w:color="auto"/>
            </w:tcBorders>
          </w:tcPr>
          <w:p w14:paraId="23DFC97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17" w:type="dxa"/>
            <w:tcBorders>
              <w:bottom w:val="single" w:sz="12" w:space="0" w:color="auto"/>
            </w:tcBorders>
          </w:tcPr>
          <w:p w14:paraId="5B41AF6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151" w:type="dxa"/>
            <w:tcBorders>
              <w:bottom w:val="single" w:sz="12" w:space="0" w:color="auto"/>
            </w:tcBorders>
          </w:tcPr>
          <w:p w14:paraId="01F1F6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происшествие, с-т ПЛ-5 транспортный</w:t>
            </w:r>
          </w:p>
        </w:tc>
        <w:tc>
          <w:tcPr>
            <w:tcW w:w="2151" w:type="dxa"/>
            <w:tcBorders>
              <w:bottom w:val="single" w:sz="12" w:space="0" w:color="auto"/>
            </w:tcBorders>
          </w:tcPr>
          <w:p w14:paraId="3A888E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Неправильная буксировка с-та в отсутствии бортмеханика. Поломано шасси (2108,265)</w:t>
            </w:r>
          </w:p>
        </w:tc>
      </w:tr>
    </w:tbl>
    <w:p w14:paraId="3B2052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1F6EE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НКАП А.И.Ш. писал письмо № И-201/25 Зам. Пред. СНК тов. ВОЗНЕСЕНСКОМУ Н.А.</w:t>
      </w:r>
    </w:p>
    <w:p w14:paraId="591BC07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невыполнением Челябинским Трактор</w:t>
      </w:r>
      <w:r w:rsidRPr="008127F8">
        <w:rPr>
          <w:rFonts w:ascii="Times New Roman" w:hAnsi="Times New Roman"/>
          <w:color w:val="000000" w:themeColor="text1"/>
          <w:sz w:val="16"/>
          <w:szCs w:val="16"/>
        </w:rPr>
        <w:softHyphen/>
        <w:t>ным заводом заказов за поковки, прошу разрешить заводу 29 в г. Омске позаимствовать из запасов Управле</w:t>
      </w:r>
      <w:r w:rsidRPr="008127F8">
        <w:rPr>
          <w:rFonts w:ascii="Times New Roman" w:hAnsi="Times New Roman"/>
          <w:color w:val="000000" w:themeColor="text1"/>
          <w:sz w:val="16"/>
          <w:szCs w:val="16"/>
        </w:rPr>
        <w:softHyphen/>
        <w:t>ния Государственных Резервов при СНК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143E2046" w14:textId="77777777">
        <w:tc>
          <w:tcPr>
            <w:tcW w:w="3757" w:type="dxa"/>
            <w:tcBorders>
              <w:top w:val="single" w:sz="12" w:space="0" w:color="auto"/>
            </w:tcBorders>
            <w:shd w:val="clear" w:color="auto" w:fill="FFFFFF"/>
          </w:tcPr>
          <w:p w14:paraId="18B43F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Сателитов редуктора</w:t>
            </w:r>
          </w:p>
        </w:tc>
        <w:tc>
          <w:tcPr>
            <w:tcW w:w="3757" w:type="dxa"/>
            <w:tcBorders>
              <w:top w:val="single" w:sz="12" w:space="0" w:color="auto"/>
            </w:tcBorders>
            <w:shd w:val="clear" w:color="auto" w:fill="FFFFFF"/>
          </w:tcPr>
          <w:p w14:paraId="55EA2F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1220 шт. к мотору М-88</w:t>
            </w:r>
          </w:p>
        </w:tc>
      </w:tr>
      <w:tr w:rsidR="006F4095" w:rsidRPr="008127F8" w14:paraId="36F90AC3" w14:textId="77777777">
        <w:tc>
          <w:tcPr>
            <w:tcW w:w="3757" w:type="dxa"/>
            <w:shd w:val="clear" w:color="auto" w:fill="FFFFFF"/>
          </w:tcPr>
          <w:p w14:paraId="2E68CA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Кулачковых шайб</w:t>
            </w:r>
          </w:p>
        </w:tc>
        <w:tc>
          <w:tcPr>
            <w:tcW w:w="3757" w:type="dxa"/>
            <w:shd w:val="clear" w:color="auto" w:fill="FFFFFF"/>
          </w:tcPr>
          <w:p w14:paraId="052351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 ш.</w:t>
            </w:r>
          </w:p>
        </w:tc>
      </w:tr>
      <w:tr w:rsidR="006F4095" w:rsidRPr="008127F8" w14:paraId="07F2791E" w14:textId="77777777">
        <w:tc>
          <w:tcPr>
            <w:tcW w:w="3757" w:type="dxa"/>
            <w:shd w:val="clear" w:color="auto" w:fill="FFFFFF"/>
          </w:tcPr>
          <w:p w14:paraId="0B1EAE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Клапанов впуска</w:t>
            </w:r>
          </w:p>
        </w:tc>
        <w:tc>
          <w:tcPr>
            <w:tcW w:w="3757" w:type="dxa"/>
            <w:shd w:val="clear" w:color="auto" w:fill="FFFFFF"/>
          </w:tcPr>
          <w:p w14:paraId="330954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 шт.</w:t>
            </w:r>
          </w:p>
        </w:tc>
      </w:tr>
      <w:tr w:rsidR="006F4095" w:rsidRPr="008127F8" w14:paraId="4E960266" w14:textId="77777777">
        <w:tc>
          <w:tcPr>
            <w:tcW w:w="3757" w:type="dxa"/>
            <w:shd w:val="clear" w:color="auto" w:fill="FFFFFF"/>
          </w:tcPr>
          <w:p w14:paraId="7C1D21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Распорных втулок</w:t>
            </w:r>
          </w:p>
        </w:tc>
        <w:tc>
          <w:tcPr>
            <w:tcW w:w="3757" w:type="dxa"/>
            <w:shd w:val="clear" w:color="auto" w:fill="FFFFFF"/>
          </w:tcPr>
          <w:p w14:paraId="048DCA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шт.</w:t>
            </w:r>
          </w:p>
        </w:tc>
      </w:tr>
      <w:tr w:rsidR="006F4095" w:rsidRPr="008127F8" w14:paraId="5AA887EC" w14:textId="77777777">
        <w:tc>
          <w:tcPr>
            <w:tcW w:w="3757" w:type="dxa"/>
            <w:tcBorders>
              <w:bottom w:val="single" w:sz="12" w:space="0" w:color="auto"/>
            </w:tcBorders>
            <w:shd w:val="clear" w:color="auto" w:fill="FFFFFF"/>
          </w:tcPr>
          <w:p w14:paraId="6BE6DF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Поршней /изготовления зав. № 95</w:t>
            </w:r>
          </w:p>
        </w:tc>
        <w:tc>
          <w:tcPr>
            <w:tcW w:w="3757" w:type="dxa"/>
            <w:tcBorders>
              <w:bottom w:val="single" w:sz="12" w:space="0" w:color="auto"/>
            </w:tcBorders>
            <w:shd w:val="clear" w:color="auto" w:fill="FFFFFF"/>
          </w:tcPr>
          <w:p w14:paraId="1319AA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 шт.</w:t>
            </w:r>
          </w:p>
        </w:tc>
      </w:tr>
    </w:tbl>
    <w:p w14:paraId="0E734B0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 укаааншх поковок поставило под прямую угрозу выполнение программы (2193,56).</w:t>
      </w:r>
    </w:p>
    <w:p w14:paraId="7812A4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E3C16E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января</w:t>
      </w:r>
      <w:r w:rsidRPr="008127F8">
        <w:rPr>
          <w:rFonts w:ascii="Times New Roman" w:hAnsi="Times New Roman"/>
          <w:color w:val="000000" w:themeColor="text1"/>
          <w:sz w:val="16"/>
          <w:szCs w:val="16"/>
        </w:rPr>
        <w:t xml:space="preserve"> в 1942 году запорожскими моторостроителями на эвакуированном в Омск заводе №29 восстановлено серийное производство двигателей «М-88Б». В 1939–1940 гг. был создан мотор «М-88» с существенно увеличенной мощностью и двухскоростным ПЦН. Конструкция его была изменена: усилены картер, коленчатый вал, шатуны, донышко поршня изнутри выполнено «вафельным» (как у «М-25» и «М-62»), разработана оригинальная конструкция передачи к ПЦН, полностью заменены все агрегаты На моторах «М-88Б» и «М-88Ф» кроме того увеличено (для улучшения охлаждения) оребрение головки и гильзы цилиндра, усилены шатуны и поршни, пересмотрены расположение агрегатов и приводы к ним. Мотор «М-88» по мощности и номинальной удельной массе вышел на уровень зарубежных моторов этого класса. Хотя по другим удельным номинальным показателям он им существенно уступал, но имел запас по возможностям форсирования. Если сравнить его с весьма распространенным во время второй мировой войны американским «Пратт-Уитни» «R-1830» и многими другими, можно видеть, что «М-88» имел меньшие на 30–40% средние эффективное давление и литровую мощность. Поэтому завод перед самой войной создал опытные двигатели «М-89» мощностью 1300 л.с. на </w:t>
      </w:r>
      <w:r w:rsidRPr="008127F8">
        <w:rPr>
          <w:rFonts w:ascii="Times New Roman" w:hAnsi="Times New Roman"/>
          <w:color w:val="000000" w:themeColor="text1"/>
          <w:sz w:val="16"/>
          <w:szCs w:val="16"/>
        </w:rPr>
        <w:lastRenderedPageBreak/>
        <w:t>высоте 6000 м за счет увеличения давления наддува и степени сжатия а в 1941 г. — 18-цилиндровый мотор «М-90» взлетной мощностью 2000 л.с. Однако в связи с началом Великой Отечественной войны и срочной эвакуацией завода вопрос об освоении этих двигателей не поднимался. Более того, под сомнением была даже целесообразность восстановления на эвакуированном заводе производства освоенных уже «М-88». Однако, бомбардировщикам надо было летать, «Ил-4» шел в серии, и моторы «М-88» начали делать в Сибири в неприспособленных корпусах, часто почти под открытым небом. Жизнь показала, что это было правильно — моторы «М-88» продержались в производстве в течение всей войны. Может возникнуть вопрос, почему все остальные советские моторы обозначались инициалами главного конструктора. (А.А.Микулина — с 1939 г., остальные — с 1944 г.), а семейство «M-85»-«М-88» сохранило довоенное обозначение. Дело в том, что этими моторами поочередно занимались три главных конструктора. Под руководством С.У.Туманского в ОКБ-29 были спроектированы более мощные моторы «М-88А» и «М-88Б», основные данные которых были одинаковы, а различие определялись спецификой самолетов, на которые они ставились, в частности, мотор «М-88Б» предназначался для «ДБ-ЗФ» («Ил-4»). Этот мотор вошел в число основных двигателей, на которых воевала наша авиация во время Великой Отечественной войны. Однако моторы «М-88», как тогда говорили, «шли плохо», при испытаниях проявились многие дефекты, и моторы были сняты с производства (15002).</w:t>
      </w:r>
    </w:p>
    <w:p w14:paraId="6248C788"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60B6A4FC" w14:textId="77777777" w:rsidR="00864A24" w:rsidRPr="008A2E5A" w:rsidRDefault="00864A24" w:rsidP="00864A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января 1942 г. — спустя три месяца после перебазирования — заводчане завода № 29 испытали первый авиадвигатель, произведенный на омской земле (23472).</w:t>
      </w:r>
    </w:p>
    <w:p w14:paraId="59E4520E" w14:textId="77777777" w:rsidR="00864A24" w:rsidRPr="008A2E5A" w:rsidRDefault="00864A24" w:rsidP="00864A24">
      <w:pPr>
        <w:spacing w:after="0" w:line="240" w:lineRule="auto"/>
        <w:jc w:val="both"/>
        <w:rPr>
          <w:rFonts w:ascii="Times New Roman" w:hAnsi="Times New Roman"/>
          <w:color w:val="0070C0"/>
          <w:sz w:val="16"/>
          <w:szCs w:val="16"/>
        </w:rPr>
      </w:pPr>
    </w:p>
    <w:p w14:paraId="1D1B9E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вышло Постановление ГКО № 1116 О строительстве Чебаркульского завода авиапоковок. РГАНИР, Фонд ГКО, д. 18, лл. 200, 201-210 (11012).</w:t>
      </w:r>
    </w:p>
    <w:p w14:paraId="4791C72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E92D4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7 января 1942 появилось решение Правительства, которое имело большое значение для организационного становления. Именно с этого момента группа фактически и юридически заняла лидирующие позиции в системе ведомственных органов управления авиационной промышленностью и стала тем ядром, вокруг которого они начали концентрироваться (303). Тенденция к сосредоточению подразделений наркомата снова в Москве усилилась после успешного наступления советских войск зимой 1941-1942 гг. А в дальнейшем в результате происшедшей в первые шесть месяцев 1942 практически полной реэвакуации НКАП миссия московской оперативной группы оказалась </w:t>
      </w:r>
      <w:proofErr w:type="gramStart"/>
      <w:r w:rsidRPr="008127F8">
        <w:rPr>
          <w:color w:val="000000" w:themeColor="text1"/>
          <w:sz w:val="16"/>
          <w:szCs w:val="16"/>
        </w:rPr>
        <w:t>выполненной</w:t>
      </w:r>
      <w:proofErr w:type="gramEnd"/>
      <w:r w:rsidRPr="008127F8">
        <w:rPr>
          <w:color w:val="000000" w:themeColor="text1"/>
          <w:sz w:val="16"/>
          <w:szCs w:val="16"/>
        </w:rPr>
        <w:t xml:space="preserve"> и она влилась в единую организационную структуру наркомата (303).</w:t>
      </w:r>
    </w:p>
    <w:p w14:paraId="21E953B8" w14:textId="77777777" w:rsidR="00D4651C" w:rsidRPr="008127F8" w:rsidRDefault="00D4651C" w:rsidP="001E0A84">
      <w:pPr>
        <w:pStyle w:val="Iauiue"/>
        <w:jc w:val="both"/>
        <w:rPr>
          <w:color w:val="000000" w:themeColor="text1"/>
          <w:sz w:val="16"/>
          <w:szCs w:val="16"/>
        </w:rPr>
      </w:pPr>
    </w:p>
    <w:p w14:paraId="0F3D7737"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г. Решением ГКО московская группа НКАП обрела статус главной и стала организационным ядром после реэвакуации НКАП (18305).</w:t>
      </w:r>
    </w:p>
    <w:p w14:paraId="44132364" w14:textId="77777777" w:rsidR="001B531F" w:rsidRPr="008127F8" w:rsidRDefault="001B531F" w:rsidP="001E0A84">
      <w:pPr>
        <w:spacing w:after="0" w:line="240" w:lineRule="auto"/>
        <w:jc w:val="both"/>
        <w:rPr>
          <w:rFonts w:ascii="Times New Roman" w:hAnsi="Times New Roman"/>
          <w:color w:val="000000" w:themeColor="text1"/>
          <w:sz w:val="16"/>
          <w:szCs w:val="16"/>
        </w:rPr>
      </w:pPr>
    </w:p>
    <w:p w14:paraId="2D4185D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5B7C8F8" w14:textId="77777777" w:rsidR="00D4651C" w:rsidRPr="008127F8" w:rsidRDefault="00D4651C" w:rsidP="001E0A84">
      <w:pPr>
        <w:pStyle w:val="Iauiue"/>
        <w:jc w:val="both"/>
        <w:rPr>
          <w:iCs/>
          <w:color w:val="000000" w:themeColor="text1"/>
          <w:sz w:val="16"/>
          <w:szCs w:val="16"/>
        </w:rPr>
      </w:pPr>
    </w:p>
    <w:p w14:paraId="36A5995A" w14:textId="77777777" w:rsidR="00346683" w:rsidRPr="008127F8" w:rsidRDefault="00346683"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7 января 1942 г. была записка члена Военного совета Ленин</w:t>
      </w:r>
      <w:r w:rsidRPr="008127F8">
        <w:rPr>
          <w:rFonts w:ascii="Times New Roman" w:cs="Times New Roman"/>
          <w:color w:val="000000" w:themeColor="text1"/>
          <w:spacing w:val="0"/>
          <w:sz w:val="16"/>
          <w:szCs w:val="16"/>
        </w:rPr>
        <w:softHyphen/>
        <w:t xml:space="preserve">градского фронта А.А. Жданова председателю ГКО И.В. Сталину, согласно которой «...за </w:t>
      </w:r>
      <w:r w:rsidRPr="008127F8">
        <w:rPr>
          <w:rStyle w:val="aff8"/>
          <w:rFonts w:ascii="Times New Roman" w:eastAsia="Arial Narrow" w:hAnsi="Times New Roman" w:cs="Times New Roman"/>
          <w:i w:val="0"/>
          <w:color w:val="000000" w:themeColor="text1"/>
          <w:spacing w:val="0"/>
        </w:rPr>
        <w:t>шесть месяцев промышленность г. Ленингра</w:t>
      </w:r>
      <w:r w:rsidRPr="008127F8">
        <w:rPr>
          <w:rStyle w:val="aff8"/>
          <w:rFonts w:ascii="Times New Roman" w:eastAsia="Arial Narrow" w:hAnsi="Times New Roman" w:cs="Times New Roman"/>
          <w:i w:val="0"/>
          <w:color w:val="000000" w:themeColor="text1"/>
          <w:spacing w:val="0"/>
        </w:rPr>
        <w:softHyphen/>
        <w:t>да изготовила и сдала Красной Армии... 10600 автоматов ППД».</w:t>
      </w:r>
      <w:r w:rsidRPr="008127F8">
        <w:rPr>
          <w:rFonts w:ascii="Times New Roman" w:cs="Times New Roman"/>
          <w:color w:val="000000" w:themeColor="text1"/>
          <w:spacing w:val="0"/>
          <w:sz w:val="16"/>
          <w:szCs w:val="16"/>
        </w:rPr>
        <w:t xml:space="preserve"> Всего в 1941-1942 гг. ленин</w:t>
      </w:r>
      <w:r w:rsidRPr="008127F8">
        <w:rPr>
          <w:rFonts w:ascii="Times New Roman" w:cs="Times New Roman"/>
          <w:color w:val="000000" w:themeColor="text1"/>
          <w:spacing w:val="0"/>
          <w:sz w:val="16"/>
          <w:szCs w:val="16"/>
        </w:rPr>
        <w:softHyphen/>
        <w:t>градцы в жесточайших условиях изготовили 42870 ППД-40, которые использовались в вой</w:t>
      </w:r>
      <w:r w:rsidRPr="008127F8">
        <w:rPr>
          <w:rFonts w:ascii="Times New Roman" w:cs="Times New Roman"/>
          <w:color w:val="000000" w:themeColor="text1"/>
          <w:spacing w:val="0"/>
          <w:sz w:val="16"/>
          <w:szCs w:val="16"/>
        </w:rPr>
        <w:softHyphen/>
        <w:t>сках Ленинградского и Карельского фронтов (15770).</w:t>
      </w:r>
    </w:p>
    <w:p w14:paraId="09F8E193" w14:textId="77777777" w:rsidR="00346683" w:rsidRPr="008127F8" w:rsidRDefault="00346683" w:rsidP="001E0A84">
      <w:pPr>
        <w:pStyle w:val="36"/>
        <w:shd w:val="clear" w:color="auto" w:fill="auto"/>
        <w:spacing w:after="0" w:line="240" w:lineRule="auto"/>
        <w:jc w:val="both"/>
        <w:rPr>
          <w:rFonts w:ascii="Times New Roman" w:cs="Times New Roman"/>
          <w:color w:val="000000" w:themeColor="text1"/>
          <w:spacing w:val="0"/>
          <w:sz w:val="16"/>
          <w:szCs w:val="16"/>
        </w:rPr>
      </w:pPr>
    </w:p>
    <w:p w14:paraId="2BF269A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года СЕКРЕТАРЮ ХАБАРОВСКОГО КРАЙКОМА ВКП(б) тов. БОРКОВУ Г.А. была подготовлена:</w:t>
      </w:r>
    </w:p>
    <w:p w14:paraId="0DCB9C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w:t>
      </w:r>
    </w:p>
    <w:p w14:paraId="575232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Переоборудование кирпичного завода №2 на производство боеприпасов- закончено.</w:t>
      </w:r>
    </w:p>
    <w:p w14:paraId="0760D4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с 27/XII-42года -пущен в эксплуатацию.</w:t>
      </w:r>
    </w:p>
    <w:p w14:paraId="28C3DC4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месяце работа завода построена с учетом выпуска в месяц 15 тыс. штук при плате в 5 тыс. шт. противотанковых мин ЯМ-5М.</w:t>
      </w:r>
    </w:p>
    <w:p w14:paraId="7CE684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хабаровского горкома ВКП(б) подпись ДЕМКИН</w:t>
      </w:r>
    </w:p>
    <w:p w14:paraId="3265EF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Деятельность предприятий, ф.35, оп.1, </w:t>
      </w:r>
      <w:proofErr w:type="gramStart"/>
      <w:r w:rsidRPr="008127F8">
        <w:rPr>
          <w:rFonts w:ascii="Times New Roman" w:hAnsi="Times New Roman"/>
          <w:color w:val="000000" w:themeColor="text1"/>
          <w:sz w:val="16"/>
          <w:szCs w:val="16"/>
        </w:rPr>
        <w:t>д.980,л.</w:t>
      </w:r>
      <w:proofErr w:type="gramEnd"/>
      <w:r w:rsidRPr="008127F8">
        <w:rPr>
          <w:rFonts w:ascii="Times New Roman" w:hAnsi="Times New Roman"/>
          <w:color w:val="000000" w:themeColor="text1"/>
          <w:sz w:val="16"/>
          <w:szCs w:val="16"/>
        </w:rPr>
        <w:t>18 (10701).</w:t>
      </w:r>
    </w:p>
    <w:p w14:paraId="0BB01A8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DF75335"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w:t>
      </w:r>
    </w:p>
    <w:p w14:paraId="14401D1B"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 лист 125 – 126</w:t>
      </w:r>
    </w:p>
    <w:p w14:paraId="7AA94A3B"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187</w:t>
      </w:r>
    </w:p>
    <w:p w14:paraId="4B91A6D4" w14:textId="07017C8D"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С.СЕКРЕТНО.</w:t>
      </w:r>
      <w:r w:rsidR="008127F8">
        <w:rPr>
          <w:rFonts w:ascii="Times New Roman" w:hAnsi="Times New Roman"/>
          <w:color w:val="000000" w:themeColor="text1"/>
          <w:sz w:val="16"/>
          <w:szCs w:val="16"/>
        </w:rPr>
        <w:t xml:space="preserve">  </w:t>
      </w:r>
    </w:p>
    <w:p w14:paraId="2DB9F459"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51DFD24C"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Наркомату Танковой Промышленности</w:t>
      </w:r>
    </w:p>
    <w:p w14:paraId="129390E4"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101-Мсс</w:t>
      </w:r>
    </w:p>
    <w:p w14:paraId="422A4828"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"7" января 1942 г.</w:t>
      </w:r>
    </w:p>
    <w:p w14:paraId="6B1EEB63" w14:textId="16587EF5"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от 6 января с.г. за № ГКО-1114сс о прекращении производства танков Т-50, в связи с организацией производства танков Т-60 с броней 35 мм, ПРИКАЗЫВАЮ:</w:t>
      </w:r>
      <w:r w:rsidR="008127F8">
        <w:rPr>
          <w:rFonts w:ascii="Times New Roman" w:hAnsi="Times New Roman"/>
          <w:color w:val="000000" w:themeColor="text1"/>
          <w:sz w:val="16"/>
          <w:szCs w:val="16"/>
        </w:rPr>
        <w:t xml:space="preserve">  </w:t>
      </w:r>
    </w:p>
    <w:p w14:paraId="1C393266" w14:textId="3321DDF0"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174 – т. Кацнельсон:</w:t>
      </w:r>
      <w:r w:rsidR="008127F8">
        <w:rPr>
          <w:rFonts w:ascii="Times New Roman" w:hAnsi="Times New Roman"/>
          <w:color w:val="000000" w:themeColor="text1"/>
          <w:sz w:val="16"/>
          <w:szCs w:val="16"/>
        </w:rPr>
        <w:t xml:space="preserve">  </w:t>
      </w:r>
    </w:p>
    <w:p w14:paraId="594F293A" w14:textId="3F5960B6"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прекратить производство танков Т-50, использовав имеющиеся на заводе корпуса и дизеля;</w:t>
      </w:r>
      <w:r w:rsidR="008127F8">
        <w:rPr>
          <w:rFonts w:ascii="Times New Roman" w:hAnsi="Times New Roman"/>
          <w:color w:val="000000" w:themeColor="text1"/>
          <w:sz w:val="16"/>
          <w:szCs w:val="16"/>
        </w:rPr>
        <w:t xml:space="preserve">  </w:t>
      </w:r>
    </w:p>
    <w:p w14:paraId="4CED7C6C" w14:textId="47FAB9B3"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приступить к организации производства узлов для танков КВ для Кировского завода, производству запасных частей для танков КВ и на специально приспособленном оборудовании организовать производство запчастей для Т-26;</w:t>
      </w:r>
      <w:r w:rsidR="008127F8">
        <w:rPr>
          <w:rFonts w:ascii="Times New Roman" w:hAnsi="Times New Roman"/>
          <w:color w:val="000000" w:themeColor="text1"/>
          <w:sz w:val="16"/>
          <w:szCs w:val="16"/>
        </w:rPr>
        <w:t xml:space="preserve">  </w:t>
      </w:r>
    </w:p>
    <w:p w14:paraId="4DCB19B8" w14:textId="01E32F93"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весь специальный инструмент, приспособления, штампы, техническую документацию и пр. по танку Т-50 – сохранить.</w:t>
      </w:r>
      <w:r w:rsidR="008127F8">
        <w:rPr>
          <w:rFonts w:ascii="Times New Roman" w:hAnsi="Times New Roman"/>
          <w:color w:val="000000" w:themeColor="text1"/>
          <w:sz w:val="16"/>
          <w:szCs w:val="16"/>
        </w:rPr>
        <w:t xml:space="preserve">  </w:t>
      </w:r>
    </w:p>
    <w:p w14:paraId="03A6838F" w14:textId="63C30AB0"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Моему Заместителю и директору Кировского завода т. Зальцман в 3-дневный срок определить номенклатуру и количество подлежащих изготовлению на заводе № 174 узлов и запчастей для танков КВ и Т-26.</w:t>
      </w:r>
      <w:r w:rsidR="008127F8">
        <w:rPr>
          <w:rFonts w:ascii="Times New Roman" w:hAnsi="Times New Roman"/>
          <w:color w:val="000000" w:themeColor="text1"/>
          <w:sz w:val="16"/>
          <w:szCs w:val="16"/>
        </w:rPr>
        <w:t xml:space="preserve">  </w:t>
      </w:r>
    </w:p>
    <w:p w14:paraId="2611C504" w14:textId="160E184E"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Планового отдела т. Васину внести необходимые изменения в программу завода № 174.</w:t>
      </w:r>
      <w:r w:rsidR="008127F8">
        <w:rPr>
          <w:rFonts w:ascii="Times New Roman" w:hAnsi="Times New Roman"/>
          <w:color w:val="000000" w:themeColor="text1"/>
          <w:sz w:val="16"/>
          <w:szCs w:val="16"/>
        </w:rPr>
        <w:t xml:space="preserve">  </w:t>
      </w:r>
    </w:p>
    <w:p w14:paraId="12BFE98C" w14:textId="353D4CCF"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И.о. директора завода № 173 в г. Омске т. Шор:</w:t>
      </w:r>
      <w:r w:rsidR="008127F8">
        <w:rPr>
          <w:rFonts w:ascii="Times New Roman" w:hAnsi="Times New Roman"/>
          <w:color w:val="000000" w:themeColor="text1"/>
          <w:sz w:val="16"/>
          <w:szCs w:val="16"/>
        </w:rPr>
        <w:t xml:space="preserve">  </w:t>
      </w:r>
    </w:p>
    <w:p w14:paraId="676F5116" w14:textId="3EAB67EF"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прекратить подготовку производства для танков Т-50;</w:t>
      </w:r>
      <w:r w:rsidR="008127F8">
        <w:rPr>
          <w:rFonts w:ascii="Times New Roman" w:hAnsi="Times New Roman"/>
          <w:color w:val="000000" w:themeColor="text1"/>
          <w:sz w:val="16"/>
          <w:szCs w:val="16"/>
        </w:rPr>
        <w:t xml:space="preserve">  </w:t>
      </w:r>
    </w:p>
    <w:p w14:paraId="34869FCB" w14:textId="4F8EF6D5"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приступить к организации производства узлов для танков Т-34 для завода № 183 и запчастей для танков Т-34;</w:t>
      </w:r>
      <w:r w:rsidR="008127F8">
        <w:rPr>
          <w:rFonts w:ascii="Times New Roman" w:hAnsi="Times New Roman"/>
          <w:color w:val="000000" w:themeColor="text1"/>
          <w:sz w:val="16"/>
          <w:szCs w:val="16"/>
        </w:rPr>
        <w:t xml:space="preserve">  </w:t>
      </w:r>
    </w:p>
    <w:p w14:paraId="2BAD10AE" w14:textId="2CBBC9C9"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начать подготовку к производству танков Т-34.</w:t>
      </w:r>
      <w:r w:rsidR="008127F8">
        <w:rPr>
          <w:rFonts w:ascii="Times New Roman" w:hAnsi="Times New Roman"/>
          <w:color w:val="000000" w:themeColor="text1"/>
          <w:sz w:val="16"/>
          <w:szCs w:val="16"/>
        </w:rPr>
        <w:t xml:space="preserve">  </w:t>
      </w:r>
    </w:p>
    <w:p w14:paraId="2965A633" w14:textId="106D80C4"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5-дневный срок представить мне предложения о сроках и плане производства танков Т-34.</w:t>
      </w:r>
      <w:r w:rsidR="008127F8">
        <w:rPr>
          <w:rFonts w:ascii="Times New Roman" w:hAnsi="Times New Roman"/>
          <w:color w:val="000000" w:themeColor="text1"/>
          <w:sz w:val="16"/>
          <w:szCs w:val="16"/>
        </w:rPr>
        <w:t xml:space="preserve">  </w:t>
      </w:r>
    </w:p>
    <w:p w14:paraId="3BA5B4D7" w14:textId="77863882"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завода № 183 – т. Максареву:</w:t>
      </w:r>
      <w:r w:rsidR="008127F8">
        <w:rPr>
          <w:rFonts w:ascii="Times New Roman" w:hAnsi="Times New Roman"/>
          <w:color w:val="000000" w:themeColor="text1"/>
          <w:sz w:val="16"/>
          <w:szCs w:val="16"/>
        </w:rPr>
        <w:t xml:space="preserve">  </w:t>
      </w:r>
    </w:p>
    <w:p w14:paraId="5F176C6D" w14:textId="7C793C39"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немедленно направить на постоянную и временную работу на завод № 173 в г. Омск группу инженеров-производственников, технологов и конструкторов для помощи заводу № 173 в производстве узлов и деталей танков Т-34 и для подготовки производства танков Т-34;</w:t>
      </w:r>
      <w:r w:rsidR="008127F8">
        <w:rPr>
          <w:rFonts w:ascii="Times New Roman" w:hAnsi="Times New Roman"/>
          <w:color w:val="000000" w:themeColor="text1"/>
          <w:sz w:val="16"/>
          <w:szCs w:val="16"/>
        </w:rPr>
        <w:t xml:space="preserve">  </w:t>
      </w:r>
    </w:p>
    <w:p w14:paraId="20A78703" w14:textId="25A772A2"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направить на завод № 173 всю необходимую техническую документацию для производства танков Т-34;</w:t>
      </w:r>
      <w:r w:rsidR="008127F8">
        <w:rPr>
          <w:rFonts w:ascii="Times New Roman" w:hAnsi="Times New Roman"/>
          <w:color w:val="000000" w:themeColor="text1"/>
          <w:sz w:val="16"/>
          <w:szCs w:val="16"/>
        </w:rPr>
        <w:t xml:space="preserve">  </w:t>
      </w:r>
    </w:p>
    <w:p w14:paraId="55F349C4" w14:textId="36712C35"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пятидневный срок совместно с и.о. директора т. Шор определить номенклатуру узлов и деталей танков Т-34, подлежащих изготовлению на заводе № 173, как для завода № 183, так и в запчасти, сроки выпуска и количество на январь, февраль и март месяцы.</w:t>
      </w:r>
      <w:r w:rsidR="008127F8">
        <w:rPr>
          <w:rFonts w:ascii="Times New Roman" w:hAnsi="Times New Roman"/>
          <w:color w:val="000000" w:themeColor="text1"/>
          <w:sz w:val="16"/>
          <w:szCs w:val="16"/>
        </w:rPr>
        <w:t xml:space="preserve">  </w:t>
      </w:r>
    </w:p>
    <w:p w14:paraId="7161CF93" w14:textId="28DE0C78"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завода № 180 в г. Саратове – т. Суворову:</w:t>
      </w:r>
      <w:r w:rsidR="008127F8">
        <w:rPr>
          <w:rFonts w:ascii="Times New Roman" w:hAnsi="Times New Roman"/>
          <w:color w:val="000000" w:themeColor="text1"/>
          <w:sz w:val="16"/>
          <w:szCs w:val="16"/>
        </w:rPr>
        <w:t xml:space="preserve">  </w:t>
      </w:r>
    </w:p>
    <w:p w14:paraId="50651F68" w14:textId="7FB27D0E"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прекратить производство корпусов танков Т-50, доделав корпуса, имеющиеся на выходе;</w:t>
      </w:r>
      <w:r w:rsidR="008127F8">
        <w:rPr>
          <w:rFonts w:ascii="Times New Roman" w:hAnsi="Times New Roman"/>
          <w:color w:val="000000" w:themeColor="text1"/>
          <w:sz w:val="16"/>
          <w:szCs w:val="16"/>
        </w:rPr>
        <w:t xml:space="preserve">  </w:t>
      </w:r>
    </w:p>
    <w:p w14:paraId="5272ACED" w14:textId="7B6EEEC4"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сохранить изготовленную для корпусов Т-50 оснастку;</w:t>
      </w:r>
      <w:r w:rsidR="008127F8">
        <w:rPr>
          <w:rFonts w:ascii="Times New Roman" w:hAnsi="Times New Roman"/>
          <w:color w:val="000000" w:themeColor="text1"/>
          <w:sz w:val="16"/>
          <w:szCs w:val="16"/>
        </w:rPr>
        <w:t xml:space="preserve">  </w:t>
      </w:r>
    </w:p>
    <w:p w14:paraId="1460D944" w14:textId="22DA6604"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немедленно приступить к организации производства корпусов танков Т-60 для завода № 264 и к производству отдельных деталей корпуса Т-34 в помощь заводу № 264.</w:t>
      </w:r>
      <w:r w:rsidR="008127F8">
        <w:rPr>
          <w:rFonts w:ascii="Times New Roman" w:hAnsi="Times New Roman"/>
          <w:color w:val="000000" w:themeColor="text1"/>
          <w:sz w:val="16"/>
          <w:szCs w:val="16"/>
        </w:rPr>
        <w:t xml:space="preserve">  </w:t>
      </w:r>
    </w:p>
    <w:p w14:paraId="627BBF06" w14:textId="20E3A24B"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Моему Заместителю и и.о. директора завода № 264 т. Зернову:</w:t>
      </w:r>
      <w:r w:rsidR="008127F8">
        <w:rPr>
          <w:rFonts w:ascii="Times New Roman" w:hAnsi="Times New Roman"/>
          <w:color w:val="000000" w:themeColor="text1"/>
          <w:sz w:val="16"/>
          <w:szCs w:val="16"/>
        </w:rPr>
        <w:t xml:space="preserve">  </w:t>
      </w:r>
    </w:p>
    <w:p w14:paraId="405C214C" w14:textId="431926FD"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немедленно передать заводу № 180 всю техническую документацию на корпус танка Т-60 и на отдельные бронедетали корпуса танка Т-34;</w:t>
      </w:r>
      <w:r w:rsidR="008127F8">
        <w:rPr>
          <w:rFonts w:ascii="Times New Roman" w:hAnsi="Times New Roman"/>
          <w:color w:val="000000" w:themeColor="text1"/>
          <w:sz w:val="16"/>
          <w:szCs w:val="16"/>
        </w:rPr>
        <w:t xml:space="preserve">  </w:t>
      </w:r>
    </w:p>
    <w:p w14:paraId="29762B77" w14:textId="1C8D84A0"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передать заводу № 180 имеющуюся оснастку для производства корпусов Т-60 и часть кадров;</w:t>
      </w:r>
      <w:r w:rsidR="008127F8">
        <w:rPr>
          <w:rFonts w:ascii="Times New Roman" w:hAnsi="Times New Roman"/>
          <w:color w:val="000000" w:themeColor="text1"/>
          <w:sz w:val="16"/>
          <w:szCs w:val="16"/>
        </w:rPr>
        <w:t xml:space="preserve">  </w:t>
      </w:r>
    </w:p>
    <w:p w14:paraId="356E3951" w14:textId="4EF111DC"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совместно с т.т. Щербаковым С.К. и Суворовым установить сроки освоения корпусов Т-60 и план на январь, февраль и март месяцы и сообщить мне.</w:t>
      </w:r>
      <w:r w:rsidR="008127F8">
        <w:rPr>
          <w:rFonts w:ascii="Times New Roman" w:hAnsi="Times New Roman"/>
          <w:color w:val="000000" w:themeColor="text1"/>
          <w:sz w:val="16"/>
          <w:szCs w:val="16"/>
        </w:rPr>
        <w:t xml:space="preserve">  </w:t>
      </w:r>
    </w:p>
    <w:p w14:paraId="60999E08"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Моему Заместителю т. Носенко установить постоянный контроль за ходом перестройки заводов № 174, 173 и 180, и утвердить сроки начала выпуска новой продукции и планы производства.</w:t>
      </w:r>
    </w:p>
    <w:p w14:paraId="00508F4C"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2D9609C9"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(18229).</w:t>
      </w:r>
    </w:p>
    <w:p w14:paraId="7002402E" w14:textId="6E7CAFEB"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Разработка, наладка и запуск в производство 23-х многошпиндельных автоматов в цехе 125 завода № 183. Срок 25/I-42 г.</w:t>
      </w:r>
      <w:r w:rsidR="008127F8">
        <w:rPr>
          <w:rFonts w:ascii="Times New Roman" w:hAnsi="Times New Roman"/>
          <w:color w:val="000000" w:themeColor="text1"/>
          <w:sz w:val="16"/>
          <w:szCs w:val="16"/>
        </w:rPr>
        <w:t xml:space="preserve">  </w:t>
      </w:r>
    </w:p>
    <w:p w14:paraId="21651CF9" w14:textId="01708096"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Разработка, наладка и запуск в производство обработки на полуавтоматах 6-и деталей узлов, закрепленных за заводом № 184. Срок 5/II-42 г.</w:t>
      </w:r>
      <w:r w:rsidR="008127F8">
        <w:rPr>
          <w:rFonts w:ascii="Times New Roman" w:hAnsi="Times New Roman"/>
          <w:color w:val="000000" w:themeColor="text1"/>
          <w:sz w:val="16"/>
          <w:szCs w:val="16"/>
        </w:rPr>
        <w:t xml:space="preserve">  </w:t>
      </w:r>
    </w:p>
    <w:p w14:paraId="3F154477" w14:textId="5DA749D8"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Разработка, наладка и запуск в производство револьверных станков на выполнение 46 операций, деталей узлов, закрепленных за заводом № 184.</w:t>
      </w:r>
      <w:r w:rsidR="008127F8">
        <w:rPr>
          <w:rFonts w:ascii="Times New Roman" w:hAnsi="Times New Roman"/>
          <w:color w:val="000000" w:themeColor="text1"/>
          <w:sz w:val="16"/>
          <w:szCs w:val="16"/>
        </w:rPr>
        <w:t xml:space="preserve">  </w:t>
      </w:r>
    </w:p>
    <w:p w14:paraId="2DF05210" w14:textId="35A81C9B"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1-я очередь (18 операций) Срок 10/II.</w:t>
      </w:r>
      <w:r w:rsidR="008127F8">
        <w:rPr>
          <w:rFonts w:ascii="Times New Roman" w:hAnsi="Times New Roman"/>
          <w:color w:val="000000" w:themeColor="text1"/>
          <w:sz w:val="16"/>
          <w:szCs w:val="16"/>
        </w:rPr>
        <w:t xml:space="preserve">  </w:t>
      </w:r>
    </w:p>
    <w:p w14:paraId="7788F891" w14:textId="74C1389C"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2-я очередь (28 операций) Срок 25/II.</w:t>
      </w:r>
      <w:r w:rsidR="008127F8">
        <w:rPr>
          <w:rFonts w:ascii="Times New Roman" w:hAnsi="Times New Roman"/>
          <w:color w:val="000000" w:themeColor="text1"/>
          <w:sz w:val="16"/>
          <w:szCs w:val="16"/>
        </w:rPr>
        <w:t xml:space="preserve">  </w:t>
      </w:r>
    </w:p>
    <w:p w14:paraId="5CB4BAD3"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Разработка, наладка, отладка и запуск в производство автоматов завода № 184. Срок 10/II-42 г.</w:t>
      </w:r>
    </w:p>
    <w:p w14:paraId="1C701D13"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Ответственный (Конарев)</w:t>
      </w:r>
    </w:p>
    <w:p w14:paraId="14183560" w14:textId="777E7D72"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Верно: подпись</w:t>
      </w:r>
      <w:r w:rsidR="008127F8">
        <w:rPr>
          <w:rFonts w:ascii="Times New Roman" w:hAnsi="Times New Roman"/>
          <w:color w:val="000000" w:themeColor="text1"/>
          <w:sz w:val="16"/>
          <w:szCs w:val="16"/>
        </w:rPr>
        <w:t xml:space="preserve">  </w:t>
      </w:r>
    </w:p>
    <w:p w14:paraId="7FC464AF" w14:textId="77777777" w:rsidR="001B531F" w:rsidRPr="008127F8" w:rsidRDefault="001B53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(18230).</w:t>
      </w:r>
    </w:p>
    <w:p w14:paraId="2C579259" w14:textId="77777777" w:rsidR="001B531F" w:rsidRPr="008127F8" w:rsidRDefault="001B531F" w:rsidP="001E0A84">
      <w:pPr>
        <w:spacing w:after="0" w:line="240" w:lineRule="auto"/>
        <w:jc w:val="both"/>
        <w:rPr>
          <w:rFonts w:ascii="Times New Roman" w:hAnsi="Times New Roman"/>
          <w:color w:val="000000" w:themeColor="text1"/>
          <w:sz w:val="16"/>
          <w:szCs w:val="16"/>
        </w:rPr>
      </w:pPr>
    </w:p>
    <w:p w14:paraId="369635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г. по приказу НКЭП № 5 на базе части оборудования Московского завода «Электросвет» им. Яблочкова, эвакуированной в  г. Аша был образован электроарматурный завод «Электролуч», которому был присвоен литерный № 378 (Завод № 378 НКЭП , Завод «Электролуч» НКЭП, Ашинский светотехнический завод, ОАО «Ашинский светотехнический завод «Ашасвет», ООО «Электролуч» /456000  г. Аша Челябинской обл. ул. Ленина, 2/). Уже в 03.1942 г. завод выпустил первую продукцию- электроосветительную арматуру.</w:t>
      </w:r>
    </w:p>
    <w:p w14:paraId="3B7F04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1950-57 г. построены новые корпуса для штамповочного, гальванического, ремонтно-механического, ремонтно-строительного, сборочного и инструментального цехов. В 1963-73 г. освоены новые производственные площадки завода, созданы инструментальная, технологическая и конструкторская службы завода, ремонтное хозяйство. Организованы испытательная и метрологическая лаборатории. Освоен выпуск взрывозащищенных и химостойких светильников. С 1968 г. начаты конструкторские разработки ТНП. В 1981 г. внедрен уникальный пресс гидромеханической вытяжки крупногабаритных отражателей. 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выпускалось более 80 видов промышленных и бытовых светильников.</w:t>
      </w:r>
    </w:p>
    <w:p w14:paraId="12DA94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25.08.1992 г. Ашинский светотехнический завод преобразован в АО «Ашасвет». В 10.2003 г. на предприятии введено внешнее управление, в результате создано ООО «Электролуч».</w:t>
      </w:r>
    </w:p>
    <w:p w14:paraId="668D70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предприятии имелось (2000-е): 5 основных цехов, 4 вспомогательных, складской комплекс площадью 5000</w:t>
      </w:r>
    </w:p>
    <w:p w14:paraId="5B284B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3E65A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светильники: взрывозащшценные, пылевлагозащищенные, для автомобильного и железнодорожного транспорта, для станкостроения; светотехнические изделия; бытовой водонагреватель «Гольфстрим», автопечь «Урал».</w:t>
      </w:r>
    </w:p>
    <w:p w14:paraId="271B6C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(2000 г.)- 755 чел., (2003 г.)- 500 чел.</w:t>
      </w:r>
    </w:p>
    <w:p w14:paraId="620C98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В.М. Шировов.</w:t>
      </w:r>
    </w:p>
    <w:p w14:paraId="18396FD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(2002 г.)- В. Истомин (11982).</w:t>
      </w:r>
    </w:p>
    <w:p w14:paraId="6E848BD4"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6DF546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января 1942 г. на основе части оборудования завода «Электросвет» им. Яблочкова, которая был была эвакуирована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Аша, по приказу НКЭП № 5 был создан завод № 378.</w:t>
      </w:r>
    </w:p>
    <w:p w14:paraId="759D26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НКЭП от 25.03.1942 г. завод «Электросвет» был переименован в ГС завод № 691 1ГУ НКЭП (ГС московский светотехнический завод № 691 им. П.Н. Яблочкова НКЭП, Первая Московская государственная фабрика электроарматуры ВСНХ, Московский завод «Электросвет» ВСНХ, НКТП, ГС завод «Электросвет» НКМ, НКЭП, Московский завод светотехнической электроарматуры «Электросвет» им. П.Н. Яблочкова СНХ, МЭТП, ПО, МПО «Электролуч» МЭТП, ЗАО «Электролуч»/ г. Москва Фуркасовский пер. (1900-е  г.)/ /119435  г. Москва ул. Б. Пироговская, 27 тел. 248-15-14/).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28CFBD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аэродромное, промышленное и бытовое осветительное оборудование.</w:t>
      </w:r>
    </w:p>
    <w:p w14:paraId="44A600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В.Д. Кузнецов.</w:t>
      </w:r>
      <w:r w:rsidRPr="008127F8">
        <w:rPr>
          <w:rFonts w:ascii="Times New Roman" w:hAnsi="Times New Roman"/>
          <w:color w:val="000000" w:themeColor="text1"/>
          <w:sz w:val="16"/>
          <w:szCs w:val="16"/>
          <w:vertAlign w:val="superscript"/>
        </w:rPr>
        <w:t>69</w:t>
      </w:r>
    </w:p>
    <w:p w14:paraId="2F725F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51C4A581"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00E20D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390E2C20" w14:textId="77777777" w:rsidR="00D4651C" w:rsidRPr="008127F8" w:rsidRDefault="00D4651C" w:rsidP="001E0A84">
      <w:pPr>
        <w:pStyle w:val="Iauiue"/>
        <w:jc w:val="both"/>
        <w:rPr>
          <w:iCs/>
          <w:color w:val="000000" w:themeColor="text1"/>
          <w:sz w:val="16"/>
          <w:szCs w:val="16"/>
        </w:rPr>
      </w:pPr>
    </w:p>
    <w:p w14:paraId="6FBF899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220D3ACC"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7 января наши войска вели бои с противником на всех фронтах.</w:t>
      </w:r>
    </w:p>
    <w:p w14:paraId="709563B9"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в результате ожесточённого сражения с противником (Западный фронт) заняла железнодорожную станцию и захватила более 200 вагонов, 3 паровоза, около 1.500 авиабомб, большое количество патронов и истребила 500 солдат и офицеров противника.</w:t>
      </w:r>
    </w:p>
    <w:p w14:paraId="2E1F9237"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действующие на Ленинградском фронте, в результате удачных штурмовых налётов подожгли 3 немецких ангара и авиамастерские, уничтожили 5 орудий, разбили 40 железнодорожных вагонов и истребили до 100 немецких солдат и офицеров.</w:t>
      </w:r>
    </w:p>
    <w:p w14:paraId="0C3911F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Политрук Сахаров, попав в окружение немецких автоматчиков, вступил с ними в бой и истребил 8 фашистских солдат и одного офицера. Остальные в панике разбежались. В предыдущих боях тов. Сахаров уничтожил 18 немецких солдат и офицеров.</w:t>
      </w:r>
    </w:p>
    <w:p w14:paraId="0471E26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Энский, госпиталь доставлен командир партизанского отряда донецких шахтёров тов. Б., раненный в боях с фашистскими захватчиками. Приводим краткие выписки из дневника тов. Б. о наиболее крупных боевых операциях партизанского отряда:</w:t>
      </w:r>
    </w:p>
    <w:p w14:paraId="200673F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ноября. Разведка донесла, что в городе М. в здании театра разместились на ночлег 115 штурмовиков. Ночью партизаны проникли в город, оцепили театр и истребили поголовно всю пьяную банду фашистов. Покидая город, расстреляли немецкого коменданта.</w:t>
      </w:r>
    </w:p>
    <w:p w14:paraId="329A89B7"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ноября. В 9 километрах от города М. разобрали железнодорожный путь и уничтожили 12 фашистских солдат и 6 офицеров.</w:t>
      </w:r>
    </w:p>
    <w:p w14:paraId="6DA20EEA"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декабря. В 3 часа утра взорвали 12 цистерн с горючим. Охрана в количестве 16 солдат полностью уничтожена.</w:t>
      </w:r>
    </w:p>
    <w:p w14:paraId="7D23144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декабря. Получили достоверные сведения, что в 6 часов вечера на аэродроме в пункте С. приземлились два фашистских разведывательных самолёта. Надёжные люди сообщили, что на аэродроме нет никакой вооружённой охраны. Снарядили группу бойцов для уничтожения фашистов вместе с машинами. Чтобы застигнуть врага врасплох, прибегли к хитрости. Партизаны взяли подводу с тарой, будто везут горючее к самолётам, и беспрепятственно проехали на аэродром. Убили лётчиков, сожгли их самолеты, захватили пистолеты, карты.</w:t>
      </w:r>
    </w:p>
    <w:p w14:paraId="45CCD529"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декабря. Нам дали знать, что немцы затеяли гулянку в селе Г. Мы не стали ждать приглашения—сами явились ночью. Фашисты к тому времени все перепились, и мы им устроили побоище. В эту ночь было истреблено 126 фашистов, в том числе 3 офицера. Мы захватили 10 автоматов, много боеприпасов.</w:t>
      </w:r>
    </w:p>
    <w:p w14:paraId="5E1A4DC0"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декабря. Совершили ночной налёт на станцию Я. Здесь стоят немецкий воинский эшелон. Уничтожили 96 фашистов, взорвали 2 цистерны с горючим и захватили 14 пулемётов.</w:t>
      </w:r>
    </w:p>
    <w:p w14:paraId="3225A00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декабря. В село П. Приехал отряд фашистов. Начались повальные грабежи. Ночью нагрянули в село, сняли часовых и перебили свыше трёх десятков немцев.</w:t>
      </w:r>
    </w:p>
    <w:p w14:paraId="68783DB9"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декабря. На шахте И. взорвали динамитный склад.</w:t>
      </w:r>
    </w:p>
    <w:p w14:paraId="67E4C99B"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декабря. На шахте Ч. взорвали 170 ящиков с патронами. Семь солдат, охранявших склад, уничтожены».</w:t>
      </w:r>
    </w:p>
    <w:p w14:paraId="4F17329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изверги подвергают пленных бойцов и командиров Красной Армии чудовищным издевательствам, обрекают их на голодную смерть. В захваченном нашими частями приказе № 202 штаба 8 полка 34 немецкой пехотной дивизии говорится: «Вышедших из строя лошадей следует отводить на специальные пункты. Конские трупы будут служить пищей для русских военнопленных. Подобные пункты отмечаются указателем. Они имеются вдоль шоссе в Малоярославце и в деревнях Романове и Белоусово». В другом приказе штаба этого же полка, озаглавленном «Положение с обмундированием», предлагается, «не задумываясь, снимать с русских военнопленных обувь».</w:t>
      </w:r>
    </w:p>
    <w:p w14:paraId="47FDEC81"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офицера Эвальда Хейдера найдено письмо от Герты Заммель из Тильзита, в котором она пишет: «Так много немецких солдат на равнинах России покончили счёты с жизнью. Среди них есть люди, очень близкие нам. На нашей улице почти в каждом доме кого-нибудь оплакивают».</w:t>
      </w:r>
    </w:p>
    <w:p w14:paraId="7366FC8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Объявленный в Германии в конце декабря сбор тёплых вещей для немецкой армии провалился. В Берлине официально объявлено, что сроки сдачи продлены ещё на две недели. Штурмовые отряды производят в городах повальные обыски и насильно забирают у населения все тёплые вещи. Полиция и штурмовики заставляют мужчин и женщин снимать с себя даже последнее тёплое бельё, носки, фуфайки, перчатки и шапки.</w:t>
      </w:r>
    </w:p>
    <w:p w14:paraId="50F2EE4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Берлинское радио 6 января передало очередное бредовое сообщение о том, будто бы немецкие бомбардировщики 4 января произвели налёт на Москву, причём якобы «установлено несколько прямых попаданий бомб в главный телеграф и в одну казарму». Каждый москвич может убедиться в том, что никаких «попаданий бомб» в телеграф не было. Не пострадала также в Москве ни одна казарма. Видимо, плохи дела гитлеровских шулеров и лгунов, если они вынуждены прибегать к подобным неуклюжим и вздорным басням о якобы успешных налётах фашистской авиации на Москву.» (15002).</w:t>
      </w:r>
    </w:p>
    <w:p w14:paraId="12AC2A2F"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71DB015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79D0917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7 января на ряде участков фронта наши войска, продолжая отбрасывать противника на запад, вновь продвинулись вперёд, заняли несколько населённых пунктов и в числе их город Мещовск. В ходе боёв противник понёс тяжёлые потери.</w:t>
      </w:r>
    </w:p>
    <w:p w14:paraId="5169A174"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января уничтожено 11 немецких самолётов. Наши потери — 2 самолёта.</w:t>
      </w:r>
    </w:p>
    <w:p w14:paraId="5C63B887"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января под Москвой огнём зенитной артиллерии сбито 2 немецких самолёта.</w:t>
      </w:r>
    </w:p>
    <w:p w14:paraId="78AB07A1"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6 января одна наша авиачасть, действующая на Юго-Западном фронте, уничтожила 5 немецких танков, около 170 автомашин с пехотой и грузами, свыше 130 повозок с боеприпасами, 5 тракторов, рассеяла и частью истребила до 5 рот пехоты противника.</w:t>
      </w:r>
    </w:p>
    <w:p w14:paraId="54509D9A"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города Боровска наши части захватили 1.200 автомашин, 40 орудий, 5 танков, 60 миномётов, 44 пулемёта, 35 противотанковых ружей, 17.000 снарядов, 22.000 мин, 200 мотоциклов, 220 велосипедов и много других трофеев.</w:t>
      </w:r>
    </w:p>
    <w:p w14:paraId="33BB0F5D"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в ожесточённом бою с противником уничтожила 5 немецких танков, 4 пулемётных гнезда, 2 орудия и истребила 500 вражеских солдат и офицеров.</w:t>
      </w:r>
    </w:p>
    <w:p w14:paraId="2A492446"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Разведка сообщила, что по направлению к фронту движутся два батальона противника. Артиллерийский дивизион тов. Судакова (Юго-Западный фронт) выдвинулся на передовые позиции и произвёл огневой налёт на вражеские колонны. Большинство немецких солдат было истреблено, остальные рассеяны.</w:t>
      </w:r>
    </w:p>
    <w:p w14:paraId="530161D4"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обоз Энской части, направлявшийся к передовой линии, напали 50 немецких автоматчиков. Младший лейтенант Симоновский умело организовал отпор фашистам. После короткого боя немцы бежали, оставив на дороге 30 трупов.</w:t>
      </w:r>
    </w:p>
    <w:p w14:paraId="7712D80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М., действующий в одном из районов Ленинградской области, оккупированных немцами, взорвал 2 моста, уничтожил авторемонтную базу, 219 немецких автомашин, 9 тракторов, 5 полевых орудий, 4 зенитных орудия, пустил под откос воинский эшелон с боеприпасами и истребил свыше 40 немецких солдат и офицеров.</w:t>
      </w:r>
    </w:p>
    <w:p w14:paraId="28F698D4"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на Ленинградском фронте немецкого обер-ефрейтора Вальтера Зейбеля найдено письмо, адресованное ефрейтору Фрицу Клауг в Берлин. «Холод здесь свинский, — писал Зейбель. — Ежедневные атаки русских с участием самолётов и танков изматывают нас. Поверь, всё, что происходит здесь, выше моих сил. Многие получили нервный шок. В нашей роте осталось только 3 пулемётчика, остальные убиты и ранены. Часто спрашиваешь себя: когда же твоя очередь?».</w:t>
      </w:r>
    </w:p>
    <w:p w14:paraId="1751C27A"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публикуется акт о чудовищном злодеянии немецко-фашистских мерзавцев в деревне Высоково, Рузского района, Московской области.</w:t>
      </w:r>
    </w:p>
    <w:p w14:paraId="369E8468"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w:t>
      </w:r>
    </w:p>
    <w:p w14:paraId="7A4A6B8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декабря 1941 года мы, нижеподписавшиеся, политрук А.Дунин, сержант С. Семхович, красноармейцы С.Коваль и Г.Арсентьев, обнаружили на окраине деревни Высоково, Рузского района, Московской области, 14 трупов мирных жителей. После тщательного расследования и опроса местных граждан, установлено следующее</w:t>
      </w:r>
      <w:proofErr w:type="gramStart"/>
      <w:r w:rsidRPr="008127F8">
        <w:rPr>
          <w:rFonts w:ascii="Times New Roman" w:hAnsi="Times New Roman"/>
          <w:color w:val="000000" w:themeColor="text1"/>
          <w:sz w:val="16"/>
          <w:szCs w:val="16"/>
        </w:rPr>
        <w:t>: Ночью</w:t>
      </w:r>
      <w:proofErr w:type="gramEnd"/>
      <w:r w:rsidRPr="008127F8">
        <w:rPr>
          <w:rFonts w:ascii="Times New Roman" w:hAnsi="Times New Roman"/>
          <w:color w:val="000000" w:themeColor="text1"/>
          <w:sz w:val="16"/>
          <w:szCs w:val="16"/>
        </w:rPr>
        <w:t xml:space="preserve"> 27 ноября 1941 года неизвестным была брошена граната в дом гражданки Пелагеи Павловой, где находились немцы. Осколками гранаты один немецкий солдат был убит, а другой ранен. В ту же ночь фашисты схватили и арестовали 12 мужчин, 14-летнего подростка В.Духова, а также Пелагею Павлову. Арестованных долго пытали, истязали и мучили, а потом вывели на окраину деревни и расстреляли из пулемётов. 3 недели трупы невинно замученных граждан оставались в снегу. Фашисты не разрешали хоронить убитых. О чём и составлен настоящий акт. Политрук А.Дунин, сержант С.Семхович, красноармейцы С.Коваль и Г.Арсентьев. Акт заверил с приложением печати председатель Неверского сельсовета Дмитриев».</w:t>
      </w:r>
    </w:p>
    <w:p w14:paraId="140D4EBA"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Быстро восстанавливается хозяйственная и культурная жизнь в городе Ростове-на-Дону и в районах области, освобождённых от немецких оккупантов. Уже приступили к работе сотни государственных и кооперативных предприятий. Пущены в действие водопровод, электроосвещение, трамваи, троллейбусы, открылись бани, торговые предприятия, кино, театры, библиотеки и читальни, начальные и средние школы, ремесленные школы. С небывалым подъёмом колхозники и колхозницы освобождённых от фашистских захватчиков районов собирают семенные фонды, ремонтируют тракторы и сельскохозяйственный инвентарь. Обучаются новые кадры трактористов и комбайнеров и в числе их много девушек.».</w:t>
      </w:r>
    </w:p>
    <w:p w14:paraId="5D92001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451B9B33"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юго-западного фронта за период с 1 по 6 января 1942 года.</w:t>
      </w:r>
    </w:p>
    <w:p w14:paraId="4F1DC99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с немецкими оккупантами войсками Юго-Западного фронта за период с 1 по 6 января 1942 года захвачены следующие трофеи: орудий — 97, танков—-11, бронемашин — 3, миномётов—32, пулемётов— 106, автоматов — 50, винтовок—326, автомашин—86, мотоциклов—86, велосипедов — 296, повозок с грузом — 79, радиостанций — 23, снарядов — 6.450 и отдельно 41 ящик со снарядами, мин — свыше 300 и отдельно 674 ящика с минами, винтовочных патронов — 309.000.</w:t>
      </w:r>
    </w:p>
    <w:p w14:paraId="44CCA749"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этот же период уничтожено: 14 танков, 30 орудий, 5 самолётов, 60 станковых пулемётов, 417 автомашин, 6 автоцистерн с горючим, 510 повозок с военным грузом и два железнодорожных эшелона.</w:t>
      </w:r>
    </w:p>
    <w:p w14:paraId="7A3A8324"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 1 по 6 января немцы потеряли убитыми свыше 8 тысяч солдат и офицеров.</w:t>
      </w:r>
    </w:p>
    <w:p w14:paraId="31C6044D"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войсками Юго-Западного фронта освобождено от немецких оккупантов свыше 130 населённых пунктов.» (15002).</w:t>
      </w:r>
    </w:p>
    <w:p w14:paraId="149FBA25"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4EB4CB72"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января</w:t>
      </w:r>
      <w:r w:rsidRPr="008127F8">
        <w:rPr>
          <w:rFonts w:ascii="Times New Roman" w:hAnsi="Times New Roman"/>
          <w:color w:val="000000" w:themeColor="text1"/>
          <w:sz w:val="16"/>
          <w:szCs w:val="16"/>
        </w:rPr>
        <w:t xml:space="preserve"> в 1942 году завершилась Калининская операция: советские войска продвинулись в южном и юго-западном направлениях на 60-120 км. Завершилось контрнаступление советских войск под Москвой. Наши войска нанесли поражение войскам группы армий «Центр» и отбросили их на 100-250 км. Началась Демянская наступательная операция войск Северо-Западного фронта (генерал-лейтенант П.А.Курочкин), продолжавшаяся до 20 мая (15002).</w:t>
      </w:r>
    </w:p>
    <w:p w14:paraId="08EDC27D"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244AE25F"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января</w:t>
      </w:r>
      <w:r w:rsidRPr="008127F8">
        <w:rPr>
          <w:rFonts w:ascii="Times New Roman" w:hAnsi="Times New Roman"/>
          <w:color w:val="000000" w:themeColor="text1"/>
          <w:sz w:val="16"/>
          <w:szCs w:val="16"/>
        </w:rPr>
        <w:t xml:space="preserve"> в 1942 году войска Западного фронта освободили Серпейск (15002).</w:t>
      </w:r>
    </w:p>
    <w:p w14:paraId="67DB0963"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590401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вышла директива Ставки о новом наступлении. Начали на Волховском севернее Новгорода на Любань силами 2-й ударной, но так и не смогли. Северо-западный встал на Старой Руссе и не смогли ликвидировать Демянскую группировку, окруженную 20 февраля (512,170).</w:t>
      </w:r>
    </w:p>
    <w:p w14:paraId="09BEDE66" w14:textId="77777777" w:rsidR="00D4651C" w:rsidRPr="008127F8" w:rsidRDefault="00D4651C" w:rsidP="001E0A84">
      <w:pPr>
        <w:pStyle w:val="Iauiue"/>
        <w:jc w:val="both"/>
        <w:rPr>
          <w:color w:val="000000" w:themeColor="text1"/>
          <w:sz w:val="16"/>
          <w:szCs w:val="16"/>
        </w:rPr>
      </w:pPr>
    </w:p>
    <w:p w14:paraId="7A6693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7 января по 30 апреля 1942 была Любанская операция войск Волховского фронта и 54А с целью снятия блокады с Ленинграда, но так и не смогли (2438,378).</w:t>
      </w:r>
    </w:p>
    <w:p w14:paraId="4C45864C" w14:textId="77777777" w:rsidR="00D4651C" w:rsidRPr="008127F8" w:rsidRDefault="00D4651C" w:rsidP="001E0A84">
      <w:pPr>
        <w:pStyle w:val="Iauiue"/>
        <w:jc w:val="both"/>
        <w:rPr>
          <w:color w:val="000000" w:themeColor="text1"/>
          <w:sz w:val="16"/>
          <w:szCs w:val="16"/>
        </w:rPr>
      </w:pPr>
    </w:p>
    <w:p w14:paraId="223DE90E" w14:textId="77777777" w:rsidR="00346683" w:rsidRPr="008127F8" w:rsidRDefault="003466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января</w:t>
      </w:r>
      <w:r w:rsidRPr="008127F8">
        <w:rPr>
          <w:rFonts w:ascii="Times New Roman" w:hAnsi="Times New Roman"/>
          <w:color w:val="000000" w:themeColor="text1"/>
          <w:sz w:val="16"/>
          <w:szCs w:val="16"/>
        </w:rPr>
        <w:t xml:space="preserve"> в 1942 году началась Любанская наступательная операция войск Волховского (генерал армии К.А.Мерецков) и левого крыла Ленинградского фронтов (генерал-лейтенант М.С.Хозин) с целью разгромить группировку противника в районе Любань, Чудово, Финёв Луг и деблокировать Ленинград (продолжавшаяся до 30 апреля); составная часть битвы за Ленинград 1941—1944 (15002).</w:t>
      </w:r>
    </w:p>
    <w:p w14:paraId="3C227097" w14:textId="77777777" w:rsidR="00346683" w:rsidRPr="008127F8" w:rsidRDefault="00346683" w:rsidP="001E0A84">
      <w:pPr>
        <w:spacing w:after="0" w:line="240" w:lineRule="auto"/>
        <w:jc w:val="both"/>
        <w:rPr>
          <w:rFonts w:ascii="Times New Roman" w:hAnsi="Times New Roman"/>
          <w:color w:val="000000" w:themeColor="text1"/>
          <w:sz w:val="16"/>
          <w:szCs w:val="16"/>
        </w:rPr>
      </w:pPr>
    </w:p>
    <w:p w14:paraId="104614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7 января по 20 мая 1942 состоялась Демянская операция - попытка окружения немцев войсками СЗФ. К 25 февраля окружили 6 дивизий, но уничтожить не смогли и те 23 апреля прорвались (2438,212).</w:t>
      </w:r>
    </w:p>
    <w:p w14:paraId="6B93A65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Противник широко использовал авиацию (транспортные самолеты и бомбардировщики) для снабжения окруженных войск и особое значение имела воздушная блокада окруженного противника (518,174).</w:t>
      </w:r>
    </w:p>
    <w:p w14:paraId="1A61E0C8" w14:textId="77777777" w:rsidR="00D4651C" w:rsidRPr="008127F8" w:rsidRDefault="00D4651C" w:rsidP="001E0A84">
      <w:pPr>
        <w:pStyle w:val="Iauiue"/>
        <w:jc w:val="both"/>
        <w:rPr>
          <w:color w:val="000000" w:themeColor="text1"/>
          <w:sz w:val="16"/>
          <w:szCs w:val="16"/>
        </w:rPr>
      </w:pPr>
    </w:p>
    <w:p w14:paraId="37F9058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67565167" w14:textId="77777777" w:rsidR="00D4651C" w:rsidRPr="008127F8" w:rsidRDefault="00D4651C" w:rsidP="001E0A84">
      <w:pPr>
        <w:pStyle w:val="Iauiue"/>
        <w:jc w:val="both"/>
        <w:rPr>
          <w:iCs/>
          <w:color w:val="000000" w:themeColor="text1"/>
          <w:sz w:val="16"/>
          <w:szCs w:val="16"/>
        </w:rPr>
      </w:pPr>
    </w:p>
    <w:p w14:paraId="1913D652"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1942 года состоялся первый полет Supermarine Seafire (20793).</w:t>
      </w:r>
    </w:p>
    <w:p w14:paraId="2911B473" w14:textId="77777777" w:rsidR="00964C9E" w:rsidRPr="008127F8" w:rsidRDefault="00964C9E" w:rsidP="001E0A84">
      <w:pPr>
        <w:spacing w:after="0" w:line="240" w:lineRule="auto"/>
        <w:jc w:val="both"/>
        <w:rPr>
          <w:rFonts w:ascii="Times New Roman" w:hAnsi="Times New Roman"/>
          <w:color w:val="000000" w:themeColor="text1"/>
          <w:sz w:val="16"/>
          <w:szCs w:val="16"/>
        </w:rPr>
      </w:pPr>
    </w:p>
    <w:p w14:paraId="27445D25" w14:textId="64619E3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января 1942 года — первый полёт палубного </w:t>
      </w:r>
      <w:proofErr w:type="gramStart"/>
      <w:r w:rsidRPr="008127F8">
        <w:rPr>
          <w:rFonts w:ascii="Times New Roman" w:hAnsi="Times New Roman"/>
          <w:color w:val="000000" w:themeColor="text1"/>
          <w:sz w:val="16"/>
          <w:szCs w:val="16"/>
        </w:rPr>
        <w:t>истребителя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Supermarine</w:t>
      </w:r>
      <w:proofErr w:type="gramEnd"/>
      <w:r w:rsidRPr="008127F8">
        <w:rPr>
          <w:rFonts w:ascii="Times New Roman" w:hAnsi="Times New Roman"/>
          <w:color w:val="000000" w:themeColor="text1"/>
          <w:sz w:val="16"/>
          <w:szCs w:val="16"/>
        </w:rPr>
        <w:t xml:space="preserve"> Seafire. /Великобритания/</w:t>
      </w:r>
    </w:p>
    <w:p w14:paraId="04B62538" w14:textId="3E900F52"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1941 году стало очевидно, </w:t>
      </w:r>
      <w:proofErr w:type="gramStart"/>
      <w:r w:rsidRPr="008127F8">
        <w:rPr>
          <w:rFonts w:ascii="Times New Roman" w:hAnsi="Times New Roman"/>
          <w:color w:val="000000" w:themeColor="text1"/>
          <w:sz w:val="16"/>
          <w:szCs w:val="16"/>
        </w:rPr>
        <w:t>что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британская</w:t>
      </w:r>
      <w:proofErr w:type="gramEnd"/>
      <w:r w:rsidRPr="008127F8">
        <w:rPr>
          <w:rFonts w:ascii="Times New Roman" w:hAnsi="Times New Roman"/>
          <w:color w:val="000000" w:themeColor="text1"/>
          <w:sz w:val="16"/>
          <w:szCs w:val="16"/>
        </w:rPr>
        <w:t xml:space="preserve"> палубная авиация не может на равных сражаться с немецкими истребителями. В кратчайшие сроки приняли решение создать новый палубный истребитель на базе </w:t>
      </w:r>
      <w:proofErr w:type="gramStart"/>
      <w:r w:rsidRPr="008127F8">
        <w:rPr>
          <w:rFonts w:ascii="Times New Roman" w:hAnsi="Times New Roman"/>
          <w:color w:val="000000" w:themeColor="text1"/>
          <w:sz w:val="16"/>
          <w:szCs w:val="16"/>
        </w:rPr>
        <w:t>знаменитого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Supermarine</w:t>
      </w:r>
      <w:proofErr w:type="gramEnd"/>
      <w:r w:rsidRPr="008127F8">
        <w:rPr>
          <w:rFonts w:ascii="Times New Roman" w:hAnsi="Times New Roman"/>
          <w:color w:val="000000" w:themeColor="text1"/>
          <w:sz w:val="16"/>
          <w:szCs w:val="16"/>
        </w:rPr>
        <w:t xml:space="preserve"> Spitfire. Новый самолёт назвали Seafire (как сокращение от Sea Spitfire).</w:t>
      </w:r>
    </w:p>
    <w:p w14:paraId="5ABE817A" w14:textId="52F84D05"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Seafire конструктивно не отличался от своего «родителя» — всё тот же низкоплан с убирающимся шасси. Был установлен посадочный крюк и крюк для катапульты, усилена конструкция центроплана и крыла, которое могло складываться. Вооружение отличалось у разных модификаций — от 2 × 20-мм пушек Hispano до 4 × 7,70-мм пулемётов + пушки + ракеты. Двигатель Rolls-Royce Merlin позволял развить скорость </w:t>
      </w:r>
      <w:proofErr w:type="gramStart"/>
      <w:r w:rsidRPr="008127F8">
        <w:rPr>
          <w:rFonts w:ascii="Times New Roman" w:hAnsi="Times New Roman"/>
          <w:color w:val="000000" w:themeColor="text1"/>
          <w:sz w:val="16"/>
          <w:szCs w:val="16"/>
        </w:rPr>
        <w:t>до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578</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w:t>
      </w:r>
    </w:p>
    <w:p w14:paraId="5979FEA2" w14:textId="3C962F9C"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Было </w:t>
      </w:r>
      <w:proofErr w:type="gramStart"/>
      <w:r w:rsidRPr="008127F8">
        <w:rPr>
          <w:rFonts w:ascii="Times New Roman" w:hAnsi="Times New Roman"/>
          <w:color w:val="000000" w:themeColor="text1"/>
          <w:sz w:val="16"/>
          <w:szCs w:val="16"/>
        </w:rPr>
        <w:t>выпущено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2646</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истребителей Seafire. Основной эксплуатант — Воздушные силы флота Великобритании. Самолёты были списаны как устаревшие в 1953 году. На сегодня сохранилось 6 экземпляров Seafire (22300).</w:t>
      </w:r>
    </w:p>
    <w:p w14:paraId="382A7A79" w14:textId="77777777" w:rsidR="00964C9E" w:rsidRPr="008127F8" w:rsidRDefault="00964C9E" w:rsidP="001E0A84">
      <w:pPr>
        <w:spacing w:after="0" w:line="240" w:lineRule="auto"/>
        <w:jc w:val="both"/>
        <w:rPr>
          <w:rFonts w:ascii="Times New Roman" w:hAnsi="Times New Roman"/>
          <w:color w:val="000000" w:themeColor="text1"/>
          <w:sz w:val="16"/>
          <w:szCs w:val="16"/>
        </w:rPr>
      </w:pPr>
    </w:p>
    <w:p w14:paraId="757DC73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7 января 1942 в Пенсильвании (США) лютеранская церковь отказалась от использования при богослужении немецкого языка в нарушение 114-летней традиции (4962).</w:t>
      </w:r>
    </w:p>
    <w:p w14:paraId="754F766B" w14:textId="77777777" w:rsidR="00D4651C" w:rsidRPr="008127F8" w:rsidRDefault="00D4651C" w:rsidP="001E0A84">
      <w:pPr>
        <w:pStyle w:val="Iauiue"/>
        <w:tabs>
          <w:tab w:val="left" w:pos="11199"/>
        </w:tabs>
        <w:jc w:val="both"/>
        <w:rPr>
          <w:color w:val="000000" w:themeColor="text1"/>
          <w:sz w:val="16"/>
          <w:szCs w:val="16"/>
        </w:rPr>
      </w:pPr>
    </w:p>
    <w:p w14:paraId="047EDB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проходили тяжелые бои между японцами и китайцами у Чангши (2261).</w:t>
      </w:r>
    </w:p>
    <w:p w14:paraId="11CA28CB" w14:textId="77777777" w:rsidR="00D4651C" w:rsidRPr="008127F8" w:rsidRDefault="00D4651C" w:rsidP="001E0A84">
      <w:pPr>
        <w:pStyle w:val="Iauiue"/>
        <w:jc w:val="both"/>
        <w:rPr>
          <w:color w:val="000000" w:themeColor="text1"/>
          <w:sz w:val="16"/>
          <w:szCs w:val="16"/>
        </w:rPr>
      </w:pPr>
    </w:p>
    <w:p w14:paraId="138BA9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японцы прорвали линию обороны по реке Слим в Малайзии (2261).</w:t>
      </w:r>
    </w:p>
    <w:p w14:paraId="6FFFA2DA" w14:textId="77777777" w:rsidR="00D4651C" w:rsidRPr="008127F8" w:rsidRDefault="00D4651C" w:rsidP="001E0A84">
      <w:pPr>
        <w:pStyle w:val="Iauiue"/>
        <w:jc w:val="both"/>
        <w:rPr>
          <w:color w:val="000000" w:themeColor="text1"/>
          <w:sz w:val="16"/>
          <w:szCs w:val="16"/>
        </w:rPr>
      </w:pPr>
    </w:p>
    <w:p w14:paraId="3D1767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 января 1942 Ф.Д.Р. поставил перед АП США задачу производства 125 тыс. самолетов в год. Эта задача так и не была решена, т.к. специализировались на больших машинах (2886).</w:t>
      </w:r>
    </w:p>
    <w:p w14:paraId="45F5FECF" w14:textId="77777777" w:rsidR="00D4651C" w:rsidRPr="008127F8" w:rsidRDefault="00D4651C" w:rsidP="001E0A84">
      <w:pPr>
        <w:pStyle w:val="Iauiue"/>
        <w:jc w:val="both"/>
        <w:rPr>
          <w:color w:val="000000" w:themeColor="text1"/>
          <w:sz w:val="16"/>
          <w:szCs w:val="16"/>
        </w:rPr>
      </w:pPr>
    </w:p>
    <w:p w14:paraId="093D352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0C2CC681" w14:textId="77777777" w:rsidR="00D4651C" w:rsidRPr="008127F8" w:rsidRDefault="00D4651C" w:rsidP="001E0A84">
      <w:pPr>
        <w:pStyle w:val="Iauiue"/>
        <w:jc w:val="both"/>
        <w:rPr>
          <w:iCs/>
          <w:color w:val="000000" w:themeColor="text1"/>
          <w:sz w:val="16"/>
          <w:szCs w:val="16"/>
        </w:rPr>
      </w:pPr>
    </w:p>
    <w:p w14:paraId="187BDFF5"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1942 г.</w:t>
      </w:r>
    </w:p>
    <w:p w14:paraId="634B695B"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 письма директора завода В.И. Засульского начальнику УОС НКВД СССР А.П. Лепилову</w:t>
      </w:r>
    </w:p>
    <w:p w14:paraId="5F15C077"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1942 г.</w:t>
      </w:r>
    </w:p>
    <w:p w14:paraId="60859176"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СССР от 25.12.41 г. за № 1065 се. я обязан на бывшем Механическом заводе в г. Куйбышеве организовать производство бронекорпусов ИЛ-2 и других броневых частей самолетов.</w:t>
      </w:r>
    </w:p>
    <w:p w14:paraId="7F2A3BD9"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принят мною от Танкопрома, ранее переданный Вами совершенно не подготовленный к производству изделий весьма важного оборонного значения...</w:t>
      </w:r>
    </w:p>
    <w:p w14:paraId="1246E7D3"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завода крайне тяжелое, и нетерпимо запущено строительство цехов. Согласно технологической распланировке производства бронекорпусов, привлеченный для строительных работ 25 трест не может большевистскими темпами развернуть работу из-за отсутствия цемента, песка, огнеупорной глины, огнеупорного и красного кирпича, а также не имеет возможности из-за отсутствия жилплощади набрать рабочей силы, так как Ваш приказ о выводе лагеря к 15.01.42 г. из рабочего поселка не выполнен.</w:t>
      </w:r>
    </w:p>
    <w:p w14:paraId="45384406"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мое обращение к зам. нач. УОС НКВД тов. Смирнову освободить лагерь, занимающий 18 бараков, столовую и баню, было дано обещание вывезти лагерь к 15.02.42 г., а 23.01.42 г. дано было распоряжение выгородить 3 барака из лагеря с тем, чтобы поместить вновь</w:t>
      </w:r>
    </w:p>
    <w:p w14:paraId="1A9660C4"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принятых рабочих для завода.</w:t>
      </w:r>
    </w:p>
    <w:p w14:paraId="160AF6BA"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лагеря распоряжение тов. Смирнова выгородить три барака тоже не выполнил.</w:t>
      </w:r>
    </w:p>
    <w:p w14:paraId="3DA807E6"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дать распоряжение в короткий срок освободить лагерь от заключенных... Кроме того прошу дать распоряжение отпускать без задержки имеющиеся в Особстрое НКВД материалы, необходимые для строительно-монтажных работ.</w:t>
      </w:r>
    </w:p>
    <w:p w14:paraId="7243E396"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w:t>
      </w:r>
      <w:r w:rsidRPr="008127F8">
        <w:rPr>
          <w:rFonts w:ascii="Times New Roman" w:hAnsi="Times New Roman"/>
          <w:color w:val="000000" w:themeColor="text1"/>
          <w:sz w:val="16"/>
          <w:szCs w:val="16"/>
        </w:rPr>
        <w:tab/>
        <w:t>Засульский</w:t>
      </w:r>
    </w:p>
    <w:p w14:paraId="317ED3F3"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ГАСО. Ф.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 xml:space="preserve">-2064.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2. Д. 56. Л. 9 (20548).</w:t>
      </w:r>
    </w:p>
    <w:p w14:paraId="6995DED3" w14:textId="77777777" w:rsidR="00964C9E" w:rsidRPr="008127F8" w:rsidRDefault="00964C9E" w:rsidP="001E0A84">
      <w:pPr>
        <w:spacing w:after="0" w:line="240" w:lineRule="auto"/>
        <w:jc w:val="both"/>
        <w:rPr>
          <w:rFonts w:ascii="Times New Roman" w:hAnsi="Times New Roman"/>
          <w:color w:val="000000" w:themeColor="text1"/>
          <w:sz w:val="16"/>
          <w:szCs w:val="16"/>
        </w:rPr>
      </w:pPr>
    </w:p>
    <w:p w14:paraId="20AB56CD"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января 1942 г. Из письма директора завода В.И. Засульского начальнику УОС НКВД СССР А.П. Лепилову</w:t>
      </w:r>
    </w:p>
    <w:p w14:paraId="682DC332"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января 1942 г.</w:t>
      </w:r>
    </w:p>
    <w:p w14:paraId="3EA6555E"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Решением ГКО СССР от 25.12.41 г. за № 1065 се. я обязан на бывшем Механическом заводе в г. Куйбышеве организовать производство бронекорпусов ИЛ-2 и других броневых частей самолетов.</w:t>
      </w:r>
    </w:p>
    <w:p w14:paraId="0E25C8D3"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принят мною от Танкопрома, ранее переданный Вами совершенно не подготовленный к производству изделий весьма важного оборонного значения...</w:t>
      </w:r>
    </w:p>
    <w:p w14:paraId="5A95F9AD"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Положение завода крайне тяжелое, и нетерпимо запущено строительство цехов. Согласно технологической распланировке производства бронекорпусов, привлеченный для строительных работ 25 трест не может большевистскими темпами развернуть работу из-за отсутствия цемента, песка, огнеупорной глины, огнеупорного и красного кирпича, а также не имеет возможности из-за отсутствия жилплощади набрать рабочей силы, так как Ваш приказ о выводе лагеря к 15.01.42 г. из рабочего поселка не выполнен.</w:t>
      </w:r>
    </w:p>
    <w:p w14:paraId="46985670"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мое обращение к зам. нач. УОС НКВД тов. Смирнову освободить лагерь, занимающий 18 бараков, столовую и баню, было дано обещание вывезти лагерь к 15.02.42 г., а 23.01.42 г. дано было распоряжение выгородить 3 барака из лагеря с тем, чтобы поместить вновь принятых рабочих для завода.</w:t>
      </w:r>
    </w:p>
    <w:p w14:paraId="5D38D270"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лагеря распоряжение тов. Смирнова выгородить три барака тоже не выполнил.</w:t>
      </w:r>
    </w:p>
    <w:p w14:paraId="67EE0507"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дать распоряжение в короткий срок освободить лагерь от заключенных... Кроме того прошу дать распоряжение отпускать без задержки имеющиеся в Особстрое НКВД материалы, необходимые для строительно-монтажных работ.</w:t>
      </w:r>
    </w:p>
    <w:p w14:paraId="3143BE6D"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w:t>
      </w:r>
      <w:r w:rsidRPr="008A2E5A">
        <w:rPr>
          <w:rFonts w:ascii="Times New Roman" w:hAnsi="Times New Roman"/>
          <w:color w:val="0070C0"/>
          <w:sz w:val="16"/>
          <w:szCs w:val="16"/>
        </w:rPr>
        <w:tab/>
        <w:t>Засульский</w:t>
      </w:r>
    </w:p>
    <w:p w14:paraId="0EED301F"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 Ф. P-2064. On. 2. Д. 56. Л. 9 (23523).</w:t>
      </w:r>
    </w:p>
    <w:p w14:paraId="3C5BC48B" w14:textId="77777777" w:rsidR="00153AEB" w:rsidRPr="008A2E5A" w:rsidRDefault="00153AEB" w:rsidP="00153AEB">
      <w:pPr>
        <w:spacing w:after="0" w:line="240" w:lineRule="auto"/>
        <w:jc w:val="both"/>
        <w:rPr>
          <w:rFonts w:ascii="Times New Roman" w:hAnsi="Times New Roman"/>
          <w:color w:val="0070C0"/>
          <w:sz w:val="16"/>
          <w:szCs w:val="16"/>
        </w:rPr>
      </w:pPr>
    </w:p>
    <w:p w14:paraId="2CC7F2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января 1942 года была подготовлена справка:</w:t>
      </w:r>
    </w:p>
    <w:p w14:paraId="0DA420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Завод № 95, эвакуированный в Верхнюю Салду только в декабре </w:t>
      </w:r>
      <w:proofErr w:type="gramStart"/>
      <w:r w:rsidRPr="008127F8">
        <w:rPr>
          <w:color w:val="000000" w:themeColor="text1"/>
          <w:sz w:val="16"/>
          <w:szCs w:val="16"/>
        </w:rPr>
        <w:t>1941 года</w:t>
      </w:r>
      <w:proofErr w:type="gramEnd"/>
      <w:r w:rsidRPr="008127F8">
        <w:rPr>
          <w:color w:val="000000" w:themeColor="text1"/>
          <w:sz w:val="16"/>
          <w:szCs w:val="16"/>
        </w:rPr>
        <w:t xml:space="preserve"> приступил к частичному выпуску продукции (9151).</w:t>
      </w:r>
    </w:p>
    <w:p w14:paraId="6C7B7232" w14:textId="77777777" w:rsidR="00D4651C" w:rsidRPr="008127F8" w:rsidRDefault="00D4651C" w:rsidP="001E0A84">
      <w:pPr>
        <w:pStyle w:val="Iauiue"/>
        <w:jc w:val="both"/>
        <w:rPr>
          <w:color w:val="000000" w:themeColor="text1"/>
          <w:sz w:val="16"/>
          <w:szCs w:val="16"/>
        </w:rPr>
      </w:pPr>
    </w:p>
    <w:p w14:paraId="56D8C82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января 1942 года М. Хруничев писал письмо № Н-87 зам. председателя СНК Вознесенскому Н.А.</w:t>
      </w:r>
    </w:p>
    <w:p w14:paraId="558327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95 НКАП, эвакуированный на Верхнюю Салду только в декабре 1941 года приступил к частичному выпуску продукции …</w:t>
      </w:r>
      <w:proofErr w:type="gramStart"/>
      <w:r w:rsidRPr="008127F8">
        <w:rPr>
          <w:color w:val="000000" w:themeColor="text1"/>
          <w:sz w:val="16"/>
          <w:szCs w:val="16"/>
        </w:rPr>
        <w:t>…….</w:t>
      </w:r>
      <w:proofErr w:type="gramEnd"/>
      <w:r w:rsidRPr="008127F8">
        <w:rPr>
          <w:color w:val="000000" w:themeColor="text1"/>
          <w:sz w:val="16"/>
          <w:szCs w:val="16"/>
        </w:rPr>
        <w:t>.(8620, 14)</w:t>
      </w:r>
    </w:p>
    <w:p w14:paraId="238F6791" w14:textId="77777777" w:rsidR="00D4651C" w:rsidRPr="008127F8" w:rsidRDefault="00D4651C" w:rsidP="001E0A84">
      <w:pPr>
        <w:pStyle w:val="Iauiue"/>
        <w:jc w:val="both"/>
        <w:rPr>
          <w:iCs/>
          <w:color w:val="000000" w:themeColor="text1"/>
          <w:sz w:val="16"/>
          <w:szCs w:val="16"/>
        </w:rPr>
      </w:pPr>
    </w:p>
    <w:p w14:paraId="4F84E8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1942 г. по приказу НКАП № 6 от на месте эвакуированного завода № 33 НКАП организованы ремонтные мастерские № 33 в 4ГУ НКАП для ремонта моторных агрегатов (численность-43 чел.). Начальник мастерских- Н.В. Козлов. Осуществлялся ремонт приборов и производство зажигательных бомб.</w:t>
      </w:r>
    </w:p>
    <w:p w14:paraId="38CA64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1335с от 24.02.1942 г. и приказом № 157с от 27.02.1942 г. на базе мастерских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w:t>
      </w:r>
    </w:p>
    <w:p w14:paraId="479091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122с от 27.02.1943 г. заводу № 315 НКАП переданы оборудование и личный состав филиала завода № 25, расположенного на территории опытного завода ЦИАМ. </w:t>
      </w:r>
    </w:p>
    <w:p w14:paraId="102F99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0D308A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карбюраторов.</w:t>
      </w:r>
    </w:p>
    <w:p w14:paraId="1A37E7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6DB50B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1.05.1956 г. завод передан в 3ГУ. 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С 1994 г.-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55981F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47F2C5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(1.01.2003 г.)- 2217 чел.</w:t>
      </w:r>
    </w:p>
    <w:p w14:paraId="479043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(06.1942-43 г.)- А.М. Сильнов, (02(05).1943 г.-)- А.С. Субботин, И.Д. Соломонович, (11.1945-54 г.)- Г.Д. Брусникин (затем- директор завода № 43), Кононенко, Ю.Н. Смирнов, (1963-92 г.)- И.И. Румянцев. Гендиректор (-1998-2004 г.-)- В.И. Дидилов.49 </w:t>
      </w:r>
    </w:p>
    <w:p w14:paraId="0485EA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(1943 г.)- С.А. Громов, (2002 г.)- А.А. Пискунов. </w:t>
      </w:r>
    </w:p>
    <w:p w14:paraId="207132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коммерции и ВЭС (2002 г.)- Л.М. Халфун.69 </w:t>
      </w:r>
    </w:p>
    <w:p w14:paraId="31A8EF9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(06.1943-84 г.)- Ф.А. Коротков.</w:t>
      </w:r>
    </w:p>
    <w:p w14:paraId="38FC6C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карбюраторы К-38, К-105Ф, -БП для М-105, АК-82БП, АК-90БП для АШ-82, К-107БП для М-107, К-85, К-87, АК-88Б, К-42БП; агрегаты дозировки топлива АДТ-10 для РД-10, АДТ-20 для РД-20; топливная аппаратура для АЧ-30Б, РД-500, АМ-3М, РД-45Ф, ВК-1, РД-9, НК-12, Р15Б; САР 59А для РД-33 (1978-).</w:t>
      </w:r>
    </w:p>
    <w:p w14:paraId="46CF62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315 НКАП, завод № 315-33 МАП, ММЗ, ММПО «Знамя революции», Машиностроительное ПО (МПО) им. И.И. Румянцева, ОАО «МПО им. И.И. Румянцева» </w:t>
      </w:r>
    </w:p>
    <w:p w14:paraId="1D0A51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Н. Масловка, 33</w:t>
      </w:r>
    </w:p>
    <w:p w14:paraId="2FD752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М. Расковой, 34 тел. 285-39-80, 964-83-43</w:t>
      </w:r>
    </w:p>
    <w:p w14:paraId="7288C2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ОКБ-315-33 НКАП, МАП, ОКБ-315 МАП, ГКАТ, МАКБ (Московское агрегатное) "Темп", НПП «ЭГА», АООТ, ОАО «ЭГА»</w:t>
      </w:r>
    </w:p>
    <w:p w14:paraId="038EF9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Правды, 23 тел. 285-99-65</w:t>
      </w:r>
    </w:p>
    <w:p w14:paraId="1F0EBD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896с от 19.12.1942 г.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138B46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611F92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13565A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72D277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0F476F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427E77E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08CA1CD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4CC0B0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г.)- 900 чел.</w:t>
      </w:r>
    </w:p>
    <w:p w14:paraId="175071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043163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75C8E3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Зазулов.49 </w:t>
      </w:r>
    </w:p>
    <w:p w14:paraId="36D4F2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С.Н. Ломовицкий.</w:t>
      </w:r>
    </w:p>
    <w:p w14:paraId="2274283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5D36F2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Гаврилов-Ямский машиностроительный завод «Агат», ОАО «ГМЗ «Агат» </w:t>
      </w:r>
    </w:p>
    <w:p w14:paraId="1FF118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152240 г. Гаврилов-Ям Ярославской обл. пр. Машиностроителей, 1 тел. 23-264 gmzagat.ru</w:t>
      </w:r>
    </w:p>
    <w:p w14:paraId="7F53DA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4EEAE4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г.)- 787 чел.</w:t>
      </w:r>
    </w:p>
    <w:p w14:paraId="244C56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(-2002-05 г.-)- В.Н. Корытов.</w:t>
      </w:r>
    </w:p>
    <w:p w14:paraId="1F9FEE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А.А. Николаев.</w:t>
      </w:r>
    </w:p>
    <w:p w14:paraId="558407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451EF7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Члены совета директоров (23.04.2004 г.-)- В.Н. Корытов, В.И. Брылев, Н.И. Бирук, Ю.С. Елисеев, М.А. Скворцов, С.И. Грачев, И.Н. Горбаткина, А.Ю. Трубкин, С.М. Федотов.</w:t>
      </w:r>
    </w:p>
    <w:p w14:paraId="4FFCA9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гидроаппаратура для грузоподъемной, дорожно-строительной и коммунальной техники; разработка системы запуска ГТУ; мотоблоки «Салют-5» для сельского хозяйства (10776).</w:t>
      </w:r>
    </w:p>
    <w:p w14:paraId="2B070EA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8C9A8E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1942 г. по приказу</w:t>
      </w:r>
      <w:r w:rsidRPr="008127F8">
        <w:rPr>
          <w:rFonts w:ascii="Times New Roman" w:hAnsi="Times New Roman"/>
          <w:iCs/>
          <w:color w:val="000000" w:themeColor="text1"/>
          <w:sz w:val="16"/>
          <w:szCs w:val="16"/>
        </w:rPr>
        <w:t xml:space="preserve"> № 6</w:t>
      </w:r>
      <w:r w:rsidRPr="008127F8">
        <w:rPr>
          <w:rFonts w:ascii="Times New Roman" w:hAnsi="Times New Roman"/>
          <w:color w:val="000000" w:themeColor="text1"/>
          <w:sz w:val="16"/>
          <w:szCs w:val="16"/>
        </w:rPr>
        <w:t xml:space="preserve"> от на месте эвакуированного завода № 33 НКАП организованы ремонтные мастерские № 33 в 4ГУ НКАП для ремонта моторных агрегатов (численность-43 чел.). Начальник мастерских- Н.В. Козлов. Осуществлялся ремонт приборов и производство зажигательных бомб.</w:t>
      </w:r>
    </w:p>
    <w:p w14:paraId="7B60B0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1335с от 24.02.1942 г. и приказом № 157с от 27.02.1942 г. на базе мастерских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 (ГС Завод № 315 НКАП, Завод № 315-33 НКАП, МАП, ММЗ, ММПО «Знамя революции», Машиностроительное ПО (МПО) им. И.И. Румянцева, ОАО «МПО им. И.И. Румянцева» /г. Москва ул. Н. Масловка, 33/ /127015  г. Москва ул. М. Расковой, 34 тел. 685-39-80, 964-83-43/). В 06.1942 г. - завод № 315-33.</w:t>
      </w:r>
    </w:p>
    <w:p w14:paraId="476E8C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122с от 27.02.1943 г. заводу № 315 НКАП переданы оборудование и личный состав филиала завода № 25, расположенного на территории опытного завода ЦИАМ.</w:t>
      </w:r>
    </w:p>
    <w:p w14:paraId="77060A2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3DC02A6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карбюраторов.</w:t>
      </w:r>
    </w:p>
    <w:p w14:paraId="10284A2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74B26B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7BC48F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3EB2C8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6BC705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4D33907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(1.01.2003 г.)- 2217 чел.</w:t>
      </w:r>
    </w:p>
    <w:p w14:paraId="4E3A85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(06.1942-43 г.)- А.М. Сильнов, (02(05). 1943 г.-)- А.С. Субботин, И.Д. Соломонович, (11.1945-54 г.)</w:t>
      </w:r>
      <w:proofErr w:type="gramStart"/>
      <w:r w:rsidRPr="008127F8">
        <w:rPr>
          <w:rFonts w:ascii="Times New Roman" w:hAnsi="Times New Roman"/>
          <w:color w:val="000000" w:themeColor="text1"/>
          <w:sz w:val="16"/>
          <w:szCs w:val="16"/>
        </w:rPr>
        <w:t>-  Г.Д.</w:t>
      </w:r>
      <w:proofErr w:type="gramEnd"/>
      <w:r w:rsidRPr="008127F8">
        <w:rPr>
          <w:rFonts w:ascii="Times New Roman" w:hAnsi="Times New Roman"/>
          <w:color w:val="000000" w:themeColor="text1"/>
          <w:sz w:val="16"/>
          <w:szCs w:val="16"/>
        </w:rPr>
        <w:t xml:space="preserve"> Брусникин (затем- директор завода № 43), Кононенко, Ю.Н. Смирнов, (1963-92 г.)- И.И. Румянцев. Гендиректор (1992-2005 г.-&gt; В.И. Дидилов,</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(2005 г.-)- Л.М. Халфун.</w:t>
      </w:r>
    </w:p>
    <w:p w14:paraId="361A3F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(1943 г.)- С.А. Громов, (2002 г.)- А.А. Пискунов.</w:t>
      </w:r>
    </w:p>
    <w:p w14:paraId="280158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коммерции и ВЭС (2002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Халфун.</w:t>
      </w:r>
      <w:r w:rsidRPr="008127F8">
        <w:rPr>
          <w:rFonts w:ascii="Times New Roman" w:hAnsi="Times New Roman"/>
          <w:color w:val="000000" w:themeColor="text1"/>
          <w:sz w:val="16"/>
          <w:szCs w:val="16"/>
          <w:vertAlign w:val="superscript"/>
        </w:rPr>
        <w:t>69</w:t>
      </w:r>
    </w:p>
    <w:p w14:paraId="569CB2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(06.1943-84 г.)- Ф.А. Короткое.</w:t>
      </w:r>
    </w:p>
    <w:p w14:paraId="54715F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карбюраторы:</w:t>
      </w:r>
      <w:r w:rsidRPr="008127F8">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1C6EA90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w:t>
      </w:r>
      <w:proofErr w:type="gramStart"/>
      <w:r w:rsidRPr="008127F8">
        <w:rPr>
          <w:rFonts w:ascii="Times New Roman" w:hAnsi="Times New Roman"/>
          <w:color w:val="000000" w:themeColor="text1"/>
          <w:sz w:val="16"/>
          <w:szCs w:val="16"/>
        </w:rPr>
        <w:t>127015  г.</w:t>
      </w:r>
      <w:proofErr w:type="gramEnd"/>
      <w:r w:rsidRPr="008127F8">
        <w:rPr>
          <w:rFonts w:ascii="Times New Roman" w:hAnsi="Times New Roman"/>
          <w:color w:val="000000" w:themeColor="text1"/>
          <w:sz w:val="16"/>
          <w:szCs w:val="16"/>
        </w:rPr>
        <w:t xml:space="preserve"> Москва ул. Правды, 23 тел. 685-91-40/</w:t>
      </w:r>
    </w:p>
    <w:p w14:paraId="5C56A5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03231E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7545F4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17BFE4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7AA21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начались работы по созданию командно-топливных агрегатов (КТА) для ТВ Д.</w:t>
      </w:r>
    </w:p>
    <w:p w14:paraId="14CC77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031795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3ADA48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63292D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г.)- 900 чел.</w:t>
      </w:r>
    </w:p>
    <w:p w14:paraId="3DC3B7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185284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(2002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JL</w:t>
      </w:r>
      <w:r w:rsidRPr="008127F8">
        <w:rPr>
          <w:rFonts w:ascii="Times New Roman" w:hAnsi="Times New Roman"/>
          <w:color w:val="000000" w:themeColor="text1"/>
          <w:sz w:val="16"/>
          <w:szCs w:val="16"/>
        </w:rPr>
        <w:t xml:space="preserve">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8127F8">
        <w:rPr>
          <w:rFonts w:ascii="Times New Roman" w:hAnsi="Times New Roman"/>
          <w:color w:val="000000" w:themeColor="text1"/>
          <w:sz w:val="16"/>
          <w:szCs w:val="16"/>
          <w:vertAlign w:val="superscript"/>
        </w:rPr>
        <w:t>49</w:t>
      </w:r>
    </w:p>
    <w:p w14:paraId="30AB68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lastRenderedPageBreak/>
        <w:t>i</w:t>
      </w:r>
      <w:r w:rsidRPr="008127F8">
        <w:rPr>
          <w:rFonts w:ascii="Times New Roman" w:hAnsi="Times New Roman"/>
          <w:color w:val="000000" w:themeColor="text1"/>
          <w:sz w:val="16"/>
          <w:szCs w:val="16"/>
        </w:rPr>
        <w:t xml:space="preserve"> Ответственный руководитель (1963-84 г.)- Ф.А. Коротков. Директор (1984-93 г.)- В.И. Зазулов. Гендиректор (1993-2004 г.)- В.И. Зазулов, (2004-05 г.-)- А.Л. Аршавский.</w:t>
      </w:r>
    </w:p>
    <w:p w14:paraId="3AC582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С.Н. Ломовицкий.</w:t>
      </w:r>
      <w:r w:rsidRPr="008127F8">
        <w:rPr>
          <w:rFonts w:ascii="Times New Roman" w:hAnsi="Times New Roman"/>
          <w:color w:val="000000" w:themeColor="text1"/>
          <w:sz w:val="16"/>
          <w:szCs w:val="16"/>
          <w:vertAlign w:val="superscript"/>
        </w:rPr>
        <w:t>69</w:t>
      </w:r>
    </w:p>
    <w:p w14:paraId="462335D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С.И. Пресняков, Д.М. Сегаль.</w:t>
      </w:r>
    </w:p>
    <w:p w14:paraId="4FD5F3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w:t>
      </w:r>
      <w:r w:rsidRPr="008127F8">
        <w:rPr>
          <w:rFonts w:ascii="Times New Roman" w:hAnsi="Times New Roman"/>
          <w:color w:val="000000" w:themeColor="text1"/>
          <w:sz w:val="16"/>
          <w:szCs w:val="16"/>
          <w:lang w:val="en-US"/>
        </w:rPr>
        <w:t>CAP</w:t>
      </w:r>
      <w:r w:rsidRPr="008127F8">
        <w:rPr>
          <w:rFonts w:ascii="Times New Roman" w:hAnsi="Times New Roman"/>
          <w:color w:val="000000" w:themeColor="text1"/>
          <w:sz w:val="16"/>
          <w:szCs w:val="16"/>
        </w:rPr>
        <w:t xml:space="preserve">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8127F8">
        <w:rPr>
          <w:rFonts w:ascii="Times New Roman" w:hAnsi="Times New Roman"/>
          <w:color w:val="000000" w:themeColor="text1"/>
          <w:sz w:val="16"/>
          <w:szCs w:val="16"/>
          <w:vertAlign w:val="superscript"/>
        </w:rPr>
        <w:t>101</w:t>
      </w:r>
    </w:p>
    <w:p w14:paraId="5DEBEA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Гаврилов-Ямский машиностроительный завод (ГМЗ) «Агат», ОАО «ГМЗ «Агат» /</w:t>
      </w:r>
      <w:proofErr w:type="gramStart"/>
      <w:r w:rsidRPr="008127F8">
        <w:rPr>
          <w:rFonts w:ascii="Times New Roman" w:hAnsi="Times New Roman"/>
          <w:color w:val="000000" w:themeColor="text1"/>
          <w:sz w:val="16"/>
          <w:szCs w:val="16"/>
        </w:rPr>
        <w:t>152240  г.</w:t>
      </w:r>
      <w:proofErr w:type="gramEnd"/>
      <w:r w:rsidRPr="008127F8">
        <w:rPr>
          <w:rFonts w:ascii="Times New Roman" w:hAnsi="Times New Roman"/>
          <w:color w:val="000000" w:themeColor="text1"/>
          <w:sz w:val="16"/>
          <w:szCs w:val="16"/>
        </w:rPr>
        <w:t xml:space="preserve"> Гаврилов-Ям Ярославской обл. пр. Машиностроителей, 1 тел. 23-264/</w:t>
      </w:r>
    </w:p>
    <w:p w14:paraId="3E8DC2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в 1968 г. Являлся филиалом ММЗ «Знамя революции». С начала 1970-х по начало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5F6E4CD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г.)- 787 чел.</w:t>
      </w:r>
      <w:r w:rsidRPr="008127F8">
        <w:rPr>
          <w:rFonts w:ascii="Times New Roman" w:hAnsi="Times New Roman"/>
          <w:color w:val="000000" w:themeColor="text1"/>
          <w:sz w:val="16"/>
          <w:szCs w:val="16"/>
          <w:vertAlign w:val="superscript"/>
        </w:rPr>
        <w:t>69</w:t>
      </w:r>
    </w:p>
    <w:p w14:paraId="258744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(-2002-05 г.-)- В.Н. Корытов.</w:t>
      </w:r>
    </w:p>
    <w:p w14:paraId="51498B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А.А. Николаев.</w:t>
      </w:r>
    </w:p>
    <w:p w14:paraId="0D7B4CE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4E4137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36F9C75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76233A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7D641A41" w14:textId="77777777" w:rsidR="00D4651C" w:rsidRPr="008127F8" w:rsidRDefault="00D4651C" w:rsidP="001E0A84">
      <w:pPr>
        <w:pStyle w:val="Iauiue"/>
        <w:jc w:val="both"/>
        <w:rPr>
          <w:iCs/>
          <w:color w:val="000000" w:themeColor="text1"/>
          <w:sz w:val="16"/>
          <w:szCs w:val="16"/>
        </w:rPr>
      </w:pPr>
    </w:p>
    <w:p w14:paraId="04501D3D"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8 по 22 января 1942 года, во время согласования чертежей танка Т-34 для его производства на СТЗ в 1942 текущем году, руководство завода предлагало введение бесструнного крепления. Однако в протоколе рассмотрения, подписанного 22 января 1942 года ведущим инженером БТУ ГАБТУ КА по танку Агриков чертежи на такое крепление не были утверждены. Предполагалось, что и было оговорено со Сталинградским тракторным заводом, установить такие бортовые передачи на трех - четырех танках, находящихся в учебных частях Сталинграда, и провести их испытание. Вопрос о введении в серийное производство бесструнного крепления должен был решаться только при получении положительных результатов испытаний и утверждения их ГАБТУ КА и наркоматом танковой промышленности (12217).</w:t>
      </w:r>
    </w:p>
    <w:p w14:paraId="107E56C0"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59D2AFF5" w14:textId="77777777" w:rsidR="008D722B" w:rsidRPr="008127F8" w:rsidRDefault="008D722B" w:rsidP="001E0A84">
      <w:pPr>
        <w:pStyle w:val="a4"/>
        <w:rPr>
          <w:color w:val="000000" w:themeColor="text1"/>
          <w:lang w:val="ru-RU"/>
        </w:rPr>
      </w:pPr>
      <w:r w:rsidRPr="008127F8">
        <w:rPr>
          <w:color w:val="000000" w:themeColor="text1"/>
          <w:lang w:val="ru-RU"/>
        </w:rPr>
        <w:t>8 ян</w:t>
      </w:r>
      <w:r w:rsidRPr="008127F8">
        <w:rPr>
          <w:color w:val="000000" w:themeColor="text1"/>
          <w:lang w:val="ru-RU"/>
        </w:rPr>
        <w:softHyphen/>
        <w:t>варя 1942 года было подготовлено заключение о КВ-7, подписанном помощником начальника 4-го от</w:t>
      </w:r>
      <w:r w:rsidRPr="008127F8">
        <w:rPr>
          <w:color w:val="000000" w:themeColor="text1"/>
          <w:lang w:val="ru-RU"/>
        </w:rPr>
        <w:softHyphen/>
        <w:t>деления 3-го отдела БТУ КА майором Гороховым:</w:t>
      </w:r>
    </w:p>
    <w:p w14:paraId="02B52A4A"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«Ознакомившись с установкой и стрельбой из нее, считаю, что данный вид вооружения для танковых войск неприемлем по следующим соображе</w:t>
      </w:r>
      <w:r w:rsidRPr="008127F8">
        <w:rPr>
          <w:rStyle w:val="Bodytext145"/>
          <w:i w:val="0"/>
          <w:iCs w:val="0"/>
          <w:color w:val="000000" w:themeColor="text1"/>
          <w:sz w:val="16"/>
          <w:szCs w:val="16"/>
        </w:rPr>
        <w:softHyphen/>
        <w:t>ниям:</w:t>
      </w:r>
    </w:p>
    <w:p w14:paraId="7B241C04" w14:textId="77777777" w:rsidR="008D722B" w:rsidRPr="008127F8" w:rsidRDefault="008D722B" w:rsidP="001E0A84">
      <w:pPr>
        <w:pStyle w:val="Bodytext141"/>
        <w:shd w:val="clear" w:color="auto" w:fill="auto"/>
        <w:tabs>
          <w:tab w:val="left" w:pos="502"/>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Для борьбы с танками установка беспомощна, так как маневрен</w:t>
      </w:r>
      <w:r w:rsidRPr="008127F8">
        <w:rPr>
          <w:rStyle w:val="Bodytext145"/>
          <w:i w:val="0"/>
          <w:iCs w:val="0"/>
          <w:color w:val="000000" w:themeColor="text1"/>
          <w:sz w:val="16"/>
          <w:szCs w:val="16"/>
        </w:rPr>
        <w:softHyphen/>
        <w:t>ность огнем слишком мала, угол поворота всего 15° в обе стороны.</w:t>
      </w:r>
    </w:p>
    <w:p w14:paraId="3353BC11" w14:textId="77777777" w:rsidR="008D722B" w:rsidRPr="008127F8" w:rsidRDefault="008D722B" w:rsidP="001E0A84">
      <w:pPr>
        <w:pStyle w:val="Bodytext141"/>
        <w:shd w:val="clear" w:color="auto" w:fill="auto"/>
        <w:tabs>
          <w:tab w:val="left" w:pos="52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Для борьбы с ДОТами и ДЗОТами также не может быть исполь</w:t>
      </w:r>
      <w:r w:rsidRPr="008127F8">
        <w:rPr>
          <w:rStyle w:val="Bodytext145"/>
          <w:i w:val="0"/>
          <w:iCs w:val="0"/>
          <w:color w:val="000000" w:themeColor="text1"/>
          <w:sz w:val="16"/>
          <w:szCs w:val="16"/>
        </w:rPr>
        <w:softHyphen/>
        <w:t>зована, так как маломощна по своим баллистическим качествам и разрушительной силе снаряда.</w:t>
      </w:r>
    </w:p>
    <w:p w14:paraId="2E62B743"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Считаю, что целесообразнее иметь установку такого типа крупно</w:t>
      </w:r>
      <w:r w:rsidRPr="008127F8">
        <w:rPr>
          <w:rStyle w:val="Bodytext145"/>
          <w:i w:val="0"/>
          <w:iCs w:val="0"/>
          <w:color w:val="000000" w:themeColor="text1"/>
          <w:sz w:val="16"/>
          <w:szCs w:val="16"/>
        </w:rPr>
        <w:softHyphen/>
        <w:t xml:space="preserve">го калибра, примерно 152-мм орудия, которое было установлено на танк КВ-2— </w:t>
      </w:r>
      <w:r w:rsidRPr="008127F8">
        <w:rPr>
          <w:rStyle w:val="Bodytext145"/>
          <w:i w:val="0"/>
          <w:iCs w:val="0"/>
          <w:color w:val="000000" w:themeColor="text1"/>
          <w:sz w:val="16"/>
          <w:szCs w:val="16"/>
          <w:lang w:val="en-US"/>
        </w:rPr>
        <w:t>Ml</w:t>
      </w:r>
      <w:r w:rsidRPr="008127F8">
        <w:rPr>
          <w:rStyle w:val="Bodytext145"/>
          <w:i w:val="0"/>
          <w:iCs w:val="0"/>
          <w:color w:val="000000" w:themeColor="text1"/>
          <w:sz w:val="16"/>
          <w:szCs w:val="16"/>
        </w:rPr>
        <w:t xml:space="preserve"> О» (17484).</w:t>
      </w:r>
    </w:p>
    <w:p w14:paraId="1C1D4C13" w14:textId="77777777" w:rsidR="008D722B" w:rsidRPr="008127F8" w:rsidRDefault="008D722B" w:rsidP="001E0A84">
      <w:pPr>
        <w:pStyle w:val="a4"/>
        <w:rPr>
          <w:color w:val="000000" w:themeColor="text1"/>
          <w:lang w:val="ru-RU"/>
        </w:rPr>
      </w:pPr>
    </w:p>
    <w:p w14:paraId="1A08979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января 1942 года впервые было сказано о том, что КВ-7 достоин более мощного орудия.</w:t>
      </w:r>
    </w:p>
    <w:p w14:paraId="56ACDF56"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декабря 1941 года на заводские испытания вышел опытный штурмовой танк КВ-7. Необычная машина не имела вращающейся башни, вместо нее появилась рубка. Также штурмовой танк отличался строенной установкой двух 45-мм пушек и одной 76-мм пушки ЗИС-5. Предполагалось, что САУ будет вести залповый огонь. На первых же испытаниях стало понятно, что идея строенной установки оказалась не особо удачной. Другой вопрос в том, что с самого начала строенная установка вела себя неудовлетворительно. По результатам испытаний было решено заменить строенную установку на спаренную, с двумя 76-мм пушками ЗИС-5. Но одновременно начались работы по созданию иной машины, также с использованием базы КВ-7. Позже она получила обозначение У-18 (23889).</w:t>
      </w:r>
    </w:p>
    <w:p w14:paraId="4100D1C4" w14:textId="77777777" w:rsidR="00153AEB" w:rsidRPr="008A2E5A" w:rsidRDefault="00153AEB" w:rsidP="00153AEB">
      <w:pPr>
        <w:spacing w:after="0" w:line="240" w:lineRule="auto"/>
        <w:jc w:val="both"/>
        <w:rPr>
          <w:rFonts w:ascii="Times New Roman" w:hAnsi="Times New Roman"/>
          <w:color w:val="0070C0"/>
          <w:sz w:val="16"/>
          <w:szCs w:val="16"/>
        </w:rPr>
      </w:pPr>
    </w:p>
    <w:p w14:paraId="577C18C7"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8 января 1942 года помощник начальника 4-го отделения 3-го отдела БТУ КА майор Горохов в письме предложил поставить в рубку КВ-7 чего помощнее, а именно 152-мм гаубицу М-10. Впрочем, этот вариант отмели почти сразу. М-10 имела ряд недостатков, кроме того, ее производство уже прекратилось. Тут же вылезла необходимость борьбы с вражескими </w:t>
      </w:r>
      <w:proofErr w:type="gramStart"/>
      <w:r w:rsidRPr="008A2E5A">
        <w:rPr>
          <w:rFonts w:ascii="Times New Roman" w:hAnsi="Times New Roman"/>
          <w:color w:val="0070C0"/>
          <w:sz w:val="16"/>
          <w:szCs w:val="16"/>
        </w:rPr>
        <w:t>ДОТ-ами</w:t>
      </w:r>
      <w:proofErr w:type="gramEnd"/>
      <w:r w:rsidRPr="008A2E5A">
        <w:rPr>
          <w:rFonts w:ascii="Times New Roman" w:hAnsi="Times New Roman"/>
          <w:color w:val="0070C0"/>
          <w:sz w:val="16"/>
          <w:szCs w:val="16"/>
        </w:rPr>
        <w:t>, а М-10 годилась для поражения бетонных надолбов, да ДОТ-ов среднего класса. В результате быстро появилась альтернатива в виде 152-мм гаубицы-пушки МЛ-20. До того эта система не мелькала как потенциальное вооружение САУ. Между тем, характеристики орудия были очень приличными. К тому же, в отличие от БР-2, МЛ-20 находилась в крупной серии (23889).</w:t>
      </w:r>
    </w:p>
    <w:p w14:paraId="4ECF7C8F" w14:textId="77777777" w:rsidR="00153AEB" w:rsidRPr="008A2E5A" w:rsidRDefault="00153AEB" w:rsidP="00153AEB">
      <w:pPr>
        <w:spacing w:after="0" w:line="240" w:lineRule="auto"/>
        <w:jc w:val="both"/>
        <w:rPr>
          <w:rFonts w:ascii="Times New Roman" w:hAnsi="Times New Roman"/>
          <w:color w:val="0070C0"/>
          <w:sz w:val="16"/>
          <w:szCs w:val="16"/>
        </w:rPr>
      </w:pPr>
    </w:p>
    <w:p w14:paraId="2AFC3A5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января 1942 г. вышел ПРИКАЗ НКО № 3 ОБ ОРГАНИЗАЦИИ ИЗУЧЕНИЯ НАИБОЛЕЕ ЦЕННЫХ ОБРАЗЦОВ ВСЕХ ВИДОВ ТРОФЕЙНОГО ИМУЩЕСТВА</w:t>
      </w:r>
    </w:p>
    <w:p w14:paraId="2957C3E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организации изучения, усовершенствования и внедрения в промышленное производство наиболее ценных образцов всех видов трофейного вооружения приказываю:</w:t>
      </w:r>
    </w:p>
    <w:p w14:paraId="270223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Военным советам фронтов и армий через начальников родов войск немедленно направлять образцы трофейного вооружения в пункты по указанию начальников главных и центральных управлений НКО.</w:t>
      </w:r>
    </w:p>
    <w:p w14:paraId="1823FE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Начальникам главных и центральных управлений НКО в подведомственных им научно-исследовательских институтах, технических комитетах, научных советах, артиллерийском комитете Главного артиллерийского управления и в военных академиях организовать изучение трофейного вооружения.</w:t>
      </w:r>
    </w:p>
    <w:p w14:paraId="37DA357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С наиболее ценными образцами трофейного вооружения знакомить соответствующие отрасли нашей промышленности.</w:t>
      </w:r>
    </w:p>
    <w:p w14:paraId="49414C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Выявленные в процессе изучения новейшие образцы вооружения подвергать соответствующим испытаниям и после заключения о пригодности того или другого образца к использованию в Красной Армии входить в правительство с ходатайством о принятии на вооружение.</w:t>
      </w:r>
    </w:p>
    <w:p w14:paraId="691AEEC9"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t>Зам. Народного комиссара обороны СССР генерал-полковник артиллерии ВОРОНОВ</w:t>
      </w:r>
      <w:r w:rsidRPr="008127F8">
        <w:rPr>
          <w:color w:val="000000" w:themeColor="text1"/>
          <w:sz w:val="16"/>
          <w:szCs w:val="16"/>
        </w:rPr>
        <w:t xml:space="preserve"> (9844).</w:t>
      </w:r>
    </w:p>
    <w:p w14:paraId="494789E8" w14:textId="77777777" w:rsidR="00D4651C" w:rsidRPr="008127F8" w:rsidRDefault="00D4651C" w:rsidP="001E0A84">
      <w:pPr>
        <w:pStyle w:val="Iauiue"/>
        <w:jc w:val="both"/>
        <w:rPr>
          <w:color w:val="000000" w:themeColor="text1"/>
          <w:sz w:val="16"/>
          <w:szCs w:val="16"/>
        </w:rPr>
      </w:pPr>
    </w:p>
    <w:p w14:paraId="588270E8"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8 января 1942 года вышел приказ № 11с НКБ (Челябинск).</w:t>
      </w:r>
    </w:p>
    <w:p w14:paraId="1F32562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Принятый от Наркомата танковой промышленности Саратовский станкостроительный завод включить в число действующих предприятий НКБ и присвоить заводу № 311. Подчинить завод 4 Гл. управлению.</w:t>
      </w:r>
    </w:p>
    <w:p w14:paraId="691F5F18"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Принятый от Наркомата танковой промышленности Акмолинский станкостроительный завод включить в число действующих предприятий НКБ и присвоить заводу № 317. Подчинить завод 4 Гл. управлению.</w:t>
      </w:r>
    </w:p>
    <w:p w14:paraId="7390088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Приказ НКБ № 128 от 13 июля 1939 года, касающийся Дальневосточного и Коломенского строительства отменить (5753, 71).</w:t>
      </w:r>
    </w:p>
    <w:p w14:paraId="77A37FE6" w14:textId="77777777" w:rsidR="00D4651C" w:rsidRPr="008127F8" w:rsidRDefault="00D4651C" w:rsidP="001E0A84">
      <w:pPr>
        <w:pStyle w:val="Iauiue"/>
        <w:tabs>
          <w:tab w:val="left" w:pos="11199"/>
        </w:tabs>
        <w:jc w:val="both"/>
        <w:rPr>
          <w:color w:val="000000" w:themeColor="text1"/>
          <w:sz w:val="16"/>
          <w:szCs w:val="16"/>
        </w:rPr>
      </w:pPr>
    </w:p>
    <w:p w14:paraId="566E939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8 января 1942 года вышел приказ № 9с НКБ (Челябинск).</w:t>
      </w:r>
    </w:p>
    <w:p w14:paraId="6B1FE2A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Передать 5-му Гл. управлению НКБ для организации производства 45 мм гильз Тарный завод комбината № 392.</w:t>
      </w:r>
    </w:p>
    <w:p w14:paraId="4146739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Присвоить Кемеровскому бывшему Тарному заводу № 325.</w:t>
      </w:r>
    </w:p>
    <w:p w14:paraId="46CC27F7"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Приказ НКБ № 255с от 31 октября 1939 года отменить (5753, 50).</w:t>
      </w:r>
    </w:p>
    <w:p w14:paraId="2126019A" w14:textId="77777777" w:rsidR="00D4651C" w:rsidRPr="008127F8" w:rsidRDefault="00D4651C" w:rsidP="001E0A84">
      <w:pPr>
        <w:pStyle w:val="Iauiue"/>
        <w:tabs>
          <w:tab w:val="left" w:pos="11199"/>
        </w:tabs>
        <w:jc w:val="both"/>
        <w:rPr>
          <w:color w:val="000000" w:themeColor="text1"/>
          <w:sz w:val="16"/>
          <w:szCs w:val="16"/>
        </w:rPr>
      </w:pPr>
    </w:p>
    <w:p w14:paraId="4A1846BD"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205E99AD" w14:textId="77777777" w:rsidR="00D4651C" w:rsidRPr="008127F8" w:rsidRDefault="00D4651C" w:rsidP="001E0A84">
      <w:pPr>
        <w:pStyle w:val="Iauiue"/>
        <w:jc w:val="both"/>
        <w:rPr>
          <w:iCs/>
          <w:color w:val="000000" w:themeColor="text1"/>
          <w:sz w:val="16"/>
          <w:szCs w:val="16"/>
        </w:rPr>
      </w:pPr>
    </w:p>
    <w:p w14:paraId="683A5398"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20A5CE9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8 января наши войска вели бои с противником на всех фронтах.</w:t>
      </w:r>
    </w:p>
    <w:p w14:paraId="13F2CDDF"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один день боёв освободила от немцев 6 населённых пунктов и нанесла большой урон противнику. Только в пункте М., занятом нашими бойцами, обнаружено до 400 трупов вражеских солдат и офицеров, большинство из которых — финны. На другом участке фронта батальон пьяных фашистских солдат предпринял психическую атаку, но был полностью уничтожен огнём нашей артиллерии.</w:t>
      </w:r>
    </w:p>
    <w:p w14:paraId="64D0B023"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Алекшина в одном из боёв уничтожил 3 немецких танка, 5 пулемётных гнёзд, 4 миномёта и расстрелял большую группу автоматчиков противника.</w:t>
      </w:r>
    </w:p>
    <w:p w14:paraId="35021D8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Автоматчики лейтенанта Дмитриева в бою за деревню Н. (Западный фронт) истребили около 200 вражеских солдат.</w:t>
      </w:r>
    </w:p>
    <w:p w14:paraId="2D33DD0C"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боёв наша рота (Калининский фронт) попала под сильный пулемётный огонь одного из вражеских ДЗОТов. Герой-красноармеец тов. Подерин подкрался к ДЗОТу и своим телом закрыл амбразуру. Пулемёт замолк. Рота перешла в атаку и разгромила врага.</w:t>
      </w:r>
    </w:p>
    <w:p w14:paraId="39B3EBC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Советские партизаны, действующие в тылу немецких захватчиков, наносят урон не только наземным войскам врага, но и его авиации. Это вынуждены признать и сами фашисты. Вот, например, выписка из приказа за № 35 по 16 германской армии: «Ввиду того, что партизаны усилили свою деятельность против самолётов в тылу, приказываю курьерам при своих полётах избегать бездорожных участков местности и, по возможности, летать вдоль больших дорог».</w:t>
      </w:r>
    </w:p>
    <w:p w14:paraId="46680F26"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26 артполка 26 немецкой пехотной дивизии Марекес на допросе заявил: «За время войны 26 дивизия потеряла до 70 процентов личного состава. Особенно тяжёлые потери понёс 77 пехотный полк. Многие роты этого полка насчитывают всего-навсего по 15 солдат. По мере увеличения потерь растёт недовольство и возмущение солдат войной».</w:t>
      </w:r>
    </w:p>
    <w:p w14:paraId="2119FBF3"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Мазикино, немецко-фашистские изверги сожгли все хаты, а крестьян, пытавшихся тушить пожар, расстреливали. У крестьянки этого села Шмаковой Д. М. немцы сожгли четырёх детей. В селе Мясоедово гитлеровцы загнали в сарай 12 женщин, изнасиловали и расстреляли их.</w:t>
      </w:r>
    </w:p>
    <w:p w14:paraId="7CE3564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Рабочие и инженерно-технические работники промышленных предприятий ведут борьбу за экономию государственных средств и материалов. Коллектив Карагандинской шахты № 26, снизив себестоимость угля, сэкономил 458 тысяч рублей. На нефтяных промыслах Охи (Сахалинская область) реализованы десятки рационализаторских предложений, дающих много тысяч рублей экономии. На кожевенных заводах Азербайджанской ССР для жировки кож применяли дорогостоящие растительный и животный жиры. Только на одном заводе ежедневно расходовалось не меньше 20 килограммов жиров. Технологии кожзавода № 1 Петроян и Ашрафян нашли способ получения синтетического жира из нефти. Производство одного килограмма этого жира обходится всего в 40 копеек. За год завод №1 получит около 200 тысяч рублей экономии.» (15003).</w:t>
      </w:r>
    </w:p>
    <w:p w14:paraId="3871695D"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71E3D598"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4C862CFE"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8 января на ряде участков фронта наши войска продолжали наступление, ликвидируя попытки противника закрепиться на новых оборонительных рубежах. Наши части вновь продвинулись вперёд и заняли несколько населённых пунктов.</w:t>
      </w:r>
    </w:p>
    <w:p w14:paraId="5278E10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января уничтожено не 11 немецких самолётов, как об этом сообщалось ранее, а 23 немецких самолёта.</w:t>
      </w:r>
    </w:p>
    <w:p w14:paraId="025D410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января уничтожено 11 немецких самолётов. Наши потери — 4 самолёта.</w:t>
      </w:r>
    </w:p>
    <w:p w14:paraId="4E93821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января части нашей авиации уничтожили 12 немецких танков, 460 автомашин с пехотой и грузами, 7 орудий с прислугой, свыше 210 повозок с боеприпасами, автоцистерну с горючим, взорвали склад боеприпасов, сожгли 30 железнодорожных вагонов, разрушили в ряде мест железнодорожное полотно, рассеяли и частью истребили до 6 батальонов пехоты противника.</w:t>
      </w:r>
    </w:p>
    <w:p w14:paraId="0BF21462"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день боёв с противником освободила 19 населённых пунктов и захватила 3 немецких тяжёлых танка, 4 орудия, 36 автомашин, 5 тягачей, 2 прицепа, много пулемётов, автоматов и винтовок. На другом участке фронта наши бойцы, выбив немцев из железнодорожной станции, захватили большие трофеи: 11 орудий, 6 пулемётов, 300 велосипедов, 1.000 снарядов, железнодорожный эшелон с электрооборудованием и танками.</w:t>
      </w:r>
    </w:p>
    <w:p w14:paraId="6104B948"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тов. Синючкина, действующее на одном из участков Ленинградского фронта, проникнув в тыл противника, неожиданно напало на одну из частей фашистов. Истребив несколько десятков вражеских солдат и офицеров, наши бойцы захватили 13 пулемётов, 2 миномёта и 50 винтовок.</w:t>
      </w:r>
    </w:p>
    <w:p w14:paraId="0D44FC8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взвода автоматчиков тов. Бирюков в последнем бою забросал гранатами 3 вражеских блиндажа и расстрелял из автомата пытавшихся спастись бегством немецких солдат. Всего в этом бою тов. Бирюков истребил 16 фашистов.</w:t>
      </w:r>
    </w:p>
    <w:p w14:paraId="2A980302"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Активно действует в тылу у противника в одном из районов Харьковской области партизанский отряд под командованием тов. Н. Незаметно пробравшись в село, занятое немцами, партизаны подожгли сарай, в котором находилось много фашистских солдат, а также хранились боеприпасы. Гитлеровцы, спасаясь от огня, стали выбегать из сарая и попали под меткие пули партизан. Десятки немцев погибли от взрыва боеприпасов. На другой день славные советские патриоты, напав на немецкий отряд, уничтожили 10 солдат и офицеров. В конце декабря партизанский отряд проник в город Харьков и взорвал на улице Дзержинского дом, в котором находились немецкие офицеры. В результате взрыва уничтожены немецкий генерал и 9 офицеров.</w:t>
      </w:r>
    </w:p>
    <w:p w14:paraId="24B8404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солдаты, брошенные Гитлером на убой под огонь советских войск, мёрзнущие в своей летней, рваной эрзац-одежде, всё более охотно читают советские листовки. Наши листовки немецкие солдаты отправляют в своих письмах в Германию. Всё это приняло такие размеры, что немецкое командование вынуждено издавать по этому поводу специальные приказы. Так, в приказе штаба 80 пехотного полка 34 немецкой пехотной дивизии, захваченном нашими войсками, говорится: «При проверке полевой почты в письмах были обнаружены русские листовки. Кто пересылает таким способом листовки, является распространителем пропаганды и подлежит суровому наказанию. Всеми силами следует воспрепятствовать пересылке русских листовок в Германию».</w:t>
      </w:r>
    </w:p>
    <w:p w14:paraId="4B8630B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Ганс Штеммер недавно писал своему брату ефрейтору Максу Штеммеру: «За последнее время русские задали нам жару. Они всё время атакуют нас. Многие наши исчезли: они, наверное, в плену. Якоб Венгер и Людвиг Шмидт убиты. Брат Шмидта Зепп тоже погиб. Как видишь, у нас здесь то же самое, что и у вас...».</w:t>
      </w:r>
    </w:p>
    <w:p w14:paraId="7606D4C8"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посёлке Чудово, Ленинградской области, немцы разместили пленных красноармейцев в свинарнике бывшего свиносовхоза. Сюда же согнали они и местное население. В помещении нет стёкол и дверей. Согнанных сюда советских людей не кормят. Здесь ежедневно умирает от голода несколько человек.</w:t>
      </w:r>
    </w:p>
    <w:p w14:paraId="7F1DFEBA"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 закупленное Финляндией в Дании, по распоряжению из Берлина отправлено в Германию. В результате такого грабежа гитлеровцев с каждым днём усиливается голод среди населения Финляндии. Во многих городах прекращена выдача населению какого бы то ни было продовольствия. В гор. Куопио за последнюю неделю умерло голодной смертью 18 детей.» (15003).</w:t>
      </w:r>
    </w:p>
    <w:p w14:paraId="3CC2325C"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0112D8F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войска правого крыла Северо-Западного фронта, продвинувшись более чем на 50 км, вышли к Старой Руссе (15003).</w:t>
      </w:r>
    </w:p>
    <w:p w14:paraId="4B19C0D6"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3607B46D"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началось общее наступление Красной армии по всей линии советско-германского фронта. Было разбито около 50 фашистских дивизий, немецкие войска были вынуждены на некоторых участках отступить на 400 км. Советские войска освободили города Торопец и Можайск (20 января), Сухиничи (20 января), Юхнов (5 марта), осуществили глубокий прорыв и окружили города Холм (22 января - 5 мая) и Демянск (18 января - 28 апреля). Освобождение Московской области от фашистских захватчиков</w:t>
      </w:r>
    </w:p>
    <w:p w14:paraId="60A18101"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2EDEE12D"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началась Ржевско-Вяземская наступательная операция войск Калининского (И.С.Конев) и Западного (Г.К.Жуков) фронтов при содействии Северо-Западного и Брянского фронтов (завершилась 20 апреля). Составная часть общего наступления советских войск зимой 1941-1942 гг., имевшая цель завершить разгром немецко-фашистской группы армий "Центр". Битва за Ржев, длившаяся 14 месяцев (освобожден 3 марта 1943 г.), оказалась самым продолжительным сражением Второй мировой войны</w:t>
      </w:r>
    </w:p>
    <w:p w14:paraId="37713EB6"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0E7F8AE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началась Сычевско-Вяземская наступательная операция войск Калининского фронта (продолжалась до 20 апреля, часть Ржевско-Вяземской операции) (15003).</w:t>
      </w:r>
    </w:p>
    <w:p w14:paraId="4E00C85D"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0F1368B6"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января</w:t>
      </w:r>
      <w:r w:rsidRPr="008127F8">
        <w:rPr>
          <w:rFonts w:ascii="Times New Roman" w:hAnsi="Times New Roman"/>
          <w:color w:val="000000" w:themeColor="text1"/>
          <w:sz w:val="16"/>
          <w:szCs w:val="16"/>
        </w:rPr>
        <w:t xml:space="preserve"> в 1942 году войска Северо-Западного фронта (генерал-лейтенант П.А.Курочкин) начали Демянскую наступательную операцию. В ходе операции, завершившейся 20 мая, советские войска окружили старорусскую и демянскую группировки противника, по завершить их уничтожение не смогли (15003).</w:t>
      </w:r>
    </w:p>
    <w:p w14:paraId="76A4C82F"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2AA0AA8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8 января 1942 советская армия начала всеобщее контрнаступление, длившееся до апреля (4962).</w:t>
      </w:r>
    </w:p>
    <w:p w14:paraId="70BA2BBE" w14:textId="77777777" w:rsidR="00D4651C" w:rsidRPr="008127F8" w:rsidRDefault="00D4651C" w:rsidP="001E0A84">
      <w:pPr>
        <w:pStyle w:val="Iauiue"/>
        <w:tabs>
          <w:tab w:val="left" w:pos="11199"/>
        </w:tabs>
        <w:jc w:val="both"/>
        <w:rPr>
          <w:color w:val="000000" w:themeColor="text1"/>
          <w:sz w:val="16"/>
          <w:szCs w:val="16"/>
        </w:rPr>
      </w:pPr>
    </w:p>
    <w:p w14:paraId="312D1528"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8, 1942: On the Northern front in Russia, the Red Army begins an offensive near Lake Ilmen (3819).</w:t>
      </w:r>
    </w:p>
    <w:p w14:paraId="29916032" w14:textId="77777777" w:rsidR="00D4651C" w:rsidRPr="008127F8" w:rsidRDefault="00D4651C" w:rsidP="001E0A84">
      <w:pPr>
        <w:pStyle w:val="Iauiue"/>
        <w:jc w:val="both"/>
        <w:rPr>
          <w:color w:val="000000" w:themeColor="text1"/>
          <w:sz w:val="16"/>
          <w:szCs w:val="16"/>
          <w:lang w:val="en-US"/>
        </w:rPr>
      </w:pPr>
    </w:p>
    <w:p w14:paraId="49242E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C 8 января по 20 апреля 1942 была Ржевско-Вяземская операция и продвинулись на 80-250 км, но из-за нехватки танков окружить противника не удалось. Потери немцев были 330 тыс. (2443,74).</w:t>
      </w:r>
    </w:p>
    <w:p w14:paraId="0C1E0034" w14:textId="77777777" w:rsidR="00D4651C" w:rsidRPr="008127F8" w:rsidRDefault="00D4651C" w:rsidP="001E0A84">
      <w:pPr>
        <w:pStyle w:val="Iauiue"/>
        <w:jc w:val="both"/>
        <w:rPr>
          <w:color w:val="000000" w:themeColor="text1"/>
          <w:sz w:val="16"/>
          <w:szCs w:val="16"/>
        </w:rPr>
      </w:pPr>
    </w:p>
    <w:p w14:paraId="75FA8E5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января 1942 начал наступление Калининский фронт на Вязьму, а 9 и 10 января 1942 Западный фронт на Холм и Великие Луки и на Гжатск. Завязли. Не взяли Вязьму (512,174).</w:t>
      </w:r>
    </w:p>
    <w:p w14:paraId="2832F2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ходе Ржевско-Вяземской операции января-апреля 1942 была проведена вяземская воздушно-десантная операция с десантированием 4-го ВДК - самая крупная в ходе войны, когда было выброшено около 10 тыс. десантников. Часть десантников вместе с кавалеристами П.А.Белова прорвалась в тыл и воевала до июня 1942 (3013).</w:t>
      </w:r>
    </w:p>
    <w:p w14:paraId="45854577" w14:textId="77777777" w:rsidR="00D4651C" w:rsidRPr="008127F8" w:rsidRDefault="00D4651C" w:rsidP="001E0A84">
      <w:pPr>
        <w:pStyle w:val="Iauiue"/>
        <w:jc w:val="both"/>
        <w:rPr>
          <w:color w:val="000000" w:themeColor="text1"/>
          <w:sz w:val="16"/>
          <w:szCs w:val="16"/>
        </w:rPr>
      </w:pPr>
    </w:p>
    <w:p w14:paraId="24C6BE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C 8 января 1942 наступали КФ (И.С.Конев) и ЗФ (Г.К.Жуков) при поддержке войск СЗФ (П.А.Курочкин) и БФ (Я.Т.Червиченко). Завершилась 20 апреля, противника отбросили на 80-250 км, полностью освободив МО и Тульскую область. Группа армий Центр потеряла 330 тыс. чел. (3398,17).</w:t>
      </w:r>
    </w:p>
    <w:p w14:paraId="7786E6EC" w14:textId="77777777" w:rsidR="00D4651C" w:rsidRPr="008127F8" w:rsidRDefault="00D4651C" w:rsidP="001E0A84">
      <w:pPr>
        <w:pStyle w:val="Iauiue"/>
        <w:jc w:val="both"/>
        <w:rPr>
          <w:color w:val="000000" w:themeColor="text1"/>
          <w:sz w:val="16"/>
          <w:szCs w:val="16"/>
        </w:rPr>
      </w:pPr>
    </w:p>
    <w:p w14:paraId="0D55F5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8-9 января 1942 года переброшена южная польская группа (5 чел.), всего переброшено 11 человек: Новотко, Картин (радист), Александрович, Мицал, Слива, </w:t>
      </w:r>
      <w:r w:rsidRPr="008127F8">
        <w:rPr>
          <w:color w:val="000000" w:themeColor="text1"/>
          <w:sz w:val="16"/>
          <w:szCs w:val="16"/>
        </w:rPr>
        <w:lastRenderedPageBreak/>
        <w:t>Каменецкая, Ковальчик, Паплинский, Сконецкий, Малоец, Финдер (8983).</w:t>
      </w:r>
    </w:p>
    <w:p w14:paraId="35B077B2" w14:textId="77777777" w:rsidR="00D4651C" w:rsidRPr="008127F8" w:rsidRDefault="00D4651C" w:rsidP="001E0A84">
      <w:pPr>
        <w:pStyle w:val="Iauiue"/>
        <w:jc w:val="both"/>
        <w:rPr>
          <w:color w:val="000000" w:themeColor="text1"/>
          <w:sz w:val="16"/>
          <w:szCs w:val="16"/>
        </w:rPr>
      </w:pPr>
    </w:p>
    <w:p w14:paraId="4DECB0A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0C4180A3" w14:textId="77777777" w:rsidR="00D4651C" w:rsidRPr="008127F8" w:rsidRDefault="00D4651C" w:rsidP="001E0A84">
      <w:pPr>
        <w:pStyle w:val="Iauiue"/>
        <w:jc w:val="both"/>
        <w:rPr>
          <w:iCs/>
          <w:color w:val="000000" w:themeColor="text1"/>
          <w:sz w:val="16"/>
          <w:szCs w:val="16"/>
        </w:rPr>
      </w:pPr>
    </w:p>
    <w:p w14:paraId="47F0A6C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1942 г. Постановлением Верховного суда СССР судам было предложено квалифицировать кражи личного имущества граждан при отягчающих обстоятельствах как бандитизм (11121).</w:t>
      </w:r>
    </w:p>
    <w:p w14:paraId="763A4D7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5BBE5FE"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1942 г. Пленума Верховного Суда СССР признал, что кражи личного имущества граждан во время воздушных налетов врага, при оставлении населенного пункта в связи с появлением или приближением врага являлись кражами с отягчающими обстоятельствами, по своему характеру и по повышенной опасности подпадали под признаки кражи, совершенной во время пожара, наводнения или иного общественного бедствия, и должны были квалифицироваться по соответствующей статье Уголовного кодекса. Если же подобные кражи были совершены группой лиц, либо совершены неоднократно, или лицами, ранее судимыми за кражу, а также при особо отягчающих обстоятельствах, они должны были квалифицироваться как бандитизм (17460).</w:t>
      </w:r>
    </w:p>
    <w:p w14:paraId="047307A3"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4BF89AD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1B58B413" w14:textId="77777777" w:rsidR="00D4651C" w:rsidRPr="008127F8" w:rsidRDefault="00D4651C" w:rsidP="001E0A84">
      <w:pPr>
        <w:pStyle w:val="Iauiue"/>
        <w:jc w:val="both"/>
        <w:rPr>
          <w:iCs/>
          <w:color w:val="000000" w:themeColor="text1"/>
          <w:sz w:val="16"/>
          <w:szCs w:val="16"/>
        </w:rPr>
      </w:pPr>
    </w:p>
    <w:p w14:paraId="3500F67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января 1942 года было отправлено:</w:t>
      </w:r>
    </w:p>
    <w:p w14:paraId="00FB607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 В. СТАЛИН У. ЧЕРЧИЛЛЮ *</w:t>
      </w:r>
    </w:p>
    <w:p w14:paraId="46AF672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Благодарю за послание и проявляемую Вами заботу о хорошем развитии советско-американских отношений. Статья в “Правде”, на которую Вы ссылаетесь, отнюдь не имеет официального характера и, конечно, не направлена на какие-либо другие цели, кроме общих для наших стран интересов борьбы с агрессией. Со своей стороны Советское Правительство делает и, конечно, будет делать все возможное для дальнейшего укрепления советско-американских отношений (7430).</w:t>
      </w:r>
    </w:p>
    <w:p w14:paraId="521615EB" w14:textId="77777777" w:rsidR="00D4651C" w:rsidRPr="008127F8" w:rsidRDefault="00D4651C" w:rsidP="001E0A84">
      <w:pPr>
        <w:pStyle w:val="Iauiue"/>
        <w:jc w:val="both"/>
        <w:rPr>
          <w:color w:val="000000" w:themeColor="text1"/>
          <w:sz w:val="16"/>
          <w:szCs w:val="16"/>
        </w:rPr>
      </w:pPr>
    </w:p>
    <w:p w14:paraId="3453C53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0CC2B272" w14:textId="77777777" w:rsidR="00D4651C" w:rsidRPr="008127F8" w:rsidRDefault="00D4651C" w:rsidP="001E0A84">
      <w:pPr>
        <w:pStyle w:val="Iauiue"/>
        <w:jc w:val="both"/>
        <w:rPr>
          <w:iCs/>
          <w:color w:val="000000" w:themeColor="text1"/>
          <w:sz w:val="16"/>
          <w:szCs w:val="16"/>
        </w:rPr>
      </w:pPr>
    </w:p>
    <w:p w14:paraId="244467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января 1942 г Роммель был вынужден отступить от Агедабии (2261).</w:t>
      </w:r>
    </w:p>
    <w:p w14:paraId="6F437A28" w14:textId="77777777" w:rsidR="00D4651C" w:rsidRPr="008127F8" w:rsidRDefault="00D4651C" w:rsidP="001E0A84">
      <w:pPr>
        <w:pStyle w:val="Iauiue"/>
        <w:jc w:val="both"/>
        <w:rPr>
          <w:color w:val="000000" w:themeColor="text1"/>
          <w:sz w:val="16"/>
          <w:szCs w:val="16"/>
        </w:rPr>
      </w:pPr>
    </w:p>
    <w:p w14:paraId="0AB2368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71E1FB4E" w14:textId="77777777" w:rsidR="00D4651C" w:rsidRPr="008127F8" w:rsidRDefault="00D4651C" w:rsidP="001E0A84">
      <w:pPr>
        <w:pStyle w:val="Iauiue"/>
        <w:jc w:val="both"/>
        <w:rPr>
          <w:iCs/>
          <w:color w:val="000000" w:themeColor="text1"/>
          <w:sz w:val="16"/>
          <w:szCs w:val="16"/>
        </w:rPr>
      </w:pPr>
    </w:p>
    <w:p w14:paraId="0CF9D40A"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января 1942 г. за проявленную близорукость и непонимание текущего момента был снят с должно</w:t>
      </w:r>
      <w:r w:rsidRPr="008A2E5A">
        <w:rPr>
          <w:rFonts w:ascii="Times New Roman" w:hAnsi="Times New Roman"/>
          <w:color w:val="0070C0"/>
          <w:sz w:val="16"/>
          <w:szCs w:val="16"/>
        </w:rPr>
        <w:softHyphen/>
        <w:t>сти первый секретарь Куйбышевского обкома ВКП(б) М.Я. Канунников, а вместо него назначен бывший се</w:t>
      </w:r>
      <w:r w:rsidRPr="008A2E5A">
        <w:rPr>
          <w:rFonts w:ascii="Times New Roman" w:hAnsi="Times New Roman"/>
          <w:color w:val="0070C0"/>
          <w:sz w:val="16"/>
          <w:szCs w:val="16"/>
        </w:rPr>
        <w:softHyphen/>
        <w:t>кретарь Воронежского обкома ВКП(б) В.Д. Никитин, который прекрасно знал особенности работы авиаци</w:t>
      </w:r>
      <w:r w:rsidRPr="008A2E5A">
        <w:rPr>
          <w:rFonts w:ascii="Times New Roman" w:hAnsi="Times New Roman"/>
          <w:color w:val="0070C0"/>
          <w:sz w:val="16"/>
          <w:szCs w:val="16"/>
        </w:rPr>
        <w:softHyphen/>
        <w:t>онных заводов и их нужды и, что было очень важно, имел хорошо налаженные рабочие отношения с руко</w:t>
      </w:r>
      <w:r w:rsidRPr="008A2E5A">
        <w:rPr>
          <w:rFonts w:ascii="Times New Roman" w:hAnsi="Times New Roman"/>
          <w:color w:val="0070C0"/>
          <w:sz w:val="16"/>
          <w:szCs w:val="16"/>
        </w:rPr>
        <w:softHyphen/>
        <w:t>водящим составом и партийной организацией завода № 18 - головного по выпуску Ил-2.</w:t>
      </w:r>
    </w:p>
    <w:p w14:paraId="67482E1D"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через пару дней руководители куйбышевских авиазаводов с новой площадки были приглашены в обком ВКП(б), где Никитин провел с ними конструктив</w:t>
      </w:r>
      <w:r w:rsidRPr="008A2E5A">
        <w:rPr>
          <w:rFonts w:ascii="Times New Roman" w:hAnsi="Times New Roman"/>
          <w:color w:val="0070C0"/>
          <w:sz w:val="16"/>
          <w:szCs w:val="16"/>
        </w:rPr>
        <w:softHyphen/>
        <w:t>ное совещание по выработке совместных решений, на</w:t>
      </w:r>
      <w:r w:rsidRPr="008A2E5A">
        <w:rPr>
          <w:rFonts w:ascii="Times New Roman" w:hAnsi="Times New Roman"/>
          <w:color w:val="0070C0"/>
          <w:sz w:val="16"/>
          <w:szCs w:val="16"/>
        </w:rPr>
        <w:softHyphen/>
        <w:t>правленных на мобилизацию заводских коллективов и местных органов управления для резкого увеличения выпуска самолетов Ил-2 (23346).</w:t>
      </w:r>
    </w:p>
    <w:p w14:paraId="571E0E5D" w14:textId="77777777" w:rsidR="00153AEB" w:rsidRPr="008A2E5A" w:rsidRDefault="00153AEB" w:rsidP="00153AEB">
      <w:pPr>
        <w:spacing w:after="0" w:line="240" w:lineRule="auto"/>
        <w:jc w:val="both"/>
        <w:rPr>
          <w:rFonts w:ascii="Times New Roman" w:hAnsi="Times New Roman"/>
          <w:color w:val="0070C0"/>
          <w:sz w:val="16"/>
          <w:szCs w:val="16"/>
        </w:rPr>
      </w:pPr>
    </w:p>
    <w:p w14:paraId="0572D6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г. в ходе восковых испытаний ракетно-бронебойных снарядов РБС-82, РБС-132 и ракетно-осколочно-фугасных РОФС-132 на базе 47-й авиади</w:t>
      </w:r>
      <w:r w:rsidRPr="008127F8">
        <w:rPr>
          <w:rFonts w:ascii="Times New Roman" w:hAnsi="Times New Roman"/>
          <w:color w:val="000000" w:themeColor="text1"/>
          <w:sz w:val="16"/>
          <w:szCs w:val="16"/>
        </w:rPr>
        <w:softHyphen/>
        <w:t>визии Западного фронта летчики 312-го штурмового авиаполка подпол</w:t>
      </w:r>
      <w:r w:rsidRPr="008127F8">
        <w:rPr>
          <w:rFonts w:ascii="Times New Roman" w:hAnsi="Times New Roman"/>
          <w:color w:val="000000" w:themeColor="text1"/>
          <w:sz w:val="16"/>
          <w:szCs w:val="16"/>
        </w:rPr>
        <w:softHyphen/>
        <w:t>ковника Поморцева, которые проходили в период с 22 ноября 1941 г. по 22 января 1942 г., Капитан Заноздра в боевом вылете атаковал четыре танка с дистанции 600 м на пологом пикировании под углом 5-6° со ско</w:t>
      </w:r>
      <w:r w:rsidRPr="008127F8">
        <w:rPr>
          <w:rFonts w:ascii="Times New Roman" w:hAnsi="Times New Roman"/>
          <w:color w:val="000000" w:themeColor="text1"/>
          <w:sz w:val="16"/>
          <w:szCs w:val="16"/>
        </w:rPr>
        <w:softHyphen/>
        <w:t>ростью 370 км/ч. Разрывы снарядов взметнулись в районе цели в радиу</w:t>
      </w:r>
      <w:r w:rsidRPr="008127F8">
        <w:rPr>
          <w:rFonts w:ascii="Times New Roman" w:hAnsi="Times New Roman"/>
          <w:color w:val="000000" w:themeColor="text1"/>
          <w:sz w:val="16"/>
          <w:szCs w:val="16"/>
        </w:rPr>
        <w:softHyphen/>
        <w:t>се 50 м. Обтекаемая фраза «характер поражения заметить не удалось» и в этот раз, похоже, свидетельствовала о большой скорости носителя и малой боеприпаса. Младшему лейтенанту Балашову в этом вылете по</w:t>
      </w:r>
      <w:r w:rsidRPr="008127F8">
        <w:rPr>
          <w:rFonts w:ascii="Times New Roman" w:hAnsi="Times New Roman"/>
          <w:color w:val="000000" w:themeColor="text1"/>
          <w:sz w:val="16"/>
          <w:szCs w:val="16"/>
        </w:rPr>
        <w:softHyphen/>
        <w:t>везло больше. Он отстрелялся по колонне автомашин и гужевых повозок с дистанции 700 м на пикировании под углом 3-5° со скоростью 350 км/ч. Его попадание вызвало большой взрыв, уничтоживший весь транспорт в колонне на протяжении 50 м. Обломки автомобилей взлетали на высо</w:t>
      </w:r>
      <w:r w:rsidRPr="008127F8">
        <w:rPr>
          <w:rFonts w:ascii="Times New Roman" w:hAnsi="Times New Roman"/>
          <w:color w:val="000000" w:themeColor="text1"/>
          <w:sz w:val="16"/>
          <w:szCs w:val="16"/>
        </w:rPr>
        <w:softHyphen/>
        <w:t>ту до 70 м.</w:t>
      </w:r>
    </w:p>
    <w:p w14:paraId="21A072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тот же день состоялся и боевой вылет командира звена старшего лейтенанта Баранова. С юго-восточного направления он атаковшт желез</w:t>
      </w:r>
      <w:r w:rsidRPr="008127F8">
        <w:rPr>
          <w:rFonts w:ascii="Times New Roman" w:hAnsi="Times New Roman"/>
          <w:color w:val="000000" w:themeColor="text1"/>
          <w:sz w:val="16"/>
          <w:szCs w:val="16"/>
        </w:rPr>
        <w:softHyphen/>
        <w:t>нодорожный состав, находившийся на станции под погрузкой. Первый залп из двух снарядов с дистанции 1000 м пришелся по погрузочной пло</w:t>
      </w:r>
      <w:r w:rsidRPr="008127F8">
        <w:rPr>
          <w:rFonts w:ascii="Times New Roman" w:hAnsi="Times New Roman"/>
          <w:color w:val="000000" w:themeColor="text1"/>
          <w:sz w:val="16"/>
          <w:szCs w:val="16"/>
        </w:rPr>
        <w:softHyphen/>
        <w:t>щадке, где скопилось большое количество танков и автомашин. Осталь</w:t>
      </w:r>
      <w:r w:rsidRPr="008127F8">
        <w:rPr>
          <w:rFonts w:ascii="Times New Roman" w:hAnsi="Times New Roman"/>
          <w:color w:val="000000" w:themeColor="text1"/>
          <w:sz w:val="16"/>
          <w:szCs w:val="16"/>
        </w:rPr>
        <w:softHyphen/>
        <w:t>ные пять снарядов летчик выпустил по вагонам, отметив прямые попа</w:t>
      </w:r>
      <w:r w:rsidRPr="008127F8">
        <w:rPr>
          <w:rFonts w:ascii="Times New Roman" w:hAnsi="Times New Roman"/>
          <w:color w:val="000000" w:themeColor="text1"/>
          <w:sz w:val="16"/>
          <w:szCs w:val="16"/>
        </w:rPr>
        <w:softHyphen/>
        <w:t>дания в цель. «Вагоны разлетались в щепки, а в двух из них произошел сильный взрыв, сопровождавшийся облаком дыма». Всего уничтожено восемь вагонов (11402).</w:t>
      </w:r>
    </w:p>
    <w:p w14:paraId="2349B93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E54212A"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9 января 1942 г. ходе войсковых испытаний (вторых по счету) реактивных снарядов РБС-82, РБС-132 и РОФС-132 в 47-й сад капитан Заноздра 4 снарядами РОФС-132 с дистанции 600 м под углом планирова</w:t>
      </w:r>
      <w:r w:rsidRPr="008127F8">
        <w:rPr>
          <w:color w:val="000000" w:themeColor="text1"/>
          <w:sz w:val="16"/>
          <w:szCs w:val="16"/>
        </w:rPr>
        <w:softHyphen/>
        <w:t>ния 5—6° атаковал 4 немецких танка. Разрывы сна</w:t>
      </w:r>
      <w:r w:rsidRPr="008127F8">
        <w:rPr>
          <w:color w:val="000000" w:themeColor="text1"/>
          <w:sz w:val="16"/>
          <w:szCs w:val="16"/>
        </w:rPr>
        <w:softHyphen/>
        <w:t>рядов были в радиусе 50 м. Характер поражения заметить не удалось.</w:t>
      </w:r>
    </w:p>
    <w:p w14:paraId="5C893773"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младший лейтенант Балашов вел стрельбу снарядами РОФС-132 по колонне ав</w:t>
      </w:r>
      <w:r w:rsidRPr="008127F8">
        <w:rPr>
          <w:color w:val="000000" w:themeColor="text1"/>
          <w:sz w:val="16"/>
          <w:szCs w:val="16"/>
        </w:rPr>
        <w:softHyphen/>
        <w:t>томашин и повозок с дистанции 700 м. Снаряды упали посреди дороги, по которой двигалась ав</w:t>
      </w:r>
      <w:r w:rsidRPr="008127F8">
        <w:rPr>
          <w:color w:val="000000" w:themeColor="text1"/>
          <w:sz w:val="16"/>
          <w:szCs w:val="16"/>
        </w:rPr>
        <w:softHyphen/>
        <w:t>токолонна, и вызвали большой взрыв. Силой взры</w:t>
      </w:r>
      <w:r w:rsidRPr="008127F8">
        <w:rPr>
          <w:color w:val="000000" w:themeColor="text1"/>
          <w:sz w:val="16"/>
          <w:szCs w:val="16"/>
        </w:rPr>
        <w:softHyphen/>
        <w:t>ва обломки от автомашин подбросило на высоту до 70 м. Движение по дороге разорвалось метров на пятьдесят.</w:t>
      </w:r>
    </w:p>
    <w:p w14:paraId="172125E6"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9 января 1942 г. старший лейтенант Баранов вы</w:t>
      </w:r>
      <w:r w:rsidRPr="008127F8">
        <w:rPr>
          <w:color w:val="000000" w:themeColor="text1"/>
          <w:sz w:val="16"/>
          <w:szCs w:val="16"/>
        </w:rPr>
        <w:softHyphen/>
        <w:t>пустил по железнодорожному составу 7 РОФС-132. Атаку летчик произвел с юго-востока от железной дороги, а погрузка вагонов шла с северной сто</w:t>
      </w:r>
      <w:r w:rsidRPr="008127F8">
        <w:rPr>
          <w:color w:val="000000" w:themeColor="text1"/>
          <w:sz w:val="16"/>
          <w:szCs w:val="16"/>
        </w:rPr>
        <w:softHyphen/>
        <w:t>роны. Первый залп из 2 снарядов был выполнен с дистанции 1000 м, снаряды прошли над вагонами и разорвались на площадке, где в ожидании по</w:t>
      </w:r>
      <w:r w:rsidRPr="008127F8">
        <w:rPr>
          <w:color w:val="000000" w:themeColor="text1"/>
          <w:sz w:val="16"/>
          <w:szCs w:val="16"/>
        </w:rPr>
        <w:softHyphen/>
        <w:t>грузки скопилось большое количество автомашин и танков. Остальные 5 снарядов летчик выпустил непосредственно по вагонам и добился прямых попаданий. Всего было разбито 8 вагонов. В 2 ваго</w:t>
      </w:r>
      <w:r w:rsidRPr="008127F8">
        <w:rPr>
          <w:color w:val="000000" w:themeColor="text1"/>
          <w:sz w:val="16"/>
          <w:szCs w:val="16"/>
        </w:rPr>
        <w:softHyphen/>
        <w:t>нах произошел сильный взрыв, сопровождавший</w:t>
      </w:r>
      <w:r w:rsidRPr="008127F8">
        <w:rPr>
          <w:color w:val="000000" w:themeColor="text1"/>
          <w:sz w:val="16"/>
          <w:szCs w:val="16"/>
        </w:rPr>
        <w:softHyphen/>
        <w:t>ся облаком дыма, другие же вагоны разлетелись в щепки.</w:t>
      </w:r>
    </w:p>
    <w:p w14:paraId="6DB7AA57" w14:textId="77777777" w:rsidR="00277995" w:rsidRPr="008127F8" w:rsidRDefault="00277995" w:rsidP="001E0A84">
      <w:pPr>
        <w:pStyle w:val="12a"/>
        <w:shd w:val="clear" w:color="auto" w:fill="auto"/>
        <w:tabs>
          <w:tab w:val="left" w:pos="596"/>
        </w:tabs>
        <w:spacing w:after="0" w:line="240" w:lineRule="auto"/>
        <w:jc w:val="both"/>
        <w:rPr>
          <w:color w:val="000000" w:themeColor="text1"/>
          <w:sz w:val="16"/>
          <w:szCs w:val="16"/>
        </w:rPr>
      </w:pPr>
      <w:r w:rsidRPr="008127F8">
        <w:rPr>
          <w:color w:val="000000" w:themeColor="text1"/>
          <w:sz w:val="16"/>
          <w:szCs w:val="16"/>
        </w:rPr>
        <w:t>11 января 1942 Балашов нанес удар по скоплению автомашин и живой силы в населенном пункте. Условия стрельбы те же, как и в предыдущем вы</w:t>
      </w:r>
      <w:r w:rsidRPr="008127F8">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8127F8">
        <w:rPr>
          <w:color w:val="000000" w:themeColor="text1"/>
          <w:sz w:val="16"/>
          <w:szCs w:val="16"/>
        </w:rPr>
        <w:softHyphen/>
        <w:t>горелся.</w:t>
      </w:r>
    </w:p>
    <w:p w14:paraId="3A0EB7E1" w14:textId="77777777" w:rsidR="00277995" w:rsidRPr="008127F8" w:rsidRDefault="00277995" w:rsidP="001E0A84">
      <w:pPr>
        <w:pStyle w:val="12a"/>
        <w:shd w:val="clear" w:color="auto" w:fill="auto"/>
        <w:tabs>
          <w:tab w:val="left" w:pos="591"/>
        </w:tabs>
        <w:spacing w:after="0" w:line="240" w:lineRule="auto"/>
        <w:jc w:val="both"/>
        <w:rPr>
          <w:color w:val="000000" w:themeColor="text1"/>
          <w:sz w:val="16"/>
          <w:szCs w:val="16"/>
        </w:rPr>
      </w:pPr>
      <w:r w:rsidRPr="008127F8">
        <w:rPr>
          <w:color w:val="000000" w:themeColor="text1"/>
          <w:sz w:val="16"/>
          <w:szCs w:val="16"/>
        </w:rPr>
        <w:t>12 января 1942 стрельба РСами велась Балашовым также по скоплению живой силы и техники. Авто</w:t>
      </w:r>
      <w:r w:rsidRPr="008127F8">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61B0F858"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старший лейтенант Баранов ата</w:t>
      </w:r>
      <w:r w:rsidRPr="008127F8">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8127F8">
        <w:rPr>
          <w:color w:val="000000" w:themeColor="text1"/>
          <w:sz w:val="16"/>
          <w:szCs w:val="16"/>
        </w:rPr>
        <w:softHyphen/>
        <w:t>вод и автомашин с прислугой.</w:t>
      </w:r>
    </w:p>
    <w:p w14:paraId="5D343E5B"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Два реактивных снаряда летчик выпустил по ко</w:t>
      </w:r>
      <w:r w:rsidRPr="008127F8">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8127F8">
        <w:rPr>
          <w:color w:val="000000" w:themeColor="text1"/>
          <w:sz w:val="16"/>
          <w:szCs w:val="16"/>
        </w:rPr>
        <w:softHyphen/>
        <w:t>возок, куски лошадей и людей. Боясь повреждения самолета, Баранову пришлось резко «взять гор</w:t>
      </w:r>
      <w:r w:rsidRPr="008127F8">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38490299"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8127F8">
        <w:rPr>
          <w:color w:val="000000" w:themeColor="text1"/>
          <w:sz w:val="16"/>
          <w:szCs w:val="16"/>
        </w:rPr>
        <w:softHyphen/>
        <w:t>шин. Например, колесо от автомашины взлетело в воздух на высоту до 80 м примерно в 200 м впе</w:t>
      </w:r>
      <w:r w:rsidRPr="008127F8">
        <w:rPr>
          <w:color w:val="000000" w:themeColor="text1"/>
          <w:sz w:val="16"/>
          <w:szCs w:val="16"/>
        </w:rPr>
        <w:softHyphen/>
        <w:t>реди самолета, чтобы избежать столкновения, капи</w:t>
      </w:r>
      <w:r w:rsidRPr="008127F8">
        <w:rPr>
          <w:color w:val="000000" w:themeColor="text1"/>
          <w:sz w:val="16"/>
          <w:szCs w:val="16"/>
        </w:rPr>
        <w:softHyphen/>
        <w:t>тану пришлось отвернуть в сторону. По-видимому, снаряд попал в машину с боеприпасами.</w:t>
      </w:r>
    </w:p>
    <w:p w14:paraId="63F583BE"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13 января 1942 г. лейтенант Коротков вел стрельбу реактивными снарядами по населенно</w:t>
      </w:r>
      <w:r w:rsidRPr="008127F8">
        <w:rPr>
          <w:color w:val="000000" w:themeColor="text1"/>
          <w:sz w:val="16"/>
          <w:szCs w:val="16"/>
        </w:rPr>
        <w:softHyphen/>
        <w:t>му пункту и автомашинам в нем. Им было отмече</w:t>
      </w:r>
      <w:r w:rsidRPr="008127F8">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5CCBF9E5"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отчете о войсковых испытаниях реактивных снарядов РБС-82, РБС-132 и РОФС-132 в боевых ус</w:t>
      </w:r>
      <w:r w:rsidRPr="008127F8">
        <w:rPr>
          <w:color w:val="000000" w:themeColor="text1"/>
          <w:sz w:val="16"/>
          <w:szCs w:val="16"/>
        </w:rPr>
        <w:softHyphen/>
        <w:t>ловиях летный состав 47-й сад сделал следующие выводы:</w:t>
      </w:r>
    </w:p>
    <w:p w14:paraId="183EB949"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РБС-82 является мощным оружием истреби</w:t>
      </w:r>
      <w:r w:rsidRPr="008127F8">
        <w:rPr>
          <w:color w:val="000000" w:themeColor="text1"/>
          <w:sz w:val="16"/>
          <w:szCs w:val="16"/>
        </w:rPr>
        <w:softHyphen/>
        <w:t>тельной авиации для поражения танков, бронема</w:t>
      </w:r>
      <w:r w:rsidRPr="008127F8">
        <w:rPr>
          <w:color w:val="000000" w:themeColor="text1"/>
          <w:sz w:val="16"/>
          <w:szCs w:val="16"/>
        </w:rPr>
        <w:softHyphen/>
        <w:t>шин, бронепоездов и других объектов, имеющих броневое покрытие до 50 мм. Применение целесо</w:t>
      </w:r>
      <w:r w:rsidRPr="008127F8">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3956D8FF" w14:textId="77777777" w:rsidR="00277995" w:rsidRPr="008127F8" w:rsidRDefault="00277995" w:rsidP="001E0A84">
      <w:pPr>
        <w:pStyle w:val="12a"/>
        <w:shd w:val="clear" w:color="auto" w:fill="auto"/>
        <w:tabs>
          <w:tab w:val="left" w:pos="582"/>
        </w:tabs>
        <w:spacing w:after="0" w:line="240" w:lineRule="auto"/>
        <w:jc w:val="both"/>
        <w:rPr>
          <w:color w:val="000000" w:themeColor="text1"/>
          <w:sz w:val="16"/>
          <w:szCs w:val="16"/>
        </w:rPr>
      </w:pPr>
      <w:r w:rsidRPr="008127F8">
        <w:rPr>
          <w:color w:val="000000" w:themeColor="text1"/>
          <w:sz w:val="16"/>
          <w:szCs w:val="16"/>
        </w:rPr>
        <w:t>2) РБС-132 является мощным огневым сред</w:t>
      </w:r>
      <w:r w:rsidRPr="008127F8">
        <w:rPr>
          <w:color w:val="000000" w:themeColor="text1"/>
          <w:sz w:val="16"/>
          <w:szCs w:val="16"/>
        </w:rPr>
        <w:softHyphen/>
        <w:t>ством для поражения бронированных целей про</w:t>
      </w:r>
      <w:r w:rsidRPr="008127F8">
        <w:rPr>
          <w:color w:val="000000" w:themeColor="text1"/>
          <w:sz w:val="16"/>
          <w:szCs w:val="16"/>
        </w:rPr>
        <w:softHyphen/>
        <w:t>тивника стрельбой с самолетов штурмовиков и бомбардировщиков с горизонтального, планиру</w:t>
      </w:r>
      <w:r w:rsidRPr="008127F8">
        <w:rPr>
          <w:color w:val="000000" w:themeColor="text1"/>
          <w:sz w:val="16"/>
          <w:szCs w:val="16"/>
        </w:rPr>
        <w:softHyphen/>
        <w:t>ющего или пикирующего полета. В число этих це</w:t>
      </w:r>
      <w:r w:rsidRPr="008127F8">
        <w:rPr>
          <w:color w:val="000000" w:themeColor="text1"/>
          <w:sz w:val="16"/>
          <w:szCs w:val="16"/>
        </w:rPr>
        <w:softHyphen/>
        <w:t>лей могут входить: тяжелые танки, бронепоезда, ба</w:t>
      </w:r>
      <w:r w:rsidRPr="008127F8">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8127F8">
        <w:rPr>
          <w:color w:val="000000" w:themeColor="text1"/>
          <w:sz w:val="16"/>
          <w:szCs w:val="16"/>
        </w:rPr>
        <w:softHyphen/>
        <w:t>ным целям;</w:t>
      </w:r>
    </w:p>
    <w:p w14:paraId="53CF804F" w14:textId="77777777" w:rsidR="00277995" w:rsidRPr="008127F8" w:rsidRDefault="00277995" w:rsidP="001E0A84">
      <w:pPr>
        <w:pStyle w:val="12a"/>
        <w:shd w:val="clear" w:color="auto" w:fill="auto"/>
        <w:tabs>
          <w:tab w:val="left" w:pos="543"/>
        </w:tabs>
        <w:spacing w:after="0" w:line="240" w:lineRule="auto"/>
        <w:jc w:val="both"/>
        <w:rPr>
          <w:color w:val="000000" w:themeColor="text1"/>
          <w:sz w:val="16"/>
          <w:szCs w:val="16"/>
        </w:rPr>
      </w:pPr>
      <w:r w:rsidRPr="008127F8">
        <w:rPr>
          <w:color w:val="000000" w:themeColor="text1"/>
          <w:sz w:val="16"/>
          <w:szCs w:val="16"/>
        </w:rPr>
        <w:t>3) РОФС-132 является мощным снарядом оско</w:t>
      </w:r>
      <w:r w:rsidRPr="008127F8">
        <w:rPr>
          <w:color w:val="000000" w:themeColor="text1"/>
          <w:sz w:val="16"/>
          <w:szCs w:val="16"/>
        </w:rPr>
        <w:softHyphen/>
        <w:t>лочно-фугасного действия. Применение его на са</w:t>
      </w:r>
      <w:r w:rsidRPr="008127F8">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5A7A3016" w14:textId="77777777" w:rsidR="00277995" w:rsidRPr="008127F8" w:rsidRDefault="00277995" w:rsidP="001E0A84">
      <w:pPr>
        <w:pStyle w:val="12a"/>
        <w:shd w:val="clear" w:color="auto" w:fill="auto"/>
        <w:tabs>
          <w:tab w:val="left" w:pos="548"/>
        </w:tabs>
        <w:spacing w:after="0" w:line="240" w:lineRule="auto"/>
        <w:jc w:val="both"/>
        <w:rPr>
          <w:color w:val="000000" w:themeColor="text1"/>
          <w:sz w:val="16"/>
          <w:szCs w:val="16"/>
        </w:rPr>
      </w:pPr>
      <w:r w:rsidRPr="008127F8">
        <w:rPr>
          <w:color w:val="000000" w:themeColor="text1"/>
          <w:sz w:val="16"/>
          <w:szCs w:val="16"/>
        </w:rPr>
        <w:t xml:space="preserve">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w:t>
      </w:r>
      <w:r w:rsidRPr="008127F8">
        <w:rPr>
          <w:color w:val="000000" w:themeColor="text1"/>
          <w:sz w:val="16"/>
          <w:szCs w:val="16"/>
        </w:rPr>
        <w:lastRenderedPageBreak/>
        <w:t>противником. По единодушному заключению летчиков, летавших с РОФС-132, действие этого снаряда у цели исклю</w:t>
      </w:r>
      <w:r w:rsidRPr="008127F8">
        <w:rPr>
          <w:color w:val="000000" w:themeColor="text1"/>
          <w:sz w:val="16"/>
          <w:szCs w:val="16"/>
        </w:rPr>
        <w:softHyphen/>
        <w:t>чительно сильное и превосходящее «все ожида</w:t>
      </w:r>
      <w:r w:rsidRPr="008127F8">
        <w:rPr>
          <w:color w:val="000000" w:themeColor="text1"/>
          <w:sz w:val="16"/>
          <w:szCs w:val="16"/>
        </w:rPr>
        <w:softHyphen/>
        <w:t>ния». Действием РОФС-132 противнику нанесен большой ущерб;</w:t>
      </w:r>
    </w:p>
    <w:p w14:paraId="1C93B095" w14:textId="77777777" w:rsidR="00277995" w:rsidRPr="008127F8" w:rsidRDefault="00277995" w:rsidP="001E0A84">
      <w:pPr>
        <w:pStyle w:val="12a"/>
        <w:shd w:val="clear" w:color="auto" w:fill="auto"/>
        <w:tabs>
          <w:tab w:val="left" w:pos="529"/>
        </w:tabs>
        <w:spacing w:after="0" w:line="240" w:lineRule="auto"/>
        <w:jc w:val="both"/>
        <w:rPr>
          <w:color w:val="000000" w:themeColor="text1"/>
          <w:sz w:val="16"/>
          <w:szCs w:val="16"/>
        </w:rPr>
      </w:pPr>
      <w:r w:rsidRPr="008127F8">
        <w:rPr>
          <w:color w:val="000000" w:themeColor="text1"/>
          <w:sz w:val="16"/>
          <w:szCs w:val="16"/>
        </w:rPr>
        <w:t>5) метеорологические условия и обстановка на фронте не позволили полностью использовать ра</w:t>
      </w:r>
      <w:r w:rsidRPr="008127F8">
        <w:rPr>
          <w:color w:val="000000" w:themeColor="text1"/>
          <w:sz w:val="16"/>
          <w:szCs w:val="16"/>
        </w:rPr>
        <w:softHyphen/>
        <w:t>кетные бронебойные снаряды. Ввиду отсутствия скоплений бронетанковых сил противника на отве</w:t>
      </w:r>
      <w:r w:rsidRPr="008127F8">
        <w:rPr>
          <w:color w:val="000000" w:themeColor="text1"/>
          <w:sz w:val="16"/>
          <w:szCs w:val="16"/>
        </w:rPr>
        <w:softHyphen/>
        <w:t>денном участке фронта не было возможности ши</w:t>
      </w:r>
      <w:r w:rsidRPr="008127F8">
        <w:rPr>
          <w:color w:val="000000" w:themeColor="text1"/>
          <w:sz w:val="16"/>
          <w:szCs w:val="16"/>
        </w:rPr>
        <w:softHyphen/>
        <w:t>роко применять РБС и по инициативе оперативной группы в 47 АД были применены РОФС-132.</w:t>
      </w:r>
    </w:p>
    <w:p w14:paraId="68EA0FE1" w14:textId="77777777" w:rsidR="00277995" w:rsidRPr="008127F8" w:rsidRDefault="0027799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 время работы израсходовано: РБС-82 — 60 шт., РБС-132 — 80 шт., РОФС-132 — 200 шт.» (17500).</w:t>
      </w:r>
    </w:p>
    <w:p w14:paraId="76701D13" w14:textId="77777777" w:rsidR="00277995" w:rsidRPr="008127F8" w:rsidRDefault="00277995" w:rsidP="001E0A84">
      <w:pPr>
        <w:spacing w:after="0" w:line="240" w:lineRule="auto"/>
        <w:jc w:val="both"/>
        <w:rPr>
          <w:rFonts w:ascii="Times New Roman" w:hAnsi="Times New Roman"/>
          <w:color w:val="000000" w:themeColor="text1"/>
          <w:sz w:val="16"/>
          <w:szCs w:val="16"/>
        </w:rPr>
      </w:pPr>
    </w:p>
    <w:p w14:paraId="461869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9 января по 22 февраля 1942 проходили испытания первого опытного экз. тяжелого грузового планера (25 чел., 76 мм пушка с расчетом или танкетка К-27 с экипажем) Л.П.Курбалы КГ - Курбала-грузовой. Вед. л был В.П.Федоров и летали на этом двухбалочном, сделанный на основе проекта двухбалочного ДБ Л.П.Курбалы планере, в Сталинграде на деревообрабатываюбщем (тарном) заводе (94,82).</w:t>
      </w:r>
    </w:p>
    <w:p w14:paraId="3186AB66" w14:textId="77777777" w:rsidR="00D4651C" w:rsidRPr="008127F8" w:rsidRDefault="00D4651C" w:rsidP="001E0A84">
      <w:pPr>
        <w:pStyle w:val="Iauiue"/>
        <w:jc w:val="both"/>
        <w:rPr>
          <w:color w:val="000000" w:themeColor="text1"/>
          <w:sz w:val="16"/>
          <w:szCs w:val="16"/>
        </w:rPr>
      </w:pPr>
    </w:p>
    <w:p w14:paraId="166A44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января 1942 вышел приказ НКАП N 24с об организации производства 103 на заводе 22 (1526,18).</w:t>
      </w:r>
    </w:p>
    <w:p w14:paraId="05D91B15" w14:textId="77777777" w:rsidR="00D4651C" w:rsidRPr="008127F8" w:rsidRDefault="00D4651C" w:rsidP="001E0A84">
      <w:pPr>
        <w:pStyle w:val="Iauiue"/>
        <w:jc w:val="both"/>
        <w:rPr>
          <w:color w:val="000000" w:themeColor="text1"/>
          <w:sz w:val="16"/>
          <w:szCs w:val="16"/>
        </w:rPr>
      </w:pPr>
    </w:p>
    <w:p w14:paraId="74F0A8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января 1942 закончились гос. испытания Ер-2 с АМ-37 в НИИ ВВС, которые шли с 20 сентября 1941. У машины было усиленное шасси - 1250х400 вместо 1000-350 и крупнокалиберные пулеметы, а также бронирование кабины стрелков. Испытания окончились с положительной оценкой. дальность с 1000 - 2500 км (2391,10).</w:t>
      </w:r>
    </w:p>
    <w:p w14:paraId="4F820493" w14:textId="77777777" w:rsidR="00D4651C" w:rsidRPr="008127F8" w:rsidRDefault="00D4651C" w:rsidP="001E0A84">
      <w:pPr>
        <w:pStyle w:val="Iauiue"/>
        <w:jc w:val="both"/>
        <w:rPr>
          <w:color w:val="000000" w:themeColor="text1"/>
          <w:sz w:val="16"/>
          <w:szCs w:val="16"/>
        </w:rPr>
      </w:pPr>
    </w:p>
    <w:p w14:paraId="49F65E6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года. 8 часов вечера. Петляков в своем кабинете совместно со своим заместителем А.М.Изаксоном и начальником опытно-конструкторского отдела обсуждали вопросы модификации самолета ПЕ-2. В ходе разговора главного конструктора вызвали для переговоров по "ВЧ" связи. Петляков, возвратившись, был взволнован и сообщил, что получил указание явиться в Москву в связи с решением вопроса о новом моторе. Своим коллегам он сказал, что не может прибыть к наркому с результатами испытаний, а к его теоретическим выкладкам не смогут отнестись с должным доверием (11313).</w:t>
      </w:r>
    </w:p>
    <w:p w14:paraId="0B8FAD6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1FCB737"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9 ян</w:t>
      </w:r>
      <w:r w:rsidRPr="008127F8">
        <w:rPr>
          <w:rFonts w:ascii="Times New Roman" w:hAnsi="Times New Roman"/>
          <w:color w:val="000000" w:themeColor="text1"/>
          <w:sz w:val="16"/>
          <w:szCs w:val="16"/>
        </w:rPr>
        <w:softHyphen/>
        <w:t>варя по 22 февраля 1942 г. на аэродроме под Ста</w:t>
      </w:r>
      <w:r w:rsidRPr="008127F8">
        <w:rPr>
          <w:rFonts w:ascii="Times New Roman" w:hAnsi="Times New Roman"/>
          <w:color w:val="000000" w:themeColor="text1"/>
          <w:sz w:val="16"/>
          <w:szCs w:val="16"/>
        </w:rPr>
        <w:softHyphen/>
        <w:t>линградом проходили испытания опытного планера К-Г Курбылы. Летал В.П. Фёдоров. Буксировал планер ТБ-3. Испытания сразу же осложнились поломками, доработками, исправлениями производственного брака и корректировками проекта. Обнаружилась не</w:t>
      </w:r>
      <w:r w:rsidRPr="008127F8">
        <w:rPr>
          <w:rFonts w:ascii="Times New Roman" w:hAnsi="Times New Roman"/>
          <w:color w:val="000000" w:themeColor="text1"/>
          <w:sz w:val="16"/>
          <w:szCs w:val="16"/>
        </w:rPr>
        <w:softHyphen/>
        <w:t>достаточная прочность некоторых узлов.</w:t>
      </w:r>
    </w:p>
    <w:p w14:paraId="770D8E8C"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проведенных испытаний выяснили, что летные данные К-Г не соответствуют техническим требованиям из-за недостаточной прочности и пере- тяжеления конструкции. Однако благодаря возмож</w:t>
      </w:r>
      <w:r w:rsidRPr="008127F8">
        <w:rPr>
          <w:rFonts w:ascii="Times New Roman" w:hAnsi="Times New Roman"/>
          <w:color w:val="000000" w:themeColor="text1"/>
          <w:sz w:val="16"/>
          <w:szCs w:val="16"/>
        </w:rPr>
        <w:softHyphen/>
        <w:t>ности транспортирования тяжелых грузов, которой не было у других советских планеров, К-Г рекомендова</w:t>
      </w:r>
      <w:r w:rsidRPr="008127F8">
        <w:rPr>
          <w:rFonts w:ascii="Times New Roman" w:hAnsi="Times New Roman"/>
          <w:color w:val="000000" w:themeColor="text1"/>
          <w:sz w:val="16"/>
          <w:szCs w:val="16"/>
        </w:rPr>
        <w:softHyphen/>
        <w:t>ли к серийному производству, конечно, после устра</w:t>
      </w:r>
      <w:r w:rsidRPr="008127F8">
        <w:rPr>
          <w:rFonts w:ascii="Times New Roman" w:hAnsi="Times New Roman"/>
          <w:color w:val="000000" w:themeColor="text1"/>
          <w:sz w:val="16"/>
          <w:szCs w:val="16"/>
        </w:rPr>
        <w:softHyphen/>
        <w:t>нения всех замечаний (12300).</w:t>
      </w:r>
    </w:p>
    <w:p w14:paraId="5E227B55"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6BE24A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вышло Постановление ГКО № 1117 О поставке штамповок заводам Наркомавиапрома в 1942 году и I квартале 1942 г. и о мероприятиях по восстановлению и вводу в действие ковочных и штамповочных молотов. РГАНИР, Фонд ГКО, д. 19, лл. 1-4, 5-18 (11012).</w:t>
      </w:r>
    </w:p>
    <w:p w14:paraId="63402E0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03220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января 1942 года по приказу НКАП № 25с на площадях эвакуированных заводов №№ 219 и 120 началось восстановление производства цветного литья и изготовление авиаколес.</w:t>
      </w:r>
    </w:p>
    <w:p w14:paraId="0E0283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118D0D5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6B44C8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Директора:</w:t>
      </w:r>
    </w:p>
    <w:p w14:paraId="48DCE02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Вержинский Ю.И. – с мая 1937 года по октябрь 1937 года</w:t>
      </w:r>
    </w:p>
    <w:p w14:paraId="5C90DB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Калинин А.А. – с октября 1937 года по январь 1938 года</w:t>
      </w:r>
    </w:p>
    <w:p w14:paraId="3C32CD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Першин В.Г. – с января 1938 года по апрель 1941 года</w:t>
      </w:r>
    </w:p>
    <w:p w14:paraId="03FA5C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Жихарев И.А. – с апреля 1941 года по март 1951 года</w:t>
      </w:r>
    </w:p>
    <w:p w14:paraId="36CE05D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Лысов П.Н. – с марта 1951 года.</w:t>
      </w:r>
    </w:p>
    <w:p w14:paraId="18C3D2B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П. Лысов</w:t>
      </w:r>
    </w:p>
    <w:p w14:paraId="2B7791B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Балашиха, ст. Горенки или Москва, шоссе Энтузиастов 20-й км, дер. Горенки</w:t>
      </w:r>
    </w:p>
    <w:p w14:paraId="251F09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32A9432E" w14:textId="77777777" w:rsidR="00D4651C" w:rsidRPr="008127F8" w:rsidRDefault="00D4651C" w:rsidP="001E0A84">
      <w:pPr>
        <w:pStyle w:val="Iauiue"/>
        <w:jc w:val="both"/>
        <w:rPr>
          <w:color w:val="000000" w:themeColor="text1"/>
          <w:sz w:val="16"/>
          <w:szCs w:val="16"/>
        </w:rPr>
      </w:pPr>
    </w:p>
    <w:p w14:paraId="2283110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19321BA8" w14:textId="77777777" w:rsidR="00D4651C" w:rsidRPr="008127F8" w:rsidRDefault="00D4651C" w:rsidP="001E0A84">
      <w:pPr>
        <w:pStyle w:val="Iauiue"/>
        <w:jc w:val="both"/>
        <w:rPr>
          <w:iCs/>
          <w:color w:val="000000" w:themeColor="text1"/>
          <w:sz w:val="16"/>
          <w:szCs w:val="16"/>
        </w:rPr>
      </w:pPr>
    </w:p>
    <w:p w14:paraId="325BC0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года в связи с большим объемом опытных работ по созданию новых образцов КВ и совершенствованию серийных машин, главный конструктор ЧКЗ Ж. Котин обратился с письмом к наркому танковой промышленности В. Малышеву с просьбой разрешить:</w:t>
      </w:r>
    </w:p>
    <w:p w14:paraId="04E703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Создать при Кировском заводе Уральского комбината тяжелых танков центральный опытно-конструкторский отдел Наркомтанкпрома по тяжелым и средним танкам и дизель-моторам к ним;</w:t>
      </w:r>
    </w:p>
    <w:p w14:paraId="2D7227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Передать бывший опытный завод ЧТЗ под производственно-эксперементальную базу".</w:t>
      </w:r>
    </w:p>
    <w:p w14:paraId="0F68C6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Предложение Ж. Котина получила поддержку и 23 марта 1942 года на основании приказа по НКТП № 116 сс в Челябинске на базе бывшего опытного завода ЧТЗ и эвакуированного Харьковского станкостроительного завода им. Молотова создается опытный танко-моторный завод № 100 с его непосредственным подчинением наркомату танковой промышленности. Директором завода № 100 назначили Н. Ворошилова, главным инженером Н. Синева, главным конструктором А. Ермолаева, главным технологом Л. Кабардина. Новый завод расположился на площади в 7 гектаров между ЧКЗ и заводом № 200 в непосредственной близости от них.</w:t>
      </w:r>
    </w:p>
    <w:p w14:paraId="4186A9B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Задачи, поставленные перед заводом № 100 были следующие:</w:t>
      </w:r>
    </w:p>
    <w:p w14:paraId="662AED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Проведение опытных работ, связанных с усовершенствованием, модернизацией и изготовлением новых образцов танков и моторов к ним и их доводка.</w:t>
      </w:r>
    </w:p>
    <w:p w14:paraId="17E96E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Испытание серийных машин и их агрегатов для выявления их качества и тактико-технической характеристики.</w:t>
      </w:r>
    </w:p>
    <w:p w14:paraId="7136A5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Изучение и обобщение опыта иностранной и отечественной техники для использования его в конструкциях наших танков и их агрегатах.</w:t>
      </w:r>
    </w:p>
    <w:p w14:paraId="588B1C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Изыскание заменителей горючих и смазочных материалов, разработка инструкций по их применению и эксплуатации".</w:t>
      </w:r>
    </w:p>
    <w:p w14:paraId="6BC988C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этих целей завод имел свою производственную базу - литейный, кузнечно-термический, механический и инструментальный цеха (181 единица станочного оборудования). Всего на заводе работало чуть больше тысячи человек (1159 по состоянию на 1 июня 1942 года) (11056).</w:t>
      </w:r>
    </w:p>
    <w:p w14:paraId="2D90BC6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4982577"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9 января 1942 года начальник ГАБТУ КА Федоренко направил в адрес Берии, который заведовал, в том числе, и вооружением, письмо следующего содержания:</w:t>
      </w:r>
    </w:p>
    <w:p w14:paraId="7BE21799"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“Главным конструктором завода №92 генерал-майором технических войск тов. Грабиным установлено отечественное вооружение в 2-х английских танках “Матильда” и “Валентин”.</w:t>
      </w:r>
    </w:p>
    <w:p w14:paraId="2BB052D4"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танке “Валентин”, вместо английской 40 мм пушки и 7,92 мм пулемета, установлены наша 45 мм танковая пушка и пулемет ДТ.</w:t>
      </w:r>
    </w:p>
    <w:p w14:paraId="26664770"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Опытные образцы проходили испытания на заводе №92 в г. Горький и показывались в Москве.</w:t>
      </w:r>
    </w:p>
    <w:p w14:paraId="3CCF64E9"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На основании личного осмотра и материалов испытаний, считаю перевооружение английских танков нецелесообразным по следующим соображениям:</w:t>
      </w:r>
    </w:p>
    <w:p w14:paraId="7B5F1496"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Танк “Валентин”</w:t>
      </w:r>
    </w:p>
    <w:p w14:paraId="09A5A573"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45 мм танковая пушка по бронепробиваемости практически равноценна английской 40 мм, а поэтому имеет полный смысл для этого танка использовать английское вооружение, а свое беречь для отечественных машин.</w:t>
      </w:r>
    </w:p>
    <w:p w14:paraId="32C8D012"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Танк “Матильда”</w:t>
      </w:r>
    </w:p>
    <w:p w14:paraId="5CE30B38"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Установка 76 мм танковой пушки выполнена неудовлетворительно. В башне тесно и работать экипажу неудобно. Для установки 76 мм пушки требуются капитальные переделки в машине, а поэтому в танке “Матильда” также целесообразно оставить существующее вооружение.</w:t>
      </w:r>
    </w:p>
    <w:p w14:paraId="0D324487"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данное время боеприпасами английские танки обеспечены. Даже в случае недостатка английских снарядов будет более правильным наладить их производство у себя, тем более что снаряд к 40 мм пушке представляет цельную болванку с трассером, чем ставить в английском танке наше вооружение”.</w:t>
      </w:r>
    </w:p>
    <w:p w14:paraId="5C7BB912"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Насчёт поставок боеприпасов Федоренко не лукавил. В самом конце ноября 1941 года началась бурная переписка между ГАБТУ КА и британской военной миссией в СССР, которую в 1941–42 годах возглавлял генерал Фрэнк Ноэль Мейсон-Макфарлейн (в переписке фигурирует под фамилией Макфарлан). 5 декабря состоялась личная встреча Мейсона-Макфарлейна с Федоренко в Москве.</w:t>
      </w:r>
    </w:p>
    <w:p w14:paraId="1177D310"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итогам переговоров многие проблемы с поставками английских танков удалось в значительной степени разрешить. Для начала, англичане в систему охлаждения вместо воды стали заливать этиленгликоль. Чтобы незамерзающую смесь не сливали, на борта танков наносились соответствующие надписи на русском языке. Одновременно стали использоваться более устойчивые к морозам сорта смазки, что также положительно сказалось на зимней эксплуатации танков.</w:t>
      </w:r>
    </w:p>
    <w:p w14:paraId="3CE8D964"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Объём поставляемых из Великобритании боеприпасов был увеличен до 671 выстрела на танк, то есть почти до 10 боекомплектов. Наконец, наряду с обычными машинами, оснащёнными 2-фунтовыми пушками, была организована поставка танков Matilda IIICS, вооружённых 3-дюймовой (76 мм) гаубицей. У неё не было бронебойных снарядов, зато имелись осколочно-фугасные и дымовые. Партия Matilda IIICS прибыла 20 декабря 1941 года вместе с конвоем PQ-6. Этим же конвоем пришли и первые Matilda IV, машины самого массового типа «Матильд» из числа поставлявшихся англичанами. Всего в Советский Союз их было отправлено 915 штук (и еще 156 Matilda IVCS).</w:t>
      </w:r>
    </w:p>
    <w:p w14:paraId="4BE89D3B"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Впрочем, на деле причины, по которым работы по перевооружению «Матильды» оказались отменены, надо искать в другой плоскости. Во-первых, инициатором перевооружения выступила не ГАБТУ, а Главное артиллерийское управление (ГАУ). Очень непростые взаимоотношения этих двух ведомств вполне могли оказать влияние на конечный итог работ.</w:t>
      </w:r>
    </w:p>
    <w:p w14:paraId="35E4BA59"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Кроме того, Федоренко мог быть совсем не в восторге от того, что в качестве изготовителя комплектов для перевооружения английских танков должен был выступать завод №112. Предприятие с большим трудом осваивало выпуск Т-34 и только в декабре 1941 года, наконец, здесь удалось преодолеть планку в 100 выпущенных танков за месяц. Но всё ещё имели место проблемы с качеством продукции. Загружать завод №112 в такой ответственный момент ещё чем-то означало сорвать выпуск столь нужных фронту Т-34.</w:t>
      </w:r>
    </w:p>
    <w:p w14:paraId="22CDC0F9"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Да и с пушкой ЗИС-5 в тот момент было не всё гладко: их едва хватало для обеспечения выпуска отечественных КВ-1. Таким образом, у Федоренко были веские основания высказаться против проекта перевооружения «Матильды» на Ф-96.</w:t>
      </w:r>
    </w:p>
    <w:p w14:paraId="4A70E5BA"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Отмена перевооружения «Матильды», несмотря на имевшиеся объективные проблемы, всё же оказалась большой ошибкой. Уже к весне 1942 года 2-фунтовая пушка стала почти бесполезной против немецких танков. Эффективно бороться она могла в основном против машин лёгкого типа, а средние танки с лобовой бронёй 50 мм были для неё непробиваемы. Слабое вооружение, к слову, стало одной из причин, почему англичане сняли танки Matilda с вооружения.</w:t>
      </w:r>
    </w:p>
    <w:p w14:paraId="6829DF2B"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Установка пушки Ф-96 могла значительно повысить огневую мощь танка, не говоря уже о том, что в её боекомплекте появлялся осколочно-фугасный боеприпас. Жалобы на его отсутствие шли от экипажей «Матильд» до самого конца их эксплуатации (17662).</w:t>
      </w:r>
    </w:p>
    <w:p w14:paraId="29636338" w14:textId="77777777" w:rsidR="00C45232" w:rsidRPr="008127F8" w:rsidRDefault="00C4523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A0E1EF" w14:textId="77777777" w:rsidR="00964C9E" w:rsidRPr="008127F8" w:rsidRDefault="00964C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от маршала Федоренко, начальника ГАБТУ КА, последовал отрицательный вердикт в отношении перевооруженного на ЗИС-5 (в таком варианте пушку назвали Ф-96) танк Матильда. Он сослался на тесноту внутри машины, но на самом деле вердикт начальника ГАБТУ КА имел ряд других причин. Первая - в ГАБТУ явно не хотели, чтобы завод №112 загружали чем-то кроме Т-34. Вторая - производство ЗИС-5 и в начале января 1942 года находилось в сложном состоянии. Ситуация улучшилась только после запуска производства орудий на заводе №8 в Свердловске. Третья - даже если завод №112 загрузили выпуском деталей, требовалось растолкать ремзавод, который бы производил такое перевооружение. Не факт, что БТРЗ №82 таким стал бы заниматься. Наконец, еще в декабре 1941 года англичане решили проблему с запчастями. В СССР пошли и запасные стволы, и куда больше снарядов (в расчете на 10 боекомплектов), также с конвоем PQ-6 прибыли первые Matilda III CS. В результате особого смысла в перевооружении не имелось. Вместе с тем, переделка на Ф-34 (новая установка вооружения, с креплением на болтах, была введена на заводе №183) вполне могла решить проблему. Но... после всех описанных процессов необходимости в этом не имелось. Хотя войска просили усилить вооружение танка, или хотя бы внедрить осколочно-фугасные снаряды (22545).</w:t>
      </w:r>
    </w:p>
    <w:p w14:paraId="29085BAD" w14:textId="77777777" w:rsidR="00964C9E" w:rsidRPr="008127F8" w:rsidRDefault="00964C9E" w:rsidP="001E0A84">
      <w:pPr>
        <w:shd w:val="clear" w:color="auto" w:fill="FFFFFF"/>
        <w:spacing w:after="0" w:line="240" w:lineRule="auto"/>
        <w:jc w:val="both"/>
        <w:rPr>
          <w:rFonts w:ascii="Times New Roman" w:hAnsi="Times New Roman"/>
          <w:color w:val="000000" w:themeColor="text1"/>
          <w:sz w:val="16"/>
          <w:szCs w:val="16"/>
        </w:rPr>
      </w:pPr>
    </w:p>
    <w:p w14:paraId="64E212B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января 1942 года бронеавтомобиль ГАЗ, получивший обозначение БА-64, опробовали на ходу. Поскольку башню смонтировать не успели, пулемет ДТ разместили на открытой турели в верхнем люке. На следующий день машину показали К.Е.Ворошилову (3862).</w:t>
      </w:r>
    </w:p>
    <w:p w14:paraId="4FF4D93C" w14:textId="77777777" w:rsidR="00D4651C" w:rsidRPr="008127F8" w:rsidRDefault="00D4651C" w:rsidP="001E0A84">
      <w:pPr>
        <w:pStyle w:val="Iauiue"/>
        <w:jc w:val="both"/>
        <w:rPr>
          <w:color w:val="000000" w:themeColor="text1"/>
          <w:sz w:val="16"/>
          <w:szCs w:val="16"/>
        </w:rPr>
      </w:pPr>
    </w:p>
    <w:p w14:paraId="7F3EBC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г. ГАЗ был изготовлен опытный образец БА-64-125. В январе того же года бронеавтомо</w:t>
      </w:r>
      <w:r w:rsidRPr="008127F8">
        <w:rPr>
          <w:rFonts w:ascii="Times New Roman" w:hAnsi="Times New Roman"/>
          <w:color w:val="000000" w:themeColor="text1"/>
          <w:sz w:val="16"/>
          <w:szCs w:val="16"/>
        </w:rPr>
        <w:softHyphen/>
        <w:t>биль БА-64-125 прошел заводские испытания, с 21 по 23 февраля - по</w:t>
      </w:r>
      <w:r w:rsidRPr="008127F8">
        <w:rPr>
          <w:rFonts w:ascii="Times New Roman" w:hAnsi="Times New Roman"/>
          <w:color w:val="000000" w:themeColor="text1"/>
          <w:sz w:val="16"/>
          <w:szCs w:val="16"/>
        </w:rPr>
        <w:softHyphen/>
        <w:t>лигонные испытания на Софринском полигоне и полигоне завода № 8. Ведущим инженером машины был Г.М. Вассермап (10703).</w:t>
      </w:r>
    </w:p>
    <w:p w14:paraId="24C1E0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3CC4A555" w14:textId="77777777" w:rsidR="009F7673" w:rsidRPr="008127F8" w:rsidRDefault="009F7673"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января 1942 года ГАЗ-64-125 совершил первый пробег. Новый бронеавтомобиль изготавливался на базе полноприводного автомобиля ГАЗ-64, производство которого началось в августе 1941 года. Для установки бронекорпуса шасси пришлось переработать – изменить расположение педалей, рычагов, установить амортизатор от ГАЗ М-1 и торсионный стабилизатор боковой устойчивости на задней подвеске, установить бензобак повышенной емкости, несколько укоротить раму и т.д. Корпус машины сваривался из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15 мм</w:t>
        </w:r>
      </w:smartTag>
      <w:r w:rsidRPr="008127F8">
        <w:rPr>
          <w:rFonts w:ascii="Times New Roman" w:hAnsi="Times New Roman"/>
          <w:color w:val="000000" w:themeColor="text1"/>
          <w:sz w:val="16"/>
          <w:szCs w:val="16"/>
        </w:rPr>
        <w:t xml:space="preserve"> бронелистов, установленных под большими углами наклона к вертикали для лучшей пулестойкости. Форма бронекорпуса во многом была заимствована от ЛБ-62 и немецкого броневика </w:t>
      </w:r>
      <w:r w:rsidRPr="008127F8">
        <w:rPr>
          <w:rFonts w:ascii="Times New Roman" w:hAnsi="Times New Roman"/>
          <w:color w:val="000000" w:themeColor="text1"/>
          <w:sz w:val="16"/>
          <w:szCs w:val="16"/>
          <w:lang w:val="en-US"/>
        </w:rPr>
        <w:t>Sd</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Kfz</w:t>
      </w:r>
      <w:r w:rsidRPr="008127F8">
        <w:rPr>
          <w:rFonts w:ascii="Times New Roman" w:hAnsi="Times New Roman"/>
          <w:color w:val="000000" w:themeColor="text1"/>
          <w:sz w:val="16"/>
          <w:szCs w:val="16"/>
        </w:rPr>
        <w:t xml:space="preserve">. 221. Для посадки экипажа (водитель и командир) в бортах корпуса имелись две двери. Наблюдение за дорогой водитель вел через небольшой лючок в лобовом листе корпуса со смотровой щелью, закрытой стеклоблоком «Триплекс» от танка Т-60. Вооружение – пулемет ДТ – размещалось во вращающейся восьмигранной башне, которая крепилась к тумбе, установленной на полу машины. Боекомплект состоял из 20 магазинов к пулемету (1260 патронов). Установка пулемета обеспечивала ведение огня как по наземным, так и по воздушным целям (угол возвышения 75 градусов). Башня не имела крыши, а закрывалась сверху откидными противогранатными сетками (по типу немецких бронемашин </w:t>
      </w:r>
      <w:r w:rsidRPr="008127F8">
        <w:rPr>
          <w:rFonts w:ascii="Times New Roman" w:hAnsi="Times New Roman"/>
          <w:color w:val="000000" w:themeColor="text1"/>
          <w:sz w:val="16"/>
          <w:szCs w:val="16"/>
          <w:lang w:val="en-US"/>
        </w:rPr>
        <w:t>Sd</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Kfz</w:t>
      </w:r>
      <w:r w:rsidRPr="008127F8">
        <w:rPr>
          <w:rFonts w:ascii="Times New Roman" w:hAnsi="Times New Roman"/>
          <w:color w:val="000000" w:themeColor="text1"/>
          <w:sz w:val="16"/>
          <w:szCs w:val="16"/>
        </w:rPr>
        <w:t xml:space="preserve">. 221 и </w:t>
      </w:r>
      <w:r w:rsidRPr="008127F8">
        <w:rPr>
          <w:rFonts w:ascii="Times New Roman" w:hAnsi="Times New Roman"/>
          <w:color w:val="000000" w:themeColor="text1"/>
          <w:sz w:val="16"/>
          <w:szCs w:val="16"/>
          <w:lang w:val="en-US"/>
        </w:rPr>
        <w:t>Sd</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Kfz</w:t>
      </w:r>
      <w:r w:rsidRPr="008127F8">
        <w:rPr>
          <w:rFonts w:ascii="Times New Roman" w:hAnsi="Times New Roman"/>
          <w:color w:val="000000" w:themeColor="text1"/>
          <w:sz w:val="16"/>
          <w:szCs w:val="16"/>
        </w:rPr>
        <w:t xml:space="preserve"> .222). Для наблюдения за полем боя командир, находящийся в башне, имел в своем распоряжении две смотровые щели со стеклами «Триплекс» в правом и левом бортах. Бронеавтомобиль оборудовался радиостанцией РБ со штыревой антенной. Броневик имел характерные черты машины, изготовленной в тяжелое военное время – минимум контрольных приборов на щитке водителя (спидометр и аэротермометр), упрощенное электрооборудование (например, была только одна передняя фара), только самый необходимый ЗИП (15218).</w:t>
      </w:r>
    </w:p>
    <w:p w14:paraId="5F077C8D" w14:textId="77777777" w:rsidR="009F7673" w:rsidRPr="008127F8" w:rsidRDefault="009F7673" w:rsidP="001E0A84">
      <w:pPr>
        <w:widowControl w:val="0"/>
        <w:spacing w:after="0" w:line="240" w:lineRule="auto"/>
        <w:jc w:val="both"/>
        <w:rPr>
          <w:rFonts w:ascii="Times New Roman" w:hAnsi="Times New Roman"/>
          <w:color w:val="000000" w:themeColor="text1"/>
          <w:sz w:val="16"/>
          <w:szCs w:val="16"/>
        </w:rPr>
      </w:pPr>
    </w:p>
    <w:p w14:paraId="3D4222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г. были подготовлены СООБРАЖЕНИЯ НАЧАЛЬНИКА ГАБТУ В НКВТ ПО ФОРМИРОВАНИЮ ЗАКАЗОВ НА ГРУЗОВЫЕ ИМПОРТНЫЕ АВТОМАШИНЫ</w:t>
      </w:r>
    </w:p>
    <w:p w14:paraId="2D3D52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председателя в/о «Техноимпорта» обратился в ГАБТУ КА с просьбой сообщить:</w:t>
      </w:r>
    </w:p>
    <w:p w14:paraId="2497F3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необходимое соотношение 1,5 тонных, 2,5 тонных и 3-х тонных грузовиков, закупаемых в Америке;</w:t>
      </w:r>
    </w:p>
    <w:p w14:paraId="7477C9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имеется ли потребность в 5-ти тонных и более тяжелых грузовиках;</w:t>
      </w:r>
    </w:p>
    <w:p w14:paraId="328AC94A"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3) какой процент из закупаемых грузовиков желательно иметь со всеми ведущими колесами. Докладываю, что при заказе автомашин крайне желательно отказаться от значительной много-марочности, что имеет место в данное время, так как затрудняет эксплуатацию, снабжение запчастями и ремонт автомашин. Необходимо количество различных марок грузовых автомашин ограничить 3-4 типами.</w:t>
      </w:r>
    </w:p>
    <w:p w14:paraId="1158F24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оформлении заказов на грузовые автомобили желательно соблюдать следующее соотноше</w:t>
      </w:r>
      <w:r w:rsidRPr="008127F8">
        <w:rPr>
          <w:rFonts w:ascii="Times New Roman" w:hAnsi="Times New Roman"/>
          <w:color w:val="000000" w:themeColor="text1"/>
          <w:sz w:val="16"/>
          <w:szCs w:val="16"/>
        </w:rPr>
        <w:softHyphen/>
        <w:t xml:space="preserve">ние в тоннаже: 2-х тонных машин — 20%, 2,5-3-х тонных — 70%, более </w:t>
      </w:r>
      <w:proofErr w:type="gramStart"/>
      <w:r w:rsidRPr="008127F8">
        <w:rPr>
          <w:rFonts w:ascii="Times New Roman" w:hAnsi="Times New Roman"/>
          <w:color w:val="000000" w:themeColor="text1"/>
          <w:sz w:val="16"/>
          <w:szCs w:val="16"/>
        </w:rPr>
        <w:t>5 тонных</w:t>
      </w:r>
      <w:proofErr w:type="gramEnd"/>
      <w:r w:rsidRPr="008127F8">
        <w:rPr>
          <w:rFonts w:ascii="Times New Roman" w:hAnsi="Times New Roman"/>
          <w:color w:val="000000" w:themeColor="text1"/>
          <w:sz w:val="16"/>
          <w:szCs w:val="16"/>
        </w:rPr>
        <w:t xml:space="preserve"> и более тяжелых гру</w:t>
      </w:r>
      <w:r w:rsidRPr="008127F8">
        <w:rPr>
          <w:rFonts w:ascii="Times New Roman" w:hAnsi="Times New Roman"/>
          <w:color w:val="000000" w:themeColor="text1"/>
          <w:sz w:val="16"/>
          <w:szCs w:val="16"/>
        </w:rPr>
        <w:softHyphen/>
        <w:t>зовых автомашин — 10%.</w:t>
      </w:r>
    </w:p>
    <w:p w14:paraId="1C5351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менее 80% всех закупаемых машин желательно получить со всеми ведущими колесами.</w:t>
      </w:r>
    </w:p>
    <w:p w14:paraId="437709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распоряжений.</w:t>
      </w:r>
    </w:p>
    <w:p w14:paraId="48A726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ГАБТУ КА генерал-майор технических войск Лебедев</w:t>
      </w:r>
    </w:p>
    <w:p w14:paraId="4F8BA6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3B894794"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ЦАМО. Ф. 38. Оп. 11386. Д. 123. Л. 5. Копия (11211).</w:t>
      </w:r>
    </w:p>
    <w:p w14:paraId="1C8BD036" w14:textId="77777777" w:rsidR="00D4651C" w:rsidRPr="008127F8" w:rsidRDefault="00D4651C" w:rsidP="001E0A84">
      <w:pPr>
        <w:pStyle w:val="afff5"/>
        <w:jc w:val="both"/>
        <w:rPr>
          <w:i w:val="0"/>
          <w:iCs w:val="0"/>
          <w:color w:val="000000" w:themeColor="text1"/>
          <w:spacing w:val="0"/>
          <w:position w:val="0"/>
          <w:sz w:val="16"/>
          <w:szCs w:val="16"/>
        </w:rPr>
      </w:pPr>
    </w:p>
    <w:p w14:paraId="3ABF5A1F"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9 января 1942 года было сообщение военпреда Бирюкова своему начальнику бригадному инженеру Лейкину о том, как обстояли дела в Уфе.</w:t>
      </w:r>
    </w:p>
    <w:p w14:paraId="59F11B12"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«Филиал Щелковского завода № 191 находится на крекингзаводе в 20-25 км. от Уфы. Завод начал прибывать с конца ноября и еще не прибыл до сегодняшнего дня.</w:t>
      </w:r>
    </w:p>
    <w:p w14:paraId="11A86A24"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На сегодняшний день прибыло 11 вагонов оборудования и 10 вагонов с людьми. В пути еще находится 15 вагонов оборудования.</w:t>
      </w:r>
    </w:p>
    <w:p w14:paraId="04FCB070"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Завод прибыл некомплектно. Работать с прибывшим оборудованием не может. После прибытия 15 вагонов оборудования завод может организовать шесть линеек. Четыре линейки стеклянных – из них одна для малогабаритных ламп типа СО-241, СО-243 и др., а остальные для нормальных бариевых ламп.</w:t>
      </w:r>
    </w:p>
    <w:p w14:paraId="6D09657E"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Есть еще две линейки металлических ламп. Помещение – бывшая школа. Под производство годится.</w:t>
      </w:r>
    </w:p>
    <w:p w14:paraId="1C878471"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Предполагаемый срок пуска – неопределенный. Ждут прибытия оборудования и постройки газопровода длиною 1 км. В Наркомате решается вопрос о дальнейшем его существовании. Есть варианты вернуть его в Москву на территорию Электрозавода. Директор считает необходимым отправить в Москву только часть или даже оставить завод здесь. Завод имеет небольшое количество незавершенки и готовых изделий, но и это малое количество распределяет сам нарком.</w:t>
      </w:r>
    </w:p>
    <w:p w14:paraId="15F0ABA9"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На заводе есть военпред ВМФ. Военпредов ГУС КА нет» (17424).</w:t>
      </w:r>
    </w:p>
    <w:p w14:paraId="4CF6263F"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1A260D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Военный совет фронта постановил возложить подготовку кораблей КБФ к боевым действиям в весенне-летний период на судостроительные заводы Ленинграда, при активном участии личного состава кораблей. В связи с этим 19 тыс. рабочих и ИТР были освобождены от всех видов трудовой и воинской повинности (10671).</w:t>
      </w:r>
    </w:p>
    <w:p w14:paraId="40CEFD6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FDCC1F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330A279A" w14:textId="77777777" w:rsidR="00D4651C" w:rsidRPr="008127F8" w:rsidRDefault="00D4651C" w:rsidP="001E0A84">
      <w:pPr>
        <w:pStyle w:val="Iauiue"/>
        <w:jc w:val="both"/>
        <w:rPr>
          <w:iCs/>
          <w:color w:val="000000" w:themeColor="text1"/>
          <w:sz w:val="16"/>
          <w:szCs w:val="16"/>
        </w:rPr>
      </w:pPr>
    </w:p>
    <w:p w14:paraId="279E16FD"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76E4ABCB"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9 января наши войска вели бои с противником на всех фронтах.</w:t>
      </w:r>
    </w:p>
    <w:p w14:paraId="3D9F7A5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Наша часть, действующая на одном из участков Западного фронта, ведя ожесточённые бои с противником, овладела 4 населёнными пунктами и захватила трофеи: 19 пулемётов, пушку, 2 миномёта, 160 винтовок, 8.000 патронов, 5 радиостанций и много другого военного имущества. На другом участке фронта часть тов. Селезнёва выбила противника из 3 населённых пунктов, разгромила штаб немецкого батальона, уничтожила 2 танка и захватила орудие, миномёт, 27 пулемётов, 3 мотоцикла, 8.000 снарядов. На поле боя осталось около 300 трупов вражеских солдат и офицеров.</w:t>
      </w:r>
    </w:p>
    <w:p w14:paraId="2A243ABC"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города Мещовска нашими бойцами, по предварительным подсчётам, захвачено 16 орудий, 1.000 снарядов, 13 автомашин, 20 мотоциклов, много пулемётов, винтовок и другого военного имущества. Истреблено 2 батальона пехоты противника.</w:t>
      </w:r>
    </w:p>
    <w:p w14:paraId="4AEE18CF"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Бияка (Ленинградский фронт) за 5 дней боевых действий в тылу у противника уничтожили 20 вражеских автомашин, 10 повозок с боеприпасами и истребили 250 немецких солдат и офицеров.</w:t>
      </w:r>
    </w:p>
    <w:p w14:paraId="2B3AA73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Расчёты противотанковых орудий старшего сержанта Лушникова, сержантов Краснобородкина и Емельянова за один день подбили 3 вражеских танка. В тот же день, выкатив своё орудие на открытую огневую позицию, тов. Лушников и наводчик Якименко прямой наводкой уничтожили свыше 40 вражеских солдат и 4 станковых пулемёта.</w:t>
      </w:r>
    </w:p>
    <w:p w14:paraId="042E1060"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Лыжный партизанский отряд тов. К., действующий в одном из районов Ленинградской области, оккупированных немцами, за 10 дней взорвал на ряде участков железнодорожное полотно, пустил под откос два воинских эшелона с военным грузом, уничтожил вражескую автоколонну и несколько десятков немецких солдат. В деревне К. отряд атаковал немецкое подразделение. Выбежавших из домов фашистов партизаны расстреливали из автоматов. Возле деревни С. партизаны напали на финский карательный отряд. Во время перестрелки партизаны истребили 22 белофинских солдат.</w:t>
      </w:r>
    </w:p>
    <w:p w14:paraId="7636DE1B"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Рихард Биркнер сообщает в письме своим родителям, проживающим в городе Мюнстере: «Список убитых солдат каждый день увеличивается. Три раза нам присылали пополнения, но они уже истреблены, и у нас опять большой недокомплект. Теперь мы уже перестали получать резервистов. Видимо, действительно наши резервы исчерпываются. Я думаю, что мы все погибнем здесь».</w:t>
      </w:r>
    </w:p>
    <w:p w14:paraId="31F3AA98"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Солдату Иоганну пишет его знакомая из Мюленбаха: «... В Мюленбахе всех призвали. Здесь будто всё вымерло...» Солату Иозефу сообщает его знакомая Рези Мюльбауэр из Ветцельберга: «...Столько народу уже поплатилось жизнью. У нас никого не осталось, одни только пленные — французы и поляки...».</w:t>
      </w:r>
    </w:p>
    <w:p w14:paraId="6BE45B90"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Червинная Лука, Ленинградской области, немецкие бандиты схватили 5 ни в чём не повинных крестьян, в том числе 58-летнего Евдокимова. Фашисты всячески издевались над своими жертвами, заставили их приготовить для себя петли, а потом повесили.</w:t>
      </w:r>
    </w:p>
    <w:p w14:paraId="3299950E"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и итальянские оккупанты продолжают вывозить из Греции продовольствие, табак и вино. В стране царит голод. С января по всей Греции вновь уменьшена норма выдачи хлеба. 3 января в греческом порту Салоники портовые рабочие отказались грузить продовольствие на германский пароход. В связи с этим произошли столкновения между рабочими и оккупантами.» (15004).</w:t>
      </w:r>
    </w:p>
    <w:p w14:paraId="48F809BC"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6E9A4E5B"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30BCE9D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января на ряде участков фронта наши войска, преодолевая сопротивление противника и нанося ему удары, продолжали продвигаться вперёд и заняли несколько населённых пунктов, в числе их г. Мосальск, Детчино, Серпейск. Немецкие войска несут тяжёлые потери.</w:t>
      </w:r>
    </w:p>
    <w:p w14:paraId="5A632BBA"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января уничтожено 19 немецких самолётов. Наши потери — 5 самолётов.</w:t>
      </w:r>
    </w:p>
    <w:p w14:paraId="299163E0"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Баренцовом море потоплен транспорт противника.</w:t>
      </w:r>
    </w:p>
    <w:p w14:paraId="49B15207"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части нашей авиации уничтожили 7 немецких танков, бронемашину, свыше 750 автомашин с пехотой и грузами, 38 орудий с прислугой, 475 повозок с боеприпасами, 3 трактора, 9 зенитно-пулемётных точек, 7 автоцистерн с горючим, сожгли 47 железнодорожных вагонов, взорвали 2 склада боеприпасов, рассеяли и частью истребили 7 батальонов пехоты противника.</w:t>
      </w:r>
    </w:p>
    <w:p w14:paraId="32A4C596"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один день боёв с противником заняла два населённых пункта и захватила 2 орудия, миномёт, несколько пулемётов и большое количество боеприпасов. Истреблено около 100 немецких солдат и офицеров. На другом участке противник, пытаясь остановить наступление наших частей, перешёл в контратаку. Подпустив немцев на близкое расстояние, наши бойцы открыли по ним ураганный пулемётный огонь. Оставив на поле боя около 300 убитых солдат, немцы отступили. В результате сражения, длившегося весь день, наша часть заняла 3 населённых пункта и захватила 6 орудий, 14 пулемётов, 3 миномёта, 16 автомашин и другие трофеи.</w:t>
      </w:r>
    </w:p>
    <w:p w14:paraId="763CECAC"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из частей тов. Федюнинского за два дня боёв уничтожила 7 вражеских блиндажей, 5 огневых точек, истребила 200 солдат и офицеров противника и разгромила штаб 291 немецкой пехотной дивизии. Захвачены важные документы. Взяты трофеи: 2 орудия, 2 трактора, несколько автомашин, 200 мин и другое военное имущество.</w:t>
      </w:r>
    </w:p>
    <w:p w14:paraId="1A5072E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Береговая артиллерия Балтийского флота подавила 5 немецких тяжёлых орудийных батарей.</w:t>
      </w:r>
    </w:p>
    <w:p w14:paraId="1B53E6E6"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адъютант первого батальона одной нашей части тов. Левченко в бою за населённый пункт с группой бойцов в 15 человек обратил в паническое бегство роту противника. Тов. Левченко лично уничтожил 13 немцев, в том числе 3 офицеров.</w:t>
      </w:r>
    </w:p>
    <w:p w14:paraId="7CCDD22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Замечательный подвиг совершил тульский партизан тов. Р. Ночью он пробрался в расположение крупной немецкой части и сделал отводку от телефонного провода, идущего из вражеского штаба на передовые позиции. Отводку тов. Р. соединил с телефонной станцией нашей части. Таким образом удалось выяснить планы немецкого командования на этом участке фронта. Определив наиболее уязвимые пункты вражеской обороны, наша часть пошла в атаку и в тот же день заняла село Д. Противник бежал, оставив в селе много вооружения и боеприпасов.</w:t>
      </w:r>
    </w:p>
    <w:p w14:paraId="7F032E40"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военнопленный обер-ефрейтор 1 полка дивизии СС «Мёртвая голова» Вернер Зальбек рассказал, что он до ноября был шофёром во втором взводе пропаганды, приданном дивизии «Мёртвая голова», и был свидетелем того, как стряпались лживые «известия с фронта». Зальбек сообщил: «У Луги мы 3 недели топтались на одном месте, а наши корреспонденты писали каждый день о быстром продвижении вперёд. Взвод пропаганды фабрикует фальшивки, фальсифицирует факты. Когда мы занимали какой-либо населённый пункт, фотографы по приказу командира взвода обер-лейтенанта Рюле с помощью солдат сгоняли местных жителей к полуразрушенным постройкам или нежилым домам. Здесь жителей раздевали, напяливали на них тряпьё и приказывали им занимать позу по усмотрению фотографов. Эти снимки немедля отсылались в Германию для опубликования в газетах со следующей подписью: «Так живут в России».</w:t>
      </w:r>
    </w:p>
    <w:p w14:paraId="38124D9A"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Иоганна Хауэра найдено письмо от матери из Штадлерна. В письме, между прочим, говорится: «...Макс Шурлер был уволен по болезни желудка, но теперь он опять получил повестку. Когда в армию берут здоровых молодых людей, это мне понятно. Когда же в армию массами сгоняют стариков, калек и больных, этого я никак понять не могу».</w:t>
      </w:r>
    </w:p>
    <w:p w14:paraId="3137ECA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9 пехотного полка 7 финской пехотной дивизии Хоупонен сообщил, что в Хельсинки и в других городах Финляндии драки между финскими и немецкими солдатами стали обычным явлением. Во время столкновений, нередко заканчивающихся убийством немцев, население городов деятельно помогает финским солдатам бить гитлеровцев.</w:t>
      </w:r>
    </w:p>
    <w:p w14:paraId="497DB49B"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ряде городов и селений Франции немецкие оккупационные власти опубликовали категорическое предписание всему населению немедленно под угрозой военно-полевого суда сдать все тёплые вещи. Отряды штурмовиков врываются в квартиры и насильно забирают зимнюю одежду, тёплое бельё, меха, одеяла. Фашисты останавливают на улицах прохожих и снимают с них перчатки, шапки и тёплую одежду. В городе Бетюн оккупанты застрелили трёх французов, отказавшихся отдать фашистам тёплые шарфы и перчатки.</w:t>
      </w:r>
    </w:p>
    <w:p w14:paraId="7686692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Армении внесли в фонд обороны СССР 14.290 тысяч рублей, 1.320 граммов золота, 150 килограммов серебра. Колхозники Армении сдали в фонд обороны 5.590 центнеров мяса, 4.260 килограммов шерсти и 41.690 пудов зерна.» (15004).</w:t>
      </w:r>
    </w:p>
    <w:p w14:paraId="1D7D3558"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677436BA" w14:textId="77777777" w:rsidR="009F7673" w:rsidRPr="008127F8" w:rsidRDefault="009F7673" w:rsidP="001E0A84">
      <w:pPr>
        <w:pStyle w:val="Iauiue"/>
        <w:jc w:val="both"/>
        <w:rPr>
          <w:color w:val="000000" w:themeColor="text1"/>
          <w:sz w:val="16"/>
          <w:szCs w:val="16"/>
        </w:rPr>
      </w:pPr>
      <w:r w:rsidRPr="008127F8">
        <w:rPr>
          <w:color w:val="000000" w:themeColor="text1"/>
          <w:sz w:val="16"/>
          <w:szCs w:val="16"/>
        </w:rPr>
        <w:t>С 9 января по 6 февраля 1942 была Торопецко-Холмская операция и продвинулись на 250 км обойдя с юга демянскую и с запада ржевско-вяземскую группировки (2443,197).</w:t>
      </w:r>
    </w:p>
    <w:p w14:paraId="70645B87" w14:textId="77777777" w:rsidR="009F7673" w:rsidRPr="008127F8" w:rsidRDefault="009F7673" w:rsidP="001E0A84">
      <w:pPr>
        <w:pStyle w:val="Iauiue"/>
        <w:jc w:val="both"/>
        <w:rPr>
          <w:color w:val="000000" w:themeColor="text1"/>
          <w:sz w:val="16"/>
          <w:szCs w:val="16"/>
        </w:rPr>
      </w:pPr>
    </w:p>
    <w:p w14:paraId="551841B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января</w:t>
      </w:r>
      <w:r w:rsidRPr="008127F8">
        <w:rPr>
          <w:rFonts w:ascii="Times New Roman" w:hAnsi="Times New Roman"/>
          <w:color w:val="000000" w:themeColor="text1"/>
          <w:sz w:val="16"/>
          <w:szCs w:val="16"/>
        </w:rPr>
        <w:t xml:space="preserve"> в 1942 году началась Торопецко-Холмская наступательная операция войск левого крыла Северо-Западного (генерал-лейтенант П.А.Курочкин) и правого крыла Калининского фронтов, продолжавшаяся до 6 февраля (15004).</w:t>
      </w:r>
    </w:p>
    <w:p w14:paraId="1E9D7361"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196013AD"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января</w:t>
      </w:r>
      <w:r w:rsidRPr="008127F8">
        <w:rPr>
          <w:rFonts w:ascii="Times New Roman" w:hAnsi="Times New Roman"/>
          <w:color w:val="000000" w:themeColor="text1"/>
          <w:sz w:val="16"/>
          <w:szCs w:val="16"/>
        </w:rPr>
        <w:t xml:space="preserve"> в 1942 году войсками Калининского (генерал-полковник И.С.Конев) и Западного (генерал армии Г.К.Жуков) фронтов при поддержке части войск Северо-Западного (генерал-лейтенант П.А.Курочкин) и Брянского (генерал- полковник Я.Т.Черевиченко) фронтов началась Ржевско-Вяземская наступательная операция. В ходе операции, завершившейся 20 апреля, советские войска отбросили противника на 80—250 км, полностью освободили от оккупантов Московскую и Тульскую области. Противостоящая советским войскам группа армий «Центр» потеряла в ходе операции более 330 тысяч человек (15004).</w:t>
      </w:r>
    </w:p>
    <w:p w14:paraId="15DF999C"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3E14AD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января 1942 КА вошла в Смоленскую область (2261).</w:t>
      </w:r>
    </w:p>
    <w:p w14:paraId="3A48015D" w14:textId="77777777" w:rsidR="00D4651C" w:rsidRPr="008127F8" w:rsidRDefault="00D4651C" w:rsidP="001E0A84">
      <w:pPr>
        <w:pStyle w:val="Iauiue"/>
        <w:jc w:val="both"/>
        <w:rPr>
          <w:color w:val="000000" w:themeColor="text1"/>
          <w:sz w:val="16"/>
          <w:szCs w:val="16"/>
        </w:rPr>
      </w:pPr>
    </w:p>
    <w:p w14:paraId="776929B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1871747F" w14:textId="77777777" w:rsidR="00D4651C" w:rsidRPr="008127F8" w:rsidRDefault="00D4651C" w:rsidP="001E0A84">
      <w:pPr>
        <w:pStyle w:val="Iauiue"/>
        <w:jc w:val="both"/>
        <w:rPr>
          <w:iCs/>
          <w:color w:val="000000" w:themeColor="text1"/>
          <w:sz w:val="16"/>
          <w:szCs w:val="16"/>
        </w:rPr>
      </w:pPr>
    </w:p>
    <w:p w14:paraId="538EF6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ранее 9 января 1942 г. Из докладной записки секретаря привокзального райкома ВКП(б) г. Тулы Ф. Т. Храмайкова тульскому ОБКОМУ партии о работе РАЙКОМА в дни осады Тулы</w:t>
      </w:r>
    </w:p>
    <w:p w14:paraId="2E83B4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Привокзальный район за время осады Тулы оказался более чем какой - либо другой район города подвержен разрушениям, особенно в результате воздушных налетов. Всего разрушено 119 домов: от прямого попадания авиабомб-18, от воздушной волны - 66, от снарядов - 35. В результате - 327 семей остались без квартир. Убито - 69, ранено - 97 человек. </w:t>
      </w:r>
    </w:p>
    <w:p w14:paraId="0DC01F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районе произошло 8 пожаров. Сгорело 4 дома, 3 сарая и 2. магазина. Во время налетов 23 и 24 декабря 1941 г. сброшено (кроме фугасных) окол, о 200 зажигательных авиабомб. Только благодаря активному участию населения удалось предотвратить большое количество пожаров. </w:t>
      </w:r>
    </w:p>
    <w:p w14:paraId="1E7F3E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Силами команд МПВО и населения немедленно принимаются меры по ликвидации последствий воздушных налетов и бомбардировок. Всем раненым оказывается медицинская помощь, и они направляются в лечебные учреждения. </w:t>
      </w:r>
    </w:p>
    <w:p w14:paraId="128D6B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232- м пострадавшим семьям предоставлены квартиры. Принимаются меры к восстановлению разрушенных домов и квартир. Восстановлено полностью 2 дома и 37 квартир. Исправлено 63 печи. Забиты фанерой окна в 53- х домах. Исправлено 30 водопроводных точек и проведены другие работы. </w:t>
      </w:r>
    </w:p>
    <w:p w14:paraId="5664AD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это время построены баррикады, противотанковые рвы и надолбы на всех основных улицах (Смычки, Коминтерна, Трудовой, Красноармейской, Революции, Технической и других). В этих работах принимало участие большое количество населения. </w:t>
      </w:r>
    </w:p>
    <w:p w14:paraId="6F589C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Особо следует отметить хорошую работу формирования МПВО района по сооружению укреплений, баррикад и окопов. Начальник медико - санитарной команды т. Наумкин, командиры отделений тт. Урбанович, Горчинский, Селиверстов, бойцы Филимонов, Коротеев, Гудков и </w:t>
      </w:r>
      <w:proofErr w:type="gramStart"/>
      <w:r w:rsidRPr="008127F8">
        <w:rPr>
          <w:rFonts w:ascii="Times New Roman" w:hAnsi="Times New Roman"/>
          <w:color w:val="000000" w:themeColor="text1"/>
          <w:sz w:val="16"/>
          <w:szCs w:val="16"/>
        </w:rPr>
        <w:t>др. ,</w:t>
      </w:r>
      <w:proofErr w:type="gramEnd"/>
      <w:r w:rsidRPr="008127F8">
        <w:rPr>
          <w:rFonts w:ascii="Times New Roman" w:hAnsi="Times New Roman"/>
          <w:color w:val="000000" w:themeColor="text1"/>
          <w:sz w:val="16"/>
          <w:szCs w:val="16"/>
        </w:rPr>
        <w:t xml:space="preserve"> не считаясь со временем и трудностями, выполняли задания военных и гражданских властей. </w:t>
      </w:r>
    </w:p>
    <w:p w14:paraId="35889D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постройке баррикад и противотанковых рвов на ул. - Смычки в первых числах ноября работающие подвергались четыре раза минометному обстрелу, но все же работу не прекратили. </w:t>
      </w:r>
    </w:p>
    <w:p w14:paraId="550429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октября сформирован батальон из 250 коммунистов, комсомольцев и беспартийных, который влился в состав Тульского рабочего полка и дрался на подступах к Туле. Такие коммунисты, как Полеганский, Хохлов и другие, показали образцы героизма. </w:t>
      </w:r>
    </w:p>
    <w:p w14:paraId="1BB95A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ноябре направлялось пополнение в рабочий полк - 90 и 60 человек. Организован партизанский отряд из 50 человек и направлен во вражеский тыл, Подобрана группа товарищей для проведения разведывательной работы по заданию штаба армии. Из молодежи организован отряд истребителей танков в количестве 98 человек. </w:t>
      </w:r>
    </w:p>
    <w:p w14:paraId="30E357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Проведен сбор лыж: собрано и передано армии около 400 пар. </w:t>
      </w:r>
    </w:p>
    <w:p w14:paraId="1C9047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 прекращалась работа районного отдела социального обеспечения: в ноябре и декабре выдано 713 тыс. руб. пенсий инвалидам и пособий семьям бойцов Красной Армии. </w:t>
      </w:r>
    </w:p>
    <w:p w14:paraId="66092E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Проведен общерайонный воскресник по очистке железнодорожных путей от снега и мусора, в котором приняло участие более 3 тыс. человек. </w:t>
      </w:r>
    </w:p>
    <w:p w14:paraId="095AE0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Тульские железнодорожники, энергично работавшие по эвакуации материальных ценностей, хлеба, людей и по подвозу боевых средств для защитников Тулы, вписали немало замечательных страниц в историю обороны города. </w:t>
      </w:r>
    </w:p>
    <w:p w14:paraId="7E65EE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Немало потрудились для оснащения нашей армии работники артелей. Артель "Советский экспорт" не прекращала работу. За два с половиной месяца она изготовила более 1 200 телогреек и ватных шаровар, около 3 000 кальсон и рубашек, около 400 шапок - ушанок и других изделий. </w:t>
      </w:r>
    </w:p>
    <w:p w14:paraId="278207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Артель им. Калинина приступила к работе 6 ноября 1941 г. и изготовила более 5 000 ватных шаровар и телогреек, около 2 500 кальсон, 2 500 теплых рукавиц и другие изделия. Начальник пожарно - сторожевой охраны т. Беленков (ныне возглавляющий артель) обеспечил охрану сырья и готовой продукции стоимостью 800 тыс. руб. Работницы артели работают за двоих (тт. Орлова, Трепалина и другие). </w:t>
      </w:r>
    </w:p>
    <w:p w14:paraId="426EB9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Артель "Объединенный труд" изготовила 1 326 телогреек, 2 055 ватных шаровар, 1 238 шапок и другую продукцию. </w:t>
      </w:r>
    </w:p>
    <w:p w14:paraId="2CBDB2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Артель "Обувщик" изготовила 1 400 пар армейских ботинок, отремонтировала для воинских частей 1 995 пар разной обуви. Работники артели, не считаясь со временем, трудились по 12 и более часов без выходных дней. </w:t>
      </w:r>
    </w:p>
    <w:p w14:paraId="04706BB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Райкомом проводилась большая массово - политическая работа. На предприятиях, в формированиях МПВО, среди партизан и населения были проведены собрания и беседы, посвященные 24- й годовщине Великой Октябрьской социалистической революции. С трудящимися проводились беседы о дне Конституции, читки сводок Информбюро и боевых эпизодов. </w:t>
      </w:r>
    </w:p>
    <w:p w14:paraId="67DFE0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того как фашистские псы были отогнаны от родной Тулы, мы приступили к восстановлению и пуску предприятий. </w:t>
      </w:r>
    </w:p>
    <w:p w14:paraId="12B49D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Железнодорожный узел, преобразованный в военно - эксплуатационное отделение в пределах Серпухов - Тула - Орел, Тула-Калуга, Тула - Узловая, приступил к восстановлению пути и другого хозяйства на своей территории. </w:t>
      </w:r>
    </w:p>
    <w:p w14:paraId="35FB48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Подготавливается к пуску завод НКПС, мебельно - фурнитурная фабрика, мясокомбинат, молокозавод, артель "Красный мебельщик" и др. </w:t>
      </w:r>
    </w:p>
    <w:p w14:paraId="040EE7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всех школах начались занятия (за исключением железнодорожной № 17). Восстановлено трамвайное движение. На январь составлен план восстановления жилых домов. Подготовлен к пуску один детский сад и одни ясли. </w:t>
      </w:r>
    </w:p>
    <w:p w14:paraId="4AC8CC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Всюду созданы партийные и комсомольские организации. Подобраны агитаторы... </w:t>
      </w:r>
    </w:p>
    <w:p w14:paraId="1448C2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Привокзального РК ВКП(б) г. Тулы Храмайков</w:t>
      </w:r>
    </w:p>
    <w:p w14:paraId="465A6F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ГАТО, ф. Р -2230, оп. 1, д. 8, лл. 7 - 10. Подлинник (12077).</w:t>
      </w:r>
    </w:p>
    <w:p w14:paraId="167B557B" w14:textId="77777777" w:rsidR="00D4651C" w:rsidRPr="008127F8" w:rsidRDefault="00D4651C" w:rsidP="001E0A84">
      <w:pPr>
        <w:pStyle w:val="Iauiue"/>
        <w:jc w:val="both"/>
        <w:rPr>
          <w:iCs/>
          <w:color w:val="000000" w:themeColor="text1"/>
          <w:sz w:val="16"/>
          <w:szCs w:val="16"/>
        </w:rPr>
      </w:pPr>
    </w:p>
    <w:p w14:paraId="148B1F69"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1942. Газета "Вечерняя Москва" сообщала: "Большим успехом пользуется у москвичей недавно открытый каток в центральном парке культуры и отдана им. Горького. С утра сюда съезжаются с разных концов столицы пионеры и школьники, а днем начинает приходить много любителей конькобежного спорта. Ежедневно катки парка посещают 3-5 тысяч человек. Гардероб для посетителей устроен в бомбоубежище. Там же оборудованы комната отдыха, читальня с выставкой "Окон ТАСС. При раздевалке - мастерские по ремонту и точке коньков. Каток открыт ежедневно до 5 часов вечера" (18696).</w:t>
      </w:r>
    </w:p>
    <w:p w14:paraId="3840BCD0" w14:textId="77777777" w:rsidR="00D23107" w:rsidRPr="008127F8" w:rsidRDefault="00D23107" w:rsidP="001E0A84">
      <w:pPr>
        <w:spacing w:after="0" w:line="240" w:lineRule="auto"/>
        <w:jc w:val="both"/>
        <w:rPr>
          <w:rFonts w:ascii="Times New Roman" w:hAnsi="Times New Roman"/>
          <w:color w:val="000000" w:themeColor="text1"/>
          <w:sz w:val="16"/>
          <w:szCs w:val="16"/>
        </w:rPr>
      </w:pPr>
    </w:p>
    <w:p w14:paraId="26983DD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39896FD8" w14:textId="77777777" w:rsidR="00D4651C" w:rsidRPr="008127F8" w:rsidRDefault="00D4651C" w:rsidP="001E0A84">
      <w:pPr>
        <w:pStyle w:val="Iauiue"/>
        <w:jc w:val="both"/>
        <w:rPr>
          <w:iCs/>
          <w:color w:val="000000" w:themeColor="text1"/>
          <w:sz w:val="16"/>
          <w:szCs w:val="16"/>
        </w:rPr>
      </w:pPr>
    </w:p>
    <w:p w14:paraId="68948C4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9 января 1942 г. Секретно - ИЗ СПРАВКИ НАРОДНОГО КОМИССАРА ВНЕШНЕЙ ТОРГОВЛИ СССР А.И. МИКОЯНА О ВЫПОЛНЕНИИ АНГЛИЕЙ И США ОБЯЗАТЕЛЬСТВ, ПРИНЯТЫХ НА МОСКОВСКОЙ КОНФЕРЕНЦИИ ТРЕХ ДЕРЖАВ, ПО ПОСТАВКАМ В СССР ВООРУЖЕНИЯ, ОБОРУДОВАНИЯ И СЫРЬЯ ЗА ОКТЯБРЬ - ДЕКАБРЬ 1941 г.</w:t>
      </w:r>
    </w:p>
    <w:p w14:paraId="25D685B1"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Тов. Сталину И. В Тов. Молотову В.М.</w:t>
      </w:r>
    </w:p>
    <w:p w14:paraId="31D3A17B"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Направляю Вам при этом справки о выполнении обязательств, принятых на Московской Конференции 3-х держав, Великобританией и США по поставкам в СССР предметов вооружения, оборудования, сырья и материалов за октябрь, ноябрь и декабрь 1941 года в целом.</w:t>
      </w:r>
    </w:p>
    <w:p w14:paraId="1EE6BEC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Обязательства США на Московской конференции по ежемесячной поставке самолетов за 3 месяца составляют — 600.</w:t>
      </w:r>
    </w:p>
    <w:p w14:paraId="1531C2F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В последующих уточнениях помесячной поставки американцы дали новые цифры своих поставок самолетов, а именно:</w:t>
      </w:r>
    </w:p>
    <w:p w14:paraId="311256ED"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октябрь ноябрь декабрь всего</w:t>
      </w:r>
    </w:p>
    <w:p w14:paraId="279D94F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Всего шт. 128 107 160 395</w:t>
      </w:r>
    </w:p>
    <w:p w14:paraId="6368C3E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в том числе: </w:t>
      </w:r>
    </w:p>
    <w:p w14:paraId="452FB47B"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истребителей — 93 107 100 300</w:t>
      </w:r>
    </w:p>
    <w:p w14:paraId="522BA46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бомбардировщиков — 5 - 60 65</w:t>
      </w:r>
    </w:p>
    <w:p w14:paraId="6F4FF051"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разведчиков — 30 — — 30</w:t>
      </w:r>
    </w:p>
    <w:p w14:paraId="68C343E4"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Фактически поставлено только — 204 шт. В том числе: </w:t>
      </w:r>
    </w:p>
    <w:p w14:paraId="26107465"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истребителей — 131 шт.</w:t>
      </w:r>
    </w:p>
    <w:p w14:paraId="604E161D"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бомбардировщиков — 43 шт.</w:t>
      </w:r>
    </w:p>
    <w:p w14:paraId="2EB3450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разведчиков — 30 шт. </w:t>
      </w:r>
    </w:p>
    <w:p w14:paraId="2E6D00DB"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Из числа поставленных 204 самолетов</w:t>
      </w:r>
    </w:p>
    <w:p w14:paraId="26C6921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завезено в Союз — 95 шт.</w:t>
      </w:r>
    </w:p>
    <w:p w14:paraId="2ADEA571"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находится в пути — 106 шт.</w:t>
      </w:r>
    </w:p>
    <w:p w14:paraId="3A7D9EEB"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в т.ч. прибывают 12.1.1942 г. — 8 шт.</w:t>
      </w:r>
    </w:p>
    <w:p w14:paraId="00466010"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Погружены на пароходы, но еще не отправлены - 3 шт. Таким образом, недопоставка самолетов против принятых обязательств на Московской Конференции составляет 396 шт.</w:t>
      </w:r>
    </w:p>
    <w:p w14:paraId="26DFEC41"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Столь большая недопоставка самолетов объясняется тем, что между 13 и 17 декабря Американское Правительство отозвало обратно почти все поставленные самолеты из числа находившихся в портах США в это время. Выло отозвано 447 самолетов из 457 находившихся в портах. Наличие на 15 декабря 1941 года в портах США большого числа неотгруженных самолетов было вызвано тем обстоятельством, что 152 истребителя «Аэрокобра» были поставлены в порты без пропеллеров, без вооружения и комплекта запчастей. Кроме того, американские власти не предоставляли долгое время достаточного количества парохозов и, наконец, отозвали вообще поставленные самолеты.</w:t>
      </w:r>
    </w:p>
    <w:p w14:paraId="7777340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При этом часть самолетов была выгружена с судов, на которые они уже были погружены, но суда не успели уйти. Также резко недовыполнена поставка танков. США, согласно решениям Московской Конференции, обязались поставить за три месяца — 750 шт.</w:t>
      </w:r>
    </w:p>
    <w:p w14:paraId="3314FF6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lastRenderedPageBreak/>
        <w:t>31 октября Американское Правительство сообщило новую цифру поставок танков по месяцам, а именно: в октябре 166 танков, в ноябре 207 и в декабре 300 штук, а всего 673 танка.</w:t>
      </w:r>
    </w:p>
    <w:p w14:paraId="47964E02"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Фактически поставлено только лишь — 182 шт. В том числе: средних — 72 шт. легких — 110 шт. Из них завезено в Союз — 27 шт., находятся в пути — 139 шт., в портах — 16 шт.</w:t>
      </w:r>
    </w:p>
    <w:p w14:paraId="6C3B82C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Зенитных орудий (90 мм) должно было быть поставлено до 1 января 1942 г. — 10 шт. Фактически поставлено только — 4 шт., и все они находятся в пути. Сверх принятых обязательств на Московской конференции США поставили: пистолеты-пулеметы «Томмиганс» — 5000 шт., минометы 81 мм — 30 шт., прожектора 60-дюйм. на автомашинах в комплекте со звукоулавливателями — 22 шт.</w:t>
      </w:r>
    </w:p>
    <w:p w14:paraId="42152D9D"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Боеприпасы из США поставлялись так же, как и из Англии, как комплект к поставляемому вооружению.</w:t>
      </w:r>
    </w:p>
    <w:p w14:paraId="4183BCB9"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Поставка авиабомб, в которых мы менее заинтересованы, произведена в значительном количестве (104 90 шт.). Нами дано указание о прекращении вообще закупок авиабомб. До сего времени США не дали ответа о размерах поставок нитроглицеринового пороха. Из морского вооружения из США поступило только 150 прожекторов «Спер-ри» в комплекте со звукоулавливателями. Телефонных аппаратов американцы обязаны были поставлять 12 000 шт ежемесячно, а за октябрь - декабрь - 36 000 шт. Поставлено лишь — 5506 шт., находится в пути — 4416 шт.</w:t>
      </w:r>
    </w:p>
    <w:p w14:paraId="75EBD321"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Полевого телефонного провода план на 3 месяца — 300 000 км. Поставлено — 36 000 км. Из них завезено в СССР - 8400 км. Находится в пути — 16 600 км., в порту и в погрузке - 11 000 км.</w:t>
      </w:r>
    </w:p>
    <w:p w14:paraId="730F9597"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План поставки колючей проволоки принят американцами в размере 4000 тон ежемесячно, а за три месяца поставка должна была составить — 12 000 тонн. Поставлено - 16 844 тонн. Из них: завезено в Союз — 1997 тонн находились на 1 января 1942 г., в пути — 10 042 тонн, в порту и в погрузке — 4805 тонн.</w:t>
      </w:r>
    </w:p>
    <w:p w14:paraId="37EAC4C2"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 плану на октябрь — декабрь США должны были поставить грузовых автомашин — 25 600 шт.</w:t>
      </w:r>
    </w:p>
    <w:p w14:paraId="448B068A"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Фактически поставлено на 1 января 1942 года — 9238 шт. Из них: завезено в Союз — 1565 шт. находятся в пути — 4974 шт. в т.ч. прибывают 12.1 в Архангельск — 626 находятся в портах и в погрузке — 2699.</w:t>
      </w:r>
    </w:p>
    <w:p w14:paraId="2486C196"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Кроме того, Наркомвнешторг закупил до Конференции, т.е. до 1 октября 1941 г., и завез в страну 500 грузовиков «Форд». План поставки разведывательных автомашин принят в размере 5000 штук в течение 9 месяцев, а за три месяца поставка должна была составить — 1665 шт. Фактически поставлено на 1 января 1942 г. — 1000 шт. Из них: завезено в Союз — 72 шт. находятся в пути — 800 шт. в т.ч. прибывают 12.1.1942 г. — 80 шт. в портах и в погрузке — 128 шт.</w:t>
      </w:r>
    </w:p>
    <w:p w14:paraId="60BD6F15"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До сего времени точные размеры поставок станков из США не установлены. На Московской конференции 3-х держав было признано «желательным удовлетворить советские заявки (1200 шт. в месяц), но не могут быть гарантированы те или иные типы или классификации. Все станки, какие могут быть доставлены, будут поставляться из Великобритании и США». Поскольку обязательства по поставкам Англии определились (290 штук в месяц), остаток в размере 910 станков в месяц следует отнести на США, хотя Американское Правительство еще не дало конкретного ответа о поставке данного количества станков до 1.VII.42 г. Исходя из этого расчета, размер поставок за 9 месяцев, падающий на США, должен составить 8190 станков, а за три месяца — 2730 шт.</w:t>
      </w:r>
    </w:p>
    <w:p w14:paraId="5E5B5F6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За время октябрь — ноябрь Наркомвнешторгом размещено в США заказов на различные виды станков в количестве — 3404 шт. Размещение заказов в США на станки проходит крайне медленно, так как их оформление связано с прохождением ряда правительственных органов, где происходят всяческие задержки (медленный просмотр наших заявок в Управлении ленд-лиза и в других департаментах, прямой саботаж со стороны некоторых чиновников министерств и т.п.). Поставлено фирмами в октябре — декабре по заказам, выданным как до, так и после 1 октября 1941 г., — 731 шт. Из них: завезено в Союз — 35 шт., отгружено и находится в пути в СССР — 285 шт. находится в портах, в погрузке и на заводах — 411 шт.</w:t>
      </w:r>
    </w:p>
    <w:p w14:paraId="7268E0E4"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Из цветных металлов США поставили лишь молибден в количестве - 1000 тонн при плане в 900 тонн. Поставка молибдена произведена по заказу, выданному до Московской Конференции. Поставок алюминия, никеля и цинка из США не производилось вовосе, хотя по этим металлам имеются конкретные обязательства США. Поставлены дюралюминий, латунный прокат и дюралюминий, латунный прокат, трубы и др. изделия из меди (радиаторные трубы). Совсем не поставлялись в течение октября броневые листы для танков.</w:t>
      </w:r>
    </w:p>
    <w:p w14:paraId="3C88742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США до сего времени не дали ответа о размерах поставок биметалла и магниевых сплавов по нашей заявке на Конференции. Ферросилиция из США поставлено всего лишь 56 тонн при плане поставок</w:t>
      </w:r>
    </w:p>
    <w:p w14:paraId="59DDCB2C"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на 3 месяца в 900 тонн. Проволока нихромовая поставлена в размере 14 тонн вместо полагавшихся к поставке 60 тонн в течение октября — декабря месяцев. Значительно меньше принятых обязательств произведена поставка шлифкругов и электродов.</w:t>
      </w:r>
    </w:p>
    <w:p w14:paraId="2CC8353F"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Нефтепродуктов полагалось поставить за три месяца — 60 000 тонн.</w:t>
      </w:r>
    </w:p>
    <w:p w14:paraId="17AF78B2"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Поставлено за период июль — декабрь 1941 г. — 200 601 тонн.</w:t>
      </w:r>
    </w:p>
    <w:p w14:paraId="41B61117"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Однако эти поставки проходили не в счет обязательств по протоколу Конференции, а по ранее имевшейся договоренности с США о поставке ими 200 000 тонн нефтепродуктов. </w:t>
      </w:r>
      <w:proofErr w:type="gramStart"/>
      <w:r w:rsidRPr="008127F8">
        <w:rPr>
          <w:i w:val="0"/>
          <w:iCs w:val="0"/>
          <w:color w:val="000000" w:themeColor="text1"/>
          <w:spacing w:val="0"/>
          <w:kern w:val="0"/>
          <w:position w:val="0"/>
          <w:sz w:val="16"/>
          <w:szCs w:val="16"/>
        </w:rPr>
        <w:t>Этилен-гликоля</w:t>
      </w:r>
      <w:proofErr w:type="gramEnd"/>
      <w:r w:rsidRPr="008127F8">
        <w:rPr>
          <w:i w:val="0"/>
          <w:iCs w:val="0"/>
          <w:color w:val="000000" w:themeColor="text1"/>
          <w:spacing w:val="0"/>
          <w:kern w:val="0"/>
          <w:position w:val="0"/>
          <w:sz w:val="16"/>
          <w:szCs w:val="16"/>
        </w:rPr>
        <w:t xml:space="preserve"> должно было поставляться 120 тонн в месяц, а всего — 360 тонн. Фактически же поставлено — 242 тонны. Недовыполнена также поставка толуола. Поставлена 901 тонна при плане в 2500 тонн.</w:t>
      </w:r>
    </w:p>
    <w:p w14:paraId="00BA83B0"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Несмотря на твердое обещание, записанное в решениях Конференции о поставке 10 000 тонн готового тринитротолуола, до сего времени не поставлено ни одной тонны этого продукта.</w:t>
      </w:r>
    </w:p>
    <w:p w14:paraId="0E5AB2BC"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План поставок из США подошвенной кожи на 3 месяца составлял — 4500 тонн. Поставлено — 1537 тонн. Из них завезено в Союз — 1113 тонн. Армейских ботинок при плане в 600 тыс. пар.</w:t>
      </w:r>
    </w:p>
    <w:p w14:paraId="488787D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поставлено — 28,4 тыс. пар (эта цифра преуменьшена в несколько раз в документе).</w:t>
      </w:r>
    </w:p>
    <w:p w14:paraId="1272917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Поставка сукна армейского была принята американцами в 1 млн ярдов в течение 4-х месяцев (октябрь — январь). В счет этого количества пока что поставлено только 61,7 тыс. ярдов.</w:t>
      </w:r>
    </w:p>
    <w:p w14:paraId="5043624A"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Морская комиссия явным образом срывает отправку грузов в Советский Союз ссылаясь на отсутствие пароходов, на невозможность в зимнее время посылать в Архангельск пароходы, так как, по их мнению, Архангельский порт не в состоянии принять большие количества пароходов. В тех случаях, когда те или иные пароходы ставятся под погрузку, выбираются наиболее плохие из них. </w:t>
      </w:r>
    </w:p>
    <w:p w14:paraId="441E857A"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Некоторые случаи следует рассматривать как диверсионные акты. Так, например, на пароходе «Файер Рок», который вышел из Нью-Йоркского порта 21/Х с военными грузами (танки, автомашины и др.), произошла течь в трюмах без </w:t>
      </w:r>
      <w:proofErr w:type="gramStart"/>
      <w:r w:rsidRPr="008127F8">
        <w:rPr>
          <w:i w:val="0"/>
          <w:iCs w:val="0"/>
          <w:color w:val="000000" w:themeColor="text1"/>
          <w:spacing w:val="0"/>
          <w:kern w:val="0"/>
          <w:position w:val="0"/>
          <w:sz w:val="16"/>
          <w:szCs w:val="16"/>
        </w:rPr>
        <w:t>каких либо</w:t>
      </w:r>
      <w:proofErr w:type="gramEnd"/>
      <w:r w:rsidRPr="008127F8">
        <w:rPr>
          <w:i w:val="0"/>
          <w:iCs w:val="0"/>
          <w:color w:val="000000" w:themeColor="text1"/>
          <w:spacing w:val="0"/>
          <w:kern w:val="0"/>
          <w:position w:val="0"/>
          <w:sz w:val="16"/>
          <w:szCs w:val="16"/>
        </w:rPr>
        <w:t xml:space="preserve"> видимых причин. Пароход должен был вернуться, разгрузиться и встать на ремонт. В результате отправка грузов была задержана на 1/2 месяца. Пароход «Африкандер», вышедший 18.XI.41 г. из Бостона на Архангельск с грузами самолетов, танков, автомашин, при подходе к Сиднею сел на мель получил пробоину и вынужден был встать на ремонт. Задержка с отправкой этого парохода произошла на полтора месяца.</w:t>
      </w:r>
    </w:p>
    <w:p w14:paraId="61F375E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В Нью-Йоркском порту на пароходе «Баллот», стоявшем под погрузкой 25 декабря 1941 г. начался пожар, замеченный нашим дежурным и своевременно ликвидированный. При расследовании установлено, что налицо был поджог, найдены в ряде трюмов банки с керосином. Пароход «Маломак», вышедший из Бостона на Архангельск 18.XII. 1941 года с грузом самолетов-истребителей, танков, автомашин и др., 3-го января вернулся в Бостон из-за саботажа команды.</w:t>
      </w:r>
    </w:p>
    <w:p w14:paraId="540018C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Пароход «Меридиан», вышедший 29/Х 41 г. из Нью-Йорка в Архангельск, по сообщению английского адмиралтейства, погиб при невыясненных пока обстоятельствах.</w:t>
      </w:r>
    </w:p>
    <w:p w14:paraId="22C38B06"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Следует отметить, что подобного рода «происшествия» не имеют место с английскими и советскими судами, следующими из портов Англии. Изложенное позволяет сделать вывод, что означенные акты не являются отдельными выступлениями тех или иных враждебных элементов, а есть действия определенной организации. В целом поставки США проходят явно неудовлетворительно. Представители Американского Правительства щедро дают обещания и бесцеремонно нарушают свои обязательства. Причем срыв поставок американцами не объясняется только саботажем отдельных враждебных нам элементов. Не объясняется также объективными трудностями. Срывают наши поставки Военное и Морское министерства, конечно, не без ведома правительства.</w:t>
      </w:r>
    </w:p>
    <w:p w14:paraId="42B91AE7"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Наши неоднократные сообщения о всех фактах срыва представителям Американского Правительства не привели до сих пор к улучшению положения.</w:t>
      </w:r>
    </w:p>
    <w:p w14:paraId="5249F2D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Источник:</w:t>
      </w:r>
    </w:p>
    <w:p w14:paraId="79F5597F"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АВП РФ. Ф. 06. On. 4. П. 11. Д. 102. Л. 1, 7-16. Подлинник (11573).</w:t>
      </w:r>
    </w:p>
    <w:p w14:paraId="54775CF7" w14:textId="77777777" w:rsidR="00D4651C" w:rsidRPr="008127F8" w:rsidRDefault="00D4651C" w:rsidP="001E0A84">
      <w:pPr>
        <w:pStyle w:val="afff5"/>
        <w:jc w:val="both"/>
        <w:rPr>
          <w:i w:val="0"/>
          <w:iCs w:val="0"/>
          <w:color w:val="000000" w:themeColor="text1"/>
          <w:spacing w:val="0"/>
          <w:kern w:val="0"/>
          <w:position w:val="0"/>
          <w:sz w:val="16"/>
          <w:szCs w:val="16"/>
        </w:rPr>
      </w:pPr>
    </w:p>
    <w:p w14:paraId="0236451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7704BF78" w14:textId="77777777" w:rsidR="00D4651C" w:rsidRPr="008127F8" w:rsidRDefault="00D4651C" w:rsidP="001E0A84">
      <w:pPr>
        <w:pStyle w:val="Iauiue"/>
        <w:jc w:val="both"/>
        <w:rPr>
          <w:iCs/>
          <w:color w:val="000000" w:themeColor="text1"/>
          <w:sz w:val="16"/>
          <w:szCs w:val="16"/>
        </w:rPr>
      </w:pPr>
    </w:p>
    <w:p w14:paraId="0C324913"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января</w:t>
      </w:r>
      <w:r w:rsidRPr="008127F8">
        <w:rPr>
          <w:rFonts w:ascii="Times New Roman" w:hAnsi="Times New Roman"/>
          <w:color w:val="000000" w:themeColor="text1"/>
          <w:sz w:val="16"/>
          <w:szCs w:val="16"/>
        </w:rPr>
        <w:t xml:space="preserve"> в 1942 году приказ ОКХ о формировании охранных частей из военнопленных и жителей оккупированных районов СССР, враждебно относящихся к советской власти (15004).</w:t>
      </w:r>
    </w:p>
    <w:p w14:paraId="002A064B"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67401B0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9 января 1942 во время шторма у Балеарских островов переломился пополам французский корабль “Ля Мосисиьер”, 290 человек погибли (4962).</w:t>
      </w:r>
    </w:p>
    <w:p w14:paraId="215A9738" w14:textId="77777777" w:rsidR="00D4651C" w:rsidRPr="008127F8" w:rsidRDefault="00D4651C" w:rsidP="001E0A84">
      <w:pPr>
        <w:pStyle w:val="Iauiue"/>
        <w:tabs>
          <w:tab w:val="left" w:pos="11199"/>
        </w:tabs>
        <w:jc w:val="both"/>
        <w:rPr>
          <w:color w:val="000000" w:themeColor="text1"/>
          <w:sz w:val="16"/>
          <w:szCs w:val="16"/>
        </w:rPr>
      </w:pPr>
    </w:p>
    <w:p w14:paraId="2B680AE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9 января 1942 создан Объединенный комитет начальников штабов армии США (4962).</w:t>
      </w:r>
    </w:p>
    <w:p w14:paraId="5175EA72" w14:textId="77777777" w:rsidR="00D4651C" w:rsidRPr="008127F8" w:rsidRDefault="00D4651C" w:rsidP="001E0A84">
      <w:pPr>
        <w:pStyle w:val="Iauiue"/>
        <w:tabs>
          <w:tab w:val="left" w:pos="11199"/>
        </w:tabs>
        <w:jc w:val="both"/>
        <w:rPr>
          <w:color w:val="000000" w:themeColor="text1"/>
          <w:sz w:val="16"/>
          <w:szCs w:val="16"/>
        </w:rPr>
      </w:pPr>
    </w:p>
    <w:p w14:paraId="33B004A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02AF9ACB" w14:textId="77777777" w:rsidR="00D4651C" w:rsidRPr="008127F8" w:rsidRDefault="00D4651C" w:rsidP="001E0A84">
      <w:pPr>
        <w:pStyle w:val="Iauiue"/>
        <w:jc w:val="both"/>
        <w:rPr>
          <w:iCs/>
          <w:color w:val="000000" w:themeColor="text1"/>
          <w:sz w:val="16"/>
          <w:szCs w:val="16"/>
        </w:rPr>
      </w:pPr>
    </w:p>
    <w:p w14:paraId="39D5C6B0" w14:textId="77777777" w:rsidR="003874D1" w:rsidRPr="008127F8" w:rsidRDefault="003874D1"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К 10 января 1942 г. второй экземпляр Су-6 М-71 («82») удалось полностью подготовить к проведению летных испытаний. К этому же времени завод №289 разработал чертежи для серийного производства.</w:t>
      </w:r>
    </w:p>
    <w:p w14:paraId="593416B1" w14:textId="77777777" w:rsidR="003874D1" w:rsidRPr="008127F8" w:rsidRDefault="003874D1"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При переходе к серии предпо</w:t>
      </w:r>
      <w:r w:rsidRPr="008127F8">
        <w:rPr>
          <w:rFonts w:ascii="Times New Roman" w:hAnsi="Times New Roman" w:cs="Times New Roman"/>
          <w:color w:val="000000" w:themeColor="text1"/>
          <w:sz w:val="16"/>
          <w:szCs w:val="16"/>
        </w:rPr>
        <w:softHyphen/>
        <w:t>лагалось изменить схему брониро</w:t>
      </w:r>
      <w:r w:rsidRPr="008127F8">
        <w:rPr>
          <w:rFonts w:ascii="Times New Roman" w:hAnsi="Times New Roman" w:cs="Times New Roman"/>
          <w:color w:val="000000" w:themeColor="text1"/>
          <w:sz w:val="16"/>
          <w:szCs w:val="16"/>
        </w:rPr>
        <w:softHyphen/>
        <w:t>вания, установить усиленное крыло и колеса шасси большего диаметра 800 х 260 мм (вместо 750 х 250 мм). Нормальный полетный вес по рас</w:t>
      </w:r>
      <w:r w:rsidRPr="008127F8">
        <w:rPr>
          <w:rFonts w:ascii="Times New Roman" w:hAnsi="Times New Roman" w:cs="Times New Roman"/>
          <w:color w:val="000000" w:themeColor="text1"/>
          <w:sz w:val="16"/>
          <w:szCs w:val="16"/>
        </w:rPr>
        <w:softHyphen/>
        <w:t>четам должен был составить 5250 кг. Самолет соответствовал нормам прочности 1941 г. Разрушающая пе</w:t>
      </w:r>
      <w:r w:rsidRPr="008127F8">
        <w:rPr>
          <w:rFonts w:ascii="Times New Roman" w:hAnsi="Times New Roman" w:cs="Times New Roman"/>
          <w:color w:val="000000" w:themeColor="text1"/>
          <w:sz w:val="16"/>
          <w:szCs w:val="16"/>
        </w:rPr>
        <w:softHyphen/>
        <w:t>регрузка на случай Ак достигала 8,9 единиц (19844).</w:t>
      </w:r>
    </w:p>
    <w:p w14:paraId="3E576C74" w14:textId="77777777" w:rsidR="003874D1" w:rsidRPr="008127F8" w:rsidRDefault="003874D1"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5D2179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января 1942 был выполнен первый вылет на ДБ-3Ф 2М-82 N 7102. В первых полетах было обнаружено выбрасывание масла и при устранении дефекта сделали 17 полетов налетав 10:30, но на 18 полете 8 февраля оба мотора потерпели аварию. Продолжили с 9 марта 1942 на 7103. Вообще на испытания поступило 3 машины (+ N 6614 и 7103), но при наземных испытаниях на 6614 была повреждена крыльчатка нагнетателя левого мотора (2084).</w:t>
      </w:r>
    </w:p>
    <w:p w14:paraId="07DFDE6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другим данным - 10 февраля (2467,6).</w:t>
      </w:r>
    </w:p>
    <w:p w14:paraId="32636757" w14:textId="77777777" w:rsidR="00D4651C" w:rsidRPr="008127F8" w:rsidRDefault="00D4651C" w:rsidP="001E0A84">
      <w:pPr>
        <w:pStyle w:val="Iauiue"/>
        <w:jc w:val="both"/>
        <w:rPr>
          <w:color w:val="000000" w:themeColor="text1"/>
          <w:sz w:val="16"/>
          <w:szCs w:val="16"/>
        </w:rPr>
      </w:pPr>
    </w:p>
    <w:p w14:paraId="2A8033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 состоялся первый полет Ил-4 с М-82. Машину пи</w:t>
      </w:r>
      <w:r w:rsidRPr="008127F8">
        <w:rPr>
          <w:rFonts w:ascii="Times New Roman" w:hAnsi="Times New Roman"/>
          <w:color w:val="000000" w:themeColor="text1"/>
          <w:sz w:val="16"/>
          <w:szCs w:val="16"/>
        </w:rPr>
        <w:softHyphen/>
        <w:t>лотировал летчик Галицкий. В ходе испытаний двигатели постоянно перегре</w:t>
      </w:r>
      <w:r w:rsidRPr="008127F8">
        <w:rPr>
          <w:rFonts w:ascii="Times New Roman" w:hAnsi="Times New Roman"/>
          <w:color w:val="000000" w:themeColor="text1"/>
          <w:sz w:val="16"/>
          <w:szCs w:val="16"/>
        </w:rPr>
        <w:softHyphen/>
        <w:t>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 скорости оказался куда меньше ожидавшегося. Скорость не превышала 437 км/ч, при этом даль</w:t>
      </w:r>
      <w:r w:rsidRPr="008127F8">
        <w:rPr>
          <w:rFonts w:ascii="Times New Roman" w:hAnsi="Times New Roman"/>
          <w:color w:val="000000" w:themeColor="text1"/>
          <w:sz w:val="16"/>
          <w:szCs w:val="16"/>
        </w:rPr>
        <w:softHyphen/>
        <w:t>ность упала до 2540 км. Вдобавок М-82 не отличался тогда высокой надежнос</w:t>
      </w:r>
      <w:r w:rsidRPr="008127F8">
        <w:rPr>
          <w:rFonts w:ascii="Times New Roman" w:hAnsi="Times New Roman"/>
          <w:color w:val="000000" w:themeColor="text1"/>
          <w:sz w:val="16"/>
          <w:szCs w:val="16"/>
        </w:rPr>
        <w:softHyphen/>
        <w:t>тью. Из-за недостаточной производи</w:t>
      </w:r>
      <w:r w:rsidRPr="008127F8">
        <w:rPr>
          <w:rFonts w:ascii="Times New Roman" w:hAnsi="Times New Roman"/>
          <w:color w:val="000000" w:themeColor="text1"/>
          <w:sz w:val="16"/>
          <w:szCs w:val="16"/>
        </w:rPr>
        <w:softHyphen/>
        <w:t>тельности маслорадиаторов двигатели грелись. Кроме того, шасси уже не со</w:t>
      </w:r>
      <w:r w:rsidRPr="008127F8">
        <w:rPr>
          <w:rFonts w:ascii="Times New Roman" w:hAnsi="Times New Roman"/>
          <w:color w:val="000000" w:themeColor="text1"/>
          <w:sz w:val="16"/>
          <w:szCs w:val="16"/>
        </w:rPr>
        <w:softHyphen/>
        <w:t>ответствовало возросшей массе бом</w:t>
      </w:r>
      <w:r w:rsidRPr="008127F8">
        <w:rPr>
          <w:rFonts w:ascii="Times New Roman" w:hAnsi="Times New Roman"/>
          <w:color w:val="000000" w:themeColor="text1"/>
          <w:sz w:val="16"/>
          <w:szCs w:val="16"/>
        </w:rPr>
        <w:softHyphen/>
        <w:t>бардировщика. Отчет об испытаниях завершался выводом: «При необходи</w:t>
      </w:r>
      <w:r w:rsidRPr="008127F8">
        <w:rPr>
          <w:rFonts w:ascii="Times New Roman" w:hAnsi="Times New Roman"/>
          <w:color w:val="000000" w:themeColor="text1"/>
          <w:sz w:val="16"/>
          <w:szCs w:val="16"/>
        </w:rPr>
        <w:softHyphen/>
        <w:t>мости срочного перехода на ДБ-3Ф с М-82 предъявленный самолет может быть временным эталоном с последую</w:t>
      </w:r>
      <w:r w:rsidRPr="008127F8">
        <w:rPr>
          <w:rFonts w:ascii="Times New Roman" w:hAnsi="Times New Roman"/>
          <w:color w:val="000000" w:themeColor="text1"/>
          <w:sz w:val="16"/>
          <w:szCs w:val="16"/>
        </w:rPr>
        <w:softHyphen/>
        <w:t>щим устранением дефектов» (10734,78).</w:t>
      </w:r>
    </w:p>
    <w:p w14:paraId="133ACC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51B2281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 состоялся первый полет Ил-4 М-82. Машину пилотировал летчик Галицкий. В ходе испытаний двигатели постоянно перегревались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завершался выводом: "При необходимости срочного перехода на ДБ-ЗФ с М-82 предъявленный самолет может быть временным эталоном с последующим устранением дефектов" (12021).</w:t>
      </w:r>
    </w:p>
    <w:p w14:paraId="3AB81A3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E0FA193"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1942 г. (по др. данным – 10.02.42 г.) состоялся первый полет Ильюшин Ил-4 (ДБ-3ф 2М-82). Самолет был в серии с конца 1942 г. и до восстановления поставок мотора М-88 в нужных объемах (24262).</w:t>
      </w:r>
    </w:p>
    <w:p w14:paraId="58B65613" w14:textId="77777777" w:rsidR="00153AEB" w:rsidRPr="008A2E5A" w:rsidRDefault="00153AEB" w:rsidP="00153AEB">
      <w:pPr>
        <w:spacing w:after="0" w:line="240" w:lineRule="auto"/>
        <w:jc w:val="both"/>
        <w:rPr>
          <w:rFonts w:ascii="Times New Roman" w:hAnsi="Times New Roman"/>
          <w:color w:val="0070C0"/>
          <w:sz w:val="16"/>
          <w:szCs w:val="16"/>
        </w:rPr>
      </w:pPr>
    </w:p>
    <w:p w14:paraId="43D2D4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года. По "ВЧ" связи секретарь Шахурина Протасов передал Петлякову распоряжение срочно явиться в Москву. Петляков сказал ответственному дежурному по заводу N 22 Васкевичу, что он должен лететь самолетом. Дежурный заявил, что заводской самолет "Дуглас" направляется по маршруту на Сталинград и полетит в столицу после возвращения. Возбужденный Петляков заявил: "Тогда полечу на боевом самолете!"</w:t>
      </w:r>
    </w:p>
    <w:p w14:paraId="0A3B6D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Тема предстоящей командировки обсуждалась в тот же день в кабинете главного инженера завода С.М.Лещенко в присутствии Петлякова, Изаксона и Кутузова. Лещенко предлагал лететь на ПЕ-2. N 905, утверждая, что тот сдан. Вечером Петляков обратился к директору завода Карпову с просьбой дать ему для перелета машину N 905 и получил отказ в связи с тем, что машина еще не принята военным представительством. В целом же директор к проблеме вылета Петлякова отнесся достаточно равнодушно. Главный конструктор поинтересовался у Кутузова, нет ли машин, улетающих в Москву. Тот ответил, что есть самолеты, направляемые в Монино, а оттуда на попутном У-2 можно быстро добраться до Москвы. Петляков наотрез отказался ехать поездом, так как поездка заняла бы не менее двух суток. Кутузов сообщил, что первые </w:t>
      </w:r>
      <w:proofErr w:type="gramStart"/>
      <w:r w:rsidRPr="008127F8">
        <w:rPr>
          <w:rFonts w:ascii="Times New Roman" w:hAnsi="Times New Roman"/>
          <w:color w:val="000000" w:themeColor="text1"/>
          <w:sz w:val="16"/>
          <w:szCs w:val="16"/>
        </w:rPr>
        <w:t>машины возможно</w:t>
      </w:r>
      <w:proofErr w:type="gramEnd"/>
      <w:r w:rsidRPr="008127F8">
        <w:rPr>
          <w:rFonts w:ascii="Times New Roman" w:hAnsi="Times New Roman"/>
          <w:color w:val="000000" w:themeColor="text1"/>
          <w:sz w:val="16"/>
          <w:szCs w:val="16"/>
        </w:rPr>
        <w:t xml:space="preserve"> вылетят 11 января (11313).</w:t>
      </w:r>
    </w:p>
    <w:p w14:paraId="24E4D95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A7197AB"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Получив 10 января 1942 от секретаря А.И. Шахурина </w:t>
      </w:r>
      <w:proofErr w:type="gramStart"/>
      <w:r w:rsidRPr="008127F8">
        <w:rPr>
          <w:rFonts w:ascii="Times New Roman" w:hAnsi="Times New Roman"/>
          <w:color w:val="000000" w:themeColor="text1"/>
          <w:sz w:val="16"/>
          <w:szCs w:val="16"/>
        </w:rPr>
        <w:t>Протасова</w:t>
      </w:r>
      <w:proofErr w:type="gramEnd"/>
      <w:r w:rsidRPr="008127F8">
        <w:rPr>
          <w:rFonts w:ascii="Times New Roman" w:hAnsi="Times New Roman"/>
          <w:color w:val="000000" w:themeColor="text1"/>
          <w:sz w:val="16"/>
          <w:szCs w:val="16"/>
        </w:rPr>
        <w:t xml:space="preserve"> распоряжение срочно явиться в Москву, взвинченный В.М. Петляков принял решение лететь на самолете Пе-2. 12 января 1942 года, через 35 минут после вылета, эта машина потерпела катастрофу. Согласно акту комиссии, произошел пожар на борту самолета на малой высоте, а его «возможная причина — подтекание бензина в зоне правой мотогондолы». Материалы расследования обстоятельств гибели главного конструктора были направлены И.В. Сталину, который попросил А.И. Шахурина объяснить ему нервозное состояние В.М. Петлякова перед вылетом (агентура госбезопасности дала исчерпывающую информацию буквально о каждом его шаге). Узнав о приказе, где говорилось о снятии Пе-2 с производства на 22-м заводе и развертывании там выпуска «103» машины, И.В. Сталин тут же отменил его, а потом позвонил в Казань и сказал А.Н. Туполеву, чтобы тот «убирался в Омск и не показывался» [37].</w:t>
      </w:r>
    </w:p>
    <w:p w14:paraId="72D47181"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смерть В.М. Петлякова стала результатом злополучных совпадений разных обстоятельств, не последнюю роль в которых играли интриги и вражда различных высоких должностных лиц авиапрома, деливших через производственные мощности сферы своего влияния в этой структуре. Примечательно, что высшее руководство страны было прекрасно осведомлено об этом, так как на заводе № 22 после окончания расследования не последовало больших арестов: все ограничилось административными мерами (только начальник аэродромной группы военного представительства А.Х. Кабакчиев, вызванный после окончания расследования в Москву, на заводе больше не появился, а его дальнейшая судьба неизвестна) [38] (18619).</w:t>
      </w:r>
    </w:p>
    <w:p w14:paraId="5B1361C4" w14:textId="77777777" w:rsidR="00D23107" w:rsidRPr="008127F8" w:rsidRDefault="00D23107" w:rsidP="001E0A84">
      <w:pPr>
        <w:spacing w:after="0" w:line="240" w:lineRule="auto"/>
        <w:jc w:val="both"/>
        <w:rPr>
          <w:rFonts w:ascii="Times New Roman" w:hAnsi="Times New Roman"/>
          <w:color w:val="000000" w:themeColor="text1"/>
          <w:sz w:val="16"/>
          <w:szCs w:val="16"/>
        </w:rPr>
      </w:pPr>
    </w:p>
    <w:p w14:paraId="119A787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 завершились официальные совмест</w:t>
      </w:r>
      <w:r w:rsidRPr="008127F8">
        <w:rPr>
          <w:rFonts w:ascii="Times New Roman" w:hAnsi="Times New Roman"/>
          <w:color w:val="000000" w:themeColor="text1"/>
          <w:sz w:val="16"/>
          <w:szCs w:val="16"/>
        </w:rPr>
        <w:softHyphen/>
        <w:t>ные 50-часовые испытания мотора М-90. Эвакуирован</w:t>
      </w:r>
      <w:r w:rsidRPr="008127F8">
        <w:rPr>
          <w:rFonts w:ascii="Times New Roman" w:hAnsi="Times New Roman"/>
          <w:color w:val="000000" w:themeColor="text1"/>
          <w:sz w:val="16"/>
          <w:szCs w:val="16"/>
        </w:rPr>
        <w:softHyphen/>
        <w:t>ный в Омск завод № 29, извещая об этом Поликарпова письмом от 20 января 1942 г., указал также, что на стен</w:t>
      </w:r>
      <w:r w:rsidRPr="008127F8">
        <w:rPr>
          <w:rFonts w:ascii="Times New Roman" w:hAnsi="Times New Roman"/>
          <w:color w:val="000000" w:themeColor="text1"/>
          <w:sz w:val="16"/>
          <w:szCs w:val="16"/>
        </w:rPr>
        <w:softHyphen/>
        <w:t>де мотор развил следующие мощности: на взлетном ре</w:t>
      </w:r>
      <w:r w:rsidRPr="008127F8">
        <w:rPr>
          <w:rFonts w:ascii="Times New Roman" w:hAnsi="Times New Roman"/>
          <w:color w:val="000000" w:themeColor="text1"/>
          <w:sz w:val="16"/>
          <w:szCs w:val="16"/>
        </w:rPr>
        <w:softHyphen/>
        <w:t>жиме - 1960-1900 л.с., на 1-й скорости нагнетателя на высоте 2700 м (без учета скоростного напора) - 1800 л.с., на 2-й скорости нагнетателя на высоте 6100 м (без учета скоростного напора) - 1500 л.с. Там же говорилось:</w:t>
      </w:r>
    </w:p>
    <w:p w14:paraId="6E0B518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проведенных заводских испытаний и с утверждения Государственной Комиссии заводом за</w:t>
      </w:r>
      <w:r w:rsidRPr="008127F8">
        <w:rPr>
          <w:rFonts w:ascii="Times New Roman" w:hAnsi="Times New Roman"/>
          <w:color w:val="000000" w:themeColor="text1"/>
          <w:sz w:val="16"/>
          <w:szCs w:val="16"/>
        </w:rPr>
        <w:softHyphen/>
        <w:t>пущена в производство малая серия моторов М-90 с 50-ти часовым ресурсом до первой переборки для уста</w:t>
      </w:r>
      <w:r w:rsidRPr="008127F8">
        <w:rPr>
          <w:rFonts w:ascii="Times New Roman" w:hAnsi="Times New Roman"/>
          <w:color w:val="000000" w:themeColor="text1"/>
          <w:sz w:val="16"/>
          <w:szCs w:val="16"/>
        </w:rPr>
        <w:softHyphen/>
        <w:t>новки на опытные самолеты.</w:t>
      </w:r>
    </w:p>
    <w:p w14:paraId="4343970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проводит подготовку к проведению государст</w:t>
      </w:r>
      <w:r w:rsidRPr="008127F8">
        <w:rPr>
          <w:rFonts w:ascii="Times New Roman" w:hAnsi="Times New Roman"/>
          <w:color w:val="000000" w:themeColor="text1"/>
          <w:sz w:val="16"/>
          <w:szCs w:val="16"/>
        </w:rPr>
        <w:softHyphen/>
        <w:t>венных испытаний мотора на срок службы 100 час. Го</w:t>
      </w:r>
      <w:r w:rsidRPr="008127F8">
        <w:rPr>
          <w:rFonts w:ascii="Times New Roman" w:hAnsi="Times New Roman"/>
          <w:color w:val="000000" w:themeColor="text1"/>
          <w:sz w:val="16"/>
          <w:szCs w:val="16"/>
        </w:rPr>
        <w:softHyphen/>
        <w:t>сударственные испытания мотора будут закончены в феврале месяце с.г., после чего завод приступит к серий</w:t>
      </w:r>
      <w:r w:rsidRPr="008127F8">
        <w:rPr>
          <w:rFonts w:ascii="Times New Roman" w:hAnsi="Times New Roman"/>
          <w:color w:val="000000" w:themeColor="text1"/>
          <w:sz w:val="16"/>
          <w:szCs w:val="16"/>
        </w:rPr>
        <w:softHyphen/>
        <w:t>ному производству моторов М-90.</w:t>
      </w:r>
    </w:p>
    <w:p w14:paraId="1305286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М-90 первой партии будут выпущены с кар</w:t>
      </w:r>
      <w:r w:rsidRPr="008127F8">
        <w:rPr>
          <w:rFonts w:ascii="Times New Roman" w:hAnsi="Times New Roman"/>
          <w:color w:val="000000" w:themeColor="text1"/>
          <w:sz w:val="16"/>
          <w:szCs w:val="16"/>
        </w:rPr>
        <w:softHyphen/>
        <w:t>бюратором, последующие - предположено выпускать с насосом для непосредственного впрыска топлива.</w:t>
      </w:r>
    </w:p>
    <w:p w14:paraId="47EAE6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Просим дать заключение о возможности примене</w:t>
      </w:r>
      <w:r w:rsidRPr="008127F8">
        <w:rPr>
          <w:rFonts w:ascii="Times New Roman" w:hAnsi="Times New Roman"/>
          <w:color w:val="000000" w:themeColor="text1"/>
          <w:sz w:val="16"/>
          <w:szCs w:val="16"/>
        </w:rPr>
        <w:softHyphen/>
        <w:t>ния моторов М-90 на Ваших самолетах» (10667).</w:t>
      </w:r>
    </w:p>
    <w:p w14:paraId="1994181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16CD47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271FB638" w14:textId="77777777" w:rsidR="00D4651C" w:rsidRPr="008127F8" w:rsidRDefault="00D4651C" w:rsidP="001E0A84">
      <w:pPr>
        <w:pStyle w:val="Iauiue"/>
        <w:jc w:val="both"/>
        <w:rPr>
          <w:iCs/>
          <w:color w:val="000000" w:themeColor="text1"/>
          <w:sz w:val="16"/>
          <w:szCs w:val="16"/>
        </w:rPr>
      </w:pPr>
    </w:p>
    <w:p w14:paraId="069E45C8"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w:t>
      </w:r>
    </w:p>
    <w:p w14:paraId="00E7CF6B" w14:textId="5C1605AA"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1 Дело 4 лист 41</w:t>
      </w:r>
      <w:r w:rsidR="008127F8">
        <w:rPr>
          <w:rFonts w:ascii="Times New Roman" w:hAnsi="Times New Roman"/>
          <w:color w:val="000000" w:themeColor="text1"/>
          <w:sz w:val="16"/>
          <w:szCs w:val="16"/>
        </w:rPr>
        <w:t xml:space="preserve">  </w:t>
      </w:r>
    </w:p>
    <w:p w14:paraId="580CF377"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подлежит оглашению.</w:t>
      </w:r>
    </w:p>
    <w:p w14:paraId="03E513E5"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638FA35"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СОЮЗА ССР</w:t>
      </w:r>
    </w:p>
    <w:p w14:paraId="52E377B4"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16-М</w:t>
      </w:r>
    </w:p>
    <w:p w14:paraId="7B7413EC"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 Москва</w:t>
      </w:r>
    </w:p>
    <w:p w14:paraId="2F2D3547"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w:t>
      </w:r>
    </w:p>
    <w:p w14:paraId="7461B809" w14:textId="754B117F"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Совета Народных Комиссаров Союза ССР от 3.I.1942 г. "О порядке направления в военные трибуналы дел о преступлениях, предусмотренных Указом Президиума Верховного Совета СССР от 26 декабря 1941 года" ПРИКАЗЫВАЮ:</w:t>
      </w:r>
      <w:r w:rsidR="008127F8">
        <w:rPr>
          <w:rFonts w:ascii="Times New Roman" w:hAnsi="Times New Roman"/>
          <w:color w:val="000000" w:themeColor="text1"/>
          <w:sz w:val="16"/>
          <w:szCs w:val="16"/>
        </w:rPr>
        <w:t xml:space="preserve">  </w:t>
      </w:r>
    </w:p>
    <w:p w14:paraId="63DE29E7" w14:textId="69223FA8"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Всем директорам заводов Наркомата танковой промышленности материалы на рабочих и служащих, самовольно ушедших с предприятия, направлять Военному Прокурору, а там, где нет Военного Прокурора, районному (городскому) прокурора по месту нахождения предприятия не позднее, чем на следующий день после установления факта самовольного ухода (дезертирства).</w:t>
      </w:r>
      <w:r w:rsidR="008127F8">
        <w:rPr>
          <w:rFonts w:ascii="Times New Roman" w:hAnsi="Times New Roman"/>
          <w:color w:val="000000" w:themeColor="text1"/>
          <w:sz w:val="16"/>
          <w:szCs w:val="16"/>
        </w:rPr>
        <w:t xml:space="preserve">  </w:t>
      </w:r>
    </w:p>
    <w:p w14:paraId="5CFA6DD7" w14:textId="783F3D02"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Материалы, направляемые </w:t>
      </w:r>
      <w:proofErr w:type="gramStart"/>
      <w:r w:rsidRPr="008127F8">
        <w:rPr>
          <w:rFonts w:ascii="Times New Roman" w:hAnsi="Times New Roman"/>
          <w:color w:val="000000" w:themeColor="text1"/>
          <w:sz w:val="16"/>
          <w:szCs w:val="16"/>
        </w:rPr>
        <w:t>прокурору</w:t>
      </w:r>
      <w:proofErr w:type="gramEnd"/>
      <w:r w:rsidRPr="008127F8">
        <w:rPr>
          <w:rFonts w:ascii="Times New Roman" w:hAnsi="Times New Roman"/>
          <w:color w:val="000000" w:themeColor="text1"/>
          <w:sz w:val="16"/>
          <w:szCs w:val="16"/>
        </w:rPr>
        <w:t xml:space="preserve"> должны содержать:</w:t>
      </w:r>
      <w:r w:rsidR="008127F8">
        <w:rPr>
          <w:rFonts w:ascii="Times New Roman" w:hAnsi="Times New Roman"/>
          <w:color w:val="000000" w:themeColor="text1"/>
          <w:sz w:val="16"/>
          <w:szCs w:val="16"/>
        </w:rPr>
        <w:t xml:space="preserve">  </w:t>
      </w:r>
    </w:p>
    <w:p w14:paraId="0E54B2AA" w14:textId="04AF60A1"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выписку из приказа по предприятию, устанавливающего факт самовольного ухода с приложением документов, послуживших основанием для издания приказа;</w:t>
      </w:r>
      <w:r w:rsidR="008127F8">
        <w:rPr>
          <w:rFonts w:ascii="Times New Roman" w:hAnsi="Times New Roman"/>
          <w:color w:val="000000" w:themeColor="text1"/>
          <w:sz w:val="16"/>
          <w:szCs w:val="16"/>
        </w:rPr>
        <w:t xml:space="preserve">  </w:t>
      </w:r>
    </w:p>
    <w:p w14:paraId="6256EA43" w14:textId="35D303C6"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личные документы (паспорт, воинский билет и др.) привлекаемого к ответственности, имеющиеся у администрации предприятия;</w:t>
      </w:r>
      <w:r w:rsidR="008127F8">
        <w:rPr>
          <w:rFonts w:ascii="Times New Roman" w:hAnsi="Times New Roman"/>
          <w:color w:val="000000" w:themeColor="text1"/>
          <w:sz w:val="16"/>
          <w:szCs w:val="16"/>
        </w:rPr>
        <w:t xml:space="preserve">  </w:t>
      </w:r>
    </w:p>
    <w:p w14:paraId="3B66099F" w14:textId="12E2DBDF"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справку о дисциплинарных взысканиях, если привлекаемый к ответственности ранее им подвергался.</w:t>
      </w:r>
      <w:r w:rsidR="008127F8">
        <w:rPr>
          <w:rFonts w:ascii="Times New Roman" w:hAnsi="Times New Roman"/>
          <w:color w:val="000000" w:themeColor="text1"/>
          <w:sz w:val="16"/>
          <w:szCs w:val="16"/>
        </w:rPr>
        <w:t xml:space="preserve">  </w:t>
      </w:r>
    </w:p>
    <w:p w14:paraId="548BE736" w14:textId="075DEEE1"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Совет Народных Комиссаров СССР обязал:</w:t>
      </w:r>
      <w:r w:rsidR="008127F8">
        <w:rPr>
          <w:rFonts w:ascii="Times New Roman" w:hAnsi="Times New Roman"/>
          <w:color w:val="000000" w:themeColor="text1"/>
          <w:sz w:val="16"/>
          <w:szCs w:val="16"/>
        </w:rPr>
        <w:t xml:space="preserve">  </w:t>
      </w:r>
    </w:p>
    <w:p w14:paraId="1631E347" w14:textId="13F8F942"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соответствующие органы прокуратуры материалы, указанные в п. 1 настоящего постановления, немедленно направлять в ближайший Военный Трибунал со своим постановлением о привлечении обвиняемого к ответственности и об избрании меры пресечения;</w:t>
      </w:r>
      <w:r w:rsidR="008127F8">
        <w:rPr>
          <w:rFonts w:ascii="Times New Roman" w:hAnsi="Times New Roman"/>
          <w:color w:val="000000" w:themeColor="text1"/>
          <w:sz w:val="16"/>
          <w:szCs w:val="16"/>
        </w:rPr>
        <w:t xml:space="preserve">  </w:t>
      </w:r>
    </w:p>
    <w:p w14:paraId="12E8DA69"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военные трибуналы дела о преступлениях, предусмотренных Указом Президиума Верховного Совета Союза ССР от 26 декабря 1941 г. рассматривать немедленно по их получении во внеочередном порядке.</w:t>
      </w:r>
    </w:p>
    <w:p w14:paraId="0A0FA9CB"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ЗАМ. НАРОДНОГО КОМИССАРА ТАНКОВОЙ ПРОМЫШЛЕННОСТИ СОЮЗА ССР</w:t>
      </w:r>
    </w:p>
    <w:p w14:paraId="15F17457"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(НОСЕНКО) (18442).</w:t>
      </w:r>
    </w:p>
    <w:p w14:paraId="6B08EBCB" w14:textId="77777777" w:rsidR="00D23107" w:rsidRPr="008127F8" w:rsidRDefault="00D23107" w:rsidP="001E0A84">
      <w:pPr>
        <w:spacing w:after="0" w:line="240" w:lineRule="auto"/>
        <w:jc w:val="both"/>
        <w:rPr>
          <w:rFonts w:ascii="Times New Roman" w:hAnsi="Times New Roman"/>
          <w:color w:val="000000" w:themeColor="text1"/>
          <w:sz w:val="16"/>
          <w:szCs w:val="16"/>
        </w:rPr>
      </w:pPr>
    </w:p>
    <w:p w14:paraId="504AC1CE" w14:textId="77777777" w:rsidR="002D4793" w:rsidRPr="008127F8" w:rsidRDefault="002D479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10 января 1942 года первый танк был изготовлен на заводе № 38 в Кирове. Согласно заключённому с заводом №38 договору, цена полностью укомплектованного Т-60 составила 75 тысяч рублей.</w:t>
      </w:r>
    </w:p>
    <w:p w14:paraId="5EF9EDCD" w14:textId="77777777" w:rsidR="002D4793" w:rsidRPr="008127F8" w:rsidRDefault="002D479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Первоначально предполагалось, что завод №38 будет заниматься тем же самым, то есть обеспечивать другие предприятия корпусами и башнями. Достаточно быстро выяснилось, что мощности нового завода позволяют гораздо больше, чем корпусное производство. Было принято решение об организации на заводе №38 производства танков Т-60. На январь 1942 года он получил план по выпуску 200 машин. В качестве поставщиков полуобрезного бронелиста предприятию выделили Нижнетагильский и Чусовской металлургические заводы. Имелась кооперация с СТЗ по каткам, тракам и ряду других деталей, двигатели шли с ГАЗ им. Молотова, бандажи поставлял Ярославский шинный завод.</w:t>
      </w:r>
    </w:p>
    <w:p w14:paraId="3524B5E1" w14:textId="77777777" w:rsidR="002D4793" w:rsidRPr="008127F8" w:rsidRDefault="002D479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Подготовка завода №38 к производству танков по ряду причин затянулась. Несмотря на </w:t>
      </w:r>
      <w:proofErr w:type="gramStart"/>
      <w:r w:rsidRPr="008127F8">
        <w:rPr>
          <w:rFonts w:ascii="Times New Roman" w:eastAsia="Times New Roman" w:hAnsi="Times New Roman"/>
          <w:color w:val="000000" w:themeColor="text1"/>
          <w:sz w:val="16"/>
          <w:szCs w:val="16"/>
          <w:lang w:eastAsia="ru-RU"/>
        </w:rPr>
        <w:t>то</w:t>
      </w:r>
      <w:proofErr w:type="gramEnd"/>
      <w:r w:rsidRPr="008127F8">
        <w:rPr>
          <w:rFonts w:ascii="Times New Roman" w:eastAsia="Times New Roman" w:hAnsi="Times New Roman"/>
          <w:color w:val="000000" w:themeColor="text1"/>
          <w:sz w:val="16"/>
          <w:szCs w:val="16"/>
          <w:lang w:eastAsia="ru-RU"/>
        </w:rPr>
        <w:t xml:space="preserve"> что к началу 1942 года удалось подготовить значительную часть производственных площадей, полностью завершить работы не удалось. К началу февраля оставались не законченными пролёт сборочного цеха, компрессорная электростанция и мартеновская печь, часть цехов не была пущена в эксплуатацию. Кроме того, неразбериха в ходе эвакуации привела к тому, что часть заводского оборудования прибыла вместо Кирова в Свердловск, Молотов (ныне Пермь) и Казань, пришлось тратить время, чтобы довезти его до места назначения.</w:t>
      </w:r>
    </w:p>
    <w:p w14:paraId="5C623B7F" w14:textId="77777777" w:rsidR="002D4793" w:rsidRPr="008127F8" w:rsidRDefault="002D479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выпуск танков сильно повлиял и срыв поставок агрегатов заводами-кооператорами. Например, ГАЗ прислал значительно меньший объём моторов, а также литых и штампованных деталей. К 1 февраля 1942 года на заводе №38 имелось 50 двигателей, из них 30 не были укомплектованы электрооборудованием. Имелись серьёзные перебои в поставках иного электрооборудования, не хватало радиаторов, шарикоподшипников и других деталей. В результате вместо 200 запланированных танков удалось сдать лишь 4, причём это были не Т-60, а Т-30, собранные из существовавшего задела по корпусам (17672).</w:t>
      </w:r>
    </w:p>
    <w:p w14:paraId="3F917145" w14:textId="77777777" w:rsidR="002D4793" w:rsidRPr="008127F8" w:rsidRDefault="002D4793" w:rsidP="001E0A84">
      <w:pPr>
        <w:pStyle w:val="12a"/>
        <w:shd w:val="clear" w:color="auto" w:fill="auto"/>
        <w:tabs>
          <w:tab w:val="left" w:pos="596"/>
        </w:tabs>
        <w:spacing w:after="0" w:line="240" w:lineRule="auto"/>
        <w:jc w:val="both"/>
        <w:rPr>
          <w:color w:val="000000" w:themeColor="text1"/>
          <w:sz w:val="16"/>
          <w:szCs w:val="16"/>
        </w:rPr>
      </w:pPr>
    </w:p>
    <w:p w14:paraId="49B340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г. на площадке эвакуированного завода № 510 НКБ, переданной НКОМ, на базе реэвакуированного оборудования завода был создан Завод № 548 НКБ, МСХМ, п/я 17, Ногинский завод топливной аппаратуры (НЗТА) им. 50-летия Октября, ОАО «НЗТА» /г. Ногинск Московской обл. п/я 17 «Круг» (1943 г.)/ /142400  г. Ногинск Московской обл. ул. Индустриальная, 41/. В 12.1942г-04.1943. - в ведении 5ГУ НКБ, в 08.1943- 09.1944 г. - в ведении 8ГУ. Имел обозначение «п/я 17» (1943 г.).</w:t>
      </w:r>
    </w:p>
    <w:p w14:paraId="7CC7FA0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цехи (1943 г.): основные: № 1, 2, 3, 4, 10, 11; вспомогательные: № 7, 8, энергетический. Количество оборудования- 527 ед.</w:t>
      </w:r>
    </w:p>
    <w:p w14:paraId="1ED027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завод № 548 передан в качестве опытного производства ГСКБ-398 для сборки опытных партий боеприпасов. В том же году по приказу Министерства автотракторной промышленности № 425 на базе завода образован НЗТА. Ему было поручено первому в стране создать массовое специализированное производство топливной аппаратуры для тракторных дизелей.</w:t>
      </w:r>
    </w:p>
    <w:p w14:paraId="329698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1995 г. освоен выпуск топливных насосов для дизелей Владимирского тракторного завода (взамен насосов Вильнюсского завода), с 1996 г.- для дизелей ЗиЛ «Бычок», автобусов ЛАЗ и ПАЗ.</w:t>
      </w:r>
    </w:p>
    <w:p w14:paraId="567508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топливные насосы и форсунки для дизелей тракторов «Беларусь», Кишиневского, Владимирского и Ташкентского тракторных заводов; топливная аппаратура для экскаваторов, строительных и дорожных машин, электростанций, судовых дизельгенераторов.</w:t>
      </w:r>
    </w:p>
    <w:p w14:paraId="62E6FD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(1943 г.): производственная- 14492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вспомогательная- 4100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прочая- 8320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528969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г.)- 2740 чел., (2000-е)- более 2000 чел.</w:t>
      </w:r>
    </w:p>
    <w:p w14:paraId="7CB35B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Михайлов, (1944-45 г.)- А.В. Домрачев.</w:t>
      </w:r>
    </w:p>
    <w:p w14:paraId="07D8D2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механик (04.1943 г.)- Бибиков.</w:t>
      </w:r>
    </w:p>
    <w:p w14:paraId="2412695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ППО (04.1943 г.)- Щербаков.</w:t>
      </w:r>
    </w:p>
    <w:p w14:paraId="715F89E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снаряды, патроны, гильзы (1943</w:t>
      </w:r>
      <w:proofErr w:type="gramStart"/>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Ь</w:t>
      </w:r>
      <w:proofErr w:type="gramEnd"/>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топливные насосы для дизелей: 4ТН для трактора КД-35 (1947-) (11982).</w:t>
      </w:r>
    </w:p>
    <w:p w14:paraId="7939C984" w14:textId="77777777" w:rsidR="00F06FA1" w:rsidRPr="008127F8" w:rsidRDefault="00F06FA1" w:rsidP="001E0A84">
      <w:pPr>
        <w:spacing w:after="0" w:line="240" w:lineRule="auto"/>
        <w:jc w:val="both"/>
        <w:rPr>
          <w:rFonts w:ascii="Times New Roman" w:hAnsi="Times New Roman"/>
          <w:color w:val="000000" w:themeColor="text1"/>
          <w:sz w:val="16"/>
          <w:szCs w:val="16"/>
        </w:rPr>
      </w:pPr>
    </w:p>
    <w:p w14:paraId="38F4B7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вышло Постановление ГКО № 1118 Об увеличении производства мин 50 мм, 82 мм и 120 мм в гор. Москве и Московской области в I квартале 1942. РГАНИР, Фонд ГКО, д. 19, лл. 19-27, 28-42 (11012).</w:t>
      </w:r>
    </w:p>
    <w:p w14:paraId="1F222F4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D7D6D4B" w14:textId="11559818" w:rsidR="008D722B" w:rsidRPr="008127F8" w:rsidRDefault="008D722B"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К 10 января 1942 года первый танк Т-60 был изготовлен в Киро</w:t>
      </w:r>
      <w:r w:rsidRPr="008127F8">
        <w:rPr>
          <w:rFonts w:eastAsia="Calibri"/>
          <w:color w:val="000000" w:themeColor="text1"/>
          <w:sz w:val="16"/>
          <w:szCs w:val="16"/>
        </w:rPr>
        <w:softHyphen/>
        <w:t>ве. Согласно заключен</w:t>
      </w:r>
      <w:r w:rsidRPr="008127F8">
        <w:rPr>
          <w:rFonts w:eastAsia="Calibri"/>
          <w:color w:val="000000" w:themeColor="text1"/>
          <w:sz w:val="16"/>
          <w:szCs w:val="16"/>
        </w:rPr>
        <w:softHyphen/>
        <w:t>ному с заводом № 38 договору, цена на пол</w:t>
      </w:r>
      <w:r w:rsidRPr="008127F8">
        <w:rPr>
          <w:rFonts w:eastAsia="Calibri"/>
          <w:color w:val="000000" w:themeColor="text1"/>
          <w:sz w:val="16"/>
          <w:szCs w:val="16"/>
        </w:rPr>
        <w:softHyphen/>
        <w:t xml:space="preserve">ностью укомплектованный Т-60 составила </w:t>
      </w:r>
      <w:proofErr w:type="gramStart"/>
      <w:r w:rsidRPr="008127F8">
        <w:rPr>
          <w:rFonts w:eastAsia="Calibri"/>
          <w:color w:val="000000" w:themeColor="text1"/>
          <w:sz w:val="16"/>
          <w:szCs w:val="16"/>
        </w:rPr>
        <w:t>75</w:t>
      </w:r>
      <w:r w:rsidR="008127F8">
        <w:rPr>
          <w:rFonts w:eastAsia="Calibri"/>
          <w:color w:val="000000" w:themeColor="text1"/>
          <w:sz w:val="16"/>
          <w:szCs w:val="16"/>
        </w:rPr>
        <w:t xml:space="preserve">  </w:t>
      </w:r>
      <w:r w:rsidRPr="008127F8">
        <w:rPr>
          <w:rFonts w:eastAsia="Calibri"/>
          <w:color w:val="000000" w:themeColor="text1"/>
          <w:sz w:val="16"/>
          <w:szCs w:val="16"/>
        </w:rPr>
        <w:t>000</w:t>
      </w:r>
      <w:proofErr w:type="gramEnd"/>
      <w:r w:rsidRPr="008127F8">
        <w:rPr>
          <w:rFonts w:eastAsia="Calibri"/>
          <w:color w:val="000000" w:themeColor="text1"/>
          <w:sz w:val="16"/>
          <w:szCs w:val="16"/>
        </w:rPr>
        <w:t xml:space="preserve"> рублей, поставка радийных танков не предусматривалась. Подготовка завода № 38 к производству танков по ряду причин затянулась. Несмо</w:t>
      </w:r>
      <w:r w:rsidRPr="008127F8">
        <w:rPr>
          <w:rFonts w:eastAsia="Calibri"/>
          <w:color w:val="000000" w:themeColor="text1"/>
          <w:sz w:val="16"/>
          <w:szCs w:val="16"/>
        </w:rPr>
        <w:softHyphen/>
        <w:t xml:space="preserve">тря на </w:t>
      </w:r>
      <w:proofErr w:type="gramStart"/>
      <w:r w:rsidRPr="008127F8">
        <w:rPr>
          <w:rFonts w:eastAsia="Calibri"/>
          <w:color w:val="000000" w:themeColor="text1"/>
          <w:sz w:val="16"/>
          <w:szCs w:val="16"/>
        </w:rPr>
        <w:t>то</w:t>
      </w:r>
      <w:proofErr w:type="gramEnd"/>
      <w:r w:rsidRPr="008127F8">
        <w:rPr>
          <w:rFonts w:eastAsia="Calibri"/>
          <w:color w:val="000000" w:themeColor="text1"/>
          <w:sz w:val="16"/>
          <w:szCs w:val="16"/>
        </w:rPr>
        <w:t xml:space="preserve"> что к началу 1942 года удалось подготовить значительную часть производ</w:t>
      </w:r>
      <w:r w:rsidRPr="008127F8">
        <w:rPr>
          <w:rFonts w:eastAsia="Calibri"/>
          <w:color w:val="000000" w:themeColor="text1"/>
          <w:sz w:val="16"/>
          <w:szCs w:val="16"/>
        </w:rPr>
        <w:softHyphen/>
        <w:t>ственных площадей, полностью завершить работы не удалось. К началу февраля остава</w:t>
      </w:r>
      <w:r w:rsidRPr="008127F8">
        <w:rPr>
          <w:rFonts w:eastAsia="Calibri"/>
          <w:color w:val="000000" w:themeColor="text1"/>
          <w:sz w:val="16"/>
          <w:szCs w:val="16"/>
        </w:rPr>
        <w:softHyphen/>
        <w:t>лись незакончены пролет сборочного цеха, компрессорная электростанция и мартенов</w:t>
      </w:r>
      <w:r w:rsidRPr="008127F8">
        <w:rPr>
          <w:rFonts w:eastAsia="Calibri"/>
          <w:color w:val="000000" w:themeColor="text1"/>
          <w:sz w:val="16"/>
          <w:szCs w:val="16"/>
        </w:rPr>
        <w:softHyphen/>
        <w:t>ская печь, часть цехов не была пущена в экс</w:t>
      </w:r>
      <w:r w:rsidRPr="008127F8">
        <w:rPr>
          <w:rFonts w:eastAsia="Calibri"/>
          <w:color w:val="000000" w:themeColor="text1"/>
          <w:sz w:val="16"/>
          <w:szCs w:val="16"/>
        </w:rPr>
        <w:softHyphen/>
        <w:t>плуатацию. Кроме того, неразбериха в ходе эвакуации привела к тому, что часть обору</w:t>
      </w:r>
      <w:r w:rsidRPr="008127F8">
        <w:rPr>
          <w:rFonts w:eastAsia="Calibri"/>
          <w:color w:val="000000" w:themeColor="text1"/>
          <w:sz w:val="16"/>
          <w:szCs w:val="16"/>
        </w:rPr>
        <w:softHyphen/>
        <w:t>дования прибыла вместо Кирова в Сверд</w:t>
      </w:r>
      <w:r w:rsidRPr="008127F8">
        <w:rPr>
          <w:rFonts w:eastAsia="Calibri"/>
          <w:color w:val="000000" w:themeColor="text1"/>
          <w:sz w:val="16"/>
          <w:szCs w:val="16"/>
        </w:rPr>
        <w:softHyphen/>
        <w:t>ловск, Молотов (ныне г. Новокузнецк) и Казань, пришлось потратить время, чтобы довезти оборудование до места назначения. На выпуск танков сильно повлиял срыв поставок агрегатов завода</w:t>
      </w:r>
      <w:r w:rsidRPr="008127F8">
        <w:rPr>
          <w:rFonts w:eastAsia="Calibri"/>
          <w:color w:val="000000" w:themeColor="text1"/>
          <w:sz w:val="16"/>
          <w:szCs w:val="16"/>
        </w:rPr>
        <w:softHyphen/>
        <w:t>ми-кооператорами, например ГАЗ прислал значительно меньший объем моторов, а также литых и штампованных деталей (17485).</w:t>
      </w:r>
    </w:p>
    <w:p w14:paraId="4FD6CBA8" w14:textId="77777777" w:rsidR="008D722B" w:rsidRPr="008127F8" w:rsidRDefault="008D722B" w:rsidP="001E0A84">
      <w:pPr>
        <w:pStyle w:val="a4"/>
        <w:rPr>
          <w:color w:val="000000" w:themeColor="text1"/>
          <w:lang w:val="ru-RU"/>
        </w:rPr>
      </w:pPr>
    </w:p>
    <w:p w14:paraId="7E4FDE2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января 1942 К.Е.В. осмотрел БА-64 (4349).</w:t>
      </w:r>
    </w:p>
    <w:p w14:paraId="590A23C8" w14:textId="77777777" w:rsidR="00D4651C" w:rsidRPr="008127F8" w:rsidRDefault="00D4651C" w:rsidP="001E0A84">
      <w:pPr>
        <w:pStyle w:val="Iauiue"/>
        <w:jc w:val="both"/>
        <w:rPr>
          <w:color w:val="000000" w:themeColor="text1"/>
          <w:sz w:val="16"/>
          <w:szCs w:val="16"/>
        </w:rPr>
      </w:pPr>
    </w:p>
    <w:p w14:paraId="750B90A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10 января 1942 года </w:t>
      </w:r>
      <w:proofErr w:type="gramStart"/>
      <w:r w:rsidRPr="008127F8">
        <w:rPr>
          <w:color w:val="000000" w:themeColor="text1"/>
          <w:sz w:val="16"/>
          <w:szCs w:val="16"/>
        </w:rPr>
        <w:t>согласно приказа</w:t>
      </w:r>
      <w:proofErr w:type="gramEnd"/>
      <w:r w:rsidRPr="008127F8">
        <w:rPr>
          <w:color w:val="000000" w:themeColor="text1"/>
          <w:sz w:val="16"/>
          <w:szCs w:val="16"/>
        </w:rPr>
        <w:t xml:space="preserve"> НКБ за № 6с и постановления КО г. Тулы началось восстановление вновь завода № 176 (Паспорт завода № 176 на 1942 год НКБ).</w:t>
      </w:r>
    </w:p>
    <w:p w14:paraId="57BA926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176 в октябре 1941 года был эвакуирован в Орск. В течение ноября и декабря 1941 года оставшийся персонал завода производил ремонт танков и автомашин для КА.</w:t>
      </w:r>
    </w:p>
    <w:p w14:paraId="2B8EFA3E" w14:textId="77777777" w:rsidR="00D4651C" w:rsidRPr="008127F8" w:rsidRDefault="00D4651C" w:rsidP="001E0A84">
      <w:pPr>
        <w:pStyle w:val="Iauiue"/>
        <w:jc w:val="both"/>
        <w:rPr>
          <w:color w:val="000000" w:themeColor="text1"/>
          <w:sz w:val="16"/>
          <w:szCs w:val="16"/>
        </w:rPr>
      </w:pPr>
      <w:proofErr w:type="gramStart"/>
      <w:r w:rsidRPr="008127F8">
        <w:rPr>
          <w:color w:val="000000" w:themeColor="text1"/>
          <w:sz w:val="16"/>
          <w:szCs w:val="16"/>
        </w:rPr>
        <w:t>Согласно постановления</w:t>
      </w:r>
      <w:proofErr w:type="gramEnd"/>
      <w:r w:rsidRPr="008127F8">
        <w:rPr>
          <w:color w:val="000000" w:themeColor="text1"/>
          <w:sz w:val="16"/>
          <w:szCs w:val="16"/>
        </w:rPr>
        <w:t xml:space="preserve"> ГКО от 3 января 1942 года за № 1091сс завод приступил к восстановительным работам по монтажу оборудования основных цехов завода (9997).</w:t>
      </w:r>
    </w:p>
    <w:p w14:paraId="2722F64A" w14:textId="77777777" w:rsidR="00D4651C" w:rsidRPr="008127F8" w:rsidRDefault="00D4651C" w:rsidP="001E0A84">
      <w:pPr>
        <w:pStyle w:val="Iauiue"/>
        <w:jc w:val="both"/>
        <w:rPr>
          <w:color w:val="000000" w:themeColor="text1"/>
          <w:sz w:val="16"/>
          <w:szCs w:val="16"/>
        </w:rPr>
      </w:pPr>
    </w:p>
    <w:p w14:paraId="034F3F97"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10 января 1942 военпред ГУС КА военинженер 3 ранга П.Марков сообщил своему руководству о положении дел на заводе №191 по состоянию на 10.1.42 г.</w:t>
      </w:r>
    </w:p>
    <w:p w14:paraId="12473B01"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«В конце декабря м-ца вынесено решение 5-го пленума ЦК КП/б/Уз. относительно пуска завода № 191 в Ташкенте.</w:t>
      </w:r>
    </w:p>
    <w:p w14:paraId="51AF6337"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1.Заводу предоставили здание бывшего Исторического музея площадью 3500 кв.м., это здание требует внутри себя некоторой переделки, поэтому в решении записано: «Закончить строительные работы по приспособлению зданий для монтажа и оборудования основных цехов к 20.1.42 г., а монтаж оборудования закончить к 1.2.42 г.»</w:t>
      </w:r>
    </w:p>
    <w:p w14:paraId="507E1B42"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2. В Ташкенте нет газового и стекольного заводов, срок для постройки этих заводов установлен: газового завода – к 10.2.42 и стекольного – к 15.3.42.</w:t>
      </w:r>
    </w:p>
    <w:p w14:paraId="10E88A7F"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3. Оборудование и материалы поступают очень медленно, всего поступило около 40% от всего количества, высланного в Ташкент.</w:t>
      </w:r>
    </w:p>
    <w:p w14:paraId="4415E39B"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4. Необходимой площади для всего завода еще нет, большинство семей рабочих находятся на производственной площади завода.</w:t>
      </w:r>
    </w:p>
    <w:p w14:paraId="16C9975D"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5. До сих пор отсутствует руководство заводом со стороны наркома и главка; с ними завод еще не имеет связи.</w:t>
      </w:r>
    </w:p>
    <w:p w14:paraId="4EC08D65"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6. Ни один из заводов, изготовляющих средства радиосвязи для ГУС КА (3, 193, 197, 203 и 512), не дал заявок на потребность в радиолампах.</w:t>
      </w:r>
    </w:p>
    <w:p w14:paraId="4BFD47E3"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7. О ходе пуска завода мною поставлены в известность секретарь ЦК КП/б/Уз., инструктор, инструктор ЦК по заводам.</w:t>
      </w:r>
    </w:p>
    <w:p w14:paraId="4EBBB465"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ВЧЕРА было дано ЛИЧНОЕ УКАЗАНИЕ ТОВАРИЩА СТАЛИНА секретарю ЦК КП/б/Уз. о принятии ВСЕХ МЕР ДЛЯ СКОРЕЙШЕГО ПУСКА ЗАВОДА. Сейчас готовится проект постановления ЦК Узбекистана согласно указаний тов. Сталина с указанием всех сроков пуска завода» (17424).</w:t>
      </w:r>
    </w:p>
    <w:p w14:paraId="120453DF"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4B1248E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1784D823" w14:textId="77777777" w:rsidR="00D4651C" w:rsidRPr="008127F8" w:rsidRDefault="00D4651C" w:rsidP="001E0A84">
      <w:pPr>
        <w:pStyle w:val="Iauiue"/>
        <w:jc w:val="both"/>
        <w:rPr>
          <w:iCs/>
          <w:color w:val="000000" w:themeColor="text1"/>
          <w:sz w:val="16"/>
          <w:szCs w:val="16"/>
        </w:rPr>
      </w:pPr>
    </w:p>
    <w:p w14:paraId="5E646BFD"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4D8FA85E"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10 января наши войска вели бои с противником на всех фронтах.</w:t>
      </w:r>
    </w:p>
    <w:p w14:paraId="1B3B07BA"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два дня боёв на одном из участков Западного фронта наша часть выбила немцев из трёх населённых пунктов и захватила танк, 7 орудий, 11 пулемётов, 4 миномета и большое количество боеприпасов.</w:t>
      </w:r>
    </w:p>
    <w:p w14:paraId="42A41B6C"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внезапно атаковав позиции неприятеля (Юго-Западный фронт), разгромили штаб немецкого батальона и истребили 160 солдат и 8 офицеров противника.</w:t>
      </w:r>
    </w:p>
    <w:p w14:paraId="2CBCE88F"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Наша часть, действующая на одном из участков Ленинградского фронта, за один день боёв с противником разрушила 15 вражеских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точек и блиндажей и истребила более 260 немецких солдат и офицеров.</w:t>
      </w:r>
    </w:p>
    <w:p w14:paraId="6632861F"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 Моисеев в бою за деревню Н. огнём своего миномёта подбил вражескую танкетку и уничтожил 15 немецких солдат.</w:t>
      </w:r>
    </w:p>
    <w:p w14:paraId="3B503ABD"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отделения сержант тов. Цвельев во время уличного боя в селении П. ворвался в один из домов, где находились немцы, и огнём из своего автомата уничтожил 20 вражеских солдат.</w:t>
      </w:r>
    </w:p>
    <w:p w14:paraId="0FEA3895"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харьковских партизан под командованием тов. С. совершил нападение на комендатуру немецкой полиции в селении К. и уничтожил 25 полицейских, в том числе начальника полиции. Захвачены трофеи: 2 пулемёта, 2 автомата, 150 винтовок, 12.000 патронов, автомашина, 250 литров бензина и важные документы.</w:t>
      </w:r>
    </w:p>
    <w:p w14:paraId="27897064"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ефрейтор 12 роты 96 пехотного полка 32 немецкой пехотной дивизии Рудольф Бенте заявил: «За время войны наша рота трижды получала пополнение. От прежнего состава почти никого не осталось. Они либо ранены, либо убиты. В роте остался только один офицер — обер-лейтенант Ольцер. Все остальные офицеры убиты. В каждом взводе не меньше 5—6 солдат с обмороженными ногами, Количество обмороженных увеличивается с каждым днём. Все солдаты обовшивели. Многие мылись в последний раз летом в реке».</w:t>
      </w:r>
    </w:p>
    <w:p w14:paraId="5EA97203"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Перешеек, Лядского района, Ленинградской области, немецкие оккупанты устроили дикий погром. Они забрали у населения весь хлеб, скот, кур, всю одежду и домашнюю утварь. После грабежа немцы изнасиловали нескольких девушек, а затем сожгли всю деревню.</w:t>
      </w:r>
    </w:p>
    <w:p w14:paraId="2587B415"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Сталинградской области с каждым днём повышают темпы работы. На заводе «Баррикады» строгальщик Дрегер вырабатывает за смену 7 норм, строгальщик Долгов и шлифовщик Чижов дают по 5—6 норм. Участок старшего мастера Орлова в январские дни выполняет задание на 200 и более процентов. На заводе имени Сакко и Ванцетти бригада тов. Наливайко довела выработку до 7 норм. Слесарь этого завода Данилин выполнил 10 норм за смену. Механический цех план первой пятидневки января выполнил на 137 процентов.» (15005).</w:t>
      </w:r>
    </w:p>
    <w:p w14:paraId="62145F0C"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428F2BE5"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993D68C"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января на ряде участков фронта наши войска продолжали продвижение и заняли несколько населённых пунктов.</w:t>
      </w:r>
    </w:p>
    <w:p w14:paraId="079A70FC"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января уничтожено 42 немецких самолёта. Наши потери — 6 самолётов.</w:t>
      </w:r>
    </w:p>
    <w:p w14:paraId="4AED28E5"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части нашей авиации уничтожили 5 немецких танков, свыше 500 автомашин с пехотой и грузами, 8 орудий с прислугой, 200 повозок с боеприпасами, 3 автоцистерны с горючим, 16 зенитно-пулемётньгх точек, сожгли 40 железнодорожных вагонов, взорвали 2 склада боеприпасов, рассеяли и частью истребили 4 батальона пехоты противника.</w:t>
      </w:r>
    </w:p>
    <w:p w14:paraId="0746BF9F"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тов. Фирсова, действующая на одном из участков Западного фронта, преодолевая упорное сопротивление противника, за один день заняла 3 крупных населённых пункта и захватила 89 немецких автомашин, 5 орудий, 8 мотоциклов, радиостанцию, 116.000 патронов и большое количество снарядов,</w:t>
      </w:r>
    </w:p>
    <w:p w14:paraId="4031F5DA"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лётчики, действующие на Западном фронте, произведя успешный налёт на вражеский аэродром в районе пункта К., уничтожили 18 самолётов на земле и 3 самолёта в момент посадки. В числе уничтоженных самолётов—10 «Мессершмиттов-109», 2 «Юнкерса-88» и 6 «Хеншелей-126».</w:t>
      </w:r>
    </w:p>
    <w:p w14:paraId="57B183C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Юго-Западного фронта, совершив ночной налёт на населённый пункт 3., захватила 2 немецких орудия, 6 пулемётов, 4 миномёта, 1.000 снарядов и полторы тысячи мин. На поле боя осталось около 300 трупов немецких солдат и офицеров.</w:t>
      </w:r>
    </w:p>
    <w:p w14:paraId="50199CD2"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руководством учителя тов. Н., действующий в одном из районов Московской области, оккупированных немцами, уничтожил 7 грузовых машин с пехотой противника, 2 легковые автомашины, мотоцикл, автоцистерну с горючим, 2 повозки с грузом, орудие и трактор-тягач, взорвал мост на одной имеющей большое значение дороге, много раз нарушал телефонную связь немцев, вырезав при этом 3.000 метров провода. Партизаны за время своей боевой деятельности истребили 100 вражеских солдат и офицеров.</w:t>
      </w:r>
    </w:p>
    <w:p w14:paraId="01A2063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захватили приказ полковника Шитнига по 512 немецкому пехотному полку. С беспримерной наглостью матёрый фашистский громила Шитниг разработал программу разграбления и разрушения советских сёл и городов на пути своего отступления. Приказ предусматривает широкую и всестороннюю «подготовку разрушения селений» и «порядок уничтожения населённых пунктов». В приказе говорится: «В целях улучшения условий зимнего расположения, разрешаю брать из разрушенных селений всё: продукты питания, картофель, пшено, лук, огурцы, пряности, керосин, стекло, гвозди, сковородки, горшки, лампы, стулья, вёдра, мешки, верёвки, оборудование для конюшен». Таким образом, набившие себе руку на грабежах немецкие мародёры и разбойники получили от начальника прямой приказ подчистую грабить и обворовывать мирное население советских городов и сёл.</w:t>
      </w:r>
    </w:p>
    <w:p w14:paraId="3FD57BB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на Западном фронте обер-ефрейтора Франца Вальбруна найдено не отправленное новогоднее письмо своим родным. Вальбрун пишет: «Каждый день видишь, как солдаты здесь обмораживают себе ноги, руки и уши. Недавно один из нашей батареи отморозил ноги. Он сейчас лежит в лазарете. Ему, наверное, отрежут обе ноги. Так обстоит дело не с единицами, а с сотнями и с тысячами наших солдат. Вчера я вместе с тремя товарищами провёл ночь в какой-то лачуге. Там по крайней мере было тепло. Поздно вечером к нам ввалилось ещё 10 солдат. Лежать нельзя было, и мы должны были всю ночь стоять... Зима отнимет у многих жизнь. В январе и феврале будет ещё холоднее. Мне пока везёт. Я отморозил всего лишь два больших пальца на ногах. Это ещё не так плохо. Мы отступили ещё на 30 километров. Это отступление стоило нам больших жертв. А сколько там осталось наших орудий и автомашин! В ночь под рождество на самолётах прибыли 4 роты эсэсовцев. Через два часа после прибытия их бросили в бой. Две трети из них уже никогда не будут праздновать рождества. Прорвавшиеся русские уничтожили их».</w:t>
      </w:r>
    </w:p>
    <w:p w14:paraId="7BF71DF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Полицейское управление города Праги (Чехословакия) предупредило, что за не сдачу населением тёплых вещей для немецкой армии отвечают под страхом смертной казни владельцы домов. 7 января десять владельцев домов были вызваны в гестапо, жестоко избиты и предупреждены о том, что если они в ближайшие дни не соберут все тёплые вещи, то будут расстреляны, а дома их конфискованы. В ряде чехословацких городов немецкие солдаты начали снимать тёплые вещи со всех проходящих по улицам чехов.</w:t>
      </w:r>
    </w:p>
    <w:p w14:paraId="5245DB9B"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Форст (Германия) произошло массовое отравление жителей города новым заменителем муки, выданным населению взамен хлеба.</w:t>
      </w:r>
    </w:p>
    <w:p w14:paraId="5D06B6C7"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21 декабря 1941 года от трудящихся Советского Союза поступило в фонд обороны родины денежных средств 1.396,3 миллиона рублей деньгами, на 1.607 миллионов рублей облигаций государственных займов, много платины, золота, серебра, драгоценных вещей. Непрерывным потоком поступают в фонд обороны продукты сельского хозяйства. Колхозники сдали 21.501 тонну зерна, 11.780 тонн птицы и скота, 10.310 тонн молока и молочных продуктов, 5.685 тонн картофеля и корнеплодов.» (15005).</w:t>
      </w:r>
    </w:p>
    <w:p w14:paraId="659ED897" w14:textId="77777777" w:rsidR="009F7673" w:rsidRPr="008127F8" w:rsidRDefault="009F7673" w:rsidP="001E0A84">
      <w:pPr>
        <w:spacing w:after="0" w:line="240" w:lineRule="auto"/>
        <w:jc w:val="both"/>
        <w:rPr>
          <w:rFonts w:ascii="Times New Roman" w:hAnsi="Times New Roman"/>
          <w:color w:val="000000" w:themeColor="text1"/>
          <w:sz w:val="16"/>
          <w:szCs w:val="16"/>
        </w:rPr>
      </w:pPr>
    </w:p>
    <w:p w14:paraId="19E81311"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 xml:space="preserve">10 января 1942 г. </w:t>
      </w:r>
      <w:r w:rsidRPr="008127F8">
        <w:rPr>
          <w:rStyle w:val="Heading22"/>
          <w:rFonts w:eastAsia="Calibri"/>
          <w:color w:val="000000" w:themeColor="text1"/>
          <w:sz w:val="16"/>
          <w:szCs w:val="16"/>
        </w:rPr>
        <w:t>Директивное письмо Ставки Верховного главнокомандования № 03</w:t>
      </w:r>
    </w:p>
    <w:p w14:paraId="77303077"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После того как Красной Армии удалось достаточно измотать немецко-фашистские вой</w:t>
      </w:r>
      <w:r w:rsidRPr="008127F8">
        <w:rPr>
          <w:rStyle w:val="16"/>
          <w:rFonts w:ascii="Times New Roman" w:cs="Times New Roman"/>
          <w:color w:val="000000" w:themeColor="text1"/>
          <w:spacing w:val="0"/>
          <w:u w:val="none"/>
        </w:rPr>
        <w:softHyphen/>
        <w:t>ска, она перешла в контрнаступление и погнала на запад немецких захватчиков.</w:t>
      </w:r>
    </w:p>
    <w:p w14:paraId="0EC03567"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Для того чтобы задержать наше продвижение, немцы перешли на оборону и стали стро</w:t>
      </w:r>
      <w:r w:rsidRPr="008127F8">
        <w:rPr>
          <w:rStyle w:val="16"/>
          <w:rFonts w:ascii="Times New Roman" w:cs="Times New Roman"/>
          <w:color w:val="000000" w:themeColor="text1"/>
          <w:spacing w:val="0"/>
          <w:u w:val="none"/>
        </w:rPr>
        <w:softHyphen/>
        <w:t>ить оборонительные рубежи с окопами, заграждениями, полевыми укреплениями. Немцы рассчитывают задержать, таким образом, наше наступление до весны, чтобы весной, собрав силы, вновь перейти в наступление против Красной Армии. Немцы хотят, следовательно, выиграть время и получить передышку.</w:t>
      </w:r>
    </w:p>
    <w:p w14:paraId="7ECD60BE"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Наша задача состоит в том, чтобы не дать немцам этой передышки, гнать их на запад без остановки, заставить их израсходовать свои резервы еще до весны, когда у нас будут новые большие резервы, а у немцев не будет больше резервов, и обеспечить, таким образом, полный разгром гитлеровских войск в 1942 г.</w:t>
      </w:r>
    </w:p>
    <w:p w14:paraId="28055F4C"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Но для осуществления этой задачи необходимо, чтобы наши войска научились взла</w:t>
      </w:r>
      <w:r w:rsidRPr="008127F8">
        <w:rPr>
          <w:rStyle w:val="16"/>
          <w:rFonts w:ascii="Times New Roman" w:cs="Times New Roman"/>
          <w:color w:val="000000" w:themeColor="text1"/>
          <w:spacing w:val="0"/>
          <w:u w:val="none"/>
        </w:rPr>
        <w:softHyphen/>
        <w:t xml:space="preserve">мывать оборонительную линию противника, научились организовывать прорыв обороны противника на всю ее глубину и тем открыли дорогу для продвижения нашей пехоты, наших танков, нашей кавалерии. У немцев имеется не одна оборонительная линия, они строят и будут иметь скоро вторую и третью оборонительные линии. Если наши войска не научатся быстро и </w:t>
      </w:r>
      <w:proofErr w:type="gramStart"/>
      <w:r w:rsidRPr="008127F8">
        <w:rPr>
          <w:rStyle w:val="16"/>
          <w:rFonts w:ascii="Times New Roman" w:cs="Times New Roman"/>
          <w:color w:val="000000" w:themeColor="text1"/>
          <w:spacing w:val="0"/>
          <w:u w:val="none"/>
        </w:rPr>
        <w:t>основательно взламывать</w:t>
      </w:r>
      <w:proofErr w:type="gramEnd"/>
      <w:r w:rsidRPr="008127F8">
        <w:rPr>
          <w:rStyle w:val="16"/>
          <w:rFonts w:ascii="Times New Roman" w:cs="Times New Roman"/>
          <w:color w:val="000000" w:themeColor="text1"/>
          <w:spacing w:val="0"/>
          <w:u w:val="none"/>
        </w:rPr>
        <w:t xml:space="preserve"> и прорывать оборонительную линию противника, наше продвижение вперед станет невозможным.</w:t>
      </w:r>
    </w:p>
    <w:p w14:paraId="7125AD44"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Можно ли сказать, что наши войска уже научились взламывать и прорывать оборони</w:t>
      </w:r>
      <w:r w:rsidRPr="008127F8">
        <w:rPr>
          <w:rStyle w:val="16"/>
          <w:rFonts w:ascii="Times New Roman" w:cs="Times New Roman"/>
          <w:color w:val="000000" w:themeColor="text1"/>
          <w:spacing w:val="0"/>
          <w:u w:val="none"/>
        </w:rPr>
        <w:softHyphen/>
        <w:t>тельную линию противника?</w:t>
      </w:r>
    </w:p>
    <w:p w14:paraId="4D74EE8E"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К сожалению, нельзя сказать этого с полным основанием. Во всяком случае, далеко еще не все наши армии научились прорывать оборонительную линию противника.</w:t>
      </w:r>
    </w:p>
    <w:p w14:paraId="19F0AA4F"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Что требуется для того, чтобы обеспечить прорыв оборонительной линии противника на всю ее глубину?</w:t>
      </w:r>
    </w:p>
    <w:p w14:paraId="40C261AE"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Для этого требуются, по крайней мере, два условия: во-первых, нужно заменить в прак</w:t>
      </w:r>
      <w:r w:rsidRPr="008127F8">
        <w:rPr>
          <w:rStyle w:val="16"/>
          <w:rFonts w:ascii="Times New Roman" w:cs="Times New Roman"/>
          <w:color w:val="000000" w:themeColor="text1"/>
          <w:spacing w:val="0"/>
          <w:u w:val="none"/>
        </w:rPr>
        <w:softHyphen/>
        <w:t>тике наших армий и фронтов действия отдельными дивизиями, распложенными одной цепочкой, действиями ударных групп, сосредоточенных в одном направлении, и во-вто</w:t>
      </w:r>
      <w:r w:rsidRPr="008127F8">
        <w:rPr>
          <w:rStyle w:val="16"/>
          <w:rFonts w:ascii="Times New Roman" w:cs="Times New Roman"/>
          <w:color w:val="000000" w:themeColor="text1"/>
          <w:spacing w:val="0"/>
          <w:u w:val="none"/>
        </w:rPr>
        <w:softHyphen/>
        <w:t>рых, необходимо заменить так называемую артиллерийскую подготовку артиллерийским наступлением.</w:t>
      </w:r>
    </w:p>
    <w:p w14:paraId="7C2A26E6" w14:textId="77777777" w:rsidR="009F7673" w:rsidRPr="008127F8" w:rsidRDefault="009F7673" w:rsidP="001E0A84">
      <w:pPr>
        <w:pStyle w:val="623"/>
        <w:shd w:val="clear" w:color="auto" w:fill="auto"/>
        <w:tabs>
          <w:tab w:val="left" w:pos="697"/>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1) Действия ударными группами. Большинство наших армий, к сожалению, еще не на</w:t>
      </w:r>
      <w:r w:rsidRPr="008127F8">
        <w:rPr>
          <w:rStyle w:val="16"/>
          <w:rFonts w:ascii="Times New Roman" w:cs="Times New Roman"/>
          <w:color w:val="000000" w:themeColor="text1"/>
          <w:spacing w:val="0"/>
          <w:u w:val="none"/>
        </w:rPr>
        <w:softHyphen/>
        <w:t>училось взламывать и прорывать при нашем наступлении оборонительную линию противни</w:t>
      </w:r>
      <w:r w:rsidRPr="008127F8">
        <w:rPr>
          <w:rStyle w:val="16"/>
          <w:rFonts w:ascii="Times New Roman" w:cs="Times New Roman"/>
          <w:color w:val="000000" w:themeColor="text1"/>
          <w:spacing w:val="0"/>
          <w:u w:val="none"/>
        </w:rPr>
        <w:softHyphen/>
        <w:t>ка. Наши войска наступают обычно дивизиями или бригадами, расположенными по фронту в виде цепочки. Понятно, что такая организация наступления не может дать эффекта, так как не дает нам перевеса сил на каком-либо участке. Такое наступление обречено на провал. Наступлением может дать должный эффект лишь в том случае, если мы создадим на одном из участков фронта большой перевес сил над силами противника. А для этого необходимо, чтобы в каждой армии, ставящей себе задачу прорыва обороны противника, была создана ударная группа в виде трех или четырех дивизий, сосредоточенных для удара на опреде</w:t>
      </w:r>
      <w:r w:rsidRPr="008127F8">
        <w:rPr>
          <w:rStyle w:val="16"/>
          <w:rFonts w:ascii="Times New Roman" w:cs="Times New Roman"/>
          <w:color w:val="000000" w:themeColor="text1"/>
          <w:spacing w:val="0"/>
          <w:u w:val="none"/>
        </w:rPr>
        <w:softHyphen/>
        <w:t>ленном участке фронта. В этом первейшая задача командования армии, ибо только таким образом можно обеспечить решительный перевес сил и успех прорыва обороны противника на определенном участке.</w:t>
      </w:r>
    </w:p>
    <w:p w14:paraId="78234BD3"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То же самое нужно сказать о задачах командования фронта при организации прорыва и наступления, при этом понятно, что ударная группа фронта должна состоять не из несколь</w:t>
      </w:r>
      <w:r w:rsidRPr="008127F8">
        <w:rPr>
          <w:rStyle w:val="16"/>
          <w:rFonts w:ascii="Times New Roman" w:cs="Times New Roman"/>
          <w:color w:val="000000" w:themeColor="text1"/>
          <w:spacing w:val="0"/>
          <w:u w:val="none"/>
        </w:rPr>
        <w:softHyphen/>
        <w:t>ких дивизий, а из нескольких армий, ибо прорыв в пределах фронта является более мощной и широкой операцией, требующей гораздо больше сил, чем наступление в пределах армии.</w:t>
      </w:r>
    </w:p>
    <w:p w14:paraId="7D20CAAB" w14:textId="77777777" w:rsidR="009F7673" w:rsidRPr="008127F8" w:rsidRDefault="009F7673" w:rsidP="001E0A84">
      <w:pPr>
        <w:pStyle w:val="623"/>
        <w:shd w:val="clear" w:color="auto" w:fill="auto"/>
        <w:tabs>
          <w:tab w:val="left" w:pos="716"/>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2) Организация артиллерийского наступления. В деле прорыва обороны противника и организации наступления против противника артиллерия имеет решающее значение. Без серьезной и длительной помощи артиллерии, сосредоточенной на одном каком-либо участке, прорыв обороны противника и организация наступления невозможны.</w:t>
      </w:r>
    </w:p>
    <w:p w14:paraId="6E0C0D69"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У нас нередко бросают пехоту в наступление против оборонительной линии противника без артиллерии, без какой-либо поддержки со стороны артиллерии, а потом жалуются, что пехота не идет против обороняющегося и окопавшегося противника. Это не наступление, а преступление — преступление против Родины, против войск, вынужденных нести бессмы</w:t>
      </w:r>
      <w:r w:rsidRPr="008127F8">
        <w:rPr>
          <w:rStyle w:val="16"/>
          <w:rFonts w:ascii="Times New Roman" w:cs="Times New Roman"/>
          <w:color w:val="000000" w:themeColor="text1"/>
          <w:spacing w:val="0"/>
          <w:u w:val="none"/>
        </w:rPr>
        <w:softHyphen/>
        <w:t>сленные жертвы.</w:t>
      </w:r>
    </w:p>
    <w:p w14:paraId="5F6B68C2"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В чем должна состоять артиллерийская поддержка пехоты при наступлении?</w:t>
      </w:r>
    </w:p>
    <w:p w14:paraId="369EBECE"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lastRenderedPageBreak/>
        <w:t>Под артиллерийской поддержкой пехоты у нас обычно понимают огонь перед насту</w:t>
      </w:r>
      <w:r w:rsidRPr="008127F8">
        <w:rPr>
          <w:rStyle w:val="16"/>
          <w:rFonts w:ascii="Times New Roman" w:cs="Times New Roman"/>
          <w:color w:val="000000" w:themeColor="text1"/>
          <w:spacing w:val="0"/>
          <w:u w:val="none"/>
        </w:rPr>
        <w:softHyphen/>
        <w:t>плением пехоты полчаса, час, иногда два часа и больше, а потом артиллерия перестает действовать, предоставляя пехоте наступать, несмотря на то что оборона противника еще не разрушена на всю ее глубину, а артиллерийские точки и пулеметные гнезда противника еще не подавлены. Это называется «артиллерийской подготовкой». Не трудно понять, что такая артиллерийская поддержка недостаточна, а наступление при такой недостаточной поддержке не может дать желательного эффекта. Этим, собственно, и объясняется, что наши наступательные операции против обороны противника довольно часто выдыхаются, несмотря на наличие «артиллерийской подготовки», причем для того, чтобы наступление сделать эффективным, приходится несколько раз повторять так называемую «артиллерий</w:t>
      </w:r>
      <w:r w:rsidRPr="008127F8">
        <w:rPr>
          <w:rStyle w:val="16"/>
          <w:rFonts w:ascii="Times New Roman" w:cs="Times New Roman"/>
          <w:color w:val="000000" w:themeColor="text1"/>
          <w:spacing w:val="0"/>
          <w:u w:val="none"/>
        </w:rPr>
        <w:softHyphen/>
        <w:t>скую подготовку».</w:t>
      </w:r>
    </w:p>
    <w:p w14:paraId="030AC6FF"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Из этого следует, что так называемая «артиллерийская подготовка» как средство артил</w:t>
      </w:r>
      <w:r w:rsidRPr="008127F8">
        <w:rPr>
          <w:rStyle w:val="16"/>
          <w:rFonts w:ascii="Times New Roman" w:cs="Times New Roman"/>
          <w:color w:val="000000" w:themeColor="text1"/>
          <w:spacing w:val="0"/>
          <w:u w:val="none"/>
        </w:rPr>
        <w:softHyphen/>
        <w:t>лерийской поддержки наступления пехоты уже не отвечает требованиям войны, отжила свой век и должна быть отброшена.</w:t>
      </w:r>
    </w:p>
    <w:p w14:paraId="4F80D62A"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Чтобы артиллерийскую поддержку сделать действительной, а наступление пехоты эф</w:t>
      </w:r>
      <w:r w:rsidRPr="008127F8">
        <w:rPr>
          <w:rStyle w:val="16"/>
          <w:rFonts w:ascii="Times New Roman" w:cs="Times New Roman"/>
          <w:color w:val="000000" w:themeColor="text1"/>
          <w:spacing w:val="0"/>
          <w:u w:val="none"/>
        </w:rPr>
        <w:softHyphen/>
        <w:t>фективным, нужно от практики артиллерийской подготовки перейти к практике артилле</w:t>
      </w:r>
      <w:r w:rsidRPr="008127F8">
        <w:rPr>
          <w:rStyle w:val="16"/>
          <w:rFonts w:ascii="Times New Roman" w:cs="Times New Roman"/>
          <w:color w:val="000000" w:themeColor="text1"/>
          <w:spacing w:val="0"/>
          <w:u w:val="none"/>
        </w:rPr>
        <w:softHyphen/>
        <w:t>рийского наступления.</w:t>
      </w:r>
    </w:p>
    <w:p w14:paraId="1CA4E593"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Что это означает?</w:t>
      </w:r>
    </w:p>
    <w:p w14:paraId="7D07FA7C"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Это означает, во-первых, что артиллерия не может ограничиваться разовыми действия</w:t>
      </w:r>
      <w:r w:rsidRPr="008127F8">
        <w:rPr>
          <w:rStyle w:val="16"/>
          <w:rFonts w:ascii="Times New Roman" w:cs="Times New Roman"/>
          <w:color w:val="000000" w:themeColor="text1"/>
          <w:spacing w:val="0"/>
          <w:u w:val="none"/>
        </w:rPr>
        <w:softHyphen/>
        <w:t>ми в течение часа или двух часов перед наступлением, а должна наступать вместе с пехотой, должна вести огонь при небольших перерывах за все время наступления, пока не будет взломана оборонительная линия противника на всю ее глубину.</w:t>
      </w:r>
    </w:p>
    <w:p w14:paraId="36216F31"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Это означает, во-вторых, что пехота должна наступать не после прекращения артилле</w:t>
      </w:r>
      <w:r w:rsidRPr="008127F8">
        <w:rPr>
          <w:rStyle w:val="16"/>
          <w:rFonts w:ascii="Times New Roman" w:cs="Times New Roman"/>
          <w:color w:val="000000" w:themeColor="text1"/>
          <w:spacing w:val="0"/>
          <w:u w:val="none"/>
        </w:rPr>
        <w:softHyphen/>
        <w:t>рийского огня, как это имеет место при так называемой «артиллерийской подготовке», а вместе с наступлением артиллерией, под гром артиллерийского огня, под звуки артилле</w:t>
      </w:r>
      <w:r w:rsidRPr="008127F8">
        <w:rPr>
          <w:rStyle w:val="16"/>
          <w:rFonts w:ascii="Times New Roman" w:cs="Times New Roman"/>
          <w:color w:val="000000" w:themeColor="text1"/>
          <w:spacing w:val="0"/>
          <w:u w:val="none"/>
        </w:rPr>
        <w:softHyphen/>
        <w:t>рийской музыки.</w:t>
      </w:r>
    </w:p>
    <w:p w14:paraId="3BB3864A"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Это означает, в-третьих, что артиллерия должна действовать не вразброс, а сосредо</w:t>
      </w:r>
      <w:r w:rsidRPr="008127F8">
        <w:rPr>
          <w:rStyle w:val="16"/>
          <w:rFonts w:ascii="Times New Roman" w:cs="Times New Roman"/>
          <w:color w:val="000000" w:themeColor="text1"/>
          <w:spacing w:val="0"/>
          <w:u w:val="none"/>
        </w:rPr>
        <w:softHyphen/>
        <w:t>точенно, и она должна быть сосредоточена не в любом месте фронта, а в районе действия ударной группы армии, фронта и только в этом районе, ибо без этого условия немыслимо артиллерийское наступление.</w:t>
      </w:r>
    </w:p>
    <w:p w14:paraId="71339667"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Любая наша армия, как бы она ни была бедна артиллерией, могла бы сосредоточить в районе действия своей ударной группы 60—80 орудий, обратив на это дело армейский артил</w:t>
      </w:r>
      <w:r w:rsidRPr="008127F8">
        <w:rPr>
          <w:rStyle w:val="16"/>
          <w:rFonts w:ascii="Times New Roman" w:cs="Times New Roman"/>
          <w:color w:val="000000" w:themeColor="text1"/>
          <w:spacing w:val="0"/>
          <w:u w:val="none"/>
        </w:rPr>
        <w:softHyphen/>
        <w:t>лерийский полк и взяв у своих дивизий, скажем, по две батареи дивизионной артиллерии и десятка два-три 120-мм минометов. Сформированная таким образом группа артиллерии была бы вполне достаточна для того, чтобы взломать оборону противника и оказать, таким образом, неоценимую артиллерийскую поддержку ударной группе армии. Если этого не делают наши армии, то это происходит потому, что они недооценивают великое значение массированного артиллерийского огня для наступления пехоты.</w:t>
      </w:r>
    </w:p>
    <w:p w14:paraId="631DDF3B"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Любой наш фронт, как бы он ни был беден артиллерией, точно так же мог бы сосредо</w:t>
      </w:r>
      <w:r w:rsidRPr="008127F8">
        <w:rPr>
          <w:rStyle w:val="16"/>
          <w:rFonts w:ascii="Times New Roman" w:cs="Times New Roman"/>
          <w:color w:val="000000" w:themeColor="text1"/>
          <w:spacing w:val="0"/>
          <w:u w:val="none"/>
        </w:rPr>
        <w:softHyphen/>
        <w:t>точить в районе действий ударной группы фронта 150—200 орудий, обратив на это дело свой фронтовой артиллерийский резерв, взяв в ряды своих армий их армейские артиллерийские полки и хотя бы одну треть их дивизионной артиллерии. Сформированная таким образом группа артиллерии была бы вполне достаточна для того, чтобы взломать оборону противника в районе фронта. Если этого не делают наши фронты, то это происходит потому, что они недооценивают великое значение массированного артиллерийского огня для наступления пехоты.</w:t>
      </w:r>
    </w:p>
    <w:p w14:paraId="0C09D758"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Выводы:</w:t>
      </w:r>
    </w:p>
    <w:p w14:paraId="7096F693" w14:textId="77777777" w:rsidR="009F7673" w:rsidRPr="008127F8" w:rsidRDefault="009F7673" w:rsidP="001E0A84">
      <w:pPr>
        <w:pStyle w:val="623"/>
        <w:shd w:val="clear" w:color="auto" w:fill="auto"/>
        <w:tabs>
          <w:tab w:val="left" w:pos="706"/>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1) Противник перешел на оборону и строит оборонительные укрепленные линии с целью задержать продвижение Красной Армии.</w:t>
      </w:r>
    </w:p>
    <w:p w14:paraId="6A7E5AAA" w14:textId="77777777" w:rsidR="009F7673" w:rsidRPr="008127F8" w:rsidRDefault="009F7673" w:rsidP="001E0A84">
      <w:pPr>
        <w:pStyle w:val="623"/>
        <w:shd w:val="clear" w:color="auto" w:fill="auto"/>
        <w:tabs>
          <w:tab w:val="left" w:pos="716"/>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2) Красная Армия не может дать врагу передышки, она должна наступать и гнать врага на запад.</w:t>
      </w:r>
    </w:p>
    <w:p w14:paraId="0C690FF1" w14:textId="77777777" w:rsidR="009F7673" w:rsidRPr="008127F8" w:rsidRDefault="009F7673" w:rsidP="001E0A84">
      <w:pPr>
        <w:pStyle w:val="623"/>
        <w:shd w:val="clear" w:color="auto" w:fill="auto"/>
        <w:tabs>
          <w:tab w:val="left" w:pos="684"/>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3) Чтобы успешно наступать, мы должны взламывать и прорывать оборону противника.</w:t>
      </w:r>
    </w:p>
    <w:p w14:paraId="35953E68" w14:textId="77777777" w:rsidR="009F7673" w:rsidRPr="008127F8" w:rsidRDefault="009F7673" w:rsidP="001E0A84">
      <w:pPr>
        <w:pStyle w:val="623"/>
        <w:shd w:val="clear" w:color="auto" w:fill="auto"/>
        <w:tabs>
          <w:tab w:val="left" w:pos="702"/>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4) Чтобы взламывать и рвать оборону противника, надо нам научиться действовать ударными группами в районе армии, в районе фронта.</w:t>
      </w:r>
    </w:p>
    <w:p w14:paraId="3987FBEA" w14:textId="77777777" w:rsidR="009F7673" w:rsidRPr="008127F8" w:rsidRDefault="009F7673" w:rsidP="001E0A84">
      <w:pPr>
        <w:pStyle w:val="623"/>
        <w:shd w:val="clear" w:color="auto" w:fill="auto"/>
        <w:tabs>
          <w:tab w:val="left" w:pos="702"/>
        </w:tabs>
        <w:spacing w:before="0" w:line="240" w:lineRule="auto"/>
        <w:rPr>
          <w:rStyle w:val="16"/>
          <w:rFonts w:ascii="Times New Roman" w:cs="Times New Roman"/>
          <w:color w:val="000000" w:themeColor="text1"/>
          <w:spacing w:val="0"/>
          <w:u w:val="none"/>
        </w:rPr>
      </w:pPr>
      <w:r w:rsidRPr="008127F8">
        <w:rPr>
          <w:rStyle w:val="16"/>
          <w:rFonts w:ascii="Times New Roman" w:cs="Times New Roman"/>
          <w:color w:val="000000" w:themeColor="text1"/>
          <w:spacing w:val="0"/>
          <w:u w:val="none"/>
        </w:rPr>
        <w:t>5) Чтобы ударные группы имели успех, они должны иметь серьезную артиллерийскую поддержку на все время прорыва обороны противника на всю ее глубину.</w:t>
      </w:r>
    </w:p>
    <w:p w14:paraId="30D81B92" w14:textId="77777777" w:rsidR="009F7673" w:rsidRPr="008127F8" w:rsidRDefault="009F7673" w:rsidP="001E0A84">
      <w:pPr>
        <w:pStyle w:val="623"/>
        <w:shd w:val="clear" w:color="auto" w:fill="auto"/>
        <w:tabs>
          <w:tab w:val="left" w:pos="702"/>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6) Чтобы обеспечить пехоте такую артиллерийскую поддержку, нужно перейти от прак</w:t>
      </w:r>
      <w:r w:rsidRPr="008127F8">
        <w:rPr>
          <w:rStyle w:val="16"/>
          <w:rFonts w:ascii="Times New Roman" w:cs="Times New Roman"/>
          <w:color w:val="000000" w:themeColor="text1"/>
          <w:spacing w:val="0"/>
          <w:u w:val="none"/>
        </w:rPr>
        <w:softHyphen/>
        <w:t>тики «артиллерийской подготовки» к практике артиллерийского наступления.</w:t>
      </w:r>
    </w:p>
    <w:p w14:paraId="6DA68887" w14:textId="77777777" w:rsidR="009F7673" w:rsidRPr="008127F8" w:rsidRDefault="009F7673" w:rsidP="001E0A84">
      <w:pPr>
        <w:pStyle w:val="623"/>
        <w:shd w:val="clear" w:color="auto" w:fill="auto"/>
        <w:tabs>
          <w:tab w:val="left" w:pos="702"/>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7) Чтобы артиллерийское наступление стало эффективным, командующие армиями и фронтами должны сосредоточить основную массу артиллерии в районе действия их ударных групп.</w:t>
      </w:r>
    </w:p>
    <w:p w14:paraId="28D090BD" w14:textId="77777777" w:rsidR="009F7673" w:rsidRPr="008127F8" w:rsidRDefault="009F7673" w:rsidP="001E0A84">
      <w:pPr>
        <w:pStyle w:val="623"/>
        <w:shd w:val="clear" w:color="auto" w:fill="auto"/>
        <w:tabs>
          <w:tab w:val="left" w:pos="697"/>
        </w:tabs>
        <w:spacing w:before="0" w:line="240" w:lineRule="auto"/>
        <w:rPr>
          <w:color w:val="000000" w:themeColor="text1"/>
          <w:sz w:val="16"/>
          <w:szCs w:val="16"/>
        </w:rPr>
      </w:pPr>
      <w:r w:rsidRPr="008127F8">
        <w:rPr>
          <w:rStyle w:val="16"/>
          <w:rFonts w:ascii="Times New Roman" w:cs="Times New Roman"/>
          <w:color w:val="000000" w:themeColor="text1"/>
          <w:spacing w:val="0"/>
          <w:u w:val="none"/>
        </w:rPr>
        <w:t>8) Только соединенные действия ударной группы пехоты и массовой артиллерии могут обеспечить успех наступления.</w:t>
      </w:r>
    </w:p>
    <w:p w14:paraId="644D7980" w14:textId="77777777" w:rsidR="009F7673" w:rsidRPr="008127F8" w:rsidRDefault="009F7673"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Ставка Верховного Главнокомандования</w:t>
      </w:r>
    </w:p>
    <w:p w14:paraId="0B3B1159" w14:textId="77777777" w:rsidR="009F7673" w:rsidRPr="008127F8" w:rsidRDefault="009F7673"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И. Сталин А. Василевский (15123).</w:t>
      </w:r>
    </w:p>
    <w:p w14:paraId="741541BF" w14:textId="77777777" w:rsidR="009F7673" w:rsidRPr="008127F8" w:rsidRDefault="009F7673" w:rsidP="001E0A84">
      <w:pPr>
        <w:spacing w:after="0" w:line="240" w:lineRule="auto"/>
        <w:jc w:val="both"/>
        <w:rPr>
          <w:rStyle w:val="Bodytext2"/>
          <w:rFonts w:eastAsia="Calibri"/>
          <w:color w:val="000000" w:themeColor="text1"/>
          <w:sz w:val="16"/>
          <w:szCs w:val="16"/>
        </w:rPr>
      </w:pPr>
    </w:p>
    <w:p w14:paraId="6E8821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января 1942 появилась директива Ставки ВГК о том, что наступление достигает положительного эффекта при создании перевеса на одном из участков и надо создавать ударные группы в составе 3-4 дивизий в армиях. В случае фронта - несколько армий. Подчеркивалась важная роль артиллерии (359,203).</w:t>
      </w:r>
    </w:p>
    <w:p w14:paraId="778CCC6F" w14:textId="77777777" w:rsidR="00D4651C" w:rsidRPr="008127F8" w:rsidRDefault="00D4651C" w:rsidP="001E0A84">
      <w:pPr>
        <w:pStyle w:val="Iauiue"/>
        <w:jc w:val="both"/>
        <w:rPr>
          <w:color w:val="000000" w:themeColor="text1"/>
          <w:sz w:val="16"/>
          <w:szCs w:val="16"/>
        </w:rPr>
      </w:pPr>
    </w:p>
    <w:p w14:paraId="6F8BC35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января 1942 Ставка ВГК издала директиву об организации артиллерийского наступления - приказав применять артиллерию массированно для поддержки наступающей пехоты и танков по всей глубине обороны. В резерве Ставки появились артдивизии прорыва, ГМД, ЗАД, противотанковые и гаубичные артбригады. В 1943 создали арткорпуса прорыва (3848,37).</w:t>
      </w:r>
    </w:p>
    <w:p w14:paraId="5FD10A83" w14:textId="77777777" w:rsidR="00D4651C" w:rsidRPr="008127F8" w:rsidRDefault="00D4651C" w:rsidP="001E0A84">
      <w:pPr>
        <w:pStyle w:val="Iauiue"/>
        <w:jc w:val="both"/>
        <w:rPr>
          <w:color w:val="000000" w:themeColor="text1"/>
          <w:sz w:val="16"/>
          <w:szCs w:val="16"/>
        </w:rPr>
      </w:pPr>
    </w:p>
    <w:p w14:paraId="718D28D1" w14:textId="77777777" w:rsidR="008D722B" w:rsidRPr="008127F8" w:rsidRDefault="008D722B" w:rsidP="001E0A84">
      <w:pPr>
        <w:pStyle w:val="162"/>
        <w:shd w:val="clear" w:color="auto" w:fill="auto"/>
        <w:spacing w:line="240" w:lineRule="auto"/>
        <w:jc w:val="both"/>
        <w:rPr>
          <w:color w:val="000000" w:themeColor="text1"/>
          <w:sz w:val="16"/>
          <w:szCs w:val="16"/>
        </w:rPr>
      </w:pPr>
      <w:r w:rsidRPr="008127F8">
        <w:rPr>
          <w:color w:val="000000" w:themeColor="text1"/>
          <w:sz w:val="16"/>
          <w:szCs w:val="16"/>
        </w:rPr>
        <w:t>10 января в ГАБТУ была служебная записка, согласно которой по состоянию на 9 число на заводе № 176 было принято 26 комплектов корпу</w:t>
      </w:r>
      <w:r w:rsidRPr="008127F8">
        <w:rPr>
          <w:color w:val="000000" w:themeColor="text1"/>
          <w:sz w:val="16"/>
          <w:szCs w:val="16"/>
        </w:rPr>
        <w:softHyphen/>
        <w:t>сов и башен Т-60. На заводе шли подготовительные работы для полномас</w:t>
      </w:r>
      <w:r w:rsidRPr="008127F8">
        <w:rPr>
          <w:color w:val="000000" w:themeColor="text1"/>
          <w:sz w:val="16"/>
          <w:szCs w:val="16"/>
        </w:rPr>
        <w:softHyphen/>
        <w:t>штабного выпуска экранированных корпусов и башен, который начал</w:t>
      </w:r>
      <w:r w:rsidRPr="008127F8">
        <w:rPr>
          <w:color w:val="000000" w:themeColor="text1"/>
          <w:sz w:val="16"/>
          <w:szCs w:val="16"/>
        </w:rPr>
        <w:softHyphen/>
        <w:t>ся с 15 января. Всего за январь завод № 176 выпустил 113 комплектов экранированных корпусов и башен, в феврале поставили еще 125 штук. Остальные заводы затягивали начало установки экранировки на Т-60. По состоянию на 9 января завод № 177 к работам по экранировке не приступал, имелась тенденция к тому, что за текущий месяц ни одно</w:t>
      </w:r>
      <w:r w:rsidRPr="008127F8">
        <w:rPr>
          <w:color w:val="000000" w:themeColor="text1"/>
          <w:sz w:val="16"/>
          <w:szCs w:val="16"/>
        </w:rPr>
        <w:softHyphen/>
        <w:t>го комплекта выпущено не будет. Так оно и произошло: по состоянию на 29 января ни одного экранированного корпуса с Выксы не пришло, дело ограничилось утолщением до 15 мм деталей, ранее имевших тол</w:t>
      </w:r>
      <w:r w:rsidRPr="008127F8">
        <w:rPr>
          <w:color w:val="000000" w:themeColor="text1"/>
          <w:sz w:val="16"/>
          <w:szCs w:val="16"/>
        </w:rPr>
        <w:softHyphen/>
        <w:t>щину 13 мм, такая же ситуация наблюдалась и в феврале.</w:t>
      </w:r>
    </w:p>
    <w:p w14:paraId="4F63C2FA" w14:textId="77777777" w:rsidR="008D722B" w:rsidRPr="008127F8" w:rsidRDefault="008D722B" w:rsidP="001E0A84">
      <w:pPr>
        <w:pStyle w:val="162"/>
        <w:shd w:val="clear" w:color="auto" w:fill="auto"/>
        <w:spacing w:line="240" w:lineRule="auto"/>
        <w:jc w:val="both"/>
        <w:rPr>
          <w:color w:val="000000" w:themeColor="text1"/>
          <w:sz w:val="16"/>
          <w:szCs w:val="16"/>
        </w:rPr>
      </w:pPr>
      <w:r w:rsidRPr="008127F8">
        <w:rPr>
          <w:color w:val="000000" w:themeColor="text1"/>
          <w:sz w:val="16"/>
          <w:szCs w:val="16"/>
        </w:rPr>
        <w:t>Что касается завода № 178, то там имелись проблемы производ</w:t>
      </w:r>
      <w:r w:rsidRPr="008127F8">
        <w:rPr>
          <w:color w:val="000000" w:themeColor="text1"/>
          <w:sz w:val="16"/>
          <w:szCs w:val="16"/>
        </w:rPr>
        <w:softHyphen/>
        <w:t>ственного характера. По состоянию на 15 января имелись вырезан</w:t>
      </w:r>
      <w:r w:rsidRPr="008127F8">
        <w:rPr>
          <w:color w:val="000000" w:themeColor="text1"/>
          <w:sz w:val="16"/>
          <w:szCs w:val="16"/>
        </w:rPr>
        <w:softHyphen/>
        <w:t xml:space="preserve">ные ножницами заготовки деталей, но их окончательная обработка затруднялась отсутствием кислорода для нарезки. Завод в Кулебаках был перегружен заказами: помимо корпусного производства по Т-60, </w:t>
      </w:r>
      <w:r w:rsidRPr="008127F8">
        <w:rPr>
          <w:rFonts w:eastAsia="Calibri"/>
          <w:color w:val="000000" w:themeColor="text1"/>
          <w:sz w:val="16"/>
          <w:szCs w:val="16"/>
        </w:rPr>
        <w:t>отливались носовые балки и башни Т-34, изготовлялись бронеспин</w:t>
      </w:r>
      <w:r w:rsidRPr="008127F8">
        <w:rPr>
          <w:rFonts w:eastAsia="Calibri"/>
          <w:color w:val="000000" w:themeColor="text1"/>
          <w:sz w:val="16"/>
          <w:szCs w:val="16"/>
        </w:rPr>
        <w:softHyphen/>
        <w:t xml:space="preserve">ки для истребителей ЛаГГ-3 и лобовые бронелисты аэросаней НКЛ- 26 </w:t>
      </w:r>
      <w:r w:rsidRPr="008127F8">
        <w:rPr>
          <w:color w:val="000000" w:themeColor="text1"/>
          <w:sz w:val="16"/>
          <w:szCs w:val="16"/>
        </w:rPr>
        <w:t>(17485).</w:t>
      </w:r>
    </w:p>
    <w:p w14:paraId="413BBDC6" w14:textId="77777777" w:rsidR="008D722B" w:rsidRPr="008127F8" w:rsidRDefault="008D722B" w:rsidP="001E0A84">
      <w:pPr>
        <w:pStyle w:val="af"/>
        <w:spacing w:before="0" w:after="0"/>
        <w:jc w:val="both"/>
        <w:rPr>
          <w:color w:val="000000" w:themeColor="text1"/>
          <w:sz w:val="16"/>
          <w:szCs w:val="16"/>
        </w:rPr>
      </w:pPr>
    </w:p>
    <w:p w14:paraId="2BEC1D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вышло Постановление ГКО № 1119 Об отпуске продовольственных пайков для Красной Армии в январе 1942 года. РГАНИР, Фонд ГКО, д. 19, лл. 43-44 (11012).</w:t>
      </w:r>
    </w:p>
    <w:p w14:paraId="1C2D4B6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0B15607"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10 января 1942 вышло Постановление ГКО № 1120 О преобразовании органов Третьего управления НКВМФ в особые отделы [НКВД]. (7020, 45).</w:t>
      </w:r>
    </w:p>
    <w:p w14:paraId="7E3E0E33" w14:textId="77777777" w:rsidR="00D4651C" w:rsidRPr="008127F8" w:rsidRDefault="00D4651C" w:rsidP="001E0A84">
      <w:pPr>
        <w:pStyle w:val="Iauiue"/>
        <w:tabs>
          <w:tab w:val="left" w:pos="11199"/>
        </w:tabs>
        <w:jc w:val="both"/>
        <w:rPr>
          <w:color w:val="000000" w:themeColor="text1"/>
          <w:sz w:val="16"/>
          <w:szCs w:val="16"/>
        </w:rPr>
      </w:pPr>
    </w:p>
    <w:p w14:paraId="2DB3BB8E"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10 января 1942 И.В.С. высказался по плану весенней компании, предложив провести его исходя из идеи “не дать им опомнится” и по нескольким направлениям сразу - в Крыму, под Харьковом, Курском, Смоленском, Ленинградом и Демянском - распылили силы (7697,12).</w:t>
      </w:r>
    </w:p>
    <w:p w14:paraId="632F0855" w14:textId="77777777" w:rsidR="00D4651C" w:rsidRPr="008127F8" w:rsidRDefault="00D4651C" w:rsidP="001E0A84">
      <w:pPr>
        <w:pStyle w:val="Iauiue"/>
        <w:tabs>
          <w:tab w:val="left" w:pos="11199"/>
        </w:tabs>
        <w:jc w:val="both"/>
        <w:rPr>
          <w:color w:val="000000" w:themeColor="text1"/>
          <w:sz w:val="16"/>
          <w:szCs w:val="16"/>
        </w:rPr>
      </w:pPr>
    </w:p>
    <w:p w14:paraId="1E5F853D"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51873F43" w14:textId="77777777" w:rsidR="00D4651C" w:rsidRPr="008127F8" w:rsidRDefault="00D4651C" w:rsidP="001E0A84">
      <w:pPr>
        <w:pStyle w:val="Iauiue"/>
        <w:jc w:val="both"/>
        <w:rPr>
          <w:iCs/>
          <w:color w:val="000000" w:themeColor="text1"/>
          <w:sz w:val="16"/>
          <w:szCs w:val="16"/>
        </w:rPr>
      </w:pPr>
    </w:p>
    <w:p w14:paraId="4C92DFD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10 января 1942 вышло Постановление ГКО № 1121 О порядке въезда в гор. Москву. (7020, 46-47).</w:t>
      </w:r>
    </w:p>
    <w:p w14:paraId="39A1B6D6" w14:textId="77777777" w:rsidR="00D4651C" w:rsidRPr="008127F8" w:rsidRDefault="00D4651C" w:rsidP="001E0A84">
      <w:pPr>
        <w:pStyle w:val="Iauiue"/>
        <w:tabs>
          <w:tab w:val="left" w:pos="11199"/>
        </w:tabs>
        <w:jc w:val="both"/>
        <w:rPr>
          <w:color w:val="000000" w:themeColor="text1"/>
          <w:sz w:val="16"/>
          <w:szCs w:val="16"/>
        </w:rPr>
      </w:pPr>
    </w:p>
    <w:p w14:paraId="0BEFFC0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10 января 1942 вышло Постановление ГКО № 1122 Об отнесении городов Свердловска и Челябинска к режимным городам первой категории. (7020, 48).</w:t>
      </w:r>
    </w:p>
    <w:p w14:paraId="10A42236" w14:textId="77777777" w:rsidR="00D4651C" w:rsidRPr="008127F8" w:rsidRDefault="00D4651C" w:rsidP="001E0A84">
      <w:pPr>
        <w:pStyle w:val="Iauiue"/>
        <w:tabs>
          <w:tab w:val="left" w:pos="11199"/>
        </w:tabs>
        <w:jc w:val="both"/>
        <w:rPr>
          <w:color w:val="000000" w:themeColor="text1"/>
          <w:sz w:val="16"/>
          <w:szCs w:val="16"/>
        </w:rPr>
      </w:pPr>
    </w:p>
    <w:p w14:paraId="03C135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1942 вышло Постановление ГКО № 1123 О порядке использования немцев-переселенцев призывного возраста от 17 до 50 лет. РГАНИР, Фонд ГКО, д. 19, лл. 49-50 (11012).</w:t>
      </w:r>
    </w:p>
    <w:p w14:paraId="26341ED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88ECE8E"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10 января 1942 года вышло постановление Государственного Комитета Обороны № 1123. В документе говорилось, что в «целях рационального использования немцев-переселенцев предписывалось мобилизовать немецких мужчин от 17 до 50 лет, годных к физическому труду, в количестве до 120 тысяч в «рабочие колонны» на всё время войны, передав из этого числа:</w:t>
      </w:r>
    </w:p>
    <w:p w14:paraId="5996F1E1"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НКВД СССР на лесозаготовки - 45000 человек; </w:t>
      </w:r>
    </w:p>
    <w:p w14:paraId="0ECA2BD8"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НКВД СССР на строительство Бакальского и Богословского заводов - 35000; </w:t>
      </w:r>
    </w:p>
    <w:p w14:paraId="7D00AE8B"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НКПС СССР на строительство железных дорог Сталинск-Абакан, Сталинск-Барнаул, Акмолинск-Карталы, Акмолинск-Павлодар, Сосьва-Алапаевск, Орск-Кандагач, Магнитогорск-Сара - 40000;</w:t>
      </w:r>
    </w:p>
    <w:p w14:paraId="1E3509BA"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Мобилизованные были обязаны явиться в местные военкоматы в исправной зимней одежде, с запасом белья, постельными принадлежностями, кружкой, ложкой и 10-дневным запасом продовольствия». По самым скромным оценкам, около 40-45 тыс. "мобилизованных" советских немцев из этого числа умерли в лагерях (11572).</w:t>
      </w:r>
    </w:p>
    <w:p w14:paraId="73C2E887" w14:textId="77777777" w:rsidR="00D4651C" w:rsidRPr="008127F8" w:rsidRDefault="00D4651C" w:rsidP="001E0A84">
      <w:pPr>
        <w:pStyle w:val="afff5"/>
        <w:jc w:val="both"/>
        <w:rPr>
          <w:i w:val="0"/>
          <w:iCs w:val="0"/>
          <w:color w:val="000000" w:themeColor="text1"/>
          <w:spacing w:val="0"/>
          <w:kern w:val="0"/>
          <w:position w:val="0"/>
          <w:sz w:val="16"/>
          <w:szCs w:val="16"/>
        </w:rPr>
      </w:pPr>
    </w:p>
    <w:p w14:paraId="175F7995"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10 января 1942. Газета "Вечерняя Москва" сообщала: "На станциях метро "Белорусская" и "Площадь Маяковского", когда останавливается последние поезда, загорается фосфорический луч кинопроектора. Ребятам, проводящим ночь в метро, показывают лучшие Светские фильмы" (18696).</w:t>
      </w:r>
    </w:p>
    <w:p w14:paraId="44C80A64" w14:textId="77777777" w:rsidR="00D23107" w:rsidRPr="008127F8" w:rsidRDefault="00D23107" w:rsidP="001E0A84">
      <w:pPr>
        <w:spacing w:after="0" w:line="240" w:lineRule="auto"/>
        <w:jc w:val="both"/>
        <w:rPr>
          <w:rFonts w:ascii="Times New Roman" w:hAnsi="Times New Roman"/>
          <w:color w:val="000000" w:themeColor="text1"/>
          <w:sz w:val="16"/>
          <w:szCs w:val="16"/>
        </w:rPr>
      </w:pPr>
    </w:p>
    <w:p w14:paraId="4943802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3D996D75" w14:textId="77777777" w:rsidR="00D4651C" w:rsidRPr="008127F8" w:rsidRDefault="00D4651C" w:rsidP="001E0A84">
      <w:pPr>
        <w:pStyle w:val="Iauiue"/>
        <w:jc w:val="both"/>
        <w:rPr>
          <w:iCs/>
          <w:color w:val="000000" w:themeColor="text1"/>
          <w:sz w:val="16"/>
          <w:szCs w:val="16"/>
        </w:rPr>
      </w:pPr>
    </w:p>
    <w:p w14:paraId="1118B00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10-го января 1942-го года оперативный офицер штаба ВМС США коммандор Френсис С. Лоу находился с инспекторской поезд</w:t>
      </w:r>
      <w:r w:rsidRPr="008A2E5A">
        <w:rPr>
          <w:rFonts w:ascii="Times New Roman" w:hAnsi="Times New Roman"/>
          <w:color w:val="0070C0"/>
          <w:sz w:val="16"/>
          <w:szCs w:val="16"/>
        </w:rPr>
        <w:softHyphen/>
        <w:t>кой на военно-морской базе США Норфолк. Его целью был осмотр недавно вступившего в строй ВМС США авианосца «Хорнет». Закончив инспекцию и находясь на борту взле</w:t>
      </w:r>
      <w:r w:rsidRPr="008A2E5A">
        <w:rPr>
          <w:rFonts w:ascii="Times New Roman" w:hAnsi="Times New Roman"/>
          <w:color w:val="0070C0"/>
          <w:sz w:val="16"/>
          <w:szCs w:val="16"/>
        </w:rPr>
        <w:softHyphen/>
        <w:t>тающего самолета, Лоу заметил раскрашенную краской соседнюю взлетно-посадочную полосу, имитирующую форму и размеры палубы авианосца. В этот момент с нее взлетала пара армейских двухмоторных бомбардировщиков. Тут же в голове Лоу созрела идея нанесения удара по Японии средними бомбардировщиками, которые могли бы взлететь с авианосца на большем расстоянии от Японии, чем палубные самолеты, и тем самым не подвергать ави</w:t>
      </w:r>
      <w:r w:rsidRPr="008A2E5A">
        <w:rPr>
          <w:rFonts w:ascii="Times New Roman" w:hAnsi="Times New Roman"/>
          <w:color w:val="0070C0"/>
          <w:sz w:val="16"/>
          <w:szCs w:val="16"/>
        </w:rPr>
        <w:softHyphen/>
        <w:t>аносцы опасности удара береговой авиации и кораблей ВМС Японии.</w:t>
      </w:r>
    </w:p>
    <w:p w14:paraId="7B264187"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Прибыв в Вашингтон, Лоу рассказал свою идею ко</w:t>
      </w:r>
      <w:r w:rsidRPr="008A2E5A">
        <w:rPr>
          <w:rFonts w:ascii="Times New Roman" w:hAnsi="Times New Roman"/>
          <w:color w:val="0070C0"/>
          <w:sz w:val="16"/>
          <w:szCs w:val="16"/>
        </w:rPr>
        <w:softHyphen/>
        <w:t xml:space="preserve">мандующему ВМС США адмиралу Э. Дж. Кингу. Адмиралу идея </w:t>
      </w:r>
      <w:proofErr w:type="gramStart"/>
      <w:r w:rsidRPr="008A2E5A">
        <w:rPr>
          <w:rFonts w:ascii="Times New Roman" w:hAnsi="Times New Roman"/>
          <w:color w:val="0070C0"/>
          <w:sz w:val="16"/>
          <w:szCs w:val="16"/>
        </w:rPr>
        <w:t>понравилась</w:t>
      </w:r>
      <w:proofErr w:type="gramEnd"/>
      <w:r w:rsidRPr="008A2E5A">
        <w:rPr>
          <w:rFonts w:ascii="Times New Roman" w:hAnsi="Times New Roman"/>
          <w:color w:val="0070C0"/>
          <w:sz w:val="16"/>
          <w:szCs w:val="16"/>
        </w:rPr>
        <w:t xml:space="preserve"> и он приказал разработать план опера</w:t>
      </w:r>
      <w:r w:rsidRPr="008A2E5A">
        <w:rPr>
          <w:rFonts w:ascii="Times New Roman" w:hAnsi="Times New Roman"/>
          <w:color w:val="0070C0"/>
          <w:sz w:val="16"/>
          <w:szCs w:val="16"/>
        </w:rPr>
        <w:softHyphen/>
        <w:t>тивному офицеру авиационных операций штаба ВМС США командору Дональду Дункану. В течение пяти дней Дункан разрабатывал план операции. В итоге им был написан от руки тридцатистраничный план операции. Из соображения секретности он не дал его никому напечатать. Адмирал Кинг поделился идеей налета с командующим армейской авиацией генералом Генри Х. Арнольдом. Тому идея понра</w:t>
      </w:r>
      <w:r w:rsidRPr="008A2E5A">
        <w:rPr>
          <w:rFonts w:ascii="Times New Roman" w:hAnsi="Times New Roman"/>
          <w:color w:val="0070C0"/>
          <w:sz w:val="16"/>
          <w:szCs w:val="16"/>
        </w:rPr>
        <w:softHyphen/>
        <w:t>вилась, и он согласился всячески содействовать для её ре</w:t>
      </w:r>
      <w:r w:rsidRPr="008A2E5A">
        <w:rPr>
          <w:rFonts w:ascii="Times New Roman" w:hAnsi="Times New Roman"/>
          <w:color w:val="0070C0"/>
          <w:sz w:val="16"/>
          <w:szCs w:val="16"/>
        </w:rPr>
        <w:softHyphen/>
        <w:t>ализации. Таким образом, предстоящая операция должна была быть осуществлена совместными действиями армей</w:t>
      </w:r>
      <w:r w:rsidRPr="008A2E5A">
        <w:rPr>
          <w:rFonts w:ascii="Times New Roman" w:hAnsi="Times New Roman"/>
          <w:color w:val="0070C0"/>
          <w:sz w:val="16"/>
          <w:szCs w:val="16"/>
        </w:rPr>
        <w:softHyphen/>
        <w:t>ской авиации и флотом. Разработка и подготовка предстоя</w:t>
      </w:r>
      <w:r w:rsidRPr="008A2E5A">
        <w:rPr>
          <w:rFonts w:ascii="Times New Roman" w:hAnsi="Times New Roman"/>
          <w:color w:val="0070C0"/>
          <w:sz w:val="16"/>
          <w:szCs w:val="16"/>
        </w:rPr>
        <w:softHyphen/>
        <w:t>щей операции велась в строгой секретности.</w:t>
      </w:r>
    </w:p>
    <w:p w14:paraId="05ACC657"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плану в операции планировалось задействовать два больших ударных авианосца. Один будет нести армейские бомбардировщики, которые будут наносить удар по Японии, самолеты его авиагруппы находились бы в ангаре. А второй будет нести свою авианосную группу и прикрывать все соединение своими палубными истребителями, так как самолеты авиагруппы авианосца, на котором распола</w:t>
      </w:r>
      <w:r w:rsidRPr="008A2E5A">
        <w:rPr>
          <w:rFonts w:ascii="Times New Roman" w:hAnsi="Times New Roman"/>
          <w:color w:val="0070C0"/>
          <w:sz w:val="16"/>
          <w:szCs w:val="16"/>
        </w:rPr>
        <w:softHyphen/>
        <w:t>гались армейские бомбардировщики, не могли взлететь с палубы, занятой бомбардировщиками. Соединение должно было бы приблизиться на 500 морских миль к побережью Японии, выпустить армейские бомбардировщики и уйти домой. Сами бомбардировщики, отбомбившись по своим целям, должны были лететь и сесть на аэродромах Китая.</w:t>
      </w:r>
    </w:p>
    <w:p w14:paraId="5041B977"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Было предложено три варианта хода операции.</w:t>
      </w:r>
    </w:p>
    <w:p w14:paraId="0474FD79"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первому варианту взлет должен быть осуществ</w:t>
      </w:r>
      <w:r w:rsidRPr="008A2E5A">
        <w:rPr>
          <w:rFonts w:ascii="Times New Roman" w:hAnsi="Times New Roman"/>
          <w:color w:val="0070C0"/>
          <w:sz w:val="16"/>
          <w:szCs w:val="16"/>
        </w:rPr>
        <w:softHyphen/>
        <w:t>лен за три часа до рассвета, по второму варианту взлет - должен был быть осуществлен на рассвете, а по третьему варианту взлет должен быть произведен незадолго до наступления темноты. Первый вариант имел преимущество в том, что авианосная группа подходила ближе всего к Японии в темное время суток, что обеспечивало ее без</w:t>
      </w:r>
      <w:r w:rsidRPr="008A2E5A">
        <w:rPr>
          <w:rFonts w:ascii="Times New Roman" w:hAnsi="Times New Roman"/>
          <w:color w:val="0070C0"/>
          <w:sz w:val="16"/>
          <w:szCs w:val="16"/>
        </w:rPr>
        <w:softHyphen/>
        <w:t>опасность. Бомбометание произошло бы днем, что повы</w:t>
      </w:r>
      <w:r w:rsidRPr="008A2E5A">
        <w:rPr>
          <w:rFonts w:ascii="Times New Roman" w:hAnsi="Times New Roman"/>
          <w:color w:val="0070C0"/>
          <w:sz w:val="16"/>
          <w:szCs w:val="16"/>
        </w:rPr>
        <w:softHyphen/>
        <w:t>сило бы ее точность. Посадка бомбардировщиков в Китае произошла бы незадолго до наступления темноты. Однако недостатком первого варианта было то, что сам по себе непростой взлет с палубы авианосца бомбардировщиков в темноте вызвал бы у экипажей определенные трудности. Кроме того, для взлета ночью нужно было бы включать освещение на палубе авианосца, что демаскировало бы все соединение (именно из-за этого этот вариант был отклонен командованием флота). Также бомбометание днем из-за предполагавшейся сильной противовоздушной обороной Японии могло вызвать большие потери.</w:t>
      </w:r>
    </w:p>
    <w:p w14:paraId="172CCC5F"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Преимуществом второго варианта было то, что взлет осуществлялся на рассвете. Бомбометание произошло бы днем, что повысило бы ее точность. Недостатком было то, что посадка в Китае произошла бы после наступления темноты, что вызвало бы трудности как с посадкой, так и поиском ночью аэродромов перед посадкой. Также воз</w:t>
      </w:r>
      <w:r w:rsidRPr="008A2E5A">
        <w:rPr>
          <w:rFonts w:ascii="Times New Roman" w:hAnsi="Times New Roman"/>
          <w:color w:val="0070C0"/>
          <w:sz w:val="16"/>
          <w:szCs w:val="16"/>
        </w:rPr>
        <w:softHyphen/>
        <w:t>можны были большие потери при бомбометании днем из- за предполагавшейся сильной противовоздушной обороны Японии. От этого варианта также отказались.</w:t>
      </w:r>
    </w:p>
    <w:p w14:paraId="2CA921F1"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Преимуществом третьего варианта было то, что взлет осуществлялся в светлое время суток. Бомбометание было бы произведено ночью, что снизило бы потери от противо</w:t>
      </w:r>
      <w:r w:rsidRPr="008A2E5A">
        <w:rPr>
          <w:rFonts w:ascii="Times New Roman" w:hAnsi="Times New Roman"/>
          <w:color w:val="0070C0"/>
          <w:sz w:val="16"/>
          <w:szCs w:val="16"/>
        </w:rPr>
        <w:softHyphen/>
        <w:t>воздушной обороной Японии. Посадка в Китае произошла бы на рассвете. Однако из-за ночного полета выход на цель был бы затруднен, а точность бомбометания была бы низкой. В конечном счете этот вариант и выбрали.</w:t>
      </w:r>
    </w:p>
    <w:p w14:paraId="6F87F4B0"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Также были разработаны планы на случай встречи с вражескими кораблями или самолетами на большом рас</w:t>
      </w:r>
      <w:r w:rsidRPr="008A2E5A">
        <w:rPr>
          <w:rFonts w:ascii="Times New Roman" w:hAnsi="Times New Roman"/>
          <w:color w:val="0070C0"/>
          <w:sz w:val="16"/>
          <w:szCs w:val="16"/>
        </w:rPr>
        <w:softHyphen/>
        <w:t>стоянии от точки, с которой должны стартовать бомбарди</w:t>
      </w:r>
      <w:r w:rsidRPr="008A2E5A">
        <w:rPr>
          <w:rFonts w:ascii="Times New Roman" w:hAnsi="Times New Roman"/>
          <w:color w:val="0070C0"/>
          <w:sz w:val="16"/>
          <w:szCs w:val="16"/>
        </w:rPr>
        <w:softHyphen/>
        <w:t>ровщики. Если такое произойдет, то операцию следовало прервать, а все соединение, не ввязываясь в бой, повер</w:t>
      </w:r>
      <w:r w:rsidRPr="008A2E5A">
        <w:rPr>
          <w:rFonts w:ascii="Times New Roman" w:hAnsi="Times New Roman"/>
          <w:color w:val="0070C0"/>
          <w:sz w:val="16"/>
          <w:szCs w:val="16"/>
        </w:rPr>
        <w:softHyphen/>
        <w:t>нуть назад. Ну а если соединение не сможет избежать боя после его обнаружения, то все армейские бомбардиров</w:t>
      </w:r>
      <w:r w:rsidRPr="008A2E5A">
        <w:rPr>
          <w:rFonts w:ascii="Times New Roman" w:hAnsi="Times New Roman"/>
          <w:color w:val="0070C0"/>
          <w:sz w:val="16"/>
          <w:szCs w:val="16"/>
        </w:rPr>
        <w:softHyphen/>
        <w:t>щики должны взлететь и полететь на базы атолла Мидуэй или Гавайских островов или же они будут скинуты за борт, дабы дать возможность поднять на палубу палубные само</w:t>
      </w:r>
      <w:r w:rsidRPr="008A2E5A">
        <w:rPr>
          <w:rFonts w:ascii="Times New Roman" w:hAnsi="Times New Roman"/>
          <w:color w:val="0070C0"/>
          <w:sz w:val="16"/>
          <w:szCs w:val="16"/>
        </w:rPr>
        <w:softHyphen/>
        <w:t>леты авианосца.</w:t>
      </w:r>
    </w:p>
    <w:p w14:paraId="4DC2F17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первых этапах разработки операции высказывались предложения, чтобы бомбардировщики сели на авианосец, уже находящийся в море. Однако данная идея сразу же была отклонена, так как бомбардировщик B-25, который выбрали для участия в операции, не был приспособлен для посадки на короткую полосу и тем более палубу ави</w:t>
      </w:r>
      <w:r w:rsidRPr="008A2E5A">
        <w:rPr>
          <w:rFonts w:ascii="Times New Roman" w:hAnsi="Times New Roman"/>
          <w:color w:val="0070C0"/>
          <w:sz w:val="16"/>
          <w:szCs w:val="16"/>
        </w:rPr>
        <w:softHyphen/>
        <w:t>аносца, и его нельзя было бы переделать для таких нужд. Рассматривался вариант посадки самолетов после выпол</w:t>
      </w:r>
      <w:r w:rsidRPr="008A2E5A">
        <w:rPr>
          <w:rFonts w:ascii="Times New Roman" w:hAnsi="Times New Roman"/>
          <w:color w:val="0070C0"/>
          <w:sz w:val="16"/>
          <w:szCs w:val="16"/>
        </w:rPr>
        <w:softHyphen/>
        <w:t>нения задания на территории СССР, в районе Владивостока. За эту возможность предполагалось передать СССР все севшие у них самолеты в качестве военной помощи по программе Ленд-лиза. Однако между СССР и Японией на тот момент был заключен пакт о нейтралитете. Основная часть Красной Армии сражалась на западе страны против Германии и ее союзников, так что обострять отношения с Японией Советскому Союзу было невыгодно. Китайское же руководство согласилось предоставить аэродромы для посадки американских самолетов. Из соображения секрет</w:t>
      </w:r>
      <w:r w:rsidRPr="008A2E5A">
        <w:rPr>
          <w:rFonts w:ascii="Times New Roman" w:hAnsi="Times New Roman"/>
          <w:color w:val="0070C0"/>
          <w:sz w:val="16"/>
          <w:szCs w:val="16"/>
        </w:rPr>
        <w:softHyphen/>
        <w:t>ности Китайскому руководству о самой миссии ничего не сказали, им просто сказали, что на предоставленные ими аэродромы в ближайшее время прибудут самолеты для передачи Китайским ВВС в рамках военной помощи. Рас</w:t>
      </w:r>
      <w:r w:rsidRPr="008A2E5A">
        <w:rPr>
          <w:rFonts w:ascii="Times New Roman" w:hAnsi="Times New Roman"/>
          <w:color w:val="0070C0"/>
          <w:sz w:val="16"/>
          <w:szCs w:val="16"/>
        </w:rPr>
        <w:softHyphen/>
        <w:t>сматривался вариант использования для операции бомбар</w:t>
      </w:r>
      <w:r w:rsidRPr="008A2E5A">
        <w:rPr>
          <w:rFonts w:ascii="Times New Roman" w:hAnsi="Times New Roman"/>
          <w:color w:val="0070C0"/>
          <w:sz w:val="16"/>
          <w:szCs w:val="16"/>
        </w:rPr>
        <w:softHyphen/>
        <w:t>дировщиков B-26, B-18 и B-23. Однако B-26 не подходил из-за большей длины разбега, чем у B-25. B-18 и B-23 не подошли из-за большого размаха крыла, в результате на палубе авианосца их поместилось бы меньше, чем B-25, да и зазор между правым крылом и палубной надстройкой авианосца был бы очень мал, что при взлете вызвало бы трудности и могло привести к столкновению.</w:t>
      </w:r>
    </w:p>
    <w:p w14:paraId="4AB6EB1A"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Командовать предстоящей операцией назначили подполковника Д. Дулиттла (23348).</w:t>
      </w:r>
    </w:p>
    <w:p w14:paraId="6666221B" w14:textId="77777777" w:rsidR="00153AEB" w:rsidRPr="008A2E5A" w:rsidRDefault="00153AEB" w:rsidP="00153AEB">
      <w:pPr>
        <w:spacing w:after="0" w:line="240" w:lineRule="auto"/>
        <w:jc w:val="both"/>
        <w:rPr>
          <w:rFonts w:ascii="Times New Roman" w:hAnsi="Times New Roman"/>
          <w:color w:val="0070C0"/>
          <w:sz w:val="16"/>
          <w:szCs w:val="16"/>
        </w:rPr>
      </w:pPr>
    </w:p>
    <w:p w14:paraId="4208E7F0"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10, 1942: Colonel-General Ernst Udet, head of Luftwaffe aircraft production and development, commits suicide for failure to provide adequate replacements and new improved aircraft models (3819).</w:t>
      </w:r>
    </w:p>
    <w:p w14:paraId="6AB6B222" w14:textId="77777777" w:rsidR="00D4651C" w:rsidRPr="008127F8" w:rsidRDefault="00D4651C" w:rsidP="001E0A84">
      <w:pPr>
        <w:pStyle w:val="Iauiue"/>
        <w:jc w:val="both"/>
        <w:rPr>
          <w:color w:val="000000" w:themeColor="text1"/>
          <w:sz w:val="16"/>
          <w:szCs w:val="16"/>
          <w:lang w:val="en-US"/>
        </w:rPr>
      </w:pPr>
    </w:p>
    <w:p w14:paraId="7DDCBB4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января 1942 г Э.Удет, ответственный за производство и разработку самолетов для командующий, совершил самоубийство из-за того, что не смог добиться выпуска новых моделей самолетов (3819).</w:t>
      </w:r>
    </w:p>
    <w:p w14:paraId="1809BFCE" w14:textId="77777777" w:rsidR="00D4651C" w:rsidRPr="008127F8" w:rsidRDefault="00D4651C" w:rsidP="001E0A84">
      <w:pPr>
        <w:pStyle w:val="Iauiue"/>
        <w:jc w:val="both"/>
        <w:rPr>
          <w:color w:val="000000" w:themeColor="text1"/>
          <w:sz w:val="16"/>
          <w:szCs w:val="16"/>
        </w:rPr>
      </w:pPr>
    </w:p>
    <w:p w14:paraId="4910050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069E7494" w14:textId="77777777" w:rsidR="00D4651C" w:rsidRPr="008127F8" w:rsidRDefault="00D4651C" w:rsidP="001E0A84">
      <w:pPr>
        <w:pStyle w:val="Iauiue"/>
        <w:jc w:val="both"/>
        <w:rPr>
          <w:iCs/>
          <w:color w:val="000000" w:themeColor="text1"/>
          <w:sz w:val="16"/>
          <w:szCs w:val="16"/>
        </w:rPr>
      </w:pPr>
    </w:p>
    <w:p w14:paraId="07EB15BB" w14:textId="605BCB81"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первую декаду января 1942 на фронт поступил только </w:t>
      </w:r>
      <w:proofErr w:type="gramStart"/>
      <w:r w:rsidRPr="008127F8">
        <w:rPr>
          <w:rFonts w:ascii="Times New Roman" w:hAnsi="Times New Roman"/>
          <w:color w:val="000000" w:themeColor="text1"/>
          <w:sz w:val="16"/>
          <w:szCs w:val="16"/>
        </w:rPr>
        <w:t>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от запланированного количества мин и 30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положенного числа снарядов. За весь месяц план по производству мин был выполнен всего на 2,</w:t>
      </w:r>
      <w:proofErr w:type="gramStart"/>
      <w:r w:rsidRPr="008127F8">
        <w:rPr>
          <w:rFonts w:ascii="Times New Roman" w:hAnsi="Times New Roman"/>
          <w:color w:val="000000" w:themeColor="text1"/>
          <w:sz w:val="16"/>
          <w:szCs w:val="16"/>
        </w:rPr>
        <w:t>7</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а февральский вообще был сорван. Из запланированных 316 вагонов боеприпасов из Саратова на фронт не поступило ни одного! Особенно отличилось руководство завода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250</w:t>
      </w:r>
      <w:proofErr w:type="gramEnd"/>
      <w:r w:rsidRPr="008127F8">
        <w:rPr>
          <w:rFonts w:ascii="Times New Roman" w:hAnsi="Times New Roman"/>
          <w:color w:val="000000" w:themeColor="text1"/>
          <w:sz w:val="16"/>
          <w:szCs w:val="16"/>
        </w:rPr>
        <w:t xml:space="preserve">. Там из-за нарушений технологии производства и трудовой дисциплины выпуск 45-мм снарядов и ручных гранат Ф-1 был провален. Но лозунг «Все для фронта, все для победы!» надо было как-то воплощать в жизнь. Тогда заводское начальство просто приписало в отчет 10 000 якобы выпущенных гранат и 6000 таких же виртуальных снарядов. На соседнем, эвакуированном из Москвы, заводе боеприпасов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205</w:t>
      </w:r>
      <w:proofErr w:type="gramEnd"/>
      <w:r w:rsidRPr="008127F8">
        <w:rPr>
          <w:rFonts w:ascii="Times New Roman" w:hAnsi="Times New Roman"/>
          <w:color w:val="000000" w:themeColor="text1"/>
          <w:sz w:val="16"/>
          <w:szCs w:val="16"/>
        </w:rPr>
        <w:t xml:space="preserve"> широкое распространение получило пьянство, необеспеченность рабочих инструментом и материалами и другие негативнее явления. В итоге задание по выпуску ракетных снарядов для «Катюш» там тоже было сорвано. [323 — Сойма В. М. Советская контрразведка в годы Великой Отечественной войны. М.: Крафт+, 2005, 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91–92.] (11741).</w:t>
      </w:r>
    </w:p>
    <w:p w14:paraId="60AD50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3FF707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298BB26C" w14:textId="77777777" w:rsidR="00D4651C" w:rsidRPr="008127F8" w:rsidRDefault="00D4651C" w:rsidP="001E0A84">
      <w:pPr>
        <w:pStyle w:val="Iauiue"/>
        <w:jc w:val="both"/>
        <w:rPr>
          <w:iCs/>
          <w:color w:val="000000" w:themeColor="text1"/>
          <w:sz w:val="16"/>
          <w:szCs w:val="16"/>
        </w:rPr>
      </w:pPr>
    </w:p>
    <w:p w14:paraId="593BAF7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января 1942 постановле</w:t>
      </w:r>
      <w:r w:rsidRPr="008A2E5A">
        <w:rPr>
          <w:rFonts w:ascii="Times New Roman" w:hAnsi="Times New Roman"/>
          <w:color w:val="0070C0"/>
          <w:sz w:val="16"/>
          <w:szCs w:val="16"/>
        </w:rPr>
        <w:softHyphen/>
        <w:t>нием ГКО № 1136сс от практики разборки самолетов Ил-2 и отправки их в Москву ж.д. транспортом отказались. Теперь все самолеты облетывались и принимались военной при</w:t>
      </w:r>
      <w:r w:rsidRPr="008A2E5A">
        <w:rPr>
          <w:rFonts w:ascii="Times New Roman" w:hAnsi="Times New Roman"/>
          <w:color w:val="0070C0"/>
          <w:sz w:val="16"/>
          <w:szCs w:val="16"/>
        </w:rPr>
        <w:softHyphen/>
        <w:t>емкой на ЛИС заводов, после чего машины перегонялись в Москву лётом (23346).</w:t>
      </w:r>
    </w:p>
    <w:p w14:paraId="61C7D65A" w14:textId="77777777" w:rsidR="00153AEB" w:rsidRPr="008A2E5A" w:rsidRDefault="00153AEB" w:rsidP="00153AEB">
      <w:pPr>
        <w:spacing w:after="0" w:line="240" w:lineRule="auto"/>
        <w:jc w:val="both"/>
        <w:rPr>
          <w:rFonts w:ascii="Times New Roman" w:hAnsi="Times New Roman"/>
          <w:color w:val="0070C0"/>
          <w:sz w:val="16"/>
          <w:szCs w:val="16"/>
        </w:rPr>
      </w:pPr>
    </w:p>
    <w:p w14:paraId="6F489D7E" w14:textId="77777777" w:rsidR="00843C07" w:rsidRPr="008127F8" w:rsidRDefault="00843C07"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1136 [О порядке сдачи самолетов ВВС с заводов Поволжья и Урала.] (7020, 74).</w:t>
      </w:r>
    </w:p>
    <w:p w14:paraId="4FCED6D2" w14:textId="77777777" w:rsidR="00843C07" w:rsidRPr="008127F8" w:rsidRDefault="00843C07" w:rsidP="001E0A84">
      <w:pPr>
        <w:pStyle w:val="Iauiue"/>
        <w:tabs>
          <w:tab w:val="left" w:pos="11199"/>
        </w:tabs>
        <w:jc w:val="both"/>
        <w:rPr>
          <w:color w:val="000000" w:themeColor="text1"/>
          <w:sz w:val="16"/>
          <w:szCs w:val="16"/>
        </w:rPr>
      </w:pPr>
    </w:p>
    <w:p w14:paraId="4D140D6E" w14:textId="77777777" w:rsidR="00843C07" w:rsidRPr="008127F8" w:rsidRDefault="00843C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1136 Вопросы ВВС</w:t>
      </w:r>
    </w:p>
    <w:p w14:paraId="15541852" w14:textId="77777777" w:rsidR="00843C07" w:rsidRPr="008127F8" w:rsidRDefault="00843C07" w:rsidP="001E0A84">
      <w:pPr>
        <w:pStyle w:val="47"/>
        <w:shd w:val="clear" w:color="auto" w:fill="auto"/>
        <w:tabs>
          <w:tab w:val="left" w:pos="97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В отмену ранее принятых постановлений о транспорти</w:t>
      </w:r>
      <w:r w:rsidRPr="008127F8">
        <w:rPr>
          <w:rFonts w:ascii="Times New Roman" w:hAnsi="Times New Roman" w:cs="Times New Roman"/>
          <w:color w:val="000000" w:themeColor="text1"/>
          <w:sz w:val="16"/>
          <w:szCs w:val="16"/>
        </w:rPr>
        <w:softHyphen/>
        <w:t>ровке самолетов по железной дороге в разобранном виде обя</w:t>
      </w:r>
      <w:r w:rsidRPr="008127F8">
        <w:rPr>
          <w:rFonts w:ascii="Times New Roman" w:hAnsi="Times New Roman" w:cs="Times New Roman"/>
          <w:color w:val="000000" w:themeColor="text1"/>
          <w:sz w:val="16"/>
          <w:szCs w:val="16"/>
        </w:rPr>
        <w:softHyphen/>
        <w:t>зать ВВС т.Жигарева все самолеты с заводов № 1 и № 18 (г.Куйбышев), № 292 (г.Саратов), № 381 (Н.Тагил), № 22 (Ка</w:t>
      </w:r>
      <w:r w:rsidRPr="008127F8">
        <w:rPr>
          <w:rFonts w:ascii="Times New Roman" w:hAnsi="Times New Roman" w:cs="Times New Roman"/>
          <w:color w:val="000000" w:themeColor="text1"/>
          <w:sz w:val="16"/>
          <w:szCs w:val="16"/>
        </w:rPr>
        <w:softHyphen/>
        <w:t>зань), № 21 (Горький) перегонять в Москву только летом.</w:t>
      </w:r>
    </w:p>
    <w:p w14:paraId="5635AFB8" w14:textId="77777777" w:rsidR="00843C07" w:rsidRPr="008127F8" w:rsidRDefault="00843C07" w:rsidP="001E0A84">
      <w:pPr>
        <w:pStyle w:val="47"/>
        <w:shd w:val="clear" w:color="auto" w:fill="auto"/>
        <w:tabs>
          <w:tab w:val="left" w:pos="99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Обязать директоров упомянутых в пункте первом заво</w:t>
      </w:r>
      <w:r w:rsidRPr="008127F8">
        <w:rPr>
          <w:rFonts w:ascii="Times New Roman" w:hAnsi="Times New Roman" w:cs="Times New Roman"/>
          <w:color w:val="000000" w:themeColor="text1"/>
          <w:sz w:val="16"/>
          <w:szCs w:val="16"/>
        </w:rPr>
        <w:softHyphen/>
        <w:t>дов и Наркомавиапром т.Шахурина сдавать самолеты после обле</w:t>
      </w:r>
      <w:r w:rsidRPr="008127F8">
        <w:rPr>
          <w:rFonts w:ascii="Times New Roman" w:hAnsi="Times New Roman" w:cs="Times New Roman"/>
          <w:color w:val="000000" w:themeColor="text1"/>
          <w:sz w:val="16"/>
          <w:szCs w:val="16"/>
        </w:rPr>
        <w:softHyphen/>
        <w:t>та на месте, а военпредов ВВС принимать их на месте, после чего и отправлять их*в Москву летом.</w:t>
      </w:r>
    </w:p>
    <w:p w14:paraId="64A30CF1" w14:textId="77777777" w:rsidR="00843C07" w:rsidRPr="008127F8" w:rsidRDefault="00843C07" w:rsidP="001E0A84">
      <w:pPr>
        <w:pStyle w:val="47"/>
        <w:shd w:val="clear" w:color="auto" w:fill="auto"/>
        <w:tabs>
          <w:tab w:val="left" w:pos="98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3. Обязать ВВС (т.Жигаре^а) на каждую группу самолетов истребителей и </w:t>
      </w:r>
      <w:r w:rsidRPr="008127F8">
        <w:rPr>
          <w:rStyle w:val="0pt"/>
          <w:rFonts w:ascii="Times New Roman" w:hAnsi="Times New Roman" w:cs="Times New Roman"/>
          <w:color w:val="000000" w:themeColor="text1"/>
          <w:spacing w:val="0"/>
          <w:sz w:val="16"/>
          <w:szCs w:val="16"/>
        </w:rPr>
        <w:t>Ил-2,</w:t>
      </w:r>
      <w:r w:rsidRPr="008127F8">
        <w:rPr>
          <w:rFonts w:ascii="Times New Roman" w:hAnsi="Times New Roman" w:cs="Times New Roman"/>
          <w:color w:val="000000" w:themeColor="text1"/>
          <w:sz w:val="16"/>
          <w:szCs w:val="16"/>
        </w:rPr>
        <w:t xml:space="preserve"> идущую летом в Москву, иметь в качестве руководителя полета по одному опытному летчику-лидеру, знаю</w:t>
      </w:r>
      <w:r w:rsidRPr="008127F8">
        <w:rPr>
          <w:rFonts w:ascii="Times New Roman" w:hAnsi="Times New Roman" w:cs="Times New Roman"/>
          <w:color w:val="000000" w:themeColor="text1"/>
          <w:sz w:val="16"/>
          <w:szCs w:val="16"/>
        </w:rPr>
        <w:softHyphen/>
        <w:t>щему трассу.</w:t>
      </w:r>
    </w:p>
    <w:p w14:paraId="5E34775B" w14:textId="77777777" w:rsidR="00843C07" w:rsidRPr="008127F8" w:rsidRDefault="00843C07" w:rsidP="001E0A84">
      <w:pPr>
        <w:pStyle w:val="47"/>
        <w:shd w:val="clear" w:color="auto" w:fill="auto"/>
        <w:tabs>
          <w:tab w:val="left" w:pos="98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4. При перелетах из Саратова и Куйбышева в Москву иметь одну промежуточную посадку, из Тагила - две промежуточные по</w:t>
      </w:r>
      <w:r w:rsidRPr="008127F8">
        <w:rPr>
          <w:rFonts w:ascii="Times New Roman" w:hAnsi="Times New Roman" w:cs="Times New Roman"/>
          <w:color w:val="000000" w:themeColor="text1"/>
          <w:sz w:val="16"/>
          <w:szCs w:val="16"/>
        </w:rPr>
        <w:softHyphen/>
        <w:t xml:space="preserve">садки/ а полеты из Казани и Горького </w:t>
      </w:r>
      <w:proofErr w:type="gramStart"/>
      <w:r w:rsidRPr="008127F8">
        <w:rPr>
          <w:rFonts w:ascii="Times New Roman" w:hAnsi="Times New Roman" w:cs="Times New Roman"/>
          <w:color w:val="000000" w:themeColor="text1"/>
          <w:sz w:val="16"/>
          <w:szCs w:val="16"/>
        </w:rPr>
        <w:t>осуществлять Вез</w:t>
      </w:r>
      <w:proofErr w:type="gramEnd"/>
      <w:r w:rsidRPr="008127F8">
        <w:rPr>
          <w:rFonts w:ascii="Times New Roman" w:hAnsi="Times New Roman" w:cs="Times New Roman"/>
          <w:color w:val="000000" w:themeColor="text1"/>
          <w:sz w:val="16"/>
          <w:szCs w:val="16"/>
        </w:rPr>
        <w:t xml:space="preserve"> проме</w:t>
      </w:r>
      <w:r w:rsidRPr="008127F8">
        <w:rPr>
          <w:rFonts w:ascii="Times New Roman" w:hAnsi="Times New Roman" w:cs="Times New Roman"/>
          <w:color w:val="000000" w:themeColor="text1"/>
          <w:sz w:val="16"/>
          <w:szCs w:val="16"/>
        </w:rPr>
        <w:softHyphen/>
        <w:t>жуточной посадки.</w:t>
      </w:r>
    </w:p>
    <w:p w14:paraId="1DD3B6ED" w14:textId="77777777" w:rsidR="00843C07" w:rsidRPr="008127F8" w:rsidRDefault="00843C07" w:rsidP="001E0A84">
      <w:pPr>
        <w:pStyle w:val="47"/>
        <w:shd w:val="clear" w:color="auto" w:fill="auto"/>
        <w:tabs>
          <w:tab w:val="left" w:pos="97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Для Саратовского завода иметь 5 летчиков-лидеров, для двух самолетных заводов в Куйбышеве иметь 10 летчиков-лидеров, для завода в Н.Тагиле - б летчиков-лидеров, для Горьковского авиазавода - 6 летчиков-лидеров.</w:t>
      </w:r>
    </w:p>
    <w:p w14:paraId="5E1D65E8" w14:textId="77777777" w:rsidR="00843C07" w:rsidRPr="008127F8" w:rsidRDefault="00843C07" w:rsidP="001E0A84">
      <w:pPr>
        <w:pStyle w:val="47"/>
        <w:shd w:val="clear" w:color="auto" w:fill="auto"/>
        <w:tabs>
          <w:tab w:val="left" w:pos="99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6 Назначить летчикам-лидерам жалованье, равное жало</w:t>
      </w:r>
      <w:r w:rsidRPr="008127F8">
        <w:rPr>
          <w:rFonts w:ascii="Times New Roman" w:hAnsi="Times New Roman" w:cs="Times New Roman"/>
          <w:color w:val="000000" w:themeColor="text1"/>
          <w:sz w:val="16"/>
          <w:szCs w:val="16"/>
        </w:rPr>
        <w:softHyphen/>
        <w:t>ванью командира эскадрильи. Кроме того, летчикам-лидерам, работающим по трассе Горький-Москва, выдавать премию за пере</w:t>
      </w:r>
      <w:r w:rsidRPr="008127F8">
        <w:rPr>
          <w:rFonts w:ascii="Times New Roman" w:hAnsi="Times New Roman" w:cs="Times New Roman"/>
          <w:color w:val="000000" w:themeColor="text1"/>
          <w:sz w:val="16"/>
          <w:szCs w:val="16"/>
        </w:rPr>
        <w:softHyphen/>
        <w:t>гонку каждой эскадрильи*без аварий в сумме одной пятой его* жалованья, летчикам-лидерам, работающим по трассе Саратов- Москва и Куйбышев-Москва, выдавать премию за перегонку каждой эскадрильи без аварий в сумме одной четверти его жалованья, летчикам-лидерам, работающим по трассе Н.Тагил-Москва, выда</w:t>
      </w:r>
      <w:r w:rsidRPr="008127F8">
        <w:rPr>
          <w:rFonts w:ascii="Times New Roman" w:hAnsi="Times New Roman" w:cs="Times New Roman"/>
          <w:color w:val="000000" w:themeColor="text1"/>
          <w:sz w:val="16"/>
          <w:szCs w:val="16"/>
        </w:rPr>
        <w:softHyphen/>
        <w:t>вать премию за перегонку каждой эскадрильи без аварий в сум</w:t>
      </w:r>
      <w:r w:rsidRPr="008127F8">
        <w:rPr>
          <w:rFonts w:ascii="Times New Roman" w:hAnsi="Times New Roman" w:cs="Times New Roman"/>
          <w:color w:val="000000" w:themeColor="text1"/>
          <w:sz w:val="16"/>
          <w:szCs w:val="16"/>
        </w:rPr>
        <w:softHyphen/>
        <w:t>ме половины его жалованья.</w:t>
      </w:r>
    </w:p>
    <w:p w14:paraId="28DB5DE2" w14:textId="77777777" w:rsidR="00843C07" w:rsidRPr="008127F8" w:rsidRDefault="00843C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w:t>
      </w:r>
      <w:r w:rsidR="00DC2ECA" w:rsidRPr="008127F8">
        <w:rPr>
          <w:rFonts w:ascii="Times New Roman" w:hAnsi="Times New Roman"/>
          <w:color w:val="000000" w:themeColor="text1"/>
          <w:sz w:val="16"/>
          <w:szCs w:val="16"/>
        </w:rPr>
        <w:t>стре</w:t>
      </w:r>
      <w:r w:rsidRPr="008127F8">
        <w:rPr>
          <w:rFonts w:ascii="Times New Roman" w:hAnsi="Times New Roman"/>
          <w:color w:val="000000" w:themeColor="text1"/>
          <w:sz w:val="16"/>
          <w:szCs w:val="16"/>
        </w:rPr>
        <w:t>бители самолеты с Новосибирского завода (Лагг-3, Я</w:t>
      </w:r>
      <w:r w:rsidRPr="008127F8">
        <w:rPr>
          <w:rStyle w:val="0pt"/>
          <w:rFonts w:ascii="Times New Roman" w:hAnsi="Times New Roman" w:cs="Times New Roman"/>
          <w:color w:val="000000" w:themeColor="text1"/>
          <w:spacing w:val="0"/>
          <w:sz w:val="16"/>
          <w:szCs w:val="16"/>
        </w:rPr>
        <w:t>к-1)</w:t>
      </w:r>
      <w:r w:rsidRPr="008127F8">
        <w:rPr>
          <w:rFonts w:ascii="Times New Roman" w:hAnsi="Times New Roman"/>
          <w:color w:val="000000" w:themeColor="text1"/>
          <w:sz w:val="16"/>
          <w:szCs w:val="16"/>
        </w:rPr>
        <w:t xml:space="preserve"> доставлять в Москву в разобранном виде и собирать их потом (12298).</w:t>
      </w:r>
    </w:p>
    <w:p w14:paraId="02AD7076" w14:textId="77777777" w:rsidR="00843C07" w:rsidRPr="008127F8" w:rsidRDefault="00843C07" w:rsidP="001E0A84">
      <w:pPr>
        <w:pStyle w:val="Iauiue"/>
        <w:tabs>
          <w:tab w:val="left" w:pos="11199"/>
        </w:tabs>
        <w:jc w:val="both"/>
        <w:rPr>
          <w:color w:val="000000" w:themeColor="text1"/>
          <w:sz w:val="16"/>
          <w:szCs w:val="16"/>
        </w:rPr>
      </w:pPr>
    </w:p>
    <w:p w14:paraId="52C00BA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 в ходе восковых испытаний ракетно-бронебойных снарядов РБС-82, РБС-132 и ракетно-осколочно-фугасных РОФС-132 на базе 47-й авиади</w:t>
      </w:r>
      <w:r w:rsidRPr="008127F8">
        <w:rPr>
          <w:rFonts w:ascii="Times New Roman" w:hAnsi="Times New Roman"/>
          <w:color w:val="000000" w:themeColor="text1"/>
          <w:sz w:val="16"/>
          <w:szCs w:val="16"/>
        </w:rPr>
        <w:softHyphen/>
        <w:t>визии Западного фронта летчики 312-го штурмового авиаполка подпол</w:t>
      </w:r>
      <w:r w:rsidRPr="008127F8">
        <w:rPr>
          <w:rFonts w:ascii="Times New Roman" w:hAnsi="Times New Roman"/>
          <w:color w:val="000000" w:themeColor="text1"/>
          <w:sz w:val="16"/>
          <w:szCs w:val="16"/>
        </w:rPr>
        <w:softHyphen/>
        <w:t>ковника Поморцева, которые проходили в период с 22 ноября 1941 г. по 22 января 1942 г., в ходе вылета на «свободную охоту» младший лейте</w:t>
      </w:r>
      <w:r w:rsidRPr="008127F8">
        <w:rPr>
          <w:rFonts w:ascii="Times New Roman" w:hAnsi="Times New Roman"/>
          <w:color w:val="000000" w:themeColor="text1"/>
          <w:sz w:val="16"/>
          <w:szCs w:val="16"/>
        </w:rPr>
        <w:softHyphen/>
        <w:t>нант Балашов обнаружил в одном из населенных пунктов скопление ав</w:t>
      </w:r>
      <w:r w:rsidRPr="008127F8">
        <w:rPr>
          <w:rFonts w:ascii="Times New Roman" w:hAnsi="Times New Roman"/>
          <w:color w:val="000000" w:themeColor="text1"/>
          <w:sz w:val="16"/>
          <w:szCs w:val="16"/>
        </w:rPr>
        <w:softHyphen/>
        <w:t>томашин и живой силы противника. То, что пилот атаковал их с дистан</w:t>
      </w:r>
      <w:r w:rsidRPr="008127F8">
        <w:rPr>
          <w:rFonts w:ascii="Times New Roman" w:hAnsi="Times New Roman"/>
          <w:color w:val="000000" w:themeColor="text1"/>
          <w:sz w:val="16"/>
          <w:szCs w:val="16"/>
        </w:rPr>
        <w:softHyphen/>
        <w:t>ции 700 м, во многом спасло ему жизнь — силой взрыва крупные части автомашин и бронетранспортеров подбросило выше самолета, но летчик успел отвернуть в сторону. Залп ракетных снарядов пришелся как раз по центру площади, на которой немцы прогревали двигатели своих автома</w:t>
      </w:r>
      <w:r w:rsidRPr="008127F8">
        <w:rPr>
          <w:rFonts w:ascii="Times New Roman" w:hAnsi="Times New Roman"/>
          <w:color w:val="000000" w:themeColor="text1"/>
          <w:sz w:val="16"/>
          <w:szCs w:val="16"/>
        </w:rPr>
        <w:softHyphen/>
        <w:t>шин. В результате ракетного удара находившийся поблизости дом час</w:t>
      </w:r>
      <w:r w:rsidRPr="008127F8">
        <w:rPr>
          <w:rFonts w:ascii="Times New Roman" w:hAnsi="Times New Roman"/>
          <w:color w:val="000000" w:themeColor="text1"/>
          <w:sz w:val="16"/>
          <w:szCs w:val="16"/>
        </w:rPr>
        <w:softHyphen/>
        <w:t>тично разрушился и загорелся (11402).</w:t>
      </w:r>
    </w:p>
    <w:p w14:paraId="2C8CB72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D5B32B4" w14:textId="77777777" w:rsidR="004F1EB9" w:rsidRPr="008127F8" w:rsidRDefault="004F1EB9" w:rsidP="001E0A84">
      <w:pPr>
        <w:pStyle w:val="12a"/>
        <w:shd w:val="clear" w:color="auto" w:fill="auto"/>
        <w:tabs>
          <w:tab w:val="left" w:pos="596"/>
        </w:tabs>
        <w:spacing w:after="0" w:line="240" w:lineRule="auto"/>
        <w:jc w:val="both"/>
        <w:rPr>
          <w:color w:val="000000" w:themeColor="text1"/>
          <w:sz w:val="16"/>
          <w:szCs w:val="16"/>
        </w:rPr>
      </w:pPr>
      <w:r w:rsidRPr="008127F8">
        <w:rPr>
          <w:color w:val="000000" w:themeColor="text1"/>
          <w:sz w:val="16"/>
          <w:szCs w:val="16"/>
        </w:rPr>
        <w:t>11 января 1942 в ходе войсковых испытаний (вторых по счету) реактивных снарядов РБС-82, РБС-132 и РОФС-132 в 47-й сад Балашов нанес удар по скоплению автомашин и живой силы в населенном пункте. Условия стрельбы те же, как и в предыдущем вы</w:t>
      </w:r>
      <w:r w:rsidRPr="008127F8">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8127F8">
        <w:rPr>
          <w:color w:val="000000" w:themeColor="text1"/>
          <w:sz w:val="16"/>
          <w:szCs w:val="16"/>
        </w:rPr>
        <w:softHyphen/>
        <w:t>горелся.</w:t>
      </w:r>
    </w:p>
    <w:p w14:paraId="1EB4ED92" w14:textId="77777777" w:rsidR="004F1EB9" w:rsidRPr="008127F8" w:rsidRDefault="004F1EB9" w:rsidP="001E0A84">
      <w:pPr>
        <w:pStyle w:val="12a"/>
        <w:shd w:val="clear" w:color="auto" w:fill="auto"/>
        <w:tabs>
          <w:tab w:val="left" w:pos="591"/>
        </w:tabs>
        <w:spacing w:after="0" w:line="240" w:lineRule="auto"/>
        <w:jc w:val="both"/>
        <w:rPr>
          <w:color w:val="000000" w:themeColor="text1"/>
          <w:sz w:val="16"/>
          <w:szCs w:val="16"/>
        </w:rPr>
      </w:pPr>
      <w:r w:rsidRPr="008127F8">
        <w:rPr>
          <w:color w:val="000000" w:themeColor="text1"/>
          <w:sz w:val="16"/>
          <w:szCs w:val="16"/>
        </w:rPr>
        <w:t>12 января 1942 стрельба РСами велась Балашовым также по скоплению живой силы и техники. Авто</w:t>
      </w:r>
      <w:r w:rsidRPr="008127F8">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1E0ACD23"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старший лейтенант Баранов ата</w:t>
      </w:r>
      <w:r w:rsidRPr="008127F8">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8127F8">
        <w:rPr>
          <w:color w:val="000000" w:themeColor="text1"/>
          <w:sz w:val="16"/>
          <w:szCs w:val="16"/>
        </w:rPr>
        <w:softHyphen/>
        <w:t>вод и автомашин с прислугой.</w:t>
      </w:r>
    </w:p>
    <w:p w14:paraId="1F6C7C0D"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Два реактивных снаряда летчик выпустил по ко</w:t>
      </w:r>
      <w:r w:rsidRPr="008127F8">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8127F8">
        <w:rPr>
          <w:color w:val="000000" w:themeColor="text1"/>
          <w:sz w:val="16"/>
          <w:szCs w:val="16"/>
        </w:rPr>
        <w:softHyphen/>
        <w:t>возок, куски лошадей и людей. Боясь повреждения самолета, Баранову пришлось резко «взять гор</w:t>
      </w:r>
      <w:r w:rsidRPr="008127F8">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1FDFCB60"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8127F8">
        <w:rPr>
          <w:color w:val="000000" w:themeColor="text1"/>
          <w:sz w:val="16"/>
          <w:szCs w:val="16"/>
        </w:rPr>
        <w:softHyphen/>
        <w:t>шин. Например, колесо от автомашины взлетело в воздух на высоту до 80 м примерно в 200 м впе</w:t>
      </w:r>
      <w:r w:rsidRPr="008127F8">
        <w:rPr>
          <w:color w:val="000000" w:themeColor="text1"/>
          <w:sz w:val="16"/>
          <w:szCs w:val="16"/>
        </w:rPr>
        <w:softHyphen/>
        <w:t>реди самолета, чтобы избежать столкновения, капи</w:t>
      </w:r>
      <w:r w:rsidRPr="008127F8">
        <w:rPr>
          <w:color w:val="000000" w:themeColor="text1"/>
          <w:sz w:val="16"/>
          <w:szCs w:val="16"/>
        </w:rPr>
        <w:softHyphen/>
        <w:t>тану пришлось отвернуть в сторону. По-видимому, снаряд попал в машину с боеприпасами.</w:t>
      </w:r>
    </w:p>
    <w:p w14:paraId="6789F4BE"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13 января 1942 г. лейтенант Коротков вел стрельбу реактивными снарядами по населенно</w:t>
      </w:r>
      <w:r w:rsidRPr="008127F8">
        <w:rPr>
          <w:color w:val="000000" w:themeColor="text1"/>
          <w:sz w:val="16"/>
          <w:szCs w:val="16"/>
        </w:rPr>
        <w:softHyphen/>
        <w:t>му пункту и автомашинам в нем. Им было отмече</w:t>
      </w:r>
      <w:r w:rsidRPr="008127F8">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327F192E"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отчете о войсковых испытаниях реактивных снарядов РБС-82, РБС-132 и РОФС-132 в боевых ус</w:t>
      </w:r>
      <w:r w:rsidRPr="008127F8">
        <w:rPr>
          <w:color w:val="000000" w:themeColor="text1"/>
          <w:sz w:val="16"/>
          <w:szCs w:val="16"/>
        </w:rPr>
        <w:softHyphen/>
        <w:t>ловиях летный состав 47-й сад сделал следующие выводы:</w:t>
      </w:r>
    </w:p>
    <w:p w14:paraId="50F5D2BA"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РБС-82 является мощным оружием истреби</w:t>
      </w:r>
      <w:r w:rsidRPr="008127F8">
        <w:rPr>
          <w:color w:val="000000" w:themeColor="text1"/>
          <w:sz w:val="16"/>
          <w:szCs w:val="16"/>
        </w:rPr>
        <w:softHyphen/>
        <w:t>тельной авиации для поражения танков, бронема</w:t>
      </w:r>
      <w:r w:rsidRPr="008127F8">
        <w:rPr>
          <w:color w:val="000000" w:themeColor="text1"/>
          <w:sz w:val="16"/>
          <w:szCs w:val="16"/>
        </w:rPr>
        <w:softHyphen/>
        <w:t>шин, бронепоездов и других объектов, имеющих броневое покрытие до 50 мм. Применение целесо</w:t>
      </w:r>
      <w:r w:rsidRPr="008127F8">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01A1FB52" w14:textId="77777777" w:rsidR="004F1EB9" w:rsidRPr="008127F8" w:rsidRDefault="004F1EB9" w:rsidP="001E0A84">
      <w:pPr>
        <w:pStyle w:val="12a"/>
        <w:shd w:val="clear" w:color="auto" w:fill="auto"/>
        <w:tabs>
          <w:tab w:val="left" w:pos="582"/>
        </w:tabs>
        <w:spacing w:after="0" w:line="240" w:lineRule="auto"/>
        <w:jc w:val="both"/>
        <w:rPr>
          <w:color w:val="000000" w:themeColor="text1"/>
          <w:sz w:val="16"/>
          <w:szCs w:val="16"/>
        </w:rPr>
      </w:pPr>
      <w:r w:rsidRPr="008127F8">
        <w:rPr>
          <w:color w:val="000000" w:themeColor="text1"/>
          <w:sz w:val="16"/>
          <w:szCs w:val="16"/>
        </w:rPr>
        <w:t>2) РБС-132 является мощным огневым сред</w:t>
      </w:r>
      <w:r w:rsidRPr="008127F8">
        <w:rPr>
          <w:color w:val="000000" w:themeColor="text1"/>
          <w:sz w:val="16"/>
          <w:szCs w:val="16"/>
        </w:rPr>
        <w:softHyphen/>
        <w:t>ством для поражения бронированных целей про</w:t>
      </w:r>
      <w:r w:rsidRPr="008127F8">
        <w:rPr>
          <w:color w:val="000000" w:themeColor="text1"/>
          <w:sz w:val="16"/>
          <w:szCs w:val="16"/>
        </w:rPr>
        <w:softHyphen/>
        <w:t>тивника стрельбой с самолетов штурмовиков и бомбардировщиков с горизонтального, планиру</w:t>
      </w:r>
      <w:r w:rsidRPr="008127F8">
        <w:rPr>
          <w:color w:val="000000" w:themeColor="text1"/>
          <w:sz w:val="16"/>
          <w:szCs w:val="16"/>
        </w:rPr>
        <w:softHyphen/>
        <w:t>ющего или пикирующего полета. В число этих це</w:t>
      </w:r>
      <w:r w:rsidRPr="008127F8">
        <w:rPr>
          <w:color w:val="000000" w:themeColor="text1"/>
          <w:sz w:val="16"/>
          <w:szCs w:val="16"/>
        </w:rPr>
        <w:softHyphen/>
        <w:t>лей могут входить: тяжелые танки, бронепоезда, ба</w:t>
      </w:r>
      <w:r w:rsidRPr="008127F8">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8127F8">
        <w:rPr>
          <w:color w:val="000000" w:themeColor="text1"/>
          <w:sz w:val="16"/>
          <w:szCs w:val="16"/>
        </w:rPr>
        <w:softHyphen/>
        <w:t>ным целям;</w:t>
      </w:r>
    </w:p>
    <w:p w14:paraId="3E3332C9" w14:textId="77777777" w:rsidR="004F1EB9" w:rsidRPr="008127F8" w:rsidRDefault="004F1EB9" w:rsidP="001E0A84">
      <w:pPr>
        <w:pStyle w:val="12a"/>
        <w:shd w:val="clear" w:color="auto" w:fill="auto"/>
        <w:tabs>
          <w:tab w:val="left" w:pos="543"/>
        </w:tabs>
        <w:spacing w:after="0" w:line="240" w:lineRule="auto"/>
        <w:jc w:val="both"/>
        <w:rPr>
          <w:color w:val="000000" w:themeColor="text1"/>
          <w:sz w:val="16"/>
          <w:szCs w:val="16"/>
        </w:rPr>
      </w:pPr>
      <w:r w:rsidRPr="008127F8">
        <w:rPr>
          <w:color w:val="000000" w:themeColor="text1"/>
          <w:sz w:val="16"/>
          <w:szCs w:val="16"/>
        </w:rPr>
        <w:t>3) РОФС-132 является мощным снарядом оско</w:t>
      </w:r>
      <w:r w:rsidRPr="008127F8">
        <w:rPr>
          <w:color w:val="000000" w:themeColor="text1"/>
          <w:sz w:val="16"/>
          <w:szCs w:val="16"/>
        </w:rPr>
        <w:softHyphen/>
        <w:t>лочно-фугасного действия. Применение его на са</w:t>
      </w:r>
      <w:r w:rsidRPr="008127F8">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4D301320" w14:textId="77777777" w:rsidR="004F1EB9" w:rsidRPr="008127F8" w:rsidRDefault="004F1EB9" w:rsidP="001E0A84">
      <w:pPr>
        <w:pStyle w:val="12a"/>
        <w:shd w:val="clear" w:color="auto" w:fill="auto"/>
        <w:tabs>
          <w:tab w:val="left" w:pos="548"/>
        </w:tabs>
        <w:spacing w:after="0" w:line="240" w:lineRule="auto"/>
        <w:jc w:val="both"/>
        <w:rPr>
          <w:color w:val="000000" w:themeColor="text1"/>
          <w:sz w:val="16"/>
          <w:szCs w:val="16"/>
        </w:rPr>
      </w:pPr>
      <w:r w:rsidRPr="008127F8">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8127F8">
        <w:rPr>
          <w:color w:val="000000" w:themeColor="text1"/>
          <w:sz w:val="16"/>
          <w:szCs w:val="16"/>
        </w:rPr>
        <w:softHyphen/>
        <w:t>чительно сильное и превосходящее «все ожида</w:t>
      </w:r>
      <w:r w:rsidRPr="008127F8">
        <w:rPr>
          <w:color w:val="000000" w:themeColor="text1"/>
          <w:sz w:val="16"/>
          <w:szCs w:val="16"/>
        </w:rPr>
        <w:softHyphen/>
        <w:t>ния». Действием РОФС-132 противнику нанесен большой ущерб;</w:t>
      </w:r>
    </w:p>
    <w:p w14:paraId="485A8A37" w14:textId="77777777" w:rsidR="004F1EB9" w:rsidRPr="008127F8" w:rsidRDefault="004F1EB9" w:rsidP="001E0A84">
      <w:pPr>
        <w:pStyle w:val="12a"/>
        <w:shd w:val="clear" w:color="auto" w:fill="auto"/>
        <w:tabs>
          <w:tab w:val="left" w:pos="529"/>
        </w:tabs>
        <w:spacing w:after="0" w:line="240" w:lineRule="auto"/>
        <w:jc w:val="both"/>
        <w:rPr>
          <w:color w:val="000000" w:themeColor="text1"/>
          <w:sz w:val="16"/>
          <w:szCs w:val="16"/>
        </w:rPr>
      </w:pPr>
      <w:r w:rsidRPr="008127F8">
        <w:rPr>
          <w:color w:val="000000" w:themeColor="text1"/>
          <w:sz w:val="16"/>
          <w:szCs w:val="16"/>
        </w:rPr>
        <w:t>5) метеорологические условия и обстановка на фронте не позволили полностью использовать ра</w:t>
      </w:r>
      <w:r w:rsidRPr="008127F8">
        <w:rPr>
          <w:color w:val="000000" w:themeColor="text1"/>
          <w:sz w:val="16"/>
          <w:szCs w:val="16"/>
        </w:rPr>
        <w:softHyphen/>
        <w:t>кетные бронебойные снаряды. Ввиду отсутствия скоплений бронетанковых сил противника на отве</w:t>
      </w:r>
      <w:r w:rsidRPr="008127F8">
        <w:rPr>
          <w:color w:val="000000" w:themeColor="text1"/>
          <w:sz w:val="16"/>
          <w:szCs w:val="16"/>
        </w:rPr>
        <w:softHyphen/>
        <w:t>денном участке фронта не было возможности ши</w:t>
      </w:r>
      <w:r w:rsidRPr="008127F8">
        <w:rPr>
          <w:color w:val="000000" w:themeColor="text1"/>
          <w:sz w:val="16"/>
          <w:szCs w:val="16"/>
        </w:rPr>
        <w:softHyphen/>
        <w:t>роко применять РБС и по инициативе оперативной группы в 47 АД были применены РОФС-132.</w:t>
      </w:r>
    </w:p>
    <w:p w14:paraId="547546C8"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 время работы израсходовано: РБС-82 — 60 шт., РБС-132 — 80 шт., РОФС-132 — 200 шт.» (17500).</w:t>
      </w:r>
    </w:p>
    <w:p w14:paraId="32294897" w14:textId="77777777" w:rsidR="004F1EB9" w:rsidRPr="008127F8" w:rsidRDefault="004F1EB9" w:rsidP="001E0A84">
      <w:pPr>
        <w:spacing w:after="0" w:line="240" w:lineRule="auto"/>
        <w:jc w:val="both"/>
        <w:rPr>
          <w:rFonts w:ascii="Times New Roman" w:hAnsi="Times New Roman"/>
          <w:color w:val="000000" w:themeColor="text1"/>
          <w:sz w:val="16"/>
          <w:szCs w:val="16"/>
        </w:rPr>
      </w:pPr>
    </w:p>
    <w:p w14:paraId="74D28B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1135 Об оборудовании самолетов ТБ-7 моторами АМ-35А на заводе № 22 в гор. Казани. РГАНИР, Фонд ГКО, д. 19, лл. 73 (11012).</w:t>
      </w:r>
    </w:p>
    <w:p w14:paraId="4C4B9FC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C3D8C0F" w14:textId="77777777" w:rsidR="00843C07" w:rsidRPr="008127F8" w:rsidRDefault="00843C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1135 Об оборудовании самолетов ТБ-7 моторами АМ-35А на заводе № 22 в гор. Казани</w:t>
      </w:r>
    </w:p>
    <w:p w14:paraId="3032CB1B" w14:textId="77777777" w:rsidR="00843C07" w:rsidRPr="008127F8" w:rsidRDefault="00843C07"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Обязать Наркомавиапром - </w:t>
      </w:r>
      <w:proofErr w:type="gramStart"/>
      <w:r w:rsidRPr="008127F8">
        <w:rPr>
          <w:rFonts w:ascii="Times New Roman" w:hAnsi="Times New Roman" w:cs="Times New Roman"/>
          <w:color w:val="000000" w:themeColor="text1"/>
          <w:sz w:val="16"/>
          <w:szCs w:val="16"/>
        </w:rPr>
        <w:t>тов.Шахурина</w:t>
      </w:r>
      <w:proofErr w:type="gramEnd"/>
      <w:r w:rsidRPr="008127F8">
        <w:rPr>
          <w:rFonts w:ascii="Times New Roman" w:hAnsi="Times New Roman" w:cs="Times New Roman"/>
          <w:color w:val="000000" w:themeColor="text1"/>
          <w:sz w:val="16"/>
          <w:szCs w:val="16"/>
        </w:rPr>
        <w:t xml:space="preserve"> А.К. и директора завода №</w:t>
      </w:r>
      <w:r w:rsidRPr="008127F8">
        <w:rPr>
          <w:rFonts w:ascii="Times New Roman" w:hAnsi="Times New Roman" w:cs="Times New Roman"/>
          <w:color w:val="000000" w:themeColor="text1"/>
          <w:sz w:val="16"/>
          <w:szCs w:val="16"/>
          <w:lang w:val="en-US"/>
        </w:rPr>
        <w:t>S</w:t>
      </w:r>
      <w:r w:rsidRPr="008127F8">
        <w:rPr>
          <w:rFonts w:ascii="Times New Roman" w:hAnsi="Times New Roman" w:cs="Times New Roman"/>
          <w:color w:val="000000" w:themeColor="text1"/>
          <w:sz w:val="16"/>
          <w:szCs w:val="16"/>
        </w:rPr>
        <w:t xml:space="preserve"> 22 тов.Карпова Ю.Н. сдать ВВС Красной Армии 11 са</w:t>
      </w:r>
      <w:r w:rsidRPr="008127F8">
        <w:rPr>
          <w:rFonts w:ascii="Times New Roman" w:hAnsi="Times New Roman" w:cs="Times New Roman"/>
          <w:color w:val="000000" w:themeColor="text1"/>
          <w:sz w:val="16"/>
          <w:szCs w:val="16"/>
        </w:rPr>
        <w:softHyphen/>
        <w:t>молетов ТБ-7, из них 9 самолетов с увеличенными бензобака</w:t>
      </w:r>
      <w:r w:rsidRPr="008127F8">
        <w:rPr>
          <w:rFonts w:ascii="Times New Roman" w:hAnsi="Times New Roman" w:cs="Times New Roman"/>
          <w:color w:val="000000" w:themeColor="text1"/>
          <w:sz w:val="16"/>
          <w:szCs w:val="16"/>
        </w:rPr>
        <w:softHyphen/>
        <w:t>ми, в том числе:</w:t>
      </w:r>
    </w:p>
    <w:p w14:paraId="27A6925E" w14:textId="77777777" w:rsidR="00843C07" w:rsidRPr="008127F8" w:rsidRDefault="00843C07"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январе месяце 1942 года - 3 самолета с моторами АМ-35А</w:t>
      </w:r>
    </w:p>
    <w:p w14:paraId="3C49E588" w14:textId="77777777" w:rsidR="00843C07" w:rsidRPr="008127F8" w:rsidRDefault="00843C07"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в феврале месяце 1942 года- 3 самолета с моторами </w:t>
      </w:r>
      <w:r w:rsidRPr="008127F8">
        <w:rPr>
          <w:rFonts w:ascii="Times New Roman" w:hAnsi="Times New Roman" w:cs="Times New Roman"/>
          <w:color w:val="000000" w:themeColor="text1"/>
          <w:sz w:val="16"/>
          <w:szCs w:val="16"/>
          <w:lang w:val="en-US"/>
        </w:rPr>
        <w:t>A</w:t>
      </w:r>
      <w:r w:rsidRPr="008127F8">
        <w:rPr>
          <w:rFonts w:ascii="Times New Roman" w:hAnsi="Times New Roman" w:cs="Times New Roman"/>
          <w:color w:val="000000" w:themeColor="text1"/>
          <w:sz w:val="16"/>
          <w:szCs w:val="16"/>
        </w:rPr>
        <w:t>М-35</w:t>
      </w:r>
      <w:r w:rsidRPr="008127F8">
        <w:rPr>
          <w:rFonts w:ascii="Times New Roman" w:hAnsi="Times New Roman" w:cs="Times New Roman"/>
          <w:color w:val="000000" w:themeColor="text1"/>
          <w:sz w:val="16"/>
          <w:szCs w:val="16"/>
          <w:lang w:val="en-US"/>
        </w:rPr>
        <w:t>A</w:t>
      </w:r>
    </w:p>
    <w:p w14:paraId="79F773E2" w14:textId="77777777" w:rsidR="00843C07" w:rsidRPr="008127F8" w:rsidRDefault="00843C07"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самолет с мотором М-82 в марте месяце 1942 года - 4</w:t>
      </w:r>
      <w:r w:rsidRPr="008127F8">
        <w:rPr>
          <w:rStyle w:val="Batang8pt0pt"/>
          <w:rFonts w:ascii="Times New Roman" w:hAnsi="Times New Roman" w:cs="Times New Roman"/>
          <w:color w:val="000000" w:themeColor="text1"/>
        </w:rPr>
        <w:t xml:space="preserve"> само</w:t>
      </w:r>
      <w:r w:rsidRPr="008127F8">
        <w:rPr>
          <w:rFonts w:ascii="Times New Roman" w:hAnsi="Times New Roman" w:cs="Times New Roman"/>
          <w:color w:val="000000" w:themeColor="text1"/>
          <w:sz w:val="16"/>
          <w:szCs w:val="16"/>
        </w:rPr>
        <w:t>лета с моторами (19297).</w:t>
      </w:r>
    </w:p>
    <w:p w14:paraId="2525B15F" w14:textId="77777777" w:rsidR="00843C07" w:rsidRPr="008127F8" w:rsidRDefault="00843C07" w:rsidP="001E0A84">
      <w:pPr>
        <w:spacing w:after="0" w:line="240" w:lineRule="auto"/>
        <w:jc w:val="both"/>
        <w:rPr>
          <w:rFonts w:ascii="Times New Roman" w:hAnsi="Times New Roman"/>
          <w:color w:val="000000" w:themeColor="text1"/>
          <w:sz w:val="16"/>
          <w:szCs w:val="16"/>
        </w:rPr>
      </w:pPr>
    </w:p>
    <w:p w14:paraId="32123E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 вышло постановление ГКО № 1135 об оборудовании на заводе № 22 в Казани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 (11982).</w:t>
      </w:r>
    </w:p>
    <w:p w14:paraId="00E8858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356D6C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л И.И.Богданов 21 завода при испытаниях разбил ЛаГГ-3 из-за раскрутки винта. Сел на брюхо на границе аэродрома и разбил машину (2108).</w:t>
      </w:r>
    </w:p>
    <w:p w14:paraId="657A17C9" w14:textId="77777777" w:rsidR="00D4651C" w:rsidRPr="008127F8" w:rsidRDefault="00D4651C" w:rsidP="001E0A84">
      <w:pPr>
        <w:pStyle w:val="Iauiue"/>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44EB9D7E" w14:textId="77777777">
        <w:tc>
          <w:tcPr>
            <w:tcW w:w="675" w:type="dxa"/>
            <w:tcBorders>
              <w:top w:val="single" w:sz="12" w:space="0" w:color="auto"/>
            </w:tcBorders>
          </w:tcPr>
          <w:p w14:paraId="17EF65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561D11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344142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46A44F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287D83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21C5B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3C23ADEC" w14:textId="77777777">
        <w:tc>
          <w:tcPr>
            <w:tcW w:w="675" w:type="dxa"/>
          </w:tcPr>
          <w:p w14:paraId="1E05B63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93" w:type="dxa"/>
          </w:tcPr>
          <w:p w14:paraId="5C2CA58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w:t>
            </w:r>
          </w:p>
        </w:tc>
        <w:tc>
          <w:tcPr>
            <w:tcW w:w="708" w:type="dxa"/>
          </w:tcPr>
          <w:p w14:paraId="37D76A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18" w:type="dxa"/>
          </w:tcPr>
          <w:p w14:paraId="5E0F93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И.И.Богданов</w:t>
            </w:r>
          </w:p>
        </w:tc>
        <w:tc>
          <w:tcPr>
            <w:tcW w:w="2364" w:type="dxa"/>
          </w:tcPr>
          <w:p w14:paraId="16A377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ЛаГГ-3 на испытаниях</w:t>
            </w:r>
          </w:p>
        </w:tc>
        <w:tc>
          <w:tcPr>
            <w:tcW w:w="4440" w:type="dxa"/>
          </w:tcPr>
          <w:p w14:paraId="181A185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сдаточном полете произошла раскрутка винта, с-т теряя скорость сделал посадку с убраным шасси на границе аэродрома. С-т разбит</w:t>
            </w:r>
          </w:p>
        </w:tc>
      </w:tr>
      <w:tr w:rsidR="006F4095" w:rsidRPr="008127F8" w14:paraId="17CDD586" w14:textId="77777777">
        <w:tc>
          <w:tcPr>
            <w:tcW w:w="675" w:type="dxa"/>
            <w:tcBorders>
              <w:bottom w:val="single" w:sz="12" w:space="0" w:color="auto"/>
            </w:tcBorders>
          </w:tcPr>
          <w:p w14:paraId="3FD410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993" w:type="dxa"/>
            <w:tcBorders>
              <w:bottom w:val="single" w:sz="12" w:space="0" w:color="auto"/>
            </w:tcBorders>
          </w:tcPr>
          <w:p w14:paraId="457889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w:t>
            </w:r>
          </w:p>
        </w:tc>
        <w:tc>
          <w:tcPr>
            <w:tcW w:w="708" w:type="dxa"/>
            <w:tcBorders>
              <w:bottom w:val="single" w:sz="12" w:space="0" w:color="auto"/>
            </w:tcBorders>
          </w:tcPr>
          <w:p w14:paraId="3C5232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18" w:type="dxa"/>
            <w:tcBorders>
              <w:bottom w:val="single" w:sz="12" w:space="0" w:color="auto"/>
            </w:tcBorders>
          </w:tcPr>
          <w:p w14:paraId="385735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Г.А.Ветлугин</w:t>
            </w:r>
          </w:p>
        </w:tc>
        <w:tc>
          <w:tcPr>
            <w:tcW w:w="2364" w:type="dxa"/>
            <w:tcBorders>
              <w:bottom w:val="single" w:sz="12" w:space="0" w:color="auto"/>
            </w:tcBorders>
          </w:tcPr>
          <w:p w14:paraId="049B18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Вынужденная посадка УТ-2 транспортного</w:t>
            </w:r>
          </w:p>
        </w:tc>
        <w:tc>
          <w:tcPr>
            <w:tcW w:w="4440" w:type="dxa"/>
            <w:tcBorders>
              <w:bottom w:val="single" w:sz="12" w:space="0" w:color="auto"/>
            </w:tcBorders>
          </w:tcPr>
          <w:p w14:paraId="4CF96C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Из-за недостатка горючего с-т вынуждено </w:t>
            </w:r>
            <w:proofErr w:type="gramStart"/>
            <w:r w:rsidRPr="008127F8">
              <w:rPr>
                <w:rFonts w:ascii="Times New Roman" w:hAnsi="Times New Roman"/>
                <w:color w:val="000000" w:themeColor="text1"/>
                <w:sz w:val="16"/>
                <w:szCs w:val="16"/>
              </w:rPr>
              <w:t>сел</w:t>
            </w:r>
            <w:proofErr w:type="gramEnd"/>
            <w:r w:rsidRPr="008127F8">
              <w:rPr>
                <w:rFonts w:ascii="Times New Roman" w:hAnsi="Times New Roman"/>
                <w:color w:val="000000" w:themeColor="text1"/>
                <w:sz w:val="16"/>
                <w:szCs w:val="16"/>
              </w:rPr>
              <w:t xml:space="preserve"> не долетев к месту назначения. Повреждений нет</w:t>
            </w:r>
          </w:p>
        </w:tc>
      </w:tr>
    </w:tbl>
    <w:p w14:paraId="4E852C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65F5F04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7101D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года. Предполагаемый вылет в Москву двух самолетов откладывается. По существовавшему тогда положению на выезд в Москву требовалось разрешение НКВД ТАССР, в воскресенье 11 января оно также еще не было получено. По настоянию Изаксона он выяснил, что летчики вполне надежные, имеют налет до 500 часов. Начальник опытно-конструкторского отдела предложил ехать все-таки поездом. Петляков снова ответил отказом (11313).</w:t>
      </w:r>
    </w:p>
    <w:p w14:paraId="303A311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379F8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Ночь с 11 на 12 января 1942 года. На самолете N 14-11 (на котором разбился В.М.П.) устанавливаются усиленные лыжи. Сборщики забывают зашплинтовать болты крепления. Их зашплинтуют при приемке на летно-испытательной станции (ЛИС) (11313).</w:t>
      </w:r>
    </w:p>
    <w:p w14:paraId="393A5D7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19F7EF8"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ян</w:t>
      </w:r>
      <w:r w:rsidRPr="008A2E5A">
        <w:rPr>
          <w:rFonts w:ascii="Times New Roman" w:hAnsi="Times New Roman"/>
          <w:color w:val="0070C0"/>
          <w:sz w:val="16"/>
          <w:szCs w:val="16"/>
        </w:rPr>
        <w:softHyphen/>
        <w:t>варя 1942 г. в Мурманск пришел первый конвой из Англии — девять транспортов. Самолеты, выделяв</w:t>
      </w:r>
      <w:r w:rsidRPr="008A2E5A">
        <w:rPr>
          <w:rFonts w:ascii="Times New Roman" w:hAnsi="Times New Roman"/>
          <w:color w:val="0070C0"/>
          <w:sz w:val="16"/>
          <w:szCs w:val="16"/>
        </w:rPr>
        <w:softHyphen/>
        <w:t>шиеся для местных авиачастей, на месте же и собирали, а остальное, как правило, отправлялось по железной дороге в глубь страны. Ящики прямо с кораблей сгружали на железнодорожные платформы. Из Мур</w:t>
      </w:r>
      <w:r w:rsidRPr="008A2E5A">
        <w:rPr>
          <w:rFonts w:ascii="Times New Roman" w:hAnsi="Times New Roman"/>
          <w:color w:val="0070C0"/>
          <w:sz w:val="16"/>
          <w:szCs w:val="16"/>
        </w:rPr>
        <w:softHyphen/>
        <w:t>манска самолеты направлялись обычно по Кировской железной дороге и использо</w:t>
      </w:r>
      <w:r w:rsidRPr="008A2E5A">
        <w:rPr>
          <w:rFonts w:ascii="Times New Roman" w:hAnsi="Times New Roman"/>
          <w:color w:val="0070C0"/>
          <w:sz w:val="16"/>
          <w:szCs w:val="16"/>
        </w:rPr>
        <w:softHyphen/>
        <w:t>вались частями Карельского и Ленинград</w:t>
      </w:r>
      <w:r w:rsidRPr="008A2E5A">
        <w:rPr>
          <w:rFonts w:ascii="Times New Roman" w:hAnsi="Times New Roman"/>
          <w:color w:val="0070C0"/>
          <w:sz w:val="16"/>
          <w:szCs w:val="16"/>
        </w:rPr>
        <w:softHyphen/>
        <w:t>ского фронтов. Из портов архангельского узла (собственно Архангельск, Бакарица и Северодвинск) техника шла на сбороч</w:t>
      </w:r>
      <w:r w:rsidRPr="008A2E5A">
        <w:rPr>
          <w:rFonts w:ascii="Times New Roman" w:hAnsi="Times New Roman"/>
          <w:color w:val="0070C0"/>
          <w:sz w:val="16"/>
          <w:szCs w:val="16"/>
        </w:rPr>
        <w:softHyphen/>
        <w:t>ную площадку под Архангельском, затем по воздуху под Вологду, а позже отправля</w:t>
      </w:r>
      <w:r w:rsidRPr="008A2E5A">
        <w:rPr>
          <w:rFonts w:ascii="Times New Roman" w:hAnsi="Times New Roman"/>
          <w:color w:val="0070C0"/>
          <w:sz w:val="16"/>
          <w:szCs w:val="16"/>
        </w:rPr>
        <w:softHyphen/>
        <w:t>лась сразу туда же по железной дороге на станцию Сокол (23513).</w:t>
      </w:r>
    </w:p>
    <w:p w14:paraId="6ED6CEA7" w14:textId="77777777" w:rsidR="00153AEB" w:rsidRPr="008A2E5A" w:rsidRDefault="00153AEB" w:rsidP="00153AEB">
      <w:pPr>
        <w:spacing w:after="0" w:line="240" w:lineRule="auto"/>
        <w:jc w:val="both"/>
        <w:rPr>
          <w:rFonts w:ascii="Times New Roman" w:hAnsi="Times New Roman"/>
          <w:color w:val="0070C0"/>
          <w:sz w:val="16"/>
          <w:szCs w:val="16"/>
        </w:rPr>
      </w:pPr>
    </w:p>
    <w:p w14:paraId="0F2113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 по приказу № 26с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02E390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Продолжено производство шасси.</w:t>
      </w:r>
    </w:p>
    <w:p w14:paraId="6F3582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72EB87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50B171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были построены производственные корпуса, начался серийный выпуск агрегатов шасси.</w:t>
      </w:r>
    </w:p>
    <w:p w14:paraId="425E28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1972 г. в состав завода вошло КБ «Автоприбор», проектирующее шасси.</w:t>
      </w:r>
    </w:p>
    <w:p w14:paraId="3141E7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предприятие совместно с немецкой МВВ выиграло конкурс на создание шасси для европейского многоразового космического корабля «Гермес».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8127F8">
        <w:rPr>
          <w:rFonts w:ascii="Times New Roman" w:hAnsi="Times New Roman"/>
          <w:color w:val="000000" w:themeColor="text1"/>
          <w:sz w:val="16"/>
          <w:szCs w:val="16"/>
          <w:lang w:val="en-US"/>
        </w:rPr>
        <w:t>Embraer</w:t>
      </w:r>
      <w:r w:rsidRPr="008127F8">
        <w:rPr>
          <w:rFonts w:ascii="Times New Roman" w:hAnsi="Times New Roman"/>
          <w:color w:val="000000" w:themeColor="text1"/>
          <w:sz w:val="16"/>
          <w:szCs w:val="16"/>
        </w:rPr>
        <w:t>-135/145, -170/175, -190; для компаний Глобал Экспресс и Агуста - АВ-139; для французской «Месье Даути» - А-340 и АТР-42.</w:t>
      </w:r>
    </w:p>
    <w:p w14:paraId="485F62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2000-05 г. были приобретены: обрабатывающие центры фирм </w:t>
      </w:r>
      <w:r w:rsidRPr="008127F8">
        <w:rPr>
          <w:rFonts w:ascii="Times New Roman" w:hAnsi="Times New Roman"/>
          <w:color w:val="000000" w:themeColor="text1"/>
          <w:sz w:val="16"/>
          <w:szCs w:val="16"/>
          <w:lang w:val="en-US"/>
        </w:rPr>
        <w:t>Hermle</w:t>
      </w:r>
      <w:r w:rsidRPr="008127F8">
        <w:rPr>
          <w:rFonts w:ascii="Times New Roman" w:hAnsi="Times New Roman"/>
          <w:color w:val="000000" w:themeColor="text1"/>
          <w:sz w:val="16"/>
          <w:szCs w:val="16"/>
        </w:rPr>
        <w:t xml:space="preserve"> и </w:t>
      </w:r>
      <w:r w:rsidRPr="008127F8">
        <w:rPr>
          <w:rFonts w:ascii="Times New Roman" w:hAnsi="Times New Roman"/>
          <w:color w:val="000000" w:themeColor="text1"/>
          <w:sz w:val="16"/>
          <w:szCs w:val="16"/>
          <w:lang w:val="en-US"/>
        </w:rPr>
        <w:t>Index</w:t>
      </w:r>
      <w:r w:rsidRPr="008127F8">
        <w:rPr>
          <w:rFonts w:ascii="Times New Roman" w:hAnsi="Times New Roman"/>
          <w:color w:val="000000" w:themeColor="text1"/>
          <w:sz w:val="16"/>
          <w:szCs w:val="16"/>
        </w:rPr>
        <w:t xml:space="preserve"> (Германия), </w:t>
      </w:r>
      <w:r w:rsidRPr="008127F8">
        <w:rPr>
          <w:rFonts w:ascii="Times New Roman" w:hAnsi="Times New Roman"/>
          <w:color w:val="000000" w:themeColor="text1"/>
          <w:sz w:val="16"/>
          <w:szCs w:val="16"/>
          <w:lang w:val="en-US"/>
        </w:rPr>
        <w:t>Mandelly</w:t>
      </w:r>
      <w:r w:rsidRPr="008127F8">
        <w:rPr>
          <w:rFonts w:ascii="Times New Roman" w:hAnsi="Times New Roman"/>
          <w:color w:val="000000" w:themeColor="text1"/>
          <w:sz w:val="16"/>
          <w:szCs w:val="16"/>
        </w:rPr>
        <w:t xml:space="preserve"> (Италия); шлифовальный программный станок </w:t>
      </w:r>
      <w:r w:rsidRPr="008127F8">
        <w:rPr>
          <w:rFonts w:ascii="Times New Roman" w:hAnsi="Times New Roman"/>
          <w:color w:val="000000" w:themeColor="text1"/>
          <w:sz w:val="16"/>
          <w:szCs w:val="16"/>
          <w:lang w:val="en-US"/>
        </w:rPr>
        <w:t>ShaudPF</w:t>
      </w:r>
      <w:r w:rsidRPr="008127F8">
        <w:rPr>
          <w:rFonts w:ascii="Times New Roman" w:hAnsi="Times New Roman"/>
          <w:color w:val="000000" w:themeColor="text1"/>
          <w:sz w:val="16"/>
          <w:szCs w:val="16"/>
        </w:rPr>
        <w:t xml:space="preserve">-61 (Германия), заточной станок </w:t>
      </w:r>
      <w:r w:rsidRPr="008127F8">
        <w:rPr>
          <w:rFonts w:ascii="Times New Roman" w:hAnsi="Times New Roman"/>
          <w:color w:val="000000" w:themeColor="text1"/>
          <w:sz w:val="16"/>
          <w:szCs w:val="16"/>
          <w:lang w:val="en-US"/>
        </w:rPr>
        <w:t>Walter</w:t>
      </w:r>
      <w:r w:rsidRPr="008127F8">
        <w:rPr>
          <w:rFonts w:ascii="Times New Roman" w:hAnsi="Times New Roman"/>
          <w:color w:val="000000" w:themeColor="text1"/>
          <w:sz w:val="16"/>
          <w:szCs w:val="16"/>
        </w:rPr>
        <w:t xml:space="preserve"> (Германия). Термический комплекс завода оснащен шахтными печами </w:t>
      </w:r>
      <w:r w:rsidRPr="008127F8">
        <w:rPr>
          <w:rFonts w:ascii="Times New Roman" w:hAnsi="Times New Roman"/>
          <w:color w:val="000000" w:themeColor="text1"/>
          <w:sz w:val="16"/>
          <w:szCs w:val="16"/>
          <w:lang w:val="en-US"/>
        </w:rPr>
        <w:t>Pegat</w:t>
      </w:r>
      <w:r w:rsidRPr="008127F8">
        <w:rPr>
          <w:rFonts w:ascii="Times New Roman" w:hAnsi="Times New Roman"/>
          <w:color w:val="000000" w:themeColor="text1"/>
          <w:sz w:val="16"/>
          <w:szCs w:val="16"/>
        </w:rPr>
        <w:t xml:space="preserve"> (Польша), вакуумной печью </w:t>
      </w:r>
      <w:r w:rsidRPr="008127F8">
        <w:rPr>
          <w:rFonts w:ascii="Times New Roman" w:hAnsi="Times New Roman"/>
          <w:color w:val="000000" w:themeColor="text1"/>
          <w:sz w:val="16"/>
          <w:szCs w:val="16"/>
          <w:lang w:val="en-US"/>
        </w:rPr>
        <w:t>Elterma</w:t>
      </w:r>
      <w:r w:rsidRPr="008127F8">
        <w:rPr>
          <w:rFonts w:ascii="Times New Roman" w:hAnsi="Times New Roman"/>
          <w:color w:val="000000" w:themeColor="text1"/>
          <w:sz w:val="16"/>
          <w:szCs w:val="16"/>
        </w:rPr>
        <w:t xml:space="preserve"> (Польша), холодильной камерой </w:t>
      </w:r>
      <w:r w:rsidRPr="008127F8">
        <w:rPr>
          <w:rFonts w:ascii="Times New Roman" w:hAnsi="Times New Roman"/>
          <w:color w:val="000000" w:themeColor="text1"/>
          <w:sz w:val="16"/>
          <w:szCs w:val="16"/>
          <w:lang w:val="en-US"/>
        </w:rPr>
        <w:t>Messer</w:t>
      </w:r>
      <w:r w:rsidRPr="008127F8">
        <w:rPr>
          <w:rFonts w:ascii="Times New Roman" w:hAnsi="Times New Roman"/>
          <w:color w:val="000000" w:themeColor="text1"/>
          <w:sz w:val="16"/>
          <w:szCs w:val="16"/>
        </w:rPr>
        <w:t xml:space="preserve"> (ФРГ)</w:t>
      </w:r>
    </w:p>
    <w:p w14:paraId="0E473B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5DC2C3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(2004 г.): проектирование и изготовление взлетно-посадочных устройств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 xml:space="preserve"> (шасси и гидроагрегаты); стиральные машины.</w:t>
      </w:r>
    </w:p>
    <w:p w14:paraId="13C613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(1.01.2001 г.)- 3175 чел., (2002 г.)- 4000 чел.</w:t>
      </w:r>
    </w:p>
    <w:p w14:paraId="30E3148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  г.)- А.А. Волков, (1969 г.-)- В.И. Лузянин. Гендиректор (1999 г.)- В.И. Лузянин, (-2002-10.2004 г.-)- Е.А. Живулин.</w:t>
      </w:r>
    </w:p>
    <w:p w14:paraId="129795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5C4F1F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(-06.1937-19.07.1938 г.)- С.А. Покрас, (19.07.1938 г.-)- А.Я. Качеров.</w:t>
      </w:r>
      <w:r w:rsidRPr="008127F8">
        <w:rPr>
          <w:rFonts w:ascii="Times New Roman" w:hAnsi="Times New Roman"/>
          <w:color w:val="000000" w:themeColor="text1"/>
          <w:sz w:val="16"/>
          <w:szCs w:val="16"/>
          <w:vertAlign w:val="superscript"/>
        </w:rPr>
        <w:t>139</w:t>
      </w:r>
    </w:p>
    <w:p w14:paraId="626AD1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3701FC0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22F66B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F84A58B" w14:textId="77777777" w:rsidR="00D4651C" w:rsidRPr="008127F8" w:rsidRDefault="00D4651C" w:rsidP="001E0A84">
      <w:pPr>
        <w:pStyle w:val="Iauiue"/>
        <w:jc w:val="both"/>
        <w:rPr>
          <w:iCs/>
          <w:color w:val="000000" w:themeColor="text1"/>
          <w:sz w:val="16"/>
          <w:szCs w:val="16"/>
        </w:rPr>
      </w:pPr>
    </w:p>
    <w:p w14:paraId="2ECF9346"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w:t>
      </w:r>
    </w:p>
    <w:p w14:paraId="6C51ACBC"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 лист 140 – 141</w:t>
      </w:r>
    </w:p>
    <w:p w14:paraId="145C8D01"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10.1-42 г. № 256</w:t>
      </w:r>
    </w:p>
    <w:p w14:paraId="3D9A17A3" w14:textId="1F2ABDBA"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5B898B80"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6B98BAF"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СССР</w:t>
      </w:r>
    </w:p>
    <w:p w14:paraId="57309EC6"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107-Мс</w:t>
      </w:r>
    </w:p>
    <w:p w14:paraId="7F4808D6"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9880410"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w:t>
      </w:r>
    </w:p>
    <w:p w14:paraId="42109947" w14:textId="0BDFDA0E"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доведения выпуска дизельмоторов заводом № 76 до 15 шт. в сутки, – ПРИКАЗЫВАЮ:</w:t>
      </w:r>
      <w:r w:rsidR="008127F8">
        <w:rPr>
          <w:rFonts w:ascii="Times New Roman" w:hAnsi="Times New Roman"/>
          <w:color w:val="000000" w:themeColor="text1"/>
          <w:sz w:val="16"/>
          <w:szCs w:val="16"/>
        </w:rPr>
        <w:t xml:space="preserve">  </w:t>
      </w:r>
    </w:p>
    <w:p w14:paraId="11D50CDE" w14:textId="5F45030F"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Кировского завода т. Зальцман передать заводу № 76 из наличия 100 штук станков, в том числе 10 станков Нортон или типа Нортон для шлифовки коленчатого вала и 5 станков автоматов типа 126.</w:t>
      </w:r>
      <w:r w:rsidR="008127F8">
        <w:rPr>
          <w:rFonts w:ascii="Times New Roman" w:hAnsi="Times New Roman"/>
          <w:color w:val="000000" w:themeColor="text1"/>
          <w:sz w:val="16"/>
          <w:szCs w:val="16"/>
        </w:rPr>
        <w:t xml:space="preserve">  </w:t>
      </w:r>
    </w:p>
    <w:p w14:paraId="355B4C7C" w14:textId="2E005268"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 183 – т. Максареву, № 38 – т. Рубинчику, № 37 – т. Фрезерову, № 173 – т. Шор немедленно передать заводу № 76 по его спецификации станки и прочее оборудование, не используемое в настоящее время.</w:t>
      </w:r>
      <w:r w:rsidR="008127F8">
        <w:rPr>
          <w:rFonts w:ascii="Times New Roman" w:hAnsi="Times New Roman"/>
          <w:color w:val="000000" w:themeColor="text1"/>
          <w:sz w:val="16"/>
          <w:szCs w:val="16"/>
        </w:rPr>
        <w:t xml:space="preserve">  </w:t>
      </w:r>
    </w:p>
    <w:p w14:paraId="0A91EE7E"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зам. директора Кировского завода т. Кизельштейн и главного инженера по моторному производству т. Невяжского обеспечить поставку заводу № 76:</w:t>
      </w:r>
    </w:p>
    <w:p w14:paraId="1B770927" w14:textId="31B848BC"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топливных насосов с форсунками:</w:t>
      </w:r>
      <w:r w:rsidR="008127F8">
        <w:rPr>
          <w:rFonts w:ascii="Times New Roman" w:hAnsi="Times New Roman"/>
          <w:color w:val="000000" w:themeColor="text1"/>
          <w:sz w:val="16"/>
          <w:szCs w:val="16"/>
        </w:rPr>
        <w:t xml:space="preserve">  </w:t>
      </w:r>
    </w:p>
    <w:p w14:paraId="40A6EB8B" w14:textId="5B856B1D"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400 комплектов по следующему графику:</w:t>
      </w:r>
      <w:r w:rsidR="008127F8">
        <w:rPr>
          <w:rFonts w:ascii="Times New Roman" w:hAnsi="Times New Roman"/>
          <w:color w:val="000000" w:themeColor="text1"/>
          <w:sz w:val="16"/>
          <w:szCs w:val="16"/>
        </w:rPr>
        <w:t xml:space="preserve">  </w:t>
      </w:r>
    </w:p>
    <w:p w14:paraId="5EA70D2F" w14:textId="316080B3"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15 января – 125 комплектов</w:t>
      </w:r>
      <w:r w:rsidR="008127F8">
        <w:rPr>
          <w:rFonts w:ascii="Times New Roman" w:hAnsi="Times New Roman"/>
          <w:color w:val="000000" w:themeColor="text1"/>
          <w:sz w:val="16"/>
          <w:szCs w:val="16"/>
        </w:rPr>
        <w:t xml:space="preserve">  </w:t>
      </w:r>
    </w:p>
    <w:p w14:paraId="49B1AE2C" w14:textId="5DAF25FA"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16 по 20 января – 75 комплектов</w:t>
      </w:r>
      <w:r w:rsidR="008127F8">
        <w:rPr>
          <w:rFonts w:ascii="Times New Roman" w:hAnsi="Times New Roman"/>
          <w:color w:val="000000" w:themeColor="text1"/>
          <w:sz w:val="16"/>
          <w:szCs w:val="16"/>
        </w:rPr>
        <w:t xml:space="preserve">  </w:t>
      </w:r>
    </w:p>
    <w:p w14:paraId="4073AF9E" w14:textId="6DF3ED1D"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25 января – 90 комплектов</w:t>
      </w:r>
      <w:r w:rsidR="008127F8">
        <w:rPr>
          <w:rFonts w:ascii="Times New Roman" w:hAnsi="Times New Roman"/>
          <w:color w:val="000000" w:themeColor="text1"/>
          <w:sz w:val="16"/>
          <w:szCs w:val="16"/>
        </w:rPr>
        <w:t xml:space="preserve">  </w:t>
      </w:r>
    </w:p>
    <w:p w14:paraId="31250DE0" w14:textId="3EA2CCD3"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по 31 января – 110 комплектов</w:t>
      </w:r>
      <w:r w:rsidR="008127F8">
        <w:rPr>
          <w:rFonts w:ascii="Times New Roman" w:hAnsi="Times New Roman"/>
          <w:color w:val="000000" w:themeColor="text1"/>
          <w:sz w:val="16"/>
          <w:szCs w:val="16"/>
        </w:rPr>
        <w:t xml:space="preserve">  </w:t>
      </w:r>
    </w:p>
    <w:p w14:paraId="75921D2B" w14:textId="26321B33"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клапанов впуска и выпуска, а также поршневых колец в Январе – по 150 комплектов</w:t>
      </w:r>
      <w:r w:rsidR="008127F8">
        <w:rPr>
          <w:rFonts w:ascii="Times New Roman" w:hAnsi="Times New Roman"/>
          <w:color w:val="000000" w:themeColor="text1"/>
          <w:sz w:val="16"/>
          <w:szCs w:val="16"/>
        </w:rPr>
        <w:t xml:space="preserve">  </w:t>
      </w:r>
    </w:p>
    <w:p w14:paraId="0175EFD0" w14:textId="175F7C2F"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штамповки коленвалов, детали холодной штамповки и литья в количествах, предусмотренных моим приказом от 19 декабря 1941 г.</w:t>
      </w:r>
      <w:r w:rsidR="008127F8">
        <w:rPr>
          <w:rFonts w:ascii="Times New Roman" w:hAnsi="Times New Roman"/>
          <w:color w:val="000000" w:themeColor="text1"/>
          <w:sz w:val="16"/>
          <w:szCs w:val="16"/>
        </w:rPr>
        <w:t xml:space="preserve">  </w:t>
      </w:r>
    </w:p>
    <w:p w14:paraId="247DB556" w14:textId="3DBB413D"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Уралмашзавода т. Музрукову обеспечить, начиная с Января месяца 1942 года поставку заводу № 76 бронзы БАЖМ в количествах:</w:t>
      </w:r>
      <w:r w:rsidR="008127F8">
        <w:rPr>
          <w:rFonts w:ascii="Times New Roman" w:hAnsi="Times New Roman"/>
          <w:color w:val="000000" w:themeColor="text1"/>
          <w:sz w:val="16"/>
          <w:szCs w:val="16"/>
        </w:rPr>
        <w:t xml:space="preserve">  </w:t>
      </w:r>
    </w:p>
    <w:p w14:paraId="05A2759F" w14:textId="69CCF72C"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30 тонн</w:t>
      </w:r>
      <w:r w:rsidR="008127F8">
        <w:rPr>
          <w:rFonts w:ascii="Times New Roman" w:hAnsi="Times New Roman"/>
          <w:color w:val="000000" w:themeColor="text1"/>
          <w:sz w:val="16"/>
          <w:szCs w:val="16"/>
        </w:rPr>
        <w:t xml:space="preserve">  </w:t>
      </w:r>
    </w:p>
    <w:p w14:paraId="4486F76B" w14:textId="0533BF53"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и Марте по 50 тонн.</w:t>
      </w:r>
      <w:r w:rsidR="008127F8">
        <w:rPr>
          <w:rFonts w:ascii="Times New Roman" w:hAnsi="Times New Roman"/>
          <w:color w:val="000000" w:themeColor="text1"/>
          <w:sz w:val="16"/>
          <w:szCs w:val="16"/>
        </w:rPr>
        <w:t xml:space="preserve">  </w:t>
      </w:r>
    </w:p>
    <w:p w14:paraId="08CE8ADF" w14:textId="76DDBA06"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Начальнику Главснаба НКТП т. Розину обеспечить Уралмашзавод необходимым сырьем для производства бронзы БАЖМ заводу № 76 в указанных в пункте 4 количествах.</w:t>
      </w:r>
      <w:r w:rsidR="008127F8">
        <w:rPr>
          <w:rFonts w:ascii="Times New Roman" w:hAnsi="Times New Roman"/>
          <w:color w:val="000000" w:themeColor="text1"/>
          <w:sz w:val="16"/>
          <w:szCs w:val="16"/>
        </w:rPr>
        <w:t xml:space="preserve">  </w:t>
      </w:r>
    </w:p>
    <w:p w14:paraId="76B23146"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Начальнику Финансового отдела НКТП т. Шагалову перевести в распоряжение директора тов. Кочеткова 500.000 руб. для премирования рабочих и ИТР завода № 76.</w:t>
      </w:r>
    </w:p>
    <w:p w14:paraId="2D194756"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3DD2804A"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4F906CC0" w14:textId="77777777" w:rsidR="00D23107" w:rsidRPr="008127F8" w:rsidRDefault="00D2310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w:t>
      </w:r>
    </w:p>
    <w:p w14:paraId="72A8E1BB" w14:textId="77777777" w:rsidR="00D23107" w:rsidRPr="008127F8" w:rsidRDefault="00D23107" w:rsidP="001E0A84">
      <w:pPr>
        <w:spacing w:after="0" w:line="240" w:lineRule="auto"/>
        <w:jc w:val="both"/>
        <w:rPr>
          <w:rFonts w:ascii="Times New Roman" w:hAnsi="Times New Roman"/>
          <w:color w:val="000000" w:themeColor="text1"/>
          <w:sz w:val="16"/>
          <w:szCs w:val="16"/>
        </w:rPr>
      </w:pPr>
    </w:p>
    <w:p w14:paraId="53E8B6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1124 О частичном восстановлении электростанций Ростовской, Ворошиловоградской и Калининской областей. РГАНИР, Фонд ГКО, д. 19, лл. 51-52 (11012).</w:t>
      </w:r>
    </w:p>
    <w:p w14:paraId="21BE5C7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EEE2E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1126 О возвращении части эвакуированного оборудования и рабочих Липецкого и Морозовского моторемонтных заводов Наркомзема СССР и Орловской МТС. РГАНИР, Фонд ГКО, д. 19, лл. 54 (11012).</w:t>
      </w:r>
    </w:p>
    <w:p w14:paraId="326E523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D55922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1127 О строительстве железной дороги от ст. Войбокало до Ленинграда. (7020, 55-58).</w:t>
      </w:r>
    </w:p>
    <w:p w14:paraId="66D3B6A8" w14:textId="77777777" w:rsidR="00D4651C" w:rsidRPr="008127F8" w:rsidRDefault="00D4651C" w:rsidP="001E0A84">
      <w:pPr>
        <w:pStyle w:val="Iauiue"/>
        <w:tabs>
          <w:tab w:val="left" w:pos="11199"/>
        </w:tabs>
        <w:jc w:val="both"/>
        <w:rPr>
          <w:color w:val="000000" w:themeColor="text1"/>
          <w:sz w:val="16"/>
          <w:szCs w:val="16"/>
        </w:rPr>
      </w:pPr>
    </w:p>
    <w:p w14:paraId="63132D7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1128 О возобновлении строительства большой Московско-окружной железной дороги. (7020, 59, 60).</w:t>
      </w:r>
    </w:p>
    <w:p w14:paraId="71C4E1CF" w14:textId="77777777" w:rsidR="00D4651C" w:rsidRPr="008127F8" w:rsidRDefault="00D4651C" w:rsidP="001E0A84">
      <w:pPr>
        <w:pStyle w:val="Iauiue"/>
        <w:tabs>
          <w:tab w:val="left" w:pos="11199"/>
        </w:tabs>
        <w:jc w:val="both"/>
        <w:rPr>
          <w:color w:val="000000" w:themeColor="text1"/>
          <w:sz w:val="16"/>
          <w:szCs w:val="16"/>
        </w:rPr>
      </w:pPr>
    </w:p>
    <w:p w14:paraId="2917B46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1129 Об обеспечении бесперебойной правительственной телефонной ВЧ-связи между Москвой и штабами фронтов. (7020, 61, 62-64).</w:t>
      </w:r>
    </w:p>
    <w:p w14:paraId="0D703347" w14:textId="77777777" w:rsidR="00D4651C" w:rsidRPr="008127F8" w:rsidRDefault="00D4651C" w:rsidP="001E0A84">
      <w:pPr>
        <w:pStyle w:val="Iauiue"/>
        <w:tabs>
          <w:tab w:val="left" w:pos="11199"/>
        </w:tabs>
        <w:jc w:val="both"/>
        <w:rPr>
          <w:color w:val="000000" w:themeColor="text1"/>
          <w:sz w:val="16"/>
          <w:szCs w:val="16"/>
        </w:rPr>
      </w:pPr>
    </w:p>
    <w:p w14:paraId="246BE131"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1130 О станках для заводов, производящих снаряды. (7020, 65).</w:t>
      </w:r>
    </w:p>
    <w:p w14:paraId="59AAE9B1" w14:textId="77777777" w:rsidR="00D4651C" w:rsidRPr="008127F8" w:rsidRDefault="00D4651C" w:rsidP="001E0A84">
      <w:pPr>
        <w:pStyle w:val="Iauiue"/>
        <w:tabs>
          <w:tab w:val="left" w:pos="11199"/>
        </w:tabs>
        <w:jc w:val="both"/>
        <w:rPr>
          <w:color w:val="000000" w:themeColor="text1"/>
          <w:sz w:val="16"/>
          <w:szCs w:val="16"/>
        </w:rPr>
      </w:pPr>
    </w:p>
    <w:p w14:paraId="0CD423CA"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1131 Об отсрочке по мобилизации рабочим заводов НКВ. (7020, 66).</w:t>
      </w:r>
    </w:p>
    <w:p w14:paraId="416DB2DB" w14:textId="77777777" w:rsidR="00D4651C" w:rsidRPr="008127F8" w:rsidRDefault="00D4651C" w:rsidP="001E0A84">
      <w:pPr>
        <w:pStyle w:val="Iauiue"/>
        <w:tabs>
          <w:tab w:val="left" w:pos="11199"/>
        </w:tabs>
        <w:jc w:val="both"/>
        <w:rPr>
          <w:color w:val="000000" w:themeColor="text1"/>
          <w:sz w:val="16"/>
          <w:szCs w:val="16"/>
        </w:rPr>
      </w:pPr>
    </w:p>
    <w:p w14:paraId="2873576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6BED983B" w14:textId="77777777" w:rsidR="00D4651C" w:rsidRPr="008127F8" w:rsidRDefault="00D4651C" w:rsidP="001E0A84">
      <w:pPr>
        <w:pStyle w:val="Iauiue"/>
        <w:jc w:val="both"/>
        <w:rPr>
          <w:iCs/>
          <w:color w:val="000000" w:themeColor="text1"/>
          <w:sz w:val="16"/>
          <w:szCs w:val="16"/>
        </w:rPr>
      </w:pPr>
    </w:p>
    <w:p w14:paraId="14F61303"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3F440C11"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11 января на ряде участков фронта продолжались активные действия наших войск.</w:t>
      </w:r>
    </w:p>
    <w:p w14:paraId="308FC7EF"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обойдя укрепленный пункт противника, неожиданным ударом разгромила находившихся в нём немцев. На поле боя осталось свыше 400 трупов вражеских солдат и офицеров. Наши бойцы захватили 2 танкетки, 3 орудия, 12 пулеметов, 20 ящиков ручных гранат и 5 автомашин со снаряжением.</w:t>
      </w:r>
    </w:p>
    <w:p w14:paraId="16F5FAE9"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Красноармеец-разведчик тов. Якубович вместе с двумя другими бойцами пробрался в расположение противника в районе города С. Обнаружив штабной автобус, отважные разведчики забросали его гранатами и, уничтожив 2 немецких офицеров, забрали ценные штабные документы и карту с нанесённой оперативной обстановкой. На обратном пути разведчики встретили транспортные немецкие машины. Уничтожив охрану, разведчики захватили 3 гружённых боеприпасами транспортных автомобиля и орудие, находившееся на прицепе.</w:t>
      </w:r>
    </w:p>
    <w:p w14:paraId="75A78360"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рукопашной схватке красноармеец тов. Тацко заколол немецкого снайпера и 2 фашистских офицеров.</w:t>
      </w:r>
    </w:p>
    <w:p w14:paraId="3667E5B3"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Заняв город Ефремов, немцы бросили в сырой, не отапливаемый подвал без пищи и медицинской помощи 52 раненых красноармейца. Жителям города под страхом расстрела было запрещено оказывать какую бы то ни было помощь красноармейцам. Несмотря на смертельную опасность, семья советских патриотов Горшковых взялась за спасение советских бойцов. Любовь Васильевна тайком перевязывала раненых, Фёдор Иванович, зарезав свою корову, готовил бойцам пищу, а их дети Владимир и Владислав относили её раненым. Так они заботились о красноармейцах до тех пор, пока город Ефремов не был освобождён нашими войсками. Благодаря героизму семьи Горшковых была спасена жизнь 52 бойцов Красной Армии.</w:t>
      </w:r>
    </w:p>
    <w:p w14:paraId="4AE3C630"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Остров, Ленинградской области, немецко-фашистские мерзавцы разграбили дом инвалидов, в котором проживали 622 инвалида войны и труда. Фашистские громилы и мародёры забрали всё продовольствие и отняли у беззащитных стариков все тёплые вещи. Полтора месяца хозяйничали фашисты в Острове. За это время свыше 100 инвалидов умерли голодной смертью. Перед своим отступлением немцы подожгли дом инвалидов. Три корпуса сгорели. В огне погибло не менее 25 человек.</w:t>
      </w:r>
    </w:p>
    <w:p w14:paraId="1F370831"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ряде городов Германии произошли беспорядки в связи с дальнейшим сокращением норм выдачи продовольственных продуктов на январь месяц. В Лейпциге полиция арестовала группу женщин, открыто выражавших своё возмущение гитлеровскими властями.».</w:t>
      </w:r>
    </w:p>
    <w:p w14:paraId="1D41F0BB"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Алтайского края увеличивают в 1942 году посевную площадь на 316 тысяч гектаров. Посевы зерновых расширяются на 182.500 гектаров. Технических культур будет посеяно на 70.300 гектаров больше, чем в прошлом году. Больше чем в полтора раза увеличивается площадь посева сахарной свёклы.» (15006).</w:t>
      </w:r>
    </w:p>
    <w:p w14:paraId="05BD00DE"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3ED6EA56"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55E8CD17"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января на ряде участков фронта наши войска продолжали продвигаться вперёд, охватывая и уничтожая созданные немцами узлы сопротивления. Противник несёт большие потеря в людях и вооружении. Наши части заняли несколько населённых пунктов и в числе их город Людиново и важный железнодорожный узел Тихонова Пустынь.</w:t>
      </w:r>
    </w:p>
    <w:p w14:paraId="5F10E21E"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января уничтожено 11 немецких самолётов. Наши потери — 2 самолёта.</w:t>
      </w:r>
    </w:p>
    <w:p w14:paraId="25BF6EEB"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одна наша авиачасть уничтожила 3 немецких танка, 100 автомашин с пехотой и грузами, 75 повозок с боеприпасами, миномётную батарею, 2 зенитно-пулемётные точки, сожгла железнодорожный эшелон, рассеяла и частью истребила батальон пехоты противника.</w:t>
      </w:r>
    </w:p>
    <w:p w14:paraId="3C0EF4EE"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 Мосальска одна наша часть истребила 2 батальона 316 и 406 немецких пехотных полков и захватила в плен свыше 100 немецких солдат и офицеров. Взято много трофеев, в том числе: 20 орудий, 61 автомашина, 25 мотоциклов, несколько тысяч снарядов.</w:t>
      </w:r>
    </w:p>
    <w:p w14:paraId="24D713D9"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конногвардейцы (Западный фронт) провели успешный рейд по тылам отступающих немецких частей. Внезапным налётом, отрезав врагу пути отхода, советские кавалеристы за пять дней освободили от гитлеровцев 19 населённых пунктов и захватили 23 немецких танка, 82 орудия, 379 грузовых и 40 легковых автомашин, 23 миномёта, 52 станковых пулемёта, свыше 260 автоматов и истребили 1.300 немецких солдат и офицеров.</w:t>
      </w:r>
    </w:p>
    <w:p w14:paraId="6A2126F3"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Наша часть, действующая на одном из участков Ленинградского фронта, за день ожесточённых боёв с противником истребила 600 немецких солдат и офицеров, разрушила 9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точек и уничтожила 3 вражеских танка, 10 автомашин и зенитное орудие.</w:t>
      </w:r>
    </w:p>
    <w:p w14:paraId="14E01E2F"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лейтенант Тимошенко незаметно подполз к немецкому блиндажу и метко брошенной гранатой истребил 5 вражеских солдат.</w:t>
      </w:r>
    </w:p>
    <w:p w14:paraId="74F2A5BF"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тульских рабочих совершил налёт на штаб немецкой дивизии, находившийся в деревне Л. Партизаны истребили свыше сотни вражеских солдат и офицеров. Неподалёку от села партизан-разведчик тов. Ч. столкнулся с немецкой разведкой и уничтожил из своего автомата 8 фашистов. В селе Д. партизаны подожгли три дома, в которых заночевали немецкие офицеры. Выпрыгивавших из окон немцев партизаны забросали гранатами. В деревне С. партизаны уничтожили 20 вражеских автомашин с боеприпасами. Недавно отряд напал на немецкий обоз с продовольствием. Истребив 10 солдат и офицеров, партизаны захватили обоз.</w:t>
      </w:r>
    </w:p>
    <w:p w14:paraId="1BCD84D4"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9 роты 9 полка СС Александр Зомберг сообщил: «10 солдат 9 полка, действовавшего на Кестеньгском направлении, сговорились между собой о переходе на сторону Красной Армии. Они искали случая сдаться всей группой в плен. Один из ротных шпионов донёс офицерам о сговоре. В тот же день все 10 солдат были расстреляны».</w:t>
      </w:r>
    </w:p>
    <w:p w14:paraId="366D76FB"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освобождённой от немцев деревне Леоново, Лопасненского района, Московской области, в сарае обнаружен труп неизвестного молодого человека, повешенного за ноги. Всё тело жертвы гитлеровцев покрыто следами жестоких пыток: вырезанными звёздами, ожогами и кровоподтёками.</w:t>
      </w:r>
    </w:p>
    <w:p w14:paraId="207A5D58"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войска в Финляндии насильно отбирают у финского населения скот, а мясо, предназначенное для населения, реквизируют для себя. В связи с этим даже финский министр Фагерхольм заявил представителю печати, что «продовольственное положение Финляндии ухудшается». С первого января объявлено об уменьшении вдвое нормы выдачи мяса. Однако, как вынужден был отметить министр, и эти нормы существуют только на бумаге: мяса финны «давно уже не получали».</w:t>
      </w:r>
    </w:p>
    <w:p w14:paraId="115BAA80"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Немцы насильно отбирают у населения Литвы, Латвии и Эстонии для германской армии все тёплые вещи. Сейчас жители городов Прибалтики с возмущением узнают свои меховые пальто, изъятые якобы для немецких солдат, на жёнах и любовницах командиров штурмовых отрядов и гитлеровских чиновников.</w:t>
      </w:r>
    </w:p>
    <w:p w14:paraId="04A8A674"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Колхозницы Грузии готовятся заменить на полевых работах мужчин, ушедших в Красную Армию. Уже закончили курсы трактористов 1.128 женщин. В настоящее время на курсах обучается ещё 237 женщин.» (15006).</w:t>
      </w:r>
    </w:p>
    <w:p w14:paraId="55065B39"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6FE6848D"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января</w:t>
      </w:r>
      <w:r w:rsidRPr="008127F8">
        <w:rPr>
          <w:rFonts w:ascii="Times New Roman" w:hAnsi="Times New Roman"/>
          <w:color w:val="000000" w:themeColor="text1"/>
          <w:sz w:val="16"/>
          <w:szCs w:val="16"/>
        </w:rPr>
        <w:t xml:space="preserve"> в 1942 году войска Северо-Западного фронта освободили город Пено. Войска Западного фронта освободили город Киров (15006).</w:t>
      </w:r>
    </w:p>
    <w:p w14:paraId="7978162C"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0EF787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совместным приказом НКВД и НК ВМФ было объявлено о преобразовании 3У НК ВМФ в Отдел морской контрразведки (3398,20).</w:t>
      </w:r>
    </w:p>
    <w:p w14:paraId="4904DB4F" w14:textId="77777777" w:rsidR="00D4651C" w:rsidRPr="008127F8" w:rsidRDefault="00D4651C" w:rsidP="001E0A84">
      <w:pPr>
        <w:pStyle w:val="Iauiue"/>
        <w:jc w:val="both"/>
        <w:rPr>
          <w:color w:val="000000" w:themeColor="text1"/>
          <w:sz w:val="16"/>
          <w:szCs w:val="16"/>
        </w:rPr>
      </w:pPr>
    </w:p>
    <w:p w14:paraId="5A5E3A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года вышло постановление ГОСУДАРСТВЕННОГО КОМИТЕТА ОБОРОНЫ ПОСТАНОВЛЕНИЕ № ГКО-1133с О ПОВЫШЕНИИ ОКЛАДОВ СОДЕРЖАНИЯ КОМАНДИРАМ И КОМИССАРАМ ДИВИЗИЙ, БРИГАД И ПОЛКОВ</w:t>
      </w:r>
    </w:p>
    <w:p w14:paraId="6BF7CB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связи с возросшим значением командиров полков и дивизий в условиях современной войны Государственный Комитет Обороны в целях улучшения их материально-бытового положения</w:t>
      </w:r>
    </w:p>
    <w:p w14:paraId="1C459B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постановляет:</w:t>
      </w:r>
    </w:p>
    <w:p w14:paraId="356D4B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Повысить оклады содержания:</w:t>
      </w:r>
    </w:p>
    <w:p w14:paraId="3D0416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Командирам и военным комиссарам дивизий с 1600 до 2200 р. в месяц. Командирам и военным комиссарам бригад с 1600 до 2000 р. в месяц. Командирам и военным комиссарам полков с 1200—1300 р. до 1800 р. в месяц.</w:t>
      </w:r>
    </w:p>
    <w:p w14:paraId="60DB70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Настоящее постановление не распространять на должности, приравненные к должностям командиров полков и дивизий.</w:t>
      </w:r>
    </w:p>
    <w:p w14:paraId="5D83B2C7"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t xml:space="preserve">Председатель Государственного Комитета Обороны И. СТАЛИН </w:t>
      </w:r>
      <w:r w:rsidRPr="008127F8">
        <w:rPr>
          <w:color w:val="000000" w:themeColor="text1"/>
          <w:sz w:val="16"/>
          <w:szCs w:val="16"/>
        </w:rPr>
        <w:t>(9844).</w:t>
      </w:r>
    </w:p>
    <w:p w14:paraId="206E669E" w14:textId="77777777" w:rsidR="00D4651C" w:rsidRPr="008127F8" w:rsidRDefault="00D4651C" w:rsidP="001E0A84">
      <w:pPr>
        <w:pStyle w:val="Iauiue"/>
        <w:jc w:val="both"/>
        <w:rPr>
          <w:color w:val="000000" w:themeColor="text1"/>
          <w:sz w:val="16"/>
          <w:szCs w:val="16"/>
        </w:rPr>
      </w:pPr>
    </w:p>
    <w:p w14:paraId="46638B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1133 О повышении окладов содержания командирам и комиссарам дивизий, бригад и полков. РГАНИР, Фонд ГКО, д. 19, лл. 69 (11012).</w:t>
      </w:r>
    </w:p>
    <w:p w14:paraId="73EE478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73A66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вышло Постановление ГКО № 1134 Об изменении системы снабжения действующей армии горючими и смазочными материалами. РГАНИР, Фонд ГКО, д. 19, лл. 70, 71-72 (11012).</w:t>
      </w:r>
    </w:p>
    <w:p w14:paraId="368963A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FC029E6"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11 января 1942 г. Постановлением Государственного Комитета Обороны на НКВД были возложены эксплуатация и охрана наиболее важных магистральных линий связи в звене Ставка ВГК—фронт. Для этого из НКО в оперативное подчинение НКВД пере</w:t>
      </w:r>
      <w:r w:rsidRPr="008127F8">
        <w:rPr>
          <w:rFonts w:ascii="Times New Roman" w:hAnsi="Times New Roman"/>
          <w:color w:val="000000" w:themeColor="text1"/>
          <w:sz w:val="16"/>
          <w:szCs w:val="16"/>
        </w:rPr>
        <w:softHyphen/>
        <w:t>давалось 30 линейно-эксплуатационных рот связи, а в отделе правительственной связи была создана линейная служба (15493).</w:t>
      </w:r>
    </w:p>
    <w:p w14:paraId="1A14338D"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140A5748"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 на основании постановления ГКО № 1129сс в распоряжение НКВД для обеспечения правительственной связи были переданы некоторые магист</w:t>
      </w:r>
      <w:r w:rsidRPr="008127F8">
        <w:rPr>
          <w:rFonts w:ascii="Times New Roman" w:hAnsi="Times New Roman"/>
          <w:color w:val="000000" w:themeColor="text1"/>
          <w:sz w:val="16"/>
          <w:szCs w:val="16"/>
        </w:rPr>
        <w:softHyphen/>
        <w:t>ральные линии связи, эксплуатационно-технический состав (начальники линейных участков, участковые надсмотрщики), а также восстановительные колонны, обслу</w:t>
      </w:r>
      <w:r w:rsidRPr="008127F8">
        <w:rPr>
          <w:rFonts w:ascii="Times New Roman" w:hAnsi="Times New Roman"/>
          <w:color w:val="000000" w:themeColor="text1"/>
          <w:sz w:val="16"/>
          <w:szCs w:val="16"/>
        </w:rPr>
        <w:softHyphen/>
        <w:t>живающие передаваемые магистрали (15493).</w:t>
      </w:r>
    </w:p>
    <w:p w14:paraId="6BC31B54"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36FC4BD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07F76249" w14:textId="77777777" w:rsidR="00D4651C" w:rsidRPr="008127F8" w:rsidRDefault="00D4651C" w:rsidP="001E0A84">
      <w:pPr>
        <w:pStyle w:val="Iauiue"/>
        <w:jc w:val="both"/>
        <w:rPr>
          <w:iCs/>
          <w:color w:val="000000" w:themeColor="text1"/>
          <w:sz w:val="16"/>
          <w:szCs w:val="16"/>
        </w:rPr>
      </w:pPr>
    </w:p>
    <w:p w14:paraId="38824DCE"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Из дневника журналиста Н. К. Вержбицкого: "Мороз до 25°. Ветер... Начали продавать водку. Сегодня около нашего Магазина стояла за водкой очередь в 500 человек - Стояла 8 часов. Привезли. Из очереди купили 40 человек. Остальное расхватали иные без очереди" (18696).</w:t>
      </w:r>
    </w:p>
    <w:p w14:paraId="79EFB605" w14:textId="77777777" w:rsidR="00DC2ECA" w:rsidRPr="008127F8" w:rsidRDefault="00DC2ECA" w:rsidP="001E0A84">
      <w:pPr>
        <w:spacing w:after="0" w:line="240" w:lineRule="auto"/>
        <w:jc w:val="both"/>
        <w:rPr>
          <w:rFonts w:ascii="Times New Roman" w:hAnsi="Times New Roman"/>
          <w:color w:val="000000" w:themeColor="text1"/>
          <w:sz w:val="16"/>
          <w:szCs w:val="16"/>
        </w:rPr>
      </w:pPr>
    </w:p>
    <w:p w14:paraId="7C26C40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1125 О возвращении на канал Москва-Волга оборудования шлюзов и Иваньковской ГЭС. (7020, 53).</w:t>
      </w:r>
    </w:p>
    <w:p w14:paraId="763AC45D" w14:textId="77777777" w:rsidR="00D4651C" w:rsidRPr="008127F8" w:rsidRDefault="00D4651C" w:rsidP="001E0A84">
      <w:pPr>
        <w:pStyle w:val="Iauiue"/>
        <w:tabs>
          <w:tab w:val="left" w:pos="11199"/>
        </w:tabs>
        <w:jc w:val="both"/>
        <w:rPr>
          <w:color w:val="000000" w:themeColor="text1"/>
          <w:sz w:val="16"/>
          <w:szCs w:val="16"/>
        </w:rPr>
      </w:pPr>
    </w:p>
    <w:p w14:paraId="478C07D0" w14:textId="77777777" w:rsidR="00383180"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вышло Постановление ГКО № 1132 Об установлении новых норм отпуска продовольствия для населения г. Ленинграда и войск Ленинградского фронта. (7020, 67,68).</w:t>
      </w:r>
    </w:p>
    <w:p w14:paraId="6214A348" w14:textId="77777777" w:rsidR="00383180" w:rsidRPr="008127F8" w:rsidRDefault="00383180" w:rsidP="001E0A84">
      <w:pPr>
        <w:pStyle w:val="Iauiue"/>
        <w:tabs>
          <w:tab w:val="left" w:pos="11199"/>
        </w:tabs>
        <w:jc w:val="both"/>
        <w:rPr>
          <w:color w:val="000000" w:themeColor="text1"/>
          <w:sz w:val="16"/>
          <w:szCs w:val="16"/>
        </w:rPr>
      </w:pPr>
    </w:p>
    <w:p w14:paraId="4CC8F080" w14:textId="77777777" w:rsidR="00383180" w:rsidRPr="008127F8" w:rsidRDefault="00D4651C" w:rsidP="001E0A84">
      <w:pPr>
        <w:pStyle w:val="Iauiue"/>
        <w:tabs>
          <w:tab w:val="left" w:pos="11199"/>
        </w:tabs>
        <w:jc w:val="both"/>
        <w:rPr>
          <w:bCs/>
          <w:color w:val="000000" w:themeColor="text1"/>
          <w:sz w:val="16"/>
          <w:szCs w:val="16"/>
        </w:rPr>
      </w:pPr>
      <w:r w:rsidRPr="008127F8">
        <w:rPr>
          <w:bCs/>
          <w:color w:val="000000" w:themeColor="text1"/>
          <w:sz w:val="16"/>
          <w:szCs w:val="16"/>
        </w:rPr>
        <w:t>11 января 1942 вышло:</w:t>
      </w:r>
    </w:p>
    <w:p w14:paraId="53BF3531" w14:textId="77777777" w:rsidR="00383180" w:rsidRPr="008127F8" w:rsidRDefault="00D4651C" w:rsidP="001E0A84">
      <w:pPr>
        <w:pStyle w:val="Iauiue"/>
        <w:tabs>
          <w:tab w:val="left" w:pos="11199"/>
        </w:tabs>
        <w:jc w:val="both"/>
        <w:rPr>
          <w:bCs/>
          <w:color w:val="000000" w:themeColor="text1"/>
          <w:sz w:val="16"/>
          <w:szCs w:val="16"/>
        </w:rPr>
      </w:pPr>
      <w:r w:rsidRPr="008127F8">
        <w:rPr>
          <w:bCs/>
          <w:color w:val="000000" w:themeColor="text1"/>
          <w:sz w:val="16"/>
          <w:szCs w:val="16"/>
        </w:rPr>
        <w:t>ГОСУДАРСТВЕННЫЙ КОМИТЕТ ОБОРОНЫ ПОСТАНОВЛЕНИЕ № 1132с от 11.I.1942</w:t>
      </w:r>
    </w:p>
    <w:p w14:paraId="696878B5" w14:textId="77777777" w:rsidR="00D4651C" w:rsidRPr="008127F8" w:rsidRDefault="00D4651C" w:rsidP="001E0A84">
      <w:pPr>
        <w:pStyle w:val="Iauiue"/>
        <w:tabs>
          <w:tab w:val="left" w:pos="11199"/>
        </w:tabs>
        <w:jc w:val="both"/>
        <w:rPr>
          <w:bCs/>
          <w:color w:val="000000" w:themeColor="text1"/>
          <w:sz w:val="16"/>
          <w:szCs w:val="16"/>
        </w:rPr>
      </w:pPr>
      <w:r w:rsidRPr="008127F8">
        <w:rPr>
          <w:bCs/>
          <w:color w:val="000000" w:themeColor="text1"/>
          <w:sz w:val="16"/>
          <w:szCs w:val="16"/>
        </w:rPr>
        <w:t>Об установлении новых норм отпуска продовольствия для населения г. Ленинграда и войск Ленинградского фронта</w:t>
      </w:r>
    </w:p>
    <w:p w14:paraId="67EBA4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Утвердить предложение т. Жданова об установлении новых норм отпуска продовольствия для населения г. Ленинграда и войск Ленинградского фронта в январе месяце, согласно приложению.</w:t>
      </w:r>
    </w:p>
    <w:p w14:paraId="561D24C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что с момента введения новых норм, все пользующиеся обедами в столовых обязаны, в соответствии с затраченными на обед продуктами, сдавать в столовую талоны по хлебу и мясу полностью, а по крупе в половинном размере.</w:t>
      </w:r>
    </w:p>
    <w:p w14:paraId="3718F9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Новые нормы ввести после того, как будет налажен подвоз продуктов в Ленинград в необходимых количествах и будут образованы переходящие запасы на месте не менее 10-дневной потребности.</w:t>
      </w:r>
    </w:p>
    <w:p w14:paraId="541E077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Исходя из этого поручить Военному Совету Ленинградского фронта установить конкретный срок введения новых норм. </w:t>
      </w:r>
    </w:p>
    <w:p w14:paraId="1F11B2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04F046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 постановлению</w:t>
      </w:r>
    </w:p>
    <w:p w14:paraId="10D7E7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Государственного Комитета Обороны </w:t>
      </w:r>
    </w:p>
    <w:p w14:paraId="45DDF3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«11» января 1942 г.</w:t>
      </w:r>
    </w:p>
    <w:p w14:paraId="6EC76142" w14:textId="77777777" w:rsidR="00383180"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1132с</w:t>
      </w:r>
    </w:p>
    <w:p w14:paraId="71EB2599" w14:textId="77777777" w:rsidR="00D4651C"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О НОРМАХ ВЫДАЧИ ПРОДОВОЛЬСТВИЯ ДЛЯ НАСЕЛЕНИЯ г.ЛЕНИНГРАДА, ВОЙСК ЛЕНИНГРАДСКОГО ФРОНТА И ЧАСТЕЙ КБФ</w:t>
      </w:r>
    </w:p>
    <w:p w14:paraId="650E4BE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граммах)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104"/>
        <w:gridCol w:w="1335"/>
        <w:gridCol w:w="1905"/>
        <w:gridCol w:w="1605"/>
        <w:gridCol w:w="1395"/>
        <w:gridCol w:w="1275"/>
      </w:tblGrid>
      <w:tr w:rsidR="006F4095" w:rsidRPr="008127F8" w14:paraId="3E426354" w14:textId="77777777" w:rsidTr="00383180">
        <w:trPr>
          <w:jc w:val="center"/>
        </w:trPr>
        <w:tc>
          <w:tcPr>
            <w:tcW w:w="3104" w:type="dxa"/>
            <w:tcBorders>
              <w:top w:val="single" w:sz="12" w:space="0" w:color="auto"/>
            </w:tcBorders>
          </w:tcPr>
          <w:p w14:paraId="7082B75B"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335" w:type="dxa"/>
            <w:tcBorders>
              <w:top w:val="single" w:sz="12" w:space="0" w:color="auto"/>
            </w:tcBorders>
          </w:tcPr>
          <w:p w14:paraId="61C101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ХЛЕБ (в сутки)</w:t>
            </w:r>
          </w:p>
        </w:tc>
        <w:tc>
          <w:tcPr>
            <w:tcW w:w="1905" w:type="dxa"/>
            <w:tcBorders>
              <w:top w:val="single" w:sz="12" w:space="0" w:color="auto"/>
            </w:tcBorders>
          </w:tcPr>
          <w:p w14:paraId="445494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КРУПА И МАКАРОНЫ</w:t>
            </w:r>
          </w:p>
          <w:p w14:paraId="7BD09E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w:t>
            </w:r>
          </w:p>
        </w:tc>
        <w:tc>
          <w:tcPr>
            <w:tcW w:w="1605" w:type="dxa"/>
            <w:tcBorders>
              <w:top w:val="single" w:sz="12" w:space="0" w:color="auto"/>
            </w:tcBorders>
          </w:tcPr>
          <w:p w14:paraId="0D671F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МЯСО и РЫБА</w:t>
            </w:r>
          </w:p>
          <w:p w14:paraId="483C56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w:t>
            </w:r>
          </w:p>
        </w:tc>
        <w:tc>
          <w:tcPr>
            <w:tcW w:w="1395" w:type="dxa"/>
            <w:tcBorders>
              <w:top w:val="single" w:sz="12" w:space="0" w:color="auto"/>
            </w:tcBorders>
          </w:tcPr>
          <w:p w14:paraId="4DC9110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ЖИРЫ (в месяц)</w:t>
            </w:r>
          </w:p>
        </w:tc>
        <w:tc>
          <w:tcPr>
            <w:tcW w:w="1275" w:type="dxa"/>
            <w:tcBorders>
              <w:top w:val="single" w:sz="12" w:space="0" w:color="auto"/>
            </w:tcBorders>
          </w:tcPr>
          <w:p w14:paraId="359F60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САХАР (в месяц)</w:t>
            </w:r>
          </w:p>
        </w:tc>
      </w:tr>
      <w:tr w:rsidR="006F4095" w:rsidRPr="008127F8" w14:paraId="52D9BD6D" w14:textId="77777777" w:rsidTr="00383180">
        <w:trPr>
          <w:jc w:val="center"/>
        </w:trPr>
        <w:tc>
          <w:tcPr>
            <w:tcW w:w="3104" w:type="dxa"/>
          </w:tcPr>
          <w:p w14:paraId="13E956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Рабочим......</w:t>
            </w:r>
          </w:p>
        </w:tc>
        <w:tc>
          <w:tcPr>
            <w:tcW w:w="1335" w:type="dxa"/>
          </w:tcPr>
          <w:p w14:paraId="79A53C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905" w:type="dxa"/>
          </w:tcPr>
          <w:p w14:paraId="5320670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605" w:type="dxa"/>
          </w:tcPr>
          <w:p w14:paraId="1D1D8A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tc>
        <w:tc>
          <w:tcPr>
            <w:tcW w:w="1395" w:type="dxa"/>
          </w:tcPr>
          <w:p w14:paraId="115C0B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1275" w:type="dxa"/>
          </w:tcPr>
          <w:p w14:paraId="1330D1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r>
      <w:tr w:rsidR="006F4095" w:rsidRPr="008127F8" w14:paraId="7F5752B8" w14:textId="77777777" w:rsidTr="00383180">
        <w:trPr>
          <w:jc w:val="center"/>
        </w:trPr>
        <w:tc>
          <w:tcPr>
            <w:tcW w:w="3104" w:type="dxa"/>
          </w:tcPr>
          <w:p w14:paraId="0644EB9F"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Служащим....</w:t>
            </w:r>
            <w:proofErr w:type="gramEnd"/>
          </w:p>
        </w:tc>
        <w:tc>
          <w:tcPr>
            <w:tcW w:w="1335" w:type="dxa"/>
          </w:tcPr>
          <w:p w14:paraId="1D0FF1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905" w:type="dxa"/>
          </w:tcPr>
          <w:p w14:paraId="07A710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1605" w:type="dxa"/>
          </w:tcPr>
          <w:p w14:paraId="2F3D29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395" w:type="dxa"/>
          </w:tcPr>
          <w:p w14:paraId="587570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75" w:type="dxa"/>
          </w:tcPr>
          <w:p w14:paraId="2C6D7C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15F5BAFF" w14:textId="77777777" w:rsidTr="00383180">
        <w:trPr>
          <w:jc w:val="center"/>
        </w:trPr>
        <w:tc>
          <w:tcPr>
            <w:tcW w:w="3104" w:type="dxa"/>
          </w:tcPr>
          <w:p w14:paraId="540D6A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Иждивенцам........</w:t>
            </w:r>
          </w:p>
        </w:tc>
        <w:tc>
          <w:tcPr>
            <w:tcW w:w="1335" w:type="dxa"/>
          </w:tcPr>
          <w:p w14:paraId="21CB2F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905" w:type="dxa"/>
          </w:tcPr>
          <w:p w14:paraId="0ADAFD1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605" w:type="dxa"/>
          </w:tcPr>
          <w:p w14:paraId="0E2B62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395" w:type="dxa"/>
          </w:tcPr>
          <w:p w14:paraId="3168BC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275" w:type="dxa"/>
          </w:tcPr>
          <w:p w14:paraId="1A1E42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13D38344" w14:textId="77777777" w:rsidTr="00383180">
        <w:trPr>
          <w:jc w:val="center"/>
        </w:trPr>
        <w:tc>
          <w:tcPr>
            <w:tcW w:w="3104" w:type="dxa"/>
          </w:tcPr>
          <w:p w14:paraId="0F137A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Детям.........</w:t>
            </w:r>
          </w:p>
        </w:tc>
        <w:tc>
          <w:tcPr>
            <w:tcW w:w="1335" w:type="dxa"/>
          </w:tcPr>
          <w:p w14:paraId="794279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905" w:type="dxa"/>
          </w:tcPr>
          <w:p w14:paraId="063EA7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1605" w:type="dxa"/>
          </w:tcPr>
          <w:p w14:paraId="2CAC2A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395" w:type="dxa"/>
          </w:tcPr>
          <w:p w14:paraId="63F94D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75" w:type="dxa"/>
          </w:tcPr>
          <w:p w14:paraId="6E24C6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194FA77F" w14:textId="77777777" w:rsidTr="00383180">
        <w:trPr>
          <w:jc w:val="center"/>
        </w:trPr>
        <w:tc>
          <w:tcPr>
            <w:tcW w:w="3104" w:type="dxa"/>
          </w:tcPr>
          <w:p w14:paraId="345F96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Войскам 1 линии......</w:t>
            </w:r>
          </w:p>
        </w:tc>
        <w:tc>
          <w:tcPr>
            <w:tcW w:w="1335" w:type="dxa"/>
          </w:tcPr>
          <w:p w14:paraId="521036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1905" w:type="dxa"/>
          </w:tcPr>
          <w:p w14:paraId="531422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6600</w:t>
            </w:r>
          </w:p>
        </w:tc>
        <w:tc>
          <w:tcPr>
            <w:tcW w:w="1605" w:type="dxa"/>
          </w:tcPr>
          <w:p w14:paraId="46815C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c>
          <w:tcPr>
            <w:tcW w:w="1395" w:type="dxa"/>
          </w:tcPr>
          <w:p w14:paraId="6BC63E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1275" w:type="dxa"/>
          </w:tcPr>
          <w:p w14:paraId="2F48DC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r>
      <w:tr w:rsidR="006F4095" w:rsidRPr="008127F8" w14:paraId="6F96DCCD" w14:textId="77777777" w:rsidTr="00383180">
        <w:trPr>
          <w:jc w:val="center"/>
        </w:trPr>
        <w:tc>
          <w:tcPr>
            <w:tcW w:w="3104" w:type="dxa"/>
            <w:tcBorders>
              <w:bottom w:val="single" w:sz="12" w:space="0" w:color="auto"/>
            </w:tcBorders>
          </w:tcPr>
          <w:p w14:paraId="1FD966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 остальным воинским частям.......</w:t>
            </w:r>
          </w:p>
        </w:tc>
        <w:tc>
          <w:tcPr>
            <w:tcW w:w="1335" w:type="dxa"/>
            <w:tcBorders>
              <w:bottom w:val="single" w:sz="12" w:space="0" w:color="auto"/>
            </w:tcBorders>
          </w:tcPr>
          <w:p w14:paraId="723407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905" w:type="dxa"/>
            <w:tcBorders>
              <w:bottom w:val="single" w:sz="12" w:space="0" w:color="auto"/>
            </w:tcBorders>
          </w:tcPr>
          <w:p w14:paraId="510AF5B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4010</w:t>
            </w:r>
          </w:p>
        </w:tc>
        <w:tc>
          <w:tcPr>
            <w:tcW w:w="1605" w:type="dxa"/>
            <w:tcBorders>
              <w:bottom w:val="single" w:sz="12" w:space="0" w:color="auto"/>
            </w:tcBorders>
          </w:tcPr>
          <w:p w14:paraId="2C8053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w:t>
            </w:r>
          </w:p>
        </w:tc>
        <w:tc>
          <w:tcPr>
            <w:tcW w:w="1395" w:type="dxa"/>
            <w:tcBorders>
              <w:bottom w:val="single" w:sz="12" w:space="0" w:color="auto"/>
            </w:tcBorders>
          </w:tcPr>
          <w:p w14:paraId="52160B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1275" w:type="dxa"/>
            <w:tcBorders>
              <w:bottom w:val="single" w:sz="12" w:space="0" w:color="auto"/>
            </w:tcBorders>
          </w:tcPr>
          <w:p w14:paraId="32B1F1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bl>
    <w:p w14:paraId="09A1AA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Товарищу СТАЛИНУ И.В.</w:t>
      </w:r>
    </w:p>
    <w:p w14:paraId="1A1D48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Тов.Жданов прислал свои предложения об увеличении норм отпуска продовольствия по карточкам для населения г. Ленинграда и войск Ленинградского фронта, а также о завозе продовольствия в январе месяце с учетом создания 2-недельного переходящего запаса.</w:t>
      </w:r>
    </w:p>
    <w:p w14:paraId="706988D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считаю его предложения о нормах снабжения приемлемыми и прошу их утвердить.</w:t>
      </w:r>
    </w:p>
    <w:p w14:paraId="1BB3151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необходимо изменить существующий до настоящего времени в г. Ленинграде порядок, при котором у лиц, пользующихся общественным питанием, не вырезаются талоны по крупе, а по мясу вырезаются только 50%.</w:t>
      </w:r>
    </w:p>
    <w:p w14:paraId="403CF8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Предлагаю распространить на г. Ленинград порядок, установленный для других городов (кроме Москвы), т.е. вырезать полностью талоны по хлебу и мясу, а по крупе 50%, как это предусматривается для введения во всех городах. Предлагаемые новые нормы являются повышением против существующих, хотя и несколько меньше, чем это было до сентября месяца.</w:t>
      </w:r>
    </w:p>
    <w:p w14:paraId="7E1F14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Новые нормы можно ввести в жизнь после того, как наладится завоз продуктов Ленинград в необходимых количествах и будут созданы запасы на месте не менее чем на 10 дней.</w:t>
      </w:r>
    </w:p>
    <w:p w14:paraId="097266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Проект постановления ГКО и справка о новых и старых нормах прилагаются. </w:t>
      </w:r>
    </w:p>
    <w:p w14:paraId="04CB2CE2" w14:textId="77777777" w:rsidR="00383180"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А.Микоян (11813).</w:t>
      </w:r>
    </w:p>
    <w:p w14:paraId="01858138" w14:textId="77777777" w:rsidR="00383180"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С П Р А В К А</w:t>
      </w:r>
    </w:p>
    <w:p w14:paraId="79BAEDC6" w14:textId="77777777" w:rsidR="00D4651C" w:rsidRPr="008127F8" w:rsidRDefault="00D4651C"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о нормах отпуска продовольствия в гор. Ленинграде</w:t>
      </w:r>
    </w:p>
    <w:tbl>
      <w:tblPr>
        <w:tblW w:w="10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559"/>
        <w:gridCol w:w="497"/>
        <w:gridCol w:w="567"/>
        <w:gridCol w:w="708"/>
        <w:gridCol w:w="709"/>
        <w:gridCol w:w="567"/>
        <w:gridCol w:w="567"/>
        <w:gridCol w:w="709"/>
        <w:gridCol w:w="567"/>
        <w:gridCol w:w="567"/>
        <w:gridCol w:w="709"/>
        <w:gridCol w:w="567"/>
        <w:gridCol w:w="567"/>
        <w:gridCol w:w="708"/>
        <w:gridCol w:w="709"/>
        <w:gridCol w:w="510"/>
      </w:tblGrid>
      <w:tr w:rsidR="006F4095" w:rsidRPr="008127F8" w14:paraId="31DFD339" w14:textId="77777777" w:rsidTr="005400C1">
        <w:tc>
          <w:tcPr>
            <w:tcW w:w="1559" w:type="dxa"/>
          </w:tcPr>
          <w:p w14:paraId="1340BA1F"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1772" w:type="dxa"/>
            <w:gridSpan w:val="3"/>
          </w:tcPr>
          <w:p w14:paraId="3530F9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Хлеб</w:t>
            </w:r>
          </w:p>
          <w:p w14:paraId="32E34C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сутки в граммах)</w:t>
            </w:r>
          </w:p>
        </w:tc>
        <w:tc>
          <w:tcPr>
            <w:tcW w:w="1843" w:type="dxa"/>
            <w:gridSpan w:val="3"/>
          </w:tcPr>
          <w:p w14:paraId="55034A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Крупа и макароны</w:t>
            </w:r>
          </w:p>
          <w:p w14:paraId="7A5281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 в граммах)</w:t>
            </w:r>
          </w:p>
        </w:tc>
        <w:tc>
          <w:tcPr>
            <w:tcW w:w="1843" w:type="dxa"/>
            <w:gridSpan w:val="3"/>
          </w:tcPr>
          <w:p w14:paraId="4A3C91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Мясо и рыба</w:t>
            </w:r>
          </w:p>
          <w:p w14:paraId="1095D18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 в граммах)</w:t>
            </w:r>
          </w:p>
        </w:tc>
        <w:tc>
          <w:tcPr>
            <w:tcW w:w="1843" w:type="dxa"/>
            <w:gridSpan w:val="3"/>
          </w:tcPr>
          <w:p w14:paraId="5E9403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Жиры</w:t>
            </w:r>
          </w:p>
          <w:p w14:paraId="6F49EA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 в граммах)</w:t>
            </w:r>
          </w:p>
        </w:tc>
        <w:tc>
          <w:tcPr>
            <w:tcW w:w="1927" w:type="dxa"/>
            <w:gridSpan w:val="3"/>
          </w:tcPr>
          <w:p w14:paraId="01B8E9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Сахар</w:t>
            </w:r>
          </w:p>
          <w:p w14:paraId="2DE128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 в граммах)</w:t>
            </w:r>
          </w:p>
        </w:tc>
      </w:tr>
      <w:tr w:rsidR="006F4095" w:rsidRPr="008127F8" w14:paraId="4FDE77BC" w14:textId="77777777" w:rsidTr="005400C1">
        <w:tc>
          <w:tcPr>
            <w:tcW w:w="1559" w:type="dxa"/>
          </w:tcPr>
          <w:p w14:paraId="72B7076C"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97" w:type="dxa"/>
          </w:tcPr>
          <w:p w14:paraId="72A4B2A4"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Про- ект</w:t>
            </w:r>
            <w:proofErr w:type="gramEnd"/>
            <w:r w:rsidRPr="008127F8">
              <w:rPr>
                <w:rFonts w:ascii="Times New Roman" w:hAnsi="Times New Roman"/>
                <w:color w:val="000000" w:themeColor="text1"/>
                <w:sz w:val="16"/>
                <w:szCs w:val="16"/>
              </w:rPr>
              <w:t xml:space="preserve"> т.Жда- нова</w:t>
            </w:r>
          </w:p>
        </w:tc>
        <w:tc>
          <w:tcPr>
            <w:tcW w:w="567" w:type="dxa"/>
          </w:tcPr>
          <w:p w14:paraId="336639E3"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Суще- ствую- щие</w:t>
            </w:r>
            <w:proofErr w:type="gramEnd"/>
            <w:r w:rsidRPr="008127F8">
              <w:rPr>
                <w:rFonts w:ascii="Times New Roman" w:hAnsi="Times New Roman"/>
                <w:color w:val="000000" w:themeColor="text1"/>
                <w:sz w:val="16"/>
                <w:szCs w:val="16"/>
              </w:rPr>
              <w:t xml:space="preserve"> нормы</w:t>
            </w:r>
          </w:p>
        </w:tc>
        <w:tc>
          <w:tcPr>
            <w:tcW w:w="708" w:type="dxa"/>
          </w:tcPr>
          <w:p w14:paraId="73C77A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Выда- валось до </w:t>
            </w:r>
            <w:proofErr w:type="gramStart"/>
            <w:r w:rsidRPr="008127F8">
              <w:rPr>
                <w:rFonts w:ascii="Times New Roman" w:hAnsi="Times New Roman"/>
                <w:color w:val="000000" w:themeColor="text1"/>
                <w:sz w:val="16"/>
                <w:szCs w:val="16"/>
              </w:rPr>
              <w:t>сен- тября</w:t>
            </w:r>
            <w:proofErr w:type="gramEnd"/>
            <w:r w:rsidRPr="008127F8">
              <w:rPr>
                <w:rFonts w:ascii="Times New Roman" w:hAnsi="Times New Roman"/>
                <w:color w:val="000000" w:themeColor="text1"/>
                <w:sz w:val="16"/>
                <w:szCs w:val="16"/>
              </w:rPr>
              <w:t xml:space="preserve"> м-ца</w:t>
            </w:r>
          </w:p>
          <w:p w14:paraId="46A514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709" w:type="dxa"/>
          </w:tcPr>
          <w:p w14:paraId="460ED001"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Про- ект</w:t>
            </w:r>
            <w:proofErr w:type="gramEnd"/>
            <w:r w:rsidRPr="008127F8">
              <w:rPr>
                <w:rFonts w:ascii="Times New Roman" w:hAnsi="Times New Roman"/>
                <w:color w:val="000000" w:themeColor="text1"/>
                <w:sz w:val="16"/>
                <w:szCs w:val="16"/>
              </w:rPr>
              <w:t xml:space="preserve"> т.Жда- нова</w:t>
            </w:r>
          </w:p>
        </w:tc>
        <w:tc>
          <w:tcPr>
            <w:tcW w:w="567" w:type="dxa"/>
          </w:tcPr>
          <w:p w14:paraId="414E87BC"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Суще- ствую- щие</w:t>
            </w:r>
            <w:proofErr w:type="gramEnd"/>
            <w:r w:rsidRPr="008127F8">
              <w:rPr>
                <w:rFonts w:ascii="Times New Roman" w:hAnsi="Times New Roman"/>
                <w:color w:val="000000" w:themeColor="text1"/>
                <w:sz w:val="16"/>
                <w:szCs w:val="16"/>
              </w:rPr>
              <w:t xml:space="preserve"> нормы</w:t>
            </w:r>
          </w:p>
        </w:tc>
        <w:tc>
          <w:tcPr>
            <w:tcW w:w="567" w:type="dxa"/>
          </w:tcPr>
          <w:p w14:paraId="7CBA1B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Выда- валось до </w:t>
            </w:r>
            <w:proofErr w:type="gramStart"/>
            <w:r w:rsidRPr="008127F8">
              <w:rPr>
                <w:rFonts w:ascii="Times New Roman" w:hAnsi="Times New Roman"/>
                <w:color w:val="000000" w:themeColor="text1"/>
                <w:sz w:val="16"/>
                <w:szCs w:val="16"/>
              </w:rPr>
              <w:t>сен- тября</w:t>
            </w:r>
            <w:proofErr w:type="gramEnd"/>
            <w:r w:rsidRPr="008127F8">
              <w:rPr>
                <w:rFonts w:ascii="Times New Roman" w:hAnsi="Times New Roman"/>
                <w:color w:val="000000" w:themeColor="text1"/>
                <w:sz w:val="16"/>
                <w:szCs w:val="16"/>
              </w:rPr>
              <w:t xml:space="preserve"> м-ца</w:t>
            </w:r>
          </w:p>
          <w:p w14:paraId="0AB16C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709" w:type="dxa"/>
          </w:tcPr>
          <w:p w14:paraId="538B45B4"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Про- ект</w:t>
            </w:r>
            <w:proofErr w:type="gramEnd"/>
            <w:r w:rsidRPr="008127F8">
              <w:rPr>
                <w:rFonts w:ascii="Times New Roman" w:hAnsi="Times New Roman"/>
                <w:color w:val="000000" w:themeColor="text1"/>
                <w:sz w:val="16"/>
                <w:szCs w:val="16"/>
              </w:rPr>
              <w:t xml:space="preserve"> т.Жда- нова</w:t>
            </w:r>
          </w:p>
        </w:tc>
        <w:tc>
          <w:tcPr>
            <w:tcW w:w="567" w:type="dxa"/>
          </w:tcPr>
          <w:p w14:paraId="20FDE475"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Суще- ствую- щие</w:t>
            </w:r>
            <w:proofErr w:type="gramEnd"/>
            <w:r w:rsidRPr="008127F8">
              <w:rPr>
                <w:rFonts w:ascii="Times New Roman" w:hAnsi="Times New Roman"/>
                <w:color w:val="000000" w:themeColor="text1"/>
                <w:sz w:val="16"/>
                <w:szCs w:val="16"/>
              </w:rPr>
              <w:t xml:space="preserve"> нормы</w:t>
            </w:r>
          </w:p>
        </w:tc>
        <w:tc>
          <w:tcPr>
            <w:tcW w:w="567" w:type="dxa"/>
          </w:tcPr>
          <w:p w14:paraId="47321C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Выда- валось до </w:t>
            </w:r>
            <w:proofErr w:type="gramStart"/>
            <w:r w:rsidRPr="008127F8">
              <w:rPr>
                <w:rFonts w:ascii="Times New Roman" w:hAnsi="Times New Roman"/>
                <w:color w:val="000000" w:themeColor="text1"/>
                <w:sz w:val="16"/>
                <w:szCs w:val="16"/>
              </w:rPr>
              <w:t>сен- тября</w:t>
            </w:r>
            <w:proofErr w:type="gramEnd"/>
            <w:r w:rsidRPr="008127F8">
              <w:rPr>
                <w:rFonts w:ascii="Times New Roman" w:hAnsi="Times New Roman"/>
                <w:color w:val="000000" w:themeColor="text1"/>
                <w:sz w:val="16"/>
                <w:szCs w:val="16"/>
              </w:rPr>
              <w:t xml:space="preserve"> м-ца</w:t>
            </w:r>
          </w:p>
          <w:p w14:paraId="68848B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709" w:type="dxa"/>
          </w:tcPr>
          <w:p w14:paraId="3FF6B95C"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Про- ект</w:t>
            </w:r>
            <w:proofErr w:type="gramEnd"/>
            <w:r w:rsidRPr="008127F8">
              <w:rPr>
                <w:rFonts w:ascii="Times New Roman" w:hAnsi="Times New Roman"/>
                <w:color w:val="000000" w:themeColor="text1"/>
                <w:sz w:val="16"/>
                <w:szCs w:val="16"/>
              </w:rPr>
              <w:t xml:space="preserve"> т.Жда- нова</w:t>
            </w:r>
          </w:p>
        </w:tc>
        <w:tc>
          <w:tcPr>
            <w:tcW w:w="567" w:type="dxa"/>
          </w:tcPr>
          <w:p w14:paraId="7731E5F8"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Суще- ствую- щие</w:t>
            </w:r>
            <w:proofErr w:type="gramEnd"/>
            <w:r w:rsidRPr="008127F8">
              <w:rPr>
                <w:rFonts w:ascii="Times New Roman" w:hAnsi="Times New Roman"/>
                <w:color w:val="000000" w:themeColor="text1"/>
                <w:sz w:val="16"/>
                <w:szCs w:val="16"/>
              </w:rPr>
              <w:t xml:space="preserve"> нормы</w:t>
            </w:r>
          </w:p>
        </w:tc>
        <w:tc>
          <w:tcPr>
            <w:tcW w:w="567" w:type="dxa"/>
          </w:tcPr>
          <w:p w14:paraId="50505C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Выда- валось до </w:t>
            </w:r>
            <w:proofErr w:type="gramStart"/>
            <w:r w:rsidRPr="008127F8">
              <w:rPr>
                <w:rFonts w:ascii="Times New Roman" w:hAnsi="Times New Roman"/>
                <w:color w:val="000000" w:themeColor="text1"/>
                <w:sz w:val="16"/>
                <w:szCs w:val="16"/>
              </w:rPr>
              <w:t>сен- тября</w:t>
            </w:r>
            <w:proofErr w:type="gramEnd"/>
            <w:r w:rsidRPr="008127F8">
              <w:rPr>
                <w:rFonts w:ascii="Times New Roman" w:hAnsi="Times New Roman"/>
                <w:color w:val="000000" w:themeColor="text1"/>
                <w:sz w:val="16"/>
                <w:szCs w:val="16"/>
              </w:rPr>
              <w:t xml:space="preserve"> м-ца</w:t>
            </w:r>
          </w:p>
          <w:p w14:paraId="35F382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708" w:type="dxa"/>
          </w:tcPr>
          <w:p w14:paraId="59E401E2"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Про- ект</w:t>
            </w:r>
            <w:proofErr w:type="gramEnd"/>
            <w:r w:rsidRPr="008127F8">
              <w:rPr>
                <w:rFonts w:ascii="Times New Roman" w:hAnsi="Times New Roman"/>
                <w:color w:val="000000" w:themeColor="text1"/>
                <w:sz w:val="16"/>
                <w:szCs w:val="16"/>
              </w:rPr>
              <w:t xml:space="preserve"> т.Жда- нова</w:t>
            </w:r>
          </w:p>
        </w:tc>
        <w:tc>
          <w:tcPr>
            <w:tcW w:w="709" w:type="dxa"/>
          </w:tcPr>
          <w:p w14:paraId="1B2930D1"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Суще- ствую- щие</w:t>
            </w:r>
            <w:proofErr w:type="gramEnd"/>
            <w:r w:rsidRPr="008127F8">
              <w:rPr>
                <w:rFonts w:ascii="Times New Roman" w:hAnsi="Times New Roman"/>
                <w:color w:val="000000" w:themeColor="text1"/>
                <w:sz w:val="16"/>
                <w:szCs w:val="16"/>
              </w:rPr>
              <w:t xml:space="preserve"> нормы</w:t>
            </w:r>
          </w:p>
        </w:tc>
        <w:tc>
          <w:tcPr>
            <w:tcW w:w="510" w:type="dxa"/>
          </w:tcPr>
          <w:p w14:paraId="164283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Выда- валось до </w:t>
            </w:r>
            <w:proofErr w:type="gramStart"/>
            <w:r w:rsidRPr="008127F8">
              <w:rPr>
                <w:rFonts w:ascii="Times New Roman" w:hAnsi="Times New Roman"/>
                <w:color w:val="000000" w:themeColor="text1"/>
                <w:sz w:val="16"/>
                <w:szCs w:val="16"/>
              </w:rPr>
              <w:t>сен- тября</w:t>
            </w:r>
            <w:proofErr w:type="gramEnd"/>
            <w:r w:rsidRPr="008127F8">
              <w:rPr>
                <w:rFonts w:ascii="Times New Roman" w:hAnsi="Times New Roman"/>
                <w:color w:val="000000" w:themeColor="text1"/>
                <w:sz w:val="16"/>
                <w:szCs w:val="16"/>
              </w:rPr>
              <w:t xml:space="preserve"> м-ца</w:t>
            </w:r>
          </w:p>
          <w:p w14:paraId="10ACCA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r>
      <w:tr w:rsidR="006F4095" w:rsidRPr="008127F8" w14:paraId="37C4CAC0" w14:textId="77777777" w:rsidTr="005400C1">
        <w:tc>
          <w:tcPr>
            <w:tcW w:w="1559" w:type="dxa"/>
          </w:tcPr>
          <w:p w14:paraId="24A453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Рабочим......</w:t>
            </w:r>
          </w:p>
        </w:tc>
        <w:tc>
          <w:tcPr>
            <w:tcW w:w="497" w:type="dxa"/>
          </w:tcPr>
          <w:p w14:paraId="4F2C8D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567" w:type="dxa"/>
          </w:tcPr>
          <w:p w14:paraId="7B361D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tc>
        <w:tc>
          <w:tcPr>
            <w:tcW w:w="708" w:type="dxa"/>
          </w:tcPr>
          <w:p w14:paraId="660C8B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709" w:type="dxa"/>
          </w:tcPr>
          <w:p w14:paraId="0A5334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567" w:type="dxa"/>
          </w:tcPr>
          <w:p w14:paraId="351CC7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67" w:type="dxa"/>
          </w:tcPr>
          <w:p w14:paraId="2C12FA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709" w:type="dxa"/>
          </w:tcPr>
          <w:p w14:paraId="6F32D7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tc>
        <w:tc>
          <w:tcPr>
            <w:tcW w:w="567" w:type="dxa"/>
          </w:tcPr>
          <w:p w14:paraId="0C76E1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67" w:type="dxa"/>
          </w:tcPr>
          <w:p w14:paraId="47AE00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w:t>
            </w:r>
          </w:p>
        </w:tc>
        <w:tc>
          <w:tcPr>
            <w:tcW w:w="709" w:type="dxa"/>
          </w:tcPr>
          <w:p w14:paraId="795F54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567" w:type="dxa"/>
          </w:tcPr>
          <w:p w14:paraId="593CD6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567" w:type="dxa"/>
          </w:tcPr>
          <w:p w14:paraId="0E1048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708" w:type="dxa"/>
          </w:tcPr>
          <w:p w14:paraId="21CB96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709" w:type="dxa"/>
          </w:tcPr>
          <w:p w14:paraId="1A57A3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10" w:type="dxa"/>
          </w:tcPr>
          <w:p w14:paraId="2F284A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r>
      <w:tr w:rsidR="006F4095" w:rsidRPr="008127F8" w14:paraId="7CACBE90" w14:textId="77777777" w:rsidTr="005400C1">
        <w:tc>
          <w:tcPr>
            <w:tcW w:w="1559" w:type="dxa"/>
          </w:tcPr>
          <w:p w14:paraId="13A2F8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Служащим...........</w:t>
            </w:r>
          </w:p>
        </w:tc>
        <w:tc>
          <w:tcPr>
            <w:tcW w:w="497" w:type="dxa"/>
          </w:tcPr>
          <w:p w14:paraId="6E2ABE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567" w:type="dxa"/>
          </w:tcPr>
          <w:p w14:paraId="78EB0E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708" w:type="dxa"/>
          </w:tcPr>
          <w:p w14:paraId="6C95F3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709" w:type="dxa"/>
          </w:tcPr>
          <w:p w14:paraId="4FADFE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67" w:type="dxa"/>
          </w:tcPr>
          <w:p w14:paraId="6117EB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567" w:type="dxa"/>
          </w:tcPr>
          <w:p w14:paraId="6DB877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709" w:type="dxa"/>
          </w:tcPr>
          <w:p w14:paraId="58D7EE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567" w:type="dxa"/>
          </w:tcPr>
          <w:p w14:paraId="6EF007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567" w:type="dxa"/>
          </w:tcPr>
          <w:p w14:paraId="096C31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709" w:type="dxa"/>
          </w:tcPr>
          <w:p w14:paraId="16ABAD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567" w:type="dxa"/>
          </w:tcPr>
          <w:p w14:paraId="5338CF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567" w:type="dxa"/>
          </w:tcPr>
          <w:p w14:paraId="457567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708" w:type="dxa"/>
          </w:tcPr>
          <w:p w14:paraId="44090D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709" w:type="dxa"/>
          </w:tcPr>
          <w:p w14:paraId="2A4D47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510" w:type="dxa"/>
          </w:tcPr>
          <w:p w14:paraId="71BD0D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18675CFE" w14:textId="77777777" w:rsidTr="005400C1">
        <w:tc>
          <w:tcPr>
            <w:tcW w:w="1559" w:type="dxa"/>
          </w:tcPr>
          <w:p w14:paraId="0A17A0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Иждивенцам.........</w:t>
            </w:r>
          </w:p>
        </w:tc>
        <w:tc>
          <w:tcPr>
            <w:tcW w:w="497" w:type="dxa"/>
          </w:tcPr>
          <w:p w14:paraId="4786C0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567" w:type="dxa"/>
          </w:tcPr>
          <w:p w14:paraId="1796C4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708" w:type="dxa"/>
          </w:tcPr>
          <w:p w14:paraId="0E0FBB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709" w:type="dxa"/>
          </w:tcPr>
          <w:p w14:paraId="0C993A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567" w:type="dxa"/>
          </w:tcPr>
          <w:p w14:paraId="6D6242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567" w:type="dxa"/>
          </w:tcPr>
          <w:p w14:paraId="6D9F2F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709" w:type="dxa"/>
          </w:tcPr>
          <w:p w14:paraId="0EE76D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567" w:type="dxa"/>
          </w:tcPr>
          <w:p w14:paraId="5F6B31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567" w:type="dxa"/>
          </w:tcPr>
          <w:p w14:paraId="2E459D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w:t>
            </w:r>
          </w:p>
        </w:tc>
        <w:tc>
          <w:tcPr>
            <w:tcW w:w="709" w:type="dxa"/>
          </w:tcPr>
          <w:p w14:paraId="3FBF13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567" w:type="dxa"/>
          </w:tcPr>
          <w:p w14:paraId="206A2E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567" w:type="dxa"/>
          </w:tcPr>
          <w:p w14:paraId="2496F6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708" w:type="dxa"/>
          </w:tcPr>
          <w:p w14:paraId="4E7DE2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709" w:type="dxa"/>
          </w:tcPr>
          <w:p w14:paraId="4E693F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510" w:type="dxa"/>
          </w:tcPr>
          <w:p w14:paraId="36A94F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1188B9C0" w14:textId="77777777" w:rsidTr="005400C1">
        <w:tc>
          <w:tcPr>
            <w:tcW w:w="1559" w:type="dxa"/>
          </w:tcPr>
          <w:p w14:paraId="506736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Детям..........</w:t>
            </w:r>
          </w:p>
        </w:tc>
        <w:tc>
          <w:tcPr>
            <w:tcW w:w="497" w:type="dxa"/>
          </w:tcPr>
          <w:p w14:paraId="22B0BE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567" w:type="dxa"/>
          </w:tcPr>
          <w:p w14:paraId="717B16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708" w:type="dxa"/>
          </w:tcPr>
          <w:p w14:paraId="1A10ED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709" w:type="dxa"/>
          </w:tcPr>
          <w:p w14:paraId="167876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567" w:type="dxa"/>
          </w:tcPr>
          <w:p w14:paraId="2669DD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567" w:type="dxa"/>
          </w:tcPr>
          <w:p w14:paraId="466C6A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709" w:type="dxa"/>
          </w:tcPr>
          <w:p w14:paraId="4840D40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567" w:type="dxa"/>
          </w:tcPr>
          <w:p w14:paraId="7A13EA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567" w:type="dxa"/>
          </w:tcPr>
          <w:p w14:paraId="6911C97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w:t>
            </w:r>
          </w:p>
        </w:tc>
        <w:tc>
          <w:tcPr>
            <w:tcW w:w="709" w:type="dxa"/>
          </w:tcPr>
          <w:p w14:paraId="6A6BE8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567" w:type="dxa"/>
          </w:tcPr>
          <w:p w14:paraId="48C253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567" w:type="dxa"/>
          </w:tcPr>
          <w:p w14:paraId="6219BE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708" w:type="dxa"/>
          </w:tcPr>
          <w:p w14:paraId="10C052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709" w:type="dxa"/>
          </w:tcPr>
          <w:p w14:paraId="3D2B4A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510" w:type="dxa"/>
          </w:tcPr>
          <w:p w14:paraId="40C99C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6E330575" w14:textId="77777777" w:rsidTr="005400C1">
        <w:tc>
          <w:tcPr>
            <w:tcW w:w="1559" w:type="dxa"/>
          </w:tcPr>
          <w:p w14:paraId="454AC8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Войскам 1 </w:t>
            </w:r>
            <w:proofErr w:type="gramStart"/>
            <w:r w:rsidRPr="008127F8">
              <w:rPr>
                <w:rFonts w:ascii="Times New Roman" w:hAnsi="Times New Roman"/>
                <w:color w:val="000000" w:themeColor="text1"/>
                <w:sz w:val="16"/>
                <w:szCs w:val="16"/>
              </w:rPr>
              <w:t>линии....</w:t>
            </w:r>
            <w:proofErr w:type="gramEnd"/>
          </w:p>
        </w:tc>
        <w:tc>
          <w:tcPr>
            <w:tcW w:w="497" w:type="dxa"/>
          </w:tcPr>
          <w:p w14:paraId="60F5EB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567" w:type="dxa"/>
          </w:tcPr>
          <w:p w14:paraId="555C86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708" w:type="dxa"/>
          </w:tcPr>
          <w:p w14:paraId="599749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709" w:type="dxa"/>
          </w:tcPr>
          <w:p w14:paraId="1BEB7DD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6600</w:t>
            </w:r>
          </w:p>
        </w:tc>
        <w:tc>
          <w:tcPr>
            <w:tcW w:w="567" w:type="dxa"/>
          </w:tcPr>
          <w:p w14:paraId="34470F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6600</w:t>
            </w:r>
          </w:p>
        </w:tc>
        <w:tc>
          <w:tcPr>
            <w:tcW w:w="567" w:type="dxa"/>
          </w:tcPr>
          <w:p w14:paraId="251921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5100</w:t>
            </w:r>
          </w:p>
        </w:tc>
        <w:tc>
          <w:tcPr>
            <w:tcW w:w="709" w:type="dxa"/>
          </w:tcPr>
          <w:p w14:paraId="50331C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c>
          <w:tcPr>
            <w:tcW w:w="567" w:type="dxa"/>
          </w:tcPr>
          <w:p w14:paraId="53D28E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3750</w:t>
            </w:r>
          </w:p>
        </w:tc>
        <w:tc>
          <w:tcPr>
            <w:tcW w:w="567" w:type="dxa"/>
          </w:tcPr>
          <w:p w14:paraId="4FAB98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5400</w:t>
            </w:r>
          </w:p>
        </w:tc>
        <w:tc>
          <w:tcPr>
            <w:tcW w:w="709" w:type="dxa"/>
          </w:tcPr>
          <w:p w14:paraId="051625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67" w:type="dxa"/>
          </w:tcPr>
          <w:p w14:paraId="3DB3CB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67" w:type="dxa"/>
          </w:tcPr>
          <w:p w14:paraId="35913FF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708" w:type="dxa"/>
          </w:tcPr>
          <w:p w14:paraId="2050A9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c>
          <w:tcPr>
            <w:tcW w:w="709" w:type="dxa"/>
          </w:tcPr>
          <w:p w14:paraId="518CE0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c>
          <w:tcPr>
            <w:tcW w:w="510" w:type="dxa"/>
          </w:tcPr>
          <w:p w14:paraId="2483C5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r>
      <w:tr w:rsidR="006F4095" w:rsidRPr="008127F8" w14:paraId="5B8EA68E" w14:textId="77777777" w:rsidTr="005400C1">
        <w:tc>
          <w:tcPr>
            <w:tcW w:w="1559" w:type="dxa"/>
          </w:tcPr>
          <w:p w14:paraId="366558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 остальным воинским частям.......</w:t>
            </w:r>
          </w:p>
        </w:tc>
        <w:tc>
          <w:tcPr>
            <w:tcW w:w="497" w:type="dxa"/>
          </w:tcPr>
          <w:p w14:paraId="68F5C9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567" w:type="dxa"/>
          </w:tcPr>
          <w:p w14:paraId="383037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708" w:type="dxa"/>
          </w:tcPr>
          <w:p w14:paraId="2CBC89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w:t>
            </w:r>
          </w:p>
        </w:tc>
        <w:tc>
          <w:tcPr>
            <w:tcW w:w="709" w:type="dxa"/>
          </w:tcPr>
          <w:p w14:paraId="5805DB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4010</w:t>
            </w:r>
          </w:p>
        </w:tc>
        <w:tc>
          <w:tcPr>
            <w:tcW w:w="567" w:type="dxa"/>
          </w:tcPr>
          <w:p w14:paraId="73BA8A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4010</w:t>
            </w:r>
          </w:p>
        </w:tc>
        <w:tc>
          <w:tcPr>
            <w:tcW w:w="567" w:type="dxa"/>
          </w:tcPr>
          <w:p w14:paraId="566C1A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4200</w:t>
            </w:r>
          </w:p>
        </w:tc>
        <w:tc>
          <w:tcPr>
            <w:tcW w:w="709" w:type="dxa"/>
          </w:tcPr>
          <w:p w14:paraId="0C4AA2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w:t>
            </w:r>
          </w:p>
        </w:tc>
        <w:tc>
          <w:tcPr>
            <w:tcW w:w="567" w:type="dxa"/>
          </w:tcPr>
          <w:p w14:paraId="26395F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c>
          <w:tcPr>
            <w:tcW w:w="567" w:type="dxa"/>
          </w:tcPr>
          <w:p w14:paraId="02235A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3600</w:t>
            </w:r>
          </w:p>
        </w:tc>
        <w:tc>
          <w:tcPr>
            <w:tcW w:w="709" w:type="dxa"/>
          </w:tcPr>
          <w:p w14:paraId="21455DD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567" w:type="dxa"/>
          </w:tcPr>
          <w:p w14:paraId="7D2D96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c>
          <w:tcPr>
            <w:tcW w:w="567" w:type="dxa"/>
          </w:tcPr>
          <w:p w14:paraId="590354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708" w:type="dxa"/>
          </w:tcPr>
          <w:p w14:paraId="6FBB02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709" w:type="dxa"/>
          </w:tcPr>
          <w:p w14:paraId="745CF6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510" w:type="dxa"/>
          </w:tcPr>
          <w:p w14:paraId="2D6A21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bl>
    <w:p w14:paraId="0A9871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(11813).</w:t>
      </w:r>
    </w:p>
    <w:p w14:paraId="1539974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D6E05F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60E6C564" w14:textId="77777777" w:rsidR="00D4651C" w:rsidRPr="008127F8" w:rsidRDefault="00D4651C" w:rsidP="001E0A84">
      <w:pPr>
        <w:pStyle w:val="Iauiue"/>
        <w:jc w:val="both"/>
        <w:rPr>
          <w:iCs/>
          <w:color w:val="000000" w:themeColor="text1"/>
          <w:sz w:val="16"/>
          <w:szCs w:val="16"/>
        </w:rPr>
      </w:pPr>
    </w:p>
    <w:p w14:paraId="102F7B2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года в Мурманск прибыл первый союзный караван в количестве 9 судов, в их числе пароходы "Рейхкоунд", "Анероид", "Эмпайэр Активитти", "Эмпайэр Рикчанд", "Эмпайэр Ховард", "Эмпайэр Халлей", советский пароход "Чернышевский". В январе Мурманский порт принял еще два каравана, в их составе были суда Мурманского пароходства "Старый большевик" и "Ижора</w:t>
      </w:r>
      <w:proofErr w:type="gramStart"/>
      <w:r w:rsidRPr="008127F8">
        <w:rPr>
          <w:rFonts w:ascii="Times New Roman" w:hAnsi="Times New Roman"/>
          <w:color w:val="000000" w:themeColor="text1"/>
          <w:sz w:val="16"/>
          <w:szCs w:val="16"/>
        </w:rPr>
        <w:t>".Порт</w:t>
      </w:r>
      <w:proofErr w:type="gramEnd"/>
      <w:r w:rsidRPr="008127F8">
        <w:rPr>
          <w:rFonts w:ascii="Times New Roman" w:hAnsi="Times New Roman"/>
          <w:color w:val="000000" w:themeColor="text1"/>
          <w:sz w:val="16"/>
          <w:szCs w:val="16"/>
        </w:rPr>
        <w:t xml:space="preserve"> начал обработку караванов в сложных условиях -большая часть ценного оборудования, портальные и плавучие краны были эвакуированы, не хватало кадровых рабочих, мобилизованных на фронт. В зимнюю навигацию 1941-1942 гг., длившуюся 5 с половиной месяцев, с окончанием интенсивных перевозок в июне, порт принял 113 судов, обработал 407385 тонн импортных и 41137 тонн экспортных грузов. Наибольшее </w:t>
      </w:r>
      <w:r w:rsidRPr="008127F8">
        <w:rPr>
          <w:rFonts w:ascii="Times New Roman" w:hAnsi="Times New Roman"/>
          <w:color w:val="000000" w:themeColor="text1"/>
          <w:sz w:val="16"/>
          <w:szCs w:val="16"/>
        </w:rPr>
        <w:lastRenderedPageBreak/>
        <w:t>количество судов приходило под английским, а также под американским флагами. Были суда под панамским, гондурасским, датским, польским флагами. С прибывших судов выгружали танки, станки, автомашины, военно-стратегическое сырье, продовольствие. За границу отправляли лес, апатит, магнетит, хром, воск, асбест, растительное масло, пушнину (11910).</w:t>
      </w:r>
    </w:p>
    <w:p w14:paraId="08952BC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DBCBD7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2CBC7D95" w14:textId="77777777" w:rsidR="00D4651C" w:rsidRPr="008127F8" w:rsidRDefault="00D4651C" w:rsidP="001E0A84">
      <w:pPr>
        <w:pStyle w:val="Iauiue"/>
        <w:jc w:val="both"/>
        <w:rPr>
          <w:iCs/>
          <w:color w:val="000000" w:themeColor="text1"/>
          <w:sz w:val="16"/>
          <w:szCs w:val="16"/>
        </w:rPr>
      </w:pPr>
    </w:p>
    <w:p w14:paraId="562A755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немецкие подлодки начали операцию “Удар литавров” (атаки в Атлантике) (4962).</w:t>
      </w:r>
    </w:p>
    <w:p w14:paraId="35E3D3D5" w14:textId="77777777" w:rsidR="00D4651C" w:rsidRPr="008127F8" w:rsidRDefault="00D4651C" w:rsidP="001E0A84">
      <w:pPr>
        <w:pStyle w:val="Iauiue"/>
        <w:tabs>
          <w:tab w:val="left" w:pos="11199"/>
        </w:tabs>
        <w:jc w:val="both"/>
        <w:rPr>
          <w:color w:val="000000" w:themeColor="text1"/>
          <w:sz w:val="16"/>
          <w:szCs w:val="16"/>
        </w:rPr>
      </w:pPr>
    </w:p>
    <w:p w14:paraId="004274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немцы провели операцию Paukeshlag и подлодки потопили суда общим тоннажем 142.3 тыс. т (2245,1).</w:t>
      </w:r>
    </w:p>
    <w:p w14:paraId="10834368" w14:textId="77777777" w:rsidR="00D4651C" w:rsidRPr="008127F8" w:rsidRDefault="00D4651C" w:rsidP="001E0A84">
      <w:pPr>
        <w:pStyle w:val="Iauiue"/>
        <w:jc w:val="both"/>
        <w:rPr>
          <w:color w:val="000000" w:themeColor="text1"/>
          <w:sz w:val="16"/>
          <w:szCs w:val="16"/>
        </w:rPr>
      </w:pPr>
    </w:p>
    <w:p w14:paraId="16BD9A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lang w:val="en-US"/>
        </w:rPr>
        <w:t xml:space="preserve">January 11, 1942: The Kriegsmarine begins Operation Drum Beat, the first coordinated attack carried out by five U-boats initially against US shipping along the East Coast of the United States. Their first victim is the </w:t>
      </w:r>
      <w:proofErr w:type="gramStart"/>
      <w:r w:rsidRPr="008127F8">
        <w:rPr>
          <w:color w:val="000000" w:themeColor="text1"/>
          <w:sz w:val="16"/>
          <w:szCs w:val="16"/>
          <w:lang w:val="en-US"/>
        </w:rPr>
        <w:t>9,000 ton</w:t>
      </w:r>
      <w:proofErr w:type="gramEnd"/>
      <w:r w:rsidRPr="008127F8">
        <w:rPr>
          <w:color w:val="000000" w:themeColor="text1"/>
          <w:sz w:val="16"/>
          <w:szCs w:val="16"/>
          <w:lang w:val="en-US"/>
        </w:rPr>
        <w:t xml:space="preserve"> British freighter Cyclops which is sunk by U-123 (Kptlt. </w:t>
      </w:r>
      <w:r w:rsidRPr="008127F8">
        <w:rPr>
          <w:color w:val="000000" w:themeColor="text1"/>
          <w:sz w:val="16"/>
          <w:szCs w:val="16"/>
        </w:rPr>
        <w:t>Hardegen) (3819).</w:t>
      </w:r>
    </w:p>
    <w:p w14:paraId="02DC8DFA" w14:textId="77777777" w:rsidR="00D4651C" w:rsidRPr="008127F8" w:rsidRDefault="00D4651C" w:rsidP="001E0A84">
      <w:pPr>
        <w:pStyle w:val="Iauiue"/>
        <w:jc w:val="both"/>
        <w:rPr>
          <w:color w:val="000000" w:themeColor="text1"/>
          <w:sz w:val="16"/>
          <w:szCs w:val="16"/>
        </w:rPr>
      </w:pPr>
    </w:p>
    <w:p w14:paraId="623F705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начались атаки пяти немецких п/л в Атлантике (операция Удар литавров) (3186).</w:t>
      </w:r>
    </w:p>
    <w:p w14:paraId="36C49DD0" w14:textId="77777777" w:rsidR="00D4651C" w:rsidRPr="008127F8" w:rsidRDefault="00D4651C" w:rsidP="001E0A84">
      <w:pPr>
        <w:pStyle w:val="Iauiue"/>
        <w:jc w:val="both"/>
        <w:rPr>
          <w:color w:val="000000" w:themeColor="text1"/>
          <w:sz w:val="16"/>
          <w:szCs w:val="16"/>
        </w:rPr>
      </w:pPr>
    </w:p>
    <w:p w14:paraId="2FE71512"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января</w:t>
      </w:r>
      <w:r w:rsidRPr="008127F8">
        <w:rPr>
          <w:rFonts w:ascii="Times New Roman" w:hAnsi="Times New Roman"/>
          <w:color w:val="000000" w:themeColor="text1"/>
          <w:sz w:val="16"/>
          <w:szCs w:val="16"/>
        </w:rPr>
        <w:t xml:space="preserve"> в 1942 году из Великобритании на Ближний Восток отправлено 38 тысяч солдат (15006).</w:t>
      </w:r>
    </w:p>
    <w:p w14:paraId="4F202B94"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2034B70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Япония объявила войну Голландии (4962).</w:t>
      </w:r>
    </w:p>
    <w:p w14:paraId="215DDDA9" w14:textId="77777777" w:rsidR="00D4651C" w:rsidRPr="008127F8" w:rsidRDefault="00D4651C" w:rsidP="001E0A84">
      <w:pPr>
        <w:pStyle w:val="Iauiue"/>
        <w:tabs>
          <w:tab w:val="left" w:pos="11199"/>
        </w:tabs>
        <w:jc w:val="both"/>
        <w:rPr>
          <w:color w:val="000000" w:themeColor="text1"/>
          <w:sz w:val="16"/>
          <w:szCs w:val="16"/>
        </w:rPr>
      </w:pPr>
    </w:p>
    <w:p w14:paraId="0BB0048E" w14:textId="77777777" w:rsidR="003874D1" w:rsidRPr="008127F8" w:rsidRDefault="003874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324 японских морских десантников участвуют в успешном нападения на голландские войска, оборонявших полуостров Menado на Сулавеси (20793).</w:t>
      </w:r>
    </w:p>
    <w:p w14:paraId="7AAB623F" w14:textId="77777777" w:rsidR="003874D1" w:rsidRPr="008127F8" w:rsidRDefault="003874D1" w:rsidP="001E0A84">
      <w:pPr>
        <w:spacing w:after="0" w:line="240" w:lineRule="auto"/>
        <w:jc w:val="both"/>
        <w:rPr>
          <w:rFonts w:ascii="Times New Roman" w:hAnsi="Times New Roman"/>
          <w:color w:val="000000" w:themeColor="text1"/>
          <w:sz w:val="16"/>
          <w:szCs w:val="16"/>
        </w:rPr>
      </w:pPr>
    </w:p>
    <w:p w14:paraId="290D61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японцы вторглись в голландскую Восточную Индию и захватили Куала Лампур в Малайзии (2245,1).</w:t>
      </w:r>
    </w:p>
    <w:p w14:paraId="0167310A" w14:textId="77777777" w:rsidR="00D4651C" w:rsidRPr="008127F8" w:rsidRDefault="00D4651C" w:rsidP="001E0A84">
      <w:pPr>
        <w:pStyle w:val="Iauiue"/>
        <w:jc w:val="both"/>
        <w:rPr>
          <w:color w:val="000000" w:themeColor="text1"/>
          <w:sz w:val="16"/>
          <w:szCs w:val="16"/>
        </w:rPr>
      </w:pPr>
    </w:p>
    <w:p w14:paraId="6ED0EE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японцы вторглись в голландскую Восточную Индию в Борнео (2100).</w:t>
      </w:r>
    </w:p>
    <w:p w14:paraId="60494303" w14:textId="77777777" w:rsidR="00D4651C" w:rsidRPr="008127F8" w:rsidRDefault="00D4651C" w:rsidP="001E0A84">
      <w:pPr>
        <w:pStyle w:val="Iauiue"/>
        <w:jc w:val="both"/>
        <w:rPr>
          <w:color w:val="000000" w:themeColor="text1"/>
          <w:sz w:val="16"/>
          <w:szCs w:val="16"/>
        </w:rPr>
      </w:pPr>
    </w:p>
    <w:p w14:paraId="759CAAD2" w14:textId="77777777" w:rsidR="00383180" w:rsidRPr="008127F8" w:rsidRDefault="003831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января</w:t>
      </w:r>
      <w:r w:rsidRPr="008127F8">
        <w:rPr>
          <w:rFonts w:ascii="Times New Roman" w:hAnsi="Times New Roman"/>
          <w:color w:val="000000" w:themeColor="text1"/>
          <w:sz w:val="16"/>
          <w:szCs w:val="16"/>
        </w:rPr>
        <w:t xml:space="preserve"> в 1942 году японские войска высадились на Борнео и на севере Целебеса (15006).</w:t>
      </w:r>
    </w:p>
    <w:p w14:paraId="1652273D" w14:textId="77777777" w:rsidR="00383180" w:rsidRPr="008127F8" w:rsidRDefault="00383180" w:rsidP="001E0A84">
      <w:pPr>
        <w:spacing w:after="0" w:line="240" w:lineRule="auto"/>
        <w:jc w:val="both"/>
        <w:rPr>
          <w:rFonts w:ascii="Times New Roman" w:hAnsi="Times New Roman"/>
          <w:color w:val="000000" w:themeColor="text1"/>
          <w:sz w:val="16"/>
          <w:szCs w:val="16"/>
        </w:rPr>
      </w:pPr>
    </w:p>
    <w:p w14:paraId="68B806D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11 января 1942 японцы захватили столицу Малайзии Куала-Лумпур (4962).</w:t>
      </w:r>
    </w:p>
    <w:p w14:paraId="76EAF1A4" w14:textId="77777777" w:rsidR="00D4651C" w:rsidRPr="008127F8" w:rsidRDefault="00D4651C" w:rsidP="001E0A84">
      <w:pPr>
        <w:pStyle w:val="Iauiue"/>
        <w:tabs>
          <w:tab w:val="left" w:pos="11199"/>
        </w:tabs>
        <w:jc w:val="both"/>
        <w:rPr>
          <w:color w:val="000000" w:themeColor="text1"/>
          <w:sz w:val="16"/>
          <w:szCs w:val="16"/>
        </w:rPr>
      </w:pPr>
    </w:p>
    <w:p w14:paraId="2E451F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японцы вторглись в Куала Лампур (2261).</w:t>
      </w:r>
    </w:p>
    <w:p w14:paraId="2CDF2C37" w14:textId="77777777" w:rsidR="00D4651C" w:rsidRPr="008127F8" w:rsidRDefault="00D4651C" w:rsidP="001E0A84">
      <w:pPr>
        <w:pStyle w:val="Iauiue"/>
        <w:jc w:val="both"/>
        <w:rPr>
          <w:color w:val="000000" w:themeColor="text1"/>
          <w:sz w:val="16"/>
          <w:szCs w:val="16"/>
        </w:rPr>
      </w:pPr>
    </w:p>
    <w:p w14:paraId="08B0074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японская компания в Восточной Индии началась с захвата Таракана (2261).</w:t>
      </w:r>
    </w:p>
    <w:p w14:paraId="6415268E" w14:textId="77777777" w:rsidR="00D4651C" w:rsidRPr="008127F8" w:rsidRDefault="00D4651C" w:rsidP="001E0A84">
      <w:pPr>
        <w:pStyle w:val="Iauiue"/>
        <w:jc w:val="both"/>
        <w:rPr>
          <w:color w:val="000000" w:themeColor="text1"/>
          <w:sz w:val="16"/>
          <w:szCs w:val="16"/>
        </w:rPr>
      </w:pPr>
    </w:p>
    <w:p w14:paraId="1A75130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18675CD8" w14:textId="77777777" w:rsidR="00D4651C" w:rsidRPr="008127F8" w:rsidRDefault="00D4651C" w:rsidP="001E0A84">
      <w:pPr>
        <w:pStyle w:val="Iauiue"/>
        <w:jc w:val="both"/>
        <w:rPr>
          <w:iCs/>
          <w:color w:val="000000" w:themeColor="text1"/>
          <w:sz w:val="16"/>
          <w:szCs w:val="16"/>
        </w:rPr>
      </w:pPr>
    </w:p>
    <w:p w14:paraId="50617C8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1941 г. в ходе восковых испытаний ракетно-бронебойных снарядов РБС-82, РБС-132 и ракетно-осколочно-фугасных РОФС-132 на базе 47-й авиади</w:t>
      </w:r>
      <w:r w:rsidRPr="008127F8">
        <w:rPr>
          <w:rFonts w:ascii="Times New Roman" w:hAnsi="Times New Roman"/>
          <w:color w:val="000000" w:themeColor="text1"/>
          <w:sz w:val="16"/>
          <w:szCs w:val="16"/>
        </w:rPr>
        <w:softHyphen/>
        <w:t>визии Западного фронта летчики 312-го штурмового авиаполка подпол</w:t>
      </w:r>
      <w:r w:rsidRPr="008127F8">
        <w:rPr>
          <w:rFonts w:ascii="Times New Roman" w:hAnsi="Times New Roman"/>
          <w:color w:val="000000" w:themeColor="text1"/>
          <w:sz w:val="16"/>
          <w:szCs w:val="16"/>
        </w:rPr>
        <w:softHyphen/>
        <w:t>ковника Поморцева, которые проходили в период с 22 ноября 1941 г. по 22 января 1942 г., капитан Фомин повел в бой два звена штурмовиков. Идя на высоте 15-20 м, с дистанции 450-500 м на скорости 350 км/ч ата</w:t>
      </w:r>
      <w:r w:rsidRPr="008127F8">
        <w:rPr>
          <w:rFonts w:ascii="Times New Roman" w:hAnsi="Times New Roman"/>
          <w:color w:val="000000" w:themeColor="text1"/>
          <w:sz w:val="16"/>
          <w:szCs w:val="16"/>
        </w:rPr>
        <w:softHyphen/>
        <w:t>ковали населенный пункт, занятый противником. На местах падения РОФС возникали сильные взрывы и черный дым. Впереди его самолета "всего в 200 м от одной из автомашин, по-видимому загруженной боепри</w:t>
      </w:r>
      <w:r w:rsidRPr="008127F8">
        <w:rPr>
          <w:rFonts w:ascii="Times New Roman" w:hAnsi="Times New Roman"/>
          <w:color w:val="000000" w:themeColor="text1"/>
          <w:sz w:val="16"/>
          <w:szCs w:val="16"/>
        </w:rPr>
        <w:softHyphen/>
        <w:t>пасами, оторванное колесо взмыло вверх на высоту 80 м. Пришлось срочно с большим креном уходить в сторону. В тот день капитан позави</w:t>
      </w:r>
      <w:r w:rsidRPr="008127F8">
        <w:rPr>
          <w:rFonts w:ascii="Times New Roman" w:hAnsi="Times New Roman"/>
          <w:color w:val="000000" w:themeColor="text1"/>
          <w:sz w:val="16"/>
          <w:szCs w:val="16"/>
        </w:rPr>
        <w:softHyphen/>
        <w:t>довал тем пилотам, у кого самолеты были вооружены восемью РОФС-ами или фугасными авиабомбами. Сам он отстрелялся быстро, и барра</w:t>
      </w:r>
      <w:r w:rsidRPr="008127F8">
        <w:rPr>
          <w:rFonts w:ascii="Times New Roman" w:hAnsi="Times New Roman"/>
          <w:color w:val="000000" w:themeColor="text1"/>
          <w:sz w:val="16"/>
          <w:szCs w:val="16"/>
        </w:rPr>
        <w:softHyphen/>
        <w:t>жировал выше, ожидая окончания «работы» остальных для сбора в группу. И только сейчас Фомин обнаружил еще несколько целей, стоящих за</w:t>
      </w:r>
      <w:r w:rsidRPr="008127F8">
        <w:rPr>
          <w:rFonts w:ascii="Times New Roman" w:hAnsi="Times New Roman"/>
          <w:color w:val="000000" w:themeColor="text1"/>
          <w:sz w:val="16"/>
          <w:szCs w:val="16"/>
        </w:rPr>
        <w:softHyphen/>
        <w:t>маскированными возле домов, о чем сообщил по рации младшему лей</w:t>
      </w:r>
      <w:r w:rsidRPr="008127F8">
        <w:rPr>
          <w:rFonts w:ascii="Times New Roman" w:hAnsi="Times New Roman"/>
          <w:color w:val="000000" w:themeColor="text1"/>
          <w:sz w:val="16"/>
          <w:szCs w:val="16"/>
        </w:rPr>
        <w:softHyphen/>
        <w:t>тенанту Балашову.</w:t>
      </w:r>
    </w:p>
    <w:p w14:paraId="46F2E1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налет, немцы неохотно покидали теплые помещения, Надеясь на минимальный ущерб от пулеметного огня советских самоле</w:t>
      </w:r>
      <w:r w:rsidRPr="008127F8">
        <w:rPr>
          <w:rFonts w:ascii="Times New Roman" w:hAnsi="Times New Roman"/>
          <w:color w:val="000000" w:themeColor="text1"/>
          <w:sz w:val="16"/>
          <w:szCs w:val="16"/>
        </w:rPr>
        <w:softHyphen/>
        <w:t>тов, в этот раз им явно не повезло — в результате прямых попаданий РОФС-132, выпущенных младшим лейтенантом Балашовым, старшим лейтенантом Барановым и младшим лейтенантом Бушуевым, здания просто разлетались в щепки, погребая под обломками всех укрывшихся в их стенах. Столбы дыма и пыли поднимались вверх на 30 м над теми местами, где только что стояли дома.</w:t>
      </w:r>
    </w:p>
    <w:p w14:paraId="6EB03D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подходе к населенному пункту старший лейтенант Баранов (его Ил-2 был вооружен 8 снарядами РОФС-132) атаковал колонну гужевого транспорта численностью до 35 подвод. Два снаряда попали в середину колонны, перевозившей боеприпасы. «Произошел сильный взрыв, и в воздух взлетели обломки повозок, куски лошадей и людей». Опасаясь повреждения самолета, пилот резко «взял горку», </w:t>
      </w:r>
      <w:proofErr w:type="gramStart"/>
      <w:r w:rsidRPr="008127F8">
        <w:rPr>
          <w:rFonts w:ascii="Times New Roman" w:hAnsi="Times New Roman"/>
          <w:color w:val="000000" w:themeColor="text1"/>
          <w:sz w:val="16"/>
          <w:szCs w:val="16"/>
        </w:rPr>
        <w:t>впрочем</w:t>
      </w:r>
      <w:proofErr w:type="gramEnd"/>
      <w:r w:rsidRPr="008127F8">
        <w:rPr>
          <w:rFonts w:ascii="Times New Roman" w:hAnsi="Times New Roman"/>
          <w:color w:val="000000" w:themeColor="text1"/>
          <w:sz w:val="16"/>
          <w:szCs w:val="16"/>
        </w:rPr>
        <w:t xml:space="preserve"> успев рассмо</w:t>
      </w:r>
      <w:r w:rsidRPr="008127F8">
        <w:rPr>
          <w:rFonts w:ascii="Times New Roman" w:hAnsi="Times New Roman"/>
          <w:color w:val="000000" w:themeColor="text1"/>
          <w:sz w:val="16"/>
          <w:szCs w:val="16"/>
        </w:rPr>
        <w:softHyphen/>
        <w:t>треть, что уничтожено около 15 подвод с прислугой. Вторым залпом пи</w:t>
      </w:r>
      <w:r w:rsidRPr="008127F8">
        <w:rPr>
          <w:rFonts w:ascii="Times New Roman" w:hAnsi="Times New Roman"/>
          <w:color w:val="000000" w:themeColor="text1"/>
          <w:sz w:val="16"/>
          <w:szCs w:val="16"/>
        </w:rPr>
        <w:softHyphen/>
        <w:t>лот уничтожил большое здание, где приютилось множество солдат про</w:t>
      </w:r>
      <w:r w:rsidRPr="008127F8">
        <w:rPr>
          <w:rFonts w:ascii="Times New Roman" w:hAnsi="Times New Roman"/>
          <w:color w:val="000000" w:themeColor="text1"/>
          <w:sz w:val="16"/>
          <w:szCs w:val="16"/>
        </w:rPr>
        <w:softHyphen/>
        <w:t>тивника. Обломки сооружения взлетели в воздух на высоту 50 м. Осталь</w:t>
      </w:r>
      <w:r w:rsidRPr="008127F8">
        <w:rPr>
          <w:rFonts w:ascii="Times New Roman" w:hAnsi="Times New Roman"/>
          <w:color w:val="000000" w:themeColor="text1"/>
          <w:sz w:val="16"/>
          <w:szCs w:val="16"/>
        </w:rPr>
        <w:softHyphen/>
        <w:t>ной боезапас он не менее успешно израсходовал по автомашинам.</w:t>
      </w:r>
    </w:p>
    <w:p w14:paraId="7A45CD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младшего лейтенанта Бушуева это был первый вылет на боевое применение снарядов РОФС-132. С учетом мощных взрывов при попа</w:t>
      </w:r>
      <w:r w:rsidRPr="008127F8">
        <w:rPr>
          <w:rFonts w:ascii="Times New Roman" w:hAnsi="Times New Roman"/>
          <w:color w:val="000000" w:themeColor="text1"/>
          <w:sz w:val="16"/>
          <w:szCs w:val="16"/>
        </w:rPr>
        <w:softHyphen/>
        <w:t>дании в цель другими пилотами, летчик, располагая боезапасом в четы</w:t>
      </w:r>
      <w:r w:rsidRPr="008127F8">
        <w:rPr>
          <w:rFonts w:ascii="Times New Roman" w:hAnsi="Times New Roman"/>
          <w:color w:val="000000" w:themeColor="text1"/>
          <w:sz w:val="16"/>
          <w:szCs w:val="16"/>
        </w:rPr>
        <w:softHyphen/>
        <w:t>ре снаряда, открывал огонь на дистанции 700 м с высоты 80-100м. Огонь вел одиночными выстрелами. «Сила взрыва РОФС-132 в несколько раз больше, чем у РС-82 и РС-132. Для меня взрыв такой силы оказался не</w:t>
      </w:r>
      <w:r w:rsidRPr="008127F8">
        <w:rPr>
          <w:rFonts w:ascii="Times New Roman" w:hAnsi="Times New Roman"/>
          <w:color w:val="000000" w:themeColor="text1"/>
          <w:sz w:val="16"/>
          <w:szCs w:val="16"/>
        </w:rPr>
        <w:softHyphen/>
        <w:t>ожиданным. Необходимо ускорить вооружение самолета Ил-2 этими снарядами» (11402).</w:t>
      </w:r>
    </w:p>
    <w:p w14:paraId="62E8835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D032EC5" w14:textId="77777777" w:rsidR="004F1EB9" w:rsidRPr="008127F8" w:rsidRDefault="004F1EB9" w:rsidP="001E0A84">
      <w:pPr>
        <w:pStyle w:val="12a"/>
        <w:shd w:val="clear" w:color="auto" w:fill="auto"/>
        <w:tabs>
          <w:tab w:val="left" w:pos="591"/>
        </w:tabs>
        <w:spacing w:after="0" w:line="240" w:lineRule="auto"/>
        <w:jc w:val="both"/>
        <w:rPr>
          <w:color w:val="000000" w:themeColor="text1"/>
          <w:sz w:val="16"/>
          <w:szCs w:val="16"/>
        </w:rPr>
      </w:pPr>
      <w:r w:rsidRPr="008127F8">
        <w:rPr>
          <w:color w:val="000000" w:themeColor="text1"/>
          <w:sz w:val="16"/>
          <w:szCs w:val="16"/>
        </w:rPr>
        <w:t>12 января 1942 в ходе войсковых испытаний (вторых по счету) реактивных снарядов РБС-82, РБС-132 и РОФС-132 в 47-й сад стрельба РСами велась Балашовым также по скоплению живой силы и техники. Авто</w:t>
      </w:r>
      <w:r w:rsidRPr="008127F8">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4E25FBB4"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старший лейтенант Баранов ата</w:t>
      </w:r>
      <w:r w:rsidRPr="008127F8">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8127F8">
        <w:rPr>
          <w:color w:val="000000" w:themeColor="text1"/>
          <w:sz w:val="16"/>
          <w:szCs w:val="16"/>
        </w:rPr>
        <w:softHyphen/>
        <w:t>вод и автомашин с прислугой.</w:t>
      </w:r>
    </w:p>
    <w:p w14:paraId="223614D0"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Два реактивных снаряда летчик выпустил по ко</w:t>
      </w:r>
      <w:r w:rsidRPr="008127F8">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8127F8">
        <w:rPr>
          <w:color w:val="000000" w:themeColor="text1"/>
          <w:sz w:val="16"/>
          <w:szCs w:val="16"/>
        </w:rPr>
        <w:softHyphen/>
        <w:t>возок, куски лошадей и людей. Боясь повреждения самолета, Баранову пришлось резко «взять гор</w:t>
      </w:r>
      <w:r w:rsidRPr="008127F8">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0FC94309"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8127F8">
        <w:rPr>
          <w:color w:val="000000" w:themeColor="text1"/>
          <w:sz w:val="16"/>
          <w:szCs w:val="16"/>
        </w:rPr>
        <w:softHyphen/>
        <w:t>шин. Например, колесо от автомашины взлетело в воздух на высоту до 80 м примерно в 200 м впе</w:t>
      </w:r>
      <w:r w:rsidRPr="008127F8">
        <w:rPr>
          <w:color w:val="000000" w:themeColor="text1"/>
          <w:sz w:val="16"/>
          <w:szCs w:val="16"/>
        </w:rPr>
        <w:softHyphen/>
        <w:t>реди самолета, чтобы избежать столкновения, капи</w:t>
      </w:r>
      <w:r w:rsidRPr="008127F8">
        <w:rPr>
          <w:color w:val="000000" w:themeColor="text1"/>
          <w:sz w:val="16"/>
          <w:szCs w:val="16"/>
        </w:rPr>
        <w:softHyphen/>
        <w:t>тану пришлось отвернуть в сторону. По-видимому, снаряд попал в машину с боеприпасами.</w:t>
      </w:r>
    </w:p>
    <w:p w14:paraId="371D7115"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13 января 1942 г. лейтенант Коротков вел стрельбу реактивными снарядами по населенно</w:t>
      </w:r>
      <w:r w:rsidRPr="008127F8">
        <w:rPr>
          <w:color w:val="000000" w:themeColor="text1"/>
          <w:sz w:val="16"/>
          <w:szCs w:val="16"/>
        </w:rPr>
        <w:softHyphen/>
        <w:t>му пункту и автомашинам в нем. Им было отмече</w:t>
      </w:r>
      <w:r w:rsidRPr="008127F8">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7F881109"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отчете о войсковых испытаниях реактивных снарядов РБС-82, РБС-132 и РОФС-132 в боевых ус</w:t>
      </w:r>
      <w:r w:rsidRPr="008127F8">
        <w:rPr>
          <w:color w:val="000000" w:themeColor="text1"/>
          <w:sz w:val="16"/>
          <w:szCs w:val="16"/>
        </w:rPr>
        <w:softHyphen/>
        <w:t>ловиях летный состав 47-й сад сделал следующие выводы:</w:t>
      </w:r>
    </w:p>
    <w:p w14:paraId="22028161"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РБС-82 является мощным оружием истреби</w:t>
      </w:r>
      <w:r w:rsidRPr="008127F8">
        <w:rPr>
          <w:color w:val="000000" w:themeColor="text1"/>
          <w:sz w:val="16"/>
          <w:szCs w:val="16"/>
        </w:rPr>
        <w:softHyphen/>
        <w:t>тельной авиации для поражения танков, бронема</w:t>
      </w:r>
      <w:r w:rsidRPr="008127F8">
        <w:rPr>
          <w:color w:val="000000" w:themeColor="text1"/>
          <w:sz w:val="16"/>
          <w:szCs w:val="16"/>
        </w:rPr>
        <w:softHyphen/>
        <w:t>шин, бронепоездов и других объектов, имеющих броневое покрытие до 50 мм. Применение целесо</w:t>
      </w:r>
      <w:r w:rsidRPr="008127F8">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552A2A7F" w14:textId="77777777" w:rsidR="004F1EB9" w:rsidRPr="008127F8" w:rsidRDefault="004F1EB9" w:rsidP="001E0A84">
      <w:pPr>
        <w:pStyle w:val="12a"/>
        <w:shd w:val="clear" w:color="auto" w:fill="auto"/>
        <w:tabs>
          <w:tab w:val="left" w:pos="582"/>
        </w:tabs>
        <w:spacing w:after="0" w:line="240" w:lineRule="auto"/>
        <w:jc w:val="both"/>
        <w:rPr>
          <w:color w:val="000000" w:themeColor="text1"/>
          <w:sz w:val="16"/>
          <w:szCs w:val="16"/>
        </w:rPr>
      </w:pPr>
      <w:r w:rsidRPr="008127F8">
        <w:rPr>
          <w:color w:val="000000" w:themeColor="text1"/>
          <w:sz w:val="16"/>
          <w:szCs w:val="16"/>
        </w:rPr>
        <w:t>2) РБС-132 является мощным огневым сред</w:t>
      </w:r>
      <w:r w:rsidRPr="008127F8">
        <w:rPr>
          <w:color w:val="000000" w:themeColor="text1"/>
          <w:sz w:val="16"/>
          <w:szCs w:val="16"/>
        </w:rPr>
        <w:softHyphen/>
        <w:t>ством для поражения бронированных целей про</w:t>
      </w:r>
      <w:r w:rsidRPr="008127F8">
        <w:rPr>
          <w:color w:val="000000" w:themeColor="text1"/>
          <w:sz w:val="16"/>
          <w:szCs w:val="16"/>
        </w:rPr>
        <w:softHyphen/>
        <w:t>тивника стрельбой с самолетов штурмовиков и бомбардировщиков с горизонтального, планиру</w:t>
      </w:r>
      <w:r w:rsidRPr="008127F8">
        <w:rPr>
          <w:color w:val="000000" w:themeColor="text1"/>
          <w:sz w:val="16"/>
          <w:szCs w:val="16"/>
        </w:rPr>
        <w:softHyphen/>
        <w:t>ющего или пикирующего полета. В число этих це</w:t>
      </w:r>
      <w:r w:rsidRPr="008127F8">
        <w:rPr>
          <w:color w:val="000000" w:themeColor="text1"/>
          <w:sz w:val="16"/>
          <w:szCs w:val="16"/>
        </w:rPr>
        <w:softHyphen/>
        <w:t>лей могут входить: тяжелые танки, бронепоезда, ба</w:t>
      </w:r>
      <w:r w:rsidRPr="008127F8">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8127F8">
        <w:rPr>
          <w:color w:val="000000" w:themeColor="text1"/>
          <w:sz w:val="16"/>
          <w:szCs w:val="16"/>
        </w:rPr>
        <w:softHyphen/>
        <w:t>ным целям;</w:t>
      </w:r>
    </w:p>
    <w:p w14:paraId="4DAD362F" w14:textId="77777777" w:rsidR="004F1EB9" w:rsidRPr="008127F8" w:rsidRDefault="004F1EB9" w:rsidP="001E0A84">
      <w:pPr>
        <w:pStyle w:val="12a"/>
        <w:shd w:val="clear" w:color="auto" w:fill="auto"/>
        <w:tabs>
          <w:tab w:val="left" w:pos="543"/>
        </w:tabs>
        <w:spacing w:after="0" w:line="240" w:lineRule="auto"/>
        <w:jc w:val="both"/>
        <w:rPr>
          <w:color w:val="000000" w:themeColor="text1"/>
          <w:sz w:val="16"/>
          <w:szCs w:val="16"/>
        </w:rPr>
      </w:pPr>
      <w:r w:rsidRPr="008127F8">
        <w:rPr>
          <w:color w:val="000000" w:themeColor="text1"/>
          <w:sz w:val="16"/>
          <w:szCs w:val="16"/>
        </w:rPr>
        <w:t>3) РОФС-132 является мощным снарядом оско</w:t>
      </w:r>
      <w:r w:rsidRPr="008127F8">
        <w:rPr>
          <w:color w:val="000000" w:themeColor="text1"/>
          <w:sz w:val="16"/>
          <w:szCs w:val="16"/>
        </w:rPr>
        <w:softHyphen/>
        <w:t>лочно-фугасного действия. Применение его на са</w:t>
      </w:r>
      <w:r w:rsidRPr="008127F8">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09048012" w14:textId="77777777" w:rsidR="004F1EB9" w:rsidRPr="008127F8" w:rsidRDefault="004F1EB9" w:rsidP="001E0A84">
      <w:pPr>
        <w:pStyle w:val="12a"/>
        <w:shd w:val="clear" w:color="auto" w:fill="auto"/>
        <w:tabs>
          <w:tab w:val="left" w:pos="548"/>
        </w:tabs>
        <w:spacing w:after="0" w:line="240" w:lineRule="auto"/>
        <w:jc w:val="both"/>
        <w:rPr>
          <w:color w:val="000000" w:themeColor="text1"/>
          <w:sz w:val="16"/>
          <w:szCs w:val="16"/>
        </w:rPr>
      </w:pPr>
      <w:r w:rsidRPr="008127F8">
        <w:rPr>
          <w:color w:val="000000" w:themeColor="text1"/>
          <w:sz w:val="16"/>
          <w:szCs w:val="16"/>
        </w:rPr>
        <w:t xml:space="preserve">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w:t>
      </w:r>
      <w:r w:rsidRPr="008127F8">
        <w:rPr>
          <w:color w:val="000000" w:themeColor="text1"/>
          <w:sz w:val="16"/>
          <w:szCs w:val="16"/>
        </w:rPr>
        <w:lastRenderedPageBreak/>
        <w:t>противником. По единодушному заключению летчиков, летавших с РОФС-132, действие этого снаряда у цели исклю</w:t>
      </w:r>
      <w:r w:rsidRPr="008127F8">
        <w:rPr>
          <w:color w:val="000000" w:themeColor="text1"/>
          <w:sz w:val="16"/>
          <w:szCs w:val="16"/>
        </w:rPr>
        <w:softHyphen/>
        <w:t>чительно сильное и превосходящее «все ожида</w:t>
      </w:r>
      <w:r w:rsidRPr="008127F8">
        <w:rPr>
          <w:color w:val="000000" w:themeColor="text1"/>
          <w:sz w:val="16"/>
          <w:szCs w:val="16"/>
        </w:rPr>
        <w:softHyphen/>
        <w:t>ния». Действием РОФС-132 противнику нанесен большой ущерб;</w:t>
      </w:r>
    </w:p>
    <w:p w14:paraId="0CB1E199" w14:textId="77777777" w:rsidR="004F1EB9" w:rsidRPr="008127F8" w:rsidRDefault="004F1EB9" w:rsidP="001E0A84">
      <w:pPr>
        <w:pStyle w:val="12a"/>
        <w:shd w:val="clear" w:color="auto" w:fill="auto"/>
        <w:tabs>
          <w:tab w:val="left" w:pos="529"/>
        </w:tabs>
        <w:spacing w:after="0" w:line="240" w:lineRule="auto"/>
        <w:jc w:val="both"/>
        <w:rPr>
          <w:color w:val="000000" w:themeColor="text1"/>
          <w:sz w:val="16"/>
          <w:szCs w:val="16"/>
        </w:rPr>
      </w:pPr>
      <w:r w:rsidRPr="008127F8">
        <w:rPr>
          <w:color w:val="000000" w:themeColor="text1"/>
          <w:sz w:val="16"/>
          <w:szCs w:val="16"/>
        </w:rPr>
        <w:t>5) метеорологические условия и обстановка на фронте не позволили полностью использовать ра</w:t>
      </w:r>
      <w:r w:rsidRPr="008127F8">
        <w:rPr>
          <w:color w:val="000000" w:themeColor="text1"/>
          <w:sz w:val="16"/>
          <w:szCs w:val="16"/>
        </w:rPr>
        <w:softHyphen/>
        <w:t>кетные бронебойные снаряды. Ввиду отсутствия скоплений бронетанковых сил противника на отве</w:t>
      </w:r>
      <w:r w:rsidRPr="008127F8">
        <w:rPr>
          <w:color w:val="000000" w:themeColor="text1"/>
          <w:sz w:val="16"/>
          <w:szCs w:val="16"/>
        </w:rPr>
        <w:softHyphen/>
        <w:t>денном участке фронта не было возможности ши</w:t>
      </w:r>
      <w:r w:rsidRPr="008127F8">
        <w:rPr>
          <w:color w:val="000000" w:themeColor="text1"/>
          <w:sz w:val="16"/>
          <w:szCs w:val="16"/>
        </w:rPr>
        <w:softHyphen/>
        <w:t>роко применять РБС и по инициативе оперативной группы в 47 АД были применены РОФС-132.</w:t>
      </w:r>
    </w:p>
    <w:p w14:paraId="1F2860C2" w14:textId="77777777" w:rsidR="004F1EB9" w:rsidRPr="008127F8" w:rsidRDefault="004F1EB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 время работы израсходовано: РБС-82 — 60 шт., РБС-132 — 80 шт., РОФС-132 — 200 шт.» (17500).</w:t>
      </w:r>
    </w:p>
    <w:p w14:paraId="6B14B277" w14:textId="77777777" w:rsidR="004F1EB9" w:rsidRPr="008127F8" w:rsidRDefault="004F1EB9" w:rsidP="001E0A84">
      <w:pPr>
        <w:spacing w:after="0" w:line="240" w:lineRule="auto"/>
        <w:jc w:val="both"/>
        <w:rPr>
          <w:rFonts w:ascii="Times New Roman" w:hAnsi="Times New Roman"/>
          <w:color w:val="000000" w:themeColor="text1"/>
          <w:sz w:val="16"/>
          <w:szCs w:val="16"/>
        </w:rPr>
      </w:pPr>
    </w:p>
    <w:p w14:paraId="140F5DB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(6 - 271,206) января 1942 В.М.Петляков разбился на серийном Пе-2. Самолет загорелся в воздухе при полете из Казани в Москву под Арзамасом (82,75). Пилотом был С.А.Шестаков (1103,63) А.М.Изаксона - назначили главным, а в апреле 1942 его сменил А.И.Путилов (4,168).</w:t>
      </w:r>
    </w:p>
    <w:p w14:paraId="2C8B11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другим данным самолет не горел, а попал в снежный фронт и зацепил за холм, так как из-за боязни немецких истребителей летели на низкой высоте. В.М.П. сидел в кабине стрелка-радиста прямо на стрелковой установке. На другом Пе-2 летел А.М.Изаксон (1947,59).</w:t>
      </w:r>
    </w:p>
    <w:p w14:paraId="6E224B1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Есть версия и об отказе одного из двигателей и невозможности полета на одном (1847,59).</w:t>
      </w:r>
    </w:p>
    <w:p w14:paraId="34A7DF6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Официально по ДЗ Изаксона: В.М.П. сам решил не дожидаться очередного Дугласа, вылетел в 13:50 с попутными Пе-2 N 12/1 (л л Остапенко) и 14/1 (л </w:t>
      </w:r>
      <w:proofErr w:type="gramStart"/>
      <w:r w:rsidRPr="008127F8">
        <w:rPr>
          <w:color w:val="000000" w:themeColor="text1"/>
          <w:sz w:val="16"/>
          <w:szCs w:val="16"/>
        </w:rPr>
        <w:t>ст.л</w:t>
      </w:r>
      <w:proofErr w:type="gramEnd"/>
      <w:r w:rsidRPr="008127F8">
        <w:rPr>
          <w:color w:val="000000" w:themeColor="text1"/>
          <w:sz w:val="16"/>
          <w:szCs w:val="16"/>
        </w:rPr>
        <w:t xml:space="preserve"> Овечкин, отправляемых в Монино во 2-й дальнеразведовательный АП. Предварительно В.М.П. интересовался квалификацией л. Через 2:20 полета Изаксону сообщили, что идут на вынужденную, т.к. потеряли ориентировку. Сели у деревни Виноградовка вблизи ст. Фаустово Казанской дороги в 70 км от Москвы. Остапенко сообщил, что в 14:25 Овечкин покачал крыльями и начал поворот в Казань, но потом машина начала падать и уже на земле было видно пламя и дым. Это было около Арзамаса в 8-10 км юго-западнее м Чернуха." Сам Изаксон ничего не видел. Погода была неблагоприятная: шел мелкий снег и видимость по горизонту была неудовлетворительной (1648,140).</w:t>
      </w:r>
    </w:p>
    <w:p w14:paraId="2732BD8D" w14:textId="77777777" w:rsidR="00D4651C" w:rsidRPr="008127F8" w:rsidRDefault="00D4651C" w:rsidP="001E0A84">
      <w:pPr>
        <w:pStyle w:val="Iauiue"/>
        <w:jc w:val="both"/>
        <w:rPr>
          <w:color w:val="000000" w:themeColor="text1"/>
          <w:sz w:val="16"/>
          <w:szCs w:val="16"/>
        </w:rPr>
      </w:pPr>
    </w:p>
    <w:p w14:paraId="609E8E1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января 1942 года в 14 часов 15 минут в трех километрах от станции Камкино Казанской железной дороги самолет Пе-2, следовавший в паре с другой "пешкой" Казанского авиазавода, отклонясь от маршрута, резко развернулся влево и с большим углом снижения пошел на вынужденную посадку, которая закончилась катастрофой. На месте катастрофы были обнаружены сильно обгоревшие и изувеченные тела летчика, штурмана, стрелка-радиста, и еще одного человека - В.М.П. - лауреата Сталинской премии, кавалера двух орденов Ленина и Красной Звезды, создателя пикирующего бомбардировщика Пе-2 (3452).</w:t>
      </w:r>
    </w:p>
    <w:p w14:paraId="3DBE916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Для расследования этой авиакатастрофы была создана комиссия под председательством командира авиаполка особого назначения полковника Мурзина. Гибель Петлякова вызвала много разговоров, пересудов, сплетен. В расследовании причин катастрофы принимали участие и сотрудники госбезопасности из Москвы - организации, при всей ее репутации, весьма эффективной и располагавшей широкой сетью источников информации. Благодаря сообщениям ее агентов ("добровольных помощников", как они именовались в документах), работавших не только на заводе, аэродроме, но и </w:t>
      </w:r>
      <w:proofErr w:type="gramStart"/>
      <w:r w:rsidRPr="008127F8">
        <w:rPr>
          <w:color w:val="000000" w:themeColor="text1"/>
          <w:sz w:val="16"/>
          <w:szCs w:val="16"/>
        </w:rPr>
        <w:t>в сопутствующих организациях</w:t>
      </w:r>
      <w:proofErr w:type="gramEnd"/>
      <w:r w:rsidRPr="008127F8">
        <w:rPr>
          <w:color w:val="000000" w:themeColor="text1"/>
          <w:sz w:val="16"/>
          <w:szCs w:val="16"/>
        </w:rPr>
        <w:t xml:space="preserve"> и в ближайшем окружении конструктора, удалось собрать массу фактов, относившихся как к катастрофе, так и к предшествовавшим ей событиям. Проверялась любая версия, любая информация. Было даже предположение о диверсии, так как после вскрытия тел погибших членов экипажа, в брюшной полости летчика Ф.А.Овечкина патологоанатом обнаружил автоматную пулю. Информация повергла чекистов в шок. Получалось, что лауреата Сталинской премии (в годы войны присужденной закрыто по условиям секретности) и Сталинского авиаконструктора - убили! Но все встало на свои места, после того как пулю передали в баллистическую лабораторию. Пуля покинула гильзу в результате разрыва патрона из-за высокой температуры. Во время работы комиссии было допрошено более 30 человек, не считая сведений от негласных агентов-информаторов госбезопасности (3453).</w:t>
      </w:r>
    </w:p>
    <w:p w14:paraId="52DBFB7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Обстоятельства гибели Генерального конструктора после тщательного расследования были доложены Сталину и Маленкову.</w:t>
      </w:r>
    </w:p>
    <w:p w14:paraId="5C4B24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Причиной катастрофы, как было указано в акте комиссии, явился пожар на борту самолёта на малой высоте. Как следует из этого документа, "очаг пожара на самолете Пе-2 14-11 находился на внутренней поверхности правого крыла и на правой части центроплана имеются следы пожара. Сильно обгорели обшивка правого элерона, поверхность водяного радиатора, шланги трубопроводов. Возможная причина - подтекание бензина в зоне правой мотогондолы". К моменту удара о землю самолет находился в неуправляемом состоянии.</w:t>
      </w:r>
    </w:p>
    <w:p w14:paraId="49C430A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акте судебной экспертизы, после осмотра трупов, было указано на то, что летчик Ф.А.Овечкин и штурман М.Гундоров имели прижизненные ожоги. Они горели живыми в воздухе! Таким образом исключалась версия о вынужденной посадке (3453).</w:t>
      </w:r>
    </w:p>
    <w:p w14:paraId="068B04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Злоключения с будущим виновником трагедии - самолетом Пе-2 с заводским номером 14-11, завершившиеся "огненным пике" под Арзамасом, начались еще в декабре 1941.</w:t>
      </w:r>
    </w:p>
    <w:p w14:paraId="1E2E20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30 декабря 1941 г., на испытательном стенде при проверке бензосистемы самолета 14-11 на герметичность, из-за превышения давления разорвало сразу пять бензобаков, которые были заменены.</w:t>
      </w:r>
    </w:p>
    <w:p w14:paraId="6AA3A83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31 декабря 1941 г., уже ночью - в 3 часа 15 минут, контрольный мастер сборочного цеха Нуруллин представил к приемке самолёт №14-11 военному представителю при цехе № 8, который выявил 13 дефектов по группе электрооборудования и аэронавигации. В 8 часов 35 минут 12 дефектов были устранены. Окончательно сдавал машину уже контрольный мастер Тутубалин. Наконец, за несколько часов до нового 1942 года, была принята винтомоторная группа, и самолет был засчитан в план 1941 г. Впоследствии, при расследовании причин катастрофы 21 января 1942 г. начальник бригады серийно-конструкторского отдела Суконников и старший технолог сборочного цеха Румянцев сделали заключение, что дефекты электрооборудования, выявленные 31 декабря, не могли явиться причиной загорания проводки (3453).</w:t>
      </w:r>
    </w:p>
    <w:p w14:paraId="237A6F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Пе-2 N 14-11 после всех этих передряг был наконец-то готов к боевой службе. Как и его собрат с номером 12-11, он несколько отличался от серийных моделей: эти машины предназначались для дальней разведки, имели увеличенный запас топлива и мощное фотооборудование.</w:t>
      </w:r>
    </w:p>
    <w:p w14:paraId="2B1CE9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9 января 1942 года за ними прибывают два экипажа из 2-го Дальнеразведывательного полка (ДРАП). Машину № 14-11 принимал старший лейтенант Ф.А.Овечкин, назначенный старшим по группе. Сейчас уместно вспомнить остальных членов экипажа, которым оставалось жить менее 3 суток </w:t>
      </w:r>
      <w:proofErr w:type="gramStart"/>
      <w:r w:rsidRPr="008127F8">
        <w:rPr>
          <w:color w:val="000000" w:themeColor="text1"/>
          <w:sz w:val="16"/>
          <w:szCs w:val="16"/>
        </w:rPr>
        <w:t>- это</w:t>
      </w:r>
      <w:proofErr w:type="gramEnd"/>
      <w:r w:rsidRPr="008127F8">
        <w:rPr>
          <w:color w:val="000000" w:themeColor="text1"/>
          <w:sz w:val="16"/>
          <w:szCs w:val="16"/>
        </w:rPr>
        <w:t xml:space="preserve"> штурман мл. лейтенант М.Гундоров, стрелок-радист В.Скребнев. В эту группу также входил прикомандированный воентехник 2-го ранга Н.М.Орехов, который должен был помочь экипажам принять эти две машины (3453).</w:t>
      </w:r>
    </w:p>
    <w:p w14:paraId="0F2AE6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 января 1942 в 20:00 Петляков в своем кабинете совместно с заместителем А.М.Изаксоном и начальником ОКО обсуждали вопросы о дальнейшем совершенствовании самолета Пе-2. В ходе разговора главного конструктора вызвали для переговоров по "ВЧ"-связи. Вернувшись Владимир Михайлович сообщил взволнованно, что получил указание явиться в Москву, в связи с решением вопроса о новом моторе. Своим коллегам он сказал, что не может прибыть к наркому с результатами испытаний, а к его теоретическим выкладкам не смогут отнестись с должным доверием.</w:t>
      </w:r>
    </w:p>
    <w:p w14:paraId="7BDD67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 января 1942 г. по "ВЧ"-связи секретарь Шахурина Протасов передал Петлякову распоряжение срочно явиться в Москву. Петляков сказал ответственному дежурному по заводу №22 Васкевичу, что он должен лететь самолетом. Дежурный заявил, что заводской "Дуглас" направляется по маршруту на Сталинград, и полетит в столицу после возвращения. Возбужденный Петляков заявил: "Полечу на боевом самолете!"</w:t>
      </w:r>
    </w:p>
    <w:p w14:paraId="77E042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Тема предстоящей командировки обсуждалась в тот же день в кабинете главного инженера завода С.М.Лещенко, в присутствии Петлякова, Изаксона и главного военпреда Кутузова. Лещенко предлагает лететь на Пе-2 №905, принятом без единого замечания, но директор завода Карпов отказывает Петлякову, мотивируя тем, что машина не принята военпредом. Мы никогда не узнаем, что толкнуло директора на этот поступок. Петляков начинает лихорадочно искать другие варианты.</w:t>
      </w:r>
    </w:p>
    <w:p w14:paraId="715E482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Ему предлагают выехать на пассажирском поезде, но он отвечает отказом, прекрасно понимая, что на поезде он застрянет надолго (был приказ Сталина о беспрепятственном прохождении только воинских эшелонов). Военпред Кутузов сообщает главному конструктору о двух готовых "Пешках" для 2-го Дальнеразведывательного полка с укомплектованными экипажами, которые должны вылететь на подмосковный аэродром Монино, откуда на связном У-2 можно будет быстро перелететь на Центральный аэродром столицы.</w:t>
      </w:r>
    </w:p>
    <w:p w14:paraId="490278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января 1942 г. ввиду обнаружения новых дефектов вылет двух "Пешек" откладывается. Да и сам Петляков в тот воскресный день вылететь из Казани не смог бы. По существовавшему тогда положению на выезд в Москву требовалось письменное разрешение НКВД ТАССР</w:t>
      </w:r>
    </w:p>
    <w:p w14:paraId="7EC279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ночь с 11 на 12 января 1942 г. на самолете №14-11 устанавливаются усиленные лыжи. Сборщики забывают законтрить болты крепления, их зашплинтуют при приемке на летно-испытательной станции. По настоянию Изаксона, летевшего вместе с Петляковым, тот выясняет у старшего военпреда Кутузова данные о командирах экипажей. Информация была обнадеживающая - пилоты опытные, не раз выполняли боевые вылеты, а Овечкин имеет более 500 часов налета на Пе-2.</w:t>
      </w:r>
    </w:p>
    <w:p w14:paraId="05C109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Начальник опытно-конструкторского отдела опять предлагает ехать поездом, Петляков вновь отказывается.</w:t>
      </w:r>
    </w:p>
    <w:p w14:paraId="598FAE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января 1942 г. утром, контролер летно-испытательной станции Есаков по просьбе механика Павлова осматривает и готовит к полету машину №14-11. Эту работу он имел право производить только с санкции начальника бюро технического контроля ЛИС. Подумав, что самолет перегоняется на гражданский аэродром в Казани, что рядом, как его информировал Павлов, Есаков практически его не осматривал. Верхняя часть мотора не проверялась, он не запускался и не опробовался в работе. После осмотра самолет стали загружать прилагавшимся к данной машине имуществом, что было также нарушением правил, так как во время загрузки возможны повреждения отдельных узлов и агрегатов. Пока шла подготовка документации, секретарь Петлякова, по его указанию, позвонила военпреду с просьбой задержать намеченный на 11 часов вылет двух самолетов. Ответ военпреда был отрицательный, на устранение дефектов потеряли два дня, "Москва рвет и мечет", экипажи вылетят по расписанию.</w:t>
      </w:r>
    </w:p>
    <w:p w14:paraId="7824C1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 часов. Прибывшие для предполетного осмотра экипажи не допускаются на летное поле, из-за халатности им не успевают оформить пропуска.</w:t>
      </w:r>
    </w:p>
    <w:p w14:paraId="352512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9 часов. Старший синоптик ЛИС Усманов получил сводку о погоде по маршруту Казань-Москва. В районе Казани и Москвы она была летной, однако в районе Арзамаса наблюдалась низкая, до 200 метров, облачность. По правилам, разрешение на вылет командир экипажа получал при наличии информационного бланка с </w:t>
      </w:r>
      <w:r w:rsidRPr="008127F8">
        <w:rPr>
          <w:color w:val="000000" w:themeColor="text1"/>
          <w:sz w:val="16"/>
          <w:szCs w:val="16"/>
        </w:rPr>
        <w:lastRenderedPageBreak/>
        <w:t>прогнозом и визой начальника ЛИС. В этот день к синоптику за информационным бланком никто из экипажа машины №14-11 не обращался.</w:t>
      </w:r>
    </w:p>
    <w:p w14:paraId="6A3F0B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 часов. Пропуска наконец-то выписаны, на аэродроме появляются экипажи, назначенные к вылету. К этому времени Петляков получает разрешение НКВД на выезд в Москву. Воентехник 2-го Дальнеразведывательного авиационного полка Н.М.Орехов приступил к осмотру самолета № 12-11, закончив его в 13 часов. Для осмотра Пе-2 №14-11 времени уже не осталось, так как зимний световой день короткий, а эти две машины не были приспособлены для ночных полетов. Об этом Овечкин знал и дал команду на вылет. Орехов побежал за формулярами и, когда вернулся, самолеты были готовы к взлету.</w:t>
      </w:r>
    </w:p>
    <w:p w14:paraId="0FB474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13 ч. 20 мин. У самолетов №12-11 и №14-11 находятся их экипажи, В.М.Петляков, его заместитель А.М.Изаксон, который летит на машине №12-11, начальник аэродромной группы военного представительства А.Х.Кабакчиев, полковник С.Шестаков, знаменитый своим перелетом в Америку на самолете "Страна Советов". Кабакчиев предлагает Петлякову остаться (в который раз!!), и лететь завтра с заводскими перегонщиками, но тот отказывается. Отказывается и от предложенного ему парашюта, мотивируя это </w:t>
      </w:r>
      <w:proofErr w:type="gramStart"/>
      <w:r w:rsidRPr="008127F8">
        <w:rPr>
          <w:color w:val="000000" w:themeColor="text1"/>
          <w:sz w:val="16"/>
          <w:szCs w:val="16"/>
        </w:rPr>
        <w:t>тем</w:t>
      </w:r>
      <w:proofErr w:type="gramEnd"/>
      <w:r w:rsidRPr="008127F8">
        <w:rPr>
          <w:color w:val="000000" w:themeColor="text1"/>
          <w:sz w:val="16"/>
          <w:szCs w:val="16"/>
        </w:rPr>
        <w:t xml:space="preserve"> что "на моей машине он мне не нужен". Таким образом, Петляков летел вместо воентехника Орехова, рядом со стрелком в задней кабине, без летного костюма и парашюта, которым он все равно вряд ли смог бы воспользоваться: полёт проходил на небольшой высоте, а выбраться из заваленной грузами кабины было почти невозможно.</w:t>
      </w:r>
    </w:p>
    <w:p w14:paraId="18F60C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ч. 40 мин. Самолеты взлетели.</w:t>
      </w:r>
    </w:p>
    <w:p w14:paraId="3253F0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Полет Пе-2 № 14-11 продолжался 35 минут. Сразу после </w:t>
      </w:r>
      <w:proofErr w:type="gramStart"/>
      <w:r w:rsidRPr="008127F8">
        <w:rPr>
          <w:color w:val="000000" w:themeColor="text1"/>
          <w:sz w:val="16"/>
          <w:szCs w:val="16"/>
        </w:rPr>
        <w:t>того</w:t>
      </w:r>
      <w:proofErr w:type="gramEnd"/>
      <w:r w:rsidRPr="008127F8">
        <w:rPr>
          <w:color w:val="000000" w:themeColor="text1"/>
          <w:sz w:val="16"/>
          <w:szCs w:val="16"/>
        </w:rPr>
        <w:t xml:space="preserve"> как самолеты пересекли железную дорогу, за машиной потянулся дымный шлейф, она стала снижаться, круто развернулась на 160-200°, словно ложась на обратный курс, и круто пошла к земле. Случайные очевидцы видели, что на высоте 50-100 метров она была охвачена пламенем и пикировала под углом 60 градусов с левым креном. В одном километре от д. Мамешево машина ударилась о землю. Взрыв бензобаков разметал обломки самолета на площади 150х150 м. При расследовании сотрудники госбезопасности особое внимание уделили техническому состоянию самолета. На месте катастрофы собрали все фрагменты и обломки, тщательно допросили всех, кто имел отношение к работе с Пе-2 №14-11. Подсказкой стало сообщение 2 февраля 1942 г. агента госбезопасности "Шахова", который информировал старшего лейтенанта ГБ Баскакова о том, что на аэродроме завода №22 в последние дни было несколько случаев разъединения всасывающих патрубков при гонке. Перемонтаж этих патрубков производился на готовом моторе в сборочном цехе при установке моторчика привода нагнетателя. Эта работа из-за недобросовестной установки стягивающих хомутов приводила к разъединению патрубков. Были случаи, когда на стягивающие хомуты забывали ставить гайки. Во время испытаний или в полете хомуты слетали, и патрубок, идущий от нагнетателя к заднему карбюратору, соскакивал. В результате этого в цилиндрах двигателя происходило неполное сгорание смеси и ее выброс в выхлопной коллектор с последующим возгоранием. Это предположение в дальнейшем подтвердилось мнением специалистов.</w:t>
      </w:r>
    </w:p>
    <w:p w14:paraId="592FD55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 еще один очень любопытный факт: после завершения расследования на заводе не последовало больших арестов! Ограничились административными мерами. Только начальник аэродромной группы военного представительства А.Х.Кабакчиев, вызванный после окончания расследования в Москву "на ковер", больше на заводе не появился и дальнейшая его судьба неизвестна (3453).</w:t>
      </w:r>
    </w:p>
    <w:p w14:paraId="1B17482A" w14:textId="77777777" w:rsidR="00D4651C" w:rsidRPr="008127F8" w:rsidRDefault="00D4651C" w:rsidP="001E0A84">
      <w:pPr>
        <w:pStyle w:val="Iauiue"/>
        <w:jc w:val="both"/>
        <w:rPr>
          <w:color w:val="000000" w:themeColor="text1"/>
          <w:sz w:val="16"/>
          <w:szCs w:val="16"/>
        </w:rPr>
      </w:pPr>
    </w:p>
    <w:p w14:paraId="67382E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года, 14 часов 15 минут. В трех километрах от станции Камкино Казанской железной дороги самолет ПЕ-2, заводской N 14-11, ведомый заместителем командира эскадрильи 2-го Дальнеразведыва-тельного авиационного полка старшим лейтенантом ФАОвечкиным, следовавшим в паре с самолетом N 12-11, пилотируемым лейтенантом Остапенко, отклонясь от маршрута, резко развернул влево на 160-200 градусов и с большим углом снижения пошел на вынужденную посадку. Случайные очевидцы видели, что на высоте 50-100 метров он был охвачен пламенем и пикировал под углом 60 градусов с левым креном. В одном километре от деревни Мамешево машина ударилась о землю. Взрыв бензобаков разметал обломки самолета на площади 150x50 метров. Экипаж и единственный пассажир -главный конструктор этого самолета Владимир Михайлович Петляков погибли.</w:t>
      </w:r>
    </w:p>
    <w:p w14:paraId="715DBE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Причиной катастрофы, как было указано, в акте комиссии под председательством командира авиаполка особого назначения полковника Мурзина, явился пожар на борту самолета на малой высоте. Как следует из этого документа, "очаг пожара на самолете 14-11 находился на внутренней поверхности правого крыла и правой части центроплана имеются следы пожара. Сильно обгорели обшивка правого элерона, поверхность водяного радиатора, шланги трубопроводов. Возможная причина - подтекание бензина в зоне правой мотогондолы". К моменту удара о землю самолет уже находился в неуправляемом состоянии. Обгоревшие трупы указывали на то, что люди горели в воздухе. Пуля от автомата, найденная в брюшной полости летчика, как впоследствии установит экспертиза, не имела следов нарезки от ствола оружия и могла "покинуть" гильзу в результате разрыва патрона из-за высокой температуры (11313).</w:t>
      </w:r>
    </w:p>
    <w:p w14:paraId="3462C71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C7D72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года. Утром этого дня контролер летно-испытательной станции Есаков по просьбе бортмеханика Павлова осматривал и готовил к полету машину N 14-11 (на котором разбился В.М.П.). Эту работу он имел право производить только с санкции начальника бюро технического контроля ЛИС. Подумав, что самолет перегоняется на гражданский аэродром в Казани, как его информировал Павлов, Есаков практически ее не осматривал. Верхняя часть мотора не проверялась, он не запускался и не опробывался в работе. После осмотра самолет стали загружать, что было также нарушением правил, так как во время загрузки возможны повреждения отдельных узлов и агрегатов.</w:t>
      </w:r>
    </w:p>
    <w:p w14:paraId="039BF0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часов утра. Старший синоптик ЛИС Усманов получил сводку о погоде по маршруту Казань-Москва. В районе Казани и Москвы она была летной, однако в районе Арзамаса наблюдалась низкая, до 200 мет-</w:t>
      </w:r>
      <w:proofErr w:type="gramStart"/>
      <w:r w:rsidRPr="008127F8">
        <w:rPr>
          <w:rFonts w:ascii="Times New Roman" w:hAnsi="Times New Roman"/>
          <w:color w:val="000000" w:themeColor="text1"/>
          <w:sz w:val="16"/>
          <w:szCs w:val="16"/>
        </w:rPr>
        <w:t>ров.облачность</w:t>
      </w:r>
      <w:proofErr w:type="gramEnd"/>
      <w:r w:rsidRPr="008127F8">
        <w:rPr>
          <w:rFonts w:ascii="Times New Roman" w:hAnsi="Times New Roman"/>
          <w:color w:val="000000" w:themeColor="text1"/>
          <w:sz w:val="16"/>
          <w:szCs w:val="16"/>
        </w:rPr>
        <w:t>. По правилам разрешение на вылет командир экипажа получал при наличии информационного бланка с прогнозом, с визой начальника ЛИС. В этот день к синоптику за информационным бланком никто из экипажа машины N 14-11 не обращался.</w:t>
      </w:r>
    </w:p>
    <w:p w14:paraId="106379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часов утра. На аэродроме появляются экипажи, назначенные к вылету. Старший воентехник 2-го Дальнеразведывательного авиационного полка Н.М.Орехов сразу приступил к осмотру самолета N 12-11, закончив его в 13 часов. Для осмотра самолета N 14-11 времени уже не осталось, так как Овечкин дал команду к вылету. Орехов побежал за формулярами на самолеты, когда он вернулся, машины были готовы к взлету.</w:t>
      </w:r>
    </w:p>
    <w:p w14:paraId="532DF0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часов 20 минут. У самолетов N 12-11 и N 14-11 находятся их экипажи, Петляков, его заместитель Изак-сон, который должен лететь на машине N 12-11, начальник аэродромной группы военного представительства А.Х.Кабакчиев, полковник </w:t>
      </w:r>
      <w:proofErr w:type="gramStart"/>
      <w:r w:rsidRPr="008127F8">
        <w:rPr>
          <w:rFonts w:ascii="Times New Roman" w:hAnsi="Times New Roman"/>
          <w:color w:val="000000" w:themeColor="text1"/>
          <w:sz w:val="16"/>
          <w:szCs w:val="16"/>
        </w:rPr>
        <w:t>Шес-таков</w:t>
      </w:r>
      <w:proofErr w:type="gramEnd"/>
      <w:r w:rsidRPr="008127F8">
        <w:rPr>
          <w:rFonts w:ascii="Times New Roman" w:hAnsi="Times New Roman"/>
          <w:color w:val="000000" w:themeColor="text1"/>
          <w:sz w:val="16"/>
          <w:szCs w:val="16"/>
        </w:rPr>
        <w:t>. Петляков справился у экипажей о погоде. Они ответили, что в районе Арзамаса из-за низкой облачности придется идти на бреющем полете, ориентируясь по линии железной дороги. Летчики пожаловались, что их долго задерживают и просили ускорить вылет.</w:t>
      </w:r>
    </w:p>
    <w:p w14:paraId="247E76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предложение Кабакчиева Петлякову лететь на следующий день заводскими перегоночными группами в качестве третьего члена экипажа он отказался. В ироничной форме он отказался и от парашюта, заявив, что на его машине он ему не нужен. Таким образом, Петляков летел вместо воентехника Орехова в задней кабине без летного костюма и парашюта, которыми он вряд ли смог бы воспользоваться: пожар случился на небольшой высоте, к тому же задняя кабина была завалена (грузами). В 13 часов 40 минут самолеты взлетели.</w:t>
      </w:r>
    </w:p>
    <w:p w14:paraId="22895E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расследовании причин катастрофы участвовали сотрудники государственной безопасности. Были допрошены многие из тех, кто имел отношение к самолету N 14-11 и к его вылету, получены заключения медицинских экспертов и технических специалистов. Выдвинутая вначале версия о том, что причиной загорания стали неисправности в электрооборудовании не </w:t>
      </w:r>
      <w:proofErr w:type="gramStart"/>
      <w:r w:rsidRPr="008127F8">
        <w:rPr>
          <w:rFonts w:ascii="Times New Roman" w:hAnsi="Times New Roman"/>
          <w:color w:val="000000" w:themeColor="text1"/>
          <w:sz w:val="16"/>
          <w:szCs w:val="16"/>
        </w:rPr>
        <w:t>получила ,</w:t>
      </w:r>
      <w:proofErr w:type="gramEnd"/>
      <w:r w:rsidRPr="008127F8">
        <w:rPr>
          <w:rFonts w:ascii="Times New Roman" w:hAnsi="Times New Roman"/>
          <w:color w:val="000000" w:themeColor="text1"/>
          <w:sz w:val="16"/>
          <w:szCs w:val="16"/>
        </w:rPr>
        <w:t xml:space="preserve"> как уже отмечалось, подтверждения (11313).</w:t>
      </w:r>
    </w:p>
    <w:p w14:paraId="0AFCB01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AFB7783"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года П.О. Сухому якобы после гибели В.М. Петлякова была предложена должность главного конструктора самолета Пе-2 (завод № 22).</w:t>
      </w:r>
    </w:p>
    <w:p w14:paraId="3C248F51"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статье «Павел О с и п о в и ч С у х о </w:t>
      </w:r>
      <w:proofErr w:type="gramStart"/>
      <w:r w:rsidRPr="008127F8">
        <w:rPr>
          <w:rFonts w:ascii="Times New Roman" w:hAnsi="Times New Roman"/>
          <w:color w:val="000000" w:themeColor="text1"/>
          <w:sz w:val="16"/>
          <w:szCs w:val="16"/>
        </w:rPr>
        <w:t>й »</w:t>
      </w:r>
      <w:proofErr w:type="gramEnd"/>
      <w:r w:rsidRPr="008127F8">
        <w:rPr>
          <w:rFonts w:ascii="Times New Roman" w:hAnsi="Times New Roman"/>
          <w:color w:val="000000" w:themeColor="text1"/>
          <w:sz w:val="16"/>
          <w:szCs w:val="16"/>
        </w:rPr>
        <w:t xml:space="preserve"> ( Ж у р н а л « Те х н и к а Воздушного Флота» № 2, 1999 г.) авторы излагают следующую версию: «… Зимой 1942 г. трагически погиб главный к о н с т р у к т о р В . </w:t>
      </w:r>
      <w:proofErr w:type="gramStart"/>
      <w:r w:rsidRPr="008127F8">
        <w:rPr>
          <w:rFonts w:ascii="Times New Roman" w:hAnsi="Times New Roman"/>
          <w:color w:val="000000" w:themeColor="text1"/>
          <w:sz w:val="16"/>
          <w:szCs w:val="16"/>
        </w:rPr>
        <w:t>М .</w:t>
      </w:r>
      <w:proofErr w:type="gramEnd"/>
      <w:r w:rsidRPr="008127F8">
        <w:rPr>
          <w:rFonts w:ascii="Times New Roman" w:hAnsi="Times New Roman"/>
          <w:color w:val="000000" w:themeColor="text1"/>
          <w:sz w:val="16"/>
          <w:szCs w:val="16"/>
        </w:rPr>
        <w:t xml:space="preserve"> Петляков, возглавлявший серийное производство самолетов Пе-2 в Казани. Узнав, вероятно, что у Сухого нет собственной производственной базы, Сталин вызывает его из Перми в Кремль и предлагает возглавить с е р и й н ы й в ы п у с к самолетов Пе-2. В Перми у Сухого заканчивались работы над одноместным и двухместным вариантами нового бронированного штурмовика Су-6, значительно превосходившего по своим боевым характеристикам самолеты Ил-2 и Су-2. К тому же на нем лежала ответственность за сотрудников КБ, работающих в трудных условиях эвакуации. И Павел Осипович просит у Сталина дать ему время до утра обдумать свое решение. Утром он узнал, что на эту работу уже назначен другой главный конструктор – В.М. Мясищев. …»</w:t>
      </w:r>
    </w:p>
    <w:p w14:paraId="619AEF24"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вот версия Л. Анцелиовича («Сухой против Америки»): «…Об этой трагедии своего бывшего начальника Павел Сухой не думал, когда 26 июня 1943 года ехал в Кремль по вызову самого. Война в самом разгаре, почти тысяча его Су-2 честно сражаются, многие уже погибли, нанеся врагу большой урон. Теперь у него есть значительно лучший опытный самолет. В кабинете кроме вождя были Маленков и нарком Хруничев. Сталин внимательно посмотрел на вошедшего сорокасемилетнего беспартийного белоруса, конструктора знаменитых самолетов «Рекордная дальность», «Родина» и Су-2. Пригласил сесть к столу заседаний и сразу ошарашил: «Мы хотим назначить вас главным конструктором Казанского авиазавода вместо Путилова. Вы согласны?» Молнией ослепил каскад мыслей: переезжать в Казань и заниматься незначительными модификациями Пе-2, бросить своих конструкторов, свои штурмовики и проекты истребителей, раз здесь нарком – вопрос с ним согласован. – Товарищ Сталин, разрешите подумать хотя бы три дня. – Хорошо, думайте. Когда дверь за Сухим закрылась, хозяин кабинета язвительно заметил, обращаясь к Хруничеву: «Он, видите ли, подумать хочет!» После бессонной ночи обсуждений с женой Соней решили отказаться. С этим и поехал утром на свой завод в Тушино. А через час – звонок куратора Первого главка наркомата: «Главным конструктором Казанского завода назначен Мясищев». От сердца отлегло, но все последующие годы Павел Осипович будет чувствовать гнев вождя за это «разрешите подумать», вплоть до ликвидации его конструкторского бюро в 1949 году…»</w:t>
      </w:r>
    </w:p>
    <w:p w14:paraId="0FD51451"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мемуарах А.С. Яковлева «Воспоминания о людях и событиях» эта версия излагается в следующей интерпретации: «… В начале 1942 года при пожаре в полете на Пе-2 погиб конструктор этого самолета В.М. Петляков. Мы предложили назначить на его место другого конструктора – П.О. Сухого. Его вызвали к Сталину, но он отказался от назначения, не желая выезжать из Москвы на восток. Сталин остался крайне недоволен. – Ну что ж, не хочет, уговаривать не будем, – сказал он. Но запомнил это. До самой смерти Сталина конструктор этот не пользовался его расположением. Мы предложили кандидатуру В.М. Мясищева. Тогда Сталин спросил: </w:t>
      </w:r>
      <w:r w:rsidRPr="008127F8">
        <w:rPr>
          <w:rFonts w:ascii="Times New Roman" w:hAnsi="Times New Roman"/>
          <w:color w:val="000000" w:themeColor="text1"/>
          <w:sz w:val="16"/>
          <w:szCs w:val="16"/>
        </w:rPr>
        <w:lastRenderedPageBreak/>
        <w:t>– А как примут его конструкторы, коллектив? Признают ли? – Признают, товарищ Сталин, потому что Мясищев из того же туполевского коллектива, как и Петляков. Тут же вызвали Мясищева, который сразу согласился, поблагодарив за доверие. …»</w:t>
      </w:r>
    </w:p>
    <w:p w14:paraId="7C7931E7"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 наконец, С. Мороз в статье «Пешка, прошедшая ад» (Журнал «Наука и техника» №6, 2019 г.), выдвигает следующую версию: «… После гибели Петлякова главным конструктором ОКБ-22 и самолета Пе-2 остался его заместитель И.А. Изаксон. Но этому специалисту по аэродинамике автожиров и вертолетов, попавшему в ЦКБ-29, а затем в ОКБ-22, по сути, случайно, главные на то время проблемы качества серийной продукции оказались явно не по плечу. Руководство ОКБ-22 было предложено </w:t>
      </w:r>
      <w:proofErr w:type="gramStart"/>
      <w:r w:rsidRPr="008127F8">
        <w:rPr>
          <w:rFonts w:ascii="Times New Roman" w:hAnsi="Times New Roman"/>
          <w:color w:val="000000" w:themeColor="text1"/>
          <w:sz w:val="16"/>
          <w:szCs w:val="16"/>
        </w:rPr>
        <w:t>Сухому ,</w:t>
      </w:r>
      <w:proofErr w:type="gramEnd"/>
      <w:r w:rsidRPr="008127F8">
        <w:rPr>
          <w:rFonts w:ascii="Times New Roman" w:hAnsi="Times New Roman"/>
          <w:color w:val="000000" w:themeColor="text1"/>
          <w:sz w:val="16"/>
          <w:szCs w:val="16"/>
        </w:rPr>
        <w:t xml:space="preserve"> чей самолет Су-2 снимался с серийного производства, но тот не спешил оставлять свое ОКБ-51 и новые проекты, главным из них был штурмовик Су-6. Не дождавшись ответа, 1 мая 1942 года Шахурин назначает на должность главного конструктора Пе-2 А.И. Путилова.</w:t>
      </w:r>
    </w:p>
    <w:p w14:paraId="507C59E3" w14:textId="77777777" w:rsidR="00DC2ECA" w:rsidRPr="008127F8" w:rsidRDefault="00DC2E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и Петляков, он был учеником Туполева, работал с ним с 1920-х годов, а затем возглавил собственное конструкторское бюро и успел получить богатый практический опыт. Самолет Пе-2 он прекрасно знал, посколько волею госбезопасности с 1938 года оказался в группе Петлякова в ЦКБ-29, а на свободе продолжал работать над ВИ-100 и Пе-2 все время, правда, в основном по серии, и занимаясь перспективными модификациями. Теперь же ему предстояла не творческая работа, а рутина устранения дефектов и борьбы за качество серийных Пе-2 – именно этот вопрос требовал главного внимания. Конструктор Путилов отдал ему целый год и как мог пытался «закрывать» все самые злободневные вопросы производства, но не оставлял мыслей о будущем машины и среди прочего настаивал на создании тяжелого высотного истребителя и многоцелевого самолета на базе серийного Пе-2 со специальными моторами и герметической кабиной. С одной стороны, и командование ВВС, и Наркомат авиапромышленности в нем заинтересованность выражали, но с другой – настаивали на том, чтобы все работы по Пе-2ВИ велись по остаточному принципу. Их предстояло финансировать за счет средств ОКБ-22, сэкономленных при условии выполнения всех основных заданий, и прежде всего возвращения скорости Пе-2 к показателям головной машины выпуска 1940 года. А это при сохранении нового усиленного оборонительного вооружения было архисложно. Путилов с этим никак не мог с правиться и с Пе-2ВИ все время опаздывал. Руководство НКАП считало его простой модификацией серийного самолета, а конструктор настаивал на более глубокой и дорогостоящей проработке высотных самолетов, что вызывало непрерывные споры с начальством. Такое положение не могло не привести к конфликту, и, хотя именно при Путилове качество производства и скорость Пе-2 стали улучшаться, он был уволен и отправлен на преподавательскую работу в Военно-воздушную академию ВВС им. Жуковского. Новым главным конструктором Пе-2 и ответственным руководителем ОКБ-22 стал В.М. Мясищев – еще один ученик Туполева, успевший поработать с Петляковым в ЦКБ-29, но совсем немного – когда еще делали высотную «сотку». …» (19769).</w:t>
      </w:r>
    </w:p>
    <w:p w14:paraId="4D9133C1" w14:textId="77777777" w:rsidR="00DC2ECA" w:rsidRPr="008127F8" w:rsidRDefault="00DC2ECA" w:rsidP="001E0A84">
      <w:pPr>
        <w:spacing w:after="0" w:line="240" w:lineRule="auto"/>
        <w:jc w:val="both"/>
        <w:rPr>
          <w:rFonts w:ascii="Times New Roman" w:hAnsi="Times New Roman"/>
          <w:color w:val="000000" w:themeColor="text1"/>
          <w:sz w:val="16"/>
          <w:szCs w:val="16"/>
        </w:rPr>
      </w:pPr>
    </w:p>
    <w:p w14:paraId="21B59E11"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12-15 января 1942:</w:t>
      </w:r>
    </w:p>
    <w:p w14:paraId="4F7DC725"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Выписка из стенограммы выступления на VI плену</w:t>
      </w:r>
      <w:r w:rsidRPr="008A2E5A">
        <w:rPr>
          <w:rFonts w:ascii="Times New Roman" w:hAnsi="Times New Roman"/>
          <w:color w:val="0070C0"/>
          <w:sz w:val="16"/>
          <w:szCs w:val="16"/>
        </w:rPr>
        <w:softHyphen/>
        <w:t xml:space="preserve">ме Новосибирского обкома </w:t>
      </w:r>
      <w:proofErr w:type="gramStart"/>
      <w:r w:rsidRPr="008A2E5A">
        <w:rPr>
          <w:rFonts w:ascii="Times New Roman" w:hAnsi="Times New Roman"/>
          <w:color w:val="0070C0"/>
          <w:sz w:val="16"/>
          <w:szCs w:val="16"/>
        </w:rPr>
        <w:t>ВКП( б</w:t>
      </w:r>
      <w:proofErr w:type="gramEnd"/>
      <w:r w:rsidRPr="008A2E5A">
        <w:rPr>
          <w:rFonts w:ascii="Times New Roman" w:hAnsi="Times New Roman"/>
          <w:color w:val="0070C0"/>
          <w:sz w:val="16"/>
          <w:szCs w:val="16"/>
        </w:rPr>
        <w:t>) 12-15 января 1942 г. заместителя наркома авиапромышленности СССР А. С. Яковлева. ГАНО ф.П-4 оп. 33 д. 506 л. 93-96</w:t>
      </w:r>
    </w:p>
    <w:p w14:paraId="274DAF88"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Значение авиации в современной войне с немцами ис</w:t>
      </w:r>
      <w:r w:rsidRPr="008A2E5A">
        <w:rPr>
          <w:rFonts w:ascii="Times New Roman" w:hAnsi="Times New Roman"/>
          <w:color w:val="0070C0"/>
          <w:sz w:val="16"/>
          <w:szCs w:val="16"/>
        </w:rPr>
        <w:softHyphen/>
        <w:t>ключительно велико. Если нельзя сказать, что роль ави</w:t>
      </w:r>
      <w:r w:rsidRPr="008A2E5A">
        <w:rPr>
          <w:rFonts w:ascii="Times New Roman" w:hAnsi="Times New Roman"/>
          <w:color w:val="0070C0"/>
          <w:sz w:val="16"/>
          <w:szCs w:val="16"/>
        </w:rPr>
        <w:softHyphen/>
        <w:t>ации является решающей, то во всяком случае авиация является одним из решающих, одним из основных фак</w:t>
      </w:r>
      <w:r w:rsidRPr="008A2E5A">
        <w:rPr>
          <w:rFonts w:ascii="Times New Roman" w:hAnsi="Times New Roman"/>
          <w:color w:val="0070C0"/>
          <w:sz w:val="16"/>
          <w:szCs w:val="16"/>
        </w:rPr>
        <w:softHyphen/>
        <w:t>торов, обеспечивающих победу. Отсюда ясно, что наша авиационная промышленность пользуется исключитель</w:t>
      </w:r>
      <w:r w:rsidRPr="008A2E5A">
        <w:rPr>
          <w:rFonts w:ascii="Times New Roman" w:hAnsi="Times New Roman"/>
          <w:color w:val="0070C0"/>
          <w:sz w:val="16"/>
          <w:szCs w:val="16"/>
        </w:rPr>
        <w:softHyphen/>
        <w:t>ным вниманием, исключительной любовью со стороны всего нашего народа, со стороны Центрального Комите</w:t>
      </w:r>
      <w:r w:rsidRPr="008A2E5A">
        <w:rPr>
          <w:rFonts w:ascii="Times New Roman" w:hAnsi="Times New Roman"/>
          <w:color w:val="0070C0"/>
          <w:sz w:val="16"/>
          <w:szCs w:val="16"/>
        </w:rPr>
        <w:softHyphen/>
        <w:t>та партии, со стороны правительства.</w:t>
      </w:r>
    </w:p>
    <w:p w14:paraId="6A53CD1E"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Новосибирск является одним из центров, куда эва</w:t>
      </w:r>
      <w:r w:rsidRPr="008A2E5A">
        <w:rPr>
          <w:rFonts w:ascii="Times New Roman" w:hAnsi="Times New Roman"/>
          <w:color w:val="0070C0"/>
          <w:sz w:val="16"/>
          <w:szCs w:val="16"/>
        </w:rPr>
        <w:softHyphen/>
        <w:t>куирован и где создается ряд довольно крупных авиа</w:t>
      </w:r>
      <w:r w:rsidRPr="008A2E5A">
        <w:rPr>
          <w:rFonts w:ascii="Times New Roman" w:hAnsi="Times New Roman"/>
          <w:color w:val="0070C0"/>
          <w:sz w:val="16"/>
          <w:szCs w:val="16"/>
        </w:rPr>
        <w:softHyphen/>
        <w:t>ционных предприятий, и я должен сказать, что Новоси</w:t>
      </w:r>
      <w:r w:rsidRPr="008A2E5A">
        <w:rPr>
          <w:rFonts w:ascii="Times New Roman" w:hAnsi="Times New Roman"/>
          <w:color w:val="0070C0"/>
          <w:sz w:val="16"/>
          <w:szCs w:val="16"/>
        </w:rPr>
        <w:softHyphen/>
        <w:t>бирская партийная организация, в первую очередь Но</w:t>
      </w:r>
      <w:r w:rsidRPr="008A2E5A">
        <w:rPr>
          <w:rFonts w:ascii="Times New Roman" w:hAnsi="Times New Roman"/>
          <w:color w:val="0070C0"/>
          <w:sz w:val="16"/>
          <w:szCs w:val="16"/>
        </w:rPr>
        <w:softHyphen/>
        <w:t>восибирский обком партии, проявляют исключительное внимание ко всем нуждам наших предприятий, как эва</w:t>
      </w:r>
      <w:r w:rsidRPr="008A2E5A">
        <w:rPr>
          <w:rFonts w:ascii="Times New Roman" w:hAnsi="Times New Roman"/>
          <w:color w:val="0070C0"/>
          <w:sz w:val="16"/>
          <w:szCs w:val="16"/>
        </w:rPr>
        <w:softHyphen/>
        <w:t>куированных, так и тех, которые здесь работали рань</w:t>
      </w:r>
      <w:r w:rsidRPr="008A2E5A">
        <w:rPr>
          <w:rFonts w:ascii="Times New Roman" w:hAnsi="Times New Roman"/>
          <w:color w:val="0070C0"/>
          <w:sz w:val="16"/>
          <w:szCs w:val="16"/>
        </w:rPr>
        <w:softHyphen/>
        <w:t>ше. Новосибирск становится крупным центром авиа</w:t>
      </w:r>
      <w:r w:rsidRPr="008A2E5A">
        <w:rPr>
          <w:rFonts w:ascii="Times New Roman" w:hAnsi="Times New Roman"/>
          <w:color w:val="0070C0"/>
          <w:sz w:val="16"/>
          <w:szCs w:val="16"/>
        </w:rPr>
        <w:softHyphen/>
        <w:t>ционной промышленности на Востоке. В Новосибирс</w:t>
      </w:r>
      <w:r w:rsidRPr="008A2E5A">
        <w:rPr>
          <w:rFonts w:ascii="Times New Roman" w:hAnsi="Times New Roman"/>
          <w:color w:val="0070C0"/>
          <w:sz w:val="16"/>
          <w:szCs w:val="16"/>
        </w:rPr>
        <w:softHyphen/>
        <w:t>ке организуется серийное производство моторов, уже организовано серийное производство и выпускаются самолеты, авиационные приборы, авиационное воору</w:t>
      </w:r>
      <w:r w:rsidRPr="008A2E5A">
        <w:rPr>
          <w:rFonts w:ascii="Times New Roman" w:hAnsi="Times New Roman"/>
          <w:color w:val="0070C0"/>
          <w:sz w:val="16"/>
          <w:szCs w:val="16"/>
        </w:rPr>
        <w:softHyphen/>
        <w:t>жение.</w:t>
      </w:r>
    </w:p>
    <w:p w14:paraId="2BF0FA80"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Новосибирске имеются два авиационных учебных за</w:t>
      </w:r>
      <w:r w:rsidRPr="008A2E5A">
        <w:rPr>
          <w:rFonts w:ascii="Times New Roman" w:hAnsi="Times New Roman"/>
          <w:color w:val="0070C0"/>
          <w:sz w:val="16"/>
          <w:szCs w:val="16"/>
        </w:rPr>
        <w:softHyphen/>
        <w:t>ведения - высшее и среднее. В Новосибирске имеется филиал летно-испытательного института, филиал аэроди</w:t>
      </w:r>
      <w:r w:rsidRPr="008A2E5A">
        <w:rPr>
          <w:rFonts w:ascii="Times New Roman" w:hAnsi="Times New Roman"/>
          <w:color w:val="0070C0"/>
          <w:sz w:val="16"/>
          <w:szCs w:val="16"/>
        </w:rPr>
        <w:softHyphen/>
        <w:t>намического института и целый ряд других предприятий.</w:t>
      </w:r>
    </w:p>
    <w:p w14:paraId="56C6CAFA"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улучшения руководства этими авиационными предприятиями, число которых превышает сейчас два десятка по всей Новосибирской области, здесь создает</w:t>
      </w:r>
      <w:r w:rsidRPr="008A2E5A">
        <w:rPr>
          <w:rFonts w:ascii="Times New Roman" w:hAnsi="Times New Roman"/>
          <w:color w:val="0070C0"/>
          <w:sz w:val="16"/>
          <w:szCs w:val="16"/>
        </w:rPr>
        <w:softHyphen/>
        <w:t>ся представительство наркомата, которое будет на ме</w:t>
      </w:r>
      <w:r w:rsidRPr="008A2E5A">
        <w:rPr>
          <w:rFonts w:ascii="Times New Roman" w:hAnsi="Times New Roman"/>
          <w:color w:val="0070C0"/>
          <w:sz w:val="16"/>
          <w:szCs w:val="16"/>
        </w:rPr>
        <w:softHyphen/>
        <w:t>сте руководить всеми этими предприятиями.</w:t>
      </w:r>
    </w:p>
    <w:p w14:paraId="2365C7C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здесь создается крупная, мощная база снабжения авиационных заводов для того, чтобы дей</w:t>
      </w:r>
      <w:r w:rsidRPr="008A2E5A">
        <w:rPr>
          <w:rFonts w:ascii="Times New Roman" w:hAnsi="Times New Roman"/>
          <w:color w:val="0070C0"/>
          <w:sz w:val="16"/>
          <w:szCs w:val="16"/>
        </w:rPr>
        <w:softHyphen/>
        <w:t>ствующие здесь авиационные предприятия не зависели от того пространства, которое отделяет их от основной снабженческой авиационной базы.</w:t>
      </w:r>
    </w:p>
    <w:p w14:paraId="12AE6A99"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Впервые здесь, в Новосибирске, организуется произ</w:t>
      </w:r>
      <w:r w:rsidRPr="008A2E5A">
        <w:rPr>
          <w:rFonts w:ascii="Times New Roman" w:hAnsi="Times New Roman"/>
          <w:color w:val="0070C0"/>
          <w:sz w:val="16"/>
          <w:szCs w:val="16"/>
        </w:rPr>
        <w:softHyphen/>
        <w:t>водство не только серийных объектов авиационной техни</w:t>
      </w:r>
      <w:r w:rsidRPr="008A2E5A">
        <w:rPr>
          <w:rFonts w:ascii="Times New Roman" w:hAnsi="Times New Roman"/>
          <w:color w:val="0070C0"/>
          <w:sz w:val="16"/>
          <w:szCs w:val="16"/>
        </w:rPr>
        <w:softHyphen/>
        <w:t>ки, но здесь также организуется производство новых опыт</w:t>
      </w:r>
      <w:r w:rsidRPr="008A2E5A">
        <w:rPr>
          <w:rFonts w:ascii="Times New Roman" w:hAnsi="Times New Roman"/>
          <w:color w:val="0070C0"/>
          <w:sz w:val="16"/>
          <w:szCs w:val="16"/>
        </w:rPr>
        <w:softHyphen/>
        <w:t>ных самолетов. Это делается впервые, так как до сих пор создание новых самолетов было привилегией предприя</w:t>
      </w:r>
      <w:r w:rsidRPr="008A2E5A">
        <w:rPr>
          <w:rFonts w:ascii="Times New Roman" w:hAnsi="Times New Roman"/>
          <w:color w:val="0070C0"/>
          <w:sz w:val="16"/>
          <w:szCs w:val="16"/>
        </w:rPr>
        <w:softHyphen/>
        <w:t>тий, расположенных в районе Москвы. Эти предприятия не только организуются, но в течение ближайшего месяца уже выпустят новые самолеты, вооруженные мощным противо</w:t>
      </w:r>
      <w:r w:rsidRPr="008A2E5A">
        <w:rPr>
          <w:rFonts w:ascii="Times New Roman" w:hAnsi="Times New Roman"/>
          <w:color w:val="0070C0"/>
          <w:sz w:val="16"/>
          <w:szCs w:val="16"/>
        </w:rPr>
        <w:softHyphen/>
        <w:t>танковым стрелково-пушечным вооружением.</w:t>
      </w:r>
    </w:p>
    <w:p w14:paraId="483C3DB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крупным, самым старым предприятием в Но</w:t>
      </w:r>
      <w:r w:rsidRPr="008A2E5A">
        <w:rPr>
          <w:rFonts w:ascii="Times New Roman" w:hAnsi="Times New Roman"/>
          <w:color w:val="0070C0"/>
          <w:sz w:val="16"/>
          <w:szCs w:val="16"/>
        </w:rPr>
        <w:softHyphen/>
        <w:t>восибирске является 153-й завод, который существует свыше пяти лет. В прошлом г., примерно в это же время, завод №153 получил задание на боевой самолет. Нужно сказать, что завод в 1941 г. работал скверно, в течение целого г., вплоть до самого последнего времени, систе</w:t>
      </w:r>
      <w:r w:rsidRPr="008A2E5A">
        <w:rPr>
          <w:rFonts w:ascii="Times New Roman" w:hAnsi="Times New Roman"/>
          <w:color w:val="0070C0"/>
          <w:sz w:val="16"/>
          <w:szCs w:val="16"/>
        </w:rPr>
        <w:softHyphen/>
        <w:t>матически не выполнял плана.</w:t>
      </w:r>
    </w:p>
    <w:p w14:paraId="4A191A15"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хочу несколько подробней остановиться на рабо</w:t>
      </w:r>
      <w:r w:rsidRPr="008A2E5A">
        <w:rPr>
          <w:rFonts w:ascii="Times New Roman" w:hAnsi="Times New Roman"/>
          <w:color w:val="0070C0"/>
          <w:sz w:val="16"/>
          <w:szCs w:val="16"/>
        </w:rPr>
        <w:softHyphen/>
        <w:t>те этого завода потому, что в его работе, очевидно, есть много слабых мест, общих с другими предприятиями, в частности 179-м комбинатом, на работе которых вчера останавливался Кулагин.</w:t>
      </w:r>
    </w:p>
    <w:p w14:paraId="400A67BA"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плохой работы завода 153 являет</w:t>
      </w:r>
      <w:r w:rsidRPr="008A2E5A">
        <w:rPr>
          <w:rFonts w:ascii="Times New Roman" w:hAnsi="Times New Roman"/>
          <w:color w:val="0070C0"/>
          <w:sz w:val="16"/>
          <w:szCs w:val="16"/>
        </w:rPr>
        <w:softHyphen/>
        <w:t>ся слабое техническое руководство. В течение г. целый ряд технических руководителей, как технический дирек</w:t>
      </w:r>
      <w:r w:rsidRPr="008A2E5A">
        <w:rPr>
          <w:rFonts w:ascii="Times New Roman" w:hAnsi="Times New Roman"/>
          <w:color w:val="0070C0"/>
          <w:sz w:val="16"/>
          <w:szCs w:val="16"/>
        </w:rPr>
        <w:softHyphen/>
        <w:t>тор, главный инженер завода, начальник производства и целый ряд руководителей решающих участков, сменя</w:t>
      </w:r>
      <w:r w:rsidRPr="008A2E5A">
        <w:rPr>
          <w:rFonts w:ascii="Times New Roman" w:hAnsi="Times New Roman"/>
          <w:color w:val="0070C0"/>
          <w:sz w:val="16"/>
          <w:szCs w:val="16"/>
        </w:rPr>
        <w:softHyphen/>
        <w:t>лись один за другим по три-четыре-пять раз. Поэтому на заводе не было настоящей технической политики, кото</w:t>
      </w:r>
      <w:r w:rsidRPr="008A2E5A">
        <w:rPr>
          <w:rFonts w:ascii="Times New Roman" w:hAnsi="Times New Roman"/>
          <w:color w:val="0070C0"/>
          <w:sz w:val="16"/>
          <w:szCs w:val="16"/>
        </w:rPr>
        <w:softHyphen/>
        <w:t>рая нужна при ведении такого сложного объекта, как бо</w:t>
      </w:r>
      <w:r w:rsidRPr="008A2E5A">
        <w:rPr>
          <w:rFonts w:ascii="Times New Roman" w:hAnsi="Times New Roman"/>
          <w:color w:val="0070C0"/>
          <w:sz w:val="16"/>
          <w:szCs w:val="16"/>
        </w:rPr>
        <w:softHyphen/>
        <w:t>евой самолет.</w:t>
      </w:r>
    </w:p>
    <w:p w14:paraId="6A3A2B13"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процветает непозволительная кустарщина, в то время как завод обязан выпускать, производить кон</w:t>
      </w:r>
      <w:r w:rsidRPr="008A2E5A">
        <w:rPr>
          <w:rFonts w:ascii="Times New Roman" w:hAnsi="Times New Roman"/>
          <w:color w:val="0070C0"/>
          <w:sz w:val="16"/>
          <w:szCs w:val="16"/>
        </w:rPr>
        <w:softHyphen/>
        <w:t>вейерный выпуск боевых, истребительных самолетов. На заводе процветало пренебрежительное отношение к производственной оснастке, к производственным приспособлениям, взаимозаменяемости. На заводе до последнего времени процветал кустарный труд. На за</w:t>
      </w:r>
      <w:r w:rsidRPr="008A2E5A">
        <w:rPr>
          <w:rFonts w:ascii="Times New Roman" w:hAnsi="Times New Roman"/>
          <w:color w:val="0070C0"/>
          <w:sz w:val="16"/>
          <w:szCs w:val="16"/>
        </w:rPr>
        <w:softHyphen/>
        <w:t>воде процветало исключительное бескультурье. В цехах грязь. Заводская территория захламлена до чрезвычай</w:t>
      </w:r>
      <w:r w:rsidRPr="008A2E5A">
        <w:rPr>
          <w:rFonts w:ascii="Times New Roman" w:hAnsi="Times New Roman"/>
          <w:color w:val="0070C0"/>
          <w:sz w:val="16"/>
          <w:szCs w:val="16"/>
        </w:rPr>
        <w:softHyphen/>
        <w:t>ности. Доходило до того, что в цехах лежало так много всевозможного хлама, что даже с точки зрения возник</w:t>
      </w:r>
      <w:r w:rsidRPr="008A2E5A">
        <w:rPr>
          <w:rFonts w:ascii="Times New Roman" w:hAnsi="Times New Roman"/>
          <w:color w:val="0070C0"/>
          <w:sz w:val="16"/>
          <w:szCs w:val="16"/>
        </w:rPr>
        <w:softHyphen/>
        <w:t>новения пожара представляло нетерпимое положение. На заводе чрезвычайно низкая производительность тру</w:t>
      </w:r>
      <w:r w:rsidRPr="008A2E5A">
        <w:rPr>
          <w:rFonts w:ascii="Times New Roman" w:hAnsi="Times New Roman"/>
          <w:color w:val="0070C0"/>
          <w:sz w:val="16"/>
          <w:szCs w:val="16"/>
        </w:rPr>
        <w:softHyphen/>
        <w:t>да. Так, например, на 1 ноября производительность тру</w:t>
      </w:r>
      <w:r w:rsidRPr="008A2E5A">
        <w:rPr>
          <w:rFonts w:ascii="Times New Roman" w:hAnsi="Times New Roman"/>
          <w:color w:val="0070C0"/>
          <w:sz w:val="16"/>
          <w:szCs w:val="16"/>
        </w:rPr>
        <w:softHyphen/>
        <w:t>да составляла около 55%. Это вещь небывалая для воен</w:t>
      </w:r>
      <w:r w:rsidRPr="008A2E5A">
        <w:rPr>
          <w:rFonts w:ascii="Times New Roman" w:hAnsi="Times New Roman"/>
          <w:color w:val="0070C0"/>
          <w:sz w:val="16"/>
          <w:szCs w:val="16"/>
        </w:rPr>
        <w:softHyphen/>
        <w:t>ного времени и тем более на авиационном заводе. Очень плохое использование оборудования - 25 -30%, тоже не</w:t>
      </w:r>
      <w:r w:rsidRPr="008A2E5A">
        <w:rPr>
          <w:rFonts w:ascii="Times New Roman" w:hAnsi="Times New Roman"/>
          <w:color w:val="0070C0"/>
          <w:sz w:val="16"/>
          <w:szCs w:val="16"/>
        </w:rPr>
        <w:softHyphen/>
        <w:t>терпимая вещь.</w:t>
      </w:r>
    </w:p>
    <w:p w14:paraId="5493764E"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недочеты, конечно, имеют свои корни. Одним из основных корней низкой производительности труда явля</w:t>
      </w:r>
      <w:r w:rsidRPr="008A2E5A">
        <w:rPr>
          <w:rFonts w:ascii="Times New Roman" w:hAnsi="Times New Roman"/>
          <w:color w:val="0070C0"/>
          <w:sz w:val="16"/>
          <w:szCs w:val="16"/>
        </w:rPr>
        <w:softHyphen/>
        <w:t>ются исключительно плохие социально-бытовые условия, которые объяснить даже трудно было, когда потребовали к ответу виновных в этом деле. Например, на заводе у ра</w:t>
      </w:r>
      <w:r w:rsidRPr="008A2E5A">
        <w:rPr>
          <w:rFonts w:ascii="Times New Roman" w:hAnsi="Times New Roman"/>
          <w:color w:val="0070C0"/>
          <w:sz w:val="16"/>
          <w:szCs w:val="16"/>
        </w:rPr>
        <w:softHyphen/>
        <w:t>бочих и инженеров обед в столовой в среднем от 2,5 до 3 часов. Если же учесть, что на заводе количество людей исчисляется не одним десятком тысяч человек, то оказы</w:t>
      </w:r>
      <w:r w:rsidRPr="008A2E5A">
        <w:rPr>
          <w:rFonts w:ascii="Times New Roman" w:hAnsi="Times New Roman"/>
          <w:color w:val="0070C0"/>
          <w:sz w:val="16"/>
          <w:szCs w:val="16"/>
        </w:rPr>
        <w:softHyphen/>
        <w:t xml:space="preserve">вается, что завод теряет только на одних обедах до 30 000 часов. Это кроме того времени, которое отпущено на обед по закону. 30 000 часов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примерно два самолета. В этом корни плохой производительности труда.</w:t>
      </w:r>
    </w:p>
    <w:p w14:paraId="382E7896"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исключительно низкая дисциплина и техно</w:t>
      </w:r>
      <w:r w:rsidRPr="008A2E5A">
        <w:rPr>
          <w:rFonts w:ascii="Times New Roman" w:hAnsi="Times New Roman"/>
          <w:color w:val="0070C0"/>
          <w:sz w:val="16"/>
          <w:szCs w:val="16"/>
        </w:rPr>
        <w:softHyphen/>
        <w:t>логическая, и производительная. На заводе развито вра</w:t>
      </w:r>
      <w:r w:rsidRPr="008A2E5A">
        <w:rPr>
          <w:rFonts w:ascii="Times New Roman" w:hAnsi="Times New Roman"/>
          <w:color w:val="0070C0"/>
          <w:sz w:val="16"/>
          <w:szCs w:val="16"/>
        </w:rPr>
        <w:softHyphen/>
        <w:t>нье. Человеку ничего не стоит соврать, не неся за это ни</w:t>
      </w:r>
      <w:r w:rsidRPr="008A2E5A">
        <w:rPr>
          <w:rFonts w:ascii="Times New Roman" w:hAnsi="Times New Roman"/>
          <w:color w:val="0070C0"/>
          <w:sz w:val="16"/>
          <w:szCs w:val="16"/>
        </w:rPr>
        <w:softHyphen/>
        <w:t>какой ответственности. Все звенья работы завода, на</w:t>
      </w:r>
      <w:r w:rsidRPr="008A2E5A">
        <w:rPr>
          <w:rFonts w:ascii="Times New Roman" w:hAnsi="Times New Roman"/>
          <w:color w:val="0070C0"/>
          <w:sz w:val="16"/>
          <w:szCs w:val="16"/>
        </w:rPr>
        <w:softHyphen/>
        <w:t>чиная от вышестоящих, кончая нижестоящими, врут, об</w:t>
      </w:r>
      <w:r w:rsidRPr="008A2E5A">
        <w:rPr>
          <w:rFonts w:ascii="Times New Roman" w:hAnsi="Times New Roman"/>
          <w:color w:val="0070C0"/>
          <w:sz w:val="16"/>
          <w:szCs w:val="16"/>
        </w:rPr>
        <w:softHyphen/>
        <w:t>манывают друг друга. Таким образом, невозможно было провести никаких определенных мероприятий, будучи уверенным в том, что тебя не обманывают.</w:t>
      </w:r>
    </w:p>
    <w:p w14:paraId="69D4DBB2"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Очень скверно обстояло дело с подбором кадров. На заводе отдел найма и увольнения занимался только ан</w:t>
      </w:r>
      <w:r w:rsidRPr="008A2E5A">
        <w:rPr>
          <w:rFonts w:ascii="Times New Roman" w:hAnsi="Times New Roman"/>
          <w:color w:val="0070C0"/>
          <w:sz w:val="16"/>
          <w:szCs w:val="16"/>
        </w:rPr>
        <w:softHyphen/>
        <w:t>кетированием. Вопросами подбора, изучения кадров, как работают люди на производстве, никто не занимался. Поэтому не мудрено было иметь такое явление, что на</w:t>
      </w:r>
      <w:r w:rsidRPr="008A2E5A">
        <w:rPr>
          <w:rFonts w:ascii="Times New Roman" w:hAnsi="Times New Roman"/>
          <w:color w:val="0070C0"/>
          <w:sz w:val="16"/>
          <w:szCs w:val="16"/>
        </w:rPr>
        <w:softHyphen/>
        <w:t>чальником цеха сборки самолетов был человек, кото</w:t>
      </w:r>
      <w:r w:rsidRPr="008A2E5A">
        <w:rPr>
          <w:rFonts w:ascii="Times New Roman" w:hAnsi="Times New Roman"/>
          <w:color w:val="0070C0"/>
          <w:sz w:val="16"/>
          <w:szCs w:val="16"/>
        </w:rPr>
        <w:softHyphen/>
        <w:t>рый никогда по-настоящему не видел самолета, не счи</w:t>
      </w:r>
      <w:r w:rsidRPr="008A2E5A">
        <w:rPr>
          <w:rFonts w:ascii="Times New Roman" w:hAnsi="Times New Roman"/>
          <w:color w:val="0070C0"/>
          <w:sz w:val="16"/>
          <w:szCs w:val="16"/>
        </w:rPr>
        <w:softHyphen/>
        <w:t>тая того, что он видел его на расстоянии 500 метров ле</w:t>
      </w:r>
      <w:r w:rsidRPr="008A2E5A">
        <w:rPr>
          <w:rFonts w:ascii="Times New Roman" w:hAnsi="Times New Roman"/>
          <w:color w:val="0070C0"/>
          <w:sz w:val="16"/>
          <w:szCs w:val="16"/>
        </w:rPr>
        <w:softHyphen/>
        <w:t>тящим. Человек, специальность которого была холодная штамповка, который не знал сборки, конечно, дело про</w:t>
      </w:r>
      <w:r w:rsidRPr="008A2E5A">
        <w:rPr>
          <w:rFonts w:ascii="Times New Roman" w:hAnsi="Times New Roman"/>
          <w:color w:val="0070C0"/>
          <w:sz w:val="16"/>
          <w:szCs w:val="16"/>
        </w:rPr>
        <w:softHyphen/>
        <w:t>валил, и, если бы он просидел еще два месяца, пришлось бы его посадить в тюрьму. А он, по существу, не виноват. Заведующим производством завода был человек явно слабый, имеющий экономическое образование.</w:t>
      </w:r>
    </w:p>
    <w:p w14:paraId="25FD2743"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Нельзя сказать, чтобы на заводе не было людей, пото</w:t>
      </w:r>
      <w:r w:rsidRPr="008A2E5A">
        <w:rPr>
          <w:rFonts w:ascii="Times New Roman" w:hAnsi="Times New Roman"/>
          <w:color w:val="0070C0"/>
          <w:sz w:val="16"/>
          <w:szCs w:val="16"/>
        </w:rPr>
        <w:softHyphen/>
        <w:t>му что на завод №153 приехало из числа эвакуированных предприятий громадное количество ИТР, руководящих работников. Просто людей не знают, не изучают. Поэтому получились такие дефекты в работе.</w:t>
      </w:r>
    </w:p>
    <w:p w14:paraId="7BD808E2"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Вот это основные недочеты. Очевидно, они являются общими с другими предприятиями, которые здесь ра</w:t>
      </w:r>
      <w:r w:rsidRPr="008A2E5A">
        <w:rPr>
          <w:rFonts w:ascii="Times New Roman" w:hAnsi="Times New Roman"/>
          <w:color w:val="0070C0"/>
          <w:sz w:val="16"/>
          <w:szCs w:val="16"/>
        </w:rPr>
        <w:softHyphen/>
        <w:t>ботают. Заводу №153 нужно оказать помощь. Помощь не весьма большую, но существенную. Если мы эту помощь получим, то, надеюсь, что мы отмеченные недочеты из</w:t>
      </w:r>
      <w:r w:rsidRPr="008A2E5A">
        <w:rPr>
          <w:rFonts w:ascii="Times New Roman" w:hAnsi="Times New Roman"/>
          <w:color w:val="0070C0"/>
          <w:sz w:val="16"/>
          <w:szCs w:val="16"/>
        </w:rPr>
        <w:softHyphen/>
        <w:t>живем. В частности, заводу нужна помощь с кислород</w:t>
      </w:r>
      <w:r w:rsidRPr="008A2E5A">
        <w:rPr>
          <w:rFonts w:ascii="Times New Roman" w:hAnsi="Times New Roman"/>
          <w:color w:val="0070C0"/>
          <w:sz w:val="16"/>
          <w:szCs w:val="16"/>
        </w:rPr>
        <w:softHyphen/>
        <w:t>ным заводом. Об этом неоднократно говорили в обко</w:t>
      </w:r>
      <w:r w:rsidRPr="008A2E5A">
        <w:rPr>
          <w:rFonts w:ascii="Times New Roman" w:hAnsi="Times New Roman"/>
          <w:color w:val="0070C0"/>
          <w:sz w:val="16"/>
          <w:szCs w:val="16"/>
        </w:rPr>
        <w:softHyphen/>
        <w:t>ме партии с Кулагиным, до сих пор вопрос не решен. Без кислородного завода самолетостроительному заводу работать невозможно, далеко в расширении программы завода не уйдем, если в этом отношении не будут приня</w:t>
      </w:r>
      <w:r w:rsidRPr="008A2E5A">
        <w:rPr>
          <w:rFonts w:ascii="Times New Roman" w:hAnsi="Times New Roman"/>
          <w:color w:val="0070C0"/>
          <w:sz w:val="16"/>
          <w:szCs w:val="16"/>
        </w:rPr>
        <w:softHyphen/>
        <w:t>ты решительные меры.</w:t>
      </w:r>
    </w:p>
    <w:p w14:paraId="29D9B43F"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Нужно помочь с подсобным хозяйством, у завода очень тяжелое положение с питанием рабочих, которое являет</w:t>
      </w:r>
      <w:r w:rsidRPr="008A2E5A">
        <w:rPr>
          <w:rFonts w:ascii="Times New Roman" w:hAnsi="Times New Roman"/>
          <w:color w:val="0070C0"/>
          <w:sz w:val="16"/>
          <w:szCs w:val="16"/>
        </w:rPr>
        <w:softHyphen/>
        <w:t>ся одним из решающих факторов низкой производитель</w:t>
      </w:r>
      <w:r w:rsidRPr="008A2E5A">
        <w:rPr>
          <w:rFonts w:ascii="Times New Roman" w:hAnsi="Times New Roman"/>
          <w:color w:val="0070C0"/>
          <w:sz w:val="16"/>
          <w:szCs w:val="16"/>
        </w:rPr>
        <w:softHyphen/>
        <w:t>ности труда на заводе. Нужно будет просить областной ко</w:t>
      </w:r>
      <w:r w:rsidRPr="008A2E5A">
        <w:rPr>
          <w:rFonts w:ascii="Times New Roman" w:hAnsi="Times New Roman"/>
          <w:color w:val="0070C0"/>
          <w:sz w:val="16"/>
          <w:szCs w:val="16"/>
        </w:rPr>
        <w:softHyphen/>
        <w:t>митет партии помочь заводу улучшить питание рабочих.</w:t>
      </w:r>
    </w:p>
    <w:p w14:paraId="1FE4AF54"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№153 имеется абсолютно все, что нужно, чтобы выполнять те задания, которые возложены на него Государственным Комитетом Обороны: имеются пре</w:t>
      </w:r>
      <w:r w:rsidRPr="008A2E5A">
        <w:rPr>
          <w:rFonts w:ascii="Times New Roman" w:hAnsi="Times New Roman"/>
          <w:color w:val="0070C0"/>
          <w:sz w:val="16"/>
          <w:szCs w:val="16"/>
        </w:rPr>
        <w:softHyphen/>
        <w:t>красные цеха в достаточном количестве, имеется пер</w:t>
      </w:r>
      <w:r w:rsidRPr="008A2E5A">
        <w:rPr>
          <w:rFonts w:ascii="Times New Roman" w:hAnsi="Times New Roman"/>
          <w:color w:val="0070C0"/>
          <w:sz w:val="16"/>
          <w:szCs w:val="16"/>
        </w:rPr>
        <w:softHyphen/>
        <w:t>воклассное оборудование, вполне достаточном количе</w:t>
      </w:r>
      <w:r w:rsidRPr="008A2E5A">
        <w:rPr>
          <w:rFonts w:ascii="Times New Roman" w:hAnsi="Times New Roman"/>
          <w:color w:val="0070C0"/>
          <w:sz w:val="16"/>
          <w:szCs w:val="16"/>
        </w:rPr>
        <w:softHyphen/>
        <w:t>стве, людей также достаточно - и руководящих работни</w:t>
      </w:r>
      <w:r w:rsidRPr="008A2E5A">
        <w:rPr>
          <w:rFonts w:ascii="Times New Roman" w:hAnsi="Times New Roman"/>
          <w:color w:val="0070C0"/>
          <w:sz w:val="16"/>
          <w:szCs w:val="16"/>
        </w:rPr>
        <w:softHyphen/>
        <w:t>ков, и производственников тоже достаточно. Все дело зависит теперь от руководства завода, как оно справится с поставленными задачами.</w:t>
      </w:r>
    </w:p>
    <w:p w14:paraId="2326E636"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Отрадным фактором является то, что завод в течение месяца систематически, ежедневно работает по графику. Каждый день из сборочного цеха выходит определенное количество самолетов. Это является положительным фак</w:t>
      </w:r>
      <w:r w:rsidRPr="008A2E5A">
        <w:rPr>
          <w:rFonts w:ascii="Times New Roman" w:hAnsi="Times New Roman"/>
          <w:color w:val="0070C0"/>
          <w:sz w:val="16"/>
          <w:szCs w:val="16"/>
        </w:rPr>
        <w:softHyphen/>
        <w:t>тором и вселяет уверенность, что завод выполнит задание Государственного Комитета Обороны по выпуску истреби</w:t>
      </w:r>
      <w:r w:rsidRPr="008A2E5A">
        <w:rPr>
          <w:rFonts w:ascii="Times New Roman" w:hAnsi="Times New Roman"/>
          <w:color w:val="0070C0"/>
          <w:sz w:val="16"/>
          <w:szCs w:val="16"/>
        </w:rPr>
        <w:softHyphen/>
        <w:t>телей в таком количестве, которое потребно фронту (23381).</w:t>
      </w:r>
    </w:p>
    <w:p w14:paraId="265A5E0A" w14:textId="77777777" w:rsidR="00153AEB" w:rsidRPr="008A2E5A" w:rsidRDefault="00153AEB" w:rsidP="00153AEB">
      <w:pPr>
        <w:spacing w:after="0" w:line="240" w:lineRule="auto"/>
        <w:jc w:val="both"/>
        <w:rPr>
          <w:rFonts w:ascii="Times New Roman" w:hAnsi="Times New Roman"/>
          <w:color w:val="0070C0"/>
          <w:sz w:val="16"/>
          <w:szCs w:val="16"/>
        </w:rPr>
      </w:pPr>
    </w:p>
    <w:p w14:paraId="269C57D9"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w:t>
      </w:r>
    </w:p>
    <w:p w14:paraId="56E2F9F8"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 распоряжения по Куйбышевскому карбюраторному заводу о выпуске свечей неразборной конструкции</w:t>
      </w:r>
    </w:p>
    <w:p w14:paraId="5C9C8CA3"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w:t>
      </w:r>
    </w:p>
    <w:p w14:paraId="7CCC387B"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Проведенные испытания запальных частей неразборной конструкции показали их преимущество по сравнению с разборными не только по простоте и дешевизне изготовления, но и по качеству.</w:t>
      </w:r>
    </w:p>
    <w:p w14:paraId="419FBCC5"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Герметичность неразборных свечей и механическая прочность изолятора выше разборных свечей.</w:t>
      </w:r>
    </w:p>
    <w:p w14:paraId="2819B599"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Неразборные свечи сохраняют заводскую сборку на весь срок службы и устраняют возможность перегрузки и разрушения изолятора за счет перетяга.</w:t>
      </w:r>
    </w:p>
    <w:p w14:paraId="7D5874DD"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Внедрение свечей неразборной конструкции дает большую экономию автономной стали и освобождает ряд станков с сокращением значительного количества режущего и мерительного инструмента.</w:t>
      </w:r>
    </w:p>
    <w:p w14:paraId="45882AA9"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быстрейшего освоения и выпуска неразборных свечей</w:t>
      </w:r>
    </w:p>
    <w:p w14:paraId="13D97049"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17B560A9"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p w14:paraId="2449F974"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цеха № 5 на основе опыта лаборатории запальных свечей по уточненным чертежам ОГК изготовить производственную партию свечей типа НМ 15/15 в количестве 500 шт. Изготовить комплект металлодеталей для свечей НУ 12/10 в количестве 250 шт., которые передать для опытной сборки и испытания лаборатории запальных свечей. Срок 20/1-42 г...</w:t>
      </w:r>
    </w:p>
    <w:p w14:paraId="44F3AA9C"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завода</w:t>
      </w:r>
      <w:r w:rsidRPr="008127F8">
        <w:rPr>
          <w:rFonts w:ascii="Times New Roman" w:hAnsi="Times New Roman"/>
          <w:color w:val="000000" w:themeColor="text1"/>
          <w:sz w:val="16"/>
          <w:szCs w:val="16"/>
        </w:rPr>
        <w:tab/>
        <w:t>Аунапу</w:t>
      </w:r>
    </w:p>
    <w:p w14:paraId="52E509D9"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ГАСО. Ф. P-4234. On. 1. Д. 39. Л. 146. Подлинник (21071).</w:t>
      </w:r>
    </w:p>
    <w:p w14:paraId="37B7A83E" w14:textId="77777777" w:rsidR="001278D2" w:rsidRPr="008127F8" w:rsidRDefault="001278D2" w:rsidP="001E0A84">
      <w:pPr>
        <w:spacing w:after="0" w:line="240" w:lineRule="auto"/>
        <w:jc w:val="both"/>
        <w:rPr>
          <w:rFonts w:ascii="Times New Roman" w:hAnsi="Times New Roman"/>
          <w:color w:val="000000" w:themeColor="text1"/>
          <w:sz w:val="16"/>
          <w:szCs w:val="16"/>
        </w:rPr>
      </w:pPr>
    </w:p>
    <w:p w14:paraId="7C6B9E61"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января 1942 г. Из распоряжения по Куйбышевскому карбюраторному заводу о выпуске свечей неразборной конструкции</w:t>
      </w:r>
    </w:p>
    <w:p w14:paraId="47A7E1E1"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Проведенные испытания запальных частей неразборной конструкции показали их преимущество по сравнению с разборными не только по простоте и дешевизне изготовления, но и по качеству.</w:t>
      </w:r>
    </w:p>
    <w:p w14:paraId="0E914B49"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Герметичность неразборных свечей и механическая прочность изолятора выше разборных свечей.</w:t>
      </w:r>
    </w:p>
    <w:p w14:paraId="7701DB20"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Неразборные свечи сохраняют заводскую сборку на весь срок службы и устраняют возможность перегрузки и разрушения изолятора за счет перетяга.</w:t>
      </w:r>
    </w:p>
    <w:p w14:paraId="1D404FE4"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Внедрение свечей неразборной конструкции дает большую экономию автономной стали и освобождает ряд станков с сокращением значительного количества режущего и мерительного инструмента.</w:t>
      </w:r>
    </w:p>
    <w:p w14:paraId="47459BA5"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быстрейшего освоения и выпуска неразборных свечей ПРИКАЗЫВАЮ:</w:t>
      </w:r>
    </w:p>
    <w:p w14:paraId="5470DD29"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p>
    <w:p w14:paraId="08E14E08"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цеха № 5 на основе опыта лаборатории запальных свечей по уточненным чертежам ОГК изготовить производственную партию свечей типа НМ 15/15 в количестве 500 шт. Изготовить комплект металлодеталей для свечей НУ 12/10 в количестве 250 шт., которые передать для опытной сборки и испытания лаборатории запальных свечей. Срок 20/1-42 г...</w:t>
      </w:r>
    </w:p>
    <w:p w14:paraId="467B3E1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 инженер завода Аунапу</w:t>
      </w:r>
    </w:p>
    <w:p w14:paraId="010A6A4E"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 Ф. P-4234. On. 1. Д. 39. Л. 146. Подлинник (23725).</w:t>
      </w:r>
    </w:p>
    <w:p w14:paraId="079CD34F" w14:textId="77777777" w:rsidR="00153AEB" w:rsidRPr="008A2E5A" w:rsidRDefault="00153AEB" w:rsidP="00153AEB">
      <w:pPr>
        <w:spacing w:after="0" w:line="240" w:lineRule="auto"/>
        <w:jc w:val="both"/>
        <w:rPr>
          <w:rFonts w:ascii="Times New Roman" w:hAnsi="Times New Roman"/>
          <w:color w:val="0070C0"/>
          <w:sz w:val="16"/>
          <w:szCs w:val="16"/>
        </w:rPr>
      </w:pPr>
    </w:p>
    <w:p w14:paraId="567B483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528EE676" w14:textId="77777777" w:rsidR="00D4651C" w:rsidRPr="008127F8" w:rsidRDefault="00D4651C" w:rsidP="001E0A84">
      <w:pPr>
        <w:pStyle w:val="Iauiue"/>
        <w:jc w:val="both"/>
        <w:rPr>
          <w:iCs/>
          <w:color w:val="000000" w:themeColor="text1"/>
          <w:sz w:val="16"/>
          <w:szCs w:val="16"/>
        </w:rPr>
      </w:pPr>
    </w:p>
    <w:p w14:paraId="4F2C0D57"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12 по 19 января 1942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68089F97" w14:textId="77777777" w:rsidR="004F754C" w:rsidRPr="008127F8" w:rsidRDefault="004F754C" w:rsidP="001E0A84">
      <w:pPr>
        <w:spacing w:after="0" w:line="240" w:lineRule="auto"/>
        <w:jc w:val="both"/>
        <w:rPr>
          <w:rFonts w:ascii="Times New Roman" w:hAnsi="Times New Roman"/>
          <w:color w:val="000000" w:themeColor="text1"/>
          <w:sz w:val="16"/>
          <w:szCs w:val="16"/>
        </w:rPr>
      </w:pPr>
    </w:p>
    <w:p w14:paraId="01864B9C"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12 января 1942 года на эвакуированном Подольском заводе шла отработка корпусов Т-60 (060) с утолщенной броней, они указывались как Т-60 по заказу на 1942 год. Вместе с тем, монтаж оборудования всё еще продолжался, поэтому в январе 1942 года никаких Т-60 завод №37 не выпускал, продолжая сдавать Т-30, изготовляемые из задела корпусов. Параллельно вводилась экранировка корпусов Т-30, она же прорабатывалась и для корпусов Т-60. Налаживалась и производственная цепочка с точки зрения смежников. Смежниками по кованым и литым деталям назначили ЧКЗ и завод №183, в частности, из Нижнего Тагила шли катки и траки. Главная проблема заключалась в том, что в Челябинске и Нижнем Тагиле хватало своих забот. Это стало бомбой замедленного действия, которая сработала в тот момент, когда в Свердловске начался полномасштабный выпуск танков.</w:t>
      </w:r>
    </w:p>
    <w:p w14:paraId="180F4E5B"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Планы по заводу №37 в НКТП были обширными. Всего за первый квартал 1942 года предполагалось получить 700 Т-60, из них 140 радийных. На практике ситуация складывалась так, что выполнить план не представлялось возможным. За январь 1942 года сдали 100 танков, все Т-30, с корпусами из задела. Корпусное производство только налаживалось, максимум, что удалось на тот момент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начать ставить экраны. Всего за январь поставили 51 комплект экранов. Военная приемка констатировала, что поставщики систематически не выполняли план. Из 350 моторов ГАЗ-11 модель 202 за январь не прибыло ни одного. Имелись проблемы и на местах. Квалификация рабочих оценивалась как низкая. Отдел главного конструктора существовал номинально, поэтому представители ГАБТУ КА предлагали сменить руководство, поставив вместо Постникова кого-то другого. Лишь в феврале 1942 года Т-60, наконец, встал на производство в Свердловске. Из 147 танков, сданных заводом №37 за февраль, 67 являлись Т-60, кроме того, было принято 125 новых корпусов.</w:t>
      </w:r>
    </w:p>
    <w:p w14:paraId="1E3DB2C2" w14:textId="77777777" w:rsidR="00153AEB" w:rsidRPr="008A2E5A" w:rsidRDefault="00153AEB" w:rsidP="00153A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Поначалу свердловские Т-60 ничем не отличались от эталонных ГАЗ-овских машин. Несмотря на то, что по утолщенным корпусам и башням работы проводились, фактически в работу пошли экранированные комплекты. Занятным моментом стало то, что в определенный момент завод перешел с серийных номеров 30XX на 10XXX. Вот только, в отличие от завода №38, где Т-30 и Т-60 по серийным номерам отличались, со свердловскими танками ситуация сложилась иначе. Там просто в какой-то момент взяли и перешли на новые номера, по ним Т-30 и Т-60 не отличались. Впрочем, выглядел свердловский Т-60, как все, недолго. Дело в том, что отдел "22", после критики со стороны ГАБТУ КА, подвергся реформированию (23355).</w:t>
      </w:r>
    </w:p>
    <w:p w14:paraId="3FFF7636" w14:textId="77777777" w:rsidR="00153AEB" w:rsidRPr="008A2E5A" w:rsidRDefault="00153AEB" w:rsidP="00153AEB">
      <w:pPr>
        <w:spacing w:after="0" w:line="240" w:lineRule="auto"/>
        <w:jc w:val="both"/>
        <w:rPr>
          <w:rFonts w:ascii="Times New Roman" w:hAnsi="Times New Roman"/>
          <w:color w:val="0070C0"/>
          <w:sz w:val="16"/>
          <w:szCs w:val="16"/>
        </w:rPr>
      </w:pPr>
    </w:p>
    <w:p w14:paraId="2DDF4D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вышло Постановление ГКО № 1138 О снаряжении снарядов М-13 пироксилиновыми порохами. РГАНИР, Фонд ГКО, д. 19, лл. 76 (11012).</w:t>
      </w:r>
    </w:p>
    <w:p w14:paraId="6AB2EBC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D0C8257"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12 января 1942 вышло Постановление ГКО № 1139 [Об отсрочке строительства ж.-д. линий Боровичи - Хвойная и Весьегонск - Суда.] (7020, 77).</w:t>
      </w:r>
    </w:p>
    <w:p w14:paraId="13F13B45" w14:textId="77777777" w:rsidR="00D4651C" w:rsidRPr="008127F8" w:rsidRDefault="00D4651C" w:rsidP="001E0A84">
      <w:pPr>
        <w:pStyle w:val="Iauiue"/>
        <w:tabs>
          <w:tab w:val="left" w:pos="11199"/>
        </w:tabs>
        <w:jc w:val="both"/>
        <w:rPr>
          <w:color w:val="000000" w:themeColor="text1"/>
          <w:sz w:val="16"/>
          <w:szCs w:val="16"/>
        </w:rPr>
      </w:pPr>
    </w:p>
    <w:p w14:paraId="287B7CB1"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12 января 1942 вышло Постановление ГКО № 1140 Об окончании строительства радиостанции № 15 в р-не г. Куйбышева. (7020, 78,79-81).</w:t>
      </w:r>
    </w:p>
    <w:p w14:paraId="246B55BD" w14:textId="77777777" w:rsidR="00D4651C" w:rsidRPr="008127F8" w:rsidRDefault="00D4651C" w:rsidP="001E0A84">
      <w:pPr>
        <w:pStyle w:val="Iauiue"/>
        <w:tabs>
          <w:tab w:val="left" w:pos="11199"/>
        </w:tabs>
        <w:jc w:val="both"/>
        <w:rPr>
          <w:color w:val="000000" w:themeColor="text1"/>
          <w:sz w:val="16"/>
          <w:szCs w:val="16"/>
        </w:rPr>
      </w:pPr>
    </w:p>
    <w:p w14:paraId="44C4F96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января 1942 вышло Постановление ГКО № 1141 О т.т. Гурове К.А. и Савкове </w:t>
      </w:r>
      <w:proofErr w:type="gramStart"/>
      <w:r w:rsidRPr="008127F8">
        <w:rPr>
          <w:rFonts w:ascii="Times New Roman" w:hAnsi="Times New Roman"/>
          <w:color w:val="000000" w:themeColor="text1"/>
          <w:sz w:val="16"/>
          <w:szCs w:val="16"/>
        </w:rPr>
        <w:t>Н.Н. .</w:t>
      </w:r>
      <w:proofErr w:type="gramEnd"/>
      <w:r w:rsidRPr="008127F8">
        <w:rPr>
          <w:rFonts w:ascii="Times New Roman" w:hAnsi="Times New Roman"/>
          <w:color w:val="000000" w:themeColor="text1"/>
          <w:sz w:val="16"/>
          <w:szCs w:val="16"/>
        </w:rPr>
        <w:t xml:space="preserve"> РГАНИР, Фонд ГКО, д. 19, лл. 82 (11012).</w:t>
      </w:r>
    </w:p>
    <w:p w14:paraId="53A15BD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04CCBA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12 января 1942 вышло Постановление ГКО № 1142 О переводе аппарата НКПС в Москву. (7020, 83).</w:t>
      </w:r>
    </w:p>
    <w:p w14:paraId="4D2E88C2" w14:textId="77777777" w:rsidR="00D4651C" w:rsidRPr="008127F8" w:rsidRDefault="00D4651C" w:rsidP="001E0A84">
      <w:pPr>
        <w:pStyle w:val="Iauiue"/>
        <w:tabs>
          <w:tab w:val="left" w:pos="11199"/>
        </w:tabs>
        <w:jc w:val="both"/>
        <w:rPr>
          <w:color w:val="000000" w:themeColor="text1"/>
          <w:sz w:val="16"/>
          <w:szCs w:val="16"/>
        </w:rPr>
      </w:pPr>
    </w:p>
    <w:p w14:paraId="0D415D4F"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12-15 января 1942 г. ИЗ СТЕНОГРАММЫ ВЫСТУПЛЕНИЙ НА VI ПЛЕНУМЕ НОВОСИБИРСКОГО ОБКОМА ВКП(б)</w:t>
      </w:r>
    </w:p>
    <w:p w14:paraId="1FA56995"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Значение авиации в современной войне с немцами исключительно велико. Если нельзя сказать, что роль авиации является решающей, то во всяком случае авиация является одним из решающих, одним из основных факторов, обеспечивающих победу. Отсюда ясно, что наша авиационная промышленность пользуется исключительным вниманием, исключительной любовью со стороны всего нашего народа, со стороны Центрального Комитета партии, со стороны правительства. Новосибирск является одним из центров, куда эвакуирован и где создается ряд довольно крупных авиационных предприятий, и я должен сказать, что Новосибирская партийная организация, в первую очередь Новосибирский обком партии, проявляют исключительное внимание ко всем нуждам наших предприятий, как эвакуированных, так и тех, которые здесь работали раньше. Новосибирск становится крупным центром авиационной промышленности на Востоке. В Новосибирске организуется серийное производство моторов, уже организовано серийное производство и выпускаются самолеты, авиационные приборы, авиационное вооружение. В Новосибирске имеются два авиационных учебных заведения — высшее и среднее. В Новосибирске имеется филиал летно-испытательного института, филиал аэродинамического института и целый ряд других предприятий. Для улучшения руководства этими авиационными предприятиями, число которых превышает сейчас два десятка по всей Новосибирской области, здесь создается представительство наркомата, которое будет на месте руководить всеми этими предприятиями. Кроме того, здесь создается крупная, мощная база снабжения авиационных заводов для того, чтобы действующие здесь авиационные предприятия не зависели от того пространства, которое отделяет их от основной снабженческой авиационной базы. Впервые здесь, в Новосибирске, организуется производство не только серийных объектов авиационной техники, но здесь также организуется производство новых опытных самолетов. Это делается впервые, так как до сих пор создание новых самолетов было привилегией предприятий, расположенных в районе Москвы. Эти предприятия не только организуются, но в течение ближайшего месяца уже выпустят новые самолеты, вооруженные мощным противотанковым стрелково-пушечным вооружением. Наиболее крупным, самым старым предприятием в Новосибирске является 153-й завод, который существует свыше 5 лет. В прошлом году, примерно в это же время, завод № 153 получил задание на боевой самолет. Нужно сказать, что завод в 1941 году работал скверно, в течение целого года, вплоть до самого последнего времени, систематически не выполнял плана. Я хочу несколько подробней остановиться на работе этого завода потому, что в его работе, очевидно, есть много слабых мест, общих с другими предприятиями, в частности </w:t>
      </w:r>
      <w:r w:rsidRPr="008127F8">
        <w:rPr>
          <w:rFonts w:ascii="Times New Roman" w:hAnsi="Times New Roman"/>
          <w:color w:val="000000" w:themeColor="text1"/>
          <w:sz w:val="16"/>
          <w:szCs w:val="16"/>
        </w:rPr>
        <w:lastRenderedPageBreak/>
        <w:t>179-м комбинатом, на работе которых вчера останавливался т. Кулагин. Основной причиной плохой работы завода 153 является слабое техническое руководство. В течение года целый ряд технических руководителей, как технический директор, главный инженер завода, начальник производства и целый ряд руководителей решающих участков, сменялись один за другим по три-четыре-пять раз. Поэтому на заводе не было настоящей технической политики, которая нужна при ведении такого сложного объекта, как боевой самолет. На заводе процветает непозволительная кустарщина, в то время как завод обязан выпускать, производить конвейерный выпуск боевых, истребительных самолетов. На заводе процветало пренебрежительное отношение к производственной оснастке, к производственным приспособлениям, взаимозаменяемости. На заводе до последнего времени процветал кустарный труд. На заводе процветало исключительное бескультурье. В цехах грязь. Заводская территория захламлена до чрезвычайности. Доходило до того, что в цехах лежало так много всевозможного хлама, что даже с точки зрения возникновения пожара представляло нетерпимое положение. На заводе чрезвычайно низкая производительность труда. Так, например, на 1 ноября производительность труда составляла около 55%. Это вещь небывалая для военного времени и тем более на авиационном заводе. Очень плохое использование оборудования — 25—30%, тоже нетерпимая вещь. Все эти недочеты, конечно, имеют свои корни. Одним из основных корней низкой производительности труда являются исключительно плохие социально-бытовые условия, которые объяснить даже трудно было, когда потребовали к ответу виновных в этом деле. Например, на заводе у рабочих и инженеров обед в столовой в среднем от 2,5 до 3 часов. Если же учесть, что на заводе количество людей исчисляется не одним десятком тысяч человек, то оказывается, что завод теряет только на одних обедах до 30 000 часов. Это кроме того времени, которое отпущено на обед по закону. 30 000 часов — это примерно два самолета. В этом корни плохой производительности труда.</w:t>
      </w:r>
    </w:p>
    <w:p w14:paraId="27D0305A"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исключительно низкая дисциплина и технологическая, и производительная. На заводе развито вранье. Человеку ничего не стоит соврать, не неся за это никакой ответственности. Все звенья работы завода, начиная от вышестоящих, кончая нижестоящими, врут, обманывают друг друга. Таким образом невозможно было провести никаких определенных мероприятий, будучи уверенным в том, что тебя не обманывают. Очень скверно обстояло дело с подбором кадров. На заводе отдел найма и увольнения занимался только анкетированием. Вопросами подбора, изучения кадров, как работают люди на производстве, никто не занимался. Поэтому не мудрено было иметь такое явление, что начальником цеха сборки самолетов был человек, который никогда по-настоящему не видел самолета, не считая того, что он видел его на расстоянии 500 метров летящим. Человек, специальность которого была холодная штамповка, который не знал сборки, конечно, дело провалил, и, если бы он просидел еще два месяца, пришлось бы его посадить в тюрьму. А он, по существу, не виноват. Заведующим производством завода был человек явно слабый, имеющий экономическое образование. Нельзя сказать, чтобы на заводе не было людей, потому что на завод № 153 приехало из числа эвакуированных предприятий громадное количество ИТР, руководящих работников. Просто людей не знают, не изучают. Поэтому получились такие дефекты в работе. Вот это основные недочеты. Очевидно, они являются общими с другими предприятиями, которые здесь работают. Заводу 153 нужно оказать помощь. Помощь не весьма большую, но существенную. Если мы эту помощь получим, то, надеюсь, что мы отмеченные недочеты изживем. В частности, заводу нужна помощь с кислородным заводом. Об этом неоднократно говорили в обкоме партии с т. Кулагиным, до сих пор вопрос не решен. Без кислородного завода самолетостроительному заводу работать невозможно, далеко в расширении программы завода не уйдем, если в этом отношении не будут приняты решительные меры. Нужно помочь с подсобным хозяйством, у завода очень тяжелое положение с питанием рабочих, которое является одним из решающих факторов низкой производительности труда на заводе. Нужно будет просить областной комитет партии помочь заводу улучшить питание рабочих. На заводе № 153 имеется абсолютно все, что нужно, чтобы выполнять те задания, которые возложены на него Государственным Комитетом Обороны: имеются прекрасные цеха в достаточном количестве, имеется первоклассное оборудование, вполне достаточном количестве, людей также достаточно - и руководящих работников, и производственников тоже достаточно. Все дело зависит теперь от руководства завода, как оно справится с поставленными задачами. Отрадным фактором является то, что завод в течение месяца систематически, ежедневно работает по графику. Каждый день из сборочного цеха выходит определенное количество самолетов. Это является положительным фактором и вселяет уверенность, что завод выполнит задание Государственного Комитета Обороны по выпуску истребителей в таком количестве, которое потребно фронту. Секретаря обкома ВКП(б) по строительству и стройматериалам т. Артемьева: В период военного времени строительные организации области усилили темпы строительства. Это можно видеть из данных освоения капиталовложения по промышленным стройкам союзного подчинения. За первое полугодие 1941 года строительными организациями освоено капиталовложений 324,1 млн. рублей, за второе полугодие 1941 года -564,9 млн. рублей, или рост на 74 % больше против первого полугодия. Во втором полугодии 1941 года закончено строительство и введено в действие промышленных объектов на 431,9 млн. рублей, или в 2,4 раза больше, чем в первом полугодии 1941 года. В период войны выдвинулось немало строителей, которые показывают замечательные образцы трудового героизма. На заводе -V 153 имени Чкалова, на комбинате № 179 и на других предприятиях рабочие, инженерно-технические работники, строители и монтажники на ряде объектов работали по нескольку дней, не уходя с работы, пока не было выполнено задание, пока не были закончены работы. При наличии некоторых достижений в работе отдельных строительных организаций за период второго полугодия 1941 года, большинство же из них работают крайне неудовлетворительно, медленно перестраивают свою работу на военный лад и неудовлетворительно справляются с выполнением задач, поставленных товарищем Сталиным в докладе 6 ноября 1941 года. По предварительным данным, которые мы имеем, за 1941 год (по строительству промышленных предприятий и транспорта) освоено капиталовложений 950 млн. рублей. Нужно отметить, что ни одна строительная организация области план 1941 года полностью не </w:t>
      </w:r>
      <w:proofErr w:type="gramStart"/>
      <w:r w:rsidRPr="008127F8">
        <w:rPr>
          <w:rFonts w:ascii="Times New Roman" w:hAnsi="Times New Roman"/>
          <w:color w:val="000000" w:themeColor="text1"/>
          <w:sz w:val="16"/>
          <w:szCs w:val="16"/>
        </w:rPr>
        <w:t>выполнила.Я</w:t>
      </w:r>
      <w:proofErr w:type="gramEnd"/>
      <w:r w:rsidRPr="008127F8">
        <w:rPr>
          <w:rFonts w:ascii="Times New Roman" w:hAnsi="Times New Roman"/>
          <w:color w:val="000000" w:themeColor="text1"/>
          <w:sz w:val="16"/>
          <w:szCs w:val="16"/>
        </w:rPr>
        <w:t xml:space="preserve"> приведу данные. Трест № 7, управляющий т. Капустин, план 1941 года выполнил на 96,8%. Управление строительства завода № 526, управляющий т. </w:t>
      </w:r>
      <w:proofErr w:type="gramStart"/>
      <w:r w:rsidRPr="008127F8">
        <w:rPr>
          <w:rFonts w:ascii="Times New Roman" w:hAnsi="Times New Roman"/>
          <w:color w:val="000000" w:themeColor="text1"/>
          <w:sz w:val="16"/>
          <w:szCs w:val="16"/>
        </w:rPr>
        <w:t>Волкоштейн,-</w:t>
      </w:r>
      <w:proofErr w:type="gramEnd"/>
      <w:r w:rsidRPr="008127F8">
        <w:rPr>
          <w:rFonts w:ascii="Times New Roman" w:hAnsi="Times New Roman"/>
          <w:color w:val="000000" w:themeColor="text1"/>
          <w:sz w:val="16"/>
          <w:szCs w:val="16"/>
        </w:rPr>
        <w:t xml:space="preserve"> на 95 %. Управление строительства комбината № 179, начальник т. </w:t>
      </w:r>
      <w:proofErr w:type="gramStart"/>
      <w:r w:rsidRPr="008127F8">
        <w:rPr>
          <w:rFonts w:ascii="Times New Roman" w:hAnsi="Times New Roman"/>
          <w:color w:val="000000" w:themeColor="text1"/>
          <w:sz w:val="16"/>
          <w:szCs w:val="16"/>
        </w:rPr>
        <w:t>Косенко,-</w:t>
      </w:r>
      <w:proofErr w:type="gramEnd"/>
      <w:r w:rsidRPr="008127F8">
        <w:rPr>
          <w:rFonts w:ascii="Times New Roman" w:hAnsi="Times New Roman"/>
          <w:color w:val="000000" w:themeColor="text1"/>
          <w:sz w:val="16"/>
          <w:szCs w:val="16"/>
        </w:rPr>
        <w:t xml:space="preserve"> на 93,9 %. Сибирское окружное военно-строительное управление — на 71,2%. Трест № 31 — на 37,4 %. Такая работа строительных организаций не может быть терпима, тем более в условиях военного времени. Вследствие непринятия исчерпывающих мер со стороны руководителей строительных организаций совершенно неудовлетворительно идет строительство на кустовых объектах — на комбинате № 179 — прокатный завод и ТЭЦ; по заводам № 564, № 13, оловозаводу у треста № 31; ... по заводу № 335 у треста № 7. Товарищи, я хочу привести один пример руководства очень важным пусковым объектом, который решает ввод в действие ряда оборонных предприятий. Решением Государственного Комитета Обороны по ТЭЦ комбината № 179 установлен срок ввода в действие 15 декабря 1941 года. Этот объект имеет исключительное значение для обеспечения электроэнергией комбината № 179, в связи с вводом в действие новых производственных мощностей, но этот срок оказался сорванным, так как руководство управления строительства и комбината № 179 этим объектом не занималось и своевременно исчерпывающих мер не приняло. Директор комбината № 179 т. Новиков только 7 января 1942 года, после того, как прошло 23 дня после правительственного срока пуска ТЭЦ, издал приказ, в котором говорится, что: «В целях обеспечения форсирования строительства ТЭЦ и промводопровода, приказываю: Всем отделам комбината и строительства считать строительство ТЭЦ и пром водопровода как первоочередную стройку». Выходит, что этот первоочередной объект не являлся до 7 января 1942 года на комбинате первоочередным объектом. Основными причинами неудовлетворительной работы строительных организаций является то, что хозяйственные руководители и партийные организации на стройках совершенно недостаточно занимаются вопросами организации труда рабочих, внедрения передовых стахановских методов работы, стахановских приспособлений, создания комплексных бригад. Имеющийся контингент рабочей силы используется далеко не полностью. Средняя дневная выработка на одного рабочего за 1941 год составляет по строительству комбината К? 179 — 60,8 %. Из-за неподготовленности фронта работы и необеспечения строительными материалами, инструментами и из-за других организационных неувязок имеют место значительные простои рабочих, в результате чего производительность труда является исключительно низкой. Проведенной проверкой использования рабочих на строительстве завода № 564, работы ведет трест № 31, было установлено, что каменщики затрачивают на работу и отдых 74 % рабочего времени, опоздания на работу составляют 3 %, отсутствие освещения 4,8 % и другие виды неполезно затраченного времени. Только во втором полугодии 1941 года строительные организации нашей области получили организованно 85 тысяч рабочих и в ближайшие дни получают еще 11 тысяч рабочих. Вопрос использования рабочей силы имеет исключительно большое значение. Совершенно неудовлетворительно на стройках используется рабочая сила строительных батальонов, не развернута подготовка из них квалифицированных рабочих. Несмотря на указание областного комитета партии, руководители строительных организаций очень мало занимаются вопросами правильного использования рабочих строительных батальонов, созданием для них условий для высокопроизводительного их использования, не обеспечивают рабочих необходимым инструментом, одеждой, не создают им требуемых культурно-бытовых и жилищных условий. Плохо на стройках используются имеющиеся механизмы, база подсобных и производственных предприятий. В 1942 году в нашей области значительно увеличивается программа капитального строительства (в 3 раза к выполненному объему работ в 1941 году), о чем вчера говорил в своем докладе т. Кулагин. Нужно освоить большой объем капиталовложения по эвакуированным предприятиям. Кроме того, требуется большое количество жилищной площади, что также увеличивает программу работ строительных организаций. Огромные возможности выполнения плана капитальных работ заложены в скоростном строительстве. Я приведу пример со строительством одного объекта на заводе имени Чкалова. Объект объемом 25 кубических метров трестом № 7 был выстроен в течение двух месяцев. Это значит, что если правильно организовано строительство, если своевременно обеспечить стройку всеми необходимыми материалами, механизмами, то строительные работы могут выполняться в короткие сроки. В 1942 году для выполнения плана строительства потребуется около 500 млн. штук кирпича. Заводы в 1941 году дали 207 млн. штук. Вы видите, что для того, чтобы обеспечить строительство кирпичом, нужно в 2,5 раза увеличить мощность действующих кирпичных заводов.</w:t>
      </w:r>
    </w:p>
    <w:p w14:paraId="78DBC183"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ГАНО. Ф. П-4. Оп. 33. Д. 506. Л. 77-78. 93-96. 106-111. Подлинник (12159).</w:t>
      </w:r>
    </w:p>
    <w:p w14:paraId="219BB01C"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6CBFDC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вышло Постановление ГКО № 1144 О плане производства и поставок в I квартале 1942г. на заводе № 92 76 мм дивизионных пушек УСВ, ЗИС-3 и танковых пушек Ф-34 и ЗИС-5. РГАНИР, Фонд ГКО, д. 19, лл. 85-86 (11012).</w:t>
      </w:r>
    </w:p>
    <w:p w14:paraId="1788069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8708FDD"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С 12 по 19 января 1942 завод №92 изготовил опытный образец пушки ЗИС-19.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w:t>
      </w:r>
    </w:p>
    <w:p w14:paraId="714BEB0C"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 xml:space="preserve">Установка ЗИС-19 в серийной башне Т-60, как и требовало задание, была выполнена с минимальными изменениями башенной конструкции. По сравнению с проектом </w:t>
      </w:r>
      <w:r w:rsidRPr="008127F8">
        <w:rPr>
          <w:color w:val="000000" w:themeColor="text1"/>
          <w:sz w:val="16"/>
          <w:szCs w:val="16"/>
        </w:rPr>
        <w:lastRenderedPageBreak/>
        <w:t>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08851C6E" w14:textId="77777777" w:rsidR="008D722B" w:rsidRPr="008127F8" w:rsidRDefault="008D722B" w:rsidP="001E0A84">
      <w:pPr>
        <w:pStyle w:val="af"/>
        <w:spacing w:before="0" w:after="0"/>
        <w:jc w:val="both"/>
        <w:rPr>
          <w:color w:val="000000" w:themeColor="text1"/>
          <w:sz w:val="16"/>
          <w:szCs w:val="16"/>
        </w:rPr>
      </w:pPr>
    </w:p>
    <w:p w14:paraId="2494EA55" w14:textId="77777777" w:rsidR="001278D2" w:rsidRPr="008127F8" w:rsidRDefault="001278D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12 января 1942 года на совещании окончательно утвердили экранировку корпуса и башни Т-60. Она соответствовала тому, что отрабатывалось еще в начале ноября, разница только в том, что вместо 30 мм полная толщина стала 35 мм. При этом, правда, был нюанс. Точно можно говорить о двух вариантах экранировки подвижной бронировки орудийной маски. Первый вариант предполагал просто дополнительную броню. Второй вариант, куда более массовый, предполагал несколько примитивный по виду щиток толщиной 15 мм. Он прикрывал не только бронировку орудийной маски, но и воздухоприток в лобовой части башни. Вещь совсем даже не лишняя. </w:t>
      </w:r>
      <w:r w:rsidRPr="008127F8">
        <w:rPr>
          <w:rFonts w:ascii="Times New Roman" w:hAnsi="Times New Roman"/>
          <w:color w:val="000000" w:themeColor="text1"/>
          <w:sz w:val="16"/>
          <w:szCs w:val="16"/>
          <w:shd w:val="clear" w:color="auto" w:fill="FFFFFF"/>
        </w:rPr>
        <w:t>Первые серийные экранированные корпуса Т-60 с башнями появились еще до того, как их окончательно утвердили (22726).</w:t>
      </w:r>
    </w:p>
    <w:p w14:paraId="7FEE73A0" w14:textId="77777777" w:rsidR="001278D2" w:rsidRPr="008127F8" w:rsidRDefault="001278D2" w:rsidP="001E0A84">
      <w:pPr>
        <w:spacing w:after="0" w:line="240" w:lineRule="auto"/>
        <w:jc w:val="both"/>
        <w:rPr>
          <w:rFonts w:ascii="Times New Roman" w:hAnsi="Times New Roman"/>
          <w:color w:val="000000" w:themeColor="text1"/>
          <w:sz w:val="16"/>
          <w:szCs w:val="16"/>
        </w:rPr>
      </w:pPr>
    </w:p>
    <w:p w14:paraId="75A05F2E" w14:textId="77777777" w:rsidR="008D722B" w:rsidRPr="008127F8" w:rsidRDefault="008D722B" w:rsidP="001E0A84">
      <w:pPr>
        <w:pStyle w:val="162"/>
        <w:shd w:val="clear" w:color="auto" w:fill="auto"/>
        <w:spacing w:line="240" w:lineRule="auto"/>
        <w:jc w:val="both"/>
        <w:rPr>
          <w:color w:val="000000" w:themeColor="text1"/>
          <w:sz w:val="16"/>
          <w:szCs w:val="16"/>
        </w:rPr>
      </w:pPr>
      <w:r w:rsidRPr="008127F8">
        <w:rPr>
          <w:color w:val="000000" w:themeColor="text1"/>
          <w:sz w:val="16"/>
          <w:szCs w:val="16"/>
        </w:rPr>
        <w:t>12 января 1942 года состоялось заседание с участием руководства ГАЗ и началь</w:t>
      </w:r>
      <w:r w:rsidRPr="008127F8">
        <w:rPr>
          <w:color w:val="000000" w:themeColor="text1"/>
          <w:sz w:val="16"/>
          <w:szCs w:val="16"/>
        </w:rPr>
        <w:softHyphen/>
        <w:t>ника 1-го отдела БТУ ГАБТУ КА военинженера 1-го ранга И. Д. Пав</w:t>
      </w:r>
      <w:r w:rsidRPr="008127F8">
        <w:rPr>
          <w:color w:val="000000" w:themeColor="text1"/>
          <w:sz w:val="16"/>
          <w:szCs w:val="16"/>
        </w:rPr>
        <w:softHyphen/>
        <w:t>лова. На совещании экранировку Т-60 окончательно утвердили, до</w:t>
      </w:r>
      <w:r w:rsidRPr="008127F8">
        <w:rPr>
          <w:color w:val="000000" w:themeColor="text1"/>
          <w:sz w:val="16"/>
          <w:szCs w:val="16"/>
        </w:rPr>
        <w:softHyphen/>
        <w:t>кументацию разослали заводам № 37 (г. Свердловск), № 38 (г. Киров), № 176 (Муромский паровозостроительный завод им. Дзержинского), № 177 (Выксунский завод ДРО), № 178 (Кулебакский металлургиче</w:t>
      </w:r>
      <w:r w:rsidRPr="008127F8">
        <w:rPr>
          <w:color w:val="000000" w:themeColor="text1"/>
          <w:sz w:val="16"/>
          <w:szCs w:val="16"/>
        </w:rPr>
        <w:softHyphen/>
        <w:t xml:space="preserve">ский завод им С. М. Кирова), № 180 (г. Саратов), № 264 (п. Красноармейск) и «Красный Октябрь» (г. Сталинград). </w:t>
      </w:r>
      <w:proofErr w:type="gramStart"/>
      <w:r w:rsidRPr="008127F8">
        <w:rPr>
          <w:color w:val="000000" w:themeColor="text1"/>
          <w:sz w:val="16"/>
          <w:szCs w:val="16"/>
        </w:rPr>
        <w:t>Согласно документации</w:t>
      </w:r>
      <w:proofErr w:type="gramEnd"/>
      <w:r w:rsidRPr="008127F8">
        <w:rPr>
          <w:color w:val="000000" w:themeColor="text1"/>
          <w:sz w:val="16"/>
          <w:szCs w:val="16"/>
        </w:rPr>
        <w:t xml:space="preserve"> толщина брони после экранировки достигала следующих величин:</w:t>
      </w:r>
    </w:p>
    <w:tbl>
      <w:tblPr>
        <w:tblW w:w="0" w:type="auto"/>
        <w:tblLayout w:type="fixed"/>
        <w:tblCellMar>
          <w:left w:w="10" w:type="dxa"/>
          <w:right w:w="10" w:type="dxa"/>
        </w:tblCellMar>
        <w:tblLook w:val="04A0" w:firstRow="1" w:lastRow="0" w:firstColumn="1" w:lastColumn="0" w:noHBand="0" w:noVBand="1"/>
      </w:tblPr>
      <w:tblGrid>
        <w:gridCol w:w="480"/>
        <w:gridCol w:w="2813"/>
        <w:gridCol w:w="811"/>
        <w:gridCol w:w="427"/>
        <w:gridCol w:w="456"/>
        <w:gridCol w:w="1128"/>
        <w:gridCol w:w="1037"/>
      </w:tblGrid>
      <w:tr w:rsidR="006F4095" w:rsidRPr="008127F8" w14:paraId="54BB7E15" w14:textId="77777777" w:rsidTr="00CB6E72">
        <w:trPr>
          <w:trHeight w:val="710"/>
        </w:trPr>
        <w:tc>
          <w:tcPr>
            <w:tcW w:w="480" w:type="dxa"/>
            <w:tcBorders>
              <w:top w:val="single" w:sz="4" w:space="0" w:color="auto"/>
              <w:bottom w:val="single" w:sz="4" w:space="0" w:color="auto"/>
            </w:tcBorders>
            <w:shd w:val="clear" w:color="auto" w:fill="FFFFFF"/>
          </w:tcPr>
          <w:p w14:paraId="247062E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Style w:val="Bodytext17"/>
                <w:rFonts w:eastAsia="Calibri"/>
                <w:color w:val="000000" w:themeColor="text1"/>
                <w:sz w:val="16"/>
                <w:szCs w:val="16"/>
              </w:rPr>
              <w:t>№ пп</w:t>
            </w:r>
          </w:p>
        </w:tc>
        <w:tc>
          <w:tcPr>
            <w:tcW w:w="2813" w:type="dxa"/>
            <w:tcBorders>
              <w:top w:val="single" w:sz="4" w:space="0" w:color="auto"/>
              <w:bottom w:val="single" w:sz="4" w:space="0" w:color="auto"/>
            </w:tcBorders>
            <w:shd w:val="clear" w:color="auto" w:fill="FFFFFF"/>
          </w:tcPr>
          <w:p w14:paraId="068EB65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Style w:val="Bodytext17"/>
                <w:rFonts w:eastAsia="Calibri"/>
                <w:color w:val="000000" w:themeColor="text1"/>
                <w:sz w:val="16"/>
                <w:szCs w:val="16"/>
              </w:rPr>
              <w:t>Наименование</w:t>
            </w:r>
          </w:p>
          <w:p w14:paraId="2BF62EE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Style w:val="Bodytext17"/>
                <w:rFonts w:eastAsia="Calibri"/>
                <w:color w:val="000000" w:themeColor="text1"/>
                <w:sz w:val="16"/>
                <w:szCs w:val="16"/>
              </w:rPr>
              <w:t>деталей</w:t>
            </w:r>
          </w:p>
        </w:tc>
        <w:tc>
          <w:tcPr>
            <w:tcW w:w="811" w:type="dxa"/>
            <w:tcBorders>
              <w:top w:val="single" w:sz="4" w:space="0" w:color="auto"/>
              <w:bottom w:val="single" w:sz="4" w:space="0" w:color="auto"/>
            </w:tcBorders>
            <w:shd w:val="clear" w:color="auto" w:fill="FFFFFF"/>
          </w:tcPr>
          <w:p w14:paraId="1E73159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Style w:val="Bodytext17"/>
                <w:rFonts w:eastAsia="Calibri"/>
                <w:color w:val="000000" w:themeColor="text1"/>
                <w:sz w:val="16"/>
                <w:szCs w:val="16"/>
              </w:rPr>
              <w:t>№</w:t>
            </w:r>
          </w:p>
          <w:p w14:paraId="400FED0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Style w:val="Bodytext17"/>
                <w:rFonts w:eastAsia="Calibri"/>
                <w:color w:val="000000" w:themeColor="text1"/>
                <w:sz w:val="16"/>
                <w:szCs w:val="16"/>
              </w:rPr>
              <w:t>деталей</w:t>
            </w:r>
          </w:p>
        </w:tc>
        <w:tc>
          <w:tcPr>
            <w:tcW w:w="427" w:type="dxa"/>
            <w:tcBorders>
              <w:top w:val="single" w:sz="4" w:space="0" w:color="auto"/>
              <w:bottom w:val="single" w:sz="4" w:space="0" w:color="auto"/>
            </w:tcBorders>
            <w:shd w:val="clear" w:color="auto" w:fill="FFFFFF"/>
          </w:tcPr>
          <w:p w14:paraId="3E047DE8" w14:textId="77777777" w:rsidR="008D722B" w:rsidRPr="008127F8" w:rsidRDefault="008D722B" w:rsidP="001E0A84">
            <w:pPr>
              <w:spacing w:after="0" w:line="240" w:lineRule="auto"/>
              <w:jc w:val="both"/>
              <w:rPr>
                <w:rFonts w:ascii="Times New Roman" w:hAnsi="Times New Roman"/>
                <w:color w:val="000000" w:themeColor="text1"/>
                <w:sz w:val="16"/>
                <w:szCs w:val="16"/>
              </w:rPr>
            </w:pPr>
          </w:p>
        </w:tc>
        <w:tc>
          <w:tcPr>
            <w:tcW w:w="456" w:type="dxa"/>
            <w:tcBorders>
              <w:top w:val="single" w:sz="4" w:space="0" w:color="auto"/>
              <w:bottom w:val="single" w:sz="4" w:space="0" w:color="auto"/>
            </w:tcBorders>
            <w:shd w:val="clear" w:color="auto" w:fill="FFFFFF"/>
          </w:tcPr>
          <w:p w14:paraId="4D5F03BF" w14:textId="77777777" w:rsidR="008D722B" w:rsidRPr="008127F8" w:rsidRDefault="008D722B" w:rsidP="001E0A84">
            <w:pPr>
              <w:spacing w:after="0" w:line="240" w:lineRule="auto"/>
              <w:jc w:val="both"/>
              <w:rPr>
                <w:rFonts w:ascii="Times New Roman" w:hAnsi="Times New Roman"/>
                <w:color w:val="000000" w:themeColor="text1"/>
                <w:sz w:val="16"/>
                <w:szCs w:val="16"/>
              </w:rPr>
            </w:pPr>
          </w:p>
        </w:tc>
        <w:tc>
          <w:tcPr>
            <w:tcW w:w="1128" w:type="dxa"/>
            <w:tcBorders>
              <w:top w:val="single" w:sz="4" w:space="0" w:color="auto"/>
              <w:bottom w:val="single" w:sz="4" w:space="0" w:color="auto"/>
            </w:tcBorders>
            <w:shd w:val="clear" w:color="auto" w:fill="FFFFFF"/>
          </w:tcPr>
          <w:p w14:paraId="511FA7C1"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Style w:val="Bodytext17"/>
                <w:rFonts w:eastAsia="Calibri"/>
                <w:color w:val="000000" w:themeColor="text1"/>
                <w:sz w:val="16"/>
                <w:szCs w:val="16"/>
              </w:rPr>
              <w:t>Основная толщина (в мм)</w:t>
            </w:r>
          </w:p>
        </w:tc>
        <w:tc>
          <w:tcPr>
            <w:tcW w:w="1037" w:type="dxa"/>
            <w:tcBorders>
              <w:top w:val="single" w:sz="4" w:space="0" w:color="auto"/>
              <w:bottom w:val="single" w:sz="4" w:space="0" w:color="auto"/>
            </w:tcBorders>
            <w:shd w:val="clear" w:color="auto" w:fill="FFFFFF"/>
          </w:tcPr>
          <w:p w14:paraId="46736A2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Толщина экрана (в мм)</w:t>
            </w:r>
          </w:p>
        </w:tc>
      </w:tr>
      <w:tr w:rsidR="006F4095" w:rsidRPr="008127F8" w14:paraId="45E7AC8E" w14:textId="77777777" w:rsidTr="00CB6E72">
        <w:trPr>
          <w:trHeight w:val="341"/>
        </w:trPr>
        <w:tc>
          <w:tcPr>
            <w:tcW w:w="480" w:type="dxa"/>
            <w:tcBorders>
              <w:top w:val="single" w:sz="4" w:space="0" w:color="auto"/>
              <w:bottom w:val="single" w:sz="4" w:space="0" w:color="auto"/>
            </w:tcBorders>
            <w:shd w:val="clear" w:color="auto" w:fill="FFFFFF"/>
          </w:tcPr>
          <w:p w14:paraId="37E0BC67"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813" w:type="dxa"/>
            <w:tcBorders>
              <w:top w:val="single" w:sz="4" w:space="0" w:color="auto"/>
              <w:bottom w:val="single" w:sz="4" w:space="0" w:color="auto"/>
            </w:tcBorders>
            <w:shd w:val="clear" w:color="auto" w:fill="FFFFFF"/>
          </w:tcPr>
          <w:p w14:paraId="43A88DE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корпуса передний</w:t>
            </w:r>
          </w:p>
        </w:tc>
        <w:tc>
          <w:tcPr>
            <w:tcW w:w="811" w:type="dxa"/>
            <w:tcBorders>
              <w:top w:val="single" w:sz="4" w:space="0" w:color="auto"/>
              <w:bottom w:val="single" w:sz="4" w:space="0" w:color="auto"/>
            </w:tcBorders>
            <w:shd w:val="clear" w:color="auto" w:fill="FFFFFF"/>
          </w:tcPr>
          <w:p w14:paraId="34592353"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5AACEE6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c>
          <w:tcPr>
            <w:tcW w:w="456" w:type="dxa"/>
            <w:tcBorders>
              <w:top w:val="single" w:sz="4" w:space="0" w:color="auto"/>
              <w:bottom w:val="single" w:sz="4" w:space="0" w:color="auto"/>
            </w:tcBorders>
            <w:shd w:val="clear" w:color="auto" w:fill="FFFFFF"/>
          </w:tcPr>
          <w:p w14:paraId="3743020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128" w:type="dxa"/>
            <w:tcBorders>
              <w:top w:val="single" w:sz="4" w:space="0" w:color="auto"/>
              <w:bottom w:val="single" w:sz="4" w:space="0" w:color="auto"/>
            </w:tcBorders>
            <w:shd w:val="clear" w:color="auto" w:fill="FFFFFF"/>
          </w:tcPr>
          <w:p w14:paraId="20B1456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4BC0FE4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1FF7D782" w14:textId="77777777" w:rsidTr="00CB6E72">
        <w:trPr>
          <w:trHeight w:val="346"/>
        </w:trPr>
        <w:tc>
          <w:tcPr>
            <w:tcW w:w="480" w:type="dxa"/>
            <w:tcBorders>
              <w:top w:val="single" w:sz="4" w:space="0" w:color="auto"/>
              <w:bottom w:val="single" w:sz="4" w:space="0" w:color="auto"/>
            </w:tcBorders>
            <w:shd w:val="clear" w:color="auto" w:fill="FFFFFF"/>
          </w:tcPr>
          <w:p w14:paraId="63D3975B"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2813" w:type="dxa"/>
            <w:tcBorders>
              <w:top w:val="single" w:sz="4" w:space="0" w:color="auto"/>
              <w:bottom w:val="single" w:sz="4" w:space="0" w:color="auto"/>
            </w:tcBorders>
            <w:shd w:val="clear" w:color="auto" w:fill="FFFFFF"/>
          </w:tcPr>
          <w:p w14:paraId="47625AB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Щиток водителя</w:t>
            </w:r>
          </w:p>
        </w:tc>
        <w:tc>
          <w:tcPr>
            <w:tcW w:w="811" w:type="dxa"/>
            <w:tcBorders>
              <w:top w:val="single" w:sz="4" w:space="0" w:color="auto"/>
              <w:bottom w:val="single" w:sz="4" w:space="0" w:color="auto"/>
            </w:tcBorders>
            <w:shd w:val="clear" w:color="auto" w:fill="FFFFFF"/>
          </w:tcPr>
          <w:p w14:paraId="23401F50"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6DFE164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w:t>
            </w:r>
          </w:p>
        </w:tc>
        <w:tc>
          <w:tcPr>
            <w:tcW w:w="456" w:type="dxa"/>
            <w:tcBorders>
              <w:top w:val="single" w:sz="4" w:space="0" w:color="auto"/>
              <w:bottom w:val="single" w:sz="4" w:space="0" w:color="auto"/>
            </w:tcBorders>
            <w:shd w:val="clear" w:color="auto" w:fill="FFFFFF"/>
          </w:tcPr>
          <w:p w14:paraId="47AA8AC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28" w:type="dxa"/>
            <w:tcBorders>
              <w:top w:val="single" w:sz="4" w:space="0" w:color="auto"/>
              <w:bottom w:val="single" w:sz="4" w:space="0" w:color="auto"/>
            </w:tcBorders>
            <w:shd w:val="clear" w:color="auto" w:fill="FFFFFF"/>
          </w:tcPr>
          <w:p w14:paraId="749B93A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0F7BEB20"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0A9714BE" w14:textId="77777777" w:rsidTr="00CB6E72">
        <w:trPr>
          <w:trHeight w:val="341"/>
        </w:trPr>
        <w:tc>
          <w:tcPr>
            <w:tcW w:w="480" w:type="dxa"/>
            <w:tcBorders>
              <w:top w:val="single" w:sz="4" w:space="0" w:color="auto"/>
              <w:bottom w:val="single" w:sz="4" w:space="0" w:color="auto"/>
            </w:tcBorders>
            <w:shd w:val="clear" w:color="auto" w:fill="FFFFFF"/>
          </w:tcPr>
          <w:p w14:paraId="02136880"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2813" w:type="dxa"/>
            <w:tcBorders>
              <w:top w:val="single" w:sz="4" w:space="0" w:color="auto"/>
              <w:bottom w:val="single" w:sz="4" w:space="0" w:color="auto"/>
            </w:tcBorders>
            <w:shd w:val="clear" w:color="auto" w:fill="FFFFFF"/>
          </w:tcPr>
          <w:p w14:paraId="3D9CBAE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кабины лобовой</w:t>
            </w:r>
          </w:p>
        </w:tc>
        <w:tc>
          <w:tcPr>
            <w:tcW w:w="811" w:type="dxa"/>
            <w:tcBorders>
              <w:top w:val="single" w:sz="4" w:space="0" w:color="auto"/>
              <w:bottom w:val="single" w:sz="4" w:space="0" w:color="auto"/>
            </w:tcBorders>
            <w:shd w:val="clear" w:color="auto" w:fill="FFFFFF"/>
          </w:tcPr>
          <w:p w14:paraId="40BB504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6D03267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w:t>
            </w:r>
          </w:p>
        </w:tc>
        <w:tc>
          <w:tcPr>
            <w:tcW w:w="456" w:type="dxa"/>
            <w:tcBorders>
              <w:top w:val="single" w:sz="4" w:space="0" w:color="auto"/>
              <w:bottom w:val="single" w:sz="4" w:space="0" w:color="auto"/>
            </w:tcBorders>
            <w:shd w:val="clear" w:color="auto" w:fill="FFFFFF"/>
          </w:tcPr>
          <w:p w14:paraId="2CE7239B"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28" w:type="dxa"/>
            <w:tcBorders>
              <w:top w:val="single" w:sz="4" w:space="0" w:color="auto"/>
              <w:bottom w:val="single" w:sz="4" w:space="0" w:color="auto"/>
            </w:tcBorders>
            <w:shd w:val="clear" w:color="auto" w:fill="FFFFFF"/>
          </w:tcPr>
          <w:p w14:paraId="3A4DC7B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54F3086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5BB6B123" w14:textId="77777777" w:rsidTr="00CB6E72">
        <w:trPr>
          <w:trHeight w:val="341"/>
        </w:trPr>
        <w:tc>
          <w:tcPr>
            <w:tcW w:w="480" w:type="dxa"/>
            <w:tcBorders>
              <w:top w:val="single" w:sz="4" w:space="0" w:color="auto"/>
              <w:bottom w:val="single" w:sz="4" w:space="0" w:color="auto"/>
            </w:tcBorders>
            <w:shd w:val="clear" w:color="auto" w:fill="FFFFFF"/>
          </w:tcPr>
          <w:p w14:paraId="61037A03"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2813" w:type="dxa"/>
            <w:tcBorders>
              <w:top w:val="single" w:sz="4" w:space="0" w:color="auto"/>
              <w:bottom w:val="single" w:sz="4" w:space="0" w:color="auto"/>
            </w:tcBorders>
            <w:shd w:val="clear" w:color="auto" w:fill="FFFFFF"/>
          </w:tcPr>
          <w:p w14:paraId="5D6CBFB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кабины боковой</w:t>
            </w:r>
          </w:p>
        </w:tc>
        <w:tc>
          <w:tcPr>
            <w:tcW w:w="811" w:type="dxa"/>
            <w:tcBorders>
              <w:top w:val="single" w:sz="4" w:space="0" w:color="auto"/>
              <w:bottom w:val="single" w:sz="4" w:space="0" w:color="auto"/>
            </w:tcBorders>
            <w:shd w:val="clear" w:color="auto" w:fill="FFFFFF"/>
          </w:tcPr>
          <w:p w14:paraId="3004E97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77E37D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w:t>
            </w:r>
          </w:p>
        </w:tc>
        <w:tc>
          <w:tcPr>
            <w:tcW w:w="456" w:type="dxa"/>
            <w:tcBorders>
              <w:top w:val="single" w:sz="4" w:space="0" w:color="auto"/>
              <w:bottom w:val="single" w:sz="4" w:space="0" w:color="auto"/>
            </w:tcBorders>
            <w:shd w:val="clear" w:color="auto" w:fill="FFFFFF"/>
          </w:tcPr>
          <w:p w14:paraId="50317F0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28" w:type="dxa"/>
            <w:tcBorders>
              <w:top w:val="single" w:sz="4" w:space="0" w:color="auto"/>
              <w:bottom w:val="single" w:sz="4" w:space="0" w:color="auto"/>
            </w:tcBorders>
            <w:shd w:val="clear" w:color="auto" w:fill="FFFFFF"/>
          </w:tcPr>
          <w:p w14:paraId="15E44CA0"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725C585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5B33BB73" w14:textId="77777777" w:rsidTr="00CB6E72">
        <w:trPr>
          <w:trHeight w:val="341"/>
        </w:trPr>
        <w:tc>
          <w:tcPr>
            <w:tcW w:w="480" w:type="dxa"/>
            <w:tcBorders>
              <w:top w:val="single" w:sz="4" w:space="0" w:color="auto"/>
              <w:bottom w:val="single" w:sz="4" w:space="0" w:color="auto"/>
            </w:tcBorders>
            <w:shd w:val="clear" w:color="auto" w:fill="FFFFFF"/>
          </w:tcPr>
          <w:p w14:paraId="0AB6855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813" w:type="dxa"/>
            <w:tcBorders>
              <w:top w:val="single" w:sz="4" w:space="0" w:color="auto"/>
              <w:bottom w:val="single" w:sz="4" w:space="0" w:color="auto"/>
            </w:tcBorders>
            <w:shd w:val="clear" w:color="auto" w:fill="FFFFFF"/>
          </w:tcPr>
          <w:p w14:paraId="1725936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ниши башни правый</w:t>
            </w:r>
          </w:p>
        </w:tc>
        <w:tc>
          <w:tcPr>
            <w:tcW w:w="811" w:type="dxa"/>
            <w:tcBorders>
              <w:top w:val="single" w:sz="4" w:space="0" w:color="auto"/>
              <w:bottom w:val="single" w:sz="4" w:space="0" w:color="auto"/>
            </w:tcBorders>
            <w:shd w:val="clear" w:color="auto" w:fill="FFFFFF"/>
          </w:tcPr>
          <w:p w14:paraId="17958103"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5D82FD5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053E0E1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28" w:type="dxa"/>
            <w:tcBorders>
              <w:top w:val="single" w:sz="4" w:space="0" w:color="auto"/>
              <w:bottom w:val="single" w:sz="4" w:space="0" w:color="auto"/>
            </w:tcBorders>
            <w:shd w:val="clear" w:color="auto" w:fill="FFFFFF"/>
          </w:tcPr>
          <w:p w14:paraId="38AF11C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2F4A949B"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543FF7C1" w14:textId="77777777" w:rsidTr="00CB6E72">
        <w:trPr>
          <w:trHeight w:val="346"/>
        </w:trPr>
        <w:tc>
          <w:tcPr>
            <w:tcW w:w="480" w:type="dxa"/>
            <w:tcBorders>
              <w:top w:val="single" w:sz="4" w:space="0" w:color="auto"/>
              <w:bottom w:val="single" w:sz="4" w:space="0" w:color="auto"/>
            </w:tcBorders>
            <w:shd w:val="clear" w:color="auto" w:fill="FFFFFF"/>
          </w:tcPr>
          <w:p w14:paraId="6AAB0D0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2813" w:type="dxa"/>
            <w:tcBorders>
              <w:top w:val="single" w:sz="4" w:space="0" w:color="auto"/>
              <w:bottom w:val="single" w:sz="4" w:space="0" w:color="auto"/>
            </w:tcBorders>
            <w:shd w:val="clear" w:color="auto" w:fill="FFFFFF"/>
          </w:tcPr>
          <w:p w14:paraId="3F1EE49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ниши башни левый</w:t>
            </w:r>
          </w:p>
        </w:tc>
        <w:tc>
          <w:tcPr>
            <w:tcW w:w="811" w:type="dxa"/>
            <w:tcBorders>
              <w:top w:val="single" w:sz="4" w:space="0" w:color="auto"/>
              <w:bottom w:val="single" w:sz="4" w:space="0" w:color="auto"/>
            </w:tcBorders>
            <w:shd w:val="clear" w:color="auto" w:fill="FFFFFF"/>
          </w:tcPr>
          <w:p w14:paraId="1F3426A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2EBCD96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1DECDF0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28" w:type="dxa"/>
            <w:tcBorders>
              <w:top w:val="single" w:sz="4" w:space="0" w:color="auto"/>
              <w:bottom w:val="single" w:sz="4" w:space="0" w:color="auto"/>
            </w:tcBorders>
            <w:shd w:val="clear" w:color="auto" w:fill="FFFFFF"/>
          </w:tcPr>
          <w:p w14:paraId="233488C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3170ECF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4583F81C" w14:textId="77777777" w:rsidTr="00CB6E72">
        <w:trPr>
          <w:trHeight w:val="341"/>
        </w:trPr>
        <w:tc>
          <w:tcPr>
            <w:tcW w:w="480" w:type="dxa"/>
            <w:tcBorders>
              <w:top w:val="single" w:sz="4" w:space="0" w:color="auto"/>
              <w:bottom w:val="single" w:sz="4" w:space="0" w:color="auto"/>
            </w:tcBorders>
            <w:shd w:val="clear" w:color="auto" w:fill="FFFFFF"/>
          </w:tcPr>
          <w:p w14:paraId="3510852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2813" w:type="dxa"/>
            <w:tcBorders>
              <w:top w:val="single" w:sz="4" w:space="0" w:color="auto"/>
              <w:bottom w:val="single" w:sz="4" w:space="0" w:color="auto"/>
            </w:tcBorders>
            <w:shd w:val="clear" w:color="auto" w:fill="FFFFFF"/>
          </w:tcPr>
          <w:p w14:paraId="55D0DB1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передний правый</w:t>
            </w:r>
          </w:p>
        </w:tc>
        <w:tc>
          <w:tcPr>
            <w:tcW w:w="811" w:type="dxa"/>
            <w:tcBorders>
              <w:top w:val="single" w:sz="4" w:space="0" w:color="auto"/>
              <w:bottom w:val="single" w:sz="4" w:space="0" w:color="auto"/>
            </w:tcBorders>
            <w:shd w:val="clear" w:color="auto" w:fill="FFFFFF"/>
          </w:tcPr>
          <w:p w14:paraId="48711A54"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360BEBB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025EDE9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c>
          <w:tcPr>
            <w:tcW w:w="1128" w:type="dxa"/>
            <w:tcBorders>
              <w:top w:val="single" w:sz="4" w:space="0" w:color="auto"/>
              <w:bottom w:val="single" w:sz="4" w:space="0" w:color="auto"/>
            </w:tcBorders>
            <w:shd w:val="clear" w:color="auto" w:fill="FFFFFF"/>
          </w:tcPr>
          <w:p w14:paraId="0C8D29A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1E83E8B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34861AFF" w14:textId="77777777" w:rsidTr="00CB6E72">
        <w:trPr>
          <w:trHeight w:val="346"/>
        </w:trPr>
        <w:tc>
          <w:tcPr>
            <w:tcW w:w="480" w:type="dxa"/>
            <w:tcBorders>
              <w:top w:val="single" w:sz="4" w:space="0" w:color="auto"/>
              <w:bottom w:val="single" w:sz="4" w:space="0" w:color="auto"/>
            </w:tcBorders>
            <w:shd w:val="clear" w:color="auto" w:fill="FFFFFF"/>
          </w:tcPr>
          <w:p w14:paraId="72D21EE0"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2813" w:type="dxa"/>
            <w:tcBorders>
              <w:top w:val="single" w:sz="4" w:space="0" w:color="auto"/>
              <w:bottom w:val="single" w:sz="4" w:space="0" w:color="auto"/>
            </w:tcBorders>
            <w:shd w:val="clear" w:color="auto" w:fill="FFFFFF"/>
          </w:tcPr>
          <w:p w14:paraId="01F771A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передний левый</w:t>
            </w:r>
          </w:p>
        </w:tc>
        <w:tc>
          <w:tcPr>
            <w:tcW w:w="811" w:type="dxa"/>
            <w:tcBorders>
              <w:top w:val="single" w:sz="4" w:space="0" w:color="auto"/>
              <w:bottom w:val="single" w:sz="4" w:space="0" w:color="auto"/>
            </w:tcBorders>
            <w:shd w:val="clear" w:color="auto" w:fill="FFFFFF"/>
          </w:tcPr>
          <w:p w14:paraId="0CD024A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281B06B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2FDD887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c>
          <w:tcPr>
            <w:tcW w:w="1128" w:type="dxa"/>
            <w:tcBorders>
              <w:top w:val="single" w:sz="4" w:space="0" w:color="auto"/>
              <w:bottom w:val="single" w:sz="4" w:space="0" w:color="auto"/>
            </w:tcBorders>
            <w:shd w:val="clear" w:color="auto" w:fill="FFFFFF"/>
          </w:tcPr>
          <w:p w14:paraId="60C920B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1EF83E9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40C117D0" w14:textId="77777777" w:rsidTr="00CB6E72">
        <w:trPr>
          <w:trHeight w:val="341"/>
        </w:trPr>
        <w:tc>
          <w:tcPr>
            <w:tcW w:w="480" w:type="dxa"/>
            <w:tcBorders>
              <w:top w:val="single" w:sz="4" w:space="0" w:color="auto"/>
              <w:bottom w:val="single" w:sz="4" w:space="0" w:color="auto"/>
            </w:tcBorders>
            <w:shd w:val="clear" w:color="auto" w:fill="FFFFFF"/>
          </w:tcPr>
          <w:p w14:paraId="17C670F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2813" w:type="dxa"/>
            <w:tcBorders>
              <w:top w:val="single" w:sz="4" w:space="0" w:color="auto"/>
              <w:bottom w:val="single" w:sz="4" w:space="0" w:color="auto"/>
            </w:tcBorders>
            <w:shd w:val="clear" w:color="auto" w:fill="FFFFFF"/>
          </w:tcPr>
          <w:p w14:paraId="32E7B241"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средний правый</w:t>
            </w:r>
          </w:p>
        </w:tc>
        <w:tc>
          <w:tcPr>
            <w:tcW w:w="811" w:type="dxa"/>
            <w:tcBorders>
              <w:top w:val="single" w:sz="4" w:space="0" w:color="auto"/>
              <w:bottom w:val="single" w:sz="4" w:space="0" w:color="auto"/>
            </w:tcBorders>
            <w:shd w:val="clear" w:color="auto" w:fill="FFFFFF"/>
          </w:tcPr>
          <w:p w14:paraId="7DAE463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21C9C88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551F0E1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c>
          <w:tcPr>
            <w:tcW w:w="1128" w:type="dxa"/>
            <w:tcBorders>
              <w:top w:val="single" w:sz="4" w:space="0" w:color="auto"/>
              <w:bottom w:val="single" w:sz="4" w:space="0" w:color="auto"/>
            </w:tcBorders>
            <w:shd w:val="clear" w:color="auto" w:fill="FFFFFF"/>
          </w:tcPr>
          <w:p w14:paraId="236CEF9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253015CD"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447A1A02" w14:textId="77777777" w:rsidTr="00CB6E72">
        <w:trPr>
          <w:trHeight w:val="509"/>
        </w:trPr>
        <w:tc>
          <w:tcPr>
            <w:tcW w:w="480" w:type="dxa"/>
            <w:tcBorders>
              <w:top w:val="single" w:sz="4" w:space="0" w:color="auto"/>
              <w:bottom w:val="single" w:sz="4" w:space="0" w:color="auto"/>
            </w:tcBorders>
            <w:shd w:val="clear" w:color="auto" w:fill="FFFFFF"/>
          </w:tcPr>
          <w:p w14:paraId="4ABB653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813" w:type="dxa"/>
            <w:tcBorders>
              <w:top w:val="single" w:sz="4" w:space="0" w:color="auto"/>
              <w:bottom w:val="single" w:sz="4" w:space="0" w:color="auto"/>
            </w:tcBorders>
            <w:shd w:val="clear" w:color="auto" w:fill="FFFFFF"/>
          </w:tcPr>
          <w:p w14:paraId="122618D1"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средний левый и задний правый</w:t>
            </w:r>
          </w:p>
        </w:tc>
        <w:tc>
          <w:tcPr>
            <w:tcW w:w="811" w:type="dxa"/>
            <w:tcBorders>
              <w:top w:val="single" w:sz="4" w:space="0" w:color="auto"/>
              <w:bottom w:val="single" w:sz="4" w:space="0" w:color="auto"/>
            </w:tcBorders>
            <w:shd w:val="clear" w:color="auto" w:fill="FFFFFF"/>
          </w:tcPr>
          <w:p w14:paraId="5A92C1B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B1FA297"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17AD4B6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c>
          <w:tcPr>
            <w:tcW w:w="1128" w:type="dxa"/>
            <w:tcBorders>
              <w:top w:val="single" w:sz="4" w:space="0" w:color="auto"/>
              <w:bottom w:val="single" w:sz="4" w:space="0" w:color="auto"/>
            </w:tcBorders>
            <w:shd w:val="clear" w:color="auto" w:fill="FFFFFF"/>
          </w:tcPr>
          <w:p w14:paraId="6E32925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25262C31"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6054A988" w14:textId="77777777" w:rsidTr="00CB6E72">
        <w:trPr>
          <w:trHeight w:val="341"/>
        </w:trPr>
        <w:tc>
          <w:tcPr>
            <w:tcW w:w="480" w:type="dxa"/>
            <w:tcBorders>
              <w:top w:val="single" w:sz="4" w:space="0" w:color="auto"/>
              <w:bottom w:val="single" w:sz="4" w:space="0" w:color="auto"/>
            </w:tcBorders>
            <w:shd w:val="clear" w:color="auto" w:fill="FFFFFF"/>
          </w:tcPr>
          <w:p w14:paraId="1B44A023"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813" w:type="dxa"/>
            <w:tcBorders>
              <w:top w:val="single" w:sz="4" w:space="0" w:color="auto"/>
              <w:bottom w:val="single" w:sz="4" w:space="0" w:color="auto"/>
            </w:tcBorders>
            <w:shd w:val="clear" w:color="auto" w:fill="FFFFFF"/>
          </w:tcPr>
          <w:p w14:paraId="32C0174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задний левый</w:t>
            </w:r>
          </w:p>
        </w:tc>
        <w:tc>
          <w:tcPr>
            <w:tcW w:w="811" w:type="dxa"/>
            <w:tcBorders>
              <w:top w:val="single" w:sz="4" w:space="0" w:color="auto"/>
              <w:bottom w:val="single" w:sz="4" w:space="0" w:color="auto"/>
            </w:tcBorders>
            <w:shd w:val="clear" w:color="auto" w:fill="FFFFFF"/>
          </w:tcPr>
          <w:p w14:paraId="0E4A2AA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E5422E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0CCC2C59"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1128" w:type="dxa"/>
            <w:tcBorders>
              <w:top w:val="single" w:sz="4" w:space="0" w:color="auto"/>
              <w:bottom w:val="single" w:sz="4" w:space="0" w:color="auto"/>
            </w:tcBorders>
            <w:shd w:val="clear" w:color="auto" w:fill="FFFFFF"/>
          </w:tcPr>
          <w:p w14:paraId="0FCE14C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70008E01"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3EBC5FE4" w14:textId="77777777" w:rsidTr="00CB6E72">
        <w:trPr>
          <w:trHeight w:val="346"/>
        </w:trPr>
        <w:tc>
          <w:tcPr>
            <w:tcW w:w="480" w:type="dxa"/>
            <w:tcBorders>
              <w:top w:val="single" w:sz="4" w:space="0" w:color="auto"/>
              <w:bottom w:val="single" w:sz="4" w:space="0" w:color="auto"/>
            </w:tcBorders>
            <w:shd w:val="clear" w:color="auto" w:fill="FFFFFF"/>
          </w:tcPr>
          <w:p w14:paraId="2AF8B94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2813" w:type="dxa"/>
            <w:tcBorders>
              <w:top w:val="single" w:sz="4" w:space="0" w:color="auto"/>
              <w:bottom w:val="single" w:sz="4" w:space="0" w:color="auto"/>
            </w:tcBorders>
            <w:shd w:val="clear" w:color="auto" w:fill="FFFFFF"/>
          </w:tcPr>
          <w:p w14:paraId="22E8775E"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задний</w:t>
            </w:r>
          </w:p>
        </w:tc>
        <w:tc>
          <w:tcPr>
            <w:tcW w:w="811" w:type="dxa"/>
            <w:tcBorders>
              <w:top w:val="single" w:sz="4" w:space="0" w:color="auto"/>
              <w:bottom w:val="single" w:sz="4" w:space="0" w:color="auto"/>
            </w:tcBorders>
            <w:shd w:val="clear" w:color="auto" w:fill="FFFFFF"/>
          </w:tcPr>
          <w:p w14:paraId="4B3808D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3FB7388E"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73017860"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c>
          <w:tcPr>
            <w:tcW w:w="1128" w:type="dxa"/>
            <w:tcBorders>
              <w:top w:val="single" w:sz="4" w:space="0" w:color="auto"/>
              <w:bottom w:val="single" w:sz="4" w:space="0" w:color="auto"/>
            </w:tcBorders>
            <w:shd w:val="clear" w:color="auto" w:fill="FFFFFF"/>
          </w:tcPr>
          <w:p w14:paraId="1A73DE1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6A1B91F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6AC9B4A9" w14:textId="77777777" w:rsidTr="00CB6E72">
        <w:trPr>
          <w:trHeight w:val="341"/>
        </w:trPr>
        <w:tc>
          <w:tcPr>
            <w:tcW w:w="480" w:type="dxa"/>
            <w:tcBorders>
              <w:top w:val="single" w:sz="4" w:space="0" w:color="auto"/>
              <w:bottom w:val="single" w:sz="4" w:space="0" w:color="auto"/>
            </w:tcBorders>
            <w:shd w:val="clear" w:color="auto" w:fill="FFFFFF"/>
          </w:tcPr>
          <w:p w14:paraId="5BB7848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2813" w:type="dxa"/>
            <w:tcBorders>
              <w:top w:val="single" w:sz="4" w:space="0" w:color="auto"/>
              <w:bottom w:val="single" w:sz="4" w:space="0" w:color="auto"/>
            </w:tcBorders>
            <w:shd w:val="clear" w:color="auto" w:fill="FFFFFF"/>
          </w:tcPr>
          <w:p w14:paraId="2A63C23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 башни передний нижний</w:t>
            </w:r>
          </w:p>
        </w:tc>
        <w:tc>
          <w:tcPr>
            <w:tcW w:w="811" w:type="dxa"/>
            <w:tcBorders>
              <w:top w:val="single" w:sz="4" w:space="0" w:color="auto"/>
              <w:bottom w:val="single" w:sz="4" w:space="0" w:color="auto"/>
            </w:tcBorders>
            <w:shd w:val="clear" w:color="auto" w:fill="FFFFFF"/>
          </w:tcPr>
          <w:p w14:paraId="501EF1BA"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E2C516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153C88CF"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1128" w:type="dxa"/>
            <w:tcBorders>
              <w:top w:val="single" w:sz="4" w:space="0" w:color="auto"/>
              <w:bottom w:val="single" w:sz="4" w:space="0" w:color="auto"/>
            </w:tcBorders>
            <w:shd w:val="clear" w:color="auto" w:fill="FFFFFF"/>
          </w:tcPr>
          <w:p w14:paraId="4E59283E"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4D69B17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1D47A671" w14:textId="77777777" w:rsidTr="00CB6E72">
        <w:trPr>
          <w:trHeight w:val="350"/>
        </w:trPr>
        <w:tc>
          <w:tcPr>
            <w:tcW w:w="480" w:type="dxa"/>
            <w:tcBorders>
              <w:top w:val="single" w:sz="4" w:space="0" w:color="auto"/>
              <w:bottom w:val="single" w:sz="4" w:space="0" w:color="auto"/>
            </w:tcBorders>
            <w:shd w:val="clear" w:color="auto" w:fill="FFFFFF"/>
          </w:tcPr>
          <w:p w14:paraId="5724AB75"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2813" w:type="dxa"/>
            <w:tcBorders>
              <w:top w:val="single" w:sz="4" w:space="0" w:color="auto"/>
              <w:bottom w:val="single" w:sz="4" w:space="0" w:color="auto"/>
            </w:tcBorders>
            <w:shd w:val="clear" w:color="auto" w:fill="FFFFFF"/>
          </w:tcPr>
          <w:p w14:paraId="34D28F48"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Щит корпуса защиты маски</w:t>
            </w:r>
          </w:p>
        </w:tc>
        <w:tc>
          <w:tcPr>
            <w:tcW w:w="811" w:type="dxa"/>
            <w:tcBorders>
              <w:top w:val="single" w:sz="4" w:space="0" w:color="auto"/>
              <w:bottom w:val="single" w:sz="4" w:space="0" w:color="auto"/>
            </w:tcBorders>
            <w:shd w:val="clear" w:color="auto" w:fill="FFFFFF"/>
          </w:tcPr>
          <w:p w14:paraId="0CCF8697"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106B02A2"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-066</w:t>
            </w:r>
          </w:p>
        </w:tc>
        <w:tc>
          <w:tcPr>
            <w:tcW w:w="456" w:type="dxa"/>
            <w:tcBorders>
              <w:top w:val="single" w:sz="4" w:space="0" w:color="auto"/>
              <w:bottom w:val="single" w:sz="4" w:space="0" w:color="auto"/>
            </w:tcBorders>
            <w:shd w:val="clear" w:color="auto" w:fill="FFFFFF"/>
          </w:tcPr>
          <w:p w14:paraId="7450C808" w14:textId="77777777" w:rsidR="008D722B" w:rsidRPr="008127F8" w:rsidRDefault="008D722B" w:rsidP="001E0A84">
            <w:pPr>
              <w:spacing w:after="0" w:line="240" w:lineRule="auto"/>
              <w:jc w:val="both"/>
              <w:rPr>
                <w:rFonts w:ascii="Times New Roman" w:hAnsi="Times New Roman"/>
                <w:color w:val="000000" w:themeColor="text1"/>
                <w:sz w:val="16"/>
                <w:szCs w:val="16"/>
              </w:rPr>
            </w:pPr>
          </w:p>
        </w:tc>
        <w:tc>
          <w:tcPr>
            <w:tcW w:w="1128" w:type="dxa"/>
            <w:tcBorders>
              <w:top w:val="single" w:sz="4" w:space="0" w:color="auto"/>
              <w:bottom w:val="single" w:sz="4" w:space="0" w:color="auto"/>
            </w:tcBorders>
            <w:shd w:val="clear" w:color="auto" w:fill="FFFFFF"/>
          </w:tcPr>
          <w:p w14:paraId="5A16CA2C"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3756F026" w14:textId="77777777" w:rsidR="008D722B" w:rsidRPr="008127F8" w:rsidRDefault="008D722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bl>
    <w:p w14:paraId="60C8FF36" w14:textId="77777777" w:rsidR="008D722B" w:rsidRPr="008127F8" w:rsidRDefault="008D722B" w:rsidP="001E0A84">
      <w:pPr>
        <w:pStyle w:val="162"/>
        <w:shd w:val="clear" w:color="auto" w:fill="auto"/>
        <w:spacing w:line="240" w:lineRule="auto"/>
        <w:jc w:val="both"/>
        <w:rPr>
          <w:color w:val="000000" w:themeColor="text1"/>
          <w:sz w:val="16"/>
          <w:szCs w:val="16"/>
        </w:rPr>
      </w:pPr>
      <w:r w:rsidRPr="008127F8">
        <w:rPr>
          <w:color w:val="000000" w:themeColor="text1"/>
          <w:sz w:val="16"/>
          <w:szCs w:val="16"/>
        </w:rPr>
        <w:t>(17485).</w:t>
      </w:r>
    </w:p>
    <w:p w14:paraId="19F3A35F" w14:textId="77777777" w:rsidR="008D722B" w:rsidRPr="008127F8" w:rsidRDefault="008D722B" w:rsidP="001E0A84">
      <w:pPr>
        <w:pStyle w:val="162"/>
        <w:shd w:val="clear" w:color="auto" w:fill="auto"/>
        <w:spacing w:line="240" w:lineRule="auto"/>
        <w:jc w:val="both"/>
        <w:rPr>
          <w:color w:val="000000" w:themeColor="text1"/>
          <w:sz w:val="16"/>
          <w:szCs w:val="16"/>
        </w:rPr>
      </w:pPr>
    </w:p>
    <w:p w14:paraId="32CF2471"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года по приказу начальника ГАБТУ КА генерал-лейтенанта Федоренко и начальника главного военно-химического управления Красной Армии генерал-майора Мельникова на Западном фронте прошло испытания установки фугасных огнеметов (ФОГ) на танке Т-34. всего испытывалось две машины, на каждом из которых установили по 10 огнеметов (5 на борт) в специальных броневых ящиках. Испытания - а всего провели три одиночных, три двойных выстрела и один залп сразу из пяти ФОГ - показали хорошую эффективность: дальность огнеметания до 90 метров, и ширина полосы огня до 6 метров для одного ФОГа. По результатам испытаний установку фугасных огнеметов на Т-34 рекомендовали для увеличения его огневой мощи. Правда, при этом рекомендовалось для облегчения работы уменьшить количество ФОГов на Т-34 с 10 до 8 штук, что впоследствии и было сделано (12217).</w:t>
      </w:r>
    </w:p>
    <w:p w14:paraId="4FB5CDFA"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0CABE2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января 1942 года вышел приказ № 4 НКВ:</w:t>
      </w:r>
    </w:p>
    <w:p w14:paraId="3912FF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связи с эвакуацией завода № 460 на новые базы, считать правопреемником его, со всеми вытекающими правами и обязательствами завода № 385 (9276).</w:t>
      </w:r>
    </w:p>
    <w:p w14:paraId="28E653B4" w14:textId="77777777" w:rsidR="00D4651C" w:rsidRPr="008127F8" w:rsidRDefault="00D4651C" w:rsidP="001E0A84">
      <w:pPr>
        <w:pStyle w:val="Iauiue"/>
        <w:jc w:val="both"/>
        <w:rPr>
          <w:color w:val="000000" w:themeColor="text1"/>
          <w:sz w:val="16"/>
          <w:szCs w:val="16"/>
        </w:rPr>
      </w:pPr>
    </w:p>
    <w:p w14:paraId="2725F6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года Приказом НКМВ за № 14 небольшая часть эвакуированного завода была возвращена в Углич для восстановления завода.</w:t>
      </w:r>
    </w:p>
    <w:p w14:paraId="766AE1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было начато в середине 1942 года в небольшом объеме (часовые камни).</w:t>
      </w:r>
    </w:p>
    <w:p w14:paraId="7D617B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также получил эвакуированное оборудование с Петергофского завода (10424).</w:t>
      </w:r>
    </w:p>
    <w:p w14:paraId="1FD63C9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8DE2D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 и 1 апреля 1942 г. в соответствии с решениями Хабаровского крайисполкома от № 39/1 и № 396/12 к предприятиям военной промышленности были отнесены: завод «Амурсталь» и строительный трест «Амуртяжстрой» в г. Комсомольске-на-Амуре, обозный завод в. г. Биробиджане, завод «Авторемлес» и завод им. Орджоникидзе в г. Хабаровске, завод Амурский металлист в г. Благовещенске (10701).</w:t>
      </w:r>
    </w:p>
    <w:p w14:paraId="7E92510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E3C2A93" w14:textId="77777777" w:rsidR="00F658A1" w:rsidRPr="008127F8" w:rsidRDefault="00F658A1" w:rsidP="001E0A84">
      <w:pPr>
        <w:pStyle w:val="Iauiue"/>
        <w:tabs>
          <w:tab w:val="left" w:pos="11199"/>
        </w:tabs>
        <w:jc w:val="both"/>
        <w:rPr>
          <w:color w:val="000000" w:themeColor="text1"/>
          <w:sz w:val="16"/>
          <w:szCs w:val="16"/>
        </w:rPr>
      </w:pPr>
      <w:r w:rsidRPr="008127F8">
        <w:rPr>
          <w:color w:val="000000" w:themeColor="text1"/>
          <w:sz w:val="16"/>
          <w:szCs w:val="16"/>
        </w:rPr>
        <w:t>12 января 1942 вышло Постановление ГКО № 1146 О реэвакуации части оборудования, материалов и инструмента НКПС. (7020, 88).</w:t>
      </w:r>
    </w:p>
    <w:p w14:paraId="753A34EC" w14:textId="77777777" w:rsidR="00F658A1" w:rsidRPr="008127F8" w:rsidRDefault="00F658A1" w:rsidP="001E0A84">
      <w:pPr>
        <w:pStyle w:val="Iauiue"/>
        <w:tabs>
          <w:tab w:val="left" w:pos="11199"/>
        </w:tabs>
        <w:jc w:val="both"/>
        <w:rPr>
          <w:color w:val="000000" w:themeColor="text1"/>
          <w:sz w:val="16"/>
          <w:szCs w:val="16"/>
        </w:rPr>
      </w:pPr>
    </w:p>
    <w:p w14:paraId="550D34A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76AA9CE6" w14:textId="77777777" w:rsidR="00D4651C" w:rsidRPr="008127F8" w:rsidRDefault="00D4651C" w:rsidP="001E0A84">
      <w:pPr>
        <w:pStyle w:val="Iauiue"/>
        <w:jc w:val="both"/>
        <w:rPr>
          <w:iCs/>
          <w:color w:val="000000" w:themeColor="text1"/>
          <w:sz w:val="16"/>
          <w:szCs w:val="16"/>
        </w:rPr>
      </w:pPr>
    </w:p>
    <w:p w14:paraId="0A520B69"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088C655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12 января на ряде участков фронта продолжались активные действия наших войск.</w:t>
      </w:r>
    </w:p>
    <w:p w14:paraId="0D182B79"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тов. Катукова (Западный фронт) выбила противника из населённого пункта и уничтожила батальон вражеской пехоты. Часть тов. Ремизова в бою у пункта 3. истребила 2 роты пехоты противника.</w:t>
      </w:r>
    </w:p>
    <w:p w14:paraId="7348804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из частей тов. Федюнинского (Ленинградский фронт), успешно осуществив намеченную операцию, истребила 240 гитлеровцев, захватила 4 пулемёта, 6 орудий и уничтожила 6 танков противника.</w:t>
      </w:r>
    </w:p>
    <w:p w14:paraId="3F6DC390"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(Юго-Западный фронт) за два дня боёв уничтожила 2 артиллерийские батареи, 3 миномётные батареи и истребила 2.500 немецких солдат и офицеров.</w:t>
      </w:r>
    </w:p>
    <w:p w14:paraId="70F445C0"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Танкист-лейтенант Цыбульский артиллерийским огнём и гусеницами танка уничтожил 3 противотанковых орудия и истребил 40 вражеских солдат и офицеров.</w:t>
      </w:r>
    </w:p>
    <w:p w14:paraId="6624B9C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отделения тов. Зарубин атаковал вместе со своими бойцами высоту, занятую немцами. Меткими выстрелами отважный командир уничтожил нескольких вражеских солдат и захватил немецкий пулемёт и автомат.</w:t>
      </w:r>
    </w:p>
    <w:p w14:paraId="29F8F2C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ныне освобождённого от немцев Мало-Вишерского района, Ленинградской области, за время своей деятельности произвели ряд удачных налётов на гитлеровцев. Недавно партизаны напали на карательный отряд фашистских бандитов и истребили 13 немцев. Устроив засаду, партизаны уничтожили немецкую танкетку, штабную машину с офицерами и радиостанцию. На днях партизаны провели в тыл противника подразделение красноармейцев и совместными усилиями разгромили немецкую часть. В результате этой операции наши части заняли важный пункт.</w:t>
      </w:r>
    </w:p>
    <w:p w14:paraId="4E864EB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Перешедший на сторону Красной Армии солдат 10 роты 459 полка 251 немецкой пехотной дивизии Альфред Ботт заявил: «Хлеб немецкие солдаты получают нерегулярно и не более 200—250 граммов в день. Утром дают 2 стакана чёрного кофе без сахара. На обед—водянистый гороховый или чечевичный суп. Наша дивизия понесла огромные потери. В 10 роте, перед тем как мы вступили в бой, было 155 солдат. Затем мы получили 15 человек пополнения. А теперь в роте осталось 30 солдат, из них больше половины обмороженных».</w:t>
      </w:r>
    </w:p>
    <w:p w14:paraId="1187034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Голодные итальянские женщины в городе Бра организовали демонстрацию. Толпа женщин прошла по городу с криками: «Долой немцев, кончайте войну!» Полицейские, пытавшиеся разогнать демонстрацию, были избиты. Произведены многочисленные аресты.</w:t>
      </w:r>
    </w:p>
    <w:p w14:paraId="039555C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 германской армии из кожи лезет вон, чтобы замаскировать потери своей авиации на Восточном фронте. С этой целью немцы усиленно фабрикуют лживые сообщения о несуществующих победах фашистской авиации. Так, 11 января гитлеровцы сообщили, что с 3 по 9 января советская авиация якобы потеряла 112 самолётов, а потери немцев составили всего 16 самолётов. Этот очередной трюк немецкой пропаганды рассчитан явно на дурачков. На самом деле немцы потеряли с 3 по 9 января 169 самолётов, в то время как потери советской авиации составили 39 машин.» (15007).</w:t>
      </w:r>
    </w:p>
    <w:p w14:paraId="13082908" w14:textId="77777777" w:rsidR="00401774" w:rsidRPr="008127F8" w:rsidRDefault="00401774" w:rsidP="001E0A84">
      <w:pPr>
        <w:spacing w:after="0" w:line="240" w:lineRule="auto"/>
        <w:jc w:val="both"/>
        <w:rPr>
          <w:rFonts w:ascii="Times New Roman" w:hAnsi="Times New Roman"/>
          <w:color w:val="000000" w:themeColor="text1"/>
          <w:sz w:val="16"/>
          <w:szCs w:val="16"/>
        </w:rPr>
      </w:pPr>
    </w:p>
    <w:p w14:paraId="3B1ACFC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EA2D8A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января на ряде участков фронта наши войска вели упорные бои с противником и заняли несколько населённых пунктов.</w:t>
      </w:r>
    </w:p>
    <w:p w14:paraId="185DFE5F"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января уничтожено 12 немецких самолётов. Наши потери — 3 самолёта.</w:t>
      </w:r>
    </w:p>
    <w:p w14:paraId="68F4407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января под Москвой сбито 3 немецких самолёта.</w:t>
      </w:r>
    </w:p>
    <w:p w14:paraId="7D5A6A79"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января одна наша авиачасть уничтожила 3 вражеских танка, более 130 автомашин с пехотой и грузами, 3 орудия с прислугой, 50 повозок с боеприпасами, автоцистерну с горючим, сожгла 16 железнодорожных вагонов, взорвала 2 склада с боеприпасами, рассеяла и частью истребила 2 батальона пехоты противника.</w:t>
      </w:r>
    </w:p>
    <w:p w14:paraId="10B3A23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Селезнёва (Западный фронт) за три дня ожесточённых боёв с противником выбили немцев из 7 населённых пунктов и захватили орудие, 20 пулемётов, 5 автомашин, 17 передвижных радиостанций, много снарядов и патронов. На поле боя осталось 220 трупов немецких солдат и офицеров.</w:t>
      </w:r>
    </w:p>
    <w:p w14:paraId="5662CE0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тов. Парфенюка (Ленинградский фронт), совершив удачный налёт на вражеский аэродром, уничтожили 12 немецких самолётов.</w:t>
      </w:r>
    </w:p>
    <w:p w14:paraId="2785D4C8"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тов. Гудкова (Западный фронт) внезапной атакой захватило один железнодорожный разъезд и находившийся на путях немецкий воинский эшелон. В числе захваченных трофеев —11 вагонов с оружием и боеприпасами; 12 немецких солдат из охраны эшелона сдались в плен.</w:t>
      </w:r>
    </w:p>
    <w:p w14:paraId="5440BD0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решительный момент боя командир артиллерийской части тов. Зимин стал к орудию и уничтожил 2 вражеских танка и несколько огневых точек противника.</w:t>
      </w:r>
    </w:p>
    <w:p w14:paraId="52A043C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запорожских партизанских отряда совершили налёт на село Б., где разместился на ночлег немецкий отряд. Обстреляв гитлеровцев, партизаны бросились в штыковую атаку. В ночном бою партизаны истребили 61 фашиста, из них 11 офицеров.</w:t>
      </w:r>
    </w:p>
    <w:p w14:paraId="695516C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351 полка 183 немецкой пехотной дивизии Пауль Хабарт рассказывает: «Я прибыл на фронт 21 декабря в составе 374 резервного батальона. После 4-дневных боёв наш батальон был полностью разгромлен и потерял 80 процентов своего состава. Остатки батальона в панике отступили. Ещё до начала боя наш батальон в течение четырёх суток не получал никакого питания. Солдаты нашего батальона прошли всего 4-недельную военную подготовку. Настроение солдат очень плохое. Между собой они говорят, что войны с Россией нам не вынести».</w:t>
      </w:r>
    </w:p>
    <w:p w14:paraId="00571F2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Пленные солдаты немецкого 137 полка 2 горно-егерской дивизии рассказали, что недавно по приказу командира этого полка подполковника фон-Хейнкеля были расстреляны 3 солдата 1 батальона. Вся вина этих солдат заключалась в том, что они осмелились напомнить обер-лейтенанту о том, что им уже давно обещаны смена и отдых. Солдаты заявили, что у них нет больше сил терпеть и что они хотят только одного—вернуться домой. Вместо ответа они получили пули. Расправа над ними учинена в землянке, вблизи реки Лица.</w:t>
      </w:r>
    </w:p>
    <w:p w14:paraId="29527BED"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Тиньково, Высокинического района, Московской области, гитлеровцы расстреляли мать и дочь Сафоновых за то, что ребёнок Сафоновых якобы взял посылку у немецкого солдата. Трупы Сафоновых были выброшены на улицу. Немцы запретили их убирать в течение месяца. У Сафоновой осталось четверо малолетних детей.</w:t>
      </w:r>
    </w:p>
    <w:p w14:paraId="5C68F06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военном заводе в Эссене (Германия) количество несчастных случаев возросло за последний год в 40 раз. Сообщают, что большинство несчастных случаев связано с крайним физическим истощением рабочих в виду систематического недоедания и почти полного отсутствия мяса и жиров.».</w:t>
      </w:r>
    </w:p>
    <w:p w14:paraId="40DB048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Гитлеровским вандалам-громилам не удастся скрыть своих преступлений в Ясной Поляне.</w:t>
      </w:r>
    </w:p>
    <w:p w14:paraId="2D49342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своей ноте от 6 ноября 1942 года Народный Комиссар Иностранных дел Союза ССР В. М. Молотов довёл до сведения всего мира факты грабежа и разбоя немецких оккупантов в музее-усадьбе Л.Н.Толстого в Ясной Поляне, факты чудовищного надругательства фашистских варваров над памятью великого писателя.</w:t>
      </w:r>
    </w:p>
    <w:p w14:paraId="6C620A0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Пытаясь скрыть от мирового общественного мнения свои преступления и «опровергнуть» достоверные материалы, приводимые в ноте В.М.Молотова, германское информационное бюро выступило с заявлением, которое, однако, выдаёт гитлеровских разбойников, орудовавших в Ясной Поляне, с головой. В сообщении германского информационного бюро от 9 января говорится: «Музейный инвентарь большевики полностью вывеши из Ясной Поляны, так что при занятии этого пункта германскими войсками там не оставалось ничего, кроме стенных украшений, т. е. некоторых картин, исполненных самим Толстым».</w:t>
      </w:r>
    </w:p>
    <w:p w14:paraId="08280DFC"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сих пор всё культурное человечество знало, что Толстой писал не картины, а романы. Но гитлеровским дурачкам всё ни по чём. «Изучив» украденные своими головорезами картины, они «узнали» в них руку Толстого. Вот уж поистине невероятная смесь цинизма и невежества, наглости и беспардонного вранья! По своему обычаю фашистские брехуны тут же забывают, что сами пишут в своем «опровержении». Заявив, что «музейный инвентарь большевики полностью вывезли из Ясной Поляны», эти неумные писаки, не моргнув глазом, утверждают, что «оставшийся в наличии музейный инвентарь сохранён германским командованием...». Точь-в-точь, как баба, которая, не желая отдавать долг, говаривала: «Во-первых, я у тебя горшка не брала, во-вторых, я его отдала, в-третьих, я его разбила...».</w:t>
      </w:r>
    </w:p>
    <w:p w14:paraId="03AD22D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 составленный комиссией Академии наук СССР, в которую входили: внучка Льва Николаевича Толстого Софья Андpeевна Толстая, академик архитектуры А.В.Щусев, профессор архитектуры Б.А.Кондрашёв, хранитель музея в Ясной Поляне С.И.Щёголев, член-корреспондент Академии наук И. И. Минц, заведующая фондами Государственного музея Л.Н.Толстого Е.Н.Чеботаревская, редактор академического издания произведений Л.Н.Толстого Н.С.Родионов, начальник управления капитального строительства Академии наук инженер И.И.Бодалев и профессор Е.Н.Городецкий, полностью изобличает жуликов из германского информационного бюро. Приводим выдержку из этого акта:</w:t>
      </w:r>
    </w:p>
    <w:p w14:paraId="241E3E9D"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«Заняв комнаты бытового музея и комнату старшего сына Толстого — Сергея Львовича Толстого, фашисты путём отмычек взломали замки от запертых столов и шкафов; тут же было похищено из шкафа седло Л.Н.Толстого, которым он пользовался при верховой езде до самого своего ухода из Ясной Поляны, и одежда крестьян района Ясной Поляны разных эпох, имеющая этнографическое значение. Эта одежда, а также бельё из шкафа С.Л.Толстого были разделены фашистскими офицерами по рукам».</w:t>
      </w:r>
    </w:p>
    <w:p w14:paraId="3754E2D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Приводим далее выдержку из приложения № 5 к акту, в котором один за другим перечислены германские «трофеи» в Ясной Поляне:</w:t>
      </w:r>
    </w:p>
    <w:p w14:paraId="4E8EB808"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Седло, которым пользовался при верховой езде до последних дней своей жизни Лев Николаевич;</w:t>
      </w:r>
    </w:p>
    <w:p w14:paraId="5436DCA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Круглые стенные часы;</w:t>
      </w:r>
    </w:p>
    <w:p w14:paraId="57BBD30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Большое количество документальных фотографий, изображавших Л. Н. Толстого в разные периоды жизни;</w:t>
      </w:r>
    </w:p>
    <w:p w14:paraId="5B9B7DA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Часть книг ив оставшейся меморативной библиотеки;</w:t>
      </w:r>
    </w:p>
    <w:p w14:paraId="7730156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Из монтажа «Переписка Л.Н.Толстого»—8 подлинных конвертов и писем к Толстому... (следует инвентарный перечень этих экспонатов);</w:t>
      </w:r>
    </w:p>
    <w:p w14:paraId="0AB30BC9"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Различные мелкие вещи из взломанных шкафов в комнате Софьи Андреевны Толстой;</w:t>
      </w:r>
    </w:p>
    <w:p w14:paraId="11D7C40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Постельное бельё, одеяла и подушки с кровати д-ра Маковицкого и И.В.Сидоркова (живших вместе с Львом Николаевичем Толстым);</w:t>
      </w:r>
    </w:p>
    <w:p w14:paraId="1D875E1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Собрание старинной одежды яснополянских крестьян;</w:t>
      </w:r>
    </w:p>
    <w:p w14:paraId="6D31584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Похищено 150 метров ковровых дорожек. Кроме того, похищены и сожжены:</w:t>
      </w:r>
    </w:p>
    <w:p w14:paraId="1914269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Книжная полка работы Л.Н.Толстого, находившаяся в его кабинете;</w:t>
      </w:r>
    </w:p>
    <w:p w14:paraId="351901F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Оконные шторы в библиотечной комнате, в секретарской, в зале и в комнате Софьи Андреевны Толстой;</w:t>
      </w:r>
    </w:p>
    <w:p w14:paraId="1B6D206C"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Буфетная стойка.</w:t>
      </w:r>
    </w:p>
    <w:p w14:paraId="448191D8"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Порван диван, на котором родился Л.Н.Толстой...».</w:t>
      </w:r>
    </w:p>
    <w:p w14:paraId="39C4F7A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Пойманные с поличным гитлеровские грабители всячески изворачиваются. Они заявляют, что утверждения о разгроме и разрушениях в Ясной Поляне «опровергают фактические материалы, а именно: свидетельские показания и фотографии». Жулики и шулера выдают себе удостоверение в честности—случай, не имеющий прецедента в уголовной практике.</w:t>
      </w:r>
    </w:p>
    <w:p w14:paraId="545E19AF"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сообщении германского информационного бюро нет, конечно, никаких свидетельских показаний. Они и не могут быть, ибо ведомство Гитлера, носящее название германского информационного бюро, может прибегнуть только к свидетельству того немецкого генерала, который, посетив музей, дал своим офицерам распоряжение украсть картины из Толстовского музея в качестве «сувениров». Но какая цена свидетельству этого главного вора и грабителя, организатора разграбления музея Толстого!».</w:t>
      </w:r>
    </w:p>
    <w:p w14:paraId="390C421D"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 комиссии Академии наук устанавливает:</w:t>
      </w:r>
    </w:p>
    <w:p w14:paraId="26512FD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«Похищены немцами картины:</w:t>
      </w:r>
    </w:p>
    <w:p w14:paraId="13A46A9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w:t>
      </w:r>
    </w:p>
    <w:p w14:paraId="259A4B39"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Въезд в усадьбу Ясная Поляна — художника Салтанова.</w:t>
      </w:r>
    </w:p>
    <w:p w14:paraId="2B4482C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Партизаны в 1812 г.— художника Петрова.</w:t>
      </w:r>
    </w:p>
    <w:p w14:paraId="7E5ADC0B"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Изба в Филях — копия с работы Саврасова.</w:t>
      </w:r>
    </w:p>
    <w:p w14:paraId="7EB88F9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Переход через Березину — неизвестного художника.</w:t>
      </w:r>
    </w:p>
    <w:p w14:paraId="0968E4BB"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Левин на сенокосе — художника Гильберта.</w:t>
      </w:r>
    </w:p>
    <w:p w14:paraId="181B83D2"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Толстой пашет — копия с картины И.Е.Репина, работа художника Соломина.</w:t>
      </w:r>
    </w:p>
    <w:p w14:paraId="729CD75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Разгром помещичьей усадьбы—копия с картины художника Шестопалова.</w:t>
      </w:r>
    </w:p>
    <w:p w14:paraId="05FF2750"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Акварель:</w:t>
      </w:r>
    </w:p>
    <w:p w14:paraId="2893ECC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Дом Волконского — работа художника Гильберта.</w:t>
      </w:r>
    </w:p>
    <w:p w14:paraId="4DEF310F"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Наташа на балу — копия с картины Л.Пастернака, работы художника Глебова.</w:t>
      </w:r>
    </w:p>
    <w:p w14:paraId="6C39F11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Пьер Безухов — копия с картины художника Боклевского, работы художника Глебова.</w:t>
      </w:r>
    </w:p>
    <w:p w14:paraId="05E263F0"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Лев Толстой и Николай II — работа художника Н. Ушаковой.</w:t>
      </w:r>
    </w:p>
    <w:p w14:paraId="59208F6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Взятие Малахова кургана — гравюра времени осады Севастополя».</w:t>
      </w:r>
    </w:p>
    <w:p w14:paraId="512967FC"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Таковы факты о краже воровским войском Гитлера картин, принадлежавших Толстовскому музею, но отнюдь не написанных самим Львом Николаевичем, как «определили» фашистские «специалисты» по искусству.</w:t>
      </w:r>
    </w:p>
    <w:p w14:paraId="3C87100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Что же касается фотографий, которые, по мнению жуликов из игорного дома Гитлера </w:t>
      </w:r>
      <w:proofErr w:type="gramStart"/>
      <w:r w:rsidRPr="008127F8">
        <w:rPr>
          <w:rFonts w:ascii="Times New Roman" w:hAnsi="Times New Roman"/>
          <w:color w:val="000000" w:themeColor="text1"/>
          <w:sz w:val="16"/>
          <w:szCs w:val="16"/>
        </w:rPr>
        <w:t>и Ко</w:t>
      </w:r>
      <w:proofErr w:type="gramEnd"/>
      <w:r w:rsidRPr="008127F8">
        <w:rPr>
          <w:rFonts w:ascii="Times New Roman" w:hAnsi="Times New Roman"/>
          <w:color w:val="000000" w:themeColor="text1"/>
          <w:sz w:val="16"/>
          <w:szCs w:val="16"/>
        </w:rPr>
        <w:t xml:space="preserve">, должны обелить немецких офицеров-воров, то они могут быть представлены разве только из числа украденных из музея. Советские же фотодокументы, запечатлевшие погромные дела гитлеровцев в Ясной </w:t>
      </w:r>
      <w:proofErr w:type="gramStart"/>
      <w:r w:rsidRPr="008127F8">
        <w:rPr>
          <w:rFonts w:ascii="Times New Roman" w:hAnsi="Times New Roman"/>
          <w:color w:val="000000" w:themeColor="text1"/>
          <w:sz w:val="16"/>
          <w:szCs w:val="16"/>
        </w:rPr>
        <w:t>Поляне,—</w:t>
      </w:r>
      <w:proofErr w:type="gramEnd"/>
      <w:r w:rsidRPr="008127F8">
        <w:rPr>
          <w:rFonts w:ascii="Times New Roman" w:hAnsi="Times New Roman"/>
          <w:color w:val="000000" w:themeColor="text1"/>
          <w:sz w:val="16"/>
          <w:szCs w:val="16"/>
        </w:rPr>
        <w:t xml:space="preserve"> это убийственные для гитлеровцев, неопровержимые доказательства. Мировое общественное мнение, располагая этими документами, может лишний раз убедиться в том, до какой степени падения дошла гитлеровская Германия в её походе против культурных завоеваний человечества.</w:t>
      </w:r>
    </w:p>
    <w:p w14:paraId="247EC27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Германское информационное бюро продолжает:</w:t>
      </w:r>
    </w:p>
    <w:p w14:paraId="2DF66A7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толстовских замков, то речь идёт о двух полностью сохранившихся белых зданиях, из которых главное здание служило музеем». Гитлеровские громилы, пойманные с поличным, видимо, твёрдо решили превзойти самих себя в отрицании всех очевидных фактов. А факты таковы:</w:t>
      </w:r>
    </w:p>
    <w:p w14:paraId="615EB23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Музеем служило не одно, а оба здания, и по указанию германского командования были выброшены, уничтожены и разграблены экспонаты обоих зданий.</w:t>
      </w:r>
    </w:p>
    <w:p w14:paraId="08E7CC2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Несмотря на то, что поблизости находилось прекрасное здание больницы, фашисты расположили свой лазарет не в больнице, а в музее, считая, что это будет лучшим способом подчеркнуть своё варварское презрение к памятникам культуры русского народа.</w:t>
      </w:r>
    </w:p>
    <w:p w14:paraId="3F90151D"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Что касается «полной сохранности белых зданий», то вот что установлено комиссией Академии наук:</w:t>
      </w:r>
    </w:p>
    <w:p w14:paraId="1586D9AC"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w:t>
      </w:r>
      <w:proofErr w:type="gramStart"/>
      <w:r w:rsidRPr="008127F8">
        <w:rPr>
          <w:rFonts w:ascii="Times New Roman" w:hAnsi="Times New Roman"/>
          <w:color w:val="000000" w:themeColor="text1"/>
          <w:sz w:val="16"/>
          <w:szCs w:val="16"/>
        </w:rPr>
        <w:t>того</w:t>
      </w:r>
      <w:proofErr w:type="gramEnd"/>
      <w:r w:rsidRPr="008127F8">
        <w:rPr>
          <w:rFonts w:ascii="Times New Roman" w:hAnsi="Times New Roman"/>
          <w:color w:val="000000" w:themeColor="text1"/>
          <w:sz w:val="16"/>
          <w:szCs w:val="16"/>
        </w:rPr>
        <w:t xml:space="preserve"> как немецкие части очистили усадьбу, вдруг приехали на легковой машине три немецких штабных офицера. Вламываются в дом, у каждого в руках по бачку с горючим, бегут наверх, в трёх комнатах — библиотечной, спальне Льва Николаевича и спальне его жены С.А.Толстой — из сена, соломы и деревянных предметов обстановки образуют три костра, обливают всё горючим. В спальне Л.Н.Толстого костёр был разложен как раз на том месте, где стояла кровать Толстого.</w:t>
      </w:r>
    </w:p>
    <w:p w14:paraId="715950A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счастью, всё это было сделано наспех: фашисты боялись окружения и поэтому спешили. Не дождавшись конца своей работы, офицеры умчались.</w:t>
      </w:r>
    </w:p>
    <w:p w14:paraId="0A79221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Сейчас же после их отъезда сотрудники музея принялись за спасение дома. Воды не было. Пожарные приспособления немцы уничтожили. С большим трудом удалось добыть воду в старом заброшенном колодце...</w:t>
      </w:r>
    </w:p>
    <w:p w14:paraId="641CAD9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Усилиями сотрудников музея и молодёжи, проявивших героическое мужество, пожар был ликвидирован, и дом Толстого был спасён от окончательного уничтожения».</w:t>
      </w:r>
    </w:p>
    <w:p w14:paraId="3B3C0AF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Приводим выписку из акта № 2 комиссии Академии наук о последствиях пожара:</w:t>
      </w:r>
    </w:p>
    <w:p w14:paraId="097C82E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 В помещении библиотеки, находящейся во втором этаже (по плану комната № 34), прогорел чистый пол на 50 проц., на потолке проломано отверстие на чердак (20 проц.), обгорела и осыпалась штукатурка стен на 50 проц., обгорели 2 двери с косяками и наличниками (требуется перешпаклевка и окраска их). Одно полотно двери отсутствует вовсе.</w:t>
      </w:r>
    </w:p>
    <w:p w14:paraId="08B709CD"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 В спальне Л. Н. Толстого (комната № 37) прогорел пол (на 50 проц.). Штукатурка испорчена и отбита (на 20 проц.).</w:t>
      </w:r>
    </w:p>
    <w:p w14:paraId="70FFB930"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 Выбиты стёкла в окнах (на 80 проц.) всего здания.</w:t>
      </w:r>
    </w:p>
    <w:p w14:paraId="1D705DB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 В спальне Софьи Андреевны (комната № 39) погорели 3 половицы, обгорело окно».</w:t>
      </w:r>
    </w:p>
    <w:p w14:paraId="7AC862A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Таким образом, то, что здания музея не полностью </w:t>
      </w:r>
      <w:proofErr w:type="gramStart"/>
      <w:r w:rsidRPr="008127F8">
        <w:rPr>
          <w:rFonts w:ascii="Times New Roman" w:hAnsi="Times New Roman"/>
          <w:color w:val="000000" w:themeColor="text1"/>
          <w:sz w:val="16"/>
          <w:szCs w:val="16"/>
        </w:rPr>
        <w:t>уничтожены,—</w:t>
      </w:r>
      <w:proofErr w:type="gramEnd"/>
      <w:r w:rsidRPr="008127F8">
        <w:rPr>
          <w:rFonts w:ascii="Times New Roman" w:hAnsi="Times New Roman"/>
          <w:color w:val="000000" w:themeColor="text1"/>
          <w:sz w:val="16"/>
          <w:szCs w:val="16"/>
        </w:rPr>
        <w:t xml:space="preserve"> это не вина, а беда фашистских поджигателей, ибо они приложили все усилия, чтобы сжечь музей дотла.</w:t>
      </w:r>
    </w:p>
    <w:p w14:paraId="747CFEA6"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Всё сказанное относится не только к музею. Немцы поставили перед собой задачу стереть с лица </w:t>
      </w:r>
      <w:proofErr w:type="gramStart"/>
      <w:r w:rsidRPr="008127F8">
        <w:rPr>
          <w:rFonts w:ascii="Times New Roman" w:hAnsi="Times New Roman"/>
          <w:color w:val="000000" w:themeColor="text1"/>
          <w:sz w:val="16"/>
          <w:szCs w:val="16"/>
        </w:rPr>
        <w:t>земли</w:t>
      </w:r>
      <w:proofErr w:type="gramEnd"/>
      <w:r w:rsidRPr="008127F8">
        <w:rPr>
          <w:rFonts w:ascii="Times New Roman" w:hAnsi="Times New Roman"/>
          <w:color w:val="000000" w:themeColor="text1"/>
          <w:sz w:val="16"/>
          <w:szCs w:val="16"/>
        </w:rPr>
        <w:t xml:space="preserve"> всё связанное с именем и памятью великого русского писателя. Немецкие фашисты разрушили, а потом сожгли школу имени Толстого, амбулаторию и больницу имени Толстого, разрубили на мелкие куски и частью сожгли вещи, сделанные руками Толстого, изрубили деревья, посаженные самим Толстым, рвали в клочья и портили мебель Толстого, малевали свою паучью свастику на страницах фамильных альбомов Толстого. Даже краткие выдержки из актов и свидетельских показаний очевидцев и пострадавших рисуют жуткую картину бандитского разгула немцев в Ясной Поляне.</w:t>
      </w:r>
    </w:p>
    <w:p w14:paraId="7A4214D2"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Приводим выдержку из застенографированного рассказа хранителя музея-усадьбы Л.Н.Толстого в Ясной Поляне С.И.Щёголева:</w:t>
      </w:r>
    </w:p>
    <w:p w14:paraId="5425B97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октября. Занимается комната Сергея Львовича Толстого (сына Льва Николаевича). Меня поразила такая вещь: когда так называемый «штабарц», не назвавший своей фамилии, стал требовать освобождения комнаты Сергея Львовича, а я начал отстаивать её и говорить, что это частная собственность и комната эта так же дорога для музея, как и остальные комнаты, он спросил меня: «Где он находится?» Я ответил, что Сергей Львович в Москве. Тогда он, не разговаривая со мной, начал взламывать шкафы. При этом я буквально раскрыл от удивления глаза, с какой ловкостью он взламывал шкафы. У всех у них есть отмычки наподобие клещей. В комнате Сергея Львовича он взял несколько стаканчиков, положил их в карман. Затем, взломав нижний ящик шкафа, он и ещё один врач поделили между собой бельё Сергея Львовича: простыни, полотенца и другие вещи... Один из офицеров забирает себе три фотографии Л.Н.Толстого меморативного значения. Я начинаю протестовать, говорю, что это меморативная вещь, показываю инвентарный номер, говорю, что отвечаем за эту фотографию. Он посмеялся и преспокойным образом забрал фотографии себе».</w:t>
      </w:r>
    </w:p>
    <w:p w14:paraId="464A04B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простой перечень других преступлений фашистов:</w:t>
      </w:r>
    </w:p>
    <w:p w14:paraId="20A2E60D"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5. Дворик музея был превращен в скотобойню. На деревьях и уцелевших заборах были развешены туши убитых тут же свиней, коров и пр.</w:t>
      </w:r>
    </w:p>
    <w:p w14:paraId="24603BD8"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6. Несмотря на наличие рядом с домом запаса сухих дров, на топку печей и на костры были разломаны все загородки, скамейки и пр. На растопку же были разломаны книжная полка из кабинета Л.Н.Толстого, буфетная стойка и много старинных стильных рам от картин и портретов...</w:t>
      </w:r>
    </w:p>
    <w:p w14:paraId="1AE48D0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8. Уничтожен весь хозяйственный инвентарь: повозки, сани, сбруя и др. Из 12 коров, принадлежавших хозяйству музея, спасены сотрудниками 3. Отобраны и угнаны все 4 лошади, уничтожен весь фураж». (Из акта № 1 комиссии Академии» наук СССР).</w:t>
      </w:r>
    </w:p>
    <w:p w14:paraId="4D0260C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осталось от школы и больницы, сожжённых фашистами, видно из следующих материалов:</w:t>
      </w:r>
    </w:p>
    <w:p w14:paraId="6F470D4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«...Осмотрев здание школы имени Л.Н.Толстого, нашли состояние её в нижеследующем виде:</w:t>
      </w:r>
    </w:p>
    <w:p w14:paraId="13D540F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Пожаром уничтожена вся внутренность здания вместе с крышей. Неповреждёнными остались стены...</w:t>
      </w:r>
    </w:p>
    <w:p w14:paraId="772A64C0"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Деревянное здание общежития сгорело полностью.</w:t>
      </w:r>
    </w:p>
    <w:p w14:paraId="306800DA"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Дом для учителей тоже сгорел полностью, кроме кирпичных стен».</w:t>
      </w:r>
    </w:p>
    <w:p w14:paraId="20F582A4"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акта № 3 комиссии Академии наук СССР).</w:t>
      </w:r>
    </w:p>
    <w:p w14:paraId="05A1801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 Всех школьных работников выгнали из школьных помещений. Их приютили на деревне колхозники; бандитами расхищено всё их оставшееся имущество. Сейчас школьные работники без крова, так как школа со всеми постройками сожжена.</w:t>
      </w:r>
    </w:p>
    <w:p w14:paraId="1FBB697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 Уничтожена вся школьная библиотека в 18.000 томов, всё учебное оборудование (микроскопы, наглядные пособия и проч.). Библиотека в большей своей части сожжена в печах и на разложенных вокруг школы кострах, частью расхищена».</w:t>
      </w:r>
    </w:p>
    <w:p w14:paraId="73C8D649"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акта № 1 комиссии Академии наук СССР).</w:t>
      </w:r>
    </w:p>
    <w:p w14:paraId="7AD19E3C"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«...Осмотрев амбулаторию и больницу в усадьбе Л.Н.Толстого, установили нижеследующие разрушения:</w:t>
      </w:r>
    </w:p>
    <w:p w14:paraId="56B05D68"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Здание амбулатории сгорело полностью.</w:t>
      </w:r>
    </w:p>
    <w:p w14:paraId="46FC3121"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Здание больницы превращено в конюшню.</w:t>
      </w:r>
    </w:p>
    <w:p w14:paraId="53F58A5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Общежитие для медперсонала и 3 докторских домика сгорели полностью».</w:t>
      </w:r>
    </w:p>
    <w:p w14:paraId="0DCA07A7"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акта № 4 комиссии Академии наук СССР).</w:t>
      </w:r>
    </w:p>
    <w:p w14:paraId="1A943A6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Напуганные возмущением всего мирового общественного мнения против нарочитого, дикарского надругательства над памятью величайшего писателя, гитлеровские громилы поспешно заметают следы, заявляя, что «Советы сами минировали парк имения и могилу Толстого. На этом минном поле многие жителя нашли свою гибель, так как мины были занесены снегом...».</w:t>
      </w:r>
    </w:p>
    <w:p w14:paraId="4392609B"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Неуклюжая увёртка изолгавшихся и пойманных с поличным бандитов! За время хозяйничанья немецких оккупантов в районе Ясной Поляны действительно были жертвы среди местного населения. 29 октября был убит фашистской бомбой председатель Яснополянского колхоза Павел Давыдович Орехов; 14 ноября фашистами были повешены яснополянский колхозник Николай Иванович Власов и житель ближней деревни Волково, рабочий Косогорского завода, фамилия которого не установлена. Не эти ли люди взорвались на «советских» минах?</w:t>
      </w:r>
    </w:p>
    <w:p w14:paraId="6191018F"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Что же касается того, что минное поле было занесено снегом, то в октябре месяце, когда немцы захватили и грабили Ясную Поляну, там никакого снега не было. К тому же через 2 дня после захвата Ясной Поляны немцы на этом якобы заминированном месте похоронили своих солдат, умерших в госпитале.</w:t>
      </w:r>
    </w:p>
    <w:p w14:paraId="12F5B055"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Академии наук установила: «31 октября началось захоронение около могилы Толстого умерших в госпитале фашистов. Место могилы Толстого для устройства кладбища весьма неудобное: могила находится в лесу, где много корней от деревьев, мешающих рыть землю, она находится от усадьбы на расстоянии около одного километра. По дороге к могиле и вокруг дома имеются свободные поляны. Тем не менее кладбище для фашистов, умерших в «госпитале» — доме Толстого, несмотря на протесты сотрудников музея, было устроено именно там, с явной целью надругательства над памятью великого писателя, над культурно-исторической святыней народов Советского Союза и всего мыслящего человечества. Всего вокруг могилы Толстого имеется 75 крестов с фашистской свастикой и с надписями на немецком языке».</w:t>
      </w:r>
    </w:p>
    <w:p w14:paraId="767A572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Похоронив своих солдат у могилы Л.Н.Толстого, немцы преследовали лишь одну цель: оскорбить национальное чувство русского народа, надругаться над памятью великого русского писателя. Неуклюжая выдумка германского информационного бюро о «русских минах» — это не больше, как неудачная жульническая увёртка припёртых к стене преступников.</w:t>
      </w:r>
    </w:p>
    <w:p w14:paraId="4E6DC4A3"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Итак, германское информационное бюро вновь позорно провалилось со своим неуклюжим «опровержением». Бесспорно установлено:</w:t>
      </w:r>
    </w:p>
    <w:p w14:paraId="641D82D8"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Германское командование, выполняя директивы людоеда Гитлера, имело целью при занятии Ясной Поляны разрушить и уничтожить всё, что связано с именем и памятью великого классика русской и мировой литературы Л.Н.Толстого. С первой же минуты вступления в Ясную Поляну фашисты начали заранее обдуманный, организованный и планомерный разгром музея-усадьбы. Затем в течение всего времени пребывания в Ясной Поляне они систематически осуществляли свой дьявольский план разрушения. Германские офицеры и солдаты с официального разрешения гитлеровского командования разворовали толстовские реликвии, рубили мебель, уничтожали музейный инвентарь и в заключение подожгли музей.</w:t>
      </w:r>
    </w:p>
    <w:p w14:paraId="5B318C4E"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Гитлеровские мерзавцы, надругавшись над могилой великого писателя Л. Н. Толстого, чтимого всем прогрессивным человечеством, сознательно оскорбляли национальное достоинство русского народа, измываясь над честью и национальной гордостью русского человека.</w:t>
      </w:r>
    </w:p>
    <w:p w14:paraId="16E0857F" w14:textId="77777777" w:rsidR="00401774" w:rsidRPr="008127F8" w:rsidRDefault="0040177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обвинительном приговоре, который вынесет гитлеровцам культурный мир после разгрома гитлеровской Германии, материалы о чудовищных преступлениях немцев в Ясной Поляне займут своё видное место.» (15007).</w:t>
      </w:r>
    </w:p>
    <w:p w14:paraId="3E6E27F6" w14:textId="77777777" w:rsidR="00401774" w:rsidRPr="008127F8" w:rsidRDefault="00401774" w:rsidP="001E0A84">
      <w:pPr>
        <w:spacing w:after="0" w:line="240" w:lineRule="auto"/>
        <w:jc w:val="both"/>
        <w:rPr>
          <w:rFonts w:ascii="Times New Roman" w:hAnsi="Times New Roman"/>
          <w:color w:val="000000" w:themeColor="text1"/>
          <w:sz w:val="16"/>
          <w:szCs w:val="16"/>
        </w:rPr>
      </w:pPr>
    </w:p>
    <w:p w14:paraId="22FFE581"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12 января 1942 вышло Постановление ГКО № 1137 [Об организации городского комитета обороны в Калинине и освобождении секретаря Калининского обкома Бойцова И.П. от обязанностей чл. ВС КалФ.] (7020, 75).</w:t>
      </w:r>
    </w:p>
    <w:p w14:paraId="4E14573C" w14:textId="77777777" w:rsidR="00D4651C" w:rsidRPr="008127F8" w:rsidRDefault="00D4651C" w:rsidP="001E0A84">
      <w:pPr>
        <w:pStyle w:val="Iauiue"/>
        <w:tabs>
          <w:tab w:val="left" w:pos="11199"/>
        </w:tabs>
        <w:jc w:val="both"/>
        <w:rPr>
          <w:color w:val="000000" w:themeColor="text1"/>
          <w:sz w:val="16"/>
          <w:szCs w:val="16"/>
        </w:rPr>
      </w:pPr>
    </w:p>
    <w:p w14:paraId="7D637CAC"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года начали формироваться танковые бригады «С» штатов № 010/317 и 010/318 для пехоты и конницы. В каждой из них имелось по 46 танков, но при этом бригада для пехоты имела 16 Т-34, а для конницы - 20. Эти части имели большую подвижность за счет минимального количества средств обслуживания и обеспечения и предназначались для усиления стрелковых и кавалерийских соединений (12217).</w:t>
      </w:r>
    </w:p>
    <w:p w14:paraId="6CB2D78E"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5C41C2C5" w14:textId="77777777" w:rsidR="001278D2" w:rsidRPr="008127F8" w:rsidRDefault="001278D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 6-й ОДАЗ прибыл в Сталин</w:t>
      </w:r>
      <w:r w:rsidRPr="008127F8">
        <w:rPr>
          <w:rFonts w:ascii="Times New Roman" w:hAnsi="Times New Roman"/>
          <w:color w:val="000000" w:themeColor="text1"/>
          <w:sz w:val="16"/>
          <w:szCs w:val="16"/>
        </w:rPr>
        <w:softHyphen/>
        <w:t>град, где разместился в школе около Тракторно</w:t>
      </w:r>
      <w:r w:rsidRPr="008127F8">
        <w:rPr>
          <w:rFonts w:ascii="Times New Roman" w:hAnsi="Times New Roman"/>
          <w:color w:val="000000" w:themeColor="text1"/>
          <w:sz w:val="16"/>
          <w:szCs w:val="16"/>
        </w:rPr>
        <w:softHyphen/>
        <w:t>го завода. 81 АЗ дивизиона распределили по 54 аэростатным постам (большая часть из них были тандемными), прикрывавшим важные объекты на большой территории, в том числе Сталин</w:t>
      </w:r>
      <w:r w:rsidRPr="008127F8">
        <w:rPr>
          <w:rFonts w:ascii="Times New Roman" w:hAnsi="Times New Roman"/>
          <w:color w:val="000000" w:themeColor="text1"/>
          <w:sz w:val="16"/>
          <w:szCs w:val="16"/>
        </w:rPr>
        <w:softHyphen/>
        <w:t>градскую ГРЭС, заводы в Бекетовке и в Красноар- мейске. С 12 января по 26 сентября 1942 г. диви</w:t>
      </w:r>
      <w:r w:rsidRPr="008127F8">
        <w:rPr>
          <w:rFonts w:ascii="Times New Roman" w:hAnsi="Times New Roman"/>
          <w:color w:val="000000" w:themeColor="text1"/>
          <w:sz w:val="16"/>
          <w:szCs w:val="16"/>
        </w:rPr>
        <w:softHyphen/>
        <w:t>зион 84 раза отражал атаки бомбардировщиков, а время нахождения каждого аэростата в воздухе составила 504 часа. Хотя в апреле часть рядовых и сержантов перевели в стрелковые части, а на их место встали бойцы-девушки, прикрытие было достаточно эффективным, о чём свидетельство</w:t>
      </w:r>
      <w:r w:rsidRPr="008127F8">
        <w:rPr>
          <w:rFonts w:ascii="Times New Roman" w:hAnsi="Times New Roman"/>
          <w:color w:val="000000" w:themeColor="text1"/>
          <w:sz w:val="16"/>
          <w:szCs w:val="16"/>
        </w:rPr>
        <w:softHyphen/>
        <w:t xml:space="preserve">вало признание пленного немецкого лётчика: </w:t>
      </w:r>
      <w:proofErr w:type="gramStart"/>
      <w:r w:rsidRPr="008127F8">
        <w:rPr>
          <w:rFonts w:ascii="Times New Roman" w:hAnsi="Times New Roman"/>
          <w:color w:val="000000" w:themeColor="text1"/>
          <w:sz w:val="16"/>
          <w:szCs w:val="16"/>
        </w:rPr>
        <w:t>«.летаем</w:t>
      </w:r>
      <w:proofErr w:type="gramEnd"/>
      <w:r w:rsidRPr="008127F8">
        <w:rPr>
          <w:rFonts w:ascii="Times New Roman" w:hAnsi="Times New Roman"/>
          <w:color w:val="000000" w:themeColor="text1"/>
          <w:sz w:val="16"/>
          <w:szCs w:val="16"/>
        </w:rPr>
        <w:t xml:space="preserve"> больше днём, ночью боимся аэроста</w:t>
      </w:r>
      <w:r w:rsidRPr="008127F8">
        <w:rPr>
          <w:rFonts w:ascii="Times New Roman" w:hAnsi="Times New Roman"/>
          <w:color w:val="000000" w:themeColor="text1"/>
          <w:sz w:val="16"/>
          <w:szCs w:val="16"/>
        </w:rPr>
        <w:softHyphen/>
        <w:t>тов.» (20120).</w:t>
      </w:r>
    </w:p>
    <w:p w14:paraId="61D9DF06" w14:textId="77777777" w:rsidR="001278D2" w:rsidRPr="008127F8" w:rsidRDefault="001278D2" w:rsidP="001E0A84">
      <w:pPr>
        <w:spacing w:after="0" w:line="240" w:lineRule="auto"/>
        <w:jc w:val="both"/>
        <w:rPr>
          <w:rFonts w:ascii="Times New Roman" w:hAnsi="Times New Roman"/>
          <w:color w:val="000000" w:themeColor="text1"/>
          <w:sz w:val="16"/>
          <w:szCs w:val="16"/>
        </w:rPr>
      </w:pPr>
    </w:p>
    <w:p w14:paraId="2404533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54F8CC07" w14:textId="77777777" w:rsidR="00D4651C" w:rsidRPr="008127F8" w:rsidRDefault="00D4651C" w:rsidP="001E0A84">
      <w:pPr>
        <w:pStyle w:val="Iauiue"/>
        <w:jc w:val="both"/>
        <w:rPr>
          <w:iCs/>
          <w:color w:val="000000" w:themeColor="text1"/>
          <w:sz w:val="16"/>
          <w:szCs w:val="16"/>
        </w:rPr>
      </w:pPr>
    </w:p>
    <w:p w14:paraId="67B8161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12 января 1942 вышло Постановление ГКО № 1143 О переезде в Москву Президиума Верховного Совета РСФСР. (7020, 84).</w:t>
      </w:r>
    </w:p>
    <w:p w14:paraId="1C343943" w14:textId="77777777" w:rsidR="00D4651C" w:rsidRPr="008127F8" w:rsidRDefault="00D4651C" w:rsidP="001E0A84">
      <w:pPr>
        <w:pStyle w:val="Iauiue"/>
        <w:tabs>
          <w:tab w:val="left" w:pos="11199"/>
        </w:tabs>
        <w:jc w:val="both"/>
        <w:rPr>
          <w:color w:val="000000" w:themeColor="text1"/>
          <w:sz w:val="16"/>
          <w:szCs w:val="16"/>
        </w:rPr>
      </w:pPr>
    </w:p>
    <w:p w14:paraId="1A858F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принимается решение о возврате в Москву Президиума Верховного Совета, а также аппарата Наркомата путей сообщений (11774).</w:t>
      </w:r>
    </w:p>
    <w:p w14:paraId="10CE3CD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300F0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ранее 12 января 1942 г. Из докладной записки секретаря зареченского райкома ВКП(б) г. Тулы В. А. Саратова тульскому ОБКОМУ партии о работе райкома с 6 ноября 1941 г. по 12 января 1942 г.:</w:t>
      </w:r>
    </w:p>
    <w:p w14:paraId="6620DE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Районный комитет партии за указанный отрезок времени всю свою работу проводил, главным образом, по мобилизации масс на укрепление района... </w:t>
      </w:r>
    </w:p>
    <w:p w14:paraId="15F64C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территории района вырыто противотанковых рвов -19, сделано баррикад - 6, из них две с противотанковыми надолбами. Наряду с этим, вокруг района за чертой города выкопаны окопы и эскарпы протяжением около семи километров. На эти работы было привлечено население, которым было затрачено не менее 25 тысяч человеко - дней... </w:t>
      </w:r>
    </w:p>
    <w:p w14:paraId="24DF44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Проводя работы по пополнению рабочего полка, райком партии отобрал 135 проверенных товарищей и организованно направил их по назначению. Также была организована группа партизан в количестве 53 человек и, получив соответствующую двухнедельную подготовку, направлена двумя группами в распоряжение органов НКВД для выполнения задания. Кроме этого, была проведена большая работа по подбору разведчиков и связистов в помощь органам НКВД и частям Красной Армии. Послано на эту работу из числа комсомольцев и несоюзной молодежи 140 преданных патриотов нашей Родины. Многие из этих товарищей получили хорошую оценку, как по линии НКВД, а также частей Красной Армии, за своевременное и качественное выполнение боевых заданий. Лучшие из них: Обухов, Гришин, Дубина, Семенов, Васиков и др. </w:t>
      </w:r>
    </w:p>
    <w:p w14:paraId="244908E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Под руководством районной комсомольской организации были созданы и подготовлены две группы сандружин, отряд пожарников в количестве 40 человек, истребительный отряд по борьбе с танками в количестве 50 человек, который в напряженные дни находился на боевом посту, неся караульную службу... </w:t>
      </w:r>
    </w:p>
    <w:p w14:paraId="20E6BF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Силами комсомольцев и молодежи Зареченского района был организован ряд воскресников по восстановлению транспорта и школ. Лучшие организаторы этого дела тт. Куприянов, Кондраков, Кирюхин, Хлопов и др. Для нужд Красной Армии был организован сбор лыж в районе. Активно работали по сбору тт. Куприянов, Юрманов, Хлопов и др. Всего собрано лыж в районе больше 200 пар... </w:t>
      </w:r>
    </w:p>
    <w:p w14:paraId="4F4FBB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освобождения районов нашей области от фашистских оккупантов райком дал больше двух десятков лучших товарищей для выполнения работ по восстановлению нормальной жизни в районах. Такие комсомольцы, как тт. Огнев, Дмитреевская, Лисенков, Юрманов, Куприянов, Обухов и </w:t>
      </w:r>
      <w:proofErr w:type="gramStart"/>
      <w:r w:rsidRPr="008127F8">
        <w:rPr>
          <w:rFonts w:ascii="Times New Roman" w:hAnsi="Times New Roman"/>
          <w:color w:val="000000" w:themeColor="text1"/>
          <w:sz w:val="16"/>
          <w:szCs w:val="16"/>
        </w:rPr>
        <w:t>др. ,</w:t>
      </w:r>
      <w:proofErr w:type="gramEnd"/>
      <w:r w:rsidRPr="008127F8">
        <w:rPr>
          <w:rFonts w:ascii="Times New Roman" w:hAnsi="Times New Roman"/>
          <w:color w:val="000000" w:themeColor="text1"/>
          <w:sz w:val="16"/>
          <w:szCs w:val="16"/>
        </w:rPr>
        <w:t xml:space="preserve"> отлично справились с порученной работой... </w:t>
      </w:r>
    </w:p>
    <w:p w14:paraId="40DE9B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Зареченский район имеет значительное повреждение жилых домов и отдельных предприятий: хлебозавод № 1, товарная контора ст. Тула -3, баня № 4 и др. От бомбежки в районе пострадало 175 коммунальных и частновладельческих домов, имеются жертвы: убито 36 человек, ранено 134 человека; осталось без крова более 200 семей. </w:t>
      </w:r>
    </w:p>
    <w:p w14:paraId="3711D8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Районными организациями были своевременно приняты меры по размещению по квартирам оставшихся людей без жилья, а также организована помощь по ремонту печей, вставке стекол и т. д. </w:t>
      </w:r>
    </w:p>
    <w:p w14:paraId="42B9DF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первых дней восстановления нормальной жизни района вновь заработали учреждения, организации. В районе работают организации и предприятия общественного пользования. Баня № 4 (директор Савосьянова) не прерывала свою работу ни на один день, обслуживала бойцов Красной Армии и население всего города. Быстро были открыты парикмахерская, кинотеатр "Спартак", восстановлена аптека. Большое участие население района приняло в пуске трамвая. </w:t>
      </w:r>
    </w:p>
    <w:p w14:paraId="6FB34D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12 января 1942 г. открыты школы №№ 38 и 52, готовятся к открытию школы №№ 1, 10, 28. Подготовлены к открытию ясли, детсад и детская консультация. Огромную работу в указанных учреждениях проделали педколлективы во главе с директорами школ № 38 т. Митяевой, № 1 т. Панфиловым, № 52 т. Алексеевым и др. </w:t>
      </w:r>
    </w:p>
    <w:p w14:paraId="4CB637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Проводится большая работа по оказанию помощи семьям военнослужащих по выдаче пенсий и единовременных пособий. Всего за два месяца женам красноармейцев, пенсионерам и инвалидам труда выдано более 240 тыс. рублей... </w:t>
      </w:r>
    </w:p>
    <w:p w14:paraId="058DB8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Предприятия, заводы и артели вступают в строй действующих: завод "Красный Октябрь" (сейчас работает 500 человек), станколитейный завод, артель "Наша техника", артель "Металлопром", артель металлоизделий и др. Особо следует отметить хлебозавод № 3. Директор завода т. Калинов П. Н. , секретарь парторганизации т. Бобков И. К. , не оставляя ни на один час завод, сколотили вокруг себя коллектив рабочих, бесперебойно снабжали Красную Армию и население г. Тулы хлебом. Хорошо работали также кадровики и стахановцы завода: старший слесарь Кулякин Сергей Васильевич, садчица хлеба Кунягина Евдокия Ивановна, начальник смены Никитин Иван Григорьевич... </w:t>
      </w:r>
    </w:p>
    <w:p w14:paraId="28F761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всех проведенных мероприятиях массово - агитационная работа не прерывалась, систематически проводилась читка сообщений Информбюро, организовывались беседы по отдельным вопросам как среди рабочих, так и среди населения... </w:t>
      </w:r>
    </w:p>
    <w:p w14:paraId="3565FF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Сейчас работа райкома сосредоточена на дальнейшем развитии промышленности района, открытии школ, яслей, детсадов и других учреждений общественного пользования. Проводится работа по подбору и расстановке кадров руководящих работников. </w:t>
      </w:r>
    </w:p>
    <w:p w14:paraId="2515B0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Приступили к восстановлению поврежденного хлебозавода № 1, к пуску сахарного завода и кирпичного завода № 2. Развертывается в районе партийно - массовая работа, на предприятиях созданы коллективы беседчиков, агитаторов, чтецов газет и докладчиков. Налажена систематическая доставка газет. В крупных предприятиях района и на транспорте выпускаются стенгазеты. </w:t>
      </w:r>
    </w:p>
    <w:p w14:paraId="4C2027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РК ВКП(б) Саратов.</w:t>
      </w:r>
    </w:p>
    <w:p w14:paraId="0895DB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ТОПА, ф. 3039, оп. 1, д. 3, лл. 16-18. Подлинник (12077).</w:t>
      </w:r>
    </w:p>
    <w:p w14:paraId="781F8D0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6D7197FC" w14:textId="77777777" w:rsidR="00D4651C" w:rsidRPr="008127F8" w:rsidRDefault="00D4651C" w:rsidP="001E0A84">
      <w:pPr>
        <w:pStyle w:val="Iauiue"/>
        <w:jc w:val="both"/>
        <w:rPr>
          <w:iCs/>
          <w:color w:val="000000" w:themeColor="text1"/>
          <w:sz w:val="16"/>
          <w:szCs w:val="16"/>
        </w:rPr>
      </w:pPr>
    </w:p>
    <w:p w14:paraId="39E08D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вышло Постановление ГКО № 1145 О заказе фирме "Атлантик-Арис" пистолетов-пулеметов для Красной Армии. РГАНИР, Фонд ГКО, д. 19, лл. 87 (11012).</w:t>
      </w:r>
    </w:p>
    <w:p w14:paraId="76B31A7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00B29F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575691F8" w14:textId="77777777" w:rsidR="00D4651C" w:rsidRPr="008127F8" w:rsidRDefault="00D4651C" w:rsidP="001E0A84">
      <w:pPr>
        <w:pStyle w:val="Iauiue"/>
        <w:jc w:val="both"/>
        <w:rPr>
          <w:iCs/>
          <w:color w:val="000000" w:themeColor="text1"/>
          <w:sz w:val="16"/>
          <w:szCs w:val="16"/>
        </w:rPr>
      </w:pPr>
    </w:p>
    <w:p w14:paraId="2F2AC6BD"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января</w:t>
      </w:r>
      <w:r w:rsidRPr="008127F8">
        <w:rPr>
          <w:rFonts w:ascii="Times New Roman" w:hAnsi="Times New Roman"/>
          <w:color w:val="000000" w:themeColor="text1"/>
          <w:sz w:val="16"/>
          <w:szCs w:val="16"/>
        </w:rPr>
        <w:t xml:space="preserve"> в 1942 году немецкие подводные лодки начали действовать у восточного побережья США (15007).</w:t>
      </w:r>
    </w:p>
    <w:p w14:paraId="17170CDD" w14:textId="77777777" w:rsidR="00CD5F5F" w:rsidRPr="008127F8" w:rsidRDefault="00CD5F5F" w:rsidP="001E0A84">
      <w:pPr>
        <w:spacing w:after="0" w:line="240" w:lineRule="auto"/>
        <w:jc w:val="both"/>
        <w:rPr>
          <w:rFonts w:ascii="Times New Roman" w:hAnsi="Times New Roman"/>
          <w:color w:val="000000" w:themeColor="text1"/>
          <w:sz w:val="16"/>
          <w:szCs w:val="16"/>
        </w:rPr>
      </w:pPr>
    </w:p>
    <w:p w14:paraId="6A5549B5"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января</w:t>
      </w:r>
      <w:r w:rsidRPr="008127F8">
        <w:rPr>
          <w:rFonts w:ascii="Times New Roman" w:hAnsi="Times New Roman"/>
          <w:color w:val="000000" w:themeColor="text1"/>
          <w:sz w:val="16"/>
          <w:szCs w:val="16"/>
        </w:rPr>
        <w:t xml:space="preserve"> в 1942 году японские войска заняли административный центр Британской Малайи Куала-Лумпур (15007).</w:t>
      </w:r>
    </w:p>
    <w:p w14:paraId="64F99345" w14:textId="77777777" w:rsidR="00CD5F5F" w:rsidRPr="008127F8" w:rsidRDefault="00CD5F5F" w:rsidP="001E0A84">
      <w:pPr>
        <w:spacing w:after="0" w:line="240" w:lineRule="auto"/>
        <w:jc w:val="both"/>
        <w:rPr>
          <w:rFonts w:ascii="Times New Roman" w:hAnsi="Times New Roman"/>
          <w:color w:val="000000" w:themeColor="text1"/>
          <w:sz w:val="16"/>
          <w:szCs w:val="16"/>
        </w:rPr>
      </w:pPr>
    </w:p>
    <w:p w14:paraId="5593BB32"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12 января 1942 Япония объявила войну Голландии (4962).</w:t>
      </w:r>
    </w:p>
    <w:p w14:paraId="1F81540B" w14:textId="77777777" w:rsidR="00D4651C" w:rsidRPr="008127F8" w:rsidRDefault="00D4651C" w:rsidP="001E0A84">
      <w:pPr>
        <w:pStyle w:val="Iauiue"/>
        <w:tabs>
          <w:tab w:val="left" w:pos="11199"/>
        </w:tabs>
        <w:jc w:val="both"/>
        <w:rPr>
          <w:color w:val="000000" w:themeColor="text1"/>
          <w:sz w:val="16"/>
          <w:szCs w:val="16"/>
        </w:rPr>
      </w:pPr>
    </w:p>
    <w:p w14:paraId="3F81EC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января 1942 японцы вторглись в Бирму (2245,1).</w:t>
      </w:r>
    </w:p>
    <w:p w14:paraId="765C02A2" w14:textId="77777777" w:rsidR="00D4651C" w:rsidRPr="008127F8" w:rsidRDefault="00D4651C" w:rsidP="001E0A84">
      <w:pPr>
        <w:pStyle w:val="Iauiue"/>
        <w:jc w:val="both"/>
        <w:rPr>
          <w:color w:val="000000" w:themeColor="text1"/>
          <w:sz w:val="16"/>
          <w:szCs w:val="16"/>
        </w:rPr>
      </w:pPr>
    </w:p>
    <w:p w14:paraId="42DDE9E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56630FDE" w14:textId="77777777" w:rsidR="00D4651C" w:rsidRPr="008127F8" w:rsidRDefault="00D4651C" w:rsidP="001E0A84">
      <w:pPr>
        <w:pStyle w:val="Iauiue"/>
        <w:jc w:val="both"/>
        <w:rPr>
          <w:iCs/>
          <w:color w:val="000000" w:themeColor="text1"/>
          <w:sz w:val="16"/>
          <w:szCs w:val="16"/>
        </w:rPr>
      </w:pPr>
    </w:p>
    <w:p w14:paraId="3164A6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вышел приказ НКАП N 29сс:</w:t>
      </w:r>
    </w:p>
    <w:p w14:paraId="7D5035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исполнение постановления ГКО N 1039сс от 17 декабря 1941:</w:t>
      </w:r>
    </w:p>
    <w:p w14:paraId="093478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Организовать комплексную технологическую бригаду по организации производства самолета Ил-2 на заводе 23 в составе 200 чел. из работников Оргавиапрома и Гипроавиапрома. Нач. Комплексной бригады назначить Управляющего трестом Оргавиапром Лисицина (1526,39).</w:t>
      </w:r>
    </w:p>
    <w:p w14:paraId="3D00239D" w14:textId="77777777" w:rsidR="00D4651C" w:rsidRPr="008127F8" w:rsidRDefault="00D4651C" w:rsidP="001E0A84">
      <w:pPr>
        <w:pStyle w:val="Iauiue"/>
        <w:jc w:val="both"/>
        <w:rPr>
          <w:color w:val="000000" w:themeColor="text1"/>
          <w:sz w:val="16"/>
          <w:szCs w:val="16"/>
        </w:rPr>
      </w:pPr>
    </w:p>
    <w:p w14:paraId="496318B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г. в ходе восковых испытаний ракетно-бронебойных снарядов РБС-82, РБС-132 и ракетно-осколочно-фугасных РОФС-132 на базе 47-й авиади</w:t>
      </w:r>
      <w:r w:rsidRPr="008127F8">
        <w:rPr>
          <w:rFonts w:ascii="Times New Roman" w:hAnsi="Times New Roman"/>
          <w:color w:val="000000" w:themeColor="text1"/>
          <w:sz w:val="16"/>
          <w:szCs w:val="16"/>
        </w:rPr>
        <w:softHyphen/>
        <w:t>визии Западного фронта летчики 312-го штурмового авиаполка подпол</w:t>
      </w:r>
      <w:r w:rsidRPr="008127F8">
        <w:rPr>
          <w:rFonts w:ascii="Times New Roman" w:hAnsi="Times New Roman"/>
          <w:color w:val="000000" w:themeColor="text1"/>
          <w:sz w:val="16"/>
          <w:szCs w:val="16"/>
        </w:rPr>
        <w:softHyphen/>
        <w:t>ковника Поморцева, которые проходили в период с 22 ноября 1941 г. по 22 января 1942 г., состоялся боевой вылет на «свободную охоту» лейтенанта Короткова и старши</w:t>
      </w:r>
      <w:r w:rsidRPr="008127F8">
        <w:rPr>
          <w:rFonts w:ascii="Times New Roman" w:hAnsi="Times New Roman"/>
          <w:color w:val="000000" w:themeColor="text1"/>
          <w:sz w:val="16"/>
          <w:szCs w:val="16"/>
        </w:rPr>
        <w:softHyphen/>
        <w:t>ны Позднякова. Обнаружив населенный пункт, занятый противником, ведущий атаковал его с дистанции 1000-1500 м на пикировании под углом 10-15° со скоростью 380 км/ч. Старши</w:t>
      </w:r>
      <w:r w:rsidRPr="008127F8">
        <w:rPr>
          <w:rFonts w:ascii="Times New Roman" w:hAnsi="Times New Roman"/>
          <w:color w:val="000000" w:themeColor="text1"/>
          <w:sz w:val="16"/>
          <w:szCs w:val="16"/>
        </w:rPr>
        <w:softHyphen/>
        <w:t>на Поздняков открывал огонь значительно ближе — на дистанции 600-800 м, плавно снижаясь под углом 3-5° со скоростью 350-370 км/ч. Оба пилота отмечали, что РОФС — незаменимое оружие на самолете Ил-2, -«при попадании в деревянный дом, тот немедленно разрушается и загорается, а автомашины превраща</w:t>
      </w:r>
      <w:r w:rsidRPr="008127F8">
        <w:rPr>
          <w:rFonts w:ascii="Times New Roman" w:hAnsi="Times New Roman"/>
          <w:color w:val="000000" w:themeColor="text1"/>
          <w:sz w:val="16"/>
          <w:szCs w:val="16"/>
        </w:rPr>
        <w:softHyphen/>
        <w:t>ется в груду обломков, взлетаю</w:t>
      </w:r>
      <w:r w:rsidRPr="008127F8">
        <w:rPr>
          <w:rFonts w:ascii="Times New Roman" w:hAnsi="Times New Roman"/>
          <w:color w:val="000000" w:themeColor="text1"/>
          <w:sz w:val="16"/>
          <w:szCs w:val="16"/>
        </w:rPr>
        <w:softHyphen/>
        <w:t>щих выше самолета».</w:t>
      </w:r>
    </w:p>
    <w:p w14:paraId="79B75C9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A69388D" w14:textId="77777777" w:rsidR="004F754C" w:rsidRPr="008127F8" w:rsidRDefault="004F754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13 января 1942 г. в ходе войсковых испытаний (вторых по счету) реактивных снарядов РБС-82, РБС-132 и РОФС-132 в 47-й сад лейтенант Коротков вел стрельбу реактивными снарядами по населенно</w:t>
      </w:r>
      <w:r w:rsidRPr="008127F8">
        <w:rPr>
          <w:color w:val="000000" w:themeColor="text1"/>
          <w:sz w:val="16"/>
          <w:szCs w:val="16"/>
        </w:rPr>
        <w:softHyphen/>
        <w:t>му пункту и автомашинам в нем. Им было отмече</w:t>
      </w:r>
      <w:r w:rsidRPr="008127F8">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01AB2536" w14:textId="77777777" w:rsidR="004F754C" w:rsidRPr="008127F8" w:rsidRDefault="004F754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отчете о войсковых испытаниях реактивных снарядов РБС-82, РБС-132 и РОФС-132 в боевых ус</w:t>
      </w:r>
      <w:r w:rsidRPr="008127F8">
        <w:rPr>
          <w:color w:val="000000" w:themeColor="text1"/>
          <w:sz w:val="16"/>
          <w:szCs w:val="16"/>
        </w:rPr>
        <w:softHyphen/>
        <w:t>ловиях летный состав 47-й сад сделал следующие выводы:</w:t>
      </w:r>
    </w:p>
    <w:p w14:paraId="1DBF2DA2" w14:textId="77777777" w:rsidR="004F754C" w:rsidRPr="008127F8" w:rsidRDefault="004F754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РБС-82 является мощным оружием истреби</w:t>
      </w:r>
      <w:r w:rsidRPr="008127F8">
        <w:rPr>
          <w:color w:val="000000" w:themeColor="text1"/>
          <w:sz w:val="16"/>
          <w:szCs w:val="16"/>
        </w:rPr>
        <w:softHyphen/>
        <w:t>тельной авиации для поражения танков, бронема</w:t>
      </w:r>
      <w:r w:rsidRPr="008127F8">
        <w:rPr>
          <w:color w:val="000000" w:themeColor="text1"/>
          <w:sz w:val="16"/>
          <w:szCs w:val="16"/>
        </w:rPr>
        <w:softHyphen/>
        <w:t>шин, бронепоездов и других объектов, имеющих броневое покрытие до 50 мм. Применение целесо</w:t>
      </w:r>
      <w:r w:rsidRPr="008127F8">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4A466F5A" w14:textId="77777777" w:rsidR="004F754C" w:rsidRPr="008127F8" w:rsidRDefault="004F754C" w:rsidP="001E0A84">
      <w:pPr>
        <w:pStyle w:val="12a"/>
        <w:shd w:val="clear" w:color="auto" w:fill="auto"/>
        <w:tabs>
          <w:tab w:val="left" w:pos="582"/>
        </w:tabs>
        <w:spacing w:after="0" w:line="240" w:lineRule="auto"/>
        <w:jc w:val="both"/>
        <w:rPr>
          <w:color w:val="000000" w:themeColor="text1"/>
          <w:sz w:val="16"/>
          <w:szCs w:val="16"/>
        </w:rPr>
      </w:pPr>
      <w:r w:rsidRPr="008127F8">
        <w:rPr>
          <w:color w:val="000000" w:themeColor="text1"/>
          <w:sz w:val="16"/>
          <w:szCs w:val="16"/>
        </w:rPr>
        <w:t>2) РБС-132 является мощным огневым сред</w:t>
      </w:r>
      <w:r w:rsidRPr="008127F8">
        <w:rPr>
          <w:color w:val="000000" w:themeColor="text1"/>
          <w:sz w:val="16"/>
          <w:szCs w:val="16"/>
        </w:rPr>
        <w:softHyphen/>
        <w:t>ством для поражения бронированных целей про</w:t>
      </w:r>
      <w:r w:rsidRPr="008127F8">
        <w:rPr>
          <w:color w:val="000000" w:themeColor="text1"/>
          <w:sz w:val="16"/>
          <w:szCs w:val="16"/>
        </w:rPr>
        <w:softHyphen/>
        <w:t>тивника стрельбой с самолетов штурмовиков и бомбардировщиков с горизонтального, планиру</w:t>
      </w:r>
      <w:r w:rsidRPr="008127F8">
        <w:rPr>
          <w:color w:val="000000" w:themeColor="text1"/>
          <w:sz w:val="16"/>
          <w:szCs w:val="16"/>
        </w:rPr>
        <w:softHyphen/>
        <w:t>ющего или пикирующего полета. В число этих це</w:t>
      </w:r>
      <w:r w:rsidRPr="008127F8">
        <w:rPr>
          <w:color w:val="000000" w:themeColor="text1"/>
          <w:sz w:val="16"/>
          <w:szCs w:val="16"/>
        </w:rPr>
        <w:softHyphen/>
        <w:t>лей могут входить: тяжелые танки, бронепоезда, ба</w:t>
      </w:r>
      <w:r w:rsidRPr="008127F8">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8127F8">
        <w:rPr>
          <w:color w:val="000000" w:themeColor="text1"/>
          <w:sz w:val="16"/>
          <w:szCs w:val="16"/>
        </w:rPr>
        <w:softHyphen/>
        <w:t>ным целям;</w:t>
      </w:r>
    </w:p>
    <w:p w14:paraId="0B2AB5D3" w14:textId="77777777" w:rsidR="004F754C" w:rsidRPr="008127F8" w:rsidRDefault="004F754C" w:rsidP="001E0A84">
      <w:pPr>
        <w:pStyle w:val="12a"/>
        <w:shd w:val="clear" w:color="auto" w:fill="auto"/>
        <w:tabs>
          <w:tab w:val="left" w:pos="543"/>
        </w:tabs>
        <w:spacing w:after="0" w:line="240" w:lineRule="auto"/>
        <w:jc w:val="both"/>
        <w:rPr>
          <w:color w:val="000000" w:themeColor="text1"/>
          <w:sz w:val="16"/>
          <w:szCs w:val="16"/>
        </w:rPr>
      </w:pPr>
      <w:r w:rsidRPr="008127F8">
        <w:rPr>
          <w:color w:val="000000" w:themeColor="text1"/>
          <w:sz w:val="16"/>
          <w:szCs w:val="16"/>
        </w:rPr>
        <w:t>3) РОФС-132 является мощным снарядом оско</w:t>
      </w:r>
      <w:r w:rsidRPr="008127F8">
        <w:rPr>
          <w:color w:val="000000" w:themeColor="text1"/>
          <w:sz w:val="16"/>
          <w:szCs w:val="16"/>
        </w:rPr>
        <w:softHyphen/>
        <w:t>лочно-фугасного действия. Применение его на са</w:t>
      </w:r>
      <w:r w:rsidRPr="008127F8">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008E293C" w14:textId="77777777" w:rsidR="004F754C" w:rsidRPr="008127F8" w:rsidRDefault="004F754C" w:rsidP="001E0A84">
      <w:pPr>
        <w:pStyle w:val="12a"/>
        <w:shd w:val="clear" w:color="auto" w:fill="auto"/>
        <w:tabs>
          <w:tab w:val="left" w:pos="548"/>
        </w:tabs>
        <w:spacing w:after="0" w:line="240" w:lineRule="auto"/>
        <w:jc w:val="both"/>
        <w:rPr>
          <w:color w:val="000000" w:themeColor="text1"/>
          <w:sz w:val="16"/>
          <w:szCs w:val="16"/>
        </w:rPr>
      </w:pPr>
      <w:r w:rsidRPr="008127F8">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8127F8">
        <w:rPr>
          <w:color w:val="000000" w:themeColor="text1"/>
          <w:sz w:val="16"/>
          <w:szCs w:val="16"/>
        </w:rPr>
        <w:softHyphen/>
        <w:t>чительно сильное и превосходящее «все ожида</w:t>
      </w:r>
      <w:r w:rsidRPr="008127F8">
        <w:rPr>
          <w:color w:val="000000" w:themeColor="text1"/>
          <w:sz w:val="16"/>
          <w:szCs w:val="16"/>
        </w:rPr>
        <w:softHyphen/>
        <w:t>ния». Действием РОФС-132 противнику нанесен большой ущерб;</w:t>
      </w:r>
    </w:p>
    <w:p w14:paraId="68D0A482" w14:textId="77777777" w:rsidR="004F754C" w:rsidRPr="008127F8" w:rsidRDefault="004F754C" w:rsidP="001E0A84">
      <w:pPr>
        <w:pStyle w:val="12a"/>
        <w:shd w:val="clear" w:color="auto" w:fill="auto"/>
        <w:tabs>
          <w:tab w:val="left" w:pos="529"/>
        </w:tabs>
        <w:spacing w:after="0" w:line="240" w:lineRule="auto"/>
        <w:jc w:val="both"/>
        <w:rPr>
          <w:color w:val="000000" w:themeColor="text1"/>
          <w:sz w:val="16"/>
          <w:szCs w:val="16"/>
        </w:rPr>
      </w:pPr>
      <w:r w:rsidRPr="008127F8">
        <w:rPr>
          <w:color w:val="000000" w:themeColor="text1"/>
          <w:sz w:val="16"/>
          <w:szCs w:val="16"/>
        </w:rPr>
        <w:t>5) метеорологические условия и обстановка на фронте не позволили полностью использовать ра</w:t>
      </w:r>
      <w:r w:rsidRPr="008127F8">
        <w:rPr>
          <w:color w:val="000000" w:themeColor="text1"/>
          <w:sz w:val="16"/>
          <w:szCs w:val="16"/>
        </w:rPr>
        <w:softHyphen/>
        <w:t>кетные бронебойные снаряды. Ввиду отсутствия скоплений бронетанковых сил противника на отве</w:t>
      </w:r>
      <w:r w:rsidRPr="008127F8">
        <w:rPr>
          <w:color w:val="000000" w:themeColor="text1"/>
          <w:sz w:val="16"/>
          <w:szCs w:val="16"/>
        </w:rPr>
        <w:softHyphen/>
        <w:t>денном участке фронта не было возможности ши</w:t>
      </w:r>
      <w:r w:rsidRPr="008127F8">
        <w:rPr>
          <w:color w:val="000000" w:themeColor="text1"/>
          <w:sz w:val="16"/>
          <w:szCs w:val="16"/>
        </w:rPr>
        <w:softHyphen/>
        <w:t>роко применять РБС и по инициативе оперативной группы в 47 АД были применены РОФС-132.</w:t>
      </w:r>
    </w:p>
    <w:p w14:paraId="2743F488" w14:textId="77777777" w:rsidR="004F754C" w:rsidRPr="008127F8" w:rsidRDefault="004F754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 время работы израсходовано: РБС-82 — 60 шт., РБС-132 — 80 шт., РОФС-132 — 200 шт.» (17500).</w:t>
      </w:r>
    </w:p>
    <w:p w14:paraId="7508DA86" w14:textId="77777777" w:rsidR="004F754C" w:rsidRPr="008127F8" w:rsidRDefault="004F754C" w:rsidP="001E0A84">
      <w:pPr>
        <w:spacing w:after="0" w:line="240" w:lineRule="auto"/>
        <w:jc w:val="both"/>
        <w:rPr>
          <w:rFonts w:ascii="Times New Roman" w:hAnsi="Times New Roman"/>
          <w:color w:val="000000" w:themeColor="text1"/>
          <w:sz w:val="16"/>
          <w:szCs w:val="16"/>
        </w:rPr>
      </w:pPr>
    </w:p>
    <w:p w14:paraId="6FB42DB4" w14:textId="77777777" w:rsidR="00CD5F5F" w:rsidRPr="008127F8" w:rsidRDefault="00CD5F5F"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13 января 1942 г. НИИ ВВС была утверждена схема бронирования Су-6 М-71. Вместо варианта брони, прошедшего ис</w:t>
      </w:r>
      <w:r w:rsidRPr="008127F8">
        <w:rPr>
          <w:rFonts w:ascii="Times New Roman" w:cs="Times New Roman"/>
          <w:color w:val="000000" w:themeColor="text1"/>
          <w:spacing w:val="0"/>
          <w:sz w:val="16"/>
          <w:szCs w:val="16"/>
        </w:rPr>
        <w:softHyphen/>
        <w:t>пытания в НИИ-48 (бронеспинка с надголовником и боковины, размещающиеся внутри деревянного фюзеляжа), предлагалось боко</w:t>
      </w:r>
      <w:r w:rsidRPr="008127F8">
        <w:rPr>
          <w:rFonts w:ascii="Times New Roman" w:cs="Times New Roman"/>
          <w:color w:val="000000" w:themeColor="text1"/>
          <w:spacing w:val="0"/>
          <w:sz w:val="16"/>
          <w:szCs w:val="16"/>
        </w:rPr>
        <w:softHyphen/>
        <w:t>вины сделать наружными стенками фюзеляжа, бронеспинку - силовым шпангоутом фюзеляжа, а переднюю часть фюзеляжа выполнить в виде бронецилиндра и конуса толщиной 4 мм,</w:t>
      </w:r>
      <w:r w:rsidRPr="008127F8">
        <w:rPr>
          <w:rStyle w:val="aff8"/>
          <w:rFonts w:ascii="Times New Roman" w:eastAsia="Arial Narrow" w:hAnsi="Times New Roman" w:cs="Times New Roman"/>
          <w:i w:val="0"/>
          <w:color w:val="000000" w:themeColor="text1"/>
          <w:spacing w:val="0"/>
        </w:rPr>
        <w:t xml:space="preserve"> «явля</w:t>
      </w:r>
      <w:r w:rsidRPr="008127F8">
        <w:rPr>
          <w:rStyle w:val="aff8"/>
          <w:rFonts w:ascii="Times New Roman" w:eastAsia="Arial Narrow" w:hAnsi="Times New Roman" w:cs="Times New Roman"/>
          <w:i w:val="0"/>
          <w:color w:val="000000" w:themeColor="text1"/>
          <w:spacing w:val="0"/>
        </w:rPr>
        <w:softHyphen/>
        <w:t>ющегося продолжением фюзеляжной броневой коробки на 650 мм вперед».</w:t>
      </w:r>
      <w:r w:rsidRPr="008127F8">
        <w:rPr>
          <w:rFonts w:ascii="Times New Roman" w:cs="Times New Roman"/>
          <w:color w:val="000000" w:themeColor="text1"/>
          <w:spacing w:val="0"/>
          <w:sz w:val="16"/>
          <w:szCs w:val="16"/>
        </w:rPr>
        <w:t xml:space="preserve"> Толщина брони </w:t>
      </w:r>
      <w:proofErr w:type="gramStart"/>
      <w:r w:rsidRPr="008127F8">
        <w:rPr>
          <w:rFonts w:ascii="Times New Roman" w:cs="Times New Roman"/>
          <w:color w:val="000000" w:themeColor="text1"/>
          <w:spacing w:val="0"/>
          <w:sz w:val="16"/>
          <w:szCs w:val="16"/>
        </w:rPr>
        <w:t>ка- бинного</w:t>
      </w:r>
      <w:proofErr w:type="gramEnd"/>
      <w:r w:rsidRPr="008127F8">
        <w:rPr>
          <w:rFonts w:ascii="Times New Roman" w:cs="Times New Roman"/>
          <w:color w:val="000000" w:themeColor="text1"/>
          <w:spacing w:val="0"/>
          <w:sz w:val="16"/>
          <w:szCs w:val="16"/>
        </w:rPr>
        <w:t xml:space="preserve"> пояса равнялась 6 мм, заголовника - 8 мм, а толщина бронеспинки -12 мм.</w:t>
      </w:r>
    </w:p>
    <w:p w14:paraId="6E4A494D" w14:textId="77777777" w:rsidR="00CD5F5F" w:rsidRPr="008127F8" w:rsidRDefault="00CD5F5F"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Бронецилиндр с конусом защищали пи</w:t>
      </w:r>
      <w:r w:rsidRPr="008127F8">
        <w:rPr>
          <w:rFonts w:ascii="Times New Roman" w:cs="Times New Roman"/>
          <w:color w:val="000000" w:themeColor="text1"/>
          <w:spacing w:val="0"/>
          <w:sz w:val="16"/>
          <w:szCs w:val="16"/>
        </w:rPr>
        <w:softHyphen/>
        <w:t>лота, баки, все агрегаты и проводку, нахо</w:t>
      </w:r>
      <w:r w:rsidRPr="008127F8">
        <w:rPr>
          <w:rFonts w:ascii="Times New Roman" w:cs="Times New Roman"/>
          <w:color w:val="000000" w:themeColor="text1"/>
          <w:spacing w:val="0"/>
          <w:sz w:val="16"/>
          <w:szCs w:val="16"/>
        </w:rPr>
        <w:softHyphen/>
        <w:t>дящиеся между задней крышкой мотора и противопожарной перегородкой. При этом мотор на резиновых амортизаторах крепился непосредственно к кольцу брони. Отсутствие стержней моторамы облегчало доступ к агре</w:t>
      </w:r>
      <w:r w:rsidRPr="008127F8">
        <w:rPr>
          <w:rFonts w:ascii="Times New Roman" w:cs="Times New Roman"/>
          <w:color w:val="000000" w:themeColor="text1"/>
          <w:spacing w:val="0"/>
          <w:sz w:val="16"/>
          <w:szCs w:val="16"/>
        </w:rPr>
        <w:softHyphen/>
        <w:t>гатам мотора и проводке через открывающие</w:t>
      </w:r>
      <w:r w:rsidRPr="008127F8">
        <w:rPr>
          <w:rFonts w:ascii="Times New Roman" w:cs="Times New Roman"/>
          <w:color w:val="000000" w:themeColor="text1"/>
          <w:spacing w:val="0"/>
          <w:sz w:val="16"/>
          <w:szCs w:val="16"/>
        </w:rPr>
        <w:softHyphen/>
        <w:t>ся броневые люки.</w:t>
      </w:r>
    </w:p>
    <w:p w14:paraId="32EAF301" w14:textId="77777777" w:rsidR="00CD5F5F" w:rsidRPr="008127F8" w:rsidRDefault="00CD5F5F"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дополнение к этому требовалось забро</w:t>
      </w:r>
      <w:r w:rsidRPr="008127F8">
        <w:rPr>
          <w:rFonts w:ascii="Times New Roman" w:cs="Times New Roman"/>
          <w:color w:val="000000" w:themeColor="text1"/>
          <w:spacing w:val="0"/>
          <w:sz w:val="16"/>
          <w:szCs w:val="16"/>
        </w:rPr>
        <w:softHyphen/>
        <w:t>нировать трубопроводы, идущие по центро</w:t>
      </w:r>
      <w:r w:rsidRPr="008127F8">
        <w:rPr>
          <w:rFonts w:ascii="Times New Roman" w:cs="Times New Roman"/>
          <w:color w:val="000000" w:themeColor="text1"/>
          <w:spacing w:val="0"/>
          <w:sz w:val="16"/>
          <w:szCs w:val="16"/>
        </w:rPr>
        <w:softHyphen/>
        <w:t>плану к маслорадиаторам, заменить козырек кабины летчика по типу Ил-2 (на Су-6 он был выполнен из плексигласа, а прозрачное 65-мм бронестекло устанавливалось внутри кабины) и</w:t>
      </w:r>
      <w:r w:rsidRPr="008127F8">
        <w:rPr>
          <w:rStyle w:val="46"/>
          <w:rFonts w:ascii="Times New Roman" w:eastAsia="Trebuchet MS" w:cs="Times New Roman"/>
          <w:color w:val="000000" w:themeColor="text1"/>
          <w:spacing w:val="0"/>
          <w:sz w:val="16"/>
          <w:szCs w:val="16"/>
        </w:rPr>
        <w:t xml:space="preserve"> «при изготовлении металлического, фибро</w:t>
      </w:r>
      <w:r w:rsidRPr="008127F8">
        <w:rPr>
          <w:rStyle w:val="46"/>
          <w:rFonts w:ascii="Times New Roman" w:eastAsia="Trebuchet MS" w:cs="Times New Roman"/>
          <w:color w:val="000000" w:themeColor="text1"/>
          <w:spacing w:val="0"/>
          <w:sz w:val="16"/>
          <w:szCs w:val="16"/>
        </w:rPr>
        <w:softHyphen/>
        <w:t>вого или деревянного бензобака предусмо</w:t>
      </w:r>
      <w:r w:rsidRPr="008127F8">
        <w:rPr>
          <w:rStyle w:val="46"/>
          <w:rFonts w:ascii="Times New Roman" w:eastAsia="Trebuchet MS" w:cs="Times New Roman"/>
          <w:color w:val="000000" w:themeColor="text1"/>
          <w:spacing w:val="0"/>
          <w:sz w:val="16"/>
          <w:szCs w:val="16"/>
        </w:rPr>
        <w:softHyphen/>
        <w:t>треть постановку на бак протектора».</w:t>
      </w:r>
      <w:r w:rsidRPr="008127F8">
        <w:rPr>
          <w:rStyle w:val="4f1"/>
          <w:rFonts w:ascii="Times New Roman" w:hAnsi="Times New Roman" w:cs="Times New Roman"/>
          <w:i w:val="0"/>
          <w:color w:val="000000" w:themeColor="text1"/>
          <w:spacing w:val="0"/>
          <w:sz w:val="16"/>
          <w:szCs w:val="16"/>
        </w:rPr>
        <w:t xml:space="preserve"> Общий вес бронедеталей достигал 617,5 кг (15776).</w:t>
      </w:r>
    </w:p>
    <w:p w14:paraId="7A7933B8" w14:textId="77777777" w:rsidR="00CD5F5F" w:rsidRPr="008127F8" w:rsidRDefault="00CD5F5F" w:rsidP="001E0A84">
      <w:pPr>
        <w:pStyle w:val="36"/>
        <w:shd w:val="clear" w:color="auto" w:fill="auto"/>
        <w:spacing w:after="0" w:line="240" w:lineRule="auto"/>
        <w:jc w:val="both"/>
        <w:rPr>
          <w:rFonts w:ascii="Times New Roman" w:cs="Times New Roman"/>
          <w:color w:val="000000" w:themeColor="text1"/>
          <w:spacing w:val="0"/>
          <w:sz w:val="16"/>
          <w:szCs w:val="16"/>
        </w:rPr>
      </w:pPr>
    </w:p>
    <w:p w14:paraId="510A97F3" w14:textId="77777777" w:rsidR="00571CDF" w:rsidRPr="008127F8" w:rsidRDefault="00571CDF" w:rsidP="001E0A84">
      <w:pPr>
        <w:pStyle w:val="28"/>
        <w:shd w:val="clear" w:color="auto" w:fill="auto"/>
        <w:spacing w:before="0" w:line="240" w:lineRule="auto"/>
        <w:jc w:val="both"/>
        <w:rPr>
          <w:rStyle w:val="28pt100"/>
          <w:rFonts w:ascii="Times New Roman" w:hAnsi="Times New Roman" w:cs="Times New Roman"/>
          <w:i w:val="0"/>
          <w:iCs w:val="0"/>
          <w:color w:val="000000" w:themeColor="text1"/>
        </w:rPr>
      </w:pPr>
      <w:r w:rsidRPr="008127F8">
        <w:rPr>
          <w:rStyle w:val="28pt100"/>
          <w:rFonts w:ascii="Times New Roman" w:hAnsi="Times New Roman" w:cs="Times New Roman"/>
          <w:i w:val="0"/>
          <w:iCs w:val="0"/>
          <w:color w:val="000000" w:themeColor="text1"/>
        </w:rPr>
        <w:t>13 января 1942 схема бронирования была утвер</w:t>
      </w:r>
      <w:r w:rsidRPr="008127F8">
        <w:rPr>
          <w:rStyle w:val="28pt100"/>
          <w:rFonts w:ascii="Times New Roman" w:hAnsi="Times New Roman" w:cs="Times New Roman"/>
          <w:i w:val="0"/>
          <w:iCs w:val="0"/>
          <w:color w:val="000000" w:themeColor="text1"/>
        </w:rPr>
        <w:softHyphen/>
        <w:t>ждена в официальном заключении НИИ ВВС в качестве броневой за</w:t>
      </w:r>
      <w:r w:rsidRPr="008127F8">
        <w:rPr>
          <w:rStyle w:val="28pt100"/>
          <w:rFonts w:ascii="Times New Roman" w:hAnsi="Times New Roman" w:cs="Times New Roman"/>
          <w:i w:val="0"/>
          <w:iCs w:val="0"/>
          <w:color w:val="000000" w:themeColor="text1"/>
        </w:rPr>
        <w:softHyphen/>
        <w:t>щиты серийных самолетов Су-6 (19844).</w:t>
      </w:r>
    </w:p>
    <w:p w14:paraId="1E743213" w14:textId="77777777" w:rsidR="00571CDF" w:rsidRPr="008127F8" w:rsidRDefault="00571CDF"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16C2093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года Шахурин писал письмо N Н-20/73 Сталину.</w:t>
      </w:r>
    </w:p>
    <w:p w14:paraId="2CE74D4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12-го января 1942 года на серийном самолете Пе-2 Казанского завода N 22 с военным экипажем, перегонявшим самолет Пе-2 в Москву - вылетел главный конструктор завода N 22 - Петляков.</w:t>
      </w:r>
    </w:p>
    <w:p w14:paraId="408C8AA3" w14:textId="77777777" w:rsidR="00D4651C" w:rsidRPr="008127F8" w:rsidRDefault="00D4651C" w:rsidP="001E0A84">
      <w:pPr>
        <w:pStyle w:val="Iauiue"/>
        <w:jc w:val="both"/>
        <w:rPr>
          <w:color w:val="000000" w:themeColor="text1"/>
          <w:sz w:val="16"/>
          <w:szCs w:val="16"/>
        </w:rPr>
      </w:pPr>
      <w:proofErr w:type="gramStart"/>
      <w:r w:rsidRPr="008127F8">
        <w:rPr>
          <w:color w:val="000000" w:themeColor="text1"/>
          <w:sz w:val="16"/>
          <w:szCs w:val="16"/>
        </w:rPr>
        <w:t xml:space="preserve">По полученным сведениям </w:t>
      </w:r>
      <w:proofErr w:type="gramEnd"/>
      <w:r w:rsidRPr="008127F8">
        <w:rPr>
          <w:color w:val="000000" w:themeColor="text1"/>
          <w:sz w:val="16"/>
          <w:szCs w:val="16"/>
        </w:rPr>
        <w:t>самолет Пе-2 с экипажем: летчик - старший лейтенант Овечкин, штурман - младший лейтенант Гундарев, радист - сержант Скребнев, имея на борту самолета Петлякова - поблизости от города Арзамаса (Горьковская область) потерпел катастрофу и весь экипаж самолета вместе с Петляковым - погибли.</w:t>
      </w:r>
    </w:p>
    <w:p w14:paraId="6AAF73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Совместно с ВВС назначена комиссия для расследования причин катастрофы.</w:t>
      </w:r>
    </w:p>
    <w:p w14:paraId="6801BCE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просьбе Петлякова, разрешить ему приезд в Москву для доклада о результатах работы по улучшенному самолету Пе-2, мною 9 января дано разрешение на его выезд в Москву. Разрешение на вылет Петлякова в Москву на самолете Пе-2 - не давалось (2193,66).</w:t>
      </w:r>
    </w:p>
    <w:p w14:paraId="25B7C2E8" w14:textId="77777777" w:rsidR="00D4651C" w:rsidRPr="008127F8" w:rsidRDefault="00D4651C" w:rsidP="001E0A84">
      <w:pPr>
        <w:pStyle w:val="Iauiue"/>
        <w:jc w:val="both"/>
        <w:rPr>
          <w:color w:val="000000" w:themeColor="text1"/>
          <w:sz w:val="16"/>
          <w:szCs w:val="16"/>
        </w:rPr>
      </w:pPr>
    </w:p>
    <w:p w14:paraId="15BCF67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Зам. ГК завода 22 Изаксон писал письмо НКАП А.И.Ш.:</w:t>
      </w:r>
    </w:p>
    <w:p w14:paraId="0D4889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целью быстрее попасть в Москву по вашему вызову В.М.П. было принято решение не ожидать очередного Дугласа, а лететь с попутными серийными Пе-2, направляющимися в части.</w:t>
      </w:r>
    </w:p>
    <w:p w14:paraId="32BCA74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 января в 13:50 В.Н.П. и я вылетели на двух Пе-2 N 12/1 и 14/1, принятых военными и отправляемых в Монино ао 2-ф дальнеразведовательный ап.</w:t>
      </w:r>
    </w:p>
    <w:p w14:paraId="0A6B412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Экипаж этих самолетов:</w:t>
      </w:r>
    </w:p>
    <w:p w14:paraId="4FAFBC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12/1</w:t>
      </w:r>
    </w:p>
    <w:p w14:paraId="23D8B4B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 л Остапенко</w:t>
      </w:r>
    </w:p>
    <w:p w14:paraId="4B998D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ш мл Должиков</w:t>
      </w:r>
    </w:p>
    <w:p w14:paraId="5CE66E7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р-с с Ржавский - в этой машине летел я</w:t>
      </w:r>
    </w:p>
    <w:p w14:paraId="0F290C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14/1</w:t>
      </w:r>
    </w:p>
    <w:p w14:paraId="34D8E25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л сл Овечкин</w:t>
      </w:r>
    </w:p>
    <w:p w14:paraId="7F7080C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ш мл Гундарев</w:t>
      </w:r>
    </w:p>
    <w:p w14:paraId="1A09CD6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 с Скребнев</w:t>
      </w:r>
    </w:p>
    <w:p w14:paraId="0518CFC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примерно через 2:20 после вылета, радист самолета, на котором летел я, подал мне записку о том, что потеряна ориентировка и наш с идет на вынужденную.</w:t>
      </w:r>
    </w:p>
    <w:p w14:paraId="23E852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Вынужденная произошла около д. Виноградовка вблизи ст. Фаустова Каз. ж/д (70 км от Москвы).</w:t>
      </w:r>
    </w:p>
    <w:p w14:paraId="22A446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Вынужденная посадка, несмотря на весьма неблагоприятные условия для нее, прошла благополучно и после посадки л Остапенко сообщил, что в 14:25 другой с, пилотируемый л Овечнкиным, покачал крыльями и начал разворачиваться обратно в сторону Казани.</w:t>
      </w:r>
    </w:p>
    <w:p w14:paraId="1331C6B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Вслед за этим машина начала падать и уже на земле был виден дым и огонь.</w:t>
      </w:r>
    </w:p>
    <w:p w14:paraId="77A20E8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впечатлению Остапенко самолет врезался в землю и произошел взрыв и пожар.</w:t>
      </w:r>
    </w:p>
    <w:p w14:paraId="1F1386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произошло вблизи Арзамаса, примерно в 8-10 км юго-западнее местечка Чернуха.</w:t>
      </w:r>
    </w:p>
    <w:p w14:paraId="4B29AD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 время полета погода была исключительно неблагоприятной: шел мелкий снежок и видимость по горизонту была совершенно неудовлетворительной.</w:t>
      </w:r>
    </w:p>
    <w:p w14:paraId="18DF5F6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Экипажи обеих самолетов были присланы из воинской части в Монино для приемки.</w:t>
      </w:r>
    </w:p>
    <w:p w14:paraId="4C5BA9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В.М.П. перед вылетом специально интересовался в военном представительстве, что за л летят и какова их квалификация. Ему ответили, что л летят опытные, имеющие весьма большое количество полетов на пе-2 и хорошо знающие эту машину." (1648,140).</w:t>
      </w:r>
    </w:p>
    <w:p w14:paraId="73934CE0" w14:textId="77777777" w:rsidR="00D4651C" w:rsidRPr="008127F8" w:rsidRDefault="00D4651C" w:rsidP="001E0A84">
      <w:pPr>
        <w:pStyle w:val="Iauiue"/>
        <w:jc w:val="both"/>
        <w:rPr>
          <w:color w:val="000000" w:themeColor="text1"/>
          <w:sz w:val="16"/>
          <w:szCs w:val="16"/>
        </w:rPr>
      </w:pPr>
    </w:p>
    <w:p w14:paraId="74F934C4"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января 1942 заместитель главного конструктора завода № 22 А.М. Изаксон направил докладную записку на имя Наркома авиапромышленности, в которой сообщал: «С целью быстрее попасть в Москву по Вашему вызову, тов. Петляковым В.М. было принято решение не ожидать очередного «Дугласа», а лететь с попутными серийными машинами Пе-2, направляющимися в части. 12 января с.г. в 13 часов 50 минут тов. </w:t>
      </w:r>
      <w:proofErr w:type="gramStart"/>
      <w:r w:rsidRPr="008127F8">
        <w:rPr>
          <w:rFonts w:ascii="Times New Roman" w:hAnsi="Times New Roman"/>
          <w:color w:val="000000" w:themeColor="text1"/>
          <w:sz w:val="16"/>
          <w:szCs w:val="16"/>
        </w:rPr>
        <w:t>Петляков</w:t>
      </w:r>
      <w:proofErr w:type="gramEnd"/>
      <w:r w:rsidRPr="008127F8">
        <w:rPr>
          <w:rFonts w:ascii="Times New Roman" w:hAnsi="Times New Roman"/>
          <w:color w:val="000000" w:themeColor="text1"/>
          <w:sz w:val="16"/>
          <w:szCs w:val="16"/>
        </w:rPr>
        <w:t xml:space="preserve"> и я вылетели на двух самолетах №№ 12/1 и 14/1, принятых военными и отправляемых в Монино во 2-й дальнеразведывательный авиационный полк. Экипажи этих самолетов были следующие: самолет № 12/1 пилот – лейтенант Остапенко штурман – младший лейтенант Должиков радист-стрелок – сержант Ржавский – с этой машиной летел я. самолет № 14/1 пилот – старший лейтенант Овечкин штурман – младший лейтенант Гундарев радист – сержант Скребнев. Примерно через 2 часа 20 минут после вылета радист самолета, на котором летел я, подал мне записку о том, что потеряна ориентировка, и наш самолет идет на вынужденную посадку. Вынужденная посадка произошла около деревни Виноградовка вблизи станции Фаустово Казанской железной дороги (70 км от Москвы). Вынужденная посадка, несмотря на весьма неблагоприятные условия для нее, прошла благополучно и после посадки пилот тов. Остапенко сообщил мне, что в 14 часом 25 минут другой самолет, пилотируемый пилотом Овечкиным, покачал крыльями и начал разворачиваться обратно в сторону Казани. Вслед за этим машина начала падать, и уже на земле был виден дым и огонь. По впечатлению тов. Остапенко, тот самолет врезался в землю, и произошел взрыв или пожар. Это произошло вблизи города Арзамаса, примерно в 8-ми – 10-ти километрах юго-западнее местечка Чернуха. Во время полета погода была исключительно неблагоприятная: шел мелкий снежок, и видимость по горизонту была совершенно неудовлетворительной. Экипажи обоих самолетов были присланы из военной части в Монино для приемки самолетов. Тов. Петляков перед вылетом специально интересовался в военном представительстве, что за летчики летят и какова их квалификация. Ему ответили, что летчики летят опытные, имеющие весьма большое количество полетов на самолетах Пе-2 и хорошо знающие эту машину.» (19769).</w:t>
      </w:r>
    </w:p>
    <w:p w14:paraId="176A4C1A" w14:textId="77777777" w:rsidR="00C275C9" w:rsidRPr="008127F8" w:rsidRDefault="00C275C9" w:rsidP="001E0A84">
      <w:pPr>
        <w:spacing w:after="0" w:line="240" w:lineRule="auto"/>
        <w:jc w:val="both"/>
        <w:rPr>
          <w:rFonts w:ascii="Times New Roman" w:hAnsi="Times New Roman"/>
          <w:color w:val="000000" w:themeColor="text1"/>
          <w:sz w:val="16"/>
          <w:szCs w:val="16"/>
        </w:rPr>
      </w:pPr>
    </w:p>
    <w:p w14:paraId="63F62F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вышел:</w:t>
      </w:r>
    </w:p>
    <w:p w14:paraId="768A1C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2B7C8E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Style w:val="a8"/>
          <w:rFonts w:ascii="Times New Roman" w:hAnsi="Times New Roman"/>
          <w:b w:val="0"/>
          <w:bCs w:val="0"/>
          <w:color w:val="000000" w:themeColor="text1"/>
          <w:sz w:val="16"/>
          <w:szCs w:val="16"/>
        </w:rPr>
        <w:t>ПРИКАЗ НАРОДНОГО КОМИССАРА АВИАЦИОННОЙ ПРОМЫШЛЕННОСТИ</w:t>
      </w:r>
    </w:p>
    <w:p w14:paraId="646215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Style w:val="a8"/>
          <w:rFonts w:ascii="Times New Roman" w:hAnsi="Times New Roman"/>
          <w:b w:val="0"/>
          <w:bCs w:val="0"/>
          <w:color w:val="000000" w:themeColor="text1"/>
          <w:sz w:val="16"/>
          <w:szCs w:val="16"/>
        </w:rPr>
        <w:t>№ 36с</w:t>
      </w:r>
    </w:p>
    <w:p w14:paraId="21E6C4AD"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гор.Москва</w:t>
      </w:r>
      <w:proofErr w:type="gramEnd"/>
      <w:r w:rsidRPr="008127F8">
        <w:rPr>
          <w:rFonts w:ascii="Times New Roman" w:hAnsi="Times New Roman"/>
          <w:color w:val="000000" w:themeColor="text1"/>
          <w:sz w:val="16"/>
          <w:szCs w:val="16"/>
        </w:rPr>
        <w:t>. 13 января 1942 года</w:t>
      </w:r>
    </w:p>
    <w:p w14:paraId="2D13DC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участия в совместной комиссии по расследованию причин катастрофы самолета Пе-2 завода № 22 с экипажем: летчиком </w:t>
      </w:r>
      <w:proofErr w:type="gramStart"/>
      <w:r w:rsidRPr="008127F8">
        <w:rPr>
          <w:rFonts w:ascii="Times New Roman" w:hAnsi="Times New Roman"/>
          <w:color w:val="000000" w:themeColor="text1"/>
          <w:sz w:val="16"/>
          <w:szCs w:val="16"/>
        </w:rPr>
        <w:t>тов.Овечкиным</w:t>
      </w:r>
      <w:proofErr w:type="gramEnd"/>
      <w:r w:rsidRPr="008127F8">
        <w:rPr>
          <w:rFonts w:ascii="Times New Roman" w:hAnsi="Times New Roman"/>
          <w:color w:val="000000" w:themeColor="text1"/>
          <w:sz w:val="16"/>
          <w:szCs w:val="16"/>
        </w:rPr>
        <w:t>, штурманом тов.Гундаревым и радистом тов.Скребневым, и имевшим на борту самолета главного конструктора тов.Петлякова - выделить от Наркомавиапрома:</w:t>
      </w:r>
    </w:p>
    <w:p w14:paraId="6DF038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Начальника ЛИИ НКАП - профессора -</w:t>
      </w:r>
      <w:proofErr w:type="gramStart"/>
      <w:r w:rsidRPr="008127F8">
        <w:rPr>
          <w:rFonts w:ascii="Times New Roman" w:hAnsi="Times New Roman"/>
          <w:color w:val="000000" w:themeColor="text1"/>
          <w:sz w:val="16"/>
          <w:szCs w:val="16"/>
        </w:rPr>
        <w:t>тов.Чесалова</w:t>
      </w:r>
      <w:proofErr w:type="gramEnd"/>
      <w:r w:rsidRPr="008127F8">
        <w:rPr>
          <w:rFonts w:ascii="Times New Roman" w:hAnsi="Times New Roman"/>
          <w:color w:val="000000" w:themeColor="text1"/>
          <w:sz w:val="16"/>
          <w:szCs w:val="16"/>
        </w:rPr>
        <w:t xml:space="preserve"> Начальника 3 Главного Управления - тов.Завитаева</w:t>
      </w:r>
    </w:p>
    <w:p w14:paraId="33AF8D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Авиационной Промышленности - А.Шахурин</w:t>
      </w:r>
    </w:p>
    <w:p w14:paraId="70DACE6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 РТ. Ф.Р-2845. Оп.З. Д.117. Л.74 (11313).</w:t>
      </w:r>
    </w:p>
    <w:p w14:paraId="152C69B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3E012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13 января по 30 апреля 1942 ОКО-22 в Казани вместо В.М.П. возглавлял А.М.Изаксон (2387,20).</w:t>
      </w:r>
    </w:p>
    <w:p w14:paraId="261F949F" w14:textId="77777777" w:rsidR="00D4651C" w:rsidRPr="008127F8" w:rsidRDefault="00D4651C" w:rsidP="001E0A84">
      <w:pPr>
        <w:pStyle w:val="Iauiue"/>
        <w:jc w:val="both"/>
        <w:rPr>
          <w:color w:val="000000" w:themeColor="text1"/>
          <w:sz w:val="16"/>
          <w:szCs w:val="16"/>
        </w:rPr>
      </w:pPr>
    </w:p>
    <w:p w14:paraId="24954C9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НКАП приказал больше не отправлять Як-1 в Москву поездами. На заводе 292 из деревянного бруса построили полосу 700х60 м и использовали ее всю войну (198,24).</w:t>
      </w:r>
    </w:p>
    <w:p w14:paraId="0EA7F282" w14:textId="77777777" w:rsidR="00D4651C" w:rsidRPr="008127F8" w:rsidRDefault="00D4651C" w:rsidP="001E0A84">
      <w:pPr>
        <w:pStyle w:val="Iauiue"/>
        <w:jc w:val="both"/>
        <w:rPr>
          <w:color w:val="000000" w:themeColor="text1"/>
          <w:sz w:val="16"/>
          <w:szCs w:val="16"/>
        </w:rPr>
      </w:pPr>
    </w:p>
    <w:p w14:paraId="5C0F1A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г. отправка самолетов в Москву по железной дороге заводом № 292 была прекращена, а впредь их предписывалось перегонять в Москву только воздушным путем. В условиях надвигающейся весенней распутицы, которая тоже могла задержать облет самолетов, на заводе № 292 за 14 суток (работая днем и ночью) построили из деревянных брусков взлетно- посадочную полосу 700x60 м, исправно служившую всю войну (12048).</w:t>
      </w:r>
    </w:p>
    <w:p w14:paraId="4A83FF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выпуска самолетов в 1942 г. неоднократно корректировался как в большую, так и меньшую сторону в связи с обстановкой на фронте и количеством фактически выпушенных самолетов (табл.5). Для последней из причин корректировки плана следует отметить, что в другое время руководство завода отдали бы под суд за срыв плановых заданий. Но правительственные чиновники и политическая верхушка прекрасно понимали, что это только усугубило бы и так не простую ситуацию. Поэтому план занижался задним числом, чтобы избежать санкций. Тем не менее, в 1942 г. завод № 292 по решению Арбитража НКАП выплатил заказчику - ВВС КА, - штраф за недопоставку самолетов в декабре 1941 г.</w:t>
      </w:r>
    </w:p>
    <w:p w14:paraId="44EB6B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указанным выше причинам многие готовые изделия и агрегаты поступали на сборку с опозданием или в недостаточных количествах. Из установившейся практики истребитель засчитывался самолетостроителям в план как выпушенный, когда завод заканчивал сборку, хотя на самолет могли быть не установлены винты, колеса, радиаторы, вооружение и т.д. это вводило в заблуждение Правительство: завод докладывал о выполнении плана по выпуску, а самолеты скапливались на заводе, ожидая доукомплектования. Чтобы иметь реальную картину о ходе работ на заводах с 21 января 1942 г. приказом наркома были введены сводки по сдаче "готовых к бою самолетов". Этот термин перекочевал из акта облета самолета, в котором летчик-испытатель военной приемки писал заключение: "Годен и готов к бою". Тем самым он подтверждал, что истребитель не только принят военпредом в цехах сборки, но и облетан, т.е. полностью готов к отправке на фронт.</w:t>
      </w:r>
    </w:p>
    <w:p w14:paraId="167A1CC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выпуска самолетов Як-1 заводом № 292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F4095" w:rsidRPr="008127F8" w14:paraId="2EEEA1F4" w14:textId="77777777">
        <w:tc>
          <w:tcPr>
            <w:tcW w:w="2242" w:type="dxa"/>
            <w:tcBorders>
              <w:top w:val="single" w:sz="12" w:space="0" w:color="auto"/>
            </w:tcBorders>
          </w:tcPr>
          <w:p w14:paraId="65AF73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w:t>
            </w:r>
          </w:p>
        </w:tc>
        <w:tc>
          <w:tcPr>
            <w:tcW w:w="2242" w:type="dxa"/>
            <w:tcBorders>
              <w:top w:val="single" w:sz="12" w:space="0" w:color="auto"/>
            </w:tcBorders>
          </w:tcPr>
          <w:p w14:paraId="170155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постановлению ГКО от 23.12.41 г.</w:t>
            </w:r>
          </w:p>
        </w:tc>
        <w:tc>
          <w:tcPr>
            <w:tcW w:w="2242" w:type="dxa"/>
            <w:tcBorders>
              <w:top w:val="single" w:sz="12" w:space="0" w:color="auto"/>
            </w:tcBorders>
          </w:tcPr>
          <w:p w14:paraId="2927B6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Плановое задание по: постановлению ГКО от 1.04.42 г.</w:t>
            </w:r>
          </w:p>
        </w:tc>
        <w:tc>
          <w:tcPr>
            <w:tcW w:w="2242" w:type="dxa"/>
            <w:tcBorders>
              <w:top w:val="single" w:sz="12" w:space="0" w:color="auto"/>
            </w:tcBorders>
          </w:tcPr>
          <w:p w14:paraId="7383AA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другим постановлениям</w:t>
            </w:r>
          </w:p>
        </w:tc>
        <w:tc>
          <w:tcPr>
            <w:tcW w:w="2242" w:type="dxa"/>
            <w:tcBorders>
              <w:top w:val="single" w:sz="12" w:space="0" w:color="auto"/>
            </w:tcBorders>
          </w:tcPr>
          <w:p w14:paraId="1D1E4F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Фактический план</w:t>
            </w:r>
          </w:p>
        </w:tc>
      </w:tr>
      <w:tr w:rsidR="006F4095" w:rsidRPr="008127F8" w14:paraId="153DEA7D" w14:textId="77777777">
        <w:tc>
          <w:tcPr>
            <w:tcW w:w="2242" w:type="dxa"/>
          </w:tcPr>
          <w:p w14:paraId="13C7E4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tc>
        <w:tc>
          <w:tcPr>
            <w:tcW w:w="2242" w:type="dxa"/>
          </w:tcPr>
          <w:p w14:paraId="769DD0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c>
          <w:tcPr>
            <w:tcW w:w="2242" w:type="dxa"/>
          </w:tcPr>
          <w:p w14:paraId="1F46CD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2242" w:type="dxa"/>
          </w:tcPr>
          <w:p w14:paraId="7A4641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744BA6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r>
      <w:tr w:rsidR="006F4095" w:rsidRPr="008127F8" w14:paraId="7B257B9A" w14:textId="77777777">
        <w:tc>
          <w:tcPr>
            <w:tcW w:w="2242" w:type="dxa"/>
          </w:tcPr>
          <w:p w14:paraId="03598D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2242" w:type="dxa"/>
          </w:tcPr>
          <w:p w14:paraId="1D90D4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260 1)</w:t>
            </w:r>
          </w:p>
        </w:tc>
        <w:tc>
          <w:tcPr>
            <w:tcW w:w="2242" w:type="dxa"/>
          </w:tcPr>
          <w:p w14:paraId="5847F4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c>
          <w:tcPr>
            <w:tcW w:w="2242" w:type="dxa"/>
          </w:tcPr>
          <w:p w14:paraId="5B7DD51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05647D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r>
      <w:tr w:rsidR="006F4095" w:rsidRPr="008127F8" w14:paraId="57155917" w14:textId="77777777">
        <w:tc>
          <w:tcPr>
            <w:tcW w:w="2242" w:type="dxa"/>
          </w:tcPr>
          <w:p w14:paraId="6803B9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2242" w:type="dxa"/>
          </w:tcPr>
          <w:p w14:paraId="71E12B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290 2)</w:t>
            </w:r>
          </w:p>
        </w:tc>
        <w:tc>
          <w:tcPr>
            <w:tcW w:w="2242" w:type="dxa"/>
          </w:tcPr>
          <w:p w14:paraId="665D463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2242" w:type="dxa"/>
          </w:tcPr>
          <w:p w14:paraId="235C2A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21C67F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r>
      <w:tr w:rsidR="006F4095" w:rsidRPr="008127F8" w14:paraId="72F4D956" w14:textId="77777777">
        <w:tc>
          <w:tcPr>
            <w:tcW w:w="2242" w:type="dxa"/>
          </w:tcPr>
          <w:p w14:paraId="6907A5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2242" w:type="dxa"/>
          </w:tcPr>
          <w:p w14:paraId="655825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01B5F3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280 3)</w:t>
            </w:r>
          </w:p>
        </w:tc>
        <w:tc>
          <w:tcPr>
            <w:tcW w:w="2242" w:type="dxa"/>
          </w:tcPr>
          <w:p w14:paraId="3C450C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3FF69D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r>
      <w:tr w:rsidR="006F4095" w:rsidRPr="008127F8" w14:paraId="1F9F122F" w14:textId="77777777">
        <w:tc>
          <w:tcPr>
            <w:tcW w:w="2242" w:type="dxa"/>
          </w:tcPr>
          <w:p w14:paraId="3642A6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2242" w:type="dxa"/>
          </w:tcPr>
          <w:p w14:paraId="35FE9D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03FDF6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280 3)</w:t>
            </w:r>
          </w:p>
        </w:tc>
        <w:tc>
          <w:tcPr>
            <w:tcW w:w="2242" w:type="dxa"/>
          </w:tcPr>
          <w:p w14:paraId="40DDBF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290 4)</w:t>
            </w:r>
          </w:p>
        </w:tc>
        <w:tc>
          <w:tcPr>
            <w:tcW w:w="2242" w:type="dxa"/>
          </w:tcPr>
          <w:p w14:paraId="1606D8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r>
      <w:tr w:rsidR="006F4095" w:rsidRPr="008127F8" w14:paraId="1BC5F132" w14:textId="77777777">
        <w:tc>
          <w:tcPr>
            <w:tcW w:w="2242" w:type="dxa"/>
          </w:tcPr>
          <w:p w14:paraId="348949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2242" w:type="dxa"/>
          </w:tcPr>
          <w:p w14:paraId="11D679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6BF4FD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280 3)</w:t>
            </w:r>
          </w:p>
        </w:tc>
        <w:tc>
          <w:tcPr>
            <w:tcW w:w="2242" w:type="dxa"/>
          </w:tcPr>
          <w:p w14:paraId="30A0E0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26E434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r>
      <w:tr w:rsidR="006F4095" w:rsidRPr="008127F8" w14:paraId="558604C7" w14:textId="77777777">
        <w:tc>
          <w:tcPr>
            <w:tcW w:w="2242" w:type="dxa"/>
          </w:tcPr>
          <w:p w14:paraId="13C2D9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242" w:type="dxa"/>
          </w:tcPr>
          <w:p w14:paraId="352EBC2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5CF5DF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290 5)</w:t>
            </w:r>
          </w:p>
        </w:tc>
        <w:tc>
          <w:tcPr>
            <w:tcW w:w="2242" w:type="dxa"/>
          </w:tcPr>
          <w:p w14:paraId="5F991E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103828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 (319 9))</w:t>
            </w:r>
          </w:p>
        </w:tc>
      </w:tr>
      <w:tr w:rsidR="006F4095" w:rsidRPr="008127F8" w14:paraId="13F4AC49" w14:textId="77777777">
        <w:tc>
          <w:tcPr>
            <w:tcW w:w="2242" w:type="dxa"/>
          </w:tcPr>
          <w:p w14:paraId="11721E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2242" w:type="dxa"/>
          </w:tcPr>
          <w:p w14:paraId="62084C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7379C7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c>
          <w:tcPr>
            <w:tcW w:w="2242" w:type="dxa"/>
          </w:tcPr>
          <w:p w14:paraId="21F987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300 6)</w:t>
            </w:r>
          </w:p>
        </w:tc>
        <w:tc>
          <w:tcPr>
            <w:tcW w:w="2242" w:type="dxa"/>
          </w:tcPr>
          <w:p w14:paraId="7CDBB6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(304 9))</w:t>
            </w:r>
          </w:p>
        </w:tc>
      </w:tr>
      <w:tr w:rsidR="006F4095" w:rsidRPr="008127F8" w14:paraId="6ADF40F1" w14:textId="77777777">
        <w:tc>
          <w:tcPr>
            <w:tcW w:w="2242" w:type="dxa"/>
          </w:tcPr>
          <w:p w14:paraId="2C821C1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2242" w:type="dxa"/>
          </w:tcPr>
          <w:p w14:paraId="167CD20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4D926C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2242" w:type="dxa"/>
          </w:tcPr>
          <w:p w14:paraId="0563C9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308 7)</w:t>
            </w:r>
          </w:p>
        </w:tc>
        <w:tc>
          <w:tcPr>
            <w:tcW w:w="2242" w:type="dxa"/>
          </w:tcPr>
          <w:p w14:paraId="602447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 (336 9))</w:t>
            </w:r>
          </w:p>
        </w:tc>
      </w:tr>
      <w:tr w:rsidR="006F4095" w:rsidRPr="008127F8" w14:paraId="7796C339" w14:textId="77777777">
        <w:tc>
          <w:tcPr>
            <w:tcW w:w="2242" w:type="dxa"/>
          </w:tcPr>
          <w:p w14:paraId="11CB50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242" w:type="dxa"/>
          </w:tcPr>
          <w:p w14:paraId="3FCD5E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44AB3E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2242" w:type="dxa"/>
          </w:tcPr>
          <w:p w14:paraId="787D3D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319 8)</w:t>
            </w:r>
          </w:p>
        </w:tc>
        <w:tc>
          <w:tcPr>
            <w:tcW w:w="2242" w:type="dxa"/>
          </w:tcPr>
          <w:p w14:paraId="77A7B3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 (348 9))</w:t>
            </w:r>
          </w:p>
        </w:tc>
      </w:tr>
      <w:tr w:rsidR="006F4095" w:rsidRPr="008127F8" w14:paraId="7455974B" w14:textId="77777777">
        <w:tc>
          <w:tcPr>
            <w:tcW w:w="2242" w:type="dxa"/>
          </w:tcPr>
          <w:p w14:paraId="6DCC66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2242" w:type="dxa"/>
          </w:tcPr>
          <w:p w14:paraId="558CF1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1B0ACAC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2242" w:type="dxa"/>
          </w:tcPr>
          <w:p w14:paraId="081183E5" w14:textId="77777777" w:rsidR="00D4651C" w:rsidRPr="008127F8" w:rsidRDefault="00D4651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308</w:t>
            </w:r>
            <w:proofErr w:type="gramEnd"/>
            <w:r w:rsidRPr="008127F8">
              <w:rPr>
                <w:rFonts w:ascii="Times New Roman" w:hAnsi="Times New Roman"/>
                <w:color w:val="000000" w:themeColor="text1"/>
                <w:sz w:val="16"/>
                <w:szCs w:val="16"/>
              </w:rPr>
              <w:t xml:space="preserve"> а</w:t>
            </w:r>
          </w:p>
        </w:tc>
        <w:tc>
          <w:tcPr>
            <w:tcW w:w="2242" w:type="dxa"/>
          </w:tcPr>
          <w:p w14:paraId="22FD8E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w:t>
            </w:r>
          </w:p>
        </w:tc>
      </w:tr>
      <w:tr w:rsidR="006F4095" w:rsidRPr="008127F8" w14:paraId="3641062F" w14:textId="77777777">
        <w:tc>
          <w:tcPr>
            <w:tcW w:w="2242" w:type="dxa"/>
          </w:tcPr>
          <w:p w14:paraId="129A0C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242" w:type="dxa"/>
          </w:tcPr>
          <w:p w14:paraId="3AD15A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Pr>
          <w:p w14:paraId="0C92AF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326</w:t>
            </w:r>
          </w:p>
        </w:tc>
        <w:tc>
          <w:tcPr>
            <w:tcW w:w="2242" w:type="dxa"/>
          </w:tcPr>
          <w:p w14:paraId="727596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 е</w:t>
            </w:r>
          </w:p>
        </w:tc>
        <w:tc>
          <w:tcPr>
            <w:tcW w:w="2242" w:type="dxa"/>
          </w:tcPr>
          <w:p w14:paraId="241AE1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w:t>
            </w:r>
          </w:p>
        </w:tc>
      </w:tr>
      <w:tr w:rsidR="006F4095" w:rsidRPr="008127F8" w14:paraId="6AD4B009" w14:textId="77777777">
        <w:tc>
          <w:tcPr>
            <w:tcW w:w="2242" w:type="dxa"/>
            <w:tcBorders>
              <w:bottom w:val="single" w:sz="12" w:space="0" w:color="auto"/>
            </w:tcBorders>
          </w:tcPr>
          <w:p w14:paraId="779705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2242" w:type="dxa"/>
            <w:tcBorders>
              <w:bottom w:val="single" w:sz="12" w:space="0" w:color="auto"/>
            </w:tcBorders>
          </w:tcPr>
          <w:p w14:paraId="77A9A49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Borders>
              <w:bottom w:val="single" w:sz="12" w:space="0" w:color="auto"/>
            </w:tcBorders>
          </w:tcPr>
          <w:p w14:paraId="421CA2E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2242" w:type="dxa"/>
            <w:tcBorders>
              <w:bottom w:val="single" w:sz="12" w:space="0" w:color="auto"/>
            </w:tcBorders>
          </w:tcPr>
          <w:p w14:paraId="5FA2549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3425 е</w:t>
            </w:r>
          </w:p>
        </w:tc>
        <w:tc>
          <w:tcPr>
            <w:tcW w:w="2242" w:type="dxa"/>
            <w:tcBorders>
              <w:bottom w:val="single" w:sz="12" w:space="0" w:color="auto"/>
            </w:tcBorders>
          </w:tcPr>
          <w:p w14:paraId="71948C3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3420 10)</w:t>
            </w:r>
          </w:p>
        </w:tc>
      </w:tr>
    </w:tbl>
    <w:p w14:paraId="7C724C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План подтвержден постановлением ГКО от 2 февраля I942 г.</w:t>
      </w:r>
    </w:p>
    <w:p w14:paraId="47E0F4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План подтвержден постановлением ГКО от 2 марта 1942 г.</w:t>
      </w:r>
    </w:p>
    <w:p w14:paraId="1BFF55E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Первоначально эти цифры установлены приказом наркома от 29 марта 1942 г.</w:t>
      </w:r>
    </w:p>
    <w:p w14:paraId="2D8EC4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План установлен постановлением ГКО от 3 мая 1942 г.</w:t>
      </w:r>
    </w:p>
    <w:p w14:paraId="5902FC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План подтвержден постановлением ГКО от 6 июля 1942 г.</w:t>
      </w:r>
    </w:p>
    <w:p w14:paraId="62AB66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План установлен постановлением ГКО от 6 августа 1942 г.</w:t>
      </w:r>
    </w:p>
    <w:p w14:paraId="647DA4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План установлен постановлением ГКО от 30 августа 1942 г.</w:t>
      </w:r>
    </w:p>
    <w:p w14:paraId="432BDF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План на четвертый квартал и на год установлен постановлением ГКО от 10 октября 1942 г.</w:t>
      </w:r>
    </w:p>
    <w:p w14:paraId="052ECF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По докладам военного представителя УВВС ВМФ (ЦВМА Ф. 12 оп.3 д. 342).</w:t>
      </w:r>
    </w:p>
    <w:p w14:paraId="6FD460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Последняя колонка таблицы представляет собой цифры, устаноапенные по последнему приказу (постаноалению). Их общая сумма состаазяет 3420 самолетов, но, тем не менее, цифра 3425 выпущенных в 1942 г. Як-1 была и остается официальными данными НКАП (12048).</w:t>
      </w:r>
    </w:p>
    <w:p w14:paraId="418A7EF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93571D0"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в авиакатастрофе на </w:t>
      </w:r>
      <w:hyperlink r:id="rId8" w:tgtFrame="_blank" w:history="1">
        <w:r w:rsidRPr="008127F8">
          <w:rPr>
            <w:rFonts w:ascii="Times New Roman" w:hAnsi="Times New Roman"/>
            <w:color w:val="000000" w:themeColor="text1"/>
            <w:sz w:val="16"/>
            <w:szCs w:val="16"/>
          </w:rPr>
          <w:t xml:space="preserve">«Ар-2» </w:t>
        </w:r>
      </w:hyperlink>
      <w:r w:rsidRPr="008127F8">
        <w:rPr>
          <w:rFonts w:ascii="Times New Roman" w:hAnsi="Times New Roman"/>
          <w:color w:val="000000" w:themeColor="text1"/>
          <w:sz w:val="16"/>
          <w:szCs w:val="16"/>
        </w:rPr>
        <w:t>погиб экипаж в составе: летчик-испытатель Г.П.Шустваль, штурман И.С.Егоров, летчик-испытатель А.П.Гусев, агент ОСПК Н.Я.Сергеев (15008).</w:t>
      </w:r>
    </w:p>
    <w:p w14:paraId="125C3F96" w14:textId="77777777" w:rsidR="00CD5F5F" w:rsidRPr="008127F8" w:rsidRDefault="00CD5F5F" w:rsidP="001E0A84">
      <w:pPr>
        <w:spacing w:after="0" w:line="240" w:lineRule="auto"/>
        <w:jc w:val="both"/>
        <w:rPr>
          <w:rFonts w:ascii="Times New Roman" w:hAnsi="Times New Roman"/>
          <w:color w:val="000000" w:themeColor="text1"/>
          <w:sz w:val="16"/>
          <w:szCs w:val="16"/>
        </w:rPr>
      </w:pPr>
    </w:p>
    <w:p w14:paraId="78001D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М.Багиров дал телеграмму Л.П.Берия, который в то время отвечал за эвакуацию промышленных предприятий на Восток. “На заводе N458 работы по освоению новой продукции “ЯК-3” ведутся в пределах местных возможностей. НКАП, несмотря на неоднократные обещания, до сих пор не присылают чертежи технологий и материальной спецификации. Прошу обязать директора завода срочно прислать все необходимое для освоения новой машины “ЯК-3” (10684).</w:t>
      </w:r>
    </w:p>
    <w:p w14:paraId="376F368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08CCD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л Г.П.Шустваль 22 завода разбил транспортный Ар-2 в сложных метеоусловиях. Врезался левой плоскостью в землю при развороте. Погибли л, ш, моторист и пассажир, а механик - ранен (2108).</w:t>
      </w:r>
    </w:p>
    <w:p w14:paraId="74C07170" w14:textId="77777777" w:rsidR="00D4651C" w:rsidRPr="008127F8" w:rsidRDefault="00D4651C" w:rsidP="001E0A84">
      <w:pPr>
        <w:pStyle w:val="Iauiue"/>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160ACA87" w14:textId="77777777">
        <w:tc>
          <w:tcPr>
            <w:tcW w:w="675" w:type="dxa"/>
            <w:tcBorders>
              <w:top w:val="single" w:sz="12" w:space="0" w:color="auto"/>
            </w:tcBorders>
          </w:tcPr>
          <w:p w14:paraId="15CCBD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6A8D47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4905D8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004BD0D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7797B7B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12710C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41E0E458" w14:textId="77777777">
        <w:tc>
          <w:tcPr>
            <w:tcW w:w="675" w:type="dxa"/>
          </w:tcPr>
          <w:p w14:paraId="370867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993" w:type="dxa"/>
          </w:tcPr>
          <w:p w14:paraId="587288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w:t>
            </w:r>
          </w:p>
        </w:tc>
        <w:tc>
          <w:tcPr>
            <w:tcW w:w="708" w:type="dxa"/>
          </w:tcPr>
          <w:p w14:paraId="3CED1E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18" w:type="dxa"/>
          </w:tcPr>
          <w:p w14:paraId="6FC944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Г.А.Ветлугин</w:t>
            </w:r>
          </w:p>
        </w:tc>
        <w:tc>
          <w:tcPr>
            <w:tcW w:w="2364" w:type="dxa"/>
          </w:tcPr>
          <w:p w14:paraId="174425D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УТ-2 транспортного</w:t>
            </w:r>
          </w:p>
        </w:tc>
        <w:tc>
          <w:tcPr>
            <w:tcW w:w="4440" w:type="dxa"/>
          </w:tcPr>
          <w:p w14:paraId="2C6BE2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посадке на площадку ограниченных размеров л допустил ошибку в технике пилотирования.</w:t>
            </w:r>
          </w:p>
        </w:tc>
      </w:tr>
      <w:tr w:rsidR="006F4095" w:rsidRPr="008127F8" w14:paraId="18565745" w14:textId="77777777">
        <w:tc>
          <w:tcPr>
            <w:tcW w:w="675" w:type="dxa"/>
            <w:tcBorders>
              <w:bottom w:val="single" w:sz="12" w:space="0" w:color="auto"/>
            </w:tcBorders>
          </w:tcPr>
          <w:p w14:paraId="6BA4D8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993" w:type="dxa"/>
            <w:tcBorders>
              <w:bottom w:val="single" w:sz="12" w:space="0" w:color="auto"/>
            </w:tcBorders>
          </w:tcPr>
          <w:p w14:paraId="2E2068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w:t>
            </w:r>
          </w:p>
        </w:tc>
        <w:tc>
          <w:tcPr>
            <w:tcW w:w="708" w:type="dxa"/>
            <w:tcBorders>
              <w:bottom w:val="single" w:sz="12" w:space="0" w:color="auto"/>
            </w:tcBorders>
          </w:tcPr>
          <w:p w14:paraId="2C523A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418" w:type="dxa"/>
            <w:tcBorders>
              <w:bottom w:val="single" w:sz="12" w:space="0" w:color="auto"/>
            </w:tcBorders>
          </w:tcPr>
          <w:p w14:paraId="699F9B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Г.П.Шустваль</w:t>
            </w:r>
          </w:p>
        </w:tc>
        <w:tc>
          <w:tcPr>
            <w:tcW w:w="2364" w:type="dxa"/>
            <w:tcBorders>
              <w:bottom w:val="single" w:sz="12" w:space="0" w:color="auto"/>
            </w:tcBorders>
          </w:tcPr>
          <w:p w14:paraId="2B1427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Катастрофа АР-2 транспортного</w:t>
            </w:r>
          </w:p>
        </w:tc>
        <w:tc>
          <w:tcPr>
            <w:tcW w:w="4440" w:type="dxa"/>
            <w:tcBorders>
              <w:bottom w:val="single" w:sz="12" w:space="0" w:color="auto"/>
            </w:tcBorders>
          </w:tcPr>
          <w:p w14:paraId="3F3611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сложных метеоусловиях (туман, повышение местности) с-т при развороте врезался левой плоскостью в землю и разбился. Погибли: л, ш, моторист, пассажир. Бортмеханик тяжело ранен</w:t>
            </w:r>
          </w:p>
        </w:tc>
      </w:tr>
    </w:tbl>
    <w:p w14:paraId="435EAB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21E4ACF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CCBD35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13 января 1942 года </w:t>
      </w:r>
      <w:proofErr w:type="gramStart"/>
      <w:r w:rsidRPr="008127F8">
        <w:rPr>
          <w:color w:val="000000" w:themeColor="text1"/>
          <w:sz w:val="16"/>
          <w:szCs w:val="16"/>
        </w:rPr>
        <w:t>согласно приказа</w:t>
      </w:r>
      <w:proofErr w:type="gramEnd"/>
      <w:r w:rsidRPr="008127F8">
        <w:rPr>
          <w:color w:val="000000" w:themeColor="text1"/>
          <w:sz w:val="16"/>
          <w:szCs w:val="16"/>
        </w:rPr>
        <w:t xml:space="preserve"> НКАП № 444сс на заводе № 500 было организовано ОКБ-1,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278CF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Тушино. Производственный профиль – авиамоторный (9861).</w:t>
      </w:r>
    </w:p>
    <w:p w14:paraId="3FB6D854" w14:textId="77777777" w:rsidR="00D4651C" w:rsidRPr="008127F8" w:rsidRDefault="00D4651C" w:rsidP="001E0A84">
      <w:pPr>
        <w:pStyle w:val="Iauiue"/>
        <w:jc w:val="both"/>
        <w:rPr>
          <w:color w:val="000000" w:themeColor="text1"/>
          <w:sz w:val="16"/>
          <w:szCs w:val="16"/>
        </w:rPr>
      </w:pPr>
    </w:p>
    <w:p w14:paraId="6495F04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67306F05" w14:textId="77777777" w:rsidR="00D4651C" w:rsidRPr="008127F8" w:rsidRDefault="00D4651C" w:rsidP="001E0A84">
      <w:pPr>
        <w:pStyle w:val="Iauiue"/>
        <w:jc w:val="both"/>
        <w:rPr>
          <w:iCs/>
          <w:color w:val="000000" w:themeColor="text1"/>
          <w:sz w:val="16"/>
          <w:szCs w:val="16"/>
        </w:rPr>
      </w:pPr>
    </w:p>
    <w:p w14:paraId="482003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г. по приказу НКБ № 16 первая очередь завода (Завод № 603 НКБ, п/я 63, Курганский механический завод им. 50-летия СССР /г. Курган Челябинской обл. п/я 63 «Стрела» (1942 г.)/ /640000  г. Курган ул. Автозаводская, 1 А/) была пущена в эксплуатацию, к 30.01.942 г. прибыло 148 ед. оборудования. Было восстановлено производство гранат мощностью 2,4 млн. шт. в год.</w:t>
      </w:r>
    </w:p>
    <w:p w14:paraId="0F3C12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12.1942-11.1943 г. -в ведении 2ГУ НКБ, в 09.1944 г. - в ведении 8ГУ.</w:t>
      </w:r>
    </w:p>
    <w:p w14:paraId="0EACCB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 г. начато освоение радиотехнической продукции, в 1972 г. ее объем составил 25% заводской продукции. По приказу ММ № 228 от 06.1973 г. на базе Курганского механического завода и Курганского приборостроительного завода создано ПО «Курганприбор». В 1975 г. заводу присвоено имя 50-летия СССР. Был в 2004 г.</w:t>
      </w:r>
    </w:p>
    <w:p w14:paraId="15F899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(04.1943 г.)- 436 (металлорежущее) ед. Производственные площади: (1943 г.)- 10.300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(1970 г.)- 49.441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Численность персонала (12.1942 г.)- 1929 чел. Директор (04.1943 г.)- Кузьмин. Гл. инженер (04.1943 г.)- Поляков.</w:t>
      </w:r>
    </w:p>
    <w:p w14:paraId="7D1F39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мобилизационно-планового (04.1943 г.)- Злотченко.</w:t>
      </w:r>
      <w:r w:rsidRPr="008127F8">
        <w:rPr>
          <w:rFonts w:ascii="Times New Roman" w:hAnsi="Times New Roman"/>
          <w:color w:val="000000" w:themeColor="text1"/>
          <w:sz w:val="16"/>
          <w:szCs w:val="16"/>
          <w:vertAlign w:val="superscript"/>
        </w:rPr>
        <w:t xml:space="preserve">132 </w:t>
      </w:r>
      <w:r w:rsidRPr="008127F8">
        <w:rPr>
          <w:rFonts w:ascii="Times New Roman" w:hAnsi="Times New Roman"/>
          <w:color w:val="000000" w:themeColor="text1"/>
          <w:sz w:val="16"/>
          <w:szCs w:val="16"/>
        </w:rPr>
        <w:t>Создано: устройство сигнализационное «Скала-1М» (2003).</w:t>
      </w:r>
    </w:p>
    <w:p w14:paraId="31EDEB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КВ-4, запал УЗРГ, граната РГ-42 (1943); «Нева-ЮМ» (1986); магнитолы: «Аэлита-101 (1986), - 102, РМ-204С»; радиоприемник «Аэлита РП-215» (11982).</w:t>
      </w:r>
    </w:p>
    <w:p w14:paraId="0F78D461" w14:textId="77777777" w:rsidR="00CD5F5F" w:rsidRPr="008127F8" w:rsidRDefault="00CD5F5F" w:rsidP="001E0A84">
      <w:pPr>
        <w:pStyle w:val="Iauiue"/>
        <w:tabs>
          <w:tab w:val="left" w:pos="11199"/>
        </w:tabs>
        <w:jc w:val="both"/>
        <w:rPr>
          <w:color w:val="000000" w:themeColor="text1"/>
          <w:sz w:val="16"/>
          <w:szCs w:val="16"/>
        </w:rPr>
      </w:pPr>
    </w:p>
    <w:p w14:paraId="29783B3F"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13 января1942 на заводе №112 разработали схему экранировки, в которой лобовая часть корпуса, а также лоб и частично борта башни прикрывались экранами толщиной 15 мм. Как и в случае с экранировкой завода №183, экраны крепились при помощи сварки. Собирались они из небольших фрагментов.</w:t>
      </w:r>
    </w:p>
    <w:p w14:paraId="0485A799"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Сталинграде экранировкой занимался поставщик корпусов и башен — завод №264. Там также разработали экранировку с усилением брони лобовой части корпуса и частично башни. При этом, если на заводе №112 использовались в основном литые башни, то на заводе №264 — сварные (18883).</w:t>
      </w:r>
    </w:p>
    <w:p w14:paraId="167B458B"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p>
    <w:p w14:paraId="1227986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13-16 января 1942 на артполигоне завода № 221 в Сталинграде провели испытание Т-34, экранированного 10-15 мм броней. Начиная с 25 января начали выпуск на СТЗ (9050,29).</w:t>
      </w:r>
    </w:p>
    <w:p w14:paraId="140D5B2B" w14:textId="77777777" w:rsidR="00D4651C" w:rsidRPr="008127F8" w:rsidRDefault="00D4651C" w:rsidP="001E0A84">
      <w:pPr>
        <w:pStyle w:val="Iauiue"/>
        <w:tabs>
          <w:tab w:val="left" w:pos="11199"/>
        </w:tabs>
        <w:jc w:val="both"/>
        <w:rPr>
          <w:color w:val="000000" w:themeColor="text1"/>
          <w:sz w:val="16"/>
          <w:szCs w:val="16"/>
        </w:rPr>
      </w:pPr>
    </w:p>
    <w:p w14:paraId="5F6F2E4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13-16 января 1942 г. испытания на артиллерийском по</w:t>
      </w:r>
      <w:r w:rsidRPr="008127F8">
        <w:rPr>
          <w:rFonts w:ascii="Times New Roman" w:hAnsi="Times New Roman"/>
          <w:color w:val="000000" w:themeColor="text1"/>
          <w:sz w:val="16"/>
          <w:szCs w:val="16"/>
        </w:rPr>
        <w:softHyphen/>
        <w:t>лигоне завода № 221 показали, что броневая защита экрани</w:t>
      </w:r>
      <w:r w:rsidRPr="008127F8">
        <w:rPr>
          <w:rFonts w:ascii="Times New Roman" w:hAnsi="Times New Roman"/>
          <w:color w:val="000000" w:themeColor="text1"/>
          <w:sz w:val="16"/>
          <w:szCs w:val="16"/>
        </w:rPr>
        <w:softHyphen/>
        <w:t>рованного танка Т-34 значительно улучшилась, и начиная с 25 ян</w:t>
      </w:r>
      <w:r w:rsidRPr="008127F8">
        <w:rPr>
          <w:rFonts w:ascii="Times New Roman" w:hAnsi="Times New Roman"/>
          <w:color w:val="000000" w:themeColor="text1"/>
          <w:sz w:val="16"/>
          <w:szCs w:val="16"/>
        </w:rPr>
        <w:softHyphen/>
        <w:t>варя экранированный танк пошел в серию на СТЗ, с 21 янва</w:t>
      </w:r>
      <w:r w:rsidRPr="008127F8">
        <w:rPr>
          <w:rFonts w:ascii="Times New Roman" w:hAnsi="Times New Roman"/>
          <w:color w:val="000000" w:themeColor="text1"/>
          <w:sz w:val="16"/>
          <w:szCs w:val="16"/>
        </w:rPr>
        <w:softHyphen/>
        <w:t>ря на заводе № 112 пошла в серию усиленная башня, а с 25 февраля - корпус. Но 23 февраля 1942 г. из-за нехватки проката постановление ГКО об экранировке танков Т-34 бы</w:t>
      </w:r>
      <w:r w:rsidRPr="008127F8">
        <w:rPr>
          <w:rFonts w:ascii="Times New Roman" w:hAnsi="Times New Roman"/>
          <w:color w:val="000000" w:themeColor="text1"/>
          <w:sz w:val="16"/>
          <w:szCs w:val="16"/>
        </w:rPr>
        <w:softHyphen/>
        <w:t>ло отменено. Но на заводе № 112 оно продолжалось, так как в ход шли отходы от раскроя. Всего заводом № 112 в 1942 г. было выпущено 88 экранированных корпусов и 109 башен. Кроме того, за время производства Т-34 на СТЗ и заво</w:t>
      </w:r>
      <w:r w:rsidRPr="008127F8">
        <w:rPr>
          <w:rFonts w:ascii="Times New Roman" w:hAnsi="Times New Roman"/>
          <w:color w:val="000000" w:themeColor="text1"/>
          <w:sz w:val="16"/>
          <w:szCs w:val="16"/>
        </w:rPr>
        <w:softHyphen/>
        <w:t>де № 112 в 1942 г. в него были внесены следующие измене</w:t>
      </w:r>
      <w:r w:rsidRPr="008127F8">
        <w:rPr>
          <w:rFonts w:ascii="Times New Roman" w:hAnsi="Times New Roman"/>
          <w:color w:val="000000" w:themeColor="text1"/>
          <w:sz w:val="16"/>
          <w:szCs w:val="16"/>
        </w:rPr>
        <w:softHyphen/>
        <w:t>ния конструкции (по состоянию на август 1942 г.):</w:t>
      </w:r>
    </w:p>
    <w:p w14:paraId="474E3ED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зимой 1942 г. на СТЗ, весной на заводе № 112 отменено лужение топливных и масляных баков с целью эконо</w:t>
      </w:r>
      <w:r w:rsidRPr="008127F8">
        <w:rPr>
          <w:rFonts w:ascii="Times New Roman" w:hAnsi="Times New Roman"/>
          <w:color w:val="000000" w:themeColor="text1"/>
          <w:sz w:val="16"/>
          <w:szCs w:val="16"/>
        </w:rPr>
        <w:softHyphen/>
        <w:t>мии олова и цинка;</w:t>
      </w:r>
    </w:p>
    <w:p w14:paraId="1FCDA6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 февраля-марта 1942 г. вместо медных трубок топливной и маслосистемы стали устанавливаться стальные; умень</w:t>
      </w:r>
      <w:r w:rsidRPr="008127F8">
        <w:rPr>
          <w:rFonts w:ascii="Times New Roman" w:hAnsi="Times New Roman"/>
          <w:color w:val="000000" w:themeColor="text1"/>
          <w:sz w:val="16"/>
          <w:szCs w:val="16"/>
        </w:rPr>
        <w:softHyphen/>
        <w:t>шен процент бронзы в подшипниках и уплотнениях;</w:t>
      </w:r>
    </w:p>
    <w:p w14:paraId="2F67584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марте уменьшена на треть длина электропроводки;</w:t>
      </w:r>
    </w:p>
    <w:p w14:paraId="2AB2475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 апреля нормализован крепеж, что позволило исклю</w:t>
      </w:r>
      <w:r w:rsidRPr="008127F8">
        <w:rPr>
          <w:rFonts w:ascii="Times New Roman" w:hAnsi="Times New Roman"/>
          <w:color w:val="000000" w:themeColor="text1"/>
          <w:sz w:val="16"/>
          <w:szCs w:val="16"/>
        </w:rPr>
        <w:softHyphen/>
        <w:t>чить 11 позиций фурнитуры;</w:t>
      </w:r>
    </w:p>
    <w:p w14:paraId="146729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весной 1942 г. картеры КПП начали отливать из чугуна, а не алюминия;</w:t>
      </w:r>
    </w:p>
    <w:p w14:paraId="54ADE2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апреле 1942 г. клепка в сборке узлов танка на заводе № 112 заменена по возможности точечной сваркой;</w:t>
      </w:r>
    </w:p>
    <w:p w14:paraId="2DDC7A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 время производства легированные стали в конструк</w:t>
      </w:r>
      <w:r w:rsidRPr="008127F8">
        <w:rPr>
          <w:rFonts w:ascii="Times New Roman" w:hAnsi="Times New Roman"/>
          <w:color w:val="000000" w:themeColor="text1"/>
          <w:sz w:val="16"/>
          <w:szCs w:val="16"/>
        </w:rPr>
        <w:softHyphen/>
        <w:t>ционных элементах и механизмах по возможности за</w:t>
      </w:r>
      <w:r w:rsidRPr="008127F8">
        <w:rPr>
          <w:rFonts w:ascii="Times New Roman" w:hAnsi="Times New Roman"/>
          <w:color w:val="000000" w:themeColor="text1"/>
          <w:sz w:val="16"/>
          <w:szCs w:val="16"/>
        </w:rPr>
        <w:softHyphen/>
        <w:t>менялись обычными конструкционными;</w:t>
      </w:r>
    </w:p>
    <w:p w14:paraId="7E529B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летом 1942 г. на СТЗ применялся воздушный фильтр упрошенной конструкции;</w:t>
      </w:r>
    </w:p>
    <w:p w14:paraId="42344F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июне 1942 г. на СТЗ увеличен объем топливных баков в среднем на 5-8 процентов;</w:t>
      </w:r>
    </w:p>
    <w:p w14:paraId="6BE645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июне 1942 г. на СТЗ введен перископ танка Т-60 вмес</w:t>
      </w:r>
      <w:r w:rsidRPr="008127F8">
        <w:rPr>
          <w:rFonts w:ascii="Times New Roman" w:hAnsi="Times New Roman"/>
          <w:color w:val="000000" w:themeColor="text1"/>
          <w:sz w:val="16"/>
          <w:szCs w:val="16"/>
        </w:rPr>
        <w:softHyphen/>
        <w:t>то командирской панорамы;</w:t>
      </w:r>
    </w:p>
    <w:p w14:paraId="7C095F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 переходом на новые гусеничные цепи и катки усиле</w:t>
      </w:r>
      <w:r w:rsidRPr="008127F8">
        <w:rPr>
          <w:rFonts w:ascii="Times New Roman" w:hAnsi="Times New Roman"/>
          <w:color w:val="000000" w:themeColor="text1"/>
          <w:sz w:val="16"/>
          <w:szCs w:val="16"/>
        </w:rPr>
        <w:softHyphen/>
        <w:t>ны пружины главного фрикциона;</w:t>
      </w:r>
    </w:p>
    <w:p w14:paraId="0E96B0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уменьшено количество шанцевого инструмента на 10 единиц, 20 узлов и 57 деталей. Танк значительно упростился (10782).</w:t>
      </w:r>
    </w:p>
    <w:p w14:paraId="45FA16C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26492624" w14:textId="77777777" w:rsidR="00CD5F5F" w:rsidRPr="008127F8" w:rsidRDefault="00CD5F5F" w:rsidP="001E0A84">
      <w:pPr>
        <w:pStyle w:val="book"/>
        <w:ind w:firstLine="0"/>
        <w:jc w:val="both"/>
        <w:rPr>
          <w:color w:val="000000" w:themeColor="text1"/>
          <w:sz w:val="16"/>
          <w:szCs w:val="16"/>
        </w:rPr>
      </w:pPr>
      <w:r w:rsidRPr="008127F8">
        <w:rPr>
          <w:color w:val="000000" w:themeColor="text1"/>
          <w:sz w:val="16"/>
          <w:szCs w:val="16"/>
        </w:rPr>
        <w:t>13 январе 1942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(15225).</w:t>
      </w:r>
    </w:p>
    <w:p w14:paraId="5F48F5FD" w14:textId="77777777" w:rsidR="00CD5F5F" w:rsidRPr="008127F8" w:rsidRDefault="00CD5F5F" w:rsidP="001E0A84">
      <w:pPr>
        <w:pStyle w:val="book"/>
        <w:ind w:firstLine="0"/>
        <w:jc w:val="both"/>
        <w:rPr>
          <w:color w:val="000000" w:themeColor="text1"/>
          <w:sz w:val="16"/>
          <w:szCs w:val="16"/>
        </w:rPr>
      </w:pPr>
    </w:p>
    <w:p w14:paraId="0D11CC9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13 января 1942 года вышел приказ № 17с НКБ (Челябинск).</w:t>
      </w:r>
    </w:p>
    <w:p w14:paraId="7EE39DD7"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 xml:space="preserve">Распоряжением СНК от 4 января 1942 года в частичное изменение распоряжения СНК № 6066-рс от 10 августа 1941 года Новосибирский завод “Красный литейщик” </w:t>
      </w:r>
      <w:r w:rsidRPr="008127F8">
        <w:rPr>
          <w:color w:val="000000" w:themeColor="text1"/>
          <w:sz w:val="16"/>
          <w:szCs w:val="16"/>
        </w:rPr>
        <w:lastRenderedPageBreak/>
        <w:t>оставлен в ведении Наркомата местной промышленности.</w:t>
      </w:r>
    </w:p>
    <w:p w14:paraId="7D2B362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Приказ НКБ № 443 от 24 августа 1941 года отменить (5753, 93).</w:t>
      </w:r>
    </w:p>
    <w:p w14:paraId="7DC8F8C9" w14:textId="77777777" w:rsidR="00D4651C" w:rsidRPr="008127F8" w:rsidRDefault="00D4651C" w:rsidP="001E0A84">
      <w:pPr>
        <w:pStyle w:val="Iauiue"/>
        <w:tabs>
          <w:tab w:val="left" w:pos="11199"/>
        </w:tabs>
        <w:jc w:val="both"/>
        <w:rPr>
          <w:color w:val="000000" w:themeColor="text1"/>
          <w:sz w:val="16"/>
          <w:szCs w:val="16"/>
        </w:rPr>
      </w:pPr>
    </w:p>
    <w:p w14:paraId="21FD450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года согласно приказа НКБ за № 16с и 25 ноября 1941 года Согласно Постановления ГКО за № 1061с в Кургане Челябинской области в январе 1942 года начато строительство завода № 603 на базе переданных ему 2-х складов Гл. управления государственных материальных резервов (ГУГМР). Завод предназначался для производства стальных капсюльных втулок и запальных трубок Норданфельда (ЗТН). В январе 1942 года в состав завода № 603 в качестве цеха завода по производству ручных гранат был включен эвакуированный из Харькова завод № 308 НКБ.</w:t>
      </w:r>
    </w:p>
    <w:p w14:paraId="0C4D3FA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Действующим предприятием, вырабатывающим капсюльные втулки КВ-4, завод № 603 является с октября 1942 года.</w:t>
      </w:r>
    </w:p>
    <w:p w14:paraId="0A8FF9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505EE6E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63CD6F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Курган, п/я 63</w:t>
      </w:r>
    </w:p>
    <w:p w14:paraId="5B34DE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Полибза Т.Д. (10021).</w:t>
      </w:r>
    </w:p>
    <w:p w14:paraId="16591C24" w14:textId="77777777" w:rsidR="00D4651C" w:rsidRPr="008127F8" w:rsidRDefault="00D4651C" w:rsidP="001E0A84">
      <w:pPr>
        <w:pStyle w:val="Iauiue"/>
        <w:jc w:val="both"/>
        <w:rPr>
          <w:color w:val="000000" w:themeColor="text1"/>
          <w:sz w:val="16"/>
          <w:szCs w:val="16"/>
        </w:rPr>
      </w:pPr>
    </w:p>
    <w:p w14:paraId="7399561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приказом № 16 Наркомата боеприпасов СССР объявляется действующим Курганский механический завод № 603 (ныне ФГУП "Курганприбор"). Основой нового предприятия стали эвакуированные Харьковский металлоштамповочный завод, Московский завод имени Орджоникидзе. Производственный профиль предприятия на сегоднешний день: военный: Взрыватели лазерные, радиовзрыватели; гражданский: электроинструмент; радиоприемники, магнитолы, запасные части и принадлежности для тракторов (15008).</w:t>
      </w:r>
    </w:p>
    <w:p w14:paraId="5C886EFE"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791700C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0285D1D3" w14:textId="77777777" w:rsidR="00D4651C" w:rsidRPr="008127F8" w:rsidRDefault="00D4651C" w:rsidP="001E0A84">
      <w:pPr>
        <w:pStyle w:val="Iauiue"/>
        <w:jc w:val="both"/>
        <w:rPr>
          <w:iCs/>
          <w:color w:val="000000" w:themeColor="text1"/>
          <w:sz w:val="16"/>
          <w:szCs w:val="16"/>
        </w:rPr>
      </w:pPr>
    </w:p>
    <w:p w14:paraId="62CF451F"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449B9C51"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13 января на ряде участков фронта продолжались активные действия наших войск.</w:t>
      </w:r>
    </w:p>
    <w:p w14:paraId="20C8A90B"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танковая часть, действующая на одном из участков Западного фронта, за один день боёв с противником выбила немцев из крупного населённого пункта и истребила батальон вражеской пехоты. На другом участке фронта наши бойцы окружили и полностью истребили две роты пехоты противника.</w:t>
      </w:r>
    </w:p>
    <w:p w14:paraId="4D09C7C3"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батареи старшего лейтенанта тов. Алексеева (Западный фронт) за последние три недели сбили 7 вражеских самолётов.</w:t>
      </w:r>
    </w:p>
    <w:p w14:paraId="0B416999"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 Г., действующий в одном из районов Сталинской области, захваченных немцами, за две последние недели декабря провёл несколько удачных операций. В селе М. партизанский отряд разгромил штаб немецкой части и уничтожил 4 офицеров и 3 солдат. В ночь на 25 декабря партизаны атаковали населённый пункт, где фашистские офицеры устроили рождественский бал. Забросав здание гранатами, партизаны уничтожили 40 фашистских офицеров. 26 декабря партизаны совершили нападение на обоз врага и убили 15 итальянских солдат. Захвачены пулемёты и винтовки. 27 декабря отряд уничтожил несколько итальянцев и захватил станковый пулемёт, винтовки и важные документы.</w:t>
      </w:r>
    </w:p>
    <w:p w14:paraId="677CB951"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5 роты 445 немецкого пехотного полка Иозеф Роберт заявил: «Наша рота сейчас состоит из обмороженных солдат. Каждый солдат что-нибудь отморозил. Только один лейтенант Зонненбург остался невредимым. У него есть тёплые сапоги. Зато все 9 унтер-офицеров разделили участь солдат. Врачи не оказывают никакой помощи обмороженным. В полку уже погибло от морозов свыше 30 солдат».</w:t>
      </w:r>
    </w:p>
    <w:p w14:paraId="36DE551B"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Ерденево, Малоярославецкого района, Московской области, немецкий карательный отряд расстрелял 25 колхозников. У 7 колхозников гитлеровское зверьё отрезало уши, носы и выкололо глаза.</w:t>
      </w:r>
    </w:p>
    <w:p w14:paraId="0A73D03E"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полученным дополнительным сведениям, при расправе с женщинами, пытавшимися задержать на Ангальтском вокзале гор. Берлина воинские эшелоны, отправляющиеся на советско-германский фронт, штурмовики убили 7 и ранили 16 женщин.</w:t>
      </w:r>
    </w:p>
    <w:p w14:paraId="18088F6D"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Испанское радио сообщило, что испанский генерал Муньос Гранде горячо поздравил испанскую «Голубую дивизию» «с победой, которой эта дивизия добилась над численно превосходящими русскими силами». Как известно, «Голубая дивизия» в середине декабря была наголову разбита нашими частями. Испанские бандиты из «Голубой дивизии» потеряли убитыми, ранеными и обмороженными свыше 10 тыс. чел. Многочисленные пленные и перебежчики из этой дивизии подтверждают, что остатки дивизии совершенно деморализованы. Солдаты отказываются воевать и требуют возвращения на родину. Таким образом испанский генерал поздравил с «победой» мертвецов.» (15008).</w:t>
      </w:r>
    </w:p>
    <w:p w14:paraId="1B730538" w14:textId="77777777" w:rsidR="00CD5F5F" w:rsidRPr="008127F8" w:rsidRDefault="00CD5F5F" w:rsidP="001E0A84">
      <w:pPr>
        <w:spacing w:after="0" w:line="240" w:lineRule="auto"/>
        <w:jc w:val="both"/>
        <w:rPr>
          <w:rFonts w:ascii="Times New Roman" w:hAnsi="Times New Roman"/>
          <w:color w:val="000000" w:themeColor="text1"/>
          <w:sz w:val="16"/>
          <w:szCs w:val="16"/>
        </w:rPr>
      </w:pPr>
    </w:p>
    <w:p w14:paraId="269BE6CC"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45F1F574"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января на ряде участков фронта наши войска, продолжая с боем продвигаться вперёд, заняли несколько населённых пунктов и в числе их город Киров (Смоленской области) и Дорохово (вблизи Можайска).</w:t>
      </w:r>
    </w:p>
    <w:p w14:paraId="6E6238B5"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января уничтожено 4 немецких самолёта. Наши потери — 1 самолёт.</w:t>
      </w:r>
    </w:p>
    <w:p w14:paraId="4926623A"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января части нашей авиации уничтожили 3 немецких танка, более 380 автомашин с пехотой и грузами, 245 повозок с боеприпасами, 17 орудий с прислугой, 9 зенитно-пулемётных точек, сожгли 56 железнодорожных вагонов, взорвали 2 склада боеприпасов, рассеяли и частью истребили до полка пехоты противника.</w:t>
      </w:r>
    </w:p>
    <w:p w14:paraId="60932941"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Ефремова (Западный фронт), ведя упорные бои с противником, за один день захватили 63 немецких автомашины, 53 пулемёта, 33 мотоцикла и много других трофеев. На другом участке фронта гвардейцы тов. Новикова в ожесточенном сражении за населённый пункт К. истребили 200 вражеских солдат и офицеров.</w:t>
      </w:r>
    </w:p>
    <w:p w14:paraId="08A288D2"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Южного фронта за день боевых действий уничтожили 170 немецких автомашин, 13 орудий, несколько десятков повозок с боеприпасами. Совершив успешный налёт на одну станцию, советские лётчики подожгли и взорвали несколько железнодорожных эшелонов. Станция выведена из строя.</w:t>
      </w:r>
    </w:p>
    <w:p w14:paraId="5E678A79"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противник численностью в 260 человек атаковал наши позиции. Контрударом наших бойцов враг был отброшен. На поле боя осталось 180 трупов немецких солдат и офицеров.</w:t>
      </w:r>
    </w:p>
    <w:p w14:paraId="453827E9"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красноармейцев-автоматчиков под командованием сержанта Хасанова разгромила взвод вражеских автоматчиков. Тов. Хасанов с первого же выстрела поразил фашистского офицера. Красноармейцы Бобров и Аминов уничтожили 5 автоматчиков противника.</w:t>
      </w:r>
    </w:p>
    <w:p w14:paraId="165FFB53"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районов Ленинградской области, оккупированных немцами, действуют два партизанских отряда. Отряд тов. К. за несколько дней истребил 13 немецких солдат и уничтожил штабную машину с офицерами. Отряд тов. С. непрерывно минирует дороги и тем самым задерживает подвоз боеприпасов и продовольствия для немецких войск. У деревни М. партизаны на днях взорвали 3 подводы и уничтожили свыше десяти немцев. Во время налёта на деревню И. отряд истребил 8 гитлеровцев. Недавно бойцы отряда захватили и доставили в штаб советской части трёх немецких офицеров-лётчиков.</w:t>
      </w:r>
    </w:p>
    <w:p w14:paraId="7B396548"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старший стрелок 4 роты 93 мотополка 13 немецкой танковой дивизии Герберт Блюм рассказал: «93 полк потерял свыше 1.600 человек. Подавляющее большинство кадровых солдат убито или ранено. Сейчас в полку преобладают резервисты. Встречаются и 17-летние подростки. В нашей роте насчитывается всего 90 солдат. В это число входят и два десятка обмороженных солдат. Затяжка войны вызывает сильное недовольство солдат. Сейчас многие уже начинают понимать, что мы зашли в какой-то тупик. Каждый задаёт себе вопрос: «Что же будет с нами?».</w:t>
      </w:r>
    </w:p>
    <w:p w14:paraId="63EF7BF5"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Граждане ныне освобождённой от немцев деревни Кудиново, Малоярославецкого района, Московской области, Гайдарова Анна Афанасьевна и Турмачева Екатерина Петровна — работницы совхоза Кудиново, Блинов Семён Семёнович — житель деревни Кудиново и военнослужащие: батальонный комиссар Гришечкин Н. Н., батальонный комиссар Ивонин М. Я. и старший политрук Козлов И. В. 7 января составили акт о чудовищном преступлении гитлеровских извергов, совершённом ими в совхозе Кудиново. В акте сообщается, что немецкие оккупанты организовали в свинарниках совхоза лагерь для военнопленных красноармейцев, которых заставляли ремонтировать дороги. По окончании ремонта дорог свинарник, в котором находилось несколько десятков пленных красноармейцев, был подожжён немецкими оккупантами. Гражданское население к тушению пожара не допускалось. Военнопленные, пытавшиеся выбраться из горящего помещения, расстреливались немецкой охраной.</w:t>
      </w:r>
    </w:p>
    <w:p w14:paraId="75734922"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Возвратившиеся из Германии на родину датские рабочие рассказывают о каторжных условиях труда, созданных для иностранных рабочих в Германии. Их заставляют работать по 16—18 часов в сутки. За малейший проступок следуют аресты и расстрелы. На металлургическом заводе около Берлина в ноябре и декабре было расстреляно свыше 150 иностранных рабочих, в том числе много испанцев, итальянцев и поляков. Только за две недели умерло от истощения 27 рабочих этого завода.» (15008).</w:t>
      </w:r>
    </w:p>
    <w:p w14:paraId="62C9831A" w14:textId="77777777" w:rsidR="00CD5F5F" w:rsidRPr="008127F8" w:rsidRDefault="00CD5F5F" w:rsidP="001E0A84">
      <w:pPr>
        <w:spacing w:after="0" w:line="240" w:lineRule="auto"/>
        <w:jc w:val="both"/>
        <w:rPr>
          <w:rFonts w:ascii="Times New Roman" w:hAnsi="Times New Roman"/>
          <w:color w:val="000000" w:themeColor="text1"/>
          <w:sz w:val="16"/>
          <w:szCs w:val="16"/>
        </w:rPr>
      </w:pPr>
    </w:p>
    <w:p w14:paraId="67B7700F" w14:textId="77777777" w:rsidR="00CD5F5F" w:rsidRPr="008127F8" w:rsidRDefault="00CD5F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войска Волховского фронта начали наступление в направлениях Кириши, Тосно, Новгород, Сольцы (15008).</w:t>
      </w:r>
    </w:p>
    <w:p w14:paraId="0352D3B5" w14:textId="77777777" w:rsidR="00CD5F5F" w:rsidRPr="008127F8" w:rsidRDefault="00CD5F5F" w:rsidP="001E0A84">
      <w:pPr>
        <w:spacing w:after="0" w:line="240" w:lineRule="auto"/>
        <w:jc w:val="both"/>
        <w:rPr>
          <w:rFonts w:ascii="Times New Roman" w:hAnsi="Times New Roman"/>
          <w:color w:val="000000" w:themeColor="text1"/>
          <w:sz w:val="16"/>
          <w:szCs w:val="16"/>
        </w:rPr>
      </w:pPr>
    </w:p>
    <w:p w14:paraId="1B907B9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под Волховом началась Любанская операция с целью оттеснения противника от Ладожского озера и снятия блокады Ленинграда. Главной задачей ВВС фронта было обеспечение содействия наступающей 2УА. выполнили около 30 тыс. вылетов и значительную часть - на Р-5 (3551).</w:t>
      </w:r>
    </w:p>
    <w:p w14:paraId="10E1B8C8" w14:textId="77777777" w:rsidR="00D4651C" w:rsidRPr="008127F8" w:rsidRDefault="00D4651C" w:rsidP="001E0A84">
      <w:pPr>
        <w:pStyle w:val="Iauiue"/>
        <w:jc w:val="both"/>
        <w:rPr>
          <w:color w:val="000000" w:themeColor="text1"/>
          <w:sz w:val="16"/>
          <w:szCs w:val="16"/>
        </w:rPr>
      </w:pPr>
    </w:p>
    <w:p w14:paraId="3E7A9D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13 января 1942 г. под Волховом началась Любанская операция, целью которой стало оттеснение противника от Ладожского озера. Основной задачей являлось снятие </w:t>
      </w:r>
      <w:r w:rsidRPr="008127F8">
        <w:rPr>
          <w:color w:val="000000" w:themeColor="text1"/>
          <w:sz w:val="16"/>
          <w:szCs w:val="16"/>
        </w:rPr>
        <w:lastRenderedPageBreak/>
        <w:t>блокады Ленинграда. ВВС фронта предстояло обеспечить содействие наступающим частям 2-й ударной армии, ночные бомбардировщики по замыслу должны были устраивать немцам всевозможные неприятности: мешать железнодорожным перевозкам, вести разведку и корректировку артогня. Наступление 2-й ударной армии встретило упорное сопротивление противника, продвижение вперед происходило медленно, сил не всегда хватало. Недостаток боевых самолетов вынуждал увеличивать количество вылетов на экипаж (5016).</w:t>
      </w:r>
    </w:p>
    <w:p w14:paraId="00EED2B4" w14:textId="77777777" w:rsidR="00D4651C" w:rsidRPr="008127F8" w:rsidRDefault="00D4651C" w:rsidP="001E0A84">
      <w:pPr>
        <w:pStyle w:val="Iauiue"/>
        <w:jc w:val="both"/>
        <w:rPr>
          <w:color w:val="000000" w:themeColor="text1"/>
          <w:sz w:val="16"/>
          <w:szCs w:val="16"/>
        </w:rPr>
      </w:pPr>
    </w:p>
    <w:p w14:paraId="6515F6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January 13 1942 Russians recapture Klin. (1052).</w:t>
      </w:r>
    </w:p>
    <w:p w14:paraId="16AF5432" w14:textId="77777777" w:rsidR="00D4651C" w:rsidRPr="008127F8" w:rsidRDefault="00D4651C" w:rsidP="001E0A84">
      <w:pPr>
        <w:pStyle w:val="Iauiue"/>
        <w:jc w:val="both"/>
        <w:rPr>
          <w:color w:val="000000" w:themeColor="text1"/>
          <w:sz w:val="16"/>
          <w:szCs w:val="16"/>
        </w:rPr>
      </w:pPr>
    </w:p>
    <w:p w14:paraId="5F3DBC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советская армия отбила Клин (?) (1052).</w:t>
      </w:r>
    </w:p>
    <w:p w14:paraId="5E769A5A" w14:textId="77777777" w:rsidR="00D4651C" w:rsidRPr="008127F8" w:rsidRDefault="00D4651C" w:rsidP="001E0A84">
      <w:pPr>
        <w:pStyle w:val="Iauiue"/>
        <w:jc w:val="both"/>
        <w:rPr>
          <w:color w:val="000000" w:themeColor="text1"/>
          <w:sz w:val="16"/>
          <w:szCs w:val="16"/>
        </w:rPr>
      </w:pPr>
    </w:p>
    <w:p w14:paraId="070C4C9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г. была сформирована 1-я эскадра непосредственной поддержки войск She.G.I. Она сначала была сформирована в составе штаба и двух эскадрилий - 1-й и 8-й, а затем развернута до двух групп четырехэскадрильного состава.</w:t>
      </w:r>
    </w:p>
    <w:p w14:paraId="7DE2BA7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Первая группа эскадры формировалась на базе 1. /She. G.I, а вторая - на базе II(Shc)/LG2, понесшей перед этим в боях на московском направлении большие потери и выведенной в тыл для пополнения техникой и летным составом. Соответственно, эскадрильи II(Shc)/LG2 были переименованы в 5., 6. и 7. /She. G.I.</w:t>
      </w:r>
    </w:p>
    <w:p w14:paraId="7E17FB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1-я, 2-я и 3-я эскадрильи 1-й группы эскадры вооружались ВП09Е-4/В, а 4-я, 5-я и 6-я эскадрильи 2-й группы - бронированными Hsl29B-0 и В-1. Оставшиеся 7-я и 8-я эскадрильи эскадры получили Hsl23. При этом 8-я эскадрилья придавалась для усиления 1-й группе, а 7-я - 2-й группе.</w:t>
      </w:r>
    </w:p>
    <w:p w14:paraId="7919994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Таким образом, в окончательном варианте I/She. G.I в качестве "основного" боевого состава имела истребители-бомбардировщики ВП09Е-4/В, а II/ She.G.I - чистые штурмовики Hsl29B-0 и В-1. В качестве "не основного" состава групп использовались эскадрильи на Hsl23.</w:t>
      </w:r>
    </w:p>
    <w:p w14:paraId="661AF36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Такая структура групп упрощала организацию боевых действий разношерстных сил эскадры и способствовало повышению эффективности применения как бронированных Hsl29B, так и Bfl09E-4/B.</w:t>
      </w:r>
    </w:p>
    <w:p w14:paraId="32F91E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мере завершения программы обучения и боевой подготовки эскадрильи She.G.I перебрасывались на Восточный фронт и входили в подчинение командования 4-м воздушным флотом (8907).</w:t>
      </w:r>
    </w:p>
    <w:p w14:paraId="1A188FEF" w14:textId="77777777" w:rsidR="00D4651C" w:rsidRPr="008127F8" w:rsidRDefault="00D4651C" w:rsidP="001E0A84">
      <w:pPr>
        <w:pStyle w:val="Iauiue"/>
        <w:jc w:val="both"/>
        <w:rPr>
          <w:color w:val="000000" w:themeColor="text1"/>
          <w:sz w:val="16"/>
          <w:szCs w:val="16"/>
        </w:rPr>
      </w:pPr>
    </w:p>
    <w:p w14:paraId="3B5672F4"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г. была сформирована 1-я эскадра непо</w:t>
      </w:r>
      <w:r w:rsidRPr="008127F8">
        <w:rPr>
          <w:rFonts w:ascii="Times New Roman" w:hAnsi="Times New Roman"/>
          <w:color w:val="000000" w:themeColor="text1"/>
          <w:sz w:val="16"/>
          <w:szCs w:val="16"/>
        </w:rPr>
        <w:softHyphen/>
        <w:t>средственной поддержки войск ЗИс.С.1, которая получила почти все серийные «хеншели» (12728).</w:t>
      </w:r>
    </w:p>
    <w:p w14:paraId="7E84DE24" w14:textId="77777777" w:rsidR="0050778F" w:rsidRPr="008127F8" w:rsidRDefault="0050778F" w:rsidP="001E0A84">
      <w:pPr>
        <w:spacing w:after="0" w:line="240" w:lineRule="auto"/>
        <w:jc w:val="both"/>
        <w:rPr>
          <w:rFonts w:ascii="Times New Roman" w:hAnsi="Times New Roman"/>
          <w:color w:val="000000" w:themeColor="text1"/>
          <w:sz w:val="16"/>
          <w:szCs w:val="16"/>
        </w:rPr>
      </w:pPr>
    </w:p>
    <w:p w14:paraId="4A4B13A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3D3E8C6B" w14:textId="77777777" w:rsidR="00D4651C" w:rsidRPr="008127F8" w:rsidRDefault="00D4651C" w:rsidP="001E0A84">
      <w:pPr>
        <w:pStyle w:val="Iauiue"/>
        <w:jc w:val="both"/>
        <w:rPr>
          <w:iCs/>
          <w:color w:val="000000" w:themeColor="text1"/>
          <w:sz w:val="16"/>
          <w:szCs w:val="16"/>
        </w:rPr>
      </w:pPr>
    </w:p>
    <w:p w14:paraId="239DC40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в «Правде» опубликован акт (составлен комиссией Академии Наук СССР) о грабеже и разрушениях, произведенных оккупантами в музее-усадьбе Л.Н.Толстого в Ясной Поляне (15008).</w:t>
      </w:r>
    </w:p>
    <w:p w14:paraId="7676349B"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2FCD060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13 января 1942 начался насильственный вывоз населения Украины на работу в Германию (4962).</w:t>
      </w:r>
    </w:p>
    <w:p w14:paraId="676C638D" w14:textId="77777777" w:rsidR="00D4651C" w:rsidRPr="008127F8" w:rsidRDefault="00D4651C" w:rsidP="001E0A84">
      <w:pPr>
        <w:pStyle w:val="Iauiue"/>
        <w:tabs>
          <w:tab w:val="left" w:pos="11199"/>
        </w:tabs>
        <w:jc w:val="both"/>
        <w:rPr>
          <w:color w:val="000000" w:themeColor="text1"/>
          <w:sz w:val="16"/>
          <w:szCs w:val="16"/>
        </w:rPr>
      </w:pPr>
    </w:p>
    <w:p w14:paraId="4433F67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1883B9DB" w14:textId="77777777" w:rsidR="00D4651C" w:rsidRPr="008127F8" w:rsidRDefault="00D4651C" w:rsidP="001E0A84">
      <w:pPr>
        <w:pStyle w:val="Iauiue"/>
        <w:jc w:val="both"/>
        <w:rPr>
          <w:iCs/>
          <w:color w:val="000000" w:themeColor="text1"/>
          <w:sz w:val="16"/>
          <w:szCs w:val="16"/>
        </w:rPr>
      </w:pPr>
    </w:p>
    <w:p w14:paraId="107DD2FD"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13 января 1942 конференция союзников в Лондоне приняла декларацию о наказании военных преступников (4962).</w:t>
      </w:r>
    </w:p>
    <w:p w14:paraId="4613F1E0" w14:textId="77777777" w:rsidR="00D4651C" w:rsidRPr="008127F8" w:rsidRDefault="00D4651C" w:rsidP="001E0A84">
      <w:pPr>
        <w:pStyle w:val="Iauiue"/>
        <w:tabs>
          <w:tab w:val="left" w:pos="11199"/>
        </w:tabs>
        <w:jc w:val="both"/>
        <w:rPr>
          <w:color w:val="000000" w:themeColor="text1"/>
          <w:sz w:val="16"/>
          <w:szCs w:val="16"/>
        </w:rPr>
      </w:pPr>
    </w:p>
    <w:p w14:paraId="0633008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принятие конференцией представителей союзных стран в Лондоне декларации о наказании военных преступников (15008).</w:t>
      </w:r>
    </w:p>
    <w:p w14:paraId="6DA8394B"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69AAF4E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в Лондоне подпаисана союзническая «Сент-Джеймская декларация». В ней выражалась готовность осуществить как одну из целей войны «наказание путем организованного правосудия тех, кто виновен и ответствен за эти преступления независимо от того, совершены ли последние по их приказу, ими лично или при их соучастии в любой форме» (15008).</w:t>
      </w:r>
    </w:p>
    <w:p w14:paraId="5E82D32E"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5BEC768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198D268A" w14:textId="77777777" w:rsidR="00D4651C" w:rsidRPr="008127F8" w:rsidRDefault="00D4651C" w:rsidP="001E0A84">
      <w:pPr>
        <w:pStyle w:val="Iauiue"/>
        <w:jc w:val="both"/>
        <w:rPr>
          <w:iCs/>
          <w:color w:val="000000" w:themeColor="text1"/>
          <w:sz w:val="16"/>
          <w:szCs w:val="16"/>
        </w:rPr>
      </w:pPr>
    </w:p>
    <w:p w14:paraId="73244C89"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летчик-испытатель Heinkel Гельмут Шенк становится первым человеком, который покинул самолет в катапультируемом кресле после того, как рули первого прототипа He 280 V1 обледенели и стали неработоспособными (20793).</w:t>
      </w:r>
    </w:p>
    <w:p w14:paraId="52991835" w14:textId="77777777" w:rsidR="00571CDF" w:rsidRPr="008127F8" w:rsidRDefault="00571CDF" w:rsidP="001E0A84">
      <w:pPr>
        <w:spacing w:after="0" w:line="240" w:lineRule="auto"/>
        <w:jc w:val="both"/>
        <w:rPr>
          <w:rFonts w:ascii="Times New Roman" w:hAnsi="Times New Roman"/>
          <w:color w:val="000000" w:themeColor="text1"/>
          <w:sz w:val="16"/>
          <w:szCs w:val="16"/>
        </w:rPr>
      </w:pPr>
    </w:p>
    <w:p w14:paraId="56428D95" w14:textId="48ACFC44"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января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Первое в мире успешное катапультирование из реактивного самолета (немецкий истребитель Не-280). «Первые катапульты появились в 1939 году в Германии. Экспериментальный летательный аппарат Heinkel He-176 с ракетным двигателем был оснащен сбрасываемой носовой частью. Вскоре катапульты стали серийными: их устанавливали на турбореактивный Heinkel He 280 и винтовой Heinkel He-219. 13 января 1942 года лётчик-испытатель Гельмут Шенк на He-280 совершил первое в истории успешное катапультирование. Катапультные кресла устанавливались также на некоторых других немецких самолётах; всего за период Второй мировой войны немецкие лётчики совершили около 60 катапультирований (22659).</w:t>
      </w:r>
    </w:p>
    <w:p w14:paraId="523E6F49" w14:textId="77777777" w:rsidR="00571CDF" w:rsidRPr="008127F8" w:rsidRDefault="00571CDF" w:rsidP="001E0A84">
      <w:pPr>
        <w:spacing w:after="0" w:line="240" w:lineRule="auto"/>
        <w:jc w:val="both"/>
        <w:rPr>
          <w:rFonts w:ascii="Times New Roman" w:hAnsi="Times New Roman"/>
          <w:color w:val="000000" w:themeColor="text1"/>
          <w:sz w:val="16"/>
          <w:szCs w:val="16"/>
        </w:rPr>
      </w:pPr>
    </w:p>
    <w:p w14:paraId="570C46C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первое в мире успешное катапультирование из реактивного самолета (немецкий истребитель «Не-280»). «Первые катапульты появились в 1939 году в Германии. Экспериментальный летательный аппарат «Heinkel» «He-176» с ракетным двигателем был оснащен сбрасываемой носовой частью. Вскоре катапульты стали серийными: их устанавливали на турбореактивный «Heinkel» «He 280» и винтовой «Heinkel» «He-219». 13 января 1942 года лётчик-испытатель Гельмут Шенк на «He-280» совершил первое в истории успешное катапультирование. Катапультные кресла устанавливались также на некоторых других немецких самолётах; всего за период Второй мировой войны немецкие лётчики совершили около 60 катапультирований. Первое в истории катапультирование на сверхзвуковой скорости совершил американский лётчик-испытатель Джордж Смит в 1955 году (15008).</w:t>
      </w:r>
    </w:p>
    <w:p w14:paraId="0D037D63"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1DED726B"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1942 истребитель, который использовался в испытаниях импульсных реактивных двигателей Argus As 014 для разработки крылатой ракеты Fieseler Fi 103, был снят с испытаний штатных турбореактивных двигателей HeS 8A и был отбуксирован с центрального испытательного полигона Erprobungstelle Rechlin в Германии парой самолетов Messerschmitt Bf 110 при сильном снегопаде. На высоте 2395 метров (7875 футов) Шенк обнаруживает, что у него нет контроля, сбрасывает буксирный трос и катапультируется (20793).</w:t>
      </w:r>
    </w:p>
    <w:p w14:paraId="394B4152" w14:textId="77777777" w:rsidR="00571CDF" w:rsidRPr="008127F8" w:rsidRDefault="00571CDF" w:rsidP="001E0A84">
      <w:pPr>
        <w:spacing w:after="0" w:line="240" w:lineRule="auto"/>
        <w:jc w:val="both"/>
        <w:rPr>
          <w:rFonts w:ascii="Times New Roman" w:hAnsi="Times New Roman"/>
          <w:color w:val="000000" w:themeColor="text1"/>
          <w:sz w:val="16"/>
          <w:szCs w:val="16"/>
        </w:rPr>
      </w:pPr>
    </w:p>
    <w:p w14:paraId="59EDEA92" w14:textId="77777777" w:rsidR="003E12B0" w:rsidRPr="008127F8" w:rsidRDefault="003E12B0" w:rsidP="001E0A84">
      <w:pPr>
        <w:pStyle w:val="Iauiue"/>
        <w:tabs>
          <w:tab w:val="left" w:pos="11199"/>
        </w:tabs>
        <w:jc w:val="both"/>
        <w:rPr>
          <w:color w:val="000000" w:themeColor="text1"/>
          <w:sz w:val="16"/>
          <w:szCs w:val="16"/>
        </w:rPr>
      </w:pPr>
      <w:r w:rsidRPr="008127F8">
        <w:rPr>
          <w:color w:val="000000" w:themeColor="text1"/>
          <w:sz w:val="16"/>
          <w:szCs w:val="16"/>
        </w:rPr>
        <w:t>13 января 1942 г. состоялся первый полет вертолета R-4 И.И.Сикорского (6395).</w:t>
      </w:r>
    </w:p>
    <w:p w14:paraId="174CD84E" w14:textId="77777777" w:rsidR="003E12B0" w:rsidRPr="008127F8" w:rsidRDefault="003E12B0" w:rsidP="001E0A84">
      <w:pPr>
        <w:pStyle w:val="Iauiue"/>
        <w:tabs>
          <w:tab w:val="left" w:pos="11199"/>
        </w:tabs>
        <w:jc w:val="both"/>
        <w:rPr>
          <w:color w:val="000000" w:themeColor="text1"/>
          <w:sz w:val="16"/>
          <w:szCs w:val="16"/>
        </w:rPr>
      </w:pPr>
    </w:p>
    <w:p w14:paraId="7A12E613" w14:textId="77777777" w:rsidR="003E12B0" w:rsidRPr="008127F8" w:rsidRDefault="003E12B0" w:rsidP="001E0A84">
      <w:pPr>
        <w:pStyle w:val="Iauiue"/>
        <w:jc w:val="both"/>
        <w:rPr>
          <w:color w:val="000000" w:themeColor="text1"/>
          <w:sz w:val="16"/>
          <w:szCs w:val="16"/>
        </w:rPr>
      </w:pPr>
      <w:r w:rsidRPr="008127F8">
        <w:rPr>
          <w:color w:val="000000" w:themeColor="text1"/>
          <w:sz w:val="16"/>
          <w:szCs w:val="16"/>
        </w:rPr>
        <w:t>13 января 1942 состоялся первый полет вертолета R-4 И.И.Сикорского, который стал первым серийным вертолетом (237,198).</w:t>
      </w:r>
    </w:p>
    <w:p w14:paraId="42115A84" w14:textId="77777777" w:rsidR="003E12B0" w:rsidRPr="008127F8" w:rsidRDefault="003E12B0" w:rsidP="001E0A84">
      <w:pPr>
        <w:pStyle w:val="Iauiue"/>
        <w:jc w:val="both"/>
        <w:rPr>
          <w:color w:val="000000" w:themeColor="text1"/>
          <w:sz w:val="16"/>
          <w:szCs w:val="16"/>
        </w:rPr>
      </w:pPr>
    </w:p>
    <w:p w14:paraId="2ECA5E49" w14:textId="77777777" w:rsidR="003E12B0" w:rsidRPr="008127F8" w:rsidRDefault="003E12B0" w:rsidP="001E0A84">
      <w:pPr>
        <w:pStyle w:val="Iauiue"/>
        <w:jc w:val="both"/>
        <w:rPr>
          <w:color w:val="000000" w:themeColor="text1"/>
          <w:sz w:val="16"/>
          <w:szCs w:val="16"/>
        </w:rPr>
      </w:pPr>
      <w:r w:rsidRPr="008127F8">
        <w:rPr>
          <w:color w:val="000000" w:themeColor="text1"/>
          <w:sz w:val="16"/>
          <w:szCs w:val="16"/>
        </w:rPr>
        <w:t>13 января 1942 первый полет выполнил военный вертолет Сикорского ХR-4 (HNS-1). В июле 1942 поступил первый заказ на 4 машины, а к концу 1942 флот получил 39 (4082).</w:t>
      </w:r>
    </w:p>
    <w:p w14:paraId="248FD250" w14:textId="77777777" w:rsidR="003E12B0" w:rsidRPr="008127F8" w:rsidRDefault="003E12B0" w:rsidP="001E0A84">
      <w:pPr>
        <w:pStyle w:val="Iauiue"/>
        <w:jc w:val="both"/>
        <w:rPr>
          <w:color w:val="000000" w:themeColor="text1"/>
          <w:sz w:val="16"/>
          <w:szCs w:val="16"/>
        </w:rPr>
      </w:pPr>
    </w:p>
    <w:p w14:paraId="3C841EF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января</w:t>
      </w:r>
      <w:r w:rsidRPr="008127F8">
        <w:rPr>
          <w:rFonts w:ascii="Times New Roman" w:hAnsi="Times New Roman"/>
          <w:color w:val="000000" w:themeColor="text1"/>
          <w:sz w:val="16"/>
          <w:szCs w:val="16"/>
        </w:rPr>
        <w:t xml:space="preserve"> в 1942 году впервые поднимается в воздух вертолет «R-4» «Сикорский», первый вертолет, предназначенный для военных целей. Его перелет из Стратфорда (штат Коннектикут) на аэродром Райт-Филд (штат Огайо) состоится 13-18 мая 1942. И станет первым полетом с целью доставки вертолета заказчику. Небольшая опытная партия вертолетов «R-4», построенных на первом вертолетном сборочном конвейере, будет использоваться в 1944-1945 для обучения пилотов и выполнения второстепенных задач. «R-4» будут первыми вертолетами, совершавшими полеты на Аляске и в Бирме, а также первыми, которые испытаются на борту американского военного корабля (1943), и первыми, на которых будут летать пилоты морской авиации Великобритании (15008).</w:t>
      </w:r>
    </w:p>
    <w:p w14:paraId="33A452F4"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420F2C16"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13 1942 Germans begin U-boat offensive along east coast of USA (1050).</w:t>
      </w:r>
    </w:p>
    <w:p w14:paraId="5B1B32D7" w14:textId="77777777" w:rsidR="00D4651C" w:rsidRPr="008127F8" w:rsidRDefault="00D4651C" w:rsidP="001E0A84">
      <w:pPr>
        <w:pStyle w:val="Iauiue"/>
        <w:jc w:val="both"/>
        <w:rPr>
          <w:color w:val="000000" w:themeColor="text1"/>
          <w:sz w:val="16"/>
          <w:szCs w:val="16"/>
          <w:lang w:val="en-US"/>
        </w:rPr>
      </w:pPr>
    </w:p>
    <w:p w14:paraId="3D7A3CB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 января 1942 немецкие подлодки начали наступление у побережья США (1050).</w:t>
      </w:r>
    </w:p>
    <w:p w14:paraId="1577434C" w14:textId="77777777" w:rsidR="00D4651C" w:rsidRPr="008127F8" w:rsidRDefault="00D4651C" w:rsidP="001E0A84">
      <w:pPr>
        <w:pStyle w:val="Iauiue"/>
        <w:jc w:val="both"/>
        <w:rPr>
          <w:color w:val="000000" w:themeColor="text1"/>
          <w:sz w:val="16"/>
          <w:szCs w:val="16"/>
        </w:rPr>
      </w:pPr>
    </w:p>
    <w:p w14:paraId="1B5D6AC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69D6995A" w14:textId="77777777" w:rsidR="00D4651C" w:rsidRPr="008127F8" w:rsidRDefault="00D4651C" w:rsidP="001E0A84">
      <w:pPr>
        <w:pStyle w:val="Iauiue"/>
        <w:jc w:val="both"/>
        <w:rPr>
          <w:iCs/>
          <w:color w:val="000000" w:themeColor="text1"/>
          <w:sz w:val="16"/>
          <w:szCs w:val="16"/>
        </w:rPr>
      </w:pPr>
    </w:p>
    <w:p w14:paraId="68C606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вышло постановление ГКО N 1149сс об организации производства Ил-2 на 30 заводе (1425,47).</w:t>
      </w:r>
    </w:p>
    <w:p w14:paraId="1005C91D" w14:textId="77777777" w:rsidR="00D4651C" w:rsidRPr="008127F8" w:rsidRDefault="00D4651C" w:rsidP="001E0A84">
      <w:pPr>
        <w:pStyle w:val="Iauiue"/>
        <w:jc w:val="both"/>
        <w:rPr>
          <w:color w:val="000000" w:themeColor="text1"/>
          <w:sz w:val="16"/>
          <w:szCs w:val="16"/>
        </w:rPr>
      </w:pPr>
    </w:p>
    <w:p w14:paraId="4901046C" w14:textId="77777777" w:rsidR="00C90B85" w:rsidRPr="008127F8" w:rsidRDefault="00C90B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14 января 1942 вышло постановление ГКО N 1149сс об организации производства Ил-2 на заводе № 30 в г. Москве</w:t>
      </w:r>
    </w:p>
    <w:p w14:paraId="4713877D" w14:textId="77777777" w:rsidR="00C90B85" w:rsidRPr="008127F8" w:rsidRDefault="00C90B85" w:rsidP="001E0A84">
      <w:pPr>
        <w:tabs>
          <w:tab w:val="left" w:pos="1453"/>
        </w:tabs>
        <w:spacing w:after="0" w:line="240" w:lineRule="auto"/>
        <w:jc w:val="both"/>
        <w:rPr>
          <w:rFonts w:ascii="Times New Roman" w:hAnsi="Times New Roman"/>
          <w:color w:val="000000" w:themeColor="text1"/>
          <w:sz w:val="16"/>
          <w:szCs w:val="16"/>
        </w:rPr>
      </w:pPr>
      <w:r w:rsidRPr="008127F8">
        <w:rPr>
          <w:rStyle w:val="5f1"/>
          <w:rFonts w:ascii="Times New Roman" w:hAnsi="Times New Roman" w:cs="Times New Roman"/>
          <w:color w:val="000000" w:themeColor="text1"/>
          <w:spacing w:val="0"/>
          <w:sz w:val="16"/>
          <w:szCs w:val="16"/>
        </w:rPr>
        <w:t xml:space="preserve">1. </w:t>
      </w:r>
      <w:r w:rsidRPr="008127F8">
        <w:rPr>
          <w:rStyle w:val="5f1"/>
          <w:rFonts w:ascii="Times New Roman" w:hAnsi="Times New Roman" w:cs="Times New Roman"/>
          <w:color w:val="000000" w:themeColor="text1"/>
          <w:spacing w:val="0"/>
          <w:sz w:val="16"/>
          <w:szCs w:val="16"/>
          <w:lang w:val="en-US"/>
        </w:rPr>
        <w:t>Bo</w:t>
      </w:r>
      <w:r w:rsidRPr="008127F8">
        <w:rPr>
          <w:rStyle w:val="5f1"/>
          <w:rFonts w:ascii="Times New Roman" w:hAnsi="Times New Roman" w:cs="Times New Roman"/>
          <w:color w:val="000000" w:themeColor="text1"/>
          <w:spacing w:val="0"/>
          <w:sz w:val="16"/>
          <w:szCs w:val="16"/>
        </w:rPr>
        <w:t xml:space="preserve"> </w:t>
      </w:r>
      <w:r w:rsidRPr="008127F8">
        <w:rPr>
          <w:rFonts w:ascii="Times New Roman" w:hAnsi="Times New Roman"/>
          <w:color w:val="000000" w:themeColor="text1"/>
          <w:sz w:val="16"/>
          <w:szCs w:val="16"/>
        </w:rPr>
        <w:t>изменение ранее вынесенных решений об организации одновременно двух самолетостроительных заводов в гор.Москве « 23 и № 30 - организовать в первую очередь один завод 30 по производству само</w:t>
      </w:r>
      <w:r w:rsidRPr="008127F8">
        <w:rPr>
          <w:rFonts w:ascii="Times New Roman" w:hAnsi="Times New Roman"/>
          <w:color w:val="000000" w:themeColor="text1"/>
          <w:sz w:val="16"/>
          <w:szCs w:val="16"/>
        </w:rPr>
        <w:softHyphen/>
        <w:t xml:space="preserve">летов Ил-2 (на бывшей территории завода № </w:t>
      </w:r>
      <w:r w:rsidRPr="008127F8">
        <w:rPr>
          <w:rStyle w:val="5f1"/>
          <w:rFonts w:ascii="Times New Roman" w:hAnsi="Times New Roman" w:cs="Times New Roman"/>
          <w:color w:val="000000" w:themeColor="text1"/>
          <w:spacing w:val="0"/>
          <w:sz w:val="16"/>
          <w:szCs w:val="16"/>
        </w:rPr>
        <w:t>1),  пере</w:t>
      </w:r>
      <w:r w:rsidRPr="008127F8">
        <w:rPr>
          <w:rStyle w:val="5f1"/>
          <w:rFonts w:ascii="Times New Roman" w:hAnsi="Times New Roman" w:cs="Times New Roman"/>
          <w:color w:val="000000" w:themeColor="text1"/>
          <w:spacing w:val="0"/>
          <w:sz w:val="16"/>
          <w:szCs w:val="16"/>
        </w:rPr>
        <w:softHyphen/>
      </w:r>
      <w:r w:rsidRPr="008127F8">
        <w:rPr>
          <w:rFonts w:ascii="Times New Roman" w:hAnsi="Times New Roman"/>
          <w:color w:val="000000" w:themeColor="text1"/>
          <w:sz w:val="16"/>
          <w:szCs w:val="16"/>
        </w:rPr>
        <w:t>дав ему все оборудование и кадры с завода № 23 как имеющиеся на заводе № 23, так и предназначенные для него.</w:t>
      </w:r>
    </w:p>
    <w:p w14:paraId="5341A199" w14:textId="77777777" w:rsidR="00C90B85" w:rsidRPr="008127F8" w:rsidRDefault="00C90B85" w:rsidP="001E0A84">
      <w:pPr>
        <w:tabs>
          <w:tab w:val="left" w:pos="23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начало выпуска самолетов Ил-2 на заводе № 30 не в марте месяце, а в феврале 1942 го</w:t>
      </w:r>
      <w:r w:rsidRPr="008127F8">
        <w:rPr>
          <w:rFonts w:ascii="Times New Roman" w:hAnsi="Times New Roman"/>
          <w:color w:val="000000" w:themeColor="text1"/>
          <w:sz w:val="16"/>
          <w:szCs w:val="16"/>
        </w:rPr>
        <w:softHyphen/>
      </w:r>
      <w:r w:rsidRPr="008127F8">
        <w:rPr>
          <w:rStyle w:val="5f1"/>
          <w:rFonts w:ascii="Times New Roman" w:hAnsi="Times New Roman" w:cs="Times New Roman"/>
          <w:color w:val="000000" w:themeColor="text1"/>
          <w:spacing w:val="0"/>
          <w:sz w:val="16"/>
          <w:szCs w:val="16"/>
        </w:rPr>
        <w:t xml:space="preserve">да </w:t>
      </w:r>
      <w:r w:rsidRPr="008127F8">
        <w:rPr>
          <w:rFonts w:ascii="Times New Roman" w:hAnsi="Times New Roman"/>
          <w:color w:val="000000" w:themeColor="text1"/>
          <w:sz w:val="16"/>
          <w:szCs w:val="16"/>
        </w:rPr>
        <w:t>(19299).</w:t>
      </w:r>
    </w:p>
    <w:p w14:paraId="17E14699" w14:textId="77777777" w:rsidR="00843C07" w:rsidRPr="008127F8" w:rsidRDefault="00843C07" w:rsidP="001E0A84">
      <w:pPr>
        <w:pStyle w:val="Iauiue"/>
        <w:jc w:val="both"/>
        <w:rPr>
          <w:color w:val="000000" w:themeColor="text1"/>
          <w:sz w:val="16"/>
          <w:szCs w:val="16"/>
        </w:rPr>
      </w:pPr>
    </w:p>
    <w:p w14:paraId="385E11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вышло Постановление ГКО № 1149 О производстве самолетов Ил-2 на заводе № 30 в гор. Москве. РГАНИР, Фонд ГКО, д. 19, лл. 92 (11012).</w:t>
      </w:r>
    </w:p>
    <w:p w14:paraId="0BC50081"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6391532" w14:textId="1F2E406A"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года Решением ГКО за № 1149сс заводу № 30 был установлен выпуск ИЛ-2.</w:t>
      </w:r>
    </w:p>
    <w:p w14:paraId="36EF119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Во время ВОВ завод выпускал до 12 самолетов вдень.</w:t>
      </w:r>
    </w:p>
    <w:p w14:paraId="0C8242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окончании ВОВ изготовление Ил-2 было прекращено и до 1946 года завод занимался работами:</w:t>
      </w:r>
    </w:p>
    <w:p w14:paraId="7C4277C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Переделкой самолета СМ-47 на пассажирский</w:t>
      </w:r>
    </w:p>
    <w:p w14:paraId="1CFAA32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Изготовлением шасси к пассажирским самолетам ПС-52 для завода № 84</w:t>
      </w:r>
    </w:p>
    <w:p w14:paraId="5650F08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Изготовлением деталей самолета ТУ-2 для завода № 23</w:t>
      </w:r>
    </w:p>
    <w:p w14:paraId="7A28F0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Изготовлением пассажирского самолета ЛИ-215. В 1946 году на основании приказа МАП за № 673с от 21 октября 1946 года завод организовал производство самолетов ИЛ-12, перешел на серийное изготовление этого самолета и выпускал их в вариантах пассажирского, десантного и транспортного вплоть до 4 квартала 1949 года.</w:t>
      </w:r>
    </w:p>
    <w:p w14:paraId="0F955C0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соответствии с Постановлением СМ от 14 ноября 1949 года за № 5223-194сс и приказом МАП от 17 ноября 1949 года за № 913сс завод прекратил производство самолетов ИЛ-12 и с начала 1950 года приступил к подготовке производства реактивных самолетов ИЛ-28. В декабре 1949 года завод № 381, территориально расположенный рядом с заводом № 30 был объединен с последним.</w:t>
      </w:r>
    </w:p>
    <w:p w14:paraId="6FF778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381 до ВОВ находился в Ленинграде. В начале войны был эвакуирован в Нижний Тагил. В начале мая 1943 года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03D083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соответствии с Постановлением Правительства от 12 августа 1955 года производство на заводе № 30 самолетов Ил-28 было прекращено</w:t>
      </w:r>
    </w:p>
    <w:p w14:paraId="7155E7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Воронин П.А.</w:t>
      </w:r>
    </w:p>
    <w:p w14:paraId="07B1B9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40, Первый Боткинский проезд, п/я 2402</w:t>
      </w:r>
    </w:p>
    <w:p w14:paraId="4824DB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Производственный профиль – самолетостроение (9815).</w:t>
      </w:r>
    </w:p>
    <w:p w14:paraId="48F567BB" w14:textId="77777777" w:rsidR="00D4651C" w:rsidRPr="008127F8" w:rsidRDefault="00D4651C" w:rsidP="001E0A84">
      <w:pPr>
        <w:pStyle w:val="Iauiue"/>
        <w:jc w:val="both"/>
        <w:rPr>
          <w:color w:val="000000" w:themeColor="text1"/>
          <w:sz w:val="16"/>
          <w:szCs w:val="16"/>
        </w:rPr>
      </w:pPr>
    </w:p>
    <w:p w14:paraId="1C1470B2" w14:textId="77777777" w:rsidR="006704C9" w:rsidRPr="008127F8" w:rsidRDefault="006704C9" w:rsidP="006704C9">
      <w:pPr>
        <w:pStyle w:val="Iauiue"/>
        <w:jc w:val="both"/>
        <w:rPr>
          <w:color w:val="000000" w:themeColor="text1"/>
          <w:sz w:val="16"/>
          <w:szCs w:val="16"/>
        </w:rPr>
      </w:pPr>
      <w:r w:rsidRPr="008127F8">
        <w:rPr>
          <w:color w:val="000000" w:themeColor="text1"/>
          <w:sz w:val="16"/>
          <w:szCs w:val="16"/>
        </w:rPr>
        <w:t>14 января 1942 вышел приказ НКАП N 35сс</w:t>
      </w:r>
    </w:p>
    <w:p w14:paraId="57340E57" w14:textId="77777777" w:rsidR="006704C9" w:rsidRPr="008127F8" w:rsidRDefault="006704C9" w:rsidP="006704C9">
      <w:pPr>
        <w:pStyle w:val="Iauiue"/>
        <w:jc w:val="both"/>
        <w:rPr>
          <w:color w:val="000000" w:themeColor="text1"/>
          <w:sz w:val="16"/>
          <w:szCs w:val="16"/>
        </w:rPr>
      </w:pPr>
      <w:r w:rsidRPr="008127F8">
        <w:rPr>
          <w:color w:val="000000" w:themeColor="text1"/>
          <w:sz w:val="16"/>
          <w:szCs w:val="16"/>
        </w:rPr>
        <w:t>"В исполнение постановления ГКО от 11 января 1941 N 1135с</w:t>
      </w:r>
    </w:p>
    <w:p w14:paraId="031709DC" w14:textId="77777777" w:rsidR="006704C9" w:rsidRPr="008127F8" w:rsidRDefault="006704C9" w:rsidP="006704C9">
      <w:pPr>
        <w:pStyle w:val="Iauiue"/>
        <w:jc w:val="both"/>
        <w:rPr>
          <w:color w:val="000000" w:themeColor="text1"/>
          <w:sz w:val="16"/>
          <w:szCs w:val="16"/>
        </w:rPr>
      </w:pPr>
      <w:r w:rsidRPr="008127F8">
        <w:rPr>
          <w:color w:val="000000" w:themeColor="text1"/>
          <w:sz w:val="16"/>
          <w:szCs w:val="16"/>
        </w:rPr>
        <w:t>1. Нач. 10 ГУ Тарасевичу и директору завода 22 Карпову сдать ВВС 11 самолетов ТБ-7, из них 9 самолетов с увеличенными бензобаками,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6F4095" w:rsidRPr="008127F8" w14:paraId="1BBFDE3D" w14:textId="77777777" w:rsidTr="000D7C46">
        <w:tc>
          <w:tcPr>
            <w:tcW w:w="2818" w:type="dxa"/>
            <w:tcBorders>
              <w:top w:val="single" w:sz="12" w:space="0" w:color="auto"/>
            </w:tcBorders>
          </w:tcPr>
          <w:p w14:paraId="25E1DFC4"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в январе 1942</w:t>
            </w:r>
          </w:p>
        </w:tc>
        <w:tc>
          <w:tcPr>
            <w:tcW w:w="2818" w:type="dxa"/>
            <w:tcBorders>
              <w:top w:val="single" w:sz="12" w:space="0" w:color="auto"/>
            </w:tcBorders>
          </w:tcPr>
          <w:p w14:paraId="65522770"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3 с АМ-35А</w:t>
            </w:r>
          </w:p>
        </w:tc>
      </w:tr>
      <w:tr w:rsidR="006F4095" w:rsidRPr="008127F8" w14:paraId="533C9474" w14:textId="77777777" w:rsidTr="000D7C46">
        <w:tc>
          <w:tcPr>
            <w:tcW w:w="2818" w:type="dxa"/>
          </w:tcPr>
          <w:p w14:paraId="2ABD88E0"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в феврале</w:t>
            </w:r>
          </w:p>
        </w:tc>
        <w:tc>
          <w:tcPr>
            <w:tcW w:w="2818" w:type="dxa"/>
          </w:tcPr>
          <w:p w14:paraId="4438D47D"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3 с АМ-35А</w:t>
            </w:r>
          </w:p>
        </w:tc>
      </w:tr>
      <w:tr w:rsidR="006F4095" w:rsidRPr="008127F8" w14:paraId="4AC22CDF" w14:textId="77777777" w:rsidTr="000D7C46">
        <w:tc>
          <w:tcPr>
            <w:tcW w:w="2818" w:type="dxa"/>
          </w:tcPr>
          <w:p w14:paraId="56180633" w14:textId="77777777" w:rsidR="006704C9" w:rsidRPr="008127F8" w:rsidRDefault="006704C9" w:rsidP="000D7C46">
            <w:pPr>
              <w:pStyle w:val="Iauiue"/>
              <w:jc w:val="both"/>
              <w:rPr>
                <w:color w:val="000000" w:themeColor="text1"/>
                <w:sz w:val="16"/>
                <w:szCs w:val="16"/>
              </w:rPr>
            </w:pPr>
          </w:p>
        </w:tc>
        <w:tc>
          <w:tcPr>
            <w:tcW w:w="2818" w:type="dxa"/>
          </w:tcPr>
          <w:p w14:paraId="72B2A71E"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1 с М-82</w:t>
            </w:r>
          </w:p>
        </w:tc>
      </w:tr>
      <w:tr w:rsidR="006704C9" w:rsidRPr="008127F8" w14:paraId="6251F59C" w14:textId="77777777" w:rsidTr="000D7C46">
        <w:tc>
          <w:tcPr>
            <w:tcW w:w="2818" w:type="dxa"/>
            <w:tcBorders>
              <w:bottom w:val="single" w:sz="12" w:space="0" w:color="auto"/>
            </w:tcBorders>
          </w:tcPr>
          <w:p w14:paraId="16405456"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в марте</w:t>
            </w:r>
          </w:p>
        </w:tc>
        <w:tc>
          <w:tcPr>
            <w:tcW w:w="2818" w:type="dxa"/>
            <w:tcBorders>
              <w:bottom w:val="single" w:sz="12" w:space="0" w:color="auto"/>
            </w:tcBorders>
          </w:tcPr>
          <w:p w14:paraId="3CF01B3E" w14:textId="77777777" w:rsidR="006704C9" w:rsidRPr="008127F8" w:rsidRDefault="006704C9" w:rsidP="000D7C46">
            <w:pPr>
              <w:pStyle w:val="Iauiue"/>
              <w:jc w:val="both"/>
              <w:rPr>
                <w:color w:val="000000" w:themeColor="text1"/>
                <w:sz w:val="16"/>
                <w:szCs w:val="16"/>
              </w:rPr>
            </w:pPr>
            <w:r w:rsidRPr="008127F8">
              <w:rPr>
                <w:color w:val="000000" w:themeColor="text1"/>
                <w:sz w:val="16"/>
                <w:szCs w:val="16"/>
              </w:rPr>
              <w:t>4 АМ-35А (1525,24)</w:t>
            </w:r>
          </w:p>
        </w:tc>
      </w:tr>
    </w:tbl>
    <w:p w14:paraId="7D484493" w14:textId="77777777" w:rsidR="006704C9" w:rsidRPr="008127F8" w:rsidRDefault="006704C9" w:rsidP="006704C9">
      <w:pPr>
        <w:pStyle w:val="Iauiue"/>
        <w:jc w:val="both"/>
        <w:rPr>
          <w:color w:val="000000" w:themeColor="text1"/>
          <w:sz w:val="16"/>
          <w:szCs w:val="16"/>
        </w:rPr>
      </w:pPr>
    </w:p>
    <w:p w14:paraId="44EB4932" w14:textId="77777777" w:rsidR="00571CDF" w:rsidRPr="008127F8" w:rsidRDefault="00571CDF" w:rsidP="001E0A84">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14 января 1942 года, очевидно, вспомнив о судьбе своего предшественника М. Кагановича, не настоявшего на сохранении в серии четырехмоторных бомбардировщиков и застрелившегося в первые недели войны, а также о датированном еще 11.01.41 г. и так и не отмененном Постановлении Комитета Обороны по серийной постройке ТБ-7, Шахурин выдает приказ №35сс: заводу №22 сдать в январе 3 самолета Пе-8, в феврале и в марте — по 4 и далее по 10. Причем новые самолеты и ремонтируемые должны были получить дополнительные баки, новое вооружение и другие усовершенствования. Но 12 января 1942 года Петляков погиб в авиакатастрофе, и только 8 мая у Пе-8 снова появился полномочный Главный конструктор — им опять стал Незваль.</w:t>
      </w:r>
    </w:p>
    <w:p w14:paraId="1163E7B9" w14:textId="77777777" w:rsidR="00571CDF" w:rsidRPr="008127F8" w:rsidRDefault="00571CDF" w:rsidP="001E0A84">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Снабжение по программе выпуска Пе-8, сокращенной до 22-х машин на весь 1942 год, возобновлялось с 20-го мая (22871).</w:t>
      </w:r>
    </w:p>
    <w:p w14:paraId="40BD4E8B" w14:textId="77777777" w:rsidR="00571CDF" w:rsidRPr="008127F8" w:rsidRDefault="00571CDF"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403D369E"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января 1942 г. после гибели Петлякова приказом по НКАП Главным конструктором ОКБ-22 и самолета Пе-2 был назначен его зам Александр Михайлович Изаксон (он летел в тот день на другом Пе-2).</w:t>
      </w:r>
    </w:p>
    <w:p w14:paraId="07652444"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Изаксон, специалист по аэродинамике автожиров и вертолетов, плохо знал серийное производство и не справился с главной задачей в то время – устранением КПН и дальнейшим совершенствованием самолета Пе-2. Должность Главного конструктора ОКБ-22 и самолета Пе-2 была предложена П.О. Сухому, но тот не дал быстрого ответа, и 1 мая 1942 г. Шахурин назначает на должность Главного конструктора Пе-2 Александра Ивановича Путилова (23670).</w:t>
      </w:r>
    </w:p>
    <w:p w14:paraId="4E2D0883" w14:textId="77777777" w:rsidR="00DF5A30" w:rsidRPr="008A2E5A" w:rsidRDefault="00DF5A30" w:rsidP="00DF5A30">
      <w:pPr>
        <w:spacing w:after="0" w:line="240" w:lineRule="auto"/>
        <w:jc w:val="both"/>
        <w:rPr>
          <w:rFonts w:ascii="Times New Roman" w:hAnsi="Times New Roman"/>
          <w:color w:val="0070C0"/>
          <w:sz w:val="16"/>
          <w:szCs w:val="16"/>
        </w:rPr>
      </w:pPr>
    </w:p>
    <w:p w14:paraId="0999462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вышел приказ НКАП N 32с</w:t>
      </w:r>
    </w:p>
    <w:p w14:paraId="582427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обеспечения выполнения плана по планерам:</w:t>
      </w:r>
    </w:p>
    <w:p w14:paraId="7E10CB1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Нач. Вр. Управления ЦАГИ-Раменское А.И.Новикову организовать производство планеров типа ГР-29 с выпуском в марте - 2, во 2 кв. - 20 шт (1525,5).</w:t>
      </w:r>
    </w:p>
    <w:p w14:paraId="654CF4E5" w14:textId="77777777" w:rsidR="00D4651C" w:rsidRPr="008127F8" w:rsidRDefault="00D4651C" w:rsidP="001E0A84">
      <w:pPr>
        <w:pStyle w:val="Iauiue"/>
        <w:jc w:val="both"/>
        <w:rPr>
          <w:color w:val="000000" w:themeColor="text1"/>
          <w:sz w:val="16"/>
          <w:szCs w:val="16"/>
        </w:rPr>
      </w:pPr>
    </w:p>
    <w:p w14:paraId="545BDB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года Решением ГКО за № 1149 и 15 января 1942 года за № 39сс приказом НКАП все оборудование, рабочая сила, транспорт и материальные ценности были переданы с завода № 23 заводу № 30, который организовался в Москве, на площадях эвакуированного в Куйбышев завода № 1 НКАП.</w:t>
      </w:r>
    </w:p>
    <w:p w14:paraId="630521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Решением ГКО от 24 января 1942 года за № 1208сс и приказом НКАП от 26 января 1942 года за № 79сс завод 3 135 НКАП, эвакуированный из Харькова </w:t>
      </w:r>
      <w:proofErr w:type="gramStart"/>
      <w:r w:rsidRPr="008127F8">
        <w:rPr>
          <w:color w:val="000000" w:themeColor="text1"/>
          <w:sz w:val="16"/>
          <w:szCs w:val="16"/>
        </w:rPr>
        <w:t>в Молотов</w:t>
      </w:r>
      <w:proofErr w:type="gramEnd"/>
      <w:r w:rsidRPr="008127F8">
        <w:rPr>
          <w:color w:val="000000" w:themeColor="text1"/>
          <w:sz w:val="16"/>
          <w:szCs w:val="16"/>
        </w:rPr>
        <w:t xml:space="preserve"> был расформирован и часть оборудования с рабочей силой были переданы заводу № 23.</w:t>
      </w:r>
    </w:p>
    <w:p w14:paraId="56F07F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636328D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E21E2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24F067B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35C6DA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28AADBE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DC25A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640DFB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783E4E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69F0BA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79FC9452" w14:textId="77777777">
        <w:tc>
          <w:tcPr>
            <w:tcW w:w="817" w:type="dxa"/>
          </w:tcPr>
          <w:p w14:paraId="53343D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Тип изделий</w:t>
            </w:r>
          </w:p>
        </w:tc>
        <w:tc>
          <w:tcPr>
            <w:tcW w:w="1348" w:type="dxa"/>
          </w:tcPr>
          <w:p w14:paraId="162E0B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Тип и количество двигателей установлен. на самолете</w:t>
            </w:r>
          </w:p>
        </w:tc>
        <w:tc>
          <w:tcPr>
            <w:tcW w:w="920" w:type="dxa"/>
          </w:tcPr>
          <w:p w14:paraId="7F8E6D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1952 год</w:t>
            </w:r>
          </w:p>
        </w:tc>
        <w:tc>
          <w:tcPr>
            <w:tcW w:w="851" w:type="dxa"/>
          </w:tcPr>
          <w:p w14:paraId="1610A4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1953 год</w:t>
            </w:r>
          </w:p>
        </w:tc>
        <w:tc>
          <w:tcPr>
            <w:tcW w:w="850" w:type="dxa"/>
          </w:tcPr>
          <w:p w14:paraId="177D51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1954 год</w:t>
            </w:r>
          </w:p>
        </w:tc>
        <w:tc>
          <w:tcPr>
            <w:tcW w:w="851" w:type="dxa"/>
          </w:tcPr>
          <w:p w14:paraId="3DBEE2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1955 год</w:t>
            </w:r>
          </w:p>
        </w:tc>
        <w:tc>
          <w:tcPr>
            <w:tcW w:w="850" w:type="dxa"/>
          </w:tcPr>
          <w:p w14:paraId="5F0DAE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1956 год</w:t>
            </w:r>
          </w:p>
        </w:tc>
        <w:tc>
          <w:tcPr>
            <w:tcW w:w="851" w:type="dxa"/>
          </w:tcPr>
          <w:p w14:paraId="2ADAFB7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1957 год</w:t>
            </w:r>
          </w:p>
        </w:tc>
        <w:tc>
          <w:tcPr>
            <w:tcW w:w="850" w:type="dxa"/>
          </w:tcPr>
          <w:p w14:paraId="2DED0C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1958 год</w:t>
            </w:r>
          </w:p>
        </w:tc>
      </w:tr>
      <w:tr w:rsidR="006F4095" w:rsidRPr="008127F8" w14:paraId="5384597E" w14:textId="77777777">
        <w:tc>
          <w:tcPr>
            <w:tcW w:w="817" w:type="dxa"/>
          </w:tcPr>
          <w:p w14:paraId="69D305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Ту-4</w:t>
            </w:r>
          </w:p>
        </w:tc>
        <w:tc>
          <w:tcPr>
            <w:tcW w:w="1348" w:type="dxa"/>
          </w:tcPr>
          <w:p w14:paraId="5F796A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4АШ73МК</w:t>
            </w:r>
          </w:p>
        </w:tc>
        <w:tc>
          <w:tcPr>
            <w:tcW w:w="920" w:type="dxa"/>
          </w:tcPr>
          <w:p w14:paraId="4FEF201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52</w:t>
            </w:r>
          </w:p>
        </w:tc>
        <w:tc>
          <w:tcPr>
            <w:tcW w:w="851" w:type="dxa"/>
          </w:tcPr>
          <w:p w14:paraId="23AE638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0" w:type="dxa"/>
          </w:tcPr>
          <w:p w14:paraId="742CF7B9" w14:textId="77777777" w:rsidR="00D4651C" w:rsidRPr="008127F8" w:rsidRDefault="00D4651C" w:rsidP="001E0A84">
            <w:pPr>
              <w:pStyle w:val="Iauiue"/>
              <w:jc w:val="both"/>
              <w:rPr>
                <w:color w:val="000000" w:themeColor="text1"/>
                <w:sz w:val="16"/>
                <w:szCs w:val="16"/>
              </w:rPr>
            </w:pPr>
          </w:p>
        </w:tc>
        <w:tc>
          <w:tcPr>
            <w:tcW w:w="851" w:type="dxa"/>
          </w:tcPr>
          <w:p w14:paraId="7C28718F" w14:textId="77777777" w:rsidR="00D4651C" w:rsidRPr="008127F8" w:rsidRDefault="00D4651C" w:rsidP="001E0A84">
            <w:pPr>
              <w:pStyle w:val="Iauiue"/>
              <w:jc w:val="both"/>
              <w:rPr>
                <w:color w:val="000000" w:themeColor="text1"/>
                <w:sz w:val="16"/>
                <w:szCs w:val="16"/>
              </w:rPr>
            </w:pPr>
          </w:p>
        </w:tc>
        <w:tc>
          <w:tcPr>
            <w:tcW w:w="850" w:type="dxa"/>
          </w:tcPr>
          <w:p w14:paraId="369976CE" w14:textId="77777777" w:rsidR="00D4651C" w:rsidRPr="008127F8" w:rsidRDefault="00D4651C" w:rsidP="001E0A84">
            <w:pPr>
              <w:pStyle w:val="Iauiue"/>
              <w:jc w:val="both"/>
              <w:rPr>
                <w:color w:val="000000" w:themeColor="text1"/>
                <w:sz w:val="16"/>
                <w:szCs w:val="16"/>
              </w:rPr>
            </w:pPr>
          </w:p>
        </w:tc>
        <w:tc>
          <w:tcPr>
            <w:tcW w:w="851" w:type="dxa"/>
          </w:tcPr>
          <w:p w14:paraId="386FA06B" w14:textId="77777777" w:rsidR="00D4651C" w:rsidRPr="008127F8" w:rsidRDefault="00D4651C" w:rsidP="001E0A84">
            <w:pPr>
              <w:pStyle w:val="Iauiue"/>
              <w:jc w:val="both"/>
              <w:rPr>
                <w:color w:val="000000" w:themeColor="text1"/>
                <w:sz w:val="16"/>
                <w:szCs w:val="16"/>
              </w:rPr>
            </w:pPr>
          </w:p>
        </w:tc>
        <w:tc>
          <w:tcPr>
            <w:tcW w:w="850" w:type="dxa"/>
          </w:tcPr>
          <w:p w14:paraId="2D69EBB5" w14:textId="77777777" w:rsidR="00D4651C" w:rsidRPr="008127F8" w:rsidRDefault="00D4651C" w:rsidP="001E0A84">
            <w:pPr>
              <w:pStyle w:val="Iauiue"/>
              <w:jc w:val="both"/>
              <w:rPr>
                <w:color w:val="000000" w:themeColor="text1"/>
                <w:sz w:val="16"/>
                <w:szCs w:val="16"/>
              </w:rPr>
            </w:pPr>
          </w:p>
        </w:tc>
      </w:tr>
      <w:tr w:rsidR="006F4095" w:rsidRPr="008127F8" w14:paraId="63EDC3FD" w14:textId="77777777">
        <w:tc>
          <w:tcPr>
            <w:tcW w:w="817" w:type="dxa"/>
          </w:tcPr>
          <w:p w14:paraId="176A0F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ИЛ-28</w:t>
            </w:r>
          </w:p>
        </w:tc>
        <w:tc>
          <w:tcPr>
            <w:tcW w:w="1348" w:type="dxa"/>
          </w:tcPr>
          <w:p w14:paraId="5ADB4AE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2АШ73МК</w:t>
            </w:r>
          </w:p>
        </w:tc>
        <w:tc>
          <w:tcPr>
            <w:tcW w:w="920" w:type="dxa"/>
          </w:tcPr>
          <w:p w14:paraId="29D57901" w14:textId="77777777" w:rsidR="00D4651C" w:rsidRPr="008127F8" w:rsidRDefault="00D4651C" w:rsidP="001E0A84">
            <w:pPr>
              <w:pStyle w:val="Iauiue"/>
              <w:jc w:val="both"/>
              <w:rPr>
                <w:color w:val="000000" w:themeColor="text1"/>
                <w:sz w:val="16"/>
                <w:szCs w:val="16"/>
              </w:rPr>
            </w:pPr>
          </w:p>
        </w:tc>
        <w:tc>
          <w:tcPr>
            <w:tcW w:w="851" w:type="dxa"/>
          </w:tcPr>
          <w:p w14:paraId="7D8FE33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850" w:type="dxa"/>
          </w:tcPr>
          <w:p w14:paraId="140CBC9B" w14:textId="77777777" w:rsidR="00D4651C" w:rsidRPr="008127F8" w:rsidRDefault="00D4651C" w:rsidP="001E0A84">
            <w:pPr>
              <w:pStyle w:val="Iauiue"/>
              <w:jc w:val="both"/>
              <w:rPr>
                <w:color w:val="000000" w:themeColor="text1"/>
                <w:sz w:val="16"/>
                <w:szCs w:val="16"/>
              </w:rPr>
            </w:pPr>
          </w:p>
        </w:tc>
        <w:tc>
          <w:tcPr>
            <w:tcW w:w="851" w:type="dxa"/>
          </w:tcPr>
          <w:p w14:paraId="47AC3118" w14:textId="77777777" w:rsidR="00D4651C" w:rsidRPr="008127F8" w:rsidRDefault="00D4651C" w:rsidP="001E0A84">
            <w:pPr>
              <w:pStyle w:val="Iauiue"/>
              <w:jc w:val="both"/>
              <w:rPr>
                <w:color w:val="000000" w:themeColor="text1"/>
                <w:sz w:val="16"/>
                <w:szCs w:val="16"/>
              </w:rPr>
            </w:pPr>
          </w:p>
        </w:tc>
        <w:tc>
          <w:tcPr>
            <w:tcW w:w="850" w:type="dxa"/>
          </w:tcPr>
          <w:p w14:paraId="33E434B2" w14:textId="77777777" w:rsidR="00D4651C" w:rsidRPr="008127F8" w:rsidRDefault="00D4651C" w:rsidP="001E0A84">
            <w:pPr>
              <w:pStyle w:val="Iauiue"/>
              <w:jc w:val="both"/>
              <w:rPr>
                <w:color w:val="000000" w:themeColor="text1"/>
                <w:sz w:val="16"/>
                <w:szCs w:val="16"/>
              </w:rPr>
            </w:pPr>
          </w:p>
        </w:tc>
        <w:tc>
          <w:tcPr>
            <w:tcW w:w="851" w:type="dxa"/>
          </w:tcPr>
          <w:p w14:paraId="54C6555F" w14:textId="77777777" w:rsidR="00D4651C" w:rsidRPr="008127F8" w:rsidRDefault="00D4651C" w:rsidP="001E0A84">
            <w:pPr>
              <w:pStyle w:val="Iauiue"/>
              <w:jc w:val="both"/>
              <w:rPr>
                <w:color w:val="000000" w:themeColor="text1"/>
                <w:sz w:val="16"/>
                <w:szCs w:val="16"/>
              </w:rPr>
            </w:pPr>
          </w:p>
        </w:tc>
        <w:tc>
          <w:tcPr>
            <w:tcW w:w="850" w:type="dxa"/>
          </w:tcPr>
          <w:p w14:paraId="57C60D01" w14:textId="77777777" w:rsidR="00D4651C" w:rsidRPr="008127F8" w:rsidRDefault="00D4651C" w:rsidP="001E0A84">
            <w:pPr>
              <w:pStyle w:val="Iauiue"/>
              <w:jc w:val="both"/>
              <w:rPr>
                <w:color w:val="000000" w:themeColor="text1"/>
                <w:sz w:val="16"/>
                <w:szCs w:val="16"/>
              </w:rPr>
            </w:pPr>
          </w:p>
        </w:tc>
      </w:tr>
      <w:tr w:rsidR="006F4095" w:rsidRPr="008127F8" w14:paraId="66623AB7" w14:textId="77777777">
        <w:tc>
          <w:tcPr>
            <w:tcW w:w="817" w:type="dxa"/>
          </w:tcPr>
          <w:p w14:paraId="3384BE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w:t>
            </w:r>
          </w:p>
        </w:tc>
        <w:tc>
          <w:tcPr>
            <w:tcW w:w="1348" w:type="dxa"/>
          </w:tcPr>
          <w:p w14:paraId="069DEA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4АМ3</w:t>
            </w:r>
          </w:p>
        </w:tc>
        <w:tc>
          <w:tcPr>
            <w:tcW w:w="920" w:type="dxa"/>
          </w:tcPr>
          <w:p w14:paraId="734B96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1" w:type="dxa"/>
          </w:tcPr>
          <w:p w14:paraId="35E593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0" w:type="dxa"/>
          </w:tcPr>
          <w:p w14:paraId="43503CBF" w14:textId="77777777" w:rsidR="00D4651C" w:rsidRPr="008127F8" w:rsidRDefault="00D4651C" w:rsidP="001E0A84">
            <w:pPr>
              <w:pStyle w:val="Iauiue"/>
              <w:jc w:val="both"/>
              <w:rPr>
                <w:color w:val="000000" w:themeColor="text1"/>
                <w:sz w:val="16"/>
                <w:szCs w:val="16"/>
              </w:rPr>
            </w:pPr>
          </w:p>
        </w:tc>
        <w:tc>
          <w:tcPr>
            <w:tcW w:w="851" w:type="dxa"/>
          </w:tcPr>
          <w:p w14:paraId="7837546F" w14:textId="77777777" w:rsidR="00D4651C" w:rsidRPr="008127F8" w:rsidRDefault="00D4651C" w:rsidP="001E0A84">
            <w:pPr>
              <w:pStyle w:val="Iauiue"/>
              <w:jc w:val="both"/>
              <w:rPr>
                <w:color w:val="000000" w:themeColor="text1"/>
                <w:sz w:val="16"/>
                <w:szCs w:val="16"/>
              </w:rPr>
            </w:pPr>
          </w:p>
        </w:tc>
        <w:tc>
          <w:tcPr>
            <w:tcW w:w="850" w:type="dxa"/>
          </w:tcPr>
          <w:p w14:paraId="7DAF197C" w14:textId="77777777" w:rsidR="00D4651C" w:rsidRPr="008127F8" w:rsidRDefault="00D4651C" w:rsidP="001E0A84">
            <w:pPr>
              <w:pStyle w:val="Iauiue"/>
              <w:jc w:val="both"/>
              <w:rPr>
                <w:color w:val="000000" w:themeColor="text1"/>
                <w:sz w:val="16"/>
                <w:szCs w:val="16"/>
              </w:rPr>
            </w:pPr>
          </w:p>
        </w:tc>
        <w:tc>
          <w:tcPr>
            <w:tcW w:w="851" w:type="dxa"/>
          </w:tcPr>
          <w:p w14:paraId="4171B14B" w14:textId="77777777" w:rsidR="00D4651C" w:rsidRPr="008127F8" w:rsidRDefault="00D4651C" w:rsidP="001E0A84">
            <w:pPr>
              <w:pStyle w:val="Iauiue"/>
              <w:jc w:val="both"/>
              <w:rPr>
                <w:color w:val="000000" w:themeColor="text1"/>
                <w:sz w:val="16"/>
                <w:szCs w:val="16"/>
              </w:rPr>
            </w:pPr>
          </w:p>
        </w:tc>
        <w:tc>
          <w:tcPr>
            <w:tcW w:w="850" w:type="dxa"/>
          </w:tcPr>
          <w:p w14:paraId="41AB5ED7" w14:textId="77777777" w:rsidR="00D4651C" w:rsidRPr="008127F8" w:rsidRDefault="00D4651C" w:rsidP="001E0A84">
            <w:pPr>
              <w:pStyle w:val="Iauiue"/>
              <w:jc w:val="both"/>
              <w:rPr>
                <w:color w:val="000000" w:themeColor="text1"/>
                <w:sz w:val="16"/>
                <w:szCs w:val="16"/>
              </w:rPr>
            </w:pPr>
          </w:p>
        </w:tc>
      </w:tr>
      <w:tr w:rsidR="006F4095" w:rsidRPr="008127F8" w14:paraId="6EC4572B" w14:textId="77777777">
        <w:tc>
          <w:tcPr>
            <w:tcW w:w="817" w:type="dxa"/>
          </w:tcPr>
          <w:p w14:paraId="61736B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М-4</w:t>
            </w:r>
          </w:p>
        </w:tc>
        <w:tc>
          <w:tcPr>
            <w:tcW w:w="1348" w:type="dxa"/>
          </w:tcPr>
          <w:p w14:paraId="23FB71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4А25</w:t>
            </w:r>
          </w:p>
        </w:tc>
        <w:tc>
          <w:tcPr>
            <w:tcW w:w="920" w:type="dxa"/>
          </w:tcPr>
          <w:p w14:paraId="004AFAD5" w14:textId="77777777" w:rsidR="00D4651C" w:rsidRPr="008127F8" w:rsidRDefault="00D4651C" w:rsidP="001E0A84">
            <w:pPr>
              <w:pStyle w:val="Iauiue"/>
              <w:jc w:val="both"/>
              <w:rPr>
                <w:color w:val="000000" w:themeColor="text1"/>
                <w:sz w:val="16"/>
                <w:szCs w:val="16"/>
              </w:rPr>
            </w:pPr>
          </w:p>
        </w:tc>
        <w:tc>
          <w:tcPr>
            <w:tcW w:w="851" w:type="dxa"/>
          </w:tcPr>
          <w:p w14:paraId="578579EB" w14:textId="77777777" w:rsidR="00D4651C" w:rsidRPr="008127F8" w:rsidRDefault="00D4651C" w:rsidP="001E0A84">
            <w:pPr>
              <w:pStyle w:val="Iauiue"/>
              <w:jc w:val="both"/>
              <w:rPr>
                <w:color w:val="000000" w:themeColor="text1"/>
                <w:sz w:val="16"/>
                <w:szCs w:val="16"/>
              </w:rPr>
            </w:pPr>
          </w:p>
        </w:tc>
        <w:tc>
          <w:tcPr>
            <w:tcW w:w="850" w:type="dxa"/>
          </w:tcPr>
          <w:p w14:paraId="36A3239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851" w:type="dxa"/>
          </w:tcPr>
          <w:p w14:paraId="2B98F2F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w:t>
            </w:r>
          </w:p>
        </w:tc>
        <w:tc>
          <w:tcPr>
            <w:tcW w:w="850" w:type="dxa"/>
          </w:tcPr>
          <w:p w14:paraId="25AE579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w:t>
            </w:r>
          </w:p>
        </w:tc>
        <w:tc>
          <w:tcPr>
            <w:tcW w:w="851" w:type="dxa"/>
          </w:tcPr>
          <w:p w14:paraId="2C62C526" w14:textId="77777777" w:rsidR="00D4651C" w:rsidRPr="008127F8" w:rsidRDefault="00D4651C" w:rsidP="001E0A84">
            <w:pPr>
              <w:pStyle w:val="Iauiue"/>
              <w:jc w:val="both"/>
              <w:rPr>
                <w:color w:val="000000" w:themeColor="text1"/>
                <w:sz w:val="16"/>
                <w:szCs w:val="16"/>
              </w:rPr>
            </w:pPr>
          </w:p>
        </w:tc>
        <w:tc>
          <w:tcPr>
            <w:tcW w:w="850" w:type="dxa"/>
          </w:tcPr>
          <w:p w14:paraId="64320A5C" w14:textId="77777777" w:rsidR="00D4651C" w:rsidRPr="008127F8" w:rsidRDefault="00D4651C" w:rsidP="001E0A84">
            <w:pPr>
              <w:pStyle w:val="Iauiue"/>
              <w:jc w:val="both"/>
              <w:rPr>
                <w:color w:val="000000" w:themeColor="text1"/>
                <w:sz w:val="16"/>
                <w:szCs w:val="16"/>
              </w:rPr>
            </w:pPr>
          </w:p>
        </w:tc>
      </w:tr>
      <w:tr w:rsidR="006F4095" w:rsidRPr="008127F8" w14:paraId="1851FC23" w14:textId="77777777">
        <w:tc>
          <w:tcPr>
            <w:tcW w:w="817" w:type="dxa"/>
          </w:tcPr>
          <w:p w14:paraId="7D50EE1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3М</w:t>
            </w:r>
          </w:p>
        </w:tc>
        <w:tc>
          <w:tcPr>
            <w:tcW w:w="1348" w:type="dxa"/>
          </w:tcPr>
          <w:p w14:paraId="24CB41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4А25</w:t>
            </w:r>
          </w:p>
          <w:p w14:paraId="2499AE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4АВД-7</w:t>
            </w:r>
          </w:p>
        </w:tc>
        <w:tc>
          <w:tcPr>
            <w:tcW w:w="920" w:type="dxa"/>
          </w:tcPr>
          <w:p w14:paraId="36C12A59" w14:textId="77777777" w:rsidR="00D4651C" w:rsidRPr="008127F8" w:rsidRDefault="00D4651C" w:rsidP="001E0A84">
            <w:pPr>
              <w:pStyle w:val="Iauiue"/>
              <w:jc w:val="both"/>
              <w:rPr>
                <w:color w:val="000000" w:themeColor="text1"/>
                <w:sz w:val="16"/>
                <w:szCs w:val="16"/>
              </w:rPr>
            </w:pPr>
          </w:p>
        </w:tc>
        <w:tc>
          <w:tcPr>
            <w:tcW w:w="851" w:type="dxa"/>
          </w:tcPr>
          <w:p w14:paraId="2B8278C4" w14:textId="77777777" w:rsidR="00D4651C" w:rsidRPr="008127F8" w:rsidRDefault="00D4651C" w:rsidP="001E0A84">
            <w:pPr>
              <w:pStyle w:val="Iauiue"/>
              <w:jc w:val="both"/>
              <w:rPr>
                <w:color w:val="000000" w:themeColor="text1"/>
                <w:sz w:val="16"/>
                <w:szCs w:val="16"/>
              </w:rPr>
            </w:pPr>
          </w:p>
        </w:tc>
        <w:tc>
          <w:tcPr>
            <w:tcW w:w="850" w:type="dxa"/>
          </w:tcPr>
          <w:p w14:paraId="475FC847" w14:textId="77777777" w:rsidR="00D4651C" w:rsidRPr="008127F8" w:rsidRDefault="00D4651C" w:rsidP="001E0A84">
            <w:pPr>
              <w:pStyle w:val="Iauiue"/>
              <w:jc w:val="both"/>
              <w:rPr>
                <w:color w:val="000000" w:themeColor="text1"/>
                <w:sz w:val="16"/>
                <w:szCs w:val="16"/>
              </w:rPr>
            </w:pPr>
          </w:p>
        </w:tc>
        <w:tc>
          <w:tcPr>
            <w:tcW w:w="851" w:type="dxa"/>
          </w:tcPr>
          <w:p w14:paraId="409313CD" w14:textId="77777777" w:rsidR="00D4651C" w:rsidRPr="008127F8" w:rsidRDefault="00D4651C" w:rsidP="001E0A84">
            <w:pPr>
              <w:pStyle w:val="Iauiue"/>
              <w:jc w:val="both"/>
              <w:rPr>
                <w:color w:val="000000" w:themeColor="text1"/>
                <w:sz w:val="16"/>
                <w:szCs w:val="16"/>
              </w:rPr>
            </w:pPr>
          </w:p>
        </w:tc>
        <w:tc>
          <w:tcPr>
            <w:tcW w:w="850" w:type="dxa"/>
          </w:tcPr>
          <w:p w14:paraId="656B684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w:t>
            </w:r>
          </w:p>
        </w:tc>
        <w:tc>
          <w:tcPr>
            <w:tcW w:w="851" w:type="dxa"/>
          </w:tcPr>
          <w:p w14:paraId="648D411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26</w:t>
            </w:r>
          </w:p>
        </w:tc>
        <w:tc>
          <w:tcPr>
            <w:tcW w:w="850" w:type="dxa"/>
          </w:tcPr>
          <w:p w14:paraId="1A06F78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w:t>
            </w:r>
          </w:p>
        </w:tc>
      </w:tr>
    </w:tbl>
    <w:p w14:paraId="1C42904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Г-87, п/я 222</w:t>
      </w:r>
    </w:p>
    <w:p w14:paraId="40A4B0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Осипов (1959)</w:t>
      </w:r>
    </w:p>
    <w:p w14:paraId="090C7E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Производственный профиль – металлическое самолетостроение (9754)</w:t>
      </w:r>
    </w:p>
    <w:p w14:paraId="3F4A7B6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76DCB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Л.П.Берия прислал Багирову телеграмму: “Транспорт с материалами, отправлен из Москвы для завода N 458 и должен прибыть в Баку сегодня. В дальнейшем о всех случаях перебоев снабжения завода прошу сообщать немедленно для оказания вам необходимой помощи.” (10684).</w:t>
      </w:r>
    </w:p>
    <w:p w14:paraId="3A29C0D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770BA46"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г.</w:t>
      </w:r>
    </w:p>
    <w:p w14:paraId="5AA6C8D3"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 записка инженера-электромеханика ГУ СМП В. Сидорова в Красноярский крайком ВКП (б)</w:t>
      </w:r>
    </w:p>
    <w:p w14:paraId="4B733CBD"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Красноярск</w:t>
      </w:r>
    </w:p>
    <w:p w14:paraId="1EEE02B1"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г.</w:t>
      </w:r>
    </w:p>
    <w:p w14:paraId="2BEA0696"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4C0B6A81"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опыта современной воздушной войны, благодаря беззаветной храбрости наших летчиков, зарегистрирована масса случаев, когда самолеты противника уничтожаются в воздухе тараном всей машиной, винтом отсекается плоскость самолета или ударом костыля по хвостовому управлению последнее отваливается в воздухе. При этом не редки случаи гибели наших летчиков и самолетов.</w:t>
      </w:r>
    </w:p>
    <w:p w14:paraId="6D01B1AD"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избежать потерь в воздушном бою, я разработал аппарат с тактическими боевыми свойствами, который позволяет на расстоянии отсекать плоскости, хвостовое управление, поражать моторную группу самолета противника.</w:t>
      </w:r>
    </w:p>
    <w:p w14:paraId="750A1961"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Принцип действия аппарата новый и в отличие от существующего авиавооружения заключается в том, что он позволяет выпустить в секунду 5 000 пуль или 300 000 в минуту – получается пулевая струя, которой можно резать на расстоянии от 50 метров до 300 метров при сближении любой из узлов самолета противника.</w:t>
      </w:r>
    </w:p>
    <w:p w14:paraId="1F7C8EDC"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предложение в черновике рассматривалось в сентябре 1941 года у горвоенкома со специалистами по авиавооружению.</w:t>
      </w:r>
    </w:p>
    <w:p w14:paraId="088141B3"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Всеми специалистами было одобрено, и решили строить модель в мастерских Красноярской авиабригады на средства БРИЗа Главсевморпути с использованием материальной части авиабригады.</w:t>
      </w:r>
    </w:p>
    <w:p w14:paraId="61C23735"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тому, что бригада через несколько дней (после решения) вылетела на фронт, дело затянулось. Через секретный отдел Главсевморпути предложение в чертежах с пояснительной запиской было послано в конце октября 1941 года в Комитет Обороны и в комиссариат авиационной промышленности на имя тов. Шахурина, ответа пока не имеем.</w:t>
      </w:r>
    </w:p>
    <w:p w14:paraId="72CCDB85"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ускорить изготовление опытной конструкции, испытать ее боевые свойства, я обратился в крайком партии за содействием проведения этой работы в Красноярске. Для изготовления опытного образца в настоящее время необходимо помещение на пять столов, чтобы закончить разработку рабочих чертежей, производственную базу и средства в сумме 6 136 руб., которые обеспечивает руководство Главсевморпути.</w:t>
      </w:r>
    </w:p>
    <w:p w14:paraId="380E7367"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Инженер-эл[ектро]механик</w:t>
      </w:r>
    </w:p>
    <w:p w14:paraId="1D6E1A73"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Главсевморпути</w:t>
      </w:r>
      <w:r w:rsidRPr="008127F8">
        <w:rPr>
          <w:rFonts w:ascii="Times New Roman" w:hAnsi="Times New Roman"/>
          <w:color w:val="000000" w:themeColor="text1"/>
          <w:sz w:val="16"/>
          <w:szCs w:val="16"/>
        </w:rPr>
        <w:tab/>
        <w:t>подпись</w:t>
      </w:r>
      <w:r w:rsidRPr="008127F8">
        <w:rPr>
          <w:rFonts w:ascii="Times New Roman" w:hAnsi="Times New Roman"/>
          <w:color w:val="000000" w:themeColor="text1"/>
          <w:sz w:val="16"/>
          <w:szCs w:val="16"/>
        </w:rPr>
        <w:tab/>
        <w:t>В. Сидоров</w:t>
      </w:r>
    </w:p>
    <w:p w14:paraId="23F97410"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Помета: «Тов. Сидоров был выделен к тов. Голубеву - вопрос решен. 18 февраля</w:t>
      </w:r>
    </w:p>
    <w:p w14:paraId="33E64BD3"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r w:rsidRPr="008127F8">
        <w:rPr>
          <w:rFonts w:ascii="Times New Roman" w:hAnsi="Times New Roman"/>
          <w:color w:val="000000" w:themeColor="text1"/>
          <w:sz w:val="16"/>
          <w:szCs w:val="16"/>
        </w:rPr>
        <w:tab/>
        <w:t>г. Подпись».</w:t>
      </w:r>
    </w:p>
    <w:p w14:paraId="24F7B878" w14:textId="77777777" w:rsidR="00571CDF" w:rsidRPr="008127F8" w:rsidRDefault="00571CD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КГКУ «ГАКК». Ф.П-26. Оп. 3. Д. 9. Л. 6. Подлинник. Машинопись (20857).</w:t>
      </w:r>
    </w:p>
    <w:p w14:paraId="4E6C8CC3" w14:textId="77777777" w:rsidR="00571CDF" w:rsidRPr="008127F8" w:rsidRDefault="00571CDF" w:rsidP="001E0A84">
      <w:pPr>
        <w:spacing w:after="0" w:line="240" w:lineRule="auto"/>
        <w:jc w:val="both"/>
        <w:rPr>
          <w:rFonts w:ascii="Times New Roman" w:hAnsi="Times New Roman"/>
          <w:color w:val="000000" w:themeColor="text1"/>
          <w:sz w:val="16"/>
          <w:szCs w:val="16"/>
        </w:rPr>
      </w:pPr>
    </w:p>
    <w:p w14:paraId="6ED7104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B9770E5" w14:textId="77777777" w:rsidR="00D4651C" w:rsidRPr="008127F8" w:rsidRDefault="00D4651C" w:rsidP="001E0A84">
      <w:pPr>
        <w:pStyle w:val="Iauiue"/>
        <w:jc w:val="both"/>
        <w:rPr>
          <w:iCs/>
          <w:color w:val="000000" w:themeColor="text1"/>
          <w:sz w:val="16"/>
          <w:szCs w:val="16"/>
        </w:rPr>
      </w:pPr>
    </w:p>
    <w:p w14:paraId="0BD2CE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вышло Постановление ГКО № 1148 Об условиях приемки танков на танковых заводах. РГАНИР, Фонд ГКО, д. 19, лл. 90, 91 (11012).</w:t>
      </w:r>
    </w:p>
    <w:p w14:paraId="314C690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B66C44E"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w:t>
      </w:r>
    </w:p>
    <w:p w14:paraId="1085C11A" w14:textId="28D9F8A9"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 лист 170 – 171</w:t>
      </w:r>
      <w:r w:rsidR="008127F8">
        <w:rPr>
          <w:rFonts w:ascii="Times New Roman" w:hAnsi="Times New Roman"/>
          <w:color w:val="000000" w:themeColor="text1"/>
          <w:sz w:val="16"/>
          <w:szCs w:val="16"/>
        </w:rPr>
        <w:t xml:space="preserve">  </w:t>
      </w:r>
    </w:p>
    <w:p w14:paraId="764DB0F9" w14:textId="2693A65D"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С.СЕКРЕТНО.</w:t>
      </w:r>
      <w:r w:rsidR="008127F8">
        <w:rPr>
          <w:rFonts w:ascii="Times New Roman" w:hAnsi="Times New Roman"/>
          <w:color w:val="000000" w:themeColor="text1"/>
          <w:sz w:val="16"/>
          <w:szCs w:val="16"/>
        </w:rPr>
        <w:t xml:space="preserve">  </w:t>
      </w:r>
    </w:p>
    <w:p w14:paraId="1D8B38F2"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Срочно.</w:t>
      </w:r>
    </w:p>
    <w:p w14:paraId="01145264"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3A97BD5"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18004205"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113-Мсс</w:t>
      </w:r>
    </w:p>
    <w:p w14:paraId="5CF17C29"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"14" января 1942 г.</w:t>
      </w:r>
    </w:p>
    <w:p w14:paraId="37351043"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условиях приемки танков на танковых заводах.</w:t>
      </w:r>
    </w:p>
    <w:p w14:paraId="09BD9E74" w14:textId="101AAA5D"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14 января 1942 г. за № 1148сс ПРИКАЗЫВАЮ:</w:t>
      </w:r>
      <w:r w:rsidR="008127F8">
        <w:rPr>
          <w:rFonts w:ascii="Times New Roman" w:hAnsi="Times New Roman"/>
          <w:color w:val="000000" w:themeColor="text1"/>
          <w:sz w:val="16"/>
          <w:szCs w:val="16"/>
        </w:rPr>
        <w:t xml:space="preserve">  </w:t>
      </w:r>
    </w:p>
    <w:p w14:paraId="4A747FE3" w14:textId="157289F8"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Кировского, № 183, СТЗ, № 112, № 264, Коломенского, № 37 и № 174 принять к неуклонному исполнению с 15 января с.г. утвержденные Государственным Комитетом Обороны "Условия на приемку танков на танковых заводах" (см. приложение).</w:t>
      </w:r>
      <w:r w:rsidR="008127F8">
        <w:rPr>
          <w:rFonts w:ascii="Times New Roman" w:hAnsi="Times New Roman"/>
          <w:color w:val="000000" w:themeColor="text1"/>
          <w:sz w:val="16"/>
          <w:szCs w:val="16"/>
        </w:rPr>
        <w:t xml:space="preserve">  </w:t>
      </w:r>
    </w:p>
    <w:p w14:paraId="725B06B2" w14:textId="7F6B74DB"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Учесть, что введение данных условий на приемку танков кладет конец путанице и неразберихе, которая до сих пор существовала на многих заводах в вопросах сдачи танков военной приемке.</w:t>
      </w:r>
      <w:r w:rsidR="008127F8">
        <w:rPr>
          <w:rFonts w:ascii="Times New Roman" w:hAnsi="Times New Roman"/>
          <w:color w:val="000000" w:themeColor="text1"/>
          <w:sz w:val="16"/>
          <w:szCs w:val="16"/>
        </w:rPr>
        <w:t xml:space="preserve">  </w:t>
      </w:r>
    </w:p>
    <w:p w14:paraId="291CD5B3" w14:textId="326FBBD4"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директоров и главных инженеров указанных в п. 1 заводов немедленно разработать конкретные организационные и технические меры, обеспечивающие выполнение п. 2 "Условий на приемку танков".</w:t>
      </w:r>
      <w:r w:rsidR="008127F8">
        <w:rPr>
          <w:rFonts w:ascii="Times New Roman" w:hAnsi="Times New Roman"/>
          <w:color w:val="000000" w:themeColor="text1"/>
          <w:sz w:val="16"/>
          <w:szCs w:val="16"/>
        </w:rPr>
        <w:t xml:space="preserve">  </w:t>
      </w:r>
    </w:p>
    <w:p w14:paraId="523EF165" w14:textId="345B0AD8"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Учесть, что после введения "Условий на приемку танков" никаких расхождений между данными завода и военпреда в ежедневной отчетности по сдаче танков не должно быть.</w:t>
      </w:r>
      <w:r w:rsidR="008127F8">
        <w:rPr>
          <w:rFonts w:ascii="Times New Roman" w:hAnsi="Times New Roman"/>
          <w:color w:val="000000" w:themeColor="text1"/>
          <w:sz w:val="16"/>
          <w:szCs w:val="16"/>
        </w:rPr>
        <w:t xml:space="preserve">  </w:t>
      </w:r>
    </w:p>
    <w:p w14:paraId="53BF8077"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Директора заводов должны, в случае отсутствия каких-либо изделий из ЗИПа и невозможностью достать их к моменту сдачи танка, заблаговременно ставить об этом в известность военпреда и совместно с ним решать вопрос о возможности сдачи танка без данных изделий из ЗИПа. В случае недоговоренности с военпредом, заблаговременно ставить в известность меня или моих замов для решения вопроса с руководством ГАБТУ КА.</w:t>
      </w:r>
    </w:p>
    <w:p w14:paraId="74B027B9"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24F0E3E3"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(18231).</w:t>
      </w:r>
    </w:p>
    <w:p w14:paraId="486342B9" w14:textId="77777777" w:rsidR="00C275C9" w:rsidRPr="008127F8" w:rsidRDefault="00C275C9" w:rsidP="001E0A84">
      <w:pPr>
        <w:spacing w:after="0" w:line="240" w:lineRule="auto"/>
        <w:jc w:val="both"/>
        <w:rPr>
          <w:rFonts w:ascii="Times New Roman" w:hAnsi="Times New Roman"/>
          <w:color w:val="000000" w:themeColor="text1"/>
          <w:sz w:val="16"/>
          <w:szCs w:val="16"/>
        </w:rPr>
      </w:pPr>
    </w:p>
    <w:p w14:paraId="6DB11C4B"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января 1942 г. Приказ № 113-Мсс наркома танковой промышленности СССР В. А. Малышева об условиях приемки танков на танковых заводах</w:t>
      </w:r>
    </w:p>
    <w:p w14:paraId="3E975631"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ED273D6"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ГКО от 14 января 1942 г. за № 1148сс93 приказываю:</w:t>
      </w:r>
    </w:p>
    <w:p w14:paraId="7AB2B101"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заводов: Кировского, № 183, СТЗ, № 112, № 264, Коломенского, № 37 и № 174 принять к неуклонному исполнению с 15 января с. г. утвержденные Государственным комитетом обороны «Условия на приемку танков на танковых заводах» (см. приложение 1).</w:t>
      </w:r>
    </w:p>
    <w:p w14:paraId="343D7285"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Учесть, что введение данных условий на приемку танков кладет конец путанице и неразберихе, которая до сих пор существовала на многих заводах в вопросах сдачи танков военной приемке.</w:t>
      </w:r>
    </w:p>
    <w:p w14:paraId="345F153C"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директоров и главных инженеров указанных в п. 1 заводов немедленно разработать конкретные организационные и технические меры, обеспечивающие выполнение п. 2 «Условий на приемку танков».</w:t>
      </w:r>
    </w:p>
    <w:p w14:paraId="3EBE6C20"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Учесть, что после введения «Условий на приемку танков» никаких расхождений между данными завода и военпреда в ежедневной отчетности по сдаче танков не должно быть.</w:t>
      </w:r>
    </w:p>
    <w:p w14:paraId="2A46CC7C"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Директора заводов должны в случае отсутствия каких-либо изделий из ЗИПа и невозможностью достать их к моменту сдачи танка заблаговременно ставить об этом в известность военпреда и совместно с ним решать вопрос о возможности сдачи танка без данных изделий из ЗИПа. В случае недоговоренности с военпредом заблаговременно ставить в известность меня или моих замов для решения вопроса с руководством ГАБТУ КА.</w:t>
      </w:r>
    </w:p>
    <w:p w14:paraId="791F881C"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В. Малышев</w:t>
      </w:r>
    </w:p>
    <w:p w14:paraId="49B59CEC"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8752. Оп. 4. Д. 8. Л. 171-170. Подлинник (24092).</w:t>
      </w:r>
    </w:p>
    <w:p w14:paraId="5751E239" w14:textId="77777777" w:rsidR="00DF5A30" w:rsidRPr="008A2E5A" w:rsidRDefault="00DF5A30" w:rsidP="00DF5A30">
      <w:pPr>
        <w:spacing w:after="0" w:line="240" w:lineRule="auto"/>
        <w:jc w:val="both"/>
        <w:rPr>
          <w:rFonts w:ascii="Times New Roman" w:hAnsi="Times New Roman"/>
          <w:color w:val="0070C0"/>
          <w:sz w:val="16"/>
          <w:szCs w:val="16"/>
        </w:rPr>
      </w:pPr>
    </w:p>
    <w:p w14:paraId="23038315"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w:t>
      </w:r>
    </w:p>
    <w:p w14:paraId="58C8883B" w14:textId="796DB1F6"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 лист 169</w:t>
      </w:r>
      <w:r w:rsidR="008127F8">
        <w:rPr>
          <w:rFonts w:ascii="Times New Roman" w:hAnsi="Times New Roman"/>
          <w:color w:val="000000" w:themeColor="text1"/>
          <w:sz w:val="16"/>
          <w:szCs w:val="16"/>
        </w:rPr>
        <w:t xml:space="preserve">  </w:t>
      </w:r>
    </w:p>
    <w:p w14:paraId="201F23D7" w14:textId="44E39479"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Совершенно секретно</w:t>
      </w:r>
      <w:r w:rsidR="008127F8">
        <w:rPr>
          <w:rFonts w:ascii="Times New Roman" w:hAnsi="Times New Roman"/>
          <w:color w:val="000000" w:themeColor="text1"/>
          <w:sz w:val="16"/>
          <w:szCs w:val="16"/>
        </w:rPr>
        <w:t xml:space="preserve">  </w:t>
      </w:r>
    </w:p>
    <w:p w14:paraId="65AEB1DD" w14:textId="15CCF33B"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 приказу № 113-Мсс</w:t>
      </w:r>
      <w:r w:rsidR="008127F8">
        <w:rPr>
          <w:rFonts w:ascii="Times New Roman" w:hAnsi="Times New Roman"/>
          <w:color w:val="000000" w:themeColor="text1"/>
          <w:sz w:val="16"/>
          <w:szCs w:val="16"/>
        </w:rPr>
        <w:t xml:space="preserve">  </w:t>
      </w:r>
    </w:p>
    <w:p w14:paraId="79EA656A"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Утверждено постановлением ГКО-1148сс от 14 Января 1942 г.</w:t>
      </w:r>
    </w:p>
    <w:p w14:paraId="3041968F"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УСЛОВИЯ</w:t>
      </w:r>
    </w:p>
    <w:p w14:paraId="5F39B9F3"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приемку танков на танковых заводах.</w:t>
      </w:r>
    </w:p>
    <w:p w14:paraId="449F7C7D" w14:textId="604378A2"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Приемку танков на танковых заводах производит Военпред ГАБТУ КРАСНОЙ АРМИИ.</w:t>
      </w:r>
      <w:r w:rsidR="008127F8">
        <w:rPr>
          <w:rFonts w:ascii="Times New Roman" w:hAnsi="Times New Roman"/>
          <w:color w:val="000000" w:themeColor="text1"/>
          <w:sz w:val="16"/>
          <w:szCs w:val="16"/>
        </w:rPr>
        <w:t xml:space="preserve">  </w:t>
      </w:r>
    </w:p>
    <w:p w14:paraId="35779FC0" w14:textId="67B8A72D"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Танк считается принятым после отстрела пушек и пулеметов, приемо-сдаточного пробега, устранения обнаруженных дефектов и необходимой комплектации танка.</w:t>
      </w:r>
      <w:r w:rsidR="008127F8">
        <w:rPr>
          <w:rFonts w:ascii="Times New Roman" w:hAnsi="Times New Roman"/>
          <w:color w:val="000000" w:themeColor="text1"/>
          <w:sz w:val="16"/>
          <w:szCs w:val="16"/>
        </w:rPr>
        <w:t xml:space="preserve">  </w:t>
      </w:r>
    </w:p>
    <w:p w14:paraId="49386882" w14:textId="39F66CD9"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Приемка танка состоит из:</w:t>
      </w:r>
      <w:r w:rsidR="008127F8">
        <w:rPr>
          <w:rFonts w:ascii="Times New Roman" w:hAnsi="Times New Roman"/>
          <w:color w:val="000000" w:themeColor="text1"/>
          <w:sz w:val="16"/>
          <w:szCs w:val="16"/>
        </w:rPr>
        <w:t xml:space="preserve">  </w:t>
      </w:r>
    </w:p>
    <w:p w14:paraId="140E2250" w14:textId="374BB282"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приемо-сдаточного пробега для танков КВ и Т-34 на дистанцию 5 клм. для каждого танка, а для танков Т-60 на дистанцию 10 клм. для каждого десятого танка по выбору Военпреда;</w:t>
      </w:r>
      <w:r w:rsidR="008127F8">
        <w:rPr>
          <w:rFonts w:ascii="Times New Roman" w:hAnsi="Times New Roman"/>
          <w:color w:val="000000" w:themeColor="text1"/>
          <w:sz w:val="16"/>
          <w:szCs w:val="16"/>
        </w:rPr>
        <w:t xml:space="preserve">  </w:t>
      </w:r>
    </w:p>
    <w:p w14:paraId="7D471DCB" w14:textId="5A6AE1B2"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отстрела пушек на танках КВ и Т-34 на каждом десятом танке, на танках Т-60 на каждом танке и отстрела спаренных с пушкой пулеметов на каждом танке всех типов.</w:t>
      </w:r>
      <w:r w:rsidR="008127F8">
        <w:rPr>
          <w:rFonts w:ascii="Times New Roman" w:hAnsi="Times New Roman"/>
          <w:color w:val="000000" w:themeColor="text1"/>
          <w:sz w:val="16"/>
          <w:szCs w:val="16"/>
        </w:rPr>
        <w:t xml:space="preserve">  </w:t>
      </w:r>
    </w:p>
    <w:p w14:paraId="2C4EE092" w14:textId="1CF9EB6F"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Военпред осуществляет контроль за качеством изготовления отдельных узлов и деталей и за качеством сборки танка.</w:t>
      </w:r>
      <w:r w:rsidR="008127F8">
        <w:rPr>
          <w:rFonts w:ascii="Times New Roman" w:hAnsi="Times New Roman"/>
          <w:color w:val="000000" w:themeColor="text1"/>
          <w:sz w:val="16"/>
          <w:szCs w:val="16"/>
        </w:rPr>
        <w:t xml:space="preserve">  </w:t>
      </w:r>
    </w:p>
    <w:p w14:paraId="690A0333"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Военпреду разрешается принимать танки без часов, вольтметров и амперметров (с заменой контрольной лампой), спидометров, аэротермометров (за исключением одного), башенных вентиляторов (в зимнее время), моторов поворота башни для танков Т-34, переговорных устройств (с заменой сигнальными лампами) , запасных бачков и раций, в тех случаях, когда эти приборы и изделия временно отсутствуют на танковых заводах (18232).</w:t>
      </w:r>
    </w:p>
    <w:p w14:paraId="4029A447" w14:textId="77777777" w:rsidR="00C275C9" w:rsidRPr="008127F8" w:rsidRDefault="00C275C9" w:rsidP="001E0A84">
      <w:pPr>
        <w:spacing w:after="0" w:line="240" w:lineRule="auto"/>
        <w:jc w:val="both"/>
        <w:rPr>
          <w:rFonts w:ascii="Times New Roman" w:hAnsi="Times New Roman"/>
          <w:color w:val="000000" w:themeColor="text1"/>
          <w:sz w:val="16"/>
          <w:szCs w:val="16"/>
        </w:rPr>
      </w:pPr>
    </w:p>
    <w:p w14:paraId="18900F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вышло Постановление ГКО № 1151 О т.т. Грачеве Л.П. и Панюшкине И.Т. РГАНИР, Фонд ГКО, д. 19, лл. 94 (11012).</w:t>
      </w:r>
    </w:p>
    <w:p w14:paraId="699F89E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87AEECA"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года на полигоне прошли испытания двух вариантов дополнительного бронирования переднего наклонного листа корпуса танка, разработанного заводом № 264. А уже с 25 января усиленные корпуса и башни пошли в серийное производство. Всего до отмены экранировки Сталинградский тракторный завод произвел до 200 экранированных танков.</w:t>
      </w:r>
    </w:p>
    <w:p w14:paraId="0F277CE0" w14:textId="77777777" w:rsidR="00F658A1" w:rsidRPr="008127F8" w:rsidRDefault="00F658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112 первую экранированную башню изготовили лишь 21 февраля 1942 года, а четыре дня спустя - 25 февраля сдали первый экранированный корпус. Несмотря на постановление о прекращении работ по экранировке, по отчету завода № 112 «Красное Сормово» в 1942 году из заготовленного задела собрали 80 экранированных корпусов и 109 башен. Кроме того, к 1 марта 1942 года в качестве эксперимента здесь отлили 8 башен со стенками толщиной 75 мм, которые также установили на серийные тридцатьчетверки (12217).</w:t>
      </w:r>
    </w:p>
    <w:p w14:paraId="78EE4768" w14:textId="77777777" w:rsidR="00F658A1" w:rsidRPr="008127F8" w:rsidRDefault="00F658A1" w:rsidP="001E0A84">
      <w:pPr>
        <w:spacing w:after="0" w:line="240" w:lineRule="auto"/>
        <w:jc w:val="both"/>
        <w:rPr>
          <w:rFonts w:ascii="Times New Roman" w:hAnsi="Times New Roman"/>
          <w:color w:val="000000" w:themeColor="text1"/>
          <w:sz w:val="16"/>
          <w:szCs w:val="16"/>
        </w:rPr>
      </w:pPr>
    </w:p>
    <w:p w14:paraId="68365D29" w14:textId="77777777" w:rsidR="003E12B0" w:rsidRPr="008127F8" w:rsidRDefault="003E12B0" w:rsidP="001E0A84">
      <w:pPr>
        <w:pStyle w:val="af"/>
        <w:shd w:val="clear" w:color="auto" w:fill="FFFFFF"/>
        <w:spacing w:before="0" w:after="0"/>
        <w:jc w:val="both"/>
        <w:rPr>
          <w:color w:val="000000" w:themeColor="text1"/>
          <w:sz w:val="16"/>
          <w:szCs w:val="16"/>
        </w:rPr>
      </w:pPr>
      <w:r w:rsidRPr="008127F8">
        <w:rPr>
          <w:color w:val="000000" w:themeColor="text1"/>
          <w:sz w:val="16"/>
          <w:szCs w:val="16"/>
        </w:rPr>
        <w:t>14 января 1942 года проектная документация на 85 мм самоходные установки на базе Т-34 была отправлена в Артиллерийский комитет Главного артиллерийского управления Красной Армии (ГАУ КА). Версия 85-мм САУ на базе Т-34 с максимальной переделкой орудия получила обозначение У-20, а вариант с минимальным изменением зенитной пушки – У-20-II. К моменту отправки проектов в Артком ГАУ КА проекты претерпели некоторые изменения, внесенные по итогам их рассмотрения комиссией в начале января 1942 года.</w:t>
      </w:r>
    </w:p>
    <w:p w14:paraId="08A0DBD1" w14:textId="77777777" w:rsidR="003E12B0" w:rsidRPr="008127F8" w:rsidRDefault="003E12B0"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Первый вариант, который был приоритетным с точки зрения УЗТМ, впитал в себя опыт свердловских конструкторов, накопленный за первый год войны. Вместо зенитной пушки на У-20 на него решили поставить У-10, дивизионное орудие, разработанное на УЗТМ в октябре 1941 года. Созданное в инициативном порядке, оно представляло собой наложение ствола 85-мм зенитного орудия 52-К на лафет 122-мм гаубицы М-30 обр.1938 года. Само по себе появление У-10 было вполне логичным: М-30 изготовлялась на УЗТМ, здесь же развернули и производство зенитных орудий. В конце 1941 года была изготовлена пробная партия этих орудий, но дальше этой стадии выпуск У-10 не продвинулся. Несмотря на такой финал, У-10 могла стать вполне неплохой орудийной системой. Эта пушка гораздо больше подходила в качестве орудия для проектируемой САУ, чем зенитная У-20. Свердловское орудие было более компактным, а значит, требовало меньшей по размеру башни.</w:t>
      </w:r>
    </w:p>
    <w:p w14:paraId="1E1DA650" w14:textId="77777777" w:rsidR="003E12B0" w:rsidRPr="008127F8" w:rsidRDefault="003E12B0"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Вместо штатной башни Т-34 на новую САУ ставилась новая, сохранявшая при этом погон диаметром 1420 мм. Башню, которую в техническом описании называли не иначе как платформой, сделали трёхместной. При этом она была открыта сверху и частично сзади. Общая масса башни У-20 должна была составить 3800 кг. Лобовой лист, выполненный гнутым, должен был иметь толщину 45 мм, борта – 20 мм, а корма – 12 мм. Установленное в башне орудие У-10, лишённое дульного тормоза, имело в ней углы вертикальной наводки от −5 до +27 градусов.</w:t>
      </w:r>
    </w:p>
    <w:p w14:paraId="7282062E" w14:textId="77777777" w:rsidR="003E12B0" w:rsidRPr="008127F8" w:rsidRDefault="003E12B0"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Ввиду больших габаритов орудия в корме башни был сделан проём, в который ствол уходил во время отката. В связи с этим работа заряжающего на этой машине была бы не самым простым занятием. Необходимо было достать снаряд, пробраться в кормовую нишу и уже оттуда зарядить орудие. Укладка первой очереди крепилась за лобовым листом башни, что позволяло держать относительно высокий темп стрельбы. Основная же часть боекомплекта, составлявшего 56 выстрелов, находилась в корпусе, и туда заряжающему было добраться гораздо сложнее. Правда, в этом деле ему должен был помочь второй заряжающий, он же подающий.</w:t>
      </w:r>
    </w:p>
    <w:p w14:paraId="0133F89E" w14:textId="77777777" w:rsidR="003E12B0" w:rsidRPr="008127F8" w:rsidRDefault="003E12B0"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Второй вариант истребителя танков, получивший индекс У-20-II, разрабатывался в расчёте на максимальное использование уже находящихся в производстве узлов и образцов вооружения. При создании этой САУ было принято во внимание требование максимально сократить длину выступающего вперёд ствола. В итоге получилась весьма причудливая конструкция. Зенитную пушку 52-К создатели У-20-II поставили внутрь практически без изменений, лишь убрав дульный тормоз. В результате длина кормовой ниши составила около двух метров.</w:t>
      </w:r>
    </w:p>
    <w:p w14:paraId="41D57A13" w14:textId="77777777" w:rsidR="003E12B0" w:rsidRPr="008127F8" w:rsidRDefault="003E12B0" w:rsidP="001E0A84">
      <w:pPr>
        <w:pStyle w:val="af"/>
        <w:shd w:val="clear" w:color="auto" w:fill="FFFFFF"/>
        <w:spacing w:before="0" w:after="0"/>
        <w:jc w:val="both"/>
        <w:rPr>
          <w:color w:val="000000" w:themeColor="text1"/>
          <w:sz w:val="16"/>
          <w:szCs w:val="16"/>
        </w:rPr>
      </w:pPr>
      <w:r w:rsidRPr="008127F8">
        <w:rPr>
          <w:color w:val="000000" w:themeColor="text1"/>
          <w:sz w:val="16"/>
          <w:szCs w:val="16"/>
        </w:rPr>
        <w:t>Чтобы скомпенсировать массу такого «затылка», толщину лобового листа башни увеличили до 75 мм, а бортов – до 40 мм. В этой самоходной установке подающий был уже жизненно необходим, поскольку в одиночку заряжать такую пушку мог бы разве что эквилибрист. Для упрощения заряжания укладка первой очереди, как и в первом варианте, находилась внутри башни (15615).</w:t>
      </w:r>
    </w:p>
    <w:p w14:paraId="35B8F8FB" w14:textId="77777777" w:rsidR="003E12B0" w:rsidRPr="008127F8" w:rsidRDefault="003E12B0" w:rsidP="001E0A84">
      <w:pPr>
        <w:pStyle w:val="af"/>
        <w:shd w:val="clear" w:color="auto" w:fill="FFFFFF"/>
        <w:spacing w:before="0" w:after="0"/>
        <w:jc w:val="both"/>
        <w:rPr>
          <w:color w:val="000000" w:themeColor="text1"/>
          <w:sz w:val="16"/>
          <w:szCs w:val="16"/>
        </w:rPr>
      </w:pPr>
    </w:p>
    <w:p w14:paraId="14347E77"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января 1942 года проектная документация на самоходные установки Ижорского завода в Свенрдловске была отправлена в Артиллерийский комитет Главного артиллерийского управления Красной Армии (ГАУ КА). Версия 85-мм САУ на базе Т-34 с максимальной переделкой орудия получила обозначение У-20, а вариант с минимальным изменением зенитной пушки – У-20-II. К моменту отправки проектов в Артком ГАУ КА проекты претерпели некоторые изменения, внесенные по итогам их рассмотрения комиссией в начале января 1942 года.</w:t>
      </w:r>
    </w:p>
    <w:p w14:paraId="3CE4676F"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Первый вариант, который был приоритетным с точки зрения УЗТМ, впитал в себя опыт свердловских конструкторов, накопленный за первый год войны. Вместо зенитной пушки на У-20 на него решили поставить У-10, дивизионное орудие, разработанное на УЗТМ в октябре 1941 года. Созданное в инициативном порядке, оно представляло собой наложение ствола 85-мм зенитного орудия 52-К на лафет 122-мм гаубицы М-30 обр.1938 года. Само по себе появление У-10 было вполне логичным: М-30 изготовлялась на УЗТМ, здесь же развернули и производство зенитных орудий. В конце 1941 года была изготовлена пробная партия этих орудий, но дальше этой стадии выпуск У-10 не продвинулся. Несмотря на такой финал, У-10 могла стать вполне неплохой орудийной системой. Эта пушка гораздо больше подходила в качестве орудия для проектируемой САУ, чем зенитная У-20. Свердловское орудие было более компактным, а значит, требовало меньшей по размеру башни.</w:t>
      </w:r>
    </w:p>
    <w:p w14:paraId="2160DCC0"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Вместо штатной башни Т-34 на новую САУ ставилась новая, сохранявшая при этом погон диаметром 1420 мм. Башню, которую в техническом описании называли не иначе как платформой, сделали трёхместной. При этом она была открыта сверху и частично сзади. Общая масса башни У-20 должна была составить 3800 кг. Лобовой лист, выполненный гнутым, должен был иметь толщину 45 мм, борта – 20 мм, а корма – 12 мм. Установленное в башне орудие У-10, лишённое дульного тормоза, имело в ней углы вертикальной наводки от −5 до +27 градусов.</w:t>
      </w:r>
    </w:p>
    <w:p w14:paraId="1C0179E9"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Ввиду больших габаритов орудия в корме башни был сделан проём, в который ствол уходил во время отката. В связи с этим работа заряжающего на этой машине была бы не самым простым занятием. Необходимо было достать снаряд, пробраться в кормовую нишу и уже оттуда зарядить орудие. Укладка первой очереди крепилась за лобовым листом башни, что позволяло держать относительно высокий темп стрельбы. Основная же часть боекомплекта, составлявшего 56 выстрелов, находилась в корпусе, и туда заряжающему было добраться гораздо сложнее. Правда, в этом деле ему должен был помочь второй заряжающий, он же подающий.</w:t>
      </w:r>
    </w:p>
    <w:p w14:paraId="7FAE900B"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Второй вариант истребителя танков, получивший индекс У-20-II, разрабатывался в расчёте на максимальное использование уже находящихся в производстве узлов и образцов вооружения. При создании этой САУ было принято во внимание требование максимально сократить длину выступающего вперёд ствола. В итоге получилась весьма причудливая конструкция. Зенитную пушку 52-К создатели У-20-II поставили внутрь практически без изменений, лишь убрав дульный тормоз. В результате длина кормовой ниши составила около двух метров.</w:t>
      </w:r>
    </w:p>
    <w:p w14:paraId="66D9033C"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Чтобы скомпенсировать массу такого «затылка», толщину лобового листа башни увеличили до 75 мм, а бортов – до 40 мм. В этой самоходной установке подающий был уже жизненно необходим, поскольку в одиночку заряжать такую пушку мог бы разве что эквилибрист. Для упрощения заряжания укладка первой очереди, как и в первом варианте, находилась внутри башни (17641).</w:t>
      </w:r>
    </w:p>
    <w:p w14:paraId="2E5DFDC6" w14:textId="77777777" w:rsidR="004F754C" w:rsidRPr="008127F8" w:rsidRDefault="004F754C" w:rsidP="001E0A84">
      <w:pPr>
        <w:spacing w:after="0" w:line="240" w:lineRule="auto"/>
        <w:jc w:val="both"/>
        <w:rPr>
          <w:rFonts w:ascii="Times New Roman" w:hAnsi="Times New Roman"/>
          <w:color w:val="000000" w:themeColor="text1"/>
          <w:sz w:val="16"/>
          <w:szCs w:val="16"/>
        </w:rPr>
      </w:pPr>
    </w:p>
    <w:p w14:paraId="2CABA461"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14 января 1942 года финальный вариант проектов семейства У-20 был готов. Как и ранее, приоритетным оставалась установка на шасси Т-34 качающейся части орудия У-10. По итогам доработки угол возвышения увеличился до 27 градусов, то есть почти соответствовал ТТТ. Орудие размещалось в башне, открытой сверху и отчасти сзади, толщину ее лобовой части довели до 45 мм, борта имели толщину 20 мм. Как и требовало уточненное задание, боекомплект в башне составлял 20 патронов, плюс еще 56 в корпусе. С левой стороны рубки размещался наводчик, у которого в распоряжении имелся штатный панорамный прицел ПГ-1. Командир и заряжающий размещались справа, причем даже в этой версии заряжающий являлся самым несчастным человеком в экипаже. Даже более компактная установка У-10 всё равно стояла так, что при стрельбе казенник уезжал за пределы башни. Для этого в корме имелся специальный вырез. В такой ситуации заряжащему приходилось работать вприсядку, причем его голова была хорошей мишенью. Чтобы заряжающий не скучал, в корме сделали установку пулемета ДТ.</w:t>
      </w:r>
    </w:p>
    <w:p w14:paraId="4FCDF953"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lastRenderedPageBreak/>
        <w:t xml:space="preserve">Неудобства </w:t>
      </w:r>
      <w:proofErr w:type="gramStart"/>
      <w:r w:rsidRPr="008127F8">
        <w:rPr>
          <w:color w:val="000000" w:themeColor="text1"/>
          <w:sz w:val="16"/>
          <w:szCs w:val="16"/>
        </w:rPr>
        <w:t>работы</w:t>
      </w:r>
      <w:proofErr w:type="gramEnd"/>
      <w:r w:rsidRPr="008127F8">
        <w:rPr>
          <w:color w:val="000000" w:themeColor="text1"/>
          <w:sz w:val="16"/>
          <w:szCs w:val="16"/>
        </w:rPr>
        <w:t xml:space="preserve"> заряжающего в боевом отделении У-20, впрочем, были ничем по сравнению с тем, что представлял собой второй вариант машины - У-20-II. Тот самый, что максимально отражал тактико-технические требования ГАУ КА. У этого варианта имелись несомненные плюсы. Во-первых, вылет ствола за габариты машины составлял всего 100 мм (у У-20 он составлял 780 мм). Во-вторых, толщина лобового листа рубки составила 70 мм. Вот только в техническом проекте дипломатично умолчали, что увеличенная толщина лобового листа являлась вынужденной мерой, фактически получился противовес. В-третьих, имелся телескопический прицел и возможность установки спаренного пулемета ДТ. Еще одним явным преимуществом являлось то, что башня собиралась из плоских листов, то есть по технологичности У-20-II превосходила первый вариант. Плюсами У-20-II оказалась и небольшая высота, составлявшая 2475 мм (У У-20 она составляла 2790 мм). Наконец, максимально использовалось серийное зенитное орудие 52-К. Его производство уже организовали на заводе №8, так что с точки зрения выпуска У-20-II выглядела более выигрышно. Всё это красиво, пока не взглянешь не то, что же получилось. Желание ГАУ КА воткнуть неизменную конструкцию зенитки 52-К привело к тому, что от оси вращения башни до кончика кормовой ниши было 2400 мм. А всё потому, что в этой нише, нет, нишище, помещалось орудие. Аналогично У-20, в кормовом листе ниши имелся вырез, куда улетал казенник при стрельбе. Так вот, улетал он так, что больше 15 градусов угол возвышения было сделать попросту невозможно. А еще эта орудийная установка являлась ночным кошмаром заряжающего. Звали его, судя п всему, Юрий Долгорукий. Видимо, его страданий конструкторскому коллективу показалось мало. Поэтому сверху казенную часть орудия частично закрыли листами брони.</w:t>
      </w:r>
    </w:p>
    <w:p w14:paraId="2BE2C80F"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Эскизные проекты У-20 и У-20-II завод, к тому моменту снова ставший УЗТМ, направил сразу в две инстанции - ГАБТУ КА и ГАУ КА (20877).</w:t>
      </w:r>
    </w:p>
    <w:p w14:paraId="3621B84C"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p>
    <w:p w14:paraId="66DD5AC3"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14 января 1942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w:t>
      </w:r>
    </w:p>
    <w:p w14:paraId="54EFCFC4"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0F0285BF" w14:textId="77777777" w:rsidR="008D722B" w:rsidRPr="008127F8" w:rsidRDefault="008D722B" w:rsidP="001E0A84">
      <w:pPr>
        <w:pStyle w:val="af"/>
        <w:spacing w:before="0" w:after="0"/>
        <w:jc w:val="both"/>
        <w:rPr>
          <w:color w:val="000000" w:themeColor="text1"/>
          <w:sz w:val="16"/>
          <w:szCs w:val="16"/>
        </w:rPr>
      </w:pPr>
    </w:p>
    <w:p w14:paraId="6ED1A74E" w14:textId="77777777" w:rsidR="004F754C" w:rsidRPr="008127F8" w:rsidRDefault="004F75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января 1942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7C0C6101" w14:textId="77777777" w:rsidR="004F754C" w:rsidRPr="008127F8" w:rsidRDefault="004F754C" w:rsidP="001E0A84">
      <w:pPr>
        <w:spacing w:after="0" w:line="240" w:lineRule="auto"/>
        <w:jc w:val="both"/>
        <w:rPr>
          <w:rFonts w:ascii="Times New Roman" w:hAnsi="Times New Roman"/>
          <w:color w:val="000000" w:themeColor="text1"/>
          <w:sz w:val="16"/>
          <w:szCs w:val="16"/>
        </w:rPr>
      </w:pPr>
    </w:p>
    <w:p w14:paraId="01F2655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г. были подготовлены СООБРАЖЕНИЯ ГАБТУ В НКВТ ПО ВОПРОСУ ПОСТАВКИ АМЕРИКАНСКИХ ТАНКОВ И АВТОМАШИН</w:t>
      </w:r>
    </w:p>
    <w:p w14:paraId="4B27805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Направляю Вам перечень вопросов, касающихся поставки американских танков и автомашин, подписанный заместителем народного комиссара обороны СССР генерал-лейтенантом танковых войск т. Федоренко, для передачи установленным порядком полковнику Файмонвилл.</w:t>
      </w:r>
    </w:p>
    <w:p w14:paraId="457293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упомянутое на 2-х листах.</w:t>
      </w:r>
    </w:p>
    <w:p w14:paraId="57A37B3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начальника ГАБТУ КА генерал-майор технических войск Лебедев</w:t>
      </w:r>
    </w:p>
    <w:p w14:paraId="35B9E86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полковнику ФАЙМОНВИЛЛ</w:t>
      </w:r>
    </w:p>
    <w:p w14:paraId="3816B7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Вашей просьбе</w:t>
      </w:r>
      <w:proofErr w:type="gramEnd"/>
      <w:r w:rsidRPr="008127F8">
        <w:rPr>
          <w:rFonts w:ascii="Times New Roman" w:hAnsi="Times New Roman"/>
          <w:color w:val="000000" w:themeColor="text1"/>
          <w:sz w:val="16"/>
          <w:szCs w:val="16"/>
        </w:rPr>
        <w:t xml:space="preserve"> направляю Вам в письменном виде мои пожелания и вопросы, касаю</w:t>
      </w:r>
      <w:r w:rsidRPr="008127F8">
        <w:rPr>
          <w:rFonts w:ascii="Times New Roman" w:hAnsi="Times New Roman"/>
          <w:color w:val="000000" w:themeColor="text1"/>
          <w:sz w:val="16"/>
          <w:szCs w:val="16"/>
        </w:rPr>
        <w:softHyphen/>
        <w:t>щиеся поставки американских танков и автомашин:</w:t>
      </w:r>
    </w:p>
    <w:p w14:paraId="5A9606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танкам.</w:t>
      </w:r>
    </w:p>
    <w:p w14:paraId="487B53E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целях наилучшего обслуживания американских танков и для ремонта их при повреждениях в бою необходимо иметь:</w:t>
      </w:r>
    </w:p>
    <w:p w14:paraId="3E4E2EF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Походные зарядные агрегаты для зарядки аккумуляторов из расчета - один зарядный агрегат на каждые 10 танков.</w:t>
      </w:r>
    </w:p>
    <w:p w14:paraId="586C8B1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Походные автомастерские с набором инструмента и приспособлений для полевого ремонта танков из расчета:</w:t>
      </w:r>
    </w:p>
    <w:p w14:paraId="5721485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1 ротная мастерская на каждые 10 танков.</w:t>
      </w:r>
    </w:p>
    <w:p w14:paraId="32E076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1 батальонная мастерская на каждые 30 танков.</w:t>
      </w:r>
    </w:p>
    <w:p w14:paraId="683CC68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Большегрузные 15-ти тонные автомобили - тягачи для буксировки и перевозки легких танков из расчета - один автомобиль на каждые 10 танков.</w:t>
      </w:r>
    </w:p>
    <w:p w14:paraId="7E99763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Два мотора на каждые 10 танков.</w:t>
      </w:r>
    </w:p>
    <w:p w14:paraId="605842B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10 боекомплектов снарядов и патронов на каждый танк.</w:t>
      </w:r>
    </w:p>
    <w:p w14:paraId="3505402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Один комплект вооружения (пушки, пулеметы) на каждые 10 танков.</w:t>
      </w:r>
    </w:p>
    <w:p w14:paraId="2579E1F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прошу сообщить, могут ли моторы легкого и среднего танков работать на бензине с октановым числом 70, и если это возможно, то, как отрегулировать моторы на этот сорт бензина.</w:t>
      </w:r>
    </w:p>
    <w:p w14:paraId="4FDDBDF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обучения наших танкистов обслуживанию танков и их ремонту желательна командиров</w:t>
      </w:r>
      <w:r w:rsidRPr="008127F8">
        <w:rPr>
          <w:rFonts w:ascii="Times New Roman" w:hAnsi="Times New Roman"/>
          <w:color w:val="000000" w:themeColor="text1"/>
          <w:sz w:val="16"/>
          <w:szCs w:val="16"/>
        </w:rPr>
        <w:softHyphen/>
        <w:t>ка в СССР американских специалистов следующих категорий:</w:t>
      </w:r>
    </w:p>
    <w:p w14:paraId="08CE21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Инструкторов по вождению и техническому обслуживанию легких танков - 6 человек.</w:t>
      </w:r>
    </w:p>
    <w:p w14:paraId="66E5F5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Инструкторов по вождению и техническому обслуживанию средних танков — 6 человек.</w:t>
      </w:r>
    </w:p>
    <w:p w14:paraId="1F03FB8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Инструкторов по вооружению — 3 человека.</w:t>
      </w:r>
    </w:p>
    <w:p w14:paraId="76D47F9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Радистов — 3 человека.</w:t>
      </w:r>
    </w:p>
    <w:p w14:paraId="512ED9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Мотористов-ремонтников — 6 человек.</w:t>
      </w:r>
    </w:p>
    <w:p w14:paraId="0D5EF9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Специалистов по регулировке и ремонту агрегатов для средних танков — 3 человека.</w:t>
      </w:r>
    </w:p>
    <w:p w14:paraId="0FA70B8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Специалистов по регулировке и ремонту агрегатов для легких танков — 3 человека.</w:t>
      </w:r>
    </w:p>
    <w:p w14:paraId="1671513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Электриков-ремонтников — 3 человека.</w:t>
      </w:r>
    </w:p>
    <w:p w14:paraId="1445A6C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Переводчиков — 3 человека. Итого: 36 человек. По автомашинам.</w:t>
      </w:r>
    </w:p>
    <w:p w14:paraId="4F1B6360"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1. Желательно иметь поменьше различных типов и марок автомашин. Целесообразно ограни</w:t>
      </w:r>
      <w:r w:rsidRPr="008127F8">
        <w:rPr>
          <w:i w:val="0"/>
          <w:iCs w:val="0"/>
          <w:color w:val="000000" w:themeColor="text1"/>
          <w:spacing w:val="0"/>
          <w:position w:val="0"/>
          <w:sz w:val="16"/>
          <w:szCs w:val="16"/>
        </w:rPr>
        <w:softHyphen/>
        <w:t>читься 3-4 типами.</w:t>
      </w:r>
    </w:p>
    <w:p w14:paraId="68C0403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поставках соблюдать следующее соотношение в тоннаже:</w:t>
      </w:r>
    </w:p>
    <w:p w14:paraId="326CCF8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 тонных автомашин — 20%,</w:t>
      </w:r>
    </w:p>
    <w:p w14:paraId="1363564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2,5-3-х тонных - 70%,</w:t>
      </w:r>
    </w:p>
    <w:p w14:paraId="64F288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5-ти тонных и более тяжелых грузовых автомашин — 10%.</w:t>
      </w:r>
    </w:p>
    <w:p w14:paraId="4759A6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менее 80% всех закупаемых машин желательно получить со всеми ведущими колесами.</w:t>
      </w:r>
    </w:p>
    <w:p w14:paraId="555DDEC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каждые 50 автомашин необходимо иметь 5 запасных моторов.</w:t>
      </w:r>
    </w:p>
    <w:p w14:paraId="0D391E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каждую автомашину необходимо давать дополнительно еще 2 запасных колеса с резиной.</w:t>
      </w:r>
    </w:p>
    <w:p w14:paraId="6363B2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каждые 50 автомашин необходимо иметь один зарядный агрегат и одну ротную походную автомастерскую.</w:t>
      </w:r>
    </w:p>
    <w:p w14:paraId="02C69AC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182BA0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647. Л. 16-18. Копия (11211).</w:t>
      </w:r>
    </w:p>
    <w:p w14:paraId="5CB645E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57A554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на полигоне завода "Красный Октябрь", изготавливавшего броневые листы, представите</w:t>
      </w:r>
      <w:r w:rsidRPr="008127F8">
        <w:rPr>
          <w:rFonts w:ascii="Times New Roman" w:hAnsi="Times New Roman"/>
          <w:color w:val="000000" w:themeColor="text1"/>
          <w:sz w:val="16"/>
          <w:szCs w:val="16"/>
        </w:rPr>
        <w:softHyphen/>
        <w:t>лями завода № 264 были проведены успешные испытания двух вариан</w:t>
      </w:r>
      <w:r w:rsidRPr="008127F8">
        <w:rPr>
          <w:rFonts w:ascii="Times New Roman" w:hAnsi="Times New Roman"/>
          <w:color w:val="000000" w:themeColor="text1"/>
          <w:sz w:val="16"/>
          <w:szCs w:val="16"/>
        </w:rPr>
        <w:softHyphen/>
        <w:t>тов экранировки лобовой части корпуса танка. Вопрос о замене лобово</w:t>
      </w:r>
      <w:r w:rsidRPr="008127F8">
        <w:rPr>
          <w:rFonts w:ascii="Times New Roman" w:hAnsi="Times New Roman"/>
          <w:color w:val="000000" w:themeColor="text1"/>
          <w:sz w:val="16"/>
          <w:szCs w:val="16"/>
        </w:rPr>
        <w:softHyphen/>
        <w:t xml:space="preserve">го ласта корпуса толщиной 45 мм на лист толщиной 60 мм зависел от возможности проката броневых листов данной толщины на заводе "Красный Октябрь". Однако на данный момент времени, завод не мог катать броневые листы необходимой толщины. Начиная с 25 января 1942 г. завод № 264 перешел на выпуск корпусов и башен </w:t>
      </w:r>
      <w:proofErr w:type="gramStart"/>
      <w:r w:rsidRPr="008127F8">
        <w:rPr>
          <w:rFonts w:ascii="Times New Roman" w:hAnsi="Times New Roman"/>
          <w:color w:val="000000" w:themeColor="text1"/>
          <w:sz w:val="16"/>
          <w:szCs w:val="16"/>
        </w:rPr>
        <w:t>с .составной</w:t>
      </w:r>
      <w:proofErr w:type="gramEnd"/>
      <w:r w:rsidRPr="008127F8">
        <w:rPr>
          <w:rFonts w:ascii="Times New Roman" w:hAnsi="Times New Roman"/>
          <w:color w:val="000000" w:themeColor="text1"/>
          <w:sz w:val="16"/>
          <w:szCs w:val="16"/>
        </w:rPr>
        <w:t xml:space="preserve"> броней; предназначавшихся для сборки танков Т-34-76 на СТЗ (10703).</w:t>
      </w:r>
    </w:p>
    <w:p w14:paraId="7CB28BF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8B17B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года была подготовлена справка:</w:t>
      </w:r>
    </w:p>
    <w:p w14:paraId="7BDA8F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621 (№ 314) – Медногорск (9213)</w:t>
      </w:r>
    </w:p>
    <w:p w14:paraId="0AC0D4DC" w14:textId="77777777" w:rsidR="00D4651C" w:rsidRPr="008127F8" w:rsidRDefault="00D4651C" w:rsidP="001E0A84">
      <w:pPr>
        <w:pStyle w:val="Iauiue"/>
        <w:jc w:val="both"/>
        <w:rPr>
          <w:color w:val="000000" w:themeColor="text1"/>
          <w:sz w:val="16"/>
          <w:szCs w:val="16"/>
        </w:rPr>
      </w:pPr>
    </w:p>
    <w:p w14:paraId="22B2B2F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3C89A785" w14:textId="77777777" w:rsidR="00D4651C" w:rsidRPr="008127F8" w:rsidRDefault="00D4651C" w:rsidP="001E0A84">
      <w:pPr>
        <w:pStyle w:val="Iauiue"/>
        <w:jc w:val="both"/>
        <w:rPr>
          <w:iCs/>
          <w:color w:val="000000" w:themeColor="text1"/>
          <w:sz w:val="16"/>
          <w:szCs w:val="16"/>
        </w:rPr>
      </w:pPr>
    </w:p>
    <w:p w14:paraId="07EC6CB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1413625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14 января на ряде участков фронта продолжались активные боевые действия наших войск.</w:t>
      </w:r>
    </w:p>
    <w:p w14:paraId="46AFECA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Бойцы тов. Захаркина (Западный фронт), преследуя отступающего противника, захватили за один день 35 немецких автомашин, 46 станковых и ручных пулемётов, 24 автомата и много другого оружия. На другом участке фронта наши артиллеристы 12 января метким огнём уничтожили 3 вражеские </w:t>
      </w:r>
      <w:proofErr w:type="gramStart"/>
      <w:r w:rsidRPr="008127F8">
        <w:rPr>
          <w:rFonts w:ascii="Times New Roman" w:hAnsi="Times New Roman"/>
          <w:color w:val="000000" w:themeColor="text1"/>
          <w:sz w:val="16"/>
          <w:szCs w:val="16"/>
        </w:rPr>
        <w:t>дерево-земляные</w:t>
      </w:r>
      <w:proofErr w:type="gramEnd"/>
      <w:r w:rsidRPr="008127F8">
        <w:rPr>
          <w:rFonts w:ascii="Times New Roman" w:hAnsi="Times New Roman"/>
          <w:color w:val="000000" w:themeColor="text1"/>
          <w:sz w:val="16"/>
          <w:szCs w:val="16"/>
        </w:rPr>
        <w:t xml:space="preserve"> огневые точки, 2 пулемётные точки, наблюдательный пункт и взорвали крупный склад боеприпасов.</w:t>
      </w:r>
    </w:p>
    <w:p w14:paraId="6617C9F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Наша часть, действующая на одном из участков Ленинградского фронта, за день боевых действий разрушила 7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точек противника, захватила 2 орудия, 3 пулемёта, гранатомёт и истребила свыше 400 немецких солдат и офицеров.</w:t>
      </w:r>
    </w:p>
    <w:p w14:paraId="39AB109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Красноармеец Ларин встретился с группой немецких солдат. Не растерявшись, тов. Ларин открыл огонь по врагу и убил четырёх гитлеровцев. Остальные обратились в бегство.</w:t>
      </w:r>
    </w:p>
    <w:p w14:paraId="72A9771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Капельмейстер Кузанков, узнав от местных жителей, что по лесной дороге движется немецкая повозка с награбленными у населения вещами, притаился у дороги. Первым же выстрелом из нагана он убил сидевшего на повозке немецкого офицера. Тов. Кузанков захватил ручной пулемёт, автомат, шесть лошадей и подводу с вещами.</w:t>
      </w:r>
    </w:p>
    <w:p w14:paraId="6A4A39DE"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под командованием тов. X., действующий в одном из районов Орловской области, оккупированных немцами, за четыре дня истребил 70 немецких оккупантов, захватил и доставил в расположение частей Красной Армии исправное немецкое орудие, две автомашины с гранатами и снарядами, 65 винтовок, станковый пулемёт, 7.000 патронов и другое военное снаряжение.</w:t>
      </w:r>
    </w:p>
    <w:p w14:paraId="3C9AE06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Немецкое командование серьёзно обеспокоено растущими в тылу и в армии пораженческими и упадочническими настроениями. В приказе по 263 немецкой дивизии от 18 декабря 1941 года говорится: «...Каждая часть должна быть поставлена в известность, чтобы в письмах солдат на родину ничего не упоминалось о затруднениях в снабжении, о неблагоприятном влиянии русской зимы на настроения и здоровье солдат. Письма с родины, в которых сообщается о жертвах и лишениях населения, о всякого рода личных заботах, вызванных затянувшейся войной, должны уничтожаться. Родственникам солдат должно быть указано, что всякая неосторожность в переписке опасна и может привести к печальным последствиям». Приказ далее предупреждает, что дивизии предстоят тяжёлые испытания, и предлагает «солдатам, которых постигнет несчастье и которые попадут в плен к противнику, прикидываться дурачками и не давать никаких показаний об уменьшении силы сопротивления германской армии и об ослаблении её воли к победе».</w:t>
      </w:r>
    </w:p>
    <w:p w14:paraId="1C9E9DD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сообщению пленных немецких солдат, командование 226 полка 79 немецкой пехотной дивизии расстреляло в селе Игуменка, Белгородского района, 93 немецких солдата за коллективный отказ выполнить приказ своих офицеров.</w:t>
      </w:r>
    </w:p>
    <w:p w14:paraId="0C1A083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ныне освобождённом от немцев селе Мармыжи, Советского района, Курской области, гитлеровские бандиты сожгли 300 домов и построек. Весь скот, куры, гуси, хлеб и личное имущество крестьян увезены немцами. Отступая из села, гитлеровцы сожгли заживо 70-летнего крестьянина Болоцкого Бориса Макеевича и 62-летнего Кудрявцева Герасима Дмитриевича.» (15009).</w:t>
      </w:r>
    </w:p>
    <w:p w14:paraId="5DB9E7EA"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4002F63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4CAC7FA2"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января наши войска продолжали продвигаться на запад. В результате упорных боёв наши части захватили многочисленные трофеи, заняли ряд населённых пунктов и в числе их город Медынь.</w:t>
      </w:r>
    </w:p>
    <w:p w14:paraId="10A95A0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января уничтожено 22 немецких самолёта. Наши потери — 8 самолётов.</w:t>
      </w:r>
    </w:p>
    <w:p w14:paraId="4BEF486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3а 14 января части нашей авиации уничтожили более 130 автомашин с пехотой и грузами, 125 повозок с боеприпасами, 5 орудий с прислугой, бронемашину, взорвали железнодорожный мост, 13 вагонов и 3 паровоза, подожгли железнодорожный состав, рассеяли и частью истребили до батальона пехоты противника.</w:t>
      </w:r>
    </w:p>
    <w:p w14:paraId="35BAA34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тов. Шевцова (Западный фронт) за два дня боёв с противником выбила немцев из 5 населённых пунктов, захватила вражеский танк, бронемашину, 2 орудия, 3 пулемёта, миномёт и истребила 500 немецких солдат и офицеров. На другом участке фронта часть тов. Селезнёва, развивая наступление, заняла несколько населённых пунктов и захватили 10 автомашин, несколько пулемётов, 100 мин, 11.000 снарядов и много патронов.</w:t>
      </w:r>
    </w:p>
    <w:p w14:paraId="5416327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наших взвода (Ленинградский фронт) внезапно атаковали усиленную роту противника. В завязавшемся рукопашном бою наши бойцы истребили 67, ранили 23 вражеских солдата и офицера и захватили несколько пленных.</w:t>
      </w:r>
    </w:p>
    <w:p w14:paraId="729B7D2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Красноармейцы-разведчики Бутыгин и Баташев первыми ворвались в деревню Мельшино, взорвали ДЗОТ и уничтожили 8 вражеских солдат.</w:t>
      </w:r>
    </w:p>
    <w:p w14:paraId="521D7DF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Командующий 6 германской армией генерал-фельдмаршал фон Рейхенау вынужден признать, что партизаны наносят гитлеровцам большой урон. В захваченном нашими войсками приказе «О борьбе с партизанами» фон Рейхенау сообщает, что: «Полковник Зинц и два инженера из его штаба убиты партизанами. Другая группа партизан убила 5 офицеров. Члены партизанской организации «Смерть оккупантам» совершили несколько налётов на наши транспорты».</w:t>
      </w:r>
    </w:p>
    <w:p w14:paraId="5077228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обер-ефрейтора Русера найдено неотправленное письмо семье в Вайль. Русер писал: «В связи с событиями последних недель я не имел возможности писать вам. Хотя я и потерял все свои пожитки, я всё же благодарю бога за то, что у меня ещё остались мои конечности. Перед тем, что я пережил в декабре, бледнеет всё бывшее до сих пор. Это было самое несчастное время моей жизни... Мы мерзнем и ведем жалкое существование и к тому же без отдыха в боях».</w:t>
      </w:r>
    </w:p>
    <w:p w14:paraId="0575A50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Снигири обнаружен труп замученного немцами красноармейца Д. И.Хлыстова. Фашисты выжгли на груди красноармейца звезду, выжгли ему глаз, прокололи раскалённым железом лоб и вывернули руки.</w:t>
      </w:r>
    </w:p>
    <w:p w14:paraId="0D482E7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Береговая, Белёвского района, Тульской области, после отступления гитлеровских захватчиков обнаружено 11 трупов расстрелянных немцами жителей деревни. Среди убитых: Маркина Н.Т., Милишин И.Н., Шутов А.Д., Шутов Н.А., Пузанов И.В., Ларькина М.И. и другие. Много крестьян ранено осколками гранат, которые немцы бросали в подвалы, где прятались жители. В этой же деревне оккупанты заживо сожгли 30 раненых красноармейцев. О зверствах немецких мерзавцев составлен акт, подписанный крестьянами: Першиным И.Е., Ларькиным А.Я., Ларькиной А.И. и военнослужащими — старшим политруком Сясько, политруком Зайцевым и красноармейцем Фидронским.</w:t>
      </w:r>
    </w:p>
    <w:p w14:paraId="252C7FC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городе Матесалька (Венгрия) батальон венгерских солдат отказался ехать на советско-германский фронт. Солдаты забаррикадировали входы в казарму и не допустили в помещение командира полка и офицеров. Для подавления мятежа были вызваны крупные воинские части.</w:t>
      </w:r>
    </w:p>
    <w:p w14:paraId="372EAD4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Продавшие свою страну немцам финские правители не могут обеспечить население и армию продовольствием. В Финляндии царит жестокий голод. Отдав гитлеровцам масло и мясо, Маннергеймы и Рюти угощают несчастный финский народ лживыми сообщениями о мнимых победах белофинских войск. Так, в сводке от 13 января финское командование объявило, что на «Свирском фронте финские войска после продолжительного боя захватили позицию, которую неприятель упорно защищал, причём в итоге было взято в плен 2.640 советских солдат». Известно, что на Свирском участке фронта за последнее время активных боевых действий не происходило. Поэтому указанное выше сообщение финского командования является выдумкой от начала до конца. Русская пословица говорит: «Соловья баснями не кормят». Тем более невозможно прокормить финский народ таким беспардонным враньём.</w:t>
      </w:r>
    </w:p>
    <w:p w14:paraId="14B9D77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Карагандинской области за время Отечественной войны на производство пришло свыше 3.000 женщин и девушек. Из них 217 изучают трактор и комбайн, 130 — слесарное дело, 30 девушек готовятся стать машинистами врубовых машин, 42 — запальщиками. Сотни женщин уже овладели ведущими профессиями и отлично работают. На Коунрадском руднике Мария Кудля, овладев специальностью токаря, выполняет от 5 до 9 норм в смену.».</w:t>
      </w:r>
    </w:p>
    <w:p w14:paraId="388C51F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солдаты все чаще и чаще сдаются в плен советским войскам.</w:t>
      </w:r>
    </w:p>
    <w:p w14:paraId="7A323B9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последнего времени в ряде случаев немецкие солдаты, несмотря на предложения советского командования, отказывались сдаваться в плен. Как рассказывают сами пленные немцы, отказ пойти в плен объясняется исключительно тем, что немецкие офицеры расстреливают в спину солдат, сдающихся в плен советским войскам. Однако особенно за последнее время, несмотря на угрозу быть расстрелянными своими же офицерами, участились случаи сдачи в плен немецких солдат. Обеспокоенные этим гитлеровцы поспешили прибегнуть к очередной провокационной выходке. Германское информационное бюро 12 января передало сообщение о том, что якобы «большевики не берут немцев в плен, а беспощадно уничтожают их». Цель этой наглой клеветы очевидна. Гитлеровские обманщики подобными баснями пытаются запугать немецких солдат, которые видят единственный выход из бессмысленной войны в сдаче в плен советским войскам.».</w:t>
      </w:r>
    </w:p>
    <w:p w14:paraId="7425D4A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Чудовищный приказ гитлеровского генерала об уничтожении всех исторических и художественных ценностей и об истреблении мужского населения в захваченных немцами советских районах.</w:t>
      </w:r>
    </w:p>
    <w:p w14:paraId="6A5C8DD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в городе Калинине после очищения его от немецких оккупантов обнаружили архив гестапо (немецкой охранки), который немцы не успели увезти. Среди многочисленных документов этого архива найден приказ командующего 6-й германской армией генерал-фельдмаршала фон Рейхенау от 10-го октября 1941 года «О поведении войск на Востоке». Как явствует из препроводительного к этому приказу документа, разосланного из канцелярии «Уполномоченного начальника охранной полиции и СД при начальнике тылового военного округа, 102</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приказ генерал-фельдмаршала фон Рейхенау одобрен Гитлером.</w:t>
      </w:r>
    </w:p>
    <w:p w14:paraId="7BBA7CB2"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генерала Рейхенау, призывающий солдат немецкой армии к уничтожению всех культурных и исторических ценностей, принадлежащих советскому народу, к истреблению советского населения в занятых немцами районах настолько чудовищен и циничен, что содержание его должны знать все советские люди и весь цивилизованный мир. Приводим приказ.</w:t>
      </w:r>
    </w:p>
    <w:p w14:paraId="3C4EA1B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поведении войск на Востоке.</w:t>
      </w:r>
    </w:p>
    <w:p w14:paraId="2F9EB66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отношения войск к большевистской системе имеются ещё во многих случаях неясные представления.</w:t>
      </w:r>
    </w:p>
    <w:p w14:paraId="76C988B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целью похода против большевистской системы является полный разгром государственной мощи и искоренение азиатского влияния на европейскую культуру.</w:t>
      </w:r>
    </w:p>
    <w:p w14:paraId="2C8E4D1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перед войсками возникают задачи, выходящие за рамки обычных обязанностей воина.</w:t>
      </w:r>
    </w:p>
    <w:p w14:paraId="6A2F396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борьбе с врагом за линией фронта ещё недостаточно серьёзно относятся. Всё ещё продолжают брать в плен коварных, жестоких партизан и выродков — женщин; к одетым в полувоенную или гражданскую форму отдельным стрелкам из засад и бродягам относятся всё ещё как к настоящим солдатам и направляют их в лагеря для военнопленных. Пленные русские офицеры рассказывают с язвительной усмешкой, что агенты Советов свободно ходят по улицам и зачастую питаются из походных немецких кухонь. Подобное отношение войск объясняется только полным легкомыслием. Руководству сейчас своевременно разъяснить смысл настоящей борьбы.</w:t>
      </w:r>
    </w:p>
    <w:p w14:paraId="30B9EF0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Снабжение питанием местных жителей и военнопленных является ненужной гуманностью.</w:t>
      </w:r>
    </w:p>
    <w:p w14:paraId="681475E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Всё, в чём отечество отказывает себе и руководство с большими трудностями посылает на фронт, солдат не должен раздавать врагу, даже и в том случае, если это является трофеями. Они являются необходимой частью нашего снабжения. Войска заинтересованы в ликвидации пожаров только тех зданий, которые должны быть использованы для стоянок воинских частей. Всё остальное, являющееся символом бывшего господства большевиков, в том числе и здания, должно быть уничтожено. Никакие исторические или художественные ценности на Востоке не имеют значения.</w:t>
      </w:r>
    </w:p>
    <w:p w14:paraId="73FBF0E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сохранения важного в военно-хозяйственном отношении сырья и промышленных объектов руководство даёт специальные указания.</w:t>
      </w:r>
    </w:p>
    <w:p w14:paraId="235529B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полное разоружение населения в тылу сражающейся части, принимая во внимание протяжённость и уязвимость путей подвоза. Где возможно, прятать и охранять трофейное оружие и боеприпасы. Если же условия боя не позволяют этого, то оружие и боеприпасы выводить из строя. В случае применения оружия в тылу армии со стороны отдельных партизан, применять в отношении их решительные и жестокие меры. Эти мероприятия распространяются также и на мужское население с целью предотвращения возможных с его стороны покушений. Пассивность многочисленных антисоветских элементов, занимающих выжидательную позицию, должна быть ликвидирована путём разъяснения, и они должны быть привлечены к активному сотрудничеству в борьбе против большевизма.</w:t>
      </w:r>
    </w:p>
    <w:p w14:paraId="152EA8C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они не идут на это, то пусть не жалуются на то, что с ними обращаются, как с приверженцами советского строя. Страх перед германскими мероприятиями должен быть сильнее угрозы со стороны бродячих большевистских остатков.</w:t>
      </w:r>
    </w:p>
    <w:p w14:paraId="3A0CA1F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вдаваясь в политические соображения на будущее, солдат должен выполнить двоякую задачу:</w:t>
      </w:r>
    </w:p>
    <w:p w14:paraId="11AE873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полного уничтожения большевистской ереси, советского государства и его вооружённой силы;</w:t>
      </w:r>
    </w:p>
    <w:p w14:paraId="6F8697A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беспощадного искоренения вражеской хитрости и жестокости и тем самым обеспечения безопасности жизни вооружённых сил Германии в России.</w:t>
      </w:r>
    </w:p>
    <w:p w14:paraId="1973FA5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таким путём мы можем выполнить свою историческую миссию по освобождению навсегда германского народа от азиатско-еврейской опасности.</w:t>
      </w:r>
    </w:p>
    <w:p w14:paraId="1157C96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Итак, Гитлер и его приспешники дали немецким солдатам приказ истреблять на занятой ими территории мирное население, лишать население хлеба и воды, уничтожать памятники истории, культуры и искусства, т. е. иными словами дали приказ об уничтожении русской нации, украинцев, белоруссов и всех других народов, населяющих Советский Союз.</w:t>
      </w:r>
    </w:p>
    <w:p w14:paraId="6FD545A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этого людоедского приказа Гитлера банда варваров, насильников и убийц истребляет наших бойцов, попавших в плен, убивает десятки тысяч мирного населения — мужчин, женщин, детей, стариков, насилует девушек, сжигает города и деревни, школы, клубы, библиотеки, взрывает такие памятники истории и культуры, как монастырь «Новый Иерусалим», старается стереть с лица земли память о гениях русского народа Л.Н.Толстом, Чайковском, о гении украинского народа Тарасе Шевченко.</w:t>
      </w:r>
    </w:p>
    <w:p w14:paraId="63DF344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захватчики захотели иметь истребительную войну — они её получили. Гитлеровские бандиты хотели запугать советский народ — в ответ получили ненависть, презрение, неукротимую волю разгромить армию немецких захватчиков. Неслыханные преступления, какие творят немецкие захватчики на нашей земле, лишь приближают их окончательную гибель.».</w:t>
      </w:r>
    </w:p>
    <w:p w14:paraId="04E62CD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0D52F6C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Западного фронта за период с 6 по 15 января 1942 года.</w:t>
      </w:r>
    </w:p>
    <w:p w14:paraId="42D2968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с немецкими оккупантами войсками Западного фронта за период с 6 по 15 января 1942 г. ЗАХВАЧЕНЫ следующие трофеи: орудий—331, танков—50, миномётов—155, пулемётов—747, противотанковых ружей — 59, автоматов — 199, винтовок — 4.644, автомашин — 1.446, мотоциклов— 175, велосипедов—1.039, автоцистерн — 21, тракторов-тягачей — 20, повозок с грузом — 558, самолётов — 1 и 7 железнодорожных платформ с разобранными самолётами, радиостанций — 32, сёдел — 166, полевой хлебозавод — 1, кухонь — 29, паровозов — 38, вагонов крытых— 136, железнодорожных платформ — 95, железнодорожных цистерн — 2, снарядов — 59.490 и отдельно 25 вагонов со снарядами, 40 повозок и отдельно 32 зарядных ящика со снарядами, ручных гранат — 5.098 и отдельно 22 ящика с гранатами, мин —18.745 и отдельно 48 ящиков с минами, авиабомб — 700, пороха — 10 ящиков, патронов — 1.882 тысячи.</w:t>
      </w:r>
    </w:p>
    <w:p w14:paraId="23E659A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захвачено эшелонов: с танками, автомашинами и мотоциклами— 1, с заводским и железнодорожным оборудованием—1, 10 вагонов с обмундированием.</w:t>
      </w:r>
    </w:p>
    <w:p w14:paraId="570AC2A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 6 по 15 января немцы потеряли убитыми свыше 14 тысяч солдат и офицеров, в числе их один генерал.» (15009).</w:t>
      </w:r>
    </w:p>
    <w:p w14:paraId="52DB1A3F"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3A8AD3F4" w14:textId="77777777" w:rsidR="00D4651C" w:rsidRPr="008127F8" w:rsidRDefault="00D4651C" w:rsidP="001E0A84">
      <w:pPr>
        <w:pStyle w:val="Iauiue"/>
        <w:jc w:val="both"/>
        <w:rPr>
          <w:bCs/>
          <w:color w:val="000000" w:themeColor="text1"/>
          <w:sz w:val="16"/>
          <w:szCs w:val="16"/>
        </w:rPr>
      </w:pPr>
      <w:r w:rsidRPr="008127F8">
        <w:rPr>
          <w:color w:val="000000" w:themeColor="text1"/>
          <w:sz w:val="16"/>
          <w:szCs w:val="16"/>
        </w:rPr>
        <w:t>14 января 1942 г. вышел ПРИКАЗ № 030 О ВКЛЮЧЕНИИ В СОСТАВ ДЕЙСТВУЮЩЕЙ АРМИИ ОСОБЫХ АВИАГРУПП ГВФ</w:t>
      </w:r>
    </w:p>
    <w:p w14:paraId="7AF215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Установить, что образованные приказом НКО СССР № 0047 от 9 июля 1941 г. особые авиагруппы ГВФ, приданные фронтам армий, и авиагруппа особого назначения ГВФ (Московская) входят в состав действующей армии. На весь личный состав указанных авиагрупп распространяются положения и права военнослужащих, находящихся в частях действующей армии.</w:t>
      </w:r>
    </w:p>
    <w:p w14:paraId="34224705"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t>Заместитель Народного комиссара обороны СССР генерал-полковник ЖИГАРЕВ</w:t>
      </w:r>
      <w:r w:rsidRPr="008127F8">
        <w:rPr>
          <w:color w:val="000000" w:themeColor="text1"/>
          <w:sz w:val="16"/>
          <w:szCs w:val="16"/>
        </w:rPr>
        <w:t xml:space="preserve"> (9844).</w:t>
      </w:r>
    </w:p>
    <w:p w14:paraId="220B5A2B" w14:textId="77777777" w:rsidR="00D4651C" w:rsidRPr="008127F8" w:rsidRDefault="00D4651C" w:rsidP="001E0A84">
      <w:pPr>
        <w:pStyle w:val="Iauiue"/>
        <w:jc w:val="both"/>
        <w:rPr>
          <w:color w:val="000000" w:themeColor="text1"/>
          <w:sz w:val="16"/>
          <w:szCs w:val="16"/>
        </w:rPr>
      </w:pPr>
    </w:p>
    <w:p w14:paraId="288EE4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вышло Распоряжение ГКО № 1147 О мобилизации 250 лошадей в Свердловской, Челябинской, Карагандинской и Чкаловской обл. РГАНИР, Фонд ГКО, д. 19, лл. 89 (11012).</w:t>
      </w:r>
    </w:p>
    <w:p w14:paraId="0CECB41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FC5967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г. было ОБРАЩЕНИЕ ВОЕННОГО СОВЕТА МВО В НКО ПО ВОПРОСУ ПОСТАВКИ ЛОШАДЕЙ И АВТОМАШИН ДЛЯ ФОРМИРУЕМЫХ В ОКРУГЕ ДИВИЗИЙ И БРИГАД</w:t>
      </w:r>
    </w:p>
    <w:p w14:paraId="0A2B4C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стрелковых дивизий за № 117, 124, 134, 135 и 149 и пять отд. стрелковых бригад за № 104, 105, 107, 109 и 111 из числа дивизий и бригад, формируемых округом в порядке директивы № ОРГ/3211 от 28 ноября 1941 года, должны быть готовы к 15 января 1942 г. и к этому сроку полно</w:t>
      </w:r>
      <w:r w:rsidRPr="008127F8">
        <w:rPr>
          <w:rFonts w:ascii="Times New Roman" w:hAnsi="Times New Roman"/>
          <w:color w:val="000000" w:themeColor="text1"/>
          <w:sz w:val="16"/>
          <w:szCs w:val="16"/>
        </w:rPr>
        <w:softHyphen/>
        <w:t>стью укомплектовываются личным составом. Между тем эти дивизии и бригады до настоящего вре</w:t>
      </w:r>
      <w:r w:rsidRPr="008127F8">
        <w:rPr>
          <w:rFonts w:ascii="Times New Roman" w:hAnsi="Times New Roman"/>
          <w:color w:val="000000" w:themeColor="text1"/>
          <w:sz w:val="16"/>
          <w:szCs w:val="16"/>
        </w:rPr>
        <w:softHyphen/>
        <w:t>мени не обеспечены лошадьми и автотранспортом, что ставит их в угрожающее положение. Они не могут даже обеспечить свои хозяйственные нужды, как подвоз продовольствия, имущества и др.</w:t>
      </w:r>
    </w:p>
    <w:p w14:paraId="3A16EDB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счет своих ресурсов обеспечить эти дивизии и бригады лошадьми и автотранспортом округ не может, так как поставка лошадей запрещена, а </w:t>
      </w:r>
      <w:proofErr w:type="gramStart"/>
      <w:r w:rsidRPr="008127F8">
        <w:rPr>
          <w:rFonts w:ascii="Times New Roman" w:hAnsi="Times New Roman"/>
          <w:color w:val="000000" w:themeColor="text1"/>
          <w:sz w:val="16"/>
          <w:szCs w:val="16"/>
        </w:rPr>
        <w:t>все автомашины</w:t>
      </w:r>
      <w:proofErr w:type="gramEnd"/>
      <w:r w:rsidRPr="008127F8">
        <w:rPr>
          <w:rFonts w:ascii="Times New Roman" w:hAnsi="Times New Roman"/>
          <w:color w:val="000000" w:themeColor="text1"/>
          <w:sz w:val="16"/>
          <w:szCs w:val="16"/>
        </w:rPr>
        <w:t xml:space="preserve"> поставляемые из народного хо</w:t>
      </w:r>
      <w:r w:rsidRPr="008127F8">
        <w:rPr>
          <w:rFonts w:ascii="Times New Roman" w:hAnsi="Times New Roman"/>
          <w:color w:val="000000" w:themeColor="text1"/>
          <w:sz w:val="16"/>
          <w:szCs w:val="16"/>
        </w:rPr>
        <w:softHyphen/>
        <w:t>зяйства по Постановлениям Государственного комитета обороны № 618 и 1047 обращаются исклю</w:t>
      </w:r>
      <w:r w:rsidRPr="008127F8">
        <w:rPr>
          <w:rFonts w:ascii="Times New Roman" w:hAnsi="Times New Roman"/>
          <w:color w:val="000000" w:themeColor="text1"/>
          <w:sz w:val="16"/>
          <w:szCs w:val="16"/>
        </w:rPr>
        <w:softHyphen/>
        <w:t>чительно на укомплектование автотранспортных батальонов, формируемых округом. Больше того для этих же батальонов из частей округа изымается свыше 300 автомашин, что совершенно исклю</w:t>
      </w:r>
      <w:r w:rsidRPr="008127F8">
        <w:rPr>
          <w:rFonts w:ascii="Times New Roman" w:hAnsi="Times New Roman"/>
          <w:color w:val="000000" w:themeColor="text1"/>
          <w:sz w:val="16"/>
          <w:szCs w:val="16"/>
        </w:rPr>
        <w:softHyphen/>
        <w:t>чает какую-либо возможность обеспечения дивизий и бригад за счет ресурсов округа.</w:t>
      </w:r>
    </w:p>
    <w:p w14:paraId="1CAA26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w:t>
      </w:r>
    </w:p>
    <w:p w14:paraId="46A31F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Ускорить решение вопроса поставки из народного хозяйства лошадей по ходатайству Военно</w:t>
      </w:r>
      <w:r w:rsidRPr="008127F8">
        <w:rPr>
          <w:rFonts w:ascii="Times New Roman" w:hAnsi="Times New Roman"/>
          <w:color w:val="000000" w:themeColor="text1"/>
          <w:sz w:val="16"/>
          <w:szCs w:val="16"/>
        </w:rPr>
        <w:softHyphen/>
        <w:t>го совета округа от 12 декабря 1941 года за № 0250.</w:t>
      </w:r>
    </w:p>
    <w:p w14:paraId="7B0976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Ускорить отпуск для формируемых дивизий и бригад, хотя бы минимального количества авто</w:t>
      </w:r>
      <w:r w:rsidRPr="008127F8">
        <w:rPr>
          <w:rFonts w:ascii="Times New Roman" w:hAnsi="Times New Roman"/>
          <w:color w:val="000000" w:themeColor="text1"/>
          <w:sz w:val="16"/>
          <w:szCs w:val="16"/>
        </w:rPr>
        <w:softHyphen/>
        <w:t xml:space="preserve">машин, из числа </w:t>
      </w:r>
      <w:proofErr w:type="gramStart"/>
      <w:r w:rsidRPr="008127F8">
        <w:rPr>
          <w:rFonts w:ascii="Times New Roman" w:hAnsi="Times New Roman"/>
          <w:color w:val="000000" w:themeColor="text1"/>
          <w:sz w:val="16"/>
          <w:szCs w:val="16"/>
        </w:rPr>
        <w:t>машин</w:t>
      </w:r>
      <w:proofErr w:type="gramEnd"/>
      <w:r w:rsidRPr="008127F8">
        <w:rPr>
          <w:rFonts w:ascii="Times New Roman" w:hAnsi="Times New Roman"/>
          <w:color w:val="000000" w:themeColor="text1"/>
          <w:sz w:val="16"/>
          <w:szCs w:val="16"/>
        </w:rPr>
        <w:t xml:space="preserve"> положенных дивизиям и бригадам.</w:t>
      </w:r>
    </w:p>
    <w:p w14:paraId="35173F8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Командующий войсками округа генерал-лейтенант Артемьев</w:t>
      </w:r>
    </w:p>
    <w:p w14:paraId="57ECA1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 военного совета округа дивизионный комиссар Телегин</w:t>
      </w:r>
    </w:p>
    <w:p w14:paraId="2C0A7F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штаба округа комбриг Хрипунов</w:t>
      </w:r>
    </w:p>
    <w:p w14:paraId="29C02CD7"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ЦАМО. Ф 38. Оп. 11386. Д. 118. Л. 44. Подлинник (11211).</w:t>
      </w:r>
    </w:p>
    <w:p w14:paraId="4C84FA3D" w14:textId="77777777" w:rsidR="00D4651C" w:rsidRPr="008127F8" w:rsidRDefault="00D4651C" w:rsidP="001E0A84">
      <w:pPr>
        <w:pStyle w:val="afff5"/>
        <w:jc w:val="both"/>
        <w:rPr>
          <w:i w:val="0"/>
          <w:iCs w:val="0"/>
          <w:color w:val="000000" w:themeColor="text1"/>
          <w:spacing w:val="0"/>
          <w:position w:val="0"/>
          <w:sz w:val="16"/>
          <w:szCs w:val="16"/>
        </w:rPr>
      </w:pPr>
    </w:p>
    <w:p w14:paraId="2480D0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г. вышел ПРИКАЗ НКО № 10 ОБ ИЗМЕНЕНИИ ПОРЯДКА ВЫСЫЛКИ ИЗВЕЩЕНИЙ СЕМЬЯМ О ГИБЕЛИ ИЛИ ПРОПАЖЕ БЕЗ ВЕСТИ ЛИЦ СРЕДНЕГО, СТАРШЕГО И ВЫСШЕГО НАЧСОСТАВА И СВЕРХСРОЧНОСЛУЖАЩИХ</w:t>
      </w:r>
    </w:p>
    <w:p w14:paraId="7CCF60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изменение п. 14 приказа НКО 1941 года № 138 установить следующий порядок высылки извещений семьям о гибели или пропаже без вести лиц среднего, старшего и высшего начальствующего состава и сверхсрочно служащих:</w:t>
      </w:r>
    </w:p>
    <w:p w14:paraId="3ABB2C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Если воинской части адрес родственников погибшего или пропавшего без вести известен, извещение высылать непосредственно в адрес семьи, а копию извещения — райвоенкому по месту ее жительства.</w:t>
      </w:r>
    </w:p>
    <w:p w14:paraId="3993CD4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Если воинской части адрес родственников не известен, извещение направлять Главному управлению кадров НКО (по 8-му отделу) для отправки соответствующему райвоенкому.</w:t>
      </w:r>
    </w:p>
    <w:p w14:paraId="7637B9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Райвоенкомам немедленно по получении извещения оповещать семьи о гибели или пропаже без вести военнослужащего, принимать меры к скорейшему оформлению документов, необходимых для назначений пенсий, с прекращением выплат семьям по аттестатам.</w:t>
      </w:r>
    </w:p>
    <w:p w14:paraId="52D50625"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t xml:space="preserve">Заместитель Народного комиссара обороны СССР генерал-лейтенант интендантской службы ХРУЛЕВ </w:t>
      </w:r>
      <w:r w:rsidRPr="008127F8">
        <w:rPr>
          <w:color w:val="000000" w:themeColor="text1"/>
          <w:sz w:val="16"/>
          <w:szCs w:val="16"/>
        </w:rPr>
        <w:t>(9844).</w:t>
      </w:r>
    </w:p>
    <w:p w14:paraId="5159A9C2" w14:textId="77777777" w:rsidR="00D4651C" w:rsidRPr="008127F8" w:rsidRDefault="00D4651C" w:rsidP="001E0A84">
      <w:pPr>
        <w:pStyle w:val="Iauiue"/>
        <w:jc w:val="both"/>
        <w:rPr>
          <w:color w:val="000000" w:themeColor="text1"/>
          <w:sz w:val="16"/>
          <w:szCs w:val="16"/>
        </w:rPr>
      </w:pPr>
    </w:p>
    <w:p w14:paraId="77D25C0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5C216F9A" w14:textId="77777777" w:rsidR="00D4651C" w:rsidRPr="008127F8" w:rsidRDefault="00D4651C" w:rsidP="001E0A84">
      <w:pPr>
        <w:pStyle w:val="Iauiue"/>
        <w:jc w:val="both"/>
        <w:rPr>
          <w:iCs/>
          <w:color w:val="000000" w:themeColor="text1"/>
          <w:sz w:val="16"/>
          <w:szCs w:val="16"/>
        </w:rPr>
      </w:pPr>
    </w:p>
    <w:p w14:paraId="09C358EA"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14 января 1942 вышло Постановление ГКО № 1150 О мобилизации лошадей для армии. (7020, 93).</w:t>
      </w:r>
    </w:p>
    <w:p w14:paraId="2636C70D" w14:textId="77777777" w:rsidR="00D4651C" w:rsidRPr="008127F8" w:rsidRDefault="00D4651C" w:rsidP="001E0A84">
      <w:pPr>
        <w:pStyle w:val="Iauiue"/>
        <w:tabs>
          <w:tab w:val="left" w:pos="11199"/>
        </w:tabs>
        <w:jc w:val="both"/>
        <w:rPr>
          <w:color w:val="000000" w:themeColor="text1"/>
          <w:sz w:val="16"/>
          <w:szCs w:val="16"/>
        </w:rPr>
      </w:pPr>
    </w:p>
    <w:p w14:paraId="1E7F00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в Правде было опубликовано стихотворение К.Симонова "Жди меня" (3481).</w:t>
      </w:r>
    </w:p>
    <w:p w14:paraId="094268D2" w14:textId="77777777" w:rsidR="00D4651C" w:rsidRPr="008127F8" w:rsidRDefault="00D4651C" w:rsidP="001E0A84">
      <w:pPr>
        <w:pStyle w:val="Iauiue"/>
        <w:jc w:val="both"/>
        <w:rPr>
          <w:color w:val="000000" w:themeColor="text1"/>
          <w:sz w:val="16"/>
          <w:szCs w:val="16"/>
        </w:rPr>
      </w:pPr>
    </w:p>
    <w:p w14:paraId="5974B2C1"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января 1942 года было впервые опубликовано стихотворение Константина Симонова «Жди меня» (21192).</w:t>
      </w:r>
    </w:p>
    <w:p w14:paraId="6CFA7472"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53BBF69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14 января</w:t>
      </w:r>
      <w:r w:rsidRPr="008127F8">
        <w:rPr>
          <w:rFonts w:ascii="Times New Roman" w:hAnsi="Times New Roman"/>
          <w:color w:val="000000" w:themeColor="text1"/>
          <w:sz w:val="16"/>
          <w:szCs w:val="16"/>
        </w:rPr>
        <w:t xml:space="preserve"> в 1942 году «Правда» публикует стихотворение «Жди меня» (посвящено актрисе Валентине Серовой), и Константин Симонов сразу становится обладателем одного из самых громких литературных имен. Симоновское «Жди меня» (посвященное актрисе Валентине Серовой) сотни раз будет перепечатываться во фронтовых газетах, выпускаться как листовка, постоянно читаться по радио и с эстрады. Его будут переписывать друг у друга, отсылать с фронта в тыл и из тыла на фронт, эти листочки станут хранить вместе с самыми дорогими реликвиями (15009).</w:t>
      </w:r>
    </w:p>
    <w:p w14:paraId="6CF0B2F5"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690E5D9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672A0635" w14:textId="77777777" w:rsidR="00D4651C" w:rsidRPr="008127F8" w:rsidRDefault="00D4651C" w:rsidP="001E0A84">
      <w:pPr>
        <w:pStyle w:val="Iauiue"/>
        <w:jc w:val="both"/>
        <w:rPr>
          <w:iCs/>
          <w:color w:val="000000" w:themeColor="text1"/>
          <w:sz w:val="16"/>
          <w:szCs w:val="16"/>
        </w:rPr>
      </w:pPr>
    </w:p>
    <w:p w14:paraId="1E942EF9"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января 1942 г. вертолет Сикорского проекта VS-316 (эта машина, получившая фирменное обозначение S-47 и военное XR-4 (X — Experimental, R — RotaryWing, 4 — четвертая модель) в ходе войсковых испытаний поднялась в небо и вышла победительницей в конкурсе с вертолетом поперечной схемы Платта — Ле Пейджа XR-1. Еще на этапе летных испытаний наYR-4B отрабатывалась возможность размещения носилок для раненого на борту вертолета, вне кабины, что и было востребовано уже в 1944 г. </w:t>
      </w:r>
    </w:p>
    <w:p w14:paraId="35DAD86E"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было построено 22 геликоптера, которые распределили между ВВС Армии США (Army Air Force), BMC (Navy) и Береговой охраной (Coast Guard). Первое применение вертолета в медицинских целях произошло в 1944 г. Так, 3 января на эсминце «Тэрнер», находившемся на траверзе Нью-Йорка, произошел взрыв. После ликвидации возникшего пожара на борту, кроме погибших, оказалось много раненых, в том числе обожженных. Срочно требовалась плазма крови, доставить которую из госпиталя ВМС мешал шторм. На помощь пришел командир отряда вертолетов береговой охраны коммандер Ф. Эриксон. Пилот вылетел с авиастанции в районе Бруклина, совершил посадку во дворе госпиталя, забрал приготовленную плазму и через 14 минут доставил ее по назначению, что позволило спасти пострадавших моряков (22830).</w:t>
      </w:r>
    </w:p>
    <w:p w14:paraId="27ADC2DD"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523D059B"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 xml:space="preserve">January 14, 1942: At the </w:t>
      </w:r>
      <w:proofErr w:type="gramStart"/>
      <w:r w:rsidRPr="008127F8">
        <w:rPr>
          <w:color w:val="000000" w:themeColor="text1"/>
          <w:sz w:val="16"/>
          <w:szCs w:val="16"/>
          <w:lang w:val="en-US"/>
        </w:rPr>
        <w:t>so called</w:t>
      </w:r>
      <w:proofErr w:type="gramEnd"/>
      <w:r w:rsidRPr="008127F8">
        <w:rPr>
          <w:color w:val="000000" w:themeColor="text1"/>
          <w:sz w:val="16"/>
          <w:szCs w:val="16"/>
          <w:lang w:val="en-US"/>
        </w:rPr>
        <w:t xml:space="preserve"> Arcadia Conerence held in Washington, President Roosevelt and Prime Minister Churchill agree to concentrate the Allied war effort on the European theater (3819).</w:t>
      </w:r>
    </w:p>
    <w:p w14:paraId="0A0CE9CC" w14:textId="77777777" w:rsidR="00D4651C" w:rsidRPr="008127F8" w:rsidRDefault="00D4651C" w:rsidP="001E0A84">
      <w:pPr>
        <w:pStyle w:val="Iauiue"/>
        <w:jc w:val="both"/>
        <w:rPr>
          <w:color w:val="000000" w:themeColor="text1"/>
          <w:sz w:val="16"/>
          <w:szCs w:val="16"/>
          <w:lang w:val="en-US"/>
        </w:rPr>
      </w:pPr>
    </w:p>
    <w:p w14:paraId="2C71EC76"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14 1942 - Washington conference ARCADIA ends (1052).</w:t>
      </w:r>
    </w:p>
    <w:p w14:paraId="29892AEF" w14:textId="77777777" w:rsidR="00D4651C" w:rsidRPr="008127F8" w:rsidRDefault="00D4651C" w:rsidP="001E0A84">
      <w:pPr>
        <w:pStyle w:val="Iauiue"/>
        <w:jc w:val="both"/>
        <w:rPr>
          <w:color w:val="000000" w:themeColor="text1"/>
          <w:sz w:val="16"/>
          <w:szCs w:val="16"/>
          <w:lang w:val="en-US"/>
        </w:rPr>
      </w:pPr>
    </w:p>
    <w:p w14:paraId="0E40D1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закончилась вашингтонская конференция (1052).</w:t>
      </w:r>
    </w:p>
    <w:p w14:paraId="67C1D599" w14:textId="77777777" w:rsidR="00D4651C" w:rsidRPr="008127F8" w:rsidRDefault="00D4651C" w:rsidP="001E0A84">
      <w:pPr>
        <w:pStyle w:val="Iauiue"/>
        <w:jc w:val="both"/>
        <w:rPr>
          <w:color w:val="000000" w:themeColor="text1"/>
          <w:sz w:val="16"/>
          <w:szCs w:val="16"/>
        </w:rPr>
      </w:pPr>
    </w:p>
    <w:p w14:paraId="122C356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января</w:t>
      </w:r>
      <w:r w:rsidRPr="008127F8">
        <w:rPr>
          <w:rFonts w:ascii="Times New Roman" w:hAnsi="Times New Roman"/>
          <w:color w:val="000000" w:themeColor="text1"/>
          <w:sz w:val="16"/>
          <w:szCs w:val="16"/>
        </w:rPr>
        <w:t xml:space="preserve"> в 1942 году завершила работу первая Вашингтонские конференция (проводились в 1941, 1942, 1943 гг.) руководителей США и Великобритании. Участвовали президент США Ф.Рузвельт, премьер-министр Великобритании У.Черчилль и начальники военных штабов обеих стран. Проводились по инициативе премьер-министра Великобритании (15009).</w:t>
      </w:r>
    </w:p>
    <w:p w14:paraId="4508D288"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7E8194C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января</w:t>
      </w:r>
      <w:r w:rsidRPr="008127F8">
        <w:rPr>
          <w:rFonts w:ascii="Times New Roman" w:hAnsi="Times New Roman"/>
          <w:color w:val="000000" w:themeColor="text1"/>
          <w:sz w:val="16"/>
          <w:szCs w:val="16"/>
        </w:rPr>
        <w:t xml:space="preserve"> в 1942 году был создан объединённый Англо-Американский комитет начальников штабов (15009).</w:t>
      </w:r>
    </w:p>
    <w:p w14:paraId="4C3498CA"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18D64DC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7072C7AC" w14:textId="77777777" w:rsidR="00D4651C" w:rsidRPr="008127F8" w:rsidRDefault="00D4651C" w:rsidP="001E0A84">
      <w:pPr>
        <w:pStyle w:val="Iauiue"/>
        <w:jc w:val="both"/>
        <w:rPr>
          <w:iCs/>
          <w:color w:val="000000" w:themeColor="text1"/>
          <w:sz w:val="16"/>
          <w:szCs w:val="16"/>
        </w:rPr>
      </w:pPr>
    </w:p>
    <w:p w14:paraId="7E62FF6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января</w:t>
      </w:r>
      <w:r w:rsidRPr="008127F8">
        <w:rPr>
          <w:rFonts w:ascii="Times New Roman" w:hAnsi="Times New Roman"/>
          <w:color w:val="000000" w:themeColor="text1"/>
          <w:sz w:val="16"/>
          <w:szCs w:val="16"/>
        </w:rPr>
        <w:t xml:space="preserve"> в 1942 году состоялся первый полет вертолета «R-4» фирмы «Sikorsky». Двухместный R-4, созданный на базе «VS-300», стал первым в мире серийным вертолетом. Звездообразный двигатель воздушного охлаждения «Warner» «R-550» мощностью 175 л.с., расположенный в центральной части фюзеляжа, приводил в движение трехлопастный несущий винт. Лонжерон лопасти представлял собой стальную цельнотянутую трубу с шестью ступенями, диаметр которых постепенно уменьшался от комля к концу. Нервюры лопастей были деревянными, обшивка – полотняной. 30 мая 1942 года он был принят на вооружение американской армии, 29 декабря 1943 года Сикорский получил заказ на производство 22 вертолетов для американской армии и береговой обороны (15009).</w:t>
      </w:r>
    </w:p>
    <w:p w14:paraId="36ECFE3E"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3CE252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 января 1942 Ф.Д.Р. приказал провести регистрацию союзников, проживающих в США (2100).</w:t>
      </w:r>
    </w:p>
    <w:p w14:paraId="518AEC53" w14:textId="77777777" w:rsidR="00D4651C" w:rsidRPr="008127F8" w:rsidRDefault="00D4651C" w:rsidP="001E0A84">
      <w:pPr>
        <w:pStyle w:val="Iauiue"/>
        <w:jc w:val="both"/>
        <w:rPr>
          <w:color w:val="000000" w:themeColor="text1"/>
          <w:sz w:val="16"/>
          <w:szCs w:val="16"/>
        </w:rPr>
      </w:pPr>
    </w:p>
    <w:p w14:paraId="5999037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5E25F757" w14:textId="77777777" w:rsidR="00D4651C" w:rsidRPr="008127F8" w:rsidRDefault="00D4651C" w:rsidP="001E0A84">
      <w:pPr>
        <w:pStyle w:val="Iauiue"/>
        <w:jc w:val="both"/>
        <w:rPr>
          <w:iCs/>
          <w:color w:val="000000" w:themeColor="text1"/>
          <w:sz w:val="16"/>
          <w:szCs w:val="16"/>
        </w:rPr>
      </w:pPr>
    </w:p>
    <w:p w14:paraId="718EB70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вышел приказ НКАП N 37сс</w:t>
      </w:r>
    </w:p>
    <w:p w14:paraId="0B1022A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"Развертывание подготовки производства по самолету Ил-2 на заводе 135 идет недопустимо медленно. На 14 января на заводе проектирование и изготовление оснастки первой очереди не закончено, не развернуто производство деталей и агрегатов даже для головной серии.</w:t>
      </w:r>
    </w:p>
    <w:p w14:paraId="050ECAA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обеспечения выполнения решений ГКО о выпуске на заводе 135 самолетов Ил-2 начиная с 15 февраля с.г.:</w:t>
      </w:r>
    </w:p>
    <w:p w14:paraId="2381E6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Освободить завод 135 от сдачи самолетов Су-2 по графику и работу всех цехов переключить полностью на производство самолетов Ил-2, выпустив Су-2, только имеющиеся в сборочном цехе.</w:t>
      </w:r>
    </w:p>
    <w:p w14:paraId="49644C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Установить, что для обеспечения взаимозаменяемости самолетов Ил-2 ведущим является завод 18 (1525,34).</w:t>
      </w:r>
    </w:p>
    <w:p w14:paraId="27DAB643" w14:textId="77777777" w:rsidR="00D4651C" w:rsidRPr="008127F8" w:rsidRDefault="00D4651C" w:rsidP="001E0A84">
      <w:pPr>
        <w:pStyle w:val="Iauiue"/>
        <w:jc w:val="both"/>
        <w:rPr>
          <w:color w:val="000000" w:themeColor="text1"/>
          <w:sz w:val="16"/>
          <w:szCs w:val="16"/>
        </w:rPr>
      </w:pPr>
    </w:p>
    <w:p w14:paraId="0C8F02C8" w14:textId="77777777" w:rsidR="00BA3264" w:rsidRPr="008127F8" w:rsidRDefault="00BA3264" w:rsidP="001E0A84">
      <w:pPr>
        <w:pStyle w:val="af"/>
        <w:shd w:val="clear" w:color="auto" w:fill="FFFFFF"/>
        <w:spacing w:before="0" w:after="0"/>
        <w:jc w:val="both"/>
        <w:rPr>
          <w:color w:val="000000" w:themeColor="text1"/>
          <w:sz w:val="16"/>
          <w:szCs w:val="16"/>
        </w:rPr>
      </w:pPr>
      <w:r w:rsidRPr="008127F8">
        <w:rPr>
          <w:color w:val="000000" w:themeColor="text1"/>
          <w:sz w:val="16"/>
          <w:szCs w:val="16"/>
        </w:rPr>
        <w:t>15 января 1942 вышел приказ НКАП № 37сс</w:t>
      </w:r>
    </w:p>
    <w:p w14:paraId="656A6F59" w14:textId="77777777" w:rsidR="00BA3264" w:rsidRPr="008127F8" w:rsidRDefault="00BA326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 выпуске Ил-2 на 135ом заводе. Обязать д-ра 18го завода Шенкмана оказать 135му заводу техпомощь по освоению производства самолетов Ил-2 (19706).</w:t>
      </w:r>
    </w:p>
    <w:p w14:paraId="3F3E881E" w14:textId="77777777" w:rsidR="00BA3264" w:rsidRPr="008127F8" w:rsidRDefault="00BA3264" w:rsidP="001E0A84">
      <w:pPr>
        <w:pStyle w:val="af"/>
        <w:shd w:val="clear" w:color="auto" w:fill="FFFFFF"/>
        <w:spacing w:before="0" w:after="0"/>
        <w:jc w:val="both"/>
        <w:rPr>
          <w:color w:val="000000" w:themeColor="text1"/>
          <w:sz w:val="16"/>
          <w:szCs w:val="16"/>
        </w:rPr>
      </w:pPr>
    </w:p>
    <w:p w14:paraId="5CF8B81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 конец цепочки решений по 30 заводу, который был создан постановлением ГКО 17 декабря 1941 на площадях эвакуированного 1 завода нового завода 30. Этот завод с марта 1942 должен был делать Як-1. 24 декабря вышел новый приказ - делать Як-3 (Як-7А), а 15 января 1942 - еще один - делать Ил-2 (198,20).</w:t>
      </w:r>
    </w:p>
    <w:p w14:paraId="4CBC53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был приказ N 39с (1522,37), который гласил:</w:t>
      </w:r>
    </w:p>
    <w:p w14:paraId="6FD0D8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исполнение постановления ГКО от 14 января 1942 N 1149сс:</w:t>
      </w:r>
    </w:p>
    <w:p w14:paraId="3A1B9F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Организовать производство самолетов Ил-2 на заводе 30, с началом выпуска в феврале 1942 (1525,45).</w:t>
      </w:r>
    </w:p>
    <w:p w14:paraId="50D4F4A3" w14:textId="77777777" w:rsidR="00D4651C" w:rsidRPr="008127F8" w:rsidRDefault="00D4651C" w:rsidP="001E0A84">
      <w:pPr>
        <w:pStyle w:val="Iauiue"/>
        <w:jc w:val="both"/>
        <w:rPr>
          <w:color w:val="000000" w:themeColor="text1"/>
          <w:sz w:val="16"/>
          <w:szCs w:val="16"/>
        </w:rPr>
      </w:pPr>
    </w:p>
    <w:p w14:paraId="14BA019C" w14:textId="1C800A94"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были завершены работы по внедрению в серийное производство на заводе 381 Ил-2 с М-82 (3846,16).</w:t>
      </w:r>
    </w:p>
    <w:p w14:paraId="3EDC82D5" w14:textId="77777777" w:rsidR="00D4651C" w:rsidRPr="008127F8" w:rsidRDefault="00D4651C" w:rsidP="001E0A84">
      <w:pPr>
        <w:pStyle w:val="Iauiue"/>
        <w:jc w:val="both"/>
        <w:rPr>
          <w:color w:val="000000" w:themeColor="text1"/>
          <w:sz w:val="16"/>
          <w:szCs w:val="16"/>
        </w:rPr>
      </w:pPr>
    </w:p>
    <w:p w14:paraId="514A274C" w14:textId="77777777" w:rsidR="00DF5A30" w:rsidRPr="008A2E5A" w:rsidRDefault="00DF5A30" w:rsidP="00DF5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15 января 1942 в Москву на завод № 23 прибыл из Куйбышева еще один эшелон с Ил-2. Ими пополнили 61 шап. От Главного управления заказов ВВС КА организацией передачи штурмовиков в боевые полки занимался военинженер 3-го ранга М.М. Мясоедов (23346).</w:t>
      </w:r>
    </w:p>
    <w:p w14:paraId="24D26561" w14:textId="77777777" w:rsidR="00DF5A30" w:rsidRPr="008A2E5A" w:rsidRDefault="00DF5A30" w:rsidP="00DF5A30">
      <w:pPr>
        <w:spacing w:after="0" w:line="240" w:lineRule="auto"/>
        <w:jc w:val="both"/>
        <w:rPr>
          <w:rFonts w:ascii="Times New Roman" w:hAnsi="Times New Roman"/>
          <w:color w:val="0070C0"/>
          <w:sz w:val="16"/>
          <w:szCs w:val="16"/>
        </w:rPr>
      </w:pPr>
    </w:p>
    <w:p w14:paraId="2C93F1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года вышел приказ НКАП за № 39сс во исполнение Решениея ГКО за № 1149 14 января 1942 года, которым все оборудование, рабочая сила, транспорт и материальные ценности завода № 30 были переданы с завода № 23 заводу № 30, который организовался в Москве, на площадях эвакуированного в Куйбышев завода № 1 НКАП.</w:t>
      </w:r>
    </w:p>
    <w:p w14:paraId="42B60FE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Решением ГКО от 24 января 1942 года за № 1208сс и приказом НКАП от 26 января 1942 года за № 79сс завод 3 135 НКАП, эвакуированный из Харькова </w:t>
      </w:r>
      <w:proofErr w:type="gramStart"/>
      <w:r w:rsidRPr="008127F8">
        <w:rPr>
          <w:color w:val="000000" w:themeColor="text1"/>
          <w:sz w:val="16"/>
          <w:szCs w:val="16"/>
        </w:rPr>
        <w:t>в Молотов</w:t>
      </w:r>
      <w:proofErr w:type="gramEnd"/>
      <w:r w:rsidRPr="008127F8">
        <w:rPr>
          <w:color w:val="000000" w:themeColor="text1"/>
          <w:sz w:val="16"/>
          <w:szCs w:val="16"/>
        </w:rPr>
        <w:t xml:space="preserve"> был расформирован и часть оборудования с рабочей силой были переданы заводу № 23.</w:t>
      </w:r>
    </w:p>
    <w:p w14:paraId="5D8D11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07D983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3EA24B1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7328196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6463996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5BFFD5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00B2A46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605AD2D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Постановлением СМ от 19 декабря 1953 года за № 3010-1310сс/ов и от 28 декабря 1953 года за № 393сс/ов заводу установлено производственное задание по выпуску </w:t>
      </w:r>
      <w:r w:rsidRPr="008127F8">
        <w:rPr>
          <w:color w:val="000000" w:themeColor="text1"/>
          <w:sz w:val="16"/>
          <w:szCs w:val="16"/>
        </w:rPr>
        <w:lastRenderedPageBreak/>
        <w:t>малой серии самолета М-4 конструкции Мясищева, которое завод выполнял по первую половину 1956 года.</w:t>
      </w:r>
    </w:p>
    <w:p w14:paraId="175896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C9AF0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1D18D31D" w14:textId="77777777">
        <w:tc>
          <w:tcPr>
            <w:tcW w:w="817" w:type="dxa"/>
          </w:tcPr>
          <w:p w14:paraId="1F12E2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Тип изделий</w:t>
            </w:r>
          </w:p>
        </w:tc>
        <w:tc>
          <w:tcPr>
            <w:tcW w:w="1348" w:type="dxa"/>
          </w:tcPr>
          <w:p w14:paraId="3292846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Тип и количество двигателей установлен. на самолете</w:t>
            </w:r>
          </w:p>
        </w:tc>
        <w:tc>
          <w:tcPr>
            <w:tcW w:w="920" w:type="dxa"/>
          </w:tcPr>
          <w:p w14:paraId="39EEE97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1952 год</w:t>
            </w:r>
          </w:p>
        </w:tc>
        <w:tc>
          <w:tcPr>
            <w:tcW w:w="851" w:type="dxa"/>
          </w:tcPr>
          <w:p w14:paraId="1D7E75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1953 год</w:t>
            </w:r>
          </w:p>
        </w:tc>
        <w:tc>
          <w:tcPr>
            <w:tcW w:w="850" w:type="dxa"/>
          </w:tcPr>
          <w:p w14:paraId="176CE87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1954 год</w:t>
            </w:r>
          </w:p>
        </w:tc>
        <w:tc>
          <w:tcPr>
            <w:tcW w:w="851" w:type="dxa"/>
          </w:tcPr>
          <w:p w14:paraId="481DEF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1955 год</w:t>
            </w:r>
          </w:p>
        </w:tc>
        <w:tc>
          <w:tcPr>
            <w:tcW w:w="850" w:type="dxa"/>
          </w:tcPr>
          <w:p w14:paraId="3F8725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1956 год</w:t>
            </w:r>
          </w:p>
        </w:tc>
        <w:tc>
          <w:tcPr>
            <w:tcW w:w="851" w:type="dxa"/>
          </w:tcPr>
          <w:p w14:paraId="3EB7BA1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1957 год</w:t>
            </w:r>
          </w:p>
        </w:tc>
        <w:tc>
          <w:tcPr>
            <w:tcW w:w="850" w:type="dxa"/>
          </w:tcPr>
          <w:p w14:paraId="296B86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1958 год</w:t>
            </w:r>
          </w:p>
        </w:tc>
      </w:tr>
      <w:tr w:rsidR="006F4095" w:rsidRPr="008127F8" w14:paraId="0F3601B1" w14:textId="77777777">
        <w:tc>
          <w:tcPr>
            <w:tcW w:w="817" w:type="dxa"/>
          </w:tcPr>
          <w:p w14:paraId="5C67C6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Ту-4</w:t>
            </w:r>
          </w:p>
        </w:tc>
        <w:tc>
          <w:tcPr>
            <w:tcW w:w="1348" w:type="dxa"/>
          </w:tcPr>
          <w:p w14:paraId="1430EA6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4АШ73МК</w:t>
            </w:r>
          </w:p>
        </w:tc>
        <w:tc>
          <w:tcPr>
            <w:tcW w:w="920" w:type="dxa"/>
          </w:tcPr>
          <w:p w14:paraId="339D090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52</w:t>
            </w:r>
          </w:p>
        </w:tc>
        <w:tc>
          <w:tcPr>
            <w:tcW w:w="851" w:type="dxa"/>
          </w:tcPr>
          <w:p w14:paraId="2A6FE6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0" w:type="dxa"/>
          </w:tcPr>
          <w:p w14:paraId="21FCB65A" w14:textId="77777777" w:rsidR="00D4651C" w:rsidRPr="008127F8" w:rsidRDefault="00D4651C" w:rsidP="001E0A84">
            <w:pPr>
              <w:pStyle w:val="Iauiue"/>
              <w:jc w:val="both"/>
              <w:rPr>
                <w:color w:val="000000" w:themeColor="text1"/>
                <w:sz w:val="16"/>
                <w:szCs w:val="16"/>
              </w:rPr>
            </w:pPr>
          </w:p>
        </w:tc>
        <w:tc>
          <w:tcPr>
            <w:tcW w:w="851" w:type="dxa"/>
          </w:tcPr>
          <w:p w14:paraId="76EC50A4" w14:textId="77777777" w:rsidR="00D4651C" w:rsidRPr="008127F8" w:rsidRDefault="00D4651C" w:rsidP="001E0A84">
            <w:pPr>
              <w:pStyle w:val="Iauiue"/>
              <w:jc w:val="both"/>
              <w:rPr>
                <w:color w:val="000000" w:themeColor="text1"/>
                <w:sz w:val="16"/>
                <w:szCs w:val="16"/>
              </w:rPr>
            </w:pPr>
          </w:p>
        </w:tc>
        <w:tc>
          <w:tcPr>
            <w:tcW w:w="850" w:type="dxa"/>
          </w:tcPr>
          <w:p w14:paraId="62DE9B63" w14:textId="77777777" w:rsidR="00D4651C" w:rsidRPr="008127F8" w:rsidRDefault="00D4651C" w:rsidP="001E0A84">
            <w:pPr>
              <w:pStyle w:val="Iauiue"/>
              <w:jc w:val="both"/>
              <w:rPr>
                <w:color w:val="000000" w:themeColor="text1"/>
                <w:sz w:val="16"/>
                <w:szCs w:val="16"/>
              </w:rPr>
            </w:pPr>
          </w:p>
        </w:tc>
        <w:tc>
          <w:tcPr>
            <w:tcW w:w="851" w:type="dxa"/>
          </w:tcPr>
          <w:p w14:paraId="10FC0FE4" w14:textId="77777777" w:rsidR="00D4651C" w:rsidRPr="008127F8" w:rsidRDefault="00D4651C" w:rsidP="001E0A84">
            <w:pPr>
              <w:pStyle w:val="Iauiue"/>
              <w:jc w:val="both"/>
              <w:rPr>
                <w:color w:val="000000" w:themeColor="text1"/>
                <w:sz w:val="16"/>
                <w:szCs w:val="16"/>
              </w:rPr>
            </w:pPr>
          </w:p>
        </w:tc>
        <w:tc>
          <w:tcPr>
            <w:tcW w:w="850" w:type="dxa"/>
          </w:tcPr>
          <w:p w14:paraId="30FA5906" w14:textId="77777777" w:rsidR="00D4651C" w:rsidRPr="008127F8" w:rsidRDefault="00D4651C" w:rsidP="001E0A84">
            <w:pPr>
              <w:pStyle w:val="Iauiue"/>
              <w:jc w:val="both"/>
              <w:rPr>
                <w:color w:val="000000" w:themeColor="text1"/>
                <w:sz w:val="16"/>
                <w:szCs w:val="16"/>
              </w:rPr>
            </w:pPr>
          </w:p>
        </w:tc>
      </w:tr>
      <w:tr w:rsidR="006F4095" w:rsidRPr="008127F8" w14:paraId="588DA907" w14:textId="77777777">
        <w:tc>
          <w:tcPr>
            <w:tcW w:w="817" w:type="dxa"/>
          </w:tcPr>
          <w:p w14:paraId="25EB93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ИЛ-28</w:t>
            </w:r>
          </w:p>
        </w:tc>
        <w:tc>
          <w:tcPr>
            <w:tcW w:w="1348" w:type="dxa"/>
          </w:tcPr>
          <w:p w14:paraId="5994070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2АШ73МК</w:t>
            </w:r>
          </w:p>
        </w:tc>
        <w:tc>
          <w:tcPr>
            <w:tcW w:w="920" w:type="dxa"/>
          </w:tcPr>
          <w:p w14:paraId="1EDDB863" w14:textId="77777777" w:rsidR="00D4651C" w:rsidRPr="008127F8" w:rsidRDefault="00D4651C" w:rsidP="001E0A84">
            <w:pPr>
              <w:pStyle w:val="Iauiue"/>
              <w:jc w:val="both"/>
              <w:rPr>
                <w:color w:val="000000" w:themeColor="text1"/>
                <w:sz w:val="16"/>
                <w:szCs w:val="16"/>
              </w:rPr>
            </w:pPr>
          </w:p>
        </w:tc>
        <w:tc>
          <w:tcPr>
            <w:tcW w:w="851" w:type="dxa"/>
          </w:tcPr>
          <w:p w14:paraId="3AF76D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850" w:type="dxa"/>
          </w:tcPr>
          <w:p w14:paraId="4133A8C6" w14:textId="77777777" w:rsidR="00D4651C" w:rsidRPr="008127F8" w:rsidRDefault="00D4651C" w:rsidP="001E0A84">
            <w:pPr>
              <w:pStyle w:val="Iauiue"/>
              <w:jc w:val="both"/>
              <w:rPr>
                <w:color w:val="000000" w:themeColor="text1"/>
                <w:sz w:val="16"/>
                <w:szCs w:val="16"/>
              </w:rPr>
            </w:pPr>
          </w:p>
        </w:tc>
        <w:tc>
          <w:tcPr>
            <w:tcW w:w="851" w:type="dxa"/>
          </w:tcPr>
          <w:p w14:paraId="75DE7DE2" w14:textId="77777777" w:rsidR="00D4651C" w:rsidRPr="008127F8" w:rsidRDefault="00D4651C" w:rsidP="001E0A84">
            <w:pPr>
              <w:pStyle w:val="Iauiue"/>
              <w:jc w:val="both"/>
              <w:rPr>
                <w:color w:val="000000" w:themeColor="text1"/>
                <w:sz w:val="16"/>
                <w:szCs w:val="16"/>
              </w:rPr>
            </w:pPr>
          </w:p>
        </w:tc>
        <w:tc>
          <w:tcPr>
            <w:tcW w:w="850" w:type="dxa"/>
          </w:tcPr>
          <w:p w14:paraId="73902BA7" w14:textId="77777777" w:rsidR="00D4651C" w:rsidRPr="008127F8" w:rsidRDefault="00D4651C" w:rsidP="001E0A84">
            <w:pPr>
              <w:pStyle w:val="Iauiue"/>
              <w:jc w:val="both"/>
              <w:rPr>
                <w:color w:val="000000" w:themeColor="text1"/>
                <w:sz w:val="16"/>
                <w:szCs w:val="16"/>
              </w:rPr>
            </w:pPr>
          </w:p>
        </w:tc>
        <w:tc>
          <w:tcPr>
            <w:tcW w:w="851" w:type="dxa"/>
          </w:tcPr>
          <w:p w14:paraId="7CE79CE0" w14:textId="77777777" w:rsidR="00D4651C" w:rsidRPr="008127F8" w:rsidRDefault="00D4651C" w:rsidP="001E0A84">
            <w:pPr>
              <w:pStyle w:val="Iauiue"/>
              <w:jc w:val="both"/>
              <w:rPr>
                <w:color w:val="000000" w:themeColor="text1"/>
                <w:sz w:val="16"/>
                <w:szCs w:val="16"/>
              </w:rPr>
            </w:pPr>
          </w:p>
        </w:tc>
        <w:tc>
          <w:tcPr>
            <w:tcW w:w="850" w:type="dxa"/>
          </w:tcPr>
          <w:p w14:paraId="5C7A3D47" w14:textId="77777777" w:rsidR="00D4651C" w:rsidRPr="008127F8" w:rsidRDefault="00D4651C" w:rsidP="001E0A84">
            <w:pPr>
              <w:pStyle w:val="Iauiue"/>
              <w:jc w:val="both"/>
              <w:rPr>
                <w:color w:val="000000" w:themeColor="text1"/>
                <w:sz w:val="16"/>
                <w:szCs w:val="16"/>
              </w:rPr>
            </w:pPr>
          </w:p>
        </w:tc>
      </w:tr>
      <w:tr w:rsidR="006F4095" w:rsidRPr="008127F8" w14:paraId="48866959" w14:textId="77777777">
        <w:tc>
          <w:tcPr>
            <w:tcW w:w="817" w:type="dxa"/>
          </w:tcPr>
          <w:p w14:paraId="4D9A62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w:t>
            </w:r>
          </w:p>
        </w:tc>
        <w:tc>
          <w:tcPr>
            <w:tcW w:w="1348" w:type="dxa"/>
          </w:tcPr>
          <w:p w14:paraId="36BD389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4АМ3</w:t>
            </w:r>
          </w:p>
        </w:tc>
        <w:tc>
          <w:tcPr>
            <w:tcW w:w="920" w:type="dxa"/>
          </w:tcPr>
          <w:p w14:paraId="143013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1" w:type="dxa"/>
          </w:tcPr>
          <w:p w14:paraId="135F72C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0" w:type="dxa"/>
          </w:tcPr>
          <w:p w14:paraId="4FC28DFD" w14:textId="77777777" w:rsidR="00D4651C" w:rsidRPr="008127F8" w:rsidRDefault="00D4651C" w:rsidP="001E0A84">
            <w:pPr>
              <w:pStyle w:val="Iauiue"/>
              <w:jc w:val="both"/>
              <w:rPr>
                <w:color w:val="000000" w:themeColor="text1"/>
                <w:sz w:val="16"/>
                <w:szCs w:val="16"/>
              </w:rPr>
            </w:pPr>
          </w:p>
        </w:tc>
        <w:tc>
          <w:tcPr>
            <w:tcW w:w="851" w:type="dxa"/>
          </w:tcPr>
          <w:p w14:paraId="75CDF301" w14:textId="77777777" w:rsidR="00D4651C" w:rsidRPr="008127F8" w:rsidRDefault="00D4651C" w:rsidP="001E0A84">
            <w:pPr>
              <w:pStyle w:val="Iauiue"/>
              <w:jc w:val="both"/>
              <w:rPr>
                <w:color w:val="000000" w:themeColor="text1"/>
                <w:sz w:val="16"/>
                <w:szCs w:val="16"/>
              </w:rPr>
            </w:pPr>
          </w:p>
        </w:tc>
        <w:tc>
          <w:tcPr>
            <w:tcW w:w="850" w:type="dxa"/>
          </w:tcPr>
          <w:p w14:paraId="78F0743B" w14:textId="77777777" w:rsidR="00D4651C" w:rsidRPr="008127F8" w:rsidRDefault="00D4651C" w:rsidP="001E0A84">
            <w:pPr>
              <w:pStyle w:val="Iauiue"/>
              <w:jc w:val="both"/>
              <w:rPr>
                <w:color w:val="000000" w:themeColor="text1"/>
                <w:sz w:val="16"/>
                <w:szCs w:val="16"/>
              </w:rPr>
            </w:pPr>
          </w:p>
        </w:tc>
        <w:tc>
          <w:tcPr>
            <w:tcW w:w="851" w:type="dxa"/>
          </w:tcPr>
          <w:p w14:paraId="3BA7F9D7" w14:textId="77777777" w:rsidR="00D4651C" w:rsidRPr="008127F8" w:rsidRDefault="00D4651C" w:rsidP="001E0A84">
            <w:pPr>
              <w:pStyle w:val="Iauiue"/>
              <w:jc w:val="both"/>
              <w:rPr>
                <w:color w:val="000000" w:themeColor="text1"/>
                <w:sz w:val="16"/>
                <w:szCs w:val="16"/>
              </w:rPr>
            </w:pPr>
          </w:p>
        </w:tc>
        <w:tc>
          <w:tcPr>
            <w:tcW w:w="850" w:type="dxa"/>
          </w:tcPr>
          <w:p w14:paraId="36287111" w14:textId="77777777" w:rsidR="00D4651C" w:rsidRPr="008127F8" w:rsidRDefault="00D4651C" w:rsidP="001E0A84">
            <w:pPr>
              <w:pStyle w:val="Iauiue"/>
              <w:jc w:val="both"/>
              <w:rPr>
                <w:color w:val="000000" w:themeColor="text1"/>
                <w:sz w:val="16"/>
                <w:szCs w:val="16"/>
              </w:rPr>
            </w:pPr>
          </w:p>
        </w:tc>
      </w:tr>
      <w:tr w:rsidR="006F4095" w:rsidRPr="008127F8" w14:paraId="207569B0" w14:textId="77777777">
        <w:tc>
          <w:tcPr>
            <w:tcW w:w="817" w:type="dxa"/>
          </w:tcPr>
          <w:p w14:paraId="678462C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М-4</w:t>
            </w:r>
          </w:p>
        </w:tc>
        <w:tc>
          <w:tcPr>
            <w:tcW w:w="1348" w:type="dxa"/>
          </w:tcPr>
          <w:p w14:paraId="5CCF73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4А25</w:t>
            </w:r>
          </w:p>
        </w:tc>
        <w:tc>
          <w:tcPr>
            <w:tcW w:w="920" w:type="dxa"/>
          </w:tcPr>
          <w:p w14:paraId="1D803086" w14:textId="77777777" w:rsidR="00D4651C" w:rsidRPr="008127F8" w:rsidRDefault="00D4651C" w:rsidP="001E0A84">
            <w:pPr>
              <w:pStyle w:val="Iauiue"/>
              <w:jc w:val="both"/>
              <w:rPr>
                <w:color w:val="000000" w:themeColor="text1"/>
                <w:sz w:val="16"/>
                <w:szCs w:val="16"/>
              </w:rPr>
            </w:pPr>
          </w:p>
        </w:tc>
        <w:tc>
          <w:tcPr>
            <w:tcW w:w="851" w:type="dxa"/>
          </w:tcPr>
          <w:p w14:paraId="59D24A5D" w14:textId="77777777" w:rsidR="00D4651C" w:rsidRPr="008127F8" w:rsidRDefault="00D4651C" w:rsidP="001E0A84">
            <w:pPr>
              <w:pStyle w:val="Iauiue"/>
              <w:jc w:val="both"/>
              <w:rPr>
                <w:color w:val="000000" w:themeColor="text1"/>
                <w:sz w:val="16"/>
                <w:szCs w:val="16"/>
              </w:rPr>
            </w:pPr>
          </w:p>
        </w:tc>
        <w:tc>
          <w:tcPr>
            <w:tcW w:w="850" w:type="dxa"/>
          </w:tcPr>
          <w:p w14:paraId="737BA8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851" w:type="dxa"/>
          </w:tcPr>
          <w:p w14:paraId="6A06AF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w:t>
            </w:r>
          </w:p>
        </w:tc>
        <w:tc>
          <w:tcPr>
            <w:tcW w:w="850" w:type="dxa"/>
          </w:tcPr>
          <w:p w14:paraId="1D8FB5A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w:t>
            </w:r>
          </w:p>
        </w:tc>
        <w:tc>
          <w:tcPr>
            <w:tcW w:w="851" w:type="dxa"/>
          </w:tcPr>
          <w:p w14:paraId="2D38AE06" w14:textId="77777777" w:rsidR="00D4651C" w:rsidRPr="008127F8" w:rsidRDefault="00D4651C" w:rsidP="001E0A84">
            <w:pPr>
              <w:pStyle w:val="Iauiue"/>
              <w:jc w:val="both"/>
              <w:rPr>
                <w:color w:val="000000" w:themeColor="text1"/>
                <w:sz w:val="16"/>
                <w:szCs w:val="16"/>
              </w:rPr>
            </w:pPr>
          </w:p>
        </w:tc>
        <w:tc>
          <w:tcPr>
            <w:tcW w:w="850" w:type="dxa"/>
          </w:tcPr>
          <w:p w14:paraId="7278D44C" w14:textId="77777777" w:rsidR="00D4651C" w:rsidRPr="008127F8" w:rsidRDefault="00D4651C" w:rsidP="001E0A84">
            <w:pPr>
              <w:pStyle w:val="Iauiue"/>
              <w:jc w:val="both"/>
              <w:rPr>
                <w:color w:val="000000" w:themeColor="text1"/>
                <w:sz w:val="16"/>
                <w:szCs w:val="16"/>
              </w:rPr>
            </w:pPr>
          </w:p>
        </w:tc>
      </w:tr>
      <w:tr w:rsidR="006F4095" w:rsidRPr="008127F8" w14:paraId="3439C58C" w14:textId="77777777">
        <w:tc>
          <w:tcPr>
            <w:tcW w:w="817" w:type="dxa"/>
          </w:tcPr>
          <w:p w14:paraId="536445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3М</w:t>
            </w:r>
          </w:p>
        </w:tc>
        <w:tc>
          <w:tcPr>
            <w:tcW w:w="1348" w:type="dxa"/>
          </w:tcPr>
          <w:p w14:paraId="48B7F67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4А25</w:t>
            </w:r>
          </w:p>
          <w:p w14:paraId="547697B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4АВД-7</w:t>
            </w:r>
          </w:p>
        </w:tc>
        <w:tc>
          <w:tcPr>
            <w:tcW w:w="920" w:type="dxa"/>
          </w:tcPr>
          <w:p w14:paraId="64A7C7BC" w14:textId="77777777" w:rsidR="00D4651C" w:rsidRPr="008127F8" w:rsidRDefault="00D4651C" w:rsidP="001E0A84">
            <w:pPr>
              <w:pStyle w:val="Iauiue"/>
              <w:jc w:val="both"/>
              <w:rPr>
                <w:color w:val="000000" w:themeColor="text1"/>
                <w:sz w:val="16"/>
                <w:szCs w:val="16"/>
              </w:rPr>
            </w:pPr>
          </w:p>
        </w:tc>
        <w:tc>
          <w:tcPr>
            <w:tcW w:w="851" w:type="dxa"/>
          </w:tcPr>
          <w:p w14:paraId="13A6593B" w14:textId="77777777" w:rsidR="00D4651C" w:rsidRPr="008127F8" w:rsidRDefault="00D4651C" w:rsidP="001E0A84">
            <w:pPr>
              <w:pStyle w:val="Iauiue"/>
              <w:jc w:val="both"/>
              <w:rPr>
                <w:color w:val="000000" w:themeColor="text1"/>
                <w:sz w:val="16"/>
                <w:szCs w:val="16"/>
              </w:rPr>
            </w:pPr>
          </w:p>
        </w:tc>
        <w:tc>
          <w:tcPr>
            <w:tcW w:w="850" w:type="dxa"/>
          </w:tcPr>
          <w:p w14:paraId="6FB9EF6B" w14:textId="77777777" w:rsidR="00D4651C" w:rsidRPr="008127F8" w:rsidRDefault="00D4651C" w:rsidP="001E0A84">
            <w:pPr>
              <w:pStyle w:val="Iauiue"/>
              <w:jc w:val="both"/>
              <w:rPr>
                <w:color w:val="000000" w:themeColor="text1"/>
                <w:sz w:val="16"/>
                <w:szCs w:val="16"/>
              </w:rPr>
            </w:pPr>
          </w:p>
        </w:tc>
        <w:tc>
          <w:tcPr>
            <w:tcW w:w="851" w:type="dxa"/>
          </w:tcPr>
          <w:p w14:paraId="4B22C48C" w14:textId="77777777" w:rsidR="00D4651C" w:rsidRPr="008127F8" w:rsidRDefault="00D4651C" w:rsidP="001E0A84">
            <w:pPr>
              <w:pStyle w:val="Iauiue"/>
              <w:jc w:val="both"/>
              <w:rPr>
                <w:color w:val="000000" w:themeColor="text1"/>
                <w:sz w:val="16"/>
                <w:szCs w:val="16"/>
              </w:rPr>
            </w:pPr>
          </w:p>
        </w:tc>
        <w:tc>
          <w:tcPr>
            <w:tcW w:w="850" w:type="dxa"/>
          </w:tcPr>
          <w:p w14:paraId="0FDAFF4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w:t>
            </w:r>
          </w:p>
        </w:tc>
        <w:tc>
          <w:tcPr>
            <w:tcW w:w="851" w:type="dxa"/>
          </w:tcPr>
          <w:p w14:paraId="5F7F5C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26</w:t>
            </w:r>
          </w:p>
        </w:tc>
        <w:tc>
          <w:tcPr>
            <w:tcW w:w="850" w:type="dxa"/>
          </w:tcPr>
          <w:p w14:paraId="341F6A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w:t>
            </w:r>
          </w:p>
        </w:tc>
      </w:tr>
    </w:tbl>
    <w:p w14:paraId="275C6D5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Г-87, п/я 222</w:t>
      </w:r>
    </w:p>
    <w:p w14:paraId="1FDB88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Осипов (1959)</w:t>
      </w:r>
    </w:p>
    <w:p w14:paraId="4410BE4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Производственный профиль – металлическое самолетостроение (9754).</w:t>
      </w:r>
    </w:p>
    <w:p w14:paraId="516004C7" w14:textId="77777777" w:rsidR="00D4651C" w:rsidRPr="008127F8" w:rsidRDefault="00D4651C" w:rsidP="001E0A84">
      <w:pPr>
        <w:pStyle w:val="Iauiue"/>
        <w:jc w:val="both"/>
        <w:rPr>
          <w:color w:val="000000" w:themeColor="text1"/>
          <w:sz w:val="16"/>
          <w:szCs w:val="16"/>
        </w:rPr>
      </w:pPr>
    </w:p>
    <w:p w14:paraId="6BA42A78" w14:textId="77777777" w:rsidR="00BA3264" w:rsidRPr="008127F8" w:rsidRDefault="00BA3264" w:rsidP="001E0A84">
      <w:pPr>
        <w:pStyle w:val="af"/>
        <w:shd w:val="clear" w:color="auto" w:fill="FFFFFF"/>
        <w:spacing w:before="0" w:after="0"/>
        <w:jc w:val="both"/>
        <w:rPr>
          <w:color w:val="000000" w:themeColor="text1"/>
          <w:sz w:val="16"/>
          <w:szCs w:val="16"/>
        </w:rPr>
      </w:pPr>
      <w:r w:rsidRPr="008127F8">
        <w:rPr>
          <w:color w:val="000000" w:themeColor="text1"/>
          <w:sz w:val="16"/>
          <w:szCs w:val="16"/>
        </w:rPr>
        <w:t>15 января 1942 вышел приказ НКАП № 39сс</w:t>
      </w:r>
    </w:p>
    <w:p w14:paraId="13FE382E" w14:textId="77777777" w:rsidR="00BA3264" w:rsidRPr="008127F8" w:rsidRDefault="00BA326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 выпуске с 02.42 Ил-2 на 30-ом заводе (19706).</w:t>
      </w:r>
    </w:p>
    <w:p w14:paraId="1ABDF67C" w14:textId="77777777" w:rsidR="00BA3264" w:rsidRPr="008127F8" w:rsidRDefault="00BA3264" w:rsidP="001E0A84">
      <w:pPr>
        <w:pStyle w:val="af"/>
        <w:shd w:val="clear" w:color="auto" w:fill="FFFFFF"/>
        <w:spacing w:before="0" w:after="0"/>
        <w:jc w:val="both"/>
        <w:rPr>
          <w:color w:val="000000" w:themeColor="text1"/>
          <w:sz w:val="16"/>
          <w:szCs w:val="16"/>
        </w:rPr>
      </w:pPr>
    </w:p>
    <w:p w14:paraId="04A5A84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нарком и его ближайшие помощники рассматривали положение дел с выпуском Ил—2 в Молотове (Перми). Выясни</w:t>
      </w:r>
      <w:r w:rsidRPr="008127F8">
        <w:rPr>
          <w:rFonts w:ascii="Times New Roman" w:hAnsi="Times New Roman"/>
          <w:color w:val="000000" w:themeColor="text1"/>
          <w:sz w:val="16"/>
          <w:szCs w:val="16"/>
        </w:rPr>
        <w:softHyphen/>
        <w:t>лось: работа шла недопустимо медленно. Тогда реши</w:t>
      </w:r>
      <w:r w:rsidRPr="008127F8">
        <w:rPr>
          <w:rFonts w:ascii="Times New Roman" w:hAnsi="Times New Roman"/>
          <w:color w:val="000000" w:themeColor="text1"/>
          <w:sz w:val="16"/>
          <w:szCs w:val="16"/>
        </w:rPr>
        <w:softHyphen/>
        <w:t>ли расформировать завод № 135, а имевшуюся осна</w:t>
      </w:r>
      <w:r w:rsidRPr="008127F8">
        <w:rPr>
          <w:rFonts w:ascii="Times New Roman" w:hAnsi="Times New Roman"/>
          <w:color w:val="000000" w:themeColor="text1"/>
          <w:sz w:val="16"/>
          <w:szCs w:val="16"/>
        </w:rPr>
        <w:softHyphen/>
        <w:t>стку, созданный задел и часть трудового коллектива перевести в Москву и включить в состав завода № 30. Практически сразу после выхода соответствую</w:t>
      </w:r>
      <w:r w:rsidRPr="008127F8">
        <w:rPr>
          <w:rFonts w:ascii="Times New Roman" w:hAnsi="Times New Roman"/>
          <w:color w:val="000000" w:themeColor="text1"/>
          <w:sz w:val="16"/>
          <w:szCs w:val="16"/>
        </w:rPr>
        <w:softHyphen/>
        <w:t>щего приказа НКАП начали прибывать специалисты с куйбышевского завода № 18 и из ОКБ Ильюшина для налаживания выпуска в Москве Ил—2. Директо</w:t>
      </w:r>
      <w:r w:rsidRPr="008127F8">
        <w:rPr>
          <w:rFonts w:ascii="Times New Roman" w:hAnsi="Times New Roman"/>
          <w:color w:val="000000" w:themeColor="text1"/>
          <w:sz w:val="16"/>
          <w:szCs w:val="16"/>
        </w:rPr>
        <w:softHyphen/>
        <w:t>ром завода № 30 назначили А.А.Белянского, ранее ведавшего производством штурмовиков в Воронеже. На месте мастерских, где еще оставались ремонтиру</w:t>
      </w:r>
      <w:r w:rsidRPr="008127F8">
        <w:rPr>
          <w:rFonts w:ascii="Times New Roman" w:hAnsi="Times New Roman"/>
          <w:color w:val="000000" w:themeColor="text1"/>
          <w:sz w:val="16"/>
          <w:szCs w:val="16"/>
        </w:rPr>
        <w:softHyphen/>
        <w:t>емые МиГи, начали возникать механические и заго</w:t>
      </w:r>
      <w:r w:rsidRPr="008127F8">
        <w:rPr>
          <w:rFonts w:ascii="Times New Roman" w:hAnsi="Times New Roman"/>
          <w:color w:val="000000" w:themeColor="text1"/>
          <w:sz w:val="16"/>
          <w:szCs w:val="16"/>
        </w:rPr>
        <w:softHyphen/>
        <w:t>товительные цеха (9984).</w:t>
      </w:r>
    </w:p>
    <w:p w14:paraId="6234516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C22BD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 января по 23 февраля 1942 года летчик-испытатель НИИ ВВС КА майор А.К.Долгов выполнил на втором опытном экземп</w:t>
      </w:r>
      <w:r w:rsidRPr="008127F8">
        <w:rPr>
          <w:rFonts w:ascii="Times New Roman" w:hAnsi="Times New Roman"/>
          <w:color w:val="000000" w:themeColor="text1"/>
          <w:sz w:val="16"/>
          <w:szCs w:val="16"/>
        </w:rPr>
        <w:softHyphen/>
        <w:t>ляре самолета Су-6 («82») программу заводских испыта</w:t>
      </w:r>
      <w:r w:rsidRPr="008127F8">
        <w:rPr>
          <w:rFonts w:ascii="Times New Roman" w:hAnsi="Times New Roman"/>
          <w:color w:val="000000" w:themeColor="text1"/>
          <w:sz w:val="16"/>
          <w:szCs w:val="16"/>
        </w:rPr>
        <w:softHyphen/>
        <w:t>ний, 24 февраля самолет переле</w:t>
      </w:r>
      <w:r w:rsidRPr="008127F8">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2BCF60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DC4859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Из объяснительной записки директора завода № 22 Ю. Н. Карпова к акту проверки выполнения заводом производственного графика за ноябрь и декабрь 1941 г. Наркоматом госконтроля СССР</w:t>
      </w:r>
    </w:p>
    <w:p w14:paraId="074589E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hyperlink r:id="rId9" w:anchor="_ftn1" w:history="1">
        <w:r w:rsidRPr="008127F8">
          <w:rPr>
            <w:rFonts w:ascii="Times New Roman" w:hAnsi="Times New Roman"/>
            <w:color w:val="000000" w:themeColor="text1"/>
            <w:sz w:val="16"/>
            <w:szCs w:val="16"/>
          </w:rPr>
          <w:t>[1]</w:t>
        </w:r>
      </w:hyperlink>
      <w:r w:rsidRPr="008127F8">
        <w:rPr>
          <w:rFonts w:ascii="Times New Roman" w:hAnsi="Times New Roman"/>
          <w:color w:val="000000" w:themeColor="text1"/>
          <w:sz w:val="16"/>
          <w:szCs w:val="16"/>
        </w:rPr>
        <w:t xml:space="preserve"> I. Эвакуация</w:t>
      </w:r>
    </w:p>
    <w:p w14:paraId="11C86EE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Государственного Комитета Обороны завод № 22 подлежал эвакуации из Москвы в порядке двух очередей. Фактически по состоянию на 13 октября, когда еще не была закончена эвакуация первой очереди, последовало распоряжение НКАП о проведении полной эвакуации завода в течение двух дней. Естественно, что в сложившихся условиях заранее составленный план эвакуации не мог быть выполнен.</w:t>
      </w:r>
    </w:p>
    <w:p w14:paraId="5152B9A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этом свете совершенно неправильной является ссылка в акте на якобы «близорукое руководство эвакуацией», допустившее отгрузку незавершенного производства водным сообщением.</w:t>
      </w:r>
    </w:p>
    <w:p w14:paraId="6DA8340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обстановке тех дней и в связи с неподачей железнодорожных вагонов в достаточном количестве, погрузка задела на баржи была </w:t>
      </w:r>
      <w:proofErr w:type="gramStart"/>
      <w:r w:rsidRPr="008127F8">
        <w:rPr>
          <w:rFonts w:ascii="Times New Roman" w:hAnsi="Times New Roman"/>
          <w:color w:val="000000" w:themeColor="text1"/>
          <w:sz w:val="16"/>
          <w:szCs w:val="16"/>
        </w:rPr>
        <w:t>правильной</w:t>
      </w:r>
      <w:proofErr w:type="gramEnd"/>
      <w:r w:rsidRPr="008127F8">
        <w:rPr>
          <w:rFonts w:ascii="Times New Roman" w:hAnsi="Times New Roman"/>
          <w:color w:val="000000" w:themeColor="text1"/>
          <w:sz w:val="16"/>
          <w:szCs w:val="16"/>
        </w:rPr>
        <w:t xml:space="preserve"> и она была произведена по приказу НКАП.</w:t>
      </w:r>
    </w:p>
    <w:p w14:paraId="68E1930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указанном постановлении областные организации Татарской АССР обязывались подготовить для завода № 22 жилищный фонд для размещения прибывающих рабочих и служащих завода и их семей. Между тем, в этой части постановление выполнено не было. Прибывающие эшелоны с эвакуированным составом работающих завода выдвигали первоочередной вопрос о размещении людей. Приводимая ниже таблица показывает динамику прибытия людского состава из Москвы:</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0"/>
        <w:gridCol w:w="2160"/>
        <w:gridCol w:w="1800"/>
        <w:gridCol w:w="2280"/>
      </w:tblGrid>
      <w:tr w:rsidR="008127F8" w:rsidRPr="008127F8" w14:paraId="5F14088C" w14:textId="77777777" w:rsidTr="00011043">
        <w:trPr>
          <w:tblCellSpacing w:w="0" w:type="dxa"/>
        </w:trPr>
        <w:tc>
          <w:tcPr>
            <w:tcW w:w="1800" w:type="dxa"/>
            <w:tcBorders>
              <w:top w:val="outset" w:sz="6" w:space="0" w:color="auto"/>
              <w:left w:val="outset" w:sz="6" w:space="0" w:color="auto"/>
              <w:bottom w:val="outset" w:sz="6" w:space="0" w:color="auto"/>
              <w:right w:val="outset" w:sz="6" w:space="0" w:color="auto"/>
            </w:tcBorders>
            <w:hideMark/>
          </w:tcPr>
          <w:p w14:paraId="30D2C90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Даты</w:t>
            </w:r>
          </w:p>
        </w:tc>
        <w:tc>
          <w:tcPr>
            <w:tcW w:w="2160" w:type="dxa"/>
            <w:tcBorders>
              <w:top w:val="outset" w:sz="6" w:space="0" w:color="auto"/>
              <w:left w:val="outset" w:sz="6" w:space="0" w:color="auto"/>
              <w:bottom w:val="outset" w:sz="6" w:space="0" w:color="auto"/>
              <w:right w:val="outset" w:sz="6" w:space="0" w:color="auto"/>
            </w:tcBorders>
            <w:hideMark/>
          </w:tcPr>
          <w:p w14:paraId="217664E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прибывших</w:t>
            </w:r>
          </w:p>
        </w:tc>
        <w:tc>
          <w:tcPr>
            <w:tcW w:w="1800" w:type="dxa"/>
            <w:tcBorders>
              <w:top w:val="outset" w:sz="6" w:space="0" w:color="auto"/>
              <w:left w:val="outset" w:sz="6" w:space="0" w:color="auto"/>
              <w:bottom w:val="outset" w:sz="6" w:space="0" w:color="auto"/>
              <w:right w:val="outset" w:sz="6" w:space="0" w:color="auto"/>
            </w:tcBorders>
            <w:hideMark/>
          </w:tcPr>
          <w:p w14:paraId="5609286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Даты</w:t>
            </w:r>
          </w:p>
        </w:tc>
        <w:tc>
          <w:tcPr>
            <w:tcW w:w="2280" w:type="dxa"/>
            <w:tcBorders>
              <w:top w:val="outset" w:sz="6" w:space="0" w:color="auto"/>
              <w:left w:val="outset" w:sz="6" w:space="0" w:color="auto"/>
              <w:bottom w:val="outset" w:sz="6" w:space="0" w:color="auto"/>
              <w:right w:val="outset" w:sz="6" w:space="0" w:color="auto"/>
            </w:tcBorders>
            <w:hideMark/>
          </w:tcPr>
          <w:p w14:paraId="38603D1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прибывших</w:t>
            </w:r>
          </w:p>
        </w:tc>
      </w:tr>
      <w:tr w:rsidR="008127F8" w:rsidRPr="008127F8" w14:paraId="5FAF03B1" w14:textId="77777777" w:rsidTr="00011043">
        <w:trPr>
          <w:tblCellSpacing w:w="0" w:type="dxa"/>
        </w:trPr>
        <w:tc>
          <w:tcPr>
            <w:tcW w:w="1800" w:type="dxa"/>
            <w:tcBorders>
              <w:top w:val="outset" w:sz="6" w:space="0" w:color="auto"/>
              <w:left w:val="outset" w:sz="6" w:space="0" w:color="auto"/>
              <w:bottom w:val="outset" w:sz="6" w:space="0" w:color="auto"/>
              <w:right w:val="outset" w:sz="6" w:space="0" w:color="auto"/>
            </w:tcBorders>
            <w:hideMark/>
          </w:tcPr>
          <w:p w14:paraId="1E98CC5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ноября</w:t>
            </w:r>
          </w:p>
          <w:p w14:paraId="66E4B5A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15 ноября</w:t>
            </w:r>
          </w:p>
          <w:p w14:paraId="6F1A4F9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декабря</w:t>
            </w:r>
          </w:p>
        </w:tc>
        <w:tc>
          <w:tcPr>
            <w:tcW w:w="2160" w:type="dxa"/>
            <w:tcBorders>
              <w:top w:val="outset" w:sz="6" w:space="0" w:color="auto"/>
              <w:left w:val="outset" w:sz="6" w:space="0" w:color="auto"/>
              <w:bottom w:val="outset" w:sz="6" w:space="0" w:color="auto"/>
              <w:right w:val="outset" w:sz="6" w:space="0" w:color="auto"/>
            </w:tcBorders>
            <w:hideMark/>
          </w:tcPr>
          <w:p w14:paraId="5F6B3D7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15390</w:t>
            </w:r>
          </w:p>
          <w:p w14:paraId="3022360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25650</w:t>
            </w:r>
          </w:p>
          <w:p w14:paraId="2B7F9A0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31268</w:t>
            </w:r>
          </w:p>
        </w:tc>
        <w:tc>
          <w:tcPr>
            <w:tcW w:w="1800" w:type="dxa"/>
            <w:tcBorders>
              <w:top w:val="outset" w:sz="6" w:space="0" w:color="auto"/>
              <w:left w:val="outset" w:sz="6" w:space="0" w:color="auto"/>
              <w:bottom w:val="outset" w:sz="6" w:space="0" w:color="auto"/>
              <w:right w:val="outset" w:sz="6" w:space="0" w:color="auto"/>
            </w:tcBorders>
            <w:hideMark/>
          </w:tcPr>
          <w:p w14:paraId="59452FE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15 декабря</w:t>
            </w:r>
          </w:p>
          <w:p w14:paraId="4E4B6238" w14:textId="66DF3181" w:rsidR="003E12B0" w:rsidRPr="008127F8" w:rsidRDefault="008127F8" w:rsidP="001E0A84">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3E12B0" w:rsidRPr="008127F8">
              <w:rPr>
                <w:rFonts w:ascii="Times New Roman" w:hAnsi="Times New Roman"/>
                <w:color w:val="000000" w:themeColor="text1"/>
                <w:sz w:val="16"/>
                <w:szCs w:val="16"/>
              </w:rPr>
              <w:t>на 1 января</w:t>
            </w:r>
          </w:p>
        </w:tc>
        <w:tc>
          <w:tcPr>
            <w:tcW w:w="2280" w:type="dxa"/>
            <w:tcBorders>
              <w:top w:val="outset" w:sz="6" w:space="0" w:color="auto"/>
              <w:left w:val="outset" w:sz="6" w:space="0" w:color="auto"/>
              <w:bottom w:val="outset" w:sz="6" w:space="0" w:color="auto"/>
              <w:right w:val="outset" w:sz="6" w:space="0" w:color="auto"/>
            </w:tcBorders>
            <w:hideMark/>
          </w:tcPr>
          <w:p w14:paraId="3D03EC1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32766</w:t>
            </w:r>
          </w:p>
          <w:p w14:paraId="5A85F25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32766</w:t>
            </w:r>
          </w:p>
        </w:tc>
      </w:tr>
    </w:tbl>
    <w:p w14:paraId="582D827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как эшелоны с эвакуированными прибывали неравномерно, создавалась чрезвычайно тяжелая обстановка, усугубляемая наступившими холодами. Независимо от этой большой и ответственной работы по размещению рабочих завода и членов их семей, руководство заводом одновременно включало прибывающих рабочих в производство завода № 124, организовало расстановку прибывающего командного состава и основные силы сосредоточило на разгрузке прибывающих эшелонов с оборудованием и материалами.</w:t>
      </w:r>
    </w:p>
    <w:p w14:paraId="64F27E3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весь период эвакуации прибыло 1831 вагон с материалами и оборудованием. Завод № 124, на который было вначале возложено производить разгрузку прибывающих эшелонов, не был в состоянии справиться с этой большой работой, так как не располагал транспортными средствами, имея в наличии лишь 2 трактора.</w:t>
      </w:r>
    </w:p>
    <w:p w14:paraId="45E121A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первых числах ноября месяца разгрузка эшелонов была передана руководству заводом № 22. Эта разгрузка осуществлялась путем организации специальных бригад рабочих во главе с начальниками цехов. Почти весь командный состав завода также был оставлен на работе по разгрузке.</w:t>
      </w:r>
    </w:p>
    <w:p w14:paraId="68D3FDE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весь период эвакуации было разгружено и завезено в цеха 2197 единиц оборудования, не считая материалов, задела, инструментов, приспособления и прочих материально-имущественных ценностей.</w:t>
      </w:r>
    </w:p>
    <w:p w14:paraId="27C117C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Вопросы обеспечения прибывших из Москвы рабочих и служащих и их семей жильем, хотя бы по самой минимальной норме, не разрешены полностью и до настоящего времени. Одновременно необходимо было обеспечить вопросы питания рабочих, так как существовавшая на заводе № 124 столовая не имела необходимой пропускной способности. Работы по эвакуации продолжались до декабря месяца и только с этого времени начальник 10-го Главного управления т. Тарасевич признал возможным считать, что эти работы в основном закончены. Между тем в акте вопросы эвакуации, большой объем связанных с нею работ и трудности восстановления завода совершенно опускаются. Эта область деятельности руководства заводом, всего командного состава и коллектива рабочих в акте не учитывается, а наоборот, допускается подход при оценке хода производства, который применим лишь по отношению к действующему предприятию.</w:t>
      </w:r>
    </w:p>
    <w:p w14:paraId="35BB283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Восстановление завода № 22 на новой территории</w:t>
      </w:r>
    </w:p>
    <w:p w14:paraId="6802421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акте совершенно неправильно указывается, что на 1 декабря 1941 г. завод смонтировал лишь 157 металлорежущих станков или 8 % от прибывшего парка оборудования. В действительности на 1 декабря было смонтировано 1416 единиц оборудования или 54 % от прибывшего к тому времени из Москвы, а сдано в эксплуатацию 1001 единиц оборудования или 38 % от прибывшего наличия.</w:t>
      </w:r>
    </w:p>
    <w:p w14:paraId="39AE0EC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того, чтобы не допустить демонтаж оборудования, принадлежащего заводу № 124 и установленного на территории, которая по планировке, утвержденной зам. наркома т. Дементьевым, отходила к заводу № 22, было принято решение об обмене оборудования и об установке значительной части станочного парка, прибывшего из Москвы, на новых производственных площадях завода № 124 и оставлении на месте большей части оборудования, принадлежащего заводу № 124. […]</w:t>
      </w:r>
    </w:p>
    <w:p w14:paraId="65789D8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Организация производства</w:t>
      </w:r>
    </w:p>
    <w:p w14:paraId="5F407D0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момент приезда завода № 22 завод № 124 имел у себя резко выраженную функциональную систему организации производства, которая была подчинена соответствующей функциональной технологии.</w:t>
      </w:r>
    </w:p>
    <w:p w14:paraId="4809D48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этого завод № 124 имел централизованный цех слесарно-сварочный, цех штамповочный и цех заготовительный.</w:t>
      </w:r>
    </w:p>
    <w:p w14:paraId="3C2B2E7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противоположность этому организация завода № 22 в Москве была предметной, с соответствующе разработанной под эту организацию технологией на машину Пе-2.</w:t>
      </w:r>
    </w:p>
    <w:p w14:paraId="5FA2428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Цеха завода № 22 были построены по замкнутому циклу, имея у себя мастерские, начиная от заготовительных и кончая общесборочными.</w:t>
      </w:r>
    </w:p>
    <w:p w14:paraId="6EDF10D4"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такой организации цехов завода № 22, была сведена к возможному минимуму взаимосвязь цехов в части сдачи деталей одним цехом другому.</w:t>
      </w:r>
    </w:p>
    <w:p w14:paraId="7E95826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завод № 22 имел принципиально отличную систему организации производства и технологию от завода № 124, а так как завод № 22 вливался в завод № 124 в той части, которая была занята по производству машины Пе-2, он, следовательно, должен был принять технологию завода № 124 и в течение некоторого времени работать по этой технологии, хотя технология завода № 22 в своем большинстве имела преимущества по отношению к технологии завода № 124.</w:t>
      </w:r>
    </w:p>
    <w:p w14:paraId="48B8D77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Принятием такого решения был обеспечен выпуск самолетов заводом № 22 на всем протяжении организации цехов завода № 22 под собственную технологию.</w:t>
      </w:r>
    </w:p>
    <w:p w14:paraId="762F3B5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Переход на технологию завода № 22 вызвал необходимость полной реорганизации, а в некоторых случаях и полного упразднения отдельных цехов завода № 124. […]</w:t>
      </w:r>
    </w:p>
    <w:p w14:paraId="0D0522A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Такая крупная реорганизация цехов сказывается на выпуске агрегатов и самой программы, тем более что ее приходится проводить в два этапа:</w:t>
      </w:r>
    </w:p>
    <w:p w14:paraId="190FE9D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этап при наличии двух заводов;</w:t>
      </w:r>
    </w:p>
    <w:p w14:paraId="128AB04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этап при объединении обоих заводов, благодаря чему завод № 22 много потерял во времени на организацию производства. […]</w:t>
      </w:r>
    </w:p>
    <w:p w14:paraId="6D995F1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декабря 1941 г. завод № 22 после эвакуации в Казань не располагал необходимыми производственными мощностями и наличием незавершенного производства, соответствующими производственной программе на декабрь месяц в количестве 194 самолетов, не говоря уже о том, что в течение декабря месяца велась работа по организации производства в цехах с целью обеспечения комплектного выпуска на всех участках и во всех стадиях производства.</w:t>
      </w:r>
    </w:p>
    <w:p w14:paraId="2FE20A9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январь месяц после слияния заводов № 22 и № 124 Государственный Комитет Обороны утвердил программу в количестве 109 самолетов с выпуском со 2-го по 13 января по три самолета в день. […]</w:t>
      </w:r>
    </w:p>
    <w:p w14:paraId="0DBDFC4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О производстве лыж</w:t>
      </w:r>
    </w:p>
    <w:p w14:paraId="4C84286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ноября 1941 г. на момент передачи заводом № 124 заводу № 22 деревообделочного цеха № 27 в нем числилось всего 112 человек рабочих, работающих по изготовлению лыж. По технологии, полученной от завода № 124, норма времени на изготовление цехом № 27 одного комплекта лыж составляет 500 часов. Считая выполнение норм равным 100 %, хотя фактически имелась недоработка, цех имел мощность и мог сдавать при 11-ти часовом рабочем дне не более 2,5 комплектов в день. Пополнение цеха № 27 рабочей силой началось только в декабре месяце из числа рабочих, прибывших в ноябре, и в настоящее время пропускная способность цеха достигает 4-5 машин в день.</w:t>
      </w:r>
    </w:p>
    <w:p w14:paraId="050FC86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Вторым фактором, тормозящим разворот производства лыж, является сушильная камера. Существующая котельная – установка малопроизводительна и неэкономична в части топлива, которым являются дрова. Подвоз дров к котельной цеха № 27 из-за отсутствия бензина в течение всего декабря месяца не производился, в силу чего сушильная камера работала с большими перебоями, ограниченное время, не обеспечивая сухим лесом в необходимом количестве производство лыж.</w:t>
      </w:r>
    </w:p>
    <w:p w14:paraId="4986B822"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завод № 124 на момент передачи выпустил всего один комплект лыж, полностью законченных, то завод № 22 после приемки цеха на время с 17 ноября по 1 декабря наладил серийное производство и обеспечил ежедневный выпуск лыж.</w:t>
      </w:r>
    </w:p>
    <w:p w14:paraId="5052BF1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Задержки в выпуске самолетов из-за отсутствия деревянной части лыж в течение декабря месяца не было. Что касается выпуска во второй половине ноября месяца самолетов с летним вариантом шасси, о чем отмечено в акте, то это обстоятельство объясняется неподготовленностью бывшего завода № 124 к производству лыж с 15 ноября, а завод № 22, принявший лыжный цех с 17 ноября, естественно не мог в течение двух-трех дней так развернуть производство, чтобы лыжи немедленно стали поступать на сборку. […]</w:t>
      </w:r>
    </w:p>
    <w:p w14:paraId="117A1E9E"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Выпущенные во второй половине ноября месяца и в первых числах декабря месяца самолеты принимались старшим военпредом с разрешения ГУ ВВС КА без установки зимнего шасси и лыж под гарантию завода о переоборудовании этих самолетов в воинских частях. Установка лыж была начата немедленно силами ОЭР завода после выхода лыж из производства. […]</w:t>
      </w:r>
    </w:p>
    <w:p w14:paraId="14F5428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и эксплуатация самолета с зимним шасси выявила ряд конструктивных недочетов, которые потребовали внесения изменений в конструкцию, а именно – введение упоров (замка) и усиление деревянной части лыж, что, безусловно, отразилось на количествах выпуска.</w:t>
      </w:r>
    </w:p>
    <w:p w14:paraId="2006188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переходом на усиленную конструкцию лыж завод вынужден переделать свой задел в количестве 83 комплектов и переделать все ранее выпущенные лыжи как поставленные, так и еще не поставленные на самолеты. […]</w:t>
      </w:r>
    </w:p>
    <w:p w14:paraId="24E8951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22 Карпов</w:t>
      </w:r>
    </w:p>
    <w:p w14:paraId="09AC723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РТ. Ф. Р-2845. Оп. 3. Д. 163. Л. 44-57. Отпуск (15494).</w:t>
      </w:r>
    </w:p>
    <w:p w14:paraId="37A6802C"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243122A0"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января 1942 г. Из объяснительной записки директора завода № 22 Ю. Н. Карпова к акту проверки выполнения заводом производственного графика за ноябрь и декабрь 1941 г. Наркоматом госконтроля СССР</w:t>
      </w:r>
    </w:p>
    <w:p w14:paraId="0C0A2354"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(опущены части текста по содержанию акта по проверке, монтажу оборудования, монтажно-строительным работам, о дефектах на самолетах №№ 918 и 1012 и подготовленности аэродрома завода к зиме)</w:t>
      </w:r>
    </w:p>
    <w:p w14:paraId="7BFA00C3"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I. Эвакуация</w:t>
      </w:r>
    </w:p>
    <w:p w14:paraId="40FC4255"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постановлением Государственного Комитета Обороны завод № 22 подлежал эвакуации из Москвы в порядке двух очередей. Фактически по состоянию на 13 октября, когда еще не была закончена эвакуация первой очереди, последовало распоряжение НКАП о проведении полной эвакуации завода в течение двух дней. Естественно, что в сложившихся условиях заранее составленный план эвакуации не мог быть выполнен.</w:t>
      </w:r>
    </w:p>
    <w:p w14:paraId="28899CB5"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этом свете совершенно неправильной является ссылка в акте на якобы «близорукое руководство эвакуацией», допустившее отгрузку незавершенного производства водным сообщением.</w:t>
      </w:r>
    </w:p>
    <w:p w14:paraId="424D9FD3"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обстановке тех дней и в связи с неподачей железнодорожных вагонов в достаточном количестве, погрузка задела на баржи была </w:t>
      </w:r>
      <w:proofErr w:type="gramStart"/>
      <w:r w:rsidRPr="008A2E5A">
        <w:rPr>
          <w:rFonts w:ascii="Times New Roman" w:hAnsi="Times New Roman"/>
          <w:color w:val="0070C0"/>
          <w:sz w:val="16"/>
          <w:szCs w:val="16"/>
        </w:rPr>
        <w:t>правильной</w:t>
      </w:r>
      <w:proofErr w:type="gramEnd"/>
      <w:r w:rsidRPr="008A2E5A">
        <w:rPr>
          <w:rFonts w:ascii="Times New Roman" w:hAnsi="Times New Roman"/>
          <w:color w:val="0070C0"/>
          <w:sz w:val="16"/>
          <w:szCs w:val="16"/>
        </w:rPr>
        <w:t xml:space="preserve"> и она была произведена по приказу НКАП.</w:t>
      </w:r>
    </w:p>
    <w:p w14:paraId="36F933D9"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указанном постановлении областные организации Татарской АССР обязывались подготовить для завода № 22 жилищный фонд для размещения прибывающих рабочих и служащих завода и их семей. Между тем, в этой части постановление выполнено не было. Прибывающие эшелоны с эвакуированным составом работающих завода выдвигали первоочередной вопрос о размещении людей. Приводимая ниже таблица показывает динамику прибытия людского состава из Москвы:</w:t>
      </w:r>
    </w:p>
    <w:p w14:paraId="1146EFA4"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Даты</w:t>
      </w:r>
      <w:r w:rsidRPr="008A2E5A">
        <w:rPr>
          <w:rFonts w:ascii="Times New Roman" w:hAnsi="Times New Roman"/>
          <w:color w:val="0070C0"/>
          <w:sz w:val="16"/>
          <w:szCs w:val="16"/>
        </w:rPr>
        <w:tab/>
        <w:t>Число прибывших</w:t>
      </w:r>
      <w:r w:rsidRPr="008A2E5A">
        <w:rPr>
          <w:rFonts w:ascii="Times New Roman" w:hAnsi="Times New Roman"/>
          <w:color w:val="0070C0"/>
          <w:sz w:val="16"/>
          <w:szCs w:val="16"/>
        </w:rPr>
        <w:tab/>
        <w:t>Даты</w:t>
      </w:r>
      <w:r w:rsidRPr="008A2E5A">
        <w:rPr>
          <w:rFonts w:ascii="Times New Roman" w:hAnsi="Times New Roman"/>
          <w:color w:val="0070C0"/>
          <w:sz w:val="16"/>
          <w:szCs w:val="16"/>
        </w:rPr>
        <w:tab/>
        <w:t>Число прибывших</w:t>
      </w:r>
    </w:p>
    <w:p w14:paraId="696417F4"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ноября</w:t>
      </w:r>
      <w:r w:rsidRPr="008A2E5A">
        <w:rPr>
          <w:rFonts w:ascii="Times New Roman" w:hAnsi="Times New Roman"/>
          <w:color w:val="0070C0"/>
          <w:sz w:val="16"/>
          <w:szCs w:val="16"/>
        </w:rPr>
        <w:tab/>
        <w:t>15390</w:t>
      </w:r>
      <w:r w:rsidRPr="008A2E5A">
        <w:rPr>
          <w:rFonts w:ascii="Times New Roman" w:hAnsi="Times New Roman"/>
          <w:color w:val="0070C0"/>
          <w:sz w:val="16"/>
          <w:szCs w:val="16"/>
        </w:rPr>
        <w:tab/>
        <w:t>на '15 декабря</w:t>
      </w:r>
      <w:r w:rsidRPr="008A2E5A">
        <w:rPr>
          <w:rFonts w:ascii="Times New Roman" w:hAnsi="Times New Roman"/>
          <w:color w:val="0070C0"/>
          <w:sz w:val="16"/>
          <w:szCs w:val="16"/>
        </w:rPr>
        <w:tab/>
        <w:t>32766</w:t>
      </w:r>
    </w:p>
    <w:p w14:paraId="3FF7E061"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15 ноября</w:t>
      </w:r>
      <w:r w:rsidRPr="008A2E5A">
        <w:rPr>
          <w:rFonts w:ascii="Times New Roman" w:hAnsi="Times New Roman"/>
          <w:color w:val="0070C0"/>
          <w:sz w:val="16"/>
          <w:szCs w:val="16"/>
        </w:rPr>
        <w:tab/>
        <w:t>25650</w:t>
      </w:r>
      <w:r w:rsidRPr="008A2E5A">
        <w:rPr>
          <w:rFonts w:ascii="Times New Roman" w:hAnsi="Times New Roman"/>
          <w:color w:val="0070C0"/>
          <w:sz w:val="16"/>
          <w:szCs w:val="16"/>
        </w:rPr>
        <w:tab/>
        <w:t>на 1 января</w:t>
      </w:r>
      <w:r w:rsidRPr="008A2E5A">
        <w:rPr>
          <w:rFonts w:ascii="Times New Roman" w:hAnsi="Times New Roman"/>
          <w:color w:val="0070C0"/>
          <w:sz w:val="16"/>
          <w:szCs w:val="16"/>
        </w:rPr>
        <w:tab/>
        <w:t>32766</w:t>
      </w:r>
    </w:p>
    <w:p w14:paraId="2367C2EE"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декабря</w:t>
      </w:r>
      <w:r w:rsidRPr="008A2E5A">
        <w:rPr>
          <w:rFonts w:ascii="Times New Roman" w:hAnsi="Times New Roman"/>
          <w:color w:val="0070C0"/>
          <w:sz w:val="16"/>
          <w:szCs w:val="16"/>
        </w:rPr>
        <w:tab/>
        <w:t>31268</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5EADE832"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как эшелоны с эвакуированными прибывали неравномерно, создавалась чрезвычайно тяжелая обстановка, усугубляемая наступившими холодами. Независимо от этой большой и ответственной работы по размещению рабочих завода и членов их семей, руководство заводом одновременно включало прибывающих рабочих в производство завода № 124, организовало расстановку прибывающего командного состава и основные силы сосредоточило на разгрузке прибывающих эшелонов с оборудованием и материалами.</w:t>
      </w:r>
    </w:p>
    <w:p w14:paraId="50B1A7CC"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весь период эвакуации прибыло 1831 вагон с материалами и оборудованием. Завод № 124, на который было вначале возложено производить разгрузку прибывающих эшелонов, не был в состоянии справиться с этой большой работой, так как не располагал транспортными средствами, имея в наличии лишь 2 трактора.</w:t>
      </w:r>
    </w:p>
    <w:p w14:paraId="4A7F0A96"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первых числах ноября месяца разгрузка эшелонов была передана руководству заводом № 22. Эта разгрузка осуществлялась путем организации специальных бригад рабочих во главе с начальниками цехов. Почти весь командный состав завода также был оставлен на работе по разгрузке.</w:t>
      </w:r>
    </w:p>
    <w:p w14:paraId="06C5EF4B"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весь период эвакуации было разгружено и завезено в цеха 2197 единиц оборудования, не считая материалов, задела, инструментов, приспособления и прочих материально-имущественных ценностей.</w:t>
      </w:r>
    </w:p>
    <w:p w14:paraId="7279B8B4"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Вопросы обеспечения прибывших из Москвы рабочих и служащих и их семей жильем, хотя бы по самой минимальной норме, не разрешены полностью и до настоящего времени. Одновременно необходимо было обеспечить вопросы питания рабочих, так как существовавшая на заводе № 124 столовая не имела необходимой пропускной способности. Работы по эвакуации продолжались до декабря месяца и только с этого времени начальник 10-го Главного управления т. Тарасевич признал возможным считать, что эти работы в основном закончены. Между тем в акте вопросы эвакуации, большой объем связанных с нею работ и трудности восстановления завода совершенно опускаются. Эта область деятельности руководства заводом, всего командного состава и коллектива рабочих в акте не учитывается, а наоборот, допускается подход при оценке хода производства, который применим лишь по отношению к действующему предприятию.</w:t>
      </w:r>
    </w:p>
    <w:p w14:paraId="42AFD4E4"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Восстановление завода № 22 на новой территории</w:t>
      </w:r>
    </w:p>
    <w:p w14:paraId="6E870046"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акте совершенно неправильно указывается, что на 1 декабря 1941 г. завод смонтировал лишь 157 металлорежущих станков или 8% от прибывшего парка оборудования. В действительности на 1 декабря было смонтировано 1416 единиц оборудования или 54% от прибывшего к тому времени из Москвы, а сдано в эксплуатацию 1001 единиц оборудования или 38% от прибывшего наличия.</w:t>
      </w:r>
    </w:p>
    <w:p w14:paraId="4C226847"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того, чтобы не допустить демонтаж оборудования, принадлежащего заводу № 124 и установленного на территории, которая по планировке, утвержденной зам. наркома т. Дементьевым, отходила к заводу № 22, было принято решение об обмене оборудования и об установке значительной части станочного парка, прибывшего из Москвы, на новых производственных площадях завода № 124 и оставлении на месте большей части оборудования, принадлежащего заводу № 124. [...]</w:t>
      </w:r>
    </w:p>
    <w:p w14:paraId="5F074688"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Организация производства</w:t>
      </w:r>
    </w:p>
    <w:p w14:paraId="3529A7F9"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момент приезда завода № 22 завод № 124 имел у себя резко выраженную функциональную систему организации производства, которая была подчинена соответствующей функциональной технологии.</w:t>
      </w:r>
    </w:p>
    <w:p w14:paraId="1A1DC9C2"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этого завод № 124 имел централизованный цех слесарно-сварочный, цех штамповочный и цех заготовительный.</w:t>
      </w:r>
    </w:p>
    <w:p w14:paraId="03D1EA34"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противоположность этому организация завода № 22 в Москве была предметной, с соответствующе разработанной под эту организацию технологией на машину Пе-2.</w:t>
      </w:r>
    </w:p>
    <w:p w14:paraId="27126E63"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Цеха завода № 22 были построены по замкнутому циклу, имея у себя мастерские, начиная от заготовительных и кончая общесборочными.</w:t>
      </w:r>
    </w:p>
    <w:p w14:paraId="092186DD"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силу такой организации цехов завода № 22, была сведена к возможному минимуму взаимосвязь цехов в части сдачи деталей одним цехом другому.</w:t>
      </w:r>
    </w:p>
    <w:p w14:paraId="663F76EB"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Таким образом, завод № 22 имел принципиально отличную систему организации производства и технологию от завода № 124, а так как завод № 22 вливался в завод № 124 в той части, которая была занята по производству машины Пе-2, он, следовательно, должен был принять технологию завода № 124 и в течение некоторого времени работать по этой технологии, хотя технология завода № 22 в своем большинстве имела преимущества по отношению к технологии завода № 124.</w:t>
      </w:r>
    </w:p>
    <w:p w14:paraId="2BC1FCC6"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Принятием такого решения был обеспечен выпуск самолетов заводом № 22 на всем протяжении организации цехов завода № 22 под собственную технологию.</w:t>
      </w:r>
    </w:p>
    <w:p w14:paraId="4C0B04E1"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на технологию завода № 22 вызвал необходимость полной реорганизации, а в некоторых случаях и полного упразднения отдельных цехов завода № 124. [...]</w:t>
      </w:r>
    </w:p>
    <w:p w14:paraId="5DC71A7B"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Такая крупная реорганизация цехов сказывается на выпуске агрегатов и самой программы, тем более что ее приходится проводить в два этапа:</w:t>
      </w:r>
    </w:p>
    <w:p w14:paraId="3A4FCC5B"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этап при наличии двух заводов;</w:t>
      </w:r>
    </w:p>
    <w:p w14:paraId="225F9993"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этап при объединении обоих заводов, благодаря чему завод № 22 много потерял во времени на организацию производства.</w:t>
      </w:r>
    </w:p>
    <w:p w14:paraId="48936010"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58D92079"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 декабря 1941 г. завод № 22 после эвакуации в Казань не располагал необходимыми производственными мощностями и наличием незавершенного производства, соответствующими производственной программе на декабрь месяц в количестве 194 самолетов, не говоря уже о том, что в течение декабря месяца велась работа по организации производства в цехах с целью обеспечения комплектного выпуска на всех участках и во всех стадиях производства.</w:t>
      </w:r>
    </w:p>
    <w:p w14:paraId="1CBFB9EB"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январь месяц после слияния заводов № 22 и № 124 Государственный Комитет Обороны утвердил программу в количестве 109 самолетов с выпуском со 2-го по 13 января по три самолета в день. [...]</w:t>
      </w:r>
    </w:p>
    <w:p w14:paraId="024C3ECC"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О производстве лыж</w:t>
      </w:r>
    </w:p>
    <w:p w14:paraId="4211C418"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ноября 1941 г. на момент передачи заводом № 124 заводу № 22 деревообделочного цеха № 27 в нем числилось всего 112 человек рабочих, работающих по изготовлению лыж. По технологии, полученной от завода № 124, норма времени на изготовление цехом № 27 одного комплекта лыж составляет 500 часов. Считая выполнение норм равным 100 %, хотя фактически имелась недоработка, цех имел мощность и мог сдавать при 11-ти часовом рабочем дне не более 2,5 комплектов в день.</w:t>
      </w:r>
    </w:p>
    <w:p w14:paraId="3E9C9819"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Пополнение цеха № 27 рабочей силой началось только в декабре месяце из числа рабочих, прибывших в ноябре, и в настоящее время пропускная способность цеха достигает 4-5 машин в день.</w:t>
      </w:r>
    </w:p>
    <w:p w14:paraId="1883DD96"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Вторым фактором, тормозящим разворот производства лыж, является сушильная камера. Существующая котельная — установка малопроизводительна и неэкономична в части топлива, которым являются дрова. Подвоз дров к котельной цеха № 27 из-за отсутствия бензина в течение всего декабря месяца не производился, в силу чего сушильная камера работала с большими перебоями, ограниченное время, не обеспечивая сухим лесом в необходимом количестве производство лыж.</w:t>
      </w:r>
    </w:p>
    <w:p w14:paraId="15D8898E"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завод № 124 на момент передачи выпустил всего один комплект лыж, полностью законченных, то завод № 22 после приемки цеха на время с 17 ноября по 1 декабря наладил серийное производство и обеспечил ежедневный выпуск лыж.</w:t>
      </w:r>
    </w:p>
    <w:p w14:paraId="2F21B9B2"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Задержки в выпуске самолетов из-за отсутствия деревянной части лыж в течение декабря месяца не было. Что касается выпуска во второй половине ноября месяца самолетов с летним вариантом шасси, о чем отмечено в акте, то это обстоятельство объясняется неподготовленностью бывшего завода № 124 к производству лыж с 15 ноября, а завод № 22, принявший лыжный цех с 17 ноября, естественно не мог в течение двух-трех дней так развернуть производство, чтобы лыжи немедленно стали поступать на сборку. [...]</w:t>
      </w:r>
    </w:p>
    <w:p w14:paraId="3BDDA27A"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Выпущенные во второй половине ноября месяца и в первых числах декабря месяца самолеты принимались старшим военпредом с разрешения ГУ ВВС КА без установки зимнего шасси и лыж под гарантию завода о переоборудовании этих самолетов в воинских частях. Установка лыж была начата немедленно силами ОЭР завода после выхода лыж из производства. [...]</w:t>
      </w:r>
    </w:p>
    <w:p w14:paraId="40AF00BB"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и эксплуатация самолета с зимним шасси выявила ряд конструктивных недочетов, которые потребовали внесения изменений в конструкцию, а именно — введение упоров (замка) и усиление деревянной части лыж, что, безусловно, отразилось на количествах выпуска.</w:t>
      </w:r>
    </w:p>
    <w:p w14:paraId="14BBDAAE"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переходом на усиленную конструкцию лыж завод вынужден переделать свой задел в количестве 83 комплектов и переделать все ранее выпущенные лыжи как поставленные, так и еще не поставленные на самолеты. [...]</w:t>
      </w:r>
    </w:p>
    <w:p w14:paraId="05C10966"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Карпов</w:t>
      </w:r>
    </w:p>
    <w:p w14:paraId="59924CC5" w14:textId="77777777" w:rsidR="005D2DCF" w:rsidRPr="008A2E5A" w:rsidRDefault="005D2DCF" w:rsidP="005D2D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163 Л. 44-57. Отпуск (23657).</w:t>
      </w:r>
    </w:p>
    <w:p w14:paraId="5C97FCAE" w14:textId="77777777" w:rsidR="005D2DCF" w:rsidRPr="008A2E5A" w:rsidRDefault="005D2DCF" w:rsidP="005D2DCF">
      <w:pPr>
        <w:spacing w:after="0" w:line="240" w:lineRule="auto"/>
        <w:jc w:val="both"/>
        <w:rPr>
          <w:rFonts w:ascii="Times New Roman" w:hAnsi="Times New Roman"/>
          <w:color w:val="0070C0"/>
          <w:sz w:val="16"/>
          <w:szCs w:val="16"/>
        </w:rPr>
      </w:pPr>
    </w:p>
    <w:p w14:paraId="098FE9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Нач. УВВС НКВМФ г-л Жаворонкова работ в письме в НКАП перечислил задачи в области морского самолетостроения (1648,67).</w:t>
      </w:r>
    </w:p>
    <w:p w14:paraId="71096B29" w14:textId="77777777" w:rsidR="00D4651C" w:rsidRPr="008127F8" w:rsidRDefault="00D4651C" w:rsidP="001E0A84">
      <w:pPr>
        <w:pStyle w:val="Iauiue"/>
        <w:jc w:val="both"/>
        <w:rPr>
          <w:color w:val="000000" w:themeColor="text1"/>
          <w:sz w:val="16"/>
          <w:szCs w:val="16"/>
        </w:rPr>
      </w:pPr>
    </w:p>
    <w:p w14:paraId="1160F03E" w14:textId="77777777" w:rsidR="00BA3264" w:rsidRPr="008127F8" w:rsidRDefault="00BA3264" w:rsidP="001E0A84">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8127F8">
        <w:rPr>
          <w:rFonts w:ascii="Times New Roman" w:eastAsia="TimesNewRomanPSMT" w:hAnsi="Times New Roman"/>
          <w:color w:val="000000" w:themeColor="text1"/>
          <w:sz w:val="16"/>
          <w:szCs w:val="16"/>
        </w:rPr>
        <w:t>С 15 января 1942 года на основании Постановления Совета Народных Комиссаров (СНК) СССР от 5 января 1942 года и приказа по Главному управлению Северного морского пути от 13 января 1942 года за № Р-4 завод им. Побежимова передается заводу № 477 НКАП по балансу на 1 января 1942 года со всеми активами и пассивом. Руководство всеми производственными процессами и распоряжение всеми без исключения имущественно-материальными ценностями и денежными средствами переходит полностью к руководству завода № 477 НКАП.</w:t>
      </w:r>
    </w:p>
    <w:p w14:paraId="4EED472D" w14:textId="77777777" w:rsidR="00BA3264" w:rsidRPr="008127F8" w:rsidRDefault="00BA3264" w:rsidP="001E0A84">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8127F8">
        <w:rPr>
          <w:rFonts w:ascii="Times New Roman" w:eastAsia="TimesNewRomanPSMT" w:hAnsi="Times New Roman"/>
          <w:color w:val="000000" w:themeColor="text1"/>
          <w:sz w:val="16"/>
          <w:szCs w:val="16"/>
        </w:rPr>
        <w:t xml:space="preserve">Передав ремонт самолетов полярной авиации ЦАРБе, завод № 477 продолжал выполнять задания по изготовлению деталей и узлов для самолетов СБ </w:t>
      </w:r>
      <w:proofErr w:type="gramStart"/>
      <w:r w:rsidRPr="008127F8">
        <w:rPr>
          <w:rFonts w:ascii="Times New Roman" w:eastAsia="TimesNewRomanPSMT" w:hAnsi="Times New Roman"/>
          <w:color w:val="000000" w:themeColor="text1"/>
          <w:sz w:val="16"/>
          <w:szCs w:val="16"/>
        </w:rPr>
        <w:t>( крылья</w:t>
      </w:r>
      <w:proofErr w:type="gramEnd"/>
      <w:r w:rsidRPr="008127F8">
        <w:rPr>
          <w:rFonts w:ascii="Times New Roman" w:eastAsia="TimesNewRomanPSMT" w:hAnsi="Times New Roman"/>
          <w:color w:val="000000" w:themeColor="text1"/>
          <w:sz w:val="16"/>
          <w:szCs w:val="16"/>
        </w:rPr>
        <w:t>, стабилизаторы, рули высоты, рули поворота, элероны, щитки и др.), а также деталей снаряда М-13.</w:t>
      </w:r>
    </w:p>
    <w:p w14:paraId="7FD05C37"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Из дневника журналиста Н. К. Вержбицкого: "Хлебная норма для рабочих снижена до 600 г. для служащих- до 500 г. Дети и иждивенцы получают по 400 г. Женщины в очередях не делают из этого темы для разговоров. Приняли спокойно" (18696).</w:t>
      </w:r>
    </w:p>
    <w:p w14:paraId="776EA622" w14:textId="77777777" w:rsidR="00BA3264" w:rsidRPr="008127F8" w:rsidRDefault="00BA3264" w:rsidP="001E0A84">
      <w:pPr>
        <w:spacing w:after="0" w:line="240" w:lineRule="auto"/>
        <w:jc w:val="both"/>
        <w:rPr>
          <w:rFonts w:ascii="Times New Roman" w:hAnsi="Times New Roman"/>
          <w:color w:val="000000" w:themeColor="text1"/>
          <w:sz w:val="16"/>
          <w:szCs w:val="16"/>
        </w:rPr>
      </w:pPr>
    </w:p>
    <w:p w14:paraId="6AE865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 января 1942 г. По приказу НКАП № 13с от с 03.1942 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под производство ППШ.</w:t>
      </w:r>
    </w:p>
    <w:p w14:paraId="709668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число стратегических предприятий.</w:t>
      </w:r>
    </w:p>
    <w:p w14:paraId="5538A5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 г.)- М.А. Лесечко. Гендиректор (2004 г.)- М. Шурыгин.</w:t>
      </w:r>
    </w:p>
    <w:p w14:paraId="792E54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 совета директоров (2004 г.)- Н. Агафонова, А. Королев.</w:t>
      </w:r>
    </w:p>
    <w:p w14:paraId="01605A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пистолет-пулемет ППШ-41 (ВОВ); полуавтоматическое устройство ввода данных (ПУВД) для ЭВМ (1950-е);77 ЭВМ БЭСМ-6 (1968-); суперЭВМ «Эльбрус-3-1» (1990-е)- 4, ВК «Эльбрус-90микро» для МО (2000-е, совместно с ЗАО МЦСТ); пишущие машинки «Москва».</w:t>
      </w:r>
    </w:p>
    <w:p w14:paraId="688C22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Государственный завод счетно-аналитических машин (САМ) НКМВ, Московский завод САМ им. В.Д. Калмыкова НКМВ, ОАО «Московский завод САМ им. В.Д. Калмыкова»</w:t>
      </w:r>
    </w:p>
    <w:p w14:paraId="632255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37258D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СКБ-245 при Московском заводе САМ, СКБ-245 МРТП, ММиП, ОКБ-245 ММиП, СКБ-245 МПиСА, ГСКБ-245 МПиСА, СКБ-245 Госплана, НИЭМ (НИИ электронных математических машин) ГКРЭ</w:t>
      </w:r>
    </w:p>
    <w:p w14:paraId="36BA95F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2F1757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СКБ-245 при Московском заводе САМ создано в соответствии с постановлением СМ СССР № 4663-1829 от 17.12.1948 г. для разработки и внедрение в производство вычислительной техники для систем управления МО. </w:t>
      </w:r>
    </w:p>
    <w:p w14:paraId="2D80F9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Была создана лаборатория № 01 (заведующий- Б.И. Рамеев).</w:t>
      </w:r>
    </w:p>
    <w:p w14:paraId="47E665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1951(</w:t>
      </w:r>
      <w:proofErr w:type="gramStart"/>
      <w:r w:rsidRPr="008127F8">
        <w:rPr>
          <w:rFonts w:ascii="Times New Roman" w:hAnsi="Times New Roman"/>
          <w:color w:val="000000" w:themeColor="text1"/>
          <w:sz w:val="16"/>
          <w:szCs w:val="16"/>
        </w:rPr>
        <w:t>2)г.</w:t>
      </w:r>
      <w:proofErr w:type="gramEnd"/>
      <w:r w:rsidRPr="008127F8">
        <w:rPr>
          <w:rFonts w:ascii="Times New Roman" w:hAnsi="Times New Roman"/>
          <w:color w:val="000000" w:themeColor="text1"/>
          <w:sz w:val="16"/>
          <w:szCs w:val="16"/>
        </w:rPr>
        <w:t xml:space="preserve"> отдел электромоделирования НИИ-885 во главе с В.Б. Ушаковым переведен в СКБ-245. На его базе образован отдел № 2 (работали (1952 г.)- Г.М. Петров, А.И. Скачкова, А.М. Барышников). В 02.1957 г. отдел аналоговой техники во главе с В.Б. Ушаковым переведен в НИИ «Счетмаш».</w:t>
      </w:r>
    </w:p>
    <w:p w14:paraId="6CCE50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9.02.1953 г. на Пензенском заводе САМ создан Пензенский филиал СКБ. </w:t>
      </w:r>
    </w:p>
    <w:p w14:paraId="41E2F9A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организован филиал в Северодонецке для создания вычислительной техники для Лисичанского химкомбината.</w:t>
      </w:r>
    </w:p>
    <w:p w14:paraId="3B90C5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началось создание метеорологической ЭВМ «Погода». В 1955 г. созданы ЭВМ для МО М-46, М-56.</w:t>
      </w:r>
    </w:p>
    <w:p w14:paraId="3C04EB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 602-369 от 24.03.1955 г. начались работы по созданию управляющей машины наведения (УМН) М-111 для системы «Даль» (Ю.Я. Базилевский). Прекращены в 1962 г.</w:t>
      </w:r>
    </w:p>
    <w:p w14:paraId="23DB1D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 г. СКБ-245 находится в ведении ММиП, в 1956 г. в ведении МПиСА, в 1957 г.- ГСКБ-245 МПиСА, далее (1957-58 г.) СКБ-245 Госплана. По приказу ГКРЭ № 314 от 16.10.1958 г. на базе СКБ-245 создан НИЭМ.</w:t>
      </w:r>
    </w:p>
    <w:p w14:paraId="281867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ВПК № 246 от 16.10.1963 г. НИЭМ определен головным предприятием страны по разработке бортовых ЭВМ и комплексов. Крутовских возглавил Совет гл. конструкторов по БЭВМ.</w:t>
      </w:r>
    </w:p>
    <w:p w14:paraId="4B3F59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1964 г. начаты работы по проектированию и производству бортовых ЭВМ «Аргон».</w:t>
      </w:r>
    </w:p>
    <w:p w14:paraId="58529E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14.11.1968 г. С.А. Крутовских назначен директором НИЦЭВТ и ген. Конструктором ЭВМ «Ряд», а по приказу МРП № 709 от 9.12.1968 г. НИЭМ влит в состав НИЦЭВТ.</w:t>
      </w:r>
    </w:p>
    <w:p w14:paraId="7484E9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(1948 г.-)- М.А. Лесечко, В.Б. Ушаков. Директор (10.1958 г.-)- В.В. Александров, (1960-68 г.)- С.А. Крутовских.</w:t>
      </w:r>
    </w:p>
    <w:p w14:paraId="2A0387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Руководителя по научной работе (1948 г.-)- В.В. Александров, (10.1958 г.-)- Ю.Я. Базилевский. Научный руководитель (1960 г.-)- С.А. Крутовских.</w:t>
      </w:r>
    </w:p>
    <w:p w14:paraId="647AB3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(01.1950 г.-)- Ю.Я. Базилевский («Стрела», М-110), (1964 г.)- С.А. Крутовских («Аргон»), (1971 г.-)- А.М. Ларионов («Аргон»), (1977 г.-)- В.В. Пржиялковский («Аргон»).</w:t>
      </w:r>
    </w:p>
    <w:p w14:paraId="52555E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Начальники отделов: № 2 аналоговой техники (1951(2)-05.1957 г.)- В.Б. Ушаков; № 3 цифровых машин (01.1950 г.-)- Ю.Я. Базилевский; (1957 г.)- Э.А. Глузберг.</w:t>
      </w:r>
    </w:p>
    <w:p w14:paraId="300E48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(1953 г.)- Д.А. Жучков, В.И. Мухин, Б.И. Рамеев, Э.И. Сакаев, В.Д. Точилов, Н.В. Трубников; (-1953-55 г.-)- Л.И. Иноземцева, Е.Н. Клоков; (-1953-58 г.-)- А.П. Цыганкин; (-1953-62 г.-)- А.М. Литвинов; (-1953-64 г.-)- Н.Г. Маслов; (-1953-66 г.-)- В.П. Антонов; (-1953-68 г.-)- Г.М. Прокудаев; (1955 г.)- М.Г. Гордюк, А.П. Дудушкин, С.Н. Смелов, А.А. Шульгин; (-1955-60 г.-)- А.И. Лазарев; (1958 г.)- В.М. Анпилов, А.П. Милюков; (-1958-61 г.-)- А.А. Тимофеев, Ю.Ф. Щербаков; (1960 г.)- А.П. Рудаченко, (-1961-62 г.-)- С.П. Красников, А.М. Ларионов; (-1962-68 г.-)- Н.Н. Соловьев; (1964 г.)- В.С. Барашко, Э.И. Клямко, А.И. Савина, С.П. Соловьев; (1966 г.)- В. Гуров, Н. Егорычева, Г.Г. Зоткин, В.С. Клепинин; (1968 г.)- В.М. Анилов, Л.И. Бочкарев, Б.П. Выровщиков, Ю.С. Горшенин, В.А. Гринкевич, А.Т. Еремин, В.Н. Картавец.</w:t>
      </w:r>
    </w:p>
    <w:p w14:paraId="2EFB2D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моделирующие установки МПТ-9 (1952), МПТ-11 (1953); ЭВМ: «Стрела» (1953), М-46, М-56 (1955), «Волга» (1958), М-205 для обработки РЛ-информации (1960), М-180 (1961), М-206, М-236 «Радон» для МО (1964), М-220 (1966); управляющая машина наведения (УМН): М-110 для "Ураган-5" (конец 1950-х), М-111 (1961) для «Даль»; полуавтоматические устройства ввода данных (ПУВД) для ЭВМ (1950-е); комплекс обработки РЛ-данных и наведения ракет 5Э61 (1962); БЭВМ «Аргон-11С» для КА «Зонд-5», «Аргон-12С» для станции «Алмаз» (1968).82 </w:t>
      </w:r>
    </w:p>
    <w:p w14:paraId="74FBD2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Пензенский филиал СКБ-245, НИИУВМ (управляющих вычислительных машин), Пензенский НИИ математических машин (ПНИИММ), НПО «Рубин», ГНПП «Рубин»</w:t>
      </w:r>
    </w:p>
    <w:p w14:paraId="7BBD66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Пенза</w:t>
      </w:r>
    </w:p>
    <w:p w14:paraId="2C1D64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9.02.1953 г. на Пензенском заводе САМ создан Пензенский филиал СКБ. 6.10.1958 г. на базе филиала создан самостоятельный НИИУВМ. 24.03.1966 г. НИИУВМ переименован в ПНИИММ. 3.10.1983 г. на базе ПНИИММ создано НПО «Рубин», далее- ФГУП «НПП «Рубин».</w:t>
      </w:r>
    </w:p>
    <w:p w14:paraId="7EABD5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в филиале началось создание ламповых цифровых вычислительных машин. Сюда передана опытная ЭВМ М-53 «Урал».</w:t>
      </w:r>
    </w:p>
    <w:p w14:paraId="21341A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(02.1953-08.1956 г.)- Н.А. Разумов, (08.1956 г.-)- В.А. Шумов. Директор (10.1958-66 г.-)- В.А. Шумов, В.И. Бурков, В.А. Никишин.</w:t>
      </w:r>
    </w:p>
    <w:p w14:paraId="66ECE5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(06.1955 г.-)- Б.И. Рамеев.</w:t>
      </w:r>
    </w:p>
    <w:p w14:paraId="2938C6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(10.1958-66 г.-)- Б.И. Рамеев, А.Н. Невский.</w:t>
      </w:r>
    </w:p>
    <w:p w14:paraId="0219C0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(1957 г.)- Ю.Н. Беликов («Кристалл»), (1957 г.)- В.В. Пржиялковский («Гранит»).</w:t>
      </w:r>
    </w:p>
    <w:p w14:paraId="3102186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(1955 г.)- Ю.Н. Беликов, (1955 г.)- В.С. Макковеев.</w:t>
      </w:r>
    </w:p>
    <w:p w14:paraId="386FC4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(1957 г.)- Е.Н. Клоков, А.А. Лазарев, В.Т. Мошенский, А.М. Полячкин, Е.Г. Семенова, С.Н. Телков; (-1957-62 г.-)- В.И. Мухин; (-1957-74 г.-)- А.Г. Калмыков, А.Н. Невский; (-1957-78 г.-)- В.С. Антонов; (-1960-74 г.-)- Г.С. Смирнов; (-1960-77 г.-)- А.С. Горшков; (-1962-73 г.-)- Э.С. Козлов, Н.С. Николаев; (-1965-74 г.-)- В.И. Бурков; (1967 г.)- В.Н. Пункевич, В.С. Тюньков, А.С. Шафоростов; (-1967-73 г.-)- О.С. Львов, В.А. Мирошкин, А.К. Наумова, Н.И. Соболев; (1972 г.)- Н.Ф. Атапин, Н.Н. Виноградов, Е.Н. Павлов, М.В. Соков, И.В. Урнев, С.Н. Шурепов; (1973 г.)- В.И. Богонин, З.А. Голенкова, В.М. Любченко, Д.И. Стариков; (1977 г.)- Л.Н. Богословский, Н.М. Конопля, В.С. Мандров, Е.Ф. Науман, Ю.А. Якунин.</w:t>
      </w:r>
    </w:p>
    <w:p w14:paraId="32C1D9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ЭВМ «Кристалл» для ФХИ (1957), «Гранит» для МО (1957), «Урал-25» (1969); сеточный электроинтегратор ЭИ-С (1957); вычислительные комплексы (ВК): М-17, М-27 для МО (1960), «Сатурн» для ВНИИнефть (1967), «Сатурн-1М» (1971), «Галета» для обработки космических фотоснимков (1977), «Аналит» (1984); информационно-вычислительная система «Банк» для Госбанка Москвы и области (1972); АЦВК «Сатурн-2» для ВНИИ Геологии (1973).</w:t>
      </w:r>
    </w:p>
    <w:p w14:paraId="51BE2F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ЭВМ: «Урал-1» (1957-), «Урал-2» (1960-), «Урал-3» (1961-), «Урал-4» (1962-), «Урал-11» (1965), «Урал-16»- 1, «Урал-14» (1974-); универсальная сеточная электромодель УСМ-1 (1962-).</w:t>
      </w:r>
    </w:p>
    <w:p w14:paraId="08395D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НПО «Рубин», ГНПП «Рубин», ФГУП «НПП «Рубин» </w:t>
      </w:r>
    </w:p>
    <w:p w14:paraId="1BC569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Пенза</w:t>
      </w:r>
    </w:p>
    <w:p w14:paraId="7F6262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«Рубин» создано 3.10.1983 г. на базе ПНИИММ, 12.12.1991 г. НПО преобразовано в Государственное научно-производственное предприятие (ГНПП) «Рубин». В 2004 г.- ФГУП «НПП «Рубин».</w:t>
      </w:r>
    </w:p>
    <w:p w14:paraId="7C5B95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(1983 г.-)- В.А. Никишин, (1987-91 г.-)- И.В. Урнев.</w:t>
      </w:r>
    </w:p>
    <w:p w14:paraId="608555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Северодонецкий филиал СКБ-245</w:t>
      </w:r>
    </w:p>
    <w:p w14:paraId="762680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Северодонецк</w:t>
      </w:r>
    </w:p>
    <w:p w14:paraId="3E2649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организован филиал СКБ-245 в Северодонецке для создания вычислительной техники для Лисичанского химкомбината.</w:t>
      </w:r>
    </w:p>
    <w:p w14:paraId="5DE90C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(1956 г.-)- В.Ю. Толкачев, А.А. Новохатний.</w:t>
      </w:r>
    </w:p>
    <w:p w14:paraId="509F75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В.В. Резанов.</w:t>
      </w:r>
    </w:p>
    <w:p w14:paraId="1070077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машина первичной обработки информации МППИ-1 (1962) (10776).</w:t>
      </w:r>
    </w:p>
    <w:p w14:paraId="34DC1F2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BA2EA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по приказу НКАП № 39с и № 154с от 27.02.1942 г. в состав завода № 169 НКАП включена площадка завода № 45 НКАП (ул. Ольховская, 14; бывшие мастерские МАВИАТ) со всем оборудованием и кадрами в качестве механических цехов.</w:t>
      </w:r>
    </w:p>
    <w:p w14:paraId="3418EAC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627с от 13.08.1942 г. завод был разделен: деревообрабатывающие цеха (бывшая мебельная фабрика) переданы в качестве филиала заводу № 30 для изготовления деревянных частей самолетов и переведены из 6ГУ в ЮГУ; механические цеха оставлены в 6ГУ (планировалось передать их заводу № 482 НКАП).</w:t>
      </w:r>
    </w:p>
    <w:p w14:paraId="3AF329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(12.1941 г.-)- А.А. Ткаченко (11982).</w:t>
      </w:r>
    </w:p>
    <w:p w14:paraId="1D9D842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EE3B8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Приказом НКАП № 43с ОКБ Н. Г. Никифорова переведено со всем имуществом и документацией с завода № 467 НКАП на завод № 27. Никифоров назначен начальником СКВ завода по втулкам авиавинтов.</w:t>
      </w:r>
    </w:p>
    <w:p w14:paraId="41278C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273сс от 12.04.1942 г. часть конструкторского состава завода № 467 НКАП во главе с гл. конструктором С.Ш. Бас-Дубовым </w:t>
      </w:r>
      <w:proofErr w:type="gramStart"/>
      <w:r w:rsidRPr="008127F8">
        <w:rPr>
          <w:rFonts w:ascii="Times New Roman" w:hAnsi="Times New Roman"/>
          <w:color w:val="000000" w:themeColor="text1"/>
          <w:sz w:val="16"/>
          <w:szCs w:val="16"/>
        </w:rPr>
        <w:t>и  Г.М.</w:t>
      </w:r>
      <w:proofErr w:type="gramEnd"/>
      <w:r w:rsidRPr="008127F8">
        <w:rPr>
          <w:rFonts w:ascii="Times New Roman" w:hAnsi="Times New Roman"/>
          <w:color w:val="000000" w:themeColor="text1"/>
          <w:sz w:val="16"/>
          <w:szCs w:val="16"/>
        </w:rPr>
        <w:t xml:space="preserve"> Заславским переведена на завод № 27 и организован единый ОКО с опытным цехом для проведения работ по опытным винтам и ремонту. Передана вся документация по винту ВИШ-105П. С -03.1946 г. (и на 05.1948 г.) при заводе действовали КБ: ОКБ-1 (гл. конструктор</w:t>
      </w:r>
      <w:proofErr w:type="gramStart"/>
      <w:r w:rsidRPr="008127F8">
        <w:rPr>
          <w:rFonts w:ascii="Times New Roman" w:hAnsi="Times New Roman"/>
          <w:color w:val="000000" w:themeColor="text1"/>
          <w:sz w:val="16"/>
          <w:szCs w:val="16"/>
        </w:rPr>
        <w:t>-  Г.М.</w:t>
      </w:r>
      <w:proofErr w:type="gramEnd"/>
      <w:r w:rsidRPr="008127F8">
        <w:rPr>
          <w:rFonts w:ascii="Times New Roman" w:hAnsi="Times New Roman"/>
          <w:color w:val="000000" w:themeColor="text1"/>
          <w:sz w:val="16"/>
          <w:szCs w:val="16"/>
        </w:rPr>
        <w:t xml:space="preserve"> Заславский) и ОКБ-2 (гл. конструктор- С.Ш. Бас-Дубов, винты для ТВД).</w:t>
      </w:r>
    </w:p>
    <w:p w14:paraId="25491F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ОКБ-27 действовало сначала в 8ГУ, затем в 7ГУ. В 08.1957 г.- в ведении 1ГУ МАП.</w:t>
      </w:r>
    </w:p>
    <w:p w14:paraId="014C1B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автомату компенсации отдачи АКО-1. Участвовало в работе по СУ КР П-35 (1959 г.) (11982).</w:t>
      </w:r>
    </w:p>
    <w:p w14:paraId="5FC8991A"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2DA667D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Приказом НКАП № 43с ОКБ Никифорова переведено со всем имуществом и документацией с завода № 467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на завод № 27 НКАП. 29 июля 1941 г. на завод № 467 НКАП эвакуировано небольшое (7 чел., ведущий конструктор Л.С. Аринукин, инженеры И.И. Румянцев, Н. Г. Петров и др.) ОКБ-3 гл. конструктора Н. Г. Никифорова при заводе № 28 НКАП, Н. 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(11982).</w:t>
      </w:r>
    </w:p>
    <w:p w14:paraId="63EA8FE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89F60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 января 1942г. по приказу № 13с с 03.1942г.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 под производство ППШ. В соответствии с пост. ГКО № 1448 от 15.03.1942г. из артели «Автоштамп» на завод САМ НКМВ передано производство дисковых магазинов к ППШ.</w:t>
      </w:r>
    </w:p>
    <w:p w14:paraId="5553F7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06.1942г. завод - в ведении Главполиграфмаша НКМВ. В соответствии с пост. СНК № 837-430сс от 3.06.1942г. и приказом НКМВ № 250с от 7.07.1942г. завод САМ НКМВ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8127F8">
        <w:rPr>
          <w:rFonts w:ascii="Times New Roman" w:hAnsi="Times New Roman"/>
          <w:color w:val="000000" w:themeColor="text1"/>
          <w:sz w:val="16"/>
          <w:szCs w:val="16"/>
          <w:vertAlign w:val="superscript"/>
        </w:rPr>
        <w:t>129</w:t>
      </w:r>
    </w:p>
    <w:p w14:paraId="113FFF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5F3E869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CBF78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строительный № 13, электроцех № 14, котельная № 20.</w:t>
      </w:r>
    </w:p>
    <w:p w14:paraId="5879C2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соответствии с пост. СМ СССР № 4663-1829 от 17.12.1948г. при 1-м Государственном заводе САМ создано СКБ-245.</w:t>
      </w:r>
    </w:p>
    <w:p w14:paraId="523900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6FE663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1994г. проведено техническое переоснащение завода при участии немецкой фирмы "</w:t>
      </w:r>
      <w:r w:rsidRPr="008127F8">
        <w:rPr>
          <w:rFonts w:ascii="Times New Roman" w:hAnsi="Times New Roman"/>
          <w:color w:val="000000" w:themeColor="text1"/>
          <w:sz w:val="16"/>
          <w:szCs w:val="16"/>
          <w:lang w:val="en-US"/>
        </w:rPr>
        <w:t>SiemensNixdorf</w:t>
      </w:r>
      <w:r w:rsidRPr="008127F8">
        <w:rPr>
          <w:rFonts w:ascii="Times New Roman" w:hAnsi="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8127F8">
        <w:rPr>
          <w:rFonts w:ascii="Times New Roman" w:hAnsi="Times New Roman"/>
          <w:color w:val="000000" w:themeColor="text1"/>
          <w:sz w:val="16"/>
          <w:szCs w:val="16"/>
          <w:vertAlign w:val="superscript"/>
        </w:rPr>
        <w:t>101</w:t>
      </w:r>
    </w:p>
    <w:p w14:paraId="7478EE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5E71D7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(1939г.)- 772 ед., (1946г.)- 1205 ед., (1947г.)- 1364 ед.</w:t>
      </w:r>
    </w:p>
    <w:p w14:paraId="5056E4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(1947г.)- 3,61 га; застройки (1947г.)- 36134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(1939г.)- 5654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(1946-47г.)-9614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08069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(1939г.)- 1341 чел., (1946г.)- 1922 чел., (1947г.)- 1939 чел.</w:t>
      </w:r>
    </w:p>
    <w:p w14:paraId="494C3D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0CCEB6D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(1948г.)- Карелин.</w:t>
      </w:r>
      <w:r w:rsidRPr="008127F8">
        <w:rPr>
          <w:rFonts w:ascii="Times New Roman" w:hAnsi="Times New Roman"/>
          <w:color w:val="000000" w:themeColor="text1"/>
          <w:sz w:val="16"/>
          <w:szCs w:val="16"/>
          <w:vertAlign w:val="superscript"/>
        </w:rPr>
        <w:t>129</w:t>
      </w:r>
    </w:p>
    <w:p w14:paraId="714973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8127F8">
        <w:rPr>
          <w:rFonts w:ascii="Times New Roman" w:hAnsi="Times New Roman"/>
          <w:color w:val="000000" w:themeColor="text1"/>
          <w:sz w:val="16"/>
          <w:szCs w:val="16"/>
          <w:vertAlign w:val="superscript"/>
        </w:rPr>
        <w:t>77</w:t>
      </w:r>
      <w:r w:rsidRPr="008127F8">
        <w:rPr>
          <w:rFonts w:ascii="Times New Roman" w:hAnsi="Times New Roman"/>
          <w:iCs/>
          <w:color w:val="000000" w:themeColor="text1"/>
          <w:sz w:val="16"/>
          <w:szCs w:val="16"/>
        </w:rPr>
        <w:t xml:space="preserve"> ЭВМ:</w:t>
      </w:r>
      <w:r w:rsidRPr="008127F8">
        <w:rPr>
          <w:rFonts w:ascii="Times New Roman" w:hAnsi="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29D6747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33E4D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УВВС поручило НИИ ВВС отправить группу испытателей в 6 зап. аб для оказания помощи в освоении первой партии из 20 Аэрокобр (1204,212).</w:t>
      </w:r>
    </w:p>
    <w:p w14:paraId="2837916A" w14:textId="77777777" w:rsidR="00D4651C" w:rsidRPr="008127F8" w:rsidRDefault="00D4651C" w:rsidP="001E0A84">
      <w:pPr>
        <w:pStyle w:val="Iauiue"/>
        <w:jc w:val="both"/>
        <w:rPr>
          <w:color w:val="000000" w:themeColor="text1"/>
          <w:sz w:val="16"/>
          <w:szCs w:val="16"/>
        </w:rPr>
      </w:pPr>
    </w:p>
    <w:p w14:paraId="76D24A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на совещании завода 293, НИИ-3 и НИИ ВВС НИИ-3 предложил провести приемо-сдаточные испытания РД, но решили не проводить (2928,9).</w:t>
      </w:r>
    </w:p>
    <w:p w14:paraId="7C85C206" w14:textId="77777777" w:rsidR="00D4651C" w:rsidRPr="008127F8" w:rsidRDefault="00D4651C" w:rsidP="001E0A84">
      <w:pPr>
        <w:pStyle w:val="Iauiue"/>
        <w:jc w:val="both"/>
        <w:rPr>
          <w:color w:val="000000" w:themeColor="text1"/>
          <w:sz w:val="16"/>
          <w:szCs w:val="16"/>
        </w:rPr>
      </w:pPr>
    </w:p>
    <w:p w14:paraId="32716195"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согласно постановлению ГКО № 1152сс наркомату боеприпасов было разрешено «отобрать на эвакобазах оборудование, необходимое для восстановления производства снарядов М-13» на заводе № 70 (12291).</w:t>
      </w:r>
    </w:p>
    <w:p w14:paraId="42B95F47" w14:textId="77777777" w:rsidR="00C0199F" w:rsidRPr="008127F8" w:rsidRDefault="00C0199F" w:rsidP="001E0A84">
      <w:pPr>
        <w:spacing w:after="0" w:line="240" w:lineRule="auto"/>
        <w:jc w:val="both"/>
        <w:rPr>
          <w:rFonts w:ascii="Times New Roman" w:hAnsi="Times New Roman"/>
          <w:color w:val="000000" w:themeColor="text1"/>
          <w:sz w:val="16"/>
          <w:szCs w:val="16"/>
        </w:rPr>
      </w:pPr>
    </w:p>
    <w:p w14:paraId="5C8911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г разбился Ар-2 (№17-519) принадлежавший транспортной группе завода №22. На маршруте самолёт попал в туман, потерял ориентировку и столкнулся с землей. Погибли заводской лётчик-испытатель Г.П. Шустваль, штурман И.С. Егоров, моторист А.П. Гусев, агент ОСПК Н.Я. Сергеев и получил тяжелые ранения бортмеханик М.М. Карандеев (6394).</w:t>
      </w:r>
    </w:p>
    <w:p w14:paraId="11821AA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74532D0"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44BB2D9A" w14:textId="77777777" w:rsidR="00D4651C" w:rsidRPr="008127F8" w:rsidRDefault="00D4651C" w:rsidP="001E0A84">
      <w:pPr>
        <w:pStyle w:val="Iauiue"/>
        <w:jc w:val="both"/>
        <w:rPr>
          <w:iCs/>
          <w:color w:val="000000" w:themeColor="text1"/>
          <w:sz w:val="16"/>
          <w:szCs w:val="16"/>
        </w:rPr>
      </w:pPr>
    </w:p>
    <w:p w14:paraId="5BD15731"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15 января 1942 года вышел приказ № 12с НКБ</w:t>
      </w:r>
    </w:p>
    <w:p w14:paraId="090AE25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Филиал завода № 11 НКБ переименовать в завод № 11 НКБ.</w:t>
      </w:r>
    </w:p>
    <w:p w14:paraId="019B1BC0"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Филиал завода № 512 НКБ переименовать в завод № 512 НКБ (5800, 9).</w:t>
      </w:r>
    </w:p>
    <w:p w14:paraId="368441EF" w14:textId="77777777" w:rsidR="00D4651C" w:rsidRPr="008127F8" w:rsidRDefault="00D4651C" w:rsidP="001E0A84">
      <w:pPr>
        <w:pStyle w:val="Iauiue"/>
        <w:tabs>
          <w:tab w:val="left" w:pos="11199"/>
        </w:tabs>
        <w:jc w:val="both"/>
        <w:rPr>
          <w:color w:val="000000" w:themeColor="text1"/>
          <w:sz w:val="16"/>
          <w:szCs w:val="16"/>
        </w:rPr>
      </w:pPr>
    </w:p>
    <w:p w14:paraId="0AE235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года была подготовлена справка:</w:t>
      </w:r>
    </w:p>
    <w:p w14:paraId="232F611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Врид директора завода № 367 – Байер (9209)</w:t>
      </w:r>
    </w:p>
    <w:p w14:paraId="6BAB6FE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года были утверждены:</w:t>
      </w:r>
    </w:p>
    <w:p w14:paraId="2AF13A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Уставы заводов №№ 297, 353 им. Дзержинского, 542 (9276).</w:t>
      </w:r>
    </w:p>
    <w:p w14:paraId="03576596" w14:textId="77777777" w:rsidR="00D4651C" w:rsidRPr="008127F8" w:rsidRDefault="00D4651C" w:rsidP="001E0A84">
      <w:pPr>
        <w:pStyle w:val="Iauiue"/>
        <w:jc w:val="both"/>
        <w:rPr>
          <w:color w:val="000000" w:themeColor="text1"/>
          <w:sz w:val="16"/>
          <w:szCs w:val="16"/>
        </w:rPr>
      </w:pPr>
    </w:p>
    <w:p w14:paraId="4AE0E0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 января 1942 г. расход времени на производство одного танка КВ снизился с 11 647 часов (1 октября) до 9 007 часов. При этом 1 мая 1941 г. трудоемкость изготовления танка КВ на ЧТЗ оценивалась в 23 453 часа. Главным образом изменилась технология производства бронекорпусов. Большинство соединений бронелистов пе</w:t>
      </w:r>
      <w:r w:rsidRPr="008127F8">
        <w:rPr>
          <w:rFonts w:ascii="Times New Roman" w:hAnsi="Times New Roman"/>
          <w:color w:val="000000" w:themeColor="text1"/>
          <w:sz w:val="16"/>
          <w:szCs w:val="16"/>
        </w:rPr>
        <w:softHyphen/>
        <w:t>ревели с заклепок и гужонов на сварку, в целях экономии времени и станочного парка отказались от строжки кромок броневых листов после их раскроя газовой резкой. С нача</w:t>
      </w:r>
      <w:r w:rsidRPr="008127F8">
        <w:rPr>
          <w:rFonts w:ascii="Times New Roman" w:hAnsi="Times New Roman"/>
          <w:color w:val="000000" w:themeColor="text1"/>
          <w:sz w:val="16"/>
          <w:szCs w:val="16"/>
        </w:rPr>
        <w:softHyphen/>
        <w:t>ла 1942 г. на части бронекорпусов верхний гнутый кормо</w:t>
      </w:r>
      <w:r w:rsidRPr="008127F8">
        <w:rPr>
          <w:rFonts w:ascii="Times New Roman" w:hAnsi="Times New Roman"/>
          <w:color w:val="000000" w:themeColor="text1"/>
          <w:sz w:val="16"/>
          <w:szCs w:val="16"/>
        </w:rPr>
        <w:softHyphen/>
        <w:t>вой лист стали изготавливать прямым, а крышку моторно</w:t>
      </w:r>
      <w:r w:rsidRPr="008127F8">
        <w:rPr>
          <w:rFonts w:ascii="Times New Roman" w:hAnsi="Times New Roman"/>
          <w:color w:val="000000" w:themeColor="text1"/>
          <w:sz w:val="16"/>
          <w:szCs w:val="16"/>
        </w:rPr>
        <w:softHyphen/>
        <w:t>го отделения — без выштамповки. В целях экономии доро</w:t>
      </w:r>
      <w:r w:rsidRPr="008127F8">
        <w:rPr>
          <w:rFonts w:ascii="Times New Roman" w:hAnsi="Times New Roman"/>
          <w:color w:val="000000" w:themeColor="text1"/>
          <w:sz w:val="16"/>
          <w:szCs w:val="16"/>
        </w:rPr>
        <w:softHyphen/>
        <w:t>гостоящего проката в декабре 1941 г. на заводе № 200 были освоены в производстве литые башни. В январе 1942 г. от</w:t>
      </w:r>
      <w:r w:rsidRPr="008127F8">
        <w:rPr>
          <w:rFonts w:ascii="Times New Roman" w:hAnsi="Times New Roman"/>
          <w:color w:val="000000" w:themeColor="text1"/>
          <w:sz w:val="16"/>
          <w:szCs w:val="16"/>
        </w:rPr>
        <w:softHyphen/>
        <w:t>ливать башни начал УЗТМ. Конечно, литые башни имели худшую снарядную стой</w:t>
      </w:r>
      <w:r w:rsidRPr="008127F8">
        <w:rPr>
          <w:rFonts w:ascii="Times New Roman" w:hAnsi="Times New Roman"/>
          <w:color w:val="000000" w:themeColor="text1"/>
          <w:sz w:val="16"/>
          <w:szCs w:val="16"/>
        </w:rPr>
        <w:softHyphen/>
        <w:t>кость по сравнению со сварными. Для компенсации этого их приходилось изготавливать с более толстыми стенками (до 110 мм против 75-мм толщине стенок сварной башни), но их изготовление требовало на порядок меньшую трудо</w:t>
      </w:r>
      <w:r w:rsidRPr="008127F8">
        <w:rPr>
          <w:rFonts w:ascii="Times New Roman" w:hAnsi="Times New Roman"/>
          <w:color w:val="000000" w:themeColor="text1"/>
          <w:sz w:val="16"/>
          <w:szCs w:val="16"/>
        </w:rPr>
        <w:softHyphen/>
        <w:t>емкость в производстве, и потому литье процветало. Во-первых, на всех было выделено помещение около 28 кв. м, причем главный конструктор с заместителем де</w:t>
      </w:r>
      <w:r w:rsidRPr="008127F8">
        <w:rPr>
          <w:rFonts w:ascii="Times New Roman" w:hAnsi="Times New Roman"/>
          <w:color w:val="000000" w:themeColor="text1"/>
          <w:sz w:val="16"/>
          <w:szCs w:val="16"/>
        </w:rPr>
        <w:softHyphen/>
        <w:t>лили на двоих крохотную комнатку менее 10 кв. м, в кото</w:t>
      </w:r>
      <w:r w:rsidRPr="008127F8">
        <w:rPr>
          <w:rFonts w:ascii="Times New Roman" w:hAnsi="Times New Roman"/>
          <w:color w:val="000000" w:themeColor="text1"/>
          <w:sz w:val="16"/>
          <w:szCs w:val="16"/>
        </w:rPr>
        <w:softHyphen/>
        <w:t>рой к тому же в ящиках хранился архив КБ, вывезенный из Харькова. Не хватало элементарного оборудования — на все КБ к началу 1942 г. приходилось всего 8 кульманов. В дефиците числились линейки, циркули, тушь, чертеж</w:t>
      </w:r>
      <w:r w:rsidRPr="008127F8">
        <w:rPr>
          <w:rFonts w:ascii="Times New Roman" w:hAnsi="Times New Roman"/>
          <w:color w:val="000000" w:themeColor="text1"/>
          <w:sz w:val="16"/>
          <w:szCs w:val="16"/>
        </w:rPr>
        <w:softHyphen/>
        <w:t xml:space="preserve">ная бумага. Лишь с калькой положение было более или менее сносным - в ход были пущены старые запасы </w:t>
      </w:r>
      <w:proofErr w:type="gramStart"/>
      <w:r w:rsidRPr="008127F8">
        <w:rPr>
          <w:rFonts w:ascii="Times New Roman" w:hAnsi="Times New Roman"/>
          <w:color w:val="000000" w:themeColor="text1"/>
          <w:sz w:val="16"/>
          <w:szCs w:val="16"/>
        </w:rPr>
        <w:t>Урал-вагонзавода</w:t>
      </w:r>
      <w:proofErr w:type="gramEnd"/>
      <w:r w:rsidRPr="008127F8">
        <w:rPr>
          <w:rFonts w:ascii="Times New Roman" w:hAnsi="Times New Roman"/>
          <w:color w:val="000000" w:themeColor="text1"/>
          <w:sz w:val="16"/>
          <w:szCs w:val="16"/>
        </w:rPr>
        <w:t xml:space="preserve"> (10782).</w:t>
      </w:r>
    </w:p>
    <w:p w14:paraId="300D3F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7429185"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К 15 января 1942 года по итогам рассмотрения проектов модернизации завод №92 получил задачу изготовить опытный образец ЗИС-19, а уже к 1 февраля ожидался выход танка с новой пушкой на испытания. В период с 20 декабря 1941 года по 13 января 1942 года были разработаны рабочие чертежи системы. С 12 по 19 января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w:t>
      </w:r>
    </w:p>
    <w:p w14:paraId="1FD54A4C"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54901B2D" w14:textId="77777777" w:rsidR="008D722B" w:rsidRPr="008127F8" w:rsidRDefault="008D722B" w:rsidP="001E0A84">
      <w:pPr>
        <w:pStyle w:val="af"/>
        <w:spacing w:before="0" w:after="0"/>
        <w:jc w:val="both"/>
        <w:rPr>
          <w:color w:val="000000" w:themeColor="text1"/>
          <w:sz w:val="16"/>
          <w:szCs w:val="16"/>
        </w:rPr>
      </w:pPr>
    </w:p>
    <w:p w14:paraId="376F77D2"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w:t>
      </w:r>
    </w:p>
    <w:p w14:paraId="4A549166"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9 лист 99</w:t>
      </w:r>
    </w:p>
    <w:p w14:paraId="295AD54A"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 № 394</w:t>
      </w:r>
    </w:p>
    <w:p w14:paraId="1CB54C8E" w14:textId="5C94C655"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7246A0CD"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A93C1AD"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СОЮЗА ССР</w:t>
      </w:r>
    </w:p>
    <w:p w14:paraId="3179BE39"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24с</w:t>
      </w:r>
    </w:p>
    <w:p w14:paraId="26836946"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1A6A70BB"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w:t>
      </w:r>
    </w:p>
    <w:p w14:paraId="007388A9" w14:textId="00D2173A"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использования опыта работы, проведенной в 1941 г. по упрощению конструкции и технологии, как по бронекорпусам, так и по узлам танков, и передачи этого опыта другим заводам, а также дальнейшей систематизации всего материала по внесенным изменениям, доведенных до серийных объектов, – ПРИКАЗЫВАЮ:</w:t>
      </w:r>
      <w:r w:rsidR="008127F8">
        <w:rPr>
          <w:rFonts w:ascii="Times New Roman" w:hAnsi="Times New Roman"/>
          <w:color w:val="000000" w:themeColor="text1"/>
          <w:sz w:val="16"/>
          <w:szCs w:val="16"/>
        </w:rPr>
        <w:t xml:space="preserve">  </w:t>
      </w:r>
    </w:p>
    <w:p w14:paraId="6B4E5CE3" w14:textId="072FB53A"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Директорам заводов СТЗ – тов. ЗАДОРОЖНОМУ, № 112 – тов. МИХАЛЕВУ и № 183 – тов. МАКСАРЕВУ представить в НКТП во II-й отдел к 1.II-1942 г. отчетный материал по изменениям, внесенным в 1941 году в конструкцию узлов и технологию выпускаемого танка Т-34, с приложением к отчету измененных чертежей и технических условий. Указанный материал для обмена опытом между заводами выслать друг другу </w:t>
      </w:r>
      <w:proofErr w:type="gramStart"/>
      <w:r w:rsidRPr="008127F8">
        <w:rPr>
          <w:rFonts w:ascii="Times New Roman" w:hAnsi="Times New Roman"/>
          <w:color w:val="000000" w:themeColor="text1"/>
          <w:sz w:val="16"/>
          <w:szCs w:val="16"/>
        </w:rPr>
        <w:t>и кроме того</w:t>
      </w:r>
      <w:proofErr w:type="gramEnd"/>
      <w:r w:rsidRPr="008127F8">
        <w:rPr>
          <w:rFonts w:ascii="Times New Roman" w:hAnsi="Times New Roman"/>
          <w:color w:val="000000" w:themeColor="text1"/>
          <w:sz w:val="16"/>
          <w:szCs w:val="16"/>
        </w:rPr>
        <w:t xml:space="preserve"> заводу № 264 выслать материал, относящийся к изменениям, внесенным в 1941 г. только по бронекорпусам.</w:t>
      </w:r>
      <w:r w:rsidR="008127F8">
        <w:rPr>
          <w:rFonts w:ascii="Times New Roman" w:hAnsi="Times New Roman"/>
          <w:color w:val="000000" w:themeColor="text1"/>
          <w:sz w:val="16"/>
          <w:szCs w:val="16"/>
        </w:rPr>
        <w:t xml:space="preserve">  </w:t>
      </w:r>
    </w:p>
    <w:p w14:paraId="384E51B9" w14:textId="06EACC91"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 176 – тов. ФЕДОТОВУ и № 178 – тов. СКИБА представить к 1.II-1942 г. II-му отделу НКТП отчетный материал по изменениям, внесенным в 1941 г. по бронекорпусам танка Т-60 с приложением чертежей и технических условий и выслать к 1.II-1942 г. указанный материал заводам: № 264, № 37 и № 38, а директору завода № 264 тов. ЩЕРБИНА представить к 1.II-1942 г. II-му отделу НКТП такой же материал по корпусам Т-34 и выслать его к 1.II-1942 г. заводам № 112 и № 183.</w:t>
      </w:r>
      <w:r w:rsidR="008127F8">
        <w:rPr>
          <w:rFonts w:ascii="Times New Roman" w:hAnsi="Times New Roman"/>
          <w:color w:val="000000" w:themeColor="text1"/>
          <w:sz w:val="16"/>
          <w:szCs w:val="16"/>
        </w:rPr>
        <w:t xml:space="preserve">  </w:t>
      </w:r>
    </w:p>
    <w:p w14:paraId="2FA202BF" w14:textId="0C0A40EC"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Гл. инженеру Кировского завода тов. МАХОНИНУ и главному инженеру УЗТМ тов. УМНЯГИНУ представить к 1.II-1942 г. во 2-й отдел НКТП отчетный материал по изменениям, внесенным в 1941 году по бронекорпусам, в конструкцию узлов и технологию производства танка "КВ", с приложением чертежей и технических условий.</w:t>
      </w:r>
      <w:r w:rsidR="008127F8">
        <w:rPr>
          <w:rFonts w:ascii="Times New Roman" w:hAnsi="Times New Roman"/>
          <w:color w:val="000000" w:themeColor="text1"/>
          <w:sz w:val="16"/>
          <w:szCs w:val="16"/>
        </w:rPr>
        <w:t xml:space="preserve">  </w:t>
      </w:r>
    </w:p>
    <w:p w14:paraId="7550195F" w14:textId="663D352E"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дальнейшем всем директорам заводов, выполняющих работу по танкам, по окончании каждого квартала не позднее 15.IV, 15.VII, 15.X и 15.I представлять 2-му отделу НКТП отчеты по внесенным изменениям в конструкцию и технологию выпускаемых машин и отдельных узлов, с приложением чертежей и технических условий.</w:t>
      </w:r>
      <w:r w:rsidR="008127F8">
        <w:rPr>
          <w:rFonts w:ascii="Times New Roman" w:hAnsi="Times New Roman"/>
          <w:color w:val="000000" w:themeColor="text1"/>
          <w:sz w:val="16"/>
          <w:szCs w:val="16"/>
        </w:rPr>
        <w:t xml:space="preserve">  </w:t>
      </w:r>
    </w:p>
    <w:p w14:paraId="1CEA565D"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Контроль за выполнением данного приказа возложить на Зам. начальника 2-го отдела НКТП тов. ГИНЗБУРГ.</w:t>
      </w:r>
    </w:p>
    <w:p w14:paraId="64FFE335"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СССР</w:t>
      </w:r>
    </w:p>
    <w:p w14:paraId="47BC55A6"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(КОТИН)</w:t>
      </w:r>
    </w:p>
    <w:p w14:paraId="1F2EA2A4" w14:textId="638043F3"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w:t>
      </w:r>
      <w:r w:rsidR="008127F8">
        <w:rPr>
          <w:rFonts w:ascii="Times New Roman" w:hAnsi="Times New Roman"/>
          <w:color w:val="000000" w:themeColor="text1"/>
          <w:sz w:val="16"/>
          <w:szCs w:val="16"/>
        </w:rPr>
        <w:t xml:space="preserve">  </w:t>
      </w:r>
    </w:p>
    <w:p w14:paraId="5B221F2E"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Хрыков (18233).</w:t>
      </w:r>
    </w:p>
    <w:p w14:paraId="47130AFE" w14:textId="77777777" w:rsidR="00C275C9" w:rsidRPr="008127F8" w:rsidRDefault="00C275C9" w:rsidP="001E0A84">
      <w:pPr>
        <w:spacing w:after="0" w:line="240" w:lineRule="auto"/>
        <w:jc w:val="both"/>
        <w:rPr>
          <w:rFonts w:ascii="Times New Roman" w:hAnsi="Times New Roman"/>
          <w:color w:val="000000" w:themeColor="text1"/>
          <w:sz w:val="16"/>
          <w:szCs w:val="16"/>
        </w:rPr>
      </w:pPr>
    </w:p>
    <w:p w14:paraId="40997F9A"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w:t>
      </w:r>
    </w:p>
    <w:p w14:paraId="5BC0FBCE"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9 лист 103</w:t>
      </w:r>
    </w:p>
    <w:p w14:paraId="1588E4E8"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 15.1.42 г. 450</w:t>
      </w:r>
    </w:p>
    <w:p w14:paraId="3FC24E4E" w14:textId="1A461F0E"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1C42DEC1"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РАСПОРЯЖЕНИЕ</w:t>
      </w:r>
    </w:p>
    <w:p w14:paraId="4C68527A"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w:t>
      </w:r>
    </w:p>
    <w:p w14:paraId="5930ED48"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26с</w:t>
      </w:r>
    </w:p>
    <w:p w14:paraId="450BD0A0"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714F726C"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w:t>
      </w:r>
    </w:p>
    <w:p w14:paraId="0FE59372" w14:textId="2BF1F400"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з-да № 174 т. КАЦНЕЛЬСОНУ – работы по зенитной установке в Т-50, проводимые гр. т. САВИНА – прекратить.</w:t>
      </w:r>
      <w:r w:rsidR="008127F8">
        <w:rPr>
          <w:rFonts w:ascii="Times New Roman" w:hAnsi="Times New Roman"/>
          <w:color w:val="000000" w:themeColor="text1"/>
          <w:sz w:val="16"/>
          <w:szCs w:val="16"/>
        </w:rPr>
        <w:t xml:space="preserve">  </w:t>
      </w:r>
    </w:p>
    <w:p w14:paraId="755639C7" w14:textId="00F1A368"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Конструкторов гр. т. САВИНА немедленно перевести на з-д 183 для осуществления этой работы на танке Т-34. Все имеющиеся материалы и техническую документацию без промедления передать на з-д 183.</w:t>
      </w:r>
      <w:r w:rsidR="008127F8">
        <w:rPr>
          <w:rFonts w:ascii="Times New Roman" w:hAnsi="Times New Roman"/>
          <w:color w:val="000000" w:themeColor="text1"/>
          <w:sz w:val="16"/>
          <w:szCs w:val="16"/>
        </w:rPr>
        <w:t xml:space="preserve">  </w:t>
      </w:r>
    </w:p>
    <w:p w14:paraId="07F37E6F" w14:textId="69769C4D"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з-да 183 т. МАКСАРЕВУ зачислить конструкторов группы т. САВИНА в штат завода и обеспечить выполнение работ гр. т. САВИНА по зенитной установке в башне танка Т-34 в следующие сроки:</w:t>
      </w:r>
      <w:r w:rsidR="008127F8">
        <w:rPr>
          <w:rFonts w:ascii="Times New Roman" w:hAnsi="Times New Roman"/>
          <w:color w:val="000000" w:themeColor="text1"/>
          <w:sz w:val="16"/>
          <w:szCs w:val="16"/>
        </w:rPr>
        <w:t xml:space="preserve">  </w:t>
      </w:r>
    </w:p>
    <w:p w14:paraId="2346149C" w14:textId="565C80D8"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и рабочие чертежи изготовить к 15.III-42 г.</w:t>
      </w:r>
      <w:r w:rsidR="008127F8">
        <w:rPr>
          <w:rFonts w:ascii="Times New Roman" w:hAnsi="Times New Roman"/>
          <w:color w:val="000000" w:themeColor="text1"/>
          <w:sz w:val="16"/>
          <w:szCs w:val="16"/>
        </w:rPr>
        <w:t xml:space="preserve">  </w:t>
      </w:r>
    </w:p>
    <w:p w14:paraId="5291658F" w14:textId="4B2452CB"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опытного образца к 1.V-42 г.</w:t>
      </w:r>
      <w:r w:rsidR="008127F8">
        <w:rPr>
          <w:rFonts w:ascii="Times New Roman" w:hAnsi="Times New Roman"/>
          <w:color w:val="000000" w:themeColor="text1"/>
          <w:sz w:val="16"/>
          <w:szCs w:val="16"/>
        </w:rPr>
        <w:t xml:space="preserve">  </w:t>
      </w:r>
    </w:p>
    <w:p w14:paraId="2EF20454" w14:textId="627B726F"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испытание к 1.VI-42 г.</w:t>
      </w:r>
      <w:r w:rsidR="008127F8">
        <w:rPr>
          <w:rFonts w:ascii="Times New Roman" w:hAnsi="Times New Roman"/>
          <w:color w:val="000000" w:themeColor="text1"/>
          <w:sz w:val="16"/>
          <w:szCs w:val="16"/>
        </w:rPr>
        <w:t xml:space="preserve">  </w:t>
      </w:r>
    </w:p>
    <w:p w14:paraId="159CDB24"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Нач-ка Технического Отдела НКТП т. ГИНЗБУРГУ передать заводу 183 имеющиеся в НКТП материалы по работе гр. т. САВИНА.</w:t>
      </w:r>
    </w:p>
    <w:p w14:paraId="3D8FB8A3"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w:t>
      </w:r>
    </w:p>
    <w:p w14:paraId="4DAB26C5"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(Котин)</w:t>
      </w:r>
    </w:p>
    <w:p w14:paraId="39FB4070" w14:textId="77777777" w:rsidR="00C275C9" w:rsidRPr="008127F8" w:rsidRDefault="00C275C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(18234).</w:t>
      </w:r>
    </w:p>
    <w:p w14:paraId="76E3DF9A" w14:textId="77777777" w:rsidR="00C275C9" w:rsidRPr="008127F8" w:rsidRDefault="00C275C9" w:rsidP="001E0A84">
      <w:pPr>
        <w:spacing w:after="0" w:line="240" w:lineRule="auto"/>
        <w:jc w:val="both"/>
        <w:rPr>
          <w:rFonts w:ascii="Times New Roman" w:hAnsi="Times New Roman"/>
          <w:color w:val="000000" w:themeColor="text1"/>
          <w:sz w:val="16"/>
          <w:szCs w:val="16"/>
        </w:rPr>
      </w:pPr>
    </w:p>
    <w:p w14:paraId="555BCAB8"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ян</w:t>
      </w:r>
      <w:r w:rsidRPr="008A2E5A">
        <w:rPr>
          <w:rFonts w:ascii="Times New Roman" w:hAnsi="Times New Roman"/>
          <w:color w:val="0070C0"/>
          <w:sz w:val="16"/>
          <w:szCs w:val="16"/>
        </w:rPr>
        <w:softHyphen/>
        <w:t>варя 1942 года за подписью заместителя нар</w:t>
      </w:r>
      <w:r w:rsidRPr="008A2E5A">
        <w:rPr>
          <w:rFonts w:ascii="Times New Roman" w:hAnsi="Times New Roman"/>
          <w:color w:val="0070C0"/>
          <w:sz w:val="16"/>
          <w:szCs w:val="16"/>
        </w:rPr>
        <w:softHyphen/>
        <w:t>кома танковой промышленности Ж. Котина директору завода № 174 Кацнельсону пред</w:t>
      </w:r>
      <w:r w:rsidRPr="008A2E5A">
        <w:rPr>
          <w:rFonts w:ascii="Times New Roman" w:hAnsi="Times New Roman"/>
          <w:color w:val="0070C0"/>
          <w:sz w:val="16"/>
          <w:szCs w:val="16"/>
        </w:rPr>
        <w:softHyphen/>
        <w:t>писывалось:</w:t>
      </w:r>
    </w:p>
    <w:p w14:paraId="3D7CDA72"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зенитной установке в Т-50, проводимые группой т. Савина - прекратить. Конструкторов группы т. Савина немедленно перевести на завод № 183 для осуществления этой работы на Т-34».</w:t>
      </w:r>
    </w:p>
    <w:p w14:paraId="79D52CF0"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было связано с решением о прекраще</w:t>
      </w:r>
      <w:r w:rsidRPr="008A2E5A">
        <w:rPr>
          <w:rFonts w:ascii="Times New Roman" w:hAnsi="Times New Roman"/>
          <w:color w:val="0070C0"/>
          <w:sz w:val="16"/>
          <w:szCs w:val="16"/>
        </w:rPr>
        <w:softHyphen/>
        <w:t>нии производства танков Т-50, принятым по</w:t>
      </w:r>
      <w:r w:rsidRPr="008A2E5A">
        <w:rPr>
          <w:rFonts w:ascii="Times New Roman" w:hAnsi="Times New Roman"/>
          <w:color w:val="0070C0"/>
          <w:sz w:val="16"/>
          <w:szCs w:val="16"/>
        </w:rPr>
        <w:softHyphen/>
        <w:t>становлением ГКО от 6 января 1942 года.</w:t>
      </w:r>
    </w:p>
    <w:p w14:paraId="0229F81D"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ГАБТУ КА было заинтересова</w:t>
      </w:r>
      <w:r w:rsidRPr="008A2E5A">
        <w:rPr>
          <w:rFonts w:ascii="Times New Roman" w:hAnsi="Times New Roman"/>
          <w:color w:val="0070C0"/>
          <w:sz w:val="16"/>
          <w:szCs w:val="16"/>
        </w:rPr>
        <w:softHyphen/>
        <w:t>но в изготовлении зенитной башни на Т-50, о чем 23 января Ж. Котина уведомил началь</w:t>
      </w:r>
      <w:r w:rsidRPr="008A2E5A">
        <w:rPr>
          <w:rFonts w:ascii="Times New Roman" w:hAnsi="Times New Roman"/>
          <w:color w:val="0070C0"/>
          <w:sz w:val="16"/>
          <w:szCs w:val="16"/>
        </w:rPr>
        <w:softHyphen/>
        <w:t>ник БТУ ГАБТУ КА Б. Коробков:</w:t>
      </w:r>
    </w:p>
    <w:p w14:paraId="1F202D01"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проверки конструкции и опреде</w:t>
      </w:r>
      <w:r w:rsidRPr="008A2E5A">
        <w:rPr>
          <w:rFonts w:ascii="Times New Roman" w:hAnsi="Times New Roman"/>
          <w:color w:val="0070C0"/>
          <w:sz w:val="16"/>
          <w:szCs w:val="16"/>
        </w:rPr>
        <w:softHyphen/>
        <w:t>ления возможности установки 37-мм зенит</w:t>
      </w:r>
      <w:r w:rsidRPr="008A2E5A">
        <w:rPr>
          <w:rFonts w:ascii="Times New Roman" w:hAnsi="Times New Roman"/>
          <w:color w:val="0070C0"/>
          <w:sz w:val="16"/>
          <w:szCs w:val="16"/>
        </w:rPr>
        <w:softHyphen/>
        <w:t>ной пушки на танке, считаю желательным закончить в кратчайший срок изготовление танковой установки на Т-50 по проекту тов. Савина на заводе № 174.</w:t>
      </w:r>
    </w:p>
    <w:p w14:paraId="306B493F"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зависимости от результатов испытаний будет решен вопрос о целесообразности раз</w:t>
      </w:r>
      <w:r w:rsidRPr="008A2E5A">
        <w:rPr>
          <w:rFonts w:ascii="Times New Roman" w:hAnsi="Times New Roman"/>
          <w:color w:val="0070C0"/>
          <w:sz w:val="16"/>
          <w:szCs w:val="16"/>
        </w:rPr>
        <w:softHyphen/>
        <w:t>работки аналогичной конструкции и для дру</w:t>
      </w:r>
      <w:r w:rsidRPr="008A2E5A">
        <w:rPr>
          <w:rFonts w:ascii="Times New Roman" w:hAnsi="Times New Roman"/>
          <w:color w:val="0070C0"/>
          <w:sz w:val="16"/>
          <w:szCs w:val="16"/>
        </w:rPr>
        <w:softHyphen/>
        <w:t>гих танков.</w:t>
      </w:r>
    </w:p>
    <w:p w14:paraId="1EE5C41D"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Ваших указаний директору заво</w:t>
      </w:r>
      <w:r w:rsidRPr="008A2E5A">
        <w:rPr>
          <w:rFonts w:ascii="Times New Roman" w:hAnsi="Times New Roman"/>
          <w:color w:val="0070C0"/>
          <w:sz w:val="16"/>
          <w:szCs w:val="16"/>
        </w:rPr>
        <w:softHyphen/>
        <w:t>да № 174 закончить изготовление установки к 1 марта с/г.</w:t>
      </w:r>
    </w:p>
    <w:p w14:paraId="6FA15849"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Ваших распоряжениях прошу поставить меня в известность» (23380).</w:t>
      </w:r>
    </w:p>
    <w:p w14:paraId="1BC4DADD" w14:textId="77777777" w:rsidR="0048453C" w:rsidRPr="008A2E5A" w:rsidRDefault="0048453C" w:rsidP="0048453C">
      <w:pPr>
        <w:spacing w:after="0" w:line="240" w:lineRule="auto"/>
        <w:jc w:val="both"/>
        <w:rPr>
          <w:rFonts w:ascii="Times New Roman" w:hAnsi="Times New Roman"/>
          <w:color w:val="0070C0"/>
          <w:sz w:val="16"/>
          <w:szCs w:val="16"/>
        </w:rPr>
      </w:pPr>
    </w:p>
    <w:p w14:paraId="246E7962"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января 1942 г. для военпредов ГАБТУ КА на танковых заводах устанавливались следующие требования для сдачи танков военпредам:</w:t>
      </w:r>
    </w:p>
    <w:p w14:paraId="3D337C58"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каждый десятый танк Т-34 и КВ и каждый пятый танк Т-60 по выбору военпреда подвергался пятикилометровому пробегу;</w:t>
      </w:r>
    </w:p>
    <w:p w14:paraId="7B360A57"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каждом танке Т-60 и каждом десятом танке Т-34 и КВ производился отстрел пушки, кроме того, на каждом танке подвергались отстрелу пулеметы.</w:t>
      </w:r>
    </w:p>
    <w:p w14:paraId="6337ABA8"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увеличения количества поступавших в действующую армию танков военпреду разрешалось принимать машины без наличия некоторых приборов и агрегатов (при условии их отсутствия на заводе), в том числе: спидометров, башенных вентиляторов (в зимнее время), моторов поворота башни, переговорных устройств (при условии их замены сигнальными лампами), запасных бачков, раций и т. д.[440]</w:t>
      </w:r>
    </w:p>
    <w:p w14:paraId="69C13634"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ситуации, когда эвакуированные танковые заводы еще не могли обеспечить выпуск продукции на достаточно высоком качественном уровне, советское руководство пошло на дальнейшее снижение условий приема готовой продукции.</w:t>
      </w:r>
    </w:p>
    <w:p w14:paraId="3449517E"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Результат таких явно заниженных требований к качеству бронемашин не замедлил сказаться. Так, например, из 10 танков КВ, полученных 121-й танковой бригадой 10 февраля 1942 г., 5 (т. е. 50 %) вышли из строя в результате пробега от 140 до 250 км. В основном это произошло из-за ненадежной коробки перемены </w:t>
      </w:r>
      <w:proofErr w:type="gramStart"/>
      <w:r w:rsidRPr="008A2E5A">
        <w:rPr>
          <w:rFonts w:ascii="Times New Roman" w:hAnsi="Times New Roman"/>
          <w:color w:val="0070C0"/>
          <w:sz w:val="16"/>
          <w:szCs w:val="16"/>
        </w:rPr>
        <w:t>передач[</w:t>
      </w:r>
      <w:proofErr w:type="gramEnd"/>
      <w:r w:rsidRPr="008A2E5A">
        <w:rPr>
          <w:rFonts w:ascii="Times New Roman" w:hAnsi="Times New Roman"/>
          <w:color w:val="0070C0"/>
          <w:sz w:val="16"/>
          <w:szCs w:val="16"/>
        </w:rPr>
        <w:t>441] (23536).</w:t>
      </w:r>
    </w:p>
    <w:p w14:paraId="7BC81820" w14:textId="77777777" w:rsidR="0048453C" w:rsidRPr="008A2E5A" w:rsidRDefault="0048453C" w:rsidP="0048453C">
      <w:pPr>
        <w:spacing w:after="0" w:line="240" w:lineRule="auto"/>
        <w:jc w:val="both"/>
        <w:rPr>
          <w:rFonts w:ascii="Times New Roman" w:hAnsi="Times New Roman"/>
          <w:color w:val="0070C0"/>
          <w:sz w:val="16"/>
          <w:szCs w:val="16"/>
        </w:rPr>
      </w:pPr>
    </w:p>
    <w:p w14:paraId="2D8EF860" w14:textId="77777777" w:rsidR="0048453C" w:rsidRPr="008A2E5A" w:rsidRDefault="0048453C" w:rsidP="0048453C">
      <w:pPr>
        <w:spacing w:after="0" w:line="240" w:lineRule="auto"/>
        <w:jc w:val="both"/>
        <w:rPr>
          <w:rFonts w:ascii="Times New Roman" w:hAnsi="Times New Roman"/>
          <w:color w:val="0070C0"/>
          <w:sz w:val="16"/>
          <w:szCs w:val="16"/>
        </w:rPr>
      </w:pPr>
      <w:bookmarkStart w:id="0" w:name="bookmark98"/>
      <w:r w:rsidRPr="008A2E5A">
        <w:rPr>
          <w:rFonts w:ascii="Times New Roman" w:hAnsi="Times New Roman"/>
          <w:color w:val="0070C0"/>
          <w:sz w:val="16"/>
          <w:szCs w:val="16"/>
        </w:rPr>
        <w:t xml:space="preserve">15 января 1942 г. издан специальный приказ народного комиссара танковой промышленности В.А. Малышева № 24с, где, в частности, заводам НКТП предписывалось направлять в наркомат материалы по упрощению конструкции и технологии изготовления корпусов, узлов и деталей танков для обобщения и передачи другим </w:t>
      </w:r>
      <w:proofErr w:type="gramStart"/>
      <w:r w:rsidRPr="008A2E5A">
        <w:rPr>
          <w:rFonts w:ascii="Times New Roman" w:hAnsi="Times New Roman"/>
          <w:color w:val="0070C0"/>
          <w:sz w:val="16"/>
          <w:szCs w:val="16"/>
        </w:rPr>
        <w:t>заводам[</w:t>
      </w:r>
      <w:proofErr w:type="gramEnd"/>
      <w:r w:rsidRPr="008A2E5A">
        <w:rPr>
          <w:rFonts w:ascii="Times New Roman" w:hAnsi="Times New Roman"/>
          <w:color w:val="0070C0"/>
          <w:sz w:val="16"/>
          <w:szCs w:val="16"/>
        </w:rPr>
        <w:t xml:space="preserve">1123]. Но в то же время очень важно было сохранить унификацию деталей. В отличие от довоенного периода, когда каждый вид танковой продукции выполнял отдельный завод (броневые листы, двигатели, корпуса, готовые машины), теперь танки и комплектующие изготовлялись на множестве различных предприятий. Поэтому приказом В.А. Малышева № 206мс от 16 февраля 1942 г. самостоятельные изменения в конструкции танков и моторов без согласования с наркоматом </w:t>
      </w:r>
      <w:proofErr w:type="gramStart"/>
      <w:r w:rsidRPr="008A2E5A">
        <w:rPr>
          <w:rFonts w:ascii="Times New Roman" w:hAnsi="Times New Roman"/>
          <w:color w:val="0070C0"/>
          <w:sz w:val="16"/>
          <w:szCs w:val="16"/>
        </w:rPr>
        <w:t>запрещались[</w:t>
      </w:r>
      <w:proofErr w:type="gramEnd"/>
      <w:r w:rsidRPr="008A2E5A">
        <w:rPr>
          <w:rFonts w:ascii="Times New Roman" w:hAnsi="Times New Roman"/>
          <w:color w:val="0070C0"/>
          <w:sz w:val="16"/>
          <w:szCs w:val="16"/>
        </w:rPr>
        <w:t>1124].</w:t>
      </w:r>
      <w:bookmarkEnd w:id="0"/>
    </w:p>
    <w:p w14:paraId="60DB486D" w14:textId="77777777" w:rsidR="0048453C" w:rsidRPr="008A2E5A" w:rsidRDefault="0048453C" w:rsidP="004845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 все годы войны танковая промышленность постоянно срывала производство запасных частей для боевых машин. Особенно остро эта проблема встала в период восстановления эвакуированных мощностей. Впоследствии острота вопроса была снижена, но полностью проблема снята не была. Так, программа февраля 1942 г. по запасным частям была выполнена: Кировским заводом - на 56 %, заводом № 183 - на 44 %, заводом № 37 - на 33 %. В апреле танковые заводы выполнили план по запчастям на 70 %. И хотя в июне часть заводов смогла даже перевыполнить это задание, но основные предприятия отрасли опять сорвали план: Кировский завод его выполнил на 63,3 %, завод № 183 - на 58,2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1125]. В июле выполнение плана по наркомату в целом достигало 89 %, но уже в августе за первую половину месяца едва дотянули до 28,2 % [1126] (23536).</w:t>
      </w:r>
    </w:p>
    <w:p w14:paraId="5776575C" w14:textId="77777777" w:rsidR="0048453C" w:rsidRPr="008A2E5A" w:rsidRDefault="0048453C" w:rsidP="0048453C">
      <w:pPr>
        <w:spacing w:after="0" w:line="240" w:lineRule="auto"/>
        <w:jc w:val="both"/>
        <w:rPr>
          <w:rFonts w:ascii="Times New Roman" w:hAnsi="Times New Roman"/>
          <w:color w:val="0070C0"/>
          <w:sz w:val="16"/>
          <w:szCs w:val="16"/>
        </w:rPr>
      </w:pPr>
    </w:p>
    <w:p w14:paraId="1F060BC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прозвучали отзывы по танку же Мк III «Валентайн»:</w:t>
      </w:r>
    </w:p>
    <w:p w14:paraId="45FDF23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применения «Валентайнов» показал:</w:t>
      </w:r>
    </w:p>
    <w:p w14:paraId="3A41C8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Проходимость танков в зимних условиях хорошая, обес</w:t>
      </w:r>
      <w:r w:rsidRPr="008127F8">
        <w:rPr>
          <w:rFonts w:ascii="Times New Roman" w:hAnsi="Times New Roman"/>
          <w:color w:val="000000" w:themeColor="text1"/>
          <w:sz w:val="16"/>
          <w:szCs w:val="16"/>
        </w:rPr>
        <w:softHyphen/>
        <w:t>печивается движение по снегу толщиной 50-60 см. Сцепление с грунтом хорошее, но при гололедице необходимы шпоры.</w:t>
      </w:r>
    </w:p>
    <w:p w14:paraId="08AA2A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Оружие действовало безотказно, но были случаи недока-та пушки (первые пять-шесть выстрелов), видимо из-за загус</w:t>
      </w:r>
      <w:r w:rsidRPr="008127F8">
        <w:rPr>
          <w:rFonts w:ascii="Times New Roman" w:hAnsi="Times New Roman"/>
          <w:color w:val="000000" w:themeColor="text1"/>
          <w:sz w:val="16"/>
          <w:szCs w:val="16"/>
        </w:rPr>
        <w:softHyphen/>
        <w:t>тения смазки. Оружие очень требовательно к смазке и уходу.</w:t>
      </w:r>
    </w:p>
    <w:p w14:paraId="0329EED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Наблюдение в приборы и щели хорошее.</w:t>
      </w:r>
    </w:p>
    <w:p w14:paraId="7ABC68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Моторная группа и трансмиссия работали хорошо до 150-200 часов, в дальнейшем наблюдаетсям некоторое сниже</w:t>
      </w:r>
      <w:r w:rsidRPr="008127F8">
        <w:rPr>
          <w:rFonts w:ascii="Times New Roman" w:hAnsi="Times New Roman"/>
          <w:color w:val="000000" w:themeColor="text1"/>
          <w:sz w:val="16"/>
          <w:szCs w:val="16"/>
        </w:rPr>
        <w:softHyphen/>
        <w:t>ние мощности двигателя.</w:t>
      </w:r>
    </w:p>
    <w:p w14:paraId="290C56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Броня хорошего качества.</w:t>
      </w:r>
    </w:p>
    <w:p w14:paraId="595AF8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Личный состав экипажей проходил специальную подго</w:t>
      </w:r>
      <w:r w:rsidRPr="008127F8">
        <w:rPr>
          <w:rFonts w:ascii="Times New Roman" w:hAnsi="Times New Roman"/>
          <w:color w:val="000000" w:themeColor="text1"/>
          <w:sz w:val="16"/>
          <w:szCs w:val="16"/>
        </w:rPr>
        <w:softHyphen/>
        <w:t>товку и танками владел удовлетворительно. Командный и технический состав танки знал слабо. Большое неудобство</w:t>
      </w:r>
    </w:p>
    <w:p w14:paraId="11F9F72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создавало незнание экипажами элементов подготовки тан</w:t>
      </w:r>
      <w:r w:rsidRPr="008127F8">
        <w:rPr>
          <w:rFonts w:ascii="Times New Roman" w:hAnsi="Times New Roman"/>
          <w:color w:val="000000" w:themeColor="text1"/>
          <w:sz w:val="16"/>
          <w:szCs w:val="16"/>
        </w:rPr>
        <w:softHyphen/>
        <w:t>ков к зиме. В результате отсутствия необходимых отепле</w:t>
      </w:r>
      <w:r w:rsidRPr="008127F8">
        <w:rPr>
          <w:rFonts w:ascii="Times New Roman" w:hAnsi="Times New Roman"/>
          <w:color w:val="000000" w:themeColor="text1"/>
          <w:sz w:val="16"/>
          <w:szCs w:val="16"/>
        </w:rPr>
        <w:softHyphen/>
        <w:t>ний, машины с трудом заводились на морозе и поэтому дер</w:t>
      </w:r>
      <w:r w:rsidRPr="008127F8">
        <w:rPr>
          <w:rFonts w:ascii="Times New Roman" w:hAnsi="Times New Roman"/>
          <w:color w:val="000000" w:themeColor="text1"/>
          <w:sz w:val="16"/>
          <w:szCs w:val="16"/>
        </w:rPr>
        <w:softHyphen/>
        <w:t>жались все время в горячем состоянии, что вело к большому расходу моторесурсов. В бою с немецкими танками (20.12.1941 года) три «Валентайна» получили следующие по</w:t>
      </w:r>
      <w:r w:rsidRPr="008127F8">
        <w:rPr>
          <w:rFonts w:ascii="Times New Roman" w:hAnsi="Times New Roman"/>
          <w:color w:val="000000" w:themeColor="text1"/>
          <w:sz w:val="16"/>
          <w:szCs w:val="16"/>
        </w:rPr>
        <w:softHyphen/>
        <w:t>вреждения: у одного 37-мм снарядом заклинило башню, у дру</w:t>
      </w:r>
      <w:r w:rsidRPr="008127F8">
        <w:rPr>
          <w:rFonts w:ascii="Times New Roman" w:hAnsi="Times New Roman"/>
          <w:color w:val="000000" w:themeColor="text1"/>
          <w:sz w:val="16"/>
          <w:szCs w:val="16"/>
        </w:rPr>
        <w:softHyphen/>
        <w:t>гого — пушку, третий получил пять попаданий в борт с дис</w:t>
      </w:r>
      <w:r w:rsidRPr="008127F8">
        <w:rPr>
          <w:rFonts w:ascii="Times New Roman" w:hAnsi="Times New Roman"/>
          <w:color w:val="000000" w:themeColor="text1"/>
          <w:sz w:val="16"/>
          <w:szCs w:val="16"/>
        </w:rPr>
        <w:softHyphen/>
        <w:t>танции 200-250 метров. В этом бою «Валентайны» подбили два средних немецких танка Т-3.</w:t>
      </w:r>
    </w:p>
    <w:p w14:paraId="3D8B161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целом, Мк.Ш — хорошая боевая машина с мощным во</w:t>
      </w:r>
      <w:r w:rsidRPr="008127F8">
        <w:rPr>
          <w:rFonts w:ascii="Times New Roman" w:hAnsi="Times New Roman"/>
          <w:color w:val="000000" w:themeColor="text1"/>
          <w:sz w:val="16"/>
          <w:szCs w:val="16"/>
        </w:rPr>
        <w:softHyphen/>
        <w:t>оружением, хорошей проходимостью, способная действовать против живой силы, укреплений и танков противника.</w:t>
      </w:r>
    </w:p>
    <w:p w14:paraId="1BDB4D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Отрицательные стороны:</w:t>
      </w:r>
    </w:p>
    <w:p w14:paraId="4735CC4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Плохое сцепление гусениц с грунтом.</w:t>
      </w:r>
    </w:p>
    <w:p w14:paraId="75EA816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Большая уязвимость тележек подвески — при выходе из строя первого катка танк двигаться не может. К пушке нет осколочно-фугасных снарядов” (10782).</w:t>
      </w:r>
    </w:p>
    <w:p w14:paraId="4074374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57A2C76"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года приказом по НКТП № 26сс директору завода № 174 предписывалось прекратить все работы по зенитной установке в танке Т-50, которые вела группа инженера Савина еще с 1941 года (предполагалось создать зенитный танк с установкой 37-мм автомата в открытой башне). В приказе говорилось:</w:t>
      </w:r>
    </w:p>
    <w:p w14:paraId="7B087A23"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«Конструкторов группы т. Савина немедленно перевести на завод № 183 для осуществления этой работы на Т-34.</w:t>
      </w:r>
    </w:p>
    <w:p w14:paraId="0F4297AA"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проект и рабочие чертежи - к 15 марта 1942 года, испытание - к 1 апреля 1942 года».</w:t>
      </w:r>
    </w:p>
    <w:p w14:paraId="08C10D7B"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зенитной тридцатьчетверки был выполнен, но остался только на бумаге (12217).</w:t>
      </w:r>
    </w:p>
    <w:p w14:paraId="712EEE6A" w14:textId="77777777" w:rsidR="00C0199F" w:rsidRPr="008127F8" w:rsidRDefault="00C0199F" w:rsidP="001E0A84">
      <w:pPr>
        <w:spacing w:after="0" w:line="240" w:lineRule="auto"/>
        <w:jc w:val="both"/>
        <w:rPr>
          <w:rFonts w:ascii="Times New Roman" w:hAnsi="Times New Roman"/>
          <w:color w:val="000000" w:themeColor="text1"/>
          <w:sz w:val="16"/>
          <w:szCs w:val="16"/>
        </w:rPr>
      </w:pPr>
    </w:p>
    <w:p w14:paraId="307D4455" w14:textId="77777777" w:rsidR="00F46041" w:rsidRPr="008127F8" w:rsidRDefault="00F4604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15 января 1942 года по итогам рассмотрения проектов модернизации завод №92 получил задачу изготовить опытный образец ЗИС-19, а уже к 1 февраля ожидался выход танка с новой пушкой на испытания. В период с 20 декабря 1941 года по 13 января 1942 года были разработаны рабочие чертежи системы. С 12 по 19 января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50B3330A" w14:textId="77777777" w:rsidR="00F46041" w:rsidRPr="008127F8" w:rsidRDefault="00F46041" w:rsidP="001E0A84">
      <w:pPr>
        <w:spacing w:after="0" w:line="240" w:lineRule="auto"/>
        <w:jc w:val="both"/>
        <w:rPr>
          <w:rFonts w:ascii="Times New Roman" w:hAnsi="Times New Roman"/>
          <w:color w:val="000000" w:themeColor="text1"/>
          <w:sz w:val="16"/>
          <w:szCs w:val="16"/>
        </w:rPr>
      </w:pPr>
    </w:p>
    <w:p w14:paraId="05B9EF63"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января 1942 г. Постановлением ГКО № 1152сс Наркомату Речного флота было предписано «восстановить в Москве эвакуированный Нагатинский завод для изготовления элементов боеприпасов». Из документа Наркомата Речного флота следовало, что часть станков завода при эвакуации замерзла в барже, зазимовавшей в Белгородском затоне. В связи с заносом дорог Наркомат обратился с просьбой «обязать Горьковский облисполком… выделить 3 трактора челябинца и 50 шт. лошадей с горючим и фуражем для вывоза станочного парка с Белгородского затона». Кроме того, для ускорения пуска Нагатинского завода замнаркомречфлота В.Рахманин просил разрешить вывезти в Нагатино 20 токарных станков с Саратовского судоремонтного завода («Саратовский завод получил 19 станков с эвакобазы и 4 станка, прибывших к нему с Запорожского завода, оборудованием для имеющихся у него заказов будет обеспечен») (12291). </w:t>
      </w:r>
    </w:p>
    <w:p w14:paraId="492159E5" w14:textId="77777777" w:rsidR="00C0199F" w:rsidRPr="008127F8" w:rsidRDefault="00C0199F" w:rsidP="001E0A84">
      <w:pPr>
        <w:spacing w:after="0" w:line="240" w:lineRule="auto"/>
        <w:jc w:val="both"/>
        <w:rPr>
          <w:rFonts w:ascii="Times New Roman" w:hAnsi="Times New Roman"/>
          <w:color w:val="000000" w:themeColor="text1"/>
          <w:sz w:val="16"/>
          <w:szCs w:val="16"/>
        </w:rPr>
      </w:pPr>
    </w:p>
    <w:p w14:paraId="1F82711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января</w:t>
      </w:r>
      <w:r w:rsidRPr="008127F8">
        <w:rPr>
          <w:rFonts w:ascii="Times New Roman" w:hAnsi="Times New Roman"/>
          <w:color w:val="000000" w:themeColor="text1"/>
          <w:sz w:val="16"/>
          <w:szCs w:val="16"/>
        </w:rPr>
        <w:t xml:space="preserve"> в 1942 году был пущен в эксплуатацию Миасский завод электрооборудования. Ныне - ОАО "Миассэлектроаппарат" (Челябинская область). Выпускает электродвигатели, дополнительное оборудование и принадлежности автотранспортных средств, запасные части и агрегаты для легковых автомобилей</w:t>
      </w:r>
    </w:p>
    <w:p w14:paraId="6A3A7E50"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610CAA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года Протоколом совещания при заместителе наркома боеприпасов Клюеве от было принято решение:</w:t>
      </w:r>
    </w:p>
    <w:p w14:paraId="3E05A368" w14:textId="77777777" w:rsidR="00D4651C" w:rsidRPr="008127F8" w:rsidRDefault="00D4651C" w:rsidP="001E0A84">
      <w:pPr>
        <w:numPr>
          <w:ilvl w:val="0"/>
          <w:numId w:val="4"/>
        </w:numPr>
        <w:tabs>
          <w:tab w:val="left" w:pos="360"/>
        </w:tabs>
        <w:spacing w:after="0" w:line="240" w:lineRule="auto"/>
        <w:ind w:left="0" w:firstLine="0"/>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восстановлении завода № 20 на площадке «Крекинг» завода в Уфе.</w:t>
      </w:r>
    </w:p>
    <w:p w14:paraId="795AA2CC" w14:textId="77777777" w:rsidR="00D4651C" w:rsidRPr="008127F8" w:rsidRDefault="00D4651C" w:rsidP="001E0A84">
      <w:pPr>
        <w:numPr>
          <w:ilvl w:val="0"/>
          <w:numId w:val="5"/>
        </w:numPr>
        <w:tabs>
          <w:tab w:val="left" w:pos="360"/>
        </w:tabs>
        <w:spacing w:after="0" w:line="240" w:lineRule="auto"/>
        <w:ind w:left="0" w:firstLine="0"/>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Цехи динитронафталина и ксилила восстановить на заводе № 15 в Чапаевске.</w:t>
      </w:r>
    </w:p>
    <w:p w14:paraId="25245A0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Уфа, п/я 6</w:t>
      </w:r>
    </w:p>
    <w:p w14:paraId="7E9EAA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Куценко (10336).</w:t>
      </w:r>
    </w:p>
    <w:p w14:paraId="27FA9A3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3FBD1B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7EA9B5EA" w14:textId="77777777" w:rsidR="00D4651C" w:rsidRPr="008127F8" w:rsidRDefault="00D4651C" w:rsidP="001E0A84">
      <w:pPr>
        <w:pStyle w:val="Iauiue"/>
        <w:jc w:val="both"/>
        <w:rPr>
          <w:iCs/>
          <w:color w:val="000000" w:themeColor="text1"/>
          <w:sz w:val="16"/>
          <w:szCs w:val="16"/>
        </w:rPr>
      </w:pPr>
    </w:p>
    <w:p w14:paraId="4FB4E10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692A59C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15 января на ряде участков фронта продолжались активные боевые действия наших войск.</w:t>
      </w:r>
    </w:p>
    <w:p w14:paraId="18C23D7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Ефремова (Западный фронт) за один день боёв захватили 8 немецких танков, 22 орудия, 68 пулемётов, 8 автомашин и 40 повозок с боеприпасами.</w:t>
      </w:r>
    </w:p>
    <w:p w14:paraId="6EBDF8B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тов. Вороновича, совершив глубокий обход, вышло в тыл отступающим вражеским частям и в ожесточённом бою истребило свыше 100 немецких солдат и офицеров.</w:t>
      </w:r>
    </w:p>
    <w:p w14:paraId="08FA8A0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Гордова (Юго-Западный фронт) за один день уничтожили 5 вражеских орудий, 2 миномёта, 5 пулемётов и 12 подвод с боеприпасами. Противник потерял 4 взвода пехоты. На другом участке фронта часть тов. Подласа в бою за один населённый пункт вывела из строя до 400 гитлеровцев и уничтожила 100 немецких автомашин.</w:t>
      </w:r>
    </w:p>
    <w:p w14:paraId="0E8ECFF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Подпустив большую группу немецких солдат, шедших в атаку, на близкое расстояние, пулемётчик Шевцов открыл ураганный огонь по врагу и расстрелял 30 солдат противника.</w:t>
      </w:r>
    </w:p>
    <w:p w14:paraId="17CE10C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числе документов, захваченных у противника, найден «штрафной журнал 5 роты 123 немецкого пехотного полка». Судя по записям этого журнала, в роте нет ни одного солдата, не подвергавшегося дисциплинарным взысканиям. Многие солдаты имеют по 5—6 взысканий. 4 десятка с лишним страниц журнала испещрены записями о взысканиях за пьянство и дебош. Стрелок Конрад Гюнтер, ефрейторы Пауль Ваннеман, Вильгельм Мильде и Пауль Нусс в пьяном виде учинили погром в ротной кухне. Унтер-офицер Бруно Тюлле украл 2 килограмма масла из военного склада. Унтер-офицер Рихард Геренталер продал своё обмундирование. Вилли Симон и другие стрелки обокрали своих сослуживцев.</w:t>
      </w:r>
    </w:p>
    <w:p w14:paraId="5765688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неотправленном письме на родину, найденном у убитого немецкого ефрейтора Уттенлека, написано: «Две недели тому назад мы потерпели поражение и должны были отступить. Оружие и машины мы в значительном числе оставили. Лишь немногие товарищи сумели спасти свою жизнь и остались в той одежде, которая была у них на теле. Я буду помнить это всю жизнь».</w:t>
      </w:r>
    </w:p>
    <w:p w14:paraId="686891A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освобожденного от гитлеровских злодеев села Плоское, Пристенского района, Курской области, рассказывают: «Ворвавшись в наше село, немецкие бандиты учинили дикую расправу над крестьянами. На глазах у всего населения изверги зверски пытали и замучили семью колхозника Петра Сергеевича Печереева. У жены Печереева — Ольги на руках был грудной ребёнок. Офицер застрелил мать, а потом кинжалом заколол младенца. Палачи застрелили и пятилетнего сына Печереевых. Жертвами немецких бандитов пали также братья Фёдор, Григорий и Дмитрий Леонидовы, Данилов, Игорев и другие. За несколько часов пребывания в селе гитлеровцы убили 23 жителя. После расстрелов начались повальные грабежи. Немцы забирали всё, вплоть до ниток и спичек. Они останавливали на улице прохожих и под угрозой расстрела раздевали их. Разграбив село, немцы подожгли его. Из 150 домов сожжено 130. Подошедшие красноармейские части спасли нас от неминуемой гибели» (15010).</w:t>
      </w:r>
    </w:p>
    <w:p w14:paraId="0EA9C3B7"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21C5EE7E"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415B154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января наши войска продолжали продвигаться вперёд, заняли несколько населённых пунктов и в числе их г. Селижарово. В ходе боёв противник несёт большие потери в технике и особенно в живой силе.</w:t>
      </w:r>
    </w:p>
    <w:p w14:paraId="5E4C969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января уничтожено 6 немецких самолётов. Наши потери — 3 самолёта.</w:t>
      </w:r>
    </w:p>
    <w:p w14:paraId="3B3A0F7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потоплены два транспорта противника общим водоизмещением в 11.000 тонн.</w:t>
      </w:r>
    </w:p>
    <w:p w14:paraId="3D706F0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января наша авиачасть уничтожила 3 немецких танка, 60 автомашин с пехотой и грузами, 50 повозок с боеприпасами, 20 орудий с прислугой и рассеяла батальон пехоты противника.</w:t>
      </w:r>
    </w:p>
    <w:p w14:paraId="1D5FF96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освобождённом от немецко-фашистских захватчиков городе Медынь бойцы тов. Голубева, по неполным данным, захватили 6 немецких танков, 648 автомашин, 25 орудий, 49 пулемётов, 130 повозок, 3 трактора, большое количество автоматов, винтовок, снарядов, мин и патронов.</w:t>
      </w:r>
    </w:p>
    <w:p w14:paraId="05EF64B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Внезапным ударом часть тов. Эрастова (Западный фронт) выбила немцев из одного населённого пункта. В беспорядке отступая, противник оставил 80 автомашин, 50 повозок и большое количество боеприпасов. На другом участке разведчики старшего лейтенанта Кезбериса, перебив охрану, захватили немецкие воинские склады. Среди трофеев — 40 автоматов, 16 пулемётов, 23 противотанковых ружья, 12.000 снарядов, 300.000 патронов и много другого военного имущества.</w:t>
      </w:r>
    </w:p>
    <w:p w14:paraId="4BF7B63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двухдневных боёв наша часть, действующая на одном из участков Ленинградского фронта, разрушила 13 немецких блиндажей и землянок, уничтожила 4 </w:t>
      </w:r>
      <w:proofErr w:type="gramStart"/>
      <w:r w:rsidRPr="008127F8">
        <w:rPr>
          <w:rFonts w:ascii="Times New Roman" w:hAnsi="Times New Roman"/>
          <w:color w:val="000000" w:themeColor="text1"/>
          <w:sz w:val="16"/>
          <w:szCs w:val="16"/>
        </w:rPr>
        <w:t>дерево-земляные</w:t>
      </w:r>
      <w:proofErr w:type="gramEnd"/>
      <w:r w:rsidRPr="008127F8">
        <w:rPr>
          <w:rFonts w:ascii="Times New Roman" w:hAnsi="Times New Roman"/>
          <w:color w:val="000000" w:themeColor="text1"/>
          <w:sz w:val="16"/>
          <w:szCs w:val="16"/>
        </w:rPr>
        <w:t xml:space="preserve"> огневые точки и 6 пулемётных гнёзд. Противник потерял убитыми до 600 солдат и офицеров.</w:t>
      </w:r>
    </w:p>
    <w:p w14:paraId="79155D5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дневника командира партизанского отряда, действующего в одном из районов Ленинградской области, оккупированных немцами:</w:t>
      </w:r>
    </w:p>
    <w:p w14:paraId="43AB209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декабря. На дороге уничтожили две вражеские грузовые автомашины, 9 немецких солдат и одного офицера.</w:t>
      </w:r>
    </w:p>
    <w:p w14:paraId="170DDAB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декабря. Отряд порвал телефонную полевую связь противника. К ночи партизаны минировали одну из дорог, ведущих к фронту, и сделали на ней несколько лесных завалов.</w:t>
      </w:r>
    </w:p>
    <w:p w14:paraId="098C1EC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В этот день преподнесли вшивым немецким воякам «новогодний подарок». На дороге в К. внезапным налётом разгромили фашистскую колонну с имуществом связи и боеприпасами. Выведено из строя пять машин, убито шесть вражеских солдат и шофёров. Партизаны захватили немецкий автомат, миномёт малого калибра, 13 винтовок, 46 гранат.</w:t>
      </w:r>
    </w:p>
    <w:p w14:paraId="5F85AE0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Отряд произвёл нападение на вражеский обоз, перебил ездовых, поджёг 3 воза сена и 4 бочки с горючим. К вечеру встретили взвод немцев и с расстояния в 200 метров обстреляли его. Убито 10 гитлеровцев».</w:t>
      </w:r>
    </w:p>
    <w:p w14:paraId="267143E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 убитого немецкого обер-ефрейтора Августа Тресса обнаружено неотправленное письмо к родным. Тресс писал: «Дни, начиная от рождества, были самыми ужасными в моей жизни. Мы бежали от русских ночью, при сильном морозе. В некоторых ротах едва ли осталось больше 10 уцелевших солдат. Очень много убитых, раненых и замёрзших. У многих обморожены руки и ноги. Я едва спасся. Русские нас почти полностью окружили, мы выбрались с большими муками, оставив всё в руках противника—орудия и всё имущество, стараясь спасти свою жизнь».</w:t>
      </w:r>
    </w:p>
    <w:p w14:paraId="624742E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Слободино, Московской области, гитлеровцы из карательного отряда собрали группу девушек и молодых женщин, поголовно изнасиловали их и расстреляли 15 своих жертв.</w:t>
      </w:r>
    </w:p>
    <w:p w14:paraId="62DE31B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гитлеровской Германии с каждым днём ухудшается продовольственное положение. В результате резко возросла смертность детей. В гор. Штаргарде в декабре 1941 года смертность детей увеличилась по сравнению с декабрём 1940 года в три раза.</w:t>
      </w:r>
    </w:p>
    <w:p w14:paraId="01253FB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Советский патриот старший мастер Горьковского станкозавода тов. Побединский изобрёл ценное приспособление к фрезерному станку. Раньше на изготовление одной детали уходило 8 часов. Теперь же при помощи приспособления на станке за это же время обрабатывается 48 деталей. Стахановцы участка тов. Побединского резко повысили производительность труда. 5 января, например, фрезеровщик тов. Пудкин выполнил сменную норму на 540 процентов. Через несколько дней тов. Пудкин выполнил норму на 1.620 процентов. 10 января фрезеровщик тов. Полотнов, пользуясь теми же приспособлениями, выработал 2.290 процентов нормы.» (15010).</w:t>
      </w:r>
    </w:p>
    <w:p w14:paraId="0D0A6FAE"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646B270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января</w:t>
      </w:r>
      <w:r w:rsidRPr="008127F8">
        <w:rPr>
          <w:rFonts w:ascii="Times New Roman" w:hAnsi="Times New Roman"/>
          <w:color w:val="000000" w:themeColor="text1"/>
          <w:sz w:val="16"/>
          <w:szCs w:val="16"/>
        </w:rPr>
        <w:t xml:space="preserve"> в 1942 году войска Калининского фронта освободили город Селижарово (15010).</w:t>
      </w:r>
    </w:p>
    <w:p w14:paraId="7DC4FB16"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08E184B7"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15 января 1942 была выпущена:</w:t>
      </w:r>
    </w:p>
    <w:p w14:paraId="4EAD0E90"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Секретно</w:t>
      </w:r>
    </w:p>
    <w:p w14:paraId="601478F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Инструкция</w:t>
      </w:r>
    </w:p>
    <w:p w14:paraId="0C72511D"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ПО НАВЕДЕНИЮ ИСТРЕБИТЕЛЬНОЙ АВИАЦИИ НА САМОЛЕТЫ ПРОТИВНИКА</w:t>
      </w:r>
    </w:p>
    <w:p w14:paraId="189E78CA"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Общие основы</w:t>
      </w:r>
    </w:p>
    <w:p w14:paraId="128C9A27"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 Основным источником получения данных о самолетах противника является система постов воздушного наблюдения, оповещения и связи (“воздух”). Эти данные дополняются непосредственным наблюдением командиров всех степеней, постами непосредственного наблюдения на командных пунктах частей и полетами отдельных самолетов-разведчиков. Для приема сигналов радиосети “воздух” на командных пунктах авиационных частей устанавливаются два радиоприемника.</w:t>
      </w:r>
    </w:p>
    <w:p w14:paraId="3702898F"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2. Наведение наших самолетов-истребителей с использованием сигналов “воздух” должно производиться с основных командных пунктов (командный пункт военно-воздушных сил армии, командные пункты авиационных полков в своем районе). Для этого должны быть установлены на командных пунктах приемники на волне “воздух”, обеспечивающие моментальный прием сигналов. Наличие этих приемников на командном пункте обеспечивает передачу сигналов от приемника через постоянно действующий репродуктор. Для этого система “воздух” должна засекать как наши группы, так и группы самолетов противника и в зависимости от обстановки давать сигналы наведения либо непосредственно через командные радиостанции командных пунктов, либо при большом удалении использовать ближайшую к месту действия радиостанцию наведения (информирующую), которая должна повторять сигнал, передаваемый с основного командного пункта, используя его позывной.</w:t>
      </w:r>
    </w:p>
    <w:p w14:paraId="7764000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3. Наиболее совершенным средством оповещения самолетов, вызова по тревоге, средством наведения на цель и управления своей истребительной авиацией в воздухе является специально организованная радиосеть наведения. Рации наведения организуются на поле боя, в полосе действий армий, а также на аэродромах истребительной авиации и у основных прикрываемых объектов.</w:t>
      </w:r>
    </w:p>
    <w:p w14:paraId="5262C90A"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4. Радиостанции наведения по характеру использования подразделяются на:</w:t>
      </w:r>
    </w:p>
    <w:p w14:paraId="32C76810"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Информирующие радиостанции. Эти радиостанции только информируют наших истребителей о воздушной обстановке; такими станциями могут быть радиостанции дивизионных и армейских частей наземных войск и радиостанции, специально выделяемые общевойсковым командованием в распоряжение военно-воздушных сил.</w:t>
      </w:r>
    </w:p>
    <w:p w14:paraId="26F0091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б) Командные радиостанции. Они имеют право не только информировать, но и давать команды истребителям в воздух (радиостанции командующего военно-воздушными силами фронта, командующего военно-воздушными силами армии, командиров авиационных дивизий и полков) подчиненным им экипажам. Названные командиры военно-воздушных сил имеют право пользоваться позывным своей командной радиостанции с любой станции радионаведения.</w:t>
      </w:r>
    </w:p>
    <w:p w14:paraId="619900E2"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5. Радиостанции наведения на всех аэродромах истребительной авиации, командных пунктах командиров авиационных полков и военно-воздушных сил армий, а также на основных объектах прикрытия истребительной авиацией устанавливаются средствами военно-воздушных сил.</w:t>
      </w:r>
    </w:p>
    <w:p w14:paraId="45C3B5EB"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6. На главных направлениях действия наших войск радиостанции наведения выделяются наземным командованием в распоряжение военно-воздушных сил. Эти радиостанции наведения располагаются на расстоянии 5 - 10 км друг от друга в зависимости от местности. Удаление одной радиостанции наведения от другой должно обеспечивать наилучшее наблюдение за воздухом.</w:t>
      </w:r>
    </w:p>
    <w:p w14:paraId="0026CDB8"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7. Для сокращения наряда патрулей и обеспечения большого района прикрытия, особенно над полем боя, радиостанции наведения могут располагаться по изломанной или прямой линии на указанном выше расстоянии друг от друга. Такое расположение радиостанции дает возможность вести наблюдение за воздухом на значительном протяжении фронта, своевременно информировать о воздушной обстановке в направлении, противоположном месту нахождения патруля, и нацеливать его на появившегося противника. Поле зрения патруля простирается нормально в радиусе до 5 км. Вышеприведенное же расположение радиостанций таково, что они наблюдают за воздухом вместо патруля на значительном от него расстоянии в 30 - 40 км, чем дают возможность увеличивать площадь прикрытия.</w:t>
      </w:r>
    </w:p>
    <w:p w14:paraId="6BAEBB0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8. Радиостанции наведения наземных частей могут использоваться также для передачи данных разведки, произведенной нашей истребительной авиацией.</w:t>
      </w:r>
    </w:p>
    <w:p w14:paraId="294AA5D6"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9. Радиостанции наведения информируют не только истребителей своих частей, но и всех истребителей частей военно-воздушных сил фронта, находящихся в поле их видимости.</w:t>
      </w:r>
    </w:p>
    <w:p w14:paraId="2FC8C8F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10. На все принятые команды, распоряжения и информации патрулирующие экипажи реагируют немедленно, прием подтверждают квитанцией — словом “понял”. Экипажи, имеющие только приемники, принятую команду, распоряжение или информацию подтверждают двукратным покачиванием самолета.</w:t>
      </w:r>
    </w:p>
    <w:p w14:paraId="44D1F3AF"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11. Самолетные передающие рации используются в патрулях также для управления боем. Все команды в воздухе подает только командир группы (патруля). Запрещается при патрулировании вести излишние разговоры.</w:t>
      </w:r>
    </w:p>
    <w:p w14:paraId="457E5F82"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12. Станция наведения может быть использована и в наземной сети как командная радиостанция с командных пунктов командиров авиационных частей с применением таблицы радиосигналов.</w:t>
      </w:r>
    </w:p>
    <w:p w14:paraId="1C22DD6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13. Летный состав, вылетевший на патрулирование, обязан знать расположение раций наведения и их позывные.</w:t>
      </w:r>
    </w:p>
    <w:p w14:paraId="0093ECAB"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14. Радиостанция наведения при наличии двух патрулей в воздухе в ее районе обязана информировать о приходе и уходе и действиях каждого из этих патрулей.</w:t>
      </w:r>
    </w:p>
    <w:p w14:paraId="45EB1D75"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15. На всех радиостанциях наведения, кроме радиостанций наземных войск (дивизионные и армейские радиосети), должен быть график патрулирования своих самолетов.</w:t>
      </w:r>
    </w:p>
    <w:p w14:paraId="67D5FA5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16. Для наведения (целеуказания) могут быть использованы радиостанции общевойсковых, дивизионных и армейских сетей с переключением их на единую волну наведения.</w:t>
      </w:r>
    </w:p>
    <w:p w14:paraId="16F1523E"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17. Для взаимодействия бомбардировщиков с истребителями:</w:t>
      </w:r>
    </w:p>
    <w:p w14:paraId="42ECD350"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бомбардировщики поддерживают радиосвязь с аэродромом взлета на своей волне управления;</w:t>
      </w:r>
    </w:p>
    <w:p w14:paraId="12738626"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б) при необходимости установления радиосвязи с истребителями бомбардировщики должны иметь на самолетной рации закрепленную фиксатором волну наведения, на которой они осуществляют связь взаимодействия.</w:t>
      </w:r>
    </w:p>
    <w:p w14:paraId="74EE0A5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18. Наведение с земли при помощи стрелы является лишь дублирующим средством на случай отказа радио.</w:t>
      </w:r>
    </w:p>
    <w:p w14:paraId="6B107237"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Б. Командная наземная радиостанция</w:t>
      </w:r>
    </w:p>
    <w:p w14:paraId="70FA9F7D"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 На командных пунктах авиационных частей для управления боем, наведения и перенацеливания действует специальная радиостанция (командная радиостанция “КР”), через которую по особо разработанной системе сигналов, периодически обновляемых для сохранения секретности, осуществляется:</w:t>
      </w:r>
    </w:p>
    <w:p w14:paraId="59C573D2"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Прием от главной рации команд (сигналов) с командного пункта высшего соединения.</w:t>
      </w:r>
    </w:p>
    <w:p w14:paraId="06F93169"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б) Донесение главной рации о приеме и выполнении ее сигналов. (Результаты же каждого вылета и итоги боевых действий за день в установленные сроки и в установленном порядке доносятся по проволочной связи или через специальную наземную радиосвязь. Загружать донесениями командную рацию наведения запрещается.)</w:t>
      </w:r>
    </w:p>
    <w:p w14:paraId="20E92EC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в) Непрерывная поддержка связи с самолетами, дежурившими в готовности № 1, и подача команд на вылет.</w:t>
      </w:r>
    </w:p>
    <w:p w14:paraId="2CB3A95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г) Информация ведущего группы (патруля) о воздушном противнике и наведение его на цель.</w:t>
      </w:r>
    </w:p>
    <w:p w14:paraId="037502F2"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д) Передача команды для управления боем своих истребителей, находящихся в воздухе.</w:t>
      </w:r>
    </w:p>
    <w:p w14:paraId="3AFEAD32"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е) Перенацеливание своих самолетов на другие цели (объекты).</w:t>
      </w:r>
    </w:p>
    <w:p w14:paraId="5747223E"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ж) Отдача команд на посадку своих самолетов.</w:t>
      </w:r>
    </w:p>
    <w:p w14:paraId="5EF97E8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з) Контроль над наведением и информацией, идущей от раций информирующих, в случаях удаления своих самолетов из поля зрения с командного пункта и нахождения в районе объекта, где имеются рации информации.</w:t>
      </w:r>
    </w:p>
    <w:p w14:paraId="2477473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lastRenderedPageBreak/>
        <w:t>В. Радиостанция информирующая</w:t>
      </w:r>
    </w:p>
    <w:p w14:paraId="0EF340AE"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 В местах, обеспечивающих наилучший обзор с земли вероятных подходов противника к объекту прикрытия и хорошее наблюдение за воздухом (ходом воздушного боя), устанавливается радиостанция информирующая. Такие же радиостанции выделяются в каждом общевойсковом соединении или же части, действующих на главном направлении и прикрываемых истребительной авиацией.</w:t>
      </w:r>
    </w:p>
    <w:p w14:paraId="2504FBD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2. Места расположения и позывные радиостанций информирующих сообщаются ведущим группам (патрулей) нашей истребительной авиации, прикрывающим наземные войска (объект).</w:t>
      </w:r>
    </w:p>
    <w:p w14:paraId="4B3D925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3. Радиостанция информирующая работает на той же волне, что командная и самолетная радиостанции, и пользуется правом наведения и информации в районе своего объекта (командовать права не имеет).</w:t>
      </w:r>
    </w:p>
    <w:p w14:paraId="1424C2EB"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4. Радиостанции, информирующие патрули о воздушной обстановке, обязаны:</w:t>
      </w:r>
    </w:p>
    <w:p w14:paraId="61566FA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когда противник находится в непосредственной близости от патруля или во время боя сообщать положение, количество и тип самолетов противника;</w:t>
      </w:r>
    </w:p>
    <w:p w14:paraId="4C0597E1"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б) когда противник находится вне видимости патруля, сообщать место, высоту, количество, тип и курс самолетов противника, находившихся в поле зрения рации.</w:t>
      </w:r>
    </w:p>
    <w:p w14:paraId="0DA0808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Г. Авиационные наводчики при радиостанциях наземных войск</w:t>
      </w:r>
    </w:p>
    <w:p w14:paraId="616ED909"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 На каждую информирующую радиостанцию в системе наземных войск распоряжением командира соответствующей авиационной части выделяется специальный командир в качестве авиационного наводчика, основная задача которого — информация о воздушной обстановке патрулей, прикрывающих войска (объекты).</w:t>
      </w:r>
    </w:p>
    <w:p w14:paraId="748917FE"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2. Никаких команд авиационный наводчик не подает.</w:t>
      </w:r>
    </w:p>
    <w:p w14:paraId="4A6A506D"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3. Авиационный наводчик обязан в совершенстве знать силуэты своих самолетов и самолетов противника, знать сигналы “я свой самолет” и опознавательные знаки своих наземных войск, знать и точно соблюдать все остальные установленные сигналы.</w:t>
      </w:r>
    </w:p>
    <w:p w14:paraId="6B9C47D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4. Авиационный наводчик информирует также о появлении и уходе своих самолетов (взаимодействующих патрулей).</w:t>
      </w:r>
    </w:p>
    <w:p w14:paraId="657C6EDF"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5. При появлении самолетов противника в районе видимости авиационный наводчик на установленной волне передает тип самолета, высоту, количество и направление полета (курс). При появлении в радиусе зрения одновременно наших истребителей и самолетов противника он должен информировать о положении самолетов противника по отношению к нашим самолетам.</w:t>
      </w:r>
    </w:p>
    <w:p w14:paraId="71B65FB6"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Указания даются в трех направлениях:</w:t>
      </w:r>
    </w:p>
    <w:p w14:paraId="7C82CF3C"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сзади, справа, выше на 500 метров;</w:t>
      </w:r>
    </w:p>
    <w:p w14:paraId="41553665"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б) спереди, слева, ниже на 300 метров и т. д.</w:t>
      </w:r>
    </w:p>
    <w:p w14:paraId="7D14956F"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Д. Специальные указания</w:t>
      </w:r>
    </w:p>
    <w:p w14:paraId="19B5ADE0"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 Радиосеть наведения работает согласно специальным радио данным.</w:t>
      </w:r>
    </w:p>
    <w:p w14:paraId="69DC293D"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2. Все радиостанции наведения и радиостанции патрулирующих самолетов работают на одной волне. Все передачи от радиостанций наведения в воздух идут открытым текстом через микрофон по установленным сигналам.</w:t>
      </w:r>
    </w:p>
    <w:p w14:paraId="3E26F236"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3. Волны и позывные для всех раций наведения определяются начальником связи военно-воздушных сил, согласовываются с начальниками связи наземного командования и сообщаются соответствующим начальникам (командирам) специальным указанием.</w:t>
      </w:r>
    </w:p>
    <w:p w14:paraId="7726CE6A"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4. Дежурство на радиостанциях наведения ведется круглосуточно.</w:t>
      </w:r>
    </w:p>
    <w:p w14:paraId="26C9BFAE"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5. Радиосвязь в наземной сети радиостанций наведения осуществляется по специальной таблице радиосигналов.</w:t>
      </w:r>
    </w:p>
    <w:p w14:paraId="24CB43C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6. Каждый экипаж самолета истребителя, имеющий приемопередаточную станцию, после вылета устанавливает связь с радиостанцией наведения аэродрома вылета, а имеющие только приемники — поверяют его работу.</w:t>
      </w:r>
    </w:p>
    <w:p w14:paraId="24F3699B"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7. Истребители, патрулирующие над объектом прикрытия, услышав вызов станции наведения, позывным, присвоенным не данному патрулю, немедленно сообщают этой рации наведения свой позывной, это дает возможность наземной рации наведения по позывным самолетов ориентироваться, к какой части военно-воздушных сил относится данная группа (экипаж).</w:t>
      </w:r>
    </w:p>
    <w:p w14:paraId="29272A0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8. Если радиостанция наведения не знает позывных истребителей, действующих в ее районе, то при необходимости информации о воздушной обстановке в исключительных случаях разрешается истребителей называть по типам самолетов, с последующим обязательным докладом по команде.</w:t>
      </w:r>
    </w:p>
    <w:p w14:paraId="5E839299"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9. Прежде чем начать передачу, необходимо прослушать на приемнике, не передают ли на этой волне с другой радиостанции наведения.</w:t>
      </w:r>
    </w:p>
    <w:p w14:paraId="789BEBCB"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В деле наведения своей истребительной авиации на самолеты противника надо всегда исходить из конкретной воздушной обстановки, учитывая, что лучше лишний раз поднять в воздух свои самолеты, чем допустить безнаказанное бомбардирование противником наших объектов.</w:t>
      </w:r>
    </w:p>
    <w:p w14:paraId="10B1C06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Начальник штаба 16-й воздушной армии</w:t>
      </w:r>
    </w:p>
    <w:p w14:paraId="0E2E5056"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полковник БЕЛОВ</w:t>
      </w:r>
    </w:p>
    <w:p w14:paraId="21CCB9D4" w14:textId="77777777" w:rsidR="00D4651C" w:rsidRPr="008127F8" w:rsidRDefault="00D4651C" w:rsidP="001E0A84">
      <w:pPr>
        <w:pStyle w:val="Blockquote"/>
        <w:widowControl/>
        <w:spacing w:before="0" w:after="0"/>
        <w:ind w:left="0" w:right="0"/>
        <w:jc w:val="both"/>
        <w:rPr>
          <w:color w:val="000000" w:themeColor="text1"/>
          <w:sz w:val="16"/>
          <w:szCs w:val="16"/>
          <w:lang w:val="en-US"/>
        </w:rPr>
      </w:pPr>
      <w:r w:rsidRPr="008127F8">
        <w:rPr>
          <w:color w:val="000000" w:themeColor="text1"/>
          <w:sz w:val="16"/>
          <w:szCs w:val="16"/>
          <w:lang w:val="en-US"/>
        </w:rPr>
        <w:t xml:space="preserve">15.9.42 </w:t>
      </w:r>
      <w:r w:rsidRPr="008127F8">
        <w:rPr>
          <w:color w:val="000000" w:themeColor="text1"/>
          <w:sz w:val="16"/>
          <w:szCs w:val="16"/>
          <w:lang w:val="ru-RU"/>
        </w:rPr>
        <w:t>г</w:t>
      </w:r>
      <w:r w:rsidRPr="008127F8">
        <w:rPr>
          <w:color w:val="000000" w:themeColor="text1"/>
          <w:sz w:val="16"/>
          <w:szCs w:val="16"/>
          <w:lang w:val="en-US"/>
        </w:rPr>
        <w:t>. (7751).</w:t>
      </w:r>
    </w:p>
    <w:p w14:paraId="4601B18A" w14:textId="77777777" w:rsidR="00D4651C" w:rsidRPr="008127F8" w:rsidRDefault="00D4651C" w:rsidP="001E0A84">
      <w:pPr>
        <w:pStyle w:val="Blockquote"/>
        <w:widowControl/>
        <w:spacing w:before="0" w:after="0"/>
        <w:ind w:left="0" w:right="0"/>
        <w:jc w:val="both"/>
        <w:rPr>
          <w:color w:val="000000" w:themeColor="text1"/>
          <w:sz w:val="16"/>
          <w:szCs w:val="16"/>
          <w:lang w:val="en-US"/>
        </w:rPr>
      </w:pPr>
    </w:p>
    <w:p w14:paraId="4A04C576"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15, 1942: Heeresgruppe Mitte (von Kluge) evacuates the Kaluga sector and takes up winter positions 20 m further West (3819).</w:t>
      </w:r>
    </w:p>
    <w:p w14:paraId="341820E6" w14:textId="77777777" w:rsidR="00D4651C" w:rsidRPr="008127F8" w:rsidRDefault="00D4651C" w:rsidP="001E0A84">
      <w:pPr>
        <w:pStyle w:val="Iauiue"/>
        <w:jc w:val="both"/>
        <w:rPr>
          <w:color w:val="000000" w:themeColor="text1"/>
          <w:sz w:val="16"/>
          <w:szCs w:val="16"/>
          <w:lang w:val="en-US"/>
        </w:rPr>
      </w:pPr>
    </w:p>
    <w:p w14:paraId="1CB2FA0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Группа Центр (фон Клюге) отступила на 20 миль из района Калуги (3819).</w:t>
      </w:r>
    </w:p>
    <w:p w14:paraId="192E127E" w14:textId="77777777" w:rsidR="00D4651C" w:rsidRPr="008127F8" w:rsidRDefault="00D4651C" w:rsidP="001E0A84">
      <w:pPr>
        <w:pStyle w:val="Iauiue"/>
        <w:jc w:val="both"/>
        <w:rPr>
          <w:color w:val="000000" w:themeColor="text1"/>
          <w:sz w:val="16"/>
          <w:szCs w:val="16"/>
        </w:rPr>
      </w:pPr>
    </w:p>
    <w:p w14:paraId="178837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вышло Постановление ГКО № 1152 О формировании 20 гвардейских минометных полков М-13. РГАНИР, Фонд ГКО, д. 19, лл. 95, 96-133 (11012).</w:t>
      </w:r>
    </w:p>
    <w:p w14:paraId="5FC9E1E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EEBC496"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15E1A9C1" w14:textId="77777777" w:rsidR="00D4651C" w:rsidRPr="008127F8" w:rsidRDefault="00D4651C" w:rsidP="001E0A84">
      <w:pPr>
        <w:pStyle w:val="Iauiue"/>
        <w:jc w:val="both"/>
        <w:rPr>
          <w:iCs/>
          <w:color w:val="000000" w:themeColor="text1"/>
          <w:sz w:val="16"/>
          <w:szCs w:val="16"/>
        </w:rPr>
      </w:pPr>
    </w:p>
    <w:p w14:paraId="0D39FCE0" w14:textId="593F0B51"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января 1942 г. было закончено сооружение бункера в Саратове. Располагалось убежище на глубине 20—30 м под Соколовой горой – самой большой возвышенностью в окрестностях города. По воспоминаниям очевидцев, в бункер вели два входа. От них шли длинные коридоры, по обеим сторонам которых были железные двери. В целях соблюдения секретности бункер получил название «Объект 85». В Горьком местный комитет обороны уже 15 ноября рассмотрел вопрос о передаче Центральной гостиницы на Верхневолжской набережной для нужд особого объекта. Именно здесь, в сотне метров от нижегородского Кремля, было решено построить секретный бункер для Сталина. Для работ были привлечены инженеры и рабочие московского метростроя под общим управлением местного НКВД. Затем горкомитет обороны принял решение передать под бомбо– и газоубежища весь комплекс зданий, примыкавших к гостинице (дома №№ 3, 4, 5, 6 и 7). В дальнейшем весь квартал от площади Советской до бывшего особняка купца Рукавишникова был огорожен высоким заборам, и лишь по постукиванию кирок и лопат да выезжающим из ворот грузовикам с грунтом нижегородцы могли догадываться о размахе ведущегося здесь строительства. Основной бункер, предназначавшийся для Сталина, начали рыть в толще волжского откоса. В общей сложности в работах приняли участие около тысячи человек. Курировал строительство сверхсекретного объекта заместитель Берии комиссар госбезопасности Л. Б. Сафразьян. В откосе были проделаны три штольни, уходившие в глубь земли на десятки метров. Грунт из них вывозился на вагонетках, колесивших по специально проложенной узкоколейке, и сваливался на берегу Волги. Работы шли авральными темпами, однако строительство все же затянулось почти на десять месяцев. «Особый объект № 74» был сдан в эксплуатацию 17 сентября 1942 г.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Впоследствии наибольшую известность получил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w:t>
      </w:r>
      <w:proofErr w:type="gramStart"/>
      <w:r w:rsidRPr="008127F8">
        <w:rPr>
          <w:rFonts w:ascii="Times New Roman" w:hAnsi="Times New Roman"/>
          <w:color w:val="000000" w:themeColor="text1"/>
          <w:sz w:val="16"/>
          <w:szCs w:val="16"/>
        </w:rPr>
        <w:t>Берлине,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В итоге объект был сдан в эксплуатацию лишь 1 ноября 1942 г., т.е. в разгар Сталинградской битвы.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w:t>
      </w:r>
      <w:r w:rsidRPr="008127F8">
        <w:rPr>
          <w:rFonts w:ascii="Times New Roman" w:hAnsi="Times New Roman"/>
          <w:color w:val="000000" w:themeColor="text1"/>
          <w:sz w:val="16"/>
          <w:szCs w:val="16"/>
        </w:rPr>
        <w:lastRenderedPageBreak/>
        <w:t>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04A6D3D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F1A07B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января 1942 г. первым был построен Саратовский бункер. Располагалось убежище на глубине 20—30 м под Соколовой горой – самой большой возвышенностью в окрестностях города. По воспоминаниям очевидцев, в бункер вели два входа. От них шли длинные коридоры, по обеим сторонам которых были железные двери. В целях соблюдения секретности бункер получил название «Объект 85» (15721).</w:t>
      </w:r>
    </w:p>
    <w:p w14:paraId="74A605A9"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203427F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0BEE2D70" w14:textId="77777777" w:rsidR="00D4651C" w:rsidRPr="008127F8" w:rsidRDefault="00D4651C" w:rsidP="001E0A84">
      <w:pPr>
        <w:pStyle w:val="Iauiue"/>
        <w:jc w:val="both"/>
        <w:rPr>
          <w:iCs/>
          <w:color w:val="000000" w:themeColor="text1"/>
          <w:sz w:val="16"/>
          <w:szCs w:val="16"/>
        </w:rPr>
      </w:pPr>
    </w:p>
    <w:p w14:paraId="4B51DB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 января 1942 английские войска заняли г Бардию (3186).</w:t>
      </w:r>
    </w:p>
    <w:p w14:paraId="1E4E93B7" w14:textId="77777777" w:rsidR="00D4651C" w:rsidRPr="008127F8" w:rsidRDefault="00D4651C" w:rsidP="001E0A84">
      <w:pPr>
        <w:pStyle w:val="Iauiue"/>
        <w:jc w:val="both"/>
        <w:rPr>
          <w:color w:val="000000" w:themeColor="text1"/>
          <w:sz w:val="16"/>
          <w:szCs w:val="16"/>
        </w:rPr>
      </w:pPr>
    </w:p>
    <w:p w14:paraId="47859A36"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6B79F570" w14:textId="77777777" w:rsidR="00D4651C" w:rsidRPr="008127F8" w:rsidRDefault="00D4651C" w:rsidP="001E0A84">
      <w:pPr>
        <w:pStyle w:val="Iauiue"/>
        <w:jc w:val="both"/>
        <w:rPr>
          <w:iCs/>
          <w:color w:val="000000" w:themeColor="text1"/>
          <w:sz w:val="16"/>
          <w:szCs w:val="16"/>
        </w:rPr>
      </w:pPr>
    </w:p>
    <w:p w14:paraId="40C9B22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середине января 1942 с 18 завода ушел второй эшелон и именно этот эшелон отправили на территорию бывшего 1 (180,87).</w:t>
      </w:r>
    </w:p>
    <w:p w14:paraId="14C3CA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Есть мнение, что собирали и в Химках на 84 и на 22.</w:t>
      </w:r>
    </w:p>
    <w:p w14:paraId="3642054B" w14:textId="77777777" w:rsidR="00D4651C" w:rsidRPr="008127F8" w:rsidRDefault="00D4651C" w:rsidP="001E0A84">
      <w:pPr>
        <w:pStyle w:val="Iauiue"/>
        <w:jc w:val="both"/>
        <w:rPr>
          <w:iCs/>
          <w:color w:val="000000" w:themeColor="text1"/>
          <w:sz w:val="16"/>
          <w:szCs w:val="16"/>
        </w:rPr>
      </w:pPr>
    </w:p>
    <w:p w14:paraId="1DD1D08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w:t>
      </w:r>
      <w:r w:rsidRPr="008127F8">
        <w:rPr>
          <w:rFonts w:ascii="Times New Roman" w:hAnsi="Times New Roman"/>
          <w:color w:val="000000" w:themeColor="text1"/>
          <w:sz w:val="16"/>
          <w:szCs w:val="16"/>
        </w:rPr>
        <w:softHyphen/>
        <w:t>дине января 1942 г. при рассмотрении положе</w:t>
      </w:r>
      <w:r w:rsidRPr="008127F8">
        <w:rPr>
          <w:rFonts w:ascii="Times New Roman" w:hAnsi="Times New Roman"/>
          <w:color w:val="000000" w:themeColor="text1"/>
          <w:sz w:val="16"/>
          <w:szCs w:val="16"/>
        </w:rPr>
        <w:softHyphen/>
        <w:t>ния с производством Ил-2 бы</w:t>
      </w:r>
      <w:r w:rsidRPr="008127F8">
        <w:rPr>
          <w:rFonts w:ascii="Times New Roman" w:hAnsi="Times New Roman"/>
          <w:color w:val="000000" w:themeColor="text1"/>
          <w:sz w:val="16"/>
          <w:szCs w:val="16"/>
        </w:rPr>
        <w:softHyphen/>
        <w:t>ло решено расформировать завод № 135, который, как стало ясно, самостоятельно не сможет наладить устойчивый выпуск штурмовиков. Вместо него к программе выпуска Ил-2 подключился московский завод № 30, созданный 17 декабря 1941 г. на пустующих площадях завода №1. При этом для обес</w:t>
      </w:r>
      <w:r w:rsidRPr="008127F8">
        <w:rPr>
          <w:rFonts w:ascii="Times New Roman" w:hAnsi="Times New Roman"/>
          <w:color w:val="000000" w:themeColor="text1"/>
          <w:sz w:val="16"/>
          <w:szCs w:val="16"/>
        </w:rPr>
        <w:softHyphen/>
        <w:t>печения его бесперебойной работы в марте на площадке эва</w:t>
      </w:r>
      <w:r w:rsidRPr="008127F8">
        <w:rPr>
          <w:rFonts w:ascii="Times New Roman" w:hAnsi="Times New Roman"/>
          <w:color w:val="000000" w:themeColor="text1"/>
          <w:sz w:val="16"/>
          <w:szCs w:val="16"/>
        </w:rPr>
        <w:softHyphen/>
        <w:t>куированного завода № 24 был организован 45-й моторострои</w:t>
      </w:r>
      <w:r w:rsidRPr="008127F8">
        <w:rPr>
          <w:rFonts w:ascii="Times New Roman" w:hAnsi="Times New Roman"/>
          <w:color w:val="000000" w:themeColor="text1"/>
          <w:sz w:val="16"/>
          <w:szCs w:val="16"/>
        </w:rPr>
        <w:softHyphen/>
        <w:t>тельный завод (11474,248).</w:t>
      </w:r>
    </w:p>
    <w:p w14:paraId="153ACE4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C0822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января 1942 г. при рассмотрении положения с производством Ил-2 было решено расформировать завод №135, который, как стало ясно, самостоятельно не сможет наладить устойчивый выпуск штурмовиков. Вместо него к программе выпуска Ил-2 подключался московский завод №30, созданный 17 декабря 1941 г. на пустующих площадях завода №1. При этом для обеспечения его бесперебойной работы в марте на пустующей площадке эвакуированного завода №24 был организован 45-й моторостроительный завод (12020).</w:t>
      </w:r>
    </w:p>
    <w:p w14:paraId="2F1F945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98B78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января 1942 г. дублер ОБШ прошел заводские летные испытания и был передан в НИИ ВВС (эвакуирован</w:t>
      </w:r>
      <w:r w:rsidRPr="008127F8">
        <w:rPr>
          <w:rFonts w:ascii="Times New Roman" w:hAnsi="Times New Roman"/>
          <w:color w:val="000000" w:themeColor="text1"/>
          <w:sz w:val="16"/>
          <w:szCs w:val="16"/>
        </w:rPr>
        <w:softHyphen/>
        <w:t>ный в Свердловск) для проведения госу</w:t>
      </w:r>
      <w:r w:rsidRPr="008127F8">
        <w:rPr>
          <w:rFonts w:ascii="Times New Roman" w:hAnsi="Times New Roman"/>
          <w:color w:val="000000" w:themeColor="text1"/>
          <w:sz w:val="16"/>
          <w:szCs w:val="16"/>
        </w:rPr>
        <w:softHyphen/>
        <w:t>дарственных испытаний совместно с за</w:t>
      </w:r>
      <w:r w:rsidRPr="008127F8">
        <w:rPr>
          <w:rFonts w:ascii="Times New Roman" w:hAnsi="Times New Roman"/>
          <w:color w:val="000000" w:themeColor="text1"/>
          <w:sz w:val="16"/>
          <w:szCs w:val="16"/>
        </w:rPr>
        <w:softHyphen/>
        <w:t>водом № 289. Сухой принял решение снять вооруже</w:t>
      </w:r>
      <w:r w:rsidRPr="008127F8">
        <w:rPr>
          <w:rFonts w:ascii="Times New Roman" w:hAnsi="Times New Roman"/>
          <w:color w:val="000000" w:themeColor="text1"/>
          <w:sz w:val="16"/>
          <w:szCs w:val="16"/>
        </w:rPr>
        <w:softHyphen/>
        <w:t xml:space="preserve">ние (из-за дефицита) с первого экз. и установить его </w:t>
      </w:r>
      <w:proofErr w:type="gramStart"/>
      <w:r w:rsidRPr="008127F8">
        <w:rPr>
          <w:rFonts w:ascii="Times New Roman" w:hAnsi="Times New Roman"/>
          <w:color w:val="000000" w:themeColor="text1"/>
          <w:sz w:val="16"/>
          <w:szCs w:val="16"/>
        </w:rPr>
        <w:t>на дублер</w:t>
      </w:r>
      <w:proofErr w:type="gramEnd"/>
      <w:r w:rsidRPr="008127F8">
        <w:rPr>
          <w:rFonts w:ascii="Times New Roman" w:hAnsi="Times New Roman"/>
          <w:color w:val="000000" w:themeColor="text1"/>
          <w:sz w:val="16"/>
          <w:szCs w:val="16"/>
        </w:rPr>
        <w:t xml:space="preserve"> ОБШ, а первый эк</w:t>
      </w:r>
      <w:r w:rsidRPr="008127F8">
        <w:rPr>
          <w:rFonts w:ascii="Times New Roman" w:hAnsi="Times New Roman"/>
          <w:color w:val="000000" w:themeColor="text1"/>
          <w:sz w:val="16"/>
          <w:szCs w:val="16"/>
        </w:rPr>
        <w:softHyphen/>
        <w:t>земпляр передать на контрольные испы</w:t>
      </w:r>
      <w:r w:rsidRPr="008127F8">
        <w:rPr>
          <w:rFonts w:ascii="Times New Roman" w:hAnsi="Times New Roman"/>
          <w:color w:val="000000" w:themeColor="text1"/>
          <w:sz w:val="16"/>
          <w:szCs w:val="16"/>
        </w:rPr>
        <w:softHyphen/>
        <w:t>тания в НИИ ВВС. Эти испытания не были закончены из-за расходования ресурса мотора М-71. Все внимание конструкторов при по</w:t>
      </w:r>
      <w:r w:rsidRPr="008127F8">
        <w:rPr>
          <w:rFonts w:ascii="Times New Roman" w:hAnsi="Times New Roman"/>
          <w:color w:val="000000" w:themeColor="text1"/>
          <w:sz w:val="16"/>
          <w:szCs w:val="16"/>
        </w:rPr>
        <w:softHyphen/>
        <w:t>стройке дублера Су-6 с заводским ши</w:t>
      </w:r>
      <w:r w:rsidRPr="008127F8">
        <w:rPr>
          <w:rFonts w:ascii="Times New Roman" w:hAnsi="Times New Roman"/>
          <w:color w:val="000000" w:themeColor="text1"/>
          <w:sz w:val="16"/>
          <w:szCs w:val="16"/>
        </w:rPr>
        <w:softHyphen/>
        <w:t>фром «82» было обращено на дальней</w:t>
      </w:r>
      <w:r w:rsidRPr="008127F8">
        <w:rPr>
          <w:rFonts w:ascii="Times New Roman" w:hAnsi="Times New Roman"/>
          <w:color w:val="000000" w:themeColor="text1"/>
          <w:sz w:val="16"/>
          <w:szCs w:val="16"/>
        </w:rPr>
        <w:softHyphen/>
        <w:t>шее улучшение аэродинамических ха</w:t>
      </w:r>
      <w:r w:rsidRPr="008127F8">
        <w:rPr>
          <w:rFonts w:ascii="Times New Roman" w:hAnsi="Times New Roman"/>
          <w:color w:val="000000" w:themeColor="text1"/>
          <w:sz w:val="16"/>
          <w:szCs w:val="16"/>
        </w:rPr>
        <w:softHyphen/>
        <w:t>рактеристик, расширение номенклатуры вооружения и повышение боевой живу</w:t>
      </w:r>
      <w:r w:rsidRPr="008127F8">
        <w:rPr>
          <w:rFonts w:ascii="Times New Roman" w:hAnsi="Times New Roman"/>
          <w:color w:val="000000" w:themeColor="text1"/>
          <w:sz w:val="16"/>
          <w:szCs w:val="16"/>
        </w:rPr>
        <w:softHyphen/>
        <w:t>чести самолета. С целью увеличения максимальной скорости полета стали использовать эф</w:t>
      </w:r>
      <w:r w:rsidRPr="008127F8">
        <w:rPr>
          <w:rFonts w:ascii="Times New Roman" w:hAnsi="Times New Roman"/>
          <w:color w:val="000000" w:themeColor="text1"/>
          <w:sz w:val="16"/>
          <w:szCs w:val="16"/>
        </w:rPr>
        <w:softHyphen/>
        <w:t>фект реактивного выхлопа. При этом воз</w:t>
      </w:r>
      <w:r w:rsidRPr="008127F8">
        <w:rPr>
          <w:rFonts w:ascii="Times New Roman" w:hAnsi="Times New Roman"/>
          <w:color w:val="000000" w:themeColor="text1"/>
          <w:sz w:val="16"/>
          <w:szCs w:val="16"/>
        </w:rPr>
        <w:softHyphen/>
        <w:t>никла возможность потери поперечной устойчивости на больших углах атаки, ко</w:t>
      </w:r>
      <w:r w:rsidRPr="008127F8">
        <w:rPr>
          <w:rFonts w:ascii="Times New Roman" w:hAnsi="Times New Roman"/>
          <w:color w:val="000000" w:themeColor="text1"/>
          <w:sz w:val="16"/>
          <w:szCs w:val="16"/>
        </w:rPr>
        <w:softHyphen/>
        <w:t>торую предотвратили применением ав</w:t>
      </w:r>
      <w:r w:rsidRPr="008127F8">
        <w:rPr>
          <w:rFonts w:ascii="Times New Roman" w:hAnsi="Times New Roman"/>
          <w:color w:val="000000" w:themeColor="text1"/>
          <w:sz w:val="16"/>
          <w:szCs w:val="16"/>
        </w:rPr>
        <w:softHyphen/>
        <w:t>томатических предкрылков. На капоте мотора установили новый всасывающий патрубок, который не за</w:t>
      </w:r>
      <w:r w:rsidRPr="008127F8">
        <w:rPr>
          <w:rFonts w:ascii="Times New Roman" w:hAnsi="Times New Roman"/>
          <w:color w:val="000000" w:themeColor="text1"/>
          <w:sz w:val="16"/>
          <w:szCs w:val="16"/>
        </w:rPr>
        <w:softHyphen/>
        <w:t>тенял обзор летчику спереди. На зимнее время шасси позволяло установить уби</w:t>
      </w:r>
      <w:r w:rsidRPr="008127F8">
        <w:rPr>
          <w:rFonts w:ascii="Times New Roman" w:hAnsi="Times New Roman"/>
          <w:color w:val="000000" w:themeColor="text1"/>
          <w:sz w:val="16"/>
          <w:szCs w:val="16"/>
        </w:rPr>
        <w:softHyphen/>
        <w:t>рающиеся лыжи по типу Су-2. Вооружение этого самолета состояло из стрелково-пушечного, реактивного, бомбардировочного и химического, рас</w:t>
      </w:r>
      <w:r w:rsidRPr="008127F8">
        <w:rPr>
          <w:rFonts w:ascii="Times New Roman" w:hAnsi="Times New Roman"/>
          <w:color w:val="000000" w:themeColor="text1"/>
          <w:sz w:val="16"/>
          <w:szCs w:val="16"/>
        </w:rPr>
        <w:softHyphen/>
        <w:t>считанного на поражение танков, мото</w:t>
      </w:r>
      <w:r w:rsidRPr="008127F8">
        <w:rPr>
          <w:rFonts w:ascii="Times New Roman" w:hAnsi="Times New Roman"/>
          <w:color w:val="000000" w:themeColor="text1"/>
          <w:sz w:val="16"/>
          <w:szCs w:val="16"/>
        </w:rPr>
        <w:softHyphen/>
        <w:t>механизированных частей и живой силы противника. В консолях крыла разместили четыре пулемета ШКАС и две 23-мм пушки си</w:t>
      </w:r>
      <w:r w:rsidRPr="008127F8">
        <w:rPr>
          <w:rFonts w:ascii="Times New Roman" w:hAnsi="Times New Roman"/>
          <w:color w:val="000000" w:themeColor="text1"/>
          <w:sz w:val="16"/>
          <w:szCs w:val="16"/>
        </w:rPr>
        <w:softHyphen/>
        <w:t>стемы Волкова-Ярцева. Под консолями размещались десять реактивных орудий РО для ракетных сна</w:t>
      </w:r>
      <w:r w:rsidRPr="008127F8">
        <w:rPr>
          <w:rFonts w:ascii="Times New Roman" w:hAnsi="Times New Roman"/>
          <w:color w:val="000000" w:themeColor="text1"/>
          <w:sz w:val="16"/>
          <w:szCs w:val="16"/>
        </w:rPr>
        <w:softHyphen/>
        <w:t>рядов калибра 82 или 132 мм. Нормальная бомбовая нагрузка соста</w:t>
      </w:r>
      <w:r w:rsidRPr="008127F8">
        <w:rPr>
          <w:rFonts w:ascii="Times New Roman" w:hAnsi="Times New Roman"/>
          <w:color w:val="000000" w:themeColor="text1"/>
          <w:sz w:val="16"/>
          <w:szCs w:val="16"/>
        </w:rPr>
        <w:softHyphen/>
        <w:t>вляла 200 кг бомб внутри фюзеляжа (в перегрузочном варианте - до 400 кг). Бомбы подвешивались на кассетных держателях КД-2 или в двух контейнерах для мелких и осколочных бомб. На подкрыльных держателях ДЗ-40 могли под</w:t>
      </w:r>
      <w:r w:rsidRPr="008127F8">
        <w:rPr>
          <w:rFonts w:ascii="Times New Roman" w:hAnsi="Times New Roman"/>
          <w:color w:val="000000" w:themeColor="text1"/>
          <w:sz w:val="16"/>
          <w:szCs w:val="16"/>
        </w:rPr>
        <w:softHyphen/>
        <w:t>вешиваться две бомбы калибра 100 кг, 50 кг или две ВАП-200. Бронирование самолета служило для защиты жизненно важных элементов -летчика и бензобака, и обеспечивало бе</w:t>
      </w:r>
      <w:r w:rsidRPr="008127F8">
        <w:rPr>
          <w:rFonts w:ascii="Times New Roman" w:hAnsi="Times New Roman"/>
          <w:color w:val="000000" w:themeColor="text1"/>
          <w:sz w:val="16"/>
          <w:szCs w:val="16"/>
        </w:rPr>
        <w:softHyphen/>
        <w:t>зопасность от поражения крупнокали</w:t>
      </w:r>
      <w:r w:rsidRPr="008127F8">
        <w:rPr>
          <w:rFonts w:ascii="Times New Roman" w:hAnsi="Times New Roman"/>
          <w:color w:val="000000" w:themeColor="text1"/>
          <w:sz w:val="16"/>
          <w:szCs w:val="16"/>
        </w:rPr>
        <w:softHyphen/>
        <w:t>берным (12,7- мм) оружием противника -как с земли, так и с воздуха (10718).</w:t>
      </w:r>
    </w:p>
    <w:p w14:paraId="26A5E8C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5DEE1E5" w14:textId="77777777" w:rsidR="003E12B0" w:rsidRPr="008127F8" w:rsidRDefault="003E12B0"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середине января 1942 в оперативном управлении штаба ВВС КА обобщили опыт первых шести месяцев войны и сформировали уточненные требования к перспективным боевым самолетам всех типов. Оказалось, что проектные данные ТИС 2АМ-37 мало отличаются от летных данных двухмоторного истреби</w:t>
      </w:r>
      <w:r w:rsidRPr="008127F8">
        <w:rPr>
          <w:rFonts w:ascii="Times New Roman" w:cs="Times New Roman"/>
          <w:color w:val="000000" w:themeColor="text1"/>
          <w:spacing w:val="0"/>
        </w:rPr>
        <w:softHyphen/>
        <w:t>теля дальнего действия образца 1942 г. за исключением дальности полета, кото</w:t>
      </w:r>
      <w:r w:rsidRPr="008127F8">
        <w:rPr>
          <w:rFonts w:ascii="Times New Roman" w:cs="Times New Roman"/>
          <w:color w:val="000000" w:themeColor="text1"/>
          <w:spacing w:val="0"/>
        </w:rPr>
        <w:softHyphen/>
        <w:t>рая теперь должна была достигать 3000 км, «чтобы обеспечить сопровождение дальних бомбардировщиков на их ско</w:t>
      </w:r>
      <w:r w:rsidRPr="008127F8">
        <w:rPr>
          <w:rFonts w:ascii="Times New Roman" w:cs="Times New Roman"/>
          <w:color w:val="000000" w:themeColor="text1"/>
          <w:spacing w:val="0"/>
        </w:rPr>
        <w:softHyphen/>
        <w:t>рости». Но стрелково-пушечное воору</w:t>
      </w:r>
      <w:r w:rsidRPr="008127F8">
        <w:rPr>
          <w:rFonts w:ascii="Times New Roman" w:cs="Times New Roman"/>
          <w:color w:val="000000" w:themeColor="text1"/>
          <w:spacing w:val="0"/>
        </w:rPr>
        <w:softHyphen/>
        <w:t>жение ТИС требовалось усилить. Все пулеметы нормального калибра ШКАС, как показавшие низкую эффективность в воздушных боях (на фронте летчики их метко называли не иначе как «гуман</w:t>
      </w:r>
      <w:r w:rsidRPr="008127F8">
        <w:rPr>
          <w:rFonts w:ascii="Times New Roman" w:cs="Times New Roman"/>
          <w:color w:val="000000" w:themeColor="text1"/>
          <w:spacing w:val="0"/>
        </w:rPr>
        <w:softHyphen/>
        <w:t>ным оружием» или «принудительным ас</w:t>
      </w:r>
      <w:r w:rsidRPr="008127F8">
        <w:rPr>
          <w:rFonts w:ascii="Times New Roman" w:cs="Times New Roman"/>
          <w:color w:val="000000" w:themeColor="text1"/>
          <w:spacing w:val="0"/>
        </w:rPr>
        <w:softHyphen/>
        <w:t>сортиментом»), предлагалось заменить крупнокалиберными пулеметами БК - два пулемета в носовой батарее и по од</w:t>
      </w:r>
      <w:r w:rsidRPr="008127F8">
        <w:rPr>
          <w:rFonts w:ascii="Times New Roman" w:cs="Times New Roman"/>
          <w:color w:val="000000" w:themeColor="text1"/>
          <w:spacing w:val="0"/>
        </w:rPr>
        <w:softHyphen/>
        <w:t>ному на верхней и нижней люковой обо</w:t>
      </w:r>
      <w:r w:rsidRPr="008127F8">
        <w:rPr>
          <w:rFonts w:ascii="Times New Roman" w:cs="Times New Roman"/>
          <w:color w:val="000000" w:themeColor="text1"/>
          <w:spacing w:val="0"/>
        </w:rPr>
        <w:softHyphen/>
        <w:t>ронительных установках. В дополнение к двум имевшимся пулеметам БК в цен</w:t>
      </w:r>
      <w:r w:rsidRPr="008127F8">
        <w:rPr>
          <w:rFonts w:ascii="Times New Roman" w:cs="Times New Roman"/>
          <w:color w:val="000000" w:themeColor="text1"/>
          <w:spacing w:val="0"/>
        </w:rPr>
        <w:softHyphen/>
        <w:t>троплане необходимо было установить две пушки ВЯ калибра 23 мм (вместо пу</w:t>
      </w:r>
      <w:r w:rsidRPr="008127F8">
        <w:rPr>
          <w:rFonts w:ascii="Times New Roman" w:cs="Times New Roman"/>
          <w:color w:val="000000" w:themeColor="text1"/>
          <w:spacing w:val="0"/>
        </w:rPr>
        <w:softHyphen/>
        <w:t>шек ШВАК, которые также показали не</w:t>
      </w:r>
      <w:r w:rsidRPr="008127F8">
        <w:rPr>
          <w:rFonts w:ascii="Times New Roman" w:cs="Times New Roman"/>
          <w:color w:val="000000" w:themeColor="text1"/>
          <w:spacing w:val="0"/>
        </w:rPr>
        <w:softHyphen/>
        <w:t>достаточную эффективность). Боеком</w:t>
      </w:r>
      <w:r w:rsidRPr="008127F8">
        <w:rPr>
          <w:rFonts w:ascii="Times New Roman" w:cs="Times New Roman"/>
          <w:color w:val="000000" w:themeColor="text1"/>
          <w:spacing w:val="0"/>
        </w:rPr>
        <w:softHyphen/>
        <w:t>плект к пушкам и пулеметам из расчета 30 с непрерывной стрельбы. С таким со</w:t>
      </w:r>
      <w:r w:rsidRPr="008127F8">
        <w:rPr>
          <w:rFonts w:ascii="Times New Roman" w:cs="Times New Roman"/>
          <w:color w:val="000000" w:themeColor="text1"/>
          <w:spacing w:val="0"/>
        </w:rPr>
        <w:softHyphen/>
        <w:t>ставом вооружения вес секундного залпа ТИС возрастал с 5,3 до 6,9 кг. Очевидно, с учетом сложившейся обстановки, в Новосибирске ничего из этих требований реализовано быть не могло. Вооружение ТИС (А) осталось прежним (15755).</w:t>
      </w:r>
    </w:p>
    <w:p w14:paraId="128CE75C" w14:textId="77777777" w:rsidR="003E12B0" w:rsidRPr="008127F8" w:rsidRDefault="003E12B0" w:rsidP="001E0A84">
      <w:pPr>
        <w:pStyle w:val="27"/>
        <w:shd w:val="clear" w:color="auto" w:fill="auto"/>
        <w:spacing w:after="0" w:line="240" w:lineRule="auto"/>
        <w:ind w:firstLine="0"/>
        <w:rPr>
          <w:rFonts w:ascii="Times New Roman" w:cs="Times New Roman"/>
          <w:color w:val="000000" w:themeColor="text1"/>
          <w:spacing w:val="0"/>
        </w:rPr>
      </w:pPr>
    </w:p>
    <w:p w14:paraId="42946DB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 середине января 1942 года в 22-й запасной полк привезли две разобранных "Аэрокобры". К освоению этого весьма своеобразного самолета подошли весьма серьезно. НИИ ВВС командировал бригаду специалистов во главе с инженером П.Г.Рабкиным. В группу входил летчик-испытатель В. Е. Голофастов. Истребители собрали прямо на летном поле, несмотря па суровую зиму. Своими консультациями помогали английские инженеры и техники, прикомандированные к этому полку. Когда собрали первую "Аэрокобру", Голофастов начал с рулежек, а затем через несколько дней поднял самолет в воздух. Получив некоторый опыт, испытатель начал передавать его летчикам-инструкторам запасного полка. Первым из них на Р-39 взлетел майор Акулепко (3457,69).</w:t>
      </w:r>
    </w:p>
    <w:p w14:paraId="5342EA23" w14:textId="77777777" w:rsidR="00D4651C" w:rsidRPr="008127F8" w:rsidRDefault="00D4651C" w:rsidP="001E0A84">
      <w:pPr>
        <w:pStyle w:val="Iauiue"/>
        <w:jc w:val="both"/>
        <w:rPr>
          <w:color w:val="000000" w:themeColor="text1"/>
          <w:sz w:val="16"/>
          <w:szCs w:val="16"/>
        </w:rPr>
      </w:pPr>
    </w:p>
    <w:p w14:paraId="10C3850A"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января 1942 г. в 6-ю заб при</w:t>
      </w:r>
      <w:r w:rsidRPr="008A2E5A">
        <w:rPr>
          <w:rFonts w:ascii="Times New Roman" w:hAnsi="Times New Roman"/>
          <w:color w:val="0070C0"/>
          <w:sz w:val="16"/>
          <w:szCs w:val="16"/>
        </w:rPr>
        <w:softHyphen/>
        <w:t>везли две разобранных «Аэрокобры». К ос</w:t>
      </w:r>
      <w:r w:rsidRPr="008A2E5A">
        <w:rPr>
          <w:rFonts w:ascii="Times New Roman" w:hAnsi="Times New Roman"/>
          <w:color w:val="0070C0"/>
          <w:sz w:val="16"/>
          <w:szCs w:val="16"/>
        </w:rPr>
        <w:softHyphen/>
        <w:t>воению этого весьма своеобразного само</w:t>
      </w:r>
      <w:r w:rsidRPr="008A2E5A">
        <w:rPr>
          <w:rFonts w:ascii="Times New Roman" w:hAnsi="Times New Roman"/>
          <w:color w:val="0070C0"/>
          <w:sz w:val="16"/>
          <w:szCs w:val="16"/>
        </w:rPr>
        <w:softHyphen/>
        <w:t>лета подошли весьма серьезно. НИИ ВВС командировал бригаду специалистов во главе с инженером И.Г. Рабкиным. В груп</w:t>
      </w:r>
      <w:r w:rsidRPr="008A2E5A">
        <w:rPr>
          <w:rFonts w:ascii="Times New Roman" w:hAnsi="Times New Roman"/>
          <w:color w:val="0070C0"/>
          <w:sz w:val="16"/>
          <w:szCs w:val="16"/>
        </w:rPr>
        <w:softHyphen/>
        <w:t>пу входил летчик-испытатель В.Е. Голофастов. Истребители собирали прямо на летном поле, несмотря на суровую зиму. Своими консультациями помогали ан</w:t>
      </w:r>
      <w:r w:rsidRPr="008A2E5A">
        <w:rPr>
          <w:rFonts w:ascii="Times New Roman" w:hAnsi="Times New Roman"/>
          <w:color w:val="0070C0"/>
          <w:sz w:val="16"/>
          <w:szCs w:val="16"/>
        </w:rPr>
        <w:softHyphen/>
        <w:t>глийские инженеры и техники, прико</w:t>
      </w:r>
      <w:r w:rsidRPr="008A2E5A">
        <w:rPr>
          <w:rFonts w:ascii="Times New Roman" w:hAnsi="Times New Roman"/>
          <w:color w:val="0070C0"/>
          <w:sz w:val="16"/>
          <w:szCs w:val="16"/>
        </w:rPr>
        <w:softHyphen/>
        <w:t>мандированные к этому полку. Рабкин не знал английского, англичане — русского, а переводчица — технической терминоло</w:t>
      </w:r>
      <w:r w:rsidRPr="008A2E5A">
        <w:rPr>
          <w:rFonts w:ascii="Times New Roman" w:hAnsi="Times New Roman"/>
          <w:color w:val="0070C0"/>
          <w:sz w:val="16"/>
          <w:szCs w:val="16"/>
        </w:rPr>
        <w:softHyphen/>
        <w:t>гии. Выход нашли: Рабкин и британский инженер стали общаться по-французски.</w:t>
      </w:r>
    </w:p>
    <w:p w14:paraId="37D38336"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собрали первую «Аэрокобру», Голофастов начал с рулежек. Это было не</w:t>
      </w:r>
      <w:r w:rsidRPr="008A2E5A">
        <w:rPr>
          <w:rFonts w:ascii="Times New Roman" w:hAnsi="Times New Roman"/>
          <w:color w:val="0070C0"/>
          <w:sz w:val="16"/>
          <w:szCs w:val="16"/>
        </w:rPr>
        <w:softHyphen/>
        <w:t>обходимо, так как он встретился с трехко</w:t>
      </w:r>
      <w:r w:rsidRPr="008A2E5A">
        <w:rPr>
          <w:rFonts w:ascii="Times New Roman" w:hAnsi="Times New Roman"/>
          <w:color w:val="0070C0"/>
          <w:sz w:val="16"/>
          <w:szCs w:val="16"/>
        </w:rPr>
        <w:softHyphen/>
        <w:t>лесным шасси впервые в жизни. Затем че</w:t>
      </w:r>
      <w:r w:rsidRPr="008A2E5A">
        <w:rPr>
          <w:rFonts w:ascii="Times New Roman" w:hAnsi="Times New Roman"/>
          <w:color w:val="0070C0"/>
          <w:sz w:val="16"/>
          <w:szCs w:val="16"/>
        </w:rPr>
        <w:softHyphen/>
        <w:t>рез несколько дней пилот поднял самолет в воздух. Получив некоторый опыт, испы</w:t>
      </w:r>
      <w:r w:rsidRPr="008A2E5A">
        <w:rPr>
          <w:rFonts w:ascii="Times New Roman" w:hAnsi="Times New Roman"/>
          <w:color w:val="0070C0"/>
          <w:sz w:val="16"/>
          <w:szCs w:val="16"/>
        </w:rPr>
        <w:softHyphen/>
        <w:t>татель начал передавать его летчикам-ин</w:t>
      </w:r>
      <w:r w:rsidRPr="008A2E5A">
        <w:rPr>
          <w:rFonts w:ascii="Times New Roman" w:hAnsi="Times New Roman"/>
          <w:color w:val="0070C0"/>
          <w:sz w:val="16"/>
          <w:szCs w:val="16"/>
        </w:rPr>
        <w:softHyphen/>
        <w:t>структорам запасного полка. Первым из них на Р-39 взлетел майор Акуленко (23513).</w:t>
      </w:r>
    </w:p>
    <w:p w14:paraId="485D7965" w14:textId="77777777" w:rsidR="002768EF" w:rsidRPr="008A2E5A" w:rsidRDefault="002768EF" w:rsidP="002768EF">
      <w:pPr>
        <w:spacing w:after="0" w:line="240" w:lineRule="auto"/>
        <w:jc w:val="both"/>
        <w:rPr>
          <w:rFonts w:ascii="Times New Roman" w:hAnsi="Times New Roman"/>
          <w:color w:val="0070C0"/>
          <w:sz w:val="16"/>
          <w:szCs w:val="16"/>
        </w:rPr>
      </w:pPr>
    </w:p>
    <w:p w14:paraId="3942D07A" w14:textId="00D6F2FB" w:rsidR="002768EF" w:rsidRDefault="002768EF" w:rsidP="001E0A84">
      <w:pPr>
        <w:pStyle w:val="Iauiue"/>
        <w:jc w:val="both"/>
        <w:rPr>
          <w:i/>
          <w:iCs/>
          <w:color w:val="000000" w:themeColor="text1"/>
          <w:sz w:val="16"/>
          <w:szCs w:val="16"/>
        </w:rPr>
      </w:pPr>
      <w:r>
        <w:rPr>
          <w:i/>
          <w:iCs/>
          <w:color w:val="000000" w:themeColor="text1"/>
          <w:sz w:val="16"/>
          <w:szCs w:val="16"/>
        </w:rPr>
        <w:t>Другие оборонные отрасли:</w:t>
      </w:r>
    </w:p>
    <w:p w14:paraId="09AAEC27" w14:textId="77777777" w:rsidR="002768EF" w:rsidRDefault="002768EF" w:rsidP="001E0A84">
      <w:pPr>
        <w:pStyle w:val="Iauiue"/>
        <w:jc w:val="both"/>
        <w:rPr>
          <w:i/>
          <w:iCs/>
          <w:color w:val="000000" w:themeColor="text1"/>
          <w:sz w:val="16"/>
          <w:szCs w:val="16"/>
        </w:rPr>
      </w:pPr>
    </w:p>
    <w:p w14:paraId="7D324EE9"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января 1942 прошли первые испытания катков Т-60 с внутренней амортизацией, разработанные ОГК завода № 264. Поначалу они положительных результатов не дали. Вместе с тем, испытания продолжились. В период с 3 по 26 января 1942 года танк с опытными катками прошел 1502 километра. Поначалу к данным опорным каткам в ГАБТУ КА отнеслись прохладно. Обнаруженные в ходе испытаний дефекты привели к тому, что конструкцию катков не утвердили. Снова об этих катках вспомнили в апреле 1942 года, когда проблема с обрезинкой катков стала угрожать выпуску танков. Зато в январе 1942 года утвердили предложение завода №264 красить танки белой нитрокраской. Причиной стало то, что на заводе отсутствовало теплое помещение, где имелась возможность красить легкосмываемой белой краской (23360).</w:t>
      </w:r>
    </w:p>
    <w:p w14:paraId="0E0A2A12" w14:textId="77777777" w:rsidR="002768EF" w:rsidRPr="008A2E5A" w:rsidRDefault="002768EF" w:rsidP="002768EF">
      <w:pPr>
        <w:spacing w:after="0" w:line="240" w:lineRule="auto"/>
        <w:jc w:val="both"/>
        <w:rPr>
          <w:rFonts w:ascii="Times New Roman" w:hAnsi="Times New Roman"/>
          <w:color w:val="0070C0"/>
          <w:sz w:val="16"/>
          <w:szCs w:val="16"/>
        </w:rPr>
      </w:pPr>
    </w:p>
    <w:p w14:paraId="491D31EE" w14:textId="534498E8"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001162EA" w14:textId="77777777" w:rsidR="00D4651C" w:rsidRPr="008127F8" w:rsidRDefault="00D4651C" w:rsidP="001E0A84">
      <w:pPr>
        <w:pStyle w:val="Iauiue"/>
        <w:jc w:val="both"/>
        <w:rPr>
          <w:iCs/>
          <w:color w:val="000000" w:themeColor="text1"/>
          <w:sz w:val="16"/>
          <w:szCs w:val="16"/>
        </w:rPr>
      </w:pPr>
    </w:p>
    <w:p w14:paraId="360C4A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К середине января 1942 на Волховском фронте имелось 111 самолетов типов Р-5, Р-Z, У-2 </w:t>
      </w:r>
      <w:proofErr w:type="gramStart"/>
      <w:r w:rsidRPr="008127F8">
        <w:rPr>
          <w:color w:val="000000" w:themeColor="text1"/>
          <w:sz w:val="16"/>
          <w:szCs w:val="16"/>
        </w:rPr>
        <w:t>- это</w:t>
      </w:r>
      <w:proofErr w:type="gramEnd"/>
      <w:r w:rsidRPr="008127F8">
        <w:rPr>
          <w:color w:val="000000" w:themeColor="text1"/>
          <w:sz w:val="16"/>
          <w:szCs w:val="16"/>
        </w:rPr>
        <w:t xml:space="preserve"> была половина боевой авиации Волховского фронта (211 самолетов) (5016).</w:t>
      </w:r>
    </w:p>
    <w:p w14:paraId="10896FA4" w14:textId="77777777" w:rsidR="00D4651C" w:rsidRPr="008127F8" w:rsidRDefault="00D4651C" w:rsidP="001E0A84">
      <w:pPr>
        <w:pStyle w:val="Iauiue"/>
        <w:jc w:val="both"/>
        <w:rPr>
          <w:color w:val="000000" w:themeColor="text1"/>
          <w:sz w:val="16"/>
          <w:szCs w:val="16"/>
        </w:rPr>
      </w:pPr>
    </w:p>
    <w:p w14:paraId="038CA76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45FE85BD" w14:textId="77777777" w:rsidR="00D4651C" w:rsidRPr="008127F8" w:rsidRDefault="00D4651C" w:rsidP="001E0A84">
      <w:pPr>
        <w:pStyle w:val="Iauiue"/>
        <w:jc w:val="both"/>
        <w:rPr>
          <w:iCs/>
          <w:color w:val="000000" w:themeColor="text1"/>
          <w:sz w:val="16"/>
          <w:szCs w:val="16"/>
        </w:rPr>
      </w:pPr>
    </w:p>
    <w:p w14:paraId="505D786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16 января 1942 Зам. нач. 7 ГУ Алексеев писал А.И.Ш. справку N 368:</w:t>
      </w:r>
    </w:p>
    <w:p w14:paraId="2CE0F1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Справка Сравнительные данные самолета Ил-2 с АМ-38 и М-82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044"/>
        <w:gridCol w:w="1044"/>
        <w:gridCol w:w="5707"/>
      </w:tblGrid>
      <w:tr w:rsidR="006F4095" w:rsidRPr="008127F8" w14:paraId="7CE9563C" w14:textId="77777777">
        <w:tc>
          <w:tcPr>
            <w:tcW w:w="2802" w:type="dxa"/>
            <w:tcBorders>
              <w:top w:val="single" w:sz="12" w:space="0" w:color="auto"/>
            </w:tcBorders>
          </w:tcPr>
          <w:p w14:paraId="4CAF75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Данные самолета</w:t>
            </w:r>
          </w:p>
        </w:tc>
        <w:tc>
          <w:tcPr>
            <w:tcW w:w="1044" w:type="dxa"/>
            <w:tcBorders>
              <w:top w:val="single" w:sz="12" w:space="0" w:color="auto"/>
            </w:tcBorders>
          </w:tcPr>
          <w:p w14:paraId="024761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АМ-38</w:t>
            </w:r>
          </w:p>
        </w:tc>
        <w:tc>
          <w:tcPr>
            <w:tcW w:w="1044" w:type="dxa"/>
            <w:tcBorders>
              <w:top w:val="single" w:sz="12" w:space="0" w:color="auto"/>
            </w:tcBorders>
          </w:tcPr>
          <w:p w14:paraId="076D0F1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АМ-82</w:t>
            </w:r>
          </w:p>
        </w:tc>
        <w:tc>
          <w:tcPr>
            <w:tcW w:w="5707" w:type="dxa"/>
            <w:tcBorders>
              <w:top w:val="single" w:sz="12" w:space="0" w:color="auto"/>
            </w:tcBorders>
          </w:tcPr>
          <w:p w14:paraId="7DE95E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Примечания</w:t>
            </w:r>
          </w:p>
        </w:tc>
      </w:tr>
      <w:tr w:rsidR="006F4095" w:rsidRPr="008127F8" w14:paraId="6542FF5E" w14:textId="77777777">
        <w:tc>
          <w:tcPr>
            <w:tcW w:w="2802" w:type="dxa"/>
          </w:tcPr>
          <w:p w14:paraId="1E9E2692" w14:textId="77777777" w:rsidR="00D4651C" w:rsidRPr="008127F8" w:rsidRDefault="00D4651C" w:rsidP="001E0A84">
            <w:pPr>
              <w:pStyle w:val="Iauiue"/>
              <w:jc w:val="both"/>
              <w:rPr>
                <w:color w:val="000000" w:themeColor="text1"/>
                <w:sz w:val="16"/>
                <w:szCs w:val="16"/>
              </w:rPr>
            </w:pPr>
          </w:p>
        </w:tc>
        <w:tc>
          <w:tcPr>
            <w:tcW w:w="1044" w:type="dxa"/>
          </w:tcPr>
          <w:p w14:paraId="343A82BC" w14:textId="77777777" w:rsidR="00D4651C" w:rsidRPr="008127F8" w:rsidRDefault="00D4651C" w:rsidP="001E0A84">
            <w:pPr>
              <w:pStyle w:val="Iauiue"/>
              <w:jc w:val="both"/>
              <w:rPr>
                <w:color w:val="000000" w:themeColor="text1"/>
                <w:sz w:val="16"/>
                <w:szCs w:val="16"/>
              </w:rPr>
            </w:pPr>
          </w:p>
        </w:tc>
        <w:tc>
          <w:tcPr>
            <w:tcW w:w="1044" w:type="dxa"/>
          </w:tcPr>
          <w:p w14:paraId="43B63C04" w14:textId="77777777" w:rsidR="00D4651C" w:rsidRPr="008127F8" w:rsidRDefault="00D4651C" w:rsidP="001E0A84">
            <w:pPr>
              <w:pStyle w:val="Iauiue"/>
              <w:jc w:val="both"/>
              <w:rPr>
                <w:color w:val="000000" w:themeColor="text1"/>
                <w:sz w:val="16"/>
                <w:szCs w:val="16"/>
              </w:rPr>
            </w:pPr>
          </w:p>
        </w:tc>
        <w:tc>
          <w:tcPr>
            <w:tcW w:w="5707" w:type="dxa"/>
          </w:tcPr>
          <w:p w14:paraId="41293780" w14:textId="77777777" w:rsidR="00D4651C" w:rsidRPr="008127F8" w:rsidRDefault="00D4651C" w:rsidP="001E0A84">
            <w:pPr>
              <w:pStyle w:val="Iauiue"/>
              <w:jc w:val="both"/>
              <w:rPr>
                <w:color w:val="000000" w:themeColor="text1"/>
                <w:sz w:val="16"/>
                <w:szCs w:val="16"/>
              </w:rPr>
            </w:pPr>
          </w:p>
        </w:tc>
      </w:tr>
      <w:tr w:rsidR="006F4095" w:rsidRPr="008127F8" w14:paraId="31D01682" w14:textId="77777777">
        <w:tc>
          <w:tcPr>
            <w:tcW w:w="2802" w:type="dxa"/>
          </w:tcPr>
          <w:p w14:paraId="564B992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Макс. скорость у земли</w:t>
            </w:r>
          </w:p>
        </w:tc>
        <w:tc>
          <w:tcPr>
            <w:tcW w:w="1044" w:type="dxa"/>
          </w:tcPr>
          <w:p w14:paraId="2D3E7AF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387 (1)</w:t>
            </w:r>
          </w:p>
        </w:tc>
        <w:tc>
          <w:tcPr>
            <w:tcW w:w="1044" w:type="dxa"/>
          </w:tcPr>
          <w:p w14:paraId="5100A98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382</w:t>
            </w:r>
          </w:p>
        </w:tc>
        <w:tc>
          <w:tcPr>
            <w:tcW w:w="5707" w:type="dxa"/>
          </w:tcPr>
          <w:p w14:paraId="2175732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При подвеске 8РС-132 скорость снижается</w:t>
            </w:r>
          </w:p>
        </w:tc>
      </w:tr>
      <w:tr w:rsidR="006F4095" w:rsidRPr="008127F8" w14:paraId="1051D133" w14:textId="77777777">
        <w:tc>
          <w:tcPr>
            <w:tcW w:w="2802" w:type="dxa"/>
          </w:tcPr>
          <w:p w14:paraId="16FC438F" w14:textId="77777777" w:rsidR="00D4651C" w:rsidRPr="008127F8" w:rsidRDefault="00D4651C" w:rsidP="001E0A84">
            <w:pPr>
              <w:pStyle w:val="Iauiue"/>
              <w:jc w:val="both"/>
              <w:rPr>
                <w:color w:val="000000" w:themeColor="text1"/>
                <w:sz w:val="16"/>
                <w:szCs w:val="16"/>
              </w:rPr>
            </w:pPr>
          </w:p>
        </w:tc>
        <w:tc>
          <w:tcPr>
            <w:tcW w:w="1044" w:type="dxa"/>
          </w:tcPr>
          <w:p w14:paraId="66B87F9E" w14:textId="77777777" w:rsidR="00D4651C" w:rsidRPr="008127F8" w:rsidRDefault="00D4651C" w:rsidP="001E0A84">
            <w:pPr>
              <w:pStyle w:val="Iauiue"/>
              <w:jc w:val="both"/>
              <w:rPr>
                <w:color w:val="000000" w:themeColor="text1"/>
                <w:sz w:val="16"/>
                <w:szCs w:val="16"/>
              </w:rPr>
            </w:pPr>
          </w:p>
        </w:tc>
        <w:tc>
          <w:tcPr>
            <w:tcW w:w="1044" w:type="dxa"/>
          </w:tcPr>
          <w:p w14:paraId="4F04B2DB" w14:textId="77777777" w:rsidR="00D4651C" w:rsidRPr="008127F8" w:rsidRDefault="00D4651C" w:rsidP="001E0A84">
            <w:pPr>
              <w:pStyle w:val="Iauiue"/>
              <w:jc w:val="both"/>
              <w:rPr>
                <w:color w:val="000000" w:themeColor="text1"/>
                <w:sz w:val="16"/>
                <w:szCs w:val="16"/>
              </w:rPr>
            </w:pPr>
          </w:p>
        </w:tc>
        <w:tc>
          <w:tcPr>
            <w:tcW w:w="5707" w:type="dxa"/>
          </w:tcPr>
          <w:p w14:paraId="024E48F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до 373 км/час</w:t>
            </w:r>
          </w:p>
        </w:tc>
      </w:tr>
      <w:tr w:rsidR="006F4095" w:rsidRPr="008127F8" w14:paraId="55E9D3D1" w14:textId="77777777">
        <w:tc>
          <w:tcPr>
            <w:tcW w:w="2802" w:type="dxa"/>
          </w:tcPr>
          <w:p w14:paraId="2DD33E1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Макс. скорость на 2600 м</w:t>
            </w:r>
          </w:p>
        </w:tc>
        <w:tc>
          <w:tcPr>
            <w:tcW w:w="1044" w:type="dxa"/>
          </w:tcPr>
          <w:p w14:paraId="1C02AB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423</w:t>
            </w:r>
          </w:p>
        </w:tc>
        <w:tc>
          <w:tcPr>
            <w:tcW w:w="1044" w:type="dxa"/>
          </w:tcPr>
          <w:p w14:paraId="2D8AE2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421</w:t>
            </w:r>
          </w:p>
        </w:tc>
        <w:tc>
          <w:tcPr>
            <w:tcW w:w="5707" w:type="dxa"/>
          </w:tcPr>
          <w:p w14:paraId="440D8666" w14:textId="77777777" w:rsidR="00D4651C" w:rsidRPr="008127F8" w:rsidRDefault="00D4651C" w:rsidP="001E0A84">
            <w:pPr>
              <w:pStyle w:val="Iauiue"/>
              <w:jc w:val="both"/>
              <w:rPr>
                <w:color w:val="000000" w:themeColor="text1"/>
                <w:sz w:val="16"/>
                <w:szCs w:val="16"/>
              </w:rPr>
            </w:pPr>
          </w:p>
        </w:tc>
      </w:tr>
      <w:tr w:rsidR="006F4095" w:rsidRPr="008127F8" w14:paraId="4474B65C" w14:textId="77777777">
        <w:tc>
          <w:tcPr>
            <w:tcW w:w="2802" w:type="dxa"/>
          </w:tcPr>
          <w:p w14:paraId="066FCD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Макс. скорость на 4000 м</w:t>
            </w:r>
          </w:p>
        </w:tc>
        <w:tc>
          <w:tcPr>
            <w:tcW w:w="1044" w:type="dxa"/>
          </w:tcPr>
          <w:p w14:paraId="0A37C36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414 (2)</w:t>
            </w:r>
          </w:p>
        </w:tc>
        <w:tc>
          <w:tcPr>
            <w:tcW w:w="1044" w:type="dxa"/>
          </w:tcPr>
          <w:p w14:paraId="18506F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411</w:t>
            </w:r>
          </w:p>
        </w:tc>
        <w:tc>
          <w:tcPr>
            <w:tcW w:w="5707" w:type="dxa"/>
          </w:tcPr>
          <w:p w14:paraId="60E4CC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Получена экстрополяцией</w:t>
            </w:r>
          </w:p>
        </w:tc>
      </w:tr>
      <w:tr w:rsidR="006F4095" w:rsidRPr="008127F8" w14:paraId="3E9DE701" w14:textId="77777777">
        <w:tc>
          <w:tcPr>
            <w:tcW w:w="2802" w:type="dxa"/>
          </w:tcPr>
          <w:p w14:paraId="4C84C4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Макс. скорость на 5000 м</w:t>
            </w:r>
          </w:p>
        </w:tc>
        <w:tc>
          <w:tcPr>
            <w:tcW w:w="1044" w:type="dxa"/>
          </w:tcPr>
          <w:p w14:paraId="1C7853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408</w:t>
            </w:r>
          </w:p>
        </w:tc>
        <w:tc>
          <w:tcPr>
            <w:tcW w:w="1044" w:type="dxa"/>
          </w:tcPr>
          <w:p w14:paraId="4F1C5E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402 (2)</w:t>
            </w:r>
          </w:p>
        </w:tc>
        <w:tc>
          <w:tcPr>
            <w:tcW w:w="5707" w:type="dxa"/>
          </w:tcPr>
          <w:p w14:paraId="0E647309" w14:textId="77777777" w:rsidR="00D4651C" w:rsidRPr="008127F8" w:rsidRDefault="00D4651C" w:rsidP="001E0A84">
            <w:pPr>
              <w:pStyle w:val="Iauiue"/>
              <w:jc w:val="both"/>
              <w:rPr>
                <w:color w:val="000000" w:themeColor="text1"/>
                <w:sz w:val="16"/>
                <w:szCs w:val="16"/>
              </w:rPr>
            </w:pPr>
          </w:p>
        </w:tc>
      </w:tr>
      <w:tr w:rsidR="006F4095" w:rsidRPr="008127F8" w14:paraId="56774BA7" w14:textId="77777777">
        <w:tc>
          <w:tcPr>
            <w:tcW w:w="2802" w:type="dxa"/>
          </w:tcPr>
          <w:p w14:paraId="4AB3D6D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Посадочная скорость</w:t>
            </w:r>
          </w:p>
        </w:tc>
        <w:tc>
          <w:tcPr>
            <w:tcW w:w="1044" w:type="dxa"/>
          </w:tcPr>
          <w:p w14:paraId="70451EB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132-146</w:t>
            </w:r>
          </w:p>
        </w:tc>
        <w:tc>
          <w:tcPr>
            <w:tcW w:w="1044" w:type="dxa"/>
          </w:tcPr>
          <w:p w14:paraId="26B91A7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160-165</w:t>
            </w:r>
          </w:p>
        </w:tc>
        <w:tc>
          <w:tcPr>
            <w:tcW w:w="5707" w:type="dxa"/>
          </w:tcPr>
          <w:p w14:paraId="26383C8A" w14:textId="77777777" w:rsidR="00D4651C" w:rsidRPr="008127F8" w:rsidRDefault="00D4651C" w:rsidP="001E0A84">
            <w:pPr>
              <w:pStyle w:val="Iauiue"/>
              <w:jc w:val="both"/>
              <w:rPr>
                <w:color w:val="000000" w:themeColor="text1"/>
                <w:sz w:val="16"/>
                <w:szCs w:val="16"/>
              </w:rPr>
            </w:pPr>
          </w:p>
        </w:tc>
      </w:tr>
      <w:tr w:rsidR="006F4095" w:rsidRPr="008127F8" w14:paraId="73668BE8" w14:textId="77777777">
        <w:tc>
          <w:tcPr>
            <w:tcW w:w="2802" w:type="dxa"/>
          </w:tcPr>
          <w:p w14:paraId="399E37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Время подъема на 5000 м</w:t>
            </w:r>
          </w:p>
        </w:tc>
        <w:tc>
          <w:tcPr>
            <w:tcW w:w="1044" w:type="dxa"/>
          </w:tcPr>
          <w:p w14:paraId="05C366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10.6</w:t>
            </w:r>
          </w:p>
        </w:tc>
        <w:tc>
          <w:tcPr>
            <w:tcW w:w="1044" w:type="dxa"/>
          </w:tcPr>
          <w:p w14:paraId="3440A0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17.9</w:t>
            </w:r>
          </w:p>
        </w:tc>
        <w:tc>
          <w:tcPr>
            <w:tcW w:w="5707" w:type="dxa"/>
          </w:tcPr>
          <w:p w14:paraId="2E6BAA07" w14:textId="77777777" w:rsidR="00D4651C" w:rsidRPr="008127F8" w:rsidRDefault="00D4651C" w:rsidP="001E0A84">
            <w:pPr>
              <w:pStyle w:val="Iauiue"/>
              <w:jc w:val="both"/>
              <w:rPr>
                <w:color w:val="000000" w:themeColor="text1"/>
                <w:sz w:val="16"/>
                <w:szCs w:val="16"/>
              </w:rPr>
            </w:pPr>
          </w:p>
        </w:tc>
      </w:tr>
      <w:tr w:rsidR="006F4095" w:rsidRPr="008127F8" w14:paraId="7A771FB0" w14:textId="77777777">
        <w:tc>
          <w:tcPr>
            <w:tcW w:w="2802" w:type="dxa"/>
          </w:tcPr>
          <w:p w14:paraId="40123A6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Длина разбега</w:t>
            </w:r>
          </w:p>
        </w:tc>
        <w:tc>
          <w:tcPr>
            <w:tcW w:w="1044" w:type="dxa"/>
          </w:tcPr>
          <w:p w14:paraId="1657ED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410</w:t>
            </w:r>
          </w:p>
        </w:tc>
        <w:tc>
          <w:tcPr>
            <w:tcW w:w="1044" w:type="dxa"/>
          </w:tcPr>
          <w:p w14:paraId="463FC8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460</w:t>
            </w:r>
          </w:p>
        </w:tc>
        <w:tc>
          <w:tcPr>
            <w:tcW w:w="5707" w:type="dxa"/>
          </w:tcPr>
          <w:p w14:paraId="17F05845" w14:textId="77777777" w:rsidR="00D4651C" w:rsidRPr="008127F8" w:rsidRDefault="00D4651C" w:rsidP="001E0A84">
            <w:pPr>
              <w:pStyle w:val="Iauiue"/>
              <w:jc w:val="both"/>
              <w:rPr>
                <w:color w:val="000000" w:themeColor="text1"/>
                <w:sz w:val="16"/>
                <w:szCs w:val="16"/>
              </w:rPr>
            </w:pPr>
          </w:p>
        </w:tc>
      </w:tr>
      <w:tr w:rsidR="006F4095" w:rsidRPr="008127F8" w14:paraId="2F915E7F" w14:textId="77777777">
        <w:tc>
          <w:tcPr>
            <w:tcW w:w="2802" w:type="dxa"/>
          </w:tcPr>
          <w:p w14:paraId="47078D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Длина пробега</w:t>
            </w:r>
          </w:p>
        </w:tc>
        <w:tc>
          <w:tcPr>
            <w:tcW w:w="1044" w:type="dxa"/>
          </w:tcPr>
          <w:p w14:paraId="07DA128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360</w:t>
            </w:r>
          </w:p>
        </w:tc>
        <w:tc>
          <w:tcPr>
            <w:tcW w:w="1044" w:type="dxa"/>
          </w:tcPr>
          <w:p w14:paraId="54069F1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525</w:t>
            </w:r>
          </w:p>
        </w:tc>
        <w:tc>
          <w:tcPr>
            <w:tcW w:w="5707" w:type="dxa"/>
          </w:tcPr>
          <w:p w14:paraId="1D10FB9C" w14:textId="77777777" w:rsidR="00D4651C" w:rsidRPr="008127F8" w:rsidRDefault="00D4651C" w:rsidP="001E0A84">
            <w:pPr>
              <w:pStyle w:val="Iauiue"/>
              <w:jc w:val="both"/>
              <w:rPr>
                <w:color w:val="000000" w:themeColor="text1"/>
                <w:sz w:val="16"/>
                <w:szCs w:val="16"/>
              </w:rPr>
            </w:pPr>
          </w:p>
        </w:tc>
      </w:tr>
      <w:tr w:rsidR="006F4095" w:rsidRPr="008127F8" w14:paraId="74581FAF" w14:textId="77777777">
        <w:tc>
          <w:tcPr>
            <w:tcW w:w="2802" w:type="dxa"/>
          </w:tcPr>
          <w:p w14:paraId="76E30B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Дальность</w:t>
            </w:r>
          </w:p>
        </w:tc>
        <w:tc>
          <w:tcPr>
            <w:tcW w:w="1044" w:type="dxa"/>
          </w:tcPr>
          <w:p w14:paraId="7F344D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583</w:t>
            </w:r>
          </w:p>
        </w:tc>
        <w:tc>
          <w:tcPr>
            <w:tcW w:w="1044" w:type="dxa"/>
          </w:tcPr>
          <w:p w14:paraId="149995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540 (3)</w:t>
            </w:r>
          </w:p>
        </w:tc>
        <w:tc>
          <w:tcPr>
            <w:tcW w:w="5707" w:type="dxa"/>
          </w:tcPr>
          <w:p w14:paraId="63093C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Аэронавигационный запас 15%</w:t>
            </w:r>
          </w:p>
        </w:tc>
      </w:tr>
      <w:tr w:rsidR="006F4095" w:rsidRPr="008127F8" w14:paraId="3181A2C2" w14:textId="77777777">
        <w:tc>
          <w:tcPr>
            <w:tcW w:w="2802" w:type="dxa"/>
          </w:tcPr>
          <w:p w14:paraId="73C479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Полетный вес</w:t>
            </w:r>
          </w:p>
        </w:tc>
        <w:tc>
          <w:tcPr>
            <w:tcW w:w="1044" w:type="dxa"/>
          </w:tcPr>
          <w:p w14:paraId="537AF5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5336</w:t>
            </w:r>
          </w:p>
        </w:tc>
        <w:tc>
          <w:tcPr>
            <w:tcW w:w="1044" w:type="dxa"/>
          </w:tcPr>
          <w:p w14:paraId="2F27F0A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5655</w:t>
            </w:r>
          </w:p>
        </w:tc>
        <w:tc>
          <w:tcPr>
            <w:tcW w:w="5707" w:type="dxa"/>
          </w:tcPr>
          <w:p w14:paraId="2A4844BC" w14:textId="77777777" w:rsidR="00D4651C" w:rsidRPr="008127F8" w:rsidRDefault="00D4651C" w:rsidP="001E0A84">
            <w:pPr>
              <w:pStyle w:val="Iauiue"/>
              <w:jc w:val="both"/>
              <w:rPr>
                <w:color w:val="000000" w:themeColor="text1"/>
                <w:sz w:val="16"/>
                <w:szCs w:val="16"/>
              </w:rPr>
            </w:pPr>
          </w:p>
        </w:tc>
      </w:tr>
      <w:tr w:rsidR="006F4095" w:rsidRPr="008127F8" w14:paraId="214F709A" w14:textId="77777777">
        <w:tc>
          <w:tcPr>
            <w:tcW w:w="2802" w:type="dxa"/>
          </w:tcPr>
          <w:p w14:paraId="554DCA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Экипаж</w:t>
            </w:r>
          </w:p>
        </w:tc>
        <w:tc>
          <w:tcPr>
            <w:tcW w:w="1044" w:type="dxa"/>
          </w:tcPr>
          <w:p w14:paraId="24677B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1044" w:type="dxa"/>
          </w:tcPr>
          <w:p w14:paraId="30F8770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5707" w:type="dxa"/>
          </w:tcPr>
          <w:p w14:paraId="46FADF25" w14:textId="77777777" w:rsidR="00D4651C" w:rsidRPr="008127F8" w:rsidRDefault="00D4651C" w:rsidP="001E0A84">
            <w:pPr>
              <w:pStyle w:val="Iauiue"/>
              <w:jc w:val="both"/>
              <w:rPr>
                <w:color w:val="000000" w:themeColor="text1"/>
                <w:sz w:val="16"/>
                <w:szCs w:val="16"/>
              </w:rPr>
            </w:pPr>
          </w:p>
        </w:tc>
      </w:tr>
      <w:tr w:rsidR="006F4095" w:rsidRPr="008127F8" w14:paraId="11BB6247" w14:textId="77777777">
        <w:tc>
          <w:tcPr>
            <w:tcW w:w="2802" w:type="dxa"/>
          </w:tcPr>
          <w:p w14:paraId="7F9F75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Взлетная мощность</w:t>
            </w:r>
          </w:p>
        </w:tc>
        <w:tc>
          <w:tcPr>
            <w:tcW w:w="1044" w:type="dxa"/>
          </w:tcPr>
          <w:p w14:paraId="236A7F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1600</w:t>
            </w:r>
          </w:p>
        </w:tc>
        <w:tc>
          <w:tcPr>
            <w:tcW w:w="1044" w:type="dxa"/>
          </w:tcPr>
          <w:p w14:paraId="47A14B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1700</w:t>
            </w:r>
          </w:p>
        </w:tc>
        <w:tc>
          <w:tcPr>
            <w:tcW w:w="5707" w:type="dxa"/>
          </w:tcPr>
          <w:p w14:paraId="11DACB71" w14:textId="77777777" w:rsidR="00D4651C" w:rsidRPr="008127F8" w:rsidRDefault="00D4651C" w:rsidP="001E0A84">
            <w:pPr>
              <w:pStyle w:val="Iauiue"/>
              <w:jc w:val="both"/>
              <w:rPr>
                <w:color w:val="000000" w:themeColor="text1"/>
                <w:sz w:val="16"/>
                <w:szCs w:val="16"/>
              </w:rPr>
            </w:pPr>
          </w:p>
        </w:tc>
      </w:tr>
      <w:tr w:rsidR="006F4095" w:rsidRPr="008127F8" w14:paraId="4835000D" w14:textId="77777777">
        <w:tc>
          <w:tcPr>
            <w:tcW w:w="2802" w:type="dxa"/>
            <w:tcBorders>
              <w:bottom w:val="single" w:sz="12" w:space="0" w:color="auto"/>
            </w:tcBorders>
          </w:tcPr>
          <w:p w14:paraId="5CB6086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Номинальная мощность у земли</w:t>
            </w:r>
          </w:p>
        </w:tc>
        <w:tc>
          <w:tcPr>
            <w:tcW w:w="1044" w:type="dxa"/>
            <w:tcBorders>
              <w:bottom w:val="single" w:sz="12" w:space="0" w:color="auto"/>
            </w:tcBorders>
          </w:tcPr>
          <w:p w14:paraId="4E6DEDC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1500</w:t>
            </w:r>
          </w:p>
        </w:tc>
        <w:tc>
          <w:tcPr>
            <w:tcW w:w="1044" w:type="dxa"/>
            <w:tcBorders>
              <w:bottom w:val="single" w:sz="12" w:space="0" w:color="auto"/>
            </w:tcBorders>
          </w:tcPr>
          <w:p w14:paraId="6A47BD4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1400</w:t>
            </w:r>
          </w:p>
        </w:tc>
        <w:tc>
          <w:tcPr>
            <w:tcW w:w="5707" w:type="dxa"/>
            <w:tcBorders>
              <w:bottom w:val="single" w:sz="12" w:space="0" w:color="auto"/>
            </w:tcBorders>
          </w:tcPr>
          <w:p w14:paraId="5D34A89A" w14:textId="77777777" w:rsidR="00D4651C" w:rsidRPr="008127F8" w:rsidRDefault="00D4651C" w:rsidP="001E0A84">
            <w:pPr>
              <w:pStyle w:val="Iauiue"/>
              <w:jc w:val="both"/>
              <w:rPr>
                <w:color w:val="000000" w:themeColor="text1"/>
                <w:sz w:val="16"/>
                <w:szCs w:val="16"/>
              </w:rPr>
            </w:pPr>
          </w:p>
        </w:tc>
      </w:tr>
    </w:tbl>
    <w:p w14:paraId="344FBFF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Данные самолета Ил-2 с АМ-38 взяты из отчета НИИ ВВС по испытаниям Ил-2 N 2402 и по самолету с М-82 из отчета по заводским испытаниям (1684,60).</w:t>
      </w:r>
    </w:p>
    <w:p w14:paraId="728497B5" w14:textId="77777777" w:rsidR="00D4651C" w:rsidRPr="008127F8" w:rsidRDefault="00D4651C" w:rsidP="001E0A84">
      <w:pPr>
        <w:pStyle w:val="Iauiue"/>
        <w:jc w:val="both"/>
        <w:rPr>
          <w:color w:val="000000" w:themeColor="text1"/>
          <w:sz w:val="16"/>
          <w:szCs w:val="16"/>
        </w:rPr>
      </w:pPr>
    </w:p>
    <w:p w14:paraId="63BCFC4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16 января 1942 л 19 завода С.Ф.Сенкевич несильно поломал при испытаниях Су-2, так как лопнул левый баллон шасси (2108).</w:t>
      </w:r>
    </w:p>
    <w:p w14:paraId="6428186C" w14:textId="77777777" w:rsidR="00D4651C" w:rsidRPr="008127F8" w:rsidRDefault="00D4651C" w:rsidP="001E0A84">
      <w:pPr>
        <w:pStyle w:val="Iauiue"/>
        <w:jc w:val="both"/>
        <w:rPr>
          <w:color w:val="000000" w:themeColor="text1"/>
          <w:sz w:val="16"/>
          <w:szCs w:val="16"/>
        </w:rPr>
      </w:pPr>
    </w:p>
    <w:p w14:paraId="713DCA2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16 января по 22 февраля 1942 на заводе 153 проводились совместные заводские и гос. испытания Як-7А N 14-11 эталона для серии на 1942. Ведущий летчик - Н.С.Рыбко, ви - А.Т.Степанец (НИИ ВВС), П.С.Лимар (ЛИИ) и К.В.Тарутин (153 завод) и было выполнено 30 полетов для определения летных характеристик и 288 по кругу с посадками для проверки лыж. Налет 27:4 (65,81).</w:t>
      </w:r>
    </w:p>
    <w:p w14:paraId="6A8097EC" w14:textId="77777777" w:rsidR="00D4651C" w:rsidRPr="008127F8" w:rsidRDefault="00D4651C" w:rsidP="001E0A84">
      <w:pPr>
        <w:pStyle w:val="Iauiue"/>
        <w:jc w:val="both"/>
        <w:rPr>
          <w:color w:val="000000" w:themeColor="text1"/>
          <w:sz w:val="16"/>
          <w:szCs w:val="16"/>
        </w:rPr>
      </w:pPr>
    </w:p>
    <w:p w14:paraId="625138A3"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января</w:t>
      </w:r>
      <w:r w:rsidRPr="008127F8">
        <w:rPr>
          <w:rFonts w:ascii="Times New Roman" w:hAnsi="Times New Roman"/>
          <w:color w:val="000000" w:themeColor="text1"/>
          <w:sz w:val="16"/>
          <w:szCs w:val="16"/>
        </w:rPr>
        <w:t xml:space="preserve"> в 1942 году начались испытания истребителя «Як-7А». Испытания продлились до 22 февраля 1942 года. Обозначение «Як-7А» носили самолеты «Як-7» завода N153, в которые были внесены следующие изменения: Головной </w:t>
      </w:r>
      <w:hyperlink r:id="rId10" w:tgtFrame="_blank" w:history="1">
        <w:r w:rsidRPr="008127F8">
          <w:rPr>
            <w:rFonts w:ascii="Times New Roman" w:hAnsi="Times New Roman"/>
            <w:color w:val="000000" w:themeColor="text1"/>
            <w:sz w:val="16"/>
            <w:szCs w:val="16"/>
          </w:rPr>
          <w:t xml:space="preserve">«Як-7А» </w:t>
        </w:r>
      </w:hyperlink>
      <w:r w:rsidRPr="008127F8">
        <w:rPr>
          <w:rFonts w:ascii="Times New Roman" w:hAnsi="Times New Roman"/>
          <w:color w:val="000000" w:themeColor="text1"/>
          <w:sz w:val="16"/>
          <w:szCs w:val="16"/>
        </w:rPr>
        <w:t xml:space="preserve">, эталон для серийной постройки на 1942 год, проходивший совместные испытания (заводские и государственные) и представлял собой модифицированный в конце 1941 года серийный самолет «Як-7» N14-11 завода N153. Самолет испытывался с лыжным и колесным шасси до и после внесения в его конструкцию и аэродинамику изменений. Испытания проводила бригада в составе: ведущий летчик И.С.Рыбко (ЛИИ), ведущие инженеры А.Т.Степанец (НИИ ВВС), П.С.Лимар (ЛИИ) и К.В.Тарутин (завод N153). Было произведено 30 полетов для определения летных характеристик и отстрела вооружения и 288 полетов по кругу с посадками для проверки эксплуатационных качеств лыж. Общий налет - 27 ч 4 </w:t>
      </w:r>
      <w:proofErr w:type="gramStart"/>
      <w:r w:rsidRPr="008127F8">
        <w:rPr>
          <w:rFonts w:ascii="Times New Roman" w:hAnsi="Times New Roman"/>
          <w:color w:val="000000" w:themeColor="text1"/>
          <w:sz w:val="16"/>
          <w:szCs w:val="16"/>
        </w:rPr>
        <w:t>мин. »Як</w:t>
      </w:r>
      <w:proofErr w:type="gramEnd"/>
      <w:r w:rsidRPr="008127F8">
        <w:rPr>
          <w:rFonts w:ascii="Times New Roman" w:hAnsi="Times New Roman"/>
          <w:color w:val="000000" w:themeColor="text1"/>
          <w:sz w:val="16"/>
          <w:szCs w:val="16"/>
        </w:rPr>
        <w:t>-7А» выпускался на заводе N153 в январе-мае 1942 г., всего было построено 277 самолетов, в том числе за январь-февраль - 13 (15011).</w:t>
      </w:r>
    </w:p>
    <w:p w14:paraId="60F6A160"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4FC9CB70"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янва</w:t>
      </w:r>
      <w:r w:rsidRPr="008A2E5A">
        <w:rPr>
          <w:rFonts w:ascii="Times New Roman" w:hAnsi="Times New Roman"/>
          <w:color w:val="0070C0"/>
          <w:sz w:val="16"/>
          <w:szCs w:val="16"/>
        </w:rPr>
        <w:softHyphen/>
        <w:t>ря 1942 г. в ходе заводских испытаний Як-7Б в Новосибирске произошла авария - на пробеге после посад</w:t>
      </w:r>
      <w:r w:rsidRPr="008A2E5A">
        <w:rPr>
          <w:rFonts w:ascii="Times New Roman" w:hAnsi="Times New Roman"/>
          <w:color w:val="0070C0"/>
          <w:sz w:val="16"/>
          <w:szCs w:val="16"/>
        </w:rPr>
        <w:softHyphen/>
        <w:t>ки сложилась правая стойка шасси. Самолет не постра</w:t>
      </w:r>
      <w:r w:rsidRPr="008A2E5A">
        <w:rPr>
          <w:rFonts w:ascii="Times New Roman" w:hAnsi="Times New Roman"/>
          <w:color w:val="0070C0"/>
          <w:sz w:val="16"/>
          <w:szCs w:val="16"/>
        </w:rPr>
        <w:softHyphen/>
        <w:t>дал, за исключением погнутого винта. Причиной аварии явились низкие температуры наружного воздуха, из-за которых резиновые манжеты в цилиндре уборки шасси потеряли эластичность и пропускали воздух (с началом войны из-за дефицитности кожаные манжеты в воздуш</w:t>
      </w:r>
      <w:r w:rsidRPr="008A2E5A">
        <w:rPr>
          <w:rFonts w:ascii="Times New Roman" w:hAnsi="Times New Roman"/>
          <w:color w:val="0070C0"/>
          <w:sz w:val="16"/>
          <w:szCs w:val="16"/>
        </w:rPr>
        <w:softHyphen/>
        <w:t>ных цилиндрах стали заменять резиновыми), в результа</w:t>
      </w:r>
      <w:r w:rsidRPr="008A2E5A">
        <w:rPr>
          <w:rFonts w:ascii="Times New Roman" w:hAnsi="Times New Roman"/>
          <w:color w:val="0070C0"/>
          <w:sz w:val="16"/>
          <w:szCs w:val="16"/>
        </w:rPr>
        <w:softHyphen/>
        <w:t>те чего стойка не встала на замок (23381).</w:t>
      </w:r>
    </w:p>
    <w:p w14:paraId="0B8E5DA2" w14:textId="77777777" w:rsidR="002768EF" w:rsidRPr="008A2E5A" w:rsidRDefault="002768EF" w:rsidP="002768EF">
      <w:pPr>
        <w:spacing w:after="0" w:line="240" w:lineRule="auto"/>
        <w:jc w:val="both"/>
        <w:rPr>
          <w:rFonts w:ascii="Times New Roman" w:hAnsi="Times New Roman"/>
          <w:color w:val="0070C0"/>
          <w:sz w:val="16"/>
          <w:szCs w:val="16"/>
        </w:rPr>
      </w:pPr>
    </w:p>
    <w:p w14:paraId="7099C9B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 1153 ГКО Об упорядочении в Наркомавиапроме руководства делом снабжения заводов авиапромышленности. РГАНИР, Фонд ГКО, д. 19, лл. 134-135 (11012).</w:t>
      </w:r>
    </w:p>
    <w:p w14:paraId="56DD977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E08FD2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09E4DF92" w14:textId="77777777" w:rsidR="00D4651C" w:rsidRPr="008127F8" w:rsidRDefault="00D4651C" w:rsidP="001E0A84">
      <w:pPr>
        <w:pStyle w:val="Iauiue"/>
        <w:jc w:val="both"/>
        <w:rPr>
          <w:iCs/>
          <w:color w:val="000000" w:themeColor="text1"/>
          <w:sz w:val="16"/>
          <w:szCs w:val="16"/>
        </w:rPr>
      </w:pPr>
    </w:p>
    <w:p w14:paraId="2C6197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1154 О плане производства 7,62 мм пистолетов-пулеметов "ППШ" на заводе № 113 г. Горький. РГАНИР, Фонд ГКО, д. 19, лл. 136 (11012).</w:t>
      </w:r>
    </w:p>
    <w:p w14:paraId="36ED356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5267C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г. ГС завод № 526 НКВ (ГС завод № 526 НКВ, Кузнецкий машиностроительный завод (КМЗ), ОАО «КМЗ» /г. Сталинск/ /</w:t>
      </w:r>
      <w:proofErr w:type="gramStart"/>
      <w:r w:rsidRPr="008127F8">
        <w:rPr>
          <w:rFonts w:ascii="Times New Roman" w:hAnsi="Times New Roman"/>
          <w:color w:val="000000" w:themeColor="text1"/>
          <w:sz w:val="16"/>
          <w:szCs w:val="16"/>
        </w:rPr>
        <w:t>654080  г.</w:t>
      </w:r>
      <w:proofErr w:type="gramEnd"/>
      <w:r w:rsidRPr="008127F8">
        <w:rPr>
          <w:rFonts w:ascii="Times New Roman" w:hAnsi="Times New Roman"/>
          <w:color w:val="000000" w:themeColor="text1"/>
          <w:sz w:val="16"/>
          <w:szCs w:val="16"/>
        </w:rPr>
        <w:t xml:space="preserve"> Новокузнецк ул. Куйбышева, 17/) был внесен в реестр Государственных предприятий СССР. В 06.1942 г. была изготовлена первая партия боевых машин.</w:t>
      </w:r>
    </w:p>
    <w:p w14:paraId="70766F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перешел на производство гражданской продукции. В 1947 г. завод перепрофилирован на выпуск механизмов и бурового инструмента для горнодобывающей промышленности.</w:t>
      </w:r>
    </w:p>
    <w:p w14:paraId="0AB211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выпускалось около 600 наименований горно-шахтного оборудования и горно-режущего инструмента.</w:t>
      </w:r>
    </w:p>
    <w:p w14:paraId="6C4C98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возрождено литейное производство, восстановлен цех точного литья.</w:t>
      </w:r>
    </w:p>
    <w:p w14:paraId="519073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(1941 г.)- М.С. Новиков, (1941 г.)- Н.А. Дубасов (11982).</w:t>
      </w:r>
    </w:p>
    <w:p w14:paraId="2D9BB396"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49455BDB"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w:t>
      </w:r>
    </w:p>
    <w:p w14:paraId="04E1BCA6" w14:textId="7D2099CF"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1 – 2</w:t>
      </w:r>
      <w:r w:rsidR="008127F8">
        <w:rPr>
          <w:rFonts w:ascii="Times New Roman" w:hAnsi="Times New Roman"/>
          <w:color w:val="000000" w:themeColor="text1"/>
          <w:sz w:val="16"/>
          <w:szCs w:val="16"/>
        </w:rPr>
        <w:t xml:space="preserve">  </w:t>
      </w:r>
    </w:p>
    <w:p w14:paraId="630EE8D8" w14:textId="78DE192A"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4E079DAE"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538F5AE"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Наркомату Танковой Промышленности</w:t>
      </w:r>
    </w:p>
    <w:p w14:paraId="4535C30B"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117-Мс</w:t>
      </w:r>
    </w:p>
    <w:p w14:paraId="3A8844A1"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"16" января 1942 г.</w:t>
      </w:r>
    </w:p>
    <w:p w14:paraId="18BDA0D8" w14:textId="544FFE3B"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последние месяцы многие директоры и главные инженеры заводов не уделяют должного внимания вопросам усовершенствования технологии, внедрения новых, более прогрессивных технологических процессов, увеличению количества приспособлений и пр., в результате чего трудоемкость изготовления машин на отдельных заводах непомерно велика, а это вызывает излишнюю потребность в станках и рабочей силе.</w:t>
      </w:r>
      <w:r w:rsidR="008127F8">
        <w:rPr>
          <w:rFonts w:ascii="Times New Roman" w:hAnsi="Times New Roman"/>
          <w:color w:val="000000" w:themeColor="text1"/>
          <w:sz w:val="16"/>
          <w:szCs w:val="16"/>
        </w:rPr>
        <w:t xml:space="preserve">  </w:t>
      </w:r>
    </w:p>
    <w:p w14:paraId="3DD03577" w14:textId="6F5EF568"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например:</w:t>
      </w:r>
      <w:r w:rsidR="008127F8">
        <w:rPr>
          <w:rFonts w:ascii="Times New Roman" w:hAnsi="Times New Roman"/>
          <w:color w:val="000000" w:themeColor="text1"/>
          <w:sz w:val="16"/>
          <w:szCs w:val="16"/>
        </w:rPr>
        <w:t xml:space="preserve">  </w:t>
      </w:r>
    </w:p>
    <w:p w14:paraId="779FFC81" w14:textId="08FCE07D"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трудоемкость изготовления танка Т-60 на заводе № 37 составляет 2500 часов, а на заводе № 264 – 4700 часов, т.е. в 1,9 раза больше;</w:t>
      </w:r>
      <w:r w:rsidR="008127F8">
        <w:rPr>
          <w:rFonts w:ascii="Times New Roman" w:hAnsi="Times New Roman"/>
          <w:color w:val="000000" w:themeColor="text1"/>
          <w:sz w:val="16"/>
          <w:szCs w:val="16"/>
        </w:rPr>
        <w:t xml:space="preserve">  </w:t>
      </w:r>
    </w:p>
    <w:p w14:paraId="4FA6DEBE" w14:textId="009483BC"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трудоемкость изготовления дизеля В-2 на заводе № 76 равна 2700 часам, на Кировском заводе – 1800 часов, в то время как на заводе № 75 этот же дизель изготовлялся за 600 часов.</w:t>
      </w:r>
      <w:r w:rsidR="008127F8">
        <w:rPr>
          <w:rFonts w:ascii="Times New Roman" w:hAnsi="Times New Roman"/>
          <w:color w:val="000000" w:themeColor="text1"/>
          <w:sz w:val="16"/>
          <w:szCs w:val="16"/>
        </w:rPr>
        <w:t xml:space="preserve">  </w:t>
      </w:r>
    </w:p>
    <w:p w14:paraId="4FBBFEDB" w14:textId="6077FB3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"Красное Сормово" затрачивает на изготовление каждого танка Т-34 на 2500 – 3000 часов больше, чем в свое время затрачивал завод № 183 и затрачивает сейчас Сталинградский тракторный завод.</w:t>
      </w:r>
      <w:r w:rsidR="008127F8">
        <w:rPr>
          <w:rFonts w:ascii="Times New Roman" w:hAnsi="Times New Roman"/>
          <w:color w:val="000000" w:themeColor="text1"/>
          <w:sz w:val="16"/>
          <w:szCs w:val="16"/>
        </w:rPr>
        <w:t xml:space="preserve">  </w:t>
      </w:r>
    </w:p>
    <w:p w14:paraId="7A2CFD9C" w14:textId="2A8EFA4A"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Ясно, что многие директоры и главные инженеры заводов вместо кропотливой систематической работы по снижению затрат на изготовление машин, вместо наведения порядка в технологии, в использовании станков, в обучении рабочих идут по пути наименьшего сопротивления и хотят выполнить план только за счет увеличения количества станков и рабочих. Такую расточительную работу Наркомат поддерживать не может и не будет.</w:t>
      </w:r>
      <w:r w:rsidR="008127F8">
        <w:rPr>
          <w:rFonts w:ascii="Times New Roman" w:hAnsi="Times New Roman"/>
          <w:color w:val="000000" w:themeColor="text1"/>
          <w:sz w:val="16"/>
          <w:szCs w:val="16"/>
        </w:rPr>
        <w:t xml:space="preserve">  </w:t>
      </w:r>
    </w:p>
    <w:p w14:paraId="2B0A32A6" w14:textId="7EDC0A0C"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r w:rsidR="008127F8">
        <w:rPr>
          <w:rFonts w:ascii="Times New Roman" w:hAnsi="Times New Roman"/>
          <w:color w:val="000000" w:themeColor="text1"/>
          <w:sz w:val="16"/>
          <w:szCs w:val="16"/>
        </w:rPr>
        <w:t xml:space="preserve">  </w:t>
      </w:r>
    </w:p>
    <w:p w14:paraId="4145D037" w14:textId="2794092E"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Начальникам производственного и планового отделов к 25 января представить мне на утверждение нормы трудоемкости на танки КВ, Т-34, Т-60, корпуса к ним и дизеля В-2 по всем заводам, взяв за основу нормы передовых заводов.</w:t>
      </w:r>
      <w:r w:rsidR="008127F8">
        <w:rPr>
          <w:rFonts w:ascii="Times New Roman" w:hAnsi="Times New Roman"/>
          <w:color w:val="000000" w:themeColor="text1"/>
          <w:sz w:val="16"/>
          <w:szCs w:val="16"/>
        </w:rPr>
        <w:t xml:space="preserve">  </w:t>
      </w:r>
    </w:p>
    <w:p w14:paraId="2E519384" w14:textId="716E0BE8"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После утверждения этих норм весь расчет потребности в оборудовании и рабочей силе вести по новым нормам.</w:t>
      </w:r>
      <w:r w:rsidR="008127F8">
        <w:rPr>
          <w:rFonts w:ascii="Times New Roman" w:hAnsi="Times New Roman"/>
          <w:color w:val="000000" w:themeColor="text1"/>
          <w:sz w:val="16"/>
          <w:szCs w:val="16"/>
        </w:rPr>
        <w:t xml:space="preserve">  </w:t>
      </w:r>
    </w:p>
    <w:p w14:paraId="0A94F803" w14:textId="10BBEFFA"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Технический отдел (т. Гинзбурга и т. Рыбкина) передать отстающим заводам опыт передовых заводов по снижению трудоемкости изготовления машин.</w:t>
      </w:r>
      <w:r w:rsidR="008127F8">
        <w:rPr>
          <w:rFonts w:ascii="Times New Roman" w:hAnsi="Times New Roman"/>
          <w:color w:val="000000" w:themeColor="text1"/>
          <w:sz w:val="16"/>
          <w:szCs w:val="16"/>
        </w:rPr>
        <w:t xml:space="preserve">  </w:t>
      </w:r>
    </w:p>
    <w:p w14:paraId="0FFB4264" w14:textId="21B1C83E"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Директорам и главным инженерам танковых, корпусных и дизельных заводов:</w:t>
      </w:r>
      <w:r w:rsidR="008127F8">
        <w:rPr>
          <w:rFonts w:ascii="Times New Roman" w:hAnsi="Times New Roman"/>
          <w:color w:val="000000" w:themeColor="text1"/>
          <w:sz w:val="16"/>
          <w:szCs w:val="16"/>
        </w:rPr>
        <w:t xml:space="preserve">  </w:t>
      </w:r>
    </w:p>
    <w:p w14:paraId="352EABC1" w14:textId="247A6E79"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декадный срок произвести тщательный пересмотр завышенных норм и разработать конкретные меры по улучшению технологии производства, с целью снижения трудоемкости;</w:t>
      </w:r>
      <w:r w:rsidR="008127F8">
        <w:rPr>
          <w:rFonts w:ascii="Times New Roman" w:hAnsi="Times New Roman"/>
          <w:color w:val="000000" w:themeColor="text1"/>
          <w:sz w:val="16"/>
          <w:szCs w:val="16"/>
        </w:rPr>
        <w:t xml:space="preserve">  </w:t>
      </w:r>
    </w:p>
    <w:p w14:paraId="5A7FD225" w14:textId="264D2492"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заставить как следует работать существующие на заводах технические и технологические отделы и отделы нормирования труда. Предупредить руководителей этих отделов, что их работа будет оцениваться по результатам снижения трудоемкости машин, а не по количеству составленных ими заявок на новые станки и дополнительную рабочую силу.</w:t>
      </w:r>
      <w:r w:rsidR="008127F8">
        <w:rPr>
          <w:rFonts w:ascii="Times New Roman" w:hAnsi="Times New Roman"/>
          <w:color w:val="000000" w:themeColor="text1"/>
          <w:sz w:val="16"/>
          <w:szCs w:val="16"/>
        </w:rPr>
        <w:t xml:space="preserve">  </w:t>
      </w:r>
    </w:p>
    <w:p w14:paraId="74ADB6C5" w14:textId="7D3D658F"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раз предупреждаю директоров и главных инженеров заводов, что в условиях войны нужна строжайшая экономия в станках и рабочей силе.</w:t>
      </w:r>
      <w:r w:rsidR="008127F8">
        <w:rPr>
          <w:rFonts w:ascii="Times New Roman" w:hAnsi="Times New Roman"/>
          <w:color w:val="000000" w:themeColor="text1"/>
          <w:sz w:val="16"/>
          <w:szCs w:val="16"/>
        </w:rPr>
        <w:t xml:space="preserve">  </w:t>
      </w:r>
    </w:p>
    <w:p w14:paraId="4749A1E5"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w:t>
      </w:r>
    </w:p>
    <w:p w14:paraId="6ED4B19E"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70AEFC06" w14:textId="77777777" w:rsidR="00BA3264" w:rsidRPr="008127F8" w:rsidRDefault="00BA32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(18235).</w:t>
      </w:r>
    </w:p>
    <w:p w14:paraId="04075550" w14:textId="77777777" w:rsidR="00BA3264" w:rsidRPr="008127F8" w:rsidRDefault="00BA3264" w:rsidP="001E0A84">
      <w:pPr>
        <w:spacing w:after="0" w:line="240" w:lineRule="auto"/>
        <w:jc w:val="both"/>
        <w:rPr>
          <w:rFonts w:ascii="Times New Roman" w:hAnsi="Times New Roman"/>
          <w:color w:val="000000" w:themeColor="text1"/>
          <w:sz w:val="16"/>
          <w:szCs w:val="16"/>
        </w:rPr>
      </w:pPr>
    </w:p>
    <w:p w14:paraId="28609D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января 1942 г. вышел приказ Малышева, в котором Нарком требовал перенести на все предприятия НКТП опыт самых передовых заводов. В заключение он указывал: "Еще раз предупреждаю директоров и главных инженеров заводов, что в условиях войны нужна строжайшая экономия в станках и рабочей силе. 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 (РГАЭ, ф. 8752, оп. 1, д. 82, л. 167-169; оп. 4, д. 2, л. 21.). В 1942 г. удалось достичь существенного прогресса в снижении трудоемкости производства танков, хотя выравнивания затрат труда и материалов по всем заводам, ориентируясь на лучшие показатели, еще достичь не удалось. Применение новых методов организации производства позволило в корне изменить всю его структуру. Теперь оно строилось по принципу крупносерийного. Была налажена конвейерная сборка танков, расширена сфера применения литья как более производительного при изготовлении деталей. При этом вместо литья в формы, изготовленные вручную, как это часто практиковалось до войны, более активно использовалась машинная формовка. Применялись и другие прогрессивные технологии, что позволило значительно увеличить объемы производства танков. В течение 1942 г. значительно снизилась трудоемкость изготовления танка. Так, на заводах № 183 она снизилась на 22%, № 112 - на 40%, и т.д (РГАЭ, ф. 8752, оп. 1, д. 82, л. 167-169; оп. 4, д. 2, л. 21.). Очень многое здесь зависело от инициативы и организаторских способностей руководителей предприятий, которым приходилось выполнять задания Центра в очень тяжелых условиях: связи с поставщиками были нарушены, не хватало рабочей силы и сырья, прежде всего угля и мазута, подводил транспорт, лимиты снабжения электроэнергией были недостаточными. Военный период стал суровым испытанием для директорского состава и одновременно давал возможность проявить себя с лучшей стороны. Наиболее интересным в этом отношении был пример И.М. Зальцмана. До войны он возглавлял в Ленинграде Кировский завод, где показал себя способным организатором производства во время освоения танка КВ. После начала эвакуации Кировского завода в Челябинск Зальцман возглавил знаменитый Танкоград. Чтобы быстрее ввести в эксплуатацию станки, их порой устанавливали в недостроенных цехах, даже не заливая их основания бетоном. Уже в 1941 г. Танкоград произвел 844 танка КВ. Зальцман считался специалистом по налаживанию производства танков. </w:t>
      </w:r>
      <w:proofErr w:type="gramStart"/>
      <w:r w:rsidRPr="008127F8">
        <w:rPr>
          <w:rFonts w:ascii="Times New Roman" w:hAnsi="Times New Roman"/>
          <w:color w:val="000000" w:themeColor="text1"/>
          <w:sz w:val="16"/>
          <w:szCs w:val="16"/>
        </w:rPr>
        <w:t>Поэтому</w:t>
      </w:r>
      <w:proofErr w:type="gramEnd"/>
      <w:r w:rsidRPr="008127F8">
        <w:rPr>
          <w:rFonts w:ascii="Times New Roman" w:hAnsi="Times New Roman"/>
          <w:color w:val="000000" w:themeColor="text1"/>
          <w:sz w:val="16"/>
          <w:szCs w:val="16"/>
        </w:rPr>
        <w:t xml:space="preserve"> когда в январе 1942 г. на заводе № 183 сложилась кризисная ситуация, именно Зальцмана назначили его директором. В ходе эвакуации завод потерял много оборудования. После того, как закончился запас деталей, привезенных из Харькова, производство танков прекратилось. Зальцман вспоминал: "Я выехал в Свердловск, посмотрел, какие из эвакуированных заводов стоят на железнодорожных путях. По моему указанию эшелоны с пригодным для производства танков оборудованием, инженерными и рабочими кадрами в несколько дней были доставлены в Нижний Тагил" (Зальцман И.М. Срочное задание // Т-34. Путь к Победе. Киев, 1989. С. 109.). Другой пример - директор завода Е.Э. Рубинчик. Возглавляя Коломенский паровозостроительный завод, он в сентябре 1941 г. сумел в сжатые сроки наладить там производство корпусов танков Т-60. Этот успех подтолкнул руководство к тому, чтобы доверить заводу самостоятельный выпуск танков. К сожалению, через 5 дней после этого решения пришлось приступить к его эвакуации, но Рубинчик успешно справился и с этой задачей. Хорошо зарекомендовавший себя директор был назначен на пост руководителя одного из ключевых предприятий Наркомата - завода № 112 ("Красное Сормово"). Но были и такие случаи, когда неудачи при переходе к производству танков ломали людям карьеры, а то и жизнь. Такая судьба выпала директору завода № 112 Михалеву (место которого и занял Рубинчик). Из-за недостаточно быстрого освоения в производстве танка Т-34 он был снят с поста директора и отдан под суд. Его главный просчет заключался в попытке компенсировать нехватку ряда деталей путем размещения заказов на них по другим предприятиям. Однако эти поставки были либо сорваны полностью, либо осуществлялись нерегулярно. Ритмичную работу заводу наладить не удавалось. Главный инженер Г.И. Кузьмин практически все свое время вынужден был проводить в разъездах по не выполняющим обязательства заводам-поставщикам (РГАЭ, ф. 8798, оп. 4, д. 3, л. 30.). В 1941 г. завод выпустил всего 173 танка. Рубинчик же основные усилия направил на обеспечение максимальной независимости завода от поставщиков. В технологию производства были внесены изменения, позволившие выполнять многие работы на собственном оборудовании. В результате завод начал работать нормально. Большое значение для роста производства танков имели изменения, вносимые в ходе войны в их конструкцию. Общее руководство этими работами осуществлял главный конструктор НКТП, заместитель наркома Ж.Я. Котин, а главным центром по упрощению конструкции стало КБ завода № 183, которое возглавлял А.А. Морозов. К концу января 1942 г. было отменено использование на танке Т-34 5641 детали 1265 наименований. Благодаря предложениям конструкторов удалось отказаться от 206 изделий, получаемых ранее с других предприятий, что повысило независимость завода № 183 от поставщиков и от работы транспорта. Для скорейшей ликвидации нехватки многих видов материалов, прежде всего качественных сортов стали, была проведена большая работа по поиску их заменителей (РГАЭ, ф. 8798, оп. 4, д. 3, л. 30.). В то же время почти не совершенствовались боевые качества танков. Это отражает, с одной стороны, уверенность в высоких качествах слоев продукции, с другой - кризисную ситуацию в снабжении, организации и управлении производством. При этом упрощение конструкции и технологического процесса привело к снижению надежности наших танков. В итоге уже летом 1942 г. низкая техническая надежность советских танков заставила руководство страны и НКТП принимать экстренные меры (11786).</w:t>
      </w:r>
    </w:p>
    <w:p w14:paraId="1D88181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911E2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января 1942 года вышел приказ народного комиссара танковой промышленности В.А.Малышева # 117мс (РГАЭ. Ф. 8752. Оп. 4. Д. 82. Л. 1-2). Этот приказ признаёт, что проведение мер по снижению трудоёмкости производства сталкивалось с существенными трудностями. Тяжелые условия, в которых налаживалось производство, нехватка оборудования, недостаток рабочей силы создавали множество трудностей, и многие директора надеялись преодолеть их благодаря помощи из Центра. Но высшее руководство само не располагало значительными ресурсами и не могло дать всё то, что от него надеялись получить. Руководителям предприятий необходимо было лучше использовать собственные ресурсы, эффективно задействовать то оборудование и тех рабочих, которые уже были в их распоряжении, а не надеяться на решение всех их проблем присылкой необходимого по приказу из Москвы. Для того чтобы ориентировать руководство заводов на выполнение стоящих перед ними задач за счёт более эффективной организации производства, а не за счёт одного только количественного роста задействованного оборудования и людей (тем более что возможности такого роста уже исчерпались), и был издан этот приказ. Начинается он c анализа сложившейся обстановки: "В последние месяцы многие директора и главные инженеры заводов не уделяют должного внимания вопросам усовершенствования технологии, внедрения новых, более прогрессивных технологических процессов, увеличению количества приспособлений и пр., в результате чего трудоёмкость изготовления машин на отдельных заводах непомерно велика, а это вызывает излишнюю потребность в станках и рабочей силе. … Ясно, что многие директора и главные инженеры заводов вместо кропотливой работы по снижению затрат на изготовление машин, вместо наведения порядка в технологии, в использовании станков, в обучении рабочих идут по пути наименьшего сопротивления и хотят выполнять план только за счёт увеличения количества станков и рабочих. Такую расточительную работу наркомат поддерживать не может и не будет" (РГАЭ. Ф. 8752. Оп. 4. Д. 82. Л. 1-2). Для того чтобы снизить трудоёмкость производства, В.А.Малышев считал необходимым перенести на все предприятия НКТП </w:t>
      </w:r>
      <w:proofErr w:type="gramStart"/>
      <w:r w:rsidRPr="008127F8">
        <w:rPr>
          <w:rFonts w:ascii="Times New Roman" w:hAnsi="Times New Roman"/>
          <w:color w:val="000000" w:themeColor="text1"/>
          <w:sz w:val="16"/>
          <w:szCs w:val="16"/>
        </w:rPr>
        <w:t>опыт</w:t>
      </w:r>
      <w:proofErr w:type="gramEnd"/>
      <w:r w:rsidRPr="008127F8">
        <w:rPr>
          <w:rFonts w:ascii="Times New Roman" w:hAnsi="Times New Roman"/>
          <w:color w:val="000000" w:themeColor="text1"/>
          <w:sz w:val="16"/>
          <w:szCs w:val="16"/>
        </w:rPr>
        <w:t xml:space="preserve"> успешно совершенствующих технологию производства заводов. Для этого он требовал составить нормы трудоёмкости для всех производимых типов танков, корпусов и двигателя В-2, взяв за основу нормы самых эффективных заводов, и в дальнейшем все расчёты потребности в рабочей силе и оборудовании вести по этим нормам. Технический отдел НКТП должен был обеспечить необходимый обмен информацией между заводами. Директора и главные инженеры заводов должны были:</w:t>
      </w:r>
    </w:p>
    <w:p w14:paraId="0E3403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декадный срок произвести тщательный пересмотр завышенных норм и разработать конкретные меры по улучшению технологии производства, с целью снижения трудоёмкости;</w:t>
      </w:r>
    </w:p>
    <w:p w14:paraId="7C8041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заставить как следует работать существующие на заводах технические и технологические отделы и отделы нормирования труда. Предупредить руководителей этих отделов, что их работа будет оцениваться по результатам снижения трудоёмкости машин, а не по количеству составленных ими заявок на новые станки и дополнительную рабочую силу" (РГАЭ. Ф. 8752. Оп. 4. Д. 82. Л. 1-2.).</w:t>
      </w:r>
    </w:p>
    <w:p w14:paraId="5F59DA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приказа В.А.Малышев указывал следующее:</w:t>
      </w:r>
    </w:p>
    <w:p w14:paraId="152B77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"Ещё раз предупреждаю директоров и главных инженеров заводов, что в условиях войны нужна строжайшая экономия в станках и рабочей силе.</w:t>
      </w:r>
    </w:p>
    <w:p w14:paraId="3F9787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 (РГАЭ. Ф. 8752. Оп. 4. Д. 82. Л. 1-2.).</w:t>
      </w:r>
    </w:p>
    <w:p w14:paraId="33292F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настойчивой и последовательной работе как руководства Наркомата, так и рядовых сотрудников, в 1942 году удалось достичь существенного прогресса в снижении трудоёмкости производства танков. Но объявленной в приказе цели: выровнять затраты труда и материалов на производство одного танка по всем заводам, ориентируясь на лучшие показатели, достичь не удалось. Эта цель изначально была недостижимой, так как заводы, производя одну и ту же продукцию, существенно отличались друг от друга и по структуре оборудования, и по опыту производства. Единая норма для всех была утопией. Но она имела важное мобилизующее значение: заставить руководителей "отстающих" заводов напрячь усилия по совершенствованию технологии. Если не буква, то дух приказа # 117 был последовательно воплощен в жизнь, о чем свидетельствует неуклонное снижение трудоемкости производства танков (см. таблицу 2) (Составлена по: РГАЭ. Ф. 8752. Оп. 4. Д. 728. Л. 6-9.) (11787).</w:t>
      </w:r>
    </w:p>
    <w:p w14:paraId="4E15C187" w14:textId="77777777" w:rsidR="00D4651C" w:rsidRPr="008127F8" w:rsidRDefault="00A34F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fldChar w:fldCharType="begin"/>
      </w:r>
      <w:r w:rsidR="00D4651C" w:rsidRPr="008127F8">
        <w:rPr>
          <w:rFonts w:ascii="Times New Roman" w:hAnsi="Times New Roman"/>
          <w:color w:val="000000" w:themeColor="text1"/>
          <w:sz w:val="16"/>
          <w:szCs w:val="16"/>
        </w:rPr>
        <w:instrText>ref HYPERLINK "javascript:popImage('/clipViewImg.php?2703|9||300','2703')"</w:instrText>
      </w:r>
      <w:r w:rsidR="004863C0" w:rsidRPr="008127F8">
        <w:rPr>
          <w:rFonts w:ascii="Times New Roman" w:hAnsi="Times New Roman"/>
          <w:color w:val="000000" w:themeColor="text1"/>
          <w:sz w:val="16"/>
          <w:szCs w:val="16"/>
        </w:rPr>
        <w:instrText xml:space="preserve"> \* MERGEFORMAT </w:instrText>
      </w:r>
      <w:r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fldChar w:fldCharType="begin"/>
      </w:r>
      <w:r w:rsidR="00D4651C" w:rsidRPr="008127F8">
        <w:rPr>
          <w:rFonts w:ascii="Times New Roman" w:hAnsi="Times New Roman"/>
          <w:color w:val="000000" w:themeColor="text1"/>
          <w:sz w:val="16"/>
          <w:szCs w:val="16"/>
        </w:rPr>
        <w:instrText>ref HYPERLINK "javascript:popImage('/clipViewImg.php?2703|9||300','2703')"</w:instrText>
      </w:r>
      <w:r w:rsidR="004863C0" w:rsidRPr="008127F8">
        <w:rPr>
          <w:rFonts w:ascii="Times New Roman" w:hAnsi="Times New Roman"/>
          <w:color w:val="000000" w:themeColor="text1"/>
          <w:sz w:val="16"/>
          <w:szCs w:val="16"/>
        </w:rPr>
        <w:instrText xml:space="preserve"> \* MERGEFORMAT </w:instrText>
      </w:r>
      <w:r w:rsidRPr="008127F8">
        <w:rPr>
          <w:rFonts w:ascii="Times New Roman" w:hAnsi="Times New Roman"/>
          <w:color w:val="000000" w:themeColor="text1"/>
          <w:sz w:val="16"/>
          <w:szCs w:val="16"/>
        </w:rPr>
        <w:fldChar w:fldCharType="end"/>
      </w:r>
    </w:p>
    <w:p w14:paraId="06D86862"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16 января 1942 г. начальник конструкторского отдела завода </w:t>
      </w:r>
      <w:proofErr w:type="gramStart"/>
      <w:r w:rsidRPr="008A2E5A">
        <w:rPr>
          <w:rFonts w:ascii="Times New Roman" w:hAnsi="Times New Roman"/>
          <w:color w:val="0070C0"/>
          <w:sz w:val="16"/>
          <w:szCs w:val="16"/>
        </w:rPr>
        <w:t>« 112</w:t>
      </w:r>
      <w:proofErr w:type="gramEnd"/>
      <w:r w:rsidRPr="008A2E5A">
        <w:rPr>
          <w:rFonts w:ascii="Times New Roman" w:hAnsi="Times New Roman"/>
          <w:color w:val="0070C0"/>
          <w:sz w:val="16"/>
          <w:szCs w:val="16"/>
        </w:rPr>
        <w:t xml:space="preserve"> В.В. Крылов направил директору завода Д.В. Михалеву докладную записку, в которой подробно изложил «перечень мероприятий, необходимых для обеспечения продуктивной и качественной работы Конструкторского отдела по машине А-34». Он просил </w:t>
      </w:r>
      <w:r w:rsidRPr="008A2E5A">
        <w:rPr>
          <w:rFonts w:ascii="Times New Roman" w:hAnsi="Times New Roman"/>
          <w:color w:val="0070C0"/>
          <w:sz w:val="16"/>
          <w:szCs w:val="16"/>
        </w:rPr>
        <w:lastRenderedPageBreak/>
        <w:t>сохранить существующий личный состав и штат коллектива, прекратить практикующееся снятие конструкторов с выполнения их непосредственных обязанностей и перевода их на хозяйственную и партийную работу «в цехах завода и даже вне завода» (ГОПАНО. Ф. 1244. Оп. 4. Д. 65. Л. 2.).</w:t>
      </w:r>
    </w:p>
    <w:p w14:paraId="37293A10"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привел динамику численности коллектива отдела: 1940 г. - 458 человек, из них 303 человека ИТР, в январе 1941г. - 359 человек, из них 252 ИТР, в январе 1942-го уже 256, из них инженерно-технических работников - всего 79 человек. В.В. Крылов писал, что в настоящее время «работа К.О. по переработке конструкций и упрощения машины идет, в основном, по внутренним наметкам бюро, причем, как правило, каких-либо перспективных заданий от Заводоуправления и от его отделов - бюро не получает. Бюро могло бы повысить свою полезную отдачу по производству, получив конкретный план по отдельным сложным в производстве узлам и агрегатам, сосредоточив на них всю свою работу» (ГОПАНО. Ф. 1244. Оп. 4. Д. 65. Л. 2.).</w:t>
      </w:r>
    </w:p>
    <w:p w14:paraId="43A55613"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 Крылов указал на необходимость «всемерно форсировать устройство стенда для отработки мероприятий по снижению температурного режима мотора М-17 в летнее время» (ГОПАНО. Ф. 1244. Оп. 4. Д. 65. Л. 3.). Речь шла о создании постоянной экспериментальной базы завода в пустующем здании старой кислородной станции (ГОПАНО. Ф.</w:t>
      </w:r>
      <w:r w:rsidRPr="008A2E5A">
        <w:rPr>
          <w:rFonts w:ascii="Times New Roman" w:hAnsi="Times New Roman"/>
          <w:color w:val="0070C0"/>
          <w:sz w:val="16"/>
          <w:szCs w:val="16"/>
        </w:rPr>
        <w:tab/>
        <w:t>1244. Оп. 4. Д. 65. Л. 3.</w:t>
      </w:r>
      <w:proofErr w:type="gramStart"/>
      <w:r w:rsidRPr="008A2E5A">
        <w:rPr>
          <w:rFonts w:ascii="Times New Roman" w:hAnsi="Times New Roman"/>
          <w:color w:val="0070C0"/>
          <w:sz w:val="16"/>
          <w:szCs w:val="16"/>
        </w:rPr>
        <w:t>) .</w:t>
      </w:r>
      <w:proofErr w:type="gramEnd"/>
      <w:r w:rsidRPr="008A2E5A">
        <w:rPr>
          <w:rFonts w:ascii="Times New Roman" w:hAnsi="Times New Roman"/>
          <w:color w:val="0070C0"/>
          <w:sz w:val="16"/>
          <w:szCs w:val="16"/>
        </w:rPr>
        <w:t xml:space="preserve"> Он предложил оборудовать в помещении конструкторского отдела макет моторного отсека машины и план размером 3*2 метра, что позволило бы сократить время на отработку конструктивных решений. В.В. Крылов писал: «Необходимо для конструкторов провести, в порядке повышения их квалификации, краткий курс лекций (10-12) по Т-34. Лекции должны ознакомить конструкторов с основными принципами конструирования и расчета отдельных узлов по машине, а также с основами общего проектирования танков и данными по эксплуатации Т-34. Лекции по этим вопросам м[огут] б[ыть] прочитаны лицами, работавшими ранее на заводе № 183 или представителями заказчика» (ГОПАНО. Ф. 1244. Оп. 4. Д 65. Л. 4.).</w:t>
      </w:r>
    </w:p>
    <w:p w14:paraId="38E3DDB6"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 г. было внедрено 86 предложений конструкторов с годовой экономией до 13 миллионов рублей (ЦАНО. Ф. Р-15. Оп. 4. Д. 183. Л. 14.). Отработка новых конструкций по танку Т-34 для повышения качества и тактико-технических показателей велась по линии нового проектирования, разработки и внедрения рабочих чертежей новых узлов и деталей танка. Из них выделялись разработка чертежей штампованного трака без гребня и трака унифицированного типа, увеличенная боеукладка (предложение конструктора С.Н. Якимовского), огнеметная система АТО-41 с увеличенным вдвое резервуаром (ЦАНО. Ф. Р-15. Оп. 4. Д. 183. Л. 14об.).</w:t>
      </w:r>
    </w:p>
    <w:p w14:paraId="18BD5B8C"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Конструкторская работа на заводе, тем не менее, еще требовала к себе внимания. В отчете за 1942 г. говорилось, что «опытные и исследовательские работы на заводе почти не были организованы» (ЦАНО. Ф. Р-15. Оп. 4. Д. 183. Л. 14об.). Только во втором полугодии была организована экспериментальная база (цех № 50), имеющая пять опытных танков. За год было выполнено 109 опытных работ, в частности, проведены совместно с Главным автобронетанковым управлением Красной армии большие полигонные испытания корпуса и башни (ЦАНО. Ф. Р-15. Оп. 4. Д. 183. Л. 14об. -15.). Это резко улучшило конструкторскую базу предприятия.</w:t>
      </w:r>
    </w:p>
    <w:p w14:paraId="336DC7D3"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производственно-конструкторская работа проводилась по основным разделам: работа по чертежам серийного производства, новые конструкции и модернизация машин, экспериментальные работы, обследование производственных неполадок и аварий узлов машины, систематический контроль качества и другие работы.</w:t>
      </w:r>
    </w:p>
    <w:p w14:paraId="1597CBD0"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наиболее крупных изменений выделим: новый профиль балки носа, броневые детали из полосового проката без обработки, сварной подмоторный фундамент, коуши, сварные трубы балансиров, литое ведущее колесо, усиленный кривошип ленивца, установку спидометра, мероприятия по устранению течи малой бортовой передачи и др., установку рации в огнеметные машины; новое танковое переговорное устройство ТПУ-4.</w:t>
      </w:r>
    </w:p>
    <w:p w14:paraId="7B729C16"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Были внедрены усиление крепления поводковой передачи КПП, сервоуправление главного фрикциона, защита пулемета радиста, огнемет АТО с увеличенным резервуаром и приводом от водителя (ЦАНО. Ф.Р-15. Оп. 4. Д. 234. Л. 16об.).</w:t>
      </w:r>
    </w:p>
    <w:p w14:paraId="76DAFAAA"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Экспериментальная работа проводилась в цехе № 50 конструкторского отдела. Наиболее крупными работами 1943 г. были: отработка и испытание нового танка подводного хождения; систематические испытания траков серийного производства; стендовые испытания масляных радиаторов и обследование температурного режима машин (ЦАНО. Ф.Р-15. Оп. 4. Д. 234. Л. 17.). Выпускаемые машины систематически проверялись на 300 км пробега и гарантийных пробегах. Производилось регулярное взвешивание выпускаемых танков (ЦАНО. Ф.Р-15. Оп. 4. Д. 234. Л. 17.).</w:t>
      </w:r>
    </w:p>
    <w:p w14:paraId="49CF4391"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 конструкторов в 1943 г. стабилизировался, технически вырос. Работа конструкторов неоднократно отмечалась приказами по Наркомату. В январе 1944 г. группа ведущих конструкторов в числе 11 человек была награждена Указом Президиума Верховного Совета Союза ССР за образцовое выполнение задания Правительства по усовершенствованию конструкции и улучшению боевых качеств танка Т-34 и достигнутые успехи в создании отличной боевой машины для Красной армии орденами Советского Союза (ЦАНО. Ф.Р-15. Оп. 4. Д. 234. Л. 17.).</w:t>
      </w:r>
    </w:p>
    <w:p w14:paraId="2F5FFC9A"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1944 г. конструкторские работы проводились по линии изменений в серийные машины Т-34-85 с целью устранения аварийных узлов, снижения трудоемкости и повышения качества деталей и узлов танка. За год было внесено 361 изменение по документации головного завода и 323 изменения по внутризаводским требованиям производства, подробности приведены в приложении № 13.</w:t>
      </w:r>
    </w:p>
    <w:p w14:paraId="106A5B24" w14:textId="77777777" w:rsidR="002768EF" w:rsidRPr="008A2E5A" w:rsidRDefault="002768EF" w:rsidP="002768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крупными изменениями были: 1) корпус и оборудование: снижение сортности проката; унификация полосы и угольника; пересмотр всех корпусных чертежей и снижение объема работ по заточке и шлифовке кромок; машинная формовка люка механика-водителя; 2) башня и вооружение: устранение дефектов, выявленных в поворотных механизмах; повышение скорострельности пушки; улучшение вентиляции; дублирование устройства для поворота башни, что улучшило управление огнем и поворота башни; модернизация башни с целью увеличения её бронестойкости; расширенный погон с системой «С-53»; утолщение башни; усиление защиты пушки «С-53»; 3) ходовая часть: маслоотбрасывающие кольца в узле малой бортовой передачи, дало снижение течи сальников; изменение посадки кривошипа ленивца с целью устранения задира шейки кривошипа и кронштейна.; 4) электро- и радиооборудование: перенос радиостанции из корпуса в башню; замена радиостанции 9РМ на 9РС; улучшение вентиляции башни введением двух вентиляторов повышенного напряжения улучшило условия эксплуатации оборудования; 5) моторная установка: монтаж воздухоочистителя «Мультициклон»; новая конструкция редукционного клапана масляного радиатора (ЦАНО. Ф.Р-15. Оп. 4. Д. 273. Л. 11об.) (23540).</w:t>
      </w:r>
    </w:p>
    <w:p w14:paraId="5B373A96" w14:textId="77777777" w:rsidR="002768EF" w:rsidRPr="008A2E5A" w:rsidRDefault="002768EF" w:rsidP="002768EF">
      <w:pPr>
        <w:spacing w:after="0" w:line="240" w:lineRule="auto"/>
        <w:jc w:val="both"/>
        <w:rPr>
          <w:rFonts w:ascii="Times New Roman" w:hAnsi="Times New Roman"/>
          <w:color w:val="0070C0"/>
          <w:sz w:val="16"/>
          <w:szCs w:val="16"/>
        </w:rPr>
      </w:pPr>
    </w:p>
    <w:p w14:paraId="33AE4A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1163 О Московском тормозном заводе. РГАНИР, Фонд ГКО, д. 19, лл. 149 (11012).</w:t>
      </w:r>
    </w:p>
    <w:p w14:paraId="405FD2D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72995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1164 Об изменении п. 17 и 18 постановления ГКО от 23 ноября. 1941 № 955 о дополнительном выделении рабочим заводов № 172, 8, 235, 221 и 92 НКВ продовольствия. РГАНИР, Фонд ГКО, д. 19, лл. 150 (11012).</w:t>
      </w:r>
    </w:p>
    <w:p w14:paraId="516846B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86D89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1165 О восстановлении производства малолитражных двигателей внутреннего сгорания для военных радиостанций и прожекторных установок. РГАНИР, Фонд ГКО, д. 19, лл. 151-153 (11012).</w:t>
      </w:r>
    </w:p>
    <w:p w14:paraId="0D4AC8E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90AB9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1169 О возвращении в Москву арсенала № 4. РГАНИР, Фонд ГКО, д. 19, лл. 157 (11012).</w:t>
      </w:r>
    </w:p>
    <w:p w14:paraId="7B75DE0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3D3AA0D"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16 января 1942 года вышел приказ № 22с НКБ (Челябинск).</w:t>
      </w:r>
    </w:p>
    <w:p w14:paraId="1A2FAA2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 дополнение к приказу НКБ № 1-сс от 2 января 1942 года</w:t>
      </w:r>
    </w:p>
    <w:p w14:paraId="319ECC78"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Ликвидировать дирекцию завода № 576.</w:t>
      </w:r>
    </w:p>
    <w:p w14:paraId="3416E392"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Режский механический завод оставить в непосредственном подчинении 3-го Гл. управления НКБ с присвоением ему номера 552 (5753, 131).</w:t>
      </w:r>
    </w:p>
    <w:p w14:paraId="6D2538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года приказом НКВ за № 54с на базе эвакуированного завода № 66 был вновь организован завод № 535.</w:t>
      </w:r>
    </w:p>
    <w:p w14:paraId="48058A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изделия освоенные и выпускаемые заводом</w:t>
      </w:r>
    </w:p>
    <w:p w14:paraId="1795B5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1916 год – пулемет «Максим»</w:t>
      </w:r>
    </w:p>
    <w:p w14:paraId="6557700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1924 год – прядильные машины для текстильной промышленности</w:t>
      </w:r>
    </w:p>
    <w:p w14:paraId="6672A3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1930 год – металлорежущие станки, пулемет Шкас</w:t>
      </w:r>
    </w:p>
    <w:p w14:paraId="56E6EF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1938 год – автоматические пушки системы Березина калибра 20 мм, Б-20, БС, БТ</w:t>
      </w:r>
    </w:p>
    <w:p w14:paraId="747F45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1939 год - автоматические 23 мм пушки ВЯ</w:t>
      </w:r>
    </w:p>
    <w:p w14:paraId="51A332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1940 год – станки</w:t>
      </w:r>
    </w:p>
    <w:p w14:paraId="7CDA5C1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год – специальные станки для оборонной промышленности</w:t>
      </w:r>
    </w:p>
    <w:p w14:paraId="600B1B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 год – минометы калибра 80, 120 мм, мины к ним</w:t>
      </w:r>
    </w:p>
    <w:p w14:paraId="253CD5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 год – прядильные машины</w:t>
      </w:r>
    </w:p>
    <w:p w14:paraId="29DC67D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1947 год – глубинные нефтяные насосы, чулочные автоматы</w:t>
      </w:r>
    </w:p>
    <w:p w14:paraId="0788819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 – морские спаренные установки 2М-3М</w:t>
      </w:r>
    </w:p>
    <w:p w14:paraId="1AE059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 – детские велосипеды</w:t>
      </w:r>
    </w:p>
    <w:p w14:paraId="2BD8F6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 – авиапушки АМ-23, агрегатные станки</w:t>
      </w:r>
    </w:p>
    <w:p w14:paraId="3D6628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 – мотороллеры</w:t>
      </w:r>
    </w:p>
    <w:p w14:paraId="133BD7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1959 год - морские спаренные установки АК-230</w:t>
      </w:r>
    </w:p>
    <w:p w14:paraId="79B98D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1960 год – алмазно-расточные станки</w:t>
      </w:r>
    </w:p>
    <w:p w14:paraId="5E6C65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1964 год – автоматические пушки, гранатометы (10274).</w:t>
      </w:r>
    </w:p>
    <w:p w14:paraId="7F7CFC9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8F20FF4"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16 января 1942 года приказ Наркома В. А. Малышева № 117мс (РГАЭ. Ф. 8752. Оп. 4. Д. 82. Л. 1-2) признаёт, что проведение мер по снижению трудоёмкости производства сталкивалось с существенными трудностями. Тяжелые условия, в которых налаживалось производство, нехватка оборудования, недостаток рабочей силы создавали множество трудностей, и многие директора надеялись преодолеть их благодаря помощи из Центра. Но высшее руководство само не располагало значительными ресурсами и не могло дать всё то, что от него надеялись получить. Руководству на местах необходимо было лучше использовать собственные ресурсы, эффективно задействовать то оборудование и тех рабочих, которые уже были в их распоряжении, а не надеяться на решение всех их проблем присылкой необходимого по приказу из Москвы. Для того, чтобы ориентировать руководство заводов на выполнение стоящих перед ними задач за счёт более эффективной организации производства, а не за счёт одного только количественного роста задействованного оборудования и людей (тем более что возможности такого роста уже исчерпались), и был издан этот приказ. Начинается он с анализа сложившейся обстановки: «В последние месяцы многие директора и главные инженеры заводов не уделяют должного внимания вопросам усовершенствования технологии, внедрения новых, более прогрессивных технологических процессов, увеличению количества приспособлений и пр., в результате чего трудоёмкость изготовления машин на отдельных заводах непомерно велика, а это вызывает излишнюю потребность в станках и рабочей силе. ... Ясно, что многие директора и главные инженеры заводов вместо кропотливой работы по снижению затрат на изготовление машин, вместо наведения порядка в технологии, в использовании станков, в обучении рабочих идут по пути наименьшего сопротивления и хотят выполнять план только за счёт увеличения количества станков и рабочих. Такую расточительную работу наркомат поддерживать не может и не будет» (РГАЭ. Ф. 8752. Оп. 4. Д. 82. Л. 1-2).</w:t>
      </w:r>
    </w:p>
    <w:p w14:paraId="795AF65A"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того, чтобы снизить трудоёмкость производства, В. А. Малышев считал необходимым перенести на все предприятия НКТП </w:t>
      </w:r>
      <w:proofErr w:type="gramStart"/>
      <w:r w:rsidRPr="008127F8">
        <w:rPr>
          <w:rFonts w:ascii="Times New Roman" w:hAnsi="Times New Roman"/>
          <w:color w:val="000000" w:themeColor="text1"/>
          <w:sz w:val="16"/>
          <w:szCs w:val="16"/>
        </w:rPr>
        <w:t>опыт</w:t>
      </w:r>
      <w:proofErr w:type="gramEnd"/>
      <w:r w:rsidRPr="008127F8">
        <w:rPr>
          <w:rFonts w:ascii="Times New Roman" w:hAnsi="Times New Roman"/>
          <w:color w:val="000000" w:themeColor="text1"/>
          <w:sz w:val="16"/>
          <w:szCs w:val="16"/>
        </w:rPr>
        <w:t xml:space="preserve"> успешно совершенствующих технологию производства заводов. Для этого он требовал составить нормы трудоёмкости для всех производимых типов танков, корпусов и двигателя В-2, взяв за основу нормы самых эффективных заводов, и в дальнейшем все расчёты потребности в рабочей силе и оборудовании вести по этим нормам. Технический отдел НКТП должен был обеспечить необходимый обмен информацией между заводами. Директора и главные инженеры заводов должны были:</w:t>
      </w:r>
    </w:p>
    <w:p w14:paraId="31A9DE7F"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декадный срок произвести тщательный пересмотр завышенных норм и разработать конкретные меры по улучшению технологии производства, с целью снижения трудоёмкости;</w:t>
      </w:r>
    </w:p>
    <w:p w14:paraId="5CC97518"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заставить как следует работать существующие на заводах технические и технологические отделы и отделы нормирования труда. Предупредить руководителей этих отделов, что их работа будет оцениваться по результатам снижения трудоёмкости машин, а не по количеству составленных ими заявок на новые станки и дополнительную рабочую силу» (РГАЭ. Ф. 8752. Оп. 4. Д. 82. Л. 1-2).</w:t>
      </w:r>
    </w:p>
    <w:p w14:paraId="379DF415"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приказа В. А. Малышев указывал следующее: «Ещё раз предупреждаю директоров и главных инженеров заводов, что в условиях войны нужна строжайшая экономия в станках и рабочей силе.</w:t>
      </w:r>
    </w:p>
    <w:p w14:paraId="41A9A5B7"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 (РГАЭ. Ф. 8752. Оп. 4. Д. 82. Л. 1-2) (12290).</w:t>
      </w:r>
    </w:p>
    <w:p w14:paraId="24474063" w14:textId="77777777" w:rsidR="00A23882" w:rsidRPr="008127F8" w:rsidRDefault="00A23882" w:rsidP="001E0A84">
      <w:pPr>
        <w:spacing w:after="0" w:line="240" w:lineRule="auto"/>
        <w:jc w:val="both"/>
        <w:rPr>
          <w:rFonts w:ascii="Times New Roman" w:hAnsi="Times New Roman"/>
          <w:color w:val="000000" w:themeColor="text1"/>
          <w:sz w:val="16"/>
          <w:szCs w:val="16"/>
        </w:rPr>
      </w:pPr>
    </w:p>
    <w:p w14:paraId="5C7DE6D0" w14:textId="77777777" w:rsidR="00A23882" w:rsidRPr="008127F8" w:rsidRDefault="00A23882"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1156 О сдаче трофейного имущества [гражданами]. (7020, 138-139).</w:t>
      </w:r>
    </w:p>
    <w:p w14:paraId="650C9306" w14:textId="77777777" w:rsidR="00A23882" w:rsidRPr="008127F8" w:rsidRDefault="00A23882" w:rsidP="001E0A84">
      <w:pPr>
        <w:pStyle w:val="Iauiue"/>
        <w:tabs>
          <w:tab w:val="left" w:pos="11199"/>
        </w:tabs>
        <w:jc w:val="both"/>
        <w:rPr>
          <w:color w:val="000000" w:themeColor="text1"/>
          <w:sz w:val="16"/>
          <w:szCs w:val="16"/>
        </w:rPr>
      </w:pPr>
    </w:p>
    <w:p w14:paraId="2E7148BD"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16 января 1942 года вышло постановление ГОСУДАРСТВЕННОГО КОМИТЕТА ОБОРОНЫ № ГКО-1156 О СДАЧЕ ТРОФЕЙНОГО ИМУЩЕСТВА</w:t>
      </w:r>
    </w:p>
    <w:p w14:paraId="4B00424B"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 xml:space="preserve">Не для публикации </w:t>
      </w:r>
    </w:p>
    <w:p w14:paraId="63FC0399"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Государственный Комитет Обороны постановляет:</w:t>
      </w:r>
    </w:p>
    <w:p w14:paraId="5622E1F1"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1. Обязать всех граждан, проживающих в освобожденных Красной Армией населенных пунктах, все брошенное противником и подобранное огнестрельное и холодное оружие, боеприпасы, противогазы, обмундирование, обувь, людское и конское снаряжение, автотранспорт, повозки, продовольствие, фураж и прочее военное имущество, а также имущество, принадлежавшее частям Красной Армии, советским, общественным организациям и частным лицам и присвоенное гражданами во время немецкой оккупации, сдавать в 24 часа воинским частям, органам НКВД или местным органам власти по принадлежности.</w:t>
      </w:r>
    </w:p>
    <w:p w14:paraId="1342C0D5"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Оружие, боеприпасы, автотранспорт, повозки, обмундирование, снаряжение и другое военное имущество сдавать войсковым частям или органам НКВД; прочее имущество — органам местной власти.</w:t>
      </w:r>
    </w:p>
    <w:p w14:paraId="02EC5C89"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2. Органам местной власти о собранном вооружении, боеприпасах и прочем военном имуществе немедленно сообщать органам НКВД или в ближайшую воинскую часть, организовав на месте его охрану.</w:t>
      </w:r>
    </w:p>
    <w:p w14:paraId="40A6AD3D"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3. Лица, не сдавшие в установленный срок огнестрельное и холодное оружие, боеприпасы, подлежат ответственности по ст. 182 Уголовного Кодекса, а в случае злостного уклонения от сдачи — по ст. 58, п. 14 Уголовного Кодекса РСФСР и соответствующим статьям Уголовного Кодекса других союзных республик.</w:t>
      </w:r>
    </w:p>
    <w:p w14:paraId="5550E337"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Лица, виновные в порче оружия, боеприпасов, военного имущества, а также в уклонении от сдачи прочего имущества, указанного в ст. 1 настоящего постановления, подлежат штрафу до 3000 рублей или лишению свободы сроком на шесть месяцев, а в случаях злостной порчи или злостного уклонения от сдачи имущества привлекаются к уголовной ответственности по ст. 58, п. 14 Уголовного Кодекса РСФСР и соответствующим статьям Уголовного Кодекса других союзных республик.</w:t>
      </w:r>
    </w:p>
    <w:p w14:paraId="1B298E99" w14:textId="77777777" w:rsidR="00A23882" w:rsidRPr="008127F8" w:rsidRDefault="00A23882" w:rsidP="001E0A84">
      <w:pPr>
        <w:pStyle w:val="Iauiue"/>
        <w:jc w:val="both"/>
        <w:rPr>
          <w:color w:val="000000" w:themeColor="text1"/>
          <w:sz w:val="16"/>
          <w:szCs w:val="16"/>
        </w:rPr>
      </w:pPr>
      <w:r w:rsidRPr="008127F8">
        <w:rPr>
          <w:color w:val="000000" w:themeColor="text1"/>
          <w:sz w:val="16"/>
          <w:szCs w:val="16"/>
        </w:rPr>
        <w:t>4. При занятии частями Красной Армии населенных пунктов военному командованию соединений Красной Армии издавать обязательные постановления в соответствии с настоящим постановлением Государственного Комитета Обороны.</w:t>
      </w:r>
    </w:p>
    <w:p w14:paraId="2450405A" w14:textId="77777777" w:rsidR="00A23882" w:rsidRPr="008127F8" w:rsidRDefault="00A23882" w:rsidP="001E0A84">
      <w:pPr>
        <w:pStyle w:val="Iauiue"/>
        <w:jc w:val="both"/>
        <w:rPr>
          <w:color w:val="000000" w:themeColor="text1"/>
          <w:sz w:val="16"/>
          <w:szCs w:val="16"/>
        </w:rPr>
      </w:pPr>
      <w:r w:rsidRPr="008127F8">
        <w:rPr>
          <w:iCs/>
          <w:color w:val="000000" w:themeColor="text1"/>
          <w:sz w:val="16"/>
          <w:szCs w:val="16"/>
        </w:rPr>
        <w:t xml:space="preserve">Председатель Государственного Комитета Обороны И. СТАЛИН </w:t>
      </w:r>
      <w:r w:rsidRPr="008127F8">
        <w:rPr>
          <w:color w:val="000000" w:themeColor="text1"/>
          <w:sz w:val="16"/>
          <w:szCs w:val="16"/>
        </w:rPr>
        <w:t>(9844).</w:t>
      </w:r>
    </w:p>
    <w:p w14:paraId="35C17C16" w14:textId="77777777" w:rsidR="00A23882" w:rsidRPr="008127F8" w:rsidRDefault="00A23882" w:rsidP="001E0A84">
      <w:pPr>
        <w:pStyle w:val="Iauiue"/>
        <w:jc w:val="both"/>
        <w:rPr>
          <w:color w:val="000000" w:themeColor="text1"/>
          <w:sz w:val="16"/>
          <w:szCs w:val="16"/>
        </w:rPr>
      </w:pPr>
    </w:p>
    <w:p w14:paraId="5AC22518" w14:textId="77777777" w:rsidR="00A23882" w:rsidRPr="008127F8" w:rsidRDefault="00A23882"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1157 [О мерах по улучшению продовольственного и горючего снабжения в ДА.] (7020, 140-141).</w:t>
      </w:r>
    </w:p>
    <w:p w14:paraId="6515E009" w14:textId="77777777" w:rsidR="00A23882" w:rsidRPr="008127F8" w:rsidRDefault="00A23882" w:rsidP="001E0A84">
      <w:pPr>
        <w:pStyle w:val="Iauiue"/>
        <w:tabs>
          <w:tab w:val="left" w:pos="11199"/>
        </w:tabs>
        <w:jc w:val="both"/>
        <w:rPr>
          <w:color w:val="000000" w:themeColor="text1"/>
          <w:sz w:val="16"/>
          <w:szCs w:val="16"/>
        </w:rPr>
      </w:pPr>
    </w:p>
    <w:p w14:paraId="13409CB4" w14:textId="77777777" w:rsidR="00A23882" w:rsidRPr="008127F8" w:rsidRDefault="00A23882"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1158 О ремонте и восстановлении трофейных автомашин, тягачей и мотоциклов. (7020, 142-143).</w:t>
      </w:r>
    </w:p>
    <w:p w14:paraId="30C85A4B" w14:textId="77777777" w:rsidR="00A23882" w:rsidRPr="008127F8" w:rsidRDefault="00A23882" w:rsidP="001E0A84">
      <w:pPr>
        <w:pStyle w:val="Iauiue"/>
        <w:tabs>
          <w:tab w:val="left" w:pos="11199"/>
        </w:tabs>
        <w:jc w:val="both"/>
        <w:rPr>
          <w:color w:val="000000" w:themeColor="text1"/>
          <w:sz w:val="16"/>
          <w:szCs w:val="16"/>
        </w:rPr>
      </w:pPr>
    </w:p>
    <w:p w14:paraId="113CABDE" w14:textId="77777777" w:rsidR="00A23882" w:rsidRPr="008127F8" w:rsidRDefault="00A2388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1160 О формировании дорожно-строительных и мостостроительных батальонов. РГАНИР, Фонд ГКО, д. 19, лл. 145 (11012).</w:t>
      </w:r>
    </w:p>
    <w:p w14:paraId="5F9A1519" w14:textId="77777777" w:rsidR="00A23882" w:rsidRPr="008127F8" w:rsidRDefault="00A23882" w:rsidP="001E0A84">
      <w:pPr>
        <w:spacing w:after="0" w:line="240" w:lineRule="auto"/>
        <w:jc w:val="both"/>
        <w:rPr>
          <w:rFonts w:ascii="Times New Roman" w:hAnsi="Times New Roman"/>
          <w:color w:val="000000" w:themeColor="text1"/>
          <w:sz w:val="16"/>
          <w:szCs w:val="16"/>
        </w:rPr>
      </w:pPr>
    </w:p>
    <w:p w14:paraId="35285BC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685629F3" w14:textId="77777777" w:rsidR="00D4651C" w:rsidRPr="008127F8" w:rsidRDefault="00D4651C" w:rsidP="001E0A84">
      <w:pPr>
        <w:pStyle w:val="Iauiue"/>
        <w:jc w:val="both"/>
        <w:rPr>
          <w:iCs/>
          <w:color w:val="000000" w:themeColor="text1"/>
          <w:sz w:val="16"/>
          <w:szCs w:val="16"/>
        </w:rPr>
      </w:pPr>
    </w:p>
    <w:p w14:paraId="4C9439C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6D7858D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16 января наши войска продолжали вести активные боевые действия против немецко-фашистских войск.</w:t>
      </w:r>
    </w:p>
    <w:p w14:paraId="3CF5CF2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Преследуя противника, бойцы тов. Говорова (Западный фронт) заняли 4 важных населённых пункта и захватили 2 вражеские танкетки, 6 орудий, 13 автоцистерн, 11 различных автомашин, 4 станковых пулемёта, 2 радиостанции, несколько тракторов и другие трофеи. На другом участке бойцы тов. Ефремова, преодолевая упорное сопротивление противника, овладели 5 населёнными пунктами и захватили 3 танка, 22 орудия, 16 пулемётов, 28 миномётов, 53 автомашины, 78 велосипедов, 2 радиостанции и другое военное имущество.</w:t>
      </w:r>
    </w:p>
    <w:p w14:paraId="3D19064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из частей тов. Федюнинского (Ленинградский фронт) в бою с противником уничтожила 2 орудия, 4 повозки с боеприпасами и вражеский наблюдательный пункт. Гитлеровцы потеряли убитыми 280 солдат и офицеров.</w:t>
      </w:r>
    </w:p>
    <w:p w14:paraId="041295F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Одманов в разгаре боя заметил, что расчёт одного из пулемётов вышел из строя. Командир лёг за пулемёт. Метким огнём пулемёта тов. Одманов уничтожил во время боя 40 немецких солдат. Вскоре пулемёт был подбит. Гитлеровцы окружили тов. Одманова. Тогда он взял винтовку и меткими выстрелами убил ещё офицера и 5 солдат. Воспользовавшись наступившей темнотой, отважный командир возвратился в свою часть, доставив туда двух раненых бойцов.</w:t>
      </w:r>
    </w:p>
    <w:p w14:paraId="58107CE6"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крымских партизан под командованием тов. П. атаковал отступающие от Керчи гитлеровские части. Партизаны обстреляли немцев из пулемётов и забросали их гранатами. Противник в панике бежал, оставив на поле боя 120 трупов, 6 автомашин, 20 повозок с имуществом и боеприпасами, автобус с радиостанцией, 2 станковых пулемёта, 5 мотоциклов, много автоматов, винтовок и патронов.</w:t>
      </w:r>
    </w:p>
    <w:p w14:paraId="0B945EAC"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Унтер-офицер Г. Вейнер недавно писал с советско-германского фронта Альфреду Шеферу: «Тяжёлые у нас дни. Подумай только: Людвиг Франц убит. Да, ряды старых солдат всё редеют и редеют. В один день я потерял двух товарищей из моего отделения. Нервы мои совсем сдали. Ной-гебауэр тяжело ранен. Фельдфебели Флейсиг, Сарсен и </w:t>
      </w:r>
      <w:proofErr w:type="gramStart"/>
      <w:r w:rsidRPr="008127F8">
        <w:rPr>
          <w:rFonts w:ascii="Times New Roman" w:hAnsi="Times New Roman"/>
          <w:color w:val="000000" w:themeColor="text1"/>
          <w:sz w:val="16"/>
          <w:szCs w:val="16"/>
        </w:rPr>
        <w:t>Шнайдер</w:t>
      </w:r>
      <w:proofErr w:type="gramEnd"/>
      <w:r w:rsidRPr="008127F8">
        <w:rPr>
          <w:rFonts w:ascii="Times New Roman" w:hAnsi="Times New Roman"/>
          <w:color w:val="000000" w:themeColor="text1"/>
          <w:sz w:val="16"/>
          <w:szCs w:val="16"/>
        </w:rPr>
        <w:t xml:space="preserve"> и обер-фельдфебель Ростерман из старой первой роты тоже убиты. Погиб также и наш последний командир батальона подполковник Вальтер. Ранены Анфт, Бортуш и Коблишек. Мущик, Каскер, Лейбцель и Канрост убиты».</w:t>
      </w:r>
    </w:p>
    <w:p w14:paraId="56009B2A"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ефрейтору Рейнгольду Букаарту пишет приятель из Берлина: «Питание очень плохое, поэтому у организма слабая сопротивляемость. При малейшей перемене погоды простуживаешься. Досыта наесться никогда не приходится, поэтому и к работе нет охоты».</w:t>
      </w:r>
    </w:p>
    <w:p w14:paraId="704D7A5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Ненависть финского населения к немцам, поработившим страну, с каждым днём усиливается. 3 января в районе города Суоярви произошло побоище между финскими и немецкими солдатами. Драка, в результате которой было убито и ранено 27 человек, прекращена комендантской ротой, применившей оружие.</w:t>
      </w:r>
    </w:p>
    <w:p w14:paraId="675A4A0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забойщик Кафанских рудников (Армения) тов. Бабаян выполнил дневной план добычи руды на 1.062 процента, а бурщик рудника имени Шаумяна тов. Габриелян — на 1.799 процентов. 11 января шахтёр Шамлугских рудников</w:t>
      </w:r>
    </w:p>
    <w:p w14:paraId="0DD67E82"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Михаил Сорокин сменную норму выполнил на 1.960 процентов, а бурщик этих же рудников Абас Абульягаз — на 1.495 процентов (15011).</w:t>
      </w:r>
    </w:p>
    <w:p w14:paraId="78BFE8C9"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7552639F"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74C4CDA9"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течение 16 января наши войска продолжали продвигаться вперёд, ломая сопротивление немецко-фашистских войск. На отдельных участках противник предпринял контратаки, которые были отбиты с большими для него потерями. Наши части заняли несколько населённых пунктов.</w:t>
      </w:r>
    </w:p>
    <w:p w14:paraId="3D12B2D2"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января уничтожено 45 немецких самолётов. Наши потери—14 самолётов.</w:t>
      </w:r>
    </w:p>
    <w:p w14:paraId="116307D2"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января части нашей авиации уничтожили 6 немецких танков, 155 автомашин с пехотой и грузами, около 70 повозок с боеприпасами, 5 автоцистерн с горючим, разрушили железнодорожный мост, подожгли два склада с боеприпасами и один склад с горючим, рассеяли и частью истребили 6 батальонов пехоты противника.</w:t>
      </w:r>
    </w:p>
    <w:p w14:paraId="1F2FBB7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Кузнецова (Западный фронт) за один день уничтожили 4 вражеских танка и захватили 5 орудий, 5 пулемётов, 60 автомашин и другие трофеи. На другом участке наша стрелковая часть уничтожила две роты пехоты противника и захватила большой обоз с боеприпасами и снаряжением, танк, 4 противотанковых ружья, несколько пулемётов и автоматов.</w:t>
      </w:r>
    </w:p>
    <w:p w14:paraId="053866BB"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освобождённом от немецких оккупантов городе Кирове наши части захватили 36 паровозов, 110 вагонов, 56 платформ, в том числе 7 платформ с разобранными самолётами, 25 вагонов с боеприпасами и много другого военного имущества.</w:t>
      </w:r>
    </w:p>
    <w:p w14:paraId="5FC9CFE0"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гитлеровцы, получив подкрепление, перешли в контратаку. Наша часть задержала немцев пулемётным и миномётным огнём, а затем нанесла врагу сокрушительные фланговые удары. Гитлеровцы в беспорядке отступили, оставив на поле боя 300 трупов. Преследуя отступающего противника, наши бойцы заняли один населённый пункт.</w:t>
      </w:r>
    </w:p>
    <w:p w14:paraId="5C38AA3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советских разведчиков во главе с капитаном Гордюковым совершила смелый налёт на деревню М. Захваченные врасплох немцы бежали из деревни, оставив на поле боя 20 убитых солдат, 2 миномёта и 30 винтовок.</w:t>
      </w:r>
    </w:p>
    <w:p w14:paraId="04E660F7"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Взвод автоматчиков-кавалеристов младшего командира Пухальского уничтожил в уличных боях в деревне Малиновка вражескую пехотную роту.</w:t>
      </w:r>
    </w:p>
    <w:p w14:paraId="15228F91"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лесах Карелии отважно громит белофинских бандитов партизанский отряд тов. М. На днях партизаны устроили засаду на дороге и за несколько часов уничтожили 4 автомашины с различным военным имуществом, одну бронемашину и перебили 46 финнов и немцев, в том числе трёх офицеров.</w:t>
      </w:r>
    </w:p>
    <w:p w14:paraId="69EA6B1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Накануне нового года немецкий обер-ефрейтор Фриц Лейтман писал своему брату: «Как ты, наверное, слышал, русские прорвали средний участок фронта. Это было как раз у нас. Они захватили все орудия. Большинство наших погибло. Это была очень печальная картина. 15 дивизия полностью разгромлена. Мы продолжаем отступать. Сегодня канун нового года, а я должен был пролежать больше четырёх часов в глубоком снегу, чтобы спастись от русских пуль. Нас осталась небольшая кучка».</w:t>
      </w:r>
    </w:p>
    <w:p w14:paraId="611C35A3"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3 роты 502 немецкого строительного батальона Эрих Придикейт показал: «От последних морозов пострадали все солдаты батальона. Каждый из них отморозил что-либо: пальцы на руках или на ногах, ухо либо нос. В районе Старой Руссы я видел разгромленную противотанковую батарею, в которой осталось 8—10 человек. Там же находился сильно потрёпанный 135 немецкий артполк, в котором сохранилось лишь несколько орудий».</w:t>
      </w:r>
    </w:p>
    <w:p w14:paraId="1242A2F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Население Италии ненавидит немцев, ведущих себя здесь, как в завоёванной стране. В городе Модика (Италия) 11 января в казарму немецких солдат ночью была брошена связка гранат. Взрывом уничтожено 17 гитлеровцев. 9 января в окрестностях этого города сгорело общежитие немецких лётчиков и сильно разрушен ангар, в котором находилось несколько германских самолетов.</w:t>
      </w:r>
    </w:p>
    <w:p w14:paraId="21724455"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Лейпциге (Германия) военно-полевой суд приговорил к расстрелу 8 немецких солдат за отказ ехать на советско-германский фронт.</w:t>
      </w:r>
    </w:p>
    <w:p w14:paraId="37B4349D"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Листопрокатчики Кузнецкого завода с каждым днём увеличивают выпуск продукции. За вторую пятидневку января они дали тысячи тонн металла сверх задания. 9 января цех выполнил план на 138,5 процента, 10 января — на 149,7 процента.» (15011).</w:t>
      </w:r>
    </w:p>
    <w:p w14:paraId="17534CAB"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71B10998" w14:textId="77777777" w:rsidR="003E12B0" w:rsidRPr="008127F8" w:rsidRDefault="003E12B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января</w:t>
      </w:r>
      <w:r w:rsidRPr="008127F8">
        <w:rPr>
          <w:rFonts w:ascii="Times New Roman" w:hAnsi="Times New Roman"/>
          <w:color w:val="000000" w:themeColor="text1"/>
          <w:sz w:val="16"/>
          <w:szCs w:val="16"/>
        </w:rPr>
        <w:t xml:space="preserve"> в 1942 году войска Северо-Западного фронта освободили город Андреаполь (15011).</w:t>
      </w:r>
    </w:p>
    <w:p w14:paraId="2FCA0561" w14:textId="77777777" w:rsidR="003E12B0" w:rsidRPr="008127F8" w:rsidRDefault="003E12B0" w:rsidP="001E0A84">
      <w:pPr>
        <w:spacing w:after="0" w:line="240" w:lineRule="auto"/>
        <w:jc w:val="both"/>
        <w:rPr>
          <w:rFonts w:ascii="Times New Roman" w:hAnsi="Times New Roman"/>
          <w:color w:val="000000" w:themeColor="text1"/>
          <w:sz w:val="16"/>
          <w:szCs w:val="16"/>
        </w:rPr>
      </w:pPr>
    </w:p>
    <w:p w14:paraId="743D2923" w14:textId="77777777" w:rsidR="008B08AA" w:rsidRPr="008127F8" w:rsidRDefault="008B08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января 1942 г. было принято постановление Государственного Комитета Обороны СССР «О сдаче трофейного имущества» (№ 1156). Постановление установило, что все граждане, проживавшие в освобожденных Красной Армией населенных пунктах, обязывались в течение 24 часов сдать воинским частям, органам НКВД или местным властям все брошенное противником и подобранное огнестрельное и холодное оружие, боеприпасы, противогазы, обмундирование, обувь и другое военное имущество, а также имущество, принадлежавшее советским воинским частям, а также советским предприятиям и учреждениям и присвоенное ими во время оккупации. Органам местной власти о собранном вооружении, боеприпасах и ином военном имуществе предписывалось немедленно сообщать органам НКВД или в ближайшую воинскую часть. Лица, не сдавшие в установленный срок огнестрельное и холодное оружие, боеприпасы, подлежали уголовной ответственности. К ответственности привлекались также лица, виновные в порче оружия, боеприпасов, военного имущества. При занятии частями Краской Армии населенных пунктов военному командованию соединений Красной Армии предписывалось издавать обязательные постановления в соответствии с указанным постановлением Государственного Комитета Обороны (18514). </w:t>
      </w:r>
    </w:p>
    <w:p w14:paraId="696007D1" w14:textId="77777777" w:rsidR="008B08AA" w:rsidRPr="008127F8" w:rsidRDefault="008B08AA" w:rsidP="001E0A84">
      <w:pPr>
        <w:spacing w:after="0" w:line="240" w:lineRule="auto"/>
        <w:jc w:val="both"/>
        <w:rPr>
          <w:rFonts w:ascii="Times New Roman" w:hAnsi="Times New Roman"/>
          <w:color w:val="000000" w:themeColor="text1"/>
          <w:sz w:val="16"/>
          <w:szCs w:val="16"/>
        </w:rPr>
      </w:pPr>
    </w:p>
    <w:p w14:paraId="2418D08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1170 [О преимуществах в сроках присвоения очередных воинских званий в действующих соединениях ВМФ.] (7020, 158-159).</w:t>
      </w:r>
    </w:p>
    <w:p w14:paraId="67052263" w14:textId="77777777" w:rsidR="00D4651C" w:rsidRPr="008127F8" w:rsidRDefault="00D4651C" w:rsidP="001E0A84">
      <w:pPr>
        <w:pStyle w:val="Iauiue"/>
        <w:tabs>
          <w:tab w:val="left" w:pos="11199"/>
        </w:tabs>
        <w:jc w:val="both"/>
        <w:rPr>
          <w:color w:val="000000" w:themeColor="text1"/>
          <w:sz w:val="16"/>
          <w:szCs w:val="16"/>
        </w:rPr>
      </w:pPr>
    </w:p>
    <w:p w14:paraId="4B050B2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1B89B32F" w14:textId="77777777" w:rsidR="00D4651C" w:rsidRPr="008127F8" w:rsidRDefault="00D4651C" w:rsidP="001E0A84">
      <w:pPr>
        <w:pStyle w:val="Iauiue"/>
        <w:jc w:val="both"/>
        <w:rPr>
          <w:iCs/>
          <w:color w:val="000000" w:themeColor="text1"/>
          <w:sz w:val="16"/>
          <w:szCs w:val="16"/>
        </w:rPr>
      </w:pPr>
    </w:p>
    <w:p w14:paraId="0CABC7A7"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1159 О порядке передвижения военнообязанных в военное время и ответственности за уклонение от воинского учета. (7020, 144).</w:t>
      </w:r>
    </w:p>
    <w:p w14:paraId="35170046" w14:textId="77777777" w:rsidR="00D4651C" w:rsidRPr="008127F8" w:rsidRDefault="00D4651C" w:rsidP="001E0A84">
      <w:pPr>
        <w:pStyle w:val="Iauiue"/>
        <w:tabs>
          <w:tab w:val="left" w:pos="11199"/>
        </w:tabs>
        <w:jc w:val="both"/>
        <w:rPr>
          <w:color w:val="000000" w:themeColor="text1"/>
          <w:sz w:val="16"/>
          <w:szCs w:val="16"/>
        </w:rPr>
      </w:pPr>
    </w:p>
    <w:p w14:paraId="4E7256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1161 О возвращении части эвакуированного оборудования с текстильных предприятий г. Москвы и Московской области. РГАНИР, Фонд ГКО, д. 19, лл. 146, 147 (11012).</w:t>
      </w:r>
    </w:p>
    <w:p w14:paraId="136E050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EC3E0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ГКО утверждает список 14 текстильных предприятий, которые должны вернуться в Москву и область (11774).</w:t>
      </w:r>
    </w:p>
    <w:p w14:paraId="3B7AB5E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DA1E7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вышло Постановление ГКО № 1162 О возвращении части эвакуированного оборудования предприятий НКПП СССР и НКММП СССР. РГАНИР, Фонд ГКО, д. 19, лл. 148 (11012).</w:t>
      </w:r>
    </w:p>
    <w:p w14:paraId="773A8E8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C7BF05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1166 О возвращении в Москву части аппарата НКфина СССР и Правления Госбанка СССР. (7020, 154).</w:t>
      </w:r>
    </w:p>
    <w:p w14:paraId="59C1400E" w14:textId="77777777" w:rsidR="00D4651C" w:rsidRPr="008127F8" w:rsidRDefault="00D4651C" w:rsidP="001E0A84">
      <w:pPr>
        <w:pStyle w:val="Iauiue"/>
        <w:tabs>
          <w:tab w:val="left" w:pos="11199"/>
        </w:tabs>
        <w:jc w:val="both"/>
        <w:rPr>
          <w:color w:val="000000" w:themeColor="text1"/>
          <w:sz w:val="16"/>
          <w:szCs w:val="16"/>
        </w:rPr>
      </w:pPr>
    </w:p>
    <w:p w14:paraId="65C3473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16 января 1942 вышло Постановление ГКО № 1168 О возвращении в Москву Госплана СССР. (7020, 156).</w:t>
      </w:r>
    </w:p>
    <w:p w14:paraId="0F907CBA" w14:textId="77777777" w:rsidR="00D4651C" w:rsidRPr="008127F8" w:rsidRDefault="00D4651C" w:rsidP="001E0A84">
      <w:pPr>
        <w:pStyle w:val="Iauiue"/>
        <w:tabs>
          <w:tab w:val="left" w:pos="11199"/>
        </w:tabs>
        <w:jc w:val="both"/>
        <w:rPr>
          <w:color w:val="000000" w:themeColor="text1"/>
          <w:sz w:val="16"/>
          <w:szCs w:val="16"/>
        </w:rPr>
      </w:pPr>
    </w:p>
    <w:p w14:paraId="350D9A5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65E6492D" w14:textId="77777777" w:rsidR="00D4651C" w:rsidRPr="008127F8" w:rsidRDefault="00D4651C" w:rsidP="001E0A84">
      <w:pPr>
        <w:pStyle w:val="Iauiue"/>
        <w:jc w:val="both"/>
        <w:rPr>
          <w:iCs/>
          <w:color w:val="000000" w:themeColor="text1"/>
          <w:sz w:val="16"/>
          <w:szCs w:val="16"/>
        </w:rPr>
      </w:pPr>
    </w:p>
    <w:p w14:paraId="3FCBAB00"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января 1942 рейс 3 компании Transcontinental &amp; Western Air врезался в гору Потоси в Неваде, в результате чего погибли все находившиеся на борту 22 человека, включая кинозвезду Кэрол Ломбард (20793).</w:t>
      </w:r>
    </w:p>
    <w:p w14:paraId="036BFA57"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4E923A2F"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января</w:t>
      </w:r>
      <w:r w:rsidRPr="008127F8">
        <w:rPr>
          <w:rFonts w:ascii="Times New Roman" w:hAnsi="Times New Roman"/>
          <w:color w:val="000000" w:themeColor="text1"/>
          <w:sz w:val="16"/>
          <w:szCs w:val="16"/>
        </w:rPr>
        <w:t xml:space="preserve"> в 1942 году из Великобритании на Ближний Восток отправлено 45 тысяч солдат (15011).</w:t>
      </w:r>
    </w:p>
    <w:p w14:paraId="5ACEFA0F"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515BFB3F"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января</w:t>
      </w:r>
      <w:r w:rsidRPr="008127F8">
        <w:rPr>
          <w:rFonts w:ascii="Times New Roman" w:hAnsi="Times New Roman"/>
          <w:color w:val="000000" w:themeColor="text1"/>
          <w:sz w:val="16"/>
          <w:szCs w:val="16"/>
        </w:rPr>
        <w:t xml:space="preserve"> в 1942 году в США создано Управление Военного Производства во главе с Д.Нельсоном. Оно запретило выпуск гражданских товаров с использованием дефицитных материалов (15011).</w:t>
      </w:r>
    </w:p>
    <w:p w14:paraId="50C28C02"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528206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16 января 1942 японцы вторглись в Бирму через Таиланд (2261).</w:t>
      </w:r>
    </w:p>
    <w:p w14:paraId="61475F3C" w14:textId="77777777" w:rsidR="00D4651C" w:rsidRPr="008127F8" w:rsidRDefault="00D4651C" w:rsidP="001E0A84">
      <w:pPr>
        <w:pStyle w:val="Iauiue"/>
        <w:jc w:val="both"/>
        <w:rPr>
          <w:color w:val="000000" w:themeColor="text1"/>
          <w:sz w:val="16"/>
          <w:szCs w:val="16"/>
        </w:rPr>
      </w:pPr>
    </w:p>
    <w:p w14:paraId="0A1D5DB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16 января 1942 американцы понесли тяжелые потери на полуострове Батаан (2261).</w:t>
      </w:r>
    </w:p>
    <w:p w14:paraId="23A0CB96" w14:textId="77777777" w:rsidR="00D4651C" w:rsidRPr="008127F8" w:rsidRDefault="00D4651C" w:rsidP="001E0A84">
      <w:pPr>
        <w:pStyle w:val="Iauiue"/>
        <w:jc w:val="both"/>
        <w:rPr>
          <w:color w:val="000000" w:themeColor="text1"/>
          <w:sz w:val="16"/>
          <w:szCs w:val="16"/>
        </w:rPr>
      </w:pPr>
    </w:p>
    <w:p w14:paraId="6AAF035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57213119" w14:textId="77777777" w:rsidR="00D4651C" w:rsidRPr="008127F8" w:rsidRDefault="00D4651C" w:rsidP="001E0A84">
      <w:pPr>
        <w:pStyle w:val="Iauiue"/>
        <w:jc w:val="both"/>
        <w:rPr>
          <w:iCs/>
          <w:color w:val="000000" w:themeColor="text1"/>
          <w:sz w:val="16"/>
          <w:szCs w:val="16"/>
        </w:rPr>
      </w:pPr>
    </w:p>
    <w:p w14:paraId="2F6560E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 января 1942 года директор завода N 24 Жезлов, гл. инженер Куинджи, нач-к конструкторского отдела Юдин, зам. гл. конструктора Флисский писали письмо N 102cc И.В.Сталину (N 2714 24 января отправили А.И.Ш.).</w:t>
      </w:r>
    </w:p>
    <w:p w14:paraId="5F43491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Интересы дальнейшего повышения боевых качеств нашей авиации, особенно штурмовой, настоятельно требуют от завода немедленного разворота работ по повышению мощности мотора. Уже сейчас этот вопрос поставлен перед нашим заводом конструкторами С.В.И. и Микояном.</w:t>
      </w:r>
    </w:p>
    <w:p w14:paraId="335718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Развитие этой задачи может идти по двум направлениям:</w:t>
      </w:r>
    </w:p>
    <w:p w14:paraId="2F539B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1. Повышение мощности мотора за счет наддува и применения топлива с более высоким октановым числом.</w:t>
      </w:r>
    </w:p>
    <w:p w14:paraId="35861A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Повышение мощности мотора за счет увеличения числа оборотов.</w:t>
      </w:r>
    </w:p>
    <w:p w14:paraId="74B91D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течение ряда лет моторы семьи АМ-35 развивались при мощности, гл. образом, за счет наддува. Путь этот был наиболее легким, т.к. мотор Ам-35 обладает большим литражом, позволившим снять с мотора довольно большие мощности.</w:t>
      </w:r>
    </w:p>
    <w:p w14:paraId="7CB771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настоящее время возможность форсирования мотора по наддуву исчерпана по 3 причинам:</w:t>
      </w:r>
    </w:p>
    <w:p w14:paraId="249B1C1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Мотор термически напряжен до предела.</w:t>
      </w:r>
    </w:p>
    <w:p w14:paraId="6D90993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 Дальнейшее увеличение наддува влечет за собой применение топлива с октановым числом выше 95, что повлечет за собой перенапряжение топливных ресурсов нашей страны.</w:t>
      </w:r>
    </w:p>
    <w:p w14:paraId="5F5268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Сильно возрастают нагрузки от сил газов и усложняется разрешение конструктивных задач по уплотнениям и по доводке клапанного механизма.</w:t>
      </w:r>
    </w:p>
    <w:p w14:paraId="7787DB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связи с этим, по инициативе гл. инженера завода Куинджи, начальника конструкторского отдела Юдина и зам. гл. конструктора Флисского, группа конструкторов завода N 24, с разрешения наркома Авиапрома Шахурина, начала работать по развитию мощности мотора в основном за счет увеличения числа оборотов. Хотя изменение размерности двигателя и принципиальной силовой схемы его могло бы дать улучшение данных мотора, этот путь форсирования мотора в настоящее время является нецелесообразным, т.к. привел бы к значительной ломке производства и отдалению срока возможного внедрения моторов в серийное производство.</w:t>
      </w:r>
    </w:p>
    <w:p w14:paraId="320308E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Поэтому авторы мотора решают эту задачу, опираясь на производственную базу завода N 24 и оставляют существующий литраж двигателя, улучшив наполнение двигателя и повысив его литровую мощность, по которым моторы Ам-35А и АМ-38 отстают от современных авиационных двигателей.</w:t>
      </w:r>
    </w:p>
    <w:p w14:paraId="3978B75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Развитие мотора (которому авторы дали название ЗИФ - завод им. Фрунзе) разделяется на 2 этапа:</w:t>
      </w:r>
    </w:p>
    <w:p w14:paraId="671D89D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Данные мотора: 1600 л.с. на высоте 6000 м, 1850 л.с. взлетной мощности, при числе оборотов 2500 и октановом числе топлива не более 92.</w:t>
      </w:r>
    </w:p>
    <w:p w14:paraId="733F1BF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этом моторе пересмотрены все узлы с точки зрения повышения оборотности, улучшено наполнение и предусматривается установка двухскоростного нагнетателя.</w:t>
      </w:r>
    </w:p>
    <w:p w14:paraId="5721629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Данные мотора: 1800 л.с. на высоте 6000 м и 2000 л.с. взлетной мощности.</w:t>
      </w:r>
    </w:p>
    <w:p w14:paraId="36CF54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 этом моторе устанавливается пушка. Повышение мощности по сравнению с мотором ЗИФ-1 получено за счет постановки новых блоков с максимально улучшенным наполнением и поршневого нагнетателя.</w:t>
      </w:r>
    </w:p>
    <w:p w14:paraId="4AEC8DE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Поршневой нагнетатель уменьшает мощность, идущую на нагнетатель, на 100-150 л.с. и значительно уменьшает температуру воздуха, выходящего из нагнетателя. Это допускает возможность выпускать моторы без охлаждения воздуха, выходящего из нагнетателя и, тем самым, значительно уменьшить сопротивление на самолете.</w:t>
      </w:r>
    </w:p>
    <w:p w14:paraId="700DA6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Моторы ЗИФ-1 и ЗИФ-2 проконсультированы с Микояном и С.В.И. По их мнению, эти моторы представляют очень большой интерес и требуют постройки в кратчайшие сроки как для истребителей, так и для штурмовиков.</w:t>
      </w:r>
    </w:p>
    <w:p w14:paraId="56CB6B2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Работы по этим моторам могут быть выполнены в следующие сроки:</w:t>
      </w:r>
    </w:p>
    <w:p w14:paraId="54DBC3E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окончание длительных испытаний ЗИФ-1 - к 1/VII-42 г.</w:t>
      </w:r>
    </w:p>
    <w:p w14:paraId="0DF7B9A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ЗИФ-2 - к 1/XI-42 г.</w:t>
      </w:r>
    </w:p>
    <w:p w14:paraId="739B219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Работы по моторам ЗИФ-1 и ЗИФ-2 начаты и проводятся без участия Микулина.</w:t>
      </w:r>
    </w:p>
    <w:p w14:paraId="2164DF2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Считая принятое заводом N 24 направление развития опытного моторостроения правильным и отвечающим интересам обороны страны и требованиям конструкторов - самолетчиков, просим разрешить постройку опытных моторов ЗИФ-1 и ЗИФ-2 на заводе N 24 (2759,128).</w:t>
      </w:r>
    </w:p>
    <w:p w14:paraId="35D266BD" w14:textId="77777777" w:rsidR="00D4651C" w:rsidRPr="008127F8" w:rsidRDefault="00D4651C" w:rsidP="001E0A84">
      <w:pPr>
        <w:pStyle w:val="Iauiue"/>
        <w:jc w:val="both"/>
        <w:rPr>
          <w:color w:val="000000" w:themeColor="text1"/>
          <w:sz w:val="16"/>
          <w:szCs w:val="16"/>
        </w:rPr>
      </w:pPr>
    </w:p>
    <w:p w14:paraId="46883F99" w14:textId="77777777" w:rsidR="00F355B5" w:rsidRPr="008A2E5A" w:rsidRDefault="00F355B5" w:rsidP="00F355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января 1942 г. бывший заместителем главного конструктора завода № 21 Храмов писал на имя заместителя наркома авиапромышленности Воронина:</w:t>
      </w:r>
    </w:p>
    <w:p w14:paraId="73FCA9F8" w14:textId="77777777" w:rsidR="00F355B5" w:rsidRPr="008A2E5A" w:rsidRDefault="00F355B5" w:rsidP="00F355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 отъездом из Москвы 27.12.1941 в спецкомандировку т. Пашинин М.М. письмом сообщил, что один экземпляр самолета И-21 (конструкции Пашинина) после боевой работы поступил для ремонта на бывшую территорию завода № 301. Так как с конструкцией самолета И-21 там не знакомы, было бы полезным вызвать для общей дефектации и ремонта инж. Р. А. Попова с завода № 21, а для дефектации и наладки вооружения (главным образом по пушечной установке) конструктора А. Д. Данилова с завода № 1 в г. Куйбышеве (работает в конструкторском бюро у т. Микояна). Оба эти товарища в свое время проводили испытания самолета и его вооружения в Москве» (24223).</w:t>
      </w:r>
    </w:p>
    <w:p w14:paraId="3F1183AF" w14:textId="77777777" w:rsidR="00F355B5" w:rsidRPr="008A2E5A" w:rsidRDefault="00F355B5" w:rsidP="00F355B5">
      <w:pPr>
        <w:spacing w:after="0" w:line="240" w:lineRule="auto"/>
        <w:jc w:val="both"/>
        <w:rPr>
          <w:rFonts w:ascii="Times New Roman" w:hAnsi="Times New Roman"/>
          <w:color w:val="0070C0"/>
          <w:sz w:val="16"/>
          <w:szCs w:val="16"/>
        </w:rPr>
      </w:pPr>
    </w:p>
    <w:p w14:paraId="63BC2C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 января 1942 в Ташкенте началась серия ПС-84 (4141,22).</w:t>
      </w:r>
    </w:p>
    <w:p w14:paraId="45094A19" w14:textId="77777777" w:rsidR="00D4651C" w:rsidRPr="008127F8" w:rsidRDefault="00D4651C" w:rsidP="001E0A84">
      <w:pPr>
        <w:pStyle w:val="Iauiue"/>
        <w:jc w:val="both"/>
        <w:rPr>
          <w:color w:val="000000" w:themeColor="text1"/>
          <w:sz w:val="16"/>
          <w:szCs w:val="16"/>
        </w:rPr>
      </w:pPr>
    </w:p>
    <w:p w14:paraId="106C759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 бывшим заместителем главного конструктора завода № 21 Храмовым на имя заместителя наркома авиапромышленности Воронина было отправлено письмо:</w:t>
      </w:r>
    </w:p>
    <w:p w14:paraId="2BE86A97"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 отъездом из Москвы 27.12.1941 в спецкомандировку т. Пашинин М.М. письмом сообщил, что один экземпляр самолета И-21 (конструкции Пашинина) после боевой работы поступил для ремонта на бывшую территорию завода 301. Так как с конструкцией самолета И-21 там не знакомы, было бы полезным вызвать для общей дефектации и ремонта инж. Р.А. Попова с завода № 21, а для дефектации и наладки вооружения (главным образом по пушечной установке) конструктора А.Д. Данилова с завода № 1 в г. Куйбышеве (работает в конструкторском бюро у т. Микояна). Оба эти товарища в свое время проводили испытания самолета и его вооружения в Москве» (15561).</w:t>
      </w:r>
    </w:p>
    <w:p w14:paraId="0E4DEDF0"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5EADC3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17/19 января 1942 года начальник Гл. управления воздушно-десантных войск полковник Досик и военный комиссар Гл. управления воздушно-десантных войск полковой комиссар Коробов писали письмо N 831140сс Шахурину.</w:t>
      </w:r>
    </w:p>
    <w:p w14:paraId="4B3DE22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Общая потребность Воздушно-десантных войск в десантных планерах на 1942 год определяется следующим количеством: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195"/>
        <w:gridCol w:w="1195"/>
        <w:gridCol w:w="1195"/>
        <w:gridCol w:w="1195"/>
        <w:gridCol w:w="3014"/>
      </w:tblGrid>
      <w:tr w:rsidR="006F4095" w:rsidRPr="008127F8" w14:paraId="633E0DEF" w14:textId="77777777">
        <w:tc>
          <w:tcPr>
            <w:tcW w:w="2802" w:type="dxa"/>
            <w:tcBorders>
              <w:top w:val="single" w:sz="12" w:space="0" w:color="auto"/>
            </w:tcBorders>
          </w:tcPr>
          <w:p w14:paraId="201A83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Наименование планера</w:t>
            </w:r>
          </w:p>
        </w:tc>
        <w:tc>
          <w:tcPr>
            <w:tcW w:w="1195" w:type="dxa"/>
            <w:tcBorders>
              <w:top w:val="single" w:sz="12" w:space="0" w:color="auto"/>
            </w:tcBorders>
          </w:tcPr>
          <w:p w14:paraId="34257E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Кварталы 1942 года</w:t>
            </w:r>
          </w:p>
        </w:tc>
        <w:tc>
          <w:tcPr>
            <w:tcW w:w="1195" w:type="dxa"/>
            <w:tcBorders>
              <w:top w:val="single" w:sz="12" w:space="0" w:color="auto"/>
            </w:tcBorders>
          </w:tcPr>
          <w:p w14:paraId="1D6C213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Всего в</w:t>
            </w:r>
          </w:p>
        </w:tc>
        <w:tc>
          <w:tcPr>
            <w:tcW w:w="1195" w:type="dxa"/>
            <w:tcBorders>
              <w:top w:val="single" w:sz="12" w:space="0" w:color="auto"/>
            </w:tcBorders>
          </w:tcPr>
          <w:p w14:paraId="58437733" w14:textId="77777777" w:rsidR="00D4651C" w:rsidRPr="008127F8" w:rsidRDefault="00D4651C" w:rsidP="001E0A84">
            <w:pPr>
              <w:pStyle w:val="Iauiue"/>
              <w:jc w:val="both"/>
              <w:rPr>
                <w:color w:val="000000" w:themeColor="text1"/>
                <w:sz w:val="16"/>
                <w:szCs w:val="16"/>
              </w:rPr>
            </w:pPr>
          </w:p>
        </w:tc>
        <w:tc>
          <w:tcPr>
            <w:tcW w:w="1195" w:type="dxa"/>
            <w:tcBorders>
              <w:top w:val="single" w:sz="12" w:space="0" w:color="auto"/>
            </w:tcBorders>
          </w:tcPr>
          <w:p w14:paraId="2F40C428" w14:textId="77777777" w:rsidR="00D4651C" w:rsidRPr="008127F8" w:rsidRDefault="00D4651C" w:rsidP="001E0A84">
            <w:pPr>
              <w:pStyle w:val="Iauiue"/>
              <w:jc w:val="both"/>
              <w:rPr>
                <w:color w:val="000000" w:themeColor="text1"/>
                <w:sz w:val="16"/>
                <w:szCs w:val="16"/>
              </w:rPr>
            </w:pPr>
          </w:p>
        </w:tc>
        <w:tc>
          <w:tcPr>
            <w:tcW w:w="3014" w:type="dxa"/>
            <w:tcBorders>
              <w:top w:val="single" w:sz="12" w:space="0" w:color="auto"/>
            </w:tcBorders>
          </w:tcPr>
          <w:p w14:paraId="62B20A32" w14:textId="77777777" w:rsidR="00D4651C" w:rsidRPr="008127F8" w:rsidRDefault="00D4651C" w:rsidP="001E0A84">
            <w:pPr>
              <w:pStyle w:val="Iauiue"/>
              <w:jc w:val="both"/>
              <w:rPr>
                <w:color w:val="000000" w:themeColor="text1"/>
                <w:sz w:val="16"/>
                <w:szCs w:val="16"/>
              </w:rPr>
            </w:pPr>
          </w:p>
        </w:tc>
      </w:tr>
      <w:tr w:rsidR="006F4095" w:rsidRPr="008127F8" w14:paraId="45F5AC09" w14:textId="77777777">
        <w:tc>
          <w:tcPr>
            <w:tcW w:w="2802" w:type="dxa"/>
          </w:tcPr>
          <w:p w14:paraId="5EA967A2" w14:textId="77777777" w:rsidR="00D4651C" w:rsidRPr="008127F8" w:rsidRDefault="00D4651C" w:rsidP="001E0A84">
            <w:pPr>
              <w:pStyle w:val="Iauiue"/>
              <w:jc w:val="both"/>
              <w:rPr>
                <w:color w:val="000000" w:themeColor="text1"/>
                <w:sz w:val="16"/>
                <w:szCs w:val="16"/>
              </w:rPr>
            </w:pPr>
          </w:p>
        </w:tc>
        <w:tc>
          <w:tcPr>
            <w:tcW w:w="1195" w:type="dxa"/>
          </w:tcPr>
          <w:p w14:paraId="23F99B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w:t>
            </w:r>
          </w:p>
        </w:tc>
        <w:tc>
          <w:tcPr>
            <w:tcW w:w="1195" w:type="dxa"/>
          </w:tcPr>
          <w:p w14:paraId="39D23B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II</w:t>
            </w:r>
          </w:p>
        </w:tc>
        <w:tc>
          <w:tcPr>
            <w:tcW w:w="1195" w:type="dxa"/>
          </w:tcPr>
          <w:p w14:paraId="514398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III</w:t>
            </w:r>
          </w:p>
        </w:tc>
        <w:tc>
          <w:tcPr>
            <w:tcW w:w="1195" w:type="dxa"/>
          </w:tcPr>
          <w:p w14:paraId="2944A9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IV</w:t>
            </w:r>
          </w:p>
        </w:tc>
        <w:tc>
          <w:tcPr>
            <w:tcW w:w="3014" w:type="dxa"/>
          </w:tcPr>
          <w:p w14:paraId="4A15EB6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1942 г.</w:t>
            </w:r>
          </w:p>
        </w:tc>
      </w:tr>
      <w:tr w:rsidR="006F4095" w:rsidRPr="008127F8" w14:paraId="57393D38" w14:textId="77777777">
        <w:tc>
          <w:tcPr>
            <w:tcW w:w="2802" w:type="dxa"/>
          </w:tcPr>
          <w:p w14:paraId="7CD59D4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7-ми местные РФ-8</w:t>
            </w:r>
          </w:p>
        </w:tc>
        <w:tc>
          <w:tcPr>
            <w:tcW w:w="1195" w:type="dxa"/>
          </w:tcPr>
          <w:p w14:paraId="29FF75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w:t>
            </w:r>
          </w:p>
        </w:tc>
        <w:tc>
          <w:tcPr>
            <w:tcW w:w="1195" w:type="dxa"/>
          </w:tcPr>
          <w:p w14:paraId="485043E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250</w:t>
            </w:r>
          </w:p>
        </w:tc>
        <w:tc>
          <w:tcPr>
            <w:tcW w:w="1195" w:type="dxa"/>
          </w:tcPr>
          <w:p w14:paraId="4A48F6E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300</w:t>
            </w:r>
          </w:p>
        </w:tc>
        <w:tc>
          <w:tcPr>
            <w:tcW w:w="1195" w:type="dxa"/>
          </w:tcPr>
          <w:p w14:paraId="6C344E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3014" w:type="dxa"/>
          </w:tcPr>
          <w:p w14:paraId="2DBD6E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900</w:t>
            </w:r>
          </w:p>
        </w:tc>
      </w:tr>
      <w:tr w:rsidR="006F4095" w:rsidRPr="008127F8" w14:paraId="2C845375" w14:textId="77777777">
        <w:tc>
          <w:tcPr>
            <w:tcW w:w="2802" w:type="dxa"/>
          </w:tcPr>
          <w:p w14:paraId="49EE6B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11-ти местные Гр-29</w:t>
            </w:r>
          </w:p>
        </w:tc>
        <w:tc>
          <w:tcPr>
            <w:tcW w:w="1195" w:type="dxa"/>
          </w:tcPr>
          <w:p w14:paraId="5A8BE1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250</w:t>
            </w:r>
          </w:p>
        </w:tc>
        <w:tc>
          <w:tcPr>
            <w:tcW w:w="1195" w:type="dxa"/>
          </w:tcPr>
          <w:p w14:paraId="43495C3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400</w:t>
            </w:r>
          </w:p>
        </w:tc>
        <w:tc>
          <w:tcPr>
            <w:tcW w:w="1195" w:type="dxa"/>
          </w:tcPr>
          <w:p w14:paraId="7062F1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500</w:t>
            </w:r>
          </w:p>
        </w:tc>
        <w:tc>
          <w:tcPr>
            <w:tcW w:w="1195" w:type="dxa"/>
          </w:tcPr>
          <w:p w14:paraId="1EE55CE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350</w:t>
            </w:r>
          </w:p>
        </w:tc>
        <w:tc>
          <w:tcPr>
            <w:tcW w:w="3014" w:type="dxa"/>
          </w:tcPr>
          <w:p w14:paraId="602953E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1500</w:t>
            </w:r>
          </w:p>
        </w:tc>
      </w:tr>
      <w:tr w:rsidR="006F4095" w:rsidRPr="008127F8" w14:paraId="3445359A" w14:textId="77777777">
        <w:tc>
          <w:tcPr>
            <w:tcW w:w="2802" w:type="dxa"/>
          </w:tcPr>
          <w:p w14:paraId="6B826C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20-ти местные КЦ-2</w:t>
            </w:r>
          </w:p>
        </w:tc>
        <w:tc>
          <w:tcPr>
            <w:tcW w:w="1195" w:type="dxa"/>
          </w:tcPr>
          <w:p w14:paraId="057AB9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1195" w:type="dxa"/>
          </w:tcPr>
          <w:p w14:paraId="501B09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w:t>
            </w:r>
          </w:p>
        </w:tc>
        <w:tc>
          <w:tcPr>
            <w:tcW w:w="1195" w:type="dxa"/>
          </w:tcPr>
          <w:p w14:paraId="384C7B3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1195" w:type="dxa"/>
          </w:tcPr>
          <w:p w14:paraId="6920BD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w:t>
            </w:r>
          </w:p>
        </w:tc>
        <w:tc>
          <w:tcPr>
            <w:tcW w:w="3014" w:type="dxa"/>
          </w:tcPr>
          <w:p w14:paraId="2817CDF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500</w:t>
            </w:r>
          </w:p>
        </w:tc>
      </w:tr>
      <w:tr w:rsidR="006F4095" w:rsidRPr="008127F8" w14:paraId="31661F38" w14:textId="77777777">
        <w:tc>
          <w:tcPr>
            <w:tcW w:w="2802" w:type="dxa"/>
          </w:tcPr>
          <w:p w14:paraId="5E2629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Транспортные</w:t>
            </w:r>
          </w:p>
        </w:tc>
        <w:tc>
          <w:tcPr>
            <w:tcW w:w="1195" w:type="dxa"/>
          </w:tcPr>
          <w:p w14:paraId="79174F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w:t>
            </w:r>
          </w:p>
        </w:tc>
        <w:tc>
          <w:tcPr>
            <w:tcW w:w="1195" w:type="dxa"/>
          </w:tcPr>
          <w:p w14:paraId="0E5623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1195" w:type="dxa"/>
          </w:tcPr>
          <w:p w14:paraId="19928F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w:t>
            </w:r>
          </w:p>
        </w:tc>
        <w:tc>
          <w:tcPr>
            <w:tcW w:w="1195" w:type="dxa"/>
          </w:tcPr>
          <w:p w14:paraId="269953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3014" w:type="dxa"/>
          </w:tcPr>
          <w:p w14:paraId="631ED8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r>
      <w:tr w:rsidR="006F4095" w:rsidRPr="008127F8" w14:paraId="06C72911" w14:textId="77777777">
        <w:tc>
          <w:tcPr>
            <w:tcW w:w="2802" w:type="dxa"/>
          </w:tcPr>
          <w:p w14:paraId="35C86F3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Учебно-тренировочные</w:t>
            </w:r>
          </w:p>
        </w:tc>
        <w:tc>
          <w:tcPr>
            <w:tcW w:w="1195" w:type="dxa"/>
          </w:tcPr>
          <w:p w14:paraId="655ED8C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w:t>
            </w:r>
          </w:p>
        </w:tc>
        <w:tc>
          <w:tcPr>
            <w:tcW w:w="1195" w:type="dxa"/>
          </w:tcPr>
          <w:p w14:paraId="02AF680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w:t>
            </w:r>
          </w:p>
        </w:tc>
        <w:tc>
          <w:tcPr>
            <w:tcW w:w="1195" w:type="dxa"/>
          </w:tcPr>
          <w:p w14:paraId="1E3648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110</w:t>
            </w:r>
          </w:p>
        </w:tc>
        <w:tc>
          <w:tcPr>
            <w:tcW w:w="1195" w:type="dxa"/>
          </w:tcPr>
          <w:p w14:paraId="2395C6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w:t>
            </w:r>
          </w:p>
        </w:tc>
        <w:tc>
          <w:tcPr>
            <w:tcW w:w="3014" w:type="dxa"/>
          </w:tcPr>
          <w:p w14:paraId="43ED6E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400</w:t>
            </w:r>
          </w:p>
        </w:tc>
      </w:tr>
      <w:tr w:rsidR="006F4095" w:rsidRPr="008127F8" w14:paraId="7B674FA4" w14:textId="77777777">
        <w:tc>
          <w:tcPr>
            <w:tcW w:w="2802" w:type="dxa"/>
            <w:tcBorders>
              <w:bottom w:val="single" w:sz="12" w:space="0" w:color="auto"/>
            </w:tcBorders>
          </w:tcPr>
          <w:p w14:paraId="217F262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Итого:</w:t>
            </w:r>
          </w:p>
        </w:tc>
        <w:tc>
          <w:tcPr>
            <w:tcW w:w="1195" w:type="dxa"/>
            <w:tcBorders>
              <w:bottom w:val="single" w:sz="12" w:space="0" w:color="auto"/>
            </w:tcBorders>
          </w:tcPr>
          <w:p w14:paraId="25E769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550</w:t>
            </w:r>
          </w:p>
        </w:tc>
        <w:tc>
          <w:tcPr>
            <w:tcW w:w="1195" w:type="dxa"/>
            <w:tcBorders>
              <w:bottom w:val="single" w:sz="12" w:space="0" w:color="auto"/>
            </w:tcBorders>
          </w:tcPr>
          <w:p w14:paraId="39D0E4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900</w:t>
            </w:r>
          </w:p>
        </w:tc>
        <w:tc>
          <w:tcPr>
            <w:tcW w:w="1195" w:type="dxa"/>
            <w:tcBorders>
              <w:bottom w:val="single" w:sz="12" w:space="0" w:color="auto"/>
            </w:tcBorders>
          </w:tcPr>
          <w:p w14:paraId="1DE6AE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1200</w:t>
            </w:r>
          </w:p>
        </w:tc>
        <w:tc>
          <w:tcPr>
            <w:tcW w:w="1195" w:type="dxa"/>
            <w:tcBorders>
              <w:bottom w:val="single" w:sz="12" w:space="0" w:color="auto"/>
            </w:tcBorders>
          </w:tcPr>
          <w:p w14:paraId="35D13F6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850</w:t>
            </w:r>
          </w:p>
        </w:tc>
        <w:tc>
          <w:tcPr>
            <w:tcW w:w="3014" w:type="dxa"/>
            <w:tcBorders>
              <w:bottom w:val="single" w:sz="12" w:space="0" w:color="auto"/>
            </w:tcBorders>
          </w:tcPr>
          <w:p w14:paraId="377AC1B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3500</w:t>
            </w:r>
          </w:p>
        </w:tc>
      </w:tr>
    </w:tbl>
    <w:p w14:paraId="45673A9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Военный совет Воздушно-десантных войск входит с ходатайством в ГКО о утверждении Авиапрома задания на производство указанного числа планеров.</w:t>
      </w:r>
    </w:p>
    <w:p w14:paraId="243EAD6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Ставя Вас об этом в известность прошу сообщить возможность выполнения данной программы на заводах НКАП (1623,57).</w:t>
      </w:r>
    </w:p>
    <w:p w14:paraId="138F5BBB" w14:textId="77777777" w:rsidR="00D4651C" w:rsidRPr="008127F8" w:rsidRDefault="00D4651C" w:rsidP="001E0A84">
      <w:pPr>
        <w:pStyle w:val="Iauiue"/>
        <w:jc w:val="both"/>
        <w:rPr>
          <w:color w:val="000000" w:themeColor="text1"/>
          <w:sz w:val="16"/>
          <w:szCs w:val="16"/>
        </w:rPr>
      </w:pPr>
    </w:p>
    <w:p w14:paraId="7DBECC7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17/19 января 1942 года командующий воздушно-десантными войсками генерал-майор Глазунов и член военного совета воздушно-десантных войск дивизионный комиссар Клоков писали письмо N 831141сс Сталину.</w:t>
      </w:r>
    </w:p>
    <w:p w14:paraId="1BB66ED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соответствии с распоряжением СНК N 2330 рс от 1 июля 1941 года Наркомат Авиапрома был обязан изготовить в 1941 году для Воздушно-десантных войск - 800 десантных планеров и подготовить базу для производства 5000 планеров в 1942 году.</w:t>
      </w:r>
    </w:p>
    <w:p w14:paraId="40C6C26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Фактически к 1 января 1942 года включая и опытные машины было изготовлено: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316"/>
        <w:gridCol w:w="5913"/>
      </w:tblGrid>
      <w:tr w:rsidR="006F4095" w:rsidRPr="008127F8" w14:paraId="373772D7" w14:textId="77777777">
        <w:tc>
          <w:tcPr>
            <w:tcW w:w="3227" w:type="dxa"/>
            <w:tcBorders>
              <w:top w:val="single" w:sz="12" w:space="0" w:color="auto"/>
            </w:tcBorders>
          </w:tcPr>
          <w:p w14:paraId="241D189A" w14:textId="77777777" w:rsidR="00D4651C" w:rsidRPr="008127F8" w:rsidRDefault="00D4651C" w:rsidP="001E0A84">
            <w:pPr>
              <w:pStyle w:val="Iauiue"/>
              <w:jc w:val="both"/>
              <w:rPr>
                <w:color w:val="000000" w:themeColor="text1"/>
                <w:sz w:val="16"/>
                <w:szCs w:val="16"/>
              </w:rPr>
            </w:pPr>
          </w:p>
        </w:tc>
        <w:tc>
          <w:tcPr>
            <w:tcW w:w="1316" w:type="dxa"/>
            <w:tcBorders>
              <w:top w:val="single" w:sz="12" w:space="0" w:color="auto"/>
            </w:tcBorders>
          </w:tcPr>
          <w:p w14:paraId="0B4599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План</w:t>
            </w:r>
          </w:p>
        </w:tc>
        <w:tc>
          <w:tcPr>
            <w:tcW w:w="5913" w:type="dxa"/>
            <w:tcBorders>
              <w:top w:val="single" w:sz="12" w:space="0" w:color="auto"/>
            </w:tcBorders>
          </w:tcPr>
          <w:p w14:paraId="0818B7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Фактическое</w:t>
            </w:r>
          </w:p>
        </w:tc>
      </w:tr>
      <w:tr w:rsidR="006F4095" w:rsidRPr="008127F8" w14:paraId="5A4BEF3C" w14:textId="77777777">
        <w:tc>
          <w:tcPr>
            <w:tcW w:w="3227" w:type="dxa"/>
          </w:tcPr>
          <w:p w14:paraId="653D7EDD" w14:textId="77777777" w:rsidR="00D4651C" w:rsidRPr="008127F8" w:rsidRDefault="00D4651C" w:rsidP="001E0A84">
            <w:pPr>
              <w:pStyle w:val="Iauiue"/>
              <w:jc w:val="both"/>
              <w:rPr>
                <w:color w:val="000000" w:themeColor="text1"/>
                <w:sz w:val="16"/>
                <w:szCs w:val="16"/>
              </w:rPr>
            </w:pPr>
          </w:p>
        </w:tc>
        <w:tc>
          <w:tcPr>
            <w:tcW w:w="1316" w:type="dxa"/>
          </w:tcPr>
          <w:p w14:paraId="0338DF8C" w14:textId="77777777" w:rsidR="00D4651C" w:rsidRPr="008127F8" w:rsidRDefault="00D4651C" w:rsidP="001E0A84">
            <w:pPr>
              <w:pStyle w:val="Iauiue"/>
              <w:jc w:val="both"/>
              <w:rPr>
                <w:color w:val="000000" w:themeColor="text1"/>
                <w:sz w:val="16"/>
                <w:szCs w:val="16"/>
              </w:rPr>
            </w:pPr>
          </w:p>
        </w:tc>
        <w:tc>
          <w:tcPr>
            <w:tcW w:w="5913" w:type="dxa"/>
          </w:tcPr>
          <w:p w14:paraId="37E4A9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изготовление</w:t>
            </w:r>
          </w:p>
        </w:tc>
      </w:tr>
      <w:tr w:rsidR="006F4095" w:rsidRPr="008127F8" w14:paraId="40228C95" w14:textId="77777777">
        <w:tc>
          <w:tcPr>
            <w:tcW w:w="3227" w:type="dxa"/>
          </w:tcPr>
          <w:p w14:paraId="2E25C3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7-ми местные планеры РФ-8</w:t>
            </w:r>
          </w:p>
        </w:tc>
        <w:tc>
          <w:tcPr>
            <w:tcW w:w="1316" w:type="dxa"/>
          </w:tcPr>
          <w:p w14:paraId="79D015B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5913" w:type="dxa"/>
          </w:tcPr>
          <w:p w14:paraId="3EDD05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w:t>
            </w:r>
          </w:p>
        </w:tc>
      </w:tr>
      <w:tr w:rsidR="006F4095" w:rsidRPr="008127F8" w14:paraId="2443ED77" w14:textId="77777777">
        <w:tc>
          <w:tcPr>
            <w:tcW w:w="3227" w:type="dxa"/>
          </w:tcPr>
          <w:p w14:paraId="08780FE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11-ти местные планеры Гр-29</w:t>
            </w:r>
          </w:p>
        </w:tc>
        <w:tc>
          <w:tcPr>
            <w:tcW w:w="1316" w:type="dxa"/>
          </w:tcPr>
          <w:p w14:paraId="010656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350</w:t>
            </w:r>
          </w:p>
        </w:tc>
        <w:tc>
          <w:tcPr>
            <w:tcW w:w="5913" w:type="dxa"/>
          </w:tcPr>
          <w:p w14:paraId="6B3325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w:t>
            </w:r>
          </w:p>
        </w:tc>
      </w:tr>
      <w:tr w:rsidR="006F4095" w:rsidRPr="008127F8" w14:paraId="73E7732D" w14:textId="77777777">
        <w:tc>
          <w:tcPr>
            <w:tcW w:w="3227" w:type="dxa"/>
          </w:tcPr>
          <w:p w14:paraId="5CF9BB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20-ти местные планеры КЦ-2</w:t>
            </w:r>
          </w:p>
        </w:tc>
        <w:tc>
          <w:tcPr>
            <w:tcW w:w="1316" w:type="dxa"/>
          </w:tcPr>
          <w:p w14:paraId="73AB81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250</w:t>
            </w:r>
          </w:p>
        </w:tc>
        <w:tc>
          <w:tcPr>
            <w:tcW w:w="5913" w:type="dxa"/>
          </w:tcPr>
          <w:p w14:paraId="1586EA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w:t>
            </w:r>
          </w:p>
        </w:tc>
      </w:tr>
      <w:tr w:rsidR="006F4095" w:rsidRPr="008127F8" w14:paraId="5D6D627D" w14:textId="77777777">
        <w:tc>
          <w:tcPr>
            <w:tcW w:w="3227" w:type="dxa"/>
            <w:tcBorders>
              <w:bottom w:val="single" w:sz="12" w:space="0" w:color="auto"/>
            </w:tcBorders>
          </w:tcPr>
          <w:p w14:paraId="113A79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Всего</w:t>
            </w:r>
          </w:p>
        </w:tc>
        <w:tc>
          <w:tcPr>
            <w:tcW w:w="1316" w:type="dxa"/>
            <w:tcBorders>
              <w:bottom w:val="single" w:sz="12" w:space="0" w:color="auto"/>
            </w:tcBorders>
          </w:tcPr>
          <w:p w14:paraId="0B5378D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800</w:t>
            </w:r>
          </w:p>
        </w:tc>
        <w:tc>
          <w:tcPr>
            <w:tcW w:w="5913" w:type="dxa"/>
            <w:tcBorders>
              <w:bottom w:val="single" w:sz="12" w:space="0" w:color="auto"/>
            </w:tcBorders>
          </w:tcPr>
          <w:p w14:paraId="1C50A8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43</w:t>
            </w:r>
          </w:p>
        </w:tc>
      </w:tr>
    </w:tbl>
    <w:p w14:paraId="48683FC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Несмотря на то, что план производства планеров Наркоматом Авиапрома выполнен не был - приказом Наркома N 1157с от 10 декабря 1941 года - было ликвидировано 11-е Гл. управление специально созданное по распоряжению СНК для руководства планерными заводами.</w:t>
      </w:r>
    </w:p>
    <w:p w14:paraId="6264BF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Отсутствие планеров лишает Воздушно-десантные войска возможности высаживать посадочные десанты вне аэродромов, что суживает боевые возможности десантных частей.</w:t>
      </w:r>
    </w:p>
    <w:p w14:paraId="4E0D4FF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В 1932 году Воздушно-десантным войскам, исходя из условия высадки на планерах только одного передового батальона из состава бригады потребуется - на 35 десантных бригад с учетом трехкратной их высадки и 50% потерь планеров за одну операцию - 3100 десантных планеров. </w:t>
      </w:r>
      <w:proofErr w:type="gramStart"/>
      <w:r w:rsidRPr="008127F8">
        <w:rPr>
          <w:color w:val="000000" w:themeColor="text1"/>
          <w:sz w:val="16"/>
          <w:szCs w:val="16"/>
        </w:rPr>
        <w:t>Кроме того</w:t>
      </w:r>
      <w:proofErr w:type="gramEnd"/>
      <w:r w:rsidRPr="008127F8">
        <w:rPr>
          <w:color w:val="000000" w:themeColor="text1"/>
          <w:sz w:val="16"/>
          <w:szCs w:val="16"/>
        </w:rPr>
        <w:t xml:space="preserve"> для обучения планеристов дополнительно необходимо 400 учебно-тренировочных планеров.</w:t>
      </w:r>
    </w:p>
    <w:p w14:paraId="6FC164A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соответствии с изложенным прошу:</w:t>
      </w:r>
    </w:p>
    <w:p w14:paraId="693F8E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1. Обязать Наркомат Авиапрома изготовить для Воздушно-десантных войск в 1942 году 3500 десантных и учебно-тренировочных планеров со сдачей: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58"/>
        <w:gridCol w:w="1258"/>
        <w:gridCol w:w="1258"/>
        <w:gridCol w:w="1258"/>
        <w:gridCol w:w="3046"/>
      </w:tblGrid>
      <w:tr w:rsidR="006F4095" w:rsidRPr="008127F8" w14:paraId="34DDDAB8" w14:textId="77777777">
        <w:tc>
          <w:tcPr>
            <w:tcW w:w="2376" w:type="dxa"/>
            <w:tcBorders>
              <w:top w:val="single" w:sz="12" w:space="0" w:color="auto"/>
            </w:tcBorders>
          </w:tcPr>
          <w:p w14:paraId="464A759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Наименование планера</w:t>
            </w:r>
          </w:p>
        </w:tc>
        <w:tc>
          <w:tcPr>
            <w:tcW w:w="1258" w:type="dxa"/>
            <w:tcBorders>
              <w:top w:val="single" w:sz="12" w:space="0" w:color="auto"/>
            </w:tcBorders>
          </w:tcPr>
          <w:p w14:paraId="318D87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Кварталы 1942 года</w:t>
            </w:r>
          </w:p>
        </w:tc>
        <w:tc>
          <w:tcPr>
            <w:tcW w:w="1258" w:type="dxa"/>
            <w:tcBorders>
              <w:top w:val="single" w:sz="12" w:space="0" w:color="auto"/>
            </w:tcBorders>
          </w:tcPr>
          <w:p w14:paraId="1D9915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Всего в</w:t>
            </w:r>
          </w:p>
        </w:tc>
        <w:tc>
          <w:tcPr>
            <w:tcW w:w="1258" w:type="dxa"/>
            <w:tcBorders>
              <w:top w:val="single" w:sz="12" w:space="0" w:color="auto"/>
            </w:tcBorders>
          </w:tcPr>
          <w:p w14:paraId="14E0DCFF" w14:textId="77777777" w:rsidR="00D4651C" w:rsidRPr="008127F8" w:rsidRDefault="00D4651C" w:rsidP="001E0A84">
            <w:pPr>
              <w:pStyle w:val="Iauiue"/>
              <w:jc w:val="both"/>
              <w:rPr>
                <w:color w:val="000000" w:themeColor="text1"/>
                <w:sz w:val="16"/>
                <w:szCs w:val="16"/>
              </w:rPr>
            </w:pPr>
          </w:p>
        </w:tc>
        <w:tc>
          <w:tcPr>
            <w:tcW w:w="1258" w:type="dxa"/>
            <w:tcBorders>
              <w:top w:val="single" w:sz="12" w:space="0" w:color="auto"/>
            </w:tcBorders>
          </w:tcPr>
          <w:p w14:paraId="118AEBFF" w14:textId="77777777" w:rsidR="00D4651C" w:rsidRPr="008127F8" w:rsidRDefault="00D4651C" w:rsidP="001E0A84">
            <w:pPr>
              <w:pStyle w:val="Iauiue"/>
              <w:jc w:val="both"/>
              <w:rPr>
                <w:color w:val="000000" w:themeColor="text1"/>
                <w:sz w:val="16"/>
                <w:szCs w:val="16"/>
              </w:rPr>
            </w:pPr>
          </w:p>
        </w:tc>
        <w:tc>
          <w:tcPr>
            <w:tcW w:w="3046" w:type="dxa"/>
            <w:tcBorders>
              <w:top w:val="single" w:sz="12" w:space="0" w:color="auto"/>
            </w:tcBorders>
          </w:tcPr>
          <w:p w14:paraId="198C4272" w14:textId="77777777" w:rsidR="00D4651C" w:rsidRPr="008127F8" w:rsidRDefault="00D4651C" w:rsidP="001E0A84">
            <w:pPr>
              <w:pStyle w:val="Iauiue"/>
              <w:jc w:val="both"/>
              <w:rPr>
                <w:color w:val="000000" w:themeColor="text1"/>
                <w:sz w:val="16"/>
                <w:szCs w:val="16"/>
              </w:rPr>
            </w:pPr>
          </w:p>
        </w:tc>
      </w:tr>
      <w:tr w:rsidR="006F4095" w:rsidRPr="008127F8" w14:paraId="52BE53BB" w14:textId="77777777">
        <w:tc>
          <w:tcPr>
            <w:tcW w:w="2376" w:type="dxa"/>
          </w:tcPr>
          <w:p w14:paraId="3E1C8D60" w14:textId="77777777" w:rsidR="00D4651C" w:rsidRPr="008127F8" w:rsidRDefault="00D4651C" w:rsidP="001E0A84">
            <w:pPr>
              <w:pStyle w:val="Iauiue"/>
              <w:jc w:val="both"/>
              <w:rPr>
                <w:color w:val="000000" w:themeColor="text1"/>
                <w:sz w:val="16"/>
                <w:szCs w:val="16"/>
              </w:rPr>
            </w:pPr>
          </w:p>
        </w:tc>
        <w:tc>
          <w:tcPr>
            <w:tcW w:w="1258" w:type="dxa"/>
          </w:tcPr>
          <w:p w14:paraId="68686F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w:t>
            </w:r>
          </w:p>
        </w:tc>
        <w:tc>
          <w:tcPr>
            <w:tcW w:w="1258" w:type="dxa"/>
          </w:tcPr>
          <w:p w14:paraId="097BCA8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II</w:t>
            </w:r>
          </w:p>
        </w:tc>
        <w:tc>
          <w:tcPr>
            <w:tcW w:w="1258" w:type="dxa"/>
          </w:tcPr>
          <w:p w14:paraId="6D15AE2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III</w:t>
            </w:r>
          </w:p>
        </w:tc>
        <w:tc>
          <w:tcPr>
            <w:tcW w:w="1258" w:type="dxa"/>
          </w:tcPr>
          <w:p w14:paraId="73C7EE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IV</w:t>
            </w:r>
          </w:p>
        </w:tc>
        <w:tc>
          <w:tcPr>
            <w:tcW w:w="3046" w:type="dxa"/>
          </w:tcPr>
          <w:p w14:paraId="580F01A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1942 г.</w:t>
            </w:r>
          </w:p>
        </w:tc>
      </w:tr>
      <w:tr w:rsidR="006F4095" w:rsidRPr="008127F8" w14:paraId="59D920BF" w14:textId="77777777">
        <w:tc>
          <w:tcPr>
            <w:tcW w:w="2376" w:type="dxa"/>
          </w:tcPr>
          <w:p w14:paraId="6A9F096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7-ми местные РФ-8</w:t>
            </w:r>
          </w:p>
        </w:tc>
        <w:tc>
          <w:tcPr>
            <w:tcW w:w="1258" w:type="dxa"/>
          </w:tcPr>
          <w:p w14:paraId="7238471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w:t>
            </w:r>
          </w:p>
        </w:tc>
        <w:tc>
          <w:tcPr>
            <w:tcW w:w="1258" w:type="dxa"/>
          </w:tcPr>
          <w:p w14:paraId="740B86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250</w:t>
            </w:r>
          </w:p>
        </w:tc>
        <w:tc>
          <w:tcPr>
            <w:tcW w:w="1258" w:type="dxa"/>
          </w:tcPr>
          <w:p w14:paraId="7934049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300</w:t>
            </w:r>
          </w:p>
        </w:tc>
        <w:tc>
          <w:tcPr>
            <w:tcW w:w="1258" w:type="dxa"/>
          </w:tcPr>
          <w:p w14:paraId="5B9FF25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3046" w:type="dxa"/>
          </w:tcPr>
          <w:p w14:paraId="2220A7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900</w:t>
            </w:r>
          </w:p>
        </w:tc>
      </w:tr>
      <w:tr w:rsidR="006F4095" w:rsidRPr="008127F8" w14:paraId="37355635" w14:textId="77777777">
        <w:tc>
          <w:tcPr>
            <w:tcW w:w="2376" w:type="dxa"/>
          </w:tcPr>
          <w:p w14:paraId="79CA34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11-ти местные Гр-29</w:t>
            </w:r>
          </w:p>
        </w:tc>
        <w:tc>
          <w:tcPr>
            <w:tcW w:w="1258" w:type="dxa"/>
          </w:tcPr>
          <w:p w14:paraId="5D3BA97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250</w:t>
            </w:r>
          </w:p>
        </w:tc>
        <w:tc>
          <w:tcPr>
            <w:tcW w:w="1258" w:type="dxa"/>
          </w:tcPr>
          <w:p w14:paraId="54E042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400</w:t>
            </w:r>
          </w:p>
        </w:tc>
        <w:tc>
          <w:tcPr>
            <w:tcW w:w="1258" w:type="dxa"/>
          </w:tcPr>
          <w:p w14:paraId="3A5B325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500</w:t>
            </w:r>
          </w:p>
        </w:tc>
        <w:tc>
          <w:tcPr>
            <w:tcW w:w="1258" w:type="dxa"/>
          </w:tcPr>
          <w:p w14:paraId="57A66B2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350</w:t>
            </w:r>
          </w:p>
        </w:tc>
        <w:tc>
          <w:tcPr>
            <w:tcW w:w="3046" w:type="dxa"/>
          </w:tcPr>
          <w:p w14:paraId="2669783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1500</w:t>
            </w:r>
          </w:p>
        </w:tc>
      </w:tr>
      <w:tr w:rsidR="006F4095" w:rsidRPr="008127F8" w14:paraId="505D87AD" w14:textId="77777777">
        <w:tc>
          <w:tcPr>
            <w:tcW w:w="2376" w:type="dxa"/>
          </w:tcPr>
          <w:p w14:paraId="1438F7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20-ти местные КЦ-2</w:t>
            </w:r>
          </w:p>
        </w:tc>
        <w:tc>
          <w:tcPr>
            <w:tcW w:w="1258" w:type="dxa"/>
          </w:tcPr>
          <w:p w14:paraId="6880ED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1258" w:type="dxa"/>
          </w:tcPr>
          <w:p w14:paraId="352508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w:t>
            </w:r>
          </w:p>
        </w:tc>
        <w:tc>
          <w:tcPr>
            <w:tcW w:w="1258" w:type="dxa"/>
          </w:tcPr>
          <w:p w14:paraId="68B829D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c>
          <w:tcPr>
            <w:tcW w:w="1258" w:type="dxa"/>
          </w:tcPr>
          <w:p w14:paraId="7C295E5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150</w:t>
            </w:r>
          </w:p>
        </w:tc>
        <w:tc>
          <w:tcPr>
            <w:tcW w:w="3046" w:type="dxa"/>
          </w:tcPr>
          <w:p w14:paraId="5A141B0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500</w:t>
            </w:r>
          </w:p>
        </w:tc>
      </w:tr>
      <w:tr w:rsidR="006F4095" w:rsidRPr="008127F8" w14:paraId="643F415A" w14:textId="77777777">
        <w:tc>
          <w:tcPr>
            <w:tcW w:w="2376" w:type="dxa"/>
          </w:tcPr>
          <w:p w14:paraId="2F2AD12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Транспортные</w:t>
            </w:r>
          </w:p>
        </w:tc>
        <w:tc>
          <w:tcPr>
            <w:tcW w:w="1258" w:type="dxa"/>
          </w:tcPr>
          <w:p w14:paraId="18A6FF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w:t>
            </w:r>
          </w:p>
        </w:tc>
        <w:tc>
          <w:tcPr>
            <w:tcW w:w="1258" w:type="dxa"/>
          </w:tcPr>
          <w:p w14:paraId="59A53A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1258" w:type="dxa"/>
          </w:tcPr>
          <w:p w14:paraId="32CEA2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w:t>
            </w:r>
          </w:p>
        </w:tc>
        <w:tc>
          <w:tcPr>
            <w:tcW w:w="1258" w:type="dxa"/>
          </w:tcPr>
          <w:p w14:paraId="3C416BC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w:t>
            </w:r>
          </w:p>
        </w:tc>
        <w:tc>
          <w:tcPr>
            <w:tcW w:w="3046" w:type="dxa"/>
          </w:tcPr>
          <w:p w14:paraId="34D1809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w:t>
            </w:r>
          </w:p>
        </w:tc>
      </w:tr>
      <w:tr w:rsidR="006F4095" w:rsidRPr="008127F8" w14:paraId="5C35A67E" w14:textId="77777777">
        <w:tc>
          <w:tcPr>
            <w:tcW w:w="2376" w:type="dxa"/>
          </w:tcPr>
          <w:p w14:paraId="69BAF66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Учебно-тренировочные</w:t>
            </w:r>
          </w:p>
        </w:tc>
        <w:tc>
          <w:tcPr>
            <w:tcW w:w="1258" w:type="dxa"/>
          </w:tcPr>
          <w:p w14:paraId="448ADB8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w:t>
            </w:r>
          </w:p>
        </w:tc>
        <w:tc>
          <w:tcPr>
            <w:tcW w:w="1258" w:type="dxa"/>
          </w:tcPr>
          <w:p w14:paraId="1E14A0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w:t>
            </w:r>
          </w:p>
        </w:tc>
        <w:tc>
          <w:tcPr>
            <w:tcW w:w="1258" w:type="dxa"/>
          </w:tcPr>
          <w:p w14:paraId="1855EC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110</w:t>
            </w:r>
          </w:p>
        </w:tc>
        <w:tc>
          <w:tcPr>
            <w:tcW w:w="1258" w:type="dxa"/>
          </w:tcPr>
          <w:p w14:paraId="3371389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100</w:t>
            </w:r>
          </w:p>
        </w:tc>
        <w:tc>
          <w:tcPr>
            <w:tcW w:w="3046" w:type="dxa"/>
          </w:tcPr>
          <w:p w14:paraId="1993F54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400</w:t>
            </w:r>
          </w:p>
        </w:tc>
      </w:tr>
      <w:tr w:rsidR="006F4095" w:rsidRPr="008127F8" w14:paraId="2BFAE9CA" w14:textId="77777777">
        <w:tc>
          <w:tcPr>
            <w:tcW w:w="2376" w:type="dxa"/>
            <w:tcBorders>
              <w:bottom w:val="single" w:sz="12" w:space="0" w:color="auto"/>
            </w:tcBorders>
          </w:tcPr>
          <w:p w14:paraId="114119B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Итого:</w:t>
            </w:r>
          </w:p>
        </w:tc>
        <w:tc>
          <w:tcPr>
            <w:tcW w:w="1258" w:type="dxa"/>
            <w:tcBorders>
              <w:bottom w:val="single" w:sz="12" w:space="0" w:color="auto"/>
            </w:tcBorders>
          </w:tcPr>
          <w:p w14:paraId="0984A1E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550</w:t>
            </w:r>
          </w:p>
        </w:tc>
        <w:tc>
          <w:tcPr>
            <w:tcW w:w="1258" w:type="dxa"/>
            <w:tcBorders>
              <w:bottom w:val="single" w:sz="12" w:space="0" w:color="auto"/>
            </w:tcBorders>
          </w:tcPr>
          <w:p w14:paraId="4043F0A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900</w:t>
            </w:r>
          </w:p>
        </w:tc>
        <w:tc>
          <w:tcPr>
            <w:tcW w:w="1258" w:type="dxa"/>
            <w:tcBorders>
              <w:bottom w:val="single" w:sz="12" w:space="0" w:color="auto"/>
            </w:tcBorders>
          </w:tcPr>
          <w:p w14:paraId="09736F4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1200</w:t>
            </w:r>
          </w:p>
        </w:tc>
        <w:tc>
          <w:tcPr>
            <w:tcW w:w="1258" w:type="dxa"/>
            <w:tcBorders>
              <w:bottom w:val="single" w:sz="12" w:space="0" w:color="auto"/>
            </w:tcBorders>
          </w:tcPr>
          <w:p w14:paraId="2C80333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850</w:t>
            </w:r>
          </w:p>
        </w:tc>
        <w:tc>
          <w:tcPr>
            <w:tcW w:w="3046" w:type="dxa"/>
            <w:tcBorders>
              <w:bottom w:val="single" w:sz="12" w:space="0" w:color="auto"/>
            </w:tcBorders>
          </w:tcPr>
          <w:p w14:paraId="4D3958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3500</w:t>
            </w:r>
          </w:p>
        </w:tc>
      </w:tr>
    </w:tbl>
    <w:p w14:paraId="53E7A4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Восстановить в системе Наркомата Авиапрома 11-е Гл. управление и сосредоточить под его руководством не только планерные заводы, но и заводы изготавливающие подвески, кабины и другое Воздушно-десантное имущество (1623,55).</w:t>
      </w:r>
    </w:p>
    <w:p w14:paraId="78A846B1" w14:textId="77777777" w:rsidR="00D4651C" w:rsidRPr="008127F8" w:rsidRDefault="00D4651C" w:rsidP="001E0A84">
      <w:pPr>
        <w:pStyle w:val="Iauiue"/>
        <w:jc w:val="both"/>
        <w:rPr>
          <w:color w:val="000000" w:themeColor="text1"/>
          <w:sz w:val="16"/>
          <w:szCs w:val="16"/>
        </w:rPr>
      </w:pPr>
    </w:p>
    <w:p w14:paraId="6AACF88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w:t>
      </w:r>
      <w:r w:rsidRPr="008127F8">
        <w:rPr>
          <w:rFonts w:ascii="Times New Roman" w:hAnsi="Times New Roman"/>
          <w:color w:val="000000" w:themeColor="text1"/>
          <w:sz w:val="16"/>
          <w:szCs w:val="16"/>
        </w:rPr>
        <w:softHyphen/>
        <w:t>варя 1942 г. директор завода № 24 Жезлов, главный инженер завода Куинджи и начальник конструктор</w:t>
      </w:r>
      <w:r w:rsidRPr="008127F8">
        <w:rPr>
          <w:rFonts w:ascii="Times New Roman" w:hAnsi="Times New Roman"/>
          <w:color w:val="000000" w:themeColor="text1"/>
          <w:sz w:val="16"/>
          <w:szCs w:val="16"/>
        </w:rPr>
        <w:softHyphen/>
        <w:t>ского отдела Юдин направи</w:t>
      </w:r>
      <w:r w:rsidRPr="008127F8">
        <w:rPr>
          <w:rFonts w:ascii="Times New Roman" w:hAnsi="Times New Roman"/>
          <w:color w:val="000000" w:themeColor="text1"/>
          <w:sz w:val="16"/>
          <w:szCs w:val="16"/>
        </w:rPr>
        <w:softHyphen/>
        <w:t>ли письмо Сталину, в ко</w:t>
      </w:r>
      <w:r w:rsidRPr="008127F8">
        <w:rPr>
          <w:rFonts w:ascii="Times New Roman" w:hAnsi="Times New Roman"/>
          <w:color w:val="000000" w:themeColor="text1"/>
          <w:sz w:val="16"/>
          <w:szCs w:val="16"/>
        </w:rPr>
        <w:softHyphen/>
        <w:t>тором писали, что «в течение ряда лет моторы семейства АМ-35А развивались по мощности, главным образом, за счет надду</w:t>
      </w:r>
      <w:r w:rsidRPr="008127F8">
        <w:rPr>
          <w:rFonts w:ascii="Times New Roman" w:hAnsi="Times New Roman"/>
          <w:color w:val="000000" w:themeColor="text1"/>
          <w:sz w:val="16"/>
          <w:szCs w:val="16"/>
        </w:rPr>
        <w:softHyphen/>
        <w:t>ва. Путь этот был наиболее легким, т.к. мотор АМ-35 обладает боль</w:t>
      </w:r>
      <w:r w:rsidRPr="008127F8">
        <w:rPr>
          <w:rFonts w:ascii="Times New Roman" w:hAnsi="Times New Roman"/>
          <w:color w:val="000000" w:themeColor="text1"/>
          <w:sz w:val="16"/>
          <w:szCs w:val="16"/>
        </w:rPr>
        <w:softHyphen/>
        <w:t>шим литражем, позволившим снять с мотора довольно большие мощности.</w:t>
      </w:r>
    </w:p>
    <w:p w14:paraId="08C803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возможность форсирования мотора по надду</w:t>
      </w:r>
      <w:r w:rsidRPr="008127F8">
        <w:rPr>
          <w:rFonts w:ascii="Times New Roman" w:hAnsi="Times New Roman"/>
          <w:color w:val="000000" w:themeColor="text1"/>
          <w:sz w:val="16"/>
          <w:szCs w:val="16"/>
        </w:rPr>
        <w:softHyphen/>
        <w:t>ву исчерпана по трем причинам:</w:t>
      </w:r>
    </w:p>
    <w:p w14:paraId="7C3FF9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мотор термически напряжен до предела;</w:t>
      </w:r>
    </w:p>
    <w:p w14:paraId="3D451EF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дальнейшее увеличение наддува влечет за собой применение топлива с октановым числом выше 95, что повлечет за собой перена</w:t>
      </w:r>
      <w:r w:rsidRPr="008127F8">
        <w:rPr>
          <w:rFonts w:ascii="Times New Roman" w:hAnsi="Times New Roman"/>
          <w:color w:val="000000" w:themeColor="text1"/>
          <w:sz w:val="16"/>
          <w:szCs w:val="16"/>
        </w:rPr>
        <w:softHyphen/>
        <w:t>пряжение топливных ресурсов нашей страны;</w:t>
      </w:r>
    </w:p>
    <w:p w14:paraId="1FC191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сильно возрастут нагрузки от сил газов и усложняется разре</w:t>
      </w:r>
      <w:r w:rsidRPr="008127F8">
        <w:rPr>
          <w:rFonts w:ascii="Times New Roman" w:hAnsi="Times New Roman"/>
          <w:color w:val="000000" w:themeColor="text1"/>
          <w:sz w:val="16"/>
          <w:szCs w:val="16"/>
        </w:rPr>
        <w:softHyphen/>
        <w:t>шение конструктивных задач по уплотнениям и доводке клапанного механизма.</w:t>
      </w:r>
    </w:p>
    <w:p w14:paraId="5FECE09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группа конструкторов завода № 24 по инициативе авторов письма, с разрешения Наркома Авиационной Промышлен</w:t>
      </w:r>
      <w:r w:rsidRPr="008127F8">
        <w:rPr>
          <w:rFonts w:ascii="Times New Roman" w:hAnsi="Times New Roman"/>
          <w:color w:val="000000" w:themeColor="text1"/>
          <w:sz w:val="16"/>
          <w:szCs w:val="16"/>
        </w:rPr>
        <w:softHyphen/>
        <w:t>ности, начала работать по развитию мощности мотора в основном за счет увеличения числа оборотов».</w:t>
      </w:r>
    </w:p>
    <w:p w14:paraId="1D71ED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они писали: “Поэтому авторы мотора решают эту задачу, опираясь на производственную базу завода № 24 и оставляют суще</w:t>
      </w:r>
      <w:r w:rsidRPr="008127F8">
        <w:rPr>
          <w:rFonts w:ascii="Times New Roman" w:hAnsi="Times New Roman"/>
          <w:color w:val="000000" w:themeColor="text1"/>
          <w:sz w:val="16"/>
          <w:szCs w:val="16"/>
        </w:rPr>
        <w:softHyphen/>
        <w:t>ствующий литраж двигателя, улучшив наполнение двигателя, повы</w:t>
      </w:r>
      <w:r w:rsidRPr="008127F8">
        <w:rPr>
          <w:rFonts w:ascii="Times New Roman" w:hAnsi="Times New Roman"/>
          <w:color w:val="000000" w:themeColor="text1"/>
          <w:sz w:val="16"/>
          <w:szCs w:val="16"/>
        </w:rPr>
        <w:softHyphen/>
        <w:t>сив его литровую мощность, по которым моторы АМ-35А и АМ-38 отстают от сонременных авиационных двигателей... Развитие мото ра [которому дали название ЗИФ — завод имени Фрунзе разделяется на 2 этапа:</w:t>
      </w:r>
    </w:p>
    <w:p w14:paraId="36C395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Данныемотора[ЗИФ-1]:1600 л.с.навысотебООО м, 1850 л.с. взлетной мощности, при числе оборотом 2500 и октановом числе топ</w:t>
      </w:r>
      <w:r w:rsidRPr="008127F8">
        <w:rPr>
          <w:rFonts w:ascii="Times New Roman" w:hAnsi="Times New Roman"/>
          <w:color w:val="000000" w:themeColor="text1"/>
          <w:sz w:val="16"/>
          <w:szCs w:val="16"/>
        </w:rPr>
        <w:softHyphen/>
        <w:t>лива не более В этом моторе пересмотрены все узлы с точки зрения повышения оборотности, улучшено наполнение и предусматривается установка двухскоростного нагнетателя.</w:t>
      </w:r>
    </w:p>
    <w:p w14:paraId="083F5E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Данные мотора [ЗИФ-2]: 1800 л. с. на высоте 6000 м и 2000 л. с. взлетной мощности.</w:t>
      </w:r>
    </w:p>
    <w:p w14:paraId="02299A0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Повышение мощности по сравнению с ЗИФ-1 получено за счет постановки новых блоков с максимально улучшенным наполнением и поршневого нагнетателя. Поршневой нагнетатель уменьшает мощ</w:t>
      </w:r>
      <w:r w:rsidRPr="008127F8">
        <w:rPr>
          <w:rFonts w:ascii="Times New Roman" w:hAnsi="Times New Roman"/>
          <w:color w:val="000000" w:themeColor="text1"/>
          <w:sz w:val="16"/>
          <w:szCs w:val="16"/>
        </w:rPr>
        <w:softHyphen/>
        <w:t>ность, идущую на нагнетатель, на 100-150 л.с., и значительно умень</w:t>
      </w:r>
      <w:r w:rsidRPr="008127F8">
        <w:rPr>
          <w:rFonts w:ascii="Times New Roman" w:hAnsi="Times New Roman"/>
          <w:color w:val="000000" w:themeColor="text1"/>
          <w:sz w:val="16"/>
          <w:szCs w:val="16"/>
        </w:rPr>
        <w:softHyphen/>
        <w:t>шает температуру воздуха, выходящего из нагнетателя.</w:t>
      </w:r>
    </w:p>
    <w:p w14:paraId="110759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допускает возможность выпускать моторы без охлаждения воздуха, выходящего из нагнетателя и, тем самым, уменьшить значе</w:t>
      </w:r>
      <w:r w:rsidRPr="008127F8">
        <w:rPr>
          <w:rFonts w:ascii="Times New Roman" w:hAnsi="Times New Roman"/>
          <w:color w:val="000000" w:themeColor="text1"/>
          <w:sz w:val="16"/>
          <w:szCs w:val="16"/>
        </w:rPr>
        <w:softHyphen/>
        <w:t>ние сопротивления на самолете... Моторы ЗИФ-1 и ЗИФ-2 проконсультированы с тов. Микояном и тов. Ильюшиным. По их мнению, эти моторы представляют очень большой интерес и требуют построй</w:t>
      </w:r>
      <w:r w:rsidRPr="008127F8">
        <w:rPr>
          <w:rFonts w:ascii="Times New Roman" w:hAnsi="Times New Roman"/>
          <w:color w:val="000000" w:themeColor="text1"/>
          <w:sz w:val="16"/>
          <w:szCs w:val="16"/>
        </w:rPr>
        <w:softHyphen/>
        <w:t>ки в кратчайшие сроки как для истребителей, так и для штурмови</w:t>
      </w:r>
      <w:r w:rsidRPr="008127F8">
        <w:rPr>
          <w:rFonts w:ascii="Times New Roman" w:hAnsi="Times New Roman"/>
          <w:color w:val="000000" w:themeColor="text1"/>
          <w:sz w:val="16"/>
          <w:szCs w:val="16"/>
        </w:rPr>
        <w:softHyphen/>
        <w:t>ков... Работы по этим моторам могут быть выполнены в следующие сроки: окончание длительных испытаний ЗИФ-1 к 1.07.1942г., ЗИФ-2 - к 1.11.1942 г. Работы по моторам ЗИФ-1 и ЗИФ-2 начаты и проводятся без участия тов. Микулина», — сочли необходимым под</w:t>
      </w:r>
      <w:r w:rsidRPr="008127F8">
        <w:rPr>
          <w:rFonts w:ascii="Times New Roman" w:hAnsi="Times New Roman"/>
          <w:color w:val="000000" w:themeColor="text1"/>
          <w:sz w:val="16"/>
          <w:szCs w:val="16"/>
        </w:rPr>
        <w:softHyphen/>
        <w:t>черкнуть авторы письма. И далее: «...просим разрешить постройку опытных моторов ЗИФ-1 и ЗИФ-2 на заводе № 24» (10781).</w:t>
      </w:r>
    </w:p>
    <w:p w14:paraId="62095A0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BD0D21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w:t>
      </w:r>
      <w:r w:rsidRPr="008127F8">
        <w:rPr>
          <w:rFonts w:ascii="Times New Roman" w:hAnsi="Times New Roman"/>
          <w:color w:val="000000" w:themeColor="text1"/>
          <w:sz w:val="16"/>
          <w:szCs w:val="16"/>
        </w:rPr>
        <w:softHyphen/>
        <w:t>варя 1942 г. директор завода № 24 Жезлов, главный инженер завода Куинджи и начальник конструктор</w:t>
      </w:r>
      <w:r w:rsidRPr="008127F8">
        <w:rPr>
          <w:rFonts w:ascii="Times New Roman" w:hAnsi="Times New Roman"/>
          <w:color w:val="000000" w:themeColor="text1"/>
          <w:sz w:val="16"/>
          <w:szCs w:val="16"/>
        </w:rPr>
        <w:softHyphen/>
        <w:t>ского отдела Юдин направи</w:t>
      </w:r>
      <w:r w:rsidRPr="008127F8">
        <w:rPr>
          <w:rFonts w:ascii="Times New Roman" w:hAnsi="Times New Roman"/>
          <w:color w:val="000000" w:themeColor="text1"/>
          <w:sz w:val="16"/>
          <w:szCs w:val="16"/>
        </w:rPr>
        <w:softHyphen/>
        <w:t>ли письмо Сталину, в ко</w:t>
      </w:r>
      <w:r w:rsidRPr="008127F8">
        <w:rPr>
          <w:rFonts w:ascii="Times New Roman" w:hAnsi="Times New Roman"/>
          <w:color w:val="000000" w:themeColor="text1"/>
          <w:sz w:val="16"/>
          <w:szCs w:val="16"/>
        </w:rPr>
        <w:softHyphen/>
        <w:t>тором писали, что «в течение ряда лет моторы семейства АМ-35А развивались по мощности, главным образом, за счет надду</w:t>
      </w:r>
      <w:r w:rsidRPr="008127F8">
        <w:rPr>
          <w:rFonts w:ascii="Times New Roman" w:hAnsi="Times New Roman"/>
          <w:color w:val="000000" w:themeColor="text1"/>
          <w:sz w:val="16"/>
          <w:szCs w:val="16"/>
        </w:rPr>
        <w:softHyphen/>
        <w:t>ва. Путь этот был наиболее легким, т.к. мотор АМ-35 обладает боль</w:t>
      </w:r>
      <w:r w:rsidRPr="008127F8">
        <w:rPr>
          <w:rFonts w:ascii="Times New Roman" w:hAnsi="Times New Roman"/>
          <w:color w:val="000000" w:themeColor="text1"/>
          <w:sz w:val="16"/>
          <w:szCs w:val="16"/>
        </w:rPr>
        <w:softHyphen/>
        <w:t>шим литражем, позволившим снять с мотора довольно большие мощности.</w:t>
      </w:r>
    </w:p>
    <w:p w14:paraId="35193B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возможность форсирования мотора по надду</w:t>
      </w:r>
      <w:r w:rsidRPr="008127F8">
        <w:rPr>
          <w:rFonts w:ascii="Times New Roman" w:hAnsi="Times New Roman"/>
          <w:color w:val="000000" w:themeColor="text1"/>
          <w:sz w:val="16"/>
          <w:szCs w:val="16"/>
        </w:rPr>
        <w:softHyphen/>
        <w:t>ву исчерпана по трем причинам:</w:t>
      </w:r>
    </w:p>
    <w:p w14:paraId="241770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мотор термически напряжен до предела;</w:t>
      </w:r>
    </w:p>
    <w:p w14:paraId="323186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дальнейшее увеличение наддува влечет за собой применение топлива с октановым числом выше 95, что повлечет за собой перена</w:t>
      </w:r>
      <w:r w:rsidRPr="008127F8">
        <w:rPr>
          <w:rFonts w:ascii="Times New Roman" w:hAnsi="Times New Roman"/>
          <w:color w:val="000000" w:themeColor="text1"/>
          <w:sz w:val="16"/>
          <w:szCs w:val="16"/>
        </w:rPr>
        <w:softHyphen/>
        <w:t>пряжение топливных ресурсов нашей страны;</w:t>
      </w:r>
    </w:p>
    <w:p w14:paraId="31019AB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сильно возрастут нагрузки от сил газов и усложняется разре</w:t>
      </w:r>
      <w:r w:rsidRPr="008127F8">
        <w:rPr>
          <w:rFonts w:ascii="Times New Roman" w:hAnsi="Times New Roman"/>
          <w:color w:val="000000" w:themeColor="text1"/>
          <w:sz w:val="16"/>
          <w:szCs w:val="16"/>
        </w:rPr>
        <w:softHyphen/>
        <w:t>шение конструктивных задач по уплотнениям и доводке клапанного механизма.</w:t>
      </w:r>
    </w:p>
    <w:p w14:paraId="2598490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группа конструкторов завода № 24 по инициативе авторов письма, с разрешения Наркома Авиационной Промышлен</w:t>
      </w:r>
      <w:r w:rsidRPr="008127F8">
        <w:rPr>
          <w:rFonts w:ascii="Times New Roman" w:hAnsi="Times New Roman"/>
          <w:color w:val="000000" w:themeColor="text1"/>
          <w:sz w:val="16"/>
          <w:szCs w:val="16"/>
        </w:rPr>
        <w:softHyphen/>
        <w:t>ности, начала работать по развитию мощности мотора в основном за счет увеличения числа оборотов».</w:t>
      </w:r>
    </w:p>
    <w:p w14:paraId="5E35508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они писали: “Поэтому авторы мотора решают эту задачу, опираясь на производственную базу завода № 24 и оставляют суще</w:t>
      </w:r>
      <w:r w:rsidRPr="008127F8">
        <w:rPr>
          <w:rFonts w:ascii="Times New Roman" w:hAnsi="Times New Roman"/>
          <w:color w:val="000000" w:themeColor="text1"/>
          <w:sz w:val="16"/>
          <w:szCs w:val="16"/>
        </w:rPr>
        <w:softHyphen/>
        <w:t>ствующий литраж двигателя, улучшив наполнение двигателя, повы</w:t>
      </w:r>
      <w:r w:rsidRPr="008127F8">
        <w:rPr>
          <w:rFonts w:ascii="Times New Roman" w:hAnsi="Times New Roman"/>
          <w:color w:val="000000" w:themeColor="text1"/>
          <w:sz w:val="16"/>
          <w:szCs w:val="16"/>
        </w:rPr>
        <w:softHyphen/>
        <w:t>сив его литровую мощность, по которым моторы АМ-35А и АМ-38 отстают от сонременных авиационных двигателей... Развитие мото ра [которому дали название ЗИФ — завод имени Фрунзе разделяется на 2 этапа:</w:t>
      </w:r>
    </w:p>
    <w:p w14:paraId="3E5F28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Данныемотора[ЗИФ-1]:1600 л.с.навысотебООО м, 1850 л.с. взлетной мощности, при числе оборотом 2500 и октановом числе топ</w:t>
      </w:r>
      <w:r w:rsidRPr="008127F8">
        <w:rPr>
          <w:rFonts w:ascii="Times New Roman" w:hAnsi="Times New Roman"/>
          <w:color w:val="000000" w:themeColor="text1"/>
          <w:sz w:val="16"/>
          <w:szCs w:val="16"/>
        </w:rPr>
        <w:softHyphen/>
        <w:t>лива не более В этом моторе пересмотрены все узлы с точки зрения повышения оборотности, улучшено наполнение и предусматривается установка двухскоростного нагнетателя.</w:t>
      </w:r>
    </w:p>
    <w:p w14:paraId="63A0BD9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Данные мотора [ЗИФ-2]: 1800 л. с. на высоте 6000 м и 2000 л. с. взлетной мощности.</w:t>
      </w:r>
    </w:p>
    <w:p w14:paraId="289537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Повышение мощности по сравнению с ЗИФ-1 получено за счет постановки новых блоков с максимально улучшенным наполнением и поршневого нагнетателя. Поршневой нагнетатель уменьшает мощ</w:t>
      </w:r>
      <w:r w:rsidRPr="008127F8">
        <w:rPr>
          <w:rFonts w:ascii="Times New Roman" w:hAnsi="Times New Roman"/>
          <w:color w:val="000000" w:themeColor="text1"/>
          <w:sz w:val="16"/>
          <w:szCs w:val="16"/>
        </w:rPr>
        <w:softHyphen/>
        <w:t>ность, идущую на нагнетатель, на 100-150 л.с., и значительно умень</w:t>
      </w:r>
      <w:r w:rsidRPr="008127F8">
        <w:rPr>
          <w:rFonts w:ascii="Times New Roman" w:hAnsi="Times New Roman"/>
          <w:color w:val="000000" w:themeColor="text1"/>
          <w:sz w:val="16"/>
          <w:szCs w:val="16"/>
        </w:rPr>
        <w:softHyphen/>
        <w:t>шает температуру воздуха, выходящего из нагнетателя.</w:t>
      </w:r>
    </w:p>
    <w:p w14:paraId="7F6E8D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допускает возможность выпускать моторы без охлаждения воздуха, выходящего из нагнетателя и, тем самым, уменьшить значе</w:t>
      </w:r>
      <w:r w:rsidRPr="008127F8">
        <w:rPr>
          <w:rFonts w:ascii="Times New Roman" w:hAnsi="Times New Roman"/>
          <w:color w:val="000000" w:themeColor="text1"/>
          <w:sz w:val="16"/>
          <w:szCs w:val="16"/>
        </w:rPr>
        <w:softHyphen/>
        <w:t>ние сопротивления на самолете... Моторы ЗИФ-1 и ЗИФ-2 проконсультированы с тов. Микояном и тов. Ильюшиным. По их мнению, эти моторы представляют очень большой интерес и требуют построй</w:t>
      </w:r>
      <w:r w:rsidRPr="008127F8">
        <w:rPr>
          <w:rFonts w:ascii="Times New Roman" w:hAnsi="Times New Roman"/>
          <w:color w:val="000000" w:themeColor="text1"/>
          <w:sz w:val="16"/>
          <w:szCs w:val="16"/>
        </w:rPr>
        <w:softHyphen/>
        <w:t>ки в кратчайшие сроки как для истребителей, так и для штурмови</w:t>
      </w:r>
      <w:r w:rsidRPr="008127F8">
        <w:rPr>
          <w:rFonts w:ascii="Times New Roman" w:hAnsi="Times New Roman"/>
          <w:color w:val="000000" w:themeColor="text1"/>
          <w:sz w:val="16"/>
          <w:szCs w:val="16"/>
        </w:rPr>
        <w:softHyphen/>
        <w:t>ков... Работы по этим моторам могут быть выполнены в следующие сроки: окончание длительных испытаний ЗИФ-1 к 1.07.1942г., ЗИФ-2 - к 1.11.1942 г. Работы по моторам ЗИФ-1 и ЗИФ-2 начаты и проводятся без участия тов. Микулина», — сочли необходимым под</w:t>
      </w:r>
      <w:r w:rsidRPr="008127F8">
        <w:rPr>
          <w:rFonts w:ascii="Times New Roman" w:hAnsi="Times New Roman"/>
          <w:color w:val="000000" w:themeColor="text1"/>
          <w:sz w:val="16"/>
          <w:szCs w:val="16"/>
        </w:rPr>
        <w:softHyphen/>
        <w:t>черкнуть авторы письма. И далее: «...просим разрешить постройку опытных моторов ЗИФ-1 и ЗИФ-2 на заводе № 24» (10781).</w:t>
      </w:r>
    </w:p>
    <w:p w14:paraId="4F40BAE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14F9DD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17 января 1942 года в Москве, </w:t>
      </w:r>
      <w:proofErr w:type="gramStart"/>
      <w:r w:rsidRPr="008127F8">
        <w:rPr>
          <w:color w:val="000000" w:themeColor="text1"/>
          <w:sz w:val="16"/>
          <w:szCs w:val="16"/>
        </w:rPr>
        <w:t>на площади</w:t>
      </w:r>
      <w:proofErr w:type="gramEnd"/>
      <w:r w:rsidRPr="008127F8">
        <w:rPr>
          <w:color w:val="000000" w:themeColor="text1"/>
          <w:sz w:val="16"/>
          <w:szCs w:val="16"/>
        </w:rPr>
        <w:t xml:space="preserve"> оставшейся после эвакуации завода № 476, согласно приказа № 46с НКАП, были организованы мастерские по ремонту моторных, самолетных агрегатов и приборов зажигания. Эти мастерские существовали недолго.</w:t>
      </w:r>
    </w:p>
    <w:p w14:paraId="6666299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w:t>
      </w:r>
    </w:p>
    <w:p w14:paraId="7856C82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был укомплектован рабсилой и оборудованием за счет заводов НКАП №№ 30, 33, 132, 266 и 306.</w:t>
      </w:r>
    </w:p>
    <w:p w14:paraId="344918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1942 года – директор – Советов В.П.</w:t>
      </w:r>
    </w:p>
    <w:p w14:paraId="733E81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В 1944 году, </w:t>
      </w:r>
      <w:proofErr w:type="gramStart"/>
      <w:r w:rsidRPr="008127F8">
        <w:rPr>
          <w:color w:val="000000" w:themeColor="text1"/>
          <w:sz w:val="16"/>
          <w:szCs w:val="16"/>
        </w:rPr>
        <w:t>согласно приказа</w:t>
      </w:r>
      <w:proofErr w:type="gramEnd"/>
      <w:r w:rsidRPr="008127F8">
        <w:rPr>
          <w:color w:val="000000" w:themeColor="text1"/>
          <w:sz w:val="16"/>
          <w:szCs w:val="16"/>
        </w:rPr>
        <w:t xml:space="preserve">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3FFB0DE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Б, Новодмитровская, д. 12</w:t>
      </w:r>
    </w:p>
    <w:p w14:paraId="1D5026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26DAA008" w14:textId="77777777" w:rsidR="00D4651C" w:rsidRPr="008127F8" w:rsidRDefault="00D4651C" w:rsidP="001E0A84">
      <w:pPr>
        <w:pStyle w:val="Iauiue"/>
        <w:jc w:val="both"/>
        <w:rPr>
          <w:color w:val="000000" w:themeColor="text1"/>
          <w:sz w:val="16"/>
          <w:szCs w:val="16"/>
        </w:rPr>
      </w:pPr>
    </w:p>
    <w:p w14:paraId="2C3A2B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 января 1942 вышел приказ НКАП № 46с:</w:t>
      </w:r>
    </w:p>
    <w:p w14:paraId="4EB6AE5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 создании в Москве на производственных площадках эвакуированных з-в № 20, 33, 132, 266 и 476 мастерских по ремонту моторов и самолетных агрегатов и приборов зажигания.</w:t>
      </w:r>
    </w:p>
    <w:p w14:paraId="514B8E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Дементьев (1524, 40).</w:t>
      </w:r>
    </w:p>
    <w:p w14:paraId="5AB7314D" w14:textId="77777777" w:rsidR="00D4651C" w:rsidRPr="008127F8" w:rsidRDefault="00D4651C" w:rsidP="001E0A84">
      <w:pPr>
        <w:pStyle w:val="Iauiue"/>
        <w:jc w:val="both"/>
        <w:rPr>
          <w:color w:val="000000" w:themeColor="text1"/>
          <w:sz w:val="16"/>
          <w:szCs w:val="16"/>
        </w:rPr>
      </w:pPr>
    </w:p>
    <w:p w14:paraId="40EB45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января 1942 г. на площадке эвакуированного завода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в Москве по приказу № 46с от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w:t>
      </w:r>
      <w:r w:rsidRPr="008127F8">
        <w:rPr>
          <w:rFonts w:ascii="Times New Roman" w:hAnsi="Times New Roman"/>
          <w:color w:val="000000" w:themeColor="text1"/>
          <w:sz w:val="16"/>
          <w:szCs w:val="16"/>
        </w:rPr>
        <w:lastRenderedPageBreak/>
        <w:t>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 (11982).</w:t>
      </w:r>
    </w:p>
    <w:p w14:paraId="1CE708C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64815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января 1942 г. в Москве на площадке эвакуированного завода № 33 по приказу НКАП № 46с от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8127F8">
        <w:rPr>
          <w:rFonts w:ascii="Times New Roman" w:hAnsi="Times New Roman"/>
          <w:color w:val="000000" w:themeColor="text1"/>
          <w:sz w:val="16"/>
          <w:szCs w:val="16"/>
          <w:lang w:val="en-US"/>
        </w:rPr>
        <w:t>JNfe</w:t>
      </w:r>
      <w:r w:rsidRPr="008127F8">
        <w:rPr>
          <w:rFonts w:ascii="Times New Roman" w:hAnsi="Times New Roman"/>
          <w:color w:val="000000" w:themeColor="text1"/>
          <w:sz w:val="16"/>
          <w:szCs w:val="16"/>
        </w:rPr>
        <w:t xml:space="preserve"> 315 НКАП (11982).</w:t>
      </w:r>
    </w:p>
    <w:p w14:paraId="766808D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02816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 На площадке эвакуированного завода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в Москве по приказу № 46с от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 (11982).</w:t>
      </w:r>
    </w:p>
    <w:p w14:paraId="6CF6994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B6257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января 1942 г. на площадке эвакуированного завода (Завод № 266 ИМ. И.И. </w:t>
      </w:r>
      <w:r w:rsidRPr="008127F8">
        <w:rPr>
          <w:rFonts w:ascii="Times New Roman" w:hAnsi="Times New Roman"/>
          <w:color w:val="000000" w:themeColor="text1"/>
          <w:sz w:val="16"/>
          <w:szCs w:val="16"/>
          <w:lang w:val="en-US"/>
        </w:rPr>
        <w:t>Jlence</w:t>
      </w:r>
      <w:r w:rsidRPr="008127F8">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в Москве по приказу № 46с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 (11982).</w:t>
      </w:r>
    </w:p>
    <w:p w14:paraId="16D644A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5156A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 на площадке эвакуированного завода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по приказу № 46с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11A0BF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(12.1940-41 г.)- А.О. Казанский.</w:t>
      </w:r>
    </w:p>
    <w:p w14:paraId="5EE60E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(12.1940 г.-)- М. Г. Ишпаков.</w:t>
      </w:r>
    </w:p>
    <w:p w14:paraId="3AD225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(12.1940 г.-)- М. Г. Иншаков (11982).</w:t>
      </w:r>
    </w:p>
    <w:p w14:paraId="2AE3B951"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D49133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 января 1942 года Шахурин писал письмо Сталину.</w:t>
      </w:r>
    </w:p>
    <w:p w14:paraId="777421E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Руководство по опытному строительству в системе НКАП осуществляется двумя главными управлениями, что в существующих условиях усложняет координацию технических вопросов при проведении научно-исследовательских и опытных работ, связанных одновременно с различными областями авиационной техники.</w:t>
      </w:r>
    </w:p>
    <w:p w14:paraId="3D45F988" w14:textId="77777777" w:rsidR="00D4651C" w:rsidRPr="008127F8" w:rsidRDefault="00D4651C" w:rsidP="001E0A84">
      <w:pPr>
        <w:pStyle w:val="Iauiue"/>
        <w:jc w:val="both"/>
        <w:rPr>
          <w:color w:val="000000" w:themeColor="text1"/>
          <w:sz w:val="16"/>
          <w:szCs w:val="16"/>
        </w:rPr>
      </w:pPr>
      <w:proofErr w:type="gramStart"/>
      <w:r w:rsidRPr="008127F8">
        <w:rPr>
          <w:color w:val="000000" w:themeColor="text1"/>
          <w:sz w:val="16"/>
          <w:szCs w:val="16"/>
        </w:rPr>
        <w:t>Так например</w:t>
      </w:r>
      <w:proofErr w:type="gramEnd"/>
      <w:r w:rsidRPr="008127F8">
        <w:rPr>
          <w:color w:val="000000" w:themeColor="text1"/>
          <w:sz w:val="16"/>
          <w:szCs w:val="16"/>
        </w:rPr>
        <w:t>, разработка современного мотора-пушки требует самой тесной увязки работы самолетостроительных, моторных и вооруженческих организаций; в создании реактивного двигателя должны одновременно участвовать самолетчики, мотористы и топливники.</w:t>
      </w:r>
    </w:p>
    <w:p w14:paraId="4082A30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целях лучшей увязки опытных работ, сокращения сроков на их проведение, а также придания им большей технической направленности, НКАП предлагает объединить два опытных главных управления. Это мероприятие одновременно позволяет сократить штаты двух опытных управлений с 126 до 61 единицы.</w:t>
      </w:r>
    </w:p>
    <w:p w14:paraId="6EB649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Прошу утвердить прилагаемый проект Постановления ГКО (1684,1).</w:t>
      </w:r>
    </w:p>
    <w:p w14:paraId="6227A495" w14:textId="77777777" w:rsidR="00D4651C" w:rsidRPr="008127F8" w:rsidRDefault="00D4651C" w:rsidP="001E0A84">
      <w:pPr>
        <w:pStyle w:val="Iauiue"/>
        <w:jc w:val="both"/>
        <w:rPr>
          <w:color w:val="000000" w:themeColor="text1"/>
          <w:sz w:val="16"/>
          <w:szCs w:val="16"/>
        </w:rPr>
      </w:pPr>
    </w:p>
    <w:p w14:paraId="25E1C1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вышло Постановление ГКО № 1171 Об организации производства окиси магния на заводе № 237 НКХП. РГАНИР, Фонд ГКО, д. 19, лл. 160 (11012).</w:t>
      </w:r>
    </w:p>
    <w:p w14:paraId="60BE5A0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191CDB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518CA36A" w14:textId="77777777" w:rsidR="00D4651C" w:rsidRPr="008127F8" w:rsidRDefault="00D4651C" w:rsidP="001E0A84">
      <w:pPr>
        <w:pStyle w:val="Iauiue"/>
        <w:jc w:val="both"/>
        <w:rPr>
          <w:iCs/>
          <w:color w:val="000000" w:themeColor="text1"/>
          <w:sz w:val="16"/>
          <w:szCs w:val="16"/>
        </w:rPr>
      </w:pPr>
    </w:p>
    <w:p w14:paraId="1B66087B" w14:textId="77777777" w:rsidR="008D722B" w:rsidRPr="008127F8" w:rsidRDefault="008D722B"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17 января 1942, ввиду крайнего дефицита кислорода, на совещании руководство завода № 178 приняло решение вместо экрани</w:t>
      </w:r>
      <w:r w:rsidRPr="008127F8">
        <w:rPr>
          <w:rFonts w:eastAsia="Calibri"/>
          <w:color w:val="000000" w:themeColor="text1"/>
          <w:sz w:val="16"/>
          <w:szCs w:val="16"/>
        </w:rPr>
        <w:softHyphen/>
        <w:t>ровки корпусов и башен Т-60 перейти на утолщенные бронелисты. До из</w:t>
      </w:r>
      <w:r w:rsidRPr="008127F8">
        <w:rPr>
          <w:rFonts w:eastAsia="Calibri"/>
          <w:color w:val="000000" w:themeColor="text1"/>
          <w:sz w:val="16"/>
          <w:szCs w:val="16"/>
        </w:rPr>
        <w:softHyphen/>
        <w:t>готовления первого комплекта корпуса и башни с утолщенной броней планировалось производить экранировку по мере производственных возможностей, начиная с 29 января. В реальности же первые усилен</w:t>
      </w:r>
      <w:r w:rsidRPr="008127F8">
        <w:rPr>
          <w:rFonts w:eastAsia="Calibri"/>
          <w:color w:val="000000" w:themeColor="text1"/>
          <w:sz w:val="16"/>
          <w:szCs w:val="16"/>
        </w:rPr>
        <w:softHyphen/>
        <w:t>ные корпуса были готовы лишь к десятым числам февраля. Перегру</w:t>
      </w:r>
      <w:r w:rsidRPr="008127F8">
        <w:rPr>
          <w:rFonts w:eastAsia="Calibri"/>
          <w:color w:val="000000" w:themeColor="text1"/>
          <w:sz w:val="16"/>
          <w:szCs w:val="16"/>
        </w:rPr>
        <w:softHyphen/>
        <w:t>женность предприятия другими заказами привела к тому, что первона</w:t>
      </w:r>
      <w:r w:rsidRPr="008127F8">
        <w:rPr>
          <w:rFonts w:eastAsia="Calibri"/>
          <w:color w:val="000000" w:themeColor="text1"/>
          <w:sz w:val="16"/>
          <w:szCs w:val="16"/>
        </w:rPr>
        <w:softHyphen/>
        <w:t>чальный объем производства корпусов снизили до 75 штук в феврале и 75 в марте. Также стоит отметить, что завод № 178 с декабря 1941 года прорабатывал вопрос изготовления литой башни для Т-60. Данная башня имела округлую форму, как на танках Т-40 и Т-30, толщина сте</w:t>
      </w:r>
      <w:r w:rsidRPr="008127F8">
        <w:rPr>
          <w:rFonts w:eastAsia="Calibri"/>
          <w:color w:val="000000" w:themeColor="text1"/>
          <w:sz w:val="16"/>
          <w:szCs w:val="16"/>
        </w:rPr>
        <w:softHyphen/>
        <w:t>нок достигала 28—30 мм. Проект литой башни согласовывался с ГАЗ, в серию она так и не пошла. Также в апреле 1942 года завод № 178 про</w:t>
      </w:r>
      <w:r w:rsidRPr="008127F8">
        <w:rPr>
          <w:rFonts w:eastAsia="Calibri"/>
          <w:color w:val="000000" w:themeColor="text1"/>
          <w:sz w:val="16"/>
          <w:szCs w:val="16"/>
        </w:rPr>
        <w:softHyphen/>
        <w:t>рабатывал вопрос изготовления литого смотрового люка механика-</w:t>
      </w:r>
      <w:proofErr w:type="gramStart"/>
      <w:r w:rsidRPr="008127F8">
        <w:rPr>
          <w:rFonts w:eastAsia="Calibri"/>
          <w:color w:val="000000" w:themeColor="text1"/>
          <w:sz w:val="16"/>
          <w:szCs w:val="16"/>
        </w:rPr>
        <w:t>во- дителя</w:t>
      </w:r>
      <w:proofErr w:type="gramEnd"/>
      <w:r w:rsidRPr="008127F8">
        <w:rPr>
          <w:rFonts w:eastAsia="Calibri"/>
          <w:color w:val="000000" w:themeColor="text1"/>
          <w:sz w:val="16"/>
          <w:szCs w:val="16"/>
        </w:rPr>
        <w:t xml:space="preserve"> с максимальной толщиной 36—39 мм. Данный узел доставил немало хлопот, поскольку на испытаниях обстрелом литой люк раска</w:t>
      </w:r>
      <w:r w:rsidRPr="008127F8">
        <w:rPr>
          <w:rFonts w:eastAsia="Calibri"/>
          <w:color w:val="000000" w:themeColor="text1"/>
          <w:sz w:val="16"/>
          <w:szCs w:val="16"/>
        </w:rPr>
        <w:softHyphen/>
        <w:t>лывался. Согласно отчету от 11 апреля, завод № 178 изготовил пробную партию литых люков, которых хватало на оснащение 15—20 корпусов (17485).</w:t>
      </w:r>
    </w:p>
    <w:p w14:paraId="34601600" w14:textId="77777777" w:rsidR="008D722B" w:rsidRPr="008127F8" w:rsidRDefault="008D722B" w:rsidP="001E0A84">
      <w:pPr>
        <w:pStyle w:val="af"/>
        <w:spacing w:before="0" w:after="0"/>
        <w:jc w:val="both"/>
        <w:rPr>
          <w:color w:val="000000" w:themeColor="text1"/>
          <w:sz w:val="16"/>
          <w:szCs w:val="16"/>
        </w:rPr>
      </w:pPr>
    </w:p>
    <w:p w14:paraId="6538C422" w14:textId="77777777" w:rsidR="00F46041" w:rsidRPr="008127F8" w:rsidRDefault="00F4604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17 января 1942 года руководство завода №178 из-за дефицита кислорода приняло решение вместо экранировки корпусов и башен перейти на утолщённые листы брони. По планам, экранировку предполагалось запустить в производство с 29 января, но реальность оказалась иной. Первые экранированные корпуса Т-60, произведённые заводом №178, были приняты только к десятым числам февраля.</w:t>
      </w:r>
    </w:p>
    <w:p w14:paraId="4DC926CA" w14:textId="77777777" w:rsidR="00F46041" w:rsidRPr="008127F8" w:rsidRDefault="00F4604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 заводе №178 (Кулебакский металлургический завод им С. М. Кирова) столкнулись с производственными проблемами. Завод в Кулебаках был перегружен заказами. Помимо корпусного производства по Т-60, там отливались носовые балки и башни для Т-34, а также изготовлялись бронеспинки для истребителей ЛаГГ-3 и лобовые бронелисты для </w:t>
      </w:r>
      <w:hyperlink r:id="rId11" w:history="1">
        <w:r w:rsidRPr="008127F8">
          <w:rPr>
            <w:rFonts w:ascii="Times New Roman" w:eastAsia="Times New Roman" w:hAnsi="Times New Roman"/>
            <w:color w:val="000000" w:themeColor="text1"/>
            <w:sz w:val="16"/>
            <w:szCs w:val="16"/>
            <w:lang w:eastAsia="ru-RU"/>
          </w:rPr>
          <w:t>аэросаней</w:t>
        </w:r>
      </w:hyperlink>
      <w:r w:rsidRPr="008127F8">
        <w:rPr>
          <w:rFonts w:ascii="Times New Roman" w:eastAsia="Times New Roman" w:hAnsi="Times New Roman"/>
          <w:color w:val="000000" w:themeColor="text1"/>
          <w:sz w:val="16"/>
          <w:szCs w:val="16"/>
          <w:lang w:eastAsia="ru-RU"/>
        </w:rPr>
        <w:t xml:space="preserve"> НКЛ-26.</w:t>
      </w:r>
    </w:p>
    <w:p w14:paraId="38E1F670" w14:textId="77777777" w:rsidR="00F46041" w:rsidRPr="008127F8" w:rsidRDefault="00F4604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Перегруженность предприятия другими заказами привела к тому, что первоначальный объём производства корпусов был уменьшен до 75 штук в феврале и 75 в марте. Стоит отметить, что завод №178 с декабря 1941 года прорабатывал также вопрос изготовления литой башни для Т-60. Эта башня имела округлую форму, как на танках Т-40 и Т-30, толщина стенок достигала 28–30 мм. Проект литой башни согласовывался с заводом ГАЗ, в серию она так и не пошла.</w:t>
      </w:r>
    </w:p>
    <w:p w14:paraId="4FB80579" w14:textId="77777777" w:rsidR="00F46041" w:rsidRPr="008127F8" w:rsidRDefault="00F4604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апреле 1942 года завод №178 прорабатывал вопрос изготовления литого смотрового люка механика-водителя с максимальной толщиной 36–39 мм. Этот узел доставил немало хлопот, поскольку на испытаниях обстрелом литой люк раскалывался. Согласно отчёту от 11 апреля, завод №178 изготовил пробную партию литых люков, которых хватало на оснащение 15–20 танков (17572).</w:t>
      </w:r>
    </w:p>
    <w:p w14:paraId="61B6C42D" w14:textId="77777777" w:rsidR="00F46041" w:rsidRPr="008127F8" w:rsidRDefault="00F4604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89CA9C" w14:textId="77777777" w:rsidR="00604AE0" w:rsidRPr="008127F8" w:rsidRDefault="00604AE0"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17 января 1942 года военинженер 2-го ранга В.П. Окунев, старший военпред на ГАЗ (и один из инициаторов создания Т-60), докладывал в своём отчете о ходовом макете на основе Т-60, на котором обкатывались технические решения для Т-70. Это не опытный образец танка, а машина, которая на снимках не мелькает. Вместе с тем, она уже имела характерные особенности, присущие будущему Т-70. Это и броневая защита, в лобовой части достигавшая толщины 45 мм, и главная новинка - двигатель ГАЗ-203. Спаренные автомобильные моторы в то время не являлись чем-то уникальным, можете спросить англичан и американцев. Но группа конструкторов во главе с Е.В. Агитовым пошла своим путём. На единой раме, один за другим, крепилось два ГАЗ-202. В Горьком удалось синхронизировать их работу, сделав систему максимально простой. Еще и максимально компактной: мотор всё так же располагался по правому борту, благодаря чему не требовалось существенно удлинять корпус. В одном блоке с мотором размещалась и коробка передач, ее взяли от грузовика ЗИС-5.</w:t>
      </w:r>
    </w:p>
    <w:p w14:paraId="342E722D"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Более габаритная силовая установка заставила переделывать корпус. Помимо того, что его пришлось удлинять, переработке подверглась и носовая часть. Идея с рубкой механика-водителя оказалась неудачной: люк механика-водителя часто перекрывался пушкой, а лобовая деталь получилась слишком уязвимой. Поэтому лоб корпуса упростили, заметно увеличив толщину брони. Теперь она достигала 35 мм, за счет рационального угла наклона это позволило получить легкую противоснарядную броню. Люк механика-водителя перенесли на верхнюю лобовую деталь корпуса. Решение не идеальное, но единственно возможное в сложившейся ситуации. Для компенсации нагрузки носовой части корпуса толщину кормы довели до 25 мм. Окунев предлагал усилить до 30 мм борта корпуса, но тогда этого не сделали, явно по соображениям весовой культуры. Ходовую часть взяли от Т-60, увеличив число опорных катков до 5 штук на борт, при этом торсионы усилили, особенно это касалось подвески первого и последнего опорного катка. По итогам получался уже не малый, а полноценный легкий танк. По большому счету такой же мобилизационный, как и Т-60, но уже более-менее способный решать основные задачи, возлагаемые на машины данного класса (23179).</w:t>
      </w:r>
    </w:p>
    <w:p w14:paraId="74DF0854"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740E35A7" w14:textId="77777777" w:rsidR="00F355B5" w:rsidRPr="008A2E5A" w:rsidRDefault="00F355B5" w:rsidP="00F355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января 1942 года военинженер 2-го ранга В.П. Окунев, старший военпред на ГАЗ (и один из инициаторов создания Т-60), докладывал в своём отчете о макете Т-70. Это не опытный образец танка, а машина, которая на снимках не мелькает. Вместе с тем, она уже имела характерные особенности, присущие будущему Т-70. Это и броневая защита, в лобовой части достигавшая толщины 45 мм, и главная новинка - двигатель ГАЗ-203. Спаренные автомобильные моторы в то время не являлись чем-то уникальным (24235).</w:t>
      </w:r>
    </w:p>
    <w:p w14:paraId="602D4446" w14:textId="77777777" w:rsidR="00F355B5" w:rsidRPr="008A2E5A" w:rsidRDefault="00F355B5" w:rsidP="00F355B5">
      <w:pPr>
        <w:spacing w:after="0" w:line="240" w:lineRule="auto"/>
        <w:jc w:val="both"/>
        <w:rPr>
          <w:rFonts w:ascii="Times New Roman" w:hAnsi="Times New Roman"/>
          <w:color w:val="0070C0"/>
          <w:sz w:val="16"/>
          <w:szCs w:val="16"/>
        </w:rPr>
      </w:pPr>
    </w:p>
    <w:p w14:paraId="3B90EEA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 вышло ПРИКАЗАНИЕ НАЧАЛЬНИКА ГАБТУ КА О ФОРМИРОВАНИИ ОТДЕЛОВ ВОЕННОЙ ПРИЕМКИ ИНОСТРАННЫХ МАШИН</w:t>
      </w:r>
    </w:p>
    <w:p w14:paraId="422063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указаний Народного комиссара обороны Союза ССР т. Сталина — ПРИКАЗЫ</w:t>
      </w:r>
      <w:r w:rsidRPr="008127F8">
        <w:rPr>
          <w:rFonts w:ascii="Times New Roman" w:hAnsi="Times New Roman"/>
          <w:color w:val="000000" w:themeColor="text1"/>
          <w:sz w:val="16"/>
          <w:szCs w:val="16"/>
        </w:rPr>
        <w:softHyphen/>
        <w:t>ВАЮ:</w:t>
      </w:r>
    </w:p>
    <w:p w14:paraId="6F9A94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Сформировать при БТУ ГАБТУ Красной Армии два отдела военной приемки иностранных ма</w:t>
      </w:r>
      <w:r w:rsidRPr="008127F8">
        <w:rPr>
          <w:rFonts w:ascii="Times New Roman" w:hAnsi="Times New Roman"/>
          <w:color w:val="000000" w:themeColor="text1"/>
          <w:sz w:val="16"/>
          <w:szCs w:val="16"/>
        </w:rPr>
        <w:softHyphen/>
        <w:t>шин по штату №1/136-А и содержать численностью 28 человек каждый. Отделы дислоцировать в го</w:t>
      </w:r>
      <w:r w:rsidRPr="008127F8">
        <w:rPr>
          <w:rFonts w:ascii="Times New Roman" w:hAnsi="Times New Roman"/>
          <w:color w:val="000000" w:themeColor="text1"/>
          <w:sz w:val="16"/>
          <w:szCs w:val="16"/>
        </w:rPr>
        <w:softHyphen/>
        <w:t>родах Горький и Архангельск, присвоив им наименования по месту дислокации:</w:t>
      </w:r>
    </w:p>
    <w:p w14:paraId="1836D5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Горьковскому — Горьковский отдел военной приемки иностранных машин при БТУ ГАБТУ Красной Армии;</w:t>
      </w:r>
    </w:p>
    <w:p w14:paraId="0AB54F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Архангельскому — Архангельский отдел военной приемки иностранных машин при БТУ ГАБТУ Красной Армии.</w:t>
      </w:r>
    </w:p>
    <w:p w14:paraId="68BC76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готовности отделов 20 января 1942 года.</w:t>
      </w:r>
    </w:p>
    <w:p w14:paraId="21173F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Начальнику управления кадров ГАБТУ КА формируемые отделы укомплектовать личным со</w:t>
      </w:r>
      <w:r w:rsidRPr="008127F8">
        <w:rPr>
          <w:rFonts w:ascii="Times New Roman" w:hAnsi="Times New Roman"/>
          <w:color w:val="000000" w:themeColor="text1"/>
          <w:sz w:val="16"/>
          <w:szCs w:val="16"/>
        </w:rPr>
        <w:softHyphen/>
        <w:t xml:space="preserve">ставом, </w:t>
      </w:r>
      <w:proofErr w:type="gramStart"/>
      <w:r w:rsidRPr="008127F8">
        <w:rPr>
          <w:rFonts w:ascii="Times New Roman" w:hAnsi="Times New Roman"/>
          <w:color w:val="000000" w:themeColor="text1"/>
          <w:sz w:val="16"/>
          <w:szCs w:val="16"/>
        </w:rPr>
        <w:t>согласно штата</w:t>
      </w:r>
      <w:proofErr w:type="gramEnd"/>
      <w:r w:rsidRPr="008127F8">
        <w:rPr>
          <w:rFonts w:ascii="Times New Roman" w:hAnsi="Times New Roman"/>
          <w:color w:val="000000" w:themeColor="text1"/>
          <w:sz w:val="16"/>
          <w:szCs w:val="16"/>
        </w:rPr>
        <w:t xml:space="preserve"> в установленный срок готовности.</w:t>
      </w:r>
    </w:p>
    <w:p w14:paraId="13FE75F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Зачисление отделов на все виды обеспечения будет произведено распоряжением начальников Центральных управлений НКО.</w:t>
      </w:r>
    </w:p>
    <w:p w14:paraId="240099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управления формирования и укомплектования АБТ войск Красной Армии о сформировании отделов доложить мне 20 января 1942 года. Приложение: штаты № 1/136-А на одном листе.</w:t>
      </w:r>
    </w:p>
    <w:p w14:paraId="4611F2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Главного автобронетанкового управления Красной Армии генерал-лейтенант танковых войск Федоренко</w:t>
      </w:r>
    </w:p>
    <w:p w14:paraId="399C895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Главного автобронетанкового управления Красной Армии армейский комиссар 2 ранга Бирюков</w:t>
      </w:r>
    </w:p>
    <w:p w14:paraId="454E043B"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ЦАМО. Ф. 38. Оп. 11386. Д. 117. Л. 9. Копия (11211).</w:t>
      </w:r>
    </w:p>
    <w:p w14:paraId="5D0530A9" w14:textId="77777777" w:rsidR="00D4651C" w:rsidRPr="008127F8" w:rsidRDefault="00D4651C" w:rsidP="001E0A84">
      <w:pPr>
        <w:pStyle w:val="afff5"/>
        <w:jc w:val="both"/>
        <w:rPr>
          <w:i w:val="0"/>
          <w:iCs w:val="0"/>
          <w:color w:val="000000" w:themeColor="text1"/>
          <w:spacing w:val="0"/>
          <w:position w:val="0"/>
          <w:sz w:val="16"/>
          <w:szCs w:val="16"/>
        </w:rPr>
      </w:pPr>
    </w:p>
    <w:p w14:paraId="2B28AC72" w14:textId="77777777" w:rsidR="00D4651C" w:rsidRPr="008127F8" w:rsidRDefault="00D4651C" w:rsidP="001E0A84">
      <w:pPr>
        <w:pStyle w:val="a9"/>
        <w:widowControl/>
        <w:jc w:val="both"/>
        <w:rPr>
          <w:rFonts w:ascii="Times New Roman" w:hAnsi="Times New Roman" w:cs="Times New Roman"/>
          <w:color w:val="000000" w:themeColor="text1"/>
        </w:rPr>
      </w:pPr>
      <w:r w:rsidRPr="008127F8">
        <w:rPr>
          <w:rFonts w:ascii="Times New Roman" w:hAnsi="Times New Roman" w:cs="Times New Roman"/>
          <w:color w:val="000000" w:themeColor="text1"/>
        </w:rPr>
        <w:t>С 17 по 19 января 1942 года совместный с ГАУ проект постановления об организации в Москве предприятия, способного вести и разработку и выпуск станций орудийной наводки, уже получивший одобрение заведующего отделом электропромышленности ЦК ВКП(б) А. А. Турчанина и заместителя Председателя Совнаркома Максима Захаровича Сабурова, был рассмотрен в НКЭП, тут же передан в Государственный Комитет Обороны, где и был принят 10 февраля. Сроки в этом постановлении не могли быть не жесткими. Сделать опытный образец станции орудийной наводки и подготовиться к ее серийному производству предписывалось до конца года. Новое предприятие укомплектовали кадрами завода им. Коминтерна и НИИ-9, вызванными из эвакуации в Москву. Руководить новым предприятием поручили А. А. Форштеру. Его помощниками стали М. Л. Слиозберг и А. М. Кугушев - выходцы из НИИ-9. В 12 разрабатывающих лабораториях нового предприятия работали профессора (впоследствии академики) М. А. Леонтович и Н. Д. Девятков, профессор С. Э. Хайкин. Большую помощь в организации нового предприятия последующем обеспечении его производственной деятельности оказал бывший директор завода "Светлана", ставший заместителем наркома электропромышленности В. А. Восканян. Неимоверными усилиями разработка и изготовление двух опытных образцов отечественных станций орудийной наводки СОН-2а были закончены досрочно, и в канун 25-й годовщины Великой Октябрьской социалистической революции коллектив предприятия доложил ГКО о выполнении задания и с начала 1943 года начался серийный выпуск станций орудийной наводки (9921).</w:t>
      </w:r>
    </w:p>
    <w:p w14:paraId="526C5E37" w14:textId="77777777" w:rsidR="00D4651C" w:rsidRPr="008127F8" w:rsidRDefault="00D4651C" w:rsidP="001E0A84">
      <w:pPr>
        <w:pStyle w:val="a9"/>
        <w:widowControl/>
        <w:jc w:val="both"/>
        <w:rPr>
          <w:rFonts w:ascii="Times New Roman" w:hAnsi="Times New Roman" w:cs="Times New Roman"/>
          <w:color w:val="000000" w:themeColor="text1"/>
        </w:rPr>
      </w:pPr>
    </w:p>
    <w:p w14:paraId="226744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17–19 января 1942 г. ГАУ и Наркомат электропромышленности (НКЭП) СССР совместно внесли на утверждение ГКО проект постановления «О промышленной базе для производства приборов радиообнаружения и пеленгации самолетов»</w:t>
      </w:r>
      <w:r w:rsidRPr="008127F8">
        <w:rPr>
          <w:rFonts w:ascii="Times New Roman" w:hAnsi="Times New Roman"/>
          <w:color w:val="000000" w:themeColor="text1"/>
          <w:sz w:val="16"/>
          <w:szCs w:val="16"/>
          <w:vertAlign w:val="superscript"/>
        </w:rPr>
        <w:t xml:space="preserve"> (</w:t>
      </w:r>
      <w:r w:rsidRPr="008127F8">
        <w:rPr>
          <w:rFonts w:ascii="Times New Roman" w:hAnsi="Times New Roman"/>
          <w:color w:val="000000" w:themeColor="text1"/>
          <w:sz w:val="16"/>
          <w:szCs w:val="16"/>
        </w:rPr>
        <w:t>Архив МО СССР, ф. 81, оп. 12048, д. 88, л. 215–217), согласованный с А. А. Турчаниным (11026).</w:t>
      </w:r>
    </w:p>
    <w:p w14:paraId="6EC6C6E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ACA989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17 января 1942 вышло Постановление ГКО № 1172 О постройке зенитных бронепоездов. (7020, 161-162).</w:t>
      </w:r>
    </w:p>
    <w:p w14:paraId="294CA3B6" w14:textId="77777777" w:rsidR="00D4651C" w:rsidRPr="008127F8" w:rsidRDefault="00D4651C" w:rsidP="001E0A84">
      <w:pPr>
        <w:pStyle w:val="Iauiue"/>
        <w:tabs>
          <w:tab w:val="left" w:pos="11199"/>
        </w:tabs>
        <w:jc w:val="both"/>
        <w:rPr>
          <w:color w:val="000000" w:themeColor="text1"/>
          <w:sz w:val="16"/>
          <w:szCs w:val="16"/>
        </w:rPr>
      </w:pPr>
    </w:p>
    <w:p w14:paraId="7C31423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 О необходимости утверждения штатной должности секретаря крайкома ВКП (б) по оборонной промышленности</w:t>
      </w:r>
    </w:p>
    <w:p w14:paraId="08C58A81" w14:textId="77777777" w:rsidR="00D4651C" w:rsidRPr="008127F8" w:rsidRDefault="00D4651C" w:rsidP="001E0A84">
      <w:pPr>
        <w:pStyle w:val="3f"/>
        <w:ind w:firstLine="0"/>
        <w:jc w:val="both"/>
        <w:rPr>
          <w:color w:val="000000" w:themeColor="text1"/>
          <w:sz w:val="16"/>
          <w:szCs w:val="16"/>
        </w:rPr>
      </w:pPr>
      <w:r w:rsidRPr="008127F8">
        <w:rPr>
          <w:color w:val="000000" w:themeColor="text1"/>
          <w:sz w:val="16"/>
          <w:szCs w:val="16"/>
        </w:rPr>
        <w:t>Докладная записка секретаря Красноярского крайкома ВКП (б) в ЦК ВКП (б)</w:t>
      </w:r>
    </w:p>
    <w:p w14:paraId="1D5F209A" w14:textId="77777777" w:rsidR="00D4651C" w:rsidRPr="008127F8" w:rsidRDefault="00D4651C" w:rsidP="001E0A84">
      <w:pPr>
        <w:pStyle w:val="31"/>
        <w:widowControl/>
        <w:jc w:val="both"/>
        <w:rPr>
          <w:color w:val="000000" w:themeColor="text1"/>
        </w:rPr>
      </w:pPr>
      <w:r w:rsidRPr="008127F8">
        <w:rPr>
          <w:color w:val="000000" w:themeColor="text1"/>
        </w:rPr>
        <w:t>г. Красноярск 17 января 1942 г.</w:t>
      </w:r>
    </w:p>
    <w:p w14:paraId="65726E16" w14:textId="77777777" w:rsidR="00D4651C" w:rsidRPr="008127F8" w:rsidRDefault="00D4651C" w:rsidP="001E0A84">
      <w:pPr>
        <w:pStyle w:val="31"/>
        <w:widowControl/>
        <w:jc w:val="both"/>
        <w:rPr>
          <w:color w:val="000000" w:themeColor="text1"/>
        </w:rPr>
      </w:pPr>
      <w:r w:rsidRPr="008127F8">
        <w:rPr>
          <w:color w:val="000000" w:themeColor="text1"/>
        </w:rPr>
        <w:t>Исх.№1-26</w:t>
      </w:r>
    </w:p>
    <w:p w14:paraId="71F640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начальника управления кадров Тов. Н.Н.Шаталину</w:t>
      </w:r>
    </w:p>
    <w:p w14:paraId="0F114C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заведующего орготделом Тов. М.А.Шамберг</w:t>
      </w:r>
    </w:p>
    <w:p w14:paraId="25C182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Красноярском крае до Отечественной войны не было предприятий, занимающихся выпуском военно-оборонной продукции, за исключением Красноярского машиностроительного завода, который выпускал в небольшом количестве отдельные детали.</w:t>
      </w:r>
    </w:p>
    <w:p w14:paraId="0BC7D1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создавшейся обстановкой, в край по решению правительства эвакуированы крупнейшие заводы страны:</w:t>
      </w:r>
    </w:p>
    <w:p w14:paraId="0BBB1A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«Красный Профинтерн» - из г. Орджоникидзе, завод «Коммунар» – [из] г. Запорожье, завод № 4 им. Ворошилова – [из] г. Коломны, завод № 7 – [из] г. Ленинграда, завод № 9 – [из] г. Коломны, завод № 589 – [из] г. Калуги, Онежский завод – [из] г. Петрозаводска, завод № 477 – [из] г. Лаптева, завод № 327 – [из] г. Ленинграда, Панютинский вагоно-ремонтный завод – [из] г. Полтавы, а также частично заводы и комбинаты Наркомата боеприпасов:</w:t>
      </w:r>
    </w:p>
    <w:p w14:paraId="23F24F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[№]314 – [из] Московской области, завод [№] 9 – Черниговской области, комбинаты: [№] 100 – [из] Московской области, [№] 101 – [из] Ростовской области, завод синтетического каучука – [из] Московской области и целый ряд других заводов.</w:t>
      </w:r>
    </w:p>
    <w:p w14:paraId="21F1CA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Большинство из эвакуированных 22-х заводов и предприятий размещено на базе имеющихся в крае. </w:t>
      </w:r>
    </w:p>
    <w:p w14:paraId="53E559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Прибывшие заводы и заводы края имеют план выпуска военно-оборонной продукции. </w:t>
      </w:r>
    </w:p>
    <w:p w14:paraId="209A8B0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занято фабрик, заводов и предприятий выпуском военно-оборонной продукции 41 единица. Райпромкомбинаты также выпускают различную продукцию для фронта.</w:t>
      </w:r>
    </w:p>
    <w:p w14:paraId="63D485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Заводами и предприятиями нашего края освоены и выпускаются:</w:t>
      </w:r>
    </w:p>
    <w:p w14:paraId="6B135A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37- миллиметровая зенитная автоматическая пушка, </w:t>
      </w:r>
    </w:p>
    <w:p w14:paraId="608EF3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120-82-50-миллиметровые минометы, пистолет-пулемет Шпагина,</w:t>
      </w:r>
    </w:p>
    <w:p w14:paraId="67302D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авиабомбы всех калибров,</w:t>
      </w:r>
    </w:p>
    <w:p w14:paraId="3E542AB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82-50-миллиметровые мины,</w:t>
      </w:r>
    </w:p>
    <w:p w14:paraId="3DF8BB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снаряды различных калибров,</w:t>
      </w:r>
    </w:p>
    <w:p w14:paraId="0A3931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гранаты всех образцов,</w:t>
      </w:r>
    </w:p>
    <w:p w14:paraId="4F2C33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ручной огнемет,</w:t>
      </w:r>
    </w:p>
    <w:p w14:paraId="6DB4D4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волокуши,</w:t>
      </w:r>
    </w:p>
    <w:p w14:paraId="4D3B2D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различные детали и узлы для пикирующего бомбардировщика.</w:t>
      </w:r>
    </w:p>
    <w:p w14:paraId="725867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мы должны изготовлять взрывчатые вещества пороховым комбинатом.</w:t>
      </w:r>
    </w:p>
    <w:p w14:paraId="448AD1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Красноярский </w:t>
      </w:r>
      <w:proofErr w:type="gramStart"/>
      <w:r w:rsidRPr="008127F8">
        <w:rPr>
          <w:rFonts w:ascii="Times New Roman" w:hAnsi="Times New Roman"/>
          <w:color w:val="000000" w:themeColor="text1"/>
          <w:sz w:val="16"/>
          <w:szCs w:val="16"/>
        </w:rPr>
        <w:t>паровозо-вагоно-ремонтный</w:t>
      </w:r>
      <w:proofErr w:type="gramEnd"/>
      <w:r w:rsidRPr="008127F8">
        <w:rPr>
          <w:rFonts w:ascii="Times New Roman" w:hAnsi="Times New Roman"/>
          <w:color w:val="000000" w:themeColor="text1"/>
          <w:sz w:val="16"/>
          <w:szCs w:val="16"/>
        </w:rPr>
        <w:t xml:space="preserve"> завод строит бронепоезда, много других заводов, фабрик и предприятий выпускают большое количество военно-оборонных заказов для фронта.</w:t>
      </w:r>
    </w:p>
    <w:p w14:paraId="1C8432E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учитывая всю важность поставленных задач Государственным Комитет Обороны перед краем по выпуску военно-оборонной продукции для фронта и с целью сосредоточения руководства и оказания конкретной помощи по выпуску оборонной продукции, бюро краевого комитета партии своим решением от 12/II-1941 г. просит Центральный Комитет ВКП (б) утвердить штатную должность секретаря крайкома ВКП (б) по оборонной промышленности.</w:t>
      </w:r>
    </w:p>
    <w:p w14:paraId="16A18F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Секретарь Красноярского крайкома ВКП (б) подпись И. Голубев </w:t>
      </w:r>
    </w:p>
    <w:p w14:paraId="4F12A051" w14:textId="77777777" w:rsidR="00D4651C" w:rsidRPr="008127F8" w:rsidRDefault="00D4651C" w:rsidP="001E0A84">
      <w:pPr>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ГАКК. Ф.П-26. Оп.3. Д.281. Л.1-2. Подлинник. Машинопись (11797).</w:t>
      </w:r>
    </w:p>
    <w:p w14:paraId="189D188C" w14:textId="77777777" w:rsidR="00D4651C" w:rsidRPr="008127F8" w:rsidRDefault="00D4651C" w:rsidP="001E0A84">
      <w:pPr>
        <w:spacing w:after="0" w:line="240" w:lineRule="auto"/>
        <w:jc w:val="both"/>
        <w:rPr>
          <w:rFonts w:ascii="Times New Roman" w:hAnsi="Times New Roman"/>
          <w:iCs/>
          <w:color w:val="000000" w:themeColor="text1"/>
          <w:sz w:val="16"/>
          <w:szCs w:val="16"/>
        </w:rPr>
      </w:pPr>
    </w:p>
    <w:p w14:paraId="5DC37385"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 наркомат электропромышленности и Главное артиллерийское управление внесли на утверждение ГКО проект постановления "О промышленной базе для производства приборов радиообнаружения и пеленгации самолетов". 10 февраля 1942 г. ГКО принял постановление N 1266сс "О принятии на вооружение войск ПВО Красной Армии и ВМФ станций орудийной наводки (СОН-2) и организации отечественного производства СОН-2" (15137).</w:t>
      </w:r>
    </w:p>
    <w:p w14:paraId="2E33AC27"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0F60312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784A8EF7" w14:textId="77777777" w:rsidR="00D4651C" w:rsidRPr="008127F8" w:rsidRDefault="00D4651C" w:rsidP="001E0A84">
      <w:pPr>
        <w:pStyle w:val="Iauiue"/>
        <w:jc w:val="both"/>
        <w:rPr>
          <w:iCs/>
          <w:color w:val="000000" w:themeColor="text1"/>
          <w:sz w:val="16"/>
          <w:szCs w:val="16"/>
        </w:rPr>
      </w:pPr>
    </w:p>
    <w:p w14:paraId="5F5B85DA"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552ADA3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17 января наши войска продолжали вести активные боевые действия против немецко-фашистских войск.</w:t>
      </w:r>
    </w:p>
    <w:p w14:paraId="6802E1B2"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Ефремова (Западный фронт) за одни день боёв захватили 4 немецких танка, 4 орудия, 6 миномётов, 70 велосипедов, много автоматов, винтовок и боеприпасов. Противник потерял убитыми 450 человек. На другом участке части тов. Говорова, преследуя отступающего противника, захватили 5 вражеских танков, 166 пулемётов, 45 противотанковых ружей, 23 миномёта, 11 зенитных установок, 13 орудии и 1.094 винтовки. Взяты пленные.</w:t>
      </w:r>
    </w:p>
    <w:p w14:paraId="519968D1"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стремительным ударом заняла населённый пункт. В уличном бою противник потерял убитыми 350 солдат и офицеров. Наши бойцы захватили 2 танкетки, 5 орудий, 11 пулемётов, 4 миномёта и много боеприпасов.</w:t>
      </w:r>
    </w:p>
    <w:p w14:paraId="0556FD22"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Кисимов, преследуя отступающий обоз противника, убил меткими выстрелами из винтовки 10 вражеских солдат и уничтожил гранатами 6 повозок.</w:t>
      </w:r>
    </w:p>
    <w:p w14:paraId="7539C7B5"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П., действующий в одном из районов Калининской области, оккупированных немцами, совершил налёт на железнодорожную станцию З. Бойцы отряда перебили 22 немецких солдата и минировали железнодорожное полотно. На минированных участках были взорваны воинский эшелон с военным грузом и вспомогательный поезд, посланный для ремонта пути.</w:t>
      </w:r>
    </w:p>
    <w:p w14:paraId="44AF5A19"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Ефрейтор 5 роты 271 пехотного полка 93 немецкой пехотной дивизии Рихард Зейлик, захваченный в плен на одном из участков Ленинградского фронта, заявил: «5 рота сейчас едва насчитывает 50 процентов личного состава. В других ротах примерно такое же положение. Настроение солдат подавленное. У них мало надежд на возвращение домой. Находясь в районе К., 5 рота отказалась пойти в контратаку и только под угрозой расстрела командованию удалось заставить солдат выполнить приказ. В 7 роте несколько солдат пытались перейти на сторону Красной Армии, но были задержаны у деревни Петровское и расстреляны. В роты прибывают пополнения из неопытных и необученных резервистов. Есть и больные. Недавно в нашу роту прислали двух солдат с больными глазами. В конце декабря я получил письмо от матери из Берлина. Она пишет, что в этом большом городе редко можно встретить женщину, которая не носит траура».</w:t>
      </w:r>
    </w:p>
    <w:p w14:paraId="162047ED"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унтер-офицера Карла Кремера найдено письмо от жены из Нассау. В числе прочих новостей она сообщает мужу: «Сегодня в Нассау опять прибыло 170 раненых. Они выглядят как старики. Дрожь пробирает, когда видишь что-либо подобное...».</w:t>
      </w:r>
    </w:p>
    <w:p w14:paraId="6F741694"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Н.-Большое, Воловского района, Тульской области, гитлеровские мерзавцы загнали в один из домов 56 колхозников и раненых красноармейцев, облили их керосином и подожгли. Все заключённые погибли в огне.» (15012).</w:t>
      </w:r>
    </w:p>
    <w:p w14:paraId="5393108B"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4BEE8A2C"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1937A67C"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января наши войска, преодолевая сопротивление противника и отбивая на отдельных участках его контратаки, продолжали продвигаться вперёд, заняли несколько населённых пунктов, в числе их — Шаховская, Лотошино (районные центры Московской области). За 16 января уничтожено 29 немецких самолётов. Наши потери — 8 самолётов.</w:t>
      </w:r>
    </w:p>
    <w:p w14:paraId="06FA9720"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января под Москвой сбито 7 немецких самолётов.</w:t>
      </w:r>
    </w:p>
    <w:p w14:paraId="56846351"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января части нашей авиации уничтожили 19 немецких танков, 340 автомашин с пехотой и грузами, 80 повозок с боеприпасами, 5 орудий с прислугой, 4 зенитно-пулемётные точки, 4 автоцистерны с горючим, разрушили 1 и подожгли 2 железнодорожных эшелона, разбили 23 железнодорожных вагона, взорвали склад с боеприпасами и склад с горючим, разрушили железнодорожный мост, рассеяли и частью истребили 7 батальонов пехоты противника.</w:t>
      </w:r>
    </w:p>
    <w:p w14:paraId="2FE2F936"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А. (Западный фронт) бойцы части тов. Прокофьева 16 января захватили в плен 107 немецких солдат и офицеров.</w:t>
      </w:r>
    </w:p>
    <w:p w14:paraId="317F5DD7"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Кузнецова (Западный фронт), ведя наступательные бои с противником и преодолевая минные заграждения, за один день боёв захватили, по неполным данным, 4 вражеских танка, 84 грузовые и легковые автомашины, один броневик, 27 пулемётов, 4 миномёта и много другого оружия. На другом участке наши части подбили 2 вражеских танка и захватили 17 немецких орудий, 39 автомашин, 27 пулемётов, 19 повозок с боеприпасами и другие трофеи. Взяты пленные.</w:t>
      </w:r>
    </w:p>
    <w:p w14:paraId="7E3FD70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Нечаев, ворвавшись в захваченную немцами деревню Ревякино, метко брошенной гранатой уничтожил 9 вражеских солдат и одного офицера.</w:t>
      </w:r>
    </w:p>
    <w:p w14:paraId="7229CE4F"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Аристово красноармеец-пулеметчик Корягин пулемётным огнем отразил три атаки противника и уничтожил 80 вражеских солдат.</w:t>
      </w:r>
    </w:p>
    <w:p w14:paraId="48DC9CB8"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бою командир танка тов. Ловцов уничтожил 7 вражеских танков и 3 станковых пулемёта.</w:t>
      </w:r>
    </w:p>
    <w:p w14:paraId="52750799"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Каторжные условия труда и голод приводят к всё большему падению производительности труда на германских предприятиях. На машиностроительном заводе в Бохуме в январе производительность труда рабочего средней квалификации упала по сравнению с январём минувшего года на 29 процентов. В течение года на этом заводе было 1.263 несчастных случая, из них 161 со смертельным исходом. В особенности часты несчастные случаи с иностранными рабочими, составляющими значительную часть рабочих завода.</w:t>
      </w:r>
    </w:p>
    <w:p w14:paraId="6EB160B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Коллектив Н-ского завода в гор. Баку получил ответственное задание — в короткий срок освоить производство нового вида продукции. Нужен был специальный цех, оснащённый токарными, строгальными, сверлильными станками. Слесарь Тарусов вместе с директором предприятия Зейналовым и инженером Мардановым собрали нужное количество заброшенных станков. По двое—трое суток не уходили домой бригады слесарей Тарусова и Копейкина. День и ночь без устали они восстанавливали станки. Вскоре все станки были отремонтированы, а через 15 дней выпущена первая партия деталей. Новый цех работает теперь на полную мощность.» (15012).</w:t>
      </w:r>
    </w:p>
    <w:p w14:paraId="25D8D235"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0A0500DE"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января</w:t>
      </w:r>
      <w:r w:rsidRPr="008127F8">
        <w:rPr>
          <w:rFonts w:ascii="Times New Roman" w:hAnsi="Times New Roman"/>
          <w:color w:val="000000" w:themeColor="text1"/>
          <w:sz w:val="16"/>
          <w:szCs w:val="16"/>
        </w:rPr>
        <w:t xml:space="preserve"> в 1942 году немецкие войска заняли Людиново (15012).</w:t>
      </w:r>
    </w:p>
    <w:p w14:paraId="7CFEEE4E"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5B0926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вышло Постановление ГКО № 1173 Вопросы ВВС. РГАНИР, Фонд ГКО, д. 19, лл. 163 (11012).</w:t>
      </w:r>
    </w:p>
    <w:p w14:paraId="090CCE6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B56E9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 января 1942 НКВМФ Н.Г.Кузнецов выпустил директиву N 039 об аварийности в частях ВВС действующих флотов (2120).</w:t>
      </w:r>
    </w:p>
    <w:p w14:paraId="6049F560" w14:textId="77777777" w:rsidR="00D4651C" w:rsidRPr="008127F8" w:rsidRDefault="00D4651C" w:rsidP="001E0A84">
      <w:pPr>
        <w:pStyle w:val="Iauiue"/>
        <w:jc w:val="both"/>
        <w:rPr>
          <w:color w:val="000000" w:themeColor="text1"/>
          <w:sz w:val="16"/>
          <w:szCs w:val="16"/>
        </w:rPr>
      </w:pPr>
    </w:p>
    <w:p w14:paraId="10573E1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7DF5C681" w14:textId="77777777" w:rsidR="00D4651C" w:rsidRPr="008127F8" w:rsidRDefault="00D4651C" w:rsidP="001E0A84">
      <w:pPr>
        <w:pStyle w:val="Iauiue"/>
        <w:jc w:val="both"/>
        <w:rPr>
          <w:iCs/>
          <w:color w:val="000000" w:themeColor="text1"/>
          <w:sz w:val="16"/>
          <w:szCs w:val="16"/>
        </w:rPr>
      </w:pPr>
    </w:p>
    <w:p w14:paraId="58CD2E02"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17 января 1942 в авиакатастрофе погибла американская актриса Кароль Ломбард, жена Кларка Гейбла (4962).</w:t>
      </w:r>
    </w:p>
    <w:p w14:paraId="526AF956" w14:textId="77777777" w:rsidR="00D4651C" w:rsidRPr="008127F8" w:rsidRDefault="00D4651C" w:rsidP="001E0A84">
      <w:pPr>
        <w:pStyle w:val="Iauiue"/>
        <w:tabs>
          <w:tab w:val="left" w:pos="11199"/>
        </w:tabs>
        <w:jc w:val="both"/>
        <w:rPr>
          <w:color w:val="000000" w:themeColor="text1"/>
          <w:sz w:val="16"/>
          <w:szCs w:val="16"/>
        </w:rPr>
      </w:pPr>
    </w:p>
    <w:p w14:paraId="6CEC46A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17 января 1942 последний роммелевский гарнизон в Киренаике сдался (2261).</w:t>
      </w:r>
    </w:p>
    <w:p w14:paraId="3F609DBD" w14:textId="77777777" w:rsidR="00D4651C" w:rsidRPr="008127F8" w:rsidRDefault="00D4651C" w:rsidP="001E0A84">
      <w:pPr>
        <w:pStyle w:val="Iauiue"/>
        <w:jc w:val="both"/>
        <w:rPr>
          <w:color w:val="000000" w:themeColor="text1"/>
          <w:sz w:val="16"/>
          <w:szCs w:val="16"/>
        </w:rPr>
      </w:pPr>
    </w:p>
    <w:p w14:paraId="7890205E"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17, 1942: The British 8th Army (Auchinlech) captures ollum in Cyrenaica (3819).</w:t>
      </w:r>
    </w:p>
    <w:p w14:paraId="4C36A5A4" w14:textId="77777777" w:rsidR="00D4651C" w:rsidRPr="008127F8" w:rsidRDefault="00D4651C" w:rsidP="001E0A84">
      <w:pPr>
        <w:pStyle w:val="Iauiue"/>
        <w:jc w:val="both"/>
        <w:rPr>
          <w:color w:val="000000" w:themeColor="text1"/>
          <w:sz w:val="16"/>
          <w:szCs w:val="16"/>
          <w:lang w:val="en-US"/>
        </w:rPr>
      </w:pPr>
    </w:p>
    <w:p w14:paraId="677D69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17 января 1942 британская 8А (Аушинлех) </w:t>
      </w:r>
      <w:proofErr w:type="gramStart"/>
      <w:r w:rsidRPr="008127F8">
        <w:rPr>
          <w:color w:val="000000" w:themeColor="text1"/>
          <w:sz w:val="16"/>
          <w:szCs w:val="16"/>
        </w:rPr>
        <w:t>захватила ?</w:t>
      </w:r>
      <w:proofErr w:type="gramEnd"/>
      <w:r w:rsidRPr="008127F8">
        <w:rPr>
          <w:color w:val="000000" w:themeColor="text1"/>
          <w:sz w:val="16"/>
          <w:szCs w:val="16"/>
        </w:rPr>
        <w:t xml:space="preserve"> в Киренаике (3819).</w:t>
      </w:r>
    </w:p>
    <w:p w14:paraId="5139EDEB" w14:textId="77777777" w:rsidR="00D4651C" w:rsidRPr="008127F8" w:rsidRDefault="00D4651C" w:rsidP="001E0A84">
      <w:pPr>
        <w:pStyle w:val="Iauiue"/>
        <w:jc w:val="both"/>
        <w:rPr>
          <w:color w:val="000000" w:themeColor="text1"/>
          <w:sz w:val="16"/>
          <w:szCs w:val="16"/>
        </w:rPr>
      </w:pPr>
    </w:p>
    <w:p w14:paraId="36693E2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7E81C8E3" w14:textId="77777777" w:rsidR="00D4651C" w:rsidRPr="008127F8" w:rsidRDefault="00D4651C" w:rsidP="001E0A84">
      <w:pPr>
        <w:pStyle w:val="Iauiue"/>
        <w:jc w:val="both"/>
        <w:rPr>
          <w:iCs/>
          <w:color w:val="000000" w:themeColor="text1"/>
          <w:sz w:val="16"/>
          <w:szCs w:val="16"/>
        </w:rPr>
      </w:pPr>
    </w:p>
    <w:p w14:paraId="540496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января 1942 вышло Постановление ГКО № 1174 Об обеспечении на заводе "Красное Сормово". выпуска ежедневно 10 танков Т-34. РГАНИР, Фонд ГКО, д. 19, лл. 164-168, 169-171 (11012).</w:t>
      </w:r>
    </w:p>
    <w:p w14:paraId="4F0294A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2EA607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января 1942 г. Решением ГКО № 1174сс и постановлением ГКО специально о танках Т-34, заводу № 112 было установлено задание по выпуску танков: в апреле - 250 машин, в мае - 275, в июне - 275. Руководство наркомата старалось помочь заводу в выполнении задания. НКТП приказом № 125-Мсс от 19 января 1942 г. частично освободил завод «Красное Сормово» от выпуска непрофильной продукции, не относящейся к танкам Т-34 (РГАЭ. Ф. 8752. Оп. 4. Д. 82. Л 33-37.). В это же время, с заводов Наркомата тяжелого машиностроения предприятию были переданы необходимые для производства 12 станков (РГАЭ. Ф. 8752. Оп. 4. Д. 82. Л. 30.).</w:t>
      </w:r>
    </w:p>
    <w:p w14:paraId="0484BFC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Важнейшим фактором танковой программы было своевременное снабжение металлом. По решению Правительства программа «Красного Сормова» по Т-34 была рассчитана на удовлетворение металлом за счет своей металлургической базы. Мартеновские печи завода выполнили план на 60 %, что затормозило работу всего предприятия и не обеспечило работу заводов-смежников (ЦАНО. Ф. Р-15. Оп. 4. </w:t>
      </w:r>
      <w:proofErr w:type="gramStart"/>
      <w:r w:rsidRPr="008A2E5A">
        <w:rPr>
          <w:rFonts w:ascii="Times New Roman" w:hAnsi="Times New Roman"/>
          <w:color w:val="0070C0"/>
          <w:sz w:val="16"/>
          <w:szCs w:val="16"/>
        </w:rPr>
        <w:t>Д. .</w:t>
      </w:r>
      <w:proofErr w:type="gramEnd"/>
      <w:r w:rsidRPr="008A2E5A">
        <w:rPr>
          <w:rFonts w:ascii="Times New Roman" w:hAnsi="Times New Roman"/>
          <w:color w:val="0070C0"/>
          <w:sz w:val="16"/>
          <w:szCs w:val="16"/>
        </w:rPr>
        <w:t xml:space="preserve"> 183. Л. 1.).</w:t>
      </w:r>
    </w:p>
    <w:p w14:paraId="73BF203E"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А.Ю. Ермолов пишет, что завод №112 «из всех предприятий НКТП больше использовал кооперативные поставки» (Ермолов, А.Ю. Государственное управление военной промышленностью в 1940-е годы: Танковая промышленность. - С. 88.). Однако, многие из этих поставок были либо сорваны полностью, либо осуществлялись нерегулярно. Поставщики старались по мере сил избегать поставок, или даже прямо отказывались от них. В.А. Малышев требовал от руководства предприятия максимально использовать его мощности для выпуска комплектующих, например, танкового электрооборудования.</w:t>
      </w:r>
    </w:p>
    <w:p w14:paraId="0644E5A2"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Ритмичную работу заводу наладить не удавалось. Главный инженер завода Г.И. Кузьмин практически все свое время был вынужден проводить в разъездах по не выполняющим свои обязательства поставщикам. Задание на 1941 г. завод выполнить не смог, было изготовлено всего 173 танка Т-34 (по другим данным 161 танк). Во многом в результате этого, директора завода Д.В. Михалева сняли с должности и отдали под суд (Ермолов, А.Ю. Государственное управление военной промышленностью в 1940-е годы: Танковая промышленность. - С. 89.). 21 мая 1942 г. на основании приказа по Наркомату танковой промышленности от 21 мая 1942 г. № 113 вновь назначенным директором завода стал Ефим Эммануилович Рубинчик (ЦАНО. Ф. Р-15. Оп. 4. Д. 169. Л. 1.) (23540).</w:t>
      </w:r>
    </w:p>
    <w:p w14:paraId="1C2A3C1D" w14:textId="77777777" w:rsidR="006C6AFE" w:rsidRPr="008A2E5A" w:rsidRDefault="006C6AFE" w:rsidP="006C6AFE">
      <w:pPr>
        <w:spacing w:after="0" w:line="240" w:lineRule="auto"/>
        <w:jc w:val="both"/>
        <w:rPr>
          <w:rFonts w:ascii="Times New Roman" w:hAnsi="Times New Roman"/>
          <w:color w:val="0070C0"/>
          <w:sz w:val="16"/>
          <w:szCs w:val="16"/>
        </w:rPr>
      </w:pPr>
    </w:p>
    <w:p w14:paraId="32CDA9D9"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18 января 1942 года КВ с серийным номером 10033 с мотором В-2КФ с пневматическим регулятором Настенко, мощность которого выросла до 650 лошадиных сил, вышел на пробег, где выяснилось, что температура масла достигла 125 градусов. Можно представить, что было бы летом. Мотор В-2КФ №4484 проработал всего 20 моточасов. Попытка исправить ситуацию путем замены радиаторов и других правок системы охлаждения результатов не принесли. На повторном пробеге перегрев повторился, поэтому 20 февраля мотор с танка сняли.</w:t>
      </w:r>
    </w:p>
    <w:p w14:paraId="16F9AB79"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На замену данному мотору поставили еще один В-2КФ, №4433. После 5 часов работы испытания прекратились, поскольку перегрев никуда не делся. 23 февраля мотор с танка сняли, а вместо него поставили уже третий по счету В-2КФ, №6433. Этот мотор проработал еще меньше - 3,5 часа, причины ровно те же самые. 28 февраля мотор сняли, после чего на него установили центробежный регулятор. После этого силовая установка проработала уже 36,5 часов. С центробежным регулятором тепловой режим немного улучшился, но в том-то и дело, что "немного". По факту температура масла оставалась настолько высокой, что </w:t>
      </w:r>
      <w:proofErr w:type="gramStart"/>
      <w:r w:rsidRPr="008127F8">
        <w:rPr>
          <w:color w:val="000000" w:themeColor="text1"/>
          <w:sz w:val="16"/>
          <w:szCs w:val="16"/>
        </w:rPr>
        <w:t>про движение</w:t>
      </w:r>
      <w:proofErr w:type="gramEnd"/>
      <w:r w:rsidRPr="008127F8">
        <w:rPr>
          <w:color w:val="000000" w:themeColor="text1"/>
          <w:sz w:val="16"/>
          <w:szCs w:val="16"/>
        </w:rPr>
        <w:t xml:space="preserve"> танка на максимальной скорости можно было и не мечтать. Всё это напоминало ситуацию годичной давности, когда Т-150, имевший ту же массу, а также форсированный мотор, грелся как кипятильник.</w:t>
      </w:r>
    </w:p>
    <w:p w14:paraId="0333F8EF"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lastRenderedPageBreak/>
        <w:t>По итогам всех неприятностей, которые свалились на танк №10033, он прошел 529 километров, из которых зачли 332. Средняя скорость по шоссе составила 18,7 км/ч, по проселку 17,1 км/ч, а по целине 12,3 км/ч (20404).</w:t>
      </w:r>
    </w:p>
    <w:p w14:paraId="7BE1903C" w14:textId="77777777" w:rsidR="00604AE0" w:rsidRPr="008127F8" w:rsidRDefault="00604AE0" w:rsidP="001E0A84">
      <w:pPr>
        <w:pStyle w:val="article-renderblock"/>
        <w:shd w:val="clear" w:color="auto" w:fill="FFFFFF"/>
        <w:spacing w:before="0" w:beforeAutospacing="0" w:after="0" w:afterAutospacing="0"/>
        <w:jc w:val="both"/>
        <w:rPr>
          <w:color w:val="000000" w:themeColor="text1"/>
          <w:sz w:val="16"/>
          <w:szCs w:val="16"/>
        </w:rPr>
      </w:pPr>
    </w:p>
    <w:p w14:paraId="310E26C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06F3A001" w14:textId="77777777" w:rsidR="00D4651C" w:rsidRPr="008127F8" w:rsidRDefault="00D4651C" w:rsidP="001E0A84">
      <w:pPr>
        <w:pStyle w:val="Iauiue"/>
        <w:jc w:val="both"/>
        <w:rPr>
          <w:iCs/>
          <w:color w:val="000000" w:themeColor="text1"/>
          <w:sz w:val="16"/>
          <w:szCs w:val="16"/>
        </w:rPr>
      </w:pPr>
    </w:p>
    <w:p w14:paraId="4B4E00CF"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0A81D2C1"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18 января наши войска продолжали вести активные боевые действия против немецко-фашистских войск.</w:t>
      </w:r>
    </w:p>
    <w:p w14:paraId="317EE984"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натиском бойцов тов. Рокоссовского (Западный фронт), противник оставил на поле боя 143 автомашины и 17 сожжённых танков. На другом участке части тов. Говорова захватили 5 немецких танков, 31 автомашину, 12 тракторов, свыше 300 винтовок и 236.000 патронов. На поле боя противник оставил свыше 1.000 трупов солдат и офицеров.</w:t>
      </w:r>
    </w:p>
    <w:p w14:paraId="6CD137A7"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выбив противника из нескольких населённых пунктов, нанесла ему большой урон. Немецко-фашистские захватчики оставили до 900 убитых солдат и офицеров. Наши бойцы захватили 4 тяжёлых орудия, 10 противотанковых орудий, 14 миномётов, 6 пулемётов, 3 автомобиля, склад боеприпасов и вещевой склад.</w:t>
      </w:r>
    </w:p>
    <w:p w14:paraId="3151058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населённый пункт Л. экипаж танка лейтенанта Миронова уничтожил 4 немецких танка, 6 противотанковых орудий, 2 броневика и перебил свыше 30 немецких солдат и офицеров.</w:t>
      </w:r>
    </w:p>
    <w:p w14:paraId="0C4E735A"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мелитопольских партизанских отряда, где командирами товарищи П. и Г., организовали крушение немецкого эшелона, гружённого танками, автомашинами и снарядами. Много танков и автомашин выбыло из строя. 5 вагонов со снарядами взлетели на воздух. Эти же партизанские отряды уничтожили 6 автомашин и 27 подвод с грузом и перебили 76 немецких солдат. Немецкое командование послало в одно из сёл карательный отряд для ареста сельского актива. Партизаны целиком уничтожили карательный отряд гитлеровцев.</w:t>
      </w:r>
    </w:p>
    <w:p w14:paraId="38ABEC9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наших войск, немецко-фашистские войска бросают оружие и боеприпасы. В связи с этим немецкое командование издало инструкцию за № 1/498а, в которой говорится: «Брошенное оружие и снаряжение следует доставлять в пункты сбора оружия. В особенности следует собирать с убитых и раненых пистолеты-пулемёты, так как потери по этому виду оружия особенно велики».</w:t>
      </w:r>
    </w:p>
    <w:p w14:paraId="36A0D6E4"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гитлеровское командование само вынуждено признать огромные потери немцев в вооружении.</w:t>
      </w:r>
    </w:p>
    <w:p w14:paraId="5360C7D6"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Лоренса Лена найдено письмо к жене Фриде и дочери. Вот что писал Лен: «10 дней я не мог писать вам ни слова. Мы всё время были в движении, в лесах. Там мы с раннего утра и до поздней ночи строили блиндажи. Как только мы заканчивали строительство укреплений, часть получала приказ об отступлении, и всё пропадало зря».</w:t>
      </w:r>
    </w:p>
    <w:p w14:paraId="42DF42DF"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натиском частей Красной Армии, немецкие бандиты угнали с собой всех жителей деревень Никитки и Маслово. Большинство домов в этих селениях сожжено гитлеровцами. В деревне Никитки сгорело 69 домов из 70, в Маслове — 68 из 69. В деревне Маслово немцы сожгли заживо Морозова Ф.А., его дочь Марию и колхозниц Котову Г., Кузнецову В. и Петровскую В.» (15013).</w:t>
      </w:r>
    </w:p>
    <w:p w14:paraId="0A152E98"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69A93EEE"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1CE015C4"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января наши войска, преодолевая узлы сопротивления немецких войск, продолжали продвигаться вперёд, заняли несколько населённых пунктов и в числе их Полотняный завод.</w:t>
      </w:r>
    </w:p>
    <w:p w14:paraId="5BAFC9D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января уничтожено 15 немецких самолётов. Наши потери 3 самолёта.</w:t>
      </w:r>
    </w:p>
    <w:p w14:paraId="01DFC59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января под Москвой сбито 3 немецких самолёта.</w:t>
      </w:r>
    </w:p>
    <w:p w14:paraId="00AC8622"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января части нашей авиации уничтожили 6 немецких танков, около 290 автомашин с войсками и грузами, 13 бронемашин, 255 повозок с боеприпасами, 7 орудий с прислугой, повредили в ряде мест железнодорожное полотно, взорвали 7 вагонов и 2 паровоза, разрушили железнодорожный мост, рассеяли и частью истребили 2 полка пехоты противника.</w:t>
      </w:r>
    </w:p>
    <w:p w14:paraId="75A26A04"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часть тов. Безверхова (Западный фронт), ведя упорные бои с противником, нанесла немцам большой урон. Только убитыми гитлеровцы потеряли 500 солдат и офицеров. Наши бойцы захватили 3 немецких танка, 27 орудий, 30 пулемётов, зенитную установку и большое количество снарядов. Трофейные орудия гвардейцы установили на огневых позициях и громят врага его же снарядами.</w:t>
      </w:r>
    </w:p>
    <w:p w14:paraId="72CA1DF8"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Авиачасть тов. Полбина, действующая на Калининском фронте, совершила внезапный налёт на вражеский аэродром</w:t>
      </w:r>
      <w:proofErr w:type="gramStart"/>
      <w:r w:rsidRPr="008127F8">
        <w:rPr>
          <w:rFonts w:ascii="Times New Roman" w:hAnsi="Times New Roman"/>
          <w:color w:val="000000" w:themeColor="text1"/>
          <w:sz w:val="16"/>
          <w:szCs w:val="16"/>
        </w:rPr>
        <w:t>; Метко</w:t>
      </w:r>
      <w:proofErr w:type="gramEnd"/>
      <w:r w:rsidRPr="008127F8">
        <w:rPr>
          <w:rFonts w:ascii="Times New Roman" w:hAnsi="Times New Roman"/>
          <w:color w:val="000000" w:themeColor="text1"/>
          <w:sz w:val="16"/>
          <w:szCs w:val="16"/>
        </w:rPr>
        <w:t xml:space="preserve"> сброшенными бомбами и пулемётным обстрелом уничтожено 16 немецких самолётов.</w:t>
      </w:r>
    </w:p>
    <w:p w14:paraId="4EECB04C"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Стефаненко, охранявший с пулемётом аэродром, заметил вынырнувший из-за облаков самолёт противника «Ю-88» и дал длинную очередь. Фашистская машина взорвалась в воздухе.</w:t>
      </w:r>
    </w:p>
    <w:p w14:paraId="69344187"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Получены сведения о результатах деятельности нескольких партизанских отрядов, действующих в Крыму. По далеко неполным данным, эти отряды за два месяца убили 1.800 немецких солдат и офицеров, взяли в плен 41 гитлеровца, захватили 10 пулемётов, уничтожили 70 грузовых автомашин и 58 подвод с боеприпасами и 3 цистерны с горючим. Кроме того, на минированных партизанами дорогах подорвалось свыше 100 автомашин с пехотой противника и боеприпасами. Воодушевлённые победами наших войск в Крыму, партизаны ещё больше активизировали свою боевую деятельность.</w:t>
      </w:r>
    </w:p>
    <w:p w14:paraId="14C2C3C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215 немецкого артполка Фриц Марксталер на допросе заявил: «Я больной: у меня туберкулёз, хронический катарр желудка и кишок. В армии я перенёс брюшной тиф. Недавно обморозил ноги и простудился. За 3 недели пребывания, в России я 10 дней пролежал в лазарете и тем не менее меня не отпустили из армии. В лазарете я у многих солдат видел советские листовки. Солдаты бережно хранят их, тайком обсуждают их содержание».</w:t>
      </w:r>
    </w:p>
    <w:p w14:paraId="0EDDFDDE"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Чёрная Грязь, Угодско-Заводского района, Московской области, гитлеровские мерзавцы расстреляли 30 крестьян, а трупы развесили на деревьях вдоль дороги. Три недели, до занятия деревни частями</w:t>
      </w:r>
    </w:p>
    <w:p w14:paraId="7560ED2F"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Красной Армии, немцы не разрешали родственникам похоронить расстрелянных. В этой же деревне фашистские бандиты изнасиловали, а затем зверски убили двух женщин — Солонинкову Е, и Ерохину К.</w:t>
      </w:r>
    </w:p>
    <w:p w14:paraId="2278257A"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Французские патриоты ведут упорную борьбу против немецких оккупантов. Недавно на заводе Гочкис, выполняющем заказы гитлеровской армии, были испорчены 42 станка точной механики. На днях в Абвиле пущено под откос 2 немецких воинских поезда.» (15013).</w:t>
      </w:r>
    </w:p>
    <w:p w14:paraId="76428778"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7153F1BD"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в составе НКВД для руководства зафронтовой работой органов госбезопасности создано 4-е управление. Его костяк составили сотрудники внешней разведки. Руководитель 4-го управления П.А.Судоплатов одновременно являлся заместителем начальника внешней разведки. Управление занималось формированием разведывательно-диверсионных групп и отрядов, действовавших в тылу противника (15013).</w:t>
      </w:r>
    </w:p>
    <w:p w14:paraId="3C6DD646"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5CC2039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г. четверка Пе-3 из 54-го сбап атаковала аэродром Бельская. На стоянки немецких самолетов было сброшено 16 авиабомб калибра 100 кг. На отходе от цели четверку атаковали самолеты Не113 (на самом деле - Bf 109F из JG51). Огнем штурманов один самолет противника был подбит, а второй, не рассчитав маневра, врезался в хвост ведущего Пе-3 капитана Карабутова и потерял крыло. Сильно поврежденный Пе-3 все же дотянул до аэродрома в Туле, а немецкий летчик попал в плен (4476).</w:t>
      </w:r>
    </w:p>
    <w:p w14:paraId="1A106843" w14:textId="77777777" w:rsidR="00D4651C" w:rsidRPr="008127F8" w:rsidRDefault="00D4651C" w:rsidP="001E0A84">
      <w:pPr>
        <w:pStyle w:val="Iauiue"/>
        <w:jc w:val="both"/>
        <w:rPr>
          <w:color w:val="000000" w:themeColor="text1"/>
          <w:sz w:val="16"/>
          <w:szCs w:val="16"/>
        </w:rPr>
      </w:pPr>
    </w:p>
    <w:p w14:paraId="027C92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18 по 31 1942 января состоялась Барвенково-Лозовская операция КА силами Юго-Западного и Южного фронтов с целью выйти в тыл донбасско-таганрогской группировке немцев, отрезать пути отхода на запад, блокировать у побережья Азовского моря и уничтожить. Прорвали оборону на 100 км участке и продвинулись на 90-100 км на запад и юго-запад. Полностью задачи не выполнили (2438,81).</w:t>
      </w:r>
    </w:p>
    <w:p w14:paraId="001A9E19" w14:textId="77777777" w:rsidR="00D4651C" w:rsidRPr="008127F8" w:rsidRDefault="00D4651C" w:rsidP="001E0A84">
      <w:pPr>
        <w:pStyle w:val="Iauiue"/>
        <w:jc w:val="both"/>
        <w:rPr>
          <w:color w:val="000000" w:themeColor="text1"/>
          <w:sz w:val="16"/>
          <w:szCs w:val="16"/>
        </w:rPr>
      </w:pPr>
    </w:p>
    <w:p w14:paraId="182FE3F4"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войска Юго-Западного (генерал-лейтенант Ф.Я.Костенко) и Южного (генерал-лейтенант Р.Я.Малиновский) фронтов начали Барвенковско-Лозовскую наступательную операцию. В ходе операции, завершившейся 31 января, прорвана оборона противника на 70-км фронте, войска продвинулись на глубину до 90—100 км. Но поставленные фронтам задачи не были решены полностью. В ходе битвы под Москвой силами 4-го воздушно-десантного корпуса (генерал-майор А.Ф.Левашов) началась Вяземская воздушно-десантная операция. Действуя в тылу, десантники оттянули на себя значительные силы противника и уничтожили до 15 тыс. вражеских солдат и офицеров. Завершена 28 февраля (15013).</w:t>
      </w:r>
    </w:p>
    <w:p w14:paraId="0048BAF7"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0139493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войска ЮЗФ (Ф.Я.Костенко) и ЮФ (Р.Я.Малиновский) начали Барвенковско-Лозовскую операцию, которая завершилась 31 января. Прорвали оборону на 70 км и продвинулись на 90-100 км, однако, поставленные задачи не решили (3398,36).</w:t>
      </w:r>
    </w:p>
    <w:p w14:paraId="0DBA47EE" w14:textId="77777777" w:rsidR="00D4651C" w:rsidRPr="008127F8" w:rsidRDefault="00D4651C" w:rsidP="001E0A84">
      <w:pPr>
        <w:pStyle w:val="Iauiue"/>
        <w:jc w:val="both"/>
        <w:rPr>
          <w:color w:val="000000" w:themeColor="text1"/>
          <w:sz w:val="16"/>
          <w:szCs w:val="16"/>
        </w:rPr>
      </w:pPr>
    </w:p>
    <w:p w14:paraId="3E6636D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18 января по 24 февраля 1942 состоялась Вяземская воздушно-десантная операция по окружению и разгрому вяземско-ржевско-юхновской группировки для поддержки Западного и Калининского фронтов. Десантировали 10 тыс. чел. 4 ВДК, которые совместно с 1 кавкорпусом и партизанскими отрядами до 25 мая удерживали значительный район южнее Вязьмы, сковав до 5 дивизий. Соединение с Калининским и Западным фронтами не удалось. В ночь на 26 мая провал окружение и 24 июня вместе с кавкорпусом соединился с Западным фронтом (2438,161).</w:t>
      </w:r>
    </w:p>
    <w:p w14:paraId="72537A53" w14:textId="77777777" w:rsidR="00D4651C" w:rsidRPr="008127F8" w:rsidRDefault="00D4651C" w:rsidP="001E0A84">
      <w:pPr>
        <w:pStyle w:val="Iauiue"/>
        <w:jc w:val="both"/>
        <w:rPr>
          <w:color w:val="000000" w:themeColor="text1"/>
          <w:sz w:val="16"/>
          <w:szCs w:val="16"/>
        </w:rPr>
      </w:pPr>
    </w:p>
    <w:p w14:paraId="75F12AB2" w14:textId="14D68221"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января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Десантом 462 парашютистов с 16 самолетов ПС-84 (Ли-2) началась Вяземская воздушно-десантная операция (22654).</w:t>
      </w:r>
    </w:p>
    <w:p w14:paraId="3FFFF815"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0788AB48"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(18–22 января) в ночное время десантирована в немецкий тыл (35–40 км от линии фронта) в район Знаменки, Луги, Желанья (южнее Вязьмы) 201-я воздушно-десантная бригада и осуществлен посадочный десант 250-го отдельного стрелкового полка. Десантники перехватили и удерживали важнейшие пути в тылу юхновской группировки вермахта (15013).</w:t>
      </w:r>
    </w:p>
    <w:p w14:paraId="211F96A4"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53E2CEDE" w14:textId="77777777" w:rsidR="00C10089" w:rsidRPr="008127F8" w:rsidRDefault="00C10089" w:rsidP="001E0A84">
      <w:pPr>
        <w:pStyle w:val="af"/>
        <w:spacing w:before="0" w:after="0"/>
        <w:jc w:val="both"/>
        <w:textAlignment w:val="baseline"/>
        <w:rPr>
          <w:color w:val="000000" w:themeColor="text1"/>
          <w:sz w:val="16"/>
          <w:szCs w:val="16"/>
        </w:rPr>
      </w:pPr>
      <w:r w:rsidRPr="008127F8">
        <w:rPr>
          <w:color w:val="000000" w:themeColor="text1"/>
          <w:sz w:val="16"/>
          <w:szCs w:val="16"/>
        </w:rPr>
        <w:t>18 января 1942 утром советская авиация начала масштабную высадку воздушного десанта в тылу немецкой группы армий «Митте». Ее целью была поддержка выдыхавшегося наступления войск Калининского фронта и трех армий Западного фронта. В течение четырех часов с шестнадцати самолетов ПС-84 в районе поселка Желанья, в 50 километрах южнее Вязьмы, были десантированы 462 бойца из 250-го стрелкового авиадесантного полка. В последующие дни в район Вязьмы на борту двух— и четырехмоторных транспортников, совершавших в темное время суток регулярные полеты за линию фронта, были доставлены батальоны 201-й воздушно-десантной бригады.</w:t>
      </w:r>
    </w:p>
    <w:p w14:paraId="3F270AD1" w14:textId="77777777" w:rsidR="00C10089" w:rsidRPr="008127F8" w:rsidRDefault="00C10089" w:rsidP="001E0A84">
      <w:pPr>
        <w:pStyle w:val="af"/>
        <w:spacing w:before="0" w:after="0"/>
        <w:jc w:val="both"/>
        <w:textAlignment w:val="baseline"/>
        <w:rPr>
          <w:color w:val="000000" w:themeColor="text1"/>
          <w:sz w:val="16"/>
          <w:szCs w:val="16"/>
        </w:rPr>
      </w:pPr>
      <w:r w:rsidRPr="008127F8">
        <w:rPr>
          <w:color w:val="000000" w:themeColor="text1"/>
          <w:sz w:val="16"/>
          <w:szCs w:val="16"/>
        </w:rPr>
        <w:t>Естественно, что подобное не могло долго продолжаться безнаказанно. Немецкие самолеты-разведчики произвели аэрофотосъемку прифронтовых русских аэродромов и вскоре установили, что доставка десанта осуществляется главным образом с аэродрома Грабцево, расположенного северо-восточнее Калуги. И командование 8-го авиакорпуса люфтваффе решило нанести по нему штурмовой удар, время для которого, как оказалось, было выбрано очень удачно.</w:t>
      </w:r>
    </w:p>
    <w:p w14:paraId="57D6CA8B" w14:textId="46325800" w:rsidR="00C10089" w:rsidRPr="008127F8" w:rsidRDefault="00C10089" w:rsidP="001E0A84">
      <w:pPr>
        <w:pStyle w:val="af"/>
        <w:spacing w:before="0" w:after="0"/>
        <w:jc w:val="both"/>
        <w:textAlignment w:val="baseline"/>
        <w:rPr>
          <w:color w:val="000000" w:themeColor="text1"/>
          <w:sz w:val="16"/>
          <w:szCs w:val="16"/>
        </w:rPr>
      </w:pPr>
      <w:r w:rsidRPr="008127F8">
        <w:rPr>
          <w:color w:val="000000" w:themeColor="text1"/>
          <w:sz w:val="16"/>
          <w:szCs w:val="16"/>
        </w:rPr>
        <w:t>Короткий световой день 27 января подходил к концу, зимнее солнце садилось за горизонт, и в Грабцево очередная партия десантников погрузилась на борт группы четырехмоторных ТБ-3. Тяжелогруженые машины уже выруливали на взлетно-посадочную полосу, когда около 17.00 по московскому времени над аэродромом на небольшой высоте появилось около двадцати немецких самолетов. Это были Bf-</w:t>
      </w:r>
      <w:proofErr w:type="gramStart"/>
      <w:r w:rsidRPr="008127F8">
        <w:rPr>
          <w:color w:val="000000" w:themeColor="text1"/>
          <w:sz w:val="16"/>
          <w:szCs w:val="16"/>
        </w:rPr>
        <w:t>11</w:t>
      </w:r>
      <w:r w:rsidR="008127F8">
        <w:rPr>
          <w:color w:val="000000" w:themeColor="text1"/>
          <w:sz w:val="16"/>
          <w:szCs w:val="16"/>
        </w:rPr>
        <w:t xml:space="preserve">  </w:t>
      </w:r>
      <w:r w:rsidRPr="008127F8">
        <w:rPr>
          <w:color w:val="000000" w:themeColor="text1"/>
          <w:sz w:val="16"/>
          <w:szCs w:val="16"/>
        </w:rPr>
        <w:t>°</w:t>
      </w:r>
      <w:proofErr w:type="gramEnd"/>
      <w:r w:rsidRPr="008127F8">
        <w:rPr>
          <w:color w:val="000000" w:themeColor="text1"/>
          <w:sz w:val="16"/>
          <w:szCs w:val="16"/>
        </w:rPr>
        <w:t>C из I. /ZG26 «Хорст Вессель» под командованием гауптмана Вильгельма Шписса.</w:t>
      </w:r>
    </w:p>
    <w:p w14:paraId="66250F6F" w14:textId="77777777" w:rsidR="00C10089" w:rsidRPr="008127F8" w:rsidRDefault="00C10089" w:rsidP="001E0A84">
      <w:pPr>
        <w:pStyle w:val="af"/>
        <w:spacing w:before="0" w:after="0"/>
        <w:jc w:val="both"/>
        <w:textAlignment w:val="baseline"/>
        <w:rPr>
          <w:color w:val="000000" w:themeColor="text1"/>
          <w:sz w:val="16"/>
          <w:szCs w:val="16"/>
        </w:rPr>
      </w:pPr>
      <w:r w:rsidRPr="008127F8">
        <w:rPr>
          <w:color w:val="000000" w:themeColor="text1"/>
          <w:sz w:val="16"/>
          <w:szCs w:val="16"/>
        </w:rPr>
        <w:t>Их налет стал полной неожиданностью. Транспортники, расстреливаемые «Мессершмиттами», хаотично разворачивались в разные стороны. Из них на ходу выпрыгивали и разбегались врассыпную десантники. Самолеты получали попадания, врезались друг в друга и взрывались. И при этом ни один советский истребитель даже не попытался подняться в воздух, чтобы помешать немцам.</w:t>
      </w:r>
    </w:p>
    <w:p w14:paraId="36CE0678" w14:textId="77777777" w:rsidR="00C10089" w:rsidRPr="008127F8" w:rsidRDefault="00C10089" w:rsidP="001E0A84">
      <w:pPr>
        <w:pStyle w:val="af"/>
        <w:spacing w:before="0" w:after="0"/>
        <w:jc w:val="both"/>
        <w:textAlignment w:val="baseline"/>
        <w:rPr>
          <w:color w:val="000000" w:themeColor="text1"/>
          <w:sz w:val="16"/>
          <w:szCs w:val="16"/>
        </w:rPr>
      </w:pPr>
      <w:r w:rsidRPr="008127F8">
        <w:rPr>
          <w:color w:val="000000" w:themeColor="text1"/>
          <w:sz w:val="16"/>
          <w:szCs w:val="16"/>
        </w:rPr>
        <w:t xml:space="preserve">В итоге было уничтожено 11 самолетов, в том числе девять ТБ-3 из 23-й тбад, один И-16 и один Як-1. Еще 13 транспортников получили различные повреждения и стали непригодны для полетов. Запланированная на тот день высадка очередной партии десантников была сорвана. В целом же удар I./ZG26 по аэродрому Грабцево сыграл большую роль в конечном крахе всей десантной </w:t>
      </w:r>
      <w:proofErr w:type="gramStart"/>
      <w:r w:rsidRPr="008127F8">
        <w:rPr>
          <w:color w:val="000000" w:themeColor="text1"/>
          <w:sz w:val="16"/>
          <w:szCs w:val="16"/>
        </w:rPr>
        <w:t>операции[</w:t>
      </w:r>
      <w:proofErr w:type="gramEnd"/>
      <w:r w:rsidRPr="008127F8">
        <w:rPr>
          <w:color w:val="000000" w:themeColor="text1"/>
          <w:sz w:val="16"/>
          <w:szCs w:val="16"/>
        </w:rPr>
        <w:t>39].</w:t>
      </w:r>
    </w:p>
    <w:p w14:paraId="18DAE7B6" w14:textId="45CF6AD3" w:rsidR="00C10089" w:rsidRPr="008127F8" w:rsidRDefault="00C10089" w:rsidP="001E0A84">
      <w:pPr>
        <w:pStyle w:val="af"/>
        <w:spacing w:before="0" w:after="0"/>
        <w:jc w:val="both"/>
        <w:textAlignment w:val="baseline"/>
        <w:rPr>
          <w:color w:val="000000" w:themeColor="text1"/>
          <w:sz w:val="16"/>
          <w:szCs w:val="16"/>
        </w:rPr>
      </w:pPr>
      <w:r w:rsidRPr="008127F8">
        <w:rPr>
          <w:color w:val="000000" w:themeColor="text1"/>
          <w:sz w:val="16"/>
          <w:szCs w:val="16"/>
        </w:rPr>
        <w:t xml:space="preserve">Во время последующих налетов, проводившихся уже более мелкими группами немецких самолетов, был уничтожен еще один и повреждены четыре ТБ-3. Следует отметить, что эти огромные самолеты уже давно не выпускались, и их потерю восполнить было просто нечем. К 30 января из 70 транспортников, имевшихся к началу операции, уцелело только 38. В результате в этот день удалось выбросить в немецком тылу всего 385 человек и </w:t>
      </w:r>
      <w:proofErr w:type="gramStart"/>
      <w:r w:rsidRPr="008127F8">
        <w:rPr>
          <w:color w:val="000000" w:themeColor="text1"/>
          <w:sz w:val="16"/>
          <w:szCs w:val="16"/>
        </w:rPr>
        <w:t>5400</w:t>
      </w:r>
      <w:r w:rsidR="008127F8">
        <w:rPr>
          <w:color w:val="000000" w:themeColor="text1"/>
          <w:sz w:val="16"/>
          <w:szCs w:val="16"/>
        </w:rPr>
        <w:t xml:space="preserve">  </w:t>
      </w:r>
      <w:r w:rsidRPr="008127F8">
        <w:rPr>
          <w:color w:val="000000" w:themeColor="text1"/>
          <w:sz w:val="16"/>
          <w:szCs w:val="16"/>
        </w:rPr>
        <w:t>кг</w:t>
      </w:r>
      <w:proofErr w:type="gramEnd"/>
      <w:r w:rsidRPr="008127F8">
        <w:rPr>
          <w:color w:val="000000" w:themeColor="text1"/>
          <w:sz w:val="16"/>
          <w:szCs w:val="16"/>
        </w:rPr>
        <w:t xml:space="preserve"> грузов, а на следующий день и того меньше (19522).</w:t>
      </w:r>
    </w:p>
    <w:p w14:paraId="20F7FAD9" w14:textId="77777777" w:rsidR="00C10089" w:rsidRPr="008127F8" w:rsidRDefault="00C10089" w:rsidP="001E0A84">
      <w:pPr>
        <w:pStyle w:val="af"/>
        <w:spacing w:before="0" w:after="0"/>
        <w:jc w:val="both"/>
        <w:textAlignment w:val="baseline"/>
        <w:rPr>
          <w:color w:val="000000" w:themeColor="text1"/>
          <w:sz w:val="16"/>
          <w:szCs w:val="16"/>
        </w:rPr>
      </w:pPr>
    </w:p>
    <w:p w14:paraId="09AF74CC" w14:textId="77777777"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января 1942 утром советская авиация начала масштабную высадку воздушного десанта в тылу немецкой группы армий «Митте». Ее целью была поддержка выдыхавшегося наступления войск Калининского фронта и трех армий Западного фронта. В течение четырех часов с шестнадцати самолетов ПС</w:t>
      </w:r>
      <w:r w:rsidRPr="008127F8">
        <w:rPr>
          <w:rFonts w:ascii="Times New Roman" w:hAnsi="Times New Roman"/>
          <w:color w:val="000000" w:themeColor="text1"/>
          <w:sz w:val="16"/>
          <w:szCs w:val="16"/>
        </w:rPr>
        <w:noBreakHyphen/>
        <w:t>84 в районе поселка Желанья, в 50 километрах южнее Вязьмы, были десантированы 462 бойца из 250</w:t>
      </w:r>
      <w:r w:rsidRPr="008127F8">
        <w:rPr>
          <w:rFonts w:ascii="Times New Roman" w:hAnsi="Times New Roman"/>
          <w:color w:val="000000" w:themeColor="text1"/>
          <w:sz w:val="16"/>
          <w:szCs w:val="16"/>
        </w:rPr>
        <w:noBreakHyphen/>
        <w:t>го стрелкового авиадесантного полка. В последующие дни в район Вязьмы на борту двух– и четырехмоторных транспортников, совершавших в темное время суток регулярные полеты за линию фронта, были доставлены батальоны 201</w:t>
      </w:r>
      <w:r w:rsidRPr="008127F8">
        <w:rPr>
          <w:rFonts w:ascii="Times New Roman" w:hAnsi="Times New Roman"/>
          <w:color w:val="000000" w:themeColor="text1"/>
          <w:sz w:val="16"/>
          <w:szCs w:val="16"/>
        </w:rPr>
        <w:noBreakHyphen/>
        <w:t>й воздушно</w:t>
      </w:r>
      <w:r w:rsidRPr="008127F8">
        <w:rPr>
          <w:rFonts w:ascii="Times New Roman" w:hAnsi="Times New Roman"/>
          <w:color w:val="000000" w:themeColor="text1"/>
          <w:sz w:val="16"/>
          <w:szCs w:val="16"/>
        </w:rPr>
        <w:noBreakHyphen/>
        <w:t>десантной бригады.</w:t>
      </w:r>
    </w:p>
    <w:p w14:paraId="2B206457" w14:textId="77777777"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Естественно, что подобное не могло долго продолжаться безнаказанно. Немецкие самолеты</w:t>
      </w:r>
      <w:r w:rsidRPr="008127F8">
        <w:rPr>
          <w:rFonts w:ascii="Times New Roman" w:hAnsi="Times New Roman"/>
          <w:color w:val="000000" w:themeColor="text1"/>
          <w:sz w:val="16"/>
          <w:szCs w:val="16"/>
        </w:rPr>
        <w:noBreakHyphen/>
        <w:t>разведчики произвели аэрофотосъемку прифронтовых русских аэродромов и вскоре установили, что доставка десанта осуществляется главным образом с аэродрома Грабцево, расположенного северо</w:t>
      </w:r>
      <w:r w:rsidRPr="008127F8">
        <w:rPr>
          <w:rFonts w:ascii="Times New Roman" w:hAnsi="Times New Roman"/>
          <w:color w:val="000000" w:themeColor="text1"/>
          <w:sz w:val="16"/>
          <w:szCs w:val="16"/>
        </w:rPr>
        <w:noBreakHyphen/>
        <w:t>восточнее Калуги. И командование 8</w:t>
      </w:r>
      <w:r w:rsidRPr="008127F8">
        <w:rPr>
          <w:rFonts w:ascii="Times New Roman" w:hAnsi="Times New Roman"/>
          <w:color w:val="000000" w:themeColor="text1"/>
          <w:sz w:val="16"/>
          <w:szCs w:val="16"/>
        </w:rPr>
        <w:noBreakHyphen/>
        <w:t>го авиакорпуса люфтваффе решило нанести по нему штурмовой удар, время для которого, как оказалось, было выбрано очень удачно (23199).</w:t>
      </w:r>
    </w:p>
    <w:p w14:paraId="14B63A38" w14:textId="77777777" w:rsidR="0070658C" w:rsidRPr="008127F8" w:rsidRDefault="0070658C" w:rsidP="001E0A84">
      <w:pPr>
        <w:spacing w:after="0" w:line="240" w:lineRule="auto"/>
        <w:jc w:val="both"/>
        <w:rPr>
          <w:rFonts w:ascii="Times New Roman" w:hAnsi="Times New Roman"/>
          <w:color w:val="000000" w:themeColor="text1"/>
          <w:sz w:val="16"/>
          <w:szCs w:val="16"/>
        </w:rPr>
      </w:pPr>
    </w:p>
    <w:p w14:paraId="645F267B" w14:textId="77777777" w:rsidR="008169E9" w:rsidRPr="008127F8" w:rsidRDefault="008169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началась Вяземская воздушно-десантная операция, продолжавшаяся до 23 февраля (15013).</w:t>
      </w:r>
    </w:p>
    <w:p w14:paraId="315419BF" w14:textId="77777777" w:rsidR="008169E9" w:rsidRPr="008127F8" w:rsidRDefault="008169E9" w:rsidP="001E0A84">
      <w:pPr>
        <w:spacing w:after="0" w:line="240" w:lineRule="auto"/>
        <w:jc w:val="both"/>
        <w:rPr>
          <w:rFonts w:ascii="Times New Roman" w:hAnsi="Times New Roman"/>
          <w:color w:val="000000" w:themeColor="text1"/>
          <w:sz w:val="16"/>
          <w:szCs w:val="16"/>
        </w:rPr>
      </w:pPr>
    </w:p>
    <w:p w14:paraId="026C7EC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силами 4ВДК (А.Ф.Левашов) началась Вяземская операция. Отвлекли силы и уничтожили 15 тыс. солдат и офицеров. Шла до 28 февраля 1942 (3398,37).</w:t>
      </w:r>
    </w:p>
    <w:p w14:paraId="1748F363" w14:textId="77777777" w:rsidR="00D4651C" w:rsidRPr="008127F8" w:rsidRDefault="00D4651C" w:rsidP="001E0A84">
      <w:pPr>
        <w:pStyle w:val="Iauiue"/>
        <w:jc w:val="both"/>
        <w:rPr>
          <w:color w:val="000000" w:themeColor="text1"/>
          <w:sz w:val="16"/>
          <w:szCs w:val="16"/>
        </w:rPr>
      </w:pPr>
    </w:p>
    <w:p w14:paraId="64ADD4F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партизаны захватили город Холм в Новгородской области (2443,256).</w:t>
      </w:r>
    </w:p>
    <w:p w14:paraId="7BCEDFF6" w14:textId="77777777" w:rsidR="00D4651C" w:rsidRPr="008127F8" w:rsidRDefault="00D4651C" w:rsidP="001E0A84">
      <w:pPr>
        <w:pStyle w:val="Iauiue"/>
        <w:jc w:val="both"/>
        <w:rPr>
          <w:color w:val="000000" w:themeColor="text1"/>
          <w:sz w:val="16"/>
          <w:szCs w:val="16"/>
        </w:rPr>
      </w:pPr>
    </w:p>
    <w:p w14:paraId="4A72EC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в составе НКВД было образовано 4У для руководства зафронтовой работой ОГБ (3398,36).</w:t>
      </w:r>
    </w:p>
    <w:p w14:paraId="35E15E68" w14:textId="77777777" w:rsidR="00D4651C" w:rsidRPr="008127F8" w:rsidRDefault="00D4651C" w:rsidP="001E0A84">
      <w:pPr>
        <w:pStyle w:val="Iauiue"/>
        <w:jc w:val="both"/>
        <w:rPr>
          <w:color w:val="000000" w:themeColor="text1"/>
          <w:sz w:val="16"/>
          <w:szCs w:val="16"/>
        </w:rPr>
      </w:pPr>
    </w:p>
    <w:p w14:paraId="21EF9A58"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18, 1942: In the East, the Red Army encircles seeral German divisions at Demjansk near Lake Ilmen. In the Crimea, German troops of Heeresgruppe B recapture Feodosia and seal off the Soviet bridgehead at Kerch. Germany, Italy and Japan sign a new military treaty (3819).</w:t>
      </w:r>
    </w:p>
    <w:p w14:paraId="0000DE4A" w14:textId="77777777" w:rsidR="00D4651C" w:rsidRPr="008127F8" w:rsidRDefault="00D4651C" w:rsidP="001E0A84">
      <w:pPr>
        <w:pStyle w:val="Iauiue"/>
        <w:jc w:val="both"/>
        <w:rPr>
          <w:color w:val="000000" w:themeColor="text1"/>
          <w:sz w:val="16"/>
          <w:szCs w:val="16"/>
          <w:lang w:val="en-US"/>
        </w:rPr>
      </w:pPr>
    </w:p>
    <w:p w14:paraId="3C5C78D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lang w:val="en-US"/>
        </w:rPr>
        <w:t xml:space="preserve">18 </w:t>
      </w:r>
      <w:r w:rsidRPr="008127F8">
        <w:rPr>
          <w:color w:val="000000" w:themeColor="text1"/>
          <w:sz w:val="16"/>
          <w:szCs w:val="16"/>
        </w:rPr>
        <w:t>января</w:t>
      </w:r>
      <w:r w:rsidRPr="008127F8">
        <w:rPr>
          <w:color w:val="000000" w:themeColor="text1"/>
          <w:sz w:val="16"/>
          <w:szCs w:val="16"/>
          <w:lang w:val="en-US"/>
        </w:rPr>
        <w:t xml:space="preserve"> 1942 </w:t>
      </w:r>
      <w:r w:rsidRPr="008127F8">
        <w:rPr>
          <w:color w:val="000000" w:themeColor="text1"/>
          <w:sz w:val="16"/>
          <w:szCs w:val="16"/>
        </w:rPr>
        <w:t>КАокружиланескольконемецкихдивизийврапйонеДемянскауоИльмень</w:t>
      </w:r>
      <w:r w:rsidRPr="008127F8">
        <w:rPr>
          <w:color w:val="000000" w:themeColor="text1"/>
          <w:sz w:val="16"/>
          <w:szCs w:val="16"/>
          <w:lang w:val="en-US"/>
        </w:rPr>
        <w:t xml:space="preserve">. </w:t>
      </w:r>
      <w:r w:rsidRPr="008127F8">
        <w:rPr>
          <w:color w:val="000000" w:themeColor="text1"/>
          <w:sz w:val="16"/>
          <w:szCs w:val="16"/>
        </w:rPr>
        <w:t>В крыму Группа Б отбила Феодосию и перекрыла переправы у Керчи (3819).</w:t>
      </w:r>
    </w:p>
    <w:p w14:paraId="42941C7B" w14:textId="77777777" w:rsidR="00D4651C" w:rsidRPr="008127F8" w:rsidRDefault="00D4651C" w:rsidP="001E0A84">
      <w:pPr>
        <w:pStyle w:val="Iauiue"/>
        <w:jc w:val="both"/>
        <w:rPr>
          <w:color w:val="000000" w:themeColor="text1"/>
          <w:sz w:val="16"/>
          <w:szCs w:val="16"/>
        </w:rPr>
      </w:pPr>
    </w:p>
    <w:p w14:paraId="47157C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января1942 вышел приказ НК ВМФ №10 и 18 сентября 1941 вышел приказ НКО СССР №308 о том, что гвардейским частям вручались особые гвардейские знамена и для их личного состава устанавливались повышенные оклады денежного содержания: для начальствующего состава - полуторные, для рядового - двойные (9396).</w:t>
      </w:r>
    </w:p>
    <w:p w14:paraId="1E579C84" w14:textId="77777777" w:rsidR="00D4651C" w:rsidRPr="008127F8" w:rsidRDefault="00D4651C" w:rsidP="001E0A84">
      <w:pPr>
        <w:pStyle w:val="Iauiue"/>
        <w:jc w:val="both"/>
        <w:rPr>
          <w:color w:val="000000" w:themeColor="text1"/>
          <w:sz w:val="16"/>
          <w:szCs w:val="16"/>
        </w:rPr>
      </w:pPr>
    </w:p>
    <w:p w14:paraId="221C3A63"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2FF8B7EA" w14:textId="77777777" w:rsidR="00D4651C" w:rsidRPr="008127F8" w:rsidRDefault="00D4651C" w:rsidP="001E0A84">
      <w:pPr>
        <w:pStyle w:val="Iauiue"/>
        <w:jc w:val="both"/>
        <w:rPr>
          <w:iCs/>
          <w:color w:val="000000" w:themeColor="text1"/>
          <w:sz w:val="16"/>
          <w:szCs w:val="16"/>
        </w:rPr>
      </w:pPr>
    </w:p>
    <w:p w14:paraId="73B45E93"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января</w:t>
      </w:r>
      <w:r w:rsidRPr="008127F8">
        <w:rPr>
          <w:rFonts w:ascii="Times New Roman" w:hAnsi="Times New Roman"/>
          <w:color w:val="000000" w:themeColor="text1"/>
          <w:sz w:val="16"/>
          <w:szCs w:val="16"/>
        </w:rPr>
        <w:t xml:space="preserve"> в 1942 году состоялся первый полёт 4-х моторного гидроплана </w:t>
      </w:r>
      <w:hyperlink r:id="rId12" w:tgtFrame="_blank" w:history="1">
        <w:r w:rsidRPr="008127F8">
          <w:rPr>
            <w:rFonts w:ascii="Times New Roman" w:hAnsi="Times New Roman"/>
            <w:color w:val="000000" w:themeColor="text1"/>
            <w:sz w:val="16"/>
            <w:szCs w:val="16"/>
          </w:rPr>
          <w:t xml:space="preserve">«Vought-Sikorsky» «VS-44» «Excalibur». </w:t>
        </w:r>
      </w:hyperlink>
      <w:r w:rsidRPr="008127F8">
        <w:rPr>
          <w:rFonts w:ascii="Times New Roman" w:hAnsi="Times New Roman"/>
          <w:color w:val="000000" w:themeColor="text1"/>
          <w:sz w:val="16"/>
          <w:szCs w:val="16"/>
        </w:rPr>
        <w:t>Авиатранспортная служба ВМС США 12 января 1942 года предоставила компании «АЕА» контракт на осуществление в ходе войны маршрутов через Атлантический океан. Спустя полгода - 20 июня 1942, этот авиалайнер вышел на трансатлантические линии «American Export Airlines» (15013).</w:t>
      </w:r>
    </w:p>
    <w:p w14:paraId="699D340C"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4EE299E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18 января 1942 в немецких ресторанах введены “полевые кухни” - по понедельникам и четвергам каждый мог попробовать солдатской пищи (4962).</w:t>
      </w:r>
    </w:p>
    <w:p w14:paraId="66383D0A" w14:textId="77777777" w:rsidR="00D4651C" w:rsidRPr="008127F8" w:rsidRDefault="00D4651C" w:rsidP="001E0A84">
      <w:pPr>
        <w:pStyle w:val="Iauiue"/>
        <w:tabs>
          <w:tab w:val="left" w:pos="11199"/>
        </w:tabs>
        <w:jc w:val="both"/>
        <w:rPr>
          <w:color w:val="000000" w:themeColor="text1"/>
          <w:sz w:val="16"/>
          <w:szCs w:val="16"/>
        </w:rPr>
      </w:pPr>
    </w:p>
    <w:p w14:paraId="168A92F5"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18 января 1942 фашистские государства разделили зоны военных операций (4962).</w:t>
      </w:r>
    </w:p>
    <w:p w14:paraId="5D34912D" w14:textId="77777777" w:rsidR="00D4651C" w:rsidRPr="008127F8" w:rsidRDefault="00D4651C" w:rsidP="001E0A84">
      <w:pPr>
        <w:pStyle w:val="Iauiue"/>
        <w:tabs>
          <w:tab w:val="left" w:pos="11199"/>
        </w:tabs>
        <w:jc w:val="both"/>
        <w:rPr>
          <w:color w:val="000000" w:themeColor="text1"/>
          <w:sz w:val="16"/>
          <w:szCs w:val="16"/>
        </w:rPr>
      </w:pPr>
    </w:p>
    <w:p w14:paraId="44B252D3"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18 January 1942 Germany, Italy and Japan sign a new military pact (270).</w:t>
      </w:r>
    </w:p>
    <w:p w14:paraId="08203C93" w14:textId="77777777" w:rsidR="00D4651C" w:rsidRPr="008127F8" w:rsidRDefault="00D4651C" w:rsidP="001E0A84">
      <w:pPr>
        <w:pStyle w:val="Iauiue"/>
        <w:jc w:val="both"/>
        <w:rPr>
          <w:color w:val="000000" w:themeColor="text1"/>
          <w:sz w:val="16"/>
          <w:szCs w:val="16"/>
          <w:lang w:val="en-US"/>
        </w:rPr>
      </w:pPr>
    </w:p>
    <w:p w14:paraId="57C097A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Германия, Италия и Япония подписали новый военный пакт (270) и разделили зоны военных операций (2443,422).</w:t>
      </w:r>
    </w:p>
    <w:p w14:paraId="12871A72" w14:textId="77777777" w:rsidR="00D4651C" w:rsidRPr="008127F8" w:rsidRDefault="00D4651C" w:rsidP="001E0A84">
      <w:pPr>
        <w:pStyle w:val="Iauiue"/>
        <w:jc w:val="both"/>
        <w:rPr>
          <w:color w:val="000000" w:themeColor="text1"/>
          <w:sz w:val="16"/>
          <w:szCs w:val="16"/>
        </w:rPr>
      </w:pPr>
    </w:p>
    <w:p w14:paraId="640E38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Ванзейская конференция под руководством Гейдриха объявила Окончательное решение еврейского вопроса (2261).</w:t>
      </w:r>
    </w:p>
    <w:p w14:paraId="1088D36B" w14:textId="77777777" w:rsidR="00D4651C" w:rsidRPr="008127F8" w:rsidRDefault="00D4651C" w:rsidP="001E0A84">
      <w:pPr>
        <w:pStyle w:val="Iauiue"/>
        <w:jc w:val="both"/>
        <w:rPr>
          <w:color w:val="000000" w:themeColor="text1"/>
          <w:sz w:val="16"/>
          <w:szCs w:val="16"/>
        </w:rPr>
      </w:pPr>
    </w:p>
    <w:p w14:paraId="6C23660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18 января 1942 в Хайфе англичанами арестован премьер-министр Бирмы У Со (4962).</w:t>
      </w:r>
    </w:p>
    <w:p w14:paraId="250E9A5A" w14:textId="77777777" w:rsidR="00D4651C" w:rsidRPr="008127F8" w:rsidRDefault="00D4651C" w:rsidP="001E0A84">
      <w:pPr>
        <w:pStyle w:val="Iauiue"/>
        <w:tabs>
          <w:tab w:val="left" w:pos="11199"/>
        </w:tabs>
        <w:jc w:val="both"/>
        <w:rPr>
          <w:color w:val="000000" w:themeColor="text1"/>
          <w:sz w:val="16"/>
          <w:szCs w:val="16"/>
        </w:rPr>
      </w:pPr>
    </w:p>
    <w:p w14:paraId="3C4426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18 января 1942 г МакКартур выбил японцев с Батаана (2100).</w:t>
      </w:r>
    </w:p>
    <w:p w14:paraId="1D97BB62" w14:textId="77777777" w:rsidR="00D4651C" w:rsidRPr="008127F8" w:rsidRDefault="00D4651C" w:rsidP="001E0A84">
      <w:pPr>
        <w:pStyle w:val="Iauiue"/>
        <w:jc w:val="both"/>
        <w:rPr>
          <w:color w:val="000000" w:themeColor="text1"/>
          <w:sz w:val="16"/>
          <w:szCs w:val="16"/>
        </w:rPr>
      </w:pPr>
    </w:p>
    <w:p w14:paraId="60FC566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4B8C5370" w14:textId="77777777" w:rsidR="00D4651C" w:rsidRPr="008127F8" w:rsidRDefault="00D4651C" w:rsidP="001E0A84">
      <w:pPr>
        <w:pStyle w:val="Iauiue"/>
        <w:jc w:val="both"/>
        <w:rPr>
          <w:iCs/>
          <w:color w:val="000000" w:themeColor="text1"/>
          <w:sz w:val="16"/>
          <w:szCs w:val="16"/>
        </w:rPr>
      </w:pPr>
    </w:p>
    <w:p w14:paraId="6169C0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 января 1942 вышел приказ НКАП N 49с</w:t>
      </w:r>
    </w:p>
    <w:p w14:paraId="3100A1C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обеспечение выпуска самолетов Ил-2 приказываю:</w:t>
      </w:r>
    </w:p>
    <w:p w14:paraId="004A28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Организовать на заводе 156 производство крыльев к самолету Ил-2 на мощность 6 комплектов в день с выпуском в марте с.г. 1-го комплекта (1524,68).</w:t>
      </w:r>
    </w:p>
    <w:p w14:paraId="37FDCA18" w14:textId="77777777" w:rsidR="00D4651C" w:rsidRPr="008127F8" w:rsidRDefault="00D4651C" w:rsidP="001E0A84">
      <w:pPr>
        <w:pStyle w:val="Iauiue"/>
        <w:jc w:val="both"/>
        <w:rPr>
          <w:color w:val="000000" w:themeColor="text1"/>
          <w:sz w:val="16"/>
          <w:szCs w:val="16"/>
        </w:rPr>
      </w:pPr>
    </w:p>
    <w:p w14:paraId="43FBB2A8"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 г. Климову удалось получить положительное заключение по Госиспытаниям М-107 на ресурс 25 часов. Однако и дефектов военприемка записала целый список. Запуск в серию принципиально нового мотора М-107А в 1942 г. сочли рискованным, и его отложили в пользу М-106П. Несколько вариантов этого мотора с разными нагнетателями уже стояли на опытных модификациях Як-1 и Як-9, а заводы № 292 в Саратове и № 153 в Новосибирске готовили войсковые серии истребителей с М-106 для испытаний в условиях фронта. Они и должны были стать тем оружием, которое планировалось противопоставить немецкому Bf 109G, и уже готовился их массовый выпуск (22751).</w:t>
      </w:r>
    </w:p>
    <w:p w14:paraId="2A01BEBC"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1BF82F2D"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января 1942 г. Доклад старшего военного представителя Главного управления ВВС Красной армии на заводе № 132 И. Андреева начальнику 4-го отдела (агрегатов) 10-го управления Главного управления ВВС Красной армии А. Р. Терехину о ходе работ по восстановлению завода № 132</w:t>
      </w:r>
    </w:p>
    <w:p w14:paraId="1B3694C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17F6A8C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разместился на территории быв. Симского арматурного завода — пос. Сим Челябинской обл., ближайшая железнодорожная станция — Симская Куйбышевской ж. д. — находится в 9,5 км от завода. Завод имеет свою узкоколейную железную дорогу, как на площадке завода, и она же соединяет с железнодорожной станцией. Завод № 132 образовался из двух заводов, эвакуированных из Москвы, завода № 132 и завода № 444 (номер ему присвоен 132).</w:t>
      </w:r>
    </w:p>
    <w:p w14:paraId="6CB5B840"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Директором завода назначен т. Ивайкин Артем Матвеевич, главным инженером назначен т. Мышленков Антон Артемович, заместителем директора по общим вопросам назначен быв. директор завода № 444 т. Лурье В. С., заместителем главного инженера назначен быв. главный инженер завода № 444 т. Ягнятинский Э. Л. Завод № 444 до эвакуации имел:</w:t>
      </w:r>
    </w:p>
    <w:p w14:paraId="126A66E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оборудования завода № 444</w:t>
      </w:r>
    </w:p>
    <w:p w14:paraId="16FAD5A2"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Наименование оборудования</w:t>
      </w:r>
      <w:r w:rsidRPr="008A2E5A">
        <w:rPr>
          <w:rFonts w:ascii="Times New Roman" w:hAnsi="Times New Roman"/>
          <w:color w:val="0070C0"/>
          <w:sz w:val="16"/>
          <w:szCs w:val="16"/>
        </w:rPr>
        <w:tab/>
        <w:t>Количество, в ед.</w:t>
      </w:r>
    </w:p>
    <w:p w14:paraId="2FE26B4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Металлорежущие станки</w:t>
      </w:r>
      <w:r w:rsidRPr="008A2E5A">
        <w:rPr>
          <w:rFonts w:ascii="Times New Roman" w:hAnsi="Times New Roman"/>
          <w:color w:val="0070C0"/>
          <w:sz w:val="16"/>
          <w:szCs w:val="16"/>
        </w:rPr>
        <w:tab/>
        <w:t>391</w:t>
      </w:r>
    </w:p>
    <w:p w14:paraId="1C3ABBA5"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Прочие</w:t>
      </w:r>
      <w:r w:rsidRPr="008A2E5A">
        <w:rPr>
          <w:rFonts w:ascii="Times New Roman" w:hAnsi="Times New Roman"/>
          <w:color w:val="0070C0"/>
          <w:sz w:val="16"/>
          <w:szCs w:val="16"/>
        </w:rPr>
        <w:tab/>
        <w:t>29</w:t>
      </w:r>
    </w:p>
    <w:p w14:paraId="143D608B"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r>
      <w:r w:rsidRPr="008A2E5A">
        <w:rPr>
          <w:rFonts w:ascii="Times New Roman" w:hAnsi="Times New Roman"/>
          <w:color w:val="0070C0"/>
          <w:sz w:val="16"/>
          <w:szCs w:val="16"/>
        </w:rPr>
        <w:tab/>
        <w:t>426</w:t>
      </w:r>
    </w:p>
    <w:p w14:paraId="11AD5F6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рабочих завода № 444</w:t>
      </w:r>
    </w:p>
    <w:p w14:paraId="4332DBDF"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Категории</w:t>
      </w:r>
      <w:r w:rsidRPr="008A2E5A">
        <w:rPr>
          <w:rFonts w:ascii="Times New Roman" w:hAnsi="Times New Roman"/>
          <w:color w:val="0070C0"/>
          <w:sz w:val="16"/>
          <w:szCs w:val="16"/>
        </w:rPr>
        <w:tab/>
        <w:t>Количество, чел.</w:t>
      </w:r>
    </w:p>
    <w:p w14:paraId="1129DCD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Производственные рабочие</w:t>
      </w:r>
      <w:r w:rsidRPr="008A2E5A">
        <w:rPr>
          <w:rFonts w:ascii="Times New Roman" w:hAnsi="Times New Roman"/>
          <w:color w:val="0070C0"/>
          <w:sz w:val="16"/>
          <w:szCs w:val="16"/>
        </w:rPr>
        <w:tab/>
        <w:t>260</w:t>
      </w:r>
    </w:p>
    <w:p w14:paraId="0E0A145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Вспомогательные</w:t>
      </w:r>
      <w:r w:rsidRPr="008A2E5A">
        <w:rPr>
          <w:rFonts w:ascii="Times New Roman" w:hAnsi="Times New Roman"/>
          <w:color w:val="0070C0"/>
          <w:sz w:val="16"/>
          <w:szCs w:val="16"/>
        </w:rPr>
        <w:tab/>
        <w:t>697</w:t>
      </w:r>
    </w:p>
    <w:p w14:paraId="33BB77EB"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ИТР</w:t>
      </w:r>
      <w:r w:rsidRPr="008A2E5A">
        <w:rPr>
          <w:rFonts w:ascii="Times New Roman" w:hAnsi="Times New Roman"/>
          <w:color w:val="0070C0"/>
          <w:sz w:val="16"/>
          <w:szCs w:val="16"/>
        </w:rPr>
        <w:tab/>
        <w:t>370</w:t>
      </w:r>
    </w:p>
    <w:p w14:paraId="39F44731"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МОП</w:t>
      </w:r>
      <w:r w:rsidRPr="008A2E5A">
        <w:rPr>
          <w:rFonts w:ascii="Times New Roman" w:hAnsi="Times New Roman"/>
          <w:color w:val="0070C0"/>
          <w:sz w:val="16"/>
          <w:szCs w:val="16"/>
        </w:rPr>
        <w:tab/>
        <w:t>25</w:t>
      </w:r>
    </w:p>
    <w:p w14:paraId="6B5BEDF4"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СКП</w:t>
      </w:r>
      <w:r w:rsidRPr="008A2E5A">
        <w:rPr>
          <w:rFonts w:ascii="Times New Roman" w:hAnsi="Times New Roman"/>
          <w:color w:val="0070C0"/>
          <w:sz w:val="16"/>
          <w:szCs w:val="16"/>
        </w:rPr>
        <w:tab/>
        <w:t>183</w:t>
      </w:r>
    </w:p>
    <w:p w14:paraId="40C48A9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r>
      <w:r w:rsidRPr="008A2E5A">
        <w:rPr>
          <w:rFonts w:ascii="Times New Roman" w:hAnsi="Times New Roman"/>
          <w:color w:val="0070C0"/>
          <w:sz w:val="16"/>
          <w:szCs w:val="16"/>
        </w:rPr>
        <w:tab/>
        <w:t>1535</w:t>
      </w:r>
    </w:p>
    <w:p w14:paraId="4F05EB3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444 эвакуирован из Москвы семью эшелонами за время с 12 июля 1941 г. по 10 сентября 1941 г. Этими семью эшелонами было перевезено в пос. Сим:</w:t>
      </w:r>
    </w:p>
    <w:p w14:paraId="311DA2CE"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w:t>
      </w:r>
    </w:p>
    <w:p w14:paraId="58FB7C0C"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Тип оборудования</w:t>
      </w:r>
      <w:r w:rsidRPr="008A2E5A">
        <w:rPr>
          <w:rFonts w:ascii="Times New Roman" w:hAnsi="Times New Roman"/>
          <w:color w:val="0070C0"/>
          <w:sz w:val="16"/>
          <w:szCs w:val="16"/>
        </w:rPr>
        <w:tab/>
        <w:t>Количество единиц</w:t>
      </w:r>
    </w:p>
    <w:p w14:paraId="42D2AF93"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Металлорежущие станки</w:t>
      </w:r>
      <w:r w:rsidRPr="008A2E5A">
        <w:rPr>
          <w:rFonts w:ascii="Times New Roman" w:hAnsi="Times New Roman"/>
          <w:color w:val="0070C0"/>
          <w:sz w:val="16"/>
          <w:szCs w:val="16"/>
        </w:rPr>
        <w:tab/>
        <w:t>341</w:t>
      </w:r>
    </w:p>
    <w:p w14:paraId="27A684B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Прочие</w:t>
      </w:r>
      <w:r w:rsidRPr="008A2E5A">
        <w:rPr>
          <w:rFonts w:ascii="Times New Roman" w:hAnsi="Times New Roman"/>
          <w:color w:val="0070C0"/>
          <w:sz w:val="16"/>
          <w:szCs w:val="16"/>
        </w:rPr>
        <w:tab/>
        <w:t>10</w:t>
      </w:r>
    </w:p>
    <w:p w14:paraId="3A3EA3B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r>
      <w:r w:rsidRPr="008A2E5A">
        <w:rPr>
          <w:rFonts w:ascii="Times New Roman" w:hAnsi="Times New Roman"/>
          <w:color w:val="0070C0"/>
          <w:sz w:val="16"/>
          <w:szCs w:val="16"/>
        </w:rPr>
        <w:tab/>
        <w:t>351</w:t>
      </w:r>
    </w:p>
    <w:p w14:paraId="101C9781"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Рабочих, ИТР и служащих прибыло в пос. Сим 1114 чел.</w:t>
      </w:r>
    </w:p>
    <w:p w14:paraId="33ECDD6C"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132 до эвакуации имел:</w:t>
      </w:r>
    </w:p>
    <w:p w14:paraId="20F73C7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оборудования завода № 132</w:t>
      </w:r>
    </w:p>
    <w:p w14:paraId="47D899D2"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Тип оборудования</w:t>
      </w:r>
      <w:r w:rsidRPr="008A2E5A">
        <w:rPr>
          <w:rFonts w:ascii="Times New Roman" w:hAnsi="Times New Roman"/>
          <w:color w:val="0070C0"/>
          <w:sz w:val="16"/>
          <w:szCs w:val="16"/>
        </w:rPr>
        <w:tab/>
        <w:t>Количество единиц</w:t>
      </w:r>
    </w:p>
    <w:p w14:paraId="5B91E44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Металлорежущие станки</w:t>
      </w:r>
      <w:r w:rsidRPr="008A2E5A">
        <w:rPr>
          <w:rFonts w:ascii="Times New Roman" w:hAnsi="Times New Roman"/>
          <w:color w:val="0070C0"/>
          <w:sz w:val="16"/>
          <w:szCs w:val="16"/>
        </w:rPr>
        <w:tab/>
        <w:t>548</w:t>
      </w:r>
    </w:p>
    <w:p w14:paraId="06EF7394"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Прочие</w:t>
      </w:r>
      <w:r w:rsidRPr="008A2E5A">
        <w:rPr>
          <w:rFonts w:ascii="Times New Roman" w:hAnsi="Times New Roman"/>
          <w:color w:val="0070C0"/>
          <w:sz w:val="16"/>
          <w:szCs w:val="16"/>
        </w:rPr>
        <w:tab/>
        <w:t>113</w:t>
      </w:r>
    </w:p>
    <w:p w14:paraId="2B31AAF1"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r>
      <w:r w:rsidRPr="008A2E5A">
        <w:rPr>
          <w:rFonts w:ascii="Times New Roman" w:hAnsi="Times New Roman"/>
          <w:color w:val="0070C0"/>
          <w:sz w:val="16"/>
          <w:szCs w:val="16"/>
        </w:rPr>
        <w:tab/>
        <w:t>661</w:t>
      </w:r>
    </w:p>
    <w:p w14:paraId="2B779F8B"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рабочих завода № 132</w:t>
      </w:r>
    </w:p>
    <w:p w14:paraId="27304F9F"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Категории</w:t>
      </w:r>
      <w:r w:rsidRPr="008A2E5A">
        <w:rPr>
          <w:rFonts w:ascii="Times New Roman" w:hAnsi="Times New Roman"/>
          <w:color w:val="0070C0"/>
          <w:sz w:val="16"/>
          <w:szCs w:val="16"/>
        </w:rPr>
        <w:tab/>
        <w:t>Количество, чел.</w:t>
      </w:r>
    </w:p>
    <w:p w14:paraId="036B3C1D"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Производственные рабочие</w:t>
      </w:r>
      <w:r w:rsidRPr="008A2E5A">
        <w:rPr>
          <w:rFonts w:ascii="Times New Roman" w:hAnsi="Times New Roman"/>
          <w:color w:val="0070C0"/>
          <w:sz w:val="16"/>
          <w:szCs w:val="16"/>
        </w:rPr>
        <w:tab/>
        <w:t>786</w:t>
      </w:r>
    </w:p>
    <w:p w14:paraId="43EDE49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Вспомогательные</w:t>
      </w:r>
      <w:r w:rsidRPr="008A2E5A">
        <w:rPr>
          <w:rFonts w:ascii="Times New Roman" w:hAnsi="Times New Roman"/>
          <w:color w:val="0070C0"/>
          <w:sz w:val="16"/>
          <w:szCs w:val="16"/>
        </w:rPr>
        <w:tab/>
        <w:t>1070</w:t>
      </w:r>
    </w:p>
    <w:p w14:paraId="1867A70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ИТР</w:t>
      </w:r>
      <w:r w:rsidRPr="008A2E5A">
        <w:rPr>
          <w:rFonts w:ascii="Times New Roman" w:hAnsi="Times New Roman"/>
          <w:color w:val="0070C0"/>
          <w:sz w:val="16"/>
          <w:szCs w:val="16"/>
        </w:rPr>
        <w:tab/>
        <w:t>374</w:t>
      </w:r>
    </w:p>
    <w:p w14:paraId="5B7FDBDC"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МОП</w:t>
      </w:r>
      <w:r w:rsidRPr="008A2E5A">
        <w:rPr>
          <w:rFonts w:ascii="Times New Roman" w:hAnsi="Times New Roman"/>
          <w:color w:val="0070C0"/>
          <w:sz w:val="16"/>
          <w:szCs w:val="16"/>
        </w:rPr>
        <w:tab/>
        <w:t>24</w:t>
      </w:r>
    </w:p>
    <w:p w14:paraId="53226DB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СКП</w:t>
      </w:r>
      <w:r w:rsidRPr="008A2E5A">
        <w:rPr>
          <w:rFonts w:ascii="Times New Roman" w:hAnsi="Times New Roman"/>
          <w:color w:val="0070C0"/>
          <w:sz w:val="16"/>
          <w:szCs w:val="16"/>
        </w:rPr>
        <w:tab/>
        <w:t>208</w:t>
      </w:r>
    </w:p>
    <w:p w14:paraId="6AD83423"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r>
      <w:r w:rsidRPr="008A2E5A">
        <w:rPr>
          <w:rFonts w:ascii="Times New Roman" w:hAnsi="Times New Roman"/>
          <w:color w:val="0070C0"/>
          <w:sz w:val="16"/>
          <w:szCs w:val="16"/>
        </w:rPr>
        <w:tab/>
        <w:t>2462</w:t>
      </w:r>
    </w:p>
    <w:p w14:paraId="03550C11"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132 эвакуирован из Москвы пятью эшелонами за время с 17 октября по 29 ноября 1941 г. Перевезено этими пятью эшелонами в пос. Сим:</w:t>
      </w:r>
    </w:p>
    <w:p w14:paraId="70BCAAA2"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прибывшего оборудования в пос. Сим:</w:t>
      </w:r>
    </w:p>
    <w:p w14:paraId="10EB0D7B"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Тип оборудования</w:t>
      </w:r>
      <w:r w:rsidRPr="008A2E5A">
        <w:rPr>
          <w:rFonts w:ascii="Times New Roman" w:hAnsi="Times New Roman"/>
          <w:color w:val="0070C0"/>
          <w:sz w:val="16"/>
          <w:szCs w:val="16"/>
        </w:rPr>
        <w:tab/>
        <w:t>Количество единиц</w:t>
      </w:r>
    </w:p>
    <w:p w14:paraId="2470DF35"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Металлорежущие станки</w:t>
      </w:r>
      <w:r w:rsidRPr="008A2E5A">
        <w:rPr>
          <w:rFonts w:ascii="Times New Roman" w:hAnsi="Times New Roman"/>
          <w:color w:val="0070C0"/>
          <w:sz w:val="16"/>
          <w:szCs w:val="16"/>
        </w:rPr>
        <w:tab/>
        <w:t>490</w:t>
      </w:r>
    </w:p>
    <w:p w14:paraId="192FBE96"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Прочие</w:t>
      </w:r>
      <w:r w:rsidRPr="008A2E5A">
        <w:rPr>
          <w:rFonts w:ascii="Times New Roman" w:hAnsi="Times New Roman"/>
          <w:color w:val="0070C0"/>
          <w:sz w:val="16"/>
          <w:szCs w:val="16"/>
        </w:rPr>
        <w:tab/>
        <w:t>79</w:t>
      </w:r>
    </w:p>
    <w:p w14:paraId="57AF3B2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r>
      <w:r w:rsidRPr="008A2E5A">
        <w:rPr>
          <w:rFonts w:ascii="Times New Roman" w:hAnsi="Times New Roman"/>
          <w:color w:val="0070C0"/>
          <w:sz w:val="16"/>
          <w:szCs w:val="16"/>
        </w:rPr>
        <w:tab/>
        <w:t>569</w:t>
      </w:r>
    </w:p>
    <w:p w14:paraId="787D765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Прибыло рабочих, ИТР и служащих в пос. Сим 934 чел.</w:t>
      </w:r>
    </w:p>
    <w:p w14:paraId="0032281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слияния двух эвакуированных заводов и частичного использования оборудования арматурного завода завод № 132 на 1 января 1942 г. имеет:</w:t>
      </w:r>
    </w:p>
    <w:p w14:paraId="1F3912FD"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оборудованию: 1) установлено и сдано в эксплуатацию металлорежущего оборудования — 845 ед.; 2) в стадии монтажа находится — 199 ед.; 3) недостаток до полной комплектности оборудования — 105 ед. Вышеперечисленное оборудование распределено между основными цехами завода следующим образом: 1) механический цех по обработке стальных деталей имеет 189 ед., размещен на площади 1890 кв. м; 2) механические цеха мелких деталей (два цеха) имеют: один — 75 ед., второй — 97 ед., и размещены на площади 2024 кв. м; 3) механический цех по обработке цветного литья имеет 98 ед., размещен на площади 1991 кв. м; 4) инструментальный цех имеет оборудования 126 ед., размещен на площади 1380 кв. м.</w:t>
      </w:r>
    </w:p>
    <w:p w14:paraId="6B9A2776"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Показатели по рабсиле завода на 1 января 1942 г.</w:t>
      </w:r>
    </w:p>
    <w:p w14:paraId="13E8C0E6"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Категории цехов и рабочих</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Факти-  ческое  наличие</w:t>
      </w:r>
      <w:r w:rsidRPr="008A2E5A">
        <w:rPr>
          <w:rFonts w:ascii="Times New Roman" w:hAnsi="Times New Roman"/>
          <w:color w:val="0070C0"/>
          <w:sz w:val="16"/>
          <w:szCs w:val="16"/>
        </w:rPr>
        <w:tab/>
        <w:t>Недоста-  ток</w:t>
      </w:r>
      <w:r w:rsidRPr="008A2E5A">
        <w:rPr>
          <w:rFonts w:ascii="Times New Roman" w:hAnsi="Times New Roman"/>
          <w:color w:val="0070C0"/>
          <w:sz w:val="16"/>
          <w:szCs w:val="16"/>
        </w:rPr>
        <w:tab/>
        <w:t>Излишек</w:t>
      </w:r>
    </w:p>
    <w:p w14:paraId="633CE1BD"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Производственные цеха авиапромышленности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1ACF39E"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а) производственных рабочих</w:t>
      </w:r>
      <w:r w:rsidRPr="008A2E5A">
        <w:rPr>
          <w:rFonts w:ascii="Times New Roman" w:hAnsi="Times New Roman"/>
          <w:color w:val="0070C0"/>
          <w:sz w:val="16"/>
          <w:szCs w:val="16"/>
        </w:rPr>
        <w:tab/>
        <w:t>1250</w:t>
      </w:r>
      <w:r w:rsidRPr="008A2E5A">
        <w:rPr>
          <w:rFonts w:ascii="Times New Roman" w:hAnsi="Times New Roman"/>
          <w:color w:val="0070C0"/>
          <w:sz w:val="16"/>
          <w:szCs w:val="16"/>
        </w:rPr>
        <w:tab/>
        <w:t>724</w:t>
      </w:r>
      <w:r w:rsidRPr="008A2E5A">
        <w:rPr>
          <w:rFonts w:ascii="Times New Roman" w:hAnsi="Times New Roman"/>
          <w:color w:val="0070C0"/>
          <w:sz w:val="16"/>
          <w:szCs w:val="16"/>
        </w:rPr>
        <w:tab/>
        <w:t>526</w:t>
      </w:r>
      <w:r w:rsidRPr="008A2E5A">
        <w:rPr>
          <w:rFonts w:ascii="Times New Roman" w:hAnsi="Times New Roman"/>
          <w:color w:val="0070C0"/>
          <w:sz w:val="16"/>
          <w:szCs w:val="16"/>
        </w:rPr>
        <w:tab/>
        <w:t>-</w:t>
      </w:r>
    </w:p>
    <w:p w14:paraId="530AB3B6"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б) вспомогательных</w:t>
      </w:r>
      <w:r w:rsidRPr="008A2E5A">
        <w:rPr>
          <w:rFonts w:ascii="Times New Roman" w:hAnsi="Times New Roman"/>
          <w:color w:val="0070C0"/>
          <w:sz w:val="16"/>
          <w:szCs w:val="16"/>
        </w:rPr>
        <w:tab/>
        <w:t>325</w:t>
      </w:r>
      <w:r w:rsidRPr="008A2E5A">
        <w:rPr>
          <w:rFonts w:ascii="Times New Roman" w:hAnsi="Times New Roman"/>
          <w:color w:val="0070C0"/>
          <w:sz w:val="16"/>
          <w:szCs w:val="16"/>
        </w:rPr>
        <w:tab/>
        <w:t>265</w:t>
      </w:r>
      <w:r w:rsidRPr="008A2E5A">
        <w:rPr>
          <w:rFonts w:ascii="Times New Roman" w:hAnsi="Times New Roman"/>
          <w:color w:val="0070C0"/>
          <w:sz w:val="16"/>
          <w:szCs w:val="16"/>
        </w:rPr>
        <w:tab/>
        <w:t>60</w:t>
      </w:r>
      <w:r w:rsidRPr="008A2E5A">
        <w:rPr>
          <w:rFonts w:ascii="Times New Roman" w:hAnsi="Times New Roman"/>
          <w:color w:val="0070C0"/>
          <w:sz w:val="16"/>
          <w:szCs w:val="16"/>
        </w:rPr>
        <w:tab/>
      </w:r>
    </w:p>
    <w:p w14:paraId="5C9D399D"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Вспомогательные цеха авиапромышленности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6B8167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а) производственных рабочих</w:t>
      </w:r>
      <w:r w:rsidRPr="008A2E5A">
        <w:rPr>
          <w:rFonts w:ascii="Times New Roman" w:hAnsi="Times New Roman"/>
          <w:color w:val="0070C0"/>
          <w:sz w:val="16"/>
          <w:szCs w:val="16"/>
        </w:rPr>
        <w:tab/>
        <w:t>602</w:t>
      </w:r>
      <w:r w:rsidRPr="008A2E5A">
        <w:rPr>
          <w:rFonts w:ascii="Times New Roman" w:hAnsi="Times New Roman"/>
          <w:color w:val="0070C0"/>
          <w:sz w:val="16"/>
          <w:szCs w:val="16"/>
        </w:rPr>
        <w:tab/>
        <w:t>531</w:t>
      </w:r>
      <w:r w:rsidRPr="008A2E5A">
        <w:rPr>
          <w:rFonts w:ascii="Times New Roman" w:hAnsi="Times New Roman"/>
          <w:color w:val="0070C0"/>
          <w:sz w:val="16"/>
          <w:szCs w:val="16"/>
        </w:rPr>
        <w:tab/>
        <w:t>71</w:t>
      </w:r>
      <w:r w:rsidRPr="008A2E5A">
        <w:rPr>
          <w:rFonts w:ascii="Times New Roman" w:hAnsi="Times New Roman"/>
          <w:color w:val="0070C0"/>
          <w:sz w:val="16"/>
          <w:szCs w:val="16"/>
        </w:rPr>
        <w:tab/>
      </w:r>
    </w:p>
    <w:p w14:paraId="2F430303"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6) вспомогательных</w:t>
      </w:r>
      <w:r w:rsidRPr="008A2E5A">
        <w:rPr>
          <w:rFonts w:ascii="Times New Roman" w:hAnsi="Times New Roman"/>
          <w:color w:val="0070C0"/>
          <w:sz w:val="16"/>
          <w:szCs w:val="16"/>
        </w:rPr>
        <w:tab/>
        <w:t>423</w:t>
      </w:r>
      <w:r w:rsidRPr="008A2E5A">
        <w:rPr>
          <w:rFonts w:ascii="Times New Roman" w:hAnsi="Times New Roman"/>
          <w:color w:val="0070C0"/>
          <w:sz w:val="16"/>
          <w:szCs w:val="16"/>
        </w:rPr>
        <w:tab/>
        <w:t>312</w:t>
      </w:r>
      <w:r w:rsidRPr="008A2E5A">
        <w:rPr>
          <w:rFonts w:ascii="Times New Roman" w:hAnsi="Times New Roman"/>
          <w:color w:val="0070C0"/>
          <w:sz w:val="16"/>
          <w:szCs w:val="16"/>
        </w:rPr>
        <w:tab/>
        <w:t>111</w:t>
      </w: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 ]</w:t>
      </w:r>
      <w:proofErr w:type="gramEnd"/>
    </w:p>
    <w:p w14:paraId="38D768E0"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Обозное производство</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ADF2A9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а) производственных рабочих</w:t>
      </w:r>
      <w:r w:rsidRPr="008A2E5A">
        <w:rPr>
          <w:rFonts w:ascii="Times New Roman" w:hAnsi="Times New Roman"/>
          <w:color w:val="0070C0"/>
          <w:sz w:val="16"/>
          <w:szCs w:val="16"/>
        </w:rPr>
        <w:tab/>
        <w:t>240</w:t>
      </w:r>
      <w:r w:rsidRPr="008A2E5A">
        <w:rPr>
          <w:rFonts w:ascii="Times New Roman" w:hAnsi="Times New Roman"/>
          <w:color w:val="0070C0"/>
          <w:sz w:val="16"/>
          <w:szCs w:val="16"/>
        </w:rPr>
        <w:tab/>
        <w:t>221</w:t>
      </w:r>
      <w:r w:rsidRPr="008A2E5A">
        <w:rPr>
          <w:rFonts w:ascii="Times New Roman" w:hAnsi="Times New Roman"/>
          <w:color w:val="0070C0"/>
          <w:sz w:val="16"/>
          <w:szCs w:val="16"/>
        </w:rPr>
        <w:tab/>
        <w:t>19</w:t>
      </w:r>
      <w:r w:rsidRPr="008A2E5A">
        <w:rPr>
          <w:rFonts w:ascii="Times New Roman" w:hAnsi="Times New Roman"/>
          <w:color w:val="0070C0"/>
          <w:sz w:val="16"/>
          <w:szCs w:val="16"/>
        </w:rPr>
        <w:tab/>
      </w:r>
    </w:p>
    <w:p w14:paraId="1E720587"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б) вспомогательных</w:t>
      </w:r>
      <w:r w:rsidRPr="008A2E5A">
        <w:rPr>
          <w:rFonts w:ascii="Times New Roman" w:hAnsi="Times New Roman"/>
          <w:color w:val="0070C0"/>
          <w:sz w:val="16"/>
          <w:szCs w:val="16"/>
        </w:rPr>
        <w:tab/>
        <w:t>100</w:t>
      </w:r>
      <w:r w:rsidRPr="008A2E5A">
        <w:rPr>
          <w:rFonts w:ascii="Times New Roman" w:hAnsi="Times New Roman"/>
          <w:color w:val="0070C0"/>
          <w:sz w:val="16"/>
          <w:szCs w:val="16"/>
        </w:rPr>
        <w:tab/>
        <w:t>100</w:t>
      </w:r>
      <w:r w:rsidRPr="008A2E5A">
        <w:rPr>
          <w:rFonts w:ascii="Times New Roman" w:hAnsi="Times New Roman"/>
          <w:color w:val="0070C0"/>
          <w:sz w:val="16"/>
          <w:szCs w:val="16"/>
        </w:rPr>
        <w:tab/>
      </w:r>
      <w:r w:rsidRPr="008A2E5A">
        <w:rPr>
          <w:rFonts w:ascii="Times New Roman" w:hAnsi="Times New Roman"/>
          <w:color w:val="0070C0"/>
          <w:sz w:val="16"/>
          <w:szCs w:val="16"/>
        </w:rPr>
        <w:tab/>
        <w:t>- J</w:t>
      </w:r>
    </w:p>
    <w:p w14:paraId="174ACCA2"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Всего рабочих</w:t>
      </w:r>
      <w:r w:rsidRPr="008A2E5A">
        <w:rPr>
          <w:rFonts w:ascii="Times New Roman" w:hAnsi="Times New Roman"/>
          <w:color w:val="0070C0"/>
          <w:sz w:val="16"/>
          <w:szCs w:val="16"/>
        </w:rPr>
        <w:tab/>
        <w:t>2940</w:t>
      </w:r>
      <w:r w:rsidRPr="008A2E5A">
        <w:rPr>
          <w:rFonts w:ascii="Times New Roman" w:hAnsi="Times New Roman"/>
          <w:color w:val="0070C0"/>
          <w:sz w:val="16"/>
          <w:szCs w:val="16"/>
        </w:rPr>
        <w:tab/>
        <w:t>2153</w:t>
      </w:r>
      <w:r w:rsidRPr="008A2E5A">
        <w:rPr>
          <w:rFonts w:ascii="Times New Roman" w:hAnsi="Times New Roman"/>
          <w:color w:val="0070C0"/>
          <w:sz w:val="16"/>
          <w:szCs w:val="16"/>
        </w:rPr>
        <w:tab/>
        <w:t>787</w:t>
      </w:r>
      <w:r w:rsidRPr="008A2E5A">
        <w:rPr>
          <w:rFonts w:ascii="Times New Roman" w:hAnsi="Times New Roman"/>
          <w:color w:val="0070C0"/>
          <w:sz w:val="16"/>
          <w:szCs w:val="16"/>
        </w:rPr>
        <w:tab/>
      </w:r>
    </w:p>
    <w:p w14:paraId="2B992C5C"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ИТР</w:t>
      </w:r>
      <w:r w:rsidRPr="008A2E5A">
        <w:rPr>
          <w:rFonts w:ascii="Times New Roman" w:hAnsi="Times New Roman"/>
          <w:color w:val="0070C0"/>
          <w:sz w:val="16"/>
          <w:szCs w:val="16"/>
        </w:rPr>
        <w:tab/>
        <w:t>500</w:t>
      </w:r>
      <w:r w:rsidRPr="008A2E5A">
        <w:rPr>
          <w:rFonts w:ascii="Times New Roman" w:hAnsi="Times New Roman"/>
          <w:color w:val="0070C0"/>
          <w:sz w:val="16"/>
          <w:szCs w:val="16"/>
        </w:rPr>
        <w:tab/>
        <w:t>592</w:t>
      </w:r>
      <w:r w:rsidRPr="008A2E5A">
        <w:rPr>
          <w:rFonts w:ascii="Times New Roman" w:hAnsi="Times New Roman"/>
          <w:color w:val="0070C0"/>
          <w:sz w:val="16"/>
          <w:szCs w:val="16"/>
        </w:rPr>
        <w:tab/>
      </w:r>
      <w:r w:rsidRPr="008A2E5A">
        <w:rPr>
          <w:rFonts w:ascii="Times New Roman" w:hAnsi="Times New Roman"/>
          <w:color w:val="0070C0"/>
          <w:sz w:val="16"/>
          <w:szCs w:val="16"/>
        </w:rPr>
        <w:tab/>
        <w:t>92 i</w:t>
      </w:r>
    </w:p>
    <w:p w14:paraId="2E47802B"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МОП</w:t>
      </w:r>
      <w:r w:rsidRPr="008A2E5A">
        <w:rPr>
          <w:rFonts w:ascii="Times New Roman" w:hAnsi="Times New Roman"/>
          <w:color w:val="0070C0"/>
          <w:sz w:val="16"/>
          <w:szCs w:val="16"/>
        </w:rPr>
        <w:tab/>
        <w:t>85</w:t>
      </w:r>
      <w:r w:rsidRPr="008A2E5A">
        <w:rPr>
          <w:rFonts w:ascii="Times New Roman" w:hAnsi="Times New Roman"/>
          <w:color w:val="0070C0"/>
          <w:sz w:val="16"/>
          <w:szCs w:val="16"/>
        </w:rPr>
        <w:tab/>
        <w:t>44</w:t>
      </w:r>
      <w:r w:rsidRPr="008A2E5A">
        <w:rPr>
          <w:rFonts w:ascii="Times New Roman" w:hAnsi="Times New Roman"/>
          <w:color w:val="0070C0"/>
          <w:sz w:val="16"/>
          <w:szCs w:val="16"/>
        </w:rPr>
        <w:tab/>
        <w:t>41</w:t>
      </w:r>
      <w:r w:rsidRPr="008A2E5A">
        <w:rPr>
          <w:rFonts w:ascii="Times New Roman" w:hAnsi="Times New Roman"/>
          <w:color w:val="0070C0"/>
          <w:sz w:val="16"/>
          <w:szCs w:val="16"/>
        </w:rPr>
        <w:tab/>
      </w:r>
    </w:p>
    <w:p w14:paraId="080CB4B0"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СКП</w:t>
      </w:r>
      <w:r w:rsidRPr="008A2E5A">
        <w:rPr>
          <w:rFonts w:ascii="Times New Roman" w:hAnsi="Times New Roman"/>
          <w:color w:val="0070C0"/>
          <w:sz w:val="16"/>
          <w:szCs w:val="16"/>
        </w:rPr>
        <w:tab/>
        <w:t>210</w:t>
      </w:r>
      <w:r w:rsidRPr="008A2E5A">
        <w:rPr>
          <w:rFonts w:ascii="Times New Roman" w:hAnsi="Times New Roman"/>
          <w:color w:val="0070C0"/>
          <w:sz w:val="16"/>
          <w:szCs w:val="16"/>
        </w:rPr>
        <w:tab/>
        <w:t>233</w:t>
      </w:r>
      <w:r w:rsidRPr="008A2E5A">
        <w:rPr>
          <w:rFonts w:ascii="Times New Roman" w:hAnsi="Times New Roman"/>
          <w:color w:val="0070C0"/>
          <w:sz w:val="16"/>
          <w:szCs w:val="16"/>
        </w:rPr>
        <w:tab/>
      </w:r>
      <w:r w:rsidRPr="008A2E5A">
        <w:rPr>
          <w:rFonts w:ascii="Times New Roman" w:hAnsi="Times New Roman"/>
          <w:color w:val="0070C0"/>
          <w:sz w:val="16"/>
          <w:szCs w:val="16"/>
        </w:rPr>
        <w:tab/>
        <w:t>23</w:t>
      </w:r>
    </w:p>
    <w:p w14:paraId="6A7C66D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Всего по заводу:</w:t>
      </w:r>
      <w:r w:rsidRPr="008A2E5A">
        <w:rPr>
          <w:rFonts w:ascii="Times New Roman" w:hAnsi="Times New Roman"/>
          <w:color w:val="0070C0"/>
          <w:sz w:val="16"/>
          <w:szCs w:val="16"/>
        </w:rPr>
        <w:tab/>
        <w:t>37551'</w:t>
      </w:r>
      <w:r w:rsidRPr="008A2E5A">
        <w:rPr>
          <w:rFonts w:ascii="Times New Roman" w:hAnsi="Times New Roman"/>
          <w:color w:val="0070C0"/>
          <w:sz w:val="16"/>
          <w:szCs w:val="16"/>
        </w:rPr>
        <w:tab/>
        <w:t>3022</w:t>
      </w:r>
      <w:r w:rsidRPr="008A2E5A">
        <w:rPr>
          <w:rFonts w:ascii="Times New Roman" w:hAnsi="Times New Roman"/>
          <w:color w:val="0070C0"/>
          <w:sz w:val="16"/>
          <w:szCs w:val="16"/>
        </w:rPr>
        <w:tab/>
        <w:t>828</w:t>
      </w: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115 !</w:t>
      </w:r>
      <w:proofErr w:type="gramEnd"/>
    </w:p>
    <w:p w14:paraId="4182ABC3"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ТЭЦ завода. ТЭЦ сдана в эксплуатацию в 1935 г. Площадь, занимаемая ТЭЦ: 1)</w:t>
      </w:r>
      <w:r w:rsidRPr="008A2E5A">
        <w:rPr>
          <w:rFonts w:ascii="Times New Roman" w:hAnsi="Times New Roman"/>
          <w:color w:val="0070C0"/>
          <w:sz w:val="16"/>
          <w:szCs w:val="16"/>
        </w:rPr>
        <w:tab/>
        <w:t>производственная — 2968 кв. м, 2) вспомогательная — 257 кв. м, 3) подсобная — 56 кв. м; общая площадь — 3281 кв. м. ТЭЦ имеет паровую турбину мощностью 4 тыс. кВт фирмы «Фрезер Чельмерс».</w:t>
      </w:r>
    </w:p>
    <w:p w14:paraId="4D042743"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получения этой электрической мощности, по гарантийным данным фирмы о «Фрезер Чельмерс», требуется расход пара в количестве 23 т/ч при чисто конденсатнном режиме, а при условии отбора пара на производство из турбины в количестве 10 т/ч, что имеет место на заводе, получается общий расход пара, равный 33 т/ч. Завод располагает двумя паровыми котлами с производительностью пара на 12 т/ч каждый.</w:t>
      </w:r>
    </w:p>
    <w:p w14:paraId="336323DC"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для получения полной мощности турбины необходим один добавочный котел. Учитывая то обстоятельство, что каждый котел по условиям работы должен ремонтироваться через каждые три месяца, получается, как минимум, для нормальной работы ТЭЦ необходимо установить два котла. Также необходимо для обеспечения бесперебойной работы ТЭЦ установить вторую турбину, ибо при наличии одной, в случае выхода ее из строя, останавливается весь завод.</w:t>
      </w:r>
    </w:p>
    <w:p w14:paraId="7D6385A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программу декабря месяца 1941 г. выполнил на 151%. Но необходимо иметь в виду то обстоятельство, что эта программа была дана по квартальному заданию заводу № 444, а программа завода № 132 в пос. Сим прибыла из 4-го Главного управления НКАП только 22 декабря 1941 г. Она заводом не выполнена, однако завод показывает в отчетах выполнение декабря месяца 151% и выполнение за IV квартал 105,3%.</w:t>
      </w:r>
    </w:p>
    <w:p w14:paraId="6E0C97D0"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Привожу таблицу программы завода № 444 по квартальному заданию и программу, которая была дана на декабрь месяц заводу № 132, и ее фактическое выполнение:</w:t>
      </w:r>
    </w:p>
    <w:p w14:paraId="7428EF89" w14:textId="77777777" w:rsidR="006C6AFE" w:rsidRPr="008A2E5A" w:rsidRDefault="006C6AFE" w:rsidP="006C6AFE">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lastRenderedPageBreak/>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Наименование агрегатов</w:t>
      </w:r>
      <w:r w:rsidRPr="008A2E5A">
        <w:rPr>
          <w:rFonts w:ascii="Times New Roman" w:hAnsi="Times New Roman"/>
          <w:color w:val="0070C0"/>
          <w:sz w:val="16"/>
          <w:szCs w:val="16"/>
        </w:rPr>
        <w:tab/>
        <w:t>План на декабрь заводу № 132</w:t>
      </w:r>
      <w:r w:rsidRPr="008A2E5A">
        <w:rPr>
          <w:rFonts w:ascii="Times New Roman" w:hAnsi="Times New Roman"/>
          <w:color w:val="0070C0"/>
          <w:sz w:val="16"/>
          <w:szCs w:val="16"/>
        </w:rPr>
        <w:tab/>
        <w:t>План по квартальному заданию на декабрь заводу № 444</w:t>
      </w:r>
      <w:r w:rsidRPr="008A2E5A">
        <w:rPr>
          <w:rFonts w:ascii="Times New Roman" w:hAnsi="Times New Roman"/>
          <w:color w:val="0070C0"/>
          <w:sz w:val="16"/>
          <w:szCs w:val="16"/>
        </w:rPr>
        <w:tab/>
        <w:t>Фактическое  выполнение</w:t>
      </w:r>
    </w:p>
    <w:p w14:paraId="617A470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ВС-50Б</w:t>
      </w:r>
      <w:r w:rsidRPr="008A2E5A">
        <w:rPr>
          <w:rFonts w:ascii="Times New Roman" w:hAnsi="Times New Roman"/>
          <w:color w:val="0070C0"/>
          <w:sz w:val="16"/>
          <w:szCs w:val="16"/>
        </w:rPr>
        <w:tab/>
        <w:t>2150</w:t>
      </w:r>
      <w:r w:rsidRPr="008A2E5A">
        <w:rPr>
          <w:rFonts w:ascii="Times New Roman" w:hAnsi="Times New Roman"/>
          <w:color w:val="0070C0"/>
          <w:sz w:val="16"/>
          <w:szCs w:val="16"/>
        </w:rPr>
        <w:tab/>
        <w:t>850</w:t>
      </w:r>
      <w:r w:rsidRPr="008A2E5A">
        <w:rPr>
          <w:rFonts w:ascii="Times New Roman" w:hAnsi="Times New Roman"/>
          <w:color w:val="0070C0"/>
          <w:sz w:val="16"/>
          <w:szCs w:val="16"/>
        </w:rPr>
        <w:tab/>
        <w:t>1030</w:t>
      </w:r>
    </w:p>
    <w:p w14:paraId="2B04369B"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ВС-50А</w:t>
      </w:r>
      <w:r w:rsidRPr="008A2E5A">
        <w:rPr>
          <w:rFonts w:ascii="Times New Roman" w:hAnsi="Times New Roman"/>
          <w:color w:val="0070C0"/>
          <w:sz w:val="16"/>
          <w:szCs w:val="16"/>
        </w:rPr>
        <w:tab/>
        <w:t>485</w:t>
      </w:r>
      <w:r w:rsidRPr="008A2E5A">
        <w:rPr>
          <w:rFonts w:ascii="Times New Roman" w:hAnsi="Times New Roman"/>
          <w:color w:val="0070C0"/>
          <w:sz w:val="16"/>
          <w:szCs w:val="16"/>
        </w:rPr>
        <w:tab/>
        <w:t>300</w:t>
      </w:r>
      <w:r w:rsidRPr="008A2E5A">
        <w:rPr>
          <w:rFonts w:ascii="Times New Roman" w:hAnsi="Times New Roman"/>
          <w:color w:val="0070C0"/>
          <w:sz w:val="16"/>
          <w:szCs w:val="16"/>
        </w:rPr>
        <w:tab/>
        <w:t>586</w:t>
      </w:r>
    </w:p>
    <w:p w14:paraId="5BAFA855"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Обратный клапан КЛ-2</w:t>
      </w:r>
      <w:r w:rsidRPr="008A2E5A">
        <w:rPr>
          <w:rFonts w:ascii="Times New Roman" w:hAnsi="Times New Roman"/>
          <w:color w:val="0070C0"/>
          <w:sz w:val="16"/>
          <w:szCs w:val="16"/>
        </w:rPr>
        <w:tab/>
        <w:t>3375</w:t>
      </w:r>
      <w:r w:rsidRPr="008A2E5A">
        <w:rPr>
          <w:rFonts w:ascii="Times New Roman" w:hAnsi="Times New Roman"/>
          <w:color w:val="0070C0"/>
          <w:sz w:val="16"/>
          <w:szCs w:val="16"/>
        </w:rPr>
        <w:tab/>
        <w:t>2700</w:t>
      </w:r>
      <w:r w:rsidRPr="008A2E5A">
        <w:rPr>
          <w:rFonts w:ascii="Times New Roman" w:hAnsi="Times New Roman"/>
          <w:color w:val="0070C0"/>
          <w:sz w:val="16"/>
          <w:szCs w:val="16"/>
        </w:rPr>
        <w:tab/>
        <w:t>2901</w:t>
      </w:r>
    </w:p>
    <w:p w14:paraId="7CD99E6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Обратный клапан КЛ-4</w:t>
      </w:r>
      <w:r w:rsidRPr="008A2E5A">
        <w:rPr>
          <w:rFonts w:ascii="Times New Roman" w:hAnsi="Times New Roman"/>
          <w:color w:val="0070C0"/>
          <w:sz w:val="16"/>
          <w:szCs w:val="16"/>
        </w:rPr>
        <w:tab/>
        <w:t>750</w:t>
      </w:r>
      <w:r w:rsidRPr="008A2E5A">
        <w:rPr>
          <w:rFonts w:ascii="Times New Roman" w:hAnsi="Times New Roman"/>
          <w:color w:val="0070C0"/>
          <w:sz w:val="16"/>
          <w:szCs w:val="16"/>
        </w:rPr>
        <w:tab/>
        <w:t>600</w:t>
      </w:r>
      <w:r w:rsidRPr="008A2E5A">
        <w:rPr>
          <w:rFonts w:ascii="Times New Roman" w:hAnsi="Times New Roman"/>
          <w:color w:val="0070C0"/>
          <w:sz w:val="16"/>
          <w:szCs w:val="16"/>
        </w:rPr>
        <w:tab/>
        <w:t>894</w:t>
      </w:r>
    </w:p>
    <w:p w14:paraId="439F4B0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РИМ-24в</w:t>
      </w:r>
      <w:r w:rsidRPr="008A2E5A">
        <w:rPr>
          <w:rFonts w:ascii="Times New Roman" w:hAnsi="Times New Roman"/>
          <w:color w:val="0070C0"/>
          <w:sz w:val="16"/>
          <w:szCs w:val="16"/>
        </w:rPr>
        <w:tab/>
        <w:t>600</w:t>
      </w:r>
      <w:r w:rsidRPr="008A2E5A">
        <w:rPr>
          <w:rFonts w:ascii="Times New Roman" w:hAnsi="Times New Roman"/>
          <w:color w:val="0070C0"/>
          <w:sz w:val="16"/>
          <w:szCs w:val="16"/>
        </w:rPr>
        <w:tab/>
        <w:t>100</w:t>
      </w:r>
      <w:r w:rsidRPr="008A2E5A">
        <w:rPr>
          <w:rFonts w:ascii="Times New Roman" w:hAnsi="Times New Roman"/>
          <w:color w:val="0070C0"/>
          <w:sz w:val="16"/>
          <w:szCs w:val="16"/>
        </w:rPr>
        <w:tab/>
        <w:t>68</w:t>
      </w:r>
    </w:p>
    <w:p w14:paraId="510E5BEE"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Р-7</w:t>
      </w:r>
      <w:r w:rsidRPr="008A2E5A">
        <w:rPr>
          <w:rFonts w:ascii="Times New Roman" w:hAnsi="Times New Roman"/>
          <w:color w:val="0070C0"/>
          <w:sz w:val="16"/>
          <w:szCs w:val="16"/>
        </w:rPr>
        <w:tab/>
        <w:t>3000</w:t>
      </w:r>
      <w:r w:rsidRPr="008A2E5A">
        <w:rPr>
          <w:rFonts w:ascii="Times New Roman" w:hAnsi="Times New Roman"/>
          <w:color w:val="0070C0"/>
          <w:sz w:val="16"/>
          <w:szCs w:val="16"/>
        </w:rPr>
        <w:tab/>
        <w:t>1000</w:t>
      </w:r>
      <w:r w:rsidRPr="008A2E5A">
        <w:rPr>
          <w:rFonts w:ascii="Times New Roman" w:hAnsi="Times New Roman"/>
          <w:color w:val="0070C0"/>
          <w:sz w:val="16"/>
          <w:szCs w:val="16"/>
        </w:rPr>
        <w:tab/>
        <w:t>1440</w:t>
      </w:r>
    </w:p>
    <w:p w14:paraId="2EE99420"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РС-2</w:t>
      </w:r>
      <w:r w:rsidRPr="008A2E5A">
        <w:rPr>
          <w:rFonts w:ascii="Times New Roman" w:hAnsi="Times New Roman"/>
          <w:color w:val="0070C0"/>
          <w:sz w:val="16"/>
          <w:szCs w:val="16"/>
        </w:rPr>
        <w:tab/>
        <w:t>0</w:t>
      </w:r>
      <w:r w:rsidRPr="008A2E5A">
        <w:rPr>
          <w:rFonts w:ascii="Times New Roman" w:hAnsi="Times New Roman"/>
          <w:color w:val="0070C0"/>
          <w:sz w:val="16"/>
          <w:szCs w:val="16"/>
        </w:rPr>
        <w:tab/>
        <w:t>300</w:t>
      </w:r>
      <w:r w:rsidRPr="008A2E5A">
        <w:rPr>
          <w:rFonts w:ascii="Times New Roman" w:hAnsi="Times New Roman"/>
          <w:color w:val="0070C0"/>
          <w:sz w:val="16"/>
          <w:szCs w:val="16"/>
        </w:rPr>
        <w:tab/>
        <w:t>575</w:t>
      </w:r>
    </w:p>
    <w:p w14:paraId="51E4613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Программа заводу на I квартал 1942 г.</w:t>
      </w:r>
    </w:p>
    <w:p w14:paraId="41729A21"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Наименование агрегатов</w:t>
      </w:r>
      <w:r w:rsidRPr="008A2E5A">
        <w:rPr>
          <w:rFonts w:ascii="Times New Roman" w:hAnsi="Times New Roman"/>
          <w:color w:val="0070C0"/>
          <w:sz w:val="16"/>
          <w:szCs w:val="16"/>
        </w:rPr>
        <w:tab/>
        <w:t>Задание на январь</w:t>
      </w:r>
      <w:r w:rsidRPr="008A2E5A">
        <w:rPr>
          <w:rFonts w:ascii="Times New Roman" w:hAnsi="Times New Roman"/>
          <w:color w:val="0070C0"/>
          <w:sz w:val="16"/>
          <w:szCs w:val="16"/>
        </w:rPr>
        <w:tab/>
        <w:t>Задание на февраль</w:t>
      </w:r>
      <w:r w:rsidRPr="008A2E5A">
        <w:rPr>
          <w:rFonts w:ascii="Times New Roman" w:hAnsi="Times New Roman"/>
          <w:color w:val="0070C0"/>
          <w:sz w:val="16"/>
          <w:szCs w:val="16"/>
        </w:rPr>
        <w:tab/>
        <w:t>Задание на март</w:t>
      </w:r>
      <w:r w:rsidRPr="008A2E5A">
        <w:rPr>
          <w:rFonts w:ascii="Times New Roman" w:hAnsi="Times New Roman"/>
          <w:color w:val="0070C0"/>
          <w:sz w:val="16"/>
          <w:szCs w:val="16"/>
        </w:rPr>
        <w:tab/>
        <w:t>Задание на I квартал</w:t>
      </w:r>
    </w:p>
    <w:p w14:paraId="648FB655"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1.</w:t>
      </w:r>
      <w:r w:rsidRPr="008A2E5A">
        <w:rPr>
          <w:rFonts w:ascii="Times New Roman" w:hAnsi="Times New Roman"/>
          <w:color w:val="0070C0"/>
          <w:sz w:val="16"/>
          <w:szCs w:val="16"/>
        </w:rPr>
        <w:tab/>
        <w:t>ВС-50сПН-1 и РС-2</w:t>
      </w:r>
      <w:r w:rsidRPr="008A2E5A">
        <w:rPr>
          <w:rFonts w:ascii="Times New Roman" w:hAnsi="Times New Roman"/>
          <w:color w:val="0070C0"/>
          <w:sz w:val="16"/>
          <w:szCs w:val="16"/>
        </w:rPr>
        <w:tab/>
        <w:t>240</w:t>
      </w:r>
      <w:r w:rsidRPr="008A2E5A">
        <w:rPr>
          <w:rFonts w:ascii="Times New Roman" w:hAnsi="Times New Roman"/>
          <w:color w:val="0070C0"/>
          <w:sz w:val="16"/>
          <w:szCs w:val="16"/>
        </w:rPr>
        <w:tab/>
        <w:t>280</w:t>
      </w:r>
      <w:r w:rsidRPr="008A2E5A">
        <w:rPr>
          <w:rFonts w:ascii="Times New Roman" w:hAnsi="Times New Roman"/>
          <w:color w:val="0070C0"/>
          <w:sz w:val="16"/>
          <w:szCs w:val="16"/>
        </w:rPr>
        <w:tab/>
        <w:t>417</w:t>
      </w:r>
      <w:r w:rsidRPr="008A2E5A">
        <w:rPr>
          <w:rFonts w:ascii="Times New Roman" w:hAnsi="Times New Roman"/>
          <w:color w:val="0070C0"/>
          <w:sz w:val="16"/>
          <w:szCs w:val="16"/>
        </w:rPr>
        <w:tab/>
        <w:t>937</w:t>
      </w:r>
    </w:p>
    <w:p w14:paraId="7852CC9E"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2.</w:t>
      </w:r>
      <w:r w:rsidRPr="008A2E5A">
        <w:rPr>
          <w:rFonts w:ascii="Times New Roman" w:hAnsi="Times New Roman"/>
          <w:color w:val="0070C0"/>
          <w:sz w:val="16"/>
          <w:szCs w:val="16"/>
        </w:rPr>
        <w:tab/>
        <w:t>ВС-50</w:t>
      </w:r>
      <w:r w:rsidRPr="008A2E5A">
        <w:rPr>
          <w:rFonts w:ascii="Times New Roman" w:hAnsi="Times New Roman"/>
          <w:color w:val="0070C0"/>
          <w:sz w:val="16"/>
          <w:szCs w:val="16"/>
        </w:rPr>
        <w:tab/>
        <w:t>1150</w:t>
      </w:r>
      <w:r w:rsidRPr="008A2E5A">
        <w:rPr>
          <w:rFonts w:ascii="Times New Roman" w:hAnsi="Times New Roman"/>
          <w:color w:val="0070C0"/>
          <w:sz w:val="16"/>
          <w:szCs w:val="16"/>
        </w:rPr>
        <w:tab/>
        <w:t>1095</w:t>
      </w:r>
      <w:r w:rsidRPr="008A2E5A">
        <w:rPr>
          <w:rFonts w:ascii="Times New Roman" w:hAnsi="Times New Roman"/>
          <w:color w:val="0070C0"/>
          <w:sz w:val="16"/>
          <w:szCs w:val="16"/>
        </w:rPr>
        <w:tab/>
        <w:t>1178</w:t>
      </w:r>
      <w:r w:rsidRPr="008A2E5A">
        <w:rPr>
          <w:rFonts w:ascii="Times New Roman" w:hAnsi="Times New Roman"/>
          <w:color w:val="0070C0"/>
          <w:sz w:val="16"/>
          <w:szCs w:val="16"/>
        </w:rPr>
        <w:tab/>
        <w:t>1323</w:t>
      </w:r>
    </w:p>
    <w:p w14:paraId="1B80BF43"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3.</w:t>
      </w:r>
      <w:r w:rsidRPr="008A2E5A">
        <w:rPr>
          <w:rFonts w:ascii="Times New Roman" w:hAnsi="Times New Roman"/>
          <w:color w:val="0070C0"/>
          <w:sz w:val="16"/>
          <w:szCs w:val="16"/>
        </w:rPr>
        <w:tab/>
        <w:t>КЛ-2</w:t>
      </w:r>
      <w:r w:rsidRPr="008A2E5A">
        <w:rPr>
          <w:rFonts w:ascii="Times New Roman" w:hAnsi="Times New Roman"/>
          <w:color w:val="0070C0"/>
          <w:sz w:val="16"/>
          <w:szCs w:val="16"/>
        </w:rPr>
        <w:tab/>
        <w:t>320</w:t>
      </w:r>
      <w:r w:rsidRPr="008A2E5A">
        <w:rPr>
          <w:rFonts w:ascii="Times New Roman" w:hAnsi="Times New Roman"/>
          <w:color w:val="0070C0"/>
          <w:sz w:val="16"/>
          <w:szCs w:val="16"/>
        </w:rPr>
        <w:tab/>
        <w:t>350</w:t>
      </w:r>
      <w:r w:rsidRPr="008A2E5A">
        <w:rPr>
          <w:rFonts w:ascii="Times New Roman" w:hAnsi="Times New Roman"/>
          <w:color w:val="0070C0"/>
          <w:sz w:val="16"/>
          <w:szCs w:val="16"/>
        </w:rPr>
        <w:tab/>
        <w:t>450</w:t>
      </w:r>
      <w:r w:rsidRPr="008A2E5A">
        <w:rPr>
          <w:rFonts w:ascii="Times New Roman" w:hAnsi="Times New Roman"/>
          <w:color w:val="0070C0"/>
          <w:sz w:val="16"/>
          <w:szCs w:val="16"/>
        </w:rPr>
        <w:tab/>
        <w:t>1120</w:t>
      </w:r>
    </w:p>
    <w:p w14:paraId="35363C8A"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4.</w:t>
      </w:r>
      <w:r w:rsidRPr="008A2E5A">
        <w:rPr>
          <w:rFonts w:ascii="Times New Roman" w:hAnsi="Times New Roman"/>
          <w:color w:val="0070C0"/>
          <w:sz w:val="16"/>
          <w:szCs w:val="16"/>
        </w:rPr>
        <w:tab/>
        <w:t>Р-7</w:t>
      </w:r>
      <w:r w:rsidRPr="008A2E5A">
        <w:rPr>
          <w:rFonts w:ascii="Times New Roman" w:hAnsi="Times New Roman"/>
          <w:color w:val="0070C0"/>
          <w:sz w:val="16"/>
          <w:szCs w:val="16"/>
        </w:rPr>
        <w:tab/>
        <w:t>2450</w:t>
      </w:r>
      <w:r w:rsidRPr="008A2E5A">
        <w:rPr>
          <w:rFonts w:ascii="Times New Roman" w:hAnsi="Times New Roman"/>
          <w:color w:val="0070C0"/>
          <w:sz w:val="16"/>
          <w:szCs w:val="16"/>
        </w:rPr>
        <w:tab/>
        <w:t>2650</w:t>
      </w:r>
      <w:r w:rsidRPr="008A2E5A">
        <w:rPr>
          <w:rFonts w:ascii="Times New Roman" w:hAnsi="Times New Roman"/>
          <w:color w:val="0070C0"/>
          <w:sz w:val="16"/>
          <w:szCs w:val="16"/>
        </w:rPr>
        <w:tab/>
        <w:t>3200</w:t>
      </w:r>
      <w:r w:rsidRPr="008A2E5A">
        <w:rPr>
          <w:rFonts w:ascii="Times New Roman" w:hAnsi="Times New Roman"/>
          <w:color w:val="0070C0"/>
          <w:sz w:val="16"/>
          <w:szCs w:val="16"/>
        </w:rPr>
        <w:tab/>
        <w:t>8300</w:t>
      </w:r>
    </w:p>
    <w:p w14:paraId="7CBD53BE"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5.</w:t>
      </w:r>
      <w:r w:rsidRPr="008A2E5A">
        <w:rPr>
          <w:rFonts w:ascii="Times New Roman" w:hAnsi="Times New Roman"/>
          <w:color w:val="0070C0"/>
          <w:sz w:val="16"/>
          <w:szCs w:val="16"/>
        </w:rPr>
        <w:tab/>
        <w:t>РИМ-24</w:t>
      </w:r>
      <w:r w:rsidRPr="008A2E5A">
        <w:rPr>
          <w:rFonts w:ascii="Times New Roman" w:hAnsi="Times New Roman"/>
          <w:color w:val="0070C0"/>
          <w:sz w:val="16"/>
          <w:szCs w:val="16"/>
        </w:rPr>
        <w:tab/>
        <w:t>300</w:t>
      </w:r>
      <w:r w:rsidRPr="008A2E5A">
        <w:rPr>
          <w:rFonts w:ascii="Times New Roman" w:hAnsi="Times New Roman"/>
          <w:color w:val="0070C0"/>
          <w:sz w:val="16"/>
          <w:szCs w:val="16"/>
        </w:rPr>
        <w:tab/>
        <w:t>325</w:t>
      </w:r>
      <w:r w:rsidRPr="008A2E5A">
        <w:rPr>
          <w:rFonts w:ascii="Times New Roman" w:hAnsi="Times New Roman"/>
          <w:color w:val="0070C0"/>
          <w:sz w:val="16"/>
          <w:szCs w:val="16"/>
        </w:rPr>
        <w:tab/>
        <w:t>375</w:t>
      </w:r>
      <w:r w:rsidRPr="008A2E5A">
        <w:rPr>
          <w:rFonts w:ascii="Times New Roman" w:hAnsi="Times New Roman"/>
          <w:color w:val="0070C0"/>
          <w:sz w:val="16"/>
          <w:szCs w:val="16"/>
        </w:rPr>
        <w:tab/>
        <w:t>1000</w:t>
      </w:r>
    </w:p>
    <w:p w14:paraId="0642A985"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6.</w:t>
      </w:r>
      <w:r w:rsidRPr="008A2E5A">
        <w:rPr>
          <w:rFonts w:ascii="Times New Roman" w:hAnsi="Times New Roman"/>
          <w:color w:val="0070C0"/>
          <w:sz w:val="16"/>
          <w:szCs w:val="16"/>
        </w:rPr>
        <w:tab/>
        <w:t>ВС-50 старой комплектации</w:t>
      </w:r>
      <w:r w:rsidRPr="008A2E5A">
        <w:rPr>
          <w:rFonts w:ascii="Times New Roman" w:hAnsi="Times New Roman"/>
          <w:color w:val="0070C0"/>
          <w:sz w:val="16"/>
          <w:szCs w:val="16"/>
        </w:rPr>
        <w:tab/>
        <w:t>500</w:t>
      </w:r>
      <w:r w:rsidRPr="008A2E5A">
        <w:rPr>
          <w:rFonts w:ascii="Times New Roman" w:hAnsi="Times New Roman"/>
          <w:color w:val="0070C0"/>
          <w:sz w:val="16"/>
          <w:szCs w:val="16"/>
        </w:rPr>
        <w:tab/>
        <w:t>550</w:t>
      </w:r>
      <w:r w:rsidRPr="008A2E5A">
        <w:rPr>
          <w:rFonts w:ascii="Times New Roman" w:hAnsi="Times New Roman"/>
          <w:color w:val="0070C0"/>
          <w:sz w:val="16"/>
          <w:szCs w:val="16"/>
        </w:rPr>
        <w:tab/>
        <w:t>677</w:t>
      </w:r>
      <w:r w:rsidRPr="008A2E5A">
        <w:rPr>
          <w:rFonts w:ascii="Times New Roman" w:hAnsi="Times New Roman"/>
          <w:color w:val="0070C0"/>
          <w:sz w:val="16"/>
          <w:szCs w:val="16"/>
        </w:rPr>
        <w:tab/>
        <w:t>1727</w:t>
      </w:r>
    </w:p>
    <w:p w14:paraId="466E12C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резерва ГУ ВВС КА на I квартал 1942 г. разнарядки нет.</w:t>
      </w:r>
    </w:p>
    <w:p w14:paraId="07D356BB"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Трудности завода в условиях пос. Сим</w:t>
      </w:r>
    </w:p>
    <w:p w14:paraId="51B2EFC4"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Нет ясности со смежниками, </w:t>
      </w:r>
      <w:proofErr w:type="gramStart"/>
      <w:r w:rsidRPr="008A2E5A">
        <w:rPr>
          <w:rFonts w:ascii="Times New Roman" w:hAnsi="Times New Roman"/>
          <w:color w:val="0070C0"/>
          <w:sz w:val="16"/>
          <w:szCs w:val="16"/>
        </w:rPr>
        <w:t>как то</w:t>
      </w:r>
      <w:proofErr w:type="gramEnd"/>
      <w:r w:rsidRPr="008A2E5A">
        <w:rPr>
          <w:rFonts w:ascii="Times New Roman" w:hAnsi="Times New Roman"/>
          <w:color w:val="0070C0"/>
          <w:sz w:val="16"/>
          <w:szCs w:val="16"/>
        </w:rPr>
        <w:t>:</w:t>
      </w:r>
    </w:p>
    <w:p w14:paraId="58A51602"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завод № 261, изготовляющий для завода № 132 баллоны, входящие в систему ВС-50. Установлено, что завод находится в Свердловске, когда начнет выпускать продукцию, неизвестно; запасов баллонов на заводе № 132 нет. 16 января 1942 г. директор получил указание от начальника 4-го Главного управления НКАП т. Тарасова ВС-50 отправлять без баллонов;</w:t>
      </w:r>
    </w:p>
    <w:p w14:paraId="504A227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манометры для системы воздушного запуска ВС-50 поставлялись заводом «Манометр», который находится в Москве. Завод № 132 договора на поставку манометров в 1942 г. еще не имеет. Дано задание уполномоченному завода № 132 в Москве заключить договор на 1942 г. и взять с завода «Манометр» весь задел манометров. На январь месяц завод № 132 манометрами полностью не обеспечен.</w:t>
      </w:r>
    </w:p>
    <w:p w14:paraId="471923F8"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Электрооборудование для РИМ-24 изготовлял завод ЗЭМ, в настоящее время находится в г. Челябинске. Работу еще не развернул. Запас на заводе имеется на 200 комплектов.</w:t>
      </w:r>
    </w:p>
    <w:p w14:paraId="2A85BAC9"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Топливо для ТЭЦ требуется на месяц 3,5 тыс. т, выделены фонды на январь 1,5 тыс. т, причем первая партия угля по январским фондам поступила на завод 13 января 1942 г. в количестве 900 т, и по причине отсутствия топлива завод стоял с 8 по 13 января 1942 г.</w:t>
      </w:r>
    </w:p>
    <w:p w14:paraId="675B74C1"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Cm. военпред ГУ ВВС КА при заводе № 132 военинженер 1-го ранга Андреев</w:t>
      </w:r>
    </w:p>
    <w:p w14:paraId="3A9AF1BF" w14:textId="77777777" w:rsidR="006C6AFE" w:rsidRPr="008A2E5A" w:rsidRDefault="006C6AFE" w:rsidP="006C6A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 МО РФ. Ф. 35. Оп. 11287. Д. 812. Л. 54-59. Подлинник (23932).</w:t>
      </w:r>
    </w:p>
    <w:p w14:paraId="6538F9DC" w14:textId="77777777" w:rsidR="006C6AFE" w:rsidRPr="008A2E5A" w:rsidRDefault="006C6AFE" w:rsidP="006C6AFE">
      <w:pPr>
        <w:spacing w:after="0" w:line="240" w:lineRule="auto"/>
        <w:jc w:val="both"/>
        <w:rPr>
          <w:rFonts w:ascii="Times New Roman" w:hAnsi="Times New Roman"/>
          <w:color w:val="0070C0"/>
          <w:sz w:val="16"/>
          <w:szCs w:val="16"/>
        </w:rPr>
      </w:pPr>
    </w:p>
    <w:p w14:paraId="1E3ED52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6B8450F8" w14:textId="77777777" w:rsidR="00D4651C" w:rsidRPr="008127F8" w:rsidRDefault="00D4651C" w:rsidP="001E0A84">
      <w:pPr>
        <w:pStyle w:val="Iauiue"/>
        <w:jc w:val="both"/>
        <w:rPr>
          <w:iCs/>
          <w:color w:val="000000" w:themeColor="text1"/>
          <w:sz w:val="16"/>
          <w:szCs w:val="16"/>
        </w:rPr>
      </w:pPr>
    </w:p>
    <w:p w14:paraId="4E233A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 вышло Постановление ГКО № 1176 О возвращении эвакуированного оборудования Люберецкого завода им. Ухтомского. РГАНИР, Фонд ГКО, д. 19, лл. 173 (11012).</w:t>
      </w:r>
    </w:p>
    <w:p w14:paraId="3886071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8CB22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января 1942 г. в соответствии с пост. ГКО № 1176 эвакуированное оборудование было возвращено, и завод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восстановлен на прежнем месте. Производство корпусов мин. 20.03.1942 г. вышло постановление ГКО № 1470 о расширении производства корпусов 82-мм и 120-мм мин на Люберецком заводе им. Ухтомского НКМВ. В 06.1942 г. завод - в ведении Главсельмаша НКМВ. </w:t>
      </w: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xml:space="preserve">, правительства № 837-430сс от 3.06.1942 г. и приказом НКМВ № 250с от 7.07.1942 г. Люберецкий завод сельхозмашин НКМВ переименован в завод № 711 им. Ухтомского в ведении 1ГУ. В соответствии с распоряжением ГКО № 6181 от 13.07.1944 г. заводу передано 500 чел. из лагеря НКВД. </w:t>
      </w: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правительства № 23 от 7.01.1946 г. и приказом НКМВ/НКСХМ № 14/1 от 11.01.1946 г. завод передан из ГСМ НКМВ в НКСХМ.</w:t>
      </w:r>
    </w:p>
    <w:p w14:paraId="73EBC96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8127F8">
        <w:rPr>
          <w:rFonts w:ascii="Times New Roman" w:hAnsi="Times New Roman"/>
          <w:color w:val="000000" w:themeColor="text1"/>
          <w:sz w:val="16"/>
          <w:szCs w:val="16"/>
          <w:vertAlign w:val="superscript"/>
        </w:rPr>
        <w:t xml:space="preserve">129 </w:t>
      </w:r>
      <w:r w:rsidRPr="008127F8">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379979B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(11.1945 г.)- 348 чел., (03.1946 г.)- 8360 чел.</w:t>
      </w:r>
    </w:p>
    <w:p w14:paraId="15DE1A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Волков.</w:t>
      </w:r>
    </w:p>
    <w:p w14:paraId="04B2FC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(1927-30 г.)- Б.Л. Ванников.</w:t>
      </w:r>
    </w:p>
    <w:p w14:paraId="6192576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120-мм мины (-1942-44-) (11982).</w:t>
      </w:r>
    </w:p>
    <w:p w14:paraId="4630A72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38919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января 1942 г. в соответствии с пост. ГКО № 1176 эвакуированное оборудование было возвращено, и завод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восстановлен на прежнем месте. Производство корпусов мин. 20.03.1942 г. вышло постановление ГКО № 1470 о расширении производства корпусов 82-мм и 120-мм мин на Люберецком заводе им. Ухтомского НКМВ. В 06.1942 г. завод - в ведении Главсельмаша НКМВ. </w:t>
      </w: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xml:space="preserve">, правительства № 837-430сс от 3.06.1942 г. и приказом НКМВ № 250с от 7.07.1942 г. Люберецкий завод сельхозмашин НКМВ переименован в завод № 711 им. Ухтомского в ведении 1ГУ. В соответствии с распоряжением ГКО № 6181 от 13.07.1944 г. заводу передано 500 чел. из лагеря НКВД. </w:t>
      </w: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правительства № 23 от 7.01.1946 г. и приказом НКМВ/НКСХМ № 14/1 от 11.01.1946 г. завод передан из ГСМ НКМВ в НКСХМ.</w:t>
      </w:r>
    </w:p>
    <w:p w14:paraId="4D9B5C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8127F8">
        <w:rPr>
          <w:rFonts w:ascii="Times New Roman" w:hAnsi="Times New Roman"/>
          <w:color w:val="000000" w:themeColor="text1"/>
          <w:sz w:val="16"/>
          <w:szCs w:val="16"/>
          <w:vertAlign w:val="superscript"/>
        </w:rPr>
        <w:t xml:space="preserve">129 </w:t>
      </w:r>
      <w:r w:rsidRPr="008127F8">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5C31204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(11.1945 г.)- 348 чел., (03.1946 г.)- 8360 чел.</w:t>
      </w:r>
    </w:p>
    <w:p w14:paraId="63B065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Волков.</w:t>
      </w:r>
    </w:p>
    <w:p w14:paraId="012C85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(1927-30 г.)- Б.Л. Ванников.</w:t>
      </w:r>
    </w:p>
    <w:p w14:paraId="241444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120-мм мины (-1942-44-) (11982).</w:t>
      </w:r>
    </w:p>
    <w:p w14:paraId="389231D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B8DD596"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С 19 января 1942 года завод именуется «Государственный Союзный ордена Трудового Красного Знамени завод № 2 имени К.О. Киркижа».</w:t>
      </w:r>
    </w:p>
    <w:p w14:paraId="6B47B58E" w14:textId="191FBD60"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xml:space="preserve">В начале 1942 года для заводов-дублеров </w:t>
      </w:r>
      <w:proofErr w:type="gramStart"/>
      <w:r w:rsidRPr="008127F8">
        <w:rPr>
          <w:color w:val="000000" w:themeColor="text1"/>
          <w:sz w:val="16"/>
          <w:szCs w:val="16"/>
        </w:rPr>
        <w:t>отгружено</w:t>
      </w:r>
      <w:r w:rsidR="008127F8">
        <w:rPr>
          <w:color w:val="000000" w:themeColor="text1"/>
          <w:sz w:val="16"/>
          <w:szCs w:val="16"/>
        </w:rPr>
        <w:t xml:space="preserve">  </w:t>
      </w:r>
      <w:r w:rsidRPr="008127F8">
        <w:rPr>
          <w:color w:val="000000" w:themeColor="text1"/>
          <w:sz w:val="16"/>
          <w:szCs w:val="16"/>
        </w:rPr>
        <w:t>оборудование</w:t>
      </w:r>
      <w:proofErr w:type="gramEnd"/>
      <w:r w:rsidRPr="008127F8">
        <w:rPr>
          <w:color w:val="000000" w:themeColor="text1"/>
          <w:sz w:val="16"/>
          <w:szCs w:val="16"/>
        </w:rPr>
        <w:t>, полная оснастка производств приспособлениями, режущим и мерительным инструментом и необходимым количеством полуфабрикатов.</w:t>
      </w:r>
    </w:p>
    <w:p w14:paraId="390CEF2A"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Дот производства ДШК в г. Куйбышеве было отгружено 555 станков, приспособлений, режущего и верительного инструмента и прочего оборудования на сумму - 4046 тыс. рублей, полуфабрикатов и деталей из незавершенки - на сумму 723 тыс. рублей.</w:t>
      </w:r>
    </w:p>
    <w:p w14:paraId="403FEB5C"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Для установки производства ручных пулеметов Дегтярева ДП и ДТ на заводе № 526 отгружается в г. Сталинск (Новокузнецк) - 337 станков с производства, новых станков заводского изготовления - 138, приспособлений, режущего и мерительного инструмента - на сумму 821 тыс. рублей, деталей на сумму - 852 тыс. рублей.</w:t>
      </w:r>
    </w:p>
    <w:p w14:paraId="6F34FEBD"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В 1942 году организовано массовое производство ППШ на заводе № 385 в Вятских Полянах, куда передано деталей на сумму 1916 тыс. рублей, приспособлений и инструмента - на 1486 тыс. рублей.</w:t>
      </w:r>
    </w:p>
    <w:p w14:paraId="5F1D7C17"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В этом же году на заводе № 314 в Туле организуется производство 20-м м пушек ШВАК.</w:t>
      </w:r>
    </w:p>
    <w:p w14:paraId="092E59B2"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Всего для организации производств на заводах отгружено 1941-1943 гг.:</w:t>
      </w:r>
    </w:p>
    <w:p w14:paraId="5233C540"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xml:space="preserve">- 920 станков с производства, </w:t>
      </w:r>
    </w:p>
    <w:p w14:paraId="2722FBF2"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- 181 новый станок;</w:t>
      </w:r>
    </w:p>
    <w:p w14:paraId="042848A3"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деталей на 9183 тыс. рублей;</w:t>
      </w:r>
    </w:p>
    <w:p w14:paraId="187740E7"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xml:space="preserve">- инструмента на 7774 тыс. рублей. </w:t>
      </w:r>
    </w:p>
    <w:p w14:paraId="32018D6C"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Всего - на 16957 тыс. рублей (12221).</w:t>
      </w:r>
    </w:p>
    <w:p w14:paraId="009B4839" w14:textId="77777777" w:rsidR="00C0199F" w:rsidRPr="008127F8" w:rsidRDefault="00C0199F" w:rsidP="001E0A84">
      <w:pPr>
        <w:pStyle w:val="af"/>
        <w:spacing w:before="0" w:after="0"/>
        <w:jc w:val="both"/>
        <w:rPr>
          <w:color w:val="000000" w:themeColor="text1"/>
          <w:sz w:val="16"/>
          <w:szCs w:val="16"/>
        </w:rPr>
      </w:pPr>
    </w:p>
    <w:p w14:paraId="602E59F8"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w:t>
      </w:r>
    </w:p>
    <w:p w14:paraId="6D3E5FD3" w14:textId="23DD9A8D"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24 – 27</w:t>
      </w:r>
      <w:r w:rsidR="008127F8">
        <w:rPr>
          <w:rFonts w:ascii="Times New Roman" w:hAnsi="Times New Roman"/>
          <w:color w:val="000000" w:themeColor="text1"/>
          <w:sz w:val="16"/>
          <w:szCs w:val="16"/>
        </w:rPr>
        <w:t xml:space="preserve">  </w:t>
      </w:r>
    </w:p>
    <w:p w14:paraId="0CEF1A11" w14:textId="2925E9D5"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С.СЕКРЕТНО.</w:t>
      </w:r>
      <w:r w:rsidR="008127F8">
        <w:rPr>
          <w:rFonts w:ascii="Times New Roman" w:hAnsi="Times New Roman"/>
          <w:color w:val="000000" w:themeColor="text1"/>
          <w:sz w:val="16"/>
          <w:szCs w:val="16"/>
        </w:rPr>
        <w:t xml:space="preserve">  </w:t>
      </w:r>
    </w:p>
    <w:p w14:paraId="4BC7ADC1"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ПРИКАЗ</w:t>
      </w:r>
    </w:p>
    <w:p w14:paraId="4661AC11"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НАРКОМАТУ ТАНКОВОЙ ПРОМЫШЛЕННОСТИ</w:t>
      </w:r>
    </w:p>
    <w:p w14:paraId="2C12D1AF"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124-Мсс</w:t>
      </w:r>
    </w:p>
    <w:p w14:paraId="6902E151"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"19" января 1942 г.</w:t>
      </w:r>
    </w:p>
    <w:p w14:paraId="2E8AC9DA"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суточном графике выпуска танков, дизелей и корпусов на февраль месяц 1942 г.</w:t>
      </w:r>
    </w:p>
    <w:p w14:paraId="1D6E797A" w14:textId="429EF52C"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19 декабря 1942 г. за № 1043сс "О плане производства танков в 1 квартале 1942 г." ПРИКАЗЫВАЮ:</w:t>
      </w:r>
      <w:r w:rsidR="008127F8">
        <w:rPr>
          <w:rFonts w:ascii="Times New Roman" w:hAnsi="Times New Roman"/>
          <w:color w:val="000000" w:themeColor="text1"/>
          <w:sz w:val="16"/>
          <w:szCs w:val="16"/>
        </w:rPr>
        <w:t xml:space="preserve">  </w:t>
      </w:r>
    </w:p>
    <w:p w14:paraId="32370986" w14:textId="4689F328"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Утвердить по заводам следующий график ежесуточного выпуска танков в феврале месяце 1942 г.:</w:t>
      </w:r>
      <w:r w:rsidR="008127F8">
        <w:rPr>
          <w:rFonts w:ascii="Times New Roman" w:hAnsi="Times New Roman"/>
          <w:color w:val="000000" w:themeColor="text1"/>
          <w:sz w:val="16"/>
          <w:szCs w:val="16"/>
        </w:rPr>
        <w:t xml:space="preserve">  </w:t>
      </w:r>
    </w:p>
    <w:p w14:paraId="0475291C" w14:textId="42812AC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по заводам следующий график ежесуточного выпуска дизелей в феврале месяце 1942 г.:</w:t>
      </w:r>
      <w:r w:rsidR="008127F8">
        <w:rPr>
          <w:rFonts w:ascii="Times New Roman" w:hAnsi="Times New Roman"/>
          <w:color w:val="000000" w:themeColor="text1"/>
          <w:sz w:val="16"/>
          <w:szCs w:val="16"/>
        </w:rPr>
        <w:t xml:space="preserve">  </w:t>
      </w:r>
    </w:p>
    <w:p w14:paraId="1DB6B8F8" w14:textId="4B41084F"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Утвердить по Кировскому заводу график ежесуточного выпуска топливных насосов и форсунок для дизеля В-2 и поставки их заводам № 76 и СТЗ в феврале месяце.</w:t>
      </w:r>
      <w:r w:rsidR="008127F8">
        <w:rPr>
          <w:rFonts w:ascii="Times New Roman" w:hAnsi="Times New Roman"/>
          <w:color w:val="000000" w:themeColor="text1"/>
          <w:sz w:val="16"/>
          <w:szCs w:val="16"/>
        </w:rPr>
        <w:t xml:space="preserve">  </w:t>
      </w:r>
    </w:p>
    <w:p w14:paraId="05E2B280" w14:textId="2D1CC439"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Утвердить план переборки моторов М-17 в феврале месяце:</w:t>
      </w:r>
      <w:r w:rsidR="008127F8">
        <w:rPr>
          <w:rFonts w:ascii="Times New Roman" w:hAnsi="Times New Roman"/>
          <w:color w:val="000000" w:themeColor="text1"/>
          <w:sz w:val="16"/>
          <w:szCs w:val="16"/>
        </w:rPr>
        <w:t xml:space="preserve">  </w:t>
      </w:r>
    </w:p>
    <w:p w14:paraId="64E69903" w14:textId="7F03F2D4"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заводу № 76 – 70 шт.</w:t>
      </w:r>
      <w:r w:rsidR="008127F8">
        <w:rPr>
          <w:rFonts w:ascii="Times New Roman" w:hAnsi="Times New Roman"/>
          <w:color w:val="000000" w:themeColor="text1"/>
          <w:sz w:val="16"/>
          <w:szCs w:val="16"/>
        </w:rPr>
        <w:t xml:space="preserve">  </w:t>
      </w:r>
    </w:p>
    <w:p w14:paraId="7D88F0FC" w14:textId="4E296DD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СТЗ – 100 шт.</w:t>
      </w:r>
      <w:r w:rsidR="008127F8">
        <w:rPr>
          <w:rFonts w:ascii="Times New Roman" w:hAnsi="Times New Roman"/>
          <w:color w:val="000000" w:themeColor="text1"/>
          <w:sz w:val="16"/>
          <w:szCs w:val="16"/>
        </w:rPr>
        <w:t xml:space="preserve">  </w:t>
      </w:r>
    </w:p>
    <w:p w14:paraId="0991FF24" w14:textId="537CD7FF"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Утвердить по заводам следующий график ежесуточного выпуска корпусов для танков в феврале месяце:</w:t>
      </w:r>
      <w:r w:rsidR="008127F8">
        <w:rPr>
          <w:rFonts w:ascii="Times New Roman" w:hAnsi="Times New Roman"/>
          <w:color w:val="000000" w:themeColor="text1"/>
          <w:sz w:val="16"/>
          <w:szCs w:val="16"/>
        </w:rPr>
        <w:t xml:space="preserve">  </w:t>
      </w:r>
    </w:p>
    <w:p w14:paraId="40F5CAD7" w14:textId="35E4E9C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Директорам и главным инженерам заводов в 3-дневный срок довести план февраля до цехов и участков с конкретными мерами, обеспечивающими выполнение плана.</w:t>
      </w:r>
      <w:r w:rsidR="008127F8">
        <w:rPr>
          <w:rFonts w:ascii="Times New Roman" w:hAnsi="Times New Roman"/>
          <w:color w:val="000000" w:themeColor="text1"/>
          <w:sz w:val="16"/>
          <w:szCs w:val="16"/>
        </w:rPr>
        <w:t xml:space="preserve">  </w:t>
      </w:r>
    </w:p>
    <w:p w14:paraId="30736DE0" w14:textId="06D79EDE"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Моему заместителю т. Степанову к 21 января с.г. подготовить приказ по внутренней кооперации между заводами, обеспечивающий выполнение плана.</w:t>
      </w:r>
      <w:r w:rsidR="008127F8">
        <w:rPr>
          <w:rFonts w:ascii="Times New Roman" w:hAnsi="Times New Roman"/>
          <w:color w:val="000000" w:themeColor="text1"/>
          <w:sz w:val="16"/>
          <w:szCs w:val="16"/>
        </w:rPr>
        <w:t xml:space="preserve">  </w:t>
      </w:r>
    </w:p>
    <w:p w14:paraId="574B070F" w14:textId="3EA2820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Начальнику Главснаба т. Розину к 21 января с.г. представить мне мероприятия по обеспечению данной программы снабжением металлом, покупными изделиями и пр.</w:t>
      </w:r>
      <w:r w:rsidR="008127F8">
        <w:rPr>
          <w:rFonts w:ascii="Times New Roman" w:hAnsi="Times New Roman"/>
          <w:color w:val="000000" w:themeColor="text1"/>
          <w:sz w:val="16"/>
          <w:szCs w:val="16"/>
        </w:rPr>
        <w:t xml:space="preserve">  </w:t>
      </w:r>
    </w:p>
    <w:p w14:paraId="745ABEBC" w14:textId="01E1344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Зам. начальника 1 отдела т. Давтян к 25 января с.г. представить мне на утверждение программу производства узлов и деталей танков КВ и Т-34 по заводам № 174 и № 173.</w:t>
      </w:r>
      <w:r w:rsidR="008127F8">
        <w:rPr>
          <w:rFonts w:ascii="Times New Roman" w:hAnsi="Times New Roman"/>
          <w:color w:val="000000" w:themeColor="text1"/>
          <w:sz w:val="16"/>
          <w:szCs w:val="16"/>
        </w:rPr>
        <w:t xml:space="preserve">  </w:t>
      </w:r>
    </w:p>
    <w:p w14:paraId="58542EE7"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программы января месяца по танкам, корпусам и дизелям по заводам: Кировскому, № 183, № 76, № 37, № 264, № 38, № 112, № 200, № 174, № 180 идет совершенно неудовлетворительно. Не выполняют план Уралмашзавод и СТЗ. Директора и главные инженеры этих заводов должны покончить с позорным невыполнением планов, мобилизовать все силы вверенных им заводов на безусловное выполнение плана февраля месяца.</w:t>
      </w:r>
    </w:p>
    <w:p w14:paraId="30983075"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5987B87E"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(18236).</w:t>
      </w:r>
    </w:p>
    <w:p w14:paraId="46BD9842" w14:textId="77777777" w:rsidR="00FC28F9" w:rsidRPr="008127F8" w:rsidRDefault="00FC28F9" w:rsidP="001E0A84">
      <w:pPr>
        <w:spacing w:after="0" w:line="240" w:lineRule="auto"/>
        <w:jc w:val="both"/>
        <w:rPr>
          <w:rFonts w:ascii="Times New Roman" w:hAnsi="Times New Roman"/>
          <w:color w:val="000000" w:themeColor="text1"/>
          <w:sz w:val="16"/>
          <w:szCs w:val="16"/>
        </w:rPr>
      </w:pPr>
    </w:p>
    <w:p w14:paraId="7286F7B0"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w:t>
      </w:r>
    </w:p>
    <w:p w14:paraId="3ED9015D" w14:textId="5454F570"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33 – 37</w:t>
      </w:r>
      <w:r w:rsidR="008127F8">
        <w:rPr>
          <w:rFonts w:ascii="Times New Roman" w:hAnsi="Times New Roman"/>
          <w:color w:val="000000" w:themeColor="text1"/>
          <w:sz w:val="16"/>
          <w:szCs w:val="16"/>
        </w:rPr>
        <w:t xml:space="preserve">  </w:t>
      </w:r>
    </w:p>
    <w:p w14:paraId="26163251" w14:textId="15D99FF8"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3C95059F"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C058771"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3B29DC5B"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19 января 1942 г.</w:t>
      </w:r>
    </w:p>
    <w:p w14:paraId="4FF774E3"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125-Мсс</w:t>
      </w:r>
    </w:p>
    <w:p w14:paraId="634BFC88" w14:textId="5593FB1E"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своим постановлением от 18 января 1942 г. за № 1174сс отметил невыполнение директором завода № 112 – "Красное Сормово" т. Михалевым графика выпуска танков Т-34, установленного Государственным Комитетом Обороны на декабрь 1941 г. и январь 1942 г.</w:t>
      </w:r>
      <w:r w:rsidR="008127F8">
        <w:rPr>
          <w:rFonts w:ascii="Times New Roman" w:hAnsi="Times New Roman"/>
          <w:color w:val="000000" w:themeColor="text1"/>
          <w:sz w:val="16"/>
          <w:szCs w:val="16"/>
        </w:rPr>
        <w:t xml:space="preserve">  </w:t>
      </w:r>
    </w:p>
    <w:p w14:paraId="7523E5F7" w14:textId="39DA1146"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за № 1174сс от 18 января 1942 г. ПРИКАЗЫВАЮ:</w:t>
      </w:r>
      <w:r w:rsidR="008127F8">
        <w:rPr>
          <w:rFonts w:ascii="Times New Roman" w:hAnsi="Times New Roman"/>
          <w:color w:val="000000" w:themeColor="text1"/>
          <w:sz w:val="16"/>
          <w:szCs w:val="16"/>
        </w:rPr>
        <w:t xml:space="preserve">  </w:t>
      </w:r>
    </w:p>
    <w:p w14:paraId="7D3A1888" w14:textId="00F2D74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112 т. Михалеву обеспечить выпуск танков Т-34 по 7 штук в сутки с 20 января, по 8 штук в сутки с 15 февраля и по 10 штук в сутки с 25 февраля 1942 года.</w:t>
      </w:r>
      <w:r w:rsidR="008127F8">
        <w:rPr>
          <w:rFonts w:ascii="Times New Roman" w:hAnsi="Times New Roman"/>
          <w:color w:val="000000" w:themeColor="text1"/>
          <w:sz w:val="16"/>
          <w:szCs w:val="16"/>
        </w:rPr>
        <w:t xml:space="preserve">  </w:t>
      </w:r>
    </w:p>
    <w:p w14:paraId="38CC1783" w14:textId="37745F4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фрезерных станков, им. Компартии Франции, "Станкопатрон", "Электропривод" и № 176 организовать производство узлов и деталей танков Т-34 для завода "Красное Сормово", согласно приложению № 1.</w:t>
      </w:r>
      <w:r w:rsidR="008127F8">
        <w:rPr>
          <w:rFonts w:ascii="Times New Roman" w:hAnsi="Times New Roman"/>
          <w:color w:val="000000" w:themeColor="text1"/>
          <w:sz w:val="16"/>
          <w:szCs w:val="16"/>
        </w:rPr>
        <w:t xml:space="preserve">  </w:t>
      </w:r>
    </w:p>
    <w:p w14:paraId="08AECB0B" w14:textId="20337D5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1 отдела Наркомтанкопрома т. Степанову и директорам заводов фрезерных станков, имени Компартии Франции, "Станкопатрон", № 176 и "Красное Сормово" учесть, что означенным постановлением Государственный Комитет Обороны освободил с 10 февраля 1942 г. от изготовления узлов и деталей танков Т-60 для Горьковского автозавода, обязав последний организовать это производство у себя на заводе.</w:t>
      </w:r>
      <w:r w:rsidR="008127F8">
        <w:rPr>
          <w:rFonts w:ascii="Times New Roman" w:hAnsi="Times New Roman"/>
          <w:color w:val="000000" w:themeColor="text1"/>
          <w:sz w:val="16"/>
          <w:szCs w:val="16"/>
        </w:rPr>
        <w:t xml:space="preserve">  </w:t>
      </w:r>
    </w:p>
    <w:p w14:paraId="34B01F4B" w14:textId="68865AF6"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4 отдела т. Гусеву и директору завода "Красное Сормово" т. Михалеву учесть, что означенным постановлением Государственный Комитет Обороны:</w:t>
      </w:r>
      <w:r w:rsidR="008127F8">
        <w:rPr>
          <w:rFonts w:ascii="Times New Roman" w:hAnsi="Times New Roman"/>
          <w:color w:val="000000" w:themeColor="text1"/>
          <w:sz w:val="16"/>
          <w:szCs w:val="16"/>
        </w:rPr>
        <w:t xml:space="preserve">  </w:t>
      </w:r>
    </w:p>
    <w:p w14:paraId="63AD3FDC" w14:textId="4736D12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освободил завод "Красное Сормово" от организации производства деталей для завода № 92, согласно постановлению ГКО от 2 января 1942 г. за № 1090сс;</w:t>
      </w:r>
      <w:r w:rsidR="008127F8">
        <w:rPr>
          <w:rFonts w:ascii="Times New Roman" w:hAnsi="Times New Roman"/>
          <w:color w:val="000000" w:themeColor="text1"/>
          <w:sz w:val="16"/>
          <w:szCs w:val="16"/>
        </w:rPr>
        <w:t xml:space="preserve">  </w:t>
      </w:r>
    </w:p>
    <w:p w14:paraId="0877BCEF" w14:textId="1A52D553"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уменьшил поставку деталей заводу № 92 для пушки УСВ по заводам "Станкопатрон", фрезерных станков и имени Компартии Франции, пропорционально уменьшению программы 1 квартала 1942 года по пушке УСВ по заводу № 92 Наркомвооружения.</w:t>
      </w:r>
      <w:r w:rsidR="008127F8">
        <w:rPr>
          <w:rFonts w:ascii="Times New Roman" w:hAnsi="Times New Roman"/>
          <w:color w:val="000000" w:themeColor="text1"/>
          <w:sz w:val="16"/>
          <w:szCs w:val="16"/>
        </w:rPr>
        <w:t xml:space="preserve">  </w:t>
      </w:r>
    </w:p>
    <w:p w14:paraId="7497C06A" w14:textId="6E80469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Директорам заводов "Красное Сормово", фрезерных станков, "Станкопатрон", имени Компартии Франции и № 176 и Начальнику 1 отдела Наркомтанкопрома т. Степанову учесть, что означенным постановлением Государственный Комитет Обороны запретил впредь загружать заводы "Красное Сормово", фрезерных станков, "Станкопатрон", имени Компартии Франции и № 176 заказами, не относящимися к танкам Т-34.</w:t>
      </w:r>
      <w:r w:rsidR="008127F8">
        <w:rPr>
          <w:rFonts w:ascii="Times New Roman" w:hAnsi="Times New Roman"/>
          <w:color w:val="000000" w:themeColor="text1"/>
          <w:sz w:val="16"/>
          <w:szCs w:val="16"/>
        </w:rPr>
        <w:t xml:space="preserve">  </w:t>
      </w:r>
    </w:p>
    <w:p w14:paraId="7CBD870F" w14:textId="0148CC0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Начальнику 1 отдела Наркомтанкопрома т. Степанову и директору завода № 112 т. Михалеву учесть, что означенным постановлением Наркомтяжмаш т. Казаков обязан немедленно передать заводу "Красное Сормово" Наркомтанкопрома из числа неустановленного оборудования эвакуированных заводов: Невского, "Красный Профинтерн" и других 41 металлорежущий станок, согласно приложению № 2.</w:t>
      </w:r>
      <w:r w:rsidR="008127F8">
        <w:rPr>
          <w:rFonts w:ascii="Times New Roman" w:hAnsi="Times New Roman"/>
          <w:color w:val="000000" w:themeColor="text1"/>
          <w:sz w:val="16"/>
          <w:szCs w:val="16"/>
        </w:rPr>
        <w:t xml:space="preserve">  </w:t>
      </w:r>
    </w:p>
    <w:p w14:paraId="0DF341AA" w14:textId="00B7C98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Степанову и тов. Михалеву обеспечить немедленное получение станков.</w:t>
      </w:r>
      <w:r w:rsidR="008127F8">
        <w:rPr>
          <w:rFonts w:ascii="Times New Roman" w:hAnsi="Times New Roman"/>
          <w:color w:val="000000" w:themeColor="text1"/>
          <w:sz w:val="16"/>
          <w:szCs w:val="16"/>
        </w:rPr>
        <w:t xml:space="preserve">  </w:t>
      </w:r>
    </w:p>
    <w:p w14:paraId="482AC9EF" w14:textId="1164B840"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Начальнику Главснаба т. Розину, начальнику 1 отдела Наркомтанкопрома т. Степанову и директору завода № 112 т. Михалеву учесть, что означенным постановлением Наркомсредмаш т. Акопов обязан:</w:t>
      </w:r>
      <w:r w:rsidR="008127F8">
        <w:rPr>
          <w:rFonts w:ascii="Times New Roman" w:hAnsi="Times New Roman"/>
          <w:color w:val="000000" w:themeColor="text1"/>
          <w:sz w:val="16"/>
          <w:szCs w:val="16"/>
        </w:rPr>
        <w:t xml:space="preserve">  </w:t>
      </w:r>
    </w:p>
    <w:p w14:paraId="2C91B1FD" w14:textId="0D67D8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поставить до 10 февраля 1942 г. 8 автотягачей;</w:t>
      </w:r>
      <w:r w:rsidR="008127F8">
        <w:rPr>
          <w:rFonts w:ascii="Times New Roman" w:hAnsi="Times New Roman"/>
          <w:color w:val="000000" w:themeColor="text1"/>
          <w:sz w:val="16"/>
          <w:szCs w:val="16"/>
        </w:rPr>
        <w:t xml:space="preserve">  </w:t>
      </w:r>
    </w:p>
    <w:p w14:paraId="6C65FA6B" w14:textId="577585A8"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изготовить 2 30-тонных протяжных станка по типу, изготовляемых заводом ГАЗ для своего производства. Срок 1 марта и 15 марта 1942 г.;</w:t>
      </w:r>
      <w:r w:rsidR="008127F8">
        <w:rPr>
          <w:rFonts w:ascii="Times New Roman" w:hAnsi="Times New Roman"/>
          <w:color w:val="000000" w:themeColor="text1"/>
          <w:sz w:val="16"/>
          <w:szCs w:val="16"/>
        </w:rPr>
        <w:t xml:space="preserve">  </w:t>
      </w:r>
    </w:p>
    <w:p w14:paraId="1F44CDF7" w14:textId="47922996"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поставлять с завода ГАЗ, начиная с 25 января 1942 года следующие узлы и детали для танков Т-34, дополнительно к имеющимся заказам завода "Красное Сормово": водяной радиатор в сборе по 10 комплектов в сутки; масляный бак в сборе по 10 комплектов в сутки; масляный радиатор в сборе по 10 комплектов в сутки; воздухоочиститель в сборе по 10 комплектов в сутки; коническую пару шестерен для коробки передач со спиральным зубом по 10 комплектов в сутки; холодной штамповки 35 деталей и горячей штамповки 30 деталей по спецификации завода "Красное Сормово" по 10 комплектов в сутки;</w:t>
      </w:r>
      <w:r w:rsidR="008127F8">
        <w:rPr>
          <w:rFonts w:ascii="Times New Roman" w:hAnsi="Times New Roman"/>
          <w:color w:val="000000" w:themeColor="text1"/>
          <w:sz w:val="16"/>
          <w:szCs w:val="16"/>
        </w:rPr>
        <w:t xml:space="preserve">  </w:t>
      </w:r>
    </w:p>
    <w:p w14:paraId="2D9E3035" w14:textId="6809510E"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изготовить и поставить заводу "Красное Сормово" до 15 февраля 1942 г. инструмент в количестве 44 номенклатур и до 1 марта приспособлений 250 номенклатур по спецификации завода "Красное Сормово";</w:t>
      </w:r>
      <w:r w:rsidR="008127F8">
        <w:rPr>
          <w:rFonts w:ascii="Times New Roman" w:hAnsi="Times New Roman"/>
          <w:color w:val="000000" w:themeColor="text1"/>
          <w:sz w:val="16"/>
          <w:szCs w:val="16"/>
        </w:rPr>
        <w:t xml:space="preserve">  </w:t>
      </w:r>
    </w:p>
    <w:p w14:paraId="28AC32ED" w14:textId="2A428F4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поставлять заводу "Красная Этна" ленту латунную марки Л-62 0,3×30,3 – 1800 кгр в месяц, ленту красномедную 0,2×290 – 200 кгр в месяц и 0,8×50 – 400 кгр в месяц;</w:t>
      </w:r>
      <w:r w:rsidR="008127F8">
        <w:rPr>
          <w:rFonts w:ascii="Times New Roman" w:hAnsi="Times New Roman"/>
          <w:color w:val="000000" w:themeColor="text1"/>
          <w:sz w:val="16"/>
          <w:szCs w:val="16"/>
        </w:rPr>
        <w:t xml:space="preserve">  </w:t>
      </w:r>
    </w:p>
    <w:p w14:paraId="712A877C" w14:textId="527AD45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поставить в январе – феврале 1942 г. 150 тонн корундового зерна;</w:t>
      </w:r>
      <w:r w:rsidR="008127F8">
        <w:rPr>
          <w:rFonts w:ascii="Times New Roman" w:hAnsi="Times New Roman"/>
          <w:color w:val="000000" w:themeColor="text1"/>
          <w:sz w:val="16"/>
          <w:szCs w:val="16"/>
        </w:rPr>
        <w:t xml:space="preserve">  </w:t>
      </w:r>
    </w:p>
    <w:p w14:paraId="079C94A4" w14:textId="46A1B46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поставить за счет отодвижки поставки другим потребителям (кроме Наркомавиапрома и Наркомбоеприпасов) в 1 квартале 1942 г. дополнительно к выделенным Наркомтанкопрому фондам следующий инструмент для заводов № 112, 113, 114, 115 и 176:</w:t>
      </w:r>
      <w:r w:rsidR="008127F8">
        <w:rPr>
          <w:rFonts w:ascii="Times New Roman" w:hAnsi="Times New Roman"/>
          <w:color w:val="000000" w:themeColor="text1"/>
          <w:sz w:val="16"/>
          <w:szCs w:val="16"/>
        </w:rPr>
        <w:t xml:space="preserve">  </w:t>
      </w:r>
    </w:p>
    <w:p w14:paraId="1CFEFCF8" w14:textId="2C7D032A"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поставить до 1 марта 1942 г. 4 автомобиля ЯГ-6 и автоприцепов 4-осных 4 штуки.</w:t>
      </w:r>
      <w:r w:rsidR="008127F8">
        <w:rPr>
          <w:rFonts w:ascii="Times New Roman" w:hAnsi="Times New Roman"/>
          <w:color w:val="000000" w:themeColor="text1"/>
          <w:sz w:val="16"/>
          <w:szCs w:val="16"/>
        </w:rPr>
        <w:t xml:space="preserve">  </w:t>
      </w:r>
    </w:p>
    <w:p w14:paraId="7D3B8211" w14:textId="3DE7480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Степанову, тов. Розину и директору завода "Красное Сормово" тов. Михалеву принять меры к немедленной реализации обязательств Наркомсредмаша в полном соответствии с означенным решением ГКО.</w:t>
      </w:r>
      <w:r w:rsidR="008127F8">
        <w:rPr>
          <w:rFonts w:ascii="Times New Roman" w:hAnsi="Times New Roman"/>
          <w:color w:val="000000" w:themeColor="text1"/>
          <w:sz w:val="16"/>
          <w:szCs w:val="16"/>
        </w:rPr>
        <w:t xml:space="preserve">  </w:t>
      </w:r>
    </w:p>
    <w:p w14:paraId="6EF9CD6B" w14:textId="7178AE7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Начальнику Главснаба т. Розину и директору завода "Красное Сормово" т. Михалеву учесть, что означенным постановлением Наркомхимпром т. Денисов обязан:</w:t>
      </w:r>
      <w:r w:rsidR="008127F8">
        <w:rPr>
          <w:rFonts w:ascii="Times New Roman" w:hAnsi="Times New Roman"/>
          <w:color w:val="000000" w:themeColor="text1"/>
          <w:sz w:val="16"/>
          <w:szCs w:val="16"/>
        </w:rPr>
        <w:t xml:space="preserve">  </w:t>
      </w:r>
    </w:p>
    <w:p w14:paraId="004A7CD5" w14:textId="6C39173B"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 25 января 1942 г. обеспечить ежедневную поставку с Чернореченского химзавода 3 танков жидкого и 100 баллонов газообразного кислорода;</w:t>
      </w:r>
      <w:r w:rsidR="008127F8">
        <w:rPr>
          <w:rFonts w:ascii="Times New Roman" w:hAnsi="Times New Roman"/>
          <w:color w:val="000000" w:themeColor="text1"/>
          <w:sz w:val="16"/>
          <w:szCs w:val="16"/>
        </w:rPr>
        <w:t xml:space="preserve">  </w:t>
      </w:r>
    </w:p>
    <w:p w14:paraId="44A3ADB4" w14:textId="77DAC83D"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25 января 1942 г. поставлять заводу № 148 смотровые призмы в количестве, обеспечивающем установленную программу;</w:t>
      </w:r>
      <w:r w:rsidR="008127F8">
        <w:rPr>
          <w:rFonts w:ascii="Times New Roman" w:hAnsi="Times New Roman"/>
          <w:color w:val="000000" w:themeColor="text1"/>
          <w:sz w:val="16"/>
          <w:szCs w:val="16"/>
        </w:rPr>
        <w:t xml:space="preserve">  </w:t>
      </w:r>
    </w:p>
    <w:p w14:paraId="564BA051" w14:textId="10C521F3"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обеспечить ежемесячную поставку четыреххлористого углерода в количестве 9 тонн и бакелитового лака в количестве 15 тонн;</w:t>
      </w:r>
      <w:r w:rsidR="008127F8">
        <w:rPr>
          <w:rFonts w:ascii="Times New Roman" w:hAnsi="Times New Roman"/>
          <w:color w:val="000000" w:themeColor="text1"/>
          <w:sz w:val="16"/>
          <w:szCs w:val="16"/>
        </w:rPr>
        <w:t xml:space="preserve">  </w:t>
      </w:r>
    </w:p>
    <w:p w14:paraId="2E52280E" w14:textId="1C89AC39"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обеспечить до 1 марта 1942 г. поставку 50 тонн натриевой селитры и 50 тонн калиевой селитры равными количествами по декадам.</w:t>
      </w:r>
      <w:r w:rsidR="008127F8">
        <w:rPr>
          <w:rFonts w:ascii="Times New Roman" w:hAnsi="Times New Roman"/>
          <w:color w:val="000000" w:themeColor="text1"/>
          <w:sz w:val="16"/>
          <w:szCs w:val="16"/>
        </w:rPr>
        <w:t xml:space="preserve">  </w:t>
      </w:r>
    </w:p>
    <w:p w14:paraId="20D778C1" w14:textId="7BA890FF"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Розину и директору завода "Красное Сормово" т. Михалеву обеспечить безусловное выполнение обязательств Наркомхимпрома в полном соответствии с означенным решением ГКО.</w:t>
      </w:r>
      <w:r w:rsidR="008127F8">
        <w:rPr>
          <w:rFonts w:ascii="Times New Roman" w:hAnsi="Times New Roman"/>
          <w:color w:val="000000" w:themeColor="text1"/>
          <w:sz w:val="16"/>
          <w:szCs w:val="16"/>
        </w:rPr>
        <w:t xml:space="preserve">  </w:t>
      </w:r>
    </w:p>
    <w:p w14:paraId="05404B86" w14:textId="1212A53C"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Директору завода "Красное Сормово" тов. Михалеву учесть, что Наркомстройматериалов т. Соснин с 25 января 1942 г. обязан поставлять с Боровского стекольного завода натросодовое жидкое стекло в количестве 6 тонн в месяц и цветные стекла для электросварщиков по заявке завода "Красное Сормово".</w:t>
      </w:r>
      <w:r w:rsidR="008127F8">
        <w:rPr>
          <w:rFonts w:ascii="Times New Roman" w:hAnsi="Times New Roman"/>
          <w:color w:val="000000" w:themeColor="text1"/>
          <w:sz w:val="16"/>
          <w:szCs w:val="16"/>
        </w:rPr>
        <w:t xml:space="preserve">  </w:t>
      </w:r>
    </w:p>
    <w:p w14:paraId="0E9E0B21" w14:textId="37FB5CE4"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Начальнику Главснаба т. Розину и директору завода "Красное Сормово" т. Михалеву учесть, что означенным постановлением ГКО Наркомчермет т. Тевосян обязан:</w:t>
      </w:r>
      <w:r w:rsidR="008127F8">
        <w:rPr>
          <w:rFonts w:ascii="Times New Roman" w:hAnsi="Times New Roman"/>
          <w:color w:val="000000" w:themeColor="text1"/>
          <w:sz w:val="16"/>
          <w:szCs w:val="16"/>
        </w:rPr>
        <w:t xml:space="preserve">  </w:t>
      </w:r>
    </w:p>
    <w:p w14:paraId="601DB459" w14:textId="1DCD07D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 25 января 1942 г. поставлять с Горьковского завода им. Кагановича 300 тонн листовой стали ежемесячно по спецификации и из болванки завода "Красное Сормово";</w:t>
      </w:r>
      <w:r w:rsidR="008127F8">
        <w:rPr>
          <w:rFonts w:ascii="Times New Roman" w:hAnsi="Times New Roman"/>
          <w:color w:val="000000" w:themeColor="text1"/>
          <w:sz w:val="16"/>
          <w:szCs w:val="16"/>
        </w:rPr>
        <w:t xml:space="preserve">  </w:t>
      </w:r>
    </w:p>
    <w:p w14:paraId="6E9C9F7C" w14:textId="0344EB55"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выдачу фондов на прокат с завода "Красное Сормово" производить только в пределах государственного плана и свободной мощности станков, остающихся от покрытия потребности проката на производство танков Т-34 и Т-60;</w:t>
      </w:r>
      <w:r w:rsidR="008127F8">
        <w:rPr>
          <w:rFonts w:ascii="Times New Roman" w:hAnsi="Times New Roman"/>
          <w:color w:val="000000" w:themeColor="text1"/>
          <w:sz w:val="16"/>
          <w:szCs w:val="16"/>
        </w:rPr>
        <w:t xml:space="preserve">  </w:t>
      </w:r>
    </w:p>
    <w:p w14:paraId="099F3A22" w14:textId="7F6600D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обеспечить Ревдинский завод заготовкой для проката аустенитовой проволоки из расчета отгрузки проволоки заводу "Красное Сормово" 18 тонн в месяц;</w:t>
      </w:r>
      <w:r w:rsidR="008127F8">
        <w:rPr>
          <w:rFonts w:ascii="Times New Roman" w:hAnsi="Times New Roman"/>
          <w:color w:val="000000" w:themeColor="text1"/>
          <w:sz w:val="16"/>
          <w:szCs w:val="16"/>
        </w:rPr>
        <w:t xml:space="preserve">  </w:t>
      </w:r>
    </w:p>
    <w:p w14:paraId="3C85D4FC" w14:textId="65E2B579"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с 1 февраля 1942 г. обеспечить на заводе "Металлист" Горьковской области пересечку старых напильников по заявке завода "Красное Сормово".</w:t>
      </w:r>
      <w:r w:rsidR="008127F8">
        <w:rPr>
          <w:rFonts w:ascii="Times New Roman" w:hAnsi="Times New Roman"/>
          <w:color w:val="000000" w:themeColor="text1"/>
          <w:sz w:val="16"/>
          <w:szCs w:val="16"/>
        </w:rPr>
        <w:t xml:space="preserve">  </w:t>
      </w:r>
    </w:p>
    <w:p w14:paraId="7548AEF2" w14:textId="7CBF1CB2"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Розину и тов. Михалеву принять меры к обеспечению выполнения обязательств Наркомчермета в полном соответствии с означенным постановлением ГКО.</w:t>
      </w:r>
      <w:r w:rsidR="008127F8">
        <w:rPr>
          <w:rFonts w:ascii="Times New Roman" w:hAnsi="Times New Roman"/>
          <w:color w:val="000000" w:themeColor="text1"/>
          <w:sz w:val="16"/>
          <w:szCs w:val="16"/>
        </w:rPr>
        <w:t xml:space="preserve">  </w:t>
      </w:r>
    </w:p>
    <w:p w14:paraId="006C6D3C" w14:textId="474C0BAD"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Начальнику Главснаба т. Розину и директору завода № 112 т. Михалеву учесть, что означенным постановлением Наркомрезинпром т. Митрохин обязан:</w:t>
      </w:r>
      <w:r w:rsidR="008127F8">
        <w:rPr>
          <w:rFonts w:ascii="Times New Roman" w:hAnsi="Times New Roman"/>
          <w:color w:val="000000" w:themeColor="text1"/>
          <w:sz w:val="16"/>
          <w:szCs w:val="16"/>
        </w:rPr>
        <w:t xml:space="preserve">  </w:t>
      </w:r>
    </w:p>
    <w:p w14:paraId="5AA738E3" w14:textId="0F99C9E9"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 20 января 1942 г. обеспечить отгрузку резиновых изделий по спецификации завода "Красное Сормово" в объеме, обеспечивающем выполнение программы;</w:t>
      </w:r>
      <w:r w:rsidR="008127F8">
        <w:rPr>
          <w:rFonts w:ascii="Times New Roman" w:hAnsi="Times New Roman"/>
          <w:color w:val="000000" w:themeColor="text1"/>
          <w:sz w:val="16"/>
          <w:szCs w:val="16"/>
        </w:rPr>
        <w:t xml:space="preserve">  </w:t>
      </w:r>
    </w:p>
    <w:p w14:paraId="5C3E4F1B" w14:textId="4FAA6EC4"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изготовление дюритовых шлангов с отгрузкой заводу "Красное Сормово", начиная с января 1942 г., по 3000 метров и ленты ферадо в количестве 3000 метров в месяц.</w:t>
      </w:r>
      <w:r w:rsidR="008127F8">
        <w:rPr>
          <w:rFonts w:ascii="Times New Roman" w:hAnsi="Times New Roman"/>
          <w:color w:val="000000" w:themeColor="text1"/>
          <w:sz w:val="16"/>
          <w:szCs w:val="16"/>
        </w:rPr>
        <w:t xml:space="preserve">  </w:t>
      </w:r>
    </w:p>
    <w:p w14:paraId="5D6DA0AA" w14:textId="30742413"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Возложить изготовление прессформ для вулканизации катков танков Т-34 на завод "Красное Сормово".</w:t>
      </w:r>
      <w:r w:rsidR="008127F8">
        <w:rPr>
          <w:rFonts w:ascii="Times New Roman" w:hAnsi="Times New Roman"/>
          <w:color w:val="000000" w:themeColor="text1"/>
          <w:sz w:val="16"/>
          <w:szCs w:val="16"/>
        </w:rPr>
        <w:t xml:space="preserve">  </w:t>
      </w:r>
    </w:p>
    <w:p w14:paraId="51B97C23" w14:textId="673BB92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Розину и тов. Михалеву обеспечить реализацию обязательств Наркомрезинпрома в полном соответствии и в сроки, предусмотренные означенным решением ГКО.</w:t>
      </w:r>
      <w:r w:rsidR="008127F8">
        <w:rPr>
          <w:rFonts w:ascii="Times New Roman" w:hAnsi="Times New Roman"/>
          <w:color w:val="000000" w:themeColor="text1"/>
          <w:sz w:val="16"/>
          <w:szCs w:val="16"/>
        </w:rPr>
        <w:t xml:space="preserve">  </w:t>
      </w:r>
    </w:p>
    <w:p w14:paraId="53DC3783" w14:textId="6937CA49"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Начальнику 1 отдела тов. Степанову и начальнику Главснаба тов. Розину в однодневный срок представить мне на утверждение спецификацию шарикоподшипников, требующихся для танковой промышленности и выпускаемых в США, для завода на танковые заводы из США в соответствии с означенным решением ГКО.</w:t>
      </w:r>
      <w:r w:rsidR="008127F8">
        <w:rPr>
          <w:rFonts w:ascii="Times New Roman" w:hAnsi="Times New Roman"/>
          <w:color w:val="000000" w:themeColor="text1"/>
          <w:sz w:val="16"/>
          <w:szCs w:val="16"/>
        </w:rPr>
        <w:t xml:space="preserve">  </w:t>
      </w:r>
    </w:p>
    <w:p w14:paraId="424A6C8A" w14:textId="00F1F156"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Директору завода "Красное Сормово" т. Михалеву учесть, что означенным постановлением Наркомат Минометного Вооружения (т. Паршин) обязан обеспечить ежемесячно отливку на заводе "Двигатель Революции" в феврале 200 тонн и с марта по 300 тонн изложниц по спецификации завода "Красное Сормово".</w:t>
      </w:r>
      <w:r w:rsidR="008127F8">
        <w:rPr>
          <w:rFonts w:ascii="Times New Roman" w:hAnsi="Times New Roman"/>
          <w:color w:val="000000" w:themeColor="text1"/>
          <w:sz w:val="16"/>
          <w:szCs w:val="16"/>
        </w:rPr>
        <w:t xml:space="preserve">  </w:t>
      </w:r>
    </w:p>
    <w:p w14:paraId="3C32BCB4" w14:textId="696D749B"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Директору завода "Красное Сормово" т. Михалеву и начальнику Главснаба т. Розину учесть, что означенным постановлением:</w:t>
      </w:r>
      <w:r w:rsidR="008127F8">
        <w:rPr>
          <w:rFonts w:ascii="Times New Roman" w:hAnsi="Times New Roman"/>
          <w:color w:val="000000" w:themeColor="text1"/>
          <w:sz w:val="16"/>
          <w:szCs w:val="16"/>
        </w:rPr>
        <w:t xml:space="preserve">  </w:t>
      </w:r>
    </w:p>
    <w:p w14:paraId="017E25AD" w14:textId="7474B31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Госплан СССР (т. Кузнецов) и Наркомтяжмаш (т. Казаков) обязаны выделить до 15 февраля 1942 г. за счет демонтажа одну кислородную установку производительностью 100 кубометров в час;</w:t>
      </w:r>
      <w:r w:rsidR="008127F8">
        <w:rPr>
          <w:rFonts w:ascii="Times New Roman" w:hAnsi="Times New Roman"/>
          <w:color w:val="000000" w:themeColor="text1"/>
          <w:sz w:val="16"/>
          <w:szCs w:val="16"/>
        </w:rPr>
        <w:t xml:space="preserve">  </w:t>
      </w:r>
    </w:p>
    <w:p w14:paraId="5F7820FB" w14:textId="635961AC"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НКПС (т. Архангельский) обязан обеспечить поставку с Ковровского экскаваторного завода деталей стального литья 34-39-102-4, 34-35-07, 34-15-031, 34-12-006 в количестве 300 комплектов ежемесячно;</w:t>
      </w:r>
      <w:r w:rsidR="008127F8">
        <w:rPr>
          <w:rFonts w:ascii="Times New Roman" w:hAnsi="Times New Roman"/>
          <w:color w:val="000000" w:themeColor="text1"/>
          <w:sz w:val="16"/>
          <w:szCs w:val="16"/>
        </w:rPr>
        <w:t xml:space="preserve">  </w:t>
      </w:r>
    </w:p>
    <w:p w14:paraId="1E9633CC" w14:textId="10D6A8E3"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Главнефтесбыт (т. Донченко) обязан обеспечить до 1 февраля 1942 г. отгрузку 50 тонн авиамасел;</w:t>
      </w:r>
      <w:r w:rsidR="008127F8">
        <w:rPr>
          <w:rFonts w:ascii="Times New Roman" w:hAnsi="Times New Roman"/>
          <w:color w:val="000000" w:themeColor="text1"/>
          <w:sz w:val="16"/>
          <w:szCs w:val="16"/>
        </w:rPr>
        <w:t xml:space="preserve">  </w:t>
      </w:r>
    </w:p>
    <w:p w14:paraId="034DECA9" w14:textId="7712F92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Наркомавиапром (т. Шахурин) обязан немедленно выделить в распоряжение завода "Красное Сормово" 1 самолет типа "Дуглас".</w:t>
      </w:r>
      <w:r w:rsidR="008127F8">
        <w:rPr>
          <w:rFonts w:ascii="Times New Roman" w:hAnsi="Times New Roman"/>
          <w:color w:val="000000" w:themeColor="text1"/>
          <w:sz w:val="16"/>
          <w:szCs w:val="16"/>
        </w:rPr>
        <w:t xml:space="preserve">  </w:t>
      </w:r>
    </w:p>
    <w:p w14:paraId="5F7CB0D0" w14:textId="621A0AB8"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"Красное Сормово" т. Михалеву и начальнику Главснаба т. Розину принять немедленные меры к безусловному выполнению указанных обязательств в полном соответствии и в сроки, предусмотренные означенным решением ГКО.</w:t>
      </w:r>
      <w:r w:rsidR="008127F8">
        <w:rPr>
          <w:rFonts w:ascii="Times New Roman" w:hAnsi="Times New Roman"/>
          <w:color w:val="000000" w:themeColor="text1"/>
          <w:sz w:val="16"/>
          <w:szCs w:val="16"/>
        </w:rPr>
        <w:t xml:space="preserve">  </w:t>
      </w:r>
    </w:p>
    <w:p w14:paraId="4D97F5DA"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Директорам заводов: фрезерных станков – т. Рябову, "Станкопатрон" – т. Когосьяну, № 176 – т. Федотову, им. Компартии Франции – т. Козлову и № 112 т. Михалеву – весь задел, оснастку, приспособления и инструмент по танку Т-60 по наличию на 10 февраля с.г. отправить заводу № 38 (Коломенскому) в г. Киров.</w:t>
      </w:r>
    </w:p>
    <w:p w14:paraId="59BF9851" w14:textId="2EBAC0DC"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Начальнику 1 отдела Наркомтанкопрома т. Степанову, начальнику Главснаба т. Розину и директору завода "Красное Сормово" т. Михалеву учесть, что контроль за выполнением постановления Государственного Комитета Обороны за № 1174сс от 18 января 1942 г. "Об обеспечении на заводе "Красное Сормово" выпуска ежедневно 10 танков Т-34" возложен на Наркомат Государственного Контроля – т. Попова и Госплан СССР – т. Кузнецова.</w:t>
      </w:r>
      <w:r w:rsidR="008127F8">
        <w:rPr>
          <w:rFonts w:ascii="Times New Roman" w:hAnsi="Times New Roman"/>
          <w:color w:val="000000" w:themeColor="text1"/>
          <w:sz w:val="16"/>
          <w:szCs w:val="16"/>
        </w:rPr>
        <w:t xml:space="preserve">  </w:t>
      </w:r>
    </w:p>
    <w:p w14:paraId="26433963"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Моему Заместителю т. Носенко настоящий мой приказ взять под личный контроль и лиц, не принимающих оперативных и эффективных мер по оказанию помощи заводу "Красное Сормово" привлекать к суровой ответственности.</w:t>
      </w:r>
    </w:p>
    <w:p w14:paraId="7BFD5C42"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41C95340"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638BA114"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1941</w:t>
      </w:r>
    </w:p>
    <w:p w14:paraId="7EAF6C81" w14:textId="164A2DA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31 – 32</w:t>
      </w:r>
      <w:r w:rsidR="008127F8">
        <w:rPr>
          <w:rFonts w:ascii="Times New Roman" w:hAnsi="Times New Roman"/>
          <w:color w:val="000000" w:themeColor="text1"/>
          <w:sz w:val="16"/>
          <w:szCs w:val="16"/>
        </w:rPr>
        <w:t xml:space="preserve">  </w:t>
      </w:r>
    </w:p>
    <w:p w14:paraId="2AE294D0" w14:textId="4768D9BC"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1</w:t>
      </w:r>
      <w:r w:rsidR="008127F8">
        <w:rPr>
          <w:rFonts w:ascii="Times New Roman" w:hAnsi="Times New Roman"/>
          <w:color w:val="000000" w:themeColor="text1"/>
          <w:sz w:val="16"/>
          <w:szCs w:val="16"/>
        </w:rPr>
        <w:t xml:space="preserve">  </w:t>
      </w:r>
    </w:p>
    <w:p w14:paraId="5173C475" w14:textId="724A698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Наркомтанкопрома</w:t>
      </w:r>
      <w:r w:rsidR="008127F8">
        <w:rPr>
          <w:rFonts w:ascii="Times New Roman" w:hAnsi="Times New Roman"/>
          <w:color w:val="000000" w:themeColor="text1"/>
          <w:sz w:val="16"/>
          <w:szCs w:val="16"/>
        </w:rPr>
        <w:t xml:space="preserve">  </w:t>
      </w:r>
    </w:p>
    <w:p w14:paraId="61448EA0"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125-Мсс от 19 января 1942 г.</w:t>
      </w:r>
    </w:p>
    <w:p w14:paraId="1E206CF7"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w:t>
      </w:r>
    </w:p>
    <w:p w14:paraId="5D00F53A"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узлов и изделий по Т-34, поставляемых заводами:</w:t>
      </w:r>
    </w:p>
    <w:p w14:paraId="08CCA670" w14:textId="66E7CDB3"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фрезерных станков, "Станкопатрон", имени Компартии Франции, № 176 и "Электропривод" для завода № 112.</w:t>
      </w:r>
      <w:r w:rsidR="008127F8">
        <w:rPr>
          <w:rFonts w:ascii="Times New Roman" w:hAnsi="Times New Roman"/>
          <w:color w:val="000000" w:themeColor="text1"/>
          <w:sz w:val="16"/>
          <w:szCs w:val="16"/>
        </w:rPr>
        <w:t xml:space="preserve">  </w:t>
      </w:r>
    </w:p>
    <w:p w14:paraId="2E19CD89"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w:t>
      </w:r>
    </w:p>
    <w:p w14:paraId="2EEED91D" w14:textId="403E8761"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30</w:t>
      </w:r>
      <w:r w:rsidR="008127F8">
        <w:rPr>
          <w:rFonts w:ascii="Times New Roman" w:hAnsi="Times New Roman"/>
          <w:color w:val="000000" w:themeColor="text1"/>
          <w:sz w:val="16"/>
          <w:szCs w:val="16"/>
        </w:rPr>
        <w:t xml:space="preserve">  </w:t>
      </w:r>
    </w:p>
    <w:p w14:paraId="1C0BE6EF" w14:textId="5555CB05"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2</w:t>
      </w:r>
      <w:r w:rsidR="008127F8">
        <w:rPr>
          <w:rFonts w:ascii="Times New Roman" w:hAnsi="Times New Roman"/>
          <w:color w:val="000000" w:themeColor="text1"/>
          <w:sz w:val="16"/>
          <w:szCs w:val="16"/>
        </w:rPr>
        <w:t xml:space="preserve">  </w:t>
      </w:r>
    </w:p>
    <w:p w14:paraId="0FA7178C" w14:textId="3FCB996B"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Наркомтанкопрома</w:t>
      </w:r>
      <w:r w:rsidR="008127F8">
        <w:rPr>
          <w:rFonts w:ascii="Times New Roman" w:hAnsi="Times New Roman"/>
          <w:color w:val="000000" w:themeColor="text1"/>
          <w:sz w:val="16"/>
          <w:szCs w:val="16"/>
        </w:rPr>
        <w:t xml:space="preserve">  </w:t>
      </w:r>
    </w:p>
    <w:p w14:paraId="183F1C98"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125-Мсс от 19 января 1942 г.</w:t>
      </w:r>
    </w:p>
    <w:p w14:paraId="4838B8AD"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ВЕДОМОСТЬ</w:t>
      </w:r>
    </w:p>
    <w:p w14:paraId="4311AD4C" w14:textId="77777777" w:rsidR="00FC28F9" w:rsidRPr="008127F8" w:rsidRDefault="00FC28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металлорежущих станков, передаваемых с заводов Наркомтяжмаша заводу "Красное Сормово" (18238).</w:t>
      </w:r>
    </w:p>
    <w:p w14:paraId="18321E65" w14:textId="77777777" w:rsidR="00FC28F9" w:rsidRPr="008127F8" w:rsidRDefault="00FC28F9" w:rsidP="001E0A84">
      <w:pPr>
        <w:spacing w:after="0" w:line="240" w:lineRule="auto"/>
        <w:jc w:val="both"/>
        <w:rPr>
          <w:rFonts w:ascii="Times New Roman" w:hAnsi="Times New Roman"/>
          <w:color w:val="000000" w:themeColor="text1"/>
          <w:sz w:val="16"/>
          <w:szCs w:val="16"/>
        </w:rPr>
      </w:pPr>
    </w:p>
    <w:p w14:paraId="55C4BDB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 г. были подготовлены СООБРАЖЕНИЯ АБТУ ЗАПАДНОГО ФРОНТА В ОПЕРАТИВНЫЙ ОТДЕЛ ГЕНШТАБА КА ПО АБТВ, СОСТАВЛЕННЫЕ НА ОСНОВЕ ОПЫТА БОЕВЫХ ДЕЙСТВИЙ ТАНКОВЫХ ЧАСТЕЙ</w:t>
      </w:r>
    </w:p>
    <w:p w14:paraId="77AFEC9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обобщения опыта действий танковых частей зимой и использования его во всех частях Красной Армии представляю свои соображения, составленные на основе опыта боевых действий танковых частей Западного фронта.</w:t>
      </w:r>
    </w:p>
    <w:p w14:paraId="3313B9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Совершение марша к исходным позициям по шоссейным, проселочным дорогам и колонны</w:t>
      </w:r>
      <w:r w:rsidRPr="008127F8">
        <w:rPr>
          <w:rFonts w:ascii="Times New Roman" w:hAnsi="Times New Roman"/>
          <w:color w:val="000000" w:themeColor="text1"/>
          <w:sz w:val="16"/>
          <w:szCs w:val="16"/>
        </w:rPr>
        <w:softHyphen/>
        <w:t>ми путями. Преодоление снежного покрова различными марками танков. Возможности маневра вне дорог по проселочной местности.</w:t>
      </w:r>
    </w:p>
    <w:p w14:paraId="16BA14D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быстрейшего совершения марша, было бы целесообразно, танки всех марок двигать по шоссейным и проселочным дорогам. Однако, использование этих дорог не всегда возможно. Отхо</w:t>
      </w:r>
      <w:r w:rsidRPr="008127F8">
        <w:rPr>
          <w:rFonts w:ascii="Times New Roman" w:hAnsi="Times New Roman"/>
          <w:color w:val="000000" w:themeColor="text1"/>
          <w:sz w:val="16"/>
          <w:szCs w:val="16"/>
        </w:rPr>
        <w:softHyphen/>
        <w:t>дящий противник успевает закрыть некоторые участки дорог минами, кроме того, не все мосты, вследствие своей низкой грузоподъемности, допускают движение тяжелых танков.</w:t>
      </w:r>
    </w:p>
    <w:p w14:paraId="7BBEA5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этих обстоятельств, совершение марша по шоссейным и проселочным дорогам возмож</w:t>
      </w:r>
      <w:r w:rsidRPr="008127F8">
        <w:rPr>
          <w:rFonts w:ascii="Times New Roman" w:hAnsi="Times New Roman"/>
          <w:color w:val="000000" w:themeColor="text1"/>
          <w:sz w:val="16"/>
          <w:szCs w:val="16"/>
        </w:rPr>
        <w:softHyphen/>
        <w:t>но только тогда, когда марш совершается по территории, занятой своими войсками.</w:t>
      </w:r>
    </w:p>
    <w:p w14:paraId="5BD80D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тех случаях, когда танки двигаются в расположении противника, использование шоссейных и проселочных дорог ограничено, движение должно происходить по целине — колонными путями.</w:t>
      </w:r>
    </w:p>
    <w:p w14:paraId="0A8FBC2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движения без дорог необходимо:</w:t>
      </w:r>
    </w:p>
    <w:p w14:paraId="47329FE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тщательное изучение личным составом маршрута, не только по карте, но по возможности на местности, если позволяет время и обстановка;</w:t>
      </w:r>
    </w:p>
    <w:p w14:paraId="7C2E2CE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обязательная предварительная высылка саперов с миноискателями по предлагаемому маршруту;</w:t>
      </w:r>
    </w:p>
    <w:p w14:paraId="127E542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головные танки (направляющие) должны быть возглавлены тактически грамотным команди</w:t>
      </w:r>
      <w:r w:rsidRPr="008127F8">
        <w:rPr>
          <w:rFonts w:ascii="Times New Roman" w:hAnsi="Times New Roman"/>
          <w:color w:val="000000" w:themeColor="text1"/>
          <w:sz w:val="16"/>
          <w:szCs w:val="16"/>
        </w:rPr>
        <w:softHyphen/>
        <w:t>ром, могущим хорошо ориентироваться на местности;</w:t>
      </w:r>
    </w:p>
    <w:p w14:paraId="136FC7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мосты, перекрестки дорог, входы и выходы в населенные пункты, перед прохождением их должны быть подвергнуты тщательной разведке;</w:t>
      </w:r>
    </w:p>
    <w:p w14:paraId="425740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для обеспечения разведки в колонне, с каждым танком должно быть 2-3 пары лыж.</w:t>
      </w:r>
    </w:p>
    <w:p w14:paraId="2851317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танках Т-40, Т-60 при движении, снегом забрасывает смотровую щель в люке мехводителя, что заставляет вести машину с приоткрытыми люками, при этом мехводитель часто обмораживает себе лицо. Необходимо на этих машинах ставить защитное стекло в смотровом люке мехводителя.</w:t>
      </w:r>
    </w:p>
    <w:p w14:paraId="4DE324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преодолении снежного покрова хорошо показал себя танк Т-34. Преодолевая снежный покров в 0,5-0,6 метра, имеет при этом большую маневренность.</w:t>
      </w:r>
    </w:p>
    <w:p w14:paraId="1E0107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«КВ» преодолевает снежный покров 0,5-0,6 метра с трудом и,'как правило, садится в лощи</w:t>
      </w:r>
      <w:r w:rsidRPr="008127F8">
        <w:rPr>
          <w:rFonts w:ascii="Times New Roman" w:hAnsi="Times New Roman"/>
          <w:color w:val="000000" w:themeColor="text1"/>
          <w:sz w:val="16"/>
          <w:szCs w:val="16"/>
        </w:rPr>
        <w:softHyphen/>
        <w:t>нах, имеет очень низкую маневренность.</w:t>
      </w:r>
    </w:p>
    <w:p w14:paraId="287B8A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Т-40, Т-60 способен преодолевать снежный покров до 0,4 метра, но ввиду маломощности двигателя, имеет очень низкую маневренность, поэтому применение этих танков возможно только по набитым дорогам.</w:t>
      </w:r>
    </w:p>
    <w:p w14:paraId="26811B5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МК-2, МК-3 при отсутствии набитой гужевым транспортом дороги, при снежном покро</w:t>
      </w:r>
      <w:r w:rsidRPr="008127F8">
        <w:rPr>
          <w:rFonts w:ascii="Times New Roman" w:hAnsi="Times New Roman"/>
          <w:color w:val="000000" w:themeColor="text1"/>
          <w:sz w:val="16"/>
          <w:szCs w:val="16"/>
        </w:rPr>
        <w:softHyphen/>
        <w:t>ве в 40-45 см, с трудом пробивают себе дорогу, 'теряя при этом скорость. На ровной местности 5-6 км/час — скорость движения.</w:t>
      </w:r>
    </w:p>
    <w:p w14:paraId="42020FC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Способы доставки горючего, боеприпасов для танков, действующих в отрыве от шоссейных дорог:</w:t>
      </w:r>
    </w:p>
    <w:p w14:paraId="642409D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 наличии проселочных дорог со снежным покровом в 15-20 см автомашинами ЗИС-32 или ГАЗ-АА с цепями или шпорами;</w:t>
      </w:r>
    </w:p>
    <w:p w14:paraId="559AD1C0" w14:textId="77777777" w:rsidR="00D4651C" w:rsidRPr="008127F8" w:rsidRDefault="00D4651C" w:rsidP="001E0A84">
      <w:pPr>
        <w:pStyle w:val="afff5"/>
        <w:jc w:val="both"/>
        <w:rPr>
          <w:i w:val="0"/>
          <w:color w:val="000000" w:themeColor="text1"/>
          <w:spacing w:val="0"/>
          <w:position w:val="0"/>
          <w:sz w:val="16"/>
          <w:szCs w:val="16"/>
        </w:rPr>
      </w:pPr>
      <w:r w:rsidRPr="008127F8">
        <w:rPr>
          <w:i w:val="0"/>
          <w:iCs w:val="0"/>
          <w:color w:val="000000" w:themeColor="text1"/>
          <w:spacing w:val="0"/>
          <w:position w:val="0"/>
          <w:sz w:val="16"/>
          <w:szCs w:val="16"/>
        </w:rPr>
        <w:t>б) лучшим способом доставки горючего и боеприпасов является подача тракторами и самый на</w:t>
      </w:r>
      <w:r w:rsidRPr="008127F8">
        <w:rPr>
          <w:i w:val="0"/>
          <w:iCs w:val="0"/>
          <w:color w:val="000000" w:themeColor="text1"/>
          <w:spacing w:val="0"/>
          <w:position w:val="0"/>
          <w:sz w:val="16"/>
          <w:szCs w:val="16"/>
        </w:rPr>
        <w:softHyphen/>
        <w:t>дежный и верный способ гужевым транспортом (на батальон необходимо иметь минимум 5 саней), что в большинстве тбр сейчас применяют.</w:t>
      </w:r>
    </w:p>
    <w:p w14:paraId="2F6D9F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Сосредоточение танков на исходных позициях и способы поддержания различных марок тан</w:t>
      </w:r>
      <w:r w:rsidRPr="008127F8">
        <w:rPr>
          <w:rFonts w:ascii="Times New Roman" w:hAnsi="Times New Roman"/>
          <w:color w:val="000000" w:themeColor="text1"/>
          <w:sz w:val="16"/>
          <w:szCs w:val="16"/>
        </w:rPr>
        <w:softHyphen/>
        <w:t>ков в постоянной боеготовности.</w:t>
      </w:r>
    </w:p>
    <w:p w14:paraId="1B916DA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Работа мотора танка для его прогрева своим шумом сильно демаскирует местонахождение тан</w:t>
      </w:r>
      <w:r w:rsidRPr="008127F8">
        <w:rPr>
          <w:rFonts w:ascii="Times New Roman" w:hAnsi="Times New Roman"/>
          <w:color w:val="000000" w:themeColor="text1"/>
          <w:sz w:val="16"/>
          <w:szCs w:val="16"/>
        </w:rPr>
        <w:softHyphen/>
        <w:t>ков, что может привести к ненужным потерям и потере внезапности. Так как без прогрева танков на исходной позиции не обойтись, то целесообразнее танкам выходить на исходные позиции за 1-1,5 часа до атаки, это исключает необходимость подогрева танков.</w:t>
      </w:r>
    </w:p>
    <w:p w14:paraId="35297AA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Экипажи малых танков могут находиться в машинах, так как в них тепло. Экипажи средних и тя</w:t>
      </w:r>
      <w:r w:rsidRPr="008127F8">
        <w:rPr>
          <w:rFonts w:ascii="Times New Roman" w:hAnsi="Times New Roman"/>
          <w:color w:val="000000" w:themeColor="text1"/>
          <w:sz w:val="16"/>
          <w:szCs w:val="16"/>
        </w:rPr>
        <w:softHyphen/>
        <w:t>желых танков необходимо согревать.</w:t>
      </w:r>
    </w:p>
    <w:p w14:paraId="135386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Преодоление снежного покрова в лесах по просекам и лесным дорогам с указанием толщины снежного покрова.</w:t>
      </w:r>
    </w:p>
    <w:p w14:paraId="064A86B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Снежный покров в лесных массивах значительно меньше, чем на открытой местности, пример</w:t>
      </w:r>
      <w:r w:rsidRPr="008127F8">
        <w:rPr>
          <w:rFonts w:ascii="Times New Roman" w:hAnsi="Times New Roman"/>
          <w:color w:val="000000" w:themeColor="text1"/>
          <w:sz w:val="16"/>
          <w:szCs w:val="16"/>
        </w:rPr>
        <w:softHyphen/>
        <w:t>но на 15-20 см, так как лес является естественной защитой от снежных заносов, следовательно, если снежный покров 80-90 см на открытой местности исключает возможность движения танка, то в ле</w:t>
      </w:r>
      <w:r w:rsidRPr="008127F8">
        <w:rPr>
          <w:rFonts w:ascii="Times New Roman" w:hAnsi="Times New Roman"/>
          <w:color w:val="000000" w:themeColor="text1"/>
          <w:sz w:val="16"/>
          <w:szCs w:val="16"/>
        </w:rPr>
        <w:softHyphen/>
        <w:t>су танк может совершать движение.</w:t>
      </w:r>
    </w:p>
    <w:p w14:paraId="741E630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Преодоление снежного покрова танками различных марок: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418"/>
        <w:gridCol w:w="1559"/>
        <w:gridCol w:w="2551"/>
      </w:tblGrid>
      <w:tr w:rsidR="006F4095" w:rsidRPr="008127F8" w14:paraId="1FEBF7E8" w14:textId="77777777">
        <w:tc>
          <w:tcPr>
            <w:tcW w:w="817" w:type="dxa"/>
            <w:tcBorders>
              <w:top w:val="single" w:sz="12" w:space="0" w:color="auto"/>
            </w:tcBorders>
            <w:shd w:val="clear" w:color="auto" w:fill="FFFFFF"/>
          </w:tcPr>
          <w:p w14:paraId="4CCA1A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w:t>
            </w:r>
          </w:p>
        </w:tc>
        <w:tc>
          <w:tcPr>
            <w:tcW w:w="1418" w:type="dxa"/>
            <w:tcBorders>
              <w:top w:val="single" w:sz="12" w:space="0" w:color="auto"/>
            </w:tcBorders>
            <w:shd w:val="clear" w:color="auto" w:fill="FFFFFF"/>
          </w:tcPr>
          <w:p w14:paraId="005CE1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60-70 см</w:t>
            </w:r>
          </w:p>
        </w:tc>
        <w:tc>
          <w:tcPr>
            <w:tcW w:w="1559" w:type="dxa"/>
            <w:tcBorders>
              <w:top w:val="single" w:sz="12" w:space="0" w:color="auto"/>
            </w:tcBorders>
            <w:shd w:val="clear" w:color="auto" w:fill="FFFFFF"/>
          </w:tcPr>
          <w:p w14:paraId="063D77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МК-2</w:t>
            </w:r>
          </w:p>
        </w:tc>
        <w:tc>
          <w:tcPr>
            <w:tcW w:w="2551" w:type="dxa"/>
            <w:tcBorders>
              <w:top w:val="single" w:sz="12" w:space="0" w:color="auto"/>
            </w:tcBorders>
            <w:shd w:val="clear" w:color="auto" w:fill="FFFFFF"/>
          </w:tcPr>
          <w:p w14:paraId="7F2DED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35 см</w:t>
            </w:r>
          </w:p>
        </w:tc>
      </w:tr>
      <w:tr w:rsidR="006F4095" w:rsidRPr="008127F8" w14:paraId="65074C71" w14:textId="77777777">
        <w:tc>
          <w:tcPr>
            <w:tcW w:w="817" w:type="dxa"/>
            <w:shd w:val="clear" w:color="auto" w:fill="FFFFFF"/>
          </w:tcPr>
          <w:p w14:paraId="3A924D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w:t>
            </w:r>
          </w:p>
        </w:tc>
        <w:tc>
          <w:tcPr>
            <w:tcW w:w="1418" w:type="dxa"/>
            <w:shd w:val="clear" w:color="auto" w:fill="FFFFFF"/>
          </w:tcPr>
          <w:p w14:paraId="19B160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70 см</w:t>
            </w:r>
          </w:p>
        </w:tc>
        <w:tc>
          <w:tcPr>
            <w:tcW w:w="1559" w:type="dxa"/>
            <w:shd w:val="clear" w:color="auto" w:fill="FFFFFF"/>
          </w:tcPr>
          <w:p w14:paraId="44C0E2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МК-3</w:t>
            </w:r>
          </w:p>
        </w:tc>
        <w:tc>
          <w:tcPr>
            <w:tcW w:w="2551" w:type="dxa"/>
            <w:shd w:val="clear" w:color="auto" w:fill="FFFFFF"/>
          </w:tcPr>
          <w:p w14:paraId="36B551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40 см</w:t>
            </w:r>
          </w:p>
        </w:tc>
      </w:tr>
      <w:tr w:rsidR="006F4095" w:rsidRPr="008127F8" w14:paraId="6522A6A6" w14:textId="77777777">
        <w:tc>
          <w:tcPr>
            <w:tcW w:w="817" w:type="dxa"/>
            <w:shd w:val="clear" w:color="auto" w:fill="FFFFFF"/>
          </w:tcPr>
          <w:p w14:paraId="640C75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Т-60</w:t>
            </w:r>
          </w:p>
        </w:tc>
        <w:tc>
          <w:tcPr>
            <w:tcW w:w="1418" w:type="dxa"/>
            <w:shd w:val="clear" w:color="auto" w:fill="FFFFFF"/>
          </w:tcPr>
          <w:p w14:paraId="4CFCD42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35 см</w:t>
            </w:r>
          </w:p>
        </w:tc>
        <w:tc>
          <w:tcPr>
            <w:tcW w:w="1559" w:type="dxa"/>
            <w:shd w:val="clear" w:color="auto" w:fill="FFFFFF"/>
          </w:tcPr>
          <w:p w14:paraId="1A64ADF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Трактора СТ-2</w:t>
            </w:r>
          </w:p>
        </w:tc>
        <w:tc>
          <w:tcPr>
            <w:tcW w:w="2551" w:type="dxa"/>
            <w:shd w:val="clear" w:color="auto" w:fill="FFFFFF"/>
          </w:tcPr>
          <w:p w14:paraId="2371F0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15-20 см</w:t>
            </w:r>
          </w:p>
        </w:tc>
      </w:tr>
      <w:tr w:rsidR="006F4095" w:rsidRPr="008127F8" w14:paraId="55E6E41E" w14:textId="77777777">
        <w:tc>
          <w:tcPr>
            <w:tcW w:w="817" w:type="dxa"/>
            <w:shd w:val="clear" w:color="auto" w:fill="FFFFFF"/>
          </w:tcPr>
          <w:p w14:paraId="7D6008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Т-40</w:t>
            </w:r>
          </w:p>
        </w:tc>
        <w:tc>
          <w:tcPr>
            <w:tcW w:w="1418" w:type="dxa"/>
            <w:shd w:val="clear" w:color="auto" w:fill="FFFFFF"/>
          </w:tcPr>
          <w:p w14:paraId="683684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35 см</w:t>
            </w:r>
          </w:p>
        </w:tc>
        <w:tc>
          <w:tcPr>
            <w:tcW w:w="1559" w:type="dxa"/>
            <w:shd w:val="clear" w:color="auto" w:fill="FFFFFF"/>
          </w:tcPr>
          <w:p w14:paraId="0E7FBE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 ГАЗ-АА</w:t>
            </w:r>
          </w:p>
        </w:tc>
        <w:tc>
          <w:tcPr>
            <w:tcW w:w="2551" w:type="dxa"/>
            <w:shd w:val="clear" w:color="auto" w:fill="FFFFFF"/>
          </w:tcPr>
          <w:p w14:paraId="55B32D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10-15 см с цепями до 20 см</w:t>
            </w:r>
          </w:p>
        </w:tc>
      </w:tr>
      <w:tr w:rsidR="006F4095" w:rsidRPr="008127F8" w14:paraId="74561198" w14:textId="77777777">
        <w:tc>
          <w:tcPr>
            <w:tcW w:w="817" w:type="dxa"/>
            <w:tcBorders>
              <w:bottom w:val="single" w:sz="12" w:space="0" w:color="auto"/>
            </w:tcBorders>
            <w:shd w:val="clear" w:color="auto" w:fill="FFFFFF"/>
          </w:tcPr>
          <w:p w14:paraId="15CA3C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БТ-7</w:t>
            </w:r>
          </w:p>
        </w:tc>
        <w:tc>
          <w:tcPr>
            <w:tcW w:w="1418" w:type="dxa"/>
            <w:tcBorders>
              <w:bottom w:val="single" w:sz="12" w:space="0" w:color="auto"/>
            </w:tcBorders>
            <w:shd w:val="clear" w:color="auto" w:fill="FFFFFF"/>
          </w:tcPr>
          <w:p w14:paraId="0A8764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50 см</w:t>
            </w:r>
          </w:p>
        </w:tc>
        <w:tc>
          <w:tcPr>
            <w:tcW w:w="1559" w:type="dxa"/>
            <w:tcBorders>
              <w:bottom w:val="single" w:sz="12" w:space="0" w:color="auto"/>
            </w:tcBorders>
            <w:shd w:val="clear" w:color="auto" w:fill="FFFFFF"/>
          </w:tcPr>
          <w:p w14:paraId="073250FC"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2551" w:type="dxa"/>
            <w:tcBorders>
              <w:bottom w:val="single" w:sz="12" w:space="0" w:color="auto"/>
            </w:tcBorders>
            <w:shd w:val="clear" w:color="auto" w:fill="FFFFFF"/>
          </w:tcPr>
          <w:p w14:paraId="30597E7B"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bl>
    <w:p w14:paraId="24EDD70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Преодоление водных преград по льду с указанием толщины и примененных способов усиле</w:t>
      </w:r>
      <w:r w:rsidRPr="008127F8">
        <w:rPr>
          <w:rFonts w:ascii="Times New Roman" w:hAnsi="Times New Roman"/>
          <w:color w:val="000000" w:themeColor="text1"/>
          <w:sz w:val="16"/>
          <w:szCs w:val="16"/>
        </w:rPr>
        <w:softHyphen/>
        <w:t>ния льда.</w:t>
      </w:r>
    </w:p>
    <w:p w14:paraId="535FD7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Необходимым условием при форсировании водных рубежей является тщательная разведка пе</w:t>
      </w:r>
      <w:r w:rsidRPr="008127F8">
        <w:rPr>
          <w:rFonts w:ascii="Times New Roman" w:hAnsi="Times New Roman"/>
          <w:color w:val="000000" w:themeColor="text1"/>
          <w:sz w:val="16"/>
          <w:szCs w:val="16"/>
        </w:rPr>
        <w:softHyphen/>
        <w:t>реправы, и главное внимание должно быть обращено на пути подхода и выхода на противополож</w:t>
      </w:r>
      <w:r w:rsidRPr="008127F8">
        <w:rPr>
          <w:rFonts w:ascii="Times New Roman" w:hAnsi="Times New Roman"/>
          <w:color w:val="000000" w:themeColor="text1"/>
          <w:sz w:val="16"/>
          <w:szCs w:val="16"/>
        </w:rPr>
        <w:softHyphen/>
        <w:t>ный берег, толщину льда. Наиболее опасными местами являются места входа и выхода танка на лед. Берега в местах переправ должны быть отлогими. При спуске танка на лед надо избегать клевков танка.</w:t>
      </w:r>
    </w:p>
    <w:p w14:paraId="1EE1EC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Способы усиления льда являются следующие: настил из подручного материала, деревянные щи</w:t>
      </w:r>
      <w:r w:rsidRPr="008127F8">
        <w:rPr>
          <w:rFonts w:ascii="Times New Roman" w:hAnsi="Times New Roman"/>
          <w:color w:val="000000" w:themeColor="text1"/>
          <w:sz w:val="16"/>
          <w:szCs w:val="16"/>
        </w:rPr>
        <w:softHyphen/>
        <w:t>ты (ворота), лес толщиной 25-30 см, намораживание льда вместе с хворостом. Переправлять танки необходимо на малом газу и на одной передаче. Малые танки следует пропускать вперед. На пере</w:t>
      </w:r>
      <w:r w:rsidRPr="008127F8">
        <w:rPr>
          <w:rFonts w:ascii="Times New Roman" w:hAnsi="Times New Roman"/>
          <w:color w:val="000000" w:themeColor="text1"/>
          <w:sz w:val="16"/>
          <w:szCs w:val="16"/>
        </w:rPr>
        <w:softHyphen/>
        <w:t>правах надо иметь трактор с тросом.</w:t>
      </w:r>
    </w:p>
    <w:p w14:paraId="5C36FC1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Водная преграда при толщине льда проходима для: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418"/>
        <w:gridCol w:w="1559"/>
        <w:gridCol w:w="2551"/>
      </w:tblGrid>
      <w:tr w:rsidR="006F4095" w:rsidRPr="008127F8" w14:paraId="78486898" w14:textId="77777777">
        <w:tc>
          <w:tcPr>
            <w:tcW w:w="817" w:type="dxa"/>
            <w:tcBorders>
              <w:top w:val="single" w:sz="12" w:space="0" w:color="auto"/>
            </w:tcBorders>
            <w:shd w:val="clear" w:color="auto" w:fill="FFFFFF"/>
          </w:tcPr>
          <w:p w14:paraId="4472D6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w:t>
            </w:r>
          </w:p>
        </w:tc>
        <w:tc>
          <w:tcPr>
            <w:tcW w:w="1418" w:type="dxa"/>
            <w:tcBorders>
              <w:top w:val="single" w:sz="12" w:space="0" w:color="auto"/>
            </w:tcBorders>
            <w:shd w:val="clear" w:color="auto" w:fill="FFFFFF"/>
          </w:tcPr>
          <w:p w14:paraId="0498F1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80-100 см</w:t>
            </w:r>
          </w:p>
        </w:tc>
        <w:tc>
          <w:tcPr>
            <w:tcW w:w="1559" w:type="dxa"/>
            <w:tcBorders>
              <w:top w:val="single" w:sz="12" w:space="0" w:color="auto"/>
            </w:tcBorders>
            <w:shd w:val="clear" w:color="auto" w:fill="FFFFFF"/>
          </w:tcPr>
          <w:p w14:paraId="7A63AD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Т-60</w:t>
            </w:r>
          </w:p>
        </w:tc>
        <w:tc>
          <w:tcPr>
            <w:tcW w:w="2551" w:type="dxa"/>
            <w:tcBorders>
              <w:top w:val="single" w:sz="12" w:space="0" w:color="auto"/>
            </w:tcBorders>
            <w:shd w:val="clear" w:color="auto" w:fill="FFFFFF"/>
          </w:tcPr>
          <w:p w14:paraId="5CF684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30 см</w:t>
            </w:r>
          </w:p>
        </w:tc>
      </w:tr>
      <w:tr w:rsidR="006F4095" w:rsidRPr="008127F8" w14:paraId="504FF110" w14:textId="77777777">
        <w:tc>
          <w:tcPr>
            <w:tcW w:w="817" w:type="dxa"/>
            <w:tcBorders>
              <w:bottom w:val="single" w:sz="12" w:space="0" w:color="auto"/>
            </w:tcBorders>
            <w:shd w:val="clear" w:color="auto" w:fill="FFFFFF"/>
          </w:tcPr>
          <w:p w14:paraId="0CE178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w:t>
            </w:r>
          </w:p>
        </w:tc>
        <w:tc>
          <w:tcPr>
            <w:tcW w:w="1418" w:type="dxa"/>
            <w:tcBorders>
              <w:bottom w:val="single" w:sz="12" w:space="0" w:color="auto"/>
            </w:tcBorders>
            <w:shd w:val="clear" w:color="auto" w:fill="FFFFFF"/>
          </w:tcPr>
          <w:p w14:paraId="40E0FB1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60 см</w:t>
            </w:r>
          </w:p>
        </w:tc>
        <w:tc>
          <w:tcPr>
            <w:tcW w:w="1559" w:type="dxa"/>
            <w:tcBorders>
              <w:bottom w:val="single" w:sz="12" w:space="0" w:color="auto"/>
            </w:tcBorders>
            <w:shd w:val="clear" w:color="auto" w:fill="FFFFFF"/>
          </w:tcPr>
          <w:p w14:paraId="120D8F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МК-3</w:t>
            </w:r>
          </w:p>
        </w:tc>
        <w:tc>
          <w:tcPr>
            <w:tcW w:w="2551" w:type="dxa"/>
            <w:tcBorders>
              <w:bottom w:val="single" w:sz="12" w:space="0" w:color="auto"/>
            </w:tcBorders>
            <w:shd w:val="clear" w:color="auto" w:fill="FFFFFF"/>
          </w:tcPr>
          <w:p w14:paraId="2D527B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40 см</w:t>
            </w:r>
          </w:p>
        </w:tc>
      </w:tr>
    </w:tbl>
    <w:p w14:paraId="25DFDB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Способы преодоления танками минных полей — заграждений.</w:t>
      </w:r>
    </w:p>
    <w:p w14:paraId="17EE5A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на танках, которым предстоит преодолевание минных заграждений иметь саперов с миноискателями, обязанностью которых является разминировать маршрут и провесить его, а пос</w:t>
      </w:r>
      <w:r w:rsidRPr="008127F8">
        <w:rPr>
          <w:rFonts w:ascii="Times New Roman" w:hAnsi="Times New Roman"/>
          <w:color w:val="000000" w:themeColor="text1"/>
          <w:sz w:val="16"/>
          <w:szCs w:val="16"/>
        </w:rPr>
        <w:softHyphen/>
        <w:t>ледующим экипажам — строго придерживаться колеи впереди идущей машины. На каждый танко</w:t>
      </w:r>
      <w:r w:rsidRPr="008127F8">
        <w:rPr>
          <w:rFonts w:ascii="Times New Roman" w:hAnsi="Times New Roman"/>
          <w:color w:val="000000" w:themeColor="text1"/>
          <w:sz w:val="16"/>
          <w:szCs w:val="16"/>
        </w:rPr>
        <w:softHyphen/>
        <w:t>вый батальон необходимо иметь 3-5 миноискателей. Недостатком в работе миноискателей является — отказ в работе при температуре минус 20° С.</w:t>
      </w:r>
    </w:p>
    <w:p w14:paraId="2E25999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Состояние экипажей при сильных морозах и длительном пребывании вне землянок и насе</w:t>
      </w:r>
      <w:r w:rsidRPr="008127F8">
        <w:rPr>
          <w:rFonts w:ascii="Times New Roman" w:hAnsi="Times New Roman"/>
          <w:color w:val="000000" w:themeColor="text1"/>
          <w:sz w:val="16"/>
          <w:szCs w:val="16"/>
        </w:rPr>
        <w:softHyphen/>
        <w:t>ленных пунктов. Способы обогрева личного состава.</w:t>
      </w:r>
    </w:p>
    <w:p w14:paraId="73811A9A"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При необходимости обогрева экипажа, если позволяет обстановка, первое — у костра. Если же обстановка не позволяет, то делаются [шалаши] из ветвей, где разводится костер или топится желез</w:t>
      </w:r>
      <w:r w:rsidRPr="008127F8">
        <w:rPr>
          <w:i w:val="0"/>
          <w:iCs w:val="0"/>
          <w:color w:val="000000" w:themeColor="text1"/>
          <w:spacing w:val="0"/>
          <w:position w:val="0"/>
          <w:sz w:val="16"/>
          <w:szCs w:val="16"/>
        </w:rPr>
        <w:softHyphen/>
        <w:t>ная печь небольших размеров возимая на машинах. Необходимо экипажам больших и средних ма</w:t>
      </w:r>
      <w:r w:rsidRPr="008127F8">
        <w:rPr>
          <w:i w:val="0"/>
          <w:iCs w:val="0"/>
          <w:color w:val="000000" w:themeColor="text1"/>
          <w:spacing w:val="0"/>
          <w:position w:val="0"/>
          <w:sz w:val="16"/>
          <w:szCs w:val="16"/>
        </w:rPr>
        <w:softHyphen/>
        <w:t>шин выдать химические грелки. При длительных стоянках необходимо рыть землянки или подгота</w:t>
      </w:r>
      <w:r w:rsidRPr="008127F8">
        <w:rPr>
          <w:i w:val="0"/>
          <w:iCs w:val="0"/>
          <w:color w:val="000000" w:themeColor="text1"/>
          <w:spacing w:val="0"/>
          <w:position w:val="0"/>
          <w:sz w:val="16"/>
          <w:szCs w:val="16"/>
        </w:rPr>
        <w:softHyphen/>
        <w:t>вливать под клиренсом танка место с углублением для размещения экипажа, настлав хвои, а сбоку и сзади накрыть танк брезентом, имея при этом танковые обогреватели. Категорически запретить экипажам танков обогреваться выхлопными газами, имеют место случаи угаров и прожигания верх</w:t>
      </w:r>
      <w:r w:rsidRPr="008127F8">
        <w:rPr>
          <w:i w:val="0"/>
          <w:iCs w:val="0"/>
          <w:color w:val="000000" w:themeColor="text1"/>
          <w:spacing w:val="0"/>
          <w:position w:val="0"/>
          <w:sz w:val="16"/>
          <w:szCs w:val="16"/>
        </w:rPr>
        <w:softHyphen/>
        <w:t>него платья.</w:t>
      </w:r>
    </w:p>
    <w:p w14:paraId="3AE6785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Подготовка оружия к бою на новых марках танков, действие его при сильных морозах:</w:t>
      </w:r>
    </w:p>
    <w:p w14:paraId="36A4495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тщательная чистка, удаление густой смазки;</w:t>
      </w:r>
    </w:p>
    <w:p w14:paraId="579EB2B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смазывать жидкими сортами </w:t>
      </w:r>
      <w:proofErr w:type="gramStart"/>
      <w:r w:rsidRPr="008127F8">
        <w:rPr>
          <w:rFonts w:ascii="Times New Roman" w:hAnsi="Times New Roman"/>
          <w:color w:val="000000" w:themeColor="text1"/>
          <w:sz w:val="16"/>
          <w:szCs w:val="16"/>
        </w:rPr>
        <w:t>масел</w:t>
      </w:r>
      <w:proofErr w:type="gramEnd"/>
      <w:r w:rsidRPr="008127F8">
        <w:rPr>
          <w:rFonts w:ascii="Times New Roman" w:hAnsi="Times New Roman"/>
          <w:color w:val="000000" w:themeColor="text1"/>
          <w:sz w:val="16"/>
          <w:szCs w:val="16"/>
        </w:rPr>
        <w:t xml:space="preserve"> не сгущающимися при низких температурах;</w:t>
      </w:r>
    </w:p>
    <w:p w14:paraId="7E3A4EE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периодическая проверка по возможности выстрелом;</w:t>
      </w:r>
    </w:p>
    <w:p w14:paraId="1DF2A20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обращать особое внимание на правильность снаряжения лент;</w:t>
      </w:r>
    </w:p>
    <w:p w14:paraId="003ECEC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следить, чтобы в ленту не попал мятый патрон, лента не должна иметь помятых звеньев;</w:t>
      </w:r>
    </w:p>
    <w:p w14:paraId="048F28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стрельбу из пушки «Швак» во избежание задержек, следует вести короткими очередями 2-3 выстрела;</w:t>
      </w:r>
    </w:p>
    <w:p w14:paraId="030F5E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при стрельбе из танкового пулемета машин Т-40, Т-60 желательно иметь на маске с правой стороны поддерживающий щиточный ролик для направления ленты, что значительно сократит за</w:t>
      </w:r>
      <w:r w:rsidRPr="008127F8">
        <w:rPr>
          <w:rFonts w:ascii="Times New Roman" w:hAnsi="Times New Roman"/>
          <w:color w:val="000000" w:themeColor="text1"/>
          <w:sz w:val="16"/>
          <w:szCs w:val="16"/>
        </w:rPr>
        <w:softHyphen/>
        <w:t>держки.</w:t>
      </w:r>
    </w:p>
    <w:p w14:paraId="7FB5C2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Особенности действия танков противника в зимних условиях:</w:t>
      </w:r>
    </w:p>
    <w:p w14:paraId="7AFFB0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применение мелкими группами по 5-10 танков в основном по дорогам;</w:t>
      </w:r>
    </w:p>
    <w:p w14:paraId="3E2C840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для боевых действий противник избегает лесные массивы;</w:t>
      </w:r>
    </w:p>
    <w:p w14:paraId="4CD2B98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краткость действия после короткого броска вперед, немецкие танки немедленно отходят в ук</w:t>
      </w:r>
      <w:r w:rsidRPr="008127F8">
        <w:rPr>
          <w:rFonts w:ascii="Times New Roman" w:hAnsi="Times New Roman"/>
          <w:color w:val="000000" w:themeColor="text1"/>
          <w:sz w:val="16"/>
          <w:szCs w:val="16"/>
        </w:rPr>
        <w:softHyphen/>
        <w:t>рытия за свою пехоту;</w:t>
      </w:r>
    </w:p>
    <w:p w14:paraId="4B23F22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тенденция использования танков на месте как огневую точку;</w:t>
      </w:r>
    </w:p>
    <w:p w14:paraId="3D0D2C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отмечается неустойчивость танковых экипажей противника, при первой вынужденной оста</w:t>
      </w:r>
      <w:r w:rsidRPr="008127F8">
        <w:rPr>
          <w:rFonts w:ascii="Times New Roman" w:hAnsi="Times New Roman"/>
          <w:color w:val="000000" w:themeColor="text1"/>
          <w:sz w:val="16"/>
          <w:szCs w:val="16"/>
        </w:rPr>
        <w:softHyphen/>
        <w:t>новке фашистские танкисты покидают машину и уходят.</w:t>
      </w:r>
    </w:p>
    <w:p w14:paraId="3D660B5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Наши тактические приемы при наступлении танков, вызванные особенностями действий противника зимой.</w:t>
      </w:r>
    </w:p>
    <w:p w14:paraId="0ECE5F9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Обследование немецких позиций показывает, что противотанковые средства притянуты к пе</w:t>
      </w:r>
      <w:r w:rsidRPr="008127F8">
        <w:rPr>
          <w:rFonts w:ascii="Times New Roman" w:hAnsi="Times New Roman"/>
          <w:color w:val="000000" w:themeColor="text1"/>
          <w:sz w:val="16"/>
          <w:szCs w:val="16"/>
        </w:rPr>
        <w:softHyphen/>
        <w:t>реднему краю и располагаются на глубине не далее 300-800 метров. В этой полосе противотанковой обороны сосредоточиваются орудия всех калибров и специальные зенитные 90 мм.</w:t>
      </w:r>
    </w:p>
    <w:p w14:paraId="1E35691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изложенных причин, наиболее рентабельной танковой атакой является атака из-за флан</w:t>
      </w:r>
      <w:r w:rsidRPr="008127F8">
        <w:rPr>
          <w:rFonts w:ascii="Times New Roman" w:hAnsi="Times New Roman"/>
          <w:color w:val="000000" w:themeColor="text1"/>
          <w:sz w:val="16"/>
          <w:szCs w:val="16"/>
        </w:rPr>
        <w:softHyphen/>
        <w:t>га узла сопротивления или с тыла. Организация танковых засад на путях отхода противника, для ус</w:t>
      </w:r>
      <w:r w:rsidRPr="008127F8">
        <w:rPr>
          <w:rFonts w:ascii="Times New Roman" w:hAnsi="Times New Roman"/>
          <w:color w:val="000000" w:themeColor="text1"/>
          <w:sz w:val="16"/>
          <w:szCs w:val="16"/>
        </w:rPr>
        <w:softHyphen/>
        <w:t>пешного выполнения такой атаки необходимо:</w:t>
      </w:r>
    </w:p>
    <w:p w14:paraId="020E47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тщательная разведка противотанковой системы обороны противника, особенно по установле</w:t>
      </w:r>
      <w:r w:rsidRPr="008127F8">
        <w:rPr>
          <w:rFonts w:ascii="Times New Roman" w:hAnsi="Times New Roman"/>
          <w:color w:val="000000" w:themeColor="text1"/>
          <w:sz w:val="16"/>
          <w:szCs w:val="16"/>
        </w:rPr>
        <w:softHyphen/>
        <w:t>нию направления ее, и тщательное изучение мертвых пространств этой обороны;</w:t>
      </w:r>
    </w:p>
    <w:p w14:paraId="78E4EA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основную атакующую группу танков прикрыть огнем танков с места. Эта последняя группа танковой поддержки имеет задачей подавить и уничтожить огневые точки противника в тот момент, когда они откроют огонь по атакующей основной группе танков. Это мероприятие необходимо уже потому, что даже в тех случаях, когда имеется артиллерийская поддержка, артиллерия не успевает расправиться с огневыми точками противника за время кратковременной танковой атаки;</w:t>
      </w:r>
    </w:p>
    <w:p w14:paraId="0102FD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против наступающей пехоты противника и его танков с большим успехом применялся огонь с места;</w:t>
      </w:r>
    </w:p>
    <w:p w14:paraId="6AD6DD4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для создания морального воздействия на противника, полезно создать впечатление большого количества </w:t>
      </w:r>
      <w:proofErr w:type="gramStart"/>
      <w:r w:rsidRPr="008127F8">
        <w:rPr>
          <w:rFonts w:ascii="Times New Roman" w:hAnsi="Times New Roman"/>
          <w:color w:val="000000" w:themeColor="text1"/>
          <w:sz w:val="16"/>
          <w:szCs w:val="16"/>
        </w:rPr>
        <w:t>машин</w:t>
      </w:r>
      <w:proofErr w:type="gramEnd"/>
      <w:r w:rsidRPr="008127F8">
        <w:rPr>
          <w:rFonts w:ascii="Times New Roman" w:hAnsi="Times New Roman"/>
          <w:color w:val="000000" w:themeColor="text1"/>
          <w:sz w:val="16"/>
          <w:szCs w:val="16"/>
        </w:rPr>
        <w:t xml:space="preserve"> воздействующих на данный объект. Эту задачу очень удобно и с успехом можно выполнить с опушки леса. Непрерывный выход на высокой скорости отдельных танков каждый раз на новом месте. В этом случае, пехоту не следует держать близко к танкам, так как противник раз</w:t>
      </w:r>
      <w:r w:rsidRPr="008127F8">
        <w:rPr>
          <w:rFonts w:ascii="Times New Roman" w:hAnsi="Times New Roman"/>
          <w:color w:val="000000" w:themeColor="text1"/>
          <w:sz w:val="16"/>
          <w:szCs w:val="16"/>
        </w:rPr>
        <w:softHyphen/>
        <w:t>драженный танковым огнем и обеспокоенный большим количеством появляющихся танков, откры</w:t>
      </w:r>
      <w:r w:rsidRPr="008127F8">
        <w:rPr>
          <w:rFonts w:ascii="Times New Roman" w:hAnsi="Times New Roman"/>
          <w:color w:val="000000" w:themeColor="text1"/>
          <w:sz w:val="16"/>
          <w:szCs w:val="16"/>
        </w:rPr>
        <w:softHyphen/>
        <w:t>вает по району появления танков минометный и артиллерийский огонь из всех имеющихся в его распоряжении средств.</w:t>
      </w:r>
    </w:p>
    <w:p w14:paraId="4FF4BF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Расход ГСМ для подогрева различных марок танков при средних температурах погоды.</w:t>
      </w:r>
    </w:p>
    <w:p w14:paraId="7B6804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Суточный расход ГСМ для подогрева всех марок танков при средней температуре воздуха, из наблюдения установлено при температуре — 15° в сутки расходуется на танк: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F4095" w:rsidRPr="008127F8" w14:paraId="10A62F54" w14:textId="77777777">
        <w:tc>
          <w:tcPr>
            <w:tcW w:w="2802" w:type="dxa"/>
            <w:tcBorders>
              <w:top w:val="single" w:sz="12" w:space="0" w:color="auto"/>
            </w:tcBorders>
            <w:shd w:val="clear" w:color="auto" w:fill="FFFFFF"/>
          </w:tcPr>
          <w:p w14:paraId="607A4A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w:t>
            </w:r>
          </w:p>
        </w:tc>
        <w:tc>
          <w:tcPr>
            <w:tcW w:w="2802" w:type="dxa"/>
            <w:tcBorders>
              <w:top w:val="single" w:sz="12" w:space="0" w:color="auto"/>
            </w:tcBorders>
            <w:shd w:val="clear" w:color="auto" w:fill="FFFFFF"/>
          </w:tcPr>
          <w:p w14:paraId="4E9571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50 кг</w:t>
            </w:r>
          </w:p>
        </w:tc>
        <w:tc>
          <w:tcPr>
            <w:tcW w:w="2802" w:type="dxa"/>
            <w:tcBorders>
              <w:top w:val="single" w:sz="12" w:space="0" w:color="auto"/>
            </w:tcBorders>
            <w:shd w:val="clear" w:color="auto" w:fill="FFFFFF"/>
          </w:tcPr>
          <w:p w14:paraId="563E3D1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БТ-7</w:t>
            </w:r>
          </w:p>
        </w:tc>
        <w:tc>
          <w:tcPr>
            <w:tcW w:w="2802" w:type="dxa"/>
            <w:tcBorders>
              <w:top w:val="single" w:sz="12" w:space="0" w:color="auto"/>
            </w:tcBorders>
            <w:shd w:val="clear" w:color="auto" w:fill="FFFFFF"/>
          </w:tcPr>
          <w:p w14:paraId="2CBAAD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30 кг</w:t>
            </w:r>
          </w:p>
        </w:tc>
      </w:tr>
      <w:tr w:rsidR="006F4095" w:rsidRPr="008127F8" w14:paraId="47590E97" w14:textId="77777777">
        <w:tc>
          <w:tcPr>
            <w:tcW w:w="2802" w:type="dxa"/>
            <w:tcBorders>
              <w:bottom w:val="single" w:sz="12" w:space="0" w:color="auto"/>
            </w:tcBorders>
            <w:shd w:val="clear" w:color="auto" w:fill="FFFFFF"/>
          </w:tcPr>
          <w:p w14:paraId="52725C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w:t>
            </w:r>
          </w:p>
        </w:tc>
        <w:tc>
          <w:tcPr>
            <w:tcW w:w="2802" w:type="dxa"/>
            <w:tcBorders>
              <w:bottom w:val="single" w:sz="12" w:space="0" w:color="auto"/>
            </w:tcBorders>
            <w:shd w:val="clear" w:color="auto" w:fill="FFFFFF"/>
          </w:tcPr>
          <w:p w14:paraId="085ACE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40 кг</w:t>
            </w:r>
          </w:p>
        </w:tc>
        <w:tc>
          <w:tcPr>
            <w:tcW w:w="2802" w:type="dxa"/>
            <w:tcBorders>
              <w:bottom w:val="single" w:sz="12" w:space="0" w:color="auto"/>
            </w:tcBorders>
            <w:shd w:val="clear" w:color="auto" w:fill="FFFFFF"/>
          </w:tcPr>
          <w:p w14:paraId="1EAF6E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Т-60-40 и 26</w:t>
            </w:r>
          </w:p>
        </w:tc>
        <w:tc>
          <w:tcPr>
            <w:tcW w:w="2802" w:type="dxa"/>
            <w:tcBorders>
              <w:bottom w:val="single" w:sz="12" w:space="0" w:color="auto"/>
            </w:tcBorders>
            <w:shd w:val="clear" w:color="auto" w:fill="FFFFFF"/>
          </w:tcPr>
          <w:p w14:paraId="4B383B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20-25 кг</w:t>
            </w:r>
          </w:p>
        </w:tc>
      </w:tr>
    </w:tbl>
    <w:p w14:paraId="3E91888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температуре — 25-30° в сутки расходуется на танк: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F4095" w:rsidRPr="008127F8" w14:paraId="67D32524" w14:textId="77777777">
        <w:tc>
          <w:tcPr>
            <w:tcW w:w="2802" w:type="dxa"/>
            <w:tcBorders>
              <w:top w:val="single" w:sz="12" w:space="0" w:color="auto"/>
            </w:tcBorders>
            <w:shd w:val="clear" w:color="auto" w:fill="FFFFFF"/>
          </w:tcPr>
          <w:p w14:paraId="702F7C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 и Т-34</w:t>
            </w:r>
          </w:p>
        </w:tc>
        <w:tc>
          <w:tcPr>
            <w:tcW w:w="2802" w:type="dxa"/>
            <w:tcBorders>
              <w:top w:val="single" w:sz="12" w:space="0" w:color="auto"/>
            </w:tcBorders>
            <w:shd w:val="clear" w:color="auto" w:fill="FFFFFF"/>
          </w:tcPr>
          <w:p w14:paraId="68C57C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90 кг с мотором М-17</w:t>
            </w:r>
          </w:p>
        </w:tc>
        <w:tc>
          <w:tcPr>
            <w:tcW w:w="2802" w:type="dxa"/>
            <w:tcBorders>
              <w:top w:val="single" w:sz="12" w:space="0" w:color="auto"/>
            </w:tcBorders>
            <w:shd w:val="clear" w:color="auto" w:fill="FFFFFF"/>
          </w:tcPr>
          <w:p w14:paraId="7B47F8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МК-2</w:t>
            </w:r>
          </w:p>
        </w:tc>
        <w:tc>
          <w:tcPr>
            <w:tcW w:w="2802" w:type="dxa"/>
            <w:tcBorders>
              <w:top w:val="single" w:sz="12" w:space="0" w:color="auto"/>
            </w:tcBorders>
            <w:shd w:val="clear" w:color="auto" w:fill="FFFFFF"/>
          </w:tcPr>
          <w:p w14:paraId="13275A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80-90 кг</w:t>
            </w:r>
          </w:p>
        </w:tc>
      </w:tr>
      <w:tr w:rsidR="006F4095" w:rsidRPr="008127F8" w14:paraId="3A5039FD" w14:textId="77777777">
        <w:tc>
          <w:tcPr>
            <w:tcW w:w="2802" w:type="dxa"/>
            <w:shd w:val="clear" w:color="auto" w:fill="FFFFFF"/>
          </w:tcPr>
          <w:p w14:paraId="2A44B88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 с мотором В-2</w:t>
            </w:r>
          </w:p>
        </w:tc>
        <w:tc>
          <w:tcPr>
            <w:tcW w:w="2802" w:type="dxa"/>
            <w:shd w:val="clear" w:color="auto" w:fill="FFFFFF"/>
          </w:tcPr>
          <w:p w14:paraId="29682D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до 75 кг</w:t>
            </w:r>
          </w:p>
        </w:tc>
        <w:tc>
          <w:tcPr>
            <w:tcW w:w="2802" w:type="dxa"/>
            <w:shd w:val="clear" w:color="auto" w:fill="FFFFFF"/>
          </w:tcPr>
          <w:p w14:paraId="1C99BC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Т-40-60 и 26</w:t>
            </w:r>
          </w:p>
        </w:tc>
        <w:tc>
          <w:tcPr>
            <w:tcW w:w="2802" w:type="dxa"/>
            <w:shd w:val="clear" w:color="auto" w:fill="FFFFFF"/>
          </w:tcPr>
          <w:p w14:paraId="50ED4A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50-60 кг</w:t>
            </w:r>
          </w:p>
        </w:tc>
      </w:tr>
      <w:tr w:rsidR="006F4095" w:rsidRPr="008127F8" w14:paraId="08319D19" w14:textId="77777777">
        <w:tc>
          <w:tcPr>
            <w:tcW w:w="2802" w:type="dxa"/>
            <w:tcBorders>
              <w:bottom w:val="single" w:sz="12" w:space="0" w:color="auto"/>
            </w:tcBorders>
          </w:tcPr>
          <w:p w14:paraId="32CD73CE"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МК-3</w:t>
            </w:r>
          </w:p>
        </w:tc>
        <w:tc>
          <w:tcPr>
            <w:tcW w:w="2802" w:type="dxa"/>
            <w:tcBorders>
              <w:bottom w:val="single" w:sz="12" w:space="0" w:color="auto"/>
            </w:tcBorders>
          </w:tcPr>
          <w:p w14:paraId="0EE077F6"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 xml:space="preserve"> - до 60 кг</w:t>
            </w:r>
          </w:p>
        </w:tc>
        <w:tc>
          <w:tcPr>
            <w:tcW w:w="2802" w:type="dxa"/>
            <w:tcBorders>
              <w:bottom w:val="single" w:sz="12" w:space="0" w:color="auto"/>
            </w:tcBorders>
          </w:tcPr>
          <w:p w14:paraId="5466CED7" w14:textId="77777777" w:rsidR="00D4651C" w:rsidRPr="008127F8" w:rsidRDefault="00D4651C" w:rsidP="001E0A84">
            <w:pPr>
              <w:pStyle w:val="afff5"/>
              <w:jc w:val="both"/>
              <w:rPr>
                <w:i w:val="0"/>
                <w:iCs w:val="0"/>
                <w:color w:val="000000" w:themeColor="text1"/>
                <w:spacing w:val="0"/>
                <w:position w:val="0"/>
                <w:sz w:val="16"/>
                <w:szCs w:val="16"/>
              </w:rPr>
            </w:pPr>
          </w:p>
        </w:tc>
        <w:tc>
          <w:tcPr>
            <w:tcW w:w="2802" w:type="dxa"/>
            <w:tcBorders>
              <w:bottom w:val="single" w:sz="12" w:space="0" w:color="auto"/>
            </w:tcBorders>
          </w:tcPr>
          <w:p w14:paraId="0719E9F9" w14:textId="77777777" w:rsidR="00D4651C" w:rsidRPr="008127F8" w:rsidRDefault="00D4651C" w:rsidP="001E0A84">
            <w:pPr>
              <w:pStyle w:val="afff5"/>
              <w:jc w:val="both"/>
              <w:rPr>
                <w:i w:val="0"/>
                <w:iCs w:val="0"/>
                <w:color w:val="000000" w:themeColor="text1"/>
                <w:spacing w:val="0"/>
                <w:position w:val="0"/>
                <w:sz w:val="16"/>
                <w:szCs w:val="16"/>
              </w:rPr>
            </w:pPr>
          </w:p>
        </w:tc>
      </w:tr>
    </w:tbl>
    <w:p w14:paraId="72647EE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работе мотора в среднем 10-15 минут через каждый час. Расход горючего снижается до по</w:t>
      </w:r>
      <w:r w:rsidRPr="008127F8">
        <w:rPr>
          <w:rFonts w:ascii="Times New Roman" w:hAnsi="Times New Roman"/>
          <w:color w:val="000000" w:themeColor="text1"/>
          <w:sz w:val="16"/>
          <w:szCs w:val="16"/>
        </w:rPr>
        <w:softHyphen/>
        <w:t>ловины при условии заправки танка антифризом, утеплении патрубков водяной системы и прикры</w:t>
      </w:r>
      <w:r w:rsidRPr="008127F8">
        <w:rPr>
          <w:rFonts w:ascii="Times New Roman" w:hAnsi="Times New Roman"/>
          <w:color w:val="000000" w:themeColor="text1"/>
          <w:sz w:val="16"/>
          <w:szCs w:val="16"/>
        </w:rPr>
        <w:softHyphen/>
        <w:t>тия танка сверху брезентом, фанерой.</w:t>
      </w:r>
    </w:p>
    <w:p w14:paraId="146648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3303C0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течение декабря и в начале января месяца в преодолении снежного покрова прекрасно себя показал танк Т-34. При незначительном усилении гусеницы специальными шпорами он способен преодолевать снежный покров до 0,8 метра.</w:t>
      </w:r>
    </w:p>
    <w:p w14:paraId="31F556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Остальные машины показали себя менее приспособленными для действий в зимних условиях.</w:t>
      </w:r>
    </w:p>
    <w:p w14:paraId="2BFFFCF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действия вне дорог при снежном покрове более 0,5 метра единственной машиной являет</w:t>
      </w:r>
      <w:r w:rsidRPr="008127F8">
        <w:rPr>
          <w:rFonts w:ascii="Times New Roman" w:hAnsi="Times New Roman"/>
          <w:color w:val="000000" w:themeColor="text1"/>
          <w:sz w:val="16"/>
          <w:szCs w:val="16"/>
        </w:rPr>
        <w:softHyphen/>
        <w:t>ся танк Т-34.</w:t>
      </w:r>
    </w:p>
    <w:p w14:paraId="16976F6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«КБ» для действия вне дорог можно применять только при тщательной разведке мест</w:t>
      </w:r>
      <w:r w:rsidRPr="008127F8">
        <w:rPr>
          <w:rFonts w:ascii="Times New Roman" w:hAnsi="Times New Roman"/>
          <w:color w:val="000000" w:themeColor="text1"/>
          <w:sz w:val="16"/>
          <w:szCs w:val="16"/>
        </w:rPr>
        <w:softHyphen/>
        <w:t>ности.</w:t>
      </w:r>
    </w:p>
    <w:p w14:paraId="4A98E78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Т-40, Т-60 и Т-26 при таком снежном покрове использовать вне дорог почти невозможно.</w:t>
      </w:r>
    </w:p>
    <w:p w14:paraId="66F7199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всех марок танков, для действия в зимних условиях, необходимо изготовить специальные гусеницы или усиливать имеющиеся на танках гусеницы специальными шпорами.</w:t>
      </w:r>
    </w:p>
    <w:p w14:paraId="309D466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эвакуации с поля боя в зимних условиях тяжелых и средних танков необходимо иметь специальные тягачи.</w:t>
      </w:r>
    </w:p>
    <w:p w14:paraId="1CA32FD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Начальник 1 отдела АБТУ Западного фронта подполковник Бормотов</w:t>
      </w:r>
    </w:p>
    <w:p w14:paraId="3B6E409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11360. Д. 7. Л. 307-313. Подлинник (11211).</w:t>
      </w:r>
    </w:p>
    <w:p w14:paraId="0FAFB3C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29076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 вышло Постановление ГКО № 1175 О возвращении эвакуированного оборудования завода "Москабель". РГАНИР, Фонд ГКО, д. 19, лл. 172 (11012).</w:t>
      </w:r>
    </w:p>
    <w:p w14:paraId="5B111A4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A2A99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 г. вышло постановление ГКО № 1175 о возвращении эвакуированного оборудования завода «Москабель»(Завод № 330 НКЭП, Завод «Москабель» НКТП, ПО, ЗАО «Москабель», ГК «Москабельмет» /111024  г. Москва ул. 2-я Кабельная, 2/), и производство было восстановлено на прежнем месте. В 1943 г. имелся прокатный цех.</w:t>
      </w:r>
    </w:p>
    <w:p w14:paraId="0F5246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1975 г. на базе завода создано </w:t>
      </w:r>
      <w:r w:rsidRPr="008127F8">
        <w:rPr>
          <w:rFonts w:ascii="Times New Roman" w:hAnsi="Times New Roman"/>
          <w:color w:val="000000" w:themeColor="text1"/>
          <w:sz w:val="16"/>
          <w:szCs w:val="16"/>
          <w:lang w:val="en-US"/>
        </w:rPr>
        <w:t>IIO</w:t>
      </w:r>
      <w:r w:rsidRPr="008127F8">
        <w:rPr>
          <w:rFonts w:ascii="Times New Roman" w:hAnsi="Times New Roman"/>
          <w:color w:val="000000" w:themeColor="text1"/>
          <w:sz w:val="16"/>
          <w:szCs w:val="16"/>
        </w:rPr>
        <w:t xml:space="preserve"> «Москабель».</w:t>
      </w:r>
    </w:p>
    <w:p w14:paraId="625C6D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(12.1941 г.)- И.И. Мамлин. Гендиректор (-2000-03 г.-)- М.К. Портнов.</w:t>
      </w:r>
    </w:p>
    <w:p w14:paraId="0ED205A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(12.1941 г.)- В.А. Привезенцев.</w:t>
      </w:r>
    </w:p>
    <w:p w14:paraId="2A2F28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(12.1941 г.)- В.А. Привезенцев.</w:t>
      </w:r>
    </w:p>
    <w:p w14:paraId="6E3E85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энергоцеха (1940-41 г.)- М.Ф. Куртюков; (-1933 г.)- В.Д. Калмыков.</w:t>
      </w:r>
    </w:p>
    <w:p w14:paraId="6F9F6D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антенна КТТА-12к (11982).</w:t>
      </w:r>
    </w:p>
    <w:p w14:paraId="5233D15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8F3E6B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2FE756C5" w14:textId="77777777" w:rsidR="00D4651C" w:rsidRPr="008127F8" w:rsidRDefault="00D4651C" w:rsidP="001E0A84">
      <w:pPr>
        <w:pStyle w:val="Iauiue"/>
        <w:jc w:val="both"/>
        <w:rPr>
          <w:iCs/>
          <w:color w:val="000000" w:themeColor="text1"/>
          <w:sz w:val="16"/>
          <w:szCs w:val="16"/>
        </w:rPr>
      </w:pPr>
    </w:p>
    <w:p w14:paraId="58F89E4E"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54DDEEE6"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19 января наши войска продолжали вести активные боевые действия против немецко-фашистских войск.</w:t>
      </w:r>
    </w:p>
    <w:p w14:paraId="6122E23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10 по 16 января немецкая авиация потеряла 129 самолётов. Из них в воздушных боях уничтожено 74 самолёта, зенитным огнём сбито 13 машин, на аэродромах противника уничтожено 42 самолёта. Наши потери за этот же период — 39 самолётов.</w:t>
      </w:r>
    </w:p>
    <w:p w14:paraId="124D511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Мотострелковая часть тов. Берестова, действующая на одном из участков Западного фронта, за несколько дней упорных боёв с противником освободила от немцев 13 населённых пунктов. Враг оставил на полях сражений 500 убитых солдат и офицеров. Наши бойцы захватили 14 немецких танков, 14 тягачей и тракторов, 6 автомобилей, штабной автобус, 6 орудий и большое количество боеприпасов. Успешно действуют сапёры старшего лейтенанта Астафурова, помогая продвижению части вперёд. За 5 дней они обезвредили 204 противотанковых и 59 противопехотных мин. Под обстрелом противника отважные сапёры разминировали километр шоссе.</w:t>
      </w:r>
    </w:p>
    <w:p w14:paraId="3B2BC108"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частей тт. Трифонова и Петрова, действующих на Калининском фронте, за последние четыре дня уничтожили 104 автомашины с боеприпасами и пехотой противника, 2 танка, до 70 повозок с грузом, 22 железнодорожных вагона с продовольствием и боеприпасами, 5 цистерн с горючим.</w:t>
      </w:r>
    </w:p>
    <w:p w14:paraId="1899312A"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А., действующий в одном из районов Калининской области, оккупированных немцами, совершил нападение на немецкую автоколонну, перевозившую военное снаряжение. Партизаны атаковали колонну одновременно с нескольких сторон. Гранатами и бутылками с зажигательной жидкостью бойцы отряда уничтожили до 60 автомобилей.</w:t>
      </w:r>
    </w:p>
    <w:p w14:paraId="47FFE94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7 роты 380 полка 215 немецкой пехотной дивизии Кристиан Липпот рассказал: «До последнего времени наша дивизия находилась во Франции. Переброска дивизии на фронт в Россию вызвала резкое недовольство солдат. Группа солдат из нашего полка дезертировала и пробралась в неоккупированную зону Франции. В первые же дни после приезда дивизии в Россию в нашей части зарегистрировано много случаев обмораживания. Я и старший стрелок Герман Децель обморозили ноги. Ефрейторы Иозеф Майер и Людвиг Реш обморозили руки. Настроение солдат плохое, в победу никто не верит».</w:t>
      </w:r>
    </w:p>
    <w:p w14:paraId="3FA44A04"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села Каменки, Московской области, рассказывают: «Захватив село, немцы устроили в доме, принадлежавшем П. Голубевой, лазарет. Отступая под ударами наших войск из Каменки, немцы сожгли в доме Голубевой 6 своих раненых солдат. Седьмому немцу удалось выползти на улицу. Утром его замёрзший труп был найден в снегу».</w:t>
      </w:r>
    </w:p>
    <w:p w14:paraId="1CB84868"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несдачу тёплых вещей для германской армия 115 жителей города Дармштадта (Германия) лишены продовольственных карточек. Люди обречены на голодную смерть. 17 жителей города по этой же причине отправлены в концлагерь.» (15014).</w:t>
      </w:r>
    </w:p>
    <w:p w14:paraId="64BE8629"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7C2DBE9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1F49B3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 января наши войска продолжали отбрасывать немецкие войска на запад. Противник несёт большие потери, особенно в людях. Наши части вновь продвинулись вперёд, заняли несколько населенных пунктов и в числе их г.г. Верея (Московской области), Кондрово (Смоленской области).</w:t>
      </w:r>
    </w:p>
    <w:p w14:paraId="1FF26A7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января уничтожено 15 немецких самолётов. Наши потери — 6 самолётов.</w:t>
      </w:r>
    </w:p>
    <w:p w14:paraId="31EB0B8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января под Москвой сбито 2 немецких самолёта.</w:t>
      </w:r>
    </w:p>
    <w:p w14:paraId="21264902"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января части нашей авиации уничтожили 8 немецких танков, более 530 автомашин с пехотой и грузами, 335 повозок с боеприпасами, 35 орудий с прислугой, 13 зенитно-пулемётных точек, подожгли 3 железнодорожных эшелона, взорвали склад с боеприпасами и склад с горючим, рассеяли и частью истребили 5 батальонов пехоты противника.</w:t>
      </w:r>
    </w:p>
    <w:p w14:paraId="54CB9B1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Александрова (Западный фронт) за один день освободили от немцев 4 населённых пункта и захватили 3 орудия, 8 миномётов, 4 автомашины и 110 винтовок. Только убитыми противник потерял 150 солдат и офицеров. На другом участке часть тов. Селезнёва, продолжая вести наступление, захватала 5 немецких танков, 14 автомашин, 200 снарядов, 1.600 гранат и другое военное имущество.</w:t>
      </w:r>
    </w:p>
    <w:p w14:paraId="220947C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города Медыни нашими бойцами захвачены немецкий самолёт, 6 танков, 514 автомашин, 26 орудий, 34 пулемёта и много боеприпасов.</w:t>
      </w:r>
    </w:p>
    <w:p w14:paraId="59144EC6"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Вражеский танк, ведя огонь по наступающей нашей части, задерживал продвижение бойцов вперёд. Красноармеец Фролов незаметно подполз к танку, бросил в люк машины связку гранат и уничтожил весь экипаж танка.</w:t>
      </w:r>
    </w:p>
    <w:p w14:paraId="7B1EF0D2"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Касилово старшина Кротов вместе с группой бойцов захватал вражескую пушку, повернул её в сторону противника и прямой наводкой подбил немецкий танк.</w:t>
      </w:r>
    </w:p>
    <w:p w14:paraId="6D09A1E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отряда тов. К., действующего в одном из районов Ленинградской области, оккупированном немцами, узнали, что в деревне И. стоят замаскированные 11 немецких танков. Партизаны сообщили об этом командиру одной из наших частей. Получив точные данные о расположении танков противника, советские артиллеристы уничтожили немецкие машины.</w:t>
      </w:r>
    </w:p>
    <w:p w14:paraId="2594C6E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10 роты 43 немецкого пехотного полка Отто Шульц рассказал: «За последние 10 дней наша рота потеряла одну треть своего состава. У многих солдат подорвана вера в победу. Ефрейторы Вайс и Бец, солдат Рюр и другие солдаты нашей роты говорили мне, что Германия потерпит полное поражение. Я тоже пришёл к такому заключению. В полку сильно расшаталась дисциплина. Недавно солдата Энгербрая послали на наблюдательный пункт. Он побыл там несколько минут и прибежал обратно в блиндаж. Солдат Мюллер не вышел из землянки, когда русские пошли в атаку. Солдат Майер в письме домой писал, что очень трудно прожить на голодном хлебном пайке и коричневой бурде, именуемой кофе. Наши письма предварительно читает командир роты. Это письмо он задержал, а Майеру дал 10 суток ареста».</w:t>
      </w:r>
    </w:p>
    <w:p w14:paraId="579F575F"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найденном у убитого немецкого ефрейтора Вилли Изельбама письме говорится: «После того, как я вышел из лазарета, я опять сильно простудился, и никто не может и не хочет мне помочь. Много солдат уже обморозило себе ноги и из-за этого умерло. Особенно скверно в эти холода раненым. Многие из них ещё выбрались бы как-нибудь, но из-за морозов они лишаются жизни. Я могу только сказать, что всякий, кто уйдёт отсюда живым, вернётся домой больным или калекой навсегда. Больше здесь оставаться невозможно. Но вернётся ли вообще кто-нибудь из России?».</w:t>
      </w:r>
    </w:p>
    <w:p w14:paraId="16E7ADF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Жуково (Калининской области), гитлеровцы согнали в один из домов большую группу женщин с детьми, заперли их и подожгли дом. Все женщины и дети погибли в огне.</w:t>
      </w:r>
    </w:p>
    <w:p w14:paraId="510A413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Близ Мидделбурга (Голландия) взорван немецкий склад боеприпасов. Убито и ранено 13 немецких солдат из охраны склада.</w:t>
      </w:r>
    </w:p>
    <w:p w14:paraId="1173A176"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Возле Петровац произошёл трёхдневный бой югославских партизан с итальянской частью. Итальянцы отступили, потеряв убитыми 114 солдат.» (15014).</w:t>
      </w:r>
    </w:p>
    <w:p w14:paraId="1C05E93C"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29D1739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 января 1942 в боях под Старой Руссой погиб истребитель Т.М.Фрунзе, который был в паре с л И.П.Шутовым. Сбил 2-х (3017,27).</w:t>
      </w:r>
    </w:p>
    <w:p w14:paraId="634B7A89" w14:textId="77777777" w:rsidR="00D4651C" w:rsidRPr="008127F8" w:rsidRDefault="00D4651C" w:rsidP="001E0A84">
      <w:pPr>
        <w:pStyle w:val="Iauiue"/>
        <w:jc w:val="both"/>
        <w:rPr>
          <w:color w:val="000000" w:themeColor="text1"/>
          <w:sz w:val="16"/>
          <w:szCs w:val="16"/>
        </w:rPr>
      </w:pPr>
    </w:p>
    <w:p w14:paraId="61A8B31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 января 1942 г. два разведчика Р-5 из состава 669-го авиаполка 103-й авиадивизии ВВС Карельского фронта по причине потери ориентировки сели в районе Онежского озера на территории, захваченной финскими войсками. В перестрелке двое советских летчиков погибли, двое были захвачены в плен. Из двух Р-5 один оказался исправен, и финны 11 февраля попытались перегнать его на авиазавод в Тампере, однако по дороге разбили (5016).</w:t>
      </w:r>
    </w:p>
    <w:p w14:paraId="1FEB1A40" w14:textId="77777777" w:rsidR="00D4651C" w:rsidRPr="008127F8" w:rsidRDefault="00D4651C" w:rsidP="001E0A84">
      <w:pPr>
        <w:pStyle w:val="Iauiue"/>
        <w:jc w:val="both"/>
        <w:rPr>
          <w:color w:val="000000" w:themeColor="text1"/>
          <w:sz w:val="16"/>
          <w:szCs w:val="16"/>
        </w:rPr>
      </w:pPr>
    </w:p>
    <w:p w14:paraId="195AD92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19 января 1942 г. 208-й сбап убыл с фронта для переучивания </w:t>
      </w:r>
      <w:proofErr w:type="gramStart"/>
      <w:r w:rsidRPr="008127F8">
        <w:rPr>
          <w:color w:val="000000" w:themeColor="text1"/>
          <w:sz w:val="16"/>
          <w:szCs w:val="16"/>
        </w:rPr>
        <w:t>на штурмовики</w:t>
      </w:r>
      <w:proofErr w:type="gramEnd"/>
      <w:r w:rsidRPr="008127F8">
        <w:rPr>
          <w:color w:val="000000" w:themeColor="text1"/>
          <w:sz w:val="16"/>
          <w:szCs w:val="16"/>
        </w:rPr>
        <w:t xml:space="preserve"> Ил-2, а оставшиеся 12 самолетов Пе-3 были переданы в 95-й иап (4476).</w:t>
      </w:r>
    </w:p>
    <w:p w14:paraId="4D486C3A" w14:textId="77777777" w:rsidR="00D4651C" w:rsidRPr="008127F8" w:rsidRDefault="00D4651C" w:rsidP="001E0A84">
      <w:pPr>
        <w:pStyle w:val="Iauiue"/>
        <w:jc w:val="both"/>
        <w:rPr>
          <w:color w:val="000000" w:themeColor="text1"/>
          <w:sz w:val="16"/>
          <w:szCs w:val="16"/>
        </w:rPr>
      </w:pPr>
    </w:p>
    <w:p w14:paraId="6E6CD179"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19 января 1942 советские войска отбили у немцев Можайск (4962).</w:t>
      </w:r>
    </w:p>
    <w:p w14:paraId="5FACF814" w14:textId="77777777" w:rsidR="00D4651C" w:rsidRPr="008127F8" w:rsidRDefault="00D4651C" w:rsidP="001E0A84">
      <w:pPr>
        <w:pStyle w:val="Iauiue"/>
        <w:tabs>
          <w:tab w:val="left" w:pos="11199"/>
        </w:tabs>
        <w:jc w:val="both"/>
        <w:rPr>
          <w:color w:val="000000" w:themeColor="text1"/>
          <w:sz w:val="16"/>
          <w:szCs w:val="16"/>
        </w:rPr>
      </w:pPr>
    </w:p>
    <w:p w14:paraId="09B6117A" w14:textId="77777777" w:rsidR="00235EBA" w:rsidRPr="008127F8" w:rsidRDefault="00235EBA" w:rsidP="001E0A84">
      <w:pPr>
        <w:pStyle w:val="Iauiue"/>
        <w:jc w:val="both"/>
        <w:rPr>
          <w:iCs/>
          <w:color w:val="000000" w:themeColor="text1"/>
          <w:sz w:val="16"/>
          <w:szCs w:val="16"/>
        </w:rPr>
      </w:pPr>
      <w:r w:rsidRPr="008127F8">
        <w:rPr>
          <w:i/>
          <w:iCs/>
          <w:color w:val="000000" w:themeColor="text1"/>
          <w:sz w:val="16"/>
          <w:szCs w:val="16"/>
        </w:rPr>
        <w:lastRenderedPageBreak/>
        <w:t>Жизнь и внутренняя политика:</w:t>
      </w:r>
    </w:p>
    <w:p w14:paraId="28C9329D" w14:textId="77777777" w:rsidR="00235EBA" w:rsidRPr="008127F8" w:rsidRDefault="00235EBA" w:rsidP="001E0A84">
      <w:pPr>
        <w:pStyle w:val="Iauiue"/>
        <w:jc w:val="both"/>
        <w:rPr>
          <w:iCs/>
          <w:color w:val="000000" w:themeColor="text1"/>
          <w:sz w:val="16"/>
          <w:szCs w:val="16"/>
        </w:rPr>
      </w:pPr>
    </w:p>
    <w:p w14:paraId="49A77AD7" w14:textId="77777777" w:rsidR="00235EBA" w:rsidRPr="008127F8" w:rsidRDefault="00235EB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1942 г. был издан приказ народного комиссара внутренних дел СССР №00146 с объявлением постановление Государственного Комитета Обороны СССР № 1156 от 16 января 1942 г. В нем наркомам внутренних дел республик, начальникам У НКВД областей и командирам дивизий внутренних войск НКВД, предназначавшихся для несения гарнизонной службы в освобождаемых населенных пунктах от войск противника, при выделении райорганов и гарнизонов войск НКВД ставить задачу немедленного сбора имевшегося у проживавших граждан огнестрельного и холодного оружия, боеприпасов и военного имущества. Районным отделениям НКВД в освобожденных населенных пунктах необходимо было организовать места хранения и учет собираемого оружия, боеприпасов и материальных ценностей. Следствие в отношении лиц, уклонившихся от сдачи оружия, надлежало проводить в кратчайший срок и дела на них предписывалось направлять в суды, в случаях злостного сокрытия оружия - на рассмотрение Особого совещания НКВД СССР1.</w:t>
      </w:r>
    </w:p>
    <w:p w14:paraId="392060B9" w14:textId="77777777" w:rsidR="00235EBA" w:rsidRPr="008127F8" w:rsidRDefault="00235EB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целях борьбы с бандитизмом в период Великой Отечественной войны была поделана большая работа по сбору вооружения на местах боев, а также по изъятию у населения незаконно хранившегося оружия. Лишь в Краснодарском крае у бандитов, их пособников, населения края в феврале - мае 1943 г. после его освобождения от немецкой оккупации было изъято более 423 тыс. патронов, 7967 мин, 5199 гранат, 7375 снарядов, 13608 винтовок, 3025 автоматов, 301 пулемет, 76 минометов, 50 револьверов и пистолетов, 26 противотанковых ру- - 2 жеи и др. </w:t>
      </w:r>
    </w:p>
    <w:p w14:paraId="2A2B7226" w14:textId="77777777" w:rsidR="00235EBA" w:rsidRPr="008127F8" w:rsidRDefault="00235EB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местах боев под Ленинградом только за 1944 г. было изъято и подобрано 2 орудия, 125 минометов, 831 пулемет, 14913 винтовок и автоматов, 1133 револьвера и пистолета, 23021 граната, 2178573 патрона, 861 снаряд, 6194 мины, 193 кг взрывных веществ.</w:t>
      </w:r>
    </w:p>
    <w:p w14:paraId="5FC6E695" w14:textId="77777777" w:rsidR="00235EBA" w:rsidRPr="008127F8" w:rsidRDefault="00235EB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к 1 апрелю 1944 г. на территории страны, освобожденной от захватчиков было собрано и изъято у населения 8357 пулемета, 11440 автоматов, 257791 винтовки, 56023 револьвера и пистолета, 160490 гранат.</w:t>
      </w:r>
    </w:p>
    <w:p w14:paraId="6C88C69B" w14:textId="77777777" w:rsidR="00235EBA" w:rsidRPr="008127F8" w:rsidRDefault="00235EB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сожалению, на местах боев Великой Отечественной вооружение реально было собрано далеко не все. До настоящего времени оружие и боеприпасы находят в этих местах. Незаконные раскопки оружия в местах бывших боев являются служат одним из источников его поступления в незаконный оборот (18514).</w:t>
      </w:r>
    </w:p>
    <w:p w14:paraId="56381866" w14:textId="77777777" w:rsidR="00235EBA" w:rsidRPr="008127F8" w:rsidRDefault="00235EBA" w:rsidP="001E0A84">
      <w:pPr>
        <w:spacing w:after="0" w:line="240" w:lineRule="auto"/>
        <w:jc w:val="both"/>
        <w:rPr>
          <w:rFonts w:ascii="Times New Roman" w:hAnsi="Times New Roman"/>
          <w:color w:val="000000" w:themeColor="text1"/>
          <w:sz w:val="16"/>
          <w:szCs w:val="16"/>
        </w:rPr>
      </w:pPr>
    </w:p>
    <w:p w14:paraId="410CF71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296F243D" w14:textId="77777777" w:rsidR="00D4651C" w:rsidRPr="008127F8" w:rsidRDefault="00D4651C" w:rsidP="001E0A84">
      <w:pPr>
        <w:pStyle w:val="Iauiue"/>
        <w:jc w:val="both"/>
        <w:rPr>
          <w:iCs/>
          <w:color w:val="000000" w:themeColor="text1"/>
          <w:sz w:val="16"/>
          <w:szCs w:val="16"/>
        </w:rPr>
      </w:pPr>
    </w:p>
    <w:p w14:paraId="27CE0291"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19 января 1942 германский Рабочий фронт предписал всем немецким военным предприятиям на 10 % увеличить годовое производство за счет труда рабов и военнопленных (4962).</w:t>
      </w:r>
    </w:p>
    <w:p w14:paraId="25453651" w14:textId="77777777" w:rsidR="00D4651C" w:rsidRPr="008127F8" w:rsidRDefault="00D4651C" w:rsidP="001E0A84">
      <w:pPr>
        <w:pStyle w:val="Iauiue"/>
        <w:tabs>
          <w:tab w:val="left" w:pos="11199"/>
        </w:tabs>
        <w:jc w:val="both"/>
        <w:rPr>
          <w:color w:val="000000" w:themeColor="text1"/>
          <w:sz w:val="16"/>
          <w:szCs w:val="16"/>
        </w:rPr>
      </w:pPr>
    </w:p>
    <w:p w14:paraId="6B41796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января</w:t>
      </w:r>
      <w:r w:rsidRPr="008127F8">
        <w:rPr>
          <w:rFonts w:ascii="Times New Roman" w:hAnsi="Times New Roman"/>
          <w:color w:val="000000" w:themeColor="text1"/>
          <w:sz w:val="16"/>
          <w:szCs w:val="16"/>
        </w:rPr>
        <w:t xml:space="preserve"> в 1942 году японцы захватывают Бирму (15014).</w:t>
      </w:r>
    </w:p>
    <w:p w14:paraId="49DB0BD4"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7361B2D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06168806" w14:textId="77777777" w:rsidR="00D4651C" w:rsidRPr="008127F8" w:rsidRDefault="00D4651C" w:rsidP="001E0A84">
      <w:pPr>
        <w:pStyle w:val="Iauiue"/>
        <w:jc w:val="both"/>
        <w:rPr>
          <w:iCs/>
          <w:color w:val="000000" w:themeColor="text1"/>
          <w:sz w:val="16"/>
          <w:szCs w:val="16"/>
        </w:rPr>
      </w:pPr>
    </w:p>
    <w:p w14:paraId="296CFE5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Хруничев писал директору завода 264 Зернову, директору завода 207 Засульскому, врид директра завода 128 Ермакову письмо N Н-37/152:</w:t>
      </w:r>
    </w:p>
    <w:p w14:paraId="5566E16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о возможности подачи корпусов Ил-2 с завода 264 на авиазаводы в разобранном виде...</w:t>
      </w:r>
    </w:p>
    <w:p w14:paraId="66E1AE9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НКАП согласен 60% от установленной постановлением заводу 264 программы на изготовление бронекорпусов Ил-2 получать в разобранном виде с окончательной пригонкой и сборкой всех деталей корпусов при условии, что ежемесячная программа по изготовлению бронекорпусов Ил-2 на заводе 264 будет автоматически увеличена на 20%.</w:t>
      </w:r>
    </w:p>
    <w:p w14:paraId="7AF3BA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Независимо от этого, просим единовременно отгрузить комплектно детали бронекорпусов Ил-2 в виде штамповки, прошедшей полигонные испытания, для сборки в стапелях и сдачи в виде готовых корпусов на заводах НКАП 207 и 128 (1679,2).</w:t>
      </w:r>
    </w:p>
    <w:p w14:paraId="73583C9E" w14:textId="77777777" w:rsidR="00D4651C" w:rsidRPr="008127F8" w:rsidRDefault="00D4651C" w:rsidP="001E0A84">
      <w:pPr>
        <w:pStyle w:val="Iauiue"/>
        <w:jc w:val="both"/>
        <w:rPr>
          <w:color w:val="000000" w:themeColor="text1"/>
          <w:sz w:val="16"/>
          <w:szCs w:val="16"/>
        </w:rPr>
      </w:pPr>
    </w:p>
    <w:p w14:paraId="1B1A5DB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директор завода 18 Шенкман писал Дементьеву письмо N 133:</w:t>
      </w:r>
    </w:p>
    <w:p w14:paraId="5D8A8A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"Согласно Вашего телефонного распоряжения, завод 18 обязан изготовить и отгрузить в Москву до 1 февраля 1942 100 комплектов металлических деталей к убирающимся лыжам Ил-2.</w:t>
      </w:r>
    </w:p>
    <w:p w14:paraId="26FBB95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Прошу Вас учесть следующие соображения:</w:t>
      </w:r>
    </w:p>
    <w:p w14:paraId="2201CA1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Убирающиеся лыжи являются в заводе одним из узких мест, срывающим график сдачи машин.</w:t>
      </w:r>
    </w:p>
    <w:p w14:paraId="39B1E65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Монтаж убирающейся лыжи сложен и в условиях в/ч почти невозможен, т.к. требуется подгоночная работа по установке обтекателей и замка.</w:t>
      </w:r>
    </w:p>
    <w:p w14:paraId="78DF3EB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Мы вынуждены эту работу проводить большим количеством квалифицированных рабочих, изготовляя ряд деталей по месту.</w:t>
      </w:r>
    </w:p>
    <w:p w14:paraId="277711B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Кроме того, на ранее выпущенных машинах не предусмотрены точки крепления убирающейся лыжи, установка же их на готовой машине крайне затруднительна.</w:t>
      </w:r>
    </w:p>
    <w:p w14:paraId="1DF025F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Гораздо проще монтаж неубирающейся лыжи, более доступной для в/ч и требующий значительно меньшего количества и более простых деталей (1679,42).</w:t>
      </w:r>
    </w:p>
    <w:p w14:paraId="20ECAE26" w14:textId="77777777" w:rsidR="00D4651C" w:rsidRPr="008127F8" w:rsidRDefault="00D4651C" w:rsidP="001E0A84">
      <w:pPr>
        <w:pStyle w:val="Iauiue"/>
        <w:jc w:val="both"/>
        <w:rPr>
          <w:color w:val="000000" w:themeColor="text1"/>
          <w:sz w:val="16"/>
          <w:szCs w:val="16"/>
        </w:rPr>
      </w:pPr>
    </w:p>
    <w:p w14:paraId="32E1BD9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П.Дементьев писал письмо № Н-36/142 Ком. ВВС КА, гп тов. Ж И Г А Р Е В У</w:t>
      </w:r>
    </w:p>
    <w:p w14:paraId="19336F9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отправка самолетов Ил-2, Пе-2 и ДБ3-Ф в разобранном виде по железной дороге в Москву отменена.</w:t>
      </w:r>
    </w:p>
    <w:p w14:paraId="654D125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момент выхода этого постановления в пути из Ир</w:t>
      </w:r>
      <w:r w:rsidRPr="008127F8">
        <w:rPr>
          <w:rFonts w:ascii="Times New Roman" w:hAnsi="Times New Roman"/>
          <w:color w:val="000000" w:themeColor="text1"/>
          <w:sz w:val="16"/>
          <w:szCs w:val="16"/>
        </w:rPr>
        <w:softHyphen/>
        <w:t>кутска находился эшелон с 20-ю самолетами Пе-2, а из Ком</w:t>
      </w:r>
      <w:r w:rsidRPr="008127F8">
        <w:rPr>
          <w:rFonts w:ascii="Times New Roman" w:hAnsi="Times New Roman"/>
          <w:color w:val="000000" w:themeColor="text1"/>
          <w:sz w:val="16"/>
          <w:szCs w:val="16"/>
        </w:rPr>
        <w:softHyphen/>
        <w:t>сомольска 2 эшелона - один с 9-ю самолетами ДБЗ-Ф, дру</w:t>
      </w:r>
      <w:r w:rsidRPr="008127F8">
        <w:rPr>
          <w:rFonts w:ascii="Times New Roman" w:hAnsi="Times New Roman"/>
          <w:color w:val="000000" w:themeColor="text1"/>
          <w:sz w:val="16"/>
          <w:szCs w:val="16"/>
        </w:rPr>
        <w:softHyphen/>
        <w:t>гой с 5-ю самолетами. Кроме того, в Иркутске заканчивался упаковкой 3-й эшелон с 16-ю самолетами Пе-2, который сей</w:t>
      </w:r>
      <w:r w:rsidRPr="008127F8">
        <w:rPr>
          <w:rFonts w:ascii="Times New Roman" w:hAnsi="Times New Roman"/>
          <w:color w:val="000000" w:themeColor="text1"/>
          <w:sz w:val="16"/>
          <w:szCs w:val="16"/>
        </w:rPr>
        <w:softHyphen/>
        <w:t>час также находится в пути.</w:t>
      </w:r>
    </w:p>
    <w:p w14:paraId="58C500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81-му заводу надлежит собрать в своих цехах, облетать и сдать ВВС 36 самолетов Пе-2 и 14 само</w:t>
      </w:r>
      <w:r w:rsidRPr="008127F8">
        <w:rPr>
          <w:rFonts w:ascii="Times New Roman" w:hAnsi="Times New Roman"/>
          <w:color w:val="000000" w:themeColor="text1"/>
          <w:sz w:val="16"/>
          <w:szCs w:val="16"/>
        </w:rPr>
        <w:softHyphen/>
        <w:t>летов ДБЗ-Ф.</w:t>
      </w:r>
    </w:p>
    <w:p w14:paraId="18BF5B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на заводе № 81 (территория бившего завода № 39) сильно тормозятся из-за отсутствия тракторов и работников аэродромного обслуживания.</w:t>
      </w:r>
    </w:p>
    <w:p w14:paraId="002549D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на время проведения сборки и сдачи ВВС ука</w:t>
      </w:r>
      <w:r w:rsidRPr="008127F8">
        <w:rPr>
          <w:rFonts w:ascii="Times New Roman" w:hAnsi="Times New Roman"/>
          <w:color w:val="000000" w:themeColor="text1"/>
          <w:sz w:val="16"/>
          <w:szCs w:val="16"/>
        </w:rPr>
        <w:softHyphen/>
        <w:t>занных самолетов, дать заводу № 81 2 гусеничных трактора ЧТЗ и человек 50 из батальона аэродромного обслуживания, тем более что на 23-м заводе работы по сборке самолетов Ил-2 заканчиваются и батальон аэродромного обслуживания, направленный Вами туда, освобождается.</w:t>
      </w:r>
    </w:p>
    <w:p w14:paraId="318D79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Вашем решении прошу меня уведомить (1635).</w:t>
      </w:r>
    </w:p>
    <w:p w14:paraId="1B68811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132D5A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была произведена сдача и приемка завода 207 в Куйбышеве. Это полностью обеспечивало развитие производства бронекорпусов Ил-2 до 25 комплектов в сутки (1685,5).</w:t>
      </w:r>
    </w:p>
    <w:p w14:paraId="4DF59FBD" w14:textId="77777777" w:rsidR="00D4651C" w:rsidRPr="008127F8" w:rsidRDefault="00D4651C" w:rsidP="001E0A84">
      <w:pPr>
        <w:pStyle w:val="Iauiue"/>
        <w:jc w:val="both"/>
        <w:rPr>
          <w:color w:val="000000" w:themeColor="text1"/>
          <w:sz w:val="16"/>
          <w:szCs w:val="16"/>
        </w:rPr>
      </w:pPr>
    </w:p>
    <w:p w14:paraId="62FDFB3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вышел приказ НКАП № 53с:</w:t>
      </w:r>
    </w:p>
    <w:p w14:paraId="449A3E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изменение приказа № 715с от 19 июля 1941 и № 810с от 7 августа 1941:</w:t>
      </w:r>
    </w:p>
    <w:p w14:paraId="6C6F9F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З-д 307, разместившейся вне территории з-да 306, оставить самостоятельным, выделив его из состава з-да 306 и сохранить за ним прежнее наименование: “Гос. союзный з-д 307” (1523, 8).</w:t>
      </w:r>
    </w:p>
    <w:p w14:paraId="113FC8BC" w14:textId="77777777" w:rsidR="00D4651C" w:rsidRPr="008127F8" w:rsidRDefault="00D4651C" w:rsidP="001E0A84">
      <w:pPr>
        <w:pStyle w:val="Iauiue"/>
        <w:jc w:val="both"/>
        <w:rPr>
          <w:color w:val="000000" w:themeColor="text1"/>
          <w:sz w:val="16"/>
          <w:szCs w:val="16"/>
        </w:rPr>
      </w:pPr>
    </w:p>
    <w:p w14:paraId="570493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П.Дементьев писал Ком. ВВС Жигареву письмо N Н-36/142 о том, что в момент выхода постановления ГКО об отмене отправки Ил-2, Пе-2 и ДБ-3Ф в разобранном виде по ж/д в пути были эшелоны с 36-ю Пе-2 и с 9 ДБ-3Ф и сообщал, что они будут собраны на 81 заводе - б. 39 (1635,15).</w:t>
      </w:r>
    </w:p>
    <w:p w14:paraId="65A573E8" w14:textId="77777777" w:rsidR="00D4651C" w:rsidRPr="008127F8" w:rsidRDefault="00D4651C" w:rsidP="001E0A84">
      <w:pPr>
        <w:pStyle w:val="Iauiue"/>
        <w:jc w:val="both"/>
        <w:rPr>
          <w:color w:val="000000" w:themeColor="text1"/>
          <w:sz w:val="16"/>
          <w:szCs w:val="16"/>
        </w:rPr>
      </w:pPr>
    </w:p>
    <w:p w14:paraId="175C83D8"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20 января 1942 вышло Постановление ГКО № 1178 [Об изменении порядка оплаты готовых самолетов.] (7020, 175).</w:t>
      </w:r>
    </w:p>
    <w:p w14:paraId="533AB2E9" w14:textId="77777777" w:rsidR="00D4651C" w:rsidRPr="008127F8" w:rsidRDefault="00D4651C" w:rsidP="001E0A84">
      <w:pPr>
        <w:pStyle w:val="Iauiue"/>
        <w:tabs>
          <w:tab w:val="left" w:pos="11199"/>
        </w:tabs>
        <w:jc w:val="both"/>
        <w:rPr>
          <w:color w:val="000000" w:themeColor="text1"/>
          <w:sz w:val="16"/>
          <w:szCs w:val="16"/>
        </w:rPr>
      </w:pPr>
    </w:p>
    <w:p w14:paraId="0DEE6C64" w14:textId="77777777" w:rsidR="00C90B85" w:rsidRPr="008127F8" w:rsidRDefault="00C90B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вышло Постановление ГКО № 1178 Вопросы ВВС</w:t>
      </w:r>
    </w:p>
    <w:p w14:paraId="0EC0E058" w14:textId="77777777" w:rsidR="00C90B85" w:rsidRPr="008127F8" w:rsidRDefault="00C90B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 отмену существующего порядка оплаты стоимости выпускаемых самолетов на заводах НКАП </w:t>
      </w:r>
      <w:proofErr w:type="gramStart"/>
      <w:r w:rsidRPr="008127F8">
        <w:rPr>
          <w:rFonts w:ascii="Times New Roman" w:hAnsi="Times New Roman"/>
          <w:color w:val="000000" w:themeColor="text1"/>
          <w:sz w:val="16"/>
          <w:szCs w:val="16"/>
        </w:rPr>
        <w:t>установить,что</w:t>
      </w:r>
      <w:proofErr w:type="gramEnd"/>
      <w:r w:rsidRPr="008127F8">
        <w:rPr>
          <w:rFonts w:ascii="Times New Roman" w:hAnsi="Times New Roman"/>
          <w:color w:val="000000" w:themeColor="text1"/>
          <w:sz w:val="16"/>
          <w:szCs w:val="16"/>
        </w:rPr>
        <w:t xml:space="preserve"> при выходе самолета из сборочного цеха производится оплата в размере 20% от стоимости каждого выпущенного из сбор</w:t>
      </w:r>
      <w:r w:rsidRPr="008127F8">
        <w:rPr>
          <w:rFonts w:ascii="Times New Roman" w:hAnsi="Times New Roman"/>
          <w:color w:val="000000" w:themeColor="text1"/>
          <w:sz w:val="16"/>
          <w:szCs w:val="16"/>
        </w:rPr>
        <w:softHyphen/>
        <w:t>ки самолета и только после облета самолета, когда само</w:t>
      </w:r>
      <w:r w:rsidRPr="008127F8">
        <w:rPr>
          <w:rFonts w:ascii="Times New Roman" w:hAnsi="Times New Roman"/>
          <w:color w:val="000000" w:themeColor="text1"/>
          <w:sz w:val="16"/>
          <w:szCs w:val="16"/>
        </w:rPr>
        <w:softHyphen/>
        <w:t>лет можно считать готовым к бою для отправки на фронт, производить выплату остальных 80% стоимости.</w:t>
      </w:r>
    </w:p>
    <w:p w14:paraId="186B434C" w14:textId="77777777" w:rsidR="00C90B85" w:rsidRPr="008127F8" w:rsidRDefault="00C90B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Наложенный в пункте первом новый порядок оплаты ввести с 23 января 1942 года.</w:t>
      </w:r>
    </w:p>
    <w:p w14:paraId="66017E58" w14:textId="50C6D8A2" w:rsidR="00C90B85" w:rsidRPr="008127F8" w:rsidRDefault="00C90B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директоров самолетных заводов и воен</w:t>
      </w:r>
      <w:r w:rsidRPr="008127F8">
        <w:rPr>
          <w:rFonts w:ascii="Times New Roman" w:hAnsi="Times New Roman"/>
          <w:color w:val="000000" w:themeColor="text1"/>
          <w:sz w:val="16"/>
          <w:szCs w:val="16"/>
        </w:rPr>
        <w:softHyphen/>
        <w:t>предов кроме существующей ежедневной сводки о сдаче самолетов из сборочного цеха присылать в Наркомавиапром другую параллельную ежедневную сводку о сдаче облетан</w:t>
      </w:r>
      <w:r w:rsidRPr="008127F8">
        <w:rPr>
          <w:rFonts w:ascii="Times New Roman" w:hAnsi="Times New Roman"/>
          <w:color w:val="000000" w:themeColor="text1"/>
          <w:sz w:val="16"/>
          <w:szCs w:val="16"/>
        </w:rPr>
        <w:softHyphen/>
        <w:t>ных, готовых</w:t>
      </w:r>
      <w:r w:rsidR="009B10D7" w:rsidRPr="008127F8">
        <w:rPr>
          <w:rFonts w:ascii="Times New Roman" w:hAnsi="Times New Roman"/>
          <w:color w:val="000000" w:themeColor="text1"/>
          <w:sz w:val="16"/>
          <w:szCs w:val="16"/>
        </w:rPr>
        <w:t xml:space="preserve"> к бою самолетов</w:t>
      </w:r>
      <w:r w:rsidRPr="008127F8">
        <w:rPr>
          <w:rFonts w:ascii="Times New Roman" w:hAnsi="Times New Roman"/>
          <w:color w:val="000000" w:themeColor="text1"/>
          <w:sz w:val="16"/>
          <w:szCs w:val="16"/>
        </w:rPr>
        <w:t xml:space="preserve"> (19300).</w:t>
      </w:r>
    </w:p>
    <w:p w14:paraId="6258D799" w14:textId="77777777" w:rsidR="00C90B85" w:rsidRPr="008127F8" w:rsidRDefault="00C90B85" w:rsidP="001E0A84">
      <w:pPr>
        <w:pStyle w:val="Iauiue"/>
        <w:tabs>
          <w:tab w:val="left" w:pos="11199"/>
        </w:tabs>
        <w:jc w:val="both"/>
        <w:rPr>
          <w:color w:val="000000" w:themeColor="text1"/>
          <w:sz w:val="16"/>
          <w:szCs w:val="16"/>
        </w:rPr>
      </w:pPr>
    </w:p>
    <w:p w14:paraId="0553FC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вышло постановление ГКО N 1178с, которое предлагало считать товарным выпуском только самолеты после их облета и признания годными к бою для отправки на фронт (2493,42).</w:t>
      </w:r>
    </w:p>
    <w:p w14:paraId="02078E09" w14:textId="77777777" w:rsidR="00D4651C" w:rsidRPr="008127F8" w:rsidRDefault="00D4651C" w:rsidP="001E0A84">
      <w:pPr>
        <w:pStyle w:val="Iauiue"/>
        <w:jc w:val="both"/>
        <w:rPr>
          <w:color w:val="000000" w:themeColor="text1"/>
          <w:sz w:val="16"/>
          <w:szCs w:val="16"/>
        </w:rPr>
      </w:pPr>
    </w:p>
    <w:p w14:paraId="222B61D5"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января 1942 г. с целью ужесточения контроля поставок на фронт боевых самолетов ГКО принимается постановление № 1178сс, согласно которому с 23 января товарной продукцией считались только те са</w:t>
      </w:r>
      <w:r w:rsidRPr="008A2E5A">
        <w:rPr>
          <w:rFonts w:ascii="Times New Roman" w:hAnsi="Times New Roman"/>
          <w:color w:val="0070C0"/>
          <w:sz w:val="16"/>
          <w:szCs w:val="16"/>
        </w:rPr>
        <w:softHyphen/>
        <w:t>молеты, которые успешно прошли испытания на аэро</w:t>
      </w:r>
      <w:r w:rsidRPr="008A2E5A">
        <w:rPr>
          <w:rFonts w:ascii="Times New Roman" w:hAnsi="Times New Roman"/>
          <w:color w:val="0070C0"/>
          <w:sz w:val="16"/>
          <w:szCs w:val="16"/>
        </w:rPr>
        <w:softHyphen/>
        <w:t>дроме, то есть боеготовые. Все собранные, но не обле</w:t>
      </w:r>
      <w:r w:rsidRPr="008A2E5A">
        <w:rPr>
          <w:rFonts w:ascii="Times New Roman" w:hAnsi="Times New Roman"/>
          <w:color w:val="0070C0"/>
          <w:sz w:val="16"/>
          <w:szCs w:val="16"/>
        </w:rPr>
        <w:softHyphen/>
        <w:t>танные и не принятые военными машины, переходили в разряд незавершенного производства. Оплата этих самолетов осуществлялась в размере 20% их закупоч</w:t>
      </w:r>
      <w:r w:rsidRPr="008A2E5A">
        <w:rPr>
          <w:rFonts w:ascii="Times New Roman" w:hAnsi="Times New Roman"/>
          <w:color w:val="0070C0"/>
          <w:sz w:val="16"/>
          <w:szCs w:val="16"/>
        </w:rPr>
        <w:softHyphen/>
        <w:t xml:space="preserve">ной стоимости, </w:t>
      </w:r>
      <w:r w:rsidRPr="008A2E5A">
        <w:rPr>
          <w:rFonts w:ascii="Times New Roman" w:hAnsi="Times New Roman"/>
          <w:color w:val="0070C0"/>
          <w:sz w:val="16"/>
          <w:szCs w:val="16"/>
        </w:rPr>
        <w:lastRenderedPageBreak/>
        <w:t>установленной договорами между ВВС и НКАП. Остальные 80% выплачивались после облета самолетов и получения ВВС групповых комплектов запасных частей, инструмента, оснастки и приспособле</w:t>
      </w:r>
      <w:r w:rsidRPr="008A2E5A">
        <w:rPr>
          <w:rFonts w:ascii="Times New Roman" w:hAnsi="Times New Roman"/>
          <w:color w:val="0070C0"/>
          <w:sz w:val="16"/>
          <w:szCs w:val="16"/>
        </w:rPr>
        <w:softHyphen/>
        <w:t>ний (козелков, колодок и т.д., необходимых для эксплу</w:t>
      </w:r>
      <w:r w:rsidRPr="008A2E5A">
        <w:rPr>
          <w:rFonts w:ascii="Times New Roman" w:hAnsi="Times New Roman"/>
          <w:color w:val="0070C0"/>
          <w:sz w:val="16"/>
          <w:szCs w:val="16"/>
        </w:rPr>
        <w:softHyphen/>
        <w:t>атации самолетов в частях), которые заводы не всегда могли своевременно поставить вместе с самолетом (23346).</w:t>
      </w:r>
    </w:p>
    <w:p w14:paraId="7554FF5E" w14:textId="77777777" w:rsidR="004A1220" w:rsidRPr="008A2E5A" w:rsidRDefault="004A1220" w:rsidP="004A1220">
      <w:pPr>
        <w:spacing w:after="0" w:line="240" w:lineRule="auto"/>
        <w:jc w:val="both"/>
        <w:rPr>
          <w:rFonts w:ascii="Times New Roman" w:hAnsi="Times New Roman"/>
          <w:color w:val="0070C0"/>
          <w:sz w:val="16"/>
          <w:szCs w:val="16"/>
        </w:rPr>
      </w:pPr>
    </w:p>
    <w:p w14:paraId="58D5B4EE"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января 1942 г. Постановление ГКО СССР № 1178с -«Вопросы ВВС». — О новом порядке оплаты выпускаемых самолетов на заводах Наркомата авиационной промышленности СССР</w:t>
      </w:r>
    </w:p>
    <w:p w14:paraId="198AEB0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01661EFE"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отмену существующего порядка оплаты стоимости выпускаемых самолетов на заводах НКАП установить, что при выходе самолета из сборочного цеха производится оплата в размере 20% от стоимости каждого выпущенного из сборки самолета, и только после облета самолета, когда самолет можно считать готовым к бою для отправки на фронт, производить выплату остальных 80% стоимости.</w:t>
      </w:r>
    </w:p>
    <w:p w14:paraId="45BFAE65"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Изложенный в п. 1 новый порядок оплаты ввести с 23 января 1942 г.</w:t>
      </w:r>
    </w:p>
    <w:p w14:paraId="65923467"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директоров самолетных заводов и военпредов, кроме существующей ежедневной сводки о сдаче самолетов из сборочного цеха, присылать в Наркомавиапром другую, параллельную, ежедневную сводку о сдаче облетанных, готовых к бою, самолетов.</w:t>
      </w:r>
    </w:p>
    <w:p w14:paraId="34F1454F"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26FCC523"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19. Л. 175. Подлинник (23706).</w:t>
      </w:r>
    </w:p>
    <w:p w14:paraId="4A239699" w14:textId="77777777" w:rsidR="004A1220" w:rsidRPr="008A2E5A" w:rsidRDefault="004A1220" w:rsidP="004A1220">
      <w:pPr>
        <w:spacing w:after="0" w:line="240" w:lineRule="auto"/>
        <w:jc w:val="both"/>
        <w:rPr>
          <w:rFonts w:ascii="Times New Roman" w:hAnsi="Times New Roman"/>
          <w:color w:val="0070C0"/>
          <w:sz w:val="16"/>
          <w:szCs w:val="16"/>
        </w:rPr>
      </w:pPr>
    </w:p>
    <w:p w14:paraId="0E19E84B"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20 января 1942 г. основные цеха завода № 153 (крыльевой и фюзеляжно-сборочный) дополнительно к ор</w:t>
      </w:r>
      <w:r w:rsidRPr="008A2E5A">
        <w:rPr>
          <w:rFonts w:ascii="Times New Roman" w:hAnsi="Times New Roman"/>
          <w:color w:val="0070C0"/>
          <w:sz w:val="16"/>
          <w:szCs w:val="16"/>
        </w:rPr>
        <w:softHyphen/>
        <w:t>ганизованным ранее перевели на вы</w:t>
      </w:r>
      <w:r w:rsidRPr="008A2E5A">
        <w:rPr>
          <w:rFonts w:ascii="Times New Roman" w:hAnsi="Times New Roman"/>
          <w:color w:val="0070C0"/>
          <w:sz w:val="16"/>
          <w:szCs w:val="16"/>
        </w:rPr>
        <w:softHyphen/>
        <w:t>пуск новой продукции, чтобы начать окончательную сборку самолетов Як-7 с 26 января, а сдачу из ВВС - с 1 февраля 1942 г. Для этого в цехе №9 окончательной сборки освободили одну половину для создания поточ</w:t>
      </w:r>
      <w:r w:rsidRPr="008A2E5A">
        <w:rPr>
          <w:rFonts w:ascii="Times New Roman" w:hAnsi="Times New Roman"/>
          <w:color w:val="0070C0"/>
          <w:sz w:val="16"/>
          <w:szCs w:val="16"/>
        </w:rPr>
        <w:softHyphen/>
        <w:t>ной линии Як-7. В новом производст</w:t>
      </w:r>
      <w:r w:rsidRPr="008A2E5A">
        <w:rPr>
          <w:rFonts w:ascii="Times New Roman" w:hAnsi="Times New Roman"/>
          <w:color w:val="0070C0"/>
          <w:sz w:val="16"/>
          <w:szCs w:val="16"/>
        </w:rPr>
        <w:softHyphen/>
        <w:t>ве из общего количества в 20 743 ра</w:t>
      </w:r>
      <w:r w:rsidRPr="008A2E5A">
        <w:rPr>
          <w:rFonts w:ascii="Times New Roman" w:hAnsi="Times New Roman"/>
          <w:color w:val="0070C0"/>
          <w:sz w:val="16"/>
          <w:szCs w:val="16"/>
        </w:rPr>
        <w:softHyphen/>
        <w:t>ботающих по состоянию на 01.01.42 г. задействовали 2439 человек, в том числе 367 рабочих, 35 ИТР и 35 слу</w:t>
      </w:r>
      <w:r w:rsidRPr="008A2E5A">
        <w:rPr>
          <w:rFonts w:ascii="Times New Roman" w:hAnsi="Times New Roman"/>
          <w:color w:val="0070C0"/>
          <w:sz w:val="16"/>
          <w:szCs w:val="16"/>
        </w:rPr>
        <w:softHyphen/>
        <w:t>жащих. Остальные 1944 являлись учениками.</w:t>
      </w:r>
    </w:p>
    <w:p w14:paraId="12F1405E"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боевого варианта Як-7, внедряемого на заводе №153, изменялось достаточно часто. Первона</w:t>
      </w:r>
      <w:r w:rsidRPr="008A2E5A">
        <w:rPr>
          <w:rFonts w:ascii="Times New Roman" w:hAnsi="Times New Roman"/>
          <w:color w:val="0070C0"/>
          <w:sz w:val="16"/>
          <w:szCs w:val="16"/>
        </w:rPr>
        <w:softHyphen/>
        <w:t>чально машину именовали как Як-1 в варианте Як-7 (в до</w:t>
      </w:r>
      <w:r w:rsidRPr="008A2E5A">
        <w:rPr>
          <w:rFonts w:ascii="Times New Roman" w:hAnsi="Times New Roman"/>
          <w:color w:val="0070C0"/>
          <w:sz w:val="16"/>
          <w:szCs w:val="16"/>
        </w:rPr>
        <w:softHyphen/>
        <w:t>кументах ГКО и НКАП второй половины 1941 г. словосо</w:t>
      </w:r>
      <w:r w:rsidRPr="008A2E5A">
        <w:rPr>
          <w:rFonts w:ascii="Times New Roman" w:hAnsi="Times New Roman"/>
          <w:color w:val="0070C0"/>
          <w:sz w:val="16"/>
          <w:szCs w:val="16"/>
        </w:rPr>
        <w:softHyphen/>
        <w:t>четание «в варианте Як-7» опускалось, а учебный вариант машины, несмотря на переобозначение в декабре 1940 г, именовался по-прежнему - УТИ-26). В декабре 1941 г. официальными наименованиями ста</w:t>
      </w:r>
      <w:r w:rsidRPr="008A2E5A">
        <w:rPr>
          <w:rFonts w:ascii="Times New Roman" w:hAnsi="Times New Roman"/>
          <w:color w:val="0070C0"/>
          <w:sz w:val="16"/>
          <w:szCs w:val="16"/>
        </w:rPr>
        <w:softHyphen/>
        <w:t>ли: Як-7 - учебный вариант и Як-3 - боевой вариант ма</w:t>
      </w:r>
      <w:r w:rsidRPr="008A2E5A">
        <w:rPr>
          <w:rFonts w:ascii="Times New Roman" w:hAnsi="Times New Roman"/>
          <w:color w:val="0070C0"/>
          <w:sz w:val="16"/>
          <w:szCs w:val="16"/>
        </w:rPr>
        <w:softHyphen/>
        <w:t>шины (наименование Як-3 в заводской документации по</w:t>
      </w:r>
      <w:r w:rsidRPr="008A2E5A">
        <w:rPr>
          <w:rFonts w:ascii="Times New Roman" w:hAnsi="Times New Roman"/>
          <w:color w:val="0070C0"/>
          <w:sz w:val="16"/>
          <w:szCs w:val="16"/>
        </w:rPr>
        <w:softHyphen/>
        <w:t>явилось с 20 января 1942 г.). После отработки на заво</w:t>
      </w:r>
      <w:r w:rsidRPr="008A2E5A">
        <w:rPr>
          <w:rFonts w:ascii="Times New Roman" w:hAnsi="Times New Roman"/>
          <w:color w:val="0070C0"/>
          <w:sz w:val="16"/>
          <w:szCs w:val="16"/>
        </w:rPr>
        <w:softHyphen/>
        <w:t>де №153 эталонов серии 1942 г. самолетов №1415311 (с пулеметами ШКАС), №1415313 (с пулеметами БС) и №1515340 (учебного варианта с неубирающимся шас</w:t>
      </w:r>
      <w:r w:rsidRPr="008A2E5A">
        <w:rPr>
          <w:rFonts w:ascii="Times New Roman" w:hAnsi="Times New Roman"/>
          <w:color w:val="0070C0"/>
          <w:sz w:val="16"/>
          <w:szCs w:val="16"/>
        </w:rPr>
        <w:softHyphen/>
        <w:t>си) с февраля 1942 г. эти типы машин обозначили на за</w:t>
      </w:r>
      <w:r w:rsidRPr="008A2E5A">
        <w:rPr>
          <w:rFonts w:ascii="Times New Roman" w:hAnsi="Times New Roman"/>
          <w:color w:val="0070C0"/>
          <w:sz w:val="16"/>
          <w:szCs w:val="16"/>
        </w:rPr>
        <w:softHyphen/>
        <w:t>воде как Як-7б, Як-7бс и Як-7 соответственно. В приказе заместителя наркома авиапромышленности А.С. Яковле</w:t>
      </w:r>
      <w:r w:rsidRPr="008A2E5A">
        <w:rPr>
          <w:rFonts w:ascii="Times New Roman" w:hAnsi="Times New Roman"/>
          <w:color w:val="0070C0"/>
          <w:sz w:val="16"/>
          <w:szCs w:val="16"/>
        </w:rPr>
        <w:softHyphen/>
        <w:t>ва №12 от 21 февраля 1942 г. о премировании работников завода №115 за создание и внедрение новых улучшен</w:t>
      </w:r>
      <w:r w:rsidRPr="008A2E5A">
        <w:rPr>
          <w:rFonts w:ascii="Times New Roman" w:hAnsi="Times New Roman"/>
          <w:color w:val="0070C0"/>
          <w:sz w:val="16"/>
          <w:szCs w:val="16"/>
        </w:rPr>
        <w:softHyphen/>
        <w:t>ных образцов Як-7 эти машины уже поименованы как Як- 7А, Як-7Б и Як-7В. С середины марта 1942 г. наименова</w:t>
      </w:r>
      <w:r w:rsidRPr="008A2E5A">
        <w:rPr>
          <w:rFonts w:ascii="Times New Roman" w:hAnsi="Times New Roman"/>
          <w:color w:val="0070C0"/>
          <w:sz w:val="16"/>
          <w:szCs w:val="16"/>
        </w:rPr>
        <w:softHyphen/>
        <w:t>ния ОКБ получили статус официальных обозначений мо</w:t>
      </w:r>
      <w:r w:rsidRPr="008A2E5A">
        <w:rPr>
          <w:rFonts w:ascii="Times New Roman" w:hAnsi="Times New Roman"/>
          <w:color w:val="0070C0"/>
          <w:sz w:val="16"/>
          <w:szCs w:val="16"/>
        </w:rPr>
        <w:softHyphen/>
        <w:t>дификаций Як-7 (во избежание путаницы далее по текс</w:t>
      </w:r>
      <w:r w:rsidRPr="008A2E5A">
        <w:rPr>
          <w:rFonts w:ascii="Times New Roman" w:hAnsi="Times New Roman"/>
          <w:color w:val="0070C0"/>
          <w:sz w:val="16"/>
          <w:szCs w:val="16"/>
        </w:rPr>
        <w:softHyphen/>
        <w:t>ту будет приводиться только их окончательный вариант. Для несекретной документации на заводе №153 применяли наименование - «машина «А». (23381).</w:t>
      </w:r>
    </w:p>
    <w:p w14:paraId="4C3F15B0" w14:textId="77777777" w:rsidR="004A1220" w:rsidRPr="008A2E5A" w:rsidRDefault="004A1220" w:rsidP="004A1220">
      <w:pPr>
        <w:spacing w:after="0" w:line="240" w:lineRule="auto"/>
        <w:jc w:val="both"/>
        <w:rPr>
          <w:rFonts w:ascii="Times New Roman" w:hAnsi="Times New Roman"/>
          <w:color w:val="0070C0"/>
          <w:sz w:val="16"/>
          <w:szCs w:val="16"/>
        </w:rPr>
      </w:pPr>
    </w:p>
    <w:p w14:paraId="2B2FDBFA"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января 1942 вышло постановление ГКО</w:t>
      </w:r>
    </w:p>
    <w:p w14:paraId="6616D3E5"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Утвердить мероприятия по упрощению производст</w:t>
      </w:r>
      <w:r w:rsidRPr="008A2E5A">
        <w:rPr>
          <w:rFonts w:ascii="Times New Roman" w:hAnsi="Times New Roman"/>
          <w:color w:val="0070C0"/>
          <w:sz w:val="16"/>
          <w:szCs w:val="16"/>
        </w:rPr>
        <w:softHyphen/>
        <w:t xml:space="preserve">ва и облегчению конструкции серийных истребителей, представленные Зам.Наркомавиапрома </w:t>
      </w:r>
      <w:proofErr w:type="gramStart"/>
      <w:r w:rsidRPr="008A2E5A">
        <w:rPr>
          <w:rFonts w:ascii="Times New Roman" w:hAnsi="Times New Roman"/>
          <w:color w:val="0070C0"/>
          <w:sz w:val="16"/>
          <w:szCs w:val="16"/>
        </w:rPr>
        <w:t>тов.Яковлевым</w:t>
      </w:r>
      <w:proofErr w:type="gramEnd"/>
      <w:r w:rsidRPr="008A2E5A">
        <w:rPr>
          <w:rFonts w:ascii="Times New Roman" w:hAnsi="Times New Roman"/>
          <w:color w:val="0070C0"/>
          <w:sz w:val="16"/>
          <w:szCs w:val="16"/>
        </w:rPr>
        <w:t xml:space="preserve"> и главным инженером ВВС тов.Репиным.</w:t>
      </w:r>
    </w:p>
    <w:p w14:paraId="14CBDC6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истребителей для частей ПВО, оборудо</w:t>
      </w:r>
      <w:r w:rsidRPr="008A2E5A">
        <w:rPr>
          <w:rFonts w:ascii="Times New Roman" w:hAnsi="Times New Roman"/>
          <w:color w:val="0070C0"/>
          <w:sz w:val="16"/>
          <w:szCs w:val="16"/>
        </w:rPr>
        <w:softHyphen/>
        <w:t>ванных в соответствии с требованиями, для выполне</w:t>
      </w:r>
      <w:r w:rsidRPr="008A2E5A">
        <w:rPr>
          <w:rFonts w:ascii="Times New Roman" w:hAnsi="Times New Roman"/>
          <w:color w:val="0070C0"/>
          <w:sz w:val="16"/>
          <w:szCs w:val="16"/>
        </w:rPr>
        <w:softHyphen/>
        <w:t>ния ночных полетов, определяется соглашением между НКАП и УВВС.</w:t>
      </w:r>
    </w:p>
    <w:p w14:paraId="6BD1FCBB"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Гэсударственного Комитета Обороны И. Сталин</w:t>
      </w:r>
    </w:p>
    <w:p w14:paraId="71D9721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Перечень мероприятий</w:t>
      </w:r>
    </w:p>
    <w:p w14:paraId="3DF9D1D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производственному и эксплуатационному упроще</w:t>
      </w:r>
      <w:r w:rsidRPr="008A2E5A">
        <w:rPr>
          <w:rFonts w:ascii="Times New Roman" w:hAnsi="Times New Roman"/>
          <w:color w:val="0070C0"/>
          <w:sz w:val="16"/>
          <w:szCs w:val="16"/>
        </w:rPr>
        <w:softHyphen/>
        <w:t>нию и облегчению конструкции серийных истребителей Як и ЛаГГ.</w:t>
      </w:r>
    </w:p>
    <w:p w14:paraId="33F2F819"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фару с выключателем и предохранителем сети*.</w:t>
      </w:r>
    </w:p>
    <w:p w14:paraId="0B24A144"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арматуру подсвета доски приборов*.</w:t>
      </w:r>
    </w:p>
    <w:p w14:paraId="174B5A7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концевой выключатель на секторе газа.</w:t>
      </w:r>
    </w:p>
    <w:p w14:paraId="40D93F06"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сигнальные лампы убранного положения шасси.</w:t>
      </w:r>
    </w:p>
    <w:p w14:paraId="695395D4"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сигнализацию выпущенного положения костыля</w:t>
      </w:r>
    </w:p>
    <w:p w14:paraId="46A7DF4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экранировку сети после регуляторной коробки.</w:t>
      </w:r>
    </w:p>
    <w:p w14:paraId="312C700B"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обогрев часов.</w:t>
      </w:r>
    </w:p>
    <w:p w14:paraId="10D32F04"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обогрев трубки Пито.</w:t>
      </w:r>
    </w:p>
    <w:p w14:paraId="10BF57D7"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Ввести однопроводную схему электрооборудования.</w:t>
      </w:r>
    </w:p>
    <w:p w14:paraId="17998D1A"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штепсельную розетку хвостового АНО.</w:t>
      </w:r>
    </w:p>
    <w:p w14:paraId="78C6E88C"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Заменить оптический прицел механическим.</w:t>
      </w:r>
    </w:p>
    <w:p w14:paraId="01D4355B"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автомат давления.</w:t>
      </w:r>
    </w:p>
    <w:p w14:paraId="450F8627"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манометр вооружения.</w:t>
      </w:r>
    </w:p>
    <w:p w14:paraId="7F9A5272"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пневмоперезарядку МП-20.</w:t>
      </w:r>
    </w:p>
    <w:p w14:paraId="5E59CCCF"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радиополукомпас*.</w:t>
      </w:r>
    </w:p>
    <w:p w14:paraId="36130288"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вариометр*.</w:t>
      </w:r>
    </w:p>
    <w:p w14:paraId="1254F360"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трос дублер ножного управления.</w:t>
      </w:r>
    </w:p>
    <w:p w14:paraId="600966CA"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Снять бензобак в фюзеляже в связи с тем, что выпуска</w:t>
      </w:r>
      <w:r w:rsidRPr="008A2E5A">
        <w:rPr>
          <w:rFonts w:ascii="Times New Roman" w:hAnsi="Times New Roman"/>
          <w:color w:val="0070C0"/>
          <w:sz w:val="16"/>
          <w:szCs w:val="16"/>
        </w:rPr>
        <w:softHyphen/>
        <w:t>ется самолет ЯК-9 с повышенной дальностью.</w:t>
      </w:r>
    </w:p>
    <w:p w14:paraId="63B94712"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 - устанавливается только для самоле</w:t>
      </w:r>
      <w:r w:rsidRPr="008A2E5A">
        <w:rPr>
          <w:rFonts w:ascii="Times New Roman" w:hAnsi="Times New Roman"/>
          <w:color w:val="0070C0"/>
          <w:sz w:val="16"/>
          <w:szCs w:val="16"/>
        </w:rPr>
        <w:softHyphen/>
        <w:t>тов ПВО по особому заказу.</w:t>
      </w:r>
    </w:p>
    <w:p w14:paraId="55E868C3"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Указанные мероприятия дают:</w:t>
      </w:r>
    </w:p>
    <w:p w14:paraId="5007D7E8"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Экономию провода - 100 м.</w:t>
      </w:r>
    </w:p>
    <w:p w14:paraId="57F2BBAB"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Экономию экранирующей оплетки - 50 м</w:t>
      </w:r>
    </w:p>
    <w:p w14:paraId="1616678A"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Экономию троса -15м.</w:t>
      </w:r>
    </w:p>
    <w:p w14:paraId="748ED97E"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Сокращение номенклатуры готовых изделий на - 20 единиц.</w:t>
      </w:r>
    </w:p>
    <w:p w14:paraId="273AB81A"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Уменьшение количества деталей для установки на са</w:t>
      </w:r>
      <w:r w:rsidRPr="008A2E5A">
        <w:rPr>
          <w:rFonts w:ascii="Times New Roman" w:hAnsi="Times New Roman"/>
          <w:color w:val="0070C0"/>
          <w:sz w:val="16"/>
          <w:szCs w:val="16"/>
        </w:rPr>
        <w:softHyphen/>
        <w:t>молет перечисленного оборудования - 200 деталей.</w:t>
      </w:r>
    </w:p>
    <w:p w14:paraId="12B584B5" w14:textId="77777777" w:rsidR="004A1220" w:rsidRPr="008A2E5A" w:rsidRDefault="004A1220" w:rsidP="004A12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Уменьшение веса самолета на - 25-30 кг (23381).</w:t>
      </w:r>
    </w:p>
    <w:p w14:paraId="58B0BD43" w14:textId="77777777" w:rsidR="004A1220" w:rsidRPr="008A2E5A" w:rsidRDefault="004A1220" w:rsidP="004A1220">
      <w:pPr>
        <w:spacing w:after="0" w:line="240" w:lineRule="auto"/>
        <w:jc w:val="both"/>
        <w:rPr>
          <w:rFonts w:ascii="Times New Roman" w:hAnsi="Times New Roman"/>
          <w:color w:val="0070C0"/>
          <w:sz w:val="16"/>
          <w:szCs w:val="16"/>
        </w:rPr>
      </w:pPr>
    </w:p>
    <w:p w14:paraId="76E097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эвакуирован</w:t>
      </w:r>
      <w:r w:rsidRPr="008127F8">
        <w:rPr>
          <w:rFonts w:ascii="Times New Roman" w:hAnsi="Times New Roman"/>
          <w:color w:val="000000" w:themeColor="text1"/>
          <w:sz w:val="16"/>
          <w:szCs w:val="16"/>
        </w:rPr>
        <w:softHyphen/>
        <w:t>ный в Омск завод № 29 известил Н.Н.П. письмом о том, что 10 января 1942 завершились 50-часовые испытания мотора М-90, указал также, что на стен</w:t>
      </w:r>
      <w:r w:rsidRPr="008127F8">
        <w:rPr>
          <w:rFonts w:ascii="Times New Roman" w:hAnsi="Times New Roman"/>
          <w:color w:val="000000" w:themeColor="text1"/>
          <w:sz w:val="16"/>
          <w:szCs w:val="16"/>
        </w:rPr>
        <w:softHyphen/>
        <w:t>де мотор развил следующие мощности: на взлетном ре</w:t>
      </w:r>
      <w:r w:rsidRPr="008127F8">
        <w:rPr>
          <w:rFonts w:ascii="Times New Roman" w:hAnsi="Times New Roman"/>
          <w:color w:val="000000" w:themeColor="text1"/>
          <w:sz w:val="16"/>
          <w:szCs w:val="16"/>
        </w:rPr>
        <w:softHyphen/>
        <w:t>жиме - 1960-1900 л.с., на 1-й скорости нагнетателя на высоте 2700 м (без учета скоростного напора) - 1800 л.с., на 2-й скорости нагнетателя на высоте 6100 м (без учета скоростного напора) - 1500 л.с. Там же говорилось:</w:t>
      </w:r>
    </w:p>
    <w:p w14:paraId="2129BE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проведенных заводских испытаний и с утверждения Государственной Комиссии заводом за</w:t>
      </w:r>
      <w:r w:rsidRPr="008127F8">
        <w:rPr>
          <w:rFonts w:ascii="Times New Roman" w:hAnsi="Times New Roman"/>
          <w:color w:val="000000" w:themeColor="text1"/>
          <w:sz w:val="16"/>
          <w:szCs w:val="16"/>
        </w:rPr>
        <w:softHyphen/>
        <w:t>пущена в производство малая серия моторов М-90 с 50-ти часовым ресурсом до первой переборки для уста</w:t>
      </w:r>
      <w:r w:rsidRPr="008127F8">
        <w:rPr>
          <w:rFonts w:ascii="Times New Roman" w:hAnsi="Times New Roman"/>
          <w:color w:val="000000" w:themeColor="text1"/>
          <w:sz w:val="16"/>
          <w:szCs w:val="16"/>
        </w:rPr>
        <w:softHyphen/>
        <w:t>новки на опытные самолеты.</w:t>
      </w:r>
    </w:p>
    <w:p w14:paraId="596DA0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проводит подготовку к проведению государст</w:t>
      </w:r>
      <w:r w:rsidRPr="008127F8">
        <w:rPr>
          <w:rFonts w:ascii="Times New Roman" w:hAnsi="Times New Roman"/>
          <w:color w:val="000000" w:themeColor="text1"/>
          <w:sz w:val="16"/>
          <w:szCs w:val="16"/>
        </w:rPr>
        <w:softHyphen/>
        <w:t>венных испытаний мотора на срок службы 100 час. Го</w:t>
      </w:r>
      <w:r w:rsidRPr="008127F8">
        <w:rPr>
          <w:rFonts w:ascii="Times New Roman" w:hAnsi="Times New Roman"/>
          <w:color w:val="000000" w:themeColor="text1"/>
          <w:sz w:val="16"/>
          <w:szCs w:val="16"/>
        </w:rPr>
        <w:softHyphen/>
        <w:t>сударственные испытания мотора будут закончены в феврале месяце с.г., после чего завод приступит к серий</w:t>
      </w:r>
      <w:r w:rsidRPr="008127F8">
        <w:rPr>
          <w:rFonts w:ascii="Times New Roman" w:hAnsi="Times New Roman"/>
          <w:color w:val="000000" w:themeColor="text1"/>
          <w:sz w:val="16"/>
          <w:szCs w:val="16"/>
        </w:rPr>
        <w:softHyphen/>
        <w:t>ному производству моторов М-90.</w:t>
      </w:r>
    </w:p>
    <w:p w14:paraId="5DC30BD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М-90 первой партии будут выпущены с кар</w:t>
      </w:r>
      <w:r w:rsidRPr="008127F8">
        <w:rPr>
          <w:rFonts w:ascii="Times New Roman" w:hAnsi="Times New Roman"/>
          <w:color w:val="000000" w:themeColor="text1"/>
          <w:sz w:val="16"/>
          <w:szCs w:val="16"/>
        </w:rPr>
        <w:softHyphen/>
        <w:t>бюратором, последующие - предположено выпускать с насосом для непосредственного впрыска топлива.</w:t>
      </w:r>
    </w:p>
    <w:p w14:paraId="1EA956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Просим дать заключение о возможности примене</w:t>
      </w:r>
      <w:r w:rsidRPr="008127F8">
        <w:rPr>
          <w:rFonts w:ascii="Times New Roman" w:hAnsi="Times New Roman"/>
          <w:color w:val="000000" w:themeColor="text1"/>
          <w:sz w:val="16"/>
          <w:szCs w:val="16"/>
        </w:rPr>
        <w:softHyphen/>
        <w:t>ния моторов М-90 на Ваших самолетах» (10667).</w:t>
      </w:r>
    </w:p>
    <w:p w14:paraId="6174A6D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3310C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вышел приказ № 51с, которым на площадке эвакуированного завода № 34 НКАП были образованы и начали действовать Агрегатные ремонтные мастерские при 2ГУ. В начале 1942 г. началось восстановление производства, мастерские преобразованы в филиал завода № 34 (завод № 34м). Директор филиала- Ю.Б. Эскин. Приказом № 464с от 24.06.1942 г. филиал завода № 34 НКАП преобразован в новый завод № 124 при 2ГУ НКАП. Производство водо- и маслорадиаторов.</w:t>
      </w:r>
    </w:p>
    <w:p w14:paraId="1BB868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0C93C1B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1B7A29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С 12.01.1959 г. завод реорганизован в опытно-серийный. Сохранено крупносерийное производство, развивалось опытное производство. С 01.1960 г. завод и ОКБ вновь слиты в единое предприятие.</w:t>
      </w:r>
    </w:p>
    <w:p w14:paraId="3894D0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 г. заводу передано предприятие из системы МВД, образована вторая территория завода.</w:t>
      </w:r>
    </w:p>
    <w:p w14:paraId="40045A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Участвовало в создании в 1960-х г.- стартового комплекса РН «Циклон-2».</w:t>
      </w:r>
    </w:p>
    <w:p w14:paraId="0207DA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в составе НПО «Наука»- Агрегатный завод «Наука» МАП. В 1993 г. НПО преобразовано в АО.</w:t>
      </w:r>
    </w:p>
    <w:p w14:paraId="02623D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теплотехническое оборудование, регуляторы расхода топлива.</w:t>
      </w:r>
    </w:p>
    <w:p w14:paraId="0DEE50D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систем жизнеобеспечения (кондиционирования, автоматического регулирования давления) экипажа и пассажиров ЛА;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0AA02B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3DA754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г.)- 2000 чел.</w:t>
      </w:r>
    </w:p>
    <w:p w14:paraId="5763EF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Президент (03.1998-2000 г.)- Э.С. Неймарк (до этого- зам. руководителя Департамента АП, затем- советник </w:t>
      </w:r>
      <w:proofErr w:type="gramStart"/>
      <w:r w:rsidRPr="008127F8">
        <w:rPr>
          <w:rFonts w:ascii="Times New Roman" w:hAnsi="Times New Roman"/>
          <w:color w:val="000000" w:themeColor="text1"/>
          <w:sz w:val="16"/>
          <w:szCs w:val="16"/>
        </w:rPr>
        <w:t>президента )</w:t>
      </w:r>
      <w:proofErr w:type="gramEnd"/>
      <w:r w:rsidRPr="008127F8">
        <w:rPr>
          <w:rFonts w:ascii="Times New Roman" w:hAnsi="Times New Roman"/>
          <w:color w:val="000000" w:themeColor="text1"/>
          <w:sz w:val="16"/>
          <w:szCs w:val="16"/>
        </w:rPr>
        <w:t>, (2002 г.)- А.А. Синица, В.А. Шаповалов.</w:t>
      </w:r>
    </w:p>
    <w:p w14:paraId="2FEF70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совета директоров (2003 г.)- Е.В. Меркулов.</w:t>
      </w:r>
    </w:p>
    <w:p w14:paraId="0FAAB4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(20.07.1942-1.03.1943 г.)- Ю.Б. Эскин, (2.03.1943-2.11.1944 г.)- Ф.Г. Нестеров, (2.11.1944-19.04.1946 г.)- К.М. Ермолов, (19.04-9.06.1946 г.)- Ф.Г. Нестеров, (07.1946-11.1948 г.)- Г.И. Воронин, (25.11.1948-21.12.1951 г.)- М.М. Бондаренко, (24.12.1951-5.04.1954 г.)- Ф.А. Мелихов, (25.05.1954-1963 г.)- И.И. Румянцев, (1963-73 г.)- В.И. Сычев, (1973-84 г.-)- В.Ф. Кадышев. Гендиректор (1990-е)- И.В. Тишин.</w:t>
      </w:r>
    </w:p>
    <w:p w14:paraId="22DF91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(07.1946-11.1948 г.)- Г.И. Воронин, (1990-е)- И.В. Тишин.</w:t>
      </w:r>
    </w:p>
    <w:p w14:paraId="75D410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(1960 г.)- М.В. Золотухин.</w:t>
      </w:r>
    </w:p>
    <w:p w14:paraId="637C821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системы жизнеобеспечения и терморегулирования КА «Восток», «Восход», «Союз», «Луна», «Венера», «Марс», «Салют», «Мир», «Алмаз», «Энергия-Буран»; системы охлаждения и кондиционирования самолета А-50 (1970-е).</w:t>
      </w:r>
    </w:p>
    <w:p w14:paraId="3A9738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124 НКАП, НПО "Наука" МАП, АООТ, ОАО «НПО «Наука» </w:t>
      </w:r>
    </w:p>
    <w:p w14:paraId="565684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3-я ул. Ямского Поля, 14/16 (1947 г.)</w:t>
      </w:r>
    </w:p>
    <w:p w14:paraId="501FA5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125124 г. Москва 3-я ул. Ямского Поля, вл. 2 тел. 257-04-00</w:t>
      </w:r>
    </w:p>
    <w:p w14:paraId="692A17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ОКБ-124 НКАП, МАП </w:t>
      </w:r>
    </w:p>
    <w:p w14:paraId="0EDC0BC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2ABC1A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w:t>
      </w:r>
    </w:p>
    <w:p w14:paraId="0D5522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16191D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w:t>
      </w:r>
    </w:p>
    <w:p w14:paraId="5C8CCC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(04.1943-85 г.)- Г.И. Воронин. </w:t>
      </w:r>
    </w:p>
    <w:p w14:paraId="207FDCA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ЗАО «Хамильтон Стандарт-Наука» (ХСН)</w:t>
      </w:r>
    </w:p>
    <w:p w14:paraId="644134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103287 г. Москва Петровско-Разумовский пр., 19/1 тел. 755-77-00</w:t>
      </w:r>
    </w:p>
    <w:p w14:paraId="3499749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Совместное предприятие зарегистрировано в 12.1994 г.</w:t>
      </w:r>
    </w:p>
    <w:p w14:paraId="7E1BB4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систем кондиционирования воздуха для гражданских самолетов.</w:t>
      </w:r>
    </w:p>
    <w:p w14:paraId="07E984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г.)- 80 чел.</w:t>
      </w:r>
    </w:p>
    <w:p w14:paraId="249853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Л.Б. Мазин.</w:t>
      </w:r>
    </w:p>
    <w:p w14:paraId="02C2D4A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(2002 г.)- О.Б. Арямнов (10776).</w:t>
      </w:r>
    </w:p>
    <w:p w14:paraId="0765CC0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751514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в Москве на площадке эвакуированного завода № 34 (Завод № 34 им. Постышева НКТП, НКОП, Завод № 34 НКАП, НКЭС, Троицкий электромеханический завод (ТЭМЗ), ОАО «ТЭМЗ» / г. Москва 3-я ул. Ямского Поля, 26;  г. Троицк Челябинской обл. ул. Малышева, 34/) по приказу № 51с от организованы Агрегатные ремонтные мастерские при 2ГУ НКАП. Начальник- М.Ф. Поликарпов. С начала 1942 г. началось восстановление производства, и 14.04.1942 г. образован филиал завода № 34. Директор филиала- Ю.Б. Эскин. Фактически в это время действовали два завода № 34: № 34т и № 34м. Шло активное восстановление работ на московской площадке, в 1942 г. обратно из Троицка прибыла первая группа специалистов. Приказом № 464с от 24.06.1942 г. филиал преобразован в новый завод № 124 при 2ГУ НКАП (11982).</w:t>
      </w:r>
    </w:p>
    <w:p w14:paraId="35A82A1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F6370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по приказу НКАП № 51с в Москве на площадке эвакуированного завода № 34 НКАП с конца 1941 г. были образованы и начали действовать Агрегатные ремонтные мастерские при 2ГУ. В начале 1942 г. началось восстановление производства, мастерские преобразованы в филиал завода № 34 (завод № 34м). Директор филиала - Ю.Б. Эскин. Приказом № 464с от 24.06.1942 г. филиал завода № 34 НКАП преобразован в новый завод № 124 при 2ГУ НКАП (Завод № 124 НКАП, Завод, НПО «Наука» МАП, АООТ, ОАО «НПО «Наука» ФАП /</w:t>
      </w:r>
      <w:proofErr w:type="gramStart"/>
      <w:r w:rsidRPr="008127F8">
        <w:rPr>
          <w:rFonts w:ascii="Times New Roman" w:hAnsi="Times New Roman"/>
          <w:color w:val="000000" w:themeColor="text1"/>
          <w:sz w:val="16"/>
          <w:szCs w:val="16"/>
        </w:rPr>
        <w:t>125124  г.</w:t>
      </w:r>
      <w:proofErr w:type="gramEnd"/>
      <w:r w:rsidRPr="008127F8">
        <w:rPr>
          <w:rFonts w:ascii="Times New Roman" w:hAnsi="Times New Roman"/>
          <w:color w:val="000000" w:themeColor="text1"/>
          <w:sz w:val="16"/>
          <w:szCs w:val="16"/>
        </w:rPr>
        <w:t xml:space="preserve"> Москва 3-я ул. Ямского Поля 14/16, вл. 2 тел. 775-31-10/). Производство водо- и маслорадиаторов.</w:t>
      </w:r>
    </w:p>
    <w:p w14:paraId="74F1D8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7D02CA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6F29E3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1947 г. начата разработка турбохолодильников, 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предприятие являлось монополистом в этой области. В 04.1953 г. первый турбохолодильник системы кондиционирования самолета запущен в серийное производство. В 1958 г. создана первая наземная установка кондиционирования вздуха для пассажирских самолетов. С 1956 г. начата разработка систем жизнеобеспечения космических кораблей.</w:t>
      </w:r>
    </w:p>
    <w:p w14:paraId="350C49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В 08.1957 г.- в ведении 2ГУ МАП. С 12.01.1959 г. завод реорганизован в опытно- серийный. Сохранено крупносерийное производство, развивалось опытное производство. С 01.1960 г. завод и ОКБ вновь слиты в единое предприятие - опытный агрегатный завод «Наука».</w:t>
      </w:r>
    </w:p>
    <w:p w14:paraId="336EAD9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заводу передано предприятие из системы МВД, образована вторая территория завода.</w:t>
      </w:r>
    </w:p>
    <w:p w14:paraId="380768D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Участвовало в создании в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стартового комплекса РН «Циклон-2».</w:t>
      </w:r>
    </w:p>
    <w:p w14:paraId="0F4E66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16.02.1989 г. предприятие преобразовано в НПО «Наука». В 1990 г. в составе НПО «Наука»- Агрегатный завод «Наука» МАП. В 1993 г. НПО преобразовано в ОАО.</w:t>
      </w:r>
    </w:p>
    <w:p w14:paraId="4DD0B7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Имелись (2006 г.): испытательный комплекс для испытания систем и агрегатов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w:t>
      </w:r>
    </w:p>
    <w:p w14:paraId="5B10CC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теплотехническое оборудование, регуляторы расхода топлива.</w:t>
      </w:r>
    </w:p>
    <w:p w14:paraId="2E732AE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(2002 г.): разработка и производство систем жизнеобеспечения (кондиционирования, автоматического регулирования давления) экипажа и пассажиров </w:t>
      </w:r>
      <w:r w:rsidRPr="008127F8">
        <w:rPr>
          <w:rFonts w:ascii="Times New Roman" w:hAnsi="Times New Roman"/>
          <w:color w:val="000000" w:themeColor="text1"/>
          <w:sz w:val="16"/>
          <w:szCs w:val="16"/>
          <w:lang w:val="en-US"/>
        </w:rPr>
        <w:t>JTA</w:t>
      </w:r>
      <w:r w:rsidRPr="008127F8">
        <w:rPr>
          <w:rFonts w:ascii="Times New Roman" w:hAnsi="Times New Roman"/>
          <w:color w:val="000000" w:themeColor="text1"/>
          <w:sz w:val="16"/>
          <w:szCs w:val="16"/>
        </w:rPr>
        <w:t>; системы теплообмена авиадвигателей;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1342E7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08C04F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г.)- 2000 чел.</w:t>
      </w:r>
      <w:r w:rsidRPr="008127F8">
        <w:rPr>
          <w:rFonts w:ascii="Times New Roman" w:hAnsi="Times New Roman"/>
          <w:color w:val="000000" w:themeColor="text1"/>
          <w:sz w:val="16"/>
          <w:szCs w:val="16"/>
          <w:vertAlign w:val="superscript"/>
        </w:rPr>
        <w:t>69</w:t>
      </w:r>
    </w:p>
    <w:p w14:paraId="54C893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Директор (20.07.1942-1.03.1943 г.)- Ю.Б. Эскин, (2.03.1943-2.11.1944 г.)- Ф. Г. Нестеров, (2.11.1944- 19.04.1946 г.)- К.М. Ермолов, (19.04-9.06.1946 г.)- Ф. Г. Нестеров, (07.1946-11.1948 г.)-  Г.И. Воронин, (25.11.1948- 21.12.1951 г.)- М.М. Бондаренко, (24.12.1951-5.04.1954 г.)- Ф.А. Мелихов, (25.05.1954-1963 г.)- И.И. Румянцев, (1963-73 г.)- В.И. Сычев, (1973-84 г.-)- В.Ф. Кадышев. Гендиректор (1990-е)- И.В. Тишин, (2006 г.)- В.А. Шаповалов.</w:t>
      </w:r>
    </w:p>
    <w:p w14:paraId="2DD1FD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технический (1998-2001 г.)- В.А. Шаповалов; по маркетингу и коммерции (2006 г.)- И.В. Примашова.</w:t>
      </w:r>
    </w:p>
    <w:p w14:paraId="6BF865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(1961 г.)- В.В. Сычев.</w:t>
      </w:r>
    </w:p>
    <w:p w14:paraId="334CA6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(07.1946-11.1948; -1963-85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Воронин {21.12.1906-87}, (1985-96 г.)- И.В. Тишин, (1996- 2005 г.-)-  Г.В. Хомутов.</w:t>
      </w:r>
    </w:p>
    <w:p w14:paraId="1E9EBA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(1960 г.)- М.В. Золотухин.</w:t>
      </w:r>
    </w:p>
    <w:p w14:paraId="4A6B78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(2006 г.)- А.Н. Афанасьев.</w:t>
      </w:r>
    </w:p>
    <w:p w14:paraId="17F7CC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системы жизнеобеспечения и терморегулирования для: КА «Восток», «Восход», «Союз», «Луна», «Венера», «Марс», «Салют», «Мир», «Алмаз», «Энергия-Буран»; специальных наземных транспортных средств; системы охлаждения и кондиционирования для: А-50 (1970-е), (2006): Бе-200, Ту-334, Ан-140, Ан-74ТК- 300, Ан-148, Ту-204, Ту-214, Ил-96 (11982).</w:t>
      </w:r>
    </w:p>
    <w:p w14:paraId="18741C4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96EC8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по приказу № 53с завод (ГС Завод № 307 НКАП /г. Ржев Калининской обл.</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Саратов/) восстановлен как самостоятельный под прежним номером в системе 2ГУ НКАП, ему возвращено все оборудование и кадры. Базировался на территории Саратовской мебельной фабрики, которая была передана в ведение НКАП и влита в состав завода № 307. На фабрике изготовлялись воздушные винты и другие деревянные узлы самолетов. По приказу № 306с/203пс от 24.07.1945 г. завод № 307 переведен с площадки мебельной фабрики, возвращенной в НКлеса (далее это- ЗАО «Мебельная фабрика № 2») на площадку Саратовского филиала завода № 292 НКАП.</w:t>
      </w:r>
    </w:p>
    <w:p w14:paraId="6A018E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площадку эвакуированного завода во Ржеве по приказу № 297с от 12.07.1945 г. перебазирован завод № 493 НКАП.</w:t>
      </w:r>
    </w:p>
    <w:p w14:paraId="58D714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09.1944 г. на завод № 307 НКАП с завода № 266 НКАП передано производство системы освещения «Заря» и запчастей по заказам ГАУ и НКВМФ.</w:t>
      </w:r>
    </w:p>
    <w:p w14:paraId="4E4C23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завод № 307 передан из авиапрома в НКМС.</w:t>
      </w:r>
    </w:p>
    <w:p w14:paraId="59ED0C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(-08.1941; 01.1942 г.-)- С.А. Глинкин, (01.1943 г.)- Иванов, (08.1944 г.)- Рогозин.</w:t>
      </w:r>
    </w:p>
    <w:p w14:paraId="761862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Завода № 307 НКАП /г. Уфа/</w:t>
      </w:r>
    </w:p>
    <w:p w14:paraId="207C87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102с от 6.02.1942 г. на площадке складов Башсоюза организован филиал завода № 307 2ГУ НКАП для производства прокладок. Завод пущен 1.01.1942 г., сформирован к 03.1942 г. Необходимое оборудование и кадры были направлены с заводов № 307 и № 26 НКАП.</w:t>
      </w:r>
    </w:p>
    <w:p w14:paraId="646F1F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НКАП.</w:t>
      </w:r>
    </w:p>
    <w:p w14:paraId="16209E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(-08.1942-01.1943 г.-)- С.А. Глинкин (11982).</w:t>
      </w:r>
    </w:p>
    <w:p w14:paraId="7C5D1CA2" w14:textId="77777777" w:rsidR="00A074CA" w:rsidRPr="008127F8" w:rsidRDefault="00A074CA" w:rsidP="001E0A84">
      <w:pPr>
        <w:spacing w:after="0" w:line="240" w:lineRule="auto"/>
        <w:jc w:val="both"/>
        <w:rPr>
          <w:rFonts w:ascii="Times New Roman" w:hAnsi="Times New Roman"/>
          <w:color w:val="000000" w:themeColor="text1"/>
          <w:sz w:val="16"/>
          <w:szCs w:val="16"/>
        </w:rPr>
      </w:pPr>
    </w:p>
    <w:p w14:paraId="1B207BF9"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января 1942 г. вышел ПРИКАЗ по Государственному Союзному Ордена Ленина заводу №26 </w:t>
      </w:r>
    </w:p>
    <w:p w14:paraId="4840C285"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№78 от 20 января 1942 г. </w:t>
      </w:r>
    </w:p>
    <w:p w14:paraId="77733198"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грубое нарушение производственной дисциплины, выразившееся в превышении своих прав и вылете на самолёте без прав пилотирования, в результате чего выведен из строя самолёт «У-2» тов. Максимова Анатолия Васильевича с работы Начальника Лётно-испытательной станции – снять. </w:t>
      </w:r>
    </w:p>
    <w:p w14:paraId="194286C9"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изменение приказа №1 и для упорядочения работы Лётно-испытательной станции ПРИКАЗЫВАЮ: </w:t>
      </w:r>
    </w:p>
    <w:p w14:paraId="28399C85"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Из состава Лётной станции выделить в отдельную группу Опытную лётную испытательную станцию с подчинением непосредственно Главному Конструктору завода тов. Климову. </w:t>
      </w:r>
    </w:p>
    <w:p w14:paraId="45366971"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Для обслуживания завода транспортными перевозками создать Лётную станцию на заводе, выделив её как самостоятельный цех и присвоив ему №27. </w:t>
      </w:r>
    </w:p>
    <w:p w14:paraId="5377E6B2"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Начальнику Лётной станции подчинить все вопросы, связанные со строительством и эксплуатацией аэродрома завода, а также подчинить ему всю транспортную группу. </w:t>
      </w:r>
    </w:p>
    <w:p w14:paraId="39DA21EA"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Начальнику Опытно-лётной испытательной станции подчинить все самолёты, связанные с опытными работами, экспериментальную группу работников: лётчиков-испытателей, ведущих инженеров, бригады, обслуживающие опытные самолёты, и инспекторов по связи с самолётными заводами. </w:t>
      </w:r>
    </w:p>
    <w:p w14:paraId="0053F364"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Обслуживание опытных самолётов аэродромным имуществом, инвентарем и вспомогательными службами, возлагаю на начальника Лётной станции. </w:t>
      </w:r>
    </w:p>
    <w:p w14:paraId="2FACED97"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Начальником Лётной станции завода назначаю товарища Маслюженко Павла Казимировича, его заместителем по хозяйственной части тов. Летучина Ивана Петровича. </w:t>
      </w:r>
    </w:p>
    <w:p w14:paraId="18237E6B"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Предлагаю тов. Маслюженко П.К. и тов. Летучину принять прибывшее с заводом 26 из гор. Рыбинска аэродромное имущество за исключением опытных самолётов и приборов. Привести его в исправное состояние с тем, чтобы не позднее 20 января начать нормальную эксплуатацию аэродрома и самолётов. </w:t>
      </w:r>
    </w:p>
    <w:p w14:paraId="24B59874"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Начальником Опытно-лётной испытательной станции назначить тов. Головина Александра Александровича, предлагаю последнему принять прибывшие с заводом 26 опытные самолёты и приборы, также привести их в исправное состояние и приготовить для нормальной эксплуатации. </w:t>
      </w:r>
    </w:p>
    <w:p w14:paraId="65A65BDA"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Для обслуживания транспортными нуждами Опытно-лётной испытательной станции передать в ведение тов. Головина прибывшие из города Рыбинска самолёты: "ПЛ-5" и "СБ" №2/83. </w:t>
      </w:r>
    </w:p>
    <w:p w14:paraId="3A1E9F80"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Закрепить за Опытно-испытательной станцией следующих лётчиков-испытателей: Лазарева, Пуляткина (прошёл обучение по линии "Истребители" 24 мая 1929). </w:t>
      </w:r>
    </w:p>
    <w:p w14:paraId="43D9BB28"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За Лётной станцией завода закрепить следующих лётчиков: Ильченко с экипажем, Кузьминова с экипажем, Бернацкого Т.Н., Морозова В.П. </w:t>
      </w:r>
    </w:p>
    <w:p w14:paraId="12EDB637"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Лётчика Костенко И.С. как лишнего по штату от работы на Лётной станции освободить и направить его в распоряжение отдела кадров НКАП. </w:t>
      </w:r>
    </w:p>
    <w:p w14:paraId="447416CD"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Предлагаю тов. Маслюженко, Летучину в течение пяти дней оформить границы аэродрома, зарегистрировать таковой в ГВФ [Гражданский воздушный флот. – Авт.] и немедленно приступить к организации метеослужбы. </w:t>
      </w:r>
    </w:p>
    <w:p w14:paraId="349B8081" w14:textId="77777777" w:rsidR="00A074CA" w:rsidRPr="008127F8" w:rsidRDefault="00A074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Вр.и.о. нач. Опытно-лётной испытательной станции тов. Скрипову в течение 20-го января 1942 г. передать имущество и личный состав тов. Головину, а самому приступить к исполнению своих прямых обязанностей по ОЛИС. </w:t>
      </w:r>
    </w:p>
    <w:p w14:paraId="4C9D9A06" w14:textId="3430502E" w:rsidR="00A074CA" w:rsidRPr="008127F8" w:rsidRDefault="008127F8" w:rsidP="001E0A84">
      <w:pPr>
        <w:spacing w:after="0" w:line="240" w:lineRule="auto"/>
        <w:jc w:val="both"/>
        <w:rPr>
          <w:rFonts w:ascii="Times New Roman" w:hAnsi="Times New Roman"/>
          <w:color w:val="000000" w:themeColor="text1"/>
          <w:sz w:val="16"/>
          <w:szCs w:val="16"/>
        </w:rPr>
      </w:pPr>
      <w:bookmarkStart w:id="1" w:name="YANDEX_34"/>
      <w:bookmarkEnd w:id="1"/>
      <w:r>
        <w:rPr>
          <w:rStyle w:val="highlight"/>
          <w:rFonts w:ascii="Times New Roman" w:hAnsi="Times New Roman"/>
          <w:color w:val="000000" w:themeColor="text1"/>
          <w:sz w:val="16"/>
          <w:szCs w:val="16"/>
        </w:rPr>
        <w:t xml:space="preserve">  </w:t>
      </w:r>
      <w:r w:rsidR="00A074CA" w:rsidRPr="008127F8">
        <w:rPr>
          <w:rStyle w:val="highlight"/>
          <w:rFonts w:ascii="Times New Roman" w:hAnsi="Times New Roman"/>
          <w:color w:val="000000" w:themeColor="text1"/>
          <w:sz w:val="16"/>
          <w:szCs w:val="16"/>
        </w:rPr>
        <w:t>Директор</w:t>
      </w:r>
      <w:r>
        <w:rPr>
          <w:rStyle w:val="highlight"/>
          <w:rFonts w:ascii="Times New Roman" w:hAnsi="Times New Roman"/>
          <w:color w:val="000000" w:themeColor="text1"/>
          <w:sz w:val="16"/>
          <w:szCs w:val="16"/>
        </w:rPr>
        <w:t xml:space="preserve">  </w:t>
      </w:r>
      <w:bookmarkStart w:id="2" w:name="YANDEX_35"/>
      <w:bookmarkEnd w:id="2"/>
      <w:r>
        <w:rPr>
          <w:rStyle w:val="highlight"/>
          <w:rFonts w:ascii="Times New Roman" w:hAnsi="Times New Roman"/>
          <w:color w:val="000000" w:themeColor="text1"/>
          <w:sz w:val="16"/>
          <w:szCs w:val="16"/>
        </w:rPr>
        <w:t xml:space="preserve">  </w:t>
      </w:r>
      <w:r w:rsidR="00A074CA" w:rsidRPr="008127F8">
        <w:rPr>
          <w:rStyle w:val="highlight"/>
          <w:rFonts w:ascii="Times New Roman" w:hAnsi="Times New Roman"/>
          <w:color w:val="000000" w:themeColor="text1"/>
          <w:sz w:val="16"/>
          <w:szCs w:val="16"/>
        </w:rPr>
        <w:t>завода</w:t>
      </w:r>
      <w:r>
        <w:rPr>
          <w:rStyle w:val="highlight"/>
          <w:rFonts w:ascii="Times New Roman" w:hAnsi="Times New Roman"/>
          <w:color w:val="000000" w:themeColor="text1"/>
          <w:sz w:val="16"/>
          <w:szCs w:val="16"/>
        </w:rPr>
        <w:t xml:space="preserve">  </w:t>
      </w:r>
      <w:r w:rsidR="00A074CA" w:rsidRPr="008127F8">
        <w:rPr>
          <w:rFonts w:ascii="Times New Roman" w:hAnsi="Times New Roman"/>
          <w:color w:val="000000" w:themeColor="text1"/>
          <w:sz w:val="16"/>
          <w:szCs w:val="16"/>
        </w:rPr>
        <w:t xml:space="preserve"> 26 Баландин В.П. (17467).</w:t>
      </w:r>
    </w:p>
    <w:p w14:paraId="552AA4C1" w14:textId="77777777" w:rsidR="00A074CA" w:rsidRPr="008127F8" w:rsidRDefault="00A074CA" w:rsidP="001E0A84">
      <w:pPr>
        <w:spacing w:after="0" w:line="240" w:lineRule="auto"/>
        <w:jc w:val="both"/>
        <w:rPr>
          <w:rFonts w:ascii="Times New Roman" w:hAnsi="Times New Roman"/>
          <w:color w:val="000000" w:themeColor="text1"/>
          <w:sz w:val="16"/>
          <w:szCs w:val="16"/>
        </w:rPr>
      </w:pPr>
    </w:p>
    <w:p w14:paraId="5FFF726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Акт комиссии по расследованию обстоятельств катастрофы самолета Пе-2 на борту, которого находился главный конструктор завода № 22 В. М. Петляков</w:t>
      </w:r>
    </w:p>
    <w:p w14:paraId="65D3CD26"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16-20 января 1942 г. комиссия в составе председателя командира авиационного полка особого назначения полковника тов. Мурзина Н. Г., начальника 6 отдела Управления эксплуатации и ремонта ГУ ВВС КА военинженера 1 ранга тов. Киселева П. С., начальника 3-го Главного управления НКАП инженера т. Завитаева А. А., и. о. начальника ЛИИ НКАП профессора т. Чесалова А. В., начальника 2 отдела Управления метеослужбы ВВС Красной Армии военинженера 3 ранга Тюрева С. А. в присутствии начальника 1 отдела ЭКУ НКВД СССР капитана государственной безопасности тов. Иванова А. М. в результате осмотра места катастрофы, остатков самолета Пе-2 № 14-11 и опроса очевидцев происшествия установила:</w:t>
      </w:r>
    </w:p>
    <w:p w14:paraId="097229D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Обстоятельства происшествия:</w:t>
      </w:r>
    </w:p>
    <w:p w14:paraId="7BBABF7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1942 г. в 13 ч. 40 мин. по московскому времени с Казанского аэродрома завода № 22 были выпущены в Монино принятые экипажами 2-го ДРАП два самолета Пе-2.</w:t>
      </w:r>
    </w:p>
    <w:p w14:paraId="46502D32"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борту самолета № 14-11, потерпевшего катастрофу, находились:</w:t>
      </w:r>
    </w:p>
    <w:p w14:paraId="0CE29F7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 заместитель командира эскадрильи 2-го ДРАП старший лейтенант Овечкин Ф. А.</w:t>
      </w:r>
    </w:p>
    <w:p w14:paraId="6D0CA34C"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Штурман – младший лейтенант Гундоров М. И.</w:t>
      </w:r>
    </w:p>
    <w:p w14:paraId="18E1793F"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Стрелок-радист – сержант Скребнев В. Д. и, с разрешения военного представителя завода № 22 военинженера 1-го ранга тов. Кутузова В. Н., главный конструктор завода № 22 тов. Петляков Владимир Михайлович.</w:t>
      </w:r>
    </w:p>
    <w:p w14:paraId="1CF5294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втором самолете (№ 12-11), пилотируемом летчиком того полка лейтенантом т. Остапенко И. П., также с разрешения т. Кутузова, летел заместитель главного конструктора завода № 22 тов. Изаксон А. М.</w:t>
      </w:r>
    </w:p>
    <w:p w14:paraId="043C3B0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моменту вылета по маршруту состояние погоды экипажи не знали и вылетели без сводки, имея лишь предварительные данные о фактической погоде по маршруту на 9 часов утра, т. е. 4 ч. 40 мин. до вылета. Состояние погоды по маршруту на 12, 13 и 14 ч. 12 января 1942 г. см. в приложении № 1.</w:t>
      </w:r>
      <w:hyperlink r:id="rId13" w:anchor="_ftn1" w:history="1">
        <w:r w:rsidRPr="008127F8">
          <w:rPr>
            <w:rFonts w:ascii="Times New Roman" w:hAnsi="Times New Roman"/>
            <w:color w:val="000000" w:themeColor="text1"/>
            <w:sz w:val="16"/>
            <w:szCs w:val="16"/>
          </w:rPr>
          <w:t>[1]</w:t>
        </w:r>
      </w:hyperlink>
    </w:p>
    <w:p w14:paraId="15B1D0B8"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производился парой на высоте 150-200 м.</w:t>
      </w:r>
    </w:p>
    <w:p w14:paraId="61A0CD6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районе ст. Камкино Казанской железной дороги, спустя 35-40 мин. после вылета, ведущий самолет ст. лейтенанта тов. Овечкина Ф. А. резко развернулся влево на 1600-2000 и с большим углом снижения пошел на вынужденную посадку. Второй самолет продолжал полет по курсу в Монино. На высоте порядка 50-100 м от земли самолет тов. Овечкина был охвачен пламенем и подходил к земле с работающими моторами под большим углом пикирования (приблизительно 600) и левым креном.</w:t>
      </w:r>
    </w:p>
    <w:p w14:paraId="70F4C8D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ударился о землю сначала левым крылом, затем моторами и правым крылом. От удара взорвались бензобаки, что способствовало большому разносу обломков самолета. Экипаж в полном составе и т. Петляков погибли (см. медицинское свидетельство). Обломки самолета и трупы разбросаны на площади 150х50 м (см. схему).</w:t>
      </w:r>
    </w:p>
    <w:p w14:paraId="79CA2444"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Результаты осмотра места катастрофы, остатков самолета и трупов</w:t>
      </w:r>
    </w:p>
    <w:p w14:paraId="5ADE333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Катастрофа произошла в 3 км к юго-востоку от ст. Камкино Казанской железной дороги на расстоянии около 1 км от деревни Мамашево на ровном поле, со снежным покровом глубиной 400-500 мм, пригодном для вынужденной посадки на лыжах любых самолетов.</w:t>
      </w:r>
    </w:p>
    <w:p w14:paraId="195FE88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месте удара самолета обнаружены две ямы в земле глубиной 300-400 мм и разброс снега по размаху самолета. В одной из ям обнаружена лопасть винта.</w:t>
      </w:r>
    </w:p>
    <w:p w14:paraId="0F6930B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Расположение обломков самолета, моторов и трупов показано на прилагаемой схеме (см. схему). Осмотром моторов с частичной […]</w:t>
      </w:r>
      <w:hyperlink r:id="rId14" w:anchor="_ftn2" w:history="1">
        <w:r w:rsidRPr="008127F8">
          <w:rPr>
            <w:rFonts w:ascii="Times New Roman" w:hAnsi="Times New Roman"/>
            <w:color w:val="000000" w:themeColor="text1"/>
            <w:sz w:val="16"/>
            <w:szCs w:val="16"/>
          </w:rPr>
          <w:t>[2]</w:t>
        </w:r>
      </w:hyperlink>
      <w:r w:rsidRPr="008127F8">
        <w:rPr>
          <w:rFonts w:ascii="Times New Roman" w:hAnsi="Times New Roman"/>
          <w:color w:val="000000" w:themeColor="text1"/>
          <w:sz w:val="16"/>
          <w:szCs w:val="16"/>
        </w:rPr>
        <w:t xml:space="preserve"> установлено, что:</w:t>
      </w:r>
    </w:p>
    <w:p w14:paraId="517E4E2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Кривошипно-шатунные механизмы и клапаны обоих моторов исправны.</w:t>
      </w:r>
    </w:p>
    <w:p w14:paraId="7589AD3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Следов пожара и копоти на моторах и его агрегатах нет. (Краска моторов, проводка зажигания, дюритовые шланги моторов следов загорания не имели).</w:t>
      </w:r>
    </w:p>
    <w:p w14:paraId="3DC7493C"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внутренней поверхности правого крыла и правой задней части центроплана имеются следы пожара (сильная копоть и обгорание краски). Полотняная обшивка конца правого элерона, кабан правой лыжи, поверхность правого водорадиатора и шланги трубопроводов сильно обгорели.</w:t>
      </w:r>
    </w:p>
    <w:p w14:paraId="2151616F"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Петрофлексы дренажа и бензопроводки сгорели частично. Электропроводка, расположенная в центральной части фюзеляжа и в правой части центроплана и крыла, сильно обгорела. Центральный распределительный щит сгорел полностью, за исключением металлических деталей.</w:t>
      </w:r>
    </w:p>
    <w:p w14:paraId="4A13A29C"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следов обгорания деталей и образование под некоторыми обломками проталин снега указывает на возникновение и развитие пожара в воздухе, а также на то, что горение некоторых частей самолета, под которыми нет проталин, прекратилось при ударе о землю.</w:t>
      </w:r>
    </w:p>
    <w:p w14:paraId="6E5218D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Одежда экипажа частично обгорела. Ввиду того, что вблизи расположения трупов на земле очагов пожара не было, о чем свидетельствует отсутствие снежных проталин, следует сделать вывод, что начало обгорания экипажа произошло в воздухе. Состояние трупов (см. в приложении № 2).</w:t>
      </w:r>
    </w:p>
    <w:p w14:paraId="5E906FC2"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Причины катастрофы</w:t>
      </w:r>
    </w:p>
    <w:p w14:paraId="661C5C63"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Причиной катастрофы самолета Пе-2 № 14-11, повлекшей гибель экипажа и главного конструктора завода № 22 т. Петлякова В. М., явился пожар самолета в воздухе на малой высоте полета.</w:t>
      </w:r>
    </w:p>
    <w:p w14:paraId="691125E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Судя по положению самолета, в момент удара о землю и крутому углу планирования самолет подходил к земле в неуправляемом состоянии.</w:t>
      </w:r>
    </w:p>
    <w:p w14:paraId="51E88E0C"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Наличие обгорания дерева под кабаном правой лыжи из-за нагрева металлических деталей кабана, обгорание шлангов на трубопроводах правого водорадиатора и обичайки самого радиатора, горение электропроводки и внутренней поверхности крыла в зоне правой мотогондолы, дает основание считать, что очагом возникновения пожара была правая половина центроплана.</w:t>
      </w:r>
    </w:p>
    <w:p w14:paraId="619E4ED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связи с тем, что при ударе о землю самолет был разрушен на мелкие части и разбросан на большой площади, покрытой глубоким снегом, определить источник возникновения пожара на самолете в воздухе не представляется возможным.</w:t>
      </w:r>
    </w:p>
    <w:p w14:paraId="1144020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моторов и их агрегатов после катастрофы полностью исключает причину загорания самолета от моторов.</w:t>
      </w:r>
    </w:p>
    <w:p w14:paraId="790D76B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вероятной причиной возникновения пожара на самолете следует считать наличие подтекания бензина в зоне правой мотогондолы и воспламенение паров бензина от искры короткого замыкания или перегрузки электропроводов.</w:t>
      </w:r>
    </w:p>
    <w:p w14:paraId="148F431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Выводы</w:t>
      </w:r>
    </w:p>
    <w:p w14:paraId="570D744A"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Организация технического контроля на заводе № 22 и военной приемки недостаточно обеспечивает качественный выпуск самолетов и не исключает возможности отправки самолетов в воинские части с наличием дефектов.</w:t>
      </w:r>
    </w:p>
    <w:p w14:paraId="3A3317C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Порядок подготовки самолетов к перелету в воинские части производится неудовлетворительно и без всякой системы.</w:t>
      </w:r>
    </w:p>
    <w:p w14:paraId="5524A993"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Наставления по производству полетов и техника эксплуатационной службы не выполняются.</w:t>
      </w:r>
    </w:p>
    <w:p w14:paraId="7A8A5CA4"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Подготовка самолетов Пе-2 № 14-11 и № 12/11 к вылету была проведена явно халатно – самолеты перед вылетом тщательному осмотру не подвергались.</w:t>
      </w:r>
    </w:p>
    <w:p w14:paraId="2911038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Приемка указанных самолетов была произведена воинскими экипажами поверхностно, вся приемка свелась к оформлению минимально необходимых документов.</w:t>
      </w:r>
    </w:p>
    <w:p w14:paraId="0CC126F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Метеообслуживание перелетов на заводе № 22 поставлено неудовлетворительно. На заводе нет метеостанции и необходимого оборудования для этого.</w:t>
      </w:r>
    </w:p>
    <w:p w14:paraId="68FF974F"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Отсутствует четкая система организации выпуска военных самолетов в перелет, что дало возможность указанным воинским экипажам вылететь без метеосводки.</w:t>
      </w:r>
    </w:p>
    <w:p w14:paraId="305C8E8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Главный конструктор завода № 22 тов. Петляков был допущен старшим военпредом тов. Кутузовым к полету без парашюта и летного обмундирования.</w:t>
      </w:r>
    </w:p>
    <w:p w14:paraId="69D4F9A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Директор завода № 22 Карпов Ю. Н., зная о срочном вызове т. Петлякова в Москву, не принял мер по обеспечению его отправки.</w:t>
      </w:r>
    </w:p>
    <w:p w14:paraId="2A7989D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Старший военный представитель на заводе № 22 т. Кутузов превысил свои права, дав разрешение летать на боевом военном самолете конструктору завода № 22 т. Петлякову.</w:t>
      </w:r>
    </w:p>
    <w:p w14:paraId="13AA4D6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Предложения комиссии</w:t>
      </w:r>
    </w:p>
    <w:p w14:paraId="0768672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Улучшить систему организации заводского и военного контроля.</w:t>
      </w:r>
    </w:p>
    <w:p w14:paraId="4B48F00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жесткую систему подготовки и выпуска самолетов к перелетам в соответствии с наставлениями по производству полетов и технико-эксплуатационной службы.</w:t>
      </w:r>
    </w:p>
    <w:p w14:paraId="482CCEE6"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Организовать на заводе № 22 метеостанцию.</w:t>
      </w:r>
    </w:p>
    <w:p w14:paraId="7A0A3AA6"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Прекратить практику уничтожения дефектных ведомостей, составляемых заводским ОТК и военной приемкой, введя как правило порядок хранения их в деле самолетов.</w:t>
      </w:r>
    </w:p>
    <w:p w14:paraId="7578DE2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комиссии:</w:t>
      </w:r>
    </w:p>
    <w:p w14:paraId="38EE5A2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авиационного полка особого назначения полковник Мурзин</w:t>
      </w:r>
    </w:p>
    <w:p w14:paraId="2B054CA2"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Члены:</w:t>
      </w:r>
    </w:p>
    <w:p w14:paraId="05599AC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6-го отдела Управления эксплуатации и ремонта ГУ ВВС КА военинженер 1 ранга Киселев</w:t>
      </w:r>
    </w:p>
    <w:p w14:paraId="59927E8E"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3 ГУ НКАП СССР инженер Завитаев</w:t>
      </w:r>
    </w:p>
    <w:p w14:paraId="640E006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 начальника ЛИИ НКАП СССР профессор Чесалов</w:t>
      </w:r>
    </w:p>
    <w:p w14:paraId="0831473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2 отдела Управления метеослужбы ВВС КА военинженер 3 ранга Тюрев</w:t>
      </w:r>
    </w:p>
    <w:p w14:paraId="6585780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РТ. Ф. Р-2845. Оп. 3. Д. 175. Л. 143-148. Подлинник (15494).</w:t>
      </w:r>
    </w:p>
    <w:p w14:paraId="4C5B3C40"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63233F8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5A4A48C2" w14:textId="77777777" w:rsidR="00D4651C" w:rsidRPr="008127F8" w:rsidRDefault="00D4651C" w:rsidP="001E0A84">
      <w:pPr>
        <w:pStyle w:val="Iauiue"/>
        <w:jc w:val="both"/>
        <w:rPr>
          <w:iCs/>
          <w:color w:val="000000" w:themeColor="text1"/>
          <w:sz w:val="16"/>
          <w:szCs w:val="16"/>
        </w:rPr>
      </w:pPr>
    </w:p>
    <w:p w14:paraId="6ED6255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вышло ПОСТАНОВЛЕНИЕ ГКО ОБ УСЛОВИЯХ ПРИЕМКИ ТАНКОВ НА ТАНКОВЫХ ЗАВОДАХ</w:t>
      </w:r>
    </w:p>
    <w:p w14:paraId="2862BB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6EC932B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Утвердить представленные Наркомтанкопромом т. Малышевым и начальником ГАБТУ Крас</w:t>
      </w:r>
      <w:r w:rsidRPr="008127F8">
        <w:rPr>
          <w:rFonts w:ascii="Times New Roman" w:hAnsi="Times New Roman"/>
          <w:color w:val="000000" w:themeColor="text1"/>
          <w:sz w:val="16"/>
          <w:szCs w:val="16"/>
        </w:rPr>
        <w:softHyphen/>
        <w:t>ной Армии т. Федоренко условия приемки танков на танковых заводах.</w:t>
      </w:r>
    </w:p>
    <w:p w14:paraId="37ABE7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Ввести настоящие условия приемки танков с 15 января 1942 года.</w:t>
      </w:r>
    </w:p>
    <w:p w14:paraId="58CCDE7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ГАБТУ и Наркомтанкопром к 20 января 1942 года пересмотреть ведомости инструмен</w:t>
      </w:r>
      <w:r w:rsidRPr="008127F8">
        <w:rPr>
          <w:rFonts w:ascii="Times New Roman" w:hAnsi="Times New Roman"/>
          <w:color w:val="000000" w:themeColor="text1"/>
          <w:sz w:val="16"/>
          <w:szCs w:val="16"/>
        </w:rPr>
        <w:softHyphen/>
        <w:t>та, принадлежностей, материалов и запасных частей, возимых на танках в сторону их сокращения.</w:t>
      </w:r>
    </w:p>
    <w:p w14:paraId="467FE3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И. Сталин</w:t>
      </w:r>
    </w:p>
    <w:p w14:paraId="33590E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УСЛОВИЯ НА ПРИЕМКУ ТАНКОВ НА ТАНКОВЫХ ЗАВОДАХ</w:t>
      </w:r>
    </w:p>
    <w:p w14:paraId="7A916F7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Приемку танков на танковых заводах производят военпреды ГАБТУ КА.</w:t>
      </w:r>
    </w:p>
    <w:p w14:paraId="386F67A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Танк считается принятым после отстрела пушек и пулеметов, приемо-сдаточного пробега, уст</w:t>
      </w:r>
      <w:r w:rsidRPr="008127F8">
        <w:rPr>
          <w:rFonts w:ascii="Times New Roman" w:hAnsi="Times New Roman"/>
          <w:color w:val="000000" w:themeColor="text1"/>
          <w:sz w:val="16"/>
          <w:szCs w:val="16"/>
        </w:rPr>
        <w:softHyphen/>
        <w:t>ранения обнаруженных дефектов и необходимой комплектации танка.</w:t>
      </w:r>
    </w:p>
    <w:p w14:paraId="24E7552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Приемка танка состоит из:</w:t>
      </w:r>
    </w:p>
    <w:p w14:paraId="59BA35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приемо-сдаточного пробега для танков «КВ» и Т-34 на дистанцию 5 км для каждого танка, а для танков Т-60 на дистанцию 10 км для каждого десятого танка по выбору военпреда;</w:t>
      </w:r>
    </w:p>
    <w:p w14:paraId="5794C77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отстрела пушек на танках КВ и Т-34 на каждом десятом танке, на танках Т-60 — на каждом танке и отстрела спаренных с пушкой пулеметов на каждом танке всех типов.</w:t>
      </w:r>
    </w:p>
    <w:p w14:paraId="01B42A73" w14:textId="77777777" w:rsidR="00D4651C" w:rsidRPr="008127F8" w:rsidRDefault="00D4651C" w:rsidP="001E0A84">
      <w:pPr>
        <w:pStyle w:val="afff5"/>
        <w:jc w:val="both"/>
        <w:rPr>
          <w:i w:val="0"/>
          <w:iCs w:val="0"/>
          <w:color w:val="000000" w:themeColor="text1"/>
          <w:spacing w:val="0"/>
          <w:position w:val="0"/>
          <w:sz w:val="16"/>
          <w:szCs w:val="16"/>
        </w:rPr>
      </w:pPr>
      <w:r w:rsidRPr="008127F8">
        <w:rPr>
          <w:i w:val="0"/>
          <w:iCs w:val="0"/>
          <w:color w:val="000000" w:themeColor="text1"/>
          <w:spacing w:val="0"/>
          <w:position w:val="0"/>
          <w:sz w:val="16"/>
          <w:szCs w:val="16"/>
        </w:rPr>
        <w:t>Кроме того, военпред осуществляет контроль за качеством изготовления отдельных узлов и де</w:t>
      </w:r>
      <w:r w:rsidRPr="008127F8">
        <w:rPr>
          <w:i w:val="0"/>
          <w:iCs w:val="0"/>
          <w:color w:val="000000" w:themeColor="text1"/>
          <w:spacing w:val="0"/>
          <w:position w:val="0"/>
          <w:sz w:val="16"/>
          <w:szCs w:val="16"/>
        </w:rPr>
        <w:softHyphen/>
        <w:t>талей и за качеством сборки танка.</w:t>
      </w:r>
    </w:p>
    <w:p w14:paraId="77CD1C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Военпреду разрешается принимать танки без часов, вольтметров и амперметров (с заменой контрольной лампой), спидометров, аэротермометров (за исключением одного), башенных вентиля</w:t>
      </w:r>
      <w:r w:rsidRPr="008127F8">
        <w:rPr>
          <w:rFonts w:ascii="Times New Roman" w:hAnsi="Times New Roman"/>
          <w:color w:val="000000" w:themeColor="text1"/>
          <w:sz w:val="16"/>
          <w:szCs w:val="16"/>
        </w:rPr>
        <w:softHyphen/>
        <w:t>торов (в зимнее время), моторов поворота башни для танков Т-34, переговорных устройств (с заме</w:t>
      </w:r>
      <w:r w:rsidRPr="008127F8">
        <w:rPr>
          <w:rFonts w:ascii="Times New Roman" w:hAnsi="Times New Roman"/>
          <w:color w:val="000000" w:themeColor="text1"/>
          <w:sz w:val="16"/>
          <w:szCs w:val="16"/>
        </w:rPr>
        <w:softHyphen/>
        <w:t>ной сигнальными лампами), запасных бачков и раций, в тех случаях, когда эти приборы и изделия временно отсутствуют на танковых заводах.</w:t>
      </w:r>
    </w:p>
    <w:p w14:paraId="12CDFF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Малышев</w:t>
      </w:r>
    </w:p>
    <w:p w14:paraId="03E2232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Федоренко</w:t>
      </w:r>
    </w:p>
    <w:p w14:paraId="156BDA1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634. Л. 30-31. Копия (11211).</w:t>
      </w:r>
    </w:p>
    <w:p w14:paraId="6599E0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1856DD78" w14:textId="77777777" w:rsidR="00604AE0" w:rsidRPr="008127F8" w:rsidRDefault="00604AE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20 января 1942 был закончен первый этап доводочных работ по КВ-8 огнеметному, по факту же работа затянулась до февраля. В результате первые два серийных танка были готовы только к 7 февраля, да и то, процесс их сдачи затянулся. Кроме того, даже если бы всё шло в установленные сроки, то возникала проблема под названием "АТО-41". Завод №222 прекратил выпуск огнеметов в октябре 1941 года и уехал в эвакуацию. По состоянию на февраль 1941 года ЧКЗ имел в наличии всего 8 огнеметов (22608).</w:t>
      </w:r>
    </w:p>
    <w:p w14:paraId="577B1105" w14:textId="77777777" w:rsidR="00604AE0" w:rsidRPr="008127F8" w:rsidRDefault="00604AE0" w:rsidP="001E0A84">
      <w:pPr>
        <w:spacing w:after="0" w:line="240" w:lineRule="auto"/>
        <w:jc w:val="both"/>
        <w:rPr>
          <w:rFonts w:ascii="Times New Roman" w:hAnsi="Times New Roman"/>
          <w:color w:val="000000" w:themeColor="text1"/>
          <w:sz w:val="16"/>
          <w:szCs w:val="16"/>
        </w:rPr>
      </w:pPr>
    </w:p>
    <w:p w14:paraId="5B3CA674"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20 января 1942 года завод №183 первым приступилк экранировке Т-34. Завод №112 начал изготовлять экранированные корпуса и башни с 1 февраля, а завод №264 — со 2 февраля. К 17 февраля на заводе №264 было готово примерно по 120 таких корпусов и башен. На заводе №112 выпуск шёл неоднородно — всего там изготовили 80 экранированных корпусов и 109 экранированных башен. Получается, что в феврале 1942 года Т-34 стали экранироваться сотнями, но… 23 февраля 1942 года Сталин подписал постановление ГКО №1333, согласно которому экранировка упразднялась. Правда, выпущенный задел по экранированным корпусам и башням использовался для постройки танков (18883).</w:t>
      </w:r>
    </w:p>
    <w:p w14:paraId="40CA9A9D"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p>
    <w:p w14:paraId="379A572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года вышел приказ № 25 НКВ</w:t>
      </w:r>
    </w:p>
    <w:p w14:paraId="370E05A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связи с завершением передачи производства швейных игл бывш. завода № 460 Косному заводу НК местной промышленности, исключить Игольный завод из числа действующих предприятий НКВ (9276).</w:t>
      </w:r>
    </w:p>
    <w:p w14:paraId="2FFC9285" w14:textId="77777777" w:rsidR="00D4651C" w:rsidRPr="008127F8" w:rsidRDefault="00D4651C" w:rsidP="001E0A84">
      <w:pPr>
        <w:pStyle w:val="Iauiue"/>
        <w:jc w:val="both"/>
        <w:rPr>
          <w:color w:val="000000" w:themeColor="text1"/>
          <w:sz w:val="16"/>
          <w:szCs w:val="16"/>
        </w:rPr>
      </w:pPr>
    </w:p>
    <w:p w14:paraId="078DB58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627A0B9B" w14:textId="77777777" w:rsidR="00D4651C" w:rsidRPr="008127F8" w:rsidRDefault="00D4651C" w:rsidP="001E0A84">
      <w:pPr>
        <w:pStyle w:val="Iauiue"/>
        <w:jc w:val="both"/>
        <w:rPr>
          <w:iCs/>
          <w:color w:val="000000" w:themeColor="text1"/>
          <w:sz w:val="16"/>
          <w:szCs w:val="16"/>
        </w:rPr>
      </w:pPr>
    </w:p>
    <w:p w14:paraId="7F1C140B" w14:textId="77777777" w:rsidR="000C31BD" w:rsidRPr="008127F8" w:rsidRDefault="000C31BD"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bCs/>
          <w:color w:val="000000" w:themeColor="text1"/>
          <w:sz w:val="16"/>
          <w:szCs w:val="16"/>
        </w:rPr>
        <w:t>20  января</w:t>
      </w:r>
      <w:proofErr w:type="gramEnd"/>
      <w:r w:rsidRPr="008127F8">
        <w:rPr>
          <w:rFonts w:ascii="Times New Roman" w:hAnsi="Times New Roman"/>
          <w:color w:val="000000" w:themeColor="text1"/>
          <w:sz w:val="16"/>
          <w:szCs w:val="16"/>
        </w:rPr>
        <w:t xml:space="preserve"> в 1942 году утреннее сообщение Совинформбюро:</w:t>
      </w:r>
    </w:p>
    <w:p w14:paraId="7339E8EC"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20 января наши войска продолжали вести активные боевые действия против немецко-фашистских войск.</w:t>
      </w:r>
    </w:p>
    <w:p w14:paraId="0FA99A8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два последних дня бойцы Н-ского соединения (Западный фронт) захватили 27 вражеских орудий, из них 6 дальнобойных, 44 пулемёта, 243 автомашины, 7 тягачей, 3 радиостанции. Немцы потеряли убитыми 600 солдат и офицеров. На другом участке кавалеристы тов. Белова, произведя внезапный налёт на противника, перебили 500 вражеских солдат и офицеров.</w:t>
      </w:r>
    </w:p>
    <w:p w14:paraId="789ACD9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тов. Лысенко, действующей на одном из участков Западного фронта, в результате трёхчасового боя заняли селение А. и захватили 3 немецких танка, 6 орудий, 5 автомашин, 40.000 патронов и много другого военного имущества. На поле боя осталось 200 трупов солдат и офицеров противника.</w:t>
      </w:r>
    </w:p>
    <w:p w14:paraId="65CE06C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батареи младшего лейтенанта Теплякова, умело замаскировав орудия, подпустили на близкое расстояние четыре немецких танка и расстреляли их прямой наводкой. В этом же бою батарея тов. Тепляком уничтожила вражескую миномётную батарею.</w:t>
      </w:r>
    </w:p>
    <w:p w14:paraId="2BE7C482"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Объединённые отряды орловских партизан окружили в Брянских лесах большой карательный отряд, посланный немцами для поимки партизан. В происшедшем бою убито 200 немецких солдат и офицеров. В руки партизан попали богатые трофеи.</w:t>
      </w:r>
    </w:p>
    <w:p w14:paraId="756A877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на подступах к Севастополю немецкого ефрейтора 2 роты 32 пехотного полка Рудольфа Тунша найден дневник. Приводим краткие выписки из этого дневника:</w:t>
      </w:r>
    </w:p>
    <w:p w14:paraId="12DCC591"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декабря. Двигаемся к фронту для штурма Севастополя.</w:t>
      </w:r>
    </w:p>
    <w:p w14:paraId="3A940898"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декабря. Русские стреляют как никогда и как раз туда, где мы находимся.</w:t>
      </w:r>
    </w:p>
    <w:p w14:paraId="5C1A7C8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декабря. Кран, Гербер, Гейнц, Маттелде убиты. Сегодня у нас много мёртвых и почти 30 процентов раненых.</w:t>
      </w:r>
    </w:p>
    <w:p w14:paraId="7F28CBB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декабря. Наконец-то мы окапались. Ночь и весь день прошли в боях. Ружейные залпы, миномётный, артиллерийский огонь. Можно сойти с ума... Эдгард ранен, Дональд Рейф также. Я назначен командиром отделения, но со мной только 5 солдат. А весь взвод насчитывает лишь 12 человек. Нервы слабеют.</w:t>
      </w:r>
    </w:p>
    <w:p w14:paraId="5B1C28E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декабря. Продвинуться не удалось. В течение 3 дней без сна, без покоя, что может быть хуже?</w:t>
      </w:r>
    </w:p>
    <w:p w14:paraId="625A4F2E"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декабря. Всё ещё лежим здесь. Кто нас вызволит из этого тяжёлого положения? Русские нас совершенно сотрут с лица земля. В нашей роте осталось 42 человека. От этого можно обезуметь».</w:t>
      </w:r>
    </w:p>
    <w:p w14:paraId="3D9C7E1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Герберта Фридмана найдено письмо от дяди из Дрездена. В нём говорится: «Жаль, что ты влип в эту битву. Но и нам не сладко. Очень хотелось тебе послать чего-нибудь. Но мы сами скоро протянем ноги».</w:t>
      </w:r>
    </w:p>
    <w:p w14:paraId="379D0A4C"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Кривино, Тосненского района, Ленинградской области, гитлеровские бандиты закопали живыми в землю директора школы Воробьёва и заведующего лесопунктом Матвеева. Перед этим немцы долго издевались над своими жертвами: избивали прикладами, кололи ножами, отрубили кисти рук.» (15015).</w:t>
      </w:r>
    </w:p>
    <w:p w14:paraId="1EA0E153"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1CF0ED38"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61C93C6E"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20 января наши войска продолжали теснить немецко-фашистские войска на запад. Противник несёт большие потери. Наши части заняли город Можайск. Захвачены пленные.</w:t>
      </w:r>
    </w:p>
    <w:p w14:paraId="002045E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января уничтожено 16 немецких самолётов. Наши потери — 5 самолётов.</w:t>
      </w:r>
    </w:p>
    <w:p w14:paraId="712708CF"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января части нашей авиации уничтожили 39 немецких танков, 2 бронемашины, более 730 автомашин с войсками и грузами, 12 орудий с прислугой. 6 зенитно-пулемётных точек, подожгли 2 железнодорожных эшелона, разрушили 21 железнодорожный вагон, рассеяли и частью истребили 7 батальонов пехоты противника.</w:t>
      </w:r>
    </w:p>
    <w:p w14:paraId="0189CF23"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Заняв районный центр Осташево, часть тов. Алексеева захватила 15 вражеских танков, 101 автомашину, 2 склада с боеприпасами и другие трофеи.</w:t>
      </w:r>
    </w:p>
    <w:p w14:paraId="1EDC1CC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ожесточённом бою с противником у села Плесенское (Западный фронт) часть тов. Боброва вывела из строя около 500 солдат и офицеров противника и захватила большой обоз с военным имуществом. На другом участке бойцы подразделения младшего лейтенанта Подрезова успешно отразили контратаку вражеского батальона. На поле боя осталась до 200 трупов немецких солдат и офицеров. Красноармеец М. Фомин подбил в этом бою из своего противотанкового ружья 2 немецких танка.</w:t>
      </w:r>
    </w:p>
    <w:p w14:paraId="7D49A8F4"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выбив немцев из населённого пункта, захватила 100 вражеских автомашин, 9 орудий, склад горючего и склад с продовольствием, большое количество пулемётов, винтовок, мотоциклов и другого военного имущества.</w:t>
      </w:r>
    </w:p>
    <w:p w14:paraId="0DE3A51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Васильев, обнаружив в окопе 15 вражеских солдат, незаметно подполз к окопу и забросал его гранатами. Все 15 гитлеровцев были уничтожены.</w:t>
      </w:r>
    </w:p>
    <w:p w14:paraId="7141631B"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Ф., действующий в одном из районов Московской области, захваченных немцами, ведёт успешную борьбу против гитлеровцев. Ниже приводим выдержки из дневника командира отряда:</w:t>
      </w:r>
    </w:p>
    <w:p w14:paraId="7483F765"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января. Встретили на дороге две немецкие повозки с грузом. Повозки уничтожили. Оказавших сопротивление 5 солдат и офицера убили.</w:t>
      </w:r>
    </w:p>
    <w:p w14:paraId="05B6CFD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января. Разрушили телефонную линию противника. Уничтожили ещё две повозки. В завязавшейся перестрелке с немцами убили 5 солдат и 2 офицеров.</w:t>
      </w:r>
    </w:p>
    <w:p w14:paraId="514F0440"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Из засады застрелили 6 немецких солдат и офицера, патрулировавших дорогу.</w:t>
      </w:r>
    </w:p>
    <w:p w14:paraId="5F62F31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Совершили нападение на вражеский обоз в 100 подвод. Огнём из автоматов и винтовок убили 45 немцев. Подожгли 2 фургона с боеприпасами.</w:t>
      </w:r>
    </w:p>
    <w:p w14:paraId="7214FCD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Вырезали два пролёта кабельной связи. В другом месте разрушили линию связи на протяжении 600 метров. Убили 3 немецких солдат и офицера. Заминировали несколько участков дороги».</w:t>
      </w:r>
    </w:p>
    <w:p w14:paraId="2A34C07D"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402 немецкого велобатальона Фриц Грушке на допросе привёл следующие данные о потерях батальона за последнюю неделю: «Убитых— 55 человек, раненых —112. Из строя выбыло также 112 обмороженных солдат. Кроме того, свыше 120 больных солдат отправлено в госпитали».</w:t>
      </w:r>
    </w:p>
    <w:p w14:paraId="44C942F7"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Курт Рем из Хемниц (Германия) писал немецкому обер-ефрейтору Максу Юнгансу на советско-германский фронт: «Не жизнь у вас там, а мука. Да и у нас то же самое. Снова получен список убитых; среди них Курт Гайн и Фриц Миллер. В общем и здесь на родине нехорошо. Часто даже нечего покушать».</w:t>
      </w:r>
    </w:p>
    <w:p w14:paraId="781AE979" w14:textId="77777777" w:rsidR="000C31BD" w:rsidRPr="008127F8" w:rsidRDefault="000C31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Близ города Цейц (Германия) гитлеровские бандиты подожгли баржи, в которых находились пленные красноармейцы. Выбегавших из горящих бараков людей изверги расстреливали из пулемётов.» (15015).</w:t>
      </w:r>
    </w:p>
    <w:p w14:paraId="3B7BCECD"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17B9747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г. четверка Ер-2 нанесла удар по штабу неприятельского соединения, расположившемуся в бывшем санатории НКВД в местечке Борок, что в 20 км западнее Смоленска. Отличились экипажи лейтенантов Гайворонского и Линева, метко сбросившие бомбы ФАБ-100 с высоты 150 м. Стрелки заявили, что в здание санатория угодили две-три бомбы, и по их оценкам в нем вряд ли кто-либо мог уцелеть (3322,24).</w:t>
      </w:r>
    </w:p>
    <w:p w14:paraId="40B541C9" w14:textId="77777777" w:rsidR="00D4651C" w:rsidRPr="008127F8" w:rsidRDefault="00D4651C" w:rsidP="001E0A84">
      <w:pPr>
        <w:pStyle w:val="Iauiue"/>
        <w:jc w:val="both"/>
        <w:rPr>
          <w:color w:val="000000" w:themeColor="text1"/>
          <w:sz w:val="16"/>
          <w:szCs w:val="16"/>
        </w:rPr>
      </w:pPr>
    </w:p>
    <w:p w14:paraId="04A985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января 1942 г. вышел ПРИКАЗ НКО О СОХРАНЕНИИ И ВЫВОДЕ НА ДОУКОМПЛЕКТОВАНИЕ АВТОБРОНЕТАНКОВЫХ ЧАСТЕЙ, ПОТЕРЯВШИХ БОЕВУЮ МАТЕРИАЛЬНУЮ ЧАСТЬ №0014</w:t>
      </w:r>
    </w:p>
    <w:p w14:paraId="768586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отмечен ряд случаев, когда командующие фронтами и армиями расформи</w:t>
      </w:r>
      <w:r w:rsidRPr="008127F8">
        <w:rPr>
          <w:rFonts w:ascii="Times New Roman" w:hAnsi="Times New Roman"/>
          <w:color w:val="000000" w:themeColor="text1"/>
          <w:sz w:val="16"/>
          <w:szCs w:val="16"/>
        </w:rPr>
        <w:softHyphen/>
        <w:t>ровывают танковые соединения и части, оставшиеся в результате боев без танков. Личный состав этих частей используется не по назначению, а транспортные и специальные машины, в которых ощущается острый недостаток, разбазариваются.</w:t>
      </w:r>
    </w:p>
    <w:p w14:paraId="7B72F1C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сколоченные в бою части с ценными кадрами и дорогостоящей материальной частью одним росчерком пера ликвидируются.</w:t>
      </w:r>
    </w:p>
    <w:p w14:paraId="03B29D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положение считаю не только недопустимым, но преступным.</w:t>
      </w:r>
    </w:p>
    <w:p w14:paraId="7663B10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698B23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Никаких расформирований танковых частей и соединений без моего разрешения не произво</w:t>
      </w:r>
      <w:r w:rsidRPr="008127F8">
        <w:rPr>
          <w:rFonts w:ascii="Times New Roman" w:hAnsi="Times New Roman"/>
          <w:color w:val="000000" w:themeColor="text1"/>
          <w:sz w:val="16"/>
          <w:szCs w:val="16"/>
        </w:rPr>
        <w:softHyphen/>
        <w:t>дить и прекратить всякое изъятие транспортных и специальных машин из танковых войск.</w:t>
      </w:r>
    </w:p>
    <w:p w14:paraId="19D504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Весь начальствующий состав расформированных танковых частей и соединений направить в распоряжение начальника управления кадров автобронетанковых войск Красной Армии, а млад</w:t>
      </w:r>
      <w:r w:rsidRPr="008127F8">
        <w:rPr>
          <w:rFonts w:ascii="Times New Roman" w:hAnsi="Times New Roman"/>
          <w:color w:val="000000" w:themeColor="text1"/>
          <w:sz w:val="16"/>
          <w:szCs w:val="16"/>
        </w:rPr>
        <w:softHyphen/>
        <w:t>ший и рядовой состав откомандировать в запасные танковые полки по указанию начальника Глав</w:t>
      </w:r>
      <w:r w:rsidRPr="008127F8">
        <w:rPr>
          <w:rFonts w:ascii="Times New Roman" w:hAnsi="Times New Roman"/>
          <w:color w:val="000000" w:themeColor="text1"/>
          <w:sz w:val="16"/>
          <w:szCs w:val="16"/>
        </w:rPr>
        <w:softHyphen/>
        <w:t>ного автобронетанкового управления Красной Армии.</w:t>
      </w:r>
    </w:p>
    <w:p w14:paraId="1C0A505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дальнейшем танковые части и соединения, которые в результате боев остались без боевых машин, выводить в полном составе в тыл, в распоряжение начальника Главного автобронетанкового управления Красной Армии для доукомплектования.</w:t>
      </w:r>
    </w:p>
    <w:p w14:paraId="52B870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Нарком обороны И. Сталин</w:t>
      </w:r>
    </w:p>
    <w:p w14:paraId="08D0CF60" w14:textId="77777777" w:rsidR="00D4651C" w:rsidRPr="008127F8" w:rsidRDefault="00D4651C" w:rsidP="001E0A84">
      <w:pPr>
        <w:pStyle w:val="afff5"/>
        <w:jc w:val="both"/>
        <w:rPr>
          <w:i w:val="0"/>
          <w:iCs w:val="0"/>
          <w:color w:val="000000" w:themeColor="text1"/>
          <w:spacing w:val="0"/>
          <w:position w:val="0"/>
          <w:sz w:val="16"/>
          <w:szCs w:val="16"/>
          <w:lang w:val="en-US"/>
        </w:rPr>
      </w:pPr>
      <w:r w:rsidRPr="008127F8">
        <w:rPr>
          <w:i w:val="0"/>
          <w:iCs w:val="0"/>
          <w:color w:val="000000" w:themeColor="text1"/>
          <w:spacing w:val="0"/>
          <w:position w:val="0"/>
          <w:sz w:val="16"/>
          <w:szCs w:val="16"/>
        </w:rPr>
        <w:t>РГВА. Ф. 4. Оп</w:t>
      </w:r>
      <w:r w:rsidRPr="008127F8">
        <w:rPr>
          <w:i w:val="0"/>
          <w:iCs w:val="0"/>
          <w:color w:val="000000" w:themeColor="text1"/>
          <w:spacing w:val="0"/>
          <w:position w:val="0"/>
          <w:sz w:val="16"/>
          <w:szCs w:val="16"/>
          <w:lang w:val="en-US"/>
        </w:rPr>
        <w:t xml:space="preserve">. 11. </w:t>
      </w:r>
      <w:r w:rsidRPr="008127F8">
        <w:rPr>
          <w:i w:val="0"/>
          <w:iCs w:val="0"/>
          <w:color w:val="000000" w:themeColor="text1"/>
          <w:spacing w:val="0"/>
          <w:position w:val="0"/>
          <w:sz w:val="16"/>
          <w:szCs w:val="16"/>
        </w:rPr>
        <w:t>Д</w:t>
      </w:r>
      <w:r w:rsidRPr="008127F8">
        <w:rPr>
          <w:i w:val="0"/>
          <w:iCs w:val="0"/>
          <w:color w:val="000000" w:themeColor="text1"/>
          <w:spacing w:val="0"/>
          <w:position w:val="0"/>
          <w:sz w:val="16"/>
          <w:szCs w:val="16"/>
          <w:lang w:val="en-US"/>
        </w:rPr>
        <w:t xml:space="preserve">. 67. </w:t>
      </w:r>
      <w:r w:rsidRPr="008127F8">
        <w:rPr>
          <w:i w:val="0"/>
          <w:iCs w:val="0"/>
          <w:color w:val="000000" w:themeColor="text1"/>
          <w:spacing w:val="0"/>
          <w:position w:val="0"/>
          <w:sz w:val="16"/>
          <w:szCs w:val="16"/>
        </w:rPr>
        <w:t>Л</w:t>
      </w:r>
      <w:r w:rsidRPr="008127F8">
        <w:rPr>
          <w:i w:val="0"/>
          <w:iCs w:val="0"/>
          <w:color w:val="000000" w:themeColor="text1"/>
          <w:spacing w:val="0"/>
          <w:position w:val="0"/>
          <w:sz w:val="16"/>
          <w:szCs w:val="16"/>
          <w:lang w:val="en-US"/>
        </w:rPr>
        <w:t xml:space="preserve">. 34—35. </w:t>
      </w:r>
      <w:r w:rsidRPr="008127F8">
        <w:rPr>
          <w:i w:val="0"/>
          <w:iCs w:val="0"/>
          <w:color w:val="000000" w:themeColor="text1"/>
          <w:spacing w:val="0"/>
          <w:position w:val="0"/>
          <w:sz w:val="16"/>
          <w:szCs w:val="16"/>
        </w:rPr>
        <w:t>Подлинник</w:t>
      </w:r>
      <w:r w:rsidRPr="008127F8">
        <w:rPr>
          <w:i w:val="0"/>
          <w:iCs w:val="0"/>
          <w:color w:val="000000" w:themeColor="text1"/>
          <w:spacing w:val="0"/>
          <w:position w:val="0"/>
          <w:sz w:val="16"/>
          <w:szCs w:val="16"/>
          <w:lang w:val="en-US"/>
        </w:rPr>
        <w:t xml:space="preserve"> (11211).</w:t>
      </w:r>
    </w:p>
    <w:p w14:paraId="4DB04DD9" w14:textId="77777777" w:rsidR="00D4651C" w:rsidRPr="008127F8" w:rsidRDefault="00D4651C" w:rsidP="001E0A84">
      <w:pPr>
        <w:pStyle w:val="afff5"/>
        <w:jc w:val="both"/>
        <w:rPr>
          <w:i w:val="0"/>
          <w:iCs w:val="0"/>
          <w:color w:val="000000" w:themeColor="text1"/>
          <w:spacing w:val="0"/>
          <w:position w:val="0"/>
          <w:sz w:val="16"/>
          <w:szCs w:val="16"/>
          <w:lang w:val="en-US"/>
        </w:rPr>
      </w:pPr>
    </w:p>
    <w:p w14:paraId="7FA74B9B"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20 1942 Russians recapture Mozhaisk, 65 miles west-southwest of Moscow (1037).</w:t>
      </w:r>
    </w:p>
    <w:p w14:paraId="500C67FA" w14:textId="77777777" w:rsidR="00D4651C" w:rsidRPr="008127F8" w:rsidRDefault="00D4651C" w:rsidP="001E0A84">
      <w:pPr>
        <w:pStyle w:val="Iauiue"/>
        <w:jc w:val="both"/>
        <w:rPr>
          <w:color w:val="000000" w:themeColor="text1"/>
          <w:sz w:val="16"/>
          <w:szCs w:val="16"/>
          <w:lang w:val="en-US"/>
        </w:rPr>
      </w:pPr>
    </w:p>
    <w:p w14:paraId="06FDC6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советская армия освободила Мажайск (1037).</w:t>
      </w:r>
    </w:p>
    <w:p w14:paraId="50B8C12F" w14:textId="77777777" w:rsidR="00D4651C" w:rsidRPr="008127F8" w:rsidRDefault="00D4651C" w:rsidP="001E0A84">
      <w:pPr>
        <w:pStyle w:val="Iauiue"/>
        <w:jc w:val="both"/>
        <w:rPr>
          <w:color w:val="000000" w:themeColor="text1"/>
          <w:sz w:val="16"/>
          <w:szCs w:val="16"/>
        </w:rPr>
      </w:pPr>
    </w:p>
    <w:p w14:paraId="5AD80D9A"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2D8EAB82" w14:textId="77777777" w:rsidR="00D4651C" w:rsidRPr="008127F8" w:rsidRDefault="00D4651C" w:rsidP="001E0A84">
      <w:pPr>
        <w:pStyle w:val="Iauiue"/>
        <w:jc w:val="both"/>
        <w:rPr>
          <w:iCs/>
          <w:color w:val="000000" w:themeColor="text1"/>
          <w:sz w:val="16"/>
          <w:szCs w:val="16"/>
        </w:rPr>
      </w:pPr>
    </w:p>
    <w:p w14:paraId="5556568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20 января 1942 вышло Постановление ГКО № 1177 О польской армейской газете "Ожел Бялы". (7020, 174).</w:t>
      </w:r>
    </w:p>
    <w:p w14:paraId="6C42F4CD" w14:textId="77777777" w:rsidR="00D4651C" w:rsidRPr="008127F8" w:rsidRDefault="00D4651C" w:rsidP="001E0A84">
      <w:pPr>
        <w:pStyle w:val="Iauiue"/>
        <w:tabs>
          <w:tab w:val="left" w:pos="11199"/>
        </w:tabs>
        <w:jc w:val="both"/>
        <w:rPr>
          <w:color w:val="000000" w:themeColor="text1"/>
          <w:sz w:val="16"/>
          <w:szCs w:val="16"/>
        </w:rPr>
      </w:pPr>
    </w:p>
    <w:p w14:paraId="5FB6424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6E1A581D" w14:textId="77777777" w:rsidR="00D4651C" w:rsidRPr="008127F8" w:rsidRDefault="00D4651C" w:rsidP="001E0A84">
      <w:pPr>
        <w:pStyle w:val="Iauiue"/>
        <w:jc w:val="both"/>
        <w:rPr>
          <w:iCs/>
          <w:color w:val="000000" w:themeColor="text1"/>
          <w:sz w:val="16"/>
          <w:szCs w:val="16"/>
        </w:rPr>
      </w:pPr>
    </w:p>
    <w:p w14:paraId="03B35011" w14:textId="77777777" w:rsidR="000C31BD" w:rsidRPr="008127F8" w:rsidRDefault="000C31BD"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bCs/>
          <w:color w:val="000000" w:themeColor="text1"/>
          <w:sz w:val="16"/>
          <w:szCs w:val="16"/>
        </w:rPr>
        <w:t>20  января</w:t>
      </w:r>
      <w:proofErr w:type="gramEnd"/>
      <w:r w:rsidRPr="008127F8">
        <w:rPr>
          <w:rFonts w:ascii="Times New Roman" w:hAnsi="Times New Roman"/>
          <w:color w:val="000000" w:themeColor="text1"/>
          <w:sz w:val="16"/>
          <w:szCs w:val="16"/>
        </w:rPr>
        <w:t xml:space="preserve"> в 1942 году испытан четырехмоторный «Me 323V1». Параллельно велась разработка двух вариантов мотопланера: «Me 321С» (четыре двигателя) и «Me 321C» (шесть), оба они имели двойное управление. Впоследствии новые машины были переименованы: «Me 321C/D» стали обозначаться как «Me 323C/D». Испытанный 20 января 1942 года четырехмоторный «Me 323V1» в серию не пошел: мощности его силовой установки не хватило для отрыва от земли с максимальной загрузкой без участия буксировщика. Дальнейшие работы сосредоточились на доводке шестимоторного «Me 323V2», управляемость которого, хотя и затрудненная, была признана приемлемой. В течение 1942 года были выпущены 10 предсерийных машин модификации «D-0» («V3» — «VI2») (15015).</w:t>
      </w:r>
    </w:p>
    <w:p w14:paraId="111355A6" w14:textId="77777777" w:rsidR="000C31BD" w:rsidRPr="008127F8" w:rsidRDefault="000C31BD" w:rsidP="001E0A84">
      <w:pPr>
        <w:spacing w:after="0" w:line="240" w:lineRule="auto"/>
        <w:jc w:val="both"/>
        <w:rPr>
          <w:rFonts w:ascii="Times New Roman" w:hAnsi="Times New Roman"/>
          <w:color w:val="000000" w:themeColor="text1"/>
          <w:sz w:val="16"/>
          <w:szCs w:val="16"/>
        </w:rPr>
      </w:pPr>
    </w:p>
    <w:p w14:paraId="2DC980F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20 января 1942 нацисты в Ванзее приняли план “окончательного решения еврейского вопроса в Европе” (4962).</w:t>
      </w:r>
    </w:p>
    <w:p w14:paraId="26667940" w14:textId="77777777" w:rsidR="00D4651C" w:rsidRPr="008127F8" w:rsidRDefault="00D4651C" w:rsidP="001E0A84">
      <w:pPr>
        <w:pStyle w:val="Iauiue"/>
        <w:tabs>
          <w:tab w:val="left" w:pos="11199"/>
        </w:tabs>
        <w:jc w:val="both"/>
        <w:rPr>
          <w:color w:val="000000" w:themeColor="text1"/>
          <w:sz w:val="16"/>
          <w:szCs w:val="16"/>
        </w:rPr>
      </w:pPr>
    </w:p>
    <w:p w14:paraId="44465215"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 20 1942 Heydrich holds Wannsee Conference to coordinate plans for the "Final Solution of the European Jewish Question" (1050).</w:t>
      </w:r>
    </w:p>
    <w:p w14:paraId="58C7D48E" w14:textId="77777777" w:rsidR="00D4651C" w:rsidRPr="008127F8" w:rsidRDefault="00D4651C" w:rsidP="001E0A84">
      <w:pPr>
        <w:pStyle w:val="Iauiue"/>
        <w:jc w:val="both"/>
        <w:rPr>
          <w:color w:val="000000" w:themeColor="text1"/>
          <w:sz w:val="16"/>
          <w:szCs w:val="16"/>
          <w:lang w:val="en-US"/>
        </w:rPr>
      </w:pPr>
    </w:p>
    <w:p w14:paraId="05323F2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Гейдрих на конференции в Ванзее предложил план окончательного решения еврейского вопроса (1050).</w:t>
      </w:r>
    </w:p>
    <w:p w14:paraId="73AC8BE8" w14:textId="77777777" w:rsidR="00D4651C" w:rsidRPr="008127F8" w:rsidRDefault="00D4651C" w:rsidP="001E0A84">
      <w:pPr>
        <w:pStyle w:val="Iauiue"/>
        <w:jc w:val="both"/>
        <w:rPr>
          <w:color w:val="000000" w:themeColor="text1"/>
          <w:sz w:val="16"/>
          <w:szCs w:val="16"/>
        </w:rPr>
      </w:pPr>
    </w:p>
    <w:p w14:paraId="3D8048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20 января по 20 мая 1942 состоялась Бирманская операция, в ходе которой 60 тыс. японцев разгромили 35 тыс. англичан и 50 тыс. китайцев и перерезали единственную магистраль, связывающую англо-американские войска с Китаем, оккупировали Бирму и вышли к границам Индии (2438,100).</w:t>
      </w:r>
    </w:p>
    <w:p w14:paraId="7D7B9446" w14:textId="77777777" w:rsidR="00D4651C" w:rsidRPr="008127F8" w:rsidRDefault="00D4651C" w:rsidP="001E0A84">
      <w:pPr>
        <w:pStyle w:val="Iauiue"/>
        <w:jc w:val="both"/>
        <w:rPr>
          <w:color w:val="000000" w:themeColor="text1"/>
          <w:sz w:val="16"/>
          <w:szCs w:val="16"/>
        </w:rPr>
      </w:pPr>
    </w:p>
    <w:p w14:paraId="08F447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20 января по 20 мая 1942 состоялась Бирманская операция, в ходе которой 60 тыс. японцев разгромили 35 тыс. англичан и 50 тыс. китайцев и перерезали единственную магистраль, связывающую англо-американские войска с Китаем, оккупировали Бирму и вышли к границам Индии (2438,100).</w:t>
      </w:r>
    </w:p>
    <w:p w14:paraId="1E5E4BFA" w14:textId="77777777" w:rsidR="00D4651C" w:rsidRPr="008127F8" w:rsidRDefault="00D4651C" w:rsidP="001E0A84">
      <w:pPr>
        <w:pStyle w:val="Iauiue"/>
        <w:jc w:val="both"/>
        <w:rPr>
          <w:color w:val="000000" w:themeColor="text1"/>
          <w:sz w:val="16"/>
          <w:szCs w:val="16"/>
        </w:rPr>
      </w:pPr>
    </w:p>
    <w:p w14:paraId="229574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 января 1942 японские войска пересекли Таиланд и вторглись в Бирму, взяв 8 марта Рангун (3907,235).</w:t>
      </w:r>
    </w:p>
    <w:p w14:paraId="5AA766C0" w14:textId="77777777" w:rsidR="00D4651C" w:rsidRPr="008127F8" w:rsidRDefault="00D4651C" w:rsidP="001E0A84">
      <w:pPr>
        <w:pStyle w:val="Iauiue"/>
        <w:jc w:val="both"/>
        <w:rPr>
          <w:color w:val="000000" w:themeColor="text1"/>
          <w:sz w:val="16"/>
          <w:szCs w:val="16"/>
        </w:rPr>
      </w:pPr>
    </w:p>
    <w:p w14:paraId="5AEF94F2" w14:textId="77777777" w:rsidR="005F7283" w:rsidRPr="008127F8" w:rsidRDefault="005F7283"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20 января 1942 года в США был введен запрет выпуск в стране легковых автомобилей (о чем Кнудсен предупреждал еще в октябре 1940). 10 февраля того же года последняя легковая машина сошла с конвейера, а уже спустя три месяца автомобильная промышленность приступила к массовому изготовлению авиационных узлов и компонентов. Как и в случае с танками, строительство сборочных авиационных заводов государство взяло на себя. В результате авиапромышленность была создана фактически заново. До 1939 года эта небольшая по объему выпускаемой продукции отрасль занимала 44-е место среди других отраслей американской промышленности. А в момент своего наивысшего подъема (конец 1943 – начало 1944-го) стоимость продукции, поставленной авиационной промышленностью, превышала 20 млрд долларов в год, то есть в пятикратном размере перекрыла цену изделий автомобильной промышленности США в рекордном для нее предвоенном году. Число занятых на предприятиях, участвующих в строительстве самолетов, увеличилось с 40 тысяч человек в 1939 году и 160 тысяч в июне 1940 года до 2 миллионов 202 тысяч в ноябре 1943-го (21541).</w:t>
      </w:r>
    </w:p>
    <w:p w14:paraId="3431F5AF" w14:textId="77777777" w:rsidR="005F7283" w:rsidRPr="008127F8" w:rsidRDefault="005F7283" w:rsidP="001E0A84">
      <w:pPr>
        <w:pStyle w:val="article-renderblock"/>
        <w:shd w:val="clear" w:color="auto" w:fill="FFFFFF"/>
        <w:spacing w:before="0" w:beforeAutospacing="0" w:after="0" w:afterAutospacing="0"/>
        <w:jc w:val="both"/>
        <w:rPr>
          <w:color w:val="000000" w:themeColor="text1"/>
          <w:sz w:val="16"/>
          <w:szCs w:val="16"/>
        </w:rPr>
      </w:pPr>
    </w:p>
    <w:p w14:paraId="631DCB0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0902F8B5" w14:textId="77777777" w:rsidR="00D4651C" w:rsidRPr="008127F8" w:rsidRDefault="00D4651C" w:rsidP="001E0A84">
      <w:pPr>
        <w:pStyle w:val="Iauiue"/>
        <w:jc w:val="both"/>
        <w:rPr>
          <w:iCs/>
          <w:color w:val="000000" w:themeColor="text1"/>
          <w:sz w:val="16"/>
          <w:szCs w:val="16"/>
        </w:rPr>
      </w:pPr>
    </w:p>
    <w:p w14:paraId="520BE2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21 января 1942 г. в НИИ ВВС КА завершились Государственные испытания Ил-2 АМ-38 с неубирающимися лыжами про</w:t>
      </w:r>
      <w:r w:rsidRPr="008127F8">
        <w:rPr>
          <w:color w:val="000000" w:themeColor="text1"/>
          <w:sz w:val="16"/>
          <w:szCs w:val="16"/>
        </w:rPr>
        <w:softHyphen/>
        <w:t>изводства завода № 381 (зав. № 381403) (ведущий летчик-испытатель -С.М.Коробков, ведущий инженер -Н.С.Куликов).</w:t>
      </w:r>
    </w:p>
    <w:p w14:paraId="2CFBB73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Предъявленный на испытания Ил-2 был идентичен штурмовикам первых четырех серий производства завода № 18. Вес комплекта лыж составил 181 кг, против веса комплекта колес - 112 кг. Удельная нагрузка на лыжи 1375 кг/м</w:t>
      </w:r>
      <w:r w:rsidRPr="008127F8">
        <w:rPr>
          <w:color w:val="000000" w:themeColor="text1"/>
          <w:sz w:val="16"/>
          <w:szCs w:val="16"/>
          <w:vertAlign w:val="superscript"/>
        </w:rPr>
        <w:t>2</w:t>
      </w:r>
      <w:r w:rsidRPr="008127F8">
        <w:rPr>
          <w:color w:val="000000" w:themeColor="text1"/>
          <w:sz w:val="16"/>
          <w:szCs w:val="16"/>
        </w:rPr>
        <w:t>.</w:t>
      </w:r>
    </w:p>
    <w:p w14:paraId="4FB167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Испытания показали, что установка неубирающихся лыж снизила макси</w:t>
      </w:r>
      <w:r w:rsidRPr="008127F8">
        <w:rPr>
          <w:color w:val="000000" w:themeColor="text1"/>
          <w:sz w:val="16"/>
          <w:szCs w:val="16"/>
        </w:rPr>
        <w:softHyphen/>
        <w:t>мальную скорость полета у земли (по</w:t>
      </w:r>
      <w:r w:rsidRPr="008127F8">
        <w:rPr>
          <w:color w:val="000000" w:themeColor="text1"/>
          <w:sz w:val="16"/>
          <w:szCs w:val="16"/>
        </w:rPr>
        <w:softHyphen/>
        <w:t>летный вес 5500 кг, 200 кг бомб, без PC) до 317 км/ч, на высоте 2150 м - до 339 км/ч. Время набора высоты 1000 м вы</w:t>
      </w:r>
      <w:r w:rsidRPr="008127F8">
        <w:rPr>
          <w:color w:val="000000" w:themeColor="text1"/>
          <w:sz w:val="16"/>
          <w:szCs w:val="16"/>
        </w:rPr>
        <w:softHyphen/>
        <w:t>росло до 2,9 минут. Дальность полета уменьшилась до 428 км (на 0,9 maxV).</w:t>
      </w:r>
    </w:p>
    <w:p w14:paraId="63EF440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Столь резкое снижение летных дан</w:t>
      </w:r>
      <w:r w:rsidRPr="008127F8">
        <w:rPr>
          <w:color w:val="000000" w:themeColor="text1"/>
          <w:sz w:val="16"/>
          <w:szCs w:val="16"/>
        </w:rPr>
        <w:softHyphen/>
        <w:t>ных штурмовика Ил-2 с неубирающи</w:t>
      </w:r>
      <w:r w:rsidRPr="008127F8">
        <w:rPr>
          <w:color w:val="000000" w:themeColor="text1"/>
          <w:sz w:val="16"/>
          <w:szCs w:val="16"/>
        </w:rPr>
        <w:softHyphen/>
        <w:t xml:space="preserve">мися лыжами, естественно, не могло не вызвать нареканий у летного состава. Например, в донесении 312-го </w:t>
      </w:r>
      <w:r w:rsidRPr="008127F8">
        <w:rPr>
          <w:iCs/>
          <w:color w:val="000000" w:themeColor="text1"/>
          <w:sz w:val="16"/>
          <w:szCs w:val="16"/>
        </w:rPr>
        <w:t>шап</w:t>
      </w:r>
      <w:r w:rsidRPr="008127F8">
        <w:rPr>
          <w:color w:val="000000" w:themeColor="text1"/>
          <w:sz w:val="16"/>
          <w:szCs w:val="16"/>
        </w:rPr>
        <w:t xml:space="preserve"> 47-й </w:t>
      </w:r>
      <w:r w:rsidRPr="008127F8">
        <w:rPr>
          <w:iCs/>
          <w:color w:val="000000" w:themeColor="text1"/>
          <w:sz w:val="16"/>
          <w:szCs w:val="16"/>
        </w:rPr>
        <w:t>сад</w:t>
      </w:r>
      <w:r w:rsidRPr="008127F8">
        <w:rPr>
          <w:color w:val="000000" w:themeColor="text1"/>
          <w:sz w:val="16"/>
          <w:szCs w:val="16"/>
        </w:rPr>
        <w:t xml:space="preserve"> по этому поводу указывалось: </w:t>
      </w:r>
      <w:r w:rsidRPr="008127F8">
        <w:rPr>
          <w:iCs/>
          <w:color w:val="000000" w:themeColor="text1"/>
          <w:sz w:val="16"/>
          <w:szCs w:val="16"/>
        </w:rPr>
        <w:t>"...летный состав берется "за го</w:t>
      </w:r>
      <w:r w:rsidRPr="008127F8">
        <w:rPr>
          <w:iCs/>
          <w:color w:val="000000" w:themeColor="text1"/>
          <w:sz w:val="16"/>
          <w:szCs w:val="16"/>
        </w:rPr>
        <w:softHyphen/>
        <w:t>лову" при полетах на самолете с лы</w:t>
      </w:r>
      <w:r w:rsidRPr="008127F8">
        <w:rPr>
          <w:iCs/>
          <w:color w:val="000000" w:themeColor="text1"/>
          <w:sz w:val="16"/>
          <w:szCs w:val="16"/>
        </w:rPr>
        <w:softHyphen/>
        <w:t>жами. Основное требование увеличе</w:t>
      </w:r>
      <w:r w:rsidRPr="008127F8">
        <w:rPr>
          <w:iCs/>
          <w:color w:val="000000" w:themeColor="text1"/>
          <w:sz w:val="16"/>
          <w:szCs w:val="16"/>
        </w:rPr>
        <w:softHyphen/>
        <w:t>ние скорости диктуется условием встречи с истребителями противни</w:t>
      </w:r>
      <w:r w:rsidRPr="008127F8">
        <w:rPr>
          <w:iCs/>
          <w:color w:val="000000" w:themeColor="text1"/>
          <w:sz w:val="16"/>
          <w:szCs w:val="16"/>
        </w:rPr>
        <w:softHyphen/>
        <w:t>ка. Данная скорость (без лыж) удов</w:t>
      </w:r>
      <w:r w:rsidRPr="008127F8">
        <w:rPr>
          <w:iCs/>
          <w:color w:val="000000" w:themeColor="text1"/>
          <w:sz w:val="16"/>
          <w:szCs w:val="16"/>
        </w:rPr>
        <w:softHyphen/>
        <w:t xml:space="preserve">летворительна... " </w:t>
      </w:r>
      <w:r w:rsidRPr="008127F8">
        <w:rPr>
          <w:color w:val="000000" w:themeColor="text1"/>
          <w:sz w:val="16"/>
          <w:szCs w:val="16"/>
        </w:rPr>
        <w:t>(6467).</w:t>
      </w:r>
    </w:p>
    <w:p w14:paraId="6D11A8B1" w14:textId="77777777" w:rsidR="00D4651C" w:rsidRPr="008127F8" w:rsidRDefault="00D4651C" w:rsidP="001E0A84">
      <w:pPr>
        <w:pStyle w:val="Iauiue"/>
        <w:jc w:val="both"/>
        <w:rPr>
          <w:color w:val="000000" w:themeColor="text1"/>
          <w:sz w:val="16"/>
          <w:szCs w:val="16"/>
        </w:rPr>
      </w:pPr>
    </w:p>
    <w:p w14:paraId="59817A92" w14:textId="77777777" w:rsidR="00083E5E" w:rsidRPr="008127F8" w:rsidRDefault="00083E5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 в НИИ ВВС завершились Государственные испытания Ил-2 с неубирающимися лыжами производства завода № 381 (зав. № 381403). Испытания проводил ведущий летчик-испытатель С.М.Коробков, ведущим инженером был Н.С.Куликов. Предъявленный на испытания Ил-2 был идентичен штурмовикам первых четырех серий производства завода № 18 (г.Куйбышев). Вес комплекта лыж составил 181 кг, против веса комплекта колес - 112 кг. Удельная нагрузка на лыжи 1375 кг/м</w:t>
      </w:r>
      <w:proofErr w:type="gramStart"/>
      <w:r w:rsidRPr="008127F8">
        <w:rPr>
          <w:rFonts w:ascii="Times New Roman" w:hAnsi="Times New Roman"/>
          <w:color w:val="000000" w:themeColor="text1"/>
          <w:sz w:val="16"/>
          <w:szCs w:val="16"/>
        </w:rPr>
        <w:t>2 .</w:t>
      </w:r>
      <w:proofErr w:type="gramEnd"/>
      <w:r w:rsidRPr="008127F8">
        <w:rPr>
          <w:rFonts w:ascii="Times New Roman" w:hAnsi="Times New Roman"/>
          <w:color w:val="000000" w:themeColor="text1"/>
          <w:sz w:val="16"/>
          <w:szCs w:val="16"/>
        </w:rPr>
        <w:t xml:space="preserve"> Испытания показали, что установка неубирающихся лыж снизила максимальную скорость полета у земли (полетный вес 5500 кг, 200 кг бомб, без PC) до 317 км/ч, на высоте 2150 м - до 339 км/ч. Время набора высоты 1000 м выросло до 2,9 мин. Дальность полета уменьшилась до 428 км. Столь резкое снижение летных данных штурмовика Ил-2 с неубирающимися лыжами, естественно, не могло не вызвать нареканий у летного состава. Например, в донесении 312- го штурмового авиаполка 47-й смешанной авиадивизии по этому поводу указывалось: «...летный состав берется «за голову» при полетах на самолете с лыжами. Основное требование увеличение скорости диктуется условием встречи с истребителями противника. Данная скорость (без лыж) удовлетворительна...» (18250).</w:t>
      </w:r>
    </w:p>
    <w:p w14:paraId="57481F02" w14:textId="77777777" w:rsidR="00083E5E" w:rsidRPr="008127F8" w:rsidRDefault="00083E5E" w:rsidP="001E0A84">
      <w:pPr>
        <w:spacing w:after="0" w:line="240" w:lineRule="auto"/>
        <w:jc w:val="both"/>
        <w:rPr>
          <w:rFonts w:ascii="Times New Roman" w:hAnsi="Times New Roman"/>
          <w:color w:val="000000" w:themeColor="text1"/>
          <w:sz w:val="16"/>
          <w:szCs w:val="16"/>
        </w:rPr>
      </w:pPr>
    </w:p>
    <w:p w14:paraId="04DA861E" w14:textId="77777777" w:rsidR="00083E5E" w:rsidRPr="008127F8" w:rsidRDefault="00083E5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 в НИИ ВВС КА завершились Государственные испытания Ил-2 с неубирающимися лыжами производства завода № 381 (зав. № 381403). Испытания проводил ведущий летчикиспытатель С.М.Коробков, ведущим инженером был Н.С.Куликов. Предъявленный на испытания Ил-2 был идентичен штурмови- кам первых четырех серий производства завода №18 (г.Куйбышев). Вес комплекта лыж составил 181 кг, против веса комплекта колес - 112 кг. Удельная нагрузка на лыжи 1375 кг/м</w:t>
      </w:r>
      <w:proofErr w:type="gramStart"/>
      <w:r w:rsidRPr="008127F8">
        <w:rPr>
          <w:rFonts w:ascii="Times New Roman" w:hAnsi="Times New Roman"/>
          <w:color w:val="000000" w:themeColor="text1"/>
          <w:sz w:val="16"/>
          <w:szCs w:val="16"/>
        </w:rPr>
        <w:t>2 .</w:t>
      </w:r>
      <w:proofErr w:type="gramEnd"/>
      <w:r w:rsidRPr="008127F8">
        <w:rPr>
          <w:rFonts w:ascii="Times New Roman" w:hAnsi="Times New Roman"/>
          <w:color w:val="000000" w:themeColor="text1"/>
          <w:sz w:val="16"/>
          <w:szCs w:val="16"/>
        </w:rPr>
        <w:t xml:space="preserve"> Испытания пока- зали, что установка неубирающихся лыж снизила максимальную скорость полета у земли (полетный вес 5500 кг, 200 кг бомб, без PC) до 317 км/ч, на высоте 2150 м - до 339 км/ч. Время набора вы- соты 1000 м выросло до 2,9 мин. Дальность полета уменьшилась до 428 км. Столь резкое снижение летных данных штурмовика Ил-2 с неубирающимися лыжами, естественно, не могло не </w:t>
      </w:r>
      <w:proofErr w:type="gramStart"/>
      <w:r w:rsidRPr="008127F8">
        <w:rPr>
          <w:rFonts w:ascii="Times New Roman" w:hAnsi="Times New Roman"/>
          <w:color w:val="000000" w:themeColor="text1"/>
          <w:sz w:val="16"/>
          <w:szCs w:val="16"/>
        </w:rPr>
        <w:t>вы- звать</w:t>
      </w:r>
      <w:proofErr w:type="gramEnd"/>
      <w:r w:rsidRPr="008127F8">
        <w:rPr>
          <w:rFonts w:ascii="Times New Roman" w:hAnsi="Times New Roman"/>
          <w:color w:val="000000" w:themeColor="text1"/>
          <w:sz w:val="16"/>
          <w:szCs w:val="16"/>
        </w:rPr>
        <w:t xml:space="preserve"> нареканий у летного состава. Например, в донесении 312- го штурмового авиаполка 47-й смешанной авиадивизии по этому поводу указывалось: «...летный состав берется «за голову» при полетах на самолете с лыжами. Основное требование увеличение скорости диктуется условием встречи с истребителями противни- ка. Данная скорость (без лыж) удовлетворительна...» (19535).</w:t>
      </w:r>
    </w:p>
    <w:p w14:paraId="4E57E013" w14:textId="77777777" w:rsidR="00083E5E" w:rsidRPr="008127F8" w:rsidRDefault="00083E5E" w:rsidP="001E0A84">
      <w:pPr>
        <w:spacing w:after="0" w:line="240" w:lineRule="auto"/>
        <w:jc w:val="both"/>
        <w:rPr>
          <w:rFonts w:ascii="Times New Roman" w:hAnsi="Times New Roman"/>
          <w:color w:val="000000" w:themeColor="text1"/>
          <w:sz w:val="16"/>
          <w:szCs w:val="16"/>
        </w:rPr>
      </w:pPr>
    </w:p>
    <w:p w14:paraId="034DE633" w14:textId="77777777" w:rsidR="005F7283" w:rsidRPr="008127F8" w:rsidRDefault="005F7283"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Государственные испытания Ил-2 АМ-38 с неубирающимися лыжами производства завода № 381 (зав. № 381403) завершились в НИИ ВВС РККА 21.01.1942 г. (ведущий летчик-испытатель - СМ. Коробков, ведущий инженер - Н.С.Куликов) (20186).</w:t>
      </w:r>
    </w:p>
    <w:p w14:paraId="5E84E241"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Предъявленный на испытания Ил-2 был идентичен штурмовикам первых четырех серий производства завода № 18 (г. Куйбышев). Вес комплекта лыж составил 181 кг, против веса комплекта колес – 112 кг. Удельная нагрузка на лыжи 1375 кг/м </w:t>
      </w:r>
      <w:proofErr w:type="gramStart"/>
      <w:r w:rsidRPr="008127F8">
        <w:rPr>
          <w:rFonts w:ascii="Times New Roman" w:hAnsi="Times New Roman"/>
          <w:color w:val="000000" w:themeColor="text1"/>
          <w:sz w:val="16"/>
          <w:szCs w:val="16"/>
        </w:rPr>
        <w:t>2 .</w:t>
      </w:r>
      <w:proofErr w:type="gramEnd"/>
      <w:r w:rsidRPr="008127F8">
        <w:rPr>
          <w:rFonts w:ascii="Times New Roman" w:hAnsi="Times New Roman"/>
          <w:color w:val="000000" w:themeColor="text1"/>
          <w:sz w:val="16"/>
          <w:szCs w:val="16"/>
        </w:rPr>
        <w:t xml:space="preserve"> Испытания показали, что установка неубирающихся лыж снизила максимальную скорость полета у земли (полетный вес 5500 кг, 200 кг бомб, без PC) до 317 км/ч, на высоте 2150 м – до 339 км/ч. Время набора высоты 1000 м выросло до 2,9 минут. Дальность полета уменьшилась до 428 километров. Столь резкое снижение летных данных штурмовика Ил-2 с неубирающимися лыжами, естественно, не могло не вызвать нареканий у летного состава. Например, в донесении 312-го штурмового авиаполка 47-й смешанной авиадивизии по этому поводу указывалось: «...летный состав берется "за голову" при полетах на самолете с лыжами. Основное требование увеличение скорости диктуется условием встречи с истребителями противника. Данная скорость (без лыж) удовлетворительна...» (22673).</w:t>
      </w:r>
    </w:p>
    <w:p w14:paraId="2AE8CC81" w14:textId="77777777" w:rsidR="005F7283" w:rsidRPr="008127F8" w:rsidRDefault="005F7283" w:rsidP="001E0A84">
      <w:pPr>
        <w:shd w:val="clear" w:color="auto" w:fill="FFFFFF"/>
        <w:spacing w:after="0" w:line="240" w:lineRule="auto"/>
        <w:jc w:val="both"/>
        <w:rPr>
          <w:rFonts w:ascii="Times New Roman" w:hAnsi="Times New Roman"/>
          <w:color w:val="000000" w:themeColor="text1"/>
          <w:sz w:val="16"/>
          <w:szCs w:val="16"/>
        </w:rPr>
      </w:pPr>
    </w:p>
    <w:p w14:paraId="1C3C151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21 января 1942 вышел приказ НКАП N 55 об учете произведенных самолетов по принципу "годен и готов к бою" - то есть полностью укомплектованных. Только такие самолеты и оплачивались по договору ВВС и завода, но в размере 80%, а остальные 20% - после получения групповых комплектов запчастей, инструмента, оснастки и приспособлений, а также за полевой ремонт. До этого - платили только 100%, но после того, как все было сделано, а с ремнаборами и прочем - не успевали. </w:t>
      </w:r>
      <w:r w:rsidRPr="008127F8">
        <w:rPr>
          <w:color w:val="000000" w:themeColor="text1"/>
          <w:sz w:val="16"/>
          <w:szCs w:val="16"/>
        </w:rPr>
        <w:lastRenderedPageBreak/>
        <w:t>Закупочные цены: Як-1 и ЛаГГ - 310 тыс., а МиГ-3 - 230 тыс. Себестоимость Як-1 - 158.3 тыс. (198,25).</w:t>
      </w:r>
    </w:p>
    <w:p w14:paraId="4800F0B0" w14:textId="77777777" w:rsidR="00D4651C" w:rsidRPr="008127F8" w:rsidRDefault="00D4651C" w:rsidP="001E0A84">
      <w:pPr>
        <w:pStyle w:val="Iauiue"/>
        <w:jc w:val="both"/>
        <w:rPr>
          <w:color w:val="000000" w:themeColor="text1"/>
          <w:sz w:val="16"/>
          <w:szCs w:val="16"/>
        </w:rPr>
      </w:pPr>
    </w:p>
    <w:p w14:paraId="671E5C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21 января 1942 г. (В X ГУ на этот порядок перешли ещё раньше — с 1 января 1942 г. (см.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2824. Л. 38.)) товарной продукцией было решено считать лишь са</w:t>
      </w:r>
      <w:r w:rsidRPr="008127F8">
        <w:rPr>
          <w:rFonts w:ascii="Times New Roman" w:hAnsi="Times New Roman"/>
          <w:color w:val="000000" w:themeColor="text1"/>
          <w:sz w:val="16"/>
          <w:szCs w:val="16"/>
        </w:rPr>
        <w:softHyphen/>
        <w:t>молёты, прошедшие облёт на аэродроме. То есть самолёты, в целом готовые, но не прошедшие облёт в силу тех или иных дефектов, отныне относились в графу незавершённое произ</w:t>
      </w:r>
      <w:r w:rsidRPr="008127F8">
        <w:rPr>
          <w:rFonts w:ascii="Times New Roman" w:hAnsi="Times New Roman"/>
          <w:color w:val="000000" w:themeColor="text1"/>
          <w:sz w:val="16"/>
          <w:szCs w:val="16"/>
        </w:rPr>
        <w:softHyphen/>
        <w:t>водство, и в плановый зачёт не шли (</w:t>
      </w:r>
      <w:r w:rsidRPr="008127F8">
        <w:rPr>
          <w:rFonts w:ascii="Times New Roman" w:hAnsi="Times New Roman"/>
          <w:iCs/>
          <w:color w:val="000000" w:themeColor="text1"/>
          <w:sz w:val="16"/>
          <w:szCs w:val="16"/>
        </w:rPr>
        <w:t>Захарченко А.В.</w:t>
      </w:r>
      <w:r w:rsidRPr="008127F8">
        <w:rPr>
          <w:rFonts w:ascii="Times New Roman" w:hAnsi="Times New Roman"/>
          <w:color w:val="000000" w:themeColor="text1"/>
          <w:sz w:val="16"/>
          <w:szCs w:val="16"/>
        </w:rPr>
        <w:t xml:space="preserve"> Формирование авиапромышленного комплекса в По</w:t>
      </w:r>
      <w:r w:rsidRPr="008127F8">
        <w:rPr>
          <w:rFonts w:ascii="Times New Roman" w:hAnsi="Times New Roman"/>
          <w:color w:val="000000" w:themeColor="text1"/>
          <w:sz w:val="16"/>
          <w:szCs w:val="16"/>
        </w:rPr>
        <w:softHyphen/>
        <w:t>волжье накануне и в годы Великой Отечественной войны (1940—1942 гг.). Самара, 2004. С. 28). В этой ситуации нар</w:t>
      </w:r>
      <w:r w:rsidRPr="008127F8">
        <w:rPr>
          <w:rFonts w:ascii="Times New Roman" w:hAnsi="Times New Roman"/>
          <w:color w:val="000000" w:themeColor="text1"/>
          <w:sz w:val="16"/>
          <w:szCs w:val="16"/>
        </w:rPr>
        <w:softHyphen/>
        <w:t>комат был вынужден разрешить заводу № 292 осуществлять облёт самолётов в ночное время, а заводу № 1 — перевозить разобранные штурмовики по железной дороге в Москву, где уже осуществлялась их окончательная сборка, облёт и сдача военприёмке. В дальнейшем волна мероприятий, ужесточающих кон</w:t>
      </w:r>
      <w:r w:rsidRPr="008127F8">
        <w:rPr>
          <w:rFonts w:ascii="Times New Roman" w:hAnsi="Times New Roman"/>
          <w:color w:val="000000" w:themeColor="text1"/>
          <w:sz w:val="16"/>
          <w:szCs w:val="16"/>
        </w:rPr>
        <w:softHyphen/>
        <w:t>троль над авиапроизводством, пошла на спад (12011).</w:t>
      </w:r>
    </w:p>
    <w:p w14:paraId="12D5BF9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D24224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21 января 1942 Руденко поручил Зам. нач. ГУ ВВС бриг инж Лешукову доложить Отзывы ИТС 47 ад по Ил-2 (471) на основании письма капитана Фомина в ГУ ВВС: "...целесообразно иметь второго человека - стрелка, а броню перенести за него к хвосту. Для стрелка поставить 12,7 мм пулемет, стреляющий назад с хорошей маневренностью установки (возможно использовать легко управляемую спарку), скорость самолета в двухместном варианте должна быть не меньше 400 км/час." (471).</w:t>
      </w:r>
    </w:p>
    <w:p w14:paraId="5E42F100" w14:textId="77777777" w:rsidR="00D4651C" w:rsidRPr="008127F8" w:rsidRDefault="00D4651C" w:rsidP="001E0A84">
      <w:pPr>
        <w:pStyle w:val="Iauiue"/>
        <w:jc w:val="both"/>
        <w:rPr>
          <w:color w:val="000000" w:themeColor="text1"/>
          <w:sz w:val="16"/>
          <w:szCs w:val="16"/>
        </w:rPr>
      </w:pPr>
    </w:p>
    <w:p w14:paraId="60EC63BD"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января 1942 г. приказом наркома были введены сводки по сдаче "готовых к бою самолетов". Этот термин "перекочевал" из акта облета самолета, в котором заводской и военпредовский летчики-испытатели писали заключение: "Годен и готов к бою". Это означало, что истребитель не только принят военпредом в цехах сборки, но и облетан, т.е. полностью готов к отправке на фронт. Вместе с этим изменился и порядок оплаты заказчиком - ВВС готовой продукции. Теперь оплачивались лишь готовые к бою самолеты в размере 80 % их закупочной стоимости. Остальные 20 % выплачивались, в соответствии с заключенным между заводом и ВВС договором, после получения так называемых групповых комплектов запасных частей, инструмента, оснастки и приспособлений (козелков, колодок и др., необходимых для эксплуатации самолетов в частях), которые завод не всегда мог поставить сразу вместе с самолетом, поскольку имел очень напряженный план, а также занимался полевым ремонтом и изготовлением запчастей для полков, эксплуатирующих Як-1. Принятый ранее порядок оплаты (после получения заказчиком к каждому самолету всего полного перечня групповых комплектов, определяемого договором) в условиях военного времени оказался неприемлемым, так как вынуждал самолетостроительные заводы выплачивать заводам-поставщикам разницу между заводской себестоимостью (в 1941 г. для Як-1 - 158 300 рублей) и закупочной ценой (в 1941 г. для Як-1 и ЛаГГ-3 - 310 000 рублей, а для МиГ-3 - 230 000 рублей) (23451).</w:t>
      </w:r>
    </w:p>
    <w:p w14:paraId="67BB4118" w14:textId="77777777" w:rsidR="00DD03FD" w:rsidRPr="008A2E5A" w:rsidRDefault="00DD03FD" w:rsidP="00DD03FD">
      <w:pPr>
        <w:spacing w:after="0" w:line="240" w:lineRule="auto"/>
        <w:jc w:val="both"/>
        <w:rPr>
          <w:rFonts w:ascii="Times New Roman" w:hAnsi="Times New Roman"/>
          <w:color w:val="0070C0"/>
          <w:sz w:val="16"/>
          <w:szCs w:val="16"/>
        </w:rPr>
      </w:pPr>
    </w:p>
    <w:p w14:paraId="263D235D"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января 1942 года датирована «Объяснительная записка по определению летных данных самолета «Р», подготовленная в эвакуации в Омске, отку</w:t>
      </w:r>
      <w:r w:rsidRPr="008A2E5A">
        <w:rPr>
          <w:rFonts w:ascii="Times New Roman" w:hAnsi="Times New Roman"/>
          <w:color w:val="0070C0"/>
          <w:sz w:val="16"/>
          <w:szCs w:val="16"/>
        </w:rPr>
        <w:softHyphen/>
        <w:t>да следует, в частности:</w:t>
      </w:r>
    </w:p>
    <w:p w14:paraId="128271DE"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«Основная идея заключается в следую</w:t>
      </w:r>
      <w:r w:rsidRPr="008A2E5A">
        <w:rPr>
          <w:rFonts w:ascii="Times New Roman" w:hAnsi="Times New Roman"/>
          <w:color w:val="0070C0"/>
          <w:sz w:val="16"/>
          <w:szCs w:val="16"/>
        </w:rPr>
        <w:softHyphen/>
        <w:t>щем:</w:t>
      </w:r>
    </w:p>
    <w:p w14:paraId="31570546"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Для рациональной компоновки реак</w:t>
      </w:r>
      <w:r w:rsidRPr="008A2E5A">
        <w:rPr>
          <w:rFonts w:ascii="Times New Roman" w:hAnsi="Times New Roman"/>
          <w:color w:val="0070C0"/>
          <w:sz w:val="16"/>
          <w:szCs w:val="16"/>
        </w:rPr>
        <w:softHyphen/>
        <w:t>тивного двигателя с самолетом целесоо</w:t>
      </w:r>
      <w:r w:rsidRPr="008A2E5A">
        <w:rPr>
          <w:rFonts w:ascii="Times New Roman" w:hAnsi="Times New Roman"/>
          <w:color w:val="0070C0"/>
          <w:sz w:val="16"/>
          <w:szCs w:val="16"/>
        </w:rPr>
        <w:softHyphen/>
        <w:t>бразно создать машину, в которой струи двигателя и самолета взаимодействуют т.о., что(бы) интерференция увеличила тягу, уменьшила сопротивление и увеличила подъемную силу.</w:t>
      </w:r>
    </w:p>
    <w:p w14:paraId="72722E09"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Такая схема осуществима путем распо</w:t>
      </w:r>
      <w:r w:rsidRPr="008A2E5A">
        <w:rPr>
          <w:rFonts w:ascii="Times New Roman" w:hAnsi="Times New Roman"/>
          <w:color w:val="0070C0"/>
          <w:sz w:val="16"/>
          <w:szCs w:val="16"/>
        </w:rPr>
        <w:softHyphen/>
        <w:t>ложения вытянутой вдоль размаха выход</w:t>
      </w:r>
      <w:r w:rsidRPr="008A2E5A">
        <w:rPr>
          <w:rFonts w:ascii="Times New Roman" w:hAnsi="Times New Roman"/>
          <w:color w:val="0070C0"/>
          <w:sz w:val="16"/>
          <w:szCs w:val="16"/>
        </w:rPr>
        <w:softHyphen/>
        <w:t>ной щели газов реактивного двигателя на верхней стороне крыла. Тогда разряжение, созданное крылом, увеличивает скорость истечения газов реактивного двигате</w:t>
      </w:r>
      <w:r w:rsidRPr="008A2E5A">
        <w:rPr>
          <w:rFonts w:ascii="Times New Roman" w:hAnsi="Times New Roman"/>
          <w:color w:val="0070C0"/>
          <w:sz w:val="16"/>
          <w:szCs w:val="16"/>
        </w:rPr>
        <w:softHyphen/>
        <w:t>ля, обдув же верхней стороны крыла дает уменьшение сопротивления и увеличение подъемной силы.</w:t>
      </w:r>
    </w:p>
    <w:p w14:paraId="215D06C8"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Данное обстоятельство, а также от</w:t>
      </w:r>
      <w:r w:rsidRPr="008A2E5A">
        <w:rPr>
          <w:rFonts w:ascii="Times New Roman" w:hAnsi="Times New Roman"/>
          <w:color w:val="0070C0"/>
          <w:sz w:val="16"/>
          <w:szCs w:val="16"/>
        </w:rPr>
        <w:softHyphen/>
        <w:t>сутствие винта и большое уменьшение веса машины в полете приведут к созданию са</w:t>
      </w:r>
      <w:r w:rsidRPr="008A2E5A">
        <w:rPr>
          <w:rFonts w:ascii="Times New Roman" w:hAnsi="Times New Roman"/>
          <w:color w:val="0070C0"/>
          <w:sz w:val="16"/>
          <w:szCs w:val="16"/>
        </w:rPr>
        <w:softHyphen/>
        <w:t>молета особой схемы.</w:t>
      </w:r>
    </w:p>
    <w:p w14:paraId="08D9F5B6"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Для улучшения работы воздушно-ре</w:t>
      </w:r>
      <w:r w:rsidRPr="008A2E5A">
        <w:rPr>
          <w:rFonts w:ascii="Times New Roman" w:hAnsi="Times New Roman"/>
          <w:color w:val="0070C0"/>
          <w:sz w:val="16"/>
          <w:szCs w:val="16"/>
        </w:rPr>
        <w:softHyphen/>
        <w:t>активного двигателя, в особенности на больших скоростях, целесообразно исполь</w:t>
      </w:r>
      <w:r w:rsidRPr="008A2E5A">
        <w:rPr>
          <w:rFonts w:ascii="Times New Roman" w:hAnsi="Times New Roman"/>
          <w:color w:val="0070C0"/>
          <w:sz w:val="16"/>
          <w:szCs w:val="16"/>
        </w:rPr>
        <w:softHyphen/>
        <w:t>зовать кинетическую энергию перегретых паров топлива, вводимых в камеру сгора</w:t>
      </w:r>
      <w:r w:rsidRPr="008A2E5A">
        <w:rPr>
          <w:rFonts w:ascii="Times New Roman" w:hAnsi="Times New Roman"/>
          <w:color w:val="0070C0"/>
          <w:sz w:val="16"/>
          <w:szCs w:val="16"/>
        </w:rPr>
        <w:softHyphen/>
        <w:t>ния. Мощность струи этих перегретых па</w:t>
      </w:r>
      <w:r w:rsidRPr="008A2E5A">
        <w:rPr>
          <w:rFonts w:ascii="Times New Roman" w:hAnsi="Times New Roman"/>
          <w:color w:val="0070C0"/>
          <w:sz w:val="16"/>
          <w:szCs w:val="16"/>
        </w:rPr>
        <w:softHyphen/>
        <w:t>ров значительна. Если, например, на взлете расход топлива 2 кг/с и скорость его паров 1220 м/с, то их мощность равна 2000 л.с., что может быть использовано для увеличе</w:t>
      </w:r>
      <w:r w:rsidRPr="008A2E5A">
        <w:rPr>
          <w:rFonts w:ascii="Times New Roman" w:hAnsi="Times New Roman"/>
          <w:color w:val="0070C0"/>
          <w:sz w:val="16"/>
          <w:szCs w:val="16"/>
        </w:rPr>
        <w:softHyphen/>
        <w:t>ния компрессии в двигателе.</w:t>
      </w:r>
    </w:p>
    <w:p w14:paraId="2CB3EC6F"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Наддув может быть осуществлен двумя различными путями:</w:t>
      </w:r>
    </w:p>
    <w:p w14:paraId="0D822356"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непосредственно струями паров то</w:t>
      </w:r>
      <w:r w:rsidRPr="008A2E5A">
        <w:rPr>
          <w:rFonts w:ascii="Times New Roman" w:hAnsi="Times New Roman"/>
          <w:color w:val="0070C0"/>
          <w:sz w:val="16"/>
          <w:szCs w:val="16"/>
        </w:rPr>
        <w:softHyphen/>
        <w:t>плива через инжекцию при низком КПД компрессора, но при минимальном весе ме</w:t>
      </w:r>
      <w:r w:rsidRPr="008A2E5A">
        <w:rPr>
          <w:rFonts w:ascii="Times New Roman" w:hAnsi="Times New Roman"/>
          <w:color w:val="0070C0"/>
          <w:sz w:val="16"/>
          <w:szCs w:val="16"/>
        </w:rPr>
        <w:softHyphen/>
        <w:t>ханизмов;</w:t>
      </w:r>
    </w:p>
    <w:p w14:paraId="549258E2"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помощью аксиального нагнетателя, приводимого в движение парами топлива, при высоком КПД, но при большом весе ме</w:t>
      </w:r>
      <w:r w:rsidRPr="008A2E5A">
        <w:rPr>
          <w:rFonts w:ascii="Times New Roman" w:hAnsi="Times New Roman"/>
          <w:color w:val="0070C0"/>
          <w:sz w:val="16"/>
          <w:szCs w:val="16"/>
        </w:rPr>
        <w:softHyphen/>
        <w:t>ханизмов».</w:t>
      </w:r>
    </w:p>
    <w:p w14:paraId="0D68AA40" w14:textId="77777777" w:rsidR="00DD03FD" w:rsidRPr="008A2E5A" w:rsidRDefault="00DD03FD" w:rsidP="00DD03FD">
      <w:pPr>
        <w:spacing w:after="0" w:line="240" w:lineRule="auto"/>
        <w:jc w:val="both"/>
        <w:rPr>
          <w:rFonts w:ascii="Times New Roman" w:hAnsi="Times New Roman"/>
          <w:color w:val="0070C0"/>
          <w:sz w:val="16"/>
          <w:szCs w:val="16"/>
        </w:rPr>
      </w:pPr>
      <w:bookmarkStart w:id="3" w:name="_Hlk125534833"/>
      <w:r w:rsidRPr="008A2E5A">
        <w:rPr>
          <w:rFonts w:ascii="Times New Roman" w:hAnsi="Times New Roman"/>
          <w:color w:val="0070C0"/>
          <w:sz w:val="16"/>
          <w:szCs w:val="16"/>
        </w:rPr>
        <w:t>Для самолета «Р» была предложена не</w:t>
      </w:r>
      <w:r w:rsidRPr="008A2E5A">
        <w:rPr>
          <w:rFonts w:ascii="Times New Roman" w:hAnsi="Times New Roman"/>
          <w:color w:val="0070C0"/>
          <w:sz w:val="16"/>
          <w:szCs w:val="16"/>
        </w:rPr>
        <w:softHyphen/>
        <w:t>сущая система типа биплана Буземана, не создающая волновое сопротивление и пред</w:t>
      </w:r>
      <w:r w:rsidRPr="008A2E5A">
        <w:rPr>
          <w:rFonts w:ascii="Times New Roman" w:hAnsi="Times New Roman"/>
          <w:color w:val="0070C0"/>
          <w:sz w:val="16"/>
          <w:szCs w:val="16"/>
        </w:rPr>
        <w:softHyphen/>
        <w:t>ставляющая собой плоский прямоточный двигатель, в котором горючее и окислитель поступали вдоль размаха крыла в виде пе</w:t>
      </w:r>
      <w:r w:rsidRPr="008A2E5A">
        <w:rPr>
          <w:rFonts w:ascii="Times New Roman" w:hAnsi="Times New Roman"/>
          <w:color w:val="0070C0"/>
          <w:sz w:val="16"/>
          <w:szCs w:val="16"/>
        </w:rPr>
        <w:softHyphen/>
        <w:t>регретых паров. Камеры сгорания изнутри выложены тонкими трубами прямоточного котла, по которым под высоким давлением проходили горючее и окислитель по прин</w:t>
      </w:r>
      <w:r w:rsidRPr="008A2E5A">
        <w:rPr>
          <w:rFonts w:ascii="Times New Roman" w:hAnsi="Times New Roman"/>
          <w:color w:val="0070C0"/>
          <w:sz w:val="16"/>
          <w:szCs w:val="16"/>
        </w:rPr>
        <w:softHyphen/>
        <w:t>ципу противотока к инжектору.</w:t>
      </w:r>
    </w:p>
    <w:p w14:paraId="03580C0E"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на старте двигательная установка работала как жидкостно-ре</w:t>
      </w:r>
      <w:r w:rsidRPr="008A2E5A">
        <w:rPr>
          <w:rFonts w:ascii="Times New Roman" w:hAnsi="Times New Roman"/>
          <w:color w:val="0070C0"/>
          <w:sz w:val="16"/>
          <w:szCs w:val="16"/>
        </w:rPr>
        <w:softHyphen/>
        <w:t>активный двигатель (ЖРД) с подсосом воздуха, а при больших скоростях — как прямоточный воздушно-реактивный дви</w:t>
      </w:r>
      <w:r w:rsidRPr="008A2E5A">
        <w:rPr>
          <w:rFonts w:ascii="Times New Roman" w:hAnsi="Times New Roman"/>
          <w:color w:val="0070C0"/>
          <w:sz w:val="16"/>
          <w:szCs w:val="16"/>
        </w:rPr>
        <w:softHyphen/>
        <w:t>гатель с использованием инжекции паров горючего. Проведенные опыты с инжек</w:t>
      </w:r>
      <w:r w:rsidRPr="008A2E5A">
        <w:rPr>
          <w:rFonts w:ascii="Times New Roman" w:hAnsi="Times New Roman"/>
          <w:color w:val="0070C0"/>
          <w:sz w:val="16"/>
          <w:szCs w:val="16"/>
        </w:rPr>
        <w:softHyphen/>
        <w:t>тором такого рода подтвердили правиль</w:t>
      </w:r>
      <w:r w:rsidRPr="008A2E5A">
        <w:rPr>
          <w:rFonts w:ascii="Times New Roman" w:hAnsi="Times New Roman"/>
          <w:color w:val="0070C0"/>
          <w:sz w:val="16"/>
          <w:szCs w:val="16"/>
        </w:rPr>
        <w:softHyphen/>
        <w:t>ность предложенной концепции.</w:t>
      </w:r>
    </w:p>
    <w:p w14:paraId="63D32E67"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образному выражению И. Берлина, это была концепция «газодинамического единства планера и силовой установки» (23466).</w:t>
      </w:r>
    </w:p>
    <w:bookmarkEnd w:id="3"/>
    <w:p w14:paraId="37A823E6" w14:textId="77777777" w:rsidR="00DD03FD" w:rsidRPr="008A2E5A" w:rsidRDefault="00DD03FD" w:rsidP="00DD03FD">
      <w:pPr>
        <w:spacing w:after="0" w:line="240" w:lineRule="auto"/>
        <w:jc w:val="both"/>
        <w:rPr>
          <w:rFonts w:ascii="Times New Roman" w:hAnsi="Times New Roman"/>
          <w:color w:val="0070C0"/>
          <w:sz w:val="16"/>
          <w:szCs w:val="16"/>
        </w:rPr>
      </w:pPr>
    </w:p>
    <w:p w14:paraId="4924819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года Постановлением ГКО СССР завод №135 был расформирован, а специалисты и оборудование распределены по за</w:t>
      </w:r>
      <w:r w:rsidRPr="008127F8">
        <w:rPr>
          <w:rFonts w:ascii="Times New Roman" w:hAnsi="Times New Roman"/>
          <w:color w:val="000000" w:themeColor="text1"/>
          <w:sz w:val="16"/>
          <w:szCs w:val="16"/>
        </w:rPr>
        <w:softHyphen/>
        <w:t>водам №№23, 30, 381. По решению НКАП завод №289 начал восстанавливаться как само</w:t>
      </w:r>
      <w:r w:rsidRPr="008127F8">
        <w:rPr>
          <w:rFonts w:ascii="Times New Roman" w:hAnsi="Times New Roman"/>
          <w:color w:val="000000" w:themeColor="text1"/>
          <w:sz w:val="16"/>
          <w:szCs w:val="16"/>
        </w:rPr>
        <w:softHyphen/>
        <w:t>стоятельная хозяйственная единица (11849).</w:t>
      </w:r>
    </w:p>
    <w:p w14:paraId="188C49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58F0B1A6" w14:textId="77777777" w:rsidR="001C2BCF" w:rsidRPr="008127F8" w:rsidRDefault="001C2BC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21 января 1942 Постановлением ГКО завод № 135 расформировывал</w:t>
      </w:r>
      <w:r w:rsidRPr="008127F8">
        <w:rPr>
          <w:rFonts w:ascii="Times New Roman" w:cs="Times New Roman"/>
          <w:color w:val="000000" w:themeColor="text1"/>
          <w:spacing w:val="0"/>
        </w:rPr>
        <w:softHyphen/>
        <w:t>ся, а его специалисты и оборудование распределялись по заводам №№ 23, 30, 381. Зато по решению НКАП завод № 289 начал восстанавливаться как самостоятельная хозяйственная еди</w:t>
      </w:r>
      <w:r w:rsidRPr="008127F8">
        <w:rPr>
          <w:rFonts w:ascii="Times New Roman" w:cs="Times New Roman"/>
          <w:color w:val="000000" w:themeColor="text1"/>
          <w:spacing w:val="0"/>
        </w:rPr>
        <w:softHyphen/>
        <w:t>ница (19102).</w:t>
      </w:r>
    </w:p>
    <w:p w14:paraId="24DC0E30" w14:textId="77777777" w:rsidR="001C2BCF" w:rsidRPr="008127F8" w:rsidRDefault="001C2BCF" w:rsidP="001E0A84">
      <w:pPr>
        <w:pStyle w:val="27"/>
        <w:shd w:val="clear" w:color="auto" w:fill="auto"/>
        <w:spacing w:after="0" w:line="240" w:lineRule="auto"/>
        <w:ind w:firstLine="0"/>
        <w:rPr>
          <w:rFonts w:ascii="Times New Roman" w:cs="Times New Roman"/>
          <w:color w:val="000000" w:themeColor="text1"/>
          <w:spacing w:val="0"/>
        </w:rPr>
      </w:pPr>
    </w:p>
    <w:p w14:paraId="29191BF5" w14:textId="77777777" w:rsidR="000C31BD" w:rsidRPr="008127F8" w:rsidRDefault="000C31BD" w:rsidP="001E0A84">
      <w:pPr>
        <w:pStyle w:val="34"/>
        <w:shd w:val="clear" w:color="auto" w:fill="auto"/>
        <w:spacing w:line="240" w:lineRule="auto"/>
        <w:jc w:val="both"/>
        <w:rPr>
          <w:rStyle w:val="aff2"/>
          <w:rFonts w:ascii="Times New Roman" w:hAnsi="Times New Roman" w:cs="Times New Roman"/>
          <w:bCs/>
          <w:color w:val="000000" w:themeColor="text1"/>
          <w:spacing w:val="0"/>
          <w:sz w:val="16"/>
          <w:szCs w:val="16"/>
        </w:rPr>
      </w:pPr>
      <w:r w:rsidRPr="008127F8">
        <w:rPr>
          <w:rStyle w:val="aff2"/>
          <w:rFonts w:ascii="Times New Roman" w:hAnsi="Times New Roman" w:cs="Times New Roman"/>
          <w:bCs/>
          <w:color w:val="000000" w:themeColor="text1"/>
          <w:spacing w:val="0"/>
          <w:sz w:val="16"/>
          <w:szCs w:val="16"/>
        </w:rPr>
        <w:t>21 января 1942 правительство приняло решение расформировать завод № 135, а завод № 289 решением НКАП начал восстана</w:t>
      </w:r>
      <w:r w:rsidRPr="008127F8">
        <w:rPr>
          <w:rStyle w:val="aff2"/>
          <w:rFonts w:ascii="Times New Roman" w:hAnsi="Times New Roman" w:cs="Times New Roman"/>
          <w:bCs/>
          <w:color w:val="000000" w:themeColor="text1"/>
          <w:spacing w:val="0"/>
          <w:sz w:val="16"/>
          <w:szCs w:val="16"/>
        </w:rPr>
        <w:softHyphen/>
        <w:t>вливаться как самостоятельная хозяйственная единица. На территории завода № 19 (главный конструктор А.Д. Швецов) ему предоставили площадь ок. 500 кв. м, и завод № 135 вернул часть оборудования (15792).</w:t>
      </w:r>
    </w:p>
    <w:p w14:paraId="43525BA6" w14:textId="77777777" w:rsidR="000C31BD" w:rsidRPr="008127F8" w:rsidRDefault="000C31BD" w:rsidP="001E0A84">
      <w:pPr>
        <w:pStyle w:val="34"/>
        <w:shd w:val="clear" w:color="auto" w:fill="auto"/>
        <w:spacing w:line="240" w:lineRule="auto"/>
        <w:jc w:val="both"/>
        <w:rPr>
          <w:rFonts w:ascii="Times New Roman" w:cs="Times New Roman"/>
          <w:color w:val="000000" w:themeColor="text1"/>
          <w:spacing w:val="0"/>
          <w:sz w:val="16"/>
          <w:szCs w:val="16"/>
        </w:rPr>
      </w:pPr>
    </w:p>
    <w:p w14:paraId="4992BA62" w14:textId="77777777" w:rsidR="000C31BD" w:rsidRPr="008127F8" w:rsidRDefault="000C31BD" w:rsidP="001E0A84">
      <w:pPr>
        <w:pStyle w:val="a4"/>
        <w:rPr>
          <w:color w:val="000000" w:themeColor="text1"/>
          <w:lang w:val="ru-RU"/>
        </w:rPr>
      </w:pPr>
      <w:r w:rsidRPr="008127F8">
        <w:rPr>
          <w:color w:val="000000" w:themeColor="text1"/>
          <w:lang w:val="ru-RU"/>
        </w:rPr>
        <w:t>21 января 1942 года Постановлением ГКО СССР завод № 135 был расформирован, а специалисты и оборудование распределены по заводам №№ 23, 30, 381.</w:t>
      </w:r>
    </w:p>
    <w:p w14:paraId="1D051B98" w14:textId="77777777" w:rsidR="000C31BD" w:rsidRPr="008127F8" w:rsidRDefault="000C31BD" w:rsidP="001E0A84">
      <w:pPr>
        <w:pStyle w:val="a4"/>
        <w:rPr>
          <w:color w:val="000000" w:themeColor="text1"/>
          <w:lang w:val="ru-RU"/>
        </w:rPr>
      </w:pPr>
      <w:r w:rsidRPr="008127F8">
        <w:rPr>
          <w:color w:val="000000" w:themeColor="text1"/>
          <w:lang w:val="ru-RU"/>
        </w:rPr>
        <w:t>По решению НКАП завод № 289 начал восстанавливаться как самостоятельная хозяй</w:t>
      </w:r>
      <w:r w:rsidRPr="008127F8">
        <w:rPr>
          <w:color w:val="000000" w:themeColor="text1"/>
          <w:lang w:val="ru-RU"/>
        </w:rPr>
        <w:softHyphen/>
        <w:t>ственная единица (15975).</w:t>
      </w:r>
    </w:p>
    <w:p w14:paraId="68004F76" w14:textId="77777777" w:rsidR="000C31BD" w:rsidRPr="008127F8" w:rsidRDefault="000C31BD" w:rsidP="001E0A84">
      <w:pPr>
        <w:pStyle w:val="a4"/>
        <w:rPr>
          <w:color w:val="000000" w:themeColor="text1"/>
          <w:lang w:val="ru-RU"/>
        </w:rPr>
      </w:pPr>
    </w:p>
    <w:p w14:paraId="0F056880" w14:textId="77777777" w:rsidR="005F7283" w:rsidRPr="008127F8" w:rsidRDefault="005F7283"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 на заводе № 296 был собран первый улучшенный агрегат НБ-3У, а с июля 1942 г. на заводе в Горьком начался выпуск модернизированных самолетов Ла5ФН с форсированными моторами непосредственного впрыска (23014).</w:t>
      </w:r>
    </w:p>
    <w:p w14:paraId="5D86BCDB" w14:textId="77777777" w:rsidR="005F7283" w:rsidRPr="008127F8" w:rsidRDefault="005F7283" w:rsidP="001E0A84">
      <w:pPr>
        <w:shd w:val="clear" w:color="auto" w:fill="FFFFFF"/>
        <w:spacing w:after="0" w:line="240" w:lineRule="auto"/>
        <w:jc w:val="both"/>
        <w:rPr>
          <w:rFonts w:ascii="Times New Roman" w:hAnsi="Times New Roman"/>
          <w:color w:val="000000" w:themeColor="text1"/>
          <w:sz w:val="16"/>
          <w:szCs w:val="16"/>
        </w:rPr>
      </w:pPr>
    </w:p>
    <w:p w14:paraId="6EF55960"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5572AD36" w14:textId="77777777" w:rsidR="00D4651C" w:rsidRPr="008127F8" w:rsidRDefault="00D4651C" w:rsidP="001E0A84">
      <w:pPr>
        <w:pStyle w:val="Iauiue"/>
        <w:jc w:val="both"/>
        <w:rPr>
          <w:iCs/>
          <w:color w:val="000000" w:themeColor="text1"/>
          <w:sz w:val="16"/>
          <w:szCs w:val="16"/>
        </w:rPr>
      </w:pPr>
    </w:p>
    <w:p w14:paraId="2B6BDBD7" w14:textId="77777777" w:rsidR="003A55EF" w:rsidRPr="008127F8" w:rsidRDefault="003A55EF" w:rsidP="001E0A84">
      <w:pPr>
        <w:pStyle w:val="af"/>
        <w:shd w:val="clear" w:color="auto" w:fill="FFFFFF"/>
        <w:spacing w:before="0" w:after="0"/>
        <w:jc w:val="both"/>
        <w:rPr>
          <w:color w:val="000000" w:themeColor="text1"/>
          <w:sz w:val="16"/>
          <w:szCs w:val="16"/>
        </w:rPr>
      </w:pPr>
      <w:r w:rsidRPr="008127F8">
        <w:rPr>
          <w:color w:val="000000" w:themeColor="text1"/>
          <w:sz w:val="16"/>
          <w:szCs w:val="16"/>
        </w:rPr>
        <w:t>21 января 1942 Нарком танковой промышленности Малышев утвердил план опытных работ на 1942 год, в котором 152 мм установка на базе КВ-7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63DD9E2C" w14:textId="77777777" w:rsidR="003A55EF" w:rsidRPr="008127F8" w:rsidRDefault="003A55E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(15838).</w:t>
      </w:r>
    </w:p>
    <w:p w14:paraId="4809DA5F" w14:textId="77777777" w:rsidR="003A55EF" w:rsidRPr="008127F8" w:rsidRDefault="003A55EF" w:rsidP="001E0A84">
      <w:pPr>
        <w:pStyle w:val="af"/>
        <w:shd w:val="clear" w:color="auto" w:fill="FFFFFF"/>
        <w:spacing w:before="0" w:after="0"/>
        <w:jc w:val="both"/>
        <w:rPr>
          <w:color w:val="000000" w:themeColor="text1"/>
          <w:sz w:val="16"/>
          <w:szCs w:val="16"/>
        </w:rPr>
      </w:pPr>
    </w:p>
    <w:p w14:paraId="3D0B46ED" w14:textId="77777777" w:rsidR="008D722B" w:rsidRPr="008127F8" w:rsidRDefault="008D722B" w:rsidP="001E0A84">
      <w:pPr>
        <w:pStyle w:val="a4"/>
        <w:rPr>
          <w:color w:val="000000" w:themeColor="text1"/>
          <w:lang w:val="ru-RU"/>
        </w:rPr>
      </w:pPr>
      <w:r w:rsidRPr="008127F8">
        <w:rPr>
          <w:color w:val="000000" w:themeColor="text1"/>
          <w:lang w:val="ru-RU"/>
        </w:rPr>
        <w:t>21 января 1942 накромом танковой промышленности Малышевым был утвержден Плане опытных работ на 1942 год, в котором под номером 59 идет самоходная установка 152-мм гаубицы на базе КВ-7. Согласно плану, за самоходную часть «истребителя ДОТов» отвечал Кировский завод (ЧКЗ), за артиллерийскую часть — УЗТМ. Проектные чертежи ожидались к 15 марта, опытный образец самоходной установки к 1 мая, а чертежи для серии — к 10 мая. На ра</w:t>
      </w:r>
      <w:r w:rsidRPr="008127F8">
        <w:rPr>
          <w:color w:val="000000" w:themeColor="text1"/>
          <w:lang w:val="ru-RU"/>
        </w:rPr>
        <w:softHyphen/>
        <w:t>боты выделялось 300 тысяч рублей. По сравнению с темой «212» сумма небольшая, но тут речь шла не о создании машины с нуля, а о передел</w:t>
      </w:r>
      <w:r w:rsidRPr="008127F8">
        <w:rPr>
          <w:color w:val="000000" w:themeColor="text1"/>
          <w:lang w:val="ru-RU"/>
        </w:rPr>
        <w:softHyphen/>
        <w:t>ке уже имеющихся в заделе корпусов штурмовых танков КВ-7.</w:t>
      </w:r>
    </w:p>
    <w:p w14:paraId="74ACD8D2"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Надо сказать, что данный проект вызвал неоднозначную реак</w:t>
      </w:r>
      <w:r w:rsidRPr="008127F8">
        <w:rPr>
          <w:color w:val="000000" w:themeColor="text1"/>
          <w:sz w:val="16"/>
          <w:szCs w:val="16"/>
        </w:rPr>
        <w:softHyphen/>
        <w:t>цию в ГАУ. Дело в том, что там продолжали настаивать на разработке «152-мм пушки БР-2 на шасси из агрегатов танка КВ».</w:t>
      </w:r>
    </w:p>
    <w:p w14:paraId="2606F19E"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Что же касается идеи разработки самоходной установки на базе КВ-7, то она считалась недостаточной (17484).</w:t>
      </w:r>
    </w:p>
    <w:p w14:paraId="737001A7" w14:textId="77777777" w:rsidR="008D722B" w:rsidRPr="008127F8" w:rsidRDefault="008D722B" w:rsidP="001E0A84">
      <w:pPr>
        <w:pStyle w:val="af"/>
        <w:spacing w:before="0" w:after="0"/>
        <w:jc w:val="both"/>
        <w:rPr>
          <w:color w:val="000000" w:themeColor="text1"/>
          <w:sz w:val="16"/>
          <w:szCs w:val="16"/>
        </w:rPr>
      </w:pPr>
    </w:p>
    <w:p w14:paraId="2AFC59E8" w14:textId="77777777" w:rsidR="001C682F" w:rsidRPr="008127F8" w:rsidRDefault="001C68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21 января 1942 Нарком танковой промышленности Малышев утвердил план опытных работ на 1942 год, в котором модернизация КВ-7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w:t>
      </w:r>
      <w:r w:rsidRPr="008127F8">
        <w:rPr>
          <w:rFonts w:ascii="Times New Roman" w:eastAsia="Times New Roman" w:hAnsi="Times New Roman"/>
          <w:color w:val="000000" w:themeColor="text1"/>
          <w:sz w:val="16"/>
          <w:szCs w:val="16"/>
          <w:lang w:eastAsia="ru-RU"/>
        </w:rPr>
        <w:lastRenderedPageBreak/>
        <w:t>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2E11E509" w14:textId="77777777" w:rsidR="001C682F" w:rsidRPr="008127F8" w:rsidRDefault="001C68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(17647).</w:t>
      </w:r>
    </w:p>
    <w:p w14:paraId="7F8C563E" w14:textId="77777777" w:rsidR="001C682F" w:rsidRPr="008127F8" w:rsidRDefault="001C682F" w:rsidP="001E0A84">
      <w:pPr>
        <w:pStyle w:val="12a"/>
        <w:shd w:val="clear" w:color="auto" w:fill="auto"/>
        <w:spacing w:after="0" w:line="240" w:lineRule="auto"/>
        <w:jc w:val="both"/>
        <w:rPr>
          <w:color w:val="000000" w:themeColor="text1"/>
          <w:sz w:val="16"/>
          <w:szCs w:val="16"/>
        </w:rPr>
      </w:pPr>
    </w:p>
    <w:p w14:paraId="04374CB6"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21 января 1942 г. па заводе «Красное Сормово» изготовили первую экранированную башню, а к 25 февраля - первый корпус. Всего по данным завода № 112 было выпущено 80 экранированных корпусов и 109 башен (Кирсанов, С. Т-34: снизу доверху / С. Кирсанов // Танкомастер. 2003. - № 4. - С. 5.). Помимо экранировки несколько литых башен изготавливали несколько литых башен с броней увеличенной толщины. Первые восемь башен отлили к 1 марта 1942 г. Они имели толщину брони до 75мм (Танкомастер. 2003. - № 4. - С. 5.). На экранировку сормовскихТ-34 шли отходы брони от её раскроя (Свирин, М.Н. Броневой щит Сталина. История советского танка. 1937-1943. - С. 387) (23540).</w:t>
      </w:r>
    </w:p>
    <w:p w14:paraId="5886A780" w14:textId="77777777" w:rsidR="00DD03FD" w:rsidRPr="008A2E5A" w:rsidRDefault="00DD03FD" w:rsidP="00DD03FD">
      <w:pPr>
        <w:spacing w:after="0" w:line="240" w:lineRule="auto"/>
        <w:jc w:val="both"/>
        <w:rPr>
          <w:rFonts w:ascii="Times New Roman" w:hAnsi="Times New Roman"/>
          <w:color w:val="0070C0"/>
          <w:sz w:val="16"/>
          <w:szCs w:val="16"/>
        </w:rPr>
      </w:pPr>
    </w:p>
    <w:p w14:paraId="40D4BAFB"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января 1942 был утвержден план работ на 1942 году, где также имелась тема истребителя ДОТов. Под нее выделялся бюджет 300000 рублей, орудийную часть разрабатывал УЗТМ, шасси - ЧКЗ. Проектные чертежи САУ ожидались к 15 марту 1942 года. К 1 мая ожидался опытный образец машины, а к 10 мая - техническая документация.</w:t>
      </w:r>
    </w:p>
    <w:p w14:paraId="3C161516" w14:textId="77777777" w:rsidR="00DD03FD" w:rsidRPr="008A2E5A" w:rsidRDefault="00DD03FD" w:rsidP="00DD03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 планы оказались чересчур оптимистичными. Первое время работами никто не занимался, приоритетом оставалась спаренная установка 76-мм пушек ЗИС-5. Ситуация начала меняться только в конце марта 1942 года. В ГАУ КА посетовали на то, что работа по самоходной артиллерии застопорилась. В числе необходимых САУ продолжала значиться и боевая машина типа "212". Проблема в том, что ни шасси КВ-3, ни 152-мм пушек БР-2, серийно не производилось. 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С.А. Гинзбург. С одной стороны ГАУ КА выкатило свои пожелания, а НКТП, в лице Гинзбурга, предложил то, что можно сделать. В этот момент и сложилась концепция базы КВ-7 и вооружения в виде МЛ-20 (23889).</w:t>
      </w:r>
    </w:p>
    <w:p w14:paraId="3633C808" w14:textId="77777777" w:rsidR="00DD03FD" w:rsidRPr="008A2E5A" w:rsidRDefault="00DD03FD" w:rsidP="00DD03FD">
      <w:pPr>
        <w:spacing w:after="0" w:line="240" w:lineRule="auto"/>
        <w:jc w:val="both"/>
        <w:rPr>
          <w:rFonts w:ascii="Times New Roman" w:hAnsi="Times New Roman"/>
          <w:color w:val="0070C0"/>
          <w:sz w:val="16"/>
          <w:szCs w:val="16"/>
        </w:rPr>
      </w:pPr>
    </w:p>
    <w:p w14:paraId="45D58F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янва</w:t>
      </w:r>
      <w:r w:rsidRPr="008127F8">
        <w:rPr>
          <w:rFonts w:ascii="Times New Roman" w:hAnsi="Times New Roman"/>
          <w:color w:val="000000" w:themeColor="text1"/>
          <w:sz w:val="16"/>
          <w:szCs w:val="16"/>
        </w:rPr>
        <w:softHyphen/>
        <w:t>ря 1942 на заводе № 112 пошла в серию усиленная башня, а с 25 февраля - корпус. Но 23 февраля 1942 г. из-за нехватки проката постановление ГКО об экранировке танков Т-34 бы</w:t>
      </w:r>
      <w:r w:rsidRPr="008127F8">
        <w:rPr>
          <w:rFonts w:ascii="Times New Roman" w:hAnsi="Times New Roman"/>
          <w:color w:val="000000" w:themeColor="text1"/>
          <w:sz w:val="16"/>
          <w:szCs w:val="16"/>
        </w:rPr>
        <w:softHyphen/>
        <w:t>ло отменено. Но на заводе № 112 оно продолжалось, так как в ход шли отходы от раскроя. Всего заводом № 112 в 1942 г. было выпущено 88 экранированных корпусов и 109 башен. Кроме того, за время производства Т-34 на СТЗ и заво</w:t>
      </w:r>
      <w:r w:rsidRPr="008127F8">
        <w:rPr>
          <w:rFonts w:ascii="Times New Roman" w:hAnsi="Times New Roman"/>
          <w:color w:val="000000" w:themeColor="text1"/>
          <w:sz w:val="16"/>
          <w:szCs w:val="16"/>
        </w:rPr>
        <w:softHyphen/>
        <w:t>де № 112 в 1942 г. в него были внесены следующие измене</w:t>
      </w:r>
      <w:r w:rsidRPr="008127F8">
        <w:rPr>
          <w:rFonts w:ascii="Times New Roman" w:hAnsi="Times New Roman"/>
          <w:color w:val="000000" w:themeColor="text1"/>
          <w:sz w:val="16"/>
          <w:szCs w:val="16"/>
        </w:rPr>
        <w:softHyphen/>
        <w:t>ния конструкции (по состоянию на август 1942 г.):</w:t>
      </w:r>
    </w:p>
    <w:p w14:paraId="2CF94D2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зимой 1942 г. на СТЗ, весной на заводе № 112 отменено лужение топливных и масляных баков с целью эконо</w:t>
      </w:r>
      <w:r w:rsidRPr="008127F8">
        <w:rPr>
          <w:rFonts w:ascii="Times New Roman" w:hAnsi="Times New Roman"/>
          <w:color w:val="000000" w:themeColor="text1"/>
          <w:sz w:val="16"/>
          <w:szCs w:val="16"/>
        </w:rPr>
        <w:softHyphen/>
        <w:t>мии олова и цинка;</w:t>
      </w:r>
    </w:p>
    <w:p w14:paraId="7311FA8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 февраля-марта 1942 г. вместо медных трубок топливной и маслосистемы стали устанавливаться стальные; умень</w:t>
      </w:r>
      <w:r w:rsidRPr="008127F8">
        <w:rPr>
          <w:rFonts w:ascii="Times New Roman" w:hAnsi="Times New Roman"/>
          <w:color w:val="000000" w:themeColor="text1"/>
          <w:sz w:val="16"/>
          <w:szCs w:val="16"/>
        </w:rPr>
        <w:softHyphen/>
        <w:t>шен процент бронзы в подшипниках и уплотнениях;</w:t>
      </w:r>
    </w:p>
    <w:p w14:paraId="13C414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марте уменьшена на треть длина электропроводки;</w:t>
      </w:r>
    </w:p>
    <w:p w14:paraId="6447298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 апреля нормализован крепеж, что позволило исклю</w:t>
      </w:r>
      <w:r w:rsidRPr="008127F8">
        <w:rPr>
          <w:rFonts w:ascii="Times New Roman" w:hAnsi="Times New Roman"/>
          <w:color w:val="000000" w:themeColor="text1"/>
          <w:sz w:val="16"/>
          <w:szCs w:val="16"/>
        </w:rPr>
        <w:softHyphen/>
        <w:t>чить 11 позиций фурнитуры;</w:t>
      </w:r>
    </w:p>
    <w:p w14:paraId="191069A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весной 1942 г. картеры КПП начали отливать из чугуна, а не алюминия;</w:t>
      </w:r>
    </w:p>
    <w:p w14:paraId="25B1BD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апреле 1942 г. клепка в сборке узлов танка на заводе № 112 заменена по возможности точечной сваркой;</w:t>
      </w:r>
    </w:p>
    <w:p w14:paraId="2EC859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 время производства легированные стали в конструк</w:t>
      </w:r>
      <w:r w:rsidRPr="008127F8">
        <w:rPr>
          <w:rFonts w:ascii="Times New Roman" w:hAnsi="Times New Roman"/>
          <w:color w:val="000000" w:themeColor="text1"/>
          <w:sz w:val="16"/>
          <w:szCs w:val="16"/>
        </w:rPr>
        <w:softHyphen/>
        <w:t>ционных элементах и механизмах по возможности за</w:t>
      </w:r>
      <w:r w:rsidRPr="008127F8">
        <w:rPr>
          <w:rFonts w:ascii="Times New Roman" w:hAnsi="Times New Roman"/>
          <w:color w:val="000000" w:themeColor="text1"/>
          <w:sz w:val="16"/>
          <w:szCs w:val="16"/>
        </w:rPr>
        <w:softHyphen/>
        <w:t>менялись обычными конструкционными;</w:t>
      </w:r>
    </w:p>
    <w:p w14:paraId="572996B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летом 1942 г. на СТЗ применялся воздушный фильтр упрошенной конструкции;</w:t>
      </w:r>
    </w:p>
    <w:p w14:paraId="7186C4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июне 1942 г. на СТЗ увеличен объем топливных баков в среднем на 5-8 процентов;</w:t>
      </w:r>
    </w:p>
    <w:p w14:paraId="5A3C28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июне 1942 г. на СТЗ введен перископ танка Т-60 вмес</w:t>
      </w:r>
      <w:r w:rsidRPr="008127F8">
        <w:rPr>
          <w:rFonts w:ascii="Times New Roman" w:hAnsi="Times New Roman"/>
          <w:color w:val="000000" w:themeColor="text1"/>
          <w:sz w:val="16"/>
          <w:szCs w:val="16"/>
        </w:rPr>
        <w:softHyphen/>
        <w:t>то командирской панорамы;</w:t>
      </w:r>
    </w:p>
    <w:p w14:paraId="50E4260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 переходом на новые гусеничные цепи и катки усиле</w:t>
      </w:r>
      <w:r w:rsidRPr="008127F8">
        <w:rPr>
          <w:rFonts w:ascii="Times New Roman" w:hAnsi="Times New Roman"/>
          <w:color w:val="000000" w:themeColor="text1"/>
          <w:sz w:val="16"/>
          <w:szCs w:val="16"/>
        </w:rPr>
        <w:softHyphen/>
        <w:t>ны пружины главного фрикциона;</w:t>
      </w:r>
    </w:p>
    <w:p w14:paraId="5B94FDD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уменьшено количество шанцевого инструмента на 10 единиц, 20 узлов и 57 деталей. Танк значительно упростился (10782).</w:t>
      </w:r>
    </w:p>
    <w:p w14:paraId="7DDB0C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57804910"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21 января 1942 был подготовлен проект постановления ГКО «О сроках выпуска танков Т-60 и Т-34 с экранированной и утолщённой лобовой частью», согласно которому срок выпуска экранированных танков сдвигался на 10 февраля. С 10 марта должны были выпускаться танки с утолщённым лбом корпуса и экранированной башней, а с 1 апреля экранировка полностью заменялась на утолщённую броню. В феврале 1942 года, впрочем, стало ясно, что на утолщение катаной брони рассчитывать не стоит. Перегруженные заказами и испытывающие трудности заводы просто физически не могли перейти на броню толщиной 60 мм. Что же касается экранировки, то она отнимала у заводов много времени, сил и ресурсов (18883).</w:t>
      </w:r>
    </w:p>
    <w:p w14:paraId="6F7FDD3A"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p>
    <w:p w14:paraId="1756E1EC"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w:t>
      </w:r>
    </w:p>
    <w:p w14:paraId="7B25EB47"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60</w:t>
      </w:r>
    </w:p>
    <w:p w14:paraId="78C00D1C"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585</w:t>
      </w:r>
    </w:p>
    <w:p w14:paraId="7AC3D0FF" w14:textId="349D879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4535C125"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A3F81AF"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315ED6DD"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133-Мс</w:t>
      </w:r>
    </w:p>
    <w:p w14:paraId="1E65B048"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3E28856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w:t>
      </w:r>
    </w:p>
    <w:p w14:paraId="3391E887" w14:textId="21418E62" w:rsidR="001C2BCF" w:rsidRPr="008127F8" w:rsidRDefault="001C2BCF"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Завод № 183 (директор т. Максарев)</w:t>
      </w:r>
      <w:proofErr w:type="gramEnd"/>
      <w:r w:rsidRPr="008127F8">
        <w:rPr>
          <w:rFonts w:ascii="Times New Roman" w:hAnsi="Times New Roman"/>
          <w:color w:val="000000" w:themeColor="text1"/>
          <w:sz w:val="16"/>
          <w:szCs w:val="16"/>
        </w:rPr>
        <w:t xml:space="preserve"> проведя эвакуацию средств производства по артиллерийскому тягачу "Ворошиловец" все еще не организовал на новом месте производства этих машин. Руководители завода, цехов не уделили должного внимания быстрому восстановлению этого производства, наряду с восстановлением танка Т-34.</w:t>
      </w:r>
      <w:r w:rsidR="008127F8">
        <w:rPr>
          <w:rFonts w:ascii="Times New Roman" w:hAnsi="Times New Roman"/>
          <w:color w:val="000000" w:themeColor="text1"/>
          <w:sz w:val="16"/>
          <w:szCs w:val="16"/>
        </w:rPr>
        <w:t xml:space="preserve">  </w:t>
      </w:r>
    </w:p>
    <w:p w14:paraId="7F925A68"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Требования Красной Армии на транспортные средства, обеспечивающие быстрое перемещение орудий и бойцов – остаются не полностью удовлетворенными.</w:t>
      </w:r>
    </w:p>
    <w:p w14:paraId="2CA3400B" w14:textId="7D1F569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Отмечая этот недостаток в работе завода, ПРИКАЗЫВАЮ:</w:t>
      </w:r>
      <w:r w:rsidR="008127F8">
        <w:rPr>
          <w:rFonts w:ascii="Times New Roman" w:hAnsi="Times New Roman"/>
          <w:color w:val="000000" w:themeColor="text1"/>
          <w:sz w:val="16"/>
          <w:szCs w:val="16"/>
        </w:rPr>
        <w:t xml:space="preserve">  </w:t>
      </w:r>
    </w:p>
    <w:p w14:paraId="0DDCAE01" w14:textId="5A5B634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183 т. МАКСАРЕВУ представить мне в декадный срок конкретные мероприятия по восстановлению и организации производства арттягача "Ворошиловец". Установить план выпуска в апреле – 10 шт., мае – 30 шт., июне 50 шт.</w:t>
      </w:r>
      <w:r w:rsidR="008127F8">
        <w:rPr>
          <w:rFonts w:ascii="Times New Roman" w:hAnsi="Times New Roman"/>
          <w:color w:val="000000" w:themeColor="text1"/>
          <w:sz w:val="16"/>
          <w:szCs w:val="16"/>
        </w:rPr>
        <w:t xml:space="preserve">  </w:t>
      </w:r>
    </w:p>
    <w:p w14:paraId="660C2531" w14:textId="37524E2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76 т. КОЧЕТКОВУ обеспечить поставку моторов для арттягача В2-В в количествах обеспечивающих задание по выпуску этих машин.</w:t>
      </w:r>
      <w:r w:rsidR="008127F8">
        <w:rPr>
          <w:rFonts w:ascii="Times New Roman" w:hAnsi="Times New Roman"/>
          <w:color w:val="000000" w:themeColor="text1"/>
          <w:sz w:val="16"/>
          <w:szCs w:val="16"/>
        </w:rPr>
        <w:t xml:space="preserve">  </w:t>
      </w:r>
    </w:p>
    <w:p w14:paraId="7AFBB7EB" w14:textId="33D9B92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Начальника Первого отдела т. ДАВТЯН совместно с заводом № 183 установить номенклатуру и количество изделий, подлежащих поставке в порядке кооперирования.</w:t>
      </w:r>
      <w:r w:rsidR="008127F8">
        <w:rPr>
          <w:rFonts w:ascii="Times New Roman" w:hAnsi="Times New Roman"/>
          <w:color w:val="000000" w:themeColor="text1"/>
          <w:sz w:val="16"/>
          <w:szCs w:val="16"/>
        </w:rPr>
        <w:t xml:space="preserve">  </w:t>
      </w:r>
    </w:p>
    <w:p w14:paraId="25CB9A86" w14:textId="227A39CD"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Главснаба т. РОЗИНУ установить и обеспечить завод № 183 необходимым количеством материалов и покупных изделий.</w:t>
      </w:r>
      <w:r w:rsidR="008127F8">
        <w:rPr>
          <w:rFonts w:ascii="Times New Roman" w:hAnsi="Times New Roman"/>
          <w:color w:val="000000" w:themeColor="text1"/>
          <w:sz w:val="16"/>
          <w:szCs w:val="16"/>
        </w:rPr>
        <w:t xml:space="preserve">  </w:t>
      </w:r>
    </w:p>
    <w:p w14:paraId="0EF3CCBE" w14:textId="43D5FA11"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Моему заместителю т. КОТИНУ представить мне в 2-недельный срок предложения по организации производства арттягача на заводе № 183 на базе машины Т-34.</w:t>
      </w:r>
      <w:r w:rsidR="008127F8">
        <w:rPr>
          <w:rFonts w:ascii="Times New Roman" w:hAnsi="Times New Roman"/>
          <w:color w:val="000000" w:themeColor="text1"/>
          <w:sz w:val="16"/>
          <w:szCs w:val="16"/>
        </w:rPr>
        <w:t xml:space="preserve">  </w:t>
      </w:r>
    </w:p>
    <w:p w14:paraId="3A02422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Зам. Народного Комиссара НКТП – т. СТЕПАНОВУ доложить мне к 20/II-с.г. исполнение приказа.</w:t>
      </w:r>
    </w:p>
    <w:p w14:paraId="03AFD32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СССР</w:t>
      </w:r>
    </w:p>
    <w:p w14:paraId="0B44D0AC"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(18238).</w:t>
      </w:r>
    </w:p>
    <w:p w14:paraId="6A0604DD"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03F57CD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 Приказом № 5 Главмотовелопрома НКСМ директору ТМЗ И.Г. Мизрухину предписали лич</w:t>
      </w:r>
      <w:r w:rsidRPr="008127F8">
        <w:rPr>
          <w:rFonts w:ascii="Times New Roman" w:hAnsi="Times New Roman"/>
          <w:color w:val="000000" w:themeColor="text1"/>
          <w:sz w:val="16"/>
          <w:szCs w:val="16"/>
        </w:rPr>
        <w:softHyphen/>
        <w:t>но получить в Новосибирске дизель-генератор мощностью 600 кВт [5.37]. Позже на ТМЗ передали дублеры оснастки для М-72, эвакуированные с ЛМЗ и ХМЗ, с ГМЗ - техническую докумен</w:t>
      </w:r>
      <w:r w:rsidRPr="008127F8">
        <w:rPr>
          <w:rFonts w:ascii="Times New Roman" w:hAnsi="Times New Roman"/>
          <w:color w:val="000000" w:themeColor="text1"/>
          <w:sz w:val="16"/>
          <w:szCs w:val="16"/>
        </w:rPr>
        <w:softHyphen/>
        <w:t>тацию по М-72, с ИМЗ - спецификацию на М-72 и прочие матери</w:t>
      </w:r>
      <w:r w:rsidRPr="008127F8">
        <w:rPr>
          <w:rFonts w:ascii="Times New Roman" w:hAnsi="Times New Roman"/>
          <w:color w:val="000000" w:themeColor="text1"/>
          <w:sz w:val="16"/>
          <w:szCs w:val="16"/>
        </w:rPr>
        <w:softHyphen/>
        <w:t>алы [5.38].</w:t>
      </w:r>
    </w:p>
    <w:p w14:paraId="7BC2DC7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НКСМ № 172с от 18 марта 1942 г.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8127F8">
        <w:rPr>
          <w:rFonts w:ascii="Times New Roman" w:hAnsi="Times New Roman"/>
          <w:color w:val="000000" w:themeColor="text1"/>
          <w:sz w:val="16"/>
          <w:szCs w:val="16"/>
        </w:rPr>
        <w:softHyphen/>
        <w:t>венных возможностей показал, что на ТМЗ выпуск М-72 невоз</w:t>
      </w:r>
      <w:r w:rsidRPr="008127F8">
        <w:rPr>
          <w:rFonts w:ascii="Times New Roman" w:hAnsi="Times New Roman"/>
          <w:color w:val="000000" w:themeColor="text1"/>
          <w:sz w:val="16"/>
          <w:szCs w:val="16"/>
        </w:rPr>
        <w:softHyphen/>
        <w:t>можен, поэтому с ТМЗ на ГМЗ передали специальное оборудова</w:t>
      </w:r>
      <w:r w:rsidRPr="008127F8">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8127F8">
        <w:rPr>
          <w:rFonts w:ascii="Times New Roman" w:hAnsi="Times New Roman"/>
          <w:color w:val="000000" w:themeColor="text1"/>
          <w:sz w:val="16"/>
          <w:szCs w:val="16"/>
        </w:rPr>
        <w:softHyphen/>
        <w:t>брали в сентябре [5.41]. Однако до конца 1942 г. на ТМЗ поступа</w:t>
      </w:r>
      <w:r w:rsidRPr="008127F8">
        <w:rPr>
          <w:rFonts w:ascii="Times New Roman" w:hAnsi="Times New Roman"/>
          <w:color w:val="000000" w:themeColor="text1"/>
          <w:sz w:val="16"/>
          <w:szCs w:val="16"/>
        </w:rPr>
        <w:softHyphen/>
        <w:t>ли заготовки деталей к М-72 [5.39].</w:t>
      </w:r>
    </w:p>
    <w:p w14:paraId="7D904F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на ТМЗ для М-72 кое-что сделали. По собствен</w:t>
      </w:r>
      <w:r w:rsidRPr="008127F8">
        <w:rPr>
          <w:rFonts w:ascii="Times New Roman" w:hAnsi="Times New Roman"/>
          <w:color w:val="000000" w:themeColor="text1"/>
          <w:sz w:val="16"/>
          <w:szCs w:val="16"/>
        </w:rPr>
        <w:softHyphen/>
        <w:t>ной инициативе специалисты ТМЗ спроектировали новое двух</w:t>
      </w:r>
      <w:r w:rsidRPr="008127F8">
        <w:rPr>
          <w:rFonts w:ascii="Times New Roman" w:hAnsi="Times New Roman"/>
          <w:color w:val="000000" w:themeColor="text1"/>
          <w:sz w:val="16"/>
          <w:szCs w:val="16"/>
        </w:rPr>
        <w:softHyphen/>
        <w:t>дисковое сухое сцепление. От директора завода Г.Р. Ударова, на</w:t>
      </w:r>
      <w:r w:rsidRPr="008127F8">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8127F8">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244B35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8127F8">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744E102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годы Великой Отечественной войны изготовленные мото</w:t>
      </w:r>
      <w:r w:rsidRPr="008127F8">
        <w:rPr>
          <w:rFonts w:ascii="Times New Roman" w:hAnsi="Times New Roman"/>
          <w:color w:val="000000" w:themeColor="text1"/>
          <w:sz w:val="16"/>
          <w:szCs w:val="16"/>
        </w:rPr>
        <w:softHyphen/>
        <w:t>циклы поступали на ММЗ, где к ним крепили мотоколяски, воо</w:t>
      </w:r>
      <w:r w:rsidRPr="008127F8">
        <w:rPr>
          <w:rFonts w:ascii="Times New Roman" w:hAnsi="Times New Roman"/>
          <w:color w:val="000000" w:themeColor="text1"/>
          <w:sz w:val="16"/>
          <w:szCs w:val="16"/>
        </w:rPr>
        <w:softHyphen/>
        <w:t>ружали и передавали представителям ГБТУ Красной Армии, ко</w:t>
      </w:r>
      <w:r w:rsidRPr="008127F8">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8127F8">
        <w:rPr>
          <w:rFonts w:ascii="Times New Roman" w:hAnsi="Times New Roman"/>
          <w:color w:val="000000" w:themeColor="text1"/>
          <w:sz w:val="16"/>
          <w:szCs w:val="16"/>
        </w:rPr>
        <w:softHyphen/>
        <w:t>товленной на заводах, не совпадали. Сведения ГБТУ, отража</w:t>
      </w:r>
      <w:r w:rsidRPr="008127F8">
        <w:rPr>
          <w:rFonts w:ascii="Times New Roman" w:hAnsi="Times New Roman"/>
          <w:color w:val="000000" w:themeColor="text1"/>
          <w:sz w:val="16"/>
          <w:szCs w:val="16"/>
        </w:rPr>
        <w:softHyphen/>
        <w:t>вшие оснащение вооруженных сил мотоциклами в 1942 г., приве</w:t>
      </w:r>
      <w:r w:rsidRPr="008127F8">
        <w:rPr>
          <w:rFonts w:ascii="Times New Roman" w:hAnsi="Times New Roman"/>
          <w:color w:val="000000" w:themeColor="text1"/>
          <w:sz w:val="16"/>
          <w:szCs w:val="16"/>
        </w:rPr>
        <w:softHyphen/>
        <w:t>дены в табл. 18 [5.45] (11429).</w:t>
      </w:r>
    </w:p>
    <w:p w14:paraId="71CFB6A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489E63D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21 января 1942 года вышел приказ № 24с/МВ-20с НКБ Наркомата электропромышленности</w:t>
      </w:r>
    </w:p>
    <w:p w14:paraId="7F699DE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 связи с эвакуацией завода № 62 из Ярославля – снаряжательную мастерскую № 596, находившуюся в системе завода № 62 и временно переданную в ведение Ярославского Электромашиностроительного завода Наркомэлектропрома, считать отдельным заводом № 596 НКБ (5800, 133-134).</w:t>
      </w:r>
    </w:p>
    <w:p w14:paraId="11DB7C7D" w14:textId="77777777" w:rsidR="00D4651C" w:rsidRPr="008127F8" w:rsidRDefault="00D4651C" w:rsidP="001E0A84">
      <w:pPr>
        <w:pStyle w:val="Iauiue"/>
        <w:tabs>
          <w:tab w:val="left" w:pos="11199"/>
        </w:tabs>
        <w:jc w:val="both"/>
        <w:rPr>
          <w:color w:val="000000" w:themeColor="text1"/>
          <w:sz w:val="16"/>
          <w:szCs w:val="16"/>
        </w:rPr>
      </w:pPr>
    </w:p>
    <w:p w14:paraId="2C438B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21-го января 1942 Московский горком ВКП(б) принял решение о восстановлении работы на металлургическом заводе «Серп и молот», на котором предполагалось организовать ремонт тяжелых танков. Еще через два дня подписан приказ о возвращении в столицу эвакуированного оборудования и работников метрополитена, в том числе 100 вагонов подземки (11774).</w:t>
      </w:r>
    </w:p>
    <w:p w14:paraId="36520B2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483479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3B5F2774" w14:textId="77777777" w:rsidR="00D4651C" w:rsidRPr="008127F8" w:rsidRDefault="00D4651C" w:rsidP="001E0A84">
      <w:pPr>
        <w:pStyle w:val="Iauiue"/>
        <w:jc w:val="both"/>
        <w:rPr>
          <w:iCs/>
          <w:color w:val="000000" w:themeColor="text1"/>
          <w:sz w:val="16"/>
          <w:szCs w:val="16"/>
        </w:rPr>
      </w:pPr>
    </w:p>
    <w:p w14:paraId="4C7969A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68D7F833"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21 января наши войска продолжали вести активные боевые действия против немецко-фашистских войск.</w:t>
      </w:r>
    </w:p>
    <w:p w14:paraId="40599B03"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бойцы тов. Рокоссовского (Западный фронт) освободили от немецких оккупантов 4 населённых пункта и захватили 11 вражеских танков, 24 автомашины, 2 тягача, мотоциклы, велосипеды, пулемёты, десятки ящиков со снарядами, минами и другие трофеи. На другом участке бойцы тов. Голубева, ведя ожесточённые бои с противником, захватили 9 вражеских пулемётов, 6 мотоциклов, 27.300 патронов, 39 повозок с военным имуществом, вещевой и продовольственный склады, ценные оперативные документы и другие трофеи. Противник потерял убитыми 330 солдат и офицеров.</w:t>
      </w:r>
    </w:p>
    <w:p w14:paraId="489C9DC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 Верея бойцы тов. Ефремова захватили, по предварительным данным, 11 немецких танков, 46 орудий, 87 пулемётов, 24 миномёта, свыше 1.000 мин и много других трофеев. На поле боя осталось свыше 3.000 трупов немецких солдат и офицеров.</w:t>
      </w:r>
    </w:p>
    <w:p w14:paraId="3B5EA7E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Юго-Западного фронта, совершив внезапный ночной налёт на укреплённый пункт противника, заняла этот пункт, захватила 3 орудия, 15 пулемётов, 10 миномётов и взяла в плен 30 немецких солдат и 2 офицеров.</w:t>
      </w:r>
    </w:p>
    <w:p w14:paraId="395C080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Разведчик-красноармеец Кашенко меткими выстрелами уничтожил расчёт немецкого противотанкового орудия. Повернув орудие в сторону противника, отважный боец выпустил по врагу 40 снарядов и нанёс немцам большой урон.</w:t>
      </w:r>
    </w:p>
    <w:p w14:paraId="1AAC0C5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действуют партизаны в районах Ленинградской области, оккупированных немцами. Бойцы отряда тов. П. организовали засаду на дороге к фронту, уничтожили 6 вражеских автомашин с горючим и перебили 17 немецких солдат, сопровождавших колонну. Партизанский отряд под командованием тов. А. уничтожил на шоссе около города Т. три грузовые пятитонные машины с авиабомбами и снарядами.</w:t>
      </w:r>
    </w:p>
    <w:p w14:paraId="5561663A"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3 батареи 215 немецкого артполка Бернгард Брокгауз рассказал: «Мне приходилось выдавать солдатам обмундирование. Перчатки и носки из искусственной шерсти не греют и быстро изнашиваются. Ездовой через неделю заявил, что новые перчатки пришли в негодность. Мне каждый день приходилось выслушивать жалобы и брань солдат в связи с отсутствием тёплого обмундирования».</w:t>
      </w:r>
    </w:p>
    <w:p w14:paraId="149BA101"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бандиты начисто ограбили население Чечерского района, Гомельской области. Из деревень и сёл этого района вывезено всё продовольствие, скот, одежда, включая женские платки и детские ботинки. Многие дома сожжены, а владельцы их расстреляны. Только за последние дни немцы расстреляли в Чечерске служащего районного земельного отдела Беляева, секретаря местечкового совета Жулега и жителя Чечерска Дановича. Трупы многих расстрелянных лежат на дорогах. Хоронить их немцы не разрешают.</w:t>
      </w:r>
    </w:p>
    <w:p w14:paraId="317C665A"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Эссене (Германия) расстреляно 13 немецких солдат, отказавшихся поехать на советско-германский фронт.» (15016).</w:t>
      </w:r>
    </w:p>
    <w:p w14:paraId="0C6F4D03"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24EA160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435CBFC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января наши войска, нанося противнику удары и преодолевая попытки немецко-фашистских войск закрепиться на новых оборонительных рубежах, продолжали успешно продвигаться вперёд и заняли несколько населённых пунктов. Противник несёт большие потери.</w:t>
      </w:r>
    </w:p>
    <w:p w14:paraId="5835DA9B"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января уничтожено 7 немецких самолётов. Наши потери — 1 самолёт.</w:t>
      </w:r>
    </w:p>
    <w:p w14:paraId="251057A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января части нашей авиации уничтожили 3 немецких танка, 325 автомашин с пехотой и грузами, около 400 повозок с боеприпасами, 7 орудий с прислугой, взорвали склад с боеприпасами, разрушили 44 железнодорожных вагона, рассеяли и частью истребили 3 батальона пехоты противника.</w:t>
      </w:r>
    </w:p>
    <w:p w14:paraId="7F00933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взятии города Можайска наши войска, по далеко неполным данным, захватили 20 орудий, 76 автомашин, 3 склада с боеприпасами и интендантским имуществом. Остатки разгромленных 7 немецкой пехотной дивизии, 3 мотодивизии и 321 пехотного полка 197 пехотной дивизии отбрасываются нашими войсками на запад. Немцы несут большие потери, особенно в людях.</w:t>
      </w:r>
    </w:p>
    <w:p w14:paraId="541C7920"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за город Кондрово наши части нанесли тяжёлое поражение 17 и 260 немецким пехотным дивизиям и полностью разгромили отдельный батальон СС. На улицах города наши бойцы захватили 5 вражеских танков, 53 автомашины, 20 станковых пулемётов и много других трофеев.</w:t>
      </w:r>
    </w:p>
    <w:p w14:paraId="635F99D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тов. Федюнинского (Ленинградский фронт), ведя наступательные бои с противником, за два дня уничтожили 10 немецких орудий, 9 пулемётов, 2 броневика, 12 машин, 4 миномёта, подбили 3 тяжёлых танка, разрушили 11 дерево-земляных огневых точек, захватили много оружия и боеприпасов. На поле боя противник оставил свыше 500 трупов солдат и офицеров.</w:t>
      </w:r>
    </w:p>
    <w:p w14:paraId="659E99E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Украинские партизаны под командованием тов. И. в течение нескольких дней провели ряд успешных боевых операций. В городе Н. партизаны забросали гранатами гостиницу, где жили итальянские офицеры, и убили до десятка итальянских захватчиков. В этом же городе группа партизан взорвала 2 автомашины с боеприпасами. В деревне С. партизаны разгромили штаб итальянской части и истребили 18 солдат и офицеров. На станции X. бойцы отряда пустили под откос воинский поезд с немецкими солдатами, а недалеко от станции взорвали легковую машину, в которой находились три немецких офицера.</w:t>
      </w:r>
    </w:p>
    <w:p w14:paraId="1084602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лейтенант 470 пехотного полка 260 немецкой дивизии Карл Эрнст рассказал: «Моему взводу было приказано занять позицию на опушке леса километрах в пяти западнее деревни Орлово и удержать её. На рассвете мы были атакованы русскими. Взвод располагал 3 пулемётами. Мои люди сделали несколько выстрелов и стали отходить. Я приказал им остаться, но они заявили, что это бессмысленно. Солдаты разбежались, а я остался один и был захвачен в плен».</w:t>
      </w:r>
    </w:p>
    <w:p w14:paraId="416AB64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ноября командование 9 немецкой армии разослало командирам соединений и частей секретное письмо за № 1440/41, в котором говорится: «По сообщению главного командования, в запасных частях полностью отсутствуют следующие специалисты, и поэтому в дальнейшем бессмысленно на них подавать заявки: шофёры всех специальностей, оружейные мастера и помощники оружейных мастеров, наводчики, механики, связисты».</w:t>
      </w:r>
    </w:p>
    <w:p w14:paraId="35E08FE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отступлении из села Терентьевки, Малоярославецкого района, Московской области, немецкие бандиты остановили на улице 73-летнего крестьянина Юргова Г. П., 70-летнюю Чибисову А. и 12-летнего Сергеева Б., стащили с них полушубки и валенки, а затем расстреляли.» (15016).</w:t>
      </w:r>
    </w:p>
    <w:p w14:paraId="02FD41ED"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48D6CCA1"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января</w:t>
      </w:r>
      <w:r w:rsidRPr="008127F8">
        <w:rPr>
          <w:rFonts w:ascii="Times New Roman" w:hAnsi="Times New Roman"/>
          <w:color w:val="000000" w:themeColor="text1"/>
          <w:sz w:val="16"/>
          <w:szCs w:val="16"/>
        </w:rPr>
        <w:t xml:space="preserve"> в 1942 году войска Северо-Западного фронта при содействии партизан овладели г. Торопец, перерезали железную дорогу Великие Луки - Ржев (15016).</w:t>
      </w:r>
    </w:p>
    <w:p w14:paraId="73752AC8"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70F739E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21 января 1942 С.Кузнецов был сбит на Ил-2. Сел на вынужденную. Рядом сел </w:t>
      </w:r>
      <w:proofErr w:type="gramStart"/>
      <w:r w:rsidRPr="008127F8">
        <w:rPr>
          <w:color w:val="000000" w:themeColor="text1"/>
          <w:sz w:val="16"/>
          <w:szCs w:val="16"/>
        </w:rPr>
        <w:t>Bf-109</w:t>
      </w:r>
      <w:proofErr w:type="gramEnd"/>
      <w:r w:rsidRPr="008127F8">
        <w:rPr>
          <w:color w:val="000000" w:themeColor="text1"/>
          <w:sz w:val="16"/>
          <w:szCs w:val="16"/>
        </w:rPr>
        <w:t xml:space="preserve"> и пилот пошел с пистолетом смотреть. Кузнецов залез в Мессершмитт и улетел на свой аэродром (1493,108).</w:t>
      </w:r>
    </w:p>
    <w:p w14:paraId="57747D6C" w14:textId="77777777" w:rsidR="00D4651C" w:rsidRPr="008127F8" w:rsidRDefault="00D4651C" w:rsidP="001E0A84">
      <w:pPr>
        <w:pStyle w:val="Iauiue"/>
        <w:jc w:val="both"/>
        <w:rPr>
          <w:color w:val="000000" w:themeColor="text1"/>
          <w:sz w:val="16"/>
          <w:szCs w:val="16"/>
        </w:rPr>
      </w:pPr>
    </w:p>
    <w:p w14:paraId="2AFC8ED9" w14:textId="77777777" w:rsidR="0050778F" w:rsidRPr="008127F8" w:rsidRDefault="0050778F" w:rsidP="001E0A84">
      <w:pPr>
        <w:pStyle w:val="a4"/>
        <w:rPr>
          <w:color w:val="000000" w:themeColor="text1"/>
          <w:lang w:val="ru-RU"/>
        </w:rPr>
      </w:pPr>
      <w:r w:rsidRPr="008127F8">
        <w:rPr>
          <w:color w:val="000000" w:themeColor="text1"/>
          <w:lang w:val="ru-RU"/>
        </w:rPr>
        <w:t>21 января 1942 г. в 71 -й танковой бригады майора в районе деревни Сопки Федулы колонна из 22 легких и средних танков, рассредоточенных на дистанции 50-100 м один от другого, была атакована немецкой авиацией. Самолеты Ю-88 двумя эшело</w:t>
      </w:r>
      <w:r w:rsidRPr="008127F8">
        <w:rPr>
          <w:color w:val="000000" w:themeColor="text1"/>
          <w:lang w:val="ru-RU"/>
        </w:rPr>
        <w:softHyphen/>
        <w:t>нами по 24 самолета в каждом в течение двух часов бомбили и обстреливали из пулеметов танки. Бомбили с пикирования с высоты 600 м и ниже. Зенитных средств в колонне не было. Истребительной авиацией колонна также не прикрывалась. Поэтому условия для бомбометания для противника были почти полигонными. Заход на цель са</w:t>
      </w:r>
      <w:r w:rsidRPr="008127F8">
        <w:rPr>
          <w:color w:val="000000" w:themeColor="text1"/>
          <w:lang w:val="ru-RU"/>
        </w:rPr>
        <w:softHyphen/>
        <w:t>молеты делали с головы колонны вдоль нее. Сбрасывались фугасные бомбы калибра от 50 до 250 кг. Несмотря на то, что бомбы рвались в 2-3 м от танков, ни один из них не пострадал. Только у одного танка был пробит масляный бак.</w:t>
      </w:r>
    </w:p>
    <w:p w14:paraId="3600E2EA" w14:textId="77777777" w:rsidR="0050778F" w:rsidRPr="008127F8" w:rsidRDefault="0050778F" w:rsidP="001E0A84">
      <w:pPr>
        <w:pStyle w:val="a4"/>
        <w:rPr>
          <w:color w:val="000000" w:themeColor="text1"/>
          <w:lang w:val="ru-RU"/>
        </w:rPr>
      </w:pPr>
      <w:r w:rsidRPr="008127F8">
        <w:rPr>
          <w:color w:val="000000" w:themeColor="text1"/>
          <w:lang w:val="ru-RU"/>
        </w:rPr>
        <w:t>В том же районе 6 Ю-88 атаковали пять танков Т-34, которые выдвигались по дороге в сторону леса. Дистанция между танками была 50 м. Немецкие летчики бомбили с пикирования. При этом высота ввода в пикирование составляла 1000-1200 м.</w:t>
      </w:r>
    </w:p>
    <w:p w14:paraId="5B0DFACE" w14:textId="77777777" w:rsidR="0050778F" w:rsidRPr="008127F8" w:rsidRDefault="0050778F" w:rsidP="001E0A84">
      <w:pPr>
        <w:pStyle w:val="a4"/>
        <w:rPr>
          <w:color w:val="000000" w:themeColor="text1"/>
          <w:lang w:val="ru-RU"/>
        </w:rPr>
      </w:pPr>
      <w:r w:rsidRPr="008127F8">
        <w:rPr>
          <w:color w:val="000000" w:themeColor="text1"/>
          <w:lang w:val="ru-RU"/>
        </w:rPr>
        <w:t>Заход на цель выполнялся под углом 90° к колонне. Всего было сброшено 18 бомб калибром 250 и 500 кг. Все бомбы упали точно на дорогу, но ни один из танков не получил даже повреждений.</w:t>
      </w:r>
    </w:p>
    <w:p w14:paraId="425B9BD5" w14:textId="77777777" w:rsidR="0050778F" w:rsidRPr="008127F8" w:rsidRDefault="0050778F" w:rsidP="001E0A84">
      <w:pPr>
        <w:pStyle w:val="a4"/>
        <w:rPr>
          <w:color w:val="000000" w:themeColor="text1"/>
          <w:lang w:val="ru-RU"/>
        </w:rPr>
      </w:pPr>
      <w:r w:rsidRPr="008127F8">
        <w:rPr>
          <w:color w:val="000000" w:themeColor="text1"/>
          <w:lang w:val="ru-RU"/>
        </w:rPr>
        <w:t>Со слов начальника штаба 71-й тбр майора Гольдберга, потери бригады от авиации противника в период с 6 по 8 ав</w:t>
      </w:r>
      <w:r w:rsidRPr="008127F8">
        <w:rPr>
          <w:color w:val="000000" w:themeColor="text1"/>
          <w:lang w:val="ru-RU"/>
        </w:rPr>
        <w:softHyphen/>
        <w:t>густа составили всего два танка -11 % всех потерь, от противотанковых мин -16,6%, от противотанковой артиллерии - 72,4%. При этом все поврежденные авиацией танки к 10 августа были введены в строй.</w:t>
      </w:r>
    </w:p>
    <w:p w14:paraId="4F7622E7" w14:textId="77777777" w:rsidR="0050778F" w:rsidRPr="008127F8" w:rsidRDefault="0050778F" w:rsidP="001E0A84">
      <w:pPr>
        <w:pStyle w:val="a4"/>
        <w:rPr>
          <w:color w:val="000000" w:themeColor="text1"/>
          <w:lang w:val="ru-RU"/>
        </w:rPr>
      </w:pPr>
      <w:r w:rsidRPr="008127F8">
        <w:rPr>
          <w:color w:val="000000" w:themeColor="text1"/>
          <w:lang w:val="ru-RU"/>
        </w:rPr>
        <w:t>Подобное распределение потерь танков от различных средств борьбы под</w:t>
      </w:r>
      <w:r w:rsidRPr="008127F8">
        <w:rPr>
          <w:color w:val="000000" w:themeColor="text1"/>
          <w:lang w:val="ru-RU"/>
        </w:rPr>
        <w:softHyphen/>
        <w:t xml:space="preserve">тверждается данными допроса пленного инженера по ремонту 1-й германской танковой дивизии (Калининский фронт). </w:t>
      </w:r>
      <w:proofErr w:type="gramStart"/>
      <w:r w:rsidRPr="008127F8">
        <w:rPr>
          <w:color w:val="000000" w:themeColor="text1"/>
          <w:lang w:val="ru-RU"/>
        </w:rPr>
        <w:t xml:space="preserve">По его словам </w:t>
      </w:r>
      <w:proofErr w:type="gramEnd"/>
      <w:r w:rsidRPr="008127F8">
        <w:rPr>
          <w:color w:val="000000" w:themeColor="text1"/>
          <w:lang w:val="ru-RU"/>
        </w:rPr>
        <w:t>наибольшие потери танки несли от огня нашей артиллерии и танков. На втором месте стоят потери от противо</w:t>
      </w:r>
      <w:r w:rsidRPr="008127F8">
        <w:rPr>
          <w:color w:val="000000" w:themeColor="text1"/>
          <w:lang w:val="ru-RU"/>
        </w:rPr>
        <w:softHyphen/>
        <w:t>танковых мин, ручных гранат и бутылок с зажигательной смесью. Наименьшие потери несли танки от действий нашей авиации: случаи вывода из строя танков – единичны (12733).</w:t>
      </w:r>
    </w:p>
    <w:p w14:paraId="0225E0AC" w14:textId="77777777" w:rsidR="0050778F" w:rsidRPr="008127F8" w:rsidRDefault="0050778F" w:rsidP="001E0A84">
      <w:pPr>
        <w:pStyle w:val="a4"/>
        <w:rPr>
          <w:color w:val="000000" w:themeColor="text1"/>
          <w:lang w:val="ru-RU"/>
        </w:rPr>
      </w:pPr>
    </w:p>
    <w:p w14:paraId="0228D76B" w14:textId="77777777" w:rsidR="001C682F" w:rsidRPr="008127F8" w:rsidRDefault="001C682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21 января 1942 г. в 71-й танковой бригаде майора Я. И. Плисова в районе деревни Сопки Федулы колонна из 22 лег</w:t>
      </w:r>
      <w:r w:rsidRPr="008127F8">
        <w:rPr>
          <w:color w:val="000000" w:themeColor="text1"/>
          <w:sz w:val="16"/>
          <w:szCs w:val="16"/>
        </w:rPr>
        <w:softHyphen/>
        <w:t>ких и средних танков, рассредоточенных на дистан</w:t>
      </w:r>
      <w:r w:rsidRPr="008127F8">
        <w:rPr>
          <w:color w:val="000000" w:themeColor="text1"/>
          <w:sz w:val="16"/>
          <w:szCs w:val="16"/>
        </w:rPr>
        <w:softHyphen/>
        <w:t>ции 50—100 м один от другого, была атакована не</w:t>
      </w:r>
      <w:r w:rsidRPr="008127F8">
        <w:rPr>
          <w:color w:val="000000" w:themeColor="text1"/>
          <w:sz w:val="16"/>
          <w:szCs w:val="16"/>
        </w:rPr>
        <w:softHyphen/>
        <w:t xml:space="preserve">мецкой авиацией. Самолеты </w:t>
      </w:r>
      <w:r w:rsidRPr="008127F8">
        <w:rPr>
          <w:color w:val="000000" w:themeColor="text1"/>
          <w:sz w:val="16"/>
          <w:szCs w:val="16"/>
          <w:lang w:val="en-US"/>
        </w:rPr>
        <w:t>Ju</w:t>
      </w:r>
      <w:r w:rsidRPr="008127F8">
        <w:rPr>
          <w:color w:val="000000" w:themeColor="text1"/>
          <w:sz w:val="16"/>
          <w:szCs w:val="16"/>
        </w:rPr>
        <w:t>88 двумя эшелонами по 24 самолета в каждом в течение двух часов бом</w:t>
      </w:r>
      <w:r w:rsidRPr="008127F8">
        <w:rPr>
          <w:color w:val="000000" w:themeColor="text1"/>
          <w:sz w:val="16"/>
          <w:szCs w:val="16"/>
        </w:rPr>
        <w:softHyphen/>
        <w:t>били и обстреливали из пулеметов танки. Бомбили с пикирования с высоты 600 м и ниже. Зенитных средств в колонне не было. Истребительной ави</w:t>
      </w:r>
      <w:r w:rsidRPr="008127F8">
        <w:rPr>
          <w:color w:val="000000" w:themeColor="text1"/>
          <w:sz w:val="16"/>
          <w:szCs w:val="16"/>
        </w:rPr>
        <w:softHyphen/>
        <w:t>ацией колонна также не прикрывалась. Поэтому условия бомбометания для противника были почти полигонными. Заход на цель самолеты делали с го</w:t>
      </w:r>
      <w:r w:rsidRPr="008127F8">
        <w:rPr>
          <w:color w:val="000000" w:themeColor="text1"/>
          <w:sz w:val="16"/>
          <w:szCs w:val="16"/>
        </w:rPr>
        <w:softHyphen/>
        <w:t xml:space="preserve">ловы колонны вдоль нее. Сбрасывались фугасные бомбы калибра от 50 до 250 кг. Несмотря на </w:t>
      </w:r>
      <w:proofErr w:type="gramStart"/>
      <w:r w:rsidRPr="008127F8">
        <w:rPr>
          <w:color w:val="000000" w:themeColor="text1"/>
          <w:sz w:val="16"/>
          <w:szCs w:val="16"/>
        </w:rPr>
        <w:t>то</w:t>
      </w:r>
      <w:proofErr w:type="gramEnd"/>
      <w:r w:rsidRPr="008127F8">
        <w:rPr>
          <w:color w:val="000000" w:themeColor="text1"/>
          <w:sz w:val="16"/>
          <w:szCs w:val="16"/>
        </w:rPr>
        <w:t xml:space="preserve"> что бомбы рвались в 2—3 м от танков, ни один из них не пострадал. Только у одного танка был пробит масляный бак.</w:t>
      </w:r>
    </w:p>
    <w:p w14:paraId="73DCC870" w14:textId="77777777" w:rsidR="001C682F" w:rsidRPr="008127F8" w:rsidRDefault="001C682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 xml:space="preserve">В том же районе 6 </w:t>
      </w:r>
      <w:r w:rsidRPr="008127F8">
        <w:rPr>
          <w:color w:val="000000" w:themeColor="text1"/>
          <w:sz w:val="16"/>
          <w:szCs w:val="16"/>
          <w:lang w:val="en-US"/>
        </w:rPr>
        <w:t>Ju</w:t>
      </w:r>
      <w:r w:rsidRPr="008127F8">
        <w:rPr>
          <w:color w:val="000000" w:themeColor="text1"/>
          <w:sz w:val="16"/>
          <w:szCs w:val="16"/>
        </w:rPr>
        <w:t>88 атаковали 5 танков Т-34, которые выдвигались по дороге в сторону леса. Дистанция между танками была 50 м. Немецкие лет</w:t>
      </w:r>
      <w:r w:rsidRPr="008127F8">
        <w:rPr>
          <w:color w:val="000000" w:themeColor="text1"/>
          <w:sz w:val="16"/>
          <w:szCs w:val="16"/>
        </w:rPr>
        <w:softHyphen/>
        <w:t>чики бомбили с пикирования. При этом высота вво</w:t>
      </w:r>
      <w:r w:rsidRPr="008127F8">
        <w:rPr>
          <w:color w:val="000000" w:themeColor="text1"/>
          <w:sz w:val="16"/>
          <w:szCs w:val="16"/>
        </w:rPr>
        <w:softHyphen/>
        <w:t>да в пикирование составляла 1000—1200 м. Заход на цель выполнялся под углом 90° к колонне. Всего было сброшено 18 бомб калибром 250 и 500 кг. Все бомбы упали точно на дорогу, но в стороне от тан</w:t>
      </w:r>
      <w:r w:rsidRPr="008127F8">
        <w:rPr>
          <w:color w:val="000000" w:themeColor="text1"/>
          <w:sz w:val="16"/>
          <w:szCs w:val="16"/>
        </w:rPr>
        <w:softHyphen/>
        <w:t>ков. Ни один из них не получил даже повреждений.</w:t>
      </w:r>
    </w:p>
    <w:p w14:paraId="780253BC" w14:textId="77777777" w:rsidR="001C682F" w:rsidRPr="008127F8" w:rsidRDefault="001C682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Со слов начальника штаба 71-й тбр майора Гольдберга, потери бригады от авиации против</w:t>
      </w:r>
      <w:r w:rsidRPr="008127F8">
        <w:rPr>
          <w:color w:val="000000" w:themeColor="text1"/>
          <w:sz w:val="16"/>
          <w:szCs w:val="16"/>
        </w:rPr>
        <w:softHyphen/>
        <w:t>ника в период с 6 по 8 августа составили всего 2 танка — 11% всех потерь, от противотанковых мин — 16,6%, от противотанковой артиллерии — 72,4%. При этом все поврежденные авиацией танки к 10 августа были введены в строй.</w:t>
      </w:r>
    </w:p>
    <w:p w14:paraId="0C5350F5" w14:textId="77777777" w:rsidR="001C682F" w:rsidRPr="008127F8" w:rsidRDefault="001C682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Подобное распределение потерь танков от раз</w:t>
      </w:r>
      <w:r w:rsidRPr="008127F8">
        <w:rPr>
          <w:color w:val="000000" w:themeColor="text1"/>
          <w:sz w:val="16"/>
          <w:szCs w:val="16"/>
        </w:rPr>
        <w:softHyphen/>
        <w:t>личных средств борьбы подтверждается данными допроса пленного инженера по ремонту 1-й гер</w:t>
      </w:r>
      <w:r w:rsidRPr="008127F8">
        <w:rPr>
          <w:color w:val="000000" w:themeColor="text1"/>
          <w:sz w:val="16"/>
          <w:szCs w:val="16"/>
        </w:rPr>
        <w:softHyphen/>
        <w:t>манской танковой дивизии (Калининский фронт). По его словам, наибольшие потери танки несли от огня нашей артиллерии и танков. На втором месте стоят потери от противотанковых мин, ручных гра</w:t>
      </w:r>
      <w:r w:rsidRPr="008127F8">
        <w:rPr>
          <w:color w:val="000000" w:themeColor="text1"/>
          <w:sz w:val="16"/>
          <w:szCs w:val="16"/>
        </w:rPr>
        <w:softHyphen/>
        <w:t>нат и бутылок с зажигательной смесью. Наимень</w:t>
      </w:r>
      <w:r w:rsidRPr="008127F8">
        <w:rPr>
          <w:color w:val="000000" w:themeColor="text1"/>
          <w:sz w:val="16"/>
          <w:szCs w:val="16"/>
        </w:rPr>
        <w:softHyphen/>
        <w:t>шие потери несли танки от действий нашей ави</w:t>
      </w:r>
      <w:r w:rsidRPr="008127F8">
        <w:rPr>
          <w:color w:val="000000" w:themeColor="text1"/>
          <w:sz w:val="16"/>
          <w:szCs w:val="16"/>
        </w:rPr>
        <w:softHyphen/>
        <w:t>ации: случаи вывода из строя танков нашей авиа</w:t>
      </w:r>
      <w:r w:rsidRPr="008127F8">
        <w:rPr>
          <w:color w:val="000000" w:themeColor="text1"/>
          <w:sz w:val="16"/>
          <w:szCs w:val="16"/>
        </w:rPr>
        <w:softHyphen/>
        <w:t>ции — единичны (17500).</w:t>
      </w:r>
    </w:p>
    <w:p w14:paraId="73556BA4" w14:textId="77777777" w:rsidR="001C682F" w:rsidRPr="008127F8" w:rsidRDefault="001C682F" w:rsidP="001E0A84">
      <w:pPr>
        <w:spacing w:after="0" w:line="240" w:lineRule="auto"/>
        <w:jc w:val="both"/>
        <w:rPr>
          <w:rFonts w:ascii="Times New Roman" w:hAnsi="Times New Roman"/>
          <w:color w:val="000000" w:themeColor="text1"/>
          <w:sz w:val="16"/>
          <w:szCs w:val="16"/>
        </w:rPr>
      </w:pPr>
    </w:p>
    <w:p w14:paraId="6EC6D094"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ДБ-3 сфотогра</w:t>
      </w:r>
      <w:r w:rsidRPr="008127F8">
        <w:rPr>
          <w:rFonts w:ascii="Times New Roman" w:hAnsi="Times New Roman"/>
          <w:color w:val="000000" w:themeColor="text1"/>
          <w:sz w:val="16"/>
          <w:szCs w:val="16"/>
        </w:rPr>
        <w:softHyphen/>
        <w:t>фировал потопленный у Севастополя крейсер «Червона Украша», а затем сбро</w:t>
      </w:r>
      <w:r w:rsidRPr="008127F8">
        <w:rPr>
          <w:rFonts w:ascii="Times New Roman" w:hAnsi="Times New Roman"/>
          <w:color w:val="000000" w:themeColor="text1"/>
          <w:sz w:val="16"/>
          <w:szCs w:val="16"/>
        </w:rPr>
        <w:softHyphen/>
        <w:t>сил партизанам мешки с мукой и консер</w:t>
      </w:r>
      <w:r w:rsidRPr="008127F8">
        <w:rPr>
          <w:rFonts w:ascii="Times New Roman" w:hAnsi="Times New Roman"/>
          <w:color w:val="000000" w:themeColor="text1"/>
          <w:sz w:val="16"/>
          <w:szCs w:val="16"/>
        </w:rPr>
        <w:softHyphen/>
        <w:t>вами. Последний раз ДБ-3 выполняли подобную работу 8 мая 1943 г., когда оди</w:t>
      </w:r>
      <w:r w:rsidRPr="008127F8">
        <w:rPr>
          <w:rFonts w:ascii="Times New Roman" w:hAnsi="Times New Roman"/>
          <w:color w:val="000000" w:themeColor="text1"/>
          <w:sz w:val="16"/>
          <w:szCs w:val="16"/>
        </w:rPr>
        <w:softHyphen/>
        <w:t>ночный самолет сбросил три бомбы по объектам в Феодосии, а затем — три мешка с продовольствием партизанам (19944).</w:t>
      </w:r>
    </w:p>
    <w:p w14:paraId="5C3CAAC9" w14:textId="77777777" w:rsidR="005F7283" w:rsidRPr="008127F8" w:rsidRDefault="005F7283" w:rsidP="001E0A84">
      <w:pPr>
        <w:spacing w:after="0" w:line="240" w:lineRule="auto"/>
        <w:jc w:val="both"/>
        <w:rPr>
          <w:rFonts w:ascii="Times New Roman" w:hAnsi="Times New Roman"/>
          <w:color w:val="000000" w:themeColor="text1"/>
          <w:sz w:val="16"/>
          <w:szCs w:val="16"/>
        </w:rPr>
      </w:pPr>
    </w:p>
    <w:p w14:paraId="2F0F6BF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21 января 1942 г. Народный комиссар ВМФ адмирал Н.Г.Кузнецов издал приказ № 093, посвященный боевому применению торпедных катеров. В пункте 8 этого приказа нарком прямо указывал, что следует использовать катера волнового управления. Но, несмотря на это, первая реальная попытка была предпринята лишь год и месяц спустя (6002).</w:t>
      </w:r>
    </w:p>
    <w:p w14:paraId="7DADA018" w14:textId="77777777" w:rsidR="00D4651C" w:rsidRPr="008127F8" w:rsidRDefault="00D4651C" w:rsidP="001E0A84">
      <w:pPr>
        <w:pStyle w:val="Iauiue"/>
        <w:jc w:val="both"/>
        <w:rPr>
          <w:color w:val="000000" w:themeColor="text1"/>
          <w:sz w:val="16"/>
          <w:szCs w:val="16"/>
        </w:rPr>
      </w:pPr>
    </w:p>
    <w:p w14:paraId="08E3AFD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21DE3735" w14:textId="77777777" w:rsidR="00D4651C" w:rsidRPr="008127F8" w:rsidRDefault="00D4651C" w:rsidP="001E0A84">
      <w:pPr>
        <w:pStyle w:val="Iauiue"/>
        <w:jc w:val="both"/>
        <w:rPr>
          <w:iCs/>
          <w:color w:val="000000" w:themeColor="text1"/>
          <w:sz w:val="16"/>
          <w:szCs w:val="16"/>
        </w:rPr>
      </w:pPr>
    </w:p>
    <w:p w14:paraId="64F8AD24" w14:textId="77777777" w:rsidR="00D4651C" w:rsidRPr="008127F8" w:rsidRDefault="00D4651C" w:rsidP="001E0A84">
      <w:pPr>
        <w:pStyle w:val="Iauiue"/>
        <w:tabs>
          <w:tab w:val="left" w:pos="11199"/>
        </w:tabs>
        <w:jc w:val="both"/>
        <w:rPr>
          <w:color w:val="000000" w:themeColor="text1"/>
          <w:sz w:val="16"/>
          <w:szCs w:val="16"/>
          <w:lang w:val="en-US"/>
        </w:rPr>
      </w:pPr>
      <w:r w:rsidRPr="008127F8">
        <w:rPr>
          <w:color w:val="000000" w:themeColor="text1"/>
          <w:sz w:val="16"/>
          <w:szCs w:val="16"/>
        </w:rPr>
        <w:t xml:space="preserve">21 января 1942 вышло Распоряжение ГКО № 1179 [О передаче Смоленскому облисполкому 5 грузовых машин для восстановления освобожденных районов.] </w:t>
      </w:r>
      <w:r w:rsidRPr="008127F8">
        <w:rPr>
          <w:color w:val="000000" w:themeColor="text1"/>
          <w:sz w:val="16"/>
          <w:szCs w:val="16"/>
          <w:lang w:val="en-US"/>
        </w:rPr>
        <w:t>(7020, 176).</w:t>
      </w:r>
    </w:p>
    <w:p w14:paraId="33172375" w14:textId="77777777" w:rsidR="00D4651C" w:rsidRPr="008127F8" w:rsidRDefault="00D4651C" w:rsidP="001E0A84">
      <w:pPr>
        <w:pStyle w:val="Iauiue"/>
        <w:tabs>
          <w:tab w:val="left" w:pos="11199"/>
        </w:tabs>
        <w:jc w:val="both"/>
        <w:rPr>
          <w:color w:val="000000" w:themeColor="text1"/>
          <w:sz w:val="16"/>
          <w:szCs w:val="16"/>
          <w:lang w:val="en-US"/>
        </w:rPr>
      </w:pPr>
    </w:p>
    <w:p w14:paraId="19B81021" w14:textId="77777777" w:rsidR="00D4651C" w:rsidRPr="008127F8" w:rsidRDefault="00A72CAA" w:rsidP="001E0A84">
      <w:pPr>
        <w:pStyle w:val="Iauiue"/>
        <w:jc w:val="both"/>
        <w:rPr>
          <w:iCs/>
          <w:color w:val="000000" w:themeColor="text1"/>
          <w:sz w:val="16"/>
          <w:szCs w:val="16"/>
          <w:lang w:val="en-US"/>
        </w:rPr>
      </w:pPr>
      <w:r w:rsidRPr="008127F8">
        <w:rPr>
          <w:i/>
          <w:iCs/>
          <w:color w:val="000000" w:themeColor="text1"/>
          <w:sz w:val="16"/>
          <w:szCs w:val="16"/>
        </w:rPr>
        <w:t>За</w:t>
      </w:r>
      <w:r w:rsidRPr="008127F8">
        <w:rPr>
          <w:i/>
          <w:iCs/>
          <w:color w:val="000000" w:themeColor="text1"/>
          <w:sz w:val="16"/>
          <w:szCs w:val="16"/>
          <w:lang w:val="en-US"/>
        </w:rPr>
        <w:t xml:space="preserve"> </w:t>
      </w:r>
      <w:r w:rsidRPr="008127F8">
        <w:rPr>
          <w:i/>
          <w:iCs/>
          <w:color w:val="000000" w:themeColor="text1"/>
          <w:sz w:val="16"/>
          <w:szCs w:val="16"/>
        </w:rPr>
        <w:t>рубежом</w:t>
      </w:r>
      <w:r w:rsidRPr="008127F8">
        <w:rPr>
          <w:i/>
          <w:iCs/>
          <w:color w:val="000000" w:themeColor="text1"/>
          <w:sz w:val="16"/>
          <w:szCs w:val="16"/>
          <w:lang w:val="en-US"/>
        </w:rPr>
        <w:t>:</w:t>
      </w:r>
    </w:p>
    <w:p w14:paraId="454F868C" w14:textId="77777777" w:rsidR="00D4651C" w:rsidRPr="008127F8" w:rsidRDefault="00D4651C" w:rsidP="001E0A84">
      <w:pPr>
        <w:pStyle w:val="Iauiue"/>
        <w:jc w:val="both"/>
        <w:rPr>
          <w:iCs/>
          <w:color w:val="000000" w:themeColor="text1"/>
          <w:sz w:val="16"/>
          <w:szCs w:val="16"/>
          <w:lang w:val="en-US"/>
        </w:rPr>
      </w:pPr>
    </w:p>
    <w:p w14:paraId="16E98A6B" w14:textId="77777777" w:rsidR="003A55EF" w:rsidRPr="008127F8" w:rsidRDefault="00D4651C"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 xml:space="preserve">January 21, 1942: Having been reenforced and resupplied, the Afrikakorps begins a counter-offensive against the British 8th Army to recapture Cyrenaica. The Luftwaffe, with </w:t>
      </w:r>
    </w:p>
    <w:p w14:paraId="186FF162"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400 aircraft available, begins a series of raids against London and ports in southern England. The US Fifth Army (Clark) achieves a landing at Anzio and Nettuno south of Rome (3819).</w:t>
      </w:r>
    </w:p>
    <w:p w14:paraId="198BED28" w14:textId="77777777" w:rsidR="00D4651C" w:rsidRPr="008127F8" w:rsidRDefault="00D4651C" w:rsidP="001E0A84">
      <w:pPr>
        <w:pStyle w:val="Iauiue"/>
        <w:jc w:val="both"/>
        <w:rPr>
          <w:color w:val="000000" w:themeColor="text1"/>
          <w:sz w:val="16"/>
          <w:szCs w:val="16"/>
          <w:lang w:val="en-US"/>
        </w:rPr>
      </w:pPr>
    </w:p>
    <w:p w14:paraId="2815E5FC"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21 1942 Rommel launches major counteroffensive (1037) from El Agheila (1050).</w:t>
      </w:r>
    </w:p>
    <w:p w14:paraId="6B24AED7" w14:textId="77777777" w:rsidR="00D4651C" w:rsidRPr="008127F8" w:rsidRDefault="00D4651C" w:rsidP="001E0A84">
      <w:pPr>
        <w:pStyle w:val="Iauiue"/>
        <w:jc w:val="both"/>
        <w:rPr>
          <w:color w:val="000000" w:themeColor="text1"/>
          <w:sz w:val="16"/>
          <w:szCs w:val="16"/>
          <w:lang w:val="en-US"/>
        </w:rPr>
      </w:pPr>
    </w:p>
    <w:p w14:paraId="795454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21 января 1942 Роммель начал контрнаступление на Эль Аламейна (1037;1050) и оно продолжалось до 7 февраля 1941 (3186).</w:t>
      </w:r>
    </w:p>
    <w:p w14:paraId="332A8BB6" w14:textId="77777777" w:rsidR="00D4651C" w:rsidRPr="008127F8" w:rsidRDefault="00D4651C" w:rsidP="001E0A84">
      <w:pPr>
        <w:pStyle w:val="Iauiue"/>
        <w:jc w:val="both"/>
        <w:rPr>
          <w:color w:val="000000" w:themeColor="text1"/>
          <w:sz w:val="16"/>
          <w:szCs w:val="16"/>
        </w:rPr>
      </w:pPr>
    </w:p>
    <w:p w14:paraId="023E961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21 января 1941 Роммель одержал победу, т.к. Великобритания была вынуждена отвести часть Средиземноморского флота в Индийский океан (3186).</w:t>
      </w:r>
    </w:p>
    <w:p w14:paraId="3611BDF0" w14:textId="77777777" w:rsidR="00D4651C" w:rsidRPr="008127F8" w:rsidRDefault="00D4651C" w:rsidP="001E0A84">
      <w:pPr>
        <w:pStyle w:val="Iauiue"/>
        <w:jc w:val="both"/>
        <w:rPr>
          <w:color w:val="000000" w:themeColor="text1"/>
          <w:sz w:val="16"/>
          <w:szCs w:val="16"/>
        </w:rPr>
      </w:pPr>
    </w:p>
    <w:p w14:paraId="61B06D2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21 января 1942 немецкие войска Роммеля начали наступление в Северной Африке (4962).</w:t>
      </w:r>
    </w:p>
    <w:p w14:paraId="4857DD76" w14:textId="77777777" w:rsidR="00D4651C" w:rsidRPr="008127F8" w:rsidRDefault="00D4651C" w:rsidP="001E0A84">
      <w:pPr>
        <w:pStyle w:val="Iauiue"/>
        <w:tabs>
          <w:tab w:val="left" w:pos="11199"/>
        </w:tabs>
        <w:jc w:val="both"/>
        <w:rPr>
          <w:color w:val="000000" w:themeColor="text1"/>
          <w:sz w:val="16"/>
          <w:szCs w:val="16"/>
        </w:rPr>
      </w:pPr>
    </w:p>
    <w:p w14:paraId="6DD7DA7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января</w:t>
      </w:r>
      <w:r w:rsidRPr="008127F8">
        <w:rPr>
          <w:rFonts w:ascii="Times New Roman" w:hAnsi="Times New Roman"/>
          <w:color w:val="000000" w:themeColor="text1"/>
          <w:sz w:val="16"/>
          <w:szCs w:val="16"/>
        </w:rPr>
        <w:t xml:space="preserve"> в 1942 году (21 января - 7 февраля) наступление немецко-итальянских войск в Ливии (15016).</w:t>
      </w:r>
    </w:p>
    <w:p w14:paraId="0CE52F4C"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4F543A45"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6D4C43BA" w14:textId="77777777" w:rsidR="00D4651C" w:rsidRPr="008127F8" w:rsidRDefault="00D4651C" w:rsidP="001E0A84">
      <w:pPr>
        <w:pStyle w:val="Iauiue"/>
        <w:jc w:val="both"/>
        <w:rPr>
          <w:iCs/>
          <w:color w:val="000000" w:themeColor="text1"/>
          <w:sz w:val="16"/>
          <w:szCs w:val="16"/>
        </w:rPr>
      </w:pPr>
    </w:p>
    <w:p w14:paraId="21CF2E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года Шахурин писал письмо N Н-25/179 Маленкову и наркому ВМФ адмиралу Кузнецову.</w:t>
      </w:r>
    </w:p>
    <w:p w14:paraId="2438E9E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N 30 в г. Москве выпускал до эвакуации гидросамолеты. В настоящее время завод N 30 возвращен в Москву на площади бывшего завода N 1 и будет выпускать самолеты Ил-2.</w:t>
      </w:r>
    </w:p>
    <w:p w14:paraId="36721C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Для создания базы гидросамолетостроения, считаю целесообразным организовать на площади эвакуированного завода N 81 в г. Москве опытный завод морского самолетостроения во главе с гл. конструктором И.В.Четвериковым. Этот завод будет основой для организации серийного производства морских самолетов.</w:t>
      </w:r>
    </w:p>
    <w:p w14:paraId="52B1F10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По мере роста производства завода N 30 рабочие и </w:t>
      </w:r>
      <w:proofErr w:type="gramStart"/>
      <w:r w:rsidRPr="008127F8">
        <w:rPr>
          <w:color w:val="000000" w:themeColor="text1"/>
          <w:sz w:val="16"/>
          <w:szCs w:val="16"/>
        </w:rPr>
        <w:t>ИТР (бывшего завода N 30)</w:t>
      </w:r>
      <w:proofErr w:type="gramEnd"/>
      <w:r w:rsidRPr="008127F8">
        <w:rPr>
          <w:color w:val="000000" w:themeColor="text1"/>
          <w:sz w:val="16"/>
          <w:szCs w:val="16"/>
        </w:rPr>
        <w:t xml:space="preserve"> специализировавшиеся по гидросамолетам будут постепенно переведены н завод морских самолетов и к 4-му кварталу 1942 года можно будет восстановить серийное производство морских самолетов (2160,201).</w:t>
      </w:r>
    </w:p>
    <w:p w14:paraId="0F7975F6" w14:textId="1F0AE284" w:rsidR="00D4651C" w:rsidRPr="008127F8" w:rsidRDefault="00D4651C" w:rsidP="001E0A84">
      <w:pPr>
        <w:pStyle w:val="Iauiue"/>
        <w:jc w:val="both"/>
        <w:rPr>
          <w:color w:val="000000" w:themeColor="text1"/>
          <w:sz w:val="16"/>
          <w:szCs w:val="16"/>
        </w:rPr>
      </w:pPr>
    </w:p>
    <w:p w14:paraId="41AF29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 47 АД закончились испытания по о боевому применению ракетных бронебойных снарядов калибра 82 мм и 132 мм (РБС-82 и РБС-132) и ракетного осколочно-фугасного снаряда калибра 132 мм, которые шли с 22 ноября 1941. Летали на МиГ-3 в 519 иап и Ил-2 в 312 шап с Тушинского аэродрома на Волоколамском и Можайском участке фронта. РС были с 12 завода НКБ. Боевые вылеты начались с 28 ноября. РБС-82 использовались только с МиГ-3. Не нашли скоплений бронетанковых сил и в основном стреляли РОФС-132* Отстреляли 60 РБС-82, 80 РБС-132 и 200 РОФС. РОФС - очень мощный (РОФС-132).</w:t>
      </w:r>
    </w:p>
    <w:p w14:paraId="77E9F37F" w14:textId="77777777" w:rsidR="00D4651C" w:rsidRPr="008127F8" w:rsidRDefault="00D4651C" w:rsidP="001E0A84">
      <w:pPr>
        <w:pStyle w:val="Iauiue"/>
        <w:jc w:val="both"/>
        <w:rPr>
          <w:color w:val="000000" w:themeColor="text1"/>
          <w:sz w:val="16"/>
          <w:szCs w:val="16"/>
        </w:rPr>
      </w:pPr>
    </w:p>
    <w:p w14:paraId="652F384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г. закончились войсковые испытания на базе 47-й авиади</w:t>
      </w:r>
      <w:r w:rsidRPr="008127F8">
        <w:rPr>
          <w:rFonts w:ascii="Times New Roman" w:hAnsi="Times New Roman"/>
          <w:color w:val="000000" w:themeColor="text1"/>
          <w:sz w:val="16"/>
          <w:szCs w:val="16"/>
        </w:rPr>
        <w:softHyphen/>
        <w:t>визии Западного фронта летчики 312-го штурмового авиаполка подпол</w:t>
      </w:r>
      <w:r w:rsidRPr="008127F8">
        <w:rPr>
          <w:rFonts w:ascii="Times New Roman" w:hAnsi="Times New Roman"/>
          <w:color w:val="000000" w:themeColor="text1"/>
          <w:sz w:val="16"/>
          <w:szCs w:val="16"/>
        </w:rPr>
        <w:softHyphen/>
        <w:t>ковника Поморцева принимали участие ракетно-бронебойных снарядов РБС-82, РБС-132 и ракетно-осколочно-фугасных РОФС-132, которые шли с 22 ноября 1941 г. Для этого по приказу командующего ВВС КА назна</w:t>
      </w:r>
      <w:r w:rsidRPr="008127F8">
        <w:rPr>
          <w:rFonts w:ascii="Times New Roman" w:hAnsi="Times New Roman"/>
          <w:color w:val="000000" w:themeColor="text1"/>
          <w:sz w:val="16"/>
          <w:szCs w:val="16"/>
        </w:rPr>
        <w:softHyphen/>
        <w:t>чили оперативную группу в составе командира 47-й авиадивизии пол</w:t>
      </w:r>
      <w:r w:rsidRPr="008127F8">
        <w:rPr>
          <w:rFonts w:ascii="Times New Roman" w:hAnsi="Times New Roman"/>
          <w:color w:val="000000" w:themeColor="text1"/>
          <w:sz w:val="16"/>
          <w:szCs w:val="16"/>
        </w:rPr>
        <w:softHyphen/>
        <w:t>ковника Толстикова, представителя УОСАТ ГУ ВВС КА военинженера 2 ранга Н.В.Исаева, представителя УВВС ВМФ старшего инженера опыт</w:t>
      </w:r>
      <w:r w:rsidRPr="008127F8">
        <w:rPr>
          <w:rFonts w:ascii="Times New Roman" w:hAnsi="Times New Roman"/>
          <w:color w:val="000000" w:themeColor="text1"/>
          <w:sz w:val="16"/>
          <w:szCs w:val="16"/>
        </w:rPr>
        <w:softHyphen/>
        <w:t>ного отдела военинженера 3 ранга Г.И.Мельникова, а также представи</w:t>
      </w:r>
      <w:r w:rsidRPr="008127F8">
        <w:rPr>
          <w:rFonts w:ascii="Times New Roman" w:hAnsi="Times New Roman"/>
          <w:color w:val="000000" w:themeColor="text1"/>
          <w:sz w:val="16"/>
          <w:szCs w:val="16"/>
        </w:rPr>
        <w:softHyphen/>
        <w:t>теля НИИ-3 НКБ ведущего инженера по РБС военинженера 3 ранга В.К.Шитова и временно подчинили ей более десяти пилотов с самолета</w:t>
      </w:r>
      <w:r w:rsidRPr="008127F8">
        <w:rPr>
          <w:rFonts w:ascii="Times New Roman" w:hAnsi="Times New Roman"/>
          <w:color w:val="000000" w:themeColor="text1"/>
          <w:sz w:val="16"/>
          <w:szCs w:val="16"/>
        </w:rPr>
        <w:softHyphen/>
        <w:t>ми-штурмовиками Ил-2. Авиаполк базировался на окраине Москвы на Тушинском аэродроме, а на боевое применение летал на Волоколамский и Можайский участки фронта.</w:t>
      </w:r>
    </w:p>
    <w:p w14:paraId="5F8E36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Перед боевыми вылетами оперативная группа подробно </w:t>
      </w:r>
      <w:proofErr w:type="gramStart"/>
      <w:r w:rsidRPr="008127F8">
        <w:rPr>
          <w:rFonts w:ascii="Times New Roman" w:hAnsi="Times New Roman"/>
          <w:color w:val="000000" w:themeColor="text1"/>
          <w:sz w:val="16"/>
          <w:szCs w:val="16"/>
        </w:rPr>
        <w:t>ознакомила .</w:t>
      </w:r>
      <w:proofErr w:type="gramEnd"/>
      <w:r w:rsidRPr="008127F8">
        <w:rPr>
          <w:rFonts w:ascii="Times New Roman" w:hAnsi="Times New Roman"/>
          <w:color w:val="000000" w:themeColor="text1"/>
          <w:sz w:val="16"/>
          <w:szCs w:val="16"/>
        </w:rPr>
        <w:t xml:space="preserve"> летно-технический состав с конструкцией и особенностями эксплуата</w:t>
      </w:r>
      <w:r w:rsidRPr="008127F8">
        <w:rPr>
          <w:rFonts w:ascii="Times New Roman" w:hAnsi="Times New Roman"/>
          <w:color w:val="000000" w:themeColor="text1"/>
          <w:sz w:val="16"/>
          <w:szCs w:val="16"/>
        </w:rPr>
        <w:softHyphen/>
        <w:t>ции ракетных снарядов. Боевые вылеты начались 28 ноября 1941 г. Нес</w:t>
      </w:r>
      <w:r w:rsidRPr="008127F8">
        <w:rPr>
          <w:rFonts w:ascii="Times New Roman" w:hAnsi="Times New Roman"/>
          <w:color w:val="000000" w:themeColor="text1"/>
          <w:sz w:val="16"/>
          <w:szCs w:val="16"/>
        </w:rPr>
        <w:softHyphen/>
        <w:t>мотря на довольно солидный боезапас, доставленный с центрального аэродрома и снаряжательных заводов, израсходовали лишь 60 штук РБС-82, 80 штук РБС-132 и 200 штук РОФС-132. На незначительном ко</w:t>
      </w:r>
      <w:r w:rsidRPr="008127F8">
        <w:rPr>
          <w:rFonts w:ascii="Times New Roman" w:hAnsi="Times New Roman"/>
          <w:color w:val="000000" w:themeColor="text1"/>
          <w:sz w:val="16"/>
          <w:szCs w:val="16"/>
        </w:rPr>
        <w:softHyphen/>
        <w:t>личестве боевых вылетов отрицательно сказывались метеоусловия и об</w:t>
      </w:r>
      <w:r w:rsidRPr="008127F8">
        <w:rPr>
          <w:rFonts w:ascii="Times New Roman" w:hAnsi="Times New Roman"/>
          <w:color w:val="000000" w:themeColor="text1"/>
          <w:sz w:val="16"/>
          <w:szCs w:val="16"/>
        </w:rPr>
        <w:softHyphen/>
        <w:t>становка на фронте. В итоге, ввиду отсутствия скопления бронетехники противника на отведенных участках фронта, оперативная группа приня</w:t>
      </w:r>
      <w:r w:rsidRPr="008127F8">
        <w:rPr>
          <w:rFonts w:ascii="Times New Roman" w:hAnsi="Times New Roman"/>
          <w:color w:val="000000" w:themeColor="text1"/>
          <w:sz w:val="16"/>
          <w:szCs w:val="16"/>
        </w:rPr>
        <w:softHyphen/>
        <w:t>ла решение вместо ракетно-бронебойных снарядов применять РОФС-132.</w:t>
      </w:r>
    </w:p>
    <w:p w14:paraId="6DC18CB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тем установить точное количество пораженных целей не уда</w:t>
      </w:r>
      <w:r w:rsidRPr="008127F8">
        <w:rPr>
          <w:rFonts w:ascii="Times New Roman" w:hAnsi="Times New Roman"/>
          <w:color w:val="000000" w:themeColor="text1"/>
          <w:sz w:val="16"/>
          <w:szCs w:val="16"/>
        </w:rPr>
        <w:softHyphen/>
        <w:t>лось. Пилоты, летавшие со снарядами РБС-82, отмечали прямые попа</w:t>
      </w:r>
      <w:r w:rsidRPr="008127F8">
        <w:rPr>
          <w:rFonts w:ascii="Times New Roman" w:hAnsi="Times New Roman"/>
          <w:color w:val="000000" w:themeColor="text1"/>
          <w:sz w:val="16"/>
          <w:szCs w:val="16"/>
        </w:rPr>
        <w:softHyphen/>
        <w:t>дания в танки, здания, автомашины. Снарядами РБС-132 вывели из строя не менее 20 танков, 35-40 автомашин и разрушили несколько стро</w:t>
      </w:r>
      <w:r w:rsidRPr="008127F8">
        <w:rPr>
          <w:rFonts w:ascii="Times New Roman" w:hAnsi="Times New Roman"/>
          <w:color w:val="000000" w:themeColor="text1"/>
          <w:sz w:val="16"/>
          <w:szCs w:val="16"/>
        </w:rPr>
        <w:softHyphen/>
        <w:t xml:space="preserve">ений. </w:t>
      </w:r>
      <w:proofErr w:type="gramStart"/>
      <w:r w:rsidRPr="008127F8">
        <w:rPr>
          <w:rFonts w:ascii="Times New Roman" w:hAnsi="Times New Roman"/>
          <w:color w:val="000000" w:themeColor="text1"/>
          <w:sz w:val="16"/>
          <w:szCs w:val="16"/>
        </w:rPr>
        <w:t xml:space="preserve">По единодушному мнению </w:t>
      </w:r>
      <w:proofErr w:type="gramEnd"/>
      <w:r w:rsidRPr="008127F8">
        <w:rPr>
          <w:rFonts w:ascii="Times New Roman" w:hAnsi="Times New Roman"/>
          <w:color w:val="000000" w:themeColor="text1"/>
          <w:sz w:val="16"/>
          <w:szCs w:val="16"/>
        </w:rPr>
        <w:t>летчиков, действие снарядов РОФС-132 по целям было исключительно эффективным и превзошло все ожидания. На основе проделанной работы составили инструкции по эксплуатации ракетных снарядов РБС-82, РБС-132 и РОФС-132 для строевых частей ВВС КА и ВМФ.</w:t>
      </w:r>
    </w:p>
    <w:p w14:paraId="3540ABB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Итак, сначала ознакомимся с отзывами пилотов, «работавших» ракетно-бронебойными РБС-82. Их на каждой машине Ил-2 было по во</w:t>
      </w:r>
      <w:r w:rsidRPr="008127F8">
        <w:rPr>
          <w:rFonts w:ascii="Times New Roman" w:hAnsi="Times New Roman"/>
          <w:color w:val="000000" w:themeColor="text1"/>
          <w:sz w:val="16"/>
          <w:szCs w:val="16"/>
        </w:rPr>
        <w:softHyphen/>
        <w:t>семь штук. После боевого вылета 28 ноября 1941 г. командир звена лей</w:t>
      </w:r>
      <w:r w:rsidRPr="008127F8">
        <w:rPr>
          <w:rFonts w:ascii="Times New Roman" w:hAnsi="Times New Roman"/>
          <w:color w:val="000000" w:themeColor="text1"/>
          <w:sz w:val="16"/>
          <w:szCs w:val="16"/>
        </w:rPr>
        <w:softHyphen/>
        <w:t>тенант Косенков отмечал, что стрелял с бреющего полета на высотах 15-20 м по скоплению автомашин в населенном пункте. Пролетев над це</w:t>
      </w:r>
      <w:r w:rsidRPr="008127F8">
        <w:rPr>
          <w:rFonts w:ascii="Times New Roman" w:hAnsi="Times New Roman"/>
          <w:color w:val="000000" w:themeColor="text1"/>
          <w:sz w:val="16"/>
          <w:szCs w:val="16"/>
        </w:rPr>
        <w:softHyphen/>
        <w:t>лью на большой скорости, пилот не успел оценить характер разрушений. Поскольку снаряды эффективны лишь при условии прямого попадания в бронецель, пилот рекомендовал оснастить ими самолеты-истребители - «с них возможно вести огонь на пикировании и более точно прицели</w:t>
      </w:r>
      <w:r w:rsidRPr="008127F8">
        <w:rPr>
          <w:rFonts w:ascii="Times New Roman" w:hAnsi="Times New Roman"/>
          <w:color w:val="000000" w:themeColor="text1"/>
          <w:sz w:val="16"/>
          <w:szCs w:val="16"/>
        </w:rPr>
        <w:softHyphen/>
        <w:t>ваться».</w:t>
      </w:r>
    </w:p>
    <w:p w14:paraId="0D0948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пояснить последний тезис, уточним, что на штурмовиках Ил-2 в тот период прицелы стрельбы и бомбометания отсутствовали. При действии на малых высотах с горизонтального полета цель летчику закрывал капот машины задолго до подхода к точке сброса авиабомб. Поэтому бомбы бросали по счету после закрытия цели, а реактивными снарядами стреляли, прицеливаясь «по втулке воздушного винта». Позже самолеты оборудовали либо визирами Васильева ВВ-1, либо прицела</w:t>
      </w:r>
      <w:r w:rsidRPr="008127F8">
        <w:rPr>
          <w:rFonts w:ascii="Times New Roman" w:hAnsi="Times New Roman"/>
          <w:color w:val="000000" w:themeColor="text1"/>
          <w:sz w:val="16"/>
          <w:szCs w:val="16"/>
        </w:rPr>
        <w:softHyphen/>
        <w:t>ми ПБП для бомбометания с пикирования.</w:t>
      </w:r>
    </w:p>
    <w:p w14:paraId="3829849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тот же день состоялся и боевой вылет капитана Фомина, команди</w:t>
      </w:r>
      <w:r w:rsidRPr="008127F8">
        <w:rPr>
          <w:rFonts w:ascii="Times New Roman" w:hAnsi="Times New Roman"/>
          <w:color w:val="000000" w:themeColor="text1"/>
          <w:sz w:val="16"/>
          <w:szCs w:val="16"/>
        </w:rPr>
        <w:softHyphen/>
        <w:t>ра звена штурмовиков. Он «обработал» снарядами РБС-82 колонну тан</w:t>
      </w:r>
      <w:r w:rsidRPr="008127F8">
        <w:rPr>
          <w:rFonts w:ascii="Times New Roman" w:hAnsi="Times New Roman"/>
          <w:color w:val="000000" w:themeColor="text1"/>
          <w:sz w:val="16"/>
          <w:szCs w:val="16"/>
        </w:rPr>
        <w:softHyphen/>
        <w:t>ков и автомашин, отметив четыре попадания в танки и дым от возник</w:t>
      </w:r>
      <w:r w:rsidRPr="008127F8">
        <w:rPr>
          <w:rFonts w:ascii="Times New Roman" w:hAnsi="Times New Roman"/>
          <w:color w:val="000000" w:themeColor="text1"/>
          <w:sz w:val="16"/>
          <w:szCs w:val="16"/>
        </w:rPr>
        <w:softHyphen/>
        <w:t>ших в них пожаров. Капитан также рекомендовал перевооружить штур</w:t>
      </w:r>
      <w:r w:rsidRPr="008127F8">
        <w:rPr>
          <w:rFonts w:ascii="Times New Roman" w:hAnsi="Times New Roman"/>
          <w:color w:val="000000" w:themeColor="text1"/>
          <w:sz w:val="16"/>
          <w:szCs w:val="16"/>
        </w:rPr>
        <w:softHyphen/>
        <w:t>мовики снарядами калибра 132 мм, оставив 82-мм калибр истребителям. В обоих случаях снаряды на траектории вели себя устойчиво, а поведе</w:t>
      </w:r>
      <w:r w:rsidRPr="008127F8">
        <w:rPr>
          <w:rFonts w:ascii="Times New Roman" w:hAnsi="Times New Roman"/>
          <w:color w:val="000000" w:themeColor="text1"/>
          <w:sz w:val="16"/>
          <w:szCs w:val="16"/>
        </w:rPr>
        <w:softHyphen/>
        <w:t>ние самолета при взлете, пилотировании и стрельбе было нормальным. Огонь снарядами такого калибра (хоть и с мощными ракетными двигате</w:t>
      </w:r>
      <w:r w:rsidRPr="008127F8">
        <w:rPr>
          <w:rFonts w:ascii="Times New Roman" w:hAnsi="Times New Roman"/>
          <w:color w:val="000000" w:themeColor="text1"/>
          <w:sz w:val="16"/>
          <w:szCs w:val="16"/>
        </w:rPr>
        <w:softHyphen/>
        <w:t>лями) на самолет отрицательного влияния не оказывал, и отдачи пилот даже не ощущал.</w:t>
      </w:r>
    </w:p>
    <w:p w14:paraId="2BD0F4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Весь состав опергруппы также согласился с пилотами-штурмовика</w:t>
      </w:r>
      <w:r w:rsidRPr="008127F8">
        <w:rPr>
          <w:rFonts w:ascii="Times New Roman" w:hAnsi="Times New Roman"/>
          <w:color w:val="000000" w:themeColor="text1"/>
          <w:sz w:val="16"/>
          <w:szCs w:val="16"/>
        </w:rPr>
        <w:softHyphen/>
        <w:t>ми, что снаряды РБС-82 можно отнести к оружию истребительной авиа</w:t>
      </w:r>
      <w:r w:rsidRPr="008127F8">
        <w:rPr>
          <w:rFonts w:ascii="Times New Roman" w:hAnsi="Times New Roman"/>
          <w:color w:val="000000" w:themeColor="text1"/>
          <w:sz w:val="16"/>
          <w:szCs w:val="16"/>
        </w:rPr>
        <w:softHyphen/>
        <w:t>ции для борьбы с танками, бронемашинами и бронепоездами. Для этого целесообразно вооружать ими истребители МиГ-3, ЛаГГ-3 и Як-1, спо</w:t>
      </w:r>
      <w:r w:rsidRPr="008127F8">
        <w:rPr>
          <w:rFonts w:ascii="Times New Roman" w:hAnsi="Times New Roman"/>
          <w:color w:val="000000" w:themeColor="text1"/>
          <w:sz w:val="16"/>
          <w:szCs w:val="16"/>
        </w:rPr>
        <w:softHyphen/>
        <w:t>собные вести огонь на пикировании под углами не менее 60°, хотя не ис</w:t>
      </w:r>
      <w:r w:rsidRPr="008127F8">
        <w:rPr>
          <w:rFonts w:ascii="Times New Roman" w:hAnsi="Times New Roman"/>
          <w:color w:val="000000" w:themeColor="text1"/>
          <w:sz w:val="16"/>
          <w:szCs w:val="16"/>
        </w:rPr>
        <w:softHyphen/>
        <w:t>ключалось и применение их истребителями в ходе штурмовых действий на углах планирования до 15°.</w:t>
      </w:r>
    </w:p>
    <w:p w14:paraId="0A528C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Ракетные снаряды РБС-132 на штурмовиках Ил-2 подвешивали по четыре штуки. Боевой вылет старшего лейтенанта Баранова на такой ма</w:t>
      </w:r>
      <w:r w:rsidRPr="008127F8">
        <w:rPr>
          <w:rFonts w:ascii="Times New Roman" w:hAnsi="Times New Roman"/>
          <w:color w:val="000000" w:themeColor="text1"/>
          <w:sz w:val="16"/>
          <w:szCs w:val="16"/>
        </w:rPr>
        <w:softHyphen/>
        <w:t>шине состоялся 14 декабря 1941 г. Огонь по грузовикам и средним тан</w:t>
      </w:r>
      <w:r w:rsidRPr="008127F8">
        <w:rPr>
          <w:rFonts w:ascii="Times New Roman" w:hAnsi="Times New Roman"/>
          <w:color w:val="000000" w:themeColor="text1"/>
          <w:sz w:val="16"/>
          <w:szCs w:val="16"/>
        </w:rPr>
        <w:softHyphen/>
        <w:t>кам он вел сначала залпом парой снарядов, а затем одиночными выстре</w:t>
      </w:r>
      <w:r w:rsidRPr="008127F8">
        <w:rPr>
          <w:rFonts w:ascii="Times New Roman" w:hAnsi="Times New Roman"/>
          <w:color w:val="000000" w:themeColor="text1"/>
          <w:sz w:val="16"/>
          <w:szCs w:val="16"/>
        </w:rPr>
        <w:softHyphen/>
        <w:t xml:space="preserve">лами. Прямыми попаданиями были выведены из строя два танка и два автомобиля. Один из снарядов в самом центре прошил грузовик, </w:t>
      </w:r>
      <w:proofErr w:type="gramStart"/>
      <w:r w:rsidRPr="008127F8">
        <w:rPr>
          <w:rFonts w:ascii="Times New Roman" w:hAnsi="Times New Roman"/>
          <w:color w:val="000000" w:themeColor="text1"/>
          <w:sz w:val="16"/>
          <w:szCs w:val="16"/>
        </w:rPr>
        <w:t>крытый .тентом</w:t>
      </w:r>
      <w:proofErr w:type="gramEnd"/>
      <w:r w:rsidRPr="008127F8">
        <w:rPr>
          <w:rFonts w:ascii="Times New Roman" w:hAnsi="Times New Roman"/>
          <w:color w:val="000000" w:themeColor="text1"/>
          <w:sz w:val="16"/>
          <w:szCs w:val="16"/>
        </w:rPr>
        <w:t xml:space="preserve">, и взорвался в грунте под ним. Второй, по-видимому, попал </w:t>
      </w:r>
      <w:r w:rsidRPr="008127F8">
        <w:rPr>
          <w:rFonts w:ascii="Times New Roman" w:hAnsi="Times New Roman"/>
          <w:color w:val="000000" w:themeColor="text1"/>
          <w:sz w:val="16"/>
          <w:szCs w:val="16"/>
          <w:vertAlign w:val="superscript"/>
        </w:rPr>
        <w:t>в</w:t>
      </w:r>
      <w:r w:rsidRPr="008127F8">
        <w:rPr>
          <w:rFonts w:ascii="Times New Roman" w:hAnsi="Times New Roman"/>
          <w:color w:val="000000" w:themeColor="text1"/>
          <w:sz w:val="16"/>
          <w:szCs w:val="16"/>
        </w:rPr>
        <w:t xml:space="preserve"> бензобак соседнего грузовика, поскольку вызвал сильный взрыв и большой пожар. Остальные два снаряда угодили в танки, но характер Разрушений оценить не удалось, так как дистанция стрельбы была 500-"00 м с небольшим пикированием под углом 7-10° на скорости 330 км/ч.</w:t>
      </w:r>
    </w:p>
    <w:p w14:paraId="1BE81CB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проследить действие боеприпасов по цели, старший лейтенант настаивал на увеличении дистанции стрельбы, а боеприпасы такого ро</w:t>
      </w:r>
      <w:r w:rsidRPr="008127F8">
        <w:rPr>
          <w:rFonts w:ascii="Times New Roman" w:hAnsi="Times New Roman"/>
          <w:color w:val="000000" w:themeColor="text1"/>
          <w:sz w:val="16"/>
          <w:szCs w:val="16"/>
        </w:rPr>
        <w:softHyphen/>
        <w:t>да рекомендовал применять исключительно по бронецелям.</w:t>
      </w:r>
    </w:p>
    <w:p w14:paraId="32A1E06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капитана Заноздры 20 декабря 1941 г. прошел не менее успешно. Он также стрелял РБС-132 по скоплению техники (автомаши</w:t>
      </w:r>
      <w:r w:rsidRPr="008127F8">
        <w:rPr>
          <w:rFonts w:ascii="Times New Roman" w:hAnsi="Times New Roman"/>
          <w:color w:val="000000" w:themeColor="text1"/>
          <w:sz w:val="16"/>
          <w:szCs w:val="16"/>
        </w:rPr>
        <w:softHyphen/>
        <w:t>ны и 3-4 танка) на стоянке у расположенного особняком дома, но с дис</w:t>
      </w:r>
      <w:r w:rsidRPr="008127F8">
        <w:rPr>
          <w:rFonts w:ascii="Times New Roman" w:hAnsi="Times New Roman"/>
          <w:color w:val="000000" w:themeColor="text1"/>
          <w:sz w:val="16"/>
          <w:szCs w:val="16"/>
        </w:rPr>
        <w:softHyphen/>
        <w:t xml:space="preserve">танции 600-800 м с пологого пикирования под углом 10° со скоростью 350 км/ч. Рассмотреть результаты своей работы ему также не удалось. Вместе с ним в паре на задание вылетал и младший лейтенант Балашов. Цедь и режим пилотирования самолета у него не отличались от </w:t>
      </w:r>
      <w:proofErr w:type="gramStart"/>
      <w:r w:rsidRPr="008127F8">
        <w:rPr>
          <w:rFonts w:ascii="Times New Roman" w:hAnsi="Times New Roman"/>
          <w:color w:val="000000" w:themeColor="text1"/>
          <w:sz w:val="16"/>
          <w:szCs w:val="16"/>
        </w:rPr>
        <w:t>ведуще-го</w:t>
      </w:r>
      <w:proofErr w:type="gramEnd"/>
      <w:r w:rsidRPr="008127F8">
        <w:rPr>
          <w:rFonts w:ascii="Times New Roman" w:hAnsi="Times New Roman"/>
          <w:color w:val="000000" w:themeColor="text1"/>
          <w:sz w:val="16"/>
          <w:szCs w:val="16"/>
        </w:rPr>
        <w:t>. Пилот отмечал, что результат применения РБС-132 довольно эффек</w:t>
      </w:r>
      <w:r w:rsidRPr="008127F8">
        <w:rPr>
          <w:rFonts w:ascii="Times New Roman" w:hAnsi="Times New Roman"/>
          <w:color w:val="000000" w:themeColor="text1"/>
          <w:sz w:val="16"/>
          <w:szCs w:val="16"/>
        </w:rPr>
        <w:softHyphen/>
        <w:t>тен — снаряды имеют хорошие фугасное и проникающее действие, что оказывает сильное моральное воздействие на противника. Между тем применять их по автомашинам и обозам невыгодно. Наиболее опти</w:t>
      </w:r>
      <w:r w:rsidRPr="008127F8">
        <w:rPr>
          <w:rFonts w:ascii="Times New Roman" w:hAnsi="Times New Roman"/>
          <w:color w:val="000000" w:themeColor="text1"/>
          <w:sz w:val="16"/>
          <w:szCs w:val="16"/>
        </w:rPr>
        <w:softHyphen/>
        <w:t>мальные цели для РБС-132 — танки.</w:t>
      </w:r>
    </w:p>
    <w:p w14:paraId="072BE14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звена под командованием капитана Фомина штурмовики выполнили боевой вылет 24 декабря 1941 г. Стрельбу командир звена вел по танкам с дистанции 400-500 м в горизонтальном полете на высоте 15-20 м со скоростью 350 км/ч. Для более точного прицеливания пилоты звена давали очередь из пулеметов, и когда трасса ложилась на цель, да</w:t>
      </w:r>
      <w:r w:rsidRPr="008127F8">
        <w:rPr>
          <w:rFonts w:ascii="Times New Roman" w:hAnsi="Times New Roman"/>
          <w:color w:val="000000" w:themeColor="text1"/>
          <w:sz w:val="16"/>
          <w:szCs w:val="16"/>
        </w:rPr>
        <w:softHyphen/>
        <w:t>вали залп парами РБС-132. По докладу капитана, расстояние между их взрывами составляло всего 2-3 м. После этого в районе цели повалил гу</w:t>
      </w:r>
      <w:r w:rsidRPr="008127F8">
        <w:rPr>
          <w:rFonts w:ascii="Times New Roman" w:hAnsi="Times New Roman"/>
          <w:color w:val="000000" w:themeColor="text1"/>
          <w:sz w:val="16"/>
          <w:szCs w:val="16"/>
        </w:rPr>
        <w:softHyphen/>
        <w:t>стой черный дым, не позволивший рассмотреть, что осталось от танков. По мнению капитана, применять РБС с большим эффектом можно не только по бронетехнике, но и по прочным, а также заглубленным целям.</w:t>
      </w:r>
    </w:p>
    <w:p w14:paraId="396D80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же вылете вторую машину пилотировал лейтенант Уваров. По его отзывам, после попадания РБС-132 в дом, возле которого сто</w:t>
      </w:r>
      <w:r w:rsidRPr="008127F8">
        <w:rPr>
          <w:rFonts w:ascii="Times New Roman" w:hAnsi="Times New Roman"/>
          <w:color w:val="000000" w:themeColor="text1"/>
          <w:sz w:val="16"/>
          <w:szCs w:val="16"/>
        </w:rPr>
        <w:softHyphen/>
        <w:t>яли танки, последовал сильный взрыв. Строение полностью разлетелось, а место попадания окутал густой черный дым. Лейтенант отме</w:t>
      </w:r>
      <w:r w:rsidRPr="008127F8">
        <w:rPr>
          <w:rFonts w:ascii="Times New Roman" w:hAnsi="Times New Roman"/>
          <w:color w:val="000000" w:themeColor="text1"/>
          <w:sz w:val="16"/>
          <w:szCs w:val="16"/>
        </w:rPr>
        <w:softHyphen/>
        <w:t>чал, что действие снарядов РБС-132 намного сильнее, чем у РОС-132, не говоря уже о РОС-82... Второй вылет лейтенанта на боевое приме</w:t>
      </w:r>
      <w:r w:rsidRPr="008127F8">
        <w:rPr>
          <w:rFonts w:ascii="Times New Roman" w:hAnsi="Times New Roman"/>
          <w:color w:val="000000" w:themeColor="text1"/>
          <w:sz w:val="16"/>
          <w:szCs w:val="16"/>
        </w:rPr>
        <w:softHyphen/>
        <w:t>нение РБС-132 состоялся 12 января 1941 г. В ходе «свободной охоты» он атаковал скопление автотехники в населенном пункте, расстрели</w:t>
      </w:r>
      <w:r w:rsidRPr="008127F8">
        <w:rPr>
          <w:rFonts w:ascii="Times New Roman" w:hAnsi="Times New Roman"/>
          <w:color w:val="000000" w:themeColor="text1"/>
          <w:sz w:val="16"/>
          <w:szCs w:val="16"/>
        </w:rPr>
        <w:softHyphen/>
        <w:t>вая машины одиночными выстрелами с дистанции 500-600 м на поло</w:t>
      </w:r>
      <w:r w:rsidRPr="008127F8">
        <w:rPr>
          <w:rFonts w:ascii="Times New Roman" w:hAnsi="Times New Roman"/>
          <w:color w:val="000000" w:themeColor="text1"/>
          <w:sz w:val="16"/>
          <w:szCs w:val="16"/>
        </w:rPr>
        <w:softHyphen/>
        <w:t>гом пикировании под углом 2-3° со скоростью 300-350 км/ч. При по</w:t>
      </w:r>
      <w:r w:rsidRPr="008127F8">
        <w:rPr>
          <w:rFonts w:ascii="Times New Roman" w:hAnsi="Times New Roman"/>
          <w:color w:val="000000" w:themeColor="text1"/>
          <w:sz w:val="16"/>
          <w:szCs w:val="16"/>
        </w:rPr>
        <w:softHyphen/>
        <w:t>падании снарядов в цель сильные взрывы сопровождались густыми клубами черного дыма. «С такими снарядами приятно летать и наблю</w:t>
      </w:r>
      <w:r w:rsidRPr="008127F8">
        <w:rPr>
          <w:rFonts w:ascii="Times New Roman" w:hAnsi="Times New Roman"/>
          <w:color w:val="000000" w:themeColor="text1"/>
          <w:sz w:val="16"/>
          <w:szCs w:val="16"/>
        </w:rPr>
        <w:softHyphen/>
        <w:t xml:space="preserve">дать свою </w:t>
      </w:r>
      <w:proofErr w:type="gramStart"/>
      <w:r w:rsidRPr="008127F8">
        <w:rPr>
          <w:rFonts w:ascii="Times New Roman" w:hAnsi="Times New Roman"/>
          <w:color w:val="000000" w:themeColor="text1"/>
          <w:sz w:val="16"/>
          <w:szCs w:val="16"/>
        </w:rPr>
        <w:t>работу»...</w:t>
      </w:r>
      <w:proofErr w:type="gramEnd"/>
    </w:p>
    <w:p w14:paraId="38D98C6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Третьим пилотом в звене капитана Фомина 24 декабря 1941 г. был старшина Сидоренко. Результат своих двух залпов по колонне автобро-нетехники он удачными не признал: «Снаряды ложились в 1-2 метрах Друг от друга. Прямых попаданий заметить не удалось, но движение ко</w:t>
      </w:r>
      <w:r w:rsidRPr="008127F8">
        <w:rPr>
          <w:rFonts w:ascii="Times New Roman" w:hAnsi="Times New Roman"/>
          <w:color w:val="000000" w:themeColor="text1"/>
          <w:sz w:val="16"/>
          <w:szCs w:val="16"/>
        </w:rPr>
        <w:softHyphen/>
        <w:t>лонны приостановилось». Он также заявил, что снаряды РБС-132 гораз</w:t>
      </w:r>
      <w:r w:rsidRPr="008127F8">
        <w:rPr>
          <w:rFonts w:ascii="Times New Roman" w:hAnsi="Times New Roman"/>
          <w:color w:val="000000" w:themeColor="text1"/>
          <w:sz w:val="16"/>
          <w:szCs w:val="16"/>
        </w:rPr>
        <w:softHyphen/>
        <w:t>до более эффективны, нежели РОС-132, поскольку «дают более мощный огонь и разрушения».</w:t>
      </w:r>
    </w:p>
    <w:p w14:paraId="0CECA6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 47-й дивизии были едины во мнении, что на взлете самолет Ил-2, вооруженный снарядами РБС-132, довольно устойчив, хотя незна-. чительно возросла дистанция разбега из-за увеличения взлетной массы Машины и ее лобового сопротивления. На технику пилотирования новое оружие влияло незначительно, самолет сохранил устойчивость и хоро-Ч^ю управляемость. В горизонтальном полете Ил-2 из-за несуществен</w:t>
      </w:r>
      <w:r w:rsidRPr="008127F8">
        <w:rPr>
          <w:rFonts w:ascii="Times New Roman" w:hAnsi="Times New Roman"/>
          <w:color w:val="000000" w:themeColor="text1"/>
          <w:sz w:val="16"/>
          <w:szCs w:val="16"/>
        </w:rPr>
        <w:softHyphen/>
        <w:t>ного нарушения продольной устойчивости приобретал тенденцию к пикированию, что, впрочем, без труда парировали ручкой управления. В ходе стрельбы ощущалась небольшая отдача.</w:t>
      </w:r>
    </w:p>
    <w:p w14:paraId="6DB1281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ракетные снаряды РБС-132 признали мощным оружием для борьбы с бронированными целями как в горизонтальном полете, так и на пикировании с самолетов-штурмовиков и бомбардировщиков. К типовым целям летчики отнесли тяжелые танки, бронепоезда, батареи береговой обороны, морские и речные суда с палубным и бортовым бро</w:t>
      </w:r>
      <w:r w:rsidRPr="008127F8">
        <w:rPr>
          <w:rFonts w:ascii="Times New Roman" w:hAnsi="Times New Roman"/>
          <w:color w:val="000000" w:themeColor="text1"/>
          <w:sz w:val="16"/>
          <w:szCs w:val="16"/>
        </w:rPr>
        <w:softHyphen/>
        <w:t>нированием толщиной до 75 мм, а также полевые бетонированные со</w:t>
      </w:r>
      <w:r w:rsidRPr="008127F8">
        <w:rPr>
          <w:rFonts w:ascii="Times New Roman" w:hAnsi="Times New Roman"/>
          <w:color w:val="000000" w:themeColor="text1"/>
          <w:sz w:val="16"/>
          <w:szCs w:val="16"/>
        </w:rPr>
        <w:softHyphen/>
        <w:t>оружения и «каменные строения гражданского типа».</w:t>
      </w:r>
    </w:p>
    <w:p w14:paraId="405B658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Но пожалуй</w:t>
      </w:r>
      <w:proofErr w:type="gramEnd"/>
      <w:r w:rsidRPr="008127F8">
        <w:rPr>
          <w:rFonts w:ascii="Times New Roman" w:hAnsi="Times New Roman"/>
          <w:color w:val="000000" w:themeColor="text1"/>
          <w:sz w:val="16"/>
          <w:szCs w:val="16"/>
        </w:rPr>
        <w:t>, наибольшее восхищение у пилотов вызвали ракетно-ос-колочно-фугасные снаряды РОФС-132, которые также размещали на штурмовиках по четыре штуки. Впрочем, на некоторых машинах для эксперимента установили по восемь ракетных орудий РО-132.</w:t>
      </w:r>
    </w:p>
    <w:p w14:paraId="0D52B3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Заноздра в боевом вылете 9 января 1942 г. атаковал четыре танка с дистанции 600 м на пологом пикировании под углом 5-6° со ско</w:t>
      </w:r>
      <w:r w:rsidRPr="008127F8">
        <w:rPr>
          <w:rFonts w:ascii="Times New Roman" w:hAnsi="Times New Roman"/>
          <w:color w:val="000000" w:themeColor="text1"/>
          <w:sz w:val="16"/>
          <w:szCs w:val="16"/>
        </w:rPr>
        <w:softHyphen/>
        <w:t>ростью 370 км/ч. Разрывы снарядов взметнулись в районе цели в радиу</w:t>
      </w:r>
      <w:r w:rsidRPr="008127F8">
        <w:rPr>
          <w:rFonts w:ascii="Times New Roman" w:hAnsi="Times New Roman"/>
          <w:color w:val="000000" w:themeColor="text1"/>
          <w:sz w:val="16"/>
          <w:szCs w:val="16"/>
        </w:rPr>
        <w:softHyphen/>
        <w:t>се 50 м. Обтекаемая фраза «характер поражения заметить не удалось» и в этот раз, похоже, свидетельствовала о большой скорости носителя и малой боеприпаса. Младшему лейтенанту Балашову в этом вылете по</w:t>
      </w:r>
      <w:r w:rsidRPr="008127F8">
        <w:rPr>
          <w:rFonts w:ascii="Times New Roman" w:hAnsi="Times New Roman"/>
          <w:color w:val="000000" w:themeColor="text1"/>
          <w:sz w:val="16"/>
          <w:szCs w:val="16"/>
        </w:rPr>
        <w:softHyphen/>
        <w:t>везло больше. Он отстрелялся по колонне автомашин и гужевых повозок с дистанции 700 м на пикировании под углом 3-5° со скоростью 350 км/ч. Его попадание вызвало большой взрыв, уничтоживший весь транспорт в колонне на протяжении 50 м. Обломки автомобилей взлетали на высо</w:t>
      </w:r>
      <w:r w:rsidRPr="008127F8">
        <w:rPr>
          <w:rFonts w:ascii="Times New Roman" w:hAnsi="Times New Roman"/>
          <w:color w:val="000000" w:themeColor="text1"/>
          <w:sz w:val="16"/>
          <w:szCs w:val="16"/>
        </w:rPr>
        <w:softHyphen/>
        <w:t>ту до 70 м.</w:t>
      </w:r>
    </w:p>
    <w:p w14:paraId="38A9E15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тот же день состоялся и боевой вылет командира звена старшего лейтенанта Баранова. С юго-восточного направления он атаковшт желез</w:t>
      </w:r>
      <w:r w:rsidRPr="008127F8">
        <w:rPr>
          <w:rFonts w:ascii="Times New Roman" w:hAnsi="Times New Roman"/>
          <w:color w:val="000000" w:themeColor="text1"/>
          <w:sz w:val="16"/>
          <w:szCs w:val="16"/>
        </w:rPr>
        <w:softHyphen/>
        <w:t>нодорожный состав, находившийся на станции под погрузкой. Первый залп из двух снарядов с дистанции 1000 м пришелся по погрузочной пло</w:t>
      </w:r>
      <w:r w:rsidRPr="008127F8">
        <w:rPr>
          <w:rFonts w:ascii="Times New Roman" w:hAnsi="Times New Roman"/>
          <w:color w:val="000000" w:themeColor="text1"/>
          <w:sz w:val="16"/>
          <w:szCs w:val="16"/>
        </w:rPr>
        <w:softHyphen/>
        <w:t>щадке, где скопилось большое количество танков и автомашин. Осталь</w:t>
      </w:r>
      <w:r w:rsidRPr="008127F8">
        <w:rPr>
          <w:rFonts w:ascii="Times New Roman" w:hAnsi="Times New Roman"/>
          <w:color w:val="000000" w:themeColor="text1"/>
          <w:sz w:val="16"/>
          <w:szCs w:val="16"/>
        </w:rPr>
        <w:softHyphen/>
        <w:t>ные пять снарядов летчик выпустил по вагонам, отметив прямые попа</w:t>
      </w:r>
      <w:r w:rsidRPr="008127F8">
        <w:rPr>
          <w:rFonts w:ascii="Times New Roman" w:hAnsi="Times New Roman"/>
          <w:color w:val="000000" w:themeColor="text1"/>
          <w:sz w:val="16"/>
          <w:szCs w:val="16"/>
        </w:rPr>
        <w:softHyphen/>
        <w:t>дания в цель. «Вагоны разлетались в щепки, а в двух из них произошел сильный взрыв, сопровождавшийся облаком дыма». Всего уничтожено восемь вагонов.</w:t>
      </w:r>
    </w:p>
    <w:p w14:paraId="683788D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вылета на «свободную охоту» 11 января 1942 г. младший лейте</w:t>
      </w:r>
      <w:r w:rsidRPr="008127F8">
        <w:rPr>
          <w:rFonts w:ascii="Times New Roman" w:hAnsi="Times New Roman"/>
          <w:color w:val="000000" w:themeColor="text1"/>
          <w:sz w:val="16"/>
          <w:szCs w:val="16"/>
        </w:rPr>
        <w:softHyphen/>
        <w:t>нант Балашов обнаружил в одном из населенных пунктов скопление ав</w:t>
      </w:r>
      <w:r w:rsidRPr="008127F8">
        <w:rPr>
          <w:rFonts w:ascii="Times New Roman" w:hAnsi="Times New Roman"/>
          <w:color w:val="000000" w:themeColor="text1"/>
          <w:sz w:val="16"/>
          <w:szCs w:val="16"/>
        </w:rPr>
        <w:softHyphen/>
        <w:t>томашин и живой силы противника. То, что пилот атаковал их с дистан</w:t>
      </w:r>
      <w:r w:rsidRPr="008127F8">
        <w:rPr>
          <w:rFonts w:ascii="Times New Roman" w:hAnsi="Times New Roman"/>
          <w:color w:val="000000" w:themeColor="text1"/>
          <w:sz w:val="16"/>
          <w:szCs w:val="16"/>
        </w:rPr>
        <w:softHyphen/>
        <w:t>ции 700 м, во многом спасло ему жизнь — силой взрыва крупные части автомашин и бронетранспортеров подбросило выше самолета, но летчик успел отвернуть в сторону. Залп ракетных снарядов пришелся как раз по центру площади, на которой немцы прогревали двигатели своих автома</w:t>
      </w:r>
      <w:r w:rsidRPr="008127F8">
        <w:rPr>
          <w:rFonts w:ascii="Times New Roman" w:hAnsi="Times New Roman"/>
          <w:color w:val="000000" w:themeColor="text1"/>
          <w:sz w:val="16"/>
          <w:szCs w:val="16"/>
        </w:rPr>
        <w:softHyphen/>
        <w:t>шин. В результате ракетного удара находившийся поблизости дом час</w:t>
      </w:r>
      <w:r w:rsidRPr="008127F8">
        <w:rPr>
          <w:rFonts w:ascii="Times New Roman" w:hAnsi="Times New Roman"/>
          <w:color w:val="000000" w:themeColor="text1"/>
          <w:sz w:val="16"/>
          <w:szCs w:val="16"/>
        </w:rPr>
        <w:softHyphen/>
        <w:t>тично разрушился и загорелся.</w:t>
      </w:r>
    </w:p>
    <w:p w14:paraId="358AB5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1941 г. капитан Фомин повел в бой два звена штурмовиков. Идя на высоте 15-20 м, с дистанции 450-500 м на скорости 350 км/ч ата</w:t>
      </w:r>
      <w:r w:rsidRPr="008127F8">
        <w:rPr>
          <w:rFonts w:ascii="Times New Roman" w:hAnsi="Times New Roman"/>
          <w:color w:val="000000" w:themeColor="text1"/>
          <w:sz w:val="16"/>
          <w:szCs w:val="16"/>
        </w:rPr>
        <w:softHyphen/>
        <w:t>ковали населенный пункт, занятый противником. На местах падения РОФС возникали сильные взрывы и черный дым. Впереди его самолета "всего в 200 м от одной из автомашин, по-видимому загруженной боепри</w:t>
      </w:r>
      <w:r w:rsidRPr="008127F8">
        <w:rPr>
          <w:rFonts w:ascii="Times New Roman" w:hAnsi="Times New Roman"/>
          <w:color w:val="000000" w:themeColor="text1"/>
          <w:sz w:val="16"/>
          <w:szCs w:val="16"/>
        </w:rPr>
        <w:softHyphen/>
        <w:t>пасами, оторванное колесо взмыло вверх на высоту 80 м. Пришлось срочно с большим креном уходить в сторону. В тот день капитан позави</w:t>
      </w:r>
      <w:r w:rsidRPr="008127F8">
        <w:rPr>
          <w:rFonts w:ascii="Times New Roman" w:hAnsi="Times New Roman"/>
          <w:color w:val="000000" w:themeColor="text1"/>
          <w:sz w:val="16"/>
          <w:szCs w:val="16"/>
        </w:rPr>
        <w:softHyphen/>
        <w:t>довал тем пилотам, у кого самолеты были вооружены восемью РОФС-ами или фугасными авиабомбами. Сам он отстрелялся быстро, и барра</w:t>
      </w:r>
      <w:r w:rsidRPr="008127F8">
        <w:rPr>
          <w:rFonts w:ascii="Times New Roman" w:hAnsi="Times New Roman"/>
          <w:color w:val="000000" w:themeColor="text1"/>
          <w:sz w:val="16"/>
          <w:szCs w:val="16"/>
        </w:rPr>
        <w:softHyphen/>
        <w:t>жировал выше, ожидая окончания «работы» остальных для сбора в груп-</w:t>
      </w:r>
      <w:r w:rsidRPr="008127F8">
        <w:rPr>
          <w:rFonts w:ascii="Times New Roman" w:hAnsi="Times New Roman"/>
          <w:color w:val="000000" w:themeColor="text1"/>
          <w:sz w:val="16"/>
          <w:szCs w:val="16"/>
          <w:vertAlign w:val="superscript"/>
        </w:rPr>
        <w:t>П</w:t>
      </w:r>
      <w:r w:rsidRPr="008127F8">
        <w:rPr>
          <w:rFonts w:ascii="Times New Roman" w:hAnsi="Times New Roman"/>
          <w:color w:val="000000" w:themeColor="text1"/>
          <w:sz w:val="16"/>
          <w:szCs w:val="16"/>
        </w:rPr>
        <w:t>У. И только сейчас Фомин обнаружил еще несколько целей, стоящих за</w:t>
      </w:r>
      <w:r w:rsidRPr="008127F8">
        <w:rPr>
          <w:rFonts w:ascii="Times New Roman" w:hAnsi="Times New Roman"/>
          <w:color w:val="000000" w:themeColor="text1"/>
          <w:sz w:val="16"/>
          <w:szCs w:val="16"/>
        </w:rPr>
        <w:softHyphen/>
        <w:t>маскированными возле домов, о чем сообщил по рации младшему лей</w:t>
      </w:r>
      <w:r w:rsidRPr="008127F8">
        <w:rPr>
          <w:rFonts w:ascii="Times New Roman" w:hAnsi="Times New Roman"/>
          <w:color w:val="000000" w:themeColor="text1"/>
          <w:sz w:val="16"/>
          <w:szCs w:val="16"/>
        </w:rPr>
        <w:softHyphen/>
        <w:t>тенанту Балашову.</w:t>
      </w:r>
    </w:p>
    <w:p w14:paraId="2571C9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налет, немцы неохотно покидали теплые помещения, Надеясь на минимальный ущерб от пулеметного огня советских самоле</w:t>
      </w:r>
      <w:r w:rsidRPr="008127F8">
        <w:rPr>
          <w:rFonts w:ascii="Times New Roman" w:hAnsi="Times New Roman"/>
          <w:color w:val="000000" w:themeColor="text1"/>
          <w:sz w:val="16"/>
          <w:szCs w:val="16"/>
        </w:rPr>
        <w:softHyphen/>
        <w:t>тов, в этот раз им явно не повезло — в результате прямых попаданий РОФС-132, выпущенных младшим лейтенантом Балашовым, старшим лейтенантом Барановым и младшим лейтенантом Бушуевым, здания просто разлетались в щепки, погребая под обломками всех укрывшихся в их стенах. Столбы дыма и пыли поднимались вверх на 30 м над теми местами, где только что стояли дома.</w:t>
      </w:r>
    </w:p>
    <w:p w14:paraId="194142D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подходе к населенному пункту старший лейтенант Баранов (его Ил-2 был вооружен 8 снарядами РОФС-132) атаковал колонну гужевого транспорта численностью до 35 подвод. Два снаряда попали в середину колонны, перевозившей боеприпасы. «Произошел сильный взрыв, и в воздух взлетели обломки повозок, куски лошадей и людей». Опасаясь повреждения самолета, пилот резко «взял горку», </w:t>
      </w:r>
      <w:proofErr w:type="gramStart"/>
      <w:r w:rsidRPr="008127F8">
        <w:rPr>
          <w:rFonts w:ascii="Times New Roman" w:hAnsi="Times New Roman"/>
          <w:color w:val="000000" w:themeColor="text1"/>
          <w:sz w:val="16"/>
          <w:szCs w:val="16"/>
        </w:rPr>
        <w:t>впрочем</w:t>
      </w:r>
      <w:proofErr w:type="gramEnd"/>
      <w:r w:rsidRPr="008127F8">
        <w:rPr>
          <w:rFonts w:ascii="Times New Roman" w:hAnsi="Times New Roman"/>
          <w:color w:val="000000" w:themeColor="text1"/>
          <w:sz w:val="16"/>
          <w:szCs w:val="16"/>
        </w:rPr>
        <w:t xml:space="preserve"> успев рассмо</w:t>
      </w:r>
      <w:r w:rsidRPr="008127F8">
        <w:rPr>
          <w:rFonts w:ascii="Times New Roman" w:hAnsi="Times New Roman"/>
          <w:color w:val="000000" w:themeColor="text1"/>
          <w:sz w:val="16"/>
          <w:szCs w:val="16"/>
        </w:rPr>
        <w:softHyphen/>
        <w:t>треть, что уничтожено около 15 подвод с прислугой. Вторым залпом пи</w:t>
      </w:r>
      <w:r w:rsidRPr="008127F8">
        <w:rPr>
          <w:rFonts w:ascii="Times New Roman" w:hAnsi="Times New Roman"/>
          <w:color w:val="000000" w:themeColor="text1"/>
          <w:sz w:val="16"/>
          <w:szCs w:val="16"/>
        </w:rPr>
        <w:softHyphen/>
        <w:t>лот уничтожил большое здание, где приютилось множество солдат про</w:t>
      </w:r>
      <w:r w:rsidRPr="008127F8">
        <w:rPr>
          <w:rFonts w:ascii="Times New Roman" w:hAnsi="Times New Roman"/>
          <w:color w:val="000000" w:themeColor="text1"/>
          <w:sz w:val="16"/>
          <w:szCs w:val="16"/>
        </w:rPr>
        <w:softHyphen/>
        <w:t>тивника. Обломки сооружения взлетели в воздух на высоту 50 м. Осталь</w:t>
      </w:r>
      <w:r w:rsidRPr="008127F8">
        <w:rPr>
          <w:rFonts w:ascii="Times New Roman" w:hAnsi="Times New Roman"/>
          <w:color w:val="000000" w:themeColor="text1"/>
          <w:sz w:val="16"/>
          <w:szCs w:val="16"/>
        </w:rPr>
        <w:softHyphen/>
        <w:t>ной боезапас он не менее успешно израсходовал по автомашинам.</w:t>
      </w:r>
    </w:p>
    <w:p w14:paraId="77ACD46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младшего лейтенанта Бушуева это был первый вылет на боевое применение снарядов РОФС-132. С учетом мощных взрывов при попа</w:t>
      </w:r>
      <w:r w:rsidRPr="008127F8">
        <w:rPr>
          <w:rFonts w:ascii="Times New Roman" w:hAnsi="Times New Roman"/>
          <w:color w:val="000000" w:themeColor="text1"/>
          <w:sz w:val="16"/>
          <w:szCs w:val="16"/>
        </w:rPr>
        <w:softHyphen/>
        <w:t>дании в цель другими пилотами, летчик, располагая боезапасом в четы</w:t>
      </w:r>
      <w:r w:rsidRPr="008127F8">
        <w:rPr>
          <w:rFonts w:ascii="Times New Roman" w:hAnsi="Times New Roman"/>
          <w:color w:val="000000" w:themeColor="text1"/>
          <w:sz w:val="16"/>
          <w:szCs w:val="16"/>
        </w:rPr>
        <w:softHyphen/>
        <w:t>ре снаряда, открывал огонь на дистанции 700 м с высоты 80-100м. Огонь вел одиночными выстрелами. «Сила взрыва РОФС-132 в несколько раз больше, чем у РС-82 и РС-132. Для меня взрыв такой силы оказался не</w:t>
      </w:r>
      <w:r w:rsidRPr="008127F8">
        <w:rPr>
          <w:rFonts w:ascii="Times New Roman" w:hAnsi="Times New Roman"/>
          <w:color w:val="000000" w:themeColor="text1"/>
          <w:sz w:val="16"/>
          <w:szCs w:val="16"/>
        </w:rPr>
        <w:softHyphen/>
        <w:t>ожиданным. Необходимо ускорить вооружение самолета Ил-2 этими снарядами».</w:t>
      </w:r>
    </w:p>
    <w:p w14:paraId="3C5CEE5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на «свободную охоту» лейтенанта Короткова и старши</w:t>
      </w:r>
      <w:r w:rsidRPr="008127F8">
        <w:rPr>
          <w:rFonts w:ascii="Times New Roman" w:hAnsi="Times New Roman"/>
          <w:color w:val="000000" w:themeColor="text1"/>
          <w:sz w:val="16"/>
          <w:szCs w:val="16"/>
        </w:rPr>
        <w:softHyphen/>
        <w:t>ны Позднякова состоялся 13 января 1942 г. Обнаружив населенный пункт, занятый противником, ведущий атаковал его с дистанции 1000-1500 м на пикировании под углом 10-15° со скоростью 380 км/ч. Старши</w:t>
      </w:r>
      <w:r w:rsidRPr="008127F8">
        <w:rPr>
          <w:rFonts w:ascii="Times New Roman" w:hAnsi="Times New Roman"/>
          <w:color w:val="000000" w:themeColor="text1"/>
          <w:sz w:val="16"/>
          <w:szCs w:val="16"/>
        </w:rPr>
        <w:softHyphen/>
        <w:t>на Поздняков открывал огонь значительно ближе — на дистанции 600-800 м, плавно снижаясь под углом 3-5° со скоростью 350-370 км/ч. Оба пилота отмечали, что РОФС — незаменимое оружие на самолете Ил-2, -«при попадании в деревянный дом, тот немедленно разрушается и загорается, а автомашины превраща</w:t>
      </w:r>
      <w:r w:rsidRPr="008127F8">
        <w:rPr>
          <w:rFonts w:ascii="Times New Roman" w:hAnsi="Times New Roman"/>
          <w:color w:val="000000" w:themeColor="text1"/>
          <w:sz w:val="16"/>
          <w:szCs w:val="16"/>
        </w:rPr>
        <w:softHyphen/>
        <w:t>ется в груду обломков, взлетаю</w:t>
      </w:r>
      <w:r w:rsidRPr="008127F8">
        <w:rPr>
          <w:rFonts w:ascii="Times New Roman" w:hAnsi="Times New Roman"/>
          <w:color w:val="000000" w:themeColor="text1"/>
          <w:sz w:val="16"/>
          <w:szCs w:val="16"/>
        </w:rPr>
        <w:softHyphen/>
        <w:t>щих выше самолета».</w:t>
      </w:r>
    </w:p>
    <w:p w14:paraId="542FB28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Вооруженные четырьмя снаря</w:t>
      </w:r>
      <w:r w:rsidRPr="008127F8">
        <w:rPr>
          <w:rFonts w:ascii="Times New Roman" w:hAnsi="Times New Roman"/>
          <w:color w:val="000000" w:themeColor="text1"/>
          <w:sz w:val="16"/>
          <w:szCs w:val="16"/>
        </w:rPr>
        <w:softHyphen/>
        <w:t>дами РОФС-132, штурмовики Ил-2, по отзывам летчиков, на взлете и в воздухе устойчивы. В варианте с 8 снарядами самолет требует незначительного увеличе</w:t>
      </w:r>
      <w:r w:rsidRPr="008127F8">
        <w:rPr>
          <w:rFonts w:ascii="Times New Roman" w:hAnsi="Times New Roman"/>
          <w:color w:val="000000" w:themeColor="text1"/>
          <w:sz w:val="16"/>
          <w:szCs w:val="16"/>
        </w:rPr>
        <w:softHyphen/>
        <w:t>ния длины разбега, приобретает тенденцию «потягивания за нос», что вынуждает для страховки взле</w:t>
      </w:r>
      <w:r w:rsidRPr="008127F8">
        <w:rPr>
          <w:rFonts w:ascii="Times New Roman" w:hAnsi="Times New Roman"/>
          <w:color w:val="000000" w:themeColor="text1"/>
          <w:sz w:val="16"/>
          <w:szCs w:val="16"/>
        </w:rPr>
        <w:softHyphen/>
        <w:t>тать с неполностью поднятым хво</w:t>
      </w:r>
      <w:r w:rsidRPr="008127F8">
        <w:rPr>
          <w:rFonts w:ascii="Times New Roman" w:hAnsi="Times New Roman"/>
          <w:color w:val="000000" w:themeColor="text1"/>
          <w:sz w:val="16"/>
          <w:szCs w:val="16"/>
        </w:rPr>
        <w:softHyphen/>
        <w:t>стом. Пилотировать их несколько тяжелее, чем с РС-132, хотя это ощущение быстро проходит.</w:t>
      </w:r>
    </w:p>
    <w:p w14:paraId="44DFDC3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отсутствие стрелкового при</w:t>
      </w:r>
      <w:r w:rsidRPr="008127F8">
        <w:rPr>
          <w:rFonts w:ascii="Times New Roman" w:hAnsi="Times New Roman"/>
          <w:color w:val="000000" w:themeColor="text1"/>
          <w:sz w:val="16"/>
          <w:szCs w:val="16"/>
        </w:rPr>
        <w:softHyphen/>
        <w:t>цела, наводить машину на цель приходилось либо «по втулке вин</w:t>
      </w:r>
      <w:r w:rsidRPr="008127F8">
        <w:rPr>
          <w:rFonts w:ascii="Times New Roman" w:hAnsi="Times New Roman"/>
          <w:color w:val="000000" w:themeColor="text1"/>
          <w:sz w:val="16"/>
          <w:szCs w:val="16"/>
        </w:rPr>
        <w:softHyphen/>
        <w:t>та», начиная «накладывать ее на центр цели» с дистанции 1000-1200 м, а затем, приближаясь на 700 м, нажимать боевую кнопку, либо ис</w:t>
      </w:r>
      <w:r w:rsidRPr="008127F8">
        <w:rPr>
          <w:rFonts w:ascii="Times New Roman" w:hAnsi="Times New Roman"/>
          <w:color w:val="000000" w:themeColor="text1"/>
          <w:sz w:val="16"/>
          <w:szCs w:val="16"/>
        </w:rPr>
        <w:softHyphen/>
        <w:t>пользовать пристрелочный огонь из пулеметов трассирующими пу</w:t>
      </w:r>
      <w:r w:rsidRPr="008127F8">
        <w:rPr>
          <w:rFonts w:ascii="Times New Roman" w:hAnsi="Times New Roman"/>
          <w:color w:val="000000" w:themeColor="text1"/>
          <w:sz w:val="16"/>
          <w:szCs w:val="16"/>
        </w:rPr>
        <w:softHyphen/>
        <w:t>лями. При выстреле РОФС-132 са</w:t>
      </w:r>
      <w:r w:rsidRPr="008127F8">
        <w:rPr>
          <w:rFonts w:ascii="Times New Roman" w:hAnsi="Times New Roman"/>
          <w:color w:val="000000" w:themeColor="text1"/>
          <w:sz w:val="16"/>
          <w:szCs w:val="16"/>
        </w:rPr>
        <w:softHyphen/>
        <w:t>молет слегка вздрагивал, но в об</w:t>
      </w:r>
      <w:r w:rsidRPr="008127F8">
        <w:rPr>
          <w:rFonts w:ascii="Times New Roman" w:hAnsi="Times New Roman"/>
          <w:color w:val="000000" w:themeColor="text1"/>
          <w:sz w:val="16"/>
          <w:szCs w:val="16"/>
        </w:rPr>
        <w:softHyphen/>
        <w:t>щем, вел себя устойчиво. Однако стрельба с малых дистанций могла повредить свою машину. Приме</w:t>
      </w:r>
      <w:r w:rsidRPr="008127F8">
        <w:rPr>
          <w:rFonts w:ascii="Times New Roman" w:hAnsi="Times New Roman"/>
          <w:color w:val="000000" w:themeColor="text1"/>
          <w:sz w:val="16"/>
          <w:szCs w:val="16"/>
        </w:rPr>
        <w:softHyphen/>
        <w:t>нение такого оружия впечатляло пилотов как своей разрушитель</w:t>
      </w:r>
      <w:r w:rsidRPr="008127F8">
        <w:rPr>
          <w:rFonts w:ascii="Times New Roman" w:hAnsi="Times New Roman"/>
          <w:color w:val="000000" w:themeColor="text1"/>
          <w:sz w:val="16"/>
          <w:szCs w:val="16"/>
        </w:rPr>
        <w:softHyphen/>
        <w:t xml:space="preserve">ной силой, так и деморализующим воздействием на противника. Вот лишь некоторые из их отзывов и пожеланий: «...имея </w:t>
      </w:r>
      <w:r w:rsidRPr="008127F8">
        <w:rPr>
          <w:rFonts w:ascii="Times New Roman" w:hAnsi="Times New Roman"/>
          <w:color w:val="000000" w:themeColor="text1"/>
          <w:sz w:val="16"/>
          <w:szCs w:val="16"/>
        </w:rPr>
        <w:lastRenderedPageBreak/>
        <w:t>такой сна-</w:t>
      </w:r>
      <w:r w:rsidRPr="008127F8">
        <w:rPr>
          <w:rFonts w:ascii="Times New Roman" w:hAnsi="Times New Roman"/>
          <w:smallCaps/>
          <w:color w:val="000000" w:themeColor="text1"/>
          <w:sz w:val="16"/>
          <w:szCs w:val="16"/>
        </w:rPr>
        <w:t xml:space="preserve">ряд </w:t>
      </w:r>
      <w:r w:rsidRPr="008127F8">
        <w:rPr>
          <w:rFonts w:ascii="Times New Roman" w:hAnsi="Times New Roman"/>
          <w:color w:val="000000" w:themeColor="text1"/>
          <w:sz w:val="16"/>
          <w:szCs w:val="16"/>
        </w:rPr>
        <w:t>на Ил-2, нет никакой необхо</w:t>
      </w:r>
      <w:r w:rsidRPr="008127F8">
        <w:rPr>
          <w:rFonts w:ascii="Times New Roman" w:hAnsi="Times New Roman"/>
          <w:color w:val="000000" w:themeColor="text1"/>
          <w:sz w:val="16"/>
          <w:szCs w:val="16"/>
        </w:rPr>
        <w:softHyphen/>
        <w:t>димости применять РС меньшего калибра, эффект которых незна</w:t>
      </w:r>
      <w:r w:rsidRPr="008127F8">
        <w:rPr>
          <w:rFonts w:ascii="Times New Roman" w:hAnsi="Times New Roman"/>
          <w:color w:val="000000" w:themeColor="text1"/>
          <w:sz w:val="16"/>
          <w:szCs w:val="16"/>
        </w:rPr>
        <w:softHyphen/>
        <w:t>чителен», «...желательно самолет Ил-2 отправлять на боевое задание с 8 штуками РОФС-132 и двумя бомбами ФАБ-50», «...необходимо "меть побольше таких снарядов, так как они в 4-5 раз эффективнее РС-132», «...считаю, что РОФС-ы очень эффективны и по разрушитель</w:t>
      </w:r>
      <w:r w:rsidRPr="008127F8">
        <w:rPr>
          <w:rFonts w:ascii="Times New Roman" w:hAnsi="Times New Roman"/>
          <w:color w:val="000000" w:themeColor="text1"/>
          <w:sz w:val="16"/>
          <w:szCs w:val="16"/>
        </w:rPr>
        <w:softHyphen/>
        <w:t>ной силе превосходят РС-132 раза в четыре».</w:t>
      </w:r>
    </w:p>
    <w:p w14:paraId="5B105C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имени наземного технического персонала 312-го штурмового авиаполка обобщенные отзывы коротко и емко высказал инженер по вооружению военинженер 3 ранга Гавренко: «РОФС-132 и РБС просты в эксплуатации и безотказны в работе. Применение этих снарядов на са</w:t>
      </w:r>
      <w:r w:rsidRPr="008127F8">
        <w:rPr>
          <w:rFonts w:ascii="Times New Roman" w:hAnsi="Times New Roman"/>
          <w:color w:val="000000" w:themeColor="text1"/>
          <w:sz w:val="16"/>
          <w:szCs w:val="16"/>
        </w:rPr>
        <w:softHyphen/>
        <w:t>молетах Ил-2 намного повысит боевую мощь штурмовой авиации».</w:t>
      </w:r>
    </w:p>
    <w:p w14:paraId="1DCC07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 комиссии: «Применение РОФС-132 на самолете Ил-2 в 8-10 раз увеличивает огневую мощь машины по сравнению с штатными РОС-82 и в 3-4 раза по сравнению с РОС- 132. Перевооружение Ил-2 снарядами РОФС-132 позволит увеличить огневую мощь парка само</w:t>
      </w:r>
      <w:r w:rsidRPr="008127F8">
        <w:rPr>
          <w:rFonts w:ascii="Times New Roman" w:hAnsi="Times New Roman"/>
          <w:color w:val="000000" w:themeColor="text1"/>
          <w:sz w:val="16"/>
          <w:szCs w:val="16"/>
        </w:rPr>
        <w:softHyphen/>
        <w:t>летов-штурмовиков в 3-4 раза без увеличения численности машин и са</w:t>
      </w:r>
      <w:r w:rsidRPr="008127F8">
        <w:rPr>
          <w:rFonts w:ascii="Times New Roman" w:hAnsi="Times New Roman"/>
          <w:color w:val="000000" w:themeColor="text1"/>
          <w:sz w:val="16"/>
          <w:szCs w:val="16"/>
        </w:rPr>
        <w:softHyphen/>
        <w:t>молетовылетов». Наряду с этим, уже в 1942 г. отмечали, что применение ракетно-осколочных снарядов РОС-82 значительно снижает боевую эффективность штурмовиков Ил-2, и использовать их нецелесообраз</w:t>
      </w:r>
      <w:r w:rsidRPr="008127F8">
        <w:rPr>
          <w:rFonts w:ascii="Times New Roman" w:hAnsi="Times New Roman"/>
          <w:color w:val="000000" w:themeColor="text1"/>
          <w:sz w:val="16"/>
          <w:szCs w:val="16"/>
        </w:rPr>
        <w:softHyphen/>
        <w:t>но. Вследствие специального назначения ракетно-бронебойных снаря</w:t>
      </w:r>
      <w:r w:rsidRPr="008127F8">
        <w:rPr>
          <w:rFonts w:ascii="Times New Roman" w:hAnsi="Times New Roman"/>
          <w:color w:val="000000" w:themeColor="text1"/>
          <w:sz w:val="16"/>
          <w:szCs w:val="16"/>
        </w:rPr>
        <w:softHyphen/>
        <w:t>дов, в строевых частях ВВС Красной Армии и ВМФ необходимо иметь их всего 25% от общего комплекта РС. А снаряды РОФС-132, поступа</w:t>
      </w:r>
      <w:r w:rsidRPr="008127F8">
        <w:rPr>
          <w:rFonts w:ascii="Times New Roman" w:hAnsi="Times New Roman"/>
          <w:color w:val="000000" w:themeColor="text1"/>
          <w:sz w:val="16"/>
          <w:szCs w:val="16"/>
        </w:rPr>
        <w:softHyphen/>
        <w:t>ющие в строевые части ВВС КА, необходимо комплектовать уже на за</w:t>
      </w:r>
      <w:r w:rsidRPr="008127F8">
        <w:rPr>
          <w:rFonts w:ascii="Times New Roman" w:hAnsi="Times New Roman"/>
          <w:color w:val="000000" w:themeColor="text1"/>
          <w:sz w:val="16"/>
          <w:szCs w:val="16"/>
        </w:rPr>
        <w:softHyphen/>
        <w:t>водах пиропатронами ПП-4, переходными втулками для взрывателей АМ-А, картонными прокладками и дополнительными тетриловыми шашками.</w:t>
      </w:r>
    </w:p>
    <w:p w14:paraId="3737D0A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сожалению, несмотря на увеличение кучности стрельбы РОФС-132, их эффективность при стрельбе по танкам и другой </w:t>
      </w:r>
      <w:proofErr w:type="gramStart"/>
      <w:r w:rsidRPr="008127F8">
        <w:rPr>
          <w:rFonts w:ascii="Times New Roman" w:hAnsi="Times New Roman"/>
          <w:color w:val="000000" w:themeColor="text1"/>
          <w:sz w:val="16"/>
          <w:szCs w:val="16"/>
        </w:rPr>
        <w:t>броне-технике</w:t>
      </w:r>
      <w:proofErr w:type="gramEnd"/>
      <w:r w:rsidRPr="008127F8">
        <w:rPr>
          <w:rFonts w:ascii="Times New Roman" w:hAnsi="Times New Roman"/>
          <w:color w:val="000000" w:themeColor="text1"/>
          <w:sz w:val="16"/>
          <w:szCs w:val="16"/>
        </w:rPr>
        <w:t xml:space="preserve"> в рассредоточенных боевых порядках, к которым немцы повсе</w:t>
      </w:r>
      <w:r w:rsidRPr="008127F8">
        <w:rPr>
          <w:rFonts w:ascii="Times New Roman" w:hAnsi="Times New Roman"/>
          <w:color w:val="000000" w:themeColor="text1"/>
          <w:sz w:val="16"/>
          <w:szCs w:val="16"/>
        </w:rPr>
        <w:softHyphen/>
        <w:t>местно перешли к этому времени, была все же неудовлетворительной. Наилучшие результаты РОФС-132 давали при стрельбе по крупным пло</w:t>
      </w:r>
      <w:r w:rsidRPr="008127F8">
        <w:rPr>
          <w:rFonts w:ascii="Times New Roman" w:hAnsi="Times New Roman"/>
          <w:color w:val="000000" w:themeColor="text1"/>
          <w:sz w:val="16"/>
          <w:szCs w:val="16"/>
        </w:rPr>
        <w:softHyphen/>
        <w:t>щадным целям - мотомеханизированные колонны, железнодорожные составы, склады, батареи полевой и зенитной артиллерии и пр.». На самом деле, к сожалению, авторы не улавливают отличий между понятиями точности и кучности стрельбы.</w:t>
      </w:r>
    </w:p>
    <w:p w14:paraId="734C2FF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боевых действий в начальный период Великой Отечественной показал, что при атаках с бреющего полета Ил-2 способны поражать лишь живую силу и автотранспорт противника в местах сосредоточения и на марше. Мотомеханизированные колонны штурмовики Ил-2 обыч</w:t>
      </w:r>
      <w:r w:rsidRPr="008127F8">
        <w:rPr>
          <w:rFonts w:ascii="Times New Roman" w:hAnsi="Times New Roman"/>
          <w:color w:val="000000" w:themeColor="text1"/>
          <w:sz w:val="16"/>
          <w:szCs w:val="16"/>
        </w:rPr>
        <w:softHyphen/>
        <w:t>но атаковали с бреющего полета (высота подхода к цели 25-30 м) вдоль колонны или под углами 15-20° к ней. Первый удар наносили по голове колонны для ее остановки. Дистанция огня - 500-600 м. Прицеливались «по колонне вообще» с пристрелкой трассирующими пулями из пулеме</w:t>
      </w:r>
      <w:r w:rsidRPr="008127F8">
        <w:rPr>
          <w:rFonts w:ascii="Times New Roman" w:hAnsi="Times New Roman"/>
          <w:color w:val="000000" w:themeColor="text1"/>
          <w:sz w:val="16"/>
          <w:szCs w:val="16"/>
        </w:rPr>
        <w:softHyphen/>
        <w:t>тов ШКАС. Затем, с учетом положения трассы пуль относительно цели, открывали огонь из пушек и РС. Все виды огня (пулеметный, пушечный и РС, а также сброс авиабомб) использовали в одном заходе.</w:t>
      </w:r>
    </w:p>
    <w:p w14:paraId="4CDA0C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Действенность огня Ил-2 по колонне (пехота на машинах, бронема</w:t>
      </w:r>
      <w:r w:rsidRPr="008127F8">
        <w:rPr>
          <w:rFonts w:ascii="Times New Roman" w:hAnsi="Times New Roman"/>
          <w:color w:val="000000" w:themeColor="text1"/>
          <w:sz w:val="16"/>
          <w:szCs w:val="16"/>
        </w:rPr>
        <w:softHyphen/>
        <w:t>шины, артиллерия и пр., исключая танки), была достаточно высокой. Хотя, справедливости ради, необходимо отметить, что прицеливание по колонне вообще», как показали полигонные испытания, в большинстве случаев давало низкую точность стрельбы. А атака цели, при всей своей</w:t>
      </w:r>
    </w:p>
    <w:p w14:paraId="6414B9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5.6 Точность стрельбы по наземным целям из пушек и ракетными снарядами с самолета Ил-2 летчиками с разным уровнем подготовки стремительности и внезапности, приводила лишь к бесцельной трате бо</w:t>
      </w:r>
      <w:r w:rsidRPr="008127F8">
        <w:rPr>
          <w:rFonts w:ascii="Times New Roman" w:hAnsi="Times New Roman"/>
          <w:color w:val="000000" w:themeColor="text1"/>
          <w:sz w:val="16"/>
          <w:szCs w:val="16"/>
        </w:rPr>
        <w:softHyphen/>
        <w:t>еприпасов практически без ущерба для противника.</w:t>
      </w:r>
    </w:p>
    <w:tbl>
      <w:tblPr>
        <w:tblW w:w="0" w:type="auto"/>
        <w:tblInd w:w="40" w:type="dxa"/>
        <w:tblLayout w:type="fixed"/>
        <w:tblCellMar>
          <w:left w:w="40" w:type="dxa"/>
          <w:right w:w="40" w:type="dxa"/>
        </w:tblCellMar>
        <w:tblLook w:val="0000" w:firstRow="0" w:lastRow="0" w:firstColumn="0" w:lastColumn="0" w:noHBand="0" w:noVBand="0"/>
      </w:tblPr>
      <w:tblGrid>
        <w:gridCol w:w="922"/>
        <w:gridCol w:w="586"/>
        <w:gridCol w:w="643"/>
        <w:gridCol w:w="586"/>
        <w:gridCol w:w="595"/>
        <w:gridCol w:w="509"/>
        <w:gridCol w:w="586"/>
        <w:gridCol w:w="518"/>
        <w:gridCol w:w="1027"/>
      </w:tblGrid>
      <w:tr w:rsidR="006F4095" w:rsidRPr="008127F8" w14:paraId="1B8DD65E" w14:textId="77777777">
        <w:trPr>
          <w:trHeight w:val="643"/>
        </w:trPr>
        <w:tc>
          <w:tcPr>
            <w:tcW w:w="922" w:type="dxa"/>
            <w:tcBorders>
              <w:top w:val="single" w:sz="6" w:space="0" w:color="auto"/>
              <w:left w:val="single" w:sz="6" w:space="0" w:color="auto"/>
              <w:bottom w:val="nil"/>
              <w:right w:val="single" w:sz="6" w:space="0" w:color="auto"/>
            </w:tcBorders>
          </w:tcPr>
          <w:p w14:paraId="0A101F6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Фамилия летчика</w:t>
            </w:r>
          </w:p>
          <w:p w14:paraId="2792880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3B78DF1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Вид оружия</w:t>
            </w:r>
          </w:p>
          <w:p w14:paraId="2714375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4D9B32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Кол-во полетов</w:t>
            </w:r>
          </w:p>
          <w:p w14:paraId="55E1166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37256B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Кол-во выстр.</w:t>
            </w:r>
          </w:p>
          <w:p w14:paraId="31A361A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104" w:type="dxa"/>
            <w:gridSpan w:val="2"/>
            <w:tcBorders>
              <w:top w:val="single" w:sz="6" w:space="0" w:color="auto"/>
              <w:left w:val="single" w:sz="6" w:space="0" w:color="auto"/>
              <w:bottom w:val="single" w:sz="6" w:space="0" w:color="auto"/>
              <w:right w:val="single" w:sz="6" w:space="0" w:color="auto"/>
            </w:tcBorders>
          </w:tcPr>
          <w:p w14:paraId="63E6AA7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Попадания в выбранный танк</w:t>
            </w:r>
          </w:p>
          <w:p w14:paraId="2325C2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104" w:type="dxa"/>
            <w:gridSpan w:val="2"/>
            <w:tcBorders>
              <w:top w:val="single" w:sz="6" w:space="0" w:color="auto"/>
              <w:left w:val="single" w:sz="6" w:space="0" w:color="auto"/>
              <w:bottom w:val="single" w:sz="6" w:space="0" w:color="auto"/>
              <w:right w:val="single" w:sz="6" w:space="0" w:color="auto"/>
            </w:tcBorders>
          </w:tcPr>
          <w:p w14:paraId="7AA8BE4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Попадания в колонну танков</w:t>
            </w:r>
          </w:p>
          <w:p w14:paraId="3698AC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1A2028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Средний % попаданий в танк/ колонну танков</w:t>
            </w:r>
          </w:p>
          <w:p w14:paraId="5ED1393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6A0EB47F" w14:textId="77777777">
        <w:trPr>
          <w:trHeight w:val="432"/>
        </w:trPr>
        <w:tc>
          <w:tcPr>
            <w:tcW w:w="922" w:type="dxa"/>
            <w:tcBorders>
              <w:top w:val="nil"/>
              <w:left w:val="single" w:sz="6" w:space="0" w:color="auto"/>
              <w:bottom w:val="single" w:sz="6" w:space="0" w:color="auto"/>
              <w:right w:val="single" w:sz="6" w:space="0" w:color="auto"/>
            </w:tcBorders>
          </w:tcPr>
          <w:p w14:paraId="2B659BA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4105444"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317D9A4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A9587DD"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158A07D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B5BCC26"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3BB3B01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77807FF"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2D7BC1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Кол-во выстр.</w:t>
            </w:r>
          </w:p>
          <w:p w14:paraId="3956D0E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2985F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 попад.</w:t>
            </w:r>
          </w:p>
          <w:p w14:paraId="3AA1B0F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80EE93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Кол-во выстр.</w:t>
            </w:r>
          </w:p>
          <w:p w14:paraId="1F15DBF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A560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 попад.</w:t>
            </w:r>
          </w:p>
          <w:p w14:paraId="7766EA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4236500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38A9EDA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1DFBA9C3" w14:textId="77777777">
        <w:trPr>
          <w:trHeight w:val="509"/>
        </w:trPr>
        <w:tc>
          <w:tcPr>
            <w:tcW w:w="922" w:type="dxa"/>
            <w:tcBorders>
              <w:top w:val="single" w:sz="6" w:space="0" w:color="auto"/>
              <w:left w:val="single" w:sz="6" w:space="0" w:color="auto"/>
              <w:bottom w:val="nil"/>
              <w:right w:val="single" w:sz="6" w:space="0" w:color="auto"/>
            </w:tcBorders>
          </w:tcPr>
          <w:p w14:paraId="512F590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м-р Звонаре в пом. нач. НИ ПАВ ВВС РККА по летной подготовке</w:t>
            </w:r>
          </w:p>
          <w:p w14:paraId="207678A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BFF206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ШВАК</w:t>
            </w:r>
          </w:p>
          <w:p w14:paraId="058A7C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E9B5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1CEB776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5178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464</w:t>
            </w:r>
          </w:p>
          <w:p w14:paraId="208F43C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328660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p w14:paraId="2FDF565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5FF1C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p w14:paraId="46EB66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D80A8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p w14:paraId="2E18CFF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8EFC27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p w14:paraId="71038FB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30AC51F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7,5/8,5</w:t>
            </w:r>
          </w:p>
          <w:p w14:paraId="5DD05FE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A4B76E3" w14:textId="77777777">
        <w:trPr>
          <w:trHeight w:val="394"/>
        </w:trPr>
        <w:tc>
          <w:tcPr>
            <w:tcW w:w="922" w:type="dxa"/>
            <w:tcBorders>
              <w:top w:val="nil"/>
              <w:left w:val="single" w:sz="6" w:space="0" w:color="auto"/>
              <w:bottom w:val="nil"/>
              <w:right w:val="single" w:sz="6" w:space="0" w:color="auto"/>
            </w:tcBorders>
          </w:tcPr>
          <w:p w14:paraId="5AAC61F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2368564"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0A8063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ВЯ-23</w:t>
            </w:r>
          </w:p>
          <w:p w14:paraId="6902A7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5D50C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p w14:paraId="7956BE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FCC6B7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797</w:t>
            </w:r>
          </w:p>
          <w:p w14:paraId="3042CD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DC167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w:t>
            </w:r>
          </w:p>
          <w:p w14:paraId="4FA6DC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F6C07A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p w14:paraId="7E6D62D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57674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p w14:paraId="6C66FA4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59C18B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p w14:paraId="106CCA7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38A03A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60288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FD3346D" w14:textId="77777777">
        <w:trPr>
          <w:trHeight w:val="518"/>
        </w:trPr>
        <w:tc>
          <w:tcPr>
            <w:tcW w:w="922" w:type="dxa"/>
            <w:tcBorders>
              <w:top w:val="nil"/>
              <w:left w:val="single" w:sz="6" w:space="0" w:color="auto"/>
              <w:bottom w:val="single" w:sz="6" w:space="0" w:color="auto"/>
              <w:right w:val="single" w:sz="6" w:space="0" w:color="auto"/>
            </w:tcBorders>
          </w:tcPr>
          <w:p w14:paraId="1C1CC24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656C3AA"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99D135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РС-82</w:t>
            </w:r>
          </w:p>
          <w:p w14:paraId="39FCE95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690B9E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93879B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6A2D8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p w14:paraId="204DBBA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124D1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5C7E7C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B86615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p w14:paraId="6D505E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F3336B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2AC5CE3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83CF8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p w14:paraId="38BCF11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37AD08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2,1/4,3</w:t>
            </w:r>
          </w:p>
          <w:p w14:paraId="599EE56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1A9EBA5" w14:textId="77777777">
        <w:trPr>
          <w:trHeight w:val="326"/>
        </w:trPr>
        <w:tc>
          <w:tcPr>
            <w:tcW w:w="922" w:type="dxa"/>
            <w:tcBorders>
              <w:top w:val="single" w:sz="6" w:space="0" w:color="auto"/>
              <w:left w:val="single" w:sz="6" w:space="0" w:color="auto"/>
              <w:bottom w:val="nil"/>
              <w:right w:val="single" w:sz="6" w:space="0" w:color="auto"/>
            </w:tcBorders>
          </w:tcPr>
          <w:p w14:paraId="248F00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к-н Яшанов командир эскадрильи, 245-й шап</w:t>
            </w:r>
          </w:p>
          <w:p w14:paraId="1D06C29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76431E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ШВАК</w:t>
            </w:r>
          </w:p>
          <w:p w14:paraId="49DB98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87D07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F8E08B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6F2067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DEFBC5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119CB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5AD0C2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AB9393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ED41B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A2E781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3C1548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AD5BBC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490B1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0DFF2BE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1,5/6,0</w:t>
            </w:r>
          </w:p>
          <w:p w14:paraId="1142FB2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13880E1" w14:textId="77777777">
        <w:trPr>
          <w:trHeight w:val="240"/>
        </w:trPr>
        <w:tc>
          <w:tcPr>
            <w:tcW w:w="922" w:type="dxa"/>
            <w:tcBorders>
              <w:top w:val="nil"/>
              <w:left w:val="single" w:sz="6" w:space="0" w:color="auto"/>
              <w:bottom w:val="nil"/>
              <w:right w:val="single" w:sz="6" w:space="0" w:color="auto"/>
            </w:tcBorders>
          </w:tcPr>
          <w:p w14:paraId="7EC2090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4E16DEA"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742AD8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ВЯ-23</w:t>
            </w:r>
          </w:p>
          <w:p w14:paraId="240725A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13D225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615AF17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8EE53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p w14:paraId="69FB88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A6D14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27B8267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EA8F67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p w14:paraId="13039BB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C7920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p w14:paraId="1DEF457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478A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768C5B1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018FD96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693052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6F3F9626" w14:textId="77777777">
        <w:trPr>
          <w:trHeight w:val="250"/>
        </w:trPr>
        <w:tc>
          <w:tcPr>
            <w:tcW w:w="922" w:type="dxa"/>
            <w:tcBorders>
              <w:top w:val="nil"/>
              <w:left w:val="single" w:sz="6" w:space="0" w:color="auto"/>
              <w:bottom w:val="single" w:sz="6" w:space="0" w:color="auto"/>
              <w:right w:val="single" w:sz="6" w:space="0" w:color="auto"/>
            </w:tcBorders>
          </w:tcPr>
          <w:p w14:paraId="7FB51E6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25CF84A"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3AE0DD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РС-82</w:t>
            </w:r>
          </w:p>
          <w:p w14:paraId="6754EA1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A51BB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C243D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54511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p w14:paraId="55C9A9E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4883CD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6991EA5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DD863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115BBF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7C81E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2338DAA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297D3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6DB51EB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869133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p w14:paraId="521448F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56E2118" w14:textId="77777777">
        <w:trPr>
          <w:trHeight w:val="346"/>
        </w:trPr>
        <w:tc>
          <w:tcPr>
            <w:tcW w:w="922" w:type="dxa"/>
            <w:tcBorders>
              <w:top w:val="single" w:sz="6" w:space="0" w:color="auto"/>
              <w:left w:val="single" w:sz="6" w:space="0" w:color="auto"/>
              <w:bottom w:val="nil"/>
              <w:right w:val="single" w:sz="6" w:space="0" w:color="auto"/>
            </w:tcBorders>
          </w:tcPr>
          <w:p w14:paraId="7570240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ст.л</w:t>
            </w:r>
            <w:proofErr w:type="gramEnd"/>
            <w:r w:rsidRPr="008127F8">
              <w:rPr>
                <w:rFonts w:ascii="Times New Roman" w:hAnsi="Times New Roman"/>
                <w:color w:val="000000" w:themeColor="text1"/>
                <w:sz w:val="16"/>
                <w:szCs w:val="16"/>
              </w:rPr>
              <w:t>-т Качюко командир звена, 245-й шап</w:t>
            </w:r>
          </w:p>
          <w:p w14:paraId="6A22A3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DDA69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ШВАК</w:t>
            </w:r>
          </w:p>
          <w:p w14:paraId="4F1CE4F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2886D6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66D9356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5E25A0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p w14:paraId="47A3AAE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CE1731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2009BC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089F2F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p w14:paraId="373A1C5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B5EC53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p w14:paraId="0DC0E05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B6B522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p w14:paraId="1F3AA4B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27CEBDF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2,9/6,6</w:t>
            </w:r>
          </w:p>
          <w:p w14:paraId="415A049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0AF22262" w14:textId="77777777">
        <w:trPr>
          <w:trHeight w:val="336"/>
        </w:trPr>
        <w:tc>
          <w:tcPr>
            <w:tcW w:w="922" w:type="dxa"/>
            <w:tcBorders>
              <w:top w:val="nil"/>
              <w:left w:val="single" w:sz="6" w:space="0" w:color="auto"/>
              <w:bottom w:val="nil"/>
              <w:right w:val="single" w:sz="6" w:space="0" w:color="auto"/>
            </w:tcBorders>
          </w:tcPr>
          <w:p w14:paraId="5CF8573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E365CA7"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68D48B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ВЯ-23</w:t>
            </w:r>
          </w:p>
          <w:p w14:paraId="352A4F7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338808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19A74FC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2AD2B0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w:t>
            </w:r>
          </w:p>
          <w:p w14:paraId="0857ED2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030D91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p w14:paraId="5D041EF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225CA7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7ED623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82C56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p w14:paraId="580C8C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46520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p w14:paraId="66AD981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2CAF87D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4FAF76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12CDCC37" w14:textId="77777777">
        <w:trPr>
          <w:trHeight w:val="317"/>
        </w:trPr>
        <w:tc>
          <w:tcPr>
            <w:tcW w:w="922" w:type="dxa"/>
            <w:tcBorders>
              <w:top w:val="nil"/>
              <w:left w:val="single" w:sz="6" w:space="0" w:color="auto"/>
              <w:bottom w:val="single" w:sz="6" w:space="0" w:color="auto"/>
              <w:right w:val="single" w:sz="6" w:space="0" w:color="auto"/>
            </w:tcBorders>
          </w:tcPr>
          <w:p w14:paraId="061DB5A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CCEE6BE"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876D26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РС-82</w:t>
            </w:r>
          </w:p>
          <w:p w14:paraId="317288E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1FB6E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5CAD0C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0B86FE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p w14:paraId="3EA9FCC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A546FC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3450539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8A4D50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368E28D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6C1A7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4E3593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874E2A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p w14:paraId="3727710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F276C3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p w14:paraId="266F319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91B2344" w14:textId="77777777">
        <w:trPr>
          <w:trHeight w:val="307"/>
        </w:trPr>
        <w:tc>
          <w:tcPr>
            <w:tcW w:w="922" w:type="dxa"/>
            <w:tcBorders>
              <w:top w:val="single" w:sz="6" w:space="0" w:color="auto"/>
              <w:left w:val="single" w:sz="6" w:space="0" w:color="auto"/>
              <w:bottom w:val="nil"/>
              <w:right w:val="single" w:sz="6" w:space="0" w:color="auto"/>
            </w:tcBorders>
          </w:tcPr>
          <w:p w14:paraId="7C201E7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мл.л</w:t>
            </w:r>
            <w:proofErr w:type="gramEnd"/>
            <w:r w:rsidRPr="008127F8">
              <w:rPr>
                <w:rFonts w:ascii="Times New Roman" w:hAnsi="Times New Roman"/>
                <w:color w:val="000000" w:themeColor="text1"/>
                <w:sz w:val="16"/>
                <w:szCs w:val="16"/>
              </w:rPr>
              <w:t>-т Назаров летчик, 245-й шап</w:t>
            </w:r>
          </w:p>
          <w:p w14:paraId="773D95D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A963F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ШВАК</w:t>
            </w:r>
          </w:p>
          <w:p w14:paraId="4D6DE4D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F1A0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4FB064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CFFF3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253</w:t>
            </w:r>
          </w:p>
          <w:p w14:paraId="4225D2D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15BA2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1C941B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FB5DF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w:t>
            </w:r>
          </w:p>
          <w:p w14:paraId="5E4FB18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25B67A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p w14:paraId="77A568E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B67F4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p w14:paraId="373E598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6DFE795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1,8/7,3</w:t>
            </w:r>
          </w:p>
          <w:p w14:paraId="5682203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583187C0" w14:textId="77777777">
        <w:trPr>
          <w:trHeight w:val="307"/>
        </w:trPr>
        <w:tc>
          <w:tcPr>
            <w:tcW w:w="922" w:type="dxa"/>
            <w:tcBorders>
              <w:top w:val="nil"/>
              <w:left w:val="single" w:sz="6" w:space="0" w:color="auto"/>
              <w:bottom w:val="nil"/>
              <w:right w:val="single" w:sz="6" w:space="0" w:color="auto"/>
            </w:tcBorders>
          </w:tcPr>
          <w:p w14:paraId="0124CB8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BA011F7"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6DE257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ВЯ-23</w:t>
            </w:r>
          </w:p>
          <w:p w14:paraId="535051D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B5FCE5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357BAC6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491F29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p w14:paraId="4E14586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D90678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27E1309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510E1E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p w14:paraId="73B7095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EF73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p w14:paraId="301CB49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484DD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20,4</w:t>
            </w:r>
          </w:p>
          <w:p w14:paraId="68DFBE5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6A9541F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B110D2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r w:rsidR="006F4095" w:rsidRPr="008127F8" w14:paraId="3EAFA5DA" w14:textId="77777777">
        <w:trPr>
          <w:trHeight w:val="240"/>
        </w:trPr>
        <w:tc>
          <w:tcPr>
            <w:tcW w:w="922" w:type="dxa"/>
            <w:tcBorders>
              <w:top w:val="nil"/>
              <w:left w:val="single" w:sz="6" w:space="0" w:color="auto"/>
              <w:bottom w:val="single" w:sz="6" w:space="0" w:color="auto"/>
              <w:right w:val="single" w:sz="6" w:space="0" w:color="auto"/>
            </w:tcBorders>
          </w:tcPr>
          <w:p w14:paraId="7F31A5CA"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EB23CCE"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6D37F9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РС-82</w:t>
            </w:r>
          </w:p>
          <w:p w14:paraId="7AD23B4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E3A5123"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E47AD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ECEE5C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p w14:paraId="525259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C383CBB"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547EAB66"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A823D4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117487E2"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E8DB57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5D77008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5B14C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7638EDC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107FE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О/О</w:t>
            </w:r>
          </w:p>
          <w:p w14:paraId="2AA95F09"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tc>
      </w:tr>
    </w:tbl>
    <w:p w14:paraId="737A6968"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во время полигонных испытаний на НИПАВ ВВС КА стрелко-во-пушечного вооружения Ил-2, применительно к укоренившемуся в штурмовых авиаполках способу атак немецких мотомеханизированных колонн, стало ясно, что при атаке колонны танков, автомашин и пехоты общей длиной около 600 м три летчика 245-го шап, обладавшие боевым опытом, в полигонных условиях (в отсутствие противодействия истреби</w:t>
      </w:r>
      <w:r w:rsidRPr="008127F8">
        <w:rPr>
          <w:rFonts w:ascii="Times New Roman" w:hAnsi="Times New Roman"/>
          <w:color w:val="000000" w:themeColor="text1"/>
          <w:sz w:val="16"/>
          <w:szCs w:val="16"/>
        </w:rPr>
        <w:softHyphen/>
        <w:t>телей и зенитной артиллерии) смогли добиться всего девяти пулевых по</w:t>
      </w:r>
      <w:r w:rsidRPr="008127F8">
        <w:rPr>
          <w:rFonts w:ascii="Times New Roman" w:hAnsi="Times New Roman"/>
          <w:color w:val="000000" w:themeColor="text1"/>
          <w:sz w:val="16"/>
          <w:szCs w:val="16"/>
        </w:rPr>
        <w:softHyphen/>
        <w:t>паданий в танк при общем расходе боеприпасов в 300 патронов к пушкам ШВАК и 1290 патронов к пулеметам ШКАС.</w:t>
      </w:r>
    </w:p>
    <w:p w14:paraId="3A2AAEC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с прицеливанием по отдельному танку из состава колонны в тех же условиях атак обеспечила в трех вылетах при общем расходе 553 снарядов 20 попаданий в колонну танков, из них шесть попаданий в «ганк точки наводки», остальные - в другие танки колонны. Наилучшие резуль</w:t>
      </w:r>
      <w:r w:rsidRPr="008127F8">
        <w:rPr>
          <w:rFonts w:ascii="Times New Roman" w:hAnsi="Times New Roman"/>
          <w:color w:val="000000" w:themeColor="text1"/>
          <w:sz w:val="16"/>
          <w:szCs w:val="16"/>
        </w:rPr>
        <w:softHyphen/>
        <w:t>таты получились при атаке колонны сзади вдоль или сбоку при планирова</w:t>
      </w:r>
      <w:r w:rsidRPr="008127F8">
        <w:rPr>
          <w:rFonts w:ascii="Times New Roman" w:hAnsi="Times New Roman"/>
          <w:color w:val="000000" w:themeColor="text1"/>
          <w:sz w:val="16"/>
          <w:szCs w:val="16"/>
        </w:rPr>
        <w:softHyphen/>
        <w:t>нии под утлом 30° с высот 500-700 м, дальности начала прицеливания по</w:t>
      </w:r>
      <w:r w:rsidRPr="008127F8">
        <w:rPr>
          <w:rFonts w:ascii="Times New Roman" w:hAnsi="Times New Roman"/>
          <w:color w:val="000000" w:themeColor="text1"/>
          <w:sz w:val="16"/>
          <w:szCs w:val="16"/>
        </w:rPr>
        <w:softHyphen/>
        <w:t xml:space="preserve">рядка 800 м, а открытия огня - на 200-300 м. Прицеливались </w:t>
      </w:r>
      <w:r w:rsidRPr="008127F8">
        <w:rPr>
          <w:rFonts w:ascii="Times New Roman" w:hAnsi="Times New Roman"/>
          <w:color w:val="000000" w:themeColor="text1"/>
          <w:sz w:val="16"/>
          <w:szCs w:val="16"/>
        </w:rPr>
        <w:lastRenderedPageBreak/>
        <w:t>по отдельно</w:t>
      </w:r>
      <w:r w:rsidRPr="008127F8">
        <w:rPr>
          <w:rFonts w:ascii="Times New Roman" w:hAnsi="Times New Roman"/>
          <w:color w:val="000000" w:themeColor="text1"/>
          <w:sz w:val="16"/>
          <w:szCs w:val="16"/>
        </w:rPr>
        <w:softHyphen/>
        <w:t>му танку или автомашине в колонне. Атаковать необходимо было в не</w:t>
      </w:r>
      <w:r w:rsidRPr="008127F8">
        <w:rPr>
          <w:rFonts w:ascii="Times New Roman" w:hAnsi="Times New Roman"/>
          <w:color w:val="000000" w:themeColor="text1"/>
          <w:sz w:val="16"/>
          <w:szCs w:val="16"/>
        </w:rPr>
        <w:softHyphen/>
        <w:t xml:space="preserve">скольких заходах. Причем, в первом заходе удар наносили по голове </w:t>
      </w:r>
      <w:proofErr w:type="gramStart"/>
      <w:r w:rsidRPr="008127F8">
        <w:rPr>
          <w:rFonts w:ascii="Times New Roman" w:hAnsi="Times New Roman"/>
          <w:color w:val="000000" w:themeColor="text1"/>
          <w:sz w:val="16"/>
          <w:szCs w:val="16"/>
        </w:rPr>
        <w:t>колон-ны</w:t>
      </w:r>
      <w:proofErr w:type="gramEnd"/>
      <w:r w:rsidRPr="008127F8">
        <w:rPr>
          <w:rFonts w:ascii="Times New Roman" w:hAnsi="Times New Roman"/>
          <w:color w:val="000000" w:themeColor="text1"/>
          <w:sz w:val="16"/>
          <w:szCs w:val="16"/>
        </w:rPr>
        <w:t xml:space="preserve"> сначала РС (дистанции пуска - 600-700 м), а затем из пушек. В последу</w:t>
      </w:r>
      <w:r w:rsidRPr="008127F8">
        <w:rPr>
          <w:rFonts w:ascii="Times New Roman" w:hAnsi="Times New Roman"/>
          <w:color w:val="000000" w:themeColor="text1"/>
          <w:sz w:val="16"/>
          <w:szCs w:val="16"/>
        </w:rPr>
        <w:softHyphen/>
        <w:t>ющих заходах сбрасывали авиабомбы и вели огонь из пулеметов и пушек.</w:t>
      </w:r>
    </w:p>
    <w:p w14:paraId="127F9C4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Изучив боевой опыт первого периода войны, оперативное управле</w:t>
      </w:r>
      <w:r w:rsidRPr="008127F8">
        <w:rPr>
          <w:rFonts w:ascii="Times New Roman" w:hAnsi="Times New Roman"/>
          <w:color w:val="000000" w:themeColor="text1"/>
          <w:sz w:val="16"/>
          <w:szCs w:val="16"/>
        </w:rPr>
        <w:softHyphen/>
        <w:t>ние ВВС КА в ориентировочных расчетах норм боевых возможностей штурмовика Ил-2 при действиях по танкам в боевых порядках на поле боя указывало, что для поражения одного легкого танка типа Рг.П или Рг.38(0 необходим наряд в 4-5 самолетов Ил-2, а для поражения одного среднего танка типа Рг.ГУ, Рг.Ш или 5шС III требовалось уже 12-15 ма</w:t>
      </w:r>
      <w:r w:rsidRPr="008127F8">
        <w:rPr>
          <w:rFonts w:ascii="Times New Roman" w:hAnsi="Times New Roman"/>
          <w:color w:val="000000" w:themeColor="text1"/>
          <w:sz w:val="16"/>
          <w:szCs w:val="16"/>
        </w:rPr>
        <w:softHyphen/>
        <w:t>шин. Хорошо, что летчики были не в курсе этого или не слишком бук</w:t>
      </w:r>
      <w:r w:rsidRPr="008127F8">
        <w:rPr>
          <w:rFonts w:ascii="Times New Roman" w:hAnsi="Times New Roman"/>
          <w:color w:val="000000" w:themeColor="text1"/>
          <w:sz w:val="16"/>
          <w:szCs w:val="16"/>
        </w:rPr>
        <w:softHyphen/>
        <w:t>вально воспринимали величину наряда сил и средств...</w:t>
      </w:r>
    </w:p>
    <w:p w14:paraId="449BFC8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как комментирует это известный летчик-штурмовик, дважды Ге</w:t>
      </w:r>
      <w:r w:rsidRPr="008127F8">
        <w:rPr>
          <w:rFonts w:ascii="Times New Roman" w:hAnsi="Times New Roman"/>
          <w:color w:val="000000" w:themeColor="text1"/>
          <w:sz w:val="16"/>
          <w:szCs w:val="16"/>
        </w:rPr>
        <w:softHyphen/>
        <w:t>рой Советского Союза генерал-полковник М.П.Одинцов. «Весной 1942 г. штурмовик Ил-2 был одноместным и имел под крылом восемь ба</w:t>
      </w:r>
      <w:r w:rsidRPr="008127F8">
        <w:rPr>
          <w:rFonts w:ascii="Times New Roman" w:hAnsi="Times New Roman"/>
          <w:color w:val="000000" w:themeColor="text1"/>
          <w:sz w:val="16"/>
          <w:szCs w:val="16"/>
        </w:rPr>
        <w:softHyphen/>
        <w:t>лок под снаряды РС-82. Для прицеливания использовали обычный стрелковый прицел. Первые пуски продемонстрировали большое (отно</w:t>
      </w:r>
      <w:r w:rsidRPr="008127F8">
        <w:rPr>
          <w:rFonts w:ascii="Times New Roman" w:hAnsi="Times New Roman"/>
          <w:color w:val="000000" w:themeColor="text1"/>
          <w:sz w:val="16"/>
          <w:szCs w:val="16"/>
        </w:rPr>
        <w:softHyphen/>
        <w:t>сительно пушек) рассеивание, поэтому летчики перестали стрелять оди</w:t>
      </w:r>
      <w:r w:rsidRPr="008127F8">
        <w:rPr>
          <w:rFonts w:ascii="Times New Roman" w:hAnsi="Times New Roman"/>
          <w:color w:val="000000" w:themeColor="text1"/>
          <w:sz w:val="16"/>
          <w:szCs w:val="16"/>
        </w:rPr>
        <w:softHyphen/>
        <w:t>ночными РС и перешли на залповый огонь по два снаряда по наземным Целям. По воздушным целям РС-82 с Ил-2 практически не применяли за исключением единичных случаев попадания в летящий самолет против</w:t>
      </w:r>
      <w:r w:rsidRPr="008127F8">
        <w:rPr>
          <w:rFonts w:ascii="Times New Roman" w:hAnsi="Times New Roman"/>
          <w:color w:val="000000" w:themeColor="text1"/>
          <w:sz w:val="16"/>
          <w:szCs w:val="16"/>
        </w:rPr>
        <w:softHyphen/>
        <w:t>ника (машины на взлете - не в счет), поскольку взрыватели мгновенного действия срабатывали лишь в контакте с целью (дистанционные трубки АГДТ-А-РС-82 в штурмовые полки не поступали). Вариант стрельбы 2x4 (четыре залпа по два снаряда) позволял с одного захода поразить пехоту противника или небронированную цель на открытой местности.</w:t>
      </w:r>
    </w:p>
    <w:p w14:paraId="2F34B1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Характерным для тех времен случаем можно считать наш налет на немецкий аэродром под Курском весной 1942 г. Тогда я замыкал строй полка. Реактивные снаряды (пульт ЭСБР-Зп управления огнем РС) были установлены на два залпа по четыре снаряда. В неразбери</w:t>
      </w:r>
      <w:r w:rsidRPr="008127F8">
        <w:rPr>
          <w:rFonts w:ascii="Times New Roman" w:hAnsi="Times New Roman"/>
          <w:color w:val="000000" w:themeColor="text1"/>
          <w:sz w:val="16"/>
          <w:szCs w:val="16"/>
        </w:rPr>
        <w:softHyphen/>
        <w:t>хе боя я оказался в створе ВПП, на которую в этот момент выруливала на взлет пара .1и-88. Выпустив в обоих залпах весь боезапас РС, я в од-Ном заходе поочередно уничтожил оба самолета. По-видимому, попа</w:t>
      </w:r>
      <w:r w:rsidRPr="008127F8">
        <w:rPr>
          <w:rFonts w:ascii="Times New Roman" w:hAnsi="Times New Roman"/>
          <w:color w:val="000000" w:themeColor="text1"/>
          <w:sz w:val="16"/>
          <w:szCs w:val="16"/>
        </w:rPr>
        <w:softHyphen/>
        <w:t>дание было очень удачным, поскольку в моей машине оказалось достаточное количество пробоин и осколков от взрыва полностью запра вленных топливом и боеприпасами самолетов противника. Обычно огонь РС вели на средних дистанциях стрельбы из пушки - 600-800 м Боевые ракеты калибра 82 мм считались оружием вспомогательным поэтому экспериментировать в стрельбе ими на предельные дальности никто не пробовал».</w:t>
      </w:r>
    </w:p>
    <w:p w14:paraId="1389394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восприятие пилотом цели через стрелковый прицел в ус</w:t>
      </w:r>
      <w:r w:rsidRPr="008127F8">
        <w:rPr>
          <w:rFonts w:ascii="Times New Roman" w:hAnsi="Times New Roman"/>
          <w:color w:val="000000" w:themeColor="text1"/>
          <w:sz w:val="16"/>
          <w:szCs w:val="16"/>
        </w:rPr>
        <w:softHyphen/>
        <w:t>ловиях дефицита времени осуществлялось из расчета ее поражения ос</w:t>
      </w:r>
      <w:r w:rsidRPr="008127F8">
        <w:rPr>
          <w:rFonts w:ascii="Times New Roman" w:hAnsi="Times New Roman"/>
          <w:color w:val="000000" w:themeColor="text1"/>
          <w:sz w:val="16"/>
          <w:szCs w:val="16"/>
        </w:rPr>
        <w:softHyphen/>
        <w:t>новным вооружением, каковым у штурмовиков традиционно в то время считалось пушечное. Вспомогательные функции РС заключались в пси</w:t>
      </w:r>
      <w:r w:rsidRPr="008127F8">
        <w:rPr>
          <w:rFonts w:ascii="Times New Roman" w:hAnsi="Times New Roman"/>
          <w:color w:val="000000" w:themeColor="text1"/>
          <w:sz w:val="16"/>
          <w:szCs w:val="16"/>
        </w:rPr>
        <w:softHyphen/>
        <w:t xml:space="preserve">хологическом воздействии этого оружия на пехоту и зенитчиков, </w:t>
      </w:r>
      <w:proofErr w:type="gramStart"/>
      <w:r w:rsidRPr="008127F8">
        <w:rPr>
          <w:rFonts w:ascii="Times New Roman" w:hAnsi="Times New Roman"/>
          <w:color w:val="000000" w:themeColor="text1"/>
          <w:sz w:val="16"/>
          <w:szCs w:val="16"/>
        </w:rPr>
        <w:t>осо</w:t>
      </w:r>
      <w:r w:rsidRPr="008127F8">
        <w:rPr>
          <w:rFonts w:ascii="Times New Roman" w:hAnsi="Times New Roman"/>
          <w:color w:val="000000" w:themeColor="text1"/>
          <w:sz w:val="16"/>
          <w:szCs w:val="16"/>
        </w:rPr>
        <w:softHyphen/>
        <w:t>бенно</w:t>
      </w:r>
      <w:proofErr w:type="gramEnd"/>
      <w:r w:rsidRPr="008127F8">
        <w:rPr>
          <w:rFonts w:ascii="Times New Roman" w:hAnsi="Times New Roman"/>
          <w:color w:val="000000" w:themeColor="text1"/>
          <w:sz w:val="16"/>
          <w:szCs w:val="16"/>
        </w:rPr>
        <w:t xml:space="preserve"> когда по нашим атакующим самолетам с земли вели сосредото</w:t>
      </w:r>
      <w:r w:rsidRPr="008127F8">
        <w:rPr>
          <w:rFonts w:ascii="Times New Roman" w:hAnsi="Times New Roman"/>
          <w:color w:val="000000" w:themeColor="text1"/>
          <w:sz w:val="16"/>
          <w:szCs w:val="16"/>
        </w:rPr>
        <w:softHyphen/>
        <w:t>ченный огонь. Все это обусловило наиболее «популярный» диапазон дальностей стрельбы РС в пределах 600-1000 м. Ближняя граница объяс</w:t>
      </w:r>
      <w:r w:rsidRPr="008127F8">
        <w:rPr>
          <w:rFonts w:ascii="Times New Roman" w:hAnsi="Times New Roman"/>
          <w:color w:val="000000" w:themeColor="text1"/>
          <w:sz w:val="16"/>
          <w:szCs w:val="16"/>
        </w:rPr>
        <w:softHyphen/>
        <w:t>нялась скоростью штурмовика и высотой атаки, а уменьшение этой дис</w:t>
      </w:r>
      <w:r w:rsidRPr="008127F8">
        <w:rPr>
          <w:rFonts w:ascii="Times New Roman" w:hAnsi="Times New Roman"/>
          <w:color w:val="000000" w:themeColor="text1"/>
          <w:sz w:val="16"/>
          <w:szCs w:val="16"/>
        </w:rPr>
        <w:softHyphen/>
        <w:t>танции, когда это все же случалось на практике, приводило к поражению самолета осколками своих снарядов.</w:t>
      </w:r>
    </w:p>
    <w:p w14:paraId="1267868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стрельба из пулеметов тоже имела большое воздействие на психику противника, поскольку наши ШКАСы и УШКАСы при их темпе стрельбы издавали не дробный стук, а жуткий вой, усиленный гу</w:t>
      </w:r>
      <w:r w:rsidRPr="008127F8">
        <w:rPr>
          <w:rFonts w:ascii="Times New Roman" w:hAnsi="Times New Roman"/>
          <w:color w:val="000000" w:themeColor="text1"/>
          <w:sz w:val="16"/>
          <w:szCs w:val="16"/>
        </w:rPr>
        <w:softHyphen/>
        <w:t>лом мощного двигателя. Тем не менее, эти пулеметы требовали особого внимания - чуть передержишь гашетку, и все... Ствол раскалялся, начи</w:t>
      </w:r>
      <w:r w:rsidRPr="008127F8">
        <w:rPr>
          <w:rFonts w:ascii="Times New Roman" w:hAnsi="Times New Roman"/>
          <w:color w:val="000000" w:themeColor="text1"/>
          <w:sz w:val="16"/>
          <w:szCs w:val="16"/>
        </w:rPr>
        <w:softHyphen/>
        <w:t>нал «плеваться» пулями и выходил из строя.</w:t>
      </w:r>
    </w:p>
    <w:p w14:paraId="28A1B1A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ручке управления самолетом было четыре боевые кнопки. Каждая из них управляла стрельбой из пушек, пулеметов, реактивными снаряда</w:t>
      </w:r>
      <w:r w:rsidRPr="008127F8">
        <w:rPr>
          <w:rFonts w:ascii="Times New Roman" w:hAnsi="Times New Roman"/>
          <w:color w:val="000000" w:themeColor="text1"/>
          <w:sz w:val="16"/>
          <w:szCs w:val="16"/>
        </w:rPr>
        <w:softHyphen/>
        <w:t>ми и сбросом бомб. Количество РС в залпе устанавливали на отдельном пульте ЭСБР-Зп (второй ЭСБР-Зп предназначался для организации ре</w:t>
      </w:r>
      <w:r w:rsidRPr="008127F8">
        <w:rPr>
          <w:rFonts w:ascii="Times New Roman" w:hAnsi="Times New Roman"/>
          <w:color w:val="000000" w:themeColor="text1"/>
          <w:sz w:val="16"/>
          <w:szCs w:val="16"/>
        </w:rPr>
        <w:softHyphen/>
        <w:t>жима бомбометания) в кабине пилота. Режим огня можно было изме</w:t>
      </w:r>
      <w:r w:rsidRPr="008127F8">
        <w:rPr>
          <w:rFonts w:ascii="Times New Roman" w:hAnsi="Times New Roman"/>
          <w:color w:val="000000" w:themeColor="text1"/>
          <w:sz w:val="16"/>
          <w:szCs w:val="16"/>
        </w:rPr>
        <w:softHyphen/>
        <w:t>нить и в полете, непосредственно перед применением, выбирая старт од</w:t>
      </w:r>
      <w:r w:rsidRPr="008127F8">
        <w:rPr>
          <w:rFonts w:ascii="Times New Roman" w:hAnsi="Times New Roman"/>
          <w:color w:val="000000" w:themeColor="text1"/>
          <w:sz w:val="16"/>
          <w:szCs w:val="16"/>
        </w:rPr>
        <w:softHyphen/>
        <w:t>ного, двух, четырех или всех восьми РС за одно нажатие кнопки».</w:t>
      </w:r>
    </w:p>
    <w:p w14:paraId="5E2A2D9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видим, эти воспоминания М.П.Одинцова во многом соответст</w:t>
      </w:r>
      <w:r w:rsidRPr="008127F8">
        <w:rPr>
          <w:rFonts w:ascii="Times New Roman" w:hAnsi="Times New Roman"/>
          <w:color w:val="000000" w:themeColor="text1"/>
          <w:sz w:val="16"/>
          <w:szCs w:val="16"/>
        </w:rPr>
        <w:softHyphen/>
        <w:t>вуют высказываниям ветерана летчика-штурмовика Ю.М.Хухрикова. Одинцов продолжает: «Перед Курской битвой по одной эскадрильи в ка</w:t>
      </w:r>
      <w:r w:rsidRPr="008127F8">
        <w:rPr>
          <w:rFonts w:ascii="Times New Roman" w:hAnsi="Times New Roman"/>
          <w:color w:val="000000" w:themeColor="text1"/>
          <w:sz w:val="16"/>
          <w:szCs w:val="16"/>
        </w:rPr>
        <w:softHyphen/>
        <w:t>ждом штурмовом полку перевооружили на РОФС-132, установив под крылом по четыре балки. Снаряды были полностью унифицированы с применявшимися на «катюшах». Другие эскадрильи полка оставили вооруженными РС-82, до конца войны состоявшими в боекомплекте большинства штурмовиков Ил-2 и Ил-10» (11402).</w:t>
      </w:r>
    </w:p>
    <w:p w14:paraId="1324ABD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00E2103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вышло постановление ГКО N 1180сс с ежедневными графиками поставок самолетов (1685,35).</w:t>
      </w:r>
    </w:p>
    <w:p w14:paraId="0F8EA658" w14:textId="77777777" w:rsidR="00A75C8B" w:rsidRPr="008127F8" w:rsidRDefault="00A75C8B" w:rsidP="001E0A84">
      <w:pPr>
        <w:pStyle w:val="Iauiue"/>
        <w:jc w:val="both"/>
        <w:rPr>
          <w:color w:val="000000" w:themeColor="text1"/>
          <w:sz w:val="16"/>
          <w:szCs w:val="16"/>
        </w:rPr>
      </w:pPr>
    </w:p>
    <w:p w14:paraId="240ED0ED"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января 1942 г. вышло постановление ГКО №1180сс о доведении самолетного парка запасных полков до пол</w:t>
      </w:r>
      <w:r w:rsidRPr="008A2E5A">
        <w:rPr>
          <w:rFonts w:ascii="Times New Roman" w:hAnsi="Times New Roman"/>
          <w:color w:val="0070C0"/>
          <w:sz w:val="16"/>
          <w:szCs w:val="16"/>
        </w:rPr>
        <w:softHyphen/>
        <w:t>ного штата в 31 боевой и 9 учебных самолетов в каждом. С этой целью авиапромышленности ставилась задача допоставить ВВС КА к маю 1942 г. всего 12 (!) самолетов Як-7В. Перевод завода №301 в сентябре 1941 г. на вы</w:t>
      </w:r>
      <w:r w:rsidRPr="008A2E5A">
        <w:rPr>
          <w:rFonts w:ascii="Times New Roman" w:hAnsi="Times New Roman"/>
          <w:color w:val="0070C0"/>
          <w:sz w:val="16"/>
          <w:szCs w:val="16"/>
        </w:rPr>
        <w:softHyphen/>
        <w:t>пуск боевых Як-7 с сохранением задней кабины и двой</w:t>
      </w:r>
      <w:r w:rsidRPr="008A2E5A">
        <w:rPr>
          <w:rFonts w:ascii="Times New Roman" w:hAnsi="Times New Roman"/>
          <w:color w:val="0070C0"/>
          <w:sz w:val="16"/>
          <w:szCs w:val="16"/>
        </w:rPr>
        <w:softHyphen/>
        <w:t>ного управления как нельзя лучше соответствовал зада</w:t>
      </w:r>
      <w:r w:rsidRPr="008A2E5A">
        <w:rPr>
          <w:rFonts w:ascii="Times New Roman" w:hAnsi="Times New Roman"/>
          <w:color w:val="0070C0"/>
          <w:sz w:val="16"/>
          <w:szCs w:val="16"/>
        </w:rPr>
        <w:softHyphen/>
        <w:t>че обеспечения уже строевых частей, вооруженных ис</w:t>
      </w:r>
      <w:r w:rsidRPr="008A2E5A">
        <w:rPr>
          <w:rFonts w:ascii="Times New Roman" w:hAnsi="Times New Roman"/>
          <w:color w:val="0070C0"/>
          <w:sz w:val="16"/>
          <w:szCs w:val="16"/>
        </w:rPr>
        <w:softHyphen/>
        <w:t>требителями новых типов, учебно-боевыми самолетами двойного назначения. Это позволяло использовать пол</w:t>
      </w:r>
      <w:r w:rsidRPr="008A2E5A">
        <w:rPr>
          <w:rFonts w:ascii="Times New Roman" w:hAnsi="Times New Roman"/>
          <w:color w:val="0070C0"/>
          <w:sz w:val="16"/>
          <w:szCs w:val="16"/>
        </w:rPr>
        <w:softHyphen/>
        <w:t>ную штатную численность самолетов полка в боях и, при необходимости, выполнять задачи разведки и обучения летного состава (23381).</w:t>
      </w:r>
    </w:p>
    <w:p w14:paraId="6771D2E3" w14:textId="77777777" w:rsidR="001F3545" w:rsidRPr="008A2E5A" w:rsidRDefault="001F3545" w:rsidP="001F3545">
      <w:pPr>
        <w:spacing w:after="0" w:line="240" w:lineRule="auto"/>
        <w:jc w:val="both"/>
        <w:rPr>
          <w:rFonts w:ascii="Times New Roman" w:hAnsi="Times New Roman"/>
          <w:color w:val="0070C0"/>
          <w:sz w:val="16"/>
          <w:szCs w:val="16"/>
        </w:rPr>
      </w:pPr>
    </w:p>
    <w:p w14:paraId="29E63DD3"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января 1942 вышло Постановление ГКО СССР № 1180сс «Вопросы Военно-воздушных сил Красной армии». — О создании резерва Главного командования и улучшении организации выпуска, ремонта и эксплуатации боевых самолетов</w:t>
      </w:r>
    </w:p>
    <w:p w14:paraId="00DE8E8A"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января 1942 г.,</w:t>
      </w:r>
    </w:p>
    <w:p w14:paraId="750EF129"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5946B877"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улучшения работы Военных воздушных сил Красной армии провести</w:t>
      </w:r>
    </w:p>
    <w:p w14:paraId="091F9B4E"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следующие мероприятия:</w:t>
      </w:r>
    </w:p>
    <w:p w14:paraId="1C95AC4C"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Создать резерв Главного командования в составе 24 авиационных полков из расчета: аэродромный узел Калуга — 4 полка истребителей ЛаГГ-3 и Як-1,1 полк бомбардировщиков Пе-2,3 полка штурмовиков Ил-2; аэродромный узел Москва — 4 полка истребителей ЛаГГ-3 и Як-1, 1 полк бомбардировщиков Пе-2, 3 полка штурмовиков Ил-2; аэродромный узел Калинин — 4 полка истребителей ЛаГГ-3 и Як-1, 1 полк бомбардировщиков Пе-2, 3 полка штурмовиков Ил-2. Личный состав для авиаполков сосредоточить в указанных районах: 12 авиаполков —к 1 февраля и 12 авиаполков — к 5 февраля 1942 г.</w:t>
      </w:r>
    </w:p>
    <w:p w14:paraId="34FF927D"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народного комиссара авиационной промышленности т. Шахурина подготовить и сдать НКО готовых к боевой работе для укомплектования авиаполков резерва: к 27 января — 20 самолетов Пе-2,60 самолетов Ил-2,70 самолетов Як-1,100 самолетов ЛаГГ-3, итого — 250 самолетов; ко 2 февраля: 60 самолетов Пе-2,20 самолетов Су-2, 60 самолетов Ил-2,80 самолетов Як-1,100 самолетов ЛаГГ-3, итого — 320 самолетов.</w:t>
      </w:r>
    </w:p>
    <w:p w14:paraId="4BA385B3"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ВВС (т. Жигарева) перегонку самолетов с заводов произвести опытными экипажами, выделенными из запасных авиаполков и перегоночных эскадрилий.</w:t>
      </w:r>
    </w:p>
    <w:p w14:paraId="5B4CF805"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переброску летного состава специально выделенными «дугласами» в количестве 10 самолетов. Для обеспечения перелетов по перегонке самолетов с заводов, сформировать промежуточные комендатуры на аэродромах по трассе перелетов.</w:t>
      </w:r>
    </w:p>
    <w:p w14:paraId="32D3C969"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перегонкой самолетов с заводов возложить на первого заместителя» командующего ВВС т. Петрова. Сформировать отделение по перегонке самолетов с заводов, включив в него отдел перелетов Штаба ВВС Красной армии.</w:t>
      </w:r>
    </w:p>
    <w:p w14:paraId="01E282B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авиационных заводах иметь постоянные перегоночные эскадрильи и группы лидеров из расчета:</w:t>
      </w:r>
    </w:p>
    <w:p w14:paraId="69BD311E"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Горький — 30 перегоночных экипажей и 6 экипажей лидеров;</w:t>
      </w:r>
    </w:p>
    <w:p w14:paraId="1A12442A"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Куйбышев — 30 перегоночных экипажей и 10 экипажей лидеров;</w:t>
      </w:r>
    </w:p>
    <w:p w14:paraId="49CDB7D4"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Саратов — 30 перегоночных экипажей и 5 экипажей лидеров;</w:t>
      </w:r>
    </w:p>
    <w:p w14:paraId="74121F2C"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Казань — 30 перегоночных </w:t>
      </w:r>
      <w:proofErr w:type="gramStart"/>
      <w:r w:rsidRPr="008A2E5A">
        <w:rPr>
          <w:rFonts w:ascii="Times New Roman" w:hAnsi="Times New Roman"/>
          <w:color w:val="0070C0"/>
          <w:sz w:val="16"/>
          <w:szCs w:val="16"/>
        </w:rPr>
        <w:t>экипажей;:</w:t>
      </w:r>
      <w:proofErr w:type="gramEnd"/>
    </w:p>
    <w:p w14:paraId="7642CF0C"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Нижний Тагил — 30 перегоночных экипажей и 6 экипажей лидеров.</w:t>
      </w:r>
    </w:p>
    <w:p w14:paraId="7C0DE722"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Существующую дивизионную систему управления авиаполками ближнего действия в составе ВВС Красной армии упразднить, сохранив ее для авиации дальних и тяжелых бомбардировщиков. Работников и средства связи управлений дивизий переать для усиления аппарата и средств связи управлений командующих ВВС армий.</w:t>
      </w:r>
    </w:p>
    <w:p w14:paraId="3C68F338"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улучшения руководства эксплуатацией материальной части и поднятия вторитета инженерно-технического состава ВВС КА:</w:t>
      </w:r>
    </w:p>
    <w:p w14:paraId="21478C87"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ввести в штат Главного управления ВВС Красной армии должность главного нженера ВВС К А с подчинением ему Управления эксплуатации и ремонта. Устаноить, что главному инженеру ВВС КА подчиняются в специальном отношении главые инженеры фронтов, старшие инженеры дивизий и полков;</w:t>
      </w:r>
    </w:p>
    <w:p w14:paraId="50E6E112"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ввести новые воинские звания для инженерно-технического состава ВВС:</w:t>
      </w:r>
    </w:p>
    <w:p w14:paraId="44555B10"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техник-лейтенант, старший техник-лейтенант, инженер-капитан, инженер-майор, инженер-подполковник, инженер-полковник, генерал-майор инженерно-авиационной лужбы, генерал-лейтенант инженерно-авиационной службы, генерал-полковник инженерно-авиационной службы.</w:t>
      </w:r>
    </w:p>
    <w:p w14:paraId="19934164"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Заместителю НКО т. Жигареву в двухмесячный срок пересмотреть и присвоить новые воинские звания инженерно-техническому составу ВВС КА до инженер-половника включительно и представить свои соображения на присвоение воинских зваий от генерал-майора инженерно-авиационной службы и выше.</w:t>
      </w:r>
    </w:p>
    <w:p w14:paraId="4140653B"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Для усиления темпов и повышения качества подготовки летного состава в запасных авиаполках командующему ВВС КА т. Жигареву к 1 мая 1942 г. довести самолетный и моторный парк запасных авиаполков до установленного штата — 31 боевой самолет и 9 тренировочных самолетов в каждом полку, для чего выделить: самолетов ЛаГГ-3 — 55, самолетов Як-1 — 43, самолетов Як-3 — 12 с двойным управлением, самоетов Пе-2 — 70, самолетов Ил-2 — 42, всего 222. В первую очередь укомплектовать запасные авиаполки, расположенные в Горьком, Саратове и Куйбышеве.</w:t>
      </w:r>
    </w:p>
    <w:p w14:paraId="5E786259"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Для обеспечения быстрой отработки самолетов на аэродромах, облета и отправки с заводских аэродромов НКАП на фронтовые аэродромы обязать командующего ВВС К А т. Жигарева:</w:t>
      </w:r>
    </w:p>
    <w:p w14:paraId="4B61C8F9"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выделить для заводов до 23 января с. г. следующее количество средств аэроромного обслуживания с личным составом: водо-маслозаправщиков — 25, бензозаправщиков — 18, автостартеров — 29, тракторов — 22, подогревательных ламп — 195 для заводов Наркомавиапрома согласно приложению № I1*;</w:t>
      </w:r>
    </w:p>
    <w:p w14:paraId="0167CDBB"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 откомандировать с обеспечением месячным окладом жалованья подъемных к 25 января с. г. на заводы Наркомавиапрома технический состав (инженеров, техников, механиков и мотористов) 15 запасных полков типового штата без летного состава и полков: на завод № 21 по самолетам ЛаГГ-3 — 3 полка, на завод № 292 по самолетам Як-1 — 2 полка, на завод № 153 по самолетам Як-3 — 1 полк, на завод N2 31 по самолетам ЛаГГ-3 — 1 полк, на завод N2 18 по самолетам Ил-2 — 1 полк, на завод № 1 по самолетам Ил-2 — 1 полк, на завод № 22 по самолетам Пе-2 — 2 полка, на завод № 39 по самолетам Пе-2 — 2 полка, на завод N2 126 по самолетам ДБ-ЗФ — 1 полк, на завод № 381 по самолетам Ил-2 — 1 полк.</w:t>
      </w:r>
    </w:p>
    <w:p w14:paraId="064C272D"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6. Утвердить график ежедневной сдачи облетанных, готовых к боевому применению </w:t>
      </w:r>
    </w:p>
    <w:p w14:paraId="32878B38"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самолетов, с заводов НКАП, согласно приложению № 2.</w:t>
      </w:r>
    </w:p>
    <w:p w14:paraId="14F4A637"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НКО (т. Хрулева) обеспечить выделение нарядов по заявкам ВВС КА и поставку горюче-смазочных материалов на заводы НКАП для отправки самолетов на фронт.</w:t>
      </w:r>
    </w:p>
    <w:p w14:paraId="08994F62"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Наркомавиапром (т. Шахурина) и НКО (т. Жигарева):</w:t>
      </w:r>
    </w:p>
    <w:p w14:paraId="7C8711B1"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не позднее 25 января 1942 г. представить предложение по размещению заказа на запасные части к самолетам, находящимся в серийной постройке, на заводах Наркомавиапрома;</w:t>
      </w:r>
    </w:p>
    <w:p w14:paraId="64BEA680"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ремонтировать самолеты, снятые с серийного производства, на заводах Наркомавиапрома и в ремонтных мастерских ВВС КА, с изготовлением запчастей для ремонта на тех же базах.</w:t>
      </w:r>
    </w:p>
    <w:p w14:paraId="01067404"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НКО (т. Жигарева) передать в течение января, февраля и марта 1942 3 тыс. моторов и 1 тыс. самолетов для капитального восстановительного ремонта на ремонтных заводах Наркомавиапрома.</w:t>
      </w:r>
    </w:p>
    <w:p w14:paraId="6F9D6610"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Сталина</w:t>
      </w:r>
    </w:p>
    <w:p w14:paraId="04615EE4"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Здесь и далее: приложения не публикуются (см. там же, л. 181-182).</w:t>
      </w:r>
    </w:p>
    <w:p w14:paraId="2681FF3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РГАСПИ.Ф. 644. Оп. 1.Д. 19. Л. 177-180. Подлинник (23605).</w:t>
      </w:r>
    </w:p>
    <w:p w14:paraId="64287ECD" w14:textId="77777777" w:rsidR="001F3545" w:rsidRPr="008A2E5A" w:rsidRDefault="001F3545" w:rsidP="001F3545">
      <w:pPr>
        <w:spacing w:after="0" w:line="240" w:lineRule="auto"/>
        <w:jc w:val="both"/>
        <w:rPr>
          <w:rFonts w:ascii="Times New Roman" w:hAnsi="Times New Roman"/>
          <w:color w:val="0070C0"/>
          <w:sz w:val="16"/>
          <w:szCs w:val="16"/>
        </w:rPr>
      </w:pPr>
    </w:p>
    <w:p w14:paraId="31FD47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вышло Постановление ГКО № 1182 О дополнительном обеспечении жилплощадью рабочих заводов НКАП в г. Куйбышеве. РГАНИР, Фонд ГКО, д. 19, лл. 184, 185-187 (11012).</w:t>
      </w:r>
    </w:p>
    <w:p w14:paraId="5C9BE82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42735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вышел приказ НКАП N 58с в исполнение постановления ГКО от 16 января N 1153с об организации Управления по снабжению самолетных и самолетно-агрегатных заводов, а также моторных и моторно-агрегатных заводов:</w:t>
      </w:r>
    </w:p>
    <w:p w14:paraId="4F48EF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Управлению по снабжению самолетных и агрегатно-самолетных заводов присвоить N 12 и в дальнейшем именовать его У по снабжению N 12</w:t>
      </w:r>
    </w:p>
    <w:p w14:paraId="3C10CB9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Управлению по снабжению моторных и агрегатно-моторных заводов присвоить N 13 и в дальнейшем именовать его У по снабжению N 13 (1523,64).</w:t>
      </w:r>
    </w:p>
    <w:p w14:paraId="6B5F344C" w14:textId="77777777" w:rsidR="00D4651C" w:rsidRPr="008127F8" w:rsidRDefault="00D4651C" w:rsidP="001E0A84">
      <w:pPr>
        <w:pStyle w:val="Iauiue"/>
        <w:jc w:val="both"/>
        <w:rPr>
          <w:color w:val="000000" w:themeColor="text1"/>
          <w:sz w:val="16"/>
          <w:szCs w:val="16"/>
        </w:rPr>
      </w:pPr>
    </w:p>
    <w:p w14:paraId="3E663CA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года Шахурин писал письмо N 20/173 зам. председателя СНК Вознесенскому.</w:t>
      </w:r>
    </w:p>
    <w:p w14:paraId="73317B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N 600 (г. Урумчи, Западный Китай), выполнил годовое задание по сборке самолетов И-16, согласно постановления СНК СССР и ЦК ВКП(б) от 14 июня 1941 года за N 1612-674сс, сдав 142 самолета И-16 ВВС.</w:t>
      </w:r>
    </w:p>
    <w:p w14:paraId="4C619D3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Впредь до решения вопроса о дальнейшей работе, заводу на первое полугодие 1942 года дано задание по изготовлению запасных частей к самолетам И-16 и Лагг-3... (2670,104).</w:t>
      </w:r>
    </w:p>
    <w:p w14:paraId="57D94861" w14:textId="77777777" w:rsidR="00D4651C" w:rsidRPr="008127F8" w:rsidRDefault="00D4651C" w:rsidP="001E0A84">
      <w:pPr>
        <w:pStyle w:val="Iauiue"/>
        <w:jc w:val="both"/>
        <w:rPr>
          <w:color w:val="000000" w:themeColor="text1"/>
          <w:sz w:val="16"/>
          <w:szCs w:val="16"/>
        </w:rPr>
      </w:pPr>
    </w:p>
    <w:p w14:paraId="45BAA5A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года зам. наркома обороны генерал-полковник Жигарев писал письмо председателю ГКО Сталину</w:t>
      </w:r>
    </w:p>
    <w:p w14:paraId="2472C20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Считаю необходимым поддержать ходатайство начальника ГУГВФ Молокова о возвращении в систему ГВФ бывшего завода № 89 для организации ремонта самолетомоторного парка ПС-84 ГВФ и ТБ-3 ВВС и производства необходимых для ремонта самолетов ТБ-3 запчастей.</w:t>
      </w:r>
    </w:p>
    <w:p w14:paraId="618A5A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В настоящее время базы для ремонта самолетов ТБ-3 нет за исключением завода № 243 ГВФ в Ташкенте, весьма удаленного от районов эксплуатации самолетов ВВС, в то время как помещения </w:t>
      </w:r>
      <w:proofErr w:type="gramStart"/>
      <w:r w:rsidRPr="008127F8">
        <w:rPr>
          <w:color w:val="000000" w:themeColor="text1"/>
          <w:sz w:val="16"/>
          <w:szCs w:val="16"/>
        </w:rPr>
        <w:t>завода № 89</w:t>
      </w:r>
      <w:proofErr w:type="gramEnd"/>
      <w:r w:rsidRPr="008127F8">
        <w:rPr>
          <w:color w:val="000000" w:themeColor="text1"/>
          <w:sz w:val="16"/>
          <w:szCs w:val="16"/>
        </w:rPr>
        <w:t xml:space="preserve"> приспособленные под ремонт самолетов больших габаритов используется под ремонт ИЛ-2, не требующих больших пролетов цехов.</w:t>
      </w:r>
    </w:p>
    <w:p w14:paraId="13C8CAF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ГВФ в результате многолетней работы по эксплуатации и ремонту тяжелых самолетов накопился большой опыт и имеется вся необходимая техническая документация, благодаря чему возвращение завода № 89 ускорит организацию ремонта самолетомоторного парка ТБ-3 (7852, 14).</w:t>
      </w:r>
    </w:p>
    <w:p w14:paraId="191F8E06" w14:textId="77777777" w:rsidR="00D4651C" w:rsidRPr="008127F8" w:rsidRDefault="00D4651C" w:rsidP="001E0A84">
      <w:pPr>
        <w:pStyle w:val="Iauiue"/>
        <w:jc w:val="both"/>
        <w:rPr>
          <w:color w:val="000000" w:themeColor="text1"/>
          <w:sz w:val="16"/>
          <w:szCs w:val="16"/>
        </w:rPr>
      </w:pPr>
    </w:p>
    <w:p w14:paraId="6A982E4E"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г. И-185 №6203 с М-71 №22 (04) облетал новый заводской лет</w:t>
      </w:r>
      <w:r w:rsidRPr="008127F8">
        <w:rPr>
          <w:rFonts w:ascii="Times New Roman" w:hAnsi="Times New Roman"/>
          <w:color w:val="000000" w:themeColor="text1"/>
          <w:sz w:val="16"/>
          <w:szCs w:val="16"/>
        </w:rPr>
        <w:softHyphen/>
        <w:t>чик-испытатель П.Е.Логинов, так как Е.Г.Уляхин в 1941 г. убыл на фронт и вскоре погиб в одном из воз</w:t>
      </w:r>
      <w:r w:rsidRPr="008127F8">
        <w:rPr>
          <w:rFonts w:ascii="Times New Roman" w:hAnsi="Times New Roman"/>
          <w:color w:val="000000" w:themeColor="text1"/>
          <w:sz w:val="16"/>
          <w:szCs w:val="16"/>
        </w:rPr>
        <w:softHyphen/>
        <w:t>душных сражений. Логинов очень осторожно подходил к испытаниям, нервничал, чем вызвал неудовольствие ведущего ин</w:t>
      </w:r>
      <w:r w:rsidRPr="008127F8">
        <w:rPr>
          <w:rFonts w:ascii="Times New Roman" w:hAnsi="Times New Roman"/>
          <w:color w:val="000000" w:themeColor="text1"/>
          <w:sz w:val="16"/>
          <w:szCs w:val="16"/>
        </w:rPr>
        <w:softHyphen/>
        <w:t>женера по И-185 В.И.Тарасова, который в докладной записке просил Поликарпова организовать дублиро</w:t>
      </w:r>
      <w:r w:rsidRPr="008127F8">
        <w:rPr>
          <w:rFonts w:ascii="Times New Roman" w:hAnsi="Times New Roman"/>
          <w:color w:val="000000" w:themeColor="text1"/>
          <w:sz w:val="16"/>
          <w:szCs w:val="16"/>
        </w:rPr>
        <w:softHyphen/>
        <w:t>ванные полеты, проводимые другим летчиком, «в ча</w:t>
      </w:r>
      <w:r w:rsidRPr="008127F8">
        <w:rPr>
          <w:rFonts w:ascii="Times New Roman" w:hAnsi="Times New Roman"/>
          <w:color w:val="000000" w:themeColor="text1"/>
          <w:sz w:val="16"/>
          <w:szCs w:val="16"/>
        </w:rPr>
        <w:softHyphen/>
        <w:t>стности, хорошо бы пригласить на испытания в качестве второго пилота капитана т. Попельнюшенко, работающего в ЛИИ (Толмачево)». Начальник летно-испытательной станции завода № 51 Герой Со</w:t>
      </w:r>
      <w:r w:rsidRPr="008127F8">
        <w:rPr>
          <w:rFonts w:ascii="Times New Roman" w:hAnsi="Times New Roman"/>
          <w:color w:val="000000" w:themeColor="text1"/>
          <w:sz w:val="16"/>
          <w:szCs w:val="16"/>
        </w:rPr>
        <w:softHyphen/>
        <w:t>ветского Союза полковник Доронин уговорил Николая Николаевича этого не делать, объясняя нервозность тем, что «плохо с работой мотора на малых оборотах». Как только Логинов освоился с машиной, вопрос от</w:t>
      </w:r>
      <w:r w:rsidRPr="008127F8">
        <w:rPr>
          <w:rFonts w:ascii="Times New Roman" w:hAnsi="Times New Roman"/>
          <w:color w:val="000000" w:themeColor="text1"/>
          <w:sz w:val="16"/>
          <w:szCs w:val="16"/>
        </w:rPr>
        <w:softHyphen/>
        <w:t>пал сам собой (10667).</w:t>
      </w:r>
    </w:p>
    <w:p w14:paraId="6B355407"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77E58DB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22 января 1942 г. состоялась I профсоюзная (объединенная) конференция завода им. Горбунова С докладом "О практических мероприятиях по реализации решений и постановлений Государственного Комитета Обороны" выступил главный инженер, и.о. директора Лещенко: "...Здесь на территории бывшего завода № 124, (ныне Казанское авиационное ПО им. Горбунова), соединились воедино два крупнейших коллектива авиационных работников.... Мы знаем немало примеров, когда наши самолеты при выходе в ночь из сборочного цеха... утром вступали в бой с фашистскими самолетами. Помимо организации производства руководству завода совместно с ЗК профсоюза приходилось решать вопросы расселения молодежи, прибывшей из ремесленных училищ... которые приехали из других городов и находятся в тяжелых и позорных условиях, не только позорных, а слов нет... Это позор для всего </w:t>
      </w:r>
      <w:proofErr w:type="gramStart"/>
      <w:r w:rsidRPr="008127F8">
        <w:rPr>
          <w:rFonts w:ascii="Times New Roman" w:hAnsi="Times New Roman"/>
          <w:color w:val="000000" w:themeColor="text1"/>
          <w:sz w:val="16"/>
          <w:szCs w:val="16"/>
        </w:rPr>
        <w:t>заводско-го</w:t>
      </w:r>
      <w:proofErr w:type="gramEnd"/>
      <w:r w:rsidRPr="008127F8">
        <w:rPr>
          <w:rFonts w:ascii="Times New Roman" w:hAnsi="Times New Roman"/>
          <w:color w:val="000000" w:themeColor="text1"/>
          <w:sz w:val="16"/>
          <w:szCs w:val="16"/>
        </w:rPr>
        <w:t xml:space="preserve"> комитета и руководства завода, который мы до сих пор не преодолели ... </w:t>
      </w:r>
      <w:proofErr w:type="gramStart"/>
      <w:r w:rsidRPr="008127F8">
        <w:rPr>
          <w:rFonts w:ascii="Times New Roman" w:hAnsi="Times New Roman"/>
          <w:color w:val="000000" w:themeColor="text1"/>
          <w:sz w:val="16"/>
          <w:szCs w:val="16"/>
        </w:rPr>
        <w:t>Я думаю</w:t>
      </w:r>
      <w:proofErr w:type="gramEnd"/>
      <w:r w:rsidRPr="008127F8">
        <w:rPr>
          <w:rFonts w:ascii="Times New Roman" w:hAnsi="Times New Roman"/>
          <w:color w:val="000000" w:themeColor="text1"/>
          <w:sz w:val="16"/>
          <w:szCs w:val="16"/>
        </w:rPr>
        <w:t xml:space="preserve"> в ближайшие 10 дней этого не будет ... Нашу молодежь мы должны спасти и вырвать из рук нечистых элементов, которые еще кое-где работают ..."</w:t>
      </w:r>
    </w:p>
    <w:p w14:paraId="3C7BC6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борьбе со вшами: "... будет оборудована вошебойка. Такую профилактику нужно немедленно делать. Если товарищ в цехе видит, что рядом стоящий товарищ почесывается, - немедленно его направить в вошебойку и прожарить одежду... Это, товарищи, серьезная и ответственная задача ..."</w:t>
      </w:r>
    </w:p>
    <w:p w14:paraId="73738A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решении жилищной проблемы: "... Леса нет, нужно подбирать другой материал. Нужно бросить все усилия на то, чтобы вокруг завода развить саманное строительство... На саманное жилье многого не нужно - нужны глина и солома. ... Нужно завод сделать грандиозным, который будет носить марку завода № 22 еще с большей доблестью, чем раньше. Для этого нужно строиться. Начинать массовую профсоюзную работу, работать над созданием трудовой дисциплины... Давайте нашу энергию, наши чемоданные настроения направим на то, чтобы создать вокруг завода поселки имени наших вождей т.т. Сталина, Буденного, Ворошилова и многих других и работать на пользу страны!" (11764)</w:t>
      </w:r>
    </w:p>
    <w:p w14:paraId="328808F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9D26823"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января 1942. Исх. № 331020с Штаб ВВС Красной Армии Начальнику УК ВВС КА Орехову.</w:t>
      </w:r>
    </w:p>
    <w:p w14:paraId="17F1F8C2"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Препровождаю список </w:t>
      </w:r>
      <w:proofErr w:type="gramStart"/>
      <w:r w:rsidRPr="008A2E5A">
        <w:rPr>
          <w:rFonts w:ascii="Times New Roman" w:hAnsi="Times New Roman"/>
          <w:color w:val="0070C0"/>
          <w:sz w:val="16"/>
          <w:szCs w:val="16"/>
        </w:rPr>
        <w:t>лиц</w:t>
      </w:r>
      <w:proofErr w:type="gramEnd"/>
      <w:r w:rsidRPr="008A2E5A">
        <w:rPr>
          <w:rFonts w:ascii="Times New Roman" w:hAnsi="Times New Roman"/>
          <w:color w:val="0070C0"/>
          <w:sz w:val="16"/>
          <w:szCs w:val="16"/>
        </w:rPr>
        <w:t xml:space="preserve"> предназначенных в Басра, Хамадан и Пехлеви. Сообщаю что отправка первой группы в Басра самолетом состоится 24 января 1942 г., для чего группу надле</w:t>
      </w:r>
      <w:r w:rsidRPr="008A2E5A">
        <w:rPr>
          <w:rFonts w:ascii="Times New Roman" w:hAnsi="Times New Roman"/>
          <w:color w:val="0070C0"/>
          <w:sz w:val="16"/>
          <w:szCs w:val="16"/>
        </w:rPr>
        <w:softHyphen/>
        <w:t>жит собрать к 12.00 23 января 1942 г. для инструктирования.</w:t>
      </w:r>
    </w:p>
    <w:p w14:paraId="38E0EFA3"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ВРИД начальника штаба ВВС КА генерал-майор авиации Беляев.</w:t>
      </w:r>
    </w:p>
    <w:p w14:paraId="28560CCB"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 № 433528сс от 22.01.1942 г.</w:t>
      </w:r>
    </w:p>
    <w:p w14:paraId="083593A7"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Начальнику общего отдела ГУ ВВС КА полковнику Дорошенко. Сообщаю список руководящего состава, убывающего 24.01.1942 г. самолетом в Басра </w:t>
      </w:r>
      <w:proofErr w:type="gramStart"/>
      <w:r w:rsidRPr="008A2E5A">
        <w:rPr>
          <w:rFonts w:ascii="Times New Roman" w:hAnsi="Times New Roman"/>
          <w:color w:val="0070C0"/>
          <w:sz w:val="16"/>
          <w:szCs w:val="16"/>
        </w:rPr>
        <w:t>согласно приказа</w:t>
      </w:r>
      <w:proofErr w:type="gramEnd"/>
      <w:r w:rsidRPr="008A2E5A">
        <w:rPr>
          <w:rFonts w:ascii="Times New Roman" w:hAnsi="Times New Roman"/>
          <w:color w:val="0070C0"/>
          <w:sz w:val="16"/>
          <w:szCs w:val="16"/>
        </w:rPr>
        <w:t xml:space="preserve"> НКО СССР № 006 от 7.01.1942 г:</w:t>
      </w:r>
    </w:p>
    <w:p w14:paraId="0A6E2139" w14:textId="77777777" w:rsidR="001F3545" w:rsidRPr="008A2E5A" w:rsidRDefault="001F3545" w:rsidP="001F3545">
      <w:pPr>
        <w:spacing w:after="0" w:line="240" w:lineRule="auto"/>
        <w:jc w:val="both"/>
        <w:rPr>
          <w:rFonts w:ascii="Times New Roman" w:hAnsi="Times New Roman"/>
          <w:color w:val="0070C0"/>
          <w:sz w:val="16"/>
          <w:szCs w:val="16"/>
        </w:rPr>
      </w:pPr>
      <w:bookmarkStart w:id="4" w:name="bookmark1433"/>
      <w:bookmarkEnd w:id="4"/>
      <w:r w:rsidRPr="008A2E5A">
        <w:rPr>
          <w:rFonts w:ascii="Times New Roman" w:hAnsi="Times New Roman"/>
          <w:color w:val="0070C0"/>
          <w:sz w:val="16"/>
          <w:szCs w:val="16"/>
        </w:rPr>
        <w:t>Полковник Муравьев Виктор Сергеевич.</w:t>
      </w:r>
    </w:p>
    <w:p w14:paraId="3DFD39FC" w14:textId="77777777" w:rsidR="001F3545" w:rsidRPr="008A2E5A" w:rsidRDefault="001F3545" w:rsidP="001F3545">
      <w:pPr>
        <w:spacing w:after="0" w:line="240" w:lineRule="auto"/>
        <w:jc w:val="both"/>
        <w:rPr>
          <w:rFonts w:ascii="Times New Roman" w:hAnsi="Times New Roman"/>
          <w:color w:val="0070C0"/>
          <w:sz w:val="16"/>
          <w:szCs w:val="16"/>
        </w:rPr>
      </w:pPr>
      <w:bookmarkStart w:id="5" w:name="bookmark1434"/>
      <w:bookmarkEnd w:id="5"/>
      <w:r w:rsidRPr="008A2E5A">
        <w:rPr>
          <w:rFonts w:ascii="Times New Roman" w:hAnsi="Times New Roman"/>
          <w:color w:val="0070C0"/>
          <w:sz w:val="16"/>
          <w:szCs w:val="16"/>
        </w:rPr>
        <w:t>Полковой комиссар Ташин Виктор Викторович.</w:t>
      </w:r>
    </w:p>
    <w:p w14:paraId="36A64DD1" w14:textId="77777777" w:rsidR="001F3545" w:rsidRPr="008A2E5A" w:rsidRDefault="001F3545" w:rsidP="001F3545">
      <w:pPr>
        <w:spacing w:after="0" w:line="240" w:lineRule="auto"/>
        <w:jc w:val="both"/>
        <w:rPr>
          <w:rFonts w:ascii="Times New Roman" w:hAnsi="Times New Roman"/>
          <w:color w:val="0070C0"/>
          <w:sz w:val="16"/>
          <w:szCs w:val="16"/>
        </w:rPr>
      </w:pPr>
      <w:bookmarkStart w:id="6" w:name="bookmark1435"/>
      <w:bookmarkEnd w:id="6"/>
      <w:r w:rsidRPr="008A2E5A">
        <w:rPr>
          <w:rFonts w:ascii="Times New Roman" w:hAnsi="Times New Roman"/>
          <w:color w:val="0070C0"/>
          <w:sz w:val="16"/>
          <w:szCs w:val="16"/>
        </w:rPr>
        <w:t>Военинженер 2 ранга Трекин Андрей Андреевич.</w:t>
      </w:r>
    </w:p>
    <w:p w14:paraId="25041987" w14:textId="77777777" w:rsidR="001F3545" w:rsidRPr="008A2E5A" w:rsidRDefault="001F3545" w:rsidP="001F3545">
      <w:pPr>
        <w:spacing w:after="0" w:line="240" w:lineRule="auto"/>
        <w:jc w:val="both"/>
        <w:rPr>
          <w:rFonts w:ascii="Times New Roman" w:hAnsi="Times New Roman"/>
          <w:color w:val="0070C0"/>
          <w:sz w:val="16"/>
          <w:szCs w:val="16"/>
        </w:rPr>
      </w:pPr>
      <w:bookmarkStart w:id="7" w:name="bookmark1436"/>
      <w:bookmarkEnd w:id="7"/>
      <w:r w:rsidRPr="008A2E5A">
        <w:rPr>
          <w:rFonts w:ascii="Times New Roman" w:hAnsi="Times New Roman"/>
          <w:color w:val="0070C0"/>
          <w:sz w:val="16"/>
          <w:szCs w:val="16"/>
        </w:rPr>
        <w:t>Военинженер 3 ранга</w:t>
      </w:r>
    </w:p>
    <w:p w14:paraId="29541847"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Половинкин Валентин Сергеевич.</w:t>
      </w:r>
    </w:p>
    <w:p w14:paraId="1A34132B" w14:textId="77777777" w:rsidR="001F3545" w:rsidRPr="008A2E5A" w:rsidRDefault="001F3545" w:rsidP="001F3545">
      <w:pPr>
        <w:spacing w:after="0" w:line="240" w:lineRule="auto"/>
        <w:jc w:val="both"/>
        <w:rPr>
          <w:rFonts w:ascii="Times New Roman" w:hAnsi="Times New Roman"/>
          <w:color w:val="0070C0"/>
          <w:sz w:val="16"/>
          <w:szCs w:val="16"/>
        </w:rPr>
      </w:pPr>
      <w:bookmarkStart w:id="8" w:name="bookmark1437"/>
      <w:bookmarkEnd w:id="8"/>
      <w:r w:rsidRPr="008A2E5A">
        <w:rPr>
          <w:rFonts w:ascii="Times New Roman" w:hAnsi="Times New Roman"/>
          <w:color w:val="0070C0"/>
          <w:sz w:val="16"/>
          <w:szCs w:val="16"/>
        </w:rPr>
        <w:t>Военинженер 3 ранга</w:t>
      </w:r>
    </w:p>
    <w:p w14:paraId="5AD01503"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Яцкевич Александр Филиппович.</w:t>
      </w:r>
    </w:p>
    <w:p w14:paraId="7BC2FD5C" w14:textId="77777777" w:rsidR="001F3545" w:rsidRPr="008A2E5A" w:rsidRDefault="001F3545" w:rsidP="001F3545">
      <w:pPr>
        <w:spacing w:after="0" w:line="240" w:lineRule="auto"/>
        <w:jc w:val="both"/>
        <w:rPr>
          <w:rFonts w:ascii="Times New Roman" w:hAnsi="Times New Roman"/>
          <w:color w:val="0070C0"/>
          <w:sz w:val="16"/>
          <w:szCs w:val="16"/>
        </w:rPr>
      </w:pPr>
      <w:bookmarkStart w:id="9" w:name="bookmark1438"/>
      <w:bookmarkEnd w:id="9"/>
      <w:r w:rsidRPr="008A2E5A">
        <w:rPr>
          <w:rFonts w:ascii="Times New Roman" w:hAnsi="Times New Roman"/>
          <w:color w:val="0070C0"/>
          <w:sz w:val="16"/>
          <w:szCs w:val="16"/>
        </w:rPr>
        <w:t>Военинженер 2 ранга</w:t>
      </w:r>
    </w:p>
    <w:p w14:paraId="027EBA7F"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Радоминов Евгений Гаврилович.</w:t>
      </w:r>
    </w:p>
    <w:p w14:paraId="52C54838" w14:textId="77777777" w:rsidR="001F3545" w:rsidRPr="008A2E5A" w:rsidRDefault="001F3545" w:rsidP="001F3545">
      <w:pPr>
        <w:spacing w:after="0" w:line="240" w:lineRule="auto"/>
        <w:jc w:val="both"/>
        <w:rPr>
          <w:rFonts w:ascii="Times New Roman" w:hAnsi="Times New Roman"/>
          <w:color w:val="0070C0"/>
          <w:sz w:val="16"/>
          <w:szCs w:val="16"/>
        </w:rPr>
      </w:pPr>
      <w:bookmarkStart w:id="10" w:name="bookmark1439"/>
      <w:bookmarkEnd w:id="10"/>
      <w:r w:rsidRPr="008A2E5A">
        <w:rPr>
          <w:rFonts w:ascii="Times New Roman" w:hAnsi="Times New Roman"/>
          <w:color w:val="0070C0"/>
          <w:sz w:val="16"/>
          <w:szCs w:val="16"/>
        </w:rPr>
        <w:t>Лейтенант Колосков Федор Михайлович.</w:t>
      </w:r>
    </w:p>
    <w:p w14:paraId="75705B05" w14:textId="77777777" w:rsidR="001F3545" w:rsidRPr="008A2E5A" w:rsidRDefault="001F3545" w:rsidP="001F3545">
      <w:pPr>
        <w:spacing w:after="0" w:line="240" w:lineRule="auto"/>
        <w:jc w:val="both"/>
        <w:rPr>
          <w:rFonts w:ascii="Times New Roman" w:hAnsi="Times New Roman"/>
          <w:color w:val="0070C0"/>
          <w:sz w:val="16"/>
          <w:szCs w:val="16"/>
        </w:rPr>
      </w:pPr>
      <w:bookmarkStart w:id="11" w:name="bookmark1440"/>
      <w:bookmarkEnd w:id="11"/>
      <w:r w:rsidRPr="008A2E5A">
        <w:rPr>
          <w:rFonts w:ascii="Times New Roman" w:hAnsi="Times New Roman"/>
          <w:color w:val="0070C0"/>
          <w:sz w:val="16"/>
          <w:szCs w:val="16"/>
        </w:rPr>
        <w:t>Воентехник 1 ранга Здорик Юрий Михайлович.</w:t>
      </w:r>
    </w:p>
    <w:p w14:paraId="7260B504"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УК ВВС КА бригинженер Орехов (24342).</w:t>
      </w:r>
    </w:p>
    <w:p w14:paraId="030D515E" w14:textId="77777777" w:rsidR="001F3545" w:rsidRPr="008A2E5A" w:rsidRDefault="001F3545" w:rsidP="001F3545">
      <w:pPr>
        <w:spacing w:after="0" w:line="240" w:lineRule="auto"/>
        <w:jc w:val="both"/>
        <w:rPr>
          <w:rFonts w:ascii="Times New Roman" w:hAnsi="Times New Roman"/>
          <w:color w:val="0070C0"/>
          <w:sz w:val="16"/>
          <w:szCs w:val="16"/>
        </w:rPr>
      </w:pPr>
    </w:p>
    <w:p w14:paraId="27CD671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lastRenderedPageBreak/>
        <w:t>Другие оборонные отрасли:</w:t>
      </w:r>
    </w:p>
    <w:p w14:paraId="0DF9ACE3" w14:textId="77777777" w:rsidR="00D4651C" w:rsidRPr="008127F8" w:rsidRDefault="00D4651C" w:rsidP="001E0A84">
      <w:pPr>
        <w:pStyle w:val="Iauiue"/>
        <w:jc w:val="both"/>
        <w:rPr>
          <w:iCs/>
          <w:color w:val="000000" w:themeColor="text1"/>
          <w:sz w:val="16"/>
          <w:szCs w:val="16"/>
        </w:rPr>
      </w:pPr>
    </w:p>
    <w:p w14:paraId="3E6A42C7"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w:t>
      </w:r>
    </w:p>
    <w:p w14:paraId="0D909C9F"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49</w:t>
      </w:r>
    </w:p>
    <w:p w14:paraId="7FD5287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22.1-42 г. № 655</w:t>
      </w:r>
    </w:p>
    <w:p w14:paraId="2F7D8F75" w14:textId="7A76CD78"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7EF540A9"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1BE8656"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СССР</w:t>
      </w:r>
    </w:p>
    <w:p w14:paraId="25345D4C"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129-Мс</w:t>
      </w:r>
    </w:p>
    <w:p w14:paraId="64EBEE18"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A1A057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г.</w:t>
      </w:r>
    </w:p>
    <w:p w14:paraId="635115B3" w14:textId="5BE77A7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распоряжением СНК СССР от 20.I-42 г. за № 1018-рс, – ПРИКАЗЫВАЮ:</w:t>
      </w:r>
      <w:r w:rsidR="008127F8">
        <w:rPr>
          <w:rFonts w:ascii="Times New Roman" w:hAnsi="Times New Roman"/>
          <w:color w:val="000000" w:themeColor="text1"/>
          <w:sz w:val="16"/>
          <w:szCs w:val="16"/>
        </w:rPr>
        <w:t xml:space="preserve">  </w:t>
      </w:r>
    </w:p>
    <w:p w14:paraId="38BA61F3" w14:textId="0FC1D4A1"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директора завода № 173 т. ШОР немедленно отправить одну 100 куб. кислородную установку комплектно со всем оборудованием в Сталинград заводу № 264.</w:t>
      </w:r>
      <w:r w:rsidR="008127F8">
        <w:rPr>
          <w:rFonts w:ascii="Times New Roman" w:hAnsi="Times New Roman"/>
          <w:color w:val="000000" w:themeColor="text1"/>
          <w:sz w:val="16"/>
          <w:szCs w:val="16"/>
        </w:rPr>
        <w:t xml:space="preserve">  </w:t>
      </w:r>
    </w:p>
    <w:p w14:paraId="614C6CA9" w14:textId="152D3E2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Тов. ЗЕРНОВУ командировать представителя завода для быстрейшего продвижения этой установки, после прибытия немедленно приступить к монтажу.</w:t>
      </w:r>
      <w:r w:rsidR="008127F8">
        <w:rPr>
          <w:rFonts w:ascii="Times New Roman" w:hAnsi="Times New Roman"/>
          <w:color w:val="000000" w:themeColor="text1"/>
          <w:sz w:val="16"/>
          <w:szCs w:val="16"/>
        </w:rPr>
        <w:t xml:space="preserve">  </w:t>
      </w:r>
    </w:p>
    <w:p w14:paraId="4BF170E0" w14:textId="16A59804"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Транспортного отдела НКТП т. КОСОЛАПОВУ немедленно обеспечить переброску кислородной установки из Омска в Сталинград.</w:t>
      </w:r>
      <w:r w:rsidR="008127F8">
        <w:rPr>
          <w:rFonts w:ascii="Times New Roman" w:hAnsi="Times New Roman"/>
          <w:color w:val="000000" w:themeColor="text1"/>
          <w:sz w:val="16"/>
          <w:szCs w:val="16"/>
        </w:rPr>
        <w:t xml:space="preserve">  </w:t>
      </w:r>
    </w:p>
    <w:p w14:paraId="08842748" w14:textId="5D80227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Тов. Шору и т. ЗЕРНОВУ учесть, что вышеуказанным распоряжением СНК СССР обязаны:</w:t>
      </w:r>
      <w:r w:rsidR="008127F8">
        <w:rPr>
          <w:rFonts w:ascii="Times New Roman" w:hAnsi="Times New Roman"/>
          <w:color w:val="000000" w:themeColor="text1"/>
          <w:sz w:val="16"/>
          <w:szCs w:val="16"/>
        </w:rPr>
        <w:t xml:space="preserve">  </w:t>
      </w:r>
    </w:p>
    <w:p w14:paraId="50E3A9D5" w14:textId="7B475BD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НКПС – подать незамедлительно 5 вагонов на Омский завод и обеспечить беспрепятственное продвижение их в адрес завода № 264;</w:t>
      </w:r>
      <w:r w:rsidR="008127F8">
        <w:rPr>
          <w:rFonts w:ascii="Times New Roman" w:hAnsi="Times New Roman"/>
          <w:color w:val="000000" w:themeColor="text1"/>
          <w:sz w:val="16"/>
          <w:szCs w:val="16"/>
        </w:rPr>
        <w:t xml:space="preserve">  </w:t>
      </w:r>
    </w:p>
    <w:p w14:paraId="48F71E74"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Наркомтяжмаш – по требованию НКТП командировать 2-х специалистов для оказания помощи заводу № 264 по монтажу и пуску указанной установки.</w:t>
      </w:r>
    </w:p>
    <w:p w14:paraId="4B582C5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10A91A03"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(СТЕПАНОВ)</w:t>
      </w:r>
    </w:p>
    <w:p w14:paraId="42579EDC"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(18239).</w:t>
      </w:r>
    </w:p>
    <w:p w14:paraId="3676397C"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794448DB"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января 1942 г. Шифротелеграмма наркома танковой промышленности СССР В. А. Малышева заместителю наркома танковой промышленности А. А. Горегляду, директору Сталинградского тракторного завода К. А. Задорожному и директору завода № 264 П.М. Зернову о наращивании выпуска танков Т-34</w:t>
      </w:r>
    </w:p>
    <w:p w14:paraId="4BABE00F"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2-401</w:t>
      </w:r>
    </w:p>
    <w:p w14:paraId="1BBF8BDF"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Шифровка</w:t>
      </w:r>
    </w:p>
    <w:p w14:paraId="1E65BD7C"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Молния</w:t>
      </w:r>
    </w:p>
    <w:p w14:paraId="4022FEDC"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Сталинград. Тракторный. Горегляду, Задорожному, завод № 264 Зернову</w:t>
      </w:r>
    </w:p>
    <w:p w14:paraId="19981C5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Копия: обком партии Чуянову</w:t>
      </w:r>
    </w:p>
    <w:p w14:paraId="7B83BD9F"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 Сталин сегодня дал мне устное указание всемерно увеличить выпуск танков Т-34 в самое ближайшее время. Этот танк показал хорошую работу в условиях зимы.</w:t>
      </w:r>
    </w:p>
    <w:p w14:paraId="080E6750"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приложить все силы к увеличению выпуска танков и корпусов.</w:t>
      </w:r>
    </w:p>
    <w:p w14:paraId="2B9E26EE"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Мобилизуйте на заводах всех людей и все материальные средства для увеличения выпуска до 12-13 штук в день и для выполнения указания товарища Сталина1 2.</w:t>
      </w:r>
    </w:p>
    <w:p w14:paraId="6D483B25"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Малышев</w:t>
      </w:r>
    </w:p>
    <w:p w14:paraId="0711ED9C"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17. Оп. 167. Д. 61. Л. 41. Подлинник. Автограф на бланке заместителя председателя СНК СССР В. А. Малышева.</w:t>
      </w:r>
    </w:p>
    <w:p w14:paraId="55D53431"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Аналогичные телеграммы В. А. Малышев в тот же день направил в адрес нижнетагильского Уралвагонзавода, свердловского Уралтурбозавода и в г. Горький заводу «Красное Сормово»</w:t>
      </w:r>
    </w:p>
    <w:p w14:paraId="6F401051"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17. Оп. 167. Д. 61. Л. 42-44) (24005).</w:t>
      </w:r>
    </w:p>
    <w:p w14:paraId="07BEEF70" w14:textId="77777777" w:rsidR="001F3545" w:rsidRPr="008A2E5A" w:rsidRDefault="001F3545" w:rsidP="001F3545">
      <w:pPr>
        <w:spacing w:after="0" w:line="240" w:lineRule="auto"/>
        <w:jc w:val="both"/>
        <w:rPr>
          <w:rFonts w:ascii="Times New Roman" w:hAnsi="Times New Roman"/>
          <w:color w:val="0070C0"/>
          <w:sz w:val="16"/>
          <w:szCs w:val="16"/>
        </w:rPr>
      </w:pPr>
    </w:p>
    <w:p w14:paraId="70882289"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22 января 1942 вышло Постановление ГКО № 1181 О передаче материальных ресурсов и строительных организаций со строительства Сталинградских рубежей на строительство Бакальского завода [Челябинская обл.]. (7020, 183).</w:t>
      </w:r>
    </w:p>
    <w:p w14:paraId="31A1CF77" w14:textId="77777777" w:rsidR="00D4651C" w:rsidRPr="008127F8" w:rsidRDefault="00D4651C" w:rsidP="001E0A84">
      <w:pPr>
        <w:pStyle w:val="Iauiue"/>
        <w:tabs>
          <w:tab w:val="left" w:pos="11199"/>
        </w:tabs>
        <w:jc w:val="both"/>
        <w:rPr>
          <w:color w:val="000000" w:themeColor="text1"/>
          <w:sz w:val="16"/>
          <w:szCs w:val="16"/>
        </w:rPr>
      </w:pPr>
    </w:p>
    <w:p w14:paraId="27A0DF1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22 января 1942 года Государственный Комитет Обороны принял решение: "Поручить бригинженеру Комаровскому — ком. 5-й СА, людей, освободившихся на оборонительном рубеже Сталинградской области (строительных организаций Наркомстроя) в составе: инженеров и техников — 400 чел., мастеров и квалифицированных рабочих — 6 тысяч чел., вместе с автотранспортом и строймеханизмами направить на Бакалстрой" (11572).</w:t>
      </w:r>
    </w:p>
    <w:p w14:paraId="619AA362"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 По сути, все придется начинать с нуля, — разъяснили Александру Комаровскому в ЦК ВКП(б). — И если по довоенному плану первую очередь завода намечалось пустить в 1944 году, то вы должны дать сталь не позже второй половины 1943 года. Для победы нужны металл, качественные стали, производство которых должно быть развернуто на будущем заводе. На особую помощь не рассчитывайте. Обкому даны указания всемерно помогать вам. Но вы не один будете у него. Челябинская область перегружена эвакуированными предприятиями. Словом, считайте себя на фронте, находите решение сложных вопросов сами. Но во всех случаях сталь должна быть в 1943 году. </w:t>
      </w:r>
    </w:p>
    <w:p w14:paraId="047ACB62"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Отряды 5-й армии прибыли на Першинскую площадку (ее площадь составляла до 50 кв. километров, а площадь первой очереди завода - 1200 гектаров!) лишь в феврале - апреле 1942 года. Между тем, строительство там уже разворачивалось. К марту на стройке работало уже более 30 тыс. человек, из которых три четверти были зэками или "трудармейцами" (т.е. тоже зэками). Из прибрежного ивняка реки Миасс плелись щиты, которые устанавливались на деревянных каркасах. Пространство между щитами забивалось талой глиной, ее добывали из-под двухметрового замерзшего грунта. Щиты составляли верхнюю половину жилищ, нижняя из одного слоя плетенок заземлялась. Леса было крайне мало. Поэтому он шел на каркас и пологие крыши. Сверху на крыши укладывался толь, затем шлак, на него слой мелко утрамбованной земли и дерн. Получались полуземлянки. В лагере ощущалась нехватка воды. </w:t>
      </w:r>
    </w:p>
    <w:p w14:paraId="75D92DD7"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Помимо сооружения домн, электросталеплавильного цеха и огромного прокатного цеха, в первую очередь строительства завода входило также сооружение чугунолитейного, кузнечного, ремонтно-механического и деревообделочного цехов, завода огнеупоров. Необходимо было также построить плотину на реке Миасс с береговой насосной станцией, центральную компрессорную, ТЭЦ и все магистральные коммуникации. На стройке катастрофически не хватало механизмов. По официальной информации, на огромном объекте работало всего 480 износившихся грузовых автомашин, 32 паровоза и 300 вагонов, 15 экскаваторов общей емкостью около 14 кубических метров, 27 бетономешалок и 13 камнедробилок. По воспоминаниям зэков и трудармейцев, все работы делались вручную. </w:t>
      </w:r>
    </w:p>
    <w:p w14:paraId="27C076A3"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"Брали в руки лопаты, чтобы кротами врыться в землю, соорудить котлованы под фундаменты для первой доменной печи, первого прокатного стана, электросталеплавильного завода, коксовых батарей и многочисленных подземных коммуникаций.</w:t>
      </w:r>
    </w:p>
    <w:p w14:paraId="1D94037D"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8-тысячная армия узников 7-го стройотряда все эти годы была закреплена за тремя вытянутыми в одну линию объектами: доменными печами, прокатными цехами, а потом и теплоэлектроцентралью. Всё здесь, как и в других местах гигантской стройки, делалось вручную. Не было никакой землеройной техники, за исключением одного экскаватора. Не имелось и подъёмных механизмов. «Стакан» под фундамент первой доменной печи, глубиной 40 метров, выкапывали так: каждая лопата земли - мягкой, твёрдой, сухой или слякотной - перекидывалась с одной полки на следующую, пока не достигала, наконец, поверхности. Сотни тачек отвозили её по узким дощатым дорожкам как можно дальше, чтобы оставить место для той земли, которая ещё выйдет на-гора. 11-метровые и помельче выемки под прокатные станы и другие объекты выбирали методом пандусов - достаточно наклонённых стен котлована, по которым - опять-таки тачками, но с буксиром - вывозились десятки тысяч кубометров земли, часть которой после бетонирования фундамента нужно было возвратить на место. Но Бакалстрой в 1942 году </w:t>
      </w:r>
      <w:proofErr w:type="gramStart"/>
      <w:r w:rsidRPr="008127F8">
        <w:rPr>
          <w:i w:val="0"/>
          <w:iCs w:val="0"/>
          <w:color w:val="000000" w:themeColor="text1"/>
          <w:spacing w:val="0"/>
          <w:kern w:val="0"/>
          <w:position w:val="0"/>
          <w:sz w:val="16"/>
          <w:szCs w:val="16"/>
        </w:rPr>
        <w:t>- это</w:t>
      </w:r>
      <w:proofErr w:type="gramEnd"/>
      <w:r w:rsidRPr="008127F8">
        <w:rPr>
          <w:i w:val="0"/>
          <w:iCs w:val="0"/>
          <w:color w:val="000000" w:themeColor="text1"/>
          <w:spacing w:val="0"/>
          <w:kern w:val="0"/>
          <w:position w:val="0"/>
          <w:sz w:val="16"/>
          <w:szCs w:val="16"/>
        </w:rPr>
        <w:t xml:space="preserve"> не только стройплощадка, не одни земляные, бетонные и монтажные работы. На главные объекты трудились и многочисленные подсобники: бетонные заводы, деревообрабатывающий..., вспоминает трудармеец Вольтер. Всего в Бакаллаге на тот момент (лето и осень 1942 года) трудилось до 16 отрядов зэков, численность каждого отряда составляла от 4 до 8 тыс. человек. Естественно, что не все они были заняты на главной стройке, часть строила вспомогательные объекты. Лагупнкты трудармейцев находились вблизи строящимихся объектов (Доменстроя, Стальпрокатстроя, Коксохимстроя, Жилстроя), а вокруг всей стройки был сооружен гигантский периметр охраны, с колючей проволокой и вышками.</w:t>
      </w:r>
    </w:p>
    <w:p w14:paraId="525695B2"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Хотя в официальной истории ЧМК упор стандартно делается на чудесном "героическом порыве трудящихся масс", самопроизвольно работавших без выходных по 12 часов в сутки, реалии "социалистического чуда" были намного проще и упирались в биологическое выживание. Тем, кто выполнял норму, давали "второй котел" - 600 грамм т.н. "хлеба" и две порции т.н. "супа". Ударникам сталинского труда выдавался "третий котел" - три порции баланды и 750 грамм "хлеба". Штрафники, не выполняющие нормы получали первый котел - 400 грамм условного хлеба и один черпак баланды. Получался замкнутый круг - хочешь выжить, надо работать. Чтобы работать и зарабатывать сверх нормы нужны были силы, которые давала еда. Однако лагерная еда даже в лучшем случае, если питаться по третьему котлу, не позволяла их восполнять. Поскольку возможности человеческого организма не беспредельны (что есть медицинский факт), то рано или поздно попавшего в такое беличье колесо человека ждала смерть. Поэтому одним из наиболее распространенных способов выживания в Бакаллаге были приписки численного состава. Дело доходило до того, что зэки скрывали умерших от начальства - с целью получить за них пайку. Сказывалось также и то, что руководитель стройки - Александр Комаровский, отлично понимал эти трудности и не зверствовал больше нужного (нужного в тогдашнем понимании). По воспоминаниям уцелевших очевидцев, его </w:t>
      </w:r>
      <w:r w:rsidRPr="008127F8">
        <w:rPr>
          <w:i w:val="0"/>
          <w:iCs w:val="0"/>
          <w:color w:val="000000" w:themeColor="text1"/>
          <w:spacing w:val="0"/>
          <w:kern w:val="0"/>
          <w:position w:val="0"/>
          <w:sz w:val="16"/>
          <w:szCs w:val="16"/>
        </w:rPr>
        <w:lastRenderedPageBreak/>
        <w:t xml:space="preserve">адьютанты, например, даже раздавали иногда зэкам сигареты, что было для последних верхом счастья. Или, к слову, Комаровский считал рацион в 300 грамм хлеба для больных в лазарете "недостаточным". </w:t>
      </w:r>
    </w:p>
    <w:p w14:paraId="5EB9ABD9"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В отличие от электрометаллургического и прокатного цеха, строительство домн шло медленно. Дело было в том, что несмотря на массовый "героизм", ручное строительство этих огромных объектов шло закономерно трудно. Мало того - не хватало доменного оборудования. В 1941 году на Бакал прибыло оборудование с Новолипецкого метзавода, которое, правда, весной 1942 года отправили обратно, поскольку руководство СССР посчитало, что угроза самому Липецку отсутствует. Жизнь скорректировала эти планы, и в августе 1942 года доменное оборудование с НЛМЗ поехало в очередной раз в обратном направлении, поскольку в виду германского наступления на Юге возникла угроза захвата Липецка. Поэтому домны были окончательно сооружены лишь весной 1944 года. 30 апреля первая доменная печь (930 кубометров объемом) выдала первый чугун, а 2 августа на коксовой батареи № 1 получен первый кокс. 30 декабря 1944 года вступила в строй вторая коксовая батарея, 31 декабря выдала чугун вторая доменная печь (930 кубометров объемом) (11572).</w:t>
      </w:r>
    </w:p>
    <w:p w14:paraId="14028A0A" w14:textId="77777777" w:rsidR="00D4651C" w:rsidRPr="008127F8" w:rsidRDefault="00D4651C" w:rsidP="001E0A84">
      <w:pPr>
        <w:pStyle w:val="afff5"/>
        <w:jc w:val="both"/>
        <w:rPr>
          <w:i w:val="0"/>
          <w:iCs w:val="0"/>
          <w:color w:val="000000" w:themeColor="text1"/>
          <w:spacing w:val="0"/>
          <w:kern w:val="0"/>
          <w:position w:val="0"/>
          <w:sz w:val="16"/>
          <w:szCs w:val="16"/>
        </w:rPr>
      </w:pPr>
    </w:p>
    <w:p w14:paraId="40764BD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154774E2" w14:textId="77777777" w:rsidR="00D4651C" w:rsidRPr="008127F8" w:rsidRDefault="00D4651C" w:rsidP="001E0A84">
      <w:pPr>
        <w:pStyle w:val="Iauiue"/>
        <w:jc w:val="both"/>
        <w:rPr>
          <w:iCs/>
          <w:color w:val="000000" w:themeColor="text1"/>
          <w:sz w:val="16"/>
          <w:szCs w:val="16"/>
        </w:rPr>
      </w:pPr>
    </w:p>
    <w:p w14:paraId="715BC16A"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6817EC00"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22 января наши войска продолжали вести активные боевые действия против немецко-фашистских войск.</w:t>
      </w:r>
    </w:p>
    <w:p w14:paraId="78C5BCCC"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бойцы, преодолевая сопротивлений гитлеровцев, захватили 11 орудий, 54 автомашины, 15 мотоциклов и другое военное имущество. На другом участке часть тов. Селезнёва за два дня ожесточённых боёв с противником нанесла немцам большой урон и захватила орудие, миномёт, 11 пулемётов, 1.500 снарядов, 21.000 патронов и другие трофеи.</w:t>
      </w:r>
    </w:p>
    <w:p w14:paraId="54E8E78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Южном фронте, за два дня боёв захватила 30 вражеских орудий, 28 пулемётов, 12 миномётов и 300 подвод с военным имуществом. Противник потерял убитыми 1.400 солдат и офицеров.</w:t>
      </w:r>
    </w:p>
    <w:p w14:paraId="060704FB"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засели в сильно укреплённом населённом пункте Д. Красноармеец Пискунов, перебегая от дома к дому, забрасывал их гранатами и уничтожал огневые точки врага. Только в одном из домов тов. Пискунов поразил 8 немецких солдат.</w:t>
      </w:r>
    </w:p>
    <w:p w14:paraId="5656C9FA"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которым командует тов. П., взорвал крупный железнодорожный мост и тем самым на 10 дней приостановил движение поездов, подвозивших боеприпасы немецким войскам. Этот же отряд взорвал два деревянных моста, во многих местах разрушил телефонную связь противника и минировал стратегические дороги.</w:t>
      </w:r>
    </w:p>
    <w:p w14:paraId="5A8F6FE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2 дивизиона 67 немецкого полка армейской артиллерии Роберт Михаэлис сообщил: «Солдаты из самых различных частей говорят, что в русском походе немецкая армия потеряла огромное количество танков. Например, в 10 танковой дивизии осталось не больше 15 танков, 4 армейская группа потеряла под Ленинградом 80 танков. Колоссальные потери эта группа понесла затем у Можайска, где погибло свыше 30 процентов танков. Сейчас остро ощущается недостаток запасных частей к машинам и орудиям. Приходилось из двух машин составлять одну».</w:t>
      </w:r>
    </w:p>
    <w:p w14:paraId="4BC418C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штабной роты 240 полка 106 немецкой пехотной дивизии Петер Энгель рассказал: «За время последних боёв наш полк потерял 75 процентов личного состава. Я слышал, как командир батальона майор Геральд недавно жаловался командиру полка Гинзенберу: «С солдатами теперь ничего нельзя поделать. Они не удерживают позиции, а бегут назад. Никакие ругательства и даже угрозы оружием уже не действуют».</w:t>
      </w:r>
    </w:p>
    <w:p w14:paraId="3CF8594C"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освобождённой от немецких оккупантов деревни Варваровка, Медынского района, Смоленской области, составили акт о зверствах гитлеровских мерзавцев. В акте говорится, что немцы ограбили всех крестьян, а при отступлении из деревни подожгли её. Жителей, пытавшихся выбежать из горящих домов, немцы расстреливали. Среди убитых — Платова О.Л. и её два сына, Творогова А.С. и её дочь шести лет, Ильин В.В., его жена, пять дочерей и сын, Жижин В.Д. и два его сына.» (15017).</w:t>
      </w:r>
    </w:p>
    <w:p w14:paraId="1E8696DF"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2C56AFD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14A3D7B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января наши войска продолжали продвигаться на запад. Наши части заняли несколько населённых пунктов и в числе их г. Уварово (районный центр Московской области).</w:t>
      </w:r>
    </w:p>
    <w:p w14:paraId="6C976BC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января уничтожено 15 немецких самолётов. Наши потери — 4 самолёта.</w:t>
      </w:r>
    </w:p>
    <w:p w14:paraId="080FC65C"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января под Москвой сбито 5 немецких самолётов.</w:t>
      </w:r>
    </w:p>
    <w:p w14:paraId="60396919"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января части нашей авиации уничтожили 10 немецких танков, 850 автомашин с пехотой и грузами, более 550 повозок с боеприпасами, 32 орудия с прислугой, 10 зенитно-пулемётных точек, разрушили 35 железнодорожных вагонов, подожгли 11 железнодорожных эшелонов, взорвали склад с боеприпасами и склад с горючим, рассеяли и частью истребили до 5 полков пехоты и 3 эскадрона конницы противника.</w:t>
      </w:r>
    </w:p>
    <w:p w14:paraId="1581CE55"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выбив противника из важного населённого пункта, захватила 60 вражеских автомашин, 40 мотоциклов, 16 различных орудий, 2 самолёта, 200 бочек с бензином, склады стрелкового и интендантского снаряжения и другие трофеи. На другом участке наши бойцы захватили 5 немецких танков, 8 орудий, 38 автомашин, 200 велосипедов, 8 пулемётов, 5 миномётов и много другого оружия, отбитого у отступающего противника.</w:t>
      </w:r>
    </w:p>
    <w:p w14:paraId="2FD55C1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танковая часть на одном из участков Ленинградского фронта за три дня боёв уничтожила 10 немецких танков, 3 вездехода, 10 орудий и разрушила 7 блиндажей. В результате действий танкистов нашей части немцы потеряли за это время 250 солдат и офицеров.</w:t>
      </w:r>
    </w:p>
    <w:p w14:paraId="273A7D3A"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К. лейтенант Разумов вместе с пятью красноармейцами установил у одного из сараев станковый пулемёт и 16 часов обстреливал засевших в деревне немцев. На позицию, занятую отважными бойцами, фашисты направили 3 средних танка. Лейтенант приказал красноармейцам Орлову и Галактионову подтащить к сараю брошенное противником противотанковое орудие и, открыв из него меткий огонь, подбил головную машину. Остальные повернули обратно.</w:t>
      </w:r>
    </w:p>
    <w:p w14:paraId="09E2ED9E"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калининских партизан под командованием тов. Т. разгромил немецкую автоколонну. Уничтожено 5 автомашин с военным имуществом, убито 22 немецких солдата и офицера.</w:t>
      </w:r>
    </w:p>
    <w:p w14:paraId="61C28E2E"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захватили секретное письмо санитарной части 26 немецкой пехотной дивизии командирам подразделений. Этот документ свидетельствует о том, что физические силы многих гитлеровских солдат истощены и моральное состояние их подорвано. Приводим выдержку из этого секретного письма: «За последнее время участились случаи поступления в санитарные части дивизии солдат, находящихся в чрезвычайно обессиленном состоянии. Эти исхудавшие стрелки непригодны как солдаты ни физически, ни морально. Обращает на себя внимание их полное безразличие ко всему окружающему, притупление всех чувств. У них ужасно опустившийся внешний вид; они абсолютно не придерживаются элементарных правил чистоты (ходят под себя). Зачастую такое поведение объясняют симуляцией. Однако эти признаки болезни должны бросаться в глаза начальнику...».</w:t>
      </w:r>
    </w:p>
    <w:p w14:paraId="7FD554F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своего пребывания в городе Можайске гитлеровцы разгромили Дом культуры, разграбили все экспонаты местного краеведческого музея, выбросили из шкафов и сожгли много тысяч ценных книг городской библиотеки, взорвали здания гидростанции и городского кинотеатра. Немецко-фашистские варвары подорвали здание можайского Николаевского собора — древнейшего памятника русской архитектуры, полностью сожгли село Бородино я знаменитый Бородинский музей, уничтожив ценнейшие национальные реликвии русского народа.</w:t>
      </w:r>
    </w:p>
    <w:p w14:paraId="362AB61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Бурильщик Лениногорского рудника (Казахстан) Георгий Хандин выработал за одну смену 2.300 процентов нормы. Бурильщик Сокольного рудника Сергей Худяков 17 января выполнил сменную норму на 3.475 процентов.».</w:t>
      </w:r>
    </w:p>
    <w:p w14:paraId="1F9983E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5F66EB9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 Северо-Западного И Калининского фронтов заняли города Холм, Торопец, Селижарово, Западная Двина, Оленино, Старая Торопа. Трофеи наших войск.</w:t>
      </w:r>
    </w:p>
    <w:p w14:paraId="0A681D0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«Дней десять — двенадцать тому назад войска Северо-Западного и Калининского фронтов после жестоких боёв прорвали укреплённую линию противника южнее городов Осташков и Селижарово и начали продвигаться вперёд. Выполняя поставленную задачу, наши войска продвинулись более чем на 100 км. вперёд. После ожесточённых боёв нами заняты города: Пено, Андреаполь, Холм, Торопец, г. Зап.Двина, Селижарово, Оленино, Старая Торопа.</w:t>
      </w:r>
    </w:p>
    <w:p w14:paraId="572E58FA"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одна из главных коммуникационных линий немецких войск, железная дорога Ржев — Великие Луки, перерезана и захвачена нашими войсками.</w:t>
      </w:r>
    </w:p>
    <w:p w14:paraId="28185AF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Освобождено от немецких захватчиков свыше 2.000 населённых пунктов.</w:t>
      </w:r>
    </w:p>
    <w:p w14:paraId="4965AD83"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9 по 22 января захвачены трофеи: орудий — 350, танков и бронемашин — 52, станковых и ручных пулемётов — 430, миномётов — 90, автомашин — 740, мотоциклов — 480, велосипедов — 846, радиостанций — 20, мин — 26.145, снарядов — 71.300, патронов — 805.000, кабеля телефонного — 360 километров, один понтонный переправочный парк, мотопонтонов — 16, тягачей — 32, один катер и 8 двигателей, железнодорожных вагонов — 355 и много другого вооружения и имущества.</w:t>
      </w:r>
    </w:p>
    <w:p w14:paraId="5CBE4BE3"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городах Торопец и Андриаполь захвачены армейские склады с запасом горючего, продовольствия, боеприпасов и другого имущества, учёт которого производится.</w:t>
      </w:r>
    </w:p>
    <w:p w14:paraId="0B722061"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 9 по 22 января немцы потеряли свыше 17.000 человек убитыми и несколько сот пленными.</w:t>
      </w:r>
    </w:p>
    <w:p w14:paraId="3450E5B5"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отличились войска генерал-полковника т. Еременко и генерал-лейтенанта т. Пуркаева.» (15017).</w:t>
      </w:r>
    </w:p>
    <w:p w14:paraId="1E891AA3"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0CCF9671"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января</w:t>
      </w:r>
      <w:r w:rsidRPr="008127F8">
        <w:rPr>
          <w:rFonts w:ascii="Times New Roman" w:hAnsi="Times New Roman"/>
          <w:color w:val="000000" w:themeColor="text1"/>
          <w:sz w:val="16"/>
          <w:szCs w:val="16"/>
        </w:rPr>
        <w:t xml:space="preserve"> в 1942 году советские войска завершили освобождение Московской области (15017).</w:t>
      </w:r>
    </w:p>
    <w:p w14:paraId="12CB1B82"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14EB156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января</w:t>
      </w:r>
      <w:r w:rsidRPr="008127F8">
        <w:rPr>
          <w:rFonts w:ascii="Times New Roman" w:hAnsi="Times New Roman"/>
          <w:color w:val="000000" w:themeColor="text1"/>
          <w:sz w:val="16"/>
          <w:szCs w:val="16"/>
        </w:rPr>
        <w:t xml:space="preserve"> в 1942 году образование авиации ПВО как рода войск противовоздушной обороны. Приказом НКО СССР № 056 от 22 января 1942 г. корпуса, дивизии, полки истребительной авиации, выделенные для противовоздушной обороны территории страны, а также 56 батальонов аэродромного обслуживания переданы в </w:t>
      </w:r>
      <w:r w:rsidRPr="008127F8">
        <w:rPr>
          <w:rFonts w:ascii="Times New Roman" w:hAnsi="Times New Roman"/>
          <w:color w:val="000000" w:themeColor="text1"/>
          <w:sz w:val="16"/>
          <w:szCs w:val="16"/>
        </w:rPr>
        <w:lastRenderedPageBreak/>
        <w:t xml:space="preserve">полное подчинение командующему Войсками ПВО территории страны. За годы войны истребительная авиация стала одним из основных родов войск противовоздушной обороны и основным средством борьбы с самолетами противника на дальних подступах к объектам прикрытия. Она совершила около 170 тысяч </w:t>
      </w:r>
      <w:proofErr w:type="gramStart"/>
      <w:r w:rsidRPr="008127F8">
        <w:rPr>
          <w:rFonts w:ascii="Times New Roman" w:hAnsi="Times New Roman"/>
          <w:color w:val="000000" w:themeColor="text1"/>
          <w:sz w:val="16"/>
          <w:szCs w:val="16"/>
        </w:rPr>
        <w:t>самолето-вылетов</w:t>
      </w:r>
      <w:proofErr w:type="gramEnd"/>
      <w:r w:rsidRPr="008127F8">
        <w:rPr>
          <w:rFonts w:ascii="Times New Roman" w:hAnsi="Times New Roman"/>
          <w:color w:val="000000" w:themeColor="text1"/>
          <w:sz w:val="16"/>
          <w:szCs w:val="16"/>
        </w:rPr>
        <w:t xml:space="preserve"> и уничтожила в воздушных боях и на аэродромах 4170 вражеских самолетов. Дата 22 января приказом Главнокомандующего Войсками ПВО № 300 от 25 октября 1996 г. объявлена годовым праздником авиации ПВО (15017).</w:t>
      </w:r>
    </w:p>
    <w:p w14:paraId="19A00B33"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2BDA58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вышло Постановление ГКО № 1180 Вопросы Военно-воздушных сил Красной Армии. РГАНИР, Фонд ГКО, д. 19, лл. 177-180, 181-182 (11012).</w:t>
      </w:r>
    </w:p>
    <w:p w14:paraId="7287D03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F4AB3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г. вышло ПОСТАНОВЛЕНИЕ № ГКО-1180сс</w:t>
      </w:r>
    </w:p>
    <w:p w14:paraId="4FCB9B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510C1F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Вопросы Военно-воздушных сил Красной Армии</w:t>
      </w:r>
    </w:p>
    <w:p w14:paraId="592166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целях улучшения работы Военно-воздушных сил Красной Армии провести следующие мероприятия: </w:t>
      </w:r>
    </w:p>
    <w:p w14:paraId="71702A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Создать резерв Главного Командования в составе 24 авиационных полков из расчета: </w:t>
      </w:r>
    </w:p>
    <w:p w14:paraId="772C53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Аэродромный узел Калуга: </w:t>
      </w:r>
    </w:p>
    <w:p w14:paraId="7A7F56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полка истребителей Лагг-3 и Як-1; </w:t>
      </w:r>
    </w:p>
    <w:p w14:paraId="02299A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полк бомбардировщиков Пе-2; </w:t>
      </w:r>
    </w:p>
    <w:p w14:paraId="11218A2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полка штурмовиков Ил-2. </w:t>
      </w:r>
    </w:p>
    <w:p w14:paraId="4EBD66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Аэродромный узел Москва: </w:t>
      </w:r>
    </w:p>
    <w:p w14:paraId="530816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полка истребителей Лагг-3 и Як-1; </w:t>
      </w:r>
    </w:p>
    <w:p w14:paraId="7861FA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полк бомбардировщиков Пе-2; </w:t>
      </w:r>
    </w:p>
    <w:p w14:paraId="61E3F3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полка штурмовиков Ил-2. </w:t>
      </w:r>
    </w:p>
    <w:p w14:paraId="00EEE5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Аэродромный узел Калинин: </w:t>
      </w:r>
    </w:p>
    <w:p w14:paraId="67D9D6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полка истребителей Лагг-3 и Як-1; </w:t>
      </w:r>
    </w:p>
    <w:p w14:paraId="2B17CA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полк бомбардировщиков Пе-2; </w:t>
      </w:r>
    </w:p>
    <w:p w14:paraId="4AB5B6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полка штурмовиков Ил-2. </w:t>
      </w:r>
    </w:p>
    <w:p w14:paraId="382796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Личный состав для авиаполков резерва сосредоточить в указанных районах: 12 авиаполков к 1 февраля и 12 авиаполков к 5 февраля 1942 года. </w:t>
      </w:r>
    </w:p>
    <w:p w14:paraId="61BA48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Народного Комиссара Авиационной Промышленности тов. Шахурина подготовить и сдать НКО готовых к боевой работе для укомплектования авиаполков резерва: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79"/>
        <w:gridCol w:w="4697"/>
      </w:tblGrid>
      <w:tr w:rsidR="006F4095" w:rsidRPr="008127F8" w14:paraId="7F1FA6A2" w14:textId="77777777">
        <w:trPr>
          <w:jc w:val="center"/>
        </w:trPr>
        <w:tc>
          <w:tcPr>
            <w:tcW w:w="3079" w:type="dxa"/>
            <w:tcBorders>
              <w:top w:val="single" w:sz="12" w:space="0" w:color="auto"/>
            </w:tcBorders>
          </w:tcPr>
          <w:p w14:paraId="427070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27 января –</w:t>
            </w:r>
          </w:p>
        </w:tc>
        <w:tc>
          <w:tcPr>
            <w:tcW w:w="4697" w:type="dxa"/>
            <w:tcBorders>
              <w:top w:val="single" w:sz="12" w:space="0" w:color="auto"/>
            </w:tcBorders>
          </w:tcPr>
          <w:p w14:paraId="6EA9B2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самолетов Пе-2;</w:t>
            </w:r>
          </w:p>
        </w:tc>
      </w:tr>
      <w:tr w:rsidR="006F4095" w:rsidRPr="008127F8" w14:paraId="66E989AE" w14:textId="77777777">
        <w:trPr>
          <w:jc w:val="center"/>
        </w:trPr>
        <w:tc>
          <w:tcPr>
            <w:tcW w:w="3079" w:type="dxa"/>
          </w:tcPr>
          <w:p w14:paraId="7C488ADC"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06041D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 самолетов Ил-2;</w:t>
            </w:r>
          </w:p>
        </w:tc>
      </w:tr>
      <w:tr w:rsidR="006F4095" w:rsidRPr="008127F8" w14:paraId="2B21D743" w14:textId="77777777">
        <w:trPr>
          <w:jc w:val="center"/>
        </w:trPr>
        <w:tc>
          <w:tcPr>
            <w:tcW w:w="3079" w:type="dxa"/>
          </w:tcPr>
          <w:p w14:paraId="2853C30F"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306EF1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самолетов Як-1;</w:t>
            </w:r>
          </w:p>
        </w:tc>
      </w:tr>
      <w:tr w:rsidR="006F4095" w:rsidRPr="008127F8" w14:paraId="2E1CAACE" w14:textId="77777777">
        <w:trPr>
          <w:jc w:val="center"/>
        </w:trPr>
        <w:tc>
          <w:tcPr>
            <w:tcW w:w="3079" w:type="dxa"/>
          </w:tcPr>
          <w:p w14:paraId="4C4BFBE2"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1A0ADF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самолетов Лагг-3</w:t>
            </w:r>
          </w:p>
        </w:tc>
      </w:tr>
      <w:tr w:rsidR="006F4095" w:rsidRPr="008127F8" w14:paraId="7CCD7AB4" w14:textId="77777777">
        <w:trPr>
          <w:jc w:val="center"/>
        </w:trPr>
        <w:tc>
          <w:tcPr>
            <w:tcW w:w="3079" w:type="dxa"/>
          </w:tcPr>
          <w:p w14:paraId="1CD15E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697" w:type="dxa"/>
          </w:tcPr>
          <w:p w14:paraId="272621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250 самолетов </w:t>
            </w:r>
          </w:p>
        </w:tc>
      </w:tr>
      <w:tr w:rsidR="006F4095" w:rsidRPr="008127F8" w14:paraId="222E7132" w14:textId="77777777">
        <w:trPr>
          <w:jc w:val="center"/>
        </w:trPr>
        <w:tc>
          <w:tcPr>
            <w:tcW w:w="3079" w:type="dxa"/>
          </w:tcPr>
          <w:p w14:paraId="71E94C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 2 февраля</w:t>
            </w:r>
          </w:p>
        </w:tc>
        <w:tc>
          <w:tcPr>
            <w:tcW w:w="4697" w:type="dxa"/>
          </w:tcPr>
          <w:p w14:paraId="1E3995A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 самолетов Пе-2;</w:t>
            </w:r>
          </w:p>
        </w:tc>
      </w:tr>
      <w:tr w:rsidR="006F4095" w:rsidRPr="008127F8" w14:paraId="40486C9D" w14:textId="77777777">
        <w:trPr>
          <w:jc w:val="center"/>
        </w:trPr>
        <w:tc>
          <w:tcPr>
            <w:tcW w:w="3079" w:type="dxa"/>
          </w:tcPr>
          <w:p w14:paraId="6AB962FA"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65170C8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самолетов Су-2;</w:t>
            </w:r>
          </w:p>
        </w:tc>
      </w:tr>
      <w:tr w:rsidR="006F4095" w:rsidRPr="008127F8" w14:paraId="16102476" w14:textId="77777777">
        <w:trPr>
          <w:jc w:val="center"/>
        </w:trPr>
        <w:tc>
          <w:tcPr>
            <w:tcW w:w="3079" w:type="dxa"/>
          </w:tcPr>
          <w:p w14:paraId="357B8725"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5EFC74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 самолетов Ил-2;</w:t>
            </w:r>
          </w:p>
        </w:tc>
      </w:tr>
      <w:tr w:rsidR="006F4095" w:rsidRPr="008127F8" w14:paraId="2468E584" w14:textId="77777777">
        <w:trPr>
          <w:jc w:val="center"/>
        </w:trPr>
        <w:tc>
          <w:tcPr>
            <w:tcW w:w="3079" w:type="dxa"/>
          </w:tcPr>
          <w:p w14:paraId="0453712D"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102988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 самолетов Як-1;</w:t>
            </w:r>
          </w:p>
        </w:tc>
      </w:tr>
      <w:tr w:rsidR="006F4095" w:rsidRPr="008127F8" w14:paraId="6DC91BED" w14:textId="77777777">
        <w:trPr>
          <w:jc w:val="center"/>
        </w:trPr>
        <w:tc>
          <w:tcPr>
            <w:tcW w:w="3079" w:type="dxa"/>
          </w:tcPr>
          <w:p w14:paraId="6739AD53"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4697" w:type="dxa"/>
          </w:tcPr>
          <w:p w14:paraId="2ABB481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самолетов Лагг-3</w:t>
            </w:r>
          </w:p>
        </w:tc>
      </w:tr>
      <w:tr w:rsidR="006F4095" w:rsidRPr="008127F8" w14:paraId="4DF081B8" w14:textId="77777777">
        <w:trPr>
          <w:jc w:val="center"/>
        </w:trPr>
        <w:tc>
          <w:tcPr>
            <w:tcW w:w="3079" w:type="dxa"/>
            <w:tcBorders>
              <w:bottom w:val="single" w:sz="12" w:space="0" w:color="auto"/>
            </w:tcBorders>
          </w:tcPr>
          <w:p w14:paraId="57414C2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697" w:type="dxa"/>
            <w:tcBorders>
              <w:bottom w:val="single" w:sz="12" w:space="0" w:color="auto"/>
            </w:tcBorders>
          </w:tcPr>
          <w:p w14:paraId="7F146E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самолетов</w:t>
            </w:r>
          </w:p>
        </w:tc>
      </w:tr>
    </w:tbl>
    <w:p w14:paraId="1EAD40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ВВС тов. Жигарева перегонку самолетов с заводов произвести опытными экипажами, выделенными из запасных авиаполков и перегоночных эскадрилий.</w:t>
      </w:r>
    </w:p>
    <w:p w14:paraId="77A31F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Обеспечить переброску летного состава специально выделенными Дугласами, в количестве десяти самолетов.</w:t>
      </w:r>
    </w:p>
    <w:p w14:paraId="47F29E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перелетов по перегонке самолетов с заводов, сформировать промежуточные комендатуры на аэродромах по трассе перелетов.</w:t>
      </w:r>
    </w:p>
    <w:p w14:paraId="41C90C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Руководство перегонкой самолетов с заводов возложить на первого заместителя Командующего ВВС тов. Петрова.</w:t>
      </w:r>
    </w:p>
    <w:p w14:paraId="58F428A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Сформировать отделение по перегонке самолетов с заводов, включив его в отдел перелетов Штаба ВВС Красной Армии.</w:t>
      </w:r>
    </w:p>
    <w:p w14:paraId="29C7C8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авиационных заводах иметь постоянные перегоночные эскадрильи и группы лидеров из расчета: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47"/>
        <w:gridCol w:w="5429"/>
      </w:tblGrid>
      <w:tr w:rsidR="006F4095" w:rsidRPr="008127F8" w14:paraId="7C56E5EA" w14:textId="77777777">
        <w:trPr>
          <w:jc w:val="center"/>
        </w:trPr>
        <w:tc>
          <w:tcPr>
            <w:tcW w:w="2347" w:type="dxa"/>
            <w:tcBorders>
              <w:top w:val="single" w:sz="12" w:space="0" w:color="auto"/>
            </w:tcBorders>
          </w:tcPr>
          <w:p w14:paraId="706DA8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 –</w:t>
            </w:r>
          </w:p>
        </w:tc>
        <w:tc>
          <w:tcPr>
            <w:tcW w:w="5429" w:type="dxa"/>
            <w:tcBorders>
              <w:top w:val="single" w:sz="12" w:space="0" w:color="auto"/>
            </w:tcBorders>
          </w:tcPr>
          <w:p w14:paraId="39EAB6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перегоночных экипажей и</w:t>
            </w:r>
          </w:p>
        </w:tc>
      </w:tr>
      <w:tr w:rsidR="006F4095" w:rsidRPr="008127F8" w14:paraId="7354E3D7" w14:textId="77777777">
        <w:trPr>
          <w:jc w:val="center"/>
        </w:trPr>
        <w:tc>
          <w:tcPr>
            <w:tcW w:w="2347" w:type="dxa"/>
          </w:tcPr>
          <w:p w14:paraId="2CBF3001"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429" w:type="dxa"/>
          </w:tcPr>
          <w:p w14:paraId="3DA162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экипажей лидеров;</w:t>
            </w:r>
          </w:p>
        </w:tc>
      </w:tr>
      <w:tr w:rsidR="006F4095" w:rsidRPr="008127F8" w14:paraId="3CB1469A" w14:textId="77777777">
        <w:trPr>
          <w:jc w:val="center"/>
        </w:trPr>
        <w:tc>
          <w:tcPr>
            <w:tcW w:w="2347" w:type="dxa"/>
          </w:tcPr>
          <w:p w14:paraId="1AB5956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КУЙБЫШЕВ – </w:t>
            </w:r>
          </w:p>
        </w:tc>
        <w:tc>
          <w:tcPr>
            <w:tcW w:w="5429" w:type="dxa"/>
          </w:tcPr>
          <w:p w14:paraId="4330A8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перегоночных экипажей и</w:t>
            </w:r>
          </w:p>
        </w:tc>
      </w:tr>
      <w:tr w:rsidR="006F4095" w:rsidRPr="008127F8" w14:paraId="6769AF08" w14:textId="77777777">
        <w:trPr>
          <w:jc w:val="center"/>
        </w:trPr>
        <w:tc>
          <w:tcPr>
            <w:tcW w:w="2347" w:type="dxa"/>
          </w:tcPr>
          <w:p w14:paraId="77EE63E0"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429" w:type="dxa"/>
          </w:tcPr>
          <w:p w14:paraId="0F7A71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экипажей лидеров;</w:t>
            </w:r>
          </w:p>
        </w:tc>
      </w:tr>
      <w:tr w:rsidR="006F4095" w:rsidRPr="008127F8" w14:paraId="6DC96463" w14:textId="77777777">
        <w:trPr>
          <w:jc w:val="center"/>
        </w:trPr>
        <w:tc>
          <w:tcPr>
            <w:tcW w:w="2347" w:type="dxa"/>
          </w:tcPr>
          <w:p w14:paraId="5C6CA4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w:t>
            </w:r>
          </w:p>
        </w:tc>
        <w:tc>
          <w:tcPr>
            <w:tcW w:w="5429" w:type="dxa"/>
          </w:tcPr>
          <w:p w14:paraId="4EE2CC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перегоночных экипажей и</w:t>
            </w:r>
          </w:p>
        </w:tc>
      </w:tr>
      <w:tr w:rsidR="006F4095" w:rsidRPr="008127F8" w14:paraId="75A2682D" w14:textId="77777777">
        <w:trPr>
          <w:jc w:val="center"/>
        </w:trPr>
        <w:tc>
          <w:tcPr>
            <w:tcW w:w="2347" w:type="dxa"/>
          </w:tcPr>
          <w:p w14:paraId="621D0E4B"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429" w:type="dxa"/>
          </w:tcPr>
          <w:p w14:paraId="0FBA35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экипажей лидеров;</w:t>
            </w:r>
          </w:p>
        </w:tc>
      </w:tr>
      <w:tr w:rsidR="006F4095" w:rsidRPr="008127F8" w14:paraId="039810F0" w14:textId="77777777">
        <w:trPr>
          <w:jc w:val="center"/>
        </w:trPr>
        <w:tc>
          <w:tcPr>
            <w:tcW w:w="2347" w:type="dxa"/>
          </w:tcPr>
          <w:p w14:paraId="728384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w:t>
            </w:r>
          </w:p>
        </w:tc>
        <w:tc>
          <w:tcPr>
            <w:tcW w:w="5429" w:type="dxa"/>
          </w:tcPr>
          <w:p w14:paraId="3A8E63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перегоночных экипажей;</w:t>
            </w:r>
          </w:p>
        </w:tc>
      </w:tr>
      <w:tr w:rsidR="006F4095" w:rsidRPr="008127F8" w14:paraId="09E87940" w14:textId="77777777">
        <w:trPr>
          <w:jc w:val="center"/>
        </w:trPr>
        <w:tc>
          <w:tcPr>
            <w:tcW w:w="2347" w:type="dxa"/>
          </w:tcPr>
          <w:p w14:paraId="7BCE69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Н-ТАГИЛ –</w:t>
            </w:r>
          </w:p>
        </w:tc>
        <w:tc>
          <w:tcPr>
            <w:tcW w:w="5429" w:type="dxa"/>
          </w:tcPr>
          <w:p w14:paraId="38B81A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перегоночных экипажей и</w:t>
            </w:r>
          </w:p>
        </w:tc>
      </w:tr>
      <w:tr w:rsidR="006F4095" w:rsidRPr="008127F8" w14:paraId="77C358D3" w14:textId="77777777">
        <w:trPr>
          <w:jc w:val="center"/>
        </w:trPr>
        <w:tc>
          <w:tcPr>
            <w:tcW w:w="2347" w:type="dxa"/>
            <w:tcBorders>
              <w:bottom w:val="single" w:sz="12" w:space="0" w:color="auto"/>
            </w:tcBorders>
          </w:tcPr>
          <w:p w14:paraId="368032C4"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c>
          <w:tcPr>
            <w:tcW w:w="5429" w:type="dxa"/>
            <w:tcBorders>
              <w:bottom w:val="single" w:sz="12" w:space="0" w:color="auto"/>
            </w:tcBorders>
          </w:tcPr>
          <w:p w14:paraId="6F284A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экипажей лидеров;</w:t>
            </w:r>
          </w:p>
        </w:tc>
      </w:tr>
    </w:tbl>
    <w:p w14:paraId="1C3397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Существующую дивизионную систему управления авиаполками ближнего действия в составе ВВС Красной Армии – упразднить, сохранив ее для авиации дальних и тяжелых бомбардировщиков.</w:t>
      </w:r>
    </w:p>
    <w:p w14:paraId="023AA0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Работников и средства связи управлений дивизий передать для усиления аппарата и средств связи управлений командующих ВВС Армий.</w:t>
      </w:r>
    </w:p>
    <w:p w14:paraId="1E3735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Командующему ВВС КА т. Жигареву к 24 января с.г. представить соответствующий приказ Ставки и штаты Управлений ВВС Армий.</w:t>
      </w:r>
    </w:p>
    <w:p w14:paraId="4702F0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улучшения руководства эксплоатацией материальной части и поднятия авторитета инженерно-технического состава ВВС КА:</w:t>
      </w:r>
    </w:p>
    <w:p w14:paraId="56D459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Ввести в штат Главного Управления ВВС Красной Армии должность главного инженера ВВС КА с подчинением ему Управления Эксплоатации и ремонта. Установить, что главному инженеру ВВС КА подчиняются в специальном отношении главные инженеры фронтов, старшие инженеры дивизий и полков.</w:t>
      </w:r>
    </w:p>
    <w:p w14:paraId="2B6DCD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Ввести новые воинские звания для инженерно-технического состава ВВС КА: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832"/>
      </w:tblGrid>
      <w:tr w:rsidR="006F4095" w:rsidRPr="008127F8" w14:paraId="3210C478" w14:textId="77777777">
        <w:trPr>
          <w:jc w:val="center"/>
        </w:trPr>
        <w:tc>
          <w:tcPr>
            <w:tcW w:w="5832" w:type="dxa"/>
            <w:tcBorders>
              <w:top w:val="single" w:sz="12" w:space="0" w:color="auto"/>
            </w:tcBorders>
          </w:tcPr>
          <w:p w14:paraId="2E5FF397"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Техник-лейтенант; </w:t>
            </w:r>
          </w:p>
        </w:tc>
      </w:tr>
      <w:tr w:rsidR="006F4095" w:rsidRPr="008127F8" w14:paraId="71F85995" w14:textId="77777777">
        <w:trPr>
          <w:jc w:val="center"/>
        </w:trPr>
        <w:tc>
          <w:tcPr>
            <w:tcW w:w="5832" w:type="dxa"/>
          </w:tcPr>
          <w:p w14:paraId="484DF68D"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Старший техник-лейтенант; </w:t>
            </w:r>
          </w:p>
        </w:tc>
      </w:tr>
      <w:tr w:rsidR="006F4095" w:rsidRPr="008127F8" w14:paraId="72702FBE" w14:textId="77777777">
        <w:trPr>
          <w:jc w:val="center"/>
        </w:trPr>
        <w:tc>
          <w:tcPr>
            <w:tcW w:w="5832" w:type="dxa"/>
          </w:tcPr>
          <w:p w14:paraId="5F91AB94"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Инженер-капитан; </w:t>
            </w:r>
          </w:p>
        </w:tc>
      </w:tr>
      <w:tr w:rsidR="006F4095" w:rsidRPr="008127F8" w14:paraId="5E96C23B" w14:textId="77777777">
        <w:trPr>
          <w:jc w:val="center"/>
        </w:trPr>
        <w:tc>
          <w:tcPr>
            <w:tcW w:w="5832" w:type="dxa"/>
          </w:tcPr>
          <w:p w14:paraId="54E48A34"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Инженер-майор; </w:t>
            </w:r>
          </w:p>
        </w:tc>
      </w:tr>
      <w:tr w:rsidR="006F4095" w:rsidRPr="008127F8" w14:paraId="7EF2D341" w14:textId="77777777">
        <w:trPr>
          <w:jc w:val="center"/>
        </w:trPr>
        <w:tc>
          <w:tcPr>
            <w:tcW w:w="5832" w:type="dxa"/>
          </w:tcPr>
          <w:p w14:paraId="58A64D5D"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Инженер-подполковник; </w:t>
            </w:r>
          </w:p>
        </w:tc>
      </w:tr>
      <w:tr w:rsidR="006F4095" w:rsidRPr="008127F8" w14:paraId="328F503A" w14:textId="77777777">
        <w:trPr>
          <w:jc w:val="center"/>
        </w:trPr>
        <w:tc>
          <w:tcPr>
            <w:tcW w:w="5832" w:type="dxa"/>
          </w:tcPr>
          <w:p w14:paraId="449F6916"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Инженер-полковник; </w:t>
            </w:r>
          </w:p>
        </w:tc>
      </w:tr>
      <w:tr w:rsidR="006F4095" w:rsidRPr="008127F8" w14:paraId="544E573D" w14:textId="77777777">
        <w:trPr>
          <w:jc w:val="center"/>
        </w:trPr>
        <w:tc>
          <w:tcPr>
            <w:tcW w:w="5832" w:type="dxa"/>
          </w:tcPr>
          <w:p w14:paraId="3F0595BD"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Генерал-майор инженерно-авиационной службы; </w:t>
            </w:r>
          </w:p>
        </w:tc>
      </w:tr>
      <w:tr w:rsidR="006F4095" w:rsidRPr="008127F8" w14:paraId="28C8AC29" w14:textId="77777777">
        <w:trPr>
          <w:jc w:val="center"/>
        </w:trPr>
        <w:tc>
          <w:tcPr>
            <w:tcW w:w="5832" w:type="dxa"/>
          </w:tcPr>
          <w:p w14:paraId="5C75A85C"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Генерал-лейтенант инженерно-авиационной службы; </w:t>
            </w:r>
          </w:p>
        </w:tc>
      </w:tr>
      <w:tr w:rsidR="006F4095" w:rsidRPr="008127F8" w14:paraId="431D722B" w14:textId="77777777">
        <w:trPr>
          <w:jc w:val="center"/>
        </w:trPr>
        <w:tc>
          <w:tcPr>
            <w:tcW w:w="5832" w:type="dxa"/>
            <w:tcBorders>
              <w:bottom w:val="single" w:sz="12" w:space="0" w:color="auto"/>
            </w:tcBorders>
          </w:tcPr>
          <w:p w14:paraId="35817976" w14:textId="77777777" w:rsidR="00D4651C" w:rsidRPr="008127F8" w:rsidRDefault="00D4651C" w:rsidP="001E0A84">
            <w:pPr>
              <w:pStyle w:val="DefinitionList"/>
              <w:ind w:left="0"/>
              <w:jc w:val="both"/>
              <w:rPr>
                <w:color w:val="000000" w:themeColor="text1"/>
                <w:sz w:val="16"/>
                <w:szCs w:val="16"/>
              </w:rPr>
            </w:pPr>
            <w:r w:rsidRPr="008127F8">
              <w:rPr>
                <w:color w:val="000000" w:themeColor="text1"/>
                <w:sz w:val="16"/>
                <w:szCs w:val="16"/>
              </w:rPr>
              <w:t xml:space="preserve">Генерал-полковник инженерно-авиационной службы. </w:t>
            </w:r>
          </w:p>
        </w:tc>
      </w:tr>
    </w:tbl>
    <w:p w14:paraId="5BB1AE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НКО тов. Жигареву в двухмесячный срок пересмотреть и присвоить новые воинские звания инженерно-техническому составу ВВС КА до инженер-полковника включительно и представить свои соображения на присвоение воинских званий от генерал-майора инженерно-авиационной службы и выше.</w:t>
      </w:r>
    </w:p>
    <w:p w14:paraId="4A7A2D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усиления темпов и повышения качества подготовки летного состава в запасных авиаполках – командующему ВВС КА тов. Жигареву к 1 мая 1942 года довести самолетный и моторный парк запасных авиаполков до установленного штата – 31 боевой самолет и 9 тренировочных самолетов в каждом полку, для чего выделить:</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16"/>
        <w:gridCol w:w="287"/>
        <w:gridCol w:w="4473"/>
      </w:tblGrid>
      <w:tr w:rsidR="006F4095" w:rsidRPr="008127F8" w14:paraId="3064C723" w14:textId="77777777">
        <w:trPr>
          <w:jc w:val="center"/>
        </w:trPr>
        <w:tc>
          <w:tcPr>
            <w:tcW w:w="3016" w:type="dxa"/>
            <w:tcBorders>
              <w:top w:val="single" w:sz="12" w:space="0" w:color="auto"/>
            </w:tcBorders>
          </w:tcPr>
          <w:p w14:paraId="4C3CD8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Лагг-3</w:t>
            </w:r>
          </w:p>
        </w:tc>
        <w:tc>
          <w:tcPr>
            <w:tcW w:w="287" w:type="dxa"/>
            <w:tcBorders>
              <w:top w:val="single" w:sz="12" w:space="0" w:color="auto"/>
            </w:tcBorders>
          </w:tcPr>
          <w:p w14:paraId="555A33A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73" w:type="dxa"/>
            <w:tcBorders>
              <w:top w:val="single" w:sz="12" w:space="0" w:color="auto"/>
            </w:tcBorders>
          </w:tcPr>
          <w:p w14:paraId="007C01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r>
      <w:tr w:rsidR="006F4095" w:rsidRPr="008127F8" w14:paraId="72DB9C61" w14:textId="77777777">
        <w:trPr>
          <w:jc w:val="center"/>
        </w:trPr>
        <w:tc>
          <w:tcPr>
            <w:tcW w:w="3016" w:type="dxa"/>
          </w:tcPr>
          <w:p w14:paraId="253852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Як-1</w:t>
            </w:r>
          </w:p>
        </w:tc>
        <w:tc>
          <w:tcPr>
            <w:tcW w:w="287" w:type="dxa"/>
          </w:tcPr>
          <w:p w14:paraId="7CB259E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73" w:type="dxa"/>
          </w:tcPr>
          <w:p w14:paraId="612F68F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r>
      <w:tr w:rsidR="006F4095" w:rsidRPr="008127F8" w14:paraId="52494A3C" w14:textId="77777777">
        <w:trPr>
          <w:jc w:val="center"/>
        </w:trPr>
        <w:tc>
          <w:tcPr>
            <w:tcW w:w="3016" w:type="dxa"/>
          </w:tcPr>
          <w:p w14:paraId="6E0B39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Як-3</w:t>
            </w:r>
          </w:p>
        </w:tc>
        <w:tc>
          <w:tcPr>
            <w:tcW w:w="287" w:type="dxa"/>
          </w:tcPr>
          <w:p w14:paraId="3FB1DA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73" w:type="dxa"/>
          </w:tcPr>
          <w:p w14:paraId="251283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с двойным управлением</w:t>
            </w:r>
          </w:p>
        </w:tc>
      </w:tr>
      <w:tr w:rsidR="006F4095" w:rsidRPr="008127F8" w14:paraId="26BD3233" w14:textId="77777777">
        <w:trPr>
          <w:jc w:val="center"/>
        </w:trPr>
        <w:tc>
          <w:tcPr>
            <w:tcW w:w="3016" w:type="dxa"/>
          </w:tcPr>
          <w:p w14:paraId="60B1C4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Пе-2</w:t>
            </w:r>
          </w:p>
        </w:tc>
        <w:tc>
          <w:tcPr>
            <w:tcW w:w="287" w:type="dxa"/>
          </w:tcPr>
          <w:p w14:paraId="1EDAA0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73" w:type="dxa"/>
          </w:tcPr>
          <w:p w14:paraId="444BB0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r>
      <w:tr w:rsidR="006F4095" w:rsidRPr="008127F8" w14:paraId="087D073F" w14:textId="77777777">
        <w:trPr>
          <w:jc w:val="center"/>
        </w:trPr>
        <w:tc>
          <w:tcPr>
            <w:tcW w:w="3016" w:type="dxa"/>
          </w:tcPr>
          <w:p w14:paraId="433BA3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Ил-2</w:t>
            </w:r>
          </w:p>
        </w:tc>
        <w:tc>
          <w:tcPr>
            <w:tcW w:w="287" w:type="dxa"/>
          </w:tcPr>
          <w:p w14:paraId="61EDB8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73" w:type="dxa"/>
          </w:tcPr>
          <w:p w14:paraId="77DA305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42 </w:t>
            </w:r>
          </w:p>
        </w:tc>
      </w:tr>
      <w:tr w:rsidR="006F4095" w:rsidRPr="008127F8" w14:paraId="041956FC" w14:textId="77777777">
        <w:trPr>
          <w:jc w:val="center"/>
        </w:trPr>
        <w:tc>
          <w:tcPr>
            <w:tcW w:w="3016" w:type="dxa"/>
            <w:tcBorders>
              <w:bottom w:val="single" w:sz="12" w:space="0" w:color="auto"/>
            </w:tcBorders>
          </w:tcPr>
          <w:p w14:paraId="3F8BB1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287" w:type="dxa"/>
            <w:tcBorders>
              <w:bottom w:val="single" w:sz="12" w:space="0" w:color="auto"/>
            </w:tcBorders>
          </w:tcPr>
          <w:p w14:paraId="6D2F50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73" w:type="dxa"/>
            <w:tcBorders>
              <w:bottom w:val="single" w:sz="12" w:space="0" w:color="auto"/>
            </w:tcBorders>
          </w:tcPr>
          <w:p w14:paraId="4B2922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w:t>
            </w:r>
          </w:p>
        </w:tc>
      </w:tr>
    </w:tbl>
    <w:p w14:paraId="5B2AB0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первую очередь укомплектовать запасные авиаполки, расположенные в Горьком, Саратове и Куйбышеве. </w:t>
      </w:r>
    </w:p>
    <w:p w14:paraId="0FBA61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5. Для обеспечение быстрой отработки самолетов на аэродромах, облета и отправки с заводских аэродромов НКАП на фронтовые аэродромы обязать командующего ВВС КА - тов. Жигарева: </w:t>
      </w:r>
    </w:p>
    <w:p w14:paraId="7C280D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выделить для заводов до 23 января с.г. следующее количество средств аэродромного обслуживания с личным составом: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512"/>
        <w:gridCol w:w="322"/>
        <w:gridCol w:w="942"/>
      </w:tblGrid>
      <w:tr w:rsidR="006F4095" w:rsidRPr="008127F8" w14:paraId="3E5CB5FE" w14:textId="77777777">
        <w:trPr>
          <w:jc w:val="center"/>
        </w:trPr>
        <w:tc>
          <w:tcPr>
            <w:tcW w:w="6512" w:type="dxa"/>
            <w:tcBorders>
              <w:top w:val="single" w:sz="12" w:space="0" w:color="auto"/>
            </w:tcBorders>
          </w:tcPr>
          <w:p w14:paraId="2799B7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водомаслозаправщиков</w:t>
            </w:r>
          </w:p>
        </w:tc>
        <w:tc>
          <w:tcPr>
            <w:tcW w:w="322" w:type="dxa"/>
            <w:tcBorders>
              <w:top w:val="single" w:sz="12" w:space="0" w:color="auto"/>
            </w:tcBorders>
          </w:tcPr>
          <w:p w14:paraId="4F3282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2" w:type="dxa"/>
            <w:tcBorders>
              <w:top w:val="single" w:sz="12" w:space="0" w:color="auto"/>
            </w:tcBorders>
          </w:tcPr>
          <w:p w14:paraId="5FC25C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6F4095" w:rsidRPr="008127F8" w14:paraId="65FE1510" w14:textId="77777777">
        <w:trPr>
          <w:jc w:val="center"/>
        </w:trPr>
        <w:tc>
          <w:tcPr>
            <w:tcW w:w="6512" w:type="dxa"/>
          </w:tcPr>
          <w:p w14:paraId="05BEA2F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бензозаправщиков</w:t>
            </w:r>
          </w:p>
        </w:tc>
        <w:tc>
          <w:tcPr>
            <w:tcW w:w="322" w:type="dxa"/>
          </w:tcPr>
          <w:p w14:paraId="7D7DF7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2" w:type="dxa"/>
          </w:tcPr>
          <w:p w14:paraId="648539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r>
      <w:tr w:rsidR="006F4095" w:rsidRPr="008127F8" w14:paraId="6735892A" w14:textId="77777777">
        <w:trPr>
          <w:jc w:val="center"/>
        </w:trPr>
        <w:tc>
          <w:tcPr>
            <w:tcW w:w="6512" w:type="dxa"/>
          </w:tcPr>
          <w:p w14:paraId="5F7AF9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автостартеров</w:t>
            </w:r>
          </w:p>
        </w:tc>
        <w:tc>
          <w:tcPr>
            <w:tcW w:w="322" w:type="dxa"/>
          </w:tcPr>
          <w:p w14:paraId="0BB52E0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2" w:type="dxa"/>
          </w:tcPr>
          <w:p w14:paraId="40B47D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r>
      <w:tr w:rsidR="006F4095" w:rsidRPr="008127F8" w14:paraId="0DDE05F7" w14:textId="77777777">
        <w:trPr>
          <w:jc w:val="center"/>
        </w:trPr>
        <w:tc>
          <w:tcPr>
            <w:tcW w:w="6512" w:type="dxa"/>
          </w:tcPr>
          <w:p w14:paraId="0BDC01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тракторов</w:t>
            </w:r>
          </w:p>
        </w:tc>
        <w:tc>
          <w:tcPr>
            <w:tcW w:w="322" w:type="dxa"/>
          </w:tcPr>
          <w:p w14:paraId="123A0A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2" w:type="dxa"/>
          </w:tcPr>
          <w:p w14:paraId="579F1B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r>
      <w:tr w:rsidR="006F4095" w:rsidRPr="008127F8" w14:paraId="1A01DF3D" w14:textId="77777777">
        <w:trPr>
          <w:jc w:val="center"/>
        </w:trPr>
        <w:tc>
          <w:tcPr>
            <w:tcW w:w="6512" w:type="dxa"/>
            <w:tcBorders>
              <w:bottom w:val="single" w:sz="12" w:space="0" w:color="auto"/>
            </w:tcBorders>
          </w:tcPr>
          <w:p w14:paraId="19977D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подогревательных ламп</w:t>
            </w:r>
          </w:p>
        </w:tc>
        <w:tc>
          <w:tcPr>
            <w:tcW w:w="322" w:type="dxa"/>
            <w:tcBorders>
              <w:bottom w:val="single" w:sz="12" w:space="0" w:color="auto"/>
            </w:tcBorders>
          </w:tcPr>
          <w:p w14:paraId="63B05D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2" w:type="dxa"/>
            <w:tcBorders>
              <w:bottom w:val="single" w:sz="12" w:space="0" w:color="auto"/>
            </w:tcBorders>
          </w:tcPr>
          <w:p w14:paraId="0006A5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r>
    </w:tbl>
    <w:p w14:paraId="54DDD8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заводов Наркомавиапрома, согласно приложению № 1</w:t>
      </w:r>
    </w:p>
    <w:p w14:paraId="5DC622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откомандировать с обеспечением месячным окладом жалованья подъемных к 25 января с.г. на заводы Наркомавиапрома технический состав (инженеров, техников, механиков и мотористов) 15 запасных полков типового штата, без летного состава и штабов:</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510"/>
        <w:gridCol w:w="310"/>
        <w:gridCol w:w="653"/>
        <w:gridCol w:w="2197"/>
        <w:gridCol w:w="1167"/>
        <w:gridCol w:w="310"/>
        <w:gridCol w:w="1340"/>
      </w:tblGrid>
      <w:tr w:rsidR="006F4095" w:rsidRPr="008127F8" w14:paraId="0642CBCC" w14:textId="77777777">
        <w:trPr>
          <w:jc w:val="center"/>
        </w:trPr>
        <w:tc>
          <w:tcPr>
            <w:tcW w:w="1510" w:type="dxa"/>
            <w:tcBorders>
              <w:top w:val="single" w:sz="12" w:space="0" w:color="auto"/>
            </w:tcBorders>
          </w:tcPr>
          <w:p w14:paraId="151E6F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w:t>
            </w:r>
          </w:p>
        </w:tc>
        <w:tc>
          <w:tcPr>
            <w:tcW w:w="310" w:type="dxa"/>
            <w:tcBorders>
              <w:top w:val="single" w:sz="12" w:space="0" w:color="auto"/>
            </w:tcBorders>
          </w:tcPr>
          <w:p w14:paraId="4BA5ED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Borders>
              <w:top w:val="single" w:sz="12" w:space="0" w:color="auto"/>
            </w:tcBorders>
          </w:tcPr>
          <w:p w14:paraId="37957B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197" w:type="dxa"/>
            <w:tcBorders>
              <w:top w:val="single" w:sz="12" w:space="0" w:color="auto"/>
            </w:tcBorders>
          </w:tcPr>
          <w:p w14:paraId="7CB1BC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самолетам</w:t>
            </w:r>
          </w:p>
        </w:tc>
        <w:tc>
          <w:tcPr>
            <w:tcW w:w="1167" w:type="dxa"/>
            <w:tcBorders>
              <w:top w:val="single" w:sz="12" w:space="0" w:color="auto"/>
            </w:tcBorders>
          </w:tcPr>
          <w:p w14:paraId="499BF9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310" w:type="dxa"/>
            <w:tcBorders>
              <w:top w:val="single" w:sz="12" w:space="0" w:color="auto"/>
            </w:tcBorders>
          </w:tcPr>
          <w:p w14:paraId="7FC10E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Borders>
              <w:top w:val="single" w:sz="12" w:space="0" w:color="auto"/>
            </w:tcBorders>
          </w:tcPr>
          <w:p w14:paraId="2C564F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полка</w:t>
            </w:r>
          </w:p>
        </w:tc>
      </w:tr>
      <w:tr w:rsidR="006F4095" w:rsidRPr="008127F8" w14:paraId="7AB2C366" w14:textId="77777777">
        <w:trPr>
          <w:jc w:val="center"/>
        </w:trPr>
        <w:tc>
          <w:tcPr>
            <w:tcW w:w="1510" w:type="dxa"/>
          </w:tcPr>
          <w:p w14:paraId="4B9103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154FE1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34842B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197" w:type="dxa"/>
          </w:tcPr>
          <w:p w14:paraId="4D8AB0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5CA9D4D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310" w:type="dxa"/>
          </w:tcPr>
          <w:p w14:paraId="7A5701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76E999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полка</w:t>
            </w:r>
          </w:p>
        </w:tc>
      </w:tr>
      <w:tr w:rsidR="006F4095" w:rsidRPr="008127F8" w14:paraId="738F39AF" w14:textId="77777777">
        <w:trPr>
          <w:jc w:val="center"/>
        </w:trPr>
        <w:tc>
          <w:tcPr>
            <w:tcW w:w="1510" w:type="dxa"/>
          </w:tcPr>
          <w:p w14:paraId="36FF22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74E151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0303B71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197" w:type="dxa"/>
          </w:tcPr>
          <w:p w14:paraId="4092DD6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5D452E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Як-3</w:t>
            </w:r>
          </w:p>
        </w:tc>
        <w:tc>
          <w:tcPr>
            <w:tcW w:w="310" w:type="dxa"/>
          </w:tcPr>
          <w:p w14:paraId="420F69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64462F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полк</w:t>
            </w:r>
          </w:p>
        </w:tc>
      </w:tr>
      <w:tr w:rsidR="006F4095" w:rsidRPr="008127F8" w14:paraId="627CA1CC" w14:textId="77777777">
        <w:trPr>
          <w:jc w:val="center"/>
        </w:trPr>
        <w:tc>
          <w:tcPr>
            <w:tcW w:w="1510" w:type="dxa"/>
          </w:tcPr>
          <w:p w14:paraId="58A4D8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471080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5F218E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197" w:type="dxa"/>
          </w:tcPr>
          <w:p w14:paraId="25676A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0B7EEC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310" w:type="dxa"/>
          </w:tcPr>
          <w:p w14:paraId="1F401C7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79919E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полк</w:t>
            </w:r>
          </w:p>
        </w:tc>
      </w:tr>
      <w:tr w:rsidR="006F4095" w:rsidRPr="008127F8" w14:paraId="03508DBD" w14:textId="77777777">
        <w:trPr>
          <w:jc w:val="center"/>
        </w:trPr>
        <w:tc>
          <w:tcPr>
            <w:tcW w:w="1510" w:type="dxa"/>
          </w:tcPr>
          <w:p w14:paraId="625804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65BDD3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3E74B9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197" w:type="dxa"/>
          </w:tcPr>
          <w:p w14:paraId="1F102B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4A6C37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310" w:type="dxa"/>
          </w:tcPr>
          <w:p w14:paraId="34944B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381471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полк</w:t>
            </w:r>
          </w:p>
        </w:tc>
      </w:tr>
      <w:tr w:rsidR="006F4095" w:rsidRPr="008127F8" w14:paraId="3A5B2983" w14:textId="77777777">
        <w:trPr>
          <w:jc w:val="center"/>
        </w:trPr>
        <w:tc>
          <w:tcPr>
            <w:tcW w:w="1510" w:type="dxa"/>
          </w:tcPr>
          <w:p w14:paraId="445A3A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54717C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20B5EC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197" w:type="dxa"/>
          </w:tcPr>
          <w:p w14:paraId="7E49F9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7700B6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310" w:type="dxa"/>
          </w:tcPr>
          <w:p w14:paraId="716A85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1E839E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полк</w:t>
            </w:r>
          </w:p>
        </w:tc>
      </w:tr>
      <w:tr w:rsidR="006F4095" w:rsidRPr="008127F8" w14:paraId="091E2BB5" w14:textId="77777777">
        <w:trPr>
          <w:jc w:val="center"/>
        </w:trPr>
        <w:tc>
          <w:tcPr>
            <w:tcW w:w="1510" w:type="dxa"/>
          </w:tcPr>
          <w:p w14:paraId="565450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w:t>
            </w:r>
          </w:p>
        </w:tc>
        <w:tc>
          <w:tcPr>
            <w:tcW w:w="310" w:type="dxa"/>
          </w:tcPr>
          <w:p w14:paraId="7BAB68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79DB06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2197" w:type="dxa"/>
          </w:tcPr>
          <w:p w14:paraId="6285935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самолетам</w:t>
            </w:r>
          </w:p>
        </w:tc>
        <w:tc>
          <w:tcPr>
            <w:tcW w:w="1167" w:type="dxa"/>
          </w:tcPr>
          <w:p w14:paraId="397376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310" w:type="dxa"/>
          </w:tcPr>
          <w:p w14:paraId="1D9443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5BE55C9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полка</w:t>
            </w:r>
          </w:p>
        </w:tc>
      </w:tr>
      <w:tr w:rsidR="006F4095" w:rsidRPr="008127F8" w14:paraId="4C97C62B" w14:textId="77777777">
        <w:trPr>
          <w:jc w:val="center"/>
        </w:trPr>
        <w:tc>
          <w:tcPr>
            <w:tcW w:w="1510" w:type="dxa"/>
          </w:tcPr>
          <w:p w14:paraId="657F753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65C10D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3A4057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2197" w:type="dxa"/>
          </w:tcPr>
          <w:p w14:paraId="517616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3A57F4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310" w:type="dxa"/>
          </w:tcPr>
          <w:p w14:paraId="5B507DE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39FA26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полка</w:t>
            </w:r>
          </w:p>
        </w:tc>
      </w:tr>
      <w:tr w:rsidR="006F4095" w:rsidRPr="008127F8" w14:paraId="27D0F172" w14:textId="77777777">
        <w:trPr>
          <w:jc w:val="center"/>
        </w:trPr>
        <w:tc>
          <w:tcPr>
            <w:tcW w:w="1510" w:type="dxa"/>
          </w:tcPr>
          <w:p w14:paraId="759A4B7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Pr>
          <w:p w14:paraId="3B4D16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Pr>
          <w:p w14:paraId="17650E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2197" w:type="dxa"/>
          </w:tcPr>
          <w:p w14:paraId="1AE77B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Pr>
          <w:p w14:paraId="3D726E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w:t>
            </w:r>
          </w:p>
        </w:tc>
        <w:tc>
          <w:tcPr>
            <w:tcW w:w="310" w:type="dxa"/>
          </w:tcPr>
          <w:p w14:paraId="6A0129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Pr>
          <w:p w14:paraId="499658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полк</w:t>
            </w:r>
          </w:p>
        </w:tc>
      </w:tr>
      <w:tr w:rsidR="006F4095" w:rsidRPr="008127F8" w14:paraId="7573A51D" w14:textId="77777777">
        <w:trPr>
          <w:jc w:val="center"/>
        </w:trPr>
        <w:tc>
          <w:tcPr>
            <w:tcW w:w="1510" w:type="dxa"/>
            <w:tcBorders>
              <w:bottom w:val="single" w:sz="12" w:space="0" w:color="auto"/>
            </w:tcBorders>
          </w:tcPr>
          <w:p w14:paraId="15CB67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10" w:type="dxa"/>
            <w:tcBorders>
              <w:bottom w:val="single" w:sz="12" w:space="0" w:color="auto"/>
            </w:tcBorders>
          </w:tcPr>
          <w:p w14:paraId="374B7F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53" w:type="dxa"/>
            <w:tcBorders>
              <w:bottom w:val="single" w:sz="12" w:space="0" w:color="auto"/>
            </w:tcBorders>
          </w:tcPr>
          <w:p w14:paraId="665D1B4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197" w:type="dxa"/>
            <w:tcBorders>
              <w:bottom w:val="single" w:sz="12" w:space="0" w:color="auto"/>
            </w:tcBorders>
          </w:tcPr>
          <w:p w14:paraId="1CED58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7" w:type="dxa"/>
            <w:tcBorders>
              <w:bottom w:val="single" w:sz="12" w:space="0" w:color="auto"/>
            </w:tcBorders>
          </w:tcPr>
          <w:p w14:paraId="586906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310" w:type="dxa"/>
            <w:tcBorders>
              <w:bottom w:val="single" w:sz="12" w:space="0" w:color="auto"/>
            </w:tcBorders>
          </w:tcPr>
          <w:p w14:paraId="501F11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0" w:type="dxa"/>
            <w:tcBorders>
              <w:bottom w:val="single" w:sz="12" w:space="0" w:color="auto"/>
            </w:tcBorders>
          </w:tcPr>
          <w:p w14:paraId="52E34F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полк</w:t>
            </w:r>
          </w:p>
        </w:tc>
      </w:tr>
    </w:tbl>
    <w:p w14:paraId="709235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Утвердить график ежедневной сдачи облетанных, готовых к боевому применению самолетов с заводов НКАП, согласно приложению № 2. </w:t>
      </w:r>
    </w:p>
    <w:p w14:paraId="341B8C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Обязать НКО - тов. Хрулева обеспечить выделение нарядов по заявкам ВВС КА и поставку горюче-смазочных материалов на заводы НКАП для отправки самолетов на фронт. </w:t>
      </w:r>
    </w:p>
    <w:p w14:paraId="1FE32C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Обязать Наркомавиапром тов. Шахурина и НКО - тов. Жигарева: </w:t>
      </w:r>
    </w:p>
    <w:p w14:paraId="693807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не позднее 25 января 1942 года представить предложение по размещению заказов на запасные части к самолетам, находящимся в серийной постройке, на заводах Наркомавиапрома; </w:t>
      </w:r>
    </w:p>
    <w:p w14:paraId="257D21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ремонтировать самолеты, снятые с серийного производства на заводах Наркомавиапрома и в ремонтных мастерских ВВС КА, с изготовлением запчастей для ремонта на тех же базах. </w:t>
      </w:r>
    </w:p>
    <w:p w14:paraId="4C799B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Обязать НКО - тов. Жигарева передать в течение января, февраля и марта 1942 года - 3000 моторов и 1000 самолетов для капитального восстановительного ремонта на ремонтных заводах Наркомавиапрома. </w:t>
      </w:r>
    </w:p>
    <w:p w14:paraId="705B3C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77242EB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Маленкову, Берия, Шапошникову, Жигареву, Петрову, Шахурину (11434).</w:t>
      </w:r>
    </w:p>
    <w:p w14:paraId="4221ABF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0CE786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 соответствии с директивой СВГК до начала операции выделялось в резерв несколько БАО, которые двигались вместе с передовыми частями танковых и общевойсковых армий и создавали новые аэродромы на освобожденной территории. БАО усиливались бортовым и наливным автотранспортом (518,169).</w:t>
      </w:r>
    </w:p>
    <w:p w14:paraId="2BEDA2D8" w14:textId="77777777" w:rsidR="00D4651C" w:rsidRPr="008127F8" w:rsidRDefault="00D4651C" w:rsidP="001E0A84">
      <w:pPr>
        <w:pStyle w:val="Iauiue"/>
        <w:jc w:val="both"/>
        <w:rPr>
          <w:color w:val="000000" w:themeColor="text1"/>
          <w:sz w:val="16"/>
          <w:szCs w:val="16"/>
        </w:rPr>
      </w:pPr>
    </w:p>
    <w:p w14:paraId="568CFE6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вышло постановление ГКО по организации инженерно-авиационной службы. Возглавил И.Ф.Петров став с февраля 1944 ГИ ВВС КА (262,77).</w:t>
      </w:r>
    </w:p>
    <w:p w14:paraId="7A0794C5" w14:textId="77777777" w:rsidR="00D4651C" w:rsidRPr="008127F8" w:rsidRDefault="00D4651C" w:rsidP="001E0A84">
      <w:pPr>
        <w:pStyle w:val="Iauiue"/>
        <w:jc w:val="both"/>
        <w:rPr>
          <w:color w:val="000000" w:themeColor="text1"/>
          <w:sz w:val="16"/>
          <w:szCs w:val="16"/>
        </w:rPr>
      </w:pPr>
    </w:p>
    <w:p w14:paraId="0FE338F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вышел приказ:</w:t>
      </w:r>
    </w:p>
    <w:p w14:paraId="1B0DF949"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ВОЕННЫМ СОВЕТАМ АРМИЙ И ФРОНТОВ, КОМАНДУЮЩИМ ВОЕННО-ВОЗДУШНЫМИ СИЛАМИ АРМИЙ И ФРОНТОВ</w:t>
      </w:r>
    </w:p>
    <w:p w14:paraId="022121EA"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22 января 1942 г. 16.30</w:t>
      </w:r>
    </w:p>
    <w:p w14:paraId="4C1ED0EB"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 151443</w:t>
      </w:r>
    </w:p>
    <w:p w14:paraId="5541A91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Наступление Красной Армии и ее продвижение вперед создает трудности в деле обеспечения наземных войск истребительной авиацией прикрытия. Трудности эти проистекают из того, что по мере продвижения Красной Армии действующие аэродромы остаются все дальше и дальше в тылу, откуда трудно обслуживать передовые части наземных войск истребительной авиацией прикрытия, ввиду чего наши передовые част” нередко безнаказанно расстреливаются авиацией противника.</w:t>
      </w:r>
    </w:p>
    <w:p w14:paraId="53004FB6"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Для того чтобы преодолеть эту трудность, необходимо вместе с продвижением наших частей немедленно занимать аэродромы, оставляемые противником, и также немедленно перебазировать на эти аэродромы нашу истребительную авиацию. Для этого необходимо, чтобы командующие военно-воздушными силами армий немедля создали по 2 - 3 запасных батальона аэродромного обслуживания (бао), усиленных необходимым количеством саперов, которые бы двигались вместе с передовыми частями общевойсковых армий, очищали бы аэродромы от мин, приводили бы их в порядок и обеспечивали бы таким образом перебазирование отставших авиационных полков на эти аэродромы.</w:t>
      </w:r>
    </w:p>
    <w:p w14:paraId="4DFEE517"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Ставка Верховного Главнокомандования ПРИКАЗЫВАЕТ:</w:t>
      </w:r>
    </w:p>
    <w:p w14:paraId="46A77361"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1. Заботу о своевременном перебазировании истребительной авиации на аэродромы, оставляемые противником, приведение их в порядок возложить на командующих военно-воздушными силами армий.</w:t>
      </w:r>
    </w:p>
    <w:p w14:paraId="210229C8"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2. Командующим военно-воздушными силами армий иметь два - три запасных батальона аэродромного обслуживания, усиленные саперами, для занятия, очистки и приведения в порядок аэродромов, оставляемых противником.</w:t>
      </w:r>
    </w:p>
    <w:p w14:paraId="6B099374"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3. Военным советам армий оказывать в этом деле командующим военно-воздушными силами армий всяческую помощь.</w:t>
      </w:r>
    </w:p>
    <w:p w14:paraId="696AB303"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4. Обязать командиров батальонов аэродромного обслуживания безусловно выполнять все указания командиров авиационных полков, размещенных на аэродроме, обеспечиваемом батальоном аэродромного обслуживания. Командующим военно-воздушными силами армий проследить, чтобы командиры батальонов аэродромного обслуживания честно и аккуратно выполняли эту их обязанность.</w:t>
      </w:r>
    </w:p>
    <w:p w14:paraId="3D626D41"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5. Разрешить командующему Военно-воздушными силами Красной Армии привлекать в случае необходимости авиацию противовоздушной обороны страны, расположенную вблизи фронта, для прикрытия передовых частей армии, а командующего противовоздушной обороны страны обязать выполнять в таких случаях указания командующего Военно-воздушными силами Красной Армии.</w:t>
      </w:r>
    </w:p>
    <w:p w14:paraId="0406376D"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6. В целях поднятия авторитета и ответственности командующих военно-воздушными силами армий и фронтов Ставка Верховного Главнокомандования назначает командующих военно-воздушными силами армий и фронтов заместителями командующих армиями и фронтами по авиации и членами Военных советов армий и фронтов с сохранением за ними прав и обязанностей командующих военно-воздушными силами армий и фронтов (7751).</w:t>
      </w:r>
    </w:p>
    <w:p w14:paraId="7D88F7C8"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Ставка Верховного Главнокомандования</w:t>
      </w:r>
    </w:p>
    <w:p w14:paraId="0A96B3CA"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И. СТАЛИН</w:t>
      </w:r>
    </w:p>
    <w:p w14:paraId="527BF0DF" w14:textId="77777777" w:rsidR="00D4651C" w:rsidRPr="008127F8" w:rsidRDefault="00D4651C" w:rsidP="001E0A84">
      <w:pPr>
        <w:pStyle w:val="Blockquote"/>
        <w:widowControl/>
        <w:spacing w:before="0" w:after="0"/>
        <w:ind w:left="0" w:right="0"/>
        <w:jc w:val="both"/>
        <w:rPr>
          <w:color w:val="000000" w:themeColor="text1"/>
          <w:sz w:val="16"/>
          <w:szCs w:val="16"/>
          <w:lang w:val="ru-RU"/>
        </w:rPr>
      </w:pPr>
      <w:r w:rsidRPr="008127F8">
        <w:rPr>
          <w:color w:val="000000" w:themeColor="text1"/>
          <w:sz w:val="16"/>
          <w:szCs w:val="16"/>
          <w:lang w:val="ru-RU"/>
        </w:rPr>
        <w:t>А. ВАСИЛЕВСКИЙ (7751)</w:t>
      </w:r>
    </w:p>
    <w:p w14:paraId="77D48675" w14:textId="77777777" w:rsidR="00D4651C" w:rsidRPr="008127F8" w:rsidRDefault="00D4651C" w:rsidP="001E0A84">
      <w:pPr>
        <w:pStyle w:val="Iauiue"/>
        <w:jc w:val="both"/>
        <w:rPr>
          <w:color w:val="000000" w:themeColor="text1"/>
          <w:sz w:val="16"/>
          <w:szCs w:val="16"/>
        </w:rPr>
      </w:pPr>
    </w:p>
    <w:p w14:paraId="2F37227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образовалась Авиация ПВО как род войск ПВО. Приказом НКО N 056 корпуса, дивизии, полки аи, выделенные для ПВО страны, а также 56 БАО были переданы в полное подчинение командующему Войсками ПВО (3398,40).</w:t>
      </w:r>
    </w:p>
    <w:p w14:paraId="7132726A" w14:textId="77777777" w:rsidR="00D4651C" w:rsidRPr="008127F8" w:rsidRDefault="00D4651C" w:rsidP="001E0A84">
      <w:pPr>
        <w:pStyle w:val="Iauiue"/>
        <w:jc w:val="both"/>
        <w:rPr>
          <w:color w:val="000000" w:themeColor="text1"/>
          <w:sz w:val="16"/>
          <w:szCs w:val="16"/>
        </w:rPr>
      </w:pPr>
    </w:p>
    <w:p w14:paraId="375C536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г. вышел ПРИКАЗ НКО № 056 ОБ ИЗМЕНЕНИЯХ В ПОДЧИНЕНИИ И ОБЕСПЕЧЕНИИ КОРПУСОВ, ДИВИЗИЙ И ОТДЕЛЬНЫХ ПОЛКОВ ИСТРЕБИТЕЛЬНОЙ АВИАЦИИ ПВО ТЕРРИТОРИИ СТРАНЫ</w:t>
      </w:r>
    </w:p>
    <w:p w14:paraId="6BF7884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Корпуса, дивизии и отдельные полки истребительной авиации, выделенные для противовоздушной обороны территории страны, полностью подчинить командующему войсками ПВО территории страны.</w:t>
      </w:r>
    </w:p>
    <w:p w14:paraId="1233F6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За ГУ ВВС Красной Армии и военными советами округов оставить обязанность обеспечения указанных частей всеми видами довольствия и технического снабжения.</w:t>
      </w:r>
    </w:p>
    <w:p w14:paraId="6E72CD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Командующему ВВС Красной Армии выделить для обеспечения частей истребительной авиации ПВО 56 батальонов аэродромного обслуживания и подчинить их командирам соответствующих авиационных корпусов, дивизий и отдельных полков.</w:t>
      </w:r>
    </w:p>
    <w:p w14:paraId="453CC8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Ввести дополнительно в состав Управления истребительной авиации ПВО территории страны должность начальника штаба, отделы тыла и кадров и транспортный* авиационный отряд.</w:t>
      </w:r>
    </w:p>
    <w:p w14:paraId="47F2B81A"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lastRenderedPageBreak/>
        <w:t xml:space="preserve">Народный комиссар обороны И. СТАЛИН </w:t>
      </w:r>
      <w:r w:rsidRPr="008127F8">
        <w:rPr>
          <w:color w:val="000000" w:themeColor="text1"/>
          <w:sz w:val="16"/>
          <w:szCs w:val="16"/>
        </w:rPr>
        <w:t>(9844).</w:t>
      </w:r>
    </w:p>
    <w:p w14:paraId="458D93EA" w14:textId="77777777" w:rsidR="00D4651C" w:rsidRPr="008127F8" w:rsidRDefault="00D4651C" w:rsidP="001E0A84">
      <w:pPr>
        <w:pStyle w:val="Iauiue"/>
        <w:jc w:val="both"/>
        <w:rPr>
          <w:color w:val="000000" w:themeColor="text1"/>
          <w:sz w:val="16"/>
          <w:szCs w:val="16"/>
        </w:rPr>
      </w:pPr>
    </w:p>
    <w:p w14:paraId="6370430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г. вышел ПРИКАЗ СТАВКИ ВЕРХОВНОГО ГЛАВНОКОМАНДОВАНИЯ № 057 О БОЕВОМ ИСПОЛЬЗОВАНИИ ТАНКОВЫХ ЧАСТЕЙ И СОЕДИНЕНИЙ</w:t>
      </w:r>
    </w:p>
    <w:p w14:paraId="64C79D1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Опыт войны показал, что в боевом использовании танковых войск все еще имеется ряд крупных недочетов, в результате которых наши части несут большие потери в танках и личном составе.</w:t>
      </w:r>
    </w:p>
    <w:p w14:paraId="58E31E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Излишние, ничем неоправдываемые потери при низком боевом эффекте в танковых войсках происходят потому, что:</w:t>
      </w:r>
    </w:p>
    <w:p w14:paraId="1C2554B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До сих пор плохо организуется в бою взаимодействие пехоты с танковыми соединениями и частями, командиры пехоты ставят задачи не конкретно и наспех, пехота в наступлении отстает и не закрепляет захваченных танками рубежей, в обороне не прикрывает стоящие в засадах танки, а при отходе даже не предупреждает командиров танковых частей об изменении обстановки и бросает танки на произвол судьбы.</w:t>
      </w:r>
    </w:p>
    <w:p w14:paraId="5F2EDC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Атака танков не поддерживается нашим артиллерийским огнем, орудий сопровождения танков не используют, в результате чего боевые машины гибнут от огня противотанковой артиллерии противника.</w:t>
      </w:r>
    </w:p>
    <w:p w14:paraId="23D957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Общевойсковые начальники крайне торопливы в использовании танковых соединений — прямо с хода бросают их в бой, по частям, не отводя времени даже для производства элементарной разведки противника и местности.</w:t>
      </w:r>
    </w:p>
    <w:p w14:paraId="63FBB7D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Танковые части используются мелкими подразделениями, а иногда даже по одному танку, что приводит к распылению сил, потере связи выделенных танков со своей бригадой и невозможности материального обеспечения их в бою, причем пехотные командиры, решая узкие задачи своей части, используют эти мелкие группы танков в лобовых атаках, лишая их маневра, чем увеличивают потери боевых машин и личного состава.</w:t>
      </w:r>
    </w:p>
    <w:p w14:paraId="4AC91C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Общевойсковые начальники плохо заботятся о техническом состоянии подчиненных им танковых частей — производят частые переброски на большие расстояния своим ходом, самоустраняются от вопросов эвакуации аварийной материальной части с поля боя, ставят боевые задачи, не сообразуясь с количеством времени пребывания танков в бою без предупредительного ремонта, что в свою очередь увеличивает и без того большие потери в танках.</w:t>
      </w:r>
    </w:p>
    <w:p w14:paraId="205499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Ставка Верховного Главнокомандования приказывает:</w:t>
      </w:r>
    </w:p>
    <w:p w14:paraId="68A1FD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Танковые бригады и отдельные танковые батальоны применять в бою, как правило, в полном составе и тесном взаимодействии с пехотой, артиллерией и авиацией, не допуская ввода в бой танков без предварительной разведки и рекогносцировки командиров пехоты, артиллерии и танковых начальников.</w:t>
      </w:r>
    </w:p>
    <w:p w14:paraId="298700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Каждый случай неправильного использования танковых войск, оставления танков на территории противника и непринятия мер к их эвакуации — расследовать и виновных привлекать к ответственности.</w:t>
      </w:r>
    </w:p>
    <w:p w14:paraId="3B2FCDE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3. В целях поднятия авторитета и ответственности начальников автобронетанковых отделов армий и начальников автобронетанковых войск фронта Ставка Верховного Главнокомандования назначает первых заместителями командующих армиями по танковым войскам, а вторых — заместителями командующих войсками фронта. При командующем войсками направления иметь заместителя по автобронетанковым войскам и трех офицеров связи танковой </w:t>
      </w:r>
      <w:proofErr w:type="gramStart"/>
      <w:r w:rsidRPr="008127F8">
        <w:rPr>
          <w:color w:val="000000" w:themeColor="text1"/>
          <w:sz w:val="16"/>
          <w:szCs w:val="16"/>
        </w:rPr>
        <w:t>специальности.*</w:t>
      </w:r>
      <w:proofErr w:type="gramEnd"/>
    </w:p>
    <w:p w14:paraId="33FAA6E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 В штат управления — отдела автобронетанковых войск фронта и армии ввести должности двух заместителей: первый — по боевому использованию и применению танковых войск, второй — по снабжению, ремонту и эксплуатации боевых и вспомогательных машин.</w:t>
      </w:r>
    </w:p>
    <w:p w14:paraId="31E0D3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 Институт помощников командующих фронтами по автобронетанковым войскам** из штатов исключить.</w:t>
      </w:r>
    </w:p>
    <w:p w14:paraId="1924F70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 довести до батальона, дивизиона и им равных.</w:t>
      </w:r>
    </w:p>
    <w:p w14:paraId="3A249776" w14:textId="77777777" w:rsidR="00D4651C" w:rsidRPr="008127F8" w:rsidRDefault="00D4651C" w:rsidP="001E0A84">
      <w:pPr>
        <w:pStyle w:val="Iauiue"/>
        <w:jc w:val="both"/>
        <w:rPr>
          <w:iCs/>
          <w:color w:val="000000" w:themeColor="text1"/>
          <w:sz w:val="16"/>
          <w:szCs w:val="16"/>
        </w:rPr>
      </w:pPr>
      <w:r w:rsidRPr="008127F8">
        <w:rPr>
          <w:iCs/>
          <w:color w:val="000000" w:themeColor="text1"/>
          <w:sz w:val="16"/>
          <w:szCs w:val="16"/>
        </w:rPr>
        <w:t>Ставка Верховного Главнокомандования:</w:t>
      </w:r>
    </w:p>
    <w:p w14:paraId="28D36941" w14:textId="77777777" w:rsidR="00D4651C" w:rsidRPr="008127F8" w:rsidRDefault="00D4651C" w:rsidP="001E0A84">
      <w:pPr>
        <w:pStyle w:val="Iauiue"/>
        <w:jc w:val="both"/>
        <w:rPr>
          <w:iCs/>
          <w:color w:val="000000" w:themeColor="text1"/>
          <w:sz w:val="16"/>
          <w:szCs w:val="16"/>
        </w:rPr>
      </w:pPr>
      <w:r w:rsidRPr="008127F8">
        <w:rPr>
          <w:iCs/>
          <w:color w:val="000000" w:themeColor="text1"/>
          <w:sz w:val="16"/>
          <w:szCs w:val="16"/>
        </w:rPr>
        <w:t>И. СТАЛИН</w:t>
      </w:r>
    </w:p>
    <w:p w14:paraId="51799EDB" w14:textId="77777777" w:rsidR="00D4651C" w:rsidRPr="008127F8" w:rsidRDefault="00D4651C" w:rsidP="001E0A84">
      <w:pPr>
        <w:pStyle w:val="Iauiue"/>
        <w:jc w:val="both"/>
        <w:rPr>
          <w:color w:val="000000" w:themeColor="text1"/>
          <w:sz w:val="16"/>
          <w:szCs w:val="16"/>
        </w:rPr>
      </w:pPr>
      <w:r w:rsidRPr="008127F8">
        <w:rPr>
          <w:iCs/>
          <w:color w:val="000000" w:themeColor="text1"/>
          <w:sz w:val="16"/>
          <w:szCs w:val="16"/>
        </w:rPr>
        <w:t>А. ВАСИЛЕВСКИЙ</w:t>
      </w:r>
      <w:r w:rsidRPr="008127F8">
        <w:rPr>
          <w:color w:val="000000" w:themeColor="text1"/>
          <w:sz w:val="16"/>
          <w:szCs w:val="16"/>
        </w:rPr>
        <w:t xml:space="preserve"> (9844).</w:t>
      </w:r>
    </w:p>
    <w:p w14:paraId="41D012E5" w14:textId="77777777" w:rsidR="00D4651C" w:rsidRPr="008127F8" w:rsidRDefault="00D4651C" w:rsidP="001E0A84">
      <w:pPr>
        <w:pStyle w:val="Iauiue"/>
        <w:jc w:val="both"/>
        <w:rPr>
          <w:color w:val="000000" w:themeColor="text1"/>
          <w:sz w:val="16"/>
          <w:szCs w:val="16"/>
        </w:rPr>
      </w:pPr>
    </w:p>
    <w:p w14:paraId="6671C52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была освобождена территория Московской области (2443,422).</w:t>
      </w:r>
    </w:p>
    <w:p w14:paraId="35A4C9C6" w14:textId="77777777" w:rsidR="00D4651C" w:rsidRPr="008127F8" w:rsidRDefault="00D4651C" w:rsidP="001E0A84">
      <w:pPr>
        <w:pStyle w:val="Iauiue"/>
        <w:jc w:val="both"/>
        <w:rPr>
          <w:color w:val="000000" w:themeColor="text1"/>
          <w:sz w:val="16"/>
          <w:szCs w:val="16"/>
        </w:rPr>
      </w:pPr>
    </w:p>
    <w:p w14:paraId="0DDD86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ввели воинские звания для и-то состава: т-л, ст. т-л, и к, им, и-п/п, и-п, г-м икс, г-л иас6 г-н икс (438,834).</w:t>
      </w:r>
    </w:p>
    <w:p w14:paraId="0683605B" w14:textId="77777777" w:rsidR="00D4651C" w:rsidRPr="008127F8" w:rsidRDefault="00D4651C" w:rsidP="001E0A84">
      <w:pPr>
        <w:pStyle w:val="Iauiue"/>
        <w:jc w:val="both"/>
        <w:rPr>
          <w:color w:val="000000" w:themeColor="text1"/>
          <w:sz w:val="16"/>
          <w:szCs w:val="16"/>
        </w:rPr>
      </w:pPr>
    </w:p>
    <w:p w14:paraId="7914328F"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16E49E4C" w14:textId="77777777" w:rsidR="00D4651C" w:rsidRPr="008127F8" w:rsidRDefault="00D4651C" w:rsidP="001E0A84">
      <w:pPr>
        <w:pStyle w:val="Iauiue"/>
        <w:jc w:val="both"/>
        <w:rPr>
          <w:iCs/>
          <w:color w:val="000000" w:themeColor="text1"/>
          <w:sz w:val="16"/>
          <w:szCs w:val="16"/>
        </w:rPr>
      </w:pPr>
    </w:p>
    <w:p w14:paraId="5B99974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января</w:t>
      </w:r>
      <w:r w:rsidRPr="008127F8">
        <w:rPr>
          <w:rFonts w:ascii="Times New Roman" w:hAnsi="Times New Roman"/>
          <w:color w:val="000000" w:themeColor="text1"/>
          <w:sz w:val="16"/>
          <w:szCs w:val="16"/>
        </w:rPr>
        <w:t xml:space="preserve"> в 1942 году первый состав с остарбайтерами отправился в Германию из Киева (15017).</w:t>
      </w:r>
    </w:p>
    <w:p w14:paraId="2E4E9967"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185FC6E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состоянию на 22 января 1942-го результаты эвакуации заключенных из тюрем НКВД () выглядели так:</w:t>
      </w:r>
    </w:p>
    <w:p w14:paraId="2D5D840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Всего эвакуировано - 141 527 человек,</w:t>
      </w:r>
    </w:p>
    <w:p w14:paraId="779DBAC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из них:</w:t>
      </w:r>
    </w:p>
    <w:p w14:paraId="7914639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из тюрем Украины - 45 569 человек;</w:t>
      </w:r>
    </w:p>
    <w:p w14:paraId="1E3ED57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Белоруссии - 9573;</w:t>
      </w:r>
    </w:p>
    <w:p w14:paraId="6B8FA55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Карело-Финской ССР - 3025;</w:t>
      </w:r>
    </w:p>
    <w:p w14:paraId="00C80C6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Латвийской ССР - 3722;</w:t>
      </w:r>
    </w:p>
    <w:p w14:paraId="158F70D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Литовской ССР - 1363;</w:t>
      </w:r>
    </w:p>
    <w:p w14:paraId="3AE93A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Молдавской ССР - 4846;</w:t>
      </w:r>
    </w:p>
    <w:p w14:paraId="20878D3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Эстонской ССР - 4047;</w:t>
      </w:r>
    </w:p>
    <w:p w14:paraId="0B41BF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Крымской АССР - 2035;</w:t>
      </w:r>
    </w:p>
    <w:p w14:paraId="745BFAF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Ленинградской области - 18 906;</w:t>
      </w:r>
    </w:p>
    <w:p w14:paraId="07B6FC4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Калининской области - 2679;</w:t>
      </w:r>
    </w:p>
    <w:p w14:paraId="11F89B5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Мурманской области - 987;</w:t>
      </w:r>
    </w:p>
    <w:p w14:paraId="096C1BE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Смоленской области - 3510;</w:t>
      </w:r>
    </w:p>
    <w:p w14:paraId="1376D8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Орловской области - 3710;</w:t>
      </w:r>
    </w:p>
    <w:p w14:paraId="5149D14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Тульской области - 2152;</w:t>
      </w:r>
    </w:p>
    <w:p w14:paraId="17EEFAC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Курской области - 5033;</w:t>
      </w:r>
    </w:p>
    <w:p w14:paraId="461821B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Ростовской области - 1723;</w:t>
      </w:r>
    </w:p>
    <w:p w14:paraId="26D1B5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Рязанской области - 1823;</w:t>
      </w:r>
    </w:p>
    <w:p w14:paraId="5634A6E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Воронежской области - 2746;</w:t>
      </w:r>
    </w:p>
    <w:p w14:paraId="3CF32CE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Краснодарского края - 2000;</w:t>
      </w:r>
    </w:p>
    <w:p w14:paraId="580E7C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из Владимирской и Орловской тюрем НКВД - 2210;</w:t>
      </w:r>
    </w:p>
    <w:p w14:paraId="3EDD3B3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Москвы - 19 868 человек (7560).</w:t>
      </w:r>
    </w:p>
    <w:p w14:paraId="48368AB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“Остались в тюрьмах не вывезенными” на занятой противником территории - 21 504 человека, освобождено при эвакуации - 7444, бежало в пути при бомбежках - 819, бежало от конвоя - 264 человека. Убито в пути при бомбежках - 23 заключенных, убито в пути при попытке побега - 59, “освобождено налетом банд” - 346, расстреляно в тюрьмах - 9817, расстреляно конвоем в пути при подавлении бунта и сопротивления - 674, “незаконно расстреляно конвоем в пути” - 769, умерло в пути - 1057 заключенных.</w:t>
      </w:r>
    </w:p>
    <w:p w14:paraId="6F75975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Всего по учетным данным в ходе эвакуации выбыло по разным причинам 42 776 заключенных (7560).</w:t>
      </w:r>
    </w:p>
    <w:p w14:paraId="0D3B5878" w14:textId="77777777" w:rsidR="00D4651C" w:rsidRPr="008127F8" w:rsidRDefault="00D4651C" w:rsidP="001E0A84">
      <w:pPr>
        <w:pStyle w:val="Iauiue"/>
        <w:jc w:val="both"/>
        <w:rPr>
          <w:color w:val="000000" w:themeColor="text1"/>
          <w:sz w:val="16"/>
          <w:szCs w:val="16"/>
        </w:rPr>
      </w:pPr>
    </w:p>
    <w:p w14:paraId="38BDBD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января 1942 ГКО принял решение об эвакуации из Ленинграда 500 тыс. жителей, не занятых в оборонном производстве. К 15 апреля по ледовой дороге было вывезено 554186 ленинградцев и более 15 тыс. т ценных грузов (10671).</w:t>
      </w:r>
    </w:p>
    <w:p w14:paraId="621208E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8ED73A4" w14:textId="77777777" w:rsidR="00D4651C" w:rsidRPr="008127F8" w:rsidRDefault="00D4651C" w:rsidP="001E0A84">
      <w:pPr>
        <w:pStyle w:val="afff5"/>
        <w:jc w:val="both"/>
        <w:rPr>
          <w:i w:val="0"/>
          <w:iCs w:val="0"/>
          <w:color w:val="000000" w:themeColor="text1"/>
          <w:spacing w:val="0"/>
          <w:kern w:val="0"/>
          <w:position w:val="0"/>
          <w:sz w:val="16"/>
          <w:szCs w:val="16"/>
        </w:rPr>
      </w:pPr>
      <w:r w:rsidRPr="008127F8">
        <w:rPr>
          <w:i w:val="0"/>
          <w:iCs w:val="0"/>
          <w:color w:val="000000" w:themeColor="text1"/>
          <w:spacing w:val="0"/>
          <w:kern w:val="0"/>
          <w:position w:val="0"/>
          <w:sz w:val="16"/>
          <w:szCs w:val="16"/>
        </w:rPr>
        <w:t xml:space="preserve">22 января 1942 года Государственный Комитет Обороны принял решение: "Поручить бригинженеру Комаровскому — ком. 5-й СА, людей, освободившихся на оборонительном рубеже Сталинградской области (строительных организаций Наркомстроя) в составе: инженеров и техников — 400 чел., мастеров и квалифицированных рабочих — 6 тысяч чел., вместе с автотранспортом и строймеханизмами направить на Бакалстрой". </w:t>
      </w:r>
    </w:p>
    <w:p w14:paraId="787A4AF8" w14:textId="77777777" w:rsidR="00D4651C" w:rsidRPr="008127F8" w:rsidRDefault="00D4651C" w:rsidP="001E0A84">
      <w:pPr>
        <w:pStyle w:val="afff5"/>
        <w:jc w:val="both"/>
        <w:rPr>
          <w:i w:val="0"/>
          <w:iCs w:val="0"/>
          <w:color w:val="000000" w:themeColor="text1"/>
          <w:spacing w:val="0"/>
          <w:kern w:val="0"/>
          <w:position w:val="0"/>
          <w:sz w:val="16"/>
          <w:szCs w:val="16"/>
        </w:rPr>
      </w:pPr>
    </w:p>
    <w:p w14:paraId="069AF79F" w14:textId="77777777" w:rsidR="003A55EF" w:rsidRPr="008127F8" w:rsidRDefault="00A72CAA" w:rsidP="001E0A84">
      <w:pPr>
        <w:pStyle w:val="Iauiue"/>
        <w:jc w:val="both"/>
        <w:rPr>
          <w:iCs/>
          <w:color w:val="000000" w:themeColor="text1"/>
          <w:sz w:val="16"/>
          <w:szCs w:val="16"/>
        </w:rPr>
      </w:pPr>
      <w:r w:rsidRPr="008127F8">
        <w:rPr>
          <w:i/>
          <w:iCs/>
          <w:color w:val="000000" w:themeColor="text1"/>
          <w:sz w:val="16"/>
          <w:szCs w:val="16"/>
        </w:rPr>
        <w:t>Внешняя политика:</w:t>
      </w:r>
    </w:p>
    <w:p w14:paraId="021A350E" w14:textId="77777777" w:rsidR="003A55EF" w:rsidRPr="008127F8" w:rsidRDefault="003A55EF" w:rsidP="001E0A84">
      <w:pPr>
        <w:pStyle w:val="Iauiue"/>
        <w:jc w:val="both"/>
        <w:rPr>
          <w:iCs/>
          <w:color w:val="000000" w:themeColor="text1"/>
          <w:sz w:val="16"/>
          <w:szCs w:val="16"/>
        </w:rPr>
      </w:pPr>
    </w:p>
    <w:p w14:paraId="4272069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22 января</w:t>
      </w:r>
      <w:r w:rsidRPr="008127F8">
        <w:rPr>
          <w:rFonts w:ascii="Times New Roman" w:hAnsi="Times New Roman"/>
          <w:color w:val="000000" w:themeColor="text1"/>
          <w:sz w:val="16"/>
          <w:szCs w:val="16"/>
        </w:rPr>
        <w:t xml:space="preserve"> в 1942 году в Куйбышеве подписаны: советско-польское Соглашение о займе правительству Польской Республики на содержанне польской армии на территории СССР; советско-чехословацкое Соглашение о займе правительству Чехословацкой Республики на содержание чехословацкой бригады на территории СССР (15017).</w:t>
      </w:r>
    </w:p>
    <w:p w14:paraId="2B73CB04"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1440221C"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7B6954D9" w14:textId="77777777" w:rsidR="00D4651C" w:rsidRPr="008127F8" w:rsidRDefault="00D4651C" w:rsidP="001E0A84">
      <w:pPr>
        <w:pStyle w:val="Iauiue"/>
        <w:jc w:val="both"/>
        <w:rPr>
          <w:iCs/>
          <w:color w:val="000000" w:themeColor="text1"/>
          <w:sz w:val="16"/>
          <w:szCs w:val="16"/>
        </w:rPr>
      </w:pPr>
    </w:p>
    <w:p w14:paraId="12E9106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голландцы уничтожили НПЗ в Баликапане на Борнео (2245,2).</w:t>
      </w:r>
    </w:p>
    <w:p w14:paraId="12262358" w14:textId="77777777" w:rsidR="00D4651C" w:rsidRPr="008127F8" w:rsidRDefault="00D4651C" w:rsidP="001E0A84">
      <w:pPr>
        <w:pStyle w:val="Iauiue"/>
        <w:jc w:val="both"/>
        <w:rPr>
          <w:color w:val="000000" w:themeColor="text1"/>
          <w:sz w:val="16"/>
          <w:szCs w:val="16"/>
        </w:rPr>
      </w:pPr>
    </w:p>
    <w:p w14:paraId="5C26B31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22 января 1942 американцы оставили Батаан (2261).</w:t>
      </w:r>
    </w:p>
    <w:p w14:paraId="53B18E89" w14:textId="77777777" w:rsidR="00D4651C" w:rsidRPr="008127F8" w:rsidRDefault="00D4651C" w:rsidP="001E0A84">
      <w:pPr>
        <w:pStyle w:val="Iauiue"/>
        <w:jc w:val="both"/>
        <w:rPr>
          <w:color w:val="000000" w:themeColor="text1"/>
          <w:sz w:val="16"/>
          <w:szCs w:val="16"/>
        </w:rPr>
      </w:pPr>
    </w:p>
    <w:p w14:paraId="5DB6106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2CA0628A" w14:textId="77777777" w:rsidR="00D4651C" w:rsidRPr="008127F8" w:rsidRDefault="00D4651C" w:rsidP="001E0A84">
      <w:pPr>
        <w:pStyle w:val="Iauiue"/>
        <w:jc w:val="both"/>
        <w:rPr>
          <w:iCs/>
          <w:color w:val="000000" w:themeColor="text1"/>
          <w:sz w:val="16"/>
          <w:szCs w:val="16"/>
        </w:rPr>
      </w:pPr>
    </w:p>
    <w:p w14:paraId="1FF10C2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Нач. 10 ГУ Тарасевич писал А.И.Ш.:</w:t>
      </w:r>
    </w:p>
    <w:p w14:paraId="7D6CA4C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381 выпускает в настоящее время самолеты Ил-2 с М-38, пушками ШВАК и металлическим крылом.</w:t>
      </w:r>
    </w:p>
    <w:p w14:paraId="4BF9B03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плану завод 381 в 1942 должен выпускать самолеты Ил-2 с М-82.</w:t>
      </w:r>
    </w:p>
    <w:p w14:paraId="44E9429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 переходу на этот мотор завод не подготовлен. Для перехода на этот мотор требуется новый винт.</w:t>
      </w:r>
    </w:p>
    <w:p w14:paraId="43AD29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Переход на пушку ВЯ лимитируется неподготовленностью завода, отсутствием лафетов ВЯ и самих ВЯ.</w:t>
      </w:r>
    </w:p>
    <w:p w14:paraId="65180A8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Прошу утвердить:</w:t>
      </w:r>
    </w:p>
    <w:p w14:paraId="6658DD0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Переход завода 381 на выпуск самолетов Ил-2 с М-82 с самолета N 151 (сдано самолетов Ил-2 с М-38 в 1941 - 26, в 1942 по 21 января - 11, имеется на заводе сверх этого моторов АМ-38 - 82, чтобы обеспечить выпуск 150 самолетов с М-38 требуется отгрузить АМ-38 - 35).</w:t>
      </w:r>
    </w:p>
    <w:p w14:paraId="7A23EBF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Установку пушек ВЯ взамен ШВАК - с самолета 201 (сдано самолетов с пушками ШВАК в 1941 - 26, в 1942 по 21 января - 11, имеется на заводе лафетов ШВАК сверх этого - 53, лафетов ШВАК отгружается с завода 39 - 110 комплектов, т.е. пушками ШВАК и лафетами завод будет обеспечен).</w:t>
      </w:r>
    </w:p>
    <w:p w14:paraId="4F1F88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Поскольку в деревянном крыле предусматривается установка пушек ВЯ, прошу одновременно разрешить переход на деревянное крыло также с самолета 201 (1685,29).</w:t>
      </w:r>
    </w:p>
    <w:p w14:paraId="07CAD560" w14:textId="77777777" w:rsidR="00D4651C" w:rsidRPr="008127F8" w:rsidRDefault="00D4651C" w:rsidP="001E0A84">
      <w:pPr>
        <w:pStyle w:val="Iauiue"/>
        <w:jc w:val="both"/>
        <w:rPr>
          <w:color w:val="000000" w:themeColor="text1"/>
          <w:sz w:val="16"/>
          <w:szCs w:val="16"/>
        </w:rPr>
      </w:pPr>
    </w:p>
    <w:p w14:paraId="6188508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января 1942 г. Як-7 М-82 приступил к циклу заводских испытаний. Из-за длительной болезни Е.Г. Адлера работы по маши</w:t>
      </w:r>
      <w:r w:rsidRPr="008A2E5A">
        <w:rPr>
          <w:rFonts w:ascii="Times New Roman" w:hAnsi="Times New Roman"/>
          <w:color w:val="0070C0"/>
          <w:sz w:val="16"/>
          <w:szCs w:val="16"/>
        </w:rPr>
        <w:softHyphen/>
        <w:t>не в Новосибирске возглавил В.В. Барсуков. Недоведенность мотора дала себя знать в полной мере: его закли</w:t>
      </w:r>
      <w:r w:rsidRPr="008A2E5A">
        <w:rPr>
          <w:rFonts w:ascii="Times New Roman" w:hAnsi="Times New Roman"/>
          <w:color w:val="0070C0"/>
          <w:sz w:val="16"/>
          <w:szCs w:val="16"/>
        </w:rPr>
        <w:softHyphen/>
        <w:t>нило сразу же при первом пробном запуске. Организо</w:t>
      </w:r>
      <w:r w:rsidRPr="008A2E5A">
        <w:rPr>
          <w:rFonts w:ascii="Times New Roman" w:hAnsi="Times New Roman"/>
          <w:color w:val="0070C0"/>
          <w:sz w:val="16"/>
          <w:szCs w:val="16"/>
        </w:rPr>
        <w:softHyphen/>
        <w:t>ванные круглосуточно в две смены работы по его заме</w:t>
      </w:r>
      <w:r w:rsidRPr="008A2E5A">
        <w:rPr>
          <w:rFonts w:ascii="Times New Roman" w:hAnsi="Times New Roman"/>
          <w:color w:val="0070C0"/>
          <w:sz w:val="16"/>
          <w:szCs w:val="16"/>
        </w:rPr>
        <w:softHyphen/>
        <w:t>не заняли еще два дня. При пробах второго мотора об</w:t>
      </w:r>
      <w:r w:rsidRPr="008A2E5A">
        <w:rPr>
          <w:rFonts w:ascii="Times New Roman" w:hAnsi="Times New Roman"/>
          <w:color w:val="0070C0"/>
          <w:sz w:val="16"/>
          <w:szCs w:val="16"/>
        </w:rPr>
        <w:softHyphen/>
        <w:t>наружили, что он не выдает необходимого числа оборо</w:t>
      </w:r>
      <w:r w:rsidRPr="008A2E5A">
        <w:rPr>
          <w:rFonts w:ascii="Times New Roman" w:hAnsi="Times New Roman"/>
          <w:color w:val="0070C0"/>
          <w:sz w:val="16"/>
          <w:szCs w:val="16"/>
        </w:rPr>
        <w:softHyphen/>
        <w:t>тов, и ряд других мелких недостатков. Принятыми мерами дефекты по самолетным системам устранили, но по мо</w:t>
      </w:r>
      <w:r w:rsidRPr="008A2E5A">
        <w:rPr>
          <w:rFonts w:ascii="Times New Roman" w:hAnsi="Times New Roman"/>
          <w:color w:val="0070C0"/>
          <w:sz w:val="16"/>
          <w:szCs w:val="16"/>
        </w:rPr>
        <w:softHyphen/>
        <w:t>тору это сделать не удалось, и его заменили. Только тре</w:t>
      </w:r>
      <w:r w:rsidRPr="008A2E5A">
        <w:rPr>
          <w:rFonts w:ascii="Times New Roman" w:hAnsi="Times New Roman"/>
          <w:color w:val="0070C0"/>
          <w:sz w:val="16"/>
          <w:szCs w:val="16"/>
        </w:rPr>
        <w:softHyphen/>
        <w:t>тий мотор при пробах работал нормально. К 19 февраля самолет подготовили к полетам, но непригодность аэро</w:t>
      </w:r>
      <w:r w:rsidRPr="008A2E5A">
        <w:rPr>
          <w:rFonts w:ascii="Times New Roman" w:hAnsi="Times New Roman"/>
          <w:color w:val="0070C0"/>
          <w:sz w:val="16"/>
          <w:szCs w:val="16"/>
        </w:rPr>
        <w:softHyphen/>
        <w:t>дрома к полетам на колесах вызвала необходимость уста</w:t>
      </w:r>
      <w:r w:rsidRPr="008A2E5A">
        <w:rPr>
          <w:rFonts w:ascii="Times New Roman" w:hAnsi="Times New Roman"/>
          <w:color w:val="0070C0"/>
          <w:sz w:val="16"/>
          <w:szCs w:val="16"/>
        </w:rPr>
        <w:softHyphen/>
        <w:t>новки и отработки лыжного шасси (для фотосъемки ма</w:t>
      </w:r>
      <w:r w:rsidRPr="008A2E5A">
        <w:rPr>
          <w:rFonts w:ascii="Times New Roman" w:hAnsi="Times New Roman"/>
          <w:color w:val="0070C0"/>
          <w:sz w:val="16"/>
          <w:szCs w:val="16"/>
        </w:rPr>
        <w:softHyphen/>
        <w:t>шины лыжи поменяли на колеса, а потом вернули лыжи обратно). Затем в процесс испытаний вмешались метели, и первый полет машина сделала только 28 февраля 1942 г. После шестого полета и третий мотор пришлось заме</w:t>
      </w:r>
      <w:r w:rsidRPr="008A2E5A">
        <w:rPr>
          <w:rFonts w:ascii="Times New Roman" w:hAnsi="Times New Roman"/>
          <w:color w:val="0070C0"/>
          <w:sz w:val="16"/>
          <w:szCs w:val="16"/>
        </w:rPr>
        <w:softHyphen/>
        <w:t>нить из-за разрушения поршня. В материалах испытаний не сказано явно об использовании отсека второй кабины при проведении испытаний. Однако ряд фактов, а имен</w:t>
      </w:r>
      <w:r w:rsidRPr="008A2E5A">
        <w:rPr>
          <w:rFonts w:ascii="Times New Roman" w:hAnsi="Times New Roman"/>
          <w:color w:val="0070C0"/>
          <w:sz w:val="16"/>
          <w:szCs w:val="16"/>
        </w:rPr>
        <w:softHyphen/>
        <w:t>но установка термопар на головку каждого цилиндра, сня</w:t>
      </w:r>
      <w:r w:rsidRPr="008A2E5A">
        <w:rPr>
          <w:rFonts w:ascii="Times New Roman" w:hAnsi="Times New Roman"/>
          <w:color w:val="0070C0"/>
          <w:sz w:val="16"/>
          <w:szCs w:val="16"/>
        </w:rPr>
        <w:softHyphen/>
        <w:t>тие заднего фюзеляжного бензобака, установка в заднем отсеке приборной доски и заливного бензобака, позволя</w:t>
      </w:r>
      <w:r w:rsidRPr="008A2E5A">
        <w:rPr>
          <w:rFonts w:ascii="Times New Roman" w:hAnsi="Times New Roman"/>
          <w:color w:val="0070C0"/>
          <w:sz w:val="16"/>
          <w:szCs w:val="16"/>
        </w:rPr>
        <w:softHyphen/>
        <w:t>ет говорить о возможном участии в ряде полетов наблю</w:t>
      </w:r>
      <w:r w:rsidRPr="008A2E5A">
        <w:rPr>
          <w:rFonts w:ascii="Times New Roman" w:hAnsi="Times New Roman"/>
          <w:color w:val="0070C0"/>
          <w:sz w:val="16"/>
          <w:szCs w:val="16"/>
        </w:rPr>
        <w:softHyphen/>
        <w:t>дателя. По расчетам, максимальные скорости Як-7 М-82 должны были быть 505 км/ч на номинальном режиме, 515 км/ч на форсаже у земли и 615 км/ч на высоте 6400 м, но в первых полетах на определение летных характеристик до</w:t>
      </w:r>
      <w:r w:rsidRPr="008A2E5A">
        <w:rPr>
          <w:rFonts w:ascii="Times New Roman" w:hAnsi="Times New Roman"/>
          <w:color w:val="0070C0"/>
          <w:sz w:val="16"/>
          <w:szCs w:val="16"/>
        </w:rPr>
        <w:softHyphen/>
        <w:t>стичь заданных величин не удалось.</w:t>
      </w:r>
    </w:p>
    <w:p w14:paraId="4586219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исследованию проблемы «недобора» скорости само</w:t>
      </w:r>
      <w:r w:rsidRPr="008A2E5A">
        <w:rPr>
          <w:rFonts w:ascii="Times New Roman" w:hAnsi="Times New Roman"/>
          <w:color w:val="0070C0"/>
          <w:sz w:val="16"/>
          <w:szCs w:val="16"/>
        </w:rPr>
        <w:softHyphen/>
        <w:t>летом Як-7 М-82 в марте 1942 г. подключился Новосибир</w:t>
      </w:r>
      <w:r w:rsidRPr="008A2E5A">
        <w:rPr>
          <w:rFonts w:ascii="Times New Roman" w:hAnsi="Times New Roman"/>
          <w:color w:val="0070C0"/>
          <w:sz w:val="16"/>
          <w:szCs w:val="16"/>
        </w:rPr>
        <w:softHyphen/>
        <w:t>ский филиал ЦАГИ. Расчеты показали, что ее решение на данном экземпляре машины невозможно. Для получе</w:t>
      </w:r>
      <w:r w:rsidRPr="008A2E5A">
        <w:rPr>
          <w:rFonts w:ascii="Times New Roman" w:hAnsi="Times New Roman"/>
          <w:color w:val="0070C0"/>
          <w:sz w:val="16"/>
          <w:szCs w:val="16"/>
        </w:rPr>
        <w:softHyphen/>
        <w:t>ния требуемых характеристик самолета следовало уста</w:t>
      </w:r>
      <w:r w:rsidRPr="008A2E5A">
        <w:rPr>
          <w:rFonts w:ascii="Times New Roman" w:hAnsi="Times New Roman"/>
          <w:color w:val="0070C0"/>
          <w:sz w:val="16"/>
          <w:szCs w:val="16"/>
        </w:rPr>
        <w:softHyphen/>
        <w:t>новить винт большего диаметра - 3,2 м (в процессе ис</w:t>
      </w:r>
      <w:r w:rsidRPr="008A2E5A">
        <w:rPr>
          <w:rFonts w:ascii="Times New Roman" w:hAnsi="Times New Roman"/>
          <w:color w:val="0070C0"/>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8A2E5A">
        <w:rPr>
          <w:rFonts w:ascii="Times New Roman" w:hAnsi="Times New Roman"/>
          <w:color w:val="0070C0"/>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45C34977" w14:textId="77777777" w:rsidR="001F3545" w:rsidRPr="008A2E5A" w:rsidRDefault="001F3545" w:rsidP="001F3545">
      <w:pPr>
        <w:spacing w:after="0" w:line="240" w:lineRule="auto"/>
        <w:jc w:val="both"/>
        <w:rPr>
          <w:rFonts w:ascii="Times New Roman" w:hAnsi="Times New Roman"/>
          <w:color w:val="0070C0"/>
          <w:sz w:val="16"/>
          <w:szCs w:val="16"/>
        </w:rPr>
      </w:pPr>
    </w:p>
    <w:p w14:paraId="0B6881C5"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января</w:t>
      </w:r>
      <w:r w:rsidRPr="008127F8">
        <w:rPr>
          <w:rFonts w:ascii="Times New Roman" w:hAnsi="Times New Roman"/>
          <w:color w:val="000000" w:themeColor="text1"/>
          <w:sz w:val="16"/>
          <w:szCs w:val="16"/>
        </w:rPr>
        <w:t xml:space="preserve"> в 1942 году первый полет истребителя </w:t>
      </w:r>
      <w:hyperlink r:id="rId15" w:tgtFrame="_blank" w:history="1">
        <w:r w:rsidRPr="008127F8">
          <w:rPr>
            <w:rFonts w:ascii="Times New Roman" w:hAnsi="Times New Roman"/>
            <w:color w:val="000000" w:themeColor="text1"/>
            <w:sz w:val="16"/>
            <w:szCs w:val="16"/>
          </w:rPr>
          <w:t xml:space="preserve">«Як-7» с двигателем «М-82», </w:t>
        </w:r>
      </w:hyperlink>
      <w:r w:rsidRPr="008127F8">
        <w:rPr>
          <w:rFonts w:ascii="Times New Roman" w:hAnsi="Times New Roman"/>
          <w:color w:val="000000" w:themeColor="text1"/>
          <w:sz w:val="16"/>
          <w:szCs w:val="16"/>
        </w:rPr>
        <w:t>летчик-испытатель П.Я.Федрови. Работа по переделке «Як-7» под «М-82А» началась в августе 1941 г. в Москве и закончилась в конце декабря 1941 г. - начале января 1942 г. на заводе N153 в Новосибирске, куда ОКБ А.С.Яковлева эвакуировалось в октябре 1941 г. Заводские испытания с 23 января по 13 мая 1942 г. проводила бригада в составе: ведущий летчик П.Я.Федрови, ведущие инженеры В.В.Барсуков (ОКБ) и С.В.Чистов (ЛИИ) (15018).</w:t>
      </w:r>
    </w:p>
    <w:p w14:paraId="43471764"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4EC97BE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января 1942 г. Из приказа директора завода № 340 Е. В. Товстых об организации переделки моторов типа АМ-34-РНБ для судостроения</w:t>
      </w:r>
    </w:p>
    <w:p w14:paraId="22A30138"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имеющимся указанием наркома судостроительной промышленности об использовании моторов типа АМ-34-РНБ в судостроении и письма от 16 января 1942 г. за № 228 об организации переделки моторов у нас на заводе, приказываю:</w:t>
      </w:r>
    </w:p>
    <w:p w14:paraId="627292F0"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Организовать при цехе № 4 специальный участок по </w:t>
      </w:r>
      <w:proofErr w:type="gramStart"/>
      <w:r w:rsidRPr="008A2E5A">
        <w:rPr>
          <w:rFonts w:ascii="Times New Roman" w:hAnsi="Times New Roman"/>
          <w:color w:val="0070C0"/>
          <w:sz w:val="16"/>
          <w:szCs w:val="16"/>
        </w:rPr>
        <w:t>переделке ,</w:t>
      </w:r>
      <w:proofErr w:type="gramEnd"/>
      <w:r w:rsidRPr="008A2E5A">
        <w:rPr>
          <w:rFonts w:ascii="Times New Roman" w:hAnsi="Times New Roman"/>
          <w:color w:val="0070C0"/>
          <w:sz w:val="16"/>
          <w:szCs w:val="16"/>
        </w:rPr>
        <w:t xml:space="preserve"> переброске и испытанию моторов AM-34. [...J1</w:t>
      </w:r>
    </w:p>
    <w:p w14:paraId="607BF9F8"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Начальнику цеха № 4 тов. Гаврилову, начиная с 23 января, приступить к изготовлению деталей и принять непосредственное участие, как в организации участка, так и во всех подготовительных работах. Первый мотор под персональную ответственность тов. Гаврилова выпустить после испытания и сдачи его не позже 15 февраля 1942 г., использовав свободную площадь компрессорной станции под разборку и сборку.</w:t>
      </w:r>
    </w:p>
    <w:p w14:paraId="0F3197CE"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Все вопросы, связанные с организацией работ по моторам АМ-34 и самому производству, контролирует ЦНИИ-45 в лице постоянного представителя на заводе инженера Эренчик.</w:t>
      </w:r>
    </w:p>
    <w:p w14:paraId="7C998536"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340 Товстых</w:t>
      </w:r>
    </w:p>
    <w:p w14:paraId="28985E7B" w14:textId="77777777" w:rsidR="001F3545" w:rsidRPr="008A2E5A" w:rsidRDefault="001F3545" w:rsidP="001F35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Р-3828. Оп. 2. Д. 30. Л. 38-38 об. Подлинник (23714).</w:t>
      </w:r>
    </w:p>
    <w:p w14:paraId="786D63E1" w14:textId="77777777" w:rsidR="001F3545" w:rsidRPr="008A2E5A" w:rsidRDefault="001F3545" w:rsidP="001F3545">
      <w:pPr>
        <w:spacing w:after="0" w:line="240" w:lineRule="auto"/>
        <w:jc w:val="both"/>
        <w:rPr>
          <w:rFonts w:ascii="Times New Roman" w:hAnsi="Times New Roman"/>
          <w:color w:val="0070C0"/>
          <w:sz w:val="16"/>
          <w:szCs w:val="16"/>
        </w:rPr>
      </w:pPr>
    </w:p>
    <w:p w14:paraId="1959335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года N Н-20/186. Сталину.</w:t>
      </w:r>
    </w:p>
    <w:p w14:paraId="0E136C8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Посылаем проект постановления ГКО о восстановлении аэродинамических труб и лабораторий ЦАГИ. (ГКО N 1205 от 24.I.42 г.).</w:t>
      </w:r>
    </w:p>
    <w:p w14:paraId="1A37E5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Просим его утвердить (2760,113).</w:t>
      </w:r>
    </w:p>
    <w:p w14:paraId="6D6ADF51" w14:textId="77777777" w:rsidR="00D4651C" w:rsidRPr="008127F8" w:rsidRDefault="00D4651C" w:rsidP="001E0A84">
      <w:pPr>
        <w:pStyle w:val="Iauiue"/>
        <w:jc w:val="both"/>
        <w:rPr>
          <w:color w:val="000000" w:themeColor="text1"/>
          <w:sz w:val="16"/>
          <w:szCs w:val="16"/>
        </w:rPr>
      </w:pPr>
    </w:p>
    <w:p w14:paraId="3806258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года N н-20/189.</w:t>
      </w:r>
    </w:p>
    <w:p w14:paraId="5ED9A21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Посылаем проект постановления ГКО об организации на площади эвакуированного Центрального института моторостроения в Москве производства моторов М-11. (ГКО N 1206 от 24.I.1942 г.).</w:t>
      </w:r>
    </w:p>
    <w:p w14:paraId="5E2C89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Просим его утвердить (2760,110).</w:t>
      </w:r>
    </w:p>
    <w:p w14:paraId="6DB411B3" w14:textId="77777777" w:rsidR="00D4651C" w:rsidRPr="008127F8" w:rsidRDefault="00D4651C" w:rsidP="001E0A84">
      <w:pPr>
        <w:pStyle w:val="Iauiue"/>
        <w:jc w:val="both"/>
        <w:rPr>
          <w:color w:val="000000" w:themeColor="text1"/>
          <w:sz w:val="16"/>
          <w:szCs w:val="16"/>
        </w:rPr>
      </w:pPr>
    </w:p>
    <w:p w14:paraId="3018009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А.И.Ш. писал И.В.Сталину.</w:t>
      </w:r>
    </w:p>
    <w:p w14:paraId="23DC08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Посылаем проект постановления ГКО об организации на площади эвакуированного завода N 82 в Москве производства дизель-моторов М-30. (ГКО N1207 от 24.I.1942 г).</w:t>
      </w:r>
    </w:p>
    <w:p w14:paraId="4B3D5B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Просим его утвердить (2760,113).</w:t>
      </w:r>
    </w:p>
    <w:p w14:paraId="0BF1E5C5" w14:textId="77777777" w:rsidR="00D4651C" w:rsidRPr="008127F8" w:rsidRDefault="00D4651C" w:rsidP="001E0A84">
      <w:pPr>
        <w:pStyle w:val="Iauiue"/>
        <w:jc w:val="both"/>
        <w:rPr>
          <w:color w:val="000000" w:themeColor="text1"/>
          <w:sz w:val="16"/>
          <w:szCs w:val="16"/>
        </w:rPr>
      </w:pPr>
    </w:p>
    <w:p w14:paraId="5A0870B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ГК завода 30 И.В.Четвериков писал письмо N 54с НКАП А.И.Ш. о мероприятиях, необходимых для выполнения работ, перечисленных в письме Нач. УВВС НКВМФ г-л Жаворонкова от 15 января 1942. Предлагал определить место работы ОКБ морского самолетостроения - временно оно на 23 заводе - и предлагал перенести ОКБ МС на площади бывшего 81 в Тушино... (1648,67).</w:t>
      </w:r>
    </w:p>
    <w:p w14:paraId="10D8CE29" w14:textId="77777777" w:rsidR="00D4651C" w:rsidRPr="008127F8" w:rsidRDefault="00D4651C" w:rsidP="001E0A84">
      <w:pPr>
        <w:pStyle w:val="Iauiue"/>
        <w:jc w:val="both"/>
        <w:rPr>
          <w:color w:val="000000" w:themeColor="text1"/>
          <w:sz w:val="16"/>
          <w:szCs w:val="16"/>
        </w:rPr>
      </w:pPr>
    </w:p>
    <w:p w14:paraId="6869BEC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ГК завода 30 И.В.Четвериков писал письмо N 54с НКАП А.И.Ш.</w:t>
      </w:r>
    </w:p>
    <w:p w14:paraId="3BC8C7D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Ваше указание о мероприятиях, </w:t>
      </w:r>
      <w:proofErr w:type="gramStart"/>
      <w:r w:rsidRPr="008127F8">
        <w:rPr>
          <w:rFonts w:ascii="Times New Roman" w:hAnsi="Times New Roman"/>
          <w:color w:val="000000" w:themeColor="text1"/>
          <w:sz w:val="16"/>
          <w:szCs w:val="16"/>
        </w:rPr>
        <w:t>необходимых для выполнения работ</w:t>
      </w:r>
      <w:proofErr w:type="gramEnd"/>
      <w:r w:rsidRPr="008127F8">
        <w:rPr>
          <w:rFonts w:ascii="Times New Roman" w:hAnsi="Times New Roman"/>
          <w:color w:val="000000" w:themeColor="text1"/>
          <w:sz w:val="16"/>
          <w:szCs w:val="16"/>
        </w:rPr>
        <w:t xml:space="preserve"> перечисленных в письме Начальника УВВС НКВМФ Генерал-Лейтенанта т. ЖАВОРОНКОВА от 15/Х-42 г. докладываю, что необходимо следующее:</w:t>
      </w:r>
    </w:p>
    <w:p w14:paraId="20A82E8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r w:rsidRPr="008127F8">
        <w:rPr>
          <w:rFonts w:ascii="Times New Roman" w:hAnsi="Times New Roman"/>
          <w:smallCaps/>
          <w:color w:val="000000" w:themeColor="text1"/>
          <w:sz w:val="16"/>
          <w:szCs w:val="16"/>
        </w:rPr>
        <w:t>. Определить место работы ОКБ морского самолетостроения.</w:t>
      </w:r>
    </w:p>
    <w:p w14:paraId="6F0D77DC"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данное время работы нельзя развернуть, т.к. ОКБ, временно находится на территории </w:t>
      </w:r>
      <w:proofErr w:type="gramStart"/>
      <w:r w:rsidRPr="008127F8">
        <w:rPr>
          <w:rFonts w:ascii="Times New Roman" w:hAnsi="Times New Roman"/>
          <w:color w:val="000000" w:themeColor="text1"/>
          <w:sz w:val="16"/>
          <w:szCs w:val="16"/>
        </w:rPr>
        <w:t>завода № 23</w:t>
      </w:r>
      <w:proofErr w:type="gramEnd"/>
      <w:r w:rsidRPr="008127F8">
        <w:rPr>
          <w:rFonts w:ascii="Times New Roman" w:hAnsi="Times New Roman"/>
          <w:color w:val="000000" w:themeColor="text1"/>
          <w:sz w:val="16"/>
          <w:szCs w:val="16"/>
        </w:rPr>
        <w:t xml:space="preserve"> и большая чаать состава его распределена по цехам завода № 23, в отдании получения своей базы.</w:t>
      </w:r>
    </w:p>
    <w:p w14:paraId="72BC2110"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желательным было бы, немедленно перевести ОКБ МС на площади бывшего завода № 81 /Тушино/. Эти площади сейчас свободны, и на нихможно быстро организовать тре</w:t>
      </w:r>
      <w:r w:rsidRPr="008127F8">
        <w:rPr>
          <w:rFonts w:ascii="Times New Roman" w:hAnsi="Times New Roman"/>
          <w:color w:val="000000" w:themeColor="text1"/>
          <w:sz w:val="16"/>
          <w:szCs w:val="16"/>
        </w:rPr>
        <w:softHyphen/>
        <w:t>бующиеся работы.</w:t>
      </w:r>
    </w:p>
    <w:p w14:paraId="364D639D"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Открыть финансирование этих работ.</w:t>
      </w:r>
    </w:p>
    <w:p w14:paraId="51F3612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Требуется для 1-го Квартала 1942 </w:t>
      </w:r>
      <w:proofErr w:type="gramStart"/>
      <w:r w:rsidRPr="008127F8">
        <w:rPr>
          <w:rFonts w:ascii="Times New Roman" w:hAnsi="Times New Roman"/>
          <w:color w:val="000000" w:themeColor="text1"/>
          <w:sz w:val="16"/>
          <w:szCs w:val="16"/>
        </w:rPr>
        <w:t>г.на</w:t>
      </w:r>
      <w:proofErr w:type="gramEnd"/>
      <w:r w:rsidRPr="008127F8">
        <w:rPr>
          <w:rFonts w:ascii="Times New Roman" w:hAnsi="Times New Roman"/>
          <w:color w:val="000000" w:themeColor="text1"/>
          <w:sz w:val="16"/>
          <w:szCs w:val="16"/>
        </w:rPr>
        <w:t xml:space="preserve"> деятельность организации- 1080 т.р.</w:t>
      </w:r>
    </w:p>
    <w:p w14:paraId="00E36E0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Сейчас нужен аванс в размере 300 т.р.</w:t>
      </w:r>
    </w:p>
    <w:p w14:paraId="3000363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Возвратить оборудование и имущество опытного цеха ОКБ, попавшее на завод № 23 вместе с оборудованием бьвш. завода № 30, и передать это оборудование на площадку </w:t>
      </w:r>
      <w:proofErr w:type="gramStart"/>
      <w:r w:rsidRPr="008127F8">
        <w:rPr>
          <w:rFonts w:ascii="Times New Roman" w:hAnsi="Times New Roman"/>
          <w:color w:val="000000" w:themeColor="text1"/>
          <w:sz w:val="16"/>
          <w:szCs w:val="16"/>
        </w:rPr>
        <w:t>быв..</w:t>
      </w:r>
      <w:proofErr w:type="gramEnd"/>
      <w:r w:rsidRPr="008127F8">
        <w:rPr>
          <w:rFonts w:ascii="Times New Roman" w:hAnsi="Times New Roman"/>
          <w:color w:val="000000" w:themeColor="text1"/>
          <w:sz w:val="16"/>
          <w:szCs w:val="16"/>
        </w:rPr>
        <w:t xml:space="preserve"> завода № 81.</w:t>
      </w:r>
    </w:p>
    <w:p w14:paraId="132BCC1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Номенклатура этого оборудования </w:t>
      </w:r>
      <w:proofErr w:type="gramStart"/>
      <w:r w:rsidRPr="008127F8">
        <w:rPr>
          <w:rFonts w:ascii="Times New Roman" w:hAnsi="Times New Roman"/>
          <w:color w:val="000000" w:themeColor="text1"/>
          <w:sz w:val="16"/>
          <w:szCs w:val="16"/>
        </w:rPr>
        <w:t>ничтожна.Оно</w:t>
      </w:r>
      <w:proofErr w:type="gramEnd"/>
      <w:r w:rsidRPr="008127F8">
        <w:rPr>
          <w:rFonts w:ascii="Times New Roman" w:hAnsi="Times New Roman"/>
          <w:color w:val="000000" w:themeColor="text1"/>
          <w:sz w:val="16"/>
          <w:szCs w:val="16"/>
        </w:rPr>
        <w:t xml:space="preserve"> состоит из 2-х токарных станков, 2-х фрезерных и 1 сверлильного. Но работать без него нельзя.</w:t>
      </w:r>
    </w:p>
    <w:p w14:paraId="124289D5"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Передать из состава сборочного цеха быв. з—да № 30 5-работников /2-х Инженеров и 3-х сборщиков/ (1648,67).</w:t>
      </w:r>
    </w:p>
    <w:p w14:paraId="1DAE73EE" w14:textId="77777777" w:rsidR="00D4651C" w:rsidRPr="008127F8" w:rsidRDefault="00D4651C" w:rsidP="001E0A84">
      <w:pPr>
        <w:pStyle w:val="Iauiue"/>
        <w:jc w:val="both"/>
        <w:rPr>
          <w:color w:val="000000" w:themeColor="text1"/>
          <w:sz w:val="16"/>
          <w:szCs w:val="16"/>
        </w:rPr>
      </w:pPr>
    </w:p>
    <w:p w14:paraId="48A22E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23 января по 13 мая 1942 бригада в составе П.Я.Федрови, ви В.В.Барсукова (ОКБ) и С.В.Чистова (ЛИИ) и др. проводила гос. испытания Як-7 М-82 и было выполнено 17 полетов продолжительностью 5:24. Летали без УБС и заправки фюзеляжного бака (65,95).</w:t>
      </w:r>
    </w:p>
    <w:p w14:paraId="10DE5C60" w14:textId="77777777" w:rsidR="00D4651C" w:rsidRPr="008127F8" w:rsidRDefault="00D4651C" w:rsidP="001E0A84">
      <w:pPr>
        <w:pStyle w:val="Iauiue"/>
        <w:jc w:val="both"/>
        <w:rPr>
          <w:color w:val="000000" w:themeColor="text1"/>
          <w:sz w:val="16"/>
          <w:szCs w:val="16"/>
        </w:rPr>
      </w:pPr>
    </w:p>
    <w:p w14:paraId="3D8A7A55"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самолет Як-7 под М-82 вышел на заводские летные испытания, которые показали, что эта модификация оказалась в общем неудачной и не могла быть запущена в серийное производство в ближайшее время без большого объема доводочных работ.</w:t>
      </w:r>
    </w:p>
    <w:p w14:paraId="0483F635"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по переделке истребителя началась в августе 1941 г. в Москве и закончилась в конце декабря 1941 г. в Новоси - бирске (19727).</w:t>
      </w:r>
    </w:p>
    <w:p w14:paraId="5589153C"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070091AA"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года начались летные испытания Як-7 с М-82 (лет</w:t>
      </w:r>
      <w:r w:rsidRPr="008127F8">
        <w:rPr>
          <w:rFonts w:ascii="Times New Roman" w:hAnsi="Times New Roman"/>
          <w:color w:val="000000" w:themeColor="text1"/>
          <w:sz w:val="16"/>
          <w:szCs w:val="16"/>
        </w:rPr>
        <w:softHyphen/>
        <w:t>чик-испытатель П.Я. Федрови). Обнаружились те же дефекты мотора, что и ранее на других само</w:t>
      </w:r>
      <w:r w:rsidRPr="008127F8">
        <w:rPr>
          <w:rFonts w:ascii="Times New Roman" w:hAnsi="Times New Roman"/>
          <w:color w:val="000000" w:themeColor="text1"/>
          <w:sz w:val="16"/>
          <w:szCs w:val="16"/>
        </w:rPr>
        <w:softHyphen/>
        <w:t>летах, а также неудовлетворительный тепловой режим ВМГ - температура головок цилиндров 265-305°С вместо максимально допустимой 250°С и вы</w:t>
      </w:r>
      <w:r w:rsidRPr="008127F8">
        <w:rPr>
          <w:rFonts w:ascii="Times New Roman" w:hAnsi="Times New Roman"/>
          <w:color w:val="000000" w:themeColor="text1"/>
          <w:sz w:val="16"/>
          <w:szCs w:val="16"/>
        </w:rPr>
        <w:softHyphen/>
        <w:t>сокая температура входящего масла 110 °С вместо максимально допусти</w:t>
      </w:r>
      <w:r w:rsidRPr="008127F8">
        <w:rPr>
          <w:rFonts w:ascii="Times New Roman" w:hAnsi="Times New Roman"/>
          <w:color w:val="000000" w:themeColor="text1"/>
          <w:sz w:val="16"/>
          <w:szCs w:val="16"/>
        </w:rPr>
        <w:softHyphen/>
        <w:t>мой 85 гр. С. Этого следовало ожидать, так как при выбранной капотировке боковые цилиндры, расположенные около выходных створок капота, охлаж</w:t>
      </w:r>
      <w:r w:rsidRPr="008127F8">
        <w:rPr>
          <w:rFonts w:ascii="Times New Roman" w:hAnsi="Times New Roman"/>
          <w:color w:val="000000" w:themeColor="text1"/>
          <w:sz w:val="16"/>
          <w:szCs w:val="16"/>
        </w:rPr>
        <w:softHyphen/>
        <w:t>дались лучше, чем нижние и, особен</w:t>
      </w:r>
      <w:r w:rsidRPr="008127F8">
        <w:rPr>
          <w:rFonts w:ascii="Times New Roman" w:hAnsi="Times New Roman"/>
          <w:color w:val="000000" w:themeColor="text1"/>
          <w:sz w:val="16"/>
          <w:szCs w:val="16"/>
        </w:rPr>
        <w:softHyphen/>
        <w:t>но, верхние. В результате возникала сильная неравномерность температур по разным цилиндрам. Решить эту проблему ОКБ Яковлева тогда не смогло. Из 17 полетов только в двух уда</w:t>
      </w:r>
      <w:r w:rsidRPr="008127F8">
        <w:rPr>
          <w:rFonts w:ascii="Times New Roman" w:hAnsi="Times New Roman"/>
          <w:color w:val="000000" w:themeColor="text1"/>
          <w:sz w:val="16"/>
          <w:szCs w:val="16"/>
        </w:rPr>
        <w:softHyphen/>
        <w:t>лось определить летные характеристики, а остальные использовались для отработки ВМГ. За январь-март сме</w:t>
      </w:r>
      <w:r w:rsidRPr="008127F8">
        <w:rPr>
          <w:rFonts w:ascii="Times New Roman" w:hAnsi="Times New Roman"/>
          <w:color w:val="000000" w:themeColor="text1"/>
          <w:sz w:val="16"/>
          <w:szCs w:val="16"/>
        </w:rPr>
        <w:softHyphen/>
        <w:t>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w:t>
      </w:r>
      <w:r w:rsidRPr="008127F8">
        <w:rPr>
          <w:rFonts w:ascii="Times New Roman" w:hAnsi="Times New Roman"/>
          <w:color w:val="000000" w:themeColor="text1"/>
          <w:sz w:val="16"/>
          <w:szCs w:val="16"/>
        </w:rPr>
        <w:softHyphen/>
        <w:t>гичные значения серийного Як-7А с М-105П. Такой результат, в частности, был следствием установки винта ди</w:t>
      </w:r>
      <w:r w:rsidRPr="008127F8">
        <w:rPr>
          <w:rFonts w:ascii="Times New Roman" w:hAnsi="Times New Roman"/>
          <w:color w:val="000000" w:themeColor="text1"/>
          <w:sz w:val="16"/>
          <w:szCs w:val="16"/>
        </w:rPr>
        <w:softHyphen/>
        <w:t>аметром всего 2,8 м, что не позволяло снять полную мощность мотора. Винт же большего диаметра на Як-7 было установить невозможно из-за недо</w:t>
      </w:r>
      <w:r w:rsidRPr="008127F8">
        <w:rPr>
          <w:rFonts w:ascii="Times New Roman" w:hAnsi="Times New Roman"/>
          <w:color w:val="000000" w:themeColor="text1"/>
          <w:sz w:val="16"/>
          <w:szCs w:val="16"/>
        </w:rPr>
        <w:softHyphen/>
        <w:t>статочной высоты стоек шасси. В результате А.С. Яковлев не проявил интереса к продолжению доводки этого самолета, и 13 мая 1942 года летные испытания прекратились (10686).</w:t>
      </w:r>
    </w:p>
    <w:p w14:paraId="3BE0EBB1"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3EBEC356"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37589282" w14:textId="77777777" w:rsidR="00D4651C" w:rsidRPr="008127F8" w:rsidRDefault="00D4651C" w:rsidP="001E0A84">
      <w:pPr>
        <w:pStyle w:val="Iauiue"/>
        <w:jc w:val="both"/>
        <w:rPr>
          <w:iCs/>
          <w:color w:val="000000" w:themeColor="text1"/>
          <w:sz w:val="16"/>
          <w:szCs w:val="16"/>
        </w:rPr>
      </w:pPr>
    </w:p>
    <w:p w14:paraId="5BF95E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января 1942 г. по приказу НКБ № </w:t>
      </w:r>
      <w:proofErr w:type="gramStart"/>
      <w:r w:rsidRPr="008127F8">
        <w:rPr>
          <w:rFonts w:ascii="Times New Roman" w:hAnsi="Times New Roman"/>
          <w:color w:val="000000" w:themeColor="text1"/>
          <w:sz w:val="16"/>
          <w:szCs w:val="16"/>
        </w:rPr>
        <w:t>13  в</w:t>
      </w:r>
      <w:proofErr w:type="gramEnd"/>
      <w:r w:rsidRPr="008127F8">
        <w:rPr>
          <w:rFonts w:ascii="Times New Roman" w:hAnsi="Times New Roman"/>
          <w:color w:val="000000" w:themeColor="text1"/>
          <w:sz w:val="16"/>
          <w:szCs w:val="16"/>
        </w:rPr>
        <w:t xml:space="preserve"> Омске на базе завода № 513А и завода № 187 «Новая Тула», эвакуированного из Тулы, создан единый завод № 513, в 12.1942 г. - в ведении 5ГУ НКБ, в 08.1943-09.1944 г. - в ведении 8ГУ. Далее- завод «Штамповщик».</w:t>
      </w:r>
    </w:p>
    <w:p w14:paraId="0898A2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2.02.1942 г. (этот день стал днем рождения завода) была выпущена первая партия гильз и звеньев для авиапушек, производство которых продолжалось всю войну и в послевоенные годы. После войны освоен также выпуск комплектующих для сельхозтехники, газовых плит, медицинских приборов.</w:t>
      </w:r>
    </w:p>
    <w:p w14:paraId="62A4F3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в Ростове на старом месте создан завод № 359.</w:t>
      </w:r>
    </w:p>
    <w:p w14:paraId="6D27FC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1958 г. завод перепрофилирован на выпуск радиотехнических изделий. В 1960 г. освоено производство аппаратуры радиосвязи, телевизоров, затем- станций и мобильных комплексов радиосвязи военного и гражданского назначения СДВ, СВ,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и УКВ диапазонов. С 1974 г.- производство приводных аэродромных радиостанций автомобильного и стационарного исполнения. В 1977 г. освоен выпуск цветных телевизоров. В 1978 г. начат выпуск автоматизированных телерадиовещательных станций.</w:t>
      </w:r>
    </w:p>
    <w:p w14:paraId="31FEFB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МРП № 160 от 24.03.1966 г. переименован в Омский телевизионный завод. Имел наименование «п/я Р-6135». 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в ведении Управления радиотехнической и электронной промышленности Западно- Сибирского совнархоза. По приказу МПСС от 28.11.1988 г. на базе Омского телевизионного завода создано ПО «Иртыш». В него вошли также: Тарский завод «Кварц», Исилькульский завод «Экран» и Черлакское производство.</w:t>
      </w:r>
    </w:p>
    <w:p w14:paraId="1DFFCB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1996 г. был прекращен выпуск телевизоров, всего их к этому времени было выпущено более 5 млн.</w:t>
      </w:r>
    </w:p>
    <w:p w14:paraId="79207E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EA62DC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w:t>
      </w:r>
      <w:proofErr w:type="gramStart"/>
      <w:r w:rsidRPr="008127F8">
        <w:rPr>
          <w:rFonts w:ascii="Times New Roman" w:hAnsi="Times New Roman"/>
          <w:color w:val="000000" w:themeColor="text1"/>
          <w:sz w:val="16"/>
          <w:szCs w:val="16"/>
        </w:rPr>
        <w:t>( 2005</w:t>
      </w:r>
      <w:proofErr w:type="gramEnd"/>
      <w:r w:rsidRPr="008127F8">
        <w:rPr>
          <w:rFonts w:ascii="Times New Roman" w:hAnsi="Times New Roman"/>
          <w:color w:val="000000" w:themeColor="text1"/>
          <w:sz w:val="16"/>
          <w:szCs w:val="16"/>
        </w:rPr>
        <w:t xml:space="preserve"> г.): приводные аэродромные радиостанции; профессиональные всеволновые радиоприемники и возбудители; УКВ мобильные и портативные радиостанции; ТНП (телевизоры, радиоприемники, электроводонагреватели).</w:t>
      </w:r>
    </w:p>
    <w:p w14:paraId="7836A5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(09.1941 г.)- 3284 чел., (12.1942 г.)- 3090 чел.,</w:t>
      </w:r>
      <w:r w:rsidRPr="008127F8">
        <w:rPr>
          <w:rFonts w:ascii="Times New Roman" w:hAnsi="Times New Roman"/>
          <w:color w:val="000000" w:themeColor="text1"/>
          <w:sz w:val="16"/>
          <w:szCs w:val="16"/>
          <w:vertAlign w:val="superscript"/>
        </w:rPr>
        <w:t>132</w:t>
      </w:r>
      <w:r w:rsidRPr="008127F8">
        <w:rPr>
          <w:rFonts w:ascii="Times New Roman" w:hAnsi="Times New Roman"/>
          <w:color w:val="000000" w:themeColor="text1"/>
          <w:sz w:val="16"/>
          <w:szCs w:val="16"/>
        </w:rPr>
        <w:t xml:space="preserve"> (15.09.1964 г.)- 3444 чел.</w:t>
      </w:r>
      <w:r w:rsidRPr="008127F8">
        <w:rPr>
          <w:rFonts w:ascii="Times New Roman" w:hAnsi="Times New Roman"/>
          <w:color w:val="000000" w:themeColor="text1"/>
          <w:sz w:val="16"/>
          <w:szCs w:val="16"/>
          <w:vertAlign w:val="superscript"/>
        </w:rPr>
        <w:t>80</w:t>
      </w:r>
    </w:p>
    <w:p w14:paraId="636D60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(1941-42 г.)- военинженер 1р Е.И. Дремух, (1968-97 г.-)- А.И. Фальчевскии. Гендиректор (2002 г.)- А.С. Дацков, (2005 г.)- В.А. Березовский.</w:t>
      </w:r>
    </w:p>
    <w:p w14:paraId="76211A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производству и ВЭД (2002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Аршинин.</w:t>
      </w:r>
    </w:p>
    <w:p w14:paraId="6F012B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(1941 г.-)- А.И. Некрасов, (2002 г.)- В.А. Березовский.</w:t>
      </w:r>
    </w:p>
    <w:p w14:paraId="1AEE0F6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автоматизированная приводная аэродромная радиостанция ПАР-10 (-2002-06-); оборудование для телевидения и радиовещания (автоматизированные телевизионные радиостанции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и ДМВ диапазона; всеволновые радиоприемники «Ольхо-Гелиос-215», «Ольхон-Гелиос-М» (2005); радиоприемник ДВ-СВ-КВ-УКВ диапазонов «Скаляр» (2005); судовая радиостанция «Бирюза»; портативная радиостанция «Охта»; приемно- передающие устройства ПТ-100, ПВ-100; «Артек-Сириус» Р-170В; изд. Р-788, прибор 1-ОМ; комплект диагностики электрического и спецоборудования танка для Т-72, Т-80 (2005); оборудование для пищевой промышленности; газовое отопительное оборудование; телевизоры: «Спутник» (1959-), «Спутник-61», «Снежок», «Снежок-301, -302», «Кварц», «Кварц-301, -302, -303, -306, 40ТБ-308, 40ТБ-401, Ц-202»; радиоприемники: «Блюз РП-201», «Кварц РП-201»; репродуктор «Кварц-301» (11982).</w:t>
      </w:r>
    </w:p>
    <w:p w14:paraId="39D10CA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3DE30CA" w14:textId="77777777" w:rsidR="007F311A" w:rsidRPr="008127F8" w:rsidRDefault="007F311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 января 1942 года была утверждена программа испытаний «установки 122-мм гаубицы на танке КВ-9». Всего предполагалось произвести 206 выстрелов, из которых 150 – усиленным зарядом для стрельбы на прочность и 30 – для определения кучности. Также предполагалось провести пробег дистанцией 50 километров для определения надежности походного крепления орудия, удобства работы механизмов, их сбиваемость, надежность укладки боекомплекта и удобство размещения экипажа. На следующий день был подписан приказ №012, согласно которому испытания должны были проводиться на Копейском полигоне в период с 26 января по 5 февраля. Этим же приказом утверждалась комиссия.</w:t>
      </w:r>
    </w:p>
    <w:p w14:paraId="1E0286FB" w14:textId="77777777" w:rsidR="007F311A" w:rsidRPr="008127F8" w:rsidRDefault="007F311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практике время испытаний сдвинулось: они проходили со 2 по 11 февраля 1942 года. Всего было произведено 210 выстрелов, из них 171 на заводском полигоне лафетопробными снарядами и усиленными зарядами. Откат системы в пределах 560–580 мм был признан нормальным. В пределах нормы оказались и пробы воздуха, которые брались для определения загазованности боевого отделения при стрельбе. Остальные выстрелы производились уже на Копейском полигоне. Стрельба по щиту размером 5×5 метров, находившемуся на километровом расстоянии, оказалась вполне успешной – все снаряды попали в цель. Удовлетворительными оказались и результаты при стрельбе, в ходе которой проверялась кучность при переносе огня. С дистанции 600 метров щиты размером 1,25×1,25 метров были поражены.</w:t>
      </w:r>
    </w:p>
    <w:p w14:paraId="62011D9A" w14:textId="77777777" w:rsidR="007F311A" w:rsidRPr="008127F8" w:rsidRDefault="007F311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Кроме того, 10 февраля на заводе №200 были проведены испытания на бронепробиваемость. Поскольку у М-30 бронебойных снарядов не было, были взяты снаряды от 122-мм корпусной пушки А-19. С дистанции 100 метров было произведено 4 выстрела по литой башне КВ-1. Каждый раз последовательно увеличивался заряд пороха (с 2100 до 2400 грамм), а начальная скорость снаряда повышалась с 525 до 573 м/с. Первый и четвертый выстрелы пробили башню и оказались внутри нее, второй и третий срикошетировали, выбив при этом пробку.</w:t>
      </w:r>
    </w:p>
    <w:p w14:paraId="5FD995A7" w14:textId="77777777" w:rsidR="007F311A" w:rsidRPr="008127F8" w:rsidRDefault="007F311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Это были вполне впечатляюще результаты. Но к КВ-9 набралось и претензий. Помимо малого максимального угла склонения орудия, его скорострельность составила всего 2 выстрела в минуту. Имелись претензии и к условиям работы заряжающего. Комиссия потребовала доработать бронировку орудия, нашлись и другие недочеты (17680).</w:t>
      </w:r>
    </w:p>
    <w:p w14:paraId="394F1969" w14:textId="77777777" w:rsidR="007F311A" w:rsidRPr="008127F8" w:rsidRDefault="007F311A" w:rsidP="001E0A84">
      <w:pPr>
        <w:spacing w:after="0" w:line="240" w:lineRule="auto"/>
        <w:jc w:val="both"/>
        <w:rPr>
          <w:rFonts w:ascii="Times New Roman" w:hAnsi="Times New Roman"/>
          <w:color w:val="000000" w:themeColor="text1"/>
          <w:sz w:val="16"/>
          <w:szCs w:val="16"/>
        </w:rPr>
      </w:pPr>
    </w:p>
    <w:p w14:paraId="2A8EA0A5"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w:t>
      </w:r>
    </w:p>
    <w:p w14:paraId="3CB5A911"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74 – 77</w:t>
      </w:r>
    </w:p>
    <w:p w14:paraId="2023C3D3"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25.1-42 г. № 726.</w:t>
      </w:r>
    </w:p>
    <w:p w14:paraId="171C368B" w14:textId="739D0F5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30653183"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5293F37"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0A6AE58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136-Мсс</w:t>
      </w:r>
    </w:p>
    <w:p w14:paraId="41F4C0B1"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5910CCE"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г.</w:t>
      </w:r>
    </w:p>
    <w:p w14:paraId="08A5381F"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доведении выпуска танковых дизельмоторов до 65 штук в сутки</w:t>
      </w:r>
    </w:p>
    <w:p w14:paraId="4566A559" w14:textId="10C9D8B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Результат работы декабря месяца 1941 г. и двух декад января 1942 г. по выпуску танковых дизельмоторов заводами: Кировским (директор т. Зальцман, зам. директора т. Кизельштейн, гл. инженер т. Невяжский), заводом № 76 (директор тов. Кочетков, гл. инженер т. Десфонтейнис), Сталинградским тракторным (гл. инженер т. Демьянович) совершенно неудовлетворительны.</w:t>
      </w:r>
      <w:r w:rsidR="008127F8">
        <w:rPr>
          <w:rFonts w:ascii="Times New Roman" w:hAnsi="Times New Roman"/>
          <w:color w:val="000000" w:themeColor="text1"/>
          <w:sz w:val="16"/>
          <w:szCs w:val="16"/>
        </w:rPr>
        <w:t xml:space="preserve">  </w:t>
      </w:r>
    </w:p>
    <w:p w14:paraId="0DE227FE" w14:textId="64E21AA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Программа декабря месяца 1941 г. по моторам выполнена:</w:t>
      </w:r>
      <w:r w:rsidR="008127F8">
        <w:rPr>
          <w:rFonts w:ascii="Times New Roman" w:hAnsi="Times New Roman"/>
          <w:color w:val="000000" w:themeColor="text1"/>
          <w:sz w:val="16"/>
          <w:szCs w:val="16"/>
        </w:rPr>
        <w:t xml:space="preserve">  </w:t>
      </w:r>
    </w:p>
    <w:p w14:paraId="3824FAE3" w14:textId="3AEA9F39"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Кировским заводом на 40 %</w:t>
      </w:r>
      <w:r w:rsidR="008127F8">
        <w:rPr>
          <w:rFonts w:ascii="Times New Roman" w:hAnsi="Times New Roman"/>
          <w:color w:val="000000" w:themeColor="text1"/>
          <w:sz w:val="16"/>
          <w:szCs w:val="16"/>
        </w:rPr>
        <w:t xml:space="preserve">  </w:t>
      </w:r>
    </w:p>
    <w:p w14:paraId="7DB9B878" w14:textId="39EE70C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 76 на 50% и</w:t>
      </w:r>
      <w:r w:rsidR="008127F8">
        <w:rPr>
          <w:rFonts w:ascii="Times New Roman" w:hAnsi="Times New Roman"/>
          <w:color w:val="000000" w:themeColor="text1"/>
          <w:sz w:val="16"/>
          <w:szCs w:val="16"/>
        </w:rPr>
        <w:t xml:space="preserve">  </w:t>
      </w:r>
    </w:p>
    <w:p w14:paraId="58E6C3E9" w14:textId="0E8EABE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СТЗ на 40%.</w:t>
      </w:r>
      <w:r w:rsidR="008127F8">
        <w:rPr>
          <w:rFonts w:ascii="Times New Roman" w:hAnsi="Times New Roman"/>
          <w:color w:val="000000" w:themeColor="text1"/>
          <w:sz w:val="16"/>
          <w:szCs w:val="16"/>
        </w:rPr>
        <w:t xml:space="preserve">  </w:t>
      </w:r>
    </w:p>
    <w:p w14:paraId="27F6A646" w14:textId="3B07F8C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работа заводов по выпуску моторов не улучшилась. За 20 января программа выполнена:</w:t>
      </w:r>
      <w:r w:rsidR="008127F8">
        <w:rPr>
          <w:rFonts w:ascii="Times New Roman" w:hAnsi="Times New Roman"/>
          <w:color w:val="000000" w:themeColor="text1"/>
          <w:sz w:val="16"/>
          <w:szCs w:val="16"/>
        </w:rPr>
        <w:t xml:space="preserve">  </w:t>
      </w:r>
    </w:p>
    <w:p w14:paraId="3C55A319" w14:textId="689DBFE4"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Кировским заводом на 37 %</w:t>
      </w:r>
      <w:r w:rsidR="008127F8">
        <w:rPr>
          <w:rFonts w:ascii="Times New Roman" w:hAnsi="Times New Roman"/>
          <w:color w:val="000000" w:themeColor="text1"/>
          <w:sz w:val="16"/>
          <w:szCs w:val="16"/>
        </w:rPr>
        <w:t xml:space="preserve">  </w:t>
      </w:r>
    </w:p>
    <w:p w14:paraId="3C5EBD7D" w14:textId="12154CC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 76 на 43% и</w:t>
      </w:r>
      <w:r w:rsidR="008127F8">
        <w:rPr>
          <w:rFonts w:ascii="Times New Roman" w:hAnsi="Times New Roman"/>
          <w:color w:val="000000" w:themeColor="text1"/>
          <w:sz w:val="16"/>
          <w:szCs w:val="16"/>
        </w:rPr>
        <w:t xml:space="preserve">  </w:t>
      </w:r>
    </w:p>
    <w:p w14:paraId="19984239" w14:textId="5047B31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СТЗ на 59%.</w:t>
      </w:r>
      <w:r w:rsidR="008127F8">
        <w:rPr>
          <w:rFonts w:ascii="Times New Roman" w:hAnsi="Times New Roman"/>
          <w:color w:val="000000" w:themeColor="text1"/>
          <w:sz w:val="16"/>
          <w:szCs w:val="16"/>
        </w:rPr>
        <w:t xml:space="preserve">  </w:t>
      </w:r>
    </w:p>
    <w:p w14:paraId="01314812" w14:textId="55AAEAB6"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 плохо работает Кировский завод, который систематически срывает работу заводов – СТЗ и № 76 неподачей топливной аппаратуры (начальник цеха топливной аппаратуры Кировского завода тов. Золотарев). Несмотря на неоднократные указания заводам о максимальном увеличении выпуска моторов, до сих пор производство моторов продолжает оставаться одним из узких мест в выпуске танков.</w:t>
      </w:r>
      <w:r w:rsidR="008127F8">
        <w:rPr>
          <w:rFonts w:ascii="Times New Roman" w:hAnsi="Times New Roman"/>
          <w:color w:val="000000" w:themeColor="text1"/>
          <w:sz w:val="16"/>
          <w:szCs w:val="16"/>
        </w:rPr>
        <w:t xml:space="preserve">  </w:t>
      </w:r>
    </w:p>
    <w:p w14:paraId="5AA69954" w14:textId="76B135E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развитие моего приказа № 134-Мсс от 19.I-1942 г. для обеспечения выпуска танков в феврале и марте месяцах дизельмоторами В-2К и В2-34 ПРИКАЗЫВАЮ:</w:t>
      </w:r>
      <w:r w:rsidR="008127F8">
        <w:rPr>
          <w:rFonts w:ascii="Times New Roman" w:hAnsi="Times New Roman"/>
          <w:color w:val="000000" w:themeColor="text1"/>
          <w:sz w:val="16"/>
          <w:szCs w:val="16"/>
        </w:rPr>
        <w:t xml:space="preserve">  </w:t>
      </w:r>
    </w:p>
    <w:p w14:paraId="44550D99" w14:textId="10E98633"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и главным инженерам заводов: Кировского – т. Зальцман, т. Кизельштейн, т. Невяжскому</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76 – т. Кочеткову и т. Десфонтейнис и СТЗ – т. Задорожному и т. Демьянович обеспечить в феврале и марте 1942 г. безусловное выполнение ежесуточного графика изготовления дизельмоторов:</w:t>
      </w:r>
      <w:r w:rsidR="008127F8">
        <w:rPr>
          <w:rFonts w:ascii="Times New Roman" w:hAnsi="Times New Roman"/>
          <w:color w:val="000000" w:themeColor="text1"/>
          <w:sz w:val="16"/>
          <w:szCs w:val="16"/>
        </w:rPr>
        <w:t xml:space="preserve">  </w:t>
      </w:r>
    </w:p>
    <w:p w14:paraId="0DF782F9" w14:textId="23529D4D"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Кировскому заводу:</w:t>
      </w:r>
      <w:r w:rsidR="008127F8">
        <w:rPr>
          <w:rFonts w:ascii="Times New Roman" w:hAnsi="Times New Roman"/>
          <w:color w:val="000000" w:themeColor="text1"/>
          <w:sz w:val="16"/>
          <w:szCs w:val="16"/>
        </w:rPr>
        <w:t xml:space="preserve">  </w:t>
      </w:r>
    </w:p>
    <w:p w14:paraId="6B683C82" w14:textId="699DD17D"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Директору завода т. Зальцман обеспечить безусловное выполнение в феврале и марте 1942 г. графика изготовления топливной аппаратуры (насосов и форсунок):</w:t>
      </w:r>
      <w:r w:rsidR="008127F8">
        <w:rPr>
          <w:rFonts w:ascii="Times New Roman" w:hAnsi="Times New Roman"/>
          <w:color w:val="000000" w:themeColor="text1"/>
          <w:sz w:val="16"/>
          <w:szCs w:val="16"/>
        </w:rPr>
        <w:t xml:space="preserve">  </w:t>
      </w:r>
    </w:p>
    <w:p w14:paraId="18E62DF5" w14:textId="090293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10 – по 45 комплектов ежесуточно</w:t>
      </w:r>
      <w:r w:rsidR="008127F8">
        <w:rPr>
          <w:rFonts w:ascii="Times New Roman" w:hAnsi="Times New Roman"/>
          <w:color w:val="000000" w:themeColor="text1"/>
          <w:sz w:val="16"/>
          <w:szCs w:val="16"/>
        </w:rPr>
        <w:t xml:space="preserve">  </w:t>
      </w:r>
    </w:p>
    <w:p w14:paraId="517DC4AE" w14:textId="217AC14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 по 20 – по 50 комплектов ежесуточно</w:t>
      </w:r>
      <w:r w:rsidR="008127F8">
        <w:rPr>
          <w:rFonts w:ascii="Times New Roman" w:hAnsi="Times New Roman"/>
          <w:color w:val="000000" w:themeColor="text1"/>
          <w:sz w:val="16"/>
          <w:szCs w:val="16"/>
        </w:rPr>
        <w:t xml:space="preserve">  </w:t>
      </w:r>
    </w:p>
    <w:p w14:paraId="60EF1549" w14:textId="468774E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28 – по 56 комплектов ежесуточно и начиная</w:t>
      </w:r>
      <w:r w:rsidR="008127F8">
        <w:rPr>
          <w:rFonts w:ascii="Times New Roman" w:hAnsi="Times New Roman"/>
          <w:color w:val="000000" w:themeColor="text1"/>
          <w:sz w:val="16"/>
          <w:szCs w:val="16"/>
        </w:rPr>
        <w:t xml:space="preserve">  </w:t>
      </w:r>
    </w:p>
    <w:p w14:paraId="4F1075B3" w14:textId="0BAA634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марта – по 70 комплектов ежесуточно.</w:t>
      </w:r>
      <w:r w:rsidR="008127F8">
        <w:rPr>
          <w:rFonts w:ascii="Times New Roman" w:hAnsi="Times New Roman"/>
          <w:color w:val="000000" w:themeColor="text1"/>
          <w:sz w:val="16"/>
          <w:szCs w:val="16"/>
        </w:rPr>
        <w:t xml:space="preserve">  </w:t>
      </w:r>
    </w:p>
    <w:p w14:paraId="4580283F" w14:textId="696C609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 обеспечить поставку заводу № 76 топливной аппаратуры:</w:t>
      </w:r>
      <w:r w:rsidR="008127F8">
        <w:rPr>
          <w:rFonts w:ascii="Times New Roman" w:hAnsi="Times New Roman"/>
          <w:color w:val="000000" w:themeColor="text1"/>
          <w:sz w:val="16"/>
          <w:szCs w:val="16"/>
        </w:rPr>
        <w:t xml:space="preserve">  </w:t>
      </w:r>
    </w:p>
    <w:p w14:paraId="6094D905" w14:textId="393FFCF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по 15 комплектов ежесуточно и</w:t>
      </w:r>
      <w:r w:rsidR="008127F8">
        <w:rPr>
          <w:rFonts w:ascii="Times New Roman" w:hAnsi="Times New Roman"/>
          <w:color w:val="000000" w:themeColor="text1"/>
          <w:sz w:val="16"/>
          <w:szCs w:val="16"/>
        </w:rPr>
        <w:t xml:space="preserve">  </w:t>
      </w:r>
    </w:p>
    <w:p w14:paraId="49567061" w14:textId="798FAEAE"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по 17 комплектов ежесуточно.</w:t>
      </w:r>
      <w:r w:rsidR="008127F8">
        <w:rPr>
          <w:rFonts w:ascii="Times New Roman" w:hAnsi="Times New Roman"/>
          <w:color w:val="000000" w:themeColor="text1"/>
          <w:sz w:val="16"/>
          <w:szCs w:val="16"/>
        </w:rPr>
        <w:t xml:space="preserve">  </w:t>
      </w:r>
    </w:p>
    <w:p w14:paraId="142211BB" w14:textId="1BA881C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Сталинградскому заводу:</w:t>
      </w:r>
      <w:r w:rsidR="008127F8">
        <w:rPr>
          <w:rFonts w:ascii="Times New Roman" w:hAnsi="Times New Roman"/>
          <w:color w:val="000000" w:themeColor="text1"/>
          <w:sz w:val="16"/>
          <w:szCs w:val="16"/>
        </w:rPr>
        <w:t xml:space="preserve">  </w:t>
      </w:r>
    </w:p>
    <w:p w14:paraId="7A0EFA43" w14:textId="3F62372E"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20 февраля по 12 комплектов ежесуточно</w:t>
      </w:r>
      <w:r w:rsidR="008127F8">
        <w:rPr>
          <w:rFonts w:ascii="Times New Roman" w:hAnsi="Times New Roman"/>
          <w:color w:val="000000" w:themeColor="text1"/>
          <w:sz w:val="16"/>
          <w:szCs w:val="16"/>
        </w:rPr>
        <w:t xml:space="preserve">  </w:t>
      </w:r>
    </w:p>
    <w:p w14:paraId="2BA3D98C" w14:textId="2D825BA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28 февраля по 15 комплектов ежесуточно и</w:t>
      </w:r>
      <w:r w:rsidR="008127F8">
        <w:rPr>
          <w:rFonts w:ascii="Times New Roman" w:hAnsi="Times New Roman"/>
          <w:color w:val="000000" w:themeColor="text1"/>
          <w:sz w:val="16"/>
          <w:szCs w:val="16"/>
        </w:rPr>
        <w:t xml:space="preserve">  </w:t>
      </w:r>
    </w:p>
    <w:p w14:paraId="47DD976A" w14:textId="1F59145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марта по 10 комплектов ежесуточно;</w:t>
      </w:r>
      <w:r w:rsidR="008127F8">
        <w:rPr>
          <w:rFonts w:ascii="Times New Roman" w:hAnsi="Times New Roman"/>
          <w:color w:val="000000" w:themeColor="text1"/>
          <w:sz w:val="16"/>
          <w:szCs w:val="16"/>
        </w:rPr>
        <w:t xml:space="preserve">  </w:t>
      </w:r>
    </w:p>
    <w:p w14:paraId="1B06A942" w14:textId="0A952BB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отштамповать в феврале 2.500 коленчатых валов для дизельмоторов В-2, в том числе для завода № 76 – 600 штук и СТЗ – 500 штук;</w:t>
      </w:r>
      <w:r w:rsidR="008127F8">
        <w:rPr>
          <w:rFonts w:ascii="Times New Roman" w:hAnsi="Times New Roman"/>
          <w:color w:val="000000" w:themeColor="text1"/>
          <w:sz w:val="16"/>
          <w:szCs w:val="16"/>
        </w:rPr>
        <w:t xml:space="preserve">  </w:t>
      </w:r>
    </w:p>
    <w:p w14:paraId="69980418" w14:textId="06F6DFF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поставить заводу № 76 детали холодной штамповки, чугунное литье, пружины, согласно приложению № 1, а также готовые клапаны и поршневые кольца в феврале и марте по 150 комплектов;</w:t>
      </w:r>
      <w:r w:rsidR="008127F8">
        <w:rPr>
          <w:rFonts w:ascii="Times New Roman" w:hAnsi="Times New Roman"/>
          <w:color w:val="000000" w:themeColor="text1"/>
          <w:sz w:val="16"/>
          <w:szCs w:val="16"/>
        </w:rPr>
        <w:t xml:space="preserve">  </w:t>
      </w:r>
    </w:p>
    <w:p w14:paraId="07E1F2A0" w14:textId="5A3BB4B1"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обеспечить поставку Куйбышевскому карбюраторному заводу Наркомсредмаша штамповок и литья топливных насосов, в количествах, согласно приложению № 2;</w:t>
      </w:r>
      <w:r w:rsidR="008127F8">
        <w:rPr>
          <w:rFonts w:ascii="Times New Roman" w:hAnsi="Times New Roman"/>
          <w:color w:val="000000" w:themeColor="text1"/>
          <w:sz w:val="16"/>
          <w:szCs w:val="16"/>
        </w:rPr>
        <w:t xml:space="preserve">  </w:t>
      </w:r>
    </w:p>
    <w:p w14:paraId="022598CE" w14:textId="0A671F1D"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немедленно освободить цех топливной аппаратуры от изготовления всех деталей, не имеющих отношения к моторам и впредь запретить его загружать не свойственной ему продукцией;</w:t>
      </w:r>
      <w:r w:rsidR="008127F8">
        <w:rPr>
          <w:rFonts w:ascii="Times New Roman" w:hAnsi="Times New Roman"/>
          <w:color w:val="000000" w:themeColor="text1"/>
          <w:sz w:val="16"/>
          <w:szCs w:val="16"/>
        </w:rPr>
        <w:t xml:space="preserve">  </w:t>
      </w:r>
    </w:p>
    <w:p w14:paraId="7763BE8B" w14:textId="67B8628D"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в 15-дневный срок полностью укомплектовать цех топливной аппаратуры и все моторное производство необходимой рабочей силой;</w:t>
      </w:r>
      <w:r w:rsidR="008127F8">
        <w:rPr>
          <w:rFonts w:ascii="Times New Roman" w:hAnsi="Times New Roman"/>
          <w:color w:val="000000" w:themeColor="text1"/>
          <w:sz w:val="16"/>
          <w:szCs w:val="16"/>
        </w:rPr>
        <w:t xml:space="preserve">  </w:t>
      </w:r>
    </w:p>
    <w:p w14:paraId="4891E50A" w14:textId="31EA7FE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закончить монтаж и сдачу в эксплоатацию термической печи в кузнечном цехе (для коленчатых валов) не позже 5 февраля с.г. и остального оборудования завода № 75 не позже 15 марта с.г.</w:t>
      </w:r>
      <w:r w:rsidR="008127F8">
        <w:rPr>
          <w:rFonts w:ascii="Times New Roman" w:hAnsi="Times New Roman"/>
          <w:color w:val="000000" w:themeColor="text1"/>
          <w:sz w:val="16"/>
          <w:szCs w:val="16"/>
        </w:rPr>
        <w:t xml:space="preserve">  </w:t>
      </w:r>
    </w:p>
    <w:p w14:paraId="200C9BDC" w14:textId="27C52B71"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заводу № 76:</w:t>
      </w:r>
      <w:r w:rsidR="008127F8">
        <w:rPr>
          <w:rFonts w:ascii="Times New Roman" w:hAnsi="Times New Roman"/>
          <w:color w:val="000000" w:themeColor="text1"/>
          <w:sz w:val="16"/>
          <w:szCs w:val="16"/>
        </w:rPr>
        <w:t xml:space="preserve">  </w:t>
      </w:r>
    </w:p>
    <w:p w14:paraId="1EC3F7A1" w14:textId="3B985D0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к приказу № 97с от 19.XII-41 г. и № 107 от 11 января 1942 года).</w:t>
      </w:r>
      <w:r w:rsidR="008127F8">
        <w:rPr>
          <w:rFonts w:ascii="Times New Roman" w:hAnsi="Times New Roman"/>
          <w:color w:val="000000" w:themeColor="text1"/>
          <w:sz w:val="16"/>
          <w:szCs w:val="16"/>
        </w:rPr>
        <w:t xml:space="preserve">  </w:t>
      </w:r>
    </w:p>
    <w:p w14:paraId="5EFF9183" w14:textId="3D7BAF1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т. Кочеткову довести к 1 февраля 1942 г. выпуск:</w:t>
      </w:r>
      <w:r w:rsidR="008127F8">
        <w:rPr>
          <w:rFonts w:ascii="Times New Roman" w:hAnsi="Times New Roman"/>
          <w:color w:val="000000" w:themeColor="text1"/>
          <w:sz w:val="16"/>
          <w:szCs w:val="16"/>
        </w:rPr>
        <w:t xml:space="preserve">  </w:t>
      </w:r>
    </w:p>
    <w:p w14:paraId="0D7E2702" w14:textId="1D3F5FD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коленчатых валов – до 15 штук ежесуточно, для чего к 28 января закончить переделку центровых кругло-шлифовальных станков для шлифовки шатунных шеек;</w:t>
      </w:r>
      <w:r w:rsidR="008127F8">
        <w:rPr>
          <w:rFonts w:ascii="Times New Roman" w:hAnsi="Times New Roman"/>
          <w:color w:val="000000" w:themeColor="text1"/>
          <w:sz w:val="16"/>
          <w:szCs w:val="16"/>
        </w:rPr>
        <w:t xml:space="preserve">  </w:t>
      </w:r>
    </w:p>
    <w:p w14:paraId="3BAB3817" w14:textId="294E68F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картеров в сборе – до 15 штук ежесуточно, укомплектовав полностью слесарный участок рабочей силой и применяя на этой операции прогрессивно-премиальную систему оплаты труда;</w:t>
      </w:r>
      <w:r w:rsidR="008127F8">
        <w:rPr>
          <w:rFonts w:ascii="Times New Roman" w:hAnsi="Times New Roman"/>
          <w:color w:val="000000" w:themeColor="text1"/>
          <w:sz w:val="16"/>
          <w:szCs w:val="16"/>
        </w:rPr>
        <w:t xml:space="preserve">  </w:t>
      </w:r>
    </w:p>
    <w:p w14:paraId="3293A552" w14:textId="2DF7C22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довести выпуск по клапанам и поршневым кольцам до 12 комплектов ежесуточно с тем, чтобы начиная с 27-го февраля обеспечить ежесуточный выпуск их не менее 15 комплектов;</w:t>
      </w:r>
      <w:r w:rsidR="008127F8">
        <w:rPr>
          <w:rFonts w:ascii="Times New Roman" w:hAnsi="Times New Roman"/>
          <w:color w:val="000000" w:themeColor="text1"/>
          <w:sz w:val="16"/>
          <w:szCs w:val="16"/>
        </w:rPr>
        <w:t xml:space="preserve">  </w:t>
      </w:r>
    </w:p>
    <w:p w14:paraId="653A01E5" w14:textId="259881F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по остальным деталям – до 16 комплектов ежесуточно.</w:t>
      </w:r>
      <w:r w:rsidR="008127F8">
        <w:rPr>
          <w:rFonts w:ascii="Times New Roman" w:hAnsi="Times New Roman"/>
          <w:color w:val="000000" w:themeColor="text1"/>
          <w:sz w:val="16"/>
          <w:szCs w:val="16"/>
        </w:rPr>
        <w:t xml:space="preserve">  </w:t>
      </w:r>
    </w:p>
    <w:p w14:paraId="7D67967D" w14:textId="2F1930B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директора Уралмашзавода т. Музрукова обеспечить поставку литья и штамповок заводу № 76, согласно приложению № 3. Предупредить тов. Музрукова, что Уралмашзавод является единственным поставщиком литья и штамповок, а также бронзы БАЖМ заводу № 76 и что от поставок заготовок с Уралмашзавода целиком зависит работа завода № 76 по выпуску дизелей.</w:t>
      </w:r>
      <w:r w:rsidR="008127F8">
        <w:rPr>
          <w:rFonts w:ascii="Times New Roman" w:hAnsi="Times New Roman"/>
          <w:color w:val="000000" w:themeColor="text1"/>
          <w:sz w:val="16"/>
          <w:szCs w:val="16"/>
        </w:rPr>
        <w:t xml:space="preserve">  </w:t>
      </w:r>
    </w:p>
    <w:p w14:paraId="0A05339F" w14:textId="558642C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Главснаба т. Розину взять под особый контроль обеспечение моторного производства на вышеуказанных заводом цветным металлом, легированными сталями, подшипниками, электрооборудованием и инструментом, для чего по каждому заводу иметь специальных ответственных лиц (в Москве, Челябинске и в конторах других городов).</w:t>
      </w:r>
      <w:r w:rsidR="008127F8">
        <w:rPr>
          <w:rFonts w:ascii="Times New Roman" w:hAnsi="Times New Roman"/>
          <w:color w:val="000000" w:themeColor="text1"/>
          <w:sz w:val="16"/>
          <w:szCs w:val="16"/>
        </w:rPr>
        <w:t xml:space="preserve">  </w:t>
      </w:r>
    </w:p>
    <w:p w14:paraId="049A1822" w14:textId="4AEC0C58"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Директорам заводов </w:t>
      </w:r>
      <w:proofErr w:type="gramStart"/>
      <w:r w:rsidRPr="008127F8">
        <w:rPr>
          <w:rFonts w:ascii="Times New Roman" w:hAnsi="Times New Roman"/>
          <w:color w:val="000000" w:themeColor="text1"/>
          <w:sz w:val="16"/>
          <w:szCs w:val="16"/>
        </w:rPr>
        <w:t>Кировского ,</w:t>
      </w:r>
      <w:proofErr w:type="gramEnd"/>
      <w:r w:rsidRPr="008127F8">
        <w:rPr>
          <w:rFonts w:ascii="Times New Roman" w:hAnsi="Times New Roman"/>
          <w:color w:val="000000" w:themeColor="text1"/>
          <w:sz w:val="16"/>
          <w:szCs w:val="16"/>
        </w:rPr>
        <w:t xml:space="preserve"> Уралмашзавода, № 76 и СТЗ обеспечить в феврале 1942 г. создание необходимых минимальных заделов:</w:t>
      </w:r>
      <w:r w:rsidR="008127F8">
        <w:rPr>
          <w:rFonts w:ascii="Times New Roman" w:hAnsi="Times New Roman"/>
          <w:color w:val="000000" w:themeColor="text1"/>
          <w:sz w:val="16"/>
          <w:szCs w:val="16"/>
        </w:rPr>
        <w:t xml:space="preserve">  </w:t>
      </w:r>
    </w:p>
    <w:p w14:paraId="269C7AC3" w14:textId="5D50C60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заготовкам и литью основных деталей – 30-дневного и</w:t>
      </w:r>
      <w:r w:rsidR="008127F8">
        <w:rPr>
          <w:rFonts w:ascii="Times New Roman" w:hAnsi="Times New Roman"/>
          <w:color w:val="000000" w:themeColor="text1"/>
          <w:sz w:val="16"/>
          <w:szCs w:val="16"/>
        </w:rPr>
        <w:t xml:space="preserve">  </w:t>
      </w:r>
    </w:p>
    <w:p w14:paraId="5C1E5D56" w14:textId="50AC537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основным готовым деталям – 5-дневного.</w:t>
      </w:r>
      <w:r w:rsidR="008127F8">
        <w:rPr>
          <w:rFonts w:ascii="Times New Roman" w:hAnsi="Times New Roman"/>
          <w:color w:val="000000" w:themeColor="text1"/>
          <w:sz w:val="16"/>
          <w:szCs w:val="16"/>
        </w:rPr>
        <w:t xml:space="preserve">  </w:t>
      </w:r>
    </w:p>
    <w:p w14:paraId="13EF858F" w14:textId="19C7A213"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Директорам заводов: "Красный пролетарий" – т. Тараничеву, им. Ленина – т. Эльцину, ХСЗ – т. Гольдштейн, МСЗ – т. Челухову, Горьковского завода фрезерных станков – т. Рябову и завода им. ЦК Машиностроения – т. Ермакову обеспечить изготовление не позже 15 марта специальных станков по заказу б. завода № 75 в количествах:</w:t>
      </w:r>
      <w:r w:rsidR="008127F8">
        <w:rPr>
          <w:rFonts w:ascii="Times New Roman" w:hAnsi="Times New Roman"/>
          <w:color w:val="000000" w:themeColor="text1"/>
          <w:sz w:val="16"/>
          <w:szCs w:val="16"/>
        </w:rPr>
        <w:t xml:space="preserve">  </w:t>
      </w:r>
    </w:p>
    <w:p w14:paraId="66E38634" w14:textId="40A73D7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"Красный пролетарий" – 37 штук,</w:t>
      </w:r>
      <w:r w:rsidR="008127F8">
        <w:rPr>
          <w:rFonts w:ascii="Times New Roman" w:hAnsi="Times New Roman"/>
          <w:color w:val="000000" w:themeColor="text1"/>
          <w:sz w:val="16"/>
          <w:szCs w:val="16"/>
        </w:rPr>
        <w:t xml:space="preserve">  </w:t>
      </w:r>
    </w:p>
    <w:p w14:paraId="41A06F21" w14:textId="356C47A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имени Ленина – 16 штук,</w:t>
      </w:r>
      <w:r w:rsidR="008127F8">
        <w:rPr>
          <w:rFonts w:ascii="Times New Roman" w:hAnsi="Times New Roman"/>
          <w:color w:val="000000" w:themeColor="text1"/>
          <w:sz w:val="16"/>
          <w:szCs w:val="16"/>
        </w:rPr>
        <w:t xml:space="preserve">  </w:t>
      </w:r>
    </w:p>
    <w:p w14:paraId="42D41097" w14:textId="491CC95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ХСЗ – 25 штук,</w:t>
      </w:r>
      <w:r w:rsidR="008127F8">
        <w:rPr>
          <w:rFonts w:ascii="Times New Roman" w:hAnsi="Times New Roman"/>
          <w:color w:val="000000" w:themeColor="text1"/>
          <w:sz w:val="16"/>
          <w:szCs w:val="16"/>
        </w:rPr>
        <w:t xml:space="preserve">  </w:t>
      </w:r>
    </w:p>
    <w:p w14:paraId="5C8D5542" w14:textId="15D8788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МСЗ – 17 штук, д) Г</w:t>
      </w:r>
      <w:r w:rsidR="008127F8">
        <w:rPr>
          <w:rFonts w:ascii="Times New Roman" w:hAnsi="Times New Roman"/>
          <w:color w:val="000000" w:themeColor="text1"/>
          <w:sz w:val="16"/>
          <w:szCs w:val="16"/>
        </w:rPr>
        <w:t xml:space="preserve">  </w:t>
      </w:r>
    </w:p>
    <w:p w14:paraId="350CAE1A" w14:textId="5C1E49C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ЗФС – 14 штук,</w:t>
      </w:r>
      <w:r w:rsidR="008127F8">
        <w:rPr>
          <w:rFonts w:ascii="Times New Roman" w:hAnsi="Times New Roman"/>
          <w:color w:val="000000" w:themeColor="text1"/>
          <w:sz w:val="16"/>
          <w:szCs w:val="16"/>
        </w:rPr>
        <w:t xml:space="preserve">  </w:t>
      </w:r>
    </w:p>
    <w:p w14:paraId="427FEF37" w14:textId="75427CF8"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им. ЦК Машиностроения – 2 штуки.</w:t>
      </w:r>
      <w:r w:rsidR="008127F8">
        <w:rPr>
          <w:rFonts w:ascii="Times New Roman" w:hAnsi="Times New Roman"/>
          <w:color w:val="000000" w:themeColor="text1"/>
          <w:sz w:val="16"/>
          <w:szCs w:val="16"/>
        </w:rPr>
        <w:t xml:space="preserve">  </w:t>
      </w:r>
    </w:p>
    <w:p w14:paraId="4108EDAB" w14:textId="18E55804"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Моему заместителю тов. Степанову:</w:t>
      </w:r>
      <w:r w:rsidR="008127F8">
        <w:rPr>
          <w:rFonts w:ascii="Times New Roman" w:hAnsi="Times New Roman"/>
          <w:color w:val="000000" w:themeColor="text1"/>
          <w:sz w:val="16"/>
          <w:szCs w:val="16"/>
        </w:rPr>
        <w:t xml:space="preserve">  </w:t>
      </w:r>
    </w:p>
    <w:p w14:paraId="0E92870D" w14:textId="6E8DCDA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совместно с Кировским заводом (т. Кизельштейн) и № 76 (т. Кочетков) представить мне на утверждение распределение указанных станков между Кировским заводом и заводом № 76;</w:t>
      </w:r>
      <w:r w:rsidR="008127F8">
        <w:rPr>
          <w:rFonts w:ascii="Times New Roman" w:hAnsi="Times New Roman"/>
          <w:color w:val="000000" w:themeColor="text1"/>
          <w:sz w:val="16"/>
          <w:szCs w:val="16"/>
        </w:rPr>
        <w:t xml:space="preserve">  </w:t>
      </w:r>
    </w:p>
    <w:p w14:paraId="2653AD9B" w14:textId="2A02781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загрузить завод "Станкоконструкция" (гор. Свердловск) изготовлением и переделкой специальных станков, а также их оснасткой для завода № 76.</w:t>
      </w:r>
      <w:r w:rsidR="008127F8">
        <w:rPr>
          <w:rFonts w:ascii="Times New Roman" w:hAnsi="Times New Roman"/>
          <w:color w:val="000000" w:themeColor="text1"/>
          <w:sz w:val="16"/>
          <w:szCs w:val="16"/>
        </w:rPr>
        <w:t xml:space="preserve">  </w:t>
      </w:r>
    </w:p>
    <w:p w14:paraId="7337C967" w14:textId="426B849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Запретить загружать завод "Станкоконструкция" другими работами, не связанными с изготовлением станков и оснасткой, необходимой для моторного производства завода № 76 и для завода № 183.</w:t>
      </w:r>
      <w:r w:rsidR="008127F8">
        <w:rPr>
          <w:rFonts w:ascii="Times New Roman" w:hAnsi="Times New Roman"/>
          <w:color w:val="000000" w:themeColor="text1"/>
          <w:sz w:val="16"/>
          <w:szCs w:val="16"/>
        </w:rPr>
        <w:t xml:space="preserve">  </w:t>
      </w:r>
    </w:p>
    <w:p w14:paraId="3E367A2A" w14:textId="166B1C79"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Еще раз предупреждаю директоров и главных инженеров заводов: Кировского – т. Зальцман, т. Кизельштейн и т. Невяжского, завода № 76 – т. Кочеткова и Десфонтейнис, СТЗ – т. Задорожного и т. Демьянович, что от успеха их работы по выпуску дизелей зависит выпуск танков КВ и Т-34. Сколько дизелей дадут эти заводы, столько танков КВ и Т-34 будет выпущено танковыми заводами.</w:t>
      </w:r>
      <w:r w:rsidR="008127F8">
        <w:rPr>
          <w:rFonts w:ascii="Times New Roman" w:hAnsi="Times New Roman"/>
          <w:color w:val="000000" w:themeColor="text1"/>
          <w:sz w:val="16"/>
          <w:szCs w:val="16"/>
        </w:rPr>
        <w:t xml:space="preserve">  </w:t>
      </w:r>
    </w:p>
    <w:p w14:paraId="4AF97FF0"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Тов. Москалевскому взять под личный контроль выполнение этого приказа и ежедекадно письменно сообщать мне о его выполнении.</w:t>
      </w:r>
    </w:p>
    <w:p w14:paraId="60ADFC7E"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0DBC539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(18240).</w:t>
      </w:r>
    </w:p>
    <w:p w14:paraId="0CE00F05"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w:t>
      </w:r>
    </w:p>
    <w:p w14:paraId="0AACDEA7"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9 лист 157 – 160</w:t>
      </w:r>
    </w:p>
    <w:p w14:paraId="24E66A1C"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17.1.42 г. 584. ск.</w:t>
      </w:r>
    </w:p>
    <w:p w14:paraId="36818BEA" w14:textId="19ED79E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22E15E63"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AEEAF4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71C793F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37с</w:t>
      </w:r>
    </w:p>
    <w:p w14:paraId="1084E5D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5571507A"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w:t>
      </w:r>
    </w:p>
    <w:p w14:paraId="77293215" w14:textId="15275CC8"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Во исполнение постановления ГКО от 13/Х-1941 г. и 14/XI-1941 г. на площадке быв. "СТРОЙСЕМЬ" построить танковый завод С-70 для выпуска танков Т-34. Завод должен быть пущен в эксплоатацию 1-го Июля 1942 года.</w:t>
      </w:r>
      <w:r w:rsidR="008127F8">
        <w:rPr>
          <w:rFonts w:ascii="Times New Roman" w:hAnsi="Times New Roman"/>
          <w:color w:val="000000" w:themeColor="text1"/>
          <w:sz w:val="16"/>
          <w:szCs w:val="16"/>
        </w:rPr>
        <w:t xml:space="preserve">  </w:t>
      </w:r>
    </w:p>
    <w:p w14:paraId="027340B3" w14:textId="1DBCC439"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организации строительства ПРИКАЗЫВАЮ:</w:t>
      </w:r>
      <w:r w:rsidR="008127F8">
        <w:rPr>
          <w:rFonts w:ascii="Times New Roman" w:hAnsi="Times New Roman"/>
          <w:color w:val="000000" w:themeColor="text1"/>
          <w:sz w:val="16"/>
          <w:szCs w:val="16"/>
        </w:rPr>
        <w:t xml:space="preserve">  </w:t>
      </w:r>
    </w:p>
    <w:p w14:paraId="1A85CA41" w14:textId="0F97F0D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200 тов. ПОПОВУ сдать, а директору С-70 тов. ГВЕЛЕСИАНИ принять в 5-ти дневный срок строительную площадку "СТРОЙСЕМЬ" со всеми находящимися на ней сооружениями, складскими, подсобными и другим помещениями, всем жилым фондом, построенным и недостроенным, принятые им на этой площадке, за исключением сооружений и части площадки, переданные заводам ЗИС и ЗЭМ, а также за исключением эвакуированного оборудования с заводов им. Ильича и ижорского.</w:t>
      </w:r>
      <w:r w:rsidR="008127F8">
        <w:rPr>
          <w:rFonts w:ascii="Times New Roman" w:hAnsi="Times New Roman"/>
          <w:color w:val="000000" w:themeColor="text1"/>
          <w:sz w:val="16"/>
          <w:szCs w:val="16"/>
        </w:rPr>
        <w:t xml:space="preserve">  </w:t>
      </w:r>
    </w:p>
    <w:p w14:paraId="19ACCE13" w14:textId="0432B2F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Аванс, выданный строительством "СТРОЙСЕМЬ" Тресту МКС № 22 для производства строительных работ по заводу Стройсемь, оставить за Трестом № 22 как аванс для производства строительства танкового завода С-70.</w:t>
      </w:r>
      <w:r w:rsidR="008127F8">
        <w:rPr>
          <w:rFonts w:ascii="Times New Roman" w:hAnsi="Times New Roman"/>
          <w:color w:val="000000" w:themeColor="text1"/>
          <w:sz w:val="16"/>
          <w:szCs w:val="16"/>
        </w:rPr>
        <w:t xml:space="preserve">  </w:t>
      </w:r>
    </w:p>
    <w:p w14:paraId="156A6AB3" w14:textId="49317AB4"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 8 ГПИ тов. СОЛИНУ представить ОКСу НКТП скорректированное проектное задание по строительству завода С-70 к 26/I-с.г. и одновременно приступить к изготовлению и выпуску рабочих чертежей, не дожидаясь утверждения проектного задания, и выдавать техническую документацию по утвержденному графику.</w:t>
      </w:r>
      <w:r w:rsidR="008127F8">
        <w:rPr>
          <w:rFonts w:ascii="Times New Roman" w:hAnsi="Times New Roman"/>
          <w:color w:val="000000" w:themeColor="text1"/>
          <w:sz w:val="16"/>
          <w:szCs w:val="16"/>
        </w:rPr>
        <w:t xml:space="preserve">  </w:t>
      </w:r>
    </w:p>
    <w:p w14:paraId="2E8C068E" w14:textId="6964FC1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 ОКСа НКТП тов. Комзину представить мне на утверждение с заключением ОКСа проектное задание С-70 к 28 января с.г.</w:t>
      </w:r>
      <w:r w:rsidR="008127F8">
        <w:rPr>
          <w:rFonts w:ascii="Times New Roman" w:hAnsi="Times New Roman"/>
          <w:color w:val="000000" w:themeColor="text1"/>
          <w:sz w:val="16"/>
          <w:szCs w:val="16"/>
        </w:rPr>
        <w:t xml:space="preserve">  </w:t>
      </w:r>
    </w:p>
    <w:p w14:paraId="4CE451E6" w14:textId="3F3EBCC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Второму отделу НКТП (тов. Гинзбург) представить мне на утверждение схему организации отделов Главного технолога нового завода с планом укомплектования руководящего состава отделов Главного технолога за счет работников заводов № 183, № 264 и СТЗ.</w:t>
      </w:r>
      <w:r w:rsidR="008127F8">
        <w:rPr>
          <w:rFonts w:ascii="Times New Roman" w:hAnsi="Times New Roman"/>
          <w:color w:val="000000" w:themeColor="text1"/>
          <w:sz w:val="16"/>
          <w:szCs w:val="16"/>
        </w:rPr>
        <w:t xml:space="preserve">  </w:t>
      </w:r>
    </w:p>
    <w:p w14:paraId="6E26B600" w14:textId="251562E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завода № 183 тов. МАКСАРЕВУ:</w:t>
      </w:r>
      <w:r w:rsidR="008127F8">
        <w:rPr>
          <w:rFonts w:ascii="Times New Roman" w:hAnsi="Times New Roman"/>
          <w:color w:val="000000" w:themeColor="text1"/>
          <w:sz w:val="16"/>
          <w:szCs w:val="16"/>
        </w:rPr>
        <w:t xml:space="preserve">  </w:t>
      </w:r>
    </w:p>
    <w:p w14:paraId="5E2108D9" w14:textId="26262668"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Немедленно откомандировать на строительство завода С-70 ведущих конструктора и технолога по изготовлению ма8шины Т-34.</w:t>
      </w:r>
      <w:r w:rsidR="008127F8">
        <w:rPr>
          <w:rFonts w:ascii="Times New Roman" w:hAnsi="Times New Roman"/>
          <w:color w:val="000000" w:themeColor="text1"/>
          <w:sz w:val="16"/>
          <w:szCs w:val="16"/>
        </w:rPr>
        <w:t xml:space="preserve">  </w:t>
      </w:r>
    </w:p>
    <w:p w14:paraId="345D4792" w14:textId="240ED8C8"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Срочно выслать заводу С-70 пять комплектов технической документации для разработки рабочей технологии (детальные и узловые чертежи машины Т-34, технические условия, карты всех технологических процессов, чертежи заготовок, приспособлений, штампов и специнструмента, карточки применяемости инструмента и т.д.), рабочие чертежи термических и кузнечных печей и нестандартного оборудования.</w:t>
      </w:r>
      <w:r w:rsidR="008127F8">
        <w:rPr>
          <w:rFonts w:ascii="Times New Roman" w:hAnsi="Times New Roman"/>
          <w:color w:val="000000" w:themeColor="text1"/>
          <w:sz w:val="16"/>
          <w:szCs w:val="16"/>
        </w:rPr>
        <w:t xml:space="preserve">  </w:t>
      </w:r>
    </w:p>
    <w:p w14:paraId="798F849A" w14:textId="3F92977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 8 ГПИ тов. СОЛИНУ и директору С-70 тов. ГВЕЛЕСИАНИ представить мне к 30 января с.г. план и график мероприятий по обеспечению завода продукцией и энергией, которая должна поступить с других предприятий для обеспечения производственной деятельности завода (тяжелые поковки, пар, тепло и проч.).</w:t>
      </w:r>
      <w:r w:rsidR="008127F8">
        <w:rPr>
          <w:rFonts w:ascii="Times New Roman" w:hAnsi="Times New Roman"/>
          <w:color w:val="000000" w:themeColor="text1"/>
          <w:sz w:val="16"/>
          <w:szCs w:val="16"/>
        </w:rPr>
        <w:t xml:space="preserve">  </w:t>
      </w:r>
    </w:p>
    <w:p w14:paraId="11DEFC9D" w14:textId="6C5EDCB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Первому отделу НКТП (тов. ФОМИНУ), Директору завода С-70 тов. ГВЕЛЕСИАНИ и НПИ-8 (тов. СОЛИНУ) представить мне к 10 февраля план монтажа оборудования и ввода отдельных цехов, обеспечивающих эксплоатацию завода с 1-го июля с.г.</w:t>
      </w:r>
      <w:r w:rsidR="008127F8">
        <w:rPr>
          <w:rFonts w:ascii="Times New Roman" w:hAnsi="Times New Roman"/>
          <w:color w:val="000000" w:themeColor="text1"/>
          <w:sz w:val="16"/>
          <w:szCs w:val="16"/>
        </w:rPr>
        <w:t xml:space="preserve">  </w:t>
      </w:r>
    </w:p>
    <w:p w14:paraId="328DBF78" w14:textId="0F65026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Директору С-70 тов. ГВЕЛЕСИАНИ заключить до 28 января договора:</w:t>
      </w:r>
      <w:r w:rsidR="008127F8">
        <w:rPr>
          <w:rFonts w:ascii="Times New Roman" w:hAnsi="Times New Roman"/>
          <w:color w:val="000000" w:themeColor="text1"/>
          <w:sz w:val="16"/>
          <w:szCs w:val="16"/>
        </w:rPr>
        <w:t xml:space="preserve">  </w:t>
      </w:r>
    </w:p>
    <w:p w14:paraId="02F72D6C" w14:textId="6342F793"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 22 Трестом Наркомстроя – на производство строительно-монтажных работ,</w:t>
      </w:r>
      <w:r w:rsidR="008127F8">
        <w:rPr>
          <w:rFonts w:ascii="Times New Roman" w:hAnsi="Times New Roman"/>
          <w:color w:val="000000" w:themeColor="text1"/>
          <w:sz w:val="16"/>
          <w:szCs w:val="16"/>
        </w:rPr>
        <w:t xml:space="preserve">  </w:t>
      </w:r>
    </w:p>
    <w:p w14:paraId="5F963F01" w14:textId="4F868C2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ГПИ-8 – на рабочее проектировании и</w:t>
      </w:r>
      <w:r w:rsidR="008127F8">
        <w:rPr>
          <w:rFonts w:ascii="Times New Roman" w:hAnsi="Times New Roman"/>
          <w:color w:val="000000" w:themeColor="text1"/>
          <w:sz w:val="16"/>
          <w:szCs w:val="16"/>
        </w:rPr>
        <w:t xml:space="preserve">  </w:t>
      </w:r>
    </w:p>
    <w:p w14:paraId="21FC011A" w14:textId="52AAB4D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 Промстройпроектом – на обеспечение строительства типовыми проектами жилищного строительства с привязкой проектов к месту.</w:t>
      </w:r>
      <w:r w:rsidR="008127F8">
        <w:rPr>
          <w:rFonts w:ascii="Times New Roman" w:hAnsi="Times New Roman"/>
          <w:color w:val="000000" w:themeColor="text1"/>
          <w:sz w:val="16"/>
          <w:szCs w:val="16"/>
        </w:rPr>
        <w:t xml:space="preserve">  </w:t>
      </w:r>
    </w:p>
    <w:p w14:paraId="5BC316F7" w14:textId="3C1FB8F9"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Первому отделу НКТП (тов. ФОМИНУ) прикрепить ведущего инженера Отдела к строительству С-70 для контроля, оказания помощи и принятия мер к своевременному обеспечению строительства технической документацией по линии производства, по монтажу оборудования и по подготовке к производству в соответствии с графиками. Фамилию прикрепленного ведущего инженера сообщить мне и Нач. ОКСа тов. КОМЗИНУ.</w:t>
      </w:r>
      <w:r w:rsidR="008127F8">
        <w:rPr>
          <w:rFonts w:ascii="Times New Roman" w:hAnsi="Times New Roman"/>
          <w:color w:val="000000" w:themeColor="text1"/>
          <w:sz w:val="16"/>
          <w:szCs w:val="16"/>
        </w:rPr>
        <w:t xml:space="preserve">  </w:t>
      </w:r>
    </w:p>
    <w:p w14:paraId="6654D75F" w14:textId="546A050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Первому отделу НКТП (тов. ФОМИНУ), Отделу Оборудования Главснаба (тов. ФАРБМАНУ) и ГПИ 8 (тов. СОЛИНУ) представить мне к 10 февраля с.г. план обеспечения завода С-70 основным оборудованием за счет оборудования эвакуированных заводов и ведомость недостающего оборудования в двух вариантах – отечественном и американском.</w:t>
      </w:r>
      <w:r w:rsidR="008127F8">
        <w:rPr>
          <w:rFonts w:ascii="Times New Roman" w:hAnsi="Times New Roman"/>
          <w:color w:val="000000" w:themeColor="text1"/>
          <w:sz w:val="16"/>
          <w:szCs w:val="16"/>
        </w:rPr>
        <w:t xml:space="preserve">  </w:t>
      </w:r>
    </w:p>
    <w:p w14:paraId="5FD748F4" w14:textId="2AB00505"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Первому отделу НКТП (тов. ФОМИНУ) представить ГПИ 8 к 1 февраля с.г.:</w:t>
      </w:r>
      <w:r w:rsidR="008127F8">
        <w:rPr>
          <w:rFonts w:ascii="Times New Roman" w:hAnsi="Times New Roman"/>
          <w:color w:val="000000" w:themeColor="text1"/>
          <w:sz w:val="16"/>
          <w:szCs w:val="16"/>
        </w:rPr>
        <w:t xml:space="preserve">  </w:t>
      </w:r>
    </w:p>
    <w:p w14:paraId="611692A1" w14:textId="27021416"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Технические условия на сборку и сварку корпуса.</w:t>
      </w:r>
      <w:r w:rsidR="008127F8">
        <w:rPr>
          <w:rFonts w:ascii="Times New Roman" w:hAnsi="Times New Roman"/>
          <w:color w:val="000000" w:themeColor="text1"/>
          <w:sz w:val="16"/>
          <w:szCs w:val="16"/>
        </w:rPr>
        <w:t xml:space="preserve">  </w:t>
      </w:r>
    </w:p>
    <w:p w14:paraId="3A040A19" w14:textId="697552FD"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Размеры бронелистов, которые будут поступать для производства.</w:t>
      </w:r>
      <w:r w:rsidR="008127F8">
        <w:rPr>
          <w:rFonts w:ascii="Times New Roman" w:hAnsi="Times New Roman"/>
          <w:color w:val="000000" w:themeColor="text1"/>
          <w:sz w:val="16"/>
          <w:szCs w:val="16"/>
        </w:rPr>
        <w:t xml:space="preserve">  </w:t>
      </w:r>
    </w:p>
    <w:p w14:paraId="4804323B" w14:textId="244CAA33"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Технические условия на поставку бронелистов.</w:t>
      </w:r>
      <w:r w:rsidR="008127F8">
        <w:rPr>
          <w:rFonts w:ascii="Times New Roman" w:hAnsi="Times New Roman"/>
          <w:color w:val="000000" w:themeColor="text1"/>
          <w:sz w:val="16"/>
          <w:szCs w:val="16"/>
        </w:rPr>
        <w:t xml:space="preserve">  </w:t>
      </w:r>
    </w:p>
    <w:p w14:paraId="6407D068" w14:textId="69FD1E73"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Отд. Оборудования Главснаба (тов. ФАРБМАНУ) по рассмотрении представленной ГНИ-8 ведомости основного необходимого оборудования для завода С-70, дать к 25/II-с.г. ГПИ-8 ведомость выделяемого оборудования с техническими характеристиками и установочными чертежами.</w:t>
      </w:r>
      <w:r w:rsidR="008127F8">
        <w:rPr>
          <w:rFonts w:ascii="Times New Roman" w:hAnsi="Times New Roman"/>
          <w:color w:val="000000" w:themeColor="text1"/>
          <w:sz w:val="16"/>
          <w:szCs w:val="16"/>
        </w:rPr>
        <w:t xml:space="preserve">  </w:t>
      </w:r>
    </w:p>
    <w:p w14:paraId="1AD310DB" w14:textId="699919F3"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Первому отделу НКТП (тов. ФОМИНУ) и Отделу Оборудования Главснаба (тов. ФАРБМАНУ) представить мне к 15 февраля с.г. ведомость наличия оборудования на стройплощадки бывшей "СТРОЙСЕМЬ" с планом его распределения и мероприятиями по использованию ценного некомплектного оборудования, а также ведомость оборудования и материалов, подлежащих немедленной передаче строительству С-70, в том числе – легкую и тяжелую кабельную продукцию, электрооборудование, моторы, трансформаторы, измерительную аппаратуру, огнеупоры и проч.</w:t>
      </w:r>
      <w:r w:rsidR="008127F8">
        <w:rPr>
          <w:rFonts w:ascii="Times New Roman" w:hAnsi="Times New Roman"/>
          <w:color w:val="000000" w:themeColor="text1"/>
          <w:sz w:val="16"/>
          <w:szCs w:val="16"/>
        </w:rPr>
        <w:t xml:space="preserve">  </w:t>
      </w:r>
    </w:p>
    <w:p w14:paraId="2E3A6AB1" w14:textId="67BAD766"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Для обеспечения нормальной работы ГПИ-8:</w:t>
      </w:r>
      <w:r w:rsidR="008127F8">
        <w:rPr>
          <w:rFonts w:ascii="Times New Roman" w:hAnsi="Times New Roman"/>
          <w:color w:val="000000" w:themeColor="text1"/>
          <w:sz w:val="16"/>
          <w:szCs w:val="16"/>
        </w:rPr>
        <w:t xml:space="preserve">  </w:t>
      </w:r>
    </w:p>
    <w:p w14:paraId="121BC692" w14:textId="708D419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Управляющему Делами НКТП тов. ЛИЗУНОВУ к 1/II-с.г. обеспечить ГПИ-8 площадью в 250 – 300 кв. метров, добившись получения ее от местных организаций.</w:t>
      </w:r>
      <w:r w:rsidR="008127F8">
        <w:rPr>
          <w:rFonts w:ascii="Times New Roman" w:hAnsi="Times New Roman"/>
          <w:color w:val="000000" w:themeColor="text1"/>
          <w:sz w:val="16"/>
          <w:szCs w:val="16"/>
        </w:rPr>
        <w:t xml:space="preserve">  </w:t>
      </w:r>
    </w:p>
    <w:p w14:paraId="4E9D8057" w14:textId="4A40CB61"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Директору завода № 200 тов. ПОПОВУ немедленно передать ГПИ-8 новый светокопировальный аппарат со строительства "СТРОЙСЕМЬ".</w:t>
      </w:r>
      <w:r w:rsidR="008127F8">
        <w:rPr>
          <w:rFonts w:ascii="Times New Roman" w:hAnsi="Times New Roman"/>
          <w:color w:val="000000" w:themeColor="text1"/>
          <w:sz w:val="16"/>
          <w:szCs w:val="16"/>
        </w:rPr>
        <w:t xml:space="preserve">  </w:t>
      </w:r>
    </w:p>
    <w:p w14:paraId="0B517761" w14:textId="1A3FC44A"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ГЛАВСНАБУ (т. ЕФРЕМОВУ) обеспечить выделение ГПИ-8 в 1-м квартале с.г. 1000 рул. светочувствительной бумаги для проектирования С-70.</w:t>
      </w:r>
      <w:r w:rsidR="008127F8">
        <w:rPr>
          <w:rFonts w:ascii="Times New Roman" w:hAnsi="Times New Roman"/>
          <w:color w:val="000000" w:themeColor="text1"/>
          <w:sz w:val="16"/>
          <w:szCs w:val="16"/>
        </w:rPr>
        <w:t xml:space="preserve">  </w:t>
      </w:r>
    </w:p>
    <w:p w14:paraId="4F5D7BAF" w14:textId="66BF1E3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Нач. модельного цеха Кировского завода т. Мельникову изготовить для ГПИ-8 до 10 февраля с.г. 70 столов, 100 табуреток, 15 шкафов, 50 чертежных досок и изготовить по спецификации ГПИ-8 материалы для установки стеллажей техархива.</w:t>
      </w:r>
      <w:r w:rsidR="008127F8">
        <w:rPr>
          <w:rFonts w:ascii="Times New Roman" w:hAnsi="Times New Roman"/>
          <w:color w:val="000000" w:themeColor="text1"/>
          <w:sz w:val="16"/>
          <w:szCs w:val="16"/>
        </w:rPr>
        <w:t xml:space="preserve">  </w:t>
      </w:r>
    </w:p>
    <w:p w14:paraId="505ED24C" w14:textId="6C09F7D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Нач. Отдела кадров НКТП тов. ЛОГИНОВУ оказать всемерное содействие Директору С-70 т. ГВЕЛЕСИАНИ в срочном укомплектовании аппарата Дирекции строительства завода С-70.</w:t>
      </w:r>
      <w:r w:rsidR="008127F8">
        <w:rPr>
          <w:rFonts w:ascii="Times New Roman" w:hAnsi="Times New Roman"/>
          <w:color w:val="000000" w:themeColor="text1"/>
          <w:sz w:val="16"/>
          <w:szCs w:val="16"/>
        </w:rPr>
        <w:t xml:space="preserve">  </w:t>
      </w:r>
    </w:p>
    <w:p w14:paraId="60B692C3" w14:textId="3DC9C032"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Директору С-70 тов. ГВЕЛЕСИАНИ и Нач. Отд. Труда и Зарплаты тов. КРУПЫШЕВУ представить мне к 10 февраля с.г. план и мероприятия по обеспечению и подготовке рабочих кадров для производственной деятельности завода.</w:t>
      </w:r>
      <w:r w:rsidR="008127F8">
        <w:rPr>
          <w:rFonts w:ascii="Times New Roman" w:hAnsi="Times New Roman"/>
          <w:color w:val="000000" w:themeColor="text1"/>
          <w:sz w:val="16"/>
          <w:szCs w:val="16"/>
        </w:rPr>
        <w:t xml:space="preserve">  </w:t>
      </w:r>
    </w:p>
    <w:p w14:paraId="572924EB" w14:textId="296FB52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Для руководства и контроля за обеспечением строительства проектно-сметной документацией, как разрабатываемой генеральным подрядчиком по строительному проектированию, так и его субподрядными организациями, дабы отсутствие проектов не лимитировало нормального развития строительного производства, создать на время строительства при Дирекции завода С-70 должность главного инженера по проектированию.</w:t>
      </w:r>
      <w:r w:rsidR="008127F8">
        <w:rPr>
          <w:rFonts w:ascii="Times New Roman" w:hAnsi="Times New Roman"/>
          <w:color w:val="000000" w:themeColor="text1"/>
          <w:sz w:val="16"/>
          <w:szCs w:val="16"/>
        </w:rPr>
        <w:t xml:space="preserve">  </w:t>
      </w:r>
    </w:p>
    <w:p w14:paraId="607A42A8" w14:textId="4291714C"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В связи с назначением на завод С-70 Директора, освободить Начальника Проектного Сектора ОКСа НКТП тов. КРИШТУЛА Ю.Л. от обязанностей Уполномоченного Наркомтанкопрома по организации проектирования и строительства завода С-70 и возложить на него по совместительству временное исполнение обязанностей главного инженера по проектированию завода С-70.</w:t>
      </w:r>
      <w:r w:rsidR="008127F8">
        <w:rPr>
          <w:rFonts w:ascii="Times New Roman" w:hAnsi="Times New Roman"/>
          <w:color w:val="000000" w:themeColor="text1"/>
          <w:sz w:val="16"/>
          <w:szCs w:val="16"/>
        </w:rPr>
        <w:t xml:space="preserve">  </w:t>
      </w:r>
    </w:p>
    <w:p w14:paraId="4D5C0777" w14:textId="7EDB37FB"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Главснабу НКТП (тов. ЕФРЕМОВУ) выделить заводу С-70 в первом квартале одну грузовую и одну легковую машины, а до их получения, Управляющему Делами Наркомата тов. ЛИЗУНОВУ прикрепить к директору завода тов. ГВЕЛЕСИАНИ одну легковую машину с оплатой эксплоатации за счет завода С-70.</w:t>
      </w:r>
      <w:r w:rsidR="008127F8">
        <w:rPr>
          <w:rFonts w:ascii="Times New Roman" w:hAnsi="Times New Roman"/>
          <w:color w:val="000000" w:themeColor="text1"/>
          <w:sz w:val="16"/>
          <w:szCs w:val="16"/>
        </w:rPr>
        <w:t xml:space="preserve">  </w:t>
      </w:r>
    </w:p>
    <w:p w14:paraId="5E97314D"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Контроль за выполнением настоящего приказа возложить на начальника Отдела Капитального Строительства НКТП тов. КОМЗИНА.</w:t>
      </w:r>
    </w:p>
    <w:p w14:paraId="694B4557"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ТАНКОВОЙ ПРОМЫШЛЕННОСТИ СОЮЗА ССР</w:t>
      </w:r>
    </w:p>
    <w:p w14:paraId="07B009CE"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ГЕРОЙ СОЦИАЛИСТИЧЕСКОГО ТРУДА подпись 24/I-42 (Зальцман)</w:t>
      </w:r>
    </w:p>
    <w:p w14:paraId="0774C63B" w14:textId="7AF8DA89"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w:t>
      </w:r>
      <w:r w:rsidR="008127F8">
        <w:rPr>
          <w:rFonts w:ascii="Times New Roman" w:hAnsi="Times New Roman"/>
          <w:color w:val="000000" w:themeColor="text1"/>
          <w:sz w:val="16"/>
          <w:szCs w:val="16"/>
        </w:rPr>
        <w:t xml:space="preserve">  </w:t>
      </w:r>
    </w:p>
    <w:p w14:paraId="25E58739"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КРИШТУЛ (ОКС НКТП) (18241).</w:t>
      </w:r>
    </w:p>
    <w:p w14:paraId="71815B9D"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0AA481E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года вышел приказ № 34с НКБ (</w:t>
      </w:r>
      <w:proofErr w:type="gramStart"/>
      <w:r w:rsidRPr="008127F8">
        <w:rPr>
          <w:color w:val="000000" w:themeColor="text1"/>
          <w:sz w:val="16"/>
          <w:szCs w:val="16"/>
        </w:rPr>
        <w:t>Челябинск(</w:t>
      </w:r>
      <w:proofErr w:type="gramEnd"/>
    </w:p>
    <w:p w14:paraId="641976E1"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Принятый от Наркомата танковой промышленности Саровский завод включить в число действующих предприятий НКБ и присвоить заводу № 550. Подчинить завод 4 Гл. Управлению (5753, 199).</w:t>
      </w:r>
    </w:p>
    <w:p w14:paraId="3FF27366" w14:textId="77777777" w:rsidR="00D4651C" w:rsidRPr="008127F8" w:rsidRDefault="00D4651C" w:rsidP="001E0A84">
      <w:pPr>
        <w:pStyle w:val="Iauiue"/>
        <w:tabs>
          <w:tab w:val="left" w:pos="11199"/>
        </w:tabs>
        <w:jc w:val="both"/>
        <w:rPr>
          <w:color w:val="000000" w:themeColor="text1"/>
          <w:sz w:val="16"/>
          <w:szCs w:val="16"/>
        </w:rPr>
      </w:pPr>
    </w:p>
    <w:p w14:paraId="5341EB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 1183 Постановление ГКО О возвращении в Москву части эвакуированного оборудования 2-го часового завода. РГАНИР, Фонд ГКО, д. 20, лл. 1 (11012).</w:t>
      </w:r>
    </w:p>
    <w:p w14:paraId="23018481"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C4503D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1186 О возвращении в Москву эвакуированного оборудования Владыкинского машиностроительного завода. РГАНИР, Фонд ГКО, д. 20, лл. 4 (11012).</w:t>
      </w:r>
    </w:p>
    <w:p w14:paraId="4EB0DA5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1B545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1188 О восстановлении Воронежского завода СК-2, Ефремовского завода СК-3 и укомплектовании технологическим оборудованием Чкаловского завода СК. РГАНИР, Фонд ГКО, д. 20, лл. 6-7 (11012).</w:t>
      </w:r>
    </w:p>
    <w:p w14:paraId="522E7593"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B6173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1189 О производстве и сдаче Наркомату обороны 82 мм и 120 мм мин в феврале и марте 1942 г. РГАНИР, Фонд ГКО, д. 20, лл. 8-21, 22-31 (11012).</w:t>
      </w:r>
    </w:p>
    <w:p w14:paraId="449D9831"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CE46C2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вышло Постановление ГКО № 1190 О строительстве железной дороги Сталинград - Саратов - Сызрань - Ульяновск. (7021, 32).</w:t>
      </w:r>
    </w:p>
    <w:p w14:paraId="121745DB" w14:textId="77777777" w:rsidR="00D4651C" w:rsidRPr="008127F8" w:rsidRDefault="00D4651C" w:rsidP="001E0A84">
      <w:pPr>
        <w:pStyle w:val="Iauiue"/>
        <w:tabs>
          <w:tab w:val="left" w:pos="11199"/>
        </w:tabs>
        <w:jc w:val="both"/>
        <w:rPr>
          <w:color w:val="000000" w:themeColor="text1"/>
          <w:sz w:val="16"/>
          <w:szCs w:val="16"/>
        </w:rPr>
      </w:pPr>
    </w:p>
    <w:p w14:paraId="21DFA2ED" w14:textId="77777777" w:rsidR="00C0199F" w:rsidRPr="008127F8" w:rsidRDefault="00C019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23 января 1942 г. ГКО принял решение о сооружении рокадной дороги от Ульяновска до Сталинграда. Значительный участок новой линии от Саратова до Сталинграда сооружался силами Главного управления лагерей железнодорожного строительства под общим руководством зам, начальника главка Ф. А. Гвоздевского. Работы на трассе начались в феврале 1942 г. Разработанный Желдорпроектом НКВД проект, по которому трасса проходила вне поймы Волги, позволил обойтись минимальным числом мостов и глубоких отходов. Несмотря на то, что с июля 1942 г. строительство велось под постоянными бомбардировками немецкой авиации, 7 августа 1942 г. головной участок трассы от ст. Иловля до Камышина был сдан в эксплуатацию и стал пропускать воинские эшелоны. Рокада Сталинград - Петров Вал - Саратов - Сызрань на протяжении 240 км была введена в строй за 100 дней. В сентябре-ноябре в строй были введены участки Иловля - Саратов (331 км) и Свияжск - Ульяновск (202 км) (12129).</w:t>
      </w:r>
    </w:p>
    <w:p w14:paraId="1B7A12B3" w14:textId="77777777" w:rsidR="00C0199F" w:rsidRPr="008127F8" w:rsidRDefault="00C0199F" w:rsidP="001E0A84">
      <w:pPr>
        <w:spacing w:after="0" w:line="240" w:lineRule="auto"/>
        <w:jc w:val="both"/>
        <w:rPr>
          <w:rFonts w:ascii="Times New Roman" w:hAnsi="Times New Roman"/>
          <w:color w:val="000000" w:themeColor="text1"/>
          <w:sz w:val="16"/>
          <w:szCs w:val="16"/>
        </w:rPr>
      </w:pPr>
    </w:p>
    <w:p w14:paraId="352C24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1191 О пороховых зарядах для снарядов М-8. РГАНИР, Фонд ГКО, д. 20, лл. 33 (11012).</w:t>
      </w:r>
    </w:p>
    <w:p w14:paraId="797314A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EEC1E83"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вышло Постановление ГКО № 1192 О восстановлении производства войсковых радиостанций на заводе № 631 (быв. 203) Наркомэлектропрома в г. Москве. (7021, 34-35).</w:t>
      </w:r>
    </w:p>
    <w:p w14:paraId="535B6B52" w14:textId="77777777" w:rsidR="00D4651C" w:rsidRPr="008127F8" w:rsidRDefault="00D4651C" w:rsidP="001E0A84">
      <w:pPr>
        <w:pStyle w:val="Iauiue"/>
        <w:tabs>
          <w:tab w:val="left" w:pos="11199"/>
        </w:tabs>
        <w:jc w:val="both"/>
        <w:rPr>
          <w:color w:val="000000" w:themeColor="text1"/>
          <w:sz w:val="16"/>
          <w:szCs w:val="16"/>
        </w:rPr>
      </w:pPr>
    </w:p>
    <w:p w14:paraId="7530F9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1193 Об увеличении производства 76 мм снарядов к полковым и дивизионным пушкам в феврале и марте 1942 года. РГАНИР, Фонд ГКО, д. 20, лл. 36-50, 51-75 (11012).</w:t>
      </w:r>
    </w:p>
    <w:p w14:paraId="72E2DBC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4176D98"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вышло Постановление ГКО № 1195 [Об организации в Москве оперативных групп эвакуированных наркоматов РСФСР.] (7021, 77).</w:t>
      </w:r>
    </w:p>
    <w:p w14:paraId="11D40829" w14:textId="77777777" w:rsidR="00D4651C" w:rsidRPr="008127F8" w:rsidRDefault="00D4651C" w:rsidP="001E0A84">
      <w:pPr>
        <w:pStyle w:val="Iauiue"/>
        <w:tabs>
          <w:tab w:val="left" w:pos="11199"/>
        </w:tabs>
        <w:jc w:val="both"/>
        <w:rPr>
          <w:color w:val="000000" w:themeColor="text1"/>
          <w:sz w:val="16"/>
          <w:szCs w:val="16"/>
        </w:rPr>
      </w:pPr>
    </w:p>
    <w:p w14:paraId="0E49B9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1197 О восстановлении производства Харьковского турбогенераторного завода Наркомтяжмаша. РГАНИР, Фонд ГКО, д. 20, лл. 80-81 (11012).</w:t>
      </w:r>
    </w:p>
    <w:p w14:paraId="3D54BA7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6826ED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1198 О восстановлении завода № 151</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Лопасненского регенератного завода Наркомрезинпрома. РГАНИР, Фонд ГКО, д. 20, лл. 82-83, 84-86 (11012).</w:t>
      </w:r>
    </w:p>
    <w:p w14:paraId="04E37232"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4A0A947"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января 1942 г. большой пожар произошел на заводе № 209. Сгорел корпус «Д», где находились наиболее важные цеха: инструментальный, сборочные телеграфии, морской аппаратуры и др. Значительные повреждения были нанесены заводам «Красная заря», «Светлана». На «Красной заре» почти полностью сгорели цеха дальней связи, слесарно-механический и заготовительный, одна из котельных, цех и лаборатория магнитных материалов, еще несколько корпусов4. Вместе с </w:t>
      </w:r>
      <w:proofErr w:type="gramStart"/>
      <w:r w:rsidRPr="008127F8">
        <w:rPr>
          <w:rFonts w:ascii="Times New Roman" w:hAnsi="Times New Roman"/>
          <w:color w:val="000000" w:themeColor="text1"/>
          <w:sz w:val="16"/>
          <w:szCs w:val="16"/>
        </w:rPr>
        <w:t>тем, благодаря тому, что</w:t>
      </w:r>
      <w:proofErr w:type="gramEnd"/>
      <w:r w:rsidRPr="008127F8">
        <w:rPr>
          <w:rFonts w:ascii="Times New Roman" w:hAnsi="Times New Roman"/>
          <w:color w:val="000000" w:themeColor="text1"/>
          <w:sz w:val="16"/>
          <w:szCs w:val="16"/>
        </w:rPr>
        <w:t xml:space="preserve"> все электрослаботочные предприятия территориально располагались в северной части города, потери эти были относительно невелики (18297).</w:t>
      </w:r>
    </w:p>
    <w:p w14:paraId="428ADCB6"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64421C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г. в соответствии с пост. ГКО № 1198 о восстановлении завода № 151 (Завод № 151 НКРП, п/я 1201, завод «Ярославрезинотехника», АООТ, ОАО «Ярославрезинотехника» /</w:t>
      </w:r>
      <w:proofErr w:type="gramStart"/>
      <w:r w:rsidRPr="008127F8">
        <w:rPr>
          <w:rFonts w:ascii="Times New Roman" w:hAnsi="Times New Roman"/>
          <w:color w:val="000000" w:themeColor="text1"/>
          <w:sz w:val="16"/>
          <w:szCs w:val="16"/>
        </w:rPr>
        <w:t>150036  г.</w:t>
      </w:r>
      <w:proofErr w:type="gramEnd"/>
      <w:r w:rsidRPr="008127F8">
        <w:rPr>
          <w:rFonts w:ascii="Times New Roman" w:hAnsi="Times New Roman"/>
          <w:color w:val="000000" w:themeColor="text1"/>
          <w:sz w:val="16"/>
          <w:szCs w:val="16"/>
        </w:rPr>
        <w:t xml:space="preserve"> Ярославль ул. Спартаковская, 1Д/) оборудование завода реэвакуировано на старое место, где было восстановлено производство. Имел наименование «п/я 1201».</w:t>
      </w:r>
    </w:p>
    <w:p w14:paraId="57556AB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02EB78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18.12.1992 г. завод преобразован в АООТ, а затем - в ОАО «Ярославрезинотехншеа». Входил в «НТМ- холдинг» (2002 г.).</w:t>
      </w:r>
    </w:p>
    <w:p w14:paraId="1E840C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4AEC17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2008-09 г. предприятие являлось банкротом, имущество выставлено на торги.</w:t>
      </w:r>
    </w:p>
    <w:p w14:paraId="5E4994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 А. Крутиков, (-2003-05 г.-)- Б.В. Котусенко. Конкурсный управляющий (2008 г.)- Е.Я. Рынденко.</w:t>
      </w:r>
    </w:p>
    <w:p w14:paraId="47E0DE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лодки надувные резиновые: </w:t>
      </w:r>
      <w:r w:rsidRPr="008127F8">
        <w:rPr>
          <w:rFonts w:ascii="Times New Roman" w:hAnsi="Times New Roman"/>
          <w:color w:val="000000" w:themeColor="text1"/>
          <w:sz w:val="16"/>
          <w:szCs w:val="16"/>
          <w:lang w:val="en-US"/>
        </w:rPr>
        <w:t>JIAC</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JIH</w:t>
      </w:r>
      <w:r w:rsidRPr="008127F8">
        <w:rPr>
          <w:rFonts w:ascii="Times New Roman" w:hAnsi="Times New Roman"/>
          <w:color w:val="000000" w:themeColor="text1"/>
          <w:sz w:val="16"/>
          <w:szCs w:val="16"/>
        </w:rPr>
        <w:t xml:space="preserve"> (1930-е), «Нырок» (1960-е); лодка моторная «Орион» (1970-е) (11982).</w:t>
      </w:r>
    </w:p>
    <w:p w14:paraId="18B40EB7" w14:textId="77777777" w:rsidR="003A55EF" w:rsidRPr="008127F8" w:rsidRDefault="003A55EF" w:rsidP="001E0A84">
      <w:pPr>
        <w:pStyle w:val="Iauiue"/>
        <w:jc w:val="both"/>
        <w:rPr>
          <w:color w:val="000000" w:themeColor="text1"/>
          <w:sz w:val="16"/>
          <w:szCs w:val="16"/>
        </w:rPr>
      </w:pPr>
    </w:p>
    <w:p w14:paraId="4EA5427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г. была авария на Дербеневском химическом заводе (Москва). Имелись человеческие жертвы (9067).</w:t>
      </w:r>
    </w:p>
    <w:p w14:paraId="34F3D414" w14:textId="77777777" w:rsidR="00D4651C" w:rsidRPr="008127F8" w:rsidRDefault="00D4651C" w:rsidP="001E0A84">
      <w:pPr>
        <w:pStyle w:val="Iauiue"/>
        <w:jc w:val="both"/>
        <w:rPr>
          <w:color w:val="000000" w:themeColor="text1"/>
          <w:sz w:val="16"/>
          <w:szCs w:val="16"/>
        </w:rPr>
      </w:pPr>
    </w:p>
    <w:p w14:paraId="091BDE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w:t>
      </w:r>
      <w:r w:rsidRPr="008127F8">
        <w:rPr>
          <w:rFonts w:ascii="Times New Roman" w:hAnsi="Times New Roman"/>
          <w:color w:val="000000" w:themeColor="text1"/>
          <w:sz w:val="16"/>
          <w:szCs w:val="16"/>
        </w:rPr>
        <w:softHyphen/>
        <w:t>варя 1942 г. на основании отношения НКТП № 562 в порядке обмена опытом копии приказов и ве</w:t>
      </w:r>
      <w:r w:rsidRPr="008127F8">
        <w:rPr>
          <w:rFonts w:ascii="Times New Roman" w:hAnsi="Times New Roman"/>
          <w:color w:val="000000" w:themeColor="text1"/>
          <w:sz w:val="16"/>
          <w:szCs w:val="16"/>
        </w:rPr>
        <w:softHyphen/>
        <w:t>домости изменений танка А-34 в связи с установкой кар</w:t>
      </w:r>
      <w:r w:rsidRPr="008127F8">
        <w:rPr>
          <w:rFonts w:ascii="Times New Roman" w:hAnsi="Times New Roman"/>
          <w:color w:val="000000" w:themeColor="text1"/>
          <w:sz w:val="16"/>
          <w:szCs w:val="16"/>
        </w:rPr>
        <w:softHyphen/>
        <w:t>бюраторного двигателя М-17 были разосланы заводам СТЗ и № 112. Но работа продолжалась, и последние изменения были переданы только 13 марта (10782).</w:t>
      </w:r>
    </w:p>
    <w:p w14:paraId="0D46034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1F76D57"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1C2A7A33" w14:textId="77777777" w:rsidR="00D4651C" w:rsidRPr="008127F8" w:rsidRDefault="00D4651C" w:rsidP="001E0A84">
      <w:pPr>
        <w:pStyle w:val="Iauiue"/>
        <w:jc w:val="both"/>
        <w:rPr>
          <w:iCs/>
          <w:color w:val="000000" w:themeColor="text1"/>
          <w:sz w:val="16"/>
          <w:szCs w:val="16"/>
        </w:rPr>
      </w:pPr>
    </w:p>
    <w:p w14:paraId="249EB6F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77DE03A9"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23 января наши войска продолжали вести активные боевые действия против немецко-фашистских войск.</w:t>
      </w:r>
    </w:p>
    <w:p w14:paraId="1B3F53BF"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день боёв освободила три населённых пункта и захватила 3 орудия, 7 пулемётов, 5 миномётов и 12 автомашин с боеприпасами. Гитлеровцы потеряли 250 солдат и офицеров.</w:t>
      </w:r>
    </w:p>
    <w:p w14:paraId="677C88D9"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тов. Макарьева, овладев населённым пунктом С., захватила 4 орудия, 5 автомашин, 40 велосипедов, 4 пулемёта, большое количество боеприпасов и продовольствия.</w:t>
      </w:r>
    </w:p>
    <w:p w14:paraId="2F9ACB1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Южного фронта, освободили от немцев несколько населённых пунктов. Захвачены трофеи: 13 орудий, 17 пулемётов и много снарядов. Противник оставил на поле боя 150 убитых солдат и офицеров.</w:t>
      </w:r>
    </w:p>
    <w:p w14:paraId="606E1E8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Малыгин незаметно подполз к вражескому противотанковому орудию и, бросив гранату, уничтожил орудийный расчёт. Затем отважный боец пробрался в деревню, занятую немцами, и бросил в дом, где находилось 40 немецких солдат, гранату. Гитлеровцы в панике стали выскакивать из дома. Храбрый боец открыл по немцам огонь и перестрелял 30 солдат.</w:t>
      </w:r>
    </w:p>
    <w:p w14:paraId="7B95ED7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Ленинградские партизаны из отряда тов. С. организовали засаду и атаковали немецкий обоз. Не ожидавшие нападения немецкие солдаты в панике бросились бежать. Партизаны захватили 15 повозок с грузом и перебили 16 солдат и двух офицеров.</w:t>
      </w:r>
    </w:p>
    <w:p w14:paraId="41C3F8EC"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11 роты 434 полка 131 пехотной дивизии Отто Науман сообщил: «2 октября, то-есть в день, когда Гитлер объявил, что начинается последняя и решающая битва, в нашей роте было 180 человек. Сейчас осталось 54 человека. Примерно такие же потери в других подразделениях полка. С октября в 11 роте сменилось 4 командира. Лейтенант Хейор, лейтенант Шухард и лейтенант Монтре были убиты один за другим. Сейчас ротой командует фельдфебель Гельмрайт. В полку много обмороженных солдат, велико также количество больных».</w:t>
      </w:r>
    </w:p>
    <w:p w14:paraId="163157F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8 роты 432 пехотного полка 131 немецкой пехотной дивизии Антон Зазуля рассказал: «Я поляк и считал свою службу в германской армии худшим пленом. Гитлеровцы поработили и терзают мою родину. В Польше сейчас нет молодёжи. Одних немцы запрятали в тюрьмы и концлагери, других — расстреляли. Остальных угнали в Германию на каторжные работы. Мою 17-летнюю сестру увезли в Германию. Она писала, что ей приходится очень тяжело и она много плачет».</w:t>
      </w:r>
    </w:p>
    <w:p w14:paraId="7E087D9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Гамбурге и многих других городах Германии в течение ряда дней в магазинах не бывает никаких продуктов. 19 января население Гамбурга было извещено, что в магазины поступили продукты. Десятки тысяч женщин направились в магазины, но увидели там пустые полки. Разгневанная толпа разгромила многие магазины. Власти произвели многочисленные аресты.</w:t>
      </w:r>
    </w:p>
    <w:p w14:paraId="26C6E20C"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Тбилисском заводе имени Куйбышева мастер тов. Месхи внёс рационализаторское предложение, осуществление которого позволяет одному рабочему выполнять работу четырёх. На Батумском заводе имени Берия тов. Бойко сделал новое приспособление к станку, благодаря чему выпуск деталей одного типа увеличился в три раза.» (15018).</w:t>
      </w:r>
    </w:p>
    <w:p w14:paraId="36DAB842"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7FDB83E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23604382"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января наши войска продолжали продвигаться вперёд. Попытки немецких войск на отдельных участках контратаками задержать продвижение советских войск закончились неудачей. Под ударами наших войск противник отходил, оставляя на поле боя вооружение и большое количество убитых и раненых солдат и офицеров. Наши части заняли несколько населённых пунктов и в числе их города Пено, Андреаполь, Холм, Торопец, Западная Двина.</w:t>
      </w:r>
    </w:p>
    <w:p w14:paraId="3F0A9F2E"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января уничтожено 23 немецких самолёта. Наши потери — 8 самолётов.</w:t>
      </w:r>
    </w:p>
    <w:p w14:paraId="1589701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Баренцовом море потопили три транспорта противника — в 2.000, 3.000 и 8.000 тонн водоизмещения.</w:t>
      </w:r>
    </w:p>
    <w:p w14:paraId="549E0E0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января части нашей авиации уничтожили 3 немецких танка, 350 автомашин с пехотой и грузами, более 350 повозок с боеприпасами, 14 орудий с прислугой, 16 зенитно-пулемётных точек, взорвали 5 вагонов с грузами, подожгли 2 железнодорожных эшелона, рассеяли и частью истребили один полк пехоты противника.</w:t>
      </w:r>
    </w:p>
    <w:p w14:paraId="4E8CFD0E"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Танковая часть тов. Гетмана (Западный фронт) за один день боёв с противником освободила 5 населённых пунктов. Немцы потеряли свыше 500 солдат и офицеров. На другом участке стрелковая часть тов. Якимова овладела важным населённым пунктом. На подступах к пункту осталось свыше 200 трупов немецких солдат.</w:t>
      </w:r>
    </w:p>
    <w:p w14:paraId="11D4EC1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Наша часть, действующая на одном из участков Южного фронта, освободила от немцев 7 населённых пунктов и захватила 13 орудий, 17 станковых пулемётов, миномёт, радиостанцию и много боеприпасов. Взяты пленные.</w:t>
      </w:r>
    </w:p>
    <w:p w14:paraId="3072C8D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Кузнецов недавно во время разведки уничтожил фашистского офицера и захватил его мотоцикл. В бою за деревню Колышево тов. Кузнецов поразил 10 вражеских солдат и одного офицера.</w:t>
      </w:r>
    </w:p>
    <w:p w14:paraId="3E8F8B5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Ш., действующий в одном из районов Московской области, за время боевых действий в тылу противника уничтожил 15 повозок с боеприпасами и мотоцикл, истребил 44 немецких солдата и офицера. Партизаны взяли в плен трёх гитлеровцев и доставили их в часть Красной Армии.</w:t>
      </w:r>
    </w:p>
    <w:p w14:paraId="23E15B07"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делах штаба 299 немецкого артиллерийского полка, разгромленного нашими частями, обнаружена копия секретного приказа командира 29 немецкого армейского корпуса за № 1348. В этом приказе говорится: «Во время размещения одного подразделения в квартирах, ранее занимавшихся другим подразделением, обнаружены следующие надписи на стенах: «Мы хотим в Германию!», «С нас этого хватит!», «Мы грязны и завшивлены, и хотим домой!», «Мы не хотели этой войны!». Далее один командир роты в разговоре с другим офицером позволил себе высказаться в том смысле, что во время мировой войны подвоз никогда не бывал настолько плохим, чтобы нечего было есть, и почта совсем не пропадала. Этот командир роты сказал ещё, что состояние его роты не позволяет ему ни наступать, ни отступать». Далее в приказе предлагается искоренить антивоенные настроения и заставить солдат терпеливо переносить все лишения. Приказ гитлеровского генерала является новым убедительным свидетельством того, как под ударами советской армии быстро снижается моральное состояние не только солдат, но и офицеров гитлеровских войск.</w:t>
      </w:r>
    </w:p>
    <w:p w14:paraId="176DEDE4"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отступлении из деревни Ворюшино, Калининской области, немецкие изверги расстреляли 26 человек, в том числе 10 детей в возрасте от 3 до 13 лет. Несколько детей получило тяжёлые ранения, среди них Петрова Т.—13 лет, Петрова Н.— 3 лет, Моисеева Н.—11 лет, Моисеева А.— 12 лет.» (15018).</w:t>
      </w:r>
    </w:p>
    <w:p w14:paraId="6F4C0F34"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53F033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1196 Об увеличении переходящих запасов продовольствия для Карельского, Ленинградского, Волховского фронтов и 7-й армии. РГАНИР, Фонд ГКО, д. 20, лл. 78, 79 (11012).</w:t>
      </w:r>
    </w:p>
    <w:p w14:paraId="40FE425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542D0A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вышло Постановление ГКО № 1199 О создании городских комитетов обороны в городах Московской области [Клин, Можайск, Малоярославец и Волоколамск]. (7021, 87).</w:t>
      </w:r>
    </w:p>
    <w:p w14:paraId="1F4C5FFB" w14:textId="77777777" w:rsidR="00D4651C" w:rsidRPr="008127F8" w:rsidRDefault="00D4651C" w:rsidP="001E0A84">
      <w:pPr>
        <w:pStyle w:val="Iauiue"/>
        <w:tabs>
          <w:tab w:val="left" w:pos="11199"/>
        </w:tabs>
        <w:jc w:val="both"/>
        <w:rPr>
          <w:color w:val="000000" w:themeColor="text1"/>
          <w:sz w:val="16"/>
          <w:szCs w:val="16"/>
        </w:rPr>
      </w:pPr>
    </w:p>
    <w:p w14:paraId="500ADFA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вышло Постановление ГКО № 1200 Об уполномоченных НКПС по фронтам. (7021, 88).</w:t>
      </w:r>
    </w:p>
    <w:p w14:paraId="4C32B760" w14:textId="77777777" w:rsidR="00D4651C" w:rsidRPr="008127F8" w:rsidRDefault="00D4651C" w:rsidP="001E0A84">
      <w:pPr>
        <w:pStyle w:val="Iauiue"/>
        <w:tabs>
          <w:tab w:val="left" w:pos="11199"/>
        </w:tabs>
        <w:jc w:val="both"/>
        <w:rPr>
          <w:color w:val="000000" w:themeColor="text1"/>
          <w:sz w:val="16"/>
          <w:szCs w:val="16"/>
        </w:rPr>
      </w:pPr>
    </w:p>
    <w:p w14:paraId="50B1B01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КА прорвалась между озером Ильмень и Смоленском (2261).</w:t>
      </w:r>
    </w:p>
    <w:p w14:paraId="4BBC8658" w14:textId="77777777" w:rsidR="00D4651C" w:rsidRPr="008127F8" w:rsidRDefault="00D4651C" w:rsidP="001E0A84">
      <w:pPr>
        <w:pStyle w:val="Iauiue"/>
        <w:jc w:val="both"/>
        <w:rPr>
          <w:color w:val="000000" w:themeColor="text1"/>
          <w:sz w:val="16"/>
          <w:szCs w:val="16"/>
        </w:rPr>
      </w:pPr>
    </w:p>
    <w:p w14:paraId="1A7AB5B6"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7099D57D" w14:textId="77777777" w:rsidR="00D4651C" w:rsidRPr="008127F8" w:rsidRDefault="00D4651C" w:rsidP="001E0A84">
      <w:pPr>
        <w:pStyle w:val="Iauiue"/>
        <w:jc w:val="both"/>
        <w:rPr>
          <w:iCs/>
          <w:color w:val="000000" w:themeColor="text1"/>
          <w:sz w:val="16"/>
          <w:szCs w:val="16"/>
        </w:rPr>
      </w:pPr>
    </w:p>
    <w:p w14:paraId="58A01C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1184 О возвращении в Москву эвакуированного оборудования чулочной фабрики им. Ногина. РГАНИР, Фонд ГКО, д. 20, лл. 2 (11012).</w:t>
      </w:r>
    </w:p>
    <w:p w14:paraId="1170C50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E43F9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1185 О возвращении в Москву эвакуированного оборудования типографий "Красный пролетарий" и "Искра революции". РГАНИР, Фонд ГКО, д. 20, лл. 3 (11012).</w:t>
      </w:r>
    </w:p>
    <w:p w14:paraId="00BD3C2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6B977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1942 вышло Постановление ГКО № 1187 О возвращении эвакуированного оборудования, квалифицированных рабочих и инженерно-технических работников Шатурского и Ореховского торфотрестов. РГАНИР, Фонд ГКО, д. 20, лл. 5 (11012).</w:t>
      </w:r>
    </w:p>
    <w:p w14:paraId="44240FE9"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68331CA"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вышло Постановление ГКО № 1201 О возвращении в Москву эвакуированного оборудования и работников Метрополитена. (7021, 89).</w:t>
      </w:r>
    </w:p>
    <w:p w14:paraId="6219EB8C" w14:textId="77777777" w:rsidR="00D4651C" w:rsidRPr="008127F8" w:rsidRDefault="00D4651C" w:rsidP="001E0A84">
      <w:pPr>
        <w:pStyle w:val="Iauiue"/>
        <w:tabs>
          <w:tab w:val="left" w:pos="11199"/>
        </w:tabs>
        <w:jc w:val="both"/>
        <w:rPr>
          <w:color w:val="000000" w:themeColor="text1"/>
          <w:sz w:val="16"/>
          <w:szCs w:val="16"/>
        </w:rPr>
      </w:pPr>
    </w:p>
    <w:p w14:paraId="176E398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СНК СССР принял постановление "Об устройстве детей, оставшихся без родителей." При ГУ милиции НКВД создали Центральный детский адресный стол и подразделения на местах (3398,41).</w:t>
      </w:r>
    </w:p>
    <w:p w14:paraId="7AA2619C" w14:textId="77777777" w:rsidR="00D4651C" w:rsidRPr="008127F8" w:rsidRDefault="00D4651C" w:rsidP="001E0A84">
      <w:pPr>
        <w:pStyle w:val="Iauiue"/>
        <w:jc w:val="both"/>
        <w:rPr>
          <w:color w:val="000000" w:themeColor="text1"/>
          <w:sz w:val="16"/>
          <w:szCs w:val="16"/>
        </w:rPr>
      </w:pPr>
    </w:p>
    <w:p w14:paraId="42878EE4"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658185FC" w14:textId="77777777" w:rsidR="00D4651C" w:rsidRPr="008127F8" w:rsidRDefault="00D4651C" w:rsidP="001E0A84">
      <w:pPr>
        <w:pStyle w:val="Iauiue"/>
        <w:jc w:val="both"/>
        <w:rPr>
          <w:iCs/>
          <w:color w:val="000000" w:themeColor="text1"/>
          <w:sz w:val="16"/>
          <w:szCs w:val="16"/>
        </w:rPr>
      </w:pPr>
    </w:p>
    <w:p w14:paraId="34FE077D"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в Нови Саде (Югославия) венгерские солдаты утопили в Дунае 842 югослава и еврея (4962).</w:t>
      </w:r>
    </w:p>
    <w:p w14:paraId="10721251" w14:textId="77777777" w:rsidR="00D4651C" w:rsidRPr="008127F8" w:rsidRDefault="00D4651C" w:rsidP="001E0A84">
      <w:pPr>
        <w:pStyle w:val="Iauiue"/>
        <w:tabs>
          <w:tab w:val="left" w:pos="11199"/>
        </w:tabs>
        <w:jc w:val="both"/>
        <w:rPr>
          <w:color w:val="000000" w:themeColor="text1"/>
          <w:sz w:val="16"/>
          <w:szCs w:val="16"/>
        </w:rPr>
      </w:pPr>
    </w:p>
    <w:p w14:paraId="033560FB"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января</w:t>
      </w:r>
      <w:r w:rsidRPr="008127F8">
        <w:rPr>
          <w:rFonts w:ascii="Times New Roman" w:hAnsi="Times New Roman"/>
          <w:color w:val="000000" w:themeColor="text1"/>
          <w:sz w:val="16"/>
          <w:szCs w:val="16"/>
        </w:rPr>
        <w:t xml:space="preserve"> в 1942 году оберлейтенант Витцель, он же Патан, сообщает из Афганистана о том, что численность партизанских отрядов Бозе достигла 5500 человек, из которых 2000 вооружены стрелковым оружием. </w:t>
      </w: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во многих районах Северной Индии действуют агенты-информаторы Бозе, «пятерки» боевиков в железнодорожных мастерских Мадраса и на джутовых фабриках Калькутты (15018).</w:t>
      </w:r>
    </w:p>
    <w:p w14:paraId="31D62F76"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00E7972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23 января 1942 японцы захватили Новую Гвинею (4962).</w:t>
      </w:r>
    </w:p>
    <w:p w14:paraId="4F9DFF51" w14:textId="77777777" w:rsidR="00D4651C" w:rsidRPr="008127F8" w:rsidRDefault="00D4651C" w:rsidP="001E0A84">
      <w:pPr>
        <w:pStyle w:val="Iauiue"/>
        <w:tabs>
          <w:tab w:val="left" w:pos="11199"/>
        </w:tabs>
        <w:jc w:val="both"/>
        <w:rPr>
          <w:color w:val="000000" w:themeColor="text1"/>
          <w:sz w:val="16"/>
          <w:szCs w:val="16"/>
        </w:rPr>
      </w:pPr>
    </w:p>
    <w:p w14:paraId="7B58ABF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японцы высадились у Rabaul, Kavieng и Balikapan (2261).</w:t>
      </w:r>
    </w:p>
    <w:p w14:paraId="13C999AB" w14:textId="77777777" w:rsidR="00D4651C" w:rsidRPr="008127F8" w:rsidRDefault="00D4651C" w:rsidP="001E0A84">
      <w:pPr>
        <w:pStyle w:val="Iauiue"/>
        <w:jc w:val="both"/>
        <w:rPr>
          <w:color w:val="000000" w:themeColor="text1"/>
          <w:sz w:val="16"/>
          <w:szCs w:val="16"/>
        </w:rPr>
      </w:pPr>
    </w:p>
    <w:p w14:paraId="3818E9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23 января 1942 японцы совершили налет на Рангун (2261).</w:t>
      </w:r>
    </w:p>
    <w:p w14:paraId="2EC285B4" w14:textId="77777777" w:rsidR="00D4651C" w:rsidRPr="008127F8" w:rsidRDefault="00D4651C" w:rsidP="001E0A84">
      <w:pPr>
        <w:pStyle w:val="Iauiue"/>
        <w:jc w:val="both"/>
        <w:rPr>
          <w:color w:val="000000" w:themeColor="text1"/>
          <w:sz w:val="16"/>
          <w:szCs w:val="16"/>
        </w:rPr>
      </w:pPr>
    </w:p>
    <w:p w14:paraId="779018B0" w14:textId="77777777" w:rsidR="003A55EF" w:rsidRPr="008127F8" w:rsidRDefault="003A55EF" w:rsidP="001E0A84">
      <w:pPr>
        <w:pStyle w:val="Iauiue"/>
        <w:jc w:val="both"/>
        <w:rPr>
          <w:color w:val="000000" w:themeColor="text1"/>
          <w:sz w:val="16"/>
          <w:szCs w:val="16"/>
        </w:rPr>
      </w:pPr>
      <w:r w:rsidRPr="008127F8">
        <w:rPr>
          <w:color w:val="000000" w:themeColor="text1"/>
          <w:sz w:val="16"/>
          <w:szCs w:val="16"/>
        </w:rPr>
        <w:t>23 января 1942 Австралия обратилась к Англии и США за поддержкой (2261).</w:t>
      </w:r>
    </w:p>
    <w:p w14:paraId="6E101105" w14:textId="77777777" w:rsidR="003A55EF" w:rsidRPr="008127F8" w:rsidRDefault="003A55EF" w:rsidP="001E0A84">
      <w:pPr>
        <w:pStyle w:val="Iauiue"/>
        <w:jc w:val="both"/>
        <w:rPr>
          <w:color w:val="000000" w:themeColor="text1"/>
          <w:sz w:val="16"/>
          <w:szCs w:val="16"/>
        </w:rPr>
      </w:pPr>
    </w:p>
    <w:p w14:paraId="7969DB0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6D04C999" w14:textId="77777777" w:rsidR="00D4651C" w:rsidRPr="008127F8" w:rsidRDefault="00D4651C" w:rsidP="001E0A84">
      <w:pPr>
        <w:pStyle w:val="Iauiue"/>
        <w:jc w:val="both"/>
        <w:rPr>
          <w:iCs/>
          <w:color w:val="000000" w:themeColor="text1"/>
          <w:sz w:val="16"/>
          <w:szCs w:val="16"/>
        </w:rPr>
      </w:pPr>
    </w:p>
    <w:p w14:paraId="6BB6F0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вышел приказ НКАП № 65с</w:t>
      </w:r>
    </w:p>
    <w:p w14:paraId="6447DD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дополнение к приказу НКАП № 39с от 15 января 1942 по выпуску с-в Ил-2 з-м 30:</w:t>
      </w:r>
    </w:p>
    <w:p w14:paraId="3417844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Д-ру з-да 162 А.А.Ткаченко:</w:t>
      </w:r>
    </w:p>
    <w:p w14:paraId="0539C66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 организовать на з-де пр-во отсеков фюзеляжа (дерево) к с-ту Ил-2, начав поставку з-ду № 30 с 10 февраля 1942.</w:t>
      </w:r>
    </w:p>
    <w:p w14:paraId="147DED0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Дементьев (1522, 37).</w:t>
      </w:r>
    </w:p>
    <w:p w14:paraId="3DFB36E8" w14:textId="77777777" w:rsidR="00D4651C" w:rsidRPr="008127F8" w:rsidRDefault="00D4651C" w:rsidP="001E0A84">
      <w:pPr>
        <w:pStyle w:val="Iauiue"/>
        <w:jc w:val="both"/>
        <w:rPr>
          <w:color w:val="000000" w:themeColor="text1"/>
          <w:sz w:val="16"/>
          <w:szCs w:val="16"/>
        </w:rPr>
      </w:pPr>
    </w:p>
    <w:p w14:paraId="69762471" w14:textId="77777777" w:rsidR="001C2BCF" w:rsidRPr="008127F8" w:rsidRDefault="001C2BCF"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24 января 1942 в приказе НКАП №65с встречается первое упоминание о деревянном фюзеляже Ил-2 завода №30:</w:t>
      </w:r>
    </w:p>
    <w:p w14:paraId="7460EBCC" w14:textId="77777777" w:rsidR="001C2BCF" w:rsidRPr="008127F8" w:rsidRDefault="001C2BCF"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В дополнение к приказу НКАП № 39сс от 15 января 1942 по выпуску с-в Ил-2 з-м 30: Д-ру з-да 162 А.А.Ткаченко:</w:t>
      </w:r>
    </w:p>
    <w:p w14:paraId="4542EEC4" w14:textId="77777777" w:rsidR="001C2BCF" w:rsidRPr="008127F8" w:rsidRDefault="001C2BCF"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а) организовать на з-де пр-во отсеков фюзеляжа (дерево) к с-ту Ил-2, начав поставку з-ду № 30 с 10 февраля 1942.</w:t>
      </w:r>
    </w:p>
    <w:p w14:paraId="33CEA035"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На заводе №1 хвостовая часть фюзеляжа из фанеры так же делалась с начала производства. А на 18 заводе ее, вероятно, внедрили в производство чуть позже, но до марта 1942г. В марте, в НИИ ВВС испытывались самолеты завода №1 (зав №2611) и завода №18 (зав №181904 (</w:t>
      </w:r>
      <w:proofErr w:type="gramStart"/>
      <w:r w:rsidRPr="008127F8">
        <w:rPr>
          <w:rFonts w:ascii="Times New Roman" w:hAnsi="Times New Roman"/>
          <w:color w:val="000000" w:themeColor="text1"/>
          <w:sz w:val="16"/>
          <w:szCs w:val="16"/>
          <w:shd w:val="clear" w:color="auto" w:fill="FFFFFF"/>
        </w:rPr>
        <w:t>вероятно</w:t>
      </w:r>
      <w:proofErr w:type="gramEnd"/>
      <w:r w:rsidRPr="008127F8">
        <w:rPr>
          <w:rFonts w:ascii="Times New Roman" w:hAnsi="Times New Roman"/>
          <w:color w:val="000000" w:themeColor="text1"/>
          <w:sz w:val="16"/>
          <w:szCs w:val="16"/>
          <w:shd w:val="clear" w:color="auto" w:fill="FFFFFF"/>
        </w:rPr>
        <w:t xml:space="preserve"> 1871904)). Среди отличий в конструкции самолетов было названо только крыло – на заводе №1 оно было смешанной конструкции (19206).</w:t>
      </w:r>
    </w:p>
    <w:p w14:paraId="18E4E447"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201635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вышел приказ НКАП N 85с:</w:t>
      </w:r>
    </w:p>
    <w:p w14:paraId="0F0236A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Ремонтным мастерским бывшего завода 207 (Москва) приступить с 25 января с.г. к изготовлению на гидропрессе деталей самолета Ил-2 для завода 30, сдавая детали окончательно отделанными согласно образцов-эталонов, утвержденных заводом 30.</w:t>
      </w:r>
    </w:p>
    <w:p w14:paraId="62F810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Мастерские должны обеспечивать подачу элеронов, центроплана, фюзеляжа, стабилизатора, руля высоту и руля поворота (1521,22).</w:t>
      </w:r>
    </w:p>
    <w:p w14:paraId="61A256B6" w14:textId="77777777" w:rsidR="00D4651C" w:rsidRPr="008127F8" w:rsidRDefault="00D4651C" w:rsidP="001E0A84">
      <w:pPr>
        <w:pStyle w:val="Iauiue"/>
        <w:jc w:val="both"/>
        <w:rPr>
          <w:color w:val="000000" w:themeColor="text1"/>
          <w:sz w:val="16"/>
          <w:szCs w:val="16"/>
        </w:rPr>
      </w:pPr>
    </w:p>
    <w:p w14:paraId="2BE571BD" w14:textId="1956DC11" w:rsidR="004F0D24" w:rsidRPr="008127F8" w:rsidRDefault="004F0D2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января 1942 года </w:t>
      </w:r>
      <w:proofErr w:type="gramStart"/>
      <w:r w:rsidRPr="008127F8">
        <w:rPr>
          <w:rFonts w:ascii="Times New Roman" w:hAnsi="Times New Roman"/>
          <w:color w:val="000000" w:themeColor="text1"/>
          <w:sz w:val="16"/>
          <w:szCs w:val="16"/>
        </w:rPr>
        <w:t>Воронежский</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(или филиал завода № 18), который был запланирован на производство Ил-2. Но он был ГКО разложен на составные части. Часть завода № 450, переданная Москве вместе с заводом № 135, была поглощена зводом № 30; участок, используемый для ремонта МиГ-3, был ГКО 30 марта 1942 года передан Воронежу на участок эвакуированного завода № 18 (19829).</w:t>
      </w:r>
    </w:p>
    <w:p w14:paraId="1C492F89" w14:textId="77777777" w:rsidR="004F0D24" w:rsidRPr="008127F8" w:rsidRDefault="004F0D24" w:rsidP="001E0A84">
      <w:pPr>
        <w:spacing w:after="0" w:line="240" w:lineRule="auto"/>
        <w:jc w:val="both"/>
        <w:rPr>
          <w:rFonts w:ascii="Times New Roman" w:hAnsi="Times New Roman"/>
          <w:color w:val="000000" w:themeColor="text1"/>
          <w:sz w:val="16"/>
          <w:szCs w:val="16"/>
        </w:rPr>
      </w:pPr>
    </w:p>
    <w:p w14:paraId="3EB1665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был первый вылет 103В (Ту-2) в рамках совместных испытаний, которые начались 15 декабря 1941. Была вынужденная посадка и из-за отказа двигателя (1835,18) с 25 января по 26 февраля - чинили (826).</w:t>
      </w:r>
    </w:p>
    <w:p w14:paraId="36B12EEB" w14:textId="77777777" w:rsidR="00D4651C" w:rsidRPr="008127F8" w:rsidRDefault="00D4651C" w:rsidP="001E0A84">
      <w:pPr>
        <w:pStyle w:val="Iauiue"/>
        <w:jc w:val="both"/>
        <w:rPr>
          <w:color w:val="000000" w:themeColor="text1"/>
          <w:sz w:val="16"/>
          <w:szCs w:val="16"/>
        </w:rPr>
      </w:pPr>
    </w:p>
    <w:p w14:paraId="4661B02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Первый вылет 103В (Ту-2) был 24 января 1942, но была вынужденная посадка и с 25.01 по 26.02 - чинили и не было моторов. С 27.02 по 13.03 ставили моторы. 14.03 был пробный полет. С 15.03 по 17.03.1942 заменяли цилиндр N 5 (826).</w:t>
      </w:r>
    </w:p>
    <w:p w14:paraId="2CAEDC1F" w14:textId="77777777" w:rsidR="00D4651C" w:rsidRPr="008127F8" w:rsidRDefault="00D4651C" w:rsidP="001E0A84">
      <w:pPr>
        <w:pStyle w:val="Iauiue"/>
        <w:jc w:val="both"/>
        <w:rPr>
          <w:color w:val="000000" w:themeColor="text1"/>
          <w:sz w:val="16"/>
          <w:szCs w:val="16"/>
        </w:rPr>
      </w:pPr>
    </w:p>
    <w:p w14:paraId="4B3F6DF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года зам. гл. конструктора завода N 22 Изаксон писал письмо N Н-20/202 в ГКО Маленкову и Берия.</w:t>
      </w:r>
    </w:p>
    <w:p w14:paraId="5B69D13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Самолет Пе-2, по отзывам военных специалистов, полностью освоен летно-техническим персоналом ВВС и показал в процессе применения на фронте высокие боевые качества.</w:t>
      </w:r>
    </w:p>
    <w:p w14:paraId="058B8E2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Непрерывно совершенствуя серийный самолет Пе-2, конструкторский коллектив завода N 22, руководимый Петляковым, сумел в значительной степени устранить основные дефекты самолета, выявленные в процессе эксплуатации в боевых условиях.</w:t>
      </w:r>
    </w:p>
    <w:p w14:paraId="55D88A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После внедрения на заводе N 22, так называемой, 64-й серии, в самолете Пе-2 будут полностью устранены все ранее выявленные дефекты, что еще более усилит его боеспособность.</w:t>
      </w:r>
    </w:p>
    <w:p w14:paraId="6F522CF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Помимо основного варианта самолета Пе-2 в виде пикирующего бомбардировщика, в ВВС нашла широкое применение модификация этого самолета в вариантах: двухместного истребителя сопровождения и фоторазведчика с большим радиусом действия.</w:t>
      </w:r>
    </w:p>
    <w:p w14:paraId="3E9322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Значительное количество самолетов Пе-2, выпущенных заводами Наркомавиапрома в относительно короткий срок - один год, в указанных выше вариантах, широкое разностороннее применение машины в ВВС и высокая оценка боевых качеств самолета во всех вариантах </w:t>
      </w:r>
      <w:proofErr w:type="gramStart"/>
      <w:r w:rsidRPr="008127F8">
        <w:rPr>
          <w:color w:val="000000" w:themeColor="text1"/>
          <w:sz w:val="16"/>
          <w:szCs w:val="16"/>
        </w:rPr>
        <w:t>- все это</w:t>
      </w:r>
      <w:proofErr w:type="gramEnd"/>
      <w:r w:rsidRPr="008127F8">
        <w:rPr>
          <w:color w:val="000000" w:themeColor="text1"/>
          <w:sz w:val="16"/>
          <w:szCs w:val="16"/>
        </w:rPr>
        <w:t xml:space="preserve"> выдвигает необходимость непрерывной работы над дальнейшим повышением боеспособности самолета.</w:t>
      </w:r>
    </w:p>
    <w:p w14:paraId="2DA023A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тем более необходимо, что дальнейшее повышение боевых качеств самолета диктуется все возрастающими требованиями военной обстановки.</w:t>
      </w:r>
    </w:p>
    <w:p w14:paraId="7384A79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настоящее время в самолет Пе-2 необходимо внести два дополнительных изменения, которые значительно улучшают боеспособность самолета:</w:t>
      </w:r>
    </w:p>
    <w:p w14:paraId="431F2C1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Установить вместо пулемета Шкас на верхней стрелковой точке у штурмана крупнокалиберный пулемет Березина;</w:t>
      </w:r>
    </w:p>
    <w:p w14:paraId="1DEB6A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Установить усиленную броню для экипажа.</w:t>
      </w:r>
    </w:p>
    <w:p w14:paraId="6B61FC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Обе эти установки полностью отработаны Конструкторским бюро и получили утверждение ВВС.</w:t>
      </w:r>
    </w:p>
    <w:p w14:paraId="2924980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Оборудованные Опытно-конструкторским отделом два самолета Пе-2 с установкой крупнокалиберного пулемета Березина прошли войсковые испытания и утверждены к серийному внедрению.</w:t>
      </w:r>
    </w:p>
    <w:p w14:paraId="7BEA318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Запуск в серию новых установок не связан с большими трудностями для самолетных заводов и требует лишь серийного изготовления новой стрелковой установки на одном из заводов Наркомавиапрома.</w:t>
      </w:r>
    </w:p>
    <w:p w14:paraId="627A8C6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Несмотря на то, что опытная партия новой установки была заказана заводу N 32 еще в сентябре прошлого года, завод этого заказа до сих пор не выполнил и к серийному выпуску этих установок на заводе до сих пор не приступлено. Таким образом, срок внедрения на самолет Пе-2 этого исключительно мощного вооружения не зафиксирован, что вносит неопределенность в решение столь важного вопроса.</w:t>
      </w:r>
    </w:p>
    <w:p w14:paraId="1268A0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Точно такое же положение и с внедрением новой усиленной брони.</w:t>
      </w:r>
    </w:p>
    <w:p w14:paraId="52E18BD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Проект нового бронирования разработан Конструкторским бюро и утвержден ВВС. Заказ на эту новую броню сдан, однако срок изготовления этой брони жестко не фиксирован, что оттягивает постановку нового бронирования на самолет на неопределенное время.</w:t>
      </w:r>
    </w:p>
    <w:p w14:paraId="31BD917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Придавая исключительное значение дальнейшему повышению летно-тактических данных серийного самолета Пе-2, Опытно-конструкторским отделом завода N 22, по постановлению Правительства, был спроектирован и построен опытный экземпляр модификации Пе-2 с более мощным мотором М-105Ф.</w:t>
      </w:r>
    </w:p>
    <w:p w14:paraId="50815E9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Опытный экземпляр модифицированного самолета Пе-2 значительно отличается от серийной машины более высокими летно-тактическими данными и вооружением.</w:t>
      </w:r>
    </w:p>
    <w:p w14:paraId="0E1685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Ниже помещенная таблица дает значение максимальных скоростей модификации в сравнении с серийной машиной Пе-2 (см. также прилагаемый график).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195"/>
        <w:gridCol w:w="1195"/>
        <w:gridCol w:w="1195"/>
        <w:gridCol w:w="1195"/>
        <w:gridCol w:w="3014"/>
      </w:tblGrid>
      <w:tr w:rsidR="006F4095" w:rsidRPr="008127F8" w14:paraId="389D8795" w14:textId="77777777">
        <w:tc>
          <w:tcPr>
            <w:tcW w:w="2802" w:type="dxa"/>
            <w:tcBorders>
              <w:top w:val="single" w:sz="12" w:space="0" w:color="auto"/>
            </w:tcBorders>
          </w:tcPr>
          <w:p w14:paraId="1114CCE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Высота</w:t>
            </w:r>
          </w:p>
        </w:tc>
        <w:tc>
          <w:tcPr>
            <w:tcW w:w="1195" w:type="dxa"/>
            <w:tcBorders>
              <w:top w:val="single" w:sz="12" w:space="0" w:color="auto"/>
            </w:tcBorders>
          </w:tcPr>
          <w:p w14:paraId="660539F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Земля</w:t>
            </w:r>
          </w:p>
        </w:tc>
        <w:tc>
          <w:tcPr>
            <w:tcW w:w="1195" w:type="dxa"/>
            <w:tcBorders>
              <w:top w:val="single" w:sz="12" w:space="0" w:color="auto"/>
            </w:tcBorders>
          </w:tcPr>
          <w:p w14:paraId="718EA6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2000 м</w:t>
            </w:r>
          </w:p>
        </w:tc>
        <w:tc>
          <w:tcPr>
            <w:tcW w:w="1195" w:type="dxa"/>
            <w:tcBorders>
              <w:top w:val="single" w:sz="12" w:space="0" w:color="auto"/>
            </w:tcBorders>
          </w:tcPr>
          <w:p w14:paraId="0886412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5000 м</w:t>
            </w:r>
          </w:p>
        </w:tc>
        <w:tc>
          <w:tcPr>
            <w:tcW w:w="1195" w:type="dxa"/>
            <w:tcBorders>
              <w:top w:val="single" w:sz="12" w:space="0" w:color="auto"/>
            </w:tcBorders>
          </w:tcPr>
          <w:p w14:paraId="217F5B8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7000 м</w:t>
            </w:r>
          </w:p>
        </w:tc>
        <w:tc>
          <w:tcPr>
            <w:tcW w:w="3014" w:type="dxa"/>
            <w:tcBorders>
              <w:top w:val="single" w:sz="12" w:space="0" w:color="auto"/>
            </w:tcBorders>
          </w:tcPr>
          <w:p w14:paraId="2DE801E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Примечание</w:t>
            </w:r>
          </w:p>
        </w:tc>
      </w:tr>
      <w:tr w:rsidR="006F4095" w:rsidRPr="008127F8" w14:paraId="13BF2A6B" w14:textId="77777777">
        <w:tc>
          <w:tcPr>
            <w:tcW w:w="2802" w:type="dxa"/>
          </w:tcPr>
          <w:p w14:paraId="0E672D5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Самолет Пе-2 без внешней</w:t>
            </w:r>
          </w:p>
        </w:tc>
        <w:tc>
          <w:tcPr>
            <w:tcW w:w="1195" w:type="dxa"/>
          </w:tcPr>
          <w:p w14:paraId="2743C7D0" w14:textId="77777777" w:rsidR="00D4651C" w:rsidRPr="008127F8" w:rsidRDefault="00D4651C" w:rsidP="001E0A84">
            <w:pPr>
              <w:pStyle w:val="Iauiue"/>
              <w:jc w:val="both"/>
              <w:rPr>
                <w:color w:val="000000" w:themeColor="text1"/>
                <w:sz w:val="16"/>
                <w:szCs w:val="16"/>
              </w:rPr>
            </w:pPr>
          </w:p>
        </w:tc>
        <w:tc>
          <w:tcPr>
            <w:tcW w:w="1195" w:type="dxa"/>
          </w:tcPr>
          <w:p w14:paraId="6E55428A" w14:textId="77777777" w:rsidR="00D4651C" w:rsidRPr="008127F8" w:rsidRDefault="00D4651C" w:rsidP="001E0A84">
            <w:pPr>
              <w:pStyle w:val="Iauiue"/>
              <w:jc w:val="both"/>
              <w:rPr>
                <w:color w:val="000000" w:themeColor="text1"/>
                <w:sz w:val="16"/>
                <w:szCs w:val="16"/>
              </w:rPr>
            </w:pPr>
          </w:p>
        </w:tc>
        <w:tc>
          <w:tcPr>
            <w:tcW w:w="1195" w:type="dxa"/>
          </w:tcPr>
          <w:p w14:paraId="57E68904" w14:textId="77777777" w:rsidR="00D4651C" w:rsidRPr="008127F8" w:rsidRDefault="00D4651C" w:rsidP="001E0A84">
            <w:pPr>
              <w:pStyle w:val="Iauiue"/>
              <w:jc w:val="both"/>
              <w:rPr>
                <w:color w:val="000000" w:themeColor="text1"/>
                <w:sz w:val="16"/>
                <w:szCs w:val="16"/>
              </w:rPr>
            </w:pPr>
          </w:p>
        </w:tc>
        <w:tc>
          <w:tcPr>
            <w:tcW w:w="1195" w:type="dxa"/>
          </w:tcPr>
          <w:p w14:paraId="4223330C" w14:textId="77777777" w:rsidR="00D4651C" w:rsidRPr="008127F8" w:rsidRDefault="00D4651C" w:rsidP="001E0A84">
            <w:pPr>
              <w:pStyle w:val="Iauiue"/>
              <w:jc w:val="both"/>
              <w:rPr>
                <w:color w:val="000000" w:themeColor="text1"/>
                <w:sz w:val="16"/>
                <w:szCs w:val="16"/>
              </w:rPr>
            </w:pPr>
          </w:p>
        </w:tc>
        <w:tc>
          <w:tcPr>
            <w:tcW w:w="3014" w:type="dxa"/>
          </w:tcPr>
          <w:p w14:paraId="5B6A2FF8" w14:textId="77777777" w:rsidR="00D4651C" w:rsidRPr="008127F8" w:rsidRDefault="00D4651C" w:rsidP="001E0A84">
            <w:pPr>
              <w:pStyle w:val="Iauiue"/>
              <w:jc w:val="both"/>
              <w:rPr>
                <w:color w:val="000000" w:themeColor="text1"/>
                <w:sz w:val="16"/>
                <w:szCs w:val="16"/>
              </w:rPr>
            </w:pPr>
          </w:p>
        </w:tc>
      </w:tr>
      <w:tr w:rsidR="006F4095" w:rsidRPr="008127F8" w14:paraId="5962D9E8" w14:textId="77777777">
        <w:tc>
          <w:tcPr>
            <w:tcW w:w="2802" w:type="dxa"/>
          </w:tcPr>
          <w:p w14:paraId="27CAFEE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бомбовой подвески</w:t>
            </w:r>
          </w:p>
        </w:tc>
        <w:tc>
          <w:tcPr>
            <w:tcW w:w="1195" w:type="dxa"/>
          </w:tcPr>
          <w:p w14:paraId="31A08D1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452</w:t>
            </w:r>
          </w:p>
        </w:tc>
        <w:tc>
          <w:tcPr>
            <w:tcW w:w="1195" w:type="dxa"/>
          </w:tcPr>
          <w:p w14:paraId="7751DAF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488</w:t>
            </w:r>
          </w:p>
        </w:tc>
        <w:tc>
          <w:tcPr>
            <w:tcW w:w="1195" w:type="dxa"/>
          </w:tcPr>
          <w:p w14:paraId="1A4AEC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540</w:t>
            </w:r>
          </w:p>
        </w:tc>
        <w:tc>
          <w:tcPr>
            <w:tcW w:w="1195" w:type="dxa"/>
          </w:tcPr>
          <w:p w14:paraId="4769A80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525</w:t>
            </w:r>
          </w:p>
        </w:tc>
        <w:tc>
          <w:tcPr>
            <w:tcW w:w="3014" w:type="dxa"/>
          </w:tcPr>
          <w:p w14:paraId="3B5F7D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результатам</w:t>
            </w:r>
          </w:p>
        </w:tc>
      </w:tr>
      <w:tr w:rsidR="006F4095" w:rsidRPr="008127F8" w14:paraId="3A716A53" w14:textId="77777777">
        <w:tc>
          <w:tcPr>
            <w:tcW w:w="2802" w:type="dxa"/>
          </w:tcPr>
          <w:p w14:paraId="404E8C5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Самолет Пе-2 с внешней</w:t>
            </w:r>
          </w:p>
        </w:tc>
        <w:tc>
          <w:tcPr>
            <w:tcW w:w="1195" w:type="dxa"/>
          </w:tcPr>
          <w:p w14:paraId="206BF25A" w14:textId="77777777" w:rsidR="00D4651C" w:rsidRPr="008127F8" w:rsidRDefault="00D4651C" w:rsidP="001E0A84">
            <w:pPr>
              <w:pStyle w:val="Iauiue"/>
              <w:jc w:val="both"/>
              <w:rPr>
                <w:color w:val="000000" w:themeColor="text1"/>
                <w:sz w:val="16"/>
                <w:szCs w:val="16"/>
              </w:rPr>
            </w:pPr>
          </w:p>
        </w:tc>
        <w:tc>
          <w:tcPr>
            <w:tcW w:w="1195" w:type="dxa"/>
          </w:tcPr>
          <w:p w14:paraId="683D385D" w14:textId="77777777" w:rsidR="00D4651C" w:rsidRPr="008127F8" w:rsidRDefault="00D4651C" w:rsidP="001E0A84">
            <w:pPr>
              <w:pStyle w:val="Iauiue"/>
              <w:jc w:val="both"/>
              <w:rPr>
                <w:color w:val="000000" w:themeColor="text1"/>
                <w:sz w:val="16"/>
                <w:szCs w:val="16"/>
              </w:rPr>
            </w:pPr>
          </w:p>
        </w:tc>
        <w:tc>
          <w:tcPr>
            <w:tcW w:w="1195" w:type="dxa"/>
          </w:tcPr>
          <w:p w14:paraId="0FA8478B" w14:textId="77777777" w:rsidR="00D4651C" w:rsidRPr="008127F8" w:rsidRDefault="00D4651C" w:rsidP="001E0A84">
            <w:pPr>
              <w:pStyle w:val="Iauiue"/>
              <w:jc w:val="both"/>
              <w:rPr>
                <w:color w:val="000000" w:themeColor="text1"/>
                <w:sz w:val="16"/>
                <w:szCs w:val="16"/>
              </w:rPr>
            </w:pPr>
          </w:p>
        </w:tc>
        <w:tc>
          <w:tcPr>
            <w:tcW w:w="1195" w:type="dxa"/>
          </w:tcPr>
          <w:p w14:paraId="45CD475C" w14:textId="77777777" w:rsidR="00D4651C" w:rsidRPr="008127F8" w:rsidRDefault="00D4651C" w:rsidP="001E0A84">
            <w:pPr>
              <w:pStyle w:val="Iauiue"/>
              <w:jc w:val="both"/>
              <w:rPr>
                <w:color w:val="000000" w:themeColor="text1"/>
                <w:sz w:val="16"/>
                <w:szCs w:val="16"/>
              </w:rPr>
            </w:pPr>
          </w:p>
        </w:tc>
        <w:tc>
          <w:tcPr>
            <w:tcW w:w="3014" w:type="dxa"/>
          </w:tcPr>
          <w:p w14:paraId="6F37602C" w14:textId="77777777" w:rsidR="00D4651C" w:rsidRPr="008127F8" w:rsidRDefault="00D4651C" w:rsidP="001E0A84">
            <w:pPr>
              <w:pStyle w:val="Iauiue"/>
              <w:jc w:val="both"/>
              <w:rPr>
                <w:color w:val="000000" w:themeColor="text1"/>
                <w:sz w:val="16"/>
                <w:szCs w:val="16"/>
              </w:rPr>
            </w:pPr>
          </w:p>
        </w:tc>
      </w:tr>
      <w:tr w:rsidR="006F4095" w:rsidRPr="008127F8" w14:paraId="292B62E1" w14:textId="77777777">
        <w:tc>
          <w:tcPr>
            <w:tcW w:w="2802" w:type="dxa"/>
          </w:tcPr>
          <w:p w14:paraId="2C08D33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бомбовой подвеской</w:t>
            </w:r>
          </w:p>
        </w:tc>
        <w:tc>
          <w:tcPr>
            <w:tcW w:w="1195" w:type="dxa"/>
          </w:tcPr>
          <w:p w14:paraId="699A948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428</w:t>
            </w:r>
          </w:p>
        </w:tc>
        <w:tc>
          <w:tcPr>
            <w:tcW w:w="1195" w:type="dxa"/>
          </w:tcPr>
          <w:p w14:paraId="6A40F2C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463</w:t>
            </w:r>
          </w:p>
        </w:tc>
        <w:tc>
          <w:tcPr>
            <w:tcW w:w="1195" w:type="dxa"/>
          </w:tcPr>
          <w:p w14:paraId="58AFBB0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510</w:t>
            </w:r>
          </w:p>
        </w:tc>
        <w:tc>
          <w:tcPr>
            <w:tcW w:w="1195" w:type="dxa"/>
          </w:tcPr>
          <w:p w14:paraId="68A6CE7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491</w:t>
            </w:r>
          </w:p>
        </w:tc>
        <w:tc>
          <w:tcPr>
            <w:tcW w:w="3014" w:type="dxa"/>
          </w:tcPr>
          <w:p w14:paraId="624C6E2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испытаний</w:t>
            </w:r>
          </w:p>
        </w:tc>
      </w:tr>
      <w:tr w:rsidR="006F4095" w:rsidRPr="008127F8" w14:paraId="729B28CF" w14:textId="77777777">
        <w:tc>
          <w:tcPr>
            <w:tcW w:w="2802" w:type="dxa"/>
          </w:tcPr>
          <w:p w14:paraId="007D23D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Модификация Пе-2 с</w:t>
            </w:r>
          </w:p>
        </w:tc>
        <w:tc>
          <w:tcPr>
            <w:tcW w:w="1195" w:type="dxa"/>
          </w:tcPr>
          <w:p w14:paraId="5BD58BC2" w14:textId="77777777" w:rsidR="00D4651C" w:rsidRPr="008127F8" w:rsidRDefault="00D4651C" w:rsidP="001E0A84">
            <w:pPr>
              <w:pStyle w:val="Iauiue"/>
              <w:jc w:val="both"/>
              <w:rPr>
                <w:color w:val="000000" w:themeColor="text1"/>
                <w:sz w:val="16"/>
                <w:szCs w:val="16"/>
              </w:rPr>
            </w:pPr>
          </w:p>
        </w:tc>
        <w:tc>
          <w:tcPr>
            <w:tcW w:w="1195" w:type="dxa"/>
          </w:tcPr>
          <w:p w14:paraId="2A5F6D57" w14:textId="77777777" w:rsidR="00D4651C" w:rsidRPr="008127F8" w:rsidRDefault="00D4651C" w:rsidP="001E0A84">
            <w:pPr>
              <w:pStyle w:val="Iauiue"/>
              <w:jc w:val="both"/>
              <w:rPr>
                <w:color w:val="000000" w:themeColor="text1"/>
                <w:sz w:val="16"/>
                <w:szCs w:val="16"/>
              </w:rPr>
            </w:pPr>
          </w:p>
        </w:tc>
        <w:tc>
          <w:tcPr>
            <w:tcW w:w="1195" w:type="dxa"/>
          </w:tcPr>
          <w:p w14:paraId="29F27C12" w14:textId="77777777" w:rsidR="00D4651C" w:rsidRPr="008127F8" w:rsidRDefault="00D4651C" w:rsidP="001E0A84">
            <w:pPr>
              <w:pStyle w:val="Iauiue"/>
              <w:jc w:val="both"/>
              <w:rPr>
                <w:color w:val="000000" w:themeColor="text1"/>
                <w:sz w:val="16"/>
                <w:szCs w:val="16"/>
              </w:rPr>
            </w:pPr>
          </w:p>
        </w:tc>
        <w:tc>
          <w:tcPr>
            <w:tcW w:w="1195" w:type="dxa"/>
          </w:tcPr>
          <w:p w14:paraId="568E93BB" w14:textId="77777777" w:rsidR="00D4651C" w:rsidRPr="008127F8" w:rsidRDefault="00D4651C" w:rsidP="001E0A84">
            <w:pPr>
              <w:pStyle w:val="Iauiue"/>
              <w:jc w:val="both"/>
              <w:rPr>
                <w:color w:val="000000" w:themeColor="text1"/>
                <w:sz w:val="16"/>
                <w:szCs w:val="16"/>
              </w:rPr>
            </w:pPr>
          </w:p>
        </w:tc>
        <w:tc>
          <w:tcPr>
            <w:tcW w:w="3014" w:type="dxa"/>
          </w:tcPr>
          <w:p w14:paraId="36C65AEE" w14:textId="77777777" w:rsidR="00D4651C" w:rsidRPr="008127F8" w:rsidRDefault="00D4651C" w:rsidP="001E0A84">
            <w:pPr>
              <w:pStyle w:val="Iauiue"/>
              <w:jc w:val="both"/>
              <w:rPr>
                <w:color w:val="000000" w:themeColor="text1"/>
                <w:sz w:val="16"/>
                <w:szCs w:val="16"/>
              </w:rPr>
            </w:pPr>
          </w:p>
        </w:tc>
      </w:tr>
      <w:tr w:rsidR="006F4095" w:rsidRPr="008127F8" w14:paraId="6BB45460" w14:textId="77777777">
        <w:tc>
          <w:tcPr>
            <w:tcW w:w="2802" w:type="dxa"/>
            <w:tcBorders>
              <w:bottom w:val="single" w:sz="12" w:space="0" w:color="auto"/>
            </w:tcBorders>
          </w:tcPr>
          <w:p w14:paraId="457990E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М-105Ф</w:t>
            </w:r>
          </w:p>
        </w:tc>
        <w:tc>
          <w:tcPr>
            <w:tcW w:w="1195" w:type="dxa"/>
            <w:tcBorders>
              <w:bottom w:val="single" w:sz="12" w:space="0" w:color="auto"/>
            </w:tcBorders>
          </w:tcPr>
          <w:p w14:paraId="63B994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488</w:t>
            </w:r>
          </w:p>
        </w:tc>
        <w:tc>
          <w:tcPr>
            <w:tcW w:w="1195" w:type="dxa"/>
            <w:tcBorders>
              <w:bottom w:val="single" w:sz="12" w:space="0" w:color="auto"/>
            </w:tcBorders>
          </w:tcPr>
          <w:p w14:paraId="6175CE5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518</w:t>
            </w:r>
          </w:p>
        </w:tc>
        <w:tc>
          <w:tcPr>
            <w:tcW w:w="1195" w:type="dxa"/>
            <w:tcBorders>
              <w:bottom w:val="single" w:sz="12" w:space="0" w:color="auto"/>
            </w:tcBorders>
          </w:tcPr>
          <w:p w14:paraId="7F7A03E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567</w:t>
            </w:r>
          </w:p>
        </w:tc>
        <w:tc>
          <w:tcPr>
            <w:tcW w:w="1195" w:type="dxa"/>
            <w:tcBorders>
              <w:bottom w:val="single" w:sz="12" w:space="0" w:color="auto"/>
            </w:tcBorders>
          </w:tcPr>
          <w:p w14:paraId="06F55B8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600</w:t>
            </w:r>
          </w:p>
        </w:tc>
        <w:tc>
          <w:tcPr>
            <w:tcW w:w="3014" w:type="dxa"/>
            <w:tcBorders>
              <w:bottom w:val="single" w:sz="12" w:space="0" w:color="auto"/>
            </w:tcBorders>
          </w:tcPr>
          <w:p w14:paraId="0DC578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Расчетные данные</w:t>
            </w:r>
          </w:p>
        </w:tc>
      </w:tr>
    </w:tbl>
    <w:p w14:paraId="0015CF8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 точки зрения бомбовой загрузки модификация самолета Пе-2 имеет значительные преимущества перед серийной машиной, допуская подвешивать внутри фюзеляжа, вместо 4-х бомб по 100 кг, любой из следующих вариантов:</w:t>
      </w:r>
    </w:p>
    <w:p w14:paraId="5FC8249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бомба в 500 кг, или</w:t>
      </w:r>
    </w:p>
    <w:p w14:paraId="1C31BDC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бомбы по 250 кг, или</w:t>
      </w:r>
    </w:p>
    <w:p w14:paraId="3B4A76D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6 бомб по 100 кг.</w:t>
      </w:r>
    </w:p>
    <w:p w14:paraId="32BE50D4" w14:textId="77777777" w:rsidR="00D4651C" w:rsidRPr="008127F8" w:rsidRDefault="00D4651C" w:rsidP="001E0A84">
      <w:pPr>
        <w:pStyle w:val="Iauiue"/>
        <w:jc w:val="both"/>
        <w:rPr>
          <w:color w:val="000000" w:themeColor="text1"/>
          <w:sz w:val="16"/>
          <w:szCs w:val="16"/>
        </w:rPr>
      </w:pPr>
      <w:proofErr w:type="gramStart"/>
      <w:r w:rsidRPr="008127F8">
        <w:rPr>
          <w:color w:val="000000" w:themeColor="text1"/>
          <w:sz w:val="16"/>
          <w:szCs w:val="16"/>
        </w:rPr>
        <w:t>Помимо этого</w:t>
      </w:r>
      <w:proofErr w:type="gramEnd"/>
      <w:r w:rsidRPr="008127F8">
        <w:rPr>
          <w:color w:val="000000" w:themeColor="text1"/>
          <w:sz w:val="16"/>
          <w:szCs w:val="16"/>
        </w:rPr>
        <w:t xml:space="preserve"> на самолете сохранены еще две внешних подвески, позволяющие подвешивать бомбы любого из указанных выше калибров.</w:t>
      </w:r>
    </w:p>
    <w:p w14:paraId="4A2FA15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Основным крупнейшим достоинством модификации самолета Пе-2 является то, что эта модификация создана на базе освоенной в серийном производстве машины Пе-2, что позволит без особых трудностей перейти на серийный выпуск вместо Пе-2 его модификации.</w:t>
      </w:r>
    </w:p>
    <w:p w14:paraId="204E708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Это облегчается тем обстоятельством, что, примерно, 60-70% серийных деталей, узлов и агрегатов остаются неизменными. Точно также неизменной остается основная масса готовых изделий, изготовляемых и освоенных заводами-смежниками.</w:t>
      </w:r>
    </w:p>
    <w:p w14:paraId="7C3F11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 этом следует отметить, что:</w:t>
      </w:r>
    </w:p>
    <w:p w14:paraId="1A8F596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Основные дефекты, уже устраненные на серийном самолете Пе-2, в модифицированном варианте самолета будут полностью отсутствовать.</w:t>
      </w:r>
    </w:p>
    <w:p w14:paraId="0864BE1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Результаты работы Конструкторского бюро по замене отдельных дефицитных материалов, по упрощению конструкции и облегчению производства будут полностью использованы при постройке модификации.</w:t>
      </w:r>
    </w:p>
    <w:p w14:paraId="1BDC9E9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Таким образом, в случае положительного заключения по модификации, при сравнительно небольших затратах средств, можно будет в весьма короткий срок перейти на серийный выпуск более усовершенствованной модификации самолета Пе-2, обладающей значительно улучшенными летно-тактическими данными.</w:t>
      </w:r>
    </w:p>
    <w:p w14:paraId="79BCEFD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Считаю необходимым отметить, что, наряду с указанными преимуществами, внедрение модифицированного самолета Пе-2 непосредственно в части ВВС не вызовет необходимости переобучения летного состава ВВС, так как с точки зрения пилотажной и общетехнического оснащения машина остается такой же, как и серийный самолет Пе-2, полностью освоенный частями ВВС.</w:t>
      </w:r>
    </w:p>
    <w:p w14:paraId="6049843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Принимая во внимание, что завод N 22, наряду с увеличивающейся программой по серийному выпуску самолета Пе-2, имеет задание по подготовке к внедрению новой машины "103", осуществить постройку некоторого количества модифицированных машин Пе-2 с мотором М-105Ф на этом заводе не представляется возможным.</w:t>
      </w:r>
    </w:p>
    <w:p w14:paraId="7F61F08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Точно также не представляется возможным загрузить этой работой завод N 39 в Иркутске, чтобы не нарушать нормального хода работы по увеличению выпуска серийных самолетов Пе-2 на этом заводе.</w:t>
      </w:r>
    </w:p>
    <w:p w14:paraId="6B55F80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Для обеспечения выпуска модифицированных самолетов Пе-2 в наиболее короткий срок, я считал бы целесообразным осуществить постройку войсковой серии модифицированных самолетов на московском заводе N 81 (бывш. завод N 39).</w:t>
      </w:r>
    </w:p>
    <w:p w14:paraId="5C194E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Целесообразность подобного решения обуславливается следующими соображениями:</w:t>
      </w:r>
    </w:p>
    <w:p w14:paraId="51ED3CB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 Наличием больших свободных производственных площадей;</w:t>
      </w:r>
    </w:p>
    <w:p w14:paraId="153EEC7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 Наличием квалифицированных кадров рабочих, знакомых с производством самолета Пе-2;</w:t>
      </w:r>
    </w:p>
    <w:p w14:paraId="2A0306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 Наличием ряда стапелей и приспособлений, оставленных заводом N 39.</w:t>
      </w:r>
    </w:p>
    <w:p w14:paraId="5127967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Постройка войсковой серии модифицированного самолета Пе-2 на заводе N 81 может быть осуществлена наряду с выполнением заводом намеченной ему программы по ремонту.</w:t>
      </w:r>
    </w:p>
    <w:p w14:paraId="76C470C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 положительном решении вопроса о постройке войсковой серии модификации самолета Пе-2 на заводе N 81, опыт этого завода в части отработки технологии и стапельного хозяйства может быть наиболее безболезненно передан затем заводу N 39 и может быть использован самим заводом N 81 в случае развертывания этого завода под серийный выпуск модификации машины Пе-2.</w:t>
      </w:r>
    </w:p>
    <w:p w14:paraId="6928684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Предложение о постройке войсковой серии модификации самолета Пе-2 на заводе N 81 я рассматриваю как один из возможных вариантов.</w:t>
      </w:r>
    </w:p>
    <w:p w14:paraId="4E36275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связи с временной консервацией завода 23 (бывш. завода 22) может представиться рациональным поручить постройку войсковой серии этому заводу, обладающему необходимыми площадями, квалифицированными кадрами, знающими самолет Пе-2 и рядом готовых стапелей.</w:t>
      </w:r>
    </w:p>
    <w:p w14:paraId="0E8F23F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Мне думается, что завод N 23 сумеет выполнить это задание быстрее, нежели завод N 81, так как в большей мере оснащен необходимым оборудованием и обладает более квалифицированными людьми.</w:t>
      </w:r>
    </w:p>
    <w:p w14:paraId="2464B1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случае принятия этого варианта, остается полностью в силе соображение об использовании накопленного опыта для передачи заводу N 39 и непосредственно для завода N 23 в случае возможного его полного восстановления под эту машину.</w:t>
      </w:r>
    </w:p>
    <w:p w14:paraId="4603CA7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От быстрейшего разрешения всех, поставленных на Ваше рассмотрение, вопросов зависит ход дальнейшей работы по усовершенствованию самолета Пе-2 и </w:t>
      </w:r>
      <w:r w:rsidRPr="008127F8">
        <w:rPr>
          <w:color w:val="000000" w:themeColor="text1"/>
          <w:sz w:val="16"/>
          <w:szCs w:val="16"/>
        </w:rPr>
        <w:lastRenderedPageBreak/>
        <w:t>повышение его летно-тактических данных, а также общее направление работы Опытно-конструкторского отдела завода N 22, работающего в настоящее время по этой машине, который в состоянии, по своему опыту и квалификации, выполнить любое задание Правительства по созданию боевых самолетов (2139,168).</w:t>
      </w:r>
    </w:p>
    <w:p w14:paraId="1A7C4960" w14:textId="77777777" w:rsidR="00D4651C" w:rsidRPr="008127F8" w:rsidRDefault="00D4651C" w:rsidP="001E0A84">
      <w:pPr>
        <w:pStyle w:val="Iauiue"/>
        <w:jc w:val="both"/>
        <w:rPr>
          <w:color w:val="000000" w:themeColor="text1"/>
          <w:sz w:val="16"/>
          <w:szCs w:val="16"/>
        </w:rPr>
      </w:pPr>
    </w:p>
    <w:p w14:paraId="6EB6CA6A"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1942 г. Главный конструктор Пе-2 Изаксон письмом № Н-20/202 в ГКО Маленкову и Берия предлагал наладить выпуск Пе-2 на эвакуированном на ту же территорию из Ленинграда заводе № 23, как более готовом к работе, но это сделано не было (23570).</w:t>
      </w:r>
    </w:p>
    <w:p w14:paraId="7580283C" w14:textId="77777777" w:rsidR="004363F6" w:rsidRPr="008A2E5A" w:rsidRDefault="004363F6" w:rsidP="004363F6">
      <w:pPr>
        <w:spacing w:after="0" w:line="240" w:lineRule="auto"/>
        <w:jc w:val="both"/>
        <w:rPr>
          <w:rFonts w:ascii="Times New Roman" w:hAnsi="Times New Roman"/>
          <w:color w:val="0070C0"/>
          <w:sz w:val="16"/>
          <w:szCs w:val="16"/>
        </w:rPr>
      </w:pPr>
    </w:p>
    <w:p w14:paraId="2D17962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г. вышло постановление ГКО N 1207сс, которым завод N 82 был обязан выпустить к 1 мая 1942 г. серийный дизель М-30 с комбинированным наддувом: от турбокомпрессора и приводного центробежного нагнетателя, который предназначался для устранения основного дефекта мотора: самовыключения при планировании на высотах более 4000 м (3322,37).</w:t>
      </w:r>
    </w:p>
    <w:p w14:paraId="7CE9464A" w14:textId="77777777" w:rsidR="00D4651C" w:rsidRPr="008127F8" w:rsidRDefault="00D4651C" w:rsidP="001E0A84">
      <w:pPr>
        <w:pStyle w:val="Iauiue"/>
        <w:jc w:val="both"/>
        <w:rPr>
          <w:color w:val="000000" w:themeColor="text1"/>
          <w:sz w:val="16"/>
          <w:szCs w:val="16"/>
        </w:rPr>
      </w:pPr>
    </w:p>
    <w:p w14:paraId="1C3A6E1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вышло Постановление ГКО № 1205 О восстановлении аэродинамических труб и лабораторий ЦАГИ. (7021, 106).</w:t>
      </w:r>
    </w:p>
    <w:p w14:paraId="089DF65F" w14:textId="77777777" w:rsidR="00D4651C" w:rsidRPr="008127F8" w:rsidRDefault="00D4651C" w:rsidP="001E0A84">
      <w:pPr>
        <w:pStyle w:val="Iauiue"/>
        <w:tabs>
          <w:tab w:val="left" w:pos="11199"/>
        </w:tabs>
        <w:jc w:val="both"/>
        <w:rPr>
          <w:color w:val="000000" w:themeColor="text1"/>
          <w:sz w:val="16"/>
          <w:szCs w:val="16"/>
        </w:rPr>
      </w:pPr>
    </w:p>
    <w:p w14:paraId="2F014CB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вышло постановление ГКО, предусматривающее в течение года восстановление ЦАГИ на старых площадках. Поручено в 15 дней вернуться из Новосибирска и Казани (173,218).</w:t>
      </w:r>
    </w:p>
    <w:p w14:paraId="5FE8D6C7" w14:textId="77777777" w:rsidR="00D4651C" w:rsidRPr="008127F8" w:rsidRDefault="00D4651C" w:rsidP="001E0A84">
      <w:pPr>
        <w:pStyle w:val="Iauiue"/>
        <w:jc w:val="both"/>
        <w:rPr>
          <w:color w:val="000000" w:themeColor="text1"/>
          <w:sz w:val="16"/>
          <w:szCs w:val="16"/>
        </w:rPr>
      </w:pPr>
    </w:p>
    <w:p w14:paraId="0284896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 вышло Постановление ГКО № 1205 «О восстановлении аэродинамических труб и лабораторий ЦАГИ» В марте 1942 г. в филиале ЦАГИ-Москва заработала труба Т-1, а затем и труба Т-5. Естественно, основным направлением стали прикладные исследования, главная цель которых — совершенствование авиационной и оборонной техники, затем возобновили работы по изучению аэрогидродинамики специальных объектов и ветрозащиты, а с 1944 г. - по промышленной аэродинамике. К середине 1942 г. интенсивные работы развернулись в лабораториях ЦАГИ-Стаханово. В 1943 г. заново смонтировали оборудование штопорной трубы и 29 октября, в день 25-летия Всесоюзного Ленин - ского Комсомола, труба начала работать (19727).</w:t>
      </w:r>
    </w:p>
    <w:p w14:paraId="31971619"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0C3777FB"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вышло Постановление ГКО № 1206 Об организации на площади эвакуированного Центрального института моторостроения в Москве производства моторов М-11. (7021, 107).</w:t>
      </w:r>
    </w:p>
    <w:p w14:paraId="470299D2" w14:textId="77777777" w:rsidR="00D4651C" w:rsidRPr="008127F8" w:rsidRDefault="00D4651C" w:rsidP="001E0A84">
      <w:pPr>
        <w:pStyle w:val="Iauiue"/>
        <w:tabs>
          <w:tab w:val="left" w:pos="11199"/>
        </w:tabs>
        <w:jc w:val="both"/>
        <w:rPr>
          <w:color w:val="000000" w:themeColor="text1"/>
          <w:sz w:val="16"/>
          <w:szCs w:val="16"/>
        </w:rPr>
      </w:pPr>
    </w:p>
    <w:p w14:paraId="49D3EB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года по решению ГКО за № ГКО-1206сс на площадях эвакуированного ЦИАМ в Москве для выпуска серийных авиамоторов М11Д был организован завод № 41 МОП.</w:t>
      </w:r>
    </w:p>
    <w:p w14:paraId="620326E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В конце мая 1942 года, в связи возвращением ЦИАМ обратно на старую площадку, переданную заводу № 41, площади, запроектированные </w:t>
      </w:r>
      <w:proofErr w:type="gramStart"/>
      <w:r w:rsidRPr="008127F8">
        <w:rPr>
          <w:color w:val="000000" w:themeColor="text1"/>
          <w:sz w:val="16"/>
          <w:szCs w:val="16"/>
        </w:rPr>
        <w:t>под завод</w:t>
      </w:r>
      <w:proofErr w:type="gramEnd"/>
      <w:r w:rsidRPr="008127F8">
        <w:rPr>
          <w:color w:val="000000" w:themeColor="text1"/>
          <w:sz w:val="16"/>
          <w:szCs w:val="16"/>
        </w:rPr>
        <w:t xml:space="preserve"> были резко сокращены, вследствие чего встал вопрос о переводе завода на новую площадку.</w:t>
      </w:r>
    </w:p>
    <w:p w14:paraId="2DF8343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Приказом НКАП № 424 от 7 июня 1942 года завод № 41 был переведен на площадку завода № 451, ранее принадлежащую эвакуированному заводу № 20 (основанному в 1930 году по выпуску агрегатов для авиамоторов).</w:t>
      </w:r>
    </w:p>
    <w:p w14:paraId="25F8536A" w14:textId="77777777" w:rsidR="00D4651C" w:rsidRPr="008127F8" w:rsidRDefault="00D4651C" w:rsidP="001E0A84">
      <w:pPr>
        <w:pStyle w:val="Iauiue"/>
        <w:jc w:val="both"/>
        <w:rPr>
          <w:color w:val="000000" w:themeColor="text1"/>
          <w:sz w:val="16"/>
          <w:szCs w:val="16"/>
        </w:rPr>
      </w:pPr>
    </w:p>
    <w:p w14:paraId="42A4C1C7"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вышло Постановление ГКО № 1208 [О расформировании завода № 135 НКАП.] (7021, 109).</w:t>
      </w:r>
    </w:p>
    <w:p w14:paraId="45AAD8F1" w14:textId="77777777" w:rsidR="00D4651C" w:rsidRPr="008127F8" w:rsidRDefault="00D4651C" w:rsidP="001E0A84">
      <w:pPr>
        <w:pStyle w:val="Iauiue"/>
        <w:tabs>
          <w:tab w:val="left" w:pos="11199"/>
        </w:tabs>
        <w:jc w:val="both"/>
        <w:rPr>
          <w:color w:val="000000" w:themeColor="text1"/>
          <w:sz w:val="16"/>
          <w:szCs w:val="16"/>
        </w:rPr>
      </w:pPr>
    </w:p>
    <w:p w14:paraId="465173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года было принято постановление о расформировании харьковского авиазавода (10674).</w:t>
      </w:r>
    </w:p>
    <w:p w14:paraId="3DD1D980"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691D4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вышел приказ: расформировать авиазавод № 135 в Молотове. Сухому не разрешили вернуться в Подлипки даже когда фашистов удалось отогнать от Москвы. Получилось так, что самолет ББ-1 (Су-2) увидел свет при непосредственном участии вождя, и им же было прекращено его серийное производство (5360).</w:t>
      </w:r>
    </w:p>
    <w:p w14:paraId="1380B451" w14:textId="77777777" w:rsidR="00D4651C" w:rsidRPr="008127F8" w:rsidRDefault="00D4651C" w:rsidP="001E0A84">
      <w:pPr>
        <w:pStyle w:val="Iauiue"/>
        <w:jc w:val="both"/>
        <w:rPr>
          <w:color w:val="000000" w:themeColor="text1"/>
          <w:sz w:val="16"/>
          <w:szCs w:val="16"/>
        </w:rPr>
      </w:pPr>
    </w:p>
    <w:p w14:paraId="1F8014DA"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1942 года было подписано Постановление Государственного комитета обороны о закрытии Харьковского авиационного завода. На следующий день руководящий состав 135</w:t>
      </w:r>
      <w:r w:rsidRPr="008A2E5A">
        <w:rPr>
          <w:rFonts w:ascii="Times New Roman" w:hAnsi="Times New Roman"/>
          <w:color w:val="0070C0"/>
          <w:sz w:val="16"/>
          <w:szCs w:val="16"/>
        </w:rPr>
        <w:noBreakHyphen/>
        <w:t>го завода был собран в дирекции, где и объявили о расформировании завода и откомандировании его сотрудников в Москву для работы на вновь организованных 23</w:t>
      </w:r>
      <w:r w:rsidRPr="008A2E5A">
        <w:rPr>
          <w:rFonts w:ascii="Times New Roman" w:hAnsi="Times New Roman"/>
          <w:color w:val="0070C0"/>
          <w:sz w:val="16"/>
          <w:szCs w:val="16"/>
        </w:rPr>
        <w:noBreakHyphen/>
        <w:t>м и 30</w:t>
      </w:r>
      <w:r w:rsidRPr="008A2E5A">
        <w:rPr>
          <w:rFonts w:ascii="Times New Roman" w:hAnsi="Times New Roman"/>
          <w:color w:val="0070C0"/>
          <w:sz w:val="16"/>
          <w:szCs w:val="16"/>
        </w:rPr>
        <w:noBreakHyphen/>
        <w:t>м заводах (24213).</w:t>
      </w:r>
    </w:p>
    <w:p w14:paraId="0FACBB7A" w14:textId="77777777" w:rsidR="004363F6" w:rsidRPr="008A2E5A" w:rsidRDefault="004363F6" w:rsidP="004363F6">
      <w:pPr>
        <w:spacing w:after="0" w:line="240" w:lineRule="auto"/>
        <w:jc w:val="both"/>
        <w:rPr>
          <w:rFonts w:ascii="Times New Roman" w:hAnsi="Times New Roman"/>
          <w:color w:val="0070C0"/>
          <w:sz w:val="16"/>
          <w:szCs w:val="16"/>
        </w:rPr>
      </w:pPr>
    </w:p>
    <w:p w14:paraId="4B9246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вышло Постановление ГКО № 1208, закрепляющее решение расформировать завод № 135. До конца зимы за счет кадров и оборудования эвакуированных предприятий были усилены заводы № 23 (сюда направили И.М. Кузина), а затем также №30 и 381.</w:t>
      </w:r>
    </w:p>
    <w:p w14:paraId="45B0AD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воспоминаниям старейшего сотрудника ОКБ М.И. Зуева, на такое решение повлияла нелюбовь к Павлу Осиповичу со стороны Сталина. После гибели в катастрофе 12 января 1942 г. В.М.Петлякова, Сухой был вызван в Кремль и получил предложение возглавить работу над совершенствованием Пе-2. Сухой не отказался, но и не согласился. Сталину не понравились колебания в столь ответственный период, и 14 января состоялось назначение на должность главного конструктора завода № 22 А.И. Изаксона, и вскоре вышел приказ: расформировать авиазавод в </w:t>
      </w:r>
      <w:proofErr w:type="gramStart"/>
      <w:r w:rsidRPr="008127F8">
        <w:rPr>
          <w:rFonts w:ascii="Times New Roman" w:hAnsi="Times New Roman"/>
          <w:color w:val="000000" w:themeColor="text1"/>
          <w:sz w:val="16"/>
          <w:szCs w:val="16"/>
        </w:rPr>
        <w:t>Молото- ве</w:t>
      </w:r>
      <w:proofErr w:type="gramEnd"/>
      <w:r w:rsidRPr="008127F8">
        <w:rPr>
          <w:rFonts w:ascii="Times New Roman" w:hAnsi="Times New Roman"/>
          <w:color w:val="000000" w:themeColor="text1"/>
          <w:sz w:val="16"/>
          <w:szCs w:val="16"/>
        </w:rPr>
        <w:t>. Сухому также не разрешили вернуться в Подлипки, когда фашистов удалось отогнать от Москвы. Получилось так, что самолет ББ-1 (Су-2) увидел свет при непосредственном участии вождя, и им же было прекращено его серийное производство (12028).</w:t>
      </w:r>
    </w:p>
    <w:p w14:paraId="25EFB1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самолетов Су-2, выпущенных на серийных заводах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235"/>
        <w:gridCol w:w="2409"/>
        <w:gridCol w:w="2268"/>
      </w:tblGrid>
      <w:tr w:rsidR="006F4095" w:rsidRPr="008127F8" w14:paraId="618F6F18" w14:textId="77777777">
        <w:tc>
          <w:tcPr>
            <w:tcW w:w="2235" w:type="dxa"/>
            <w:tcBorders>
              <w:top w:val="single" w:sz="12" w:space="0" w:color="auto"/>
            </w:tcBorders>
          </w:tcPr>
          <w:p w14:paraId="778B5A2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235" w:type="dxa"/>
            <w:tcBorders>
              <w:top w:val="single" w:sz="12" w:space="0" w:color="auto"/>
            </w:tcBorders>
          </w:tcPr>
          <w:p w14:paraId="380E42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1940</w:t>
            </w:r>
          </w:p>
        </w:tc>
        <w:tc>
          <w:tcPr>
            <w:tcW w:w="2409" w:type="dxa"/>
            <w:tcBorders>
              <w:top w:val="single" w:sz="12" w:space="0" w:color="auto"/>
            </w:tcBorders>
          </w:tcPr>
          <w:p w14:paraId="161D6C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2268" w:type="dxa"/>
            <w:tcBorders>
              <w:top w:val="single" w:sz="12" w:space="0" w:color="auto"/>
            </w:tcBorders>
          </w:tcPr>
          <w:p w14:paraId="01CAF11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r>
      <w:tr w:rsidR="006F4095" w:rsidRPr="008127F8" w14:paraId="23E6DB06" w14:textId="77777777">
        <w:tc>
          <w:tcPr>
            <w:tcW w:w="2235" w:type="dxa"/>
          </w:tcPr>
          <w:p w14:paraId="56A5DB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235" w:type="dxa"/>
          </w:tcPr>
          <w:p w14:paraId="33F460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2409" w:type="dxa"/>
          </w:tcPr>
          <w:p w14:paraId="413862C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2268" w:type="dxa"/>
          </w:tcPr>
          <w:p w14:paraId="2B317875"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02E6D954" w14:textId="77777777">
        <w:tc>
          <w:tcPr>
            <w:tcW w:w="2235" w:type="dxa"/>
          </w:tcPr>
          <w:p w14:paraId="6A6D49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2235" w:type="dxa"/>
          </w:tcPr>
          <w:p w14:paraId="7DB12D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c>
          <w:tcPr>
            <w:tcW w:w="2409" w:type="dxa"/>
          </w:tcPr>
          <w:p w14:paraId="1131EA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635</w:t>
            </w:r>
          </w:p>
        </w:tc>
        <w:tc>
          <w:tcPr>
            <w:tcW w:w="2268" w:type="dxa"/>
          </w:tcPr>
          <w:p w14:paraId="4300707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r>
      <w:tr w:rsidR="006F4095" w:rsidRPr="008127F8" w14:paraId="034B1300" w14:textId="77777777">
        <w:tc>
          <w:tcPr>
            <w:tcW w:w="2235" w:type="dxa"/>
          </w:tcPr>
          <w:p w14:paraId="6D2C0E0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2235" w:type="dxa"/>
          </w:tcPr>
          <w:p w14:paraId="4E24252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2409" w:type="dxa"/>
          </w:tcPr>
          <w:p w14:paraId="5BB304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tc>
        <w:tc>
          <w:tcPr>
            <w:tcW w:w="2268" w:type="dxa"/>
          </w:tcPr>
          <w:p w14:paraId="7DB0D0E6"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2AA418BB" w14:textId="77777777">
        <w:tc>
          <w:tcPr>
            <w:tcW w:w="2235" w:type="dxa"/>
            <w:tcBorders>
              <w:bottom w:val="single" w:sz="12" w:space="0" w:color="auto"/>
            </w:tcBorders>
          </w:tcPr>
          <w:p w14:paraId="72249B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2235" w:type="dxa"/>
            <w:tcBorders>
              <w:bottom w:val="single" w:sz="12" w:space="0" w:color="auto"/>
            </w:tcBorders>
          </w:tcPr>
          <w:p w14:paraId="017AC9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409" w:type="dxa"/>
            <w:tcBorders>
              <w:bottom w:val="single" w:sz="12" w:space="0" w:color="auto"/>
            </w:tcBorders>
          </w:tcPr>
          <w:p w14:paraId="5E9771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728</w:t>
            </w:r>
          </w:p>
        </w:tc>
        <w:tc>
          <w:tcPr>
            <w:tcW w:w="2268" w:type="dxa"/>
            <w:tcBorders>
              <w:bottom w:val="single" w:sz="12" w:space="0" w:color="auto"/>
            </w:tcBorders>
          </w:tcPr>
          <w:p w14:paraId="72F48BC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r>
    </w:tbl>
    <w:p w14:paraId="74558F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(12028).</w:t>
      </w:r>
    </w:p>
    <w:p w14:paraId="115EE7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Летно-тактические данные серийных советских ближних бомбардировщиков начального периода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8127F8" w14:paraId="727196CE" w14:textId="77777777">
        <w:tc>
          <w:tcPr>
            <w:tcW w:w="1868" w:type="dxa"/>
            <w:tcBorders>
              <w:top w:val="single" w:sz="12" w:space="0" w:color="auto"/>
            </w:tcBorders>
          </w:tcPr>
          <w:p w14:paraId="00E7EA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Характеристики</w:t>
            </w:r>
          </w:p>
        </w:tc>
        <w:tc>
          <w:tcPr>
            <w:tcW w:w="1868" w:type="dxa"/>
            <w:tcBorders>
              <w:top w:val="single" w:sz="12" w:space="0" w:color="auto"/>
            </w:tcBorders>
          </w:tcPr>
          <w:p w14:paraId="5C0F4AB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образца 1941г.</w:t>
            </w:r>
          </w:p>
        </w:tc>
        <w:tc>
          <w:tcPr>
            <w:tcW w:w="1868" w:type="dxa"/>
            <w:tcBorders>
              <w:top w:val="single" w:sz="12" w:space="0" w:color="auto"/>
            </w:tcBorders>
          </w:tcPr>
          <w:p w14:paraId="51B11E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образца 1942 г.</w:t>
            </w:r>
          </w:p>
        </w:tc>
        <w:tc>
          <w:tcPr>
            <w:tcW w:w="1868" w:type="dxa"/>
            <w:tcBorders>
              <w:top w:val="single" w:sz="12" w:space="0" w:color="auto"/>
            </w:tcBorders>
          </w:tcPr>
          <w:p w14:paraId="12E53A0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СБобразца 1939 г.</w:t>
            </w:r>
          </w:p>
        </w:tc>
        <w:tc>
          <w:tcPr>
            <w:tcW w:w="1868" w:type="dxa"/>
            <w:tcBorders>
              <w:top w:val="single" w:sz="12" w:space="0" w:color="auto"/>
            </w:tcBorders>
          </w:tcPr>
          <w:p w14:paraId="7EF023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образца 1941г.</w:t>
            </w:r>
          </w:p>
        </w:tc>
        <w:tc>
          <w:tcPr>
            <w:tcW w:w="1868" w:type="dxa"/>
            <w:tcBorders>
              <w:top w:val="single" w:sz="12" w:space="0" w:color="auto"/>
            </w:tcBorders>
          </w:tcPr>
          <w:p w14:paraId="5D932E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образца 1942 г.</w:t>
            </w:r>
          </w:p>
        </w:tc>
      </w:tr>
      <w:tr w:rsidR="006F4095" w:rsidRPr="008127F8" w14:paraId="1E3435BF" w14:textId="77777777">
        <w:tc>
          <w:tcPr>
            <w:tcW w:w="1868" w:type="dxa"/>
          </w:tcPr>
          <w:p w14:paraId="0AB34A6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w:t>
            </w:r>
          </w:p>
        </w:tc>
        <w:tc>
          <w:tcPr>
            <w:tcW w:w="1868" w:type="dxa"/>
          </w:tcPr>
          <w:p w14:paraId="1B395A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М-88Б</w:t>
            </w:r>
          </w:p>
        </w:tc>
        <w:tc>
          <w:tcPr>
            <w:tcW w:w="1868" w:type="dxa"/>
          </w:tcPr>
          <w:p w14:paraId="0257BC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868" w:type="dxa"/>
          </w:tcPr>
          <w:p w14:paraId="7AEEAE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2хМ-103А</w:t>
            </w:r>
          </w:p>
        </w:tc>
        <w:tc>
          <w:tcPr>
            <w:tcW w:w="1868" w:type="dxa"/>
          </w:tcPr>
          <w:p w14:paraId="31996F6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2хМ-105РА</w:t>
            </w:r>
          </w:p>
        </w:tc>
        <w:tc>
          <w:tcPr>
            <w:tcW w:w="1868" w:type="dxa"/>
          </w:tcPr>
          <w:p w14:paraId="6653215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2хМ-105РА</w:t>
            </w:r>
          </w:p>
        </w:tc>
      </w:tr>
      <w:tr w:rsidR="006F4095" w:rsidRPr="008127F8" w14:paraId="1249957F" w14:textId="77777777">
        <w:tc>
          <w:tcPr>
            <w:tcW w:w="1868" w:type="dxa"/>
          </w:tcPr>
          <w:p w14:paraId="53FE9A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1868" w:type="dxa"/>
          </w:tcPr>
          <w:p w14:paraId="69670C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4345</w:t>
            </w:r>
          </w:p>
        </w:tc>
        <w:tc>
          <w:tcPr>
            <w:tcW w:w="1868" w:type="dxa"/>
          </w:tcPr>
          <w:p w14:paraId="3151B9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4700</w:t>
            </w:r>
          </w:p>
        </w:tc>
        <w:tc>
          <w:tcPr>
            <w:tcW w:w="1868" w:type="dxa"/>
          </w:tcPr>
          <w:p w14:paraId="274377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6380</w:t>
            </w:r>
          </w:p>
        </w:tc>
        <w:tc>
          <w:tcPr>
            <w:tcW w:w="1868" w:type="dxa"/>
          </w:tcPr>
          <w:p w14:paraId="624DED6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7700</w:t>
            </w:r>
          </w:p>
        </w:tc>
        <w:tc>
          <w:tcPr>
            <w:tcW w:w="1868" w:type="dxa"/>
          </w:tcPr>
          <w:p w14:paraId="629892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7775</w:t>
            </w:r>
          </w:p>
        </w:tc>
      </w:tr>
      <w:tr w:rsidR="006F4095" w:rsidRPr="008127F8" w14:paraId="2E437557" w14:textId="77777777">
        <w:tc>
          <w:tcPr>
            <w:tcW w:w="1868" w:type="dxa"/>
          </w:tcPr>
          <w:p w14:paraId="2BF8E53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площадь, кг/м2</w:t>
            </w:r>
          </w:p>
        </w:tc>
        <w:tc>
          <w:tcPr>
            <w:tcW w:w="1868" w:type="dxa"/>
          </w:tcPr>
          <w:p w14:paraId="067ED5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868" w:type="dxa"/>
          </w:tcPr>
          <w:p w14:paraId="4ADE3E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w:t>
            </w:r>
          </w:p>
        </w:tc>
        <w:tc>
          <w:tcPr>
            <w:tcW w:w="1868" w:type="dxa"/>
          </w:tcPr>
          <w:p w14:paraId="4B1339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w:t>
            </w:r>
          </w:p>
        </w:tc>
        <w:tc>
          <w:tcPr>
            <w:tcW w:w="1868" w:type="dxa"/>
          </w:tcPr>
          <w:p w14:paraId="3BA455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2A698C9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w:t>
            </w:r>
          </w:p>
        </w:tc>
      </w:tr>
      <w:tr w:rsidR="006F4095" w:rsidRPr="008127F8" w14:paraId="1E13DFF3" w14:textId="77777777">
        <w:tc>
          <w:tcPr>
            <w:tcW w:w="1868" w:type="dxa"/>
          </w:tcPr>
          <w:p w14:paraId="6CF967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мощность, кг/л.с.</w:t>
            </w:r>
          </w:p>
        </w:tc>
        <w:tc>
          <w:tcPr>
            <w:tcW w:w="1868" w:type="dxa"/>
          </w:tcPr>
          <w:p w14:paraId="370235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4,35</w:t>
            </w:r>
          </w:p>
        </w:tc>
        <w:tc>
          <w:tcPr>
            <w:tcW w:w="1868" w:type="dxa"/>
          </w:tcPr>
          <w:p w14:paraId="6ADB20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3,53</w:t>
            </w:r>
          </w:p>
        </w:tc>
        <w:tc>
          <w:tcPr>
            <w:tcW w:w="1868" w:type="dxa"/>
          </w:tcPr>
          <w:p w14:paraId="736D89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3,32</w:t>
            </w:r>
          </w:p>
        </w:tc>
        <w:tc>
          <w:tcPr>
            <w:tcW w:w="1868" w:type="dxa"/>
          </w:tcPr>
          <w:p w14:paraId="4C47A8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w:t>
            </w:r>
          </w:p>
        </w:tc>
        <w:tc>
          <w:tcPr>
            <w:tcW w:w="1868" w:type="dxa"/>
          </w:tcPr>
          <w:p w14:paraId="74167F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w:t>
            </w:r>
          </w:p>
        </w:tc>
      </w:tr>
      <w:tr w:rsidR="006F4095" w:rsidRPr="008127F8" w14:paraId="455530B8" w14:textId="77777777">
        <w:tc>
          <w:tcPr>
            <w:tcW w:w="1868" w:type="dxa"/>
          </w:tcPr>
          <w:p w14:paraId="7B832D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км/ч</w:t>
            </w:r>
          </w:p>
        </w:tc>
        <w:tc>
          <w:tcPr>
            <w:tcW w:w="1868" w:type="dxa"/>
          </w:tcPr>
          <w:p w14:paraId="728647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w:t>
            </w:r>
          </w:p>
        </w:tc>
        <w:tc>
          <w:tcPr>
            <w:tcW w:w="1868" w:type="dxa"/>
          </w:tcPr>
          <w:p w14:paraId="245F8E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486</w:t>
            </w:r>
          </w:p>
        </w:tc>
        <w:tc>
          <w:tcPr>
            <w:tcW w:w="1868" w:type="dxa"/>
          </w:tcPr>
          <w:p w14:paraId="00E38A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w:t>
            </w:r>
          </w:p>
        </w:tc>
        <w:tc>
          <w:tcPr>
            <w:tcW w:w="1868" w:type="dxa"/>
          </w:tcPr>
          <w:p w14:paraId="345377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w:t>
            </w:r>
          </w:p>
        </w:tc>
        <w:tc>
          <w:tcPr>
            <w:tcW w:w="1868" w:type="dxa"/>
          </w:tcPr>
          <w:p w14:paraId="012A0D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5688521D" w14:textId="77777777">
        <w:tc>
          <w:tcPr>
            <w:tcW w:w="1868" w:type="dxa"/>
          </w:tcPr>
          <w:p w14:paraId="703AE80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границе высотности, м</w:t>
            </w:r>
          </w:p>
        </w:tc>
        <w:tc>
          <w:tcPr>
            <w:tcW w:w="1868" w:type="dxa"/>
          </w:tcPr>
          <w:p w14:paraId="1EE47F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6500</w:t>
            </w:r>
          </w:p>
        </w:tc>
        <w:tc>
          <w:tcPr>
            <w:tcW w:w="1868" w:type="dxa"/>
          </w:tcPr>
          <w:p w14:paraId="3EEEEBE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5850</w:t>
            </w:r>
          </w:p>
        </w:tc>
        <w:tc>
          <w:tcPr>
            <w:tcW w:w="1868" w:type="dxa"/>
          </w:tcPr>
          <w:p w14:paraId="6EDE17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4100</w:t>
            </w:r>
          </w:p>
        </w:tc>
        <w:tc>
          <w:tcPr>
            <w:tcW w:w="1868" w:type="dxa"/>
          </w:tcPr>
          <w:p w14:paraId="5944D7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5100</w:t>
            </w:r>
          </w:p>
        </w:tc>
        <w:tc>
          <w:tcPr>
            <w:tcW w:w="1868" w:type="dxa"/>
          </w:tcPr>
          <w:p w14:paraId="411ED2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4800</w:t>
            </w:r>
          </w:p>
        </w:tc>
      </w:tr>
      <w:tr w:rsidR="006F4095" w:rsidRPr="008127F8" w14:paraId="65173B85" w14:textId="77777777">
        <w:tc>
          <w:tcPr>
            <w:tcW w:w="1868" w:type="dxa"/>
          </w:tcPr>
          <w:p w14:paraId="46C303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5000 м, мин</w:t>
            </w:r>
          </w:p>
        </w:tc>
        <w:tc>
          <w:tcPr>
            <w:tcW w:w="1868" w:type="dxa"/>
          </w:tcPr>
          <w:p w14:paraId="425B74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1868" w:type="dxa"/>
          </w:tcPr>
          <w:p w14:paraId="49A0CE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1868" w:type="dxa"/>
          </w:tcPr>
          <w:p w14:paraId="391B5B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tc>
        <w:tc>
          <w:tcPr>
            <w:tcW w:w="1868" w:type="dxa"/>
          </w:tcPr>
          <w:p w14:paraId="699AB04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868" w:type="dxa"/>
          </w:tcPr>
          <w:p w14:paraId="6E699F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r>
      <w:tr w:rsidR="006F4095" w:rsidRPr="008127F8" w14:paraId="52911704" w14:textId="77777777">
        <w:tc>
          <w:tcPr>
            <w:tcW w:w="1868" w:type="dxa"/>
          </w:tcPr>
          <w:p w14:paraId="47534C6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 м</w:t>
            </w:r>
          </w:p>
        </w:tc>
        <w:tc>
          <w:tcPr>
            <w:tcW w:w="1868" w:type="dxa"/>
          </w:tcPr>
          <w:p w14:paraId="61A826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8900</w:t>
            </w:r>
          </w:p>
        </w:tc>
        <w:tc>
          <w:tcPr>
            <w:tcW w:w="1868" w:type="dxa"/>
          </w:tcPr>
          <w:p w14:paraId="0AD8DC3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8400</w:t>
            </w:r>
          </w:p>
        </w:tc>
        <w:tc>
          <w:tcPr>
            <w:tcW w:w="1868" w:type="dxa"/>
          </w:tcPr>
          <w:p w14:paraId="3C8588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9700</w:t>
            </w:r>
          </w:p>
        </w:tc>
        <w:tc>
          <w:tcPr>
            <w:tcW w:w="1868" w:type="dxa"/>
          </w:tcPr>
          <w:p w14:paraId="69E45B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868" w:type="dxa"/>
          </w:tcPr>
          <w:p w14:paraId="78899E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7950</w:t>
            </w:r>
          </w:p>
        </w:tc>
      </w:tr>
      <w:tr w:rsidR="006F4095" w:rsidRPr="008127F8" w14:paraId="6B06A5E8" w14:textId="77777777">
        <w:tc>
          <w:tcPr>
            <w:tcW w:w="1868" w:type="dxa"/>
          </w:tcPr>
          <w:p w14:paraId="232CE1E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Крейсерская дальность, км</w:t>
            </w:r>
          </w:p>
        </w:tc>
        <w:tc>
          <w:tcPr>
            <w:tcW w:w="1868" w:type="dxa"/>
          </w:tcPr>
          <w:p w14:paraId="0BE4030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w:t>
            </w:r>
          </w:p>
        </w:tc>
        <w:tc>
          <w:tcPr>
            <w:tcW w:w="1868" w:type="dxa"/>
          </w:tcPr>
          <w:p w14:paraId="455544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910</w:t>
            </w:r>
          </w:p>
        </w:tc>
        <w:tc>
          <w:tcPr>
            <w:tcW w:w="1868" w:type="dxa"/>
          </w:tcPr>
          <w:p w14:paraId="7322F0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1900</w:t>
            </w:r>
          </w:p>
        </w:tc>
        <w:tc>
          <w:tcPr>
            <w:tcW w:w="1868" w:type="dxa"/>
          </w:tcPr>
          <w:p w14:paraId="1E6551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1280</w:t>
            </w:r>
          </w:p>
        </w:tc>
        <w:tc>
          <w:tcPr>
            <w:tcW w:w="1868" w:type="dxa"/>
          </w:tcPr>
          <w:p w14:paraId="2FF87E0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w:t>
            </w:r>
          </w:p>
        </w:tc>
      </w:tr>
      <w:tr w:rsidR="006F4095" w:rsidRPr="008127F8" w14:paraId="72D847DE" w14:textId="77777777">
        <w:tc>
          <w:tcPr>
            <w:tcW w:w="1868" w:type="dxa"/>
          </w:tcPr>
          <w:p w14:paraId="7917A2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бомбовой нагрузкой, кг</w:t>
            </w:r>
          </w:p>
        </w:tc>
        <w:tc>
          <w:tcPr>
            <w:tcW w:w="1868" w:type="dxa"/>
          </w:tcPr>
          <w:p w14:paraId="1ABA48E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868" w:type="dxa"/>
          </w:tcPr>
          <w:p w14:paraId="778B93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868" w:type="dxa"/>
          </w:tcPr>
          <w:p w14:paraId="4099BC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868" w:type="dxa"/>
          </w:tcPr>
          <w:p w14:paraId="64EFB8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868" w:type="dxa"/>
          </w:tcPr>
          <w:p w14:paraId="5B8E08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29880A73" w14:textId="77777777">
        <w:tc>
          <w:tcPr>
            <w:tcW w:w="1868" w:type="dxa"/>
          </w:tcPr>
          <w:p w14:paraId="6E4A0B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 мм</w:t>
            </w:r>
          </w:p>
        </w:tc>
        <w:tc>
          <w:tcPr>
            <w:tcW w:w="1868" w:type="dxa"/>
          </w:tcPr>
          <w:p w14:paraId="29B0D6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5x7,62</w:t>
            </w:r>
          </w:p>
        </w:tc>
        <w:tc>
          <w:tcPr>
            <w:tcW w:w="1868" w:type="dxa"/>
          </w:tcPr>
          <w:p w14:paraId="003431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6x7,62</w:t>
            </w:r>
          </w:p>
        </w:tc>
        <w:tc>
          <w:tcPr>
            <w:tcW w:w="1868" w:type="dxa"/>
          </w:tcPr>
          <w:p w14:paraId="6D4D7F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4x7,62</w:t>
            </w:r>
          </w:p>
        </w:tc>
        <w:tc>
          <w:tcPr>
            <w:tcW w:w="1868" w:type="dxa"/>
          </w:tcPr>
          <w:p w14:paraId="51241A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2x7,62 2x12,7</w:t>
            </w:r>
          </w:p>
        </w:tc>
        <w:tc>
          <w:tcPr>
            <w:tcW w:w="1868" w:type="dxa"/>
          </w:tcPr>
          <w:p w14:paraId="7110B8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2x7,62 2x12,7</w:t>
            </w:r>
          </w:p>
        </w:tc>
      </w:tr>
      <w:tr w:rsidR="006F4095" w:rsidRPr="008127F8" w14:paraId="6A2599E7" w14:textId="77777777">
        <w:tc>
          <w:tcPr>
            <w:tcW w:w="1868" w:type="dxa"/>
            <w:tcBorders>
              <w:bottom w:val="single" w:sz="12" w:space="0" w:color="auto"/>
            </w:tcBorders>
          </w:tcPr>
          <w:p w14:paraId="6305B15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чел.</w:t>
            </w:r>
          </w:p>
        </w:tc>
        <w:tc>
          <w:tcPr>
            <w:tcW w:w="1868" w:type="dxa"/>
            <w:tcBorders>
              <w:bottom w:val="single" w:sz="12" w:space="0" w:color="auto"/>
            </w:tcBorders>
          </w:tcPr>
          <w:p w14:paraId="6C7084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868" w:type="dxa"/>
            <w:tcBorders>
              <w:bottom w:val="single" w:sz="12" w:space="0" w:color="auto"/>
            </w:tcBorders>
          </w:tcPr>
          <w:p w14:paraId="33A89F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868" w:type="dxa"/>
            <w:tcBorders>
              <w:bottom w:val="single" w:sz="12" w:space="0" w:color="auto"/>
            </w:tcBorders>
          </w:tcPr>
          <w:p w14:paraId="66ECF0B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Borders>
              <w:bottom w:val="single" w:sz="12" w:space="0" w:color="auto"/>
            </w:tcBorders>
          </w:tcPr>
          <w:p w14:paraId="2ADBFD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Borders>
              <w:bottom w:val="single" w:sz="12" w:space="0" w:color="auto"/>
            </w:tcBorders>
          </w:tcPr>
          <w:p w14:paraId="549B70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r>
    </w:tbl>
    <w:p w14:paraId="3F8E1932" w14:textId="77777777" w:rsidR="00D4651C" w:rsidRPr="008127F8" w:rsidRDefault="00D4651C"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(12028)</w:t>
      </w:r>
      <w:r w:rsidRPr="008127F8">
        <w:rPr>
          <w:rFonts w:ascii="Times New Roman" w:hAnsi="Times New Roman"/>
          <w:color w:val="000000" w:themeColor="text1"/>
          <w:sz w:val="16"/>
          <w:szCs w:val="16"/>
        </w:rPr>
        <w:t>.</w:t>
      </w:r>
    </w:p>
    <w:p w14:paraId="49696AA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Летно-тактические данные опытных и серийных самолетов Су-2 (СЗ-2, "Иванов", ББ-1) по материалам испытаний в НИИ ВВС 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6F4095" w:rsidRPr="008127F8" w14:paraId="51D885E7" w14:textId="77777777">
        <w:tc>
          <w:tcPr>
            <w:tcW w:w="1245" w:type="dxa"/>
            <w:tcBorders>
              <w:top w:val="single" w:sz="12" w:space="0" w:color="auto"/>
            </w:tcBorders>
          </w:tcPr>
          <w:p w14:paraId="6C2E75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Характеристики</w:t>
            </w:r>
          </w:p>
        </w:tc>
        <w:tc>
          <w:tcPr>
            <w:tcW w:w="1245" w:type="dxa"/>
            <w:tcBorders>
              <w:top w:val="single" w:sz="12" w:space="0" w:color="auto"/>
            </w:tcBorders>
          </w:tcPr>
          <w:p w14:paraId="4D4D0D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СЗ-2 М-62</w:t>
            </w:r>
          </w:p>
        </w:tc>
        <w:tc>
          <w:tcPr>
            <w:tcW w:w="1245" w:type="dxa"/>
            <w:tcBorders>
              <w:top w:val="single" w:sz="12" w:space="0" w:color="auto"/>
            </w:tcBorders>
          </w:tcPr>
          <w:p w14:paraId="1FFA6E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"Иванов" М-87А</w:t>
            </w:r>
          </w:p>
        </w:tc>
        <w:tc>
          <w:tcPr>
            <w:tcW w:w="1245" w:type="dxa"/>
            <w:tcBorders>
              <w:top w:val="single" w:sz="12" w:space="0" w:color="auto"/>
            </w:tcBorders>
          </w:tcPr>
          <w:p w14:paraId="656D5E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ББ-1 М-88</w:t>
            </w:r>
          </w:p>
        </w:tc>
        <w:tc>
          <w:tcPr>
            <w:tcW w:w="1245" w:type="dxa"/>
            <w:tcBorders>
              <w:top w:val="single" w:sz="12" w:space="0" w:color="auto"/>
            </w:tcBorders>
          </w:tcPr>
          <w:p w14:paraId="2FDB54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М-88Б №16/2 и 20/2</w:t>
            </w:r>
          </w:p>
        </w:tc>
        <w:tc>
          <w:tcPr>
            <w:tcW w:w="1245" w:type="dxa"/>
            <w:tcBorders>
              <w:top w:val="single" w:sz="12" w:space="0" w:color="auto"/>
            </w:tcBorders>
          </w:tcPr>
          <w:p w14:paraId="0C49D8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М-88Б модиф. №1/6</w:t>
            </w:r>
          </w:p>
        </w:tc>
        <w:tc>
          <w:tcPr>
            <w:tcW w:w="1245" w:type="dxa"/>
            <w:tcBorders>
              <w:top w:val="single" w:sz="12" w:space="0" w:color="auto"/>
            </w:tcBorders>
          </w:tcPr>
          <w:p w14:paraId="08152B9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М-88Б №070Т29</w:t>
            </w:r>
          </w:p>
        </w:tc>
        <w:tc>
          <w:tcPr>
            <w:tcW w:w="1245" w:type="dxa"/>
            <w:tcBorders>
              <w:top w:val="single" w:sz="12" w:space="0" w:color="auto"/>
            </w:tcBorders>
          </w:tcPr>
          <w:p w14:paraId="2F36DC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М-82 №15116 на лыжах</w:t>
            </w:r>
          </w:p>
        </w:tc>
        <w:tc>
          <w:tcPr>
            <w:tcW w:w="1245" w:type="dxa"/>
            <w:tcBorders>
              <w:top w:val="single" w:sz="12" w:space="0" w:color="auto"/>
            </w:tcBorders>
          </w:tcPr>
          <w:p w14:paraId="66A7E3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М-82 №15116 на колесах</w:t>
            </w:r>
          </w:p>
        </w:tc>
      </w:tr>
      <w:tr w:rsidR="006F4095" w:rsidRPr="008127F8" w14:paraId="7E06DB30" w14:textId="77777777">
        <w:tc>
          <w:tcPr>
            <w:tcW w:w="1245" w:type="dxa"/>
          </w:tcPr>
          <w:p w14:paraId="7A95CA4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л.с. на второй границе высотности, м</w:t>
            </w:r>
          </w:p>
        </w:tc>
        <w:tc>
          <w:tcPr>
            <w:tcW w:w="1245" w:type="dxa"/>
          </w:tcPr>
          <w:p w14:paraId="5F7D09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820/4200</w:t>
            </w:r>
          </w:p>
        </w:tc>
        <w:tc>
          <w:tcPr>
            <w:tcW w:w="1245" w:type="dxa"/>
          </w:tcPr>
          <w:p w14:paraId="5AE4AD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950/4700</w:t>
            </w:r>
          </w:p>
        </w:tc>
        <w:tc>
          <w:tcPr>
            <w:tcW w:w="1245" w:type="dxa"/>
          </w:tcPr>
          <w:p w14:paraId="11D3BB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1000/6000</w:t>
            </w:r>
          </w:p>
        </w:tc>
        <w:tc>
          <w:tcPr>
            <w:tcW w:w="1245" w:type="dxa"/>
          </w:tcPr>
          <w:p w14:paraId="02C0EA3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1000/6000</w:t>
            </w:r>
          </w:p>
        </w:tc>
        <w:tc>
          <w:tcPr>
            <w:tcW w:w="1245" w:type="dxa"/>
          </w:tcPr>
          <w:p w14:paraId="3DE7232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1000/6000</w:t>
            </w:r>
          </w:p>
        </w:tc>
        <w:tc>
          <w:tcPr>
            <w:tcW w:w="1245" w:type="dxa"/>
          </w:tcPr>
          <w:p w14:paraId="673BF5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1000/6000</w:t>
            </w:r>
          </w:p>
        </w:tc>
        <w:tc>
          <w:tcPr>
            <w:tcW w:w="1245" w:type="dxa"/>
          </w:tcPr>
          <w:p w14:paraId="0233A29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1330/5400</w:t>
            </w:r>
          </w:p>
        </w:tc>
        <w:tc>
          <w:tcPr>
            <w:tcW w:w="1245" w:type="dxa"/>
          </w:tcPr>
          <w:p w14:paraId="11F1A2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1330/5400</w:t>
            </w:r>
          </w:p>
        </w:tc>
      </w:tr>
      <w:tr w:rsidR="006F4095" w:rsidRPr="008127F8" w14:paraId="6883735F" w14:textId="77777777">
        <w:tc>
          <w:tcPr>
            <w:tcW w:w="1245" w:type="dxa"/>
          </w:tcPr>
          <w:p w14:paraId="6813CD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пустой, кг</w:t>
            </w:r>
          </w:p>
        </w:tc>
        <w:tc>
          <w:tcPr>
            <w:tcW w:w="1245" w:type="dxa"/>
          </w:tcPr>
          <w:p w14:paraId="5ABACF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2604</w:t>
            </w:r>
          </w:p>
        </w:tc>
        <w:tc>
          <w:tcPr>
            <w:tcW w:w="1245" w:type="dxa"/>
          </w:tcPr>
          <w:p w14:paraId="4BB112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2850</w:t>
            </w:r>
          </w:p>
        </w:tc>
        <w:tc>
          <w:tcPr>
            <w:tcW w:w="1245" w:type="dxa"/>
          </w:tcPr>
          <w:p w14:paraId="632FCB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2875</w:t>
            </w:r>
          </w:p>
        </w:tc>
        <w:tc>
          <w:tcPr>
            <w:tcW w:w="1245" w:type="dxa"/>
          </w:tcPr>
          <w:p w14:paraId="3B91E5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2970</w:t>
            </w:r>
          </w:p>
        </w:tc>
        <w:tc>
          <w:tcPr>
            <w:tcW w:w="1245" w:type="dxa"/>
          </w:tcPr>
          <w:p w14:paraId="671F02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2954</w:t>
            </w:r>
          </w:p>
        </w:tc>
        <w:tc>
          <w:tcPr>
            <w:tcW w:w="1245" w:type="dxa"/>
          </w:tcPr>
          <w:p w14:paraId="2BA7F5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2995</w:t>
            </w:r>
          </w:p>
        </w:tc>
        <w:tc>
          <w:tcPr>
            <w:tcW w:w="1245" w:type="dxa"/>
          </w:tcPr>
          <w:p w14:paraId="657F2B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3273</w:t>
            </w:r>
          </w:p>
        </w:tc>
        <w:tc>
          <w:tcPr>
            <w:tcW w:w="1245" w:type="dxa"/>
          </w:tcPr>
          <w:p w14:paraId="5AC5921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3220</w:t>
            </w:r>
          </w:p>
        </w:tc>
      </w:tr>
      <w:tr w:rsidR="006F4095" w:rsidRPr="008127F8" w14:paraId="2E4BB0EC" w14:textId="77777777">
        <w:tc>
          <w:tcPr>
            <w:tcW w:w="1245" w:type="dxa"/>
          </w:tcPr>
          <w:p w14:paraId="15EDE1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1245" w:type="dxa"/>
          </w:tcPr>
          <w:p w14:paraId="61F56F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3670</w:t>
            </w:r>
          </w:p>
        </w:tc>
        <w:tc>
          <w:tcPr>
            <w:tcW w:w="1245" w:type="dxa"/>
          </w:tcPr>
          <w:p w14:paraId="1FD65E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4030</w:t>
            </w:r>
          </w:p>
        </w:tc>
        <w:tc>
          <w:tcPr>
            <w:tcW w:w="1245" w:type="dxa"/>
          </w:tcPr>
          <w:p w14:paraId="7DECB9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4121</w:t>
            </w:r>
          </w:p>
        </w:tc>
        <w:tc>
          <w:tcPr>
            <w:tcW w:w="1245" w:type="dxa"/>
          </w:tcPr>
          <w:p w14:paraId="7DA52F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4345</w:t>
            </w:r>
          </w:p>
        </w:tc>
        <w:tc>
          <w:tcPr>
            <w:tcW w:w="1245" w:type="dxa"/>
          </w:tcPr>
          <w:p w14:paraId="4510DE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4310</w:t>
            </w:r>
          </w:p>
        </w:tc>
        <w:tc>
          <w:tcPr>
            <w:tcW w:w="1245" w:type="dxa"/>
          </w:tcPr>
          <w:p w14:paraId="33478E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4335</w:t>
            </w:r>
          </w:p>
        </w:tc>
        <w:tc>
          <w:tcPr>
            <w:tcW w:w="1245" w:type="dxa"/>
          </w:tcPr>
          <w:p w14:paraId="5B427C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4700</w:t>
            </w:r>
          </w:p>
        </w:tc>
        <w:tc>
          <w:tcPr>
            <w:tcW w:w="1245" w:type="dxa"/>
          </w:tcPr>
          <w:p w14:paraId="20A67E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4700</w:t>
            </w:r>
          </w:p>
        </w:tc>
      </w:tr>
      <w:tr w:rsidR="006F4095" w:rsidRPr="008127F8" w14:paraId="7FFA782C" w14:textId="77777777">
        <w:tc>
          <w:tcPr>
            <w:tcW w:w="1245" w:type="dxa"/>
          </w:tcPr>
          <w:p w14:paraId="28CF2B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км/ч</w:t>
            </w:r>
          </w:p>
        </w:tc>
        <w:tc>
          <w:tcPr>
            <w:tcW w:w="1245" w:type="dxa"/>
          </w:tcPr>
          <w:p w14:paraId="2EC37D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c>
          <w:tcPr>
            <w:tcW w:w="1245" w:type="dxa"/>
          </w:tcPr>
          <w:p w14:paraId="1CACA8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w:t>
            </w:r>
          </w:p>
        </w:tc>
        <w:tc>
          <w:tcPr>
            <w:tcW w:w="1245" w:type="dxa"/>
          </w:tcPr>
          <w:p w14:paraId="26CD24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w:t>
            </w:r>
          </w:p>
        </w:tc>
        <w:tc>
          <w:tcPr>
            <w:tcW w:w="1245" w:type="dxa"/>
          </w:tcPr>
          <w:p w14:paraId="26EB81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w:t>
            </w:r>
          </w:p>
        </w:tc>
        <w:tc>
          <w:tcPr>
            <w:tcW w:w="1245" w:type="dxa"/>
          </w:tcPr>
          <w:p w14:paraId="33E3233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w:t>
            </w:r>
          </w:p>
        </w:tc>
        <w:tc>
          <w:tcPr>
            <w:tcW w:w="1245" w:type="dxa"/>
          </w:tcPr>
          <w:p w14:paraId="2BCB5D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w:t>
            </w:r>
          </w:p>
        </w:tc>
        <w:tc>
          <w:tcPr>
            <w:tcW w:w="1245" w:type="dxa"/>
          </w:tcPr>
          <w:p w14:paraId="33D3E9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413</w:t>
            </w:r>
          </w:p>
        </w:tc>
        <w:tc>
          <w:tcPr>
            <w:tcW w:w="1245" w:type="dxa"/>
          </w:tcPr>
          <w:p w14:paraId="63B05D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w:t>
            </w:r>
          </w:p>
        </w:tc>
      </w:tr>
      <w:tr w:rsidR="006F4095" w:rsidRPr="008127F8" w14:paraId="2D267918" w14:textId="77777777">
        <w:tc>
          <w:tcPr>
            <w:tcW w:w="1245" w:type="dxa"/>
          </w:tcPr>
          <w:p w14:paraId="46E123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км/ч на второй границе высотности, м</w:t>
            </w:r>
          </w:p>
        </w:tc>
        <w:tc>
          <w:tcPr>
            <w:tcW w:w="1245" w:type="dxa"/>
          </w:tcPr>
          <w:p w14:paraId="4619C9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403 4700</w:t>
            </w:r>
          </w:p>
        </w:tc>
        <w:tc>
          <w:tcPr>
            <w:tcW w:w="1245" w:type="dxa"/>
          </w:tcPr>
          <w:p w14:paraId="664761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468 5200</w:t>
            </w:r>
          </w:p>
        </w:tc>
        <w:tc>
          <w:tcPr>
            <w:tcW w:w="1245" w:type="dxa"/>
          </w:tcPr>
          <w:p w14:paraId="5B61D3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467 6600</w:t>
            </w:r>
          </w:p>
        </w:tc>
        <w:tc>
          <w:tcPr>
            <w:tcW w:w="1245" w:type="dxa"/>
          </w:tcPr>
          <w:p w14:paraId="530D41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460 6500</w:t>
            </w:r>
          </w:p>
        </w:tc>
        <w:tc>
          <w:tcPr>
            <w:tcW w:w="1245" w:type="dxa"/>
          </w:tcPr>
          <w:p w14:paraId="3E913A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512 7100</w:t>
            </w:r>
          </w:p>
        </w:tc>
        <w:tc>
          <w:tcPr>
            <w:tcW w:w="1245" w:type="dxa"/>
          </w:tcPr>
          <w:p w14:paraId="648665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455 6700</w:t>
            </w:r>
          </w:p>
        </w:tc>
        <w:tc>
          <w:tcPr>
            <w:tcW w:w="1245" w:type="dxa"/>
          </w:tcPr>
          <w:p w14:paraId="12F3DC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477 5850</w:t>
            </w:r>
          </w:p>
        </w:tc>
        <w:tc>
          <w:tcPr>
            <w:tcW w:w="1245" w:type="dxa"/>
          </w:tcPr>
          <w:p w14:paraId="3061A5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486 5850</w:t>
            </w:r>
          </w:p>
        </w:tc>
      </w:tr>
      <w:tr w:rsidR="006F4095" w:rsidRPr="008127F8" w14:paraId="4D2D0168" w14:textId="77777777">
        <w:tc>
          <w:tcPr>
            <w:tcW w:w="1245" w:type="dxa"/>
          </w:tcPr>
          <w:p w14:paraId="38004F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5000 м, мин</w:t>
            </w:r>
          </w:p>
        </w:tc>
        <w:tc>
          <w:tcPr>
            <w:tcW w:w="1245" w:type="dxa"/>
          </w:tcPr>
          <w:p w14:paraId="7F0833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245" w:type="dxa"/>
          </w:tcPr>
          <w:p w14:paraId="78A723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w:t>
            </w:r>
          </w:p>
        </w:tc>
        <w:tc>
          <w:tcPr>
            <w:tcW w:w="1245" w:type="dxa"/>
          </w:tcPr>
          <w:p w14:paraId="3F0D49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w:t>
            </w:r>
          </w:p>
        </w:tc>
        <w:tc>
          <w:tcPr>
            <w:tcW w:w="1245" w:type="dxa"/>
          </w:tcPr>
          <w:p w14:paraId="7BD022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1245" w:type="dxa"/>
          </w:tcPr>
          <w:p w14:paraId="7AB638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w:t>
            </w:r>
          </w:p>
        </w:tc>
        <w:tc>
          <w:tcPr>
            <w:tcW w:w="1245" w:type="dxa"/>
          </w:tcPr>
          <w:p w14:paraId="3BA2EF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1245" w:type="dxa"/>
          </w:tcPr>
          <w:p w14:paraId="74B7C51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1245" w:type="dxa"/>
          </w:tcPr>
          <w:p w14:paraId="4911DB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r>
      <w:tr w:rsidR="006F4095" w:rsidRPr="008127F8" w14:paraId="4A8180FC" w14:textId="77777777">
        <w:tc>
          <w:tcPr>
            <w:tcW w:w="1245" w:type="dxa"/>
          </w:tcPr>
          <w:p w14:paraId="529BD5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 м</w:t>
            </w:r>
          </w:p>
        </w:tc>
        <w:tc>
          <w:tcPr>
            <w:tcW w:w="1245" w:type="dxa"/>
          </w:tcPr>
          <w:p w14:paraId="3F50529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7440</w:t>
            </w:r>
          </w:p>
        </w:tc>
        <w:tc>
          <w:tcPr>
            <w:tcW w:w="1245" w:type="dxa"/>
          </w:tcPr>
          <w:p w14:paraId="077C2A2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245" w:type="dxa"/>
          </w:tcPr>
          <w:p w14:paraId="41697A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8900</w:t>
            </w:r>
          </w:p>
        </w:tc>
        <w:tc>
          <w:tcPr>
            <w:tcW w:w="1245" w:type="dxa"/>
          </w:tcPr>
          <w:p w14:paraId="067B14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8900</w:t>
            </w:r>
          </w:p>
        </w:tc>
        <w:tc>
          <w:tcPr>
            <w:tcW w:w="1245" w:type="dxa"/>
          </w:tcPr>
          <w:p w14:paraId="3ADF36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9120</w:t>
            </w:r>
          </w:p>
        </w:tc>
        <w:tc>
          <w:tcPr>
            <w:tcW w:w="1245" w:type="dxa"/>
          </w:tcPr>
          <w:p w14:paraId="203885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8500</w:t>
            </w:r>
          </w:p>
        </w:tc>
        <w:tc>
          <w:tcPr>
            <w:tcW w:w="1245" w:type="dxa"/>
          </w:tcPr>
          <w:p w14:paraId="3367B5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8400</w:t>
            </w:r>
          </w:p>
        </w:tc>
        <w:tc>
          <w:tcPr>
            <w:tcW w:w="1245" w:type="dxa"/>
          </w:tcPr>
          <w:p w14:paraId="2CAED7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8400</w:t>
            </w:r>
          </w:p>
        </w:tc>
      </w:tr>
      <w:tr w:rsidR="006F4095" w:rsidRPr="008127F8" w14:paraId="6D6FAA50" w14:textId="77777777">
        <w:tc>
          <w:tcPr>
            <w:tcW w:w="1245" w:type="dxa"/>
          </w:tcPr>
          <w:p w14:paraId="653E20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Крейсерская дальность, км</w:t>
            </w:r>
          </w:p>
        </w:tc>
        <w:tc>
          <w:tcPr>
            <w:tcW w:w="1245" w:type="dxa"/>
          </w:tcPr>
          <w:p w14:paraId="1B7B8A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c>
          <w:tcPr>
            <w:tcW w:w="1245" w:type="dxa"/>
          </w:tcPr>
          <w:p w14:paraId="6D8953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245" w:type="dxa"/>
          </w:tcPr>
          <w:p w14:paraId="485C3F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1602FD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w:t>
            </w:r>
          </w:p>
        </w:tc>
        <w:tc>
          <w:tcPr>
            <w:tcW w:w="1245" w:type="dxa"/>
          </w:tcPr>
          <w:p w14:paraId="0BB8805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1128</w:t>
            </w:r>
          </w:p>
        </w:tc>
        <w:tc>
          <w:tcPr>
            <w:tcW w:w="1245" w:type="dxa"/>
          </w:tcPr>
          <w:p w14:paraId="401F87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14A7D9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830</w:t>
            </w:r>
          </w:p>
        </w:tc>
        <w:tc>
          <w:tcPr>
            <w:tcW w:w="1245" w:type="dxa"/>
          </w:tcPr>
          <w:p w14:paraId="064703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910</w:t>
            </w:r>
          </w:p>
        </w:tc>
      </w:tr>
      <w:tr w:rsidR="006F4095" w:rsidRPr="008127F8" w14:paraId="3D0C365B" w14:textId="77777777">
        <w:tc>
          <w:tcPr>
            <w:tcW w:w="1245" w:type="dxa"/>
          </w:tcPr>
          <w:p w14:paraId="6FE5B6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 бомбовая нагрузка, кг</w:t>
            </w:r>
          </w:p>
        </w:tc>
        <w:tc>
          <w:tcPr>
            <w:tcW w:w="1245" w:type="dxa"/>
          </w:tcPr>
          <w:p w14:paraId="5AA573E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245" w:type="dxa"/>
          </w:tcPr>
          <w:p w14:paraId="185D797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245" w:type="dxa"/>
          </w:tcPr>
          <w:p w14:paraId="55094A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45" w:type="dxa"/>
          </w:tcPr>
          <w:p w14:paraId="608E51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45" w:type="dxa"/>
          </w:tcPr>
          <w:p w14:paraId="4EEBD9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45" w:type="dxa"/>
          </w:tcPr>
          <w:p w14:paraId="48F0FE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45" w:type="dxa"/>
          </w:tcPr>
          <w:p w14:paraId="606E35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45" w:type="dxa"/>
          </w:tcPr>
          <w:p w14:paraId="7F0D51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7345E418" w14:textId="77777777">
        <w:tc>
          <w:tcPr>
            <w:tcW w:w="1245" w:type="dxa"/>
          </w:tcPr>
          <w:p w14:paraId="188E0B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Неподвижное стрелковое вооружение (111 КАС 7,62 мм)</w:t>
            </w:r>
          </w:p>
        </w:tc>
        <w:tc>
          <w:tcPr>
            <w:tcW w:w="1245" w:type="dxa"/>
          </w:tcPr>
          <w:p w14:paraId="1C54D6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45" w:type="dxa"/>
          </w:tcPr>
          <w:p w14:paraId="7DA7703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45" w:type="dxa"/>
          </w:tcPr>
          <w:p w14:paraId="1B8847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45" w:type="dxa"/>
          </w:tcPr>
          <w:p w14:paraId="563BD1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45" w:type="dxa"/>
          </w:tcPr>
          <w:p w14:paraId="4FE967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Pr>
          <w:p w14:paraId="483068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Pr>
          <w:p w14:paraId="0428DC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45" w:type="dxa"/>
          </w:tcPr>
          <w:p w14:paraId="2E9709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6F4095" w:rsidRPr="008127F8" w14:paraId="2CDC65FA" w14:textId="77777777">
        <w:tc>
          <w:tcPr>
            <w:tcW w:w="1245" w:type="dxa"/>
          </w:tcPr>
          <w:p w14:paraId="5B4C53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патронов к ним, шт.</w:t>
            </w:r>
          </w:p>
        </w:tc>
        <w:tc>
          <w:tcPr>
            <w:tcW w:w="1245" w:type="dxa"/>
          </w:tcPr>
          <w:p w14:paraId="1A3B56A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1245" w:type="dxa"/>
          </w:tcPr>
          <w:p w14:paraId="717906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w:t>
            </w:r>
          </w:p>
        </w:tc>
        <w:tc>
          <w:tcPr>
            <w:tcW w:w="1245" w:type="dxa"/>
          </w:tcPr>
          <w:p w14:paraId="4AFD826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w:t>
            </w:r>
          </w:p>
        </w:tc>
        <w:tc>
          <w:tcPr>
            <w:tcW w:w="1245" w:type="dxa"/>
          </w:tcPr>
          <w:p w14:paraId="7A7F82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w:t>
            </w:r>
          </w:p>
        </w:tc>
        <w:tc>
          <w:tcPr>
            <w:tcW w:w="1245" w:type="dxa"/>
          </w:tcPr>
          <w:p w14:paraId="08BA87F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c>
          <w:tcPr>
            <w:tcW w:w="1245" w:type="dxa"/>
          </w:tcPr>
          <w:p w14:paraId="76FF64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245" w:type="dxa"/>
          </w:tcPr>
          <w:p w14:paraId="3EC524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w:t>
            </w:r>
          </w:p>
        </w:tc>
        <w:tc>
          <w:tcPr>
            <w:tcW w:w="1245" w:type="dxa"/>
          </w:tcPr>
          <w:p w14:paraId="2C17EC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w:t>
            </w:r>
          </w:p>
        </w:tc>
      </w:tr>
      <w:tr w:rsidR="006F4095" w:rsidRPr="008127F8" w14:paraId="222112B9" w14:textId="77777777">
        <w:tc>
          <w:tcPr>
            <w:tcW w:w="1245" w:type="dxa"/>
          </w:tcPr>
          <w:p w14:paraId="1E40EAB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Подвижное стрелковое вооружение (ШКАС 7,62 мм)</w:t>
            </w:r>
          </w:p>
        </w:tc>
        <w:tc>
          <w:tcPr>
            <w:tcW w:w="1245" w:type="dxa"/>
          </w:tcPr>
          <w:p w14:paraId="3B79E9A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Pr>
          <w:p w14:paraId="4F050D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Pr>
          <w:p w14:paraId="0FD16D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45" w:type="dxa"/>
          </w:tcPr>
          <w:p w14:paraId="707039C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45" w:type="dxa"/>
          </w:tcPr>
          <w:p w14:paraId="1C64A11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45" w:type="dxa"/>
          </w:tcPr>
          <w:p w14:paraId="5B84D2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45" w:type="dxa"/>
          </w:tcPr>
          <w:p w14:paraId="118BC4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Pr>
          <w:p w14:paraId="3A09B9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18B4ECFB" w14:textId="77777777">
        <w:tc>
          <w:tcPr>
            <w:tcW w:w="1245" w:type="dxa"/>
          </w:tcPr>
          <w:p w14:paraId="69D800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патронов к ним, шт.</w:t>
            </w:r>
          </w:p>
        </w:tc>
        <w:tc>
          <w:tcPr>
            <w:tcW w:w="1245" w:type="dxa"/>
          </w:tcPr>
          <w:p w14:paraId="1E8F58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245" w:type="dxa"/>
          </w:tcPr>
          <w:p w14:paraId="7C4A61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1245" w:type="dxa"/>
          </w:tcPr>
          <w:p w14:paraId="4C82DEF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1245" w:type="dxa"/>
          </w:tcPr>
          <w:p w14:paraId="53B0CB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1245" w:type="dxa"/>
          </w:tcPr>
          <w:p w14:paraId="40874D0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1245" w:type="dxa"/>
          </w:tcPr>
          <w:p w14:paraId="21A363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1245" w:type="dxa"/>
          </w:tcPr>
          <w:p w14:paraId="141DE0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1245" w:type="dxa"/>
          </w:tcPr>
          <w:p w14:paraId="594A76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r>
      <w:tr w:rsidR="006F4095" w:rsidRPr="008127F8" w14:paraId="730FED46" w14:textId="77777777">
        <w:tc>
          <w:tcPr>
            <w:tcW w:w="1245" w:type="dxa"/>
          </w:tcPr>
          <w:p w14:paraId="6FF416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м</w:t>
            </w:r>
          </w:p>
        </w:tc>
        <w:tc>
          <w:tcPr>
            <w:tcW w:w="1245" w:type="dxa"/>
          </w:tcPr>
          <w:p w14:paraId="020C30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245" w:type="dxa"/>
          </w:tcPr>
          <w:p w14:paraId="28A4085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1245" w:type="dxa"/>
          </w:tcPr>
          <w:p w14:paraId="37E13D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56F818A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425</w:t>
            </w:r>
          </w:p>
        </w:tc>
        <w:tc>
          <w:tcPr>
            <w:tcW w:w="1245" w:type="dxa"/>
          </w:tcPr>
          <w:p w14:paraId="06D63B9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245" w:type="dxa"/>
          </w:tcPr>
          <w:p w14:paraId="63B925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w:t>
            </w:r>
          </w:p>
        </w:tc>
        <w:tc>
          <w:tcPr>
            <w:tcW w:w="1245" w:type="dxa"/>
          </w:tcPr>
          <w:p w14:paraId="50D75C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c>
          <w:tcPr>
            <w:tcW w:w="1245" w:type="dxa"/>
          </w:tcPr>
          <w:p w14:paraId="71054AB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r>
      <w:tr w:rsidR="006F4095" w:rsidRPr="008127F8" w14:paraId="056463E8" w14:textId="77777777">
        <w:tc>
          <w:tcPr>
            <w:tcW w:w="1245" w:type="dxa"/>
          </w:tcPr>
          <w:p w14:paraId="450E89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пробега, м</w:t>
            </w:r>
          </w:p>
        </w:tc>
        <w:tc>
          <w:tcPr>
            <w:tcW w:w="1245" w:type="dxa"/>
          </w:tcPr>
          <w:p w14:paraId="59BBAD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1245" w:type="dxa"/>
          </w:tcPr>
          <w:p w14:paraId="0FF67F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1245" w:type="dxa"/>
          </w:tcPr>
          <w:p w14:paraId="7E7A02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29D0B6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1245" w:type="dxa"/>
          </w:tcPr>
          <w:p w14:paraId="46EB38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425</w:t>
            </w:r>
          </w:p>
        </w:tc>
        <w:tc>
          <w:tcPr>
            <w:tcW w:w="1245" w:type="dxa"/>
          </w:tcPr>
          <w:p w14:paraId="48EF85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w:t>
            </w:r>
          </w:p>
        </w:tc>
        <w:tc>
          <w:tcPr>
            <w:tcW w:w="1245" w:type="dxa"/>
          </w:tcPr>
          <w:p w14:paraId="27EC646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w:t>
            </w:r>
          </w:p>
        </w:tc>
        <w:tc>
          <w:tcPr>
            <w:tcW w:w="1245" w:type="dxa"/>
          </w:tcPr>
          <w:p w14:paraId="32D3E0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r>
      <w:tr w:rsidR="006F4095" w:rsidRPr="008127F8" w14:paraId="6879F158" w14:textId="77777777">
        <w:tc>
          <w:tcPr>
            <w:tcW w:w="1245" w:type="dxa"/>
          </w:tcPr>
          <w:p w14:paraId="775974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 км/ч</w:t>
            </w:r>
          </w:p>
        </w:tc>
        <w:tc>
          <w:tcPr>
            <w:tcW w:w="1245" w:type="dxa"/>
          </w:tcPr>
          <w:p w14:paraId="3DDDEFE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c>
          <w:tcPr>
            <w:tcW w:w="1245" w:type="dxa"/>
          </w:tcPr>
          <w:p w14:paraId="064A6AA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245" w:type="dxa"/>
          </w:tcPr>
          <w:p w14:paraId="6FE995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245" w:type="dxa"/>
          </w:tcPr>
          <w:p w14:paraId="6F10A9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w:t>
            </w:r>
          </w:p>
        </w:tc>
        <w:tc>
          <w:tcPr>
            <w:tcW w:w="1245" w:type="dxa"/>
          </w:tcPr>
          <w:p w14:paraId="6D34EC7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1245" w:type="dxa"/>
          </w:tcPr>
          <w:p w14:paraId="22617C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w:t>
            </w:r>
          </w:p>
        </w:tc>
        <w:tc>
          <w:tcPr>
            <w:tcW w:w="1245" w:type="dxa"/>
          </w:tcPr>
          <w:p w14:paraId="10FA0A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w:t>
            </w:r>
          </w:p>
        </w:tc>
        <w:tc>
          <w:tcPr>
            <w:tcW w:w="1245" w:type="dxa"/>
          </w:tcPr>
          <w:p w14:paraId="638460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w:t>
            </w:r>
          </w:p>
        </w:tc>
      </w:tr>
      <w:tr w:rsidR="006F4095" w:rsidRPr="008127F8" w14:paraId="6EFCE01D" w14:textId="77777777">
        <w:tc>
          <w:tcPr>
            <w:tcW w:w="1245" w:type="dxa"/>
            <w:tcBorders>
              <w:bottom w:val="single" w:sz="12" w:space="0" w:color="auto"/>
            </w:tcBorders>
          </w:tcPr>
          <w:p w14:paraId="292CA6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Окончание испытаний</w:t>
            </w:r>
          </w:p>
        </w:tc>
        <w:tc>
          <w:tcPr>
            <w:tcW w:w="1245" w:type="dxa"/>
            <w:tcBorders>
              <w:bottom w:val="single" w:sz="12" w:space="0" w:color="auto"/>
            </w:tcBorders>
          </w:tcPr>
          <w:p w14:paraId="30EF9A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1938 г.</w:t>
            </w:r>
          </w:p>
        </w:tc>
        <w:tc>
          <w:tcPr>
            <w:tcW w:w="1245" w:type="dxa"/>
            <w:tcBorders>
              <w:bottom w:val="single" w:sz="12" w:space="0" w:color="auto"/>
            </w:tcBorders>
          </w:tcPr>
          <w:p w14:paraId="730193F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1939 г.</w:t>
            </w:r>
          </w:p>
        </w:tc>
        <w:tc>
          <w:tcPr>
            <w:tcW w:w="1245" w:type="dxa"/>
            <w:tcBorders>
              <w:bottom w:val="single" w:sz="12" w:space="0" w:color="auto"/>
            </w:tcBorders>
          </w:tcPr>
          <w:p w14:paraId="1E971F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1940 г.</w:t>
            </w:r>
          </w:p>
        </w:tc>
        <w:tc>
          <w:tcPr>
            <w:tcW w:w="1245" w:type="dxa"/>
            <w:tcBorders>
              <w:bottom w:val="single" w:sz="12" w:space="0" w:color="auto"/>
            </w:tcBorders>
          </w:tcPr>
          <w:p w14:paraId="26952D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1941 г.</w:t>
            </w:r>
          </w:p>
        </w:tc>
        <w:tc>
          <w:tcPr>
            <w:tcW w:w="1245" w:type="dxa"/>
            <w:tcBorders>
              <w:bottom w:val="single" w:sz="12" w:space="0" w:color="auto"/>
            </w:tcBorders>
          </w:tcPr>
          <w:p w14:paraId="43FC0A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1941 г.</w:t>
            </w:r>
          </w:p>
        </w:tc>
        <w:tc>
          <w:tcPr>
            <w:tcW w:w="1245" w:type="dxa"/>
            <w:tcBorders>
              <w:bottom w:val="single" w:sz="12" w:space="0" w:color="auto"/>
            </w:tcBorders>
          </w:tcPr>
          <w:p w14:paraId="37253C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 1941 г.</w:t>
            </w:r>
          </w:p>
        </w:tc>
        <w:tc>
          <w:tcPr>
            <w:tcW w:w="1245" w:type="dxa"/>
            <w:tcBorders>
              <w:bottom w:val="single" w:sz="12" w:space="0" w:color="auto"/>
            </w:tcBorders>
          </w:tcPr>
          <w:p w14:paraId="2A7C36D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1942 г.</w:t>
            </w:r>
          </w:p>
        </w:tc>
        <w:tc>
          <w:tcPr>
            <w:tcW w:w="1245" w:type="dxa"/>
            <w:tcBorders>
              <w:bottom w:val="single" w:sz="12" w:space="0" w:color="auto"/>
            </w:tcBorders>
          </w:tcPr>
          <w:p w14:paraId="7A5020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1942 г.</w:t>
            </w:r>
          </w:p>
        </w:tc>
      </w:tr>
    </w:tbl>
    <w:p w14:paraId="762EA9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Примечания: I) Максимальная скорость на второй границе высотности определена расчетным путем из-за неполадок в работе мотора; измерена скорость 455 км/ч на первой границе высотности 4400 м. 2) Пробег измеряли при сокращенном посадочном весе 4100 кг (12028).</w:t>
      </w:r>
    </w:p>
    <w:p w14:paraId="771C17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 Советского Союза, воевавшие на самолете Су-2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8127F8" w14:paraId="0D116554" w14:textId="77777777">
        <w:tc>
          <w:tcPr>
            <w:tcW w:w="1868" w:type="dxa"/>
            <w:tcBorders>
              <w:top w:val="single" w:sz="12" w:space="0" w:color="auto"/>
            </w:tcBorders>
          </w:tcPr>
          <w:p w14:paraId="0BB6F8F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Borders>
              <w:top w:val="single" w:sz="12" w:space="0" w:color="auto"/>
            </w:tcBorders>
          </w:tcPr>
          <w:p w14:paraId="05799E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Фамилия И.О.</w:t>
            </w:r>
          </w:p>
        </w:tc>
        <w:tc>
          <w:tcPr>
            <w:tcW w:w="1868" w:type="dxa"/>
            <w:tcBorders>
              <w:top w:val="single" w:sz="12" w:space="0" w:color="auto"/>
            </w:tcBorders>
          </w:tcPr>
          <w:p w14:paraId="25D3C9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Звание, где награжден</w:t>
            </w:r>
          </w:p>
        </w:tc>
        <w:tc>
          <w:tcPr>
            <w:tcW w:w="1868" w:type="dxa"/>
            <w:tcBorders>
              <w:top w:val="single" w:sz="12" w:space="0" w:color="auto"/>
            </w:tcBorders>
          </w:tcPr>
          <w:p w14:paraId="48DAFC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w:t>
            </w:r>
          </w:p>
        </w:tc>
        <w:tc>
          <w:tcPr>
            <w:tcW w:w="1868" w:type="dxa"/>
            <w:tcBorders>
              <w:top w:val="single" w:sz="12" w:space="0" w:color="auto"/>
            </w:tcBorders>
          </w:tcPr>
          <w:p w14:paraId="1424ED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Вылетов на Су-2</w:t>
            </w:r>
          </w:p>
        </w:tc>
        <w:tc>
          <w:tcPr>
            <w:tcW w:w="1868" w:type="dxa"/>
            <w:tcBorders>
              <w:top w:val="single" w:sz="12" w:space="0" w:color="auto"/>
            </w:tcBorders>
          </w:tcPr>
          <w:p w14:paraId="67A70255" w14:textId="77777777" w:rsidR="00D4651C" w:rsidRPr="008127F8" w:rsidRDefault="00D4651C" w:rsidP="001E0A84">
            <w:pPr>
              <w:spacing w:after="0" w:line="240" w:lineRule="auto"/>
              <w:jc w:val="both"/>
              <w:rPr>
                <w:rFonts w:ascii="Times New Roman" w:hAnsi="Times New Roman"/>
                <w:color w:val="000000" w:themeColor="text1"/>
                <w:sz w:val="16"/>
                <w:szCs w:val="16"/>
              </w:rPr>
            </w:pPr>
          </w:p>
        </w:tc>
      </w:tr>
      <w:tr w:rsidR="006F4095" w:rsidRPr="008127F8" w14:paraId="3A1B565B" w14:textId="77777777">
        <w:tc>
          <w:tcPr>
            <w:tcW w:w="1868" w:type="dxa"/>
          </w:tcPr>
          <w:p w14:paraId="6F68F0F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868" w:type="dxa"/>
          </w:tcPr>
          <w:p w14:paraId="27F085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Одинцов М.П. "</w:t>
            </w:r>
          </w:p>
        </w:tc>
        <w:tc>
          <w:tcPr>
            <w:tcW w:w="1868" w:type="dxa"/>
          </w:tcPr>
          <w:p w14:paraId="5135B6F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лейтенант, 155-й гв. шап</w:t>
            </w:r>
          </w:p>
        </w:tc>
        <w:tc>
          <w:tcPr>
            <w:tcW w:w="1868" w:type="dxa"/>
          </w:tcPr>
          <w:p w14:paraId="14B8976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27.06.1945</w:t>
            </w:r>
          </w:p>
        </w:tc>
        <w:tc>
          <w:tcPr>
            <w:tcW w:w="1868" w:type="dxa"/>
          </w:tcPr>
          <w:p w14:paraId="0894AE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868" w:type="dxa"/>
          </w:tcPr>
          <w:p w14:paraId="4AFBD4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226-й бап</w:t>
            </w:r>
          </w:p>
        </w:tc>
      </w:tr>
      <w:tr w:rsidR="006F4095" w:rsidRPr="008127F8" w14:paraId="74D23694" w14:textId="77777777">
        <w:tc>
          <w:tcPr>
            <w:tcW w:w="1868" w:type="dxa"/>
          </w:tcPr>
          <w:p w14:paraId="45CCA2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868" w:type="dxa"/>
          </w:tcPr>
          <w:p w14:paraId="5684A5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Сивков Г.Ф. ?&gt;</w:t>
            </w:r>
          </w:p>
        </w:tc>
        <w:tc>
          <w:tcPr>
            <w:tcW w:w="1868" w:type="dxa"/>
          </w:tcPr>
          <w:p w14:paraId="39C4AA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Капитан,210-й шап</w:t>
            </w:r>
          </w:p>
        </w:tc>
        <w:tc>
          <w:tcPr>
            <w:tcW w:w="1868" w:type="dxa"/>
          </w:tcPr>
          <w:p w14:paraId="48E0C0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18.08.1945</w:t>
            </w:r>
          </w:p>
        </w:tc>
        <w:tc>
          <w:tcPr>
            <w:tcW w:w="1868" w:type="dxa"/>
          </w:tcPr>
          <w:p w14:paraId="713A03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1868" w:type="dxa"/>
          </w:tcPr>
          <w:p w14:paraId="59A6F3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210-й бап</w:t>
            </w:r>
          </w:p>
        </w:tc>
      </w:tr>
      <w:tr w:rsidR="006F4095" w:rsidRPr="008127F8" w14:paraId="45324460" w14:textId="77777777">
        <w:tc>
          <w:tcPr>
            <w:tcW w:w="1868" w:type="dxa"/>
          </w:tcPr>
          <w:p w14:paraId="3F84D4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Pr>
          <w:p w14:paraId="65CB0C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Артамонов В.И.</w:t>
            </w:r>
          </w:p>
        </w:tc>
        <w:tc>
          <w:tcPr>
            <w:tcW w:w="1868" w:type="dxa"/>
          </w:tcPr>
          <w:p w14:paraId="39B1E0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Капитан,38-й бап</w:t>
            </w:r>
          </w:p>
        </w:tc>
        <w:tc>
          <w:tcPr>
            <w:tcW w:w="1868" w:type="dxa"/>
          </w:tcPr>
          <w:p w14:paraId="78051D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17.11.1939</w:t>
            </w:r>
          </w:p>
        </w:tc>
        <w:tc>
          <w:tcPr>
            <w:tcW w:w="1868" w:type="dxa"/>
          </w:tcPr>
          <w:p w14:paraId="774B4F6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868" w:type="dxa"/>
          </w:tcPr>
          <w:p w14:paraId="1F31666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288-й бап</w:t>
            </w:r>
          </w:p>
        </w:tc>
      </w:tr>
      <w:tr w:rsidR="006F4095" w:rsidRPr="008127F8" w14:paraId="5F907B32" w14:textId="77777777">
        <w:tc>
          <w:tcPr>
            <w:tcW w:w="1868" w:type="dxa"/>
          </w:tcPr>
          <w:p w14:paraId="3475F1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868" w:type="dxa"/>
          </w:tcPr>
          <w:p w14:paraId="2BB48D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Белоконь К.Ф.</w:t>
            </w:r>
          </w:p>
        </w:tc>
        <w:tc>
          <w:tcPr>
            <w:tcW w:w="1868" w:type="dxa"/>
          </w:tcPr>
          <w:p w14:paraId="489B8C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Капитан,103-й шап</w:t>
            </w:r>
          </w:p>
        </w:tc>
        <w:tc>
          <w:tcPr>
            <w:tcW w:w="1868" w:type="dxa"/>
          </w:tcPr>
          <w:p w14:paraId="127518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26.10.1944</w:t>
            </w:r>
          </w:p>
        </w:tc>
        <w:tc>
          <w:tcPr>
            <w:tcW w:w="1868" w:type="dxa"/>
          </w:tcPr>
          <w:p w14:paraId="313D58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868" w:type="dxa"/>
          </w:tcPr>
          <w:p w14:paraId="198006C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226-й бап</w:t>
            </w:r>
          </w:p>
        </w:tc>
      </w:tr>
      <w:tr w:rsidR="006F4095" w:rsidRPr="008127F8" w14:paraId="5A2074B7" w14:textId="77777777">
        <w:tc>
          <w:tcPr>
            <w:tcW w:w="1868" w:type="dxa"/>
          </w:tcPr>
          <w:p w14:paraId="44D31FE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868" w:type="dxa"/>
          </w:tcPr>
          <w:p w14:paraId="727AD8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Верхоланцев В.А.</w:t>
            </w:r>
          </w:p>
        </w:tc>
        <w:tc>
          <w:tcPr>
            <w:tcW w:w="1868" w:type="dxa"/>
          </w:tcPr>
          <w:p w14:paraId="6DC11D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98-й орап</w:t>
            </w:r>
          </w:p>
        </w:tc>
        <w:tc>
          <w:tcPr>
            <w:tcW w:w="1868" w:type="dxa"/>
          </w:tcPr>
          <w:p w14:paraId="24902A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15.05.1946</w:t>
            </w:r>
          </w:p>
        </w:tc>
        <w:tc>
          <w:tcPr>
            <w:tcW w:w="1868" w:type="dxa"/>
          </w:tcPr>
          <w:p w14:paraId="49A89B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w:t>
            </w:r>
          </w:p>
        </w:tc>
        <w:tc>
          <w:tcPr>
            <w:tcW w:w="1868" w:type="dxa"/>
          </w:tcPr>
          <w:p w14:paraId="64743B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209-й бап, 45-я окаэ</w:t>
            </w:r>
          </w:p>
        </w:tc>
      </w:tr>
      <w:tr w:rsidR="006F4095" w:rsidRPr="008127F8" w14:paraId="6E68699C" w14:textId="77777777">
        <w:tc>
          <w:tcPr>
            <w:tcW w:w="1868" w:type="dxa"/>
          </w:tcPr>
          <w:p w14:paraId="2A2A798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868" w:type="dxa"/>
          </w:tcPr>
          <w:p w14:paraId="3A85233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Говорухин Л.А.</w:t>
            </w:r>
          </w:p>
        </w:tc>
        <w:tc>
          <w:tcPr>
            <w:tcW w:w="1868" w:type="dxa"/>
          </w:tcPr>
          <w:p w14:paraId="20A489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525-й шап</w:t>
            </w:r>
          </w:p>
        </w:tc>
        <w:tc>
          <w:tcPr>
            <w:tcW w:w="1868" w:type="dxa"/>
          </w:tcPr>
          <w:p w14:paraId="632AF8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15.05.1946</w:t>
            </w:r>
          </w:p>
        </w:tc>
        <w:tc>
          <w:tcPr>
            <w:tcW w:w="1868" w:type="dxa"/>
          </w:tcPr>
          <w:p w14:paraId="0286E1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1868" w:type="dxa"/>
          </w:tcPr>
          <w:p w14:paraId="0B87A8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209-й бап</w:t>
            </w:r>
          </w:p>
        </w:tc>
      </w:tr>
      <w:tr w:rsidR="006F4095" w:rsidRPr="008127F8" w14:paraId="4CB457ED" w14:textId="77777777">
        <w:tc>
          <w:tcPr>
            <w:tcW w:w="1868" w:type="dxa"/>
          </w:tcPr>
          <w:p w14:paraId="36A86A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868" w:type="dxa"/>
          </w:tcPr>
          <w:p w14:paraId="760B276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Зеленко Е.И.</w:t>
            </w:r>
          </w:p>
        </w:tc>
        <w:tc>
          <w:tcPr>
            <w:tcW w:w="1868" w:type="dxa"/>
          </w:tcPr>
          <w:p w14:paraId="24F2EE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лейтенант, 135-й бап</w:t>
            </w:r>
          </w:p>
        </w:tc>
        <w:tc>
          <w:tcPr>
            <w:tcW w:w="1868" w:type="dxa"/>
          </w:tcPr>
          <w:p w14:paraId="16A9612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05.05.1990</w:t>
            </w:r>
          </w:p>
        </w:tc>
        <w:tc>
          <w:tcPr>
            <w:tcW w:w="1868" w:type="dxa"/>
          </w:tcPr>
          <w:p w14:paraId="7B01500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868" w:type="dxa"/>
          </w:tcPr>
          <w:p w14:paraId="7C6869E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135-й бап</w:t>
            </w:r>
          </w:p>
        </w:tc>
      </w:tr>
      <w:tr w:rsidR="006F4095" w:rsidRPr="008127F8" w14:paraId="72625196" w14:textId="77777777">
        <w:tc>
          <w:tcPr>
            <w:tcW w:w="1868" w:type="dxa"/>
          </w:tcPr>
          <w:p w14:paraId="3D9E0D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868" w:type="dxa"/>
          </w:tcPr>
          <w:p w14:paraId="736BFDF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Иванов А.А.</w:t>
            </w:r>
          </w:p>
        </w:tc>
        <w:tc>
          <w:tcPr>
            <w:tcW w:w="1868" w:type="dxa"/>
          </w:tcPr>
          <w:p w14:paraId="10F9DF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сержант, 52-й бап</w:t>
            </w:r>
          </w:p>
        </w:tc>
        <w:tc>
          <w:tcPr>
            <w:tcW w:w="1868" w:type="dxa"/>
          </w:tcPr>
          <w:p w14:paraId="5D0B2F1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27.12.1941</w:t>
            </w:r>
          </w:p>
        </w:tc>
        <w:tc>
          <w:tcPr>
            <w:tcW w:w="1868" w:type="dxa"/>
          </w:tcPr>
          <w:p w14:paraId="111B20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868" w:type="dxa"/>
          </w:tcPr>
          <w:p w14:paraId="58ACA5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52-й бап</w:t>
            </w:r>
          </w:p>
        </w:tc>
      </w:tr>
      <w:tr w:rsidR="006F4095" w:rsidRPr="008127F8" w14:paraId="476E7F2E" w14:textId="77777777">
        <w:tc>
          <w:tcPr>
            <w:tcW w:w="1868" w:type="dxa"/>
          </w:tcPr>
          <w:p w14:paraId="40E0E1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868" w:type="dxa"/>
          </w:tcPr>
          <w:p w14:paraId="0E3F73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Карабут И.Л.</w:t>
            </w:r>
          </w:p>
        </w:tc>
        <w:tc>
          <w:tcPr>
            <w:tcW w:w="1868" w:type="dxa"/>
          </w:tcPr>
          <w:p w14:paraId="3348AA4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7-й гв. шап</w:t>
            </w:r>
          </w:p>
        </w:tc>
        <w:tc>
          <w:tcPr>
            <w:tcW w:w="1868" w:type="dxa"/>
          </w:tcPr>
          <w:p w14:paraId="05B82B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04.02.1944</w:t>
            </w:r>
          </w:p>
        </w:tc>
        <w:tc>
          <w:tcPr>
            <w:tcW w:w="1868" w:type="dxa"/>
          </w:tcPr>
          <w:p w14:paraId="057317B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1868" w:type="dxa"/>
          </w:tcPr>
          <w:p w14:paraId="2B611BA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210-й бап</w:t>
            </w:r>
          </w:p>
        </w:tc>
      </w:tr>
      <w:tr w:rsidR="006F4095" w:rsidRPr="008127F8" w14:paraId="52AF01AB" w14:textId="77777777">
        <w:tc>
          <w:tcPr>
            <w:tcW w:w="1868" w:type="dxa"/>
          </w:tcPr>
          <w:p w14:paraId="7511D3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868" w:type="dxa"/>
          </w:tcPr>
          <w:p w14:paraId="47E4887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Кобылянский И.А.</w:t>
            </w:r>
          </w:p>
        </w:tc>
        <w:tc>
          <w:tcPr>
            <w:tcW w:w="1868" w:type="dxa"/>
          </w:tcPr>
          <w:p w14:paraId="2554265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сержант, 289-й бап</w:t>
            </w:r>
          </w:p>
        </w:tc>
        <w:tc>
          <w:tcPr>
            <w:tcW w:w="1868" w:type="dxa"/>
          </w:tcPr>
          <w:p w14:paraId="285044D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27.03.1942</w:t>
            </w:r>
          </w:p>
        </w:tc>
        <w:tc>
          <w:tcPr>
            <w:tcW w:w="1868" w:type="dxa"/>
          </w:tcPr>
          <w:p w14:paraId="2A6D55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139</w:t>
            </w:r>
          </w:p>
        </w:tc>
        <w:tc>
          <w:tcPr>
            <w:tcW w:w="1868" w:type="dxa"/>
          </w:tcPr>
          <w:p w14:paraId="3F7DA8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289-й,209-й бап 1-я гв. каэ</w:t>
            </w:r>
          </w:p>
        </w:tc>
      </w:tr>
      <w:tr w:rsidR="006F4095" w:rsidRPr="008127F8" w14:paraId="1800EB6B" w14:textId="77777777">
        <w:tc>
          <w:tcPr>
            <w:tcW w:w="1868" w:type="dxa"/>
          </w:tcPr>
          <w:p w14:paraId="1EDFD99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868" w:type="dxa"/>
          </w:tcPr>
          <w:p w14:paraId="0CAB088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Кухаре в И.М.</w:t>
            </w:r>
          </w:p>
        </w:tc>
        <w:tc>
          <w:tcPr>
            <w:tcW w:w="1868" w:type="dxa"/>
          </w:tcPr>
          <w:p w14:paraId="18726C3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624-й шап</w:t>
            </w:r>
          </w:p>
        </w:tc>
        <w:tc>
          <w:tcPr>
            <w:tcW w:w="1868" w:type="dxa"/>
          </w:tcPr>
          <w:p w14:paraId="78AD95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27.06.1945</w:t>
            </w:r>
          </w:p>
        </w:tc>
        <w:tc>
          <w:tcPr>
            <w:tcW w:w="1868" w:type="dxa"/>
          </w:tcPr>
          <w:p w14:paraId="364D39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1868" w:type="dxa"/>
          </w:tcPr>
          <w:p w14:paraId="4BA1C49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226-й бап</w:t>
            </w:r>
          </w:p>
        </w:tc>
      </w:tr>
      <w:tr w:rsidR="006F4095" w:rsidRPr="008127F8" w14:paraId="77A6B1F6" w14:textId="77777777">
        <w:tc>
          <w:tcPr>
            <w:tcW w:w="1868" w:type="dxa"/>
          </w:tcPr>
          <w:p w14:paraId="765431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868" w:type="dxa"/>
          </w:tcPr>
          <w:p w14:paraId="170290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Лашин М.А.</w:t>
            </w:r>
          </w:p>
        </w:tc>
        <w:tc>
          <w:tcPr>
            <w:tcW w:w="1868" w:type="dxa"/>
          </w:tcPr>
          <w:p w14:paraId="586CFE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135-й гв. бап</w:t>
            </w:r>
          </w:p>
        </w:tc>
        <w:tc>
          <w:tcPr>
            <w:tcW w:w="1868" w:type="dxa"/>
          </w:tcPr>
          <w:p w14:paraId="685FA8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29.06.1945</w:t>
            </w:r>
          </w:p>
        </w:tc>
        <w:tc>
          <w:tcPr>
            <w:tcW w:w="1868" w:type="dxa"/>
          </w:tcPr>
          <w:p w14:paraId="38DA255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1868" w:type="dxa"/>
          </w:tcPr>
          <w:p w14:paraId="23D684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135-й бап</w:t>
            </w:r>
          </w:p>
        </w:tc>
      </w:tr>
      <w:tr w:rsidR="006F4095" w:rsidRPr="008127F8" w14:paraId="51BF3D5D" w14:textId="77777777">
        <w:tc>
          <w:tcPr>
            <w:tcW w:w="1868" w:type="dxa"/>
          </w:tcPr>
          <w:p w14:paraId="51062DC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868" w:type="dxa"/>
          </w:tcPr>
          <w:p w14:paraId="75178F4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Мартыненко И.Н.</w:t>
            </w:r>
          </w:p>
        </w:tc>
        <w:tc>
          <w:tcPr>
            <w:tcW w:w="1868" w:type="dxa"/>
          </w:tcPr>
          <w:p w14:paraId="23E14C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187-й окрап</w:t>
            </w:r>
          </w:p>
        </w:tc>
        <w:tc>
          <w:tcPr>
            <w:tcW w:w="1868" w:type="dxa"/>
          </w:tcPr>
          <w:p w14:paraId="15426D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24.03.1945</w:t>
            </w:r>
          </w:p>
        </w:tc>
        <w:tc>
          <w:tcPr>
            <w:tcW w:w="1868" w:type="dxa"/>
          </w:tcPr>
          <w:p w14:paraId="30605AE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w:t>
            </w:r>
          </w:p>
        </w:tc>
        <w:tc>
          <w:tcPr>
            <w:tcW w:w="1868" w:type="dxa"/>
          </w:tcPr>
          <w:p w14:paraId="7B8C55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52-й бап</w:t>
            </w:r>
          </w:p>
        </w:tc>
      </w:tr>
      <w:tr w:rsidR="006F4095" w:rsidRPr="008127F8" w14:paraId="2B84BCF6" w14:textId="77777777">
        <w:tc>
          <w:tcPr>
            <w:tcW w:w="1868" w:type="dxa"/>
          </w:tcPr>
          <w:p w14:paraId="30A1F4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868" w:type="dxa"/>
          </w:tcPr>
          <w:p w14:paraId="501F33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Мейлус И.И.</w:t>
            </w:r>
          </w:p>
        </w:tc>
        <w:tc>
          <w:tcPr>
            <w:tcW w:w="1868" w:type="dxa"/>
          </w:tcPr>
          <w:p w14:paraId="57FC725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Капитан,958-й шап</w:t>
            </w:r>
          </w:p>
        </w:tc>
        <w:tc>
          <w:tcPr>
            <w:tcW w:w="1868" w:type="dxa"/>
          </w:tcPr>
          <w:p w14:paraId="0ABA3C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23.02.1945</w:t>
            </w:r>
          </w:p>
        </w:tc>
        <w:tc>
          <w:tcPr>
            <w:tcW w:w="1868" w:type="dxa"/>
          </w:tcPr>
          <w:p w14:paraId="25BA96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w:t>
            </w:r>
          </w:p>
        </w:tc>
        <w:tc>
          <w:tcPr>
            <w:tcW w:w="1868" w:type="dxa"/>
          </w:tcPr>
          <w:p w14:paraId="02344D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97-й, 209-й бап, 44-я каэ</w:t>
            </w:r>
          </w:p>
        </w:tc>
      </w:tr>
      <w:tr w:rsidR="006F4095" w:rsidRPr="008127F8" w14:paraId="1F654B86" w14:textId="77777777">
        <w:tc>
          <w:tcPr>
            <w:tcW w:w="1868" w:type="dxa"/>
          </w:tcPr>
          <w:p w14:paraId="1E51F6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868" w:type="dxa"/>
          </w:tcPr>
          <w:p w14:paraId="497D66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Мысниченко В.И.</w:t>
            </w:r>
          </w:p>
        </w:tc>
        <w:tc>
          <w:tcPr>
            <w:tcW w:w="1868" w:type="dxa"/>
          </w:tcPr>
          <w:p w14:paraId="6ABF3E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96-й окрап</w:t>
            </w:r>
          </w:p>
        </w:tc>
        <w:tc>
          <w:tcPr>
            <w:tcW w:w="1868" w:type="dxa"/>
          </w:tcPr>
          <w:p w14:paraId="45D19F0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29.06.1945</w:t>
            </w:r>
          </w:p>
        </w:tc>
        <w:tc>
          <w:tcPr>
            <w:tcW w:w="1868" w:type="dxa"/>
          </w:tcPr>
          <w:p w14:paraId="15CE4D1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1868" w:type="dxa"/>
          </w:tcPr>
          <w:p w14:paraId="266F859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90-я раэ, 52-й бап</w:t>
            </w:r>
          </w:p>
        </w:tc>
      </w:tr>
      <w:tr w:rsidR="006F4095" w:rsidRPr="008127F8" w14:paraId="19872FD3" w14:textId="77777777">
        <w:tc>
          <w:tcPr>
            <w:tcW w:w="1868" w:type="dxa"/>
          </w:tcPr>
          <w:p w14:paraId="0C0F20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868" w:type="dxa"/>
          </w:tcPr>
          <w:p w14:paraId="3B668F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Николаев Г.Г.</w:t>
            </w:r>
          </w:p>
        </w:tc>
        <w:tc>
          <w:tcPr>
            <w:tcW w:w="1868" w:type="dxa"/>
          </w:tcPr>
          <w:p w14:paraId="688CBFF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 лейтенант, 288-й бап</w:t>
            </w:r>
          </w:p>
        </w:tc>
        <w:tc>
          <w:tcPr>
            <w:tcW w:w="1868" w:type="dxa"/>
          </w:tcPr>
          <w:p w14:paraId="7AAE748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06.06.1942</w:t>
            </w:r>
          </w:p>
        </w:tc>
        <w:tc>
          <w:tcPr>
            <w:tcW w:w="1868" w:type="dxa"/>
          </w:tcPr>
          <w:p w14:paraId="11B91F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 2&gt;</w:t>
            </w:r>
          </w:p>
        </w:tc>
        <w:tc>
          <w:tcPr>
            <w:tcW w:w="1868" w:type="dxa"/>
          </w:tcPr>
          <w:p w14:paraId="05EE14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288-й бап</w:t>
            </w:r>
          </w:p>
        </w:tc>
      </w:tr>
      <w:tr w:rsidR="006F4095" w:rsidRPr="008127F8" w14:paraId="3458A42A" w14:textId="77777777">
        <w:tc>
          <w:tcPr>
            <w:tcW w:w="1868" w:type="dxa"/>
          </w:tcPr>
          <w:p w14:paraId="7242727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868" w:type="dxa"/>
          </w:tcPr>
          <w:p w14:paraId="7A2E1DA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Носовец А.З.</w:t>
            </w:r>
          </w:p>
        </w:tc>
        <w:tc>
          <w:tcPr>
            <w:tcW w:w="1868" w:type="dxa"/>
          </w:tcPr>
          <w:p w14:paraId="5633F15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14-й гв. ап АДД</w:t>
            </w:r>
          </w:p>
        </w:tc>
        <w:tc>
          <w:tcPr>
            <w:tcW w:w="1868" w:type="dxa"/>
          </w:tcPr>
          <w:p w14:paraId="21BDC1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05.11.1944</w:t>
            </w:r>
          </w:p>
        </w:tc>
        <w:tc>
          <w:tcPr>
            <w:tcW w:w="1868" w:type="dxa"/>
          </w:tcPr>
          <w:p w14:paraId="07B1C5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868" w:type="dxa"/>
          </w:tcPr>
          <w:p w14:paraId="49E6BF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226-й бап</w:t>
            </w:r>
          </w:p>
        </w:tc>
      </w:tr>
      <w:tr w:rsidR="006F4095" w:rsidRPr="008127F8" w14:paraId="05A25132" w14:textId="77777777">
        <w:tc>
          <w:tcPr>
            <w:tcW w:w="1868" w:type="dxa"/>
          </w:tcPr>
          <w:p w14:paraId="479EBB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868" w:type="dxa"/>
          </w:tcPr>
          <w:p w14:paraId="2F9741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Петров И.И.</w:t>
            </w:r>
          </w:p>
        </w:tc>
        <w:tc>
          <w:tcPr>
            <w:tcW w:w="1868" w:type="dxa"/>
          </w:tcPr>
          <w:p w14:paraId="58A93A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лейтенант, 211-й шап</w:t>
            </w:r>
          </w:p>
        </w:tc>
        <w:tc>
          <w:tcPr>
            <w:tcW w:w="1868" w:type="dxa"/>
          </w:tcPr>
          <w:p w14:paraId="6F38A86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04.02.1944</w:t>
            </w:r>
          </w:p>
        </w:tc>
        <w:tc>
          <w:tcPr>
            <w:tcW w:w="1868" w:type="dxa"/>
          </w:tcPr>
          <w:p w14:paraId="6BA0C46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868" w:type="dxa"/>
          </w:tcPr>
          <w:p w14:paraId="119B15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211-й бап</w:t>
            </w:r>
          </w:p>
        </w:tc>
      </w:tr>
      <w:tr w:rsidR="006F4095" w:rsidRPr="008127F8" w14:paraId="32C4E698" w14:textId="77777777">
        <w:tc>
          <w:tcPr>
            <w:tcW w:w="1868" w:type="dxa"/>
          </w:tcPr>
          <w:p w14:paraId="3F11AE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868" w:type="dxa"/>
          </w:tcPr>
          <w:p w14:paraId="245E4F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Пстыго И.И.</w:t>
            </w:r>
          </w:p>
        </w:tc>
        <w:tc>
          <w:tcPr>
            <w:tcW w:w="1868" w:type="dxa"/>
          </w:tcPr>
          <w:p w14:paraId="512E76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Маршал авиации</w:t>
            </w:r>
          </w:p>
        </w:tc>
        <w:tc>
          <w:tcPr>
            <w:tcW w:w="1868" w:type="dxa"/>
          </w:tcPr>
          <w:p w14:paraId="7E878F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07.04.1978</w:t>
            </w:r>
          </w:p>
        </w:tc>
        <w:tc>
          <w:tcPr>
            <w:tcW w:w="1868" w:type="dxa"/>
          </w:tcPr>
          <w:p w14:paraId="319C51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868" w:type="dxa"/>
          </w:tcPr>
          <w:p w14:paraId="54ED683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211-й бап</w:t>
            </w:r>
          </w:p>
        </w:tc>
      </w:tr>
      <w:tr w:rsidR="006F4095" w:rsidRPr="008127F8" w14:paraId="48D140F5" w14:textId="77777777">
        <w:tc>
          <w:tcPr>
            <w:tcW w:w="1868" w:type="dxa"/>
          </w:tcPr>
          <w:p w14:paraId="46CF27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868" w:type="dxa"/>
          </w:tcPr>
          <w:p w14:paraId="1427F1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Пушкин А.И.</w:t>
            </w:r>
          </w:p>
        </w:tc>
        <w:tc>
          <w:tcPr>
            <w:tcW w:w="1868" w:type="dxa"/>
          </w:tcPr>
          <w:p w14:paraId="5B6161C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52-й бап</w:t>
            </w:r>
          </w:p>
        </w:tc>
        <w:tc>
          <w:tcPr>
            <w:tcW w:w="1868" w:type="dxa"/>
          </w:tcPr>
          <w:p w14:paraId="41F1EA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12.08.1942</w:t>
            </w:r>
          </w:p>
        </w:tc>
        <w:tc>
          <w:tcPr>
            <w:tcW w:w="1868" w:type="dxa"/>
          </w:tcPr>
          <w:p w14:paraId="78B2F34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1868" w:type="dxa"/>
          </w:tcPr>
          <w:p w14:paraId="042CE1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135-й, 52-й бап</w:t>
            </w:r>
          </w:p>
        </w:tc>
      </w:tr>
      <w:tr w:rsidR="006F4095" w:rsidRPr="008127F8" w14:paraId="311C13DB" w14:textId="77777777">
        <w:tc>
          <w:tcPr>
            <w:tcW w:w="1868" w:type="dxa"/>
          </w:tcPr>
          <w:p w14:paraId="1EB5C4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21</w:t>
            </w:r>
          </w:p>
        </w:tc>
        <w:tc>
          <w:tcPr>
            <w:tcW w:w="1868" w:type="dxa"/>
          </w:tcPr>
          <w:p w14:paraId="3E3F757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Самочкин А. В.</w:t>
            </w:r>
          </w:p>
        </w:tc>
        <w:tc>
          <w:tcPr>
            <w:tcW w:w="1868" w:type="dxa"/>
          </w:tcPr>
          <w:p w14:paraId="238ABE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289-й бап</w:t>
            </w:r>
          </w:p>
        </w:tc>
        <w:tc>
          <w:tcPr>
            <w:tcW w:w="1868" w:type="dxa"/>
          </w:tcPr>
          <w:p w14:paraId="1CBB5E5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27.03.1942</w:t>
            </w:r>
          </w:p>
        </w:tc>
        <w:tc>
          <w:tcPr>
            <w:tcW w:w="1868" w:type="dxa"/>
          </w:tcPr>
          <w:p w14:paraId="5B1FE72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183</w:t>
            </w:r>
          </w:p>
        </w:tc>
        <w:tc>
          <w:tcPr>
            <w:tcW w:w="1868" w:type="dxa"/>
          </w:tcPr>
          <w:p w14:paraId="71F3CD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289-й, 209-й бап, 1-я гв. каэ</w:t>
            </w:r>
          </w:p>
        </w:tc>
      </w:tr>
      <w:tr w:rsidR="006F4095" w:rsidRPr="008127F8" w14:paraId="72D8143A" w14:textId="77777777">
        <w:tc>
          <w:tcPr>
            <w:tcW w:w="1868" w:type="dxa"/>
          </w:tcPr>
          <w:p w14:paraId="1D3282D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868" w:type="dxa"/>
          </w:tcPr>
          <w:p w14:paraId="35D13F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Стрельченко В.И.</w:t>
            </w:r>
          </w:p>
        </w:tc>
        <w:tc>
          <w:tcPr>
            <w:tcW w:w="1868" w:type="dxa"/>
          </w:tcPr>
          <w:p w14:paraId="3782C3B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948-й шап</w:t>
            </w:r>
          </w:p>
        </w:tc>
        <w:tc>
          <w:tcPr>
            <w:tcW w:w="1868" w:type="dxa"/>
          </w:tcPr>
          <w:p w14:paraId="2E9A9D6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04.02.1944</w:t>
            </w:r>
          </w:p>
        </w:tc>
        <w:tc>
          <w:tcPr>
            <w:tcW w:w="1868" w:type="dxa"/>
          </w:tcPr>
          <w:p w14:paraId="7C95E13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w:t>
            </w:r>
          </w:p>
        </w:tc>
        <w:tc>
          <w:tcPr>
            <w:tcW w:w="1868" w:type="dxa"/>
          </w:tcPr>
          <w:p w14:paraId="1CEE08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135-й бап</w:t>
            </w:r>
          </w:p>
        </w:tc>
      </w:tr>
      <w:tr w:rsidR="006F4095" w:rsidRPr="008127F8" w14:paraId="015089A6" w14:textId="77777777">
        <w:tc>
          <w:tcPr>
            <w:tcW w:w="1868" w:type="dxa"/>
          </w:tcPr>
          <w:p w14:paraId="668CE98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868" w:type="dxa"/>
          </w:tcPr>
          <w:p w14:paraId="46E704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Сулев В.А.</w:t>
            </w:r>
          </w:p>
        </w:tc>
        <w:tc>
          <w:tcPr>
            <w:tcW w:w="1868" w:type="dxa"/>
          </w:tcPr>
          <w:p w14:paraId="27A69D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лейтенант, 13-й гв. бап</w:t>
            </w:r>
          </w:p>
        </w:tc>
        <w:tc>
          <w:tcPr>
            <w:tcW w:w="1868" w:type="dxa"/>
          </w:tcPr>
          <w:p w14:paraId="3DFE59E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29.06.1945</w:t>
            </w:r>
          </w:p>
        </w:tc>
        <w:tc>
          <w:tcPr>
            <w:tcW w:w="1868" w:type="dxa"/>
          </w:tcPr>
          <w:p w14:paraId="61CC42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 2&gt;</w:t>
            </w:r>
          </w:p>
        </w:tc>
        <w:tc>
          <w:tcPr>
            <w:tcW w:w="1868" w:type="dxa"/>
          </w:tcPr>
          <w:p w14:paraId="741915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13-й гв. бап</w:t>
            </w:r>
          </w:p>
        </w:tc>
      </w:tr>
      <w:tr w:rsidR="006F4095" w:rsidRPr="008127F8" w14:paraId="776B8105" w14:textId="77777777">
        <w:tc>
          <w:tcPr>
            <w:tcW w:w="1868" w:type="dxa"/>
          </w:tcPr>
          <w:p w14:paraId="09BD59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868" w:type="dxa"/>
          </w:tcPr>
          <w:p w14:paraId="402640C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Франчук К.Я.</w:t>
            </w:r>
          </w:p>
        </w:tc>
        <w:tc>
          <w:tcPr>
            <w:tcW w:w="1868" w:type="dxa"/>
          </w:tcPr>
          <w:p w14:paraId="168FEC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650-й бап</w:t>
            </w:r>
          </w:p>
        </w:tc>
        <w:tc>
          <w:tcPr>
            <w:tcW w:w="1868" w:type="dxa"/>
          </w:tcPr>
          <w:p w14:paraId="2A6136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18.08.1945</w:t>
            </w:r>
          </w:p>
        </w:tc>
        <w:tc>
          <w:tcPr>
            <w:tcW w:w="1868" w:type="dxa"/>
          </w:tcPr>
          <w:p w14:paraId="6E6648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197з)</w:t>
            </w:r>
          </w:p>
        </w:tc>
        <w:tc>
          <w:tcPr>
            <w:tcW w:w="1868" w:type="dxa"/>
          </w:tcPr>
          <w:p w14:paraId="64FA75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210-й,288-й, 650-й бап</w:t>
            </w:r>
          </w:p>
        </w:tc>
      </w:tr>
      <w:tr w:rsidR="006F4095" w:rsidRPr="008127F8" w14:paraId="5CF4C8EB" w14:textId="77777777">
        <w:tc>
          <w:tcPr>
            <w:tcW w:w="1868" w:type="dxa"/>
          </w:tcPr>
          <w:p w14:paraId="724192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868" w:type="dxa"/>
          </w:tcPr>
          <w:p w14:paraId="589C4CD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Чесноков Л.И.</w:t>
            </w:r>
          </w:p>
        </w:tc>
        <w:tc>
          <w:tcPr>
            <w:tcW w:w="1868" w:type="dxa"/>
          </w:tcPr>
          <w:p w14:paraId="7F3DF40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207-й одрап</w:t>
            </w:r>
          </w:p>
        </w:tc>
        <w:tc>
          <w:tcPr>
            <w:tcW w:w="1868" w:type="dxa"/>
          </w:tcPr>
          <w:p w14:paraId="06C7BB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24.03.1945</w:t>
            </w:r>
          </w:p>
        </w:tc>
        <w:tc>
          <w:tcPr>
            <w:tcW w:w="1868" w:type="dxa"/>
          </w:tcPr>
          <w:p w14:paraId="377AEE3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174</w:t>
            </w:r>
          </w:p>
        </w:tc>
        <w:tc>
          <w:tcPr>
            <w:tcW w:w="1868" w:type="dxa"/>
          </w:tcPr>
          <w:p w14:paraId="0210E3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52-й бап</w:t>
            </w:r>
          </w:p>
        </w:tc>
      </w:tr>
      <w:tr w:rsidR="006F4095" w:rsidRPr="008127F8" w14:paraId="488E074F" w14:textId="77777777">
        <w:tc>
          <w:tcPr>
            <w:tcW w:w="1868" w:type="dxa"/>
            <w:tcBorders>
              <w:bottom w:val="single" w:sz="12" w:space="0" w:color="auto"/>
            </w:tcBorders>
          </w:tcPr>
          <w:p w14:paraId="35CCBF4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868" w:type="dxa"/>
            <w:tcBorders>
              <w:bottom w:val="single" w:sz="12" w:space="0" w:color="auto"/>
            </w:tcBorders>
          </w:tcPr>
          <w:p w14:paraId="0AD30A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Яницкий В.И.</w:t>
            </w:r>
          </w:p>
        </w:tc>
        <w:tc>
          <w:tcPr>
            <w:tcW w:w="1868" w:type="dxa"/>
            <w:tcBorders>
              <w:bottom w:val="single" w:sz="12" w:space="0" w:color="auto"/>
            </w:tcBorders>
          </w:tcPr>
          <w:p w14:paraId="5D52CF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Лейтенант,52-й бап</w:t>
            </w:r>
          </w:p>
        </w:tc>
        <w:tc>
          <w:tcPr>
            <w:tcW w:w="1868" w:type="dxa"/>
            <w:tcBorders>
              <w:bottom w:val="single" w:sz="12" w:space="0" w:color="auto"/>
            </w:tcBorders>
          </w:tcPr>
          <w:p w14:paraId="4CF766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12.08.1942</w:t>
            </w:r>
          </w:p>
        </w:tc>
        <w:tc>
          <w:tcPr>
            <w:tcW w:w="1868" w:type="dxa"/>
            <w:tcBorders>
              <w:bottom w:val="single" w:sz="12" w:space="0" w:color="auto"/>
            </w:tcBorders>
          </w:tcPr>
          <w:p w14:paraId="4A2490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1868" w:type="dxa"/>
            <w:tcBorders>
              <w:bottom w:val="single" w:sz="12" w:space="0" w:color="auto"/>
            </w:tcBorders>
          </w:tcPr>
          <w:p w14:paraId="77D885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52-й бап</w:t>
            </w:r>
          </w:p>
        </w:tc>
      </w:tr>
    </w:tbl>
    <w:p w14:paraId="0BBB2F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1) - удостоены звания дважды; 2) - на февраль 1942 г.; 3) - в т. ч. 21 вылет ночью (12028).</w:t>
      </w:r>
    </w:p>
    <w:p w14:paraId="270AC44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3188460" w14:textId="77777777" w:rsidR="001C2BCF" w:rsidRPr="008127F8" w:rsidRDefault="001C2BCF" w:rsidP="001E0A84">
      <w:pPr>
        <w:pStyle w:val="af"/>
        <w:spacing w:before="0" w:after="0"/>
        <w:jc w:val="both"/>
        <w:rPr>
          <w:color w:val="000000" w:themeColor="text1"/>
          <w:sz w:val="16"/>
          <w:szCs w:val="16"/>
        </w:rPr>
      </w:pPr>
      <w:r w:rsidRPr="008127F8">
        <w:rPr>
          <w:color w:val="000000" w:themeColor="text1"/>
          <w:sz w:val="16"/>
          <w:szCs w:val="16"/>
        </w:rPr>
        <w:t>24 января 1942 года было подписано Постановление Государственного комитета обороны (высшего на тот момент органа власти в стране) о закрытии Харьковского авиационного завода.</w:t>
      </w:r>
    </w:p>
    <w:p w14:paraId="3E9B33A3" w14:textId="77777777" w:rsidR="001C2BCF" w:rsidRPr="008127F8" w:rsidRDefault="001C2BCF" w:rsidP="001E0A84">
      <w:pPr>
        <w:pStyle w:val="af"/>
        <w:spacing w:before="0" w:after="0"/>
        <w:jc w:val="both"/>
        <w:rPr>
          <w:color w:val="000000" w:themeColor="text1"/>
          <w:sz w:val="16"/>
          <w:szCs w:val="16"/>
        </w:rPr>
      </w:pPr>
      <w:r w:rsidRPr="008127F8">
        <w:rPr>
          <w:color w:val="000000" w:themeColor="text1"/>
          <w:sz w:val="16"/>
          <w:szCs w:val="16"/>
        </w:rPr>
        <w:t>На следующий день руководящий состав 135</w:t>
      </w:r>
      <w:r w:rsidRPr="008127F8">
        <w:rPr>
          <w:color w:val="000000" w:themeColor="text1"/>
          <w:sz w:val="16"/>
          <w:szCs w:val="16"/>
        </w:rPr>
        <w:noBreakHyphen/>
        <w:t>го завода был собран в дирекции, где и объявили о расформировании завода и откомандировании его сотрудников в Москву для работы на вновь организованных 23</w:t>
      </w:r>
      <w:r w:rsidRPr="008127F8">
        <w:rPr>
          <w:color w:val="000000" w:themeColor="text1"/>
          <w:sz w:val="16"/>
          <w:szCs w:val="16"/>
        </w:rPr>
        <w:noBreakHyphen/>
        <w:t>м и 30</w:t>
      </w:r>
      <w:r w:rsidRPr="008127F8">
        <w:rPr>
          <w:color w:val="000000" w:themeColor="text1"/>
          <w:sz w:val="16"/>
          <w:szCs w:val="16"/>
        </w:rPr>
        <w:noBreakHyphen/>
        <w:t>м заводах (18995).</w:t>
      </w:r>
    </w:p>
    <w:p w14:paraId="6318C91B"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48E8094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года Решением ГКО за № 1208сс и 26 января 1942 года приказом НКАП за № 79сс завод 135 НКАП, эвакуированный из Харькова в Молотов был расформирован и часть оборудования с рабочей силой были переданы заводу № 23.</w:t>
      </w:r>
    </w:p>
    <w:p w14:paraId="08B95F1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4A81847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5C4A3C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43CBC02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7A96FD6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D84D1A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B6AEC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100849E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2906F9F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0BAFEED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37CE2CC3" w14:textId="77777777">
        <w:tc>
          <w:tcPr>
            <w:tcW w:w="817" w:type="dxa"/>
          </w:tcPr>
          <w:p w14:paraId="776A88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Тип изделий</w:t>
            </w:r>
          </w:p>
        </w:tc>
        <w:tc>
          <w:tcPr>
            <w:tcW w:w="1348" w:type="dxa"/>
          </w:tcPr>
          <w:p w14:paraId="4D109F0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Тип и количество двигателей установлен. на самолете</w:t>
            </w:r>
          </w:p>
        </w:tc>
        <w:tc>
          <w:tcPr>
            <w:tcW w:w="920" w:type="dxa"/>
          </w:tcPr>
          <w:p w14:paraId="11B1EA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1952 год</w:t>
            </w:r>
          </w:p>
        </w:tc>
        <w:tc>
          <w:tcPr>
            <w:tcW w:w="851" w:type="dxa"/>
          </w:tcPr>
          <w:p w14:paraId="7186758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1953 год</w:t>
            </w:r>
          </w:p>
        </w:tc>
        <w:tc>
          <w:tcPr>
            <w:tcW w:w="850" w:type="dxa"/>
          </w:tcPr>
          <w:p w14:paraId="4E56957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1954 год</w:t>
            </w:r>
          </w:p>
        </w:tc>
        <w:tc>
          <w:tcPr>
            <w:tcW w:w="851" w:type="dxa"/>
          </w:tcPr>
          <w:p w14:paraId="6AB14B6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1955 год</w:t>
            </w:r>
          </w:p>
        </w:tc>
        <w:tc>
          <w:tcPr>
            <w:tcW w:w="850" w:type="dxa"/>
          </w:tcPr>
          <w:p w14:paraId="2EA67F5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1956 год</w:t>
            </w:r>
          </w:p>
        </w:tc>
        <w:tc>
          <w:tcPr>
            <w:tcW w:w="851" w:type="dxa"/>
          </w:tcPr>
          <w:p w14:paraId="44700D0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1957 год</w:t>
            </w:r>
          </w:p>
        </w:tc>
        <w:tc>
          <w:tcPr>
            <w:tcW w:w="850" w:type="dxa"/>
          </w:tcPr>
          <w:p w14:paraId="19B109B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1958 год</w:t>
            </w:r>
          </w:p>
        </w:tc>
      </w:tr>
      <w:tr w:rsidR="006F4095" w:rsidRPr="008127F8" w14:paraId="1F817668" w14:textId="77777777">
        <w:tc>
          <w:tcPr>
            <w:tcW w:w="817" w:type="dxa"/>
          </w:tcPr>
          <w:p w14:paraId="7B97FDA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Ту-4</w:t>
            </w:r>
          </w:p>
        </w:tc>
        <w:tc>
          <w:tcPr>
            <w:tcW w:w="1348" w:type="dxa"/>
          </w:tcPr>
          <w:p w14:paraId="10EB783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4АШ73МК</w:t>
            </w:r>
          </w:p>
        </w:tc>
        <w:tc>
          <w:tcPr>
            <w:tcW w:w="920" w:type="dxa"/>
          </w:tcPr>
          <w:p w14:paraId="3470A46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52</w:t>
            </w:r>
          </w:p>
        </w:tc>
        <w:tc>
          <w:tcPr>
            <w:tcW w:w="851" w:type="dxa"/>
          </w:tcPr>
          <w:p w14:paraId="605F36D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0" w:type="dxa"/>
          </w:tcPr>
          <w:p w14:paraId="3FC7BDE2" w14:textId="77777777" w:rsidR="00D4651C" w:rsidRPr="008127F8" w:rsidRDefault="00D4651C" w:rsidP="001E0A84">
            <w:pPr>
              <w:pStyle w:val="Iauiue"/>
              <w:jc w:val="both"/>
              <w:rPr>
                <w:color w:val="000000" w:themeColor="text1"/>
                <w:sz w:val="16"/>
                <w:szCs w:val="16"/>
              </w:rPr>
            </w:pPr>
          </w:p>
        </w:tc>
        <w:tc>
          <w:tcPr>
            <w:tcW w:w="851" w:type="dxa"/>
          </w:tcPr>
          <w:p w14:paraId="6CCC5087" w14:textId="77777777" w:rsidR="00D4651C" w:rsidRPr="008127F8" w:rsidRDefault="00D4651C" w:rsidP="001E0A84">
            <w:pPr>
              <w:pStyle w:val="Iauiue"/>
              <w:jc w:val="both"/>
              <w:rPr>
                <w:color w:val="000000" w:themeColor="text1"/>
                <w:sz w:val="16"/>
                <w:szCs w:val="16"/>
              </w:rPr>
            </w:pPr>
          </w:p>
        </w:tc>
        <w:tc>
          <w:tcPr>
            <w:tcW w:w="850" w:type="dxa"/>
          </w:tcPr>
          <w:p w14:paraId="753A4B8B" w14:textId="77777777" w:rsidR="00D4651C" w:rsidRPr="008127F8" w:rsidRDefault="00D4651C" w:rsidP="001E0A84">
            <w:pPr>
              <w:pStyle w:val="Iauiue"/>
              <w:jc w:val="both"/>
              <w:rPr>
                <w:color w:val="000000" w:themeColor="text1"/>
                <w:sz w:val="16"/>
                <w:szCs w:val="16"/>
              </w:rPr>
            </w:pPr>
          </w:p>
        </w:tc>
        <w:tc>
          <w:tcPr>
            <w:tcW w:w="851" w:type="dxa"/>
          </w:tcPr>
          <w:p w14:paraId="5871011D" w14:textId="77777777" w:rsidR="00D4651C" w:rsidRPr="008127F8" w:rsidRDefault="00D4651C" w:rsidP="001E0A84">
            <w:pPr>
              <w:pStyle w:val="Iauiue"/>
              <w:jc w:val="both"/>
              <w:rPr>
                <w:color w:val="000000" w:themeColor="text1"/>
                <w:sz w:val="16"/>
                <w:szCs w:val="16"/>
              </w:rPr>
            </w:pPr>
          </w:p>
        </w:tc>
        <w:tc>
          <w:tcPr>
            <w:tcW w:w="850" w:type="dxa"/>
          </w:tcPr>
          <w:p w14:paraId="0244ABDA" w14:textId="77777777" w:rsidR="00D4651C" w:rsidRPr="008127F8" w:rsidRDefault="00D4651C" w:rsidP="001E0A84">
            <w:pPr>
              <w:pStyle w:val="Iauiue"/>
              <w:jc w:val="both"/>
              <w:rPr>
                <w:color w:val="000000" w:themeColor="text1"/>
                <w:sz w:val="16"/>
                <w:szCs w:val="16"/>
              </w:rPr>
            </w:pPr>
          </w:p>
        </w:tc>
      </w:tr>
      <w:tr w:rsidR="006F4095" w:rsidRPr="008127F8" w14:paraId="293617E0" w14:textId="77777777">
        <w:tc>
          <w:tcPr>
            <w:tcW w:w="817" w:type="dxa"/>
          </w:tcPr>
          <w:p w14:paraId="44A82D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ИЛ-28</w:t>
            </w:r>
          </w:p>
        </w:tc>
        <w:tc>
          <w:tcPr>
            <w:tcW w:w="1348" w:type="dxa"/>
          </w:tcPr>
          <w:p w14:paraId="02EE2C8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2АШ73МК</w:t>
            </w:r>
          </w:p>
        </w:tc>
        <w:tc>
          <w:tcPr>
            <w:tcW w:w="920" w:type="dxa"/>
          </w:tcPr>
          <w:p w14:paraId="062F2498" w14:textId="77777777" w:rsidR="00D4651C" w:rsidRPr="008127F8" w:rsidRDefault="00D4651C" w:rsidP="001E0A84">
            <w:pPr>
              <w:pStyle w:val="Iauiue"/>
              <w:jc w:val="both"/>
              <w:rPr>
                <w:color w:val="000000" w:themeColor="text1"/>
                <w:sz w:val="16"/>
                <w:szCs w:val="16"/>
              </w:rPr>
            </w:pPr>
          </w:p>
        </w:tc>
        <w:tc>
          <w:tcPr>
            <w:tcW w:w="851" w:type="dxa"/>
          </w:tcPr>
          <w:p w14:paraId="599B7DC3"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850" w:type="dxa"/>
          </w:tcPr>
          <w:p w14:paraId="3D34888F" w14:textId="77777777" w:rsidR="00D4651C" w:rsidRPr="008127F8" w:rsidRDefault="00D4651C" w:rsidP="001E0A84">
            <w:pPr>
              <w:pStyle w:val="Iauiue"/>
              <w:jc w:val="both"/>
              <w:rPr>
                <w:color w:val="000000" w:themeColor="text1"/>
                <w:sz w:val="16"/>
                <w:szCs w:val="16"/>
              </w:rPr>
            </w:pPr>
          </w:p>
        </w:tc>
        <w:tc>
          <w:tcPr>
            <w:tcW w:w="851" w:type="dxa"/>
          </w:tcPr>
          <w:p w14:paraId="2367A1A1" w14:textId="77777777" w:rsidR="00D4651C" w:rsidRPr="008127F8" w:rsidRDefault="00D4651C" w:rsidP="001E0A84">
            <w:pPr>
              <w:pStyle w:val="Iauiue"/>
              <w:jc w:val="both"/>
              <w:rPr>
                <w:color w:val="000000" w:themeColor="text1"/>
                <w:sz w:val="16"/>
                <w:szCs w:val="16"/>
              </w:rPr>
            </w:pPr>
          </w:p>
        </w:tc>
        <w:tc>
          <w:tcPr>
            <w:tcW w:w="850" w:type="dxa"/>
          </w:tcPr>
          <w:p w14:paraId="59B0627F" w14:textId="77777777" w:rsidR="00D4651C" w:rsidRPr="008127F8" w:rsidRDefault="00D4651C" w:rsidP="001E0A84">
            <w:pPr>
              <w:pStyle w:val="Iauiue"/>
              <w:jc w:val="both"/>
              <w:rPr>
                <w:color w:val="000000" w:themeColor="text1"/>
                <w:sz w:val="16"/>
                <w:szCs w:val="16"/>
              </w:rPr>
            </w:pPr>
          </w:p>
        </w:tc>
        <w:tc>
          <w:tcPr>
            <w:tcW w:w="851" w:type="dxa"/>
          </w:tcPr>
          <w:p w14:paraId="5EBF8723" w14:textId="77777777" w:rsidR="00D4651C" w:rsidRPr="008127F8" w:rsidRDefault="00D4651C" w:rsidP="001E0A84">
            <w:pPr>
              <w:pStyle w:val="Iauiue"/>
              <w:jc w:val="both"/>
              <w:rPr>
                <w:color w:val="000000" w:themeColor="text1"/>
                <w:sz w:val="16"/>
                <w:szCs w:val="16"/>
              </w:rPr>
            </w:pPr>
          </w:p>
        </w:tc>
        <w:tc>
          <w:tcPr>
            <w:tcW w:w="850" w:type="dxa"/>
          </w:tcPr>
          <w:p w14:paraId="74B04438" w14:textId="77777777" w:rsidR="00D4651C" w:rsidRPr="008127F8" w:rsidRDefault="00D4651C" w:rsidP="001E0A84">
            <w:pPr>
              <w:pStyle w:val="Iauiue"/>
              <w:jc w:val="both"/>
              <w:rPr>
                <w:color w:val="000000" w:themeColor="text1"/>
                <w:sz w:val="16"/>
                <w:szCs w:val="16"/>
              </w:rPr>
            </w:pPr>
          </w:p>
        </w:tc>
      </w:tr>
      <w:tr w:rsidR="006F4095" w:rsidRPr="008127F8" w14:paraId="31C8184D" w14:textId="77777777">
        <w:tc>
          <w:tcPr>
            <w:tcW w:w="817" w:type="dxa"/>
          </w:tcPr>
          <w:p w14:paraId="1B3EA5D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w:t>
            </w:r>
          </w:p>
        </w:tc>
        <w:tc>
          <w:tcPr>
            <w:tcW w:w="1348" w:type="dxa"/>
          </w:tcPr>
          <w:p w14:paraId="4D6D358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4АМ3</w:t>
            </w:r>
          </w:p>
        </w:tc>
        <w:tc>
          <w:tcPr>
            <w:tcW w:w="920" w:type="dxa"/>
          </w:tcPr>
          <w:p w14:paraId="71AB184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1" w:type="dxa"/>
          </w:tcPr>
          <w:p w14:paraId="4BCFBB1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w:t>
            </w:r>
          </w:p>
        </w:tc>
        <w:tc>
          <w:tcPr>
            <w:tcW w:w="850" w:type="dxa"/>
          </w:tcPr>
          <w:p w14:paraId="7B48D331" w14:textId="77777777" w:rsidR="00D4651C" w:rsidRPr="008127F8" w:rsidRDefault="00D4651C" w:rsidP="001E0A84">
            <w:pPr>
              <w:pStyle w:val="Iauiue"/>
              <w:jc w:val="both"/>
              <w:rPr>
                <w:color w:val="000000" w:themeColor="text1"/>
                <w:sz w:val="16"/>
                <w:szCs w:val="16"/>
              </w:rPr>
            </w:pPr>
          </w:p>
        </w:tc>
        <w:tc>
          <w:tcPr>
            <w:tcW w:w="851" w:type="dxa"/>
          </w:tcPr>
          <w:p w14:paraId="33DAF257" w14:textId="77777777" w:rsidR="00D4651C" w:rsidRPr="008127F8" w:rsidRDefault="00D4651C" w:rsidP="001E0A84">
            <w:pPr>
              <w:pStyle w:val="Iauiue"/>
              <w:jc w:val="both"/>
              <w:rPr>
                <w:color w:val="000000" w:themeColor="text1"/>
                <w:sz w:val="16"/>
                <w:szCs w:val="16"/>
              </w:rPr>
            </w:pPr>
          </w:p>
        </w:tc>
        <w:tc>
          <w:tcPr>
            <w:tcW w:w="850" w:type="dxa"/>
          </w:tcPr>
          <w:p w14:paraId="718FD10A" w14:textId="77777777" w:rsidR="00D4651C" w:rsidRPr="008127F8" w:rsidRDefault="00D4651C" w:rsidP="001E0A84">
            <w:pPr>
              <w:pStyle w:val="Iauiue"/>
              <w:jc w:val="both"/>
              <w:rPr>
                <w:color w:val="000000" w:themeColor="text1"/>
                <w:sz w:val="16"/>
                <w:szCs w:val="16"/>
              </w:rPr>
            </w:pPr>
          </w:p>
        </w:tc>
        <w:tc>
          <w:tcPr>
            <w:tcW w:w="851" w:type="dxa"/>
          </w:tcPr>
          <w:p w14:paraId="355359E1" w14:textId="77777777" w:rsidR="00D4651C" w:rsidRPr="008127F8" w:rsidRDefault="00D4651C" w:rsidP="001E0A84">
            <w:pPr>
              <w:pStyle w:val="Iauiue"/>
              <w:jc w:val="both"/>
              <w:rPr>
                <w:color w:val="000000" w:themeColor="text1"/>
                <w:sz w:val="16"/>
                <w:szCs w:val="16"/>
              </w:rPr>
            </w:pPr>
          </w:p>
        </w:tc>
        <w:tc>
          <w:tcPr>
            <w:tcW w:w="850" w:type="dxa"/>
          </w:tcPr>
          <w:p w14:paraId="59ABE048" w14:textId="77777777" w:rsidR="00D4651C" w:rsidRPr="008127F8" w:rsidRDefault="00D4651C" w:rsidP="001E0A84">
            <w:pPr>
              <w:pStyle w:val="Iauiue"/>
              <w:jc w:val="both"/>
              <w:rPr>
                <w:color w:val="000000" w:themeColor="text1"/>
                <w:sz w:val="16"/>
                <w:szCs w:val="16"/>
              </w:rPr>
            </w:pPr>
          </w:p>
        </w:tc>
      </w:tr>
      <w:tr w:rsidR="006F4095" w:rsidRPr="008127F8" w14:paraId="4B40F3D5" w14:textId="77777777">
        <w:tc>
          <w:tcPr>
            <w:tcW w:w="817" w:type="dxa"/>
          </w:tcPr>
          <w:p w14:paraId="64591C4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М-4</w:t>
            </w:r>
          </w:p>
        </w:tc>
        <w:tc>
          <w:tcPr>
            <w:tcW w:w="1348" w:type="dxa"/>
          </w:tcPr>
          <w:p w14:paraId="499E0B7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4А25</w:t>
            </w:r>
          </w:p>
        </w:tc>
        <w:tc>
          <w:tcPr>
            <w:tcW w:w="920" w:type="dxa"/>
          </w:tcPr>
          <w:p w14:paraId="4F2A6E88" w14:textId="77777777" w:rsidR="00D4651C" w:rsidRPr="008127F8" w:rsidRDefault="00D4651C" w:rsidP="001E0A84">
            <w:pPr>
              <w:pStyle w:val="Iauiue"/>
              <w:jc w:val="both"/>
              <w:rPr>
                <w:color w:val="000000" w:themeColor="text1"/>
                <w:sz w:val="16"/>
                <w:szCs w:val="16"/>
              </w:rPr>
            </w:pPr>
          </w:p>
        </w:tc>
        <w:tc>
          <w:tcPr>
            <w:tcW w:w="851" w:type="dxa"/>
          </w:tcPr>
          <w:p w14:paraId="29DF27E2" w14:textId="77777777" w:rsidR="00D4651C" w:rsidRPr="008127F8" w:rsidRDefault="00D4651C" w:rsidP="001E0A84">
            <w:pPr>
              <w:pStyle w:val="Iauiue"/>
              <w:jc w:val="both"/>
              <w:rPr>
                <w:color w:val="000000" w:themeColor="text1"/>
                <w:sz w:val="16"/>
                <w:szCs w:val="16"/>
              </w:rPr>
            </w:pPr>
          </w:p>
        </w:tc>
        <w:tc>
          <w:tcPr>
            <w:tcW w:w="850" w:type="dxa"/>
          </w:tcPr>
          <w:p w14:paraId="7109BFB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w:t>
            </w:r>
          </w:p>
        </w:tc>
        <w:tc>
          <w:tcPr>
            <w:tcW w:w="851" w:type="dxa"/>
          </w:tcPr>
          <w:p w14:paraId="1E0D060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8</w:t>
            </w:r>
          </w:p>
        </w:tc>
        <w:tc>
          <w:tcPr>
            <w:tcW w:w="850" w:type="dxa"/>
          </w:tcPr>
          <w:p w14:paraId="74AC407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20</w:t>
            </w:r>
          </w:p>
        </w:tc>
        <w:tc>
          <w:tcPr>
            <w:tcW w:w="851" w:type="dxa"/>
          </w:tcPr>
          <w:p w14:paraId="0F32B303" w14:textId="77777777" w:rsidR="00D4651C" w:rsidRPr="008127F8" w:rsidRDefault="00D4651C" w:rsidP="001E0A84">
            <w:pPr>
              <w:pStyle w:val="Iauiue"/>
              <w:jc w:val="both"/>
              <w:rPr>
                <w:color w:val="000000" w:themeColor="text1"/>
                <w:sz w:val="16"/>
                <w:szCs w:val="16"/>
              </w:rPr>
            </w:pPr>
          </w:p>
        </w:tc>
        <w:tc>
          <w:tcPr>
            <w:tcW w:w="850" w:type="dxa"/>
          </w:tcPr>
          <w:p w14:paraId="270A252D" w14:textId="77777777" w:rsidR="00D4651C" w:rsidRPr="008127F8" w:rsidRDefault="00D4651C" w:rsidP="001E0A84">
            <w:pPr>
              <w:pStyle w:val="Iauiue"/>
              <w:jc w:val="both"/>
              <w:rPr>
                <w:color w:val="000000" w:themeColor="text1"/>
                <w:sz w:val="16"/>
                <w:szCs w:val="16"/>
              </w:rPr>
            </w:pPr>
          </w:p>
        </w:tc>
      </w:tr>
      <w:tr w:rsidR="006F4095" w:rsidRPr="008127F8" w14:paraId="0EC19CCB" w14:textId="77777777">
        <w:tc>
          <w:tcPr>
            <w:tcW w:w="817" w:type="dxa"/>
          </w:tcPr>
          <w:p w14:paraId="15D70CF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3М</w:t>
            </w:r>
          </w:p>
        </w:tc>
        <w:tc>
          <w:tcPr>
            <w:tcW w:w="1348" w:type="dxa"/>
          </w:tcPr>
          <w:p w14:paraId="761950B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4А25</w:t>
            </w:r>
          </w:p>
          <w:p w14:paraId="443A9FC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4АВД-7</w:t>
            </w:r>
          </w:p>
        </w:tc>
        <w:tc>
          <w:tcPr>
            <w:tcW w:w="920" w:type="dxa"/>
          </w:tcPr>
          <w:p w14:paraId="180F5ACD" w14:textId="77777777" w:rsidR="00D4651C" w:rsidRPr="008127F8" w:rsidRDefault="00D4651C" w:rsidP="001E0A84">
            <w:pPr>
              <w:pStyle w:val="Iauiue"/>
              <w:jc w:val="both"/>
              <w:rPr>
                <w:color w:val="000000" w:themeColor="text1"/>
                <w:sz w:val="16"/>
                <w:szCs w:val="16"/>
              </w:rPr>
            </w:pPr>
          </w:p>
        </w:tc>
        <w:tc>
          <w:tcPr>
            <w:tcW w:w="851" w:type="dxa"/>
          </w:tcPr>
          <w:p w14:paraId="201B19FB" w14:textId="77777777" w:rsidR="00D4651C" w:rsidRPr="008127F8" w:rsidRDefault="00D4651C" w:rsidP="001E0A84">
            <w:pPr>
              <w:pStyle w:val="Iauiue"/>
              <w:jc w:val="both"/>
              <w:rPr>
                <w:color w:val="000000" w:themeColor="text1"/>
                <w:sz w:val="16"/>
                <w:szCs w:val="16"/>
              </w:rPr>
            </w:pPr>
          </w:p>
        </w:tc>
        <w:tc>
          <w:tcPr>
            <w:tcW w:w="850" w:type="dxa"/>
          </w:tcPr>
          <w:p w14:paraId="4AC06BCE" w14:textId="77777777" w:rsidR="00D4651C" w:rsidRPr="008127F8" w:rsidRDefault="00D4651C" w:rsidP="001E0A84">
            <w:pPr>
              <w:pStyle w:val="Iauiue"/>
              <w:jc w:val="both"/>
              <w:rPr>
                <w:color w:val="000000" w:themeColor="text1"/>
                <w:sz w:val="16"/>
                <w:szCs w:val="16"/>
              </w:rPr>
            </w:pPr>
          </w:p>
        </w:tc>
        <w:tc>
          <w:tcPr>
            <w:tcW w:w="851" w:type="dxa"/>
          </w:tcPr>
          <w:p w14:paraId="52F48B76" w14:textId="77777777" w:rsidR="00D4651C" w:rsidRPr="008127F8" w:rsidRDefault="00D4651C" w:rsidP="001E0A84">
            <w:pPr>
              <w:pStyle w:val="Iauiue"/>
              <w:jc w:val="both"/>
              <w:rPr>
                <w:color w:val="000000" w:themeColor="text1"/>
                <w:sz w:val="16"/>
                <w:szCs w:val="16"/>
              </w:rPr>
            </w:pPr>
          </w:p>
        </w:tc>
        <w:tc>
          <w:tcPr>
            <w:tcW w:w="850" w:type="dxa"/>
          </w:tcPr>
          <w:p w14:paraId="0A970E9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15</w:t>
            </w:r>
          </w:p>
        </w:tc>
        <w:tc>
          <w:tcPr>
            <w:tcW w:w="851" w:type="dxa"/>
          </w:tcPr>
          <w:p w14:paraId="6017F08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26</w:t>
            </w:r>
          </w:p>
        </w:tc>
        <w:tc>
          <w:tcPr>
            <w:tcW w:w="850" w:type="dxa"/>
          </w:tcPr>
          <w:p w14:paraId="117348E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13</w:t>
            </w:r>
          </w:p>
        </w:tc>
      </w:tr>
    </w:tbl>
    <w:p w14:paraId="34A8D26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Г-87, п/я 222</w:t>
      </w:r>
    </w:p>
    <w:p w14:paraId="4B9D0EF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Директор – Осипов (1959)</w:t>
      </w:r>
    </w:p>
    <w:p w14:paraId="6353E72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Производственный профиль – металлическое самолетостроение (9754)</w:t>
      </w:r>
    </w:p>
    <w:p w14:paraId="24D6CF2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FD6EA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вышло Постановление ГКО № 1207 Об организации на площади эвакуированного завода № 82 в г.Москве производства дизель-моторов М-30. РГАНИР, Фонд ГКО, д. 20, лл. 108 (11012).</w:t>
      </w:r>
    </w:p>
    <w:p w14:paraId="52F50BC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DD23FA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25E048B4"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2851D7D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66D3152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4ADF20CE"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 xml:space="preserve">ОКБ-1 на заводе № 500 было организовано в 1942 году </w:t>
      </w:r>
      <w:proofErr w:type="gramStart"/>
      <w:r w:rsidRPr="008127F8">
        <w:rPr>
          <w:color w:val="000000" w:themeColor="text1"/>
          <w:sz w:val="16"/>
          <w:szCs w:val="16"/>
        </w:rPr>
        <w:t>согласно приказа</w:t>
      </w:r>
      <w:proofErr w:type="gramEnd"/>
      <w:r w:rsidRPr="008127F8">
        <w:rPr>
          <w:color w:val="000000" w:themeColor="text1"/>
          <w:sz w:val="16"/>
          <w:szCs w:val="16"/>
        </w:rPr>
        <w:t xml:space="preserve">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CFA5C0B"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Тушино. Производственный профиль – авиамоторный (9861).</w:t>
      </w:r>
    </w:p>
    <w:p w14:paraId="5BAA10B3" w14:textId="77777777" w:rsidR="00D4651C" w:rsidRPr="008127F8" w:rsidRDefault="00D4651C" w:rsidP="001E0A84">
      <w:pPr>
        <w:pStyle w:val="Iauiue"/>
        <w:jc w:val="both"/>
        <w:rPr>
          <w:color w:val="000000" w:themeColor="text1"/>
          <w:sz w:val="16"/>
          <w:szCs w:val="16"/>
        </w:rPr>
      </w:pPr>
    </w:p>
    <w:p w14:paraId="264F82DD"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года согласно Постановления ГКО от за № 1207с завод № 82 должен реэвакуироваться из Казани и освободить занимаемую площадь завода № 16 (9406).</w:t>
      </w:r>
    </w:p>
    <w:p w14:paraId="535C17F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июне 1942 года завод перебазировался на указанную площадку и окончательно был организован под продукцию авиамоторов.</w:t>
      </w:r>
    </w:p>
    <w:p w14:paraId="0F1094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Кроме выпуска серийных моторов, завод был обязан производить ремонт моторов М-62 и М-11, присылаемых с фронта.</w:t>
      </w:r>
    </w:p>
    <w:p w14:paraId="0A1B2C29"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До 4 квартала 1946 года завод продолжал выпуск серийных моторов.</w:t>
      </w:r>
    </w:p>
    <w:p w14:paraId="4F79DF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lastRenderedPageBreak/>
        <w:t>На основании приказа МАП от 1 августа 1946 года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117E7F0C"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3CDCA64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Адрес: Москва, А-130, п/я 198</w:t>
      </w:r>
    </w:p>
    <w:p w14:paraId="77E3F776"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7F996BDD" w14:textId="77777777" w:rsidR="00D4651C" w:rsidRPr="008127F8" w:rsidRDefault="00D4651C" w:rsidP="001E0A84">
      <w:pPr>
        <w:pStyle w:val="Iauiue"/>
        <w:jc w:val="both"/>
        <w:rPr>
          <w:color w:val="000000" w:themeColor="text1"/>
          <w:sz w:val="16"/>
          <w:szCs w:val="16"/>
        </w:rPr>
      </w:pPr>
    </w:p>
    <w:p w14:paraId="3BCC03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 постановлением ГКО № 1206сс и приказом № 73сс от 26.01.1942 г. в системе 3ГУ НКАП на площадях эвакуированного ЦИАМ при технической помощи завода № 154 для ремонта и изготовления авиамоторов М-11 был основан завод № 41. В связи с частичным возвращением (к 04.1942 г.) и возобновлением деятельности ЦИАМ на прежнем месте в соответствии с постановлением ГКО № 1405с от 7.03.1942 г.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w:t>
      </w:r>
    </w:p>
    <w:p w14:paraId="1CA2EC5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31512C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1228105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146с от 26.02.1944 г. из г. Андижана на завод № 41 переведено ОКБ завода № 154 НКАП. </w:t>
      </w:r>
    </w:p>
    <w:p w14:paraId="2607CC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w:t>
      </w:r>
    </w:p>
    <w:p w14:paraId="145021F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3ГУ в 8ГУ. В связи с этим производство моторов М-11 передали на завод № 154 МАП. С 1.07.1948 г. завод передан из 8ГУ в 4ГУ, с 1.07.1949 г.- во 2ГУ МАП.</w:t>
      </w:r>
    </w:p>
    <w:p w14:paraId="6134A8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Двигателестроительный завод № 41 МАП в 1953 г. переведен на новую тематику - ракетостроение (как серийный завод).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3C21A1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 </w:t>
      </w:r>
    </w:p>
    <w:p w14:paraId="714F8D9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1960-х 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13F7ECA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Создана ГСН для ККР «Дракон» П-15.58 </w:t>
      </w:r>
    </w:p>
    <w:p w14:paraId="293E23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НПО «Авангард» входили филиал в г. Гомеле и филиал в г. Торжке (Торжокский завод металлоизделий). ММЗ «Авангард» входит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4FD64A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П.В. Гулянский (нач. отдела пластмасс).</w:t>
      </w:r>
    </w:p>
    <w:p w14:paraId="6AF152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(1975-1980-е г.)- В.П. Пасько. Гендиректор (-07.2002-03 г.)- Л. Брюханов.</w:t>
      </w:r>
    </w:p>
    <w:p w14:paraId="46E651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завода (1944-46 г.)- Е.В. Урмин (до этого- гл. конструктор ОКБ-29), (1948-49 г.)- В.В. Уваров.</w:t>
      </w:r>
    </w:p>
    <w:p w14:paraId="0CD7811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М.Л. Кононенко, (1946 г.)- Размат, (1953-69 г.)- А.В. Малютин.</w:t>
      </w:r>
    </w:p>
    <w:p w14:paraId="427EECE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А.И. Березин.</w:t>
      </w:r>
    </w:p>
    <w:p w14:paraId="1A53F6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моторы М-11 (1942), М-11Д (1943-46), М-11ФН (1945-46); </w:t>
      </w:r>
    </w:p>
    <w:p w14:paraId="222CDAA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ЗУР: В-300 («205», 1953-54), «207» (1954-56), МКР "Буря" (1956), В-755 ("1Д", 1956-58), В-750ВН (1958-61), В-755 (1960-), "20Д", ЗУР 500Р, 5В55 для С-300; противоракеты 51Т6, 53Т6 для А-135 (1990-92).</w:t>
      </w:r>
    </w:p>
    <w:p w14:paraId="2DCCB1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41 НКАП, МАП, МОП, Московский машиностроительный завод (ММЗ), НПО, ММПО "Авангард", ГП, ОАО «ММЗ «Авангард»</w:t>
      </w:r>
    </w:p>
    <w:p w14:paraId="20C9FDF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Авиамоторная, 2 (1942 г.); Старопетровский пр., 41 (1947 г.)</w:t>
      </w:r>
    </w:p>
    <w:p w14:paraId="0021A4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125130 г. Москва, ул. Клары Цеткин, 33 (10776).</w:t>
      </w:r>
    </w:p>
    <w:p w14:paraId="25A562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завода № 41 НКАП </w:t>
      </w:r>
    </w:p>
    <w:p w14:paraId="54B3C81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100FF2A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приказов НКАП № 16с от 8.01.1944 г. и № 146с от 26.02.1944 г. при заводе № 41 в составе 8ГУ образовано ОКБ с опытной базой для работ по маломощным моторам.</w:t>
      </w:r>
    </w:p>
    <w:p w14:paraId="4EDB96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592B826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Модификации мотора М-11: М-11Ф (испытан в 02.1945 г., ведущий конструктор- А.М. Власенко), М-11Я, М-12 (испытан в 05.1945 г., ведущий конструктор- А.М. Власенко).</w:t>
      </w:r>
    </w:p>
    <w:p w14:paraId="75377C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w:t>
      </w:r>
    </w:p>
    <w:p w14:paraId="6CA91EC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2F0E42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51167DB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(1944-46 г.)- Е.В. Урмин (до этого- гл. конструктор ОКБ-29), (1950-е г.)- Н.Е. Наумов.</w:t>
      </w:r>
    </w:p>
    <w:p w14:paraId="66E127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(1946-48 г.)- И.А. Мужилов.</w:t>
      </w:r>
    </w:p>
    <w:p w14:paraId="66BFB8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завода № 41 НКАП, ОКБ-41 МАП </w:t>
      </w:r>
    </w:p>
    <w:p w14:paraId="64127A0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33E0F96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образовано на заводе № 41 по приказу № 414сс от 1.07.1946 г. для работ по опытным ГТД, в т.ч. по Э-30-80М.</w:t>
      </w:r>
    </w:p>
    <w:p w14:paraId="58CC8C2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w:t>
      </w:r>
    </w:p>
    <w:p w14:paraId="3A28B22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над экспериментальными ТВД Э-30-80А (1947 г.), Э-30-80М (1948 г.), Э-30-81, Э-30-81А (1948 г.), Э-30-81М.</w:t>
      </w:r>
    </w:p>
    <w:p w14:paraId="4647EF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Затем ОКБ было закрыто. Вновь образовано, выделившись из завода № 41 МАП, с 1.07.1948 г. (приказ МАП № 440с от 21.06.1948 г.) в составе 8ГУ МАП. </w:t>
      </w:r>
    </w:p>
    <w:p w14:paraId="50C8EB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773 от 10.10.1949 г. работы по ТВД прекращены. С 1949 г. В.В. Уваров- на преподавательской работе в МВТУ (работал по 1977 г.).</w:t>
      </w:r>
    </w:p>
    <w:p w14:paraId="46F55EB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ответственный руководитель (08.1946 г.-)- В.В. Уваров.</w:t>
      </w:r>
    </w:p>
    <w:p w14:paraId="4E3FB7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(08.1946 г.-)- Востриков (10776).</w:t>
      </w:r>
    </w:p>
    <w:p w14:paraId="7D77155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C7B414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января 1942 г. по постановлению ГКО №ГКО-1206 и приказу №73 от 26.1.42 г. при техпомощи завода №154 НКАП в г.Москве в системе 3ГУ НКАП на площадях эвакуированного ЦИАМ образован завод № 41 для ремонта и производства авиамоторов типа М-11. Директором назначен А.П.Богданов, гл.и. М.Л.Кононенко, зам. дир. А.И.Березин. </w:t>
      </w:r>
    </w:p>
    <w:p w14:paraId="7F83954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(все по приказу №192 от 12.3.42 г.) по ул.Авиамоторная. </w:t>
      </w:r>
    </w:p>
    <w:p w14:paraId="7601F0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Осуществлял ремонт моторов М-25, М-62, М-63, М-11, производство моторов М-11 (42 г.) и его модификаций. </w:t>
      </w:r>
    </w:p>
    <w:p w14:paraId="437CCA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257E67A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Директор - А.С.Кочедыков (194243гг), Н.Ф.Казаков (с 1943-46гг).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7D5B71C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382969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27CD2E2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05703C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3DD291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521C31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гл.к. назначен В.В.Уваров (приказ №546 от 15.8.46 г.). Штат формировался в основном за счет опытного и серийного КБ завода. </w:t>
      </w:r>
    </w:p>
    <w:p w14:paraId="1EAD6E3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7E6AEBA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.7.48 г. завод передан из 8ГУ в 4ГУ (моторные агрегаты), с 1.7.49 г. - во 2ГУ МАП (самолетные агрегаты). </w:t>
      </w:r>
    </w:p>
    <w:p w14:paraId="66E0640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А.Т.Завитаев (1946-48гг). Далее дир. - Ю.А.Мизюров (до 1950 г.), И.А.Лихачев (в 1950-53гг.). </w:t>
      </w:r>
    </w:p>
    <w:p w14:paraId="496A37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8127F8">
        <w:rPr>
          <w:rFonts w:ascii="Times New Roman" w:hAnsi="Times New Roman"/>
          <w:color w:val="000000" w:themeColor="text1"/>
          <w:sz w:val="16"/>
          <w:szCs w:val="16"/>
        </w:rPr>
        <w:t>гл.инж</w:t>
      </w:r>
      <w:proofErr w:type="gramEnd"/>
      <w:r w:rsidRPr="008127F8">
        <w:rPr>
          <w:rFonts w:ascii="Times New Roman" w:hAnsi="Times New Roman"/>
          <w:color w:val="000000" w:themeColor="text1"/>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0AD018F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6C5A8A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6885269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5726627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Авангард, Московский машиностроительный завод, ОАО (ОАО "ММЗ "Авангард") </w:t>
      </w:r>
    </w:p>
    <w:p w14:paraId="769C79D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6BFB55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- 125130 г.Москва ул.Цеткин К., 33 (10777).</w:t>
      </w:r>
    </w:p>
    <w:p w14:paraId="23F97CE8"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5398C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вышло Постановление ГКО № 1204 Об обеспечении выпуска радиаторных трубок на заводе № 518. РГАНИР, Фонд ГКО, д. 20, лл. 104, 105 (11012).</w:t>
      </w:r>
    </w:p>
    <w:p w14:paraId="7BDF2B5E"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B8FB0DB"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12809734" w14:textId="77777777" w:rsidR="00D4651C" w:rsidRPr="008127F8" w:rsidRDefault="00D4651C" w:rsidP="001E0A84">
      <w:pPr>
        <w:pStyle w:val="Iauiue"/>
        <w:jc w:val="both"/>
        <w:rPr>
          <w:iCs/>
          <w:color w:val="000000" w:themeColor="text1"/>
          <w:sz w:val="16"/>
          <w:szCs w:val="16"/>
        </w:rPr>
      </w:pPr>
    </w:p>
    <w:p w14:paraId="6A3570F7"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24 января 1942 года вечером в ходе телефонного разговора Сталина с заместителем народного комиссара танковой промышленности И.М. Зальцманом была поднята тема КВ-1.</w:t>
      </w:r>
    </w:p>
    <w:p w14:paraId="1F3BB416"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Решать проблему снижения подвижности предполагалось несколькими путями. Для начала, мощность двигателя В-2К планировалось поднять до 700 лошадиных сил. Решение вполне логичное, но недостаточное. Снижение подвижности выражалось и в уменьшении возможности преодоления снежных преград, о чем прямо было сказано руководителем советского государства:</w:t>
      </w:r>
    </w:p>
    <w:p w14:paraId="5078693D"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r w:rsidRPr="008127F8">
        <w:rPr>
          <w:rFonts w:ascii="Times New Roman" w:eastAsia="Times New Roman" w:hAnsi="Times New Roman"/>
          <w:iCs/>
          <w:color w:val="000000" w:themeColor="text1"/>
          <w:sz w:val="16"/>
          <w:szCs w:val="16"/>
          <w:lang w:eastAsia="ru-RU"/>
        </w:rPr>
        <w:t xml:space="preserve">Танк Т-34 по глубокому снежному покрову ходит хорошо, как ласточка летает, КВ плохо». </w:t>
      </w:r>
    </w:p>
    <w:p w14:paraId="366A1A4F"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Сталин указал на еще один путь решения проблемы подвижности – снижение боевой массы КВ-1.</w:t>
      </w:r>
    </w:p>
    <w:p w14:paraId="1F8017AD"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Первым делом на ЧКЗ пошли по пути форсирования двигателя, параллельно несколько переделав ходовую часть. В феврале 1942 года на испытания вышли три танка КВ-1. Один из них, №25818, был серийным и использовался в качестве эталона. Второй, с серийным номером 6728, получил ведущие колеса с уменьшенным числом зубьев. Кроме того, ему изменили передаточные числа бортовой передачи. Наконец, танк с серийным номером 10033, кроме изменений, аналогичных изменениям танка №6728, получил мотор В-2КФ, форсированный до 650 л.с., а также пневматический регулятор Настенко.</w:t>
      </w:r>
    </w:p>
    <w:p w14:paraId="10190C8F"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Испытания выявили, что танк с форсированным двигателем имел наименьшую среднюю скорость. Перегрев двигателя стал постоянным спутником этого танка, внесенные в его конструкцию изменения не смогли каким-то особым образом улучшить ситуацию. Оказалось, что простое форсирование мотора не давало преимуществ. По результатам испытаний изменения по ходовой части были одобрены (но в серию их так и не пустили). Кроме того, было указано на необходимость переделки системы охлаждения (17682).</w:t>
      </w:r>
    </w:p>
    <w:p w14:paraId="2C039315" w14:textId="77777777" w:rsidR="003F7080" w:rsidRPr="008127F8" w:rsidRDefault="003F7080" w:rsidP="001E0A84">
      <w:pPr>
        <w:spacing w:after="0" w:line="240" w:lineRule="auto"/>
        <w:jc w:val="both"/>
        <w:rPr>
          <w:rFonts w:ascii="Times New Roman" w:hAnsi="Times New Roman"/>
          <w:color w:val="000000" w:themeColor="text1"/>
          <w:sz w:val="16"/>
          <w:szCs w:val="16"/>
        </w:rPr>
      </w:pPr>
    </w:p>
    <w:p w14:paraId="202E4AE6"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года вышел приказ № 37с НКТП Челябинск</w:t>
      </w:r>
    </w:p>
    <w:p w14:paraId="2AFC0AD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Во исполнение постановления ГКО от 13 октября 1941 года и 14 ноября 1941 года на площадке бывшего “СТРОЙСЕМЬ” построить танковый завод С-70 для выпуска танков Т-34. Завод должен быть пущен в эксплуатацию 1 июля 1942 года (6118, 160).</w:t>
      </w:r>
    </w:p>
    <w:p w14:paraId="22396155" w14:textId="77777777" w:rsidR="00D4651C" w:rsidRPr="008127F8" w:rsidRDefault="00D4651C" w:rsidP="001E0A84">
      <w:pPr>
        <w:pStyle w:val="Iauiue"/>
        <w:tabs>
          <w:tab w:val="left" w:pos="11199"/>
        </w:tabs>
        <w:jc w:val="both"/>
        <w:rPr>
          <w:color w:val="000000" w:themeColor="text1"/>
          <w:sz w:val="16"/>
          <w:szCs w:val="16"/>
        </w:rPr>
      </w:pPr>
    </w:p>
    <w:p w14:paraId="7B8E2638"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1942 г. Докладная записка руководства завода № 174 Наркомата танковой промышленности СССР председателю ГКО СССР И. В. Сталину о необходимости возобновления производства танков Т-50</w:t>
      </w:r>
    </w:p>
    <w:p w14:paraId="175D3206"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D54D76F"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ГКО от 6 января 1942 г., в связи с усилением броневой защиты танка Т-60 до 35 мм, танк Т-50 с производства снят, а освоивший в производстве эту машину завод № 174 предназначается для выпуска отдельных узлов и деталей к танкам KB. Приступив к выполнению указанного постановления, считаем необходимым доложить Вам о следующем.</w:t>
      </w:r>
    </w:p>
    <w:p w14:paraId="6AD9B38F"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 Т-50 является машиной массового выпуска, так как он предназначен для опровождения пехоты. Жесткие требования, предъявленные к танку при его проектировании — по весу, скорости и броневой защите, — позволили создать наиболее современную боевую машину, показавшую в боевых операциях на Ленинградском фронте отличные результаты. Высокие тактико-технические показатели танка Т-50 по вооружению (45-мм пушка), броневой защите (37 мм) и скорости движения (до 50 км/ч) дают основание утверждать, что эта машина по своему назначению незаменима ни одним из существующих образцов танков, и тем более танком Т-60, с частичной броневой защитой до 35 мм.</w:t>
      </w:r>
    </w:p>
    <w:p w14:paraId="3CCA6711"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имеющимся у нас данным, танк Т-60 имеет автомобильный двигатель мощностью всего лишь до 85 л. с. При усилении броневой защиты до 35 мм эта машина неизбежно утрачивает свою маневренность, а при вооружении только 20-мм пушкой эта машина совершенно бессильна в борьбе с танками противника.</w:t>
      </w:r>
    </w:p>
    <w:p w14:paraId="3BE0C33B"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снятии с вооружения Красной армии танка Т-50 наши танковые средства лишаются проверенной и наиболее действенной в борьбе с танками противника 45-мм» танковой пушки.</w:t>
      </w:r>
    </w:p>
    <w:p w14:paraId="38AE6FEC"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необходимо отметить, что эффективное использование боевых свойст танков Т-34 и КВ можно достигнуть только при наличии и в сочетании с танками T-50. На базе такого танка, как Т-50, имеющего большой запас мощности, возможны любы модификации легкого типа танков, что совершенно невозможно сделать на базе танк Т-60. Что же касается танков Т-34 и КВ, то эти машины, несмотря на их боевые преимущества, не могут все же в массовом масштабе заменить танк Т-50, как по их назначению, так и в силу их дороговизны и больших затрат металла. Следует указать, чтоб по расходу металла один танк КВ равен 4 танкам Т-50.</w:t>
      </w:r>
    </w:p>
    <w:p w14:paraId="17088123"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момента решения КО при СНК СССР о принятии машины Т-50 на вооружение Красной армии, заводом проведена была большая работа, затрачено много времени (6 м[еся]цев) и средств (свыше 30 млн руб.) на подготовку и освоение в производстве машины Т-50, что дало возможность заводу с июня месяца 1941 г. приступить к производству машин, постепенно набирая темпы выпуска. Так, в июне было выпущено 2 машины, в июле было выпущено 13 машин, в августе (с 1 по 17 августа) было выпущено 25 машин. Одновременно была проведена подготовка и освоение производства агрегатов и деталей для Т-50 на кооперированных заводах: Ижорском, заводе № 75 и прочих смежных заводах. В связи с начавшейся с 18 августа эвакуацией завода выпуск машин Т-50 прекратился.</w:t>
      </w:r>
    </w:p>
    <w:p w14:paraId="3C4ECB5F"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октябрь-ноябрь мес[яцы] заводом на новом месте, в г. Чкалове, было организовано и пущено в эксплуатацию 17 цехов3*, смонтировано и введено в эксплуатацию 1400 ед. оборудования, расставленных по технологическому] процессу для производства танков Т-50, организовано 18 поточных линий, оборудовано 23 специальных печи для термообработки деталей машины Т-50, установлены стенды в цехе сборки агрегатов, организовано инструментальное и прочее вспомогательное хозяйство.</w:t>
      </w:r>
    </w:p>
    <w:p w14:paraId="35DCC312"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Одновременно проведена большая работа по конструктивному и технологическому упрощению машины, по замене дефицитных материалов и дефицитных марок стали на менее дефицитные (цветное литье переведено на чугун, основные детали ходовой части переведены со штамповки на </w:t>
      </w:r>
      <w:proofErr w:type="gramStart"/>
      <w:r w:rsidRPr="008A2E5A">
        <w:rPr>
          <w:rFonts w:ascii="Times New Roman" w:hAnsi="Times New Roman"/>
          <w:color w:val="0070C0"/>
          <w:sz w:val="16"/>
          <w:szCs w:val="16"/>
        </w:rPr>
        <w:t>литье!.</w:t>
      </w:r>
      <w:proofErr w:type="gramEnd"/>
      <w:r w:rsidRPr="008A2E5A">
        <w:rPr>
          <w:rFonts w:ascii="Times New Roman" w:hAnsi="Times New Roman"/>
          <w:color w:val="0070C0"/>
          <w:sz w:val="16"/>
          <w:szCs w:val="16"/>
        </w:rPr>
        <w:t xml:space="preserve"> Заводом были приняты также меры по развертыванию производства деталей Т-503 на кооперированных заводах, в том числе и на новых базах (заводы № 170,171,172,179).</w:t>
      </w:r>
    </w:p>
    <w:p w14:paraId="71344EEC"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завод № 174, пройдя этап восстановления и подготовки производства на новом месте, в настоящее время представляет собой находящуюся в глубоком тылу, на Востоке, базу с подготовленным оборудованием и кадрами по годовому выпуску современных танков Т-50 в количестве 3-3,5 тыс. шт. при возможности дальнейшего расширения.</w:t>
      </w:r>
    </w:p>
    <w:p w14:paraId="7EC49536"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касается временных трудностей по обеспечению завода материалами и полуфабрикатами, послуживших причиной слабого разворота производства в декабре, то необходимо учесть, что предстоящий ввод в эксплуатацию кузницы и строительство шкЛитейного цеха освободит завод от кооперации по литью, поковкам и штамповкам с Кировским заводом, СТЗ и другими кооперированными заводами.</w:t>
      </w:r>
    </w:p>
    <w:p w14:paraId="569D44F5"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Предусмотренное постановлением ГКО переключение завода с производства танков Т-50 на изготовление деталей и узлов для КВ потребует получения с Кировского завода недостающего оборудования: зуборезных, лоскошлифовальных и протяжных станков; длительной подготовки производства, зготовления специального оснащения и приобретения навыка рабочими и ИТР завода в изготовлении деталей и узлов КВ.</w:t>
      </w:r>
    </w:p>
    <w:p w14:paraId="6A6B4D15"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Освоение производства узлов КВ на нашем заводе не освобождает полностью Кировский завод от изготовления этих узлов, и работа по выпуску их будет проводться параллельно на заводе № 174 и на Кировском заводе. Одновременно снятие с производства машины Т-50 разукомплектовывает завод, оставляет без загрузки на заводе № 174 машиносборочный цех, располагающий опытными кадрами сборщиков, водителей и испытателей, цех холодной штамповки и часть оборудования механических цехов. Также не могут быть использованы в полной мере квалифицированные инструкторские кадры завода.</w:t>
      </w:r>
    </w:p>
    <w:p w14:paraId="317915EA"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174, первым начавший выпуск танков в стране, за 11 лет своего существования как самостоятельный танковый завод выпустил свыше 12 тыс. танков, накопил большой производственный опыт и создал квалифицированные кадры конструкторов, следователей и рабочих.</w:t>
      </w:r>
    </w:p>
    <w:p w14:paraId="0D4A9272"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переключение завода с производства танков Т-50 на изготовление сталей и узлов КВ выводит из строя, в период острой нужды страны в танках, ставший танковый завод, подготовленный к серийному выпуску современных танков Т-50, оказывая лишь незначительную помощь Кировскому заводу.</w:t>
      </w:r>
    </w:p>
    <w:p w14:paraId="00E0CA21"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4AB6F5A1"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Танк Т-50, благодаря своей маневренности, вооружению и броневой защите, как машина для сопровождения пехоты, не может быть заменен танком Т-60.</w:t>
      </w:r>
    </w:p>
    <w:p w14:paraId="67FA10AE"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Снятие с производства танка Т-50 не только лишает возможности Красную Армию использовать наиболее совершенное оружие, но и приводит к тому, что завод № 174 вместе с заводами смежного производства в течение 2-3 месяцев не может быть эфффективно использован.</w:t>
      </w:r>
    </w:p>
    <w:p w14:paraId="7F5EDDCA"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Переход завода № 174 на производство деталей и отдельных узлов к танкам КВ не расширяет, а, наоборот, сужает производственные возможности танковой промышленности, так как этот переход требует длительного времени на перестройку произщства, при этом часть оборудования, площадей и кадров не могут быть использованы совершенно.</w:t>
      </w:r>
    </w:p>
    <w:p w14:paraId="756F94E0"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 случае возобновления производства танка Т-50 завод № 174 в ближайшие -4 месяца может довести выпуск машин до 10 шт. в сутки. С вводом в эксплуатацию Омского и Барнаульского заводов Красная армия уже летом 1942 г. может получить необходимое количество наиболее современных танков легкого типа.</w:t>
      </w:r>
    </w:p>
    <w:p w14:paraId="54AF5760"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изложенного, считаем необходимым просить Вас, т. Сталин, пересмореть постановление Государственного комитета обороны № 1114сс от 6 января 1942 г. и дать указание танковой промышленности возобновить производство танков Т-50.</w:t>
      </w:r>
    </w:p>
    <w:p w14:paraId="65B7DD68"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Необходимые условия для этого производства уже созданы.</w:t>
      </w:r>
    </w:p>
    <w:p w14:paraId="59B5CF53"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№174 Кацнельсон</w:t>
      </w:r>
    </w:p>
    <w:p w14:paraId="2EDF7640"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Парторг ЦК ВКП(б) на заводе № 174 Шаркост</w:t>
      </w:r>
    </w:p>
    <w:p w14:paraId="4DC83996"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И. В. Сталина красным карандашом на первом листе: «От т. Кацнельсона, директора завода № 174 и парторга Шаркова. Послать тт. Малышеву и Маленкову».</w:t>
      </w:r>
    </w:p>
    <w:p w14:paraId="1555FC26"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On. 46. Д. 388. Л. 59-66. Подлинник (24017).</w:t>
      </w:r>
    </w:p>
    <w:p w14:paraId="1EB6EA51" w14:textId="77777777" w:rsidR="004363F6" w:rsidRPr="008A2E5A" w:rsidRDefault="004363F6" w:rsidP="004363F6">
      <w:pPr>
        <w:spacing w:after="0" w:line="240" w:lineRule="auto"/>
        <w:jc w:val="both"/>
        <w:rPr>
          <w:rFonts w:ascii="Times New Roman" w:hAnsi="Times New Roman"/>
          <w:color w:val="0070C0"/>
          <w:sz w:val="16"/>
          <w:szCs w:val="16"/>
        </w:rPr>
      </w:pPr>
    </w:p>
    <w:p w14:paraId="1407E2EC" w14:textId="77777777" w:rsidR="005F7283" w:rsidRPr="008127F8" w:rsidRDefault="005F7283" w:rsidP="001E0A84">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r w:rsidRPr="008127F8">
        <w:rPr>
          <w:rStyle w:val="921"/>
          <w:rFonts w:ascii="Times New Roman" w:hAnsi="Times New Roman" w:cs="Times New Roman"/>
          <w:color w:val="000000" w:themeColor="text1"/>
          <w:sz w:val="16"/>
          <w:szCs w:val="16"/>
        </w:rPr>
        <w:t>24 января 1942 года в разговоре с наркомом танковой промышлен</w:t>
      </w:r>
      <w:r w:rsidRPr="008127F8">
        <w:rPr>
          <w:rStyle w:val="921"/>
          <w:rFonts w:ascii="Times New Roman" w:hAnsi="Times New Roman" w:cs="Times New Roman"/>
          <w:color w:val="000000" w:themeColor="text1"/>
          <w:sz w:val="16"/>
          <w:szCs w:val="16"/>
        </w:rPr>
        <w:softHyphen/>
        <w:t>ности В.А. Малышевым И.В. Сталин говорил</w:t>
      </w:r>
      <w:r w:rsidRPr="008127F8">
        <w:rPr>
          <w:rStyle w:val="921"/>
          <w:rFonts w:ascii="Times New Roman" w:hAnsi="Times New Roman" w:cs="Times New Roman"/>
          <w:color w:val="000000" w:themeColor="text1"/>
          <w:sz w:val="16"/>
          <w:szCs w:val="16"/>
          <w:lang w:val="ru-RU"/>
        </w:rPr>
        <w:t>, что б</w:t>
      </w:r>
      <w:r w:rsidRPr="008127F8">
        <w:rPr>
          <w:rStyle w:val="921"/>
          <w:rFonts w:ascii="Times New Roman" w:hAnsi="Times New Roman" w:cs="Times New Roman"/>
          <w:color w:val="000000" w:themeColor="text1"/>
          <w:sz w:val="16"/>
          <w:szCs w:val="16"/>
        </w:rPr>
        <w:t>оевое применение КВ-1 показало, что танк обладает мощной броневой защи</w:t>
      </w:r>
      <w:r w:rsidRPr="008127F8">
        <w:rPr>
          <w:rStyle w:val="921"/>
          <w:rFonts w:ascii="Times New Roman" w:hAnsi="Times New Roman" w:cs="Times New Roman"/>
          <w:color w:val="000000" w:themeColor="text1"/>
          <w:sz w:val="16"/>
          <w:szCs w:val="16"/>
        </w:rPr>
        <w:softHyphen/>
        <w:t>той, но имеет низкую подвижность. То же самое он повторил и И.М. Зальцману, директору Челябинского Кировского Завода</w:t>
      </w:r>
      <w:r w:rsidRPr="008127F8">
        <w:rPr>
          <w:rStyle w:val="921"/>
          <w:rFonts w:ascii="Times New Roman" w:hAnsi="Times New Roman" w:cs="Times New Roman"/>
          <w:color w:val="000000" w:themeColor="text1"/>
          <w:sz w:val="16"/>
          <w:szCs w:val="16"/>
          <w:lang w:val="ru-RU"/>
        </w:rPr>
        <w:t xml:space="preserve"> (19872)</w:t>
      </w:r>
      <w:r w:rsidRPr="008127F8">
        <w:rPr>
          <w:rStyle w:val="921"/>
          <w:rFonts w:ascii="Times New Roman" w:hAnsi="Times New Roman" w:cs="Times New Roman"/>
          <w:color w:val="000000" w:themeColor="text1"/>
          <w:sz w:val="16"/>
          <w:szCs w:val="16"/>
        </w:rPr>
        <w:t>.</w:t>
      </w:r>
    </w:p>
    <w:p w14:paraId="0D9930D5" w14:textId="77777777" w:rsidR="005F7283" w:rsidRPr="008127F8" w:rsidRDefault="005F7283" w:rsidP="001E0A84">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p>
    <w:p w14:paraId="48F31E97" w14:textId="77777777" w:rsidR="005F7283" w:rsidRPr="008127F8" w:rsidRDefault="005F728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24 января 1942 вышел приказ №012, согласно которому с 26 января по 5 февраля на Корейском Полигоне проводились испытания КВ-9. Реально испытания прошли позднее - со 2 по 11 февраля. В ходе изучения опытного образца КВ-9 выяснилось, что реальный угол снижения орудия составляет всего -2 градуса. За время испытаний было произведено 210 выстрелов, из них 171 на заводском полигоне лафетопробными снарядами и усиленными зарядами. Стрельба показала, что скорострельность составила 2 выстрела в минуту, что, откровенно говоря, маловато. Проблему можно было решить введением второго заряжающего, но девать его попросту оказалось некуда (20860).</w:t>
      </w:r>
    </w:p>
    <w:p w14:paraId="31E95E13" w14:textId="77777777" w:rsidR="005F7283" w:rsidRPr="008127F8" w:rsidRDefault="005F7283" w:rsidP="001E0A84">
      <w:pPr>
        <w:spacing w:after="0" w:line="240" w:lineRule="auto"/>
        <w:jc w:val="both"/>
        <w:rPr>
          <w:rFonts w:ascii="Times New Roman" w:eastAsia="Times New Roman" w:hAnsi="Times New Roman"/>
          <w:color w:val="000000" w:themeColor="text1"/>
          <w:sz w:val="16"/>
          <w:szCs w:val="16"/>
          <w:lang w:eastAsia="ru-RU"/>
        </w:rPr>
      </w:pPr>
    </w:p>
    <w:p w14:paraId="0E57B154"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вышло [Справка о выдаче мандатов Попову Г.М. - уполномоченному ГКО на Саратовском и Куйбышевском шарикоподшипниковых заводах и командированным с ним Володину H.В., Лимно Ф.К., Лосеву А.Г.] № 1209 (7021, 110).</w:t>
      </w:r>
    </w:p>
    <w:p w14:paraId="553AA6E0" w14:textId="77777777" w:rsidR="00D4651C" w:rsidRPr="008127F8" w:rsidRDefault="00D4651C" w:rsidP="001E0A84">
      <w:pPr>
        <w:pStyle w:val="Iauiue"/>
        <w:tabs>
          <w:tab w:val="left" w:pos="11199"/>
        </w:tabs>
        <w:jc w:val="both"/>
        <w:rPr>
          <w:color w:val="000000" w:themeColor="text1"/>
          <w:sz w:val="16"/>
          <w:szCs w:val="16"/>
        </w:rPr>
      </w:pPr>
    </w:p>
    <w:p w14:paraId="4620C48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года вышло еще одно постановление СНК СССР, в котором говорилось о Куйбышевском подшипниковом заводе: «Обязать Наркомстрой (т. Гинзбурга) закончить к 15 февраля 1942 г. все санитарно-технические и электромонтажные работы по приспособлению под производство подшипников в помещениях Линдова военного городка, а также к 15 февраля 1942 г. построить кузнечный цех на площадке завода "Трактородеталь" в г. Куйбышеве». Жесткие сроки заданий по выпуску авиационных и танковых подшипников заставили руководство завода искать дополнительные мощности для своего производства. На Безымянке был обследован завод НКПС имени Куйбышева. Здесь решено было разместить производство танковых подшипников. 18 марта 1942 года на этой площадке была собрана первая партия продукции. Так родился 9ГПЗ, будущее акционерное общество «Самарский подшипниковый завод». Первому директору этого филиала Л.М.Астринскому в августе 1942 года было приказано помимо подшипников начать выпуск корпусов 120 мм мин. В августе их предстояло отгрузить 15000 шт., в сентябре - 15000 шт. Сдачу корпусов мин предписывалось производить ежедекадно равномерными партиями. Производство это было чисто военное, оно давало некоторые льготы работникам предприятия. Поэтому начальнику ОРСа филиала КПЗ т. Полонскому предписывалось организовать для рабочих, занятых на литье мин, улучшенное питание, «обеспечив дополнительное питание хлебом (без погашения талонов в карточках), согласно Постановлению ГКО». На основной площадке КПЗ в Линдовом городке между тем шла работа по наращиванию выпуска продукции. Для этого дорабатывалось, усовершенствовалось привезенное из Москвы оборудование. В результате в 1942 году план по выработке на 1 рабочего был выполнен на 162,8%. План снижения себестоимости, установленный в размере 10,6%, выполнен на 11,2%, чем была создана дополнительная экономия в размере 106 тыс. руб. Завод получил экономию фонда зарплаты в размере 700 тыс. руб., или 5% к плану. Рентабельность от реализации продукции составила 117,6% к плану, а чистая прибыль 101,3% к плану. Этот труд был высоко отмечен. В августе 1942 года за успешную производственную деятельность Куйбышевский подшипниковый завод был награжден переходящим Красным знаменем Государственного комитета обороны, а в январе 1943 года вышел Указ о награждении предприятия и его лучших работников. За годы войны Куйбышев выпустил 44,3 миллионов подшипников. По сути, наш город стал центром всей подшипниковой промышленности страны. При этом 4-й ГПЗ и его филиал не только обеспечивали оборонные заводы своей продукцией, но и помогали встать на ноги другим предприятиям своей отрасли. Кроме того, они помогали станками, инструментом, оборудованием, различными материалами восстанавливать народное хозяйство в освобожденных от фашистов районах страны (11878).</w:t>
      </w:r>
    </w:p>
    <w:p w14:paraId="7220511F"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290F85FA"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1942 г. Из постановления СНК СССР об ускорении производства подшипников для танковой и авиационной промышленности на КПЗ</w:t>
      </w:r>
    </w:p>
    <w:p w14:paraId="53939752"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6020F3E9"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ускорения выпуска шарикоподшипников для танков и авиации на Саратовском и Куйбышевском подшипниковых заводах, Совет Народных Комиссаров Союза ССР ПОСТАНОВЛЯЕТ:</w:t>
      </w:r>
    </w:p>
    <w:p w14:paraId="6B3A2AA7"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Саратовскому подшипниковому заводу:</w:t>
      </w:r>
    </w:p>
    <w:p w14:paraId="31832FEC"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 Мобилизовать в г. Москве сроком на 6 месяцев и в г. Куйбышеве на постоянную работу для Саратовского подшипникового завода 1000 квалифицированных рабочих, работавших до эвакуации на Первом государственном шарикоподшипниковом заводе им. Л.М. Кагановича, следующих квалификаций:</w:t>
      </w:r>
    </w:p>
    <w:p w14:paraId="10D22FE7"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Москве в Куйбышеве</w:t>
      </w:r>
    </w:p>
    <w:p w14:paraId="6A84691D"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Токарей-универсалов от 4 до 7 разряда Шлифовщиков-инструменталистов</w:t>
      </w:r>
      <w:r w:rsidRPr="008A2E5A">
        <w:rPr>
          <w:rFonts w:ascii="Times New Roman" w:hAnsi="Times New Roman"/>
          <w:color w:val="0070C0"/>
          <w:sz w:val="16"/>
          <w:szCs w:val="16"/>
        </w:rPr>
        <w:tab/>
        <w:t>70</w:t>
      </w:r>
      <w:r w:rsidRPr="008A2E5A">
        <w:rPr>
          <w:rFonts w:ascii="Times New Roman" w:hAnsi="Times New Roman"/>
          <w:color w:val="0070C0"/>
          <w:sz w:val="16"/>
          <w:szCs w:val="16"/>
        </w:rPr>
        <w:tab/>
        <w:t>20</w:t>
      </w:r>
    </w:p>
    <w:p w14:paraId="74C16036"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4-го разряда</w:t>
      </w:r>
      <w:r w:rsidRPr="008A2E5A">
        <w:rPr>
          <w:rFonts w:ascii="Times New Roman" w:hAnsi="Times New Roman"/>
          <w:color w:val="0070C0"/>
          <w:sz w:val="16"/>
          <w:szCs w:val="16"/>
        </w:rPr>
        <w:tab/>
        <w:t>15</w:t>
      </w:r>
      <w:r w:rsidRPr="008A2E5A">
        <w:rPr>
          <w:rFonts w:ascii="Times New Roman" w:hAnsi="Times New Roman"/>
          <w:color w:val="0070C0"/>
          <w:sz w:val="16"/>
          <w:szCs w:val="16"/>
        </w:rPr>
        <w:tab/>
        <w:t>5</w:t>
      </w:r>
    </w:p>
    <w:p w14:paraId="39950049"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Шлифовщиков основных цехов</w:t>
      </w:r>
      <w:r w:rsidRPr="008A2E5A">
        <w:rPr>
          <w:rFonts w:ascii="Times New Roman" w:hAnsi="Times New Roman"/>
          <w:color w:val="0070C0"/>
          <w:sz w:val="16"/>
          <w:szCs w:val="16"/>
        </w:rPr>
        <w:tab/>
        <w:t>80</w:t>
      </w:r>
      <w:r w:rsidRPr="008A2E5A">
        <w:rPr>
          <w:rFonts w:ascii="Times New Roman" w:hAnsi="Times New Roman"/>
          <w:color w:val="0070C0"/>
          <w:sz w:val="16"/>
          <w:szCs w:val="16"/>
        </w:rPr>
        <w:tab/>
        <w:t>100</w:t>
      </w:r>
    </w:p>
    <w:p w14:paraId="2438D659"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Автоматчиков основных цехов</w:t>
      </w:r>
      <w:r w:rsidRPr="008A2E5A">
        <w:rPr>
          <w:rFonts w:ascii="Times New Roman" w:hAnsi="Times New Roman"/>
          <w:color w:val="0070C0"/>
          <w:sz w:val="16"/>
          <w:szCs w:val="16"/>
        </w:rPr>
        <w:tab/>
        <w:t>100</w:t>
      </w:r>
      <w:r w:rsidRPr="008A2E5A">
        <w:rPr>
          <w:rFonts w:ascii="Times New Roman" w:hAnsi="Times New Roman"/>
          <w:color w:val="0070C0"/>
          <w:sz w:val="16"/>
          <w:szCs w:val="16"/>
        </w:rPr>
        <w:tab/>
        <w:t>100</w:t>
      </w:r>
    </w:p>
    <w:p w14:paraId="3383E867"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Кузнецов на ковочных машинах</w:t>
      </w:r>
      <w:r w:rsidRPr="008A2E5A">
        <w:rPr>
          <w:rFonts w:ascii="Times New Roman" w:hAnsi="Times New Roman"/>
          <w:color w:val="0070C0"/>
          <w:sz w:val="16"/>
          <w:szCs w:val="16"/>
        </w:rPr>
        <w:tab/>
        <w:t>20</w:t>
      </w:r>
      <w:r w:rsidRPr="008A2E5A">
        <w:rPr>
          <w:rFonts w:ascii="Times New Roman" w:hAnsi="Times New Roman"/>
          <w:color w:val="0070C0"/>
          <w:sz w:val="16"/>
          <w:szCs w:val="16"/>
        </w:rPr>
        <w:tab/>
        <w:t>40</w:t>
      </w:r>
    </w:p>
    <w:p w14:paraId="6677899D"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Кузнецов на свободной ковке</w:t>
      </w:r>
      <w:r w:rsidRPr="008A2E5A">
        <w:rPr>
          <w:rFonts w:ascii="Times New Roman" w:hAnsi="Times New Roman"/>
          <w:color w:val="0070C0"/>
          <w:sz w:val="16"/>
          <w:szCs w:val="16"/>
        </w:rPr>
        <w:tab/>
        <w:t>25</w:t>
      </w:r>
      <w:r w:rsidRPr="008A2E5A">
        <w:rPr>
          <w:rFonts w:ascii="Times New Roman" w:hAnsi="Times New Roman"/>
          <w:color w:val="0070C0"/>
          <w:sz w:val="16"/>
          <w:szCs w:val="16"/>
        </w:rPr>
        <w:tab/>
        <w:t>20</w:t>
      </w:r>
    </w:p>
    <w:p w14:paraId="12E72FD8"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Наладчиков токарных автоматов</w:t>
      </w:r>
      <w:r w:rsidRPr="008A2E5A">
        <w:rPr>
          <w:rFonts w:ascii="Times New Roman" w:hAnsi="Times New Roman"/>
          <w:color w:val="0070C0"/>
          <w:sz w:val="16"/>
          <w:szCs w:val="16"/>
        </w:rPr>
        <w:tab/>
        <w:t>20</w:t>
      </w:r>
      <w:r w:rsidRPr="008A2E5A">
        <w:rPr>
          <w:rFonts w:ascii="Times New Roman" w:hAnsi="Times New Roman"/>
          <w:color w:val="0070C0"/>
          <w:sz w:val="16"/>
          <w:szCs w:val="16"/>
        </w:rPr>
        <w:tab/>
        <w:t>10</w:t>
      </w:r>
    </w:p>
    <w:p w14:paraId="4A2322D9"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Наладчиков-шлифовщиков</w:t>
      </w:r>
      <w:r w:rsidRPr="008A2E5A">
        <w:rPr>
          <w:rFonts w:ascii="Times New Roman" w:hAnsi="Times New Roman"/>
          <w:color w:val="0070C0"/>
          <w:sz w:val="16"/>
          <w:szCs w:val="16"/>
        </w:rPr>
        <w:tab/>
        <w:t>20</w:t>
      </w:r>
      <w:r w:rsidRPr="008A2E5A">
        <w:rPr>
          <w:rFonts w:ascii="Times New Roman" w:hAnsi="Times New Roman"/>
          <w:color w:val="0070C0"/>
          <w:sz w:val="16"/>
          <w:szCs w:val="16"/>
        </w:rPr>
        <w:tab/>
        <w:t>10</w:t>
      </w:r>
    </w:p>
    <w:p w14:paraId="40FCAD35"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Рабочих цеха подшипников № 2</w:t>
      </w:r>
      <w:r w:rsidRPr="008A2E5A">
        <w:rPr>
          <w:rFonts w:ascii="Times New Roman" w:hAnsi="Times New Roman"/>
          <w:color w:val="0070C0"/>
          <w:sz w:val="16"/>
          <w:szCs w:val="16"/>
        </w:rPr>
        <w:tab/>
        <w:t>100</w:t>
      </w:r>
      <w:r w:rsidRPr="008A2E5A">
        <w:rPr>
          <w:rFonts w:ascii="Times New Roman" w:hAnsi="Times New Roman"/>
          <w:color w:val="0070C0"/>
          <w:sz w:val="16"/>
          <w:szCs w:val="16"/>
        </w:rPr>
        <w:tab/>
        <w:t>65</w:t>
      </w:r>
    </w:p>
    <w:p w14:paraId="388DA3F2"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Прессовщиков</w:t>
      </w:r>
      <w:r w:rsidRPr="008A2E5A">
        <w:rPr>
          <w:rFonts w:ascii="Times New Roman" w:hAnsi="Times New Roman"/>
          <w:color w:val="0070C0"/>
          <w:sz w:val="16"/>
          <w:szCs w:val="16"/>
        </w:rPr>
        <w:tab/>
        <w:t>20</w:t>
      </w:r>
      <w:r w:rsidRPr="008A2E5A">
        <w:rPr>
          <w:rFonts w:ascii="Times New Roman" w:hAnsi="Times New Roman"/>
          <w:color w:val="0070C0"/>
          <w:sz w:val="16"/>
          <w:szCs w:val="16"/>
        </w:rPr>
        <w:tab/>
        <w:t>30</w:t>
      </w:r>
    </w:p>
    <w:p w14:paraId="2CD73EA7"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Контролеров ОТК</w:t>
      </w:r>
      <w:r w:rsidRPr="008A2E5A">
        <w:rPr>
          <w:rFonts w:ascii="Times New Roman" w:hAnsi="Times New Roman"/>
          <w:color w:val="0070C0"/>
          <w:sz w:val="16"/>
          <w:szCs w:val="16"/>
        </w:rPr>
        <w:tab/>
        <w:t>80</w:t>
      </w:r>
      <w:r w:rsidRPr="008A2E5A">
        <w:rPr>
          <w:rFonts w:ascii="Times New Roman" w:hAnsi="Times New Roman"/>
          <w:color w:val="0070C0"/>
          <w:sz w:val="16"/>
          <w:szCs w:val="16"/>
        </w:rPr>
        <w:tab/>
        <w:t>50</w:t>
      </w:r>
    </w:p>
    <w:p w14:paraId="588B47EF"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Освободить указанных рабочих, начиная с 4-го разряда и выше, от мобилизации в Красную Армию и очередного призыва...</w:t>
      </w:r>
    </w:p>
    <w:p w14:paraId="72538FA9"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Куйбышевскому подшипниковому заводу</w:t>
      </w:r>
    </w:p>
    <w:p w14:paraId="0ABB3F8F"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Обязать Наркомстрой (т. Гинзбурга) закончить к 15 февраля 1942 г. все санитарно-технические и электромонтажные работы по приспособлению под производство подшипников в помещениях Линдова военного городка, а также к 15 февраля 1942 г. кузнечный цех на площадке завода “Трактородеталь” в г. Куйбышеве...</w:t>
      </w:r>
    </w:p>
    <w:p w14:paraId="4C81F97C"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Председателя Совета Народных Комиссаров СССР</w:t>
      </w:r>
      <w:r w:rsidRPr="008A2E5A">
        <w:rPr>
          <w:rFonts w:ascii="Times New Roman" w:hAnsi="Times New Roman"/>
          <w:color w:val="0070C0"/>
          <w:sz w:val="16"/>
          <w:szCs w:val="16"/>
        </w:rPr>
        <w:tab/>
        <w:t>Н. Вознесенский</w:t>
      </w:r>
    </w:p>
    <w:p w14:paraId="314CEE27"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Управляющий Делами Совета Народных Комиссаров СССР</w:t>
      </w:r>
      <w:r w:rsidRPr="008A2E5A">
        <w:rPr>
          <w:rFonts w:ascii="Times New Roman" w:hAnsi="Times New Roman"/>
          <w:color w:val="0070C0"/>
          <w:sz w:val="16"/>
          <w:szCs w:val="16"/>
        </w:rPr>
        <w:tab/>
        <w:t>Я.Чадаев</w:t>
      </w:r>
    </w:p>
    <w:p w14:paraId="6F591B6B" w14:textId="77777777" w:rsidR="004363F6" w:rsidRPr="008A2E5A" w:rsidRDefault="004363F6" w:rsidP="00436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P-4300. On. 5. </w:t>
      </w:r>
      <w:r w:rsidRPr="008A2E5A">
        <w:rPr>
          <w:rFonts w:ascii="Times New Roman" w:hAnsi="Times New Roman"/>
          <w:color w:val="0070C0"/>
          <w:sz w:val="16"/>
          <w:szCs w:val="16"/>
        </w:rPr>
        <w:t>Д</w:t>
      </w:r>
      <w:r w:rsidRPr="0016279C">
        <w:rPr>
          <w:rFonts w:ascii="Times New Roman" w:hAnsi="Times New Roman"/>
          <w:color w:val="0070C0"/>
          <w:sz w:val="16"/>
          <w:szCs w:val="16"/>
          <w:lang w:val="en-US"/>
        </w:rPr>
        <w:t>. 2.</w:t>
      </w:r>
      <w:r w:rsidRPr="008A2E5A">
        <w:rPr>
          <w:rFonts w:ascii="Times New Roman" w:hAnsi="Times New Roman"/>
          <w:color w:val="0070C0"/>
          <w:sz w:val="16"/>
          <w:szCs w:val="16"/>
        </w:rPr>
        <w:t>Л</w:t>
      </w:r>
      <w:r w:rsidRPr="0016279C">
        <w:rPr>
          <w:rFonts w:ascii="Times New Roman" w:hAnsi="Times New Roman"/>
          <w:color w:val="0070C0"/>
          <w:sz w:val="16"/>
          <w:szCs w:val="16"/>
          <w:lang w:val="en-US"/>
        </w:rPr>
        <w:t xml:space="preserve">. 3, 5-6, 7. </w:t>
      </w:r>
      <w:r w:rsidRPr="008A2E5A">
        <w:rPr>
          <w:rFonts w:ascii="Times New Roman" w:hAnsi="Times New Roman"/>
          <w:color w:val="0070C0"/>
          <w:sz w:val="16"/>
          <w:szCs w:val="16"/>
        </w:rPr>
        <w:t>Завер. Копия (23731).</w:t>
      </w:r>
    </w:p>
    <w:p w14:paraId="487DBC20" w14:textId="77777777" w:rsidR="004363F6" w:rsidRPr="008A2E5A" w:rsidRDefault="004363F6" w:rsidP="004363F6">
      <w:pPr>
        <w:spacing w:after="0" w:line="240" w:lineRule="auto"/>
        <w:jc w:val="both"/>
        <w:rPr>
          <w:rFonts w:ascii="Times New Roman" w:hAnsi="Times New Roman"/>
          <w:color w:val="0070C0"/>
          <w:sz w:val="16"/>
          <w:szCs w:val="16"/>
        </w:rPr>
      </w:pPr>
    </w:p>
    <w:p w14:paraId="5CD5098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года Постановлением исполнительного комитета Кустанайского областного Совета депутатов трубящихся (председатель т Керимбаев) и бюро областного комитета КП (б) К (секретарь Довженко И.) были приняты следующие меры:</w:t>
      </w:r>
    </w:p>
    <w:p w14:paraId="73DC20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Передать из Станционной МТС заводу № 222 двух трактористов сроком на 2 месяца для работы на дизельных тракторах, принадлежащих заводу.</w:t>
      </w:r>
    </w:p>
    <w:p w14:paraId="5ECFAE5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Предложить директору техникума механизации Наркомсовхозов т. Волкову передать заводу № 222 механика по тракторам Пинкуса.</w:t>
      </w:r>
    </w:p>
    <w:p w14:paraId="605F47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исполком Карабалыкского райсовета и райком КП (б</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К обеспечить выделение заводу № 222 из колхозов района 20 КОННЫХ подвод сроком до 15 марта сего года для перевозки оборудования.</w:t>
      </w:r>
    </w:p>
    <w:p w14:paraId="4257E5A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целях организации более качественного питания рабочих, предложить директору завода № 222 организовать подсобное хозяйство на базе подхоза техникума механизации Наркомсовхозов, переведенного в п. Успеновка Отделу землеустройства 0бАЗО, и исполкому Карабалыкского райсовета не позднее 10.02 1942 вода отвести заводу №222 земельный участок площадью до 100 га.</w:t>
      </w:r>
    </w:p>
    <w:p w14:paraId="41132B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Прибывающих на завод №222 строительных рабочих (500 человек) разместить временно в порядке уплотнения в жилых домах Кустанайского зерносовхоза, а также в полуподвальных помещениях жилых домов завода.</w:t>
      </w:r>
    </w:p>
    <w:p w14:paraId="1768D3E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Просить ЦК КП (б</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К ввести должность освобожденного секретаря парткома завода Na222 и освобожденного секретаря Комсомольской организации.</w:t>
      </w:r>
    </w:p>
    <w:p w14:paraId="2B95B70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Просить в 1942 году строительство начальной школы HА 300 мест для обучения детей рабочих завода №222, а также открытие поликлиники с физиотерапевтическим и рентгеновским кабинетами, открытие яслей на 100 мест.</w:t>
      </w:r>
    </w:p>
    <w:p w14:paraId="299C7D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Для организации подсобного хозяйства завода №222 разрешить закупить у</w:t>
      </w:r>
    </w:p>
    <w:p w14:paraId="7379748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колхозников, рабочих и служащих района 250 коров, 100 овцематок. 50 свиноматок.</w:t>
      </w:r>
    </w:p>
    <w:p w14:paraId="1577CCC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Просить Наркома танковой промышленности СССР т. Малышева ускорить решение вопроса о проведении железнодорожной ветки широкой колеи от станции Тогузак Южно-Уральской железной дороги до площадки завода, протяженностью 10 км (11609).</w:t>
      </w:r>
    </w:p>
    <w:p w14:paraId="2FF7226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6EF3018"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Армия:</w:t>
      </w:r>
    </w:p>
    <w:p w14:paraId="1114D36D" w14:textId="77777777" w:rsidR="00D4651C" w:rsidRPr="008127F8" w:rsidRDefault="00D4651C" w:rsidP="001E0A84">
      <w:pPr>
        <w:pStyle w:val="Iauiue"/>
        <w:jc w:val="both"/>
        <w:rPr>
          <w:iCs/>
          <w:color w:val="000000" w:themeColor="text1"/>
          <w:sz w:val="16"/>
          <w:szCs w:val="16"/>
        </w:rPr>
      </w:pPr>
    </w:p>
    <w:p w14:paraId="66FFB3B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г. четыре И-15бис и пять И-153 из 65-го ШАП штурмовали передний край противника в районе Ругозеро (Карелия) и подверглись атаке “Брюстеров” элитной финской авиагруппы LeLv 24. Замкомэска ст. л-т Книжник Василий Аверкиевич заметил,.что в хвост одной “Чайке” заходит вражеский истребитель, поспешил на выручку и на встречном курсе ударил крылом по “финну”. На поврежденной машине Книжник дотянул до своих и заявил об уничтожении неприятельского самолета. За этот бой он был награжден орденом Ленина. По финским данным, Книжник повредил В-239 (борт BW-372), пилотируемый сержантом П.Коскела, который смог вернуться на свой аэродром, где также заявил о своей воздушной победе (10205).</w:t>
      </w:r>
    </w:p>
    <w:p w14:paraId="7A9F743C"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523B176F"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части ЮФ освободили город Барвенково (3186).</w:t>
      </w:r>
    </w:p>
    <w:p w14:paraId="3FFEDE0F" w14:textId="77777777" w:rsidR="00D4651C" w:rsidRPr="008127F8" w:rsidRDefault="00D4651C" w:rsidP="001E0A84">
      <w:pPr>
        <w:pStyle w:val="Iauiue"/>
        <w:jc w:val="both"/>
        <w:rPr>
          <w:color w:val="000000" w:themeColor="text1"/>
          <w:sz w:val="16"/>
          <w:szCs w:val="16"/>
        </w:rPr>
      </w:pPr>
    </w:p>
    <w:p w14:paraId="2F99AC08"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января</w:t>
      </w:r>
      <w:r w:rsidRPr="008127F8">
        <w:rPr>
          <w:rFonts w:ascii="Times New Roman" w:hAnsi="Times New Roman"/>
          <w:color w:val="000000" w:themeColor="text1"/>
          <w:sz w:val="16"/>
          <w:szCs w:val="16"/>
        </w:rPr>
        <w:t xml:space="preserve"> в 1942 году начинается Барвенко-Лозовская операция, войска Южного фронта освободили Барвенково (15019).</w:t>
      </w:r>
    </w:p>
    <w:p w14:paraId="35698CCB"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2D4B1214" w14:textId="77777777" w:rsidR="00D4651C" w:rsidRPr="008127F8" w:rsidRDefault="00D4651C" w:rsidP="001E0A84">
      <w:pPr>
        <w:pStyle w:val="Iauiue"/>
        <w:jc w:val="both"/>
        <w:rPr>
          <w:color w:val="000000" w:themeColor="text1"/>
          <w:sz w:val="16"/>
          <w:szCs w:val="16"/>
          <w:lang w:val="en-US"/>
        </w:rPr>
      </w:pPr>
      <w:r w:rsidRPr="008127F8">
        <w:rPr>
          <w:color w:val="000000" w:themeColor="text1"/>
          <w:sz w:val="16"/>
          <w:szCs w:val="16"/>
          <w:lang w:val="en-US"/>
        </w:rPr>
        <w:t>January 24, 1942: German troops of Heeresgruppe Mitte recapture Suchinitshe near Kaluga (3819).</w:t>
      </w:r>
    </w:p>
    <w:p w14:paraId="340143EF" w14:textId="77777777" w:rsidR="00D4651C" w:rsidRPr="008127F8" w:rsidRDefault="00D4651C" w:rsidP="001E0A84">
      <w:pPr>
        <w:pStyle w:val="Iauiue"/>
        <w:jc w:val="both"/>
        <w:rPr>
          <w:color w:val="000000" w:themeColor="text1"/>
          <w:sz w:val="16"/>
          <w:szCs w:val="16"/>
          <w:lang w:val="en-US"/>
        </w:rPr>
      </w:pPr>
    </w:p>
    <w:p w14:paraId="2F980A48"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июня 1942 германские войска Группы Центр отбили Сушиницы около Калуги (3819).</w:t>
      </w:r>
    </w:p>
    <w:p w14:paraId="76CF398E" w14:textId="77777777" w:rsidR="00D4651C" w:rsidRPr="008127F8" w:rsidRDefault="00D4651C" w:rsidP="001E0A84">
      <w:pPr>
        <w:pStyle w:val="Iauiue"/>
        <w:jc w:val="both"/>
        <w:rPr>
          <w:color w:val="000000" w:themeColor="text1"/>
          <w:sz w:val="16"/>
          <w:szCs w:val="16"/>
        </w:rPr>
      </w:pPr>
    </w:p>
    <w:p w14:paraId="06DFEEC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вышло Постановление ГКО № 1202 О структуре и штатах Главного управления продовольственного снабжения Красной Армии. РГАНИР, Фонд ГКО, д. 20, лл. 90, 91-102 (11012).</w:t>
      </w:r>
    </w:p>
    <w:p w14:paraId="57D81B3D"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899CFED"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Жизнь и внутренняя политика:</w:t>
      </w:r>
    </w:p>
    <w:p w14:paraId="5FCA65A0" w14:textId="77777777" w:rsidR="00D4651C" w:rsidRPr="008127F8" w:rsidRDefault="00D4651C" w:rsidP="001E0A84">
      <w:pPr>
        <w:pStyle w:val="Iauiue"/>
        <w:jc w:val="both"/>
        <w:rPr>
          <w:iCs/>
          <w:color w:val="000000" w:themeColor="text1"/>
          <w:sz w:val="16"/>
          <w:szCs w:val="16"/>
        </w:rPr>
      </w:pPr>
    </w:p>
    <w:p w14:paraId="72A9A39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Из дневника врача "Скорой помощи" А. Г. Дрейцера: "Затруднения с продовольствием. По карточкам мало что выдают. Москвичи понимают и стойко переживают затруднения".</w:t>
      </w:r>
    </w:p>
    <w:p w14:paraId="70F67481"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дневника журналиста Н. К. Вержбицкого: "Мороз 36°! Блистающий солнечный день... В ресторанах, торгующих по коммерческим ценам, можно получить обед за 4-5 руб. (Суп мясной, жареная вобла с картошкой.) Люди стоят в очереди по 3-4 часа" (18696).</w:t>
      </w:r>
    </w:p>
    <w:p w14:paraId="39E07B2A"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73E1CF4C"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вышло Постановление ГКО № 1203 [Об урегулировании вопросов, связанных с местожительством и трудоустройством польских граждан.] (7021, 103).</w:t>
      </w:r>
    </w:p>
    <w:p w14:paraId="38DA9D08" w14:textId="77777777" w:rsidR="00D4651C" w:rsidRPr="008127F8" w:rsidRDefault="00D4651C" w:rsidP="001E0A84">
      <w:pPr>
        <w:pStyle w:val="Iauiue"/>
        <w:tabs>
          <w:tab w:val="left" w:pos="11199"/>
        </w:tabs>
        <w:jc w:val="both"/>
        <w:rPr>
          <w:color w:val="000000" w:themeColor="text1"/>
          <w:sz w:val="16"/>
          <w:szCs w:val="16"/>
        </w:rPr>
      </w:pPr>
    </w:p>
    <w:p w14:paraId="35C710A7"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началось первое из известных восстаний в ГУЛАГ - квалифицировали как "вооруженное восстание против советской власти" (3481).</w:t>
      </w:r>
    </w:p>
    <w:p w14:paraId="30D69ADB" w14:textId="77777777" w:rsidR="00D4651C" w:rsidRPr="008127F8" w:rsidRDefault="00D4651C" w:rsidP="001E0A84">
      <w:pPr>
        <w:pStyle w:val="Iauiue"/>
        <w:jc w:val="both"/>
        <w:rPr>
          <w:color w:val="000000" w:themeColor="text1"/>
          <w:sz w:val="16"/>
          <w:szCs w:val="16"/>
        </w:rPr>
      </w:pPr>
    </w:p>
    <w:p w14:paraId="33FF8246"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января</w:t>
      </w:r>
      <w:r w:rsidRPr="008127F8">
        <w:rPr>
          <w:rFonts w:ascii="Times New Roman" w:hAnsi="Times New Roman"/>
          <w:color w:val="000000" w:themeColor="text1"/>
          <w:sz w:val="16"/>
          <w:szCs w:val="16"/>
        </w:rPr>
        <w:t xml:space="preserve"> в 1942 году начинается первое из известных вооруженных восстаний эаключенных ГУЛАГа. Это выступление классифицируется как «вооруженное восстание против Советской власти» и жестоко подавляется. После начала войны в лагерях стали циркулировать слухи о том, что все неоднократно судимые будут вывезены на Север и ликвидированы, как в 1937-1938 годах. Зеки ликвидироваться не хотели, и в отдельных лагерях началась подготовка вооруженных восстаний. Самым масштабным стал бунт 24 января 1942 года в Воркуте на лагерном пункте «Лесорейд». Там уголовники разоружили охрану, освободили всех заключенных, потом захватили здание районного НКВД и КПЗ. Однако попытка разоружить военизированную охрану Печерского речного пароходства и завладеть аэродромом не удалась. Так что ни уплыть, ни улететь уголовникам не удалось. А вскоре их восстание было подавлено. Шесть руководителей повстанцев, не желая сдаваться, покончили с собой. Слухи о широкомасштабной ликвидации уголовного элемента в лагерях не подтвердились. Но из-за восстаний в феврале 1942 года была введена инструкция, разрешающая применять оружие даже при отказе осужденных приступить к работе после двукратного предупреждения (15019).</w:t>
      </w:r>
    </w:p>
    <w:p w14:paraId="6C35928A"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5E43B38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в Ленинграде была вторая хлебная прибавка: рабочие и ИТР стали получать по 400 г хлеба в день, служащие - по 300 г, иждивенцы и дети - по 250 г (10671).</w:t>
      </w:r>
    </w:p>
    <w:p w14:paraId="664B954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7CAA2D43"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января</w:t>
      </w:r>
      <w:r w:rsidRPr="008127F8">
        <w:rPr>
          <w:rFonts w:ascii="Times New Roman" w:hAnsi="Times New Roman"/>
          <w:color w:val="000000" w:themeColor="text1"/>
          <w:sz w:val="16"/>
          <w:szCs w:val="16"/>
        </w:rPr>
        <w:t xml:space="preserve"> в 1942 году произведена вторая прибавка хлебного пайка в осажденном Ленинграде: рабочие и ИТР стали получать 400 г в день, служащие — 300, иждивенцы и дети — 250, войска первой линии — 600, в тыловых частях — 400 г (15019).</w:t>
      </w:r>
    </w:p>
    <w:p w14:paraId="27976232"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759EDF91"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За рубежом:</w:t>
      </w:r>
    </w:p>
    <w:p w14:paraId="6AF3C1D9" w14:textId="77777777" w:rsidR="00D4651C" w:rsidRPr="008127F8" w:rsidRDefault="00D4651C" w:rsidP="001E0A84">
      <w:pPr>
        <w:pStyle w:val="Iauiue"/>
        <w:jc w:val="both"/>
        <w:rPr>
          <w:iCs/>
          <w:color w:val="000000" w:themeColor="text1"/>
          <w:sz w:val="16"/>
          <w:szCs w:val="16"/>
        </w:rPr>
      </w:pPr>
    </w:p>
    <w:p w14:paraId="24608B8F"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в связи с налетами немецкой авиации король Англии Георг эвакуирован из Букингемского дворца в лондонский Вест-Энд (4962).</w:t>
      </w:r>
    </w:p>
    <w:p w14:paraId="26D6ABD1" w14:textId="77777777" w:rsidR="00D4651C" w:rsidRPr="008127F8" w:rsidRDefault="00D4651C" w:rsidP="001E0A84">
      <w:pPr>
        <w:pStyle w:val="Iauiue"/>
        <w:tabs>
          <w:tab w:val="left" w:pos="11199"/>
        </w:tabs>
        <w:jc w:val="both"/>
        <w:rPr>
          <w:color w:val="000000" w:themeColor="text1"/>
          <w:sz w:val="16"/>
          <w:szCs w:val="16"/>
        </w:rPr>
      </w:pPr>
    </w:p>
    <w:p w14:paraId="148A339D" w14:textId="7777777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января</w:t>
      </w:r>
      <w:r w:rsidRPr="008127F8">
        <w:rPr>
          <w:rFonts w:ascii="Times New Roman" w:hAnsi="Times New Roman"/>
          <w:color w:val="000000" w:themeColor="text1"/>
          <w:sz w:val="16"/>
          <w:szCs w:val="16"/>
        </w:rPr>
        <w:t xml:space="preserve"> в 1942 году британские эсминцы воспрепятствовали высадке японских войск на Борнео (15019).</w:t>
      </w:r>
    </w:p>
    <w:p w14:paraId="14EADAD7"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33364D8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 самолеты японских авианосцев Hiryū и Sryū начинают наносить удары по Амбону (20793).</w:t>
      </w:r>
    </w:p>
    <w:p w14:paraId="4549B4BF" w14:textId="77777777" w:rsidR="005F7283" w:rsidRPr="008127F8" w:rsidRDefault="005F7283" w:rsidP="001E0A84">
      <w:pPr>
        <w:spacing w:after="0" w:line="240" w:lineRule="auto"/>
        <w:jc w:val="both"/>
        <w:rPr>
          <w:rFonts w:ascii="Times New Roman" w:hAnsi="Times New Roman"/>
          <w:color w:val="000000" w:themeColor="text1"/>
          <w:sz w:val="16"/>
          <w:szCs w:val="16"/>
        </w:rPr>
      </w:pPr>
    </w:p>
    <w:p w14:paraId="10DA248E" w14:textId="77777777" w:rsidR="00D4651C" w:rsidRPr="008127F8" w:rsidRDefault="00D4651C" w:rsidP="001E0A84">
      <w:pPr>
        <w:pStyle w:val="Iauiue"/>
        <w:tabs>
          <w:tab w:val="left" w:pos="11199"/>
        </w:tabs>
        <w:jc w:val="both"/>
        <w:rPr>
          <w:color w:val="000000" w:themeColor="text1"/>
          <w:sz w:val="16"/>
          <w:szCs w:val="16"/>
        </w:rPr>
      </w:pPr>
      <w:r w:rsidRPr="008127F8">
        <w:rPr>
          <w:color w:val="000000" w:themeColor="text1"/>
          <w:sz w:val="16"/>
          <w:szCs w:val="16"/>
        </w:rPr>
        <w:t>24 января 1942 японские войска впервые атаковали территорию Австралии (4962).</w:t>
      </w:r>
    </w:p>
    <w:p w14:paraId="1BB902C7" w14:textId="77777777" w:rsidR="00D4651C" w:rsidRPr="008127F8" w:rsidRDefault="00D4651C" w:rsidP="001E0A84">
      <w:pPr>
        <w:pStyle w:val="Iauiue"/>
        <w:tabs>
          <w:tab w:val="left" w:pos="11199"/>
        </w:tabs>
        <w:jc w:val="both"/>
        <w:rPr>
          <w:color w:val="000000" w:themeColor="text1"/>
          <w:sz w:val="16"/>
          <w:szCs w:val="16"/>
        </w:rPr>
      </w:pPr>
    </w:p>
    <w:p w14:paraId="23AC3FB2"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состоялась битва в проливе Macassar (2261).</w:t>
      </w:r>
    </w:p>
    <w:p w14:paraId="22145A5F" w14:textId="77777777" w:rsidR="00D4651C" w:rsidRPr="008127F8" w:rsidRDefault="00D4651C" w:rsidP="001E0A84">
      <w:pPr>
        <w:pStyle w:val="Iauiue"/>
        <w:jc w:val="both"/>
        <w:rPr>
          <w:color w:val="000000" w:themeColor="text1"/>
          <w:sz w:val="16"/>
          <w:szCs w:val="16"/>
        </w:rPr>
      </w:pPr>
    </w:p>
    <w:p w14:paraId="01DBA5AA"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24 января 1942 австралийцы эвакуировались из Lae, Salamanau (2261).</w:t>
      </w:r>
    </w:p>
    <w:p w14:paraId="626F123E" w14:textId="77777777" w:rsidR="00D4651C" w:rsidRPr="008127F8" w:rsidRDefault="00D4651C" w:rsidP="001E0A84">
      <w:pPr>
        <w:pStyle w:val="Iauiue"/>
        <w:jc w:val="both"/>
        <w:rPr>
          <w:color w:val="000000" w:themeColor="text1"/>
          <w:sz w:val="16"/>
          <w:szCs w:val="16"/>
        </w:rPr>
      </w:pPr>
    </w:p>
    <w:p w14:paraId="5A1BCA29"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Авиапромышленность:</w:t>
      </w:r>
    </w:p>
    <w:p w14:paraId="77277E7A" w14:textId="77777777" w:rsidR="00D4651C" w:rsidRPr="008127F8" w:rsidRDefault="00D4651C" w:rsidP="001E0A84">
      <w:pPr>
        <w:pStyle w:val="Iauiue"/>
        <w:jc w:val="both"/>
        <w:rPr>
          <w:iCs/>
          <w:color w:val="000000" w:themeColor="text1"/>
          <w:sz w:val="16"/>
          <w:szCs w:val="16"/>
        </w:rPr>
      </w:pPr>
    </w:p>
    <w:p w14:paraId="412C0AA0"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 января 1942 л завода 21 Н.Г.Алифанов при испытаниях совершил аварию на ЛаГГ-3, так как отказало управление винтом (2108).</w:t>
      </w:r>
    </w:p>
    <w:p w14:paraId="51A08327" w14:textId="77777777" w:rsidR="00D4651C" w:rsidRPr="008127F8" w:rsidRDefault="00D4651C" w:rsidP="001E0A84">
      <w:pPr>
        <w:pStyle w:val="Iauiue"/>
        <w:jc w:val="both"/>
        <w:rPr>
          <w:color w:val="000000" w:themeColor="text1"/>
          <w:sz w:val="16"/>
          <w:szCs w:val="16"/>
        </w:rPr>
      </w:pPr>
    </w:p>
    <w:p w14:paraId="15D43FA5"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25 января 1942 года была подготовлена справка:</w:t>
      </w:r>
    </w:p>
    <w:p w14:paraId="0A9A5391" w14:textId="77777777" w:rsidR="00D4651C" w:rsidRPr="008127F8" w:rsidRDefault="00D4651C" w:rsidP="001E0A84">
      <w:pPr>
        <w:pStyle w:val="Iauiue"/>
        <w:jc w:val="both"/>
        <w:rPr>
          <w:color w:val="000000" w:themeColor="text1"/>
          <w:sz w:val="16"/>
          <w:szCs w:val="16"/>
        </w:rPr>
      </w:pPr>
      <w:r w:rsidRPr="008127F8">
        <w:rPr>
          <w:color w:val="000000" w:themeColor="text1"/>
          <w:sz w:val="16"/>
          <w:szCs w:val="16"/>
        </w:rPr>
        <w:t>Завод № 25 перебазирован в Ульяновск ……</w:t>
      </w:r>
      <w:proofErr w:type="gramStart"/>
      <w:r w:rsidRPr="008127F8">
        <w:rPr>
          <w:color w:val="000000" w:themeColor="text1"/>
          <w:sz w:val="16"/>
          <w:szCs w:val="16"/>
        </w:rPr>
        <w:t>…….</w:t>
      </w:r>
      <w:proofErr w:type="gramEnd"/>
      <w:r w:rsidRPr="008127F8">
        <w:rPr>
          <w:color w:val="000000" w:themeColor="text1"/>
          <w:sz w:val="16"/>
          <w:szCs w:val="16"/>
        </w:rPr>
        <w:t>(9151)</w:t>
      </w:r>
    </w:p>
    <w:p w14:paraId="5D84A51C" w14:textId="77777777" w:rsidR="00D4651C" w:rsidRPr="008127F8" w:rsidRDefault="00D4651C" w:rsidP="001E0A84">
      <w:pPr>
        <w:pStyle w:val="Iauiue"/>
        <w:jc w:val="both"/>
        <w:rPr>
          <w:iCs/>
          <w:color w:val="000000" w:themeColor="text1"/>
          <w:sz w:val="16"/>
          <w:szCs w:val="16"/>
        </w:rPr>
      </w:pPr>
    </w:p>
    <w:p w14:paraId="44BF0F4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января 1942 г. по приказу НКАП № 63с на территории эвакуированного завода № 230 в Москве началось формирование Ремонтных мастерских по приборам при 5ГУ НКАП, а позже был образован новый приборостроительный завод № 339 НКАП (10776).</w:t>
      </w:r>
    </w:p>
    <w:p w14:paraId="70BA8E34"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FEE588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января 1942 г. в Москве по приказу НКАП № 63с на месте эвакуированного завода № 230, которая рассматривалась как филиал завода № 230, началось формирование Ремонтных мастерских по приборам при 5ГУ НКАП. Затем от 5 апреля 1942 г. в соответствии с решением № ГОКО-1543сс и приказом № 269сс от 10.04.1942 </w:t>
      </w:r>
      <w:proofErr w:type="gramStart"/>
      <w:r w:rsidRPr="008127F8">
        <w:rPr>
          <w:rFonts w:ascii="Times New Roman" w:hAnsi="Times New Roman"/>
          <w:color w:val="000000" w:themeColor="text1"/>
          <w:sz w:val="16"/>
          <w:szCs w:val="16"/>
        </w:rPr>
        <w:t>г.был</w:t>
      </w:r>
      <w:proofErr w:type="gramEnd"/>
      <w:r w:rsidRPr="008127F8">
        <w:rPr>
          <w:rFonts w:ascii="Times New Roman" w:hAnsi="Times New Roman"/>
          <w:color w:val="000000" w:themeColor="text1"/>
          <w:sz w:val="16"/>
          <w:szCs w:val="16"/>
        </w:rPr>
        <w:t xml:space="preserve"> образован новый приборостроительный завод № 339 НКАП в системе 5ГУ НКАП для работ по электроизмерительным приборам и приборам управления.</w:t>
      </w:r>
    </w:p>
    <w:p w14:paraId="35C7F6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4314сс от 12.10.1943 г. и приказом № 667сс от 5.11.1943 г. началось производство РЛ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533D390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605сс от 13.10.1944 г. завод с 1.01.1945 г. передан из 5ГУ в 17ГУ НКАП.</w:t>
      </w:r>
    </w:p>
    <w:p w14:paraId="6EC293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из МВ и МАП приказом № 415с от 26.06.1953 г. завод № 339 подчинен 4ГУ МОП, а вскоре с восстановлением МАП с 08.1953 г. передан в 4ГУ МАП, с 08.1955 г.- в 11ГУ МАП (как опытный завод). С 08.1957 г. при реорганизации аппарата МАП (после передачи серийных заводов в СНХ) завод № 339 передан в новое 4ГУ (приборостроение и РЛ). В 12.1958 г. завод № 339 передан в ведение ГКРЭ.</w:t>
      </w:r>
    </w:p>
    <w:p w14:paraId="39AEA36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Домбровский, Волаев, (1951 г.)- Федосов.</w:t>
      </w:r>
    </w:p>
    <w:p w14:paraId="7BC084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(09.1954 г.-)- М.И. Комиссаров.</w:t>
      </w:r>
    </w:p>
    <w:p w14:paraId="23A474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РЛ системы опознавания «свой-чужой»: СЧ-2 (1942-), СЧ-3 (1945-); наземные РЛС обнаружения и опознавания: «Редут» (12.1941-), «Пегматит-3» (1944-); авиационные РЛС: «Гнейс-5с» (1945-), «Барий-М», «Магний-М», «Ротор-С» (1950), "Сокол" (1954-), «Сокол-2».</w:t>
      </w:r>
    </w:p>
    <w:p w14:paraId="771B1F3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339 НКАП, МАП, МОП, ГКРЭ</w:t>
      </w:r>
    </w:p>
    <w:p w14:paraId="6689CC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Электрический пер., 1</w:t>
      </w:r>
    </w:p>
    <w:p w14:paraId="4F7C57A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ОКБ-339 МАП, ГКРЭ, НИИ-339 МРП, ГосНИИР, НИИ радиостроения (НИИР), ФГУП «Ордена Трудового Красного Знамени НИИР» </w:t>
      </w:r>
    </w:p>
    <w:p w14:paraId="703BF5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103064 г. Москва ул. Казакова, 16 261-36-94</w:t>
      </w:r>
    </w:p>
    <w:p w14:paraId="4742C97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68387C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59FECEE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1F54A1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0CB44D5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7C07CA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51F4B1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33585A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5F91099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5A28EBF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6EF08E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1DA38A9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2609AD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5C43D41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312CF91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конструктора (1948 г.)- Б.А. Веселов. Гл. конструктор (-1955-59 г.-)- Г.М. Кунявский.</w:t>
      </w:r>
    </w:p>
    <w:p w14:paraId="255C7C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(1962 г.-)- Ф.Ф. Волков.</w:t>
      </w:r>
    </w:p>
    <w:p w14:paraId="681AC3A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65D2059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(1950-е)- Ю.Н. Гуськов.</w:t>
      </w:r>
    </w:p>
    <w:p w14:paraId="452E273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16A4026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2CFD594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123557, г. Москва, пер. Электрический, 1 тел. 253-56-13; г. Жуковский; г. Москва ул. М. Грузинская, 54 www.phazotron.com</w:t>
      </w:r>
    </w:p>
    <w:p w14:paraId="0E56B83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2FE4B02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734784A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19B9513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Президент (1990-е)- А.И. Канащенков.</w:t>
      </w:r>
    </w:p>
    <w:p w14:paraId="756C79C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(1972 г.)- В.К. Гришин, (-1990-е-2005 г.-) - А.И. Канащенков.</w:t>
      </w:r>
    </w:p>
    <w:p w14:paraId="5D888AE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(1969 г.-)- Ю.Н. Фигуровский, (1978-82 г.)- В.К. Гришин, (1982-85 г.)- А.Г. Невоструев, (1985-2005 г.-)- А.И. Канащенков.</w:t>
      </w:r>
    </w:p>
    <w:p w14:paraId="5A44AD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Директор департамента (2005 г.)- А.Н. Осокин.</w:t>
      </w:r>
    </w:p>
    <w:p w14:paraId="17C410C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НИИ (МНИИ) "Агат", ОАО «МНИИ «Агат», ФГУП «НПО «Агат»</w:t>
      </w:r>
    </w:p>
    <w:p w14:paraId="57C4B8D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105275 г. Москва, ш. Энтузиастов, 24/53; ш. Энтузиастов, 29 тел. 176-34-96 (2005 г.)</w:t>
      </w:r>
    </w:p>
    <w:p w14:paraId="30F34D4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140182 г. Жуковский-2 Московской обл., тел. 556-50-87</w:t>
      </w:r>
    </w:p>
    <w:p w14:paraId="00E8290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московское представительство: 123557 ул. М. Грузинская, 54</w:t>
      </w:r>
    </w:p>
    <w:p w14:paraId="6579FC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w:t>
      </w:r>
      <w:proofErr w:type="gramStart"/>
      <w:r w:rsidRPr="008127F8">
        <w:rPr>
          <w:rFonts w:ascii="Times New Roman" w:hAnsi="Times New Roman"/>
          <w:color w:val="000000" w:themeColor="text1"/>
          <w:sz w:val="16"/>
          <w:szCs w:val="16"/>
        </w:rPr>
        <w:t>29.ВП</w:t>
      </w:r>
      <w:proofErr w:type="gramEnd"/>
      <w:r w:rsidRPr="008127F8">
        <w:rPr>
          <w:rFonts w:ascii="Times New Roman" w:hAnsi="Times New Roman"/>
          <w:color w:val="000000" w:themeColor="text1"/>
          <w:sz w:val="16"/>
          <w:szCs w:val="16"/>
        </w:rPr>
        <w:t>-1/05 По решению правительства № 22-р от 9.01.2004 г. и Указу Президента РФ № 1009 от 4.08.2004 г. ОАО МНИИ «Агат» вошло в число стратегических оборонных предприятий.</w:t>
      </w:r>
    </w:p>
    <w:p w14:paraId="13D8C55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программе создания ОК «Буран».</w:t>
      </w:r>
    </w:p>
    <w:p w14:paraId="7E1796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69E890E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1A0B472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3DB68D1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 Конструктор (2002 г.)- И.Г. Акопян, (2005 г.)- Е. Новиков. </w:t>
      </w:r>
    </w:p>
    <w:p w14:paraId="1F4ED1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А. Касьян, (2002 г.)- И.Г. Акопян, (2005 г.)- Е. Новиков.</w:t>
      </w:r>
    </w:p>
    <w:p w14:paraId="2DD4167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3C6DCCE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(2002 г.)- Б.С. Архипов.69 </w:t>
      </w:r>
    </w:p>
    <w:p w14:paraId="5B59E02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научный сотрудник (2005 г.)- Я. Хетагуров, (2005 г.)- П. Мелик-Оганджанян.</w:t>
      </w:r>
    </w:p>
    <w:p w14:paraId="21F9212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6D794E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61BCB85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1FF96EA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на бывшей площадке эвакуированного завода № 213 НКАП по приказу НКАП № 63 были образованы Ремонтные мастерские по приборам при 5ГУ НКАП. В соответствии с решением № ГОКО-1543сс от 5.04.1942 г. и приказом № 269сс от 10.04.1942 г. создан новый приборный завод № 122 5ГУ НКАП. Сначала осуществлял ремонт приборов и работы по авиаоборудованию.</w:t>
      </w:r>
    </w:p>
    <w:p w14:paraId="3F17A0B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площадке завода (корпус «В») в 1944 г. образован ЦКБ-17 НКАП. </w:t>
      </w:r>
    </w:p>
    <w:p w14:paraId="087E4DD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707D59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13EC8F6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5465D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(-1951 г.-)- М.И. Комиссаров, (-1959-66 г.-)- А.И. Солдатов.</w:t>
      </w:r>
    </w:p>
    <w:p w14:paraId="278A47B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(1940-е- 50-е г.)- Е.Ф. Антипов. </w:t>
      </w:r>
    </w:p>
    <w:p w14:paraId="7EEDE5D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Ольман, (1940-е г.)- Р.Г. Чачикян (системы управления, затем- в НИИ-1 МАП).</w:t>
      </w:r>
    </w:p>
    <w:p w14:paraId="0798137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702FC7D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7411AC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Кутузовский пр., 10 (1947 г.)</w:t>
      </w:r>
    </w:p>
    <w:p w14:paraId="650D528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121170 г. Москва, Кутузовский пр., 36 тел. 249-68-10</w:t>
      </w:r>
    </w:p>
    <w:p w14:paraId="4B25006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ОКБ-122 НКАП, МАП, ОКБ-7 завода № 122 МАП </w:t>
      </w:r>
    </w:p>
    <w:p w14:paraId="658D620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7BF7AFD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6821B58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643с от 25.12.43 г. в состав ОКБ-122 влито ОКБ-214 НКАП (г. Свердловск)</w:t>
      </w:r>
    </w:p>
    <w:p w14:paraId="703CED0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641с от 5.11.44 г. в ОКБ-122 влито ОКБ-213 НКАП (г. Энгельс).</w:t>
      </w:r>
    </w:p>
    <w:p w14:paraId="6C5D22B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4C09C14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(1940-е-55 г.-)- Е.Ф. Антипов.</w:t>
      </w:r>
    </w:p>
    <w:p w14:paraId="2D4902A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64F6D70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при заводе № 122 НКАП </w:t>
      </w:r>
    </w:p>
    <w:p w14:paraId="6CA3B04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Кутузовский пр.</w:t>
      </w:r>
    </w:p>
    <w:p w14:paraId="5EAFAA3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14216F2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61B0D71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5839987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автопилоты: АП-1У и АП-4 для "10Х". </w:t>
      </w:r>
    </w:p>
    <w:p w14:paraId="349A6BF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ОКБ-122 МАП, Московское ОКБ «Марс», ФГУП «МОКБ «Марс» ФКА</w:t>
      </w:r>
    </w:p>
    <w:p w14:paraId="232CA3B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103030 г. Москва 1-й Щемиловский пер., 16 тел. 288-64-44</w:t>
      </w:r>
    </w:p>
    <w:p w14:paraId="0290A9A7"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территория «б» завода № 119 НКАП) для разработки астронавигационных систем управления (САН). С 1964 г. ОКБ стало филиалом МИЭА (или ОКБ-923).</w:t>
      </w:r>
    </w:p>
    <w:p w14:paraId="02C911C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76BCF72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4A61C86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 имеется опытное производство.</w:t>
      </w:r>
    </w:p>
    <w:p w14:paraId="245145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5CEAAAC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1A77A1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(2005 г.)- А.С. Сыров.</w:t>
      </w:r>
    </w:p>
    <w:p w14:paraId="0103118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(-1999-2005 г.-)- А.С. Сыров.</w:t>
      </w:r>
    </w:p>
    <w:p w14:paraId="6DC5489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(1996 г.)- В.И. Шувалов.</w:t>
      </w:r>
    </w:p>
    <w:p w14:paraId="447E475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САН: для КР «Буря» (1959), для КА Е-6, «Луна»; СУ для разгонного блока «Бриз-М» (10776).</w:t>
      </w:r>
    </w:p>
    <w:p w14:paraId="3B846186"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609E27F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на бывшей площадке эвакуированного завода № 213 НКАП по приказу № 63 были образованы Ремонтные мастерские по приборам при 5ГУ НКАП. В соответствии с пост. ГКО № 1543сс от 5.04.1942 г. и приказом № 269сс от 10.04.1942 г. создан новый приборный завод № 122 5ГУ НКАП (Завод № 122 им. В.А. Казакова НКАП, МАП, Первый Московский Приборостроительный завод (1-й МПЗ) им. В.А. Казакова, АООТ, ОАО «1-й МПЗ им. В.А. Казакова» / г. Москва Кутузовский пр., 10 (1947 г.)/ /121170  г. Москва Кутузовский пр., 36 тел. 249-63-38/). Сначала осуществлял ремонт приборов и работы по авиаоборудованию.</w:t>
      </w:r>
    </w:p>
    <w:p w14:paraId="2E71451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площадке завода (корпус «В») в 1944 г. образован ЦКБ-17 НКАП.</w:t>
      </w:r>
    </w:p>
    <w:p w14:paraId="4A73787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в 1945 г. на завод было поставлено 1000 единиц металлообрабатывающего оборудования, вывезенного с приборного завода «Асканиа-Верке» в Берлине (Мариендорф).</w:t>
      </w:r>
    </w:p>
    <w:p w14:paraId="4AE043A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1890CE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065FA28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1DEB10F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5DF70AE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территорию 11 га (2006 г.) в районе пересечения Кутузовского пр. с Третьим транспортным кольцом. В составе завода (2000 г.): тарный участок / г. Москва пос. Рублево ул. Василия Ботылева, 22 тел. 414-12- 65/.</w:t>
      </w:r>
    </w:p>
    <w:p w14:paraId="696B2A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(1942-43 г.)- М.С. Гоцеридзе, (1951 г.-)- М.И. Комиссаров, (-1959-66 г.-)- А.И. Солдатов. Гендиректор (2000 г.)- О.В. Шубин, (2002 г.)- Р.Ф. Пятибрат.</w:t>
      </w:r>
    </w:p>
    <w:p w14:paraId="4F4D024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(1940-е- 50-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Е.Ф. Антипов.</w:t>
      </w:r>
    </w:p>
    <w:p w14:paraId="585D0C1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В.В. Голюсов.</w:t>
      </w:r>
    </w:p>
    <w:p w14:paraId="04A5FEAA"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терморегуляторы 842МСБ-5; рулевые машинки для РС-2-УС; автопилоты: АП-73 для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-17</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АП-5 для Ту-4, АП-15; автоматические бортовые системы управления для Ту-154, Ту-204, Ил-96; гироскопические приборы, автоматы триммирования; наркозно-дыхательная аппаратура Р09Н, «Фаза 5НР, эхосканы, эхоофтальмометры; электробритва «Эра-100»;</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конструкторы радиоприемников: «Юность», «Эфир» (11982).</w:t>
      </w:r>
    </w:p>
    <w:p w14:paraId="6F278297"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59C9DBF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по приказу № 63 на бывшей площадке завода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были образованы Ремонтные мастерские по приборам при 5ГУ НКАП, а вскоре в 04.1942 г. создан новый приборный завод № 122 НКАП (11982).</w:t>
      </w:r>
    </w:p>
    <w:p w14:paraId="30081EA5"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428C753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по приказу № 63с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2179673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497997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(01.1942 г.-)- Н.Б. Валаев.</w:t>
      </w:r>
    </w:p>
    <w:p w14:paraId="58B8C02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(01.1942 г.-)- Гаврилин (11982).</w:t>
      </w:r>
    </w:p>
    <w:p w14:paraId="42AFE178" w14:textId="77777777" w:rsidR="003F7080" w:rsidRPr="008127F8" w:rsidRDefault="003F7080" w:rsidP="001E0A84">
      <w:pPr>
        <w:spacing w:after="0" w:line="240" w:lineRule="auto"/>
        <w:jc w:val="both"/>
        <w:rPr>
          <w:rFonts w:ascii="Times New Roman" w:hAnsi="Times New Roman"/>
          <w:color w:val="000000" w:themeColor="text1"/>
          <w:sz w:val="16"/>
          <w:szCs w:val="16"/>
        </w:rPr>
      </w:pPr>
    </w:p>
    <w:p w14:paraId="7069A1D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на площади эвакуированного завода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в Москве по приказу № 63с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 (11982).</w:t>
      </w:r>
    </w:p>
    <w:p w14:paraId="1F73A35B"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324EAE8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началось формирование Ремонтных мастерских по приборам при 5ГУ НКАП, а позже был образован новый приборостроительный завод № 339 НКАП.</w:t>
      </w:r>
    </w:p>
    <w:p w14:paraId="0F89598B"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233CD25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из МАП в ведение СНХ РСФСР.</w:t>
      </w:r>
    </w:p>
    <w:p w14:paraId="6F5DE07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на заводе № 230 МАП действовал филиал ОКБ-12 МАП.</w:t>
      </w:r>
    </w:p>
    <w:p w14:paraId="7F7A24E6"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освоен выпуск автопилотов, указателей летчика. С конца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 систем противопожарной сигнализации, регуляторов температуры, демпферов колебания самолета. Разрабатывал и производил первичные преобразователи (термоэлектрические и терморезистивные датчики, датчики частоты вращения), магнитоэлектрические и магнитоиндукционные индикаторы.</w:t>
      </w:r>
    </w:p>
    <w:p w14:paraId="0BE697C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имело наименование «п/я А-1902» (по другой информации это наименование Казанского завода «Радиоприбор»).</w:t>
      </w:r>
    </w:p>
    <w:p w14:paraId="28584E8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САУ самолетами, системы электронной индикации параметров полета, системы и датчики регулирования, преобразования и измерения температуры и оборотов двигателя; системы и датчики пожарной сигнализации, термопары, гироскопические изделия; автокомплектующие.</w:t>
      </w:r>
    </w:p>
    <w:p w14:paraId="5EC9909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75BC10B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(12.1937 г.)- Логинов. Директор (-02-11.04.1938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Иванов (снят), (19.06.1938-03.1940 г.)- П.А. Пушкин, (03.1940-41 г.-)- Романов, (1943-45 г.)- А.Н. Соколовский. Гендиректор (1990-е-2005 г.-</w:t>
      </w:r>
      <w:proofErr w:type="gramStart"/>
      <w:r w:rsidRPr="008127F8">
        <w:rPr>
          <w:rFonts w:ascii="Times New Roman" w:hAnsi="Times New Roman"/>
          <w:color w:val="000000" w:themeColor="text1"/>
          <w:sz w:val="16"/>
          <w:szCs w:val="16"/>
        </w:rPr>
        <w:t>&gt;  Г.В.</w:t>
      </w:r>
      <w:proofErr w:type="gramEnd"/>
      <w:r w:rsidRPr="008127F8">
        <w:rPr>
          <w:rFonts w:ascii="Times New Roman" w:hAnsi="Times New Roman"/>
          <w:color w:val="000000" w:themeColor="text1"/>
          <w:sz w:val="16"/>
          <w:szCs w:val="16"/>
        </w:rPr>
        <w:t xml:space="preserve"> Дивавин.</w:t>
      </w:r>
    </w:p>
    <w:p w14:paraId="4ADA615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по экономике (2002 г.)- В.И. Древке.</w:t>
      </w:r>
    </w:p>
    <w:p w14:paraId="36D4780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(17.12.1938 г.-)- Б.О. Волков, (1940 г.)- Воробьев.</w:t>
      </w:r>
    </w:p>
    <w:p w14:paraId="100CA9D0"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по ВЭС (2002 г.)- В.И. Древке.</w:t>
      </w:r>
      <w:r w:rsidRPr="008127F8">
        <w:rPr>
          <w:rFonts w:ascii="Times New Roman" w:hAnsi="Times New Roman"/>
          <w:color w:val="000000" w:themeColor="text1"/>
          <w:sz w:val="16"/>
          <w:szCs w:val="16"/>
          <w:vertAlign w:val="superscript"/>
        </w:rPr>
        <w:t>69</w:t>
      </w:r>
    </w:p>
    <w:p w14:paraId="50DB562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снабжения (-07.1938 г.)- И.Я. Кулль.</w:t>
      </w:r>
    </w:p>
    <w:p w14:paraId="0985A60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интегратор № 170 (1938); двигатели Варрена СД-2, -60 (1946), кран-переключатель КП-3, -6 (1946); тахометры, термометры (1946); автопилоты: АП-15 (1954-), АП-39 (1960); САУ для МиГ-23 (1970-е), МиГ-27 (1980-е), вертолета «Ансат» (2000-е); агрегаты и системы прицельно-навигационного, радиосвязного оборудования, ПОС для Су-27, Су-30 (2003); вычислитель траекторного управления для Ми-172 (2000-е); гиростабилизированная платформа для РН «Союз», «Прогресс» (1960-е-90-е); гиростабилизатор системы телевизионного наведения УРВП; преобразователи ТСМ, ТСП, ТХА, ТХК для измерения температуры жидкостей, газов, твердых и сыпучих продуктов.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101</w:t>
      </w:r>
    </w:p>
    <w:p w14:paraId="673E7444"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завода № 230 НКАП, (ЖБ-230 НКАП /г. </w:t>
      </w:r>
      <w:proofErr w:type="gramStart"/>
      <w:r w:rsidRPr="008127F8">
        <w:rPr>
          <w:rFonts w:ascii="Times New Roman" w:hAnsi="Times New Roman"/>
          <w:color w:val="000000" w:themeColor="text1"/>
          <w:sz w:val="16"/>
          <w:szCs w:val="16"/>
        </w:rPr>
        <w:t>Москва;  г.</w:t>
      </w:r>
      <w:proofErr w:type="gramEnd"/>
      <w:r w:rsidRPr="008127F8">
        <w:rPr>
          <w:rFonts w:ascii="Times New Roman" w:hAnsi="Times New Roman"/>
          <w:color w:val="000000" w:themeColor="text1"/>
          <w:sz w:val="16"/>
          <w:szCs w:val="16"/>
        </w:rPr>
        <w:t xml:space="preserve"> Казань/</w:t>
      </w:r>
    </w:p>
    <w:p w14:paraId="61FF30DD"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образовано при заводе в 1935(7) г. для работ по авиационным приборам.</w:t>
      </w:r>
    </w:p>
    <w:p w14:paraId="1602782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1941-44 г. работало в Казани вместе с заводом. Создан ряд стрелочных приборов, расходомеров.</w:t>
      </w:r>
    </w:p>
    <w:p w14:paraId="77C8899E"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641с от 5.11.1944 г. ОКБ-230 5ГУ НКАП переведено на площадку завода № 149 ОКБ и влито в состав ОКБ-149 НКАП.</w:t>
      </w:r>
    </w:p>
    <w:p w14:paraId="6354729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Любарский.</w:t>
      </w:r>
    </w:p>
    <w:p w14:paraId="39BD4FB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ФГУП «Казанское Приборостроительное КБ» (КПКБ) /Татарстан </w:t>
      </w:r>
      <w:proofErr w:type="gramStart"/>
      <w:r w:rsidRPr="008127F8">
        <w:rPr>
          <w:rFonts w:ascii="Times New Roman" w:hAnsi="Times New Roman"/>
          <w:color w:val="000000" w:themeColor="text1"/>
          <w:sz w:val="16"/>
          <w:szCs w:val="16"/>
        </w:rPr>
        <w:t>420061  г.</w:t>
      </w:r>
      <w:proofErr w:type="gramEnd"/>
      <w:r w:rsidRPr="008127F8">
        <w:rPr>
          <w:rFonts w:ascii="Times New Roman" w:hAnsi="Times New Roman"/>
          <w:color w:val="000000" w:themeColor="text1"/>
          <w:sz w:val="16"/>
          <w:szCs w:val="16"/>
        </w:rPr>
        <w:t xml:space="preserve"> Казань Сибирский тракт, 1 тел. 72-62-63/</w:t>
      </w:r>
    </w:p>
    <w:p w14:paraId="2EA719A9"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разработка и производство продукции для авиакосмической промышленности (датчиков: температуры термоэлектрических и резистивных; частоты вращения магнитоиндукционных приводных и бесприводных; крутящего момента магнитоиндукционных бесприводных; регуляторов температуры остекления;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5B90327F"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2005 г. входило в состав НПЦ «Технокомплекс».</w:t>
      </w:r>
    </w:p>
    <w:p w14:paraId="45EE24A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(2002 г.)- И.Е. Ефимов.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Директор (-2004-06 г.-)- И.Е. Ефимов.</w:t>
      </w:r>
    </w:p>
    <w:p w14:paraId="5BFFFCF1"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(-2004-06 г.-)- В.Ф. Сучинский. Зам. начальника: по производству (2002 г.)- В.Ф. Сучинский; по науке (2002 г.)- Е.И. Сенин.</w:t>
      </w:r>
    </w:p>
    <w:p w14:paraId="06979C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ЗАО «ЭКА» /Татарстан </w:t>
      </w:r>
      <w:proofErr w:type="gramStart"/>
      <w:r w:rsidRPr="008127F8">
        <w:rPr>
          <w:rFonts w:ascii="Times New Roman" w:hAnsi="Times New Roman"/>
          <w:color w:val="000000" w:themeColor="text1"/>
          <w:sz w:val="16"/>
          <w:szCs w:val="16"/>
        </w:rPr>
        <w:t>420094  г.</w:t>
      </w:r>
      <w:proofErr w:type="gramEnd"/>
      <w:r w:rsidRPr="008127F8">
        <w:rPr>
          <w:rFonts w:ascii="Times New Roman" w:hAnsi="Times New Roman"/>
          <w:color w:val="000000" w:themeColor="text1"/>
          <w:sz w:val="16"/>
          <w:szCs w:val="16"/>
        </w:rPr>
        <w:t xml:space="preserve"> Казань ул. Чуйкова, 2Б тел. 56-06-12/</w:t>
      </w:r>
    </w:p>
    <w:p w14:paraId="014FDA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Учреждено 3.08.1995 г. Казанским заводом «Электроприбор» и французской фирмой </w:t>
      </w:r>
      <w:r w:rsidRPr="008127F8">
        <w:rPr>
          <w:rFonts w:ascii="Times New Roman" w:hAnsi="Times New Roman"/>
          <w:color w:val="000000" w:themeColor="text1"/>
          <w:sz w:val="16"/>
          <w:szCs w:val="16"/>
          <w:lang w:val="en-US"/>
        </w:rPr>
        <w:t>Auxitrol</w:t>
      </w:r>
      <w:r w:rsidRPr="008127F8">
        <w:rPr>
          <w:rFonts w:ascii="Times New Roman" w:hAnsi="Times New Roman"/>
          <w:color w:val="000000" w:themeColor="text1"/>
          <w:sz w:val="16"/>
          <w:szCs w:val="16"/>
        </w:rPr>
        <w:t>.</w:t>
      </w:r>
    </w:p>
    <w:p w14:paraId="6F727432"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 г.): авиационные датчики температуры, давления, частоты вращения.</w:t>
      </w:r>
    </w:p>
    <w:p w14:paraId="14E09FAC"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г.)-12 чел.</w:t>
      </w:r>
    </w:p>
    <w:p w14:paraId="085A5218"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Е.А. Жадобов.</w:t>
      </w:r>
    </w:p>
    <w:p w14:paraId="0C0C1693"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Л.И. Лившиц (11982).</w:t>
      </w:r>
    </w:p>
    <w:p w14:paraId="46CAAD30"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6862F595" w14:textId="77777777" w:rsidR="00D4651C" w:rsidRPr="008127F8" w:rsidRDefault="00D465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вышло Постановление ГКО № 1210 Об уменьшении плана снаряжения авиационных ампул АЖ-2 с 450 до 260 тыс. штук. РГАНИР, Фонд ГКО, д. 20, лл. 111 (11012).</w:t>
      </w:r>
    </w:p>
    <w:p w14:paraId="37744B97" w14:textId="77777777" w:rsidR="00D4651C" w:rsidRPr="008127F8" w:rsidRDefault="00D4651C" w:rsidP="001E0A84">
      <w:pPr>
        <w:spacing w:after="0" w:line="240" w:lineRule="auto"/>
        <w:jc w:val="both"/>
        <w:rPr>
          <w:rFonts w:ascii="Times New Roman" w:hAnsi="Times New Roman"/>
          <w:color w:val="000000" w:themeColor="text1"/>
          <w:sz w:val="16"/>
          <w:szCs w:val="16"/>
        </w:rPr>
      </w:pPr>
    </w:p>
    <w:p w14:paraId="0384C05E" w14:textId="77777777" w:rsidR="00D4651C" w:rsidRPr="008127F8" w:rsidRDefault="00A72CAA" w:rsidP="001E0A84">
      <w:pPr>
        <w:pStyle w:val="Iauiue"/>
        <w:jc w:val="both"/>
        <w:rPr>
          <w:iCs/>
          <w:color w:val="000000" w:themeColor="text1"/>
          <w:sz w:val="16"/>
          <w:szCs w:val="16"/>
        </w:rPr>
      </w:pPr>
      <w:r w:rsidRPr="008127F8">
        <w:rPr>
          <w:i/>
          <w:iCs/>
          <w:color w:val="000000" w:themeColor="text1"/>
          <w:sz w:val="16"/>
          <w:szCs w:val="16"/>
        </w:rPr>
        <w:t>Другие оборонные отрасли:</w:t>
      </w:r>
    </w:p>
    <w:p w14:paraId="16D487D4" w14:textId="77777777" w:rsidR="00D4651C" w:rsidRPr="008127F8" w:rsidRDefault="00D4651C" w:rsidP="001E0A84">
      <w:pPr>
        <w:pStyle w:val="Iauiue"/>
        <w:jc w:val="both"/>
        <w:rPr>
          <w:iCs/>
          <w:color w:val="000000" w:themeColor="text1"/>
          <w:sz w:val="16"/>
          <w:szCs w:val="16"/>
        </w:rPr>
      </w:pPr>
    </w:p>
    <w:p w14:paraId="726B93E6" w14:textId="2A45A097" w:rsidR="003A55EF" w:rsidRPr="008127F8" w:rsidRDefault="003A55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января 1942 г. в Севастополе начались работы по смене стволов на батареи № 30 без использования крана, вручную (вес ствола с </w:t>
      </w:r>
      <w:proofErr w:type="gramStart"/>
      <w:r w:rsidRPr="008127F8">
        <w:rPr>
          <w:rFonts w:ascii="Times New Roman" w:hAnsi="Times New Roman"/>
          <w:color w:val="000000" w:themeColor="text1"/>
          <w:sz w:val="16"/>
          <w:szCs w:val="16"/>
        </w:rPr>
        <w:t>затвором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w:t>
      </w:r>
      <w:proofErr w:type="gramEnd"/>
      <w:r w:rsidRPr="008127F8">
        <w:rPr>
          <w:rFonts w:ascii="Times New Roman" w:hAnsi="Times New Roman"/>
          <w:color w:val="000000" w:themeColor="text1"/>
          <w:sz w:val="16"/>
          <w:szCs w:val="16"/>
        </w:rPr>
        <w:t xml:space="preserve">,7 т) с использованием домкратов и талей. </w:t>
      </w:r>
      <w:proofErr w:type="gramStart"/>
      <w:r w:rsidRPr="008127F8">
        <w:rPr>
          <w:rFonts w:ascii="Times New Roman" w:hAnsi="Times New Roman"/>
          <w:color w:val="000000" w:themeColor="text1"/>
          <w:sz w:val="16"/>
          <w:szCs w:val="16"/>
        </w:rPr>
        <w:t>Использовать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имеющийся</w:t>
      </w:r>
      <w:proofErr w:type="gramEnd"/>
      <w:r w:rsidRPr="008127F8">
        <w:rPr>
          <w:rFonts w:ascii="Times New Roman" w:hAnsi="Times New Roman"/>
          <w:color w:val="000000" w:themeColor="text1"/>
          <w:sz w:val="16"/>
          <w:szCs w:val="16"/>
        </w:rPr>
        <w:t xml:space="preserve"> на батарее 100 т кран было невозможно, так как он был сильно повреждён, к тому же его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использование привело бы к нарушению скрытности работ, решено было проводить их только ночью</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или в условиях плохой видимости. Ночью 30 января паровозом подтянули первое орудие к башням. Когда паровоз, толкавший впереди себя платформу с телом орудия, вышел на возвышенность, где располагались башни, просматривавшиеся противником, </w:t>
      </w:r>
      <w:r w:rsidRPr="008127F8">
        <w:rPr>
          <w:rFonts w:ascii="Times New Roman" w:hAnsi="Times New Roman"/>
          <w:color w:val="000000" w:themeColor="text1"/>
          <w:sz w:val="16"/>
          <w:szCs w:val="16"/>
        </w:rPr>
        <w:lastRenderedPageBreak/>
        <w:t xml:space="preserve">тендер паровоза </w:t>
      </w:r>
      <w:proofErr w:type="gramStart"/>
      <w:r w:rsidRPr="008127F8">
        <w:rPr>
          <w:rFonts w:ascii="Times New Roman" w:hAnsi="Times New Roman"/>
          <w:color w:val="000000" w:themeColor="text1"/>
          <w:sz w:val="16"/>
          <w:szCs w:val="16"/>
        </w:rPr>
        <w:t>въехал</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на</w:t>
      </w:r>
      <w:proofErr w:type="gramEnd"/>
      <w:r w:rsidRPr="008127F8">
        <w:rPr>
          <w:rFonts w:ascii="Times New Roman" w:hAnsi="Times New Roman"/>
          <w:color w:val="000000" w:themeColor="text1"/>
          <w:sz w:val="16"/>
          <w:szCs w:val="16"/>
        </w:rPr>
        <w:t xml:space="preserve"> засыпанную снарядом воронку, сошёл с рельсов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стал погружаться в размокший от дождей грунт.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Личный состав батареи подтянул вручную платформу с орудием к башне и разгрузил её. В это время под обстрелом противника бригада во главе </w:t>
      </w:r>
      <w:proofErr w:type="gramStart"/>
      <w:r w:rsidRPr="008127F8">
        <w:rPr>
          <w:rFonts w:ascii="Times New Roman" w:hAnsi="Times New Roman"/>
          <w:color w:val="000000" w:themeColor="text1"/>
          <w:sz w:val="16"/>
          <w:szCs w:val="16"/>
        </w:rPr>
        <w:t>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инженером</w:t>
      </w:r>
      <w:proofErr w:type="gramEnd"/>
      <w:r w:rsidRPr="008127F8">
        <w:rPr>
          <w:rFonts w:ascii="Times New Roman" w:hAnsi="Times New Roman"/>
          <w:color w:val="000000" w:themeColor="text1"/>
          <w:sz w:val="16"/>
          <w:szCs w:val="16"/>
        </w:rPr>
        <w:t xml:space="preserve"> дивизиона И. В. Андриенко к рассвету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поставила тендер на рельсы и восстановила путь.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Утром ещё в темноте паровоз ушёл в </w:t>
      </w:r>
      <w:proofErr w:type="gramStart"/>
      <w:r w:rsidRPr="008127F8">
        <w:rPr>
          <w:rFonts w:ascii="Times New Roman" w:hAnsi="Times New Roman"/>
          <w:color w:val="000000" w:themeColor="text1"/>
          <w:sz w:val="16"/>
          <w:szCs w:val="16"/>
        </w:rPr>
        <w:t>Севастополь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w:t>
      </w:r>
      <w:proofErr w:type="gramEnd"/>
      <w:r w:rsidRPr="008127F8">
        <w:rPr>
          <w:rFonts w:ascii="Times New Roman" w:hAnsi="Times New Roman"/>
          <w:color w:val="000000" w:themeColor="text1"/>
          <w:sz w:val="16"/>
          <w:szCs w:val="16"/>
        </w:rPr>
        <w:t xml:space="preserve"> другим орудием, так и не обнаруженный противником. 11 февраля батарея была в полной боевой готовности (15132).</w:t>
      </w:r>
    </w:p>
    <w:p w14:paraId="2415CE20" w14:textId="77777777" w:rsidR="003A55EF" w:rsidRPr="008127F8" w:rsidRDefault="003A55EF" w:rsidP="001E0A84">
      <w:pPr>
        <w:spacing w:after="0" w:line="240" w:lineRule="auto"/>
        <w:jc w:val="both"/>
        <w:rPr>
          <w:rFonts w:ascii="Times New Roman" w:hAnsi="Times New Roman"/>
          <w:color w:val="000000" w:themeColor="text1"/>
          <w:sz w:val="16"/>
          <w:szCs w:val="16"/>
        </w:rPr>
      </w:pPr>
    </w:p>
    <w:p w14:paraId="739166EE" w14:textId="77777777" w:rsidR="003A55EF" w:rsidRPr="008127F8" w:rsidRDefault="003A55EF"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позднее 25 января 1942 года, то есть ещё до получения тактико-технических требований, судя по датам на чертежах отдельных деталей установки, началось проектирование новой версии КВ-7.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2C26B957" w14:textId="77777777" w:rsidR="003A55EF" w:rsidRPr="008127F8" w:rsidRDefault="003A55EF" w:rsidP="001E0A84">
      <w:pPr>
        <w:shd w:val="clear" w:color="auto" w:fill="FFFFFF"/>
        <w:spacing w:after="0" w:line="240" w:lineRule="auto"/>
        <w:jc w:val="both"/>
        <w:rPr>
          <w:rFonts w:ascii="Times New Roman" w:eastAsia="Times New Roman" w:hAnsi="Times New Roman"/>
          <w:color w:val="000000" w:themeColor="text1"/>
          <w:sz w:val="16"/>
          <w:szCs w:val="16"/>
        </w:rPr>
      </w:pPr>
    </w:p>
    <w:p w14:paraId="0BDE59C9" w14:textId="77777777" w:rsidR="006C4F00" w:rsidRPr="008A2E5A" w:rsidRDefault="006C4F00" w:rsidP="006C4F0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позднее 25 января 1942 года, то есть еще до оформления тактико-технических требований на модернизированный КВ-7, началось проектирование спаренной установки 76-мм пушек ЗИС-5, которая получила обозначение У-14. Основная нагрузка при проектировании переделанного КВ-7 легла на ОКБ-3 УЗТМ. Возглавил работы Горлицкий, поскольку Петров перешел на завод № 8. Ведущими инженерами по системе стали Н.В. Курин и Г.Ф. Ксюнин.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бронировки орудийной маски и снарядных укладок (23551).</w:t>
      </w:r>
    </w:p>
    <w:p w14:paraId="6C2721B9" w14:textId="77777777" w:rsidR="006C4F00" w:rsidRPr="008A2E5A" w:rsidRDefault="006C4F00" w:rsidP="006C4F00">
      <w:pPr>
        <w:spacing w:after="0" w:line="240" w:lineRule="auto"/>
        <w:jc w:val="both"/>
        <w:rPr>
          <w:rFonts w:ascii="Times New Roman" w:hAnsi="Times New Roman"/>
          <w:color w:val="0070C0"/>
          <w:sz w:val="16"/>
          <w:szCs w:val="16"/>
        </w:rPr>
      </w:pPr>
    </w:p>
    <w:p w14:paraId="64A10244"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25 января 1942 г. завод № 264 перешел на выпуск корпусов и башен </w:t>
      </w:r>
      <w:proofErr w:type="gramStart"/>
      <w:r w:rsidRPr="008127F8">
        <w:rPr>
          <w:rFonts w:ascii="Times New Roman" w:hAnsi="Times New Roman"/>
          <w:color w:val="000000" w:themeColor="text1"/>
          <w:sz w:val="16"/>
          <w:szCs w:val="16"/>
        </w:rPr>
        <w:t>с .составной</w:t>
      </w:r>
      <w:proofErr w:type="gramEnd"/>
      <w:r w:rsidRPr="008127F8">
        <w:rPr>
          <w:rFonts w:ascii="Times New Roman" w:hAnsi="Times New Roman"/>
          <w:color w:val="000000" w:themeColor="text1"/>
          <w:sz w:val="16"/>
          <w:szCs w:val="16"/>
        </w:rPr>
        <w:t xml:space="preserve"> броней; предназначавшихся для сборки танков Т-34-76 на СТЗ (10703).</w:t>
      </w:r>
    </w:p>
    <w:p w14:paraId="0FE0C55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3D0078B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ян</w:t>
      </w:r>
      <w:r w:rsidRPr="008127F8">
        <w:rPr>
          <w:rFonts w:ascii="Times New Roman" w:hAnsi="Times New Roman"/>
          <w:color w:val="000000" w:themeColor="text1"/>
          <w:sz w:val="16"/>
          <w:szCs w:val="16"/>
        </w:rPr>
        <w:softHyphen/>
        <w:t>варя 1941 экранированный танк пошел в серию на СТЗ (10782).</w:t>
      </w:r>
    </w:p>
    <w:p w14:paraId="562509CF" w14:textId="77777777" w:rsidR="00D4651C" w:rsidRPr="008127F8" w:rsidRDefault="00D4651C" w:rsidP="001E0A84">
      <w:pPr>
        <w:shd w:val="clear" w:color="auto" w:fill="FFFFFF"/>
        <w:spacing w:after="0" w:line="240" w:lineRule="auto"/>
        <w:jc w:val="both"/>
        <w:rPr>
          <w:rFonts w:ascii="Times New Roman" w:hAnsi="Times New Roman"/>
          <w:color w:val="000000" w:themeColor="text1"/>
          <w:sz w:val="16"/>
          <w:szCs w:val="16"/>
        </w:rPr>
      </w:pPr>
    </w:p>
    <w:p w14:paraId="65F61C8B"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w:t>
      </w:r>
    </w:p>
    <w:p w14:paraId="2DB1F23D"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1 Дело 4 лист 113</w:t>
      </w:r>
    </w:p>
    <w:p w14:paraId="1EA6DDA9"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2926B86"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w:t>
      </w:r>
    </w:p>
    <w:p w14:paraId="46339FF6"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35-М</w:t>
      </w:r>
    </w:p>
    <w:p w14:paraId="458C879F"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"25" января 1942 г.</w:t>
      </w:r>
    </w:p>
    <w:p w14:paraId="3B3BB4C8" w14:textId="2E1A8814"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Танковые заводы имеют перебои в работе из-за отсутствия шарикоподшипников, электрооборудования, топливной аппаратуры и др. материалов. С целью обеспечения наискорейшей доставки этих изделий и материалов танковым заводам Правительство прикрепило к Наркомтанкопрому 15 транспортных самолетов.</w:t>
      </w:r>
      <w:r w:rsidR="008127F8">
        <w:rPr>
          <w:rFonts w:ascii="Times New Roman" w:hAnsi="Times New Roman"/>
          <w:color w:val="000000" w:themeColor="text1"/>
          <w:sz w:val="16"/>
          <w:szCs w:val="16"/>
        </w:rPr>
        <w:t xml:space="preserve">  </w:t>
      </w:r>
    </w:p>
    <w:p w14:paraId="7C932436" w14:textId="072C49B0"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моим приказом от 23.I-42 г. за № 39-М за успешную работу экипажей самолетов и сопровождающих их работников контор Танкоснаба устанавливаются специальные премии.</w:t>
      </w:r>
      <w:r w:rsidR="008127F8">
        <w:rPr>
          <w:rFonts w:ascii="Times New Roman" w:hAnsi="Times New Roman"/>
          <w:color w:val="000000" w:themeColor="text1"/>
          <w:sz w:val="16"/>
          <w:szCs w:val="16"/>
        </w:rPr>
        <w:t xml:space="preserve">  </w:t>
      </w:r>
    </w:p>
    <w:p w14:paraId="33E1175D" w14:textId="10ED3F1F"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Обращаюсь к летному составу предоставленных в распоряжение НКТП самолетов и работникам Танкоснаба и прошу их хорошей работой, стахановскими рейсами (строго по расписанию) помочь танковым заводам выполнить задание страны и товарища СТАЛИНА по обеспечению фронта боевыми машинами.</w:t>
      </w:r>
      <w:r w:rsidR="008127F8">
        <w:rPr>
          <w:rFonts w:ascii="Times New Roman" w:hAnsi="Times New Roman"/>
          <w:color w:val="000000" w:themeColor="text1"/>
          <w:sz w:val="16"/>
          <w:szCs w:val="16"/>
        </w:rPr>
        <w:t xml:space="preserve">  </w:t>
      </w:r>
    </w:p>
    <w:p w14:paraId="5D4A2C6A"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Предупреждаю летный состав и работников снабжения, что лучшие из них будут мною всячески поощрены.</w:t>
      </w:r>
    </w:p>
    <w:p w14:paraId="0196D25A"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12107322" w14:textId="77777777" w:rsidR="001C2BCF" w:rsidRPr="008127F8" w:rsidRDefault="001C2B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(Малышев) (18441).</w:t>
      </w:r>
    </w:p>
    <w:p w14:paraId="1C1D87D1" w14:textId="77777777" w:rsidR="001C2BCF" w:rsidRPr="008127F8" w:rsidRDefault="001C2BCF" w:rsidP="001E0A84">
      <w:pPr>
        <w:spacing w:after="0" w:line="240" w:lineRule="auto"/>
        <w:jc w:val="both"/>
        <w:rPr>
          <w:rFonts w:ascii="Times New Roman" w:hAnsi="Times New Roman"/>
          <w:color w:val="000000" w:themeColor="text1"/>
          <w:sz w:val="16"/>
          <w:szCs w:val="16"/>
        </w:rPr>
      </w:pPr>
    </w:p>
    <w:p w14:paraId="33F01F3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DE9C7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92A2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0AF2E5A9"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25 января наши войска вели упорные бои с противником. Наши части, вновь продвинувшись вперёд, заняли несколько населённых пунктов и в числе их г. Нелидово (на железнодорожной магистрали Ржев—Великие Луки).</w:t>
      </w:r>
    </w:p>
    <w:p w14:paraId="23614B2B"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января уничтожено 39 немецких самолётов. Наши потери — 11 самолётов.</w:t>
      </w:r>
    </w:p>
    <w:p w14:paraId="668D666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Баренцевом море потопили транспорт противника водоизмещением в 5.000 тонн.</w:t>
      </w:r>
    </w:p>
    <w:p w14:paraId="599D90CF"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января части нашей авиации уничтожили 4 вражеских танка, 3 бронемашины, 280 автомашин с пехотой и грузами, 130 повозок с боеприпасами, 3 полевых орудия с прислугой, разрушили 5 железнодорожных эшелонов, рассеяли и частью истребили 3 батальона пехоты и эскадрон конницы противника.</w:t>
      </w:r>
    </w:p>
    <w:p w14:paraId="0CC93735"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Кавалерийская часть под командой тов. Фактора (Западный фронт) атаковала после артиллерийской подготовки усиленный батальон немецкой пехоты, оборонявший село К. Противник обратился в бегство, бросив 33 автомашины с военным грузом и большое количество оружия. На другом участке наша часть отбила контратаку немцев. Враг потерял только убитыми 200 солдат и офицеров.</w:t>
      </w:r>
    </w:p>
    <w:p w14:paraId="1E57B636"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 преодолев упорное сопротивление немцев, выбила их из сильно укреплённого оборонительного узла. Противник понёс большие потери.</w:t>
      </w:r>
    </w:p>
    <w:p w14:paraId="25F5F3CF"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лыжников-автоматчиков во главе с красноармейцем Н. Ивановым ворвались в занятый немцами населённый пункт и уничтожили 30 вражеских солдат и офицеров.</w:t>
      </w:r>
    </w:p>
    <w:p w14:paraId="67971CE5"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Партизанский отряд тов. В., действовавший в ныне освобождённых от немцев районах Тульской и Московской областей, активно помогал Красной Армии громить гитлеровских захватчиков. В хуторе М. партизаны, перебив часовых, взорвали немецкий продовольственный склад. Несколько дней спустя бойцы отряда заметили в неубранном конопляном поле 4 вражеских танка. Незаметно подойдя к ним, партизаны забросали машины противотанковыми гранатами. В результате уничтожено 2 танка и убито 8 гитлеровских </w:t>
      </w:r>
      <w:r w:rsidRPr="008127F8">
        <w:rPr>
          <w:rFonts w:ascii="Times New Roman" w:hAnsi="Times New Roman"/>
          <w:bCs/>
          <w:color w:val="000000" w:themeColor="text1"/>
          <w:sz w:val="16"/>
          <w:szCs w:val="16"/>
        </w:rPr>
        <w:t>25 января</w:t>
      </w:r>
      <w:r w:rsidRPr="008127F8">
        <w:rPr>
          <w:rFonts w:ascii="Times New Roman" w:hAnsi="Times New Roman"/>
          <w:color w:val="000000" w:themeColor="text1"/>
          <w:sz w:val="16"/>
          <w:szCs w:val="16"/>
        </w:rPr>
        <w:t xml:space="preserve"> немецкого отряда. Выбрав момент, когда немцы расположились обедать, партизаны с трёх сторон напали на врага. Оставив 27 убитых, немцы в панике разбежались. Партизаны освободили несколько десятков красноармейцев.</w:t>
      </w:r>
    </w:p>
    <w:p w14:paraId="2B3C6F16"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захватили приказ командира 422 полка 126 немецкой пехотной дивизии от 5 января, обращенный к офицерам. В этом приказе говорится: «После семимесячных боёв офицерский состав полка утомлён и расстроен. Кроме того, много офицеров убито и ранено. Господа офицеры, прибывшие к нам из запаса, не имеют опыта. Бои при отступлении заметно ослабили дисциплину. Обращение с материальной частью, оружием, приборами противоречит состоянию запасов и сырья. Как тяжело было терять при отступлении материальную часть... У нас часто бывает, что полковые приказы не выполняются. Бывает, что офицеры возражают против приказов. Подчинённые разрешают себе самоуправство. Причину этих явлений я нахожу, как уже сказано выше, в переутомлении офицеров и частично в их неопытности. Но мы все должны себя заставить преодолеть это состояние. Для этого надо офицерам, которые себя плохо чувствуют, стиснуть зубы».</w:t>
      </w:r>
    </w:p>
    <w:p w14:paraId="487E561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 который преподнёс битый командир полка своим офицерам, как нельзя лучше характеризует состояние гитлеровских войск.</w:t>
      </w:r>
    </w:p>
    <w:p w14:paraId="31B8910F"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Колхозы Кемеровского района, Новосибирской области, выполнив свои обязательства по сдаче хлеба, продали государству 160 тысяч пудов зерна. Колхозы Тяжинского района, той же области, продали государству 100 тысяч пудов хлебных излишков.».</w:t>
      </w:r>
    </w:p>
    <w:p w14:paraId="10A1BFD9"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Очередная ложь гитлеровского командования.</w:t>
      </w:r>
    </w:p>
    <w:p w14:paraId="2849A1AE"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с. г. берлинское радио передало сообщение, свидетельствующее об явном умственном расстройстве гитлеровцев, вызванном неудачами немецких войск на советско-германском фронте. В этом сообщении приведены смехотворные данные о том, что советские войска за последние 6 недель якобы «потеряли 1 миллион человек». Эти высосанные из пальцев цифры не имеют ничего общего с действительностью. На самом деле советские войска за указанный срок потеряли убитыми около 30.000 человек. Для чего, спрашивается, гитлеровские шулера и фальшивомонетчики сфабриковали заведомо лживые данные о потерях советских войск? Разумеется, для того, чтобы скрыть огромные, непоправимые потери, понесённые немецкими войсками на советско-германском фронте. Как известно, гитлеровцы с 6 декабря по 15 января потеряли только убитыми 300.000 солдат и офицеров. Трудно поддаются учёту потери немецких войск ранеными, обмороженными и больными. Несомненно, что эти потери велики.</w:t>
      </w:r>
    </w:p>
    <w:p w14:paraId="2BCC4C6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неудачи на советско-германском фронте гитлеровские дурачки пытаются прикрыть мифическими сообщениями, баснями о советских потерях. Напрасные потуги. Кстати говоря, косвенно огромные потери немецких войск подтвердило германское информационное бюро, 21 января сообщив, что, «учитывая тяжёлые оборонительные бои на советско-германском фронте, начальник германской полиции Гиммлер распространил запрещение, касающееся танцев, на танцевальные кружки, даже не имеющие общественного характера».</w:t>
      </w:r>
    </w:p>
    <w:p w14:paraId="579AF99B"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Палач Гиммлер напрасно беспокоится, запрещая танцы. В Германии едва ли теперь найдётся много желающих танцовать, так как почти в каждой немецкой семье есть жертвы преступной и кровавой политики Гитлера. Разве до танцев теперь истекающему кровью, пухнущему от голода, мрущему от болезней населению Германии?» (15020).</w:t>
      </w:r>
    </w:p>
    <w:p w14:paraId="6F669D60"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EB065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л И.М.Чиcсов на ЗФ выпрыгнул из сильно поврежденного Ил-4 с высоты 6705 без парашюта и упав в снег на склоне оврага остался жив, получив перелом костей таза и повреждения позвоночнока (3022). Нет, с парашютом, но шел затяжным, а потом потерял сознание (438,835).</w:t>
      </w:r>
    </w:p>
    <w:p w14:paraId="6034F8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230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25 января 1942 г. вышла директива Командующего ВВС КА от генерал-полковника авиации П.Ф.Жигарева. Он указывал: "Использование авиации фронтов, учитывая ее ограниченное количество, в настоящее время осуществляется неправильно. Командующие Военно-воздушными силами фронтов вместо целеустремленного массированного использования авиации на главных направлениях против основных объектов и группировок противника... распыляют усилия авиации между армиями" (2904,2).</w:t>
      </w:r>
    </w:p>
    <w:p w14:paraId="199BB6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F66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приказом Ставки ВГК № 0019 "в целях приближения авиационного руководства к авиационным полкам и лучшего использования ВВС Красной Армии" была упразднена существующая дивизионная система управления полками армейского и фронтового подчинения, а вскоре было утверждено положение о командующем ВВС армий, по которому они становились заместителями командующего армии и одновременно членами Военных советов. С этого дня все авиационные полки Красной Армии, в том числе и штурмовые, подчинялись непосредственно командующим общевойсковых армий и ВВС фронтов (8687).</w:t>
      </w:r>
    </w:p>
    <w:p w14:paraId="34E8D6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AF2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появилась директива командующего ВВС КА генерала П. Ф. Жигарева № 14501/12153, в которой указывалось, что: "...Использование авиации фронтов, учитывая ее ограниченное количество, в настоящее время осуществляется неправильно. Командующие военно-воздушными силами фронтов вместо целеустремленного массированного использования авиации на главных направлениях против основных объектов и группировок противника, препятствующих успешному решению задач фронта, распыляют средства и усилия авиации против многочисленных объектов на всех участках фронта....Массированно действий авиации со стороны командующих военно-воздушными силами фронтов в интересах намеченных операций проводится нерешительно или вовсе отсутствует" (8687).</w:t>
      </w:r>
    </w:p>
    <w:p w14:paraId="7EBBC2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25B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г. в директиве командующего ВВС КА генерал-полковника авиации П. Ф. Жигарева № 14501/12153 об итогах инспекторской проверки боевых действий авиачастей Западного и Юго-Западного фронтов в январе 42-го по этому поводу указывалось, что: "...В большинстве авиационных частей военно-воздушных сил Западного и Юго-Западного фронтов отмечено неграмотное использование стрелко-во-пушечного и бомбардировочного вооружения... Калибр и тип применяемых бомб зачастую не соответствует характеру цели. Применяется стандартная зарядка: ФАБ-100 или ФАБ-50 даже по целям, требующим поражения их стекол очным и бомбами</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9660).</w:t>
      </w:r>
    </w:p>
    <w:p w14:paraId="1AFEC0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AFB8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вышло Постановление ГКО № 1211 О Волжской военной флотилии. (7021, 112).</w:t>
      </w:r>
    </w:p>
    <w:p w14:paraId="3830627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3DD2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вышло Постановление ГКО № 1212 Об установлении надбавки к окладу содержания командирам и военным комиссарам полков и бригад береговой обороны и сухопутных частей Военно-Морского Флота. РГАНИР, Фонд ГКО, д. 20, лл. 113 (11012).</w:t>
      </w:r>
    </w:p>
    <w:p w14:paraId="65AE76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CF1B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вышло Постановление ГКО № 1213 [О 660 командирах и вольнонаемных работниках НКВМФ для работы в Москве.] (7021, 114).</w:t>
      </w:r>
    </w:p>
    <w:p w14:paraId="18A2E6C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7B672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вышло Постановление ГКО № 1214 О подаче маршевого пополнения фронтам в феврале месяце. (7021, 115-116).</w:t>
      </w:r>
    </w:p>
    <w:p w14:paraId="6530683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A7F7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C98B3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263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первые американские части прибыли в Северную Ирландию (2245,2).</w:t>
      </w:r>
    </w:p>
    <w:p w14:paraId="574AC5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8A29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Таиланд объявил войну США и Англии (4962).</w:t>
      </w:r>
    </w:p>
    <w:p w14:paraId="7CA348BC"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2A3D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японцы высадились на Соломоновых островах (2245,2).</w:t>
      </w:r>
    </w:p>
    <w:p w14:paraId="3277AC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537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1942 тайский диктатор под угрозой потери Таиландом суверенитета был вынужден объявить войну западным союзникам (3939,44).</w:t>
      </w:r>
    </w:p>
    <w:p w14:paraId="12C98C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8A046"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января</w:t>
      </w:r>
      <w:r w:rsidRPr="008127F8">
        <w:rPr>
          <w:rFonts w:ascii="Times New Roman" w:hAnsi="Times New Roman"/>
          <w:color w:val="000000" w:themeColor="text1"/>
          <w:sz w:val="16"/>
          <w:szCs w:val="16"/>
        </w:rPr>
        <w:t xml:space="preserve"> в 1942 году американские и английские самолеты бомбардировали Бангкок. Сиам объявил войну Англии и США (15020).</w:t>
      </w:r>
    </w:p>
    <w:p w14:paraId="06997C11"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9395B7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8769C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D84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января 1942 г. по приказу № 79сс на завод № 381 (Завод № 381 НКАП, МАП /г. Ленинград ст. </w:t>
      </w:r>
      <w:proofErr w:type="gramStart"/>
      <w:r w:rsidRPr="008127F8">
        <w:rPr>
          <w:rFonts w:ascii="Times New Roman" w:hAnsi="Times New Roman"/>
          <w:color w:val="000000" w:themeColor="text1"/>
          <w:sz w:val="16"/>
          <w:szCs w:val="16"/>
        </w:rPr>
        <w:t>Ижора;  г.</w:t>
      </w:r>
      <w:proofErr w:type="gramEnd"/>
      <w:r w:rsidRPr="008127F8">
        <w:rPr>
          <w:rFonts w:ascii="Times New Roman" w:hAnsi="Times New Roman"/>
          <w:color w:val="000000" w:themeColor="text1"/>
          <w:sz w:val="16"/>
          <w:szCs w:val="16"/>
        </w:rPr>
        <w:t xml:space="preserve"> Нижний Тагил Свердловской обл.;  г. Москва Ленинградское ш., 31/33/) была передана часть оборудования и кадров расформированного завода № 135 НКАП.</w:t>
      </w:r>
    </w:p>
    <w:p w14:paraId="6DF148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5C7CC5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39C0C8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33C63B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56F445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742148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3BDBA4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заводе организован филиал ОКБ-21 С.А. Лавочкина.</w:t>
      </w:r>
    </w:p>
    <w:p w14:paraId="7439B9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658EDD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34D88F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31175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FC45B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1.12.1946 г. завод передан из 1ГУ в ЮГУ, затем с 1.11.1948 г. обратно, из ЮГУ в 1ГУ.</w:t>
      </w:r>
    </w:p>
    <w:p w14:paraId="2B0286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AEE3A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40380F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(05.1943-10.1946 г.)- П.Д. Грушин, (1947 г.)- В.И. Засульский.</w:t>
      </w:r>
    </w:p>
    <w:p w14:paraId="41BF23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(1945 г.)- А.К. Кулагин.</w:t>
      </w:r>
    </w:p>
    <w:p w14:paraId="5CC053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94152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Заводской номер: Ил-2 М 381355 (11982).</w:t>
      </w:r>
    </w:p>
    <w:p w14:paraId="3A1754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806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директор завода 135 Кузин писал Зам. Наркома Н.А.Воронину письмо N 117/с с приложением на утверждение развернутой сметы по постановке производства Ил-4 на сумму 7.487 млн. руб. (1628,68).</w:t>
      </w:r>
    </w:p>
    <w:p w14:paraId="30C409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этом посылаем Вам на утверждение развернутую смету на постановку производства самолета ИЛ-4 на </w:t>
      </w:r>
      <w:proofErr w:type="gramStart"/>
      <w:r w:rsidRPr="008127F8">
        <w:rPr>
          <w:rFonts w:ascii="Times New Roman" w:hAnsi="Times New Roman"/>
          <w:color w:val="000000" w:themeColor="text1"/>
          <w:sz w:val="16"/>
          <w:szCs w:val="16"/>
        </w:rPr>
        <w:t>сум-му</w:t>
      </w:r>
      <w:proofErr w:type="gramEnd"/>
      <w:r w:rsidRPr="008127F8">
        <w:rPr>
          <w:rFonts w:ascii="Times New Roman" w:hAnsi="Times New Roman"/>
          <w:color w:val="000000" w:themeColor="text1"/>
          <w:sz w:val="16"/>
          <w:szCs w:val="16"/>
        </w:rPr>
        <w:t xml:space="preserve"> тыс. руб. 7487.</w:t>
      </w:r>
    </w:p>
    <w:p w14:paraId="6B9B8C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Имея в виду ограниченные стоки для начала серийно</w:t>
      </w:r>
      <w:r w:rsidRPr="008127F8">
        <w:rPr>
          <w:rFonts w:ascii="Times New Roman" w:hAnsi="Times New Roman"/>
          <w:color w:val="000000" w:themeColor="text1"/>
          <w:sz w:val="16"/>
          <w:szCs w:val="16"/>
        </w:rPr>
        <w:softHyphen/>
        <w:t>го выпуска, прошу обеспечить ассигнование средств за исключением суммы по убыткам в 36.00 т. р. в течение пер</w:t>
      </w:r>
      <w:r w:rsidRPr="008127F8">
        <w:rPr>
          <w:rFonts w:ascii="Times New Roman" w:hAnsi="Times New Roman"/>
          <w:color w:val="000000" w:themeColor="text1"/>
          <w:sz w:val="16"/>
          <w:szCs w:val="16"/>
        </w:rPr>
        <w:softHyphen/>
        <w:t>вого полугодия в размере:</w:t>
      </w:r>
    </w:p>
    <w:p w14:paraId="4963B8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1-го квартала </w:t>
      </w:r>
      <w:r w:rsidRPr="008127F8">
        <w:rPr>
          <w:rFonts w:ascii="Times New Roman" w:hAnsi="Times New Roman"/>
          <w:color w:val="000000" w:themeColor="text1"/>
          <w:sz w:val="16"/>
          <w:szCs w:val="16"/>
        </w:rPr>
        <w:tab/>
        <w:t>2500 т.р.</w:t>
      </w:r>
    </w:p>
    <w:p w14:paraId="11BA35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П-го квартала</w:t>
      </w:r>
      <w:r w:rsidRPr="008127F8">
        <w:rPr>
          <w:rFonts w:ascii="Times New Roman" w:hAnsi="Times New Roman"/>
          <w:color w:val="000000" w:themeColor="text1"/>
          <w:sz w:val="16"/>
          <w:szCs w:val="16"/>
        </w:rPr>
        <w:tab/>
        <w:t>1387 т.р.</w:t>
      </w:r>
    </w:p>
    <w:p w14:paraId="2F9D0AE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Смета на 13 листах.</w:t>
      </w:r>
    </w:p>
    <w:p w14:paraId="36B7C7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РАСЧЕТЫ К СМЕТЕ ЗАТРАТ НА ПОСТАНОВКУ ПРОИЗВОДСТВА МАШНЫ "ИЛ-4”</w:t>
      </w:r>
    </w:p>
    <w:p w14:paraId="436147A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Конструкторские работы.</w:t>
      </w:r>
    </w:p>
    <w:p w14:paraId="06072CB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внедрения машины "ИЛ-4" в серию завод дол</w:t>
      </w:r>
      <w:r w:rsidRPr="008127F8">
        <w:rPr>
          <w:rFonts w:ascii="Times New Roman" w:hAnsi="Times New Roman"/>
          <w:color w:val="000000" w:themeColor="text1"/>
          <w:sz w:val="16"/>
          <w:szCs w:val="16"/>
        </w:rPr>
        <w:softHyphen/>
        <w:t>жен произвести комплектовку чертежей по группам, снятие с оригиналов кальки, печатание синек.</w:t>
      </w:r>
    </w:p>
    <w:p w14:paraId="5C4A0CF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будет обработано 7350 ченртежей,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3F3201FB" w14:textId="77777777">
        <w:tc>
          <w:tcPr>
            <w:tcW w:w="4788" w:type="dxa"/>
            <w:tcBorders>
              <w:top w:val="single" w:sz="12" w:space="0" w:color="auto"/>
            </w:tcBorders>
            <w:shd w:val="clear" w:color="auto" w:fill="FFFFFF"/>
          </w:tcPr>
          <w:p w14:paraId="1FDF4B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каркасной группе</w:t>
            </w:r>
          </w:p>
        </w:tc>
        <w:tc>
          <w:tcPr>
            <w:tcW w:w="4788" w:type="dxa"/>
            <w:tcBorders>
              <w:top w:val="single" w:sz="12" w:space="0" w:color="auto"/>
            </w:tcBorders>
            <w:shd w:val="clear" w:color="auto" w:fill="FFFFFF"/>
          </w:tcPr>
          <w:p w14:paraId="545E42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r>
      <w:tr w:rsidR="006F4095" w:rsidRPr="008127F8" w14:paraId="77F9E492" w14:textId="77777777">
        <w:tc>
          <w:tcPr>
            <w:tcW w:w="4788" w:type="dxa"/>
            <w:shd w:val="clear" w:color="auto" w:fill="FFFFFF"/>
          </w:tcPr>
          <w:p w14:paraId="7C82C7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Шасси и управления</w:t>
            </w:r>
          </w:p>
        </w:tc>
        <w:tc>
          <w:tcPr>
            <w:tcW w:w="4788" w:type="dxa"/>
            <w:shd w:val="clear" w:color="auto" w:fill="FFFFFF"/>
          </w:tcPr>
          <w:p w14:paraId="401B72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tc>
      </w:tr>
      <w:tr w:rsidR="006F4095" w:rsidRPr="008127F8" w14:paraId="6E73BFF2" w14:textId="77777777">
        <w:tc>
          <w:tcPr>
            <w:tcW w:w="4788" w:type="dxa"/>
            <w:shd w:val="clear" w:color="auto" w:fill="FFFFFF"/>
          </w:tcPr>
          <w:p w14:paraId="48C2BC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Винтомоторная группа</w:t>
            </w:r>
          </w:p>
        </w:tc>
        <w:tc>
          <w:tcPr>
            <w:tcW w:w="4788" w:type="dxa"/>
            <w:shd w:val="clear" w:color="auto" w:fill="FFFFFF"/>
          </w:tcPr>
          <w:p w14:paraId="71C6B0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r>
      <w:tr w:rsidR="006F4095" w:rsidRPr="008127F8" w14:paraId="702A54FA" w14:textId="77777777">
        <w:tc>
          <w:tcPr>
            <w:tcW w:w="4788" w:type="dxa"/>
            <w:shd w:val="clear" w:color="auto" w:fill="FFFFFF"/>
          </w:tcPr>
          <w:p w14:paraId="699799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электро-радио</w:t>
            </w:r>
          </w:p>
        </w:tc>
        <w:tc>
          <w:tcPr>
            <w:tcW w:w="4788" w:type="dxa"/>
            <w:shd w:val="clear" w:color="auto" w:fill="FFFFFF"/>
          </w:tcPr>
          <w:p w14:paraId="77ED92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2D2933A4" w14:textId="77777777">
        <w:tc>
          <w:tcPr>
            <w:tcW w:w="4788" w:type="dxa"/>
            <w:shd w:val="clear" w:color="auto" w:fill="FFFFFF"/>
          </w:tcPr>
          <w:p w14:paraId="230AF4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Спецгруппа</w:t>
            </w:r>
          </w:p>
        </w:tc>
        <w:tc>
          <w:tcPr>
            <w:tcW w:w="4788" w:type="dxa"/>
            <w:shd w:val="clear" w:color="auto" w:fill="FFFFFF"/>
          </w:tcPr>
          <w:p w14:paraId="765B71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r w:rsidR="006F4095" w:rsidRPr="008127F8" w14:paraId="24927892" w14:textId="77777777">
        <w:tc>
          <w:tcPr>
            <w:tcW w:w="4788" w:type="dxa"/>
            <w:shd w:val="clear" w:color="auto" w:fill="FFFFFF"/>
          </w:tcPr>
          <w:p w14:paraId="20AEEB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оборудования</w:t>
            </w:r>
          </w:p>
        </w:tc>
        <w:tc>
          <w:tcPr>
            <w:tcW w:w="4788" w:type="dxa"/>
            <w:shd w:val="clear" w:color="auto" w:fill="FFFFFF"/>
          </w:tcPr>
          <w:p w14:paraId="71960D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tc>
      </w:tr>
      <w:tr w:rsidR="006F4095" w:rsidRPr="008127F8" w14:paraId="067CE8D0" w14:textId="77777777">
        <w:tc>
          <w:tcPr>
            <w:tcW w:w="4788" w:type="dxa"/>
            <w:tcBorders>
              <w:bottom w:val="single" w:sz="12" w:space="0" w:color="auto"/>
            </w:tcBorders>
            <w:shd w:val="clear" w:color="auto" w:fill="FFFFFF"/>
          </w:tcPr>
          <w:p w14:paraId="222842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Контрольная группа</w:t>
            </w:r>
          </w:p>
        </w:tc>
        <w:tc>
          <w:tcPr>
            <w:tcW w:w="4788" w:type="dxa"/>
            <w:tcBorders>
              <w:bottom w:val="single" w:sz="12" w:space="0" w:color="auto"/>
            </w:tcBorders>
            <w:shd w:val="clear" w:color="auto" w:fill="FFFFFF"/>
          </w:tcPr>
          <w:p w14:paraId="7D8230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r>
    </w:tbl>
    <w:p w14:paraId="00FC150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обработки одного чертежа принята трудоемкость: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674CA998" w14:textId="77777777">
        <w:tc>
          <w:tcPr>
            <w:tcW w:w="4788" w:type="dxa"/>
            <w:tcBorders>
              <w:top w:val="single" w:sz="12" w:space="0" w:color="auto"/>
            </w:tcBorders>
            <w:shd w:val="clear" w:color="auto" w:fill="FFFFFF"/>
          </w:tcPr>
          <w:p w14:paraId="61C09B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конструкторским работам</w:t>
            </w:r>
          </w:p>
        </w:tc>
        <w:tc>
          <w:tcPr>
            <w:tcW w:w="4788" w:type="dxa"/>
            <w:tcBorders>
              <w:top w:val="single" w:sz="12" w:space="0" w:color="auto"/>
            </w:tcBorders>
            <w:shd w:val="clear" w:color="auto" w:fill="FFFFFF"/>
          </w:tcPr>
          <w:p w14:paraId="35144F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от 8 до 12 часов</w:t>
            </w:r>
          </w:p>
        </w:tc>
      </w:tr>
      <w:tr w:rsidR="006F4095" w:rsidRPr="008127F8" w14:paraId="7984C22D" w14:textId="77777777">
        <w:tc>
          <w:tcPr>
            <w:tcW w:w="4788" w:type="dxa"/>
            <w:tcBorders>
              <w:bottom w:val="single" w:sz="12" w:space="0" w:color="auto"/>
            </w:tcBorders>
            <w:shd w:val="clear" w:color="auto" w:fill="FFFFFF"/>
          </w:tcPr>
          <w:p w14:paraId="031317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контрольной группе</w:t>
            </w:r>
          </w:p>
        </w:tc>
        <w:tc>
          <w:tcPr>
            <w:tcW w:w="4788" w:type="dxa"/>
            <w:tcBorders>
              <w:bottom w:val="single" w:sz="12" w:space="0" w:color="auto"/>
            </w:tcBorders>
            <w:shd w:val="clear" w:color="auto" w:fill="FFFFFF"/>
          </w:tcPr>
          <w:p w14:paraId="0E7A00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- 30 минут.</w:t>
            </w:r>
          </w:p>
        </w:tc>
      </w:tr>
    </w:tbl>
    <w:p w14:paraId="751A28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трудоемкость по конструкторским работам определяется: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01CFC1D3" w14:textId="77777777">
        <w:tc>
          <w:tcPr>
            <w:tcW w:w="4788" w:type="dxa"/>
            <w:tcBorders>
              <w:top w:val="single" w:sz="12" w:space="0" w:color="auto"/>
            </w:tcBorders>
            <w:shd w:val="clear" w:color="auto" w:fill="FFFFFF"/>
          </w:tcPr>
          <w:p w14:paraId="0782C7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количестве</w:t>
            </w:r>
          </w:p>
        </w:tc>
        <w:tc>
          <w:tcPr>
            <w:tcW w:w="4788" w:type="dxa"/>
            <w:tcBorders>
              <w:top w:val="single" w:sz="12" w:space="0" w:color="auto"/>
            </w:tcBorders>
            <w:shd w:val="clear" w:color="auto" w:fill="FFFFFF"/>
          </w:tcPr>
          <w:p w14:paraId="3F2176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47750 часов</w:t>
            </w:r>
          </w:p>
        </w:tc>
      </w:tr>
      <w:tr w:rsidR="006F4095" w:rsidRPr="008127F8" w14:paraId="6276AA8F" w14:textId="77777777">
        <w:tc>
          <w:tcPr>
            <w:tcW w:w="4788" w:type="dxa"/>
            <w:shd w:val="clear" w:color="auto" w:fill="FFFFFF"/>
          </w:tcPr>
          <w:p w14:paraId="1A4B60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ИТР</w:t>
            </w:r>
          </w:p>
        </w:tc>
        <w:tc>
          <w:tcPr>
            <w:tcW w:w="4788" w:type="dxa"/>
            <w:shd w:val="clear" w:color="auto" w:fill="FFFFFF"/>
          </w:tcPr>
          <w:p w14:paraId="58D0EF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30050</w:t>
            </w:r>
          </w:p>
        </w:tc>
      </w:tr>
      <w:tr w:rsidR="006F4095" w:rsidRPr="008127F8" w14:paraId="3CDA9895" w14:textId="77777777">
        <w:tc>
          <w:tcPr>
            <w:tcW w:w="4788" w:type="dxa"/>
            <w:tcBorders>
              <w:bottom w:val="single" w:sz="12" w:space="0" w:color="auto"/>
            </w:tcBorders>
            <w:shd w:val="clear" w:color="auto" w:fill="FFFFFF"/>
          </w:tcPr>
          <w:p w14:paraId="7D7A21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Служащих</w:t>
            </w:r>
          </w:p>
        </w:tc>
        <w:tc>
          <w:tcPr>
            <w:tcW w:w="4788" w:type="dxa"/>
            <w:tcBorders>
              <w:bottom w:val="single" w:sz="12" w:space="0" w:color="auto"/>
            </w:tcBorders>
            <w:shd w:val="clear" w:color="auto" w:fill="FFFFFF"/>
          </w:tcPr>
          <w:p w14:paraId="515173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17700</w:t>
            </w:r>
          </w:p>
        </w:tc>
      </w:tr>
    </w:tbl>
    <w:p w14:paraId="291C5B6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Средняя оплата одного часа с учетом работы в сверхурочное время и в выходные дни, а также применения сдельщины на чертежных и копировальных работах принята:</w:t>
      </w:r>
    </w:p>
    <w:p w14:paraId="3FEB5F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ИТР от 5 рублей до 6 р. 70 коп.</w:t>
      </w:r>
    </w:p>
    <w:p w14:paraId="43A8620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служащих от 2 р.40 к. до 5 р.50 коп.</w:t>
      </w:r>
    </w:p>
    <w:p w14:paraId="2DC4CC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фонд зарплаты (без дополнительной зарпла</w:t>
      </w:r>
      <w:r w:rsidRPr="008127F8">
        <w:rPr>
          <w:rFonts w:ascii="Times New Roman" w:hAnsi="Times New Roman"/>
          <w:color w:val="000000" w:themeColor="text1"/>
          <w:sz w:val="16"/>
          <w:szCs w:val="16"/>
        </w:rPr>
        <w:softHyphen/>
        <w:t>той начислений) составит 238 т.р.</w:t>
      </w:r>
    </w:p>
    <w:p w14:paraId="71F3B7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91CB476" w14:textId="77777777">
        <w:tc>
          <w:tcPr>
            <w:tcW w:w="4788" w:type="dxa"/>
            <w:tcBorders>
              <w:top w:val="single" w:sz="12" w:space="0" w:color="auto"/>
            </w:tcBorders>
            <w:shd w:val="clear" w:color="auto" w:fill="FFFFFF"/>
          </w:tcPr>
          <w:p w14:paraId="2DC5A1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 Т Р</w:t>
            </w:r>
          </w:p>
        </w:tc>
        <w:tc>
          <w:tcPr>
            <w:tcW w:w="4788" w:type="dxa"/>
            <w:tcBorders>
              <w:top w:val="single" w:sz="12" w:space="0" w:color="auto"/>
            </w:tcBorders>
            <w:shd w:val="clear" w:color="auto" w:fill="FFFFFF"/>
          </w:tcPr>
          <w:p w14:paraId="11DCA7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 т.р.</w:t>
            </w:r>
          </w:p>
        </w:tc>
      </w:tr>
      <w:tr w:rsidR="006F4095" w:rsidRPr="008127F8" w14:paraId="70AC570E" w14:textId="77777777">
        <w:tc>
          <w:tcPr>
            <w:tcW w:w="4788" w:type="dxa"/>
            <w:tcBorders>
              <w:bottom w:val="single" w:sz="12" w:space="0" w:color="auto"/>
            </w:tcBorders>
            <w:shd w:val="clear" w:color="auto" w:fill="FFFFFF"/>
          </w:tcPr>
          <w:p w14:paraId="3D43FD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служащим</w:t>
            </w:r>
          </w:p>
        </w:tc>
        <w:tc>
          <w:tcPr>
            <w:tcW w:w="4788" w:type="dxa"/>
            <w:tcBorders>
              <w:bottom w:val="single" w:sz="12" w:space="0" w:color="auto"/>
            </w:tcBorders>
            <w:shd w:val="clear" w:color="auto" w:fill="FFFFFF"/>
          </w:tcPr>
          <w:p w14:paraId="746C0F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 т.р.</w:t>
            </w:r>
          </w:p>
        </w:tc>
      </w:tr>
    </w:tbl>
    <w:p w14:paraId="1E94B17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Теоретической бригадой Конструкторского Бюро будут составлены технические описания с общей трудоемко</w:t>
      </w:r>
      <w:r w:rsidRPr="008127F8">
        <w:rPr>
          <w:rFonts w:ascii="Times New Roman" w:hAnsi="Times New Roman"/>
          <w:color w:val="000000" w:themeColor="text1"/>
          <w:sz w:val="16"/>
          <w:szCs w:val="16"/>
        </w:rPr>
        <w:softHyphen/>
        <w:t>стью в 1000 часов, что при средней оплате б рублей за час составит 6 т.р.</w:t>
      </w:r>
    </w:p>
    <w:p w14:paraId="4968118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вычерчивание планов предусматривается: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11F19D4C" w14:textId="77777777">
        <w:tc>
          <w:tcPr>
            <w:tcW w:w="4788" w:type="dxa"/>
            <w:tcBorders>
              <w:top w:val="single" w:sz="12" w:space="0" w:color="auto"/>
            </w:tcBorders>
            <w:shd w:val="clear" w:color="auto" w:fill="FFFFFF"/>
          </w:tcPr>
          <w:p w14:paraId="3875E5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ИТ Р</w:t>
            </w:r>
          </w:p>
        </w:tc>
        <w:tc>
          <w:tcPr>
            <w:tcW w:w="4788" w:type="dxa"/>
            <w:tcBorders>
              <w:top w:val="single" w:sz="12" w:space="0" w:color="auto"/>
            </w:tcBorders>
            <w:shd w:val="clear" w:color="auto" w:fill="FFFFFF"/>
          </w:tcPr>
          <w:p w14:paraId="1DDF13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5800 часов</w:t>
            </w:r>
          </w:p>
        </w:tc>
      </w:tr>
      <w:tr w:rsidR="006F4095" w:rsidRPr="008127F8" w14:paraId="1586E28E" w14:textId="77777777">
        <w:tc>
          <w:tcPr>
            <w:tcW w:w="4788" w:type="dxa"/>
            <w:tcBorders>
              <w:bottom w:val="single" w:sz="12" w:space="0" w:color="auto"/>
            </w:tcBorders>
            <w:shd w:val="clear" w:color="auto" w:fill="FFFFFF"/>
          </w:tcPr>
          <w:p w14:paraId="7D2C1E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служащим</w:t>
            </w:r>
          </w:p>
        </w:tc>
        <w:tc>
          <w:tcPr>
            <w:tcW w:w="4788" w:type="dxa"/>
            <w:tcBorders>
              <w:bottom w:val="single" w:sz="12" w:space="0" w:color="auto"/>
            </w:tcBorders>
            <w:shd w:val="clear" w:color="auto" w:fill="FFFFFF"/>
          </w:tcPr>
          <w:p w14:paraId="209880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r>
    </w:tbl>
    <w:p w14:paraId="72AE27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оплате ИГР 6 рублей за час и служащих -Зтэ.БОк. на вычерчивание планов потребуется: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EDC66DD" w14:textId="77777777">
        <w:tc>
          <w:tcPr>
            <w:tcW w:w="4788" w:type="dxa"/>
            <w:tcBorders>
              <w:top w:val="single" w:sz="12" w:space="0" w:color="auto"/>
            </w:tcBorders>
            <w:shd w:val="clear" w:color="auto" w:fill="FFFFFF"/>
          </w:tcPr>
          <w:p w14:paraId="1E30D8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52F011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 т.р.</w:t>
            </w:r>
          </w:p>
        </w:tc>
      </w:tr>
      <w:tr w:rsidR="006F4095" w:rsidRPr="008127F8" w14:paraId="48E65454" w14:textId="77777777">
        <w:tc>
          <w:tcPr>
            <w:tcW w:w="4788" w:type="dxa"/>
            <w:shd w:val="clear" w:color="auto" w:fill="FFFFFF"/>
          </w:tcPr>
          <w:p w14:paraId="486326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 лунащим</w:t>
            </w:r>
          </w:p>
        </w:tc>
        <w:tc>
          <w:tcPr>
            <w:tcW w:w="4788" w:type="dxa"/>
            <w:shd w:val="clear" w:color="auto" w:fill="FFFFFF"/>
          </w:tcPr>
          <w:p w14:paraId="1ED412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т.р.</w:t>
            </w:r>
          </w:p>
        </w:tc>
      </w:tr>
      <w:tr w:rsidR="006F4095" w:rsidRPr="008127F8" w14:paraId="317213D7" w14:textId="77777777">
        <w:tc>
          <w:tcPr>
            <w:tcW w:w="4788" w:type="dxa"/>
            <w:tcBorders>
              <w:bottom w:val="single" w:sz="12" w:space="0" w:color="auto"/>
            </w:tcBorders>
            <w:shd w:val="clear" w:color="auto" w:fill="FFFFFF"/>
          </w:tcPr>
          <w:p w14:paraId="473DF2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2E91FB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 т.р.</w:t>
            </w:r>
          </w:p>
        </w:tc>
      </w:tr>
    </w:tbl>
    <w:p w14:paraId="006FE4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руководства работой в цехах выделяется семь ве</w:t>
      </w:r>
      <w:r w:rsidRPr="008127F8">
        <w:rPr>
          <w:rFonts w:ascii="Times New Roman" w:hAnsi="Times New Roman"/>
          <w:color w:val="000000" w:themeColor="text1"/>
          <w:sz w:val="16"/>
          <w:szCs w:val="16"/>
        </w:rPr>
        <w:softHyphen/>
        <w:t>дущих констрикторов, оплата которых с учетом сверхурочных и выходных дней составит 18 т.р.</w:t>
      </w:r>
    </w:p>
    <w:p w14:paraId="5FA6108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фонд зарплаты (без дополнительной зарплаты и начислений) по всем -конструкторским работам требуется в размере: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43C90DA" w14:textId="77777777">
        <w:tc>
          <w:tcPr>
            <w:tcW w:w="4788" w:type="dxa"/>
            <w:tcBorders>
              <w:top w:val="single" w:sz="12" w:space="0" w:color="auto"/>
            </w:tcBorders>
            <w:shd w:val="clear" w:color="auto" w:fill="FFFFFF"/>
          </w:tcPr>
          <w:p w14:paraId="00D3FE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Обработка чертежей</w:t>
            </w:r>
          </w:p>
        </w:tc>
        <w:tc>
          <w:tcPr>
            <w:tcW w:w="4788" w:type="dxa"/>
            <w:tcBorders>
              <w:top w:val="single" w:sz="12" w:space="0" w:color="auto"/>
            </w:tcBorders>
            <w:shd w:val="clear" w:color="auto" w:fill="FFFFFF"/>
          </w:tcPr>
          <w:p w14:paraId="5FD39D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238 т.р.</w:t>
            </w:r>
          </w:p>
        </w:tc>
      </w:tr>
      <w:tr w:rsidR="006F4095" w:rsidRPr="008127F8" w14:paraId="5F9FE6BF" w14:textId="77777777">
        <w:tc>
          <w:tcPr>
            <w:tcW w:w="4788" w:type="dxa"/>
            <w:shd w:val="clear" w:color="auto" w:fill="FFFFFF"/>
          </w:tcPr>
          <w:p w14:paraId="328DE9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Технические описания</w:t>
            </w:r>
          </w:p>
        </w:tc>
        <w:tc>
          <w:tcPr>
            <w:tcW w:w="4788" w:type="dxa"/>
            <w:shd w:val="clear" w:color="auto" w:fill="FFFFFF"/>
          </w:tcPr>
          <w:p w14:paraId="093209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т.р.</w:t>
            </w:r>
          </w:p>
        </w:tc>
      </w:tr>
      <w:tr w:rsidR="006F4095" w:rsidRPr="008127F8" w14:paraId="6AE2925B" w14:textId="77777777">
        <w:tc>
          <w:tcPr>
            <w:tcW w:w="4788" w:type="dxa"/>
            <w:shd w:val="clear" w:color="auto" w:fill="FFFFFF"/>
          </w:tcPr>
          <w:p w14:paraId="146412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Вычерчивание планов</w:t>
            </w:r>
          </w:p>
        </w:tc>
        <w:tc>
          <w:tcPr>
            <w:tcW w:w="4788" w:type="dxa"/>
            <w:shd w:val="clear" w:color="auto" w:fill="FFFFFF"/>
          </w:tcPr>
          <w:p w14:paraId="5E3679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 т.р.</w:t>
            </w:r>
          </w:p>
        </w:tc>
      </w:tr>
      <w:tr w:rsidR="006F4095" w:rsidRPr="008127F8" w14:paraId="7502031A" w14:textId="77777777">
        <w:tc>
          <w:tcPr>
            <w:tcW w:w="4788" w:type="dxa"/>
            <w:shd w:val="clear" w:color="auto" w:fill="FFFFFF"/>
          </w:tcPr>
          <w:p w14:paraId="11158F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Оплата ведущих конструктторов</w:t>
            </w:r>
          </w:p>
        </w:tc>
        <w:tc>
          <w:tcPr>
            <w:tcW w:w="4788" w:type="dxa"/>
            <w:shd w:val="clear" w:color="auto" w:fill="FFFFFF"/>
          </w:tcPr>
          <w:p w14:paraId="0329C8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т.р.</w:t>
            </w:r>
          </w:p>
        </w:tc>
      </w:tr>
      <w:tr w:rsidR="006F4095" w:rsidRPr="008127F8" w14:paraId="0C44C0AA" w14:textId="77777777">
        <w:tc>
          <w:tcPr>
            <w:tcW w:w="4788" w:type="dxa"/>
            <w:tcBorders>
              <w:bottom w:val="single" w:sz="12" w:space="0" w:color="auto"/>
            </w:tcBorders>
            <w:shd w:val="clear" w:color="auto" w:fill="FFFFFF"/>
          </w:tcPr>
          <w:p w14:paraId="693DF5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08ED22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304 т.р.</w:t>
            </w:r>
          </w:p>
        </w:tc>
      </w:tr>
    </w:tbl>
    <w:p w14:paraId="449FE2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Начисления на зарплату и дополнительная зарплата составляют 13%к зарплате за отработанное время или 40 т.р.</w:t>
      </w:r>
    </w:p>
    <w:p w14:paraId="44C4BAD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светокопии определяется в объеме 200000 экземпляров, что потребует 5000 чел/часов вспомогательных рабочих (светокопировщики, резчики) и соответствующий фонд зарплаты: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37A0AA49" w14:textId="77777777">
        <w:tc>
          <w:tcPr>
            <w:tcW w:w="4788" w:type="dxa"/>
            <w:tcBorders>
              <w:top w:val="single" w:sz="12" w:space="0" w:color="auto"/>
            </w:tcBorders>
            <w:shd w:val="clear" w:color="auto" w:fill="FFFFFF"/>
          </w:tcPr>
          <w:p w14:paraId="4A4060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отработанное время</w:t>
            </w:r>
          </w:p>
        </w:tc>
        <w:tc>
          <w:tcPr>
            <w:tcW w:w="4788" w:type="dxa"/>
            <w:tcBorders>
              <w:top w:val="single" w:sz="12" w:space="0" w:color="auto"/>
            </w:tcBorders>
            <w:shd w:val="clear" w:color="auto" w:fill="FFFFFF"/>
          </w:tcPr>
          <w:p w14:paraId="22C340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т.р.</w:t>
            </w:r>
          </w:p>
        </w:tc>
      </w:tr>
      <w:tr w:rsidR="006F4095" w:rsidRPr="008127F8" w14:paraId="6C923C3F" w14:textId="77777777">
        <w:tc>
          <w:tcPr>
            <w:tcW w:w="4788" w:type="dxa"/>
            <w:shd w:val="clear" w:color="auto" w:fill="FFFFFF"/>
          </w:tcPr>
          <w:p w14:paraId="29B188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доп.зарплата</w:t>
            </w:r>
            <w:proofErr w:type="gramEnd"/>
            <w:r w:rsidRPr="008127F8">
              <w:rPr>
                <w:rFonts w:ascii="Times New Roman" w:hAnsi="Times New Roman"/>
                <w:color w:val="000000" w:themeColor="text1"/>
                <w:sz w:val="16"/>
                <w:szCs w:val="16"/>
              </w:rPr>
              <w:t xml:space="preserve"> и начисл.</w:t>
            </w:r>
          </w:p>
        </w:tc>
        <w:tc>
          <w:tcPr>
            <w:tcW w:w="4788" w:type="dxa"/>
            <w:shd w:val="clear" w:color="auto" w:fill="FFFFFF"/>
          </w:tcPr>
          <w:p w14:paraId="1ADB5D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т.р.</w:t>
            </w:r>
          </w:p>
        </w:tc>
      </w:tr>
      <w:tr w:rsidR="006F4095" w:rsidRPr="008127F8" w14:paraId="51930D72" w14:textId="77777777">
        <w:tc>
          <w:tcPr>
            <w:tcW w:w="4788" w:type="dxa"/>
            <w:tcBorders>
              <w:bottom w:val="single" w:sz="12" w:space="0" w:color="auto"/>
            </w:tcBorders>
            <w:shd w:val="clear" w:color="auto" w:fill="FFFFFF"/>
          </w:tcPr>
          <w:p w14:paraId="411E1F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3BB95F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т.р.</w:t>
            </w:r>
          </w:p>
        </w:tc>
      </w:tr>
    </w:tbl>
    <w:p w14:paraId="11779FD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 (ватман, полувтмаш, калька, синька, чер</w:t>
      </w:r>
      <w:r w:rsidRPr="008127F8">
        <w:rPr>
          <w:rFonts w:ascii="Times New Roman" w:hAnsi="Times New Roman"/>
          <w:color w:val="000000" w:themeColor="text1"/>
          <w:sz w:val="16"/>
          <w:szCs w:val="16"/>
        </w:rPr>
        <w:softHyphen/>
        <w:t>тежные принадлежности) потребуют затрат в сумме 31 т.р.</w:t>
      </w:r>
    </w:p>
    <w:p w14:paraId="353CA5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Спецкомандировки по конструкторским работам наме</w:t>
      </w:r>
      <w:r w:rsidRPr="008127F8">
        <w:rPr>
          <w:rFonts w:ascii="Times New Roman" w:hAnsi="Times New Roman"/>
          <w:color w:val="000000" w:themeColor="text1"/>
          <w:sz w:val="16"/>
          <w:szCs w:val="16"/>
        </w:rPr>
        <w:softHyphen/>
        <w:t>чаются в сумме 8 т.р.</w:t>
      </w:r>
    </w:p>
    <w:p w14:paraId="72B051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8127F8">
        <w:rPr>
          <w:rFonts w:ascii="Times New Roman" w:hAnsi="Times New Roman"/>
          <w:color w:val="000000" w:themeColor="text1"/>
          <w:sz w:val="16"/>
          <w:szCs w:val="16"/>
        </w:rPr>
        <w:t>Общая сумма затрат по конструкторским работам со</w:t>
      </w:r>
      <w:r w:rsidRPr="008127F8">
        <w:rPr>
          <w:rFonts w:ascii="Times New Roman" w:hAnsi="Times New Roman"/>
          <w:color w:val="000000" w:themeColor="text1"/>
          <w:sz w:val="16"/>
          <w:szCs w:val="16"/>
        </w:rPr>
        <w:softHyphen/>
        <w:t xml:space="preserve">ставит 400 </w:t>
      </w:r>
      <w:proofErr w:type="gramStart"/>
      <w:r w:rsidRPr="008127F8">
        <w:rPr>
          <w:rFonts w:ascii="Times New Roman" w:hAnsi="Times New Roman"/>
          <w:color w:val="000000" w:themeColor="text1"/>
          <w:sz w:val="16"/>
          <w:szCs w:val="16"/>
        </w:rPr>
        <w:t>тыс .</w:t>
      </w:r>
      <w:proofErr w:type="gramEnd"/>
      <w:r w:rsidRPr="008127F8">
        <w:rPr>
          <w:rFonts w:ascii="Times New Roman" w:hAnsi="Times New Roman"/>
          <w:color w:val="000000" w:themeColor="text1"/>
          <w:sz w:val="16"/>
          <w:szCs w:val="16"/>
        </w:rPr>
        <w:t>руб</w:t>
      </w:r>
      <w:r w:rsidRPr="008127F8">
        <w:rPr>
          <w:rFonts w:ascii="Times New Roman" w:hAnsi="Times New Roman"/>
          <w:color w:val="000000" w:themeColor="text1"/>
          <w:sz w:val="16"/>
          <w:szCs w:val="16"/>
          <w:u w:val="single"/>
        </w:rPr>
        <w:t>.</w:t>
      </w:r>
    </w:p>
    <w:p w14:paraId="712636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proofErr w:type="gramStart"/>
      <w:r w:rsidRPr="008127F8">
        <w:rPr>
          <w:rFonts w:ascii="Times New Roman" w:hAnsi="Times New Roman"/>
          <w:color w:val="000000" w:themeColor="text1"/>
          <w:sz w:val="16"/>
          <w:szCs w:val="16"/>
        </w:rPr>
        <w:t>П..</w:t>
      </w:r>
      <w:proofErr w:type="gramEnd"/>
      <w:r w:rsidRPr="008127F8">
        <w:rPr>
          <w:rFonts w:ascii="Times New Roman" w:hAnsi="Times New Roman"/>
          <w:color w:val="000000" w:themeColor="text1"/>
          <w:sz w:val="16"/>
          <w:szCs w:val="16"/>
        </w:rPr>
        <w:t xml:space="preserve"> Разработка технологического процесса и корректи</w:t>
      </w:r>
      <w:r w:rsidRPr="008127F8">
        <w:rPr>
          <w:rFonts w:ascii="Times New Roman" w:hAnsi="Times New Roman"/>
          <w:color w:val="000000" w:themeColor="text1"/>
          <w:sz w:val="16"/>
          <w:szCs w:val="16"/>
        </w:rPr>
        <w:softHyphen/>
        <w:t>рование техничевкой документации</w:t>
      </w:r>
    </w:p>
    <w:p w14:paraId="61F899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Объем работ намечаемся следующий: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697CC3D" w14:textId="77777777">
        <w:tc>
          <w:tcPr>
            <w:tcW w:w="4788" w:type="dxa"/>
            <w:tcBorders>
              <w:top w:val="single" w:sz="12" w:space="0" w:color="auto"/>
            </w:tcBorders>
            <w:shd w:val="clear" w:color="auto" w:fill="FFFFFF"/>
          </w:tcPr>
          <w:p w14:paraId="19232F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Расцеховка деталей, разработка планкарт и нормирование материалов</w:t>
            </w:r>
          </w:p>
        </w:tc>
        <w:tc>
          <w:tcPr>
            <w:tcW w:w="4788" w:type="dxa"/>
            <w:tcBorders>
              <w:top w:val="single" w:sz="12" w:space="0" w:color="auto"/>
            </w:tcBorders>
            <w:shd w:val="clear" w:color="auto" w:fill="FFFFFF"/>
          </w:tcPr>
          <w:p w14:paraId="75EB15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11300 дет.</w:t>
            </w:r>
          </w:p>
        </w:tc>
      </w:tr>
      <w:tr w:rsidR="006F4095" w:rsidRPr="008127F8" w14:paraId="093ABC9C" w14:textId="77777777">
        <w:tc>
          <w:tcPr>
            <w:tcW w:w="4788" w:type="dxa"/>
            <w:shd w:val="clear" w:color="auto" w:fill="FFFFFF"/>
          </w:tcPr>
          <w:p w14:paraId="188334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Составление схем и разработка ве</w:t>
            </w:r>
            <w:r w:rsidRPr="008127F8">
              <w:rPr>
                <w:rFonts w:ascii="Times New Roman" w:hAnsi="Times New Roman"/>
                <w:color w:val="000000" w:themeColor="text1"/>
                <w:sz w:val="16"/>
                <w:szCs w:val="16"/>
              </w:rPr>
              <w:softHyphen/>
              <w:t>домостей шаблонов с указанием сборочных и ведущих отверстий</w:t>
            </w:r>
          </w:p>
        </w:tc>
        <w:tc>
          <w:tcPr>
            <w:tcW w:w="4788" w:type="dxa"/>
            <w:shd w:val="clear" w:color="auto" w:fill="FFFFFF"/>
          </w:tcPr>
          <w:p w14:paraId="7C7756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 шабл.</w:t>
            </w:r>
          </w:p>
        </w:tc>
      </w:tr>
      <w:tr w:rsidR="006F4095" w:rsidRPr="008127F8" w14:paraId="6BE8EA26" w14:textId="77777777">
        <w:tc>
          <w:tcPr>
            <w:tcW w:w="4788" w:type="dxa"/>
            <w:shd w:val="clear" w:color="auto" w:fill="FFFFFF"/>
          </w:tcPr>
          <w:p w14:paraId="2D6264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Корректировка технологических чертежеи горячей штамповки</w:t>
            </w:r>
          </w:p>
        </w:tc>
        <w:tc>
          <w:tcPr>
            <w:tcW w:w="4788" w:type="dxa"/>
            <w:shd w:val="clear" w:color="auto" w:fill="FFFFFF"/>
          </w:tcPr>
          <w:p w14:paraId="32BBDB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 черт.</w:t>
            </w:r>
          </w:p>
        </w:tc>
      </w:tr>
      <w:tr w:rsidR="006F4095" w:rsidRPr="008127F8" w14:paraId="17D68E93" w14:textId="77777777">
        <w:tc>
          <w:tcPr>
            <w:tcW w:w="4788" w:type="dxa"/>
            <w:shd w:val="clear" w:color="auto" w:fill="FFFFFF"/>
          </w:tcPr>
          <w:p w14:paraId="616B98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Корректировка технологических чер</w:t>
            </w:r>
            <w:r w:rsidRPr="008127F8">
              <w:rPr>
                <w:rFonts w:ascii="Times New Roman" w:hAnsi="Times New Roman"/>
                <w:color w:val="000000" w:themeColor="text1"/>
                <w:sz w:val="16"/>
                <w:szCs w:val="16"/>
              </w:rPr>
              <w:softHyphen/>
              <w:t>тежей литья и методов формовки</w:t>
            </w:r>
          </w:p>
        </w:tc>
        <w:tc>
          <w:tcPr>
            <w:tcW w:w="4788" w:type="dxa"/>
            <w:shd w:val="clear" w:color="auto" w:fill="FFFFFF"/>
          </w:tcPr>
          <w:p w14:paraId="77C691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черт.</w:t>
            </w:r>
          </w:p>
        </w:tc>
      </w:tr>
      <w:tr w:rsidR="006F4095" w:rsidRPr="008127F8" w14:paraId="1391FBFA" w14:textId="77777777">
        <w:tc>
          <w:tcPr>
            <w:tcW w:w="4788" w:type="dxa"/>
            <w:shd w:val="clear" w:color="auto" w:fill="FFFFFF"/>
          </w:tcPr>
          <w:p w14:paraId="1D2855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Разработка технологического процес</w:t>
            </w:r>
            <w:r w:rsidRPr="008127F8">
              <w:rPr>
                <w:rFonts w:ascii="Times New Roman" w:hAnsi="Times New Roman"/>
                <w:color w:val="000000" w:themeColor="text1"/>
                <w:sz w:val="16"/>
                <w:szCs w:val="16"/>
              </w:rPr>
              <w:softHyphen/>
              <w:t>са:</w:t>
            </w:r>
          </w:p>
        </w:tc>
        <w:tc>
          <w:tcPr>
            <w:tcW w:w="4788" w:type="dxa"/>
            <w:shd w:val="clear" w:color="auto" w:fill="FFFFFF"/>
          </w:tcPr>
          <w:p w14:paraId="2F6011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F9BFB2" w14:textId="77777777">
        <w:tc>
          <w:tcPr>
            <w:tcW w:w="4788" w:type="dxa"/>
            <w:shd w:val="clear" w:color="auto" w:fill="FFFFFF"/>
          </w:tcPr>
          <w:p w14:paraId="627C64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механические детали</w:t>
            </w:r>
          </w:p>
        </w:tc>
        <w:tc>
          <w:tcPr>
            <w:tcW w:w="4788" w:type="dxa"/>
            <w:shd w:val="clear" w:color="auto" w:fill="FFFFFF"/>
          </w:tcPr>
          <w:p w14:paraId="591B57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дет.</w:t>
            </w:r>
          </w:p>
        </w:tc>
      </w:tr>
      <w:tr w:rsidR="006F4095" w:rsidRPr="008127F8" w14:paraId="5BA255CC" w14:textId="77777777">
        <w:tc>
          <w:tcPr>
            <w:tcW w:w="4788" w:type="dxa"/>
            <w:shd w:val="clear" w:color="auto" w:fill="FFFFFF"/>
          </w:tcPr>
          <w:p w14:paraId="703BC7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детали из черного листового ма</w:t>
            </w:r>
            <w:r w:rsidRPr="008127F8">
              <w:rPr>
                <w:rFonts w:ascii="Times New Roman" w:hAnsi="Times New Roman"/>
                <w:color w:val="000000" w:themeColor="text1"/>
                <w:sz w:val="16"/>
                <w:szCs w:val="16"/>
              </w:rPr>
              <w:softHyphen/>
              <w:t>териала</w:t>
            </w:r>
          </w:p>
        </w:tc>
        <w:tc>
          <w:tcPr>
            <w:tcW w:w="4788" w:type="dxa"/>
            <w:shd w:val="clear" w:color="auto" w:fill="FFFFFF"/>
          </w:tcPr>
          <w:p w14:paraId="4060C6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дет.</w:t>
            </w:r>
          </w:p>
        </w:tc>
      </w:tr>
      <w:tr w:rsidR="006F4095" w:rsidRPr="008127F8" w14:paraId="55A135FB" w14:textId="77777777">
        <w:tc>
          <w:tcPr>
            <w:tcW w:w="4788" w:type="dxa"/>
            <w:shd w:val="clear" w:color="auto" w:fill="FFFFFF"/>
          </w:tcPr>
          <w:p w14:paraId="7DC257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детали из цветного листового ма</w:t>
            </w:r>
            <w:r w:rsidRPr="008127F8">
              <w:rPr>
                <w:rFonts w:ascii="Times New Roman" w:hAnsi="Times New Roman"/>
                <w:color w:val="000000" w:themeColor="text1"/>
                <w:sz w:val="16"/>
                <w:szCs w:val="16"/>
              </w:rPr>
              <w:softHyphen/>
              <w:t>териала</w:t>
            </w:r>
          </w:p>
        </w:tc>
        <w:tc>
          <w:tcPr>
            <w:tcW w:w="4788" w:type="dxa"/>
            <w:shd w:val="clear" w:color="auto" w:fill="FFFFFF"/>
          </w:tcPr>
          <w:p w14:paraId="2392E6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дет.</w:t>
            </w:r>
          </w:p>
        </w:tc>
      </w:tr>
      <w:tr w:rsidR="006F4095" w:rsidRPr="008127F8" w14:paraId="2C233E8B" w14:textId="77777777">
        <w:tc>
          <w:tcPr>
            <w:tcW w:w="4788" w:type="dxa"/>
            <w:shd w:val="clear" w:color="auto" w:fill="FFFFFF"/>
          </w:tcPr>
          <w:p w14:paraId="24A0BF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детали из профилей</w:t>
            </w:r>
          </w:p>
        </w:tc>
        <w:tc>
          <w:tcPr>
            <w:tcW w:w="4788" w:type="dxa"/>
            <w:shd w:val="clear" w:color="auto" w:fill="FFFFFF"/>
          </w:tcPr>
          <w:p w14:paraId="45E2E2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r w:rsidR="006F4095" w:rsidRPr="008127F8" w14:paraId="77B7201B" w14:textId="77777777">
        <w:tc>
          <w:tcPr>
            <w:tcW w:w="4788" w:type="dxa"/>
            <w:shd w:val="clear" w:color="auto" w:fill="FFFFFF"/>
          </w:tcPr>
          <w:p w14:paraId="5F2328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детали из труб</w:t>
            </w:r>
          </w:p>
        </w:tc>
        <w:tc>
          <w:tcPr>
            <w:tcW w:w="4788" w:type="dxa"/>
            <w:shd w:val="clear" w:color="auto" w:fill="FFFFFF"/>
          </w:tcPr>
          <w:p w14:paraId="62C9ED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r>
      <w:tr w:rsidR="006F4095" w:rsidRPr="008127F8" w14:paraId="6325F985" w14:textId="77777777">
        <w:tc>
          <w:tcPr>
            <w:tcW w:w="4788" w:type="dxa"/>
            <w:shd w:val="clear" w:color="auto" w:fill="FFFFFF"/>
          </w:tcPr>
          <w:p w14:paraId="4757B0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нормали</w:t>
            </w:r>
          </w:p>
        </w:tc>
        <w:tc>
          <w:tcPr>
            <w:tcW w:w="4788" w:type="dxa"/>
            <w:shd w:val="clear" w:color="auto" w:fill="FFFFFF"/>
          </w:tcPr>
          <w:p w14:paraId="0A1859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35B58200" w14:textId="77777777">
        <w:tc>
          <w:tcPr>
            <w:tcW w:w="4788" w:type="dxa"/>
            <w:shd w:val="clear" w:color="auto" w:fill="FFFFFF"/>
          </w:tcPr>
          <w:p w14:paraId="42E23F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детали горячей штамповки</w:t>
            </w:r>
          </w:p>
        </w:tc>
        <w:tc>
          <w:tcPr>
            <w:tcW w:w="4788" w:type="dxa"/>
            <w:shd w:val="clear" w:color="auto" w:fill="FFFFFF"/>
          </w:tcPr>
          <w:p w14:paraId="7CA735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r>
      <w:tr w:rsidR="006F4095" w:rsidRPr="008127F8" w14:paraId="112A341F" w14:textId="77777777">
        <w:tc>
          <w:tcPr>
            <w:tcW w:w="4788" w:type="dxa"/>
            <w:shd w:val="clear" w:color="auto" w:fill="FFFFFF"/>
          </w:tcPr>
          <w:p w14:paraId="0F4913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детали литья</w:t>
            </w:r>
          </w:p>
        </w:tc>
        <w:tc>
          <w:tcPr>
            <w:tcW w:w="4788" w:type="dxa"/>
            <w:shd w:val="clear" w:color="auto" w:fill="FFFFFF"/>
          </w:tcPr>
          <w:p w14:paraId="017F71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21D76793" w14:textId="77777777">
        <w:tc>
          <w:tcPr>
            <w:tcW w:w="4788" w:type="dxa"/>
            <w:shd w:val="clear" w:color="auto" w:fill="FFFFFF"/>
          </w:tcPr>
          <w:p w14:paraId="1B1E55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детали из пластмасс</w:t>
            </w:r>
          </w:p>
        </w:tc>
        <w:tc>
          <w:tcPr>
            <w:tcW w:w="4788" w:type="dxa"/>
            <w:shd w:val="clear" w:color="auto" w:fill="FFFFFF"/>
          </w:tcPr>
          <w:p w14:paraId="75D5B0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6F4095" w:rsidRPr="008127F8" w14:paraId="719D6788" w14:textId="77777777">
        <w:tc>
          <w:tcPr>
            <w:tcW w:w="4788" w:type="dxa"/>
            <w:shd w:val="clear" w:color="auto" w:fill="FFFFFF"/>
          </w:tcPr>
          <w:p w14:paraId="5FAD25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детали из дерева</w:t>
            </w:r>
          </w:p>
        </w:tc>
        <w:tc>
          <w:tcPr>
            <w:tcW w:w="4788" w:type="dxa"/>
            <w:shd w:val="clear" w:color="auto" w:fill="FFFFFF"/>
          </w:tcPr>
          <w:p w14:paraId="1092FA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2100</w:t>
            </w:r>
          </w:p>
        </w:tc>
      </w:tr>
      <w:tr w:rsidR="006F4095" w:rsidRPr="008127F8" w14:paraId="7867424D" w14:textId="77777777">
        <w:tc>
          <w:tcPr>
            <w:tcW w:w="4788" w:type="dxa"/>
            <w:shd w:val="clear" w:color="auto" w:fill="FFFFFF"/>
          </w:tcPr>
          <w:p w14:paraId="3E99C0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прочие детали</w:t>
            </w:r>
          </w:p>
        </w:tc>
        <w:tc>
          <w:tcPr>
            <w:tcW w:w="4788" w:type="dxa"/>
            <w:shd w:val="clear" w:color="auto" w:fill="FFFFFF"/>
          </w:tcPr>
          <w:p w14:paraId="2B8DC2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6F4095" w:rsidRPr="008127F8" w14:paraId="1C214ECD" w14:textId="77777777">
        <w:tc>
          <w:tcPr>
            <w:tcW w:w="4788" w:type="dxa"/>
            <w:shd w:val="clear" w:color="auto" w:fill="FFFFFF"/>
          </w:tcPr>
          <w:p w14:paraId="2C678B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узлы механических цехов</w:t>
            </w:r>
          </w:p>
        </w:tc>
        <w:tc>
          <w:tcPr>
            <w:tcW w:w="4788" w:type="dxa"/>
            <w:shd w:val="clear" w:color="auto" w:fill="FFFFFF"/>
          </w:tcPr>
          <w:p w14:paraId="1B54B7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5E05C73D" w14:textId="77777777">
        <w:tc>
          <w:tcPr>
            <w:tcW w:w="4788" w:type="dxa"/>
            <w:shd w:val="clear" w:color="auto" w:fill="FFFFFF"/>
          </w:tcPr>
          <w:p w14:paraId="44D8D5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узлы агрегатных узлов</w:t>
            </w:r>
          </w:p>
        </w:tc>
        <w:tc>
          <w:tcPr>
            <w:tcW w:w="4788" w:type="dxa"/>
            <w:shd w:val="clear" w:color="auto" w:fill="FFFFFF"/>
          </w:tcPr>
          <w:p w14:paraId="4D80B7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567BEAA5" w14:textId="77777777">
        <w:tc>
          <w:tcPr>
            <w:tcW w:w="4788" w:type="dxa"/>
            <w:shd w:val="clear" w:color="auto" w:fill="FFFFFF"/>
          </w:tcPr>
          <w:p w14:paraId="1EB952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сборочных цехов</w:t>
            </w:r>
          </w:p>
        </w:tc>
        <w:tc>
          <w:tcPr>
            <w:tcW w:w="4788" w:type="dxa"/>
            <w:shd w:val="clear" w:color="auto" w:fill="FFFFFF"/>
          </w:tcPr>
          <w:p w14:paraId="468E27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r>
      <w:tr w:rsidR="006F4095" w:rsidRPr="008127F8" w14:paraId="36D629AF" w14:textId="77777777">
        <w:tc>
          <w:tcPr>
            <w:tcW w:w="4788" w:type="dxa"/>
            <w:shd w:val="clear" w:color="auto" w:fill="FFFFFF"/>
          </w:tcPr>
          <w:p w14:paraId="6AE591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сварочные узлы</w:t>
            </w:r>
          </w:p>
        </w:tc>
        <w:tc>
          <w:tcPr>
            <w:tcW w:w="4788" w:type="dxa"/>
            <w:shd w:val="clear" w:color="auto" w:fill="FFFFFF"/>
          </w:tcPr>
          <w:p w14:paraId="03FDB3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6F4095" w:rsidRPr="008127F8" w14:paraId="7B124AF5" w14:textId="77777777">
        <w:tc>
          <w:tcPr>
            <w:tcW w:w="4788" w:type="dxa"/>
            <w:shd w:val="clear" w:color="auto" w:fill="FFFFFF"/>
          </w:tcPr>
          <w:p w14:paraId="5109FB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 раскрой листового материала и профилей</w:t>
            </w:r>
          </w:p>
        </w:tc>
        <w:tc>
          <w:tcPr>
            <w:tcW w:w="4788" w:type="dxa"/>
            <w:shd w:val="clear" w:color="auto" w:fill="FFFFFF"/>
          </w:tcPr>
          <w:p w14:paraId="0712E6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r>
      <w:tr w:rsidR="006F4095" w:rsidRPr="008127F8" w14:paraId="42D9EF9C" w14:textId="77777777">
        <w:tc>
          <w:tcPr>
            <w:tcW w:w="4788" w:type="dxa"/>
            <w:shd w:val="clear" w:color="auto" w:fill="FFFFFF"/>
          </w:tcPr>
          <w:p w14:paraId="07D29F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6. Уточнение норм материала по техпроцессу, составление сортовых и поузловых карт, поузловых лимитов и сводной спесификации на машину с учетом запчастей</w:t>
            </w:r>
          </w:p>
        </w:tc>
        <w:tc>
          <w:tcPr>
            <w:tcW w:w="4788" w:type="dxa"/>
            <w:shd w:val="clear" w:color="auto" w:fill="FFFFFF"/>
          </w:tcPr>
          <w:p w14:paraId="36324D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13500 дет.</w:t>
            </w:r>
          </w:p>
        </w:tc>
      </w:tr>
      <w:tr w:rsidR="006F4095" w:rsidRPr="008127F8" w14:paraId="017276F6" w14:textId="77777777">
        <w:tc>
          <w:tcPr>
            <w:tcW w:w="4788" w:type="dxa"/>
            <w:shd w:val="clear" w:color="auto" w:fill="FFFFFF"/>
          </w:tcPr>
          <w:p w14:paraId="3DCA1B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Составление карт набора инструмента</w:t>
            </w:r>
          </w:p>
        </w:tc>
        <w:tc>
          <w:tcPr>
            <w:tcW w:w="4788" w:type="dxa"/>
            <w:shd w:val="clear" w:color="auto" w:fill="FFFFFF"/>
          </w:tcPr>
          <w:p w14:paraId="0D9753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11300 дет.</w:t>
            </w:r>
          </w:p>
        </w:tc>
      </w:tr>
      <w:tr w:rsidR="006F4095" w:rsidRPr="008127F8" w14:paraId="21465F02" w14:textId="77777777">
        <w:tc>
          <w:tcPr>
            <w:tcW w:w="4788" w:type="dxa"/>
            <w:shd w:val="clear" w:color="auto" w:fill="FFFFFF"/>
          </w:tcPr>
          <w:p w14:paraId="1F4A5D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Составление новойкартотеки нормалей</w:t>
            </w:r>
          </w:p>
        </w:tc>
        <w:tc>
          <w:tcPr>
            <w:tcW w:w="4788" w:type="dxa"/>
            <w:shd w:val="clear" w:color="auto" w:fill="FFFFFF"/>
          </w:tcPr>
          <w:p w14:paraId="02F8E3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27B5E8D2" w14:textId="77777777">
        <w:tc>
          <w:tcPr>
            <w:tcW w:w="4788" w:type="dxa"/>
            <w:shd w:val="clear" w:color="auto" w:fill="FFFFFF"/>
          </w:tcPr>
          <w:p w14:paraId="23B7A3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Составление картотеки деталей</w:t>
            </w:r>
          </w:p>
        </w:tc>
        <w:tc>
          <w:tcPr>
            <w:tcW w:w="4788" w:type="dxa"/>
            <w:shd w:val="clear" w:color="auto" w:fill="FFFFFF"/>
          </w:tcPr>
          <w:p w14:paraId="5709A2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11300</w:t>
            </w:r>
          </w:p>
        </w:tc>
      </w:tr>
      <w:tr w:rsidR="006F4095" w:rsidRPr="008127F8" w14:paraId="580F739C" w14:textId="77777777">
        <w:tc>
          <w:tcPr>
            <w:tcW w:w="4788" w:type="dxa"/>
            <w:shd w:val="clear" w:color="auto" w:fill="FFFFFF"/>
          </w:tcPr>
          <w:p w14:paraId="08B197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Пересмотр комплектовочных ведомостей запчастей</w:t>
            </w:r>
          </w:p>
        </w:tc>
        <w:tc>
          <w:tcPr>
            <w:tcW w:w="4788" w:type="dxa"/>
            <w:shd w:val="clear" w:color="auto" w:fill="FFFFFF"/>
          </w:tcPr>
          <w:p w14:paraId="200E1A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r>
      <w:tr w:rsidR="006F4095" w:rsidRPr="008127F8" w14:paraId="146ABBD5" w14:textId="77777777">
        <w:tc>
          <w:tcPr>
            <w:tcW w:w="4788" w:type="dxa"/>
            <w:tcBorders>
              <w:bottom w:val="single" w:sz="12" w:space="0" w:color="auto"/>
            </w:tcBorders>
            <w:shd w:val="clear" w:color="auto" w:fill="FFFFFF"/>
          </w:tcPr>
          <w:p w14:paraId="63D30F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Снятие копий с технический документации и проверка после переписки</w:t>
            </w:r>
          </w:p>
        </w:tc>
        <w:tc>
          <w:tcPr>
            <w:tcW w:w="4788" w:type="dxa"/>
            <w:tcBorders>
              <w:bottom w:val="single" w:sz="12" w:space="0" w:color="auto"/>
            </w:tcBorders>
            <w:shd w:val="clear" w:color="auto" w:fill="FFFFFF"/>
          </w:tcPr>
          <w:p w14:paraId="32F8F8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27000 листов</w:t>
            </w:r>
          </w:p>
        </w:tc>
      </w:tr>
    </w:tbl>
    <w:p w14:paraId="5DB4A01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трудоёмкость в человеко-часах по всему об "ему работ составит 90000</w:t>
      </w:r>
    </w:p>
    <w:p w14:paraId="756D5C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415BAA3B" w14:textId="77777777">
        <w:tc>
          <w:tcPr>
            <w:tcW w:w="4788" w:type="dxa"/>
            <w:tcBorders>
              <w:top w:val="single" w:sz="12" w:space="0" w:color="auto"/>
            </w:tcBorders>
            <w:shd w:val="clear" w:color="auto" w:fill="FFFFFF"/>
          </w:tcPr>
          <w:p w14:paraId="7F8E20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расцеховка деталей, разработка план</w:t>
            </w:r>
            <w:r w:rsidRPr="008127F8">
              <w:rPr>
                <w:rFonts w:ascii="Times New Roman" w:hAnsi="Times New Roman"/>
                <w:color w:val="000000" w:themeColor="text1"/>
                <w:sz w:val="16"/>
                <w:szCs w:val="16"/>
              </w:rPr>
              <w:softHyphen/>
              <w:t>карт и нормирование материалов</w:t>
            </w:r>
          </w:p>
        </w:tc>
        <w:tc>
          <w:tcPr>
            <w:tcW w:w="4788" w:type="dxa"/>
            <w:tcBorders>
              <w:top w:val="single" w:sz="12" w:space="0" w:color="auto"/>
            </w:tcBorders>
            <w:shd w:val="clear" w:color="auto" w:fill="FFFFFF"/>
          </w:tcPr>
          <w:p w14:paraId="0A783A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8500</w:t>
            </w:r>
          </w:p>
        </w:tc>
      </w:tr>
      <w:tr w:rsidR="006F4095" w:rsidRPr="008127F8" w14:paraId="0533D9F7" w14:textId="77777777">
        <w:tc>
          <w:tcPr>
            <w:tcW w:w="4788" w:type="dxa"/>
            <w:shd w:val="clear" w:color="auto" w:fill="FFFFFF"/>
          </w:tcPr>
          <w:p w14:paraId="749E7E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Составление схем и разработка ведомостей шаблонов</w:t>
            </w:r>
          </w:p>
        </w:tc>
        <w:tc>
          <w:tcPr>
            <w:tcW w:w="4788" w:type="dxa"/>
            <w:shd w:val="clear" w:color="auto" w:fill="FFFFFF"/>
          </w:tcPr>
          <w:p w14:paraId="7F76A2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r>
      <w:tr w:rsidR="006F4095" w:rsidRPr="008127F8" w14:paraId="17C55167" w14:textId="77777777">
        <w:tc>
          <w:tcPr>
            <w:tcW w:w="4788" w:type="dxa"/>
            <w:shd w:val="clear" w:color="auto" w:fill="FFFFFF"/>
          </w:tcPr>
          <w:p w14:paraId="313D9B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Корректировка технологическх чертежей горячей штамповки</w:t>
            </w:r>
          </w:p>
        </w:tc>
        <w:tc>
          <w:tcPr>
            <w:tcW w:w="4788" w:type="dxa"/>
            <w:shd w:val="clear" w:color="auto" w:fill="FFFFFF"/>
          </w:tcPr>
          <w:p w14:paraId="237D44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0804792D" w14:textId="77777777">
        <w:tc>
          <w:tcPr>
            <w:tcW w:w="4788" w:type="dxa"/>
            <w:shd w:val="clear" w:color="auto" w:fill="FFFFFF"/>
          </w:tcPr>
          <w:p w14:paraId="07D0A9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Корректирозка технологических чер</w:t>
            </w:r>
            <w:r w:rsidRPr="008127F8">
              <w:rPr>
                <w:rFonts w:ascii="Times New Roman" w:hAnsi="Times New Roman"/>
                <w:color w:val="000000" w:themeColor="text1"/>
                <w:sz w:val="16"/>
                <w:szCs w:val="16"/>
              </w:rPr>
              <w:softHyphen/>
              <w:t xml:space="preserve">тежей литья к </w:t>
            </w:r>
            <w:proofErr w:type="gramStart"/>
            <w:r w:rsidRPr="008127F8">
              <w:rPr>
                <w:rFonts w:ascii="Times New Roman" w:hAnsi="Times New Roman"/>
                <w:color w:val="000000" w:themeColor="text1"/>
                <w:sz w:val="16"/>
                <w:szCs w:val="16"/>
              </w:rPr>
              <w:t>метод.формовки</w:t>
            </w:r>
            <w:proofErr w:type="gramEnd"/>
          </w:p>
        </w:tc>
        <w:tc>
          <w:tcPr>
            <w:tcW w:w="4788" w:type="dxa"/>
            <w:shd w:val="clear" w:color="auto" w:fill="FFFFFF"/>
          </w:tcPr>
          <w:p w14:paraId="6B0709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36C6FCEB" w14:textId="77777777">
        <w:tc>
          <w:tcPr>
            <w:tcW w:w="4788" w:type="dxa"/>
            <w:shd w:val="clear" w:color="auto" w:fill="FFFFFF"/>
          </w:tcPr>
          <w:p w14:paraId="2EA968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Разработка технологического процесса</w:t>
            </w:r>
          </w:p>
        </w:tc>
        <w:tc>
          <w:tcPr>
            <w:tcW w:w="4788" w:type="dxa"/>
            <w:shd w:val="clear" w:color="auto" w:fill="FFFFFF"/>
          </w:tcPr>
          <w:p w14:paraId="341F7B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51700</w:t>
            </w:r>
          </w:p>
        </w:tc>
      </w:tr>
      <w:tr w:rsidR="006F4095" w:rsidRPr="008127F8" w14:paraId="37B3601A" w14:textId="77777777">
        <w:tc>
          <w:tcPr>
            <w:tcW w:w="4788" w:type="dxa"/>
            <w:shd w:val="clear" w:color="auto" w:fill="FFFFFF"/>
          </w:tcPr>
          <w:p w14:paraId="0AE19A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Уточнение лорм материалов по техпроцессу</w:t>
            </w:r>
          </w:p>
        </w:tc>
        <w:tc>
          <w:tcPr>
            <w:tcW w:w="4788" w:type="dxa"/>
            <w:shd w:val="clear" w:color="auto" w:fill="FFFFFF"/>
          </w:tcPr>
          <w:p w14:paraId="0BF456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5150</w:t>
            </w:r>
          </w:p>
        </w:tc>
      </w:tr>
      <w:tr w:rsidR="006F4095" w:rsidRPr="008127F8" w14:paraId="4A670245" w14:textId="77777777">
        <w:tc>
          <w:tcPr>
            <w:tcW w:w="4788" w:type="dxa"/>
            <w:shd w:val="clear" w:color="auto" w:fill="FFFFFF"/>
          </w:tcPr>
          <w:p w14:paraId="777A86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Составление </w:t>
            </w:r>
            <w:proofErr w:type="gramStart"/>
            <w:r w:rsidRPr="008127F8">
              <w:rPr>
                <w:rFonts w:ascii="Times New Roman" w:hAnsi="Times New Roman"/>
                <w:color w:val="000000" w:themeColor="text1"/>
                <w:sz w:val="16"/>
                <w:szCs w:val="16"/>
              </w:rPr>
              <w:t>карт ,</w:t>
            </w:r>
            <w:proofErr w:type="gramEnd"/>
            <w:r w:rsidRPr="008127F8">
              <w:rPr>
                <w:rFonts w:ascii="Times New Roman" w:hAnsi="Times New Roman"/>
                <w:color w:val="000000" w:themeColor="text1"/>
                <w:sz w:val="16"/>
                <w:szCs w:val="16"/>
              </w:rPr>
              <w:t xml:space="preserve"> набора инструмента</w:t>
            </w:r>
          </w:p>
        </w:tc>
        <w:tc>
          <w:tcPr>
            <w:tcW w:w="4788" w:type="dxa"/>
            <w:shd w:val="clear" w:color="auto" w:fill="FFFFFF"/>
          </w:tcPr>
          <w:p w14:paraId="3288EF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w:t>
            </w:r>
          </w:p>
        </w:tc>
      </w:tr>
      <w:tr w:rsidR="006F4095" w:rsidRPr="008127F8" w14:paraId="7FA6C888" w14:textId="77777777">
        <w:tc>
          <w:tcPr>
            <w:tcW w:w="4788" w:type="dxa"/>
            <w:shd w:val="clear" w:color="auto" w:fill="FFFFFF"/>
          </w:tcPr>
          <w:p w14:paraId="6CCEFD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Составление новой картотеки нормалей</w:t>
            </w:r>
          </w:p>
        </w:tc>
        <w:tc>
          <w:tcPr>
            <w:tcW w:w="4788" w:type="dxa"/>
            <w:shd w:val="clear" w:color="auto" w:fill="FFFFFF"/>
          </w:tcPr>
          <w:p w14:paraId="5BD118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r>
      <w:tr w:rsidR="006F4095" w:rsidRPr="008127F8" w14:paraId="5B7BA041" w14:textId="77777777">
        <w:tc>
          <w:tcPr>
            <w:tcW w:w="4788" w:type="dxa"/>
            <w:shd w:val="clear" w:color="auto" w:fill="FFFFFF"/>
          </w:tcPr>
          <w:p w14:paraId="3C6813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Составление картотеки деталей</w:t>
            </w:r>
          </w:p>
        </w:tc>
        <w:tc>
          <w:tcPr>
            <w:tcW w:w="4788" w:type="dxa"/>
            <w:shd w:val="clear" w:color="auto" w:fill="FFFFFF"/>
          </w:tcPr>
          <w:p w14:paraId="7FB846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2CD7F524" w14:textId="77777777">
        <w:tc>
          <w:tcPr>
            <w:tcW w:w="4788" w:type="dxa"/>
            <w:shd w:val="clear" w:color="auto" w:fill="FFFFFF"/>
          </w:tcPr>
          <w:p w14:paraId="30BFB5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Пересмотр комплектовочных ведомостей запчастей</w:t>
            </w:r>
          </w:p>
        </w:tc>
        <w:tc>
          <w:tcPr>
            <w:tcW w:w="4788" w:type="dxa"/>
            <w:shd w:val="clear" w:color="auto" w:fill="FFFFFF"/>
          </w:tcPr>
          <w:p w14:paraId="45B431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r>
      <w:tr w:rsidR="006F4095" w:rsidRPr="008127F8" w14:paraId="466CC157" w14:textId="77777777">
        <w:tc>
          <w:tcPr>
            <w:tcW w:w="4788" w:type="dxa"/>
            <w:shd w:val="clear" w:color="auto" w:fill="FFFFFF"/>
          </w:tcPr>
          <w:p w14:paraId="73E42C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Снятие копий с технической документа</w:t>
            </w:r>
            <w:r w:rsidRPr="008127F8">
              <w:rPr>
                <w:rFonts w:ascii="Times New Roman" w:hAnsi="Times New Roman"/>
                <w:color w:val="000000" w:themeColor="text1"/>
                <w:sz w:val="16"/>
                <w:szCs w:val="16"/>
              </w:rPr>
              <w:softHyphen/>
              <w:t>ции</w:t>
            </w:r>
          </w:p>
        </w:tc>
        <w:tc>
          <w:tcPr>
            <w:tcW w:w="4788" w:type="dxa"/>
            <w:shd w:val="clear" w:color="auto" w:fill="FFFFFF"/>
          </w:tcPr>
          <w:p w14:paraId="1397ED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r>
      <w:tr w:rsidR="006F4095" w:rsidRPr="008127F8" w14:paraId="48C560A0" w14:textId="77777777">
        <w:tc>
          <w:tcPr>
            <w:tcW w:w="4788" w:type="dxa"/>
            <w:tcBorders>
              <w:bottom w:val="single" w:sz="12" w:space="0" w:color="auto"/>
            </w:tcBorders>
            <w:shd w:val="clear" w:color="auto" w:fill="FFFFFF"/>
          </w:tcPr>
          <w:p w14:paraId="55420F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Руководствоработой в цехах</w:t>
            </w:r>
          </w:p>
        </w:tc>
        <w:tc>
          <w:tcPr>
            <w:tcW w:w="4788" w:type="dxa"/>
            <w:tcBorders>
              <w:bottom w:val="single" w:sz="12" w:space="0" w:color="auto"/>
            </w:tcBorders>
            <w:shd w:val="clear" w:color="auto" w:fill="FFFFFF"/>
          </w:tcPr>
          <w:p w14:paraId="6253ED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чел.</w:t>
            </w:r>
          </w:p>
        </w:tc>
      </w:tr>
    </w:tbl>
    <w:p w14:paraId="5718A62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Оплата одного часа с учетом сверхурочных работ и ра</w:t>
      </w:r>
      <w:r w:rsidRPr="008127F8">
        <w:rPr>
          <w:rFonts w:ascii="Times New Roman" w:hAnsi="Times New Roman"/>
          <w:color w:val="000000" w:themeColor="text1"/>
          <w:sz w:val="16"/>
          <w:szCs w:val="16"/>
        </w:rPr>
        <w:softHyphen/>
        <w:t>боты в выходные дни принята в' тех же пределах, что и для кон</w:t>
      </w:r>
      <w:r w:rsidRPr="008127F8">
        <w:rPr>
          <w:rFonts w:ascii="Times New Roman" w:hAnsi="Times New Roman"/>
          <w:color w:val="000000" w:themeColor="text1"/>
          <w:sz w:val="16"/>
          <w:szCs w:val="16"/>
        </w:rPr>
        <w:softHyphen/>
        <w:t>структорских работ.</w:t>
      </w:r>
    </w:p>
    <w:p w14:paraId="67ABF4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Затраты по разработке технологического процесса составят: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0AACD075" w14:textId="77777777">
        <w:tc>
          <w:tcPr>
            <w:tcW w:w="4788" w:type="dxa"/>
            <w:tcBorders>
              <w:top w:val="single" w:sz="12" w:space="0" w:color="auto"/>
            </w:tcBorders>
            <w:shd w:val="clear" w:color="auto" w:fill="FFFFFF"/>
          </w:tcPr>
          <w:p w14:paraId="4AC418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Зарплата за отработанное время</w:t>
            </w:r>
          </w:p>
        </w:tc>
        <w:tc>
          <w:tcPr>
            <w:tcW w:w="4788" w:type="dxa"/>
            <w:tcBorders>
              <w:top w:val="single" w:sz="12" w:space="0" w:color="auto"/>
            </w:tcBorders>
            <w:shd w:val="clear" w:color="auto" w:fill="FFFFFF"/>
          </w:tcPr>
          <w:p w14:paraId="5FFD12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497 т.р.</w:t>
            </w:r>
          </w:p>
        </w:tc>
      </w:tr>
      <w:tr w:rsidR="006F4095" w:rsidRPr="008127F8" w14:paraId="35BBDFD1" w14:textId="77777777">
        <w:tc>
          <w:tcPr>
            <w:tcW w:w="4788" w:type="dxa"/>
            <w:shd w:val="clear" w:color="auto" w:fill="FFFFFF"/>
          </w:tcPr>
          <w:p w14:paraId="22C5DD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Дополнительная зарплата и начисления</w:t>
            </w:r>
          </w:p>
        </w:tc>
        <w:tc>
          <w:tcPr>
            <w:tcW w:w="4788" w:type="dxa"/>
            <w:shd w:val="clear" w:color="auto" w:fill="FFFFFF"/>
          </w:tcPr>
          <w:p w14:paraId="1BDE2E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r>
      <w:tr w:rsidR="006F4095" w:rsidRPr="008127F8" w14:paraId="47589704" w14:textId="77777777">
        <w:tc>
          <w:tcPr>
            <w:tcW w:w="4788" w:type="dxa"/>
            <w:shd w:val="clear" w:color="auto" w:fill="FFFFFF"/>
          </w:tcPr>
          <w:p w14:paraId="03862F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Материалы (бумага, </w:t>
            </w:r>
            <w:proofErr w:type="gramStart"/>
            <w:r w:rsidRPr="008127F8">
              <w:rPr>
                <w:rFonts w:ascii="Times New Roman" w:hAnsi="Times New Roman"/>
                <w:color w:val="000000" w:themeColor="text1"/>
                <w:sz w:val="16"/>
                <w:szCs w:val="16"/>
              </w:rPr>
              <w:t>канц.принадлежи</w:t>
            </w:r>
            <w:proofErr w:type="gramEnd"/>
            <w:r w:rsidRPr="008127F8">
              <w:rPr>
                <w:rFonts w:ascii="Times New Roman" w:hAnsi="Times New Roman"/>
                <w:color w:val="000000" w:themeColor="text1"/>
                <w:sz w:val="16"/>
                <w:szCs w:val="16"/>
              </w:rPr>
              <w:t>)</w:t>
            </w:r>
          </w:p>
        </w:tc>
        <w:tc>
          <w:tcPr>
            <w:tcW w:w="4788" w:type="dxa"/>
            <w:shd w:val="clear" w:color="auto" w:fill="FFFFFF"/>
          </w:tcPr>
          <w:p w14:paraId="4DEAE4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6F4095" w:rsidRPr="008127F8" w14:paraId="3E895EF6" w14:textId="77777777">
        <w:tc>
          <w:tcPr>
            <w:tcW w:w="4788" w:type="dxa"/>
            <w:shd w:val="clear" w:color="auto" w:fill="FFFFFF"/>
          </w:tcPr>
          <w:p w14:paraId="2CA648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Спецкомандировки</w:t>
            </w:r>
          </w:p>
        </w:tc>
        <w:tc>
          <w:tcPr>
            <w:tcW w:w="4788" w:type="dxa"/>
            <w:shd w:val="clear" w:color="auto" w:fill="FFFFFF"/>
          </w:tcPr>
          <w:p w14:paraId="023ECE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644862C0" w14:textId="77777777">
        <w:tc>
          <w:tcPr>
            <w:tcW w:w="4788" w:type="dxa"/>
            <w:tcBorders>
              <w:bottom w:val="single" w:sz="12" w:space="0" w:color="auto"/>
            </w:tcBorders>
            <w:shd w:val="clear" w:color="auto" w:fill="FFFFFF"/>
          </w:tcPr>
          <w:p w14:paraId="370CDB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035B65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т.р.</w:t>
            </w:r>
          </w:p>
        </w:tc>
      </w:tr>
    </w:tbl>
    <w:p w14:paraId="48014E6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8127F8">
        <w:rPr>
          <w:rFonts w:ascii="Times New Roman" w:hAnsi="Times New Roman"/>
          <w:color w:val="000000" w:themeColor="text1"/>
          <w:sz w:val="16"/>
          <w:szCs w:val="16"/>
          <w:u w:val="single"/>
        </w:rPr>
        <w:t>Ш. Разработка нормативов по труду.</w:t>
      </w:r>
    </w:p>
    <w:p w14:paraId="752A439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Об"ем работы включает: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408CD480" w14:textId="77777777">
        <w:tc>
          <w:tcPr>
            <w:tcW w:w="4788" w:type="dxa"/>
            <w:tcBorders>
              <w:top w:val="single" w:sz="12" w:space="0" w:color="auto"/>
            </w:tcBorders>
            <w:shd w:val="clear" w:color="auto" w:fill="FFFFFF"/>
          </w:tcPr>
          <w:p w14:paraId="716F3D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Нормирование техпроцеоса, проверка и утверждение норм</w:t>
            </w:r>
          </w:p>
        </w:tc>
        <w:tc>
          <w:tcPr>
            <w:tcW w:w="4788" w:type="dxa"/>
            <w:tcBorders>
              <w:top w:val="single" w:sz="12" w:space="0" w:color="auto"/>
            </w:tcBorders>
            <w:shd w:val="clear" w:color="auto" w:fill="FFFFFF"/>
          </w:tcPr>
          <w:p w14:paraId="53856B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12.150 ч/ч,</w:t>
            </w:r>
          </w:p>
        </w:tc>
      </w:tr>
      <w:tr w:rsidR="006F4095" w:rsidRPr="008127F8" w14:paraId="2A427010" w14:textId="77777777">
        <w:tc>
          <w:tcPr>
            <w:tcW w:w="4788" w:type="dxa"/>
            <w:shd w:val="clear" w:color="auto" w:fill="FFFFFF"/>
          </w:tcPr>
          <w:p w14:paraId="75C11B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Составление трудоемкости по цехам и заводу </w:t>
            </w:r>
            <w:proofErr w:type="gramStart"/>
            <w:r w:rsidRPr="008127F8">
              <w:rPr>
                <w:rFonts w:ascii="Times New Roman" w:hAnsi="Times New Roman"/>
                <w:color w:val="000000" w:themeColor="text1"/>
                <w:sz w:val="16"/>
                <w:szCs w:val="16"/>
              </w:rPr>
              <w:t>в.целом</w:t>
            </w:r>
            <w:proofErr w:type="gramEnd"/>
          </w:p>
        </w:tc>
        <w:tc>
          <w:tcPr>
            <w:tcW w:w="4788" w:type="dxa"/>
            <w:shd w:val="clear" w:color="auto" w:fill="FFFFFF"/>
          </w:tcPr>
          <w:p w14:paraId="0C4ABD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w:t>
            </w:r>
          </w:p>
        </w:tc>
      </w:tr>
      <w:tr w:rsidR="006F4095" w:rsidRPr="008127F8" w14:paraId="0CA9A3C3" w14:textId="77777777">
        <w:tc>
          <w:tcPr>
            <w:tcW w:w="4788" w:type="dxa"/>
            <w:shd w:val="clear" w:color="auto" w:fill="FFFFFF"/>
          </w:tcPr>
          <w:p w14:paraId="51D1EA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Составление карточек по цехам и заводу и систематизация норм в разрезе профессий, квалификаций</w:t>
            </w:r>
          </w:p>
        </w:tc>
        <w:tc>
          <w:tcPr>
            <w:tcW w:w="4788" w:type="dxa"/>
            <w:shd w:val="clear" w:color="auto" w:fill="FFFFFF"/>
          </w:tcPr>
          <w:p w14:paraId="7D1794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r>
      <w:tr w:rsidR="006F4095" w:rsidRPr="008127F8" w14:paraId="5B67BC08" w14:textId="77777777">
        <w:tc>
          <w:tcPr>
            <w:tcW w:w="4788" w:type="dxa"/>
            <w:tcBorders>
              <w:bottom w:val="single" w:sz="12" w:space="0" w:color="auto"/>
            </w:tcBorders>
            <w:shd w:val="clear" w:color="auto" w:fill="FFFFFF"/>
          </w:tcPr>
          <w:p w14:paraId="62FC23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7DEF2B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14600</w:t>
            </w:r>
          </w:p>
        </w:tc>
      </w:tr>
    </w:tbl>
    <w:p w14:paraId="35A575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Средняя оплата часа при расчетах принята: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07D89BFB" w14:textId="77777777">
        <w:tc>
          <w:tcPr>
            <w:tcW w:w="4788" w:type="dxa"/>
            <w:tcBorders>
              <w:top w:val="single" w:sz="12" w:space="0" w:color="auto"/>
            </w:tcBorders>
            <w:shd w:val="clear" w:color="auto" w:fill="FFFFFF"/>
          </w:tcPr>
          <w:p w14:paraId="2788F8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 по разработке</w:t>
            </w:r>
          </w:p>
        </w:tc>
        <w:tc>
          <w:tcPr>
            <w:tcW w:w="4788" w:type="dxa"/>
            <w:tcBorders>
              <w:top w:val="single" w:sz="12" w:space="0" w:color="auto"/>
            </w:tcBorders>
            <w:shd w:val="clear" w:color="auto" w:fill="FFFFFF"/>
          </w:tcPr>
          <w:p w14:paraId="4CA598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w:t>
            </w:r>
          </w:p>
        </w:tc>
      </w:tr>
      <w:tr w:rsidR="006F4095" w:rsidRPr="008127F8" w14:paraId="4CF29D48" w14:textId="77777777">
        <w:tc>
          <w:tcPr>
            <w:tcW w:w="4788" w:type="dxa"/>
            <w:shd w:val="clear" w:color="auto" w:fill="FFFFFF"/>
          </w:tcPr>
          <w:p w14:paraId="1BE49D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 по проверке (контролю)</w:t>
            </w:r>
          </w:p>
        </w:tc>
        <w:tc>
          <w:tcPr>
            <w:tcW w:w="4788" w:type="dxa"/>
            <w:shd w:val="clear" w:color="auto" w:fill="FFFFFF"/>
          </w:tcPr>
          <w:p w14:paraId="2C6C2C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w:t>
            </w:r>
          </w:p>
        </w:tc>
      </w:tr>
      <w:tr w:rsidR="006F4095" w:rsidRPr="008127F8" w14:paraId="658CFDA4" w14:textId="77777777">
        <w:tc>
          <w:tcPr>
            <w:tcW w:w="4788" w:type="dxa"/>
            <w:tcBorders>
              <w:bottom w:val="single" w:sz="12" w:space="0" w:color="auto"/>
            </w:tcBorders>
            <w:shd w:val="clear" w:color="auto" w:fill="FFFFFF"/>
          </w:tcPr>
          <w:p w14:paraId="1288BB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Служащих</w:t>
            </w:r>
          </w:p>
        </w:tc>
        <w:tc>
          <w:tcPr>
            <w:tcW w:w="4788" w:type="dxa"/>
            <w:tcBorders>
              <w:bottom w:val="single" w:sz="12" w:space="0" w:color="auto"/>
            </w:tcBorders>
            <w:shd w:val="clear" w:color="auto" w:fill="FFFFFF"/>
          </w:tcPr>
          <w:p w14:paraId="227B0C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 50 к.</w:t>
            </w:r>
          </w:p>
        </w:tc>
      </w:tr>
    </w:tbl>
    <w:p w14:paraId="6CEB6A7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046439C7" w14:textId="77777777">
        <w:tc>
          <w:tcPr>
            <w:tcW w:w="4788" w:type="dxa"/>
            <w:tcBorders>
              <w:top w:val="single" w:sz="12" w:space="0" w:color="auto"/>
            </w:tcBorders>
            <w:shd w:val="clear" w:color="auto" w:fill="FFFFFF"/>
          </w:tcPr>
          <w:p w14:paraId="1E6175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Фонд </w:t>
            </w:r>
            <w:proofErr w:type="gramStart"/>
            <w:r w:rsidRPr="008127F8">
              <w:rPr>
                <w:rFonts w:ascii="Times New Roman" w:hAnsi="Times New Roman"/>
                <w:color w:val="000000" w:themeColor="text1"/>
                <w:sz w:val="16"/>
                <w:szCs w:val="16"/>
              </w:rPr>
              <w:t>заработной ,</w:t>
            </w:r>
            <w:proofErr w:type="gramEnd"/>
            <w:r w:rsidRPr="008127F8">
              <w:rPr>
                <w:rFonts w:ascii="Times New Roman" w:hAnsi="Times New Roman"/>
                <w:color w:val="000000" w:themeColor="text1"/>
                <w:sz w:val="16"/>
                <w:szCs w:val="16"/>
              </w:rPr>
              <w:t xml:space="preserve"> платы за отработанное вреня составит</w:t>
            </w:r>
          </w:p>
        </w:tc>
        <w:tc>
          <w:tcPr>
            <w:tcW w:w="4788" w:type="dxa"/>
            <w:tcBorders>
              <w:top w:val="single" w:sz="12" w:space="0" w:color="auto"/>
            </w:tcBorders>
            <w:shd w:val="clear" w:color="auto" w:fill="FFFFFF"/>
          </w:tcPr>
          <w:p w14:paraId="1BF440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72,2 т.р.</w:t>
            </w:r>
          </w:p>
        </w:tc>
      </w:tr>
      <w:tr w:rsidR="006F4095" w:rsidRPr="008127F8" w14:paraId="159740D5" w14:textId="77777777">
        <w:tc>
          <w:tcPr>
            <w:tcW w:w="4788" w:type="dxa"/>
            <w:shd w:val="clear" w:color="auto" w:fill="FFFFFF"/>
          </w:tcPr>
          <w:p w14:paraId="140933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401235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r>
      <w:tr w:rsidR="006F4095" w:rsidRPr="008127F8" w14:paraId="1269782E" w14:textId="77777777">
        <w:tc>
          <w:tcPr>
            <w:tcW w:w="4788" w:type="dxa"/>
            <w:shd w:val="clear" w:color="auto" w:fill="FFFFFF"/>
          </w:tcPr>
          <w:p w14:paraId="669ED6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материалы (бумага, типограф. расх. </w:t>
            </w:r>
            <w:proofErr w:type="gramStart"/>
            <w:r w:rsidRPr="008127F8">
              <w:rPr>
                <w:rFonts w:ascii="Times New Roman" w:hAnsi="Times New Roman"/>
                <w:color w:val="000000" w:themeColor="text1"/>
                <w:sz w:val="16"/>
                <w:szCs w:val="16"/>
              </w:rPr>
              <w:t>канц.расх</w:t>
            </w:r>
            <w:proofErr w:type="gramEnd"/>
            <w:r w:rsidRPr="008127F8">
              <w:rPr>
                <w:rFonts w:ascii="Times New Roman" w:hAnsi="Times New Roman"/>
                <w:color w:val="000000" w:themeColor="text1"/>
                <w:sz w:val="16"/>
                <w:szCs w:val="16"/>
              </w:rPr>
              <w:t>)</w:t>
            </w:r>
          </w:p>
        </w:tc>
        <w:tc>
          <w:tcPr>
            <w:tcW w:w="4788" w:type="dxa"/>
            <w:shd w:val="clear" w:color="auto" w:fill="FFFFFF"/>
          </w:tcPr>
          <w:p w14:paraId="769377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r>
      <w:tr w:rsidR="006F4095" w:rsidRPr="008127F8" w14:paraId="28CF9179" w14:textId="77777777">
        <w:tc>
          <w:tcPr>
            <w:tcW w:w="4788" w:type="dxa"/>
            <w:tcBorders>
              <w:bottom w:val="single" w:sz="12" w:space="0" w:color="auto"/>
            </w:tcBorders>
            <w:shd w:val="clear" w:color="auto" w:fill="FFFFFF"/>
          </w:tcPr>
          <w:p w14:paraId="733446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37934B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 т.р.</w:t>
            </w:r>
          </w:p>
        </w:tc>
      </w:tr>
    </w:tbl>
    <w:p w14:paraId="3E0CA9E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1У. Разработка нормативных калькуляций и ценника на материалы</w:t>
      </w:r>
    </w:p>
    <w:p w14:paraId="06DF89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нормативной калькуляции предусматри</w:t>
      </w:r>
      <w:r w:rsidRPr="008127F8">
        <w:rPr>
          <w:rFonts w:ascii="Times New Roman" w:hAnsi="Times New Roman"/>
          <w:color w:val="000000" w:themeColor="text1"/>
          <w:sz w:val="16"/>
          <w:szCs w:val="16"/>
        </w:rPr>
        <w:softHyphen/>
        <w:t>вает составление до 13500 калькуляционных карточек, со</w:t>
      </w:r>
      <w:r w:rsidRPr="008127F8">
        <w:rPr>
          <w:rFonts w:ascii="Times New Roman" w:hAnsi="Times New Roman"/>
          <w:color w:val="000000" w:themeColor="text1"/>
          <w:sz w:val="16"/>
          <w:szCs w:val="16"/>
        </w:rPr>
        <w:softHyphen/>
        <w:t>ставление номенклатур материалов, п/фабрикатов-и готовых изделий, определение отпускных цен.</w:t>
      </w:r>
    </w:p>
    <w:p w14:paraId="48B7E56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обработку этих материалов потребуется до 12000 часов.</w:t>
      </w:r>
    </w:p>
    <w:p w14:paraId="51E89AA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7C68867B" w14:textId="77777777">
        <w:tc>
          <w:tcPr>
            <w:tcW w:w="4788" w:type="dxa"/>
            <w:tcBorders>
              <w:top w:val="single" w:sz="12" w:space="0" w:color="auto"/>
            </w:tcBorders>
            <w:shd w:val="clear" w:color="auto" w:fill="FFFFFF"/>
          </w:tcPr>
          <w:p w14:paraId="6380CF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w:t>
            </w:r>
          </w:p>
        </w:tc>
        <w:tc>
          <w:tcPr>
            <w:tcW w:w="4788" w:type="dxa"/>
            <w:tcBorders>
              <w:top w:val="single" w:sz="12" w:space="0" w:color="auto"/>
            </w:tcBorders>
            <w:shd w:val="clear" w:color="auto" w:fill="FFFFFF"/>
          </w:tcPr>
          <w:p w14:paraId="5FAFF5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r>
      <w:tr w:rsidR="006F4095" w:rsidRPr="008127F8" w14:paraId="5E2DBB49" w14:textId="77777777">
        <w:tc>
          <w:tcPr>
            <w:tcW w:w="4788" w:type="dxa"/>
            <w:shd w:val="clear" w:color="auto" w:fill="FFFFFF"/>
          </w:tcPr>
          <w:p w14:paraId="50FC1B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Служащих</w:t>
            </w:r>
          </w:p>
        </w:tc>
        <w:tc>
          <w:tcPr>
            <w:tcW w:w="4788" w:type="dxa"/>
            <w:shd w:val="clear" w:color="auto" w:fill="FFFFFF"/>
          </w:tcPr>
          <w:p w14:paraId="72CA83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r w:rsidR="006F4095" w:rsidRPr="008127F8" w14:paraId="3FA5EF6E" w14:textId="77777777">
        <w:tc>
          <w:tcPr>
            <w:tcW w:w="4788" w:type="dxa"/>
            <w:shd w:val="clear" w:color="auto" w:fill="FFFFFF"/>
          </w:tcPr>
          <w:p w14:paraId="1B76CB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shd w:val="clear" w:color="auto" w:fill="FFFFFF"/>
          </w:tcPr>
          <w:p w14:paraId="376F30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r>
      <w:tr w:rsidR="006F4095" w:rsidRPr="008127F8" w14:paraId="5464E459" w14:textId="77777777">
        <w:tc>
          <w:tcPr>
            <w:tcW w:w="4788" w:type="dxa"/>
            <w:shd w:val="clear" w:color="auto" w:fill="FFFFFF"/>
          </w:tcPr>
          <w:p w14:paraId="5BDF2B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1BA2EC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т.р.</w:t>
            </w:r>
          </w:p>
        </w:tc>
      </w:tr>
      <w:tr w:rsidR="006F4095" w:rsidRPr="008127F8" w14:paraId="2DA1FDF5" w14:textId="77777777">
        <w:tc>
          <w:tcPr>
            <w:tcW w:w="4788" w:type="dxa"/>
            <w:shd w:val="clear" w:color="auto" w:fill="FFFFFF"/>
          </w:tcPr>
          <w:p w14:paraId="3D9907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Бумага и проч.</w:t>
            </w:r>
          </w:p>
        </w:tc>
        <w:tc>
          <w:tcPr>
            <w:tcW w:w="4788" w:type="dxa"/>
            <w:shd w:val="clear" w:color="auto" w:fill="FFFFFF"/>
          </w:tcPr>
          <w:p w14:paraId="32D197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т.р.</w:t>
            </w:r>
          </w:p>
        </w:tc>
      </w:tr>
      <w:tr w:rsidR="006F4095" w:rsidRPr="008127F8" w14:paraId="68F6330F" w14:textId="77777777">
        <w:tc>
          <w:tcPr>
            <w:tcW w:w="4788" w:type="dxa"/>
            <w:shd w:val="clear" w:color="auto" w:fill="FFFFFF"/>
          </w:tcPr>
          <w:p w14:paraId="3A985A9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Светопечать</w:t>
            </w:r>
          </w:p>
        </w:tc>
        <w:tc>
          <w:tcPr>
            <w:tcW w:w="4788" w:type="dxa"/>
            <w:shd w:val="clear" w:color="auto" w:fill="FFFFFF"/>
          </w:tcPr>
          <w:p w14:paraId="01D87B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т.р.</w:t>
            </w:r>
          </w:p>
        </w:tc>
      </w:tr>
      <w:tr w:rsidR="006F4095" w:rsidRPr="008127F8" w14:paraId="53AEDE49" w14:textId="77777777">
        <w:tc>
          <w:tcPr>
            <w:tcW w:w="4788" w:type="dxa"/>
            <w:tcBorders>
              <w:bottom w:val="single" w:sz="12" w:space="0" w:color="auto"/>
            </w:tcBorders>
            <w:shd w:val="clear" w:color="auto" w:fill="FFFFFF"/>
          </w:tcPr>
          <w:p w14:paraId="4811B84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6AD6F62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 т.р.</w:t>
            </w:r>
          </w:p>
        </w:tc>
      </w:tr>
    </w:tbl>
    <w:p w14:paraId="76926A5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ценника на материалы потребует затра ты до 8000 часов.</w:t>
      </w:r>
    </w:p>
    <w:p w14:paraId="6A07557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7CE09411" w14:textId="77777777">
        <w:tc>
          <w:tcPr>
            <w:tcW w:w="4788" w:type="dxa"/>
            <w:tcBorders>
              <w:top w:val="single" w:sz="12" w:space="0" w:color="auto"/>
            </w:tcBorders>
            <w:shd w:val="clear" w:color="auto" w:fill="FFFFFF"/>
          </w:tcPr>
          <w:p w14:paraId="36659A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Т Р</w:t>
            </w:r>
          </w:p>
        </w:tc>
        <w:tc>
          <w:tcPr>
            <w:tcW w:w="4788" w:type="dxa"/>
            <w:tcBorders>
              <w:top w:val="single" w:sz="12" w:space="0" w:color="auto"/>
            </w:tcBorders>
            <w:shd w:val="clear" w:color="auto" w:fill="FFFFFF"/>
          </w:tcPr>
          <w:p w14:paraId="72D1FC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т.р.</w:t>
            </w:r>
          </w:p>
        </w:tc>
      </w:tr>
      <w:tr w:rsidR="006F4095" w:rsidRPr="008127F8" w14:paraId="38CF8EAE" w14:textId="77777777">
        <w:tc>
          <w:tcPr>
            <w:tcW w:w="4788" w:type="dxa"/>
            <w:shd w:val="clear" w:color="auto" w:fill="FFFFFF"/>
          </w:tcPr>
          <w:p w14:paraId="4E9D42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Служащих</w:t>
            </w:r>
          </w:p>
        </w:tc>
        <w:tc>
          <w:tcPr>
            <w:tcW w:w="4788" w:type="dxa"/>
            <w:shd w:val="clear" w:color="auto" w:fill="FFFFFF"/>
          </w:tcPr>
          <w:p w14:paraId="01FF43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т.р.</w:t>
            </w:r>
          </w:p>
        </w:tc>
      </w:tr>
      <w:tr w:rsidR="006F4095" w:rsidRPr="008127F8" w14:paraId="3D224240" w14:textId="77777777">
        <w:tc>
          <w:tcPr>
            <w:tcW w:w="4788" w:type="dxa"/>
            <w:shd w:val="clear" w:color="auto" w:fill="FFFFFF"/>
          </w:tcPr>
          <w:p w14:paraId="0DA178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shd w:val="clear" w:color="auto" w:fill="FFFFFF"/>
          </w:tcPr>
          <w:p w14:paraId="06A683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т.р.</w:t>
            </w:r>
          </w:p>
        </w:tc>
      </w:tr>
      <w:tr w:rsidR="006F4095" w:rsidRPr="008127F8" w14:paraId="74848F0B" w14:textId="77777777">
        <w:tc>
          <w:tcPr>
            <w:tcW w:w="4788" w:type="dxa"/>
            <w:shd w:val="clear" w:color="auto" w:fill="FFFFFF"/>
          </w:tcPr>
          <w:p w14:paraId="665453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Начисления и </w:t>
            </w:r>
            <w:proofErr w:type="gramStart"/>
            <w:r w:rsidRPr="008127F8">
              <w:rPr>
                <w:rFonts w:ascii="Times New Roman" w:hAnsi="Times New Roman"/>
                <w:color w:val="000000" w:themeColor="text1"/>
                <w:sz w:val="16"/>
                <w:szCs w:val="16"/>
              </w:rPr>
              <w:t>дополнит.з</w:t>
            </w:r>
            <w:proofErr w:type="gramEnd"/>
            <w:r w:rsidRPr="008127F8">
              <w:rPr>
                <w:rFonts w:ascii="Times New Roman" w:hAnsi="Times New Roman"/>
                <w:color w:val="000000" w:themeColor="text1"/>
                <w:sz w:val="16"/>
                <w:szCs w:val="16"/>
              </w:rPr>
              <w:t>/плата</w:t>
            </w:r>
          </w:p>
        </w:tc>
        <w:tc>
          <w:tcPr>
            <w:tcW w:w="4788" w:type="dxa"/>
            <w:shd w:val="clear" w:color="auto" w:fill="FFFFFF"/>
          </w:tcPr>
          <w:p w14:paraId="4C1C4B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т.р.</w:t>
            </w:r>
          </w:p>
        </w:tc>
      </w:tr>
      <w:tr w:rsidR="006F4095" w:rsidRPr="008127F8" w14:paraId="7C28727C" w14:textId="77777777">
        <w:tc>
          <w:tcPr>
            <w:tcW w:w="4788" w:type="dxa"/>
            <w:tcBorders>
              <w:bottom w:val="single" w:sz="12" w:space="0" w:color="auto"/>
            </w:tcBorders>
            <w:shd w:val="clear" w:color="auto" w:fill="FFFFFF"/>
          </w:tcPr>
          <w:p w14:paraId="1C708B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Типографские работы и материалы</w:t>
            </w:r>
          </w:p>
        </w:tc>
        <w:tc>
          <w:tcPr>
            <w:tcW w:w="4788" w:type="dxa"/>
            <w:tcBorders>
              <w:bottom w:val="single" w:sz="12" w:space="0" w:color="auto"/>
            </w:tcBorders>
            <w:shd w:val="clear" w:color="auto" w:fill="FFFFFF"/>
          </w:tcPr>
          <w:p w14:paraId="24AF82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т.р.</w:t>
            </w:r>
          </w:p>
        </w:tc>
      </w:tr>
    </w:tbl>
    <w:p w14:paraId="36BCFD4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 xml:space="preserve">У. Конструирование специнструмента и </w:t>
      </w:r>
      <w:proofErr w:type="gramStart"/>
      <w:r w:rsidRPr="008127F8">
        <w:rPr>
          <w:rFonts w:ascii="Times New Roman" w:hAnsi="Times New Roman"/>
          <w:color w:val="000000" w:themeColor="text1"/>
          <w:sz w:val="16"/>
          <w:szCs w:val="16"/>
          <w:u w:val="single"/>
        </w:rPr>
        <w:t>приспособлений.</w:t>
      </w:r>
      <w:r w:rsidRPr="008127F8">
        <w:rPr>
          <w:rFonts w:ascii="Times New Roman" w:hAnsi="Times New Roman"/>
          <w:iCs/>
          <w:color w:val="000000" w:themeColor="text1"/>
          <w:sz w:val="16"/>
          <w:szCs w:val="16"/>
        </w:rPr>
        <w:t>*</w:t>
      </w:r>
      <w:proofErr w:type="gramEnd"/>
    </w:p>
    <w:p w14:paraId="0B4E4F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Объем работ по конструированию: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3A49E28F" w14:textId="77777777">
        <w:tc>
          <w:tcPr>
            <w:tcW w:w="4788" w:type="dxa"/>
            <w:tcBorders>
              <w:top w:val="single" w:sz="12" w:space="0" w:color="auto"/>
            </w:tcBorders>
            <w:shd w:val="clear" w:color="auto" w:fill="FFFFFF"/>
          </w:tcPr>
          <w:p w14:paraId="564754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Приспособления для механической обработки</w:t>
            </w:r>
          </w:p>
        </w:tc>
        <w:tc>
          <w:tcPr>
            <w:tcW w:w="4788" w:type="dxa"/>
            <w:tcBorders>
              <w:top w:val="single" w:sz="12" w:space="0" w:color="auto"/>
            </w:tcBorders>
            <w:shd w:val="clear" w:color="auto" w:fill="FFFFFF"/>
          </w:tcPr>
          <w:p w14:paraId="098E7C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един.</w:t>
            </w:r>
          </w:p>
        </w:tc>
      </w:tr>
      <w:tr w:rsidR="006F4095" w:rsidRPr="008127F8" w14:paraId="65B30DCF" w14:textId="77777777">
        <w:tc>
          <w:tcPr>
            <w:tcW w:w="4788" w:type="dxa"/>
            <w:shd w:val="clear" w:color="auto" w:fill="FFFFFF"/>
          </w:tcPr>
          <w:p w14:paraId="3F854F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Штампы ковочные и обоечные</w:t>
            </w:r>
          </w:p>
        </w:tc>
        <w:tc>
          <w:tcPr>
            <w:tcW w:w="4788" w:type="dxa"/>
            <w:shd w:val="clear" w:color="auto" w:fill="FFFFFF"/>
          </w:tcPr>
          <w:p w14:paraId="7836B4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r>
      <w:tr w:rsidR="006F4095" w:rsidRPr="008127F8" w14:paraId="1B5CE84C" w14:textId="77777777">
        <w:tc>
          <w:tcPr>
            <w:tcW w:w="4788" w:type="dxa"/>
            <w:shd w:val="clear" w:color="auto" w:fill="FFFFFF"/>
          </w:tcPr>
          <w:p w14:paraId="2125A1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Штампы просечные</w:t>
            </w:r>
          </w:p>
        </w:tc>
        <w:tc>
          <w:tcPr>
            <w:tcW w:w="4788" w:type="dxa"/>
            <w:shd w:val="clear" w:color="auto" w:fill="FFFFFF"/>
          </w:tcPr>
          <w:p w14:paraId="3BC1F8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r>
      <w:tr w:rsidR="006F4095" w:rsidRPr="008127F8" w14:paraId="5E578DE9" w14:textId="77777777">
        <w:tc>
          <w:tcPr>
            <w:tcW w:w="4788" w:type="dxa"/>
            <w:shd w:val="clear" w:color="auto" w:fill="FFFFFF"/>
          </w:tcPr>
          <w:p w14:paraId="56485E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Штампы гибочные и вытяжные</w:t>
            </w:r>
          </w:p>
        </w:tc>
        <w:tc>
          <w:tcPr>
            <w:tcW w:w="4788" w:type="dxa"/>
            <w:shd w:val="clear" w:color="auto" w:fill="FFFFFF"/>
          </w:tcPr>
          <w:p w14:paraId="316081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един.</w:t>
            </w:r>
          </w:p>
        </w:tc>
      </w:tr>
      <w:tr w:rsidR="006F4095" w:rsidRPr="008127F8" w14:paraId="20585007" w14:textId="77777777">
        <w:tc>
          <w:tcPr>
            <w:tcW w:w="4788" w:type="dxa"/>
            <w:shd w:val="clear" w:color="auto" w:fill="FFFFFF"/>
          </w:tcPr>
          <w:p w14:paraId="5FEC15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Оправки гибочные</w:t>
            </w:r>
          </w:p>
        </w:tc>
        <w:tc>
          <w:tcPr>
            <w:tcW w:w="4788" w:type="dxa"/>
            <w:shd w:val="clear" w:color="auto" w:fill="FFFFFF"/>
          </w:tcPr>
          <w:p w14:paraId="7F05E6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3E2B42B7" w14:textId="77777777">
        <w:tc>
          <w:tcPr>
            <w:tcW w:w="4788" w:type="dxa"/>
            <w:shd w:val="clear" w:color="auto" w:fill="FFFFFF"/>
          </w:tcPr>
          <w:p w14:paraId="7702F0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Стапеля и крупные сборочные приспособления</w:t>
            </w:r>
          </w:p>
        </w:tc>
        <w:tc>
          <w:tcPr>
            <w:tcW w:w="4788" w:type="dxa"/>
            <w:shd w:val="clear" w:color="auto" w:fill="FFFFFF"/>
          </w:tcPr>
          <w:p w14:paraId="46CCE9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6F4095" w:rsidRPr="008127F8" w14:paraId="7749BD9E" w14:textId="77777777">
        <w:tc>
          <w:tcPr>
            <w:tcW w:w="4788" w:type="dxa"/>
            <w:shd w:val="clear" w:color="auto" w:fill="FFFFFF"/>
          </w:tcPr>
          <w:p w14:paraId="1CAB4B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Макеты, сборочные и сварочные приспособления</w:t>
            </w:r>
          </w:p>
        </w:tc>
        <w:tc>
          <w:tcPr>
            <w:tcW w:w="4788" w:type="dxa"/>
            <w:shd w:val="clear" w:color="auto" w:fill="FFFFFF"/>
          </w:tcPr>
          <w:p w14:paraId="726A68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r>
      <w:tr w:rsidR="006F4095" w:rsidRPr="008127F8" w14:paraId="2600F86A" w14:textId="77777777">
        <w:tc>
          <w:tcPr>
            <w:tcW w:w="4788" w:type="dxa"/>
            <w:shd w:val="clear" w:color="auto" w:fill="FFFFFF"/>
          </w:tcPr>
          <w:p w14:paraId="62FC5A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Болванки</w:t>
            </w:r>
          </w:p>
        </w:tc>
        <w:tc>
          <w:tcPr>
            <w:tcW w:w="4788" w:type="dxa"/>
            <w:shd w:val="clear" w:color="auto" w:fill="FFFFFF"/>
          </w:tcPr>
          <w:p w14:paraId="061D1D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610A9C74" w14:textId="77777777">
        <w:tc>
          <w:tcPr>
            <w:tcW w:w="4788" w:type="dxa"/>
            <w:tcBorders>
              <w:bottom w:val="single" w:sz="12" w:space="0" w:color="auto"/>
            </w:tcBorders>
            <w:shd w:val="clear" w:color="auto" w:fill="FFFFFF"/>
          </w:tcPr>
          <w:p w14:paraId="0E46B0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Прочая оснастка</w:t>
            </w:r>
          </w:p>
        </w:tc>
        <w:tc>
          <w:tcPr>
            <w:tcW w:w="4788" w:type="dxa"/>
            <w:tcBorders>
              <w:bottom w:val="single" w:sz="12" w:space="0" w:color="auto"/>
            </w:tcBorders>
            <w:shd w:val="clear" w:color="auto" w:fill="FFFFFF"/>
          </w:tcPr>
          <w:p w14:paraId="48E3AA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bl>
    <w:p w14:paraId="6F20E79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Общая трудоемкость в человеко-часах составит 82500 часов</w:t>
      </w:r>
    </w:p>
    <w:p w14:paraId="5C61FA8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6989E4A9" w14:textId="77777777">
        <w:tc>
          <w:tcPr>
            <w:tcW w:w="4788" w:type="dxa"/>
            <w:tcBorders>
              <w:top w:val="single" w:sz="12" w:space="0" w:color="auto"/>
            </w:tcBorders>
            <w:shd w:val="clear" w:color="auto" w:fill="FFFFFF"/>
          </w:tcPr>
          <w:p w14:paraId="35D3EE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приспособлениям для механичес</w:t>
            </w:r>
            <w:r w:rsidRPr="008127F8">
              <w:rPr>
                <w:rFonts w:ascii="Times New Roman" w:hAnsi="Times New Roman"/>
                <w:color w:val="000000" w:themeColor="text1"/>
                <w:sz w:val="16"/>
                <w:szCs w:val="16"/>
              </w:rPr>
              <w:softHyphen/>
              <w:t>кой обработки</w:t>
            </w:r>
          </w:p>
        </w:tc>
        <w:tc>
          <w:tcPr>
            <w:tcW w:w="4788" w:type="dxa"/>
            <w:tcBorders>
              <w:top w:val="single" w:sz="12" w:space="0" w:color="auto"/>
            </w:tcBorders>
            <w:shd w:val="clear" w:color="auto" w:fill="FFFFFF"/>
          </w:tcPr>
          <w:p w14:paraId="1E742A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30000 часов</w:t>
            </w:r>
          </w:p>
        </w:tc>
      </w:tr>
      <w:tr w:rsidR="006F4095" w:rsidRPr="008127F8" w14:paraId="20D18C4A" w14:textId="77777777">
        <w:tc>
          <w:tcPr>
            <w:tcW w:w="4788" w:type="dxa"/>
            <w:shd w:val="clear" w:color="auto" w:fill="FFFFFF"/>
          </w:tcPr>
          <w:p w14:paraId="6A160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штампам просечным</w:t>
            </w:r>
          </w:p>
        </w:tc>
        <w:tc>
          <w:tcPr>
            <w:tcW w:w="4788" w:type="dxa"/>
            <w:shd w:val="clear" w:color="auto" w:fill="FFFFFF"/>
          </w:tcPr>
          <w:p w14:paraId="6B25B6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16500</w:t>
            </w:r>
          </w:p>
        </w:tc>
      </w:tr>
      <w:tr w:rsidR="006F4095" w:rsidRPr="008127F8" w14:paraId="2BB9DA8E" w14:textId="77777777">
        <w:tc>
          <w:tcPr>
            <w:tcW w:w="4788" w:type="dxa"/>
            <w:tcBorders>
              <w:bottom w:val="single" w:sz="12" w:space="0" w:color="auto"/>
            </w:tcBorders>
            <w:shd w:val="clear" w:color="auto" w:fill="FFFFFF"/>
          </w:tcPr>
          <w:p w14:paraId="21FFB4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стапелям и кррпным сборочн. Приспособлениям</w:t>
            </w:r>
          </w:p>
        </w:tc>
        <w:tc>
          <w:tcPr>
            <w:tcW w:w="4788" w:type="dxa"/>
            <w:tcBorders>
              <w:bottom w:val="single" w:sz="12" w:space="0" w:color="auto"/>
            </w:tcBorders>
            <w:shd w:val="clear" w:color="auto" w:fill="FFFFFF"/>
          </w:tcPr>
          <w:p w14:paraId="69BA50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7800</w:t>
            </w:r>
          </w:p>
        </w:tc>
      </w:tr>
    </w:tbl>
    <w:p w14:paraId="140241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5FE2444" w14:textId="77777777">
        <w:tc>
          <w:tcPr>
            <w:tcW w:w="4788" w:type="dxa"/>
            <w:tcBorders>
              <w:top w:val="single" w:sz="12" w:space="0" w:color="auto"/>
            </w:tcBorders>
            <w:shd w:val="clear" w:color="auto" w:fill="FFFFFF"/>
          </w:tcPr>
          <w:p w14:paraId="35984D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2ED5AA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371 т.р.</w:t>
            </w:r>
          </w:p>
        </w:tc>
      </w:tr>
      <w:tr w:rsidR="006F4095" w:rsidRPr="008127F8" w14:paraId="4F1758F9" w14:textId="77777777">
        <w:tc>
          <w:tcPr>
            <w:tcW w:w="4788" w:type="dxa"/>
            <w:shd w:val="clear" w:color="auto" w:fill="FFFFFF"/>
          </w:tcPr>
          <w:p w14:paraId="11C234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служащим</w:t>
            </w:r>
          </w:p>
        </w:tc>
        <w:tc>
          <w:tcPr>
            <w:tcW w:w="4788" w:type="dxa"/>
            <w:shd w:val="clear" w:color="auto" w:fill="FFFFFF"/>
          </w:tcPr>
          <w:p w14:paraId="6264C6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 т.р.</w:t>
            </w:r>
          </w:p>
        </w:tc>
      </w:tr>
      <w:tr w:rsidR="006F4095" w:rsidRPr="008127F8" w14:paraId="4704E346" w14:textId="77777777">
        <w:tc>
          <w:tcPr>
            <w:tcW w:w="4788" w:type="dxa"/>
            <w:shd w:val="clear" w:color="auto" w:fill="FFFFFF"/>
          </w:tcPr>
          <w:p w14:paraId="4DBD37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shd w:val="clear" w:color="auto" w:fill="FFFFFF"/>
          </w:tcPr>
          <w:p w14:paraId="6F0FAA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 т.р.</w:t>
            </w:r>
          </w:p>
        </w:tc>
      </w:tr>
      <w:tr w:rsidR="006F4095" w:rsidRPr="008127F8" w14:paraId="26D1AE80" w14:textId="77777777">
        <w:tc>
          <w:tcPr>
            <w:tcW w:w="4788" w:type="dxa"/>
            <w:shd w:val="clear" w:color="auto" w:fill="FFFFFF"/>
          </w:tcPr>
          <w:p w14:paraId="218FE1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начислен.</w:t>
            </w:r>
          </w:p>
        </w:tc>
        <w:tc>
          <w:tcPr>
            <w:tcW w:w="4788" w:type="dxa"/>
            <w:shd w:val="clear" w:color="auto" w:fill="FFFFFF"/>
          </w:tcPr>
          <w:p w14:paraId="27BD5E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 т.р.</w:t>
            </w:r>
          </w:p>
        </w:tc>
      </w:tr>
      <w:tr w:rsidR="006F4095" w:rsidRPr="008127F8" w14:paraId="0788734F" w14:textId="77777777">
        <w:tc>
          <w:tcPr>
            <w:tcW w:w="4788" w:type="dxa"/>
            <w:shd w:val="clear" w:color="auto" w:fill="FFFFFF"/>
          </w:tcPr>
          <w:p w14:paraId="55201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w:t>
            </w:r>
          </w:p>
        </w:tc>
        <w:tc>
          <w:tcPr>
            <w:tcW w:w="4788" w:type="dxa"/>
            <w:shd w:val="clear" w:color="auto" w:fill="FFFFFF"/>
          </w:tcPr>
          <w:p w14:paraId="4C2D79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т.р.</w:t>
            </w:r>
          </w:p>
        </w:tc>
      </w:tr>
      <w:tr w:rsidR="006F4095" w:rsidRPr="008127F8" w14:paraId="6BF4EADF" w14:textId="77777777">
        <w:tc>
          <w:tcPr>
            <w:tcW w:w="4788" w:type="dxa"/>
            <w:shd w:val="clear" w:color="auto" w:fill="FFFFFF"/>
          </w:tcPr>
          <w:p w14:paraId="18BC63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Спецкомандировки</w:t>
            </w:r>
          </w:p>
        </w:tc>
        <w:tc>
          <w:tcPr>
            <w:tcW w:w="4788" w:type="dxa"/>
            <w:shd w:val="clear" w:color="auto" w:fill="FFFFFF"/>
          </w:tcPr>
          <w:p w14:paraId="0E519C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т.р.</w:t>
            </w:r>
          </w:p>
        </w:tc>
      </w:tr>
      <w:tr w:rsidR="006F4095" w:rsidRPr="008127F8" w14:paraId="5CC93E04" w14:textId="77777777">
        <w:tc>
          <w:tcPr>
            <w:tcW w:w="4788" w:type="dxa"/>
            <w:tcBorders>
              <w:bottom w:val="single" w:sz="12" w:space="0" w:color="auto"/>
            </w:tcBorders>
            <w:shd w:val="clear" w:color="auto" w:fill="FFFFFF"/>
          </w:tcPr>
          <w:p w14:paraId="2DE34C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03EE01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 т.р.</w:t>
            </w:r>
          </w:p>
        </w:tc>
      </w:tr>
    </w:tbl>
    <w:p w14:paraId="2F5D000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У1. Разработка технологического процесса по изготов</w:t>
      </w:r>
      <w:r w:rsidRPr="008127F8">
        <w:rPr>
          <w:rFonts w:ascii="Times New Roman" w:hAnsi="Times New Roman"/>
          <w:color w:val="000000" w:themeColor="text1"/>
          <w:sz w:val="16"/>
          <w:szCs w:val="16"/>
          <w:u w:val="single"/>
        </w:rPr>
        <w:softHyphen/>
        <w:t>лению специнсттэумента и приспособлений и прочие""</w:t>
      </w:r>
    </w:p>
    <w:p w14:paraId="1DD738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Объем работ:</w:t>
      </w:r>
    </w:p>
    <w:tbl>
      <w:tblPr>
        <w:tblW w:w="0" w:type="auto"/>
        <w:tblLayout w:type="fixed"/>
        <w:tblLook w:val="0000" w:firstRow="0" w:lastRow="0" w:firstColumn="0" w:lastColumn="0" w:noHBand="0" w:noVBand="0"/>
      </w:tblPr>
      <w:tblGrid>
        <w:gridCol w:w="2394"/>
        <w:gridCol w:w="2394"/>
        <w:gridCol w:w="2394"/>
      </w:tblGrid>
      <w:tr w:rsidR="006F4095" w:rsidRPr="008127F8" w14:paraId="6D6F5904" w14:textId="77777777">
        <w:tc>
          <w:tcPr>
            <w:tcW w:w="2394" w:type="dxa"/>
            <w:tcBorders>
              <w:top w:val="single" w:sz="12" w:space="0" w:color="auto"/>
              <w:left w:val="single" w:sz="12" w:space="0" w:color="auto"/>
              <w:bottom w:val="single" w:sz="6" w:space="0" w:color="auto"/>
              <w:right w:val="single" w:sz="6" w:space="0" w:color="auto"/>
            </w:tcBorders>
            <w:shd w:val="clear" w:color="auto" w:fill="FFFFFF"/>
          </w:tcPr>
          <w:p w14:paraId="6496E1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6" w:space="0" w:color="auto"/>
            </w:tcBorders>
            <w:shd w:val="clear" w:color="auto" w:fill="FFFFFF"/>
          </w:tcPr>
          <w:p w14:paraId="0B65E4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w:t>
            </w:r>
          </w:p>
        </w:tc>
        <w:tc>
          <w:tcPr>
            <w:tcW w:w="2394" w:type="dxa"/>
            <w:tcBorders>
              <w:top w:val="single" w:sz="12" w:space="0" w:color="auto"/>
              <w:left w:val="single" w:sz="6" w:space="0" w:color="auto"/>
              <w:bottom w:val="single" w:sz="6" w:space="0" w:color="auto"/>
              <w:right w:val="single" w:sz="12" w:space="0" w:color="auto"/>
            </w:tcBorders>
            <w:shd w:val="clear" w:color="auto" w:fill="FFFFFF"/>
          </w:tcPr>
          <w:p w14:paraId="5EF4B9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Трудоемкость</w:t>
            </w:r>
          </w:p>
        </w:tc>
      </w:tr>
      <w:tr w:rsidR="006F4095" w:rsidRPr="008127F8" w14:paraId="6D8DE31F"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63B6DE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Разработка техпроцесса</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798190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черт.</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7A997E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ч/час.</w:t>
            </w:r>
          </w:p>
        </w:tc>
      </w:tr>
      <w:tr w:rsidR="006F4095" w:rsidRPr="008127F8" w14:paraId="5C49BAA7"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774F16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Составление норм расхода нормального инструмента</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30125D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12000 норм</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4BA6E2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6F4095" w:rsidRPr="008127F8" w14:paraId="7A0C81AF"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138A7B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Составление шрм расхода специального инструмента</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42C1E6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23B88D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r>
      <w:tr w:rsidR="006F4095" w:rsidRPr="008127F8" w14:paraId="209F3646"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4CD819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Определение оборотных фон</w:t>
            </w:r>
            <w:r w:rsidRPr="008127F8">
              <w:rPr>
                <w:rFonts w:ascii="Times New Roman" w:hAnsi="Times New Roman"/>
                <w:color w:val="000000" w:themeColor="text1"/>
                <w:sz w:val="16"/>
                <w:szCs w:val="16"/>
              </w:rPr>
              <w:softHyphen/>
              <w:t>дов на инструмент</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19505D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3B254A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tc>
      </w:tr>
      <w:tr w:rsidR="006F4095" w:rsidRPr="008127F8" w14:paraId="0C5B2C46"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16F1E2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Составление подетельных графиков изготовления оснастки</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589AE9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дет.</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49F9B9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r w:rsidR="006F4095" w:rsidRPr="008127F8" w14:paraId="3FF918E8"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20BE31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Составление картотеки оснастки</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3B82A9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карт</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1EB926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r>
      <w:tr w:rsidR="006F4095" w:rsidRPr="008127F8" w14:paraId="4E410298" w14:textId="77777777">
        <w:tc>
          <w:tcPr>
            <w:tcW w:w="2394" w:type="dxa"/>
            <w:tcBorders>
              <w:top w:val="single" w:sz="6" w:space="0" w:color="auto"/>
              <w:left w:val="single" w:sz="12" w:space="0" w:color="auto"/>
              <w:bottom w:val="single" w:sz="12" w:space="0" w:color="auto"/>
              <w:right w:val="single" w:sz="6" w:space="0" w:color="auto"/>
            </w:tcBorders>
            <w:shd w:val="clear" w:color="auto" w:fill="FFFFFF"/>
          </w:tcPr>
          <w:p w14:paraId="523D50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2394" w:type="dxa"/>
            <w:tcBorders>
              <w:top w:val="single" w:sz="6" w:space="0" w:color="auto"/>
              <w:left w:val="single" w:sz="6" w:space="0" w:color="auto"/>
              <w:bottom w:val="single" w:sz="12" w:space="0" w:color="auto"/>
              <w:right w:val="single" w:sz="6" w:space="0" w:color="auto"/>
            </w:tcBorders>
            <w:shd w:val="clear" w:color="auto" w:fill="FFFFFF"/>
          </w:tcPr>
          <w:p w14:paraId="15405E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12" w:space="0" w:color="auto"/>
            </w:tcBorders>
            <w:shd w:val="clear" w:color="auto" w:fill="FFFFFF"/>
          </w:tcPr>
          <w:p w14:paraId="618534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12350 ч/ч</w:t>
            </w:r>
          </w:p>
        </w:tc>
      </w:tr>
    </w:tbl>
    <w:p w14:paraId="2F0D4F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за отработаное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7954CBDE" w14:textId="77777777">
        <w:tc>
          <w:tcPr>
            <w:tcW w:w="4788" w:type="dxa"/>
            <w:tcBorders>
              <w:top w:val="single" w:sz="12" w:space="0" w:color="auto"/>
            </w:tcBorders>
            <w:shd w:val="clear" w:color="auto" w:fill="FFFFFF"/>
          </w:tcPr>
          <w:p w14:paraId="2CB353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76A6D5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 т.р.</w:t>
            </w:r>
          </w:p>
        </w:tc>
      </w:tr>
      <w:tr w:rsidR="006F4095" w:rsidRPr="008127F8" w14:paraId="3FCA8ED7" w14:textId="77777777">
        <w:tc>
          <w:tcPr>
            <w:tcW w:w="4788" w:type="dxa"/>
            <w:shd w:val="clear" w:color="auto" w:fill="FFFFFF"/>
          </w:tcPr>
          <w:p w14:paraId="451DF7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служащим</w:t>
            </w:r>
          </w:p>
        </w:tc>
        <w:tc>
          <w:tcPr>
            <w:tcW w:w="4788" w:type="dxa"/>
            <w:shd w:val="clear" w:color="auto" w:fill="FFFFFF"/>
          </w:tcPr>
          <w:p w14:paraId="29AF29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w:t>
            </w:r>
          </w:p>
        </w:tc>
      </w:tr>
      <w:tr w:rsidR="006F4095" w:rsidRPr="008127F8" w14:paraId="0243988B" w14:textId="77777777">
        <w:tc>
          <w:tcPr>
            <w:tcW w:w="4788" w:type="dxa"/>
            <w:shd w:val="clear" w:color="auto" w:fill="FFFFFF"/>
          </w:tcPr>
          <w:p w14:paraId="58D6A7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shd w:val="clear" w:color="auto" w:fill="FFFFFF"/>
          </w:tcPr>
          <w:p w14:paraId="3DE481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65,2 т.р.</w:t>
            </w:r>
          </w:p>
        </w:tc>
      </w:tr>
      <w:tr w:rsidR="006F4095" w:rsidRPr="008127F8" w14:paraId="2581AD9C" w14:textId="77777777">
        <w:tc>
          <w:tcPr>
            <w:tcW w:w="4788" w:type="dxa"/>
            <w:shd w:val="clear" w:color="auto" w:fill="FFFFFF"/>
          </w:tcPr>
          <w:p w14:paraId="763FB2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начиеления</w:t>
            </w:r>
          </w:p>
        </w:tc>
        <w:tc>
          <w:tcPr>
            <w:tcW w:w="4788" w:type="dxa"/>
            <w:shd w:val="clear" w:color="auto" w:fill="FFFFFF"/>
          </w:tcPr>
          <w:p w14:paraId="04A0BD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 т.р.</w:t>
            </w:r>
          </w:p>
        </w:tc>
      </w:tr>
      <w:tr w:rsidR="006F4095" w:rsidRPr="008127F8" w14:paraId="7E375F27" w14:textId="77777777">
        <w:tc>
          <w:tcPr>
            <w:tcW w:w="4788" w:type="dxa"/>
            <w:shd w:val="clear" w:color="auto" w:fill="FFFFFF"/>
          </w:tcPr>
          <w:p w14:paraId="7AEE06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w:t>
            </w:r>
          </w:p>
        </w:tc>
        <w:tc>
          <w:tcPr>
            <w:tcW w:w="4788" w:type="dxa"/>
            <w:shd w:val="clear" w:color="auto" w:fill="FFFFFF"/>
          </w:tcPr>
          <w:p w14:paraId="187291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т.р.</w:t>
            </w:r>
          </w:p>
        </w:tc>
      </w:tr>
      <w:tr w:rsidR="006F4095" w:rsidRPr="008127F8" w14:paraId="7CBA470B" w14:textId="77777777">
        <w:tc>
          <w:tcPr>
            <w:tcW w:w="4788" w:type="dxa"/>
            <w:tcBorders>
              <w:bottom w:val="single" w:sz="12" w:space="0" w:color="auto"/>
            </w:tcBorders>
            <w:shd w:val="clear" w:color="auto" w:fill="FFFFFF"/>
          </w:tcPr>
          <w:p w14:paraId="2D4A61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197D73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 т.р.</w:t>
            </w:r>
          </w:p>
        </w:tc>
      </w:tr>
    </w:tbl>
    <w:p w14:paraId="11445C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УП._</w:t>
      </w:r>
      <w:proofErr w:type="gramEnd"/>
      <w:r w:rsidRPr="008127F8">
        <w:rPr>
          <w:rFonts w:ascii="Times New Roman" w:hAnsi="Times New Roman"/>
          <w:color w:val="000000" w:themeColor="text1"/>
          <w:sz w:val="16"/>
          <w:szCs w:val="16"/>
        </w:rPr>
        <w:t>Работы по нормализации.</w:t>
      </w:r>
    </w:p>
    <w:p w14:paraId="068CE7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Об"ем работ по нормализации: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00BF507C" w14:textId="77777777">
        <w:tc>
          <w:tcPr>
            <w:tcW w:w="4788" w:type="dxa"/>
            <w:tcBorders>
              <w:top w:val="single" w:sz="12" w:space="0" w:color="auto"/>
            </w:tcBorders>
            <w:shd w:val="clear" w:color="auto" w:fill="FFFFFF"/>
          </w:tcPr>
          <w:p w14:paraId="66A34F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Обработка нормалей (до 350 норм) завода № 18</w:t>
            </w:r>
          </w:p>
        </w:tc>
        <w:tc>
          <w:tcPr>
            <w:tcW w:w="4788" w:type="dxa"/>
            <w:tcBorders>
              <w:top w:val="single" w:sz="12" w:space="0" w:color="auto"/>
            </w:tcBorders>
            <w:shd w:val="clear" w:color="auto" w:fill="FFFFFF"/>
          </w:tcPr>
          <w:p w14:paraId="22325A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часов.</w:t>
            </w:r>
          </w:p>
        </w:tc>
      </w:tr>
      <w:tr w:rsidR="006F4095" w:rsidRPr="008127F8" w14:paraId="73CC82E4" w14:textId="77777777">
        <w:tc>
          <w:tcPr>
            <w:tcW w:w="4788" w:type="dxa"/>
            <w:shd w:val="clear" w:color="auto" w:fill="FFFFFF"/>
          </w:tcPr>
          <w:p w14:paraId="467F58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Разработка нормалей (до 65 норма</w:t>
            </w:r>
            <w:r w:rsidRPr="008127F8">
              <w:rPr>
                <w:rFonts w:ascii="Times New Roman" w:hAnsi="Times New Roman"/>
                <w:color w:val="000000" w:themeColor="text1"/>
                <w:sz w:val="16"/>
                <w:szCs w:val="16"/>
              </w:rPr>
              <w:softHyphen/>
              <w:t>лей)</w:t>
            </w:r>
          </w:p>
        </w:tc>
        <w:tc>
          <w:tcPr>
            <w:tcW w:w="4788" w:type="dxa"/>
            <w:shd w:val="clear" w:color="auto" w:fill="FFFFFF"/>
          </w:tcPr>
          <w:p w14:paraId="1E851D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w:t>
            </w:r>
          </w:p>
        </w:tc>
      </w:tr>
      <w:tr w:rsidR="006F4095" w:rsidRPr="008127F8" w14:paraId="025BB165" w14:textId="77777777">
        <w:tc>
          <w:tcPr>
            <w:tcW w:w="4788" w:type="dxa"/>
            <w:shd w:val="clear" w:color="auto" w:fill="FFFFFF"/>
          </w:tcPr>
          <w:p w14:paraId="07C653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Рабочие чертежи (до 800)</w:t>
            </w:r>
          </w:p>
        </w:tc>
        <w:tc>
          <w:tcPr>
            <w:tcW w:w="4788" w:type="dxa"/>
            <w:shd w:val="clear" w:color="auto" w:fill="FFFFFF"/>
          </w:tcPr>
          <w:p w14:paraId="5E83D3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2200 -"-</w:t>
            </w:r>
          </w:p>
        </w:tc>
      </w:tr>
      <w:tr w:rsidR="006F4095" w:rsidRPr="008127F8" w14:paraId="5F9DA97D" w14:textId="77777777">
        <w:tc>
          <w:tcPr>
            <w:tcW w:w="4788" w:type="dxa"/>
            <w:shd w:val="clear" w:color="auto" w:fill="FFFFFF"/>
          </w:tcPr>
          <w:p w14:paraId="12B12F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Нормализованный контроль рабочих чертежей</w:t>
            </w:r>
          </w:p>
        </w:tc>
        <w:tc>
          <w:tcPr>
            <w:tcW w:w="4788" w:type="dxa"/>
            <w:shd w:val="clear" w:color="auto" w:fill="FFFFFF"/>
          </w:tcPr>
          <w:p w14:paraId="327C24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w:t>
            </w:r>
          </w:p>
        </w:tc>
      </w:tr>
      <w:tr w:rsidR="006F4095" w:rsidRPr="008127F8" w14:paraId="7A3AA887" w14:textId="77777777">
        <w:tc>
          <w:tcPr>
            <w:tcW w:w="4788" w:type="dxa"/>
            <w:shd w:val="clear" w:color="auto" w:fill="FFFFFF"/>
          </w:tcPr>
          <w:p w14:paraId="3E7BFD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Унификация деталей и инструмента (до 2300 деталей)</w:t>
            </w:r>
          </w:p>
        </w:tc>
        <w:tc>
          <w:tcPr>
            <w:tcW w:w="4788" w:type="dxa"/>
            <w:shd w:val="clear" w:color="auto" w:fill="FFFFFF"/>
          </w:tcPr>
          <w:p w14:paraId="35B4F5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2300 -"-</w:t>
            </w:r>
          </w:p>
        </w:tc>
      </w:tr>
      <w:tr w:rsidR="006F4095" w:rsidRPr="008127F8" w14:paraId="7A365C10" w14:textId="77777777">
        <w:tc>
          <w:tcPr>
            <w:tcW w:w="4788" w:type="dxa"/>
            <w:shd w:val="clear" w:color="auto" w:fill="FFFFFF"/>
          </w:tcPr>
          <w:p w14:paraId="376047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Составление каталогов и прочих руководящих материалов</w:t>
            </w:r>
          </w:p>
        </w:tc>
        <w:tc>
          <w:tcPr>
            <w:tcW w:w="4788" w:type="dxa"/>
            <w:shd w:val="clear" w:color="auto" w:fill="FFFFFF"/>
          </w:tcPr>
          <w:p w14:paraId="039EB2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12000</w:t>
            </w:r>
          </w:p>
        </w:tc>
      </w:tr>
      <w:tr w:rsidR="006F4095" w:rsidRPr="008127F8" w14:paraId="21EB68CB" w14:textId="77777777">
        <w:tc>
          <w:tcPr>
            <w:tcW w:w="4788" w:type="dxa"/>
            <w:shd w:val="clear" w:color="auto" w:fill="FFFFFF"/>
          </w:tcPr>
          <w:p w14:paraId="1276D2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Доставление картотек и комплектовка нормалей (до 10000 учетных единиц)</w:t>
            </w:r>
          </w:p>
        </w:tc>
        <w:tc>
          <w:tcPr>
            <w:tcW w:w="4788" w:type="dxa"/>
            <w:shd w:val="clear" w:color="auto" w:fill="FFFFFF"/>
          </w:tcPr>
          <w:p w14:paraId="738073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w:t>
            </w:r>
          </w:p>
        </w:tc>
      </w:tr>
      <w:tr w:rsidR="006F4095" w:rsidRPr="008127F8" w14:paraId="54EEC724" w14:textId="77777777">
        <w:tc>
          <w:tcPr>
            <w:tcW w:w="4788" w:type="dxa"/>
            <w:shd w:val="clear" w:color="auto" w:fill="FFFFFF"/>
          </w:tcPr>
          <w:p w14:paraId="5F2001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Нормализация материалов</w:t>
            </w:r>
          </w:p>
        </w:tc>
        <w:tc>
          <w:tcPr>
            <w:tcW w:w="4788" w:type="dxa"/>
            <w:shd w:val="clear" w:color="auto" w:fill="FFFFFF"/>
          </w:tcPr>
          <w:p w14:paraId="69EA19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w:t>
            </w:r>
          </w:p>
        </w:tc>
      </w:tr>
      <w:tr w:rsidR="006F4095" w:rsidRPr="008127F8" w14:paraId="0A0CDFD8" w14:textId="77777777">
        <w:tc>
          <w:tcPr>
            <w:tcW w:w="4788" w:type="dxa"/>
            <w:shd w:val="clear" w:color="auto" w:fill="FFFFFF"/>
          </w:tcPr>
          <w:p w14:paraId="675A8F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Ограничительные нормали (до 20 норм)</w:t>
            </w:r>
          </w:p>
        </w:tc>
        <w:tc>
          <w:tcPr>
            <w:tcW w:w="4788" w:type="dxa"/>
            <w:shd w:val="clear" w:color="auto" w:fill="FFFFFF"/>
          </w:tcPr>
          <w:p w14:paraId="183025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w:t>
            </w:r>
          </w:p>
        </w:tc>
      </w:tr>
      <w:tr w:rsidR="006F4095" w:rsidRPr="008127F8" w14:paraId="75C0401B" w14:textId="77777777">
        <w:tc>
          <w:tcPr>
            <w:tcW w:w="4788" w:type="dxa"/>
            <w:tcBorders>
              <w:bottom w:val="single" w:sz="12" w:space="0" w:color="auto"/>
            </w:tcBorders>
            <w:shd w:val="clear" w:color="auto" w:fill="FFFFFF"/>
          </w:tcPr>
          <w:p w14:paraId="2AF423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72F681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24800</w:t>
            </w:r>
          </w:p>
        </w:tc>
      </w:tr>
    </w:tbl>
    <w:p w14:paraId="6B683A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3363EB31" w14:textId="77777777">
        <w:tc>
          <w:tcPr>
            <w:tcW w:w="4788" w:type="dxa"/>
            <w:tcBorders>
              <w:top w:val="single" w:sz="12" w:space="0" w:color="auto"/>
            </w:tcBorders>
            <w:shd w:val="clear" w:color="auto" w:fill="FFFFFF"/>
          </w:tcPr>
          <w:p w14:paraId="18A97E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396003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 т.р.</w:t>
            </w:r>
          </w:p>
        </w:tc>
      </w:tr>
      <w:tr w:rsidR="006F4095" w:rsidRPr="008127F8" w14:paraId="78DFDB98" w14:textId="77777777">
        <w:tc>
          <w:tcPr>
            <w:tcW w:w="4788" w:type="dxa"/>
            <w:shd w:val="clear" w:color="auto" w:fill="FFFFFF"/>
          </w:tcPr>
          <w:p w14:paraId="1B427C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служащим</w:t>
            </w:r>
          </w:p>
        </w:tc>
        <w:tc>
          <w:tcPr>
            <w:tcW w:w="4788" w:type="dxa"/>
            <w:shd w:val="clear" w:color="auto" w:fill="FFFFFF"/>
          </w:tcPr>
          <w:p w14:paraId="60A018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т.р.</w:t>
            </w:r>
          </w:p>
        </w:tc>
      </w:tr>
      <w:tr w:rsidR="006F4095" w:rsidRPr="008127F8" w14:paraId="723E7035" w14:textId="77777777">
        <w:tc>
          <w:tcPr>
            <w:tcW w:w="4788" w:type="dxa"/>
            <w:shd w:val="clear" w:color="auto" w:fill="FFFFFF"/>
          </w:tcPr>
          <w:p w14:paraId="3EF857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shd w:val="clear" w:color="auto" w:fill="FFFFFF"/>
          </w:tcPr>
          <w:p w14:paraId="5837DD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 т.р.</w:t>
            </w:r>
          </w:p>
        </w:tc>
      </w:tr>
      <w:tr w:rsidR="006F4095" w:rsidRPr="008127F8" w14:paraId="5BCCB591" w14:textId="77777777">
        <w:tc>
          <w:tcPr>
            <w:tcW w:w="4788" w:type="dxa"/>
            <w:shd w:val="clear" w:color="auto" w:fill="FFFFFF"/>
          </w:tcPr>
          <w:p w14:paraId="606391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w:t>
            </w:r>
            <w:r w:rsidRPr="008127F8">
              <w:rPr>
                <w:rFonts w:ascii="Times New Roman" w:hAnsi="Times New Roman"/>
                <w:color w:val="000000" w:themeColor="text1"/>
                <w:sz w:val="16"/>
                <w:szCs w:val="16"/>
              </w:rPr>
              <w:softHyphen/>
              <w:t>ления</w:t>
            </w:r>
          </w:p>
        </w:tc>
        <w:tc>
          <w:tcPr>
            <w:tcW w:w="4788" w:type="dxa"/>
            <w:shd w:val="clear" w:color="auto" w:fill="FFFFFF"/>
          </w:tcPr>
          <w:p w14:paraId="66DA32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т.р.</w:t>
            </w:r>
          </w:p>
        </w:tc>
      </w:tr>
      <w:tr w:rsidR="006F4095" w:rsidRPr="008127F8" w14:paraId="596E4F56" w14:textId="77777777">
        <w:tc>
          <w:tcPr>
            <w:tcW w:w="4788" w:type="dxa"/>
            <w:shd w:val="clear" w:color="auto" w:fill="FFFFFF"/>
          </w:tcPr>
          <w:p w14:paraId="575E6A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 (бумага и пр.)</w:t>
            </w:r>
          </w:p>
        </w:tc>
        <w:tc>
          <w:tcPr>
            <w:tcW w:w="4788" w:type="dxa"/>
            <w:shd w:val="clear" w:color="auto" w:fill="FFFFFF"/>
          </w:tcPr>
          <w:p w14:paraId="5C1CD6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т.р.</w:t>
            </w:r>
          </w:p>
        </w:tc>
      </w:tr>
      <w:tr w:rsidR="006F4095" w:rsidRPr="008127F8" w14:paraId="38763276" w14:textId="77777777">
        <w:tc>
          <w:tcPr>
            <w:tcW w:w="4788" w:type="dxa"/>
            <w:tcBorders>
              <w:bottom w:val="single" w:sz="12" w:space="0" w:color="auto"/>
            </w:tcBorders>
            <w:shd w:val="clear" w:color="auto" w:fill="FFFFFF"/>
          </w:tcPr>
          <w:p w14:paraId="77E67F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60A86D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т.р.</w:t>
            </w:r>
          </w:p>
        </w:tc>
      </w:tr>
    </w:tbl>
    <w:p w14:paraId="297AACA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8127F8">
        <w:rPr>
          <w:rFonts w:ascii="Times New Roman" w:hAnsi="Times New Roman"/>
          <w:color w:val="000000" w:themeColor="text1"/>
          <w:sz w:val="16"/>
          <w:szCs w:val="16"/>
          <w:u w:val="single"/>
        </w:rPr>
        <w:t>УШ. Испытания материалов и полуфабрикатов.</w:t>
      </w:r>
    </w:p>
    <w:p w14:paraId="623DC5E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Об"ем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6BA2E2A7" w14:textId="77777777">
        <w:tc>
          <w:tcPr>
            <w:tcW w:w="4788" w:type="dxa"/>
            <w:tcBorders>
              <w:top w:val="single" w:sz="12" w:space="0" w:color="auto"/>
            </w:tcBorders>
            <w:shd w:val="clear" w:color="auto" w:fill="FFFFFF"/>
          </w:tcPr>
          <w:p w14:paraId="76DDFC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Освоение манжет по новой машине</w:t>
            </w:r>
          </w:p>
        </w:tc>
        <w:tc>
          <w:tcPr>
            <w:tcW w:w="4788" w:type="dxa"/>
            <w:tcBorders>
              <w:top w:val="single" w:sz="12" w:space="0" w:color="auto"/>
            </w:tcBorders>
            <w:shd w:val="clear" w:color="auto" w:fill="FFFFFF"/>
          </w:tcPr>
          <w:p w14:paraId="3D39C0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час.</w:t>
            </w:r>
          </w:p>
        </w:tc>
      </w:tr>
      <w:tr w:rsidR="006F4095" w:rsidRPr="008127F8" w14:paraId="39030A6D" w14:textId="77777777">
        <w:tc>
          <w:tcPr>
            <w:tcW w:w="4788" w:type="dxa"/>
            <w:shd w:val="clear" w:color="auto" w:fill="FFFFFF"/>
          </w:tcPr>
          <w:p w14:paraId="62DE07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Разработка технологии горячей об</w:t>
            </w:r>
            <w:r w:rsidRPr="008127F8">
              <w:rPr>
                <w:rFonts w:ascii="Times New Roman" w:hAnsi="Times New Roman"/>
                <w:color w:val="000000" w:themeColor="text1"/>
                <w:sz w:val="16"/>
                <w:szCs w:val="16"/>
              </w:rPr>
              <w:softHyphen/>
              <w:t>работки</w:t>
            </w:r>
          </w:p>
        </w:tc>
        <w:tc>
          <w:tcPr>
            <w:tcW w:w="4788" w:type="dxa"/>
            <w:shd w:val="clear" w:color="auto" w:fill="FFFFFF"/>
          </w:tcPr>
          <w:p w14:paraId="7AC029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r>
      <w:tr w:rsidR="006F4095" w:rsidRPr="008127F8" w14:paraId="53B47F40" w14:textId="77777777">
        <w:tc>
          <w:tcPr>
            <w:tcW w:w="4788" w:type="dxa"/>
            <w:shd w:val="clear" w:color="auto" w:fill="FFFFFF"/>
          </w:tcPr>
          <w:p w14:paraId="44B3D5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Разработка технологии обработка цветного материала</w:t>
            </w:r>
          </w:p>
        </w:tc>
        <w:tc>
          <w:tcPr>
            <w:tcW w:w="4788" w:type="dxa"/>
            <w:shd w:val="clear" w:color="auto" w:fill="FFFFFF"/>
          </w:tcPr>
          <w:p w14:paraId="4222FF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47BAC814" w14:textId="77777777">
        <w:tc>
          <w:tcPr>
            <w:tcW w:w="4788" w:type="dxa"/>
            <w:shd w:val="clear" w:color="auto" w:fill="FFFFFF"/>
          </w:tcPr>
          <w:p w14:paraId="4E829E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Разработка технологии обработки покрытий (лаки, краски и металлизация)</w:t>
            </w:r>
          </w:p>
        </w:tc>
        <w:tc>
          <w:tcPr>
            <w:tcW w:w="4788" w:type="dxa"/>
            <w:shd w:val="clear" w:color="auto" w:fill="FFFFFF"/>
          </w:tcPr>
          <w:p w14:paraId="0418D5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718DD7BB" w14:textId="77777777">
        <w:tc>
          <w:tcPr>
            <w:tcW w:w="4788" w:type="dxa"/>
            <w:shd w:val="clear" w:color="auto" w:fill="FFFFFF"/>
          </w:tcPr>
          <w:p w14:paraId="639A85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Разработка технологии по пластмассам</w:t>
            </w:r>
          </w:p>
        </w:tc>
        <w:tc>
          <w:tcPr>
            <w:tcW w:w="4788" w:type="dxa"/>
            <w:shd w:val="clear" w:color="auto" w:fill="FFFFFF"/>
          </w:tcPr>
          <w:p w14:paraId="39FE72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0CC03752" w14:textId="77777777">
        <w:tc>
          <w:tcPr>
            <w:tcW w:w="4788" w:type="dxa"/>
            <w:shd w:val="clear" w:color="auto" w:fill="FFFFFF"/>
          </w:tcPr>
          <w:p w14:paraId="699A04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Разработка технологии физических ме</w:t>
            </w:r>
            <w:r w:rsidRPr="008127F8">
              <w:rPr>
                <w:rFonts w:ascii="Times New Roman" w:hAnsi="Times New Roman"/>
                <w:color w:val="000000" w:themeColor="text1"/>
                <w:sz w:val="16"/>
                <w:szCs w:val="16"/>
              </w:rPr>
              <w:softHyphen/>
              <w:t>тодов испытания деталей машин</w:t>
            </w:r>
          </w:p>
        </w:tc>
        <w:tc>
          <w:tcPr>
            <w:tcW w:w="4788" w:type="dxa"/>
            <w:shd w:val="clear" w:color="auto" w:fill="FFFFFF"/>
          </w:tcPr>
          <w:p w14:paraId="54BA5E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2200</w:t>
            </w:r>
          </w:p>
        </w:tc>
      </w:tr>
      <w:tr w:rsidR="006F4095" w:rsidRPr="008127F8" w14:paraId="28D57D6B" w14:textId="77777777">
        <w:tc>
          <w:tcPr>
            <w:tcW w:w="4788" w:type="dxa"/>
            <w:shd w:val="clear" w:color="auto" w:fill="FFFFFF"/>
          </w:tcPr>
          <w:p w14:paraId="4516F0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Изготовление приспособлений по спе</w:t>
            </w:r>
            <w:r w:rsidRPr="008127F8">
              <w:rPr>
                <w:rFonts w:ascii="Times New Roman" w:hAnsi="Times New Roman"/>
                <w:color w:val="000000" w:themeColor="text1"/>
                <w:sz w:val="16"/>
                <w:szCs w:val="16"/>
              </w:rPr>
              <w:softHyphen/>
              <w:t>циальным видам испытания</w:t>
            </w:r>
          </w:p>
        </w:tc>
        <w:tc>
          <w:tcPr>
            <w:tcW w:w="4788" w:type="dxa"/>
            <w:shd w:val="clear" w:color="auto" w:fill="FFFFFF"/>
          </w:tcPr>
          <w:p w14:paraId="1C19E7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час.</w:t>
            </w:r>
          </w:p>
        </w:tc>
      </w:tr>
      <w:tr w:rsidR="006F4095" w:rsidRPr="008127F8" w14:paraId="5B6B1380" w14:textId="77777777">
        <w:tc>
          <w:tcPr>
            <w:tcW w:w="4788" w:type="dxa"/>
            <w:tcBorders>
              <w:bottom w:val="single" w:sz="12" w:space="0" w:color="auto"/>
            </w:tcBorders>
            <w:shd w:val="clear" w:color="auto" w:fill="FFFFFF"/>
          </w:tcPr>
          <w:p w14:paraId="213940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2C628A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7100</w:t>
            </w:r>
          </w:p>
        </w:tc>
      </w:tr>
    </w:tbl>
    <w:p w14:paraId="35D7F72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46167563" w14:textId="77777777">
        <w:tc>
          <w:tcPr>
            <w:tcW w:w="4788" w:type="dxa"/>
            <w:tcBorders>
              <w:top w:val="single" w:sz="12" w:space="0" w:color="auto"/>
            </w:tcBorders>
            <w:shd w:val="clear" w:color="auto" w:fill="FFFFFF"/>
          </w:tcPr>
          <w:p w14:paraId="3930A0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1996B7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т.р.</w:t>
            </w:r>
          </w:p>
        </w:tc>
      </w:tr>
      <w:tr w:rsidR="006F4095" w:rsidRPr="008127F8" w14:paraId="0D0127CF" w14:textId="77777777">
        <w:tc>
          <w:tcPr>
            <w:tcW w:w="4788" w:type="dxa"/>
            <w:shd w:val="clear" w:color="auto" w:fill="FFFFFF"/>
          </w:tcPr>
          <w:p w14:paraId="66A234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рабочим</w:t>
            </w:r>
          </w:p>
        </w:tc>
        <w:tc>
          <w:tcPr>
            <w:tcW w:w="4788" w:type="dxa"/>
            <w:shd w:val="clear" w:color="auto" w:fill="FFFFFF"/>
          </w:tcPr>
          <w:p w14:paraId="77B59A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т.р.</w:t>
            </w:r>
          </w:p>
        </w:tc>
      </w:tr>
      <w:tr w:rsidR="006F4095" w:rsidRPr="008127F8" w14:paraId="5738557D" w14:textId="77777777">
        <w:tc>
          <w:tcPr>
            <w:tcW w:w="4788" w:type="dxa"/>
            <w:tcBorders>
              <w:bottom w:val="single" w:sz="12" w:space="0" w:color="auto"/>
            </w:tcBorders>
            <w:shd w:val="clear" w:color="auto" w:fill="FFFFFF"/>
          </w:tcPr>
          <w:p w14:paraId="0060E8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20C8EC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 т.р.</w:t>
            </w:r>
          </w:p>
        </w:tc>
      </w:tr>
    </w:tbl>
    <w:p w14:paraId="273491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начисления</w:t>
      </w:r>
      <w:r w:rsidRPr="008127F8">
        <w:rPr>
          <w:rFonts w:ascii="Times New Roman" w:hAnsi="Times New Roman"/>
          <w:color w:val="000000" w:themeColor="text1"/>
          <w:sz w:val="16"/>
          <w:szCs w:val="16"/>
        </w:rPr>
        <w:tab/>
        <w:t>5 т.р.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47BC8544" w14:textId="77777777">
        <w:tc>
          <w:tcPr>
            <w:tcW w:w="4788" w:type="dxa"/>
            <w:tcBorders>
              <w:top w:val="single" w:sz="12" w:space="0" w:color="auto"/>
            </w:tcBorders>
            <w:shd w:val="clear" w:color="auto" w:fill="FFFFFF"/>
          </w:tcPr>
          <w:p w14:paraId="26C837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w:t>
            </w:r>
          </w:p>
        </w:tc>
        <w:tc>
          <w:tcPr>
            <w:tcW w:w="4788" w:type="dxa"/>
            <w:tcBorders>
              <w:top w:val="single" w:sz="12" w:space="0" w:color="auto"/>
            </w:tcBorders>
            <w:shd w:val="clear" w:color="auto" w:fill="FFFFFF"/>
          </w:tcPr>
          <w:p w14:paraId="6A0472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w:t>
            </w:r>
          </w:p>
        </w:tc>
      </w:tr>
      <w:tr w:rsidR="006F4095" w:rsidRPr="008127F8" w14:paraId="02060D2F" w14:textId="77777777">
        <w:tc>
          <w:tcPr>
            <w:tcW w:w="4788" w:type="dxa"/>
            <w:shd w:val="clear" w:color="auto" w:fill="FFFFFF"/>
          </w:tcPr>
          <w:p w14:paraId="265159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Командировки</w:t>
            </w:r>
          </w:p>
        </w:tc>
        <w:tc>
          <w:tcPr>
            <w:tcW w:w="4788" w:type="dxa"/>
            <w:shd w:val="clear" w:color="auto" w:fill="FFFFFF"/>
          </w:tcPr>
          <w:p w14:paraId="19DE58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u w:val="single"/>
              </w:rPr>
            </w:pPr>
            <w:r w:rsidRPr="008127F8">
              <w:rPr>
                <w:rFonts w:ascii="Times New Roman" w:hAnsi="Times New Roman"/>
                <w:color w:val="000000" w:themeColor="text1"/>
                <w:sz w:val="16"/>
                <w:szCs w:val="16"/>
                <w:u w:val="single"/>
              </w:rPr>
              <w:t>5 "</w:t>
            </w:r>
          </w:p>
        </w:tc>
      </w:tr>
      <w:tr w:rsidR="006F4095" w:rsidRPr="008127F8" w14:paraId="65CC4B67" w14:textId="77777777">
        <w:tc>
          <w:tcPr>
            <w:tcW w:w="4788" w:type="dxa"/>
            <w:tcBorders>
              <w:bottom w:val="single" w:sz="12" w:space="0" w:color="auto"/>
            </w:tcBorders>
            <w:shd w:val="clear" w:color="auto" w:fill="FFFFFF"/>
          </w:tcPr>
          <w:p w14:paraId="3D3487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233C92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 т.р.</w:t>
            </w:r>
          </w:p>
        </w:tc>
      </w:tr>
    </w:tbl>
    <w:p w14:paraId="69759C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IX. Работы по постановке учета, планирования и организации управления.</w:t>
      </w:r>
    </w:p>
    <w:p w14:paraId="6006FA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Составление картотек диспетчерского, планового отделов и для бухгалтерского учёта в цехах по новой машине</w:t>
      </w:r>
      <w:r w:rsidRPr="008127F8">
        <w:rPr>
          <w:rFonts w:ascii="Times New Roman" w:hAnsi="Times New Roman"/>
          <w:color w:val="000000" w:themeColor="text1"/>
          <w:sz w:val="16"/>
          <w:szCs w:val="16"/>
        </w:rPr>
        <w:tab/>
        <w:t>9000 часов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673FEEF2" w14:textId="77777777">
        <w:tc>
          <w:tcPr>
            <w:tcW w:w="4788" w:type="dxa"/>
            <w:tcBorders>
              <w:top w:val="single" w:sz="12" w:space="0" w:color="auto"/>
            </w:tcBorders>
            <w:shd w:val="clear" w:color="auto" w:fill="FFFFFF"/>
          </w:tcPr>
          <w:p w14:paraId="06C3C4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Средняя оплата часа 3 р.80 коп.</w:t>
            </w:r>
          </w:p>
        </w:tc>
        <w:tc>
          <w:tcPr>
            <w:tcW w:w="4788" w:type="dxa"/>
            <w:tcBorders>
              <w:top w:val="single" w:sz="12" w:space="0" w:color="auto"/>
            </w:tcBorders>
            <w:shd w:val="clear" w:color="auto" w:fill="FFFFFF"/>
          </w:tcPr>
          <w:p w14:paraId="1F67AC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 т.р.</w:t>
            </w:r>
          </w:p>
        </w:tc>
      </w:tr>
      <w:tr w:rsidR="006F4095" w:rsidRPr="008127F8" w14:paraId="394873E8" w14:textId="77777777">
        <w:tc>
          <w:tcPr>
            <w:tcW w:w="4788" w:type="dxa"/>
            <w:shd w:val="clear" w:color="auto" w:fill="FFFFFF"/>
          </w:tcPr>
          <w:p w14:paraId="1ABEA8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1F5920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 т.р.</w:t>
            </w:r>
          </w:p>
        </w:tc>
      </w:tr>
      <w:tr w:rsidR="006F4095" w:rsidRPr="008127F8" w14:paraId="69ED6593" w14:textId="77777777">
        <w:tc>
          <w:tcPr>
            <w:tcW w:w="4788" w:type="dxa"/>
            <w:shd w:val="clear" w:color="auto" w:fill="FFFFFF"/>
          </w:tcPr>
          <w:p w14:paraId="2B934E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 и типографские расходы</w:t>
            </w:r>
          </w:p>
        </w:tc>
        <w:tc>
          <w:tcPr>
            <w:tcW w:w="4788" w:type="dxa"/>
            <w:shd w:val="clear" w:color="auto" w:fill="FFFFFF"/>
          </w:tcPr>
          <w:p w14:paraId="4D484E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т.р.</w:t>
            </w:r>
          </w:p>
        </w:tc>
      </w:tr>
      <w:tr w:rsidR="006F4095" w:rsidRPr="008127F8" w14:paraId="56E7FA65" w14:textId="77777777">
        <w:tc>
          <w:tcPr>
            <w:tcW w:w="4788" w:type="dxa"/>
            <w:tcBorders>
              <w:bottom w:val="single" w:sz="12" w:space="0" w:color="auto"/>
            </w:tcBorders>
            <w:shd w:val="clear" w:color="auto" w:fill="FFFFFF"/>
          </w:tcPr>
          <w:p w14:paraId="535EB1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72C050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 т.р.</w:t>
            </w:r>
          </w:p>
        </w:tc>
      </w:tr>
    </w:tbl>
    <w:p w14:paraId="1C7DEA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 Разработка схем управления и орга</w:t>
      </w:r>
      <w:r w:rsidRPr="008127F8">
        <w:rPr>
          <w:rFonts w:ascii="Times New Roman" w:hAnsi="Times New Roman"/>
          <w:color w:val="000000" w:themeColor="text1"/>
          <w:sz w:val="16"/>
          <w:szCs w:val="16"/>
        </w:rPr>
        <w:softHyphen/>
        <w:t>низации производствеиных'И вспомо</w:t>
      </w:r>
      <w:r w:rsidRPr="008127F8">
        <w:rPr>
          <w:rFonts w:ascii="Times New Roman" w:hAnsi="Times New Roman"/>
          <w:color w:val="000000" w:themeColor="text1"/>
          <w:sz w:val="16"/>
          <w:szCs w:val="16"/>
        </w:rPr>
        <w:softHyphen/>
        <w:t>гательных Цехов</w:t>
      </w:r>
      <w:r w:rsidRPr="008127F8">
        <w:rPr>
          <w:rFonts w:ascii="Times New Roman" w:hAnsi="Times New Roman"/>
          <w:color w:val="000000" w:themeColor="text1"/>
          <w:sz w:val="16"/>
          <w:szCs w:val="16"/>
        </w:rPr>
        <w:tab/>
        <w:t>500 час.</w:t>
      </w:r>
    </w:p>
    <w:p w14:paraId="25A1D87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w:t>
      </w:r>
      <w:r w:rsidRPr="008127F8">
        <w:rPr>
          <w:rFonts w:ascii="Times New Roman" w:hAnsi="Times New Roman"/>
          <w:color w:val="000000" w:themeColor="text1"/>
          <w:sz w:val="16"/>
          <w:szCs w:val="16"/>
        </w:rPr>
        <w:tab/>
        <w:t>3 т.р.</w:t>
      </w:r>
    </w:p>
    <w:p w14:paraId="4CF9A48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Разработка паспортов на </w:t>
      </w:r>
      <w:proofErr w:type="gramStart"/>
      <w:r w:rsidRPr="008127F8">
        <w:rPr>
          <w:rFonts w:ascii="Times New Roman" w:hAnsi="Times New Roman"/>
          <w:color w:val="000000" w:themeColor="text1"/>
          <w:sz w:val="16"/>
          <w:szCs w:val="16"/>
        </w:rPr>
        <w:t>узлы,агрегаты</w:t>
      </w:r>
      <w:proofErr w:type="gramEnd"/>
      <w:r w:rsidRPr="008127F8">
        <w:rPr>
          <w:rFonts w:ascii="Times New Roman" w:hAnsi="Times New Roman"/>
          <w:color w:val="000000" w:themeColor="text1"/>
          <w:sz w:val="16"/>
          <w:szCs w:val="16"/>
        </w:rPr>
        <w:t xml:space="preserve"> и машину</w:t>
      </w:r>
      <w:r w:rsidRPr="008127F8">
        <w:rPr>
          <w:rFonts w:ascii="Times New Roman" w:hAnsi="Times New Roman"/>
          <w:color w:val="000000" w:themeColor="text1"/>
          <w:sz w:val="16"/>
          <w:szCs w:val="16"/>
        </w:rPr>
        <w:tab/>
        <w:t>250 час.</w:t>
      </w:r>
    </w:p>
    <w:p w14:paraId="202A508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w:t>
      </w:r>
      <w:r w:rsidRPr="008127F8">
        <w:rPr>
          <w:rFonts w:ascii="Times New Roman" w:hAnsi="Times New Roman"/>
          <w:color w:val="000000" w:themeColor="text1"/>
          <w:sz w:val="16"/>
          <w:szCs w:val="16"/>
        </w:rPr>
        <w:tab/>
        <w:t>1.5 т.р.</w:t>
      </w:r>
    </w:p>
    <w:p w14:paraId="125EF67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зарплата</w:t>
      </w:r>
      <w:r w:rsidRPr="008127F8">
        <w:rPr>
          <w:rFonts w:ascii="Times New Roman" w:hAnsi="Times New Roman"/>
          <w:color w:val="000000" w:themeColor="text1"/>
          <w:sz w:val="16"/>
          <w:szCs w:val="16"/>
        </w:rPr>
        <w:tab/>
        <w:t>4.5 т.р.</w:t>
      </w:r>
    </w:p>
    <w:p w14:paraId="60224DB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Начисления и дополнительная зарплата 0.5 т.р.</w:t>
      </w:r>
    </w:p>
    <w:p w14:paraId="1F0CED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5 т.р.</w:t>
      </w:r>
    </w:p>
    <w:p w14:paraId="4E0411A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X. Перепланировка и перестановка оборудования (некапитального порядка)</w:t>
      </w:r>
    </w:p>
    <w:p w14:paraId="0D25EBF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постановкой производства машины "ИЛ-4" осуществляется перепланировка цехов и связанная с нею перестановка оборудования.</w:t>
      </w:r>
    </w:p>
    <w:p w14:paraId="02D93FD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Намечается к перестановке 600 станков. При средней стоимости перестановка одного станка - 600 руб., общая стоимость определяется в 360 т.р.</w:t>
      </w:r>
    </w:p>
    <w:p w14:paraId="6372D2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Стоимость перепланировки рабочих </w:t>
      </w:r>
      <w:proofErr w:type="gramStart"/>
      <w:r w:rsidRPr="008127F8">
        <w:rPr>
          <w:rFonts w:ascii="Times New Roman" w:hAnsi="Times New Roman"/>
          <w:color w:val="000000" w:themeColor="text1"/>
          <w:sz w:val="16"/>
          <w:szCs w:val="16"/>
        </w:rPr>
        <w:t>мест,не</w:t>
      </w:r>
      <w:proofErr w:type="gramEnd"/>
      <w:r w:rsidRPr="008127F8">
        <w:rPr>
          <w:rFonts w:ascii="Times New Roman" w:hAnsi="Times New Roman"/>
          <w:color w:val="000000" w:themeColor="text1"/>
          <w:sz w:val="16"/>
          <w:szCs w:val="16"/>
        </w:rPr>
        <w:t xml:space="preserve"> связанных со станочным оборудованием (устройство перегородок,стелажей, верстаков и пр.) ~ 180 т.р.</w:t>
      </w:r>
    </w:p>
    <w:p w14:paraId="4712B44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Направление расходов по перепланировке: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62EB12D" w14:textId="77777777">
        <w:tc>
          <w:tcPr>
            <w:tcW w:w="4788" w:type="dxa"/>
            <w:tcBorders>
              <w:top w:val="single" w:sz="12" w:space="0" w:color="auto"/>
            </w:tcBorders>
            <w:shd w:val="clear" w:color="auto" w:fill="FFFFFF"/>
          </w:tcPr>
          <w:p w14:paraId="339BD5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рабочим 55.000 ч/час</w:t>
            </w:r>
          </w:p>
        </w:tc>
        <w:tc>
          <w:tcPr>
            <w:tcW w:w="4788" w:type="dxa"/>
            <w:tcBorders>
              <w:top w:val="single" w:sz="12" w:space="0" w:color="auto"/>
            </w:tcBorders>
            <w:shd w:val="clear" w:color="auto" w:fill="FFFFFF"/>
          </w:tcPr>
          <w:p w14:paraId="7C5B50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 т.р.</w:t>
            </w:r>
          </w:p>
        </w:tc>
      </w:tr>
      <w:tr w:rsidR="006F4095" w:rsidRPr="008127F8" w14:paraId="6BCA8472" w14:textId="77777777">
        <w:tc>
          <w:tcPr>
            <w:tcW w:w="4788" w:type="dxa"/>
            <w:shd w:val="clear" w:color="auto" w:fill="FFFFFF"/>
          </w:tcPr>
          <w:p w14:paraId="584FF7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 - 8.000 ч/час.</w:t>
            </w:r>
          </w:p>
        </w:tc>
        <w:tc>
          <w:tcPr>
            <w:tcW w:w="4788" w:type="dxa"/>
            <w:shd w:val="clear" w:color="auto" w:fill="FFFFFF"/>
          </w:tcPr>
          <w:p w14:paraId="0EE114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т.р.</w:t>
            </w:r>
          </w:p>
        </w:tc>
      </w:tr>
      <w:tr w:rsidR="006F4095" w:rsidRPr="008127F8" w14:paraId="6553333D" w14:textId="77777777">
        <w:tc>
          <w:tcPr>
            <w:tcW w:w="4788" w:type="dxa"/>
            <w:shd w:val="clear" w:color="auto" w:fill="FFFFFF"/>
          </w:tcPr>
          <w:p w14:paraId="5347E7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08955E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 т.р.</w:t>
            </w:r>
          </w:p>
        </w:tc>
      </w:tr>
      <w:tr w:rsidR="006F4095" w:rsidRPr="008127F8" w14:paraId="79590578" w14:textId="77777777">
        <w:tc>
          <w:tcPr>
            <w:tcW w:w="4788" w:type="dxa"/>
            <w:shd w:val="clear" w:color="auto" w:fill="FFFFFF"/>
          </w:tcPr>
          <w:p w14:paraId="43E190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w:t>
            </w:r>
          </w:p>
        </w:tc>
        <w:tc>
          <w:tcPr>
            <w:tcW w:w="4788" w:type="dxa"/>
            <w:shd w:val="clear" w:color="auto" w:fill="FFFFFF"/>
          </w:tcPr>
          <w:p w14:paraId="3F674F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т.р.</w:t>
            </w:r>
          </w:p>
        </w:tc>
      </w:tr>
      <w:tr w:rsidR="006F4095" w:rsidRPr="008127F8" w14:paraId="24C109B7" w14:textId="77777777">
        <w:tc>
          <w:tcPr>
            <w:tcW w:w="4788" w:type="dxa"/>
            <w:shd w:val="clear" w:color="auto" w:fill="FFFFFF"/>
          </w:tcPr>
          <w:p w14:paraId="6733D3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Накладные расходы</w:t>
            </w:r>
          </w:p>
        </w:tc>
        <w:tc>
          <w:tcPr>
            <w:tcW w:w="4788" w:type="dxa"/>
            <w:shd w:val="clear" w:color="auto" w:fill="FFFFFF"/>
          </w:tcPr>
          <w:p w14:paraId="4A3315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 т.р.</w:t>
            </w:r>
          </w:p>
        </w:tc>
      </w:tr>
      <w:tr w:rsidR="006F4095" w:rsidRPr="008127F8" w14:paraId="77C7BDD5" w14:textId="77777777">
        <w:tc>
          <w:tcPr>
            <w:tcW w:w="4788" w:type="dxa"/>
            <w:tcBorders>
              <w:bottom w:val="single" w:sz="12" w:space="0" w:color="auto"/>
            </w:tcBorders>
            <w:shd w:val="clear" w:color="auto" w:fill="FFFFFF"/>
          </w:tcPr>
          <w:p w14:paraId="1C9E70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054309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 т.р.</w:t>
            </w:r>
          </w:p>
        </w:tc>
      </w:tr>
    </w:tbl>
    <w:p w14:paraId="44CA9A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 xml:space="preserve">XI. Подготовка </w:t>
      </w:r>
      <w:proofErr w:type="gramStart"/>
      <w:r w:rsidRPr="008127F8">
        <w:rPr>
          <w:rFonts w:ascii="Times New Roman" w:hAnsi="Times New Roman"/>
          <w:color w:val="000000" w:themeColor="text1"/>
          <w:sz w:val="16"/>
          <w:szCs w:val="16"/>
          <w:u w:val="single"/>
        </w:rPr>
        <w:t>кадров,.</w:t>
      </w:r>
      <w:proofErr w:type="gramEnd"/>
      <w:r w:rsidRPr="008127F8">
        <w:rPr>
          <w:rFonts w:ascii="Times New Roman" w:hAnsi="Times New Roman"/>
          <w:color w:val="000000" w:themeColor="text1"/>
          <w:sz w:val="16"/>
          <w:szCs w:val="16"/>
          <w:u w:val="single"/>
        </w:rPr>
        <w:t xml:space="preserve"> связанная с постановкой нового производства</w:t>
      </w:r>
    </w:p>
    <w:p w14:paraId="2BA17F3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намечается на 500 человек, средняя стоимость подготовки 500 рублей.</w:t>
      </w:r>
    </w:p>
    <w:p w14:paraId="6D9A4B8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стоимость подготовки</w:t>
      </w:r>
      <w:r w:rsidRPr="008127F8">
        <w:rPr>
          <w:rFonts w:ascii="Times New Roman" w:hAnsi="Times New Roman"/>
          <w:color w:val="000000" w:themeColor="text1"/>
          <w:sz w:val="16"/>
          <w:szCs w:val="16"/>
        </w:rPr>
        <w:tab/>
        <w:t>250 т.р.</w:t>
      </w:r>
    </w:p>
    <w:p w14:paraId="53505F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508AD752" w14:textId="77777777">
        <w:tc>
          <w:tcPr>
            <w:tcW w:w="4788" w:type="dxa"/>
            <w:tcBorders>
              <w:top w:val="single" w:sz="12" w:space="0" w:color="auto"/>
            </w:tcBorders>
            <w:shd w:val="clear" w:color="auto" w:fill="FFFFFF"/>
          </w:tcPr>
          <w:p w14:paraId="4D5E03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Зарплата обучающихся 300 р. х 500 чел.</w:t>
            </w:r>
          </w:p>
        </w:tc>
        <w:tc>
          <w:tcPr>
            <w:tcW w:w="4788" w:type="dxa"/>
            <w:tcBorders>
              <w:top w:val="single" w:sz="12" w:space="0" w:color="auto"/>
            </w:tcBorders>
            <w:shd w:val="clear" w:color="auto" w:fill="FFFFFF"/>
          </w:tcPr>
          <w:p w14:paraId="2AB72E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т.р.</w:t>
            </w:r>
          </w:p>
        </w:tc>
      </w:tr>
      <w:tr w:rsidR="006F4095" w:rsidRPr="008127F8" w14:paraId="25CBB378" w14:textId="77777777">
        <w:tc>
          <w:tcPr>
            <w:tcW w:w="4788" w:type="dxa"/>
            <w:shd w:val="clear" w:color="auto" w:fill="FFFFFF"/>
          </w:tcPr>
          <w:p w14:paraId="797339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Зарплата инструкторам и педперсоналу</w:t>
            </w:r>
          </w:p>
        </w:tc>
        <w:tc>
          <w:tcPr>
            <w:tcW w:w="4788" w:type="dxa"/>
            <w:shd w:val="clear" w:color="auto" w:fill="FFFFFF"/>
          </w:tcPr>
          <w:p w14:paraId="547BA0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т.р.</w:t>
            </w:r>
          </w:p>
        </w:tc>
      </w:tr>
      <w:tr w:rsidR="006F4095" w:rsidRPr="008127F8" w14:paraId="02CE7F58" w14:textId="77777777">
        <w:tc>
          <w:tcPr>
            <w:tcW w:w="4788" w:type="dxa"/>
            <w:shd w:val="clear" w:color="auto" w:fill="FFFFFF"/>
          </w:tcPr>
          <w:p w14:paraId="12B0BF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Дополнительная зарплата и начисления</w:t>
            </w:r>
          </w:p>
        </w:tc>
        <w:tc>
          <w:tcPr>
            <w:tcW w:w="4788" w:type="dxa"/>
            <w:shd w:val="clear" w:color="auto" w:fill="FFFFFF"/>
          </w:tcPr>
          <w:p w14:paraId="21ACF2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т.р.</w:t>
            </w:r>
          </w:p>
        </w:tc>
      </w:tr>
      <w:tr w:rsidR="006F4095" w:rsidRPr="008127F8" w14:paraId="1CD47DFB" w14:textId="77777777">
        <w:tc>
          <w:tcPr>
            <w:tcW w:w="4788" w:type="dxa"/>
            <w:tcBorders>
              <w:bottom w:val="single" w:sz="12" w:space="0" w:color="auto"/>
            </w:tcBorders>
            <w:shd w:val="clear" w:color="auto" w:fill="FFFFFF"/>
          </w:tcPr>
          <w:p w14:paraId="46F803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Прочие расходы (учебные пособия, материалы, со держание помещении и т.п.)</w:t>
            </w:r>
          </w:p>
        </w:tc>
        <w:tc>
          <w:tcPr>
            <w:tcW w:w="4788" w:type="dxa"/>
            <w:tcBorders>
              <w:bottom w:val="single" w:sz="12" w:space="0" w:color="auto"/>
            </w:tcBorders>
            <w:shd w:val="clear" w:color="auto" w:fill="FFFFFF"/>
          </w:tcPr>
          <w:p w14:paraId="33A35A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 т.р.</w:t>
            </w:r>
          </w:p>
        </w:tc>
      </w:tr>
    </w:tbl>
    <w:p w14:paraId="1EF1BB9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ХП. Убытки по деталям Су-2</w:t>
      </w:r>
      <w:proofErr w:type="gramStart"/>
      <w:r w:rsidRPr="008127F8">
        <w:rPr>
          <w:rFonts w:ascii="Times New Roman" w:hAnsi="Times New Roman"/>
          <w:color w:val="000000" w:themeColor="text1"/>
          <w:sz w:val="16"/>
          <w:szCs w:val="16"/>
          <w:u w:val="single"/>
        </w:rPr>
        <w:t>.</w:t>
      </w:r>
      <w:proofErr w:type="gramEnd"/>
      <w:r w:rsidRPr="008127F8">
        <w:rPr>
          <w:rFonts w:ascii="Times New Roman" w:hAnsi="Times New Roman"/>
          <w:color w:val="000000" w:themeColor="text1"/>
          <w:sz w:val="16"/>
          <w:szCs w:val="16"/>
          <w:u w:val="single"/>
        </w:rPr>
        <w:t xml:space="preserve"> потерявшим производственное значение.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11FD092D" w14:textId="77777777">
        <w:tc>
          <w:tcPr>
            <w:tcW w:w="4788" w:type="dxa"/>
            <w:tcBorders>
              <w:top w:val="single" w:sz="12" w:space="0" w:color="auto"/>
            </w:tcBorders>
            <w:shd w:val="clear" w:color="auto" w:fill="FFFFFF"/>
          </w:tcPr>
          <w:p w14:paraId="3AB716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Убытки по деталям Су-2 составят 20 машин, Средняя себестоимость машины (без приборов)</w:t>
            </w:r>
          </w:p>
        </w:tc>
        <w:tc>
          <w:tcPr>
            <w:tcW w:w="4788" w:type="dxa"/>
            <w:tcBorders>
              <w:top w:val="single" w:sz="12" w:space="0" w:color="auto"/>
            </w:tcBorders>
            <w:shd w:val="clear" w:color="auto" w:fill="FFFFFF"/>
          </w:tcPr>
          <w:p w14:paraId="1CEED8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т.р.</w:t>
            </w:r>
          </w:p>
        </w:tc>
      </w:tr>
      <w:tr w:rsidR="006F4095" w:rsidRPr="008127F8" w14:paraId="392FFDC4" w14:textId="77777777">
        <w:tc>
          <w:tcPr>
            <w:tcW w:w="4788" w:type="dxa"/>
            <w:tcBorders>
              <w:bottom w:val="single" w:sz="12" w:space="0" w:color="auto"/>
            </w:tcBorders>
            <w:shd w:val="clear" w:color="auto" w:fill="FFFFFF"/>
          </w:tcPr>
          <w:p w14:paraId="3355C0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сумма убытков составит</w:t>
            </w:r>
          </w:p>
        </w:tc>
        <w:tc>
          <w:tcPr>
            <w:tcW w:w="4788" w:type="dxa"/>
            <w:tcBorders>
              <w:bottom w:val="single" w:sz="12" w:space="0" w:color="auto"/>
            </w:tcBorders>
            <w:shd w:val="clear" w:color="auto" w:fill="FFFFFF"/>
          </w:tcPr>
          <w:p w14:paraId="7BBDBE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т.р.</w:t>
            </w:r>
          </w:p>
        </w:tc>
      </w:tr>
    </w:tbl>
    <w:p w14:paraId="01271F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ХШ. Техническая помощь.</w:t>
      </w:r>
    </w:p>
    <w:p w14:paraId="54EA565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технической помощи предусматривается: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8127F8" w14:paraId="31F3099C" w14:textId="77777777">
        <w:tc>
          <w:tcPr>
            <w:tcW w:w="4788" w:type="dxa"/>
            <w:tcBorders>
              <w:top w:val="single" w:sz="12" w:space="0" w:color="auto"/>
            </w:tcBorders>
            <w:shd w:val="clear" w:color="auto" w:fill="FFFFFF"/>
          </w:tcPr>
          <w:p w14:paraId="3CFE82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Оплата работников </w:t>
            </w:r>
            <w:proofErr w:type="gramStart"/>
            <w:r w:rsidRPr="008127F8">
              <w:rPr>
                <w:rFonts w:ascii="Times New Roman" w:hAnsi="Times New Roman"/>
                <w:color w:val="000000" w:themeColor="text1"/>
                <w:sz w:val="16"/>
                <w:szCs w:val="16"/>
              </w:rPr>
              <w:t>ОКБ,согласно</w:t>
            </w:r>
            <w:proofErr w:type="gramEnd"/>
            <w:r w:rsidRPr="008127F8">
              <w:rPr>
                <w:rFonts w:ascii="Times New Roman" w:hAnsi="Times New Roman"/>
                <w:color w:val="000000" w:themeColor="text1"/>
                <w:sz w:val="16"/>
                <w:szCs w:val="16"/>
              </w:rPr>
              <w:t xml:space="preserve"> договора</w:t>
            </w:r>
          </w:p>
        </w:tc>
        <w:tc>
          <w:tcPr>
            <w:tcW w:w="4788" w:type="dxa"/>
            <w:tcBorders>
              <w:top w:val="single" w:sz="12" w:space="0" w:color="auto"/>
            </w:tcBorders>
            <w:shd w:val="clear" w:color="auto" w:fill="FFFFFF"/>
          </w:tcPr>
          <w:p w14:paraId="0ADF41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 т.р.</w:t>
            </w:r>
          </w:p>
        </w:tc>
      </w:tr>
      <w:tr w:rsidR="006F4095" w:rsidRPr="008127F8" w14:paraId="3613C389" w14:textId="77777777">
        <w:tc>
          <w:tcPr>
            <w:tcW w:w="4788" w:type="dxa"/>
            <w:shd w:val="clear" w:color="auto" w:fill="FFFFFF"/>
          </w:tcPr>
          <w:p w14:paraId="53C46D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Оплата работников Лаборатории Завода № 19 НКАП</w:t>
            </w:r>
          </w:p>
        </w:tc>
        <w:tc>
          <w:tcPr>
            <w:tcW w:w="4788" w:type="dxa"/>
            <w:shd w:val="clear" w:color="auto" w:fill="FFFFFF"/>
          </w:tcPr>
          <w:p w14:paraId="31B634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т.р.</w:t>
            </w:r>
          </w:p>
        </w:tc>
      </w:tr>
      <w:tr w:rsidR="006F4095" w:rsidRPr="008127F8" w14:paraId="67AE875C" w14:textId="77777777">
        <w:tc>
          <w:tcPr>
            <w:tcW w:w="4788" w:type="dxa"/>
            <w:tcBorders>
              <w:bottom w:val="single" w:sz="12" w:space="0" w:color="auto"/>
            </w:tcBorders>
            <w:shd w:val="clear" w:color="auto" w:fill="FFFFFF"/>
          </w:tcPr>
          <w:p w14:paraId="2F4121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70A792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 т.р.</w:t>
            </w:r>
          </w:p>
        </w:tc>
      </w:tr>
    </w:tbl>
    <w:p w14:paraId="2D8BC7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8127F8">
        <w:rPr>
          <w:rFonts w:ascii="Times New Roman" w:hAnsi="Times New Roman"/>
          <w:color w:val="000000" w:themeColor="text1"/>
          <w:sz w:val="16"/>
          <w:szCs w:val="16"/>
          <w:u w:val="single"/>
        </w:rPr>
        <w:t>Х1У. Премирование.</w:t>
      </w:r>
    </w:p>
    <w:p w14:paraId="667A66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поощрения выполнения работ по постановке производства машины ИЛ-4в сроки и в полном соответствии с требованиями, </w:t>
      </w:r>
      <w:proofErr w:type="gramStart"/>
      <w:r w:rsidRPr="008127F8">
        <w:rPr>
          <w:rFonts w:ascii="Times New Roman" w:hAnsi="Times New Roman"/>
          <w:color w:val="000000" w:themeColor="text1"/>
          <w:sz w:val="16"/>
          <w:szCs w:val="16"/>
        </w:rPr>
        <w:t>пред”являемыми</w:t>
      </w:r>
      <w:proofErr w:type="gramEnd"/>
      <w:r w:rsidRPr="008127F8">
        <w:rPr>
          <w:rFonts w:ascii="Times New Roman" w:hAnsi="Times New Roman"/>
          <w:color w:val="000000" w:themeColor="text1"/>
          <w:sz w:val="16"/>
          <w:szCs w:val="16"/>
        </w:rPr>
        <w:t xml:space="preserve"> к машине, предусматривается премирование ИТР и служащих цехов и отделов Заводоуправления.</w:t>
      </w:r>
    </w:p>
    <w:p w14:paraId="00A979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 премиальных фондов прилагается.</w:t>
      </w:r>
    </w:p>
    <w:p w14:paraId="009F7FD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Приложение:</w:t>
      </w:r>
      <w:r w:rsidRPr="008127F8">
        <w:rPr>
          <w:rFonts w:ascii="Times New Roman" w:hAnsi="Times New Roman"/>
          <w:color w:val="000000" w:themeColor="text1"/>
          <w:sz w:val="16"/>
          <w:szCs w:val="16"/>
        </w:rPr>
        <w:t xml:space="preserve"> Упомянутое на 1-м листе (1648,70).</w:t>
      </w:r>
    </w:p>
    <w:p w14:paraId="01F891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РАСЧЕТЫ К СМЕТЕ ПОСТАНОВКИ ПРОИЗВОДСТВА МАШИНЫ (Премирование ИТР и КСП)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38"/>
        <w:gridCol w:w="1084"/>
        <w:gridCol w:w="1084"/>
        <w:gridCol w:w="1084"/>
      </w:tblGrid>
      <w:tr w:rsidR="006F4095" w:rsidRPr="008127F8" w14:paraId="5C648DB6" w14:textId="77777777">
        <w:tc>
          <w:tcPr>
            <w:tcW w:w="5238" w:type="dxa"/>
            <w:tcBorders>
              <w:top w:val="single" w:sz="12" w:space="0" w:color="auto"/>
            </w:tcBorders>
          </w:tcPr>
          <w:p w14:paraId="380064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должностей</w:t>
            </w:r>
          </w:p>
        </w:tc>
        <w:tc>
          <w:tcPr>
            <w:tcW w:w="1084" w:type="dxa"/>
            <w:tcBorders>
              <w:top w:val="single" w:sz="12" w:space="0" w:color="auto"/>
            </w:tcBorders>
          </w:tcPr>
          <w:p w14:paraId="0224D6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w:t>
            </w:r>
          </w:p>
        </w:tc>
        <w:tc>
          <w:tcPr>
            <w:tcW w:w="1084" w:type="dxa"/>
            <w:tcBorders>
              <w:top w:val="single" w:sz="12" w:space="0" w:color="auto"/>
            </w:tcBorders>
          </w:tcPr>
          <w:p w14:paraId="5A4431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Сумма месячных окладов</w:t>
            </w:r>
          </w:p>
        </w:tc>
        <w:tc>
          <w:tcPr>
            <w:tcW w:w="1084" w:type="dxa"/>
            <w:tcBorders>
              <w:top w:val="single" w:sz="12" w:space="0" w:color="auto"/>
            </w:tcBorders>
          </w:tcPr>
          <w:p w14:paraId="0531A3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Сумма премий</w:t>
            </w:r>
          </w:p>
        </w:tc>
      </w:tr>
      <w:tr w:rsidR="006F4095" w:rsidRPr="008127F8" w14:paraId="19494224" w14:textId="77777777">
        <w:tc>
          <w:tcPr>
            <w:tcW w:w="5238" w:type="dxa"/>
          </w:tcPr>
          <w:p w14:paraId="189D74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Главный технолог</w:t>
            </w:r>
          </w:p>
        </w:tc>
        <w:tc>
          <w:tcPr>
            <w:tcW w:w="1084" w:type="dxa"/>
          </w:tcPr>
          <w:p w14:paraId="6B8971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12C914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w:t>
            </w:r>
          </w:p>
        </w:tc>
        <w:tc>
          <w:tcPr>
            <w:tcW w:w="1084" w:type="dxa"/>
          </w:tcPr>
          <w:p w14:paraId="47155A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2600</w:t>
            </w:r>
          </w:p>
        </w:tc>
      </w:tr>
      <w:tr w:rsidR="006F4095" w:rsidRPr="008127F8" w14:paraId="1F255EC8" w14:textId="77777777">
        <w:tc>
          <w:tcPr>
            <w:tcW w:w="5238" w:type="dxa"/>
          </w:tcPr>
          <w:p w14:paraId="2A7B26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 производства</w:t>
            </w:r>
          </w:p>
        </w:tc>
        <w:tc>
          <w:tcPr>
            <w:tcW w:w="1084" w:type="dxa"/>
          </w:tcPr>
          <w:p w14:paraId="518040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4044FB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c>
          <w:tcPr>
            <w:tcW w:w="1084" w:type="dxa"/>
          </w:tcPr>
          <w:p w14:paraId="3168DE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2600</w:t>
            </w:r>
          </w:p>
        </w:tc>
      </w:tr>
      <w:tr w:rsidR="006F4095" w:rsidRPr="008127F8" w14:paraId="047DA2C0" w14:textId="77777777">
        <w:tc>
          <w:tcPr>
            <w:tcW w:w="5238" w:type="dxa"/>
          </w:tcPr>
          <w:p w14:paraId="77B1EF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Главный диспетчер</w:t>
            </w:r>
          </w:p>
        </w:tc>
        <w:tc>
          <w:tcPr>
            <w:tcW w:w="1084" w:type="dxa"/>
          </w:tcPr>
          <w:p w14:paraId="0040E1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540C32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1084" w:type="dxa"/>
          </w:tcPr>
          <w:p w14:paraId="7300E5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r>
      <w:tr w:rsidR="006F4095" w:rsidRPr="008127F8" w14:paraId="127BB898" w14:textId="77777777">
        <w:tc>
          <w:tcPr>
            <w:tcW w:w="5238" w:type="dxa"/>
          </w:tcPr>
          <w:p w14:paraId="62D964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Начальники отделов 4,6,8,36,77</w:t>
            </w:r>
          </w:p>
        </w:tc>
        <w:tc>
          <w:tcPr>
            <w:tcW w:w="1084" w:type="dxa"/>
          </w:tcPr>
          <w:p w14:paraId="48E44C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084" w:type="dxa"/>
          </w:tcPr>
          <w:p w14:paraId="795832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8400</w:t>
            </w:r>
          </w:p>
        </w:tc>
        <w:tc>
          <w:tcPr>
            <w:tcW w:w="1084" w:type="dxa"/>
          </w:tcPr>
          <w:p w14:paraId="479DF9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11200</w:t>
            </w:r>
          </w:p>
        </w:tc>
      </w:tr>
      <w:tr w:rsidR="006F4095" w:rsidRPr="008127F8" w14:paraId="1D7B7141" w14:textId="77777777">
        <w:tc>
          <w:tcPr>
            <w:tcW w:w="5238" w:type="dxa"/>
          </w:tcPr>
          <w:p w14:paraId="2F656A4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Зам. Главного технолога</w:t>
            </w:r>
          </w:p>
        </w:tc>
        <w:tc>
          <w:tcPr>
            <w:tcW w:w="1084" w:type="dxa"/>
          </w:tcPr>
          <w:p w14:paraId="60ABBF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37E230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c>
          <w:tcPr>
            <w:tcW w:w="1084" w:type="dxa"/>
          </w:tcPr>
          <w:p w14:paraId="7B5F98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r>
      <w:tr w:rsidR="006F4095" w:rsidRPr="008127F8" w14:paraId="5D8DAE15" w14:textId="77777777">
        <w:tc>
          <w:tcPr>
            <w:tcW w:w="5238" w:type="dxa"/>
          </w:tcPr>
          <w:p w14:paraId="23B48F7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Зам. Нач. Производства</w:t>
            </w:r>
          </w:p>
        </w:tc>
        <w:tc>
          <w:tcPr>
            <w:tcW w:w="1084" w:type="dxa"/>
          </w:tcPr>
          <w:p w14:paraId="60F0EC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084" w:type="dxa"/>
          </w:tcPr>
          <w:p w14:paraId="159B7E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2800</w:t>
            </w:r>
          </w:p>
        </w:tc>
        <w:tc>
          <w:tcPr>
            <w:tcW w:w="1084" w:type="dxa"/>
          </w:tcPr>
          <w:p w14:paraId="095359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2800</w:t>
            </w:r>
          </w:p>
        </w:tc>
      </w:tr>
      <w:tr w:rsidR="006F4095" w:rsidRPr="008127F8" w14:paraId="628BDC33" w14:textId="77777777">
        <w:tc>
          <w:tcPr>
            <w:tcW w:w="5238" w:type="dxa"/>
          </w:tcPr>
          <w:p w14:paraId="1F5C36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Зам. Главного диспетчера</w:t>
            </w:r>
          </w:p>
        </w:tc>
        <w:tc>
          <w:tcPr>
            <w:tcW w:w="1084" w:type="dxa"/>
          </w:tcPr>
          <w:p w14:paraId="2FA72C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3B5C54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c>
          <w:tcPr>
            <w:tcW w:w="1084" w:type="dxa"/>
          </w:tcPr>
          <w:p w14:paraId="6020B9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r>
      <w:tr w:rsidR="006F4095" w:rsidRPr="008127F8" w14:paraId="75ECAB66" w14:textId="77777777">
        <w:tc>
          <w:tcPr>
            <w:tcW w:w="5238" w:type="dxa"/>
          </w:tcPr>
          <w:p w14:paraId="2A8B80B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Зам. нач. Инструментального отдела</w:t>
            </w:r>
          </w:p>
        </w:tc>
        <w:tc>
          <w:tcPr>
            <w:tcW w:w="1084" w:type="dxa"/>
          </w:tcPr>
          <w:p w14:paraId="44D503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3AEBBA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w:t>
            </w:r>
          </w:p>
        </w:tc>
        <w:tc>
          <w:tcPr>
            <w:tcW w:w="1084" w:type="dxa"/>
          </w:tcPr>
          <w:p w14:paraId="004F1B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w:t>
            </w:r>
          </w:p>
        </w:tc>
      </w:tr>
      <w:tr w:rsidR="006F4095" w:rsidRPr="008127F8" w14:paraId="38FB4141" w14:textId="77777777">
        <w:tc>
          <w:tcPr>
            <w:tcW w:w="5238" w:type="dxa"/>
          </w:tcPr>
          <w:p w14:paraId="137858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Зам. Нач. ОКБ</w:t>
            </w:r>
          </w:p>
        </w:tc>
        <w:tc>
          <w:tcPr>
            <w:tcW w:w="1084" w:type="dxa"/>
          </w:tcPr>
          <w:p w14:paraId="0ADA87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7C9A1B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c>
          <w:tcPr>
            <w:tcW w:w="1084" w:type="dxa"/>
          </w:tcPr>
          <w:p w14:paraId="3F18E4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r>
      <w:tr w:rsidR="006F4095" w:rsidRPr="008127F8" w14:paraId="7CA04EC6" w14:textId="77777777">
        <w:tc>
          <w:tcPr>
            <w:tcW w:w="5238" w:type="dxa"/>
          </w:tcPr>
          <w:p w14:paraId="1A0327F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Зам. </w:t>
            </w:r>
            <w:proofErr w:type="gramStart"/>
            <w:r w:rsidRPr="008127F8">
              <w:rPr>
                <w:rFonts w:ascii="Times New Roman" w:hAnsi="Times New Roman"/>
                <w:color w:val="000000" w:themeColor="text1"/>
                <w:sz w:val="16"/>
                <w:szCs w:val="16"/>
              </w:rPr>
              <w:t>нач .технологического</w:t>
            </w:r>
            <w:proofErr w:type="gramEnd"/>
            <w:r w:rsidRPr="008127F8">
              <w:rPr>
                <w:rFonts w:ascii="Times New Roman" w:hAnsi="Times New Roman"/>
                <w:color w:val="000000" w:themeColor="text1"/>
                <w:sz w:val="16"/>
                <w:szCs w:val="16"/>
              </w:rPr>
              <w:t xml:space="preserve"> отдела</w:t>
            </w:r>
          </w:p>
        </w:tc>
        <w:tc>
          <w:tcPr>
            <w:tcW w:w="1084" w:type="dxa"/>
          </w:tcPr>
          <w:p w14:paraId="06200D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4" w:type="dxa"/>
          </w:tcPr>
          <w:p w14:paraId="16AF4C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1084" w:type="dxa"/>
          </w:tcPr>
          <w:p w14:paraId="5E0B90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r>
      <w:tr w:rsidR="006F4095" w:rsidRPr="008127F8" w14:paraId="53B9BE20" w14:textId="77777777">
        <w:tc>
          <w:tcPr>
            <w:tcW w:w="5238" w:type="dxa"/>
          </w:tcPr>
          <w:p w14:paraId="2CFB0F0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Начальник группы СКБ</w:t>
            </w:r>
          </w:p>
        </w:tc>
        <w:tc>
          <w:tcPr>
            <w:tcW w:w="1084" w:type="dxa"/>
          </w:tcPr>
          <w:p w14:paraId="367C0D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084" w:type="dxa"/>
          </w:tcPr>
          <w:p w14:paraId="502C58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084" w:type="dxa"/>
          </w:tcPr>
          <w:p w14:paraId="505123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r>
      <w:tr w:rsidR="006F4095" w:rsidRPr="008127F8" w14:paraId="20F2D6D9" w14:textId="77777777">
        <w:tc>
          <w:tcPr>
            <w:tcW w:w="5238" w:type="dxa"/>
          </w:tcPr>
          <w:p w14:paraId="17BFB1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Конструкторы 1-й категории (отд. 6, 36)</w:t>
            </w:r>
          </w:p>
        </w:tc>
        <w:tc>
          <w:tcPr>
            <w:tcW w:w="1084" w:type="dxa"/>
          </w:tcPr>
          <w:p w14:paraId="30133B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1084" w:type="dxa"/>
          </w:tcPr>
          <w:p w14:paraId="6CCCC7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33750</w:t>
            </w:r>
          </w:p>
        </w:tc>
        <w:tc>
          <w:tcPr>
            <w:tcW w:w="1084" w:type="dxa"/>
          </w:tcPr>
          <w:p w14:paraId="06FFDD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16850</w:t>
            </w:r>
          </w:p>
        </w:tc>
      </w:tr>
      <w:tr w:rsidR="006F4095" w:rsidRPr="008127F8" w14:paraId="4EFFCDB7" w14:textId="77777777">
        <w:tc>
          <w:tcPr>
            <w:tcW w:w="5238" w:type="dxa"/>
          </w:tcPr>
          <w:p w14:paraId="1F290A5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Конструкторы П-ой категорий</w:t>
            </w:r>
          </w:p>
        </w:tc>
        <w:tc>
          <w:tcPr>
            <w:tcW w:w="1084" w:type="dxa"/>
          </w:tcPr>
          <w:p w14:paraId="047D83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84" w:type="dxa"/>
          </w:tcPr>
          <w:p w14:paraId="5E37B4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8950</w:t>
            </w:r>
          </w:p>
        </w:tc>
        <w:tc>
          <w:tcPr>
            <w:tcW w:w="1084" w:type="dxa"/>
          </w:tcPr>
          <w:p w14:paraId="1A1C69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r>
      <w:tr w:rsidR="006F4095" w:rsidRPr="008127F8" w14:paraId="0540C430" w14:textId="77777777">
        <w:tc>
          <w:tcPr>
            <w:tcW w:w="5238" w:type="dxa"/>
          </w:tcPr>
          <w:p w14:paraId="4683C8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Конструкторы цехов и проч. Отделов</w:t>
            </w:r>
          </w:p>
        </w:tc>
        <w:tc>
          <w:tcPr>
            <w:tcW w:w="1084" w:type="dxa"/>
          </w:tcPr>
          <w:p w14:paraId="48A2AF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084" w:type="dxa"/>
          </w:tcPr>
          <w:p w14:paraId="24281D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24450</w:t>
            </w:r>
          </w:p>
        </w:tc>
        <w:tc>
          <w:tcPr>
            <w:tcW w:w="1084" w:type="dxa"/>
          </w:tcPr>
          <w:p w14:paraId="31FB00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12250</w:t>
            </w:r>
          </w:p>
        </w:tc>
      </w:tr>
      <w:tr w:rsidR="006F4095" w:rsidRPr="008127F8" w14:paraId="5561AFD0" w14:textId="77777777">
        <w:tc>
          <w:tcPr>
            <w:tcW w:w="5238" w:type="dxa"/>
          </w:tcPr>
          <w:p w14:paraId="20B322E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Чертежники и копитювщики ОКБ</w:t>
            </w:r>
          </w:p>
        </w:tc>
        <w:tc>
          <w:tcPr>
            <w:tcW w:w="1084" w:type="dxa"/>
          </w:tcPr>
          <w:p w14:paraId="134DE9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084" w:type="dxa"/>
          </w:tcPr>
          <w:p w14:paraId="2F02E2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9300</w:t>
            </w:r>
          </w:p>
        </w:tc>
        <w:tc>
          <w:tcPr>
            <w:tcW w:w="1084" w:type="dxa"/>
          </w:tcPr>
          <w:p w14:paraId="1CA733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3700</w:t>
            </w:r>
          </w:p>
        </w:tc>
      </w:tr>
      <w:tr w:rsidR="006F4095" w:rsidRPr="008127F8" w14:paraId="791BAA29" w14:textId="77777777">
        <w:tc>
          <w:tcPr>
            <w:tcW w:w="5238" w:type="dxa"/>
          </w:tcPr>
          <w:p w14:paraId="1FA2A0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Начальники Бюро Инструментального отд.</w:t>
            </w:r>
          </w:p>
        </w:tc>
        <w:tc>
          <w:tcPr>
            <w:tcW w:w="1084" w:type="dxa"/>
          </w:tcPr>
          <w:p w14:paraId="3CE86B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84" w:type="dxa"/>
          </w:tcPr>
          <w:p w14:paraId="3B7645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1084" w:type="dxa"/>
          </w:tcPr>
          <w:p w14:paraId="435042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r>
      <w:tr w:rsidR="006F4095" w:rsidRPr="008127F8" w14:paraId="0B9098D2" w14:textId="77777777">
        <w:tc>
          <w:tcPr>
            <w:tcW w:w="5238" w:type="dxa"/>
          </w:tcPr>
          <w:p w14:paraId="355BDE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Конструктивы 1-й кат, по оснастке(отд.4)</w:t>
            </w:r>
          </w:p>
        </w:tc>
        <w:tc>
          <w:tcPr>
            <w:tcW w:w="1084" w:type="dxa"/>
          </w:tcPr>
          <w:p w14:paraId="2078AA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084" w:type="dxa"/>
          </w:tcPr>
          <w:p w14:paraId="503276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5950</w:t>
            </w:r>
          </w:p>
        </w:tc>
        <w:tc>
          <w:tcPr>
            <w:tcW w:w="1084" w:type="dxa"/>
          </w:tcPr>
          <w:p w14:paraId="3AFCB3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r>
      <w:tr w:rsidR="006F4095" w:rsidRPr="008127F8" w14:paraId="7BBC8DC1" w14:textId="77777777">
        <w:tc>
          <w:tcPr>
            <w:tcW w:w="5238" w:type="dxa"/>
          </w:tcPr>
          <w:p w14:paraId="4543697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Конструкторы П-й категории</w:t>
            </w:r>
          </w:p>
        </w:tc>
        <w:tc>
          <w:tcPr>
            <w:tcW w:w="1084" w:type="dxa"/>
          </w:tcPr>
          <w:p w14:paraId="46319E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84" w:type="dxa"/>
          </w:tcPr>
          <w:p w14:paraId="788905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w:t>
            </w:r>
          </w:p>
        </w:tc>
        <w:tc>
          <w:tcPr>
            <w:tcW w:w="1084" w:type="dxa"/>
          </w:tcPr>
          <w:p w14:paraId="3BA31D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w:t>
            </w:r>
          </w:p>
        </w:tc>
      </w:tr>
      <w:tr w:rsidR="006F4095" w:rsidRPr="008127F8" w14:paraId="6F87BFEA" w14:textId="77777777">
        <w:tc>
          <w:tcPr>
            <w:tcW w:w="5238" w:type="dxa"/>
          </w:tcPr>
          <w:p w14:paraId="0B971E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Конструкторы 1-й категории</w:t>
            </w:r>
          </w:p>
        </w:tc>
        <w:tc>
          <w:tcPr>
            <w:tcW w:w="1084" w:type="dxa"/>
          </w:tcPr>
          <w:p w14:paraId="3F7412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84" w:type="dxa"/>
          </w:tcPr>
          <w:p w14:paraId="62EDEE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1175</w:t>
            </w:r>
          </w:p>
        </w:tc>
        <w:tc>
          <w:tcPr>
            <w:tcW w:w="1084" w:type="dxa"/>
          </w:tcPr>
          <w:p w14:paraId="5CDEEF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627B78CF" w14:textId="77777777">
        <w:tc>
          <w:tcPr>
            <w:tcW w:w="5238" w:type="dxa"/>
          </w:tcPr>
          <w:p w14:paraId="45DA5D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Чертежники, копировщики цехов и пр. отд.</w:t>
            </w:r>
          </w:p>
        </w:tc>
        <w:tc>
          <w:tcPr>
            <w:tcW w:w="1084" w:type="dxa"/>
          </w:tcPr>
          <w:p w14:paraId="653F34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084" w:type="dxa"/>
          </w:tcPr>
          <w:p w14:paraId="44D4CA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9175</w:t>
            </w:r>
          </w:p>
        </w:tc>
        <w:tc>
          <w:tcPr>
            <w:tcW w:w="1084" w:type="dxa"/>
          </w:tcPr>
          <w:p w14:paraId="3264DC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3700</w:t>
            </w:r>
          </w:p>
        </w:tc>
      </w:tr>
      <w:tr w:rsidR="006F4095" w:rsidRPr="008127F8" w14:paraId="2EF53851" w14:textId="77777777">
        <w:tc>
          <w:tcPr>
            <w:tcW w:w="5238" w:type="dxa"/>
          </w:tcPr>
          <w:p w14:paraId="35D696C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Технологи и нормировщики отделов</w:t>
            </w:r>
          </w:p>
        </w:tc>
        <w:tc>
          <w:tcPr>
            <w:tcW w:w="1084" w:type="dxa"/>
          </w:tcPr>
          <w:p w14:paraId="046455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084" w:type="dxa"/>
          </w:tcPr>
          <w:p w14:paraId="182FC7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45775</w:t>
            </w:r>
          </w:p>
        </w:tc>
        <w:tc>
          <w:tcPr>
            <w:tcW w:w="1084" w:type="dxa"/>
          </w:tcPr>
          <w:p w14:paraId="7C0034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23400</w:t>
            </w:r>
          </w:p>
        </w:tc>
      </w:tr>
      <w:tr w:rsidR="006F4095" w:rsidRPr="008127F8" w14:paraId="581DE580" w14:textId="77777777">
        <w:tc>
          <w:tcPr>
            <w:tcW w:w="5238" w:type="dxa"/>
          </w:tcPr>
          <w:p w14:paraId="107E51A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Начальники вспомогательных цехов и их заместители</w:t>
            </w:r>
          </w:p>
        </w:tc>
        <w:tc>
          <w:tcPr>
            <w:tcW w:w="1084" w:type="dxa"/>
          </w:tcPr>
          <w:p w14:paraId="590FE9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084" w:type="dxa"/>
          </w:tcPr>
          <w:p w14:paraId="5280D8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15800</w:t>
            </w:r>
          </w:p>
        </w:tc>
        <w:tc>
          <w:tcPr>
            <w:tcW w:w="1084" w:type="dxa"/>
          </w:tcPr>
          <w:p w14:paraId="33FEFC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21000</w:t>
            </w:r>
          </w:p>
        </w:tc>
      </w:tr>
      <w:tr w:rsidR="006F4095" w:rsidRPr="008127F8" w14:paraId="4624000F" w14:textId="77777777">
        <w:tc>
          <w:tcPr>
            <w:tcW w:w="5238" w:type="dxa"/>
          </w:tcPr>
          <w:p w14:paraId="0DFA497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Ст. мастера, мастера вспомогат цехов</w:t>
            </w:r>
          </w:p>
        </w:tc>
        <w:tc>
          <w:tcPr>
            <w:tcW w:w="1084" w:type="dxa"/>
          </w:tcPr>
          <w:p w14:paraId="55E094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084" w:type="dxa"/>
          </w:tcPr>
          <w:p w14:paraId="23ACBB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39450</w:t>
            </w:r>
          </w:p>
        </w:tc>
        <w:tc>
          <w:tcPr>
            <w:tcW w:w="1084" w:type="dxa"/>
          </w:tcPr>
          <w:p w14:paraId="34A8AD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38450</w:t>
            </w:r>
          </w:p>
        </w:tc>
      </w:tr>
      <w:tr w:rsidR="006F4095" w:rsidRPr="008127F8" w14:paraId="07EDB660" w14:textId="77777777">
        <w:tc>
          <w:tcPr>
            <w:tcW w:w="5238" w:type="dxa"/>
          </w:tcPr>
          <w:p w14:paraId="6E231F6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Технологи и нормировщики вспом. цехов</w:t>
            </w:r>
          </w:p>
        </w:tc>
        <w:tc>
          <w:tcPr>
            <w:tcW w:w="1084" w:type="dxa"/>
          </w:tcPr>
          <w:p w14:paraId="5479B2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84" w:type="dxa"/>
          </w:tcPr>
          <w:p w14:paraId="5BD2F5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14825</w:t>
            </w:r>
          </w:p>
        </w:tc>
        <w:tc>
          <w:tcPr>
            <w:tcW w:w="1084" w:type="dxa"/>
          </w:tcPr>
          <w:p w14:paraId="470E3A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11850</w:t>
            </w:r>
          </w:p>
        </w:tc>
      </w:tr>
      <w:tr w:rsidR="006F4095" w:rsidRPr="008127F8" w14:paraId="5060DC88" w14:textId="77777777">
        <w:tc>
          <w:tcPr>
            <w:tcW w:w="5238" w:type="dxa"/>
          </w:tcPr>
          <w:p w14:paraId="457A24D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Диспетчеры вспомогательных цехов</w:t>
            </w:r>
          </w:p>
        </w:tc>
        <w:tc>
          <w:tcPr>
            <w:tcW w:w="1084" w:type="dxa"/>
          </w:tcPr>
          <w:p w14:paraId="79E42D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084" w:type="dxa"/>
          </w:tcPr>
          <w:p w14:paraId="41A47A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8100</w:t>
            </w:r>
          </w:p>
        </w:tc>
        <w:tc>
          <w:tcPr>
            <w:tcW w:w="1084" w:type="dxa"/>
          </w:tcPr>
          <w:p w14:paraId="5DEFB7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4900</w:t>
            </w:r>
          </w:p>
        </w:tc>
      </w:tr>
      <w:tr w:rsidR="006F4095" w:rsidRPr="008127F8" w14:paraId="2EAC7E85" w14:textId="77777777">
        <w:tc>
          <w:tcPr>
            <w:tcW w:w="5238" w:type="dxa"/>
          </w:tcPr>
          <w:p w14:paraId="2EF93E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Экономисты вспомогательных цехов</w:t>
            </w:r>
          </w:p>
        </w:tc>
        <w:tc>
          <w:tcPr>
            <w:tcW w:w="1084" w:type="dxa"/>
          </w:tcPr>
          <w:p w14:paraId="2ADE85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84" w:type="dxa"/>
          </w:tcPr>
          <w:p w14:paraId="35B31A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084" w:type="dxa"/>
          </w:tcPr>
          <w:p w14:paraId="330A56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r>
      <w:tr w:rsidR="006F4095" w:rsidRPr="008127F8" w14:paraId="1F3281D1" w14:textId="77777777">
        <w:tc>
          <w:tcPr>
            <w:tcW w:w="5238" w:type="dxa"/>
          </w:tcPr>
          <w:p w14:paraId="2A7E93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Нач. производственных цехов и нх заместители</w:t>
            </w:r>
          </w:p>
        </w:tc>
        <w:tc>
          <w:tcPr>
            <w:tcW w:w="1084" w:type="dxa"/>
          </w:tcPr>
          <w:p w14:paraId="54E6BD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084" w:type="dxa"/>
          </w:tcPr>
          <w:p w14:paraId="32F83C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76850</w:t>
            </w:r>
          </w:p>
        </w:tc>
        <w:tc>
          <w:tcPr>
            <w:tcW w:w="1084" w:type="dxa"/>
          </w:tcPr>
          <w:p w14:paraId="783EE0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102000</w:t>
            </w:r>
          </w:p>
        </w:tc>
      </w:tr>
      <w:tr w:rsidR="006F4095" w:rsidRPr="008127F8" w14:paraId="3AD46ECB" w14:textId="77777777">
        <w:tc>
          <w:tcPr>
            <w:tcW w:w="5238" w:type="dxa"/>
          </w:tcPr>
          <w:p w14:paraId="6FAAF8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Ст. мастера цехов и мастера производственных цехов</w:t>
            </w:r>
          </w:p>
        </w:tc>
        <w:tc>
          <w:tcPr>
            <w:tcW w:w="1084" w:type="dxa"/>
          </w:tcPr>
          <w:p w14:paraId="0D0F34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346</w:t>
            </w:r>
          </w:p>
        </w:tc>
        <w:tc>
          <w:tcPr>
            <w:tcW w:w="1084" w:type="dxa"/>
          </w:tcPr>
          <w:p w14:paraId="1B69CA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269350</w:t>
            </w:r>
          </w:p>
        </w:tc>
        <w:tc>
          <w:tcPr>
            <w:tcW w:w="1084" w:type="dxa"/>
          </w:tcPr>
          <w:p w14:paraId="448B9B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269350</w:t>
            </w:r>
          </w:p>
        </w:tc>
      </w:tr>
      <w:tr w:rsidR="006F4095" w:rsidRPr="008127F8" w14:paraId="316227B5" w14:textId="77777777">
        <w:tc>
          <w:tcPr>
            <w:tcW w:w="5238" w:type="dxa"/>
          </w:tcPr>
          <w:p w14:paraId="02AB2F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Технологи, нормировщики производственных цехов</w:t>
            </w:r>
          </w:p>
        </w:tc>
        <w:tc>
          <w:tcPr>
            <w:tcW w:w="1084" w:type="dxa"/>
          </w:tcPr>
          <w:p w14:paraId="7C39B0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1084" w:type="dxa"/>
          </w:tcPr>
          <w:p w14:paraId="4C3EFF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98700</w:t>
            </w:r>
          </w:p>
        </w:tc>
        <w:tc>
          <w:tcPr>
            <w:tcW w:w="1084" w:type="dxa"/>
          </w:tcPr>
          <w:p w14:paraId="27EC5A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78600</w:t>
            </w:r>
          </w:p>
        </w:tc>
      </w:tr>
      <w:tr w:rsidR="006F4095" w:rsidRPr="008127F8" w14:paraId="7DA24918" w14:textId="77777777">
        <w:tc>
          <w:tcPr>
            <w:tcW w:w="5238" w:type="dxa"/>
          </w:tcPr>
          <w:p w14:paraId="1D9A07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30. Диспетчеры производственных цехов</w:t>
            </w:r>
          </w:p>
        </w:tc>
        <w:tc>
          <w:tcPr>
            <w:tcW w:w="1084" w:type="dxa"/>
          </w:tcPr>
          <w:p w14:paraId="392ADE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1084" w:type="dxa"/>
          </w:tcPr>
          <w:p w14:paraId="3CA8AA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68850</w:t>
            </w:r>
          </w:p>
        </w:tc>
        <w:tc>
          <w:tcPr>
            <w:tcW w:w="1084" w:type="dxa"/>
          </w:tcPr>
          <w:p w14:paraId="2D9664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34500</w:t>
            </w:r>
          </w:p>
        </w:tc>
      </w:tr>
      <w:tr w:rsidR="006F4095" w:rsidRPr="008127F8" w14:paraId="418A5CBE" w14:textId="77777777">
        <w:tc>
          <w:tcPr>
            <w:tcW w:w="5238" w:type="dxa"/>
          </w:tcPr>
          <w:p w14:paraId="55DB19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Экономисты производственных цехов</w:t>
            </w:r>
          </w:p>
        </w:tc>
        <w:tc>
          <w:tcPr>
            <w:tcW w:w="1084" w:type="dxa"/>
          </w:tcPr>
          <w:p w14:paraId="5173DF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084" w:type="dxa"/>
          </w:tcPr>
          <w:p w14:paraId="656273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17290</w:t>
            </w:r>
          </w:p>
        </w:tc>
        <w:tc>
          <w:tcPr>
            <w:tcW w:w="1084" w:type="dxa"/>
          </w:tcPr>
          <w:p w14:paraId="0CE829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6700</w:t>
            </w:r>
          </w:p>
        </w:tc>
      </w:tr>
      <w:tr w:rsidR="006F4095" w:rsidRPr="008127F8" w14:paraId="0B5A2931" w14:textId="77777777">
        <w:tc>
          <w:tcPr>
            <w:tcW w:w="5238" w:type="dxa"/>
          </w:tcPr>
          <w:p w14:paraId="7414C1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 Начальник ОТК и его заместители</w:t>
            </w:r>
          </w:p>
        </w:tc>
        <w:tc>
          <w:tcPr>
            <w:tcW w:w="1084" w:type="dxa"/>
          </w:tcPr>
          <w:p w14:paraId="5B5271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084" w:type="dxa"/>
          </w:tcPr>
          <w:p w14:paraId="04D175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5100</w:t>
            </w:r>
          </w:p>
        </w:tc>
        <w:tc>
          <w:tcPr>
            <w:tcW w:w="1084" w:type="dxa"/>
          </w:tcPr>
          <w:p w14:paraId="7299A4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4100</w:t>
            </w:r>
          </w:p>
        </w:tc>
      </w:tr>
      <w:tr w:rsidR="006F4095" w:rsidRPr="008127F8" w14:paraId="637D90C9" w14:textId="77777777">
        <w:tc>
          <w:tcPr>
            <w:tcW w:w="5238" w:type="dxa"/>
          </w:tcPr>
          <w:p w14:paraId="1CEAFC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 Аппарат БЦК вспомогательных цехов</w:t>
            </w:r>
          </w:p>
        </w:tc>
        <w:tc>
          <w:tcPr>
            <w:tcW w:w="1084" w:type="dxa"/>
          </w:tcPr>
          <w:p w14:paraId="7DEDCF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084" w:type="dxa"/>
          </w:tcPr>
          <w:p w14:paraId="275149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11450</w:t>
            </w:r>
          </w:p>
        </w:tc>
        <w:tc>
          <w:tcPr>
            <w:tcW w:w="1084" w:type="dxa"/>
          </w:tcPr>
          <w:p w14:paraId="747C66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8200</w:t>
            </w:r>
          </w:p>
        </w:tc>
      </w:tr>
      <w:tr w:rsidR="006F4095" w:rsidRPr="008127F8" w14:paraId="6BA9D527" w14:textId="77777777">
        <w:tc>
          <w:tcPr>
            <w:tcW w:w="5238" w:type="dxa"/>
          </w:tcPr>
          <w:p w14:paraId="632857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 Аппарат БЦК производственных цехов</w:t>
            </w:r>
          </w:p>
        </w:tc>
        <w:tc>
          <w:tcPr>
            <w:tcW w:w="1084" w:type="dxa"/>
          </w:tcPr>
          <w:p w14:paraId="1DA7D8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1084" w:type="dxa"/>
          </w:tcPr>
          <w:p w14:paraId="4B3398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47300</w:t>
            </w:r>
          </w:p>
        </w:tc>
        <w:tc>
          <w:tcPr>
            <w:tcW w:w="1084" w:type="dxa"/>
          </w:tcPr>
          <w:p w14:paraId="1572AE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33900</w:t>
            </w:r>
          </w:p>
        </w:tc>
      </w:tr>
      <w:tr w:rsidR="006F4095" w:rsidRPr="008127F8" w14:paraId="2038EDAD" w14:textId="77777777">
        <w:tc>
          <w:tcPr>
            <w:tcW w:w="5238" w:type="dxa"/>
          </w:tcPr>
          <w:p w14:paraId="6D6326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 Аппарат ОТК</w:t>
            </w:r>
          </w:p>
        </w:tc>
        <w:tc>
          <w:tcPr>
            <w:tcW w:w="1084" w:type="dxa"/>
          </w:tcPr>
          <w:p w14:paraId="0FD103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084" w:type="dxa"/>
          </w:tcPr>
          <w:p w14:paraId="60817C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5650</w:t>
            </w:r>
          </w:p>
        </w:tc>
        <w:tc>
          <w:tcPr>
            <w:tcW w:w="1084" w:type="dxa"/>
          </w:tcPr>
          <w:p w14:paraId="629243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3900</w:t>
            </w:r>
          </w:p>
        </w:tc>
      </w:tr>
      <w:tr w:rsidR="006F4095" w:rsidRPr="008127F8" w14:paraId="41F65634" w14:textId="77777777">
        <w:tc>
          <w:tcPr>
            <w:tcW w:w="5238" w:type="dxa"/>
          </w:tcPr>
          <w:p w14:paraId="4302C1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 Нач. И зам. Нач. Отделов Заводоуправления</w:t>
            </w:r>
          </w:p>
        </w:tc>
        <w:tc>
          <w:tcPr>
            <w:tcW w:w="1084" w:type="dxa"/>
          </w:tcPr>
          <w:p w14:paraId="5BBA49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084" w:type="dxa"/>
          </w:tcPr>
          <w:p w14:paraId="1498C4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38450</w:t>
            </w:r>
          </w:p>
        </w:tc>
        <w:tc>
          <w:tcPr>
            <w:tcW w:w="1084" w:type="dxa"/>
          </w:tcPr>
          <w:p w14:paraId="43B997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31800</w:t>
            </w:r>
          </w:p>
        </w:tc>
      </w:tr>
      <w:tr w:rsidR="006F4095" w:rsidRPr="008127F8" w14:paraId="2973F81F" w14:textId="77777777">
        <w:tc>
          <w:tcPr>
            <w:tcW w:w="5238" w:type="dxa"/>
          </w:tcPr>
          <w:p w14:paraId="2255EC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 ИТР отделов Заводоуправления</w:t>
            </w:r>
          </w:p>
        </w:tc>
        <w:tc>
          <w:tcPr>
            <w:tcW w:w="1084" w:type="dxa"/>
          </w:tcPr>
          <w:p w14:paraId="554C61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1084" w:type="dxa"/>
          </w:tcPr>
          <w:p w14:paraId="6E47EB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63750</w:t>
            </w:r>
          </w:p>
        </w:tc>
        <w:tc>
          <w:tcPr>
            <w:tcW w:w="1084" w:type="dxa"/>
          </w:tcPr>
          <w:p w14:paraId="58149A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31800</w:t>
            </w:r>
          </w:p>
        </w:tc>
      </w:tr>
      <w:tr w:rsidR="006F4095" w:rsidRPr="008127F8" w14:paraId="3C6D1CF0" w14:textId="77777777">
        <w:tc>
          <w:tcPr>
            <w:tcW w:w="5238" w:type="dxa"/>
          </w:tcPr>
          <w:p w14:paraId="610298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 Служащие отделов Заводоуправления</w:t>
            </w:r>
          </w:p>
        </w:tc>
        <w:tc>
          <w:tcPr>
            <w:tcW w:w="1084" w:type="dxa"/>
          </w:tcPr>
          <w:p w14:paraId="3BA22F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084" w:type="dxa"/>
          </w:tcPr>
          <w:p w14:paraId="580B3E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19500</w:t>
            </w:r>
          </w:p>
        </w:tc>
        <w:tc>
          <w:tcPr>
            <w:tcW w:w="1084" w:type="dxa"/>
          </w:tcPr>
          <w:p w14:paraId="425E72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r>
      <w:tr w:rsidR="00687FE2" w:rsidRPr="008127F8" w14:paraId="5B07B967" w14:textId="77777777">
        <w:tc>
          <w:tcPr>
            <w:tcW w:w="5238" w:type="dxa"/>
            <w:tcBorders>
              <w:bottom w:val="single" w:sz="12" w:space="0" w:color="auto"/>
            </w:tcBorders>
          </w:tcPr>
          <w:p w14:paraId="40FBE7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084" w:type="dxa"/>
            <w:tcBorders>
              <w:bottom w:val="single" w:sz="12" w:space="0" w:color="auto"/>
            </w:tcBorders>
          </w:tcPr>
          <w:p w14:paraId="1AE52C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1277</w:t>
            </w:r>
          </w:p>
        </w:tc>
        <w:tc>
          <w:tcPr>
            <w:tcW w:w="1084" w:type="dxa"/>
            <w:tcBorders>
              <w:bottom w:val="single" w:sz="12" w:space="0" w:color="auto"/>
            </w:tcBorders>
          </w:tcPr>
          <w:p w14:paraId="64F16E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977690</w:t>
            </w:r>
          </w:p>
        </w:tc>
        <w:tc>
          <w:tcPr>
            <w:tcW w:w="1084" w:type="dxa"/>
            <w:tcBorders>
              <w:bottom w:val="single" w:sz="12" w:space="0" w:color="auto"/>
            </w:tcBorders>
          </w:tcPr>
          <w:p w14:paraId="1D18C9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800000 (1648,80).</w:t>
            </w:r>
          </w:p>
        </w:tc>
      </w:tr>
    </w:tbl>
    <w:p w14:paraId="52608D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260"/>
        <w:gridCol w:w="720"/>
        <w:gridCol w:w="623"/>
        <w:gridCol w:w="727"/>
        <w:gridCol w:w="720"/>
        <w:gridCol w:w="471"/>
        <w:gridCol w:w="471"/>
        <w:gridCol w:w="588"/>
        <w:gridCol w:w="460"/>
        <w:gridCol w:w="620"/>
        <w:gridCol w:w="527"/>
        <w:gridCol w:w="527"/>
        <w:gridCol w:w="414"/>
        <w:gridCol w:w="553"/>
        <w:gridCol w:w="382"/>
        <w:gridCol w:w="567"/>
        <w:gridCol w:w="722"/>
      </w:tblGrid>
      <w:tr w:rsidR="006F4095" w:rsidRPr="008127F8" w14:paraId="39FD22FA" w14:textId="77777777">
        <w:tc>
          <w:tcPr>
            <w:tcW w:w="378" w:type="dxa"/>
            <w:tcBorders>
              <w:top w:val="single" w:sz="12" w:space="0" w:color="auto"/>
            </w:tcBorders>
          </w:tcPr>
          <w:p w14:paraId="5D25C1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1260" w:type="dxa"/>
            <w:tcBorders>
              <w:top w:val="single" w:sz="12" w:space="0" w:color="auto"/>
            </w:tcBorders>
          </w:tcPr>
          <w:p w14:paraId="0C6F34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работ</w:t>
            </w:r>
          </w:p>
        </w:tc>
        <w:tc>
          <w:tcPr>
            <w:tcW w:w="2790" w:type="dxa"/>
            <w:gridSpan w:val="4"/>
            <w:tcBorders>
              <w:top w:val="single" w:sz="12" w:space="0" w:color="auto"/>
            </w:tcBorders>
          </w:tcPr>
          <w:p w14:paraId="21357C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Трудоемкость в нормочасах</w:t>
            </w:r>
          </w:p>
        </w:tc>
        <w:tc>
          <w:tcPr>
            <w:tcW w:w="2610" w:type="dxa"/>
            <w:gridSpan w:val="5"/>
            <w:tcBorders>
              <w:top w:val="single" w:sz="12" w:space="0" w:color="auto"/>
            </w:tcBorders>
          </w:tcPr>
          <w:p w14:paraId="1BF467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Зарплата основная</w:t>
            </w:r>
          </w:p>
        </w:tc>
        <w:tc>
          <w:tcPr>
            <w:tcW w:w="527" w:type="dxa"/>
            <w:tcBorders>
              <w:top w:val="single" w:sz="12" w:space="0" w:color="auto"/>
            </w:tcBorders>
          </w:tcPr>
          <w:p w14:paraId="0A28E3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 Зарплата и начисл.</w:t>
            </w:r>
          </w:p>
        </w:tc>
        <w:tc>
          <w:tcPr>
            <w:tcW w:w="527" w:type="dxa"/>
            <w:tcBorders>
              <w:top w:val="single" w:sz="12" w:space="0" w:color="auto"/>
            </w:tcBorders>
          </w:tcPr>
          <w:p w14:paraId="5DBCDC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 w:type="dxa"/>
            <w:tcBorders>
              <w:top w:val="single" w:sz="12" w:space="0" w:color="auto"/>
            </w:tcBorders>
          </w:tcPr>
          <w:p w14:paraId="315E60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3" w:type="dxa"/>
            <w:tcBorders>
              <w:top w:val="single" w:sz="12" w:space="0" w:color="auto"/>
            </w:tcBorders>
          </w:tcPr>
          <w:p w14:paraId="0C97E0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w:t>
            </w:r>
          </w:p>
        </w:tc>
        <w:tc>
          <w:tcPr>
            <w:tcW w:w="382" w:type="dxa"/>
            <w:tcBorders>
              <w:top w:val="single" w:sz="12" w:space="0" w:color="auto"/>
            </w:tcBorders>
          </w:tcPr>
          <w:p w14:paraId="398BE8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Спецкомандировки</w:t>
            </w:r>
          </w:p>
        </w:tc>
        <w:tc>
          <w:tcPr>
            <w:tcW w:w="567" w:type="dxa"/>
            <w:tcBorders>
              <w:top w:val="single" w:sz="12" w:space="0" w:color="auto"/>
            </w:tcBorders>
          </w:tcPr>
          <w:p w14:paraId="475E00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Прочие денежные</w:t>
            </w:r>
          </w:p>
        </w:tc>
        <w:tc>
          <w:tcPr>
            <w:tcW w:w="718" w:type="dxa"/>
            <w:tcBorders>
              <w:top w:val="single" w:sz="12" w:space="0" w:color="auto"/>
            </w:tcBorders>
          </w:tcPr>
          <w:p w14:paraId="7C3936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расходов</w:t>
            </w:r>
          </w:p>
        </w:tc>
      </w:tr>
      <w:tr w:rsidR="006F4095" w:rsidRPr="008127F8" w14:paraId="67647D78" w14:textId="77777777">
        <w:tc>
          <w:tcPr>
            <w:tcW w:w="378" w:type="dxa"/>
          </w:tcPr>
          <w:p w14:paraId="3F3394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38D40D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10E0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 Рабочих</w:t>
            </w:r>
          </w:p>
        </w:tc>
        <w:tc>
          <w:tcPr>
            <w:tcW w:w="623" w:type="dxa"/>
          </w:tcPr>
          <w:p w14:paraId="3491DC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Вспомогат. рабочих</w:t>
            </w:r>
          </w:p>
        </w:tc>
        <w:tc>
          <w:tcPr>
            <w:tcW w:w="727" w:type="dxa"/>
          </w:tcPr>
          <w:p w14:paraId="5AD39C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w:t>
            </w:r>
          </w:p>
        </w:tc>
        <w:tc>
          <w:tcPr>
            <w:tcW w:w="720" w:type="dxa"/>
          </w:tcPr>
          <w:p w14:paraId="0325B3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w:t>
            </w:r>
          </w:p>
        </w:tc>
        <w:tc>
          <w:tcPr>
            <w:tcW w:w="471" w:type="dxa"/>
          </w:tcPr>
          <w:p w14:paraId="5856D5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 Рабочих</w:t>
            </w:r>
          </w:p>
        </w:tc>
        <w:tc>
          <w:tcPr>
            <w:tcW w:w="471" w:type="dxa"/>
          </w:tcPr>
          <w:p w14:paraId="163763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Вспомогат. рабочих</w:t>
            </w:r>
          </w:p>
        </w:tc>
        <w:tc>
          <w:tcPr>
            <w:tcW w:w="588" w:type="dxa"/>
          </w:tcPr>
          <w:p w14:paraId="65DF13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w:t>
            </w:r>
          </w:p>
        </w:tc>
        <w:tc>
          <w:tcPr>
            <w:tcW w:w="460" w:type="dxa"/>
          </w:tcPr>
          <w:p w14:paraId="39FE0C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w:t>
            </w:r>
          </w:p>
        </w:tc>
        <w:tc>
          <w:tcPr>
            <w:tcW w:w="620" w:type="dxa"/>
          </w:tcPr>
          <w:p w14:paraId="623CC7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527" w:type="dxa"/>
          </w:tcPr>
          <w:p w14:paraId="50C8A1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7" w:type="dxa"/>
          </w:tcPr>
          <w:p w14:paraId="3BD9B9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Цеховые</w:t>
            </w:r>
          </w:p>
        </w:tc>
        <w:tc>
          <w:tcPr>
            <w:tcW w:w="414" w:type="dxa"/>
          </w:tcPr>
          <w:p w14:paraId="2AADD6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Общезаводские</w:t>
            </w:r>
          </w:p>
        </w:tc>
        <w:tc>
          <w:tcPr>
            <w:tcW w:w="553" w:type="dxa"/>
          </w:tcPr>
          <w:p w14:paraId="69FAF6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 w:type="dxa"/>
          </w:tcPr>
          <w:p w14:paraId="5BCEF3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6DAE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63DB19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BF9E38" w14:textId="77777777">
        <w:tc>
          <w:tcPr>
            <w:tcW w:w="378" w:type="dxa"/>
          </w:tcPr>
          <w:p w14:paraId="152E60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60" w:type="dxa"/>
          </w:tcPr>
          <w:p w14:paraId="2F483E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Конструкторские работы</w:t>
            </w:r>
          </w:p>
        </w:tc>
        <w:tc>
          <w:tcPr>
            <w:tcW w:w="720" w:type="dxa"/>
          </w:tcPr>
          <w:p w14:paraId="0192CA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777849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727" w:type="dxa"/>
          </w:tcPr>
          <w:p w14:paraId="5C96EE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42850</w:t>
            </w:r>
          </w:p>
        </w:tc>
        <w:tc>
          <w:tcPr>
            <w:tcW w:w="720" w:type="dxa"/>
          </w:tcPr>
          <w:p w14:paraId="25378A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19700</w:t>
            </w:r>
          </w:p>
        </w:tc>
        <w:tc>
          <w:tcPr>
            <w:tcW w:w="471" w:type="dxa"/>
          </w:tcPr>
          <w:p w14:paraId="5EC324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7F4C63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588" w:type="dxa"/>
          </w:tcPr>
          <w:p w14:paraId="30862A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w:t>
            </w:r>
          </w:p>
        </w:tc>
        <w:tc>
          <w:tcPr>
            <w:tcW w:w="460" w:type="dxa"/>
          </w:tcPr>
          <w:p w14:paraId="261F89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w:t>
            </w:r>
          </w:p>
        </w:tc>
        <w:tc>
          <w:tcPr>
            <w:tcW w:w="620" w:type="dxa"/>
          </w:tcPr>
          <w:p w14:paraId="22FA74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w:t>
            </w:r>
          </w:p>
        </w:tc>
        <w:tc>
          <w:tcPr>
            <w:tcW w:w="527" w:type="dxa"/>
          </w:tcPr>
          <w:p w14:paraId="7D5170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527" w:type="dxa"/>
          </w:tcPr>
          <w:p w14:paraId="3844CF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42EAC2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43230A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382" w:type="dxa"/>
          </w:tcPr>
          <w:p w14:paraId="324CDC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67" w:type="dxa"/>
          </w:tcPr>
          <w:p w14:paraId="49A449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3EB5E9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7887C8F5" w14:textId="77777777">
        <w:tc>
          <w:tcPr>
            <w:tcW w:w="378" w:type="dxa"/>
          </w:tcPr>
          <w:p w14:paraId="4925A4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60" w:type="dxa"/>
          </w:tcPr>
          <w:p w14:paraId="4429AF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технологического процесса и корректирование тех</w:t>
            </w:r>
            <w:r w:rsidRPr="008127F8">
              <w:rPr>
                <w:rFonts w:ascii="Times New Roman" w:hAnsi="Times New Roman"/>
                <w:color w:val="000000" w:themeColor="text1"/>
                <w:sz w:val="16"/>
                <w:szCs w:val="16"/>
              </w:rPr>
              <w:softHyphen/>
              <w:t>нической документации</w:t>
            </w:r>
          </w:p>
        </w:tc>
        <w:tc>
          <w:tcPr>
            <w:tcW w:w="720" w:type="dxa"/>
          </w:tcPr>
          <w:p w14:paraId="0E50A4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46B509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2A434E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78000</w:t>
            </w:r>
          </w:p>
        </w:tc>
        <w:tc>
          <w:tcPr>
            <w:tcW w:w="720" w:type="dxa"/>
          </w:tcPr>
          <w:p w14:paraId="731F09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12000</w:t>
            </w:r>
          </w:p>
        </w:tc>
        <w:tc>
          <w:tcPr>
            <w:tcW w:w="471" w:type="dxa"/>
          </w:tcPr>
          <w:p w14:paraId="08CDC1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588F33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08C5F0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w:t>
            </w:r>
          </w:p>
        </w:tc>
        <w:tc>
          <w:tcPr>
            <w:tcW w:w="460" w:type="dxa"/>
          </w:tcPr>
          <w:p w14:paraId="2CAD9C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620" w:type="dxa"/>
          </w:tcPr>
          <w:p w14:paraId="1B54A5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497</w:t>
            </w:r>
          </w:p>
        </w:tc>
        <w:tc>
          <w:tcPr>
            <w:tcW w:w="527" w:type="dxa"/>
          </w:tcPr>
          <w:p w14:paraId="19585A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527" w:type="dxa"/>
          </w:tcPr>
          <w:p w14:paraId="6D9183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027C18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6DD39C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382" w:type="dxa"/>
          </w:tcPr>
          <w:p w14:paraId="6A25B5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67" w:type="dxa"/>
          </w:tcPr>
          <w:p w14:paraId="43AD28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64ED23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7C44205F" w14:textId="77777777">
        <w:tc>
          <w:tcPr>
            <w:tcW w:w="378" w:type="dxa"/>
          </w:tcPr>
          <w:p w14:paraId="0C3550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260" w:type="dxa"/>
          </w:tcPr>
          <w:p w14:paraId="744AC0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нормативов по труду</w:t>
            </w:r>
          </w:p>
        </w:tc>
        <w:tc>
          <w:tcPr>
            <w:tcW w:w="720" w:type="dxa"/>
          </w:tcPr>
          <w:p w14:paraId="72BB76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1CC4E6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48D053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13400</w:t>
            </w:r>
          </w:p>
        </w:tc>
        <w:tc>
          <w:tcPr>
            <w:tcW w:w="720" w:type="dxa"/>
          </w:tcPr>
          <w:p w14:paraId="7B2EAA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471" w:type="dxa"/>
          </w:tcPr>
          <w:p w14:paraId="48580F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755237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6E2360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460" w:type="dxa"/>
          </w:tcPr>
          <w:p w14:paraId="5E4752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20" w:type="dxa"/>
          </w:tcPr>
          <w:p w14:paraId="71277C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527" w:type="dxa"/>
          </w:tcPr>
          <w:p w14:paraId="12E429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27" w:type="dxa"/>
          </w:tcPr>
          <w:p w14:paraId="5613B3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4CE279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2748E9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382" w:type="dxa"/>
          </w:tcPr>
          <w:p w14:paraId="3321F2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386174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0DBBE4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r>
      <w:tr w:rsidR="006F4095" w:rsidRPr="008127F8" w14:paraId="4371CEA4" w14:textId="77777777">
        <w:tc>
          <w:tcPr>
            <w:tcW w:w="378" w:type="dxa"/>
          </w:tcPr>
          <w:p w14:paraId="5C9ACF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60" w:type="dxa"/>
          </w:tcPr>
          <w:p w14:paraId="3A0FA1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нормативных кальку</w:t>
            </w:r>
            <w:r w:rsidRPr="008127F8">
              <w:rPr>
                <w:rFonts w:ascii="Times New Roman" w:hAnsi="Times New Roman"/>
                <w:color w:val="000000" w:themeColor="text1"/>
                <w:sz w:val="16"/>
                <w:szCs w:val="16"/>
              </w:rPr>
              <w:softHyphen/>
              <w:t>ляций и ценника на материалы</w:t>
            </w:r>
          </w:p>
        </w:tc>
        <w:tc>
          <w:tcPr>
            <w:tcW w:w="720" w:type="dxa"/>
          </w:tcPr>
          <w:p w14:paraId="04ABE9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521B6E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01798A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w:t>
            </w:r>
          </w:p>
        </w:tc>
        <w:tc>
          <w:tcPr>
            <w:tcW w:w="720" w:type="dxa"/>
          </w:tcPr>
          <w:p w14:paraId="2EB1E6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9000</w:t>
            </w:r>
          </w:p>
        </w:tc>
        <w:tc>
          <w:tcPr>
            <w:tcW w:w="471" w:type="dxa"/>
          </w:tcPr>
          <w:p w14:paraId="79D7EA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6B4AE3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330D89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460" w:type="dxa"/>
          </w:tcPr>
          <w:p w14:paraId="297297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620" w:type="dxa"/>
          </w:tcPr>
          <w:p w14:paraId="2C18E0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527" w:type="dxa"/>
          </w:tcPr>
          <w:p w14:paraId="516E48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27" w:type="dxa"/>
          </w:tcPr>
          <w:p w14:paraId="0EDA39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64D237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6F976E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382" w:type="dxa"/>
          </w:tcPr>
          <w:p w14:paraId="1F79F0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4148B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722" w:type="dxa"/>
          </w:tcPr>
          <w:p w14:paraId="4330D5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w:t>
            </w:r>
          </w:p>
        </w:tc>
      </w:tr>
      <w:tr w:rsidR="006F4095" w:rsidRPr="008127F8" w14:paraId="3E027B85" w14:textId="77777777">
        <w:tc>
          <w:tcPr>
            <w:tcW w:w="378" w:type="dxa"/>
          </w:tcPr>
          <w:p w14:paraId="001153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260" w:type="dxa"/>
          </w:tcPr>
          <w:p w14:paraId="33CF74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Конструирование специнструмен</w:t>
            </w:r>
            <w:r w:rsidRPr="008127F8">
              <w:rPr>
                <w:rFonts w:ascii="Times New Roman" w:hAnsi="Times New Roman"/>
                <w:color w:val="000000" w:themeColor="text1"/>
                <w:sz w:val="16"/>
                <w:szCs w:val="16"/>
              </w:rPr>
              <w:softHyphen/>
              <w:t>та и приспособлений</w:t>
            </w:r>
          </w:p>
        </w:tc>
        <w:tc>
          <w:tcPr>
            <w:tcW w:w="720" w:type="dxa"/>
          </w:tcPr>
          <w:p w14:paraId="38C6E4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41416F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06517B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52500</w:t>
            </w:r>
          </w:p>
        </w:tc>
        <w:tc>
          <w:tcPr>
            <w:tcW w:w="720" w:type="dxa"/>
          </w:tcPr>
          <w:p w14:paraId="7EEAFD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30000</w:t>
            </w:r>
          </w:p>
        </w:tc>
        <w:tc>
          <w:tcPr>
            <w:tcW w:w="471" w:type="dxa"/>
          </w:tcPr>
          <w:p w14:paraId="180B74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0A8A1F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6FE165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371</w:t>
            </w:r>
          </w:p>
        </w:tc>
        <w:tc>
          <w:tcPr>
            <w:tcW w:w="460" w:type="dxa"/>
          </w:tcPr>
          <w:p w14:paraId="34ECE9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620" w:type="dxa"/>
          </w:tcPr>
          <w:p w14:paraId="7FB749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w:t>
            </w:r>
          </w:p>
        </w:tc>
        <w:tc>
          <w:tcPr>
            <w:tcW w:w="527" w:type="dxa"/>
          </w:tcPr>
          <w:p w14:paraId="357E85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w:t>
            </w:r>
          </w:p>
        </w:tc>
        <w:tc>
          <w:tcPr>
            <w:tcW w:w="527" w:type="dxa"/>
          </w:tcPr>
          <w:p w14:paraId="51C172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055CCF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549601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382" w:type="dxa"/>
          </w:tcPr>
          <w:p w14:paraId="19CCCC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67" w:type="dxa"/>
          </w:tcPr>
          <w:p w14:paraId="60CC6B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1D4368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r>
      <w:tr w:rsidR="006F4095" w:rsidRPr="008127F8" w14:paraId="0BF35ADC" w14:textId="77777777">
        <w:tc>
          <w:tcPr>
            <w:tcW w:w="378" w:type="dxa"/>
          </w:tcPr>
          <w:p w14:paraId="004980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260" w:type="dxa"/>
          </w:tcPr>
          <w:p w14:paraId="1EC8DB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технологического процесса по изготовлению спец-инструмента и приспособлений и </w:t>
            </w:r>
            <w:proofErr w:type="gramStart"/>
            <w:r w:rsidRPr="008127F8">
              <w:rPr>
                <w:rFonts w:ascii="Times New Roman" w:hAnsi="Times New Roman"/>
                <w:color w:val="000000" w:themeColor="text1"/>
                <w:sz w:val="16"/>
                <w:szCs w:val="16"/>
              </w:rPr>
              <w:t>пр.работы</w:t>
            </w:r>
            <w:proofErr w:type="gramEnd"/>
            <w:r w:rsidRPr="008127F8">
              <w:rPr>
                <w:rFonts w:ascii="Times New Roman" w:hAnsi="Times New Roman"/>
                <w:color w:val="000000" w:themeColor="text1"/>
                <w:sz w:val="16"/>
                <w:szCs w:val="16"/>
              </w:rPr>
              <w:t xml:space="preserve"> по спецоснастке</w:t>
            </w:r>
          </w:p>
        </w:tc>
        <w:tc>
          <w:tcPr>
            <w:tcW w:w="720" w:type="dxa"/>
          </w:tcPr>
          <w:p w14:paraId="1A9BB0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61BDC6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486D61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w:t>
            </w:r>
          </w:p>
        </w:tc>
        <w:tc>
          <w:tcPr>
            <w:tcW w:w="720" w:type="dxa"/>
          </w:tcPr>
          <w:p w14:paraId="2735AF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5350</w:t>
            </w:r>
          </w:p>
        </w:tc>
        <w:tc>
          <w:tcPr>
            <w:tcW w:w="471" w:type="dxa"/>
          </w:tcPr>
          <w:p w14:paraId="51A324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7AC68E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2E4B40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460" w:type="dxa"/>
          </w:tcPr>
          <w:p w14:paraId="17E906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620" w:type="dxa"/>
          </w:tcPr>
          <w:p w14:paraId="61A6E5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527" w:type="dxa"/>
          </w:tcPr>
          <w:p w14:paraId="5AB48C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27" w:type="dxa"/>
          </w:tcPr>
          <w:p w14:paraId="5B86BC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5B0584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7DC08F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382" w:type="dxa"/>
          </w:tcPr>
          <w:p w14:paraId="5F4A74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6260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4725B0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r>
      <w:tr w:rsidR="006F4095" w:rsidRPr="008127F8" w14:paraId="0E2F18FD" w14:textId="77777777">
        <w:tc>
          <w:tcPr>
            <w:tcW w:w="378" w:type="dxa"/>
          </w:tcPr>
          <w:p w14:paraId="11F155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260" w:type="dxa"/>
          </w:tcPr>
          <w:p w14:paraId="726B11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нормализации</w:t>
            </w:r>
          </w:p>
        </w:tc>
        <w:tc>
          <w:tcPr>
            <w:tcW w:w="720" w:type="dxa"/>
          </w:tcPr>
          <w:p w14:paraId="1083C1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29A0D9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1ABD43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17300</w:t>
            </w:r>
          </w:p>
        </w:tc>
        <w:tc>
          <w:tcPr>
            <w:tcW w:w="720" w:type="dxa"/>
          </w:tcPr>
          <w:p w14:paraId="69C8E3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7500</w:t>
            </w:r>
          </w:p>
        </w:tc>
        <w:tc>
          <w:tcPr>
            <w:tcW w:w="471" w:type="dxa"/>
          </w:tcPr>
          <w:p w14:paraId="5AC336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0E2163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320050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460" w:type="dxa"/>
          </w:tcPr>
          <w:p w14:paraId="5128A1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620" w:type="dxa"/>
          </w:tcPr>
          <w:p w14:paraId="1ECAEA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527" w:type="dxa"/>
          </w:tcPr>
          <w:p w14:paraId="6980EA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527" w:type="dxa"/>
          </w:tcPr>
          <w:p w14:paraId="11BBC5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6B8698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258E5C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382" w:type="dxa"/>
          </w:tcPr>
          <w:p w14:paraId="616C60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15BF6C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6BBB5E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r>
      <w:tr w:rsidR="006F4095" w:rsidRPr="008127F8" w14:paraId="51BD2C63" w14:textId="77777777">
        <w:tc>
          <w:tcPr>
            <w:tcW w:w="378" w:type="dxa"/>
          </w:tcPr>
          <w:p w14:paraId="3FDE53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260" w:type="dxa"/>
          </w:tcPr>
          <w:p w14:paraId="4F398B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Испытание материалов и полу</w:t>
            </w:r>
            <w:r w:rsidRPr="008127F8">
              <w:rPr>
                <w:rFonts w:ascii="Times New Roman" w:hAnsi="Times New Roman"/>
                <w:color w:val="000000" w:themeColor="text1"/>
                <w:sz w:val="16"/>
                <w:szCs w:val="16"/>
              </w:rPr>
              <w:softHyphen/>
              <w:t>фабрикатов</w:t>
            </w:r>
          </w:p>
        </w:tc>
        <w:tc>
          <w:tcPr>
            <w:tcW w:w="720" w:type="dxa"/>
          </w:tcPr>
          <w:p w14:paraId="6DB2C1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7DABB9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2800</w:t>
            </w:r>
          </w:p>
        </w:tc>
        <w:tc>
          <w:tcPr>
            <w:tcW w:w="727" w:type="dxa"/>
          </w:tcPr>
          <w:p w14:paraId="3FFEA8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4300</w:t>
            </w:r>
          </w:p>
        </w:tc>
        <w:tc>
          <w:tcPr>
            <w:tcW w:w="720" w:type="dxa"/>
          </w:tcPr>
          <w:p w14:paraId="27996F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4469AB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24D4EF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588" w:type="dxa"/>
          </w:tcPr>
          <w:p w14:paraId="17EBC4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460" w:type="dxa"/>
          </w:tcPr>
          <w:p w14:paraId="4AE779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0" w:type="dxa"/>
          </w:tcPr>
          <w:p w14:paraId="2D3F34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527" w:type="dxa"/>
          </w:tcPr>
          <w:p w14:paraId="6CC274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27" w:type="dxa"/>
          </w:tcPr>
          <w:p w14:paraId="7AF0A3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7CABA0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5F3F27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382" w:type="dxa"/>
          </w:tcPr>
          <w:p w14:paraId="14E589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67" w:type="dxa"/>
          </w:tcPr>
          <w:p w14:paraId="44CD8B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1C6E62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r>
      <w:tr w:rsidR="006F4095" w:rsidRPr="008127F8" w14:paraId="667A039F" w14:textId="77777777">
        <w:tc>
          <w:tcPr>
            <w:tcW w:w="378" w:type="dxa"/>
          </w:tcPr>
          <w:p w14:paraId="615CAF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260" w:type="dxa"/>
          </w:tcPr>
          <w:p w14:paraId="3BCD48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постановке учета и организации управления</w:t>
            </w:r>
          </w:p>
        </w:tc>
        <w:tc>
          <w:tcPr>
            <w:tcW w:w="720" w:type="dxa"/>
          </w:tcPr>
          <w:p w14:paraId="4D6E09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117FD1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6F8833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720" w:type="dxa"/>
          </w:tcPr>
          <w:p w14:paraId="571BE1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471" w:type="dxa"/>
          </w:tcPr>
          <w:p w14:paraId="63B437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13C3B7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565222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460" w:type="dxa"/>
          </w:tcPr>
          <w:p w14:paraId="27F8B1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620" w:type="dxa"/>
          </w:tcPr>
          <w:p w14:paraId="0ABA0F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527" w:type="dxa"/>
          </w:tcPr>
          <w:p w14:paraId="1EED1C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27" w:type="dxa"/>
          </w:tcPr>
          <w:p w14:paraId="0968B5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1107CD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737338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382" w:type="dxa"/>
          </w:tcPr>
          <w:p w14:paraId="264718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10843E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722" w:type="dxa"/>
          </w:tcPr>
          <w:p w14:paraId="3C6AC0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r>
      <w:tr w:rsidR="006F4095" w:rsidRPr="008127F8" w14:paraId="74946DEF" w14:textId="77777777">
        <w:tc>
          <w:tcPr>
            <w:tcW w:w="378" w:type="dxa"/>
          </w:tcPr>
          <w:p w14:paraId="71E9CB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60" w:type="dxa"/>
          </w:tcPr>
          <w:p w14:paraId="31336D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Перепланировка и перестановка обо</w:t>
            </w:r>
            <w:r w:rsidRPr="008127F8">
              <w:rPr>
                <w:rFonts w:ascii="Times New Roman" w:hAnsi="Times New Roman"/>
                <w:smallCaps/>
                <w:color w:val="000000" w:themeColor="text1"/>
                <w:sz w:val="16"/>
                <w:szCs w:val="16"/>
              </w:rPr>
              <w:t xml:space="preserve">руд </w:t>
            </w:r>
            <w:r w:rsidRPr="008127F8">
              <w:rPr>
                <w:rFonts w:ascii="Times New Roman" w:hAnsi="Times New Roman"/>
                <w:color w:val="000000" w:themeColor="text1"/>
                <w:sz w:val="16"/>
                <w:szCs w:val="16"/>
              </w:rPr>
              <w:t>ова ни я нека питал ьно го порядка</w:t>
            </w:r>
          </w:p>
        </w:tc>
        <w:tc>
          <w:tcPr>
            <w:tcW w:w="720" w:type="dxa"/>
          </w:tcPr>
          <w:p w14:paraId="1D0013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270065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55000</w:t>
            </w:r>
          </w:p>
        </w:tc>
        <w:tc>
          <w:tcPr>
            <w:tcW w:w="727" w:type="dxa"/>
          </w:tcPr>
          <w:p w14:paraId="553C6D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w:t>
            </w:r>
          </w:p>
        </w:tc>
        <w:tc>
          <w:tcPr>
            <w:tcW w:w="720" w:type="dxa"/>
          </w:tcPr>
          <w:p w14:paraId="0A46A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549101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59E0E8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w:t>
            </w:r>
          </w:p>
        </w:tc>
        <w:tc>
          <w:tcPr>
            <w:tcW w:w="588" w:type="dxa"/>
          </w:tcPr>
          <w:p w14:paraId="244F94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460" w:type="dxa"/>
          </w:tcPr>
          <w:p w14:paraId="1C05B9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0" w:type="dxa"/>
          </w:tcPr>
          <w:p w14:paraId="229757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w:t>
            </w:r>
          </w:p>
        </w:tc>
        <w:tc>
          <w:tcPr>
            <w:tcW w:w="527" w:type="dxa"/>
          </w:tcPr>
          <w:p w14:paraId="22FFA2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527" w:type="dxa"/>
          </w:tcPr>
          <w:p w14:paraId="440D54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414" w:type="dxa"/>
          </w:tcPr>
          <w:p w14:paraId="4E7CC2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232E4A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382" w:type="dxa"/>
          </w:tcPr>
          <w:p w14:paraId="41E993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38CBC0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7BAE9B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r>
      <w:tr w:rsidR="006F4095" w:rsidRPr="008127F8" w14:paraId="4162846F" w14:textId="77777777">
        <w:tc>
          <w:tcPr>
            <w:tcW w:w="378" w:type="dxa"/>
          </w:tcPr>
          <w:p w14:paraId="7D4A67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260" w:type="dxa"/>
          </w:tcPr>
          <w:p w14:paraId="2A81E3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Подготовка кадров, </w:t>
            </w:r>
            <w:r w:rsidRPr="008127F8">
              <w:rPr>
                <w:rFonts w:ascii="Times New Roman" w:hAnsi="Times New Roman"/>
                <w:color w:val="000000" w:themeColor="text1"/>
                <w:sz w:val="16"/>
                <w:szCs w:val="16"/>
              </w:rPr>
              <w:lastRenderedPageBreak/>
              <w:t>связанная с постановкой нового производ</w:t>
            </w:r>
            <w:r w:rsidRPr="008127F8">
              <w:rPr>
                <w:rFonts w:ascii="Times New Roman" w:hAnsi="Times New Roman"/>
                <w:color w:val="000000" w:themeColor="text1"/>
                <w:sz w:val="16"/>
                <w:szCs w:val="16"/>
              </w:rPr>
              <w:softHyphen/>
              <w:t>ства</w:t>
            </w:r>
          </w:p>
        </w:tc>
        <w:tc>
          <w:tcPr>
            <w:tcW w:w="720" w:type="dxa"/>
          </w:tcPr>
          <w:p w14:paraId="541142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150000</w:t>
            </w:r>
          </w:p>
        </w:tc>
        <w:tc>
          <w:tcPr>
            <w:tcW w:w="623" w:type="dxa"/>
          </w:tcPr>
          <w:p w14:paraId="352C49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7F18DB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6500</w:t>
            </w:r>
          </w:p>
        </w:tc>
        <w:tc>
          <w:tcPr>
            <w:tcW w:w="720" w:type="dxa"/>
          </w:tcPr>
          <w:p w14:paraId="779D17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60A228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471" w:type="dxa"/>
          </w:tcPr>
          <w:p w14:paraId="480722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54BA85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460" w:type="dxa"/>
          </w:tcPr>
          <w:p w14:paraId="129DE1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0" w:type="dxa"/>
          </w:tcPr>
          <w:p w14:paraId="4DDCB3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527" w:type="dxa"/>
          </w:tcPr>
          <w:p w14:paraId="26CC53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527" w:type="dxa"/>
          </w:tcPr>
          <w:p w14:paraId="07A5A4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7897D9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74844D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382" w:type="dxa"/>
          </w:tcPr>
          <w:p w14:paraId="12A2DB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0CBA59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722" w:type="dxa"/>
          </w:tcPr>
          <w:p w14:paraId="63FB79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r>
      <w:tr w:rsidR="006F4095" w:rsidRPr="008127F8" w14:paraId="0B0BE3DE" w14:textId="77777777">
        <w:tc>
          <w:tcPr>
            <w:tcW w:w="378" w:type="dxa"/>
          </w:tcPr>
          <w:p w14:paraId="7B7F7E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260" w:type="dxa"/>
          </w:tcPr>
          <w:p w14:paraId="653513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Убытки по деталям Су-2, поте</w:t>
            </w:r>
            <w:r w:rsidRPr="008127F8">
              <w:rPr>
                <w:rFonts w:ascii="Times New Roman" w:hAnsi="Times New Roman"/>
                <w:color w:val="000000" w:themeColor="text1"/>
                <w:sz w:val="16"/>
                <w:szCs w:val="16"/>
              </w:rPr>
              <w:softHyphen/>
              <w:t>рявшим производственное зна</w:t>
            </w:r>
            <w:r w:rsidRPr="008127F8">
              <w:rPr>
                <w:rFonts w:ascii="Times New Roman" w:hAnsi="Times New Roman"/>
                <w:color w:val="000000" w:themeColor="text1"/>
                <w:sz w:val="16"/>
                <w:szCs w:val="16"/>
              </w:rPr>
              <w:softHyphen/>
              <w:t xml:space="preserve">чение </w:t>
            </w:r>
          </w:p>
        </w:tc>
        <w:tc>
          <w:tcPr>
            <w:tcW w:w="720" w:type="dxa"/>
          </w:tcPr>
          <w:p w14:paraId="40381C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43A5D4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4BCBEC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Pr>
          <w:p w14:paraId="693F70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41D1D2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2977AB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6EFF55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60" w:type="dxa"/>
          </w:tcPr>
          <w:p w14:paraId="54730F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0" w:type="dxa"/>
          </w:tcPr>
          <w:p w14:paraId="5D308E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27" w:type="dxa"/>
          </w:tcPr>
          <w:p w14:paraId="2AC727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27" w:type="dxa"/>
          </w:tcPr>
          <w:p w14:paraId="353F4C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585CDE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7DD8AD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3600</w:t>
            </w:r>
          </w:p>
        </w:tc>
        <w:tc>
          <w:tcPr>
            <w:tcW w:w="382" w:type="dxa"/>
          </w:tcPr>
          <w:p w14:paraId="7C74C4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6A787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040D3D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3600</w:t>
            </w:r>
          </w:p>
        </w:tc>
      </w:tr>
      <w:tr w:rsidR="006F4095" w:rsidRPr="008127F8" w14:paraId="3157EAB0" w14:textId="77777777">
        <w:tc>
          <w:tcPr>
            <w:tcW w:w="378" w:type="dxa"/>
          </w:tcPr>
          <w:p w14:paraId="62316A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260" w:type="dxa"/>
          </w:tcPr>
          <w:p w14:paraId="1CC338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Техническая помощь</w:t>
            </w:r>
          </w:p>
        </w:tc>
        <w:tc>
          <w:tcPr>
            <w:tcW w:w="720" w:type="dxa"/>
          </w:tcPr>
          <w:p w14:paraId="086820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1DA8B9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6CEE61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Pr>
          <w:p w14:paraId="101E15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6D3758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7F3E96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1F1169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60" w:type="dxa"/>
          </w:tcPr>
          <w:p w14:paraId="79F79F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0" w:type="dxa"/>
          </w:tcPr>
          <w:p w14:paraId="2BB800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27" w:type="dxa"/>
          </w:tcPr>
          <w:p w14:paraId="4CECD6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27" w:type="dxa"/>
          </w:tcPr>
          <w:p w14:paraId="34ED15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06679A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4F8F91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82" w:type="dxa"/>
          </w:tcPr>
          <w:p w14:paraId="51DCA5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18C154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w:t>
            </w:r>
          </w:p>
        </w:tc>
        <w:tc>
          <w:tcPr>
            <w:tcW w:w="722" w:type="dxa"/>
          </w:tcPr>
          <w:p w14:paraId="4BC075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w:t>
            </w:r>
          </w:p>
        </w:tc>
      </w:tr>
      <w:tr w:rsidR="006F4095" w:rsidRPr="008127F8" w14:paraId="371B090E" w14:textId="77777777">
        <w:tc>
          <w:tcPr>
            <w:tcW w:w="378" w:type="dxa"/>
          </w:tcPr>
          <w:p w14:paraId="14D32F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260" w:type="dxa"/>
          </w:tcPr>
          <w:p w14:paraId="04DD27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Премирование</w:t>
            </w:r>
          </w:p>
        </w:tc>
        <w:tc>
          <w:tcPr>
            <w:tcW w:w="720" w:type="dxa"/>
          </w:tcPr>
          <w:p w14:paraId="334738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23" w:type="dxa"/>
          </w:tcPr>
          <w:p w14:paraId="4E53B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7" w:type="dxa"/>
          </w:tcPr>
          <w:p w14:paraId="7DAE92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Pr>
          <w:p w14:paraId="2D289F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0A7076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71" w:type="dxa"/>
          </w:tcPr>
          <w:p w14:paraId="177029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8" w:type="dxa"/>
          </w:tcPr>
          <w:p w14:paraId="44FF78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779</w:t>
            </w:r>
          </w:p>
        </w:tc>
        <w:tc>
          <w:tcPr>
            <w:tcW w:w="460" w:type="dxa"/>
          </w:tcPr>
          <w:p w14:paraId="17C681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20" w:type="dxa"/>
          </w:tcPr>
          <w:p w14:paraId="3556C2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527" w:type="dxa"/>
          </w:tcPr>
          <w:p w14:paraId="5C657F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527" w:type="dxa"/>
          </w:tcPr>
          <w:p w14:paraId="3CCC37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14" w:type="dxa"/>
          </w:tcPr>
          <w:p w14:paraId="016D15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Pr>
          <w:p w14:paraId="50F122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82" w:type="dxa"/>
          </w:tcPr>
          <w:p w14:paraId="4DBA5E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01BF24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2" w:type="dxa"/>
          </w:tcPr>
          <w:p w14:paraId="1CDBCB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r>
      <w:tr w:rsidR="006F4095" w:rsidRPr="008127F8" w14:paraId="4E39E883" w14:textId="77777777">
        <w:tc>
          <w:tcPr>
            <w:tcW w:w="378" w:type="dxa"/>
            <w:tcBorders>
              <w:bottom w:val="single" w:sz="12" w:space="0" w:color="auto"/>
            </w:tcBorders>
          </w:tcPr>
          <w:p w14:paraId="23372B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Borders>
              <w:bottom w:val="single" w:sz="12" w:space="0" w:color="auto"/>
            </w:tcBorders>
          </w:tcPr>
          <w:p w14:paraId="169A85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720" w:type="dxa"/>
            <w:tcBorders>
              <w:bottom w:val="single" w:sz="12" w:space="0" w:color="auto"/>
            </w:tcBorders>
          </w:tcPr>
          <w:p w14:paraId="4103D6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150000</w:t>
            </w:r>
          </w:p>
        </w:tc>
        <w:tc>
          <w:tcPr>
            <w:tcW w:w="623" w:type="dxa"/>
            <w:tcBorders>
              <w:bottom w:val="single" w:sz="12" w:space="0" w:color="auto"/>
            </w:tcBorders>
          </w:tcPr>
          <w:p w14:paraId="4B4B0A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62800</w:t>
            </w:r>
          </w:p>
        </w:tc>
        <w:tc>
          <w:tcPr>
            <w:tcW w:w="727" w:type="dxa"/>
            <w:tcBorders>
              <w:bottom w:val="single" w:sz="12" w:space="0" w:color="auto"/>
            </w:tcBorders>
          </w:tcPr>
          <w:p w14:paraId="18E1DF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242850</w:t>
            </w:r>
          </w:p>
        </w:tc>
        <w:tc>
          <w:tcPr>
            <w:tcW w:w="720" w:type="dxa"/>
            <w:tcBorders>
              <w:bottom w:val="single" w:sz="12" w:space="0" w:color="auto"/>
            </w:tcBorders>
          </w:tcPr>
          <w:p w14:paraId="2C52B3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94750</w:t>
            </w:r>
          </w:p>
        </w:tc>
        <w:tc>
          <w:tcPr>
            <w:tcW w:w="471" w:type="dxa"/>
            <w:tcBorders>
              <w:bottom w:val="single" w:sz="12" w:space="0" w:color="auto"/>
            </w:tcBorders>
          </w:tcPr>
          <w:p w14:paraId="7BBC35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471" w:type="dxa"/>
            <w:tcBorders>
              <w:bottom w:val="single" w:sz="12" w:space="0" w:color="auto"/>
            </w:tcBorders>
          </w:tcPr>
          <w:p w14:paraId="7E5E26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w:t>
            </w:r>
          </w:p>
        </w:tc>
        <w:tc>
          <w:tcPr>
            <w:tcW w:w="588" w:type="dxa"/>
            <w:tcBorders>
              <w:bottom w:val="single" w:sz="12" w:space="0" w:color="auto"/>
            </w:tcBorders>
          </w:tcPr>
          <w:p w14:paraId="7CED63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2230</w:t>
            </w:r>
          </w:p>
        </w:tc>
        <w:tc>
          <w:tcPr>
            <w:tcW w:w="460" w:type="dxa"/>
            <w:tcBorders>
              <w:bottom w:val="single" w:sz="12" w:space="0" w:color="auto"/>
            </w:tcBorders>
          </w:tcPr>
          <w:p w14:paraId="39FFA2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w:t>
            </w:r>
          </w:p>
        </w:tc>
        <w:tc>
          <w:tcPr>
            <w:tcW w:w="620" w:type="dxa"/>
            <w:tcBorders>
              <w:bottom w:val="single" w:sz="12" w:space="0" w:color="auto"/>
            </w:tcBorders>
          </w:tcPr>
          <w:p w14:paraId="1F1581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2960</w:t>
            </w:r>
          </w:p>
        </w:tc>
        <w:tc>
          <w:tcPr>
            <w:tcW w:w="527" w:type="dxa"/>
            <w:tcBorders>
              <w:bottom w:val="single" w:sz="12" w:space="0" w:color="auto"/>
            </w:tcBorders>
          </w:tcPr>
          <w:p w14:paraId="1724E5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385</w:t>
            </w:r>
          </w:p>
        </w:tc>
        <w:tc>
          <w:tcPr>
            <w:tcW w:w="527" w:type="dxa"/>
            <w:tcBorders>
              <w:bottom w:val="single" w:sz="12" w:space="0" w:color="auto"/>
            </w:tcBorders>
          </w:tcPr>
          <w:p w14:paraId="7D84C8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414" w:type="dxa"/>
            <w:tcBorders>
              <w:bottom w:val="single" w:sz="12" w:space="0" w:color="auto"/>
            </w:tcBorders>
          </w:tcPr>
          <w:p w14:paraId="6A0113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3" w:type="dxa"/>
            <w:tcBorders>
              <w:bottom w:val="single" w:sz="12" w:space="0" w:color="auto"/>
            </w:tcBorders>
          </w:tcPr>
          <w:p w14:paraId="465836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3785</w:t>
            </w:r>
          </w:p>
        </w:tc>
        <w:tc>
          <w:tcPr>
            <w:tcW w:w="382" w:type="dxa"/>
            <w:tcBorders>
              <w:bottom w:val="single" w:sz="12" w:space="0" w:color="auto"/>
            </w:tcBorders>
          </w:tcPr>
          <w:p w14:paraId="412740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567" w:type="dxa"/>
            <w:tcBorders>
              <w:bottom w:val="single" w:sz="12" w:space="0" w:color="auto"/>
            </w:tcBorders>
          </w:tcPr>
          <w:p w14:paraId="19D3C8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174</w:t>
            </w:r>
          </w:p>
        </w:tc>
        <w:tc>
          <w:tcPr>
            <w:tcW w:w="722" w:type="dxa"/>
            <w:tcBorders>
              <w:bottom w:val="single" w:sz="12" w:space="0" w:color="auto"/>
            </w:tcBorders>
          </w:tcPr>
          <w:p w14:paraId="6CC149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7487</w:t>
            </w:r>
          </w:p>
        </w:tc>
      </w:tr>
    </w:tbl>
    <w:p w14:paraId="1E99C0B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(1648,69)</w:t>
      </w:r>
    </w:p>
    <w:p w14:paraId="0B83A9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E2C2E" w14:textId="77777777" w:rsidR="00DA3CD5" w:rsidRPr="008A2E5A" w:rsidRDefault="00DA3CD5" w:rsidP="00DA3C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января 1942 года директор эвакуированного в Пермь харьковского завода № 135 предложил вместо невос</w:t>
      </w:r>
      <w:r w:rsidRPr="008A2E5A">
        <w:rPr>
          <w:rFonts w:ascii="Times New Roman" w:hAnsi="Times New Roman"/>
          <w:color w:val="0070C0"/>
          <w:sz w:val="16"/>
          <w:szCs w:val="16"/>
        </w:rPr>
        <w:softHyphen/>
        <w:t>требованного в войсках ближнего бомбардировщика Су-2 пе</w:t>
      </w:r>
      <w:r w:rsidRPr="008A2E5A">
        <w:rPr>
          <w:rFonts w:ascii="Times New Roman" w:hAnsi="Times New Roman"/>
          <w:color w:val="0070C0"/>
          <w:sz w:val="16"/>
          <w:szCs w:val="16"/>
        </w:rPr>
        <w:softHyphen/>
        <w:t>рейти на Ил-4, но вскоре завод был временно расформирован, а работники и оборудование распределены по другим предпри</w:t>
      </w:r>
      <w:r w:rsidRPr="008A2E5A">
        <w:rPr>
          <w:rFonts w:ascii="Times New Roman" w:hAnsi="Times New Roman"/>
          <w:color w:val="0070C0"/>
          <w:sz w:val="16"/>
          <w:szCs w:val="16"/>
        </w:rPr>
        <w:softHyphen/>
        <w:t>ятиям (24139).</w:t>
      </w:r>
    </w:p>
    <w:p w14:paraId="1AF1CBDC" w14:textId="77777777" w:rsidR="00DA3CD5" w:rsidRPr="008A2E5A" w:rsidRDefault="00DA3CD5" w:rsidP="00DA3CD5">
      <w:pPr>
        <w:spacing w:after="0" w:line="240" w:lineRule="auto"/>
        <w:jc w:val="both"/>
        <w:rPr>
          <w:rFonts w:ascii="Times New Roman" w:hAnsi="Times New Roman"/>
          <w:color w:val="0070C0"/>
          <w:sz w:val="16"/>
          <w:szCs w:val="16"/>
        </w:rPr>
      </w:pPr>
    </w:p>
    <w:p w14:paraId="550250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Нач. 10 ГУ ВВС Бибиков писал Дементьеву письмо N 373568:</w:t>
      </w:r>
    </w:p>
    <w:p w14:paraId="54CAB5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постановлению ГКО N 916сс от 19 ноября 1941 завод 135 обязан развернуть производство самолетов Ил-2 М-82 с ежедневным выпуском по одному самолету с 15 февраля, с 15 марта по два и по три с 15 апреля.</w:t>
      </w:r>
    </w:p>
    <w:p w14:paraId="7F9FD4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 же состояние подготовки и разворота производства...ставит явную угрозу срыва выпуска самолетов Ил-2 в установленные Правительством сроки.</w:t>
      </w:r>
    </w:p>
    <w:p w14:paraId="319D41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Полученных заводом 3 экз. чертежей недостаточно.</w:t>
      </w:r>
    </w:p>
    <w:p w14:paraId="78DB78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...Взятые заводом темпы по проектированию и изготовлению оснастки не соответствуют условиям военного времени и требуют немедленного ускорения.</w:t>
      </w:r>
    </w:p>
    <w:p w14:paraId="16AD95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...Неизвестно также, откуда и когда завод будет получать бронекорпуса.</w:t>
      </w:r>
    </w:p>
    <w:p w14:paraId="1C5DFF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Резолюция: по постановлению ГКО завод расформирован (1658,54).</w:t>
      </w:r>
    </w:p>
    <w:p w14:paraId="5D2BB0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BDB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года приказом НКАП за № 79сс во исполнение решения ГКО за № 1208сс от 24 января 1942 года завод 135 НКАП, эвакуированный из Харькова в Молотов был расформирован и часть оборудования с рабочей силой были переданы заводу № 23.</w:t>
      </w:r>
    </w:p>
    <w:p w14:paraId="77B713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456283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F5440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0E3557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2F5FE4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CDC1D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73674C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5CF711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D59C4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47D94E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25D704B4" w14:textId="77777777">
        <w:tc>
          <w:tcPr>
            <w:tcW w:w="817" w:type="dxa"/>
          </w:tcPr>
          <w:p w14:paraId="76B585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изделий</w:t>
            </w:r>
          </w:p>
        </w:tc>
        <w:tc>
          <w:tcPr>
            <w:tcW w:w="1348" w:type="dxa"/>
          </w:tcPr>
          <w:p w14:paraId="2CDFDF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 количество двигателей установлен. на самолете</w:t>
            </w:r>
          </w:p>
        </w:tc>
        <w:tc>
          <w:tcPr>
            <w:tcW w:w="920" w:type="dxa"/>
          </w:tcPr>
          <w:p w14:paraId="23850B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w:t>
            </w:r>
          </w:p>
        </w:tc>
        <w:tc>
          <w:tcPr>
            <w:tcW w:w="851" w:type="dxa"/>
          </w:tcPr>
          <w:p w14:paraId="4214E2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w:t>
            </w:r>
          </w:p>
        </w:tc>
        <w:tc>
          <w:tcPr>
            <w:tcW w:w="850" w:type="dxa"/>
          </w:tcPr>
          <w:p w14:paraId="364D39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w:t>
            </w:r>
          </w:p>
        </w:tc>
        <w:tc>
          <w:tcPr>
            <w:tcW w:w="851" w:type="dxa"/>
          </w:tcPr>
          <w:p w14:paraId="4B9351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1955 год</w:t>
            </w:r>
          </w:p>
        </w:tc>
        <w:tc>
          <w:tcPr>
            <w:tcW w:w="850" w:type="dxa"/>
          </w:tcPr>
          <w:p w14:paraId="6DAFBB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1956 год</w:t>
            </w:r>
          </w:p>
        </w:tc>
        <w:tc>
          <w:tcPr>
            <w:tcW w:w="851" w:type="dxa"/>
          </w:tcPr>
          <w:p w14:paraId="09C641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w:t>
            </w:r>
          </w:p>
        </w:tc>
        <w:tc>
          <w:tcPr>
            <w:tcW w:w="850" w:type="dxa"/>
          </w:tcPr>
          <w:p w14:paraId="15C446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1958 год</w:t>
            </w:r>
          </w:p>
        </w:tc>
      </w:tr>
      <w:tr w:rsidR="006F4095" w:rsidRPr="008127F8" w14:paraId="78166D1B" w14:textId="77777777">
        <w:tc>
          <w:tcPr>
            <w:tcW w:w="817" w:type="dxa"/>
          </w:tcPr>
          <w:p w14:paraId="44DC42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Ту-4</w:t>
            </w:r>
          </w:p>
        </w:tc>
        <w:tc>
          <w:tcPr>
            <w:tcW w:w="1348" w:type="dxa"/>
          </w:tcPr>
          <w:p w14:paraId="50E7BC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4АШ73МК</w:t>
            </w:r>
          </w:p>
        </w:tc>
        <w:tc>
          <w:tcPr>
            <w:tcW w:w="920" w:type="dxa"/>
          </w:tcPr>
          <w:p w14:paraId="653CBC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851" w:type="dxa"/>
          </w:tcPr>
          <w:p w14:paraId="66150A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503BAC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55FA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8362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2A5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3D19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77153A0" w14:textId="77777777">
        <w:tc>
          <w:tcPr>
            <w:tcW w:w="817" w:type="dxa"/>
          </w:tcPr>
          <w:p w14:paraId="0F6490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ИЛ-28</w:t>
            </w:r>
          </w:p>
        </w:tc>
        <w:tc>
          <w:tcPr>
            <w:tcW w:w="1348" w:type="dxa"/>
          </w:tcPr>
          <w:p w14:paraId="200D59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2АШ73МК</w:t>
            </w:r>
          </w:p>
        </w:tc>
        <w:tc>
          <w:tcPr>
            <w:tcW w:w="920" w:type="dxa"/>
          </w:tcPr>
          <w:p w14:paraId="3B1CB0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8FF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0" w:type="dxa"/>
          </w:tcPr>
          <w:p w14:paraId="122AB6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BAAD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A2AE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0AA8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F797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06185E" w14:textId="77777777">
        <w:tc>
          <w:tcPr>
            <w:tcW w:w="817" w:type="dxa"/>
          </w:tcPr>
          <w:p w14:paraId="51A20C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1348" w:type="dxa"/>
          </w:tcPr>
          <w:p w14:paraId="50D4A8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4АМ3</w:t>
            </w:r>
          </w:p>
        </w:tc>
        <w:tc>
          <w:tcPr>
            <w:tcW w:w="920" w:type="dxa"/>
          </w:tcPr>
          <w:p w14:paraId="09568F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1" w:type="dxa"/>
          </w:tcPr>
          <w:p w14:paraId="58C8CE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2AAD44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3AD5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0C25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7ED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62E5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6BD57BF" w14:textId="77777777">
        <w:tc>
          <w:tcPr>
            <w:tcW w:w="817" w:type="dxa"/>
          </w:tcPr>
          <w:p w14:paraId="7BE1CA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М-4</w:t>
            </w:r>
          </w:p>
        </w:tc>
        <w:tc>
          <w:tcPr>
            <w:tcW w:w="1348" w:type="dxa"/>
          </w:tcPr>
          <w:p w14:paraId="2020AB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tc>
        <w:tc>
          <w:tcPr>
            <w:tcW w:w="920" w:type="dxa"/>
          </w:tcPr>
          <w:p w14:paraId="205081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8008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D510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1" w:type="dxa"/>
          </w:tcPr>
          <w:p w14:paraId="4DF11F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50" w:type="dxa"/>
          </w:tcPr>
          <w:p w14:paraId="3655F5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851" w:type="dxa"/>
          </w:tcPr>
          <w:p w14:paraId="1AC146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BE4D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9D419A" w14:textId="77777777">
        <w:tc>
          <w:tcPr>
            <w:tcW w:w="817" w:type="dxa"/>
          </w:tcPr>
          <w:p w14:paraId="18DC13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3М</w:t>
            </w:r>
          </w:p>
        </w:tc>
        <w:tc>
          <w:tcPr>
            <w:tcW w:w="1348" w:type="dxa"/>
          </w:tcPr>
          <w:p w14:paraId="4DD2C8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p w14:paraId="2A6EA2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4АВД-7</w:t>
            </w:r>
          </w:p>
        </w:tc>
        <w:tc>
          <w:tcPr>
            <w:tcW w:w="920" w:type="dxa"/>
          </w:tcPr>
          <w:p w14:paraId="714FED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56B2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FD18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98FF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8757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851" w:type="dxa"/>
          </w:tcPr>
          <w:p w14:paraId="4D3220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850" w:type="dxa"/>
          </w:tcPr>
          <w:p w14:paraId="170868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bl>
    <w:p w14:paraId="03EA81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Г-87, п/я 222</w:t>
      </w:r>
    </w:p>
    <w:p w14:paraId="567C62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Осипов (1959)</w:t>
      </w:r>
    </w:p>
    <w:p w14:paraId="7CDA73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металлическое самолетостроение</w:t>
      </w:r>
    </w:p>
    <w:p w14:paraId="637BC0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(9754)</w:t>
      </w:r>
    </w:p>
    <w:p w14:paraId="1D9FD8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1EA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 приказом № 79сс в соответствии с пост. ГКО № 1208сс от 24.01.1942 г. завод № 135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был расформирован, оборудование и кадры переданы заводам № 30, № 23 и № 381 НКАП. Ремонтные мастерские переведены на площадку бывшего завода № 18 НКАП.</w:t>
      </w:r>
    </w:p>
    <w:p w14:paraId="199426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63A1CE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5182D0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227B84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779C17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w:t>
      </w:r>
      <w:r w:rsidRPr="008127F8">
        <w:rPr>
          <w:rFonts w:ascii="Times New Roman" w:hAnsi="Times New Roman"/>
          <w:color w:val="000000" w:themeColor="text1"/>
          <w:sz w:val="16"/>
          <w:szCs w:val="16"/>
        </w:rPr>
        <w:lastRenderedPageBreak/>
        <w:t>г. введен в строй корпус механического цеха № 18.</w:t>
      </w:r>
    </w:p>
    <w:p w14:paraId="3A4B56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7743D8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18.07.1958 г. вышло Постановление СМ СССР о серийном производстве Ту-124.</w:t>
      </w:r>
    </w:p>
    <w:p w14:paraId="00CC13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правительства № 846-341 от 1.08.1960 г. началась подготовка к выпуску Ту-134.</w:t>
      </w:r>
    </w:p>
    <w:p w14:paraId="3017BF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1A27D2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04CA43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5E84BA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4EA00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4016B0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416C78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19.06.1986 г. вступил в строй механический цех № 54.</w:t>
      </w:r>
    </w:p>
    <w:p w14:paraId="794768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374D9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74D711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8127F8">
        <w:rPr>
          <w:rFonts w:ascii="Times New Roman" w:hAnsi="Times New Roman"/>
          <w:color w:val="000000" w:themeColor="text1"/>
          <w:sz w:val="16"/>
          <w:szCs w:val="16"/>
          <w:lang w:val="en-US"/>
        </w:rPr>
        <w:t>WEB</w:t>
      </w:r>
      <w:r w:rsidRPr="008127F8">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8127F8">
        <w:rPr>
          <w:rFonts w:ascii="Times New Roman" w:hAnsi="Times New Roman"/>
          <w:color w:val="000000" w:themeColor="text1"/>
          <w:sz w:val="16"/>
          <w:szCs w:val="16"/>
          <w:lang w:val="en-US"/>
        </w:rPr>
        <w:t>PR</w:t>
      </w:r>
      <w:r w:rsidRPr="008127F8">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79BA20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748BCF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(11.1940 г.)- 502 металлорежущих станков.</w:t>
      </w:r>
    </w:p>
    <w:p w14:paraId="32B275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03453C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Кладченко, (07.2002-07 г.)- П.О. Науменко; и.о. гендиректора (05.2007 г.-)- С. Задорожный.</w:t>
      </w:r>
    </w:p>
    <w:p w14:paraId="123294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398505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Кладченко, (20.04-7.10.1996 г.)- В.П. Михнич, (10.1996-2003 г.-&gt; В.И. Заяц.</w:t>
      </w:r>
    </w:p>
    <w:p w14:paraId="3F2EFB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по Ан-74- С.М. Федак.</w:t>
      </w:r>
    </w:p>
    <w:p w14:paraId="0876E8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4D016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(-12.1937 г.)- Арсон.</w:t>
      </w:r>
    </w:p>
    <w:p w14:paraId="4DF4E5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Сивокозов.</w:t>
      </w:r>
    </w:p>
    <w:p w14:paraId="4713B7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технолога- В.И. Заяц.</w:t>
      </w:r>
    </w:p>
    <w:p w14:paraId="5A60AB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коммерческого департамента (2007 г.)- С. Задорожный.</w:t>
      </w:r>
    </w:p>
    <w:p w14:paraId="499018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московского представительства (2002 г.)- И.Н. Платоненко.</w:t>
      </w:r>
    </w:p>
    <w:p w14:paraId="3818FC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31A875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26A464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снабжения (11.1930 г.-)- И.И. Чуркин.</w:t>
      </w:r>
    </w:p>
    <w:p w14:paraId="0BC135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Руководители бригад: по приспособлениям (-1938 г.)- Гринченко.</w:t>
      </w:r>
    </w:p>
    <w:p w14:paraId="0E28F3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 xml:space="preserve"> (1934-35)- 50, ИП-1 (1936-38)- 200 (по [</w:t>
      </w:r>
      <w:r w:rsidRPr="008127F8">
        <w:rPr>
          <w:rFonts w:ascii="Times New Roman" w:hAnsi="Times New Roman"/>
          <w:color w:val="000000" w:themeColor="text1"/>
          <w:sz w:val="16"/>
          <w:szCs w:val="16"/>
          <w:lang w:val="en-US"/>
        </w:rPr>
        <w:t>www</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ksamc</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com</w:t>
      </w:r>
      <w:r w:rsidRPr="008127F8">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53FFF6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proofErr w:type="gramStart"/>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lang w:val="en-US"/>
        </w:rPr>
        <w:t>wwwksamc</w:t>
      </w:r>
      <w:proofErr w:type="gramEnd"/>
      <w:r w:rsidRPr="008127F8">
        <w:rPr>
          <w:rFonts w:ascii="Times New Roman" w:hAnsi="Times New Roman"/>
          <w:color w:val="000000" w:themeColor="text1"/>
          <w:sz w:val="16"/>
          <w:szCs w:val="16"/>
          <w:vertAlign w:val="superscript"/>
        </w:rPr>
        <w:t xml:space="preserve"> сот</w:t>
      </w:r>
    </w:p>
    <w:p w14:paraId="1DA1B8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Заводские №: 13534 - И-</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 xml:space="preserve"> (11982).</w:t>
      </w:r>
    </w:p>
    <w:p w14:paraId="6040C0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35A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26-27 января 1942 года на состоявшейся в ГУ ВВС Технической конференции Западного фронта инженеры-вооруженцы дали положительную оценку пушке В-Я (2147).</w:t>
      </w:r>
    </w:p>
    <w:p w14:paraId="6013F7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EA1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26 января 1942 года А. Изаксон писал письмо Шахурину.</w:t>
      </w:r>
    </w:p>
    <w:p w14:paraId="414BA5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 Пе-2, по достаточно единодушному отзыву военных, полностью освоен летно-техническим персоналом и выявил в процессе применения на фронте высокие боевые качества. Это обязывает непрерывно работать над дальнейшей доводкой и модернизацией машины. Это тем более необходимо, что в текущем году предстоит выпустить серийных самолетов Пе-2 на двух заводах (завод N 22 в г. Казани и завод N 39 в Иркутске) достаточно большое количество, примерно 2500-3000 машин.</w:t>
      </w:r>
    </w:p>
    <w:p w14:paraId="0E22B0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Исходя из этого, я считаю необходимым выдвинуть на Ваше рассмотрение нижеследующие вопросы, исключительно актуальные с точки зрения дальнейшей жизни самолета Пе-2.</w:t>
      </w:r>
    </w:p>
    <w:p w14:paraId="63E5CA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Основные дефекты, выявленные в процессе эксплуатации на самолете Пе-2, на сегодня в своей большей части устранены. После внедрения на заводе N 22, так называемой, 64 серии, машину можно считать полностью доведенной.</w:t>
      </w:r>
    </w:p>
    <w:p w14:paraId="01A66B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сегодня самолет Пе-2 нуждается лишь в двух дополнительных изменениях, исключительно повышающих боеспособность машины:</w:t>
      </w:r>
    </w:p>
    <w:p w14:paraId="6873BD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постановке крупнокалиберного пулемета Березина вместо пулемета Шкас на верхней стрелковой точке у штурмана;</w:t>
      </w:r>
    </w:p>
    <w:p w14:paraId="3B42DB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введении новой усиленной брони для экипажа.</w:t>
      </w:r>
    </w:p>
    <w:p w14:paraId="0EF122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самолета с верхней установкой крупнокалиберного пулемета Березина были отработаны, прошли испытания в НИИ ВВС и утверждены к серийному выпуску (установка Торопова).</w:t>
      </w:r>
    </w:p>
    <w:p w14:paraId="53B365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в сентябре 1941 года нами было заказано на заводе N 32 20 комплектов этой установки. Несмотря на то, что основные работы по этим 20 комплектам выполнены, все же они полностью не заключены, и забрать их не представляется возможным.</w:t>
      </w:r>
    </w:p>
    <w:p w14:paraId="244E61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имеющимся у нас сведениям надлежащей подготовки к серийному выпуску установки Торопова на заводе N 32 не ведется. Тем самым срок внедрения установки Березина не фиксируется и выпуск серийных самолетов Пе-2 с пулеметом Березина у штурмана отодвигается на неопределенное время.</w:t>
      </w:r>
    </w:p>
    <w:p w14:paraId="6DEC07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броня разработана и утверждена ВВС. Заказ на эту броню спущен и работы по ее изготовлению ведутся. Однако, точно также жесткие сроки внедрения новой брони не фиксированы.</w:t>
      </w:r>
    </w:p>
    <w:p w14:paraId="12E7C2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Работы по заменителям (переход на деревянные агрегаты) идут исключительно плохо. Чертежи на опытные образцы стабилизатора и хвостовой части фюзеляжа для статиспытаний спущены в производство, но производственными возможностями эти работы не обеспечены. Тем самым сроки изготовления опытных агрегатов, и тем более внедрения в серию, </w:t>
      </w:r>
      <w:proofErr w:type="gramStart"/>
      <w:r w:rsidRPr="008127F8">
        <w:rPr>
          <w:rFonts w:ascii="Times New Roman" w:hAnsi="Times New Roman"/>
          <w:color w:val="000000" w:themeColor="text1"/>
          <w:sz w:val="16"/>
          <w:szCs w:val="16"/>
        </w:rPr>
        <w:t>чрезвычайно затягиваются</w:t>
      </w:r>
      <w:proofErr w:type="gramEnd"/>
      <w:r w:rsidRPr="008127F8">
        <w:rPr>
          <w:rFonts w:ascii="Times New Roman" w:hAnsi="Times New Roman"/>
          <w:color w:val="000000" w:themeColor="text1"/>
          <w:sz w:val="16"/>
          <w:szCs w:val="16"/>
        </w:rPr>
        <w:t xml:space="preserve"> и вся эта работа может потерять свою практическую ценность.</w:t>
      </w:r>
    </w:p>
    <w:p w14:paraId="60156B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Зная обстановку на заводе N </w:t>
      </w:r>
      <w:proofErr w:type="gramStart"/>
      <w:r w:rsidRPr="008127F8">
        <w:rPr>
          <w:rFonts w:ascii="Times New Roman" w:hAnsi="Times New Roman"/>
          <w:color w:val="000000" w:themeColor="text1"/>
          <w:sz w:val="16"/>
          <w:szCs w:val="16"/>
        </w:rPr>
        <w:t>2</w:t>
      </w:r>
      <w:proofErr w:type="gramEnd"/>
      <w:r w:rsidRPr="008127F8">
        <w:rPr>
          <w:rFonts w:ascii="Times New Roman" w:hAnsi="Times New Roman"/>
          <w:color w:val="000000" w:themeColor="text1"/>
          <w:sz w:val="16"/>
          <w:szCs w:val="16"/>
        </w:rPr>
        <w:t xml:space="preserve"> я считаю, что имеется совершенно реальная опасность ослабления внимания к самолету Пе-2 в связи с заданием по внедрению машины "103".</w:t>
      </w:r>
    </w:p>
    <w:p w14:paraId="30BD4C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Следует, на мой взгляд, особо предупредить заводских работников, дабы предотвратить это весьма опасное ослабление внимания к машине Пе-2. Организационно это можно предотвратить тем, чтобы основные организации, обеспечивающие серийный выпуск самолета Пе-2, были бы целиком закреплены за этой машиной, не имея </w:t>
      </w:r>
      <w:proofErr w:type="gramStart"/>
      <w:r w:rsidRPr="008127F8">
        <w:rPr>
          <w:rFonts w:ascii="Times New Roman" w:hAnsi="Times New Roman"/>
          <w:color w:val="000000" w:themeColor="text1"/>
          <w:sz w:val="16"/>
          <w:szCs w:val="16"/>
        </w:rPr>
        <w:t>каких либо</w:t>
      </w:r>
      <w:proofErr w:type="gramEnd"/>
      <w:r w:rsidRPr="008127F8">
        <w:rPr>
          <w:rFonts w:ascii="Times New Roman" w:hAnsi="Times New Roman"/>
          <w:color w:val="000000" w:themeColor="text1"/>
          <w:sz w:val="16"/>
          <w:szCs w:val="16"/>
        </w:rPr>
        <w:t xml:space="preserve"> параллельных заданий по новому объекту. Это в первую очередь относится к Серийно-конструкторскому отделу.</w:t>
      </w:r>
    </w:p>
    <w:p w14:paraId="691D68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чтобы Серийно-конструкторский отдел завода, занимавшийся до сего времени самолетом Пе-2, и впредь занимался бы только этой машиной, создав по новому объекту совершенно новую организацию.</w:t>
      </w:r>
    </w:p>
    <w:p w14:paraId="283DBA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 постановлению Правительства нами был построен опытный экземпляр модификации самолета Пе-2 </w:t>
      </w:r>
      <w:proofErr w:type="gramStart"/>
      <w:r w:rsidRPr="008127F8">
        <w:rPr>
          <w:rFonts w:ascii="Times New Roman" w:hAnsi="Times New Roman"/>
          <w:color w:val="000000" w:themeColor="text1"/>
          <w:sz w:val="16"/>
          <w:szCs w:val="16"/>
        </w:rPr>
        <w:t>под более мощный мотор</w:t>
      </w:r>
      <w:proofErr w:type="gramEnd"/>
      <w:r w:rsidRPr="008127F8">
        <w:rPr>
          <w:rFonts w:ascii="Times New Roman" w:hAnsi="Times New Roman"/>
          <w:color w:val="000000" w:themeColor="text1"/>
          <w:sz w:val="16"/>
          <w:szCs w:val="16"/>
        </w:rPr>
        <w:t xml:space="preserve"> М-105Ф. Машина вышла на аэродром в октябре 1941 года и 16 октября, по условиям эвакуации, перелетела в г. Казань.</w:t>
      </w:r>
    </w:p>
    <w:p w14:paraId="6325EA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 опытной базы не дало нам возможности тотчас же продолжить летные испытания машины в г. Казани. Лишь в настоящий момент мы приступаем вплотную к проведению летных испытаний этой модификации.</w:t>
      </w:r>
    </w:p>
    <w:p w14:paraId="40B32F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точки зрения бомбовой загрузки модификация самолета Пе-2 имеет значительные преимущества перед серийной машиной, допуская подвешивать внутри фюзеляжа, вместо 4-х бомб по 100 кг, любой из следующих вариантов:</w:t>
      </w:r>
    </w:p>
    <w:p w14:paraId="353A45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бомба в 500 кг или</w:t>
      </w:r>
    </w:p>
    <w:p w14:paraId="177F13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бомбы по 250 кг или</w:t>
      </w:r>
    </w:p>
    <w:p w14:paraId="010D5D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бомб по 100 кг.</w:t>
      </w:r>
    </w:p>
    <w:p w14:paraId="78CB13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Помимо этого</w:t>
      </w:r>
      <w:proofErr w:type="gramEnd"/>
      <w:r w:rsidRPr="008127F8">
        <w:rPr>
          <w:rFonts w:ascii="Times New Roman" w:hAnsi="Times New Roman"/>
          <w:color w:val="000000" w:themeColor="text1"/>
          <w:sz w:val="16"/>
          <w:szCs w:val="16"/>
        </w:rPr>
        <w:t xml:space="preserve"> на самолете сохранены еще две внешние подвески, позволяющие подвешивать бомбы любого из указанных выше калибров.</w:t>
      </w:r>
    </w:p>
    <w:p w14:paraId="21C5C1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 модификации не отличается от серийной машины Пе-2, за исключением верхней стрелковой точки у штурмана, где вместо пулемета Шкас установлен крупнокалиберный пулемет Березина.</w:t>
      </w:r>
    </w:p>
    <w:p w14:paraId="3AA6DE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дальность самолета, маневренность и устойчивость остаться такими же, как и у серийного самолета Пе-2.</w:t>
      </w:r>
    </w:p>
    <w:p w14:paraId="2EB6C3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данные модификации, по сравнению с серийным самолетом Пе-2, приведены в нижеследующей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6F4095" w:rsidRPr="008127F8" w14:paraId="0E454FC2" w14:textId="77777777">
        <w:tc>
          <w:tcPr>
            <w:tcW w:w="1610" w:type="dxa"/>
            <w:tcBorders>
              <w:top w:val="single" w:sz="12" w:space="0" w:color="auto"/>
            </w:tcBorders>
          </w:tcPr>
          <w:p w14:paraId="3482E4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w:t>
            </w:r>
          </w:p>
        </w:tc>
        <w:tc>
          <w:tcPr>
            <w:tcW w:w="1610" w:type="dxa"/>
            <w:tcBorders>
              <w:top w:val="single" w:sz="12" w:space="0" w:color="auto"/>
            </w:tcBorders>
          </w:tcPr>
          <w:p w14:paraId="1C901E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Земля</w:t>
            </w:r>
          </w:p>
        </w:tc>
        <w:tc>
          <w:tcPr>
            <w:tcW w:w="1610" w:type="dxa"/>
            <w:tcBorders>
              <w:top w:val="single" w:sz="12" w:space="0" w:color="auto"/>
            </w:tcBorders>
          </w:tcPr>
          <w:p w14:paraId="5FF2F8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м</w:t>
            </w:r>
          </w:p>
        </w:tc>
        <w:tc>
          <w:tcPr>
            <w:tcW w:w="1610" w:type="dxa"/>
            <w:tcBorders>
              <w:top w:val="single" w:sz="12" w:space="0" w:color="auto"/>
            </w:tcBorders>
          </w:tcPr>
          <w:p w14:paraId="073418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w:t>
            </w:r>
          </w:p>
        </w:tc>
        <w:tc>
          <w:tcPr>
            <w:tcW w:w="1610" w:type="dxa"/>
            <w:tcBorders>
              <w:top w:val="single" w:sz="12" w:space="0" w:color="auto"/>
            </w:tcBorders>
          </w:tcPr>
          <w:p w14:paraId="7495E9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 м</w:t>
            </w:r>
          </w:p>
        </w:tc>
        <w:tc>
          <w:tcPr>
            <w:tcW w:w="1610" w:type="dxa"/>
            <w:tcBorders>
              <w:top w:val="single" w:sz="12" w:space="0" w:color="auto"/>
            </w:tcBorders>
          </w:tcPr>
          <w:p w14:paraId="361CE9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524EB399" w14:textId="77777777">
        <w:tc>
          <w:tcPr>
            <w:tcW w:w="1610" w:type="dxa"/>
          </w:tcPr>
          <w:p w14:paraId="141171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Пе-2</w:t>
            </w:r>
          </w:p>
        </w:tc>
        <w:tc>
          <w:tcPr>
            <w:tcW w:w="1610" w:type="dxa"/>
          </w:tcPr>
          <w:p w14:paraId="7C4EA6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w:t>
            </w:r>
          </w:p>
        </w:tc>
        <w:tc>
          <w:tcPr>
            <w:tcW w:w="1610" w:type="dxa"/>
          </w:tcPr>
          <w:p w14:paraId="705030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w:t>
            </w:r>
          </w:p>
        </w:tc>
        <w:tc>
          <w:tcPr>
            <w:tcW w:w="1610" w:type="dxa"/>
          </w:tcPr>
          <w:p w14:paraId="4F6615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1610" w:type="dxa"/>
          </w:tcPr>
          <w:p w14:paraId="1A53FC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w:t>
            </w:r>
          </w:p>
        </w:tc>
        <w:tc>
          <w:tcPr>
            <w:tcW w:w="1610" w:type="dxa"/>
          </w:tcPr>
          <w:p w14:paraId="2310B0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результатам</w:t>
            </w:r>
          </w:p>
        </w:tc>
      </w:tr>
      <w:tr w:rsidR="006F4095" w:rsidRPr="008127F8" w14:paraId="1F40DCE4" w14:textId="77777777">
        <w:tc>
          <w:tcPr>
            <w:tcW w:w="1610" w:type="dxa"/>
          </w:tcPr>
          <w:p w14:paraId="304CE3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 внешней</w:t>
            </w:r>
          </w:p>
        </w:tc>
        <w:tc>
          <w:tcPr>
            <w:tcW w:w="1610" w:type="dxa"/>
          </w:tcPr>
          <w:p w14:paraId="10CB12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9803E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7EAED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AA60D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F4EDB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w:t>
            </w:r>
          </w:p>
        </w:tc>
      </w:tr>
      <w:tr w:rsidR="006F4095" w:rsidRPr="008127F8" w14:paraId="0A0FC275" w14:textId="77777777">
        <w:tc>
          <w:tcPr>
            <w:tcW w:w="1610" w:type="dxa"/>
          </w:tcPr>
          <w:p w14:paraId="1666D3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бомбовой </w:t>
            </w:r>
          </w:p>
        </w:tc>
        <w:tc>
          <w:tcPr>
            <w:tcW w:w="1610" w:type="dxa"/>
          </w:tcPr>
          <w:p w14:paraId="01C1F4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8D233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2FF67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B290E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115BD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F075E1" w14:textId="77777777">
        <w:tc>
          <w:tcPr>
            <w:tcW w:w="1610" w:type="dxa"/>
          </w:tcPr>
          <w:p w14:paraId="19A3B2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подвески</w:t>
            </w:r>
          </w:p>
        </w:tc>
        <w:tc>
          <w:tcPr>
            <w:tcW w:w="1610" w:type="dxa"/>
          </w:tcPr>
          <w:p w14:paraId="37F696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9F6A5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638E7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008F5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2CA6E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2547FB" w14:textId="77777777">
        <w:tc>
          <w:tcPr>
            <w:tcW w:w="1610" w:type="dxa"/>
          </w:tcPr>
          <w:p w14:paraId="35E71C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Пе-2</w:t>
            </w:r>
          </w:p>
        </w:tc>
        <w:tc>
          <w:tcPr>
            <w:tcW w:w="1610" w:type="dxa"/>
          </w:tcPr>
          <w:p w14:paraId="7E4D37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428</w:t>
            </w:r>
          </w:p>
        </w:tc>
        <w:tc>
          <w:tcPr>
            <w:tcW w:w="1610" w:type="dxa"/>
          </w:tcPr>
          <w:p w14:paraId="735A7B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w:t>
            </w:r>
          </w:p>
        </w:tc>
        <w:tc>
          <w:tcPr>
            <w:tcW w:w="1610" w:type="dxa"/>
          </w:tcPr>
          <w:p w14:paraId="715374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w:t>
            </w:r>
          </w:p>
        </w:tc>
        <w:tc>
          <w:tcPr>
            <w:tcW w:w="1610" w:type="dxa"/>
          </w:tcPr>
          <w:p w14:paraId="29AAFE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w:t>
            </w:r>
          </w:p>
        </w:tc>
        <w:tc>
          <w:tcPr>
            <w:tcW w:w="1610" w:type="dxa"/>
          </w:tcPr>
          <w:p w14:paraId="1FEE32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4CDF949" w14:textId="77777777">
        <w:tc>
          <w:tcPr>
            <w:tcW w:w="1610" w:type="dxa"/>
          </w:tcPr>
          <w:p w14:paraId="014728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внешней</w:t>
            </w:r>
          </w:p>
        </w:tc>
        <w:tc>
          <w:tcPr>
            <w:tcW w:w="1610" w:type="dxa"/>
          </w:tcPr>
          <w:p w14:paraId="21E59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0EE5A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3251B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1AB23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7FA4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6215B0" w14:textId="77777777">
        <w:tc>
          <w:tcPr>
            <w:tcW w:w="1610" w:type="dxa"/>
          </w:tcPr>
          <w:p w14:paraId="3CE10F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бомбовой </w:t>
            </w:r>
          </w:p>
        </w:tc>
        <w:tc>
          <w:tcPr>
            <w:tcW w:w="1610" w:type="dxa"/>
          </w:tcPr>
          <w:p w14:paraId="211E90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C9E51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0B777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95E4F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2186E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43BB5BB" w14:textId="77777777">
        <w:tc>
          <w:tcPr>
            <w:tcW w:w="1610" w:type="dxa"/>
          </w:tcPr>
          <w:p w14:paraId="33E6CF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подвеской</w:t>
            </w:r>
          </w:p>
        </w:tc>
        <w:tc>
          <w:tcPr>
            <w:tcW w:w="1610" w:type="dxa"/>
          </w:tcPr>
          <w:p w14:paraId="38A08A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1E54D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D2C9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58EE7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649B1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668806" w14:textId="77777777">
        <w:tc>
          <w:tcPr>
            <w:tcW w:w="1610" w:type="dxa"/>
          </w:tcPr>
          <w:p w14:paraId="51B778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1610" w:type="dxa"/>
          </w:tcPr>
          <w:p w14:paraId="068C83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w:t>
            </w:r>
          </w:p>
        </w:tc>
        <w:tc>
          <w:tcPr>
            <w:tcW w:w="1610" w:type="dxa"/>
          </w:tcPr>
          <w:p w14:paraId="57A02F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518</w:t>
            </w:r>
          </w:p>
        </w:tc>
        <w:tc>
          <w:tcPr>
            <w:tcW w:w="1610" w:type="dxa"/>
          </w:tcPr>
          <w:p w14:paraId="374A91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w:t>
            </w:r>
          </w:p>
        </w:tc>
        <w:tc>
          <w:tcPr>
            <w:tcW w:w="1610" w:type="dxa"/>
          </w:tcPr>
          <w:p w14:paraId="42C717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610" w:type="dxa"/>
          </w:tcPr>
          <w:p w14:paraId="6AE5CF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Расчетные данные</w:t>
            </w:r>
          </w:p>
        </w:tc>
      </w:tr>
      <w:tr w:rsidR="006F4095" w:rsidRPr="008127F8" w14:paraId="1DCABF3F" w14:textId="77777777">
        <w:tc>
          <w:tcPr>
            <w:tcW w:w="1610" w:type="dxa"/>
            <w:tcBorders>
              <w:bottom w:val="single" w:sz="12" w:space="0" w:color="auto"/>
            </w:tcBorders>
          </w:tcPr>
          <w:p w14:paraId="317D08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с М-105Ф</w:t>
            </w:r>
          </w:p>
        </w:tc>
        <w:tc>
          <w:tcPr>
            <w:tcW w:w="1610" w:type="dxa"/>
            <w:tcBorders>
              <w:bottom w:val="single" w:sz="12" w:space="0" w:color="auto"/>
            </w:tcBorders>
          </w:tcPr>
          <w:p w14:paraId="24B250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67C048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569D15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635749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26A4DD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61799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видно из таблицы, новая модификация имеет весьма существенное улучшение максимальной скорости по сравнению с серийным самолетом Пе-2.</w:t>
      </w:r>
    </w:p>
    <w:p w14:paraId="52658D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Модификация самолета Пе-2 с мотором М-105Ф создана на базе серийной машины Пе-2. Примерно, 60-70% деталей, отдельных узлов и агрегатов сохраняются серийные. Для целого ряда агрегатов используются серийные стапеля лишь с некоторой доработкой и только некоторые агрегаты на этой модификации идут совершенно новые. Это относится к моторным установкам, шасси и центроплану.</w:t>
      </w:r>
    </w:p>
    <w:p w14:paraId="1CEA2D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трудности, сопровождающие внедрение любой новой машины в серию, связанные с освоением ряда готовых изделий на заводах-смежниках, не имеют места при этой модификации.</w:t>
      </w:r>
    </w:p>
    <w:p w14:paraId="5EE209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объясняется тем, что основная масса готовых изделий, поставляемых заводами-смежниками, сохраняется в том виде, как это было освоено для серийных самолетов Пе-2. освоение новых готовых изделий при постройке опытного экземпляра не встретило никаких затруднений и, надо полагать, что эти агрегаты не представят затруднений и в дальнейшем.</w:t>
      </w:r>
    </w:p>
    <w:p w14:paraId="208AFC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Оценивая модификацию самолета Пе-2 с мотором М-105Ф следует иметь в виду еще два весьма ценных обстоятельства:</w:t>
      </w:r>
    </w:p>
    <w:p w14:paraId="0F078E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основные дефекты, устраненные на серийном самолете Пе-2, автоматически будут отсутствовать на модификации;</w:t>
      </w:r>
    </w:p>
    <w:p w14:paraId="2FF4B5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результаты весьма большой и кропотливой работы по замене отдельных дефицитных материалов, по упрощению конструкции и облегчению производства, проделанной по серийному самолету Пе-2, будут полностью применены при постройке модификации.</w:t>
      </w:r>
    </w:p>
    <w:p w14:paraId="59E5C5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Достаточно высокие летные данные и ряд тактических преимуществ этой модификации, наряду с относительной простотой внедрения ее в серию, делают6 ан мой взгляд, желательной постройку небольшой войсковой серии этой модификации в количестве, примерно, 10 экземпляров для испытания в боевых условиях на фронте.</w:t>
      </w:r>
    </w:p>
    <w:p w14:paraId="5ED6B3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даст наилучший ответ, должен ли самолет Пе-2 закончить существование в том виде, в каком он выпускается в настоящее время, или же жизнь машины должна быть продлена путем внедрения ее дальнейшей модификации и модернизации.</w:t>
      </w:r>
    </w:p>
    <w:p w14:paraId="6DA523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Поскольку на заводе N 22 должна внедряться еще машина "103" и чтобы не нарушать нормального набирания темпов по выпуску самолета Пе-2 на заводе N 39, я хочу предложить осуществить постройку войсковой серии модификации Пе-2 с мотором М-105Ф на московском заводе N 81 (размещенном на площадях бывшего завода N 39).</w:t>
      </w:r>
    </w:p>
    <w:p w14:paraId="7355E1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говорит следующее:</w:t>
      </w:r>
    </w:p>
    <w:p w14:paraId="40B748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наличие больших свободных производственных площадей;</w:t>
      </w:r>
    </w:p>
    <w:p w14:paraId="52617D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наличие подходящих кадров рабочих, знакомых с самолетом Пе-2;</w:t>
      </w:r>
    </w:p>
    <w:p w14:paraId="0125AC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наличие ряда стапелей и приспособлений, оставленных заводом N 39.</w:t>
      </w:r>
    </w:p>
    <w:p w14:paraId="1D67B1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войсковой серии может отлично совмещен с выполнением заводом ремонтной программы.</w:t>
      </w:r>
    </w:p>
    <w:p w14:paraId="2E0AA3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постройки на этом заводе войсковой серии модификации Пе-2, там может быть накоплен большой опыт по этой машине, освоена технология и отработано стапельное хозяйство.</w:t>
      </w:r>
    </w:p>
    <w:p w14:paraId="6940B5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в дальнейшем соответствующих решений по запуску в серию модификации, этот опыт может быть целиком использован как для завода N 39 в Иркутске, так и для развертывания завода N 81 на полную мощность.</w:t>
      </w:r>
    </w:p>
    <w:p w14:paraId="726F6B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Предложение о постройке войсковой серии модификации самолета Пе-2 на заводе N 81 я рассматриваю как один из возможных вариантов.</w:t>
      </w:r>
    </w:p>
    <w:p w14:paraId="377D4F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временной консервацией завода 23 (бывш. завода 22) может представиться рациональным поручить постройку войсковой серии этому заводу, обладающему необходимыми площадями6 квалифицированными кадрами, знающими самолет Пе-2 и рядом готовых стапелей.</w:t>
      </w:r>
    </w:p>
    <w:p w14:paraId="5D6BF8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Мне думается, что завод 23 сумеет выполнить это задание быстрее, нежели завод 81, т.к. в большей мере оснащен необходимым оборудованием и обладает квалифицированными людьми.</w:t>
      </w:r>
    </w:p>
    <w:p w14:paraId="121F2A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принятия этого варианта, остается полностью в силе соображение об использовании накопленного опыта для передачи заводу 39 и непосредственно для завода 23 в случае возможного его полного восстановления под эту машину.</w:t>
      </w:r>
    </w:p>
    <w:p w14:paraId="50BDCB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вашего принципиального согласия с выдвинутыми в данной докладной записке предложениями, я считаю необходимым просить Вас:</w:t>
      </w:r>
    </w:p>
    <w:p w14:paraId="1C383A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Войти от имени Наркомавиапрома в Правительство с проектом постановления о постройке войсковой серии модификации самолета Пе-2 под мотор М-105Ф на заводе N 81 или 23.</w:t>
      </w:r>
    </w:p>
    <w:p w14:paraId="342412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Поручить начальнику 10 Гл. управления Тарасевичу и директору соответствующего завода срочно, в течение нескольких дней, дать свои практические предложения по осуществлению войсковой серии, в виде проекта приказа по Наркомавиапрому.</w:t>
      </w:r>
    </w:p>
    <w:p w14:paraId="66D9FC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Жестко фиксировать сроки внедрения на заводе N 32 стрелковой установки Торопова по пулемет Березина и сроков выпуска заводами NN 22 и 39 самолетов пе-2 с этими новыми установками.</w:t>
      </w:r>
    </w:p>
    <w:p w14:paraId="53BE3D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То же в части внедрения новой усиленной брони.</w:t>
      </w:r>
    </w:p>
    <w:p w14:paraId="445999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завод N 22 сохранить Серийно-конструкторский отдел для работы по самолету Пе-2, создав для нового объекта новую организацию.</w:t>
      </w:r>
    </w:p>
    <w:p w14:paraId="3C5C70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Жестко обязать директора завода N 22 обеспечить изготовление опытных агрегатов из дерева в кратчайший срок, с одновременной подготовкой запуска этих агрегатов в серию.</w:t>
      </w:r>
    </w:p>
    <w:p w14:paraId="41660C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директора завода N 22 создать минимально необходимые условия для проведения Опытно-конструкторским отделом необходимых опытных работ по серийной машине Пе-2 и по модификации с мотором М-105Ф.</w:t>
      </w:r>
    </w:p>
    <w:p w14:paraId="02E7EB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Вместо погибшего Петлякова В.М. провести приказом по Наркомавиапрому назначение нового главного конструктора завода N 22.</w:t>
      </w:r>
    </w:p>
    <w:p w14:paraId="163B51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быстрейшего положительного разрешения всех, поставленных на Ваше рассмотрение, вопросов зависит ход дальнейшей работы по самолету Пе-2, его доводки и дальнейшей нормальной жизни боевой, весьма неплохой, машины.</w:t>
      </w:r>
    </w:p>
    <w:p w14:paraId="7CB460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этого в значительной степени зависит также судьба коллектива Опытно-конструкторского отдела завода N 22, который находится в весьма тяжелом положении, усугубившемся в настоящее время в связи с гибелью главного конструктора завода Петлякова (1679,20).</w:t>
      </w:r>
    </w:p>
    <w:p w14:paraId="2EF522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8D4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Изаксон с завода 22 писал в ЦК ВКП(б) письмо (вх. N М-0668оп) о самолете Пе-2 и это письмо в дальнейшем было передано в НКАП А.И.Ш. (2728,142).</w:t>
      </w:r>
    </w:p>
    <w:p w14:paraId="3E058C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588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л завода 1 П.Г.Неклюдов при испытаниях совершил аварию на МиГ-3, так как при посадке из-за неисправности амортизатора левая лыжа зацепилась за снег (2108).</w:t>
      </w:r>
    </w:p>
    <w:p w14:paraId="67818B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936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вышел приказ НКАП N 69с:</w:t>
      </w:r>
    </w:p>
    <w:p w14:paraId="154740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Перебазировать з-д 25 на промплощадку з-да 283, объеденить со строительством з-да 283 и присвоить объединенному з-ду № 25,</w:t>
      </w:r>
    </w:p>
    <w:p w14:paraId="69757D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Д-м з-да 25 назначить Исакова Ивана Алексеевича.</w:t>
      </w:r>
    </w:p>
    <w:p w14:paraId="5B5797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 (1522, 58).</w:t>
      </w:r>
    </w:p>
    <w:p w14:paraId="4A6967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43E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 по приказу № 69с в результате объединения завода № 25 (Завод № 25 НКТП, НКОП, НКАП /г. Москва Семеновская пл., 7;  г. Ульяновск/), который 15 октября 1941 г. по приказу № 1072сс был эвакуирован в  г. Ульяновск на площадку строящегося завода № 283 НКАП, был образован единый завод № 25 НКАП. Позже в него влились эвакуированные заводы № 30 НКАП, № 123 НКАП и местный строящийся завод № 127 НКАП. В конце 1941 г. заводу № 25 НКАП переданы часть оборудования и личного состава завода № 30 НКАП.</w:t>
      </w:r>
    </w:p>
    <w:p w14:paraId="60097A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спецстанков, инструмента, оснастки, приспособлений для авиазаводов. Кроме основного производства, изготавливал мины ПОМЗ.</w:t>
      </w:r>
    </w:p>
    <w:p w14:paraId="66B396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площадке эвакуированного завода в Москве действовал филиал завода № 25 при 4ГУ. По приказу № 424с от 7.06.1942 г. филиал был размещен на площадке опытного завода ЦИАМ. Директор филиала (1942-43 г.-)- Шенкман. Производство резцов. По приказу НКАП № 122с от 27.02.1943 г. оборудование и личный состав филиала завода № 25 переданы заводу № 315 НКАП. На старой площадке (Семеновская пл.) после войны действовал электротехнический завод, в н. вр. это- Московский завод электроприборов.</w:t>
      </w:r>
    </w:p>
    <w:p w14:paraId="12AE69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1942 г. в состав завода влито </w:t>
      </w:r>
      <w:proofErr w:type="gramStart"/>
      <w:r w:rsidRPr="008127F8">
        <w:rPr>
          <w:rFonts w:ascii="Times New Roman" w:hAnsi="Times New Roman"/>
          <w:color w:val="000000" w:themeColor="text1"/>
          <w:sz w:val="16"/>
          <w:szCs w:val="16"/>
        </w:rPr>
        <w:t>ОКБ  Г.М.</w:t>
      </w:r>
      <w:proofErr w:type="gramEnd"/>
      <w:r w:rsidRPr="008127F8">
        <w:rPr>
          <w:rFonts w:ascii="Times New Roman" w:hAnsi="Times New Roman"/>
          <w:color w:val="000000" w:themeColor="text1"/>
          <w:sz w:val="16"/>
          <w:szCs w:val="16"/>
        </w:rPr>
        <w:t xml:space="preserve"> Можаровского и И.В. Веневидова (переведено из  г. Кирова с завода № 32 НКАП, где КБ-2  Г.М. Можаровского и И.В. Веневидова работало в эвакуации).</w:t>
      </w:r>
    </w:p>
    <w:p w14:paraId="481B0A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154с от 17.03.1943 г. неиспользуемые площади завода, а также площадка бывшего завода № 127 НКАП переданы в распоряжение Автомобильного завода им. Сталина НКСМ.</w:t>
      </w:r>
    </w:p>
    <w:p w14:paraId="50704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4006с от 29.08.1943 г. и по приказу № 528с от 2.09.1943 г. завод № 25 НКАП со всем оборудованием и кадрами переведен в Москву и влит в состав завода № 500 НКАП. Тем же приказом производство электродрелей с оборудованием и кадрами переведено на завод № 140 НКАП.</w:t>
      </w:r>
    </w:p>
    <w:p w14:paraId="7E7953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Потапенко, (-15.02.1937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Старченко (снят), (15.02.1937-09.1943 г.)- И.А. Исаков.</w:t>
      </w:r>
    </w:p>
    <w:p w14:paraId="0F9523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(26.03.1938 г.-)- Л.Б. Евангулов.</w:t>
      </w:r>
    </w:p>
    <w:p w14:paraId="676FA5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И.В. Крылов.</w:t>
      </w:r>
    </w:p>
    <w:p w14:paraId="4139C7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(26.03.1938 г.-)- Л.Б. Евангулов (11982).</w:t>
      </w:r>
    </w:p>
    <w:p w14:paraId="60B9955D" w14:textId="77777777" w:rsidR="00017DC2" w:rsidRPr="008127F8" w:rsidRDefault="00017DC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3FE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26/27 января 1942 года начальник заказов вооружения ГУ ВВС майор интенд. службы Жаров и военком заказа вооружения ГУ ВВС ст. батальонный комиссар Пекин писали письмо N 425907с Шахурину.</w:t>
      </w:r>
    </w:p>
    <w:p w14:paraId="1077CA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положительные результаты заводских испытаний опытных гусениц на самолете ПС-84, прошу в кратчайший срок изготовить и испытать опытные гусеницы под самолеты ПС-84, ПЕ-2, ИЛ-2.</w:t>
      </w:r>
    </w:p>
    <w:p w14:paraId="5EA9FC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в октябре 1941 года я докладывал этот вопрос Вам о необходимости организации производства гусениц и испытание опытных образцов и оснащение гусеницами основных типов боевых самолетов, на что Вы дали принципиальное согласие, но в связи с эвакуацией заводов и Наркомата этот столь важный вопрос остался до сего времени неразрешенным.</w:t>
      </w:r>
    </w:p>
    <w:p w14:paraId="3A56B7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решения по данному вопросу (2193,214).</w:t>
      </w:r>
    </w:p>
    <w:p w14:paraId="2BD138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A7E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 приказом НКАП № 73сс во исполнение постановления ГКО № 1206сс от 24.01.1942 г. в системе 3ГУ НКАП на площадях эвакуированного ЦИАМ при технической помощи завода № 154 для ремонта и изготовления авиамоторов М-11 был основан завод № 41. В связи с частичным возвращением (к 04.1942 г.) и возобновлением деятельности ЦИАМ на прежнем месте в соответствии с постановлением ГКО № 1405с от 7.03.1942 г.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w:t>
      </w:r>
    </w:p>
    <w:p w14:paraId="548E5B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7461DA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690F96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146с от 26.02.1944 г. из г. Андижана на завод № 41 переведено ОКБ завода № 154 НКАП. </w:t>
      </w:r>
    </w:p>
    <w:p w14:paraId="160459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w:t>
      </w:r>
    </w:p>
    <w:p w14:paraId="3FF55E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3ГУ в 8ГУ. В связи с этим производство моторов М-11 передали на завод № 154 МАП. С 1.07.1948 г. завод передан из 8ГУ в 4ГУ, с 1.07.1949 г.- во 2ГУ МАП.</w:t>
      </w:r>
    </w:p>
    <w:p w14:paraId="434545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Двигателестроительный завод № 41 МАП в 1953 г. переведен на новую тематику - ракетостроение (как серийный завод).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537DFF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 </w:t>
      </w:r>
    </w:p>
    <w:p w14:paraId="23CABE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1960-х 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340B5C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Создана ГСН для ККР «Дракон» П-15.58 </w:t>
      </w:r>
    </w:p>
    <w:p w14:paraId="32D7ED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НПО «Авангард» входили филиал в г. Гомеле и филиал в г. Торжке (Торжокский завод металлоизделий). ММЗ «Авангард» входит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20BCC5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П.В. Гулянский (нач. отдела пластмасс).</w:t>
      </w:r>
    </w:p>
    <w:p w14:paraId="04FCCA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(1975-1980-е г.)- В.П. Пасько. Гендиректор (-07.2002-03 г.)- Л. Брюханов.</w:t>
      </w:r>
    </w:p>
    <w:p w14:paraId="70DE1F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завода (1944-46 г.)- Е.В. Урмин (до этого- гл. конструктор ОКБ-29), (1948-49 г.)- В.В. Уваров.</w:t>
      </w:r>
    </w:p>
    <w:p w14:paraId="147A49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 М.Л. Кононенко, (1946 г.)- Размат, (1953-69 г.)- А.В. Малютин.</w:t>
      </w:r>
    </w:p>
    <w:p w14:paraId="324FFA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 А.И. Березин.</w:t>
      </w:r>
    </w:p>
    <w:p w14:paraId="414B63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моторы М-11 (1942), М-11Д (1943-46), М-11ФН (1945-46); </w:t>
      </w:r>
    </w:p>
    <w:p w14:paraId="042347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ЗУР: В-300 («205», 1953-54), «207» (1954-56), МКР "Буря" (1956), В-755 ("1Д", 1956-58), В-750ВН (1958-61), В-755 (1960-), "20Д", ЗУР 500Р, 5В55 для С-300; противоракеты 51Т6, 53Т6 для А-135 (1990-92).</w:t>
      </w:r>
    </w:p>
    <w:p w14:paraId="587A13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41 НКАП, МАП, МОП, Московский машиностроительный завод (ММЗ), НПО, ММПО "Авангард", ГП, ОАО «ММЗ «Авангард»</w:t>
      </w:r>
    </w:p>
    <w:p w14:paraId="5E3D6D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Авиамоторная, 2 (1942 г.); Старопетровский пр., 41 (1947 г.)</w:t>
      </w:r>
    </w:p>
    <w:p w14:paraId="75B1BD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125130 г. Москва, ул. Клары Цеткин, 33 (10776).</w:t>
      </w:r>
    </w:p>
    <w:p w14:paraId="3EC4BC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завода № 41 НКАП </w:t>
      </w:r>
    </w:p>
    <w:p w14:paraId="1C74F4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DCE01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приказов НКАП № 16с от 8.01.1944 г. и № 146с от 26.02.1944 г. при заводе № 41 в составе 8ГУ образовано ОКБ с опытной базой для работ по маломощным моторам.</w:t>
      </w:r>
    </w:p>
    <w:p w14:paraId="731879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0CF810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Модификации мотора М-11: М-11Ф (испытан в 02.1945 г., ведущий конструктор- А.М. Власенко), М-11Я, М-12 (испытан в 05.1945 г., ведущий конструктор- А.М. Власенко).</w:t>
      </w:r>
    </w:p>
    <w:p w14:paraId="23B076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w:t>
      </w:r>
    </w:p>
    <w:p w14:paraId="43AEB1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1FE181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29420E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(1944-46 г.)- Е.В. Урмин (до этого- гл. конструктор ОКБ-29), (1950-е г.)- Н.Е. Наумов.</w:t>
      </w:r>
    </w:p>
    <w:p w14:paraId="662208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(1946-48 г.)- И.А. Мужилов.</w:t>
      </w:r>
    </w:p>
    <w:p w14:paraId="42A63E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завода № 41 НКАП, ОКБ-41 МАП </w:t>
      </w:r>
    </w:p>
    <w:p w14:paraId="7EC438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8C50E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образовано на заводе № 41 по приказу № 414сс от 1.07.1946 г. для работ по опытным ГТД, в т.ч. по Э-30-80М.</w:t>
      </w:r>
    </w:p>
    <w:p w14:paraId="4ACE38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w:t>
      </w:r>
    </w:p>
    <w:p w14:paraId="64502D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над экспериментальными ТВД Э-30-80А (1947 г.), Э-30-80М (1948 г.), Э-30-81, Э-30-81А (1948 г.), Э-30-81М.</w:t>
      </w:r>
    </w:p>
    <w:p w14:paraId="72E176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Затем ОКБ было закрыто. Вновь образовано, выделившись из завода № 41 МАП, с 1.07.1948 г. (приказ МАП № 440с от 21.06.1948 г.) в составе 8ГУ МАП. </w:t>
      </w:r>
    </w:p>
    <w:p w14:paraId="4E7EA4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773 от 10.10.1949 г. работы по ТВД прекращены. С 1949 г. В.В. Уваров- на преподавательской работе в МВТУ (работал по 1977 г.).</w:t>
      </w:r>
    </w:p>
    <w:p w14:paraId="6B782B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ответственный руководитель (08.1946 г.-)- В.В. Уваров.</w:t>
      </w:r>
    </w:p>
    <w:p w14:paraId="7C1A04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(08.1946 г.-)- Востриков (10776).</w:t>
      </w:r>
    </w:p>
    <w:p w14:paraId="0D2F23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419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января 1942 г. приказу НКАП №73 по постановлению ГКО №ГКО-1206 от 24.1.42 г. при техпомощи завода №154 НКАП в г.Москве в системе 3ГУ НКАП на площадях эвакуированного ЦИАМ образован завод № 41 для ремонта и производства авиамоторов типа М-11. Директором назначен А.П.Богданов, гл.и. М.Л.Кононенко, зам. дир. А.И.Березин. </w:t>
      </w:r>
    </w:p>
    <w:p w14:paraId="6F41CB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(все по приказу №192 от 12.3.42 г.) по ул.Авиамоторная. </w:t>
      </w:r>
    </w:p>
    <w:p w14:paraId="4A3AAC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Осуществлял ремонт моторов М-25, М-62, М-63, М-11, производство моторов М-11 (42 г.) и его модификаций. </w:t>
      </w:r>
    </w:p>
    <w:p w14:paraId="480802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765851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353D10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02B096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4B8ED1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40F540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1BCA7B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420318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гл.к. назначен В.В.Уваров (приказ №546 от 15.8.46 г.). Штат формировался в основном за счет опытного и серийного КБ завода. </w:t>
      </w:r>
    </w:p>
    <w:p w14:paraId="0BD9BC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3B2A9E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.7.48 г. завод передан из 8ГУ в 4ГУ (моторные агрегаты), с 1.7.49 г. - во 2ГУ МАП (самолетные агрегаты). </w:t>
      </w:r>
    </w:p>
    <w:p w14:paraId="6D2035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А.Т.Завитаев (1946-48гг). Далее дир. - Ю.А.Мизюров (до 1950 г.), И.А.Лихачев (в 1950-53гг.). </w:t>
      </w:r>
    </w:p>
    <w:p w14:paraId="07BDDB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8127F8">
        <w:rPr>
          <w:rFonts w:ascii="Times New Roman" w:hAnsi="Times New Roman"/>
          <w:color w:val="000000" w:themeColor="text1"/>
          <w:sz w:val="16"/>
          <w:szCs w:val="16"/>
        </w:rPr>
        <w:t>гл.инж</w:t>
      </w:r>
      <w:proofErr w:type="gramEnd"/>
      <w:r w:rsidRPr="008127F8">
        <w:rPr>
          <w:rFonts w:ascii="Times New Roman" w:hAnsi="Times New Roman"/>
          <w:color w:val="000000" w:themeColor="text1"/>
          <w:sz w:val="16"/>
          <w:szCs w:val="16"/>
        </w:rPr>
        <w:t>. в 1953-69гг. был А.В.Малютин. В 1953 г. для расширения производства В-300 и в виду получения задания на производство В-</w:t>
      </w:r>
      <w:r w:rsidRPr="008127F8">
        <w:rPr>
          <w:rFonts w:ascii="Times New Roman" w:hAnsi="Times New Roman"/>
          <w:color w:val="000000" w:themeColor="text1"/>
          <w:sz w:val="16"/>
          <w:szCs w:val="16"/>
        </w:rPr>
        <w:lastRenderedPageBreak/>
        <w:t xml:space="preserve">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19924E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1CD183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2CA46A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3A8E7C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Авангард, Московский машиностроительный завод, ОАО (ОАО "ММЗ "Авангард") </w:t>
      </w:r>
    </w:p>
    <w:p w14:paraId="0746C4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40E191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- 125130 г.Москва ул.Цеткин К., 33 (10777).</w:t>
      </w:r>
    </w:p>
    <w:p w14:paraId="28856B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4ED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 приказом НКАП № 73сс в соответствии с пост. ГКО № 1206сс от 24.01.1942 г. в системе ЗГУ НКАП на площадях эвакуированного ЦИАМ при технической помощи завода № 154 для ремонта и изготовления авиамоторов М-11 был организован завод № 41 (Завод № 41 НКАП, МАП, МОП, Московский машиностроительный завод (ММЗ), НПО, ММПО «Авангард», ГП, ОАО «ММЗ «Авангард» / г. Москва ул. Авиамоторная, 2 (1942 г.); Старопетровский пр., 41 (1947 г.)/ /125130  г. Москва ул. Клары Цеткин, 33 тел. 450-97-55/). В связи с частичным возвращением (к 04.1942 г.) и возобновлением деятельности ЦИАМ на прежнем месте в соответствии с пост. ГКО № 1405с от 7.03.1942 г.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возле ст. Братцево Московской окружной ж/д).</w:t>
      </w:r>
    </w:p>
    <w:p w14:paraId="1DC1BD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2C8460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6D6CD0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146с от 26.02.1944 г. </w:t>
      </w:r>
      <w:proofErr w:type="gramStart"/>
      <w:r w:rsidRPr="008127F8">
        <w:rPr>
          <w:rFonts w:ascii="Times New Roman" w:hAnsi="Times New Roman"/>
          <w:color w:val="000000" w:themeColor="text1"/>
          <w:sz w:val="16"/>
          <w:szCs w:val="16"/>
        </w:rPr>
        <w:t>из  г.</w:t>
      </w:r>
      <w:proofErr w:type="gramEnd"/>
      <w:r w:rsidRPr="008127F8">
        <w:rPr>
          <w:rFonts w:ascii="Times New Roman" w:hAnsi="Times New Roman"/>
          <w:color w:val="000000" w:themeColor="text1"/>
          <w:sz w:val="16"/>
          <w:szCs w:val="16"/>
        </w:rPr>
        <w:t xml:space="preserve"> Андижана на завод № 41 переведено ОКБ завода № 154 НКАП.</w:t>
      </w:r>
    </w:p>
    <w:p w14:paraId="028DCE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08.1946п на заводе № 500 МАП сформировано ОКБ гл. конструктора С.С. Баландина.</w:t>
      </w:r>
    </w:p>
    <w:p w14:paraId="153F3A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ЗГУ в 8ГУ. В связи с этим производство моторов М-11 передали на завод № 154 МАП. С 1.07.1948 г. завод передан из 8ГУ в 4ГУ, с 1.07.1949 г.- во 2ГУ МАП. Началась подготовка к производству стрелково-пушечного вооружения для Ту-4.</w:t>
      </w:r>
    </w:p>
    <w:p w14:paraId="35ADCD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Двигателестроительный завод № 41 МАП с 31.12.1952 г. переведен на новую тематику - ракетостроение (как серийный завод), началась подготовка к выпуску ЗУР В-300.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67B1E4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w:t>
      </w:r>
    </w:p>
    <w:p w14:paraId="2E856D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4FD817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ГСН для ККР «Дракон» П-15.</w:t>
      </w:r>
      <w:r w:rsidRPr="008127F8">
        <w:rPr>
          <w:rFonts w:ascii="Times New Roman" w:hAnsi="Times New Roman"/>
          <w:color w:val="000000" w:themeColor="text1"/>
          <w:sz w:val="16"/>
          <w:szCs w:val="16"/>
          <w:vertAlign w:val="superscript"/>
        </w:rPr>
        <w:t>58</w:t>
      </w:r>
    </w:p>
    <w:p w14:paraId="2FFE55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началась подготовка к производству противоракет А-350Ж, с 1980 г.- к производству А-925.</w:t>
      </w:r>
    </w:p>
    <w:p w14:paraId="4B1CE0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1963 г.- ММЗ «Авангард, затем- НПО «Авангард». В состав НПО «Авангард» входили филиал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Гомеле и филиал в  г. Торжке (Торжокский завод металлоизделий).</w:t>
      </w:r>
    </w:p>
    <w:p w14:paraId="2DE4CA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на заводе действовал филиал ОКБ-2 (МКБ «Факел»),</w:t>
      </w:r>
    </w:p>
    <w:p w14:paraId="3D32E5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01.1967 г. на базе ОГК создано ОКБ завода «Авангард».</w:t>
      </w:r>
    </w:p>
    <w:p w14:paraId="648E3E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разработана конструкция ТПК 81Р6 для противоракеты А-925, спроектировано и изготовлено технологическое оснащение для производства стеклопластиковых ТПК.</w:t>
      </w:r>
    </w:p>
    <w:p w14:paraId="3FF7B7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10.2002 г. предприятие акционировано и преобразовано в ОАО «ММЗ «Авангард». ММЗ «Авангард» входил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1D5612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авиационные импульсные механизмы; оборудование для АПК и текстильной промышленности.</w:t>
      </w:r>
      <w:r w:rsidRPr="008127F8">
        <w:rPr>
          <w:rFonts w:ascii="Times New Roman" w:hAnsi="Times New Roman"/>
          <w:color w:val="000000" w:themeColor="text1"/>
          <w:sz w:val="16"/>
          <w:szCs w:val="16"/>
          <w:vertAlign w:val="superscript"/>
        </w:rPr>
        <w:t>69</w:t>
      </w:r>
    </w:p>
    <w:p w14:paraId="0A07D1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Гендиректор (1975-2000 г.)- В.П. Пасько, (2000-03 г.)- Л.А. Брюханов, (05.2003-05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Кожин.</w:t>
      </w:r>
    </w:p>
    <w:p w14:paraId="690120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М.Л. Кононенко, (1946 г.)- Размат, (1953-69 г.)- А.В. Малютин, (1980-е)- Р.Х. Каримов.</w:t>
      </w:r>
    </w:p>
    <w:p w14:paraId="6B52E9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(1944-46 г.)- Е.В. Урмин, (1948-49 г.)- В.В. Уваров, (2004 г.)- Н.Н. Ермолов.</w:t>
      </w:r>
    </w:p>
    <w:p w14:paraId="66E40F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А.И. Березин.</w:t>
      </w:r>
    </w:p>
    <w:p w14:paraId="563626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(1980-е-2004 г.-)- М.М. Яковлев.</w:t>
      </w:r>
    </w:p>
    <w:p w14:paraId="76826E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(1980-е)- Н.И. Якунченков, (1980-е)- Н.Н. Ермолов.</w:t>
      </w:r>
    </w:p>
    <w:p w14:paraId="04CEA1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кузнечно-литейного- Я.И. Гаврилов; (1960-е)- В.В. Игнатов.</w:t>
      </w:r>
    </w:p>
    <w:p w14:paraId="061A16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агрегатного (1960-е)- Л.П. Афонин.</w:t>
      </w:r>
    </w:p>
    <w:p w14:paraId="31DAC4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пластмасс- П.В. Гулянский; КИС (1960-е)- М.М. Яковлев.</w:t>
      </w:r>
    </w:p>
    <w:p w14:paraId="30AA08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(1960-е)- Е.Я. Ааронов.</w:t>
      </w:r>
    </w:p>
    <w:p w14:paraId="062095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технологического (-1948 г.)- Я.И. Гаврилов.</w:t>
      </w:r>
    </w:p>
    <w:p w14:paraId="2B0912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моторы М-11 (1942), М-11Д (1943-46), М-11ФН (1945-46);</w:t>
      </w:r>
    </w:p>
    <w:p w14:paraId="161024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ЗУР: В-300 («205», 1953-54), «207» (1954-56), МКР «Буря» (1956), В-755 («1Д», 1956-58), В-750ВН (1958-61). В-755 (I960-), «20Д», ЗУР 500Р, 5В55 для С-300П (1970-е), 48Н6 для С-300ПМ; противоракеты: А-350Ж для А- 35 (5В61, 1973-), А-350Р (5В61Р, -1983), А-925 (5</w:t>
      </w:r>
      <w:r w:rsidRPr="008127F8">
        <w:rPr>
          <w:rFonts w:ascii="Times New Roman" w:hAnsi="Times New Roman"/>
          <w:color w:val="000000" w:themeColor="text1"/>
          <w:sz w:val="16"/>
          <w:szCs w:val="16"/>
          <w:lang w:val="en-US"/>
        </w:rPr>
        <w:t>IT</w:t>
      </w:r>
      <w:r w:rsidRPr="008127F8">
        <w:rPr>
          <w:rFonts w:ascii="Times New Roman" w:hAnsi="Times New Roman"/>
          <w:color w:val="000000" w:themeColor="text1"/>
          <w:sz w:val="16"/>
          <w:szCs w:val="16"/>
        </w:rPr>
        <w:t>6, 1980-), 53Т6 для А-135 (1990-92); стартовый ускоритель СУМ (опытный, 1950-е); мишени «Синица», «Коршун», «Бекас»;</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ТПК 81Р6 для А-925 (1980-е) (11982).</w:t>
      </w:r>
    </w:p>
    <w:p w14:paraId="045297F6" w14:textId="77777777" w:rsidR="00017DC2" w:rsidRPr="008127F8" w:rsidRDefault="00017DC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C5F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 приказом НКАП № 74с в соответствии с пост. ГКО № 1207сс от 24.01.1942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D07C4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0E0971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1B5745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(1932-35 г.)- С.Е. Киселев, (1936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Войтов, (1937 г.)- А.С. Черняков, (1938-41 г.)- С.Н. Жилин, (1941-42 г.-)- В.Н. Дубов.</w:t>
      </w:r>
      <w:r w:rsidRPr="008127F8">
        <w:rPr>
          <w:rFonts w:ascii="Times New Roman" w:hAnsi="Times New Roman"/>
          <w:color w:val="000000" w:themeColor="text1"/>
          <w:sz w:val="16"/>
          <w:szCs w:val="16"/>
          <w:vertAlign w:val="superscript"/>
        </w:rPr>
        <w:t>49</w:t>
      </w:r>
    </w:p>
    <w:p w14:paraId="7E07DC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(конец 1930-х)- А. Г. Таканаев.</w:t>
      </w:r>
    </w:p>
    <w:p w14:paraId="0E919C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Ф.Я. Тулупов (М-30) (11982).</w:t>
      </w:r>
    </w:p>
    <w:p w14:paraId="03320E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E3C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 по приказу НКАП № 79сс на завод № 23 передана часть оборудования и кадров расформированного завода № 135 НКАП (10776).</w:t>
      </w:r>
    </w:p>
    <w:p w14:paraId="64424E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CCD7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года приказом НКАП за № 81 было предложено организовать на площадке завода № 95 в Сетуне его филиал с задачей производства проволочной заготовки и штампованных изделий. Одновременно было дано задание организовать разделку и переплавку самолетного лома.</w:t>
      </w:r>
    </w:p>
    <w:p w14:paraId="73623D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распоряжения СНК за № 2177-рс от 1 февраля 1943 года и приказа НКАП за № 67 от 5 февраля 1943 года на месте филиала завода № 95 организован самостоятельный металлургический завод и присвоен ему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1AD496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решению ГКО от 21 февраля 1944 года за № 522с и приказу НКАП за № 178 от 9 марта 1944 года на завод № 65 возложена задача по организации производства </w:t>
      </w:r>
      <w:r w:rsidRPr="008127F8">
        <w:rPr>
          <w:rFonts w:ascii="Times New Roman" w:hAnsi="Times New Roman"/>
          <w:color w:val="000000" w:themeColor="text1"/>
          <w:sz w:val="16"/>
          <w:szCs w:val="16"/>
        </w:rPr>
        <w:lastRenderedPageBreak/>
        <w:t>гильз для авиационных заводов. С апреля 1944 года завод приступил к выпуску этой продукции.</w:t>
      </w:r>
    </w:p>
    <w:p w14:paraId="68AF7B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2F2304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6D6C77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МАП за 3 96 от 21 февраля 1955 года при заводе № 65 организовано </w:t>
      </w:r>
      <w:proofErr w:type="gramStart"/>
      <w:r w:rsidRPr="008127F8">
        <w:rPr>
          <w:rFonts w:ascii="Times New Roman" w:hAnsi="Times New Roman"/>
          <w:color w:val="000000" w:themeColor="text1"/>
          <w:sz w:val="16"/>
          <w:szCs w:val="16"/>
        </w:rPr>
        <w:t>ОКБ-65</w:t>
      </w:r>
      <w:proofErr w:type="gramEnd"/>
      <w:r w:rsidRPr="008127F8">
        <w:rPr>
          <w:rFonts w:ascii="Times New Roman" w:hAnsi="Times New Roman"/>
          <w:color w:val="000000" w:themeColor="text1"/>
          <w:sz w:val="16"/>
          <w:szCs w:val="16"/>
        </w:rPr>
        <w:t xml:space="preserve">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52E57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DD35D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00C040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6A7FFF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4B7318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19839E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6956AE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Кунцево, ул. Горбунова, д. 20 (9894).</w:t>
      </w:r>
    </w:p>
    <w:p w14:paraId="3D7FEB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78BD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E0CB7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B63B5" w14:textId="77777777" w:rsidR="00017DC2" w:rsidRPr="008127F8" w:rsidRDefault="00017DC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26-28 января 1942 на совещании НКТП, посвященном изучению опыта ведения боев в наступлении, С.А.Гинзбург вновь поднял вопрос о создании легких САУ с мощным вооружением, уравнивающим их со средними и тяжелыми танками, и неожиданно нашел плоддержку в лице Наркома и НКО (6205, 14).</w:t>
      </w:r>
    </w:p>
    <w:p w14:paraId="638CD8FD" w14:textId="77777777" w:rsidR="00017DC2" w:rsidRPr="008127F8" w:rsidRDefault="00017DC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D51A1" w14:textId="77777777" w:rsidR="00017DC2" w:rsidRPr="008127F8" w:rsidRDefault="00017DC2"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26-28 января 1941 на совещании НКТП, по</w:t>
      </w:r>
      <w:r w:rsidRPr="008127F8">
        <w:rPr>
          <w:rFonts w:ascii="Times New Roman" w:hAnsi="Times New Roman"/>
          <w:color w:val="000000" w:themeColor="text1"/>
          <w:sz w:val="16"/>
          <w:szCs w:val="16"/>
        </w:rPr>
        <w:softHyphen/>
        <w:t>священном изучению опыта ведения боев в наступлении, С.А. Гинзбург вновь поднял вопрос о создании легких САУ с мощным вооружением, позволяющим бороться со средними или тяжелыми танками. Неожиданно для себя он на</w:t>
      </w:r>
      <w:r w:rsidRPr="008127F8">
        <w:rPr>
          <w:rFonts w:ascii="Times New Roman" w:hAnsi="Times New Roman"/>
          <w:color w:val="000000" w:themeColor="text1"/>
          <w:sz w:val="16"/>
          <w:szCs w:val="16"/>
        </w:rPr>
        <w:softHyphen/>
        <w:t>дел поддержку в лице наркома и присутствовавшего на совещании представителя Наркомата обороны, которые увидели в предлагаемых конструктором боевых машинах вариант сильно вооруженного танка без башни и при этом дешевого и простого в производстве (11417).</w:t>
      </w:r>
    </w:p>
    <w:p w14:paraId="55E160A8" w14:textId="77777777" w:rsidR="00017DC2" w:rsidRPr="008127F8" w:rsidRDefault="00017DC2"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5FEB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года вышел приказ № 36с НКБ (Челябинск).</w:t>
      </w:r>
    </w:p>
    <w:p w14:paraId="1248E190"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распоряжением СНК № 12664рс от 16 ноября 1941 года и приказом НКБ № 648 от 26 ноября 1941 года принятому в систему НКБ Тукосмесительному заводу Наркомхимпрома в Сумгаите для снаряжения боеприпасов присвоить № 570. 1 Гл. Управление (5754, 6).</w:t>
      </w:r>
    </w:p>
    <w:p w14:paraId="1101FE3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8196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 завод № 623 (Завод № 623, Казанский завод резинотехнических изделий, ПО «Казаньрезинотехника», ЗАО «Камско-Волжское АО резинотехники «Кварт» /Татарстан 420054 г. Казань ул. Техническая, 25/) выпустил первую продукцию. В годы войны выпускал губчатые изделия, технические пластины, дюритовые и тормозные рукава, гибкие соединения и авиадетали.</w:t>
      </w:r>
    </w:p>
    <w:p w14:paraId="4A750B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1949-65 г. построены новые производственные корпуса. Впервые в СССР освоен выпуск латексных изделий- радиозондовых и шаропилотных оболочек. Одновременно создано современное производство рукавов прокладочной конструкции, буровых рукавов и рукавов с металлической оплеткой; производство формовой и неформовой техники, резиновых смесей и технических пластин.</w:t>
      </w:r>
    </w:p>
    <w:p w14:paraId="073791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1970-е-90 г. проведена реконструкция и перевооружение производства.</w:t>
      </w:r>
    </w:p>
    <w:p w14:paraId="79DD75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1984 г. завод РТИ преобразован в ПО «Казаньрезинотехника». В 1992 г. предприятие акционировано и преобразовано в ЗАО.</w:t>
      </w:r>
    </w:p>
    <w:p w14:paraId="3FE3BC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(1942 г.)- 46 чел.</w:t>
      </w:r>
    </w:p>
    <w:p w14:paraId="1EB992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И.П. Вайнштейн, (1950-е)- И.М. Диденко. Гендиректор (1980-е)- В.Д. Григорьев.</w:t>
      </w:r>
    </w:p>
    <w:p w14:paraId="503736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Т.Н. Титаренко, (1950-е)- Л.Д. Лейтман (11982).</w:t>
      </w:r>
    </w:p>
    <w:p w14:paraId="71320D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AF1E1" w14:textId="77777777" w:rsidR="00017DC2"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28E15E4" w14:textId="77777777" w:rsidR="00017DC2" w:rsidRPr="008127F8" w:rsidRDefault="00017DC2"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EA747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1081D7C3"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26 января наши войска продолжали вести активные боевые действия против немецко-фашистских войск.</w:t>
      </w:r>
    </w:p>
    <w:p w14:paraId="603F1D0B"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(Юго-Западный фронт) за день боёв освободила от немцев 16 населённых пунктов и захватила 6 вражеских миномётов, 16 пулемётов, 200 автомашин, 83 повозки, артиллерийский склад и другое военное имущество. Противник потерял убитыми свыше 200 солдат и офицеров.</w:t>
      </w:r>
    </w:p>
    <w:p w14:paraId="704A1A9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Южного фронта, за день боёв с противником захватили 38 орудий, 24 пулемёта, 17 миномётов, 67 автомашин, 21 мотоцикл, 10 радиостанций, много боеприпасов и продовольственный склад. На поле боя осталось более 1.000 убитых немецких солдат и офицеров.</w:t>
      </w:r>
    </w:p>
    <w:p w14:paraId="65EB0CC3"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Танковая часть тов. Чернышёва (Западный фронт) захватила 2 немецких орудия, 5 противотанковых ружей и перебила 100 вражеских солдат.</w:t>
      </w:r>
    </w:p>
    <w:p w14:paraId="0555831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Взвод конников младшего лейтенанта Рубец, атаковав отступающую по просёлочной дороге колонну вражеской пехоты, изрубил свыше 100 немецких солдат и офицеров.</w:t>
      </w:r>
    </w:p>
    <w:p w14:paraId="3C91B7B5"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Г., действующий в одном из районов Украины, захваченных немцами, взорвал плотину и затопил дорогу, по которой двигались к фронту немецкие обозы. В этот же день партизаны взорвали 2 грузовика с боеприпасами и уничтожили 17 гитлеровцев.</w:t>
      </w:r>
    </w:p>
    <w:p w14:paraId="3D416BC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штабной роты 512 полка 293 немецкой пехотной дивизии Руди Сальковский показал следующее: «Старший фельдфебель Шламо мне говорил, что 170 обмороженных солдат нашего полка отправлены в лазарет. За последнее время усилилось дезертирство. Командование начало официально публиковать списки дезертиров, а также списки солдат, расстрелянных за дезертирство».</w:t>
      </w:r>
    </w:p>
    <w:p w14:paraId="11CF8C2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немецкой армии на советско-германском фронте солдаты всё чаще отказываются исполнять приказания офицеров. Полевой суд 44 немецкой дивизии недавно приговорил большую группу солдат к смертной казни. В мотивировке смертного приговора ефрейтору Эрнсту Фогелю говорится: «Ефрейтор 3 батареи 96 артполка Эрнст Фогель присуждён к расстрелу за систематическое невыполнение боевых приказов. На последнем марше он отказался доставить повозку с боеприпасами в указанное место. Несмотря на повторные приказы вахмистра и командира батареи, Фогель отказался выполнить их распоряжения».</w:t>
      </w:r>
    </w:p>
    <w:p w14:paraId="6240811E"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Мясоедово, Курской области, немцы сожгли все дома, а население угнали в тыл. Во время пожара одна крестьянка вынесла из горящего дома двух своих детей, положила их на улице, а сама побежала спасать остальных. Проходившие по улице гитлеровцы схватили обоих детей и бросили их в прорубь реки. Перед отступлением из этого села немецкие бандиты изнасиловали 12 женщин и девушек, а затем расстреляли их.</w:t>
      </w:r>
    </w:p>
    <w:p w14:paraId="5FA64AA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Ненависть населения Франции к немецким оккупантам растёт с каждым днём. В городе Труа собравшаяся толпа разгромила здание немецкой комендатуры. В Монбельяр женщины устроили перед зданием префектуры демонстрацию с требованием снабдить их продовольствием. Из рядов демонстрантов раздавались возгласы с призывом «бить проклятых немцев».</w:t>
      </w:r>
    </w:p>
    <w:p w14:paraId="098A614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Машинно-тракторные станции Татарии успешно готовятся к весеннему севу. Коллектив Муслюмовской станции полностью закончил ремонт тракторов. Ряд машинно-тракторных станций республики сам изготовляет многие запасные части.» (15021).</w:t>
      </w:r>
    </w:p>
    <w:p w14:paraId="1CC1AEC4"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D5A58DD"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1E0FF0F3"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26 января наши войска продолжали продвигаться вперёд. В результате ожесточённых боёв, во время которых противник понёс большие потери, наши части заняли несколько населённых пунктов.</w:t>
      </w:r>
    </w:p>
    <w:p w14:paraId="649B6BDF"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января уничтожено 20 немецких самолётов. Наши потеря — 5 самолётов.</w:t>
      </w:r>
    </w:p>
    <w:p w14:paraId="398642CC"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января под Москвой сбито 4 немецких самолёта.</w:t>
      </w:r>
    </w:p>
    <w:p w14:paraId="6EBD5E7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подводная лодка в Баренцевом море потопила два транспорта и сторожевой корабль противника.</w:t>
      </w:r>
    </w:p>
    <w:p w14:paraId="71DD79E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января части нашей авиации уничтожили 14 немецких танков, около 450 автомашин с пехотой и грузами, 120 повозок с боеприпасами, 5 полевых орудий, взорвали 20 железнодорожных вагонов и 2 паровоза, рассеяли и частью истребили 4 батальона пехоты противника.</w:t>
      </w:r>
    </w:p>
    <w:p w14:paraId="5899A2C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18 по 24 января немецкая авиация потеряла 126 самолётов. Из них в воздушных боях уничтожено 78 самолётов, зенитным огнём сбито 14 машин, на аэродромах противника уничтожено 34 самолёта. Наши потери за этот же период— 41 самолёт.</w:t>
      </w:r>
    </w:p>
    <w:p w14:paraId="19057CE3"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Наша часть под командой тов. Боброва (Западный фронт), отрезав пути отхода группировке противника, в ожесточённом бою перебила 300 немецких солдат и офицеров и захватила 16 вражеских орудий, 27 пулемётов, 76 повозок с боеприпасами и другие трофеи. На другом участке фронта наш отряд под командованием старшего лейтенанта Шепунова, отбив контратаку вражеского батальона, захватил 2 немецких танка, 2 полковых миномёта и 5 пулемётов.</w:t>
      </w:r>
    </w:p>
    <w:p w14:paraId="0294E1D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танковая часть, действующая на одном из участков Южного фронта, за два дня боёв освободила 8 населённых пунктов, захватила 2 железнодорожных, эшелона с разными грузами, 30 автомашин с боеприпасами и вывела из строя 400 гитлеровских солдат и офицеров.</w:t>
      </w:r>
    </w:p>
    <w:p w14:paraId="24A8B2A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три дня боёв с противником одна наша часть, действующая на Юго-Западном фронте, уничтожила 11 вражеских пулемётных точек, 9 миномётных и 12 артиллерийских батарей. Противник потерял до 700 солдат и офицеров.</w:t>
      </w:r>
    </w:p>
    <w:p w14:paraId="76D95C78"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Рябухин, ворвавшись с группой красноармейцев в село Р., забросал гранатами штаб немецкой части и уничтожил 32 вражеских офицера.</w:t>
      </w:r>
    </w:p>
    <w:p w14:paraId="0BBD6F38"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партизанских отряда, действующие на оккупированной немцами территории Ленинградской области, за два последних месяца уничтожили: один немецкий самолёт, 2 танка, 75 автомашин, 20 мотоциклов, 2 зенитных орудия и радиостанцию. За это же время советские патриоты взорвали 5 складов боеприпасов, 7 железнодорожных мостов, пустили под откос 23 воинских эшелона и истребили 436 гитлеровских солдат и офицеров.</w:t>
      </w:r>
    </w:p>
    <w:p w14:paraId="7D60622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кармане немецкого солдата Гейнца Кюле найдено неотправленное письмо к Рольфу Егеру, проживающему в Лейпциге. В письме говорится: «Мы пошли на свою погибель. Из нашей роты уцелела лишь одна четвёртая часть людей. Было 180 человек, осталось 45».</w:t>
      </w:r>
    </w:p>
    <w:p w14:paraId="75A15AF6"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палачи вписали в свой бандитский послужной список ещё одно тягчайшее преступление. Они разорили и разрушили психиатрическую больницу имени доктора Литвинова в селе Бурашёво, Калининского района, Калининской области, и учинили кровавую, чудовищную расправу над больными. Для расследования всех обстоятельств этого нового злодеяния гитлеровцев из Москвы была командирована авторитетная комиссия. Ниже публикуется акт этой комиссии:</w:t>
      </w:r>
    </w:p>
    <w:p w14:paraId="4A2B7A9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w:t>
      </w:r>
    </w:p>
    <w:p w14:paraId="010ACA0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нижеподписавшиеся, обследовали психиатрическую больницу имени доктора Литвинова и установили следующее: немецкие войска оккупировали территорию больницы 15 ноября 1941 года. К этому времени в больнице находилось 530 больных. В первый же день немецкие захватчики полностью разграбили продовольственные запасы больницы и тем самым обрекли больных на голодную смерть. Гитлеровцы приказали персоналу больницы немедленно освободить несколько больничных корпусов. Не дожидаясь, когда будет выполнено это распоряжение, бандиты ворвались в палаты и сбрасывали с коек больных, которые не в состоянии были сами двигаться. Многих больных немецкие варвары закололи штыками и расстреляли тут же в палатах. 80 больных, находившихся в этих корпусах, удалось доставить в село Бреднево и разместить в зданиях подсобного хозяйства больницы. Однако на другой день сюда нагрянули немцы и всех их расстреляли. Затем гитлеровцы совершили новое чудовищное злодеяние. В течение нескольких дней больные, оставшиеся в больнице, были отравлены и умерщвлены смертельными дозами наркотических средств (морфий, скополамин, веронал, амиталнатрий).</w:t>
      </w:r>
    </w:p>
    <w:p w14:paraId="15F41EFF"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освободившихся после умерщвления больных корпусов немцы устроили офицерскую столовую. Другие больничные помещения были превращены в конюшни. Перед своим отступлением немецкие вандалы подожгли и взорвали 5 новых лечебных корпусов (три отделения для больных, лазарет, физиолечебницу), детские ясли и 6 жилых зданий.</w:t>
      </w:r>
    </w:p>
    <w:p w14:paraId="5155CA9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Массовое убийство беззащитных и беспомощных больных и разрушение лечебного учреждения является беспримерным актом вандализма. Об этих чудовищных преступлениях гитлеровских палачей, потерявших человеческий облик, мы считаем необходимым довести до сведения мирового общественного мнения. Вместе с тем мы выражаем твёрдую уверенность в том, что эти тягчайшие преступления подлого врага не останутся безнаказанными. Гитлеровские убийцы и палачи получат заслуженное возмездие.</w:t>
      </w:r>
    </w:p>
    <w:p w14:paraId="63490F4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городской психиатр доктор И.С.Иолович, главный врач психиатрической больницы имени Кащенко доктор В.А.Тверитин, доктор П.Ф.Обновленский, профессор А.М.Вершинский, профессор В.М.Брадис, доктор А.Н.Абрамов, доктор Н.А.Федосеев» (15021).</w:t>
      </w:r>
    </w:p>
    <w:p w14:paraId="04DBFCD9"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067FD372"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Калининский фронт завершил окружение около 7 немецких дивизий в районе Оленино. Войска Западного фронта перерезали дорогу Гжатск - Юхнов, вышли в район Сухиничей (15021).</w:t>
      </w:r>
    </w:p>
    <w:p w14:paraId="70DF823F"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9948FD1"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35E12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EC2C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года Распоряжением Мурманского облисполкома № 4 была временно уменьшена дневная норма хлеба. С 28 января вместо 800 грамм человек получал только 600, вместо 600 - 400, вместо 500 - 300, вместо 400 - 250 грамм (Там же, ф. Р-808, оп. 2, д. 9, л. 6, 7). К середине 1942 года положение начало меняться к лучшему. Уменьшилась напряженность с продуктами. Советом Народных Комиссаров СССР, наркоматом торговли, Мурманским облисполкомом был издан ряд документов, направленных на улучшение снабжения детей, беременных женщин, кормящих матерей, доноров, больных (Там же, ф. Р-405, оп. 1, д. 255, л. 391 об.; д. 281, л. 65, 66; д. 282, л. 54; оп. 3а, д. 7, л. 140.). Выдавалось дополнительное питание рабочим, за особо вредные условия труда. Так, например, приказом Наркомата химической промышленности СССР от 20 мая 1942 года № 109сс была установлена выдача продуктов сверх основной нормы рабочим комбината «Апатит», занятым на производстве фосфорных смесей (Там же, ф. Р-808, оп. 2, д. 9, л. 109-111.) (11911).</w:t>
      </w:r>
    </w:p>
    <w:p w14:paraId="4177EB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4535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вышло Постановление ГКО № 1215 [О переводе в Москву НКВТ, НКзага, НКТ, Центросоюза.] (7021, 117).</w:t>
      </w:r>
    </w:p>
    <w:p w14:paraId="5F7EF2B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32782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3F392F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DB4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года СССР и Великобритания пришли к соглашению, и через три дня британско-советско-иранский договор был подписан (3871).</w:t>
      </w:r>
    </w:p>
    <w:p w14:paraId="475EAF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58A8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C1F8C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23462"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состоялся первый полет американского планера «CG-3A». Первый прототип планера «CG-3A» был готов в декабре 1941 года и мог перевозить 7 человек при максимальной скорости буксировки до 193 км\ч. Первоначально USAC заказали 300 экземпляров, но в 1942 году заказ сократили до 100 штук. Причиной отказа от постройки основной партии послужили объективные причины - малая вместительность и неудобство в выгрузке десантников. Все построенные «CG-3A» были переданы в учебные школы, а их место на передовой заняли более вместительные «CG-4» (15021).</w:t>
      </w:r>
    </w:p>
    <w:p w14:paraId="49B03B63"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08E3301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26 января 1942 первые американские отряды прибыли в Британию </w:t>
      </w:r>
      <w:r w:rsidRPr="008127F8">
        <w:rPr>
          <w:rFonts w:ascii="Times New Roman" w:hAnsi="Times New Roman"/>
          <w:color w:val="000000" w:themeColor="text1"/>
          <w:sz w:val="16"/>
          <w:szCs w:val="16"/>
          <w:lang w:val="en-US"/>
        </w:rPr>
        <w:t>(4962).</w:t>
      </w:r>
    </w:p>
    <w:p w14:paraId="0EB9A41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02D92B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 xml:space="preserve">Jan 26 1942 First American forces arrive in Great Britain (1050) - </w:t>
      </w:r>
      <w:r w:rsidRPr="008127F8">
        <w:rPr>
          <w:rFonts w:ascii="Times New Roman" w:hAnsi="Times New Roman"/>
          <w:color w:val="000000" w:themeColor="text1"/>
          <w:sz w:val="16"/>
          <w:szCs w:val="16"/>
        </w:rPr>
        <w:t>вСевернуюИрландию</w:t>
      </w:r>
      <w:r w:rsidRPr="008127F8">
        <w:rPr>
          <w:rFonts w:ascii="Times New Roman" w:hAnsi="Times New Roman"/>
          <w:color w:val="000000" w:themeColor="text1"/>
          <w:sz w:val="16"/>
          <w:szCs w:val="16"/>
          <w:lang w:val="en-US"/>
        </w:rPr>
        <w:t xml:space="preserve"> (2100).</w:t>
      </w:r>
    </w:p>
    <w:p w14:paraId="60696D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A39C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1942 первые американские части прибыли в Великобританию (1050) - в Северную Ирландию (2100).</w:t>
      </w:r>
    </w:p>
    <w:p w14:paraId="6AA9EF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8430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директива начальника ОКВ В.Кейтеля о запрете солдатам вермахта жениться на фламандках и валлонках (15021).</w:t>
      </w:r>
    </w:p>
    <w:p w14:paraId="1910239C"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1B32D6C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(26-28 января) японские войска заняли Соломоновы острова (15021).</w:t>
      </w:r>
    </w:p>
    <w:p w14:paraId="0865CE6F"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4AD38C3"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января</w:t>
      </w:r>
      <w:r w:rsidRPr="008127F8">
        <w:rPr>
          <w:rFonts w:ascii="Times New Roman" w:hAnsi="Times New Roman"/>
          <w:color w:val="000000" w:themeColor="text1"/>
          <w:sz w:val="16"/>
          <w:szCs w:val="16"/>
        </w:rPr>
        <w:t xml:space="preserve"> в 1942 году германо-итальянские войска заняли Бенгази. Английское командование не успело эвакуировать или уничтожить склады с вооружением и горючим, портовые сооружения и другие военные объекты (15021).</w:t>
      </w:r>
    </w:p>
    <w:p w14:paraId="446772C5"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FAAD8EA"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85071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2616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января 1942 появилась резолюция "НКАП А.И.Шахурину" на письме капитана Фомина в ГУ ВВС: "...целесообразно иметь второго человека - стрелка, а броню перенести за него к хвосту. Для стрелка поставить 12,7 мм пулемет, стреляющий назад с хорошей маневренностью установки (возможно использовать легко управляемую спарку), скорость самолета в двухместном варианте должна быть не меньше 400 км/час." </w:t>
      </w:r>
    </w:p>
    <w:p w14:paraId="5D4944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"Отзывы ИТС 47 ад по Ил-2 доложите 21 января 1942"</w:t>
      </w:r>
    </w:p>
    <w:p w14:paraId="5ED9BA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 ГУ ВВС бриг инж Лешуков, военком Руденко (471).</w:t>
      </w:r>
    </w:p>
    <w:p w14:paraId="61C3C3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AFD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Зам. Нач. ГУ ВВС Лешуков и Военком Руденко писали НКАП А.И.Ш. письмо N 372510с:</w:t>
      </w:r>
    </w:p>
    <w:p w14:paraId="2812EE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"Препровождаю отзывы и предложения итс 47 АД о работе авиавооружения, приборов управления огнем, боеприпасов и по Ил-2 в целом, доложенные мне 21 января 1942.</w:t>
      </w:r>
    </w:p>
    <w:p w14:paraId="7949D6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Прошу Вашего распоряжения о принятии мер по устранению названных дефектов и указаний заводам и КБ по реализации предложений и пожеланий лт и ис 47 АД." (1635,204).</w:t>
      </w:r>
    </w:p>
    <w:p w14:paraId="20B105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1942 года. Аэродром "Тушино" - 47 АД.</w:t>
      </w:r>
    </w:p>
    <w:p w14:paraId="423757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дивизии полковник Толстиков</w:t>
      </w:r>
    </w:p>
    <w:p w14:paraId="601414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 полковой комиссар - Иваненко.</w:t>
      </w:r>
    </w:p>
    <w:p w14:paraId="7D6BC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Заноздро - капитан - командир эскадрильи:</w:t>
      </w:r>
    </w:p>
    <w:p w14:paraId="2A9C16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В.Я. по мощности огня имеет значительное преимущество перед пушкой ШВАК, мощнее ее намного. В части перезарядки пушка В.Я. имеет ряд недостатков, основные из них это трудности в отыскании кнопок на ощупь, так как во время боя глазами их искать не будем, надо смотреть за целью. Бывало так, что из-за этого искания кнопок, не удавалось перезарядить пушку, находясь перед целью.</w:t>
      </w:r>
    </w:p>
    <w:p w14:paraId="410EC6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Зимой задержек стало больше, основные из них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поломки и недоход частей в переднее положение.</w:t>
      </w:r>
    </w:p>
    <w:p w14:paraId="6ECF01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Пневмоперезарядка хорошо работает при давлении в 35 атм. Мы слышали, что на ИЛ-2 ставят 37 мм пушки. Считаем, что этого делать не надо, так как пушки В.Я. обладают мощным огнем, а вместе с РС, или </w:t>
      </w:r>
      <w:proofErr w:type="gramStart"/>
      <w:r w:rsidRPr="008127F8">
        <w:rPr>
          <w:rFonts w:ascii="Times New Roman" w:hAnsi="Times New Roman"/>
          <w:color w:val="000000" w:themeColor="text1"/>
          <w:sz w:val="16"/>
          <w:szCs w:val="16"/>
        </w:rPr>
        <w:t>РБС это</w:t>
      </w:r>
      <w:proofErr w:type="gramEnd"/>
      <w:r w:rsidRPr="008127F8">
        <w:rPr>
          <w:rFonts w:ascii="Times New Roman" w:hAnsi="Times New Roman"/>
          <w:color w:val="000000" w:themeColor="text1"/>
          <w:sz w:val="16"/>
          <w:szCs w:val="16"/>
        </w:rPr>
        <w:t xml:space="preserve"> очень эффективный самолет. Лучше добавить на самолет ИЛ-2 еще два крыльевых ШКАСА, необходимых для действия по живой силе.</w:t>
      </w:r>
    </w:p>
    <w:p w14:paraId="166692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Диапазоны скоростей самолета ИЛ-2 надо увеличить до 450 км/час по приборам.</w:t>
      </w:r>
    </w:p>
    <w:p w14:paraId="77FFCA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части установки пушек и пулеметов, - их надо ставить под отрицательным углом, чтобы большее время цель находилась под стрелково-пушечным огнем. Угол надо установить такой, чтобы при высоте в 20 метров, на дистанции 400-500 метров было возможно начать стрелять по цели.</w:t>
      </w:r>
    </w:p>
    <w:p w14:paraId="2B0205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Задней огневой защиты без человека, два самолета ИЛ-2 не нужно.</w:t>
      </w:r>
    </w:p>
    <w:p w14:paraId="079546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поражения живой силы, кроме мелкокалиберных пулеметов, желательно иметь осколочные гранаты типа АГ-2, которые сбрасывать при пролете над живой силой, с высоты 20 м,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будет эффективно.</w:t>
      </w:r>
    </w:p>
    <w:p w14:paraId="04C494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Ставить РО для стрельбы назад - нецелесообразно, как и всякое другое оружие неприцельное.</w:t>
      </w:r>
    </w:p>
    <w:p w14:paraId="048FC9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необходимо управление РС и бомбами от одного ЭСБР отделить и сделать для РС одно, для бомб другое.</w:t>
      </w:r>
    </w:p>
    <w:p w14:paraId="1B3092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Боекомплект для В.Я. на самолете ИЛ-2 подобран хорошо и его вполне достаточно. Были очень редкие случаи, когда требовалось штук 5-10 дополнительно.</w:t>
      </w:r>
    </w:p>
    <w:p w14:paraId="316882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Беспрерывные очереди стрельбы из пушек В.Я. бывают 15-20 выстрелов и как исключение доходили до 40 выстрелов. При этом автоматика работала безотказно, дефектов обнаружено не было. Боекомплект в ленту снаряжаем так: один патрон осколочно-зажигательный, один бронебойно-зажигательный и так далее - через один. Пушка В.Я. очень хорошая, ее мы освоили.</w:t>
      </w:r>
    </w:p>
    <w:p w14:paraId="1164AC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Фомин:</w:t>
      </w:r>
    </w:p>
    <w:p w14:paraId="5E3384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пушке В.Я. недоход частей в переднее положение увеличился в зимнее время. До наступления морозов это явление было редким.</w:t>
      </w:r>
    </w:p>
    <w:p w14:paraId="796F23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Желательно иметь электро-пневмоперезарядку.</w:t>
      </w:r>
    </w:p>
    <w:p w14:paraId="37C402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Отрицательным явлением в пушке В.Я. - частые поломки затвора.</w:t>
      </w:r>
    </w:p>
    <w:p w14:paraId="75AEB8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пулемету ШКАС - бывают случаи, правда редкие, это отказ в работе перезарядки.</w:t>
      </w:r>
    </w:p>
    <w:p w14:paraId="4AE5BC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самолета ИЛ-2 устанавливать пулеметы калибра 7,62 мм с большим темпом стрельбы, чем пулемет ШКАС, не требуется, при этой скорострельности достаточно плотности покрытия цели пулями. Увеличение количества пулеметов ШКАС - желательно, для поражения большой площади.</w:t>
      </w:r>
    </w:p>
    <w:p w14:paraId="6A7AC6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В.Я. отличная пушка, только над устранением поломок - увеличение живучести ее, надо поработать побыстрее.</w:t>
      </w:r>
    </w:p>
    <w:p w14:paraId="032FC7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РС необходимо иметь прицел на стекле козырька в виде перекрестия, с выносом вперед на капот регулирующей мушки. Козырек на самолете ИЛ-2 надо изменить и сделать его по типу Р-5.</w:t>
      </w:r>
    </w:p>
    <w:p w14:paraId="5AF219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Двухмоторный штурмовик иметь нецелесообразно, он будет тяжел; лучше будет если на ИЛ-2 посадить второго человека-стрелка, а броню перенести за него - к хвосту. Для стрелка поставить один 12,7 мм пулемет для стрельбы назад, с хорошей маневренной установкой. Если удастся поставить спарку легко управляемую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тоже будет не плохо. Скорость самолета ИЛ-2 надо повысить и довести до 400 км/час с дополнительным, вторым человеком и его стрелковой точкой.</w:t>
      </w:r>
    </w:p>
    <w:p w14:paraId="14CCF1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Военинженер 3 ранга - инженер по вооружению Гавренко:</w:t>
      </w:r>
    </w:p>
    <w:p w14:paraId="154D40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Заменять пушку В.Я. 37 мм пушкой на самолете ИЛ-2 нецелесообразно. В.Я. работает хорошо. Необходим стрелок, на самолете ИЛ-2, назад. Стрелку дать 12,7 мм пулемет и тогда самолет ИЛ-2 будет неприступной крепостью.</w:t>
      </w:r>
    </w:p>
    <w:p w14:paraId="4FA065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пушке В.Я. ломаются следующие детали:</w:t>
      </w:r>
    </w:p>
    <w:p w14:paraId="5769AE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передняя часть ползуна - при Dr=4,5 мм после 500 выстрелов;</w:t>
      </w:r>
    </w:p>
    <w:p w14:paraId="0C50EE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клин запирания затвора после 625 выстрелов;</w:t>
      </w:r>
    </w:p>
    <w:p w14:paraId="17D400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сапожок ползуна после 500 выстрелов;</w:t>
      </w:r>
    </w:p>
    <w:p w14:paraId="3B1E75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затвор при 600-700 выстрелах Dr=4,0 мм;</w:t>
      </w:r>
    </w:p>
    <w:p w14:paraId="1A9C21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фиксатор - при 500 выстрелах;</w:t>
      </w:r>
    </w:p>
    <w:p w14:paraId="72B989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ось спускового крючка;</w:t>
      </w:r>
    </w:p>
    <w:p w14:paraId="52E5E9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пружина под останов слаба, получается проскок патрона;</w:t>
      </w:r>
    </w:p>
    <w:p w14:paraId="5929BB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винт крепления останова вывинчивается во время стрельбы, необходимо его кренить;</w:t>
      </w:r>
    </w:p>
    <w:p w14:paraId="311BAC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ось фиксирующих пальцев выпадает, необходимо также кернить;</w:t>
      </w:r>
    </w:p>
    <w:p w14:paraId="0DB45F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деформируется предохранитель пальцев.</w:t>
      </w:r>
    </w:p>
    <w:p w14:paraId="5BD287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Были случаи скалывания углов паза коробки по пазам клина запирания, трещина коробки под приемником (по центру), что приводит к заклинению ствола, которого снять нельзя. Было 4-ре случая трещины на крышке коробки, в продолжении выреза </w:t>
      </w:r>
      <w:proofErr w:type="gramStart"/>
      <w:r w:rsidRPr="008127F8">
        <w:rPr>
          <w:rFonts w:ascii="Times New Roman" w:hAnsi="Times New Roman"/>
          <w:color w:val="000000" w:themeColor="text1"/>
          <w:sz w:val="16"/>
          <w:szCs w:val="16"/>
        </w:rPr>
        <w:t>под ползун</w:t>
      </w:r>
      <w:proofErr w:type="gramEnd"/>
      <w:r w:rsidRPr="008127F8">
        <w:rPr>
          <w:rFonts w:ascii="Times New Roman" w:hAnsi="Times New Roman"/>
          <w:color w:val="000000" w:themeColor="text1"/>
          <w:sz w:val="16"/>
          <w:szCs w:val="16"/>
        </w:rPr>
        <w:t>.</w:t>
      </w:r>
    </w:p>
    <w:p w14:paraId="36B4AE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Деформируется крышка коробки и по ее пазу ползун не проходит местами совсем.</w:t>
      </w:r>
    </w:p>
    <w:p w14:paraId="4CA352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случаев поломок движков переднего шептала на 300 выстреле; тоже рычаг переднего шептала. Поломка поршня по резьбе, соединяющей со штоком.</w:t>
      </w:r>
    </w:p>
    <w:p w14:paraId="3091A8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Левая пушка </w:t>
      </w:r>
      <w:proofErr w:type="gramStart"/>
      <w:r w:rsidRPr="008127F8">
        <w:rPr>
          <w:rFonts w:ascii="Times New Roman" w:hAnsi="Times New Roman"/>
          <w:color w:val="000000" w:themeColor="text1"/>
          <w:sz w:val="16"/>
          <w:szCs w:val="16"/>
        </w:rPr>
        <w:t>трудно доступна</w:t>
      </w:r>
      <w:proofErr w:type="gramEnd"/>
      <w:r w:rsidRPr="008127F8">
        <w:rPr>
          <w:rFonts w:ascii="Times New Roman" w:hAnsi="Times New Roman"/>
          <w:color w:val="000000" w:themeColor="text1"/>
          <w:sz w:val="16"/>
          <w:szCs w:val="16"/>
        </w:rPr>
        <w:t xml:space="preserve"> для устранения задержек и эксплуатации (здесь самолетчикам необходимо подход к ней улучшить).</w:t>
      </w:r>
    </w:p>
    <w:p w14:paraId="5F0990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огнем, множеством кнопок, затруднено, надо сделать раздельное управление одного вида от другого, а то все вместе, происходит перепутывание.</w:t>
      </w:r>
    </w:p>
    <w:p w14:paraId="0CFDCA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Необходима механическая перезарядка для эксплуатации на земле. Бывают случаи прострела цилиндра и без механической перезарядки, тратим много время, когда пушку надо снять.</w:t>
      </w:r>
    </w:p>
    <w:p w14:paraId="7F3D27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Газ 4,5 мм надо закрыть. Пушка работает хорошо при 3,5 и макс. - 4,0 мм.</w:t>
      </w:r>
    </w:p>
    <w:p w14:paraId="6824C8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Штуцер на трубке воздухопровода ломается по месту пайки, надо этот вопрос решить быстрее.</w:t>
      </w:r>
    </w:p>
    <w:p w14:paraId="6619F4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Имелся 21 случай проскока патрона за фиксатор, по причине износа последнего.</w:t>
      </w:r>
    </w:p>
    <w:p w14:paraId="0CB961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Средняя живучесть пушек в нашей дивизии 3000-3500 выстрелов. Но есть пушки, которые имеют настрел и по 8000 выстрелов.</w:t>
      </w:r>
    </w:p>
    <w:p w14:paraId="3EDB6E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Был случай поломки левой соединительной части приемника, по причине подскока клина запирания и воздействия его </w:t>
      </w:r>
      <w:proofErr w:type="gramStart"/>
      <w:r w:rsidRPr="008127F8">
        <w:rPr>
          <w:rFonts w:ascii="Times New Roman" w:hAnsi="Times New Roman"/>
          <w:color w:val="000000" w:themeColor="text1"/>
          <w:sz w:val="16"/>
          <w:szCs w:val="16"/>
        </w:rPr>
        <w:t>на ползун</w:t>
      </w:r>
      <w:proofErr w:type="gramEnd"/>
      <w:r w:rsidRPr="008127F8">
        <w:rPr>
          <w:rFonts w:ascii="Times New Roman" w:hAnsi="Times New Roman"/>
          <w:color w:val="000000" w:themeColor="text1"/>
          <w:sz w:val="16"/>
          <w:szCs w:val="16"/>
        </w:rPr>
        <w:t xml:space="preserve"> вверх, происходит как бы выжим ползуна из пазов. По этой же причине были случаи и скалывания на пазах коробки.</w:t>
      </w:r>
    </w:p>
    <w:p w14:paraId="0337D2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простая, мы ее освоили быстро, не имея никаких инструкций и описаний.</w:t>
      </w:r>
    </w:p>
    <w:p w14:paraId="0F889D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Болт заднего крепления надо изменить, так как его долго ввинчивать и вывинчивать. У нас есть и сделан свой болт очень простой, удобно и быстро вставляется. Сделал его Мальцев В.П.</w:t>
      </w:r>
    </w:p>
    <w:p w14:paraId="0707E0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Мальцев предложил </w:t>
      </w:r>
      <w:proofErr w:type="gramStart"/>
      <w:r w:rsidRPr="008127F8">
        <w:rPr>
          <w:rFonts w:ascii="Times New Roman" w:hAnsi="Times New Roman"/>
          <w:color w:val="000000" w:themeColor="text1"/>
          <w:sz w:val="16"/>
          <w:szCs w:val="16"/>
        </w:rPr>
        <w:t>автоматическую перезарядку</w:t>
      </w:r>
      <w:proofErr w:type="gramEnd"/>
      <w:r w:rsidRPr="008127F8">
        <w:rPr>
          <w:rFonts w:ascii="Times New Roman" w:hAnsi="Times New Roman"/>
          <w:color w:val="000000" w:themeColor="text1"/>
          <w:sz w:val="16"/>
          <w:szCs w:val="16"/>
        </w:rPr>
        <w:t xml:space="preserve"> смонтированную на гашетке; желательно, чтобы ее приняли на вооружение.</w:t>
      </w:r>
    </w:p>
    <w:p w14:paraId="5433E8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 не поднята на должную высоту живучесть пушки В.Я., запасные части, по перечисленным выше деталям, - обязательны.</w:t>
      </w:r>
    </w:p>
    <w:p w14:paraId="667C6D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Пружину буфера - запасную не давать, так как не было ни одного случая, чтобы она ломалась.</w:t>
      </w:r>
    </w:p>
    <w:p w14:paraId="4E94A0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Осечек почти не было. </w:t>
      </w:r>
      <w:proofErr w:type="gramStart"/>
      <w:r w:rsidRPr="008127F8">
        <w:rPr>
          <w:rFonts w:ascii="Times New Roman" w:hAnsi="Times New Roman"/>
          <w:color w:val="000000" w:themeColor="text1"/>
          <w:sz w:val="16"/>
          <w:szCs w:val="16"/>
        </w:rPr>
        <w:t>На 100000 патронов</w:t>
      </w:r>
      <w:proofErr w:type="gramEnd"/>
      <w:r w:rsidRPr="008127F8">
        <w:rPr>
          <w:rFonts w:ascii="Times New Roman" w:hAnsi="Times New Roman"/>
          <w:color w:val="000000" w:themeColor="text1"/>
          <w:sz w:val="16"/>
          <w:szCs w:val="16"/>
        </w:rPr>
        <w:t xml:space="preserve"> выстеленных за небольшое время из нескольких пушек, была одна осечка.</w:t>
      </w:r>
    </w:p>
    <w:p w14:paraId="36E06E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Взрыватели К-20 работают безотказно, траекторных разрывов не было. Заменять его нет оснований.</w:t>
      </w:r>
    </w:p>
    <w:p w14:paraId="5AF776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Лучшая смазка смазка КВ.</w:t>
      </w:r>
    </w:p>
    <w:p w14:paraId="629092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даны ответы и разъяснения.</w:t>
      </w:r>
    </w:p>
    <w:p w14:paraId="5F5EA4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беседе с летным, инженерно-техническим и Начсоставом, присутствовали от ГУ ВВС:</w:t>
      </w:r>
    </w:p>
    <w:p w14:paraId="4CD559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Бригадный комиссар Руденко,</w:t>
      </w:r>
    </w:p>
    <w:p w14:paraId="2FC762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Бригинженер Лешуков;</w:t>
      </w:r>
    </w:p>
    <w:p w14:paraId="0F2558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Военинженер 1 ранга Матаев, и</w:t>
      </w:r>
    </w:p>
    <w:p w14:paraId="26C378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НКВ автор пушки В.Я. Волков А.А. (Начальник 3 отдела управления опытного стр-ва ГУ ВВС военинженер 1 ранга Матаев) (1635,205).</w:t>
      </w:r>
    </w:p>
    <w:p w14:paraId="33E778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D3C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 на имя нар</w:t>
      </w:r>
      <w:r w:rsidRPr="008127F8">
        <w:rPr>
          <w:rFonts w:ascii="Times New Roman" w:hAnsi="Times New Roman"/>
          <w:color w:val="000000" w:themeColor="text1"/>
          <w:sz w:val="16"/>
          <w:szCs w:val="16"/>
        </w:rPr>
        <w:softHyphen/>
        <w:t>кома авиапромышленности СССР А.И.Шахурина от заместителя на</w:t>
      </w:r>
      <w:r w:rsidRPr="008127F8">
        <w:rPr>
          <w:rFonts w:ascii="Times New Roman" w:hAnsi="Times New Roman"/>
          <w:color w:val="000000" w:themeColor="text1"/>
          <w:sz w:val="16"/>
          <w:szCs w:val="16"/>
        </w:rPr>
        <w:softHyphen/>
        <w:t>чальника ГУ ВВС КА бригинженера Лешукова и военного комиссара ГУ ВВС КА бригадного комиссара Руденко поступили отзывы и предложе</w:t>
      </w:r>
      <w:r w:rsidRPr="008127F8">
        <w:rPr>
          <w:rFonts w:ascii="Times New Roman" w:hAnsi="Times New Roman"/>
          <w:color w:val="000000" w:themeColor="text1"/>
          <w:sz w:val="16"/>
          <w:szCs w:val="16"/>
        </w:rPr>
        <w:softHyphen/>
        <w:t>ния инженерно-технического состава 47-й авиадивизии о работе авиа</w:t>
      </w:r>
      <w:r w:rsidRPr="008127F8">
        <w:rPr>
          <w:rFonts w:ascii="Times New Roman" w:hAnsi="Times New Roman"/>
          <w:color w:val="000000" w:themeColor="text1"/>
          <w:sz w:val="16"/>
          <w:szCs w:val="16"/>
        </w:rPr>
        <w:softHyphen/>
        <w:t xml:space="preserve">вооружения, приборов управления огнем и боеприпасов по самолету Ил-2 в целом. В части, касающейся реактивных систем </w:t>
      </w:r>
      <w:proofErr w:type="gramStart"/>
      <w:r w:rsidRPr="008127F8">
        <w:rPr>
          <w:rFonts w:ascii="Times New Roman" w:hAnsi="Times New Roman"/>
          <w:color w:val="000000" w:themeColor="text1"/>
          <w:sz w:val="16"/>
          <w:szCs w:val="16"/>
        </w:rPr>
        <w:t>вооружения</w:t>
      </w:r>
      <w:proofErr w:type="gramEnd"/>
      <w:r w:rsidRPr="008127F8">
        <w:rPr>
          <w:rFonts w:ascii="Times New Roman" w:hAnsi="Times New Roman"/>
          <w:color w:val="000000" w:themeColor="text1"/>
          <w:sz w:val="16"/>
          <w:szCs w:val="16"/>
        </w:rPr>
        <w:t xml:space="preserve"> выступили командир эскадрильи капитан Заноздро </w:t>
      </w:r>
      <w:r w:rsidRPr="008127F8">
        <w:rPr>
          <w:rFonts w:ascii="Times New Roman" w:hAnsi="Times New Roman"/>
          <w:color w:val="000000" w:themeColor="text1"/>
          <w:sz w:val="16"/>
          <w:szCs w:val="16"/>
        </w:rPr>
        <w:lastRenderedPageBreak/>
        <w:t>и летчик капитан Фомин. Вот вкратце суть их обращений: «...Мы слышали, что на Ил-2 ста</w:t>
      </w:r>
      <w:r w:rsidRPr="008127F8">
        <w:rPr>
          <w:rFonts w:ascii="Times New Roman" w:hAnsi="Times New Roman"/>
          <w:color w:val="000000" w:themeColor="text1"/>
          <w:sz w:val="16"/>
          <w:szCs w:val="16"/>
        </w:rPr>
        <w:softHyphen/>
        <w:t xml:space="preserve">вят 37-мм пушки. Считаем, что этого делать не надо, так как пушки ВЯ обладают мощным огнем, а вместе с РС или </w:t>
      </w:r>
      <w:proofErr w:type="gramStart"/>
      <w:r w:rsidRPr="008127F8">
        <w:rPr>
          <w:rFonts w:ascii="Times New Roman" w:hAnsi="Times New Roman"/>
          <w:color w:val="000000" w:themeColor="text1"/>
          <w:sz w:val="16"/>
          <w:szCs w:val="16"/>
        </w:rPr>
        <w:t>РБС это</w:t>
      </w:r>
      <w:proofErr w:type="gramEnd"/>
      <w:r w:rsidRPr="008127F8">
        <w:rPr>
          <w:rFonts w:ascii="Times New Roman" w:hAnsi="Times New Roman"/>
          <w:color w:val="000000" w:themeColor="text1"/>
          <w:sz w:val="16"/>
          <w:szCs w:val="16"/>
        </w:rPr>
        <w:t xml:space="preserve"> очень эффектив</w:t>
      </w:r>
      <w:r w:rsidRPr="008127F8">
        <w:rPr>
          <w:rFonts w:ascii="Times New Roman" w:hAnsi="Times New Roman"/>
          <w:color w:val="000000" w:themeColor="text1"/>
          <w:sz w:val="16"/>
          <w:szCs w:val="16"/>
        </w:rPr>
        <w:softHyphen/>
        <w:t>ный самолет». «...Ставить РО для стрельбы назад нецелесообразно, как и всякое другое неприцельное оружие». «...На самолете Ил-2 необходи</w:t>
      </w:r>
      <w:r w:rsidRPr="008127F8">
        <w:rPr>
          <w:rFonts w:ascii="Times New Roman" w:hAnsi="Times New Roman"/>
          <w:color w:val="000000" w:themeColor="text1"/>
          <w:sz w:val="16"/>
          <w:szCs w:val="16"/>
        </w:rPr>
        <w:softHyphen/>
        <w:t>мо управление РС и бомбами от одного ЭСЕР отделить и сделать для РС одно, а для бомб — другое, так как после стрельбы ракетными снарядами (2 штуки) в одном заходе сбрасывают по одной бомбе». «...Для РС необ</w:t>
      </w:r>
      <w:r w:rsidRPr="008127F8">
        <w:rPr>
          <w:rFonts w:ascii="Times New Roman" w:hAnsi="Times New Roman"/>
          <w:color w:val="000000" w:themeColor="text1"/>
          <w:sz w:val="16"/>
          <w:szCs w:val="16"/>
        </w:rPr>
        <w:softHyphen/>
        <w:t>ходимо иметь прицел на стекле козырька кабины в виде перекрестия с выносом вперед на капот регулирующей мушки».</w:t>
      </w:r>
    </w:p>
    <w:p w14:paraId="60C933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сказанного можно сделать вывод, что зимой 1942 г. опытные Ил-2, вооруженные 37-мм пушками НС-37, планировали использовать для борь</w:t>
      </w:r>
      <w:r w:rsidRPr="008127F8">
        <w:rPr>
          <w:rFonts w:ascii="Times New Roman" w:hAnsi="Times New Roman"/>
          <w:color w:val="000000" w:themeColor="text1"/>
          <w:sz w:val="16"/>
          <w:szCs w:val="16"/>
        </w:rPr>
        <w:softHyphen/>
        <w:t>бы с наземными бронированными целями, а реактивному вооружению от</w:t>
      </w:r>
      <w:r w:rsidRPr="008127F8">
        <w:rPr>
          <w:rFonts w:ascii="Times New Roman" w:hAnsi="Times New Roman"/>
          <w:color w:val="000000" w:themeColor="text1"/>
          <w:sz w:val="16"/>
          <w:szCs w:val="16"/>
        </w:rPr>
        <w:softHyphen/>
        <w:t>вести роль оборонительного для стрельбы по воздушным целям в ЗПС. Бо</w:t>
      </w:r>
      <w:r w:rsidRPr="008127F8">
        <w:rPr>
          <w:rFonts w:ascii="Times New Roman" w:hAnsi="Times New Roman"/>
          <w:color w:val="000000" w:themeColor="text1"/>
          <w:sz w:val="16"/>
          <w:szCs w:val="16"/>
        </w:rPr>
        <w:softHyphen/>
        <w:t>лее того, с целью экономии, пульт ЭСБР-Зп должен был служить и для ор</w:t>
      </w:r>
      <w:r w:rsidRPr="008127F8">
        <w:rPr>
          <w:rFonts w:ascii="Times New Roman" w:hAnsi="Times New Roman"/>
          <w:color w:val="000000" w:themeColor="text1"/>
          <w:sz w:val="16"/>
          <w:szCs w:val="16"/>
        </w:rPr>
        <w:softHyphen/>
        <w:t>ганизации огня РС, и сброса авиабомб. В этом случае на панели приборов в кабине Ил-2 должен был стоять переключатель вида оружия «РС-бомбы». На реактивных истребителях-бомбардировщиках МиГ-27 именно таким образом и была организована система управления огнем (11402).</w:t>
      </w:r>
    </w:p>
    <w:p w14:paraId="21BF25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0D27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года Шахурин писал Сталину.</w:t>
      </w:r>
    </w:p>
    <w:p w14:paraId="3CB397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1941 года конструктором Гудковым выпущен самолет Лагг-3 с мотором М-82, который на летных испытаниях показал скорость у земли 478 км/час и на высоте 6500 м - 573 км/час.</w:t>
      </w:r>
    </w:p>
    <w:p w14:paraId="50BF62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экземпляр самолета оборудован двумя пулеметами калибра 12,7 мм и двумя пулеметами калибра 7,62 мм. Второй экземпляр самолета оборудован двумя синхронными пушками калибра 20 мм и одним пулеметом калибра 1267 мм.</w:t>
      </w:r>
    </w:p>
    <w:p w14:paraId="592240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выявления боевых и эксплуатационных качеств этого самолета путем выпуска небольшого количества их и проверки их в условиях фронтовой работы, прошу Вашего разрешения организовать завод малых серий в Москве на территории одного из эвакуированных опытных заводов.</w:t>
      </w:r>
    </w:p>
    <w:p w14:paraId="1206DC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Указанные работы целесообразно проводить на самостоятельной базе, чтобы не нарушать выпуска самолетов Лагг-3 с мотором М-105 на серийных заводах.</w:t>
      </w:r>
    </w:p>
    <w:p w14:paraId="2C3E00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явится возможность закончить строительство опытного самолета типа Аэрокобра с мотором АМ-37, конструкции Гудкова, временно законсервированного из-за отсутствия мотора.</w:t>
      </w:r>
    </w:p>
    <w:p w14:paraId="619ED9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Направляю на ваше утверждение проект постановления.</w:t>
      </w:r>
    </w:p>
    <w:p w14:paraId="2608E9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w:t>
      </w:r>
    </w:p>
    <w:p w14:paraId="3EE6E3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сравнительные данные самолета ЛАГГ-3 с моторами</w:t>
      </w:r>
    </w:p>
    <w:p w14:paraId="3AB38D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 и М-82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342"/>
        <w:gridCol w:w="6029"/>
      </w:tblGrid>
      <w:tr w:rsidR="006F4095" w:rsidRPr="008127F8" w14:paraId="4ADE0EBD" w14:textId="77777777">
        <w:tc>
          <w:tcPr>
            <w:tcW w:w="3085" w:type="dxa"/>
            <w:tcBorders>
              <w:top w:val="single" w:sz="12" w:space="0" w:color="auto"/>
            </w:tcBorders>
          </w:tcPr>
          <w:p w14:paraId="15354C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самолета</w:t>
            </w:r>
          </w:p>
        </w:tc>
        <w:tc>
          <w:tcPr>
            <w:tcW w:w="1342" w:type="dxa"/>
            <w:tcBorders>
              <w:top w:val="single" w:sz="12" w:space="0" w:color="auto"/>
            </w:tcBorders>
          </w:tcPr>
          <w:p w14:paraId="38D16F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w:t>
            </w:r>
          </w:p>
        </w:tc>
        <w:tc>
          <w:tcPr>
            <w:tcW w:w="6029" w:type="dxa"/>
            <w:tcBorders>
              <w:top w:val="single" w:sz="12" w:space="0" w:color="auto"/>
            </w:tcBorders>
          </w:tcPr>
          <w:p w14:paraId="55B63A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w:t>
            </w:r>
          </w:p>
        </w:tc>
      </w:tr>
      <w:tr w:rsidR="006F4095" w:rsidRPr="008127F8" w14:paraId="43FFE486" w14:textId="77777777">
        <w:tc>
          <w:tcPr>
            <w:tcW w:w="3085" w:type="dxa"/>
          </w:tcPr>
          <w:p w14:paraId="43E858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43A493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6029" w:type="dxa"/>
          </w:tcPr>
          <w:p w14:paraId="1BC086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r>
      <w:tr w:rsidR="006F4095" w:rsidRPr="008127F8" w14:paraId="38C26CFE" w14:textId="77777777">
        <w:tc>
          <w:tcPr>
            <w:tcW w:w="3085" w:type="dxa"/>
          </w:tcPr>
          <w:p w14:paraId="4AEECD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w:t>
            </w:r>
          </w:p>
        </w:tc>
        <w:tc>
          <w:tcPr>
            <w:tcW w:w="1342" w:type="dxa"/>
          </w:tcPr>
          <w:p w14:paraId="464167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563134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BF1865" w14:textId="77777777">
        <w:tc>
          <w:tcPr>
            <w:tcW w:w="3085" w:type="dxa"/>
          </w:tcPr>
          <w:p w14:paraId="15DC16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342" w:type="dxa"/>
          </w:tcPr>
          <w:p w14:paraId="375ED2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485 км/час</w:t>
            </w:r>
          </w:p>
        </w:tc>
        <w:tc>
          <w:tcPr>
            <w:tcW w:w="6029" w:type="dxa"/>
          </w:tcPr>
          <w:p w14:paraId="4BCBAD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 км/час</w:t>
            </w:r>
          </w:p>
        </w:tc>
      </w:tr>
      <w:tr w:rsidR="006F4095" w:rsidRPr="008127F8" w14:paraId="61A51AA0" w14:textId="77777777">
        <w:tc>
          <w:tcPr>
            <w:tcW w:w="3085" w:type="dxa"/>
          </w:tcPr>
          <w:p w14:paraId="4117C9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на расчетной</w:t>
            </w:r>
          </w:p>
        </w:tc>
        <w:tc>
          <w:tcPr>
            <w:tcW w:w="1342" w:type="dxa"/>
          </w:tcPr>
          <w:p w14:paraId="4894B3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575 км/час</w:t>
            </w:r>
          </w:p>
        </w:tc>
        <w:tc>
          <w:tcPr>
            <w:tcW w:w="6029" w:type="dxa"/>
          </w:tcPr>
          <w:p w14:paraId="0BA8B1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 км/час</w:t>
            </w:r>
          </w:p>
        </w:tc>
      </w:tr>
      <w:tr w:rsidR="006F4095" w:rsidRPr="008127F8" w14:paraId="109DBD30" w14:textId="77777777">
        <w:tc>
          <w:tcPr>
            <w:tcW w:w="3085" w:type="dxa"/>
          </w:tcPr>
          <w:p w14:paraId="15FB4A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w:t>
            </w:r>
          </w:p>
        </w:tc>
        <w:tc>
          <w:tcPr>
            <w:tcW w:w="1342" w:type="dxa"/>
          </w:tcPr>
          <w:p w14:paraId="645E9E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 5000 м</w:t>
            </w:r>
          </w:p>
        </w:tc>
        <w:tc>
          <w:tcPr>
            <w:tcW w:w="6029" w:type="dxa"/>
          </w:tcPr>
          <w:p w14:paraId="1D02D4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 6500 м</w:t>
            </w:r>
          </w:p>
        </w:tc>
      </w:tr>
      <w:tr w:rsidR="006F4095" w:rsidRPr="008127F8" w14:paraId="3E315135" w14:textId="77777777">
        <w:tc>
          <w:tcPr>
            <w:tcW w:w="3085" w:type="dxa"/>
          </w:tcPr>
          <w:p w14:paraId="0E6F99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подъема на</w:t>
            </w:r>
          </w:p>
        </w:tc>
        <w:tc>
          <w:tcPr>
            <w:tcW w:w="1342" w:type="dxa"/>
          </w:tcPr>
          <w:p w14:paraId="6A6A47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0A3C16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8EC174" w14:textId="77777777">
        <w:tc>
          <w:tcPr>
            <w:tcW w:w="3085" w:type="dxa"/>
          </w:tcPr>
          <w:p w14:paraId="05053D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высоту 5000 м</w:t>
            </w:r>
          </w:p>
        </w:tc>
        <w:tc>
          <w:tcPr>
            <w:tcW w:w="1342" w:type="dxa"/>
          </w:tcPr>
          <w:p w14:paraId="350379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 мин.</w:t>
            </w:r>
          </w:p>
        </w:tc>
        <w:tc>
          <w:tcPr>
            <w:tcW w:w="6029" w:type="dxa"/>
          </w:tcPr>
          <w:p w14:paraId="61669C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 мин.</w:t>
            </w:r>
          </w:p>
        </w:tc>
      </w:tr>
      <w:tr w:rsidR="006F4095" w:rsidRPr="008127F8" w14:paraId="1DB7C44D" w14:textId="77777777">
        <w:tc>
          <w:tcPr>
            <w:tcW w:w="3085" w:type="dxa"/>
          </w:tcPr>
          <w:p w14:paraId="57A048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на 0,9</w:t>
            </w:r>
          </w:p>
        </w:tc>
        <w:tc>
          <w:tcPr>
            <w:tcW w:w="1342" w:type="dxa"/>
          </w:tcPr>
          <w:p w14:paraId="3B0FC3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66BA8C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B3ADC2" w14:textId="77777777">
        <w:tc>
          <w:tcPr>
            <w:tcW w:w="3085" w:type="dxa"/>
          </w:tcPr>
          <w:p w14:paraId="2DF28A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максимальной скорости</w:t>
            </w:r>
          </w:p>
        </w:tc>
        <w:tc>
          <w:tcPr>
            <w:tcW w:w="1342" w:type="dxa"/>
          </w:tcPr>
          <w:p w14:paraId="4CABAF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w:t>
            </w:r>
          </w:p>
        </w:tc>
        <w:tc>
          <w:tcPr>
            <w:tcW w:w="6029" w:type="dxa"/>
          </w:tcPr>
          <w:p w14:paraId="718307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 км</w:t>
            </w:r>
          </w:p>
        </w:tc>
      </w:tr>
      <w:tr w:rsidR="006F4095" w:rsidRPr="008127F8" w14:paraId="5D2381DE" w14:textId="77777777">
        <w:tc>
          <w:tcPr>
            <w:tcW w:w="3085" w:type="dxa"/>
          </w:tcPr>
          <w:p w14:paraId="6A1DD2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15216F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3EB913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расчету</w:t>
            </w:r>
          </w:p>
        </w:tc>
      </w:tr>
      <w:tr w:rsidR="006F4095" w:rsidRPr="008127F8" w14:paraId="7A8C3E97" w14:textId="77777777">
        <w:tc>
          <w:tcPr>
            <w:tcW w:w="3085" w:type="dxa"/>
          </w:tcPr>
          <w:p w14:paraId="363A0D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1342" w:type="dxa"/>
          </w:tcPr>
          <w:p w14:paraId="6C2F1C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9800 м</w:t>
            </w:r>
          </w:p>
        </w:tc>
        <w:tc>
          <w:tcPr>
            <w:tcW w:w="6029" w:type="dxa"/>
          </w:tcPr>
          <w:p w14:paraId="666638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10500 м</w:t>
            </w:r>
          </w:p>
        </w:tc>
      </w:tr>
      <w:tr w:rsidR="006F4095" w:rsidRPr="008127F8" w14:paraId="0661EA24" w14:textId="77777777">
        <w:tc>
          <w:tcPr>
            <w:tcW w:w="3085" w:type="dxa"/>
          </w:tcPr>
          <w:p w14:paraId="714A10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tc>
        <w:tc>
          <w:tcPr>
            <w:tcW w:w="1342" w:type="dxa"/>
          </w:tcPr>
          <w:p w14:paraId="416DC2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Швак</w:t>
            </w:r>
          </w:p>
        </w:tc>
        <w:tc>
          <w:tcPr>
            <w:tcW w:w="6029" w:type="dxa"/>
          </w:tcPr>
          <w:p w14:paraId="2AD69D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БС</w:t>
            </w:r>
          </w:p>
        </w:tc>
      </w:tr>
      <w:tr w:rsidR="006F4095" w:rsidRPr="008127F8" w14:paraId="12AA4D8A" w14:textId="77777777">
        <w:tc>
          <w:tcPr>
            <w:tcW w:w="3085" w:type="dxa"/>
          </w:tcPr>
          <w:p w14:paraId="756019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02BF4D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 20 мм</w:t>
            </w:r>
          </w:p>
        </w:tc>
        <w:tc>
          <w:tcPr>
            <w:tcW w:w="6029" w:type="dxa"/>
          </w:tcPr>
          <w:p w14:paraId="7FFC71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 12,7 мм</w:t>
            </w:r>
          </w:p>
        </w:tc>
      </w:tr>
      <w:tr w:rsidR="006F4095" w:rsidRPr="008127F8" w14:paraId="04F93696" w14:textId="77777777">
        <w:tc>
          <w:tcPr>
            <w:tcW w:w="3085" w:type="dxa"/>
          </w:tcPr>
          <w:p w14:paraId="2A6D6E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433681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w:t>
            </w:r>
          </w:p>
        </w:tc>
        <w:tc>
          <w:tcPr>
            <w:tcW w:w="6029" w:type="dxa"/>
          </w:tcPr>
          <w:p w14:paraId="1D23E4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Шкас</w:t>
            </w:r>
          </w:p>
        </w:tc>
      </w:tr>
      <w:tr w:rsidR="006F4095" w:rsidRPr="008127F8" w14:paraId="5C286DBF" w14:textId="77777777">
        <w:tc>
          <w:tcPr>
            <w:tcW w:w="3085" w:type="dxa"/>
          </w:tcPr>
          <w:p w14:paraId="67AFD4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5F6CEC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 12,7 мм</w:t>
            </w:r>
          </w:p>
        </w:tc>
        <w:tc>
          <w:tcPr>
            <w:tcW w:w="6029" w:type="dxa"/>
          </w:tcPr>
          <w:p w14:paraId="70BB4A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 7,62 мм</w:t>
            </w:r>
          </w:p>
        </w:tc>
      </w:tr>
      <w:tr w:rsidR="006F4095" w:rsidRPr="008127F8" w14:paraId="16A25EB3" w14:textId="77777777">
        <w:tc>
          <w:tcPr>
            <w:tcW w:w="3085" w:type="dxa"/>
          </w:tcPr>
          <w:p w14:paraId="160726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2B6C69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7906D8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или</w:t>
            </w:r>
          </w:p>
        </w:tc>
      </w:tr>
      <w:tr w:rsidR="006F4095" w:rsidRPr="008127F8" w14:paraId="2B10C0AF" w14:textId="77777777">
        <w:tc>
          <w:tcPr>
            <w:tcW w:w="3085" w:type="dxa"/>
          </w:tcPr>
          <w:p w14:paraId="6E17B7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1EF68E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73D41A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синхронных</w:t>
            </w:r>
          </w:p>
        </w:tc>
      </w:tr>
      <w:tr w:rsidR="006F4095" w:rsidRPr="008127F8" w14:paraId="4250F585" w14:textId="77777777">
        <w:tc>
          <w:tcPr>
            <w:tcW w:w="3085" w:type="dxa"/>
          </w:tcPr>
          <w:p w14:paraId="3CBCBF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2FF97E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11714A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пушки Швак</w:t>
            </w:r>
          </w:p>
        </w:tc>
      </w:tr>
      <w:tr w:rsidR="006F4095" w:rsidRPr="008127F8" w14:paraId="09038018" w14:textId="77777777">
        <w:tc>
          <w:tcPr>
            <w:tcW w:w="3085" w:type="dxa"/>
          </w:tcPr>
          <w:p w14:paraId="36E7B9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72D26F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0E0FA3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 20 мм</w:t>
            </w:r>
          </w:p>
        </w:tc>
      </w:tr>
      <w:tr w:rsidR="006F4095" w:rsidRPr="008127F8" w14:paraId="142A10BF" w14:textId="77777777">
        <w:tc>
          <w:tcPr>
            <w:tcW w:w="3085" w:type="dxa"/>
          </w:tcPr>
          <w:p w14:paraId="6655E0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07A3A8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2C715D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БС</w:t>
            </w:r>
          </w:p>
        </w:tc>
      </w:tr>
      <w:tr w:rsidR="006F4095" w:rsidRPr="008127F8" w14:paraId="0BF3775C" w14:textId="77777777">
        <w:tc>
          <w:tcPr>
            <w:tcW w:w="3085" w:type="dxa"/>
            <w:tcBorders>
              <w:bottom w:val="single" w:sz="12" w:space="0" w:color="auto"/>
            </w:tcBorders>
          </w:tcPr>
          <w:p w14:paraId="2CD12A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Borders>
              <w:bottom w:val="single" w:sz="12" w:space="0" w:color="auto"/>
            </w:tcBorders>
          </w:tcPr>
          <w:p w14:paraId="6F611C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Borders>
              <w:bottom w:val="single" w:sz="12" w:space="0" w:color="auto"/>
            </w:tcBorders>
          </w:tcPr>
          <w:p w14:paraId="7B8A83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 12,7 мм</w:t>
            </w:r>
          </w:p>
        </w:tc>
      </w:tr>
    </w:tbl>
    <w:p w14:paraId="1636C5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Испытанный самолет с мотором М-82 был взят из шестой серии выпуска завода N 21, самолеты которой имели скорость меньше на 23 км/час против приведенной в таблице для Лагг-3 с мотором М-105.</w:t>
      </w:r>
    </w:p>
    <w:p w14:paraId="4E4AAC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Постановления ГКО</w:t>
      </w:r>
    </w:p>
    <w:p w14:paraId="21C5DA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выпуска малой серии самолетов Лагг-3 с мотором М-82 конструкции Гудкова М.И. и проведения опытных работ, ГКО постановляет:</w:t>
      </w:r>
    </w:p>
    <w:p w14:paraId="3E5628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опытный завод на территории одного из эвакуированных опытных заводов в Москве и назначить директором и гл. конструктором этого завода Гудкова М.И.</w:t>
      </w:r>
    </w:p>
    <w:p w14:paraId="0A58C7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НКАП и гл. конструктора Гудкова М.И.</w:t>
      </w:r>
    </w:p>
    <w:p w14:paraId="0AE533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построить малую серию самолетов Лагг-3 с мотором М-82 в количестве 20 самолетов и выпустить первые 5 самолетов к 10 апреля и остальные к 10 мая 1942 года.</w:t>
      </w:r>
    </w:p>
    <w:p w14:paraId="15FDFA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Постройку самолетов Лагг-3 с мотором М-82 производить с использованием задела безмоторных самолетов завода N 21.</w:t>
      </w:r>
    </w:p>
    <w:p w14:paraId="4B7187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закончить постройкой начатый в 1941 году опытный самолет типа Аэрокобра: первый экземпляр к 1 мая 1942 года и второй к 1 июня 1942 года.</w:t>
      </w:r>
    </w:p>
    <w:p w14:paraId="5D59A6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ВВС Жигареву П.Ф. произвести в течение 2-х недель испытания малой серии самолетов Лагг-3 с М-82 в боевых условиях и представить заключение о боевых качествах самолета.</w:t>
      </w:r>
    </w:p>
    <w:p w14:paraId="5363A7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постановку производства по выпуску малой серии модернизированного самолета Лагг-3 с мотором М-82 и на формирование оборотных средств завода отпустить НКАП из резервного фонда СНК девять миллионов рублей.</w:t>
      </w:r>
    </w:p>
    <w:p w14:paraId="311C03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Окончание постройки самолета типа Аэрокобра производить за счет ассигнований НКАП по опытным работам на 1942 год (1684,64).</w:t>
      </w:r>
    </w:p>
    <w:p w14:paraId="1AB78B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191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 Шахурин направил Сталину справку, подтверждавшую высокие данные ЛаГГ-3 М-82 (Гу-82) и надеж</w:t>
      </w:r>
      <w:r w:rsidRPr="008127F8">
        <w:rPr>
          <w:rFonts w:ascii="Times New Roman" w:hAnsi="Times New Roman"/>
          <w:color w:val="000000" w:themeColor="text1"/>
          <w:sz w:val="16"/>
          <w:szCs w:val="16"/>
        </w:rPr>
        <w:softHyphen/>
        <w:t>ность его мотора. К ней прилагался проект постановления ГКО о постройке малой серии для войсковых испытаний. На это и на воз</w:t>
      </w:r>
      <w:r w:rsidRPr="008127F8">
        <w:rPr>
          <w:rFonts w:ascii="Times New Roman" w:hAnsi="Times New Roman"/>
          <w:color w:val="000000" w:themeColor="text1"/>
          <w:sz w:val="16"/>
          <w:szCs w:val="16"/>
        </w:rPr>
        <w:softHyphen/>
        <w:t>вращение ОКБ Гудкова в Москву Шахурин испрашивал 9 млн. руб. Самолет еще не поступил на Госиспытания в НИИ ВВС, но воен</w:t>
      </w:r>
      <w:r w:rsidRPr="008127F8">
        <w:rPr>
          <w:rFonts w:ascii="Times New Roman" w:hAnsi="Times New Roman"/>
          <w:color w:val="000000" w:themeColor="text1"/>
          <w:sz w:val="16"/>
          <w:szCs w:val="16"/>
        </w:rPr>
        <w:softHyphen/>
        <w:t>ные им очень интересовались. К февралю 1942 г. удалось постро</w:t>
      </w:r>
      <w:r w:rsidRPr="008127F8">
        <w:rPr>
          <w:rFonts w:ascii="Times New Roman" w:hAnsi="Times New Roman"/>
          <w:color w:val="000000" w:themeColor="text1"/>
          <w:sz w:val="16"/>
          <w:szCs w:val="16"/>
        </w:rPr>
        <w:softHyphen/>
        <w:t>ить планер «дублера», но для него не было ни мотора, ни вооружения. Наркомавиапром приказом № 145с от 21.02.42 г. обязал ОКБ-301 в кратчайшие сроки закончить работы по двум экземпля</w:t>
      </w:r>
      <w:r w:rsidRPr="008127F8">
        <w:rPr>
          <w:rFonts w:ascii="Times New Roman" w:hAnsi="Times New Roman"/>
          <w:color w:val="000000" w:themeColor="text1"/>
          <w:sz w:val="16"/>
          <w:szCs w:val="16"/>
        </w:rPr>
        <w:softHyphen/>
        <w:t>рам Гу-82 и передать их на ГСИ. Это давало возможность быстро получить недостающее, но успеху Гудкова помешали возникшие конкуренты, которыми стали бывшие коллеги (11123).</w:t>
      </w:r>
    </w:p>
    <w:p w14:paraId="1BBC43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8E0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в ходе испытаний первого опытного экз. тяжелого грузового планера (25 чел., 76 мм пушка с расчетом или танкетка К-27 с экипажем) Л.П.Курбалы КГ - Курбала-грузовой, которые шли с 9 января по 22 февраля 1942, были выполнены первые три полета в Сталинграде на деревообрабатывающем (тарном) заводе (94,82).</w:t>
      </w:r>
    </w:p>
    <w:p w14:paraId="7269EA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3412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 Поликарпов, рассмотрев представленные з-м № 29 материа</w:t>
      </w:r>
      <w:r w:rsidRPr="008127F8">
        <w:rPr>
          <w:rFonts w:ascii="Times New Roman" w:hAnsi="Times New Roman"/>
          <w:color w:val="000000" w:themeColor="text1"/>
          <w:sz w:val="16"/>
          <w:szCs w:val="16"/>
        </w:rPr>
        <w:softHyphen/>
        <w:t>лы по М-90 в письме указал, что для лучшей установки М-90 на И-185 ему необходимо разрешение на подрез ребер цилиндра № 1 на 14 мм или поворота всего мотора на 3°. Завод № 29 дал согласие на пово</w:t>
      </w:r>
      <w:r w:rsidRPr="008127F8">
        <w:rPr>
          <w:rFonts w:ascii="Times New Roman" w:hAnsi="Times New Roman"/>
          <w:color w:val="000000" w:themeColor="text1"/>
          <w:sz w:val="16"/>
          <w:szCs w:val="16"/>
        </w:rPr>
        <w:softHyphen/>
        <w:t>рот мотора. Главный конструктор Урмин форсировал работы по созданию М-90 с аппаратурой непосредственного впрыс</w:t>
      </w:r>
      <w:r w:rsidRPr="008127F8">
        <w:rPr>
          <w:rFonts w:ascii="Times New Roman" w:hAnsi="Times New Roman"/>
          <w:color w:val="000000" w:themeColor="text1"/>
          <w:sz w:val="16"/>
          <w:szCs w:val="16"/>
        </w:rPr>
        <w:softHyphen/>
        <w:t>ка топлива в цилиндры (система НВ). Однако при этом конструкция мотора несколько изменялась: устанавли</w:t>
      </w:r>
      <w:r w:rsidRPr="008127F8">
        <w:rPr>
          <w:rFonts w:ascii="Times New Roman" w:hAnsi="Times New Roman"/>
          <w:color w:val="000000" w:themeColor="text1"/>
          <w:sz w:val="16"/>
          <w:szCs w:val="16"/>
        </w:rPr>
        <w:softHyphen/>
        <w:t>вался несоосный редуктор с выносом вверх оси редукто</w:t>
      </w:r>
      <w:r w:rsidRPr="008127F8">
        <w:rPr>
          <w:rFonts w:ascii="Times New Roman" w:hAnsi="Times New Roman"/>
          <w:color w:val="000000" w:themeColor="text1"/>
          <w:sz w:val="16"/>
          <w:szCs w:val="16"/>
        </w:rPr>
        <w:softHyphen/>
        <w:t>ра относительно оси мотора на 200 мм (с синхро</w:t>
      </w:r>
      <w:r w:rsidRPr="008127F8">
        <w:rPr>
          <w:rFonts w:ascii="Times New Roman" w:hAnsi="Times New Roman"/>
          <w:color w:val="000000" w:themeColor="text1"/>
          <w:sz w:val="16"/>
          <w:szCs w:val="16"/>
        </w:rPr>
        <w:softHyphen/>
        <w:t>низаторами для установки только пулеметов) и на 350 мм (для мотора с пушками). Кроме того, пушечный вариант мотора имел пониженную на 100 л.с. мощность на всех режимах (10667).</w:t>
      </w:r>
    </w:p>
    <w:p w14:paraId="0326EA0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BFFB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6BE7A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B1C4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года вышел приказ № 54с НКВ</w:t>
      </w:r>
    </w:p>
    <w:p w14:paraId="31F9AC40"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Присвоить заводам </w:t>
      </w:r>
      <w:proofErr w:type="gramStart"/>
      <w:r w:rsidRPr="008127F8">
        <w:rPr>
          <w:rFonts w:ascii="Times New Roman" w:hAnsi="Times New Roman"/>
          <w:color w:val="000000" w:themeColor="text1"/>
          <w:sz w:val="16"/>
          <w:szCs w:val="16"/>
        </w:rPr>
        <w:t>НКВ</w:t>
      </w:r>
      <w:proofErr w:type="gramEnd"/>
      <w:r w:rsidRPr="008127F8">
        <w:rPr>
          <w:rFonts w:ascii="Times New Roman" w:hAnsi="Times New Roman"/>
          <w:color w:val="000000" w:themeColor="text1"/>
          <w:sz w:val="16"/>
          <w:szCs w:val="16"/>
        </w:rPr>
        <w:t xml:space="preserve"> находящимся в Туле следующие №№:</w:t>
      </w:r>
    </w:p>
    <w:p w14:paraId="5251CF4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Бывшему заводу № 66 - № 535</w:t>
      </w:r>
    </w:p>
    <w:p w14:paraId="27895080"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Бывшему заводу № 314 - № 536</w:t>
      </w:r>
    </w:p>
    <w:p w14:paraId="59E20E7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Бывшему заводу № 38 - № 539 (6321, 238).</w:t>
      </w:r>
    </w:p>
    <w:p w14:paraId="5051245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EC4A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года:</w:t>
      </w:r>
    </w:p>
    <w:p w14:paraId="2AF752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Директором филиала завода № 188 назначить Максимова П.И.</w:t>
      </w:r>
    </w:p>
    <w:p w14:paraId="6D2622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Директором филиала завода № 17 назначить Никулина С.А. (9209).</w:t>
      </w:r>
    </w:p>
    <w:p w14:paraId="6AF3E1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E0481" w14:textId="77777777" w:rsidR="008D722B" w:rsidRPr="008127F8" w:rsidRDefault="008D722B" w:rsidP="001E0A84">
      <w:pPr>
        <w:pStyle w:val="a4"/>
        <w:rPr>
          <w:color w:val="000000" w:themeColor="text1"/>
          <w:lang w:val="ru-RU"/>
        </w:rPr>
      </w:pPr>
      <w:r w:rsidRPr="008127F8">
        <w:rPr>
          <w:color w:val="000000" w:themeColor="text1"/>
          <w:lang w:val="ru-RU"/>
        </w:rPr>
        <w:t>27 января 1942 года заместителем начальника 2-го отдела НКТП С.А. Гинсбургом были подготовлены тактико-технические тре</w:t>
      </w:r>
      <w:r w:rsidRPr="008127F8">
        <w:rPr>
          <w:color w:val="000000" w:themeColor="text1"/>
          <w:lang w:val="ru-RU"/>
        </w:rPr>
        <w:softHyphen/>
        <w:t>бования на новый вариант КВ-7:</w:t>
      </w:r>
    </w:p>
    <w:p w14:paraId="656F9B82"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«Танк КВ-7 является безбашенным танком с усиленным вооружением (спаренная установка 2-х 76 мм пушек)</w:t>
      </w:r>
    </w:p>
    <w:p w14:paraId="05ADB17B" w14:textId="77777777" w:rsidR="008D722B" w:rsidRPr="008127F8" w:rsidRDefault="008D722B" w:rsidP="001E0A84">
      <w:pPr>
        <w:pStyle w:val="Bodytext141"/>
        <w:shd w:val="clear" w:color="auto" w:fill="auto"/>
        <w:tabs>
          <w:tab w:val="left" w:pos="522"/>
        </w:tabs>
        <w:spacing w:line="240" w:lineRule="auto"/>
        <w:ind w:firstLine="0"/>
        <w:jc w:val="both"/>
        <w:rPr>
          <w:i w:val="0"/>
          <w:color w:val="000000" w:themeColor="text1"/>
          <w:sz w:val="16"/>
          <w:szCs w:val="16"/>
        </w:rPr>
      </w:pPr>
      <w:r w:rsidRPr="008127F8">
        <w:rPr>
          <w:i w:val="0"/>
          <w:color w:val="000000" w:themeColor="text1"/>
          <w:sz w:val="16"/>
          <w:szCs w:val="16"/>
        </w:rPr>
        <w:t>1. Боевой вес танка 50 — 55 тонн</w:t>
      </w:r>
    </w:p>
    <w:p w14:paraId="737E7AB2" w14:textId="77777777" w:rsidR="008D722B" w:rsidRPr="008127F8" w:rsidRDefault="008D722B" w:rsidP="001E0A84">
      <w:pPr>
        <w:pStyle w:val="Bodytext141"/>
        <w:shd w:val="clear" w:color="auto" w:fill="auto"/>
        <w:tabs>
          <w:tab w:val="left" w:pos="613"/>
        </w:tabs>
        <w:spacing w:line="240" w:lineRule="auto"/>
        <w:ind w:firstLine="0"/>
        <w:jc w:val="both"/>
        <w:rPr>
          <w:i w:val="0"/>
          <w:color w:val="000000" w:themeColor="text1"/>
          <w:sz w:val="16"/>
          <w:szCs w:val="16"/>
        </w:rPr>
      </w:pPr>
      <w:r w:rsidRPr="008127F8">
        <w:rPr>
          <w:i w:val="0"/>
          <w:color w:val="000000" w:themeColor="text1"/>
          <w:sz w:val="16"/>
          <w:szCs w:val="16"/>
        </w:rPr>
        <w:t>2. Броня</w:t>
      </w:r>
    </w:p>
    <w:p w14:paraId="5635F5A6" w14:textId="77777777" w:rsidR="008D722B" w:rsidRPr="008127F8" w:rsidRDefault="008D722B" w:rsidP="001E0A84">
      <w:pPr>
        <w:pStyle w:val="Bodytext141"/>
        <w:shd w:val="clear" w:color="auto" w:fill="auto"/>
        <w:tabs>
          <w:tab w:val="left" w:pos="1005"/>
        </w:tabs>
        <w:spacing w:line="240" w:lineRule="auto"/>
        <w:ind w:firstLine="0"/>
        <w:jc w:val="both"/>
        <w:rPr>
          <w:i w:val="0"/>
          <w:color w:val="000000" w:themeColor="text1"/>
          <w:sz w:val="16"/>
          <w:szCs w:val="16"/>
        </w:rPr>
      </w:pPr>
      <w:r w:rsidRPr="008127F8">
        <w:rPr>
          <w:i w:val="0"/>
          <w:color w:val="000000" w:themeColor="text1"/>
          <w:sz w:val="16"/>
          <w:szCs w:val="16"/>
        </w:rPr>
        <w:t>а) бронировка системы не менее 75мм.</w:t>
      </w:r>
    </w:p>
    <w:p w14:paraId="6F1DCC3A" w14:textId="77777777" w:rsidR="008D722B" w:rsidRPr="008127F8" w:rsidRDefault="008D722B" w:rsidP="001E0A84">
      <w:pPr>
        <w:pStyle w:val="Bodytext141"/>
        <w:shd w:val="clear" w:color="auto" w:fill="auto"/>
        <w:tabs>
          <w:tab w:val="left" w:pos="995"/>
        </w:tabs>
        <w:spacing w:line="240" w:lineRule="auto"/>
        <w:ind w:firstLine="0"/>
        <w:jc w:val="both"/>
        <w:rPr>
          <w:i w:val="0"/>
          <w:color w:val="000000" w:themeColor="text1"/>
          <w:sz w:val="16"/>
          <w:szCs w:val="16"/>
        </w:rPr>
      </w:pPr>
      <w:r w:rsidRPr="008127F8">
        <w:rPr>
          <w:i w:val="0"/>
          <w:color w:val="000000" w:themeColor="text1"/>
          <w:sz w:val="16"/>
          <w:szCs w:val="16"/>
        </w:rPr>
        <w:t xml:space="preserve">б) броневая защита корпуса аналогична корпусу танка </w:t>
      </w:r>
      <w:r w:rsidRPr="008127F8">
        <w:rPr>
          <w:i w:val="0"/>
          <w:color w:val="000000" w:themeColor="text1"/>
          <w:sz w:val="16"/>
          <w:szCs w:val="16"/>
          <w:lang w:val="en-US"/>
        </w:rPr>
        <w:t>KB</w:t>
      </w:r>
      <w:r w:rsidRPr="008127F8">
        <w:rPr>
          <w:i w:val="0"/>
          <w:color w:val="000000" w:themeColor="text1"/>
          <w:sz w:val="16"/>
          <w:szCs w:val="16"/>
        </w:rPr>
        <w:t>-1</w:t>
      </w:r>
    </w:p>
    <w:p w14:paraId="6530AEA0" w14:textId="77777777" w:rsidR="008D722B" w:rsidRPr="008127F8" w:rsidRDefault="008D722B" w:rsidP="001E0A84">
      <w:pPr>
        <w:pStyle w:val="Bodytext141"/>
        <w:shd w:val="clear" w:color="auto" w:fill="auto"/>
        <w:tabs>
          <w:tab w:val="left" w:pos="699"/>
        </w:tabs>
        <w:spacing w:line="240" w:lineRule="auto"/>
        <w:ind w:firstLine="0"/>
        <w:jc w:val="both"/>
        <w:rPr>
          <w:i w:val="0"/>
          <w:color w:val="000000" w:themeColor="text1"/>
          <w:sz w:val="16"/>
          <w:szCs w:val="16"/>
        </w:rPr>
      </w:pPr>
      <w:r w:rsidRPr="008127F8">
        <w:rPr>
          <w:i w:val="0"/>
          <w:color w:val="000000" w:themeColor="text1"/>
          <w:sz w:val="16"/>
          <w:szCs w:val="16"/>
        </w:rPr>
        <w:t>3. Вооружение</w:t>
      </w:r>
    </w:p>
    <w:p w14:paraId="17A81D26" w14:textId="77777777" w:rsidR="008D722B" w:rsidRPr="008127F8" w:rsidRDefault="008D722B" w:rsidP="001E0A84">
      <w:pPr>
        <w:pStyle w:val="Bodytext141"/>
        <w:shd w:val="clear" w:color="auto" w:fill="auto"/>
        <w:tabs>
          <w:tab w:val="left" w:pos="971"/>
        </w:tabs>
        <w:spacing w:line="240" w:lineRule="auto"/>
        <w:ind w:firstLine="0"/>
        <w:jc w:val="both"/>
        <w:rPr>
          <w:i w:val="0"/>
          <w:color w:val="000000" w:themeColor="text1"/>
          <w:sz w:val="16"/>
          <w:szCs w:val="16"/>
        </w:rPr>
      </w:pPr>
      <w:r w:rsidRPr="008127F8">
        <w:rPr>
          <w:i w:val="0"/>
          <w:color w:val="000000" w:themeColor="text1"/>
          <w:sz w:val="16"/>
          <w:szCs w:val="16"/>
        </w:rPr>
        <w:t>1) Количество пушек (спаренных) — 2 шт. Горизонтальный ход обстрела спаренной установки +/— 7,5° Вертикальные углы обстрела +20° —5°</w:t>
      </w:r>
    </w:p>
    <w:p w14:paraId="2772F94C" w14:textId="77777777" w:rsidR="008D722B" w:rsidRPr="008127F8" w:rsidRDefault="008D722B" w:rsidP="001E0A84">
      <w:pPr>
        <w:pStyle w:val="Bodytext141"/>
        <w:shd w:val="clear" w:color="auto" w:fill="auto"/>
        <w:tabs>
          <w:tab w:val="left" w:pos="990"/>
        </w:tabs>
        <w:spacing w:line="240" w:lineRule="auto"/>
        <w:ind w:firstLine="0"/>
        <w:jc w:val="both"/>
        <w:rPr>
          <w:i w:val="0"/>
          <w:color w:val="000000" w:themeColor="text1"/>
          <w:sz w:val="16"/>
          <w:szCs w:val="16"/>
        </w:rPr>
      </w:pPr>
      <w:r w:rsidRPr="008127F8">
        <w:rPr>
          <w:i w:val="0"/>
          <w:color w:val="000000" w:themeColor="text1"/>
          <w:sz w:val="16"/>
          <w:szCs w:val="16"/>
        </w:rPr>
        <w:t>2) Количество пулеметов ДТ</w:t>
      </w:r>
    </w:p>
    <w:p w14:paraId="00D29ED2" w14:textId="77777777" w:rsidR="008D722B" w:rsidRPr="008127F8" w:rsidRDefault="008D722B" w:rsidP="001E0A84">
      <w:pPr>
        <w:pStyle w:val="Bodytext141"/>
        <w:shd w:val="clear" w:color="auto" w:fill="auto"/>
        <w:tabs>
          <w:tab w:val="left" w:pos="1010"/>
        </w:tabs>
        <w:spacing w:line="240" w:lineRule="auto"/>
        <w:ind w:firstLine="0"/>
        <w:jc w:val="both"/>
        <w:rPr>
          <w:i w:val="0"/>
          <w:color w:val="000000" w:themeColor="text1"/>
          <w:sz w:val="16"/>
          <w:szCs w:val="16"/>
        </w:rPr>
      </w:pPr>
      <w:r w:rsidRPr="008127F8">
        <w:rPr>
          <w:i w:val="0"/>
          <w:color w:val="000000" w:themeColor="text1"/>
          <w:sz w:val="16"/>
          <w:szCs w:val="16"/>
        </w:rPr>
        <w:t>а) в носовой части корпуса — I</w:t>
      </w:r>
    </w:p>
    <w:p w14:paraId="2B239956" w14:textId="77777777" w:rsidR="008D722B" w:rsidRPr="008127F8" w:rsidRDefault="008D722B" w:rsidP="001E0A84">
      <w:pPr>
        <w:pStyle w:val="Bodytext141"/>
        <w:shd w:val="clear" w:color="auto" w:fill="auto"/>
        <w:tabs>
          <w:tab w:val="left" w:pos="1000"/>
        </w:tabs>
        <w:spacing w:line="240" w:lineRule="auto"/>
        <w:ind w:firstLine="0"/>
        <w:jc w:val="both"/>
        <w:rPr>
          <w:i w:val="0"/>
          <w:color w:val="000000" w:themeColor="text1"/>
          <w:sz w:val="16"/>
          <w:szCs w:val="16"/>
        </w:rPr>
      </w:pPr>
      <w:r w:rsidRPr="008127F8">
        <w:rPr>
          <w:i w:val="0"/>
          <w:color w:val="000000" w:themeColor="text1"/>
          <w:sz w:val="16"/>
          <w:szCs w:val="16"/>
        </w:rPr>
        <w:t>б) в кормовой части боевого отделения — 2 Горизонтальные углы обстрела пулеметов — 30° Вертикальные углы обстрела пулеметов +15° — 5°</w:t>
      </w:r>
    </w:p>
    <w:p w14:paraId="0FBE30D1" w14:textId="77777777" w:rsidR="008D722B" w:rsidRPr="008127F8" w:rsidRDefault="008D722B" w:rsidP="001E0A84">
      <w:pPr>
        <w:pStyle w:val="Bodytext141"/>
        <w:shd w:val="clear" w:color="auto" w:fill="auto"/>
        <w:tabs>
          <w:tab w:val="left" w:pos="656"/>
        </w:tabs>
        <w:spacing w:line="240" w:lineRule="auto"/>
        <w:ind w:firstLine="0"/>
        <w:jc w:val="both"/>
        <w:rPr>
          <w:i w:val="0"/>
          <w:color w:val="000000" w:themeColor="text1"/>
          <w:sz w:val="16"/>
          <w:szCs w:val="16"/>
        </w:rPr>
      </w:pPr>
      <w:r w:rsidRPr="008127F8">
        <w:rPr>
          <w:i w:val="0"/>
          <w:color w:val="000000" w:themeColor="text1"/>
          <w:sz w:val="16"/>
          <w:szCs w:val="16"/>
        </w:rPr>
        <w:t>4. Боекомплект</w:t>
      </w:r>
    </w:p>
    <w:p w14:paraId="0E63863A" w14:textId="77777777" w:rsidR="008D722B" w:rsidRPr="008127F8" w:rsidRDefault="008D722B" w:rsidP="001E0A84">
      <w:pPr>
        <w:pStyle w:val="Bodytext141"/>
        <w:shd w:val="clear" w:color="auto" w:fill="auto"/>
        <w:tabs>
          <w:tab w:val="left" w:pos="971"/>
        </w:tabs>
        <w:spacing w:line="240" w:lineRule="auto"/>
        <w:ind w:firstLine="0"/>
        <w:jc w:val="both"/>
        <w:rPr>
          <w:i w:val="0"/>
          <w:color w:val="000000" w:themeColor="text1"/>
          <w:sz w:val="16"/>
          <w:szCs w:val="16"/>
        </w:rPr>
      </w:pPr>
      <w:r w:rsidRPr="008127F8">
        <w:rPr>
          <w:i w:val="0"/>
          <w:color w:val="000000" w:themeColor="text1"/>
          <w:sz w:val="16"/>
          <w:szCs w:val="16"/>
        </w:rPr>
        <w:t>1) Снарядов для 76 мм пушки — 120 — 150 шт.</w:t>
      </w:r>
    </w:p>
    <w:p w14:paraId="1B21150F" w14:textId="77777777" w:rsidR="008D722B" w:rsidRPr="008127F8" w:rsidRDefault="008D722B" w:rsidP="001E0A84">
      <w:pPr>
        <w:pStyle w:val="Bodytext141"/>
        <w:shd w:val="clear" w:color="auto" w:fill="auto"/>
        <w:tabs>
          <w:tab w:val="left" w:pos="986"/>
        </w:tabs>
        <w:spacing w:line="240" w:lineRule="auto"/>
        <w:ind w:firstLine="0"/>
        <w:jc w:val="both"/>
        <w:rPr>
          <w:i w:val="0"/>
          <w:color w:val="000000" w:themeColor="text1"/>
          <w:sz w:val="16"/>
          <w:szCs w:val="16"/>
        </w:rPr>
      </w:pPr>
      <w:r w:rsidRPr="008127F8">
        <w:rPr>
          <w:i w:val="0"/>
          <w:color w:val="000000" w:themeColor="text1"/>
          <w:sz w:val="16"/>
          <w:szCs w:val="16"/>
        </w:rPr>
        <w:t>2) Количество пулеметных дисков не менее — 40 шт.</w:t>
      </w:r>
    </w:p>
    <w:p w14:paraId="5F31A232"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5. Экипаж танка 6 человек</w:t>
      </w:r>
    </w:p>
    <w:p w14:paraId="0E285423"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6. Корпус танка</w:t>
      </w:r>
    </w:p>
    <w:p w14:paraId="3C30772A"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 xml:space="preserve">Корпус танка </w:t>
      </w:r>
      <w:r w:rsidRPr="008127F8">
        <w:rPr>
          <w:i w:val="0"/>
          <w:color w:val="000000" w:themeColor="text1"/>
          <w:sz w:val="16"/>
          <w:szCs w:val="16"/>
          <w:lang w:val="en-US"/>
        </w:rPr>
        <w:t>KB</w:t>
      </w:r>
      <w:r w:rsidRPr="008127F8">
        <w:rPr>
          <w:i w:val="0"/>
          <w:color w:val="000000" w:themeColor="text1"/>
          <w:sz w:val="16"/>
          <w:szCs w:val="16"/>
        </w:rPr>
        <w:t xml:space="preserve">- 7 аналогичный корпусу </w:t>
      </w:r>
      <w:r w:rsidRPr="008127F8">
        <w:rPr>
          <w:i w:val="0"/>
          <w:color w:val="000000" w:themeColor="text1"/>
          <w:sz w:val="16"/>
          <w:szCs w:val="16"/>
          <w:lang w:val="en-US"/>
        </w:rPr>
        <w:t>KB</w:t>
      </w:r>
      <w:r w:rsidRPr="008127F8">
        <w:rPr>
          <w:i w:val="0"/>
          <w:color w:val="000000" w:themeColor="text1"/>
          <w:sz w:val="16"/>
          <w:szCs w:val="16"/>
        </w:rPr>
        <w:t>-1, за исключением верхней части боевого отделения и деталей, непосредственно свя</w:t>
      </w:r>
      <w:r w:rsidRPr="008127F8">
        <w:rPr>
          <w:i w:val="0"/>
          <w:color w:val="000000" w:themeColor="text1"/>
          <w:sz w:val="16"/>
          <w:szCs w:val="16"/>
        </w:rPr>
        <w:softHyphen/>
        <w:t>занных с установкой систем.</w:t>
      </w:r>
    </w:p>
    <w:p w14:paraId="2A5865CB"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7. Боевое отделение и установка вооружения</w:t>
      </w:r>
    </w:p>
    <w:p w14:paraId="1C45E6ED" w14:textId="77777777" w:rsidR="008D722B" w:rsidRPr="008127F8" w:rsidRDefault="008D722B" w:rsidP="001E0A84">
      <w:pPr>
        <w:pStyle w:val="Bodytext141"/>
        <w:shd w:val="clear" w:color="auto" w:fill="auto"/>
        <w:tabs>
          <w:tab w:val="left" w:pos="962"/>
        </w:tabs>
        <w:spacing w:line="240" w:lineRule="auto"/>
        <w:ind w:firstLine="0"/>
        <w:jc w:val="both"/>
        <w:rPr>
          <w:i w:val="0"/>
          <w:color w:val="000000" w:themeColor="text1"/>
          <w:sz w:val="16"/>
          <w:szCs w:val="16"/>
        </w:rPr>
      </w:pPr>
      <w:r w:rsidRPr="008127F8">
        <w:rPr>
          <w:i w:val="0"/>
          <w:color w:val="000000" w:themeColor="text1"/>
          <w:sz w:val="16"/>
          <w:szCs w:val="16"/>
        </w:rPr>
        <w:t>1) Боевое отделение должно допускать удобное размещение орудий</w:t>
      </w:r>
      <w:r w:rsidRPr="008127F8">
        <w:rPr>
          <w:i w:val="0"/>
          <w:color w:val="000000" w:themeColor="text1"/>
          <w:sz w:val="16"/>
          <w:szCs w:val="16"/>
        </w:rPr>
        <w:softHyphen/>
        <w:t>ного расчета и иметь приборы для кругового обзора.</w:t>
      </w:r>
    </w:p>
    <w:p w14:paraId="40B8E532" w14:textId="77777777" w:rsidR="008D722B" w:rsidRPr="008127F8" w:rsidRDefault="008D722B" w:rsidP="001E0A84">
      <w:pPr>
        <w:pStyle w:val="Bodytext141"/>
        <w:shd w:val="clear" w:color="auto" w:fill="auto"/>
        <w:tabs>
          <w:tab w:val="left" w:pos="986"/>
        </w:tabs>
        <w:spacing w:line="240" w:lineRule="auto"/>
        <w:ind w:firstLine="0"/>
        <w:jc w:val="both"/>
        <w:rPr>
          <w:i w:val="0"/>
          <w:color w:val="000000" w:themeColor="text1"/>
          <w:sz w:val="16"/>
          <w:szCs w:val="16"/>
        </w:rPr>
      </w:pPr>
      <w:r w:rsidRPr="008127F8">
        <w:rPr>
          <w:i w:val="0"/>
          <w:color w:val="000000" w:themeColor="text1"/>
          <w:sz w:val="16"/>
          <w:szCs w:val="16"/>
        </w:rPr>
        <w:t>2) Для увеличения возимого количества боеприпасов и удобного их размещения, допускается размещение топливных баков на днище боевого отделения.</w:t>
      </w:r>
    </w:p>
    <w:p w14:paraId="103D7380" w14:textId="77777777" w:rsidR="008D722B" w:rsidRPr="008127F8" w:rsidRDefault="008D722B" w:rsidP="001E0A84">
      <w:pPr>
        <w:pStyle w:val="Bodytext141"/>
        <w:shd w:val="clear" w:color="auto" w:fill="auto"/>
        <w:tabs>
          <w:tab w:val="left" w:pos="990"/>
        </w:tabs>
        <w:spacing w:line="240" w:lineRule="auto"/>
        <w:ind w:firstLine="0"/>
        <w:jc w:val="both"/>
        <w:rPr>
          <w:i w:val="0"/>
          <w:color w:val="000000" w:themeColor="text1"/>
          <w:sz w:val="16"/>
          <w:szCs w:val="16"/>
        </w:rPr>
      </w:pPr>
      <w:r w:rsidRPr="008127F8">
        <w:rPr>
          <w:i w:val="0"/>
          <w:color w:val="000000" w:themeColor="text1"/>
          <w:sz w:val="16"/>
          <w:szCs w:val="16"/>
        </w:rPr>
        <w:t>3) Спаренная установка 2-х 76мм пушек должна допускать ведение огня залпом и раздельно с каждой пушки.</w:t>
      </w:r>
    </w:p>
    <w:p w14:paraId="2084C227"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При залповом ведении огня скорострельность (количество залпов в 1 минуту) должна приближаться к скорострельности КВ-1; при ведении огня раздельно (поочередно) с обеих пушек, скоро</w:t>
      </w:r>
      <w:r w:rsidRPr="008127F8">
        <w:rPr>
          <w:color w:val="000000" w:themeColor="text1"/>
          <w:sz w:val="16"/>
          <w:szCs w:val="16"/>
        </w:rPr>
        <w:softHyphen/>
        <w:t>стрельность должна быть выше скорострельности КВ-1 на 70-80%.</w:t>
      </w:r>
    </w:p>
    <w:p w14:paraId="2019250A"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8. Проходимость танка, двигатель, ходовая часть и средства связи аналогичны танку КВ-1.</w:t>
      </w:r>
    </w:p>
    <w:p w14:paraId="7FAEC66C"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Примечание: заводу разрешается вносить изменения и дополнения в данные тактико-технические требования по улучшению конструкции, по согласованию с НКО, БТУКА и НКТП».</w:t>
      </w:r>
    </w:p>
    <w:p w14:paraId="6EFF1C9C" w14:textId="77777777" w:rsidR="008D722B" w:rsidRPr="008127F8" w:rsidRDefault="008D722B"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Как и в случае с орудийной системой первого варианта КВ-7, ра</w:t>
      </w:r>
      <w:r w:rsidRPr="008127F8">
        <w:rPr>
          <w:i w:val="0"/>
          <w:color w:val="000000" w:themeColor="text1"/>
          <w:sz w:val="16"/>
          <w:szCs w:val="16"/>
        </w:rPr>
        <w:softHyphen/>
        <w:t>бота над спаренной установкой 76-мм пушек ЗИС-5 была поручена УЗТМ. Общее руководство работами вел Л.И. Горлицкий (в черте</w:t>
      </w:r>
      <w:r w:rsidRPr="008127F8">
        <w:rPr>
          <w:i w:val="0"/>
          <w:color w:val="000000" w:themeColor="text1"/>
          <w:sz w:val="16"/>
          <w:szCs w:val="16"/>
        </w:rPr>
        <w:softHyphen/>
        <w:t>жах системы он значится главным конструктором), также над уста</w:t>
      </w:r>
      <w:r w:rsidRPr="008127F8">
        <w:rPr>
          <w:i w:val="0"/>
          <w:color w:val="000000" w:themeColor="text1"/>
          <w:sz w:val="16"/>
          <w:szCs w:val="16"/>
        </w:rPr>
        <w:softHyphen/>
        <w:t>новкой, получившей заводской индекс У-14, трудились Н.В. Курин и Г.Ф. Ксюнин. Судя по датам на чертежах отдельных деталей уста</w:t>
      </w:r>
      <w:r w:rsidRPr="008127F8">
        <w:rPr>
          <w:i w:val="0"/>
          <w:color w:val="000000" w:themeColor="text1"/>
          <w:sz w:val="16"/>
          <w:szCs w:val="16"/>
        </w:rPr>
        <w:softHyphen/>
        <w:t>новки, проектирование началось не позднее 25 января 1942 года, то есть еще до оформления тактико-технических требований на модер</w:t>
      </w:r>
      <w:r w:rsidRPr="008127F8">
        <w:rPr>
          <w:i w:val="0"/>
          <w:color w:val="000000" w:themeColor="text1"/>
          <w:sz w:val="16"/>
          <w:szCs w:val="16"/>
        </w:rPr>
        <w:softHyphen/>
        <w:t>низированный КВ-7. Проектирование У-14 длилось до середины февраля, а во второй половине месяца начались работы по изготов</w:t>
      </w:r>
      <w:r w:rsidRPr="008127F8">
        <w:rPr>
          <w:i w:val="0"/>
          <w:color w:val="000000" w:themeColor="text1"/>
          <w:sz w:val="16"/>
          <w:szCs w:val="16"/>
        </w:rPr>
        <w:softHyphen/>
        <w:t>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ору</w:t>
      </w:r>
      <w:r w:rsidRPr="008127F8">
        <w:rPr>
          <w:i w:val="0"/>
          <w:color w:val="000000" w:themeColor="text1"/>
          <w:sz w:val="16"/>
          <w:szCs w:val="16"/>
        </w:rPr>
        <w:softHyphen/>
        <w:t>дийной маски и боеукладок (17484).</w:t>
      </w:r>
    </w:p>
    <w:p w14:paraId="4BF984C8" w14:textId="77777777" w:rsidR="008D722B" w:rsidRPr="008127F8" w:rsidRDefault="008D722B" w:rsidP="001E0A84">
      <w:pPr>
        <w:pStyle w:val="af"/>
        <w:spacing w:before="0" w:after="0"/>
        <w:jc w:val="both"/>
        <w:rPr>
          <w:color w:val="000000" w:themeColor="text1"/>
          <w:sz w:val="16"/>
          <w:szCs w:val="16"/>
        </w:rPr>
      </w:pPr>
    </w:p>
    <w:p w14:paraId="3E67CD17" w14:textId="22593760"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27 января 1942г. Приказ</w:t>
      </w:r>
      <w:r w:rsidR="008127F8">
        <w:rPr>
          <w:color w:val="000000" w:themeColor="text1"/>
          <w:sz w:val="16"/>
          <w:szCs w:val="16"/>
        </w:rPr>
        <w:t xml:space="preserve">  </w:t>
      </w:r>
      <w:r w:rsidRPr="008127F8">
        <w:rPr>
          <w:color w:val="000000" w:themeColor="text1"/>
          <w:sz w:val="16"/>
          <w:szCs w:val="16"/>
        </w:rPr>
        <w:t xml:space="preserve"> Народного комиссара минометного вооружения </w:t>
      </w:r>
      <w:r w:rsidR="008127F8">
        <w:rPr>
          <w:color w:val="000000" w:themeColor="text1"/>
          <w:sz w:val="16"/>
          <w:szCs w:val="16"/>
        </w:rPr>
        <w:t xml:space="preserve">  </w:t>
      </w:r>
      <w:r w:rsidRPr="008127F8">
        <w:rPr>
          <w:color w:val="000000" w:themeColor="text1"/>
          <w:sz w:val="16"/>
          <w:szCs w:val="16"/>
        </w:rPr>
        <w:t xml:space="preserve">Союза </w:t>
      </w:r>
      <w:proofErr w:type="gramStart"/>
      <w:r w:rsidRPr="008127F8">
        <w:rPr>
          <w:color w:val="000000" w:themeColor="text1"/>
          <w:sz w:val="16"/>
          <w:szCs w:val="16"/>
        </w:rPr>
        <w:t>ССР</w:t>
      </w:r>
      <w:r w:rsidR="008127F8">
        <w:rPr>
          <w:color w:val="000000" w:themeColor="text1"/>
          <w:sz w:val="16"/>
          <w:szCs w:val="16"/>
        </w:rPr>
        <w:t xml:space="preserve">  </w:t>
      </w:r>
      <w:r w:rsidRPr="008127F8">
        <w:rPr>
          <w:color w:val="000000" w:themeColor="text1"/>
          <w:sz w:val="16"/>
          <w:szCs w:val="16"/>
        </w:rPr>
        <w:t>N</w:t>
      </w:r>
      <w:proofErr w:type="gramEnd"/>
      <w:r w:rsidRPr="008127F8">
        <w:rPr>
          <w:color w:val="000000" w:themeColor="text1"/>
          <w:sz w:val="16"/>
          <w:szCs w:val="16"/>
        </w:rPr>
        <w:t xml:space="preserve"> 27е</w:t>
      </w:r>
    </w:p>
    <w:p w14:paraId="2F33BC6E" w14:textId="77777777"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г. Москва</w:t>
      </w:r>
    </w:p>
    <w:p w14:paraId="6ED08FF7" w14:textId="5ADAF96A"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xml:space="preserve">В соответствии с решением Правительства о </w:t>
      </w:r>
      <w:proofErr w:type="gramStart"/>
      <w:r w:rsidRPr="008127F8">
        <w:rPr>
          <w:color w:val="000000" w:themeColor="text1"/>
          <w:sz w:val="16"/>
          <w:szCs w:val="16"/>
        </w:rPr>
        <w:t>размещении</w:t>
      </w:r>
      <w:r w:rsidR="008127F8">
        <w:rPr>
          <w:color w:val="000000" w:themeColor="text1"/>
          <w:sz w:val="16"/>
          <w:szCs w:val="16"/>
        </w:rPr>
        <w:t xml:space="preserve">  </w:t>
      </w:r>
      <w:r w:rsidRPr="008127F8">
        <w:rPr>
          <w:color w:val="000000" w:themeColor="text1"/>
          <w:sz w:val="16"/>
          <w:szCs w:val="16"/>
        </w:rPr>
        <w:t>2</w:t>
      </w:r>
      <w:proofErr w:type="gramEnd"/>
      <w:r w:rsidRPr="008127F8">
        <w:rPr>
          <w:color w:val="000000" w:themeColor="text1"/>
          <w:sz w:val="16"/>
          <w:szCs w:val="16"/>
        </w:rPr>
        <w:t>-го часового завода в г.Чистополе и возвращении части оборудования</w:t>
      </w:r>
      <w:r w:rsidR="008127F8">
        <w:rPr>
          <w:color w:val="000000" w:themeColor="text1"/>
          <w:sz w:val="16"/>
          <w:szCs w:val="16"/>
        </w:rPr>
        <w:t xml:space="preserve">  </w:t>
      </w:r>
      <w:r w:rsidRPr="008127F8">
        <w:rPr>
          <w:color w:val="000000" w:themeColor="text1"/>
          <w:sz w:val="16"/>
          <w:szCs w:val="16"/>
        </w:rPr>
        <w:t>2-го часового завода для производства ширпотреба - карманных часов, будильников и часов с боем - в Москву-ПРИКАЗЫВАЮ:</w:t>
      </w:r>
      <w:r w:rsidR="008127F8">
        <w:rPr>
          <w:color w:val="000000" w:themeColor="text1"/>
          <w:sz w:val="16"/>
          <w:szCs w:val="16"/>
        </w:rPr>
        <w:t xml:space="preserve">  </w:t>
      </w:r>
    </w:p>
    <w:p w14:paraId="522FE5EC" w14:textId="0003EBB2"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1. Директору 2-го часового завода т.Лукьянову:</w:t>
      </w:r>
      <w:r w:rsidR="008127F8">
        <w:rPr>
          <w:color w:val="000000" w:themeColor="text1"/>
          <w:sz w:val="16"/>
          <w:szCs w:val="16"/>
        </w:rPr>
        <w:t xml:space="preserve">  </w:t>
      </w:r>
    </w:p>
    <w:p w14:paraId="12947DDB" w14:textId="0EA848F1" w:rsidR="00C0199F" w:rsidRPr="008127F8" w:rsidRDefault="00C0199F" w:rsidP="001E0A84">
      <w:pPr>
        <w:pStyle w:val="af"/>
        <w:spacing w:before="0" w:after="0"/>
        <w:jc w:val="both"/>
        <w:rPr>
          <w:color w:val="000000" w:themeColor="text1"/>
          <w:sz w:val="16"/>
          <w:szCs w:val="16"/>
        </w:rPr>
      </w:pPr>
      <w:r w:rsidRPr="008127F8">
        <w:rPr>
          <w:color w:val="000000" w:themeColor="text1"/>
          <w:sz w:val="16"/>
          <w:szCs w:val="16"/>
        </w:rPr>
        <w:t xml:space="preserve">a) немедленно реализовать решение Государственного Комитета Обороны предоставлении помещения для размещения 2 -го </w:t>
      </w:r>
      <w:proofErr w:type="gramStart"/>
      <w:r w:rsidRPr="008127F8">
        <w:rPr>
          <w:color w:val="000000" w:themeColor="text1"/>
          <w:sz w:val="16"/>
          <w:szCs w:val="16"/>
        </w:rPr>
        <w:t>часового</w:t>
      </w:r>
      <w:r w:rsidR="008127F8">
        <w:rPr>
          <w:color w:val="000000" w:themeColor="text1"/>
          <w:sz w:val="16"/>
          <w:szCs w:val="16"/>
        </w:rPr>
        <w:t xml:space="preserve">  </w:t>
      </w:r>
      <w:r w:rsidRPr="008127F8">
        <w:rPr>
          <w:color w:val="000000" w:themeColor="text1"/>
          <w:sz w:val="16"/>
          <w:szCs w:val="16"/>
        </w:rPr>
        <w:t>завода</w:t>
      </w:r>
      <w:proofErr w:type="gramEnd"/>
      <w:r w:rsidRPr="008127F8">
        <w:rPr>
          <w:color w:val="000000" w:themeColor="text1"/>
          <w:sz w:val="16"/>
          <w:szCs w:val="16"/>
        </w:rPr>
        <w:t xml:space="preserve"> в Чистополе - 2-х средних школ, Учительского института с общежитием, техникума механизации сельского хозяйства и библиотеки общей площадью 15400 кв.метров;</w:t>
      </w:r>
    </w:p>
    <w:p w14:paraId="65ACFC58" w14:textId="344D29CE" w:rsidR="00C0199F" w:rsidRPr="008127F8" w:rsidRDefault="008127F8" w:rsidP="001E0A84">
      <w:pPr>
        <w:pStyle w:val="af"/>
        <w:spacing w:before="0" w:after="0"/>
        <w:jc w:val="both"/>
        <w:rPr>
          <w:color w:val="000000" w:themeColor="text1"/>
          <w:sz w:val="16"/>
          <w:szCs w:val="16"/>
        </w:rPr>
      </w:pPr>
      <w:r>
        <w:rPr>
          <w:color w:val="000000" w:themeColor="text1"/>
          <w:sz w:val="16"/>
          <w:szCs w:val="16"/>
        </w:rPr>
        <w:t xml:space="preserve">  </w:t>
      </w:r>
      <w:r w:rsidR="00C0199F" w:rsidRPr="008127F8">
        <w:rPr>
          <w:color w:val="000000" w:themeColor="text1"/>
          <w:sz w:val="16"/>
          <w:szCs w:val="16"/>
        </w:rPr>
        <w:t>б) составить в течение трех дней и утвердить лично план размещения оборудования и отдельных производств завода;</w:t>
      </w:r>
    </w:p>
    <w:p w14:paraId="3859A83E" w14:textId="12A39085" w:rsidR="00C0199F" w:rsidRPr="008127F8" w:rsidRDefault="008127F8" w:rsidP="001E0A84">
      <w:pPr>
        <w:pStyle w:val="af"/>
        <w:spacing w:before="0" w:after="0"/>
        <w:jc w:val="both"/>
        <w:rPr>
          <w:color w:val="000000" w:themeColor="text1"/>
          <w:sz w:val="16"/>
          <w:szCs w:val="16"/>
        </w:rPr>
      </w:pPr>
      <w:r>
        <w:rPr>
          <w:color w:val="000000" w:themeColor="text1"/>
          <w:sz w:val="16"/>
          <w:szCs w:val="16"/>
        </w:rPr>
        <w:t xml:space="preserve">  </w:t>
      </w:r>
      <w:r w:rsidR="00C0199F" w:rsidRPr="008127F8">
        <w:rPr>
          <w:color w:val="000000" w:themeColor="text1"/>
          <w:sz w:val="16"/>
          <w:szCs w:val="16"/>
        </w:rPr>
        <w:t xml:space="preserve">в) организовать переброску оставшейся части оборудования из </w:t>
      </w:r>
      <w:proofErr w:type="gramStart"/>
      <w:r w:rsidR="00C0199F" w:rsidRPr="008127F8">
        <w:rPr>
          <w:color w:val="000000" w:themeColor="text1"/>
          <w:sz w:val="16"/>
          <w:szCs w:val="16"/>
        </w:rPr>
        <w:t>г.K</w:t>
      </w:r>
      <w:proofErr w:type="gramEnd"/>
      <w:r w:rsidR="00C0199F" w:rsidRPr="008127F8">
        <w:rPr>
          <w:color w:val="000000" w:themeColor="text1"/>
          <w:sz w:val="16"/>
          <w:szCs w:val="16"/>
        </w:rPr>
        <w:t>азани в г.Чистополь в течение двух недель;</w:t>
      </w:r>
    </w:p>
    <w:p w14:paraId="6298180E" w14:textId="064320D4" w:rsidR="00C0199F" w:rsidRPr="008127F8" w:rsidRDefault="008127F8" w:rsidP="001E0A84">
      <w:pPr>
        <w:pStyle w:val="af"/>
        <w:spacing w:before="0" w:after="0"/>
        <w:jc w:val="both"/>
        <w:rPr>
          <w:color w:val="000000" w:themeColor="text1"/>
          <w:sz w:val="16"/>
          <w:szCs w:val="16"/>
        </w:rPr>
      </w:pPr>
      <w:r>
        <w:rPr>
          <w:color w:val="000000" w:themeColor="text1"/>
          <w:sz w:val="16"/>
          <w:szCs w:val="16"/>
        </w:rPr>
        <w:t xml:space="preserve">  </w:t>
      </w:r>
      <w:r w:rsidR="00C0199F" w:rsidRPr="008127F8">
        <w:rPr>
          <w:color w:val="000000" w:themeColor="text1"/>
          <w:sz w:val="16"/>
          <w:szCs w:val="16"/>
        </w:rPr>
        <w:t>г) по прибытии оборудования в г.Чистополь произвести необходимый ремонт, монтаж его и пуск в производство в течение 15 дней.</w:t>
      </w:r>
      <w:r>
        <w:rPr>
          <w:color w:val="000000" w:themeColor="text1"/>
          <w:sz w:val="16"/>
          <w:szCs w:val="16"/>
        </w:rPr>
        <w:t xml:space="preserve">  </w:t>
      </w:r>
    </w:p>
    <w:p w14:paraId="7FDFC080" w14:textId="77777777" w:rsidR="00C0199F" w:rsidRPr="008127F8" w:rsidRDefault="00C0199F" w:rsidP="001E0A84">
      <w:pPr>
        <w:pStyle w:val="1f8"/>
        <w:spacing w:before="0" w:after="0"/>
        <w:jc w:val="both"/>
        <w:rPr>
          <w:color w:val="000000" w:themeColor="text1"/>
          <w:sz w:val="16"/>
          <w:szCs w:val="16"/>
        </w:rPr>
      </w:pPr>
      <w:r w:rsidRPr="008127F8">
        <w:rPr>
          <w:color w:val="000000" w:themeColor="text1"/>
          <w:sz w:val="16"/>
          <w:szCs w:val="16"/>
        </w:rPr>
        <w:t>Народный комиссар минометного Вооружения СССР 4 февраля 1942 г. ГКО поручил Берии контроль над наркоматами вооружения и минометов (наркомы Устинов и Паршин), а еще через 8 дней Берии передают под контроль наркомат боеприпасов (12237).</w:t>
      </w:r>
    </w:p>
    <w:p w14:paraId="45E8F286" w14:textId="77777777" w:rsidR="00C0199F" w:rsidRPr="008127F8" w:rsidRDefault="00C0199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После начала судоходства весной 1942 года из Казани было перемещено оставшееся оборудование, а в июне можно было считать, что завод полностью был запущен. Кроме чисто военной продукции было восстановлено серийное производство наручных часов калибра 43 мм для комсостава, приставных ходов и корабельных часов.</w:t>
      </w:r>
    </w:p>
    <w:p w14:paraId="14ACDA9F" w14:textId="77777777" w:rsidR="00C0199F" w:rsidRPr="008127F8" w:rsidRDefault="00C0199F" w:rsidP="001E0A84">
      <w:pPr>
        <w:pStyle w:val="1f8"/>
        <w:spacing w:before="0" w:after="0"/>
        <w:jc w:val="both"/>
        <w:rPr>
          <w:color w:val="000000" w:themeColor="text1"/>
          <w:sz w:val="16"/>
          <w:szCs w:val="16"/>
        </w:rPr>
      </w:pPr>
      <w:r w:rsidRPr="008127F8">
        <w:rPr>
          <w:color w:val="000000" w:themeColor="text1"/>
          <w:sz w:val="16"/>
          <w:szCs w:val="16"/>
        </w:rPr>
        <w:t>Как только в Чистополе появились первые московские ИТР, началось обучение часовым специальностям местного населения. За 1941-42гг было обучено различным специальностям 2500 человек.</w:t>
      </w:r>
    </w:p>
    <w:p w14:paraId="464BB45E" w14:textId="77777777" w:rsidR="00C0199F" w:rsidRPr="008127F8" w:rsidRDefault="00C0199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Однако сразу после разгрома немцев под Москвой 2-ой часовой начинает оживать. Работает отдел кадров (начальник Малахова Г.М.) Возвращаются кадровые рабочие, оставшиеся в Москве и области. Приходят подростки 12-14 лет. Молодёжь. В основном девушки. Несколько осиротевших ребят из детей заводчан были взяты заводом на воспитание.</w:t>
      </w:r>
    </w:p>
    <w:p w14:paraId="6153533D" w14:textId="77777777" w:rsidR="00C0199F" w:rsidRPr="008127F8" w:rsidRDefault="00C0199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Директором восстанавливаемого 2-ro часового завода назначается Тарасов Сергей Дмитриевич, а позднее в 1942 году Виноградов Иван Сергеевич. В конце 1941 года задача стояла сложная: на 2-ом этаже старого завода «Маевка» (остальная часть здания не отапливалась), почти при отсутствии кадров и оборудования, освоить выпуск гранат, деталей для прицелов с военной приёмкой.</w:t>
      </w:r>
    </w:p>
    <w:p w14:paraId="54AD23E0" w14:textId="77777777" w:rsidR="00C0199F" w:rsidRPr="008127F8" w:rsidRDefault="00C0199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И всё же задача начала выполняться. Заработали основные службы завода: техотдел (Павленко Борис Васильевич), ПДО (Зорин Пётр Иванович), плановый отдел (Миненков Т.Н.), бухгалтерия, спецотдел и др. Из Министерства прислали на руководящую работу Егорова и Романова. Военной приемкой руководил Минервин А.</w:t>
      </w:r>
    </w:p>
    <w:p w14:paraId="1146249D" w14:textId="77777777" w:rsidR="00C0199F" w:rsidRPr="008127F8" w:rsidRDefault="00C0199F" w:rsidP="001E0A84">
      <w:pPr>
        <w:pStyle w:val="1f8"/>
        <w:spacing w:before="0" w:after="0"/>
        <w:jc w:val="both"/>
        <w:rPr>
          <w:color w:val="000000" w:themeColor="text1"/>
          <w:sz w:val="16"/>
          <w:szCs w:val="16"/>
        </w:rPr>
      </w:pPr>
      <w:r w:rsidRPr="008127F8">
        <w:rPr>
          <w:color w:val="000000" w:themeColor="text1"/>
          <w:sz w:val="16"/>
          <w:szCs w:val="16"/>
        </w:rPr>
        <w:t>Начал выполняться военный заказ. Оставшаяся в Москве часть коллектива с честью несла нелёгкую вахту. Работу в цехах совмещали с рытьём противотанковых рвов, дежурствами на крышах домов, занимались в отрядах всеобуча. В 1942 году завод получает задание на механические трубки к взрывателю не мгновенного действия (для зенитных снарядов). При выстреле часовой механизм начинал работать и, через «установленное время», снаряд взрывался (12237).</w:t>
      </w:r>
    </w:p>
    <w:p w14:paraId="4AF76583" w14:textId="77777777" w:rsidR="00C0199F" w:rsidRPr="008127F8" w:rsidRDefault="00C0199F" w:rsidP="001E0A84">
      <w:pPr>
        <w:pStyle w:val="1f8"/>
        <w:spacing w:before="0" w:after="0"/>
        <w:jc w:val="both"/>
        <w:rPr>
          <w:color w:val="000000" w:themeColor="text1"/>
          <w:sz w:val="16"/>
          <w:szCs w:val="16"/>
        </w:rPr>
      </w:pPr>
    </w:p>
    <w:p w14:paraId="0FFE4190" w14:textId="77777777" w:rsidR="00017DC2" w:rsidRPr="008127F8" w:rsidRDefault="00017DC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27 января 1942 были составлены тактико-технические требования на машину со спаренной установкой 76-мм пушек ЗИС-5. </w:t>
      </w:r>
      <w:r w:rsidRPr="008127F8">
        <w:rPr>
          <w:rFonts w:ascii="Times New Roman" w:hAnsi="Times New Roman"/>
          <w:color w:val="000000" w:themeColor="text1"/>
          <w:sz w:val="16"/>
          <w:szCs w:val="16"/>
        </w:rPr>
        <w:t>Как и в случае с орудийной системой первого варианта КВ-7, работа над спаренной установкой 76-мм пушек ЗИС-5 была поручена УЗТМ. Общее руководство над работами вёл Л. И. Горлицкий. Над установкой, получившей заводской индекс У-14, трудились также Н. В. Курин и Г. Ф. Ксюнин. Судя по датам на чертежах отдельных деталей установки, проектирование началось не позднее 25 января 1942 года, то есть ещё до получения тактико-технических требований.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2825E52A" w14:textId="77777777" w:rsidR="00017DC2" w:rsidRPr="008127F8" w:rsidRDefault="00017DC2" w:rsidP="001E0A84">
      <w:pPr>
        <w:shd w:val="clear" w:color="auto" w:fill="FFFFFF"/>
        <w:spacing w:after="0" w:line="240" w:lineRule="auto"/>
        <w:jc w:val="both"/>
        <w:rPr>
          <w:rFonts w:ascii="Times New Roman" w:eastAsia="Times New Roman" w:hAnsi="Times New Roman"/>
          <w:color w:val="000000" w:themeColor="text1"/>
          <w:sz w:val="16"/>
          <w:szCs w:val="16"/>
        </w:rPr>
      </w:pPr>
    </w:p>
    <w:p w14:paraId="50D54A68"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января 1942 были составлены тактико-технические требования на машину со спаренной установкой 76-мм пушек ЗИС-5.</w:t>
      </w:r>
    </w:p>
    <w:p w14:paraId="219462EE"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Как и в случае с орудийной системой первого варианта КВ-7, работа над спаренной установкой 76-мм пушек ЗИС-5 была поручена УЗТМ. Общее руководство над работами вёл Л. И. Горлицкий. Над установкой, получившей заводской индекс У-14, трудились также Н. В. Курин и Г. Ф. Ксюнин. Судя по датам на чертежах отдельных деталей установки, проектирование началось не позднее 25 января 1942 года, то есть ещё до получения тактико-технических требований.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(17647).</w:t>
      </w:r>
    </w:p>
    <w:p w14:paraId="54A4148F" w14:textId="77777777" w:rsidR="003F7080" w:rsidRPr="008127F8" w:rsidRDefault="003F7080" w:rsidP="001E0A84">
      <w:pPr>
        <w:spacing w:after="0" w:line="240" w:lineRule="auto"/>
        <w:jc w:val="both"/>
        <w:rPr>
          <w:rFonts w:ascii="Times New Roman" w:hAnsi="Times New Roman"/>
          <w:color w:val="000000" w:themeColor="text1"/>
          <w:sz w:val="16"/>
          <w:szCs w:val="16"/>
        </w:rPr>
      </w:pPr>
    </w:p>
    <w:p w14:paraId="35B59275" w14:textId="77777777" w:rsidR="008D722B" w:rsidRPr="008127F8" w:rsidRDefault="008D722B" w:rsidP="001E0A84">
      <w:pPr>
        <w:pStyle w:val="af"/>
        <w:spacing w:before="0" w:after="0"/>
        <w:jc w:val="both"/>
        <w:rPr>
          <w:color w:val="000000" w:themeColor="text1"/>
          <w:sz w:val="16"/>
          <w:szCs w:val="16"/>
        </w:rPr>
      </w:pPr>
      <w:r w:rsidRPr="008127F8">
        <w:rPr>
          <w:color w:val="000000" w:themeColor="text1"/>
          <w:sz w:val="16"/>
          <w:szCs w:val="16"/>
        </w:rPr>
        <w:t xml:space="preserve">27 января 1942 на завод №92 прибыла башня с установленной в неё системой (пушку установили в башню к 19 января). 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w:t>
      </w:r>
      <w:r w:rsidRPr="008127F8">
        <w:rPr>
          <w:color w:val="000000" w:themeColor="text1"/>
          <w:sz w:val="16"/>
          <w:szCs w:val="16"/>
        </w:rPr>
        <w:lastRenderedPageBreak/>
        <w:t>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11C06A8C" w14:textId="77777777" w:rsidR="008D722B" w:rsidRPr="008127F8" w:rsidRDefault="008D722B" w:rsidP="001E0A84">
      <w:pPr>
        <w:pStyle w:val="af"/>
        <w:spacing w:before="0" w:after="0"/>
        <w:jc w:val="both"/>
        <w:rPr>
          <w:color w:val="000000" w:themeColor="text1"/>
          <w:sz w:val="16"/>
          <w:szCs w:val="16"/>
        </w:rPr>
      </w:pPr>
    </w:p>
    <w:p w14:paraId="1DC440BF"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января 1942 на завод №92 прибыла башня с установленной в неё системой ЗИС-19 (пушку установили в башню к 19 января).</w:t>
      </w:r>
    </w:p>
    <w:p w14:paraId="0CF4A898"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(17636).</w:t>
      </w:r>
    </w:p>
    <w:p w14:paraId="20F49474" w14:textId="77777777" w:rsidR="003F7080" w:rsidRPr="008127F8" w:rsidRDefault="003F7080" w:rsidP="001E0A84">
      <w:pPr>
        <w:spacing w:after="0" w:line="240" w:lineRule="auto"/>
        <w:jc w:val="both"/>
        <w:rPr>
          <w:rFonts w:ascii="Times New Roman" w:hAnsi="Times New Roman"/>
          <w:color w:val="000000" w:themeColor="text1"/>
          <w:sz w:val="16"/>
          <w:szCs w:val="16"/>
        </w:rPr>
      </w:pPr>
    </w:p>
    <w:p w14:paraId="3C9ED137" w14:textId="77777777" w:rsidR="005F7283" w:rsidRPr="008127F8" w:rsidRDefault="005F7283"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27 января 1942, согласно отчету завода №92, Т-60 вместе с орудием, направили на ГАЗ им. Молотова для ознакомления конструкторов заводского КБ.</w:t>
      </w:r>
    </w:p>
    <w:p w14:paraId="33CCF54F" w14:textId="77777777" w:rsidR="005F7283" w:rsidRPr="008127F8" w:rsidRDefault="005F7283"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В период с 20 декабря 1941 года по 13 января 1942 года, были разработаны рабочие чертежи орудия ЗИС-19. Далее, в период с 12 по 19 января завод №92 изготовил опытный образец пушки. 14 января на ГАЗ отправили чертежи ЗИС-19, ведомость ЗИП и основные характеристики. Опытный образец орудия установили в башню к 19 января 1942 года.</w:t>
      </w:r>
    </w:p>
    <w:p w14:paraId="58EBB8BB"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 факту орудие несколько отличалось от исходного проекта. Длина ствола выросла до 2468 мм, впрочем, длина нарезной части осталась прежней - 2054 мм. То есть по факту сохранилась баллистика 61-К. Кроме того, вместо 170 кг полная масса орудия, вместе с бронировкой, составила 235 кг. Впрочем, это было всё равно меньше массы 45-мм танковой пушки, да и габариты системы оказались меньше. Еще одним преимуществом, на которое активно указывало заводское КБ, являлась простота конструкции. ЗИС-19 состояла из 153 деталей, в то время как 45-мм пушка 20-К состояла из 436 деталей. То есть почти в 3 раза меньше, в условиях войны очевидное преимущество (22879).</w:t>
      </w:r>
    </w:p>
    <w:p w14:paraId="661AC063" w14:textId="77777777" w:rsidR="005F7283" w:rsidRPr="008127F8" w:rsidRDefault="005F7283" w:rsidP="001E0A84">
      <w:pPr>
        <w:spacing w:after="0" w:line="240" w:lineRule="auto"/>
        <w:jc w:val="both"/>
        <w:rPr>
          <w:rFonts w:ascii="Times New Roman" w:hAnsi="Times New Roman"/>
          <w:color w:val="000000" w:themeColor="text1"/>
          <w:sz w:val="16"/>
          <w:szCs w:val="16"/>
        </w:rPr>
      </w:pPr>
    </w:p>
    <w:p w14:paraId="61EFF9AF"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 27 января по 5 февраля 1942 года проходили совместные испытания. Помимо Valentine II, в них участвовали </w:t>
      </w:r>
      <w:hyperlink r:id="rId16" w:history="1">
        <w:r w:rsidRPr="008127F8">
          <w:rPr>
            <w:rFonts w:ascii="Times New Roman" w:eastAsia="Times New Roman" w:hAnsi="Times New Roman"/>
            <w:color w:val="000000" w:themeColor="text1"/>
            <w:sz w:val="16"/>
            <w:szCs w:val="16"/>
            <w:lang w:eastAsia="ru-RU"/>
          </w:rPr>
          <w:t>Pz.Kpfw.III</w:t>
        </w:r>
      </w:hyperlink>
      <w:r w:rsidRPr="008127F8">
        <w:rPr>
          <w:rFonts w:ascii="Times New Roman" w:eastAsia="Times New Roman" w:hAnsi="Times New Roman"/>
          <w:color w:val="000000" w:themeColor="text1"/>
          <w:sz w:val="16"/>
          <w:szCs w:val="16"/>
          <w:lang w:eastAsia="ru-RU"/>
        </w:rPr>
        <w:t xml:space="preserve"> Ausf.H, Т-34 и Matilda III, которые преодолевали снежные валы. Снежный эскарп высотой 1,7 метра, длиной по максимальной высоте 2 метра и общей длиной 3,5 метра Valentine II смог преодолеть с 3-й попытки, на второй передаче и без разгона. Т-34 это же препятствие преодолел на 1-й передаче без разгона с первой же попытки.</w:t>
      </w:r>
    </w:p>
    <w:p w14:paraId="4E4A9CB8"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Далее танки выполняли проход двух снежных валов высотой 1,7 м, длиной в самой высокой точке 4 м и общей длиной 5,5 м. Valentine II прошёл препятствия за 14 минут, при этом пробивал валы с разгона, а всего понадобилось 10 попыток. Первый вал удалось пройти спустя 10 минут. Двигатель неоднократно глох в виду малой мощности. Matilda III прошла всю дистанцию за 21 минуту. Её двигатель также неоднократно глох. Pz.Kpfw.III удалось пройти ту же полосу препятствий за 16 минут, ему понадобилось 8 попыток с разгоном.</w:t>
      </w:r>
    </w:p>
    <w:p w14:paraId="1F6B1922"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же касается Т-34, то он отправился штурмовать не два, а сразу три завала. Разгон со 100 метров, вторая передача, итог — все три завала пройдены за 10 секунд!</w:t>
      </w:r>
    </w:p>
    <w:p w14:paraId="6AB00278"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определённом смысле английский пехотный танк был реабилитирован на следующем совместном испытании. Как уже говорилось, для него пределом оказался уклон в 12 градусов. Так вот, для Matilda III этот уклон также оказался не по зубам. Гораздо интереснее то, что его не смог преодолеть и Pz.Kpfw.III. В целом же итоги совместных зимних испытаний показали, что Valentine II и Pz.Kpfw.III Ausf.H по проходимости в зимних условиях очень близки.</w:t>
      </w:r>
    </w:p>
    <w:p w14:paraId="7D5B9C9E"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итогам испытаний НИИБТ Полигон вынес Valentine II в целом положительный вердикт. Специалисты отнесли его к средним танкам, сочетающим мощную броневую защиту, небольшую боевую массу и относительно малые габариты. Установленную на нём пушку признали вполне мощной. По итогам испытаний обстрелом Pz.Kpfw.III и Pz.Kpfw.38(t) стало ясно, что 2-фунтовая пушка уверенно поражала танки противника, за исключением экранированных лобовых деталей корпуса. В целом орудие оказалось равноценным советской 45-мм танковой пушке.</w:t>
      </w:r>
    </w:p>
    <w:p w14:paraId="3E94503C" w14:textId="77777777" w:rsidR="003F7080" w:rsidRPr="008127F8" w:rsidRDefault="003F708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Положительно испытатели восприняли установку в орудийной маске 50-мм миномёта. Обзорность была признана вполне удовлетворительной. В качестве недостатков танка испытатели указали его тихоходность. В целом же Valentine II показал себя лучше, чем Matilda III (17670).</w:t>
      </w:r>
    </w:p>
    <w:p w14:paraId="5AD6EAEE" w14:textId="77777777" w:rsidR="003F7080" w:rsidRPr="008127F8" w:rsidRDefault="003F7080" w:rsidP="001E0A84">
      <w:pPr>
        <w:spacing w:after="0" w:line="240" w:lineRule="auto"/>
        <w:jc w:val="both"/>
        <w:rPr>
          <w:rFonts w:ascii="Times New Roman" w:hAnsi="Times New Roman"/>
          <w:color w:val="000000" w:themeColor="text1"/>
          <w:sz w:val="16"/>
          <w:szCs w:val="16"/>
        </w:rPr>
      </w:pPr>
    </w:p>
    <w:p w14:paraId="01FFA433"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С 27 января по 5 февраля 1942 года проходили совместных испытаний Т-34, Pz.Kpfw.III, </w:t>
      </w:r>
      <w:hyperlink r:id="rId17" w:history="1">
        <w:r w:rsidRPr="008127F8">
          <w:rPr>
            <w:rFonts w:ascii="Times New Roman" w:eastAsia="Times New Roman" w:hAnsi="Times New Roman"/>
            <w:bCs/>
            <w:iCs/>
            <w:color w:val="000000" w:themeColor="text1"/>
            <w:sz w:val="16"/>
            <w:szCs w:val="16"/>
            <w:bdr w:val="none" w:sz="0" w:space="0" w:color="auto" w:frame="1"/>
          </w:rPr>
          <w:t>Matilda III</w:t>
        </w:r>
      </w:hyperlink>
      <w:r w:rsidRPr="008127F8">
        <w:rPr>
          <w:rFonts w:ascii="Times New Roman" w:eastAsia="Times New Roman" w:hAnsi="Times New Roman"/>
          <w:color w:val="000000" w:themeColor="text1"/>
          <w:sz w:val="16"/>
          <w:szCs w:val="16"/>
        </w:rPr>
        <w:t xml:space="preserve"> и </w:t>
      </w:r>
      <w:hyperlink r:id="rId18" w:history="1">
        <w:r w:rsidRPr="008127F8">
          <w:rPr>
            <w:rFonts w:ascii="Times New Roman" w:eastAsia="Times New Roman" w:hAnsi="Times New Roman"/>
            <w:bCs/>
            <w:iCs/>
            <w:color w:val="000000" w:themeColor="text1"/>
            <w:sz w:val="16"/>
            <w:szCs w:val="16"/>
            <w:bdr w:val="none" w:sz="0" w:space="0" w:color="auto" w:frame="1"/>
          </w:rPr>
          <w:t>Valentine II</w:t>
        </w:r>
      </w:hyperlink>
      <w:r w:rsidRPr="008127F8">
        <w:rPr>
          <w:rFonts w:ascii="Times New Roman" w:eastAsia="Times New Roman" w:hAnsi="Times New Roman"/>
          <w:color w:val="000000" w:themeColor="text1"/>
          <w:sz w:val="16"/>
          <w:szCs w:val="16"/>
        </w:rPr>
        <w:t xml:space="preserve">. Требовалось сравнить проходимость состоящих на вооружении Красной армии танков и основного танка немецкой армии. Любопытно, что НИБТ Полигон разместился в том самом месте, где за 10 лет до того находились «Технические курсы Осоавиахима», сокращённо — ТЕКО. С 1929 по 1933 годы здесь испытывались немецкие танки </w:t>
      </w:r>
      <w:hyperlink r:id="rId19" w:history="1">
        <w:r w:rsidRPr="008127F8">
          <w:rPr>
            <w:rFonts w:ascii="Times New Roman" w:eastAsia="Times New Roman" w:hAnsi="Times New Roman"/>
            <w:bCs/>
            <w:iCs/>
            <w:color w:val="000000" w:themeColor="text1"/>
            <w:sz w:val="16"/>
            <w:szCs w:val="16"/>
            <w:bdr w:val="none" w:sz="0" w:space="0" w:color="auto" w:frame="1"/>
          </w:rPr>
          <w:t>Großtraktor</w:t>
        </w:r>
      </w:hyperlink>
      <w:r w:rsidRPr="008127F8">
        <w:rPr>
          <w:rFonts w:ascii="Times New Roman" w:eastAsia="Times New Roman" w:hAnsi="Times New Roman"/>
          <w:color w:val="000000" w:themeColor="text1"/>
          <w:sz w:val="16"/>
          <w:szCs w:val="16"/>
        </w:rPr>
        <w:t xml:space="preserve"> и </w:t>
      </w:r>
      <w:hyperlink r:id="rId20" w:history="1">
        <w:r w:rsidRPr="008127F8">
          <w:rPr>
            <w:rFonts w:ascii="Times New Roman" w:eastAsia="Times New Roman" w:hAnsi="Times New Roman"/>
            <w:bCs/>
            <w:iCs/>
            <w:color w:val="000000" w:themeColor="text1"/>
            <w:sz w:val="16"/>
            <w:szCs w:val="16"/>
            <w:bdr w:val="none" w:sz="0" w:space="0" w:color="auto" w:frame="1"/>
          </w:rPr>
          <w:t>Leichttraktor</w:t>
        </w:r>
      </w:hyperlink>
      <w:r w:rsidRPr="008127F8">
        <w:rPr>
          <w:rFonts w:ascii="Times New Roman" w:eastAsia="Times New Roman" w:hAnsi="Times New Roman"/>
          <w:color w:val="000000" w:themeColor="text1"/>
          <w:sz w:val="16"/>
          <w:szCs w:val="16"/>
        </w:rPr>
        <w:t xml:space="preserve">, а также колёсно-гусеничный танк, позднее известный как </w:t>
      </w:r>
      <w:hyperlink r:id="rId21" w:history="1">
        <w:r w:rsidRPr="008127F8">
          <w:rPr>
            <w:rFonts w:ascii="Times New Roman" w:eastAsia="Times New Roman" w:hAnsi="Times New Roman"/>
            <w:bCs/>
            <w:iCs/>
            <w:color w:val="000000" w:themeColor="text1"/>
            <w:sz w:val="16"/>
            <w:szCs w:val="16"/>
            <w:bdr w:val="none" w:sz="0" w:space="0" w:color="auto" w:frame="1"/>
          </w:rPr>
          <w:t>Landsverk L-5</w:t>
        </w:r>
      </w:hyperlink>
      <w:r w:rsidRPr="008127F8">
        <w:rPr>
          <w:rFonts w:ascii="Times New Roman" w:eastAsia="Times New Roman" w:hAnsi="Times New Roman"/>
          <w:color w:val="000000" w:themeColor="text1"/>
          <w:sz w:val="16"/>
          <w:szCs w:val="16"/>
        </w:rPr>
        <w:t>. По иронии судьбы, в начале 1942 года в районе Казани снова обучались экипажи для зарубежных танков (на сей раз английских), а также испытывалась немецкая бронетехника. Правда, уже без участия немцев.</w:t>
      </w:r>
    </w:p>
    <w:p w14:paraId="474AF60B"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Первым этапом испытаний стало преодоление рва шириной 5,5 метров и глубиной 3 метра. Прежде чем преодолевать ров, в него сбросили 4 фашины диаметром 1 метр. Сначала преодолевать заграждение отправился Т-34, успешно прошедший ров с первой же попытки. Правда, на танк установили шпоры, которых у Pz.Kpfw.III не было. После каждого преодоления рва оттуда убиралось по одной фашине, после чего советский танк успешно повторял манёвр.</w:t>
      </w:r>
    </w:p>
    <w:p w14:paraId="21CDE2B6"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Pz.Kpfw.III не смог преодолеть препятствие даже с четырьмя фашинами. Та же картина наблюдалась и во время испытаний на выход из рва задним ходом: Т-34 это сделать смог, а немецкий средний танк — нет.</w:t>
      </w:r>
    </w:p>
    <w:p w14:paraId="727F1B02"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Интересными оказались испытания по преодолению снежных завалов. Сначала было построено 3 снежных вала шириной 5,5 и высотой до 1,7 метра. Первым на штурм заграждения (сначала из двух валов) отправился Pz.Kpfw.III. Пройти препятствие удалось за 16 минут, при этом танк каждый раз разгонялся на третьей передаче. Valentine II преодолел два вала за 14 минут. Пехотный танк Matilda III смог преодолеть два вала за 21 минуту, потратив на это 8 попыток.</w:t>
      </w:r>
    </w:p>
    <w:p w14:paraId="113C1317"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Далее Pz.Kpfw.III отправился пробивать три вала. Первый он прошёл за 8 минут, второй — за 12, третий — за 13. Наконец, на старт вышел Т-34. Разгон со 100 метров, первый вал, второй, третий — пройдено! На всё упражнение понадобилось всего 10 секунд.</w:t>
      </w:r>
    </w:p>
    <w:p w14:paraId="48B51A78"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Проблемы у Т-34 появились лишь при преодолении снежного ската. Его, впрочем, не прошёл ни один из танков.</w:t>
      </w:r>
    </w:p>
    <w:p w14:paraId="66C54183" w14:textId="77777777" w:rsidR="003F7080" w:rsidRPr="008127F8" w:rsidRDefault="003F7080" w:rsidP="001E0A84">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Последним, специальным заданием стало преодоление противотанковых ежей. На сей раз в испытании участвовал только Pz.Kpfw.III. Испытывались различные варианты как ежей, так и способа их установки. Сваренные из уголков ежи не смогли остановить немецкую машину во всех вариантах их установки, причём в одном из случаев ёж оказался просто смят. Не остановили немецкую машину и надолбы. Тогда решили испытать другую конструкцию ежей, изготовленных из швеллеров. Без разгона машина смогла раздвинуть ежи, а вот при разгоне случилась осечка. Попавший под танк еж нагрузку выдержал и не сломался, пришлось уходить назад (17720).</w:t>
      </w:r>
    </w:p>
    <w:p w14:paraId="386F2937" w14:textId="77777777" w:rsidR="003F7080" w:rsidRPr="008127F8" w:rsidRDefault="003F7080" w:rsidP="001E0A84">
      <w:pPr>
        <w:spacing w:after="0" w:line="240" w:lineRule="auto"/>
        <w:jc w:val="both"/>
        <w:rPr>
          <w:rFonts w:ascii="Times New Roman" w:hAnsi="Times New Roman"/>
          <w:color w:val="000000" w:themeColor="text1"/>
          <w:sz w:val="16"/>
          <w:szCs w:val="16"/>
        </w:rPr>
      </w:pPr>
    </w:p>
    <w:p w14:paraId="5FE4E050"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г.</w:t>
      </w:r>
    </w:p>
    <w:p w14:paraId="6A7E48F5"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СГКО О ВЫПОЛНЕНИИ ЗАДАНИЯ ПО АЭРОСАНЯМ ЛЕСОЗАВОДАМИ им. КУЙБЫШЕВА, им. ЕРМАНА И БЕКЕТОВСКИМ КОМБИНАТОМ</w:t>
      </w:r>
    </w:p>
    <w:p w14:paraId="09C1CE6D"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196</w:t>
      </w:r>
    </w:p>
    <w:p w14:paraId="6B18E2E4"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 Сталинград</w:t>
      </w:r>
    </w:p>
    <w:p w14:paraId="34C546FB"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выполнения и перевыполнения установленного задания по аэросаням для лесозаводов им. Куйбышева, им. Ермана и Бекетовского комбината на январь—февраль месяцы и с целью полного использования заделов корпусов, деревянных деталей и наличия на заводах моторов городской Комитет Обороны постановляет:</w:t>
      </w:r>
    </w:p>
    <w:p w14:paraId="0F40D24B"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директоров лесозаводов им. Куйбышева </w:t>
      </w:r>
    </w:p>
    <w:p w14:paraId="44D0492F"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Когтева, им. Ермана тов. Онищенко и</w:t>
      </w:r>
    </w:p>
    <w:p w14:paraId="059463E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Бекетовского комбината тов. Шипеленко обеспечить безусловное выполнение производства аэросаней в размерах имеющихся заделов корпусов и деревянных деталей к 20 февраля 1942 г. в следующих количествах:</w:t>
      </w:r>
    </w:p>
    <w:p w14:paraId="28CA1207"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заводу им. Куйбышева 140 машин,</w:t>
      </w:r>
    </w:p>
    <w:p w14:paraId="6B226058"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заводу им. Ермана 120 машин,</w:t>
      </w:r>
    </w:p>
    <w:p w14:paraId="20D70CF4"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 Бекетовскому комбинату 50 машин.</w:t>
      </w:r>
    </w:p>
    <w:p w14:paraId="75189F37"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обеспечения выпуска установленного лесозаводам количества аэросаней обязать директоров сталинградских предприятий дополнительно к заданиям, установленным постановлением городского Комитета Обороны от 20 декабря 1941 г., в порядке установившейся кооперации, изготовить металлоузлы для аэросаней лесозаводам им. Куйбышева, им. Ермана и Бекетовскому комбинату в следующих количествах:</w:t>
      </w:r>
    </w:p>
    <w:p w14:paraId="4CA0F21F"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СЭК тов. Терешкину изготовить и сдать для производства аэросаней к 10 февраля 1942 г.:</w:t>
      </w:r>
    </w:p>
    <w:p w14:paraId="557573E4"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полуосей — 400 шт.,</w:t>
      </w:r>
    </w:p>
    <w:p w14:paraId="15EBC97F"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штанг рулев[ого] управления — 100 шт.</w:t>
      </w:r>
    </w:p>
    <w:p w14:paraId="119DD48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Сдачу установленного задания производить равномерными партиями начиная с 30 января 1942 г.</w:t>
      </w:r>
    </w:p>
    <w:p w14:paraId="6EEFB64E"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91 тов. Уфлянду изготовить и сдать для производства аэросаней к 10 февраля 1942 г.:</w:t>
      </w:r>
    </w:p>
    <w:p w14:paraId="7D31B80E"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кабанов лыж — 300 шт.,</w:t>
      </w:r>
    </w:p>
    <w:p w14:paraId="776EFCAD"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амортизаторов в сборе — 200 шт.</w:t>
      </w:r>
    </w:p>
    <w:p w14:paraId="77E061F8"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Сдачу произвести равными партиями, начиная: </w:t>
      </w:r>
    </w:p>
    <w:p w14:paraId="761B614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кабанам с 30 января 1942 г., а по амортизаторам с 1 февраля 1942 г.</w:t>
      </w:r>
    </w:p>
    <w:p w14:paraId="1370AAB5"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ремесленного училища завода «Красный Октябрь» тов. Мордвинцеву изготовить и сдать для производства аэросаней к 10 февраля 1942 г.:</w:t>
      </w:r>
    </w:p>
    <w:p w14:paraId="64518C3D"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амортизаторов с узлами крепления — 320 шт.,</w:t>
      </w:r>
    </w:p>
    <w:p w14:paraId="277DD9A0"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тяг рулевого управления — 400 шт.,</w:t>
      </w:r>
    </w:p>
    <w:p w14:paraId="2212A452"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узлов крепления моторам и подкосов — 300 шт.</w:t>
      </w:r>
    </w:p>
    <w:p w14:paraId="4036A56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токарные работы по установленному заданию выполняет РУ СТЗ тов. Юдаев). Сдачу произвести равномерно в установленный срок.</w:t>
      </w:r>
    </w:p>
    <w:p w14:paraId="0B74EC97"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РУ СТЗ тов. Юдаеву изготовить и сдать ремесленному училищу завода «Красный Октябрь» для аэросаней в объеме установленного для него задания настоящим постановлением:</w:t>
      </w:r>
    </w:p>
    <w:p w14:paraId="1FA513DB"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все токарные работы по амортизатору и узлу крепления амортизатора;</w:t>
      </w:r>
    </w:p>
    <w:p w14:paraId="1AF7787A"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все токарные работы по тягам рулевого управления;</w:t>
      </w:r>
    </w:p>
    <w:p w14:paraId="22D5917A"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кроме этого, изготовить и сдать заводам-изготовителям аэросаней подкосов мотор[ов]—300 шт.</w:t>
      </w:r>
    </w:p>
    <w:p w14:paraId="763AAECA"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Сдачу произвести к 10 февраля 1942 г. равномерными партиями начиная с 28 января 1942 г.</w:t>
      </w:r>
    </w:p>
    <w:p w14:paraId="4450616F"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завода ВЧМ тов. Саенко сдать для производства аэросаней к 10 февраля 1942 г. равномерными партиями начиная с 28 января 1942 г.:</w:t>
      </w:r>
    </w:p>
    <w:p w14:paraId="5AB6C873"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кабанов лыж — 200 шт.</w:t>
      </w:r>
    </w:p>
    <w:p w14:paraId="3134B78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конторы Вторчермет тов. Григорьеву изготовить и сдать для аэросаней к 10 февраля 1942 г. подмоторных рам 100 шт. Сдачу производить равномерными партиями начиная с 28 января 1942 г.</w:t>
      </w:r>
    </w:p>
    <w:p w14:paraId="4E72528C"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Директору завода «Красный металлист» тов. Коняшеву изготовить и сдать для аэросаней к 8 февраля 1942 г. по рычагам и к 10 февраля 1942 г. по тягам, сдавать таковые равномерными партиями:</w:t>
      </w:r>
    </w:p>
    <w:p w14:paraId="12D592CA"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рычагов тормоза (в сборе) — 1.200 шт.</w:t>
      </w:r>
    </w:p>
    <w:p w14:paraId="266CFF44"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тяг рулевого управления — 3.200 шт.</w:t>
      </w:r>
    </w:p>
    <w:p w14:paraId="3E8989CD"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Облместпрому тов. Кофанову изготовить и сдать для аэросаней к 10 февраля 1942 г. равномерными партиями начиная с 28 февраля 1942 г.:</w:t>
      </w:r>
    </w:p>
    <w:p w14:paraId="3D785CDB"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тяг рулевого </w:t>
      </w:r>
      <w:proofErr w:type="gramStart"/>
      <w:r w:rsidRPr="008127F8">
        <w:rPr>
          <w:rFonts w:ascii="Times New Roman" w:hAnsi="Times New Roman"/>
          <w:color w:val="000000" w:themeColor="text1"/>
          <w:sz w:val="16"/>
          <w:szCs w:val="16"/>
        </w:rPr>
        <w:t>управления(</w:t>
      </w:r>
      <w:proofErr w:type="gramEnd"/>
      <w:r w:rsidRPr="008127F8">
        <w:rPr>
          <w:rFonts w:ascii="Times New Roman" w:hAnsi="Times New Roman"/>
          <w:color w:val="000000" w:themeColor="text1"/>
          <w:sz w:val="16"/>
          <w:szCs w:val="16"/>
        </w:rPr>
        <w:t>в сборе) — 240 шт.</w:t>
      </w:r>
    </w:p>
    <w:p w14:paraId="4D8F202A"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педалей управления в сборе — 225 шт.</w:t>
      </w:r>
    </w:p>
    <w:p w14:paraId="06D1C699"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Директору завода № 490 тов. Курбала изготовить и сдать для аэросаней:</w:t>
      </w:r>
    </w:p>
    <w:p w14:paraId="38BC9F2B"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амортизаторов с узлами крепления — 260 шт.</w:t>
      </w:r>
    </w:p>
    <w:p w14:paraId="37330851"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Обратить внимание директоров заводов, изготовляющих металлоузлы для аэросаней, что выполнение указанного выше задания в установленный срок имеет большое государственное оборонное значение и что персональную ответственность за выполнение его несут лично директора заводов.</w:t>
      </w:r>
    </w:p>
    <w:p w14:paraId="3BD2E125"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Отметить, что главный инженер завода «Красный металлист» тов. Карявин, начальник Облместпрома тов. Кофанов и начальник депо ст. Сарепта тов. Зарембо позорно сорвали выполнение задания по металлоузлам для аэросаней, возложенного на них решением городского Комитета Обороны от 20 декабря 1941 г., и предупредить их, что в случае невыполнения установленного по их заводам задания они будут привлечены к строгой ответственности.</w:t>
      </w:r>
    </w:p>
    <w:p w14:paraId="24141A7D" w14:textId="77777777" w:rsidR="005F7283" w:rsidRPr="008127F8" w:rsidRDefault="005F728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ЦЦНИВО. Ф. 171. Оп. 1. Д. 1. Л. 98 об. — 99. Подлинник (21087).</w:t>
      </w:r>
    </w:p>
    <w:p w14:paraId="32490347" w14:textId="77777777" w:rsidR="005F7283" w:rsidRPr="008127F8" w:rsidRDefault="005F7283" w:rsidP="001E0A84">
      <w:pPr>
        <w:spacing w:after="0" w:line="240" w:lineRule="auto"/>
        <w:jc w:val="both"/>
        <w:rPr>
          <w:rFonts w:ascii="Times New Roman" w:hAnsi="Times New Roman"/>
          <w:color w:val="000000" w:themeColor="text1"/>
          <w:sz w:val="16"/>
          <w:szCs w:val="16"/>
        </w:rPr>
      </w:pPr>
    </w:p>
    <w:p w14:paraId="1B8CE8A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вышло Постановление ГКО № 1217 Об организации производства полевых телефонных аппаратов в Москве. (7021, 119,120).</w:t>
      </w:r>
    </w:p>
    <w:p w14:paraId="07C698C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DED32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вышло Постановление ГКО № 1216 [О назначении Андреева А.А. и Арутюнова Б.Н. первым и вторым заместителями наркома путей сообщения.] (7021, 118).</w:t>
      </w:r>
    </w:p>
    <w:p w14:paraId="4757F52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64E5E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DD3ED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4E6F3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января</w:t>
      </w:r>
      <w:r w:rsidRPr="008127F8">
        <w:rPr>
          <w:rFonts w:ascii="Times New Roman" w:hAnsi="Times New Roman"/>
          <w:color w:val="000000" w:themeColor="text1"/>
          <w:sz w:val="16"/>
          <w:szCs w:val="16"/>
        </w:rPr>
        <w:t xml:space="preserve"> в 1942 году утреннее сообщение Совинформбюро:</w:t>
      </w:r>
    </w:p>
    <w:p w14:paraId="4A0D045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27 января советские войска продолжали наступательные бои против немецко-фашистских войск.</w:t>
      </w:r>
    </w:p>
    <w:p w14:paraId="706B7CE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командой тов. Прокофьева (Западный фронт) овладела одним населённым пунктом и захватила 10 немецких орудий, 15 пулемётов, 600 снарядов и 15.000 патронов. На другом участке в боях за деревню Чубарёво часть под командой тов. Кулешова захватила 7 пулемётов, 190 винтовок, более 40.000 патронов и другое воинское имущество. На поле боя противник оставил 200 убитых солдат и офицеров.</w:t>
      </w:r>
    </w:p>
    <w:p w14:paraId="66A29B5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в населённом пункте К. наши бойцы нанесли поражение противнику. Немцы потеряли 300 солдат и офицеров. На другом участке полностью разгромлен 2 батальон 516, немецкого пехотного полка. Захвачены знамёна 457 и 516 немецких пехотных полков. В районе К. в ожесточённом бою противник потерял 1.040 солдат и офицеров.</w:t>
      </w:r>
    </w:p>
    <w:p w14:paraId="072DCC65"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подступах к деревне С. противник оказывал упорное сопротивление нашим наступающим бойцам. Тогда заместитель политрука Никифоров выдвинулся со своим пулемётом вперёд, метким огнём уничтожил расчёт вражеского пулемёта и рассеял 60 немецких автоматчиков, преградивших путь к деревне.</w:t>
      </w:r>
    </w:p>
    <w:p w14:paraId="0307013B"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Лыжники-красноармейцы Кабисов, Максимов и Толстов обстреляли из засады отступающий из деревни вражеский </w:t>
      </w:r>
      <w:proofErr w:type="gramStart"/>
      <w:r w:rsidRPr="008127F8">
        <w:rPr>
          <w:rFonts w:ascii="Times New Roman" w:hAnsi="Times New Roman"/>
          <w:color w:val="000000" w:themeColor="text1"/>
          <w:sz w:val="16"/>
          <w:szCs w:val="16"/>
        </w:rPr>
        <w:t>обоз..</w:t>
      </w:r>
      <w:proofErr w:type="gramEnd"/>
      <w:r w:rsidRPr="008127F8">
        <w:rPr>
          <w:rFonts w:ascii="Times New Roman" w:hAnsi="Times New Roman"/>
          <w:color w:val="000000" w:themeColor="text1"/>
          <w:sz w:val="16"/>
          <w:szCs w:val="16"/>
        </w:rPr>
        <w:t xml:space="preserve"> 8 немецких солдат, сопровождавших обоз, сдались в плен. Отважные бойцы захватили орудие, пулемёт, 30 винтовок и несколько подвод с имуществом, награбленным немцами у местных жителей.</w:t>
      </w:r>
    </w:p>
    <w:p w14:paraId="3EC6F34D"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62 пехотного полка 7 немецкой дивизии Рудольф Лацельсбергер рассказал: «Нас направили из Мюнхена на пополнение 7 дивизии. В эшелоне было 350 человек. Когда мы добрались до Малоярославца, нас задержал какой-то офицер и сказал: «Русские наступают. Поэтому вы должны остаться здесь и помочь отразить их атаки». Нас отправили на передовую линию. Там творилась полная неразбериха. Все части и все дивизии перепутались. Когда русские усилили нажим, наши солдаты побежали, а я и мой товарищ отстали и сдались в плен».</w:t>
      </w:r>
    </w:p>
    <w:p w14:paraId="717093A9"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Отмара Меттерниха обнаружено неотправленное письмо такого содержания: «Ради бога, не верьте тому, что вам там показывают в кино. Вся кинохроника — это сплошное мошенничество. В кино, например, вам показывают большое количество меховых жилетов, посланных солдатам на фронт. Это всё враньё. Мы их не получали и не видели».</w:t>
      </w:r>
    </w:p>
    <w:p w14:paraId="06DD9E3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части, расположенные во Франции, получили распоряжение отправиться на советско-германский фронт. Этот приказ вызвал среди немецких солдат возмущение и протесты. Чтобы задержать отправку эшелонов, солдаты расставили на железнодорожных путях грузовые машины. Прибывший карательный отряд произвёл многочисленные аресты. Часть арестованных солдат была тут же расстреляна.</w:t>
      </w:r>
    </w:p>
    <w:p w14:paraId="7F0AE24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Молодежь советских районов, освобожденных от немецких оккупантов, самоотверженно работает над восстановлением хозяйства городов и сёл, разрушенных гитлеровскими бандитами. Молодёжь Калининского железнодорожного депо произвела уборку депо, в котором немцы организовали конюшню, и изготовляет инструмент, необходимый для ремонта оружия. Полностью восстановлена мастерская по ремонту миномётов. На Энском заводе в Калинине молодёжь приступила к сборке и ремонту оборудования, к расчистке заводского двора. Бригада партизана Юрова восстанавливает высоковольтную линию. В Заволжском районе молодёжь ремонтирует и расчищает трамвайные пути. Силами молодёжи очищена от снега и приведена в порядок железнодорожная ветка к торфоразработкам протяжением в 5 километров. В Солнечногорске, Московской области, молодёжь взялась за восстановление больницы, пекарни, бани и библиотеки. Молодой связист тов. Якушев за несколько дней восстановил 300 радиоточек. Девушки Чечнева и Долбинина собрали 20 швейных машин и наладили швейную мастерскую, которая сейчас готовит обмундирование для Красной Армии.» (15022).</w:t>
      </w:r>
    </w:p>
    <w:p w14:paraId="5F973F71"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4869ABE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января</w:t>
      </w:r>
      <w:r w:rsidRPr="008127F8">
        <w:rPr>
          <w:rFonts w:ascii="Times New Roman" w:hAnsi="Times New Roman"/>
          <w:color w:val="000000" w:themeColor="text1"/>
          <w:sz w:val="16"/>
          <w:szCs w:val="16"/>
        </w:rPr>
        <w:t xml:space="preserve"> в 1942 году вечернее сообщение Совинформбюро:</w:t>
      </w:r>
    </w:p>
    <w:p w14:paraId="18F41B8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января наши войска продолжали вести наступательные действия против немецко-фашистских войск. Пытаясь задержать наступление советских частей, гитлеровцы вводили в бой свои резервы. Отбивая вражеские контратаки и ломая сопротивление противника, наши части продвинулись вперёд и заняли несколько населённых пунктов.</w:t>
      </w:r>
    </w:p>
    <w:p w14:paraId="67CFD6E3"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января уничтожено 39 немецких самолётов. Наши потери — 8 самолётов.</w:t>
      </w:r>
    </w:p>
    <w:p w14:paraId="2B73B70E"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января под Москвой сбито 4 немецких самолёта.</w:t>
      </w:r>
    </w:p>
    <w:p w14:paraId="11425FD7"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января части нашей авиации уничтожили немецкий танк, 270 автомашин с пехотой и грузами, 220 повозок с боеприпасами, 11 орудий с прислугой, зенитно-пулемётную тачку, разбили 80 железнодорожных вагонов, подожгли три железнодорожных эшелона, разрушили ремонтный авиазавод и 2 ангара, рассеяли и частью истребили один полк пехоты противника.</w:t>
      </w:r>
    </w:p>
    <w:p w14:paraId="3A638715"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наша часть, преследуя отступающего противника, захватила два немецких танка, 13 автомашин, 9 пулемётов, 6 мотоциклов, радиостанцию и много различного военного имущества. На другом участке наши бойцы выбили гитлеровцев из сильно укреплённого узла сопротивления и захватили 2 танка и 4 пулемёта. Противник потерял 150 солдат и офицеров.</w:t>
      </w:r>
    </w:p>
    <w:p w14:paraId="1742118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Наша часть, действующая на одном из участков Калининского фронта, освободила от немцев населённый пункт И. На поле боя осталось 300 трупов гитлеровских солдат и офицеров.</w:t>
      </w:r>
    </w:p>
    <w:p w14:paraId="5CA6A31C"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районе К. добровольно сдались в плен вместе с оружием 12 немецких солдат и 2 унтер-офицера.</w:t>
      </w:r>
    </w:p>
    <w:p w14:paraId="7FCC3ED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село Вышгород наш танковый экипаж уничтожил 11 немецких пулемётных гнёзд, 4 миномёта и вывел из строя 150 вражеских солдат и офицеров.</w:t>
      </w:r>
    </w:p>
    <w:p w14:paraId="5992A301"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К., действующий в одном из районов Украины, занятых немцами, за два месяца своей боевой деятельности уничтожил 4 танка, до 80 автомашин с боеприпасами и грузом, перебил более 50 немцев, в том числе 2 генералов, ехавших в легковой автомашине.</w:t>
      </w:r>
    </w:p>
    <w:p w14:paraId="69843780"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23 января в плен Генрих Гейзе, обер-ефрейтор 1 роты 61 мотоциклетного батальона 11 немецкой танковой дивизии, сообщил: «11 дивизия потеряла 70 процентов личного состава. В 61 мотострелковом батальоне было 900 солдат. Сейчас в двух ротах батальона осталось около 200 человек. Только за последние недели в нашей роте насчитывалось до 60 обмороженных солдат. Все мотоциклы батальона вышли из строя».</w:t>
      </w:r>
    </w:p>
    <w:p w14:paraId="1052170C"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ефрейтору Гельмуту Рот недавно писала его мать из Берлина: «Вчера я была на работе в лазарете. Опять привезли очень много совсем ещё зелёной молодёжи. Жалкий вид раненых на меня производит удручающее впечатление.</w:t>
      </w:r>
    </w:p>
    <w:p w14:paraId="384AF044"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военных медицинских работников составила акт о чудовищных зверствах гитлеровцев в деревне Лимовое, Орловской области. В результате расследования и опроса жителей установлено, что при отступлении из деревни Лимовое немцы сожгли 42 дома из 44. Согнав в подвалы двух уцелевших домов 25 стариков, женщин и детей, гитлеровцы бросили туда несколько гранат. В результате 7 человек убито, остальные ранены. Среди раненых: Мальцевы Александра—14 лет, Мария — 12 лет, Александр — 10 лет и Фаина — 9 лет, Силютина Ольга — 15 лет, Семерыхина Мария — 13 лет. Акт подписан начальником полевого госпиталя военврачом 3 ранга Шапиро, начальником хирургического отделения военврачом 2 ранга Холодцевым, начальником приёмно-сортировочного отделения военврачом 3 ранга Лебедевым, врачом-ординатором военврачом 3 ранга Казаковой и красноармейцем Безумским.</w:t>
      </w:r>
    </w:p>
    <w:p w14:paraId="2DF0306E"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Тбилисском паровозоремонтном заводе стахановцы К.Илуридзе, Ф.Джагаев, А.Попов и К.Соврели систематически выполняют по 3—4 нормы за смену.» (15022).</w:t>
      </w:r>
    </w:p>
    <w:p w14:paraId="727EA9A0"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003E4BC6"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января</w:t>
      </w:r>
      <w:r w:rsidRPr="008127F8">
        <w:rPr>
          <w:rFonts w:ascii="Times New Roman" w:hAnsi="Times New Roman"/>
          <w:color w:val="000000" w:themeColor="text1"/>
          <w:sz w:val="16"/>
          <w:szCs w:val="16"/>
        </w:rPr>
        <w:t xml:space="preserve"> в 1942 году в газете "Правда" публикуется очерк П.Лидова "Таня" о подвиге Зои Космодемьянской (15022).</w:t>
      </w:r>
    </w:p>
    <w:p w14:paraId="70EDAD17"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6916341B" w14:textId="77777777" w:rsidR="001C2BCF" w:rsidRPr="008127F8" w:rsidRDefault="001C2BCF"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27 января 1942:</w:t>
      </w:r>
    </w:p>
    <w:p w14:paraId="13D9D57D"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 командир корабля полковник Алексеев, штурман, капитан Лебедев в 16.14 27.1 42 г. стартовал с аэродрома Ковров для бомбардирования ж.д. узла Смоленск.</w:t>
      </w:r>
    </w:p>
    <w:p w14:paraId="26DFE28B"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18.47-19.06 с высоты 3700 м на цель сброшены две ФАБ- 1000, восемь ФАБ-250. Бомбы сброшены прицельно в три захода сериями. Из первой серии четыре ФАБ-250, экипаж наблюдал прямое попадание одной бомбы по путям ж.д. узла, вызван один очаг пожара. Вторая серия четыре ФАБ-250 сброшены с перелетом, в цель не попали, разрывы наблюдали юго-западнее ж.д. узла.</w:t>
      </w:r>
    </w:p>
    <w:p w14:paraId="7602C8EE"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Третья серия, две ФАБ-1000 экипаж наблюдал прямое попадание одной бомбы по путям ж.д. узла, вторая бомба зависла и сброшена аварийно с перелетом, разрыв северо-восточнее ж.д. узла.</w:t>
      </w:r>
    </w:p>
    <w:p w14:paraId="63E35BE1"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Результат бомбометания: прямое попадание по по путям ж.д. узла одной ФАБ-250 и одной ФАБ-1000. Вызваны два очага пожара, из них один большой.</w:t>
      </w:r>
    </w:p>
    <w:p w14:paraId="2448A5AD"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районе цели сброшены 50 тыс. листовок, из них 20 тыс. с докладом Сталина на немецком и русском языке.</w:t>
      </w:r>
    </w:p>
    <w:p w14:paraId="120896A5"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2. Противодействие ПВО</w:t>
      </w:r>
      <w:proofErr w:type="gramStart"/>
      <w:r w:rsidRPr="008127F8">
        <w:rPr>
          <w:color w:val="000000" w:themeColor="text1"/>
          <w:sz w:val="16"/>
          <w:szCs w:val="16"/>
        </w:rPr>
        <w:t>: Над</w:t>
      </w:r>
      <w:proofErr w:type="gramEnd"/>
      <w:r w:rsidRPr="008127F8">
        <w:rPr>
          <w:color w:val="000000" w:themeColor="text1"/>
          <w:sz w:val="16"/>
          <w:szCs w:val="16"/>
        </w:rPr>
        <w:t xml:space="preserve"> целью самолет обстрелян ЗП и малокалиберной ЗА, разрывы снарядов ниже и сзади самолета. При обратном полете у г. Клин самолет обстрелян своей ЗА, разрывы снарядов наблюдали в стороне от самолета.</w:t>
      </w:r>
    </w:p>
    <w:p w14:paraId="6E8805A4"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w:t>
      </w:r>
      <w:proofErr w:type="gramStart"/>
      <w:r w:rsidRPr="008127F8">
        <w:rPr>
          <w:color w:val="000000" w:themeColor="text1"/>
          <w:sz w:val="16"/>
          <w:szCs w:val="16"/>
        </w:rPr>
        <w:t>: До</w:t>
      </w:r>
      <w:proofErr w:type="gramEnd"/>
      <w:r w:rsidRPr="008127F8">
        <w:rPr>
          <w:color w:val="000000" w:themeColor="text1"/>
          <w:sz w:val="16"/>
          <w:szCs w:val="16"/>
        </w:rPr>
        <w:t xml:space="preserve"> линии фронта - ясно, от линии фронта и до цели облачность постепенно увеличивалась и в районе цели была 2-х слойная облачность. Нижний край первого яруса рваная 2-х слойная облачность, высота около 3500 м. Высота облачности второго яруса около 6000 м. В облаках второго яруса наблюдалось незначительное обледенение при температуре -30°. Видимость в районе цели плохая, что затрудняло вывод самолета на цель.</w:t>
      </w:r>
    </w:p>
    <w:p w14:paraId="734D4C47"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После выполнения задания экипаж произвел посадку на своем аэродроме Ковров в 21ч 33 м благополучно.</w:t>
      </w:r>
    </w:p>
    <w:p w14:paraId="7774289D" w14:textId="77777777" w:rsidR="001C2BCF" w:rsidRPr="008127F8" w:rsidRDefault="001C2BCF"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 xml:space="preserve">Материальная часть самолета имеет дефекты, выбивало масло из 2-го мотора. Требуется осмотр и устранение </w:t>
      </w:r>
      <w:proofErr w:type="gramStart"/>
      <w:r w:rsidRPr="008127F8">
        <w:rPr>
          <w:color w:val="000000" w:themeColor="text1"/>
          <w:sz w:val="16"/>
          <w:szCs w:val="16"/>
        </w:rPr>
        <w:t>дефектов.Потерь</w:t>
      </w:r>
      <w:proofErr w:type="gramEnd"/>
      <w:r w:rsidRPr="008127F8">
        <w:rPr>
          <w:color w:val="000000" w:themeColor="text1"/>
          <w:sz w:val="16"/>
          <w:szCs w:val="16"/>
        </w:rPr>
        <w:t xml:space="preserve"> нет. Самочувствие экипажа хорошее (19105).</w:t>
      </w:r>
    </w:p>
    <w:p w14:paraId="3E4713BC" w14:textId="77777777" w:rsidR="001C2BCF" w:rsidRPr="008127F8" w:rsidRDefault="001C2BCF" w:rsidP="001E0A84">
      <w:pPr>
        <w:pStyle w:val="31b"/>
        <w:shd w:val="clear" w:color="auto" w:fill="auto"/>
        <w:spacing w:after="0" w:line="240" w:lineRule="auto"/>
        <w:jc w:val="both"/>
        <w:rPr>
          <w:rFonts w:ascii="Times New Roman" w:hAnsi="Times New Roman" w:cs="Times New Roman"/>
          <w:color w:val="000000" w:themeColor="text1"/>
          <w:sz w:val="16"/>
          <w:szCs w:val="16"/>
        </w:rPr>
      </w:pPr>
    </w:p>
    <w:p w14:paraId="2EE4D818" w14:textId="6BB95EF9"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когда день подходил к концу, зимнее солнце садилось за горизонт, в Грабцево очередная партия десантников погрузилась на борт группы четырехмоторных ТБ</w:t>
      </w:r>
      <w:r w:rsidRPr="008127F8">
        <w:rPr>
          <w:rFonts w:ascii="Times New Roman" w:hAnsi="Times New Roman"/>
          <w:color w:val="000000" w:themeColor="text1"/>
          <w:sz w:val="16"/>
          <w:szCs w:val="16"/>
        </w:rPr>
        <w:noBreakHyphen/>
        <w:t>3. Тяжелогруженые машины уже выруливали на взлетно</w:t>
      </w:r>
      <w:r w:rsidRPr="008127F8">
        <w:rPr>
          <w:rFonts w:ascii="Times New Roman" w:hAnsi="Times New Roman"/>
          <w:color w:val="000000" w:themeColor="text1"/>
          <w:sz w:val="16"/>
          <w:szCs w:val="16"/>
        </w:rPr>
        <w:noBreakHyphen/>
        <w:t>посадочную полосу, когда около 17.00 по московскому времени над аэродромом на небольшой высоте появилось около двадцати немецких самолетов. Это были Bf</w:t>
      </w:r>
      <w:r w:rsidRPr="008127F8">
        <w:rPr>
          <w:rFonts w:ascii="Times New Roman" w:hAnsi="Times New Roman"/>
          <w:color w:val="000000" w:themeColor="text1"/>
          <w:sz w:val="16"/>
          <w:szCs w:val="16"/>
        </w:rPr>
        <w:noBreakHyphen/>
      </w:r>
      <w:proofErr w:type="gramStart"/>
      <w:r w:rsidRPr="008127F8">
        <w:rPr>
          <w:rFonts w:ascii="Times New Roman" w:hAnsi="Times New Roman"/>
          <w:color w:val="000000" w:themeColor="text1"/>
          <w:sz w:val="16"/>
          <w:szCs w:val="16"/>
        </w:rPr>
        <w:t>11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C из I. /ZG26 «Хорст Вессель» под командованием гауптмана Вильгельма Шписса.</w:t>
      </w:r>
    </w:p>
    <w:p w14:paraId="1C42E611" w14:textId="77777777"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Их налет стал полной неожиданностью. Транспортники, расстреливаемые «Мессершмиттами», хаотично разворачивались в разные стороны. Из них на ходу выпрыгивали и разбегались врассыпную десантники. Самолеты получали попадания, врезались друг в друга и взрывались. И при этом ни один советский истребитель даже не попытался подняться в воздух, чтобы помешать немцам.</w:t>
      </w:r>
    </w:p>
    <w:p w14:paraId="4D80C961" w14:textId="77777777"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было уничтожено 11 самолетов, в том числе девять ТБ</w:t>
      </w:r>
      <w:r w:rsidRPr="008127F8">
        <w:rPr>
          <w:rFonts w:ascii="Times New Roman" w:hAnsi="Times New Roman"/>
          <w:color w:val="000000" w:themeColor="text1"/>
          <w:sz w:val="16"/>
          <w:szCs w:val="16"/>
        </w:rPr>
        <w:noBreakHyphen/>
        <w:t>3 из 23</w:t>
      </w:r>
      <w:r w:rsidRPr="008127F8">
        <w:rPr>
          <w:rFonts w:ascii="Times New Roman" w:hAnsi="Times New Roman"/>
          <w:color w:val="000000" w:themeColor="text1"/>
          <w:sz w:val="16"/>
          <w:szCs w:val="16"/>
        </w:rPr>
        <w:noBreakHyphen/>
        <w:t>й тбад, один И</w:t>
      </w:r>
      <w:r w:rsidRPr="008127F8">
        <w:rPr>
          <w:rFonts w:ascii="Times New Roman" w:hAnsi="Times New Roman"/>
          <w:color w:val="000000" w:themeColor="text1"/>
          <w:sz w:val="16"/>
          <w:szCs w:val="16"/>
        </w:rPr>
        <w:noBreakHyphen/>
        <w:t>16 и один Як</w:t>
      </w:r>
      <w:r w:rsidRPr="008127F8">
        <w:rPr>
          <w:rFonts w:ascii="Times New Roman" w:hAnsi="Times New Roman"/>
          <w:color w:val="000000" w:themeColor="text1"/>
          <w:sz w:val="16"/>
          <w:szCs w:val="16"/>
        </w:rPr>
        <w:noBreakHyphen/>
        <w:t>1. Еще 13 транспортников получили различные повреждения и стали непригодны для полетов. Запланированная на тот день высадка очередной партии десантников была сорвана. В целом же удар I./ZG26 по аэродрому Грабцево сыграл большую роль в конечном крахе всей десантной операции.</w:t>
      </w:r>
    </w:p>
    <w:p w14:paraId="60BA78B6" w14:textId="00B1D799"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последующих налетов, проводившихся уже более мелкими группами немецких самолетов, был уничтожен еще один и повреждены четыре ТБ</w:t>
      </w:r>
      <w:r w:rsidRPr="008127F8">
        <w:rPr>
          <w:rFonts w:ascii="Times New Roman" w:hAnsi="Times New Roman"/>
          <w:color w:val="000000" w:themeColor="text1"/>
          <w:sz w:val="16"/>
          <w:szCs w:val="16"/>
        </w:rPr>
        <w:noBreakHyphen/>
        <w:t xml:space="preserve">3. Следует отметить, что эти огромные самолеты уже давно не выпускались, и их потерю восполнить было просто нечем. К 30 января из 70 транспортников, имевшихся к началу операции, уцелело только 38. В результате в этот день удалось выбросить в немецком тылу всего 385 человек и </w:t>
      </w:r>
      <w:proofErr w:type="gramStart"/>
      <w:r w:rsidRPr="008127F8">
        <w:rPr>
          <w:rFonts w:ascii="Times New Roman" w:hAnsi="Times New Roman"/>
          <w:color w:val="000000" w:themeColor="text1"/>
          <w:sz w:val="16"/>
          <w:szCs w:val="16"/>
        </w:rPr>
        <w:t>5400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w:t>
      </w:r>
      <w:proofErr w:type="gramEnd"/>
      <w:r w:rsidRPr="008127F8">
        <w:rPr>
          <w:rFonts w:ascii="Times New Roman" w:hAnsi="Times New Roman"/>
          <w:color w:val="000000" w:themeColor="text1"/>
          <w:sz w:val="16"/>
          <w:szCs w:val="16"/>
        </w:rPr>
        <w:t xml:space="preserve"> грузов, а на следующий день и того меньше (23199).</w:t>
      </w:r>
    </w:p>
    <w:p w14:paraId="6CB5BC3A" w14:textId="77777777" w:rsidR="0070658C" w:rsidRPr="008127F8" w:rsidRDefault="0070658C" w:rsidP="001E0A84">
      <w:pPr>
        <w:spacing w:after="0" w:line="240" w:lineRule="auto"/>
        <w:jc w:val="both"/>
        <w:rPr>
          <w:rFonts w:ascii="Times New Roman" w:hAnsi="Times New Roman"/>
          <w:color w:val="000000" w:themeColor="text1"/>
          <w:sz w:val="16"/>
          <w:szCs w:val="16"/>
        </w:rPr>
      </w:pPr>
    </w:p>
    <w:p w14:paraId="47CCE126" w14:textId="77777777" w:rsidR="00017DC2" w:rsidRPr="008127F8" w:rsidRDefault="00017D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января</w:t>
      </w:r>
      <w:r w:rsidRPr="008127F8">
        <w:rPr>
          <w:rFonts w:ascii="Times New Roman" w:hAnsi="Times New Roman"/>
          <w:color w:val="000000" w:themeColor="text1"/>
          <w:sz w:val="16"/>
          <w:szCs w:val="16"/>
        </w:rPr>
        <w:t xml:space="preserve"> в 1942 году (27 января - 1 февраля) высадка частей 4-го воздушно-десантного корпуса южнее Вязьмы (15022).</w:t>
      </w:r>
    </w:p>
    <w:p w14:paraId="19E63E15" w14:textId="77777777" w:rsidR="00017DC2" w:rsidRPr="008127F8" w:rsidRDefault="00017DC2" w:rsidP="001E0A84">
      <w:pPr>
        <w:spacing w:after="0" w:line="240" w:lineRule="auto"/>
        <w:jc w:val="both"/>
        <w:rPr>
          <w:rFonts w:ascii="Times New Roman" w:hAnsi="Times New Roman"/>
          <w:color w:val="000000" w:themeColor="text1"/>
          <w:sz w:val="16"/>
          <w:szCs w:val="16"/>
        </w:rPr>
      </w:pPr>
    </w:p>
    <w:p w14:paraId="30E865D9" w14:textId="00718691" w:rsidR="001C2BCF" w:rsidRPr="008127F8" w:rsidRDefault="001C2BCF" w:rsidP="001E0A84">
      <w:pPr>
        <w:pStyle w:val="af"/>
        <w:spacing w:before="0" w:after="0"/>
        <w:jc w:val="both"/>
        <w:textAlignment w:val="baseline"/>
        <w:rPr>
          <w:color w:val="000000" w:themeColor="text1"/>
          <w:sz w:val="16"/>
          <w:szCs w:val="16"/>
        </w:rPr>
      </w:pPr>
      <w:r w:rsidRPr="008127F8">
        <w:rPr>
          <w:color w:val="000000" w:themeColor="text1"/>
          <w:sz w:val="16"/>
          <w:szCs w:val="16"/>
        </w:rPr>
        <w:t>27 января 1942 в Грабцево очередная партия десантников погрузилась на борт группы четырехмоторных ТБ-3. Тяжелогруженые машины уже выруливали на взлетно-посадочную полосу, когда около 17.00 по московскому времени над аэродромом на небольшой высоте появилось около двадцати немецких самолетов. Это были Bf-</w:t>
      </w:r>
      <w:proofErr w:type="gramStart"/>
      <w:r w:rsidRPr="008127F8">
        <w:rPr>
          <w:color w:val="000000" w:themeColor="text1"/>
          <w:sz w:val="16"/>
          <w:szCs w:val="16"/>
        </w:rPr>
        <w:t>11</w:t>
      </w:r>
      <w:r w:rsidR="008127F8">
        <w:rPr>
          <w:color w:val="000000" w:themeColor="text1"/>
          <w:sz w:val="16"/>
          <w:szCs w:val="16"/>
        </w:rPr>
        <w:t xml:space="preserve">  </w:t>
      </w:r>
      <w:r w:rsidRPr="008127F8">
        <w:rPr>
          <w:color w:val="000000" w:themeColor="text1"/>
          <w:sz w:val="16"/>
          <w:szCs w:val="16"/>
        </w:rPr>
        <w:t>°</w:t>
      </w:r>
      <w:proofErr w:type="gramEnd"/>
      <w:r w:rsidRPr="008127F8">
        <w:rPr>
          <w:color w:val="000000" w:themeColor="text1"/>
          <w:sz w:val="16"/>
          <w:szCs w:val="16"/>
        </w:rPr>
        <w:t>C из I. /ZG26 «Хорст Вессель» под командованием гауптмана Вильгельма Шписса.</w:t>
      </w:r>
    </w:p>
    <w:p w14:paraId="5E9814D7" w14:textId="77777777" w:rsidR="001C2BCF" w:rsidRPr="008127F8" w:rsidRDefault="001C2BCF" w:rsidP="001E0A84">
      <w:pPr>
        <w:pStyle w:val="af"/>
        <w:spacing w:before="0" w:after="0"/>
        <w:jc w:val="both"/>
        <w:textAlignment w:val="baseline"/>
        <w:rPr>
          <w:color w:val="000000" w:themeColor="text1"/>
          <w:sz w:val="16"/>
          <w:szCs w:val="16"/>
        </w:rPr>
      </w:pPr>
      <w:r w:rsidRPr="008127F8">
        <w:rPr>
          <w:color w:val="000000" w:themeColor="text1"/>
          <w:sz w:val="16"/>
          <w:szCs w:val="16"/>
        </w:rPr>
        <w:t>Их налет стал полной неожиданностью. Транспортники, расстреливаемые «Мессершмиттами», хаотично разворачивались в разные стороны. Из них на ходу выпрыгивали и разбегались врассыпную десантники. Самолеты получали попадания, врезались друг в друга и взрывались. И при этом ни один советский истребитель даже не попытался подняться в воздух, чтобы помешать немцам.</w:t>
      </w:r>
    </w:p>
    <w:p w14:paraId="0B64623C" w14:textId="77777777" w:rsidR="001C2BCF" w:rsidRPr="008127F8" w:rsidRDefault="001C2BCF" w:rsidP="001E0A84">
      <w:pPr>
        <w:pStyle w:val="af"/>
        <w:spacing w:before="0" w:after="0"/>
        <w:jc w:val="both"/>
        <w:textAlignment w:val="baseline"/>
        <w:rPr>
          <w:color w:val="000000" w:themeColor="text1"/>
          <w:sz w:val="16"/>
          <w:szCs w:val="16"/>
        </w:rPr>
      </w:pPr>
      <w:r w:rsidRPr="008127F8">
        <w:rPr>
          <w:color w:val="000000" w:themeColor="text1"/>
          <w:sz w:val="16"/>
          <w:szCs w:val="16"/>
        </w:rPr>
        <w:t>В итоге было уничтожено 11 самолетов, в том числе девять ТБ-3 из 23-й тбад, один И-16 и один Як-1. Еще 13 транспортников получили различные повреждения и стали непригодны для полетов. Запланированная на тот день высадка очередной партии десантников была сорвана. В целом же удар I./ZG26 по аэродрому Грабцево сыграл большую роль в конечном крахе всей десантной операции.</w:t>
      </w:r>
    </w:p>
    <w:p w14:paraId="25196161" w14:textId="36B68D4E" w:rsidR="001C2BCF" w:rsidRPr="008127F8" w:rsidRDefault="001C2BCF" w:rsidP="001E0A84">
      <w:pPr>
        <w:pStyle w:val="af"/>
        <w:spacing w:before="0" w:after="0"/>
        <w:jc w:val="both"/>
        <w:textAlignment w:val="baseline"/>
        <w:rPr>
          <w:color w:val="000000" w:themeColor="text1"/>
          <w:sz w:val="16"/>
          <w:szCs w:val="16"/>
        </w:rPr>
      </w:pPr>
      <w:r w:rsidRPr="008127F8">
        <w:rPr>
          <w:color w:val="000000" w:themeColor="text1"/>
          <w:sz w:val="16"/>
          <w:szCs w:val="16"/>
        </w:rPr>
        <w:t xml:space="preserve">Во время последующих налетов, проводившихся уже более мелкими группами немецких самолетов, был уничтожен еще один и повреждены четыре ТБ-3. Следует отметить, что эти огромные самолеты уже давно не выпускались, и их потерю восполнить было просто нечем. К 30 января из 70 транспортников, имевшихся к началу операции, уцелело только 38. В результате в этот день удалось выбросить в немецком тылу всего 385 человек и </w:t>
      </w:r>
      <w:proofErr w:type="gramStart"/>
      <w:r w:rsidRPr="008127F8">
        <w:rPr>
          <w:color w:val="000000" w:themeColor="text1"/>
          <w:sz w:val="16"/>
          <w:szCs w:val="16"/>
        </w:rPr>
        <w:t>5400</w:t>
      </w:r>
      <w:r w:rsidR="008127F8">
        <w:rPr>
          <w:color w:val="000000" w:themeColor="text1"/>
          <w:sz w:val="16"/>
          <w:szCs w:val="16"/>
        </w:rPr>
        <w:t xml:space="preserve">  </w:t>
      </w:r>
      <w:r w:rsidRPr="008127F8">
        <w:rPr>
          <w:color w:val="000000" w:themeColor="text1"/>
          <w:sz w:val="16"/>
          <w:szCs w:val="16"/>
        </w:rPr>
        <w:t>кг</w:t>
      </w:r>
      <w:proofErr w:type="gramEnd"/>
      <w:r w:rsidRPr="008127F8">
        <w:rPr>
          <w:color w:val="000000" w:themeColor="text1"/>
          <w:sz w:val="16"/>
          <w:szCs w:val="16"/>
        </w:rPr>
        <w:t xml:space="preserve"> грузов, а на следующий день и того меньше (19522).</w:t>
      </w:r>
    </w:p>
    <w:p w14:paraId="59B987F3" w14:textId="77777777" w:rsidR="001C2BCF" w:rsidRPr="008127F8" w:rsidRDefault="001C2BCF" w:rsidP="001E0A84">
      <w:pPr>
        <w:pStyle w:val="af"/>
        <w:spacing w:before="0" w:after="0"/>
        <w:jc w:val="both"/>
        <w:textAlignment w:val="baseline"/>
        <w:rPr>
          <w:color w:val="000000" w:themeColor="text1"/>
          <w:sz w:val="16"/>
          <w:szCs w:val="16"/>
        </w:rPr>
      </w:pPr>
    </w:p>
    <w:p w14:paraId="3DA15A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20-х числах января 1942 началась подготовка авиации к Вяземской вд операции. 25 ТБ-3 1, 3, 7, 14 тбап и 4 оэ ВДВ перелелати на аэродром Грабцево под Калугой (1859).</w:t>
      </w:r>
    </w:p>
    <w:p w14:paraId="721CCF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C1A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немцы 2 раза бомбили аэродром Грабцево и уничтожили 12, а при повторном налете 3 февраля - еще 2 (1859).</w:t>
      </w:r>
    </w:p>
    <w:p w14:paraId="267926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16F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27 января по 1 февраля 1942 была высадка частей 4-го воздушно-десантного корпуса южнее Вязьмы 93186).</w:t>
      </w:r>
    </w:p>
    <w:p w14:paraId="67DB0C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19A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Днем 27 января 1942, когда были выброшены 648 парашютистов </w:t>
      </w:r>
      <w:proofErr w:type="gramStart"/>
      <w:r w:rsidRPr="008127F8">
        <w:rPr>
          <w:rFonts w:ascii="Times New Roman" w:hAnsi="Times New Roman"/>
          <w:color w:val="000000" w:themeColor="text1"/>
          <w:sz w:val="16"/>
          <w:szCs w:val="16"/>
        </w:rPr>
        <w:t>передового батальона</w:t>
      </w:r>
      <w:proofErr w:type="gramEnd"/>
      <w:r w:rsidRPr="008127F8">
        <w:rPr>
          <w:rFonts w:ascii="Times New Roman" w:hAnsi="Times New Roman"/>
          <w:color w:val="000000" w:themeColor="text1"/>
          <w:sz w:val="16"/>
          <w:szCs w:val="16"/>
        </w:rPr>
        <w:t xml:space="preserve"> началась первая из двух крупных воздушно-десантных операций ВОВ. В начале 1942 г. появилась возможность окружить в районе Вязьмы крупные силы вермахта. Среди мер, предпринятых Ставкой для организации операции, было решено высадить в тылу у немцев в районе Озеречня (35 км юго-западнее Вязьмы) 4-й воздушно-десантный корпус (ВДК), насчитывавший более 10000 солдат и офицеров. Для выполнения операции удалось собрать лишь 64 ПС-84 и ТБ-3, которые сосредоточили на передовых аэродромах примерно в 30 км от линии фронта. Но, даже работая "на коротком плече", эта группа могла перебросить десантников со всем необходимым снаряжением только за 3-4 суток. Увы, с самого начала события стали разворачиваться не по плану - парашютисты приземлились на 15-18 км южнее от назначенного места и к тому же оказались разбросанными в радиусе 20-25 км. В течение суток вместе собрались 476 человек, причем им не удалось найти большую часть сброшенных отдельно боеприпасов и снаряжения, в том числе лыж (3772).</w:t>
      </w:r>
    </w:p>
    <w:p w14:paraId="7635F4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EB3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27 января 1942 аэродром 54 сбап был вскрыт немецкой разведывательной авиацией и подвергнут налету (4476).</w:t>
      </w:r>
    </w:p>
    <w:p w14:paraId="5C2C7B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B83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войска ЮЗФ освободили ж/д узел Лозовая (3186).</w:t>
      </w:r>
    </w:p>
    <w:p w14:paraId="504715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4B705"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FBE21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0E2CF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1942 в газете “Правда” опубликован очерк П. Лидова “Таня” о подвиге Зои Космодемьянской (4962).</w:t>
      </w:r>
    </w:p>
    <w:p w14:paraId="06E04A9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944AF" w14:textId="77777777" w:rsidR="009940AC"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3ECEDA0" w14:textId="77777777" w:rsidR="009940AC" w:rsidRPr="008127F8" w:rsidRDefault="009940AC"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4FD38"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января</w:t>
      </w:r>
      <w:r w:rsidRPr="008127F8">
        <w:rPr>
          <w:rFonts w:ascii="Times New Roman" w:hAnsi="Times New Roman"/>
          <w:color w:val="000000" w:themeColor="text1"/>
          <w:sz w:val="16"/>
          <w:szCs w:val="16"/>
        </w:rPr>
        <w:t xml:space="preserve"> в 1942 году авария французского бомбардировщика </w:t>
      </w:r>
      <w:hyperlink r:id="rId22" w:tgtFrame="_blank" w:history="1">
        <w:r w:rsidRPr="008127F8">
          <w:rPr>
            <w:rFonts w:ascii="Times New Roman" w:hAnsi="Times New Roman"/>
            <w:color w:val="000000" w:themeColor="text1"/>
            <w:sz w:val="16"/>
            <w:szCs w:val="16"/>
          </w:rPr>
          <w:t xml:space="preserve">«Амио 356» </w:t>
        </w:r>
      </w:hyperlink>
      <w:r w:rsidRPr="008127F8">
        <w:rPr>
          <w:rFonts w:ascii="Times New Roman" w:hAnsi="Times New Roman"/>
          <w:color w:val="000000" w:themeColor="text1"/>
          <w:sz w:val="16"/>
          <w:szCs w:val="16"/>
        </w:rPr>
        <w:t>(«Амио 351» с двигателями «Роллс-Ройс» «Мерлин X» (1130 л.с.) и однокилевым хвостовым оперением). Во время своего перелета в Сенегал бомбардировщик «Амио 356» подломил шасси в Афинах (15022).</w:t>
      </w:r>
    </w:p>
    <w:p w14:paraId="04535558"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0BFDB829"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января</w:t>
      </w:r>
      <w:r w:rsidRPr="008127F8">
        <w:rPr>
          <w:rFonts w:ascii="Times New Roman" w:hAnsi="Times New Roman"/>
          <w:color w:val="000000" w:themeColor="text1"/>
          <w:sz w:val="16"/>
          <w:szCs w:val="16"/>
        </w:rPr>
        <w:t xml:space="preserve"> в 1942 году первый налет американских самолетов </w:t>
      </w:r>
      <w:hyperlink r:id="rId23" w:tgtFrame="_blank" w:history="1">
        <w:r w:rsidRPr="008127F8">
          <w:rPr>
            <w:rFonts w:ascii="Times New Roman" w:hAnsi="Times New Roman"/>
            <w:color w:val="000000" w:themeColor="text1"/>
            <w:sz w:val="16"/>
            <w:szCs w:val="16"/>
          </w:rPr>
          <w:t xml:space="preserve">«B-17F» </w:t>
        </w:r>
      </w:hyperlink>
      <w:r w:rsidRPr="008127F8">
        <w:rPr>
          <w:rFonts w:ascii="Times New Roman" w:hAnsi="Times New Roman"/>
          <w:color w:val="000000" w:themeColor="text1"/>
          <w:sz w:val="16"/>
          <w:szCs w:val="16"/>
        </w:rPr>
        <w:t>на Германию (на Вильгельмсхафен) показал, что самолет был практически беззащитен для лобовых атак вражеских истребителей. «B-17F» («Flying Fortress» «B-17F») поступили на вооружение 8-й Воздушной армии США в Европе. Установленное на заводах бронирование также не защищало экипаж: из 27 фрагментов тяжелых бронеплит и противозенитных экранов, ни один не защищал экипаж от лобовой атаки. Когда в лобовую часть следовало попадание из пулемета или пушки, экипаж «B-17F» был беззащитен. Различные доработки в строю не смогли исправить ситуацию. Одним из направлений модификации было усиление носовой огневой мощи. Для этого в носовой части в полевых условиях были выполнены различные доработки. В имевшихся шести шаровых установках приспосабливались дополнительные 7,62 мм или 12,7 мм пулеметы, направленные или вперед или по сторонам. "Memphis Belle" (один из сохранившихся к настоящему времени «B-17F») «B-17F-10-BO» (№ 41-24485), находившйся в составе 324-й бомбардировочной эскадрильи 91-й бомбардировочной группы, имеет четыре носовых пулемета. Два пулемета располагаются в гнездах в плексигласовой носовой части и два в окнах с левой и правой сторон носовой части (15022).</w:t>
      </w:r>
    </w:p>
    <w:p w14:paraId="1F8EB04C"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400E1E5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8ADC0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195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года директор завода N 30 Шенкман и начальник ОКО Назаренко писали письмо N 104/3-8 Шахурину и С.В.И.</w:t>
      </w:r>
    </w:p>
    <w:p w14:paraId="6987AD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Нами в августе 1941 г. поднимался вопрос о замене жесткого управления рулем глубины дублированным тросовым управлением, с целью повышения безопасности машины, т.к. устранялась возможность прострела тяг в хвостовой части фюзеляжа. Своим письмом за N 20/1232 от 21/VIII-41 г. Главный конструктор утверждал предложенный вариант с некоторыми поправками и с производством испытаний. Нами было смонтировано тросовое управление рулем глубины на машине N 0-0 с учетом этих замечаний и проведены летные испытания ее по специальной программе.</w:t>
      </w:r>
    </w:p>
    <w:p w14:paraId="15299D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Статиспытания не производились, т.к. все новые элементы управления легко поддаются расчетам. В результате летных испытаний было получено следующее заключение:</w:t>
      </w:r>
    </w:p>
    <w:p w14:paraId="789C1B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"Предъявленное на испытание тросовое управление рулем высоты прошло испытание хорошо. Летные качества самолета с тросовым управлением рулем высоты ничем не отличаются от летных качеств самолета с жестким управлением. Тросовое управление рулем высоты может быть рекомендовано для запуска в серийное производство".</w:t>
      </w:r>
    </w:p>
    <w:p w14:paraId="17CE99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по заводским летным испытаниям самолета Ил-2 N 0-0, снабженного тросовым управлением рулем высоты, страница 2). Но после этого, тросовое управление запущено в серию не было, т.к. при обследовании фронтовых машин гл. конструктором, случаев отказа машин из-за прострела тяг зарегистрировано не было.</w:t>
      </w:r>
    </w:p>
    <w:p w14:paraId="6BE2C9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этот вопрос приходится поднимать снова из-за отсутствия на заводе труб.</w:t>
      </w:r>
    </w:p>
    <w:p w14:paraId="766251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считая возможным изменить управление на тросовое без ущерба качества самолета, просим разрешить запуск в серию указанного варианта (1679,66).</w:t>
      </w:r>
    </w:p>
    <w:p w14:paraId="34DD36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1498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 директор завода № 18 М.Б. Шенкман в письме от обратился к наркому авиапромышленности А.И. Шахурину с настоятельной просьбой разрешить переход в серийном производстве на дублированное тросовое управление, но разрешения не получил (11474,253).</w:t>
      </w:r>
    </w:p>
    <w:p w14:paraId="061DAD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8F7D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января по 5 февраля 1942 проводились совместные заводские и гос. испытания Як-7Б N 14-13 с М-105ПФ - эталона на 1942. От НИИ ВВС летал А.Г.Кочетков, от ЛИИ - Н.С.Рыбко. Ви А.Т.Степанец от НИИ ВВС, В.Н.Сагинов от ЛИИ, А.П.Рыбченков от завода, по вооружению - А.Г.Аронов от НИИ ВВС и Г.И.Гудименко от ОКБ. Сделали 27 полетов налетав 17 час. (65,84).</w:t>
      </w:r>
    </w:p>
    <w:p w14:paraId="0ABD60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 Як-7Б с М-105ПА также была готов в январе 1942 (1046,37).</w:t>
      </w:r>
    </w:p>
    <w:p w14:paraId="1E2BBC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Як-7Б М-105ПФ был готов и испытывался в мае 1942 (1046,37).</w:t>
      </w:r>
    </w:p>
    <w:p w14:paraId="0EF9EE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74B9A"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 xml:space="preserve">в 1942 году на аэродроме Новосибирского завода N153 проходили (по 5 февраля) совместные заводские и государственные испытания истребителя </w:t>
      </w:r>
      <w:hyperlink r:id="rId24" w:tgtFrame="_blank" w:history="1">
        <w:r w:rsidRPr="008127F8">
          <w:rPr>
            <w:rFonts w:ascii="Times New Roman" w:hAnsi="Times New Roman"/>
            <w:color w:val="000000" w:themeColor="text1"/>
            <w:sz w:val="16"/>
            <w:szCs w:val="16"/>
          </w:rPr>
          <w:t xml:space="preserve">«Як-7Б». </w:t>
        </w:r>
      </w:hyperlink>
    </w:p>
    <w:p w14:paraId="555C07B2"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3C741165"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28 января по 5 февраля 1942 г. летчики-испытатели Н.С. Рыбко (ЛИИ НКАП) и военинженер 2 ранга А.Г. Кочетков (НИИ ВВС КА) провели совместные завод</w:t>
      </w:r>
      <w:r w:rsidRPr="008A2E5A">
        <w:rPr>
          <w:rFonts w:ascii="Times New Roman" w:hAnsi="Times New Roman"/>
          <w:color w:val="0070C0"/>
          <w:sz w:val="16"/>
          <w:szCs w:val="16"/>
        </w:rPr>
        <w:softHyphen/>
        <w:t>ские и государственные испытания Як-7Б. Итоги испытаний оказались ошеломляю</w:t>
      </w:r>
      <w:r w:rsidRPr="008A2E5A">
        <w:rPr>
          <w:rFonts w:ascii="Times New Roman" w:hAnsi="Times New Roman"/>
          <w:color w:val="0070C0"/>
          <w:sz w:val="16"/>
          <w:szCs w:val="16"/>
        </w:rPr>
        <w:softHyphen/>
        <w:t>щими: самолет с усиленным вооружением и расширен</w:t>
      </w:r>
      <w:r w:rsidRPr="008A2E5A">
        <w:rPr>
          <w:rFonts w:ascii="Times New Roman" w:hAnsi="Times New Roman"/>
          <w:color w:val="0070C0"/>
          <w:sz w:val="16"/>
          <w:szCs w:val="16"/>
        </w:rPr>
        <w:softHyphen/>
        <w:t>ным по требованиям ВВС КА составом оборудования по своим летным данным остался практически наравне с опытным УТИ-26-l и даже превзошел более легкий Як-1 (таблица 19).</w:t>
      </w:r>
    </w:p>
    <w:p w14:paraId="4BCC17C6"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№19. Сравнительные характеристики самолетов УТИ-26-l, Як-1 иЯк-7Б</w:t>
      </w:r>
    </w:p>
    <w:tbl>
      <w:tblPr>
        <w:tblOverlap w:val="never"/>
        <w:tblW w:w="0" w:type="auto"/>
        <w:tblLayout w:type="fixed"/>
        <w:tblCellMar>
          <w:left w:w="10" w:type="dxa"/>
          <w:right w:w="10" w:type="dxa"/>
        </w:tblCellMar>
        <w:tblLook w:val="04A0" w:firstRow="1" w:lastRow="0" w:firstColumn="1" w:lastColumn="0" w:noHBand="0" w:noVBand="1"/>
      </w:tblPr>
      <w:tblGrid>
        <w:gridCol w:w="4723"/>
        <w:gridCol w:w="2054"/>
        <w:gridCol w:w="1454"/>
        <w:gridCol w:w="1426"/>
      </w:tblGrid>
      <w:tr w:rsidR="00045B92" w:rsidRPr="008A2E5A" w14:paraId="33A25716" w14:textId="77777777" w:rsidTr="004C5D62">
        <w:trPr>
          <w:trHeight w:val="437"/>
        </w:trPr>
        <w:tc>
          <w:tcPr>
            <w:tcW w:w="4723" w:type="dxa"/>
            <w:tcBorders>
              <w:top w:val="single" w:sz="4" w:space="0" w:color="auto"/>
              <w:left w:val="single" w:sz="4" w:space="0" w:color="auto"/>
            </w:tcBorders>
            <w:shd w:val="clear" w:color="auto" w:fill="auto"/>
            <w:vAlign w:val="center"/>
          </w:tcPr>
          <w:p w14:paraId="6FB8D6BA"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w:t>
            </w:r>
          </w:p>
        </w:tc>
        <w:tc>
          <w:tcPr>
            <w:tcW w:w="2054" w:type="dxa"/>
            <w:tcBorders>
              <w:top w:val="single" w:sz="4" w:space="0" w:color="auto"/>
              <w:left w:val="single" w:sz="4" w:space="0" w:color="auto"/>
            </w:tcBorders>
            <w:shd w:val="clear" w:color="auto" w:fill="auto"/>
            <w:vAlign w:val="bottom"/>
          </w:tcPr>
          <w:p w14:paraId="21128892"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 (УТИ-26) опытный экземпляр № 1</w:t>
            </w:r>
          </w:p>
        </w:tc>
        <w:tc>
          <w:tcPr>
            <w:tcW w:w="1454" w:type="dxa"/>
            <w:tcBorders>
              <w:top w:val="single" w:sz="4" w:space="0" w:color="auto"/>
              <w:left w:val="single" w:sz="4" w:space="0" w:color="auto"/>
            </w:tcBorders>
            <w:shd w:val="clear" w:color="auto" w:fill="auto"/>
            <w:vAlign w:val="bottom"/>
          </w:tcPr>
          <w:p w14:paraId="5F0E0B33"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Як-1 №2029</w:t>
            </w:r>
          </w:p>
        </w:tc>
        <w:tc>
          <w:tcPr>
            <w:tcW w:w="1426" w:type="dxa"/>
            <w:tcBorders>
              <w:top w:val="single" w:sz="4" w:space="0" w:color="auto"/>
              <w:left w:val="single" w:sz="4" w:space="0" w:color="auto"/>
              <w:right w:val="single" w:sz="4" w:space="0" w:color="auto"/>
            </w:tcBorders>
            <w:shd w:val="clear" w:color="auto" w:fill="auto"/>
            <w:vAlign w:val="bottom"/>
          </w:tcPr>
          <w:p w14:paraId="38D08C47"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№1413</w:t>
            </w:r>
          </w:p>
        </w:tc>
      </w:tr>
      <w:tr w:rsidR="00045B92" w:rsidRPr="008A2E5A" w14:paraId="43496F0E" w14:textId="77777777" w:rsidTr="004C5D62">
        <w:trPr>
          <w:trHeight w:val="250"/>
        </w:trPr>
        <w:tc>
          <w:tcPr>
            <w:tcW w:w="4723" w:type="dxa"/>
            <w:tcBorders>
              <w:top w:val="single" w:sz="4" w:space="0" w:color="auto"/>
              <w:left w:val="single" w:sz="4" w:space="0" w:color="auto"/>
            </w:tcBorders>
            <w:shd w:val="clear" w:color="auto" w:fill="auto"/>
            <w:vAlign w:val="bottom"/>
          </w:tcPr>
          <w:p w14:paraId="75F3B1EB"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кг</w:t>
            </w:r>
          </w:p>
        </w:tc>
        <w:tc>
          <w:tcPr>
            <w:tcW w:w="2054" w:type="dxa"/>
            <w:tcBorders>
              <w:top w:val="single" w:sz="4" w:space="0" w:color="auto"/>
              <w:left w:val="single" w:sz="4" w:space="0" w:color="auto"/>
            </w:tcBorders>
            <w:shd w:val="clear" w:color="auto" w:fill="auto"/>
            <w:vAlign w:val="bottom"/>
          </w:tcPr>
          <w:p w14:paraId="20FD76CA"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2750</w:t>
            </w:r>
          </w:p>
        </w:tc>
        <w:tc>
          <w:tcPr>
            <w:tcW w:w="1454" w:type="dxa"/>
            <w:tcBorders>
              <w:top w:val="single" w:sz="4" w:space="0" w:color="auto"/>
              <w:left w:val="single" w:sz="4" w:space="0" w:color="auto"/>
            </w:tcBorders>
            <w:shd w:val="clear" w:color="auto" w:fill="auto"/>
            <w:vAlign w:val="bottom"/>
          </w:tcPr>
          <w:p w14:paraId="36C2E4F2"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2951</w:t>
            </w:r>
          </w:p>
        </w:tc>
        <w:tc>
          <w:tcPr>
            <w:tcW w:w="1426" w:type="dxa"/>
            <w:tcBorders>
              <w:top w:val="single" w:sz="4" w:space="0" w:color="auto"/>
              <w:left w:val="single" w:sz="4" w:space="0" w:color="auto"/>
              <w:right w:val="single" w:sz="4" w:space="0" w:color="auto"/>
            </w:tcBorders>
            <w:shd w:val="clear" w:color="auto" w:fill="auto"/>
            <w:vAlign w:val="bottom"/>
          </w:tcPr>
          <w:p w14:paraId="6DD5EF47"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3042</w:t>
            </w:r>
          </w:p>
        </w:tc>
      </w:tr>
      <w:tr w:rsidR="00045B92" w:rsidRPr="008A2E5A" w14:paraId="485D91DE" w14:textId="77777777" w:rsidTr="004C5D62">
        <w:trPr>
          <w:trHeight w:val="250"/>
        </w:trPr>
        <w:tc>
          <w:tcPr>
            <w:tcW w:w="4723" w:type="dxa"/>
            <w:tcBorders>
              <w:top w:val="single" w:sz="4" w:space="0" w:color="auto"/>
              <w:left w:val="single" w:sz="4" w:space="0" w:color="auto"/>
            </w:tcBorders>
            <w:shd w:val="clear" w:color="auto" w:fill="auto"/>
            <w:vAlign w:val="bottom"/>
          </w:tcPr>
          <w:p w14:paraId="73363417"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Центровка, % САХ</w:t>
            </w:r>
          </w:p>
        </w:tc>
        <w:tc>
          <w:tcPr>
            <w:tcW w:w="2054" w:type="dxa"/>
            <w:tcBorders>
              <w:top w:val="single" w:sz="4" w:space="0" w:color="auto"/>
              <w:left w:val="single" w:sz="4" w:space="0" w:color="auto"/>
            </w:tcBorders>
            <w:shd w:val="clear" w:color="auto" w:fill="auto"/>
            <w:vAlign w:val="bottom"/>
          </w:tcPr>
          <w:p w14:paraId="0179458E"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w:t>
            </w:r>
          </w:p>
        </w:tc>
        <w:tc>
          <w:tcPr>
            <w:tcW w:w="1454" w:type="dxa"/>
            <w:tcBorders>
              <w:top w:val="single" w:sz="4" w:space="0" w:color="auto"/>
              <w:left w:val="single" w:sz="4" w:space="0" w:color="auto"/>
            </w:tcBorders>
            <w:shd w:val="clear" w:color="auto" w:fill="auto"/>
            <w:vAlign w:val="bottom"/>
          </w:tcPr>
          <w:p w14:paraId="246DFAFB"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25,5</w:t>
            </w:r>
          </w:p>
        </w:tc>
        <w:tc>
          <w:tcPr>
            <w:tcW w:w="1426" w:type="dxa"/>
            <w:tcBorders>
              <w:top w:val="single" w:sz="4" w:space="0" w:color="auto"/>
              <w:left w:val="single" w:sz="4" w:space="0" w:color="auto"/>
              <w:right w:val="single" w:sz="4" w:space="0" w:color="auto"/>
            </w:tcBorders>
            <w:shd w:val="clear" w:color="auto" w:fill="auto"/>
            <w:vAlign w:val="bottom"/>
          </w:tcPr>
          <w:p w14:paraId="2A4230F9"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20,8</w:t>
            </w:r>
          </w:p>
        </w:tc>
      </w:tr>
      <w:tr w:rsidR="00045B92" w:rsidRPr="008A2E5A" w14:paraId="32650E4A" w14:textId="77777777" w:rsidTr="004C5D62">
        <w:trPr>
          <w:trHeight w:val="254"/>
        </w:trPr>
        <w:tc>
          <w:tcPr>
            <w:tcW w:w="4723" w:type="dxa"/>
            <w:tcBorders>
              <w:top w:val="single" w:sz="4" w:space="0" w:color="auto"/>
              <w:left w:val="single" w:sz="4" w:space="0" w:color="auto"/>
            </w:tcBorders>
            <w:shd w:val="clear" w:color="auto" w:fill="auto"/>
            <w:vAlign w:val="bottom"/>
          </w:tcPr>
          <w:p w14:paraId="48B1C5D5"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Противокапотажный угол с учетом торможения</w:t>
            </w:r>
          </w:p>
        </w:tc>
        <w:tc>
          <w:tcPr>
            <w:tcW w:w="2054" w:type="dxa"/>
            <w:tcBorders>
              <w:top w:val="single" w:sz="4" w:space="0" w:color="auto"/>
              <w:left w:val="single" w:sz="4" w:space="0" w:color="auto"/>
            </w:tcBorders>
            <w:shd w:val="clear" w:color="auto" w:fill="auto"/>
            <w:vAlign w:val="bottom"/>
          </w:tcPr>
          <w:p w14:paraId="66FF45CE"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1454" w:type="dxa"/>
            <w:tcBorders>
              <w:top w:val="single" w:sz="4" w:space="0" w:color="auto"/>
              <w:left w:val="single" w:sz="4" w:space="0" w:color="auto"/>
            </w:tcBorders>
            <w:shd w:val="clear" w:color="auto" w:fill="auto"/>
            <w:vAlign w:val="bottom"/>
          </w:tcPr>
          <w:p w14:paraId="6A25F056"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1426" w:type="dxa"/>
            <w:tcBorders>
              <w:top w:val="single" w:sz="4" w:space="0" w:color="auto"/>
              <w:left w:val="single" w:sz="4" w:space="0" w:color="auto"/>
              <w:right w:val="single" w:sz="4" w:space="0" w:color="auto"/>
            </w:tcBorders>
            <w:shd w:val="clear" w:color="auto" w:fill="auto"/>
            <w:vAlign w:val="bottom"/>
          </w:tcPr>
          <w:p w14:paraId="4C8200C9"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28,5"</w:t>
            </w:r>
          </w:p>
        </w:tc>
      </w:tr>
      <w:tr w:rsidR="00045B92" w:rsidRPr="008A2E5A" w14:paraId="0F5EA7EC" w14:textId="77777777" w:rsidTr="004C5D62">
        <w:trPr>
          <w:trHeight w:val="250"/>
        </w:trPr>
        <w:tc>
          <w:tcPr>
            <w:tcW w:w="4723" w:type="dxa"/>
            <w:tcBorders>
              <w:top w:val="single" w:sz="4" w:space="0" w:color="auto"/>
              <w:left w:val="single" w:sz="4" w:space="0" w:color="auto"/>
            </w:tcBorders>
            <w:shd w:val="clear" w:color="auto" w:fill="auto"/>
            <w:vAlign w:val="bottom"/>
          </w:tcPr>
          <w:p w14:paraId="69E1FC9B"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км/ч</w:t>
            </w:r>
          </w:p>
        </w:tc>
        <w:tc>
          <w:tcPr>
            <w:tcW w:w="2054" w:type="dxa"/>
            <w:tcBorders>
              <w:top w:val="single" w:sz="4" w:space="0" w:color="auto"/>
              <w:left w:val="single" w:sz="4" w:space="0" w:color="auto"/>
            </w:tcBorders>
            <w:shd w:val="clear" w:color="auto" w:fill="auto"/>
            <w:vAlign w:val="bottom"/>
          </w:tcPr>
          <w:p w14:paraId="1DA4AA57"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501</w:t>
            </w:r>
          </w:p>
        </w:tc>
        <w:tc>
          <w:tcPr>
            <w:tcW w:w="1454" w:type="dxa"/>
            <w:tcBorders>
              <w:top w:val="single" w:sz="4" w:space="0" w:color="auto"/>
              <w:left w:val="single" w:sz="4" w:space="0" w:color="auto"/>
            </w:tcBorders>
            <w:shd w:val="clear" w:color="auto" w:fill="auto"/>
            <w:vAlign w:val="bottom"/>
          </w:tcPr>
          <w:p w14:paraId="512791E3"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471</w:t>
            </w:r>
          </w:p>
        </w:tc>
        <w:tc>
          <w:tcPr>
            <w:tcW w:w="1426" w:type="dxa"/>
            <w:tcBorders>
              <w:top w:val="single" w:sz="4" w:space="0" w:color="auto"/>
              <w:left w:val="single" w:sz="4" w:space="0" w:color="auto"/>
              <w:right w:val="single" w:sz="4" w:space="0" w:color="auto"/>
            </w:tcBorders>
            <w:shd w:val="clear" w:color="auto" w:fill="auto"/>
            <w:vAlign w:val="bottom"/>
          </w:tcPr>
          <w:p w14:paraId="761499D6"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r>
      <w:tr w:rsidR="00045B92" w:rsidRPr="008A2E5A" w14:paraId="3243A0D4" w14:textId="77777777" w:rsidTr="004C5D62">
        <w:trPr>
          <w:trHeight w:val="250"/>
        </w:trPr>
        <w:tc>
          <w:tcPr>
            <w:tcW w:w="4723" w:type="dxa"/>
            <w:tcBorders>
              <w:top w:val="single" w:sz="4" w:space="0" w:color="auto"/>
              <w:left w:val="single" w:sz="4" w:space="0" w:color="auto"/>
            </w:tcBorders>
            <w:shd w:val="clear" w:color="auto" w:fill="auto"/>
            <w:vAlign w:val="bottom"/>
          </w:tcPr>
          <w:p w14:paraId="3D5CC1E8"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1-й границе высотности, км/ч/ высота, м</w:t>
            </w:r>
          </w:p>
        </w:tc>
        <w:tc>
          <w:tcPr>
            <w:tcW w:w="2054" w:type="dxa"/>
            <w:tcBorders>
              <w:top w:val="single" w:sz="4" w:space="0" w:color="auto"/>
              <w:left w:val="single" w:sz="4" w:space="0" w:color="auto"/>
            </w:tcBorders>
            <w:shd w:val="clear" w:color="auto" w:fill="auto"/>
            <w:vAlign w:val="bottom"/>
          </w:tcPr>
          <w:p w14:paraId="2A87AB76"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560/2540</w:t>
            </w:r>
          </w:p>
        </w:tc>
        <w:tc>
          <w:tcPr>
            <w:tcW w:w="1454" w:type="dxa"/>
            <w:tcBorders>
              <w:top w:val="single" w:sz="4" w:space="0" w:color="auto"/>
              <w:left w:val="single" w:sz="4" w:space="0" w:color="auto"/>
            </w:tcBorders>
            <w:shd w:val="clear" w:color="auto" w:fill="auto"/>
            <w:vAlign w:val="bottom"/>
          </w:tcPr>
          <w:p w14:paraId="31C9A0F7"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546/3200</w:t>
            </w:r>
          </w:p>
        </w:tc>
        <w:tc>
          <w:tcPr>
            <w:tcW w:w="1426" w:type="dxa"/>
            <w:tcBorders>
              <w:top w:val="single" w:sz="4" w:space="0" w:color="auto"/>
              <w:left w:val="single" w:sz="4" w:space="0" w:color="auto"/>
              <w:right w:val="single" w:sz="4" w:space="0" w:color="auto"/>
            </w:tcBorders>
            <w:shd w:val="clear" w:color="auto" w:fill="auto"/>
            <w:vAlign w:val="bottom"/>
          </w:tcPr>
          <w:p w14:paraId="1F30E811"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567/3000</w:t>
            </w:r>
          </w:p>
        </w:tc>
      </w:tr>
      <w:tr w:rsidR="00045B92" w:rsidRPr="008A2E5A" w14:paraId="1E38FF2D" w14:textId="77777777" w:rsidTr="004C5D62">
        <w:trPr>
          <w:trHeight w:val="254"/>
        </w:trPr>
        <w:tc>
          <w:tcPr>
            <w:tcW w:w="4723" w:type="dxa"/>
            <w:tcBorders>
              <w:top w:val="single" w:sz="4" w:space="0" w:color="auto"/>
              <w:left w:val="single" w:sz="4" w:space="0" w:color="auto"/>
            </w:tcBorders>
            <w:shd w:val="clear" w:color="auto" w:fill="auto"/>
            <w:vAlign w:val="bottom"/>
          </w:tcPr>
          <w:p w14:paraId="677DB7E2"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2-й границе высотности, км/ч/ высота, м</w:t>
            </w:r>
          </w:p>
        </w:tc>
        <w:tc>
          <w:tcPr>
            <w:tcW w:w="2054" w:type="dxa"/>
            <w:tcBorders>
              <w:top w:val="single" w:sz="4" w:space="0" w:color="auto"/>
              <w:left w:val="single" w:sz="4" w:space="0" w:color="auto"/>
            </w:tcBorders>
            <w:shd w:val="clear" w:color="auto" w:fill="auto"/>
            <w:vAlign w:val="bottom"/>
          </w:tcPr>
          <w:p w14:paraId="5D045542"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586/4600</w:t>
            </w:r>
          </w:p>
        </w:tc>
        <w:tc>
          <w:tcPr>
            <w:tcW w:w="1454" w:type="dxa"/>
            <w:tcBorders>
              <w:top w:val="single" w:sz="4" w:space="0" w:color="auto"/>
              <w:left w:val="single" w:sz="4" w:space="0" w:color="auto"/>
            </w:tcBorders>
            <w:shd w:val="clear" w:color="auto" w:fill="auto"/>
            <w:vAlign w:val="bottom"/>
          </w:tcPr>
          <w:p w14:paraId="0A479DFF"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560/4800</w:t>
            </w:r>
          </w:p>
        </w:tc>
        <w:tc>
          <w:tcPr>
            <w:tcW w:w="1426" w:type="dxa"/>
            <w:tcBorders>
              <w:top w:val="single" w:sz="4" w:space="0" w:color="auto"/>
              <w:left w:val="single" w:sz="4" w:space="0" w:color="auto"/>
              <w:right w:val="single" w:sz="4" w:space="0" w:color="auto"/>
            </w:tcBorders>
            <w:shd w:val="clear" w:color="auto" w:fill="auto"/>
            <w:vAlign w:val="bottom"/>
          </w:tcPr>
          <w:p w14:paraId="7884EB04"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580/4850</w:t>
            </w:r>
          </w:p>
        </w:tc>
      </w:tr>
      <w:tr w:rsidR="00045B92" w:rsidRPr="008A2E5A" w14:paraId="00E7F423" w14:textId="77777777" w:rsidTr="004C5D62">
        <w:trPr>
          <w:trHeight w:val="259"/>
        </w:trPr>
        <w:tc>
          <w:tcPr>
            <w:tcW w:w="4723" w:type="dxa"/>
            <w:tcBorders>
              <w:top w:val="single" w:sz="4" w:space="0" w:color="auto"/>
              <w:left w:val="single" w:sz="4" w:space="0" w:color="auto"/>
              <w:bottom w:val="single" w:sz="4" w:space="0" w:color="auto"/>
            </w:tcBorders>
            <w:shd w:val="clear" w:color="auto" w:fill="auto"/>
            <w:vAlign w:val="bottom"/>
          </w:tcPr>
          <w:p w14:paraId="0BA22B9B"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Скороподъемность до 5000 м, мин</w:t>
            </w:r>
          </w:p>
        </w:tc>
        <w:tc>
          <w:tcPr>
            <w:tcW w:w="2054" w:type="dxa"/>
            <w:tcBorders>
              <w:top w:val="single" w:sz="4" w:space="0" w:color="auto"/>
              <w:left w:val="single" w:sz="4" w:space="0" w:color="auto"/>
              <w:bottom w:val="single" w:sz="4" w:space="0" w:color="auto"/>
            </w:tcBorders>
            <w:shd w:val="clear" w:color="auto" w:fill="auto"/>
            <w:vAlign w:val="bottom"/>
          </w:tcPr>
          <w:p w14:paraId="676F8D02"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w:t>
            </w:r>
          </w:p>
        </w:tc>
        <w:tc>
          <w:tcPr>
            <w:tcW w:w="1454" w:type="dxa"/>
            <w:tcBorders>
              <w:top w:val="single" w:sz="4" w:space="0" w:color="auto"/>
              <w:left w:val="single" w:sz="4" w:space="0" w:color="auto"/>
              <w:bottom w:val="single" w:sz="4" w:space="0" w:color="auto"/>
            </w:tcBorders>
            <w:shd w:val="clear" w:color="auto" w:fill="auto"/>
            <w:vAlign w:val="bottom"/>
          </w:tcPr>
          <w:p w14:paraId="3D816C4E"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w:t>
            </w:r>
          </w:p>
        </w:tc>
        <w:tc>
          <w:tcPr>
            <w:tcW w:w="1426" w:type="dxa"/>
            <w:tcBorders>
              <w:top w:val="single" w:sz="4" w:space="0" w:color="auto"/>
              <w:left w:val="single" w:sz="4" w:space="0" w:color="auto"/>
              <w:bottom w:val="single" w:sz="4" w:space="0" w:color="auto"/>
              <w:right w:val="single" w:sz="4" w:space="0" w:color="auto"/>
            </w:tcBorders>
            <w:shd w:val="clear" w:color="auto" w:fill="auto"/>
            <w:vAlign w:val="bottom"/>
          </w:tcPr>
          <w:p w14:paraId="2924B95D" w14:textId="77777777" w:rsidR="00045B92" w:rsidRPr="008A2E5A" w:rsidRDefault="00045B9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w:t>
            </w:r>
          </w:p>
        </w:tc>
      </w:tr>
    </w:tbl>
    <w:p w14:paraId="5D8DA3E7"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особо отметить, что полученный результат, кроме введенных улучшений аэродинамики, во многом явился следствием тщательной внешней отделки Як-7Б №1413 в ОКБ. Однако, набор проведенных мероприятий (подгонка краёв и стыков капотов, лючков и щитков для обеспечения их плотного прилегания и выглаживание ка</w:t>
      </w:r>
      <w:r w:rsidRPr="008A2E5A">
        <w:rPr>
          <w:rFonts w:ascii="Times New Roman" w:hAnsi="Times New Roman"/>
          <w:color w:val="0070C0"/>
          <w:sz w:val="16"/>
          <w:szCs w:val="16"/>
        </w:rPr>
        <w:softHyphen/>
        <w:t>потов) был вполне по силам серийным заводам. На осно</w:t>
      </w:r>
      <w:r w:rsidRPr="008A2E5A">
        <w:rPr>
          <w:rFonts w:ascii="Times New Roman" w:hAnsi="Times New Roman"/>
          <w:color w:val="0070C0"/>
          <w:sz w:val="16"/>
          <w:szCs w:val="16"/>
        </w:rPr>
        <w:softHyphen/>
        <w:t>вании проведенных испытаний Як-7Б утвердили в качест</w:t>
      </w:r>
      <w:r w:rsidRPr="008A2E5A">
        <w:rPr>
          <w:rFonts w:ascii="Times New Roman" w:hAnsi="Times New Roman"/>
          <w:color w:val="0070C0"/>
          <w:sz w:val="16"/>
          <w:szCs w:val="16"/>
        </w:rPr>
        <w:softHyphen/>
        <w:t>ве эталона дневного истребителя на 1942 г. и рекомендо</w:t>
      </w:r>
      <w:r w:rsidRPr="008A2E5A">
        <w:rPr>
          <w:rFonts w:ascii="Times New Roman" w:hAnsi="Times New Roman"/>
          <w:color w:val="0070C0"/>
          <w:sz w:val="16"/>
          <w:szCs w:val="16"/>
        </w:rPr>
        <w:softHyphen/>
        <w:t>вали НКАП без промедления организовать выпуск таких машин на всех серийных заводах, выпускающих истре</w:t>
      </w:r>
      <w:r w:rsidRPr="008A2E5A">
        <w:rPr>
          <w:rFonts w:ascii="Times New Roman" w:hAnsi="Times New Roman"/>
          <w:color w:val="0070C0"/>
          <w:sz w:val="16"/>
          <w:szCs w:val="16"/>
        </w:rPr>
        <w:softHyphen/>
        <w:t>бители Як-7. В пункте 3 Выводов в отчете по испытаниям особо отметили работу ОКБ А.С. Яковлева:</w:t>
      </w:r>
    </w:p>
    <w:p w14:paraId="1DD5AFCF"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некоторых других истребительных само</w:t>
      </w:r>
      <w:r w:rsidRPr="008A2E5A">
        <w:rPr>
          <w:rFonts w:ascii="Times New Roman" w:hAnsi="Times New Roman"/>
          <w:color w:val="0070C0"/>
          <w:sz w:val="16"/>
          <w:szCs w:val="16"/>
        </w:rPr>
        <w:softHyphen/>
        <w:t>летов, состоящих на вооружении ВВС КА, самолет Як-7 за время нахождения в серийном производстве непрерывно улучшался конструктивно и оснащался новым бо</w:t>
      </w:r>
      <w:r w:rsidRPr="008A2E5A">
        <w:rPr>
          <w:rFonts w:ascii="Times New Roman" w:hAnsi="Times New Roman"/>
          <w:color w:val="0070C0"/>
          <w:sz w:val="16"/>
          <w:szCs w:val="16"/>
        </w:rPr>
        <w:softHyphen/>
        <w:t>лее мощным вооружением (РО, пулеметы УБС) и спецоборудованием (фара, приемопередающая радиостан</w:t>
      </w:r>
      <w:r w:rsidRPr="008A2E5A">
        <w:rPr>
          <w:rFonts w:ascii="Times New Roman" w:hAnsi="Times New Roman"/>
          <w:color w:val="0070C0"/>
          <w:sz w:val="16"/>
          <w:szCs w:val="16"/>
        </w:rPr>
        <w:softHyphen/>
        <w:t>ция, радиополукомпас и другое), не теряя при этом сво</w:t>
      </w:r>
      <w:r w:rsidRPr="008A2E5A">
        <w:rPr>
          <w:rFonts w:ascii="Times New Roman" w:hAnsi="Times New Roman"/>
          <w:color w:val="0070C0"/>
          <w:sz w:val="16"/>
          <w:szCs w:val="16"/>
        </w:rPr>
        <w:softHyphen/>
        <w:t>их боевых и летных данных. Это положительное явление имеет место благодаря умелому подходу к вопросу оснащения самолета новым вооружением и спецоборудованием и систематической работе ОКБ завода №115 по улучшению летных данных серийных самолетов».</w:t>
      </w:r>
    </w:p>
    <w:p w14:paraId="29C663CE"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практически одновременное прохожде</w:t>
      </w:r>
      <w:r w:rsidRPr="008A2E5A">
        <w:rPr>
          <w:rFonts w:ascii="Times New Roman" w:hAnsi="Times New Roman"/>
          <w:color w:val="0070C0"/>
          <w:sz w:val="16"/>
          <w:szCs w:val="16"/>
        </w:rPr>
        <w:softHyphen/>
        <w:t>ние испытаний машинами Як-7А №1411 и Як-7Б №1413, внедрение последнего варианта в серию не стало еди</w:t>
      </w:r>
      <w:r w:rsidRPr="008A2E5A">
        <w:rPr>
          <w:rFonts w:ascii="Times New Roman" w:hAnsi="Times New Roman"/>
          <w:color w:val="0070C0"/>
          <w:sz w:val="16"/>
          <w:szCs w:val="16"/>
        </w:rPr>
        <w:softHyphen/>
        <w:t>номоментным из-за инерции производственных процес</w:t>
      </w:r>
      <w:r w:rsidRPr="008A2E5A">
        <w:rPr>
          <w:rFonts w:ascii="Times New Roman" w:hAnsi="Times New Roman"/>
          <w:color w:val="0070C0"/>
          <w:sz w:val="16"/>
          <w:szCs w:val="16"/>
        </w:rPr>
        <w:softHyphen/>
        <w:t>сов. Вначале на заводе №153 внедрили улучшенный ис</w:t>
      </w:r>
      <w:r w:rsidRPr="008A2E5A">
        <w:rPr>
          <w:rFonts w:ascii="Times New Roman" w:hAnsi="Times New Roman"/>
          <w:color w:val="0070C0"/>
          <w:sz w:val="16"/>
          <w:szCs w:val="16"/>
        </w:rPr>
        <w:softHyphen/>
        <w:t>требитель Як-7А (с 19-й серии) и лишь затем перешли на выпуск Як-7Б (с 22-й серии). На заводах №82 и №21, только приступавших к производству, сразу внедряли вариант Як-7 с двумя синхронными пулеметами УБС. Самолет №1413 оставили на заводе в качестве эталона. Работы по его модернизации продолжились в направле</w:t>
      </w:r>
      <w:r w:rsidRPr="008A2E5A">
        <w:rPr>
          <w:rFonts w:ascii="Times New Roman" w:hAnsi="Times New Roman"/>
          <w:color w:val="0070C0"/>
          <w:sz w:val="16"/>
          <w:szCs w:val="16"/>
        </w:rPr>
        <w:softHyphen/>
        <w:t>нии увеличения мощности мотора М-105П и увеличения дальности радиосвязи. В процессе испытаний на износ 12 мая 1942 г. в одном из полетов самолет потерпел ка</w:t>
      </w:r>
      <w:r w:rsidRPr="008A2E5A">
        <w:rPr>
          <w:rFonts w:ascii="Times New Roman" w:hAnsi="Times New Roman"/>
          <w:color w:val="0070C0"/>
          <w:sz w:val="16"/>
          <w:szCs w:val="16"/>
        </w:rPr>
        <w:softHyphen/>
        <w:t>тастрофу: из-за ошибки в технике пилотирования (срыв в штопор из-за потери скорости в развороте с большим креном на малой высоте) погиб летчик-испытатель заво</w:t>
      </w:r>
      <w:r w:rsidRPr="008A2E5A">
        <w:rPr>
          <w:rFonts w:ascii="Times New Roman" w:hAnsi="Times New Roman"/>
          <w:color w:val="0070C0"/>
          <w:sz w:val="16"/>
          <w:szCs w:val="16"/>
        </w:rPr>
        <w:softHyphen/>
        <w:t>да Н.А. Тихомиров.</w:t>
      </w:r>
    </w:p>
    <w:p w14:paraId="3AEF93E1"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Испытания на износ продолжили на первом серийном Як-7Б №2215301, которые провели заводские летчики- испытатели Н.Я. Симонов и А.Е. Пашкевич в периоде 10 июня по 27 июля 1942 г. За время испытаний произвели 501 посадку (в том числе 52 с «плюхом», 18 на левую и 22 на правую опоры шасси), 1019 фигур высшего пилота</w:t>
      </w:r>
      <w:r w:rsidRPr="008A2E5A">
        <w:rPr>
          <w:rFonts w:ascii="Times New Roman" w:hAnsi="Times New Roman"/>
          <w:color w:val="0070C0"/>
          <w:sz w:val="16"/>
          <w:szCs w:val="16"/>
        </w:rPr>
        <w:softHyphen/>
        <w:t>жа и 165 подъемов шасси в воздухе. Машина налетала 48 часов 04 минуты, показав достаточную прочность сило</w:t>
      </w:r>
      <w:r w:rsidRPr="008A2E5A">
        <w:rPr>
          <w:rFonts w:ascii="Times New Roman" w:hAnsi="Times New Roman"/>
          <w:color w:val="0070C0"/>
          <w:sz w:val="16"/>
          <w:szCs w:val="16"/>
        </w:rPr>
        <w:softHyphen/>
        <w:t>вых элементов конструкции самолета, его надежность в работе и простоту в эксплуатации. Чего нельзя было ска</w:t>
      </w:r>
      <w:r w:rsidRPr="008A2E5A">
        <w:rPr>
          <w:rFonts w:ascii="Times New Roman" w:hAnsi="Times New Roman"/>
          <w:color w:val="0070C0"/>
          <w:sz w:val="16"/>
          <w:szCs w:val="16"/>
        </w:rPr>
        <w:softHyphen/>
        <w:t>зать о моторе М-105П - за время испытаний их смени</w:t>
      </w:r>
      <w:r w:rsidRPr="008A2E5A">
        <w:rPr>
          <w:rFonts w:ascii="Times New Roman" w:hAnsi="Times New Roman"/>
          <w:color w:val="0070C0"/>
          <w:sz w:val="16"/>
          <w:szCs w:val="16"/>
        </w:rPr>
        <w:softHyphen/>
        <w:t>лось три штуки (23381).</w:t>
      </w:r>
    </w:p>
    <w:p w14:paraId="1408E181" w14:textId="77777777" w:rsidR="00045B92" w:rsidRPr="008A2E5A" w:rsidRDefault="00045B92" w:rsidP="00045B92">
      <w:pPr>
        <w:spacing w:after="0" w:line="240" w:lineRule="auto"/>
        <w:jc w:val="both"/>
        <w:rPr>
          <w:rFonts w:ascii="Times New Roman" w:hAnsi="Times New Roman"/>
          <w:color w:val="0070C0"/>
          <w:sz w:val="16"/>
          <w:szCs w:val="16"/>
        </w:rPr>
      </w:pPr>
    </w:p>
    <w:p w14:paraId="33BFBF45"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28 января по 5 февраля 1942 в Новосибирске были проведены совместные заводские и государственные испытания самолета Як-7Б заводской № 1415313 выпуска завода № 153, эталон дневного истребителя на 1942 год, Новосибирск, январь-февраль 1942. На самолете установлены мотор М-105ПА и винт ВИШ-61П диаметром 3,0 м, с участием летчиков-испытателей в/инженера 1 ранга Павла Федрови (от завода № 115), Никодима Симонова (от завода № 153), Николая Рыбко (от ЛИИ НКАП) и в/инженера 2-го ранга Андрея Кочеткова (от НИИ ВВС).</w:t>
      </w:r>
    </w:p>
    <w:p w14:paraId="5E1996C0"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 один из серийных Як-7А который в процессе производства был доработан ОКБ завода № 115 путем установки нового вооружения (20-мм ШВАК и два 12,7-мм УБС), а также внедрением ряда изменений, направленных на улучшение летных данных: изменены всасывающие патрубки нагнетателя мотора; хвостовое колесо сделано полностью убирающимся; установлены внутренние щитки шасси, полностью закрывающие купола колес; улучшены обводы тоннелей масло- и водорадиаторов, поставлены обтекатели на тяги заслонки водорадиатора; улучшена подгонка щитков шасси, посадочных щитков, зализов крыла и оперения, лючков и т.п.</w:t>
      </w:r>
    </w:p>
    <w:p w14:paraId="16B9380B"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за время испытаний было произведено 27 полетов общей продолжительностью 17 часов. Самолет испытывался при взлетном весе 3042 кг. Испытания на максимальную скорость проводились при оборотах мотора 2700 об/мин и максимальном наддуве 920-930 мм. рт. ст., заслонка водорадиатора была установлена по потоку, а заслонка маслорадиатора прикрыта на один оборот штурвала от положения полного открытия. У земли была достигнута скорость 500 км/ч, на первой границе высотности (3000 м) – 567 км/ч, на второй границе высотности (4850 м) – 580 км/ч. На высоте 1000 м максимальная скорость составила 522 км/ч. Испытания на скороподъемность проводились при оборотах мотора 2600 об/мин и максимальном наддуве 920 мм. рт. ст. Время набора высоты 5000 м составило 6,5 мин.</w:t>
      </w:r>
    </w:p>
    <w:p w14:paraId="5AA7ADE0"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второй половине марта 1942 на этом же самолете были проведены испытания при наддуве мотора, повышенном до 1020 мм. рт. ст. Повышение наддува было достигнуто путем соответствующей регулировки РПД на земле. На этот раз удалось произвести только два полета общей продолжительностью 1 час 15 минут – во втором полете мотор вышел из строя по причине разрушения подшипников. Оба этих полета были выполнены Павлом Федрови. При оборотах мотора 2700 об/мин максимальная скорость у земли составила 520 км/час, на первой границе высотности (2150 м) – 568 км/ч, а на 2-й границе высотности (4200 м) – 585 км/ч. Ввиду выхода мотора из строя, испытания на определение скороподъемности при повышенном наддуве не проводились (23546).</w:t>
      </w:r>
    </w:p>
    <w:p w14:paraId="6DC646D6" w14:textId="77777777" w:rsidR="00045B92" w:rsidRPr="008A2E5A" w:rsidRDefault="00045B92" w:rsidP="00045B92">
      <w:pPr>
        <w:spacing w:after="0" w:line="240" w:lineRule="auto"/>
        <w:jc w:val="both"/>
        <w:rPr>
          <w:rFonts w:ascii="Times New Roman" w:hAnsi="Times New Roman"/>
          <w:color w:val="0070C0"/>
          <w:sz w:val="16"/>
          <w:szCs w:val="16"/>
        </w:rPr>
      </w:pPr>
    </w:p>
    <w:p w14:paraId="46A00C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года зам. гл. конструктора завода N 22 Изаксон писал Шахурину.</w:t>
      </w:r>
    </w:p>
    <w:p w14:paraId="05145B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к моей докладной записке от 26 января докладываю основные технические данные модификации самолета Пе-2 с моторами М-105Ф и особенности этой машины, по сравнению с серийным образцом Пе-2.</w:t>
      </w:r>
    </w:p>
    <w:p w14:paraId="79130F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p w14:paraId="6B394E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отличие от серийного самолета Пе-2, допускающего подвеску внутри самолета 6 бомб по 100 кг, модифицированный самолет имеет увеличенный бомбовый отсек, позволяющий подвешивать внутри самолета 6 бомб по 100 кг, или</w:t>
      </w:r>
    </w:p>
    <w:p w14:paraId="1077A8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бомбы по 250 кг, или</w:t>
      </w:r>
    </w:p>
    <w:p w14:paraId="59842B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бомбу в 500 кг.</w:t>
      </w:r>
    </w:p>
    <w:p w14:paraId="3E8563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внутренней подвески имеются два наружных замка, на которые можно подвешивать 2 бомбы любого из указанных выше калибров.</w:t>
      </w:r>
    </w:p>
    <w:p w14:paraId="1E539A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частности</w:t>
      </w:r>
      <w:proofErr w:type="gramEnd"/>
      <w:r w:rsidRPr="008127F8">
        <w:rPr>
          <w:rFonts w:ascii="Times New Roman" w:hAnsi="Times New Roman"/>
          <w:color w:val="000000" w:themeColor="text1"/>
          <w:sz w:val="16"/>
          <w:szCs w:val="16"/>
        </w:rPr>
        <w:t xml:space="preserve"> стрелкового вооружения модифицированный самолет имеет, аналогично серийному самолету Пе-2,</w:t>
      </w:r>
    </w:p>
    <w:p w14:paraId="08667B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 1 пулемет Березина калибра 12,7 мм,</w:t>
      </w:r>
    </w:p>
    <w:p w14:paraId="5EA431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Шкас, калибра 7,6 мм;</w:t>
      </w:r>
    </w:p>
    <w:p w14:paraId="5C0FEE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 для обстрела нижней полусферы - люковую установку пулемета Березина, калибра 12,7 мм;</w:t>
      </w:r>
    </w:p>
    <w:p w14:paraId="6A3449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 для обстрела верхней полусферы, в отличие от серийного самолета Пе-2, турельную установку пулемета Березина, калибра 12,7 мм.</w:t>
      </w:r>
    </w:p>
    <w:p w14:paraId="7301C4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Винтомоторная группа</w:t>
      </w:r>
    </w:p>
    <w:p w14:paraId="25DF24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модифицированном самолете Пе-2 установлены моторы М-105Ф изготовления завода N 26, успешно прошедшие 50-часовые совместные с ВВС испытания.</w:t>
      </w:r>
    </w:p>
    <w:p w14:paraId="7C94A2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 этого мотора, в сопоставлении с мотором 105, даны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1437"/>
        <w:gridCol w:w="1418"/>
        <w:gridCol w:w="1417"/>
        <w:gridCol w:w="1418"/>
        <w:gridCol w:w="3825"/>
      </w:tblGrid>
      <w:tr w:rsidR="006F4095" w:rsidRPr="008127F8" w14:paraId="0BC93079" w14:textId="77777777">
        <w:tc>
          <w:tcPr>
            <w:tcW w:w="939" w:type="dxa"/>
            <w:tcBorders>
              <w:top w:val="single" w:sz="12" w:space="0" w:color="auto"/>
            </w:tcBorders>
          </w:tcPr>
          <w:p w14:paraId="6D25E9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Borders>
              <w:top w:val="single" w:sz="12" w:space="0" w:color="auto"/>
            </w:tcBorders>
          </w:tcPr>
          <w:p w14:paraId="6282AA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w:t>
            </w:r>
          </w:p>
        </w:tc>
        <w:tc>
          <w:tcPr>
            <w:tcW w:w="1418" w:type="dxa"/>
            <w:tcBorders>
              <w:top w:val="single" w:sz="12" w:space="0" w:color="auto"/>
            </w:tcBorders>
          </w:tcPr>
          <w:p w14:paraId="49C1A5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w:t>
            </w:r>
          </w:p>
        </w:tc>
        <w:tc>
          <w:tcPr>
            <w:tcW w:w="1417" w:type="dxa"/>
            <w:tcBorders>
              <w:top w:val="single" w:sz="12" w:space="0" w:color="auto"/>
            </w:tcBorders>
          </w:tcPr>
          <w:p w14:paraId="24E70E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w:t>
            </w:r>
          </w:p>
        </w:tc>
        <w:tc>
          <w:tcPr>
            <w:tcW w:w="1418" w:type="dxa"/>
            <w:tcBorders>
              <w:top w:val="single" w:sz="12" w:space="0" w:color="auto"/>
            </w:tcBorders>
          </w:tcPr>
          <w:p w14:paraId="4F35E8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w:t>
            </w:r>
          </w:p>
        </w:tc>
        <w:tc>
          <w:tcPr>
            <w:tcW w:w="3825" w:type="dxa"/>
            <w:tcBorders>
              <w:top w:val="single" w:sz="12" w:space="0" w:color="auto"/>
            </w:tcBorders>
          </w:tcPr>
          <w:p w14:paraId="622A4C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w:t>
            </w:r>
          </w:p>
        </w:tc>
      </w:tr>
      <w:tr w:rsidR="006F4095" w:rsidRPr="008127F8" w14:paraId="1786154D" w14:textId="77777777">
        <w:tc>
          <w:tcPr>
            <w:tcW w:w="939" w:type="dxa"/>
          </w:tcPr>
          <w:p w14:paraId="40554F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23E513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w:t>
            </w:r>
          </w:p>
        </w:tc>
        <w:tc>
          <w:tcPr>
            <w:tcW w:w="1418" w:type="dxa"/>
          </w:tcPr>
          <w:p w14:paraId="261782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w:t>
            </w:r>
          </w:p>
        </w:tc>
        <w:tc>
          <w:tcPr>
            <w:tcW w:w="1417" w:type="dxa"/>
          </w:tcPr>
          <w:p w14:paraId="6F02DA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скор.</w:t>
            </w:r>
          </w:p>
        </w:tc>
        <w:tc>
          <w:tcPr>
            <w:tcW w:w="1418" w:type="dxa"/>
          </w:tcPr>
          <w:p w14:paraId="5B9697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II скор.</w:t>
            </w:r>
          </w:p>
        </w:tc>
        <w:tc>
          <w:tcPr>
            <w:tcW w:w="3825" w:type="dxa"/>
          </w:tcPr>
          <w:p w14:paraId="3B4314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кг</w:t>
            </w:r>
          </w:p>
        </w:tc>
      </w:tr>
      <w:tr w:rsidR="006F4095" w:rsidRPr="008127F8" w14:paraId="6205A56D" w14:textId="77777777">
        <w:tc>
          <w:tcPr>
            <w:tcW w:w="939" w:type="dxa"/>
          </w:tcPr>
          <w:p w14:paraId="0DEBD8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2BE17D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л.с.</w:t>
            </w:r>
          </w:p>
        </w:tc>
        <w:tc>
          <w:tcPr>
            <w:tcW w:w="1418" w:type="dxa"/>
          </w:tcPr>
          <w:p w14:paraId="0499D8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417" w:type="dxa"/>
          </w:tcPr>
          <w:p w14:paraId="1D1AFC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л.с./на</w:t>
            </w:r>
          </w:p>
        </w:tc>
        <w:tc>
          <w:tcPr>
            <w:tcW w:w="1418" w:type="dxa"/>
          </w:tcPr>
          <w:p w14:paraId="2F4390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л.с./на</w:t>
            </w:r>
          </w:p>
        </w:tc>
        <w:tc>
          <w:tcPr>
            <w:tcW w:w="3825" w:type="dxa"/>
          </w:tcPr>
          <w:p w14:paraId="4E16F6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243A79F" w14:textId="77777777">
        <w:tc>
          <w:tcPr>
            <w:tcW w:w="939" w:type="dxa"/>
          </w:tcPr>
          <w:p w14:paraId="0DA839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09BFAE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96ED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w:t>
            </w:r>
          </w:p>
        </w:tc>
        <w:tc>
          <w:tcPr>
            <w:tcW w:w="1417" w:type="dxa"/>
          </w:tcPr>
          <w:p w14:paraId="4E2B92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w:t>
            </w:r>
          </w:p>
        </w:tc>
        <w:tc>
          <w:tcPr>
            <w:tcW w:w="1418" w:type="dxa"/>
          </w:tcPr>
          <w:p w14:paraId="78A10C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5" w:type="dxa"/>
          </w:tcPr>
          <w:p w14:paraId="555ED5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9C6392" w14:textId="77777777">
        <w:tc>
          <w:tcPr>
            <w:tcW w:w="939" w:type="dxa"/>
          </w:tcPr>
          <w:p w14:paraId="688243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w:t>
            </w:r>
          </w:p>
        </w:tc>
        <w:tc>
          <w:tcPr>
            <w:tcW w:w="1437" w:type="dxa"/>
          </w:tcPr>
          <w:p w14:paraId="686062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 л.с.</w:t>
            </w:r>
          </w:p>
        </w:tc>
        <w:tc>
          <w:tcPr>
            <w:tcW w:w="1418" w:type="dxa"/>
          </w:tcPr>
          <w:p w14:paraId="54A4C0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1020 л.с.</w:t>
            </w:r>
          </w:p>
        </w:tc>
        <w:tc>
          <w:tcPr>
            <w:tcW w:w="1417" w:type="dxa"/>
          </w:tcPr>
          <w:p w14:paraId="4F829D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 л.с./</w:t>
            </w:r>
          </w:p>
        </w:tc>
        <w:tc>
          <w:tcPr>
            <w:tcW w:w="1418" w:type="dxa"/>
          </w:tcPr>
          <w:p w14:paraId="60D684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 л.с./</w:t>
            </w:r>
          </w:p>
        </w:tc>
        <w:tc>
          <w:tcPr>
            <w:tcW w:w="3825" w:type="dxa"/>
          </w:tcPr>
          <w:p w14:paraId="20B91D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 кг</w:t>
            </w:r>
          </w:p>
        </w:tc>
      </w:tr>
      <w:tr w:rsidR="006F4095" w:rsidRPr="008127F8" w14:paraId="7576AE0A" w14:textId="77777777">
        <w:tc>
          <w:tcPr>
            <w:tcW w:w="939" w:type="dxa"/>
          </w:tcPr>
          <w:p w14:paraId="22A4CE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279E64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284DD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E26D5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м</w:t>
            </w:r>
          </w:p>
        </w:tc>
        <w:tc>
          <w:tcPr>
            <w:tcW w:w="1418" w:type="dxa"/>
          </w:tcPr>
          <w:p w14:paraId="72CC1B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м</w:t>
            </w:r>
          </w:p>
        </w:tc>
        <w:tc>
          <w:tcPr>
            <w:tcW w:w="3825" w:type="dxa"/>
          </w:tcPr>
          <w:p w14:paraId="1B35AE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B55D45" w14:textId="77777777">
        <w:tc>
          <w:tcPr>
            <w:tcW w:w="939" w:type="dxa"/>
          </w:tcPr>
          <w:p w14:paraId="64FFAC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М-105Ф</w:t>
            </w:r>
          </w:p>
        </w:tc>
        <w:tc>
          <w:tcPr>
            <w:tcW w:w="1437" w:type="dxa"/>
          </w:tcPr>
          <w:p w14:paraId="3F93D4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 л.с.</w:t>
            </w:r>
          </w:p>
        </w:tc>
        <w:tc>
          <w:tcPr>
            <w:tcW w:w="1418" w:type="dxa"/>
          </w:tcPr>
          <w:p w14:paraId="254102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 л.с.</w:t>
            </w:r>
          </w:p>
        </w:tc>
        <w:tc>
          <w:tcPr>
            <w:tcW w:w="1417" w:type="dxa"/>
          </w:tcPr>
          <w:p w14:paraId="4A17E4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193B1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1350 л.с./</w:t>
            </w:r>
          </w:p>
        </w:tc>
        <w:tc>
          <w:tcPr>
            <w:tcW w:w="3825" w:type="dxa"/>
          </w:tcPr>
          <w:p w14:paraId="6A0083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 м</w:t>
            </w:r>
          </w:p>
        </w:tc>
      </w:tr>
      <w:tr w:rsidR="006F4095" w:rsidRPr="008127F8" w14:paraId="5D05480D" w14:textId="77777777">
        <w:tc>
          <w:tcPr>
            <w:tcW w:w="939" w:type="dxa"/>
          </w:tcPr>
          <w:p w14:paraId="38C7E6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67E56C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77954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A188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40A9F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w:t>
            </w:r>
          </w:p>
        </w:tc>
        <w:tc>
          <w:tcPr>
            <w:tcW w:w="3825" w:type="dxa"/>
          </w:tcPr>
          <w:p w14:paraId="16A542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884065" w14:textId="77777777">
        <w:tc>
          <w:tcPr>
            <w:tcW w:w="939" w:type="dxa"/>
          </w:tcPr>
          <w:p w14:paraId="2EA9FF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М-107</w:t>
            </w:r>
          </w:p>
        </w:tc>
        <w:tc>
          <w:tcPr>
            <w:tcW w:w="1437" w:type="dxa"/>
          </w:tcPr>
          <w:p w14:paraId="4AB317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л.с.</w:t>
            </w:r>
          </w:p>
        </w:tc>
        <w:tc>
          <w:tcPr>
            <w:tcW w:w="1418" w:type="dxa"/>
          </w:tcPr>
          <w:p w14:paraId="539908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 л.с.</w:t>
            </w:r>
          </w:p>
        </w:tc>
        <w:tc>
          <w:tcPr>
            <w:tcW w:w="1417" w:type="dxa"/>
          </w:tcPr>
          <w:p w14:paraId="30E04F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85336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л.с./</w:t>
            </w:r>
          </w:p>
        </w:tc>
        <w:tc>
          <w:tcPr>
            <w:tcW w:w="3825" w:type="dxa"/>
          </w:tcPr>
          <w:p w14:paraId="1B4C7D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 кг</w:t>
            </w:r>
          </w:p>
        </w:tc>
      </w:tr>
      <w:tr w:rsidR="006F4095" w:rsidRPr="008127F8" w14:paraId="5DB98371" w14:textId="77777777">
        <w:tc>
          <w:tcPr>
            <w:tcW w:w="939" w:type="dxa"/>
            <w:tcBorders>
              <w:bottom w:val="single" w:sz="12" w:space="0" w:color="auto"/>
            </w:tcBorders>
          </w:tcPr>
          <w:p w14:paraId="661B45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3F3B70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664776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5EAC01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07CD08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w:t>
            </w:r>
          </w:p>
        </w:tc>
        <w:tc>
          <w:tcPr>
            <w:tcW w:w="3825" w:type="dxa"/>
            <w:tcBorders>
              <w:bottom w:val="single" w:sz="12" w:space="0" w:color="auto"/>
            </w:tcBorders>
          </w:tcPr>
          <w:p w14:paraId="5FCD30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0F47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таблице приведены данные также и по мотору М-107.</w:t>
      </w:r>
    </w:p>
    <w:p w14:paraId="2D9EB6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Модифицированный самолет Пе-2 может быть оборудован, вместо моторов М-105Ф, моторами М-107. Это связано лишь с изменением конструкции моторной рамы, моторных капотов и с установкой масляных радиаторов.</w:t>
      </w:r>
    </w:p>
    <w:p w14:paraId="3CCC4A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Сравнивая моторы М-105Ф и М-107, с точки зрения самолетной все преимущества остаются на стороне моторов М-105Ф по следующим соображениям:</w:t>
      </w:r>
    </w:p>
    <w:p w14:paraId="04488B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Мотор М-107 тяжелее мотора М-105Ф, примерно, на 50 кг, что утяжеляет самолет на 100 кг.</w:t>
      </w:r>
    </w:p>
    <w:p w14:paraId="6E1603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Высотность мотора М-107 меньше, нежели мотора М-105Ф, что уменьшает значение максимальной скорости на высотах свыше 6000 м.</w:t>
      </w:r>
    </w:p>
    <w:p w14:paraId="5D9D04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Мотор М-107 обладает чрезмерно большой теплоотдачей в масло, что влечет за собой увеличение размера масляных радиаторов, т.е. снижает скорость самолета и увеличивает добавочный его вес.</w:t>
      </w:r>
    </w:p>
    <w:p w14:paraId="6BBF96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учесть, что мотор М-105Ф изготовлен на базе серийного мотора М-105, то преимущества этого мотора перед мотором М-107 возрастают.</w:t>
      </w:r>
    </w:p>
    <w:p w14:paraId="2FFF67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Летно-тактические данные</w:t>
      </w:r>
    </w:p>
    <w:p w14:paraId="74366A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Значение максимальных скоростей модифицированного самолета, в сопоставлении с серийным самолетом Пе-2, дано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275"/>
        <w:gridCol w:w="1418"/>
        <w:gridCol w:w="1134"/>
        <w:gridCol w:w="1134"/>
        <w:gridCol w:w="1417"/>
        <w:gridCol w:w="2411"/>
      </w:tblGrid>
      <w:tr w:rsidR="006F4095" w:rsidRPr="008127F8" w14:paraId="6144229F" w14:textId="77777777">
        <w:tc>
          <w:tcPr>
            <w:tcW w:w="1668" w:type="dxa"/>
            <w:tcBorders>
              <w:top w:val="single" w:sz="12" w:space="0" w:color="auto"/>
            </w:tcBorders>
          </w:tcPr>
          <w:p w14:paraId="66AAC9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top w:val="single" w:sz="12" w:space="0" w:color="auto"/>
            </w:tcBorders>
          </w:tcPr>
          <w:p w14:paraId="4106ED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Земля</w:t>
            </w:r>
          </w:p>
        </w:tc>
        <w:tc>
          <w:tcPr>
            <w:tcW w:w="1418" w:type="dxa"/>
            <w:tcBorders>
              <w:top w:val="single" w:sz="12" w:space="0" w:color="auto"/>
            </w:tcBorders>
          </w:tcPr>
          <w:p w14:paraId="41D5EF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м</w:t>
            </w:r>
          </w:p>
        </w:tc>
        <w:tc>
          <w:tcPr>
            <w:tcW w:w="1134" w:type="dxa"/>
            <w:tcBorders>
              <w:top w:val="single" w:sz="12" w:space="0" w:color="auto"/>
            </w:tcBorders>
          </w:tcPr>
          <w:p w14:paraId="476266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w:t>
            </w:r>
          </w:p>
        </w:tc>
        <w:tc>
          <w:tcPr>
            <w:tcW w:w="1134" w:type="dxa"/>
            <w:tcBorders>
              <w:top w:val="single" w:sz="12" w:space="0" w:color="auto"/>
            </w:tcBorders>
          </w:tcPr>
          <w:p w14:paraId="24F51D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w:t>
            </w:r>
          </w:p>
        </w:tc>
        <w:tc>
          <w:tcPr>
            <w:tcW w:w="1417" w:type="dxa"/>
            <w:tcBorders>
              <w:top w:val="single" w:sz="12" w:space="0" w:color="auto"/>
            </w:tcBorders>
          </w:tcPr>
          <w:p w14:paraId="6A67D7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 м</w:t>
            </w:r>
          </w:p>
        </w:tc>
        <w:tc>
          <w:tcPr>
            <w:tcW w:w="2411" w:type="dxa"/>
            <w:tcBorders>
              <w:top w:val="single" w:sz="12" w:space="0" w:color="auto"/>
            </w:tcBorders>
          </w:tcPr>
          <w:p w14:paraId="2CCA20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146FA752" w14:textId="77777777">
        <w:tc>
          <w:tcPr>
            <w:tcW w:w="1668" w:type="dxa"/>
          </w:tcPr>
          <w:p w14:paraId="0DF112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w:t>
            </w:r>
          </w:p>
        </w:tc>
        <w:tc>
          <w:tcPr>
            <w:tcW w:w="1275" w:type="dxa"/>
          </w:tcPr>
          <w:p w14:paraId="7469BD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428 км/час</w:t>
            </w:r>
          </w:p>
        </w:tc>
        <w:tc>
          <w:tcPr>
            <w:tcW w:w="1418" w:type="dxa"/>
          </w:tcPr>
          <w:p w14:paraId="1791D8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 км/час</w:t>
            </w:r>
          </w:p>
        </w:tc>
        <w:tc>
          <w:tcPr>
            <w:tcW w:w="1134" w:type="dxa"/>
          </w:tcPr>
          <w:p w14:paraId="512B5F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 км/час</w:t>
            </w:r>
          </w:p>
        </w:tc>
        <w:tc>
          <w:tcPr>
            <w:tcW w:w="1134" w:type="dxa"/>
          </w:tcPr>
          <w:p w14:paraId="080D93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17" w:type="dxa"/>
          </w:tcPr>
          <w:p w14:paraId="0BD2DB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 км/час</w:t>
            </w:r>
          </w:p>
        </w:tc>
        <w:tc>
          <w:tcPr>
            <w:tcW w:w="2411" w:type="dxa"/>
          </w:tcPr>
          <w:p w14:paraId="33385D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w:t>
            </w:r>
          </w:p>
        </w:tc>
      </w:tr>
      <w:tr w:rsidR="006F4095" w:rsidRPr="008127F8" w14:paraId="7F45A79B" w14:textId="77777777">
        <w:tc>
          <w:tcPr>
            <w:tcW w:w="1668" w:type="dxa"/>
          </w:tcPr>
          <w:p w14:paraId="1A72C1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с внешней</w:t>
            </w:r>
          </w:p>
        </w:tc>
        <w:tc>
          <w:tcPr>
            <w:tcW w:w="1275" w:type="dxa"/>
          </w:tcPr>
          <w:p w14:paraId="3F87FE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F28BE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92B1A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A399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04F50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6DDE2B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w:t>
            </w:r>
          </w:p>
        </w:tc>
      </w:tr>
      <w:tr w:rsidR="006F4095" w:rsidRPr="008127F8" w14:paraId="506BB826" w14:textId="77777777">
        <w:tc>
          <w:tcPr>
            <w:tcW w:w="1668" w:type="dxa"/>
          </w:tcPr>
          <w:p w14:paraId="2E3BDB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подвеской</w:t>
            </w:r>
          </w:p>
        </w:tc>
        <w:tc>
          <w:tcPr>
            <w:tcW w:w="1275" w:type="dxa"/>
          </w:tcPr>
          <w:p w14:paraId="4970B4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3D865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FBE5F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55304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E506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393C11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C0F6A9" w14:textId="77777777">
        <w:tc>
          <w:tcPr>
            <w:tcW w:w="1668" w:type="dxa"/>
          </w:tcPr>
          <w:p w14:paraId="4F846A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w:t>
            </w:r>
          </w:p>
        </w:tc>
        <w:tc>
          <w:tcPr>
            <w:tcW w:w="1275" w:type="dxa"/>
          </w:tcPr>
          <w:p w14:paraId="25FAD6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 км/час</w:t>
            </w:r>
          </w:p>
        </w:tc>
        <w:tc>
          <w:tcPr>
            <w:tcW w:w="1418" w:type="dxa"/>
          </w:tcPr>
          <w:p w14:paraId="230712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 км/час</w:t>
            </w:r>
          </w:p>
        </w:tc>
        <w:tc>
          <w:tcPr>
            <w:tcW w:w="1134" w:type="dxa"/>
          </w:tcPr>
          <w:p w14:paraId="615438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 км/час</w:t>
            </w:r>
          </w:p>
        </w:tc>
        <w:tc>
          <w:tcPr>
            <w:tcW w:w="1134" w:type="dxa"/>
          </w:tcPr>
          <w:p w14:paraId="770F48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 км/час</w:t>
            </w:r>
          </w:p>
        </w:tc>
        <w:tc>
          <w:tcPr>
            <w:tcW w:w="1417" w:type="dxa"/>
          </w:tcPr>
          <w:p w14:paraId="2065AF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411" w:type="dxa"/>
          </w:tcPr>
          <w:p w14:paraId="77F9A1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F2ABD7" w14:textId="77777777">
        <w:tc>
          <w:tcPr>
            <w:tcW w:w="1668" w:type="dxa"/>
          </w:tcPr>
          <w:p w14:paraId="0BC38C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без</w:t>
            </w:r>
          </w:p>
        </w:tc>
        <w:tc>
          <w:tcPr>
            <w:tcW w:w="1275" w:type="dxa"/>
          </w:tcPr>
          <w:p w14:paraId="67EF4C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252C9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CFED7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8B94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D01A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0A8463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E28CCA" w14:textId="77777777">
        <w:tc>
          <w:tcPr>
            <w:tcW w:w="1668" w:type="dxa"/>
          </w:tcPr>
          <w:p w14:paraId="5FB725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внешней</w:t>
            </w:r>
          </w:p>
        </w:tc>
        <w:tc>
          <w:tcPr>
            <w:tcW w:w="1275" w:type="dxa"/>
          </w:tcPr>
          <w:p w14:paraId="102E58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D1899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BD41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E9670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76C9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040CD8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7FE1B7" w14:textId="77777777">
        <w:tc>
          <w:tcPr>
            <w:tcW w:w="1668" w:type="dxa"/>
          </w:tcPr>
          <w:p w14:paraId="3D4016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подвески</w:t>
            </w:r>
          </w:p>
        </w:tc>
        <w:tc>
          <w:tcPr>
            <w:tcW w:w="1275" w:type="dxa"/>
          </w:tcPr>
          <w:p w14:paraId="5EBD1B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7D8CD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3F00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307ED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240EF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40379C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4AD1C0" w14:textId="77777777">
        <w:tc>
          <w:tcPr>
            <w:tcW w:w="1668" w:type="dxa"/>
          </w:tcPr>
          <w:p w14:paraId="350309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1275" w:type="dxa"/>
          </w:tcPr>
          <w:p w14:paraId="5091C7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 км/час</w:t>
            </w:r>
          </w:p>
        </w:tc>
        <w:tc>
          <w:tcPr>
            <w:tcW w:w="1418" w:type="dxa"/>
          </w:tcPr>
          <w:p w14:paraId="03A807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518 км/час</w:t>
            </w:r>
          </w:p>
        </w:tc>
        <w:tc>
          <w:tcPr>
            <w:tcW w:w="1134" w:type="dxa"/>
          </w:tcPr>
          <w:p w14:paraId="60285D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 км/час</w:t>
            </w:r>
          </w:p>
        </w:tc>
        <w:tc>
          <w:tcPr>
            <w:tcW w:w="1134" w:type="dxa"/>
          </w:tcPr>
          <w:p w14:paraId="0785D6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17" w:type="dxa"/>
          </w:tcPr>
          <w:p w14:paraId="3479F1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км/час</w:t>
            </w:r>
          </w:p>
        </w:tc>
        <w:tc>
          <w:tcPr>
            <w:tcW w:w="2411" w:type="dxa"/>
          </w:tcPr>
          <w:p w14:paraId="452548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Расчетные</w:t>
            </w:r>
          </w:p>
        </w:tc>
      </w:tr>
      <w:tr w:rsidR="006F4095" w:rsidRPr="008127F8" w14:paraId="6A30EE2D" w14:textId="77777777">
        <w:tc>
          <w:tcPr>
            <w:tcW w:w="1668" w:type="dxa"/>
          </w:tcPr>
          <w:p w14:paraId="4B5D8C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 Пе-2 с</w:t>
            </w:r>
          </w:p>
        </w:tc>
        <w:tc>
          <w:tcPr>
            <w:tcW w:w="1275" w:type="dxa"/>
          </w:tcPr>
          <w:p w14:paraId="5ED8EF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5C58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CE61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80A2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1D8B2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013BB2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w:t>
            </w:r>
          </w:p>
        </w:tc>
      </w:tr>
      <w:tr w:rsidR="006F4095" w:rsidRPr="008127F8" w14:paraId="04744A69" w14:textId="77777777">
        <w:tc>
          <w:tcPr>
            <w:tcW w:w="1668" w:type="dxa"/>
          </w:tcPr>
          <w:p w14:paraId="722E1A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w:t>
            </w:r>
          </w:p>
        </w:tc>
        <w:tc>
          <w:tcPr>
            <w:tcW w:w="1275" w:type="dxa"/>
          </w:tcPr>
          <w:p w14:paraId="6DB7AF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AD459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6B1C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37F7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D26B3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10B17F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D95DDB" w14:textId="77777777">
        <w:tc>
          <w:tcPr>
            <w:tcW w:w="1668" w:type="dxa"/>
          </w:tcPr>
          <w:p w14:paraId="7C573E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М-105Ф</w:t>
            </w:r>
          </w:p>
        </w:tc>
        <w:tc>
          <w:tcPr>
            <w:tcW w:w="1275" w:type="dxa"/>
          </w:tcPr>
          <w:p w14:paraId="3A0613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238B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B207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4E4CD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A4F4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4B3E80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567815" w14:textId="77777777">
        <w:tc>
          <w:tcPr>
            <w:tcW w:w="1668" w:type="dxa"/>
          </w:tcPr>
          <w:p w14:paraId="28F26B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1275" w:type="dxa"/>
          </w:tcPr>
          <w:p w14:paraId="770C6E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481 км/час</w:t>
            </w:r>
          </w:p>
        </w:tc>
        <w:tc>
          <w:tcPr>
            <w:tcW w:w="1418" w:type="dxa"/>
          </w:tcPr>
          <w:p w14:paraId="32F332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527 км/час</w:t>
            </w:r>
          </w:p>
        </w:tc>
        <w:tc>
          <w:tcPr>
            <w:tcW w:w="1134" w:type="dxa"/>
          </w:tcPr>
          <w:p w14:paraId="36D949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 км/час</w:t>
            </w:r>
          </w:p>
        </w:tc>
        <w:tc>
          <w:tcPr>
            <w:tcW w:w="1134" w:type="dxa"/>
          </w:tcPr>
          <w:p w14:paraId="48D494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582 км/час</w:t>
            </w:r>
          </w:p>
        </w:tc>
        <w:tc>
          <w:tcPr>
            <w:tcW w:w="1417" w:type="dxa"/>
          </w:tcPr>
          <w:p w14:paraId="1E4AFF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571 км/час</w:t>
            </w:r>
          </w:p>
        </w:tc>
        <w:tc>
          <w:tcPr>
            <w:tcW w:w="2411" w:type="dxa"/>
          </w:tcPr>
          <w:p w14:paraId="3E4273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F7C681" w14:textId="77777777">
        <w:tc>
          <w:tcPr>
            <w:tcW w:w="1668" w:type="dxa"/>
          </w:tcPr>
          <w:p w14:paraId="0E496B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 Пе-2 с</w:t>
            </w:r>
          </w:p>
        </w:tc>
        <w:tc>
          <w:tcPr>
            <w:tcW w:w="1275" w:type="dxa"/>
          </w:tcPr>
          <w:p w14:paraId="319C14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BDCC8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1528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C75D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6853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1260F7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F01079" w14:textId="77777777">
        <w:tc>
          <w:tcPr>
            <w:tcW w:w="1668" w:type="dxa"/>
            <w:tcBorders>
              <w:bottom w:val="single" w:sz="12" w:space="0" w:color="auto"/>
            </w:tcBorders>
          </w:tcPr>
          <w:p w14:paraId="388703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мотором М-107</w:t>
            </w:r>
          </w:p>
        </w:tc>
        <w:tc>
          <w:tcPr>
            <w:tcW w:w="1275" w:type="dxa"/>
            <w:tcBorders>
              <w:bottom w:val="single" w:sz="12" w:space="0" w:color="auto"/>
            </w:tcBorders>
          </w:tcPr>
          <w:p w14:paraId="2E8DE3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145583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2FA645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18CF71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694055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Borders>
              <w:bottom w:val="single" w:sz="12" w:space="0" w:color="auto"/>
            </w:tcBorders>
          </w:tcPr>
          <w:p w14:paraId="642260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5B4B2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Скороподъемность и потолок модифицированного самолета значительно больше, нежели у серийного самолета Пе-2.</w:t>
      </w:r>
    </w:p>
    <w:p w14:paraId="703B0D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Маневренность и устойчивость самолета не должна отличаться от серийного самолета Пе-2.</w:t>
      </w:r>
    </w:p>
    <w:p w14:paraId="249404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дальность полета на 0,8 max скорости будет 1200 км.</w:t>
      </w:r>
    </w:p>
    <w:p w14:paraId="5D7FF2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Конструктивные особенности, технология и</w:t>
      </w:r>
    </w:p>
    <w:p w14:paraId="1097A6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обеспечение готовыми изделиями</w:t>
      </w:r>
    </w:p>
    <w:p w14:paraId="24E990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Конструктивные особенности модифицированного самолета Пе-2, по сравнению с серийным образцом, вызваны:</w:t>
      </w:r>
    </w:p>
    <w:p w14:paraId="2F464B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Заменой моторов М-105 на более мощные моторы М-105Ф.</w:t>
      </w:r>
    </w:p>
    <w:p w14:paraId="36D614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Заменой, в связи с этим, водяных радиаторов на большие по габариту.</w:t>
      </w:r>
    </w:p>
    <w:p w14:paraId="4DD182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Увеличением бомбового отсека.</w:t>
      </w:r>
    </w:p>
    <w:p w14:paraId="797AF0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Увеличением диаметра колес и кинематики шасси (последнее из-за наличия на моторе турбокомпрессора).</w:t>
      </w:r>
    </w:p>
    <w:p w14:paraId="7C6F12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Необходимостью устранить некоторые, имевшиеся на серийном самолете Пе-2, дефекты.</w:t>
      </w:r>
    </w:p>
    <w:p w14:paraId="4C20F9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подверглись большим конструктивным изменениям: центроплан, шасси и моторные установки (моторама, моторные капоты). Частично изменения коснулись отъемов крыльев, хвостовой части фюзеляжа и элементов оборудования.</w:t>
      </w:r>
    </w:p>
    <w:p w14:paraId="2816D4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Технология машины и применяемые материалы не изменились, по сравнению с серийным самолетом Пе-2.</w:t>
      </w:r>
    </w:p>
    <w:p w14:paraId="0EDAD3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Готовые изделия, поставляемые заводами-смежниками на серийный самолет Пе-2, в своей большей части применены также на модифицированном самолете.</w:t>
      </w:r>
    </w:p>
    <w:p w14:paraId="7BE088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модифицированном самолете остались неизменными, примерно, 60% деталей, узлов и отдельных агрегатов с серийного самолета Пе-2.</w:t>
      </w:r>
    </w:p>
    <w:p w14:paraId="6FF28E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Значительная часть серийных стапелей и приспособлений используется и для модификации. Ряд серийных стапелей нуждается лишь в некоторой доработке (1679,33).</w:t>
      </w:r>
    </w:p>
    <w:p w14:paraId="4746E0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2CC2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 нарком авиапромышленнос</w:t>
      </w:r>
      <w:r w:rsidRPr="008127F8">
        <w:rPr>
          <w:rFonts w:ascii="Times New Roman" w:hAnsi="Times New Roman"/>
          <w:color w:val="000000" w:themeColor="text1"/>
          <w:sz w:val="16"/>
          <w:szCs w:val="16"/>
        </w:rPr>
        <w:softHyphen/>
        <w:t>ти, которому Сталин направил письмо директора завода № 24 Жезлов, главного инженера завода Куинджи и начальника конструктор</w:t>
      </w:r>
      <w:r w:rsidRPr="008127F8">
        <w:rPr>
          <w:rFonts w:ascii="Times New Roman" w:hAnsi="Times New Roman"/>
          <w:color w:val="000000" w:themeColor="text1"/>
          <w:sz w:val="16"/>
          <w:szCs w:val="16"/>
        </w:rPr>
        <w:softHyphen/>
        <w:t>ского отдела Юдина, в своем ответе Ста</w:t>
      </w:r>
      <w:r w:rsidRPr="008127F8">
        <w:rPr>
          <w:rFonts w:ascii="Times New Roman" w:hAnsi="Times New Roman"/>
          <w:color w:val="000000" w:themeColor="text1"/>
          <w:sz w:val="16"/>
          <w:szCs w:val="16"/>
        </w:rPr>
        <w:softHyphen/>
        <w:t>лину выразил согласие с предложением авторов письма. Он писал:</w:t>
      </w:r>
    </w:p>
    <w:p w14:paraId="3D2DE7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как это предложение не поддержива</w:t>
      </w:r>
      <w:r w:rsidRPr="008127F8">
        <w:rPr>
          <w:rFonts w:ascii="Times New Roman" w:hAnsi="Times New Roman"/>
          <w:color w:val="000000" w:themeColor="text1"/>
          <w:sz w:val="16"/>
          <w:szCs w:val="16"/>
        </w:rPr>
        <w:softHyphen/>
        <w:t>ется Главным конструктором завода № 24 тов. Микулнным</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его работы по опытным моторам пойдут параллельно с постройкой указанных двух моторов, то обеспечение базы для работ тов. Мнкулина прошу ого</w:t>
      </w:r>
      <w:r w:rsidRPr="008127F8">
        <w:rPr>
          <w:rFonts w:ascii="Times New Roman" w:hAnsi="Times New Roman"/>
          <w:color w:val="000000" w:themeColor="text1"/>
          <w:sz w:val="16"/>
          <w:szCs w:val="16"/>
        </w:rPr>
        <w:softHyphen/>
        <w:t xml:space="preserve">ворить специальных! пунктом, записанным в проекте». Шахурин представил Сталину проект постановления ГКО </w:t>
      </w:r>
      <w:proofErr w:type="gramStart"/>
      <w:r w:rsidRPr="008127F8">
        <w:rPr>
          <w:rFonts w:ascii="Times New Roman" w:hAnsi="Times New Roman"/>
          <w:color w:val="000000" w:themeColor="text1"/>
          <w:sz w:val="16"/>
          <w:szCs w:val="16"/>
        </w:rPr>
        <w:t>по этому</w:t>
      </w:r>
      <w:proofErr w:type="gramEnd"/>
      <w:r w:rsidRPr="008127F8">
        <w:rPr>
          <w:rFonts w:ascii="Times New Roman" w:hAnsi="Times New Roman"/>
          <w:color w:val="000000" w:themeColor="text1"/>
          <w:sz w:val="16"/>
          <w:szCs w:val="16"/>
        </w:rPr>
        <w:t xml:space="preserve"> во просу.</w:t>
      </w:r>
    </w:p>
    <w:p w14:paraId="2509A2D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проекте постановления соответствую</w:t>
      </w:r>
      <w:r w:rsidRPr="008127F8">
        <w:rPr>
          <w:rFonts w:ascii="Times New Roman" w:hAnsi="Times New Roman"/>
          <w:color w:val="000000" w:themeColor="text1"/>
          <w:sz w:val="16"/>
          <w:szCs w:val="16"/>
        </w:rPr>
        <w:softHyphen/>
        <w:t>щий пункт был изложен в следующей ре</w:t>
      </w:r>
      <w:r w:rsidRPr="008127F8">
        <w:rPr>
          <w:rFonts w:ascii="Times New Roman" w:hAnsi="Times New Roman"/>
          <w:color w:val="000000" w:themeColor="text1"/>
          <w:sz w:val="16"/>
          <w:szCs w:val="16"/>
        </w:rPr>
        <w:softHyphen/>
        <w:t>дакции: «Обязать директора завода № 24 тов. Жезлова, главного инженера завода тон. Куннджи постройку указанных моторов производить не за счет сил и средств опытной базы главного конструктора завода тов. Мнкулина, сохранив за работами тов. Микулина опытную базу, необходимый ему конструкторский коллек</w:t>
      </w:r>
      <w:r w:rsidRPr="008127F8">
        <w:rPr>
          <w:rFonts w:ascii="Times New Roman" w:hAnsi="Times New Roman"/>
          <w:color w:val="000000" w:themeColor="text1"/>
          <w:sz w:val="16"/>
          <w:szCs w:val="16"/>
        </w:rPr>
        <w:softHyphen/>
        <w:t>тив и обеспечив помощь серийного производства в его работе» (10781).</w:t>
      </w:r>
    </w:p>
    <w:p w14:paraId="7DB95D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9003B"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w:t>
      </w:r>
    </w:p>
    <w:p w14:paraId="33BA8A03"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пояснительной записки к отчету завода № 481 о работе за 1941 год - о выпуске оборонной продукции</w:t>
      </w:r>
    </w:p>
    <w:p w14:paraId="164D5FDF"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w:t>
      </w:r>
    </w:p>
    <w:p w14:paraId="3163AC21"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57CF37B7"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по сдаче продукции оборонного значения выполнен за отчетный период заводом на 56,8%.</w:t>
      </w:r>
    </w:p>
    <w:p w14:paraId="43995D7E"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отдельным ведущим изделиям выпуска выполнение плана в натуральном выражении характеризуется следующей таблицей:</w:t>
      </w:r>
    </w:p>
    <w:p w14:paraId="6DA487D5"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изделий</w:t>
      </w:r>
      <w:r w:rsidRPr="008127F8">
        <w:rPr>
          <w:rFonts w:ascii="Times New Roman" w:hAnsi="Times New Roman"/>
          <w:color w:val="000000" w:themeColor="text1"/>
          <w:sz w:val="16"/>
          <w:szCs w:val="16"/>
        </w:rPr>
        <w:tab/>
        <w:t>План за год</w:t>
      </w:r>
      <w:r w:rsidRPr="008127F8">
        <w:rPr>
          <w:rFonts w:ascii="Times New Roman" w:hAnsi="Times New Roman"/>
          <w:color w:val="000000" w:themeColor="text1"/>
          <w:sz w:val="16"/>
          <w:szCs w:val="16"/>
        </w:rPr>
        <w:tab/>
        <w:t>Выполнение за 41 г.</w:t>
      </w:r>
      <w:r w:rsidRPr="008127F8">
        <w:rPr>
          <w:rFonts w:ascii="Times New Roman" w:hAnsi="Times New Roman"/>
          <w:color w:val="000000" w:themeColor="text1"/>
          <w:sz w:val="16"/>
          <w:szCs w:val="16"/>
        </w:rPr>
        <w:tab/>
      </w:r>
      <w:proofErr w:type="gramStart"/>
      <w:r w:rsidRPr="008127F8">
        <w:rPr>
          <w:rFonts w:ascii="Times New Roman" w:hAnsi="Times New Roman"/>
          <w:color w:val="000000" w:themeColor="text1"/>
          <w:sz w:val="16"/>
          <w:szCs w:val="16"/>
        </w:rPr>
        <w:t>%  выполнения</w:t>
      </w:r>
      <w:proofErr w:type="gramEnd"/>
    </w:p>
    <w:p w14:paraId="5BFBE725"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1.Плоск/ость/ нижн/яя/ к</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r>
    </w:p>
    <w:p w14:paraId="69DF5E84"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самолету Р-5</w:t>
      </w:r>
      <w:r w:rsidRPr="008127F8">
        <w:rPr>
          <w:rFonts w:ascii="Times New Roman" w:hAnsi="Times New Roman"/>
          <w:color w:val="000000" w:themeColor="text1"/>
          <w:sz w:val="16"/>
          <w:szCs w:val="16"/>
        </w:rPr>
        <w:tab/>
        <w:t>330</w:t>
      </w:r>
      <w:r w:rsidRPr="008127F8">
        <w:rPr>
          <w:rFonts w:ascii="Times New Roman" w:hAnsi="Times New Roman"/>
          <w:color w:val="000000" w:themeColor="text1"/>
          <w:sz w:val="16"/>
          <w:szCs w:val="16"/>
        </w:rPr>
        <w:tab/>
        <w:t>325</w:t>
      </w:r>
      <w:r w:rsidRPr="008127F8">
        <w:rPr>
          <w:rFonts w:ascii="Times New Roman" w:hAnsi="Times New Roman"/>
          <w:color w:val="000000" w:themeColor="text1"/>
          <w:sz w:val="16"/>
          <w:szCs w:val="16"/>
        </w:rPr>
        <w:tab/>
        <w:t>98,4</w:t>
      </w:r>
    </w:p>
    <w:p w14:paraId="3939D342"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2.Плоск/ость/ верхн/яя/ к</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r>
    </w:p>
    <w:p w14:paraId="7A6A54A1"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самолету И-153 З.Плоск/ость/ нижн/яя/ к</w:t>
      </w:r>
      <w:r w:rsidRPr="008127F8">
        <w:rPr>
          <w:rFonts w:ascii="Times New Roman" w:hAnsi="Times New Roman"/>
          <w:color w:val="000000" w:themeColor="text1"/>
          <w:sz w:val="16"/>
          <w:szCs w:val="16"/>
        </w:rPr>
        <w:tab/>
        <w:t>200</w:t>
      </w:r>
      <w:r w:rsidRPr="008127F8">
        <w:rPr>
          <w:rFonts w:ascii="Times New Roman" w:hAnsi="Times New Roman"/>
          <w:color w:val="000000" w:themeColor="text1"/>
          <w:sz w:val="16"/>
          <w:szCs w:val="16"/>
        </w:rPr>
        <w:tab/>
        <w:t>215</w:t>
      </w:r>
      <w:r w:rsidRPr="008127F8">
        <w:rPr>
          <w:rFonts w:ascii="Times New Roman" w:hAnsi="Times New Roman"/>
          <w:color w:val="000000" w:themeColor="text1"/>
          <w:sz w:val="16"/>
          <w:szCs w:val="16"/>
        </w:rPr>
        <w:tab/>
        <w:t>107,5</w:t>
      </w:r>
    </w:p>
    <w:p w14:paraId="5C3D9388" w14:textId="77777777" w:rsidR="00EC199E" w:rsidRPr="008127F8" w:rsidRDefault="00EC199E"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сам/олету</w:t>
      </w:r>
      <w:proofErr w:type="gramEnd"/>
      <w:r w:rsidRPr="008127F8">
        <w:rPr>
          <w:rFonts w:ascii="Times New Roman" w:hAnsi="Times New Roman"/>
          <w:color w:val="000000" w:themeColor="text1"/>
          <w:sz w:val="16"/>
          <w:szCs w:val="16"/>
        </w:rPr>
        <w:t>/И-153</w:t>
      </w:r>
      <w:r w:rsidRPr="008127F8">
        <w:rPr>
          <w:rFonts w:ascii="Times New Roman" w:hAnsi="Times New Roman"/>
          <w:color w:val="000000" w:themeColor="text1"/>
          <w:sz w:val="16"/>
          <w:szCs w:val="16"/>
        </w:rPr>
        <w:tab/>
        <w:t>480</w:t>
      </w:r>
      <w:r w:rsidRPr="008127F8">
        <w:rPr>
          <w:rFonts w:ascii="Times New Roman" w:hAnsi="Times New Roman"/>
          <w:color w:val="000000" w:themeColor="text1"/>
          <w:sz w:val="16"/>
          <w:szCs w:val="16"/>
        </w:rPr>
        <w:tab/>
        <w:t>547</w:t>
      </w:r>
      <w:r w:rsidRPr="008127F8">
        <w:rPr>
          <w:rFonts w:ascii="Times New Roman" w:hAnsi="Times New Roman"/>
          <w:color w:val="000000" w:themeColor="text1"/>
          <w:sz w:val="16"/>
          <w:szCs w:val="16"/>
        </w:rPr>
        <w:tab/>
        <w:t>113,9</w:t>
      </w:r>
    </w:p>
    <w:p w14:paraId="4151A9BD"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вооружению:</w:t>
      </w:r>
      <w:r w:rsidRPr="008127F8">
        <w:rPr>
          <w:rFonts w:ascii="Times New Roman" w:hAnsi="Times New Roman"/>
          <w:color w:val="000000" w:themeColor="text1"/>
          <w:sz w:val="16"/>
          <w:szCs w:val="16"/>
        </w:rPr>
        <w:tab/>
        <w:t>План на 4 кв.</w:t>
      </w:r>
      <w:r w:rsidRPr="008127F8">
        <w:rPr>
          <w:rFonts w:ascii="Times New Roman" w:hAnsi="Times New Roman"/>
          <w:color w:val="000000" w:themeColor="text1"/>
          <w:sz w:val="16"/>
          <w:szCs w:val="16"/>
        </w:rPr>
        <w:tab/>
        <w:t>Выполнение</w:t>
      </w:r>
      <w:r w:rsidRPr="008127F8">
        <w:rPr>
          <w:rFonts w:ascii="Times New Roman" w:hAnsi="Times New Roman"/>
          <w:color w:val="000000" w:themeColor="text1"/>
          <w:sz w:val="16"/>
          <w:szCs w:val="16"/>
        </w:rPr>
        <w:tab/>
        <w:t>%</w:t>
      </w:r>
    </w:p>
    <w:p w14:paraId="74E98FA0"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АСШ СУ-2</w:t>
      </w:r>
      <w:r w:rsidRPr="008127F8">
        <w:rPr>
          <w:rFonts w:ascii="Times New Roman" w:hAnsi="Times New Roman"/>
          <w:color w:val="000000" w:themeColor="text1"/>
          <w:sz w:val="16"/>
          <w:szCs w:val="16"/>
        </w:rPr>
        <w:tab/>
        <w:t>120</w:t>
      </w:r>
      <w:r w:rsidRPr="008127F8">
        <w:rPr>
          <w:rFonts w:ascii="Times New Roman" w:hAnsi="Times New Roman"/>
          <w:color w:val="000000" w:themeColor="text1"/>
          <w:sz w:val="16"/>
          <w:szCs w:val="16"/>
        </w:rPr>
        <w:tab/>
        <w:t>312</w:t>
      </w:r>
      <w:r w:rsidRPr="008127F8">
        <w:rPr>
          <w:rFonts w:ascii="Times New Roman" w:hAnsi="Times New Roman"/>
          <w:color w:val="000000" w:themeColor="text1"/>
          <w:sz w:val="16"/>
          <w:szCs w:val="16"/>
        </w:rPr>
        <w:tab/>
        <w:t>260</w:t>
      </w:r>
    </w:p>
    <w:p w14:paraId="3F37D068"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АСП СУ-2</w:t>
      </w:r>
      <w:r w:rsidRPr="008127F8">
        <w:rPr>
          <w:rFonts w:ascii="Times New Roman" w:hAnsi="Times New Roman"/>
          <w:color w:val="000000" w:themeColor="text1"/>
          <w:sz w:val="16"/>
          <w:szCs w:val="16"/>
        </w:rPr>
        <w:tab/>
        <w:t>120</w:t>
      </w:r>
      <w:r w:rsidRPr="008127F8">
        <w:rPr>
          <w:rFonts w:ascii="Times New Roman" w:hAnsi="Times New Roman"/>
          <w:color w:val="000000" w:themeColor="text1"/>
          <w:sz w:val="16"/>
          <w:szCs w:val="16"/>
        </w:rPr>
        <w:tab/>
        <w:t>312</w:t>
      </w:r>
      <w:r w:rsidRPr="008127F8">
        <w:rPr>
          <w:rFonts w:ascii="Times New Roman" w:hAnsi="Times New Roman"/>
          <w:color w:val="000000" w:themeColor="text1"/>
          <w:sz w:val="16"/>
          <w:szCs w:val="16"/>
        </w:rPr>
        <w:tab/>
        <w:t>260</w:t>
      </w:r>
    </w:p>
    <w:p w14:paraId="5B42F32E"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АСШ-141</w:t>
      </w:r>
      <w:r w:rsidRPr="008127F8">
        <w:rPr>
          <w:rFonts w:ascii="Times New Roman" w:hAnsi="Times New Roman"/>
          <w:color w:val="000000" w:themeColor="text1"/>
          <w:sz w:val="16"/>
          <w:szCs w:val="16"/>
        </w:rPr>
        <w:tab/>
        <w:t>775</w:t>
      </w:r>
      <w:r w:rsidRPr="008127F8">
        <w:rPr>
          <w:rFonts w:ascii="Times New Roman" w:hAnsi="Times New Roman"/>
          <w:color w:val="000000" w:themeColor="text1"/>
          <w:sz w:val="16"/>
          <w:szCs w:val="16"/>
        </w:rPr>
        <w:tab/>
        <w:t>883</w:t>
      </w:r>
      <w:r w:rsidRPr="008127F8">
        <w:rPr>
          <w:rFonts w:ascii="Times New Roman" w:hAnsi="Times New Roman"/>
          <w:color w:val="000000" w:themeColor="text1"/>
          <w:sz w:val="16"/>
          <w:szCs w:val="16"/>
        </w:rPr>
        <w:tab/>
        <w:t>114</w:t>
      </w:r>
    </w:p>
    <w:p w14:paraId="32781DE7"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АСИ-140</w:t>
      </w:r>
      <w:r w:rsidRPr="008127F8">
        <w:rPr>
          <w:rFonts w:ascii="Times New Roman" w:hAnsi="Times New Roman"/>
          <w:color w:val="000000" w:themeColor="text1"/>
          <w:sz w:val="16"/>
          <w:szCs w:val="16"/>
        </w:rPr>
        <w:tab/>
        <w:t>1712</w:t>
      </w:r>
      <w:r w:rsidRPr="008127F8">
        <w:rPr>
          <w:rFonts w:ascii="Times New Roman" w:hAnsi="Times New Roman"/>
          <w:color w:val="000000" w:themeColor="text1"/>
          <w:sz w:val="16"/>
          <w:szCs w:val="16"/>
        </w:rPr>
        <w:tab/>
        <w:t>1425</w:t>
      </w:r>
      <w:r w:rsidRPr="008127F8">
        <w:rPr>
          <w:rFonts w:ascii="Times New Roman" w:hAnsi="Times New Roman"/>
          <w:color w:val="000000" w:themeColor="text1"/>
          <w:sz w:val="16"/>
          <w:szCs w:val="16"/>
        </w:rPr>
        <w:tab/>
        <w:t>83,2</w:t>
      </w:r>
    </w:p>
    <w:p w14:paraId="451FF9DD"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авиалыжам:</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r>
    </w:p>
    <w:p w14:paraId="76C1700B"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Авиалыжи Ил-2</w:t>
      </w:r>
      <w:r w:rsidRPr="008127F8">
        <w:rPr>
          <w:rFonts w:ascii="Times New Roman" w:hAnsi="Times New Roman"/>
          <w:color w:val="000000" w:themeColor="text1"/>
          <w:sz w:val="16"/>
          <w:szCs w:val="16"/>
        </w:rPr>
        <w:tab/>
        <w:t>130</w:t>
      </w:r>
      <w:r w:rsidRPr="008127F8">
        <w:rPr>
          <w:rFonts w:ascii="Times New Roman" w:hAnsi="Times New Roman"/>
          <w:color w:val="000000" w:themeColor="text1"/>
          <w:sz w:val="16"/>
          <w:szCs w:val="16"/>
        </w:rPr>
        <w:tab/>
        <w:t>134</w:t>
      </w:r>
      <w:r w:rsidRPr="008127F8">
        <w:rPr>
          <w:rFonts w:ascii="Times New Roman" w:hAnsi="Times New Roman"/>
          <w:color w:val="000000" w:themeColor="text1"/>
          <w:sz w:val="16"/>
          <w:szCs w:val="16"/>
        </w:rPr>
        <w:tab/>
        <w:t>103</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20914).</w:t>
      </w:r>
    </w:p>
    <w:p w14:paraId="75F45140" w14:textId="77777777" w:rsidR="00EC199E" w:rsidRPr="008127F8" w:rsidRDefault="00EC199E" w:rsidP="001E0A84">
      <w:pPr>
        <w:spacing w:after="0" w:line="240" w:lineRule="auto"/>
        <w:jc w:val="both"/>
        <w:rPr>
          <w:rFonts w:ascii="Times New Roman" w:hAnsi="Times New Roman"/>
          <w:color w:val="000000" w:themeColor="text1"/>
          <w:sz w:val="16"/>
          <w:szCs w:val="16"/>
        </w:rPr>
      </w:pPr>
    </w:p>
    <w:p w14:paraId="1CF2C565"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января 1942 г.Из пояснительной записки к отчету завода № 481 о работе за 1941 год - о выпуске оборонной продукции</w:t>
      </w:r>
    </w:p>
    <w:p w14:paraId="288B72B5"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08BC5A61"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по сдаче продукции оборонного значения выполнен за отчетный период заводом на 56,8%.</w:t>
      </w:r>
    </w:p>
    <w:p w14:paraId="3CE3FFCC"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отдельным ведущим изделиям выпуска выполнение плана в натуральном выражении характеризуется следующей таблицей:</w:t>
      </w:r>
    </w:p>
    <w:tbl>
      <w:tblPr>
        <w:tblStyle w:val="afffff5"/>
        <w:tblW w:w="0" w:type="auto"/>
        <w:tblLook w:val="04A0" w:firstRow="1" w:lastRow="0" w:firstColumn="1" w:lastColumn="0" w:noHBand="0" w:noVBand="1"/>
      </w:tblPr>
      <w:tblGrid>
        <w:gridCol w:w="2670"/>
        <w:gridCol w:w="2670"/>
        <w:gridCol w:w="2671"/>
        <w:gridCol w:w="2671"/>
      </w:tblGrid>
      <w:tr w:rsidR="00045B92" w:rsidRPr="008A2E5A" w14:paraId="5223EF17" w14:textId="77777777" w:rsidTr="004C5D62">
        <w:tc>
          <w:tcPr>
            <w:tcW w:w="2670" w:type="dxa"/>
          </w:tcPr>
          <w:p w14:paraId="11D916AB" w14:textId="77777777" w:rsidR="00045B92" w:rsidRPr="008A2E5A" w:rsidRDefault="00045B92" w:rsidP="004C5D62">
            <w:pPr>
              <w:spacing w:after="0" w:line="240" w:lineRule="auto"/>
              <w:jc w:val="both"/>
              <w:rPr>
                <w:color w:val="0070C0"/>
                <w:sz w:val="16"/>
                <w:szCs w:val="16"/>
              </w:rPr>
            </w:pPr>
            <w:r w:rsidRPr="008A2E5A">
              <w:rPr>
                <w:color w:val="0070C0"/>
                <w:sz w:val="16"/>
                <w:szCs w:val="16"/>
              </w:rPr>
              <w:t>Наименование изделий</w:t>
            </w:r>
          </w:p>
        </w:tc>
        <w:tc>
          <w:tcPr>
            <w:tcW w:w="2670" w:type="dxa"/>
          </w:tcPr>
          <w:p w14:paraId="504764A1" w14:textId="77777777" w:rsidR="00045B92" w:rsidRPr="008A2E5A" w:rsidRDefault="00045B92" w:rsidP="004C5D62">
            <w:pPr>
              <w:spacing w:after="0" w:line="240" w:lineRule="auto"/>
              <w:jc w:val="both"/>
              <w:rPr>
                <w:color w:val="0070C0"/>
                <w:sz w:val="16"/>
                <w:szCs w:val="16"/>
              </w:rPr>
            </w:pPr>
            <w:r w:rsidRPr="008A2E5A">
              <w:rPr>
                <w:color w:val="0070C0"/>
                <w:sz w:val="16"/>
                <w:szCs w:val="16"/>
              </w:rPr>
              <w:t>План за год</w:t>
            </w:r>
          </w:p>
        </w:tc>
        <w:tc>
          <w:tcPr>
            <w:tcW w:w="2671" w:type="dxa"/>
          </w:tcPr>
          <w:p w14:paraId="5DEC4B67" w14:textId="77777777" w:rsidR="00045B92" w:rsidRPr="008A2E5A" w:rsidRDefault="00045B92" w:rsidP="004C5D62">
            <w:pPr>
              <w:spacing w:after="0" w:line="240" w:lineRule="auto"/>
              <w:jc w:val="both"/>
              <w:rPr>
                <w:color w:val="0070C0"/>
                <w:sz w:val="16"/>
                <w:szCs w:val="16"/>
              </w:rPr>
            </w:pPr>
            <w:r w:rsidRPr="008A2E5A">
              <w:rPr>
                <w:color w:val="0070C0"/>
                <w:sz w:val="16"/>
                <w:szCs w:val="16"/>
              </w:rPr>
              <w:t>Выполнение за 41 г.</w:t>
            </w:r>
          </w:p>
        </w:tc>
        <w:tc>
          <w:tcPr>
            <w:tcW w:w="2671" w:type="dxa"/>
          </w:tcPr>
          <w:p w14:paraId="4D15A33B" w14:textId="77777777" w:rsidR="00045B92" w:rsidRPr="008A2E5A" w:rsidRDefault="00045B92" w:rsidP="004C5D62">
            <w:pPr>
              <w:spacing w:after="0" w:line="240" w:lineRule="auto"/>
              <w:jc w:val="both"/>
              <w:rPr>
                <w:color w:val="0070C0"/>
                <w:sz w:val="16"/>
                <w:szCs w:val="16"/>
              </w:rPr>
            </w:pPr>
            <w:proofErr w:type="gramStart"/>
            <w:r w:rsidRPr="008A2E5A">
              <w:rPr>
                <w:color w:val="0070C0"/>
                <w:sz w:val="16"/>
                <w:szCs w:val="16"/>
              </w:rPr>
              <w:t>%  выполнения</w:t>
            </w:r>
            <w:proofErr w:type="gramEnd"/>
          </w:p>
        </w:tc>
      </w:tr>
      <w:tr w:rsidR="00045B92" w:rsidRPr="008A2E5A" w14:paraId="291B2E4C" w14:textId="77777777" w:rsidTr="004C5D62">
        <w:tc>
          <w:tcPr>
            <w:tcW w:w="2670" w:type="dxa"/>
          </w:tcPr>
          <w:p w14:paraId="47982B55" w14:textId="77777777" w:rsidR="00045B92" w:rsidRPr="008A2E5A" w:rsidRDefault="00045B92" w:rsidP="004C5D62">
            <w:pPr>
              <w:spacing w:after="0" w:line="240" w:lineRule="auto"/>
              <w:jc w:val="both"/>
              <w:rPr>
                <w:color w:val="0070C0"/>
                <w:sz w:val="16"/>
                <w:szCs w:val="16"/>
              </w:rPr>
            </w:pPr>
            <w:r w:rsidRPr="008A2E5A">
              <w:rPr>
                <w:color w:val="0070C0"/>
                <w:sz w:val="16"/>
                <w:szCs w:val="16"/>
              </w:rPr>
              <w:t>1.Плоск/ость/ нижн/яя/ к</w:t>
            </w:r>
          </w:p>
        </w:tc>
        <w:tc>
          <w:tcPr>
            <w:tcW w:w="2670" w:type="dxa"/>
          </w:tcPr>
          <w:p w14:paraId="33C33DE3" w14:textId="77777777" w:rsidR="00045B92" w:rsidRPr="008A2E5A" w:rsidRDefault="00045B92" w:rsidP="004C5D62">
            <w:pPr>
              <w:spacing w:after="0" w:line="240" w:lineRule="auto"/>
              <w:jc w:val="both"/>
              <w:rPr>
                <w:color w:val="0070C0"/>
                <w:sz w:val="16"/>
                <w:szCs w:val="16"/>
              </w:rPr>
            </w:pPr>
          </w:p>
        </w:tc>
        <w:tc>
          <w:tcPr>
            <w:tcW w:w="2671" w:type="dxa"/>
          </w:tcPr>
          <w:p w14:paraId="6429F76B" w14:textId="77777777" w:rsidR="00045B92" w:rsidRPr="008A2E5A" w:rsidRDefault="00045B92" w:rsidP="004C5D62">
            <w:pPr>
              <w:spacing w:after="0" w:line="240" w:lineRule="auto"/>
              <w:jc w:val="both"/>
              <w:rPr>
                <w:color w:val="0070C0"/>
                <w:sz w:val="16"/>
                <w:szCs w:val="16"/>
              </w:rPr>
            </w:pPr>
          </w:p>
        </w:tc>
        <w:tc>
          <w:tcPr>
            <w:tcW w:w="2671" w:type="dxa"/>
          </w:tcPr>
          <w:p w14:paraId="3905A86D" w14:textId="77777777" w:rsidR="00045B92" w:rsidRPr="008A2E5A" w:rsidRDefault="00045B92" w:rsidP="004C5D62">
            <w:pPr>
              <w:spacing w:after="0" w:line="240" w:lineRule="auto"/>
              <w:jc w:val="both"/>
              <w:rPr>
                <w:color w:val="0070C0"/>
                <w:sz w:val="16"/>
                <w:szCs w:val="16"/>
              </w:rPr>
            </w:pPr>
          </w:p>
        </w:tc>
      </w:tr>
      <w:tr w:rsidR="00045B92" w:rsidRPr="008A2E5A" w14:paraId="05A8A51C" w14:textId="77777777" w:rsidTr="004C5D62">
        <w:tc>
          <w:tcPr>
            <w:tcW w:w="2670" w:type="dxa"/>
          </w:tcPr>
          <w:p w14:paraId="12CBE524" w14:textId="77777777" w:rsidR="00045B92" w:rsidRPr="008A2E5A" w:rsidRDefault="00045B92" w:rsidP="004C5D62">
            <w:pPr>
              <w:spacing w:after="0" w:line="240" w:lineRule="auto"/>
              <w:jc w:val="both"/>
              <w:rPr>
                <w:color w:val="0070C0"/>
                <w:sz w:val="16"/>
                <w:szCs w:val="16"/>
              </w:rPr>
            </w:pPr>
            <w:r w:rsidRPr="008A2E5A">
              <w:rPr>
                <w:color w:val="0070C0"/>
                <w:sz w:val="16"/>
                <w:szCs w:val="16"/>
              </w:rPr>
              <w:t>самолету Р-5</w:t>
            </w:r>
          </w:p>
        </w:tc>
        <w:tc>
          <w:tcPr>
            <w:tcW w:w="2670" w:type="dxa"/>
          </w:tcPr>
          <w:p w14:paraId="33224D27" w14:textId="77777777" w:rsidR="00045B92" w:rsidRPr="008A2E5A" w:rsidRDefault="00045B92" w:rsidP="004C5D62">
            <w:pPr>
              <w:spacing w:after="0" w:line="240" w:lineRule="auto"/>
              <w:jc w:val="both"/>
              <w:rPr>
                <w:color w:val="0070C0"/>
                <w:sz w:val="16"/>
                <w:szCs w:val="16"/>
              </w:rPr>
            </w:pPr>
            <w:r w:rsidRPr="008A2E5A">
              <w:rPr>
                <w:color w:val="0070C0"/>
                <w:sz w:val="16"/>
                <w:szCs w:val="16"/>
              </w:rPr>
              <w:t>330</w:t>
            </w:r>
          </w:p>
        </w:tc>
        <w:tc>
          <w:tcPr>
            <w:tcW w:w="2671" w:type="dxa"/>
          </w:tcPr>
          <w:p w14:paraId="45F6980D" w14:textId="77777777" w:rsidR="00045B92" w:rsidRPr="008A2E5A" w:rsidRDefault="00045B92" w:rsidP="004C5D62">
            <w:pPr>
              <w:spacing w:after="0" w:line="240" w:lineRule="auto"/>
              <w:jc w:val="both"/>
              <w:rPr>
                <w:color w:val="0070C0"/>
                <w:sz w:val="16"/>
                <w:szCs w:val="16"/>
              </w:rPr>
            </w:pPr>
            <w:r w:rsidRPr="008A2E5A">
              <w:rPr>
                <w:color w:val="0070C0"/>
                <w:sz w:val="16"/>
                <w:szCs w:val="16"/>
              </w:rPr>
              <w:t>325</w:t>
            </w:r>
          </w:p>
        </w:tc>
        <w:tc>
          <w:tcPr>
            <w:tcW w:w="2671" w:type="dxa"/>
          </w:tcPr>
          <w:p w14:paraId="2033FE1F" w14:textId="77777777" w:rsidR="00045B92" w:rsidRPr="008A2E5A" w:rsidRDefault="00045B92" w:rsidP="004C5D62">
            <w:pPr>
              <w:spacing w:after="0" w:line="240" w:lineRule="auto"/>
              <w:jc w:val="both"/>
              <w:rPr>
                <w:color w:val="0070C0"/>
                <w:sz w:val="16"/>
                <w:szCs w:val="16"/>
              </w:rPr>
            </w:pPr>
            <w:r w:rsidRPr="008A2E5A">
              <w:rPr>
                <w:color w:val="0070C0"/>
                <w:sz w:val="16"/>
                <w:szCs w:val="16"/>
              </w:rPr>
              <w:t>98,4</w:t>
            </w:r>
          </w:p>
        </w:tc>
      </w:tr>
      <w:tr w:rsidR="00045B92" w:rsidRPr="008A2E5A" w14:paraId="5A74041A" w14:textId="77777777" w:rsidTr="004C5D62">
        <w:tc>
          <w:tcPr>
            <w:tcW w:w="2670" w:type="dxa"/>
          </w:tcPr>
          <w:p w14:paraId="31D2DF57" w14:textId="77777777" w:rsidR="00045B92" w:rsidRPr="008A2E5A" w:rsidRDefault="00045B92" w:rsidP="004C5D62">
            <w:pPr>
              <w:spacing w:after="0" w:line="240" w:lineRule="auto"/>
              <w:jc w:val="both"/>
              <w:rPr>
                <w:color w:val="0070C0"/>
                <w:sz w:val="16"/>
                <w:szCs w:val="16"/>
              </w:rPr>
            </w:pPr>
            <w:r w:rsidRPr="008A2E5A">
              <w:rPr>
                <w:color w:val="0070C0"/>
                <w:sz w:val="16"/>
                <w:szCs w:val="16"/>
              </w:rPr>
              <w:t>2.Плоск/ость/ верхн/яя/ к</w:t>
            </w:r>
          </w:p>
        </w:tc>
        <w:tc>
          <w:tcPr>
            <w:tcW w:w="2670" w:type="dxa"/>
          </w:tcPr>
          <w:p w14:paraId="01CEE0FB" w14:textId="77777777" w:rsidR="00045B92" w:rsidRPr="008A2E5A" w:rsidRDefault="00045B92" w:rsidP="004C5D62">
            <w:pPr>
              <w:spacing w:after="0" w:line="240" w:lineRule="auto"/>
              <w:jc w:val="both"/>
              <w:rPr>
                <w:color w:val="0070C0"/>
                <w:sz w:val="16"/>
                <w:szCs w:val="16"/>
              </w:rPr>
            </w:pPr>
          </w:p>
        </w:tc>
        <w:tc>
          <w:tcPr>
            <w:tcW w:w="2671" w:type="dxa"/>
          </w:tcPr>
          <w:p w14:paraId="78999E86" w14:textId="77777777" w:rsidR="00045B92" w:rsidRPr="008A2E5A" w:rsidRDefault="00045B92" w:rsidP="004C5D62">
            <w:pPr>
              <w:spacing w:after="0" w:line="240" w:lineRule="auto"/>
              <w:jc w:val="both"/>
              <w:rPr>
                <w:color w:val="0070C0"/>
                <w:sz w:val="16"/>
                <w:szCs w:val="16"/>
              </w:rPr>
            </w:pPr>
          </w:p>
        </w:tc>
        <w:tc>
          <w:tcPr>
            <w:tcW w:w="2671" w:type="dxa"/>
          </w:tcPr>
          <w:p w14:paraId="3863745E" w14:textId="77777777" w:rsidR="00045B92" w:rsidRPr="008A2E5A" w:rsidRDefault="00045B92" w:rsidP="004C5D62">
            <w:pPr>
              <w:spacing w:after="0" w:line="240" w:lineRule="auto"/>
              <w:jc w:val="both"/>
              <w:rPr>
                <w:color w:val="0070C0"/>
                <w:sz w:val="16"/>
                <w:szCs w:val="16"/>
              </w:rPr>
            </w:pPr>
          </w:p>
        </w:tc>
      </w:tr>
      <w:tr w:rsidR="00045B92" w:rsidRPr="008A2E5A" w14:paraId="37C6DA10" w14:textId="77777777" w:rsidTr="004C5D62">
        <w:tc>
          <w:tcPr>
            <w:tcW w:w="2670" w:type="dxa"/>
          </w:tcPr>
          <w:p w14:paraId="2FCE3E00" w14:textId="77777777" w:rsidR="00045B92" w:rsidRPr="008A2E5A" w:rsidRDefault="00045B92" w:rsidP="004C5D62">
            <w:pPr>
              <w:spacing w:after="0" w:line="240" w:lineRule="auto"/>
              <w:jc w:val="both"/>
              <w:rPr>
                <w:color w:val="0070C0"/>
                <w:sz w:val="16"/>
                <w:szCs w:val="16"/>
              </w:rPr>
            </w:pPr>
            <w:r w:rsidRPr="008A2E5A">
              <w:rPr>
                <w:color w:val="0070C0"/>
                <w:sz w:val="16"/>
                <w:szCs w:val="16"/>
              </w:rPr>
              <w:t>самолету И-153 З.Плоск/ость/ нижн/яя/ к</w:t>
            </w:r>
          </w:p>
        </w:tc>
        <w:tc>
          <w:tcPr>
            <w:tcW w:w="2670" w:type="dxa"/>
          </w:tcPr>
          <w:p w14:paraId="162D56B3" w14:textId="77777777" w:rsidR="00045B92" w:rsidRPr="008A2E5A" w:rsidRDefault="00045B92" w:rsidP="004C5D62">
            <w:pPr>
              <w:spacing w:after="0" w:line="240" w:lineRule="auto"/>
              <w:jc w:val="both"/>
              <w:rPr>
                <w:color w:val="0070C0"/>
                <w:sz w:val="16"/>
                <w:szCs w:val="16"/>
              </w:rPr>
            </w:pPr>
            <w:r w:rsidRPr="008A2E5A">
              <w:rPr>
                <w:color w:val="0070C0"/>
                <w:sz w:val="16"/>
                <w:szCs w:val="16"/>
              </w:rPr>
              <w:t>200</w:t>
            </w:r>
          </w:p>
        </w:tc>
        <w:tc>
          <w:tcPr>
            <w:tcW w:w="2671" w:type="dxa"/>
          </w:tcPr>
          <w:p w14:paraId="6463DC8E" w14:textId="77777777" w:rsidR="00045B92" w:rsidRPr="008A2E5A" w:rsidRDefault="00045B92" w:rsidP="004C5D62">
            <w:pPr>
              <w:spacing w:after="0" w:line="240" w:lineRule="auto"/>
              <w:jc w:val="both"/>
              <w:rPr>
                <w:color w:val="0070C0"/>
                <w:sz w:val="16"/>
                <w:szCs w:val="16"/>
              </w:rPr>
            </w:pPr>
            <w:r w:rsidRPr="008A2E5A">
              <w:rPr>
                <w:color w:val="0070C0"/>
                <w:sz w:val="16"/>
                <w:szCs w:val="16"/>
              </w:rPr>
              <w:t>215</w:t>
            </w:r>
          </w:p>
        </w:tc>
        <w:tc>
          <w:tcPr>
            <w:tcW w:w="2671" w:type="dxa"/>
          </w:tcPr>
          <w:p w14:paraId="66111105" w14:textId="77777777" w:rsidR="00045B92" w:rsidRPr="008A2E5A" w:rsidRDefault="00045B92" w:rsidP="004C5D62">
            <w:pPr>
              <w:spacing w:after="0" w:line="240" w:lineRule="auto"/>
              <w:jc w:val="both"/>
              <w:rPr>
                <w:color w:val="0070C0"/>
                <w:sz w:val="16"/>
                <w:szCs w:val="16"/>
              </w:rPr>
            </w:pPr>
            <w:r w:rsidRPr="008A2E5A">
              <w:rPr>
                <w:color w:val="0070C0"/>
                <w:sz w:val="16"/>
                <w:szCs w:val="16"/>
              </w:rPr>
              <w:t>107,5</w:t>
            </w:r>
          </w:p>
        </w:tc>
      </w:tr>
      <w:tr w:rsidR="00045B92" w:rsidRPr="008A2E5A" w14:paraId="67EDCF2C" w14:textId="77777777" w:rsidTr="004C5D62">
        <w:tc>
          <w:tcPr>
            <w:tcW w:w="2670" w:type="dxa"/>
          </w:tcPr>
          <w:p w14:paraId="62A86B35" w14:textId="77777777" w:rsidR="00045B92" w:rsidRPr="008A2E5A" w:rsidRDefault="00045B92" w:rsidP="004C5D62">
            <w:pPr>
              <w:spacing w:after="0" w:line="240" w:lineRule="auto"/>
              <w:jc w:val="both"/>
              <w:rPr>
                <w:color w:val="0070C0"/>
                <w:sz w:val="16"/>
                <w:szCs w:val="16"/>
              </w:rPr>
            </w:pPr>
            <w:proofErr w:type="gramStart"/>
            <w:r w:rsidRPr="008A2E5A">
              <w:rPr>
                <w:color w:val="0070C0"/>
                <w:sz w:val="16"/>
                <w:szCs w:val="16"/>
              </w:rPr>
              <w:t>сам/олету</w:t>
            </w:r>
            <w:proofErr w:type="gramEnd"/>
            <w:r w:rsidRPr="008A2E5A">
              <w:rPr>
                <w:color w:val="0070C0"/>
                <w:sz w:val="16"/>
                <w:szCs w:val="16"/>
              </w:rPr>
              <w:t>/И-153</w:t>
            </w:r>
          </w:p>
        </w:tc>
        <w:tc>
          <w:tcPr>
            <w:tcW w:w="2670" w:type="dxa"/>
          </w:tcPr>
          <w:p w14:paraId="7225B076" w14:textId="77777777" w:rsidR="00045B92" w:rsidRPr="008A2E5A" w:rsidRDefault="00045B92" w:rsidP="004C5D62">
            <w:pPr>
              <w:spacing w:after="0" w:line="240" w:lineRule="auto"/>
              <w:jc w:val="both"/>
              <w:rPr>
                <w:color w:val="0070C0"/>
                <w:sz w:val="16"/>
                <w:szCs w:val="16"/>
              </w:rPr>
            </w:pPr>
            <w:r w:rsidRPr="008A2E5A">
              <w:rPr>
                <w:color w:val="0070C0"/>
                <w:sz w:val="16"/>
                <w:szCs w:val="16"/>
              </w:rPr>
              <w:t>480</w:t>
            </w:r>
          </w:p>
        </w:tc>
        <w:tc>
          <w:tcPr>
            <w:tcW w:w="2671" w:type="dxa"/>
          </w:tcPr>
          <w:p w14:paraId="2AEF8166" w14:textId="77777777" w:rsidR="00045B92" w:rsidRPr="008A2E5A" w:rsidRDefault="00045B92" w:rsidP="004C5D62">
            <w:pPr>
              <w:spacing w:after="0" w:line="240" w:lineRule="auto"/>
              <w:jc w:val="both"/>
              <w:rPr>
                <w:color w:val="0070C0"/>
                <w:sz w:val="16"/>
                <w:szCs w:val="16"/>
              </w:rPr>
            </w:pPr>
            <w:r w:rsidRPr="008A2E5A">
              <w:rPr>
                <w:color w:val="0070C0"/>
                <w:sz w:val="16"/>
                <w:szCs w:val="16"/>
              </w:rPr>
              <w:t>547</w:t>
            </w:r>
          </w:p>
        </w:tc>
        <w:tc>
          <w:tcPr>
            <w:tcW w:w="2671" w:type="dxa"/>
          </w:tcPr>
          <w:p w14:paraId="4143FA80" w14:textId="77777777" w:rsidR="00045B92" w:rsidRPr="008A2E5A" w:rsidRDefault="00045B92" w:rsidP="004C5D62">
            <w:pPr>
              <w:spacing w:after="0" w:line="240" w:lineRule="auto"/>
              <w:jc w:val="both"/>
              <w:rPr>
                <w:color w:val="0070C0"/>
                <w:sz w:val="16"/>
                <w:szCs w:val="16"/>
              </w:rPr>
            </w:pPr>
            <w:r w:rsidRPr="008A2E5A">
              <w:rPr>
                <w:color w:val="0070C0"/>
                <w:sz w:val="16"/>
                <w:szCs w:val="16"/>
              </w:rPr>
              <w:t>113,9</w:t>
            </w:r>
          </w:p>
        </w:tc>
      </w:tr>
      <w:tr w:rsidR="00045B92" w:rsidRPr="008A2E5A" w14:paraId="1B86EA5C" w14:textId="77777777" w:rsidTr="004C5D62">
        <w:tc>
          <w:tcPr>
            <w:tcW w:w="2670" w:type="dxa"/>
          </w:tcPr>
          <w:p w14:paraId="2931C08C" w14:textId="77777777" w:rsidR="00045B92" w:rsidRPr="008A2E5A" w:rsidRDefault="00045B92" w:rsidP="004C5D62">
            <w:pPr>
              <w:spacing w:after="0" w:line="240" w:lineRule="auto"/>
              <w:jc w:val="both"/>
              <w:rPr>
                <w:color w:val="0070C0"/>
                <w:sz w:val="16"/>
                <w:szCs w:val="16"/>
              </w:rPr>
            </w:pPr>
            <w:r w:rsidRPr="008A2E5A">
              <w:rPr>
                <w:color w:val="0070C0"/>
                <w:sz w:val="16"/>
                <w:szCs w:val="16"/>
              </w:rPr>
              <w:t>По вооружению:</w:t>
            </w:r>
          </w:p>
        </w:tc>
        <w:tc>
          <w:tcPr>
            <w:tcW w:w="2670" w:type="dxa"/>
          </w:tcPr>
          <w:p w14:paraId="74B49479" w14:textId="77777777" w:rsidR="00045B92" w:rsidRPr="008A2E5A" w:rsidRDefault="00045B92" w:rsidP="004C5D62">
            <w:pPr>
              <w:spacing w:after="0" w:line="240" w:lineRule="auto"/>
              <w:jc w:val="both"/>
              <w:rPr>
                <w:color w:val="0070C0"/>
                <w:sz w:val="16"/>
                <w:szCs w:val="16"/>
              </w:rPr>
            </w:pPr>
            <w:r w:rsidRPr="008A2E5A">
              <w:rPr>
                <w:color w:val="0070C0"/>
                <w:sz w:val="16"/>
                <w:szCs w:val="16"/>
              </w:rPr>
              <w:t>План на 4 кв.</w:t>
            </w:r>
          </w:p>
        </w:tc>
        <w:tc>
          <w:tcPr>
            <w:tcW w:w="2671" w:type="dxa"/>
          </w:tcPr>
          <w:p w14:paraId="4EB0C916" w14:textId="77777777" w:rsidR="00045B92" w:rsidRPr="008A2E5A" w:rsidRDefault="00045B92" w:rsidP="004C5D62">
            <w:pPr>
              <w:spacing w:after="0" w:line="240" w:lineRule="auto"/>
              <w:jc w:val="both"/>
              <w:rPr>
                <w:color w:val="0070C0"/>
                <w:sz w:val="16"/>
                <w:szCs w:val="16"/>
              </w:rPr>
            </w:pPr>
            <w:r w:rsidRPr="008A2E5A">
              <w:rPr>
                <w:color w:val="0070C0"/>
                <w:sz w:val="16"/>
                <w:szCs w:val="16"/>
              </w:rPr>
              <w:t>Выполнение</w:t>
            </w:r>
          </w:p>
        </w:tc>
        <w:tc>
          <w:tcPr>
            <w:tcW w:w="2671" w:type="dxa"/>
          </w:tcPr>
          <w:p w14:paraId="6F1F36D1" w14:textId="77777777" w:rsidR="00045B92" w:rsidRPr="008A2E5A" w:rsidRDefault="00045B92" w:rsidP="004C5D62">
            <w:pPr>
              <w:spacing w:after="0" w:line="240" w:lineRule="auto"/>
              <w:jc w:val="both"/>
              <w:rPr>
                <w:color w:val="0070C0"/>
                <w:sz w:val="16"/>
                <w:szCs w:val="16"/>
              </w:rPr>
            </w:pPr>
            <w:r w:rsidRPr="008A2E5A">
              <w:rPr>
                <w:color w:val="0070C0"/>
                <w:sz w:val="16"/>
                <w:szCs w:val="16"/>
              </w:rPr>
              <w:t>%</w:t>
            </w:r>
          </w:p>
        </w:tc>
      </w:tr>
      <w:tr w:rsidR="00045B92" w:rsidRPr="008A2E5A" w14:paraId="4F8E0E7F" w14:textId="77777777" w:rsidTr="004C5D62">
        <w:tc>
          <w:tcPr>
            <w:tcW w:w="2670" w:type="dxa"/>
          </w:tcPr>
          <w:p w14:paraId="21D99DC5" w14:textId="77777777" w:rsidR="00045B92" w:rsidRPr="008A2E5A" w:rsidRDefault="00045B92" w:rsidP="004C5D62">
            <w:pPr>
              <w:spacing w:after="0" w:line="240" w:lineRule="auto"/>
              <w:jc w:val="both"/>
              <w:rPr>
                <w:color w:val="0070C0"/>
                <w:sz w:val="16"/>
                <w:szCs w:val="16"/>
              </w:rPr>
            </w:pPr>
            <w:r w:rsidRPr="008A2E5A">
              <w:rPr>
                <w:color w:val="0070C0"/>
                <w:sz w:val="16"/>
                <w:szCs w:val="16"/>
              </w:rPr>
              <w:t>4. АСШ СУ-2</w:t>
            </w:r>
          </w:p>
        </w:tc>
        <w:tc>
          <w:tcPr>
            <w:tcW w:w="2670" w:type="dxa"/>
          </w:tcPr>
          <w:p w14:paraId="348659F2" w14:textId="77777777" w:rsidR="00045B92" w:rsidRPr="008A2E5A" w:rsidRDefault="00045B92" w:rsidP="004C5D62">
            <w:pPr>
              <w:spacing w:after="0" w:line="240" w:lineRule="auto"/>
              <w:jc w:val="both"/>
              <w:rPr>
                <w:color w:val="0070C0"/>
                <w:sz w:val="16"/>
                <w:szCs w:val="16"/>
              </w:rPr>
            </w:pPr>
            <w:r w:rsidRPr="008A2E5A">
              <w:rPr>
                <w:color w:val="0070C0"/>
                <w:sz w:val="16"/>
                <w:szCs w:val="16"/>
              </w:rPr>
              <w:t>120</w:t>
            </w:r>
          </w:p>
        </w:tc>
        <w:tc>
          <w:tcPr>
            <w:tcW w:w="2671" w:type="dxa"/>
          </w:tcPr>
          <w:p w14:paraId="2135686A" w14:textId="77777777" w:rsidR="00045B92" w:rsidRPr="008A2E5A" w:rsidRDefault="00045B92" w:rsidP="004C5D62">
            <w:pPr>
              <w:spacing w:after="0" w:line="240" w:lineRule="auto"/>
              <w:jc w:val="both"/>
              <w:rPr>
                <w:color w:val="0070C0"/>
                <w:sz w:val="16"/>
                <w:szCs w:val="16"/>
              </w:rPr>
            </w:pPr>
            <w:r w:rsidRPr="008A2E5A">
              <w:rPr>
                <w:color w:val="0070C0"/>
                <w:sz w:val="16"/>
                <w:szCs w:val="16"/>
              </w:rPr>
              <w:t>312</w:t>
            </w:r>
          </w:p>
        </w:tc>
        <w:tc>
          <w:tcPr>
            <w:tcW w:w="2671" w:type="dxa"/>
          </w:tcPr>
          <w:p w14:paraId="18F379A3" w14:textId="77777777" w:rsidR="00045B92" w:rsidRPr="008A2E5A" w:rsidRDefault="00045B92" w:rsidP="004C5D62">
            <w:pPr>
              <w:spacing w:after="0" w:line="240" w:lineRule="auto"/>
              <w:jc w:val="both"/>
              <w:rPr>
                <w:color w:val="0070C0"/>
                <w:sz w:val="16"/>
                <w:szCs w:val="16"/>
              </w:rPr>
            </w:pPr>
            <w:r w:rsidRPr="008A2E5A">
              <w:rPr>
                <w:color w:val="0070C0"/>
                <w:sz w:val="16"/>
                <w:szCs w:val="16"/>
              </w:rPr>
              <w:t>260</w:t>
            </w:r>
          </w:p>
        </w:tc>
      </w:tr>
      <w:tr w:rsidR="00045B92" w:rsidRPr="008A2E5A" w14:paraId="64C8EED9" w14:textId="77777777" w:rsidTr="004C5D62">
        <w:tc>
          <w:tcPr>
            <w:tcW w:w="2670" w:type="dxa"/>
          </w:tcPr>
          <w:p w14:paraId="17CF0564" w14:textId="77777777" w:rsidR="00045B92" w:rsidRPr="008A2E5A" w:rsidRDefault="00045B92" w:rsidP="004C5D62">
            <w:pPr>
              <w:spacing w:after="0" w:line="240" w:lineRule="auto"/>
              <w:jc w:val="both"/>
              <w:rPr>
                <w:color w:val="0070C0"/>
                <w:sz w:val="16"/>
                <w:szCs w:val="16"/>
              </w:rPr>
            </w:pPr>
            <w:r w:rsidRPr="008A2E5A">
              <w:rPr>
                <w:color w:val="0070C0"/>
                <w:sz w:val="16"/>
                <w:szCs w:val="16"/>
              </w:rPr>
              <w:t>5. АСП СУ-2</w:t>
            </w:r>
          </w:p>
        </w:tc>
        <w:tc>
          <w:tcPr>
            <w:tcW w:w="2670" w:type="dxa"/>
          </w:tcPr>
          <w:p w14:paraId="7C0E8C57" w14:textId="77777777" w:rsidR="00045B92" w:rsidRPr="008A2E5A" w:rsidRDefault="00045B92" w:rsidP="004C5D62">
            <w:pPr>
              <w:spacing w:after="0" w:line="240" w:lineRule="auto"/>
              <w:jc w:val="both"/>
              <w:rPr>
                <w:color w:val="0070C0"/>
                <w:sz w:val="16"/>
                <w:szCs w:val="16"/>
              </w:rPr>
            </w:pPr>
            <w:r w:rsidRPr="008A2E5A">
              <w:rPr>
                <w:color w:val="0070C0"/>
                <w:sz w:val="16"/>
                <w:szCs w:val="16"/>
              </w:rPr>
              <w:t>120</w:t>
            </w:r>
          </w:p>
        </w:tc>
        <w:tc>
          <w:tcPr>
            <w:tcW w:w="2671" w:type="dxa"/>
          </w:tcPr>
          <w:p w14:paraId="552ADC97" w14:textId="77777777" w:rsidR="00045B92" w:rsidRPr="008A2E5A" w:rsidRDefault="00045B92" w:rsidP="004C5D62">
            <w:pPr>
              <w:spacing w:after="0" w:line="240" w:lineRule="auto"/>
              <w:jc w:val="both"/>
              <w:rPr>
                <w:color w:val="0070C0"/>
                <w:sz w:val="16"/>
                <w:szCs w:val="16"/>
              </w:rPr>
            </w:pPr>
            <w:r w:rsidRPr="008A2E5A">
              <w:rPr>
                <w:color w:val="0070C0"/>
                <w:sz w:val="16"/>
                <w:szCs w:val="16"/>
              </w:rPr>
              <w:t>312</w:t>
            </w:r>
          </w:p>
        </w:tc>
        <w:tc>
          <w:tcPr>
            <w:tcW w:w="2671" w:type="dxa"/>
          </w:tcPr>
          <w:p w14:paraId="685D77C7" w14:textId="77777777" w:rsidR="00045B92" w:rsidRPr="008A2E5A" w:rsidRDefault="00045B92" w:rsidP="004C5D62">
            <w:pPr>
              <w:spacing w:after="0" w:line="240" w:lineRule="auto"/>
              <w:jc w:val="both"/>
              <w:rPr>
                <w:color w:val="0070C0"/>
                <w:sz w:val="16"/>
                <w:szCs w:val="16"/>
              </w:rPr>
            </w:pPr>
            <w:r w:rsidRPr="008A2E5A">
              <w:rPr>
                <w:color w:val="0070C0"/>
                <w:sz w:val="16"/>
                <w:szCs w:val="16"/>
              </w:rPr>
              <w:t>260</w:t>
            </w:r>
          </w:p>
        </w:tc>
      </w:tr>
      <w:tr w:rsidR="00045B92" w:rsidRPr="008A2E5A" w14:paraId="1157D2D9" w14:textId="77777777" w:rsidTr="004C5D62">
        <w:tc>
          <w:tcPr>
            <w:tcW w:w="2670" w:type="dxa"/>
          </w:tcPr>
          <w:p w14:paraId="0B7FE7B5" w14:textId="77777777" w:rsidR="00045B92" w:rsidRPr="008A2E5A" w:rsidRDefault="00045B92" w:rsidP="004C5D62">
            <w:pPr>
              <w:spacing w:after="0" w:line="240" w:lineRule="auto"/>
              <w:jc w:val="both"/>
              <w:rPr>
                <w:color w:val="0070C0"/>
                <w:sz w:val="16"/>
                <w:szCs w:val="16"/>
              </w:rPr>
            </w:pPr>
            <w:r w:rsidRPr="008A2E5A">
              <w:rPr>
                <w:color w:val="0070C0"/>
                <w:sz w:val="16"/>
                <w:szCs w:val="16"/>
              </w:rPr>
              <w:t>6. АСШ-141</w:t>
            </w:r>
          </w:p>
        </w:tc>
        <w:tc>
          <w:tcPr>
            <w:tcW w:w="2670" w:type="dxa"/>
          </w:tcPr>
          <w:p w14:paraId="44E8BB4F" w14:textId="77777777" w:rsidR="00045B92" w:rsidRPr="008A2E5A" w:rsidRDefault="00045B92" w:rsidP="004C5D62">
            <w:pPr>
              <w:spacing w:after="0" w:line="240" w:lineRule="auto"/>
              <w:jc w:val="both"/>
              <w:rPr>
                <w:color w:val="0070C0"/>
                <w:sz w:val="16"/>
                <w:szCs w:val="16"/>
              </w:rPr>
            </w:pPr>
            <w:r w:rsidRPr="008A2E5A">
              <w:rPr>
                <w:color w:val="0070C0"/>
                <w:sz w:val="16"/>
                <w:szCs w:val="16"/>
              </w:rPr>
              <w:t>775</w:t>
            </w:r>
          </w:p>
        </w:tc>
        <w:tc>
          <w:tcPr>
            <w:tcW w:w="2671" w:type="dxa"/>
          </w:tcPr>
          <w:p w14:paraId="2F669427" w14:textId="77777777" w:rsidR="00045B92" w:rsidRPr="008A2E5A" w:rsidRDefault="00045B92" w:rsidP="004C5D62">
            <w:pPr>
              <w:spacing w:after="0" w:line="240" w:lineRule="auto"/>
              <w:jc w:val="both"/>
              <w:rPr>
                <w:color w:val="0070C0"/>
                <w:sz w:val="16"/>
                <w:szCs w:val="16"/>
              </w:rPr>
            </w:pPr>
            <w:r w:rsidRPr="008A2E5A">
              <w:rPr>
                <w:color w:val="0070C0"/>
                <w:sz w:val="16"/>
                <w:szCs w:val="16"/>
              </w:rPr>
              <w:t>883</w:t>
            </w:r>
          </w:p>
        </w:tc>
        <w:tc>
          <w:tcPr>
            <w:tcW w:w="2671" w:type="dxa"/>
          </w:tcPr>
          <w:p w14:paraId="0D4E5677" w14:textId="77777777" w:rsidR="00045B92" w:rsidRPr="008A2E5A" w:rsidRDefault="00045B92" w:rsidP="004C5D62">
            <w:pPr>
              <w:spacing w:after="0" w:line="240" w:lineRule="auto"/>
              <w:jc w:val="both"/>
              <w:rPr>
                <w:color w:val="0070C0"/>
                <w:sz w:val="16"/>
                <w:szCs w:val="16"/>
              </w:rPr>
            </w:pPr>
            <w:r w:rsidRPr="008A2E5A">
              <w:rPr>
                <w:color w:val="0070C0"/>
                <w:sz w:val="16"/>
                <w:szCs w:val="16"/>
              </w:rPr>
              <w:t>114</w:t>
            </w:r>
          </w:p>
        </w:tc>
      </w:tr>
      <w:tr w:rsidR="00045B92" w:rsidRPr="008A2E5A" w14:paraId="248E974F" w14:textId="77777777" w:rsidTr="004C5D62">
        <w:tc>
          <w:tcPr>
            <w:tcW w:w="2670" w:type="dxa"/>
          </w:tcPr>
          <w:p w14:paraId="71408A79" w14:textId="77777777" w:rsidR="00045B92" w:rsidRPr="008A2E5A" w:rsidRDefault="00045B92" w:rsidP="004C5D62">
            <w:pPr>
              <w:spacing w:after="0" w:line="240" w:lineRule="auto"/>
              <w:jc w:val="both"/>
              <w:rPr>
                <w:color w:val="0070C0"/>
                <w:sz w:val="16"/>
                <w:szCs w:val="16"/>
              </w:rPr>
            </w:pPr>
            <w:r w:rsidRPr="008A2E5A">
              <w:rPr>
                <w:color w:val="0070C0"/>
                <w:sz w:val="16"/>
                <w:szCs w:val="16"/>
              </w:rPr>
              <w:t>7. АСИ-140</w:t>
            </w:r>
          </w:p>
        </w:tc>
        <w:tc>
          <w:tcPr>
            <w:tcW w:w="2670" w:type="dxa"/>
          </w:tcPr>
          <w:p w14:paraId="540D3446" w14:textId="77777777" w:rsidR="00045B92" w:rsidRPr="008A2E5A" w:rsidRDefault="00045B92" w:rsidP="004C5D62">
            <w:pPr>
              <w:spacing w:after="0" w:line="240" w:lineRule="auto"/>
              <w:jc w:val="both"/>
              <w:rPr>
                <w:color w:val="0070C0"/>
                <w:sz w:val="16"/>
                <w:szCs w:val="16"/>
              </w:rPr>
            </w:pPr>
            <w:r w:rsidRPr="008A2E5A">
              <w:rPr>
                <w:color w:val="0070C0"/>
                <w:sz w:val="16"/>
                <w:szCs w:val="16"/>
              </w:rPr>
              <w:t>1712</w:t>
            </w:r>
          </w:p>
        </w:tc>
        <w:tc>
          <w:tcPr>
            <w:tcW w:w="2671" w:type="dxa"/>
          </w:tcPr>
          <w:p w14:paraId="199B4610" w14:textId="77777777" w:rsidR="00045B92" w:rsidRPr="008A2E5A" w:rsidRDefault="00045B92" w:rsidP="004C5D62">
            <w:pPr>
              <w:spacing w:after="0" w:line="240" w:lineRule="auto"/>
              <w:jc w:val="both"/>
              <w:rPr>
                <w:color w:val="0070C0"/>
                <w:sz w:val="16"/>
                <w:szCs w:val="16"/>
              </w:rPr>
            </w:pPr>
            <w:r w:rsidRPr="008A2E5A">
              <w:rPr>
                <w:color w:val="0070C0"/>
                <w:sz w:val="16"/>
                <w:szCs w:val="16"/>
              </w:rPr>
              <w:t>1425</w:t>
            </w:r>
          </w:p>
        </w:tc>
        <w:tc>
          <w:tcPr>
            <w:tcW w:w="2671" w:type="dxa"/>
          </w:tcPr>
          <w:p w14:paraId="74DB851D" w14:textId="77777777" w:rsidR="00045B92" w:rsidRPr="008A2E5A" w:rsidRDefault="00045B92" w:rsidP="004C5D62">
            <w:pPr>
              <w:spacing w:after="0" w:line="240" w:lineRule="auto"/>
              <w:jc w:val="both"/>
              <w:rPr>
                <w:color w:val="0070C0"/>
                <w:sz w:val="16"/>
                <w:szCs w:val="16"/>
              </w:rPr>
            </w:pPr>
            <w:r w:rsidRPr="008A2E5A">
              <w:rPr>
                <w:color w:val="0070C0"/>
                <w:sz w:val="16"/>
                <w:szCs w:val="16"/>
              </w:rPr>
              <w:t>83,2</w:t>
            </w:r>
          </w:p>
        </w:tc>
      </w:tr>
      <w:tr w:rsidR="00045B92" w:rsidRPr="008A2E5A" w14:paraId="49E8715D" w14:textId="77777777" w:rsidTr="004C5D62">
        <w:tc>
          <w:tcPr>
            <w:tcW w:w="2670" w:type="dxa"/>
          </w:tcPr>
          <w:p w14:paraId="0D4F6939" w14:textId="77777777" w:rsidR="00045B92" w:rsidRPr="008A2E5A" w:rsidRDefault="00045B92" w:rsidP="004C5D62">
            <w:pPr>
              <w:spacing w:after="0" w:line="240" w:lineRule="auto"/>
              <w:jc w:val="both"/>
              <w:rPr>
                <w:color w:val="0070C0"/>
                <w:sz w:val="16"/>
                <w:szCs w:val="16"/>
              </w:rPr>
            </w:pPr>
            <w:r w:rsidRPr="008A2E5A">
              <w:rPr>
                <w:color w:val="0070C0"/>
                <w:sz w:val="16"/>
                <w:szCs w:val="16"/>
              </w:rPr>
              <w:t>По авиалыжам:</w:t>
            </w:r>
          </w:p>
        </w:tc>
        <w:tc>
          <w:tcPr>
            <w:tcW w:w="2670" w:type="dxa"/>
          </w:tcPr>
          <w:p w14:paraId="3A847A09" w14:textId="77777777" w:rsidR="00045B92" w:rsidRPr="008A2E5A" w:rsidRDefault="00045B92" w:rsidP="004C5D62">
            <w:pPr>
              <w:spacing w:after="0" w:line="240" w:lineRule="auto"/>
              <w:jc w:val="both"/>
              <w:rPr>
                <w:color w:val="0070C0"/>
                <w:sz w:val="16"/>
                <w:szCs w:val="16"/>
              </w:rPr>
            </w:pPr>
          </w:p>
        </w:tc>
        <w:tc>
          <w:tcPr>
            <w:tcW w:w="2671" w:type="dxa"/>
          </w:tcPr>
          <w:p w14:paraId="074A8C4E" w14:textId="77777777" w:rsidR="00045B92" w:rsidRPr="008A2E5A" w:rsidRDefault="00045B92" w:rsidP="004C5D62">
            <w:pPr>
              <w:spacing w:after="0" w:line="240" w:lineRule="auto"/>
              <w:jc w:val="both"/>
              <w:rPr>
                <w:color w:val="0070C0"/>
                <w:sz w:val="16"/>
                <w:szCs w:val="16"/>
              </w:rPr>
            </w:pPr>
          </w:p>
        </w:tc>
        <w:tc>
          <w:tcPr>
            <w:tcW w:w="2671" w:type="dxa"/>
          </w:tcPr>
          <w:p w14:paraId="51F5486D" w14:textId="77777777" w:rsidR="00045B92" w:rsidRPr="008A2E5A" w:rsidRDefault="00045B92" w:rsidP="004C5D62">
            <w:pPr>
              <w:spacing w:after="0" w:line="240" w:lineRule="auto"/>
              <w:jc w:val="both"/>
              <w:rPr>
                <w:color w:val="0070C0"/>
                <w:sz w:val="16"/>
                <w:szCs w:val="16"/>
              </w:rPr>
            </w:pPr>
          </w:p>
        </w:tc>
      </w:tr>
      <w:tr w:rsidR="00045B92" w:rsidRPr="008A2E5A" w14:paraId="1047FF37" w14:textId="77777777" w:rsidTr="004C5D62">
        <w:tc>
          <w:tcPr>
            <w:tcW w:w="2670" w:type="dxa"/>
          </w:tcPr>
          <w:p w14:paraId="7551C89C" w14:textId="77777777" w:rsidR="00045B92" w:rsidRPr="008A2E5A" w:rsidRDefault="00045B92" w:rsidP="004C5D62">
            <w:pPr>
              <w:spacing w:after="0" w:line="240" w:lineRule="auto"/>
              <w:jc w:val="both"/>
              <w:rPr>
                <w:color w:val="0070C0"/>
                <w:sz w:val="16"/>
                <w:szCs w:val="16"/>
              </w:rPr>
            </w:pPr>
            <w:r w:rsidRPr="008A2E5A">
              <w:rPr>
                <w:color w:val="0070C0"/>
                <w:sz w:val="16"/>
                <w:szCs w:val="16"/>
              </w:rPr>
              <w:t>8. Авиалыжи Ил-2</w:t>
            </w:r>
          </w:p>
        </w:tc>
        <w:tc>
          <w:tcPr>
            <w:tcW w:w="2670" w:type="dxa"/>
          </w:tcPr>
          <w:p w14:paraId="5D8A01FB" w14:textId="77777777" w:rsidR="00045B92" w:rsidRPr="008A2E5A" w:rsidRDefault="00045B92" w:rsidP="004C5D62">
            <w:pPr>
              <w:spacing w:after="0" w:line="240" w:lineRule="auto"/>
              <w:jc w:val="both"/>
              <w:rPr>
                <w:color w:val="0070C0"/>
                <w:sz w:val="16"/>
                <w:szCs w:val="16"/>
              </w:rPr>
            </w:pPr>
            <w:r w:rsidRPr="008A2E5A">
              <w:rPr>
                <w:color w:val="0070C0"/>
                <w:sz w:val="16"/>
                <w:szCs w:val="16"/>
              </w:rPr>
              <w:t>130</w:t>
            </w:r>
          </w:p>
        </w:tc>
        <w:tc>
          <w:tcPr>
            <w:tcW w:w="2671" w:type="dxa"/>
          </w:tcPr>
          <w:p w14:paraId="127AD706" w14:textId="77777777" w:rsidR="00045B92" w:rsidRPr="008A2E5A" w:rsidRDefault="00045B92" w:rsidP="004C5D62">
            <w:pPr>
              <w:spacing w:after="0" w:line="240" w:lineRule="auto"/>
              <w:jc w:val="both"/>
              <w:rPr>
                <w:color w:val="0070C0"/>
                <w:sz w:val="16"/>
                <w:szCs w:val="16"/>
              </w:rPr>
            </w:pPr>
            <w:r w:rsidRPr="008A2E5A">
              <w:rPr>
                <w:color w:val="0070C0"/>
                <w:sz w:val="16"/>
                <w:szCs w:val="16"/>
              </w:rPr>
              <w:t>134</w:t>
            </w:r>
          </w:p>
        </w:tc>
        <w:tc>
          <w:tcPr>
            <w:tcW w:w="2671" w:type="dxa"/>
          </w:tcPr>
          <w:p w14:paraId="0D97B6AF" w14:textId="77777777" w:rsidR="00045B92" w:rsidRPr="008A2E5A" w:rsidRDefault="00045B92" w:rsidP="004C5D62">
            <w:pPr>
              <w:spacing w:after="0" w:line="240" w:lineRule="auto"/>
              <w:jc w:val="both"/>
              <w:rPr>
                <w:color w:val="0070C0"/>
                <w:sz w:val="16"/>
                <w:szCs w:val="16"/>
              </w:rPr>
            </w:pPr>
            <w:r w:rsidRPr="008A2E5A">
              <w:rPr>
                <w:color w:val="0070C0"/>
                <w:sz w:val="16"/>
                <w:szCs w:val="16"/>
              </w:rPr>
              <w:t>103...</w:t>
            </w:r>
          </w:p>
        </w:tc>
      </w:tr>
    </w:tbl>
    <w:p w14:paraId="351697D4"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 города Сызрани. Ф. P-76. On. 1. Д. 147. Л. 4. Подлинник (23629).</w:t>
      </w:r>
    </w:p>
    <w:p w14:paraId="3ECB785B" w14:textId="77777777" w:rsidR="00045B92" w:rsidRPr="008A2E5A" w:rsidRDefault="00045B92" w:rsidP="00045B92">
      <w:pPr>
        <w:spacing w:after="0" w:line="240" w:lineRule="auto"/>
        <w:jc w:val="both"/>
        <w:rPr>
          <w:rFonts w:ascii="Times New Roman" w:hAnsi="Times New Roman"/>
          <w:color w:val="0070C0"/>
          <w:sz w:val="16"/>
          <w:szCs w:val="16"/>
        </w:rPr>
      </w:pPr>
    </w:p>
    <w:p w14:paraId="4B3D90EA"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3ED4C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DC9FC"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w:t>
      </w:r>
    </w:p>
    <w:p w14:paraId="6D5A9472"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93 – 94</w:t>
      </w:r>
    </w:p>
    <w:p w14:paraId="46FDD9B1"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28.1-42 г. № 793</w:t>
      </w:r>
    </w:p>
    <w:p w14:paraId="139533F2" w14:textId="070B29EF"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5DF679D1"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53AC3BE3"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СОЮЗА ССР</w:t>
      </w:r>
    </w:p>
    <w:p w14:paraId="11826210"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142-Мс</w:t>
      </w:r>
    </w:p>
    <w:p w14:paraId="51F8B72F"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D9868D4"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w:t>
      </w:r>
    </w:p>
    <w:p w14:paraId="6AFA764A" w14:textId="0C5B3502"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распоряжения Совета Народных Комиссаров Союза ССР от 26 января 1942 г. № 1379-рс, –ПРИКАЗЫВАЮ:</w:t>
      </w:r>
      <w:r w:rsidR="008127F8">
        <w:rPr>
          <w:rFonts w:ascii="Times New Roman" w:hAnsi="Times New Roman"/>
          <w:color w:val="000000" w:themeColor="text1"/>
          <w:sz w:val="16"/>
          <w:szCs w:val="16"/>
        </w:rPr>
        <w:t xml:space="preserve">  </w:t>
      </w:r>
    </w:p>
    <w:p w14:paraId="2598D697" w14:textId="7362A45A"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директора завода № 222 т. ФОКИНУ организовать производство танковых огнеметов АТО-41 и обеспечить выпуск:</w:t>
      </w:r>
      <w:r w:rsidR="008127F8">
        <w:rPr>
          <w:rFonts w:ascii="Times New Roman" w:hAnsi="Times New Roman"/>
          <w:color w:val="000000" w:themeColor="text1"/>
          <w:sz w:val="16"/>
          <w:szCs w:val="16"/>
        </w:rPr>
        <w:t xml:space="preserve">  </w:t>
      </w:r>
    </w:p>
    <w:p w14:paraId="736D334C" w14:textId="261F82F2"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200 шт.</w:t>
      </w:r>
      <w:r w:rsidR="008127F8">
        <w:rPr>
          <w:rFonts w:ascii="Times New Roman" w:hAnsi="Times New Roman"/>
          <w:color w:val="000000" w:themeColor="text1"/>
          <w:sz w:val="16"/>
          <w:szCs w:val="16"/>
        </w:rPr>
        <w:t xml:space="preserve">  </w:t>
      </w:r>
    </w:p>
    <w:p w14:paraId="3F55DFA6" w14:textId="74A4C8B0"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 250 шт.</w:t>
      </w:r>
      <w:r w:rsidR="008127F8">
        <w:rPr>
          <w:rFonts w:ascii="Times New Roman" w:hAnsi="Times New Roman"/>
          <w:color w:val="000000" w:themeColor="text1"/>
          <w:sz w:val="16"/>
          <w:szCs w:val="16"/>
        </w:rPr>
        <w:t xml:space="preserve">  </w:t>
      </w:r>
    </w:p>
    <w:p w14:paraId="5C71B2A7" w14:textId="46D13194"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Начальнику Главснаба т. РОЗИНУ:</w:t>
      </w:r>
      <w:r w:rsidR="008127F8">
        <w:rPr>
          <w:rFonts w:ascii="Times New Roman" w:hAnsi="Times New Roman"/>
          <w:color w:val="000000" w:themeColor="text1"/>
          <w:sz w:val="16"/>
          <w:szCs w:val="16"/>
        </w:rPr>
        <w:t xml:space="preserve">  </w:t>
      </w:r>
    </w:p>
    <w:p w14:paraId="10DF9839" w14:textId="45FD7CD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учесть, что указанным выше распоряжением Наркомбоеприпасов (т. Горемыкин) обязан поставлять заводу № 222 ежемесячно по 5 тыс. штук патронов для испытания огнеметов и их комплектации;</w:t>
      </w:r>
      <w:r w:rsidR="008127F8">
        <w:rPr>
          <w:rFonts w:ascii="Times New Roman" w:hAnsi="Times New Roman"/>
          <w:color w:val="000000" w:themeColor="text1"/>
          <w:sz w:val="16"/>
          <w:szCs w:val="16"/>
        </w:rPr>
        <w:t xml:space="preserve">  </w:t>
      </w:r>
    </w:p>
    <w:p w14:paraId="6CDF773B" w14:textId="482CD8A3"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принять меры к своевременному завозу патронов на завод № 222 для испытания и комплектации огнеметов;</w:t>
      </w:r>
      <w:r w:rsidR="008127F8">
        <w:rPr>
          <w:rFonts w:ascii="Times New Roman" w:hAnsi="Times New Roman"/>
          <w:color w:val="000000" w:themeColor="text1"/>
          <w:sz w:val="16"/>
          <w:szCs w:val="16"/>
        </w:rPr>
        <w:t xml:space="preserve">  </w:t>
      </w:r>
    </w:p>
    <w:p w14:paraId="53EDF8EF" w14:textId="6F164AA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выделить заводу № 222 один дизель мощностью 400 – 450 л.с. из числа имеющихся неустановленных дизелей на стерлитамакском заводе НКТП и совместно с нач. транспортного отдела т. Косолаповым обеспечить быстрейшую транспортировку дизеля на завод № 222 (Тогузак).</w:t>
      </w:r>
      <w:r w:rsidR="008127F8">
        <w:rPr>
          <w:rFonts w:ascii="Times New Roman" w:hAnsi="Times New Roman"/>
          <w:color w:val="000000" w:themeColor="text1"/>
          <w:sz w:val="16"/>
          <w:szCs w:val="16"/>
        </w:rPr>
        <w:t xml:space="preserve">  </w:t>
      </w:r>
    </w:p>
    <w:p w14:paraId="6B73D53E" w14:textId="7CA62B8E"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Нач. ОКСа т. КОРНЕВУ и нач. транспортного отдела т. КОСОЛАПОВУ совместно с НКПС проработать и представить мне к 30.I-42 г. для представления в СНК Союза ССР предложения о постройке в 1 кв. 1942 г. железнодорожной ветки протяженностью 10 клм (от 161 клм Южно-Уральской ж.д. до завода № 222 НКТП) и организации движения.</w:t>
      </w:r>
      <w:r w:rsidR="008127F8">
        <w:rPr>
          <w:rFonts w:ascii="Times New Roman" w:hAnsi="Times New Roman"/>
          <w:color w:val="000000" w:themeColor="text1"/>
          <w:sz w:val="16"/>
          <w:szCs w:val="16"/>
        </w:rPr>
        <w:t xml:space="preserve">  </w:t>
      </w:r>
    </w:p>
    <w:p w14:paraId="55C8A55B" w14:textId="2AE76D2B"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Кировского завода т. ЗАЛЬЦМАН собрать из заделов, имеющихся на Кировском заводе, 3 трактора С-65 и отгрузить их в адрес завода № 222 к 5.II-42 г.</w:t>
      </w:r>
      <w:r w:rsidR="008127F8">
        <w:rPr>
          <w:rFonts w:ascii="Times New Roman" w:hAnsi="Times New Roman"/>
          <w:color w:val="000000" w:themeColor="text1"/>
          <w:sz w:val="16"/>
          <w:szCs w:val="16"/>
        </w:rPr>
        <w:t xml:space="preserve">  </w:t>
      </w:r>
    </w:p>
    <w:p w14:paraId="0D7C7B63" w14:textId="29D292AC"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И.о. директора завода № 222 (ст. Тогузак) т. ФОКИНУ учесть, что этим распоряжением:</w:t>
      </w:r>
      <w:r w:rsidR="008127F8">
        <w:rPr>
          <w:rFonts w:ascii="Times New Roman" w:hAnsi="Times New Roman"/>
          <w:color w:val="000000" w:themeColor="text1"/>
          <w:sz w:val="16"/>
          <w:szCs w:val="16"/>
        </w:rPr>
        <w:t xml:space="preserve">  </w:t>
      </w:r>
    </w:p>
    <w:p w14:paraId="7B964AF2" w14:textId="6E19E2A8"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Наркомсовхозов Союза ССР (т. Лобанов) и СНК Казахской ССР (т. Ундасынов) обязаны передать заводу № 222 подсобное хозяйство, сельскохозяйственный инвентарь, оборудование и рабочий скот, принадлежавшие техникуму механизации сельского хозяйства Казахской ССР, выехавшему в другой район.</w:t>
      </w:r>
      <w:r w:rsidR="008127F8">
        <w:rPr>
          <w:rFonts w:ascii="Times New Roman" w:hAnsi="Times New Roman"/>
          <w:color w:val="000000" w:themeColor="text1"/>
          <w:sz w:val="16"/>
          <w:szCs w:val="16"/>
        </w:rPr>
        <w:t xml:space="preserve">  </w:t>
      </w:r>
    </w:p>
    <w:p w14:paraId="4FC618C7" w14:textId="4EEE3932"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разрешено Кустанайскому облисполкому выделить заводу № 222 участок площадью до 300 га для организации подсобного хозяйства завода.</w:t>
      </w:r>
      <w:r w:rsidR="008127F8">
        <w:rPr>
          <w:rFonts w:ascii="Times New Roman" w:hAnsi="Times New Roman"/>
          <w:color w:val="000000" w:themeColor="text1"/>
          <w:sz w:val="16"/>
          <w:szCs w:val="16"/>
        </w:rPr>
        <w:t xml:space="preserve">  </w:t>
      </w:r>
    </w:p>
    <w:p w14:paraId="7DB175A9" w14:textId="579DA5A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 Главснаба т. Розину и зам. нач. Главснаба т. Ефремову принять все меры к немедленному и полному обеспечению завода № 222 всеми необходимыми материалами и покупными деталями, обеспечивающими своевременный выпуск огнеметов.</w:t>
      </w:r>
      <w:r w:rsidR="008127F8">
        <w:rPr>
          <w:rFonts w:ascii="Times New Roman" w:hAnsi="Times New Roman"/>
          <w:color w:val="000000" w:themeColor="text1"/>
          <w:sz w:val="16"/>
          <w:szCs w:val="16"/>
        </w:rPr>
        <w:t xml:space="preserve">  </w:t>
      </w:r>
    </w:p>
    <w:p w14:paraId="1BFBDFC4" w14:textId="62CDD676"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Нач. 3-го отдела т. ВАСИНУ установить программу выпуска огнеметов заводом № 222, исходя из § 1 настоящего приказа.</w:t>
      </w:r>
      <w:r w:rsidR="008127F8">
        <w:rPr>
          <w:rFonts w:ascii="Times New Roman" w:hAnsi="Times New Roman"/>
          <w:color w:val="000000" w:themeColor="text1"/>
          <w:sz w:val="16"/>
          <w:szCs w:val="16"/>
        </w:rPr>
        <w:t xml:space="preserve">  </w:t>
      </w:r>
    </w:p>
    <w:p w14:paraId="28C40FFC" w14:textId="353ABAB3"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Старшему ведущему инженеру 1-го отдела по группе кооперации т. КЛЫКОВСКОМУ принять немедленные меры к обеспечению завода № 222 кооперированными заготовками на установленный выпуск огнеметов, исходя из своевременного запуска деталей.</w:t>
      </w:r>
      <w:r w:rsidR="008127F8">
        <w:rPr>
          <w:rFonts w:ascii="Times New Roman" w:hAnsi="Times New Roman"/>
          <w:color w:val="000000" w:themeColor="text1"/>
          <w:sz w:val="16"/>
          <w:szCs w:val="16"/>
        </w:rPr>
        <w:t xml:space="preserve">  </w:t>
      </w:r>
    </w:p>
    <w:p w14:paraId="04A60FB7" w14:textId="4590FEB9"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Ведущему инженеру по заводу № 222 т. ФЕГЕЛЬМАНУ немедленно выехать на завод для оказания помощи заводу в деле организации и выпуска огнеметов по установленной программе.</w:t>
      </w:r>
      <w:r w:rsidR="008127F8">
        <w:rPr>
          <w:rFonts w:ascii="Times New Roman" w:hAnsi="Times New Roman"/>
          <w:color w:val="000000" w:themeColor="text1"/>
          <w:sz w:val="16"/>
          <w:szCs w:val="16"/>
        </w:rPr>
        <w:t xml:space="preserve">  </w:t>
      </w:r>
    </w:p>
    <w:p w14:paraId="71B598CC" w14:textId="28779001"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И.о. директора завода т. ФОКИНУ каждые 5 дней докладывать мне шифротелеграммой о выполнении настоящего приказа.</w:t>
      </w:r>
      <w:r w:rsidR="008127F8">
        <w:rPr>
          <w:rFonts w:ascii="Times New Roman" w:hAnsi="Times New Roman"/>
          <w:color w:val="000000" w:themeColor="text1"/>
          <w:sz w:val="16"/>
          <w:szCs w:val="16"/>
        </w:rPr>
        <w:t xml:space="preserve">  </w:t>
      </w:r>
    </w:p>
    <w:p w14:paraId="5EB3C896"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Контроль за выполнением настоящего приказа возлагаю на зам. нач. 1-го отдела НКТП т. ГНЕСИНА.</w:t>
      </w:r>
    </w:p>
    <w:p w14:paraId="322313B6"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06B7F234"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(ЕФРЕМОВ)</w:t>
      </w:r>
    </w:p>
    <w:p w14:paraId="59D37A7F" w14:textId="77777777" w:rsidR="00F7193A" w:rsidRPr="008127F8" w:rsidRDefault="00F7193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(18242).</w:t>
      </w:r>
    </w:p>
    <w:p w14:paraId="210F5087" w14:textId="77777777" w:rsidR="00F7193A" w:rsidRPr="008127F8" w:rsidRDefault="00F7193A" w:rsidP="001E0A84">
      <w:pPr>
        <w:spacing w:after="0" w:line="240" w:lineRule="auto"/>
        <w:jc w:val="both"/>
        <w:rPr>
          <w:rFonts w:ascii="Times New Roman" w:hAnsi="Times New Roman"/>
          <w:color w:val="000000" w:themeColor="text1"/>
          <w:sz w:val="16"/>
          <w:szCs w:val="16"/>
        </w:rPr>
      </w:pPr>
    </w:p>
    <w:p w14:paraId="6390FE3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вышло Постановление ГКО № 1218 О возвращении из Казани на Ярославский завод № 226 эвакуированной холодильной установки. (7021, 121).</w:t>
      </w:r>
    </w:p>
    <w:p w14:paraId="4C75868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B5EC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вышло Постановление ГКО № 1218 О возвращении из Казани на Ярославский завод № 226 эвакуированной холодильной установки. РГАНИР, Фонд ГКО, д. 20, лл. 121 (11012).</w:t>
      </w:r>
    </w:p>
    <w:p w14:paraId="0547DB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83E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вышло Постановление ГКО № 1219 О принятии на вооружение Красной Армии и производстве винтовочных противотанковых гранат конструкции Сердюка повышенной бронебойности. РГАНИР, Фонд ГКО, д. 20, лл. 122-123 (11012).</w:t>
      </w:r>
    </w:p>
    <w:p w14:paraId="274E36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DF29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6A165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C476E1"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в 1942 году утреннее сообщение Совинформбюро:</w:t>
      </w:r>
    </w:p>
    <w:p w14:paraId="441161B7"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28 января наши войска продолжали вести наступательные бои против немецко-фашистских войск.</w:t>
      </w:r>
    </w:p>
    <w:p w14:paraId="69DE8A5C"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под руководством старшего лейтенанта Харитонова (Западный фронт) в результате ожесточённого сражения с вражеским батальоном выбила немцев из одного населённого пункта. Противник оставил на поле боя 350 убитых и раненых. На другом участке два наших подразделения под командой тт. Илларионова и Болашёва отразили контратаку трёх вражеских рот, усиленных танками. Противник отступил в беспорядке, потеряв убитыми свыше 100 солдат и офицеров.</w:t>
      </w:r>
    </w:p>
    <w:p w14:paraId="196EE64F"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Южного фронта, за день освободили 40 населенных пунктов и захватили танк, 5 орудий, 7 пулемётов, 8 миномётов, 70 автомашин, 4 рации, 106 лошадей, телефонные аппараты, боеприпасы и много других трофеев.</w:t>
      </w:r>
    </w:p>
    <w:p w14:paraId="4E8613FA"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Лыжный отряд под командой тов. Топу-ридзе прошёл по тылам немцев 200 километров и захватил 3 танка, бронемашину, 6 орудий, 150 грузовиков.</w:t>
      </w:r>
    </w:p>
    <w:p w14:paraId="08B94F44"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Немцы устроили в подбитом танке огневую точку и вели оттуда пулемётный обстрел наших позиций. Сержант Ягупов и красноармеец Яковлев подползли к вражескому танку, перебили 4 немцев, забрали 2 пулемёта и благополучно возвратились в своё подразделение.</w:t>
      </w:r>
    </w:p>
    <w:p w14:paraId="48229754"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11 роты 463 полка 263 немецкой пехотной дивизии Эвальд Корнели заявил: «Наш полк прибыл на фронт из Франции в октябре прошлого года. Полк понёс огромные потери и насчитывает сейчас не больше 500 человек.</w:t>
      </w:r>
    </w:p>
    <w:p w14:paraId="7214511F"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 роте осталось только 14 солдат. Все остальные ранены, убиты, а 20 солдат с обмороженными ногами отправлены в лазарет. В 12 роте за последние дни было 9 случаев умышленного членовредительства».</w:t>
      </w:r>
    </w:p>
    <w:p w14:paraId="107909C7"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освобождённой от фашистских захватчиков деревне Пупково обнаружены два трупа изуродованных гитлеровцами красноармейцев. У них отрезаны носы, на груди вырезаны звёзды. Оба трупа сколоты штыком.</w:t>
      </w:r>
    </w:p>
    <w:p w14:paraId="0E78BFFB"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Армении добиваются новых производственных успехов. Передовые горняки Кафана во много раз перевыполняют норму: бурильщик Самсон Оганесян дневной план выполнил на 760 процентов, Акоп Захарян — на 354 процента. Заик Бабуян— на 433 процента. Бурщик Иван Рожков, вырубив 624 тонны руды, выполнил сменный план на 2.480 процентов и заработал. 1.150 рублей. Токарь механической мастерской Кафанского комбината Амазас Мовсесян выполнил дневное задание на 1.400 процентов, а слесарь Давид Окхназарян — на 1.183 процента.» (15023).</w:t>
      </w:r>
    </w:p>
    <w:p w14:paraId="4969CBDC"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7ABEA24A"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в 1942 году вечернее сообщение Совинформбюро:</w:t>
      </w:r>
    </w:p>
    <w:p w14:paraId="7E64FC3F"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течение 28 января наши войска вели с противником </w:t>
      </w:r>
      <w:proofErr w:type="gramStart"/>
      <w:r w:rsidRPr="008127F8">
        <w:rPr>
          <w:rFonts w:ascii="Times New Roman" w:hAnsi="Times New Roman"/>
          <w:color w:val="000000" w:themeColor="text1"/>
          <w:sz w:val="16"/>
          <w:szCs w:val="16"/>
        </w:rPr>
        <w:t>упорные бои</w:t>
      </w:r>
      <w:proofErr w:type="gramEnd"/>
      <w:r w:rsidRPr="008127F8">
        <w:rPr>
          <w:rFonts w:ascii="Times New Roman" w:hAnsi="Times New Roman"/>
          <w:color w:val="000000" w:themeColor="text1"/>
          <w:sz w:val="16"/>
          <w:szCs w:val="16"/>
        </w:rPr>
        <w:t xml:space="preserve"> в ходе которых нанесли немецко-фашистским войскам большой урон в живой силе и вновь продвинулись вперёд.</w:t>
      </w:r>
    </w:p>
    <w:p w14:paraId="032DF766"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января сбито в воздушных боях 12 немецких самолётов и уничтожено на аэродромах 17 самолётов противника. Всего за этот день уничтожено 29 немецких самолётов. Наши потери — 7 самолётов.</w:t>
      </w:r>
    </w:p>
    <w:p w14:paraId="1578B6EF"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января под Москвой сбито 2 немецких самолёта.</w:t>
      </w:r>
    </w:p>
    <w:p w14:paraId="530EAF1D"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части нашей авиации уничтожили 13 немецких танков, 334 автомашины с пехотой и грузами, более 50 повозок с боеприпасами, 9 орудий с прислугой, 10 зенитно-пулемётных точек, подожгли 2 железнодорожных эшелона, рассеяли и частью истребили 4 батальона пехоты противника.</w:t>
      </w:r>
    </w:p>
    <w:p w14:paraId="7560D688"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26 января в упорных боях с противником уничтожила более 300 вражеских солдат и офицеров и захватила 2 орудия, 33 пулемёта и 5 миномётов. На другом участке подразделение лейтенанта Елагина, выбив немцев штыковой атакой из населённого пункта, захватило 3 вражеских орудия, 6 пулемётов, 100 винтовок, много снарядов и патронов.</w:t>
      </w:r>
    </w:p>
    <w:p w14:paraId="1F1307EF"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Б. батарея под командой тов. Пальгова с открытой позиции отразила три вражеских «психических» атаки. Меткими залпами картечи артиллеристы батареи уничтожили 150 вражеских солдат и офицеров.</w:t>
      </w:r>
    </w:p>
    <w:p w14:paraId="38241E49"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Рыбачёв, первым ворвавшись в занятое немцами село, застрелил немецкого офицера, вывел из строя пулемётный расчёт и захватил станковый пулемёт противника.</w:t>
      </w:r>
    </w:p>
    <w:p w14:paraId="5CAAB4C7"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младшего лейтенанта Есина, действуя в тылу отступающих вражеских частей, за 4 дня вывело из строя около 200 вражеских солдат и офицеров, уничтожило 30 автомашин и десятки повозок с военным снаряжением.</w:t>
      </w:r>
    </w:p>
    <w:p w14:paraId="1BE62377"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действовавшие в ныне освобождённых районах Московской области, успешно помогали Красной Армии громить гитлеровцев. За последние 10 дней своей деятельности отряд тов. П. истребил 32 немецких солдат, уничтожил 4 вражеские автомашины с боеприпасами и 2 повозки, взорвал блиндаж и в 31 месте порвал телефонную связь противника. Отряд тов. Г. 17 января обнаружил около села И. 2 вражеских танка, прикрывавших отступление немецких войск. Партизаны забросали танки гранатами и уничтожили экипажи машин, а также находившихся поблизости немецких солдат. Отряд тов. В. устроил 18 января засаду на дороге между населёнными пунктами Н. и К. Партизаны в этот день уничтожили грузовую автомашину с немецкими солдатами и повозку с грузом. Убито 37 вражеских солдат. Вслед за этим партизаны перебили 7 немецких автоматчиков.</w:t>
      </w:r>
    </w:p>
    <w:p w14:paraId="66EB58A8"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публикуется выписка из дневника командира взвода обер-ефрейтора 123 немецкого полка Кесслера: «...Проснулись от сильных взрывов. Я подумал, что весь дом развалился, но, к счастью, обвалились только потолок и двери. Бомбы упали рядом. Сгорело много военных автомашин, один танк и танкетка. Боеприпасы взлетели в воздух. Наши обозы уничтожены, пылает горючее. Опять напряженный день и большие потери. Одно моё отделение выведено из строя. Пулемётный расчёт убит. В другом отделении 4 убитых и 7 раненых».</w:t>
      </w:r>
    </w:p>
    <w:p w14:paraId="6DB5095C"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9 роты 21 танкового полка 20 немецкой танковой дивизии Эммануил Шмидт рассказал: «Отступление германской армии часто принимает панический характер. На дорогах мы оставляем целые колонны машин, кучи снаряжения, оружия. О каком-либо планомерном сокращении линии фронта говорить смешно. Дисциплина падает с каждым днём. Солдаты отказываются идти в разведку и вставать в караул. Никто из нас теперь не верит в возможность победы Германии».</w:t>
      </w:r>
    </w:p>
    <w:p w14:paraId="5534F094"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сёлах Кривцово и Троицкое, Харьковской области, гитлеровские бандиты собрали 54 пожилых колхозника и расстреляли их из пулемётов. В этих же сёлах немцы сожгли 130 домов. В огне погибло много женщин и детей.».</w:t>
      </w:r>
    </w:p>
    <w:p w14:paraId="6AFE35CE"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35630A16"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 Юго-Западного и южного фронтов заняли города Барвенково, Лозовая.</w:t>
      </w:r>
    </w:p>
    <w:p w14:paraId="3386B759"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наших войск.</w:t>
      </w:r>
    </w:p>
    <w:p w14:paraId="5234A480"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января 1942 года войска Юго-Западного и Южного фронтов перешли в наступление. После ожесточённых боёв наши войска прорвали укреплённую линию противника и начали продвигаться вперёд. Выполняя задание, с 18 по 27 января наши войска продвинулись вперёд более чем на 100 километров и заняли города: Барвенково, Лозовая. Освобождено свыше 400 населенных пунктов.</w:t>
      </w:r>
    </w:p>
    <w:p w14:paraId="4897B42B"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 по 27 января войсками Юго-Западного и Южного фронтов захвачены следующие трофеи: орудий — 658, танков и бронемашин—40, пулемётов — 843, миномётов — 331, автомашин — 6.013, мотоциклов— 513, велосипедов — 1.095, радиостанций — 23, мин — свыше 100.000, снарядов — около 80.000, патронов — более 1.000.000, телефонного кабеля — свыше 100 километров, ручных гранат — 23.000, вагонов с боеприпасами и военным имуществом — 430, эшелонов с военно-хозяйственным грузом—8, складов с военным имуществом-24, подвод—2.400 и лошадей — 2.800.</w:t>
      </w:r>
    </w:p>
    <w:p w14:paraId="7EE79E26"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этот же период Уничтожено: танков —28, орудий — 36, миномётов — 47, пулемётов —7, железнодорожных вагонов —133, цистерн с горючим — 4, паровозов — 2, автомашин—1.071, повозок — 713, дзотов — 50, самолётов — 25.</w:t>
      </w:r>
    </w:p>
    <w:p w14:paraId="16AB116B"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Полностью разгромлены 298, 68, 257 дивизии, 236 противотанковый полк, 179 пехотный полк 57 дивизии, венгерский кавалерийский полк. Разгромлен штаб 257 пехотной дивизии, захвачены ее штабные документы. Захвачены знамёна 457 и 516 пехотных полков. Нанесено значительное поражение 44 и 295 пехотным дивизиям и частям 62, 46 и 94 пехотных дивизий.</w:t>
      </w:r>
    </w:p>
    <w:p w14:paraId="3BC7E1DB"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 18 по 27 января немцы потеряли свыше 25.000 убитыми. Взято несколько сот пленных.</w:t>
      </w:r>
    </w:p>
    <w:p w14:paraId="7E3059EF"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с немецкими оккупантами отличились войска генерал-майора Городнянского, генерал-лейтенанта Рябышева и генерал-майора Гречко.» (15023).</w:t>
      </w:r>
    </w:p>
    <w:p w14:paraId="1FF71BB0"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65EDFE22"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в 1942 году директива Ставки ВГК о реорганизации Кавказского фронта в Крымский фронт и Закавказский военный округ (15023).</w:t>
      </w:r>
    </w:p>
    <w:p w14:paraId="763B5E53"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5E9E9F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НКВМФ Н.Г.Кузнецов выпустил директиву N 0024/0022 о мерах по прикрытию с воздуха транспортов в районе Мурманска (2120).</w:t>
      </w:r>
    </w:p>
    <w:p w14:paraId="065F62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CF3A4"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в 1942 году издан совместный приказ Наркома обороны и Наркома Военно-Морского Флота «О мерах по прикрытию с воздуха транспортов в районе Мурманск», которым определялось прикрытие поставок по ленд-лизу боевой техники и вооружения (15023).</w:t>
      </w:r>
    </w:p>
    <w:p w14:paraId="4CFB8669"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68604D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Вечером 28 января 1942 аэродромы, где шла посадка в самолеты следующей волны десанта на Вязьму, подверглись сильному удару Ju 88 и Bf 110. В результате не менее 7 транспортных самолетов сгорели, и график вылетов был сорван. Тем не менее той ночью авиаторы высадили еще 1100 парашютистов. Вылеты на десантирование продолжались и в последующие 5 суток, однако постоянные налеты авиации противника вынудили проводить их с тылового аэродрома, что оказало свое негативное влияние. </w:t>
      </w:r>
      <w:proofErr w:type="gramStart"/>
      <w:r w:rsidRPr="008127F8">
        <w:rPr>
          <w:rFonts w:ascii="Times New Roman" w:hAnsi="Times New Roman"/>
          <w:color w:val="000000" w:themeColor="text1"/>
          <w:sz w:val="16"/>
          <w:szCs w:val="16"/>
        </w:rPr>
        <w:t>По сути</w:t>
      </w:r>
      <w:proofErr w:type="gramEnd"/>
      <w:r w:rsidRPr="008127F8">
        <w:rPr>
          <w:rFonts w:ascii="Times New Roman" w:hAnsi="Times New Roman"/>
          <w:color w:val="000000" w:themeColor="text1"/>
          <w:sz w:val="16"/>
          <w:szCs w:val="16"/>
        </w:rPr>
        <w:t xml:space="preserve"> только одна высадка прошла удачно. В ней приняли участие 27 ПС-84, которые днем под прикрытием группы Пе-3 вовремя доставили в назначенное место несколько рот десантников. В общей сложности до 2 февраля, включительно, удалось доставить 2497 человек личного состава и 34 400 кг грузов. К тому времени оперативная обстановка в районе проведения операции ухудшилась, и дальнейшие выброски решили прекратить. Задействованные для окружения противника части 4-го ВДК, а также 1-го кавкорпуса и 33-й армии сами оказались отрезанными от основных сил Западного фронта. Когда попытки пробиться к ним в районе Юхнова не дали результатов, командующий фронтом Г. К. Жуков снова принял решение десантировать 4-й ВДК. В общей сложности задействовались 72 транспортных самолета и бомбардировщика ТБ-3. На сей раз вылеты проводились с подмосковных аэродромов, в т. ч. из Внуково, откуда работали 20 ПС-84. В ночь на 18 февраля они поднялись и взяли курс на Путьково (примерно 25 км южнее Вязьмы). К сожалению, задание смогли выполнить только 12 экипажей, которые доставили 293 парашютиста. Остальные заблудились, т. к. приводные станции в то время почему-то не работали, а в районе Путьково на земле оказалось много костров, среди которых выделить сигнальные было слишком сложно. Высадка сил 4-го ВДК проводилась до 24 февраля. За это время было выброшено 7373 парашютиста и 1524 тюка с боеприпасами, снаряжением и т. п. Однако деблокировать группировку не удалось. Войскам пришлось действовать в окружении до конца июня, для чего потребовалось наладить постоянное снабжение их по воздуху. После почти пятимесячных боев частям 4-го ВДК удалось выйти через партизанские районы к основным силам фронта. В живых осталось 2800 человек. Среди погибших был и командир корпуса генерал А. Ф. Левашов (3772).</w:t>
      </w:r>
    </w:p>
    <w:p w14:paraId="519B3B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DD820" w14:textId="77777777"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28 января – 5 февраля 1941 люфтваффе предприняли новую серию налетов на аэродромы Грабцево, Орешково, Жашково и другие, уничтожив и повредив еще 50 самолетов разных типов. Только 616</w:t>
      </w:r>
      <w:r w:rsidRPr="008127F8">
        <w:rPr>
          <w:rFonts w:ascii="Times New Roman" w:hAnsi="Times New Roman"/>
          <w:color w:val="000000" w:themeColor="text1"/>
          <w:sz w:val="16"/>
          <w:szCs w:val="16"/>
        </w:rPr>
        <w:noBreakHyphen/>
        <w:t>й авиаполк безвозвратно потерял восемь разведчиков Р</w:t>
      </w:r>
      <w:r w:rsidRPr="008127F8">
        <w:rPr>
          <w:rFonts w:ascii="Times New Roman" w:hAnsi="Times New Roman"/>
          <w:color w:val="000000" w:themeColor="text1"/>
          <w:sz w:val="16"/>
          <w:szCs w:val="16"/>
        </w:rPr>
        <w:noBreakHyphen/>
        <w:t>5. В итоге 2 февраля масштабная вяземская десантная операция была приостановлена (23199).</w:t>
      </w:r>
    </w:p>
    <w:p w14:paraId="7BA8FE38" w14:textId="77777777" w:rsidR="0070658C" w:rsidRPr="008127F8" w:rsidRDefault="0070658C" w:rsidP="001E0A84">
      <w:pPr>
        <w:spacing w:after="0" w:line="240" w:lineRule="auto"/>
        <w:jc w:val="both"/>
        <w:rPr>
          <w:rFonts w:ascii="Times New Roman" w:hAnsi="Times New Roman"/>
          <w:color w:val="000000" w:themeColor="text1"/>
          <w:sz w:val="16"/>
          <w:szCs w:val="16"/>
        </w:rPr>
      </w:pPr>
    </w:p>
    <w:p w14:paraId="4B33FD31" w14:textId="77777777" w:rsidR="00F7193A" w:rsidRPr="008127F8" w:rsidRDefault="00F7193A" w:rsidP="001E0A84">
      <w:pPr>
        <w:pStyle w:val="af"/>
        <w:spacing w:before="0" w:after="0"/>
        <w:jc w:val="both"/>
        <w:textAlignment w:val="baseline"/>
        <w:rPr>
          <w:color w:val="000000" w:themeColor="text1"/>
          <w:sz w:val="16"/>
          <w:szCs w:val="16"/>
        </w:rPr>
      </w:pPr>
      <w:r w:rsidRPr="008127F8">
        <w:rPr>
          <w:color w:val="000000" w:themeColor="text1"/>
          <w:sz w:val="16"/>
          <w:szCs w:val="16"/>
        </w:rPr>
        <w:t>В течение 28 января — 5 февраля люфтваффе предприняли новую серию налетов на аэродромы Грабцево, Орешково, Жашково и другие, уничтожив и повредив еще 50 самолетов разных типов. Только 616-й авиаполк безвозвратно потерял восемь разведчиков Р-5. В итоге 2 февраля масштабная десантная операция была приостановлена (19522).</w:t>
      </w:r>
    </w:p>
    <w:p w14:paraId="24851A7E" w14:textId="77777777" w:rsidR="00F7193A" w:rsidRPr="008127F8" w:rsidRDefault="00F7193A" w:rsidP="001E0A84">
      <w:pPr>
        <w:pStyle w:val="af"/>
        <w:spacing w:before="0" w:after="0"/>
        <w:jc w:val="both"/>
        <w:textAlignment w:val="baseline"/>
        <w:rPr>
          <w:color w:val="000000" w:themeColor="text1"/>
          <w:sz w:val="16"/>
          <w:szCs w:val="16"/>
        </w:rPr>
      </w:pPr>
    </w:p>
    <w:p w14:paraId="215617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Тимошенко начал наступление на Украине (2261).</w:t>
      </w:r>
    </w:p>
    <w:p w14:paraId="7ED0B7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A4066" w14:textId="77777777" w:rsidR="009940AC"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7F55BFF" w14:textId="77777777" w:rsidR="009940AC" w:rsidRPr="008127F8" w:rsidRDefault="009940AC"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748C4"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в 1942 году опубликовано сообщение: на постройку танковой колонны имени ВЛКСМ из 8 республик, 6 краев и 25 областей собрано 101 337 139 рублей, на постройку авиаэскадрилий — 37 063 697 рублей, на постройку бронепоездов — 5 927 745 рублей; сдано облигаций на 19 925 420 рублей, серебра — 1305 кг, заработано 313 626 трудодней (15023).</w:t>
      </w:r>
    </w:p>
    <w:p w14:paraId="500F35E2"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7292FF2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C539C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856ABA" w14:textId="77777777" w:rsidR="00EC199E" w:rsidRPr="008127F8" w:rsidRDefault="00EC19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пилотируя патрульный бомбардировщик Lockheed PBO-1 Hudson над Северной Атлантико, помощник главного авиационного машиниста ВМС США Дональд Фрэнсис Мейсон атакует немецкую подводную лодку, которая погружается в воду и уходит. Думая, что он его потопил, он подает сигнал: «ПОДСКАЗАНО, ТАК ЖЕ». Он становится одним из самых известных сигналов Второй мировой войны (20793).</w:t>
      </w:r>
    </w:p>
    <w:p w14:paraId="685C30EB" w14:textId="77777777" w:rsidR="00EC199E" w:rsidRPr="008127F8" w:rsidRDefault="00EC199E" w:rsidP="001E0A84">
      <w:pPr>
        <w:spacing w:after="0" w:line="240" w:lineRule="auto"/>
        <w:jc w:val="both"/>
        <w:rPr>
          <w:rFonts w:ascii="Times New Roman" w:hAnsi="Times New Roman"/>
          <w:color w:val="000000" w:themeColor="text1"/>
          <w:sz w:val="16"/>
          <w:szCs w:val="16"/>
        </w:rPr>
      </w:pPr>
    </w:p>
    <w:p w14:paraId="7EA74418" w14:textId="77777777"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28 января </w:t>
      </w:r>
      <w:r w:rsidRPr="008127F8">
        <w:rPr>
          <w:rFonts w:ascii="Times New Roman" w:hAnsi="Times New Roman"/>
          <w:color w:val="000000" w:themeColor="text1"/>
          <w:sz w:val="16"/>
          <w:szCs w:val="16"/>
        </w:rPr>
        <w:t xml:space="preserve">в 1942 году нанесен первый удар с воздуха по линкору "Тирпиц". Девятка английских «Галифаксов» сбросила на его стоянку в Аасфьорде 45 тонн бомб без единого попадания. В ночь с 29 на 30 января 1942 года семь </w:t>
      </w:r>
      <w:hyperlink r:id="rId25" w:tgtFrame="_blank" w:history="1">
        <w:r w:rsidRPr="008127F8">
          <w:rPr>
            <w:rFonts w:ascii="Times New Roman" w:hAnsi="Times New Roman"/>
            <w:color w:val="000000" w:themeColor="text1"/>
            <w:sz w:val="16"/>
            <w:szCs w:val="16"/>
          </w:rPr>
          <w:t xml:space="preserve">«Стирлингов» </w:t>
        </w:r>
      </w:hyperlink>
      <w:r w:rsidRPr="008127F8">
        <w:rPr>
          <w:rFonts w:ascii="Times New Roman" w:hAnsi="Times New Roman"/>
          <w:color w:val="000000" w:themeColor="text1"/>
          <w:sz w:val="16"/>
          <w:szCs w:val="16"/>
        </w:rPr>
        <w:t>повторила налет, и снова безрезультатно. В теснине фьорда обнаружить и поразить одиночный корабль с классического высотного бомбометания было, необычайно сложно (15023).</w:t>
      </w:r>
    </w:p>
    <w:p w14:paraId="71EC4101"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04339045" w14:textId="77777777" w:rsidR="00EC199E"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w:t>
      </w:r>
      <w:r w:rsidR="00EC199E" w:rsidRPr="008127F8">
        <w:rPr>
          <w:rFonts w:ascii="Times New Roman" w:hAnsi="Times New Roman"/>
          <w:color w:val="000000" w:themeColor="text1"/>
          <w:sz w:val="16"/>
          <w:szCs w:val="16"/>
        </w:rPr>
        <w:t>28 января 1942 Военно-воздушные силы армии США задействуют Восьмые воздушные силы для службы в Англии в качестве стратегических военно-воздушных сил в Европе (20793).</w:t>
      </w:r>
    </w:p>
    <w:p w14:paraId="493246C3" w14:textId="77777777" w:rsidR="00EC199E" w:rsidRPr="008127F8" w:rsidRDefault="00EC199E" w:rsidP="001E0A84">
      <w:pPr>
        <w:spacing w:after="0" w:line="240" w:lineRule="auto"/>
        <w:jc w:val="both"/>
        <w:rPr>
          <w:rFonts w:ascii="Times New Roman" w:hAnsi="Times New Roman"/>
          <w:color w:val="000000" w:themeColor="text1"/>
          <w:sz w:val="16"/>
          <w:szCs w:val="16"/>
        </w:rPr>
      </w:pPr>
    </w:p>
    <w:p w14:paraId="0F86BFF9" w14:textId="28D17A50" w:rsidR="009940AC" w:rsidRPr="008127F8" w:rsidRDefault="009940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8 января </w:t>
      </w:r>
      <w:r w:rsidRPr="008127F8">
        <w:rPr>
          <w:rFonts w:ascii="Times New Roman" w:hAnsi="Times New Roman"/>
          <w:color w:val="000000" w:themeColor="text1"/>
          <w:sz w:val="16"/>
          <w:szCs w:val="16"/>
        </w:rPr>
        <w:t>в 1942 году Восьмая Армия Британии отступает в El Alamein (15023).</w:t>
      </w:r>
    </w:p>
    <w:p w14:paraId="3F7F69A1" w14:textId="77777777" w:rsidR="009940AC" w:rsidRPr="008127F8" w:rsidRDefault="009940AC" w:rsidP="001E0A84">
      <w:pPr>
        <w:spacing w:after="0" w:line="240" w:lineRule="auto"/>
        <w:jc w:val="both"/>
        <w:rPr>
          <w:rFonts w:ascii="Times New Roman" w:hAnsi="Times New Roman"/>
          <w:color w:val="000000" w:themeColor="text1"/>
          <w:sz w:val="16"/>
          <w:szCs w:val="16"/>
        </w:rPr>
      </w:pPr>
    </w:p>
    <w:p w14:paraId="16042B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1942 г Роммель отбил Бенгази (2261).</w:t>
      </w:r>
    </w:p>
    <w:p w14:paraId="3912B5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D3D9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5BFCA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B92C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29 января по 3 февраля 1942 г в НИИ ВВС проводились.гос. испытания Ил-2 с убираемыми лыжами (ведущий летчик-испытатель - В.В.Лисицын, ведущий инженер - В.С.Холопов), которые уменьшали скорость полета всего на 10-12 км/ч.</w:t>
      </w:r>
    </w:p>
    <w:p w14:paraId="1FFC4B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одноместный Ил-2 (зав. №181904) производства авиазавода № 18 на контрольных государственных ис</w:t>
      </w:r>
      <w:r w:rsidRPr="008127F8">
        <w:rPr>
          <w:rFonts w:ascii="Times New Roman" w:hAnsi="Times New Roman"/>
          <w:color w:val="000000" w:themeColor="text1"/>
          <w:sz w:val="16"/>
          <w:szCs w:val="16"/>
        </w:rPr>
        <w:softHyphen/>
        <w:t>пытаниях при полетном весе 5670 кг по</w:t>
      </w:r>
      <w:r w:rsidRPr="008127F8">
        <w:rPr>
          <w:rFonts w:ascii="Times New Roman" w:hAnsi="Times New Roman"/>
          <w:color w:val="000000" w:themeColor="text1"/>
          <w:sz w:val="16"/>
          <w:szCs w:val="16"/>
        </w:rPr>
        <w:softHyphen/>
        <w:t>казал максимальную скорость полета у земли 380 км/ч, на высоте 2300 м - 400 км/ч.</w:t>
      </w:r>
    </w:p>
    <w:p w14:paraId="2CDBB1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этого же штурмовика на колесном шасси у зем</w:t>
      </w:r>
      <w:r w:rsidRPr="008127F8">
        <w:rPr>
          <w:rFonts w:ascii="Times New Roman" w:hAnsi="Times New Roman"/>
          <w:color w:val="000000" w:themeColor="text1"/>
          <w:sz w:val="16"/>
          <w:szCs w:val="16"/>
        </w:rPr>
        <w:softHyphen/>
        <w:t>ли составляла 391 км/ч, а на высоте 2300 м - 416 км/ч (6467).</w:t>
      </w:r>
    </w:p>
    <w:p w14:paraId="032B79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F407E" w14:textId="77777777" w:rsidR="00413A92" w:rsidRPr="008127F8" w:rsidRDefault="00413A9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29 января по 3 февраля 1942 г. в НИИ ВВС проводились госиспытания убирающихся лыж для Ил-2. Ведущий летчик-испытатель - В.В.Лисицын, ведущий инженер - В.С.Холопов. Лыжи уменьшали скорость полета всего на 10-12 км/ч (18250).</w:t>
      </w:r>
    </w:p>
    <w:p w14:paraId="50B9E416" w14:textId="77777777" w:rsidR="00413A92" w:rsidRPr="008127F8" w:rsidRDefault="00413A92" w:rsidP="001E0A84">
      <w:pPr>
        <w:spacing w:after="0" w:line="240" w:lineRule="auto"/>
        <w:jc w:val="both"/>
        <w:rPr>
          <w:rFonts w:ascii="Times New Roman" w:hAnsi="Times New Roman"/>
          <w:color w:val="000000" w:themeColor="text1"/>
          <w:sz w:val="16"/>
          <w:szCs w:val="16"/>
        </w:rPr>
      </w:pPr>
    </w:p>
    <w:p w14:paraId="7F2DD6FE" w14:textId="77777777" w:rsidR="001F055D" w:rsidRPr="008127F8" w:rsidRDefault="001F055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января по 3 февраля 1942 г. в НИИ ВВС проводились госиспытания убирающихся лыж на Ил-2. Ведущий летчик-испытатель – В.В. Лисицын, ведущий инженер – В.С. Холопов). Лыжи уменьшали скорость полета всего на 10–12 км/ч (22673).</w:t>
      </w:r>
    </w:p>
    <w:p w14:paraId="1C9DD572" w14:textId="77777777" w:rsidR="001F055D" w:rsidRPr="008127F8" w:rsidRDefault="001F055D" w:rsidP="001E0A84">
      <w:pPr>
        <w:spacing w:after="0" w:line="240" w:lineRule="auto"/>
        <w:jc w:val="both"/>
        <w:rPr>
          <w:rFonts w:ascii="Times New Roman" w:hAnsi="Times New Roman"/>
          <w:color w:val="000000" w:themeColor="text1"/>
          <w:sz w:val="16"/>
          <w:szCs w:val="16"/>
        </w:rPr>
      </w:pPr>
    </w:p>
    <w:p w14:paraId="06700752" w14:textId="77777777" w:rsidR="00413A92" w:rsidRPr="008127F8" w:rsidRDefault="00413A9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января по 3 февраля 1942 г. в НИИ ВВС проводились госиспытания Ил-2 с убирающимися лыжами (Ведущий летчик-испытатель - В.В.Лисицын, ведущий инженер - В.С.Холопов) Убираюшиеся лыжи уменьшали скорость полета всего на 10-12 км/ч (19535).</w:t>
      </w:r>
    </w:p>
    <w:p w14:paraId="12D59AC6" w14:textId="77777777" w:rsidR="00413A92" w:rsidRPr="008127F8" w:rsidRDefault="00413A92" w:rsidP="001E0A84">
      <w:pPr>
        <w:spacing w:after="0" w:line="240" w:lineRule="auto"/>
        <w:jc w:val="both"/>
        <w:rPr>
          <w:rFonts w:ascii="Times New Roman" w:hAnsi="Times New Roman"/>
          <w:color w:val="000000" w:themeColor="text1"/>
          <w:sz w:val="16"/>
          <w:szCs w:val="16"/>
        </w:rPr>
      </w:pPr>
    </w:p>
    <w:p w14:paraId="279F6A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С.В.И. как ГК Ил-2 писал директору завода 30 письмо:</w:t>
      </w:r>
    </w:p>
    <w:p w14:paraId="29C2E9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1941 мною была подана докладная записка А.И.Ш. с просьбой передать для опытной базы цех оперения, принадлежащий тогда заводу 1 и находящийся оторвано от завода в Авиационном переулке Петровского парка.</w:t>
      </w:r>
    </w:p>
    <w:p w14:paraId="357B67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А.И.Ш. не возражал против этой передачи вопрос направил тогда директору завода 1 Третьякову с тем, чтобы он доложил ему свои соображения на этот счет, но в связи с эвакуацией вопрос остался нерешенным.</w:t>
      </w:r>
    </w:p>
    <w:p w14:paraId="5A2BB6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данный момент помещения бывшего цеха оперения пустуют, поэтому я этот вопрос поднимаю вторично и прошу Вашего согласия о передаче этого цеха для опытной базы, и в случае согласия помощи в ее организации (1679,62).</w:t>
      </w:r>
    </w:p>
    <w:p w14:paraId="59FF99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BDFD0A" w14:textId="77777777" w:rsidR="005C0E90" w:rsidRPr="008127F8" w:rsidRDefault="005C0E90"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29 января 1942 г. в докладе начальнику Управления опытного строительства ГУ ВВС КА бригинженеру Г.П. Лешукову по результа</w:t>
      </w:r>
      <w:r w:rsidRPr="008127F8">
        <w:rPr>
          <w:rFonts w:ascii="Times New Roman" w:cs="Times New Roman"/>
          <w:color w:val="000000" w:themeColor="text1"/>
          <w:spacing w:val="0"/>
          <w:sz w:val="16"/>
          <w:szCs w:val="16"/>
        </w:rPr>
        <w:softHyphen/>
        <w:t>там испытаний бронеспинки летчика толщиной 8,5 мм из цементованной броневой стали ХД начальник НИИ ВВС бригинженер П.И. Федо</w:t>
      </w:r>
      <w:r w:rsidRPr="008127F8">
        <w:rPr>
          <w:rFonts w:ascii="Times New Roman" w:cs="Times New Roman"/>
          <w:color w:val="000000" w:themeColor="text1"/>
          <w:spacing w:val="0"/>
          <w:sz w:val="16"/>
          <w:szCs w:val="16"/>
        </w:rPr>
        <w:softHyphen/>
        <w:t>ров в очередной раз констатировал, что систе</w:t>
      </w:r>
      <w:r w:rsidRPr="008127F8">
        <w:rPr>
          <w:rFonts w:ascii="Times New Roman" w:cs="Times New Roman"/>
          <w:color w:val="000000" w:themeColor="text1"/>
          <w:spacing w:val="0"/>
          <w:sz w:val="16"/>
          <w:szCs w:val="16"/>
        </w:rPr>
        <w:softHyphen/>
        <w:t>ма бронирования отечественных самолетов не отвечает требованиям войны.</w:t>
      </w:r>
    </w:p>
    <w:p w14:paraId="3CA12EFE" w14:textId="77777777" w:rsidR="005C0E90" w:rsidRPr="008127F8" w:rsidRDefault="005C0E90"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Обстрел серийной бронеспинки самоле</w:t>
      </w:r>
      <w:r w:rsidRPr="008127F8">
        <w:rPr>
          <w:rFonts w:ascii="Times New Roman" w:cs="Times New Roman"/>
          <w:color w:val="000000" w:themeColor="text1"/>
          <w:spacing w:val="0"/>
          <w:sz w:val="16"/>
          <w:szCs w:val="16"/>
        </w:rPr>
        <w:softHyphen/>
        <w:t>та МиГ-3</w:t>
      </w:r>
      <w:r w:rsidRPr="008127F8">
        <w:rPr>
          <w:rStyle w:val="aff8"/>
          <w:rFonts w:ascii="Times New Roman" w:eastAsia="Arial Narrow" w:hAnsi="Times New Roman" w:cs="Times New Roman"/>
          <w:i w:val="0"/>
          <w:color w:val="000000" w:themeColor="text1"/>
          <w:spacing w:val="0"/>
        </w:rPr>
        <w:t xml:space="preserve"> «пулями и снарядами калибра 15 мм из немецкого пулемета, устанавливаемого на модифицированном самолете Ме- 109Ф4</w:t>
      </w:r>
      <w:r w:rsidRPr="008127F8">
        <w:rPr>
          <w:rFonts w:ascii="Times New Roman" w:cs="Times New Roman"/>
          <w:color w:val="000000" w:themeColor="text1"/>
          <w:spacing w:val="0"/>
          <w:sz w:val="16"/>
          <w:szCs w:val="16"/>
        </w:rPr>
        <w:t>», по</w:t>
      </w:r>
      <w:r w:rsidRPr="008127F8">
        <w:rPr>
          <w:rFonts w:ascii="Times New Roman" w:cs="Times New Roman"/>
          <w:color w:val="000000" w:themeColor="text1"/>
          <w:spacing w:val="0"/>
          <w:sz w:val="16"/>
          <w:szCs w:val="16"/>
        </w:rPr>
        <w:softHyphen/>
        <w:t>казал, что она удерживает 15-мм бронебойно- трассирующую пулю с дистанции 200 м лишь под углом к нормали 65° и более, а с 300 м - под углом 55°. Между тем, из так</w:t>
      </w:r>
      <w:r w:rsidRPr="008127F8">
        <w:rPr>
          <w:rFonts w:ascii="Times New Roman" w:cs="Times New Roman"/>
          <w:color w:val="000000" w:themeColor="text1"/>
          <w:spacing w:val="0"/>
          <w:sz w:val="16"/>
          <w:szCs w:val="16"/>
        </w:rPr>
        <w:softHyphen/>
        <w:t>тических расчетов воздушного боя следовало, что углы атак немецких истребителей в задней полусфере были возможны в конусе до 45° от оси самолета. То есть,</w:t>
      </w:r>
      <w:r w:rsidRPr="008127F8">
        <w:rPr>
          <w:rStyle w:val="aff8"/>
          <w:rFonts w:ascii="Times New Roman" w:eastAsia="Arial Narrow" w:hAnsi="Times New Roman" w:cs="Times New Roman"/>
          <w:i w:val="0"/>
          <w:color w:val="000000" w:themeColor="text1"/>
          <w:spacing w:val="0"/>
        </w:rPr>
        <w:t xml:space="preserve"> «углы бро- нестойкости спинок лежат за пре</w:t>
      </w:r>
      <w:r w:rsidRPr="008127F8">
        <w:rPr>
          <w:rStyle w:val="aff8"/>
          <w:rFonts w:ascii="Times New Roman" w:eastAsia="Arial Narrow" w:hAnsi="Times New Roman" w:cs="Times New Roman"/>
          <w:i w:val="0"/>
          <w:color w:val="000000" w:themeColor="text1"/>
          <w:spacing w:val="0"/>
        </w:rPr>
        <w:softHyphen/>
        <w:t>делом возможных атак».</w:t>
      </w:r>
    </w:p>
    <w:p w14:paraId="0E948F42" w14:textId="77777777" w:rsidR="005C0E90" w:rsidRPr="008127F8" w:rsidRDefault="005C0E90" w:rsidP="001E0A84">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i w:val="0"/>
          <w:color w:val="000000" w:themeColor="text1"/>
          <w:sz w:val="16"/>
          <w:szCs w:val="16"/>
        </w:rPr>
        <w:t>По заключению начальника 14-го отдела НИИ ВВС военинженера 1-го ранга Д.В. Лагутина и начальника 3-го отделения этого отдела военинженера 1-го ранга П.С. Воротникова,</w:t>
      </w:r>
      <w:r w:rsidRPr="008127F8">
        <w:rPr>
          <w:rFonts w:ascii="Times New Roman" w:cs="Times New Roman"/>
          <w:color w:val="000000" w:themeColor="text1"/>
          <w:sz w:val="16"/>
          <w:szCs w:val="16"/>
        </w:rPr>
        <w:t xml:space="preserve"> «для обеспе</w:t>
      </w:r>
      <w:r w:rsidRPr="008127F8">
        <w:rPr>
          <w:rFonts w:ascii="Times New Roman" w:cs="Times New Roman"/>
          <w:color w:val="000000" w:themeColor="text1"/>
          <w:sz w:val="16"/>
          <w:szCs w:val="16"/>
        </w:rPr>
        <w:softHyphen/>
        <w:t>чения надежной защиты летчика от боеприпасов немецких пушек калибра 15-20 мм требуется бро</w:t>
      </w:r>
      <w:r w:rsidRPr="008127F8">
        <w:rPr>
          <w:rFonts w:ascii="Times New Roman" w:cs="Times New Roman"/>
          <w:color w:val="000000" w:themeColor="text1"/>
          <w:sz w:val="16"/>
          <w:szCs w:val="16"/>
        </w:rPr>
        <w:softHyphen/>
        <w:t>ня толщиной от 10 до 25 мм, в за</w:t>
      </w:r>
      <w:r w:rsidRPr="008127F8">
        <w:rPr>
          <w:rFonts w:ascii="Times New Roman" w:cs="Times New Roman"/>
          <w:color w:val="000000" w:themeColor="text1"/>
          <w:sz w:val="16"/>
          <w:szCs w:val="16"/>
        </w:rPr>
        <w:softHyphen/>
        <w:t>висимости от расположения ее на самолете».</w:t>
      </w:r>
      <w:r w:rsidRPr="008127F8">
        <w:rPr>
          <w:rStyle w:val="4f1"/>
          <w:rFonts w:ascii="Times New Roman" w:hAnsi="Times New Roman" w:cs="Times New Roman"/>
          <w:i w:val="0"/>
          <w:color w:val="000000" w:themeColor="text1"/>
          <w:sz w:val="16"/>
          <w:szCs w:val="16"/>
        </w:rPr>
        <w:t xml:space="preserve"> Поэтому бригинженер П.И. Федоров еще раз просил пе</w:t>
      </w:r>
      <w:r w:rsidRPr="008127F8">
        <w:rPr>
          <w:rStyle w:val="4f1"/>
          <w:rFonts w:ascii="Times New Roman" w:hAnsi="Times New Roman" w:cs="Times New Roman"/>
          <w:i w:val="0"/>
          <w:color w:val="000000" w:themeColor="text1"/>
          <w:sz w:val="16"/>
          <w:szCs w:val="16"/>
        </w:rPr>
        <w:softHyphen/>
        <w:t>ресмотреть схемы</w:t>
      </w:r>
      <w:r w:rsidRPr="008127F8">
        <w:rPr>
          <w:rFonts w:ascii="Times New Roman" w:cs="Times New Roman"/>
          <w:color w:val="000000" w:themeColor="text1"/>
          <w:sz w:val="16"/>
          <w:szCs w:val="16"/>
        </w:rPr>
        <w:t xml:space="preserve"> «бронирования опытных и серийных самолетов ВВС КА на основе материалов о необходимости усиления бро</w:t>
      </w:r>
      <w:r w:rsidRPr="008127F8">
        <w:rPr>
          <w:rFonts w:ascii="Times New Roman" w:cs="Times New Roman"/>
          <w:color w:val="000000" w:themeColor="text1"/>
          <w:sz w:val="16"/>
          <w:szCs w:val="16"/>
        </w:rPr>
        <w:softHyphen/>
        <w:t>невой защиты, представленных ГУ ВВС в 1941 г.</w:t>
      </w:r>
      <w:r w:rsidRPr="008127F8">
        <w:rPr>
          <w:rStyle w:val="4f1"/>
          <w:rFonts w:ascii="Times New Roman" w:hAnsi="Times New Roman" w:cs="Times New Roman"/>
          <w:i w:val="0"/>
          <w:color w:val="000000" w:themeColor="text1"/>
          <w:sz w:val="16"/>
          <w:szCs w:val="16"/>
        </w:rPr>
        <w:t xml:space="preserve"> (от 20 сентября 1941 г. -</w:t>
      </w:r>
      <w:r w:rsidRPr="008127F8">
        <w:rPr>
          <w:rFonts w:ascii="Times New Roman" w:cs="Times New Roman"/>
          <w:color w:val="000000" w:themeColor="text1"/>
          <w:sz w:val="16"/>
          <w:szCs w:val="16"/>
        </w:rPr>
        <w:t xml:space="preserve"> Прим. авт.), и внесения в эти материалы изменений в соот</w:t>
      </w:r>
      <w:r w:rsidRPr="008127F8">
        <w:rPr>
          <w:rFonts w:ascii="Times New Roman" w:cs="Times New Roman"/>
          <w:color w:val="000000" w:themeColor="text1"/>
          <w:sz w:val="16"/>
          <w:szCs w:val="16"/>
        </w:rPr>
        <w:softHyphen/>
        <w:t>ветствии с проведенными испыта</w:t>
      </w:r>
      <w:r w:rsidRPr="008127F8">
        <w:rPr>
          <w:rFonts w:ascii="Times New Roman" w:cs="Times New Roman"/>
          <w:color w:val="000000" w:themeColor="text1"/>
          <w:sz w:val="16"/>
          <w:szCs w:val="16"/>
        </w:rPr>
        <w:softHyphen/>
        <w:t>ниями» (15774).</w:t>
      </w:r>
    </w:p>
    <w:p w14:paraId="7448874D" w14:textId="77777777" w:rsidR="005C0E90" w:rsidRPr="008127F8" w:rsidRDefault="005C0E90" w:rsidP="001E0A84">
      <w:pPr>
        <w:pStyle w:val="45"/>
        <w:shd w:val="clear" w:color="auto" w:fill="auto"/>
        <w:spacing w:before="0" w:line="240" w:lineRule="auto"/>
        <w:jc w:val="both"/>
        <w:rPr>
          <w:rFonts w:ascii="Times New Roman" w:cs="Times New Roman"/>
          <w:color w:val="000000" w:themeColor="text1"/>
          <w:sz w:val="16"/>
          <w:szCs w:val="16"/>
        </w:rPr>
      </w:pPr>
    </w:p>
    <w:p w14:paraId="1D7B9B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было подготовлено:</w:t>
      </w:r>
    </w:p>
    <w:p w14:paraId="29FF86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4AD967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эскизному проекту двухмоторного истребителя “И”, с моторами 2М-107П /одна спарка/, конструкции инж. БОЛХОВИТИНОВА.</w:t>
      </w:r>
    </w:p>
    <w:p w14:paraId="115EAD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3 отделения 3 отдела НИИ ВВС Ви1р Воеводин</w:t>
      </w:r>
    </w:p>
    <w:p w14:paraId="784258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ви2р Кочетков</w:t>
      </w:r>
    </w:p>
    <w:p w14:paraId="244347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позади другой. Фонарь летчика откидпой из плексигласа.</w:t>
      </w:r>
    </w:p>
    <w:p w14:paraId="440AF6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ОПЕРЕНИЕ - самолета состоит из стабилизатора с рулем высоты и 2-х килей с рулями поворотов. Оперепие укреплено на 2-х балках.</w:t>
      </w:r>
    </w:p>
    <w:p w14:paraId="7394E3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ШАССИ - трехколесное, одноотоечного типа, убирающееся. Передняя стойка с колесом убирается впередний кок фюзеляжва, 2 другие полностью убираются назад в балки самолета.</w:t>
      </w:r>
    </w:p>
    <w:p w14:paraId="31F1AD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БАЛКИ - коковой конструкция. В балках расположены: бензин, шасси, рдиаторы. В передней части балок расположены бензобаки, позади бензобаков расположено место для уборки ног шаосй, позади шасси расположен канал водорадиатора. На конце балок укреплено ветикальное и горизоатальное оперение.</w:t>
      </w:r>
    </w:p>
    <w:p w14:paraId="1F8FE67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ВМГ - Винтомоторная группа представляет из себя спарку двух моторов М-107П, ршположенных позади летчика на двух моторамах, один за другим с редукторами в разные стороны. Винты расположены соосно позади фюзеляжа, т.е. являются толкающими.</w:t>
      </w:r>
    </w:p>
    <w:p w14:paraId="6E88120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 состоит из 2-х пушек калибра 23мм, расположенных по бокам моторов с запасом снарядов по 81 на пушку; 2-х крупнокалиберных пулеметов Березина калибра 12,7мм, расположенных слева за летчиком, с запасом патронов 300 шт. На пулемет; 2-х пулеметов ШКАС с запасом патрон 1000 шт. на пулемет.</w:t>
      </w:r>
    </w:p>
    <w:p w14:paraId="752891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ВЕСОВЫЕ ДАННЫУ САМОЛЕТА</w:t>
      </w:r>
    </w:p>
    <w:p w14:paraId="305CF8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Вес пустого самолета» 3417 кг,</w:t>
      </w:r>
    </w:p>
    <w:p w14:paraId="79B403A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Вес конструкции 1283 кг</w:t>
      </w:r>
    </w:p>
    <w:p w14:paraId="09FD207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Вес винтомоторной группы 2057 кг</w:t>
      </w:r>
    </w:p>
    <w:p w14:paraId="4ED4614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Вес оборудования 77 кг</w:t>
      </w:r>
    </w:p>
    <w:p w14:paraId="44A5DDE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Вес полной нагрузки 1870 кг</w:t>
      </w:r>
    </w:p>
    <w:p w14:paraId="2A3DD3D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Вес вооружения 216 кг</w:t>
      </w:r>
    </w:p>
    <w:p w14:paraId="20F47D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 боеприпасов 264 кг</w:t>
      </w:r>
    </w:p>
    <w:p w14:paraId="5E6F34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 горючего 910 кг</w:t>
      </w:r>
    </w:p>
    <w:p w14:paraId="6B4DEE3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 масла 90 кг</w:t>
      </w:r>
    </w:p>
    <w:p w14:paraId="27B9965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 экипаж с парашютом 90 кг</w:t>
      </w:r>
    </w:p>
    <w:p w14:paraId="15C87A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Полетный вес самолета 4987 кг</w:t>
      </w:r>
    </w:p>
    <w:p w14:paraId="4710F2A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По данным завода полетный вес 4907 кг. Однако при подсчете был неправильно взят вес вооружения, который составляет 480 кг, а не 400 кг; как взято в весовой сводке эскизного проекта.</w:t>
      </w:r>
    </w:p>
    <w:p w14:paraId="703A665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запроектированных данных</w:t>
      </w:r>
    </w:p>
    <w:p w14:paraId="0B75A1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Схема и конструкция</w:t>
      </w:r>
    </w:p>
    <w:p w14:paraId="3AD0E3A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недостаточности материала по разработке конструкции самолета не представляется возможным проверить насколько данная конструкция соответствует тактико-техническим требованиям ВВС Красной Армии, однако схема самолета является реальной и целесообразной и имеет следующие положительные стороны;</w:t>
      </w:r>
    </w:p>
    <w:p w14:paraId="7ABB25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Разрешается задача увеличения мощности мотора без увеличения лобового сопротивления /оба мотора укладываются в мидель фюзеляжа/.</w:t>
      </w:r>
    </w:p>
    <w:p w14:paraId="789FA4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Обеспечивается хороший обзор летчику для ведения воздушного боя.</w:t>
      </w:r>
    </w:p>
    <w:p w14:paraId="1F68253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Обеспечивается возможность размещения мощого стрелкового вооружения в фюзеляле устраняя возможность прострела винтов /винтн сзади/.</w:t>
      </w:r>
    </w:p>
    <w:p w14:paraId="79693E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Моторы обеспечивают защиту летчика со стороны задней полусферы.</w:t>
      </w:r>
    </w:p>
    <w:p w14:paraId="559EB7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Дает возможность разместить значительный запас горючего в балках самолета.</w:t>
      </w:r>
    </w:p>
    <w:p w14:paraId="44FA26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Обеспечивает самолет от резкого заноса хвоста в случае отказа одного из моторов.</w:t>
      </w:r>
    </w:p>
    <w:p w14:paraId="4B93446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Обеспечивается высокий к.п.д. винта /винты вращаются в разные стороны и потери на закручивание воздушного потока значительно меньше/.</w:t>
      </w:r>
    </w:p>
    <w:p w14:paraId="6BB4D2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Снижается влияние реакции винта на балансировку самолета в воздухе, что облегчает пилотирование самолета.</w:t>
      </w:r>
    </w:p>
    <w:p w14:paraId="1307EE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очевидные преимуществ такой схемы самолета конструктор не дает в представленном материале:</w:t>
      </w:r>
    </w:p>
    <w:p w14:paraId="3244FC1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Разработку конструкции самолета /</w:t>
      </w:r>
      <w:proofErr w:type="gramStart"/>
      <w:r w:rsidRPr="008127F8">
        <w:rPr>
          <w:rFonts w:ascii="Times New Roman" w:hAnsi="Times New Roman"/>
          <w:color w:val="000000" w:themeColor="text1"/>
          <w:sz w:val="16"/>
          <w:szCs w:val="16"/>
        </w:rPr>
        <w:t>материалы,силовую</w:t>
      </w:r>
      <w:proofErr w:type="gramEnd"/>
      <w:r w:rsidRPr="008127F8">
        <w:rPr>
          <w:rFonts w:ascii="Times New Roman" w:hAnsi="Times New Roman"/>
          <w:color w:val="000000" w:themeColor="text1"/>
          <w:sz w:val="16"/>
          <w:szCs w:val="16"/>
        </w:rPr>
        <w:t xml:space="preserve"> схему, размещение оборудования и т.д./</w:t>
      </w:r>
    </w:p>
    <w:p w14:paraId="1B879F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Схем управления самолетом*</w:t>
      </w:r>
    </w:p>
    <w:p w14:paraId="3D09493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Обеспечение возможности летчику покинуть самолет в воздухе /имея ввиду расположение винтов позади/.</w:t>
      </w:r>
    </w:p>
    <w:p w14:paraId="284ABE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Не разработаны вопросы защиты летчика в случае складывания или поломки передней ноги шасси /имея в виду расположение моторов сзади летчика/.</w:t>
      </w:r>
    </w:p>
    <w:p w14:paraId="56799B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ЛЕТНЫЕ ДАННЫЕ.</w:t>
      </w:r>
    </w:p>
    <w:p w14:paraId="125E70A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Проектирование летных данных ведется год мотор М-105П, который не обеспечивает достаточных скоростей самолета с учетом выпуска самолета в серию в 1942 г. Необходимо все рассчеты произвести под более мощные моторы М-107П.</w:t>
      </w:r>
    </w:p>
    <w:p w14:paraId="4C1506B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Запроектированная максимальная скорость 675 км/ч. на Н=5000 м с моторами М-105П при данной схеме самолета является реальной </w:t>
      </w:r>
      <w:proofErr w:type="gramStart"/>
      <w:r w:rsidRPr="008127F8">
        <w:rPr>
          <w:rFonts w:ascii="Times New Roman" w:hAnsi="Times New Roman"/>
          <w:color w:val="000000" w:themeColor="text1"/>
          <w:sz w:val="16"/>
          <w:szCs w:val="16"/>
        </w:rPr>
        <w:t>при условии если</w:t>
      </w:r>
      <w:proofErr w:type="gramEnd"/>
      <w:r w:rsidRPr="008127F8">
        <w:rPr>
          <w:rFonts w:ascii="Times New Roman" w:hAnsi="Times New Roman"/>
          <w:color w:val="000000" w:themeColor="text1"/>
          <w:sz w:val="16"/>
          <w:szCs w:val="16"/>
        </w:rPr>
        <w:t xml:space="preserve"> конструктор обеспечит к.п.д винтов макс.0,82</w:t>
      </w:r>
    </w:p>
    <w:p w14:paraId="5DB090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Скороподъемность самолета 4 мин. на высоту Н=5000 м является завышенной, тяк как при расчете взят заниженный вес /средний вес/ и взят очень высокий взлетный </w:t>
      </w:r>
      <w:proofErr w:type="gramStart"/>
      <w:r w:rsidRPr="008127F8">
        <w:rPr>
          <w:rFonts w:ascii="Times New Roman" w:hAnsi="Times New Roman"/>
          <w:color w:val="000000" w:themeColor="text1"/>
          <w:sz w:val="16"/>
          <w:szCs w:val="16"/>
        </w:rPr>
        <w:t>к,п.д.</w:t>
      </w:r>
      <w:proofErr w:type="gramEnd"/>
      <w:r w:rsidRPr="008127F8">
        <w:rPr>
          <w:rFonts w:ascii="Times New Roman" w:hAnsi="Times New Roman"/>
          <w:color w:val="000000" w:themeColor="text1"/>
          <w:sz w:val="16"/>
          <w:szCs w:val="16"/>
        </w:rPr>
        <w:t xml:space="preserve"> 0,8.</w:t>
      </w:r>
    </w:p>
    <w:p w14:paraId="59B0B46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Н=5000 будет не менее 5 мин.</w:t>
      </w:r>
    </w:p>
    <w:p w14:paraId="6B05FE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Посадочная скорость занижена до 140 км/час., т.к. взят очень высокий Су 1.9. Необходимо иметь в виду, что посадка </w:t>
      </w:r>
      <w:r w:rsidRPr="008127F8">
        <w:rPr>
          <w:rFonts w:ascii="Times New Roman" w:hAnsi="Times New Roman"/>
          <w:smallCaps/>
          <w:color w:val="000000" w:themeColor="text1"/>
          <w:sz w:val="16"/>
          <w:szCs w:val="16"/>
        </w:rPr>
        <w:t>самолета</w:t>
      </w:r>
      <w:r w:rsidRPr="008127F8">
        <w:rPr>
          <w:rFonts w:ascii="Times New Roman" w:hAnsi="Times New Roman"/>
          <w:color w:val="000000" w:themeColor="text1"/>
          <w:sz w:val="16"/>
          <w:szCs w:val="16"/>
        </w:rPr>
        <w:t xml:space="preserve"> будет производиться ня малых </w:t>
      </w:r>
      <w:r w:rsidRPr="008127F8">
        <w:rPr>
          <w:rFonts w:ascii="Times New Roman" w:hAnsi="Times New Roman"/>
          <w:color w:val="000000" w:themeColor="text1"/>
          <w:sz w:val="16"/>
          <w:szCs w:val="16"/>
        </w:rPr>
        <w:lastRenderedPageBreak/>
        <w:t>углах атаки, т.к. самолет не принимает 3-х точечного положения при посадке.</w:t>
      </w:r>
    </w:p>
    <w:p w14:paraId="5FF2231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В аэродинамическом расчете отсутствует расчет разбега и пробега, между тем это является чрезвычайно важным для оценки </w:t>
      </w:r>
      <w:proofErr w:type="gramStart"/>
      <w:r w:rsidRPr="008127F8">
        <w:rPr>
          <w:rFonts w:ascii="Times New Roman" w:hAnsi="Times New Roman"/>
          <w:color w:val="000000" w:themeColor="text1"/>
          <w:sz w:val="16"/>
          <w:szCs w:val="16"/>
        </w:rPr>
        <w:t>самолета, тем более, что</w:t>
      </w:r>
      <w:proofErr w:type="gramEnd"/>
      <w:r w:rsidRPr="008127F8">
        <w:rPr>
          <w:rFonts w:ascii="Times New Roman" w:hAnsi="Times New Roman"/>
          <w:color w:val="000000" w:themeColor="text1"/>
          <w:sz w:val="16"/>
          <w:szCs w:val="16"/>
        </w:rPr>
        <w:t xml:space="preserve"> самолет "С" конструкций ТОВ. БОЛХОВИТИНОВА в основу проектирования которого также были положены принципы большой ьнагрузки на м кв. и применение спарки моторов, зарекомедовал себя при летных испытаниях отрицательо, главный образом, из-за неудовлетворительных взлетно-посадочных свойств.</w:t>
      </w:r>
    </w:p>
    <w:p w14:paraId="67399FC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разработке самолета "и” конструктору нообходимо особое внимание уделить рязработке </w:t>
      </w:r>
      <w:proofErr w:type="gramStart"/>
      <w:r w:rsidRPr="008127F8">
        <w:rPr>
          <w:rFonts w:ascii="Times New Roman" w:hAnsi="Times New Roman"/>
          <w:color w:val="000000" w:themeColor="text1"/>
          <w:sz w:val="16"/>
          <w:szCs w:val="16"/>
        </w:rPr>
        <w:t>эффективных средств</w:t>
      </w:r>
      <w:proofErr w:type="gramEnd"/>
      <w:r w:rsidRPr="008127F8">
        <w:rPr>
          <w:rFonts w:ascii="Times New Roman" w:hAnsi="Times New Roman"/>
          <w:color w:val="000000" w:themeColor="text1"/>
          <w:sz w:val="16"/>
          <w:szCs w:val="16"/>
        </w:rPr>
        <w:t xml:space="preserve"> улучшающих взлетно-посадочные свойства, чтобы не повторить недостатки самолета “с”.</w:t>
      </w:r>
    </w:p>
    <w:p w14:paraId="28B4188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Расчет самолета на дальность не представлен; однако запроектированная дальность 2000 км. является не реальной, </w:t>
      </w:r>
      <w:proofErr w:type="gramStart"/>
      <w:r w:rsidRPr="008127F8">
        <w:rPr>
          <w:rFonts w:ascii="Times New Roman" w:hAnsi="Times New Roman"/>
          <w:color w:val="000000" w:themeColor="text1"/>
          <w:sz w:val="16"/>
          <w:szCs w:val="16"/>
        </w:rPr>
        <w:t>учитывая</w:t>
      </w:r>
      <w:proofErr w:type="gramEnd"/>
      <w:r w:rsidRPr="008127F8">
        <w:rPr>
          <w:rFonts w:ascii="Times New Roman" w:hAnsi="Times New Roman"/>
          <w:color w:val="000000" w:themeColor="text1"/>
          <w:sz w:val="16"/>
          <w:szCs w:val="16"/>
        </w:rPr>
        <w:t xml:space="preserve"> что режим полета взят из расчета скорости 0.67 макс., а не положенных 0.8 мкс.</w:t>
      </w:r>
    </w:p>
    <w:p w14:paraId="201E78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того</w:t>
      </w:r>
      <w:proofErr w:type="gramEnd"/>
      <w:r w:rsidRPr="008127F8">
        <w:rPr>
          <w:rFonts w:ascii="Times New Roman" w:hAnsi="Times New Roman"/>
          <w:color w:val="000000" w:themeColor="text1"/>
          <w:sz w:val="16"/>
          <w:szCs w:val="16"/>
        </w:rPr>
        <w:t xml:space="preserve"> взят заниженный расход горючего.</w:t>
      </w:r>
    </w:p>
    <w:p w14:paraId="4C06235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горючего для обеспечения дальности 2000 км. потребуется увеличлть не меньше чем на 200 кг.</w:t>
      </w:r>
    </w:p>
    <w:p w14:paraId="228751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ВООРУЖЕНИЕ САМОЛЕТА</w:t>
      </w:r>
    </w:p>
    <w:p w14:paraId="3C56DCC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Вооружение </w:t>
      </w:r>
      <w:proofErr w:type="gramStart"/>
      <w:r w:rsidRPr="008127F8">
        <w:rPr>
          <w:rFonts w:ascii="Times New Roman" w:hAnsi="Times New Roman"/>
          <w:color w:val="000000" w:themeColor="text1"/>
          <w:sz w:val="16"/>
          <w:szCs w:val="16"/>
        </w:rPr>
        <w:t>самолета</w:t>
      </w:r>
      <w:proofErr w:type="gramEnd"/>
      <w:r w:rsidRPr="008127F8">
        <w:rPr>
          <w:rFonts w:ascii="Times New Roman" w:hAnsi="Times New Roman"/>
          <w:color w:val="000000" w:themeColor="text1"/>
          <w:sz w:val="16"/>
          <w:szCs w:val="16"/>
        </w:rPr>
        <w:t xml:space="preserve"> состоящее на: двух душек калибра 23 мм, 2-х крупнокалиберных пулеметов калибра 12,7 мм, 2-х пулеметов калибра 7,62 мм является недостаточным для данного типа самолета.</w:t>
      </w:r>
    </w:p>
    <w:p w14:paraId="6B5FBAF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увеличить вооружение за счет дополнительного размещения 2-х пулеметов БС в балках самолета и увеличить боезапас из расчета 140 снарядов напушку, 400 патрон на БС и 750 патрон на ШКАС.</w:t>
      </w:r>
    </w:p>
    <w:p w14:paraId="52939FC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Размещение вооружения должно бьть выполнено всоответствии о тактико-техническими требованиями ВВС КА.</w:t>
      </w:r>
    </w:p>
    <w:p w14:paraId="04660C7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ВЕСОВАЯ ХАРАКТКРИСТИКА</w:t>
      </w:r>
    </w:p>
    <w:p w14:paraId="59F9AD7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Полетный вес самолета занижен за счет:</w:t>
      </w:r>
    </w:p>
    <w:p w14:paraId="5A7F8A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Уменьшения количества гортючего для выполнения дальности самолет 2000 км. Количество горючего при реальном прикидочном рассчета будет на 150-200 кг больше.</w:t>
      </w:r>
    </w:p>
    <w:p w14:paraId="6A02E1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Неправильно взятого веса вооружения и боезапаса, который фактически будет больше на 80 кг с указанным в проекте, а с добывлением двух БС с боеприпасамси это увеличение будет примерно 260 кг.</w:t>
      </w:r>
    </w:p>
    <w:p w14:paraId="0B816A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Фактический полетный вес самолета будет порядка 5300 - 5400 кг.</w:t>
      </w:r>
    </w:p>
    <w:p w14:paraId="7ED9A70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7EE8C6E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Представленный конструктором материал по эскиз</w:t>
      </w:r>
      <w:r w:rsidRPr="008127F8">
        <w:rPr>
          <w:rFonts w:ascii="Times New Roman" w:hAnsi="Times New Roman"/>
          <w:color w:val="000000" w:themeColor="text1"/>
          <w:sz w:val="16"/>
          <w:szCs w:val="16"/>
        </w:rPr>
        <w:softHyphen/>
        <w:t>ному проекту по своему обЪему недостаточен для полной оценки конструкции и запроектированных данных самолета, поэтому эскизнвй проект можно рассматривать только как предварительный.</w:t>
      </w:r>
    </w:p>
    <w:p w14:paraId="43244B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Предъявленная схема самолета является несомненно реальной и </w:t>
      </w:r>
      <w:proofErr w:type="gramStart"/>
      <w:r w:rsidRPr="008127F8">
        <w:rPr>
          <w:rFonts w:ascii="Times New Roman" w:hAnsi="Times New Roman"/>
          <w:color w:val="000000" w:themeColor="text1"/>
          <w:sz w:val="16"/>
          <w:szCs w:val="16"/>
        </w:rPr>
        <w:t>целесообразной, тем более, что</w:t>
      </w:r>
      <w:proofErr w:type="gramEnd"/>
      <w:r w:rsidRPr="008127F8">
        <w:rPr>
          <w:rFonts w:ascii="Times New Roman" w:hAnsi="Times New Roman"/>
          <w:color w:val="000000" w:themeColor="text1"/>
          <w:sz w:val="16"/>
          <w:szCs w:val="16"/>
        </w:rPr>
        <w:t xml:space="preserve"> основной вопрос спаркм моторов конструктором реально уже разрешен.</w:t>
      </w:r>
    </w:p>
    <w:p w14:paraId="627C48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Самолет необходимо проектировать не под моторы М-105П, а под более мощные моторы М-107П, установка которых значительно увеличит максимальную скорость самолета на необходимость чего указывает хотя бы появление у воюющих стран истребителей со окоростями выше 650 км/час.</w:t>
      </w:r>
    </w:p>
    <w:p w14:paraId="54EA686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Необходимо дальность самолета довести до 2000 км, при 0,8 максим.</w:t>
      </w:r>
    </w:p>
    <w:p w14:paraId="3FB400C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Вооружение самолета необходимо усилить на 2 пулемета БС.</w:t>
      </w:r>
    </w:p>
    <w:p w14:paraId="778E7F1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Конструктору необходимо особое внимание обратить на разработку эффективных средств улучшения взлетно-посадочных свойств самолета, учитывая результаты госиспытаний самолета "С”.</w:t>
      </w:r>
    </w:p>
    <w:p w14:paraId="30AED3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 проекте совершенно отсутствуют данные центровок самолета и расчеты на устойчивость самолета. Кон</w:t>
      </w:r>
      <w:r w:rsidRPr="008127F8">
        <w:rPr>
          <w:rFonts w:ascii="Times New Roman" w:hAnsi="Times New Roman"/>
          <w:color w:val="000000" w:themeColor="text1"/>
          <w:sz w:val="16"/>
          <w:szCs w:val="16"/>
        </w:rPr>
        <w:softHyphen/>
        <w:t>структору необходимо учесть, что вопрос устойчивости и центровок является чрезвычайно больным местом мно</w:t>
      </w:r>
      <w:r w:rsidRPr="008127F8">
        <w:rPr>
          <w:rFonts w:ascii="Times New Roman" w:hAnsi="Times New Roman"/>
          <w:color w:val="000000" w:themeColor="text1"/>
          <w:sz w:val="16"/>
          <w:szCs w:val="16"/>
        </w:rPr>
        <w:softHyphen/>
        <w:t>гих истребителей и значительное количество самолетов не проходит госиспытаний из-за плохой устойчивости.</w:t>
      </w:r>
    </w:p>
    <w:p w14:paraId="3DFE355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 xml:space="preserve">З </w:t>
      </w:r>
      <w:r w:rsidRPr="008127F8">
        <w:rPr>
          <w:rFonts w:ascii="Times New Roman" w:hAnsi="Times New Roman"/>
          <w:color w:val="000000" w:themeColor="text1"/>
          <w:sz w:val="16"/>
          <w:szCs w:val="16"/>
        </w:rPr>
        <w:t>А К Л Ю Ч Е Н И Е.</w:t>
      </w:r>
    </w:p>
    <w:p w14:paraId="5C51BE4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Считать необходимым включить в план опытного стровтельства на 1941 г. постройку одноместного истребителя "и” с двумя спаренными моторами М-107П конструкции инж. Болховитинова</w:t>
      </w:r>
    </w:p>
    <w:p w14:paraId="46FD51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Представленный эскизный проект считать предварительным и предложить конструктору представать полный эскизный проект, разработанный в соответствии с тактико-техническими требованиями ВВС КА с учетом замечаний, данных в выводах по данному предварительному эскизному проекту. Одновременно вести подготовку макета (4049,70).</w:t>
      </w:r>
    </w:p>
    <w:p w14:paraId="7F2F85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B41CC" w14:textId="77777777" w:rsidR="00045B92" w:rsidRPr="008127F8" w:rsidRDefault="00045B92" w:rsidP="00045B92">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29 января 1942 года был разработан проект тактико-технических требований к эскизному проекту универсального самоходного шасси на базе агрегатов Т-60:</w:t>
      </w:r>
    </w:p>
    <w:p w14:paraId="56F8092C"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Универсальное шасси создается в основном из агрегатов, деталей и узлов танка Т-60 для использования его для нижеперечисленных уста</w:t>
      </w:r>
      <w:r w:rsidRPr="008127F8">
        <w:rPr>
          <w:rFonts w:ascii="Times New Roman" w:hAnsi="Times New Roman"/>
          <w:color w:val="000000" w:themeColor="text1"/>
          <w:sz w:val="16"/>
          <w:szCs w:val="16"/>
        </w:rPr>
        <w:softHyphen/>
        <w:t>новок:</w:t>
      </w:r>
    </w:p>
    <w:p w14:paraId="0484C391" w14:textId="77777777" w:rsidR="00045B92" w:rsidRPr="008127F8" w:rsidRDefault="00045B92" w:rsidP="00045B92">
      <w:pPr>
        <w:tabs>
          <w:tab w:val="left" w:pos="93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штурмовое 76-мм орудие поддержки мотомеханизированных войск на базе пушки УСВ или ЗИС-5;</w:t>
      </w:r>
    </w:p>
    <w:p w14:paraId="744F3856" w14:textId="77777777" w:rsidR="00045B92" w:rsidRPr="008127F8" w:rsidRDefault="00045B92" w:rsidP="00045B92">
      <w:pPr>
        <w:tabs>
          <w:tab w:val="left" w:pos="84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самоходная установка зенитной 37-мм пушки обр. 1939 г.;</w:t>
      </w:r>
    </w:p>
    <w:p w14:paraId="1E3130F5" w14:textId="77777777" w:rsidR="00045B92" w:rsidRPr="008127F8" w:rsidRDefault="00045B92" w:rsidP="00045B92">
      <w:pPr>
        <w:tabs>
          <w:tab w:val="left" w:pos="8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 с башенной установкой 37-мм зенитной пушки по типу группы т. Савина;</w:t>
      </w:r>
    </w:p>
    <w:p w14:paraId="602FE844" w14:textId="77777777" w:rsidR="00045B92" w:rsidRPr="008127F8" w:rsidRDefault="00045B92" w:rsidP="00045B92">
      <w:pPr>
        <w:tabs>
          <w:tab w:val="left" w:pos="82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легкий танк с бронированием до 45 мм со спаренной установкой 45-мм пушек и пулеметов в башне;</w:t>
      </w:r>
    </w:p>
    <w:p w14:paraId="28EE5A90" w14:textId="77777777" w:rsidR="00045B92" w:rsidRPr="008127F8" w:rsidRDefault="00045B92" w:rsidP="00045B92">
      <w:pPr>
        <w:tabs>
          <w:tab w:val="left" w:pos="859"/>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бронированный транспортер для пехоты, боеприпасов и пр. спе</w:t>
      </w:r>
      <w:r w:rsidRPr="008127F8">
        <w:rPr>
          <w:rFonts w:ascii="Times New Roman" w:hAnsi="Times New Roman"/>
          <w:color w:val="000000" w:themeColor="text1"/>
          <w:sz w:val="16"/>
          <w:szCs w:val="16"/>
        </w:rPr>
        <w:softHyphen/>
        <w:t>циальных целей.</w:t>
      </w:r>
    </w:p>
    <w:p w14:paraId="5B150254" w14:textId="77777777" w:rsidR="00045B92" w:rsidRPr="008127F8" w:rsidRDefault="00045B92" w:rsidP="00045B92">
      <w:pPr>
        <w:tabs>
          <w:tab w:val="left" w:pos="5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Максимальная скорость движения для проектируемого шасси уста</w:t>
      </w:r>
      <w:r w:rsidRPr="008127F8">
        <w:rPr>
          <w:rFonts w:ascii="Times New Roman" w:hAnsi="Times New Roman"/>
          <w:color w:val="000000" w:themeColor="text1"/>
          <w:sz w:val="16"/>
          <w:szCs w:val="16"/>
        </w:rPr>
        <w:softHyphen/>
        <w:t>навливается 45 км/ч по передаточным числам. Для отдельных вариантов максимальная скорость может быть понижена за счет соответствую</w:t>
      </w:r>
      <w:r w:rsidRPr="008127F8">
        <w:rPr>
          <w:rFonts w:ascii="Times New Roman" w:hAnsi="Times New Roman"/>
          <w:color w:val="000000" w:themeColor="text1"/>
          <w:sz w:val="16"/>
          <w:szCs w:val="16"/>
        </w:rPr>
        <w:softHyphen/>
        <w:t>щего изменения передаточного числа трансмиссии.</w:t>
      </w:r>
    </w:p>
    <w:p w14:paraId="50073D50" w14:textId="77777777" w:rsidR="00045B92" w:rsidRPr="008127F8" w:rsidRDefault="00045B92" w:rsidP="00045B92">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связи с тем что</w:t>
      </w:r>
      <w:proofErr w:type="gramEnd"/>
      <w:r w:rsidRPr="008127F8">
        <w:rPr>
          <w:rFonts w:ascii="Times New Roman" w:hAnsi="Times New Roman"/>
          <w:color w:val="000000" w:themeColor="text1"/>
          <w:sz w:val="16"/>
          <w:szCs w:val="16"/>
        </w:rPr>
        <w:t xml:space="preserve"> все вышеперечисленные конструкции будут тяже</w:t>
      </w:r>
      <w:r w:rsidRPr="008127F8">
        <w:rPr>
          <w:rFonts w:ascii="Times New Roman" w:hAnsi="Times New Roman"/>
          <w:color w:val="000000" w:themeColor="text1"/>
          <w:sz w:val="16"/>
          <w:szCs w:val="16"/>
        </w:rPr>
        <w:softHyphen/>
        <w:t>лее Т-60, имеющей достаточно напряженный баланс мощности в отсут</w:t>
      </w:r>
      <w:r w:rsidRPr="008127F8">
        <w:rPr>
          <w:rFonts w:ascii="Times New Roman" w:hAnsi="Times New Roman"/>
          <w:color w:val="000000" w:themeColor="text1"/>
          <w:sz w:val="16"/>
          <w:szCs w:val="16"/>
        </w:rPr>
        <w:softHyphen/>
        <w:t>ствие более мощных двигателей, в качестве обязательного варианта долж</w:t>
      </w:r>
      <w:r w:rsidRPr="008127F8">
        <w:rPr>
          <w:rFonts w:ascii="Times New Roman" w:hAnsi="Times New Roman"/>
          <w:color w:val="000000" w:themeColor="text1"/>
          <w:sz w:val="16"/>
          <w:szCs w:val="16"/>
        </w:rPr>
        <w:softHyphen/>
        <w:t>на быть проработана компоновка согласно прилагаемой схемы с передними по бортам расположенными двумя двигателями ГЛЗ-202, расположением водителя между двигателями и боевым отделением в кормовой части. Каждый из двигателей работает через коробку передач — кардан — само</w:t>
      </w:r>
      <w:r w:rsidRPr="008127F8">
        <w:rPr>
          <w:rFonts w:ascii="Times New Roman" w:hAnsi="Times New Roman"/>
          <w:color w:val="000000" w:themeColor="text1"/>
          <w:sz w:val="16"/>
          <w:szCs w:val="16"/>
        </w:rPr>
        <w:softHyphen/>
        <w:t>стоятельную главную передачу — бортовой фрикцион — бортовую переда</w:t>
      </w:r>
      <w:r w:rsidRPr="008127F8">
        <w:rPr>
          <w:rFonts w:ascii="Times New Roman" w:hAnsi="Times New Roman"/>
          <w:color w:val="000000" w:themeColor="text1"/>
          <w:sz w:val="16"/>
          <w:szCs w:val="16"/>
        </w:rPr>
        <w:softHyphen/>
        <w:t>чу на ведущую звездочку. Главные передачи блокируются валом с зубчатой или эластичной муфтой. Последняя должна быть специально разработана (как вариант) с расчетом поглощения могущих возникать при переключении передан ударов. Управление газом и переключением передач — спарен</w:t>
      </w:r>
      <w:r w:rsidRPr="008127F8">
        <w:rPr>
          <w:rFonts w:ascii="Times New Roman" w:hAnsi="Times New Roman"/>
          <w:color w:val="000000" w:themeColor="text1"/>
          <w:sz w:val="16"/>
          <w:szCs w:val="16"/>
        </w:rPr>
        <w:softHyphen/>
        <w:t>ное. Подвеска Т-60 с увеличенным до 5 пар числом несущих колес.</w:t>
      </w:r>
    </w:p>
    <w:p w14:paraId="40C7F603" w14:textId="77777777" w:rsidR="00045B92" w:rsidRPr="008127F8" w:rsidRDefault="00045B92" w:rsidP="00045B92">
      <w:pPr>
        <w:tabs>
          <w:tab w:val="left" w:pos="141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Основное бронирование должно быть выполнено равным бронированию Т-60, утвержденному на 1942 г. Кроме того, должен быть представлен расчет характеристик шасси для разных видов его использования с более тяжелым бронированием (37—40—45мм) основных вертикальных листов.</w:t>
      </w:r>
    </w:p>
    <w:p w14:paraId="5235A3A9" w14:textId="77777777" w:rsidR="00045B92" w:rsidRPr="008127F8" w:rsidRDefault="00045B92" w:rsidP="00045B92">
      <w:pPr>
        <w:tabs>
          <w:tab w:val="left" w:pos="138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самозащиты на близких дистанциях экипаж должен быть во</w:t>
      </w:r>
      <w:r w:rsidRPr="008127F8">
        <w:rPr>
          <w:rFonts w:ascii="Times New Roman" w:hAnsi="Times New Roman"/>
          <w:color w:val="000000" w:themeColor="text1"/>
          <w:sz w:val="16"/>
          <w:szCs w:val="16"/>
        </w:rPr>
        <w:softHyphen/>
        <w:t>оружен автоматом ППШ или ППД и гранатами из расчета 700 шт. па</w:t>
      </w:r>
      <w:r w:rsidRPr="008127F8">
        <w:rPr>
          <w:rFonts w:ascii="Times New Roman" w:hAnsi="Times New Roman"/>
          <w:color w:val="000000" w:themeColor="text1"/>
          <w:sz w:val="16"/>
          <w:szCs w:val="16"/>
        </w:rPr>
        <w:softHyphen/>
        <w:t>тронов на автомат и 5 гранат на человека.</w:t>
      </w:r>
    </w:p>
    <w:p w14:paraId="6ED46AAD" w14:textId="77777777" w:rsidR="00045B92" w:rsidRPr="008127F8" w:rsidRDefault="00045B92" w:rsidP="00045B92">
      <w:pPr>
        <w:tabs>
          <w:tab w:val="left" w:pos="140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Платформа должна иметь запас хода по горючему 200—250 км.</w:t>
      </w:r>
    </w:p>
    <w:p w14:paraId="660D5858"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Специальные требования </w:t>
      </w:r>
    </w:p>
    <w:p w14:paraId="29031E95"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штурмовому орудию поддержки мотомеханизированных войск</w:t>
      </w:r>
    </w:p>
    <w:p w14:paraId="77B90235" w14:textId="77777777" w:rsidR="00045B92" w:rsidRPr="008127F8" w:rsidRDefault="00045B92" w:rsidP="00045B92">
      <w:pPr>
        <w:tabs>
          <w:tab w:val="left" w:pos="140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Орудие предназначается для совместных действий с мотомехчастя- ми против танков, ДЗОТов, укрепленных точек в населенных пунктах, а также против живой силы противника (стрельба шрапнелью).</w:t>
      </w:r>
    </w:p>
    <w:p w14:paraId="0F96A16B" w14:textId="77777777" w:rsidR="00045B92" w:rsidRPr="008127F8" w:rsidRDefault="00045B92" w:rsidP="00045B92">
      <w:pPr>
        <w:tabs>
          <w:tab w:val="left" w:pos="13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Вес машины в походном положении 7,5—8 тонн, спец. прицепки 3,5— 4 тонны.</w:t>
      </w:r>
    </w:p>
    <w:p w14:paraId="20BB4A95" w14:textId="77777777" w:rsidR="00045B92" w:rsidRPr="008127F8" w:rsidRDefault="00045B92" w:rsidP="00045B92">
      <w:pPr>
        <w:tabs>
          <w:tab w:val="left" w:pos="140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Система имеет противопульную и противоосколочную защиту рас</w:t>
      </w:r>
      <w:r w:rsidRPr="008127F8">
        <w:rPr>
          <w:rFonts w:ascii="Times New Roman" w:hAnsi="Times New Roman"/>
          <w:color w:val="000000" w:themeColor="text1"/>
          <w:sz w:val="16"/>
          <w:szCs w:val="16"/>
        </w:rPr>
        <w:softHyphen/>
        <w:t>чета со лба и частично с боков. Экипаж, двигатель, топливные баки и боекомплект бронируются аналогично Т-60.</w:t>
      </w:r>
    </w:p>
    <w:p w14:paraId="4C28FF42" w14:textId="77777777" w:rsidR="00045B92" w:rsidRPr="008127F8" w:rsidRDefault="00045B92" w:rsidP="00045B92">
      <w:pPr>
        <w:tabs>
          <w:tab w:val="left" w:pos="141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Возимый боекомплект не менее 20 штук унитарных патронов. Ос</w:t>
      </w:r>
      <w:r w:rsidRPr="008127F8">
        <w:rPr>
          <w:rFonts w:ascii="Times New Roman" w:hAnsi="Times New Roman"/>
          <w:color w:val="000000" w:themeColor="text1"/>
          <w:sz w:val="16"/>
          <w:szCs w:val="16"/>
        </w:rPr>
        <w:softHyphen/>
        <w:t>новной боекомплект должен транспортироваться на прицепке к Т-60.</w:t>
      </w:r>
    </w:p>
    <w:p w14:paraId="5BD56B9B" w14:textId="77777777" w:rsidR="00045B92" w:rsidRPr="008127F8" w:rsidRDefault="00045B92" w:rsidP="00045B92">
      <w:pPr>
        <w:tabs>
          <w:tab w:val="left" w:pos="14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Система должна иметь как минимум горизонтальный обстрел +/— 7 градусов (желательно возможно больший), вертикальный обстрел от —5 до +30 градусов.</w:t>
      </w:r>
    </w:p>
    <w:p w14:paraId="258DF0FA" w14:textId="77777777" w:rsidR="00045B92" w:rsidRPr="008127F8" w:rsidRDefault="00045B92" w:rsidP="00045B92">
      <w:pPr>
        <w:tabs>
          <w:tab w:val="left" w:pos="141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Конструкция системы должна обеспечивать возможность ведения огня без специальных упоров (сошников).</w:t>
      </w:r>
    </w:p>
    <w:p w14:paraId="51626E3A" w14:textId="77777777" w:rsidR="00045B92" w:rsidRPr="008127F8" w:rsidRDefault="00045B92" w:rsidP="00045B92">
      <w:pPr>
        <w:tabs>
          <w:tab w:val="left" w:pos="137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Команда (вместе с водителем) 4—5 человек.</w:t>
      </w:r>
    </w:p>
    <w:p w14:paraId="482B84E1"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самоходной установке 37-мм зенитной пушки обр. 1939 г.</w:t>
      </w:r>
    </w:p>
    <w:p w14:paraId="48959576" w14:textId="77777777" w:rsidR="00045B92" w:rsidRPr="008127F8" w:rsidRDefault="00045B92" w:rsidP="00045B92">
      <w:pPr>
        <w:tabs>
          <w:tab w:val="left" w:pos="142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Самоходная установка предназначается для несения службы ПВО в составе мотомеханизированных частей, а также в качестве противо</w:t>
      </w:r>
      <w:r w:rsidRPr="008127F8">
        <w:rPr>
          <w:rFonts w:ascii="Times New Roman" w:hAnsi="Times New Roman"/>
          <w:color w:val="000000" w:themeColor="text1"/>
          <w:sz w:val="16"/>
          <w:szCs w:val="16"/>
        </w:rPr>
        <w:softHyphen/>
        <w:t>танкового орудия.</w:t>
      </w:r>
    </w:p>
    <w:p w14:paraId="2D93B506"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система должна устанавливаться на самоходном шасси, собранном на штатной платформе с поворотным кругом для на</w:t>
      </w:r>
      <w:r w:rsidRPr="008127F8">
        <w:rPr>
          <w:rFonts w:ascii="Times New Roman" w:hAnsi="Times New Roman"/>
          <w:color w:val="000000" w:themeColor="text1"/>
          <w:sz w:val="16"/>
          <w:szCs w:val="16"/>
        </w:rPr>
        <w:softHyphen/>
        <w:t>земной установки-</w:t>
      </w:r>
    </w:p>
    <w:p w14:paraId="169462E7"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передан ударов. Управление газом и переключением передач — спарен</w:t>
      </w:r>
      <w:r w:rsidRPr="008127F8">
        <w:rPr>
          <w:rFonts w:ascii="Times New Roman" w:hAnsi="Times New Roman"/>
          <w:color w:val="000000" w:themeColor="text1"/>
          <w:sz w:val="16"/>
          <w:szCs w:val="16"/>
        </w:rPr>
        <w:softHyphen/>
        <w:t>ное. Подвеска Т-60 с увеличенным до 5 пар числом несущих колес.</w:t>
      </w:r>
    </w:p>
    <w:p w14:paraId="55A2E27A" w14:textId="77777777" w:rsidR="00045B92" w:rsidRPr="008127F8" w:rsidRDefault="00045B92" w:rsidP="00045B92">
      <w:pPr>
        <w:tabs>
          <w:tab w:val="left" w:pos="141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Основное бронирование должно быть выполнено равным бронированию Т-60, утвержденному на 1942 г. Кроме того, должен быть представлен расчет характеристик шасси для разных видов его использования с более тяжелым бронированием (37—40—45мм) основных вертикальных листов.</w:t>
      </w:r>
    </w:p>
    <w:p w14:paraId="64D742C0" w14:textId="77777777" w:rsidR="00045B92" w:rsidRPr="008127F8" w:rsidRDefault="00045B92" w:rsidP="00045B92">
      <w:pPr>
        <w:tabs>
          <w:tab w:val="left" w:pos="5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Вес самоходной установки в походном положении — 7,0 тонн.</w:t>
      </w:r>
    </w:p>
    <w:p w14:paraId="3128B730" w14:textId="77777777" w:rsidR="00045B92" w:rsidRPr="008127F8" w:rsidRDefault="00045B92" w:rsidP="00045B92">
      <w:pPr>
        <w:tabs>
          <w:tab w:val="left" w:pos="53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Установка системы на шасси должна обеспечивать:</w:t>
      </w:r>
    </w:p>
    <w:p w14:paraId="02087473" w14:textId="77777777" w:rsidR="00045B92" w:rsidRPr="008127F8" w:rsidRDefault="00045B92" w:rsidP="00045B92">
      <w:pPr>
        <w:tabs>
          <w:tab w:val="left" w:pos="8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минимальную высоту линии огня;</w:t>
      </w:r>
    </w:p>
    <w:p w14:paraId="1968023F" w14:textId="77777777" w:rsidR="00045B92" w:rsidRPr="008127F8" w:rsidRDefault="00045B92" w:rsidP="00045B92">
      <w:pPr>
        <w:tabs>
          <w:tab w:val="left" w:pos="89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круговой обстрел по горизонтали;</w:t>
      </w:r>
    </w:p>
    <w:p w14:paraId="462AF3A5" w14:textId="77777777" w:rsidR="00045B92" w:rsidRPr="008127F8" w:rsidRDefault="00045B92" w:rsidP="00045B92">
      <w:pPr>
        <w:tabs>
          <w:tab w:val="left" w:pos="91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полное использование углов возвышения и снижения, получаемых при наземной установке пушки;</w:t>
      </w:r>
    </w:p>
    <w:p w14:paraId="78D1D9BA" w14:textId="77777777" w:rsidR="00045B92" w:rsidRPr="008127F8" w:rsidRDefault="00045B92" w:rsidP="00045B92">
      <w:pPr>
        <w:tabs>
          <w:tab w:val="left" w:pos="9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 при стрельбе из любого положения все номера расчета должны находиться на платформе.</w:t>
      </w:r>
    </w:p>
    <w:p w14:paraId="259ABE24" w14:textId="77777777" w:rsidR="00045B92" w:rsidRPr="008127F8" w:rsidRDefault="00045B92" w:rsidP="00045B92">
      <w:pPr>
        <w:tabs>
          <w:tab w:val="left" w:pos="53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Боекомплект должен быть не менее 150 патронов и иметь противо- пульное и противоосколочное прикрытие.</w:t>
      </w:r>
    </w:p>
    <w:p w14:paraId="3C7D3170" w14:textId="77777777" w:rsidR="00045B92" w:rsidRPr="008127F8" w:rsidRDefault="00045B92" w:rsidP="00045B92">
      <w:pPr>
        <w:tabs>
          <w:tab w:val="left" w:pos="62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Бронирование установки противопульное полуоткрытого типа. Круговое бронирование всех основных агрегатов и кабины водителя. Бро</w:t>
      </w:r>
      <w:r w:rsidRPr="008127F8">
        <w:rPr>
          <w:rFonts w:ascii="Times New Roman" w:hAnsi="Times New Roman"/>
          <w:color w:val="000000" w:themeColor="text1"/>
          <w:sz w:val="16"/>
          <w:szCs w:val="16"/>
        </w:rPr>
        <w:softHyphen/>
        <w:t>нировка системы и команды частичная без бронировки сверху.</w:t>
      </w:r>
    </w:p>
    <w:p w14:paraId="29DE5EAB" w14:textId="77777777" w:rsidR="00045B92" w:rsidRPr="008127F8" w:rsidRDefault="00045B92" w:rsidP="00045B92">
      <w:pPr>
        <w:tabs>
          <w:tab w:val="left" w:pos="52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Команда (вместе с водителем) — 7 человек.</w:t>
      </w:r>
    </w:p>
    <w:p w14:paraId="52E29CD0"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 танку с башенной установкой 37-мм зенитной пушки по типу груп</w:t>
      </w:r>
      <w:r w:rsidRPr="008127F8">
        <w:rPr>
          <w:rFonts w:ascii="Times New Roman" w:hAnsi="Times New Roman"/>
          <w:color w:val="000000" w:themeColor="text1"/>
          <w:sz w:val="16"/>
          <w:szCs w:val="16"/>
        </w:rPr>
        <w:softHyphen/>
        <w:t>пы Савина</w:t>
      </w:r>
    </w:p>
    <w:p w14:paraId="5AA6B778" w14:textId="77777777" w:rsidR="00045B92" w:rsidRPr="008127F8" w:rsidRDefault="00045B92" w:rsidP="00045B92">
      <w:pPr>
        <w:tabs>
          <w:tab w:val="left" w:pos="57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Самоходное шасси с башенной установкой 37-мм зенитной пушки должно являться противозенитным средством мотомеханизированных войск на базе наиболее массового танка с одновременным сохранением свойств обычного танка по наземным целям.</w:t>
      </w:r>
    </w:p>
    <w:p w14:paraId="48D9639D" w14:textId="77777777" w:rsidR="00045B92" w:rsidRPr="008127F8" w:rsidRDefault="00045B92" w:rsidP="00045B92">
      <w:pPr>
        <w:tabs>
          <w:tab w:val="left" w:pos="56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Башенная установка должна обеспечивать круговой обстрел по го</w:t>
      </w:r>
      <w:r w:rsidRPr="008127F8">
        <w:rPr>
          <w:rFonts w:ascii="Times New Roman" w:hAnsi="Times New Roman"/>
          <w:color w:val="000000" w:themeColor="text1"/>
          <w:sz w:val="16"/>
          <w:szCs w:val="16"/>
        </w:rPr>
        <w:softHyphen/>
        <w:t>ризонтали и углы возвышения от —5° до +85° и должна иметь специаль</w:t>
      </w:r>
      <w:r w:rsidRPr="008127F8">
        <w:rPr>
          <w:rFonts w:ascii="Times New Roman" w:hAnsi="Times New Roman"/>
          <w:color w:val="000000" w:themeColor="text1"/>
          <w:sz w:val="16"/>
          <w:szCs w:val="16"/>
        </w:rPr>
        <w:softHyphen/>
        <w:t>ный оптический прицел для зенитной стрельбы.</w:t>
      </w:r>
    </w:p>
    <w:p w14:paraId="56CF62E3"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Гидравлический механизм управления системой должен обладать бе</w:t>
      </w:r>
      <w:r w:rsidRPr="008127F8">
        <w:rPr>
          <w:rFonts w:ascii="Times New Roman" w:hAnsi="Times New Roman"/>
          <w:color w:val="000000" w:themeColor="text1"/>
          <w:sz w:val="16"/>
          <w:szCs w:val="16"/>
        </w:rPr>
        <w:softHyphen/>
        <w:t>зынерционным действием. Люфты в механизмах горизонтальной и верти</w:t>
      </w:r>
      <w:r w:rsidRPr="008127F8">
        <w:rPr>
          <w:rFonts w:ascii="Times New Roman" w:hAnsi="Times New Roman"/>
          <w:color w:val="000000" w:themeColor="text1"/>
          <w:sz w:val="16"/>
          <w:szCs w:val="16"/>
        </w:rPr>
        <w:softHyphen/>
        <w:t>кальной наводки не должны допускать отклонений системы более 0,002Д</w:t>
      </w:r>
    </w:p>
    <w:p w14:paraId="6D118B09" w14:textId="77777777" w:rsidR="00045B92" w:rsidRPr="008127F8" w:rsidRDefault="00045B92" w:rsidP="00045B92">
      <w:pPr>
        <w:tabs>
          <w:tab w:val="left" w:pos="55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маске пушки должен устанавливаться, при наличии конструктив</w:t>
      </w:r>
      <w:r w:rsidRPr="008127F8">
        <w:rPr>
          <w:rFonts w:ascii="Times New Roman" w:hAnsi="Times New Roman"/>
          <w:color w:val="000000" w:themeColor="text1"/>
          <w:sz w:val="16"/>
          <w:szCs w:val="16"/>
        </w:rPr>
        <w:softHyphen/>
        <w:t>ных возможностей, спаренный с пушкой пулемет ДТ.</w:t>
      </w:r>
    </w:p>
    <w:p w14:paraId="550FB9AD" w14:textId="77777777" w:rsidR="00045B92" w:rsidRPr="008127F8" w:rsidRDefault="00045B92" w:rsidP="00045B92">
      <w:pPr>
        <w:tabs>
          <w:tab w:val="left" w:pos="58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Возимый боекомплект не менее 150 патронов для 37-мм пушки и не менее 1500—2000 патронов для пулемета.</w:t>
      </w:r>
    </w:p>
    <w:p w14:paraId="575300C8" w14:textId="77777777" w:rsidR="00045B92" w:rsidRPr="008127F8" w:rsidRDefault="00045B92" w:rsidP="00045B92">
      <w:pPr>
        <w:tabs>
          <w:tab w:val="left" w:pos="5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Бронирование рассчитать на несколько вариантов соответственно изложенному выше.</w:t>
      </w:r>
    </w:p>
    <w:p w14:paraId="2651D7D1" w14:textId="77777777" w:rsidR="00045B92" w:rsidRPr="008127F8" w:rsidRDefault="00045B92" w:rsidP="00045B92">
      <w:pPr>
        <w:tabs>
          <w:tab w:val="left" w:pos="52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Вес танка 8—10 тонн.</w:t>
      </w:r>
    </w:p>
    <w:p w14:paraId="2CD13AA1" w14:textId="77777777" w:rsidR="00045B92" w:rsidRPr="008127F8" w:rsidRDefault="00045B92" w:rsidP="00045B92">
      <w:pPr>
        <w:tabs>
          <w:tab w:val="left" w:pos="54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Команда танка 3—4 человека.</w:t>
      </w:r>
    </w:p>
    <w:p w14:paraId="71C2F3D3"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По легкому танку с броней до 45мм и спаренной установкой 45-мм пуш</w:t>
      </w:r>
      <w:r w:rsidRPr="008127F8">
        <w:rPr>
          <w:rFonts w:ascii="Times New Roman" w:hAnsi="Times New Roman"/>
          <w:color w:val="000000" w:themeColor="text1"/>
          <w:sz w:val="16"/>
          <w:szCs w:val="16"/>
        </w:rPr>
        <w:softHyphen/>
        <w:t>ки и пулеметов в башне</w:t>
      </w:r>
    </w:p>
    <w:p w14:paraId="5F10CE7A" w14:textId="77777777" w:rsidR="00045B92" w:rsidRPr="008127F8" w:rsidRDefault="00045B92" w:rsidP="00045B92">
      <w:pPr>
        <w:tabs>
          <w:tab w:val="left" w:pos="5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Сравнительно легкое шасси с применением сдвоенной силовой уста</w:t>
      </w:r>
      <w:r w:rsidRPr="008127F8">
        <w:rPr>
          <w:rFonts w:ascii="Times New Roman" w:hAnsi="Times New Roman"/>
          <w:color w:val="000000" w:themeColor="text1"/>
          <w:sz w:val="16"/>
          <w:szCs w:val="16"/>
        </w:rPr>
        <w:softHyphen/>
        <w:t>новки дает возможность создания легкого танка, более мощного, чем Т-60, как по броне, так и по вооружению. В случае расположения двух двигателей в носу по бортам, в кормовой части машины образуется до</w:t>
      </w:r>
      <w:r w:rsidRPr="008127F8">
        <w:rPr>
          <w:rFonts w:ascii="Times New Roman" w:hAnsi="Times New Roman"/>
          <w:color w:val="000000" w:themeColor="text1"/>
          <w:sz w:val="16"/>
          <w:szCs w:val="16"/>
        </w:rPr>
        <w:softHyphen/>
        <w:t>статочная для размещения сравнительно мощного вооружения площадка.</w:t>
      </w:r>
    </w:p>
    <w:p w14:paraId="22CDFCA8" w14:textId="77777777" w:rsidR="00045B92" w:rsidRPr="008127F8" w:rsidRDefault="00045B92" w:rsidP="00045B92">
      <w:pPr>
        <w:tabs>
          <w:tab w:val="left" w:pos="5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одной маске, в спарке с установкой 45-мм пушки, должен быть также установлен пулемет ДТ, желательно два пулемета.</w:t>
      </w:r>
    </w:p>
    <w:p w14:paraId="536286CE" w14:textId="77777777" w:rsidR="00045B92" w:rsidRPr="008127F8" w:rsidRDefault="00045B92" w:rsidP="00045B92">
      <w:pPr>
        <w:tabs>
          <w:tab w:val="left" w:pos="56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Бронирование этого танка рассчитать в нескольких вариантах со</w:t>
      </w:r>
      <w:r w:rsidRPr="008127F8">
        <w:rPr>
          <w:rFonts w:ascii="Times New Roman" w:hAnsi="Times New Roman"/>
          <w:color w:val="000000" w:themeColor="text1"/>
          <w:sz w:val="16"/>
          <w:szCs w:val="16"/>
        </w:rPr>
        <w:softHyphen/>
        <w:t>ответственно указанному выше.</w:t>
      </w:r>
    </w:p>
    <w:p w14:paraId="05DA7B82" w14:textId="77777777" w:rsidR="00045B92" w:rsidRPr="008127F8" w:rsidRDefault="00045B92" w:rsidP="00045B92">
      <w:pPr>
        <w:tabs>
          <w:tab w:val="left" w:pos="5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Вес танка 9—10 тонн.</w:t>
      </w:r>
    </w:p>
    <w:p w14:paraId="29C0E892" w14:textId="77777777" w:rsidR="00045B92" w:rsidRPr="008127F8" w:rsidRDefault="00045B92" w:rsidP="00045B92">
      <w:pPr>
        <w:tabs>
          <w:tab w:val="left" w:pos="54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Команда 3—4 человека».</w:t>
      </w:r>
    </w:p>
    <w:p w14:paraId="68A6E14F" w14:textId="77777777" w:rsidR="00045B92" w:rsidRPr="008127F8" w:rsidRDefault="00045B92" w:rsidP="00045B92">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Таким образом, помимо ЗСУ и штурмового САУ, в проект вхо</w:t>
      </w:r>
      <w:r w:rsidRPr="008127F8">
        <w:rPr>
          <w:rFonts w:eastAsia="Calibri"/>
          <w:color w:val="000000" w:themeColor="text1"/>
          <w:sz w:val="16"/>
          <w:szCs w:val="16"/>
        </w:rPr>
        <w:softHyphen/>
        <w:t>дил зенитный танк, а также танк, способный потенциально заменить Т-60. В противостояние Т-60 с пушкой ЗИС-19 и Т-70 вклинилась третья сила, впрочем, появилась она слишком поздно, чтобы как-то повлиять на борьбу. Уже к концу февраля стало ясно, что Т-70 явно превосходит Т-60, запуск нового детища Астрова в серию был вопро</w:t>
      </w:r>
      <w:r w:rsidRPr="008127F8">
        <w:rPr>
          <w:rFonts w:eastAsia="Calibri"/>
          <w:color w:val="000000" w:themeColor="text1"/>
          <w:sz w:val="16"/>
          <w:szCs w:val="16"/>
        </w:rPr>
        <w:softHyphen/>
        <w:t>сом времени. Таким образом, к 15 апреля 1942 года, когда состоялся пленум Артиллерийского комитета ГАУ КА, посвященный самоход</w:t>
      </w:r>
      <w:r w:rsidRPr="008127F8">
        <w:rPr>
          <w:rFonts w:eastAsia="Calibri"/>
          <w:color w:val="000000" w:themeColor="text1"/>
          <w:sz w:val="16"/>
          <w:szCs w:val="16"/>
        </w:rPr>
        <w:softHyphen/>
        <w:t>ной артиллерии, универсальное шасси оказалось не удел. В качестве базы для штурмовой САУ и ЗСУ Арткомом предлагалось шасси на агрегатах Т-70 (17485).</w:t>
      </w:r>
    </w:p>
    <w:p w14:paraId="651E7D59"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5DBB9D84"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hAnsi="Times New Roman"/>
          <w:color w:val="000000" w:themeColor="text1"/>
          <w:sz w:val="16"/>
          <w:szCs w:val="16"/>
          <w:shd w:val="clear" w:color="auto" w:fill="FFFFFF"/>
        </w:rPr>
        <w:t>29 января 1942 года ГАЗ сдал первый Т-60 с утолщенным корпусом, то есть первый танк с новой башней и корпусом появился никак не раньше начала февраля. А уже в марте 1942 года завод начинает готовиться к выпуску нового танка - Т-70. Не говоря уже о том, что тот же ГАЗ производил танки из корпусов с башнями разных заводов. А вот там подобными вещами не баловались, то есть речь шла об утолщении без переделок (23032).</w:t>
      </w:r>
    </w:p>
    <w:p w14:paraId="0196B729"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FD4A15"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29 января 1942 года был разработан проект тактико-технических требований на эскизный проект универсального самоходного шасси на базе агрегатов Т-60. Подготовил его С.А. Гинзбург, к тому моменту заместитель начальника 2-го отдела НКТП СССР. Согласно требованиям, предполагалось создать универсальное шасси, которое далее служило базой для легкого танка, транспортера, ЗСУ, зенитного танка и штурмовой 76-мм САУ. Предполагалось использовать два мотора ГАЗ-202, стоявших параллельно. На некоторое время тема универсального шасси исчезла, да и легкий танк отпал по той причине, что 6 марта 1942 года на вооружение Красной Армии приняли Т-70. Тем не менее, шасси на агрегатах Т-60 никуда не исчезло (21063).</w:t>
      </w:r>
    </w:p>
    <w:p w14:paraId="490FC539"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7D0DE685"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29 января 1942 года был разработан проект тактико-технических требований на эскизный проект универсального самоходного шасси на базе агрегатов Т-60:</w:t>
      </w:r>
    </w:p>
    <w:p w14:paraId="19517780"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 xml:space="preserve">«1. Универсальное шасси создаётся, в основном, из агрегатов, деталей и узлов танка Т-60 для использования его для </w:t>
      </w:r>
      <w:proofErr w:type="gramStart"/>
      <w:r w:rsidRPr="008127F8">
        <w:rPr>
          <w:rFonts w:ascii="Times New Roman" w:eastAsia="Times New Roman" w:hAnsi="Times New Roman"/>
          <w:iCs/>
          <w:color w:val="000000" w:themeColor="text1"/>
          <w:sz w:val="16"/>
          <w:szCs w:val="16"/>
          <w:lang w:eastAsia="ru-RU"/>
        </w:rPr>
        <w:t>ниже перечисленных</w:t>
      </w:r>
      <w:proofErr w:type="gramEnd"/>
      <w:r w:rsidRPr="008127F8">
        <w:rPr>
          <w:rFonts w:ascii="Times New Roman" w:eastAsia="Times New Roman" w:hAnsi="Times New Roman"/>
          <w:iCs/>
          <w:color w:val="000000" w:themeColor="text1"/>
          <w:sz w:val="16"/>
          <w:szCs w:val="16"/>
          <w:lang w:eastAsia="ru-RU"/>
        </w:rPr>
        <w:t xml:space="preserve"> установок:</w:t>
      </w:r>
    </w:p>
    <w:p w14:paraId="656234A7"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а) Штурмовое 76 мм орудие поддержки мотомеханизированных войск на базе пушки УСВ или ЗИС-5.</w:t>
      </w:r>
    </w:p>
    <w:p w14:paraId="038ACBA1"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б) Самоходная установка зенитной 37 мм пушки обр. 1939 г.</w:t>
      </w:r>
    </w:p>
    <w:p w14:paraId="7EB2949C"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Танк с башенной установкой 37 мм зенитной пушки по типу группы т. Савина.</w:t>
      </w:r>
    </w:p>
    <w:p w14:paraId="23FC1C8F"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г) Лёгкий танк с бронированием до 45 мм со спаренной установкой 45 мм пушек и пулемётов в башне.</w:t>
      </w:r>
    </w:p>
    <w:p w14:paraId="19E06568"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д) Бронированный транспортёр для пехоты и боеприпасов и прочих специальных целей.</w:t>
      </w:r>
    </w:p>
    <w:p w14:paraId="509EF6E2"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Максимальная скорость движения для проектируемого шасси устанавливается 45 км/ч по передаточным числам. Для отдельных вариантов максимальная скорость может быть понижена за счёт соответствующего изменения передаточного числа трансмиссии.</w:t>
      </w:r>
    </w:p>
    <w:p w14:paraId="7D722D77"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В связи с тем, что все вышеперечисленные конструкции будут тяжелее Т-60, имеющего достаточно напряжённый баланс мощности в отсутствие более мощных двигателей, в качестве обязательного варианта должны быть проработана компоновка, согласно прилагаемой схемы с передними, по бортам расположенными двумя двигателями ГАЗ-202, расположением водителя между двигателями и боевым отделением в кормовой части. Каждый из двигателей работает через коробку передач, кардан — самостоятельную главную передачу — бортовой фрикцион — бортовую передачу на ведущую звёздочку. Главные передачи блокируются валом с зубчатой или эластичной муфтой. Последняя должна быть специально разработана (как вариант) с расчётом поглощения могущих возникать при переключении передач ударов. Управление газом и переключением передач — спаренное. Подвеска Т-60 с увеличенным до 5 пар числом несущих колёс.</w:t>
      </w:r>
    </w:p>
    <w:p w14:paraId="2047279E"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 Основное бронирование должно быть выполнено равным бронированию Т-60, утверждённому на 1942 г. Кроме того, должен быть представлен расчёт характеристик шасси для разных видов его использования с более тяжёлым бронированием (37–40–45 мм) основных вертикальных листов.</w:t>
      </w:r>
    </w:p>
    <w:p w14:paraId="64C795C3"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5. Для самозащиты на близких дистанциях экипаж должен быть вооружён автоматом ППШ или ППД и гранатами из расчёта 700 штук патронов на автомат и 5 гранат на человека.</w:t>
      </w:r>
    </w:p>
    <w:p w14:paraId="57C950FA" w14:textId="77777777" w:rsidR="00045B92" w:rsidRPr="008127F8" w:rsidRDefault="00045B92" w:rsidP="00045B92">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6. Платформа должна иметь запас хода по горючему 200–250 километров».</w:t>
      </w:r>
    </w:p>
    <w:p w14:paraId="61345951" w14:textId="77777777" w:rsidR="00045B92" w:rsidRPr="008127F8" w:rsidRDefault="00045B92" w:rsidP="00045B9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Как можно заметить из предложенных требований, на выходе планировалось получить не только самоходные установки, но ещё и лёгкий танк. Таким образом Гинзбург предполагал создать замену Т-60, который, к слову, за месяц до того «съел» его детище — Т-50 (17668).</w:t>
      </w:r>
    </w:p>
    <w:p w14:paraId="305351BE"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0773AD49"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года была подготовлена справка:</w:t>
      </w:r>
    </w:p>
    <w:p w14:paraId="7BCB730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“Каучук” эвакуирован из Москвы в Свердловск (9151).</w:t>
      </w:r>
    </w:p>
    <w:p w14:paraId="4708C582"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DF0B5"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E58197B"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679B3"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Style w:val="ucoz-forum-post"/>
          <w:rFonts w:ascii="Times New Roman" w:hAnsi="Times New Roman"/>
          <w:color w:val="000000" w:themeColor="text1"/>
          <w:sz w:val="16"/>
          <w:szCs w:val="16"/>
        </w:rPr>
        <w:t xml:space="preserve">29 января </w:t>
      </w:r>
      <w:r w:rsidRPr="008127F8">
        <w:rPr>
          <w:rFonts w:ascii="Times New Roman" w:hAnsi="Times New Roman"/>
          <w:color w:val="000000" w:themeColor="text1"/>
          <w:sz w:val="16"/>
          <w:szCs w:val="16"/>
        </w:rPr>
        <w:t>в 1942 году утреннее сообщение Совинформбюро:</w:t>
      </w:r>
    </w:p>
    <w:p w14:paraId="03077ECE"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29 января советские войска продолжали вести наступательные бой против немецко-фашистских войск.</w:t>
      </w:r>
    </w:p>
    <w:p w14:paraId="51984FD8"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Баренцовом море потоплен транспорт противника.</w:t>
      </w:r>
    </w:p>
    <w:p w14:paraId="5B3BF559"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дни наша часть под командованием тов. Селезнёва (Западный фронт) захватила 14 вражеских танков, 133 автомашины, 62 орудия, 115 пулемётов, 17 миномётов, 26 радиостанций, 808 винтовок и много другого снаряжения. На другом участке фронта часть под командованием тов. Супруна выбила немцев из села С. и захватила орудие, 5 станковых пулемётов, радиостанцию, 7 ящиков патронов и другие трофеи. На поле боя осталось 50 трупов немецких солдат и офицеров.</w:t>
      </w:r>
    </w:p>
    <w:p w14:paraId="26404D0C"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Бойцы нашей части, действующей </w:t>
      </w:r>
      <w:proofErr w:type="gramStart"/>
      <w:r w:rsidRPr="008127F8">
        <w:rPr>
          <w:rFonts w:ascii="Times New Roman" w:hAnsi="Times New Roman"/>
          <w:color w:val="000000" w:themeColor="text1"/>
          <w:sz w:val="16"/>
          <w:szCs w:val="16"/>
        </w:rPr>
        <w:t>на дном</w:t>
      </w:r>
      <w:proofErr w:type="gramEnd"/>
      <w:r w:rsidRPr="008127F8">
        <w:rPr>
          <w:rFonts w:ascii="Times New Roman" w:hAnsi="Times New Roman"/>
          <w:color w:val="000000" w:themeColor="text1"/>
          <w:sz w:val="16"/>
          <w:szCs w:val="16"/>
        </w:rPr>
        <w:t xml:space="preserve"> из участков Юго-Западного фронта, ворвались в укреплённый пункт противника. Гитлеровцы пытались выйти из боя, но были встречены зашедшим в тыл к немцам советским лыжным отрядом. В результате боя немецкие захватчики потеряли 370 солдат и офицеров. Наши бойцы захватили 6 орудий, 11 пулемётов, 4 миномёта, 26 автомашин. Взяты пленные.</w:t>
      </w:r>
    </w:p>
    <w:p w14:paraId="0BD8868D"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Скрытно выкатив своё орудие на огневую позицию, орудийный расчёт красноармейца Нечаева разгромил прямой наводкой вражеский блиндаж, миномётную батарею и 2 станковых пулемёта.</w:t>
      </w:r>
    </w:p>
    <w:p w14:paraId="0CAE83C0"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Левино красноармеец И. И. Гришев под сильным огнём противника подполз к вражескому танку, остановил его метко брошенной противотанковой гранатой, а позднее поджёг танк бутылкой с горючей смесью.</w:t>
      </w:r>
    </w:p>
    <w:p w14:paraId="1E011CE4"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партизаны Ростовской области под командованием тов. И. ночью захватили в плен немецкий патруль из трёх человек и обстреляли из пулемёта отряд немецких солдат. Противник в панике бежал, оставив несколько десятков трупов.</w:t>
      </w:r>
    </w:p>
    <w:p w14:paraId="2BBE1CE3"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ефрейтор 527 полка 298 Немецкой пехотной дивизии Эрбер заявил: «Недавно во всех подразделениях зачитали секретное обращение Гитлера к немецким войскам. Он призвал отстаивать завоёванную у русских территорию до последнего человека и не отступать ни при каких обстоятельствах. Всех солдат заставили написать под этим обращением нечто вроде клятвенного обещания. Солдаты, понимающие, что немецкая армия обречена и находится на краю пропасти, назвали гитлеровское обращение своим «смертным приговором».</w:t>
      </w:r>
    </w:p>
    <w:p w14:paraId="376703F0"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467 полка 267 немецкой пехотной дивизии Альберт Швемме показал: «1 я 2 батальоны нашего полка понесли тяжёлые потери. Их расформировали и соединили в один батальон. Третий батальон совершенно разбит. Из всей нашей роты осталось в строю только 25 солдат, остальные убиты, ранены или обморожены».</w:t>
      </w:r>
    </w:p>
    <w:p w14:paraId="060ECF01"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Словакии опубликовано распоряжение об обязательной сдаче «в пользу солдат Восточного фронта» всех меховых и шерстяных изделий, шуб и кожаных пальто. Словаков, не сдающих тёплых вещей, гитлеровцы подвергают аресту, денежному штрафу, а личное имущество этих людей конфискуют в пользу немецкой полиции.</w:t>
      </w:r>
    </w:p>
    <w:p w14:paraId="0128116A"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Академии наук СССР под руководством члена-корреспондента Д. М. Чижикова, изучив работу отдельных агрегатов и цехов двух крупнейших уральских заводов, разработала мероприятия, обеспечивающие получение в текущем году никеля, меди и серы в два раза больше, чем в 1941 году, при наличном оборудовании этих предприятий.» (15024).</w:t>
      </w:r>
    </w:p>
    <w:p w14:paraId="7930BDE3"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5DF19803"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Style w:val="ucoz-forum-post"/>
          <w:rFonts w:ascii="Times New Roman" w:hAnsi="Times New Roman"/>
          <w:color w:val="000000" w:themeColor="text1"/>
          <w:sz w:val="16"/>
          <w:szCs w:val="16"/>
        </w:rPr>
        <w:t xml:space="preserve">29 января </w:t>
      </w:r>
      <w:r w:rsidRPr="008127F8">
        <w:rPr>
          <w:rFonts w:ascii="Times New Roman" w:hAnsi="Times New Roman"/>
          <w:color w:val="000000" w:themeColor="text1"/>
          <w:sz w:val="16"/>
          <w:szCs w:val="16"/>
        </w:rPr>
        <w:t>в 1942 году вечернее сообщение Совинформбюро:</w:t>
      </w:r>
    </w:p>
    <w:p w14:paraId="18619BB6"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29 января наши войска продолжали вести упорные бои с противником. Немецко-фашистские войска на ряде участков переходили в контратаки, которые были отбиты с большими потерями для противника. Наши части, вновь продвинувшись вперёд, заняли несколько населенных пунктов и в числе их города: Сухиничи, Мятлево (Западный фронт), Лозовая (Юго-Западный фронт), Барвенково (Южный фронт).</w:t>
      </w:r>
    </w:p>
    <w:p w14:paraId="739F48D1"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января сбито в воздушных боях 12 и уничтожено на аэродромах 15 немецких самолётов. Всего за этот день уничтожено 27 немецких самолётов. Наши потери — 8 самолетов.</w:t>
      </w:r>
    </w:p>
    <w:p w14:paraId="40B96081"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части нашей авиации уничтожили 9 немецких танков, 335 автомашин с пехотой и грузами, около 100 повозок с боеприпасами, 10 полевых орудий с прислугой, автоцистерну с горючим, 2 тягача, рассеяли и частью истребили 5 батальонов пехоты противника.</w:t>
      </w:r>
    </w:p>
    <w:p w14:paraId="22B801F7"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 командованием тов. Биричёва (Западный фронт), овладев деревнями Александрово и Мокрое, захватили 24 вражеских броневика, 5 легковых автомашин, 3 мотоцикла и много других трофеев. На другом участке фронта наша часть под командованием тов. Орлова, преодолевая оборонительные рубежи противника, продвинулась вперёд и захватила 15 вражеских автомашин, 9 пулемётов, тягач, несколько мотоциклов и повозок.</w:t>
      </w:r>
    </w:p>
    <w:p w14:paraId="0830370D"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действующая на Юго-Западном фронте, за два дня боёв выбила гитлеровцев из 11 населённых пунктов. Только в бою за два селения немцы потеряли убитыми около 500 солдат. Захвачены большие трофеи. На другом участке фронта часть, где командиром тов. Кутлин, захватила 25 немецких автомашин, 300 винтовок, 9.000 снарядов, 50 лошадей, склад с военным имуществом, 2 паровоза и 15 вагонов с грузом.</w:t>
      </w:r>
    </w:p>
    <w:p w14:paraId="3CBCAACA"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Батарея лейтенанта Купцова за последние дни боёв уничтожила роту вражеской пехоты, разгромила 5 блиндажей и подавила 4 миномётные батареи. Батарея лейтенанта Шапова уничтожила 10 блиндажей, взвод пехоты, 2 миномётные батареи и наблюдательный пункт противника.</w:t>
      </w:r>
    </w:p>
    <w:p w14:paraId="2CF0E2A6"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подразделение лейтенанта Горянкина, очищавшее поле от вражеских мин, напал взвод немецких автоматчиков. Подпустив немцев на 30 — 40 метров, тов. Горянкин поднял бойцов в атаку. Почти весь фашистский взвод был уничтожен. Красноармеец Пашнин заколол в этом бою 5 фашистских солдат.</w:t>
      </w:r>
    </w:p>
    <w:p w14:paraId="3033B6EC"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войсками захвачены секретные документы 37 немецкого пехотного полка, среди которых найдено приложение к специальному приказу 37 немецкого пехотного полка от 21 декабря 1941 года. В первом параграфе этого приложения к приказу говорится: «Мужчин, способных носить оружие, в возрасте от 17 до 50 лет, следует собирать и отправлять в качестве военнопленных в пункты сбора военнопленных». Сгоняя всё мужское население, оставшееся в оккупированных районах, в концентрационные лагери, гитлеровские людоеды нагло попирают все законы и обычаи ведения войны. Этим приказом гитлеровцы ещё раз разоблачили себя как явные мошенники, сгоняющие местное население советских городов и сёл в концентрационные лагери и зачисляющие это население в число военнопленных.</w:t>
      </w:r>
    </w:p>
    <w:p w14:paraId="4AFD538D"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немецкий солдат, шофёр полевой жандармерии Кремзер заявил: «Солдат, которые не умеют держать язык за зубами, немедленно арестовывают. Недавно один солдат в присутствии товарищей сказал, что наши дела на фронте идут неважно. Об этом донесли, и его в тот же день изъяли и запрятали неизвестно куда».</w:t>
      </w:r>
    </w:p>
    <w:p w14:paraId="737B1D90"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обер-лейтенант 124 немецкого полка Чепп рассказал: «Вернувшись из Вены после ранения в свой полк, я был потрясён. За небольшой срок часть понесла огромные потери. В роте, которой я командовал, из 160 солдат осталось всего 20—30 человек».</w:t>
      </w:r>
    </w:p>
    <w:p w14:paraId="552A193E"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варвары при отступлении из деревни Самсоновка, Курской области, отобрали у населения всё продовольствие, мужские и женские платья, детскую одежду, кухонную посуду, сняли с колхозников валенки и полушубки. После этого все 72 дома деревни подожжены. Бандиты зверски убили 12 жителей деревни и многих ранили. Среди расстрелянных есть дети: Синяев Витя — 4 лет, Синяева Валя — 7 месяцев, Васкевич Володя—5 лет.</w:t>
      </w:r>
    </w:p>
    <w:p w14:paraId="4B174A25"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Население Германии всё громче и громче подымает голос протеста против гитлеровского режима войны и голода. На данях фашистская газета «Берлинер локальанцейгер» выступила со статьёй, цель которой — успокоить немцев. «Женщины часто возвращаются домой с пустыми корзинками, — пишет </w:t>
      </w:r>
      <w:proofErr w:type="gramStart"/>
      <w:r w:rsidRPr="008127F8">
        <w:rPr>
          <w:rFonts w:ascii="Times New Roman" w:hAnsi="Times New Roman"/>
          <w:color w:val="000000" w:themeColor="text1"/>
          <w:sz w:val="16"/>
          <w:szCs w:val="16"/>
        </w:rPr>
        <w:t>она,—</w:t>
      </w:r>
      <w:proofErr w:type="gramEnd"/>
      <w:r w:rsidRPr="008127F8">
        <w:rPr>
          <w:rFonts w:ascii="Times New Roman" w:hAnsi="Times New Roman"/>
          <w:color w:val="000000" w:themeColor="text1"/>
          <w:sz w:val="16"/>
          <w:szCs w:val="16"/>
        </w:rPr>
        <w:t>и жалуются: «Сегодня опять нет картошки». Люди волнуются из-за её отсутствия. Почему они волнуются? Ведь никто не скрывает весьма убедительных причин отсутствия картофеля в лавках». Далее гитлеровский листок сообщает о выпуске популярного кинофильма, показывающего, как нужно экономить картофель.</w:t>
      </w:r>
    </w:p>
    <w:p w14:paraId="5784597D"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таким образом, предлагают населению Германии вместо продовольствия удовлетворяться разъяснениями причин отсутствия такового и популярными кинофильмами о том, как прожить, не имея продуктов питания.» (15024).</w:t>
      </w:r>
    </w:p>
    <w:p w14:paraId="0B69E768"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78DF2FD5"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53B0148"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ACE738" w14:textId="77777777" w:rsidR="00045B92" w:rsidRPr="008127F8" w:rsidRDefault="00045B92" w:rsidP="00045B9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Гитлер приказал использовать все методы для доставки рабочей силы с Востока в Германию (4962).</w:t>
      </w:r>
    </w:p>
    <w:p w14:paraId="7B2F34CB" w14:textId="77777777" w:rsidR="00045B92" w:rsidRPr="008127F8" w:rsidRDefault="00045B92" w:rsidP="00045B9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94DB3"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w:t>
      </w:r>
    </w:p>
    <w:p w14:paraId="48F6B2E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УПРАВЛЕНИЯ НКВД СССР по ЛО Комиссару Государственной Безопасности 3-го ранга товарищу Кубаткину</w:t>
      </w:r>
    </w:p>
    <w:p w14:paraId="3B3A30D1"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Принято по «ВЧ» в 23 ч. 30м. 28/1-42 г. из 3 Упр. НКВД СССР</w:t>
      </w:r>
    </w:p>
    <w:p w14:paraId="426FA72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сообщения в ГКО прошу передать по «ВЧ» 29/1-42г. данные за время с 20/Х11-41 г. по 20/1-42 г. — сколько всего арестовано органами НКВД за контрреволюционные преступления, из них:</w:t>
      </w:r>
    </w:p>
    <w:p w14:paraId="506C6C3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Шпионов, в том </w:t>
      </w:r>
      <w:proofErr w:type="gramStart"/>
      <w:r w:rsidRPr="008127F8">
        <w:rPr>
          <w:rFonts w:ascii="Times New Roman" w:hAnsi="Times New Roman"/>
          <w:color w:val="000000" w:themeColor="text1"/>
          <w:sz w:val="16"/>
          <w:szCs w:val="16"/>
        </w:rPr>
        <w:t>числе :</w:t>
      </w:r>
      <w:proofErr w:type="gramEnd"/>
    </w:p>
    <w:p w14:paraId="6A806D25"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германских,</w:t>
      </w:r>
    </w:p>
    <w:p w14:paraId="5BE8053F"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итальянских,</w:t>
      </w:r>
    </w:p>
    <w:p w14:paraId="6F1E35CC"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румынских,</w:t>
      </w:r>
    </w:p>
    <w:p w14:paraId="7502D33C"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венгерских,</w:t>
      </w:r>
    </w:p>
    <w:p w14:paraId="086E9604"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финских,</w:t>
      </w:r>
    </w:p>
    <w:p w14:paraId="157DDC9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японских и</w:t>
      </w:r>
    </w:p>
    <w:p w14:paraId="18853F9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английских.</w:t>
      </w:r>
    </w:p>
    <w:p w14:paraId="4AE635F0"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Диверсантов.</w:t>
      </w:r>
    </w:p>
    <w:p w14:paraId="7CB01219"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Террористов.</w:t>
      </w:r>
    </w:p>
    <w:p w14:paraId="09B3481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Вредителей.</w:t>
      </w:r>
    </w:p>
    <w:p w14:paraId="3DE14956"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Антисоветчиков.</w:t>
      </w:r>
    </w:p>
    <w:p w14:paraId="06C73DD0"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репрессированных контрреволюционных формирований, из них:</w:t>
      </w:r>
    </w:p>
    <w:p w14:paraId="249B18A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Правотроцкистских.</w:t>
      </w:r>
    </w:p>
    <w:p w14:paraId="6D0E5C98"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Эсеровских, текапистских, меньшевиков.</w:t>
      </w:r>
    </w:p>
    <w:p w14:paraId="5B031274"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Повстанческих.</w:t>
      </w:r>
    </w:p>
    <w:p w14:paraId="1FE7C0E3"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Националистических.</w:t>
      </w:r>
    </w:p>
    <w:p w14:paraId="18DF88A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Церковно-сектантских.</w:t>
      </w:r>
    </w:p>
    <w:p w14:paraId="528A2D62"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Среди молодежи.</w:t>
      </w:r>
    </w:p>
    <w:p w14:paraId="19FBE3B8"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Среди интеллигенции.</w:t>
      </w:r>
    </w:p>
    <w:p w14:paraId="6F5BB886"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Среди белоказаков и бывших белых офицеров.</w:t>
      </w:r>
    </w:p>
    <w:p w14:paraId="2CC2CCB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указанием общего количества арестованных отдельно по каждому пункту с первого по восьмой.</w:t>
      </w:r>
    </w:p>
    <w:p w14:paraId="4835436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этим передайте следующее:</w:t>
      </w:r>
    </w:p>
    <w:p w14:paraId="3E67B0F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Когда ликвидирована контрреволюционная группа «ЛОУРЕСНА», «БЫСТРОВА» и других, сколько участников групп арестовано, их социальное происхождение и служебное положение.</w:t>
      </w:r>
    </w:p>
    <w:p w14:paraId="2AFCD8CF"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Когда ликвидирована контрреволюционная организация «РУССКАЯ ПАРТИЯ».</w:t>
      </w:r>
    </w:p>
    <w:p w14:paraId="41165850"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Когда ликвидирована фашистская организация профессора И., сколько человек арестовано и их социальное происхождение.</w:t>
      </w:r>
    </w:p>
    <w:p w14:paraId="1146CA1C"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Когда арестована группа подростков в Красносельском районе, завербованных немцами (А., Л., В.), укажите их возраст и кто их родители.</w:t>
      </w:r>
    </w:p>
    <w:p w14:paraId="63C44DD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Когда ликвидирована контрреволюционная группа работников пищевой промышленности (К., П., Ц.) и их социальное прошлое.</w:t>
      </w:r>
    </w:p>
    <w:p w14:paraId="7CEC123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Когда ликвидирована контрреволюционная группа К., К.-Х и др., социальное прошлое и служебное положение участников группы.</w:t>
      </w:r>
    </w:p>
    <w:p w14:paraId="0784B123"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Когда ликвидирована контрреволюционная группа финнов Х., количество участников и социальное прошлое.</w:t>
      </w:r>
    </w:p>
    <w:p w14:paraId="088C52A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Подписал — Начальник 3 Упр. НКВД СССР</w:t>
      </w:r>
    </w:p>
    <w:p w14:paraId="0A4C6ADA"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Ст.майор</w:t>
      </w:r>
      <w:proofErr w:type="gramEnd"/>
      <w:r w:rsidRPr="008127F8">
        <w:rPr>
          <w:rFonts w:ascii="Times New Roman" w:hAnsi="Times New Roman"/>
          <w:color w:val="000000" w:themeColor="text1"/>
          <w:sz w:val="16"/>
          <w:szCs w:val="16"/>
        </w:rPr>
        <w:t xml:space="preserve"> Госбезопасности — /ГОРЛИНСКИЙ/</w:t>
      </w:r>
    </w:p>
    <w:p w14:paraId="30ABE2EC"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Принял — Секретарь Нач. Управления НКВД ЛО Младший политрук — /АЛЕКСАНДРОВ/</w:t>
      </w:r>
    </w:p>
    <w:p w14:paraId="4D2D3447"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Передал — Сотрудник 3-го Упр. НКВД СССР /КОЛОСОВ/ Архив УФСБ ЛО. Ф.21/12. </w:t>
      </w:r>
      <w:proofErr w:type="gramStart"/>
      <w:r w:rsidRPr="008127F8">
        <w:rPr>
          <w:rFonts w:ascii="Times New Roman" w:hAnsi="Times New Roman"/>
          <w:color w:val="000000" w:themeColor="text1"/>
          <w:sz w:val="16"/>
          <w:szCs w:val="16"/>
        </w:rPr>
        <w:t>Оп .</w:t>
      </w:r>
      <w:proofErr w:type="gramEnd"/>
      <w:r w:rsidRPr="008127F8">
        <w:rPr>
          <w:rFonts w:ascii="Times New Roman" w:hAnsi="Times New Roman"/>
          <w:color w:val="000000" w:themeColor="text1"/>
          <w:sz w:val="16"/>
          <w:szCs w:val="16"/>
        </w:rPr>
        <w:t xml:space="preserve"> 2. П.н.11. т.1. Д.4. Л.83—84. (11814).</w:t>
      </w:r>
    </w:p>
    <w:p w14:paraId="5A3B58A4"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4650B"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6652C30"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D1B70"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гбыл подписан Договор о союзе между СССР, Англией и Ираном (7430).</w:t>
      </w:r>
    </w:p>
    <w:p w14:paraId="48F23DA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4F337" w14:textId="77777777" w:rsidR="00045B92" w:rsidRPr="008127F8" w:rsidRDefault="00045B92" w:rsidP="00045B9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Англия, СССР и Иран заключили военный союз против Германии (4962).</w:t>
      </w:r>
    </w:p>
    <w:p w14:paraId="5A633588" w14:textId="77777777" w:rsidR="00045B92" w:rsidRPr="008127F8" w:rsidRDefault="00045B92" w:rsidP="00045B9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099739"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был подписан договор между СССР, Великобританией и Ираном (512,137). СССР и Англия получили право держать на иранской территории сухопутные, морские и воздушные силы в количестве, необходимом для отпора Германии. Обязались уважать целостность и суверенитет, а также политическую независимость, а также вывести войска в течение 6 месяцев после победы над Германией (2438,46).</w:t>
      </w:r>
    </w:p>
    <w:p w14:paraId="29FB2001"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785FB"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г. СССР, Великобритания и Иран подписали договор в Теге</w:t>
      </w:r>
      <w:r w:rsidRPr="008127F8">
        <w:rPr>
          <w:rFonts w:ascii="Times New Roman" w:hAnsi="Times New Roman"/>
          <w:color w:val="000000" w:themeColor="text1"/>
          <w:sz w:val="16"/>
          <w:szCs w:val="16"/>
        </w:rPr>
        <w:softHyphen/>
        <w:t>ране о союзе между тремя странами, по которому СССР и Великобритания обя</w:t>
      </w:r>
      <w:r w:rsidRPr="008127F8">
        <w:rPr>
          <w:rFonts w:ascii="Times New Roman" w:hAnsi="Times New Roman"/>
          <w:color w:val="000000" w:themeColor="text1"/>
          <w:sz w:val="16"/>
          <w:szCs w:val="16"/>
        </w:rPr>
        <w:softHyphen/>
        <w:t>зались уважать территориальную целостность Ирана, защищать от агрессии со стороны Германии, содержать свои сухопутные, морские и военно-воздушные силы на иранской территории и вывести их в 6-месячный срок после оконча</w:t>
      </w:r>
      <w:r w:rsidRPr="008127F8">
        <w:rPr>
          <w:rFonts w:ascii="Times New Roman" w:hAnsi="Times New Roman"/>
          <w:color w:val="000000" w:themeColor="text1"/>
          <w:sz w:val="16"/>
          <w:szCs w:val="16"/>
        </w:rPr>
        <w:softHyphen/>
        <w:t>ния войны. Таким образом, союзники получили официальную возможность осуществлять через Иран поставки по ленд-лизу. Так называемое Всесоюзное объединение «Ирансовтранс» занималось перегонкой через Иран в СССР само</w:t>
      </w:r>
      <w:r w:rsidRPr="008127F8">
        <w:rPr>
          <w:rFonts w:ascii="Times New Roman" w:hAnsi="Times New Roman"/>
          <w:color w:val="000000" w:themeColor="text1"/>
          <w:sz w:val="16"/>
          <w:szCs w:val="16"/>
        </w:rPr>
        <w:softHyphen/>
        <w:t>летов, поставками американских грузовиков, бронетехники и других грузов (22686).</w:t>
      </w:r>
    </w:p>
    <w:p w14:paraId="15ABA9D4"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0A837EA2"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января 1942 года А. А. Смирно</w:t>
      </w:r>
      <w:r w:rsidRPr="008A2E5A">
        <w:rPr>
          <w:rFonts w:ascii="Times New Roman" w:hAnsi="Times New Roman"/>
          <w:color w:val="0070C0"/>
          <w:sz w:val="16"/>
          <w:szCs w:val="16"/>
        </w:rPr>
        <w:softHyphen/>
        <w:t>вым, Р. Буллардом и министром иностранных дел Ирана Али Сухейли, был утвержден тройствен</w:t>
      </w:r>
      <w:r w:rsidRPr="008A2E5A">
        <w:rPr>
          <w:rFonts w:ascii="Times New Roman" w:hAnsi="Times New Roman"/>
          <w:color w:val="0070C0"/>
          <w:sz w:val="16"/>
          <w:szCs w:val="16"/>
        </w:rPr>
        <w:softHyphen/>
        <w:t>ный договор о союзе. Он стал основным и главным документом, дававшим союзным государствам (так коротко именовались СССР, Великобрита</w:t>
      </w:r>
      <w:r w:rsidRPr="008A2E5A">
        <w:rPr>
          <w:rFonts w:ascii="Times New Roman" w:hAnsi="Times New Roman"/>
          <w:color w:val="0070C0"/>
          <w:sz w:val="16"/>
          <w:szCs w:val="16"/>
        </w:rPr>
        <w:softHyphen/>
        <w:t>ния) право дислокации своих войск на иранской территории, транзи</w:t>
      </w:r>
      <w:r w:rsidRPr="008A2E5A">
        <w:rPr>
          <w:rFonts w:ascii="Times New Roman" w:hAnsi="Times New Roman"/>
          <w:color w:val="0070C0"/>
          <w:sz w:val="16"/>
          <w:szCs w:val="16"/>
        </w:rPr>
        <w:softHyphen/>
        <w:t>та через Иран всех поступлений в Советский Союз грузов из Англии, Америки и других стран, использования всех средств коммуникаций по всему Ирану и т. д. Характерно, что статья 1 Договора о союзе начи</w:t>
      </w:r>
      <w:r w:rsidRPr="008A2E5A">
        <w:rPr>
          <w:rFonts w:ascii="Times New Roman" w:hAnsi="Times New Roman"/>
          <w:color w:val="0070C0"/>
          <w:sz w:val="16"/>
          <w:szCs w:val="16"/>
        </w:rPr>
        <w:softHyphen/>
        <w:t>нается с обязательства союзных государств «...уважать территориаль</w:t>
      </w:r>
      <w:r w:rsidRPr="008A2E5A">
        <w:rPr>
          <w:rFonts w:ascii="Times New Roman" w:hAnsi="Times New Roman"/>
          <w:color w:val="0070C0"/>
          <w:sz w:val="16"/>
          <w:szCs w:val="16"/>
        </w:rPr>
        <w:softHyphen/>
        <w:t>ную целостность, суверенитет и политическую независимость Ирана».</w:t>
      </w:r>
    </w:p>
    <w:p w14:paraId="719DB323"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Англо-советско-иранский договор гарантировал Ирану защиту про</w:t>
      </w:r>
      <w:r w:rsidRPr="008A2E5A">
        <w:rPr>
          <w:rFonts w:ascii="Times New Roman" w:hAnsi="Times New Roman"/>
          <w:color w:val="0070C0"/>
          <w:sz w:val="16"/>
          <w:szCs w:val="16"/>
        </w:rPr>
        <w:softHyphen/>
        <w:t>тив всякой агрессии со стороны Германии или любой другой державы и вывод войск союзников не позднее шести месяцев после прекра</w:t>
      </w:r>
      <w:r w:rsidRPr="008A2E5A">
        <w:rPr>
          <w:rFonts w:ascii="Times New Roman" w:hAnsi="Times New Roman"/>
          <w:color w:val="0070C0"/>
          <w:sz w:val="16"/>
          <w:szCs w:val="16"/>
        </w:rPr>
        <w:softHyphen/>
        <w:t>щения всех военных действий между союзными государствами и Германией (24342).</w:t>
      </w:r>
    </w:p>
    <w:p w14:paraId="49EE3EF3" w14:textId="77777777" w:rsidR="00045B92" w:rsidRDefault="00045B92" w:rsidP="00045B92">
      <w:pPr>
        <w:spacing w:after="0" w:line="240" w:lineRule="auto"/>
        <w:jc w:val="both"/>
        <w:rPr>
          <w:rFonts w:ascii="Times New Roman" w:hAnsi="Times New Roman"/>
          <w:color w:val="0070C0"/>
          <w:sz w:val="16"/>
          <w:szCs w:val="16"/>
        </w:rPr>
      </w:pPr>
    </w:p>
    <w:p w14:paraId="759EF3F8"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января 1942 был подписан советско-британский договор по Ирану. СССР и Великобритания обязались уважать территориальную целостность и независимость Ирана и защищать его от агрессии извне. Они пообещали вывести свои войска из страны не </w:t>
      </w:r>
      <w:proofErr w:type="gramStart"/>
      <w:r w:rsidRPr="008127F8">
        <w:rPr>
          <w:rFonts w:ascii="Times New Roman" w:hAnsi="Times New Roman"/>
          <w:color w:val="000000" w:themeColor="text1"/>
          <w:sz w:val="16"/>
          <w:szCs w:val="16"/>
        </w:rPr>
        <w:t>позже</w:t>
      </w:r>
      <w:proofErr w:type="gramEnd"/>
      <w:r w:rsidRPr="008127F8">
        <w:rPr>
          <w:rFonts w:ascii="Times New Roman" w:hAnsi="Times New Roman"/>
          <w:color w:val="000000" w:themeColor="text1"/>
          <w:sz w:val="16"/>
          <w:szCs w:val="16"/>
        </w:rPr>
        <w:t xml:space="preserve"> чем через 6 месяцев после окончания войны, а пока что свести вмешательство во внутренние дела Ирана к минимуму (3871).</w:t>
      </w:r>
    </w:p>
    <w:p w14:paraId="6E0255A5"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C9226"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Style w:val="ucoz-forum-post"/>
          <w:rFonts w:ascii="Times New Roman" w:hAnsi="Times New Roman"/>
          <w:color w:val="000000" w:themeColor="text1"/>
          <w:sz w:val="16"/>
          <w:szCs w:val="16"/>
        </w:rPr>
        <w:t xml:space="preserve">29 января </w:t>
      </w:r>
      <w:r w:rsidRPr="008127F8">
        <w:rPr>
          <w:rFonts w:ascii="Times New Roman" w:hAnsi="Times New Roman"/>
          <w:color w:val="000000" w:themeColor="text1"/>
          <w:sz w:val="16"/>
          <w:szCs w:val="16"/>
        </w:rPr>
        <w:t>в 1942 году СССР, Великобритания и Иран подписали соглашение о помощи и защите. По соглашению союзники обязывались защитить Иран от внешнего вторжения и гарантировали уход своих воинских частей из Ирана в течении 6 месяцев после окончания войны с Германией (15024).</w:t>
      </w:r>
    </w:p>
    <w:p w14:paraId="139FBBB6"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3CF8E21D"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30753B8"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0EAEA" w14:textId="77777777" w:rsidR="00045B92" w:rsidRPr="008127F8" w:rsidRDefault="00045B92" w:rsidP="00045B92">
      <w:pPr>
        <w:spacing w:after="0" w:line="240" w:lineRule="auto"/>
        <w:jc w:val="both"/>
        <w:rPr>
          <w:rFonts w:ascii="Times New Roman" w:hAnsi="Times New Roman"/>
          <w:color w:val="000000" w:themeColor="text1"/>
          <w:sz w:val="16"/>
          <w:szCs w:val="16"/>
        </w:rPr>
      </w:pPr>
      <w:r w:rsidRPr="008127F8">
        <w:rPr>
          <w:rStyle w:val="ucoz-forum-post"/>
          <w:rFonts w:ascii="Times New Roman" w:hAnsi="Times New Roman"/>
          <w:color w:val="000000" w:themeColor="text1"/>
          <w:sz w:val="16"/>
          <w:szCs w:val="16"/>
        </w:rPr>
        <w:t xml:space="preserve">29 января </w:t>
      </w:r>
      <w:r w:rsidRPr="008127F8">
        <w:rPr>
          <w:rFonts w:ascii="Times New Roman" w:hAnsi="Times New Roman"/>
          <w:color w:val="000000" w:themeColor="text1"/>
          <w:sz w:val="16"/>
          <w:szCs w:val="16"/>
        </w:rPr>
        <w:t>в 1942 году Адольф Гитлер приказывает использовать все методы для доставки рабочей силы с Востока в Германию (15024).</w:t>
      </w:r>
    </w:p>
    <w:p w14:paraId="4270FCE2" w14:textId="77777777" w:rsidR="00045B92" w:rsidRPr="008127F8" w:rsidRDefault="00045B92" w:rsidP="00045B92">
      <w:pPr>
        <w:spacing w:after="0" w:line="240" w:lineRule="auto"/>
        <w:jc w:val="both"/>
        <w:rPr>
          <w:rFonts w:ascii="Times New Roman" w:hAnsi="Times New Roman"/>
          <w:color w:val="000000" w:themeColor="text1"/>
          <w:sz w:val="16"/>
          <w:szCs w:val="16"/>
        </w:rPr>
      </w:pPr>
    </w:p>
    <w:p w14:paraId="6E57D91E" w14:textId="77777777" w:rsidR="00045B92" w:rsidRPr="008127F8" w:rsidRDefault="00045B92" w:rsidP="00045B9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командующий английскими войсками в Северной Африке генерал Очинлек в обращении к солдатам опроверг слухи о мифическом бессмертии немецкого генерала Роммеля (4962).</w:t>
      </w:r>
    </w:p>
    <w:p w14:paraId="3B315407" w14:textId="77777777" w:rsidR="00045B92" w:rsidRPr="008127F8" w:rsidRDefault="00045B92" w:rsidP="00045B9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7166C8"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1942 немецкие и итальянские части захватили Бенгази (2100).</w:t>
      </w:r>
    </w:p>
    <w:p w14:paraId="0F81097C" w14:textId="77777777" w:rsidR="00045B92" w:rsidRPr="008127F8" w:rsidRDefault="00045B92" w:rsidP="00045B9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D2E8C" w14:textId="77777777" w:rsidR="00045B92" w:rsidRPr="008A2E5A" w:rsidRDefault="00045B92" w:rsidP="00045B9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ян</w:t>
      </w:r>
      <w:r w:rsidRPr="008A2E5A">
        <w:rPr>
          <w:rFonts w:ascii="Times New Roman" w:hAnsi="Times New Roman"/>
          <w:color w:val="0070C0"/>
          <w:sz w:val="16"/>
          <w:szCs w:val="16"/>
        </w:rPr>
        <w:softHyphen/>
        <w:t>варя 1942 года после долгих и трудных переговоров в Рио-де-Жанейро был под</w:t>
      </w:r>
      <w:r w:rsidRPr="008A2E5A">
        <w:rPr>
          <w:rFonts w:ascii="Times New Roman" w:hAnsi="Times New Roman"/>
          <w:color w:val="0070C0"/>
          <w:sz w:val="16"/>
          <w:szCs w:val="16"/>
        </w:rPr>
        <w:softHyphen/>
        <w:t>писан мирный договор между Перу и Эквадором (23457).</w:t>
      </w:r>
    </w:p>
    <w:p w14:paraId="743F8DB1" w14:textId="77777777" w:rsidR="00045B92" w:rsidRPr="008A2E5A" w:rsidRDefault="00045B92" w:rsidP="00045B92">
      <w:pPr>
        <w:spacing w:after="0" w:line="240" w:lineRule="auto"/>
        <w:jc w:val="both"/>
        <w:rPr>
          <w:rFonts w:ascii="Times New Roman" w:hAnsi="Times New Roman"/>
          <w:color w:val="0070C0"/>
          <w:sz w:val="16"/>
          <w:szCs w:val="16"/>
        </w:rPr>
      </w:pPr>
    </w:p>
    <w:p w14:paraId="772A286C" w14:textId="2CDE6286"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75DB0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5BE0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вышел приказ НКАП N 87с:</w:t>
      </w:r>
    </w:p>
    <w:p w14:paraId="6FC291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переходом заводов 1 и 30 на производство самолетов Ил-2 и завода 23 на производства самолетов Як-3:</w:t>
      </w:r>
    </w:p>
    <w:p w14:paraId="1644C9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Заводы 1 и 30 передать из 1 ГУ в 10 ГУ</w:t>
      </w:r>
    </w:p>
    <w:p w14:paraId="67E917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 23 передать из 10 ГУ в 1 ГУ (1521,35).</w:t>
      </w:r>
    </w:p>
    <w:p w14:paraId="743E44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911B3" w14:textId="77777777" w:rsidR="00D91C13" w:rsidRPr="008127F8" w:rsidRDefault="00D91C13" w:rsidP="001E0A84">
      <w:pPr>
        <w:widowControl w:val="0"/>
        <w:tabs>
          <w:tab w:val="left" w:pos="6562"/>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 по приказу № 86с все сооружения и оборудование бывшего завода № 294 НКАП переданы заводу № 480 (Завод № 480 НКАП /г. Москва Ленинградское ш., 6/).</w:t>
      </w:r>
    </w:p>
    <w:p w14:paraId="6F58C2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Площадка и сооружения бывшего завода № 161 переданы в систему НКМВ в распоряжение 1-го завода САМ.</w:t>
      </w:r>
    </w:p>
    <w:p w14:paraId="3B2FD3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1436с от 13.03.1942 г. и приказом НКАП № 207с от 16.03.1942 г. ОКБ-1 при заводе № 1 гл. конструктора Микояна с опытным цехом переведено из Куйбышева в Москву на территорию завода № 480, где образован новый завод № 155 НКАП.</w:t>
      </w:r>
    </w:p>
    <w:p w14:paraId="34CE48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(11,1941-1942 г.)- А.И. Филиповых (11982) (11982).</w:t>
      </w:r>
    </w:p>
    <w:p w14:paraId="68AFCE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1B2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 отдел труда и зарплаты НКАП констатировал, что на декабрь 1941 г. в наличии на предприятиях НКАП имелось 185 630 чел., а уже в I квартале 1942 г., с учётом пуска но</w:t>
      </w:r>
      <w:r w:rsidRPr="008127F8">
        <w:rPr>
          <w:rFonts w:ascii="Times New Roman" w:hAnsi="Times New Roman"/>
          <w:color w:val="000000" w:themeColor="text1"/>
          <w:sz w:val="16"/>
          <w:szCs w:val="16"/>
        </w:rPr>
        <w:softHyphen/>
        <w:t xml:space="preserve">вых заводов, потребуется 290 020 чел.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Д. 4469. Л. 30). С учётом того, что дополнительная потребность в рабочей силе для пуска всех эвакуированных предприятий на декабрь 1941 г. оценивалась в 500 тыс. чел. (), можно констатировать, что авиапром требо</w:t>
      </w:r>
      <w:r w:rsidRPr="008127F8">
        <w:rPr>
          <w:rFonts w:ascii="Times New Roman" w:hAnsi="Times New Roman"/>
          <w:color w:val="000000" w:themeColor="text1"/>
          <w:sz w:val="16"/>
          <w:szCs w:val="16"/>
        </w:rPr>
        <w:softHyphen/>
        <w:t>вал примерно одну пятую от общей массы дополнительных рабочих. По данным Кравченко (Кравченко оценивает потребность НКАП в рабочих в 215 тыс.</w:t>
      </w:r>
      <w:r w:rsidRPr="008127F8">
        <w:rPr>
          <w:rFonts w:ascii="Times New Roman" w:hAnsi="Times New Roman"/>
          <w:iCs/>
          <w:color w:val="000000" w:themeColor="text1"/>
          <w:sz w:val="16"/>
          <w:szCs w:val="16"/>
        </w:rPr>
        <w:t xml:space="preserve"> чел., </w:t>
      </w:r>
      <w:r w:rsidRPr="008127F8">
        <w:rPr>
          <w:rFonts w:ascii="Times New Roman" w:hAnsi="Times New Roman"/>
          <w:color w:val="000000" w:themeColor="text1"/>
          <w:sz w:val="16"/>
          <w:szCs w:val="16"/>
        </w:rPr>
        <w:t>однако хронологическую привязку данной цифры он формулирует очень обтекаемо: «в первые месяцы 1942 г.», поэтому, строго говоря, хотя данные Кравченко и вышецитированные материалы и неидентичны, они, тем не ме</w:t>
      </w:r>
      <w:r w:rsidRPr="008127F8">
        <w:rPr>
          <w:rFonts w:ascii="Times New Roman" w:hAnsi="Times New Roman"/>
          <w:color w:val="000000" w:themeColor="text1"/>
          <w:sz w:val="16"/>
          <w:szCs w:val="16"/>
        </w:rPr>
        <w:softHyphen/>
        <w:t>нее, не противоречат друг другу. Для нас в данном случае важнее понять, как соотносились заявки на дополнительную рабочую силу НКАП и прочих наркоматов), именно НКАП, по сравне</w:t>
      </w:r>
      <w:r w:rsidRPr="008127F8">
        <w:rPr>
          <w:rFonts w:ascii="Times New Roman" w:hAnsi="Times New Roman"/>
          <w:color w:val="000000" w:themeColor="text1"/>
          <w:sz w:val="16"/>
          <w:szCs w:val="16"/>
        </w:rPr>
        <w:softHyphen/>
        <w:t>нию с другими наркоматами экономического блока, испыты</w:t>
      </w:r>
      <w:r w:rsidRPr="008127F8">
        <w:rPr>
          <w:rFonts w:ascii="Times New Roman" w:hAnsi="Times New Roman"/>
          <w:color w:val="000000" w:themeColor="text1"/>
          <w:sz w:val="16"/>
          <w:szCs w:val="16"/>
        </w:rPr>
        <w:softHyphen/>
        <w:t>вал наибольшую нехватку рабочей силы (</w:t>
      </w:r>
      <w:r w:rsidRPr="008127F8">
        <w:rPr>
          <w:rFonts w:ascii="Times New Roman" w:hAnsi="Times New Roman"/>
          <w:iCs/>
          <w:color w:val="000000" w:themeColor="text1"/>
          <w:sz w:val="16"/>
          <w:szCs w:val="16"/>
        </w:rPr>
        <w:t>Кравченко Г. С.</w:t>
      </w:r>
      <w:r w:rsidRPr="008127F8">
        <w:rPr>
          <w:rFonts w:ascii="Times New Roman" w:hAnsi="Times New Roman"/>
          <w:color w:val="000000" w:themeColor="text1"/>
          <w:sz w:val="16"/>
          <w:szCs w:val="16"/>
        </w:rPr>
        <w:t xml:space="preserve"> Экономика СССР в года Великой Отечественной войны (1941—1945 гг.). М., 1970. С. 109). Предполагаемую недостачу 104 390 рабочих рук (из них — 69 230 квалифи</w:t>
      </w:r>
      <w:r w:rsidRPr="008127F8">
        <w:rPr>
          <w:rFonts w:ascii="Times New Roman" w:hAnsi="Times New Roman"/>
          <w:color w:val="000000" w:themeColor="text1"/>
          <w:sz w:val="16"/>
          <w:szCs w:val="16"/>
        </w:rPr>
        <w:softHyphen/>
        <w:t>цированных рабочих) предполагалось покрыть за счёт: по</w:t>
      </w:r>
      <w:r w:rsidRPr="008127F8">
        <w:rPr>
          <w:rFonts w:ascii="Times New Roman" w:hAnsi="Times New Roman"/>
          <w:color w:val="000000" w:themeColor="text1"/>
          <w:sz w:val="16"/>
          <w:szCs w:val="16"/>
        </w:rPr>
        <w:softHyphen/>
        <w:t>ступления молодых рабочих их школ ФЗО и ремесленных училищ (40 200 чел.), кратковременной подготовки рабочих непосредственно на заводах (21 540 чел.) и... ещё 42 650 ра</w:t>
      </w:r>
      <w:r w:rsidRPr="008127F8">
        <w:rPr>
          <w:rFonts w:ascii="Times New Roman" w:hAnsi="Times New Roman"/>
          <w:color w:val="000000" w:themeColor="text1"/>
          <w:sz w:val="16"/>
          <w:szCs w:val="16"/>
        </w:rPr>
        <w:softHyphen/>
        <w:t>бочих должны были появиться из графы «другое», что, ви</w:t>
      </w:r>
      <w:r w:rsidRPr="008127F8">
        <w:rPr>
          <w:rFonts w:ascii="Times New Roman" w:hAnsi="Times New Roman"/>
          <w:color w:val="000000" w:themeColor="text1"/>
          <w:sz w:val="16"/>
          <w:szCs w:val="16"/>
        </w:rPr>
        <w:softHyphen/>
        <w:t>димо, означало «надо взять хоть где-нибудь». Госплан ре</w:t>
      </w:r>
      <w:r w:rsidRPr="008127F8">
        <w:rPr>
          <w:rFonts w:ascii="Times New Roman" w:hAnsi="Times New Roman"/>
          <w:color w:val="000000" w:themeColor="text1"/>
          <w:sz w:val="16"/>
          <w:szCs w:val="16"/>
        </w:rPr>
        <w:softHyphen/>
        <w:t>комендовал изыскивать дополнительные трудовые резервы среди «эвакуированного населения, потерявшего связи со своей прежней работой», а также неработающего женского населения. Столь же плачевна была и ситуация с жильём. В наличии было 197 260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жилой площади, пригодной для размещения рабочей силы. Особую проблему составляло размещение членов семей персонала. Скажем, членов семей рабочих авиазавода № 18, эвакуированного из Воронежа на ст. Безымянскую (18 км от Куйбышева), вывезли на 100 км к востоку от Куйбышева и расселяли методом подселения. Жи</w:t>
      </w:r>
      <w:r w:rsidRPr="008127F8">
        <w:rPr>
          <w:rFonts w:ascii="Times New Roman" w:hAnsi="Times New Roman"/>
          <w:color w:val="000000" w:themeColor="text1"/>
          <w:sz w:val="16"/>
          <w:szCs w:val="16"/>
        </w:rPr>
        <w:softHyphen/>
        <w:t>лищный вопрос был весьма напряжён для авиапредприятий и в мирные годы. Однако в эвакуации он обострился много</w:t>
      </w:r>
      <w:r w:rsidRPr="008127F8">
        <w:rPr>
          <w:rFonts w:ascii="Times New Roman" w:hAnsi="Times New Roman"/>
          <w:color w:val="000000" w:themeColor="text1"/>
          <w:sz w:val="16"/>
          <w:szCs w:val="16"/>
        </w:rPr>
        <w:softHyphen/>
        <w:t>кратно. Жилплощадь, выделенная на одного работника веду</w:t>
      </w:r>
      <w:r w:rsidRPr="008127F8">
        <w:rPr>
          <w:rFonts w:ascii="Times New Roman" w:hAnsi="Times New Roman"/>
          <w:color w:val="000000" w:themeColor="text1"/>
          <w:sz w:val="16"/>
          <w:szCs w:val="16"/>
        </w:rPr>
        <w:softHyphen/>
        <w:t>щих авиазаводов, эвакуированных в Поволжье, сократилась вдвое (</w:t>
      </w:r>
      <w:r w:rsidRPr="008127F8">
        <w:rPr>
          <w:rFonts w:ascii="Times New Roman" w:hAnsi="Times New Roman"/>
          <w:iCs/>
          <w:color w:val="000000" w:themeColor="text1"/>
          <w:sz w:val="16"/>
          <w:szCs w:val="16"/>
        </w:rPr>
        <w:t>Захарченко А.В.</w:t>
      </w:r>
      <w:r w:rsidRPr="008127F8">
        <w:rPr>
          <w:rFonts w:ascii="Times New Roman" w:hAnsi="Times New Roman"/>
          <w:color w:val="000000" w:themeColor="text1"/>
          <w:sz w:val="16"/>
          <w:szCs w:val="16"/>
        </w:rPr>
        <w:t xml:space="preserve"> Формирование авиапромышленного комплекса в По</w:t>
      </w:r>
      <w:r w:rsidRPr="008127F8">
        <w:rPr>
          <w:rFonts w:ascii="Times New Roman" w:hAnsi="Times New Roman"/>
          <w:color w:val="000000" w:themeColor="text1"/>
          <w:sz w:val="16"/>
          <w:szCs w:val="16"/>
        </w:rPr>
        <w:softHyphen/>
        <w:t>волжье накануне и в годы Великой Отечественной войны (1940—1942 гг.). Самара, 2004. С. 14). С учётом того, что положение с жилищным фондом в Сибири было традиционно хуже, очевидно, что с размеще</w:t>
      </w:r>
      <w:r w:rsidRPr="008127F8">
        <w:rPr>
          <w:rFonts w:ascii="Times New Roman" w:hAnsi="Times New Roman"/>
          <w:color w:val="000000" w:themeColor="text1"/>
          <w:sz w:val="16"/>
          <w:szCs w:val="16"/>
        </w:rPr>
        <w:softHyphen/>
        <w:t>нием эвакуированных сотрудников НКАП там дела обстояли ещё напряжённей (12011).</w:t>
      </w:r>
    </w:p>
    <w:p w14:paraId="79ABAA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9FF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30 января 1942 г. Левченко написал Сталину в одной из многих объяснительных:</w:t>
      </w:r>
    </w:p>
    <w:p w14:paraId="7F7A28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дающие эти показания и составители этого письма называют правильную мою оценку обстановки, а исходя с оценки обстановки и правильное мое решение паникерским, пораженческим и даже преступным, то я не виновен в том, что они не понимают самых элементарных познаний в военном деле. Нужно было бы им усвоить, что самое главное преступление делает командир, если он отдает войскам заведомо невыполнимый приказ, войска его выполнить не в силах, гибнут сами, а приказ так и остается невыполненным" (3573).</w:t>
      </w:r>
    </w:p>
    <w:p w14:paraId="0C71B3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0354B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7D6A8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B9D3D" w14:textId="474B7CEF"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Ночью 30 января 1942 паровозом подтянули первое орудие к башням. Когда паровоз, толкавший впереди себя платформу с телом орудия, вышел на возвышенность, где располагались башни, просматривавшиеся противником, тендер паровоза </w:t>
      </w:r>
      <w:proofErr w:type="gramStart"/>
      <w:r w:rsidRPr="008127F8">
        <w:rPr>
          <w:rFonts w:ascii="Times New Roman" w:hAnsi="Times New Roman"/>
          <w:color w:val="000000" w:themeColor="text1"/>
          <w:sz w:val="16"/>
          <w:szCs w:val="16"/>
        </w:rPr>
        <w:t>въехал</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на</w:t>
      </w:r>
      <w:proofErr w:type="gramEnd"/>
      <w:r w:rsidRPr="008127F8">
        <w:rPr>
          <w:rFonts w:ascii="Times New Roman" w:hAnsi="Times New Roman"/>
          <w:color w:val="000000" w:themeColor="text1"/>
          <w:sz w:val="16"/>
          <w:szCs w:val="16"/>
        </w:rPr>
        <w:t xml:space="preserve"> засыпанную снарядом воронку, сошёл с рельсов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стал погружаться в размокший от дождей грунт.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Личный состав батареи подтянул вручную платформу с орудием к башне и разгрузил её. В это время под обстрелом противника бригада во главе </w:t>
      </w:r>
      <w:proofErr w:type="gramStart"/>
      <w:r w:rsidRPr="008127F8">
        <w:rPr>
          <w:rFonts w:ascii="Times New Roman" w:hAnsi="Times New Roman"/>
          <w:color w:val="000000" w:themeColor="text1"/>
          <w:sz w:val="16"/>
          <w:szCs w:val="16"/>
        </w:rPr>
        <w:t>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инженером</w:t>
      </w:r>
      <w:proofErr w:type="gramEnd"/>
      <w:r w:rsidRPr="008127F8">
        <w:rPr>
          <w:rFonts w:ascii="Times New Roman" w:hAnsi="Times New Roman"/>
          <w:color w:val="000000" w:themeColor="text1"/>
          <w:sz w:val="16"/>
          <w:szCs w:val="16"/>
        </w:rPr>
        <w:t xml:space="preserve"> дивизиона И. В. Андриенко к рассвету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поставила тендер на рельсы и восстановила путь.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Утром ещё в темноте паровоз ушёл в </w:t>
      </w:r>
      <w:proofErr w:type="gramStart"/>
      <w:r w:rsidRPr="008127F8">
        <w:rPr>
          <w:rFonts w:ascii="Times New Roman" w:hAnsi="Times New Roman"/>
          <w:color w:val="000000" w:themeColor="text1"/>
          <w:sz w:val="16"/>
          <w:szCs w:val="16"/>
        </w:rPr>
        <w:t>Севастополь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w:t>
      </w:r>
      <w:proofErr w:type="gramEnd"/>
      <w:r w:rsidRPr="008127F8">
        <w:rPr>
          <w:rFonts w:ascii="Times New Roman" w:hAnsi="Times New Roman"/>
          <w:color w:val="000000" w:themeColor="text1"/>
          <w:sz w:val="16"/>
          <w:szCs w:val="16"/>
        </w:rPr>
        <w:t xml:space="preserve"> другим орудием, так и не обнаруженный противником. 11 февраля батарея была в полной боевой готовности (15132).</w:t>
      </w:r>
    </w:p>
    <w:p w14:paraId="1B6BE609"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108843BD" w14:textId="77777777" w:rsidR="001F055D" w:rsidRPr="008127F8" w:rsidRDefault="001F055D"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30 января 1942 года Сталин утвердил "малую модернизацию" КВ-1, подписав постановление ГКО №1220сс. "О повышении динамики танков КВ" и постановление ГКО №1221сс "Об улучшении проходимости танков КВ" (20404).</w:t>
      </w:r>
    </w:p>
    <w:p w14:paraId="569B69F3" w14:textId="77777777" w:rsidR="001F055D" w:rsidRPr="008127F8" w:rsidRDefault="001F055D" w:rsidP="001E0A84">
      <w:pPr>
        <w:shd w:val="clear" w:color="auto" w:fill="FFFFFF"/>
        <w:spacing w:after="0" w:line="240" w:lineRule="auto"/>
        <w:jc w:val="both"/>
        <w:rPr>
          <w:rFonts w:ascii="Times New Roman" w:hAnsi="Times New Roman"/>
          <w:color w:val="000000" w:themeColor="text1"/>
          <w:sz w:val="16"/>
          <w:szCs w:val="16"/>
        </w:rPr>
      </w:pPr>
    </w:p>
    <w:p w14:paraId="15649594" w14:textId="77777777" w:rsidR="002510D4" w:rsidRPr="008127F8" w:rsidRDefault="002510D4"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января 1942 года был подписан договор между заводом № 264 и ГАБТУ на поставку 650 танков. Согласно этому документу, стоимость полностью укомплектованного Т-60 составила 81 тысяч рублей. Кроме того, предусматривалось создание радийной версии танка, и в случае её запуска в производство цена машины составила бы 82 700 рублей. Впрочем, за все время выпуска Т-60 ни на одном заводе так и не выпустили радийных Т-60. Виной тому стало отсутствие радиостанций (17677).</w:t>
      </w:r>
    </w:p>
    <w:p w14:paraId="4ECB177C" w14:textId="77777777" w:rsidR="002510D4" w:rsidRPr="008127F8" w:rsidRDefault="002510D4" w:rsidP="001E0A84">
      <w:pPr>
        <w:pStyle w:val="12a"/>
        <w:shd w:val="clear" w:color="auto" w:fill="auto"/>
        <w:spacing w:after="0" w:line="240" w:lineRule="auto"/>
        <w:jc w:val="both"/>
        <w:rPr>
          <w:color w:val="000000" w:themeColor="text1"/>
          <w:sz w:val="16"/>
          <w:szCs w:val="16"/>
        </w:rPr>
      </w:pPr>
    </w:p>
    <w:p w14:paraId="2E658E38" w14:textId="77777777" w:rsidR="001F055D" w:rsidRPr="008127F8" w:rsidRDefault="001F055D"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30 января 1942 года заместителю начальника ГАУ КА генерал-полковнику В.И. Хохлову пришло письмо от заместителя начальника технического отдела НКТП С.А. Гинзбурга. В нем он переслал список тем по самоходной артиллерии на 1942 год. Истребителя танков на базе Т-34 в нем не значилось. Его вычеркнули по той причине, что в январе 1942 года все еще шли работы по 85-мм танковой пушке У-12. По мнению руководства НКТП, особый смысл делать еще один проект 85-мм пушки отсутствовал. С ответом, правда, в НКТП явно погорячились: У-12, в виду ряда проблем, так и не построили. Впрочем, Гинзбург явно не ошибся, вычеркнув из списка опытных работ У-20. Неизвестно, что по поводу данной машины сказал Семен Александрович, но вряд ли это было бы что-то хорошее.</w:t>
      </w:r>
    </w:p>
    <w:p w14:paraId="090DCCFE" w14:textId="77777777" w:rsidR="001F055D" w:rsidRPr="008127F8" w:rsidRDefault="001F055D"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Заказчик, то есть ГАУ КА, с ответом повременил. Видимо, в Артиллерийском Комитете ГАУ КА, которому предстояло рассматривать проект, переваривали полученный материал. Саму идею создания башенной САУ там признали верной, но условия работы заряжающих были подвергнуты резкой и вполне справедливой критике. Вооружение У-20 признали нерациональным, поскольку У-10 не была в серийном производстве. В ГАУ КА считали, что это усложнит производство системы, а также скажется на возможности ремонта в полевых условиях. На этом основании орудийную систему У-20-II признали более удачной. Конструктивно же более удачной признали У-20, поскольку условия работы были лучше. Можно, с некоторым ехидством, отметить тот факт, что в ГАУ КА такими витиеватыми выводами пытались умолчать о неудачно сформированном ТЗ. Там признали невозможность установки столь крупного орудия во вращающейся башне, окончательно прикрыв тему У-20 к 23 апреля 1942 года. Но по факту всё было понятно еще 14 апреля. Вины Петрова и его конструкторского коллектива в неудаче с У-20 точно нет. Больше того, разработав У-20 в варианте с У-10, они отчасти даже смогли компенсировать безграмотность ТЗ. Не говоря уже о том, что в Детройте над нашими артиллеристами точно бы потешались (20877).</w:t>
      </w:r>
    </w:p>
    <w:p w14:paraId="717DED29" w14:textId="77777777" w:rsidR="001F055D" w:rsidRPr="008127F8" w:rsidRDefault="001F055D" w:rsidP="001E0A84">
      <w:pPr>
        <w:pStyle w:val="article-renderblock"/>
        <w:shd w:val="clear" w:color="auto" w:fill="FFFFFF"/>
        <w:spacing w:before="0" w:beforeAutospacing="0" w:after="0" w:afterAutospacing="0"/>
        <w:jc w:val="both"/>
        <w:rPr>
          <w:color w:val="000000" w:themeColor="text1"/>
          <w:sz w:val="16"/>
          <w:szCs w:val="16"/>
        </w:rPr>
      </w:pPr>
    </w:p>
    <w:p w14:paraId="6050C1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30 января 1942 г. на Завод № 612 НКБ, Чугунолитейный завод «Гера», Машиностроительный завод «Спартак», Завод «СтройМашина» МСиДМ, Свердловский лифтостроительный завод, ОАО «Уральский лифтостроительный завод» /г. Свердловск «Спартак» (1943 г.)/ /620024  г. Екатеринбург ул. Бисертская, 132 тел. (343) 255-41-63/ прибыло 100 ед. оборудования, половина его смонтирована и введена в строй; далее это оборудование подлежало переотправке на другие заводы.</w:t>
      </w:r>
    </w:p>
    <w:p w14:paraId="151D59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04.1943 г. завод № 612 - в ведении 4ГУ, в 08.1943-09.1944 г. - в ведении 7ГУ НКБ.</w:t>
      </w:r>
    </w:p>
    <w:p w14:paraId="220018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цехи (1943 г.): основные: заливочный № 1, механической сборки № 2, окончательной сборки № 3, снаряжения; вспомогательные: ремонтное отделение, столярная, котельная.</w:t>
      </w:r>
    </w:p>
    <w:p w14:paraId="78B361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передан в ведение МСиДМ и переименован в завод «СтройМашина».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«Строймашина» имел отношение к УПП «Вектор»),</w:t>
      </w:r>
      <w:r w:rsidRPr="008127F8">
        <w:rPr>
          <w:rFonts w:ascii="Times New Roman" w:hAnsi="Times New Roman"/>
          <w:color w:val="000000" w:themeColor="text1"/>
          <w:sz w:val="16"/>
          <w:szCs w:val="16"/>
          <w:vertAlign w:val="superscript"/>
        </w:rPr>
        <w:t>130</w:t>
      </w:r>
    </w:p>
    <w:p w14:paraId="14AF80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1964 г. строились грузовые лифты грузоподъемностью 1000 кг, 2000 кг, 3200 кг, 5000 кг, а также лифты с монорельсом, специальные лифты.</w:t>
      </w:r>
    </w:p>
    <w:p w14:paraId="2BD900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Свердловский лифтостроительный завод преобразован в ОАО «Уральский лифтостроительный завод».</w:t>
      </w:r>
    </w:p>
    <w:p w14:paraId="3EF43C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3AC602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(04.1943 г.)- 436 чел.</w:t>
      </w:r>
    </w:p>
    <w:p w14:paraId="596AA7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(04.1943 г.)- Найденов. Гендиректор (2009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Шевелин.</w:t>
      </w:r>
    </w:p>
    <w:p w14:paraId="6BA785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(2009 г.)- С.В. Сверчков. Зам. директора по производству (-1985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Белаванец.</w:t>
      </w:r>
    </w:p>
    <w:p w14:paraId="14CBAA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развитию (2009 г.)- Е.В. Лукин; коммерческий (2009 г.)- Д.В. Каряев.</w:t>
      </w:r>
    </w:p>
    <w:p w14:paraId="6455F2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(04.1943 г.)- Маслиенко, (1985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Белаванец.</w:t>
      </w:r>
    </w:p>
    <w:p w14:paraId="5055A4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(2009 г.)- Е.Н. Часов.</w:t>
      </w:r>
    </w:p>
    <w:p w14:paraId="009F13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Белаванец.</w:t>
      </w:r>
    </w:p>
    <w:p w14:paraId="71C0B6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w:t>
      </w:r>
      <w:proofErr w:type="gramStart"/>
      <w:r w:rsidRPr="008127F8">
        <w:rPr>
          <w:rFonts w:ascii="Times New Roman" w:hAnsi="Times New Roman"/>
          <w:color w:val="000000" w:themeColor="text1"/>
          <w:sz w:val="16"/>
          <w:szCs w:val="16"/>
        </w:rPr>
        <w:t>цехов:  Г.И.</w:t>
      </w:r>
      <w:proofErr w:type="gramEnd"/>
      <w:r w:rsidRPr="008127F8">
        <w:rPr>
          <w:rFonts w:ascii="Times New Roman" w:hAnsi="Times New Roman"/>
          <w:color w:val="000000" w:themeColor="text1"/>
          <w:sz w:val="16"/>
          <w:szCs w:val="16"/>
        </w:rPr>
        <w:t xml:space="preserve"> Белаванец.</w:t>
      </w:r>
    </w:p>
    <w:p w14:paraId="09334E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начальника отдела: производственного</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Белаванец.</w:t>
      </w:r>
    </w:p>
    <w:p w14:paraId="1057FF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авиабомбы: ЗАБ-50, ЗАБ-2,5, САБ-55; граната Ф-1; мины 82-мм;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М-30, М-31; ДШ-100 (1943);</w:t>
      </w:r>
      <w:r w:rsidRPr="008127F8">
        <w:rPr>
          <w:rFonts w:ascii="Times New Roman" w:hAnsi="Times New Roman"/>
          <w:color w:val="000000" w:themeColor="text1"/>
          <w:sz w:val="16"/>
          <w:szCs w:val="16"/>
          <w:vertAlign w:val="superscript"/>
        </w:rPr>
        <w:t>132</w:t>
      </w:r>
      <w:r w:rsidRPr="008127F8">
        <w:rPr>
          <w:rFonts w:ascii="Times New Roman" w:hAnsi="Times New Roman"/>
          <w:color w:val="000000" w:themeColor="text1"/>
          <w:sz w:val="16"/>
          <w:szCs w:val="16"/>
        </w:rPr>
        <w:t xml:space="preserve"> лифты: грузовые: ПГ-285М, -293М, -294М, -299М, малые ПГ-239, -265, с монорельсом ПГ-2292, -300М; пассажирские </w:t>
      </w:r>
      <w:r w:rsidRPr="008127F8">
        <w:rPr>
          <w:rFonts w:ascii="Times New Roman" w:hAnsi="Times New Roman"/>
          <w:color w:val="000000" w:themeColor="text1"/>
          <w:sz w:val="16"/>
          <w:szCs w:val="16"/>
          <w:lang w:val="en-US"/>
        </w:rPr>
        <w:t>IUI</w:t>
      </w:r>
      <w:r w:rsidRPr="008127F8">
        <w:rPr>
          <w:rFonts w:ascii="Times New Roman" w:hAnsi="Times New Roman"/>
          <w:color w:val="000000" w:themeColor="text1"/>
          <w:sz w:val="16"/>
          <w:szCs w:val="16"/>
        </w:rPr>
        <w:t>-0411, -0621 (2009); лебедки для лифтов: ЛГ-160, К-400 (2009) (11982).</w:t>
      </w:r>
    </w:p>
    <w:p w14:paraId="1AEF2B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A2B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вышло Постановление ГКО № 1222 О восстановлении производства оптических приборов на площадях эвакуированных из Москвы заводов № 69 и 217. РГАНИР, Фонд ГКО, д. 20, лл. 126-128 (11012).</w:t>
      </w:r>
    </w:p>
    <w:p w14:paraId="72349F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E18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 на месте эвакуированного завода в Красногорске в соответствии с пост. ГКО № 1222 был создан завод № 393 НКВ.</w:t>
      </w:r>
    </w:p>
    <w:p w14:paraId="687E18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 состав завода № 69 был влит завод № 350, часть оборудования при этом была передана заводу № 349 НКВ в Ленинград.</w:t>
      </w:r>
    </w:p>
    <w:p w14:paraId="487D9A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в ведении Управления точного машиностроения Западно-Сибирского совнархоза. Имел наименование- «п/я 105».</w:t>
      </w:r>
    </w:p>
    <w:p w14:paraId="15A47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при заводе было организовано ЦКБ точного приборостроения (ЦКБ «Точприбор»), а затем и Сибирский НИИ оптических систем (СНИИОС).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три родственных предприятия представляли собой уникальный комплекс, способный решать любые задачи по научным исследованиям, разработке и серийному производству современных оптико-электронных приборов.</w:t>
      </w:r>
    </w:p>
    <w:p w14:paraId="6153C2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 г. по инициативе Л. Л. Сикорука начато производство телескопов.</w:t>
      </w:r>
    </w:p>
    <w:p w14:paraId="65602A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лазерно-оптическое оборудование; оптические наблюдательные приборы, приборы ночного видения, прицелы, телескопы.</w:t>
      </w:r>
    </w:p>
    <w:p w14:paraId="355157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В 2007 г. планировалось вхождение предприятия в холдинг «Электронные системы» ОПК «Оборонпром».</w:t>
      </w:r>
    </w:p>
    <w:p w14:paraId="0C9BAB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(1935 г.)- 2095 чел., (1.02.1937 г.)- 5964 чел.</w:t>
      </w:r>
    </w:p>
    <w:p w14:paraId="4B03E3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(-01.1935-11.03.1937 г.)- И.Т. Титов, (11.03.1937 г.-)</w:t>
      </w:r>
      <w:proofErr w:type="gramStart"/>
      <w:r w:rsidRPr="008127F8">
        <w:rPr>
          <w:rFonts w:ascii="Times New Roman" w:hAnsi="Times New Roman"/>
          <w:color w:val="000000" w:themeColor="text1"/>
          <w:sz w:val="16"/>
          <w:szCs w:val="16"/>
        </w:rPr>
        <w:t>-  Г.Р.</w:t>
      </w:r>
      <w:proofErr w:type="gramEnd"/>
      <w:r w:rsidRPr="008127F8">
        <w:rPr>
          <w:rFonts w:ascii="Times New Roman" w:hAnsi="Times New Roman"/>
          <w:color w:val="000000" w:themeColor="text1"/>
          <w:sz w:val="16"/>
          <w:szCs w:val="16"/>
        </w:rPr>
        <w:t xml:space="preserve"> Кантор. Гендиректор (2002 г.)- Б.С. Глущак,</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(2007 г.)- Ю.В. Метельский.</w:t>
      </w:r>
    </w:p>
    <w:p w14:paraId="6F3897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Помощник директора по найму и увольнению (06.1937 г.)- Т.Д. Маляренко. Зам. гендиректора: по производству (2007 г.)- В.А. Еременко; по финансам (2007 г.)- А.В. Кульков; по безопасности (2007 г.)- Б.Н. Лебедев; по социальным вопросам (2007 г.)- В.М. Кравцов.</w:t>
      </w:r>
    </w:p>
    <w:p w14:paraId="692841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технический (-16.04.1937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Ольшанский; коммерческий- Ю.И. Короткин.</w:t>
      </w:r>
    </w:p>
    <w:p w14:paraId="4863AC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(05.1936 г.)- Ольшанский, (03.1938 г.)- И.Е. Марон, (2007 г.)- В.Я. Рязанцев.</w:t>
      </w:r>
    </w:p>
    <w:p w14:paraId="32CB34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инженера (2007 г.)- А.А. Дейснер.</w:t>
      </w:r>
    </w:p>
    <w:p w14:paraId="38A80A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управлений: по снабжению (2007 г.)- В.П. Саланда; макетинга и сбыта (2007 г.)- В.В. Долингер; ВЭС (2007 г.)- К.М. Шварц.</w:t>
      </w:r>
    </w:p>
    <w:p w14:paraId="21A996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механического (12.1934 г.)- Гольвек; (12.1935 г.)- Гицель, (-11.1937 г.)- В.В. Гусев, (- 11.1937 г.)- П.П. Зенченко.</w:t>
      </w:r>
    </w:p>
    <w:p w14:paraId="020CAB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ППО (03.1935 г.)- Шелашев; кадров (01.1935 г.)- Молотов.</w:t>
      </w:r>
    </w:p>
    <w:p w14:paraId="3B1159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Заведующие секторами: планово-экономическим (12.1934 г.)- Разумовский.</w:t>
      </w:r>
    </w:p>
    <w:p w14:paraId="23A3CC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Заведующие бюро: ТНБ (12.1934 г.)- Немчуков.</w:t>
      </w:r>
    </w:p>
    <w:p w14:paraId="5DD93C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прицелы оптические: для стрелкового оружия: «ЗТ-а» («ПБ», 1935), «ПЕ» (1933-37)- 32.907, дневные и ночные (2003); танковые: ПТ-1 (1936), телескопические и стереоскопические (ВОВ-2003-), для минометов, пушек (ВОВ-2003-); артиллерийские панорамы (ВОВ); призмы ДЦ, ДЯ (1938); приборы ДП (-1935- 38-), БСТ (-1935-38-), Б-2, Б-6, ПГ, ПЗ, БСТ, ТО, ПТ-1, ПП-1, ТОП (1938); стеклянные ампулы (1937) (11982).</w:t>
      </w:r>
    </w:p>
    <w:p w14:paraId="71E4E3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70E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 в соответствии с пост. ГКО № 1222 на месте завода № 217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в Москве образован завод № 589 для производства оптических приборов (11982).</w:t>
      </w:r>
    </w:p>
    <w:p w14:paraId="2AC11D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2B0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 в соответствии с пост. ГКО № 1222 на месте эвакуированного завода № 217 НКВ в Москве был создан Завод № 589 и КБ для производства оптических приборов.</w:t>
      </w:r>
    </w:p>
    <w:p w14:paraId="0F89C0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03.1942 г. заводу выдано задание на создание временного механизма штурмовика для повышения точности бомбометания Ил-2. Пост. ГКО № 3137 от 6.04.1944 г. ВМШ-2 запущен в серию.</w:t>
      </w:r>
      <w:r w:rsidRPr="008127F8">
        <w:rPr>
          <w:rFonts w:ascii="Times New Roman" w:hAnsi="Times New Roman"/>
          <w:color w:val="000000" w:themeColor="text1"/>
          <w:sz w:val="16"/>
          <w:szCs w:val="16"/>
          <w:vertAlign w:val="superscript"/>
        </w:rPr>
        <w:t>96</w:t>
      </w:r>
    </w:p>
    <w:p w14:paraId="329A3467" w14:textId="77777777" w:rsidR="005C0E90"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1947 г. при заводе № 589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по приказу № 417с от 28.12.46 г. из КБ завода образовалось ЦКБ-589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60D920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КБ завода № 589 НКВ, ЦКБ-589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МОП, МАП, ЦКБ, ОКБ, НПО «Геофизика» МОП, ГП «НПО «Геофизика» /</w:t>
      </w:r>
      <w:proofErr w:type="gramStart"/>
      <w:r w:rsidRPr="008127F8">
        <w:rPr>
          <w:rFonts w:ascii="Times New Roman" w:hAnsi="Times New Roman"/>
          <w:color w:val="000000" w:themeColor="text1"/>
          <w:sz w:val="16"/>
          <w:szCs w:val="16"/>
        </w:rPr>
        <w:t>107014  г.</w:t>
      </w:r>
      <w:proofErr w:type="gramEnd"/>
      <w:r w:rsidRPr="008127F8">
        <w:rPr>
          <w:rFonts w:ascii="Times New Roman" w:hAnsi="Times New Roman"/>
          <w:color w:val="000000" w:themeColor="text1"/>
          <w:sz w:val="16"/>
          <w:szCs w:val="16"/>
        </w:rPr>
        <w:t xml:space="preserve"> Москва ул. Стромынка, 18 тел. 268-37-05, 268-25-32/</w:t>
      </w:r>
    </w:p>
    <w:p w14:paraId="04B8C5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1947 г. при заводе № 589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по приказу № 417с от 28.12.46 г. из КБ завода образовалось ЦКБ-589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В 1956 г.- в ведении МОП.</w:t>
      </w:r>
    </w:p>
    <w:p w14:paraId="3F6B40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2514-1208сс от 29.12.1954 г. прицел АСП-5Н пнв.</w:t>
      </w:r>
    </w:p>
    <w:p w14:paraId="109A7A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1957 г.- разработка оптико-электронных приборов и систем ориентации для всех отечественных КА, бортовых визуальных приборов космонавтов, аппаратуры для исследования Земли. С 1970 г.- разработка теплопеленгационной аппаратуры для системы УС-К; созданы также оптические приборы ориентации КА. В начале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принимало участие в разработке ракеты 15А11 системы «Периметр».</w:t>
      </w:r>
    </w:p>
    <w:p w14:paraId="116644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 г. разделилось на 2 ОКБ с опытным заводом (в 1969 г. были: СКБ-1 и СКБ-2). С конца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ЦКБ- 589 получило название ЦКБ «Геофизика».</w:t>
      </w:r>
    </w:p>
    <w:p w14:paraId="1B681C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 г. в состав НПО вошел завод «Квант».</w:t>
      </w:r>
    </w:p>
    <w:p w14:paraId="041238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НПО «Геофизика»- в ведении МОП. 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НПО имело в Москве 4 производственных площадки общей площадью 212.000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(в т.ч. стендовый корпус для испытаний БР площадью 9.000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продан; лабораторно-конструкторский корпус площадью 43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4A2066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1998 г. НПО обанкрочено, затем банкротство прекращено по мировому соглашению. В 2003 г. вновь возбуждена процедура банкротства. Имело дочерние предприятия (2006 г.)- НПП «Геофизика-Космос» и НТПК «Геофизика-Арт».</w:t>
      </w:r>
    </w:p>
    <w:p w14:paraId="57FA9F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ТГСН Ю-700 для новой ракеты Х-25МТП (1995 г.).</w:t>
      </w:r>
    </w:p>
    <w:p w14:paraId="44D56F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Единственный отечественный производитель оптико-электронных приборов для навигационных систем всех КА (2000-е).</w:t>
      </w:r>
    </w:p>
    <w:p w14:paraId="4B295A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более 10.000 чел.</w:t>
      </w:r>
    </w:p>
    <w:p w14:paraId="0C8EF0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(1990-е)- А.А. Фомин, (2000 г.)- В.В. Бобылев.</w:t>
      </w:r>
    </w:p>
    <w:p w14:paraId="629A20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С.Я. Буяновер, В.А. Хрусталев, (-1960-70 г.-)- Д.М. Хорол, (1980-е)</w:t>
      </w:r>
      <w:proofErr w:type="gramStart"/>
      <w:r w:rsidRPr="008127F8">
        <w:rPr>
          <w:rFonts w:ascii="Times New Roman" w:hAnsi="Times New Roman"/>
          <w:color w:val="000000" w:themeColor="text1"/>
          <w:sz w:val="16"/>
          <w:szCs w:val="16"/>
        </w:rPr>
        <w:t>-  Г.Ф.</w:t>
      </w:r>
      <w:proofErr w:type="gramEnd"/>
      <w:r w:rsidRPr="008127F8">
        <w:rPr>
          <w:rFonts w:ascii="Times New Roman" w:hAnsi="Times New Roman"/>
          <w:color w:val="000000" w:themeColor="text1"/>
          <w:sz w:val="16"/>
          <w:szCs w:val="16"/>
        </w:rPr>
        <w:t xml:space="preserve"> Игнатьев.</w:t>
      </w:r>
    </w:p>
    <w:p w14:paraId="4DDF47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(1960-е)- В.А. Хрусталев (ИК и радиометрическая аппаратура, ОПБ-16, оптические системы ориентации для КА), (1970-е)- В.И. Курушин (приборы ориентации для УС-К), (1970-е)-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Кузьмин, (1990-е)- А.А. Казамаров (ГСН).</w:t>
      </w:r>
    </w:p>
    <w:p w14:paraId="09CA56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Внешний управляющий (1998 г.-)- В. Бобылев, (04.2004-05 г.-)- М. Фонарев.</w:t>
      </w:r>
    </w:p>
    <w:p w14:paraId="3267523D" w14:textId="77777777" w:rsidR="005C0E90"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прицелы: авиационные: ОПБ-Мр (середина 1950-х), автоматический АСП-5Н (пнв 29.12.1954 г.), </w:t>
      </w:r>
      <w:r w:rsidRPr="008127F8">
        <w:rPr>
          <w:rFonts w:ascii="Times New Roman" w:hAnsi="Times New Roman"/>
          <w:color w:val="000000" w:themeColor="text1"/>
          <w:sz w:val="16"/>
          <w:szCs w:val="16"/>
          <w:lang w:val="en-US"/>
        </w:rPr>
        <w:t>ACII</w:t>
      </w:r>
      <w:r w:rsidRPr="008127F8">
        <w:rPr>
          <w:rFonts w:ascii="Times New Roman" w:hAnsi="Times New Roman"/>
          <w:color w:val="000000" w:themeColor="text1"/>
          <w:sz w:val="16"/>
          <w:szCs w:val="16"/>
        </w:rPr>
        <w:t>-5</w:t>
      </w:r>
      <w:r w:rsidRPr="008127F8">
        <w:rPr>
          <w:rFonts w:ascii="Times New Roman" w:hAnsi="Times New Roman"/>
          <w:color w:val="000000" w:themeColor="text1"/>
          <w:sz w:val="16"/>
          <w:szCs w:val="16"/>
          <w:lang w:val="en-US"/>
        </w:rPr>
        <w:t>HM</w:t>
      </w:r>
      <w:r w:rsidRPr="008127F8">
        <w:rPr>
          <w:rFonts w:ascii="Times New Roman" w:hAnsi="Times New Roman"/>
          <w:color w:val="000000" w:themeColor="text1"/>
          <w:sz w:val="16"/>
          <w:szCs w:val="16"/>
        </w:rPr>
        <w:t xml:space="preserve"> (1956 г.); бомбардировочные: ОПБ-4С для Ту-4 (на базе американского «Нордик»), ОПБ-5СН, ОПБ-16 для Як-28; оптическая ГСН для ЗРК «Стрела-1» (1968), «Стрела-ЮСВ»; ИК ГСН: Т-80НМ для К-80 и Т-80НМД для К-80М, ГСН Т-40А и Т-40А1 (СКБ-2) для К-40Т, ТГС-13К для К-13, ГСН С-1, С-1-200, С1Д58 (1960) для К-8, ТГСН для Р-27Т, </w:t>
      </w:r>
      <w:r w:rsidRPr="008127F8">
        <w:rPr>
          <w:rFonts w:ascii="Times New Roman" w:hAnsi="Times New Roman"/>
          <w:color w:val="000000" w:themeColor="text1"/>
          <w:sz w:val="16"/>
          <w:szCs w:val="16"/>
          <w:lang w:val="en-US"/>
        </w:rPr>
        <w:t>QJIC</w:t>
      </w:r>
      <w:r w:rsidRPr="008127F8">
        <w:rPr>
          <w:rFonts w:ascii="Times New Roman" w:hAnsi="Times New Roman"/>
          <w:color w:val="000000" w:themeColor="text1"/>
          <w:sz w:val="16"/>
          <w:szCs w:val="16"/>
        </w:rPr>
        <w:t>-27 («36Ш») для Су-27, МиГ-29, ОЛС-31Е - для МиГ-31, лазерная ГСН для Х-29Л, Х-25Л, оптическая трехспектральная ГСН для ПЗРК «Стрела-2», «Игла»; ИК и радиометрическая аппаратура для КА «Метеор», оптические датчики ориентации для КК 7К-Л1 (1960-е).</w:t>
      </w:r>
    </w:p>
    <w:p w14:paraId="40CAC1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«ГеоКос», ФГУП, ОАО «НПП «Геофизика-Космос» /</w:t>
      </w:r>
      <w:proofErr w:type="gramStart"/>
      <w:r w:rsidRPr="008127F8">
        <w:rPr>
          <w:rFonts w:ascii="Times New Roman" w:hAnsi="Times New Roman"/>
          <w:color w:val="000000" w:themeColor="text1"/>
          <w:sz w:val="16"/>
          <w:szCs w:val="16"/>
        </w:rPr>
        <w:t>107497  г.</w:t>
      </w:r>
      <w:proofErr w:type="gramEnd"/>
      <w:r w:rsidRPr="008127F8">
        <w:rPr>
          <w:rFonts w:ascii="Times New Roman" w:hAnsi="Times New Roman"/>
          <w:color w:val="000000" w:themeColor="text1"/>
          <w:sz w:val="16"/>
          <w:szCs w:val="16"/>
        </w:rPr>
        <w:t xml:space="preserve"> Москва ул. Иркутская, 11/17 тел. 462-03-43/</w:t>
      </w:r>
    </w:p>
    <w:p w14:paraId="3D5C25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«ГеоКос» было 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Разработка космических приборов. В 1997 г. на его базе создано НПП «Геофизика-Космос». В 2001 г. производственный комплекс НПО «Геофизика» передан дочернему предприятию- НПП «Геофизика-Космос». С 2002 г.- ФГУП. По Указу Президента РФ № 1009 от 4.08.2004 г. вошло в число стратегических оборонных предприятий. В 2007 г. преобразовано в ОАО. С 3.03.2008 г. вошло в состав образованного ОАО «Информационные спутниковые системы».</w:t>
      </w:r>
    </w:p>
    <w:p w14:paraId="131F1D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Участвовало в программах: «Космос», «Восток», «Союз», «Салют», «Мир», «Буран», «Венера», «Марс», «Метеор», «Экспресс», «Союз-Аполлон», «Фобос», «Бион», «Астрон», «Гранат», МКС, «Экспресс-1000».</w:t>
      </w:r>
    </w:p>
    <w:p w14:paraId="2BAA00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оптико-электронных приборов определения положения Солнца, звезд и планет, ручных визуальных приборов; приборов для исследования атмосферы Земли (радиометры, фотометры, спектрофотометры, лазерные приборы); имитаторы Солнца, Земли и звезд; высокоточные датчики угла поворота. Принимает участие в производстве МБР «Синева» и «Булава» (2006 г.).</w:t>
      </w:r>
    </w:p>
    <w:p w14:paraId="33EB59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7 НИО; производственные подразделения (механообрабатывающее, оптическое, сборочное); технологическое подразделение; испытательное подразделение. Испытательное подразделение имеет: высокоточные оптико-механические стенды с имитаторами источников излучения Солнца, звезд и планет; испытательный центр для проведения вакуумных, вибрационных, ударных, акустических и климатических испытаний.</w:t>
      </w:r>
    </w:p>
    <w:p w14:paraId="66D0CE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(2000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Кузьмин, (-2002-05 г.-&gt; А.Н. Егупов.</w:t>
      </w:r>
      <w:r w:rsidRPr="008127F8">
        <w:rPr>
          <w:rFonts w:ascii="Times New Roman" w:hAnsi="Times New Roman"/>
          <w:color w:val="000000" w:themeColor="text1"/>
          <w:sz w:val="16"/>
          <w:szCs w:val="16"/>
          <w:vertAlign w:val="superscript"/>
        </w:rPr>
        <w:t>101</w:t>
      </w:r>
    </w:p>
    <w:p w14:paraId="7396C1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М. Г. Пирогов.</w:t>
      </w:r>
    </w:p>
    <w:p w14:paraId="7998C38E" w14:textId="77777777" w:rsidR="005C0E90"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по конверсии и международному сотрудничеству (2002 г.)- А.П. Дмитриев;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(2006 г.)- В. Крыжановский.</w:t>
      </w:r>
    </w:p>
    <w:p w14:paraId="749311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ГУП «Научно-технический производственный комплекс (НТПК) «Геофизика-АРТ» /г. Москва ул. Стромынка, 18/ /</w:t>
      </w:r>
      <w:proofErr w:type="gramStart"/>
      <w:r w:rsidRPr="008127F8">
        <w:rPr>
          <w:rFonts w:ascii="Times New Roman" w:hAnsi="Times New Roman"/>
          <w:color w:val="000000" w:themeColor="text1"/>
          <w:sz w:val="16"/>
          <w:szCs w:val="16"/>
        </w:rPr>
        <w:t>107497  г.</w:t>
      </w:r>
      <w:proofErr w:type="gramEnd"/>
      <w:r w:rsidRPr="008127F8">
        <w:rPr>
          <w:rFonts w:ascii="Times New Roman" w:hAnsi="Times New Roman"/>
          <w:color w:val="000000" w:themeColor="text1"/>
          <w:sz w:val="16"/>
          <w:szCs w:val="16"/>
        </w:rPr>
        <w:t xml:space="preserve"> Москва ул. Иркутская, 11/17 тел. 102-49-06/</w:t>
      </w:r>
    </w:p>
    <w:p w14:paraId="490B94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1.04.1997 г. выделилось из состава НПО «Геофизика» в самостоятельное дочернее предприятие.</w:t>
      </w:r>
    </w:p>
    <w:p w14:paraId="5C4947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 г.): оптико-локационная станция (ОЛС) для Су-27, лазерная ОЛС (КОЛС) для МиГ-29; ТГСН для УР Р-27ЭТ, ЛГСН «Кайра» для УРВП Х-25МЛП, Х-29ЛП, С-25Л, ЛГСН ГСН-Ф для КАБ- 500Л и КАБ-1500Л, трехспектральная оптическая ГСН 9Э47МЗ для зенитной ракеты 9</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37</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3, двухцветная ГСН 9Э46 для ракеты ПЗРК «Стрела-2»; ОЭК проводки судов «Лоцман», метеорологический лидарный комплекс МЖ, метеорологический бортовой лидар; солнечная энергетическая станция; медтехника (хирургическая пила ПХУ-1, биологический насос СК-1, офтальмоскоп ОФС-2, система криохирургического воздействия, система микробиологической диагностики АСБД); микрографическая аппаратура.</w:t>
      </w:r>
    </w:p>
    <w:p w14:paraId="02398A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(-2000-02 г.-)- А.А. Казамаров.</w:t>
      </w:r>
    </w:p>
    <w:p w14:paraId="748F03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А.А. Казамаров.</w:t>
      </w:r>
    </w:p>
    <w:p w14:paraId="2D7DEA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по производству и технологии (2002 г.)- В.Н. Луканцев; по экономике и планированию (2002 г.)- Ю.И. Малышко.</w:t>
      </w:r>
    </w:p>
    <w:p w14:paraId="52973F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(2002 г.)- В.Н, Луканцев, (2002 г.)- Ю.И. Малышко.</w:t>
      </w:r>
    </w:p>
    <w:p w14:paraId="0F6CCF0D" w14:textId="77777777" w:rsidR="005C0E90"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Начальник отдела маркетинга и ВЭД (2002 г.)- П.А. Сускин.</w:t>
      </w:r>
      <w:r w:rsidRPr="008127F8">
        <w:rPr>
          <w:rFonts w:ascii="Times New Roman" w:hAnsi="Times New Roman"/>
          <w:color w:val="000000" w:themeColor="text1"/>
          <w:sz w:val="16"/>
          <w:szCs w:val="16"/>
          <w:vertAlign w:val="superscript"/>
        </w:rPr>
        <w:t>69</w:t>
      </w:r>
    </w:p>
    <w:p w14:paraId="5C4FD1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«Квант» МОП, ОАО «НПП космического приборостроения «Квант» /</w:t>
      </w:r>
      <w:proofErr w:type="gramStart"/>
      <w:r w:rsidRPr="008127F8">
        <w:rPr>
          <w:rFonts w:ascii="Times New Roman" w:hAnsi="Times New Roman"/>
          <w:color w:val="000000" w:themeColor="text1"/>
          <w:sz w:val="16"/>
          <w:szCs w:val="16"/>
        </w:rPr>
        <w:t>344091  г.</w:t>
      </w:r>
      <w:proofErr w:type="gramEnd"/>
      <w:r w:rsidRPr="008127F8">
        <w:rPr>
          <w:rFonts w:ascii="Times New Roman" w:hAnsi="Times New Roman"/>
          <w:color w:val="000000" w:themeColor="text1"/>
          <w:sz w:val="16"/>
          <w:szCs w:val="16"/>
        </w:rPr>
        <w:t xml:space="preserve"> Ростов-на-Дону пр. Стачки, 194/2; 344090 ул. Мильчакова, 7 (2005 г.) тел. 24-08-80/</w:t>
      </w:r>
    </w:p>
    <w:p w14:paraId="7D1B98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Строился как филиал АОМЗ. По приказу МОП № 411 от 11.08.1980 г. учережден как самостоятельный завод «Квант» в составе НПО «Геофизика» для выпуска оптико-электронных приборов ориентации и астронавигации КА.</w:t>
      </w:r>
    </w:p>
    <w:p w14:paraId="26C5E4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 г. завод преобразован в ОАО. По Указу Президента РФ № 1009 от 4.08.2004 г. вошло в число стратегических оборонных предприятий. 3.03.2008 г. вошло в состав ОАО «ИСС им. академика М.Ф. Решетнева».</w:t>
      </w:r>
    </w:p>
    <w:p w14:paraId="10DC1C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предприятии создан Центр компьютерных технологий (ЦКТ).</w:t>
      </w:r>
    </w:p>
    <w:p w14:paraId="6731D9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программах: «Мир», «Экспресс», «Надежда», «Океан», «Купон», «Гонец», «Галс», «Аркос», «Ресурс», «Метеор», МКС.</w:t>
      </w:r>
    </w:p>
    <w:p w14:paraId="7E6233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(2002-05 г.): разработка и производство: приборов ориентации КА на орбите;</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сложной инструментальной оснастки (пресс-формы, штампы); НИОКР по созданию оптико-электронных приборов для ФКА и МО.</w:t>
      </w:r>
    </w:p>
    <w:p w14:paraId="184C6E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НПП (2005 г.)- Научно-технический центр (НТЦ) и производственная база.</w:t>
      </w:r>
    </w:p>
    <w:p w14:paraId="4726F9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(1980-2005 г.-)- В.В. Мотин.</w:t>
      </w:r>
    </w:p>
    <w:p w14:paraId="3D2F81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(1980-2005 г.-&gt; В.В. Мотин.</w:t>
      </w:r>
    </w:p>
    <w:p w14:paraId="6294C0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автомобильный таксометр (11982).</w:t>
      </w:r>
    </w:p>
    <w:p w14:paraId="7FA39C06" w14:textId="77777777" w:rsidR="005C0E90" w:rsidRPr="008127F8" w:rsidRDefault="005C0E9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58A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30 января 1942 вышло Постановление ГКО № 1220 О повышении динамики танков КВ. РГАНИР, Фонд ГКО, д. 20, лл. 124 (11012).</w:t>
      </w:r>
    </w:p>
    <w:p w14:paraId="63CE18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658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вышло Постановление ГКО № 1221 Об улучшении проходимости танков КВ. РГАНИР, Фонд ГКО, д. 20, лл. 125 (11012).</w:t>
      </w:r>
    </w:p>
    <w:p w14:paraId="6102BD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E6E16"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 xml:space="preserve">30 января 1942 года был подписан договор между заводом № 264 и ГАБТУ на поставку 650 танков Т-60. </w:t>
      </w:r>
      <w:proofErr w:type="gramStart"/>
      <w:r w:rsidRPr="008127F8">
        <w:rPr>
          <w:rFonts w:eastAsia="Calibri"/>
          <w:color w:val="000000" w:themeColor="text1"/>
          <w:sz w:val="16"/>
          <w:szCs w:val="16"/>
        </w:rPr>
        <w:t>Согласно договору</w:t>
      </w:r>
      <w:proofErr w:type="gramEnd"/>
      <w:r w:rsidRPr="008127F8">
        <w:rPr>
          <w:rFonts w:eastAsia="Calibri"/>
          <w:color w:val="000000" w:themeColor="text1"/>
          <w:sz w:val="16"/>
          <w:szCs w:val="16"/>
        </w:rPr>
        <w:t xml:space="preserve"> стоимость полностью укомплектованного Т-60 составила 81 ООО ру</w:t>
      </w:r>
      <w:r w:rsidRPr="008127F8">
        <w:rPr>
          <w:rFonts w:eastAsia="Calibri"/>
          <w:color w:val="000000" w:themeColor="text1"/>
          <w:sz w:val="16"/>
          <w:szCs w:val="16"/>
        </w:rPr>
        <w:softHyphen/>
        <w:t>блей. Кроме того, предусматривалась и радийная версия танка, в слу</w:t>
      </w:r>
      <w:r w:rsidRPr="008127F8">
        <w:rPr>
          <w:rFonts w:eastAsia="Calibri"/>
          <w:color w:val="000000" w:themeColor="text1"/>
          <w:sz w:val="16"/>
          <w:szCs w:val="16"/>
        </w:rPr>
        <w:softHyphen/>
        <w:t>чае ее запуска цена составляла бы 82 700 рублей.</w:t>
      </w:r>
    </w:p>
    <w:p w14:paraId="47720654"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Для решения вопроса обеспечения завода № 264 дефицитными уз</w:t>
      </w:r>
      <w:r w:rsidRPr="008127F8">
        <w:rPr>
          <w:rFonts w:eastAsia="Calibri"/>
          <w:color w:val="000000" w:themeColor="text1"/>
          <w:sz w:val="16"/>
          <w:szCs w:val="16"/>
        </w:rPr>
        <w:softHyphen/>
        <w:t>лами пришлось привлекать другие предприятия. Завод № 469 НКАП им. Громова (г. Горький), который изготавливал радиаторы для за</w:t>
      </w:r>
      <w:r w:rsidRPr="008127F8">
        <w:rPr>
          <w:rFonts w:eastAsia="Calibri"/>
          <w:color w:val="000000" w:themeColor="text1"/>
          <w:sz w:val="16"/>
          <w:szCs w:val="16"/>
        </w:rPr>
        <w:softHyphen/>
        <w:t>водов № 37 и ГАЗ, в середине февраля получил расширенный заказ. Теперь он обеспечивал масляными и водяными радиаторами все заво</w:t>
      </w:r>
      <w:r w:rsidRPr="008127F8">
        <w:rPr>
          <w:rFonts w:eastAsia="Calibri"/>
          <w:color w:val="000000" w:themeColor="text1"/>
          <w:sz w:val="16"/>
          <w:szCs w:val="16"/>
        </w:rPr>
        <w:softHyphen/>
        <w:t>ды, выпускающие Т-60. Что же касается корпусного производства, то помощь пришла оттуда, откуда не ждали. Поскольку с марта на ГАЗ им. Молотова началась подготовка производства легкого танка Т-70, необходимость поставки корпусов Т-60 отпала. Пока заводы-изгото</w:t>
      </w:r>
      <w:r w:rsidRPr="008127F8">
        <w:rPr>
          <w:rFonts w:eastAsia="Calibri"/>
          <w:color w:val="000000" w:themeColor="text1"/>
          <w:sz w:val="16"/>
          <w:szCs w:val="16"/>
        </w:rPr>
        <w:softHyphen/>
        <w:t>вители готовились к запуску корпусного производства по линии Т-70, выпуск корпусов его предшественника продолжался, так что решение о поставках их на завод № 264 выглядело логично (17458).</w:t>
      </w:r>
    </w:p>
    <w:p w14:paraId="7C69912A" w14:textId="77777777" w:rsidR="00090542" w:rsidRPr="008127F8" w:rsidRDefault="00090542" w:rsidP="001E0A84">
      <w:pPr>
        <w:pStyle w:val="af"/>
        <w:spacing w:before="0" w:after="0"/>
        <w:jc w:val="both"/>
        <w:rPr>
          <w:color w:val="000000" w:themeColor="text1"/>
          <w:sz w:val="16"/>
          <w:szCs w:val="16"/>
        </w:rPr>
      </w:pPr>
    </w:p>
    <w:p w14:paraId="78F2F1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 были подготовлены КРАТКИЕ ТЕХНИЧЕСКИЕ ХАРАКТЕРИСТИКИ ИМПОРТНЫХ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968"/>
        <w:gridCol w:w="854"/>
        <w:gridCol w:w="854"/>
        <w:gridCol w:w="864"/>
        <w:gridCol w:w="854"/>
        <w:gridCol w:w="845"/>
        <w:gridCol w:w="864"/>
        <w:gridCol w:w="845"/>
        <w:gridCol w:w="854"/>
        <w:gridCol w:w="845"/>
      </w:tblGrid>
      <w:tr w:rsidR="006F4095" w:rsidRPr="008127F8" w14:paraId="507BE74C" w14:textId="77777777">
        <w:trPr>
          <w:trHeight w:val="422"/>
        </w:trPr>
        <w:tc>
          <w:tcPr>
            <w:tcW w:w="1968" w:type="dxa"/>
            <w:tcBorders>
              <w:top w:val="single" w:sz="6" w:space="0" w:color="auto"/>
              <w:left w:val="single" w:sz="6" w:space="0" w:color="auto"/>
              <w:bottom w:val="single" w:sz="6" w:space="0" w:color="auto"/>
              <w:right w:val="single" w:sz="6" w:space="0" w:color="auto"/>
            </w:tcBorders>
          </w:tcPr>
          <w:p w14:paraId="1B2744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машин</w:t>
            </w:r>
          </w:p>
        </w:tc>
        <w:tc>
          <w:tcPr>
            <w:tcW w:w="854" w:type="dxa"/>
            <w:tcBorders>
              <w:top w:val="single" w:sz="6" w:space="0" w:color="auto"/>
              <w:left w:val="single" w:sz="6" w:space="0" w:color="auto"/>
              <w:bottom w:val="single" w:sz="6" w:space="0" w:color="auto"/>
              <w:right w:val="single" w:sz="6" w:space="0" w:color="auto"/>
            </w:tcBorders>
          </w:tcPr>
          <w:p w14:paraId="4C84078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Грузоподъем</w:t>
            </w:r>
            <w:r w:rsidRPr="008127F8">
              <w:rPr>
                <w:rFonts w:ascii="Times New Roman" w:hAnsi="Times New Roman"/>
                <w:color w:val="000000" w:themeColor="text1"/>
                <w:sz w:val="16"/>
                <w:szCs w:val="16"/>
              </w:rPr>
              <w:softHyphen/>
              <w:t>ность</w:t>
            </w:r>
          </w:p>
        </w:tc>
        <w:tc>
          <w:tcPr>
            <w:tcW w:w="854" w:type="dxa"/>
            <w:tcBorders>
              <w:top w:val="single" w:sz="6" w:space="0" w:color="auto"/>
              <w:left w:val="single" w:sz="6" w:space="0" w:color="auto"/>
              <w:bottom w:val="single" w:sz="6" w:space="0" w:color="auto"/>
              <w:right w:val="single" w:sz="6" w:space="0" w:color="auto"/>
            </w:tcBorders>
          </w:tcPr>
          <w:p w14:paraId="0020D6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двигателя</w:t>
            </w:r>
          </w:p>
        </w:tc>
        <w:tc>
          <w:tcPr>
            <w:tcW w:w="864" w:type="dxa"/>
            <w:tcBorders>
              <w:top w:val="single" w:sz="6" w:space="0" w:color="auto"/>
              <w:left w:val="single" w:sz="6" w:space="0" w:color="auto"/>
              <w:bottom w:val="single" w:sz="6" w:space="0" w:color="auto"/>
              <w:right w:val="single" w:sz="6" w:space="0" w:color="auto"/>
            </w:tcBorders>
          </w:tcPr>
          <w:p w14:paraId="06D96E0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двигателя</w:t>
            </w:r>
          </w:p>
        </w:tc>
        <w:tc>
          <w:tcPr>
            <w:tcW w:w="854" w:type="dxa"/>
            <w:tcBorders>
              <w:top w:val="single" w:sz="6" w:space="0" w:color="auto"/>
              <w:left w:val="single" w:sz="6" w:space="0" w:color="auto"/>
              <w:bottom w:val="single" w:sz="6" w:space="0" w:color="auto"/>
              <w:right w:val="single" w:sz="6" w:space="0" w:color="auto"/>
            </w:tcBorders>
          </w:tcPr>
          <w:p w14:paraId="5E5E52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 скорость машины</w:t>
            </w:r>
          </w:p>
        </w:tc>
        <w:tc>
          <w:tcPr>
            <w:tcW w:w="845" w:type="dxa"/>
            <w:tcBorders>
              <w:top w:val="single" w:sz="6" w:space="0" w:color="auto"/>
              <w:left w:val="single" w:sz="6" w:space="0" w:color="auto"/>
              <w:bottom w:val="single" w:sz="6" w:space="0" w:color="auto"/>
              <w:right w:val="single" w:sz="6" w:space="0" w:color="auto"/>
            </w:tcBorders>
          </w:tcPr>
          <w:p w14:paraId="639EC8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Емкость бензобака</w:t>
            </w:r>
          </w:p>
        </w:tc>
        <w:tc>
          <w:tcPr>
            <w:tcW w:w="864" w:type="dxa"/>
            <w:tcBorders>
              <w:top w:val="single" w:sz="6" w:space="0" w:color="auto"/>
              <w:left w:val="single" w:sz="6" w:space="0" w:color="auto"/>
              <w:bottom w:val="single" w:sz="6" w:space="0" w:color="auto"/>
              <w:right w:val="single" w:sz="6" w:space="0" w:color="auto"/>
            </w:tcBorders>
          </w:tcPr>
          <w:p w14:paraId="5D90759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Сорт горючего</w:t>
            </w:r>
          </w:p>
        </w:tc>
        <w:tc>
          <w:tcPr>
            <w:tcW w:w="845" w:type="dxa"/>
            <w:tcBorders>
              <w:top w:val="single" w:sz="6" w:space="0" w:color="auto"/>
              <w:left w:val="single" w:sz="6" w:space="0" w:color="auto"/>
              <w:bottom w:val="single" w:sz="6" w:space="0" w:color="auto"/>
              <w:right w:val="single" w:sz="6" w:space="0" w:color="auto"/>
            </w:tcBorders>
          </w:tcPr>
          <w:p w14:paraId="09FCBF4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Тент</w:t>
            </w:r>
          </w:p>
        </w:tc>
        <w:tc>
          <w:tcPr>
            <w:tcW w:w="854" w:type="dxa"/>
            <w:tcBorders>
              <w:top w:val="single" w:sz="6" w:space="0" w:color="auto"/>
              <w:left w:val="single" w:sz="6" w:space="0" w:color="auto"/>
              <w:bottom w:val="single" w:sz="6" w:space="0" w:color="auto"/>
              <w:right w:val="single" w:sz="6" w:space="0" w:color="auto"/>
            </w:tcBorders>
          </w:tcPr>
          <w:p w14:paraId="40421BC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Буксирное приспособле</w:t>
            </w:r>
            <w:r w:rsidRPr="008127F8">
              <w:rPr>
                <w:rFonts w:ascii="Times New Roman" w:hAnsi="Times New Roman"/>
                <w:color w:val="000000" w:themeColor="text1"/>
                <w:sz w:val="16"/>
                <w:szCs w:val="16"/>
              </w:rPr>
              <w:softHyphen/>
              <w:t>ние</w:t>
            </w:r>
          </w:p>
        </w:tc>
        <w:tc>
          <w:tcPr>
            <w:tcW w:w="845" w:type="dxa"/>
            <w:tcBorders>
              <w:top w:val="single" w:sz="6" w:space="0" w:color="auto"/>
              <w:left w:val="single" w:sz="6" w:space="0" w:color="auto"/>
              <w:bottom w:val="single" w:sz="6" w:space="0" w:color="auto"/>
              <w:right w:val="single" w:sz="6" w:space="0" w:color="auto"/>
            </w:tcBorders>
          </w:tcPr>
          <w:p w14:paraId="43312C4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Лебедка</w:t>
            </w:r>
          </w:p>
        </w:tc>
      </w:tr>
      <w:tr w:rsidR="006F4095" w:rsidRPr="008127F8" w14:paraId="30CA6B3C" w14:textId="77777777">
        <w:trPr>
          <w:trHeight w:val="912"/>
        </w:trPr>
        <w:tc>
          <w:tcPr>
            <w:tcW w:w="1968" w:type="dxa"/>
            <w:tcBorders>
              <w:top w:val="single" w:sz="6" w:space="0" w:color="auto"/>
              <w:left w:val="single" w:sz="6" w:space="0" w:color="auto"/>
              <w:bottom w:val="single" w:sz="6" w:space="0" w:color="auto"/>
              <w:right w:val="single" w:sz="6" w:space="0" w:color="auto"/>
            </w:tcBorders>
          </w:tcPr>
          <w:p w14:paraId="3C652A1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БантамЛегковая разведывательная машина с2-мя ведущими осями</w:t>
            </w:r>
          </w:p>
        </w:tc>
        <w:tc>
          <w:tcPr>
            <w:tcW w:w="854" w:type="dxa"/>
            <w:tcBorders>
              <w:top w:val="single" w:sz="6" w:space="0" w:color="auto"/>
              <w:left w:val="single" w:sz="6" w:space="0" w:color="auto"/>
              <w:bottom w:val="single" w:sz="6" w:space="0" w:color="auto"/>
              <w:right w:val="single" w:sz="6" w:space="0" w:color="auto"/>
            </w:tcBorders>
          </w:tcPr>
          <w:p w14:paraId="100CD2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чел. или 250 кг</w:t>
            </w:r>
          </w:p>
        </w:tc>
        <w:tc>
          <w:tcPr>
            <w:tcW w:w="854" w:type="dxa"/>
            <w:tcBorders>
              <w:top w:val="single" w:sz="6" w:space="0" w:color="auto"/>
              <w:left w:val="single" w:sz="6" w:space="0" w:color="auto"/>
              <w:bottom w:val="single" w:sz="6" w:space="0" w:color="auto"/>
              <w:right w:val="single" w:sz="6" w:space="0" w:color="auto"/>
            </w:tcBorders>
          </w:tcPr>
          <w:p w14:paraId="56F84F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0F18C2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 л. с.</w:t>
            </w:r>
          </w:p>
        </w:tc>
        <w:tc>
          <w:tcPr>
            <w:tcW w:w="854" w:type="dxa"/>
            <w:tcBorders>
              <w:top w:val="single" w:sz="6" w:space="0" w:color="auto"/>
              <w:left w:val="single" w:sz="6" w:space="0" w:color="auto"/>
              <w:bottom w:val="single" w:sz="6" w:space="0" w:color="auto"/>
              <w:right w:val="single" w:sz="6" w:space="0" w:color="auto"/>
            </w:tcBorders>
          </w:tcPr>
          <w:p w14:paraId="43E31B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 км/ч</w:t>
            </w:r>
          </w:p>
        </w:tc>
        <w:tc>
          <w:tcPr>
            <w:tcW w:w="845" w:type="dxa"/>
            <w:tcBorders>
              <w:top w:val="single" w:sz="6" w:space="0" w:color="auto"/>
              <w:left w:val="single" w:sz="6" w:space="0" w:color="auto"/>
              <w:bottom w:val="single" w:sz="6" w:space="0" w:color="auto"/>
              <w:right w:val="single" w:sz="6" w:space="0" w:color="auto"/>
            </w:tcBorders>
          </w:tcPr>
          <w:p w14:paraId="7AAA9B6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38л</w:t>
            </w:r>
          </w:p>
        </w:tc>
        <w:tc>
          <w:tcPr>
            <w:tcW w:w="864" w:type="dxa"/>
            <w:tcBorders>
              <w:top w:val="single" w:sz="6" w:space="0" w:color="auto"/>
              <w:left w:val="single" w:sz="6" w:space="0" w:color="auto"/>
              <w:bottom w:val="single" w:sz="6" w:space="0" w:color="auto"/>
              <w:right w:val="single" w:sz="6" w:space="0" w:color="auto"/>
            </w:tcBorders>
          </w:tcPr>
          <w:p w14:paraId="7E18EE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 1 сорт</w:t>
            </w:r>
          </w:p>
        </w:tc>
        <w:tc>
          <w:tcPr>
            <w:tcW w:w="845" w:type="dxa"/>
            <w:tcBorders>
              <w:top w:val="single" w:sz="6" w:space="0" w:color="auto"/>
              <w:left w:val="single" w:sz="6" w:space="0" w:color="auto"/>
              <w:bottom w:val="single" w:sz="6" w:space="0" w:color="auto"/>
              <w:right w:val="single" w:sz="6" w:space="0" w:color="auto"/>
            </w:tcBorders>
          </w:tcPr>
          <w:p w14:paraId="1D90D8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58C3DC3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6CE539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r w:rsidR="006F4095" w:rsidRPr="008127F8" w14:paraId="6FAC6D9F"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6080A99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Додж2-хосный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42F7336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1,5т</w:t>
            </w:r>
          </w:p>
        </w:tc>
        <w:tc>
          <w:tcPr>
            <w:tcW w:w="854" w:type="dxa"/>
            <w:tcBorders>
              <w:top w:val="single" w:sz="6" w:space="0" w:color="auto"/>
              <w:left w:val="single" w:sz="6" w:space="0" w:color="auto"/>
              <w:bottom w:val="single" w:sz="6" w:space="0" w:color="auto"/>
              <w:right w:val="single" w:sz="6" w:space="0" w:color="auto"/>
            </w:tcBorders>
          </w:tcPr>
          <w:p w14:paraId="207B50E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35DAA18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115л. с.</w:t>
            </w:r>
          </w:p>
        </w:tc>
        <w:tc>
          <w:tcPr>
            <w:tcW w:w="854" w:type="dxa"/>
            <w:tcBorders>
              <w:top w:val="single" w:sz="6" w:space="0" w:color="auto"/>
              <w:left w:val="single" w:sz="6" w:space="0" w:color="auto"/>
              <w:bottom w:val="single" w:sz="6" w:space="0" w:color="auto"/>
              <w:right w:val="single" w:sz="6" w:space="0" w:color="auto"/>
            </w:tcBorders>
          </w:tcPr>
          <w:p w14:paraId="1F729C9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 км/ч</w:t>
            </w:r>
          </w:p>
        </w:tc>
        <w:tc>
          <w:tcPr>
            <w:tcW w:w="845" w:type="dxa"/>
            <w:tcBorders>
              <w:top w:val="single" w:sz="6" w:space="0" w:color="auto"/>
              <w:left w:val="single" w:sz="6" w:space="0" w:color="auto"/>
              <w:bottom w:val="single" w:sz="6" w:space="0" w:color="auto"/>
              <w:right w:val="single" w:sz="6" w:space="0" w:color="auto"/>
            </w:tcBorders>
          </w:tcPr>
          <w:p w14:paraId="0AED44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60л</w:t>
            </w:r>
          </w:p>
        </w:tc>
        <w:tc>
          <w:tcPr>
            <w:tcW w:w="864" w:type="dxa"/>
            <w:tcBorders>
              <w:top w:val="single" w:sz="6" w:space="0" w:color="auto"/>
              <w:left w:val="single" w:sz="6" w:space="0" w:color="auto"/>
              <w:bottom w:val="single" w:sz="6" w:space="0" w:color="auto"/>
              <w:right w:val="single" w:sz="6" w:space="0" w:color="auto"/>
            </w:tcBorders>
          </w:tcPr>
          <w:p w14:paraId="4B5DB34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64B3ED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c>
          <w:tcPr>
            <w:tcW w:w="854" w:type="dxa"/>
            <w:tcBorders>
              <w:top w:val="single" w:sz="6" w:space="0" w:color="auto"/>
              <w:left w:val="single" w:sz="6" w:space="0" w:color="auto"/>
              <w:bottom w:val="single" w:sz="6" w:space="0" w:color="auto"/>
              <w:right w:val="single" w:sz="6" w:space="0" w:color="auto"/>
            </w:tcBorders>
          </w:tcPr>
          <w:p w14:paraId="659DF8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c>
          <w:tcPr>
            <w:tcW w:w="845" w:type="dxa"/>
            <w:tcBorders>
              <w:top w:val="single" w:sz="6" w:space="0" w:color="auto"/>
              <w:left w:val="single" w:sz="6" w:space="0" w:color="auto"/>
              <w:bottom w:val="single" w:sz="6" w:space="0" w:color="auto"/>
              <w:right w:val="single" w:sz="6" w:space="0" w:color="auto"/>
            </w:tcBorders>
          </w:tcPr>
          <w:p w14:paraId="78444F8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r w:rsidR="006F4095" w:rsidRPr="008127F8" w14:paraId="3AF6B83B"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44F65CC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Форд2-хосный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3A522D6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 т</w:t>
            </w:r>
          </w:p>
        </w:tc>
        <w:tc>
          <w:tcPr>
            <w:tcW w:w="854" w:type="dxa"/>
            <w:tcBorders>
              <w:top w:val="single" w:sz="6" w:space="0" w:color="auto"/>
              <w:left w:val="single" w:sz="6" w:space="0" w:color="auto"/>
              <w:bottom w:val="single" w:sz="6" w:space="0" w:color="auto"/>
              <w:right w:val="single" w:sz="6" w:space="0" w:color="auto"/>
            </w:tcBorders>
          </w:tcPr>
          <w:p w14:paraId="7DA4FD4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3D9612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 л.с.</w:t>
            </w:r>
          </w:p>
        </w:tc>
        <w:tc>
          <w:tcPr>
            <w:tcW w:w="854" w:type="dxa"/>
            <w:tcBorders>
              <w:top w:val="single" w:sz="6" w:space="0" w:color="auto"/>
              <w:left w:val="single" w:sz="6" w:space="0" w:color="auto"/>
              <w:bottom w:val="single" w:sz="6" w:space="0" w:color="auto"/>
              <w:right w:val="single" w:sz="6" w:space="0" w:color="auto"/>
            </w:tcBorders>
          </w:tcPr>
          <w:p w14:paraId="41513D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50-60 км/ч</w:t>
            </w:r>
          </w:p>
        </w:tc>
        <w:tc>
          <w:tcPr>
            <w:tcW w:w="845" w:type="dxa"/>
            <w:tcBorders>
              <w:top w:val="single" w:sz="6" w:space="0" w:color="auto"/>
              <w:left w:val="single" w:sz="6" w:space="0" w:color="auto"/>
              <w:bottom w:val="single" w:sz="6" w:space="0" w:color="auto"/>
              <w:right w:val="single" w:sz="6" w:space="0" w:color="auto"/>
            </w:tcBorders>
          </w:tcPr>
          <w:p w14:paraId="64C17D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60л</w:t>
            </w:r>
          </w:p>
        </w:tc>
        <w:tc>
          <w:tcPr>
            <w:tcW w:w="864" w:type="dxa"/>
            <w:tcBorders>
              <w:top w:val="single" w:sz="6" w:space="0" w:color="auto"/>
              <w:left w:val="single" w:sz="6" w:space="0" w:color="auto"/>
              <w:bottom w:val="single" w:sz="6" w:space="0" w:color="auto"/>
              <w:right w:val="single" w:sz="6" w:space="0" w:color="auto"/>
            </w:tcBorders>
          </w:tcPr>
          <w:p w14:paraId="6DE9E7C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 2 сорта</w:t>
            </w:r>
          </w:p>
        </w:tc>
        <w:tc>
          <w:tcPr>
            <w:tcW w:w="845" w:type="dxa"/>
            <w:tcBorders>
              <w:top w:val="single" w:sz="6" w:space="0" w:color="auto"/>
              <w:left w:val="single" w:sz="6" w:space="0" w:color="auto"/>
              <w:bottom w:val="single" w:sz="6" w:space="0" w:color="auto"/>
              <w:right w:val="single" w:sz="6" w:space="0" w:color="auto"/>
            </w:tcBorders>
          </w:tcPr>
          <w:p w14:paraId="416E7F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c>
          <w:tcPr>
            <w:tcW w:w="854" w:type="dxa"/>
            <w:tcBorders>
              <w:top w:val="single" w:sz="6" w:space="0" w:color="auto"/>
              <w:left w:val="single" w:sz="6" w:space="0" w:color="auto"/>
              <w:bottom w:val="single" w:sz="6" w:space="0" w:color="auto"/>
              <w:right w:val="single" w:sz="6" w:space="0" w:color="auto"/>
            </w:tcBorders>
          </w:tcPr>
          <w:p w14:paraId="472353E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c>
          <w:tcPr>
            <w:tcW w:w="845" w:type="dxa"/>
            <w:tcBorders>
              <w:top w:val="single" w:sz="6" w:space="0" w:color="auto"/>
              <w:left w:val="single" w:sz="6" w:space="0" w:color="auto"/>
              <w:bottom w:val="single" w:sz="6" w:space="0" w:color="auto"/>
              <w:right w:val="single" w:sz="6" w:space="0" w:color="auto"/>
            </w:tcBorders>
          </w:tcPr>
          <w:p w14:paraId="315593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r w:rsidR="006F4095" w:rsidRPr="008127F8" w14:paraId="12EC3F59" w14:textId="77777777">
        <w:trPr>
          <w:trHeight w:val="547"/>
        </w:trPr>
        <w:tc>
          <w:tcPr>
            <w:tcW w:w="1968" w:type="dxa"/>
            <w:tcBorders>
              <w:top w:val="single" w:sz="6" w:space="0" w:color="auto"/>
              <w:left w:val="single" w:sz="6" w:space="0" w:color="auto"/>
              <w:bottom w:val="single" w:sz="6" w:space="0" w:color="auto"/>
              <w:right w:val="single" w:sz="6" w:space="0" w:color="auto"/>
            </w:tcBorders>
          </w:tcPr>
          <w:p w14:paraId="260681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Остин2-хосный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62B080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2т</w:t>
            </w:r>
          </w:p>
        </w:tc>
        <w:tc>
          <w:tcPr>
            <w:tcW w:w="854" w:type="dxa"/>
            <w:tcBorders>
              <w:top w:val="single" w:sz="6" w:space="0" w:color="auto"/>
              <w:left w:val="single" w:sz="6" w:space="0" w:color="auto"/>
              <w:bottom w:val="single" w:sz="6" w:space="0" w:color="auto"/>
              <w:right w:val="single" w:sz="6" w:space="0" w:color="auto"/>
            </w:tcBorders>
          </w:tcPr>
          <w:p w14:paraId="284E0FA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55BB95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 л. с.</w:t>
            </w:r>
          </w:p>
        </w:tc>
        <w:tc>
          <w:tcPr>
            <w:tcW w:w="854" w:type="dxa"/>
            <w:tcBorders>
              <w:top w:val="single" w:sz="6" w:space="0" w:color="auto"/>
              <w:left w:val="single" w:sz="6" w:space="0" w:color="auto"/>
              <w:bottom w:val="single" w:sz="6" w:space="0" w:color="auto"/>
              <w:right w:val="single" w:sz="6" w:space="0" w:color="auto"/>
            </w:tcBorders>
          </w:tcPr>
          <w:p w14:paraId="187241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 км/ч</w:t>
            </w:r>
          </w:p>
        </w:tc>
        <w:tc>
          <w:tcPr>
            <w:tcW w:w="845" w:type="dxa"/>
            <w:tcBorders>
              <w:top w:val="single" w:sz="6" w:space="0" w:color="auto"/>
              <w:left w:val="single" w:sz="6" w:space="0" w:color="auto"/>
              <w:bottom w:val="single" w:sz="6" w:space="0" w:color="auto"/>
              <w:right w:val="single" w:sz="6" w:space="0" w:color="auto"/>
            </w:tcBorders>
          </w:tcPr>
          <w:p w14:paraId="724093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115л</w:t>
            </w:r>
          </w:p>
        </w:tc>
        <w:tc>
          <w:tcPr>
            <w:tcW w:w="864" w:type="dxa"/>
            <w:tcBorders>
              <w:top w:val="single" w:sz="6" w:space="0" w:color="auto"/>
              <w:left w:val="single" w:sz="6" w:space="0" w:color="auto"/>
              <w:bottom w:val="single" w:sz="6" w:space="0" w:color="auto"/>
              <w:right w:val="single" w:sz="6" w:space="0" w:color="auto"/>
            </w:tcBorders>
          </w:tcPr>
          <w:p w14:paraId="325700C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 2 сорта</w:t>
            </w:r>
          </w:p>
        </w:tc>
        <w:tc>
          <w:tcPr>
            <w:tcW w:w="845" w:type="dxa"/>
            <w:tcBorders>
              <w:top w:val="single" w:sz="6" w:space="0" w:color="auto"/>
              <w:left w:val="single" w:sz="6" w:space="0" w:color="auto"/>
              <w:bottom w:val="single" w:sz="6" w:space="0" w:color="auto"/>
              <w:right w:val="single" w:sz="6" w:space="0" w:color="auto"/>
            </w:tcBorders>
          </w:tcPr>
          <w:p w14:paraId="4EC62A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23690B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c>
          <w:tcPr>
            <w:tcW w:w="845" w:type="dxa"/>
            <w:tcBorders>
              <w:top w:val="single" w:sz="6" w:space="0" w:color="auto"/>
              <w:left w:val="single" w:sz="6" w:space="0" w:color="auto"/>
              <w:bottom w:val="single" w:sz="6" w:space="0" w:color="auto"/>
              <w:right w:val="single" w:sz="6" w:space="0" w:color="auto"/>
            </w:tcBorders>
          </w:tcPr>
          <w:p w14:paraId="0FDFAC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r w:rsidR="006F4095" w:rsidRPr="008127F8" w14:paraId="14E8CCA2"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0C46F8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Бедфорд2-хосный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19C37E2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2т</w:t>
            </w:r>
          </w:p>
        </w:tc>
        <w:tc>
          <w:tcPr>
            <w:tcW w:w="854" w:type="dxa"/>
            <w:tcBorders>
              <w:top w:val="single" w:sz="6" w:space="0" w:color="auto"/>
              <w:left w:val="single" w:sz="6" w:space="0" w:color="auto"/>
              <w:bottom w:val="single" w:sz="6" w:space="0" w:color="auto"/>
              <w:right w:val="single" w:sz="6" w:space="0" w:color="auto"/>
            </w:tcBorders>
          </w:tcPr>
          <w:p w14:paraId="7BCC7C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6EE0B41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 л.с.</w:t>
            </w:r>
          </w:p>
        </w:tc>
        <w:tc>
          <w:tcPr>
            <w:tcW w:w="854" w:type="dxa"/>
            <w:tcBorders>
              <w:top w:val="single" w:sz="6" w:space="0" w:color="auto"/>
              <w:left w:val="single" w:sz="6" w:space="0" w:color="auto"/>
              <w:bottom w:val="single" w:sz="6" w:space="0" w:color="auto"/>
              <w:right w:val="single" w:sz="6" w:space="0" w:color="auto"/>
            </w:tcBorders>
          </w:tcPr>
          <w:p w14:paraId="3D6987B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 км/ч</w:t>
            </w:r>
          </w:p>
        </w:tc>
        <w:tc>
          <w:tcPr>
            <w:tcW w:w="845" w:type="dxa"/>
            <w:tcBorders>
              <w:top w:val="single" w:sz="6" w:space="0" w:color="auto"/>
              <w:left w:val="single" w:sz="6" w:space="0" w:color="auto"/>
              <w:bottom w:val="single" w:sz="6" w:space="0" w:color="auto"/>
              <w:right w:val="single" w:sz="6" w:space="0" w:color="auto"/>
            </w:tcBorders>
          </w:tcPr>
          <w:p w14:paraId="148905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90л</w:t>
            </w:r>
          </w:p>
        </w:tc>
        <w:tc>
          <w:tcPr>
            <w:tcW w:w="864" w:type="dxa"/>
            <w:tcBorders>
              <w:top w:val="single" w:sz="6" w:space="0" w:color="auto"/>
              <w:left w:val="single" w:sz="6" w:space="0" w:color="auto"/>
              <w:bottom w:val="single" w:sz="6" w:space="0" w:color="auto"/>
              <w:right w:val="single" w:sz="6" w:space="0" w:color="auto"/>
            </w:tcBorders>
          </w:tcPr>
          <w:p w14:paraId="67AE510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2567F8F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20C74A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188081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r w:rsidR="006F4095" w:rsidRPr="008127F8" w14:paraId="7AEC7176" w14:textId="77777777">
        <w:trPr>
          <w:trHeight w:val="730"/>
        </w:trPr>
        <w:tc>
          <w:tcPr>
            <w:tcW w:w="1968" w:type="dxa"/>
            <w:tcBorders>
              <w:top w:val="single" w:sz="6" w:space="0" w:color="auto"/>
              <w:left w:val="single" w:sz="6" w:space="0" w:color="auto"/>
              <w:bottom w:val="single" w:sz="6" w:space="0" w:color="auto"/>
              <w:right w:val="single" w:sz="6" w:space="0" w:color="auto"/>
            </w:tcBorders>
          </w:tcPr>
          <w:p w14:paraId="41FF0D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Форд - Мармон Керингтон2-хосный с 2-мя ведущими осями</w:t>
            </w:r>
          </w:p>
        </w:tc>
        <w:tc>
          <w:tcPr>
            <w:tcW w:w="854" w:type="dxa"/>
            <w:tcBorders>
              <w:top w:val="single" w:sz="6" w:space="0" w:color="auto"/>
              <w:left w:val="single" w:sz="6" w:space="0" w:color="auto"/>
              <w:bottom w:val="single" w:sz="6" w:space="0" w:color="auto"/>
              <w:right w:val="single" w:sz="6" w:space="0" w:color="auto"/>
            </w:tcBorders>
          </w:tcPr>
          <w:p w14:paraId="70A9B5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2т</w:t>
            </w:r>
          </w:p>
        </w:tc>
        <w:tc>
          <w:tcPr>
            <w:tcW w:w="854" w:type="dxa"/>
            <w:tcBorders>
              <w:top w:val="single" w:sz="6" w:space="0" w:color="auto"/>
              <w:left w:val="single" w:sz="6" w:space="0" w:color="auto"/>
              <w:bottom w:val="single" w:sz="6" w:space="0" w:color="auto"/>
              <w:right w:val="single" w:sz="6" w:space="0" w:color="auto"/>
            </w:tcBorders>
          </w:tcPr>
          <w:p w14:paraId="39B6A2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2E7812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 л.с.</w:t>
            </w:r>
          </w:p>
        </w:tc>
        <w:tc>
          <w:tcPr>
            <w:tcW w:w="854" w:type="dxa"/>
            <w:tcBorders>
              <w:top w:val="single" w:sz="6" w:space="0" w:color="auto"/>
              <w:left w:val="single" w:sz="6" w:space="0" w:color="auto"/>
              <w:bottom w:val="single" w:sz="6" w:space="0" w:color="auto"/>
              <w:right w:val="single" w:sz="6" w:space="0" w:color="auto"/>
            </w:tcBorders>
          </w:tcPr>
          <w:p w14:paraId="4F6D92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км/ч</w:t>
            </w:r>
          </w:p>
        </w:tc>
        <w:tc>
          <w:tcPr>
            <w:tcW w:w="845" w:type="dxa"/>
            <w:tcBorders>
              <w:top w:val="single" w:sz="6" w:space="0" w:color="auto"/>
              <w:left w:val="single" w:sz="6" w:space="0" w:color="auto"/>
              <w:bottom w:val="single" w:sz="6" w:space="0" w:color="auto"/>
              <w:right w:val="single" w:sz="6" w:space="0" w:color="auto"/>
            </w:tcBorders>
          </w:tcPr>
          <w:p w14:paraId="398BD8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215л</w:t>
            </w:r>
          </w:p>
        </w:tc>
        <w:tc>
          <w:tcPr>
            <w:tcW w:w="864" w:type="dxa"/>
            <w:tcBorders>
              <w:top w:val="single" w:sz="6" w:space="0" w:color="auto"/>
              <w:left w:val="single" w:sz="6" w:space="0" w:color="auto"/>
              <w:bottom w:val="single" w:sz="6" w:space="0" w:color="auto"/>
              <w:right w:val="single" w:sz="6" w:space="0" w:color="auto"/>
            </w:tcBorders>
          </w:tcPr>
          <w:p w14:paraId="44ED33C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 2 сорта</w:t>
            </w:r>
          </w:p>
        </w:tc>
        <w:tc>
          <w:tcPr>
            <w:tcW w:w="845" w:type="dxa"/>
            <w:tcBorders>
              <w:top w:val="single" w:sz="6" w:space="0" w:color="auto"/>
              <w:left w:val="single" w:sz="6" w:space="0" w:color="auto"/>
              <w:bottom w:val="single" w:sz="6" w:space="0" w:color="auto"/>
              <w:right w:val="single" w:sz="6" w:space="0" w:color="auto"/>
            </w:tcBorders>
          </w:tcPr>
          <w:p w14:paraId="5AE95D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c>
          <w:tcPr>
            <w:tcW w:w="854" w:type="dxa"/>
            <w:tcBorders>
              <w:top w:val="single" w:sz="6" w:space="0" w:color="auto"/>
              <w:left w:val="single" w:sz="6" w:space="0" w:color="auto"/>
              <w:bottom w:val="single" w:sz="6" w:space="0" w:color="auto"/>
              <w:right w:val="single" w:sz="6" w:space="0" w:color="auto"/>
            </w:tcBorders>
          </w:tcPr>
          <w:p w14:paraId="45A36ED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29DF69D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r w:rsidR="006F4095" w:rsidRPr="008127F8" w14:paraId="55DD782D"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5BC9AE9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Интернейшен3-хосный со всеми ведущими</w:t>
            </w:r>
          </w:p>
        </w:tc>
        <w:tc>
          <w:tcPr>
            <w:tcW w:w="854" w:type="dxa"/>
            <w:tcBorders>
              <w:top w:val="single" w:sz="6" w:space="0" w:color="auto"/>
              <w:left w:val="single" w:sz="6" w:space="0" w:color="auto"/>
              <w:bottom w:val="single" w:sz="6" w:space="0" w:color="auto"/>
              <w:right w:val="single" w:sz="6" w:space="0" w:color="auto"/>
            </w:tcBorders>
          </w:tcPr>
          <w:p w14:paraId="633B67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2,5т</w:t>
            </w:r>
          </w:p>
        </w:tc>
        <w:tc>
          <w:tcPr>
            <w:tcW w:w="854" w:type="dxa"/>
            <w:tcBorders>
              <w:top w:val="single" w:sz="6" w:space="0" w:color="auto"/>
              <w:left w:val="single" w:sz="6" w:space="0" w:color="auto"/>
              <w:bottom w:val="single" w:sz="6" w:space="0" w:color="auto"/>
              <w:right w:val="single" w:sz="6" w:space="0" w:color="auto"/>
            </w:tcBorders>
          </w:tcPr>
          <w:p w14:paraId="7900EC8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337FFD5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л. с.</w:t>
            </w:r>
          </w:p>
        </w:tc>
        <w:tc>
          <w:tcPr>
            <w:tcW w:w="854" w:type="dxa"/>
            <w:tcBorders>
              <w:top w:val="single" w:sz="6" w:space="0" w:color="auto"/>
              <w:left w:val="single" w:sz="6" w:space="0" w:color="auto"/>
              <w:bottom w:val="single" w:sz="6" w:space="0" w:color="auto"/>
              <w:right w:val="single" w:sz="6" w:space="0" w:color="auto"/>
            </w:tcBorders>
          </w:tcPr>
          <w:p w14:paraId="5026F94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км/ч</w:t>
            </w:r>
          </w:p>
        </w:tc>
        <w:tc>
          <w:tcPr>
            <w:tcW w:w="845" w:type="dxa"/>
            <w:tcBorders>
              <w:top w:val="single" w:sz="6" w:space="0" w:color="auto"/>
              <w:left w:val="single" w:sz="6" w:space="0" w:color="auto"/>
              <w:bottom w:val="single" w:sz="6" w:space="0" w:color="auto"/>
              <w:right w:val="single" w:sz="6" w:space="0" w:color="auto"/>
            </w:tcBorders>
          </w:tcPr>
          <w:p w14:paraId="0234F5C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150л</w:t>
            </w:r>
          </w:p>
        </w:tc>
        <w:tc>
          <w:tcPr>
            <w:tcW w:w="864" w:type="dxa"/>
            <w:tcBorders>
              <w:top w:val="single" w:sz="6" w:space="0" w:color="auto"/>
              <w:left w:val="single" w:sz="6" w:space="0" w:color="auto"/>
              <w:bottom w:val="single" w:sz="6" w:space="0" w:color="auto"/>
              <w:right w:val="single" w:sz="6" w:space="0" w:color="auto"/>
            </w:tcBorders>
          </w:tcPr>
          <w:p w14:paraId="44C497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44E1A31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1F3A43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1939B4E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r>
      <w:tr w:rsidR="006F4095" w:rsidRPr="008127F8" w14:paraId="76ECF60C" w14:textId="77777777">
        <w:trPr>
          <w:trHeight w:val="547"/>
        </w:trPr>
        <w:tc>
          <w:tcPr>
            <w:tcW w:w="1968" w:type="dxa"/>
            <w:tcBorders>
              <w:top w:val="single" w:sz="6" w:space="0" w:color="auto"/>
              <w:left w:val="single" w:sz="6" w:space="0" w:color="auto"/>
              <w:bottom w:val="single" w:sz="6" w:space="0" w:color="auto"/>
              <w:right w:val="single" w:sz="6" w:space="0" w:color="auto"/>
            </w:tcBorders>
          </w:tcPr>
          <w:p w14:paraId="2C583F0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Студебекер3-хосный со всеми ведущими</w:t>
            </w:r>
          </w:p>
        </w:tc>
        <w:tc>
          <w:tcPr>
            <w:tcW w:w="854" w:type="dxa"/>
            <w:tcBorders>
              <w:top w:val="single" w:sz="6" w:space="0" w:color="auto"/>
              <w:left w:val="single" w:sz="6" w:space="0" w:color="auto"/>
              <w:bottom w:val="single" w:sz="6" w:space="0" w:color="auto"/>
              <w:right w:val="single" w:sz="6" w:space="0" w:color="auto"/>
            </w:tcBorders>
          </w:tcPr>
          <w:p w14:paraId="5076998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2,5т</w:t>
            </w:r>
          </w:p>
        </w:tc>
        <w:tc>
          <w:tcPr>
            <w:tcW w:w="854" w:type="dxa"/>
            <w:tcBorders>
              <w:top w:val="single" w:sz="6" w:space="0" w:color="auto"/>
              <w:left w:val="single" w:sz="6" w:space="0" w:color="auto"/>
              <w:bottom w:val="single" w:sz="6" w:space="0" w:color="auto"/>
              <w:right w:val="single" w:sz="6" w:space="0" w:color="auto"/>
            </w:tcBorders>
          </w:tcPr>
          <w:p w14:paraId="70EBB8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1E21B4B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л.с.</w:t>
            </w:r>
          </w:p>
        </w:tc>
        <w:tc>
          <w:tcPr>
            <w:tcW w:w="854" w:type="dxa"/>
            <w:tcBorders>
              <w:top w:val="single" w:sz="6" w:space="0" w:color="auto"/>
              <w:left w:val="single" w:sz="6" w:space="0" w:color="auto"/>
              <w:bottom w:val="single" w:sz="6" w:space="0" w:color="auto"/>
              <w:right w:val="single" w:sz="6" w:space="0" w:color="auto"/>
            </w:tcBorders>
          </w:tcPr>
          <w:p w14:paraId="0E1D89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км/ч</w:t>
            </w:r>
          </w:p>
        </w:tc>
        <w:tc>
          <w:tcPr>
            <w:tcW w:w="845" w:type="dxa"/>
            <w:tcBorders>
              <w:top w:val="single" w:sz="6" w:space="0" w:color="auto"/>
              <w:left w:val="single" w:sz="6" w:space="0" w:color="auto"/>
              <w:bottom w:val="single" w:sz="6" w:space="0" w:color="auto"/>
              <w:right w:val="single" w:sz="6" w:space="0" w:color="auto"/>
            </w:tcBorders>
          </w:tcPr>
          <w:p w14:paraId="1E2150A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150л</w:t>
            </w:r>
          </w:p>
        </w:tc>
        <w:tc>
          <w:tcPr>
            <w:tcW w:w="864" w:type="dxa"/>
            <w:tcBorders>
              <w:top w:val="single" w:sz="6" w:space="0" w:color="auto"/>
              <w:left w:val="single" w:sz="6" w:space="0" w:color="auto"/>
              <w:bottom w:val="single" w:sz="6" w:space="0" w:color="auto"/>
              <w:right w:val="single" w:sz="6" w:space="0" w:color="auto"/>
            </w:tcBorders>
          </w:tcPr>
          <w:p w14:paraId="7F202F4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10C3508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2FF4FD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64A7080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r>
      <w:tr w:rsidR="006F4095" w:rsidRPr="008127F8" w14:paraId="1548513E" w14:textId="77777777">
        <w:trPr>
          <w:trHeight w:val="566"/>
        </w:trPr>
        <w:tc>
          <w:tcPr>
            <w:tcW w:w="1968" w:type="dxa"/>
            <w:tcBorders>
              <w:top w:val="single" w:sz="6" w:space="0" w:color="auto"/>
              <w:left w:val="single" w:sz="6" w:space="0" w:color="auto"/>
              <w:bottom w:val="single" w:sz="6" w:space="0" w:color="auto"/>
              <w:right w:val="single" w:sz="6" w:space="0" w:color="auto"/>
            </w:tcBorders>
          </w:tcPr>
          <w:p w14:paraId="7BA818F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Остин3-хосный со всеми ведущими</w:t>
            </w:r>
          </w:p>
        </w:tc>
        <w:tc>
          <w:tcPr>
            <w:tcW w:w="854" w:type="dxa"/>
            <w:tcBorders>
              <w:top w:val="single" w:sz="6" w:space="0" w:color="auto"/>
              <w:left w:val="single" w:sz="6" w:space="0" w:color="auto"/>
              <w:bottom w:val="single" w:sz="6" w:space="0" w:color="auto"/>
              <w:right w:val="single" w:sz="6" w:space="0" w:color="auto"/>
            </w:tcBorders>
          </w:tcPr>
          <w:p w14:paraId="7AD2265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Зт</w:t>
            </w:r>
          </w:p>
        </w:tc>
        <w:tc>
          <w:tcPr>
            <w:tcW w:w="854" w:type="dxa"/>
            <w:tcBorders>
              <w:top w:val="single" w:sz="6" w:space="0" w:color="auto"/>
              <w:left w:val="single" w:sz="6" w:space="0" w:color="auto"/>
              <w:bottom w:val="single" w:sz="6" w:space="0" w:color="auto"/>
              <w:right w:val="single" w:sz="6" w:space="0" w:color="auto"/>
            </w:tcBorders>
          </w:tcPr>
          <w:p w14:paraId="6B1713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w:t>
            </w:r>
            <w:r w:rsidRPr="008127F8">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6F5BD0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 л.с.</w:t>
            </w:r>
          </w:p>
        </w:tc>
        <w:tc>
          <w:tcPr>
            <w:tcW w:w="854" w:type="dxa"/>
            <w:tcBorders>
              <w:top w:val="single" w:sz="6" w:space="0" w:color="auto"/>
              <w:left w:val="single" w:sz="6" w:space="0" w:color="auto"/>
              <w:bottom w:val="single" w:sz="6" w:space="0" w:color="auto"/>
              <w:right w:val="single" w:sz="6" w:space="0" w:color="auto"/>
            </w:tcBorders>
          </w:tcPr>
          <w:p w14:paraId="3062946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 км/ч</w:t>
            </w:r>
          </w:p>
        </w:tc>
        <w:tc>
          <w:tcPr>
            <w:tcW w:w="845" w:type="dxa"/>
            <w:tcBorders>
              <w:top w:val="single" w:sz="6" w:space="0" w:color="auto"/>
              <w:left w:val="single" w:sz="6" w:space="0" w:color="auto"/>
              <w:bottom w:val="single" w:sz="6" w:space="0" w:color="auto"/>
              <w:right w:val="single" w:sz="6" w:space="0" w:color="auto"/>
            </w:tcBorders>
          </w:tcPr>
          <w:p w14:paraId="50E34B5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120л</w:t>
            </w:r>
          </w:p>
        </w:tc>
        <w:tc>
          <w:tcPr>
            <w:tcW w:w="864" w:type="dxa"/>
            <w:tcBorders>
              <w:top w:val="single" w:sz="6" w:space="0" w:color="auto"/>
              <w:left w:val="single" w:sz="6" w:space="0" w:color="auto"/>
              <w:bottom w:val="single" w:sz="6" w:space="0" w:color="auto"/>
              <w:right w:val="single" w:sz="6" w:space="0" w:color="auto"/>
            </w:tcBorders>
          </w:tcPr>
          <w:p w14:paraId="3ACE3D5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151432A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42E841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631770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w:t>
            </w:r>
          </w:p>
        </w:tc>
      </w:tr>
    </w:tbl>
    <w:p w14:paraId="126163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5 отдела АТУ ГАБТУ КА военинженер 1 ранга Лебедев</w:t>
      </w:r>
    </w:p>
    <w:p w14:paraId="3D447C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помощник начальника 5 отдела военинженер 2 ранга Церетлишвили</w:t>
      </w:r>
    </w:p>
    <w:p w14:paraId="0775AE2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138. Л. 10. Подлинник (11211).</w:t>
      </w:r>
    </w:p>
    <w:p w14:paraId="48A6DF8A"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44DA950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года вышло постановление ГКО за № 1222сс и 1 февраля 1942 года приказа НКВ за № 63сск которыми заводу, организованному на площади эвакуированного завода № 217 МВ, был присвоен номер 589.</w:t>
      </w:r>
    </w:p>
    <w:p w14:paraId="109372C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завод изготовлял в основном прицелы сухопутного вооружения – ротные (МПР) и батальонные (МПБ) минометные прицелы, а также прицелы и наблюдательные приборы танков и самоходной артиллерии.</w:t>
      </w:r>
    </w:p>
    <w:p w14:paraId="03A7ECB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1943 года завод стал постепенно осваивать и выпускать авиационные приборы. 1943 год был последним годом изготовления прицелов сухопутного вооружения.</w:t>
      </w:r>
    </w:p>
    <w:p w14:paraId="5C3175A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году основной продукцией завода являлись различные марки прицелов для пикирующих бомбардировщиков и ночной прицел для самолетов У-2. В этом же году завод освоил и поставил на производство передвижной кинопроектор К-25.</w:t>
      </w:r>
    </w:p>
    <w:p w14:paraId="707AAE6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ул. Стромынка, д. 10, п/я 765</w:t>
      </w:r>
    </w:p>
    <w:p w14:paraId="2D827EF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 37сс МОП от 31 января 1956 года завод с ЦКБ провел перестройку работы в связи с новыми задачами и характером опытного производства (9568).</w:t>
      </w:r>
    </w:p>
    <w:p w14:paraId="024E7F4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1874EE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вышло Постановление ГКО № 1223 О производстве пистолетов-пулеметов Шпагина в феврале месяце 1942 г. РГАНИР, Фонд ГКО, д. 20, лл. 129-135, 136-147 (11012).</w:t>
      </w:r>
    </w:p>
    <w:p w14:paraId="58EF8B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01468" w14:textId="77777777" w:rsidR="00BC57C1" w:rsidRDefault="00BC57C1" w:rsidP="00BC57C1">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613BD02B" w14:textId="77777777" w:rsidR="00BC57C1" w:rsidRDefault="00BC57C1" w:rsidP="00BC57C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EADDB2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января 1942 г. Доклад заместителя наркома государственного контроля СССР В. Ф. Попова секретарю ЦК ВКП(б) И. В. Сталину «О результатах ревизии работы аппарата Наркомата химической промышленности»</w:t>
      </w:r>
    </w:p>
    <w:p w14:paraId="7EBD900E"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94C52F6"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поручению Совета народных комиссаров Союза ССР Наркоматом государственного контроля произведена ревизия работы аппарата Народного комиссариата химической промышленности. Ревизией установлено, что Наркомхимпром не обеспечивает потребности фронта и оборонной промышленности в спецхимикатах, средствах химической защиты, полупродуктах для боеприпасов, продуктах и изделиях для авиационной и танковой промышленности. Руководство Наркомхимпрома реальных мер к улучшению снабжения фронта и оборонной промышленности химикатами и изделиями химической промышленности не принимает. Больше того, Наркомхимпром своим негодным руководством дезорганизует работу важнейших отраслей химической промышленности и тем самым усугубляет снабжение армии и оборонной промышленности необходимыми химическими продуктами.</w:t>
      </w:r>
    </w:p>
    <w:p w14:paraId="1017742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войны в системе Наркомхимпрома было эвакуировано (а часть вообще вышла из строя) 60% производства олеума, 52% производства аммиака, 50% производства крепкой азотной кислоты, 66% производства противогазов, 100% производства фенола и пикриновой кислоты и т. д. Несмотря на такое положение Наркомхимпром не принял срочных мер к восстановлению эвакуированных предприятий2*. Своей бездеятельностью НКХП проваливает установленные правительством сроки восстановления производства важнейших химических продуктов и изделий.</w:t>
      </w:r>
    </w:p>
    <w:p w14:paraId="6ED0766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Согласно постановлению Совнаркома Союза ССР № 2207-1006сс от 17 ноября 1941 г. Наркомхимпром обязан был восстановить в декабре 1941 г. и январе 1942 г. 16 цехов и ввести в действие в этих цехах мощности: по олеуму — на 15 тыс. т, крепкой азотной кислоте — 90 тыс. т, пикриновой кислоте — 4 тыс. т, прозрачной </w:t>
      </w:r>
      <w:r w:rsidRPr="008A2E5A">
        <w:rPr>
          <w:rFonts w:ascii="Times New Roman" w:hAnsi="Times New Roman"/>
          <w:color w:val="0070C0"/>
          <w:sz w:val="16"/>
          <w:szCs w:val="16"/>
        </w:rPr>
        <w:lastRenderedPageBreak/>
        <w:t>авиаброне - 3 тыс. комплектов, противогазам — 10 млн шт., метанолу — 12 тыс. т и т. д.3* Это задание правительства сорвано4*. Ни один цех в установленный правительством срок в эксплуатацию не введен, и мощности, предусмотренные в постановлении СНК СССР от 17 ноября, не созданы.</w:t>
      </w:r>
    </w:p>
    <w:p w14:paraId="4E5C2783"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невыполнения правительственного графика восстановления эвакуированных предприятий Наркомхимпром в настоящее время совершенно прекратил производство диметиланилина, централита, фенола, фталиевого ангидрида, дихлорамина, хлорбензола, пикриновой кислоты и других продуктов, являющихся сырьем для производства боеприпасов и авиационной промышленности. Несмотря на возросшие в связи с войной потребности, план производства основных химикатов на действующих предприятиях не выполняется:</w:t>
      </w:r>
    </w:p>
    <w:p w14:paraId="4064A66E"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продуктов, спецхимикатов и изделий</w:t>
      </w:r>
      <w:r w:rsidRPr="008A2E5A">
        <w:rPr>
          <w:rFonts w:ascii="Times New Roman" w:hAnsi="Times New Roman"/>
          <w:color w:val="0070C0"/>
          <w:sz w:val="16"/>
          <w:szCs w:val="16"/>
        </w:rPr>
        <w:tab/>
        <w:t>Выработано в IV квартале 1941 г.</w:t>
      </w:r>
      <w:r w:rsidRPr="008A2E5A">
        <w:rPr>
          <w:rFonts w:ascii="Times New Roman" w:hAnsi="Times New Roman"/>
          <w:color w:val="0070C0"/>
          <w:sz w:val="16"/>
          <w:szCs w:val="16"/>
        </w:rPr>
        <w:tab/>
        <w:t>Процент к плану</w:t>
      </w:r>
    </w:p>
    <w:p w14:paraId="70519BA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Аммиак</w:t>
      </w:r>
      <w:r w:rsidRPr="008A2E5A">
        <w:rPr>
          <w:rFonts w:ascii="Times New Roman" w:hAnsi="Times New Roman"/>
          <w:color w:val="0070C0"/>
          <w:sz w:val="16"/>
          <w:szCs w:val="16"/>
        </w:rPr>
        <w:tab/>
        <w:t>44 624 т</w:t>
      </w:r>
      <w:r w:rsidRPr="008A2E5A">
        <w:rPr>
          <w:rFonts w:ascii="Times New Roman" w:hAnsi="Times New Roman"/>
          <w:color w:val="0070C0"/>
          <w:sz w:val="16"/>
          <w:szCs w:val="16"/>
        </w:rPr>
        <w:tab/>
        <w:t>84,4</w:t>
      </w:r>
    </w:p>
    <w:p w14:paraId="05CC6F3F"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Крепкая азотная кислота</w:t>
      </w:r>
      <w:r w:rsidRPr="008A2E5A">
        <w:rPr>
          <w:rFonts w:ascii="Times New Roman" w:hAnsi="Times New Roman"/>
          <w:color w:val="0070C0"/>
          <w:sz w:val="16"/>
          <w:szCs w:val="16"/>
        </w:rPr>
        <w:tab/>
        <w:t>35 013 т</w:t>
      </w:r>
      <w:r w:rsidRPr="008A2E5A">
        <w:rPr>
          <w:rFonts w:ascii="Times New Roman" w:hAnsi="Times New Roman"/>
          <w:color w:val="0070C0"/>
          <w:sz w:val="16"/>
          <w:szCs w:val="16"/>
        </w:rPr>
        <w:tab/>
        <w:t>70,3</w:t>
      </w:r>
    </w:p>
    <w:p w14:paraId="0ED46BD4"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Олеум</w:t>
      </w:r>
      <w:r w:rsidRPr="008A2E5A">
        <w:rPr>
          <w:rFonts w:ascii="Times New Roman" w:hAnsi="Times New Roman"/>
          <w:color w:val="0070C0"/>
          <w:sz w:val="16"/>
          <w:szCs w:val="16"/>
        </w:rPr>
        <w:tab/>
        <w:t>21692 т</w:t>
      </w:r>
      <w:r w:rsidRPr="008A2E5A">
        <w:rPr>
          <w:rFonts w:ascii="Times New Roman" w:hAnsi="Times New Roman"/>
          <w:color w:val="0070C0"/>
          <w:sz w:val="16"/>
          <w:szCs w:val="16"/>
        </w:rPr>
        <w:tab/>
        <w:t>66,5</w:t>
      </w:r>
    </w:p>
    <w:p w14:paraId="0639506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Аммиачная селитра</w:t>
      </w:r>
      <w:r w:rsidRPr="008A2E5A">
        <w:rPr>
          <w:rFonts w:ascii="Times New Roman" w:hAnsi="Times New Roman"/>
          <w:color w:val="0070C0"/>
          <w:sz w:val="16"/>
          <w:szCs w:val="16"/>
        </w:rPr>
        <w:tab/>
        <w:t>62 707 т</w:t>
      </w:r>
      <w:r w:rsidRPr="008A2E5A">
        <w:rPr>
          <w:rFonts w:ascii="Times New Roman" w:hAnsi="Times New Roman"/>
          <w:color w:val="0070C0"/>
          <w:sz w:val="16"/>
          <w:szCs w:val="16"/>
        </w:rPr>
        <w:tab/>
        <w:t>100,1</w:t>
      </w:r>
    </w:p>
    <w:p w14:paraId="5FCD3ABB"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Карбид кальция</w:t>
      </w:r>
      <w:r w:rsidRPr="008A2E5A">
        <w:rPr>
          <w:rFonts w:ascii="Times New Roman" w:hAnsi="Times New Roman"/>
          <w:color w:val="0070C0"/>
          <w:sz w:val="16"/>
          <w:szCs w:val="16"/>
        </w:rPr>
        <w:tab/>
        <w:t>8089 т</w:t>
      </w:r>
      <w:r w:rsidRPr="008A2E5A">
        <w:rPr>
          <w:rFonts w:ascii="Times New Roman" w:hAnsi="Times New Roman"/>
          <w:color w:val="0070C0"/>
          <w:sz w:val="16"/>
          <w:szCs w:val="16"/>
        </w:rPr>
        <w:tab/>
        <w:t>67,1</w:t>
      </w:r>
    </w:p>
    <w:p w14:paraId="5F52F93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Кальцинированная сода</w:t>
      </w:r>
      <w:r w:rsidRPr="008A2E5A">
        <w:rPr>
          <w:rFonts w:ascii="Times New Roman" w:hAnsi="Times New Roman"/>
          <w:color w:val="0070C0"/>
          <w:sz w:val="16"/>
          <w:szCs w:val="16"/>
        </w:rPr>
        <w:tab/>
        <w:t>16 600 т</w:t>
      </w:r>
      <w:r w:rsidRPr="008A2E5A">
        <w:rPr>
          <w:rFonts w:ascii="Times New Roman" w:hAnsi="Times New Roman"/>
          <w:color w:val="0070C0"/>
          <w:sz w:val="16"/>
          <w:szCs w:val="16"/>
        </w:rPr>
        <w:tab/>
        <w:t>54,0</w:t>
      </w:r>
    </w:p>
    <w:p w14:paraId="0D2E9DC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Каустическая сода</w:t>
      </w:r>
      <w:r w:rsidRPr="008A2E5A">
        <w:rPr>
          <w:rFonts w:ascii="Times New Roman" w:hAnsi="Times New Roman"/>
          <w:color w:val="0070C0"/>
          <w:sz w:val="16"/>
          <w:szCs w:val="16"/>
        </w:rPr>
        <w:tab/>
        <w:t>21026 т</w:t>
      </w:r>
      <w:r w:rsidRPr="008A2E5A">
        <w:rPr>
          <w:rFonts w:ascii="Times New Roman" w:hAnsi="Times New Roman"/>
          <w:color w:val="0070C0"/>
          <w:sz w:val="16"/>
          <w:szCs w:val="16"/>
        </w:rPr>
        <w:tab/>
        <w:t>76,2</w:t>
      </w:r>
    </w:p>
    <w:p w14:paraId="50688282"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Оргстекло</w:t>
      </w:r>
      <w:r w:rsidRPr="008A2E5A">
        <w:rPr>
          <w:rFonts w:ascii="Times New Roman" w:hAnsi="Times New Roman"/>
          <w:color w:val="0070C0"/>
          <w:sz w:val="16"/>
          <w:szCs w:val="16"/>
        </w:rPr>
        <w:tab/>
        <w:t>59,7 т</w:t>
      </w:r>
      <w:r w:rsidRPr="008A2E5A">
        <w:rPr>
          <w:rFonts w:ascii="Times New Roman" w:hAnsi="Times New Roman"/>
          <w:color w:val="0070C0"/>
          <w:sz w:val="16"/>
          <w:szCs w:val="16"/>
        </w:rPr>
        <w:tab/>
        <w:t>18,9</w:t>
      </w:r>
    </w:p>
    <w:p w14:paraId="5463A88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Бронекозырьки</w:t>
      </w:r>
      <w:r w:rsidRPr="008A2E5A">
        <w:rPr>
          <w:rFonts w:ascii="Times New Roman" w:hAnsi="Times New Roman"/>
          <w:color w:val="0070C0"/>
          <w:sz w:val="16"/>
          <w:szCs w:val="16"/>
        </w:rPr>
        <w:tab/>
        <w:t>1434 комплекта]</w:t>
      </w:r>
      <w:r w:rsidRPr="008A2E5A">
        <w:rPr>
          <w:rFonts w:ascii="Times New Roman" w:hAnsi="Times New Roman"/>
          <w:color w:val="0070C0"/>
          <w:sz w:val="16"/>
          <w:szCs w:val="16"/>
        </w:rPr>
        <w:tab/>
        <w:t>55,2</w:t>
      </w:r>
    </w:p>
    <w:p w14:paraId="0E45A4E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Этиловая жидкость</w:t>
      </w:r>
      <w:r w:rsidRPr="008A2E5A">
        <w:rPr>
          <w:rFonts w:ascii="Times New Roman" w:hAnsi="Times New Roman"/>
          <w:color w:val="0070C0"/>
          <w:sz w:val="16"/>
          <w:szCs w:val="16"/>
        </w:rPr>
        <w:tab/>
        <w:t>646 т</w:t>
      </w:r>
      <w:r w:rsidRPr="008A2E5A">
        <w:rPr>
          <w:rFonts w:ascii="Times New Roman" w:hAnsi="Times New Roman"/>
          <w:color w:val="0070C0"/>
          <w:sz w:val="16"/>
          <w:szCs w:val="16"/>
        </w:rPr>
        <w:tab/>
        <w:t>32,0</w:t>
      </w:r>
    </w:p>
    <w:p w14:paraId="20D3110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Фосфор</w:t>
      </w:r>
      <w:r w:rsidRPr="008A2E5A">
        <w:rPr>
          <w:rFonts w:ascii="Times New Roman" w:hAnsi="Times New Roman"/>
          <w:color w:val="0070C0"/>
          <w:sz w:val="16"/>
          <w:szCs w:val="16"/>
        </w:rPr>
        <w:tab/>
        <w:t>1115 т</w:t>
      </w:r>
      <w:r w:rsidRPr="008A2E5A">
        <w:rPr>
          <w:rFonts w:ascii="Times New Roman" w:hAnsi="Times New Roman"/>
          <w:color w:val="0070C0"/>
          <w:sz w:val="16"/>
          <w:szCs w:val="16"/>
        </w:rPr>
        <w:tab/>
        <w:t>71,5</w:t>
      </w:r>
    </w:p>
    <w:p w14:paraId="5C41D3DF"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Тролит</w:t>
      </w:r>
      <w:r w:rsidRPr="008A2E5A">
        <w:rPr>
          <w:rFonts w:ascii="Times New Roman" w:hAnsi="Times New Roman"/>
          <w:color w:val="0070C0"/>
          <w:sz w:val="16"/>
          <w:szCs w:val="16"/>
        </w:rPr>
        <w:tab/>
        <w:t>3552 т</w:t>
      </w:r>
      <w:r w:rsidRPr="008A2E5A">
        <w:rPr>
          <w:rFonts w:ascii="Times New Roman" w:hAnsi="Times New Roman"/>
          <w:color w:val="0070C0"/>
          <w:sz w:val="16"/>
          <w:szCs w:val="16"/>
        </w:rPr>
        <w:tab/>
        <w:t>50,6</w:t>
      </w:r>
    </w:p>
    <w:p w14:paraId="6469FC0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Персил</w:t>
      </w:r>
      <w:r w:rsidRPr="008A2E5A">
        <w:rPr>
          <w:rFonts w:ascii="Times New Roman" w:hAnsi="Times New Roman"/>
          <w:color w:val="0070C0"/>
          <w:sz w:val="16"/>
          <w:szCs w:val="16"/>
        </w:rPr>
        <w:tab/>
        <w:t>991т'</w:t>
      </w:r>
      <w:r w:rsidRPr="008A2E5A">
        <w:rPr>
          <w:rFonts w:ascii="Times New Roman" w:hAnsi="Times New Roman"/>
          <w:color w:val="0070C0"/>
          <w:sz w:val="16"/>
          <w:szCs w:val="16"/>
        </w:rPr>
        <w:tab/>
        <w:t>30,2</w:t>
      </w:r>
    </w:p>
    <w:p w14:paraId="50F6BFEF"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Розамин</w:t>
      </w:r>
      <w:r w:rsidRPr="008A2E5A">
        <w:rPr>
          <w:rFonts w:ascii="Times New Roman" w:hAnsi="Times New Roman"/>
          <w:color w:val="0070C0"/>
          <w:sz w:val="16"/>
          <w:szCs w:val="16"/>
        </w:rPr>
        <w:tab/>
        <w:t>503 т</w:t>
      </w:r>
      <w:r w:rsidRPr="008A2E5A">
        <w:rPr>
          <w:rFonts w:ascii="Times New Roman" w:hAnsi="Times New Roman"/>
          <w:color w:val="0070C0"/>
          <w:sz w:val="16"/>
          <w:szCs w:val="16"/>
        </w:rPr>
        <w:tab/>
        <w:t>39,2</w:t>
      </w:r>
    </w:p>
    <w:p w14:paraId="252E056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Противогазы БС</w:t>
      </w:r>
      <w:r w:rsidRPr="008A2E5A">
        <w:rPr>
          <w:rFonts w:ascii="Times New Roman" w:hAnsi="Times New Roman"/>
          <w:color w:val="0070C0"/>
          <w:sz w:val="16"/>
          <w:szCs w:val="16"/>
        </w:rPr>
        <w:tab/>
        <w:t>718 тыс. шт.</w:t>
      </w:r>
      <w:r w:rsidRPr="008A2E5A">
        <w:rPr>
          <w:rFonts w:ascii="Times New Roman" w:hAnsi="Times New Roman"/>
          <w:color w:val="0070C0"/>
          <w:sz w:val="16"/>
          <w:szCs w:val="16"/>
        </w:rPr>
        <w:tab/>
        <w:t>39,3</w:t>
      </w:r>
    </w:p>
    <w:p w14:paraId="7192D2A7"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Толуол</w:t>
      </w:r>
      <w:r w:rsidRPr="008A2E5A">
        <w:rPr>
          <w:rFonts w:ascii="Times New Roman" w:hAnsi="Times New Roman"/>
          <w:color w:val="0070C0"/>
          <w:sz w:val="16"/>
          <w:szCs w:val="16"/>
        </w:rPr>
        <w:tab/>
        <w:t>1695 т</w:t>
      </w:r>
      <w:r w:rsidRPr="008A2E5A">
        <w:rPr>
          <w:rFonts w:ascii="Times New Roman" w:hAnsi="Times New Roman"/>
          <w:color w:val="0070C0"/>
          <w:sz w:val="16"/>
          <w:szCs w:val="16"/>
        </w:rPr>
        <w:tab/>
        <w:t>78,8</w:t>
      </w:r>
    </w:p>
    <w:p w14:paraId="28A8496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 основных действующих заводов Наркомхимпрома из месяца в месяц ухудшается. Выпуск продукции (без учета ввода в действие оборудования эвакуированных предприятий) в отдельные месяцы IV квартала по решающим заводам составил:</w:t>
      </w:r>
    </w:p>
    <w:p w14:paraId="5B13D9B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продуктов]</w:t>
      </w:r>
      <w:r w:rsidRPr="008A2E5A">
        <w:rPr>
          <w:rFonts w:ascii="Times New Roman" w:hAnsi="Times New Roman"/>
          <w:color w:val="0070C0"/>
          <w:sz w:val="16"/>
          <w:szCs w:val="16"/>
        </w:rPr>
        <w:tab/>
        <w:t>Выработано, в т</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239331C5"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в октябре</w:t>
      </w:r>
      <w:r w:rsidRPr="008A2E5A">
        <w:rPr>
          <w:rFonts w:ascii="Times New Roman" w:hAnsi="Times New Roman"/>
          <w:color w:val="0070C0"/>
          <w:sz w:val="16"/>
          <w:szCs w:val="16"/>
        </w:rPr>
        <w:tab/>
        <w:t>в ноябре</w:t>
      </w:r>
      <w:r w:rsidRPr="008A2E5A">
        <w:rPr>
          <w:rFonts w:ascii="Times New Roman" w:hAnsi="Times New Roman"/>
          <w:color w:val="0070C0"/>
          <w:sz w:val="16"/>
          <w:szCs w:val="16"/>
        </w:rPr>
        <w:tab/>
        <w:t>в декабре</w:t>
      </w:r>
    </w:p>
    <w:p w14:paraId="60E91D9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Аммиака</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A203D0F"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Березниковским азотно-туковым заводом</w:t>
      </w:r>
      <w:r w:rsidRPr="008A2E5A">
        <w:rPr>
          <w:rFonts w:ascii="Times New Roman" w:hAnsi="Times New Roman"/>
          <w:color w:val="0070C0"/>
          <w:sz w:val="16"/>
          <w:szCs w:val="16"/>
        </w:rPr>
        <w:tab/>
        <w:t>7260</w:t>
      </w:r>
      <w:r w:rsidRPr="008A2E5A">
        <w:rPr>
          <w:rFonts w:ascii="Times New Roman" w:hAnsi="Times New Roman"/>
          <w:color w:val="0070C0"/>
          <w:sz w:val="16"/>
          <w:szCs w:val="16"/>
        </w:rPr>
        <w:tab/>
        <w:t>6172</w:t>
      </w:r>
      <w:r w:rsidRPr="008A2E5A">
        <w:rPr>
          <w:rFonts w:ascii="Times New Roman" w:hAnsi="Times New Roman"/>
          <w:color w:val="0070C0"/>
          <w:sz w:val="16"/>
          <w:szCs w:val="16"/>
        </w:rPr>
        <w:tab/>
        <w:t>4252</w:t>
      </w:r>
    </w:p>
    <w:p w14:paraId="71D34C2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Кемеровским азотно-туковым заводом</w:t>
      </w:r>
      <w:r w:rsidRPr="008A2E5A">
        <w:rPr>
          <w:rFonts w:ascii="Times New Roman" w:hAnsi="Times New Roman"/>
          <w:color w:val="0070C0"/>
          <w:sz w:val="16"/>
          <w:szCs w:val="16"/>
        </w:rPr>
        <w:tab/>
        <w:t>5841</w:t>
      </w:r>
      <w:r w:rsidRPr="008A2E5A">
        <w:rPr>
          <w:rFonts w:ascii="Times New Roman" w:hAnsi="Times New Roman"/>
          <w:color w:val="0070C0"/>
          <w:sz w:val="16"/>
          <w:szCs w:val="16"/>
        </w:rPr>
        <w:tab/>
        <w:t>5673</w:t>
      </w:r>
      <w:r w:rsidRPr="008A2E5A">
        <w:rPr>
          <w:rFonts w:ascii="Times New Roman" w:hAnsi="Times New Roman"/>
          <w:color w:val="0070C0"/>
          <w:sz w:val="16"/>
          <w:szCs w:val="16"/>
        </w:rPr>
        <w:tab/>
        <w:t>5250</w:t>
      </w:r>
    </w:p>
    <w:p w14:paraId="521E517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Азотной кислоты крепкой</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7028D4B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Березниковским азотно-туковым заводом</w:t>
      </w:r>
      <w:r w:rsidRPr="008A2E5A">
        <w:rPr>
          <w:rFonts w:ascii="Times New Roman" w:hAnsi="Times New Roman"/>
          <w:color w:val="0070C0"/>
          <w:sz w:val="16"/>
          <w:szCs w:val="16"/>
        </w:rPr>
        <w:tab/>
        <w:t>5238</w:t>
      </w:r>
      <w:r w:rsidRPr="008A2E5A">
        <w:rPr>
          <w:rFonts w:ascii="Times New Roman" w:hAnsi="Times New Roman"/>
          <w:color w:val="0070C0"/>
          <w:sz w:val="16"/>
          <w:szCs w:val="16"/>
        </w:rPr>
        <w:tab/>
        <w:t>4310</w:t>
      </w:r>
      <w:r w:rsidRPr="008A2E5A">
        <w:rPr>
          <w:rFonts w:ascii="Times New Roman" w:hAnsi="Times New Roman"/>
          <w:color w:val="0070C0"/>
          <w:sz w:val="16"/>
          <w:szCs w:val="16"/>
        </w:rPr>
        <w:tab/>
        <w:t>3998</w:t>
      </w:r>
    </w:p>
    <w:p w14:paraId="6974718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Кемеровским азотно-туковым заводом</w:t>
      </w:r>
      <w:r w:rsidRPr="008A2E5A">
        <w:rPr>
          <w:rFonts w:ascii="Times New Roman" w:hAnsi="Times New Roman"/>
          <w:color w:val="0070C0"/>
          <w:sz w:val="16"/>
          <w:szCs w:val="16"/>
        </w:rPr>
        <w:tab/>
        <w:t>5053</w:t>
      </w:r>
      <w:r w:rsidRPr="008A2E5A">
        <w:rPr>
          <w:rFonts w:ascii="Times New Roman" w:hAnsi="Times New Roman"/>
          <w:color w:val="0070C0"/>
          <w:sz w:val="16"/>
          <w:szCs w:val="16"/>
        </w:rPr>
        <w:tab/>
        <w:t>4245</w:t>
      </w:r>
      <w:r w:rsidRPr="008A2E5A">
        <w:rPr>
          <w:rFonts w:ascii="Times New Roman" w:hAnsi="Times New Roman"/>
          <w:color w:val="0070C0"/>
          <w:sz w:val="16"/>
          <w:szCs w:val="16"/>
        </w:rPr>
        <w:tab/>
        <w:t>4300</w:t>
      </w:r>
    </w:p>
    <w:p w14:paraId="333513C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Аммиачной селитры</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6438B5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Кемеровским азотно-туковым заводом</w:t>
      </w:r>
      <w:r w:rsidRPr="008A2E5A">
        <w:rPr>
          <w:rFonts w:ascii="Times New Roman" w:hAnsi="Times New Roman"/>
          <w:color w:val="0070C0"/>
          <w:sz w:val="16"/>
          <w:szCs w:val="16"/>
        </w:rPr>
        <w:tab/>
        <w:t>9361</w:t>
      </w:r>
      <w:r w:rsidRPr="008A2E5A">
        <w:rPr>
          <w:rFonts w:ascii="Times New Roman" w:hAnsi="Times New Roman"/>
          <w:color w:val="0070C0"/>
          <w:sz w:val="16"/>
          <w:szCs w:val="16"/>
        </w:rPr>
        <w:tab/>
        <w:t>9261</w:t>
      </w:r>
      <w:r w:rsidRPr="008A2E5A">
        <w:rPr>
          <w:rFonts w:ascii="Times New Roman" w:hAnsi="Times New Roman"/>
          <w:color w:val="0070C0"/>
          <w:sz w:val="16"/>
          <w:szCs w:val="16"/>
        </w:rPr>
        <w:tab/>
        <w:t>8493</w:t>
      </w:r>
    </w:p>
    <w:p w14:paraId="3844386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Чирчикским электрохимическим заводом</w:t>
      </w:r>
      <w:r w:rsidRPr="008A2E5A">
        <w:rPr>
          <w:rFonts w:ascii="Times New Roman" w:hAnsi="Times New Roman"/>
          <w:color w:val="0070C0"/>
          <w:sz w:val="16"/>
          <w:szCs w:val="16"/>
        </w:rPr>
        <w:tab/>
        <w:t>5975</w:t>
      </w:r>
      <w:r w:rsidRPr="008A2E5A">
        <w:rPr>
          <w:rFonts w:ascii="Times New Roman" w:hAnsi="Times New Roman"/>
          <w:color w:val="0070C0"/>
          <w:sz w:val="16"/>
          <w:szCs w:val="16"/>
        </w:rPr>
        <w:tab/>
        <w:t>4851</w:t>
      </w:r>
      <w:r w:rsidRPr="008A2E5A">
        <w:rPr>
          <w:rFonts w:ascii="Times New Roman" w:hAnsi="Times New Roman"/>
          <w:color w:val="0070C0"/>
          <w:sz w:val="16"/>
          <w:szCs w:val="16"/>
        </w:rPr>
        <w:tab/>
        <w:t>4552</w:t>
      </w:r>
    </w:p>
    <w:p w14:paraId="2C33C38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Карбида кальция</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58E19153"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Кировоканским химзаводом</w:t>
      </w:r>
      <w:r w:rsidRPr="008A2E5A">
        <w:rPr>
          <w:rFonts w:ascii="Times New Roman" w:hAnsi="Times New Roman"/>
          <w:color w:val="0070C0"/>
          <w:sz w:val="16"/>
          <w:szCs w:val="16"/>
        </w:rPr>
        <w:tab/>
        <w:t>1271</w:t>
      </w:r>
      <w:r w:rsidRPr="008A2E5A">
        <w:rPr>
          <w:rFonts w:ascii="Times New Roman" w:hAnsi="Times New Roman"/>
          <w:color w:val="0070C0"/>
          <w:sz w:val="16"/>
          <w:szCs w:val="16"/>
        </w:rPr>
        <w:tab/>
        <w:t>1006</w:t>
      </w:r>
      <w:r w:rsidRPr="008A2E5A">
        <w:rPr>
          <w:rFonts w:ascii="Times New Roman" w:hAnsi="Times New Roman"/>
          <w:color w:val="0070C0"/>
          <w:sz w:val="16"/>
          <w:szCs w:val="16"/>
        </w:rPr>
        <w:tab/>
        <w:t>330</w:t>
      </w:r>
    </w:p>
    <w:p w14:paraId="6090F13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Соды кальцинированной</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382E9E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Березниковским содовым заводом</w:t>
      </w:r>
      <w:r w:rsidRPr="008A2E5A">
        <w:rPr>
          <w:rFonts w:ascii="Times New Roman" w:hAnsi="Times New Roman"/>
          <w:color w:val="0070C0"/>
          <w:sz w:val="16"/>
          <w:szCs w:val="16"/>
        </w:rPr>
        <w:tab/>
        <w:t>8633</w:t>
      </w:r>
      <w:r w:rsidRPr="008A2E5A">
        <w:rPr>
          <w:rFonts w:ascii="Times New Roman" w:hAnsi="Times New Roman"/>
          <w:color w:val="0070C0"/>
          <w:sz w:val="16"/>
          <w:szCs w:val="16"/>
        </w:rPr>
        <w:tab/>
        <w:t>7203</w:t>
      </w:r>
      <w:r w:rsidRPr="008A2E5A">
        <w:rPr>
          <w:rFonts w:ascii="Times New Roman" w:hAnsi="Times New Roman"/>
          <w:color w:val="0070C0"/>
          <w:sz w:val="16"/>
          <w:szCs w:val="16"/>
        </w:rPr>
        <w:tab/>
        <w:t>829</w:t>
      </w:r>
    </w:p>
    <w:p w14:paraId="405426B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первой декады января 1942 г. показывают, что работа химических заводов не улучшается1*. Завод № 237 выработал за декаду азотнокислого бария лишь 38 т, что составляет 6,3% к месячному плану, Кировоградский завод за 9 дней января выработал олеума 1120 т — 20,9% месячного плана, Красноуральский химзавод за 9 дней изготовил олеума 285 т — 7,1% январского плана и т. д.</w:t>
      </w:r>
    </w:p>
    <w:p w14:paraId="775E5EF2"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Такое положение в химической промышленности явилось следствием бюрократического стиля руководства Наркомхимпрома1* своими отраслями промышленности и безответственного отношения наркома — т. Денисова М. Ф. и его заместителей: Березовского И. А., Лозбень И. Ф., Локшина Л. М. и Голованева Ф. Т. — к решению важнейших задач, поставленных перед химической промышленностью.</w:t>
      </w:r>
    </w:p>
    <w:p w14:paraId="7A6D5EA6"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Заводы 1-го Главного управления (№ 96,102, 148,100, 395,13 и др.), специально построенные задолго до войны и предназначенные исключительно для производства спецхимикатов и средств химзащиты, оказались неподготовленными к производству спецпродукции в момент войны. Нарком Денисов, быв. его заместитель Лозбень и начальник военного отдела наркомата Савичев до войны не следили за состоянием этих заводов и не проверяли действие установок по изготовлению химикатов. Так, не были опробованы в мирное время цех тролита на заводе № 100, цех тролита и персила на заводе № 96 и цех розамина на заводе № 148. Когда же вначале войны эти цеха были пущены в эксплуатацию, то оказалось, что на заводе № 96 невозможно получить треххлористый мышьяк ранее предлагавшимся методом. В течение 6 месяцев (июнь-декабрь 1941 г.) на заводе № 96 производились эксперименты для определения возможности получения этого продукта, но они никакого результата не дали. В настоящее время Наркомхимпром по указанию правительства строит новый цех для производства треххлористого мышьяка старым методом.</w:t>
      </w:r>
    </w:p>
    <w:p w14:paraId="50D50682"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148 при пуске в эксплуатацию цеха розамина выявилось несоответствие мощностей отдельных агрегатов. Установка по удалению шлама оказалась узким местом в производстве розамина. В результате выпуск продукции этого цеха все время не превышает 40% его проектной мощности. Оборудование цеха тролита завода № 100 в период консервации находилось в запущенном состоянии, основные аппараты и коммуникации поржавели, и поэтому во время ввода цеха в эксплуатацию они часто выходили из строя. Кадры рабочих и инженерно-технических работников своевременно не были обучены, вследствие чего во время ввода спеццеха в эксплуатацию имели место неоднократные случаи поражения рабочих.</w:t>
      </w:r>
    </w:p>
    <w:p w14:paraId="17677AF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неподготовленности заводов 1-го главка план производства спецхимикатов во втором полугодии 1941 г. оказался сорванным. Нормальный выпуск этих продуктов до настоящего времени еще не налажен.</w:t>
      </w:r>
    </w:p>
    <w:p w14:paraId="77E582D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т. Денисов и его заместитель т. Березовский своими непродуманными указаниями и распоряжениями дезорганизовали работы по восстановлению эвакуированных предприятий. Тов. Денисов ходом эвакуации химических заводов не руководил и не знал фактического положения дел. В ноябре 1941 г. им был представлен на утверждение правительства график восстановления эвакуированных предприятий.</w:t>
      </w:r>
    </w:p>
    <w:p w14:paraId="3AD8560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этом графике т. Денисов предусмотрел восстановление ряда цехов, которые совершенно не были вывезены с прежних мест и, наоборот, в график восстановления им не включен ряд важнейших цехов, оборудование которых было вывезено. Цех азотной кислоты Горловского азотно-тукового завода, цех № 12 Сталиногорского завода, цех пикриновой кислоты Славянского завода по графику должны быть восстановлены в новых районах в январе 1942 г., тогда как оборудование этих цехов совершенно не было эвакуировано. Завод № 100, № 94, Сакский и Перекопский бромные заводы, цех средств коллективной химзащиты завода № 395 и другие, оборудование которых было эвакуировано, а восстановление их не [было] предусмотрено графиком.</w:t>
      </w:r>
    </w:p>
    <w:p w14:paraId="18693D1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Допустив путаницу в графике, т. Денисов не исправил его. В последующем Наркомхимпром не выявил и окончательно не определил, где должны восстанавливаться эвакуированные заводы и цеха. Новый график не был представлен на утверждение правительства. Цех розамина Воскресенского комбината по решению правительства должен восстанавливаться в г. Новосибирске, оборудование же этого цеха Наркомхимпром направил в г. Белово, а затем вошел в правительство с просьбой разрешить ему восстанавливать цех на челябинском заводе К-4. В настоящее время Наркомхимпром пришел к выводу, что и это место для восстановления цеха розамина выбрано неудачно, поэтому к работам по организации производства розамина на заводе К-4 Наркомхимпром не приступает.</w:t>
      </w:r>
    </w:p>
    <w:p w14:paraId="185A2A9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постановлению СНК СССР от 17 ноября 1941 г. на Молотовском заводе № 624 должно быть восстановлено в январе 1942 г. 5 контактных аппаратов цеха олеума Воскресенского химкомбината. По указанию же Наркомхимпрома в г. Молотов отправлено только 2 контактных узла, а турбокомпрессоры к ним засланы в г. Белово Новосибирской области и до настоящего времени в г. Молотов не переотправлены.</w:t>
      </w:r>
    </w:p>
    <w:p w14:paraId="5620F7B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графику, утвержденному СНК, цех снаряжения противогазов, эвакуированный с завода № 395, должен быть восстановлен: 1-й конвейер — на заводе № 13 в г. Куйбышеве со сроком выпуска продукции в феврале 1942 г., 2-й конвейер — на заводе № 103 в г. Закамске. Бывший заместитель наркома Лозбень самовольно отправил оба конвейера на завод [№] 103, тогда как на этом заводе может быть размещен только один конвейер. На куйбышевском же заводе площади, предназначенные для монтажа 2-го конвейера, не используются. На завод № 103 в г. Молотов прибыло оборудование цеха химпоглотителя завода № 395. Для размещения этого оборудования было приготовлено помещение, произведен демонтаж старого оборудования и начаты работы по монтажу цеха химпоглотителя. Письмом от 15 декабря 1941 г. нарком Денисов предложил оборудование этого цеха отправить в г. Чапаевск.</w:t>
      </w:r>
    </w:p>
    <w:p w14:paraId="49CCE46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цеха металлического натрия завода «Донсода» Наркомхимпром направил в Березники, а в предложениях, внесенных им в СНК, восстановление этого цеха Наркомхимпром наметил в г. Чапаевске. В народно-хозяйственном плане на I квартал восстановление цеха металлического натрия завода «Донсода» предусмотрено в феврале 1942 г. в г. Чапаевске.</w:t>
      </w:r>
    </w:p>
    <w:p w14:paraId="5464107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Народный комиссар т. Денисов, желая скрыть провал Наркомхимпрома по восстановлению эвакуированных предприятий, представил в правительство 16 декабря 1941 г. ложное объяснение по этому вопросу. Тов. Денисов сообщил СНК, что цех «К» оксилита, эвакуированный с Донецкого содового завода, «восстанавливается на Чирчикском АТЗ, строительными и монтажными работами выполнен на 90%. Пущен будет в срок». В действительности оборудование этого цеха на Чирчикский комбинат совершенно не поступало.</w:t>
      </w:r>
    </w:p>
    <w:p w14:paraId="1DD8DAD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объяснении т. Денисов сообщил, что на челябинском заводе № 34 восстановлен и приступил к выпуску продукции цех нитролаков. Фактически на 15 января 1942 г. этот цех до сих пор в эксплуатацию не пущен, строительные работы по цеху не закончены, монтаж основного оборудования еще не начинался, а смонтированная временная остановка по производству нитролаков мощностью в 2,5 тыс. т в год не работает.</w:t>
      </w:r>
    </w:p>
    <w:p w14:paraId="2350E8C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Сообщение т. Денисова о ходе восстановления оборудования на Кемеровском комбинате также не соответствует действительности. Тов. Денисов сообщил, что «по цеху крепкой азотной кислоты введены в действие два агрегата». Фактически монтаж этих агрегатов до настоящего времени еще не закончен.</w:t>
      </w:r>
    </w:p>
    <w:p w14:paraId="71FF501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примеру наркома т. Денисова, ложные данные представлял в правительство его заместитель Березовский. 7 декабря 1941 г. Березовский сообщил СНК СССР, что на Чирчикском комбинате ведется монтаж цеха (4 агрегата) крепкой азотной кистоты мощностью 100 т в сутки, на самом же деле в тот период никакой работы по монтажу цеха не велось. В настоящее время на Чирчикском комбинате ведется подготовка (монтажа одного агрегата мощностью 25 т в сутки. В том же документе Березовский докладывал СНК, что на завод № 237 прибыло оборудование цеха пикриновой кислоты Славянского завода и что оборудование подготовлено к монтажу. В действительности основное технологическое оборудование со Славянского завода не было вывезено, а вакумированные 7 шт. центрифуг на завод [№] 237 не прибыли.</w:t>
      </w:r>
    </w:p>
    <w:p w14:paraId="6AAF8F57"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Положение в химической промышленности усугубилось еще и тем, что Наркомимпром систематически не выполняет план капитальных работ. По предприятиям и тройкам восточных районов план капитальных работ за 11 месяцев 1941 г. выполнен всего лишь на 40,8%. В IV квартале вместо усиления капитальных работ в связи с эвакуацией заводов Наркомхимпром еще хуже выполнял эти работы. Выполнение квартального плана за октябрь-ноябрь составило только 23%. Главхимпромстрой НКХП (ведущий строительно-монтажные работы на 7 заводах Наркомхимпрома, оказался неподготовленным к выполнению плана капитальных работ 1941 г. и сорвал строительство первоочередных объектов: производство хлорбензола на Березниковском содовом заводе, цехов слабой и крепкой азотной кислоты и метанола на Березниковском азотно-туковом заводе, олеума на Молотовском заводе № 624, оргстекла и авиаброни (козырьков на Челябинском заводе К-4.</w:t>
      </w:r>
    </w:p>
    <w:p w14:paraId="6C1ADD7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Наркомхимпром не принял необходимых мер и не обеспечил выполнение плана капитальных работ по важнейшим объектам, предусмотренным специальными решениями правительства. СНК СССР и ЦК ВКП(б) 16 августа 1941 г. обязали (Наркомхимпром ввести в эксплуатацию первую очередь Красноуральского олеумного завода мощностью 80 тыс. т в год к 1 ноября 1941 г. Бывший начальник Главхимпрома Голованев (ныне заместитель наркома) не принял необходимых мер к окончанию строительства и монтажа оборудования. К 1 ноября 1941 г. завод не был введен в эксплуатацию.</w:t>
      </w:r>
    </w:p>
    <w:p w14:paraId="5DAFD8EE"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Красноуральский олеумный завод введен в действие лишь на 20% от установленной правительством мощности.</w:t>
      </w:r>
    </w:p>
    <w:p w14:paraId="3E21F81B"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обеспечения Красноуральского и других олеумных заводов контактной массой Наркомхимпром, согласно постановлению СНК СССР от 29 ноября 1941 г., обязан был построить и ввести в действие в декабре 1941 г. на Красноуральском заводе цех контактной массы на 200 т в год. Бывший начальник Главхимпрома Голованев и главный инженер этого главка Пурский своими противоречивыми указаниями дезориентировали руководство Красноуральского завода и самовольно отменили строительство указанного цеха. 5 августа 1941 г. письмом Главхимпрома № 2948с было предложено Красноуральскому заводу приступить к строительству цеха контактной массы, а 18 августа было получено распоряжение быв. начальника Главхимпрома Голованева передать все чертежи и оборудование Кировоградскому заводу. 28 августа 1941 г. последовало новое распоряжение — заместитель начальника Главхимпрома Берковский предложил директору Красноуральского завода приступить к строительству цеха. Распоряжение этого начальника в ноябре 1941 г. отменил главный инженер Главхимпрома Пурский, который устно предложил директору Красноуральского завода не строить цех контактной массы. В результате самоуправства указанных лиц строительство цеха контактной массы на заданную правительством мощность сорвано. На Кировоградском </w:t>
      </w:r>
    </w:p>
    <w:p w14:paraId="3837EEE3"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заводе в настоящее время действует установка, которая в декабре 1941 г. выработала 1,2 т вместо 10 т, предусмотренных в постановлении СНК СССР от 29 ноября 1941 г. для Красноуральского завода. Отсутствие в необходимых количествах контактной массы задерживает в настоящее время пуск новых мощностей по производству олеума на Красноуральском и Челябинском заводах.</w:t>
      </w:r>
    </w:p>
    <w:p w14:paraId="54D45474"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постановлением № 471сс от 12 августа 1941 г. обязал Наркомхимпром ввести в октябре 1941 г. —-феврале 1942 г. новые мощности по спецхимикатам на заводах № 102, 96 и 91 и на Березниковском содовом заводе. Несмотря на то, что сроки ввода новых мощностей по большинству объектов истекли, ни по одному их них новые мощности не созданы.</w:t>
      </w:r>
    </w:p>
    <w:p w14:paraId="70B8C5BF"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СНК СССР и ЦК ВКП(б) 16 августа утвердили дополнительное задание по наращению мощностей спецхимикатов и средств химической защиты на заводах № 103 и 510. На заводе № 510 в I квартале должны быть построены цеха розамина и оргстекла и во II квартале цеха тролита и персила. Основные проектные работы по строительству этих цехов были закончены еще в октябре 1941 г., однако, по распоряжению быв. заместителя наркома Лозбеня, 16 октября 1941 г. вся проектная документация в ГСПИ-3 была уничтожена. Восстановить прежние проекты ГСПИ-3 не мог, и поэтому в ноябре приступил к проектированию цехов вновь.</w:t>
      </w:r>
    </w:p>
    <w:p w14:paraId="7B8727E5"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Наркомхимпром безответственно отнесся к составлению проекта плана капитальных работ I квартала 1942 г. Замнаркома Березовский представил на утверждение СНК СССР проект плана, в котором не предусмотрел строительство важнейших объектов, утвержденных к восстановлению постановлением СНК СССР от 17 ноября 1941 г. Вследствие этого в утвержденный правительством план капитальных работ I квартала не вошли: строительство Уфимского анилинокрасочного завода, Кемеровского завода пластмасс, завода № 624 (цеха анилина, диметиланилина), № 620 (цеха фенола и пикриновой кислоты). В проекте плана Березовский также не предусмотрел продолжение строительства новых объектов — заводов № 506 и 365 (по производству этиловой жидкости) и завода № 397 (снаряжение противогазов).</w:t>
      </w:r>
    </w:p>
    <w:p w14:paraId="0B12719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 Денисов допустил произвол и несогласованность действий членов коллегии наркомата, что дезорганизовало и вносило путаницу в работу промышленности. В течение всего IV квартала предприятия Главазота получали от наркомата различные планы по выпуску продукции. Так, Чернореченскому заводу на ноябрь 1941 г. были спущены три различных производственных плана по цианплаву:</w:t>
      </w:r>
    </w:p>
    <w:p w14:paraId="5D9D130F"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заместителем наркома Березовским из г. Молотова — в количестве 1600 т, заместителем наркома Железняковым из Дзержинска — 940 т и Главазотом — в количестве 1770 т. От этих руководителей завод получил три различных плана на ноябрь 1941 г. по производству розамина и дициан-диамида.</w:t>
      </w:r>
    </w:p>
    <w:p w14:paraId="6DF118C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Кемеровский завод получил на декабрь 1941 г. также три различных плана по аммиаку: из наркомата (г. Молотов) — 6200 т, из оперативной группы наркомата (г. Куйбышев) — 6284 т, из Главазота — 6175 т. По крепкой азотной кислоте план на декабрь 1941 г. этому заводу сообщен из г. Молотова в количестве 6820 т, из Куйбышева в количестве 7500 т.</w:t>
      </w:r>
    </w:p>
    <w:p w14:paraId="5550DE44"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Денисов 15 ноября 1941 г. дал указание передать калориферы с 1-го калийного комбината на челябинский завод К-4, а 21 ноября он эти же калориферы распорядился передать Березниковскому содовому заводу. Замнеститель наркома Железняков, независимо от распоряжения Денисова, распорядился оставить калориферы на калийном комбинате.</w:t>
      </w:r>
    </w:p>
    <w:p w14:paraId="1A6BAB4D"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распоряжению заместителя наркома Мельника два котла Шухов-Берлина завода № 90 были занаряжены челябинскому заводу К-4. Народный комиссар Денисов своим распоряжением передал один котел молотовскому заводу № 624, второй котел оставлен на заводе № 90. Распоряжением же заместителя наркома Голованева один котел вновь передан челябинскому заводу К-4. Куда в конечном счете отгружены эти котлы, в аппарате наркомата выяснить не удалось.</w:t>
      </w:r>
    </w:p>
    <w:p w14:paraId="2F975F3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14 декабря 1941 г. обязал Наркомхимпром построить цеха формалина и уротропина, необходимые для производства гексогена.</w:t>
      </w:r>
    </w:p>
    <w:p w14:paraId="5D2CD4A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наркома Железняков возложил строительство этих цехов на Главанилкраску, а заместитель наркома Голованев, будучи в Кемерово, своим приказом от 30 декабря 1941 г. поручил строить эти цеха 1-му Главному управлению. Фактически ни Главанилкраска, ни 1-е Главное управление к строительству цехов не приступили.</w:t>
      </w:r>
    </w:p>
    <w:p w14:paraId="1BE7582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Наркомхимпроме имеют место факты игнорирования решений правительства и Государственного комитета обороны. Государственный комитет обороны своим постановлением от 14 октября 1941 г. обязал Наркомхимпром организовать к 1 января 1941 г. на Кемеровском и Чирчикском заводах производство жидких окислов азота для снаряжения ФАБов жидким ВВ «нитрол». Тов. Денисов задания заводам не дал, а решение ГКО сжег. О решении ГКО оба завода узнали из других источников (от авторов — Эпштейна и Смирнова) и по своей инициативе приступили к организации этого производства. Аппарат Наркомхимпрома узнал о решении ГКО лишь 17 декабря из телеграммы, присланной директором Кемеровского завода.</w:t>
      </w:r>
    </w:p>
    <w:p w14:paraId="152C795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Распоряжением ГКО от 26 июля 1941 г. Наркомхимпрому было предложено снарядить в III и IV кварталах ФАБ-100 жидким ВВ КД в количестве 25 тыс. шт. и сдать их равными партиями ГУ ВВС КА3. Наркомхимпром, формально выдав заводу № 102 задание на снаряжение ФАБов, в план завода III и IV кварталов снаряжение этих ФАБов не включил. В результате задание ГКО было сорвано.</w:t>
      </w:r>
    </w:p>
    <w:p w14:paraId="66382E3C"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Совнарком Союза ССР распоряжением от 1 октября 1941 г. обязал наркома химической промышленности т. Денисова построить на Востоке дублер завода пековых пробок. Никаких распоряжений об организации этого завода Наркомхимпром не </w:t>
      </w:r>
      <w:proofErr w:type="gramStart"/>
      <w:r w:rsidRPr="008A2E5A">
        <w:rPr>
          <w:rFonts w:ascii="Times New Roman" w:hAnsi="Times New Roman"/>
          <w:color w:val="0070C0"/>
          <w:sz w:val="16"/>
          <w:szCs w:val="16"/>
        </w:rPr>
        <w:t>дал</w:t>
      </w:r>
      <w:proofErr w:type="gramEnd"/>
      <w:r w:rsidRPr="008A2E5A">
        <w:rPr>
          <w:rFonts w:ascii="Times New Roman" w:hAnsi="Times New Roman"/>
          <w:color w:val="0070C0"/>
          <w:sz w:val="16"/>
          <w:szCs w:val="16"/>
        </w:rPr>
        <w:t xml:space="preserve"> а распоряжение СНК сжег.</w:t>
      </w:r>
    </w:p>
    <w:p w14:paraId="1452AB03"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Распоряжением СНК СССР от 11 июня 1941 г. Наркомхимпрому было предложено вывести с территории Дорхимзавода не менее 500 т олеума, т. Денисов поручил выполнение этого распоряжения начальнику Главанилкраски Смирнову, а Смирнов - начальнику отдела снабжения главка Аванесову. Эта история с вывозом олеума за пределы Москвы кончилась тем, что 16 октября из емкостей Дорхимзавода олеум количестве 600 т был просто слит в Москва-реку.</w:t>
      </w:r>
    </w:p>
    <w:p w14:paraId="4277453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СНК СССР постановлением от 25 ноября 1941 г. установил план производстве желтого фосфора на декабрь 1941 г. в количестве 530 т, а народный комиссар т. Денисов самовольно уменьшил этот план до 450 т. План производства смол СБС и СКС идущих для нужд авиапромышленности, на январь 1942 г. правительством установлен в количестве 300 т, плановый же отдел наркомата самовольно снизил этот план до 175 т.</w:t>
      </w:r>
    </w:p>
    <w:p w14:paraId="74A63DFE"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Безответственное отношение руководства наркомата к выполнению правительственных решений, несогласованность действий руководителей наркомата и отсутствие контроля за выполнением решений правительства и приказов наркома привел к развалу аппарата Наркомхимпрома. Аппарат наркомата в настоящее время фактически бездействует. Главки и отделы наркомата из оперативных органов превратились в плохие статистические бюро. Военный отдел фактически никакой работы не ведет, работники его бездельничают. ОКС наркомата строительством не занимается и никакого влияния на ход восстановления эвакуированных предприятий не оказывает. Первый главк оторвался от своих предприятий и заводов и фактически ими не руководит.</w:t>
      </w:r>
    </w:p>
    <w:p w14:paraId="28A52745"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Главные управления и отделы в течение длительного времени остаются без основные руководящих работников.</w:t>
      </w:r>
    </w:p>
    <w:p w14:paraId="62E04E6B"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Наркомхимпроме установилась система, когда руководители главков и отделов на длительные сроки выбывают в командировки, а руководство главками и отделами подчас передоверяется второстепенным и малоавторитетным работникам. Командировки же проводятся без нужной целеустремленности, результаты их крайне ничтожны. Некоторые работники, приезжая на места, бездельничают там, отчетов от них никто не требует.</w:t>
      </w:r>
    </w:p>
    <w:p w14:paraId="522D3C3B"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Главазота Уваров был в командировке с 25 августа 1941 г. по 7 январе 1942 г., причем более 1,5 месяца вообще неизвестно, где находился Уваров. Во время отсутствия Уварова главком «руководил» начальник финансового отдела Фролкин, в отдельные периоды — главный бухгалтер этого главка Макаров. Начальник Главхимпласта Николаев за 2,5 месяца был в главке только 3 дня, все остальное время провели в командировках, при этом заводы, на которых был Николаев, работу не улучшили.</w:t>
      </w:r>
    </w:p>
    <w:p w14:paraId="2C6C89B6"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Главанилкраски Смирнов в период с 29 сентября 1941 г. по 19 января 1942 г. пробыл в командировке на Челябинской, Кемеровской и Барнаульской строиках 92 дня. На этих же стройках был и начальник ОКСа главка Покараев. Смирнов и Покараев бездельничали на месте и стройки важнейших объектов провалили. Такое положение имеет место и в других главках.</w:t>
      </w:r>
    </w:p>
    <w:p w14:paraId="5AEBE2A2"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 аппарата дезорганизована еще и тем, что подавляющая часть исходных материалов, над которыми повседневно должен работать наркомат, была уничтожена.</w:t>
      </w:r>
    </w:p>
    <w:p w14:paraId="266240B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Опросом ряда работников наркомата установлено, что непосредственное указание о сожжении документов давал народный комиссар т. Денисов, причем т. Денисов дал указание уничтожить документы не только в наркомате в г. Москве, но и в той части наркомата, которая с июля 1941 г. находилась в г. Дзержинске Горьковской обл. Заместитель начальника Главхимпласт НКХП Барботин и начальник производственно-технического отдела этого главка Рохлин в объяснении, представленном в Наркомат госконтроля по этому вопросу, пишут: «Уничтожение документов в Москве было произведено по прямому указанию народного комиссара, данному им непосредственно начальникам главных управлений. Первоначально было дано разрешение подготовить к отправке несколько мешков, а затем поступило вторичное распоряжение о полном уничтожении материала.</w:t>
      </w:r>
    </w:p>
    <w:p w14:paraId="22585FA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Материал, находившийся в Дзержинске, был уничтожен по прямому указанию народного комиссара, лично установившего количество подлежащих сохранению мешков по каждому главку». То же самое показывают в своих объяснениях и другие работники.</w:t>
      </w:r>
    </w:p>
    <w:p w14:paraId="3359661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Детальной проверкой установлено, что по указанию т. Денисова уничтожены исключительно важные для работы наркомата материалы. По капитальному строительству были уничтожены: генпланы заводов, проектные материалы, отчетные данные, типовые строительные конструкции и др. Планово-экономический отдел НКХП по прибытии в г. Молотов совершенно не имел исходных данных для планирования, </w:t>
      </w:r>
      <w:proofErr w:type="gramStart"/>
      <w:r w:rsidRPr="008A2E5A">
        <w:rPr>
          <w:rFonts w:ascii="Times New Roman" w:hAnsi="Times New Roman"/>
          <w:color w:val="0070C0"/>
          <w:sz w:val="16"/>
          <w:szCs w:val="16"/>
        </w:rPr>
        <w:t>как то</w:t>
      </w:r>
      <w:proofErr w:type="gramEnd"/>
      <w:r w:rsidRPr="008A2E5A">
        <w:rPr>
          <w:rFonts w:ascii="Times New Roman" w:hAnsi="Times New Roman"/>
          <w:color w:val="0070C0"/>
          <w:sz w:val="16"/>
          <w:szCs w:val="16"/>
        </w:rPr>
        <w:t>: расходных коэффициентов, мощностей заводов, их обеспеченности сырьем и материалами.</w:t>
      </w:r>
    </w:p>
    <w:p w14:paraId="07AEB94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техническом отделе наркомата полностью уничтожены технологические режимы и нормы по всем важнейшим производствам, материалы по геологическим фондам и технические отчеты предприятий и научно-исследовательских организаций.</w:t>
      </w:r>
    </w:p>
    <w:p w14:paraId="5506BDB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Первом главном управлении уничтожены технологические режимы заводов, материалы по расходным коэффициентам, технические отчеты заводов и проектные материалы. По распоряжению Лозбеня в Государственном проектном институте № 3 Первого главного управления уничтожена вся проектная документация, уникальные справочные материалы по организации и проектированию производства спецхимии.</w:t>
      </w:r>
    </w:p>
    <w:p w14:paraId="7EA92F6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указанию того же Лозбеня в Научно-исследовательском институте № 42 были уничтожены все отчетные материалы и опытные данные научно-исследовательских работ по спецхимии, накопленные на протяжении ряда лет.</w:t>
      </w:r>
    </w:p>
    <w:p w14:paraId="3B8B9FE3"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Полностью уничтожена вся документация военного отдела. Инструктор секретной части НКХП Сковородина и старшая машинистка Хильмон сообщили Наркомату госконтроля, что «при эвакуации в г. Молотов все архивные материалы и текущая переписка, находившиеся в секретной части военного отдела, были уничтожены (сожжены)... Военный отдел в г. Молотов не привез с собой никаких документов:</w:t>
      </w:r>
    </w:p>
    <w:p w14:paraId="7681A6D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 архивных, ни текущих». То же самое сообщает и и. о. начальника военного отдела НКХП Михайловский: «Военный отдел Наркомхимпрома начал свою деятельность в г. Молотове без наличия каких бы то ни было документов».</w:t>
      </w:r>
    </w:p>
    <w:p w14:paraId="66EAB57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Главгорхимпрому уничтожены в г. Дзержинске проектные задания, технические проекты, сметно-финансовые расчеты, ценники на материалы, технические сметы, генсметы, генпланы, материалы геологических фондов, планы </w:t>
      </w:r>
      <w:proofErr w:type="gramStart"/>
      <w:r w:rsidRPr="008A2E5A">
        <w:rPr>
          <w:rFonts w:ascii="Times New Roman" w:hAnsi="Times New Roman"/>
          <w:color w:val="0070C0"/>
          <w:sz w:val="16"/>
          <w:szCs w:val="16"/>
        </w:rPr>
        <w:t>геолого-разведочных</w:t>
      </w:r>
      <w:proofErr w:type="gramEnd"/>
      <w:r w:rsidRPr="008A2E5A">
        <w:rPr>
          <w:rFonts w:ascii="Times New Roman" w:hAnsi="Times New Roman"/>
          <w:color w:val="0070C0"/>
          <w:sz w:val="16"/>
          <w:szCs w:val="16"/>
        </w:rPr>
        <w:t xml:space="preserve"> и горных работ. В таком же порядке были уничтожены материалы и в других главках.</w:t>
      </w:r>
    </w:p>
    <w:p w14:paraId="553F6506"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отделе кадров наркомата уничтожены все личные дела.</w:t>
      </w:r>
    </w:p>
    <w:p w14:paraId="7C13812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т. Денисов личным примером воспитывает аппарат в духе бюрократизма.</w:t>
      </w:r>
    </w:p>
    <w:p w14:paraId="134DA2B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Вопросы, которые ставят перед наркомом директора заводов, начальники главков и отдельные организации, т. Денисов не рассматривает и не решает. Этим делом у него занимается начальник секретариата наркома Качанов. Примером формально бюрократического отношения к решению вопросов могут служить следующие факты: директор Владимирского химического завода т. Агафонов 3 декабря 1941 г. сообщал т. Денисову о тяжелом положении на заводе с производством фаолита и смол и просил оказать заводу необходимую помощь. Этот вопрос т. Денисов не рассматривал. На документе имеется резолюция начальника секретариата следующего содержания: «т. Рохлину (и. о. начальника главка). Когда главк наконец будет руководить заводом или будет продолжать играть в прятки. Немедленно дать исчерпывающий ответ на все поставленные </w:t>
      </w:r>
    </w:p>
    <w:p w14:paraId="2466E95E"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вопросы в оказании помощи. Качанов».</w:t>
      </w:r>
    </w:p>
    <w:p w14:paraId="1B13942A"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«Победа рабочих» т. Терехин и директор завода «Свободный труд» т. Храмов 6 ноября прислали на имя т. Денисова совместное письмо, в котором жаловались на аппарат наркомата и просили решить целый ряд вопросов, связанных с деятельностью их заводов. Направление этому письму дал Качанов, положив на нем резолюцию: «т. Баранову (заместителю начальника главка) Главанилкраска. Немедленно сообщите заводу, как действовать по поставленным вопросам. Руководите заводами.</w:t>
      </w:r>
    </w:p>
    <w:p w14:paraId="5927E10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ноября 1941 г. Качанов».</w:t>
      </w:r>
    </w:p>
    <w:p w14:paraId="69EFC3B8"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инженер строительства уфимского завода № 505 т. Гриништейн 24 ноября 1941 г. сообщал т. Денисову о неудовлетворительном состоянии строительства и предлагал ряд мероприятий по улучшению дела. Нарком т. Денисов не рассматривал это письмо, за него решил тот же самый бюрократ из секретариата Качанов: «т. Смирнов (начальник Главанилкраски). Лично займитесь этой площадкой, принять действенные меры. С этой стройкой — полный срыв. Качанов».</w:t>
      </w:r>
    </w:p>
    <w:p w14:paraId="2E345A5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Замдиректора завода «Победа рабочих» 14 ноября 1941 г. прислал письмо на имя заместителя наркома т. Березовского следующего содержания: «С 15 октября с. г. прекратилась всякая связь завода с Главанилкраской. Все наши попытки установить местонахождение нашего главка не дали результатов. Ни из Москвы, ни из Дзержинска, где находились некоторые отделы главка, завод не получает никакого ответа на все наши письма. Неизвестен также и город, в котором находится руководство главка. За месячный срок у завода скопилось большое число важных вопросов, решение которых входит в компетенцию главка. Много неясного с вопросами эвакуации завода, без участия и помощи главка мы не можем решить ряд дел в центральных организациях и т. д. Создавшееся положение явно ненормально и ведет к нетерпимому в наше время отсутствию четкого и ясного руководства со стороны нашего главного управления. Настоящим прошу Вас в самый короткий срок сообщить заводу точный адрес как отделов главка, так и его руководства. В случае изменения системы руководства прошу сообщить, в чьем непосредственном подчинении находится наш завод. Замдиректора завода Миренский. Начальник 1-го отдела Шевчик». Это письмо т. Березовским рассмотрено не было, и лица, виновные в таком отношении к заводу, не наказаны. Рассмотрел письмо все тот же Качанов и положил на нем резолюцию: «т. Баранов (заместитель начальника главка). Что это за безобразие! Руководите заводом — дайте о себе знать. Качанов».</w:t>
      </w:r>
    </w:p>
    <w:p w14:paraId="29797B3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наркомата, видимо, считает такое положение нормальным. Нарком т. Денисов и его заместитель по кадрам Железняков вместо того, чтобы укрепить руководство наркомата, отдельных отраслей промышленности и заводов, назначили на ответственные посты случайных людей, не проявивших себя в работе. До июля 1941 г. у руководства 1-го главка находился Михайловский, который в течение длительного времени проваливал подготовку промышленности к производству спецхимикатов.</w:t>
      </w:r>
    </w:p>
    <w:p w14:paraId="3477CF42"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т. Денисов снял Михайловского с поста начальника 1-го главка, а в начале ноября заместитель наркома Железняков назначил Михайловского и. о. начальника военного отдела наркомата. Вместо Михайловского начальником 1-го главка был назначен заместитель наркома Лозбень. Тов. Денисов в 1938 г. за провал работы завода «Донсода» снял Лозбеня с поста директора завода и, зная, что Лозбень является пьяницей и бездельником, выдвинул его на пост начальника 5-го Главного управления, через некоторое время — своим заместителем, а затем назначил этого разложившегося работника руководителем серьезнейшего главка. Пользуясь бездействием отдела кадров, Лозбень развалил аппарат 1-го Главного управления. Состав главного управления непрерывно обновлялся. В течение 4-х месяцев 5 раз менялся начальник технического отдела главка; состав диспетчеров этого отдела сменялся 2 раза. При эвакуации в г. Молотов в техническом отделе главного управления осталось работать всего два малоприятных</w:t>
      </w:r>
    </w:p>
    <w:p w14:paraId="7356E34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диспетчера, поступивших на работу в главк во время эвакуации.</w:t>
      </w:r>
    </w:p>
    <w:p w14:paraId="67590B0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Строительство в наркомате возглавляет заместитель наркома Голованев, который не является специалистом-строителем и опыта по строительству не имеет. Голованев, будучи начальником Главхимпрома, провалил работу содовой промышленности, за что постановлением Совнаркома СССР в 1941 г. ему был объявлен строгий выговор.</w:t>
      </w:r>
    </w:p>
    <w:p w14:paraId="5E080FD6"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Голованев и после этого не улучшил руководство содовой промышленности. Несмотря на это т. Денисов выдвинул его на пост заместителя наркома.</w:t>
      </w:r>
    </w:p>
    <w:p w14:paraId="765462D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Военный отдел Наркомхимпрома возглавляет Савичев. Как показали результаты проверки, Савичев не справляется со своей работой. Заместителем начальника военного отдела до последнего времени работал Сурков, который вместе с Лозбенем занимался пьянством, за что в настоящее время и снят с работы.</w:t>
      </w:r>
    </w:p>
    <w:p w14:paraId="1E61246E"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Заместителем начальника 1-го Главного управления до последнего времени работал Осипов, в химии Осипов ничего не знал и продолжительное время бездельничал.</w:t>
      </w:r>
    </w:p>
    <w:p w14:paraId="0FBF64B5"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Начальником Главазота работает Уваров, не обеспечивающий руководство заводами азотной промышленности. В IV квартале 1941 г. действующие заводы Главазота из месяца в месяц снижают производство и выпуск важнейших химпродуктов. </w:t>
      </w:r>
      <w:proofErr w:type="gramStart"/>
      <w:r w:rsidRPr="008A2E5A">
        <w:rPr>
          <w:rFonts w:ascii="Times New Roman" w:hAnsi="Times New Roman"/>
          <w:color w:val="0070C0"/>
          <w:sz w:val="16"/>
          <w:szCs w:val="16"/>
        </w:rPr>
        <w:t>Аппарат  Гавхимпромстроя</w:t>
      </w:r>
      <w:proofErr w:type="gramEnd"/>
      <w:r w:rsidRPr="008A2E5A">
        <w:rPr>
          <w:rFonts w:ascii="Times New Roman" w:hAnsi="Times New Roman"/>
          <w:color w:val="0070C0"/>
          <w:sz w:val="16"/>
          <w:szCs w:val="16"/>
        </w:rPr>
        <w:t xml:space="preserve"> не укомплектован квалифицированными кадрами строителей. Из общего состава в 35 чел. инженеров-строителей имеется только 5 чел.</w:t>
      </w:r>
    </w:p>
    <w:p w14:paraId="3C8737F0"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Наркоматом государственного контроля Союза ССР на виновников срыва выполнения государственных заданий по производству химической продукции и восстановлению эвакуированных предприятий НКХП наложены взыскания, а некоторые из них отстранены от занимаемых должностей и привлечены к судебной ответственности.</w:t>
      </w:r>
    </w:p>
    <w:p w14:paraId="2A79D744"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считаю, что дальнейшее оставление т. Денисова на посту народного комиссара химической промышленности и Березовского на посту заместителя наркома еще более ухудшит работу наркомата, так как они не способны выправить дело химической промышленности.</w:t>
      </w:r>
    </w:p>
    <w:p w14:paraId="1F4426D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наркома государственного контроля СССР В. Попов</w:t>
      </w:r>
    </w:p>
    <w:p w14:paraId="1491F4F9"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82. Оп. 2. Д. 584. Л. 3-18. Заверенная копия (24022).</w:t>
      </w:r>
    </w:p>
    <w:p w14:paraId="3E6FAE27" w14:textId="77777777" w:rsidR="00BC57C1" w:rsidRPr="008A2E5A" w:rsidRDefault="00BC57C1" w:rsidP="00BC57C1">
      <w:pPr>
        <w:spacing w:after="0" w:line="240" w:lineRule="auto"/>
        <w:jc w:val="both"/>
        <w:rPr>
          <w:rFonts w:ascii="Times New Roman" w:hAnsi="Times New Roman"/>
          <w:color w:val="0070C0"/>
          <w:sz w:val="16"/>
          <w:szCs w:val="16"/>
        </w:rPr>
      </w:pPr>
    </w:p>
    <w:p w14:paraId="78D826F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75BB5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EE170"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января 1942 года Оперативная сводка Совинформбюро</w:t>
      </w:r>
    </w:p>
    <w:p w14:paraId="6B5B545C"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30 января</w:t>
      </w:r>
    </w:p>
    <w:p w14:paraId="29C042FC"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30 января наши войска продолжали вести наступательные бои против немецко-фашистских войск.</w:t>
      </w:r>
    </w:p>
    <w:p w14:paraId="4FD6973C"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30 января</w:t>
      </w:r>
    </w:p>
    <w:p w14:paraId="7674C2E4"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30 января иаши войска вели наступательные бои с противником и заняли несколько населённых пунктов.</w:t>
      </w:r>
    </w:p>
    <w:p w14:paraId="7865ACD2"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29 января уничтожено 18 немецких самолётов. Наши потери - 4 самолёта.</w:t>
      </w:r>
    </w:p>
    <w:p w14:paraId="6FA3E833"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29 января частями нашей авиации уничтожено 139 автомашин с грузами, 6 бронемашин, более 40 повозок с военным снаряжением, 4 орудия и взорвано 3 склада с боеприпасами. Наша авиация рассеяла и уничтожила более батальона вражеской пехоты (15024).</w:t>
      </w:r>
    </w:p>
    <w:p w14:paraId="7E0FECBA"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p>
    <w:p w14:paraId="43F993AE"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января</w:t>
      </w:r>
      <w:r w:rsidRPr="008127F8">
        <w:rPr>
          <w:rFonts w:ascii="Times New Roman" w:hAnsi="Times New Roman"/>
          <w:color w:val="000000" w:themeColor="text1"/>
          <w:sz w:val="16"/>
          <w:szCs w:val="16"/>
        </w:rPr>
        <w:t xml:space="preserve"> в 1942 году прорвавшиеся к Вязьме войска Юго-Западного фронта отражали контрудары противника в районе Людиново; в окружении оказались 33-я армия и 1-й гвардейский кавкорпус Западного фронта (15025).</w:t>
      </w:r>
    </w:p>
    <w:p w14:paraId="58A35AA4"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0DD93D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Создание войск ВЧ правительственной связи (постановление ГКО) (11072).</w:t>
      </w:r>
    </w:p>
    <w:p w14:paraId="62068A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A99B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BE730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750CF"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января</w:t>
      </w:r>
      <w:r w:rsidRPr="008127F8">
        <w:rPr>
          <w:rFonts w:ascii="Times New Roman" w:hAnsi="Times New Roman"/>
          <w:color w:val="000000" w:themeColor="text1"/>
          <w:sz w:val="16"/>
          <w:szCs w:val="16"/>
        </w:rPr>
        <w:t xml:space="preserve"> в 1942 году после завершения заводских испытаний и приемочных полетов первый серийный самолет </w:t>
      </w:r>
      <w:hyperlink r:id="rId26" w:tgtFrame="_blank" w:history="1">
        <w:r w:rsidRPr="008127F8">
          <w:rPr>
            <w:rFonts w:ascii="Times New Roman" w:hAnsi="Times New Roman"/>
            <w:color w:val="000000" w:themeColor="text1"/>
            <w:sz w:val="16"/>
            <w:szCs w:val="16"/>
          </w:rPr>
          <w:t xml:space="preserve">«TBF-1» («TBM») «Avenger» </w:t>
        </w:r>
      </w:hyperlink>
      <w:r w:rsidRPr="008127F8">
        <w:rPr>
          <w:rFonts w:ascii="Times New Roman" w:hAnsi="Times New Roman"/>
          <w:color w:val="000000" w:themeColor="text1"/>
          <w:sz w:val="16"/>
          <w:szCs w:val="16"/>
        </w:rPr>
        <w:t xml:space="preserve">был официально сдан флоту США. </w:t>
      </w:r>
      <w:proofErr w:type="gramStart"/>
      <w:r w:rsidRPr="008127F8">
        <w:rPr>
          <w:rFonts w:ascii="Times New Roman" w:hAnsi="Times New Roman"/>
          <w:color w:val="000000" w:themeColor="text1"/>
          <w:sz w:val="16"/>
          <w:szCs w:val="16"/>
        </w:rPr>
        <w:t>Он.сошел</w:t>
      </w:r>
      <w:proofErr w:type="gramEnd"/>
      <w:r w:rsidRPr="008127F8">
        <w:rPr>
          <w:rFonts w:ascii="Times New Roman" w:hAnsi="Times New Roman"/>
          <w:color w:val="000000" w:themeColor="text1"/>
          <w:sz w:val="16"/>
          <w:szCs w:val="16"/>
        </w:rPr>
        <w:t xml:space="preserve"> со сборочной линии фирмы Грумман 3 января 1942 года. Пять следующих Эвенджеров были поставлены в течение февраля, и эти первые шесть серийных самолетов были перегнаны на военно-морской аэродром в Норфолке, Виржиния, где формировалась первая эскадрилья Эвенджеров американского флота (15025).</w:t>
      </w:r>
    </w:p>
    <w:p w14:paraId="5DF3DB1B"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4F00B11A" w14:textId="6F590F7D" w:rsidR="001F055D" w:rsidRPr="008127F8" w:rsidRDefault="001F055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января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После завершения заводских испытаний и приемочных полетов первый серийный самолет TBF-1 (TBM) Avenger был официально сдан флоту США (22639).</w:t>
      </w:r>
    </w:p>
    <w:p w14:paraId="689722FC" w14:textId="77777777" w:rsidR="001F055D" w:rsidRPr="008127F8" w:rsidRDefault="001F055D" w:rsidP="001E0A84">
      <w:pPr>
        <w:shd w:val="clear" w:color="auto" w:fill="FFFFFF"/>
        <w:spacing w:after="0" w:line="240" w:lineRule="auto"/>
        <w:jc w:val="both"/>
        <w:rPr>
          <w:rFonts w:ascii="Times New Roman" w:hAnsi="Times New Roman"/>
          <w:color w:val="000000" w:themeColor="text1"/>
          <w:sz w:val="16"/>
          <w:szCs w:val="16"/>
        </w:rPr>
      </w:pPr>
    </w:p>
    <w:p w14:paraId="09261702" w14:textId="77777777" w:rsidR="001F055D" w:rsidRPr="008127F8" w:rsidRDefault="001F055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января 1942 шесть Mitsubishi A6M Зеро </w:t>
      </w:r>
      <w:proofErr w:type="gramStart"/>
      <w:r w:rsidRPr="008127F8">
        <w:rPr>
          <w:rFonts w:ascii="Times New Roman" w:hAnsi="Times New Roman"/>
          <w:color w:val="000000" w:themeColor="text1"/>
          <w:sz w:val="16"/>
          <w:szCs w:val="16"/>
        </w:rPr>
        <w:t>( Allied</w:t>
      </w:r>
      <w:proofErr w:type="gramEnd"/>
      <w:r w:rsidRPr="008127F8">
        <w:rPr>
          <w:rFonts w:ascii="Times New Roman" w:hAnsi="Times New Roman"/>
          <w:color w:val="000000" w:themeColor="text1"/>
          <w:sz w:val="16"/>
          <w:szCs w:val="16"/>
        </w:rPr>
        <w:t xml:space="preserve"> название «Зик») Имперского флота Японии сбивают л/л Qantas Шорт G-AEUH недалеко от Западного Тимора в Голландской Ост – Индии. Погибли 13 из 18 человек на борту (20793).</w:t>
      </w:r>
    </w:p>
    <w:p w14:paraId="154D6C10" w14:textId="77777777" w:rsidR="001F055D" w:rsidRPr="008127F8" w:rsidRDefault="001F055D" w:rsidP="001E0A84">
      <w:pPr>
        <w:spacing w:after="0" w:line="240" w:lineRule="auto"/>
        <w:jc w:val="both"/>
        <w:rPr>
          <w:rFonts w:ascii="Times New Roman" w:hAnsi="Times New Roman"/>
          <w:color w:val="000000" w:themeColor="text1"/>
          <w:sz w:val="16"/>
          <w:szCs w:val="16"/>
        </w:rPr>
      </w:pPr>
    </w:p>
    <w:p w14:paraId="56376E77" w14:textId="77777777" w:rsidR="001F055D" w:rsidRPr="008127F8" w:rsidRDefault="001F055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января 1942 Компания Canadian Pacific Air Lines была образована в результате приобретения и слияния компаний Arrow Airways и Canadian </w:t>
      </w:r>
      <w:proofErr w:type="gramStart"/>
      <w:r w:rsidRPr="008127F8">
        <w:rPr>
          <w:rFonts w:ascii="Times New Roman" w:hAnsi="Times New Roman"/>
          <w:color w:val="000000" w:themeColor="text1"/>
          <w:sz w:val="16"/>
          <w:szCs w:val="16"/>
        </w:rPr>
        <w:t>Airways ,</w:t>
      </w:r>
      <w:proofErr w:type="gramEnd"/>
      <w:r w:rsidRPr="008127F8">
        <w:rPr>
          <w:rFonts w:ascii="Times New Roman" w:hAnsi="Times New Roman"/>
          <w:color w:val="000000" w:themeColor="text1"/>
          <w:sz w:val="16"/>
          <w:szCs w:val="16"/>
        </w:rPr>
        <w:t xml:space="preserve"> а также всех различных дочерних компаний последней (20793).</w:t>
      </w:r>
    </w:p>
    <w:p w14:paraId="27959E1A" w14:textId="77777777" w:rsidR="001F055D" w:rsidRPr="008127F8" w:rsidRDefault="001F055D" w:rsidP="001E0A84">
      <w:pPr>
        <w:spacing w:after="0" w:line="240" w:lineRule="auto"/>
        <w:jc w:val="both"/>
        <w:rPr>
          <w:rFonts w:ascii="Times New Roman" w:hAnsi="Times New Roman"/>
          <w:color w:val="000000" w:themeColor="text1"/>
          <w:sz w:val="16"/>
          <w:szCs w:val="16"/>
        </w:rPr>
      </w:pPr>
    </w:p>
    <w:p w14:paraId="6F2986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1942 англичане отступили в Сингапур (2261).</w:t>
      </w:r>
    </w:p>
    <w:p w14:paraId="272196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360EF"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CCA93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C7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года бывш. зам. гл. конструктора завода N 483 Елагин писал письмо N Ф-14 Шахурину.</w:t>
      </w:r>
    </w:p>
    <w:p w14:paraId="52CC27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 записка</w:t>
      </w:r>
    </w:p>
    <w:p w14:paraId="7D10E8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самолету Та-3 2М89</w:t>
      </w:r>
    </w:p>
    <w:p w14:paraId="0CC470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1941 г. правительством было дано распоряжение о срочной постройке дублера разбившегося самолета ОКО-6 бис конструкции Таирова и об окончании его летных испытаний.</w:t>
      </w:r>
    </w:p>
    <w:p w14:paraId="671496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двухмоторный, одноместный истребитель с мотором М-89, вооруженный 4-мя пушками Швак калибром 20 мм и 2-мя пулеметами Шкас, под наименованием Та-3 2М-89 был построен в установленный правительством срок и в течение мая-июня 1941 г. прошел испытания в ЛИИ НКАП. При испытаниях были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F4095" w:rsidRPr="008127F8" w14:paraId="5B154BA3" w14:textId="77777777">
        <w:tc>
          <w:tcPr>
            <w:tcW w:w="5636" w:type="dxa"/>
            <w:tcBorders>
              <w:top w:val="single" w:sz="12" w:space="0" w:color="auto"/>
            </w:tcBorders>
          </w:tcPr>
          <w:p w14:paraId="1BDFBC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Vmax у земли</w:t>
            </w:r>
          </w:p>
        </w:tc>
        <w:tc>
          <w:tcPr>
            <w:tcW w:w="5636" w:type="dxa"/>
            <w:tcBorders>
              <w:top w:val="single" w:sz="12" w:space="0" w:color="auto"/>
            </w:tcBorders>
          </w:tcPr>
          <w:p w14:paraId="714E11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 км/час</w:t>
            </w:r>
          </w:p>
        </w:tc>
      </w:tr>
      <w:tr w:rsidR="006F4095" w:rsidRPr="008127F8" w14:paraId="0883F54F" w14:textId="77777777">
        <w:tc>
          <w:tcPr>
            <w:tcW w:w="5636" w:type="dxa"/>
          </w:tcPr>
          <w:p w14:paraId="5B038A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Vmax на 5000 м</w:t>
            </w:r>
          </w:p>
        </w:tc>
        <w:tc>
          <w:tcPr>
            <w:tcW w:w="5636" w:type="dxa"/>
          </w:tcPr>
          <w:p w14:paraId="31E711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575 км/час</w:t>
            </w:r>
          </w:p>
        </w:tc>
      </w:tr>
      <w:tr w:rsidR="006F4095" w:rsidRPr="008127F8" w14:paraId="598D065A" w14:textId="77777777">
        <w:tc>
          <w:tcPr>
            <w:tcW w:w="5636" w:type="dxa"/>
          </w:tcPr>
          <w:p w14:paraId="496696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Vmax на 7000 м</w:t>
            </w:r>
          </w:p>
        </w:tc>
        <w:tc>
          <w:tcPr>
            <w:tcW w:w="5636" w:type="dxa"/>
          </w:tcPr>
          <w:p w14:paraId="7F96DC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 км/час</w:t>
            </w:r>
          </w:p>
        </w:tc>
      </w:tr>
      <w:tr w:rsidR="006F4095" w:rsidRPr="008127F8" w14:paraId="038E92E2" w14:textId="77777777">
        <w:tc>
          <w:tcPr>
            <w:tcW w:w="5636" w:type="dxa"/>
          </w:tcPr>
          <w:p w14:paraId="123989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подъема</w:t>
            </w:r>
          </w:p>
        </w:tc>
        <w:tc>
          <w:tcPr>
            <w:tcW w:w="5636" w:type="dxa"/>
          </w:tcPr>
          <w:p w14:paraId="444AC5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05F239" w14:textId="77777777">
        <w:tc>
          <w:tcPr>
            <w:tcW w:w="5636" w:type="dxa"/>
          </w:tcPr>
          <w:p w14:paraId="0FA5A6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5000 м</w:t>
            </w:r>
          </w:p>
        </w:tc>
        <w:tc>
          <w:tcPr>
            <w:tcW w:w="5636" w:type="dxa"/>
          </w:tcPr>
          <w:p w14:paraId="60EF1B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 мин.</w:t>
            </w:r>
          </w:p>
        </w:tc>
      </w:tr>
      <w:tr w:rsidR="006F4095" w:rsidRPr="008127F8" w14:paraId="4C719274" w14:textId="77777777">
        <w:tc>
          <w:tcPr>
            <w:tcW w:w="5636" w:type="dxa"/>
          </w:tcPr>
          <w:p w14:paraId="0F2A52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на</w:t>
            </w:r>
          </w:p>
        </w:tc>
        <w:tc>
          <w:tcPr>
            <w:tcW w:w="5636" w:type="dxa"/>
          </w:tcPr>
          <w:p w14:paraId="65BADB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F88A530" w14:textId="77777777">
        <w:tc>
          <w:tcPr>
            <w:tcW w:w="5636" w:type="dxa"/>
            <w:tcBorders>
              <w:bottom w:val="single" w:sz="12" w:space="0" w:color="auto"/>
            </w:tcBorders>
          </w:tcPr>
          <w:p w14:paraId="3C0C50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 Vmax</w:t>
            </w:r>
          </w:p>
        </w:tc>
        <w:tc>
          <w:tcPr>
            <w:tcW w:w="5636" w:type="dxa"/>
            <w:tcBorders>
              <w:bottom w:val="single" w:sz="12" w:space="0" w:color="auto"/>
            </w:tcBorders>
          </w:tcPr>
          <w:p w14:paraId="3F698E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 км</w:t>
            </w:r>
          </w:p>
        </w:tc>
      </w:tr>
    </w:tbl>
    <w:p w14:paraId="4835FC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ЛИИ дало положительную оценку самолета и рекомендовало его к серийному выпуску, предложив замену 2-х пушек Швак на одну пушку калибром 37 мм.</w:t>
      </w:r>
    </w:p>
    <w:p w14:paraId="5A3300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Распоряжением вашего заместителя А.С. Яковлева за август-сентябрь была произведена смена консолей самолета Та-3 2М89 для получения большей дальности. Испытания самолета, после смены консолей, проведены не были, вследствие эвакуации ЛИИ в Казань и в дальнейшем из-за отсутствия финансирования работ со стороны 7-го гл. управления НКАП.</w:t>
      </w:r>
    </w:p>
    <w:p w14:paraId="71A45A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Та-3 находится в настоящее время в ЛИИ НКАП в Казани в летном состоянии и готов для проведения испытаний.</w:t>
      </w:r>
    </w:p>
    <w:p w14:paraId="493A22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самолет Та-3 представляет большую ценность как истребитель с мощным вооружением и является более доведенным чем другие конструкции аналогичного типа, считаю необходимым закончить испытания с-та Та-3 в ЛИИ и передать его на испытания в НИИ ВВС.</w:t>
      </w:r>
    </w:p>
    <w:p w14:paraId="564E90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Докладывая </w:t>
      </w:r>
      <w:proofErr w:type="gramStart"/>
      <w:r w:rsidRPr="008127F8">
        <w:rPr>
          <w:rFonts w:ascii="Times New Roman" w:hAnsi="Times New Roman"/>
          <w:color w:val="000000" w:themeColor="text1"/>
          <w:sz w:val="16"/>
          <w:szCs w:val="16"/>
        </w:rPr>
        <w:t>о вышеизложенном</w:t>
      </w:r>
      <w:proofErr w:type="gramEnd"/>
      <w:r w:rsidRPr="008127F8">
        <w:rPr>
          <w:rFonts w:ascii="Times New Roman" w:hAnsi="Times New Roman"/>
          <w:color w:val="000000" w:themeColor="text1"/>
          <w:sz w:val="16"/>
          <w:szCs w:val="16"/>
        </w:rPr>
        <w:t xml:space="preserve"> настоятельно прошу Вас вызвать меня для более подробного личного доклада и получения Ваших указаний (1679,52).</w:t>
      </w:r>
    </w:p>
    <w:p w14:paraId="1F0EBD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B5C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было утверждено:</w:t>
      </w:r>
    </w:p>
    <w:p w14:paraId="4A352F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757083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эскизному проекту двухмоторного истребителя “И”, с моторами 2М-107П /одна спарка/, конструкции инж. БОЛХОВИТИНОВА.</w:t>
      </w:r>
    </w:p>
    <w:p w14:paraId="78700F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3 отделения 3 отдела НИИ ВВС Ви1р Воеводин</w:t>
      </w:r>
    </w:p>
    <w:p w14:paraId="7E01F1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ви2р Кочетков</w:t>
      </w:r>
    </w:p>
    <w:p w14:paraId="2B8D68F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...одна позади другой. Фонарь летчика откидпой из плексигласа.</w:t>
      </w:r>
    </w:p>
    <w:p w14:paraId="6B00B9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ОПЕРЕНИЕ - самолета состоит из стабилизатора с рулем высоты и 2-х килей с рулями поворотов. Оперепие укреплено на 2-х балках.</w:t>
      </w:r>
    </w:p>
    <w:p w14:paraId="15C802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ШАССИ - трехколесное, одноотоечного типа, убирающееся. Передняя стойка с колесом убирается впередний кок фюзеляжва, 2 другие полностью убираются назад в балки самолета.</w:t>
      </w:r>
    </w:p>
    <w:p w14:paraId="3504E23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БАЛКИ - коковой конструкция. В балках расположены: бензин, шасси, рдиаторы. В передней части балок расположены бензобаки, позади бензобаков расположено место для уборки ног шаосй, позади шасси расположен канал водорадиатора. На конце балок укреплено ветикальное и горизоатальное оперение.</w:t>
      </w:r>
    </w:p>
    <w:p w14:paraId="1767BB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ВМГ - Винтомоторная группа представляет из себя спарку двух моторов М-107П, ршположенных позади летчика на двух моторамах, один за другим с редукторами в разные стороны. Винты расположены соосно позади фюзеляжа, т.е. являются толкающими.</w:t>
      </w:r>
    </w:p>
    <w:p w14:paraId="01A0C8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 состоит из 2-х пушек калибра 23мм, расположенных по бокам моторов с запасом снарядов по 81 на пушку; 2-х крупнокалиберных пулеметов Березина калибра 12,7мм, расположенных слева за летчиком, с запасом патронов 300 шт. На пулемет; 2-х пулеметов ШКАС с запасом патрон 1000 шт. на пулемет.</w:t>
      </w:r>
    </w:p>
    <w:p w14:paraId="103D094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ВЕСОВЫЕ ДАННЫУ САМОЛЕТА</w:t>
      </w:r>
    </w:p>
    <w:p w14:paraId="1098AA6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Вес пустого самолета» 3417 кг,</w:t>
      </w:r>
    </w:p>
    <w:p w14:paraId="4BCE01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Вес конструкции 1283 кг</w:t>
      </w:r>
    </w:p>
    <w:p w14:paraId="392435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Вес винтомоторной группы 2057 кг</w:t>
      </w:r>
    </w:p>
    <w:p w14:paraId="3D1760A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Вес оборудования 77 кг</w:t>
      </w:r>
    </w:p>
    <w:p w14:paraId="44E481F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Вес полной нагрузки 1870 кг</w:t>
      </w:r>
    </w:p>
    <w:p w14:paraId="0D5AFEF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Вес вооружения 216 кг</w:t>
      </w:r>
    </w:p>
    <w:p w14:paraId="76F4AE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 боеприпасов 264 кг</w:t>
      </w:r>
    </w:p>
    <w:p w14:paraId="23DC79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 горючего 910 кг</w:t>
      </w:r>
    </w:p>
    <w:p w14:paraId="5C34F9B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 масла 90 кг</w:t>
      </w:r>
    </w:p>
    <w:p w14:paraId="775D358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 экипаж с парашютом 90 кг</w:t>
      </w:r>
    </w:p>
    <w:p w14:paraId="4DDB57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Полетный вес самолета 4987 кг</w:t>
      </w:r>
    </w:p>
    <w:p w14:paraId="72B9CE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По данным завода полетный вес 4907 кг. Однако при подсчете был неправильно взят вес вооружения, который составляет 480 кг, а не 400 кг; как взято в весовой сводке эскизного проекта.</w:t>
      </w:r>
    </w:p>
    <w:p w14:paraId="5D20CEC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запроектированных данных</w:t>
      </w:r>
    </w:p>
    <w:p w14:paraId="4EA9C7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Схема и конструкция</w:t>
      </w:r>
    </w:p>
    <w:p w14:paraId="62522C8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недостаточности материала по разработке конструкции самолета не представляется возможным проверить насколько данная конструкция соответствует тактико-техническим требованиям ВВС Красной Армии, однако схема самолета является реальной и целесообразной и имеет следующие положительные стороны;</w:t>
      </w:r>
    </w:p>
    <w:p w14:paraId="0583068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Разрешается задача увеличения мощности мотора без увеличения лобового сопротивления /оба мотора укладываются в мидель фюзеляжа/.</w:t>
      </w:r>
    </w:p>
    <w:p w14:paraId="0E9ED1A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Обеспечивается хороший обзор летчику для ведения воздушного боя.</w:t>
      </w:r>
    </w:p>
    <w:p w14:paraId="7DDC93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Обеспечивается возможность размещения мощого стрелкового вооружения в фюзеляле устраняя возможность прострела винтов /винтн сзади/.</w:t>
      </w:r>
    </w:p>
    <w:p w14:paraId="120FE40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Моторы обеспечивают защиту летчика со стороны задней полусферы.</w:t>
      </w:r>
    </w:p>
    <w:p w14:paraId="06ABEC7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Дает возможность разместить значительный запас горючего в балках самолета.</w:t>
      </w:r>
    </w:p>
    <w:p w14:paraId="0C9A3C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Обеспечивает самолет от резкого заноса хвоста в случае отказа одного из моторов.</w:t>
      </w:r>
    </w:p>
    <w:p w14:paraId="141E8C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Обеспечивается высокий к.п.д. винта /винты вращаются в разные стороны и потери на закручивание воздушного потока значительно меньше/.</w:t>
      </w:r>
    </w:p>
    <w:p w14:paraId="730BB6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Снижается влияние реакции винта на балансировку самолета в воздухе, что облегчает пилотирование самолета.</w:t>
      </w:r>
    </w:p>
    <w:p w14:paraId="2376E1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очевидные преимуществ такой схемы самолета конструктор не дает в представленном материале:</w:t>
      </w:r>
    </w:p>
    <w:p w14:paraId="22AA0F5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Разработку конструкции самолета /</w:t>
      </w:r>
      <w:proofErr w:type="gramStart"/>
      <w:r w:rsidRPr="008127F8">
        <w:rPr>
          <w:rFonts w:ascii="Times New Roman" w:hAnsi="Times New Roman"/>
          <w:color w:val="000000" w:themeColor="text1"/>
          <w:sz w:val="16"/>
          <w:szCs w:val="16"/>
        </w:rPr>
        <w:t>материалы,силовую</w:t>
      </w:r>
      <w:proofErr w:type="gramEnd"/>
      <w:r w:rsidRPr="008127F8">
        <w:rPr>
          <w:rFonts w:ascii="Times New Roman" w:hAnsi="Times New Roman"/>
          <w:color w:val="000000" w:themeColor="text1"/>
          <w:sz w:val="16"/>
          <w:szCs w:val="16"/>
        </w:rPr>
        <w:t xml:space="preserve"> схему, размещение оборудования и т.д./</w:t>
      </w:r>
    </w:p>
    <w:p w14:paraId="711A22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Схем управления самолетом*</w:t>
      </w:r>
    </w:p>
    <w:p w14:paraId="12B857F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Обеспечение возможности летчику покинуть самолет в воздухе /имея ввиду расположение винтов позади/.</w:t>
      </w:r>
    </w:p>
    <w:p w14:paraId="45139D4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Не разработаны вопросы защиты летчика в случае складывания или поломки передней ноги шасси /имея в виду расположение моторов сзади летчика/.</w:t>
      </w:r>
    </w:p>
    <w:p w14:paraId="1C85CB5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ЛЕТНЫЕ ДАННЫЕ.</w:t>
      </w:r>
    </w:p>
    <w:p w14:paraId="53D6AFE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Проектирование летных данных ведется год мотор М-105П, который не обеспечивает достаточных скоростей самолета с учетом выпуска самолета в серию в 1942 г. Необходимо все рассчеты произвести под более мощные моторы М-107П.</w:t>
      </w:r>
    </w:p>
    <w:p w14:paraId="6E2829C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Запроектированная максимальная скорость 675 км/ч. на Н=5000 м с моторами М-105П при данной схеме самолета является реальной </w:t>
      </w:r>
      <w:proofErr w:type="gramStart"/>
      <w:r w:rsidRPr="008127F8">
        <w:rPr>
          <w:rFonts w:ascii="Times New Roman" w:hAnsi="Times New Roman"/>
          <w:color w:val="000000" w:themeColor="text1"/>
          <w:sz w:val="16"/>
          <w:szCs w:val="16"/>
        </w:rPr>
        <w:t>при условии если</w:t>
      </w:r>
      <w:proofErr w:type="gramEnd"/>
      <w:r w:rsidRPr="008127F8">
        <w:rPr>
          <w:rFonts w:ascii="Times New Roman" w:hAnsi="Times New Roman"/>
          <w:color w:val="000000" w:themeColor="text1"/>
          <w:sz w:val="16"/>
          <w:szCs w:val="16"/>
        </w:rPr>
        <w:t xml:space="preserve"> конструктор обеспечит к.п.д винтов макс.0,82</w:t>
      </w:r>
    </w:p>
    <w:p w14:paraId="15D8B6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Скороподъемность самолета 4 мин. на высоту Н=5000 м является завышенной, тяк как при расчете взят заниженный вес /средний вес/ и взят очень высокий взлетный </w:t>
      </w:r>
      <w:proofErr w:type="gramStart"/>
      <w:r w:rsidRPr="008127F8">
        <w:rPr>
          <w:rFonts w:ascii="Times New Roman" w:hAnsi="Times New Roman"/>
          <w:color w:val="000000" w:themeColor="text1"/>
          <w:sz w:val="16"/>
          <w:szCs w:val="16"/>
        </w:rPr>
        <w:t>к,п.д.</w:t>
      </w:r>
      <w:proofErr w:type="gramEnd"/>
      <w:r w:rsidRPr="008127F8">
        <w:rPr>
          <w:rFonts w:ascii="Times New Roman" w:hAnsi="Times New Roman"/>
          <w:color w:val="000000" w:themeColor="text1"/>
          <w:sz w:val="16"/>
          <w:szCs w:val="16"/>
        </w:rPr>
        <w:t xml:space="preserve"> 0,8.</w:t>
      </w:r>
    </w:p>
    <w:p w14:paraId="35E5DC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Н=5000 будет не менее 5 мин.</w:t>
      </w:r>
    </w:p>
    <w:p w14:paraId="4E451A0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Посадочная скорость занижена до 140 км/час., т.к. взят очень высокий Су 1.9. Необходимо иметь в виду, что посадка </w:t>
      </w:r>
      <w:r w:rsidRPr="008127F8">
        <w:rPr>
          <w:rFonts w:ascii="Times New Roman" w:hAnsi="Times New Roman"/>
          <w:smallCaps/>
          <w:color w:val="000000" w:themeColor="text1"/>
          <w:sz w:val="16"/>
          <w:szCs w:val="16"/>
        </w:rPr>
        <w:t>самолета</w:t>
      </w:r>
      <w:r w:rsidRPr="008127F8">
        <w:rPr>
          <w:rFonts w:ascii="Times New Roman" w:hAnsi="Times New Roman"/>
          <w:color w:val="000000" w:themeColor="text1"/>
          <w:sz w:val="16"/>
          <w:szCs w:val="16"/>
        </w:rPr>
        <w:t xml:space="preserve"> будет производиться ня малых углах атаки, т.к. самолет не принимает 3-х точечного положения при посадке.</w:t>
      </w:r>
    </w:p>
    <w:p w14:paraId="4C0585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В аэродинамическом расчете отсутствует расчет разбега и пробега, между тем это является чрезвычайно важным для оценки </w:t>
      </w:r>
      <w:proofErr w:type="gramStart"/>
      <w:r w:rsidRPr="008127F8">
        <w:rPr>
          <w:rFonts w:ascii="Times New Roman" w:hAnsi="Times New Roman"/>
          <w:color w:val="000000" w:themeColor="text1"/>
          <w:sz w:val="16"/>
          <w:szCs w:val="16"/>
        </w:rPr>
        <w:t>самолета, тем более, что</w:t>
      </w:r>
      <w:proofErr w:type="gramEnd"/>
      <w:r w:rsidRPr="008127F8">
        <w:rPr>
          <w:rFonts w:ascii="Times New Roman" w:hAnsi="Times New Roman"/>
          <w:color w:val="000000" w:themeColor="text1"/>
          <w:sz w:val="16"/>
          <w:szCs w:val="16"/>
        </w:rPr>
        <w:t xml:space="preserve"> самолет "С" конструкций ТОВ. БОЛХОВИТИНОВА в основу проектирования которого также были положены принципы большой ьнагрузки на м кв. и применение спарки моторов, зарекомедовал себя при летных испытаниях отрицательо, главный образом, из-за неудовлетворительных взлетно-посадочных свойств.</w:t>
      </w:r>
    </w:p>
    <w:p w14:paraId="0AE2F16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разработке самолета "и” конструктору нообходимо особое внимание уделить рязработке </w:t>
      </w:r>
      <w:proofErr w:type="gramStart"/>
      <w:r w:rsidRPr="008127F8">
        <w:rPr>
          <w:rFonts w:ascii="Times New Roman" w:hAnsi="Times New Roman"/>
          <w:color w:val="000000" w:themeColor="text1"/>
          <w:sz w:val="16"/>
          <w:szCs w:val="16"/>
        </w:rPr>
        <w:t>эффективных средств</w:t>
      </w:r>
      <w:proofErr w:type="gramEnd"/>
      <w:r w:rsidRPr="008127F8">
        <w:rPr>
          <w:rFonts w:ascii="Times New Roman" w:hAnsi="Times New Roman"/>
          <w:color w:val="000000" w:themeColor="text1"/>
          <w:sz w:val="16"/>
          <w:szCs w:val="16"/>
        </w:rPr>
        <w:t xml:space="preserve"> улучшающих взлетно-посадочные свойства, чтобы не повторить недостатки самолета “с”.</w:t>
      </w:r>
    </w:p>
    <w:p w14:paraId="3F531C4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Расчет самолета на дальность не представлен; однако запроектированная дальность 2000 км. является не реальной, </w:t>
      </w:r>
      <w:proofErr w:type="gramStart"/>
      <w:r w:rsidRPr="008127F8">
        <w:rPr>
          <w:rFonts w:ascii="Times New Roman" w:hAnsi="Times New Roman"/>
          <w:color w:val="000000" w:themeColor="text1"/>
          <w:sz w:val="16"/>
          <w:szCs w:val="16"/>
        </w:rPr>
        <w:t>учитывая</w:t>
      </w:r>
      <w:proofErr w:type="gramEnd"/>
      <w:r w:rsidRPr="008127F8">
        <w:rPr>
          <w:rFonts w:ascii="Times New Roman" w:hAnsi="Times New Roman"/>
          <w:color w:val="000000" w:themeColor="text1"/>
          <w:sz w:val="16"/>
          <w:szCs w:val="16"/>
        </w:rPr>
        <w:t xml:space="preserve"> что режим полета взят из расчета скорости 0.67 макс., а не положенных 0.8 мкс.</w:t>
      </w:r>
    </w:p>
    <w:p w14:paraId="7270F4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того</w:t>
      </w:r>
      <w:proofErr w:type="gramEnd"/>
      <w:r w:rsidRPr="008127F8">
        <w:rPr>
          <w:rFonts w:ascii="Times New Roman" w:hAnsi="Times New Roman"/>
          <w:color w:val="000000" w:themeColor="text1"/>
          <w:sz w:val="16"/>
          <w:szCs w:val="16"/>
        </w:rPr>
        <w:t xml:space="preserve"> взят заниженный расход горючего.</w:t>
      </w:r>
    </w:p>
    <w:p w14:paraId="7265DC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горючего для обеспечения дальности 2000 км. потребуется увеличлть не меньше чем на 200 кг.</w:t>
      </w:r>
    </w:p>
    <w:p w14:paraId="48B863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ВООРУЖЕНИЕ САМОЛЕТА</w:t>
      </w:r>
    </w:p>
    <w:p w14:paraId="64D596A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Вооружение </w:t>
      </w:r>
      <w:proofErr w:type="gramStart"/>
      <w:r w:rsidRPr="008127F8">
        <w:rPr>
          <w:rFonts w:ascii="Times New Roman" w:hAnsi="Times New Roman"/>
          <w:color w:val="000000" w:themeColor="text1"/>
          <w:sz w:val="16"/>
          <w:szCs w:val="16"/>
        </w:rPr>
        <w:t>самолета</w:t>
      </w:r>
      <w:proofErr w:type="gramEnd"/>
      <w:r w:rsidRPr="008127F8">
        <w:rPr>
          <w:rFonts w:ascii="Times New Roman" w:hAnsi="Times New Roman"/>
          <w:color w:val="000000" w:themeColor="text1"/>
          <w:sz w:val="16"/>
          <w:szCs w:val="16"/>
        </w:rPr>
        <w:t xml:space="preserve"> состоящее на: двух душек калибра 23 мм, 2-х крупнокалиберных пулеметов калибра 12,7 мм, 2-х пулеметов калибра 7,62 мм является недостаточным для данного типа самолета.</w:t>
      </w:r>
    </w:p>
    <w:p w14:paraId="710264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увеличить вооружение за счет дополнительного размещения 2-х пулеметов БС в балках самолета и увеличить боезапас из расчета 140 снарядов напушку, 400 патрон на БС и 750 патрон на ШКАС.</w:t>
      </w:r>
    </w:p>
    <w:p w14:paraId="03C64F6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Размещение вооружения должно бьть выполнено всоответствии о тактико-техническими требованиями ВВС КА.</w:t>
      </w:r>
    </w:p>
    <w:p w14:paraId="69E1BB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ВЕСОВАЯ ХАРАКТЕРИСТИКА</w:t>
      </w:r>
    </w:p>
    <w:p w14:paraId="13DC37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Полетный вес самолета занижен за счет:</w:t>
      </w:r>
    </w:p>
    <w:p w14:paraId="02581B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Уменьшения количества гортючего для выполнения дальности самолет 2000 км. Количество горючего при реальном прикидочном рассчета будет на 150-200 кг больше.</w:t>
      </w:r>
    </w:p>
    <w:p w14:paraId="09329DF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Неправильно взятого веса вооружения и боезапаса, который фактически будет больше на 80 кг с указанным в проекте, а с добывлением двух БС с боеприпасамси это увеличение будет примерно 260 кг.</w:t>
      </w:r>
    </w:p>
    <w:p w14:paraId="75E215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Фактический полетный вес самолета будет порядка 5300 - 5400 кг.</w:t>
      </w:r>
    </w:p>
    <w:p w14:paraId="7D6080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7A2F70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Представленный конструктором материал по эскиз</w:t>
      </w:r>
      <w:r w:rsidRPr="008127F8">
        <w:rPr>
          <w:rFonts w:ascii="Times New Roman" w:hAnsi="Times New Roman"/>
          <w:color w:val="000000" w:themeColor="text1"/>
          <w:sz w:val="16"/>
          <w:szCs w:val="16"/>
        </w:rPr>
        <w:softHyphen/>
        <w:t>ному проекту по своему обЪему недостаточен для полной оценки конструкции и запроектированных данных самолета, поэтому эскизнвй проект можно рассматривать только как предварительный.</w:t>
      </w:r>
    </w:p>
    <w:p w14:paraId="090BB1E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Предъявленная схема самолета является несомненно реальной и </w:t>
      </w:r>
      <w:proofErr w:type="gramStart"/>
      <w:r w:rsidRPr="008127F8">
        <w:rPr>
          <w:rFonts w:ascii="Times New Roman" w:hAnsi="Times New Roman"/>
          <w:color w:val="000000" w:themeColor="text1"/>
          <w:sz w:val="16"/>
          <w:szCs w:val="16"/>
        </w:rPr>
        <w:t>целесообразной, тем более, что</w:t>
      </w:r>
      <w:proofErr w:type="gramEnd"/>
      <w:r w:rsidRPr="008127F8">
        <w:rPr>
          <w:rFonts w:ascii="Times New Roman" w:hAnsi="Times New Roman"/>
          <w:color w:val="000000" w:themeColor="text1"/>
          <w:sz w:val="16"/>
          <w:szCs w:val="16"/>
        </w:rPr>
        <w:t xml:space="preserve"> основной вопрос спаркм моторов конструктором реально уже разрешен.</w:t>
      </w:r>
    </w:p>
    <w:p w14:paraId="20B5A0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Самолет необходимо проектировать не под моторы М-105П, а под более мощные моторы М-107П, установка которых значительно увеличит максимальную скорость самолета на необходимость чего указывает хотя бы появление у воюющих стран истребителей со окоростями выше 650 км/час.</w:t>
      </w:r>
    </w:p>
    <w:p w14:paraId="72E49C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Необходимо дальность самолета довести до 2000 км, при 0,8 максим.</w:t>
      </w:r>
    </w:p>
    <w:p w14:paraId="4752B22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Вооружение самолета необходимо усилить на 2 пулемета БС.</w:t>
      </w:r>
    </w:p>
    <w:p w14:paraId="4A8A76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Конструктору необходимо особое внимание обратить на разработку эффективных средств улучшения взлетно-посадочных свойств самолета, учитывая результаты госиспытаний самолета "С”.</w:t>
      </w:r>
    </w:p>
    <w:p w14:paraId="3CFBE25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 проекте совершенно отсутствуют данные центровок самолета и расчеты на устойчивость самолета. Кон</w:t>
      </w:r>
      <w:r w:rsidRPr="008127F8">
        <w:rPr>
          <w:rFonts w:ascii="Times New Roman" w:hAnsi="Times New Roman"/>
          <w:color w:val="000000" w:themeColor="text1"/>
          <w:sz w:val="16"/>
          <w:szCs w:val="16"/>
        </w:rPr>
        <w:softHyphen/>
        <w:t xml:space="preserve">структору необходимо учесть, что вопрос устойчивости </w:t>
      </w:r>
      <w:r w:rsidRPr="008127F8">
        <w:rPr>
          <w:rFonts w:ascii="Times New Roman" w:hAnsi="Times New Roman"/>
          <w:color w:val="000000" w:themeColor="text1"/>
          <w:sz w:val="16"/>
          <w:szCs w:val="16"/>
        </w:rPr>
        <w:lastRenderedPageBreak/>
        <w:t>и центровок является чрезвычайно больным местом мно</w:t>
      </w:r>
      <w:r w:rsidRPr="008127F8">
        <w:rPr>
          <w:rFonts w:ascii="Times New Roman" w:hAnsi="Times New Roman"/>
          <w:color w:val="000000" w:themeColor="text1"/>
          <w:sz w:val="16"/>
          <w:szCs w:val="16"/>
        </w:rPr>
        <w:softHyphen/>
        <w:t>гих истребителей и значительное количество самолетов не проходит госиспытаний из-за плохой устойчивости.</w:t>
      </w:r>
    </w:p>
    <w:p w14:paraId="262653C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 xml:space="preserve">З </w:t>
      </w:r>
      <w:r w:rsidRPr="008127F8">
        <w:rPr>
          <w:rFonts w:ascii="Times New Roman" w:hAnsi="Times New Roman"/>
          <w:color w:val="000000" w:themeColor="text1"/>
          <w:sz w:val="16"/>
          <w:szCs w:val="16"/>
        </w:rPr>
        <w:t>А К Л Ю Ч Е Н И Е.</w:t>
      </w:r>
    </w:p>
    <w:p w14:paraId="2769F4E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Считать необходимым включить в план опытного стровтельства на 1941 г. постройку одноместного истребителя "и” с двумя спаренными моторами М-107П конструкции инж. Болховитинова</w:t>
      </w:r>
    </w:p>
    <w:p w14:paraId="26E43CE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Представленный эскизный проект считать предварительным и предложить конструктору представать полный эскизный проект, разработанный в соответствии с тактико-техническими требованиями ВВС КА с учетом замечаний, данных в выводах по данному предварительному эскизному проекту. Одновременно вести подготовку макета (4049,70).</w:t>
      </w:r>
    </w:p>
    <w:p w14:paraId="1D01F3C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16B5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EB09B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50A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31 января по 21 февраля 1942 на Артиллерийском научно-исследовательском опытном полигоне были проведены заводские испытания двух опытных образцов 76-мм полковой пушки 1927/1942 г. 76-мм пушка обр. 1927/1942 г. могла пробить 45-мм броню на расстоянии 500 м при угле встречи 60°.</w:t>
      </w:r>
    </w:p>
    <w:p w14:paraId="2BBD9B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Противооткатные устройства работали удовлетворительно. В лафете повреждений нет (3861).</w:t>
      </w:r>
    </w:p>
    <w:p w14:paraId="2406E6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A116B" w14:textId="77777777" w:rsidR="002510D4" w:rsidRPr="008127F8" w:rsidRDefault="002510D4"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31 января 1942 года Главным артиллерийским управлением Красной Армии (ГАУ КА) были утверждены ТТТ на «76-мм штурмовую самоходную артиллерийскую установку». Согласно им, в качестве вооружения предполагалось использовать 76-мм дивизионную пушку ЗИС-3. Гораздо интереснее то, что в представлении артиллеристов эта самоходная установка должна была разрабатываться не на универсальном шасси. Об этом говорит ряд требований, например, по боевой массе. В то время как универсальное шасси имело боевую массу 7,5–8 тонн, самоход по версии ГАУ не должен был превысить отметку в 6,5 тонн. Боезапас перспективной машины также отличался – вместо 20 выстрелов он должен был составлять 30 выстрелов.</w:t>
      </w:r>
    </w:p>
    <w:p w14:paraId="5E0AFD6D" w14:textId="77777777" w:rsidR="002510D4" w:rsidRPr="008127F8" w:rsidRDefault="002510D4"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Чуть позже появились ТТТ на два </w:t>
      </w:r>
      <w:hyperlink r:id="rId27" w:history="1">
        <w:r w:rsidRPr="008127F8">
          <w:rPr>
            <w:rFonts w:ascii="Times New Roman" w:eastAsia="Times New Roman" w:hAnsi="Times New Roman"/>
            <w:color w:val="000000" w:themeColor="text1"/>
            <w:sz w:val="16"/>
            <w:szCs w:val="16"/>
            <w:lang w:eastAsia="ru-RU"/>
          </w:rPr>
          <w:t>типа зенитных самоходных установок</w:t>
        </w:r>
      </w:hyperlink>
      <w:r w:rsidRPr="008127F8">
        <w:rPr>
          <w:rFonts w:ascii="Times New Roman" w:eastAsia="Times New Roman" w:hAnsi="Times New Roman"/>
          <w:color w:val="000000" w:themeColor="text1"/>
          <w:sz w:val="16"/>
          <w:szCs w:val="16"/>
          <w:lang w:eastAsia="ru-RU"/>
        </w:rPr>
        <w:t xml:space="preserve"> (ЗСУ). В первом случае предполагалось установить 25-мм автоматическое зенитное орудие 72-К, во втором – 37-мм автоматическое зенитное орудие 61-К. Любопытно, что в декабре 1941 года от 72-К пришлось отказаться в виду прекращения ее производства, которое возобновилось только в 1943 году (17863).</w:t>
      </w:r>
    </w:p>
    <w:p w14:paraId="66A92A58" w14:textId="77777777" w:rsidR="002510D4" w:rsidRPr="008127F8" w:rsidRDefault="002510D4" w:rsidP="001E0A84">
      <w:pPr>
        <w:pStyle w:val="12a"/>
        <w:shd w:val="clear" w:color="auto" w:fill="auto"/>
        <w:spacing w:after="0" w:line="240" w:lineRule="auto"/>
        <w:jc w:val="both"/>
        <w:rPr>
          <w:color w:val="000000" w:themeColor="text1"/>
          <w:sz w:val="16"/>
          <w:szCs w:val="16"/>
        </w:rPr>
      </w:pPr>
    </w:p>
    <w:p w14:paraId="02CA537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вышло Постановление ГКО № 1225 [О передаче 100 трофейных автомашин НКЦМ.] (7021, 149).</w:t>
      </w:r>
    </w:p>
    <w:p w14:paraId="26F048A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6B46B" w14:textId="77777777" w:rsidR="00BC57C1" w:rsidRPr="008127F8" w:rsidRDefault="00BC57C1" w:rsidP="00BC57C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E245BD7" w14:textId="77777777" w:rsidR="00BC57C1" w:rsidRPr="008127F8" w:rsidRDefault="00BC57C1" w:rsidP="00BC57C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42165"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г.</w:t>
      </w:r>
    </w:p>
    <w:p w14:paraId="51E1F4CF"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9 лист 191 – 192</w:t>
      </w:r>
    </w:p>
    <w:p w14:paraId="64799039"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ел. 31.1.42</w:t>
      </w:r>
    </w:p>
    <w:p w14:paraId="269ED18C"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Pr>
          <w:rFonts w:ascii="Times New Roman" w:hAnsi="Times New Roman"/>
          <w:color w:val="000000" w:themeColor="text1"/>
          <w:sz w:val="16"/>
          <w:szCs w:val="16"/>
        </w:rPr>
        <w:t xml:space="preserve">  </w:t>
      </w:r>
    </w:p>
    <w:p w14:paraId="35D99E7C"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78A1BE7B"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КОМИССАРИАТА ТАНКОВОЙ ПРОМЫШЛЕННОСТИ СОЮЗА ССР</w:t>
      </w:r>
    </w:p>
    <w:p w14:paraId="701560CD"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47с</w:t>
      </w:r>
    </w:p>
    <w:p w14:paraId="7F2F9CDE"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60A1EF5A"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г.</w:t>
      </w:r>
    </w:p>
    <w:p w14:paraId="3F682F87"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своевременной подготовки рабочей технологии и оснащения по машинам А-34 и В-2 для строящихся заводов С-10 в г. Барнауле и С-70 в г. Челябинске, ПРИКАЗЫВАЮ:</w:t>
      </w:r>
      <w:r>
        <w:rPr>
          <w:rFonts w:ascii="Times New Roman" w:hAnsi="Times New Roman"/>
          <w:color w:val="000000" w:themeColor="text1"/>
          <w:sz w:val="16"/>
          <w:szCs w:val="16"/>
        </w:rPr>
        <w:t xml:space="preserve">  </w:t>
      </w:r>
    </w:p>
    <w:p w14:paraId="1AF43419"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Главному инженеру завода С-10 т. Темко и директору завода С-70 т. ГВЕЛЕСИАНИ:</w:t>
      </w:r>
      <w:r>
        <w:rPr>
          <w:rFonts w:ascii="Times New Roman" w:hAnsi="Times New Roman"/>
          <w:color w:val="000000" w:themeColor="text1"/>
          <w:sz w:val="16"/>
          <w:szCs w:val="16"/>
        </w:rPr>
        <w:t xml:space="preserve">  </w:t>
      </w:r>
    </w:p>
    <w:p w14:paraId="257F65B2"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Приступить к разработке технологии и оснащению производства машины А-34 и мотора В-2, для чего:</w:t>
      </w:r>
      <w:r>
        <w:rPr>
          <w:rFonts w:ascii="Times New Roman" w:hAnsi="Times New Roman"/>
          <w:color w:val="000000" w:themeColor="text1"/>
          <w:sz w:val="16"/>
          <w:szCs w:val="16"/>
        </w:rPr>
        <w:t xml:space="preserve">  </w:t>
      </w:r>
    </w:p>
    <w:p w14:paraId="236D2380"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к 25/II-42 г. в системе каждого завода для разработки технологических процессов и оснащения отделы Главного технолога, в соответствии с утвержденной мною схемой.</w:t>
      </w:r>
      <w:r>
        <w:rPr>
          <w:rFonts w:ascii="Times New Roman" w:hAnsi="Times New Roman"/>
          <w:color w:val="000000" w:themeColor="text1"/>
          <w:sz w:val="16"/>
          <w:szCs w:val="16"/>
        </w:rPr>
        <w:t xml:space="preserve">  </w:t>
      </w:r>
    </w:p>
    <w:p w14:paraId="2CF7A411"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СОСТАВИТЬ к 25/II-42 г. календарный план и график технологической подготовки производства и изготовления оснащения, положив в основу:</w:t>
      </w:r>
      <w:r>
        <w:rPr>
          <w:rFonts w:ascii="Times New Roman" w:hAnsi="Times New Roman"/>
          <w:color w:val="000000" w:themeColor="text1"/>
          <w:sz w:val="16"/>
          <w:szCs w:val="16"/>
        </w:rPr>
        <w:t xml:space="preserve">  </w:t>
      </w:r>
    </w:p>
    <w:p w14:paraId="335DED5A"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окончание разработки технологических процессов и первоочередного оснащения:</w:t>
      </w:r>
      <w:r>
        <w:rPr>
          <w:rFonts w:ascii="Times New Roman" w:hAnsi="Times New Roman"/>
          <w:color w:val="000000" w:themeColor="text1"/>
          <w:sz w:val="16"/>
          <w:szCs w:val="16"/>
        </w:rPr>
        <w:t xml:space="preserve">  </w:t>
      </w:r>
    </w:p>
    <w:p w14:paraId="356772FB"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мотору В-2 – к 1 мая с.г.</w:t>
      </w:r>
      <w:r>
        <w:rPr>
          <w:rFonts w:ascii="Times New Roman" w:hAnsi="Times New Roman"/>
          <w:color w:val="000000" w:themeColor="text1"/>
          <w:sz w:val="16"/>
          <w:szCs w:val="16"/>
        </w:rPr>
        <w:t xml:space="preserve">  </w:t>
      </w:r>
    </w:p>
    <w:p w14:paraId="5CB2E67E"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машине А-34 – к 15 мая с.г.</w:t>
      </w:r>
      <w:r>
        <w:rPr>
          <w:rFonts w:ascii="Times New Roman" w:hAnsi="Times New Roman"/>
          <w:color w:val="000000" w:themeColor="text1"/>
          <w:sz w:val="16"/>
          <w:szCs w:val="16"/>
        </w:rPr>
        <w:t xml:space="preserve">  </w:t>
      </w:r>
    </w:p>
    <w:p w14:paraId="56414B69"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изготовление и настройку первоочередного оснащения:</w:t>
      </w:r>
      <w:r>
        <w:rPr>
          <w:rFonts w:ascii="Times New Roman" w:hAnsi="Times New Roman"/>
          <w:color w:val="000000" w:themeColor="text1"/>
          <w:sz w:val="16"/>
          <w:szCs w:val="16"/>
        </w:rPr>
        <w:t xml:space="preserve">  </w:t>
      </w:r>
    </w:p>
    <w:p w14:paraId="21F6DA9B"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мотору В-2 – к 1 июня с.г.</w:t>
      </w:r>
      <w:r>
        <w:rPr>
          <w:rFonts w:ascii="Times New Roman" w:hAnsi="Times New Roman"/>
          <w:color w:val="000000" w:themeColor="text1"/>
          <w:sz w:val="16"/>
          <w:szCs w:val="16"/>
        </w:rPr>
        <w:t xml:space="preserve">  </w:t>
      </w:r>
    </w:p>
    <w:p w14:paraId="162D2F86"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машине А-34 – к 1 июля с.г.</w:t>
      </w:r>
      <w:r>
        <w:rPr>
          <w:rFonts w:ascii="Times New Roman" w:hAnsi="Times New Roman"/>
          <w:color w:val="000000" w:themeColor="text1"/>
          <w:sz w:val="16"/>
          <w:szCs w:val="16"/>
        </w:rPr>
        <w:t xml:space="preserve">  </w:t>
      </w:r>
    </w:p>
    <w:p w14:paraId="5E84D888"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 разработке технологических процессов и оснащения максимально использовать действующую технологию:</w:t>
      </w:r>
      <w:r>
        <w:rPr>
          <w:rFonts w:ascii="Times New Roman" w:hAnsi="Times New Roman"/>
          <w:color w:val="000000" w:themeColor="text1"/>
          <w:sz w:val="16"/>
          <w:szCs w:val="16"/>
        </w:rPr>
        <w:t xml:space="preserve">  </w:t>
      </w:r>
    </w:p>
    <w:p w14:paraId="2973C3BB"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В-2 – Кировского завода</w:t>
      </w:r>
      <w:r>
        <w:rPr>
          <w:rFonts w:ascii="Times New Roman" w:hAnsi="Times New Roman"/>
          <w:color w:val="000000" w:themeColor="text1"/>
          <w:sz w:val="16"/>
          <w:szCs w:val="16"/>
        </w:rPr>
        <w:t xml:space="preserve">  </w:t>
      </w:r>
    </w:p>
    <w:p w14:paraId="5928AD1B"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А-34 – Завода № 183, СТЗ и завода № 264.</w:t>
      </w:r>
      <w:r>
        <w:rPr>
          <w:rFonts w:ascii="Times New Roman" w:hAnsi="Times New Roman"/>
          <w:color w:val="000000" w:themeColor="text1"/>
          <w:sz w:val="16"/>
          <w:szCs w:val="16"/>
        </w:rPr>
        <w:t xml:space="preserve">  </w:t>
      </w:r>
    </w:p>
    <w:p w14:paraId="0885CC4A"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ПРЕДСТАВИТЬ к 15/II-42 г. Отделу Кадров Наркомата заявку на штаты, необходимые для разработки технологических процессов и оснащения.</w:t>
      </w:r>
      <w:r>
        <w:rPr>
          <w:rFonts w:ascii="Times New Roman" w:hAnsi="Times New Roman"/>
          <w:color w:val="000000" w:themeColor="text1"/>
          <w:sz w:val="16"/>
          <w:szCs w:val="16"/>
        </w:rPr>
        <w:t xml:space="preserve">  </w:t>
      </w:r>
    </w:p>
    <w:p w14:paraId="0FFAE071"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ПРЕДСТАВИТЬ к 15/II-42 г. обоснованные заявки Главснабу: на бумагу, тушь, чертежные и канцелярские принадлежности и подготовить необходимый для этих работ инвентарь.</w:t>
      </w:r>
      <w:r>
        <w:rPr>
          <w:rFonts w:ascii="Times New Roman" w:hAnsi="Times New Roman"/>
          <w:color w:val="000000" w:themeColor="text1"/>
          <w:sz w:val="16"/>
          <w:szCs w:val="16"/>
        </w:rPr>
        <w:t xml:space="preserve">  </w:t>
      </w:r>
    </w:p>
    <w:p w14:paraId="26811350"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ПРЕДСТАВИТЬ к 1/III-42 г. 1-му Отделу НКТП заявку на изготовление в порядке кооперации первоочередного оснащения (приспособлений, штампов, инструмента и т.д.).</w:t>
      </w:r>
      <w:r>
        <w:rPr>
          <w:rFonts w:ascii="Times New Roman" w:hAnsi="Times New Roman"/>
          <w:color w:val="000000" w:themeColor="text1"/>
          <w:sz w:val="16"/>
          <w:szCs w:val="16"/>
        </w:rPr>
        <w:t xml:space="preserve">  </w:t>
      </w:r>
    </w:p>
    <w:p w14:paraId="40CEA9BF"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Начальнику Отдела Кадров НКТП – тов. ЛОГИНОВУ:</w:t>
      </w:r>
      <w:r>
        <w:rPr>
          <w:rFonts w:ascii="Times New Roman" w:hAnsi="Times New Roman"/>
          <w:color w:val="000000" w:themeColor="text1"/>
          <w:sz w:val="16"/>
          <w:szCs w:val="16"/>
        </w:rPr>
        <w:t xml:space="preserve">  </w:t>
      </w:r>
    </w:p>
    <w:p w14:paraId="5352DB61"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ПОДОБРАТЬ к 5/II-42 г. кандидатов на должности Главных технологов заводов (Зам. главного инженера завода) С-10 и С-70 и по согласовании с директорами заводов, представить мне на утверждение.</w:t>
      </w:r>
      <w:r>
        <w:rPr>
          <w:rFonts w:ascii="Times New Roman" w:hAnsi="Times New Roman"/>
          <w:color w:val="000000" w:themeColor="text1"/>
          <w:sz w:val="16"/>
          <w:szCs w:val="16"/>
        </w:rPr>
        <w:t xml:space="preserve">  </w:t>
      </w:r>
    </w:p>
    <w:p w14:paraId="2CB6EDA8"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Укомплектовать отделы Главного технолога работниками, </w:t>
      </w:r>
      <w:proofErr w:type="gramStart"/>
      <w:r w:rsidRPr="008127F8">
        <w:rPr>
          <w:rFonts w:ascii="Times New Roman" w:hAnsi="Times New Roman"/>
          <w:color w:val="000000" w:themeColor="text1"/>
          <w:sz w:val="16"/>
          <w:szCs w:val="16"/>
        </w:rPr>
        <w:t>согласно заявки</w:t>
      </w:r>
      <w:proofErr w:type="gramEnd"/>
      <w:r w:rsidRPr="008127F8">
        <w:rPr>
          <w:rFonts w:ascii="Times New Roman" w:hAnsi="Times New Roman"/>
          <w:color w:val="000000" w:themeColor="text1"/>
          <w:sz w:val="16"/>
          <w:szCs w:val="16"/>
        </w:rPr>
        <w:t xml:space="preserve"> заводов, подтвержденной 2-м отделом НКТП за счет заводов № 183, Кировского, № 264, № 174 и др.</w:t>
      </w:r>
      <w:r>
        <w:rPr>
          <w:rFonts w:ascii="Times New Roman" w:hAnsi="Times New Roman"/>
          <w:color w:val="000000" w:themeColor="text1"/>
          <w:sz w:val="16"/>
          <w:szCs w:val="16"/>
        </w:rPr>
        <w:t xml:space="preserve">  </w:t>
      </w:r>
    </w:p>
    <w:p w14:paraId="00C82292"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ОБЯЗАТЬ Начальника 8-го ГПИ и директора Мосстанкопроекта:</w:t>
      </w:r>
      <w:r>
        <w:rPr>
          <w:rFonts w:ascii="Times New Roman" w:hAnsi="Times New Roman"/>
          <w:color w:val="000000" w:themeColor="text1"/>
          <w:sz w:val="16"/>
          <w:szCs w:val="16"/>
        </w:rPr>
        <w:t xml:space="preserve">  </w:t>
      </w:r>
    </w:p>
    <w:p w14:paraId="18E2FB08"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время подготовки производства командировать в порядке технической помощи по требованию директоров заводов технологов и конструкторов по оснащению:</w:t>
      </w:r>
      <w:r>
        <w:rPr>
          <w:rFonts w:ascii="Times New Roman" w:hAnsi="Times New Roman"/>
          <w:color w:val="000000" w:themeColor="text1"/>
          <w:sz w:val="16"/>
          <w:szCs w:val="16"/>
        </w:rPr>
        <w:t xml:space="preserve">  </w:t>
      </w:r>
    </w:p>
    <w:p w14:paraId="56C51A07"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 8 ГПИ – по 20 человек на каждый завод</w:t>
      </w:r>
      <w:r>
        <w:rPr>
          <w:rFonts w:ascii="Times New Roman" w:hAnsi="Times New Roman"/>
          <w:color w:val="000000" w:themeColor="text1"/>
          <w:sz w:val="16"/>
          <w:szCs w:val="16"/>
        </w:rPr>
        <w:t xml:space="preserve">  </w:t>
      </w:r>
    </w:p>
    <w:p w14:paraId="628465C1"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 Мосстанкопроекта по 10 чел. на каждый завод.</w:t>
      </w:r>
      <w:r>
        <w:rPr>
          <w:rFonts w:ascii="Times New Roman" w:hAnsi="Times New Roman"/>
          <w:color w:val="000000" w:themeColor="text1"/>
          <w:sz w:val="16"/>
          <w:szCs w:val="16"/>
        </w:rPr>
        <w:t xml:space="preserve">  </w:t>
      </w:r>
    </w:p>
    <w:p w14:paraId="0C409228"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Директорам заводов С-10 и С-70 заключить договора на техническую помощь и обеспечить работников по техпомощи рабочим помещением, транспортом и питанием.</w:t>
      </w:r>
      <w:r>
        <w:rPr>
          <w:rFonts w:ascii="Times New Roman" w:hAnsi="Times New Roman"/>
          <w:color w:val="000000" w:themeColor="text1"/>
          <w:sz w:val="16"/>
          <w:szCs w:val="16"/>
        </w:rPr>
        <w:t xml:space="preserve">  </w:t>
      </w:r>
    </w:p>
    <w:p w14:paraId="2433B15F"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ОБЯЗАТЬ Директоров заводов № 183, 264, СТЗ, не позднее 20/II-42 г. размножить за счет ранее выделенных фондов по светочувствительной бумаге и выслать заводу С-70 действующую технологическую документацию, как то: карты техпроцессов, чертежи заготовок, приспособлений, горячих и холодных штампов, вспомогательного, режущего и мерительного инструмента. Чертежи нестандартного оборудования – стендов, тележек, ванн и др. Каталоги принятого нормализованного оснащения, расшифровку индексации техпроцессов, нормы расходов материалов, нормировочные и контрольные карты, карточки применяемости инструмента и т.д. Кроме того, заводу № 183 рабочие чертежи и техусловия на машину А-34.</w:t>
      </w:r>
      <w:r>
        <w:rPr>
          <w:rFonts w:ascii="Times New Roman" w:hAnsi="Times New Roman"/>
          <w:color w:val="000000" w:themeColor="text1"/>
          <w:sz w:val="16"/>
          <w:szCs w:val="16"/>
        </w:rPr>
        <w:t xml:space="preserve">  </w:t>
      </w:r>
    </w:p>
    <w:p w14:paraId="6E283CC3"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ОБЯЗАТЬ Зам. Директора Кировского т. Махонина не позднее 15/II-42 г. выслать заводу С-10 в г. Барнаул действующую технологическую документацию (в перечне, указанном для машины А-34), рабочие чертежи и техусловия на мотор В-2.</w:t>
      </w:r>
      <w:r>
        <w:rPr>
          <w:rFonts w:ascii="Times New Roman" w:hAnsi="Times New Roman"/>
          <w:color w:val="000000" w:themeColor="text1"/>
          <w:sz w:val="16"/>
          <w:szCs w:val="16"/>
        </w:rPr>
        <w:t xml:space="preserve">  </w:t>
      </w:r>
    </w:p>
    <w:p w14:paraId="18AFE7F9"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 ОБЯЗАТЬ Главснаб НКТП в покрытие расходов светочувствительной бумаги на размножение техдокументации выделить дополнительно указанным заводам светочувствительную бумагу в количестве:</w:t>
      </w:r>
      <w:r>
        <w:rPr>
          <w:rFonts w:ascii="Times New Roman" w:hAnsi="Times New Roman"/>
          <w:color w:val="000000" w:themeColor="text1"/>
          <w:sz w:val="16"/>
          <w:szCs w:val="16"/>
        </w:rPr>
        <w:t xml:space="preserve">  </w:t>
      </w:r>
    </w:p>
    <w:p w14:paraId="2F62FAEC"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Кировский завод – 1000 рулонов</w:t>
      </w:r>
      <w:r>
        <w:rPr>
          <w:rFonts w:ascii="Times New Roman" w:hAnsi="Times New Roman"/>
          <w:color w:val="000000" w:themeColor="text1"/>
          <w:sz w:val="16"/>
          <w:szCs w:val="16"/>
        </w:rPr>
        <w:t xml:space="preserve">  </w:t>
      </w:r>
    </w:p>
    <w:p w14:paraId="034103CF"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Завод № 183 – 1500 рулонов</w:t>
      </w:r>
      <w:r>
        <w:rPr>
          <w:rFonts w:ascii="Times New Roman" w:hAnsi="Times New Roman"/>
          <w:color w:val="000000" w:themeColor="text1"/>
          <w:sz w:val="16"/>
          <w:szCs w:val="16"/>
        </w:rPr>
        <w:t xml:space="preserve">  </w:t>
      </w:r>
    </w:p>
    <w:p w14:paraId="703BC808"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СТЗ – 500 рулонов</w:t>
      </w:r>
      <w:r>
        <w:rPr>
          <w:rFonts w:ascii="Times New Roman" w:hAnsi="Times New Roman"/>
          <w:color w:val="000000" w:themeColor="text1"/>
          <w:sz w:val="16"/>
          <w:szCs w:val="16"/>
        </w:rPr>
        <w:t xml:space="preserve">  </w:t>
      </w:r>
    </w:p>
    <w:p w14:paraId="4075BEB7"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Завод № 264 – 300 рулонов</w:t>
      </w:r>
      <w:r>
        <w:rPr>
          <w:rFonts w:ascii="Times New Roman" w:hAnsi="Times New Roman"/>
          <w:color w:val="000000" w:themeColor="text1"/>
          <w:sz w:val="16"/>
          <w:szCs w:val="16"/>
        </w:rPr>
        <w:t xml:space="preserve">  </w:t>
      </w:r>
    </w:p>
    <w:p w14:paraId="00223AF1"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VII. Выполнение настоящего приказа 2-му Отделу НКТП взять под контроль.</w:t>
      </w:r>
    </w:p>
    <w:p w14:paraId="3C3BD577"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5E790C9F"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(Котин)</w:t>
      </w:r>
    </w:p>
    <w:p w14:paraId="64E6288B" w14:textId="77777777" w:rsidR="00BC57C1" w:rsidRPr="008127F8" w:rsidRDefault="00BC57C1" w:rsidP="00BC57C1">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Отпеч. 2 экз. (18243).</w:t>
      </w:r>
    </w:p>
    <w:p w14:paraId="6CAE5534" w14:textId="77777777" w:rsidR="00BC57C1" w:rsidRPr="008127F8" w:rsidRDefault="00BC57C1" w:rsidP="00BC57C1">
      <w:pPr>
        <w:spacing w:after="0" w:line="240" w:lineRule="auto"/>
        <w:jc w:val="both"/>
        <w:rPr>
          <w:rFonts w:ascii="Times New Roman" w:hAnsi="Times New Roman"/>
          <w:color w:val="000000" w:themeColor="text1"/>
          <w:sz w:val="16"/>
          <w:szCs w:val="16"/>
        </w:rPr>
      </w:pPr>
    </w:p>
    <w:p w14:paraId="77079DA1" w14:textId="77777777" w:rsidR="00BC57C1" w:rsidRPr="008A2E5A" w:rsidRDefault="00BC57C1" w:rsidP="00BC57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 31 января 1941 года С.А. Гинзбург, на тот момент заместитель начальника 2-го отдела НКТП, подготовил ТТТ на "самоходную установку 152-мм гаубицы на базе КВ-7. Далее их подписал Ж.Я. Котин, на тот момент зам наркома танковой промышленности. Еще раньше, 21 января, был утвержден план работ на 1942 году, где также имелась такая тема. Под нее выделялся бюджет 300000 рублей, орудийную часть разрабатывал УЗТМ, шасси - ЧКЗ. Проектные чертежи САУ ожидались к 15 марту 1942 года. К 1 мая ожидался опытный образец машины, а к 10 мая - техническая документация (23889).</w:t>
      </w:r>
    </w:p>
    <w:p w14:paraId="7A371F7F" w14:textId="77777777" w:rsidR="00BC57C1" w:rsidRDefault="00BC57C1" w:rsidP="00BC57C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B211640" w14:textId="77777777" w:rsidR="005C0E90"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F5F7A53" w14:textId="77777777" w:rsidR="005C0E90" w:rsidRPr="008127F8" w:rsidRDefault="005C0E90"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4C3B4"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31 января 1942 года Оперативная сводка Совинформбюро</w:t>
      </w:r>
    </w:p>
    <w:p w14:paraId="2F34AC7B"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31 января</w:t>
      </w:r>
    </w:p>
    <w:p w14:paraId="12C9A73B"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31 января наши войска продолжали вести наступательные бои против немецко-фашистских войск.</w:t>
      </w:r>
    </w:p>
    <w:p w14:paraId="5D212CEB"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31 января</w:t>
      </w:r>
    </w:p>
    <w:p w14:paraId="5CC50CD6"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31 января наши войска вели упорные бои с противником и продолжали продвигаться вперёд.</w:t>
      </w:r>
    </w:p>
    <w:p w14:paraId="0E8A42F0"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 30 января сбито в воздушных боях 4 и уничтожено на аэродромах 16 самолётов прогивижка. Всего за этот тень уничтожено 20 немецких самолётов. Наши </w:t>
      </w:r>
      <w:proofErr w:type="gramStart"/>
      <w:r w:rsidRPr="008127F8">
        <w:rPr>
          <w:rFonts w:ascii="Times New Roman" w:eastAsia="Times New Roman" w:hAnsi="Times New Roman"/>
          <w:color w:val="000000" w:themeColor="text1"/>
          <w:sz w:val="16"/>
          <w:szCs w:val="16"/>
          <w:lang w:eastAsia="ru-RU"/>
        </w:rPr>
        <w:t>потери  5</w:t>
      </w:r>
      <w:proofErr w:type="gramEnd"/>
      <w:r w:rsidRPr="008127F8">
        <w:rPr>
          <w:rFonts w:ascii="Times New Roman" w:eastAsia="Times New Roman" w:hAnsi="Times New Roman"/>
          <w:color w:val="000000" w:themeColor="text1"/>
          <w:sz w:val="16"/>
          <w:szCs w:val="16"/>
          <w:lang w:eastAsia="ru-RU"/>
        </w:rPr>
        <w:t xml:space="preserve"> самолётов.</w:t>
      </w:r>
    </w:p>
    <w:p w14:paraId="6936B8D1"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30 января частями нашей авиации уничтожено 220 немецких автомашин с войсками и грузами, 100 повозок с боеприпасами, 18 орудий с прислугой и 2 зенитно-пулемётные точки. Наша авиация рассеяла и уничтожила более двух батальонов вражеской пехоты (15024).</w:t>
      </w:r>
    </w:p>
    <w:p w14:paraId="735D1CA3"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p>
    <w:p w14:paraId="56209CF0" w14:textId="77777777" w:rsidR="00413A92" w:rsidRPr="008127F8" w:rsidRDefault="00413A92"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31 января 1942 состоялся следующий вылет:</w:t>
      </w:r>
    </w:p>
    <w:p w14:paraId="3C31899D"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командир корабля полковник Алексеев, штурман майор Лебедев в 16.47 31.1 42 г. стартовал с аэродрома Ковров на бомбардирование ж.д. узла Смоленск. Цель была закрыта сплошной низкой облачностью без горизонтальной видимости.</w:t>
      </w:r>
    </w:p>
    <w:p w14:paraId="5379317D"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19.02-19.17 экипаж бомбил с высоты 300-400 м ж.д. перегоны и движение автоколонн по шоссейной дороге западнее г. Смоленск. Точное место бомбометания штурман не смог установить ввиду отсутствия горизонтальной видимости и малой высоты бомбометания.</w:t>
      </w:r>
    </w:p>
    <w:p w14:paraId="6B6C6000"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 перегону ж.д. сброшено серией десять ФАБ-100, результаты бомбометания не наблюдали из-за плохой видимости.</w:t>
      </w:r>
    </w:p>
    <w:p w14:paraId="37ABC6CD"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 автоколонне и шоссейной дороге сброшено тридцать ФАБ- 100. Разрывы бомб наблюдали вблизи двигавшейся автоколонны, но результат не известен из-за отсутствия горизонтальной видимости.</w:t>
      </w:r>
    </w:p>
    <w:p w14:paraId="53F68867"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районе западнее г. Смоленск сброшено 20 тысяч листовок - доклад т. Сталина.</w:t>
      </w:r>
    </w:p>
    <w:p w14:paraId="33DBC0C5"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Противодействие ПВО: не наблюдали.</w:t>
      </w:r>
    </w:p>
    <w:p w14:paraId="107F07E2"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Наблюдением экипажа установлено: по шоссейным дорогам западнее Смоленск движение автотранспорта к Смоленску, численность не установлена. В районе Сычевка движение автотранспорта на Восток. От Гжатск движение автотранспорта на Север, численность не установлена.</w:t>
      </w:r>
    </w:p>
    <w:p w14:paraId="745E130F"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 От Калинина облачность с постепенным понижением до 300 м со снегом в районе цели плохая горизонтальная видимость, видно только под собой. Обледенения в облаках не было.</w:t>
      </w:r>
    </w:p>
    <w:p w14:paraId="580E1BDC" w14:textId="77777777" w:rsidR="00413A92" w:rsidRPr="008127F8" w:rsidRDefault="00413A9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Обратный полет выполнялся в облаках на высоте 2000 м. Выйдя из Облаков, самолет оказался над Москвой. Обошли Москву с юга и взят был курс на свой аэродром.</w:t>
      </w:r>
    </w:p>
    <w:p w14:paraId="304FB90A" w14:textId="77777777" w:rsidR="00413A92" w:rsidRPr="008127F8" w:rsidRDefault="00413A9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выполнения задания экипаж произвел посадку на своем аэродроме Ковров в 22 ч 17 м благополучно. Материальная часть неисправна. При обратном полете, пройдя линию фронта, упало давление масла третьего мотора, мотор был выключен и полет продолжался на трех моторах. Потерь нет (19105).</w:t>
      </w:r>
    </w:p>
    <w:p w14:paraId="7D7A809B" w14:textId="77777777" w:rsidR="00413A92" w:rsidRPr="008127F8" w:rsidRDefault="00413A92" w:rsidP="001E0A84">
      <w:pPr>
        <w:pStyle w:val="31b"/>
        <w:shd w:val="clear" w:color="auto" w:fill="auto"/>
        <w:tabs>
          <w:tab w:val="left" w:pos="457"/>
        </w:tabs>
        <w:spacing w:after="0" w:line="240" w:lineRule="auto"/>
        <w:jc w:val="both"/>
        <w:rPr>
          <w:rFonts w:ascii="Times New Roman" w:hAnsi="Times New Roman" w:cs="Times New Roman"/>
          <w:color w:val="000000" w:themeColor="text1"/>
          <w:sz w:val="16"/>
          <w:szCs w:val="16"/>
        </w:rPr>
      </w:pPr>
    </w:p>
    <w:p w14:paraId="5FA4C18D"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января</w:t>
      </w:r>
      <w:r w:rsidRPr="008127F8">
        <w:rPr>
          <w:rFonts w:ascii="Times New Roman" w:hAnsi="Times New Roman"/>
          <w:color w:val="000000" w:themeColor="text1"/>
          <w:sz w:val="16"/>
          <w:szCs w:val="16"/>
        </w:rPr>
        <w:t xml:space="preserve"> в 1942 году завершилась Барвенково-Лозовская операция: советские войска на 100-километровом фронте продвинулись на западном и юго-западном направлениях на 90-100 км. Бесстрашие и отвагу в бою с немецкими захватчиками проявил заместитель политрука одной из частей Ленинградского фронта тов. Румянцев. Свыше 20 немецких солдат пытались окружить тов. Румянцева и взять его в плен. Умело маскируясь и ведя огонь из ручного пулемета, советский патриот полностью уничтожил всю группу гитлеровских солдат (15026).</w:t>
      </w:r>
    </w:p>
    <w:p w14:paraId="4EA2392E"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40787653"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января</w:t>
      </w:r>
      <w:r w:rsidRPr="008127F8">
        <w:rPr>
          <w:rFonts w:ascii="Times New Roman" w:hAnsi="Times New Roman"/>
          <w:color w:val="000000" w:themeColor="text1"/>
          <w:sz w:val="16"/>
          <w:szCs w:val="16"/>
        </w:rPr>
        <w:t xml:space="preserve"> в 1942 году финские посты радиоконтроля и службы перехвата радиопередач дешифрируют содержание радиограмм главнокомандования РККА, что позволяет вермахту провести несколько успешных морских операций по перехвату советских конвоев (15026).</w:t>
      </w:r>
    </w:p>
    <w:p w14:paraId="6860151B"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4916AD8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60C3C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7807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вышло Постановление ГКО № 1224 [О возвращении в Москву части аппарата управлений ж.д. Ленинской и им. Дзержинского.] (7021, 148).</w:t>
      </w:r>
    </w:p>
    <w:p w14:paraId="4F58261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9A6BC"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января</w:t>
      </w:r>
      <w:r w:rsidRPr="008127F8">
        <w:rPr>
          <w:rFonts w:ascii="Times New Roman" w:hAnsi="Times New Roman"/>
          <w:color w:val="000000" w:themeColor="text1"/>
          <w:sz w:val="16"/>
          <w:szCs w:val="16"/>
        </w:rPr>
        <w:t xml:space="preserve"> в 1942 году псковское городское управление расклеило по городу объявление: «По сообщению немецких властей, случаи отказа от работы и злостного уклонения отдельных граждан города от несения трудовой повинности в настоящее время принимают совершенно недопустимый характер и становятся явлением обычного порядка, а применяемые до сего времени меры борьбы с этим явлением не достигают своей цели и не дают необходимых положительных результатов. Поэтому немецкие власти с 1 февраля будут в этих случаях применять самые суровые меры, вплоть до расстрела» (15026).</w:t>
      </w:r>
    </w:p>
    <w:p w14:paraId="043E2922"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5FBC9E9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21E06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D63E6" w14:textId="77777777" w:rsidR="005C0E90" w:rsidRPr="008127F8" w:rsidRDefault="005C0E9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штаб USAAC дал согласие на постройку 500 В-29 (1051,15).</w:t>
      </w:r>
    </w:p>
    <w:p w14:paraId="2C4E2E78" w14:textId="77777777" w:rsidR="005C0E90" w:rsidRPr="008127F8" w:rsidRDefault="005C0E9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34B05E" w14:textId="77777777" w:rsidR="001F055D" w:rsidRPr="008127F8" w:rsidRDefault="001F055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зимой 1941–1942 гг. Бомбардировочное командование Королевских ВВС терпит 2,5% потерь среди своих самолетов, атакующих Германию.</w:t>
      </w:r>
    </w:p>
    <w:p w14:paraId="035EF8A5" w14:textId="77777777" w:rsidR="001F055D" w:rsidRPr="008127F8" w:rsidRDefault="001F055D" w:rsidP="001E0A84">
      <w:pPr>
        <w:spacing w:after="0" w:line="240" w:lineRule="auto"/>
        <w:jc w:val="both"/>
        <w:rPr>
          <w:rFonts w:ascii="Times New Roman" w:hAnsi="Times New Roman"/>
          <w:color w:val="000000" w:themeColor="text1"/>
          <w:sz w:val="16"/>
          <w:szCs w:val="16"/>
        </w:rPr>
      </w:pPr>
    </w:p>
    <w:p w14:paraId="4E59891C"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января</w:t>
      </w:r>
      <w:r w:rsidRPr="008127F8">
        <w:rPr>
          <w:rFonts w:ascii="Times New Roman" w:hAnsi="Times New Roman"/>
          <w:color w:val="000000" w:themeColor="text1"/>
          <w:sz w:val="16"/>
          <w:szCs w:val="16"/>
        </w:rPr>
        <w:t xml:space="preserve"> в 1942 году решение Польской рабочей партии о создании подпольной военной организации - Гвардии Людовой (15026).</w:t>
      </w:r>
    </w:p>
    <w:p w14:paraId="5BEDD701"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4E5E276A"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января</w:t>
      </w:r>
      <w:r w:rsidRPr="008127F8">
        <w:rPr>
          <w:rFonts w:ascii="Times New Roman" w:hAnsi="Times New Roman"/>
          <w:color w:val="000000" w:themeColor="text1"/>
          <w:sz w:val="16"/>
          <w:szCs w:val="16"/>
        </w:rPr>
        <w:t xml:space="preserve"> в 1942 году решение Вашингтонской конференции о создании Объединенного комитета начальников штабов США и Великобритании (15026).</w:t>
      </w:r>
    </w:p>
    <w:p w14:paraId="0D1AF67C"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5E6EB8E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японские войска осадили Сингапур, защищаемый британцами (4962).</w:t>
      </w:r>
    </w:p>
    <w:p w14:paraId="58B774A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0391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1942 началось сражение за Сингапур (1051,15).</w:t>
      </w:r>
    </w:p>
    <w:p w14:paraId="50E9ED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84980" w14:textId="77777777" w:rsidR="005C0E90" w:rsidRPr="008127F8" w:rsidRDefault="005C0E9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января</w:t>
      </w:r>
      <w:r w:rsidRPr="008127F8">
        <w:rPr>
          <w:rFonts w:ascii="Times New Roman" w:hAnsi="Times New Roman"/>
          <w:color w:val="000000" w:themeColor="text1"/>
          <w:sz w:val="16"/>
          <w:szCs w:val="16"/>
        </w:rPr>
        <w:t xml:space="preserve"> в 1942 году британские спецслужбы запеленговали в Дели подпольную радиостанцию абвера, ведущую антибританскую пропаганду и передающую в эфир инструкции гражданскому населению по организации диверсий и саботажа на британских военных и промышленных объектах (15026).</w:t>
      </w:r>
    </w:p>
    <w:p w14:paraId="0B088F24" w14:textId="77777777" w:rsidR="005C0E90" w:rsidRPr="008127F8" w:rsidRDefault="005C0E90" w:rsidP="001E0A84">
      <w:pPr>
        <w:spacing w:after="0" w:line="240" w:lineRule="auto"/>
        <w:jc w:val="both"/>
        <w:rPr>
          <w:rFonts w:ascii="Times New Roman" w:hAnsi="Times New Roman"/>
          <w:color w:val="000000" w:themeColor="text1"/>
          <w:sz w:val="16"/>
          <w:szCs w:val="16"/>
        </w:rPr>
      </w:pPr>
    </w:p>
    <w:p w14:paraId="6268112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D67AE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07B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января 1942 была подготовлен График выполнения поставок НКАП по решению ГКО N 1180сс от 22 января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699"/>
        <w:gridCol w:w="709"/>
        <w:gridCol w:w="850"/>
        <w:gridCol w:w="851"/>
        <w:gridCol w:w="850"/>
        <w:gridCol w:w="993"/>
        <w:gridCol w:w="4397"/>
      </w:tblGrid>
      <w:tr w:rsidR="006F4095" w:rsidRPr="008127F8" w14:paraId="424F9B8A" w14:textId="77777777">
        <w:tc>
          <w:tcPr>
            <w:tcW w:w="1252" w:type="dxa"/>
            <w:tcBorders>
              <w:top w:val="single" w:sz="12" w:space="0" w:color="auto"/>
            </w:tcBorders>
          </w:tcPr>
          <w:p w14:paraId="30A1E4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самолета</w:t>
            </w:r>
          </w:p>
        </w:tc>
        <w:tc>
          <w:tcPr>
            <w:tcW w:w="699" w:type="dxa"/>
            <w:tcBorders>
              <w:top w:val="single" w:sz="12" w:space="0" w:color="auto"/>
            </w:tcBorders>
          </w:tcPr>
          <w:p w14:paraId="4DCAF8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23.1</w:t>
            </w:r>
          </w:p>
        </w:tc>
        <w:tc>
          <w:tcPr>
            <w:tcW w:w="709" w:type="dxa"/>
            <w:tcBorders>
              <w:top w:val="single" w:sz="12" w:space="0" w:color="auto"/>
            </w:tcBorders>
          </w:tcPr>
          <w:p w14:paraId="7EA489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w:t>
            </w:r>
          </w:p>
        </w:tc>
        <w:tc>
          <w:tcPr>
            <w:tcW w:w="850" w:type="dxa"/>
            <w:tcBorders>
              <w:top w:val="single" w:sz="12" w:space="0" w:color="auto"/>
            </w:tcBorders>
          </w:tcPr>
          <w:p w14:paraId="0939D4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25.1</w:t>
            </w:r>
          </w:p>
        </w:tc>
        <w:tc>
          <w:tcPr>
            <w:tcW w:w="851" w:type="dxa"/>
            <w:tcBorders>
              <w:top w:val="single" w:sz="12" w:space="0" w:color="auto"/>
            </w:tcBorders>
          </w:tcPr>
          <w:p w14:paraId="0AA19B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c>
          <w:tcPr>
            <w:tcW w:w="850" w:type="dxa"/>
            <w:tcBorders>
              <w:top w:val="single" w:sz="12" w:space="0" w:color="auto"/>
            </w:tcBorders>
          </w:tcPr>
          <w:p w14:paraId="74CF2B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w:t>
            </w:r>
          </w:p>
        </w:tc>
        <w:tc>
          <w:tcPr>
            <w:tcW w:w="993" w:type="dxa"/>
            <w:tcBorders>
              <w:top w:val="single" w:sz="12" w:space="0" w:color="auto"/>
            </w:tcBorders>
          </w:tcPr>
          <w:p w14:paraId="4AC730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4397" w:type="dxa"/>
            <w:tcBorders>
              <w:top w:val="single" w:sz="12" w:space="0" w:color="auto"/>
            </w:tcBorders>
          </w:tcPr>
          <w:p w14:paraId="56A2E5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99D4BB" w14:textId="77777777">
        <w:tc>
          <w:tcPr>
            <w:tcW w:w="1252" w:type="dxa"/>
          </w:tcPr>
          <w:p w14:paraId="030EDF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99" w:type="dxa"/>
          </w:tcPr>
          <w:p w14:paraId="6C9BD1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30C67F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4A0824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851" w:type="dxa"/>
          </w:tcPr>
          <w:p w14:paraId="3560B0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850" w:type="dxa"/>
          </w:tcPr>
          <w:p w14:paraId="596417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993" w:type="dxa"/>
          </w:tcPr>
          <w:p w14:paraId="6FE59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4397" w:type="dxa"/>
          </w:tcPr>
          <w:p w14:paraId="55BC94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по типам</w:t>
            </w:r>
          </w:p>
        </w:tc>
      </w:tr>
      <w:tr w:rsidR="006F4095" w:rsidRPr="008127F8" w14:paraId="28B13867" w14:textId="77777777">
        <w:tc>
          <w:tcPr>
            <w:tcW w:w="1252" w:type="dxa"/>
          </w:tcPr>
          <w:p w14:paraId="2E82E8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w:t>
            </w:r>
          </w:p>
        </w:tc>
        <w:tc>
          <w:tcPr>
            <w:tcW w:w="699" w:type="dxa"/>
          </w:tcPr>
          <w:p w14:paraId="6F298B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27EA48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61D95C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1" w:type="dxa"/>
          </w:tcPr>
          <w:p w14:paraId="6AAD4B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1525B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993" w:type="dxa"/>
          </w:tcPr>
          <w:p w14:paraId="63F870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4397" w:type="dxa"/>
          </w:tcPr>
          <w:p w14:paraId="4D1138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Ил-2 - 33/31</w:t>
            </w:r>
          </w:p>
        </w:tc>
      </w:tr>
      <w:tr w:rsidR="006F4095" w:rsidRPr="008127F8" w14:paraId="794A4DC2" w14:textId="77777777">
        <w:tc>
          <w:tcPr>
            <w:tcW w:w="1252" w:type="dxa"/>
          </w:tcPr>
          <w:p w14:paraId="31CDA0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99" w:type="dxa"/>
          </w:tcPr>
          <w:p w14:paraId="3887F4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52BA19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850" w:type="dxa"/>
          </w:tcPr>
          <w:p w14:paraId="48668F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851" w:type="dxa"/>
          </w:tcPr>
          <w:p w14:paraId="218ABC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7/11</w:t>
            </w:r>
          </w:p>
        </w:tc>
        <w:tc>
          <w:tcPr>
            <w:tcW w:w="850" w:type="dxa"/>
          </w:tcPr>
          <w:p w14:paraId="626B0E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993" w:type="dxa"/>
          </w:tcPr>
          <w:p w14:paraId="4014E5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22/24</w:t>
            </w:r>
          </w:p>
        </w:tc>
        <w:tc>
          <w:tcPr>
            <w:tcW w:w="4397" w:type="dxa"/>
          </w:tcPr>
          <w:p w14:paraId="7CB650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 - 0/0</w:t>
            </w:r>
          </w:p>
        </w:tc>
      </w:tr>
      <w:tr w:rsidR="006F4095" w:rsidRPr="008127F8" w14:paraId="79D42927" w14:textId="77777777">
        <w:tc>
          <w:tcPr>
            <w:tcW w:w="1252" w:type="dxa"/>
          </w:tcPr>
          <w:p w14:paraId="329613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99" w:type="dxa"/>
          </w:tcPr>
          <w:p w14:paraId="427016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61263F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850" w:type="dxa"/>
          </w:tcPr>
          <w:p w14:paraId="1353C4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c>
          <w:tcPr>
            <w:tcW w:w="851" w:type="dxa"/>
          </w:tcPr>
          <w:p w14:paraId="0FA8F9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850" w:type="dxa"/>
          </w:tcPr>
          <w:p w14:paraId="607C0C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993" w:type="dxa"/>
          </w:tcPr>
          <w:p w14:paraId="12085E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4397" w:type="dxa"/>
          </w:tcPr>
          <w:p w14:paraId="662D7A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Пе-2 - 28/23</w:t>
            </w:r>
          </w:p>
        </w:tc>
      </w:tr>
      <w:tr w:rsidR="006F4095" w:rsidRPr="008127F8" w14:paraId="29467F7B" w14:textId="77777777">
        <w:tc>
          <w:tcPr>
            <w:tcW w:w="1252" w:type="dxa"/>
          </w:tcPr>
          <w:p w14:paraId="5B3BB6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99" w:type="dxa"/>
          </w:tcPr>
          <w:p w14:paraId="1CE582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709" w:type="dxa"/>
          </w:tcPr>
          <w:p w14:paraId="2BC7AC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850" w:type="dxa"/>
          </w:tcPr>
          <w:p w14:paraId="263A9E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Ѕ</w:t>
            </w:r>
          </w:p>
        </w:tc>
        <w:tc>
          <w:tcPr>
            <w:tcW w:w="851" w:type="dxa"/>
          </w:tcPr>
          <w:p w14:paraId="31EF18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850" w:type="dxa"/>
          </w:tcPr>
          <w:p w14:paraId="3C9467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993" w:type="dxa"/>
          </w:tcPr>
          <w:p w14:paraId="244E6C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w:t>
            </w:r>
          </w:p>
        </w:tc>
        <w:tc>
          <w:tcPr>
            <w:tcW w:w="4397" w:type="dxa"/>
          </w:tcPr>
          <w:p w14:paraId="6F97AF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Як-1 - 62/59</w:t>
            </w:r>
          </w:p>
        </w:tc>
      </w:tr>
      <w:tr w:rsidR="006F4095" w:rsidRPr="008127F8" w14:paraId="7EB5C5B4" w14:textId="77777777">
        <w:tc>
          <w:tcPr>
            <w:tcW w:w="1252" w:type="dxa"/>
          </w:tcPr>
          <w:p w14:paraId="109569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99" w:type="dxa"/>
          </w:tcPr>
          <w:p w14:paraId="4EEEC9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39B4AA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w:t>
            </w:r>
          </w:p>
        </w:tc>
        <w:tc>
          <w:tcPr>
            <w:tcW w:w="850" w:type="dxa"/>
          </w:tcPr>
          <w:p w14:paraId="6300FE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851" w:type="dxa"/>
          </w:tcPr>
          <w:p w14:paraId="383915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850" w:type="dxa"/>
          </w:tcPr>
          <w:p w14:paraId="00F28B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993" w:type="dxa"/>
          </w:tcPr>
          <w:p w14:paraId="73CD63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12/12</w:t>
            </w:r>
          </w:p>
        </w:tc>
        <w:tc>
          <w:tcPr>
            <w:tcW w:w="4397" w:type="dxa"/>
          </w:tcPr>
          <w:p w14:paraId="296ABB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Су-2 - 270</w:t>
            </w:r>
          </w:p>
        </w:tc>
      </w:tr>
      <w:tr w:rsidR="006F4095" w:rsidRPr="008127F8" w14:paraId="7BA2B301" w14:textId="77777777">
        <w:tc>
          <w:tcPr>
            <w:tcW w:w="1252" w:type="dxa"/>
          </w:tcPr>
          <w:p w14:paraId="1E6E81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99" w:type="dxa"/>
          </w:tcPr>
          <w:p w14:paraId="107D29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2CB804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850" w:type="dxa"/>
          </w:tcPr>
          <w:p w14:paraId="2A9CA9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11/10</w:t>
            </w:r>
          </w:p>
        </w:tc>
        <w:tc>
          <w:tcPr>
            <w:tcW w:w="851" w:type="dxa"/>
          </w:tcPr>
          <w:p w14:paraId="5715DD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850" w:type="dxa"/>
          </w:tcPr>
          <w:p w14:paraId="7CD9D5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15/15</w:t>
            </w:r>
          </w:p>
        </w:tc>
        <w:tc>
          <w:tcPr>
            <w:tcW w:w="993" w:type="dxa"/>
          </w:tcPr>
          <w:p w14:paraId="4BDFBF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33/32</w:t>
            </w:r>
          </w:p>
        </w:tc>
        <w:tc>
          <w:tcPr>
            <w:tcW w:w="4397" w:type="dxa"/>
          </w:tcPr>
          <w:p w14:paraId="61BBC5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 - 50/51</w:t>
            </w:r>
          </w:p>
        </w:tc>
      </w:tr>
      <w:tr w:rsidR="006F4095" w:rsidRPr="008127F8" w14:paraId="08EA4B5A" w14:textId="77777777">
        <w:tc>
          <w:tcPr>
            <w:tcW w:w="1252" w:type="dxa"/>
          </w:tcPr>
          <w:p w14:paraId="2BBA3A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99" w:type="dxa"/>
          </w:tcPr>
          <w:p w14:paraId="22500F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7480EA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850" w:type="dxa"/>
          </w:tcPr>
          <w:p w14:paraId="10AED2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851" w:type="dxa"/>
          </w:tcPr>
          <w:p w14:paraId="1DE0D0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w:t>
            </w:r>
          </w:p>
        </w:tc>
        <w:tc>
          <w:tcPr>
            <w:tcW w:w="850" w:type="dxa"/>
          </w:tcPr>
          <w:p w14:paraId="54AFB9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13/22</w:t>
            </w:r>
          </w:p>
        </w:tc>
        <w:tc>
          <w:tcPr>
            <w:tcW w:w="993" w:type="dxa"/>
          </w:tcPr>
          <w:p w14:paraId="747D91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26/24</w:t>
            </w:r>
          </w:p>
        </w:tc>
        <w:tc>
          <w:tcPr>
            <w:tcW w:w="4397" w:type="dxa"/>
          </w:tcPr>
          <w:p w14:paraId="1050DA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 - 9/9</w:t>
            </w:r>
          </w:p>
        </w:tc>
      </w:tr>
      <w:tr w:rsidR="006F4095" w:rsidRPr="008127F8" w14:paraId="351AA1CB" w14:textId="77777777">
        <w:tc>
          <w:tcPr>
            <w:tcW w:w="1252" w:type="dxa"/>
          </w:tcPr>
          <w:p w14:paraId="1F596C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99" w:type="dxa"/>
          </w:tcPr>
          <w:p w14:paraId="4494E1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1EAD5C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850" w:type="dxa"/>
          </w:tcPr>
          <w:p w14:paraId="7BD1EF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851" w:type="dxa"/>
          </w:tcPr>
          <w:p w14:paraId="3FD047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850" w:type="dxa"/>
          </w:tcPr>
          <w:p w14:paraId="345379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993" w:type="dxa"/>
          </w:tcPr>
          <w:p w14:paraId="01719C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17/17</w:t>
            </w:r>
          </w:p>
        </w:tc>
        <w:tc>
          <w:tcPr>
            <w:tcW w:w="4397" w:type="dxa"/>
          </w:tcPr>
          <w:p w14:paraId="7E9F01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7B8DBF" w14:textId="77777777">
        <w:tc>
          <w:tcPr>
            <w:tcW w:w="1252" w:type="dxa"/>
          </w:tcPr>
          <w:p w14:paraId="59BDB7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99" w:type="dxa"/>
          </w:tcPr>
          <w:p w14:paraId="5E4698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709" w:type="dxa"/>
          </w:tcPr>
          <w:p w14:paraId="555656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850" w:type="dxa"/>
          </w:tcPr>
          <w:p w14:paraId="6C34BB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851" w:type="dxa"/>
          </w:tcPr>
          <w:p w14:paraId="3E130E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c>
          <w:tcPr>
            <w:tcW w:w="850" w:type="dxa"/>
          </w:tcPr>
          <w:p w14:paraId="7C2A25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c>
          <w:tcPr>
            <w:tcW w:w="993" w:type="dxa"/>
          </w:tcPr>
          <w:p w14:paraId="77E332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17/17</w:t>
            </w:r>
          </w:p>
        </w:tc>
        <w:tc>
          <w:tcPr>
            <w:tcW w:w="4397" w:type="dxa"/>
          </w:tcPr>
          <w:p w14:paraId="6221EC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669610" w14:textId="77777777">
        <w:tc>
          <w:tcPr>
            <w:tcW w:w="1252" w:type="dxa"/>
          </w:tcPr>
          <w:p w14:paraId="00F9B3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99" w:type="dxa"/>
          </w:tcPr>
          <w:p w14:paraId="066DCA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w:t>
            </w:r>
          </w:p>
        </w:tc>
        <w:tc>
          <w:tcPr>
            <w:tcW w:w="709" w:type="dxa"/>
          </w:tcPr>
          <w:p w14:paraId="3CF62A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850" w:type="dxa"/>
          </w:tcPr>
          <w:p w14:paraId="4AC306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c>
          <w:tcPr>
            <w:tcW w:w="851" w:type="dxa"/>
          </w:tcPr>
          <w:p w14:paraId="36CD30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850" w:type="dxa"/>
          </w:tcPr>
          <w:p w14:paraId="78C081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993" w:type="dxa"/>
          </w:tcPr>
          <w:p w14:paraId="0C3426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11/12</w:t>
            </w:r>
          </w:p>
        </w:tc>
        <w:tc>
          <w:tcPr>
            <w:tcW w:w="4397" w:type="dxa"/>
          </w:tcPr>
          <w:p w14:paraId="47A476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3662CD28" w14:textId="77777777">
        <w:tc>
          <w:tcPr>
            <w:tcW w:w="1252" w:type="dxa"/>
          </w:tcPr>
          <w:p w14:paraId="7997AC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Су-2</w:t>
            </w:r>
          </w:p>
        </w:tc>
        <w:tc>
          <w:tcPr>
            <w:tcW w:w="699" w:type="dxa"/>
          </w:tcPr>
          <w:p w14:paraId="4ABE5F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709" w:type="dxa"/>
          </w:tcPr>
          <w:p w14:paraId="04529D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706359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1" w:type="dxa"/>
          </w:tcPr>
          <w:p w14:paraId="2E62D6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20BF10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993" w:type="dxa"/>
          </w:tcPr>
          <w:p w14:paraId="5CDD79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4397" w:type="dxa"/>
          </w:tcPr>
          <w:p w14:paraId="379A52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Знаменатель по учету ВВС</w:t>
            </w:r>
          </w:p>
        </w:tc>
      </w:tr>
      <w:tr w:rsidR="006F4095" w:rsidRPr="008127F8" w14:paraId="760FCA71" w14:textId="77777777">
        <w:tc>
          <w:tcPr>
            <w:tcW w:w="1252" w:type="dxa"/>
          </w:tcPr>
          <w:p w14:paraId="076539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99" w:type="dxa"/>
          </w:tcPr>
          <w:p w14:paraId="5151E4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709" w:type="dxa"/>
          </w:tcPr>
          <w:p w14:paraId="4DC462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020A29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1" w:type="dxa"/>
          </w:tcPr>
          <w:p w14:paraId="5ADA11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850" w:type="dxa"/>
          </w:tcPr>
          <w:p w14:paraId="7ADBE6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993" w:type="dxa"/>
          </w:tcPr>
          <w:p w14:paraId="61168F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4397" w:type="dxa"/>
          </w:tcPr>
          <w:p w14:paraId="399722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Числитель по учету НКАП</w:t>
            </w:r>
          </w:p>
        </w:tc>
      </w:tr>
      <w:tr w:rsidR="006F4095" w:rsidRPr="008127F8" w14:paraId="57B945DF" w14:textId="77777777">
        <w:tc>
          <w:tcPr>
            <w:tcW w:w="1252" w:type="dxa"/>
          </w:tcPr>
          <w:p w14:paraId="56D649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99" w:type="dxa"/>
          </w:tcPr>
          <w:p w14:paraId="75BBCA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709" w:type="dxa"/>
          </w:tcPr>
          <w:p w14:paraId="4057B5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7FE68D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1" w:type="dxa"/>
          </w:tcPr>
          <w:p w14:paraId="4ACD91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850" w:type="dxa"/>
          </w:tcPr>
          <w:p w14:paraId="4B4F01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3" w:type="dxa"/>
          </w:tcPr>
          <w:p w14:paraId="310C39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4397" w:type="dxa"/>
          </w:tcPr>
          <w:p w14:paraId="3CFD2D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F89AF4" w14:textId="77777777">
        <w:tc>
          <w:tcPr>
            <w:tcW w:w="1252" w:type="dxa"/>
          </w:tcPr>
          <w:p w14:paraId="79BA51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Як-3</w:t>
            </w:r>
          </w:p>
        </w:tc>
        <w:tc>
          <w:tcPr>
            <w:tcW w:w="699" w:type="dxa"/>
          </w:tcPr>
          <w:p w14:paraId="7BDB65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709" w:type="dxa"/>
          </w:tcPr>
          <w:p w14:paraId="2AC2BD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0BE56D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851" w:type="dxa"/>
          </w:tcPr>
          <w:p w14:paraId="7B9FB2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3895EF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3" w:type="dxa"/>
          </w:tcPr>
          <w:p w14:paraId="6B0C80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4397" w:type="dxa"/>
          </w:tcPr>
          <w:p w14:paraId="59B9E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6DD00D" w14:textId="77777777">
        <w:tc>
          <w:tcPr>
            <w:tcW w:w="1252" w:type="dxa"/>
          </w:tcPr>
          <w:p w14:paraId="1B5D5F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w:t>
            </w:r>
          </w:p>
        </w:tc>
        <w:tc>
          <w:tcPr>
            <w:tcW w:w="699" w:type="dxa"/>
          </w:tcPr>
          <w:p w14:paraId="682D46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w:t>
            </w:r>
          </w:p>
        </w:tc>
        <w:tc>
          <w:tcPr>
            <w:tcW w:w="709" w:type="dxa"/>
          </w:tcPr>
          <w:p w14:paraId="2C01C1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850" w:type="dxa"/>
          </w:tcPr>
          <w:p w14:paraId="5A729A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851" w:type="dxa"/>
          </w:tcPr>
          <w:p w14:paraId="79A678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w:t>
            </w:r>
          </w:p>
        </w:tc>
        <w:tc>
          <w:tcPr>
            <w:tcW w:w="850" w:type="dxa"/>
          </w:tcPr>
          <w:p w14:paraId="027C23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993" w:type="dxa"/>
          </w:tcPr>
          <w:p w14:paraId="6F7846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4397" w:type="dxa"/>
          </w:tcPr>
          <w:p w14:paraId="7447A4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87FE2" w:rsidRPr="008127F8" w14:paraId="5A7F896A" w14:textId="77777777">
        <w:tc>
          <w:tcPr>
            <w:tcW w:w="1252" w:type="dxa"/>
            <w:tcBorders>
              <w:bottom w:val="single" w:sz="12" w:space="0" w:color="auto"/>
            </w:tcBorders>
          </w:tcPr>
          <w:p w14:paraId="3ED385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Borders>
              <w:bottom w:val="single" w:sz="12" w:space="0" w:color="auto"/>
            </w:tcBorders>
          </w:tcPr>
          <w:p w14:paraId="53BA0B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12/19</w:t>
            </w:r>
          </w:p>
        </w:tc>
        <w:tc>
          <w:tcPr>
            <w:tcW w:w="709" w:type="dxa"/>
            <w:tcBorders>
              <w:bottom w:val="single" w:sz="12" w:space="0" w:color="auto"/>
            </w:tcBorders>
          </w:tcPr>
          <w:p w14:paraId="234C15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25/21</w:t>
            </w:r>
          </w:p>
        </w:tc>
        <w:tc>
          <w:tcPr>
            <w:tcW w:w="850" w:type="dxa"/>
            <w:tcBorders>
              <w:bottom w:val="single" w:sz="12" w:space="0" w:color="auto"/>
            </w:tcBorders>
          </w:tcPr>
          <w:p w14:paraId="38F0A3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35/29</w:t>
            </w:r>
          </w:p>
        </w:tc>
        <w:tc>
          <w:tcPr>
            <w:tcW w:w="851" w:type="dxa"/>
            <w:tcBorders>
              <w:bottom w:val="single" w:sz="12" w:space="0" w:color="auto"/>
            </w:tcBorders>
          </w:tcPr>
          <w:p w14:paraId="02BA26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41/35</w:t>
            </w:r>
          </w:p>
        </w:tc>
        <w:tc>
          <w:tcPr>
            <w:tcW w:w="850" w:type="dxa"/>
            <w:tcBorders>
              <w:bottom w:val="single" w:sz="12" w:space="0" w:color="auto"/>
            </w:tcBorders>
          </w:tcPr>
          <w:p w14:paraId="3A6A76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71/69</w:t>
            </w:r>
          </w:p>
        </w:tc>
        <w:tc>
          <w:tcPr>
            <w:tcW w:w="993" w:type="dxa"/>
            <w:tcBorders>
              <w:bottom w:val="single" w:sz="12" w:space="0" w:color="auto"/>
            </w:tcBorders>
          </w:tcPr>
          <w:p w14:paraId="214DA9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184/173</w:t>
            </w:r>
          </w:p>
        </w:tc>
        <w:tc>
          <w:tcPr>
            <w:tcW w:w="4397" w:type="dxa"/>
            <w:tcBorders>
              <w:bottom w:val="single" w:sz="12" w:space="0" w:color="auto"/>
            </w:tcBorders>
          </w:tcPr>
          <w:p w14:paraId="3B7A36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разница на 11 самолетов (1685,36)</w:t>
            </w:r>
          </w:p>
        </w:tc>
      </w:tr>
    </w:tbl>
    <w:p w14:paraId="69C79D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B73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января 1942 г. завод № 18 выпускать по семь Ил-2 в сутки. Правда, из-за трудных производственных условий и широкого привлечения малоквалифицированных рабочих их летные данные несколько снизились по сравнению с Ил-2 выпуска 1941 г. (9528)</w:t>
      </w:r>
    </w:p>
    <w:p w14:paraId="2E9D95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607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января 1942 завод № 22 достиг выпуска трёх машин в сутки, сдав всего за месяц 65 штук, против 109, установленных планом ГКО на это время. В феврале было выпущено всего 74 машины. В марте выпуск почти удвоился - было выпущено за месяц 118 Пе-2. Такой резкий скачок был закономерен, ибо в конце марта практически закончился монтаж тяжёлого оборудования и завод входил в нормальный режим работы (5764,39).</w:t>
      </w:r>
    </w:p>
    <w:p w14:paraId="40FE90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F1E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января 1942 г. завершили выпуск нового комплекта рабочих чертежей 103. Пришлось заменить около 1500 листов документации. Теперь можно было развертывать производство новых бомбардировщиков. Это делалось в труднейших условиях: на недостроенном заводе, при постоянной нехватке сырья, полуфабрикатов и комплектующего оборудования. С большими перебоями поступали дюралюминиевые лист и профили, колеса, броневые спинки и плиты, шланги для гидросистемы (11988).</w:t>
      </w:r>
    </w:p>
    <w:p w14:paraId="706234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536A4" w14:textId="77777777" w:rsidR="002E39DA" w:rsidRPr="008127F8" w:rsidRDefault="002E39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К концу ян</w:t>
      </w:r>
      <w:r w:rsidRPr="008127F8">
        <w:rPr>
          <w:rFonts w:ascii="Times New Roman" w:hAnsi="Times New Roman"/>
          <w:color w:val="000000" w:themeColor="text1"/>
          <w:sz w:val="16"/>
          <w:szCs w:val="16"/>
          <w:lang w:eastAsia="ru-RU" w:bidi="ru-RU"/>
        </w:rPr>
        <w:softHyphen/>
        <w:t>варя 1942 г. завершили выпуск нового комплекта рабо</w:t>
      </w:r>
      <w:r w:rsidRPr="008127F8">
        <w:rPr>
          <w:rFonts w:ascii="Times New Roman" w:hAnsi="Times New Roman"/>
          <w:color w:val="000000" w:themeColor="text1"/>
          <w:sz w:val="16"/>
          <w:szCs w:val="16"/>
          <w:lang w:eastAsia="ru-RU" w:bidi="ru-RU"/>
        </w:rPr>
        <w:softHyphen/>
        <w:t>чих чертежей 103ВС для производства на заводе № 166. От «103В» он отличался уве</w:t>
      </w:r>
      <w:r w:rsidRPr="008127F8">
        <w:rPr>
          <w:rFonts w:ascii="Times New Roman" w:hAnsi="Times New Roman"/>
          <w:color w:val="000000" w:themeColor="text1"/>
          <w:sz w:val="16"/>
          <w:szCs w:val="16"/>
          <w:lang w:eastAsia="ru-RU" w:bidi="ru-RU"/>
        </w:rPr>
        <w:softHyphen/>
        <w:t>личенными основными колесами шасси (размерами 1120х440 мм) и упрощенным оборудованием. Первое было продикто</w:t>
      </w:r>
      <w:r w:rsidRPr="008127F8">
        <w:rPr>
          <w:rFonts w:ascii="Times New Roman" w:hAnsi="Times New Roman"/>
          <w:color w:val="000000" w:themeColor="text1"/>
          <w:sz w:val="16"/>
          <w:szCs w:val="16"/>
          <w:lang w:eastAsia="ru-RU" w:bidi="ru-RU"/>
        </w:rPr>
        <w:softHyphen/>
        <w:t>вано возрастанием веса, второе - опа</w:t>
      </w:r>
      <w:r w:rsidRPr="008127F8">
        <w:rPr>
          <w:rFonts w:ascii="Times New Roman" w:hAnsi="Times New Roman"/>
          <w:color w:val="000000" w:themeColor="text1"/>
          <w:sz w:val="16"/>
          <w:szCs w:val="16"/>
          <w:lang w:eastAsia="ru-RU" w:bidi="ru-RU"/>
        </w:rPr>
        <w:softHyphen/>
        <w:t>сениями военных в надежности слож</w:t>
      </w:r>
      <w:r w:rsidRPr="008127F8">
        <w:rPr>
          <w:rFonts w:ascii="Times New Roman" w:hAnsi="Times New Roman"/>
          <w:color w:val="000000" w:themeColor="text1"/>
          <w:sz w:val="16"/>
          <w:szCs w:val="16"/>
          <w:lang w:eastAsia="ru-RU" w:bidi="ru-RU"/>
        </w:rPr>
        <w:softHyphen/>
        <w:t>ной «начинки» бомбардировщика. Пред</w:t>
      </w:r>
      <w:r w:rsidRPr="008127F8">
        <w:rPr>
          <w:rFonts w:ascii="Times New Roman" w:hAnsi="Times New Roman"/>
          <w:color w:val="000000" w:themeColor="text1"/>
          <w:sz w:val="16"/>
          <w:szCs w:val="16"/>
          <w:lang w:eastAsia="ru-RU" w:bidi="ru-RU"/>
        </w:rPr>
        <w:softHyphen/>
        <w:t>лагалось сократить применение электри</w:t>
      </w:r>
      <w:r w:rsidRPr="008127F8">
        <w:rPr>
          <w:rFonts w:ascii="Times New Roman" w:hAnsi="Times New Roman"/>
          <w:color w:val="000000" w:themeColor="text1"/>
          <w:sz w:val="16"/>
          <w:szCs w:val="16"/>
          <w:lang w:eastAsia="ru-RU" w:bidi="ru-RU"/>
        </w:rPr>
        <w:softHyphen/>
        <w:t>ческих и гидравлических механизмов, но «без ухудшения боевых и летно-тактиче</w:t>
      </w:r>
      <w:r w:rsidRPr="008127F8">
        <w:rPr>
          <w:rFonts w:ascii="Times New Roman" w:hAnsi="Times New Roman"/>
          <w:color w:val="000000" w:themeColor="text1"/>
          <w:sz w:val="16"/>
          <w:szCs w:val="16"/>
          <w:lang w:eastAsia="ru-RU" w:bidi="ru-RU"/>
        </w:rPr>
        <w:softHyphen/>
        <w:t>ских качеств самолета». Поэтому Туполеву пришлось пойти на частичную замену их приводом вручную. Ранние серийные машины вооружа</w:t>
      </w:r>
      <w:r w:rsidRPr="008127F8">
        <w:rPr>
          <w:rFonts w:ascii="Times New Roman" w:hAnsi="Times New Roman"/>
          <w:color w:val="000000" w:themeColor="text1"/>
          <w:sz w:val="16"/>
          <w:szCs w:val="16"/>
          <w:lang w:eastAsia="ru-RU" w:bidi="ru-RU"/>
        </w:rPr>
        <w:softHyphen/>
        <w:t>лись пятью пулеметами ШКАС (в том числе двумя неподвижными в носу), двумя пуш</w:t>
      </w:r>
      <w:r w:rsidRPr="008127F8">
        <w:rPr>
          <w:rFonts w:ascii="Times New Roman" w:hAnsi="Times New Roman"/>
          <w:color w:val="000000" w:themeColor="text1"/>
          <w:sz w:val="16"/>
          <w:szCs w:val="16"/>
          <w:lang w:eastAsia="ru-RU" w:bidi="ru-RU"/>
        </w:rPr>
        <w:softHyphen/>
        <w:t>ками ШВАК и десятью реактивными снаря</w:t>
      </w:r>
      <w:r w:rsidRPr="008127F8">
        <w:rPr>
          <w:rFonts w:ascii="Times New Roman" w:hAnsi="Times New Roman"/>
          <w:color w:val="000000" w:themeColor="text1"/>
          <w:sz w:val="16"/>
          <w:szCs w:val="16"/>
          <w:lang w:eastAsia="ru-RU" w:bidi="ru-RU"/>
        </w:rPr>
        <w:softHyphen/>
        <w:t>дами РС-132 по типу самолета «103В».</w:t>
      </w:r>
    </w:p>
    <w:p w14:paraId="41BDECB2" w14:textId="77777777" w:rsidR="002E39DA" w:rsidRPr="008127F8" w:rsidRDefault="002E39DA"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Пришлось заменить около 1500 листов документации. Теперь можно было развертывать производство новых бомбардировщиков. Это делалось в труд</w:t>
      </w:r>
      <w:r w:rsidRPr="008127F8">
        <w:rPr>
          <w:rFonts w:ascii="Times New Roman" w:hAnsi="Times New Roman"/>
          <w:color w:val="000000" w:themeColor="text1"/>
          <w:sz w:val="16"/>
          <w:szCs w:val="16"/>
          <w:lang w:eastAsia="ru-RU" w:bidi="ru-RU"/>
        </w:rPr>
        <w:softHyphen/>
        <w:t>нейших условиях: на недостроенном за</w:t>
      </w:r>
      <w:r w:rsidRPr="008127F8">
        <w:rPr>
          <w:rFonts w:ascii="Times New Roman" w:hAnsi="Times New Roman"/>
          <w:color w:val="000000" w:themeColor="text1"/>
          <w:sz w:val="16"/>
          <w:szCs w:val="16"/>
          <w:lang w:eastAsia="ru-RU" w:bidi="ru-RU"/>
        </w:rPr>
        <w:softHyphen/>
        <w:t>воде, при постоянной нехватке сырья, по</w:t>
      </w:r>
      <w:r w:rsidRPr="008127F8">
        <w:rPr>
          <w:rFonts w:ascii="Times New Roman" w:hAnsi="Times New Roman"/>
          <w:color w:val="000000" w:themeColor="text1"/>
          <w:sz w:val="16"/>
          <w:szCs w:val="16"/>
          <w:lang w:eastAsia="ru-RU" w:bidi="ru-RU"/>
        </w:rPr>
        <w:softHyphen/>
        <w:t>луфабрикатов и комплектующего обору</w:t>
      </w:r>
      <w:r w:rsidRPr="008127F8">
        <w:rPr>
          <w:rFonts w:ascii="Times New Roman" w:hAnsi="Times New Roman"/>
          <w:color w:val="000000" w:themeColor="text1"/>
          <w:sz w:val="16"/>
          <w:szCs w:val="16"/>
          <w:lang w:eastAsia="ru-RU" w:bidi="ru-RU"/>
        </w:rPr>
        <w:softHyphen/>
        <w:t>дования. С большими перебоями посту</w:t>
      </w:r>
      <w:r w:rsidRPr="008127F8">
        <w:rPr>
          <w:rFonts w:ascii="Times New Roman" w:hAnsi="Times New Roman"/>
          <w:color w:val="000000" w:themeColor="text1"/>
          <w:sz w:val="16"/>
          <w:szCs w:val="16"/>
          <w:lang w:eastAsia="ru-RU" w:bidi="ru-RU"/>
        </w:rPr>
        <w:softHyphen/>
        <w:t>пали дюралюминиевые листы и профили, колеса, броневые спинки и плиты, шланги для гидросистемы. Для завода заказали за границей 260 единиц разных стан</w:t>
      </w:r>
      <w:r w:rsidRPr="008127F8">
        <w:rPr>
          <w:rFonts w:ascii="Times New Roman" w:hAnsi="Times New Roman"/>
          <w:color w:val="000000" w:themeColor="text1"/>
          <w:sz w:val="16"/>
          <w:szCs w:val="16"/>
          <w:lang w:eastAsia="ru-RU" w:bidi="ru-RU"/>
        </w:rPr>
        <w:softHyphen/>
        <w:t xml:space="preserve">ков и </w:t>
      </w:r>
      <w:proofErr w:type="gramStart"/>
      <w:r w:rsidRPr="008127F8">
        <w:rPr>
          <w:rFonts w:ascii="Times New Roman" w:hAnsi="Times New Roman"/>
          <w:color w:val="000000" w:themeColor="text1"/>
          <w:sz w:val="16"/>
          <w:szCs w:val="16"/>
          <w:lang w:eastAsia="ru-RU" w:bidi="ru-RU"/>
        </w:rPr>
        <w:t>кузнечно-прессового</w:t>
      </w:r>
      <w:proofErr w:type="gramEnd"/>
      <w:r w:rsidRPr="008127F8">
        <w:rPr>
          <w:rFonts w:ascii="Times New Roman" w:hAnsi="Times New Roman"/>
          <w:color w:val="000000" w:themeColor="text1"/>
          <w:sz w:val="16"/>
          <w:szCs w:val="16"/>
          <w:lang w:eastAsia="ru-RU" w:bidi="ru-RU"/>
        </w:rPr>
        <w:t xml:space="preserve"> оборудования. В феврале 1942 г. Наркомату внешней торговли (НКВТ) предписали выяснить возможность закупки для нового бомбар</w:t>
      </w:r>
      <w:r w:rsidRPr="008127F8">
        <w:rPr>
          <w:rFonts w:ascii="Times New Roman" w:hAnsi="Times New Roman"/>
          <w:color w:val="000000" w:themeColor="text1"/>
          <w:sz w:val="16"/>
          <w:szCs w:val="16"/>
          <w:lang w:eastAsia="ru-RU" w:bidi="ru-RU"/>
        </w:rPr>
        <w:softHyphen/>
        <w:t>дировщика колес в США (21061).</w:t>
      </w:r>
    </w:p>
    <w:p w14:paraId="2E2E4E91" w14:textId="77777777" w:rsidR="002E39DA" w:rsidRPr="008127F8" w:rsidRDefault="002E39DA" w:rsidP="001E0A84">
      <w:pPr>
        <w:spacing w:after="0" w:line="240" w:lineRule="auto"/>
        <w:jc w:val="both"/>
        <w:rPr>
          <w:rFonts w:ascii="Times New Roman" w:hAnsi="Times New Roman"/>
          <w:color w:val="000000" w:themeColor="text1"/>
          <w:sz w:val="16"/>
          <w:szCs w:val="16"/>
        </w:rPr>
      </w:pPr>
    </w:p>
    <w:p w14:paraId="027A16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января 1942 был подготовлен:</w:t>
      </w:r>
    </w:p>
    <w:p w14:paraId="20B816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Секретно </w:t>
      </w:r>
    </w:p>
    <w:p w14:paraId="514F48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T</w:t>
      </w:r>
    </w:p>
    <w:p w14:paraId="698A52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г.Казань</w:t>
      </w:r>
    </w:p>
    <w:p w14:paraId="7A8D3B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16-20 января 1942 года, комиссия в составе председателя Командира Авиационного полка особого назначения полковника тов.МУРЗИНА Н.Г., Н-ка 6 отдела Управления Эксплоатации и Ремонта ГУ ВВС КА Военинженера 1 ранга тов.КИСЕЛЕВА П.С, Н-ка 3 ГУ НКАП инженера т.ЗАВИТАЕВА А.А. , И.О. н-ка ЛИИ НКАП профессора т.ЧЕСАЛОВА А.В., Начальника 2 отдела Управления метеослужбы ВВС КА Военинженера 3 ранга ТЮРЕВА С.А. в присутствии н-ка 1 отдела ЭКУ НКВД СССР капитана Государственной Безопасности тов.ИВАНОВА А.М. в результате осмотра места катастрофы, остатков самолета Пе-2 № 14-11 и опроса очевидцев происшествия установила:</w:t>
      </w:r>
    </w:p>
    <w:p w14:paraId="173035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ОБСТОЯТЕЛЬСТВА ПРОИСШЕСТВИЯ.</w:t>
      </w:r>
    </w:p>
    <w:p w14:paraId="2F91A7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12/1-1942 года в 13 ч.4О мин. по московскому времени с Казанского аэродрома завода № 22 были выпущены в Монино принятые экипажи 2-го ДРАП два самолета Пе-2.</w:t>
      </w:r>
    </w:p>
    <w:p w14:paraId="01CD20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борту самолета № 14-11, потерпевшего катастрофу, находились:</w:t>
      </w:r>
    </w:p>
    <w:p w14:paraId="355FDB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Летчик - Зам.Командира эскадрилий 2-го ДРАП </w:t>
      </w:r>
      <w:proofErr w:type="gramStart"/>
      <w:r w:rsidRPr="008127F8">
        <w:rPr>
          <w:rFonts w:ascii="Times New Roman" w:hAnsi="Times New Roman"/>
          <w:color w:val="000000" w:themeColor="text1"/>
          <w:sz w:val="16"/>
          <w:szCs w:val="16"/>
        </w:rPr>
        <w:t>ст.лейтенант</w:t>
      </w:r>
      <w:proofErr w:type="gramEnd"/>
      <w:r w:rsidRPr="008127F8">
        <w:rPr>
          <w:rFonts w:ascii="Times New Roman" w:hAnsi="Times New Roman"/>
          <w:color w:val="000000" w:themeColor="text1"/>
          <w:sz w:val="16"/>
          <w:szCs w:val="16"/>
        </w:rPr>
        <w:t xml:space="preserve"> ОВЕЧКИН Ф.А.</w:t>
      </w:r>
    </w:p>
    <w:p w14:paraId="3963ED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Штурман - </w:t>
      </w:r>
      <w:proofErr w:type="gramStart"/>
      <w:r w:rsidRPr="008127F8">
        <w:rPr>
          <w:rFonts w:ascii="Times New Roman" w:hAnsi="Times New Roman"/>
          <w:color w:val="000000" w:themeColor="text1"/>
          <w:sz w:val="16"/>
          <w:szCs w:val="16"/>
        </w:rPr>
        <w:t>Мл.лейтенант</w:t>
      </w:r>
      <w:proofErr w:type="gramEnd"/>
      <w:r w:rsidRPr="008127F8">
        <w:rPr>
          <w:rFonts w:ascii="Times New Roman" w:hAnsi="Times New Roman"/>
          <w:color w:val="000000" w:themeColor="text1"/>
          <w:sz w:val="16"/>
          <w:szCs w:val="16"/>
        </w:rPr>
        <w:t xml:space="preserve"> ГУНДОРОВ М.И.</w:t>
      </w:r>
    </w:p>
    <w:p w14:paraId="4987F0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Стрелок-радист - сержант СКРЕВНЕВ В.Д. и, (с разрешения Военного представителя завода № 22 Военинженера 1-го ранга </w:t>
      </w:r>
      <w:proofErr w:type="gramStart"/>
      <w:r w:rsidRPr="008127F8">
        <w:rPr>
          <w:rFonts w:ascii="Times New Roman" w:hAnsi="Times New Roman"/>
          <w:color w:val="000000" w:themeColor="text1"/>
          <w:sz w:val="16"/>
          <w:szCs w:val="16"/>
        </w:rPr>
        <w:t>тов.КУТУЗОВА</w:t>
      </w:r>
      <w:proofErr w:type="gramEnd"/>
      <w:r w:rsidRPr="008127F8">
        <w:rPr>
          <w:rFonts w:ascii="Times New Roman" w:hAnsi="Times New Roman"/>
          <w:color w:val="000000" w:themeColor="text1"/>
          <w:sz w:val="16"/>
          <w:szCs w:val="16"/>
        </w:rPr>
        <w:t xml:space="preserve"> В.Н., Гл.Конструктор завода № 22 тов.ПЕТЛЯКОВ Владимир Михайлович).</w:t>
      </w:r>
    </w:p>
    <w:p w14:paraId="7F3417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втором самолете (" 12-11), пилотируемом летчиком того полка лейтенантом т.ОСТАПЕНКО И.П., так же с разрешения т.КУТУЗОВА, летел Зам.Главного Конструктора завода № 22 </w:t>
      </w:r>
      <w:proofErr w:type="gramStart"/>
      <w:r w:rsidRPr="008127F8">
        <w:rPr>
          <w:rFonts w:ascii="Times New Roman" w:hAnsi="Times New Roman"/>
          <w:color w:val="000000" w:themeColor="text1"/>
          <w:sz w:val="16"/>
          <w:szCs w:val="16"/>
        </w:rPr>
        <w:t>тов.ИЗАКСОН</w:t>
      </w:r>
      <w:proofErr w:type="gramEnd"/>
      <w:r w:rsidRPr="008127F8">
        <w:rPr>
          <w:rFonts w:ascii="Times New Roman" w:hAnsi="Times New Roman"/>
          <w:color w:val="000000" w:themeColor="text1"/>
          <w:sz w:val="16"/>
          <w:szCs w:val="16"/>
        </w:rPr>
        <w:t xml:space="preserve"> А.М.</w:t>
      </w:r>
    </w:p>
    <w:p w14:paraId="0C639B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моменту вылета по маршруту состояние погоды экипажи не знали и вылетели без сводки, имея лишь предварительные данные о фактической погоде по маршруту в 9 час. утра, т.е. на 4 ч.40 мин. до вылета. Состояние погоды по маршруту на 12, 13 и 14 ч. 12/1-42 г. см. в приложении № 1.</w:t>
      </w:r>
    </w:p>
    <w:p w14:paraId="644E1C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производился парой на высоте 150-200 мт.</w:t>
      </w:r>
    </w:p>
    <w:p w14:paraId="23B109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районе ст.Камкино, Казанской </w:t>
      </w:r>
      <w:proofErr w:type="gramStart"/>
      <w:r w:rsidRPr="008127F8">
        <w:rPr>
          <w:rFonts w:ascii="Times New Roman" w:hAnsi="Times New Roman"/>
          <w:color w:val="000000" w:themeColor="text1"/>
          <w:sz w:val="16"/>
          <w:szCs w:val="16"/>
        </w:rPr>
        <w:t>жел.дор</w:t>
      </w:r>
      <w:proofErr w:type="gramEnd"/>
      <w:r w:rsidRPr="008127F8">
        <w:rPr>
          <w:rFonts w:ascii="Times New Roman" w:hAnsi="Times New Roman"/>
          <w:color w:val="000000" w:themeColor="text1"/>
          <w:sz w:val="16"/>
          <w:szCs w:val="16"/>
        </w:rPr>
        <w:t xml:space="preserve">. спустя 35-40 мин. после вылета ведущий самолет ст.лейтенанта тов.ОВЕЧКИНА Ф.А. резко развернулся влево на 1800-2000 и с большим углом снижения пошел на вынужденную посадку. Второй самолет продолжал полет по курсу в Монино. На высоте порядка 50-100 мт. от земли самолет </w:t>
      </w:r>
      <w:proofErr w:type="gramStart"/>
      <w:r w:rsidRPr="008127F8">
        <w:rPr>
          <w:rFonts w:ascii="Times New Roman" w:hAnsi="Times New Roman"/>
          <w:color w:val="000000" w:themeColor="text1"/>
          <w:sz w:val="16"/>
          <w:szCs w:val="16"/>
        </w:rPr>
        <w:t>тов.ОВЕЧКИНА</w:t>
      </w:r>
      <w:proofErr w:type="gramEnd"/>
      <w:r w:rsidRPr="008127F8">
        <w:rPr>
          <w:rFonts w:ascii="Times New Roman" w:hAnsi="Times New Roman"/>
          <w:color w:val="000000" w:themeColor="text1"/>
          <w:sz w:val="16"/>
          <w:szCs w:val="16"/>
        </w:rPr>
        <w:t xml:space="preserve"> был охвачен пламенем и подходил к земле с работающими моторами под большим углом пикирования (~600) и левым креном.</w:t>
      </w:r>
    </w:p>
    <w:p w14:paraId="59B321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ударился о землю сначала левым крылом, затем моторами и правым. крылом. От удара взорвались бензобаки, что способствовало большому разносу обломков самолета. Экипаж в полном составе и т.ПЕТЛЯКОВ погибли (</w:t>
      </w:r>
      <w:proofErr w:type="gramStart"/>
      <w:r w:rsidRPr="008127F8">
        <w:rPr>
          <w:rFonts w:ascii="Times New Roman" w:hAnsi="Times New Roman"/>
          <w:color w:val="000000" w:themeColor="text1"/>
          <w:sz w:val="16"/>
          <w:szCs w:val="16"/>
        </w:rPr>
        <w:t>см.медицинское</w:t>
      </w:r>
      <w:proofErr w:type="gramEnd"/>
      <w:r w:rsidRPr="008127F8">
        <w:rPr>
          <w:rFonts w:ascii="Times New Roman" w:hAnsi="Times New Roman"/>
          <w:color w:val="000000" w:themeColor="text1"/>
          <w:sz w:val="16"/>
          <w:szCs w:val="16"/>
        </w:rPr>
        <w:t xml:space="preserve"> свидетельство). Обломки самолета и трупы разбросаны на площади 150x50 мт. (</w:t>
      </w:r>
      <w:proofErr w:type="gramStart"/>
      <w:r w:rsidRPr="008127F8">
        <w:rPr>
          <w:rFonts w:ascii="Times New Roman" w:hAnsi="Times New Roman"/>
          <w:color w:val="000000" w:themeColor="text1"/>
          <w:sz w:val="16"/>
          <w:szCs w:val="16"/>
        </w:rPr>
        <w:t>см.схему</w:t>
      </w:r>
      <w:proofErr w:type="gramEnd"/>
      <w:r w:rsidRPr="008127F8">
        <w:rPr>
          <w:rFonts w:ascii="Times New Roman" w:hAnsi="Times New Roman"/>
          <w:color w:val="000000" w:themeColor="text1"/>
          <w:sz w:val="16"/>
          <w:szCs w:val="16"/>
        </w:rPr>
        <w:t>).</w:t>
      </w:r>
    </w:p>
    <w:p w14:paraId="4814AB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РЕЗУЛЬТАТЫ ОСМОТРА МЕСТА КАТАСТРОФЫ, ОСТАТКОВ САМОЛЕТА И ТРУПОВ.</w:t>
      </w:r>
    </w:p>
    <w:p w14:paraId="5BFF8E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Катастрофа произошла в 3 км. к юго-востоку от ст.Камкино Казанской </w:t>
      </w:r>
      <w:proofErr w:type="gramStart"/>
      <w:r w:rsidRPr="008127F8">
        <w:rPr>
          <w:rFonts w:ascii="Times New Roman" w:hAnsi="Times New Roman"/>
          <w:color w:val="000000" w:themeColor="text1"/>
          <w:sz w:val="16"/>
          <w:szCs w:val="16"/>
        </w:rPr>
        <w:t>жел.дор</w:t>
      </w:r>
      <w:proofErr w:type="gramEnd"/>
      <w:r w:rsidRPr="008127F8">
        <w:rPr>
          <w:rFonts w:ascii="Times New Roman" w:hAnsi="Times New Roman"/>
          <w:color w:val="000000" w:themeColor="text1"/>
          <w:sz w:val="16"/>
          <w:szCs w:val="16"/>
        </w:rPr>
        <w:t>., на расстоянии около 1 км. от дер.Мамешево на ровном поле, со снежным покровом глубиной 400-500 мм., пригодном для вынужденной посадки на лыжах любых самолетов.</w:t>
      </w:r>
    </w:p>
    <w:p w14:paraId="761C74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месте удара самолета обнаружены две ямы в земле глубиной 300-400 мм. и разброс снега по размаху самолета. В одной из ям обнаружена лопасть винта.</w:t>
      </w:r>
    </w:p>
    <w:p w14:paraId="3CB597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Расположение обломков самолета, моторов и трупов показано на прилагаемой схеме (см. схему). Осмотром моторов с частичной установлено, что:</w:t>
      </w:r>
    </w:p>
    <w:p w14:paraId="1D8C48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Кривошинно-шатунные механизмы и клапаны обоих моторов исправны.</w:t>
      </w:r>
    </w:p>
    <w:p w14:paraId="29D720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Следов пожара и копоти на моторах и его агрегатах нет. (Краска моторов, проводка зажигания, дюритовые шланги моторов следов загорания не имели).</w:t>
      </w:r>
    </w:p>
    <w:p w14:paraId="3D016F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внутренней поверхности правого крыла и правой задней части центроплана имеются следы пожара (сильная копоть и обгорание краски). Полотняная обшивка конца правого элерона, кабан правой лыжи, поверхность правого водорадиатора и шланги трубопроводов сильно обгорели.</w:t>
      </w:r>
    </w:p>
    <w:p w14:paraId="7B1866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Петрофлексы дренажа и бензопроводки сгорели частично. Электропроводка, расположенная в центральной части фюзеляжа и в правой части центроплана и крыла, сильно обгорела. Центральный распределительный щит сгорел полностью, за исключением металлических деталей.</w:t>
      </w:r>
    </w:p>
    <w:p w14:paraId="72330B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Наличие следов обгорания деталей и образование под некоторыми обломками проталин снега, указывает на возникновение и развитие пожара в воздухе, а </w:t>
      </w:r>
      <w:proofErr w:type="gramStart"/>
      <w:r w:rsidRPr="008127F8">
        <w:rPr>
          <w:rFonts w:ascii="Times New Roman" w:hAnsi="Times New Roman"/>
          <w:color w:val="000000" w:themeColor="text1"/>
          <w:sz w:val="16"/>
          <w:szCs w:val="16"/>
        </w:rPr>
        <w:t>так же</w:t>
      </w:r>
      <w:proofErr w:type="gramEnd"/>
      <w:r w:rsidRPr="008127F8">
        <w:rPr>
          <w:rFonts w:ascii="Times New Roman" w:hAnsi="Times New Roman"/>
          <w:color w:val="000000" w:themeColor="text1"/>
          <w:sz w:val="16"/>
          <w:szCs w:val="16"/>
        </w:rPr>
        <w:t xml:space="preserve"> на то, что горение некоторых частей самолета, под которыми нет проталин, прекратилось при ударе о землю.</w:t>
      </w:r>
    </w:p>
    <w:p w14:paraId="2B411B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Одежда экипажа частично обгорела. Ввиду того, что вблизи расположения трупов на земле очагов пожара не было, о чем свидетельствует отсутствие снежных проталин, следует сделать вывод, что начало обгорания экипажа произошло в воздухе. Состояние трупов (см. в приложении № 2).</w:t>
      </w:r>
    </w:p>
    <w:p w14:paraId="7BBDBA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ПРИЧИНЫ КАТАСТРОФЫ.</w:t>
      </w:r>
    </w:p>
    <w:p w14:paraId="38A164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Причиной катастрофы самолета Пе-2 № 14-11, повлекшей гибель экипажа и Главного конструктора завода № 22 т.ПЕТЛЯКОВА В.М., явился пожар самолета в воздухе на малой высоте полета.</w:t>
      </w:r>
    </w:p>
    <w:p w14:paraId="22A41E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Судя по положению самолета</w:t>
      </w:r>
      <w:proofErr w:type="gramStart"/>
      <w:r w:rsidRPr="008127F8">
        <w:rPr>
          <w:rFonts w:ascii="Times New Roman" w:hAnsi="Times New Roman"/>
          <w:color w:val="000000" w:themeColor="text1"/>
          <w:sz w:val="16"/>
          <w:szCs w:val="16"/>
        </w:rPr>
        <w:t>, .в</w:t>
      </w:r>
      <w:proofErr w:type="gramEnd"/>
      <w:r w:rsidRPr="008127F8">
        <w:rPr>
          <w:rFonts w:ascii="Times New Roman" w:hAnsi="Times New Roman"/>
          <w:color w:val="000000" w:themeColor="text1"/>
          <w:sz w:val="16"/>
          <w:szCs w:val="16"/>
        </w:rPr>
        <w:t xml:space="preserve"> момент удара о землю и крутому углу планирования самолет подходил к земле в неуправляемом состоянии.</w:t>
      </w:r>
    </w:p>
    <w:p w14:paraId="0D3AB5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Наличие обгорания дерева под кабаном правой лыжи из-за нагрева металлических деталей кабана, обгорание шлангов на трубопроводах правого водорадиатора и обичайки самого радиатора, горение электропроводки и внутренней поверхности крыла, в зоне правой мотогондолы, дает основание считать, что очагом возникновения пожара была правая половина центроплана.</w:t>
      </w:r>
    </w:p>
    <w:p w14:paraId="204884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связи с тем, что при ударе о землю самолет был разрушен на мелкие части и разбросан на большой площади, покрытой глубоким снегом, определить источник возникновения пожара на самолете в воздухе не представляется возможным.</w:t>
      </w:r>
    </w:p>
    <w:p w14:paraId="19219E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моторов и их агрегатов после катастрофы полностью исключает причину загорания самолета от моторов.</w:t>
      </w:r>
    </w:p>
    <w:p w14:paraId="39DD57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Наиболее вероятной причиной возникновения пожара на самолете следует считать наличие подтекания бензина в зоне правой мотогондолы и воспламенение паров </w:t>
      </w:r>
      <w:r w:rsidRPr="008127F8">
        <w:rPr>
          <w:rFonts w:ascii="Times New Roman" w:hAnsi="Times New Roman"/>
          <w:color w:val="000000" w:themeColor="text1"/>
          <w:sz w:val="16"/>
          <w:szCs w:val="16"/>
        </w:rPr>
        <w:lastRenderedPageBreak/>
        <w:t>бензина от искры короткого замыкания или перегрузки электропровода.</w:t>
      </w:r>
    </w:p>
    <w:p w14:paraId="7B5FAE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ВЫВОДЫ.</w:t>
      </w:r>
    </w:p>
    <w:p w14:paraId="20AEEA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Организация технического контроля на заводе № 22 и военной приемки </w:t>
      </w:r>
      <w:proofErr w:type="gramStart"/>
      <w:r w:rsidRPr="008127F8">
        <w:rPr>
          <w:rFonts w:ascii="Times New Roman" w:hAnsi="Times New Roman"/>
          <w:color w:val="000000" w:themeColor="text1"/>
          <w:sz w:val="16"/>
          <w:szCs w:val="16"/>
        </w:rPr>
        <w:t>не достаточно</w:t>
      </w:r>
      <w:proofErr w:type="gramEnd"/>
      <w:r w:rsidRPr="008127F8">
        <w:rPr>
          <w:rFonts w:ascii="Times New Roman" w:hAnsi="Times New Roman"/>
          <w:color w:val="000000" w:themeColor="text1"/>
          <w:sz w:val="16"/>
          <w:szCs w:val="16"/>
        </w:rPr>
        <w:t xml:space="preserve"> обеспечивает качественный выпуск самолетов и не исключает возможности отправки самолетов в воинские части с наличием дефектов.</w:t>
      </w:r>
    </w:p>
    <w:p w14:paraId="716A46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Порядок подготовки самолетов к перелету в воинские части производится неудовлетворительно и без всякой системы.</w:t>
      </w:r>
    </w:p>
    <w:p w14:paraId="152EA7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Наставления по производству полетов и техника эксплоатационной службы не выполняются.</w:t>
      </w:r>
    </w:p>
    <w:p w14:paraId="39D0E1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Подготовка самолетов Пе-2 № 14-11 и № 12/11 к вылету была проведена явно халатно - самолеты перед вылетом тщательному осмотру не подвергались.</w:t>
      </w:r>
    </w:p>
    <w:p w14:paraId="1D59C9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Приемка указанных самолетов была произведена воинскими экипажами поверхностно, вся приемка свелась к оформлению минимально необходимых документов.</w:t>
      </w:r>
    </w:p>
    <w:p w14:paraId="1893AF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Метеообслуживание перелетов на заводе № 22 поставлено неудовлетворительно. На заводе нет метеостанции и необходимого оборудования для этого.</w:t>
      </w:r>
    </w:p>
    <w:p w14:paraId="74B076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Отсутствует четкая система организации выпуска военных самолетов в перелет, что дало возможность указанным воинским экипажам вылететь без </w:t>
      </w:r>
      <w:proofErr w:type="gramStart"/>
      <w:r w:rsidRPr="008127F8">
        <w:rPr>
          <w:rFonts w:ascii="Times New Roman" w:hAnsi="Times New Roman"/>
          <w:color w:val="000000" w:themeColor="text1"/>
          <w:sz w:val="16"/>
          <w:szCs w:val="16"/>
        </w:rPr>
        <w:t>метеосводки .</w:t>
      </w:r>
      <w:proofErr w:type="gramEnd"/>
    </w:p>
    <w:p w14:paraId="30D0E6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Главный конструктор завода № 22 </w:t>
      </w:r>
      <w:proofErr w:type="gramStart"/>
      <w:r w:rsidRPr="008127F8">
        <w:rPr>
          <w:rFonts w:ascii="Times New Roman" w:hAnsi="Times New Roman"/>
          <w:color w:val="000000" w:themeColor="text1"/>
          <w:sz w:val="16"/>
          <w:szCs w:val="16"/>
        </w:rPr>
        <w:t>тов.ПЕТЛЯКОВ</w:t>
      </w:r>
      <w:proofErr w:type="gramEnd"/>
      <w:r w:rsidRPr="008127F8">
        <w:rPr>
          <w:rFonts w:ascii="Times New Roman" w:hAnsi="Times New Roman"/>
          <w:color w:val="000000" w:themeColor="text1"/>
          <w:sz w:val="16"/>
          <w:szCs w:val="16"/>
        </w:rPr>
        <w:t xml:space="preserve"> был допущен Старшим Военпредом тов.КУТУЗОВЫМ к полету без парашюта и летного обмундирования.</w:t>
      </w:r>
    </w:p>
    <w:p w14:paraId="593057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Директор </w:t>
      </w:r>
      <w:proofErr w:type="gramStart"/>
      <w:r w:rsidRPr="008127F8">
        <w:rPr>
          <w:rFonts w:ascii="Times New Roman" w:hAnsi="Times New Roman"/>
          <w:color w:val="000000" w:themeColor="text1"/>
          <w:sz w:val="16"/>
          <w:szCs w:val="16"/>
        </w:rPr>
        <w:t>завода »</w:t>
      </w:r>
      <w:proofErr w:type="gramEnd"/>
      <w:r w:rsidRPr="008127F8">
        <w:rPr>
          <w:rFonts w:ascii="Times New Roman" w:hAnsi="Times New Roman"/>
          <w:color w:val="000000" w:themeColor="text1"/>
          <w:sz w:val="16"/>
          <w:szCs w:val="16"/>
        </w:rPr>
        <w:t xml:space="preserve"> 22 КАРПОВ Ю.Н., зная о срочном вызове т.ПЕТЛЯКОВА в Москву, не принял мер по обеспечению его отправки.</w:t>
      </w:r>
    </w:p>
    <w:p w14:paraId="2E91BD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Старший Военный Представитель на заводе № 22 т.КУТУЗОВ превысил свои права, дав разрешение лететь на боевом военном самолете Главному Конструктору завода № 22 т.ПЕТЛЯКОВУ.</w:t>
      </w:r>
    </w:p>
    <w:p w14:paraId="281BD4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ПРЕДЛОЖЕНИЯ КОМИССИИ.</w:t>
      </w:r>
    </w:p>
    <w:p w14:paraId="4EA613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Улучшить систему организации заводского и военного контроля.</w:t>
      </w:r>
    </w:p>
    <w:p w14:paraId="544C34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жесткую систему подготовки и выпуска самолетов к перелетам в соответствии с наставлениями по производству полетов и технико-эксплоатационной службы.</w:t>
      </w:r>
    </w:p>
    <w:p w14:paraId="0A8C95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Организовать на </w:t>
      </w:r>
      <w:proofErr w:type="gramStart"/>
      <w:r w:rsidRPr="008127F8">
        <w:rPr>
          <w:rFonts w:ascii="Times New Roman" w:hAnsi="Times New Roman"/>
          <w:color w:val="000000" w:themeColor="text1"/>
          <w:sz w:val="16"/>
          <w:szCs w:val="16"/>
        </w:rPr>
        <w:t>заводе »</w:t>
      </w:r>
      <w:proofErr w:type="gramEnd"/>
      <w:r w:rsidRPr="008127F8">
        <w:rPr>
          <w:rFonts w:ascii="Times New Roman" w:hAnsi="Times New Roman"/>
          <w:color w:val="000000" w:themeColor="text1"/>
          <w:sz w:val="16"/>
          <w:szCs w:val="16"/>
        </w:rPr>
        <w:t xml:space="preserve"> 22 метеостанцию.</w:t>
      </w:r>
    </w:p>
    <w:p w14:paraId="4E4B72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Прекратить практику уничтожения дефектных ведомостей, составляемых заводским ОТК и Военной Приемкой, введя как правило порядок хранения их в деле самолета.</w:t>
      </w:r>
    </w:p>
    <w:p w14:paraId="3F6AA3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КОМИССИИ:</w:t>
      </w:r>
    </w:p>
    <w:p w14:paraId="791792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АВИАЦ.ПОЛКА ОСОБОГО НАЗНАЧЕНИЯ полковник: /Мурзин/</w:t>
      </w:r>
    </w:p>
    <w:p w14:paraId="185FDF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ЧЛЕНЫ:</w:t>
      </w:r>
    </w:p>
    <w:p w14:paraId="3116F5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6 ОТД.УПР.ЭКСПЛОАТАЦИИ</w:t>
      </w:r>
    </w:p>
    <w:p w14:paraId="58CF77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РЕМОНТА ГУ ВВС КА Военинженер 1-го ранга: /Киселев/</w:t>
      </w:r>
    </w:p>
    <w:p w14:paraId="2A295D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3 ГУ НКАП инженер; /Завитаев/</w:t>
      </w:r>
    </w:p>
    <w:p w14:paraId="0FEA0B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НАЧ-КА ЛИИ НКАП профессор: /Чесалов/</w:t>
      </w:r>
    </w:p>
    <w:p w14:paraId="20D1BF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2 ОТД.УПР.МЕТЕОСЛУЖБЫ ВВС КА Воеяинж. 3 ранга /Ткрвв/</w:t>
      </w:r>
    </w:p>
    <w:p w14:paraId="29BA1F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 РТ. Ф.Р-2845. Оп.З. Д.175. Л.143-148 (11313).</w:t>
      </w:r>
    </w:p>
    <w:p w14:paraId="644833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4BA64" w14:textId="77777777" w:rsidR="0085189E" w:rsidRPr="008127F8" w:rsidRDefault="0085189E"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января 1942 г. было сдано 250 комплектов лыж для Пе-2, креплений и фальшпанелей, ставившихся на стенки ниш основных стоек шасси, чтобы сгладить стыки поджатых лыж и мотогондол. Лыжи на Пе-2 использовались только там, где не хватало сил для укатывания заснеженных аэродромов.</w:t>
      </w:r>
    </w:p>
    <w:p w14:paraId="4E8F7042"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hAnsi="Times New Roman"/>
          <w:color w:val="000000" w:themeColor="text1"/>
          <w:sz w:val="16"/>
          <w:szCs w:val="16"/>
        </w:rPr>
        <w:t>Возможность монтажа лыжного шасси на Пе-2 появилась с 11-й серии. Проходимость по снегу была хорошей, но скорость падала на 34 км/ч, и это была лишь вынужденная мера (22827).</w:t>
      </w:r>
    </w:p>
    <w:p w14:paraId="6FD27D53"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0FB6694" w14:textId="77777777" w:rsidR="005C0E90"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79B10D0" w14:textId="77777777" w:rsidR="005C0E90" w:rsidRPr="008127F8" w:rsidRDefault="005C0E90"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E0B541"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конце января 1942 года Сталиным был поднят вопрос о недостаточной подвижности КВ-1. Ничего удивительного в этом нет, поскольку к тому моменту боевая масса танка достигла 50 тонн. Было выбрано два пути решения этой проблемы – увеличение мощности двигателя до 650–700 лошадиных сил и одновременное снижение массы (17637).</w:t>
      </w:r>
    </w:p>
    <w:p w14:paraId="61967992" w14:textId="77777777" w:rsidR="00102B5D" w:rsidRPr="008127F8" w:rsidRDefault="00102B5D" w:rsidP="001E0A84">
      <w:pPr>
        <w:spacing w:after="0" w:line="240" w:lineRule="auto"/>
        <w:jc w:val="both"/>
        <w:rPr>
          <w:rFonts w:ascii="Times New Roman" w:hAnsi="Times New Roman"/>
          <w:color w:val="000000" w:themeColor="text1"/>
          <w:sz w:val="16"/>
          <w:szCs w:val="16"/>
        </w:rPr>
      </w:pPr>
    </w:p>
    <w:p w14:paraId="61848683" w14:textId="77777777" w:rsidR="00066EA2" w:rsidRPr="008A2E5A" w:rsidRDefault="00066EA2" w:rsidP="00066E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января 1942 года, по инициативе Сталина, был проработан комплекс мер по повышению подвижности тяжелого танка КВ-1. Как показали боевые действия конца 1941 года, возросшая боевая масса машины заметно сказывалась на ее маневренности. Предполагалось, что танк получит более мощный мотор, за счет чего и повысится подвижность. Но испытания показали, что просто так проблему не решить. Форсированный мотор В-2КФ работал крайне ненадежно, а тепловой режим, даже при температуре середины февраля 1942 года, оказался запредельным. По этой причине с 23 февраля было подписано сразу несколько постановлений ГКО, которые предусматривали снижение массы танка за счет уменьшения толщины брони. Боевую массу КВ-1 предполагали снизить до 45–45,5 тонн. Впрочем, и это не стало пределом. 5 июня 1942 года Сталин подписал постановление ГКО №1878 "Об улучшении танков КВ", которое положило начало работ по еще более существенному облегчению КВ-1. Оно привело к появлению тяжелого танка КВ-1с. Недавно этому событию исполнилось 80 лет, стоит поговорить про историю появления "скоростного" КВ (23351).</w:t>
      </w:r>
    </w:p>
    <w:p w14:paraId="34294082" w14:textId="77777777" w:rsidR="00066EA2" w:rsidRPr="008A2E5A" w:rsidRDefault="00066EA2" w:rsidP="00066EA2">
      <w:pPr>
        <w:spacing w:after="0" w:line="240" w:lineRule="auto"/>
        <w:jc w:val="both"/>
        <w:rPr>
          <w:rFonts w:ascii="Times New Roman" w:hAnsi="Times New Roman"/>
          <w:color w:val="0070C0"/>
          <w:sz w:val="16"/>
          <w:szCs w:val="16"/>
        </w:rPr>
      </w:pPr>
    </w:p>
    <w:p w14:paraId="2D9C8ACD" w14:textId="77777777" w:rsidR="00066EA2" w:rsidRPr="008A2E5A" w:rsidRDefault="00066EA2" w:rsidP="00066E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января 1942 года были сформированы тактико-технические требования на установку в КВ-7 гаубицы калибра 152 мм.</w:t>
      </w:r>
    </w:p>
    <w:p w14:paraId="6985B090" w14:textId="77777777" w:rsidR="00066EA2" w:rsidRPr="008A2E5A" w:rsidRDefault="00066EA2" w:rsidP="00066E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Инициатором создания "истребителя ДОТ-ов" на базе КВ-7 стало руководство НКТП. Помимо того, что там осознали отсутствие перспектив у текущей орудийной установки, имелся щекотливый момент. Дело в то, что завод №200 выпустил партию из 20 корпусов КВ-7, теперь их требовалось трудоустроить. Со спаренной установкой пушек ЗИС-5 это вряд ли бы получилось, другое дело МЛ-20, такой вариант был интересен и ГАУ КА. К 31 января 1941 года С.А. Гинзбург, на тот момент заместитель начальника 2-го отдела НКТП, подготовил ТТТ на "самоходную установку 152-мм гаубицы на базе КВ-7. Далее их подписал Ж.Я. Котин, на тот момент зам наркома танковой промышленности. Еще раньше, 21 января, был утвержден план работ на 1942 году, где также имелась такая тема. Под нее выделялся бюджет 300000 рублей, орудийную часть разрабатывал УЗТМ, шасси - ЧКЗ. Проектные чертежи САУ ожидались к 15 марту 1942 года. К 1 мая ожидался опытный образец машины, а к 10 мая - техническая документация (23889).</w:t>
      </w:r>
    </w:p>
    <w:p w14:paraId="48D37933" w14:textId="77777777" w:rsidR="00066EA2" w:rsidRPr="008A2E5A" w:rsidRDefault="00066EA2" w:rsidP="00066EA2">
      <w:pPr>
        <w:spacing w:after="0" w:line="240" w:lineRule="auto"/>
        <w:jc w:val="both"/>
        <w:rPr>
          <w:rFonts w:ascii="Times New Roman" w:hAnsi="Times New Roman"/>
          <w:color w:val="0070C0"/>
          <w:sz w:val="16"/>
          <w:szCs w:val="16"/>
        </w:rPr>
      </w:pPr>
    </w:p>
    <w:p w14:paraId="64C2B2A6"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конца января 1942 года в СССР начинают поступать танки, выпускавшиеся Metropolitan-Cammell по контракту T2009 (WD-номера T32471-T32720), который предусматривал производство 81 Valentine II и 149 Valentine IV. Согласно официальным данным, в СССР поставили 161 Valentine II и 520 Valentine IV, из них в пути были потеряны вместе с транспортами 25 и 71 штука соответственно. На деле же эта цифра немного «гуляет», поскольку среди Valentine IV в приёмных актах обнаруживаются Valentine II, и наоборот. Вопреки высказываниям некоторых отечественных историков, и военная приёмка, и войска вполне различали модификации «Валентинов». Особенно это касается более позднего периода войны.</w:t>
      </w:r>
    </w:p>
    <w:p w14:paraId="1C4C77A1"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Считается, что Valentine IV, которые отличались установкой американского дизельного двигателя GMC 6004, стали поступать в СССР только с 1942 года. На это с некоторым недоумением смотрит статистика отправки танков частям. Согласно ей, 1 декабря 1941 года в адрес 131 отдельного танкового батальона было отправлено 7 Valentine IV, которые с сентября 1941 года строились Elswick Works по контракту T1284 13 (WD-номера T47098-T47343). Одновременно в 131 ОТБ отправлялись Valentine II, выпускавшиеся заводом Metropolitan-Cammell по контракту T9866 (WD-номера T27421-T27720). Ныне </w:t>
      </w:r>
      <w:hyperlink r:id="rId28" w:history="1">
        <w:r w:rsidRPr="008127F8">
          <w:rPr>
            <w:rFonts w:ascii="Times New Roman" w:eastAsia="Times New Roman" w:hAnsi="Times New Roman"/>
            <w:color w:val="000000" w:themeColor="text1"/>
            <w:sz w:val="16"/>
            <w:szCs w:val="16"/>
            <w:lang w:eastAsia="ru-RU"/>
          </w:rPr>
          <w:t>находящийся в парке «Патриот» Valentine II</w:t>
        </w:r>
      </w:hyperlink>
      <w:r w:rsidRPr="008127F8">
        <w:rPr>
          <w:rFonts w:ascii="Times New Roman" w:eastAsia="Times New Roman" w:hAnsi="Times New Roman"/>
          <w:color w:val="000000" w:themeColor="text1"/>
          <w:sz w:val="16"/>
          <w:szCs w:val="16"/>
          <w:lang w:eastAsia="ru-RU"/>
        </w:rPr>
        <w:t xml:space="preserve"> с WD-номером T27543 относится к этой же серии. Нюанс в том, что контракт T9866 подразумевал выпуск ещё и 86 танков другой модификации, Valentine IV (17670).</w:t>
      </w:r>
    </w:p>
    <w:p w14:paraId="3C960F7D" w14:textId="77777777" w:rsidR="00102B5D" w:rsidRPr="008127F8" w:rsidRDefault="00102B5D" w:rsidP="001E0A84">
      <w:pPr>
        <w:spacing w:after="0" w:line="240" w:lineRule="auto"/>
        <w:jc w:val="both"/>
        <w:rPr>
          <w:rFonts w:ascii="Times New Roman" w:hAnsi="Times New Roman"/>
          <w:color w:val="000000" w:themeColor="text1"/>
          <w:sz w:val="16"/>
          <w:szCs w:val="16"/>
        </w:rPr>
      </w:pPr>
    </w:p>
    <w:p w14:paraId="63DD0A7F" w14:textId="77777777" w:rsidR="005C0E90" w:rsidRPr="008127F8" w:rsidRDefault="005C0E90"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 концу января 1942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 (15838).</w:t>
      </w:r>
    </w:p>
    <w:p w14:paraId="31E88D0B" w14:textId="77777777" w:rsidR="005C0E90" w:rsidRPr="008127F8" w:rsidRDefault="005C0E90" w:rsidP="001E0A84">
      <w:pPr>
        <w:pStyle w:val="af"/>
        <w:shd w:val="clear" w:color="auto" w:fill="FFFFFF"/>
        <w:spacing w:before="0" w:after="0"/>
        <w:jc w:val="both"/>
        <w:rPr>
          <w:color w:val="000000" w:themeColor="text1"/>
          <w:sz w:val="16"/>
          <w:szCs w:val="16"/>
        </w:rPr>
      </w:pPr>
    </w:p>
    <w:p w14:paraId="1A467C79"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конце января 1942 года конструктор С. А. Гинзбург, на тот момент заместитель начальника технического отдела НКТП, подготовил требования на самоходную установку 152 мм гаубицы на базе КВ-7.</w:t>
      </w:r>
    </w:p>
    <w:p w14:paraId="1D21EF39"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Кандидатура была одна - 152-мм гаубица-пушка МЛ-20. Она до того не фигурировала в списке вооружения для тяжелых САУ. Но в ГАУ тоже не дураки сидели, там прекрасно понимали, какова ситуация на текущий момент. МЛ-20 была, конечно, не БР-2, зато она имелась в крупносерийном производстве. Да и в принципе орудие выдающееся. Так появилась тема "МЛ-20 в КВ-7", которую утвердили в апреле 1942 года. Разработчиком установки орудия были "артиллеристы" из Свердловска, то есть с УЗТМ. В дальнейшем их разработку предполагалось выпускать на ЧКЗ в Челябинске. Разработка в разных местах была вполне нормальным явлением. Правда, что-то пошло не так. Проект У-18, которым занимался Л.И. Горлицкий, затянули по срокам, в результате его внезапно обошел проект ЗИК-20 Ф.Ф. Петрова. Причем последний выступил крайне интересно, указав, что ЗИК-20 имеет рубку "по типу КВ-7", то есть по сути новую. Но и этот проект дальше деревянного макета не </w:t>
      </w:r>
      <w:r w:rsidRPr="008127F8">
        <w:rPr>
          <w:rFonts w:ascii="Times New Roman" w:eastAsia="Times New Roman" w:hAnsi="Times New Roman"/>
          <w:color w:val="000000" w:themeColor="text1"/>
          <w:sz w:val="16"/>
          <w:szCs w:val="16"/>
          <w:lang w:eastAsia="ru-RU"/>
        </w:rPr>
        <w:lastRenderedPageBreak/>
        <w:t>продвинулся. Сложилась ситуация, когда ГАУ и НКВ наступили на те же грабли, что и в случае со средней САУ СГ-122. Идея с разработкой САУ на заводе, не обеспеченном базой для САУ, оказалась неудачной. Тяжелая САУ оказалась единственной, которая не была готова к концу 1942 года вообще ни в каком виде (20289).</w:t>
      </w:r>
    </w:p>
    <w:p w14:paraId="39E31933"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77AFD8"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концу января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27A1CAEF"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(17647).</w:t>
      </w:r>
    </w:p>
    <w:p w14:paraId="04F30806" w14:textId="77777777" w:rsidR="00102B5D" w:rsidRPr="008127F8" w:rsidRDefault="00102B5D" w:rsidP="001E0A84">
      <w:pPr>
        <w:pStyle w:val="12a"/>
        <w:shd w:val="clear" w:color="auto" w:fill="auto"/>
        <w:spacing w:after="0" w:line="240" w:lineRule="auto"/>
        <w:jc w:val="both"/>
        <w:rPr>
          <w:color w:val="000000" w:themeColor="text1"/>
          <w:sz w:val="16"/>
          <w:szCs w:val="16"/>
        </w:rPr>
      </w:pPr>
    </w:p>
    <w:p w14:paraId="7A876F72"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конце января 1942 КБ ГАЗ им. Молотова под руководством Н. А. Астрова вышло на финишную прямую в проектировании лёгкого танка ГАЗ-70, позже превратившегося в </w:t>
      </w:r>
      <w:hyperlink r:id="rId29" w:history="1">
        <w:r w:rsidRPr="008127F8">
          <w:rPr>
            <w:rFonts w:ascii="Times New Roman" w:eastAsia="Times New Roman" w:hAnsi="Times New Roman"/>
            <w:color w:val="000000" w:themeColor="text1"/>
            <w:sz w:val="16"/>
            <w:szCs w:val="16"/>
            <w:lang w:eastAsia="ru-RU"/>
          </w:rPr>
          <w:t>Т-70</w:t>
        </w:r>
      </w:hyperlink>
      <w:r w:rsidRPr="008127F8">
        <w:rPr>
          <w:rFonts w:ascii="Times New Roman" w:eastAsia="Times New Roman" w:hAnsi="Times New Roman"/>
          <w:color w:val="000000" w:themeColor="text1"/>
          <w:sz w:val="16"/>
          <w:szCs w:val="16"/>
          <w:lang w:eastAsia="ru-RU"/>
        </w:rPr>
        <w:t>. К 14 февраля создание опытного образца этого танка уже закончили, так что Гинзбург немного опоздал. Между тем, к требованиям по созданию 76-мм САУ набралось немало вопросов:</w:t>
      </w:r>
    </w:p>
    <w:p w14:paraId="38CB5B21"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Орудие предназначается для совместных действий с мотомехчастями против танков, ДЗОТов, укреплённых точек в населённых пунктах, а также против живой силы противника (стрельба шрапнелью).</w:t>
      </w:r>
    </w:p>
    <w:p w14:paraId="6C73DE6C"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Вес машины в походном положении 7,5–8 тонн, спец. прицепки 3,5–4 тонны.</w:t>
      </w:r>
    </w:p>
    <w:p w14:paraId="3428C27B"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Система имеет противопульную и противоосколочную защиту расчета со лба и частично с боков. Экипаж, двигатель, топливные баки и боекомплект бронируется аналогично Т-60.</w:t>
      </w:r>
    </w:p>
    <w:p w14:paraId="1AB9BC3B"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 Возимый боекомплект не менее 20 штук унитарных патронов. Основой боекомплект должен транспортироваться на прицепке к Т-60.</w:t>
      </w:r>
    </w:p>
    <w:p w14:paraId="6276EB37"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5. Система должна иметь как минимум горизонтальный обстрел +/</w:t>
      </w:r>
      <w:r w:rsidRPr="008127F8">
        <w:rPr>
          <w:rFonts w:ascii="Times New Roman" w:eastAsia="Times New Roman" w:hAnsi="Times New Roman"/>
          <w:color w:val="000000" w:themeColor="text1"/>
          <w:sz w:val="16"/>
          <w:szCs w:val="16"/>
          <w:lang w:eastAsia="ru-RU"/>
        </w:rPr>
        <w:t>−</w:t>
      </w:r>
      <w:r w:rsidRPr="008127F8">
        <w:rPr>
          <w:rFonts w:ascii="Times New Roman" w:eastAsia="Times New Roman" w:hAnsi="Times New Roman"/>
          <w:iCs/>
          <w:color w:val="000000" w:themeColor="text1"/>
          <w:sz w:val="16"/>
          <w:szCs w:val="16"/>
          <w:lang w:eastAsia="ru-RU"/>
        </w:rPr>
        <w:t>7 градусов (желательно возможно больший), вертикальный обстрел от –5 до +30 градусов.</w:t>
      </w:r>
    </w:p>
    <w:p w14:paraId="072A7746"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6. Конструкция системы должны обеспечивать возможность ведения огня без специальных упоров (сошников).</w:t>
      </w:r>
    </w:p>
    <w:p w14:paraId="032E6730"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7. Команда (вместе с водителем) 4–5 человек».</w:t>
      </w:r>
    </w:p>
    <w:p w14:paraId="26395D1A"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заявленная боевая масса, что боекомплект вызывают некоторое недоумение. Однозначно можно говорить о том, что с таким набором тактико-технических требований нормальную самоходную установку спроектировать было невозможно. Увеличение числа опорных катков до пяти на борт, конечно, подразумевало увеличение длины корпуса, но, как показали дальнейшие работы, этого оказалось недостаточно.</w:t>
      </w:r>
    </w:p>
    <w:p w14:paraId="01B57EED" w14:textId="77777777" w:rsidR="00102B5D" w:rsidRPr="008127F8" w:rsidRDefault="00102B5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Тем не менее первый шаг к созданию новой лёгкой САУ был сделан (17668).</w:t>
      </w:r>
    </w:p>
    <w:p w14:paraId="2AD2F15D" w14:textId="77777777" w:rsidR="00102B5D" w:rsidRPr="008127F8" w:rsidRDefault="00102B5D" w:rsidP="001E0A84">
      <w:pPr>
        <w:spacing w:after="0" w:line="240" w:lineRule="auto"/>
        <w:jc w:val="both"/>
        <w:rPr>
          <w:rFonts w:ascii="Times New Roman" w:hAnsi="Times New Roman"/>
          <w:color w:val="000000" w:themeColor="text1"/>
          <w:sz w:val="16"/>
          <w:szCs w:val="16"/>
        </w:rPr>
      </w:pPr>
    </w:p>
    <w:p w14:paraId="29EB5E09"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концу января 1942 года были сформированы тактико-технические требования на универсальное шасси с использованием агрегатов танка Т-60. Данное шасси стало актуальным после того, как 6 января 1942 года Т-50 сняли с серийного производства. С.А. Гинзбург, заместитель начальника 2-го отдела НКТП СССР (фактически заместитель Ж.Я. Котина), предполагал создать целое семейство боевых машин, включая и легкий танк. Идея вполне здравая, поскольку Т-60 был откровенно слабоват, а работы по установке в него 45-мм танковой пушки затягивались (21099).</w:t>
      </w:r>
    </w:p>
    <w:p w14:paraId="4583475A" w14:textId="77777777" w:rsidR="0085189E" w:rsidRPr="008127F8" w:rsidRDefault="0085189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855177E" w14:textId="77777777" w:rsidR="0085189E" w:rsidRPr="008127F8" w:rsidRDefault="008518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самом конце января 1942 захватили Panzerzug 27, вместе со всеми тремя танками Pz.Kpfw.35 S (f). Сами немцы пишут, что бронепоезд восстановили, но вызывает это только усмешку. Собрали Panzerzug 27 с нуля, используя трофейные бронеплощаки, причем в мае 1942 года наши партизаны его подорвали.</w:t>
      </w:r>
    </w:p>
    <w:p w14:paraId="537327C5" w14:textId="77777777" w:rsidR="0085189E" w:rsidRPr="008127F8" w:rsidRDefault="008518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руках Красной Армии оказались три танка, с башенными номерами 271, 272 и 273. Номер означал бронепоезд (27) и порядковый номер. Та же система использовалась на всех остальных бронепоездах. Также такие танки имели специальное крепление в носовой части корпуса, при помощи которого их стопорили при перевозке на платформах.</w:t>
      </w:r>
    </w:p>
    <w:p w14:paraId="03C99918" w14:textId="77777777" w:rsidR="0085189E" w:rsidRPr="008127F8" w:rsidRDefault="008518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сказать, что даже после захвата живых образцов машины, которая в переписке шла как "танк Сомуа", неточностей хватало. Например, его 'rbgf; определили как 4 человека (где там наши четвертого, непонятно). Больше того, экипаж 4 человека остался и в дальнейших альбомах НИБТ Полигона, где проводилось его изучение. Хватало неточностей и по бронированию, например, лобовая часть корпуса и башни была определена как 45 мм, а бортов как 20 мм. При этом в дальнейшем каких-то дополнительных проверок эти данные не проходили (22391).</w:t>
      </w:r>
    </w:p>
    <w:p w14:paraId="6802F01A" w14:textId="77777777" w:rsidR="0085189E" w:rsidRPr="008127F8" w:rsidRDefault="0085189E" w:rsidP="001E0A84">
      <w:pPr>
        <w:spacing w:after="0" w:line="240" w:lineRule="auto"/>
        <w:jc w:val="both"/>
        <w:rPr>
          <w:rFonts w:ascii="Times New Roman" w:hAnsi="Times New Roman"/>
          <w:color w:val="000000" w:themeColor="text1"/>
          <w:sz w:val="16"/>
          <w:szCs w:val="16"/>
        </w:rPr>
      </w:pPr>
    </w:p>
    <w:p w14:paraId="351EECED" w14:textId="1138F84C" w:rsidR="00066EA2" w:rsidRDefault="00066EA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46D4A0B4" w14:textId="77777777" w:rsidR="00066EA2" w:rsidRDefault="00066EA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62600B7" w14:textId="77777777" w:rsidR="00066EA2" w:rsidRPr="008A2E5A" w:rsidRDefault="00066EA2" w:rsidP="00066E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января 1942 г. было принято решение о прекращении производства Me 210А и привело к убыткам для «Мессершмитт АГ» в размере 30 млн. марок. На заводах ос</w:t>
      </w:r>
      <w:r w:rsidRPr="008A2E5A">
        <w:rPr>
          <w:rFonts w:ascii="Times New Roman" w:hAnsi="Times New Roman"/>
          <w:color w:val="0070C0"/>
          <w:sz w:val="16"/>
          <w:szCs w:val="16"/>
        </w:rPr>
        <w:softHyphen/>
        <w:t>талось 360 Me 210, находящихся на за</w:t>
      </w:r>
      <w:r w:rsidRPr="008A2E5A">
        <w:rPr>
          <w:rFonts w:ascii="Times New Roman" w:hAnsi="Times New Roman"/>
          <w:color w:val="0070C0"/>
          <w:sz w:val="16"/>
          <w:szCs w:val="16"/>
        </w:rPr>
        <w:softHyphen/>
        <w:t>вершающих стадиях сборки, а также узлы и детали ещё для 800 самолетов. Из-за провала проекта с новой силой обостри</w:t>
      </w:r>
      <w:r w:rsidRPr="008A2E5A">
        <w:rPr>
          <w:rFonts w:ascii="Times New Roman" w:hAnsi="Times New Roman"/>
          <w:color w:val="0070C0"/>
          <w:sz w:val="16"/>
          <w:szCs w:val="16"/>
        </w:rPr>
        <w:softHyphen/>
        <w:t>лась давняя вражда между Мильхом и Вилли Мессершмиттом. Последний был смещен с поста технического директора «Мессершмитт АГ». Вместо него назначи</w:t>
      </w:r>
      <w:r w:rsidRPr="008A2E5A">
        <w:rPr>
          <w:rFonts w:ascii="Times New Roman" w:hAnsi="Times New Roman"/>
          <w:color w:val="0070C0"/>
          <w:sz w:val="16"/>
          <w:szCs w:val="16"/>
        </w:rPr>
        <w:softHyphen/>
        <w:t>ли Тео Кронейсса (Theo Kroneiss).</w:t>
      </w:r>
    </w:p>
    <w:p w14:paraId="5AF658D3" w14:textId="77777777" w:rsidR="00066EA2" w:rsidRPr="008A2E5A" w:rsidRDefault="00066EA2" w:rsidP="00066E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Огромный задел по Me 210А камнем ви</w:t>
      </w:r>
      <w:r w:rsidRPr="008A2E5A">
        <w:rPr>
          <w:rFonts w:ascii="Times New Roman" w:hAnsi="Times New Roman"/>
          <w:color w:val="0070C0"/>
          <w:sz w:val="16"/>
          <w:szCs w:val="16"/>
        </w:rPr>
        <w:softHyphen/>
        <w:t>сел на фирме. Новый менеджмент сумел добиться согласия на достройку части са</w:t>
      </w:r>
      <w:r w:rsidRPr="008A2E5A">
        <w:rPr>
          <w:rFonts w:ascii="Times New Roman" w:hAnsi="Times New Roman"/>
          <w:color w:val="0070C0"/>
          <w:sz w:val="16"/>
          <w:szCs w:val="16"/>
        </w:rPr>
        <w:softHyphen/>
        <w:t>молетов при условии внесения опреде</w:t>
      </w:r>
      <w:r w:rsidRPr="008A2E5A">
        <w:rPr>
          <w:rFonts w:ascii="Times New Roman" w:hAnsi="Times New Roman"/>
          <w:color w:val="0070C0"/>
          <w:sz w:val="16"/>
          <w:szCs w:val="16"/>
        </w:rPr>
        <w:softHyphen/>
        <w:t>ленных изменений: удлинения фюзеляжа, установки предкрылков, а также доработ</w:t>
      </w:r>
      <w:r w:rsidRPr="008A2E5A">
        <w:rPr>
          <w:rFonts w:ascii="Times New Roman" w:hAnsi="Times New Roman"/>
          <w:color w:val="0070C0"/>
          <w:sz w:val="16"/>
          <w:szCs w:val="16"/>
        </w:rPr>
        <w:softHyphen/>
        <w:t>ки ряда элементов оборудования (напри</w:t>
      </w:r>
      <w:r w:rsidRPr="008A2E5A">
        <w:rPr>
          <w:rFonts w:ascii="Times New Roman" w:hAnsi="Times New Roman"/>
          <w:color w:val="0070C0"/>
          <w:sz w:val="16"/>
          <w:szCs w:val="16"/>
        </w:rPr>
        <w:softHyphen/>
        <w:t>мер, топливных насосов). В таком виде мелкосерийная сборка Me 210А-1 возоб</w:t>
      </w:r>
      <w:r w:rsidRPr="008A2E5A">
        <w:rPr>
          <w:rFonts w:ascii="Times New Roman" w:hAnsi="Times New Roman"/>
          <w:color w:val="0070C0"/>
          <w:sz w:val="16"/>
          <w:szCs w:val="16"/>
        </w:rPr>
        <w:softHyphen/>
        <w:t>новилась. В 1942 г. было собрано 95 (по другим данным — 98) таких машин, в 1943-м — 89, а в 1944 г. — 74 самолета. Me 210А-1 служили в строевых частях, но большинство поступило в учебные соеди</w:t>
      </w:r>
      <w:r w:rsidRPr="008A2E5A">
        <w:rPr>
          <w:rFonts w:ascii="Times New Roman" w:hAnsi="Times New Roman"/>
          <w:color w:val="0070C0"/>
          <w:sz w:val="16"/>
          <w:szCs w:val="16"/>
        </w:rPr>
        <w:softHyphen/>
        <w:t>нения, а некоторые применялись для курьерских полетов. Например, в 1943 г. самолет этого типа был личной машиной командира 3-й истребительной дивизии оберста Вальтера Грабманна (Walter Grabmann). Наконец, целый ряд Me 210А- 1 использовался в различных испытатель</w:t>
      </w:r>
      <w:r w:rsidRPr="008A2E5A">
        <w:rPr>
          <w:rFonts w:ascii="Times New Roman" w:hAnsi="Times New Roman"/>
          <w:color w:val="0070C0"/>
          <w:sz w:val="16"/>
          <w:szCs w:val="16"/>
        </w:rPr>
        <w:softHyphen/>
        <w:t>ных программах. Так, самолет Wr.Nr. 105 применялся для испытаний посадочного тормозного парашюта, на Wr.Nr. 123 ис</w:t>
      </w:r>
      <w:r w:rsidRPr="008A2E5A">
        <w:rPr>
          <w:rFonts w:ascii="Times New Roman" w:hAnsi="Times New Roman"/>
          <w:color w:val="0070C0"/>
          <w:sz w:val="16"/>
          <w:szCs w:val="16"/>
        </w:rPr>
        <w:softHyphen/>
        <w:t>пытывались т.н. Kuto-Nase — резаки для разрезания тросов аэростатов загражде</w:t>
      </w:r>
      <w:r w:rsidRPr="008A2E5A">
        <w:rPr>
          <w:rFonts w:ascii="Times New Roman" w:hAnsi="Times New Roman"/>
          <w:color w:val="0070C0"/>
          <w:sz w:val="16"/>
          <w:szCs w:val="16"/>
        </w:rPr>
        <w:softHyphen/>
        <w:t>ния. На машинах Wr.Nr. 157 и 166 отраба</w:t>
      </w:r>
      <w:r w:rsidRPr="008A2E5A">
        <w:rPr>
          <w:rFonts w:ascii="Times New Roman" w:hAnsi="Times New Roman"/>
          <w:color w:val="0070C0"/>
          <w:sz w:val="16"/>
          <w:szCs w:val="16"/>
        </w:rPr>
        <w:softHyphen/>
        <w:t>тывались новые типы бомбардировочных прицелов, Wr.Nr. 162 — измененные зак</w:t>
      </w:r>
      <w:r w:rsidRPr="008A2E5A">
        <w:rPr>
          <w:rFonts w:ascii="Times New Roman" w:hAnsi="Times New Roman"/>
          <w:color w:val="0070C0"/>
          <w:sz w:val="16"/>
          <w:szCs w:val="16"/>
        </w:rPr>
        <w:softHyphen/>
        <w:t>рылки, а на Wr.Nr. 198 — новые аэрофото</w:t>
      </w:r>
      <w:r w:rsidRPr="008A2E5A">
        <w:rPr>
          <w:rFonts w:ascii="Times New Roman" w:hAnsi="Times New Roman"/>
          <w:color w:val="0070C0"/>
          <w:sz w:val="16"/>
          <w:szCs w:val="16"/>
        </w:rPr>
        <w:softHyphen/>
        <w:t>аппараты (24191).</w:t>
      </w:r>
    </w:p>
    <w:p w14:paraId="37BA8985" w14:textId="77777777" w:rsidR="00066EA2" w:rsidRPr="008A2E5A" w:rsidRDefault="00066EA2" w:rsidP="00066EA2">
      <w:pPr>
        <w:spacing w:after="0" w:line="240" w:lineRule="auto"/>
        <w:jc w:val="both"/>
        <w:rPr>
          <w:rFonts w:ascii="Times New Roman" w:hAnsi="Times New Roman"/>
          <w:color w:val="0070C0"/>
          <w:sz w:val="16"/>
          <w:szCs w:val="16"/>
        </w:rPr>
      </w:pPr>
    </w:p>
    <w:p w14:paraId="3497EDC7" w14:textId="59EEC510" w:rsidR="00066EA2" w:rsidRDefault="00066EA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167C451D" w14:textId="77777777" w:rsidR="00066EA2" w:rsidRDefault="00066EA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8742B19" w14:textId="77777777" w:rsidR="00066EA2" w:rsidRPr="008A2E5A" w:rsidRDefault="00066EA2" w:rsidP="00066E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второй половине января 1942 г. начались работы по изготовлению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бронировки орудийной маски и снарядных укладок (23551).</w:t>
      </w:r>
    </w:p>
    <w:p w14:paraId="5BA63572" w14:textId="77777777" w:rsidR="00066EA2" w:rsidRPr="008A2E5A" w:rsidRDefault="00066EA2" w:rsidP="00066EA2">
      <w:pPr>
        <w:spacing w:after="0" w:line="240" w:lineRule="auto"/>
        <w:jc w:val="both"/>
        <w:rPr>
          <w:rFonts w:ascii="Times New Roman" w:hAnsi="Times New Roman"/>
          <w:color w:val="0070C0"/>
          <w:sz w:val="16"/>
          <w:szCs w:val="16"/>
        </w:rPr>
      </w:pPr>
    </w:p>
    <w:p w14:paraId="79823727" w14:textId="4389BF4A"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38AD7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B6ECB" w14:textId="743676CD" w:rsidR="00120EE4" w:rsidRPr="008127F8" w:rsidRDefault="00120E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проходил госиспытания самолет Ил-2 № 0408 (4-ой серии) без бронеплит</w:t>
      </w:r>
      <w:r w:rsidR="006D4AC1" w:rsidRPr="008127F8">
        <w:rPr>
          <w:rFonts w:ascii="Times New Roman" w:hAnsi="Times New Roman"/>
          <w:color w:val="000000" w:themeColor="text1"/>
          <w:sz w:val="16"/>
          <w:szCs w:val="16"/>
          <w:lang w:val="en-US"/>
        </w:rPr>
        <w:t>s</w:t>
      </w:r>
      <w:r w:rsidRPr="008127F8">
        <w:rPr>
          <w:rFonts w:ascii="Times New Roman" w:hAnsi="Times New Roman"/>
          <w:color w:val="000000" w:themeColor="text1"/>
          <w:sz w:val="16"/>
          <w:szCs w:val="16"/>
        </w:rPr>
        <w:t xml:space="preserve"> над верхней частью заднего бензобака, броневой плиты над головой летчика, на подвижной части фонаря, полность прозрачной броней за головой летчика и без броневой плиты над пеногасительным бачком (19706)</w:t>
      </w:r>
    </w:p>
    <w:p w14:paraId="448633DE" w14:textId="77777777" w:rsidR="00120EE4" w:rsidRPr="008127F8" w:rsidRDefault="00120EE4" w:rsidP="001E0A84">
      <w:pPr>
        <w:spacing w:after="0" w:line="240" w:lineRule="auto"/>
        <w:jc w:val="both"/>
        <w:rPr>
          <w:rFonts w:ascii="Times New Roman" w:hAnsi="Times New Roman"/>
          <w:color w:val="000000" w:themeColor="text1"/>
          <w:sz w:val="16"/>
          <w:szCs w:val="16"/>
        </w:rPr>
      </w:pPr>
    </w:p>
    <w:p w14:paraId="6B80A87B" w14:textId="0795A3FF" w:rsidR="004F0D24" w:rsidRPr="008127F8" w:rsidRDefault="004F0D24" w:rsidP="001E0A84">
      <w:pPr>
        <w:pStyle w:val="affffff"/>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С января 1942 </w:t>
      </w:r>
      <w:proofErr w:type="gramStart"/>
      <w:r w:rsidRPr="008127F8">
        <w:rPr>
          <w:color w:val="000000" w:themeColor="text1"/>
          <w:sz w:val="16"/>
          <w:szCs w:val="16"/>
        </w:rPr>
        <w:t>года</w:t>
      </w:r>
      <w:r w:rsidR="008127F8">
        <w:rPr>
          <w:color w:val="000000" w:themeColor="text1"/>
          <w:sz w:val="16"/>
          <w:szCs w:val="16"/>
        </w:rPr>
        <w:t xml:space="preserve">  </w:t>
      </w:r>
      <w:r w:rsidRPr="008127F8">
        <w:rPr>
          <w:color w:val="000000" w:themeColor="text1"/>
          <w:sz w:val="16"/>
          <w:szCs w:val="16"/>
        </w:rPr>
        <w:t>завод</w:t>
      </w:r>
      <w:proofErr w:type="gramEnd"/>
      <w:r w:rsidRPr="008127F8">
        <w:rPr>
          <w:color w:val="000000" w:themeColor="text1"/>
          <w:sz w:val="16"/>
          <w:szCs w:val="16"/>
        </w:rPr>
        <w:t xml:space="preserve"> № 18 стал выпускать в сутки по семь самолетов Ил-2. В феврале выпуск штурмовиков вырос в десять раз, а в марте – в двенадцать раз (19822).</w:t>
      </w:r>
    </w:p>
    <w:p w14:paraId="41CC78E9" w14:textId="77777777" w:rsidR="004F0D24" w:rsidRPr="008127F8" w:rsidRDefault="004F0D24" w:rsidP="001E0A84">
      <w:pPr>
        <w:pStyle w:val="affffff"/>
        <w:shd w:val="clear" w:color="auto" w:fill="FFFFFF"/>
        <w:spacing w:before="0" w:beforeAutospacing="0" w:after="0" w:afterAutospacing="0"/>
        <w:jc w:val="both"/>
        <w:rPr>
          <w:color w:val="000000" w:themeColor="text1"/>
          <w:sz w:val="16"/>
          <w:szCs w:val="16"/>
        </w:rPr>
      </w:pPr>
    </w:p>
    <w:p w14:paraId="5C4750CB" w14:textId="77777777" w:rsidR="004F0D24" w:rsidRPr="008127F8" w:rsidRDefault="004F0D2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январе 1942 года коллектив завода № 18 собирал семь штурмовиков Ил-2 в день и обязался увеличить их выпуск до двенадцати в месяц. Завод № 1 полностью прекратил производство истребителей МиГ-3 и тоже перешел на выпуск штурмовиков, которые отлично проявили себя на фронтах Великой Отечественной (19828).</w:t>
      </w:r>
    </w:p>
    <w:p w14:paraId="36F366E5" w14:textId="77777777" w:rsidR="004F0D24" w:rsidRPr="008127F8" w:rsidRDefault="004F0D24" w:rsidP="001E0A84">
      <w:pPr>
        <w:pStyle w:val="af"/>
        <w:shd w:val="clear" w:color="auto" w:fill="FFFFFF"/>
        <w:spacing w:before="0" w:after="0"/>
        <w:jc w:val="both"/>
        <w:rPr>
          <w:color w:val="000000" w:themeColor="text1"/>
          <w:sz w:val="16"/>
          <w:szCs w:val="16"/>
        </w:rPr>
      </w:pPr>
    </w:p>
    <w:p w14:paraId="32BF2F4A" w14:textId="14E6D54E" w:rsidR="004F0D24" w:rsidRPr="008127F8" w:rsidRDefault="004F0D24" w:rsidP="001E0A84">
      <w:pPr>
        <w:pStyle w:val="affffff"/>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В январе 1942 </w:t>
      </w:r>
      <w:proofErr w:type="gramStart"/>
      <w:r w:rsidRPr="008127F8">
        <w:rPr>
          <w:color w:val="000000" w:themeColor="text1"/>
          <w:sz w:val="16"/>
          <w:szCs w:val="16"/>
        </w:rPr>
        <w:t>года</w:t>
      </w:r>
      <w:r w:rsidR="008127F8">
        <w:rPr>
          <w:color w:val="000000" w:themeColor="text1"/>
          <w:sz w:val="16"/>
          <w:szCs w:val="16"/>
        </w:rPr>
        <w:t xml:space="preserve">  </w:t>
      </w:r>
      <w:r w:rsidRPr="008127F8">
        <w:rPr>
          <w:color w:val="000000" w:themeColor="text1"/>
          <w:sz w:val="16"/>
          <w:szCs w:val="16"/>
        </w:rPr>
        <w:t>по</w:t>
      </w:r>
      <w:proofErr w:type="gramEnd"/>
      <w:r w:rsidRPr="008127F8">
        <w:rPr>
          <w:color w:val="000000" w:themeColor="text1"/>
          <w:sz w:val="16"/>
          <w:szCs w:val="16"/>
        </w:rPr>
        <w:t xml:space="preserve"> приказу командования Юго-Западного фронта в Воронеже на пустующих площадях эвакуированного авиационного завода была создана база по ремонту фронтовых самолетов, а в июне того же года приказом Народного комиссариата авиационной промышленности – завод по ремонту самолетов №450. В июле в связи приближением фронта люди и оборудование завода были вывезены в Пензу (19822).</w:t>
      </w:r>
    </w:p>
    <w:p w14:paraId="6B860A63" w14:textId="77777777" w:rsidR="004F0D24" w:rsidRPr="008127F8" w:rsidRDefault="004F0D24" w:rsidP="001E0A84">
      <w:pPr>
        <w:pStyle w:val="affffff"/>
        <w:shd w:val="clear" w:color="auto" w:fill="FFFFFF"/>
        <w:spacing w:before="0" w:beforeAutospacing="0" w:after="0" w:afterAutospacing="0"/>
        <w:jc w:val="both"/>
        <w:rPr>
          <w:color w:val="000000" w:themeColor="text1"/>
          <w:sz w:val="16"/>
          <w:szCs w:val="16"/>
        </w:rPr>
      </w:pPr>
    </w:p>
    <w:p w14:paraId="18B7C1C2" w14:textId="77777777" w:rsidR="005D6FA0" w:rsidRPr="008A2E5A" w:rsidRDefault="005D6FA0" w:rsidP="005D6F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Весь январский 1942 выпуск завода № 1 составил всего 16 Ил-2. Переход на выпуск 7 самолетов в сутки планировался только в июне месяце (23346).</w:t>
      </w:r>
    </w:p>
    <w:p w14:paraId="5C90FFF3" w14:textId="77777777" w:rsidR="005D6FA0" w:rsidRPr="008A2E5A" w:rsidRDefault="005D6FA0" w:rsidP="005D6FA0">
      <w:pPr>
        <w:spacing w:after="0" w:line="240" w:lineRule="auto"/>
        <w:jc w:val="both"/>
        <w:rPr>
          <w:rFonts w:ascii="Times New Roman" w:hAnsi="Times New Roman"/>
          <w:color w:val="0070C0"/>
          <w:sz w:val="16"/>
          <w:szCs w:val="16"/>
        </w:rPr>
      </w:pPr>
    </w:p>
    <w:p w14:paraId="5BCF218B" w14:textId="77777777" w:rsidR="005D6FA0" w:rsidRPr="008A2E5A" w:rsidRDefault="005D6FA0" w:rsidP="005D6F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в Куйбышеве завод № 1 завер</w:t>
      </w:r>
      <w:r w:rsidRPr="008A2E5A">
        <w:rPr>
          <w:rFonts w:ascii="Times New Roman" w:hAnsi="Times New Roman"/>
          <w:color w:val="0070C0"/>
          <w:sz w:val="16"/>
          <w:szCs w:val="16"/>
        </w:rPr>
        <w:softHyphen/>
        <w:t>шил изготовление 5 истребителей МиГ-9 войсковой серии. В этом же ме</w:t>
      </w:r>
      <w:r w:rsidRPr="008A2E5A">
        <w:rPr>
          <w:rFonts w:ascii="Times New Roman" w:hAnsi="Times New Roman"/>
          <w:color w:val="0070C0"/>
          <w:sz w:val="16"/>
          <w:szCs w:val="16"/>
        </w:rPr>
        <w:softHyphen/>
        <w:t>сяце прикомандированный к ОКО лётчик-испытатель В.Н. Савкин провёл заводские испытания серийного самолёта № 6502 — проверялась работа винтомотор</w:t>
      </w:r>
      <w:r w:rsidRPr="008A2E5A">
        <w:rPr>
          <w:rFonts w:ascii="Times New Roman" w:hAnsi="Times New Roman"/>
          <w:color w:val="0070C0"/>
          <w:sz w:val="16"/>
          <w:szCs w:val="16"/>
        </w:rPr>
        <w:softHyphen/>
        <w:t>ной группы и определялись штопорные свойства. Ис</w:t>
      </w:r>
      <w:r w:rsidRPr="008A2E5A">
        <w:rPr>
          <w:rFonts w:ascii="Times New Roman" w:hAnsi="Times New Roman"/>
          <w:color w:val="0070C0"/>
          <w:sz w:val="16"/>
          <w:szCs w:val="16"/>
        </w:rPr>
        <w:softHyphen/>
        <w:t>пытания на штопор показали, что МиГ-9 в этой части имел преимущества по сравнению с серийным МиГ-3 (23379).</w:t>
      </w:r>
    </w:p>
    <w:p w14:paraId="3446AA4A" w14:textId="77777777" w:rsidR="005D6FA0" w:rsidRPr="008A2E5A" w:rsidRDefault="005D6FA0" w:rsidP="005D6FA0">
      <w:pPr>
        <w:spacing w:after="0" w:line="240" w:lineRule="auto"/>
        <w:jc w:val="both"/>
        <w:rPr>
          <w:rFonts w:ascii="Times New Roman" w:hAnsi="Times New Roman"/>
          <w:color w:val="0070C0"/>
          <w:sz w:val="16"/>
          <w:szCs w:val="16"/>
        </w:rPr>
      </w:pPr>
    </w:p>
    <w:p w14:paraId="30B12C6F" w14:textId="3CE3EAEC" w:rsidR="0070658C" w:rsidRPr="008127F8" w:rsidRDefault="007065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январе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Безымянлаге трудилось около 100 тысяч человек. Внедрение «стахановских» методов работы, основанных на штурмовщине и кампанейщине, вкупе с угрозами и показательными судами позволили в короткие сроки увеличить объемы производства. И хотя качество продукции оставалось крайне низким, количественные показатели впечатляли. Уже в апреле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авиазавод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18 почти достиг своей доэвакуационной мощности. На расположенной рядом с ним летно</w:t>
      </w:r>
      <w:r w:rsidRPr="008127F8">
        <w:rPr>
          <w:rFonts w:ascii="Times New Roman" w:hAnsi="Times New Roman"/>
          <w:color w:val="000000" w:themeColor="text1"/>
          <w:sz w:val="16"/>
          <w:szCs w:val="16"/>
        </w:rPr>
        <w:noBreakHyphen/>
        <w:t>испытательной станции целыми днями облетывались новые машины, а на аэродромах 1</w:t>
      </w:r>
      <w:r w:rsidRPr="008127F8">
        <w:rPr>
          <w:rFonts w:ascii="Times New Roman" w:hAnsi="Times New Roman"/>
          <w:color w:val="000000" w:themeColor="text1"/>
          <w:sz w:val="16"/>
          <w:szCs w:val="16"/>
        </w:rPr>
        <w:noBreakHyphen/>
        <w:t>й заб формировались все новые и новые полки (23199).</w:t>
      </w:r>
    </w:p>
    <w:p w14:paraId="1802656F" w14:textId="77777777" w:rsidR="0070658C" w:rsidRPr="008127F8" w:rsidRDefault="0070658C" w:rsidP="001E0A84">
      <w:pPr>
        <w:spacing w:after="0" w:line="240" w:lineRule="auto"/>
        <w:jc w:val="both"/>
        <w:rPr>
          <w:rFonts w:ascii="Times New Roman" w:hAnsi="Times New Roman"/>
          <w:color w:val="000000" w:themeColor="text1"/>
          <w:sz w:val="16"/>
          <w:szCs w:val="16"/>
        </w:rPr>
      </w:pPr>
    </w:p>
    <w:p w14:paraId="1049765F" w14:textId="35522828" w:rsidR="004F0D24" w:rsidRPr="008127F8" w:rsidRDefault="004F0D2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года по приказу Юго-западного фронта на площадке базы филиала завода № 18 (Куйбышевского)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бывшего завода № 18 был организован </w:t>
      </w:r>
      <w:proofErr w:type="gramStart"/>
      <w:r w:rsidRPr="008127F8">
        <w:rPr>
          <w:rFonts w:ascii="Times New Roman" w:hAnsi="Times New Roman"/>
          <w:color w:val="000000" w:themeColor="text1"/>
          <w:sz w:val="16"/>
          <w:szCs w:val="16"/>
        </w:rPr>
        <w:t>авторемонтный</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45 (19829).</w:t>
      </w:r>
    </w:p>
    <w:p w14:paraId="6D4EDE78" w14:textId="77777777" w:rsidR="004F0D24" w:rsidRPr="008127F8" w:rsidRDefault="004F0D24" w:rsidP="001E0A84">
      <w:pPr>
        <w:spacing w:after="0" w:line="240" w:lineRule="auto"/>
        <w:jc w:val="both"/>
        <w:rPr>
          <w:rFonts w:ascii="Times New Roman" w:hAnsi="Times New Roman"/>
          <w:color w:val="000000" w:themeColor="text1"/>
          <w:sz w:val="16"/>
          <w:szCs w:val="16"/>
        </w:rPr>
      </w:pPr>
    </w:p>
    <w:p w14:paraId="05B998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Нач. 10 ГУ Тарасевич писал письмо НКАП А.И.Ш.:</w:t>
      </w:r>
    </w:p>
    <w:p w14:paraId="3C0E11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381 выпускает в настоящее время самолеты Ил-2 с М-38, пушками ШВАК и мет. крылом.</w:t>
      </w:r>
    </w:p>
    <w:p w14:paraId="02C695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плану завод 381 в 1942 д. выпускать Ил-2 с М-82.</w:t>
      </w:r>
    </w:p>
    <w:p w14:paraId="17712E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переходу на этот мотор завод еще не подготовлен. Для перехода на этот мотор требуется новый винт.</w:t>
      </w:r>
    </w:p>
    <w:p w14:paraId="6C0694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Переход на пушку ВЯ лимитируется неподготовленностью завода, отсутствие м лафетов ВЯ и самих ВЯ.</w:t>
      </w:r>
    </w:p>
    <w:p w14:paraId="536A9D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утвердить:</w:t>
      </w:r>
    </w:p>
    <w:p w14:paraId="3C2FBF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Переход 381 на Ил-2 с М-82 с самолета 151 (сдано с М-38 в 1941 - 26 и в 1941 по 21 января - 11, имеется моторов - 82), чтобы обеспечить выпуск 150 с М-38 требуется отгрузить 35 М-38.</w:t>
      </w:r>
    </w:p>
    <w:p w14:paraId="0ED280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установку ВЯ взамен ШВАК с 201 (сдано с ШВАК в 1941 - 26 и в 1941 по 21 января - 11, имеется лафетов - 53). Лафет отгружается с 39 завода - 110, т.е. ШВАК и лафетами завод будет обеспечен.</w:t>
      </w:r>
    </w:p>
    <w:p w14:paraId="3C9A35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 деревянном крыле Ил-2 предусмотрена установка ВЯ, прошу одновременно разрешить переход на деревянное крыло также с 201." (1685,29).</w:t>
      </w:r>
    </w:p>
    <w:p w14:paraId="030A1E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6F5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автор пушки В-Я Волков вместе с работниками ГУ ВВС, зам. начальника ГУ ВВС бригинженером Лешуковым, военным комиссаром ГУ ВВС бригадным комиссаром Руденко и начальником 3-го отдела Управления опытного строительства Гу ВВС военинженером 1 ранга Матвеевым посетили 47 авиационную дивизию.</w:t>
      </w:r>
    </w:p>
    <w:p w14:paraId="757C07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дивизии полковник Толстиков сделал сообщение о работе пушек В-Я на штурмовиках в его дивизии. Толстиков, а также летчики, командиры и инженерно-технический состав 47 АД дают исключительно хорошие отзывы о работе пушек В-Я. В этой дивизии хорошо освоили эксплуатацию пушек В-Я со своей стороны в инициативном порядке делают ценные предложения, проверяя некоторые из них в виде опытов на отдельных самолетах. Особенно ценным является предложение 47АД о сборе стреляных гильз пушек В-Я в специальные гильзособиратели. До сих пор стреляные гильзы автоматически выбрасываются наружу. Установка таких гильзособирателей на ИЛ-2 никаких затруднений не вызывает, т.к. конструкция гильзособирателя представляет собой обычный выбитый по сфере лист обшивки в нижней части крыльев самолета. Выступая своей выпуклой частью от плоскости, гильзособиратели незначительно понижают скорость самолета.</w:t>
      </w:r>
    </w:p>
    <w:p w14:paraId="322B46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полученным в 47 АД на нескольких самолетах с установленными в дивизии гильзособирателями, потеря скорости самолета не превышает 3-5 км/час, что практически является совершенно не существенной величиной.</w:t>
      </w:r>
    </w:p>
    <w:p w14:paraId="412C17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 результате только одного боевого вылета самолета (при расстреле им всех патронов) в двух гильзособирателях останется 63 кг латунных гильз, чистого дефицитного металла. Несколько тонн гильз было собрано в 47АД на трех-четырех штурмовиках за несколько дней их действий.</w:t>
      </w:r>
    </w:p>
    <w:p w14:paraId="5397FA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сих пор наши штурмовики разбрасывают по полям сражений дефицитный металл, не только не доставляя этим ущерба врагу, но который, возможно, будет им в какой-то части собран и использован. И еще до сих пор наши авиационные заводы продолжают выпускать ИЛ-2 без гильзособирателей, хотя изготовление и установка их настолько просты и дешевы, что с этой стороны не может быть никаких возражений.</w:t>
      </w:r>
    </w:p>
    <w:p w14:paraId="0866E5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интересах экономии государству сотен тонн латуни, идущей на изготовление 23 мм гильз, просим Вас обязать НКАП немедленно приступить к установке гильзособирателей на выпускаемых самолетах ИЛ-2 (2147,4).</w:t>
      </w:r>
    </w:p>
    <w:p w14:paraId="6E72B6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287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руководство эвакуированного из Воронежа в Куйбы</w:t>
      </w:r>
      <w:r w:rsidRPr="008127F8">
        <w:rPr>
          <w:rFonts w:ascii="Times New Roman" w:hAnsi="Times New Roman"/>
          <w:color w:val="000000" w:themeColor="text1"/>
          <w:sz w:val="16"/>
          <w:szCs w:val="16"/>
        </w:rPr>
        <w:softHyphen/>
        <w:t>шев авиазавода № 18 констатировало, что «пока» ему неиз</w:t>
      </w:r>
      <w:r w:rsidRPr="008127F8">
        <w:rPr>
          <w:rFonts w:ascii="Times New Roman" w:hAnsi="Times New Roman"/>
          <w:color w:val="000000" w:themeColor="text1"/>
          <w:sz w:val="16"/>
          <w:szCs w:val="16"/>
        </w:rPr>
        <w:softHyphen/>
        <w:t>вестны поставщики полуфабрикатов и комплектующих</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iCs/>
          <w:color w:val="000000" w:themeColor="text1"/>
          <w:sz w:val="16"/>
          <w:szCs w:val="16"/>
        </w:rPr>
        <w:t>Захарченко А.В.</w:t>
      </w:r>
      <w:r w:rsidRPr="008127F8">
        <w:rPr>
          <w:rFonts w:ascii="Times New Roman" w:hAnsi="Times New Roman"/>
          <w:color w:val="000000" w:themeColor="text1"/>
          <w:sz w:val="16"/>
          <w:szCs w:val="16"/>
        </w:rPr>
        <w:t xml:space="preserve"> Формирование авиапромышленного комплекса в По</w:t>
      </w:r>
      <w:r w:rsidRPr="008127F8">
        <w:rPr>
          <w:rFonts w:ascii="Times New Roman" w:hAnsi="Times New Roman"/>
          <w:color w:val="000000" w:themeColor="text1"/>
          <w:sz w:val="16"/>
          <w:szCs w:val="16"/>
        </w:rPr>
        <w:softHyphen/>
        <w:t>волжье накануне и в годы Великой Отечественной войны (1940—1942</w:t>
      </w:r>
      <w:r w:rsidRPr="008127F8">
        <w:rPr>
          <w:rFonts w:ascii="Times New Roman" w:hAnsi="Times New Roman"/>
          <w:smallCaps/>
          <w:color w:val="000000" w:themeColor="text1"/>
          <w:sz w:val="16"/>
          <w:szCs w:val="16"/>
          <w:lang w:val="en-US"/>
        </w:rPr>
        <w:t>it</w:t>
      </w:r>
      <w:r w:rsidRPr="008127F8">
        <w:rPr>
          <w:rFonts w:ascii="Times New Roman" w:hAnsi="Times New Roman"/>
          <w:smallCaps/>
          <w:color w:val="000000" w:themeColor="text1"/>
          <w:sz w:val="16"/>
          <w:szCs w:val="16"/>
        </w:rPr>
        <w:t xml:space="preserve">.). </w:t>
      </w:r>
      <w:r w:rsidRPr="008127F8">
        <w:rPr>
          <w:rFonts w:ascii="Times New Roman" w:hAnsi="Times New Roman"/>
          <w:color w:val="000000" w:themeColor="text1"/>
          <w:sz w:val="16"/>
          <w:szCs w:val="16"/>
        </w:rPr>
        <w:t>Самара, 2004. С. 16) (12011).</w:t>
      </w:r>
    </w:p>
    <w:p w14:paraId="2A7670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B68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летнотехнический состав 47-й сад, творчески развивая требова</w:t>
      </w:r>
      <w:r w:rsidRPr="008127F8">
        <w:rPr>
          <w:rFonts w:ascii="Times New Roman" w:hAnsi="Times New Roman"/>
          <w:color w:val="000000" w:themeColor="text1"/>
          <w:sz w:val="16"/>
          <w:szCs w:val="16"/>
        </w:rPr>
        <w:softHyphen/>
        <w:t>ния приказа по ВВС КА от 6 октября 1941 г. об организа</w:t>
      </w:r>
      <w:r w:rsidRPr="008127F8">
        <w:rPr>
          <w:rFonts w:ascii="Times New Roman" w:hAnsi="Times New Roman"/>
          <w:color w:val="000000" w:themeColor="text1"/>
          <w:sz w:val="16"/>
          <w:szCs w:val="16"/>
        </w:rPr>
        <w:softHyphen/>
        <w:t>ции сбора стреляных латун</w:t>
      </w:r>
      <w:r w:rsidRPr="008127F8">
        <w:rPr>
          <w:rFonts w:ascii="Times New Roman" w:hAnsi="Times New Roman"/>
          <w:color w:val="000000" w:themeColor="text1"/>
          <w:sz w:val="16"/>
          <w:szCs w:val="16"/>
        </w:rPr>
        <w:softHyphen/>
        <w:t>ных гильз, на всех Ил-2 диви</w:t>
      </w:r>
      <w:r w:rsidRPr="008127F8">
        <w:rPr>
          <w:rFonts w:ascii="Times New Roman" w:hAnsi="Times New Roman"/>
          <w:color w:val="000000" w:themeColor="text1"/>
          <w:sz w:val="16"/>
          <w:szCs w:val="16"/>
        </w:rPr>
        <w:softHyphen/>
        <w:t>зии, вооруженных пушками ВЯ-23, установили специаль</w:t>
      </w:r>
      <w:r w:rsidRPr="008127F8">
        <w:rPr>
          <w:rFonts w:ascii="Times New Roman" w:hAnsi="Times New Roman"/>
          <w:color w:val="000000" w:themeColor="text1"/>
          <w:sz w:val="16"/>
          <w:szCs w:val="16"/>
        </w:rPr>
        <w:softHyphen/>
        <w:t>ные гильзособиратели, изго</w:t>
      </w:r>
      <w:r w:rsidRPr="008127F8">
        <w:rPr>
          <w:rFonts w:ascii="Times New Roman" w:hAnsi="Times New Roman"/>
          <w:color w:val="000000" w:themeColor="text1"/>
          <w:sz w:val="16"/>
          <w:szCs w:val="16"/>
        </w:rPr>
        <w:softHyphen/>
        <w:t>товленные местными умель</w:t>
      </w:r>
      <w:r w:rsidRPr="008127F8">
        <w:rPr>
          <w:rFonts w:ascii="Times New Roman" w:hAnsi="Times New Roman"/>
          <w:color w:val="000000" w:themeColor="text1"/>
          <w:sz w:val="16"/>
          <w:szCs w:val="16"/>
        </w:rPr>
        <w:softHyphen/>
        <w:t>цами. Конструкция гильзосо-бирателя представляла собой обычный выбитый лист об</w:t>
      </w:r>
      <w:r w:rsidRPr="008127F8">
        <w:rPr>
          <w:rFonts w:ascii="Times New Roman" w:hAnsi="Times New Roman"/>
          <w:color w:val="000000" w:themeColor="text1"/>
          <w:sz w:val="16"/>
          <w:szCs w:val="16"/>
        </w:rPr>
        <w:softHyphen/>
        <w:t xml:space="preserve">шивки в нижней части плоскостей крыла. Выступая своей выпуклой частью от готоско </w:t>
      </w:r>
      <w:proofErr w:type="gramStart"/>
      <w:r w:rsidRPr="008127F8">
        <w:rPr>
          <w:rFonts w:ascii="Times New Roman" w:hAnsi="Times New Roman"/>
          <w:color w:val="000000" w:themeColor="text1"/>
          <w:sz w:val="16"/>
          <w:szCs w:val="16"/>
        </w:rPr>
        <w:t>сти</w:t>
      </w:r>
      <w:proofErr w:type="gramEnd"/>
      <w:r w:rsidRPr="008127F8">
        <w:rPr>
          <w:rFonts w:ascii="Times New Roman" w:hAnsi="Times New Roman"/>
          <w:color w:val="000000" w:themeColor="text1"/>
          <w:sz w:val="16"/>
          <w:szCs w:val="16"/>
        </w:rPr>
        <w:t xml:space="preserve"> крыла, гильзособиратели снижали скорость полета самоле</w:t>
      </w:r>
      <w:r w:rsidRPr="008127F8">
        <w:rPr>
          <w:rFonts w:ascii="Times New Roman" w:hAnsi="Times New Roman"/>
          <w:color w:val="000000" w:themeColor="text1"/>
          <w:sz w:val="16"/>
          <w:szCs w:val="16"/>
        </w:rPr>
        <w:softHyphen/>
        <w:t>та на 3—5 км/ч (по данным 47-й сад), зато после каждого бое</w:t>
      </w:r>
      <w:r w:rsidRPr="008127F8">
        <w:rPr>
          <w:rFonts w:ascii="Times New Roman" w:hAnsi="Times New Roman"/>
          <w:color w:val="000000" w:themeColor="text1"/>
          <w:sz w:val="16"/>
          <w:szCs w:val="16"/>
        </w:rPr>
        <w:softHyphen/>
        <w:t>вого вылета техники выгребали из них 63 кг латунных гильз — дефицитного цветного металла.</w:t>
      </w:r>
    </w:p>
    <w:p w14:paraId="5C96DA1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главный конструктор штурмовика С.В. Ильюшин выступил против установки на Ил-2 гильзособирателей по образ</w:t>
      </w:r>
      <w:r w:rsidRPr="008127F8">
        <w:rPr>
          <w:rFonts w:ascii="Times New Roman" w:hAnsi="Times New Roman"/>
          <w:color w:val="000000" w:themeColor="text1"/>
          <w:sz w:val="16"/>
          <w:szCs w:val="16"/>
        </w:rPr>
        <w:softHyphen/>
        <w:t>цу 47-й сад, обосновывая свою позицию снижением в этом слу</w:t>
      </w:r>
      <w:r w:rsidRPr="008127F8">
        <w:rPr>
          <w:rFonts w:ascii="Times New Roman" w:hAnsi="Times New Roman"/>
          <w:color w:val="000000" w:themeColor="text1"/>
          <w:sz w:val="16"/>
          <w:szCs w:val="16"/>
        </w:rPr>
        <w:softHyphen/>
        <w:t>чае скорости полета самолета.</w:t>
      </w:r>
    </w:p>
    <w:p w14:paraId="223A446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связи 1 апреля 1942 г. авторы пушки ВЯ-23 А.А. Вол</w:t>
      </w:r>
      <w:r w:rsidRPr="008127F8">
        <w:rPr>
          <w:rFonts w:ascii="Times New Roman" w:hAnsi="Times New Roman"/>
          <w:color w:val="000000" w:themeColor="text1"/>
          <w:sz w:val="16"/>
          <w:szCs w:val="16"/>
        </w:rPr>
        <w:softHyphen/>
        <w:t>ков и С.А. Ярцев обратились к секретарю ЦК ВКП(б) Г.М. Ма</w:t>
      </w:r>
      <w:r w:rsidRPr="008127F8">
        <w:rPr>
          <w:rFonts w:ascii="Times New Roman" w:hAnsi="Times New Roman"/>
          <w:color w:val="000000" w:themeColor="text1"/>
          <w:sz w:val="16"/>
          <w:szCs w:val="16"/>
        </w:rPr>
        <w:softHyphen/>
        <w:t>ленкову с письмом, в котором писали: «...До сих пор наши штурмовики разбрасывают по полям сражений дефицитный металл... И еще до сих пор наши авиационные заводы продол</w:t>
      </w:r>
      <w:r w:rsidRPr="008127F8">
        <w:rPr>
          <w:rFonts w:ascii="Times New Roman" w:hAnsi="Times New Roman"/>
          <w:color w:val="000000" w:themeColor="text1"/>
          <w:sz w:val="16"/>
          <w:szCs w:val="16"/>
        </w:rPr>
        <w:softHyphen/>
        <w:t>жают выпускать самолеты Ил-2 без гильзособирателей, хотя изготовление и установка их настолько просты и дешевы, что с этой стороны не может быть никаких возражений.</w:t>
      </w:r>
    </w:p>
    <w:p w14:paraId="305E1F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интересах экономии государству сотен тонн латуни, иду</w:t>
      </w:r>
      <w:r w:rsidRPr="008127F8">
        <w:rPr>
          <w:rFonts w:ascii="Times New Roman" w:hAnsi="Times New Roman"/>
          <w:color w:val="000000" w:themeColor="text1"/>
          <w:sz w:val="16"/>
          <w:szCs w:val="16"/>
        </w:rPr>
        <w:softHyphen/>
        <w:t>щей на изготовление 23 мм гильз, просим Вас обязать НКАП немедленно приступить к установке гильзособирателей на вы</w:t>
      </w:r>
      <w:r w:rsidRPr="008127F8">
        <w:rPr>
          <w:rFonts w:ascii="Times New Roman" w:hAnsi="Times New Roman"/>
          <w:color w:val="000000" w:themeColor="text1"/>
          <w:sz w:val="16"/>
          <w:szCs w:val="16"/>
        </w:rPr>
        <w:softHyphen/>
        <w:t>пускаемых самолетах Ил-2...»</w:t>
      </w:r>
    </w:p>
    <w:p w14:paraId="25F59CF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к Г.М. Маленкову с аналогичной просьбой обратился и главный инженер ВВС КА генерал А.К. Репин. В письме от 5 мая 1942 г. он указывал: «...Конструктор тов. Ильюшин катего</w:t>
      </w:r>
      <w:r w:rsidRPr="008127F8">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8127F8">
        <w:rPr>
          <w:rFonts w:ascii="Times New Roman" w:hAnsi="Times New Roman"/>
          <w:color w:val="000000" w:themeColor="text1"/>
          <w:sz w:val="16"/>
          <w:szCs w:val="16"/>
        </w:rPr>
        <w:softHyphen/>
        <w:t>на установить гильзособиратели на самолетах Ил-2, так как толь</w:t>
      </w:r>
      <w:r w:rsidRPr="008127F8">
        <w:rPr>
          <w:rFonts w:ascii="Times New Roman" w:hAnsi="Times New Roman"/>
          <w:color w:val="000000" w:themeColor="text1"/>
          <w:sz w:val="16"/>
          <w:szCs w:val="16"/>
        </w:rPr>
        <w:softHyphen/>
        <w:t xml:space="preserve">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w:t>
      </w:r>
      <w:proofErr w:type="gramStart"/>
      <w:r w:rsidRPr="008127F8">
        <w:rPr>
          <w:rFonts w:ascii="Times New Roman" w:hAnsi="Times New Roman"/>
          <w:color w:val="000000" w:themeColor="text1"/>
          <w:sz w:val="16"/>
          <w:szCs w:val="16"/>
        </w:rPr>
        <w:t>самолето-вылета</w:t>
      </w:r>
      <w:proofErr w:type="gramEnd"/>
      <w:r w:rsidRPr="008127F8">
        <w:rPr>
          <w:rFonts w:ascii="Times New Roman" w:hAnsi="Times New Roman"/>
          <w:color w:val="000000" w:themeColor="text1"/>
          <w:sz w:val="16"/>
          <w:szCs w:val="16"/>
        </w:rPr>
        <w:t xml:space="preserve"> в день, то для полка (20 самолетов) еже</w:t>
      </w:r>
      <w:r w:rsidRPr="008127F8">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5A926AE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3E1BA68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FC8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w:t>
      </w:r>
      <w:proofErr w:type="gramStart"/>
      <w:r w:rsidRPr="008127F8">
        <w:rPr>
          <w:rFonts w:ascii="Times New Roman" w:hAnsi="Times New Roman"/>
          <w:color w:val="000000" w:themeColor="text1"/>
          <w:sz w:val="16"/>
          <w:szCs w:val="16"/>
        </w:rPr>
        <w:t>У-2</w:t>
      </w:r>
      <w:proofErr w:type="gramEnd"/>
      <w:r w:rsidRPr="008127F8">
        <w:rPr>
          <w:rFonts w:ascii="Times New Roman" w:hAnsi="Times New Roman"/>
          <w:color w:val="000000" w:themeColor="text1"/>
          <w:sz w:val="16"/>
          <w:szCs w:val="16"/>
        </w:rPr>
        <w:t xml:space="preserve">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4F5853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0A8E9B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ГКО завод № 450 (коллектив и оборудование) был эвакуирован в Пензу и влился в коллектив завода № 163. 12 апреля 1943 года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1BE199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38BC48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2A3820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хвостовая часть фюзеляжа;</w:t>
      </w:r>
    </w:p>
    <w:p w14:paraId="464712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оперение;</w:t>
      </w:r>
    </w:p>
    <w:p w14:paraId="2FA73E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E0414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w:t>
      </w:r>
      <w:r w:rsidRPr="008127F8">
        <w:rPr>
          <w:rFonts w:ascii="Times New Roman" w:hAnsi="Times New Roman"/>
          <w:color w:val="000000" w:themeColor="text1"/>
          <w:sz w:val="16"/>
          <w:szCs w:val="16"/>
        </w:rPr>
        <w:lastRenderedPageBreak/>
        <w:t>самолетов Ил-28.</w:t>
      </w:r>
    </w:p>
    <w:p w14:paraId="3D889B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3CC58A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016EAF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0E57B3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Белявский</w:t>
      </w:r>
    </w:p>
    <w:p w14:paraId="5584B2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самолет Ан-10 конструкции Антонова</w:t>
      </w:r>
    </w:p>
    <w:p w14:paraId="5EB3A3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Характеристика аэродрома завода</w:t>
      </w:r>
    </w:p>
    <w:p w14:paraId="2C8C9F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9CB47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CE58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вышел бюллетень главного инженера ВВС КА, запретивший совмещать 82-мм и 132-мм ракетные системы на штур</w:t>
      </w:r>
      <w:r w:rsidRPr="008127F8">
        <w:rPr>
          <w:rFonts w:ascii="Times New Roman" w:hAnsi="Times New Roman"/>
          <w:color w:val="000000" w:themeColor="text1"/>
          <w:sz w:val="16"/>
          <w:szCs w:val="16"/>
        </w:rPr>
        <w:softHyphen/>
        <w:t>мовиках. В частности, в нем речь шла только об Ил-2, а также указыва</w:t>
      </w:r>
      <w:r w:rsidRPr="008127F8">
        <w:rPr>
          <w:rFonts w:ascii="Times New Roman" w:hAnsi="Times New Roman"/>
          <w:color w:val="000000" w:themeColor="text1"/>
          <w:sz w:val="16"/>
          <w:szCs w:val="16"/>
        </w:rPr>
        <w:softHyphen/>
        <w:t>лась причина — нехватка в авиации пультов ЭСБР-3 системы управления огнем. Дело в том, что комбинирование реактивных систем на борту тре</w:t>
      </w:r>
      <w:r w:rsidRPr="008127F8">
        <w:rPr>
          <w:rFonts w:ascii="Times New Roman" w:hAnsi="Times New Roman"/>
          <w:color w:val="000000" w:themeColor="text1"/>
          <w:sz w:val="16"/>
          <w:szCs w:val="16"/>
        </w:rPr>
        <w:softHyphen/>
        <w:t>бовала установки двух сбрасывателей ЭСБР-3 для организации огня РС разных калибров. Плюс еще такой же пульт для сбрасывания авиабомб. Между тем три одинаковых пульта в кабине требовали от пилота опреде</w:t>
      </w:r>
      <w:r w:rsidRPr="008127F8">
        <w:rPr>
          <w:rFonts w:ascii="Times New Roman" w:hAnsi="Times New Roman"/>
          <w:color w:val="000000" w:themeColor="text1"/>
          <w:sz w:val="16"/>
          <w:szCs w:val="16"/>
        </w:rPr>
        <w:softHyphen/>
        <w:t>ленной доли виртуозности, чтобы выбрать нужный и не перепутать (11402).</w:t>
      </w:r>
    </w:p>
    <w:p w14:paraId="307DDE0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BB4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 (в соответствии с постановлениями ГКО № 1149 от 14.01.1942 г. и от 25.01.1942 г.) на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w:t>
      </w:r>
      <w:proofErr w:type="gramStart"/>
      <w:r w:rsidRPr="008127F8">
        <w:rPr>
          <w:rFonts w:ascii="Times New Roman" w:hAnsi="Times New Roman"/>
          <w:color w:val="000000" w:themeColor="text1"/>
          <w:sz w:val="16"/>
          <w:szCs w:val="16"/>
        </w:rPr>
        <w:t>125190  г.</w:t>
      </w:r>
      <w:proofErr w:type="gramEnd"/>
      <w:r w:rsidRPr="008127F8">
        <w:rPr>
          <w:rFonts w:ascii="Times New Roman" w:hAnsi="Times New Roman"/>
          <w:color w:val="000000" w:themeColor="text1"/>
          <w:sz w:val="16"/>
          <w:szCs w:val="16"/>
        </w:rPr>
        <w:t xml:space="preserve"> Москва 1-й Боткинский пр., 7 тел. 252-81-41,207-04-76/) началось освоение выпуска Ил-2.</w:t>
      </w:r>
    </w:p>
    <w:p w14:paraId="26F8D8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декабря 1941 г. приказом № 1169сс и приказом № 1170сс от 18.12.1941 г. в соответствии с пост. ГКО № 1038сс от 17 декабря 1941 г. на территории эвакуированного завода № 1 НКАП для производства Як-1 был организован новый завод № 30. Новый завод комплектовался оборудованием с завода № 1 НКАП, кадрами с заводов № 292, № 31, № 21 и др. Для скорейшего ввода в строй в его состав переданы мощности: часть кадров и оборудования завода № 135 (по приказу № 79сс от 26.01.1942 г.), часть мощностей заводов № 450 и № 240, оборудование с заводов № 1 Оргавиапрома, № 35, № 24. Сюда передана часть оборудования и личного состава эвакуированного завода № 30 из Подберезья.</w:t>
      </w:r>
    </w:p>
    <w:p w14:paraId="339F59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2374 от 5.10.1942 г. запущен в серию двухместный Ил-2 с двигателем АМ-38. К концу октября завод должен был выпустить 60 машин. Пост. ГКО № 3144 от 8.04.1943 г. на заводе был запущен в серию двухместный Ил-2 с двумя пушками НС-37. В 05.1943 г. завод должн был выпустить 50 новых машин. Пост. ГКО № 4554 от 12.11.1943 г. заводу предписано перейти на выпуск Ил-2 с пушками ВЯ вместо НС-37. 3.04.1944 г. вышло постановление ГКО № 5526 об ускорении производства Ил-2 с металлическими крыльями на заводе.</w:t>
      </w:r>
    </w:p>
    <w:p w14:paraId="034794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1942 г. при заводе действовали два филиала. Филиал № 1 завода № 30 - бывший цех ширпотреба завода № 1 по пер. Авиационному (на 1946 г.- ул. Красноармейская). По приказу № 319с от 26.04.1942 г. филиал № 1 некоторое время находился в подчинении нового завода № 134 НКАП. Далее планировалось передать с 1.09.1945 г. филиал в ведение завода № 240. Но по приказу НКАП № 6с от 11.01.1946 г. филиал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6C2B3A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627с от 13.08.1942 г. деревообрабатывающие цеха завода № 169 </w:t>
      </w:r>
      <w:r w:rsidRPr="008127F8">
        <w:rPr>
          <w:rFonts w:ascii="Times New Roman" w:hAnsi="Times New Roman"/>
          <w:color w:val="000000" w:themeColor="text1"/>
          <w:sz w:val="16"/>
          <w:szCs w:val="16"/>
          <w:lang w:val="en-US"/>
        </w:rPr>
        <w:t>HKAII</w:t>
      </w:r>
      <w:r w:rsidRPr="008127F8">
        <w:rPr>
          <w:rFonts w:ascii="Times New Roman" w:hAnsi="Times New Roman"/>
          <w:color w:val="000000" w:themeColor="text1"/>
          <w:sz w:val="16"/>
          <w:szCs w:val="16"/>
        </w:rPr>
        <w:t xml:space="preserve"> (бывшая мебельная фабрика № 3 НКлеса) переданы в качестве филиала № 2 заводу № 30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w:t>
      </w:r>
    </w:p>
    <w:p w14:paraId="516768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499с от 31.12.1945 г. заводу была передана часть оборудования и личного состава расформированного завода № 261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В. Нейвинск).</w:t>
      </w:r>
    </w:p>
    <w:p w14:paraId="071346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производство военных самолетов прекращено. Большинство цехов выпускало гражданскую продукцию: керосинки, посуду, газовые плиты, холодильники. Предприятие выполняло большие заказы по восстановлению паровозов, троллейбусов. Авиационное производство ограничивалось переделкой С-47 в пассажирский вариант ПС-84, производством шасси для ПС-84, деталей для Ту-2 и Ил-2. Велась подготовка к выпуску Ли-2П и Ил-12.</w:t>
      </w:r>
    </w:p>
    <w:p w14:paraId="098E48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на заводе организовано представительство ОКБ Ильюшина (представители: (1946 г.-)- А.П. Наумов, (1948-49 г.)- В.П. </w:t>
      </w:r>
      <w:proofErr w:type="gramStart"/>
      <w:r w:rsidRPr="008127F8">
        <w:rPr>
          <w:rFonts w:ascii="Times New Roman" w:hAnsi="Times New Roman"/>
          <w:color w:val="000000" w:themeColor="text1"/>
          <w:sz w:val="16"/>
          <w:szCs w:val="16"/>
        </w:rPr>
        <w:t>Яценко,С.М.</w:t>
      </w:r>
      <w:proofErr w:type="gramEnd"/>
      <w:r w:rsidRPr="008127F8">
        <w:rPr>
          <w:rFonts w:ascii="Times New Roman" w:hAnsi="Times New Roman"/>
          <w:color w:val="000000" w:themeColor="text1"/>
          <w:sz w:val="16"/>
          <w:szCs w:val="16"/>
        </w:rPr>
        <w:t xml:space="preserve"> Громов, (1957 г.)- Б.П. Чирков, Н. Г. Папковская).</w:t>
      </w:r>
    </w:p>
    <w:p w14:paraId="328DE5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середины 1946 г. заводом временно использовалась территория по Хорошевскому шоссе (Октябрьское поле), принадлежавшая Всесоюзному институту экспериментальной медицины. По приказу № 351сс от 5.06.1946 г. территория со всеми сооружениями передана Лаборатории № 2 АН.</w:t>
      </w:r>
    </w:p>
    <w:p w14:paraId="089FE2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5223-1994сс от 14.11.1949 г. и приказом МАП № 913с от 17.04.1949 г. в состав завода № 30 с 1.10.1949 г. влит Московский Завод № 381 МАП, располагавшийся рядом, для обеспечения производства Ил-28.</w:t>
      </w:r>
    </w:p>
    <w:p w14:paraId="78D247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заводе совместно с заводом «Каучук» построен стратостат «СССР-1», в 1953 г. на нем установлен рекорд высоты подъема.</w:t>
      </w:r>
    </w:p>
    <w:p w14:paraId="361E9C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 от 21.07.1950 г. на заводе начат серийный выпуск Ил-28У, по решению правительства от 8.12.1951 г. - Ил-28Р.</w:t>
      </w:r>
    </w:p>
    <w:p w14:paraId="4F7428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16-10 от 5.01.1956 г. выпущена войсковая серия бомбардировщика Як-26.</w:t>
      </w:r>
    </w:p>
    <w:p w14:paraId="365385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299-118 от 11.04.1964 г. на заводе начато освоение производства МиГ-21У.</w:t>
      </w:r>
    </w:p>
    <w:p w14:paraId="3D4505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Изготавливал комплектующие для ОК «Буран».</w:t>
      </w:r>
    </w:p>
    <w:p w14:paraId="1BFA62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1957 г. находился в ведении ЮГУ МАП. В соответствии с пост. СМ СССР № 713-342 от 26.06.1957 г. передан в ведение Управления агрегатостроения МосгорСНХ РСФСР. До 1963 г. имел открытое наименование «п/я 2402», затем - «А-1122». В 1963 г. завод № 30 переименован в ММЗ «Знамя труда». В 1965 г. завод передан в ведение 6ГУ МАП. В 1974 г. на базе ММЗ «Знамя труда» организовано Московское авиационное ПО им. П.В. Дементьева.</w:t>
      </w:r>
    </w:p>
    <w:p w14:paraId="6FB01A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распоряжением Правительства РФ от 05.1995 г. в 1996 г. объединены МАПО им. П.В. Дементьева и АНПК «МиГ» им. А.И. Микояна, образовав Московское авиационное производственно-научное объединение (МАПНО) «МИГ» (МАПО «МиГ»), в которое вошло также ОКБ Камова. В конце 1999 г. МАЛО было преобразовано в РСК «МиГ».</w:t>
      </w:r>
    </w:p>
    <w:p w14:paraId="51E9BC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(09.1943 г.)- Смирнов, (02.1945 г.)- Ф. Г. Нестеров, (1946-82 г.-)- П.А. Воронин. Гендиректор (1994- 95 г.)- В. Кузьмин.</w:t>
      </w:r>
    </w:p>
    <w:p w14:paraId="0EEF11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(2000 г.)- О. Чуканцев.</w:t>
      </w:r>
    </w:p>
    <w:p w14:paraId="0482C6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производству (2000 г.)- О. Чуканцев.</w:t>
      </w:r>
    </w:p>
    <w:p w14:paraId="27FA14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(2000 г.)- Н.Ф. Никитин.</w:t>
      </w:r>
    </w:p>
    <w:p w14:paraId="3FF8FB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П.В. Дементьев.</w:t>
      </w:r>
    </w:p>
    <w:p w14:paraId="4DC714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(1948 г.)- Усиков.</w:t>
      </w:r>
    </w:p>
    <w:p w14:paraId="696E3C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самолеты: Ил-2 (1942-45)- 8865, Ил-12 (1946-49)- 663, Ил-28 (1948-55), Ил-14 (1954-58), Як- 26 (1956)- 10, Ил-18 (1957-69)-564, Су-9 (1959-61)- 176, МиГ-21 (1964-74), МиГ-21У (1964-), Ил-38 (1965(7)-72)- 65, МиГ-23С (1969-70)- 50, МиГ-29, МиГ-29К (1988)- 2, Ил-114, Т-101, «Авиатика» МАИ-890, Ил-103, МиГ-АТ (11982).</w:t>
      </w:r>
    </w:p>
    <w:p w14:paraId="45084B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D87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я вылетел в район железнодорожной станции «Смо</w:t>
      </w:r>
      <w:r w:rsidRPr="008127F8">
        <w:rPr>
          <w:rFonts w:ascii="Times New Roman" w:hAnsi="Times New Roman"/>
          <w:color w:val="000000" w:themeColor="text1"/>
          <w:sz w:val="16"/>
          <w:szCs w:val="16"/>
        </w:rPr>
        <w:softHyphen/>
        <w:t>ленск-товарная». Погода была неважная, и я не взял с собой ведомого. Станция была забита грузовыми составами, которые я обработал фугас</w:t>
      </w:r>
      <w:r w:rsidRPr="008127F8">
        <w:rPr>
          <w:rFonts w:ascii="Times New Roman" w:hAnsi="Times New Roman"/>
          <w:color w:val="000000" w:themeColor="text1"/>
          <w:sz w:val="16"/>
          <w:szCs w:val="16"/>
        </w:rPr>
        <w:softHyphen/>
        <w:t>ными авиабомбами (6x100). После облета города в поисках целей вышел на шоссе Смоленск-Вязьма. Здесь я заметил небольшую автоколонну из 4-5 легковых автомобилей, которую возглавляли и замыкали броне</w:t>
      </w:r>
      <w:r w:rsidRPr="008127F8">
        <w:rPr>
          <w:rFonts w:ascii="Times New Roman" w:hAnsi="Times New Roman"/>
          <w:color w:val="000000" w:themeColor="text1"/>
          <w:sz w:val="16"/>
          <w:szCs w:val="16"/>
        </w:rPr>
        <w:softHyphen/>
        <w:t>транспортеры. Любому ясно, что в легковушках простых солдат не возят, тем более в сопровождении такого эскорта. Беспечность конвоя объяс</w:t>
      </w:r>
      <w:r w:rsidRPr="008127F8">
        <w:rPr>
          <w:rFonts w:ascii="Times New Roman" w:hAnsi="Times New Roman"/>
          <w:color w:val="000000" w:themeColor="text1"/>
          <w:sz w:val="16"/>
          <w:szCs w:val="16"/>
        </w:rPr>
        <w:softHyphen/>
        <w:t>нялась тем, что дело происходило в относительно глубоком тылу против</w:t>
      </w:r>
      <w:r w:rsidRPr="008127F8">
        <w:rPr>
          <w:rFonts w:ascii="Times New Roman" w:hAnsi="Times New Roman"/>
          <w:color w:val="000000" w:themeColor="text1"/>
          <w:sz w:val="16"/>
          <w:szCs w:val="16"/>
        </w:rPr>
        <w:softHyphen/>
        <w:t xml:space="preserve">ника. Атака была </w:t>
      </w:r>
      <w:r w:rsidRPr="008127F8">
        <w:rPr>
          <w:rFonts w:ascii="Times New Roman" w:hAnsi="Times New Roman"/>
          <w:color w:val="000000" w:themeColor="text1"/>
          <w:sz w:val="16"/>
          <w:szCs w:val="16"/>
        </w:rPr>
        <w:lastRenderedPageBreak/>
        <w:t>внезапной и скоротечной, а звук приближающегося са</w:t>
      </w:r>
      <w:r w:rsidRPr="008127F8">
        <w:rPr>
          <w:rFonts w:ascii="Times New Roman" w:hAnsi="Times New Roman"/>
          <w:color w:val="000000" w:themeColor="text1"/>
          <w:sz w:val="16"/>
          <w:szCs w:val="16"/>
        </w:rPr>
        <w:softHyphen/>
        <w:t>молета скрадывался для противника гулом двигателей собственных авто</w:t>
      </w:r>
      <w:r w:rsidRPr="008127F8">
        <w:rPr>
          <w:rFonts w:ascii="Times New Roman" w:hAnsi="Times New Roman"/>
          <w:color w:val="000000" w:themeColor="text1"/>
          <w:sz w:val="16"/>
          <w:szCs w:val="16"/>
        </w:rPr>
        <w:softHyphen/>
        <w:t>мобилей.</w:t>
      </w:r>
    </w:p>
    <w:p w14:paraId="3B53C8B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зашел на колонну сзади и «обработал» легковые машины реактив</w:t>
      </w:r>
      <w:r w:rsidRPr="008127F8">
        <w:rPr>
          <w:rFonts w:ascii="Times New Roman" w:hAnsi="Times New Roman"/>
          <w:color w:val="000000" w:themeColor="text1"/>
          <w:sz w:val="16"/>
          <w:szCs w:val="16"/>
        </w:rPr>
        <w:softHyphen/>
        <w:t>ными снарядами, а также из пушек и пулеметов. Точку прицеливания выбирал таким образом, чтобы осколочные РС попадали под машины, которые подбрасывало взрывной волной, и они начинали разваливаться прямо в полете. На шоссе сыпались пассажиры и обломки автомобилей. Эскорт остался, а легковушки с пассажирами были уничтожены. Впос</w:t>
      </w:r>
      <w:r w:rsidRPr="008127F8">
        <w:rPr>
          <w:rFonts w:ascii="Times New Roman" w:hAnsi="Times New Roman"/>
          <w:color w:val="000000" w:themeColor="text1"/>
          <w:sz w:val="16"/>
          <w:szCs w:val="16"/>
        </w:rPr>
        <w:softHyphen/>
        <w:t>ледствии через партизан дошли сведения о том, как сами немцы оцени</w:t>
      </w:r>
      <w:r w:rsidRPr="008127F8">
        <w:rPr>
          <w:rFonts w:ascii="Times New Roman" w:hAnsi="Times New Roman"/>
          <w:color w:val="000000" w:themeColor="text1"/>
          <w:sz w:val="16"/>
          <w:szCs w:val="16"/>
        </w:rPr>
        <w:softHyphen/>
        <w:t>ли подобную вылазку. Смысл был таким, что какой-то «русский возлуш-ный пират» расстрелял группу высокопоставленных штабных офице</w:t>
      </w:r>
      <w:r w:rsidRPr="008127F8">
        <w:rPr>
          <w:rFonts w:ascii="Times New Roman" w:hAnsi="Times New Roman"/>
          <w:color w:val="000000" w:themeColor="text1"/>
          <w:sz w:val="16"/>
          <w:szCs w:val="16"/>
        </w:rPr>
        <w:softHyphen/>
        <w:t>ров». Вот достойный пример точной прицельной стрельбы одиночными РС с коротких дистанций».</w:t>
      </w:r>
    </w:p>
    <w:p w14:paraId="1847C3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время в ходе Корсунь-Шевченковской операции погода была отвратительной, поэтому авиацию применяли ограниченно и малыми группами. В разгар боев немцы убедились, что их войскам не вырваться из окружения, поэтому стали не столько снабжать окруженную группи</w:t>
      </w:r>
      <w:r w:rsidRPr="008127F8">
        <w:rPr>
          <w:rFonts w:ascii="Times New Roman" w:hAnsi="Times New Roman"/>
          <w:color w:val="000000" w:themeColor="text1"/>
          <w:sz w:val="16"/>
          <w:szCs w:val="16"/>
        </w:rPr>
        <w:softHyphen/>
        <w:t>ровку боеприпасами, сколько вывозить офицерский состав штабов. Мо-лм ведомым был молодой лейтенант Сергей Бабкин. В одном вылете мы с ним сожгли восемь транспортных Ю-52 в первом же заходе с примене</w:t>
      </w:r>
      <w:r w:rsidRPr="008127F8">
        <w:rPr>
          <w:rFonts w:ascii="Times New Roman" w:hAnsi="Times New Roman"/>
          <w:color w:val="000000" w:themeColor="text1"/>
          <w:sz w:val="16"/>
          <w:szCs w:val="16"/>
        </w:rPr>
        <w:softHyphen/>
        <w:t>нием РОФС-132» (11402).</w:t>
      </w:r>
    </w:p>
    <w:p w14:paraId="1413FC1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BA8A5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предло</w:t>
      </w:r>
      <w:r w:rsidRPr="008127F8">
        <w:rPr>
          <w:rFonts w:ascii="Times New Roman" w:hAnsi="Times New Roman"/>
          <w:color w:val="000000" w:themeColor="text1"/>
          <w:sz w:val="16"/>
          <w:szCs w:val="16"/>
        </w:rPr>
        <w:softHyphen/>
        <w:t>жение П.О.С. “для тех</w:t>
      </w:r>
      <w:r w:rsidRPr="008127F8">
        <w:rPr>
          <w:rFonts w:ascii="Times New Roman" w:hAnsi="Times New Roman"/>
          <w:color w:val="000000" w:themeColor="text1"/>
          <w:sz w:val="16"/>
          <w:szCs w:val="16"/>
        </w:rPr>
        <w:softHyphen/>
        <w:t>нологической отработки и тактичес</w:t>
      </w:r>
      <w:r w:rsidRPr="008127F8">
        <w:rPr>
          <w:rFonts w:ascii="Times New Roman" w:hAnsi="Times New Roman"/>
          <w:color w:val="000000" w:themeColor="text1"/>
          <w:sz w:val="16"/>
          <w:szCs w:val="16"/>
        </w:rPr>
        <w:softHyphen/>
        <w:t>кой проверки самолета...построить несколько экземпляров Су-6” продублировал секретарь Молотовского обкома ВКП(б) по авиапромышленности К.Тарасьев (11845).</w:t>
      </w:r>
    </w:p>
    <w:p w14:paraId="585A2E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B71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заводе №126 (г. Комсомольск-на-Амуре) были начаты испытания самолета ДБ-3Ф с 2 М-82 (10686).</w:t>
      </w:r>
    </w:p>
    <w:p w14:paraId="4A3701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0D522" w14:textId="77777777" w:rsidR="00AA6BB1" w:rsidRPr="008127F8" w:rsidRDefault="00AA6BB1" w:rsidP="001E0A84">
      <w:pPr>
        <w:pStyle w:val="a4"/>
        <w:rPr>
          <w:color w:val="000000" w:themeColor="text1"/>
          <w:lang w:val="ru-RU"/>
        </w:rPr>
      </w:pPr>
      <w:r w:rsidRPr="008127F8">
        <w:rPr>
          <w:color w:val="000000" w:themeColor="text1"/>
          <w:lang w:val="ru-RU"/>
        </w:rPr>
        <w:t>В январе 1942 г. на заводе № 126 (г. Комсомольск-на-Амуре) начались испытания са</w:t>
      </w:r>
      <w:r w:rsidRPr="008127F8">
        <w:rPr>
          <w:color w:val="000000" w:themeColor="text1"/>
          <w:lang w:val="ru-RU"/>
        </w:rPr>
        <w:softHyphen/>
        <w:t>молёта ДБ-ЗФ с 2 М-82. В полёте 8 февраля на высоте 6000 м на обоих моторах про</w:t>
      </w:r>
      <w:r w:rsidRPr="008127F8">
        <w:rPr>
          <w:color w:val="000000" w:themeColor="text1"/>
          <w:lang w:val="ru-RU"/>
        </w:rPr>
        <w:softHyphen/>
        <w:t>изошел разрыв петрофлексов откачивающей масломагистрали, идущей от маслопомпы к фетровому фильтру. Вследствие утечки масла оба мотора вышли из строя. После за</w:t>
      </w:r>
      <w:r w:rsidRPr="008127F8">
        <w:rPr>
          <w:color w:val="000000" w:themeColor="text1"/>
          <w:lang w:val="ru-RU"/>
        </w:rPr>
        <w:softHyphen/>
        <w:t>мены моторов испытания продолжили. За исключением выбрасывания масла из суфлё</w:t>
      </w:r>
      <w:r w:rsidRPr="008127F8">
        <w:rPr>
          <w:color w:val="000000" w:themeColor="text1"/>
          <w:lang w:val="ru-RU"/>
        </w:rPr>
        <w:softHyphen/>
        <w:t>ров на высоте выше 4000 м и вышеуказанного разрыва петрофлексов, других дефектов не выявили. Несмотря на большую мощность М-82, его лоб, вес и удельный расход го</w:t>
      </w:r>
      <w:r w:rsidRPr="008127F8">
        <w:rPr>
          <w:color w:val="000000" w:themeColor="text1"/>
          <w:lang w:val="ru-RU"/>
        </w:rPr>
        <w:softHyphen/>
        <w:t>рючего оказались выше, чем у моторов М-88. В результате скорость самолёта не воз</w:t>
      </w:r>
      <w:r w:rsidRPr="008127F8">
        <w:rPr>
          <w:color w:val="000000" w:themeColor="text1"/>
          <w:lang w:val="ru-RU"/>
        </w:rPr>
        <w:softHyphen/>
        <w:t>росла, а дальность полёта уменьшилась. В дальнейшем вопрос о запуске в серию ДБ-ЗФ с М-82 периодически ставился до 1943 г., но серийно он так и не строился.</w:t>
      </w:r>
    </w:p>
    <w:p w14:paraId="270D4781" w14:textId="77777777" w:rsidR="00AA6BB1" w:rsidRPr="008127F8" w:rsidRDefault="00AA6BB1" w:rsidP="001E0A84">
      <w:pPr>
        <w:pStyle w:val="a4"/>
        <w:rPr>
          <w:color w:val="000000" w:themeColor="text1"/>
          <w:lang w:val="ru-RU"/>
        </w:rPr>
      </w:pPr>
      <w:r w:rsidRPr="008127F8">
        <w:rPr>
          <w:color w:val="000000" w:themeColor="text1"/>
          <w:lang w:val="ru-RU"/>
        </w:rPr>
        <w:t>Примерно в это же время начались испытания ТБ-7 с 4 М-82. В первых полётах вы</w:t>
      </w:r>
      <w:r w:rsidRPr="008127F8">
        <w:rPr>
          <w:color w:val="000000" w:themeColor="text1"/>
          <w:lang w:val="ru-RU"/>
        </w:rPr>
        <w:softHyphen/>
        <w:t>явили дефекты: выбрасывание масла из переднего суфлёра, высокие температуры го</w:t>
      </w:r>
      <w:r w:rsidRPr="008127F8">
        <w:rPr>
          <w:color w:val="000000" w:themeColor="text1"/>
          <w:lang w:val="ru-RU"/>
        </w:rPr>
        <w:softHyphen/>
        <w:t>ловок цилиндров, особенно на рулении и взлёте, и высокие температуры масла. Это потребовало проведения многих конструктивных изменений ВМГ, затянувших испытания до лета 1942 г. Не очень успешно пошло дело и у А.Н. Туполева. Первоначально опытный самолёт «103» (будущий Ту-2) построили в 2-х экземплярах с моторами АМ-37 («103», «103У»). 3-й экземпляр в мае 1941 г. по приказу НКАП вместо моторов М-120 решили оснастить моторами М-82. В конце июля 1941 г. ОКБ Туполева перевели из Москвы в Омск на вновь организованный завод № 166, где и надлежало наладить серийный выпуск само</w:t>
      </w:r>
      <w:r w:rsidRPr="008127F8">
        <w:rPr>
          <w:color w:val="000000" w:themeColor="text1"/>
          <w:lang w:val="ru-RU"/>
        </w:rPr>
        <w:softHyphen/>
        <w:t>лётов «103У». Там же к середине ноября 1941 г. и закончили постройку опытного «103В» с 2 М-82 (15788).</w:t>
      </w:r>
    </w:p>
    <w:p w14:paraId="437CE4A6" w14:textId="77777777" w:rsidR="00AA6BB1" w:rsidRPr="008127F8" w:rsidRDefault="00AA6BB1" w:rsidP="001E0A84">
      <w:pPr>
        <w:pStyle w:val="a4"/>
        <w:rPr>
          <w:color w:val="000000" w:themeColor="text1"/>
          <w:lang w:val="ru-RU"/>
        </w:rPr>
      </w:pPr>
    </w:p>
    <w:p w14:paraId="295C84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с помощью ТМС самолетов, состоящих из ТБ-3 N 22707 с 3500 кг взрывчатки повышенного взрывного действия и командного ДБ-3Ф, пытались разрушить ж/д узел в Вязьме. Р.Г.Чичикян обращался к Г.М.М., тот дал указание по применению ком. ВВС П.Ф.Жигареву, но военные не очень-то верили. И не напрасно. При подлете к цели антенну на ДБ-3Ф перебили, управление потерялось и ТБ-3 ушел в тыл немецких войск. Второй комплект с управляющим самолетом СБ сгорел на аэродроме при взрыве боеприпасов на соседней машине. Аппаратуру спасли, но решением А.И.Ш. завод 379 ликвидировали (1800,3).</w:t>
      </w:r>
    </w:p>
    <w:p w14:paraId="5D5043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AB3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экипаж К.К.Егорова на ТБ-7 №4212 при возвращении с боевого задания, не сумев определить свое местонахождение, вел машину по компасу строго на восток, при этом израсходовал все топливо и произвел вынужденную посадку с сухими баками на лес аж на востоке Кировской области, вместо родного Коврова. Егоров приехал в Казань в ОКБ и уговорил конструкторов слетать на место аварии и посмотреть машину на предмет ремонта и эвакуации. ТБ-7 был достаточно-сильно поврежден. Были сильно разрушены крыло и шасси, но ремонтная заводская бригада ухитрилась восстановить машину к весне 1942 года, после чего она перелетела в часть (7685).</w:t>
      </w:r>
    </w:p>
    <w:p w14:paraId="2BC72F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7E0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проходили гос. испытания Ер-2 с 2хАМ-37, которые начались в декабре 1941. В серию не пошел (796,40).</w:t>
      </w:r>
    </w:p>
    <w:p w14:paraId="5EAC7F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739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при посадке сломалась левая нога Ту-2 N 100303 (4407,2).</w:t>
      </w:r>
    </w:p>
    <w:p w14:paraId="368811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15E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при посадке сломалась левая опора шасси и самолет Ту-2 № 100303 лег на крыло. Аварии, связанные с поломками шасси, в том числе и из-за недостаточной устойчивости на пробеге, не были редкостью. Спустя полгода, на машине № 100307 в контрольно-сдаточном полете выявился целый букет неисправностей. В левом моторе повысилась температура масла, а на правом - началась раскрутка винта. После взлета отказала система уборки шасси, а на заключительной стадии пробега занесло хвост машины влево (12035).</w:t>
      </w:r>
    </w:p>
    <w:p w14:paraId="243B64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504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январь 1942 г. лыжное шасси установили на 250 "пешках". Убираемое лыжное шасси впервые опробовали еще на опытном самолете " 100". Лыжи подтягивались к мотогондоле и сами фактически становились створками отсека шасси. В отличие от аналогичного варианта Ил-2, у Пе-2 сохранялась обычная гондола от колесного шасси, на которую надевались дополнительные панели. Так же поступили и с убираемой хвостовой лыжей, что позволило ставить на лыжи любой Пе-2 (3542).</w:t>
      </w:r>
    </w:p>
    <w:p w14:paraId="10DB5C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FB55F" w14:textId="77777777" w:rsidR="005A44A1" w:rsidRPr="008127F8" w:rsidRDefault="005A44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два первых В-25В прибыли в СССР. Они были облетаны только 5 марта — на одном оказалось повреждено носовое колесо, но первую партию было решено заказать без испытаний; 11 февраля был получен положительный ответ президента США: «В январе и феврале нами было или будет отгружено 449 легких танков, 408 средних танков, 244 истребителя, 24 В-25 и 233 А-20. Я сознаю всю важность доставки Вам нашего вооружения в возможно более короткий срок, и все усилия прилагаются к тому, чтобы отправить эти грузы. Имеющиеся здесь сообщения указывают на то, что Вы успешно отгоняете нацистов. 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(22856).</w:t>
      </w:r>
    </w:p>
    <w:p w14:paraId="7D3DADE9" w14:textId="77777777" w:rsidR="005A44A1" w:rsidRPr="008127F8" w:rsidRDefault="005A44A1" w:rsidP="001E0A84">
      <w:pPr>
        <w:spacing w:after="0" w:line="240" w:lineRule="auto"/>
        <w:jc w:val="both"/>
        <w:rPr>
          <w:rFonts w:ascii="Times New Roman" w:hAnsi="Times New Roman"/>
          <w:color w:val="000000" w:themeColor="text1"/>
          <w:sz w:val="16"/>
          <w:szCs w:val="16"/>
        </w:rPr>
      </w:pPr>
    </w:p>
    <w:p w14:paraId="4A70C4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отмечалось, что УТИ-4 тип 15 Б по мощности вооружения превосходит все другие типы И-16, диапазон использовании самолета расширился, имеется возможность переоборудовать ранее построенные УТИ-4. В 1942 г. в Баку построили последние 83 экземпляра УТИ-4. Количество боевых вариантов тип 15Б среди них не установлено. Завод №458 дат ее объединили с другими эвакуированными предприятиями. Среди выпускаемой продукции значились бен зобаки для СБ. амортизаторы ТБ-3, детали для автоматов ПГ1Ш. реактивных минометов "Катюша" и многое другое (12015).</w:t>
      </w:r>
    </w:p>
    <w:p w14:paraId="6337C3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F0F5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проходили летные испытания опытных моторов М-106 на истребителях Як-1, в ноябре 1942 г. — январе 1943 г. на Як-9. Двигатель М-106 представлял собой попытку форсировать М-105 по наддуву. Предполагалось, что он станет основным мотором истребитель</w:t>
      </w:r>
      <w:r w:rsidRPr="008127F8">
        <w:rPr>
          <w:rFonts w:ascii="Times New Roman" w:hAnsi="Times New Roman"/>
          <w:color w:val="000000" w:themeColor="text1"/>
          <w:sz w:val="16"/>
          <w:szCs w:val="16"/>
        </w:rPr>
        <w:softHyphen/>
        <w:t>ной и отчасти бомбардировочной авиации. Разработка этого двигателя велась с 1938 г. По сравнению с М-105 были изменены поршни, конструкция блоков, усилены коленвал и шестерни редуктора, уменьшена степень сжатия. Установлен односкоростной ПЦН конструкции В.А. Доллежаля с переда</w:t>
      </w:r>
      <w:r w:rsidRPr="008127F8">
        <w:rPr>
          <w:rFonts w:ascii="Times New Roman" w:hAnsi="Times New Roman"/>
          <w:color w:val="000000" w:themeColor="text1"/>
          <w:sz w:val="16"/>
          <w:szCs w:val="16"/>
        </w:rPr>
        <w:softHyphen/>
        <w:t>чей по типу М-103. Габариты и посадочные места двигателя аналогичны М-105. Двигатель М-106 долго доводился, страдал тряской на переходных ре</w:t>
      </w:r>
      <w:r w:rsidRPr="008127F8">
        <w:rPr>
          <w:rFonts w:ascii="Times New Roman" w:hAnsi="Times New Roman"/>
          <w:color w:val="000000" w:themeColor="text1"/>
          <w:sz w:val="16"/>
          <w:szCs w:val="16"/>
        </w:rPr>
        <w:softHyphen/>
        <w:t>жимах, выбросами масла, детонацией и дымлением. Данные о количестве изготов</w:t>
      </w:r>
      <w:r w:rsidRPr="008127F8">
        <w:rPr>
          <w:rFonts w:ascii="Times New Roman" w:hAnsi="Times New Roman"/>
          <w:color w:val="000000" w:themeColor="text1"/>
          <w:sz w:val="16"/>
          <w:szCs w:val="16"/>
        </w:rPr>
        <w:softHyphen/>
        <w:t>ленных моторов крайне противоречивы. Мотор был снят с производства в мае 1943 г.</w:t>
      </w:r>
    </w:p>
    <w:p w14:paraId="0D0D6CA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Характеристики:</w:t>
      </w:r>
    </w:p>
    <w:p w14:paraId="570E24E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12-цтиндровый, рядный, У-образный, карбюраторный, водяного охлаж</w:t>
      </w:r>
      <w:r w:rsidRPr="008127F8">
        <w:rPr>
          <w:rFonts w:ascii="Times New Roman" w:hAnsi="Times New Roman"/>
          <w:color w:val="000000" w:themeColor="text1"/>
          <w:sz w:val="16"/>
          <w:szCs w:val="16"/>
        </w:rPr>
        <w:softHyphen/>
        <w:t>дения (зимой использовались этиленгликолевые или глицериновые анти</w:t>
      </w:r>
      <w:r w:rsidRPr="008127F8">
        <w:rPr>
          <w:rFonts w:ascii="Times New Roman" w:hAnsi="Times New Roman"/>
          <w:color w:val="000000" w:themeColor="text1"/>
          <w:sz w:val="16"/>
          <w:szCs w:val="16"/>
        </w:rPr>
        <w:softHyphen/>
        <w:t>фризы), редукторный, с одноступенчатым односкоростным ПЦН;</w:t>
      </w:r>
    </w:p>
    <w:p w14:paraId="54AA6A6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диаметр цилиндра/ход поршня 148/170 мм;</w:t>
      </w:r>
    </w:p>
    <w:p w14:paraId="28C13C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объем 35,08 л, степень сжатия 6,0 (по др</w:t>
      </w:r>
      <w:proofErr w:type="gramStart"/>
      <w:r w:rsidRPr="008127F8">
        <w:rPr>
          <w:rFonts w:ascii="Times New Roman" w:hAnsi="Times New Roman"/>
          <w:color w:val="000000" w:themeColor="text1"/>
          <w:sz w:val="16"/>
          <w:szCs w:val="16"/>
        </w:rPr>
        <w:t>\&gt;гим</w:t>
      </w:r>
      <w:proofErr w:type="gramEnd"/>
      <w:r w:rsidRPr="008127F8">
        <w:rPr>
          <w:rFonts w:ascii="Times New Roman" w:hAnsi="Times New Roman"/>
          <w:color w:val="000000" w:themeColor="text1"/>
          <w:sz w:val="16"/>
          <w:szCs w:val="16"/>
        </w:rPr>
        <w:t xml:space="preserve"> данным, 6,5);</w:t>
      </w:r>
    </w:p>
    <w:p w14:paraId="184270D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мощность и вес в зависимости от модификации.</w:t>
      </w:r>
    </w:p>
    <w:p w14:paraId="47F01C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Известны следующие модификации М-106:</w:t>
      </w:r>
    </w:p>
    <w:p w14:paraId="617516E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М-106 (М-106-1ск), серийно выпускался в 1942-1943 гг. Иногда име</w:t>
      </w:r>
      <w:r w:rsidRPr="008127F8">
        <w:rPr>
          <w:rFonts w:ascii="Times New Roman" w:hAnsi="Times New Roman"/>
          <w:color w:val="000000" w:themeColor="text1"/>
          <w:sz w:val="16"/>
          <w:szCs w:val="16"/>
        </w:rPr>
        <w:softHyphen/>
        <w:t>новался М-106П. Предусматривал установку пушки ШВАК (20 мм) в развале блоков цилиндров. Мощность 1250/1350 л.с., вес 600 кг.</w:t>
      </w:r>
    </w:p>
    <w:p w14:paraId="63FB823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М-106, аналогичный предыдущему вариант для бомбардировщиков без возможности установки пушки. Проектировался в 1939 г.</w:t>
      </w:r>
    </w:p>
    <w:p w14:paraId="42C049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М-106ПВ («повышенной высотности»), вариант с двухступенчатым ПЦН Э-100 с гидромуфтой, аналогичный М-105ПД. Он испытывался на истребителе Як-9ПД в октябре 1943 г. В 1944 г. увеличили обо</w:t>
      </w:r>
      <w:r w:rsidRPr="008127F8">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8127F8">
        <w:rPr>
          <w:rFonts w:ascii="Times New Roman" w:hAnsi="Times New Roman"/>
          <w:color w:val="000000" w:themeColor="text1"/>
          <w:sz w:val="16"/>
          <w:szCs w:val="16"/>
        </w:rPr>
        <w:softHyphen/>
        <w:t>ся на Як-9ПД в апреле 1944 г. Было выпущено более 50 модерни</w:t>
      </w:r>
      <w:r w:rsidRPr="008127F8">
        <w:rPr>
          <w:rFonts w:ascii="Times New Roman" w:hAnsi="Times New Roman"/>
          <w:color w:val="000000" w:themeColor="text1"/>
          <w:sz w:val="16"/>
          <w:szCs w:val="16"/>
        </w:rPr>
        <w:softHyphen/>
        <w:t>зированных М-106ПВ. На этом типе двигателя устанавливалась об</w:t>
      </w:r>
      <w:r w:rsidRPr="008127F8">
        <w:rPr>
          <w:rFonts w:ascii="Times New Roman" w:hAnsi="Times New Roman"/>
          <w:color w:val="000000" w:themeColor="text1"/>
          <w:sz w:val="16"/>
          <w:szCs w:val="16"/>
        </w:rPr>
        <w:softHyphen/>
        <w:t>легченная пушка ША-20М (20 мм).</w:t>
      </w:r>
    </w:p>
    <w:p w14:paraId="65CEEB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М-106 с турбореактором Ефремова. Проект 1940 г. с «турбореакто-ром» — туннельным радиатором конструкции Ефремова, обеспечи</w:t>
      </w:r>
      <w:r w:rsidRPr="008127F8">
        <w:rPr>
          <w:rFonts w:ascii="Times New Roman" w:hAnsi="Times New Roman"/>
          <w:color w:val="000000" w:themeColor="text1"/>
          <w:sz w:val="16"/>
          <w:szCs w:val="16"/>
        </w:rPr>
        <w:softHyphen/>
        <w:t>вавшим создание реактивной тяги. О постройке опытных образцов ничего не известно.</w:t>
      </w:r>
    </w:p>
    <w:p w14:paraId="4E2EE56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М-106ТК, проект 1940 г. с двумя турбонагнетателями ТК-1.</w:t>
      </w:r>
    </w:p>
    <w:p w14:paraId="782352D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Двигатели М-106 (М-106-1ск) устанавливались на серийных истребителях Як-1, но на вооружение эти самолеты приняты не были, двигатели с них сняли. Моторы М-106ПВ монтировались на серийных Як-9ПД выпуска заво</w:t>
      </w:r>
      <w:r w:rsidRPr="008127F8">
        <w:rPr>
          <w:rFonts w:ascii="Times New Roman" w:hAnsi="Times New Roman"/>
          <w:color w:val="000000" w:themeColor="text1"/>
          <w:sz w:val="16"/>
          <w:szCs w:val="16"/>
        </w:rPr>
        <w:softHyphen/>
        <w:t>да № 301. Использование М-106 разных вариантов предусматривалось также проектами самолетов ДБ-240 (Ер-2), СБ, И-26 (Як-1), И-301 (ЛаГГ-1) (11852).</w:t>
      </w:r>
    </w:p>
    <w:p w14:paraId="7E2E0BA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82B235" w14:textId="77777777" w:rsidR="00AA6BB1" w:rsidRPr="008127F8" w:rsidRDefault="00AA6BB1" w:rsidP="001E0A84">
      <w:pPr>
        <w:pStyle w:val="a4"/>
        <w:rPr>
          <w:color w:val="000000" w:themeColor="text1"/>
          <w:lang w:val="ru-RU"/>
        </w:rPr>
      </w:pPr>
      <w:r w:rsidRPr="008127F8">
        <w:rPr>
          <w:color w:val="000000" w:themeColor="text1"/>
          <w:lang w:val="ru-RU"/>
        </w:rPr>
        <w:t xml:space="preserve">В январе 1942 г. в Новосибирске на заводе № 153 достроили опытный Як-7 с М-82, начатый постройкой вместо упоминавшегося ранее Як-3 ещё в августе— тябре 1941 г. В отличие от всех предыдущих самолётов с М-82 здесь мотор закрыли капотом </w:t>
      </w:r>
      <w:r w:rsidRPr="008127F8">
        <w:rPr>
          <w:color w:val="000000" w:themeColor="text1"/>
        </w:rPr>
        <w:t>NACA</w:t>
      </w:r>
      <w:r w:rsidRPr="008127F8">
        <w:rPr>
          <w:color w:val="000000" w:themeColor="text1"/>
          <w:lang w:val="ru-RU"/>
        </w:rPr>
        <w:t>, выход воздуха из которого регулировался не кольцевой юбкой, а ковыми створками. Всасывающий патрубок располагался внутри в верхней части капота, маслорадиатор ОП-293 подвесили под мотором. Чтобы не возиться с синхронизацией пушек, Яковлев разместил две пушки ШВАК в консолях крыла, а на моторе стоял один синхронный пулемет БС. Лётные испытания Як-7 с М-82 начались 23 января 1941 г. (лётчик-испытатель П.Я.Федрови). Но и здесь обнаружились те же дефекты мотора, что и ранее на других са- олётах, а также неудовлетворительный тепловой режим ВМГ — температура головок чиндров 265-305°С вместо максимально допустимой 250°С и высокая температура одящего масла 110°С вместо максимально допустимой 85°С. Этого следовало ожи</w:t>
      </w:r>
      <w:r w:rsidRPr="008127F8">
        <w:rPr>
          <w:color w:val="000000" w:themeColor="text1"/>
          <w:lang w:val="ru-RU"/>
        </w:rPr>
        <w:softHyphen/>
        <w:t>ть, так как при выбранной капотировке боковые цилиндры, расположенные около ходных створок капота, охлаждались лучше, чем нижние и, особенно, верхние, (результате возникала сильная неравномерность температур по разным цилиндрам (15788).</w:t>
      </w:r>
    </w:p>
    <w:p w14:paraId="7BFB644E" w14:textId="77777777" w:rsidR="00AA6BB1" w:rsidRPr="008127F8" w:rsidRDefault="00AA6BB1" w:rsidP="001E0A84">
      <w:pPr>
        <w:spacing w:after="0" w:line="240" w:lineRule="auto"/>
        <w:jc w:val="both"/>
        <w:rPr>
          <w:rFonts w:ascii="Times New Roman" w:hAnsi="Times New Roman"/>
          <w:color w:val="000000" w:themeColor="text1"/>
          <w:sz w:val="16"/>
          <w:szCs w:val="16"/>
        </w:rPr>
      </w:pPr>
    </w:p>
    <w:p w14:paraId="5E1F460D" w14:textId="77777777" w:rsidR="00D57C29" w:rsidRPr="008A2E5A" w:rsidRDefault="00D57C29" w:rsidP="00D57C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1942 г. первую партию из 10 машин Як-7А, выпущенных заводом №153, передали одному из полков Южного фронта, базировавшемуся близ ст. Злодейская (сейчас ст. Кировская) </w:t>
      </w:r>
      <w:proofErr w:type="gramStart"/>
      <w:r w:rsidRPr="008A2E5A">
        <w:rPr>
          <w:rFonts w:ascii="Times New Roman" w:hAnsi="Times New Roman"/>
          <w:color w:val="0070C0"/>
          <w:sz w:val="16"/>
          <w:szCs w:val="16"/>
        </w:rPr>
        <w:t>Кагальницко- го</w:t>
      </w:r>
      <w:proofErr w:type="gramEnd"/>
      <w:r w:rsidRPr="008A2E5A">
        <w:rPr>
          <w:rFonts w:ascii="Times New Roman" w:hAnsi="Times New Roman"/>
          <w:color w:val="0070C0"/>
          <w:sz w:val="16"/>
          <w:szCs w:val="16"/>
        </w:rPr>
        <w:t xml:space="preserve"> района Ростовской области. Какие-либо сведения об их боевой работе пока не обнаружены. Кроме этих ма</w:t>
      </w:r>
      <w:r w:rsidRPr="008A2E5A">
        <w:rPr>
          <w:rFonts w:ascii="Times New Roman" w:hAnsi="Times New Roman"/>
          <w:color w:val="0070C0"/>
          <w:sz w:val="16"/>
          <w:szCs w:val="16"/>
        </w:rPr>
        <w:softHyphen/>
        <w:t>шин, три Як-7А передали в 13-й зап, пять Як-7В Сталин</w:t>
      </w:r>
      <w:r w:rsidRPr="008A2E5A">
        <w:rPr>
          <w:rFonts w:ascii="Times New Roman" w:hAnsi="Times New Roman"/>
          <w:color w:val="0070C0"/>
          <w:sz w:val="16"/>
          <w:szCs w:val="16"/>
        </w:rPr>
        <w:softHyphen/>
        <w:t>градской ВАШП и два Як-7В - в НИИ ВВС КА. В феврале по 10 самолетов получили ВВС Забайкальского военного округа (ЗабВО) и Дальневосточного фронта (ДВФ) и тре</w:t>
      </w:r>
      <w:r w:rsidRPr="008A2E5A">
        <w:rPr>
          <w:rFonts w:ascii="Times New Roman" w:hAnsi="Times New Roman"/>
          <w:color w:val="0070C0"/>
          <w:sz w:val="16"/>
          <w:szCs w:val="16"/>
        </w:rPr>
        <w:softHyphen/>
        <w:t>мя Як-7А пополнился авиапарк 19-го зап (23381).</w:t>
      </w:r>
    </w:p>
    <w:p w14:paraId="70CF53A9" w14:textId="77777777" w:rsidR="00D57C29" w:rsidRPr="008A2E5A" w:rsidRDefault="00D57C29" w:rsidP="00D57C29">
      <w:pPr>
        <w:spacing w:after="0" w:line="240" w:lineRule="auto"/>
        <w:jc w:val="both"/>
        <w:rPr>
          <w:rFonts w:ascii="Times New Roman" w:hAnsi="Times New Roman"/>
          <w:color w:val="0070C0"/>
          <w:sz w:val="16"/>
          <w:szCs w:val="16"/>
        </w:rPr>
      </w:pPr>
    </w:p>
    <w:p w14:paraId="5CC96CA9" w14:textId="77777777" w:rsidR="00D57C29" w:rsidRPr="008A2E5A" w:rsidRDefault="00D57C29" w:rsidP="00D57C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изготовили каркас фюзеляжа опытной машины Як-7 с пушкой М-37 Шпитального. При этом, кроме изменения местополо</w:t>
      </w:r>
      <w:r w:rsidRPr="008A2E5A">
        <w:rPr>
          <w:rFonts w:ascii="Times New Roman" w:hAnsi="Times New Roman"/>
          <w:color w:val="0070C0"/>
          <w:sz w:val="16"/>
          <w:szCs w:val="16"/>
        </w:rPr>
        <w:softHyphen/>
        <w:t>жения кабины летчика, для размещения казенной части пушки с магазином пришлось убрать трубчатые раскосы первой рамы фюзеляжа. Из условий крепления Ш-37 на моторе М-105П оконечность ствола с дульным тормозом в значительной степени выступала за границы кока вин</w:t>
      </w:r>
      <w:r w:rsidRPr="008A2E5A">
        <w:rPr>
          <w:rFonts w:ascii="Times New Roman" w:hAnsi="Times New Roman"/>
          <w:color w:val="0070C0"/>
          <w:sz w:val="16"/>
          <w:szCs w:val="16"/>
        </w:rPr>
        <w:softHyphen/>
        <w:t>та, придавая самолету характерные очертания. Переза</w:t>
      </w:r>
      <w:r w:rsidRPr="008A2E5A">
        <w:rPr>
          <w:rFonts w:ascii="Times New Roman" w:hAnsi="Times New Roman"/>
          <w:color w:val="0070C0"/>
          <w:sz w:val="16"/>
          <w:szCs w:val="16"/>
        </w:rPr>
        <w:softHyphen/>
        <w:t>ряжание пушки и пулеметов пневматическое от рукояток на приборной доске в кабине летчика. Патронный ящик левого пулемета емкостью 350 патронов располагался в развале блоков мотора. Патронный ящик правого пуле</w:t>
      </w:r>
      <w:r w:rsidRPr="008A2E5A">
        <w:rPr>
          <w:rFonts w:ascii="Times New Roman" w:hAnsi="Times New Roman"/>
          <w:color w:val="0070C0"/>
          <w:sz w:val="16"/>
          <w:szCs w:val="16"/>
        </w:rPr>
        <w:softHyphen/>
        <w:t>мета емкостью 200 патронов находился за магазином пи</w:t>
      </w:r>
      <w:r w:rsidRPr="008A2E5A">
        <w:rPr>
          <w:rFonts w:ascii="Times New Roman" w:hAnsi="Times New Roman"/>
          <w:color w:val="0070C0"/>
          <w:sz w:val="16"/>
          <w:szCs w:val="16"/>
        </w:rPr>
        <w:softHyphen/>
        <w:t>тания и над казенной частью пушки поперек продольной оси самолета. Из-за малой емкости звеньесборника бое</w:t>
      </w:r>
      <w:r w:rsidRPr="008A2E5A">
        <w:rPr>
          <w:rFonts w:ascii="Times New Roman" w:hAnsi="Times New Roman"/>
          <w:color w:val="0070C0"/>
          <w:sz w:val="16"/>
          <w:szCs w:val="16"/>
        </w:rPr>
        <w:softHyphen/>
        <w:t>комплект пулеметов ограничили 450 патронами (260 для левого и 190 для правого пулеметов). Спуск пушки элек</w:t>
      </w:r>
      <w:r w:rsidRPr="008A2E5A">
        <w:rPr>
          <w:rFonts w:ascii="Times New Roman" w:hAnsi="Times New Roman"/>
          <w:color w:val="0070C0"/>
          <w:sz w:val="16"/>
          <w:szCs w:val="16"/>
        </w:rPr>
        <w:softHyphen/>
        <w:t>трический, пулеметов - пневмоэлектрический от гаше</w:t>
      </w:r>
      <w:r w:rsidRPr="008A2E5A">
        <w:rPr>
          <w:rFonts w:ascii="Times New Roman" w:hAnsi="Times New Roman"/>
          <w:color w:val="0070C0"/>
          <w:sz w:val="16"/>
          <w:szCs w:val="16"/>
        </w:rPr>
        <w:softHyphen/>
        <w:t>ток на ручке управления самолетом. Звенья пулеметов собирались в звеньесборник, а гильзы выбрасывались по гильзоотводам, выведенным в зализы водорадиато- ра. Поскольку полетный вес самолета с данным составом вооружения увеличился до 3235 кг, то хвостовое колесо увеличили до 300x125 мм, а для улучшения пилотажных характеристик самолет снабдили крылом с автоматиче</w:t>
      </w:r>
      <w:r w:rsidRPr="008A2E5A">
        <w:rPr>
          <w:rFonts w:ascii="Times New Roman" w:hAnsi="Times New Roman"/>
          <w:color w:val="0070C0"/>
          <w:sz w:val="16"/>
          <w:szCs w:val="16"/>
        </w:rPr>
        <w:softHyphen/>
        <w:t>скими предкрылками, аналогичным Як-5 (И-28). Чтобы сократить разбег, на Як-7-37 также смонтировали ручное управление форсажем мотора (23381).</w:t>
      </w:r>
    </w:p>
    <w:p w14:paraId="365A6962" w14:textId="77777777" w:rsidR="00D57C29" w:rsidRPr="008A2E5A" w:rsidRDefault="00D57C29" w:rsidP="00D57C29">
      <w:pPr>
        <w:spacing w:after="0" w:line="240" w:lineRule="auto"/>
        <w:jc w:val="both"/>
        <w:rPr>
          <w:rFonts w:ascii="Times New Roman" w:hAnsi="Times New Roman"/>
          <w:color w:val="0070C0"/>
          <w:sz w:val="16"/>
          <w:szCs w:val="16"/>
        </w:rPr>
      </w:pPr>
    </w:p>
    <w:p w14:paraId="4589B436" w14:textId="77777777" w:rsidR="00D57C29" w:rsidRPr="008A2E5A" w:rsidRDefault="00D57C29" w:rsidP="00D57C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ОКБ А.С. Яковлева прорабатывался и предъявлялся в виде проекта эталона ночного истребите</w:t>
      </w:r>
      <w:r w:rsidRPr="008A2E5A">
        <w:rPr>
          <w:rFonts w:ascii="Times New Roman" w:hAnsi="Times New Roman"/>
          <w:color w:val="0070C0"/>
          <w:sz w:val="16"/>
          <w:szCs w:val="16"/>
        </w:rPr>
        <w:softHyphen/>
        <w:t>ля на испытания эталона дневного истребителя - Як-7Б №1415313. Кроме вооружения из одной ШВАК и двух УБС проектом предусматривалась установка крыла с пред</w:t>
      </w:r>
      <w:r w:rsidRPr="008A2E5A">
        <w:rPr>
          <w:rFonts w:ascii="Times New Roman" w:hAnsi="Times New Roman"/>
          <w:color w:val="0070C0"/>
          <w:sz w:val="16"/>
          <w:szCs w:val="16"/>
        </w:rPr>
        <w:softHyphen/>
        <w:t>крылками, дополнительного бензобака, размещенного в задней кабине, приемо-передающей радиостанции и ра</w:t>
      </w:r>
      <w:r w:rsidRPr="008A2E5A">
        <w:rPr>
          <w:rFonts w:ascii="Times New Roman" w:hAnsi="Times New Roman"/>
          <w:color w:val="0070C0"/>
          <w:sz w:val="16"/>
          <w:szCs w:val="16"/>
        </w:rPr>
        <w:softHyphen/>
        <w:t>диополукомпаса РПК-10. Для облегчения конструкции с самолета снималась бронеспинка. Последнее измене</w:t>
      </w:r>
      <w:r w:rsidRPr="008A2E5A">
        <w:rPr>
          <w:rFonts w:ascii="Times New Roman" w:hAnsi="Times New Roman"/>
          <w:color w:val="0070C0"/>
          <w:sz w:val="16"/>
          <w:szCs w:val="16"/>
        </w:rPr>
        <w:softHyphen/>
        <w:t>ние делало машину узкоспециализированной, поэтому в серийное производство этот вариант не внедрялся. Впо</w:t>
      </w:r>
      <w:r w:rsidRPr="008A2E5A">
        <w:rPr>
          <w:rFonts w:ascii="Times New Roman" w:hAnsi="Times New Roman"/>
          <w:color w:val="0070C0"/>
          <w:sz w:val="16"/>
          <w:szCs w:val="16"/>
        </w:rPr>
        <w:softHyphen/>
        <w:t>следствии установка дополнительного 100-л. фюзеляж</w:t>
      </w:r>
      <w:r w:rsidRPr="008A2E5A">
        <w:rPr>
          <w:rFonts w:ascii="Times New Roman" w:hAnsi="Times New Roman"/>
          <w:color w:val="0070C0"/>
          <w:sz w:val="16"/>
          <w:szCs w:val="16"/>
        </w:rPr>
        <w:softHyphen/>
        <w:t>ного бензобака непродолжительное время применялась на всех серийных Як-7Б, а комплект радиополукомпаса монтировался на машины для авиационных частей ПВО (23381).</w:t>
      </w:r>
    </w:p>
    <w:p w14:paraId="4ED34CC4" w14:textId="77777777" w:rsidR="00D57C29" w:rsidRPr="008A2E5A" w:rsidRDefault="00D57C29" w:rsidP="00D57C29">
      <w:pPr>
        <w:spacing w:after="0" w:line="240" w:lineRule="auto"/>
        <w:jc w:val="both"/>
        <w:rPr>
          <w:rFonts w:ascii="Times New Roman" w:hAnsi="Times New Roman"/>
          <w:color w:val="0070C0"/>
          <w:sz w:val="16"/>
          <w:szCs w:val="16"/>
        </w:rPr>
      </w:pPr>
    </w:p>
    <w:p w14:paraId="1B34CA2E" w14:textId="77777777" w:rsidR="00D57C29" w:rsidRPr="008A2E5A" w:rsidRDefault="00D57C29" w:rsidP="00D57C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в Новосибирском филиале ЛИИ НКАП ведущим инженером И.К. Маломот начались работы по отработке подсвета приборной доски уль</w:t>
      </w:r>
      <w:r w:rsidRPr="008A2E5A">
        <w:rPr>
          <w:rFonts w:ascii="Times New Roman" w:hAnsi="Times New Roman"/>
          <w:color w:val="0070C0"/>
          <w:sz w:val="16"/>
          <w:szCs w:val="16"/>
        </w:rPr>
        <w:softHyphen/>
        <w:t>трафиолетовыми лампами, как перспективное направление обес</w:t>
      </w:r>
      <w:r w:rsidRPr="008A2E5A">
        <w:rPr>
          <w:rFonts w:ascii="Times New Roman" w:hAnsi="Times New Roman"/>
          <w:color w:val="0070C0"/>
          <w:sz w:val="16"/>
          <w:szCs w:val="16"/>
        </w:rPr>
        <w:softHyphen/>
        <w:t>печения применения самолетов Як-7Б ночью. Такой подсвет не слепил летчика и не демаскировал самолет в воздухе, в то время как яркость свечения светососта</w:t>
      </w:r>
      <w:r w:rsidRPr="008A2E5A">
        <w:rPr>
          <w:rFonts w:ascii="Times New Roman" w:hAnsi="Times New Roman"/>
          <w:color w:val="0070C0"/>
          <w:sz w:val="16"/>
          <w:szCs w:val="16"/>
        </w:rPr>
        <w:softHyphen/>
        <w:t>вов, нанесенных на приборы и органы управления, по</w:t>
      </w:r>
      <w:r w:rsidRPr="008A2E5A">
        <w:rPr>
          <w:rFonts w:ascii="Times New Roman" w:hAnsi="Times New Roman"/>
          <w:color w:val="0070C0"/>
          <w:sz w:val="16"/>
          <w:szCs w:val="16"/>
        </w:rPr>
        <w:softHyphen/>
        <w:t>зволяла уверенно пилотировать самолет. К марту 1942 г. опытную установку с ртутными лампами МЭЛ-3 смонти</w:t>
      </w:r>
      <w:r w:rsidRPr="008A2E5A">
        <w:rPr>
          <w:rFonts w:ascii="Times New Roman" w:hAnsi="Times New Roman"/>
          <w:color w:val="0070C0"/>
          <w:sz w:val="16"/>
          <w:szCs w:val="16"/>
        </w:rPr>
        <w:softHyphen/>
        <w:t>ровали на одном из серийных самолетов и провели ее наземные испытания. Они показали, что при наличии достаточного количества ртутных ламп низкого давле</w:t>
      </w:r>
      <w:r w:rsidRPr="008A2E5A">
        <w:rPr>
          <w:rFonts w:ascii="Times New Roman" w:hAnsi="Times New Roman"/>
          <w:color w:val="0070C0"/>
          <w:sz w:val="16"/>
          <w:szCs w:val="16"/>
        </w:rPr>
        <w:softHyphen/>
        <w:t>ния с увиолевым стеклом и пуско-коммутирующей ап</w:t>
      </w:r>
      <w:r w:rsidRPr="008A2E5A">
        <w:rPr>
          <w:rFonts w:ascii="Times New Roman" w:hAnsi="Times New Roman"/>
          <w:color w:val="0070C0"/>
          <w:sz w:val="16"/>
          <w:szCs w:val="16"/>
        </w:rPr>
        <w:softHyphen/>
        <w:t>паратуры возможен серийный выпуск самолетов, обо</w:t>
      </w:r>
      <w:r w:rsidRPr="008A2E5A">
        <w:rPr>
          <w:rFonts w:ascii="Times New Roman" w:hAnsi="Times New Roman"/>
          <w:color w:val="0070C0"/>
          <w:sz w:val="16"/>
          <w:szCs w:val="16"/>
        </w:rPr>
        <w:softHyphen/>
        <w:t>рудованных ультрафиолетовым подсветом приборной доски. Дальнейшие работы производились как иссле</w:t>
      </w:r>
      <w:r w:rsidRPr="008A2E5A">
        <w:rPr>
          <w:rFonts w:ascii="Times New Roman" w:hAnsi="Times New Roman"/>
          <w:color w:val="0070C0"/>
          <w:sz w:val="16"/>
          <w:szCs w:val="16"/>
        </w:rPr>
        <w:softHyphen/>
        <w:t>довательские в части отработки системы обозначений и составления чертежей для серийного производства. В сентябре 1942 г. ВВС КА, на основании проведенной ЛИИ НКАП работы, утвердили тактико-технические тре</w:t>
      </w:r>
      <w:r w:rsidRPr="008A2E5A">
        <w:rPr>
          <w:rFonts w:ascii="Times New Roman" w:hAnsi="Times New Roman"/>
          <w:color w:val="0070C0"/>
          <w:sz w:val="16"/>
          <w:szCs w:val="16"/>
        </w:rPr>
        <w:softHyphen/>
        <w:t>бования по оборудованию самолетов ВВС КА системой ультрафиолетового освещения светосоставов. Соглас</w:t>
      </w:r>
      <w:r w:rsidRPr="008A2E5A">
        <w:rPr>
          <w:rFonts w:ascii="Times New Roman" w:hAnsi="Times New Roman"/>
          <w:color w:val="0070C0"/>
          <w:sz w:val="16"/>
          <w:szCs w:val="16"/>
        </w:rPr>
        <w:softHyphen/>
        <w:t>но этому документу для основных органов управления и приборов следовало использовать светосоставы зе</w:t>
      </w:r>
      <w:r w:rsidRPr="008A2E5A">
        <w:rPr>
          <w:rFonts w:ascii="Times New Roman" w:hAnsi="Times New Roman"/>
          <w:color w:val="0070C0"/>
          <w:sz w:val="16"/>
          <w:szCs w:val="16"/>
        </w:rPr>
        <w:softHyphen/>
        <w:t>леного цвета, а аварийных - оранжевого. Несмотря на отданное директору завода №153 еще в августе 1943 г. распоряжение об изготовлении эталонной машины в ва</w:t>
      </w:r>
      <w:r w:rsidRPr="008A2E5A">
        <w:rPr>
          <w:rFonts w:ascii="Times New Roman" w:hAnsi="Times New Roman"/>
          <w:color w:val="0070C0"/>
          <w:sz w:val="16"/>
          <w:szCs w:val="16"/>
        </w:rPr>
        <w:softHyphen/>
        <w:t>рианте для ПВО с УФО в кабине, результаты этой работы удалось применить только после войны (23381).</w:t>
      </w:r>
    </w:p>
    <w:p w14:paraId="533D0B6B" w14:textId="77777777" w:rsidR="00D57C29" w:rsidRPr="008A2E5A" w:rsidRDefault="00D57C29" w:rsidP="00D57C29">
      <w:pPr>
        <w:spacing w:after="0" w:line="240" w:lineRule="auto"/>
        <w:jc w:val="both"/>
        <w:rPr>
          <w:rFonts w:ascii="Times New Roman" w:hAnsi="Times New Roman"/>
          <w:color w:val="0070C0"/>
          <w:sz w:val="16"/>
          <w:szCs w:val="16"/>
        </w:rPr>
      </w:pPr>
    </w:p>
    <w:p w14:paraId="7598D776"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январе 1942 г. агрегат НБ-ЗУ переконструировали, переделали и приспособили к мотору М-82, на котором с декабря 1941 г. велись испытания и доводка аппаратуры.</w:t>
      </w:r>
    </w:p>
    <w:p w14:paraId="038ED04B"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силу загрузки завода № 296 оптическими изделиями, отсутствия квалифицирован</w:t>
      </w:r>
      <w:r w:rsidRPr="008127F8">
        <w:rPr>
          <w:rFonts w:ascii="Times New Roman" w:cs="Times New Roman"/>
          <w:color w:val="000000" w:themeColor="text1"/>
          <w:spacing w:val="0"/>
        </w:rPr>
        <w:softHyphen/>
        <w:t>ных кадров и нужного типажа оборудования, а также отсутствия опытной базы у ОКБ, лишь к маю месяцу собрали и отрегулировали 5 насосов для испытаний на М-82 (15813).</w:t>
      </w:r>
    </w:p>
    <w:p w14:paraId="18D97BA1"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p>
    <w:p w14:paraId="6A6893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аэродроме под Свердловском, куда перебазировали НИИ ВВС, станцию Гнейс-2, разработанную в конце 1941, смонтировали на самолете Пе-2. Вскоре начались испытания. Заметим, что органы управления и индикатор “Гнейса” разместили в кабине оператора радиолокатора (где прежде сидел штурман), а часть блоков станции смонтировали в кабине стрелка-радиста. Самолет стал двухместным, что негативно сказалось на его боевых возможностях. Параллельно с оценкой работоспособности РЛС, являвшейся, по сути, экспериментальным образцом, отрабатывались методика и тактика боевого применения радиолокационного истребителя. Пе-2 при испытаниях пилотировал майор А.Н. Доброславский. С “Гнейсом” работали сами ведущие инженеры В.В. Тихомиров и Е.С. Штейн. В качестве цели использовался самолет СБ.</w:t>
      </w:r>
    </w:p>
    <w:p w14:paraId="48F612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первых же полетах выяснилось, что станция имеет большую “мертвую зону” вблизи от самолета, в которой отраженные от цели сигналы подавляются собственными помехами передатчика. Обнаружилась и еще одна особенность станции: для увеличения сферы обзора ее антенное устройство имело очень широкую диаграмму направленности. В связи с этим при полете на малых высотах обзорный экран полностью “забивался” отраженными от земли сигналами. Если же самолет набирал высоту, то его станция оказалась не в состоянии обнаруживать цели, летевшие ниже и невидимые на фоне земли. Минимальная высота, на которой исчезали проблемы, связанные с отражением от земли, оказалась порядка 2000 м.</w:t>
      </w:r>
    </w:p>
    <w:p w14:paraId="2332F9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Доводка оборудования проводилась круглосуточно, тут же на аэродроме. Устранялись отказы, опробовались антенны разных типов, вносились изменения в конструкцию РЛС, позволившие сократить “мертвую зону” до 300 м (а затем и до 100 м) и улучшить надежность станции (4476).</w:t>
      </w:r>
    </w:p>
    <w:p w14:paraId="75979F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436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w:t>
      </w:r>
      <w:r w:rsidRPr="008127F8">
        <w:rPr>
          <w:rFonts w:ascii="Times New Roman" w:hAnsi="Times New Roman"/>
          <w:color w:val="000000" w:themeColor="text1"/>
          <w:sz w:val="16"/>
          <w:szCs w:val="16"/>
        </w:rPr>
        <w:softHyphen/>
        <w:t>варе 1942 г. возобновились прекращенные после начала войны работы над одномоторнымо дневном бомбардировщиком ОДБ, предназначенным для бомбо</w:t>
      </w:r>
      <w:r w:rsidRPr="008127F8">
        <w:rPr>
          <w:rFonts w:ascii="Times New Roman" w:hAnsi="Times New Roman"/>
          <w:color w:val="000000" w:themeColor="text1"/>
          <w:sz w:val="16"/>
          <w:szCs w:val="16"/>
        </w:rPr>
        <w:softHyphen/>
        <w:t>метания как с пикирования, так и с горизонтального по</w:t>
      </w:r>
      <w:r w:rsidRPr="008127F8">
        <w:rPr>
          <w:rFonts w:ascii="Times New Roman" w:hAnsi="Times New Roman"/>
          <w:color w:val="000000" w:themeColor="text1"/>
          <w:sz w:val="16"/>
          <w:szCs w:val="16"/>
        </w:rPr>
        <w:softHyphen/>
        <w:t>лета, главной особенностью которого являлось размещение двигателя в верхней части фюзеляжа с передачей мощ</w:t>
      </w:r>
      <w:r w:rsidRPr="008127F8">
        <w:rPr>
          <w:rFonts w:ascii="Times New Roman" w:hAnsi="Times New Roman"/>
          <w:color w:val="000000" w:themeColor="text1"/>
          <w:sz w:val="16"/>
          <w:szCs w:val="16"/>
        </w:rPr>
        <w:softHyphen/>
        <w:t>ности через трансмиссию на два винта в крыле, о чем свидетельству</w:t>
      </w:r>
      <w:r w:rsidRPr="008127F8">
        <w:rPr>
          <w:rFonts w:ascii="Times New Roman" w:hAnsi="Times New Roman"/>
          <w:color w:val="000000" w:themeColor="text1"/>
          <w:sz w:val="16"/>
          <w:szCs w:val="16"/>
        </w:rPr>
        <w:softHyphen/>
        <w:t>ет письмо из Уфы за подписью начальника ЦИАМ Каширина директору и главному конструктору завода № 51 Н.Н.Поликарпову в Новосибирск:</w:t>
      </w:r>
    </w:p>
    <w:p w14:paraId="6C40DF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«Предполагая произвести в 1942 году эксперимен</w:t>
      </w:r>
      <w:r w:rsidRPr="008127F8">
        <w:rPr>
          <w:rFonts w:ascii="Times New Roman" w:hAnsi="Times New Roman"/>
          <w:color w:val="000000" w:themeColor="text1"/>
          <w:sz w:val="16"/>
          <w:szCs w:val="16"/>
        </w:rPr>
        <w:softHyphen/>
        <w:t>тальное строительство и стендовые испытания транс</w:t>
      </w:r>
      <w:r w:rsidRPr="008127F8">
        <w:rPr>
          <w:rFonts w:ascii="Times New Roman" w:hAnsi="Times New Roman"/>
          <w:color w:val="000000" w:themeColor="text1"/>
          <w:sz w:val="16"/>
          <w:szCs w:val="16"/>
        </w:rPr>
        <w:softHyphen/>
        <w:t>миссионной установки для мощного советского мотора типа АМ-35, ЦИАМ просит выслать по возможности в ближайшее время комплект рабочих и сборочных чер</w:t>
      </w:r>
      <w:r w:rsidRPr="008127F8">
        <w:rPr>
          <w:rFonts w:ascii="Times New Roman" w:hAnsi="Times New Roman"/>
          <w:color w:val="000000" w:themeColor="text1"/>
          <w:sz w:val="16"/>
          <w:szCs w:val="16"/>
        </w:rPr>
        <w:softHyphen/>
        <w:t>тежей трансмиссии ТОБ, конструкция которой была разработана для Вашего завода конструкторской брига</w:t>
      </w:r>
      <w:r w:rsidRPr="008127F8">
        <w:rPr>
          <w:rFonts w:ascii="Times New Roman" w:hAnsi="Times New Roman"/>
          <w:color w:val="000000" w:themeColor="text1"/>
          <w:sz w:val="16"/>
          <w:szCs w:val="16"/>
        </w:rPr>
        <w:softHyphen/>
        <w:t>дой ЦИАМ и предполагавшееся начало производства в ЦИАМ этой трансмиссии было отложено по обстоя</w:t>
      </w:r>
      <w:r w:rsidRPr="008127F8">
        <w:rPr>
          <w:rFonts w:ascii="Times New Roman" w:hAnsi="Times New Roman"/>
          <w:color w:val="000000" w:themeColor="text1"/>
          <w:sz w:val="16"/>
          <w:szCs w:val="16"/>
        </w:rPr>
        <w:softHyphen/>
        <w:t>тельствам военного времени» (10667).</w:t>
      </w:r>
    </w:p>
    <w:p w14:paraId="0FDCA4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19A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Новосибирске Н.Н.П. провел основные работы по эскизному проектированию бомбардировщика НБ (4621, 20).</w:t>
      </w:r>
    </w:p>
    <w:p w14:paraId="38AF16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B8F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Поликарпов направил эскизный проект самолета НБ на рассмотрение в наркомат и ко</w:t>
      </w:r>
      <w:r w:rsidRPr="008127F8">
        <w:rPr>
          <w:rFonts w:ascii="Times New Roman" w:hAnsi="Times New Roman"/>
          <w:color w:val="000000" w:themeColor="text1"/>
          <w:sz w:val="16"/>
          <w:szCs w:val="16"/>
        </w:rPr>
        <w:softHyphen/>
        <w:t>мандованию ВВС. В Докладной записке указывалось:</w:t>
      </w:r>
    </w:p>
    <w:p w14:paraId="469925B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Отечественной войны выявил большую по</w:t>
      </w:r>
      <w:r w:rsidRPr="008127F8">
        <w:rPr>
          <w:rFonts w:ascii="Times New Roman" w:hAnsi="Times New Roman"/>
          <w:color w:val="000000" w:themeColor="text1"/>
          <w:sz w:val="16"/>
          <w:szCs w:val="16"/>
        </w:rPr>
        <w:softHyphen/>
        <w:t>требность в массовом ночном бомбовозе, могущем быть использованным также и днем под охраной истре</w:t>
      </w:r>
      <w:r w:rsidRPr="008127F8">
        <w:rPr>
          <w:rFonts w:ascii="Times New Roman" w:hAnsi="Times New Roman"/>
          <w:color w:val="000000" w:themeColor="text1"/>
          <w:sz w:val="16"/>
          <w:szCs w:val="16"/>
        </w:rPr>
        <w:softHyphen/>
        <w:t>бителей или самостоятельно в районах нашего господ</w:t>
      </w:r>
      <w:r w:rsidRPr="008127F8">
        <w:rPr>
          <w:rFonts w:ascii="Times New Roman" w:hAnsi="Times New Roman"/>
          <w:color w:val="000000" w:themeColor="text1"/>
          <w:sz w:val="16"/>
          <w:szCs w:val="16"/>
        </w:rPr>
        <w:softHyphen/>
        <w:t>ства в воздухе...</w:t>
      </w:r>
    </w:p>
    <w:p w14:paraId="7C496A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защиты: для защиты от атак спереди мы снабдили самолет носовой неподвижной установкой из 2-х пулеметов БС, огонь из которых ведет летчик, под</w:t>
      </w:r>
      <w:r w:rsidRPr="008127F8">
        <w:rPr>
          <w:rFonts w:ascii="Times New Roman" w:hAnsi="Times New Roman"/>
          <w:color w:val="000000" w:themeColor="text1"/>
          <w:sz w:val="16"/>
          <w:szCs w:val="16"/>
        </w:rPr>
        <w:softHyphen/>
        <w:t>держиваемый при подходе неприятеля под углами спе</w:t>
      </w:r>
      <w:r w:rsidRPr="008127F8">
        <w:rPr>
          <w:rFonts w:ascii="Times New Roman" w:hAnsi="Times New Roman"/>
          <w:color w:val="000000" w:themeColor="text1"/>
          <w:sz w:val="16"/>
          <w:szCs w:val="16"/>
        </w:rPr>
        <w:softHyphen/>
        <w:t>реди задним стрелком...</w:t>
      </w:r>
    </w:p>
    <w:p w14:paraId="2794E09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защиты от атак сзади установлена наверху хвос</w:t>
      </w:r>
      <w:r w:rsidRPr="008127F8">
        <w:rPr>
          <w:rFonts w:ascii="Times New Roman" w:hAnsi="Times New Roman"/>
          <w:color w:val="000000" w:themeColor="text1"/>
          <w:sz w:val="16"/>
          <w:szCs w:val="16"/>
        </w:rPr>
        <w:softHyphen/>
        <w:t>товой части фюзеляжа турель ТАТ с БС, каковая, как уже упоминалось, обеспечивает защиту полностью.</w:t>
      </w:r>
    </w:p>
    <w:p w14:paraId="1579187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люковой установки перекрестный огонь достигается уже на расстоянии 1 метра от хвоста...</w:t>
      </w:r>
    </w:p>
    <w:p w14:paraId="61AB45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могут быть установлены 3 типа мото</w:t>
      </w:r>
      <w:r w:rsidRPr="008127F8">
        <w:rPr>
          <w:rFonts w:ascii="Times New Roman" w:hAnsi="Times New Roman"/>
          <w:color w:val="000000" w:themeColor="text1"/>
          <w:sz w:val="16"/>
          <w:szCs w:val="16"/>
        </w:rPr>
        <w:softHyphen/>
        <w:t>ров: М82, М90, М71, что достигается простой заменой моторных рам с капотами...</w:t>
      </w:r>
    </w:p>
    <w:p w14:paraId="02A0828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самолета рассчитывается нами на по</w:t>
      </w:r>
      <w:r w:rsidRPr="008127F8">
        <w:rPr>
          <w:rFonts w:ascii="Times New Roman" w:hAnsi="Times New Roman"/>
          <w:color w:val="000000" w:themeColor="text1"/>
          <w:sz w:val="16"/>
          <w:szCs w:val="16"/>
        </w:rPr>
        <w:softHyphen/>
        <w:t>точное, массовое производство, не требующее дорогого оснащения и высококвалифицированных рабочих...</w:t>
      </w:r>
    </w:p>
    <w:p w14:paraId="62BCB8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основных материалов мы берем дерево (обшивка крыла, нервюры, задний лонжерон, фюзеляж, части оперения) и сталь хромансиль в виде черных про</w:t>
      </w:r>
      <w:r w:rsidRPr="008127F8">
        <w:rPr>
          <w:rFonts w:ascii="Times New Roman" w:hAnsi="Times New Roman"/>
          <w:color w:val="000000" w:themeColor="text1"/>
          <w:sz w:val="16"/>
          <w:szCs w:val="16"/>
        </w:rPr>
        <w:softHyphen/>
        <w:t>филей (полки лонжеронов) и листов разных толщин. Применение дюраля нами крайне ограничено...».</w:t>
      </w:r>
    </w:p>
    <w:p w14:paraId="7CF1B0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 бомбовая нагрузка должна составлять 2000 кг, максимальная - 3000 кг. Пустой самолет должен был весить 6128 кг, взлетный вес основного варианта достигал 10430 кг, перегрузочный - 11490 кг. Размах был равен 19 м, площадь крыла - 49,3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длина - 14,15 м. Для повышения летных характеристик Поликарпов пошел на увеличение удельной нагрузки на крыло, до</w:t>
      </w:r>
      <w:r w:rsidRPr="008127F8">
        <w:rPr>
          <w:rFonts w:ascii="Times New Roman" w:hAnsi="Times New Roman"/>
          <w:color w:val="000000" w:themeColor="text1"/>
          <w:sz w:val="16"/>
          <w:szCs w:val="16"/>
        </w:rPr>
        <w:softHyphen/>
        <w:t>ведя ее до 240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С моторами М-90 и М-82А самолет развивал макси</w:t>
      </w:r>
      <w:r w:rsidRPr="008127F8">
        <w:rPr>
          <w:rFonts w:ascii="Times New Roman" w:hAnsi="Times New Roman"/>
          <w:color w:val="000000" w:themeColor="text1"/>
          <w:sz w:val="16"/>
          <w:szCs w:val="16"/>
        </w:rPr>
        <w:softHyphen/>
        <w:t>мальную скорость, соответственно, 554 и 515 км/ч и имел максимальную дальность полета порядка 2100 км. В целом предложение Поликарпова восприняли по</w:t>
      </w:r>
      <w:r w:rsidRPr="008127F8">
        <w:rPr>
          <w:rFonts w:ascii="Times New Roman" w:hAnsi="Times New Roman"/>
          <w:color w:val="000000" w:themeColor="text1"/>
          <w:sz w:val="16"/>
          <w:szCs w:val="16"/>
        </w:rPr>
        <w:softHyphen/>
        <w:t>ложительно, однако от него потребовали увеличить бомбовую нагрузку до 3000 кг в нормальном варианте и 5000 кг в перегрузочном (10667).</w:t>
      </w:r>
    </w:p>
    <w:p w14:paraId="5EFC95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07FB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два первых бомбардировщика В-25В собрали, но пришлось ждать, пока к одному из "Митчеллов" доставят запасное колесо взамен поврежденного в дороге. Лишь 5 марта оба самолета перелетели под Москву. Ни один из В-25В не был использован как боевая машина. Все они служили для учебных целей. Одни попал в 11-й запасной полк в Кировабаде, три - в 6-ю запасную бригаду в Иванове. Один бомбардировщик из этой пятерки впоследствии вновь посетил США: он стал персональным самолетом И.П.Мазурука и в сентябре 1942 года прибыл в Фэрбенкс во главе группы пассажирских ПС-84, доставивших туда советских летчиков-перегонщиков (3457,91).</w:t>
      </w:r>
    </w:p>
    <w:p w14:paraId="1C3F80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2BFE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Новосибирск прибыл самолет И-185 М-71 №6204. Его совместные испытания, на которых удалось достичь максимальной скорости 630 км/ч на рас</w:t>
      </w:r>
      <w:r w:rsidRPr="008127F8">
        <w:rPr>
          <w:rFonts w:ascii="Times New Roman" w:hAnsi="Times New Roman"/>
          <w:color w:val="000000" w:themeColor="text1"/>
          <w:sz w:val="16"/>
          <w:szCs w:val="16"/>
        </w:rPr>
        <w:softHyphen/>
        <w:t>четной высоте, проходили в период февраля-марта. Отмечалось, что самолет по своим лет</w:t>
      </w:r>
      <w:r w:rsidRPr="008127F8">
        <w:rPr>
          <w:rFonts w:ascii="Times New Roman" w:hAnsi="Times New Roman"/>
          <w:color w:val="000000" w:themeColor="text1"/>
          <w:sz w:val="16"/>
          <w:szCs w:val="16"/>
        </w:rPr>
        <w:softHyphen/>
        <w:t>ным характеристикам превосходит все отече</w:t>
      </w:r>
      <w:r w:rsidRPr="008127F8">
        <w:rPr>
          <w:rFonts w:ascii="Times New Roman" w:hAnsi="Times New Roman"/>
          <w:color w:val="000000" w:themeColor="text1"/>
          <w:sz w:val="16"/>
          <w:szCs w:val="16"/>
        </w:rPr>
        <w:softHyphen/>
        <w:t>ственные и иностранные самолеты-истребите</w:t>
      </w:r>
      <w:r w:rsidRPr="008127F8">
        <w:rPr>
          <w:rFonts w:ascii="Times New Roman" w:hAnsi="Times New Roman"/>
          <w:color w:val="000000" w:themeColor="text1"/>
          <w:sz w:val="16"/>
          <w:szCs w:val="16"/>
        </w:rPr>
        <w:softHyphen/>
        <w:t>ли. В заключении НИИ ВВС рекомендовалось принять И-185 М-71 на вооружение, в отноше</w:t>
      </w:r>
      <w:r w:rsidRPr="008127F8">
        <w:rPr>
          <w:rFonts w:ascii="Times New Roman" w:hAnsi="Times New Roman"/>
          <w:color w:val="000000" w:themeColor="text1"/>
          <w:sz w:val="16"/>
          <w:szCs w:val="16"/>
        </w:rPr>
        <w:softHyphen/>
        <w:t>нии И-185 М-82А говорилось, что он также пре</w:t>
      </w:r>
      <w:r w:rsidRPr="008127F8">
        <w:rPr>
          <w:rFonts w:ascii="Times New Roman" w:hAnsi="Times New Roman"/>
          <w:color w:val="000000" w:themeColor="text1"/>
          <w:sz w:val="16"/>
          <w:szCs w:val="16"/>
        </w:rPr>
        <w:softHyphen/>
        <w:t>восходит все серийные истребители и уступая только машине с двигателем М-71. При облете И-185 М-71 фронтовыми лет</w:t>
      </w:r>
      <w:r w:rsidRPr="008127F8">
        <w:rPr>
          <w:rFonts w:ascii="Times New Roman" w:hAnsi="Times New Roman"/>
          <w:color w:val="000000" w:themeColor="text1"/>
          <w:sz w:val="16"/>
          <w:szCs w:val="16"/>
        </w:rPr>
        <w:softHyphen/>
        <w:t>чиками в марте 1942 г. командир 18 Гвардейс</w:t>
      </w:r>
      <w:r w:rsidRPr="008127F8">
        <w:rPr>
          <w:rFonts w:ascii="Times New Roman" w:hAnsi="Times New Roman"/>
          <w:color w:val="000000" w:themeColor="text1"/>
          <w:sz w:val="16"/>
          <w:szCs w:val="16"/>
        </w:rPr>
        <w:softHyphen/>
        <w:t>кого иап майор Чертов и его заместитель ка</w:t>
      </w:r>
      <w:r w:rsidRPr="008127F8">
        <w:rPr>
          <w:rFonts w:ascii="Times New Roman" w:hAnsi="Times New Roman"/>
          <w:color w:val="000000" w:themeColor="text1"/>
          <w:sz w:val="16"/>
          <w:szCs w:val="16"/>
        </w:rPr>
        <w:softHyphen/>
        <w:t xml:space="preserve">питан Цветков дали следущую оценку И-185 как истребителю: </w:t>
      </w:r>
      <w:r w:rsidRPr="008127F8">
        <w:rPr>
          <w:rFonts w:ascii="Times New Roman" w:hAnsi="Times New Roman"/>
          <w:iCs/>
          <w:color w:val="000000" w:themeColor="text1"/>
          <w:sz w:val="16"/>
          <w:szCs w:val="16"/>
        </w:rPr>
        <w:t>«Преимущества данного са</w:t>
      </w:r>
      <w:r w:rsidRPr="008127F8">
        <w:rPr>
          <w:rFonts w:ascii="Times New Roman" w:hAnsi="Times New Roman"/>
          <w:iCs/>
          <w:color w:val="000000" w:themeColor="text1"/>
          <w:sz w:val="16"/>
          <w:szCs w:val="16"/>
        </w:rPr>
        <w:softHyphen/>
        <w:t>молета перед имеющимися очевидны. Любой летчик средней квалификации, в особенность летающий на И-16, легко может летать на дан ном самолете. Разбег и пробег являются осо бенно положительной чертой для боевой ра боты... В отличие от имеющихся самолетов ка бина комфортна»</w:t>
      </w:r>
      <w:r w:rsidRPr="008127F8">
        <w:rPr>
          <w:rFonts w:ascii="Times New Roman" w:hAnsi="Times New Roman"/>
          <w:color w:val="000000" w:themeColor="text1"/>
          <w:sz w:val="16"/>
          <w:szCs w:val="16"/>
        </w:rPr>
        <w:t xml:space="preserve"> (9979).</w:t>
      </w:r>
    </w:p>
    <w:p w14:paraId="5AC98BD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584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И-185 № 6202 («РМ», 02), который пролежал на земле под открытым небом на мес</w:t>
      </w:r>
      <w:r w:rsidRPr="008127F8">
        <w:rPr>
          <w:rFonts w:ascii="Times New Roman" w:hAnsi="Times New Roman"/>
          <w:color w:val="000000" w:themeColor="text1"/>
          <w:sz w:val="16"/>
          <w:szCs w:val="16"/>
        </w:rPr>
        <w:softHyphen/>
        <w:t>те аварии с октября 1941 до января 1942 доставили на московский завод № 482, а 12 мая 1942 г. передали в филиал завода №51. Капитальный ремонт самолета продолжался до 18 мар</w:t>
      </w:r>
      <w:r w:rsidRPr="008127F8">
        <w:rPr>
          <w:rFonts w:ascii="Times New Roman" w:hAnsi="Times New Roman"/>
          <w:color w:val="000000" w:themeColor="text1"/>
          <w:sz w:val="16"/>
          <w:szCs w:val="16"/>
        </w:rPr>
        <w:softHyphen/>
        <w:t>та 1943 г. Кроме этой машины, в филиале ремонтиро</w:t>
      </w:r>
      <w:r w:rsidRPr="008127F8">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4BBAF4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F608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 Новоси</w:t>
      </w:r>
      <w:r w:rsidRPr="008127F8">
        <w:rPr>
          <w:rFonts w:ascii="Times New Roman" w:hAnsi="Times New Roman"/>
          <w:color w:val="000000" w:themeColor="text1"/>
          <w:sz w:val="16"/>
          <w:szCs w:val="16"/>
        </w:rPr>
        <w:softHyphen/>
        <w:t>бирск из Москвы прибыл И-185 №6203 с М-71 №22 (04). 22 января 1942 г. его облетал новый заводской лет</w:t>
      </w:r>
      <w:r w:rsidRPr="008127F8">
        <w:rPr>
          <w:rFonts w:ascii="Times New Roman" w:hAnsi="Times New Roman"/>
          <w:color w:val="000000" w:themeColor="text1"/>
          <w:sz w:val="16"/>
          <w:szCs w:val="16"/>
        </w:rPr>
        <w:softHyphen/>
        <w:t>чик-испытатель П.Е.Логинов, так как Е.Г.Уляхин в 1941 г. убыл на фронт и вскоре погиб в одном из воз</w:t>
      </w:r>
      <w:r w:rsidRPr="008127F8">
        <w:rPr>
          <w:rFonts w:ascii="Times New Roman" w:hAnsi="Times New Roman"/>
          <w:color w:val="000000" w:themeColor="text1"/>
          <w:sz w:val="16"/>
          <w:szCs w:val="16"/>
        </w:rPr>
        <w:softHyphen/>
        <w:t>душных сражений. Логинов очень осторожно подходил к испытаниям, нервничал, чем вызвал неудовольствие ведущего ин</w:t>
      </w:r>
      <w:r w:rsidRPr="008127F8">
        <w:rPr>
          <w:rFonts w:ascii="Times New Roman" w:hAnsi="Times New Roman"/>
          <w:color w:val="000000" w:themeColor="text1"/>
          <w:sz w:val="16"/>
          <w:szCs w:val="16"/>
        </w:rPr>
        <w:softHyphen/>
        <w:t>женера по И-185 В.И.Тарасова, который в докладной записке просил Поликарпова организовать дублиро</w:t>
      </w:r>
      <w:r w:rsidRPr="008127F8">
        <w:rPr>
          <w:rFonts w:ascii="Times New Roman" w:hAnsi="Times New Roman"/>
          <w:color w:val="000000" w:themeColor="text1"/>
          <w:sz w:val="16"/>
          <w:szCs w:val="16"/>
        </w:rPr>
        <w:softHyphen/>
        <w:t>ванные полеты, проводимые другим летчиком, «в ча</w:t>
      </w:r>
      <w:r w:rsidRPr="008127F8">
        <w:rPr>
          <w:rFonts w:ascii="Times New Roman" w:hAnsi="Times New Roman"/>
          <w:color w:val="000000" w:themeColor="text1"/>
          <w:sz w:val="16"/>
          <w:szCs w:val="16"/>
        </w:rPr>
        <w:softHyphen/>
        <w:t>стности, хорошо бы пригласить на испытания в качестве второго пилота капитана т. Попельнюшенко, работающего в ЛИИ (Толмачево)». Начальник летно-испытательной станции завода № 51 Герой Со</w:t>
      </w:r>
      <w:r w:rsidRPr="008127F8">
        <w:rPr>
          <w:rFonts w:ascii="Times New Roman" w:hAnsi="Times New Roman"/>
          <w:color w:val="000000" w:themeColor="text1"/>
          <w:sz w:val="16"/>
          <w:szCs w:val="16"/>
        </w:rPr>
        <w:softHyphen/>
        <w:t>ветского Союза полковник Доронин уговорил Николая Николаевича этого не делать, объясняя нервозность тем, что «плохо с работой мотора на малых оборотах». Как только Логинов освоился с машиной, вопрос от</w:t>
      </w:r>
      <w:r w:rsidRPr="008127F8">
        <w:rPr>
          <w:rFonts w:ascii="Times New Roman" w:hAnsi="Times New Roman"/>
          <w:color w:val="000000" w:themeColor="text1"/>
          <w:sz w:val="16"/>
          <w:szCs w:val="16"/>
        </w:rPr>
        <w:softHyphen/>
        <w:t>пал сам собой (10667).</w:t>
      </w:r>
    </w:p>
    <w:p w14:paraId="2636F57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452BE" w14:textId="77777777" w:rsidR="00DE2778" w:rsidRPr="008127F8" w:rsidRDefault="00DE277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январе 1942 г. планер второго экземпляра ИТП (М-2), который был достроен в Новосибирске, подвергли статическим испытаниям с доведени</w:t>
      </w:r>
      <w:r w:rsidRPr="008127F8">
        <w:rPr>
          <w:color w:val="000000" w:themeColor="text1"/>
          <w:sz w:val="16"/>
          <w:szCs w:val="16"/>
        </w:rPr>
        <w:softHyphen/>
        <w:t>ем нагрузки до 67% от расчетных значений. Из-за недоведенности мотора М-107П на самолет уста</w:t>
      </w:r>
      <w:r w:rsidRPr="008127F8">
        <w:rPr>
          <w:color w:val="000000" w:themeColor="text1"/>
          <w:sz w:val="16"/>
          <w:szCs w:val="16"/>
        </w:rPr>
        <w:softHyphen/>
        <w:t>новили мотор АМ-37. Рассчитывали, что удастся максимально использовать опыт отработки вин</w:t>
      </w:r>
      <w:r w:rsidRPr="008127F8">
        <w:rPr>
          <w:color w:val="000000" w:themeColor="text1"/>
          <w:sz w:val="16"/>
          <w:szCs w:val="16"/>
        </w:rPr>
        <w:softHyphen/>
        <w:t>томоторной группы с этим мотором на самолете ТИС (А), который в это время проходил заводские летные испытания, и за счет этого сократить время доводки ИТП (М-2). Однако не случилось. При на</w:t>
      </w:r>
      <w:r w:rsidRPr="008127F8">
        <w:rPr>
          <w:color w:val="000000" w:themeColor="text1"/>
          <w:sz w:val="16"/>
          <w:szCs w:val="16"/>
        </w:rPr>
        <w:softHyphen/>
        <w:t>земных испытаниях установленный на ИТП мотор АМ-37 работал так же ненадежно, как и на ТИС (А). И в этом отношении ситуация с работоспособно</w:t>
      </w:r>
      <w:r w:rsidRPr="008127F8">
        <w:rPr>
          <w:color w:val="000000" w:themeColor="text1"/>
          <w:sz w:val="16"/>
          <w:szCs w:val="16"/>
        </w:rPr>
        <w:softHyphen/>
        <w:t>стью винтомоторной группы ИТП (М-2) ничем не отличалась от самолета ИТП (М-1) с М-107П. В дека</w:t>
      </w:r>
      <w:r w:rsidRPr="008127F8">
        <w:rPr>
          <w:color w:val="000000" w:themeColor="text1"/>
          <w:sz w:val="16"/>
          <w:szCs w:val="16"/>
        </w:rPr>
        <w:softHyphen/>
        <w:t>бре самолет перевезли в Москву (17500).</w:t>
      </w:r>
    </w:p>
    <w:p w14:paraId="7A96FB71" w14:textId="77777777" w:rsidR="00DE2778" w:rsidRPr="008127F8" w:rsidRDefault="00DE2778" w:rsidP="001E0A84">
      <w:pPr>
        <w:spacing w:after="0" w:line="240" w:lineRule="auto"/>
        <w:jc w:val="both"/>
        <w:rPr>
          <w:rFonts w:ascii="Times New Roman" w:hAnsi="Times New Roman"/>
          <w:color w:val="000000" w:themeColor="text1"/>
          <w:sz w:val="16"/>
          <w:szCs w:val="16"/>
        </w:rPr>
      </w:pPr>
    </w:p>
    <w:p w14:paraId="3B353F5E"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w:t>
      </w:r>
      <w:r w:rsidRPr="008A2E5A">
        <w:rPr>
          <w:rFonts w:ascii="Times New Roman" w:hAnsi="Times New Roman"/>
          <w:color w:val="0070C0"/>
          <w:sz w:val="16"/>
          <w:szCs w:val="16"/>
        </w:rPr>
        <w:softHyphen/>
        <w:t>варе 1942 г. планер второго самолета ИТП, который был достроен в Новосибирске. подвергли статическим испытаниям с доведением нагрузки до 67% от расчетных значений. Из-за недоведенности мотора М-107П на самолет установили мотор АМ-37. Рас</w:t>
      </w:r>
      <w:r w:rsidRPr="008A2E5A">
        <w:rPr>
          <w:rFonts w:ascii="Times New Roman" w:hAnsi="Times New Roman"/>
          <w:color w:val="0070C0"/>
          <w:sz w:val="16"/>
          <w:szCs w:val="16"/>
        </w:rPr>
        <w:softHyphen/>
        <w:t>считывали, что удастся максимально ис</w:t>
      </w:r>
      <w:r w:rsidRPr="008A2E5A">
        <w:rPr>
          <w:rFonts w:ascii="Times New Roman" w:hAnsi="Times New Roman"/>
          <w:color w:val="0070C0"/>
          <w:sz w:val="16"/>
          <w:szCs w:val="16"/>
        </w:rPr>
        <w:softHyphen/>
        <w:t>пользовать опыт отработки винтомотор</w:t>
      </w:r>
      <w:r w:rsidRPr="008A2E5A">
        <w:rPr>
          <w:rFonts w:ascii="Times New Roman" w:hAnsi="Times New Roman"/>
          <w:color w:val="0070C0"/>
          <w:sz w:val="16"/>
          <w:szCs w:val="16"/>
        </w:rPr>
        <w:softHyphen/>
        <w:t>ной группы с этим мотором на самоле</w:t>
      </w:r>
      <w:r w:rsidRPr="008A2E5A">
        <w:rPr>
          <w:rFonts w:ascii="Times New Roman" w:hAnsi="Times New Roman"/>
          <w:color w:val="0070C0"/>
          <w:sz w:val="16"/>
          <w:szCs w:val="16"/>
        </w:rPr>
        <w:softHyphen/>
        <w:t>те ТИС (А), который в это время прохо</w:t>
      </w:r>
      <w:r w:rsidRPr="008A2E5A">
        <w:rPr>
          <w:rFonts w:ascii="Times New Roman" w:hAnsi="Times New Roman"/>
          <w:color w:val="0070C0"/>
          <w:sz w:val="16"/>
          <w:szCs w:val="16"/>
        </w:rPr>
        <w:softHyphen/>
        <w:t>дил заводские летные испытания, и за счет этого сократить сроки доводки ИТП (М-2). Однако при наземных испытани</w:t>
      </w:r>
      <w:r w:rsidRPr="008A2E5A">
        <w:rPr>
          <w:rFonts w:ascii="Times New Roman" w:hAnsi="Times New Roman"/>
          <w:color w:val="0070C0"/>
          <w:sz w:val="16"/>
          <w:szCs w:val="16"/>
        </w:rPr>
        <w:softHyphen/>
        <w:t>ях установленный на ИТП мотор АМ-37 работал также ненадежно, как и на ТИС (А). И в этом отношении ситуация с рабо</w:t>
      </w:r>
      <w:r w:rsidRPr="008A2E5A">
        <w:rPr>
          <w:rFonts w:ascii="Times New Roman" w:hAnsi="Times New Roman"/>
          <w:color w:val="0070C0"/>
          <w:sz w:val="16"/>
          <w:szCs w:val="16"/>
        </w:rPr>
        <w:softHyphen/>
        <w:t>тоспособностью винтомоторной группы ИТП (М-2) ничем не отличалась от само</w:t>
      </w:r>
      <w:r w:rsidRPr="008A2E5A">
        <w:rPr>
          <w:rFonts w:ascii="Times New Roman" w:hAnsi="Times New Roman"/>
          <w:color w:val="0070C0"/>
          <w:sz w:val="16"/>
          <w:szCs w:val="16"/>
        </w:rPr>
        <w:softHyphen/>
        <w:t>лета ИТП (М-1) с М-107П. В декабре са</w:t>
      </w:r>
      <w:r w:rsidRPr="008A2E5A">
        <w:rPr>
          <w:rFonts w:ascii="Times New Roman" w:hAnsi="Times New Roman"/>
          <w:color w:val="0070C0"/>
          <w:sz w:val="16"/>
          <w:szCs w:val="16"/>
        </w:rPr>
        <w:softHyphen/>
        <w:t>молет перевезли в Москву.</w:t>
      </w:r>
    </w:p>
    <w:p w14:paraId="04CCCEB8"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этому времени на заводе №24 на</w:t>
      </w:r>
      <w:r w:rsidRPr="008A2E5A">
        <w:rPr>
          <w:rFonts w:ascii="Times New Roman" w:hAnsi="Times New Roman"/>
          <w:color w:val="0070C0"/>
          <w:sz w:val="16"/>
          <w:szCs w:val="16"/>
        </w:rPr>
        <w:softHyphen/>
        <w:t>чались совместные 50-часовые испытания опытного образца мотора АМ-39, постро</w:t>
      </w:r>
      <w:r w:rsidRPr="008A2E5A">
        <w:rPr>
          <w:rFonts w:ascii="Times New Roman" w:hAnsi="Times New Roman"/>
          <w:color w:val="0070C0"/>
          <w:sz w:val="16"/>
          <w:szCs w:val="16"/>
        </w:rPr>
        <w:softHyphen/>
        <w:t>енного на базе узлов и агрегатов мото</w:t>
      </w:r>
      <w:r w:rsidRPr="008A2E5A">
        <w:rPr>
          <w:rFonts w:ascii="Times New Roman" w:hAnsi="Times New Roman"/>
          <w:color w:val="0070C0"/>
          <w:sz w:val="16"/>
          <w:szCs w:val="16"/>
        </w:rPr>
        <w:softHyphen/>
        <w:t>ра АМ-38Ф. Полученные результаты были вполне обнадеживающими. Взлетная мощ</w:t>
      </w:r>
      <w:r w:rsidRPr="008A2E5A">
        <w:rPr>
          <w:rFonts w:ascii="Times New Roman" w:hAnsi="Times New Roman"/>
          <w:color w:val="0070C0"/>
          <w:sz w:val="16"/>
          <w:szCs w:val="16"/>
        </w:rPr>
        <w:softHyphen/>
        <w:t>ность оказалась на уровне 1700 л.с., номи</w:t>
      </w:r>
      <w:r w:rsidRPr="008A2E5A">
        <w:rPr>
          <w:rFonts w:ascii="Times New Roman" w:hAnsi="Times New Roman"/>
          <w:color w:val="0070C0"/>
          <w:sz w:val="16"/>
          <w:szCs w:val="16"/>
        </w:rPr>
        <w:softHyphen/>
        <w:t>нальная мощность на 1-й границе высот</w:t>
      </w:r>
      <w:r w:rsidRPr="008A2E5A">
        <w:rPr>
          <w:rFonts w:ascii="Times New Roman" w:hAnsi="Times New Roman"/>
          <w:color w:val="0070C0"/>
          <w:sz w:val="16"/>
          <w:szCs w:val="16"/>
        </w:rPr>
        <w:softHyphen/>
        <w:t>ности 1600 м - 1500 л.с., и на 2-й границе высотности 6000 м - 1400 л.с.</w:t>
      </w:r>
    </w:p>
    <w:p w14:paraId="40232CF4"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 АМ-39 отличался от крупносе</w:t>
      </w:r>
      <w:r w:rsidRPr="008A2E5A">
        <w:rPr>
          <w:rFonts w:ascii="Times New Roman" w:hAnsi="Times New Roman"/>
          <w:color w:val="0070C0"/>
          <w:sz w:val="16"/>
          <w:szCs w:val="16"/>
        </w:rPr>
        <w:softHyphen/>
        <w:t>рийного мотора АМ-38Ф только постанов</w:t>
      </w:r>
      <w:r w:rsidRPr="008A2E5A">
        <w:rPr>
          <w:rFonts w:ascii="Times New Roman" w:hAnsi="Times New Roman"/>
          <w:color w:val="0070C0"/>
          <w:sz w:val="16"/>
          <w:szCs w:val="16"/>
        </w:rPr>
        <w:softHyphen/>
        <w:t>кой дополнительной двухскоростной ко</w:t>
      </w:r>
      <w:r w:rsidRPr="008A2E5A">
        <w:rPr>
          <w:rFonts w:ascii="Times New Roman" w:hAnsi="Times New Roman"/>
          <w:color w:val="0070C0"/>
          <w:sz w:val="16"/>
          <w:szCs w:val="16"/>
        </w:rPr>
        <w:softHyphen/>
        <w:t>робки к нагнетателю и водо-воздушно</w:t>
      </w:r>
      <w:r w:rsidRPr="008A2E5A">
        <w:rPr>
          <w:rFonts w:ascii="Times New Roman" w:hAnsi="Times New Roman"/>
          <w:color w:val="0070C0"/>
          <w:sz w:val="16"/>
          <w:szCs w:val="16"/>
        </w:rPr>
        <w:softHyphen/>
        <w:t>го радиатора от мотора АМ-37. Внедрение коробки не требовало изменения техно</w:t>
      </w:r>
      <w:r w:rsidRPr="008A2E5A">
        <w:rPr>
          <w:rFonts w:ascii="Times New Roman" w:hAnsi="Times New Roman"/>
          <w:color w:val="0070C0"/>
          <w:sz w:val="16"/>
          <w:szCs w:val="16"/>
        </w:rPr>
        <w:softHyphen/>
        <w:t>логии изготовления нагнетателя. Эти осо</w:t>
      </w:r>
      <w:r w:rsidRPr="008A2E5A">
        <w:rPr>
          <w:rFonts w:ascii="Times New Roman" w:hAnsi="Times New Roman"/>
          <w:color w:val="0070C0"/>
          <w:sz w:val="16"/>
          <w:szCs w:val="16"/>
        </w:rPr>
        <w:softHyphen/>
        <w:t>бенности мотора АМ-39 позволяли над</w:t>
      </w:r>
      <w:r w:rsidRPr="008A2E5A">
        <w:rPr>
          <w:rFonts w:ascii="Times New Roman" w:hAnsi="Times New Roman"/>
          <w:color w:val="0070C0"/>
          <w:sz w:val="16"/>
          <w:szCs w:val="16"/>
        </w:rPr>
        <w:softHyphen/>
        <w:t>еяться, что он будет достаточно быстро доведен до серийного производства.</w:t>
      </w:r>
    </w:p>
    <w:p w14:paraId="20806AC1"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Получив информацию от Микулина по мотору АМ-39, Поликарпов незамедли</w:t>
      </w:r>
      <w:r w:rsidRPr="008A2E5A">
        <w:rPr>
          <w:rFonts w:ascii="Times New Roman" w:hAnsi="Times New Roman"/>
          <w:color w:val="0070C0"/>
          <w:sz w:val="16"/>
          <w:szCs w:val="16"/>
        </w:rPr>
        <w:softHyphen/>
        <w:t>тельно вышел с инициативой доработать ИТП (М-2) под этот мотор. При этом пред</w:t>
      </w:r>
      <w:r w:rsidRPr="008A2E5A">
        <w:rPr>
          <w:rFonts w:ascii="Times New Roman" w:hAnsi="Times New Roman"/>
          <w:color w:val="0070C0"/>
          <w:sz w:val="16"/>
          <w:szCs w:val="16"/>
        </w:rPr>
        <w:softHyphen/>
        <w:t>полагалось провести комплекс мероприя</w:t>
      </w:r>
      <w:r w:rsidRPr="008A2E5A">
        <w:rPr>
          <w:rFonts w:ascii="Times New Roman" w:hAnsi="Times New Roman"/>
          <w:color w:val="0070C0"/>
          <w:sz w:val="16"/>
          <w:szCs w:val="16"/>
        </w:rPr>
        <w:softHyphen/>
        <w:t>тий по снижению веса пустого самолета.</w:t>
      </w:r>
    </w:p>
    <w:p w14:paraId="798C26FB"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расчетам ИТП (М-2) с АМ-39 при полетном весе 3513 кг должен был иметь максимальную скорость у земли 566 км/ч на номинальном режиме рабо</w:t>
      </w:r>
      <w:r w:rsidRPr="008A2E5A">
        <w:rPr>
          <w:rFonts w:ascii="Times New Roman" w:hAnsi="Times New Roman"/>
          <w:color w:val="0070C0"/>
          <w:sz w:val="16"/>
          <w:szCs w:val="16"/>
        </w:rPr>
        <w:softHyphen/>
        <w:t>ты мотора и 600 км/ч - на форсаже. Мак</w:t>
      </w:r>
      <w:r w:rsidRPr="008A2E5A">
        <w:rPr>
          <w:rFonts w:ascii="Times New Roman" w:hAnsi="Times New Roman"/>
          <w:color w:val="0070C0"/>
          <w:sz w:val="16"/>
          <w:szCs w:val="16"/>
        </w:rPr>
        <w:softHyphen/>
        <w:t>симальная скорость на расчетной высоте 7600 м достигала 688 км/ч. Время набора высоты 5000 м - 4,9 мин. Практический потолок - 11 000 м. Вооружение состоя</w:t>
      </w:r>
      <w:r w:rsidRPr="008A2E5A">
        <w:rPr>
          <w:rFonts w:ascii="Times New Roman" w:hAnsi="Times New Roman"/>
          <w:color w:val="0070C0"/>
          <w:sz w:val="16"/>
          <w:szCs w:val="16"/>
        </w:rPr>
        <w:softHyphen/>
        <w:t>ло из трех синхронных пушек ШВАК (все</w:t>
      </w:r>
      <w:r w:rsidRPr="008A2E5A">
        <w:rPr>
          <w:rFonts w:ascii="Times New Roman" w:hAnsi="Times New Roman"/>
          <w:color w:val="0070C0"/>
          <w:sz w:val="16"/>
          <w:szCs w:val="16"/>
        </w:rPr>
        <w:softHyphen/>
        <w:t>го 550 патронов). Секундный залп состав</w:t>
      </w:r>
      <w:r w:rsidRPr="008A2E5A">
        <w:rPr>
          <w:rFonts w:ascii="Times New Roman" w:hAnsi="Times New Roman"/>
          <w:color w:val="0070C0"/>
          <w:sz w:val="16"/>
          <w:szCs w:val="16"/>
        </w:rPr>
        <w:softHyphen/>
        <w:t>лял 3,37 кг. В перегрузку под крылом до</w:t>
      </w:r>
      <w:r w:rsidRPr="008A2E5A">
        <w:rPr>
          <w:rFonts w:ascii="Times New Roman" w:hAnsi="Times New Roman"/>
          <w:color w:val="0070C0"/>
          <w:sz w:val="16"/>
          <w:szCs w:val="16"/>
        </w:rPr>
        <w:softHyphen/>
        <w:t>пускалась подвеска 400 кг бомб или 8 ра</w:t>
      </w:r>
      <w:r w:rsidRPr="008A2E5A">
        <w:rPr>
          <w:rFonts w:ascii="Times New Roman" w:hAnsi="Times New Roman"/>
          <w:color w:val="0070C0"/>
          <w:sz w:val="16"/>
          <w:szCs w:val="16"/>
        </w:rPr>
        <w:softHyphen/>
        <w:t>кетных орудий РО-82.</w:t>
      </w:r>
    </w:p>
    <w:p w14:paraId="10C06638"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Очевидно, с таким составом пушечно</w:t>
      </w:r>
      <w:r w:rsidRPr="008A2E5A">
        <w:rPr>
          <w:rFonts w:ascii="Times New Roman" w:hAnsi="Times New Roman"/>
          <w:color w:val="0070C0"/>
          <w:sz w:val="16"/>
          <w:szCs w:val="16"/>
        </w:rPr>
        <w:softHyphen/>
        <w:t>го вооружения ИТП (М-2) уже не мог рас</w:t>
      </w:r>
      <w:r w:rsidRPr="008A2E5A">
        <w:rPr>
          <w:rFonts w:ascii="Times New Roman" w:hAnsi="Times New Roman"/>
          <w:color w:val="0070C0"/>
          <w:sz w:val="16"/>
          <w:szCs w:val="16"/>
        </w:rPr>
        <w:softHyphen/>
        <w:t>сматриваться как противотанковый са</w:t>
      </w:r>
      <w:r w:rsidRPr="008A2E5A">
        <w:rPr>
          <w:rFonts w:ascii="Times New Roman" w:hAnsi="Times New Roman"/>
          <w:color w:val="0070C0"/>
          <w:sz w:val="16"/>
          <w:szCs w:val="16"/>
        </w:rPr>
        <w:softHyphen/>
        <w:t>молет и переходил в статус истребите</w:t>
      </w:r>
      <w:r w:rsidRPr="008A2E5A">
        <w:rPr>
          <w:rFonts w:ascii="Times New Roman" w:hAnsi="Times New Roman"/>
          <w:color w:val="0070C0"/>
          <w:sz w:val="16"/>
          <w:szCs w:val="16"/>
        </w:rPr>
        <w:softHyphen/>
        <w:t>ля-бомбардировщика. Более того, самолет утрачивал свое главное преимущество - сочетание большой мощи огня и высо</w:t>
      </w:r>
      <w:r w:rsidRPr="008A2E5A">
        <w:rPr>
          <w:rFonts w:ascii="Times New Roman" w:hAnsi="Times New Roman"/>
          <w:color w:val="0070C0"/>
          <w:sz w:val="16"/>
          <w:szCs w:val="16"/>
        </w:rPr>
        <w:softHyphen/>
        <w:t>ких летных данных. К тому же требова</w:t>
      </w:r>
      <w:r w:rsidRPr="008A2E5A">
        <w:rPr>
          <w:rFonts w:ascii="Times New Roman" w:hAnsi="Times New Roman"/>
          <w:color w:val="0070C0"/>
          <w:sz w:val="16"/>
          <w:szCs w:val="16"/>
        </w:rPr>
        <w:softHyphen/>
        <w:t>лось время для доводки мотора АМ-39, который еще был «сырым». По этим при</w:t>
      </w:r>
      <w:r w:rsidRPr="008A2E5A">
        <w:rPr>
          <w:rFonts w:ascii="Times New Roman" w:hAnsi="Times New Roman"/>
          <w:color w:val="0070C0"/>
          <w:sz w:val="16"/>
          <w:szCs w:val="16"/>
        </w:rPr>
        <w:softHyphen/>
        <w:t>чинам вторая «эмка» особой «опасности» для Яковлева не представляла. Соответ</w:t>
      </w:r>
      <w:r w:rsidRPr="008A2E5A">
        <w:rPr>
          <w:rFonts w:ascii="Times New Roman" w:hAnsi="Times New Roman"/>
          <w:color w:val="0070C0"/>
          <w:sz w:val="16"/>
          <w:szCs w:val="16"/>
        </w:rPr>
        <w:softHyphen/>
        <w:t>ственно, НКАП незамедлительно санкци</w:t>
      </w:r>
      <w:r w:rsidRPr="008A2E5A">
        <w:rPr>
          <w:rFonts w:ascii="Times New Roman" w:hAnsi="Times New Roman"/>
          <w:color w:val="0070C0"/>
          <w:sz w:val="16"/>
          <w:szCs w:val="16"/>
        </w:rPr>
        <w:softHyphen/>
        <w:t>онировал установку на ИТП (М-2) мото</w:t>
      </w:r>
      <w:r w:rsidRPr="008A2E5A">
        <w:rPr>
          <w:rFonts w:ascii="Times New Roman" w:hAnsi="Times New Roman"/>
          <w:color w:val="0070C0"/>
          <w:sz w:val="16"/>
          <w:szCs w:val="16"/>
        </w:rPr>
        <w:softHyphen/>
        <w:t>ра АМ-39. Одновременно директор заво</w:t>
      </w:r>
      <w:r w:rsidRPr="008A2E5A">
        <w:rPr>
          <w:rFonts w:ascii="Times New Roman" w:hAnsi="Times New Roman"/>
          <w:color w:val="0070C0"/>
          <w:sz w:val="16"/>
          <w:szCs w:val="16"/>
        </w:rPr>
        <w:softHyphen/>
        <w:t>да №300 ГА. Тихомирнов получил при</w:t>
      </w:r>
      <w:r w:rsidRPr="008A2E5A">
        <w:rPr>
          <w:rFonts w:ascii="Times New Roman" w:hAnsi="Times New Roman"/>
          <w:color w:val="0070C0"/>
          <w:sz w:val="16"/>
          <w:szCs w:val="16"/>
        </w:rPr>
        <w:softHyphen/>
        <w:t>каз поставить заводу №51 один мотор АМ-39Б с ТК с редукцией 0,59 в срок не позже 1 июля и еще два таких же мо</w:t>
      </w:r>
      <w:r w:rsidRPr="008A2E5A">
        <w:rPr>
          <w:rFonts w:ascii="Times New Roman" w:hAnsi="Times New Roman"/>
          <w:color w:val="0070C0"/>
          <w:sz w:val="16"/>
          <w:szCs w:val="16"/>
        </w:rPr>
        <w:softHyphen/>
        <w:t>тора - к 15 сентября 1943 г. (24308).</w:t>
      </w:r>
    </w:p>
    <w:p w14:paraId="401E2FB6" w14:textId="77777777" w:rsidR="00F11CAA" w:rsidRPr="008A2E5A" w:rsidRDefault="00F11CAA" w:rsidP="00F11CAA">
      <w:pPr>
        <w:spacing w:after="0" w:line="240" w:lineRule="auto"/>
        <w:jc w:val="both"/>
        <w:rPr>
          <w:rFonts w:ascii="Times New Roman" w:hAnsi="Times New Roman"/>
          <w:color w:val="0070C0"/>
          <w:sz w:val="16"/>
          <w:szCs w:val="16"/>
        </w:rPr>
      </w:pPr>
    </w:p>
    <w:p w14:paraId="788AAE94"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совершил первый полет Микоян и Гуревич ДИС (МиГ-5, «ИТ», став первым с моторами М-82Ф, но к тому времени стендовые испытания мотора еще не были завершены и вероятно были установлены моторы М-82А; в серию не запускался – по большинству источников в связи с отсутствием заказа на истребители сопровождения, но нет сведений о прохождении самолетом испытаний и о надежности моторов, а относительно стендовых испытаний известно, что они сопровождались многочисленными отказами (24262).</w:t>
      </w:r>
    </w:p>
    <w:p w14:paraId="7B58605E" w14:textId="77777777" w:rsidR="00F11CAA" w:rsidRPr="008A2E5A" w:rsidRDefault="00F11CAA" w:rsidP="00F11CAA">
      <w:pPr>
        <w:spacing w:after="0" w:line="240" w:lineRule="auto"/>
        <w:jc w:val="both"/>
        <w:rPr>
          <w:rFonts w:ascii="Times New Roman" w:hAnsi="Times New Roman"/>
          <w:color w:val="0070C0"/>
          <w:sz w:val="16"/>
          <w:szCs w:val="16"/>
        </w:rPr>
      </w:pPr>
    </w:p>
    <w:p w14:paraId="0D3915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в Новосибирске на заводе № 153 был достроен опытный Як-7 с М-82, нача</w:t>
      </w:r>
      <w:r w:rsidRPr="008127F8">
        <w:rPr>
          <w:rFonts w:ascii="Times New Roman" w:hAnsi="Times New Roman"/>
          <w:color w:val="000000" w:themeColor="text1"/>
          <w:sz w:val="16"/>
          <w:szCs w:val="16"/>
        </w:rPr>
        <w:softHyphen/>
        <w:t>тый постройкой вместо упоминавше</w:t>
      </w:r>
      <w:r w:rsidRPr="008127F8">
        <w:rPr>
          <w:rFonts w:ascii="Times New Roman" w:hAnsi="Times New Roman"/>
          <w:color w:val="000000" w:themeColor="text1"/>
          <w:sz w:val="16"/>
          <w:szCs w:val="16"/>
        </w:rPr>
        <w:softHyphen/>
        <w:t>гося ранее Як-3 еще в августе-сен</w:t>
      </w:r>
      <w:r w:rsidRPr="008127F8">
        <w:rPr>
          <w:rFonts w:ascii="Times New Roman" w:hAnsi="Times New Roman"/>
          <w:color w:val="000000" w:themeColor="text1"/>
          <w:sz w:val="16"/>
          <w:szCs w:val="16"/>
        </w:rPr>
        <w:softHyphen/>
        <w:t>тябре 1941 года. В отличие от всех предыдущих самолетов с М-82 здесь мотор был закрыт капотом МАСА, вы</w:t>
      </w:r>
      <w:r w:rsidRPr="008127F8">
        <w:rPr>
          <w:rFonts w:ascii="Times New Roman" w:hAnsi="Times New Roman"/>
          <w:color w:val="000000" w:themeColor="text1"/>
          <w:sz w:val="16"/>
          <w:szCs w:val="16"/>
        </w:rPr>
        <w:softHyphen/>
        <w:t xml:space="preserve">ход </w:t>
      </w:r>
      <w:proofErr w:type="gramStart"/>
      <w:r w:rsidRPr="008127F8">
        <w:rPr>
          <w:rFonts w:ascii="Times New Roman" w:hAnsi="Times New Roman"/>
          <w:color w:val="000000" w:themeColor="text1"/>
          <w:sz w:val="16"/>
          <w:szCs w:val="16"/>
        </w:rPr>
        <w:t>воздуха</w:t>
      </w:r>
      <w:proofErr w:type="gramEnd"/>
      <w:r w:rsidRPr="008127F8">
        <w:rPr>
          <w:rFonts w:ascii="Times New Roman" w:hAnsi="Times New Roman"/>
          <w:color w:val="000000" w:themeColor="text1"/>
          <w:sz w:val="16"/>
          <w:szCs w:val="16"/>
        </w:rPr>
        <w:t xml:space="preserve"> из которого регулировался не кольцевой юбкой, а боковыми створками. Всасывающий патрубок располагался внутри в верхней час</w:t>
      </w:r>
      <w:r w:rsidRPr="008127F8">
        <w:rPr>
          <w:rFonts w:ascii="Times New Roman" w:hAnsi="Times New Roman"/>
          <w:color w:val="000000" w:themeColor="text1"/>
          <w:sz w:val="16"/>
          <w:szCs w:val="16"/>
        </w:rPr>
        <w:softHyphen/>
        <w:t>ти капота, маспорадиатор ОП-293 был подвешен под мотором. Чтобы не возиться с синхронизацией пушек, Яковлев разместил две пушки ШВАК в консолях крыла, а на моторе стоял один синхронный пулемет БС (10686).</w:t>
      </w:r>
    </w:p>
    <w:p w14:paraId="61FFE4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0B9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выли выпущены последние 22 экземпляра МиГ-3 из 3100 (1021,69).</w:t>
      </w:r>
    </w:p>
    <w:p w14:paraId="383893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A19CC" w14:textId="15D9DE8E" w:rsidR="006638CB" w:rsidRPr="008127F8" w:rsidRDefault="006638C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Последние двенадцать серийных МиГ</w:t>
      </w:r>
      <w:r w:rsidRPr="008127F8">
        <w:rPr>
          <w:rFonts w:ascii="Times New Roman" w:hAnsi="Times New Roman"/>
          <w:color w:val="000000" w:themeColor="text1"/>
          <w:sz w:val="16"/>
          <w:szCs w:val="16"/>
        </w:rPr>
        <w:noBreakHyphen/>
        <w:t>3 были сданы заводом №1 в Куйбышеве и далее он полностью перешел на выпуск штурмовиков Ил</w:t>
      </w:r>
      <w:r w:rsidRPr="008127F8">
        <w:rPr>
          <w:rFonts w:ascii="Times New Roman" w:hAnsi="Times New Roman"/>
          <w:color w:val="000000" w:themeColor="text1"/>
          <w:sz w:val="16"/>
          <w:szCs w:val="16"/>
        </w:rPr>
        <w:noBreakHyphen/>
        <w:t xml:space="preserve">2. Всего это предприятие сделало </w:t>
      </w:r>
      <w:proofErr w:type="gramStart"/>
      <w:r w:rsidRPr="008127F8">
        <w:rPr>
          <w:rFonts w:ascii="Times New Roman" w:hAnsi="Times New Roman"/>
          <w:color w:val="000000" w:themeColor="text1"/>
          <w:sz w:val="16"/>
          <w:szCs w:val="16"/>
        </w:rPr>
        <w:t>3100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истребителей</w:t>
      </w:r>
      <w:proofErr w:type="gramEnd"/>
      <w:r w:rsidRPr="008127F8">
        <w:rPr>
          <w:rFonts w:ascii="Times New Roman" w:hAnsi="Times New Roman"/>
          <w:color w:val="000000" w:themeColor="text1"/>
          <w:sz w:val="16"/>
          <w:szCs w:val="16"/>
        </w:rPr>
        <w:t xml:space="preserve"> этого типа (23185).</w:t>
      </w:r>
    </w:p>
    <w:p w14:paraId="430C884B" w14:textId="77777777" w:rsidR="006638CB" w:rsidRPr="008127F8" w:rsidRDefault="006638CB" w:rsidP="001E0A84">
      <w:pPr>
        <w:spacing w:after="0" w:line="240" w:lineRule="auto"/>
        <w:jc w:val="both"/>
        <w:rPr>
          <w:rFonts w:ascii="Times New Roman" w:hAnsi="Times New Roman"/>
          <w:color w:val="000000" w:themeColor="text1"/>
          <w:sz w:val="16"/>
          <w:szCs w:val="16"/>
        </w:rPr>
      </w:pPr>
    </w:p>
    <w:p w14:paraId="52D56F59" w14:textId="77777777" w:rsidR="006638CB" w:rsidRPr="008127F8" w:rsidRDefault="006638CB" w:rsidP="001E0A84">
      <w:pPr>
        <w:pStyle w:val="a4"/>
        <w:rPr>
          <w:color w:val="000000" w:themeColor="text1"/>
          <w:lang w:val="ru-RU"/>
        </w:rPr>
      </w:pPr>
      <w:r w:rsidRPr="008127F8">
        <w:rPr>
          <w:color w:val="000000" w:themeColor="text1"/>
          <w:lang w:val="ru-RU"/>
        </w:rPr>
        <w:t>В январе 1942 г. в Куйбышеве завершили изготовление самолётов МиГ-9 войсковой серии. В этом же месяце провели заводские испытания МиГ-9 № 6502, который пилотировал лётчик-испыта</w:t>
      </w:r>
      <w:r w:rsidRPr="008127F8">
        <w:rPr>
          <w:color w:val="000000" w:themeColor="text1"/>
          <w:lang w:val="ru-RU"/>
        </w:rPr>
        <w:softHyphen/>
        <w:t xml:space="preserve">тель В.Н.Савкин. На самолёте проверялась работа винтомоторной группы, и определялись его штопорные свойства. Полученные данных </w:t>
      </w:r>
      <w:r w:rsidRPr="008127F8">
        <w:rPr>
          <w:color w:val="000000" w:themeColor="text1"/>
          <w:lang w:val="ru-RU"/>
        </w:rPr>
        <w:lastRenderedPageBreak/>
        <w:t>показали, что тепловой режим ВМГ до расчётной вы</w:t>
      </w:r>
      <w:r w:rsidRPr="008127F8">
        <w:rPr>
          <w:color w:val="000000" w:themeColor="text1"/>
          <w:lang w:val="ru-RU"/>
        </w:rPr>
        <w:softHyphen/>
        <w:t>соты второй скорости нагнетателя вполне нормальный, а по штопорным свойствам МиГ-9 имел преимущества по сравнению с серийным МиГ-3 (15976).</w:t>
      </w:r>
    </w:p>
    <w:p w14:paraId="611D9BD2" w14:textId="77777777" w:rsidR="006638CB" w:rsidRPr="008127F8" w:rsidRDefault="006638CB" w:rsidP="001E0A84">
      <w:pPr>
        <w:pStyle w:val="a4"/>
        <w:rPr>
          <w:color w:val="000000" w:themeColor="text1"/>
          <w:lang w:val="ru-RU"/>
        </w:rPr>
      </w:pPr>
    </w:p>
    <w:p w14:paraId="6D8169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г. Куйбышеве возобновились заводские испытания МиГ-9 №6502, которые проводил летчик-испытатель В.Н. Савкин. На самолете проверялась работа винтомоторной группы, и определялись его штопорные свойства. На основании полученных данных были сделаны выводы, что тепловой режим ВМГ до расчетной высоты второй скорости нагнетателя вполне нормальный, а по штопорным свойствам МиГ-9 имеет преимущества по сравнению с серийным самолетом МиГ-3 (5485,30).</w:t>
      </w:r>
    </w:p>
    <w:p w14:paraId="18B2A4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E7A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г. Куйбышеве летчик-испытатель В.Н.Савкин возобновил заводские испытания МиГ—9 зав. № 6502. На самолете проверялась работа винтомоторной группы и определялись его штопор</w:t>
      </w:r>
      <w:r w:rsidRPr="008127F8">
        <w:rPr>
          <w:rFonts w:ascii="Times New Roman" w:hAnsi="Times New Roman"/>
          <w:color w:val="000000" w:themeColor="text1"/>
          <w:sz w:val="16"/>
          <w:szCs w:val="16"/>
        </w:rPr>
        <w:softHyphen/>
        <w:t>ные свойства. Тепловой режим силовой установки вплоть до второй расчетной высоты на этот раз при</w:t>
      </w:r>
      <w:r w:rsidRPr="008127F8">
        <w:rPr>
          <w:rFonts w:ascii="Times New Roman" w:hAnsi="Times New Roman"/>
          <w:color w:val="000000" w:themeColor="text1"/>
          <w:sz w:val="16"/>
          <w:szCs w:val="16"/>
        </w:rPr>
        <w:softHyphen/>
        <w:t>знали нормальным, а по штопорным свойствам у МиГ—9 выявились преимущества по сравнению с се</w:t>
      </w:r>
      <w:r w:rsidRPr="008127F8">
        <w:rPr>
          <w:rFonts w:ascii="Times New Roman" w:hAnsi="Times New Roman"/>
          <w:color w:val="000000" w:themeColor="text1"/>
          <w:sz w:val="16"/>
          <w:szCs w:val="16"/>
        </w:rPr>
        <w:softHyphen/>
        <w:t>рийным самолетом МиГ—3. Помимо двух опытных истребителей МиГ—9 весной 1942 г. были построены еще три машины — зав. № 6503, 6504, 6505 (9984).</w:t>
      </w:r>
    </w:p>
    <w:p w14:paraId="616DE97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1D2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г. Куйбышеве летчик-испытатель В.Н. Савкин возобновил заводские испытания МиГ-9 зав. № 6502. Проверялась работа винтомоторной группы и определялись штопорные свойства самолета. Тепловой режим силовой установки вплоть до второй расчетной высоты признали нормальным, а по штопорным свойствам у МиГ-9 выявились преимущества по сравнению с серийным самолетом МиГ-3. Весной 1942 г. были построены еще три МиГ-9 - зав. № 6503, 6504, 6505 (12045).</w:t>
      </w:r>
    </w:p>
    <w:p w14:paraId="6B1327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042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года Горьковский авиационный завод начал наращивать производство истребителей ЛаГГ-3. Однако вскоре последова­о решение Государственного Ко­митета Обороны (ГКО) о переходе завода на выпуск истребителя Як-7. Производство ЛаГГов на нашем заводе отстоял нарком А. И. Шахурин, который поддержал предложение заводского руководства по модернизации истребителя. Чтобы отстоять серийный завол, следовало резко улучшить летные характеристики «ЛаГТа». Конструкторы завода К. В. Слепнев, Е. П. Склянин, Е. И. Миндров, А. И. Федоров предложили установить на ЛаГГ-3 звездообразный двигатель воздушного охлаждения М-82 взлетной мощностью 1650 л.с. и использовать документацию на капот, разработанный для самолета «7211». Предложение приняли. И в марте 1942 года летчик-испытатель завода Василий Яковлевич Мищенко поднял в воздух буду­щий Ла-5. Работники ОКБ и серийного производства довели машину до стадии государственных испытаний, по результатам которых в мае 1942 года ГКО принял постановление об организации серийного производства самолета Ла-5. В 1942 году конструкторский коллектив завода возглавил Е. И. Миндров. На его плечи легла ответственнейшая задача по устранению недостатков Ла-5, о которых писали фронтовые летчики, и совершенствованию машины, повышению его летных характеристик. В итоге появился Ла-5Ф. Резкий скачок повышения летных характеристик произошел после установки на самолете двигателя АШ-82ФН мощностью 1850 л.с. Одновременно улучшили теплоизоляцию кабины, снизили усилия на ручке управления и педалях, облегчили шасси (11651).</w:t>
      </w:r>
    </w:p>
    <w:p w14:paraId="1426F1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1A2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ГКО СССР издал указ о прекращении выпуска ЛаГГов-3 в Новосибирске. Неудовлетворительные летные качества серийных ЛаГГов-3 привели к тому, что их выпуск вскоре ограничили. С декабря 1941 года рассматривалась возможность прекращения выпуска самолета в Горьком. В апреле 1942 года в Москву вернулся эвакуированный было завод № 301, который приступил к ремонту ЛаГГов-3, а также к выпуску новых машин (11749).</w:t>
      </w:r>
    </w:p>
    <w:p w14:paraId="1AD347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7A2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вышло постановление ГКО о снятии ЛаГГ-3 с производства в Новосибирске. Начиная с декабря 1941 г. периодически рассматривался вопрос о прекращении сборки ЛаГГ-3 и в Горьком (11983).</w:t>
      </w:r>
    </w:p>
    <w:p w14:paraId="40E4E3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B3DA9"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ГКО СССР издал указ о прекращении выпуска ЛаГГов-3 в Новосибирске. С декабря 1941 года рассматривалась возможность прекращения выпуска самолета в Горьком. В апреле 1942 года в Москву вернулся эвакуированный было завод № 301, который приступил к ремонту ЛаГГов-3, а также к выпуску новых машин (23548).</w:t>
      </w:r>
    </w:p>
    <w:p w14:paraId="53A95E53" w14:textId="77777777" w:rsidR="00F11CAA" w:rsidRPr="008A2E5A" w:rsidRDefault="00F11CAA" w:rsidP="00F11CAA">
      <w:pPr>
        <w:spacing w:after="0" w:line="240" w:lineRule="auto"/>
        <w:jc w:val="both"/>
        <w:rPr>
          <w:rFonts w:ascii="Times New Roman" w:hAnsi="Times New Roman"/>
          <w:color w:val="0070C0"/>
          <w:sz w:val="16"/>
          <w:szCs w:val="16"/>
        </w:rPr>
      </w:pPr>
    </w:p>
    <w:p w14:paraId="23947F81"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закончив изготовление истребителей ЛаГГ-3 (выпущено 65, отправлено в части по апрель месяц 140 машин), завод №153 полностью переключился на из</w:t>
      </w:r>
      <w:r w:rsidRPr="008A2E5A">
        <w:rPr>
          <w:rFonts w:ascii="Times New Roman" w:hAnsi="Times New Roman"/>
          <w:color w:val="0070C0"/>
          <w:sz w:val="16"/>
          <w:szCs w:val="16"/>
        </w:rPr>
        <w:softHyphen/>
        <w:t>готовление истребителей ОКБ А.С. Яковлева. Для укрепле</w:t>
      </w:r>
      <w:r w:rsidRPr="008A2E5A">
        <w:rPr>
          <w:rFonts w:ascii="Times New Roman" w:hAnsi="Times New Roman"/>
          <w:color w:val="0070C0"/>
          <w:sz w:val="16"/>
          <w:szCs w:val="16"/>
        </w:rPr>
        <w:softHyphen/>
        <w:t>ния технического руководства заводом его главным инже</w:t>
      </w:r>
      <w:r w:rsidRPr="008A2E5A">
        <w:rPr>
          <w:rFonts w:ascii="Times New Roman" w:hAnsi="Times New Roman"/>
          <w:color w:val="0070C0"/>
          <w:sz w:val="16"/>
          <w:szCs w:val="16"/>
        </w:rPr>
        <w:softHyphen/>
        <w:t>нером назначили А.Н. Тер-Маркаряна, занимавшего ана</w:t>
      </w:r>
      <w:r w:rsidRPr="008A2E5A">
        <w:rPr>
          <w:rFonts w:ascii="Times New Roman" w:hAnsi="Times New Roman"/>
          <w:color w:val="0070C0"/>
          <w:sz w:val="16"/>
          <w:szCs w:val="16"/>
        </w:rPr>
        <w:softHyphen/>
        <w:t>логичную должность на Саратовском авиазаводе. С 20 января основные цеха завода (крыльевой и фюзеляж</w:t>
      </w:r>
      <w:r w:rsidRPr="008A2E5A">
        <w:rPr>
          <w:rFonts w:ascii="Times New Roman" w:hAnsi="Times New Roman"/>
          <w:color w:val="0070C0"/>
          <w:sz w:val="16"/>
          <w:szCs w:val="16"/>
        </w:rPr>
        <w:softHyphen/>
        <w:t>но-сборочный) дополнительно к ор</w:t>
      </w:r>
      <w:r w:rsidRPr="008A2E5A">
        <w:rPr>
          <w:rFonts w:ascii="Times New Roman" w:hAnsi="Times New Roman"/>
          <w:color w:val="0070C0"/>
          <w:sz w:val="16"/>
          <w:szCs w:val="16"/>
        </w:rPr>
        <w:softHyphen/>
        <w:t>ганизованным ранее перевели на вы</w:t>
      </w:r>
      <w:r w:rsidRPr="008A2E5A">
        <w:rPr>
          <w:rFonts w:ascii="Times New Roman" w:hAnsi="Times New Roman"/>
          <w:color w:val="0070C0"/>
          <w:sz w:val="16"/>
          <w:szCs w:val="16"/>
        </w:rPr>
        <w:softHyphen/>
        <w:t>пуск новой продукции, чтобы начать окончательную сборку самолетов Як-7 с 26 января, а сдачу из ВВС - с 1 февраля 1942 г. Для этого в цехе №9 окончательной сборки освободили одну половину для создания поточ</w:t>
      </w:r>
      <w:r w:rsidRPr="008A2E5A">
        <w:rPr>
          <w:rFonts w:ascii="Times New Roman" w:hAnsi="Times New Roman"/>
          <w:color w:val="0070C0"/>
          <w:sz w:val="16"/>
          <w:szCs w:val="16"/>
        </w:rPr>
        <w:softHyphen/>
        <w:t>ной линии Як-7. В новом производст</w:t>
      </w:r>
      <w:r w:rsidRPr="008A2E5A">
        <w:rPr>
          <w:rFonts w:ascii="Times New Roman" w:hAnsi="Times New Roman"/>
          <w:color w:val="0070C0"/>
          <w:sz w:val="16"/>
          <w:szCs w:val="16"/>
        </w:rPr>
        <w:softHyphen/>
        <w:t>ве из общего количества в 20 743 ра</w:t>
      </w:r>
      <w:r w:rsidRPr="008A2E5A">
        <w:rPr>
          <w:rFonts w:ascii="Times New Roman" w:hAnsi="Times New Roman"/>
          <w:color w:val="0070C0"/>
          <w:sz w:val="16"/>
          <w:szCs w:val="16"/>
        </w:rPr>
        <w:softHyphen/>
        <w:t>ботающих по состоянию на 01.01.42 г. задействовали 2439 человек, в том числе 367 рабочих, 35 ИТР и 35 слу</w:t>
      </w:r>
      <w:r w:rsidRPr="008A2E5A">
        <w:rPr>
          <w:rFonts w:ascii="Times New Roman" w:hAnsi="Times New Roman"/>
          <w:color w:val="0070C0"/>
          <w:sz w:val="16"/>
          <w:szCs w:val="16"/>
        </w:rPr>
        <w:softHyphen/>
        <w:t>жащих. Остальные 1944 являлись учениками (23381).</w:t>
      </w:r>
    </w:p>
    <w:p w14:paraId="12EC3A2E" w14:textId="77777777" w:rsidR="00F11CAA" w:rsidRPr="008A2E5A" w:rsidRDefault="00F11CAA" w:rsidP="00F11CAA">
      <w:pPr>
        <w:spacing w:after="0" w:line="240" w:lineRule="auto"/>
        <w:jc w:val="both"/>
        <w:rPr>
          <w:rFonts w:ascii="Times New Roman" w:hAnsi="Times New Roman"/>
          <w:color w:val="0070C0"/>
          <w:sz w:val="16"/>
          <w:szCs w:val="16"/>
        </w:rPr>
      </w:pPr>
    </w:p>
    <w:p w14:paraId="27F028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вышло постановление ГКО о выпуске на заводе № 153 Яков вместо истребителей ЛаГГ. Постановление готовилось в декабре 1941 г., Сталин намеревался переключить на Яки и Горьковский завод. К счастью, выпуск ЛаГГов на заводе N 21 отстоял нарком Шахурин, но ему удалось добиться лишь отсрочки до тех пор, пока Яковлев не наладит изготовление Як-7 в Новосибирске (4707).</w:t>
      </w:r>
    </w:p>
    <w:p w14:paraId="434B03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50C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1942-го М.И.Гудков предложил Сталину построить небольшую серию Гу-82 для войсковых испытаний. Для этого предлагалось организовать в Москве на территории одного из эвакуированных заводов опытное производство. В случае принятия такого решения не нарушался выпуск ЛаГГ-3 серийными заводами, хотя рано или поздно это делать пришлось бы. Так и произошло на заводе №21 при переходе его с выпуска ЛаГГ-3 на Ла-5 (7682,3).</w:t>
      </w:r>
    </w:p>
    <w:p w14:paraId="357E0E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D88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нарком авиационной промышленности А.И. Шахурин предложил И.В. Сталину построить небольшую серию Гу-82 для войсковых испытаний, создав для этого в Москве на территории одного из эвакуированных заводов опытное производство, чтобы не нарушать выпуск ЛаГГ-3 серийными заводами (12032).</w:t>
      </w:r>
    </w:p>
    <w:p w14:paraId="624AFF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1. Основные данные истребителей Гу-82 и J1a-5 производства завода № 21</w:t>
      </w:r>
    </w:p>
    <w:tbl>
      <w:tblPr>
        <w:tblW w:w="114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709"/>
        <w:gridCol w:w="850"/>
        <w:gridCol w:w="851"/>
        <w:gridCol w:w="709"/>
        <w:gridCol w:w="708"/>
        <w:gridCol w:w="851"/>
        <w:gridCol w:w="992"/>
        <w:gridCol w:w="851"/>
        <w:gridCol w:w="850"/>
        <w:gridCol w:w="851"/>
        <w:gridCol w:w="850"/>
        <w:gridCol w:w="992"/>
      </w:tblGrid>
      <w:tr w:rsidR="006F4095" w:rsidRPr="008127F8" w14:paraId="271C754D" w14:textId="77777777" w:rsidTr="00677F98">
        <w:tc>
          <w:tcPr>
            <w:tcW w:w="1384" w:type="dxa"/>
            <w:tcBorders>
              <w:top w:val="single" w:sz="12" w:space="0" w:color="auto"/>
            </w:tcBorders>
          </w:tcPr>
          <w:p w14:paraId="723236C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0B6CFE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Гу-82</w:t>
            </w:r>
          </w:p>
        </w:tc>
        <w:tc>
          <w:tcPr>
            <w:tcW w:w="850" w:type="dxa"/>
            <w:tcBorders>
              <w:top w:val="single" w:sz="12" w:space="0" w:color="auto"/>
            </w:tcBorders>
          </w:tcPr>
          <w:p w14:paraId="6F6E94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ЛаГГ-5</w:t>
            </w:r>
          </w:p>
        </w:tc>
        <w:tc>
          <w:tcPr>
            <w:tcW w:w="851" w:type="dxa"/>
            <w:tcBorders>
              <w:top w:val="single" w:sz="12" w:space="0" w:color="auto"/>
            </w:tcBorders>
          </w:tcPr>
          <w:p w14:paraId="004AC4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Ла-5</w:t>
            </w:r>
          </w:p>
        </w:tc>
        <w:tc>
          <w:tcPr>
            <w:tcW w:w="709" w:type="dxa"/>
            <w:tcBorders>
              <w:top w:val="single" w:sz="12" w:space="0" w:color="auto"/>
            </w:tcBorders>
          </w:tcPr>
          <w:p w14:paraId="4F5410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Ла-5"1</w:t>
            </w:r>
          </w:p>
        </w:tc>
        <w:tc>
          <w:tcPr>
            <w:tcW w:w="708" w:type="dxa"/>
            <w:tcBorders>
              <w:top w:val="single" w:sz="12" w:space="0" w:color="auto"/>
            </w:tcBorders>
          </w:tcPr>
          <w:p w14:paraId="670C62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Ла-5</w:t>
            </w:r>
          </w:p>
        </w:tc>
        <w:tc>
          <w:tcPr>
            <w:tcW w:w="851" w:type="dxa"/>
            <w:tcBorders>
              <w:top w:val="single" w:sz="12" w:space="0" w:color="auto"/>
            </w:tcBorders>
          </w:tcPr>
          <w:p w14:paraId="613C9E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Ла-5Ф</w:t>
            </w:r>
          </w:p>
        </w:tc>
        <w:tc>
          <w:tcPr>
            <w:tcW w:w="992" w:type="dxa"/>
            <w:tcBorders>
              <w:top w:val="single" w:sz="12" w:space="0" w:color="auto"/>
            </w:tcBorders>
          </w:tcPr>
          <w:p w14:paraId="6DA223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Ла-5ФН</w:t>
            </w:r>
          </w:p>
        </w:tc>
        <w:tc>
          <w:tcPr>
            <w:tcW w:w="851" w:type="dxa"/>
            <w:tcBorders>
              <w:top w:val="single" w:sz="12" w:space="0" w:color="auto"/>
            </w:tcBorders>
          </w:tcPr>
          <w:p w14:paraId="004B28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Ла-5ФН </w:t>
            </w:r>
          </w:p>
        </w:tc>
        <w:tc>
          <w:tcPr>
            <w:tcW w:w="850" w:type="dxa"/>
            <w:tcBorders>
              <w:top w:val="single" w:sz="12" w:space="0" w:color="auto"/>
            </w:tcBorders>
          </w:tcPr>
          <w:p w14:paraId="5E6DF6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Ла-5ФН </w:t>
            </w:r>
          </w:p>
        </w:tc>
        <w:tc>
          <w:tcPr>
            <w:tcW w:w="851" w:type="dxa"/>
            <w:tcBorders>
              <w:top w:val="single" w:sz="12" w:space="0" w:color="auto"/>
            </w:tcBorders>
          </w:tcPr>
          <w:p w14:paraId="3B9EDC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Ла-5ФН </w:t>
            </w:r>
          </w:p>
        </w:tc>
        <w:tc>
          <w:tcPr>
            <w:tcW w:w="850" w:type="dxa"/>
            <w:tcBorders>
              <w:top w:val="single" w:sz="12" w:space="0" w:color="auto"/>
            </w:tcBorders>
          </w:tcPr>
          <w:p w14:paraId="588CFC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Ла-5 </w:t>
            </w:r>
          </w:p>
        </w:tc>
        <w:tc>
          <w:tcPr>
            <w:tcW w:w="992" w:type="dxa"/>
            <w:tcBorders>
              <w:top w:val="single" w:sz="12" w:space="0" w:color="auto"/>
            </w:tcBorders>
          </w:tcPr>
          <w:p w14:paraId="33B44D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Ла-5 </w:t>
            </w:r>
          </w:p>
        </w:tc>
      </w:tr>
      <w:tr w:rsidR="006F4095" w:rsidRPr="008127F8" w14:paraId="2EEF148B" w14:textId="77777777" w:rsidTr="00677F98">
        <w:tc>
          <w:tcPr>
            <w:tcW w:w="1384" w:type="dxa"/>
          </w:tcPr>
          <w:p w14:paraId="09CCC6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DB26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5296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опытный2</w:t>
            </w:r>
          </w:p>
        </w:tc>
        <w:tc>
          <w:tcPr>
            <w:tcW w:w="851" w:type="dxa"/>
          </w:tcPr>
          <w:p w14:paraId="2C7410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№37212282</w:t>
            </w:r>
          </w:p>
        </w:tc>
        <w:tc>
          <w:tcPr>
            <w:tcW w:w="709" w:type="dxa"/>
          </w:tcPr>
          <w:p w14:paraId="7BB2B6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№37210444</w:t>
            </w:r>
          </w:p>
        </w:tc>
        <w:tc>
          <w:tcPr>
            <w:tcW w:w="708" w:type="dxa"/>
          </w:tcPr>
          <w:p w14:paraId="1213A4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№37212383</w:t>
            </w:r>
          </w:p>
        </w:tc>
        <w:tc>
          <w:tcPr>
            <w:tcW w:w="851" w:type="dxa"/>
          </w:tcPr>
          <w:p w14:paraId="16A761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№39210101</w:t>
            </w:r>
          </w:p>
        </w:tc>
        <w:tc>
          <w:tcPr>
            <w:tcW w:w="992" w:type="dxa"/>
          </w:tcPr>
          <w:p w14:paraId="2E52BC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w:t>
            </w:r>
          </w:p>
        </w:tc>
        <w:tc>
          <w:tcPr>
            <w:tcW w:w="851" w:type="dxa"/>
          </w:tcPr>
          <w:p w14:paraId="372171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№39210104</w:t>
            </w:r>
          </w:p>
        </w:tc>
        <w:tc>
          <w:tcPr>
            <w:tcW w:w="850" w:type="dxa"/>
          </w:tcPr>
          <w:p w14:paraId="191830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№39210109</w:t>
            </w:r>
          </w:p>
        </w:tc>
        <w:tc>
          <w:tcPr>
            <w:tcW w:w="851" w:type="dxa"/>
          </w:tcPr>
          <w:p w14:paraId="4FF638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№39213050</w:t>
            </w:r>
          </w:p>
        </w:tc>
        <w:tc>
          <w:tcPr>
            <w:tcW w:w="850" w:type="dxa"/>
          </w:tcPr>
          <w:p w14:paraId="33CF6D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№39210204</w:t>
            </w:r>
          </w:p>
        </w:tc>
        <w:tc>
          <w:tcPr>
            <w:tcW w:w="992" w:type="dxa"/>
          </w:tcPr>
          <w:p w14:paraId="37AACF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эталон 1944 г.</w:t>
            </w:r>
          </w:p>
        </w:tc>
      </w:tr>
      <w:tr w:rsidR="006F4095" w:rsidRPr="008127F8" w14:paraId="13A249DB" w14:textId="77777777" w:rsidTr="00677F98">
        <w:tc>
          <w:tcPr>
            <w:tcW w:w="1384" w:type="dxa"/>
          </w:tcPr>
          <w:p w14:paraId="24F3DE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w:t>
            </w:r>
          </w:p>
        </w:tc>
        <w:tc>
          <w:tcPr>
            <w:tcW w:w="709" w:type="dxa"/>
          </w:tcPr>
          <w:p w14:paraId="3AA801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М-82А</w:t>
            </w:r>
          </w:p>
        </w:tc>
        <w:tc>
          <w:tcPr>
            <w:tcW w:w="850" w:type="dxa"/>
          </w:tcPr>
          <w:p w14:paraId="5A4749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М-82А</w:t>
            </w:r>
          </w:p>
        </w:tc>
        <w:tc>
          <w:tcPr>
            <w:tcW w:w="851" w:type="dxa"/>
          </w:tcPr>
          <w:p w14:paraId="7BDAD1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М-82А</w:t>
            </w:r>
          </w:p>
        </w:tc>
        <w:tc>
          <w:tcPr>
            <w:tcW w:w="709" w:type="dxa"/>
          </w:tcPr>
          <w:p w14:paraId="149DF8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М-82А</w:t>
            </w:r>
          </w:p>
        </w:tc>
        <w:tc>
          <w:tcPr>
            <w:tcW w:w="708" w:type="dxa"/>
          </w:tcPr>
          <w:p w14:paraId="0B5CF1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М-82А</w:t>
            </w:r>
          </w:p>
        </w:tc>
        <w:tc>
          <w:tcPr>
            <w:tcW w:w="851" w:type="dxa"/>
          </w:tcPr>
          <w:p w14:paraId="07ACC9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М-82Ф</w:t>
            </w:r>
          </w:p>
        </w:tc>
        <w:tc>
          <w:tcPr>
            <w:tcW w:w="992" w:type="dxa"/>
          </w:tcPr>
          <w:p w14:paraId="0AB854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М-82ФН </w:t>
            </w:r>
          </w:p>
        </w:tc>
        <w:tc>
          <w:tcPr>
            <w:tcW w:w="851" w:type="dxa"/>
          </w:tcPr>
          <w:p w14:paraId="5C9A46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М-82ФН 9,8 17,51</w:t>
            </w:r>
          </w:p>
        </w:tc>
        <w:tc>
          <w:tcPr>
            <w:tcW w:w="850" w:type="dxa"/>
          </w:tcPr>
          <w:p w14:paraId="258F19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М-82ФН </w:t>
            </w:r>
          </w:p>
        </w:tc>
        <w:tc>
          <w:tcPr>
            <w:tcW w:w="851" w:type="dxa"/>
          </w:tcPr>
          <w:p w14:paraId="7DD519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М-82ФН</w:t>
            </w:r>
          </w:p>
        </w:tc>
        <w:tc>
          <w:tcPr>
            <w:tcW w:w="850" w:type="dxa"/>
          </w:tcPr>
          <w:p w14:paraId="733B9D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М-71Ф </w:t>
            </w:r>
          </w:p>
        </w:tc>
        <w:tc>
          <w:tcPr>
            <w:tcW w:w="992" w:type="dxa"/>
          </w:tcPr>
          <w:p w14:paraId="5117A8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АШ-82ФН </w:t>
            </w:r>
          </w:p>
        </w:tc>
      </w:tr>
      <w:tr w:rsidR="006F4095" w:rsidRPr="008127F8" w14:paraId="1892973E" w14:textId="77777777" w:rsidTr="00677F98">
        <w:tc>
          <w:tcPr>
            <w:tcW w:w="1384" w:type="dxa"/>
          </w:tcPr>
          <w:p w14:paraId="53F823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w:t>
            </w:r>
          </w:p>
        </w:tc>
        <w:tc>
          <w:tcPr>
            <w:tcW w:w="709" w:type="dxa"/>
          </w:tcPr>
          <w:p w14:paraId="7168C1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5AD8A4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851" w:type="dxa"/>
          </w:tcPr>
          <w:p w14:paraId="442469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709" w:type="dxa"/>
          </w:tcPr>
          <w:p w14:paraId="43F7F3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708" w:type="dxa"/>
          </w:tcPr>
          <w:p w14:paraId="1A4B68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851" w:type="dxa"/>
          </w:tcPr>
          <w:p w14:paraId="5A07C6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992" w:type="dxa"/>
          </w:tcPr>
          <w:p w14:paraId="776510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851" w:type="dxa"/>
          </w:tcPr>
          <w:p w14:paraId="7B3262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850" w:type="dxa"/>
          </w:tcPr>
          <w:p w14:paraId="56F426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851" w:type="dxa"/>
          </w:tcPr>
          <w:p w14:paraId="6F752C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850" w:type="dxa"/>
          </w:tcPr>
          <w:p w14:paraId="7D353E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992" w:type="dxa"/>
          </w:tcPr>
          <w:p w14:paraId="7EAEF2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r>
      <w:tr w:rsidR="006F4095" w:rsidRPr="008127F8" w14:paraId="3D601B75" w14:textId="77777777" w:rsidTr="00677F98">
        <w:tc>
          <w:tcPr>
            <w:tcW w:w="1384" w:type="dxa"/>
          </w:tcPr>
          <w:p w14:paraId="4AC0F7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w:t>
            </w:r>
          </w:p>
        </w:tc>
        <w:tc>
          <w:tcPr>
            <w:tcW w:w="709" w:type="dxa"/>
          </w:tcPr>
          <w:p w14:paraId="67E671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0EACB1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17,62</w:t>
            </w:r>
          </w:p>
        </w:tc>
        <w:tc>
          <w:tcPr>
            <w:tcW w:w="851" w:type="dxa"/>
          </w:tcPr>
          <w:p w14:paraId="12194B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17,516</w:t>
            </w:r>
          </w:p>
        </w:tc>
        <w:tc>
          <w:tcPr>
            <w:tcW w:w="709" w:type="dxa"/>
          </w:tcPr>
          <w:p w14:paraId="6F6BB6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708" w:type="dxa"/>
          </w:tcPr>
          <w:p w14:paraId="123B7B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851" w:type="dxa"/>
          </w:tcPr>
          <w:p w14:paraId="0F0A78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992" w:type="dxa"/>
          </w:tcPr>
          <w:p w14:paraId="1FBA52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851" w:type="dxa"/>
          </w:tcPr>
          <w:p w14:paraId="4A064E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850" w:type="dxa"/>
          </w:tcPr>
          <w:p w14:paraId="6F06CC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851" w:type="dxa"/>
          </w:tcPr>
          <w:p w14:paraId="72CED5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850" w:type="dxa"/>
          </w:tcPr>
          <w:p w14:paraId="03D14F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c>
          <w:tcPr>
            <w:tcW w:w="992" w:type="dxa"/>
          </w:tcPr>
          <w:p w14:paraId="0FEACA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17,51</w:t>
            </w:r>
          </w:p>
        </w:tc>
      </w:tr>
      <w:tr w:rsidR="006F4095" w:rsidRPr="008127F8" w14:paraId="232286AF" w14:textId="77777777" w:rsidTr="00677F98">
        <w:tc>
          <w:tcPr>
            <w:tcW w:w="1384" w:type="dxa"/>
          </w:tcPr>
          <w:p w14:paraId="2B0A1A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самолета, м</w:t>
            </w:r>
          </w:p>
        </w:tc>
        <w:tc>
          <w:tcPr>
            <w:tcW w:w="709" w:type="dxa"/>
          </w:tcPr>
          <w:p w14:paraId="3DA436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5FC0B0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7E3D14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083F90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8" w:type="dxa"/>
          </w:tcPr>
          <w:p w14:paraId="099C4A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4BD68A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008A19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4CEFAE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22131A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51EDFA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31ACD6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4EA821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1C3AB94" w14:textId="77777777" w:rsidTr="00677F98">
        <w:tc>
          <w:tcPr>
            <w:tcW w:w="1384" w:type="dxa"/>
          </w:tcPr>
          <w:p w14:paraId="7E959E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стоянке</w:t>
            </w:r>
          </w:p>
        </w:tc>
        <w:tc>
          <w:tcPr>
            <w:tcW w:w="709" w:type="dxa"/>
          </w:tcPr>
          <w:p w14:paraId="4CE2CD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340442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851" w:type="dxa"/>
          </w:tcPr>
          <w:p w14:paraId="227793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709" w:type="dxa"/>
          </w:tcPr>
          <w:p w14:paraId="605D74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708" w:type="dxa"/>
          </w:tcPr>
          <w:p w14:paraId="7C5706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851" w:type="dxa"/>
          </w:tcPr>
          <w:p w14:paraId="319243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992" w:type="dxa"/>
          </w:tcPr>
          <w:p w14:paraId="532147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851" w:type="dxa"/>
          </w:tcPr>
          <w:p w14:paraId="3EB9D2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850" w:type="dxa"/>
          </w:tcPr>
          <w:p w14:paraId="79DFB7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851" w:type="dxa"/>
          </w:tcPr>
          <w:p w14:paraId="169E24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850" w:type="dxa"/>
          </w:tcPr>
          <w:p w14:paraId="4BF011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3EC77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7C69C1E" w14:textId="77777777" w:rsidTr="00677F98">
        <w:tc>
          <w:tcPr>
            <w:tcW w:w="1384" w:type="dxa"/>
          </w:tcPr>
          <w:p w14:paraId="3A9A2C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полете</w:t>
            </w:r>
          </w:p>
        </w:tc>
        <w:tc>
          <w:tcPr>
            <w:tcW w:w="709" w:type="dxa"/>
          </w:tcPr>
          <w:p w14:paraId="47BC2E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196374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8,62</w:t>
            </w:r>
          </w:p>
        </w:tc>
        <w:tc>
          <w:tcPr>
            <w:tcW w:w="851" w:type="dxa"/>
          </w:tcPr>
          <w:p w14:paraId="1770B5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709" w:type="dxa"/>
          </w:tcPr>
          <w:p w14:paraId="59FDB2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708" w:type="dxa"/>
          </w:tcPr>
          <w:p w14:paraId="74B9BD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851" w:type="dxa"/>
          </w:tcPr>
          <w:p w14:paraId="14A98A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992" w:type="dxa"/>
          </w:tcPr>
          <w:p w14:paraId="473397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851" w:type="dxa"/>
          </w:tcPr>
          <w:p w14:paraId="2150E0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850" w:type="dxa"/>
          </w:tcPr>
          <w:p w14:paraId="36BFEE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851" w:type="dxa"/>
          </w:tcPr>
          <w:p w14:paraId="7C2F6F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8,672</w:t>
            </w:r>
          </w:p>
        </w:tc>
        <w:tc>
          <w:tcPr>
            <w:tcW w:w="850" w:type="dxa"/>
          </w:tcPr>
          <w:p w14:paraId="42CF27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8,31</w:t>
            </w:r>
          </w:p>
        </w:tc>
        <w:tc>
          <w:tcPr>
            <w:tcW w:w="992" w:type="dxa"/>
          </w:tcPr>
          <w:p w14:paraId="20299F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51051A9" w14:textId="77777777" w:rsidTr="00677F98">
        <w:tc>
          <w:tcPr>
            <w:tcW w:w="1384" w:type="dxa"/>
          </w:tcPr>
          <w:p w14:paraId="19601D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взлетный, кг</w:t>
            </w:r>
          </w:p>
        </w:tc>
        <w:tc>
          <w:tcPr>
            <w:tcW w:w="709" w:type="dxa"/>
          </w:tcPr>
          <w:p w14:paraId="174BAE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4D6886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DFC87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1BDECA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8" w:type="dxa"/>
          </w:tcPr>
          <w:p w14:paraId="4D0B2E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411103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44D1D8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417E86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2DF325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63FBC7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4D2E20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7D926A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5B72936" w14:textId="77777777" w:rsidTr="00677F98">
        <w:tc>
          <w:tcPr>
            <w:tcW w:w="1384" w:type="dxa"/>
          </w:tcPr>
          <w:p w14:paraId="0E19B7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нормальный</w:t>
            </w:r>
          </w:p>
        </w:tc>
        <w:tc>
          <w:tcPr>
            <w:tcW w:w="709" w:type="dxa"/>
          </w:tcPr>
          <w:p w14:paraId="0BAB4E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3430</w:t>
            </w:r>
          </w:p>
        </w:tc>
        <w:tc>
          <w:tcPr>
            <w:tcW w:w="850" w:type="dxa"/>
          </w:tcPr>
          <w:p w14:paraId="45F2CA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3310</w:t>
            </w:r>
          </w:p>
        </w:tc>
        <w:tc>
          <w:tcPr>
            <w:tcW w:w="851" w:type="dxa"/>
          </w:tcPr>
          <w:p w14:paraId="0E59F8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3235</w:t>
            </w:r>
          </w:p>
        </w:tc>
        <w:tc>
          <w:tcPr>
            <w:tcW w:w="709" w:type="dxa"/>
          </w:tcPr>
          <w:p w14:paraId="2CA125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8" w:type="dxa"/>
          </w:tcPr>
          <w:p w14:paraId="3D1F9F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3207</w:t>
            </w:r>
          </w:p>
        </w:tc>
        <w:tc>
          <w:tcPr>
            <w:tcW w:w="851" w:type="dxa"/>
          </w:tcPr>
          <w:p w14:paraId="0125D7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w:t>
            </w:r>
          </w:p>
        </w:tc>
        <w:tc>
          <w:tcPr>
            <w:tcW w:w="992" w:type="dxa"/>
          </w:tcPr>
          <w:p w14:paraId="23D73C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3168</w:t>
            </w:r>
          </w:p>
        </w:tc>
        <w:tc>
          <w:tcPr>
            <w:tcW w:w="851" w:type="dxa"/>
          </w:tcPr>
          <w:p w14:paraId="132CBD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3305</w:t>
            </w:r>
          </w:p>
        </w:tc>
        <w:tc>
          <w:tcPr>
            <w:tcW w:w="850" w:type="dxa"/>
          </w:tcPr>
          <w:p w14:paraId="366BE8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3340</w:t>
            </w:r>
          </w:p>
        </w:tc>
        <w:tc>
          <w:tcPr>
            <w:tcW w:w="851" w:type="dxa"/>
          </w:tcPr>
          <w:p w14:paraId="64C686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3227</w:t>
            </w:r>
          </w:p>
        </w:tc>
        <w:tc>
          <w:tcPr>
            <w:tcW w:w="850" w:type="dxa"/>
          </w:tcPr>
          <w:p w14:paraId="2F2250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3520</w:t>
            </w:r>
          </w:p>
        </w:tc>
        <w:tc>
          <w:tcPr>
            <w:tcW w:w="992" w:type="dxa"/>
          </w:tcPr>
          <w:p w14:paraId="526C09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3265</w:t>
            </w:r>
          </w:p>
        </w:tc>
      </w:tr>
      <w:tr w:rsidR="006F4095" w:rsidRPr="008127F8" w14:paraId="582D8B5A" w14:textId="77777777" w:rsidTr="00677F98">
        <w:tc>
          <w:tcPr>
            <w:tcW w:w="1384" w:type="dxa"/>
          </w:tcPr>
          <w:p w14:paraId="2EB4BE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перегрузочный</w:t>
            </w:r>
          </w:p>
        </w:tc>
        <w:tc>
          <w:tcPr>
            <w:tcW w:w="709" w:type="dxa"/>
          </w:tcPr>
          <w:p w14:paraId="670D80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0C126E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A1574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64184D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3360</w:t>
            </w:r>
          </w:p>
        </w:tc>
        <w:tc>
          <w:tcPr>
            <w:tcW w:w="708" w:type="dxa"/>
          </w:tcPr>
          <w:p w14:paraId="135C5A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591059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6339C6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A737F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7BEEB6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0FDD23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31B6F3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52B080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C063201" w14:textId="77777777" w:rsidTr="00677F98">
        <w:tc>
          <w:tcPr>
            <w:tcW w:w="1384" w:type="dxa"/>
          </w:tcPr>
          <w:p w14:paraId="6647D5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горючего, кг</w:t>
            </w:r>
          </w:p>
        </w:tc>
        <w:tc>
          <w:tcPr>
            <w:tcW w:w="709" w:type="dxa"/>
          </w:tcPr>
          <w:p w14:paraId="6CDA9A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195EC4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w:t>
            </w:r>
          </w:p>
        </w:tc>
        <w:tc>
          <w:tcPr>
            <w:tcW w:w="851" w:type="dxa"/>
          </w:tcPr>
          <w:p w14:paraId="639EBF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w:t>
            </w:r>
          </w:p>
        </w:tc>
        <w:tc>
          <w:tcPr>
            <w:tcW w:w="709" w:type="dxa"/>
          </w:tcPr>
          <w:p w14:paraId="5C2A59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w:t>
            </w:r>
          </w:p>
        </w:tc>
        <w:tc>
          <w:tcPr>
            <w:tcW w:w="708" w:type="dxa"/>
          </w:tcPr>
          <w:p w14:paraId="5FBE57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243093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768B54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6,1  </w:t>
            </w:r>
          </w:p>
        </w:tc>
        <w:tc>
          <w:tcPr>
            <w:tcW w:w="851" w:type="dxa"/>
          </w:tcPr>
          <w:p w14:paraId="5A2E13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850" w:type="dxa"/>
          </w:tcPr>
          <w:p w14:paraId="34A33D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757B5D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18C37B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1E72FA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w:t>
            </w:r>
          </w:p>
        </w:tc>
      </w:tr>
      <w:tr w:rsidR="006F4095" w:rsidRPr="008127F8" w14:paraId="36C6B331" w14:textId="77777777" w:rsidTr="00677F98">
        <w:tc>
          <w:tcPr>
            <w:tcW w:w="1384" w:type="dxa"/>
          </w:tcPr>
          <w:p w14:paraId="54B934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кг</w:t>
            </w:r>
          </w:p>
        </w:tc>
        <w:tc>
          <w:tcPr>
            <w:tcW w:w="709" w:type="dxa"/>
          </w:tcPr>
          <w:p w14:paraId="60274C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5EACFC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2639</w:t>
            </w:r>
          </w:p>
        </w:tc>
        <w:tc>
          <w:tcPr>
            <w:tcW w:w="851" w:type="dxa"/>
          </w:tcPr>
          <w:p w14:paraId="2D5B8B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2BF076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8" w:type="dxa"/>
          </w:tcPr>
          <w:p w14:paraId="430ACE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108F7C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6BB940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FBDA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06A2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2700</w:t>
            </w:r>
          </w:p>
        </w:tc>
        <w:tc>
          <w:tcPr>
            <w:tcW w:w="851" w:type="dxa"/>
          </w:tcPr>
          <w:p w14:paraId="0A9C82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2572</w:t>
            </w:r>
          </w:p>
        </w:tc>
        <w:tc>
          <w:tcPr>
            <w:tcW w:w="850" w:type="dxa"/>
          </w:tcPr>
          <w:p w14:paraId="31566B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5B5A6A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2605</w:t>
            </w:r>
          </w:p>
        </w:tc>
      </w:tr>
      <w:tr w:rsidR="006F4095" w:rsidRPr="008127F8" w14:paraId="324CFDD8" w14:textId="77777777" w:rsidTr="00677F98">
        <w:tc>
          <w:tcPr>
            <w:tcW w:w="1384" w:type="dxa"/>
          </w:tcPr>
          <w:p w14:paraId="7FD525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макс., км/ч:</w:t>
            </w:r>
          </w:p>
        </w:tc>
        <w:tc>
          <w:tcPr>
            <w:tcW w:w="709" w:type="dxa"/>
          </w:tcPr>
          <w:p w14:paraId="2F07FE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0BACB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29D2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7FBC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374FA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AD9F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4D882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1021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F37A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01B86A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1ACBE9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1BC6BC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4B16EA7" w14:textId="77777777" w:rsidTr="00677F98">
        <w:tc>
          <w:tcPr>
            <w:tcW w:w="1384" w:type="dxa"/>
          </w:tcPr>
          <w:p w14:paraId="4EB309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709" w:type="dxa"/>
          </w:tcPr>
          <w:p w14:paraId="4579CE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850" w:type="dxa"/>
          </w:tcPr>
          <w:p w14:paraId="6CFDA9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c>
          <w:tcPr>
            <w:tcW w:w="851" w:type="dxa"/>
          </w:tcPr>
          <w:p w14:paraId="5A6B59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557</w:t>
            </w:r>
          </w:p>
        </w:tc>
        <w:tc>
          <w:tcPr>
            <w:tcW w:w="709" w:type="dxa"/>
          </w:tcPr>
          <w:p w14:paraId="634C13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8862D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w:t>
            </w:r>
          </w:p>
        </w:tc>
        <w:tc>
          <w:tcPr>
            <w:tcW w:w="851" w:type="dxa"/>
          </w:tcPr>
          <w:p w14:paraId="4E7C47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518</w:t>
            </w:r>
          </w:p>
        </w:tc>
        <w:tc>
          <w:tcPr>
            <w:tcW w:w="992" w:type="dxa"/>
          </w:tcPr>
          <w:p w14:paraId="10D122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595</w:t>
            </w:r>
          </w:p>
        </w:tc>
        <w:tc>
          <w:tcPr>
            <w:tcW w:w="851" w:type="dxa"/>
          </w:tcPr>
          <w:p w14:paraId="4227FF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w:t>
            </w:r>
          </w:p>
        </w:tc>
        <w:tc>
          <w:tcPr>
            <w:tcW w:w="850" w:type="dxa"/>
          </w:tcPr>
          <w:p w14:paraId="138852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580</w:t>
            </w:r>
          </w:p>
        </w:tc>
        <w:tc>
          <w:tcPr>
            <w:tcW w:w="851" w:type="dxa"/>
          </w:tcPr>
          <w:p w14:paraId="6FBEFF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551</w:t>
            </w:r>
          </w:p>
        </w:tc>
        <w:tc>
          <w:tcPr>
            <w:tcW w:w="850" w:type="dxa"/>
          </w:tcPr>
          <w:p w14:paraId="0D5BC2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612</w:t>
            </w:r>
          </w:p>
        </w:tc>
        <w:tc>
          <w:tcPr>
            <w:tcW w:w="992" w:type="dxa"/>
          </w:tcPr>
          <w:p w14:paraId="1445CC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597</w:t>
            </w:r>
          </w:p>
        </w:tc>
      </w:tr>
      <w:tr w:rsidR="006F4095" w:rsidRPr="008127F8" w14:paraId="7F650191" w14:textId="77777777" w:rsidTr="00677F98">
        <w:tc>
          <w:tcPr>
            <w:tcW w:w="1384" w:type="dxa"/>
          </w:tcPr>
          <w:p w14:paraId="35EEE0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1-й границе высотности, м</w:t>
            </w:r>
          </w:p>
        </w:tc>
        <w:tc>
          <w:tcPr>
            <w:tcW w:w="709" w:type="dxa"/>
          </w:tcPr>
          <w:p w14:paraId="282379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558/3220</w:t>
            </w:r>
          </w:p>
        </w:tc>
        <w:tc>
          <w:tcPr>
            <w:tcW w:w="850" w:type="dxa"/>
          </w:tcPr>
          <w:p w14:paraId="74058C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576/3200</w:t>
            </w:r>
          </w:p>
        </w:tc>
        <w:tc>
          <w:tcPr>
            <w:tcW w:w="851" w:type="dxa"/>
          </w:tcPr>
          <w:p w14:paraId="13EC56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6CCEC9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1683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568/3300</w:t>
            </w:r>
          </w:p>
        </w:tc>
        <w:tc>
          <w:tcPr>
            <w:tcW w:w="851" w:type="dxa"/>
          </w:tcPr>
          <w:p w14:paraId="7EACAF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582/3600</w:t>
            </w:r>
          </w:p>
        </w:tc>
        <w:tc>
          <w:tcPr>
            <w:tcW w:w="992" w:type="dxa"/>
          </w:tcPr>
          <w:p w14:paraId="41D4CD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626/3250</w:t>
            </w:r>
          </w:p>
        </w:tc>
        <w:tc>
          <w:tcPr>
            <w:tcW w:w="851" w:type="dxa"/>
          </w:tcPr>
          <w:p w14:paraId="1BE2AD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590/2000</w:t>
            </w:r>
          </w:p>
        </w:tc>
        <w:tc>
          <w:tcPr>
            <w:tcW w:w="850" w:type="dxa"/>
          </w:tcPr>
          <w:p w14:paraId="622411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630/2000</w:t>
            </w:r>
          </w:p>
        </w:tc>
        <w:tc>
          <w:tcPr>
            <w:tcW w:w="851" w:type="dxa"/>
          </w:tcPr>
          <w:p w14:paraId="1CAF13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579/3100</w:t>
            </w:r>
          </w:p>
        </w:tc>
        <w:tc>
          <w:tcPr>
            <w:tcW w:w="850" w:type="dxa"/>
          </w:tcPr>
          <w:p w14:paraId="038B6E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1710ED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670/3250</w:t>
            </w:r>
          </w:p>
        </w:tc>
      </w:tr>
      <w:tr w:rsidR="006F4095" w:rsidRPr="008127F8" w14:paraId="48E4FC35" w14:textId="77777777" w:rsidTr="00677F98">
        <w:tc>
          <w:tcPr>
            <w:tcW w:w="1384" w:type="dxa"/>
          </w:tcPr>
          <w:p w14:paraId="60FA12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2-й границе высотности, м</w:t>
            </w:r>
          </w:p>
        </w:tc>
        <w:tc>
          <w:tcPr>
            <w:tcW w:w="709" w:type="dxa"/>
          </w:tcPr>
          <w:p w14:paraId="74B52D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573/6500</w:t>
            </w:r>
          </w:p>
        </w:tc>
        <w:tc>
          <w:tcPr>
            <w:tcW w:w="850" w:type="dxa"/>
          </w:tcPr>
          <w:p w14:paraId="658CFC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600/6450</w:t>
            </w:r>
          </w:p>
        </w:tc>
        <w:tc>
          <w:tcPr>
            <w:tcW w:w="851" w:type="dxa"/>
          </w:tcPr>
          <w:p w14:paraId="6CC437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590/6200</w:t>
            </w:r>
          </w:p>
        </w:tc>
        <w:tc>
          <w:tcPr>
            <w:tcW w:w="709" w:type="dxa"/>
          </w:tcPr>
          <w:p w14:paraId="3E921E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9EE4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586/6200</w:t>
            </w:r>
          </w:p>
        </w:tc>
        <w:tc>
          <w:tcPr>
            <w:tcW w:w="851" w:type="dxa"/>
          </w:tcPr>
          <w:p w14:paraId="189DA5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600/6300</w:t>
            </w:r>
          </w:p>
        </w:tc>
        <w:tc>
          <w:tcPr>
            <w:tcW w:w="992" w:type="dxa"/>
          </w:tcPr>
          <w:p w14:paraId="72E990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648/6300</w:t>
            </w:r>
          </w:p>
        </w:tc>
        <w:tc>
          <w:tcPr>
            <w:tcW w:w="851" w:type="dxa"/>
          </w:tcPr>
          <w:p w14:paraId="0567AF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610/5800</w:t>
            </w:r>
          </w:p>
        </w:tc>
        <w:tc>
          <w:tcPr>
            <w:tcW w:w="850" w:type="dxa"/>
          </w:tcPr>
          <w:p w14:paraId="75C872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620/6100</w:t>
            </w:r>
          </w:p>
        </w:tc>
        <w:tc>
          <w:tcPr>
            <w:tcW w:w="851" w:type="dxa"/>
          </w:tcPr>
          <w:p w14:paraId="25E509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590/6150</w:t>
            </w:r>
          </w:p>
        </w:tc>
        <w:tc>
          <w:tcPr>
            <w:tcW w:w="850" w:type="dxa"/>
          </w:tcPr>
          <w:p w14:paraId="5E974C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685/5500</w:t>
            </w:r>
          </w:p>
        </w:tc>
        <w:tc>
          <w:tcPr>
            <w:tcW w:w="992" w:type="dxa"/>
          </w:tcPr>
          <w:p w14:paraId="6D5AA1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680/6000</w:t>
            </w:r>
          </w:p>
        </w:tc>
      </w:tr>
      <w:tr w:rsidR="006F4095" w:rsidRPr="008127F8" w14:paraId="65B2D8A1" w14:textId="77777777" w:rsidTr="00677F98">
        <w:tc>
          <w:tcPr>
            <w:tcW w:w="1384" w:type="dxa"/>
          </w:tcPr>
          <w:p w14:paraId="13AC49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Вертикальная скорость у земли, м/с</w:t>
            </w:r>
          </w:p>
        </w:tc>
        <w:tc>
          <w:tcPr>
            <w:tcW w:w="709" w:type="dxa"/>
          </w:tcPr>
          <w:p w14:paraId="537F5D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5830B7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w:t>
            </w:r>
          </w:p>
        </w:tc>
        <w:tc>
          <w:tcPr>
            <w:tcW w:w="851" w:type="dxa"/>
          </w:tcPr>
          <w:p w14:paraId="5FEB69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653596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3E199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10CF6C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009016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2C2D4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850" w:type="dxa"/>
          </w:tcPr>
          <w:p w14:paraId="77508A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w:t>
            </w:r>
          </w:p>
        </w:tc>
        <w:tc>
          <w:tcPr>
            <w:tcW w:w="851" w:type="dxa"/>
          </w:tcPr>
          <w:p w14:paraId="67F02C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03D659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5123CE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C706171" w14:textId="77777777" w:rsidTr="00677F98">
        <w:tc>
          <w:tcPr>
            <w:tcW w:w="1384" w:type="dxa"/>
          </w:tcPr>
          <w:p w14:paraId="192D78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709" w:type="dxa"/>
          </w:tcPr>
          <w:p w14:paraId="007C27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850" w:type="dxa"/>
          </w:tcPr>
          <w:p w14:paraId="35F87D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851" w:type="dxa"/>
          </w:tcPr>
          <w:p w14:paraId="18F4B8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09" w:type="dxa"/>
          </w:tcPr>
          <w:p w14:paraId="7F55FF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708" w:type="dxa"/>
          </w:tcPr>
          <w:p w14:paraId="212880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w:t>
            </w:r>
          </w:p>
        </w:tc>
        <w:tc>
          <w:tcPr>
            <w:tcW w:w="851" w:type="dxa"/>
          </w:tcPr>
          <w:p w14:paraId="29C488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992" w:type="dxa"/>
          </w:tcPr>
          <w:p w14:paraId="73C2D3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14438F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50" w:type="dxa"/>
          </w:tcPr>
          <w:p w14:paraId="7EE5E8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851" w:type="dxa"/>
          </w:tcPr>
          <w:p w14:paraId="552330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850" w:type="dxa"/>
          </w:tcPr>
          <w:p w14:paraId="420158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48B03F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E980359" w14:textId="77777777" w:rsidTr="00677F98">
        <w:tc>
          <w:tcPr>
            <w:tcW w:w="1384" w:type="dxa"/>
          </w:tcPr>
          <w:p w14:paraId="6E5705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 м</w:t>
            </w:r>
          </w:p>
        </w:tc>
        <w:tc>
          <w:tcPr>
            <w:tcW w:w="709" w:type="dxa"/>
          </w:tcPr>
          <w:p w14:paraId="1B8CAD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10500</w:t>
            </w:r>
          </w:p>
        </w:tc>
        <w:tc>
          <w:tcPr>
            <w:tcW w:w="850" w:type="dxa"/>
          </w:tcPr>
          <w:p w14:paraId="7EE3EA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08B5A9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3C261B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F02B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9700</w:t>
            </w:r>
          </w:p>
        </w:tc>
        <w:tc>
          <w:tcPr>
            <w:tcW w:w="851" w:type="dxa"/>
          </w:tcPr>
          <w:p w14:paraId="44D246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9650</w:t>
            </w:r>
          </w:p>
        </w:tc>
        <w:tc>
          <w:tcPr>
            <w:tcW w:w="992" w:type="dxa"/>
          </w:tcPr>
          <w:p w14:paraId="51F395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08B52D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10550</w:t>
            </w:r>
          </w:p>
        </w:tc>
        <w:tc>
          <w:tcPr>
            <w:tcW w:w="850" w:type="dxa"/>
          </w:tcPr>
          <w:p w14:paraId="299F94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851" w:type="dxa"/>
          </w:tcPr>
          <w:p w14:paraId="6A05E0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9550</w:t>
            </w:r>
          </w:p>
        </w:tc>
        <w:tc>
          <w:tcPr>
            <w:tcW w:w="850" w:type="dxa"/>
          </w:tcPr>
          <w:p w14:paraId="7E8110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3873D3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7EDB165" w14:textId="77777777" w:rsidTr="00677F98">
        <w:tc>
          <w:tcPr>
            <w:tcW w:w="1384" w:type="dxa"/>
          </w:tcPr>
          <w:p w14:paraId="38C54B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виража на высоте 1000 м, с</w:t>
            </w:r>
          </w:p>
        </w:tc>
        <w:tc>
          <w:tcPr>
            <w:tcW w:w="709" w:type="dxa"/>
          </w:tcPr>
          <w:p w14:paraId="03FD4C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276CF9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851" w:type="dxa"/>
          </w:tcPr>
          <w:p w14:paraId="1AADBC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161B1D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708" w:type="dxa"/>
          </w:tcPr>
          <w:p w14:paraId="29559F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54E205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7DF126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275234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17AF87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851" w:type="dxa"/>
          </w:tcPr>
          <w:p w14:paraId="43E4E7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19-20</w:t>
            </w:r>
          </w:p>
        </w:tc>
        <w:tc>
          <w:tcPr>
            <w:tcW w:w="850" w:type="dxa"/>
          </w:tcPr>
          <w:p w14:paraId="3F7F37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0E8037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6F51137" w14:textId="77777777" w:rsidTr="00677F98">
        <w:tc>
          <w:tcPr>
            <w:tcW w:w="1384" w:type="dxa"/>
          </w:tcPr>
          <w:p w14:paraId="24BB62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км</w:t>
            </w:r>
          </w:p>
        </w:tc>
        <w:tc>
          <w:tcPr>
            <w:tcW w:w="709" w:type="dxa"/>
          </w:tcPr>
          <w:p w14:paraId="43ACAD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c>
          <w:tcPr>
            <w:tcW w:w="850" w:type="dxa"/>
          </w:tcPr>
          <w:p w14:paraId="5293F2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420-1130</w:t>
            </w:r>
          </w:p>
        </w:tc>
        <w:tc>
          <w:tcPr>
            <w:tcW w:w="851" w:type="dxa"/>
          </w:tcPr>
          <w:p w14:paraId="10DA5D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244428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4208-1190</w:t>
            </w:r>
          </w:p>
        </w:tc>
        <w:tc>
          <w:tcPr>
            <w:tcW w:w="708" w:type="dxa"/>
          </w:tcPr>
          <w:p w14:paraId="65CE5E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90529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16040F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4D04A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35D42B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27973C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6FFDAA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718C85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FF1227E" w14:textId="77777777" w:rsidTr="00677F98">
        <w:tc>
          <w:tcPr>
            <w:tcW w:w="1384" w:type="dxa"/>
          </w:tcPr>
          <w:p w14:paraId="72A230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м</w:t>
            </w:r>
          </w:p>
        </w:tc>
        <w:tc>
          <w:tcPr>
            <w:tcW w:w="709" w:type="dxa"/>
          </w:tcPr>
          <w:p w14:paraId="532921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6BE91D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310-350</w:t>
            </w:r>
          </w:p>
        </w:tc>
        <w:tc>
          <w:tcPr>
            <w:tcW w:w="851" w:type="dxa"/>
          </w:tcPr>
          <w:p w14:paraId="69232C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0566FB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D32D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7272B9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363A0B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6BE242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290-355</w:t>
            </w:r>
          </w:p>
        </w:tc>
        <w:tc>
          <w:tcPr>
            <w:tcW w:w="850" w:type="dxa"/>
          </w:tcPr>
          <w:p w14:paraId="621F3D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w:t>
            </w:r>
          </w:p>
        </w:tc>
        <w:tc>
          <w:tcPr>
            <w:tcW w:w="851" w:type="dxa"/>
          </w:tcPr>
          <w:p w14:paraId="638995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303387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43F318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BFDF3DD" w14:textId="77777777" w:rsidTr="00677F98">
        <w:tc>
          <w:tcPr>
            <w:tcW w:w="1384" w:type="dxa"/>
          </w:tcPr>
          <w:p w14:paraId="40C535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пробега, м</w:t>
            </w:r>
          </w:p>
        </w:tc>
        <w:tc>
          <w:tcPr>
            <w:tcW w:w="709" w:type="dxa"/>
          </w:tcPr>
          <w:p w14:paraId="68A942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406377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470/6353</w:t>
            </w:r>
          </w:p>
        </w:tc>
        <w:tc>
          <w:tcPr>
            <w:tcW w:w="851" w:type="dxa"/>
          </w:tcPr>
          <w:p w14:paraId="42E666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1BF530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5E1F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DE3F6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6D7B81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61F05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5F27F5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w:t>
            </w:r>
          </w:p>
        </w:tc>
        <w:tc>
          <w:tcPr>
            <w:tcW w:w="851" w:type="dxa"/>
          </w:tcPr>
          <w:p w14:paraId="1B10DD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711727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205BC7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FACFE6F" w14:textId="77777777" w:rsidTr="00677F98">
        <w:tc>
          <w:tcPr>
            <w:tcW w:w="1384" w:type="dxa"/>
          </w:tcPr>
          <w:p w14:paraId="588154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посадочная, км/ч</w:t>
            </w:r>
          </w:p>
        </w:tc>
        <w:tc>
          <w:tcPr>
            <w:tcW w:w="709" w:type="dxa"/>
          </w:tcPr>
          <w:p w14:paraId="74987B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18C033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207F35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4B2E8A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3926A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3304C4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590347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6DC7F7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2B62AF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w:t>
            </w:r>
          </w:p>
        </w:tc>
        <w:tc>
          <w:tcPr>
            <w:tcW w:w="851" w:type="dxa"/>
          </w:tcPr>
          <w:p w14:paraId="03F94A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0DAF9A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24C75F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51F5FA3" w14:textId="77777777" w:rsidTr="00677F98">
        <w:tc>
          <w:tcPr>
            <w:tcW w:w="1384" w:type="dxa"/>
            <w:tcBorders>
              <w:bottom w:val="single" w:sz="12" w:space="0" w:color="auto"/>
            </w:tcBorders>
          </w:tcPr>
          <w:p w14:paraId="7AA992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количество, калибр, мм</w:t>
            </w:r>
          </w:p>
        </w:tc>
        <w:tc>
          <w:tcPr>
            <w:tcW w:w="709" w:type="dxa"/>
            <w:tcBorders>
              <w:bottom w:val="single" w:sz="12" w:space="0" w:color="auto"/>
            </w:tcBorders>
          </w:tcPr>
          <w:p w14:paraId="5660A9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2x12,7 2x7,62</w:t>
            </w:r>
          </w:p>
        </w:tc>
        <w:tc>
          <w:tcPr>
            <w:tcW w:w="850" w:type="dxa"/>
            <w:tcBorders>
              <w:bottom w:val="single" w:sz="12" w:space="0" w:color="auto"/>
            </w:tcBorders>
          </w:tcPr>
          <w:p w14:paraId="55511B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851" w:type="dxa"/>
            <w:tcBorders>
              <w:bottom w:val="single" w:sz="12" w:space="0" w:color="auto"/>
            </w:tcBorders>
          </w:tcPr>
          <w:p w14:paraId="239CF5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709" w:type="dxa"/>
            <w:tcBorders>
              <w:bottom w:val="single" w:sz="12" w:space="0" w:color="auto"/>
            </w:tcBorders>
          </w:tcPr>
          <w:p w14:paraId="5771FB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708" w:type="dxa"/>
            <w:tcBorders>
              <w:bottom w:val="single" w:sz="12" w:space="0" w:color="auto"/>
            </w:tcBorders>
          </w:tcPr>
          <w:p w14:paraId="4ACCCF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1x20 1x12,7</w:t>
            </w:r>
          </w:p>
        </w:tc>
        <w:tc>
          <w:tcPr>
            <w:tcW w:w="851" w:type="dxa"/>
            <w:tcBorders>
              <w:bottom w:val="single" w:sz="12" w:space="0" w:color="auto"/>
            </w:tcBorders>
          </w:tcPr>
          <w:p w14:paraId="2E443B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992" w:type="dxa"/>
            <w:tcBorders>
              <w:bottom w:val="single" w:sz="12" w:space="0" w:color="auto"/>
            </w:tcBorders>
          </w:tcPr>
          <w:p w14:paraId="0AB71B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851" w:type="dxa"/>
            <w:tcBorders>
              <w:bottom w:val="single" w:sz="12" w:space="0" w:color="auto"/>
            </w:tcBorders>
          </w:tcPr>
          <w:p w14:paraId="2DB69D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850" w:type="dxa"/>
            <w:tcBorders>
              <w:bottom w:val="single" w:sz="12" w:space="0" w:color="auto"/>
            </w:tcBorders>
          </w:tcPr>
          <w:p w14:paraId="51D17B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851" w:type="dxa"/>
            <w:tcBorders>
              <w:bottom w:val="single" w:sz="12" w:space="0" w:color="auto"/>
            </w:tcBorders>
          </w:tcPr>
          <w:p w14:paraId="6C89FA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850" w:type="dxa"/>
            <w:tcBorders>
              <w:bottom w:val="single" w:sz="12" w:space="0" w:color="auto"/>
            </w:tcBorders>
          </w:tcPr>
          <w:p w14:paraId="044E39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2x20</w:t>
            </w:r>
          </w:p>
        </w:tc>
        <w:tc>
          <w:tcPr>
            <w:tcW w:w="992" w:type="dxa"/>
            <w:tcBorders>
              <w:bottom w:val="single" w:sz="12" w:space="0" w:color="auto"/>
            </w:tcBorders>
          </w:tcPr>
          <w:p w14:paraId="47EDB4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3x20</w:t>
            </w:r>
          </w:p>
        </w:tc>
      </w:tr>
    </w:tbl>
    <w:p w14:paraId="1FA498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p w14:paraId="087962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Расчет.</w:t>
      </w:r>
    </w:p>
    <w:p w14:paraId="33BFB4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Техническое описание завода № 21, осень I942 г.</w:t>
      </w:r>
    </w:p>
    <w:p w14:paraId="5C72B7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Без носалочных щитков.</w:t>
      </w:r>
    </w:p>
    <w:p w14:paraId="37FBF7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форсаже.</w:t>
      </w:r>
    </w:p>
    <w:p w14:paraId="586047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Размеры всех модификаций Ла-5 идентичны за исключением Гу-82.</w:t>
      </w:r>
    </w:p>
    <w:p w14:paraId="00B33D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 злеронами.</w:t>
      </w:r>
    </w:p>
    <w:p w14:paraId="7745E7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При работе мотора на номинальном режиме, на форсированном режиме - 5,2 минуты.</w:t>
      </w:r>
    </w:p>
    <w:p w14:paraId="4FCD69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На высоте 500 м, приборная скорость 455 км/ч, давление наддува 950 мм рт.ст. (продолжительность полета 50 минут).</w:t>
      </w:r>
    </w:p>
    <w:p w14:paraId="164496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 высоте 4000 м, приборная скорость 265 км/ч, давление наддува 410 мм рт.ст. (продолжительность полета 3 часа 36 минут).</w:t>
      </w:r>
    </w:p>
    <w:p w14:paraId="604AD6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Набор высоты на боевом развороте с высоты 1000 м ири скорости ввода 500 км/ч и вывода 270 км/ч по прибору - 1100 м. Потеря высоты ири перевороте с высоты 2000 м на скорости ввода 270 км/ч и скорости вывода 400 км/ч по прибору - 800м (12032).</w:t>
      </w:r>
    </w:p>
    <w:p w14:paraId="321286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AB1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Куйбышеве на заводе 1 сделали второй ДИС-200 ИТ с М-82 вместо АМ-37 и более мощным вооружением. Были и варианты ПБ и торпедоносца. В этом же месяце Г.М.Шиянов из ЛИИ выполнил первый полет. Потом перевезли в Казань, где были заводские испытания. Шли нормально, но опыт войны показал, что машина не нужна (1084,33).</w:t>
      </w:r>
    </w:p>
    <w:p w14:paraId="143849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751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закончили рабочие чер</w:t>
      </w:r>
      <w:r w:rsidRPr="008127F8">
        <w:rPr>
          <w:rFonts w:ascii="Times New Roman" w:hAnsi="Times New Roman"/>
          <w:color w:val="000000" w:themeColor="text1"/>
          <w:sz w:val="16"/>
          <w:szCs w:val="16"/>
        </w:rPr>
        <w:softHyphen/>
        <w:t>тежи УТ-1б (боевой), разработанного в Ейском авиаучилище по приказу от 10 ноября 1941 командующего ВВС ЧМФ; тогда же приступили к переделке самолетов. Первоначальное вооружение УТ-1 б состояло из двух пулеметов ШКАС и двух PC-82. Пулеметы стояли над кры</w:t>
      </w:r>
      <w:r w:rsidRPr="008127F8">
        <w:rPr>
          <w:rFonts w:ascii="Times New Roman" w:hAnsi="Times New Roman"/>
          <w:color w:val="000000" w:themeColor="text1"/>
          <w:sz w:val="16"/>
          <w:szCs w:val="16"/>
        </w:rPr>
        <w:softHyphen/>
        <w:t>лом, опираясь на специальную ферму, вставленную внутрь крыла между лон</w:t>
      </w:r>
      <w:r w:rsidRPr="008127F8">
        <w:rPr>
          <w:rFonts w:ascii="Times New Roman" w:hAnsi="Times New Roman"/>
          <w:color w:val="000000" w:themeColor="text1"/>
          <w:sz w:val="16"/>
          <w:szCs w:val="16"/>
        </w:rPr>
        <w:softHyphen/>
        <w:t>жеронами. Патронные ящики (на 420 па</w:t>
      </w:r>
      <w:r w:rsidRPr="008127F8">
        <w:rPr>
          <w:rFonts w:ascii="Times New Roman" w:hAnsi="Times New Roman"/>
          <w:color w:val="000000" w:themeColor="text1"/>
          <w:sz w:val="16"/>
          <w:szCs w:val="16"/>
        </w:rPr>
        <w:softHyphen/>
        <w:t>тронов для каждого ШКАСа) тоже мон</w:t>
      </w:r>
      <w:r w:rsidRPr="008127F8">
        <w:rPr>
          <w:rFonts w:ascii="Times New Roman" w:hAnsi="Times New Roman"/>
          <w:color w:val="000000" w:themeColor="text1"/>
          <w:sz w:val="16"/>
          <w:szCs w:val="16"/>
        </w:rPr>
        <w:softHyphen/>
        <w:t>тировались внутри крыла. Обычную руч</w:t>
      </w:r>
      <w:r w:rsidRPr="008127F8">
        <w:rPr>
          <w:rFonts w:ascii="Times New Roman" w:hAnsi="Times New Roman"/>
          <w:color w:val="000000" w:themeColor="text1"/>
          <w:sz w:val="16"/>
          <w:szCs w:val="16"/>
        </w:rPr>
        <w:softHyphen/>
        <w:t>ку управления заменили на “баранку” с гашетками, более удобную для боевого применения. На самолете предусмотре</w:t>
      </w:r>
      <w:r w:rsidRPr="008127F8">
        <w:rPr>
          <w:rFonts w:ascii="Times New Roman" w:hAnsi="Times New Roman"/>
          <w:color w:val="000000" w:themeColor="text1"/>
          <w:sz w:val="16"/>
          <w:szCs w:val="16"/>
        </w:rPr>
        <w:softHyphen/>
        <w:t>ли простенький прицел КП-5 (3955).</w:t>
      </w:r>
    </w:p>
    <w:p w14:paraId="06DDF3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C47D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в Баку на заводе 458 была закончена работа по УТИ-4 с вооружением - тип 15Б. Поставили два несинхронных БС в центроплане и по три РО для РС-82, а также бомбодержатели с И-153 на 50 кг по одному на крыло. В передней кабине поставили прицел ПБП-1Б, а при боевом применении заднюю кабину закрывали дюралевым колпаком. Испытывали </w:t>
      </w:r>
      <w:proofErr w:type="gramStart"/>
      <w:r w:rsidRPr="008127F8">
        <w:rPr>
          <w:rFonts w:ascii="Times New Roman" w:hAnsi="Times New Roman"/>
          <w:color w:val="000000" w:themeColor="text1"/>
          <w:sz w:val="16"/>
          <w:szCs w:val="16"/>
        </w:rPr>
        <w:t>в на</w:t>
      </w:r>
      <w:proofErr w:type="gramEnd"/>
      <w:r w:rsidRPr="008127F8">
        <w:rPr>
          <w:rFonts w:ascii="Times New Roman" w:hAnsi="Times New Roman"/>
          <w:color w:val="000000" w:themeColor="text1"/>
          <w:sz w:val="16"/>
          <w:szCs w:val="16"/>
        </w:rPr>
        <w:t xml:space="preserve"> аэродроме 480 полка в Кишлы и в 266 ап в Шехикае в 60 км от Баку. Признали хорошим и то, что можно переоборудовать ранее выпущенные машины. Почему-то не пошел и все 83 УТИ-4, выпущенные в 1942 в Баку, были обычными (1808,32).</w:t>
      </w:r>
    </w:p>
    <w:p w14:paraId="0BFE03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CDFDE5" w14:textId="77777777" w:rsidR="00AA6BB1" w:rsidRPr="008127F8" w:rsidRDefault="00AA6B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1942-го предложил Сталину построить небольшую серию Гу-82 для войсковых испытаний. Для этого предлагалось организовать в Москве на территории одного из эвакуированных заводов опытное производство. В случае принятия такого решения не нарушался выпуск ЛаГГ-3 серийными заводами, хотя рано или поздно это делать пришлось бы. Так и произошло на заводе №21 при переходе его с выпуска ЛаГГ-3 на Ла-5.</w:t>
      </w:r>
    </w:p>
    <w:p w14:paraId="3B91F469" w14:textId="77777777" w:rsidR="00AA6BB1" w:rsidRPr="008127F8" w:rsidRDefault="00AA6B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Самыми заинтересованными в Гу-82 были военные и они, почувствовав перспективу машины, неоднократно обращались и к Сталину, и в наркомат с требованием довести этот истребитель. Но каждый раз находились чиновники, тормозившие этот процесс и в конце концов делавшие свое дело.</w:t>
      </w:r>
    </w:p>
    <w:p w14:paraId="695A3F27" w14:textId="77777777" w:rsidR="00AA6BB1" w:rsidRPr="008127F8" w:rsidRDefault="00AA6B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характеристики Гу-82, исследовавшегося в ЛИИ в сентябре-октябре 1941-го, оказались заметно ниже, чем у Ла-5, испытания которого начались лишь в марте следующего года. Достаточно сказать, что его максимальная скорость была меньше на 27 км/ч, а время набора высоты - чуть больше. На это были свои причины - Гудков торопился дать фронту нужную скоростную машину и время на исследования в условиях эвакуации промышленности на восток у него не было. Поставленную задачу он успешно выполнил, надеясь в дальнейшем значительно улучшить данные самолета (15558).</w:t>
      </w:r>
    </w:p>
    <w:p w14:paraId="4635A14C" w14:textId="77777777" w:rsidR="00AA6BB1" w:rsidRPr="008127F8" w:rsidRDefault="00AA6BB1" w:rsidP="001E0A84">
      <w:pPr>
        <w:spacing w:after="0" w:line="240" w:lineRule="auto"/>
        <w:jc w:val="both"/>
        <w:rPr>
          <w:rFonts w:ascii="Times New Roman" w:hAnsi="Times New Roman"/>
          <w:color w:val="000000" w:themeColor="text1"/>
          <w:sz w:val="16"/>
          <w:szCs w:val="16"/>
        </w:rPr>
      </w:pPr>
    </w:p>
    <w:p w14:paraId="1279AA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бакинский завод № 458 выпустил 20 машин УТИ-4, в феврале выпуск был увеличен вдвое (10684).</w:t>
      </w:r>
    </w:p>
    <w:p w14:paraId="6082DB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C15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завод № 84 сдал в соответствии с программой 8 самолетов ПС-84. Уже в марте 1942 года выпуск самолетов из сборочного цеха был доведен до одной машины в день, а с июля завод начал выпускать самолеты с бомбардировочным устройством и довел выпуск до 2-х машин в день. В IV квартале выпуск самолетов снизился вдвое против III квартала. Всего за 1942 год завод изготовил и сдал 386 самолетов (9461).</w:t>
      </w:r>
    </w:p>
    <w:p w14:paraId="1150BB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33C83" w14:textId="77777777" w:rsidR="00120EE4" w:rsidRPr="008127F8" w:rsidRDefault="00120E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 выпуск серийной продукции на авиазаводах неуклонно возрастал. Уже в мае было построено в 3,6 раза больше самолетов, чем в декабре 1941 г. Всего за первое полугодие 1942 г. выпустили 9597 самолетов, включая 8151 боевой. Большая их часть была произведена в глубинных районах страны (Поволжье, Сибирь, Средняя Азия). Удельный вес военной продукции тамошних авиазаводов в общеотраслевом производстве с 6,6% в июне 1941 г. увеличился к июню 1942 г. до 77,3%. Это свидетельствовало о том, что, преодолев колоссальные трудности перебазирования, авиаиндустрия к началу второго полугодия 1942 г. смогла воссоздать свой производственно-технического потенциал и ее перестройка на военный лад в основном завершились. Показатели выпуска самолетов стали возрастать из месяца в месяц. Особенно ощутимым был прогресс в производстве истребителей и штурмовиков (18305).</w:t>
      </w:r>
    </w:p>
    <w:p w14:paraId="6B754EC5" w14:textId="77777777" w:rsidR="00120EE4" w:rsidRPr="008127F8" w:rsidRDefault="00120EE4" w:rsidP="001E0A84">
      <w:pPr>
        <w:spacing w:after="0" w:line="240" w:lineRule="auto"/>
        <w:jc w:val="both"/>
        <w:rPr>
          <w:rFonts w:ascii="Times New Roman" w:hAnsi="Times New Roman"/>
          <w:color w:val="000000" w:themeColor="text1"/>
          <w:sz w:val="16"/>
          <w:szCs w:val="16"/>
        </w:rPr>
      </w:pPr>
    </w:p>
    <w:p w14:paraId="212449B1" w14:textId="77777777" w:rsidR="006638CB" w:rsidRPr="008127F8" w:rsidRDefault="006638CB" w:rsidP="001E0A84">
      <w:pPr>
        <w:pStyle w:val="af"/>
        <w:shd w:val="clear" w:color="auto" w:fill="FFFFFF"/>
        <w:spacing w:before="0" w:after="0"/>
        <w:jc w:val="both"/>
        <w:rPr>
          <w:color w:val="000000" w:themeColor="text1"/>
          <w:sz w:val="16"/>
          <w:szCs w:val="16"/>
        </w:rPr>
      </w:pPr>
      <w:r w:rsidRPr="008127F8">
        <w:rPr>
          <w:color w:val="000000" w:themeColor="text1"/>
          <w:sz w:val="16"/>
          <w:szCs w:val="16"/>
          <w:shd w:val="clear" w:color="auto" w:fill="FFFFFF"/>
        </w:rPr>
        <w:t>В январе 1942 года полностью подготовленный ТМС, состоявший из снаряженного 3500-кг бомбой повышенного взрывного действия ТБ-3 «Торпеда» (№ 22 707), и командного самолета ДБ-ЗФ, которые находились на аэродроме подскока в Иванове, был послан на уничтожение железнодорожного узла Вязьма. При подлете к Вязьме антенна командного самолета ДБ-ЗФ была перебита огнем зенитной артиллерии противника, поэтому неуправляемый ТБ-3 «Торпеда» ушел в тыл немецких войск. Второй экземпляр «телемеханического» самолета сгорел на аэродроме при взрыве боеприпасов в стоявшем рядом бомбардировщике. После этого работы по телемеханическим самолетам в Советском Союзе на время войны прекратили (22290).</w:t>
      </w:r>
    </w:p>
    <w:p w14:paraId="082BD76F" w14:textId="77777777" w:rsidR="006638CB" w:rsidRPr="008127F8" w:rsidRDefault="006638CB" w:rsidP="001E0A84">
      <w:pPr>
        <w:pStyle w:val="af"/>
        <w:shd w:val="clear" w:color="auto" w:fill="FFFFFF"/>
        <w:spacing w:before="0" w:after="0"/>
        <w:jc w:val="both"/>
        <w:rPr>
          <w:color w:val="000000" w:themeColor="text1"/>
          <w:sz w:val="16"/>
          <w:szCs w:val="16"/>
        </w:rPr>
      </w:pPr>
    </w:p>
    <w:p w14:paraId="0E5BCBF6" w14:textId="76F37B26" w:rsidR="00120EE4" w:rsidRPr="008127F8" w:rsidRDefault="00120EE4" w:rsidP="001E0A84">
      <w:pPr>
        <w:pStyle w:val="af"/>
        <w:spacing w:before="0" w:after="0"/>
        <w:jc w:val="both"/>
        <w:textAlignment w:val="baseline"/>
        <w:rPr>
          <w:color w:val="000000" w:themeColor="text1"/>
          <w:sz w:val="16"/>
          <w:szCs w:val="16"/>
        </w:rPr>
      </w:pPr>
      <w:r w:rsidRPr="008127F8">
        <w:rPr>
          <w:color w:val="000000" w:themeColor="text1"/>
          <w:sz w:val="16"/>
          <w:szCs w:val="16"/>
        </w:rPr>
        <w:t xml:space="preserve">В январе </w:t>
      </w:r>
      <w:proofErr w:type="gramStart"/>
      <w:r w:rsidRPr="008127F8">
        <w:rPr>
          <w:color w:val="000000" w:themeColor="text1"/>
          <w:sz w:val="16"/>
          <w:szCs w:val="16"/>
        </w:rPr>
        <w:t>1942</w:t>
      </w:r>
      <w:r w:rsidR="008127F8">
        <w:rPr>
          <w:color w:val="000000" w:themeColor="text1"/>
          <w:sz w:val="16"/>
          <w:szCs w:val="16"/>
        </w:rPr>
        <w:t xml:space="preserve">  </w:t>
      </w:r>
      <w:r w:rsidRPr="008127F8">
        <w:rPr>
          <w:color w:val="000000" w:themeColor="text1"/>
          <w:sz w:val="16"/>
          <w:szCs w:val="16"/>
        </w:rPr>
        <w:t>г.</w:t>
      </w:r>
      <w:proofErr w:type="gramEnd"/>
      <w:r w:rsidRPr="008127F8">
        <w:rPr>
          <w:color w:val="000000" w:themeColor="text1"/>
          <w:sz w:val="16"/>
          <w:szCs w:val="16"/>
        </w:rPr>
        <w:t xml:space="preserve"> в</w:t>
      </w:r>
      <w:r w:rsidR="008127F8">
        <w:rPr>
          <w:color w:val="000000" w:themeColor="text1"/>
          <w:sz w:val="16"/>
          <w:szCs w:val="16"/>
        </w:rPr>
        <w:t xml:space="preserve">  </w:t>
      </w:r>
      <w:r w:rsidRPr="008127F8">
        <w:rPr>
          <w:color w:val="000000" w:themeColor="text1"/>
          <w:sz w:val="16"/>
          <w:szCs w:val="16"/>
        </w:rPr>
        <w:t xml:space="preserve">Безымянлаге трудилось около 100 тысяч человек. Внедрение «стахановских» методов работы, основанных на штурмовщине и кампанейщине, вкупе с угрозами и показательными судами позволили в короткие сроки увеличить объемы </w:t>
      </w:r>
      <w:proofErr w:type="gramStart"/>
      <w:r w:rsidRPr="008127F8">
        <w:rPr>
          <w:color w:val="000000" w:themeColor="text1"/>
          <w:sz w:val="16"/>
          <w:szCs w:val="16"/>
        </w:rPr>
        <w:t>производства[</w:t>
      </w:r>
      <w:proofErr w:type="gramEnd"/>
      <w:r w:rsidRPr="008127F8">
        <w:rPr>
          <w:color w:val="000000" w:themeColor="text1"/>
          <w:sz w:val="16"/>
          <w:szCs w:val="16"/>
        </w:rPr>
        <w:t xml:space="preserve">5]. И хотя качество продукции оставалось крайне низким, количественные показатели впечатляли. Уже в апреле </w:t>
      </w:r>
      <w:proofErr w:type="gramStart"/>
      <w:r w:rsidRPr="008127F8">
        <w:rPr>
          <w:color w:val="000000" w:themeColor="text1"/>
          <w:sz w:val="16"/>
          <w:szCs w:val="16"/>
        </w:rPr>
        <w:t>1942</w:t>
      </w:r>
      <w:r w:rsidR="008127F8">
        <w:rPr>
          <w:color w:val="000000" w:themeColor="text1"/>
          <w:sz w:val="16"/>
          <w:szCs w:val="16"/>
        </w:rPr>
        <w:t xml:space="preserve">  </w:t>
      </w:r>
      <w:r w:rsidRPr="008127F8">
        <w:rPr>
          <w:color w:val="000000" w:themeColor="text1"/>
          <w:sz w:val="16"/>
          <w:szCs w:val="16"/>
        </w:rPr>
        <w:t>г.</w:t>
      </w:r>
      <w:proofErr w:type="gramEnd"/>
      <w:r w:rsidRPr="008127F8">
        <w:rPr>
          <w:color w:val="000000" w:themeColor="text1"/>
          <w:sz w:val="16"/>
          <w:szCs w:val="16"/>
        </w:rPr>
        <w:t xml:space="preserve"> авиазавод №</w:t>
      </w:r>
      <w:r w:rsidR="008127F8">
        <w:rPr>
          <w:color w:val="000000" w:themeColor="text1"/>
          <w:sz w:val="16"/>
          <w:szCs w:val="16"/>
        </w:rPr>
        <w:t xml:space="preserve">  </w:t>
      </w:r>
      <w:r w:rsidRPr="008127F8">
        <w:rPr>
          <w:color w:val="000000" w:themeColor="text1"/>
          <w:sz w:val="16"/>
          <w:szCs w:val="16"/>
        </w:rPr>
        <w:t>18 почти достиг своей доэвакуационной мощности. На расположенной рядом с ним летно-испытательной станции целыми днями облетывались новые машины, а на аэродромах 1-й заб формировались все новые и новые полки (19522).</w:t>
      </w:r>
    </w:p>
    <w:p w14:paraId="72AC6186" w14:textId="77777777" w:rsidR="00120EE4" w:rsidRPr="008127F8" w:rsidRDefault="00120EE4" w:rsidP="001E0A84">
      <w:pPr>
        <w:pStyle w:val="af"/>
        <w:spacing w:before="0" w:after="0"/>
        <w:jc w:val="both"/>
        <w:textAlignment w:val="baseline"/>
        <w:rPr>
          <w:color w:val="000000" w:themeColor="text1"/>
          <w:sz w:val="16"/>
          <w:szCs w:val="16"/>
        </w:rPr>
      </w:pPr>
    </w:p>
    <w:p w14:paraId="5A2644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велись работы по непосредственному впрыску М-82. Проверка работы мотора с насосом НБ-3 и автоматом РС-2 и отработка автоматики. Определение наивыгоднейшего угла впрыска. Лучшие рез-ты получены при угле впрыска 30 после ВМТ (737,17).</w:t>
      </w:r>
    </w:p>
    <w:p w14:paraId="092353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7717C"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января 1942 г. выпуск серийной продукции на авиазаводах неуклонно возрастал. Уже в мае было построено в 3,6 раза больше самолетов, чем в декабре 1941 г. Всего за первое полугодие 1942 г. выпустили 9597 самолетов, включая 8151 боевой. Большая их часть была произведена в глубинных районах страны (Поволжье, Сибирь, Средняя Азия). Удельный вес военной продукции тамошних авиазаводов в общеотраслевом производстве с 6,6% в июне 1941 г. увеличился к июню 1942 г. до 77,3%. Это свидетельствовало о том, что, преодолев колоссальные трудности перебазирования, авиаиндустрия к началу второго полугодия 1942 г. смогла воссоздать свой производственно-технического потенциал и ее перестройка на военный лад в основном завершились. Показатели выпуска самолетов стали возрастать из месяца в месяц. Особенно ощутимым был прогресс в производстве истребителей и штурмовиков (23472).</w:t>
      </w:r>
    </w:p>
    <w:p w14:paraId="1BF9A673" w14:textId="77777777" w:rsidR="00F11CAA" w:rsidRPr="008A2E5A" w:rsidRDefault="00F11CAA" w:rsidP="00F11CAA">
      <w:pPr>
        <w:spacing w:after="0" w:line="240" w:lineRule="auto"/>
        <w:jc w:val="both"/>
        <w:rPr>
          <w:rFonts w:ascii="Times New Roman" w:hAnsi="Times New Roman"/>
          <w:color w:val="0070C0"/>
          <w:sz w:val="16"/>
          <w:szCs w:val="16"/>
        </w:rPr>
      </w:pPr>
    </w:p>
    <w:p w14:paraId="53733BC1"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начался подъем в авиационной промышленности. Уже в первом квартале этого года было выпущено самолетов на 2,5% больше, чем в предвоенном квартале 1941 г., во втором квартале 1942 г.-на 68,2%, в третьем - на 109,6%.</w:t>
      </w:r>
    </w:p>
    <w:p w14:paraId="06C83AE0"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 г. освоить производство 14 новых типов самолетов, в их числе: истребителей - 5, бомбардировщиков - 6, штурмовиков - 1 и транспортных - 2. За это же время было внедрено в производство 10 новых типов моторов. В результате удельный вес различных типов самолетов в общем производстве значительно изменился.</w:t>
      </w:r>
    </w:p>
    <w:p w14:paraId="4A875C18"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Особенно повысился удельный вес штурмовиков (выпуск их в 1942 г. составлял более одной трети всего производства боевых машин). Это объяснялось необходимостью существенно усилить огневую мощь боевых операций. Штурмовая авиация относилась, как известно, к фронтовой авиации, предназначенной для непосредственной поддержки сухопутных, воздушных и военно-морских сил во всех видах боя и операциях. Она наносила внезапные сокрушительные удары по танковым колоннам, артиллерийским боевым порядкам, скоплениям живой силы противника, по железнодорожным, водным и другим объектам, а сама была малоуязвимой для артиллерии противника, так как действовала на небольших высотах. И во всех видах боевых действий штурмовая авиация добивалась крупных успехов (24303).</w:t>
      </w:r>
    </w:p>
    <w:p w14:paraId="45E4F1D0" w14:textId="77777777" w:rsidR="00F11CAA" w:rsidRPr="008A2E5A" w:rsidRDefault="00F11CAA" w:rsidP="00F11CAA">
      <w:pPr>
        <w:spacing w:after="0" w:line="240" w:lineRule="auto"/>
        <w:jc w:val="both"/>
        <w:rPr>
          <w:rFonts w:ascii="Times New Roman" w:hAnsi="Times New Roman"/>
          <w:color w:val="0070C0"/>
          <w:sz w:val="16"/>
          <w:szCs w:val="16"/>
        </w:rPr>
      </w:pPr>
    </w:p>
    <w:p w14:paraId="7B1DA462"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Начиная с января 1942 г., директора самолетострои</w:t>
      </w:r>
      <w:r w:rsidRPr="008A2E5A">
        <w:rPr>
          <w:rFonts w:ascii="Times New Roman" w:hAnsi="Times New Roman"/>
          <w:color w:val="0070C0"/>
          <w:sz w:val="16"/>
          <w:szCs w:val="16"/>
        </w:rPr>
        <w:softHyphen/>
        <w:t>тельных заводов, помимо диспетчерской службы НКАП, обязывались ежедневно сообщать в местный обком ВКП(б) сведения о том, сколько собрано машин, обле</w:t>
      </w:r>
      <w:r w:rsidRPr="008A2E5A">
        <w:rPr>
          <w:rFonts w:ascii="Times New Roman" w:hAnsi="Times New Roman"/>
          <w:color w:val="0070C0"/>
          <w:sz w:val="16"/>
          <w:szCs w:val="16"/>
        </w:rPr>
        <w:softHyphen/>
        <w:t>тано, отправлено в воинские части, сколько подано на сборку центропланов, комплектов крыльев, фюзеляжей.</w:t>
      </w:r>
    </w:p>
    <w:p w14:paraId="3B382C0D"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 жесткий надзор был поставлен вопрос исполь</w:t>
      </w:r>
      <w:r w:rsidRPr="008A2E5A">
        <w:rPr>
          <w:rFonts w:ascii="Times New Roman" w:hAnsi="Times New Roman"/>
          <w:color w:val="0070C0"/>
          <w:sz w:val="16"/>
          <w:szCs w:val="16"/>
        </w:rPr>
        <w:softHyphen/>
        <w:t>зования заводами дефицитного сырья и материалов.</w:t>
      </w:r>
    </w:p>
    <w:p w14:paraId="74FED0A7" w14:textId="77777777" w:rsidR="00F11CAA" w:rsidRPr="008A2E5A" w:rsidRDefault="00F11CAA" w:rsidP="00F11C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Почти каждый месяц на заводы поступали указания НКАП о сокращении расходов цветных металлов и других материалов (23346).</w:t>
      </w:r>
    </w:p>
    <w:p w14:paraId="6E978004" w14:textId="77777777" w:rsidR="00F11CAA" w:rsidRPr="008A2E5A" w:rsidRDefault="00F11CAA" w:rsidP="00F11CAA">
      <w:pPr>
        <w:spacing w:after="0" w:line="240" w:lineRule="auto"/>
        <w:jc w:val="both"/>
        <w:rPr>
          <w:rFonts w:ascii="Times New Roman" w:hAnsi="Times New Roman"/>
          <w:color w:val="0070C0"/>
          <w:sz w:val="16"/>
          <w:szCs w:val="16"/>
        </w:rPr>
      </w:pPr>
    </w:p>
    <w:p w14:paraId="12D53AB3"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1942 г. для конвоев откры</w:t>
      </w:r>
      <w:r w:rsidRPr="008A2E5A">
        <w:rPr>
          <w:rFonts w:ascii="Times New Roman" w:hAnsi="Times New Roman"/>
          <w:color w:val="0070C0"/>
          <w:sz w:val="16"/>
          <w:szCs w:val="16"/>
        </w:rPr>
        <w:softHyphen/>
        <w:t>ли Мурманск. Первым там ошвартовался еще 20 декабря 1941 г. советский пароход «Декабрист», среди груза которого были американские бомбардировщики. А 11 ян</w:t>
      </w:r>
      <w:r w:rsidRPr="008A2E5A">
        <w:rPr>
          <w:rFonts w:ascii="Times New Roman" w:hAnsi="Times New Roman"/>
          <w:color w:val="0070C0"/>
          <w:sz w:val="16"/>
          <w:szCs w:val="16"/>
        </w:rPr>
        <w:softHyphen/>
        <w:t>варя пришел первый конвой из Англии — девять транспортов. Самолеты, выделяв</w:t>
      </w:r>
      <w:r w:rsidRPr="008A2E5A">
        <w:rPr>
          <w:rFonts w:ascii="Times New Roman" w:hAnsi="Times New Roman"/>
          <w:color w:val="0070C0"/>
          <w:sz w:val="16"/>
          <w:szCs w:val="16"/>
        </w:rPr>
        <w:softHyphen/>
        <w:t>шиеся для местных авиачастей, на месте же и собирали, а остальное, как правило, отправлялось по железной дороге в глубь страны. Ящики прямо с кораблей сгружали на железнодорожные платформы. Из Мур</w:t>
      </w:r>
      <w:r w:rsidRPr="008A2E5A">
        <w:rPr>
          <w:rFonts w:ascii="Times New Roman" w:hAnsi="Times New Roman"/>
          <w:color w:val="0070C0"/>
          <w:sz w:val="16"/>
          <w:szCs w:val="16"/>
        </w:rPr>
        <w:softHyphen/>
        <w:t>манска самолеты направлялись обычно по Кировской железной дороге и использо</w:t>
      </w:r>
      <w:r w:rsidRPr="008A2E5A">
        <w:rPr>
          <w:rFonts w:ascii="Times New Roman" w:hAnsi="Times New Roman"/>
          <w:color w:val="0070C0"/>
          <w:sz w:val="16"/>
          <w:szCs w:val="16"/>
        </w:rPr>
        <w:softHyphen/>
        <w:t>вались частями Карельского и Ленинград</w:t>
      </w:r>
      <w:r w:rsidRPr="008A2E5A">
        <w:rPr>
          <w:rFonts w:ascii="Times New Roman" w:hAnsi="Times New Roman"/>
          <w:color w:val="0070C0"/>
          <w:sz w:val="16"/>
          <w:szCs w:val="16"/>
        </w:rPr>
        <w:softHyphen/>
        <w:t>ского фронтов. Из портов архангельского узла (собственно Архангельск, Бакарица и Северодвинск) техника шла на сбороч</w:t>
      </w:r>
      <w:r w:rsidRPr="008A2E5A">
        <w:rPr>
          <w:rFonts w:ascii="Times New Roman" w:hAnsi="Times New Roman"/>
          <w:color w:val="0070C0"/>
          <w:sz w:val="16"/>
          <w:szCs w:val="16"/>
        </w:rPr>
        <w:softHyphen/>
        <w:t>ную площадку под Архангельском, затем по воздуху под Вологду, а позже отправля</w:t>
      </w:r>
      <w:r w:rsidRPr="008A2E5A">
        <w:rPr>
          <w:rFonts w:ascii="Times New Roman" w:hAnsi="Times New Roman"/>
          <w:color w:val="0070C0"/>
          <w:sz w:val="16"/>
          <w:szCs w:val="16"/>
        </w:rPr>
        <w:softHyphen/>
        <w:t>лась сразу туда же по железной дороге на станцию Сокол (23513).</w:t>
      </w:r>
    </w:p>
    <w:p w14:paraId="1939AAB7" w14:textId="77777777" w:rsidR="00B95B7F" w:rsidRPr="008A2E5A" w:rsidRDefault="00B95B7F" w:rsidP="00B95B7F">
      <w:pPr>
        <w:spacing w:after="0" w:line="240" w:lineRule="auto"/>
        <w:jc w:val="both"/>
        <w:rPr>
          <w:rFonts w:ascii="Times New Roman" w:hAnsi="Times New Roman"/>
          <w:color w:val="0070C0"/>
          <w:sz w:val="16"/>
          <w:szCs w:val="16"/>
        </w:rPr>
      </w:pPr>
    </w:p>
    <w:p w14:paraId="2B533A6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агрегат НБ-ЗУ был переконструирован, переделан и приспособлен к мотору М-82, на ко</w:t>
      </w:r>
      <w:r w:rsidRPr="008127F8">
        <w:rPr>
          <w:rFonts w:ascii="Times New Roman" w:hAnsi="Times New Roman"/>
          <w:color w:val="000000" w:themeColor="text1"/>
          <w:sz w:val="16"/>
          <w:szCs w:val="16"/>
        </w:rPr>
        <w:softHyphen/>
        <w:t>тором велись испытания и доводка аппаратуры с декабря 1941 года. В силу загрузки завода №296 оптическими изделиями, отсутствия квалифицированных кадров и нужно</w:t>
      </w:r>
      <w:r w:rsidRPr="008127F8">
        <w:rPr>
          <w:rFonts w:ascii="Times New Roman" w:hAnsi="Times New Roman"/>
          <w:color w:val="000000" w:themeColor="text1"/>
          <w:sz w:val="16"/>
          <w:szCs w:val="16"/>
        </w:rPr>
        <w:softHyphen/>
        <w:t>го типажа оборудования, а также от</w:t>
      </w:r>
      <w:r w:rsidRPr="008127F8">
        <w:rPr>
          <w:rFonts w:ascii="Times New Roman" w:hAnsi="Times New Roman"/>
          <w:color w:val="000000" w:themeColor="text1"/>
          <w:sz w:val="16"/>
          <w:szCs w:val="16"/>
        </w:rPr>
        <w:softHyphen/>
        <w:t>сутствия опытной базы у ОКБ, лишь к маю месяцу были собраны и отрегулированы 5 насосов для про</w:t>
      </w:r>
      <w:r w:rsidRPr="008127F8">
        <w:rPr>
          <w:rFonts w:ascii="Times New Roman" w:hAnsi="Times New Roman"/>
          <w:color w:val="000000" w:themeColor="text1"/>
          <w:sz w:val="16"/>
          <w:szCs w:val="16"/>
        </w:rPr>
        <w:softHyphen/>
        <w:t>ведения испытаний на мо</w:t>
      </w:r>
      <w:r w:rsidRPr="008127F8">
        <w:rPr>
          <w:rFonts w:ascii="Times New Roman" w:hAnsi="Times New Roman"/>
          <w:color w:val="000000" w:themeColor="text1"/>
          <w:sz w:val="16"/>
          <w:szCs w:val="16"/>
        </w:rPr>
        <w:softHyphen/>
        <w:t>торе М-82 (10705).</w:t>
      </w:r>
    </w:p>
    <w:p w14:paraId="32F4C4E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2CE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началась доводка М-107, которая закончилась его успешными испытаниями 19 сентября 1942 г. Но, в связи с работами по аналогичному мотору М-106П, начатыми в том же месяце, было принято решение серийного выпуска М-107 не начинать, а форсировать его мощность и приступить к изготовлению форсированного образца с октября 1942 г. под наименованием М-107А.</w:t>
      </w:r>
    </w:p>
    <w:p w14:paraId="7F2127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форсированию М-107 прошли успешно, хотя с некоторым запозданием, и с марта 1943 г. М- 107А с номинальной мощностью 1600/1500 л.с. (первая/вторая скорости нагнетателя) начали выпускать серийно. Новый мотор тут же попытались "вписать" в конструкцию Як-1. Атак как по времени это совпало с созданием Як-IM, то все лучшее, накопленное при его разработке, было перенесено и на новую машину. К апрелю самолет был готов.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35F651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 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45AF73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63929" w14:textId="77777777" w:rsidR="00081E96" w:rsidRPr="008127F8" w:rsidRDefault="00081E9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Народный комиссариат Государственного контроля проводил проверку хода восстановления производства завода № 16. В Акте проверки отмечалось, что решение Государственного Комитета Обороны о том, что «завод №16 должен закончить монтаж оборудования на площадях завода № 27 в Казани к 01.12.1941 и полностью восстановить производство в декабре 1941 г.» – не выполнено. «Из 1023 станков, подлежащих установке, на 09.01.1942 смонтировано лишь 490 станков, а из оставшихся – 120 станков находятся под снегом. Прибывшие эшелоны с оборудованием разгружались заключенными из местного лагеря, которые к разгрузке относились очень небрежно, и часть ценностей была ими похищена. Так, был полностью похищен весь запас декстрина (изготовляется из крахмала картофеля, служит крепителем стержней в литейном производстве)».</w:t>
      </w:r>
    </w:p>
    <w:p w14:paraId="0C7B8116" w14:textId="77777777" w:rsidR="00081E96" w:rsidRPr="008127F8" w:rsidRDefault="00081E9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заводе работало 30% рабочих, два-три месяца назад бывшие учениками (12049).</w:t>
      </w:r>
    </w:p>
    <w:p w14:paraId="7913DC64" w14:textId="77777777" w:rsidR="00081E96" w:rsidRPr="008127F8" w:rsidRDefault="00081E9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AB4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СССР запросил у США сразу 300 запасных генераторов к Р-40, т.к. электрогенераторы (шестерни и хвостовики) ломались и их заменяли на отечественные ГС-650. Этот дефект выявился еще на испытаниях в США (3457,61).</w:t>
      </w:r>
    </w:p>
    <w:p w14:paraId="0AFCA5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89D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НКАП начал планировать полевой ремонт самолетов как задание, был создан ремонтный главк (6,160). На каждые 10 самолетов заводами производился один групповой ремонтный комплект (6,160) + запчасти россыпью.</w:t>
      </w:r>
    </w:p>
    <w:p w14:paraId="5D5D82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по май 1942 на 153 заводе выпускали Як-7А и сделали 277 (638,27).</w:t>
      </w:r>
    </w:p>
    <w:p w14:paraId="6751B7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D56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аэродроме под Свердловском, куда перебазировали НИИ ВВС, станцию смонтировали на самолете Пе-2. Заметим, что органы управления и индикатор "Гнейса" разместили в кабине оператора радиолокатора (где прежде сидел штурман), а часть блоков станции смонтировали в кабине стрел ка-рад и ста. Самолет стал двухместным, что негативно отразилось на его боевых возможностях. Параллельно с оценкой работоспособности РЛС, являвшейся, по сути, экспериментальным образцом, отрабатывались методика и тактика боевого применения радиолокационного истребителя. Пе-2 при испытаниях пилотировал майор А.Н. Добро- славский. С "Гнейсом" работали сами ведущие инженеры Тихомиров и Штейн. В качестве цели использовался самолет СБ.</w:t>
      </w:r>
    </w:p>
    <w:p w14:paraId="602995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первых же полетах выяснилось, что станция имеет большую "мертвую зону" вблизи от самолета, в которой отраженные от цели сигналы подавляются собственными помехами передатчика. Обнаружилась и еще одна особенность станции: для увеличения сферы обзора ее антенное устройство имело очень широкую диаграмму направленности. В связи с этим при полете на малых высотах обзорный экран полностью "забивался" отраженными от земли сигналами. Если же самолет набирал высоту, то его станция не могла обнаруживать цели, летевшие ниже и невидимые на фоне земли. Минимальная высота, на которой исчезали проблемы, свя- занныс с отражением от земли, оказалась порядка 2000 м.</w:t>
      </w:r>
    </w:p>
    <w:p w14:paraId="365290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Опробовались антенны разных типов, вносились изменения в конструкцию PJ1C, позволившие сократить "мертвую зону" до 300 м (а затем и до 100 м) и улучшить надежность станции. В июле 1942 г. программу государственных испытаний удалось выполнить. Основные результаты оказались, по тем временам, неплохими:</w:t>
      </w:r>
    </w:p>
    <w:p w14:paraId="188B02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дальность обнаружения самолета-бомбардировщика 3500 м;</w:t>
      </w:r>
    </w:p>
    <w:p w14:paraId="27F0F7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точность выхода на цель 5 градусов;</w:t>
      </w:r>
    </w:p>
    <w:p w14:paraId="6243F8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минимальная высота полета при поиске противника 2000 м.</w:t>
      </w:r>
    </w:p>
    <w:p w14:paraId="64B2B3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Итоги испытаний признали успешными, хотя РЛС и нуждалась в совершенствовании: при 25 выполненных полетах в пяти случаях аппаратура "Гнейс-2" отказала.</w:t>
      </w:r>
    </w:p>
    <w:p w14:paraId="369985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Авиация ПВО нуждалась в новой технике (а в 1943 г. в число заказчиков вошли и ВВС ВМФ), и еще до конца испытаний институт начал изготовление 15 предсерийных комплектов станции, которыми были оборудованы самолеты Пе-2 и Пе-3. В конце 1942 г. самолеты передали в ПВО Москвы, а затем несколько машин перебросили под Сталинград для борьбы с немецкими транспортниками, снабжавшими окруженную армию Паулюса.</w:t>
      </w:r>
    </w:p>
    <w:p w14:paraId="3AB2E9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Официальные войсковые испытания Пе-2 с "Гнейс-2" были проведены в феврале-мае 1943 г. под Ленинградом во 2-м гвардейском корпусе ПВО. При перехвате воздушных целей истребители наводились наземными РЛС дальнего обнаружения "Редут". Председателем комиссии по проведению испытаний назначили командира </w:t>
      </w:r>
      <w:r w:rsidRPr="008127F8">
        <w:rPr>
          <w:rFonts w:ascii="Times New Roman" w:hAnsi="Times New Roman"/>
          <w:color w:val="000000" w:themeColor="text1"/>
          <w:sz w:val="16"/>
          <w:szCs w:val="16"/>
        </w:rPr>
        <w:lastRenderedPageBreak/>
        <w:t>истребительного корпуса Героя Советского Союза генерал-майора Е.Е. Ерлыкина, от разработчика в них участвовал Тихомиров, а от НИИ ВВС - инженер Штейн.</w:t>
      </w:r>
    </w:p>
    <w:p w14:paraId="7CA374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продолжались испытания "Гнейса-2" на истребителе Пе-3 в НИИ ВВС, задачей которых была выработка рациональной тактики перехвата воздушных целей. Наведение на самолет противника производилось в два этапа: на первом - по командам оператора наземной РЛС "Пегматит" с дальностью действия 100 км, а на заключительном - с использованием бортовой станции. Совместная работа двух приборов исключалась из-за помех, создаваемых передатчиком "Гнейса". От оператора "Пегматита" требовалось вывести "пешку" в заднюю полусферу неприятельского самолета на дистанцию не более 3000-3500 м. Атака становилась наиболее вероятной, если истребитель в момент захвата цели заходил ей строго в хвост, либо летел под небольшим углом к ее продольной оси. Естественно, обеспечение столь точного выхода на цель с учетом несовершенства тогдашней аппаратуры было делом непростым, требовало высокой согласованности и взаимопонимания между оператором наземной РЛС и пилотом истребителя. Недаром в выводах по испытаниям записали: "...решающее значение имеет уровень подготовки операторов наведения..." (12042).</w:t>
      </w:r>
    </w:p>
    <w:p w14:paraId="25B5AE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3BE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w:t>
      </w:r>
      <w:r w:rsidRPr="008127F8">
        <w:rPr>
          <w:rFonts w:ascii="Times New Roman" w:hAnsi="Times New Roman"/>
          <w:color w:val="000000" w:themeColor="text1"/>
          <w:sz w:val="16"/>
          <w:szCs w:val="16"/>
        </w:rPr>
        <w:softHyphen/>
        <w:t>варе 1942 г. нарком среднего машиностроения предупредил директоров шарикоподшипниковых заводов о персональной ответственности в случае срыва графика отгрузки подшип</w:t>
      </w:r>
      <w:r w:rsidRPr="008127F8">
        <w:rPr>
          <w:rFonts w:ascii="Times New Roman" w:hAnsi="Times New Roman"/>
          <w:color w:val="000000" w:themeColor="text1"/>
          <w:sz w:val="16"/>
          <w:szCs w:val="16"/>
        </w:rPr>
        <w:softHyphen/>
        <w:t>ников авиазаводам (Военно-промышленный комплекс Куйбышевской области в годы Вели</w:t>
      </w:r>
      <w:r w:rsidRPr="008127F8">
        <w:rPr>
          <w:rFonts w:ascii="Times New Roman" w:hAnsi="Times New Roman"/>
          <w:color w:val="000000" w:themeColor="text1"/>
          <w:sz w:val="16"/>
          <w:szCs w:val="16"/>
        </w:rPr>
        <w:softHyphen/>
        <w:t>кой Отечественной войны (1941—1945). Сб. док. Самара, 2005. С. 166) — очевидно, проблема перешла в разряд непосредственно угрожающих авиавыпуску. Январский план 1942 г. поставки подшипников авиапромышленности был вы</w:t>
      </w:r>
      <w:r w:rsidRPr="008127F8">
        <w:rPr>
          <w:rFonts w:ascii="Times New Roman" w:hAnsi="Times New Roman"/>
          <w:color w:val="000000" w:themeColor="text1"/>
          <w:sz w:val="16"/>
          <w:szCs w:val="16"/>
        </w:rPr>
        <w:softHyphen/>
        <w:t>полнен на треть (Военно-промышленный комплекс Куйбышевской области... С. 169) — то есть фактически сорван. Что бы завер</w:t>
      </w:r>
      <w:r w:rsidRPr="008127F8">
        <w:rPr>
          <w:rFonts w:ascii="Times New Roman" w:hAnsi="Times New Roman"/>
          <w:color w:val="000000" w:themeColor="text1"/>
          <w:sz w:val="16"/>
          <w:szCs w:val="16"/>
        </w:rPr>
        <w:softHyphen/>
        <w:t>шить «подшипниковую» тему, следует отметить, что исклю</w:t>
      </w:r>
      <w:r w:rsidRPr="008127F8">
        <w:rPr>
          <w:rFonts w:ascii="Times New Roman" w:hAnsi="Times New Roman"/>
          <w:color w:val="000000" w:themeColor="text1"/>
          <w:sz w:val="16"/>
          <w:szCs w:val="16"/>
        </w:rPr>
        <w:softHyphen/>
        <w:t>чительно для нужд авиапромышленности летом 1942 г. было решено на Куйбышевском ГПЗ организовать специальный цех, что позволило бы довести выпуск шарикоподшипников на этом предприятии до 2,5 млн в квартал (Военно-промышленный комплекс Куйбышевской области... С. 173) (12011).</w:t>
      </w:r>
    </w:p>
    <w:p w14:paraId="4D1ADB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54ED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январь 1942 г. согласно пасспорту завода № 124: территория промышленной площади 92,2 га и аэродрома 314 га; количество оборудования 4552 единицы, из них 3135 металлорежущих. Всего работающих 32116 человек. Из Москвы прибыло 2766 единиц оборудования и 14020 человек. Плотность населения в поселках составляет 3,5 кв. метра на человека. К концу 1942 г. на заводе работало только 29915 человек (12049).</w:t>
      </w:r>
    </w:p>
    <w:p w14:paraId="471FC5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2A5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заводе №82 был пожар и 10 апреля 1944 года - второй. Пожары принесли очень большие потери (9460).</w:t>
      </w:r>
    </w:p>
    <w:p w14:paraId="7FB799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80CC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территории ЦИАМ был организован завод № 41, который в сентябре 1942 года был переведен с территории института в Коптево (9431).</w:t>
      </w:r>
    </w:p>
    <w:p w14:paraId="052AA2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AA5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года Завод № 35 приступил к серийному производству воздушных металлических винтов.</w:t>
      </w:r>
    </w:p>
    <w:p w14:paraId="7AB8E9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1952 года завод полностью переключился на производство шасси.</w:t>
      </w:r>
    </w:p>
    <w:p w14:paraId="22D3B7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Куйбышев, ст. Безымянка, Псковская ул., д. 32а</w:t>
      </w:r>
    </w:p>
    <w:p w14:paraId="2F34A6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шасси, реактивная техника и др. (9824)</w:t>
      </w:r>
    </w:p>
    <w:p w14:paraId="11EA7B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освобожденной территории в Москве (ул. Образцова, д. 13, Дзержинский район) начали оборудовать филиал завода № 474 по выпуску манометрических приборов. Директором филиала был назначен Валаев Н.Б.</w:t>
      </w:r>
    </w:p>
    <w:p w14:paraId="6B8F1E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ГКО за № 1543сс от 5 апреля 1942 года и приказа НКАП от 10 апреля 1942 года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C81D8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4C6174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51BA94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ул. Образцова, д. 13, Дзержинский район</w:t>
      </w:r>
    </w:p>
    <w:p w14:paraId="7DEDC4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258A7B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F24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освобожденных площадях завода № 95 в Кунцевском районе Московской области был создан филиал завода № 95 на базе которого в дальнейшем был организован завод № 65.</w:t>
      </w:r>
    </w:p>
    <w:p w14:paraId="76134D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5D9C33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В. Салда Свердловской области</w:t>
      </w:r>
    </w:p>
    <w:p w14:paraId="4C64E5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55D46F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86F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площадке эвакуированного в г. Свердловск завода № 474 НКАП в г. Москве (ул. Бахметовская) образовался филиал завода № 474 НКАП. Директором филиала назначен Н.Б. Валаев, гл. инженер- Гаврилин. Вскоре по постановлению ГКО № ГОКО-1543сс от 5.04.1942 г. и приказу НКАП № 269сс от 10.04.1942 г. еще не развернутый филиал завода № 474 был преобразован в новый серийный Государственный Союзный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 832с от 11.11.1944 г. директором завода назначен И.И. Домбровский.</w:t>
      </w:r>
    </w:p>
    <w:p w14:paraId="2B9E31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6ED52B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02F130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9D7AD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622FAC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07.1955 г. завод передан в 11ГУ МАП, с 03.1973 г. передан в 9ГУ.</w:t>
      </w:r>
    </w:p>
    <w:p w14:paraId="59EC5C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8127F8">
        <w:rPr>
          <w:rFonts w:ascii="Times New Roman" w:hAnsi="Times New Roman"/>
          <w:color w:val="000000" w:themeColor="text1"/>
          <w:sz w:val="16"/>
          <w:szCs w:val="16"/>
        </w:rPr>
        <w:t>БЦВМ ,</w:t>
      </w:r>
      <w:proofErr w:type="gramEnd"/>
      <w:r w:rsidRPr="008127F8">
        <w:rPr>
          <w:rFonts w:ascii="Times New Roman" w:hAnsi="Times New Roman"/>
          <w:color w:val="000000" w:themeColor="text1"/>
          <w:sz w:val="16"/>
          <w:szCs w:val="16"/>
        </w:rPr>
        <w:t xml:space="preserve"> гидро- и электросервоприводы.</w:t>
      </w:r>
    </w:p>
    <w:p w14:paraId="5B9E44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61B5C6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159B4E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начата разработка медицинского оборудования.</w:t>
      </w:r>
    </w:p>
    <w:p w14:paraId="023096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1.01.1967 г. (по приказу № 175 от 30.04.1967 г.) завод № 118 получил название 3-й МПЗ. С 1991 г. переименован в МНПК «Авионика». 17.01.1994 г. МНПК </w:t>
      </w:r>
      <w:r w:rsidRPr="008127F8">
        <w:rPr>
          <w:rFonts w:ascii="Times New Roman" w:hAnsi="Times New Roman"/>
          <w:color w:val="000000" w:themeColor="text1"/>
          <w:sz w:val="16"/>
          <w:szCs w:val="16"/>
        </w:rPr>
        <w:lastRenderedPageBreak/>
        <w:t>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1D0589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786705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г.)- 600 чел.</w:t>
      </w:r>
    </w:p>
    <w:p w14:paraId="235A1B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52CC9B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0E6775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321D85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(- 12.2002 г.)- В.Н. Дуранин.</w:t>
      </w:r>
    </w:p>
    <w:p w14:paraId="319AE4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1E3133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(04.1942 г.-)- С.Г. Шерман, (2002 г.)- Б.Г. Окороков.69 </w:t>
      </w:r>
    </w:p>
    <w:p w14:paraId="608027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(-1953 г.)- Я.А. Силин, О.В. Успенский (САУ-36, САУ-58).</w:t>
      </w:r>
    </w:p>
    <w:p w14:paraId="2F86B8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5E5C52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16DCB7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Бахметовская, 13</w:t>
      </w:r>
    </w:p>
    <w:p w14:paraId="2C6CFF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103055 г. Москва, ул. Образцова, 13 тел. 284-27-55 www.avionika.orc.ru</w:t>
      </w:r>
    </w:p>
    <w:p w14:paraId="6C84B2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при заводе № 118 НКАП, МАП </w:t>
      </w:r>
    </w:p>
    <w:p w14:paraId="39CE97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58DAA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 г. завод № 118 становится опытной базой гл. конструктора В.Э. Соркина. По приказу № 430с от 4.07.1946 г. на базе завода № 118 и ОКБ-1 был образован ГС опытный завод № 118 МАП по разработке и изготовлению систем и приборов автоматического управления ЛА и гироскопических приборов. </w:t>
      </w:r>
    </w:p>
    <w:p w14:paraId="66C73D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после перевода на территорию завода № 118 коллектива КБ Н.П. Никитина вновь начало действовать ОКБ-1 под руководством гл. конструктора И.А. Михалева.</w:t>
      </w:r>
    </w:p>
    <w:p w14:paraId="0492CC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ОКБ-2 при заводе № 118 МАП </w:t>
      </w:r>
    </w:p>
    <w:p w14:paraId="0EC02E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7DCD55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503 от 30.07.1955 г. на опытный завод № 118 переведен коллектив гл. конструктора Н.П. Никитина (разработка систем управления для спецобъектов) с завода № 122 МАП. В связи с этим в составе завода № 118 МАП образовано ОКБ-2 гл. конструктора Н.П. Никитина по АП для УРВВ.</w:t>
      </w:r>
    </w:p>
    <w:p w14:paraId="49668C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Продолжены работы по автопилотам для УР: АПС-6, АПС-7Л, АПС-70, АПС-8. </w:t>
      </w:r>
    </w:p>
    <w:p w14:paraId="7E33E8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 Н.П. Никитин.</w:t>
      </w:r>
    </w:p>
    <w:p w14:paraId="2870AB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 В.М. Фролов.</w:t>
      </w:r>
    </w:p>
    <w:p w14:paraId="056E4C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для спецобъектов: АПС-6-А, АПС-7Л8, АПС-8-24М, АПУС-24, АППС-1, АПС-600, АПС-12Б, АПР-9, АПР-757, АПР-700, АПС-8-24М2, АПС-600А.</w:t>
      </w:r>
    </w:p>
    <w:p w14:paraId="7388B9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ОКБ-3 при заводе № 118 МАП </w:t>
      </w:r>
    </w:p>
    <w:p w14:paraId="5F3487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завод № 23 ГКАТ (10776).</w:t>
      </w:r>
    </w:p>
    <w:p w14:paraId="7D3F34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C49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г. на площадке эвакуированного в  г. Свердловск завода № 474 НКАП в г. Москве (ул. Бахметовская) был образован филиал завода № 474 </w:t>
      </w:r>
      <w:r w:rsidRPr="008127F8">
        <w:rPr>
          <w:rFonts w:ascii="Times New Roman" w:hAnsi="Times New Roman"/>
          <w:color w:val="000000" w:themeColor="text1"/>
          <w:sz w:val="16"/>
          <w:szCs w:val="16"/>
          <w:lang w:val="en-US"/>
        </w:rPr>
        <w:t>HKA</w:t>
      </w:r>
      <w:r w:rsidRPr="008127F8">
        <w:rPr>
          <w:rFonts w:ascii="Times New Roman" w:hAnsi="Times New Roman"/>
          <w:color w:val="000000" w:themeColor="text1"/>
          <w:sz w:val="16"/>
          <w:szCs w:val="16"/>
        </w:rPr>
        <w:t>П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  г. Москва ул. Образцова, 13 тел. 684-27-55/). Директором филиала назначен Н.Б. Валаев, гл. инженер- Гаврилин. Вскоре по постановлению ГКО № 1543сс от 5.04.1942 г. и приказу НКАП № 269сс от 10.04.1942 г. еще не развернутый филиал завода № 474 был преобразован в новый серийный ГС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832с от 11.11.1944 г. директором завода назначен И.И. Домбровский.</w:t>
      </w:r>
    </w:p>
    <w:p w14:paraId="441DCA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45FC0D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71B1D2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4DECAF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0C05B0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07.1955 г. завод передан в 11ГУ МАП, с 08.1957 г.- в ведении 4ГУ ГКАТ, с 03.1973 г. передан в 9ГУ.</w:t>
      </w:r>
    </w:p>
    <w:p w14:paraId="5148E3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7457C5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664388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47DDFF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начата разработка медицинского оборудования.</w:t>
      </w:r>
    </w:p>
    <w:p w14:paraId="2AA672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4E8767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3B8FB1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Имелся (2007 г.) филиал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Чебоксары.</w:t>
      </w:r>
    </w:p>
    <w:p w14:paraId="128814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г.)- 600 чел., (2007 г.)- 726 чел.</w:t>
      </w:r>
    </w:p>
    <w:p w14:paraId="097A84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(-2000-02 г.-)- В.М. Петров, (-2005-07 г.-)- А.В. Воробьев.</w:t>
      </w:r>
    </w:p>
    <w:p w14:paraId="3C3226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(18.06.1946-53 г.)- В.Э. Соркин, (3.06.1953-57 г.-)- И.А. Михалев, (1963 г.-)- О.В. Успенский, Е.Ф. Антипов.</w:t>
      </w:r>
    </w:p>
    <w:p w14:paraId="6B07AC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(-12.2002 г.)- В.Н. Дуранин.</w:t>
      </w:r>
    </w:p>
    <w:p w14:paraId="207D8A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w:t>
      </w:r>
      <w:proofErr w:type="gramStart"/>
      <w:r w:rsidRPr="008127F8">
        <w:rPr>
          <w:rFonts w:ascii="Times New Roman" w:hAnsi="Times New Roman"/>
          <w:color w:val="000000" w:themeColor="text1"/>
          <w:sz w:val="16"/>
          <w:szCs w:val="16"/>
        </w:rPr>
        <w:t>-  Г.Л.</w:t>
      </w:r>
      <w:proofErr w:type="gramEnd"/>
      <w:r w:rsidRPr="008127F8">
        <w:rPr>
          <w:rFonts w:ascii="Times New Roman" w:hAnsi="Times New Roman"/>
          <w:color w:val="000000" w:themeColor="text1"/>
          <w:sz w:val="16"/>
          <w:szCs w:val="16"/>
        </w:rPr>
        <w:t xml:space="preserve"> Ярмаков.</w:t>
      </w:r>
    </w:p>
    <w:p w14:paraId="0B3E8E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инженер (04.1942 г.-)- С. Г. Шерман, (2002 г.)- Б. Г. Окороков.</w:t>
      </w:r>
      <w:r w:rsidRPr="008127F8">
        <w:rPr>
          <w:rFonts w:ascii="Times New Roman" w:hAnsi="Times New Roman"/>
          <w:color w:val="000000" w:themeColor="text1"/>
          <w:sz w:val="16"/>
          <w:szCs w:val="16"/>
          <w:vertAlign w:val="superscript"/>
        </w:rPr>
        <w:t>69</w:t>
      </w:r>
    </w:p>
    <w:p w14:paraId="79DF5C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(-1953 г.)- Я.А. Силин, О.В. Успенский (САУ-36, САУ-58).</w:t>
      </w:r>
    </w:p>
    <w:p w14:paraId="08DB7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Ведущие конструкторы: Б.И. Волков (АГК-47Б),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Денисьев (АП-4), О.В. Успенский (АП-5), А.А. Давыдов (ДГМК).</w:t>
      </w:r>
    </w:p>
    <w:p w14:paraId="677006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4FC284FF" w14:textId="77777777" w:rsidR="00AA6BB1" w:rsidRPr="008127F8" w:rsidRDefault="00AA6BB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51B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г. на площадке эвакуированного завода № 20 НКАП образованы Агрегатные ремонтные мастерские. В соответствии с постановлением № ГОКО-1543 от 5.04.1942 г. и приказом № 269сс от 10.04.1942 г. на их базе 15.05.1942 г. организован новый агрегатный завод № 451 НКАП при 4ГУ для производства бензо-, маслонасосов и фильтров. Сформирован из части коллективов заводов № 20 и № 33 НКАП. </w:t>
      </w:r>
    </w:p>
    <w:p w14:paraId="4BA366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56A6E1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5B289F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4076A0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21EEC5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602B75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7E550F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204DE8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г.)- 1100 чел.</w:t>
      </w:r>
    </w:p>
    <w:p w14:paraId="67CA1E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50084C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В.И. Новоселов.</w:t>
      </w:r>
    </w:p>
    <w:p w14:paraId="69607A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(03.2005 г.)- Д.Н. Покровский</w:t>
      </w:r>
    </w:p>
    <w:p w14:paraId="353FB4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(1946-47 г.)- П.Н. Тарасов. </w:t>
      </w:r>
    </w:p>
    <w:p w14:paraId="67F41A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1AB232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(05.1945 г.)- Крупнов. Гл. специалист по маркетингу (2002 г.)- А.В. Савельев.</w:t>
      </w:r>
    </w:p>
    <w:p w14:paraId="415A7F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47E3EE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0E38C1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Старопетровский пр-д</w:t>
      </w:r>
    </w:p>
    <w:p w14:paraId="3255F6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127015 г. Москва ул. Б. Новодмитровская, 23 тел. 685-67-92 www.znamia.ru</w:t>
      </w:r>
    </w:p>
    <w:p w14:paraId="26E5A6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ОКБ-451 МАП, ОКБ-451-20 МАП </w:t>
      </w:r>
    </w:p>
    <w:p w14:paraId="533B65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28A25D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77E053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73DE8A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1947 г. единое ОКБ именовалось как ОКБ-451-20 с филиалом.</w:t>
      </w:r>
    </w:p>
    <w:p w14:paraId="3B85E1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436с от 5.07.1947 г. филиал ОКБ-451 на завода № 20 преобразован в ОКБ-20 МАП.</w:t>
      </w:r>
    </w:p>
    <w:p w14:paraId="1A2C89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39A46C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ОКБ-451 объединено с ОКБ-315 в единое МАКБ «Темп».</w:t>
      </w:r>
    </w:p>
    <w:p w14:paraId="73D462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П.Н. Тарасов (10776).</w:t>
      </w:r>
    </w:p>
    <w:p w14:paraId="35C97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D13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площадке эвакуированного завода № 20 НКАП образованы Агрегатные ремонтные мастерские. В соответствии с пост. ГКО № 1543 от 5.04.1942 г. и приказом № 269сс от 10.04.1942 г. на их базе 15.05.1942 г. организован новый агрегатный завод № 451 НКАП при 4ГУ для производства бензо-, маслонасосов и фильтров (Завод № 451 НКАП, МАП, Московский машиностроительный завод (ММЗ) «Знамя», ОАО «ММЗ «Знамя» /г. Москва Старопетровский пр-д/ /127015  г. Москва ул. Б. Новодмитровская, 23 тел. 685-67-92/). Сформирован из части коллективов заводов № 20 и № 33 НКАП.</w:t>
      </w:r>
    </w:p>
    <w:p w14:paraId="7263A2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w:t>
      </w:r>
    </w:p>
    <w:p w14:paraId="7362C1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453с от 30.07.1943 г. на площадке завода № 451 организован филиал ОКБ завода № 20, далее это ОКБ-451.</w:t>
      </w:r>
    </w:p>
    <w:p w14:paraId="2E9E4D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0A0116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66CAB7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09EE7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8127F8">
        <w:rPr>
          <w:rFonts w:ascii="Times New Roman" w:hAnsi="Times New Roman"/>
          <w:color w:val="000000" w:themeColor="text1"/>
          <w:sz w:val="16"/>
          <w:szCs w:val="16"/>
          <w:lang w:val="en-US"/>
        </w:rPr>
        <w:t>AEONCorporation</w:t>
      </w:r>
      <w:r w:rsidRPr="008127F8">
        <w:rPr>
          <w:rFonts w:ascii="Times New Roman" w:hAnsi="Times New Roman"/>
          <w:color w:val="000000" w:themeColor="text1"/>
          <w:sz w:val="16"/>
          <w:szCs w:val="16"/>
        </w:rPr>
        <w:t>.</w:t>
      </w:r>
    </w:p>
    <w:p w14:paraId="1D56FC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2D1277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387EF4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г.)-1100 чел.</w:t>
      </w:r>
    </w:p>
    <w:p w14:paraId="798599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(-01-04.1943 г.-)- П.И. Герасимов, (1944-46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Лурье, (1949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Бриль,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156593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80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площадке эвакуированного завода № 214 НКАП организованы мастерские по ремонту приборов. В соответствии с решением ГКО № 1543сс от 5.04.1942 г. и приказом № 269сс от 10.04.1942 г. на базе мастерских образован завод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  г. Москва ул. Россолимо, 17 тел. 246-67-20, -93-07/) для ремонта и производства аэронавигационных и гироскопических приборов. После войны начато производство парашютных автоматов.</w:t>
      </w:r>
    </w:p>
    <w:p w14:paraId="16E736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 Распоряжением МосгорСНХ № 00260 от 23.07.1963 г. завод № 133 переименован во 2-й Московский приборостроительный завод.</w:t>
      </w:r>
    </w:p>
    <w:p w14:paraId="3F1461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Принимал участие в программе создания ОК «Буран».</w:t>
      </w:r>
    </w:p>
    <w:p w14:paraId="0BEACA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страхующие приборы для парашютистов и летчиков; навигационные приборы и комплексы, датчики давления, упругие чувствительные элементы; медтехника.</w:t>
      </w:r>
    </w:p>
    <w:p w14:paraId="495AD4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указом президента РФ № 721 от 1.07.1992 г. ГП «2-й МПЗ» 5.11.1992 г. преобразовано в АО. По решению правительства № 22-р от 9.01.2004 г. вошло в перечень стратегических предприятий.</w:t>
      </w:r>
    </w:p>
    <w:p w14:paraId="3C99D6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(на 1.04.2004 г.)- 559 чел.</w:t>
      </w:r>
    </w:p>
    <w:p w14:paraId="74B4C7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(07.1942 г.)- Качкачян, (1943-47 г.-)- М.И. Комиссаров. Гендиректор (2000 г.; 2003-04 г.-)- А.И. Цуцков, (2003 г.)- В.А. Трудов.</w:t>
      </w:r>
    </w:p>
    <w:p w14:paraId="565458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маркетинга (2002 г.)- П.О. Орлеанский.</w:t>
      </w:r>
      <w:r w:rsidRPr="008127F8">
        <w:rPr>
          <w:rFonts w:ascii="Times New Roman" w:hAnsi="Times New Roman"/>
          <w:color w:val="000000" w:themeColor="text1"/>
          <w:sz w:val="16"/>
          <w:szCs w:val="16"/>
          <w:vertAlign w:val="superscript"/>
        </w:rPr>
        <w:t>69</w:t>
      </w:r>
    </w:p>
    <w:p w14:paraId="7CDD8C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аэронавигационные приборы (в т.ч. автоматы курса); анероид АРС-1 (1945-); парашютные автоматы АД, ПАС (после ВОВ), КПА-4, КАП, П-141; манометры керосина, мановакууметры, вариометры, высотомеры; (2004 г.): датчики давления МДДА, МДД-ТЕ, перепада давления ЭДПД, высоты, автомата рулей, высотной коррекции, скоростного напора ДНПСТ, скорости; измерительный комплекс давления ИКД-27ДА, ИКД-6Т, ИКДР; реле давления РДИА; сигнализатор перепада давления СПД; упругие чувствительные элементы (АЧЭ-12, -18, -19, -29, -177, -178, -202, -261, МЧЭ-65, -262, -648, -649, ВМ-3, АР-8, ВС-4, ВП, М-2500), страхующие приборы для парашютистов и летчиков (ППК-У, -1М, КПА-4М, АЧ-1,2, АД-ЗУ, ВП, ВП-3), затвор баровременной ЗБВ для К-36ДМ и К-93 (2004); метеорологические, геодезические, геофизические приборы (11982).</w:t>
      </w:r>
    </w:p>
    <w:p w14:paraId="5A6F60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87D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w:t>
      </w:r>
    </w:p>
    <w:p w14:paraId="0F7CCC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докладной записки обкома ВКП(б) в ГКО</w:t>
      </w:r>
    </w:p>
    <w:p w14:paraId="41AE80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Куйбышевский областной комитет ВКП(б) докладывает, что во исполнение решения Политбюро ЦК ВКП(б) о создании в районе Куйбышева мощной авиационной базы героическим трудом коллектива Управления особого строительства НКВД СССР завершены все первоочередные строительно-монтажные работы.</w:t>
      </w:r>
    </w:p>
    <w:p w14:paraId="5E8EED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год с небольшим выросли в степи гигантские корпуса заводов, уже начавшие полнокровную жизнь, питаемые теплом, паром, электроэнергией и оснащенные тысячами станков, переброшенных всего два месяца тому назад из зоны, временно ставшей прифронтовой.</w:t>
      </w:r>
    </w:p>
    <w:p w14:paraId="2C36F2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Люди коллектива Управления особого строительства НКВД проявили высокую степень сознания своей ответственности за судьбы Родины в грозное время войны и неустанно боролись за освоение в предельно сжатые сроки грандиозной программы капитальных работ, программы, порученной Наркомвнуделу великим Сталиным.</w:t>
      </w:r>
    </w:p>
    <w:p w14:paraId="52F917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площадках строительства в районе г. Куйбышева, где развернуло свои работы Управление особого строительства НКВД СССР, за один 1941 г. построены:</w:t>
      </w:r>
    </w:p>
    <w:p w14:paraId="38F76E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w:t>
      </w:r>
      <w:proofErr w:type="gramStart"/>
      <w:r w:rsidRPr="008127F8">
        <w:rPr>
          <w:rFonts w:ascii="Times New Roman" w:hAnsi="Times New Roman"/>
          <w:color w:val="000000" w:themeColor="text1"/>
          <w:sz w:val="16"/>
          <w:szCs w:val="16"/>
        </w:rPr>
        <w:t>Самолето-строительный</w:t>
      </w:r>
      <w:proofErr w:type="gramEnd"/>
      <w:r w:rsidRPr="008127F8">
        <w:rPr>
          <w:rFonts w:ascii="Times New Roman" w:hAnsi="Times New Roman"/>
          <w:color w:val="000000" w:themeColor="text1"/>
          <w:sz w:val="16"/>
          <w:szCs w:val="16"/>
        </w:rPr>
        <w:t xml:space="preserve"> завод № 122, где размещен эвакуированный из Москвы завод № 1.</w:t>
      </w:r>
    </w:p>
    <w:p w14:paraId="0758DC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w:t>
      </w:r>
      <w:proofErr w:type="gramStart"/>
      <w:r w:rsidRPr="008127F8">
        <w:rPr>
          <w:rFonts w:ascii="Times New Roman" w:hAnsi="Times New Roman"/>
          <w:color w:val="000000" w:themeColor="text1"/>
          <w:sz w:val="16"/>
          <w:szCs w:val="16"/>
        </w:rPr>
        <w:t>Самолето-строительный</w:t>
      </w:r>
      <w:proofErr w:type="gramEnd"/>
      <w:r w:rsidRPr="008127F8">
        <w:rPr>
          <w:rFonts w:ascii="Times New Roman" w:hAnsi="Times New Roman"/>
          <w:color w:val="000000" w:themeColor="text1"/>
          <w:sz w:val="16"/>
          <w:szCs w:val="16"/>
        </w:rPr>
        <w:t xml:space="preserve"> завод № 295, где размещен эвакуированный из Воронежа завод № 18.</w:t>
      </w:r>
    </w:p>
    <w:p w14:paraId="771407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Моторостроительный завод № 337, где размещен эвакуированный из Москвы завод № 24.</w:t>
      </w:r>
    </w:p>
    <w:p w14:paraId="567BB6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Аэродром, наиболее мощный из существующих.</w:t>
      </w:r>
    </w:p>
    <w:p w14:paraId="630CE9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Завод № 454, производящий вооружение самолетов.</w:t>
      </w:r>
    </w:p>
    <w:p w14:paraId="0168E1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Завод № 145, производящий вооружение для самолетов.</w:t>
      </w:r>
    </w:p>
    <w:p w14:paraId="2F8D87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Завод № 305, изготавливающий нормали.</w:t>
      </w:r>
    </w:p>
    <w:p w14:paraId="638EA8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Завод № 35, производящий пропеллерные винты.</w:t>
      </w:r>
    </w:p>
    <w:p w14:paraId="72E887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Завод № 1 Оргавиапрома, выпускающий пневматическое оснащение самолетов.</w:t>
      </w:r>
    </w:p>
    <w:p w14:paraId="5D980C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Первая очередь Безымянской ТЭЦ мощностью 50 тыс. квт.</w:t>
      </w:r>
    </w:p>
    <w:p w14:paraId="2D326A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Достроена и расширена Куйбышевская ТЭЦ, что позволило ввести дополнительную мощность в 12 тыс. квт.</w:t>
      </w:r>
    </w:p>
    <w:p w14:paraId="02197B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Рабочий поселок на 160 тыс. кв. метров жилой площади.</w:t>
      </w:r>
    </w:p>
    <w:p w14:paraId="26A502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Построен и оборудован механический завод по изготовлению бронекорпусов для самолетов Ил и бронекорпусов для танков.</w:t>
      </w:r>
    </w:p>
    <w:p w14:paraId="234D5B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Выстроен и нормально работает объект № 30—31 радио­станция ТАСС.</w:t>
      </w:r>
    </w:p>
    <w:p w14:paraId="69B99B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Закончен строительством и готов для эксплуатации объект «А» — Командный пункт специального назначения.</w:t>
      </w:r>
    </w:p>
    <w:p w14:paraId="10921F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Закончена строительством 1-я очередь Кислородного завода, с суточной мощностью в 100 куб. м.</w:t>
      </w:r>
    </w:p>
    <w:p w14:paraId="50D368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Строится специальный цех Наркомата вооружения на территории паровозно-ремонтного завода им. Куйбышева.</w:t>
      </w:r>
    </w:p>
    <w:p w14:paraId="596C5F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Развернуто строительство объекта № 15 — мощной подземной радиостанции.</w:t>
      </w:r>
    </w:p>
    <w:p w14:paraId="2DA50F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выстроено производственных и жилых площадей около миллиона квадратных метров.</w:t>
      </w:r>
    </w:p>
    <w:p w14:paraId="305BDF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Областной комитет ВКП(б) с особым удовлетворением отмечает работу коллектива Управления особого строительства НКВД, сотни и сотни лучших людей которого работали, не покладая рук, не считаясь со временем, как подобает подлинным энтузиастам сталинской стройки и самоотверженным патриотам нашей Родины.</w:t>
      </w:r>
    </w:p>
    <w:p w14:paraId="4F9621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Областной комитет ВКП(б) ходатайствует перед вами о присвоении коллективу Управления особого строительства НКВД СССР правительственной награды и о награждении орденами и медалями Союза лучших людей этого коллектива. '</w:t>
      </w:r>
    </w:p>
    <w:p w14:paraId="4D837C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Областной комитет ВКП(б) особо отмечает исключительную энергию, организованный размах и подлинно большевистскую преданность делу начальника строительства т. Лепилова А.П., достойного быть отмеченным высшей в нашей стране наградой — званием Героя Социалистического Труда.</w:t>
      </w:r>
    </w:p>
    <w:p w14:paraId="48394F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Куйбышевского обкома ВКП(б) Канунников</w:t>
      </w:r>
    </w:p>
    <w:p w14:paraId="59AE24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ГАКО</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Ф</w:t>
      </w:r>
      <w:r w:rsidRPr="008127F8">
        <w:rPr>
          <w:rFonts w:ascii="Times New Roman" w:hAnsi="Times New Roman"/>
          <w:color w:val="000000" w:themeColor="text1"/>
          <w:sz w:val="16"/>
          <w:szCs w:val="16"/>
          <w:lang w:val="en-US"/>
        </w:rPr>
        <w:t>.</w:t>
      </w:r>
      <w:r w:rsidRPr="008127F8">
        <w:rPr>
          <w:rFonts w:ascii="Times New Roman" w:hAnsi="Times New Roman"/>
          <w:color w:val="000000" w:themeColor="text1"/>
          <w:sz w:val="16"/>
          <w:szCs w:val="16"/>
        </w:rPr>
        <w:t>П</w:t>
      </w:r>
      <w:r w:rsidRPr="008127F8">
        <w:rPr>
          <w:rFonts w:ascii="Times New Roman" w:hAnsi="Times New Roman"/>
          <w:color w:val="000000" w:themeColor="text1"/>
          <w:sz w:val="16"/>
          <w:szCs w:val="16"/>
          <w:lang w:val="en-US"/>
        </w:rPr>
        <w:t xml:space="preserve">-656. On. 20. </w:t>
      </w:r>
      <w:r w:rsidRPr="008127F8">
        <w:rPr>
          <w:rFonts w:ascii="Times New Roman" w:hAnsi="Times New Roman"/>
          <w:color w:val="000000" w:themeColor="text1"/>
          <w:sz w:val="16"/>
          <w:szCs w:val="16"/>
        </w:rPr>
        <w:t>Д</w:t>
      </w:r>
      <w:r w:rsidRPr="008127F8">
        <w:rPr>
          <w:rFonts w:ascii="Times New Roman" w:hAnsi="Times New Roman"/>
          <w:color w:val="000000" w:themeColor="text1"/>
          <w:sz w:val="16"/>
          <w:szCs w:val="16"/>
          <w:lang w:val="en-US"/>
        </w:rPr>
        <w:t xml:space="preserve">. 43. </w:t>
      </w:r>
      <w:r w:rsidRPr="008127F8">
        <w:rPr>
          <w:rFonts w:ascii="Times New Roman" w:hAnsi="Times New Roman"/>
          <w:color w:val="000000" w:themeColor="text1"/>
          <w:sz w:val="16"/>
          <w:szCs w:val="16"/>
        </w:rPr>
        <w:t>Л</w:t>
      </w:r>
      <w:r w:rsidRPr="008127F8">
        <w:rPr>
          <w:rFonts w:ascii="Times New Roman" w:hAnsi="Times New Roman"/>
          <w:color w:val="000000" w:themeColor="text1"/>
          <w:sz w:val="16"/>
          <w:szCs w:val="16"/>
          <w:lang w:val="en-US"/>
        </w:rPr>
        <w:t xml:space="preserve">. 1-3. </w:t>
      </w:r>
      <w:r w:rsidRPr="008127F8">
        <w:rPr>
          <w:rFonts w:ascii="Times New Roman" w:hAnsi="Times New Roman"/>
          <w:color w:val="000000" w:themeColor="text1"/>
          <w:sz w:val="16"/>
          <w:szCs w:val="16"/>
        </w:rPr>
        <w:t>Копия.</w:t>
      </w:r>
    </w:p>
    <w:p w14:paraId="08B361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Цитируется по книге «Куйбышевская область в годы Великой Отечественной войны. (1941-1945 гг.). Документы и материалы».</w:t>
      </w:r>
    </w:p>
    <w:p w14:paraId="64ACBE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Издательство "Самарский дом печати" 1995 </w:t>
      </w:r>
    </w:p>
    <w:p w14:paraId="522481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Документ № 43 (11322).</w:t>
      </w:r>
    </w:p>
    <w:p w14:paraId="5D9766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244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были разработаны и проходили испытания другие белые смываемые краски: С-1, С-4а, Б, АБ-1, использовавшие в качестве белого пигмента алебастр, известь или гипс. Тем не менее основной осталась МК-7 и ее модификации.</w:t>
      </w:r>
    </w:p>
    <w:p w14:paraId="676E7B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меловой краски МК-7 имелись ее модификации МК-7Ш на основе гипса и МК-7Ф (мел, разбавленный водой со спиртом и формалином). Из-за дефицитности мела они.... ().</w:t>
      </w:r>
    </w:p>
    <w:p w14:paraId="14864D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F8A5D" w14:textId="77777777" w:rsidR="006638CB" w:rsidRPr="008127F8" w:rsidRDefault="006638CB"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январе 1942 года Союзная контора «Лакокраспокрытие» проработала рецептуру заменителя прежней белой краски для Главного артиллерийского управления на базе уральских гипсов. Согласно акту испытания в условиях завода № 135 на базе Кунгурских гипсовых отложений новая краска АБ-1 соответствовала своему назначению</w:t>
      </w:r>
      <w:hyperlink r:id="rId30" w:anchor="_edn21" w:history="1">
        <w:r w:rsidRPr="008127F8">
          <w:rPr>
            <w:rStyle w:val="a6"/>
            <w:rFonts w:eastAsiaTheme="majorEastAsia"/>
            <w:color w:val="000000" w:themeColor="text1"/>
            <w:sz w:val="16"/>
            <w:szCs w:val="16"/>
            <w:vertAlign w:val="superscript"/>
          </w:rPr>
          <w:t>21</w:t>
        </w:r>
      </w:hyperlink>
      <w:r w:rsidRPr="008127F8">
        <w:rPr>
          <w:color w:val="000000" w:themeColor="text1"/>
          <w:sz w:val="16"/>
          <w:szCs w:val="16"/>
        </w:rPr>
        <w:t>. Белая краска № 7 для зимней маскировки самолётов была разработана сотрудниками ВИАМа в 1941 году на основе мела и каслина. Основной сырьевой базой для её производства являлась Украина. В связи с её оккупацией возникла необходимость разработки рецептуры белой краски на другом сырье.</w:t>
      </w:r>
    </w:p>
    <w:p w14:paraId="05FBBFB8" w14:textId="77777777" w:rsidR="006638CB" w:rsidRPr="008127F8" w:rsidRDefault="006638CB" w:rsidP="001E0A84">
      <w:pPr>
        <w:pStyle w:val="af"/>
        <w:shd w:val="clear" w:color="auto" w:fill="FFFFFF"/>
        <w:spacing w:before="0" w:after="0"/>
        <w:jc w:val="both"/>
        <w:rPr>
          <w:color w:val="000000" w:themeColor="text1"/>
          <w:sz w:val="16"/>
          <w:szCs w:val="16"/>
        </w:rPr>
      </w:pPr>
      <w:r w:rsidRPr="008127F8">
        <w:rPr>
          <w:color w:val="000000" w:themeColor="text1"/>
          <w:sz w:val="16"/>
          <w:szCs w:val="16"/>
        </w:rPr>
        <w:t>Чтобы обезопасить себя от подобных случаев, исследовались, прежде всего, территории в глубоком тылу. Этой проблемой занимался Научно-исследовательский институт ВВС Красной Армии. Было учтено заключение Государственного Оптического института о дешифруемости белой меловой краски № 37 при фотосъёмке и ультрафиолете. (20717).</w:t>
      </w:r>
    </w:p>
    <w:p w14:paraId="25F6B695" w14:textId="35E79957" w:rsidR="006638CB" w:rsidRPr="008127F8" w:rsidRDefault="006638CB"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марте 1941 года в районе Нахабино Московской области проводились испытания новой белой зимней краски. 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казеиновая</w:t>
      </w:r>
      <w:r w:rsidR="008127F8">
        <w:rPr>
          <w:color w:val="000000" w:themeColor="text1"/>
          <w:sz w:val="16"/>
          <w:szCs w:val="16"/>
        </w:rPr>
        <w:t xml:space="preserve">    </w:t>
      </w:r>
      <w:r w:rsidRPr="008127F8">
        <w:rPr>
          <w:color w:val="000000" w:themeColor="text1"/>
          <w:sz w:val="16"/>
          <w:szCs w:val="16"/>
        </w:rPr>
        <w:t xml:space="preserve"> краска не дешифруется и может быть использована для маскировки самолета в зимних условиях 1942 – 1943 годов» (</w:t>
      </w:r>
      <w:r w:rsidRPr="008127F8">
        <w:rPr>
          <w:color w:val="000000" w:themeColor="text1"/>
          <w:sz w:val="16"/>
          <w:szCs w:val="16"/>
          <w:shd w:val="clear" w:color="auto" w:fill="FFFFFF"/>
        </w:rPr>
        <w:t>Филиал РГАНТД. Ф. Р-124. Оп. 1-6. Д. 140. Л. 12</w:t>
      </w:r>
      <w:r w:rsidRPr="008127F8">
        <w:rPr>
          <w:color w:val="000000" w:themeColor="text1"/>
          <w:sz w:val="16"/>
          <w:szCs w:val="16"/>
        </w:rPr>
        <w:t>). (20717).</w:t>
      </w:r>
    </w:p>
    <w:p w14:paraId="04C74993" w14:textId="77777777" w:rsidR="006638CB" w:rsidRPr="008127F8" w:rsidRDefault="006638CB"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январе – марте 1943 года научно-исследовательскими институтами гражданской и военной авиации проводилась работа по испытанию взлётных лыж. Зимние лыжи для самолётов Ил-2 и Як-1 были переделаны из обычных лыж для самолёта СБ. Было выполнено двенадцать взлётов при различном состоянии снежного покрова на укатанном поле и целине. После испытаний был сделан вывод о возможности применения взлётных лыж конструкции НИИ ГВФ для самолётов ВВС Красной армии при условиях усложненного зимнего старта</w:t>
      </w:r>
      <w:bookmarkStart w:id="12" w:name="_ednref23"/>
      <w:r w:rsidRPr="008127F8">
        <w:rPr>
          <w:color w:val="000000" w:themeColor="text1"/>
          <w:sz w:val="16"/>
          <w:szCs w:val="16"/>
        </w:rPr>
        <w:t xml:space="preserve"> (</w:t>
      </w:r>
      <w:r w:rsidRPr="008127F8">
        <w:rPr>
          <w:color w:val="000000" w:themeColor="text1"/>
          <w:sz w:val="16"/>
          <w:szCs w:val="16"/>
          <w:shd w:val="clear" w:color="auto" w:fill="FFFFFF"/>
        </w:rPr>
        <w:t>Филиал РГАНТД. Ф. Р-220. Оп. 4-1. Д. 13. Л. 17-22</w:t>
      </w:r>
      <w:proofErr w:type="gramStart"/>
      <w:r w:rsidRPr="008127F8">
        <w:rPr>
          <w:color w:val="000000" w:themeColor="text1"/>
          <w:sz w:val="16"/>
          <w:szCs w:val="16"/>
        </w:rPr>
        <w:t>)</w:t>
      </w:r>
      <w:bookmarkEnd w:id="12"/>
      <w:r w:rsidRPr="008127F8">
        <w:rPr>
          <w:color w:val="000000" w:themeColor="text1"/>
          <w:sz w:val="16"/>
          <w:szCs w:val="16"/>
          <w:vertAlign w:val="superscript"/>
        </w:rPr>
        <w:t xml:space="preserve"> </w:t>
      </w:r>
      <w:r w:rsidRPr="008127F8">
        <w:rPr>
          <w:color w:val="000000" w:themeColor="text1"/>
          <w:sz w:val="16"/>
          <w:szCs w:val="16"/>
        </w:rPr>
        <w:t>.</w:t>
      </w:r>
      <w:proofErr w:type="gramEnd"/>
      <w:r w:rsidRPr="008127F8">
        <w:rPr>
          <w:color w:val="000000" w:themeColor="text1"/>
          <w:sz w:val="16"/>
          <w:szCs w:val="16"/>
        </w:rPr>
        <w:t>(20717).</w:t>
      </w:r>
    </w:p>
    <w:p w14:paraId="6C5E3EE7" w14:textId="77777777" w:rsidR="006638CB" w:rsidRPr="008127F8" w:rsidRDefault="006638CB" w:rsidP="001E0A84">
      <w:pPr>
        <w:spacing w:after="0" w:line="240" w:lineRule="auto"/>
        <w:jc w:val="both"/>
        <w:rPr>
          <w:rFonts w:ascii="Times New Roman" w:hAnsi="Times New Roman"/>
          <w:color w:val="000000" w:themeColor="text1"/>
          <w:sz w:val="16"/>
          <w:szCs w:val="16"/>
        </w:rPr>
      </w:pPr>
    </w:p>
    <w:p w14:paraId="7F533975"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Союзная контора «Лакокраспокрытие» проработала рецептуру заменителя прежней белой краски для Главного артиллерийского управления на базе уральских гипсов. Согласно акту испытания в условиях завода № 135 на базе Кунгурских гипсовых отложений новая краска АБ-1 соответствовала своему назначению</w:t>
      </w:r>
      <w:bookmarkStart w:id="13" w:name="_ednref21"/>
      <w:r w:rsidRPr="008127F8">
        <w:rPr>
          <w:rFonts w:ascii="Times New Roman" w:hAnsi="Times New Roman"/>
          <w:color w:val="000000" w:themeColor="text1"/>
          <w:sz w:val="16"/>
          <w:szCs w:val="16"/>
        </w:rPr>
        <w:t xml:space="preserve"> (Филиал РГАНТД. Ф. Р-124. Оп. 1-6. Д. 140. Л. 2.)</w:t>
      </w:r>
      <w:bookmarkEnd w:id="13"/>
      <w:r w:rsidRPr="008127F8">
        <w:rPr>
          <w:rFonts w:ascii="Times New Roman" w:hAnsi="Times New Roman"/>
          <w:color w:val="000000" w:themeColor="text1"/>
          <w:sz w:val="16"/>
          <w:szCs w:val="16"/>
        </w:rPr>
        <w:t>.</w:t>
      </w:r>
    </w:p>
    <w:p w14:paraId="36D038B0"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Белая краска № 7 для зимней маскировки самолётов была разработана сотрудниками ВИАМа в 1941 году на основе мела и каслина. Основной сырьевой базой для её производства являлась Украина. В связи с её оккупацией возникла необходимость разработки рецептуры белой краски на другом сырье.</w:t>
      </w:r>
    </w:p>
    <w:p w14:paraId="6D1B8317"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обезопасить себя от подобных случаев, исследовались, прежде всего, территории в глубоком тылу. Этой проблемой занимался Научно-исследовательский институт ВВС Красной Армии. Было учтено заключение Государственного Оптического института о дешифруемости белой меловой краски № 37 при фотосъёмке и ультрафиолете.</w:t>
      </w:r>
    </w:p>
    <w:p w14:paraId="5380EA50" w14:textId="10D08BE0"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Испытания новой краски проводились в марте 1941 года в районе Нахабино Московской области. 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казеиновая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краска не дешифруется и может быть использована для маскировки самолета в зимних условиях 1942 – 1943 годов»</w:t>
      </w:r>
      <w:bookmarkStart w:id="14" w:name="_ednref22"/>
      <w:r w:rsidRPr="008127F8">
        <w:rPr>
          <w:rFonts w:ascii="Times New Roman" w:hAnsi="Times New Roman"/>
          <w:color w:val="000000" w:themeColor="text1"/>
          <w:sz w:val="16"/>
          <w:szCs w:val="16"/>
        </w:rPr>
        <w:t xml:space="preserve"> (Филиал РГАНТД. Ф. Р-124. Оп. 1-6. Д. 140. Л. 2.)</w:t>
      </w:r>
      <w:bookmarkEnd w:id="14"/>
      <w:r w:rsidRPr="008127F8">
        <w:rPr>
          <w:rFonts w:ascii="Times New Roman" w:hAnsi="Times New Roman"/>
          <w:color w:val="000000" w:themeColor="text1"/>
          <w:sz w:val="16"/>
          <w:szCs w:val="16"/>
        </w:rPr>
        <w:t xml:space="preserve"> (12706).</w:t>
      </w:r>
    </w:p>
    <w:p w14:paraId="13A9DAB4"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7637E47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94552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F75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 филиал завода № 266 НКАП был передан в систему НКЭП, и по приказу НКЭП № 7 от 10.03.1942 г. преобразован в самостоятельный завод № 690 НКЭП (Завод № 690 НКЭП, п/я 16, Томский завод радиомашин, Томский электротехнический завод, ФГУП «Томский электротехнический завод» /634041  г. Томск пр. Кирова, 51А/). Далее он переименован в Томский завод радиомашин, имел наименование «п/я 16». Затем переименован в Томский электротехнический завод.</w:t>
      </w:r>
    </w:p>
    <w:p w14:paraId="5BBA65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(2005 г.)- М.А. Родин (11982).</w:t>
      </w:r>
    </w:p>
    <w:p w14:paraId="18C21682" w14:textId="77777777" w:rsidR="00AA6BB1" w:rsidRPr="008127F8" w:rsidRDefault="00AA6BB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63A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впервые увидев ЗИС-3, Сталин сказал: "Эта пушка шедевр в проектировании артиллерийских систем". Грабин в воспоминаниях писал, что лучшую дивизионную пушку калибра 76 мм создать в принципе невозможно. Однако и он, и другие конструкторы делали такие попытки (3861).</w:t>
      </w:r>
    </w:p>
    <w:p w14:paraId="63674E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9E3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Кировском заводе два опытных образца были изготовлены 76-мм полковой пушки 1927/1942 г.</w:t>
      </w:r>
    </w:p>
    <w:p w14:paraId="66B351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обр. 1927/1942 г. представляла собой модернизированную 76-мм полковую пушку обр. 1927 г. Основной целью модернизации было увеличение начальной скорости снаряда и, соответственно, увеличение бронепробиваемости.</w:t>
      </w:r>
    </w:p>
    <w:p w14:paraId="08388B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Модернизация была проведена на Кировском заводе и заключалась в удлинении ствола на 9 калибров (716 мм) за счет нарезной части. Кроме того, был изменен зазор в компрессоре тормоза отката. Все остальные детали остались без изменений.</w:t>
      </w:r>
    </w:p>
    <w:p w14:paraId="7C5267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длина ствола увеличилась с 16,3 калибров до 25,5 калибров, а вес - с 230 кг до 315 кг. Перевес дульной части был уравновешен наделкой груза на казенник (3861).</w:t>
      </w:r>
    </w:p>
    <w:p w14:paraId="004C02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0B4C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 связи с прекращением производства 57-мм противотанковой пуш</w:t>
      </w:r>
      <w:r w:rsidRPr="008127F8">
        <w:rPr>
          <w:rFonts w:ascii="Times New Roman" w:hAnsi="Times New Roman"/>
          <w:color w:val="000000" w:themeColor="text1"/>
          <w:sz w:val="16"/>
          <w:szCs w:val="16"/>
        </w:rPr>
        <w:softHyphen/>
        <w:t>ки ЗИС-2, конструкторской группой под руководством П.Ф. Муравье</w:t>
      </w:r>
      <w:r w:rsidRPr="008127F8">
        <w:rPr>
          <w:rFonts w:ascii="Times New Roman" w:hAnsi="Times New Roman"/>
          <w:color w:val="000000" w:themeColor="text1"/>
          <w:sz w:val="16"/>
          <w:szCs w:val="16"/>
        </w:rPr>
        <w:softHyphen/>
        <w:t>ва были предприняты попытки установить на тягач Т-20 другую артил</w:t>
      </w:r>
      <w:r w:rsidRPr="008127F8">
        <w:rPr>
          <w:rFonts w:ascii="Times New Roman" w:hAnsi="Times New Roman"/>
          <w:color w:val="000000" w:themeColor="text1"/>
          <w:sz w:val="16"/>
          <w:szCs w:val="16"/>
        </w:rPr>
        <w:softHyphen/>
        <w:t>лерийскую систему. Заводом № 92 на первом опыт</w:t>
      </w:r>
      <w:r w:rsidRPr="008127F8">
        <w:rPr>
          <w:rFonts w:ascii="Times New Roman" w:hAnsi="Times New Roman"/>
          <w:color w:val="000000" w:themeColor="text1"/>
          <w:sz w:val="16"/>
          <w:szCs w:val="16"/>
        </w:rPr>
        <w:softHyphen/>
        <w:t>ном образце установки ЗИС-30, находившейся на заводе, была установ</w:t>
      </w:r>
      <w:r w:rsidRPr="008127F8">
        <w:rPr>
          <w:rFonts w:ascii="Times New Roman" w:hAnsi="Times New Roman"/>
          <w:color w:val="000000" w:themeColor="text1"/>
          <w:sz w:val="16"/>
          <w:szCs w:val="16"/>
        </w:rPr>
        <w:softHyphen/>
        <w:t>лена 76,2-мм пушка ЗИС-3. Заводские испытания показали неудовле</w:t>
      </w:r>
      <w:r w:rsidRPr="008127F8">
        <w:rPr>
          <w:rFonts w:ascii="Times New Roman" w:hAnsi="Times New Roman"/>
          <w:color w:val="000000" w:themeColor="text1"/>
          <w:sz w:val="16"/>
          <w:szCs w:val="16"/>
        </w:rPr>
        <w:softHyphen/>
        <w:t>творительную устойчивость орудия при стрельбе и дальнейшие работы были прекращены (10703).</w:t>
      </w:r>
    </w:p>
    <w:p w14:paraId="3EF49DD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5773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в состав завода № 603 в качестве цеха завода по производству ручных гранат был включен эвакуированный из Харькова завод № 308 НКБ.</w:t>
      </w:r>
    </w:p>
    <w:p w14:paraId="3B0467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Действующим предприятием, вырабатывающим капсюльные втулки КВ-4, завод № 603 является с октября 1942 года.</w:t>
      </w:r>
    </w:p>
    <w:p w14:paraId="3315F6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6CA62E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3E459B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Курган, п/я 63</w:t>
      </w:r>
    </w:p>
    <w:p w14:paraId="0F67CD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Полибза Т.Д. (10021).</w:t>
      </w:r>
    </w:p>
    <w:p w14:paraId="1C4D51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528A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кроме развития основного производства, завод №188 был привлечен к изготовлению деталей для снаряда М-8 для «катюш». Вместе с другими предприятиями области завод участвовал в обеспечении производства гранат. На нем было начато и производство гремучей ртути для снаряжения капсюлей-детонаторов. Объем валовой продукции достиг 176.064 тыс. руб., увеличившись за год в 3,8 раза.</w:t>
      </w:r>
    </w:p>
    <w:p w14:paraId="5B6475AA"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потребности фронта непрерывно росли, а задания ГКО по производству патронов заводом не выполнялись. В связи с этим была предпринята такая мера, как замена директора. Вместо Штапина был назначен Львов. Бюро обкома ВКП(б) 24 марта 1943 г. в помощь новому директору наметило меры по преодолению отставания. Коллектив трудящихся завода к началу 1944 г.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3802D80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6026FD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1942г. оборудование завода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 реэвакуировано на старое место, на его базе организован новый завод «Кислородных приборов». В соответствии с пост. СНК № 837-430сс от 3.06.1942г. и приказом НКМВ № 250с от 7.07.1942г. завод «Кислородных приборов» НКМВ переименован в завод № 856 в ведении 5ГУ.</w:t>
      </w:r>
    </w:p>
    <w:p w14:paraId="52D074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222453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66B421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277928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6E0DA2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8127F8">
        <w:rPr>
          <w:rFonts w:ascii="Times New Roman" w:hAnsi="Times New Roman"/>
          <w:color w:val="000000" w:themeColor="text1"/>
          <w:sz w:val="16"/>
          <w:szCs w:val="16"/>
          <w:lang w:val="en-US"/>
        </w:rPr>
        <w:t>RRJ</w:t>
      </w:r>
      <w:r w:rsidRPr="008127F8">
        <w:rPr>
          <w:rFonts w:ascii="Times New Roman" w:hAnsi="Times New Roman"/>
          <w:color w:val="000000" w:themeColor="text1"/>
          <w:sz w:val="16"/>
          <w:szCs w:val="16"/>
        </w:rPr>
        <w:t xml:space="preserve"> (2003г.).</w:t>
      </w:r>
    </w:p>
    <w:p w14:paraId="1C17E7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(1939г.)- 321 ед., (1946г.)- 498 ед., (1947г.)- 514 ед.</w:t>
      </w:r>
    </w:p>
    <w:p w14:paraId="5C15DB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(1947г.)- 3,14 га; застройки (1947г.)- 11632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(1939г.)- 6432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(1946г.)- 11630 м, (1947г.)- 11696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4D9278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(1932г.)- 65 чел., (1937г.)- 585 чел., (1939г.)- 1437 чел., (1946г.)- 1503 чел., (1947г.)- 1525 чел.</w:t>
      </w:r>
    </w:p>
    <w:p w14:paraId="07388A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(07.1942г.)- Попов, (1948г.)- Жуков.</w:t>
      </w:r>
    </w:p>
    <w:p w14:paraId="1F2C15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(1948г.)- Адамов.</w:t>
      </w:r>
    </w:p>
    <w:p w14:paraId="794046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кислородные приборы:</w:t>
      </w:r>
      <w:r w:rsidRPr="008127F8">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8127F8">
        <w:rPr>
          <w:rFonts w:ascii="Times New Roman" w:hAnsi="Times New Roman"/>
          <w:color w:val="000000" w:themeColor="text1"/>
          <w:sz w:val="16"/>
          <w:szCs w:val="16"/>
          <w:vertAlign w:val="superscript"/>
        </w:rPr>
        <w:t>129</w:t>
      </w:r>
    </w:p>
    <w:p w14:paraId="31D125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3F901B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1953г. для проведения НИОКР в области систем жизнеобеспечения.</w:t>
      </w:r>
    </w:p>
    <w:p w14:paraId="167F40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2AEAB2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08CD6E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(2005г.)- А.Ю. Кулик.</w:t>
      </w:r>
    </w:p>
    <w:p w14:paraId="4C1214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8127F8">
        <w:rPr>
          <w:rFonts w:ascii="Times New Roman" w:hAnsi="Times New Roman"/>
          <w:color w:val="000000" w:themeColor="text1"/>
          <w:sz w:val="16"/>
          <w:szCs w:val="16"/>
          <w:vertAlign w:val="superscript"/>
        </w:rPr>
        <w:t>101</w:t>
      </w:r>
    </w:p>
    <w:p w14:paraId="6CA3A8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152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заместитель начальника БТУ АБТУ Красной Армии воен</w:t>
      </w:r>
      <w:r w:rsidRPr="008127F8">
        <w:rPr>
          <w:rFonts w:ascii="Times New Roman" w:hAnsi="Times New Roman"/>
          <w:color w:val="000000" w:themeColor="text1"/>
          <w:sz w:val="16"/>
          <w:szCs w:val="16"/>
        </w:rPr>
        <w:softHyphen/>
        <w:t>ный инженер 1-го ранга Алымов в справке на имя заместите</w:t>
      </w:r>
      <w:r w:rsidRPr="008127F8">
        <w:rPr>
          <w:rFonts w:ascii="Times New Roman" w:hAnsi="Times New Roman"/>
          <w:color w:val="000000" w:themeColor="text1"/>
          <w:sz w:val="16"/>
          <w:szCs w:val="16"/>
        </w:rPr>
        <w:softHyphen/>
        <w:t>ля наркома танковой промышленности Ж. Котина писал: «При составлении плана опытных работ на 1942 год прошу Вас включить следующие ориентировочные работы БТУГАБТУКА: Танк КВ-13 — переходящий с 1941 года — окончание, изготовле</w:t>
      </w:r>
      <w:r w:rsidRPr="008127F8">
        <w:rPr>
          <w:rFonts w:ascii="Times New Roman" w:hAnsi="Times New Roman"/>
          <w:color w:val="000000" w:themeColor="text1"/>
          <w:sz w:val="16"/>
          <w:szCs w:val="16"/>
        </w:rPr>
        <w:softHyphen/>
        <w:t>ние опытного образца на Кировском заводе к 1 мая 1942 года». В марте 1942 г. на основании приказа № 55 от 16 февра</w:t>
      </w:r>
      <w:r w:rsidRPr="008127F8">
        <w:rPr>
          <w:rFonts w:ascii="Times New Roman" w:hAnsi="Times New Roman"/>
          <w:color w:val="000000" w:themeColor="text1"/>
          <w:sz w:val="16"/>
          <w:szCs w:val="16"/>
        </w:rPr>
        <w:softHyphen/>
        <w:t>ля на базе бывшего Опытного завода ЧТЗ был создан Опытный танко-моторный завод № 100, которому был пе</w:t>
      </w:r>
      <w:r w:rsidRPr="008127F8">
        <w:rPr>
          <w:rFonts w:ascii="Times New Roman" w:hAnsi="Times New Roman"/>
          <w:color w:val="000000" w:themeColor="text1"/>
          <w:sz w:val="16"/>
          <w:szCs w:val="16"/>
        </w:rPr>
        <w:softHyphen/>
        <w:t>редан «Объект 233». Разработка технического проекта тан</w:t>
      </w:r>
      <w:r w:rsidRPr="008127F8">
        <w:rPr>
          <w:rFonts w:ascii="Times New Roman" w:hAnsi="Times New Roman"/>
          <w:color w:val="000000" w:themeColor="text1"/>
          <w:sz w:val="16"/>
          <w:szCs w:val="16"/>
        </w:rPr>
        <w:softHyphen/>
        <w:t>ка и его изготовление теперь курировал Главный конструк</w:t>
      </w:r>
      <w:r w:rsidRPr="008127F8">
        <w:rPr>
          <w:rFonts w:ascii="Times New Roman" w:hAnsi="Times New Roman"/>
          <w:color w:val="000000" w:themeColor="text1"/>
          <w:sz w:val="16"/>
          <w:szCs w:val="16"/>
        </w:rPr>
        <w:softHyphen/>
        <w:t xml:space="preserve">тор НКТП лично. Основные расчеты по танку производил недавно вернувшийся </w:t>
      </w:r>
      <w:r w:rsidRPr="008127F8">
        <w:rPr>
          <w:rFonts w:ascii="Times New Roman" w:hAnsi="Times New Roman"/>
          <w:color w:val="000000" w:themeColor="text1"/>
          <w:sz w:val="16"/>
          <w:szCs w:val="16"/>
        </w:rPr>
        <w:lastRenderedPageBreak/>
        <w:t>из заключения ветеран Кировского завода Н. Цейц. Оригинальный корпус разрабатывала группа ведущего инженера С. Мицкевича, башню — А. Красников, общую компоновку — Г. Москвин. Новый танк был оригинален тем, что впервые для оте</w:t>
      </w:r>
      <w:r w:rsidRPr="008127F8">
        <w:rPr>
          <w:rFonts w:ascii="Times New Roman" w:hAnsi="Times New Roman"/>
          <w:color w:val="000000" w:themeColor="text1"/>
          <w:sz w:val="16"/>
          <w:szCs w:val="16"/>
        </w:rPr>
        <w:softHyphen/>
        <w:t>чественного танкостроения лобовая часть его корпуса проектировалась литой (подобно танкам «Матильда» и «Ва-лентайн»), так как это позволяло значительно снизить мас</w:t>
      </w:r>
      <w:r w:rsidRPr="008127F8">
        <w:rPr>
          <w:rFonts w:ascii="Times New Roman" w:hAnsi="Times New Roman"/>
          <w:color w:val="000000" w:themeColor="text1"/>
          <w:sz w:val="16"/>
          <w:szCs w:val="16"/>
        </w:rPr>
        <w:softHyphen/>
        <w:t>су при сходной защищенности и упростить техпроцесс сборки наиболее трудоемкого узла. В канун 8 марта А.Ермолаев докладывал наркому, что «...разработана ком</w:t>
      </w:r>
      <w:r w:rsidRPr="008127F8">
        <w:rPr>
          <w:rFonts w:ascii="Times New Roman" w:hAnsi="Times New Roman"/>
          <w:color w:val="000000" w:themeColor="text1"/>
          <w:sz w:val="16"/>
          <w:szCs w:val="16"/>
        </w:rPr>
        <w:softHyphen/>
        <w:t>поновочная схема нового танка, в котором... за счет примене</w:t>
      </w:r>
      <w:r w:rsidRPr="008127F8">
        <w:rPr>
          <w:rFonts w:ascii="Times New Roman" w:hAnsi="Times New Roman"/>
          <w:color w:val="000000" w:themeColor="text1"/>
          <w:sz w:val="16"/>
          <w:szCs w:val="16"/>
        </w:rPr>
        <w:softHyphen/>
        <w:t>ния жидкой брони, уплотнения компоновки... сокращения га</w:t>
      </w:r>
      <w:r w:rsidRPr="008127F8">
        <w:rPr>
          <w:rFonts w:ascii="Times New Roman" w:hAnsi="Times New Roman"/>
          <w:color w:val="000000" w:themeColor="text1"/>
          <w:sz w:val="16"/>
          <w:szCs w:val="16"/>
        </w:rPr>
        <w:softHyphen/>
        <w:t>баритов корпуса и башни удалось значительно уменьшить вес тяжелого танка до у ровня среднего». Интересно отметить, что конструкция бронекорпуса имела значительно меньшее, чем КВ-1, число деталей, на по</w:t>
      </w:r>
      <w:r w:rsidRPr="008127F8">
        <w:rPr>
          <w:rFonts w:ascii="Times New Roman" w:hAnsi="Times New Roman"/>
          <w:color w:val="000000" w:themeColor="text1"/>
          <w:sz w:val="16"/>
          <w:szCs w:val="16"/>
        </w:rPr>
        <w:softHyphen/>
        <w:t>рядок уменьшено число винтовых, болтовых и гужонных со</w:t>
      </w:r>
      <w:r w:rsidRPr="008127F8">
        <w:rPr>
          <w:rFonts w:ascii="Times New Roman" w:hAnsi="Times New Roman"/>
          <w:color w:val="000000" w:themeColor="text1"/>
          <w:sz w:val="16"/>
          <w:szCs w:val="16"/>
        </w:rPr>
        <w:softHyphen/>
        <w:t>единений, сварные швы упрощены. Расточка соединитель</w:t>
      </w:r>
      <w:r w:rsidRPr="008127F8">
        <w:rPr>
          <w:rFonts w:ascii="Times New Roman" w:hAnsi="Times New Roman"/>
          <w:color w:val="000000" w:themeColor="text1"/>
          <w:sz w:val="16"/>
          <w:szCs w:val="16"/>
        </w:rPr>
        <w:softHyphen/>
        <w:t>ных отверстий осуществлялась теперь не в собранном корпу</w:t>
      </w:r>
      <w:r w:rsidRPr="008127F8">
        <w:rPr>
          <w:rFonts w:ascii="Times New Roman" w:hAnsi="Times New Roman"/>
          <w:color w:val="000000" w:themeColor="text1"/>
          <w:sz w:val="16"/>
          <w:szCs w:val="16"/>
        </w:rPr>
        <w:softHyphen/>
        <w:t xml:space="preserve">се, как на танке КВ-1, а в деталях, до их подачи на сборку. За счет плотной компоновки удалось снизить высоту танка на 205—212 мм и сделать его короче на 700 мм. </w:t>
      </w:r>
      <w:proofErr w:type="gramStart"/>
      <w:r w:rsidRPr="008127F8">
        <w:rPr>
          <w:rFonts w:ascii="Times New Roman" w:hAnsi="Times New Roman"/>
          <w:color w:val="000000" w:themeColor="text1"/>
          <w:sz w:val="16"/>
          <w:szCs w:val="16"/>
        </w:rPr>
        <w:t>Согласно первоначальному проекту</w:t>
      </w:r>
      <w:proofErr w:type="gramEnd"/>
      <w:r w:rsidRPr="008127F8">
        <w:rPr>
          <w:rFonts w:ascii="Times New Roman" w:hAnsi="Times New Roman"/>
          <w:color w:val="000000" w:themeColor="text1"/>
          <w:sz w:val="16"/>
          <w:szCs w:val="16"/>
        </w:rPr>
        <w:t xml:space="preserve"> численность экипажа танков КВ-13 и Т-34М предполагалась по заданию 3 чело</w:t>
      </w:r>
      <w:r w:rsidRPr="008127F8">
        <w:rPr>
          <w:rFonts w:ascii="Times New Roman" w:hAnsi="Times New Roman"/>
          <w:color w:val="000000" w:themeColor="text1"/>
          <w:sz w:val="16"/>
          <w:szCs w:val="16"/>
        </w:rPr>
        <w:softHyphen/>
        <w:t>века, что позволяло значительно уменьшить габариты баш</w:t>
      </w:r>
      <w:r w:rsidRPr="008127F8">
        <w:rPr>
          <w:rFonts w:ascii="Times New Roman" w:hAnsi="Times New Roman"/>
          <w:color w:val="000000" w:themeColor="text1"/>
          <w:sz w:val="16"/>
          <w:szCs w:val="16"/>
        </w:rPr>
        <w:softHyphen/>
        <w:t>ни и диаметр погона в свету. Башня отливалась практически одной деталью и в од</w:t>
      </w:r>
      <w:r w:rsidRPr="008127F8">
        <w:rPr>
          <w:rFonts w:ascii="Times New Roman" w:hAnsi="Times New Roman"/>
          <w:color w:val="000000" w:themeColor="text1"/>
          <w:sz w:val="16"/>
          <w:szCs w:val="16"/>
        </w:rPr>
        <w:softHyphen/>
        <w:t>ной изложнице вместе с рамкой пушки. Максимальная толщина лобовой брони корпуса и башни составляла до 80-мм, что соответствовало бронестойкости 60—75-мм ка</w:t>
      </w:r>
      <w:r w:rsidRPr="008127F8">
        <w:rPr>
          <w:rFonts w:ascii="Times New Roman" w:hAnsi="Times New Roman"/>
          <w:color w:val="000000" w:themeColor="text1"/>
          <w:sz w:val="16"/>
          <w:szCs w:val="16"/>
        </w:rPr>
        <w:softHyphen/>
        <w:t>таной брони, защищавшей от снарядов 76-мм отечествен</w:t>
      </w:r>
      <w:r w:rsidRPr="008127F8">
        <w:rPr>
          <w:rFonts w:ascii="Times New Roman" w:hAnsi="Times New Roman"/>
          <w:color w:val="000000" w:themeColor="text1"/>
          <w:sz w:val="16"/>
          <w:szCs w:val="16"/>
        </w:rPr>
        <w:softHyphen/>
        <w:t>ной дивизионной пушки. Вооружение КВ-13 осталось таким же, что и КВ-1 -76,2-мм танковая пушка обр. 1941 г. (ЗИС-5), спаренный с ней пулемет ДТ и два пистолет-пулемета ППШ. Монтаж орудия в башне осуществлялся через съемную крышу баш</w:t>
      </w:r>
      <w:r w:rsidRPr="008127F8">
        <w:rPr>
          <w:rFonts w:ascii="Times New Roman" w:hAnsi="Times New Roman"/>
          <w:color w:val="000000" w:themeColor="text1"/>
          <w:sz w:val="16"/>
          <w:szCs w:val="16"/>
        </w:rPr>
        <w:softHyphen/>
        <w:t>ни. В бортовых и кормовой стенках башни располагались четыре амбразуры для стрельбы из пистолетов или писто</w:t>
      </w:r>
      <w:r w:rsidRPr="008127F8">
        <w:rPr>
          <w:rFonts w:ascii="Times New Roman" w:hAnsi="Times New Roman"/>
          <w:color w:val="000000" w:themeColor="text1"/>
          <w:sz w:val="16"/>
          <w:szCs w:val="16"/>
        </w:rPr>
        <w:softHyphen/>
        <w:t>лет-пулеметов ППШ при самообороне танка (10782).</w:t>
      </w:r>
    </w:p>
    <w:p w14:paraId="2B2008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F7FEE1" w14:textId="77777777" w:rsidR="00AA6BB1" w:rsidRPr="008127F8" w:rsidRDefault="00AA6B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была предпринята попытка реанимировать КВ-3. Заместитель начальника бронетанкового управления ГАБТУ КА военинженер 1-го ранга Алымов в справке, направленной на имя Ж. Котина (в то время он занимал пост заместителя наркома танковой промышленности) писал:</w:t>
      </w:r>
    </w:p>
    <w:p w14:paraId="72F9B0E9" w14:textId="77777777" w:rsidR="00AA6BB1" w:rsidRPr="008127F8" w:rsidRDefault="00AA6B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составлении плана опытных работ на 1942 год прошу Вас включить следующие ориентировочные работы БТУ ГАБТУ КА: Танк КВ-3 — переходящий с 1941 года — окончание, изготовление опытного образца на Кировском заводе к 1 мая 1942 года».</w:t>
      </w:r>
    </w:p>
    <w:p w14:paraId="7004DD2B" w14:textId="77777777" w:rsidR="00AA6BB1" w:rsidRPr="008127F8" w:rsidRDefault="00AA6B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инициатива военных не нашла поддержки у представителей промышленности, и танк КВ-3 «умер» окончательно, так и не успев родиться (17434).</w:t>
      </w:r>
    </w:p>
    <w:p w14:paraId="05A5A4A6" w14:textId="77777777" w:rsidR="00AA6BB1" w:rsidRPr="008127F8" w:rsidRDefault="00AA6BB1" w:rsidP="001E0A84">
      <w:pPr>
        <w:spacing w:after="0" w:line="240" w:lineRule="auto"/>
        <w:jc w:val="both"/>
        <w:rPr>
          <w:rFonts w:ascii="Times New Roman" w:hAnsi="Times New Roman"/>
          <w:color w:val="000000" w:themeColor="text1"/>
          <w:sz w:val="16"/>
          <w:szCs w:val="16"/>
        </w:rPr>
      </w:pPr>
    </w:p>
    <w:p w14:paraId="3EAA28AE"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январе 1942 года на ЧКЗ изгото</w:t>
      </w:r>
      <w:r w:rsidRPr="008127F8">
        <w:rPr>
          <w:rFonts w:ascii="Times New Roman" w:cs="Times New Roman"/>
          <w:color w:val="000000" w:themeColor="text1"/>
          <w:spacing w:val="0"/>
        </w:rPr>
        <w:softHyphen/>
        <w:t>вили опытный образец артиллерийского танка КВ-9, во</w:t>
      </w:r>
      <w:r w:rsidRPr="008127F8">
        <w:rPr>
          <w:rFonts w:ascii="Times New Roman" w:cs="Times New Roman"/>
          <w:color w:val="000000" w:themeColor="text1"/>
          <w:spacing w:val="0"/>
        </w:rPr>
        <w:softHyphen/>
        <w:t>оруженного орудием калибра 122 мм в штатной башне КВ-1. В апре</w:t>
      </w:r>
      <w:r w:rsidRPr="008127F8">
        <w:rPr>
          <w:rFonts w:ascii="Times New Roman" w:cs="Times New Roman"/>
          <w:color w:val="000000" w:themeColor="text1"/>
          <w:spacing w:val="0"/>
        </w:rPr>
        <w:softHyphen/>
        <w:t>ле заводом № 9 НКВ для танков КВ-9 была изготовлена небольшая серия гау</w:t>
      </w:r>
      <w:r w:rsidRPr="008127F8">
        <w:rPr>
          <w:rFonts w:ascii="Times New Roman" w:cs="Times New Roman"/>
          <w:color w:val="000000" w:themeColor="text1"/>
          <w:spacing w:val="0"/>
        </w:rPr>
        <w:softHyphen/>
        <w:t>биц У-11. Танк КВ-9 успешно прошелиспытания, однако снижение качестваизготовления трансмиссии КВ-1 и уве</w:t>
      </w:r>
      <w:r w:rsidRPr="008127F8">
        <w:rPr>
          <w:rFonts w:ascii="Times New Roman" w:cs="Times New Roman"/>
          <w:color w:val="000000" w:themeColor="text1"/>
          <w:spacing w:val="0"/>
        </w:rPr>
        <w:softHyphen/>
        <w:t>личение его массы привело к катастро</w:t>
      </w:r>
      <w:r w:rsidRPr="008127F8">
        <w:rPr>
          <w:rFonts w:ascii="Times New Roman" w:cs="Times New Roman"/>
          <w:color w:val="000000" w:themeColor="text1"/>
          <w:spacing w:val="0"/>
        </w:rPr>
        <w:softHyphen/>
        <w:t>фическому числу аварий на фронте. Опа</w:t>
      </w:r>
      <w:r w:rsidRPr="008127F8">
        <w:rPr>
          <w:rFonts w:ascii="Times New Roman" w:cs="Times New Roman"/>
          <w:color w:val="000000" w:themeColor="text1"/>
          <w:spacing w:val="0"/>
        </w:rPr>
        <w:softHyphen/>
        <w:t>сение еще больше ухудшить условия ра</w:t>
      </w:r>
      <w:r w:rsidRPr="008127F8">
        <w:rPr>
          <w:rFonts w:ascii="Times New Roman" w:cs="Times New Roman"/>
          <w:color w:val="000000" w:themeColor="text1"/>
          <w:spacing w:val="0"/>
        </w:rPr>
        <w:softHyphen/>
        <w:t>боты трансмиссии в случае установки на танке 122-мм гаубицы и послужило при</w:t>
      </w:r>
      <w:r w:rsidRPr="008127F8">
        <w:rPr>
          <w:rFonts w:ascii="Times New Roman" w:cs="Times New Roman"/>
          <w:color w:val="000000" w:themeColor="text1"/>
          <w:spacing w:val="0"/>
        </w:rPr>
        <w:softHyphen/>
        <w:t>чиной отказа в принятии КВ-9. Танк КВ-9, воору</w:t>
      </w:r>
      <w:r w:rsidRPr="008127F8">
        <w:rPr>
          <w:rFonts w:ascii="Times New Roman" w:cs="Times New Roman"/>
          <w:color w:val="000000" w:themeColor="text1"/>
          <w:spacing w:val="0"/>
        </w:rPr>
        <w:softHyphen/>
        <w:t>женный 122-мм гаубицей У-11, создавал</w:t>
      </w:r>
      <w:r w:rsidRPr="008127F8">
        <w:rPr>
          <w:rFonts w:ascii="Times New Roman" w:cs="Times New Roman"/>
          <w:color w:val="000000" w:themeColor="text1"/>
          <w:spacing w:val="0"/>
        </w:rPr>
        <w:softHyphen/>
        <w:t>ся как мощное универсальное средство для прорыва укрепленных полос против</w:t>
      </w:r>
      <w:r w:rsidRPr="008127F8">
        <w:rPr>
          <w:rFonts w:ascii="Times New Roman" w:cs="Times New Roman"/>
          <w:color w:val="000000" w:themeColor="text1"/>
          <w:spacing w:val="0"/>
        </w:rPr>
        <w:softHyphen/>
        <w:t>ника, разрушения оборонительных со</w:t>
      </w:r>
      <w:r w:rsidRPr="008127F8">
        <w:rPr>
          <w:rFonts w:ascii="Times New Roman" w:cs="Times New Roman"/>
          <w:color w:val="000000" w:themeColor="text1"/>
          <w:spacing w:val="0"/>
        </w:rPr>
        <w:softHyphen/>
        <w:t>оружений и уничтожения танков. Проек</w:t>
      </w:r>
      <w:r w:rsidRPr="008127F8">
        <w:rPr>
          <w:rFonts w:ascii="Times New Roman" w:cs="Times New Roman"/>
          <w:color w:val="000000" w:themeColor="text1"/>
          <w:spacing w:val="0"/>
        </w:rPr>
        <w:softHyphen/>
        <w:t>тирование установки гаубицы в башне танка КВ-1 в конструкторском бюро УЗТМ показало, что, наряду с незначи</w:t>
      </w:r>
      <w:r w:rsidRPr="008127F8">
        <w:rPr>
          <w:rFonts w:ascii="Times New Roman" w:cs="Times New Roman"/>
          <w:color w:val="000000" w:themeColor="text1"/>
          <w:spacing w:val="0"/>
        </w:rPr>
        <w:softHyphen/>
        <w:t>тельными изменениями в конструкции башни, для рационального размещения в ней самой артиллерийской системы тре</w:t>
      </w:r>
      <w:r w:rsidRPr="008127F8">
        <w:rPr>
          <w:rFonts w:ascii="Times New Roman" w:cs="Times New Roman"/>
          <w:color w:val="000000" w:themeColor="text1"/>
          <w:spacing w:val="0"/>
        </w:rPr>
        <w:softHyphen/>
        <w:t>бовалась коренная переделка многих ее узлов (15232).</w:t>
      </w:r>
    </w:p>
    <w:p w14:paraId="20E773C7"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p>
    <w:p w14:paraId="4D1518EF"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С.А. Гинзбург подписал тактико-технические требования на установку в рубку КВ-7 гаубицы-пушки МЛ-20. Она была менее мощной, чем 152-мм пушка БР-2, которая ставилась на "212", зато находилась в серийном производстве (23382).</w:t>
      </w:r>
    </w:p>
    <w:p w14:paraId="3D6A65F6" w14:textId="77777777" w:rsidR="00B95B7F" w:rsidRPr="008A2E5A" w:rsidRDefault="00B95B7F" w:rsidP="00B95B7F">
      <w:pPr>
        <w:spacing w:after="0" w:line="240" w:lineRule="auto"/>
        <w:jc w:val="both"/>
        <w:rPr>
          <w:rFonts w:ascii="Times New Roman" w:hAnsi="Times New Roman"/>
          <w:color w:val="0070C0"/>
          <w:sz w:val="16"/>
          <w:szCs w:val="16"/>
        </w:rPr>
      </w:pPr>
    </w:p>
    <w:p w14:paraId="6A516797"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январе 1942 года конструкто</w:t>
      </w:r>
      <w:r w:rsidRPr="008127F8">
        <w:rPr>
          <w:rFonts w:ascii="Times New Roman" w:cs="Times New Roman"/>
          <w:color w:val="000000" w:themeColor="text1"/>
          <w:spacing w:val="0"/>
        </w:rPr>
        <w:softHyphen/>
        <w:t>рами Н.В.Куриным, Т.Ф.Ксюниным и др. в КБ УЗТМ была разработана спаренная установка вооружения (за</w:t>
      </w:r>
      <w:r w:rsidRPr="008127F8">
        <w:rPr>
          <w:rFonts w:ascii="Times New Roman" w:cs="Times New Roman"/>
          <w:color w:val="000000" w:themeColor="text1"/>
          <w:spacing w:val="0"/>
        </w:rPr>
        <w:softHyphen/>
        <w:t>водской индекс У-14). По первоначальному графику ЧКЗ планировал изготовить второй экземпляр КВ-7 к 5 февраля 1942 года. Однако из- за недостатка кадров и большого объема работ по обеспечению серийного выпус</w:t>
      </w:r>
      <w:r w:rsidRPr="008127F8">
        <w:rPr>
          <w:rFonts w:ascii="Times New Roman" w:cs="Times New Roman"/>
          <w:color w:val="000000" w:themeColor="text1"/>
          <w:spacing w:val="0"/>
        </w:rPr>
        <w:softHyphen/>
        <w:t>ка КВ-1 второй экземпляр был собран только в апреле и в течение мая — июня проходил испытания. Эту машину вооружили спаренной си</w:t>
      </w:r>
      <w:r w:rsidRPr="008127F8">
        <w:rPr>
          <w:rFonts w:ascii="Times New Roman" w:cs="Times New Roman"/>
          <w:color w:val="000000" w:themeColor="text1"/>
          <w:spacing w:val="0"/>
        </w:rPr>
        <w:softHyphen/>
        <w:t>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8127F8">
        <w:rPr>
          <w:rFonts w:ascii="Times New Roman" w:cs="Times New Roman"/>
          <w:color w:val="000000" w:themeColor="text1"/>
          <w:spacing w:val="0"/>
        </w:rPr>
        <w:softHyphen/>
        <w:t xml:space="preserve">тановки достигала 15 </w:t>
      </w:r>
      <w:proofErr w:type="gramStart"/>
      <w:r w:rsidRPr="008127F8">
        <w:rPr>
          <w:rFonts w:ascii="Times New Roman" w:cs="Times New Roman"/>
          <w:color w:val="000000" w:themeColor="text1"/>
          <w:spacing w:val="0"/>
        </w:rPr>
        <w:t>выстр./</w:t>
      </w:r>
      <w:proofErr w:type="gramEnd"/>
      <w:r w:rsidRPr="008127F8">
        <w:rPr>
          <w:rFonts w:ascii="Times New Roman" w:cs="Times New Roman"/>
          <w:color w:val="000000" w:themeColor="text1"/>
          <w:spacing w:val="0"/>
        </w:rPr>
        <w:t>мин. В бое</w:t>
      </w:r>
      <w:r w:rsidRPr="008127F8">
        <w:rPr>
          <w:rFonts w:ascii="Times New Roman" w:cs="Times New Roman"/>
          <w:color w:val="000000" w:themeColor="text1"/>
          <w:spacing w:val="0"/>
        </w:rPr>
        <w:softHyphen/>
        <w:t>комплект входили 150 выстрелов к пушкам и 2646 патронов к двум пулеметам ДТ, размещенным аналогично первому образцу КВ-7. Эту САУ продемонстриро</w:t>
      </w:r>
      <w:r w:rsidRPr="008127F8">
        <w:rPr>
          <w:rFonts w:ascii="Times New Roman" w:cs="Times New Roman"/>
          <w:color w:val="000000" w:themeColor="text1"/>
          <w:spacing w:val="0"/>
        </w:rPr>
        <w:softHyphen/>
        <w:t>вали высшему командованию РККА, но на вооружение не приняли. К этому вре</w:t>
      </w:r>
      <w:r w:rsidRPr="008127F8">
        <w:rPr>
          <w:rFonts w:ascii="Times New Roman" w:cs="Times New Roman"/>
          <w:color w:val="000000" w:themeColor="text1"/>
          <w:spacing w:val="0"/>
        </w:rPr>
        <w:softHyphen/>
        <w:t>мени стало ясно, что установка в танке или самоходке двух орудий не оправдана, и работы по КВ-7 прекратили (15232).</w:t>
      </w:r>
    </w:p>
    <w:p w14:paraId="500004F0" w14:textId="77777777" w:rsidR="00AA6BB1" w:rsidRPr="008127F8" w:rsidRDefault="00AA6BB1" w:rsidP="001E0A84">
      <w:pPr>
        <w:pStyle w:val="27"/>
        <w:shd w:val="clear" w:color="auto" w:fill="auto"/>
        <w:spacing w:after="0" w:line="240" w:lineRule="auto"/>
        <w:ind w:firstLine="0"/>
        <w:rPr>
          <w:rFonts w:ascii="Times New Roman" w:cs="Times New Roman"/>
          <w:color w:val="000000" w:themeColor="text1"/>
          <w:spacing w:val="0"/>
        </w:rPr>
      </w:pPr>
    </w:p>
    <w:p w14:paraId="2BCA5969"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январе 1942 года на ЧКЗ началось разбирательство с коробками передач. Гром грянул в самом начале марта 1942 года. По различным причинам из строя вышло 22 танка КВ-1 из состава бронетанковых соединений Крымского фронта. Об инциденте стало известно по той причине, что в дело лично вмешался заместитель народного комиссара обороны, армейский комиссар 1-го ранга Л.З. Мехлис. Лев Захарович потребовал срочно прислать для ремонта новые КПП, а также командировать на фронт Ж.Я. Котина. 6 марта состоялось совещание военных представителей, посвященное эксплуатации, ремонту и выявлению дефектных машин. В ходе совещания была озвучена поистине шокирующая цифра – доля КПП с дефектами доходила до 40%!</w:t>
      </w:r>
    </w:p>
    <w:p w14:paraId="0CD4CC0B"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Еще до начала этого разбирательства вышло постановление ГКО №1331 от 23 февраля 1942 года,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5AA46CA1"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E843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w:t>
      </w:r>
      <w:r w:rsidRPr="008127F8">
        <w:rPr>
          <w:rFonts w:ascii="Times New Roman" w:hAnsi="Times New Roman"/>
          <w:color w:val="000000" w:themeColor="text1"/>
          <w:sz w:val="16"/>
          <w:szCs w:val="16"/>
        </w:rPr>
        <w:softHyphen/>
        <w:t>варе 1942 был готов проект спаренной установки двух орудий калибра 76,2-мм в маске КВ-7, но опытный образец танка появился только в мае. Но и он показал низкую кучность при стрельбе, и потому рабо</w:t>
      </w:r>
      <w:r w:rsidRPr="008127F8">
        <w:rPr>
          <w:rFonts w:ascii="Times New Roman" w:hAnsi="Times New Roman"/>
          <w:color w:val="000000" w:themeColor="text1"/>
          <w:sz w:val="16"/>
          <w:szCs w:val="16"/>
        </w:rPr>
        <w:softHyphen/>
        <w:t>ты над ним были прекращены, а проект вооружения его спаренной установкой 107-мм и 45-мм пушек ЗИС-6А за</w:t>
      </w:r>
      <w:r w:rsidRPr="008127F8">
        <w:rPr>
          <w:rFonts w:ascii="Times New Roman" w:hAnsi="Times New Roman"/>
          <w:color w:val="000000" w:themeColor="text1"/>
          <w:sz w:val="16"/>
          <w:szCs w:val="16"/>
        </w:rPr>
        <w:softHyphen/>
        <w:t>вода № 92 отменен в пользу установки одного орудия (10782).</w:t>
      </w:r>
    </w:p>
    <w:p w14:paraId="19814EC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8D4D7" w14:textId="77777777" w:rsidR="00CA549D" w:rsidRPr="008127F8" w:rsidRDefault="00CA549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январе 1942 года был изготовлен опытный образец КВ-9, к тому моменту ситуация вокруг танковых орудий существенно изменилась. Во-первых, завод №92 с задачей обеспечения орудиями ЧКЗ справился. Во-вторых, 27 декабря 1941 года Сталин подписал постановление ГКО №1070сс "О строительстве завода № 8 Наркомата вооружения". Одним из приоритетов стала организация выпуска 76-мм танковых пушек ЗИС-5, первые из них сдали уже в январе 1942 года. К тому моменту УЗТМ вернули старое название. Таким образом, особого смысла в дальнейших работах по теме У-11 </w:t>
      </w:r>
      <w:proofErr w:type="gramStart"/>
      <w:r w:rsidRPr="008127F8">
        <w:rPr>
          <w:rFonts w:ascii="Times New Roman" w:eastAsia="Times New Roman" w:hAnsi="Times New Roman"/>
          <w:color w:val="000000" w:themeColor="text1"/>
          <w:sz w:val="16"/>
          <w:szCs w:val="16"/>
          <w:lang w:eastAsia="ru-RU"/>
        </w:rPr>
        <w:t>вроде</w:t>
      </w:r>
      <w:proofErr w:type="gramEnd"/>
      <w:r w:rsidRPr="008127F8">
        <w:rPr>
          <w:rFonts w:ascii="Times New Roman" w:eastAsia="Times New Roman" w:hAnsi="Times New Roman"/>
          <w:color w:val="000000" w:themeColor="text1"/>
          <w:sz w:val="16"/>
          <w:szCs w:val="16"/>
          <w:lang w:eastAsia="ru-RU"/>
        </w:rPr>
        <w:t xml:space="preserve"> как и не имелось, да и У-12, танковую систему с использованием баллистики 85-мм зенитной пушки, даже не стали строить. Но теперь за У-11 вписалось руководство ГАБТУ КА. 24 января вышел приказ №012, согласно которому с 26 января по 5 февраля на Корейском Полигоне проводились испытания КВ-9. Реально испытания прошли позднее - со 2 по 11 февраля. В ходе изучения опытного образца КВ-9 выяснилось, что реальный угол снижения орудия составляет всего -2 градуса. За время испытаний было произведено 210 выстрелов, из них 171 на заводском полигоне лафетопробными снарядами и усиленными зарядами. Стрельба показала, что скорострельность составила 2 выстрела в минуту, что, откровенно говоря, маловато. Проблему можно было решить введением второго заряжающего, но девать его попросту оказалось некуда (20860).</w:t>
      </w:r>
    </w:p>
    <w:p w14:paraId="080A2B87" w14:textId="77777777" w:rsidR="00CA549D" w:rsidRPr="008127F8" w:rsidRDefault="00CA549D" w:rsidP="001E0A84">
      <w:pPr>
        <w:spacing w:after="0" w:line="240" w:lineRule="auto"/>
        <w:jc w:val="both"/>
        <w:rPr>
          <w:rFonts w:ascii="Times New Roman" w:eastAsia="Times New Roman" w:hAnsi="Times New Roman"/>
          <w:color w:val="000000" w:themeColor="text1"/>
          <w:sz w:val="16"/>
          <w:szCs w:val="16"/>
          <w:lang w:eastAsia="ru-RU"/>
        </w:rPr>
      </w:pPr>
    </w:p>
    <w:p w14:paraId="10B817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заводе № 183 был освоен метод автоматической сварки бортов Т-34 на двух «полуавтоматах временной схемы». Про</w:t>
      </w:r>
      <w:r w:rsidRPr="008127F8">
        <w:rPr>
          <w:rFonts w:ascii="Times New Roman" w:hAnsi="Times New Roman"/>
          <w:color w:val="000000" w:themeColor="text1"/>
          <w:sz w:val="16"/>
          <w:szCs w:val="16"/>
        </w:rPr>
        <w:softHyphen/>
        <w:t>изводительность полуавтоматической сварки была в среднем в восемь-двенадцать раз выше, чем при сварке вручную, но при этом, во-первых, швы отличались высокой степенью од</w:t>
      </w:r>
      <w:r w:rsidRPr="008127F8">
        <w:rPr>
          <w:rFonts w:ascii="Times New Roman" w:hAnsi="Times New Roman"/>
          <w:color w:val="000000" w:themeColor="text1"/>
          <w:sz w:val="16"/>
          <w:szCs w:val="16"/>
        </w:rPr>
        <w:softHyphen/>
        <w:t>нородности и, во-вторых, - сварку мог вести человек без специальных навыков и физической подготовки (10782).</w:t>
      </w:r>
    </w:p>
    <w:p w14:paraId="015B7FD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324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вышло решение о перевооружении всех Матильд на 76-мм пушку ЗИС-5, но не понятно, было ли это сделано (4367).</w:t>
      </w:r>
    </w:p>
    <w:p w14:paraId="60ED8F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B5D9D" w14:textId="77777777" w:rsidR="00CA549D" w:rsidRPr="008127F8" w:rsidRDefault="00CA54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январе 1942 года ГАБТУ посчитало, что целесообразности в перевооружении танков "Валентайнов" советскими 45-мм пушками нет. Завод №92 считал, что деталями для перевооружения "Валентайнов" надо загрузить ГАЗ им. Молотова. С вероятностью 99% именно это и послужило реальной причиной отказа от перевооружения. Последнее, что хотело видеть руководство ГАБТУ, так это график срыва выпуска Т-60 (22723)</w:t>
      </w:r>
    </w:p>
    <w:p w14:paraId="1EE331BE" w14:textId="77777777" w:rsidR="00CA549D" w:rsidRPr="008127F8" w:rsidRDefault="00CA549D" w:rsidP="001E0A84">
      <w:pPr>
        <w:spacing w:after="0" w:line="240" w:lineRule="auto"/>
        <w:jc w:val="both"/>
        <w:rPr>
          <w:rFonts w:ascii="Times New Roman" w:hAnsi="Times New Roman"/>
          <w:color w:val="000000" w:themeColor="text1"/>
          <w:sz w:val="16"/>
          <w:szCs w:val="16"/>
        </w:rPr>
      </w:pPr>
    </w:p>
    <w:p w14:paraId="14955547" w14:textId="77777777" w:rsidR="00090542" w:rsidRPr="008127F8" w:rsidRDefault="00090542" w:rsidP="001E0A84">
      <w:pPr>
        <w:pStyle w:val="af"/>
        <w:spacing w:before="0" w:after="0"/>
        <w:jc w:val="both"/>
        <w:rPr>
          <w:color w:val="000000" w:themeColor="text1"/>
          <w:sz w:val="16"/>
          <w:szCs w:val="16"/>
        </w:rPr>
      </w:pPr>
      <w:r w:rsidRPr="008127F8">
        <w:rPr>
          <w:color w:val="000000" w:themeColor="text1"/>
          <w:sz w:val="16"/>
          <w:szCs w:val="16"/>
        </w:rPr>
        <w:t>С января 1942 года к производству корпусов и башен для Т-60 под</w:t>
      </w:r>
      <w:r w:rsidRPr="008127F8">
        <w:rPr>
          <w:color w:val="000000" w:themeColor="text1"/>
          <w:sz w:val="16"/>
          <w:szCs w:val="16"/>
        </w:rPr>
        <w:softHyphen/>
        <w:t>ключился сам ГАЗ, выпуск организовали в цеху МСЦ-8 новокузовного корпуса. В качестве основного поставщика металла выступали завод №112 «Красное Сормово» (Сормовский район г. Горького) и Кузнец</w:t>
      </w:r>
      <w:r w:rsidRPr="008127F8">
        <w:rPr>
          <w:color w:val="000000" w:themeColor="text1"/>
          <w:sz w:val="16"/>
          <w:szCs w:val="16"/>
        </w:rPr>
        <w:softHyphen/>
        <w:t>кий металлургический завод (г. Сталинск, ныне Новокузнецк). Со</w:t>
      </w:r>
      <w:r w:rsidRPr="008127F8">
        <w:rPr>
          <w:color w:val="000000" w:themeColor="text1"/>
          <w:sz w:val="16"/>
          <w:szCs w:val="16"/>
        </w:rPr>
        <w:softHyphen/>
        <w:t>гласно плану, в январе ГАЗ должен был изготовить первые 140 корпу</w:t>
      </w:r>
      <w:r w:rsidRPr="008127F8">
        <w:rPr>
          <w:color w:val="000000" w:themeColor="text1"/>
          <w:sz w:val="16"/>
          <w:szCs w:val="16"/>
        </w:rPr>
        <w:softHyphen/>
        <w:t>сов, однако в реальности январский выпуск составил лишь 50 штук. Причиной срыва производства стала плохая обеспеченность металлом и низкое качество стали, особенно это касалось поставок завода № 112. Реальные поставки металла с Кузнецкого металлургического завода начались лишь в начале февраля. Срыв по поставкам металла привел к тому, что при задании в 325 корпусов за 18 дней февраля удалось сдать лишь 42 штуки. 3 января ГАЗ собрал первый корпус Т-60 с экраниров</w:t>
      </w:r>
      <w:r w:rsidRPr="008127F8">
        <w:rPr>
          <w:color w:val="000000" w:themeColor="text1"/>
          <w:sz w:val="16"/>
          <w:szCs w:val="16"/>
        </w:rPr>
        <w:softHyphen/>
        <w:t>кой (всего 7 штук за месяц), а 29 числа — первый корпус с утолщен</w:t>
      </w:r>
      <w:r w:rsidRPr="008127F8">
        <w:rPr>
          <w:color w:val="000000" w:themeColor="text1"/>
          <w:sz w:val="16"/>
          <w:szCs w:val="16"/>
        </w:rPr>
        <w:softHyphen/>
        <w:t>ной броней. В феврале объем выпущенных корпусов с экранировкой и с утолщенной броней составил 76 и 10 штук соответственно.</w:t>
      </w:r>
    </w:p>
    <w:p w14:paraId="3FF55079"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Последним предприятием, задействованным в производстве кор</w:t>
      </w:r>
      <w:r w:rsidRPr="008127F8">
        <w:rPr>
          <w:rFonts w:eastAsia="Calibri"/>
          <w:color w:val="000000" w:themeColor="text1"/>
          <w:sz w:val="16"/>
          <w:szCs w:val="16"/>
        </w:rPr>
        <w:softHyphen/>
        <w:t>пусов Т-60, стал завод № 180 (Саратовский вагоноремонтный завод) в Саратове, куда в 1941 году был частично эвакуирован Ижорский за</w:t>
      </w:r>
      <w:r w:rsidRPr="008127F8">
        <w:rPr>
          <w:rFonts w:eastAsia="Calibri"/>
          <w:color w:val="000000" w:themeColor="text1"/>
          <w:sz w:val="16"/>
          <w:szCs w:val="16"/>
        </w:rPr>
        <w:softHyphen/>
        <w:t>вод. Первоначально данный завод должен был заниматься корпусным производством для танка Т-50, но после его снятия с вооружения была дана команда готовиться к работам по Т-60. Ввиду задержки с подго</w:t>
      </w:r>
      <w:r w:rsidRPr="008127F8">
        <w:rPr>
          <w:rFonts w:eastAsia="Calibri"/>
          <w:color w:val="000000" w:themeColor="text1"/>
          <w:sz w:val="16"/>
          <w:szCs w:val="16"/>
        </w:rPr>
        <w:softHyphen/>
        <w:t>товкой производства выпуск корпусов и башен Т-60 начался в Сара</w:t>
      </w:r>
      <w:r w:rsidRPr="008127F8">
        <w:rPr>
          <w:rFonts w:eastAsia="Calibri"/>
          <w:color w:val="000000" w:themeColor="text1"/>
          <w:sz w:val="16"/>
          <w:szCs w:val="16"/>
        </w:rPr>
        <w:softHyphen/>
        <w:t xml:space="preserve">тове со 2 </w:t>
      </w:r>
      <w:r w:rsidRPr="008127F8">
        <w:rPr>
          <w:rFonts w:eastAsia="Calibri"/>
          <w:color w:val="000000" w:themeColor="text1"/>
          <w:sz w:val="16"/>
          <w:szCs w:val="16"/>
        </w:rPr>
        <w:lastRenderedPageBreak/>
        <w:t>февраля 1942 года. С самого начала завод № 180 производил корпуса и башни с утолщенной броней, за февраль удалось выпустить 50 комплектов (при заданных 30). Примечательно, что февральская программа была выполнена из остатков брони, предназначенной для танка Т-50, причем кормовой лист имел толщину 20 мм (вместо 25 мм), днище 8 мм (вместо 6), а лобовые детали 37 мм (вместо 35 мм). Не</w:t>
      </w:r>
      <w:r w:rsidRPr="008127F8">
        <w:rPr>
          <w:rFonts w:eastAsia="Calibri"/>
          <w:color w:val="000000" w:themeColor="text1"/>
          <w:sz w:val="16"/>
          <w:szCs w:val="16"/>
        </w:rPr>
        <w:softHyphen/>
        <w:t>приятной деталью стало то, что большинство бронекорпусов завода № 180 оказалось с трещинами (68% от всех корпусов). Аналогичные нарекания имелись и относительно корпусов, изготовленных заводом № 177 (17485).</w:t>
      </w:r>
    </w:p>
    <w:p w14:paraId="411CF6F7" w14:textId="77777777" w:rsidR="00090542" w:rsidRPr="008127F8" w:rsidRDefault="00090542" w:rsidP="001E0A84">
      <w:pPr>
        <w:pStyle w:val="af"/>
        <w:spacing w:before="0" w:after="0"/>
        <w:jc w:val="both"/>
        <w:rPr>
          <w:color w:val="000000" w:themeColor="text1"/>
          <w:sz w:val="16"/>
          <w:szCs w:val="16"/>
        </w:rPr>
      </w:pPr>
    </w:p>
    <w:p w14:paraId="0F3B46BD"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январе 1942, согласно отчету военпреда 2-го ранга Морозова, ситуация с выпуском Т-60 на заводе № 264 выглядела следующим образом:</w:t>
      </w:r>
    </w:p>
    <w:p w14:paraId="70156E70"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заданию наркомата завод № 264 должен был выпустить танков Т-60 в январе месяце 240 штук. Фактически выпущено 101 штука. От</w:t>
      </w:r>
      <w:r w:rsidRPr="008127F8">
        <w:rPr>
          <w:rFonts w:ascii="Times New Roman" w:hAnsi="Times New Roman"/>
          <w:color w:val="000000" w:themeColor="text1"/>
          <w:sz w:val="16"/>
          <w:szCs w:val="16"/>
        </w:rPr>
        <w:softHyphen/>
        <w:t>гружено за январь месяц 94 штуки. Остаток готовых 17 штук.</w:t>
      </w:r>
    </w:p>
    <w:p w14:paraId="013ABE38"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Основными причинами невыполнения программы были следующие:</w:t>
      </w:r>
    </w:p>
    <w:p w14:paraId="45A023D0" w14:textId="77777777" w:rsidR="00090542" w:rsidRPr="008127F8" w:rsidRDefault="00090542" w:rsidP="001E0A84">
      <w:pPr>
        <w:tabs>
          <w:tab w:val="left" w:pos="59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Плохая подача корпусов заводом Красный Октябрь (военпред тов. Межбижер). За январь по плану должно быть подано 200корпусов, а факти</w:t>
      </w:r>
      <w:r w:rsidRPr="008127F8">
        <w:rPr>
          <w:rFonts w:ascii="Times New Roman" w:hAnsi="Times New Roman"/>
          <w:color w:val="000000" w:themeColor="text1"/>
          <w:sz w:val="16"/>
          <w:szCs w:val="16"/>
        </w:rPr>
        <w:softHyphen/>
        <w:t>чески подано 92 корпуса, причем корпуса поступали неукомплектованными, с целым рядом недоделок, которые приходилось доделывать заводу № 264.</w:t>
      </w:r>
    </w:p>
    <w:p w14:paraId="2B8AC89E"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Невыполнение плана поставки заводом СТЗ. Например, за январь месяц должно быть подано радиаторов и бензобаков 450 комплектов, а фактически </w:t>
      </w:r>
      <w:proofErr w:type="gramStart"/>
      <w:r w:rsidRPr="008127F8">
        <w:rPr>
          <w:rFonts w:ascii="Times New Roman" w:hAnsi="Times New Roman"/>
          <w:color w:val="000000" w:themeColor="text1"/>
          <w:sz w:val="16"/>
          <w:szCs w:val="16"/>
        </w:rPr>
        <w:t>подано:радиаторов</w:t>
      </w:r>
      <w:proofErr w:type="gramEnd"/>
      <w:r w:rsidRPr="008127F8">
        <w:rPr>
          <w:rFonts w:ascii="Times New Roman" w:hAnsi="Times New Roman"/>
          <w:color w:val="000000" w:themeColor="text1"/>
          <w:sz w:val="16"/>
          <w:szCs w:val="16"/>
        </w:rPr>
        <w:t xml:space="preserve"> 102 штуки, а бензобаков на 100машин. По деталям холодной штамповки, поковкам, чугунному и стальному ли</w:t>
      </w:r>
      <w:r w:rsidRPr="008127F8">
        <w:rPr>
          <w:rFonts w:ascii="Times New Roman" w:hAnsi="Times New Roman"/>
          <w:color w:val="000000" w:themeColor="text1"/>
          <w:sz w:val="16"/>
          <w:szCs w:val="16"/>
        </w:rPr>
        <w:softHyphen/>
        <w:t>тью завод СТЗ задание на поставку также не выполнил, благодаря чему механические цеха и сборочный цех имели простои в работе. О поставке заводом СТЗ заготовок и деталей холодной штамповки 20 января стоял вопрос на заседании бюро городского комитета ВКП (б), в решении кото</w:t>
      </w:r>
      <w:r w:rsidRPr="008127F8">
        <w:rPr>
          <w:rFonts w:ascii="Times New Roman" w:hAnsi="Times New Roman"/>
          <w:color w:val="000000" w:themeColor="text1"/>
          <w:sz w:val="16"/>
          <w:szCs w:val="16"/>
        </w:rPr>
        <w:softHyphen/>
        <w:t>рого записано, что СТЗ благодаря плохой поставке деталей привел к сры</w:t>
      </w:r>
      <w:r w:rsidRPr="008127F8">
        <w:rPr>
          <w:rFonts w:ascii="Times New Roman" w:hAnsi="Times New Roman"/>
          <w:color w:val="000000" w:themeColor="text1"/>
          <w:sz w:val="16"/>
          <w:szCs w:val="16"/>
        </w:rPr>
        <w:softHyphen/>
        <w:t>ву выпуск танков на заводе № 264.</w:t>
      </w:r>
    </w:p>
    <w:p w14:paraId="063F237A"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Третья причина невыполнения программы января месяца — это недо</w:t>
      </w:r>
      <w:r w:rsidRPr="008127F8">
        <w:rPr>
          <w:rFonts w:ascii="Times New Roman" w:hAnsi="Times New Roman"/>
          <w:color w:val="000000" w:themeColor="text1"/>
          <w:sz w:val="16"/>
          <w:szCs w:val="16"/>
        </w:rPr>
        <w:softHyphen/>
        <w:t>статки на заводе № 264, которые обуславливаются периодом освоения изготовления массового количества деталей и сборки машин. В настоя</w:t>
      </w:r>
      <w:r w:rsidRPr="008127F8">
        <w:rPr>
          <w:rFonts w:ascii="Times New Roman" w:hAnsi="Times New Roman"/>
          <w:color w:val="000000" w:themeColor="text1"/>
          <w:sz w:val="16"/>
          <w:szCs w:val="16"/>
        </w:rPr>
        <w:softHyphen/>
        <w:t>щее время в основном период освоения закончен, основная оснастка произ</w:t>
      </w:r>
      <w:r w:rsidRPr="008127F8">
        <w:rPr>
          <w:rFonts w:ascii="Times New Roman" w:hAnsi="Times New Roman"/>
          <w:color w:val="000000" w:themeColor="text1"/>
          <w:sz w:val="16"/>
          <w:szCs w:val="16"/>
        </w:rPr>
        <w:softHyphen/>
        <w:t>водства сделана, и при наличии достаточной подачи заготовок механиче</w:t>
      </w:r>
      <w:r w:rsidRPr="008127F8">
        <w:rPr>
          <w:rFonts w:ascii="Times New Roman" w:hAnsi="Times New Roman"/>
          <w:color w:val="000000" w:themeColor="text1"/>
          <w:sz w:val="16"/>
          <w:szCs w:val="16"/>
        </w:rPr>
        <w:softHyphen/>
        <w:t>ские цеха могут ежедневно давать до 10 комплектов в день, а сборочный цех при обеспечении его деталями и узлами, получаемыми со стороны, мо</w:t>
      </w:r>
      <w:r w:rsidRPr="008127F8">
        <w:rPr>
          <w:rFonts w:ascii="Times New Roman" w:hAnsi="Times New Roman"/>
          <w:color w:val="000000" w:themeColor="text1"/>
          <w:sz w:val="16"/>
          <w:szCs w:val="16"/>
        </w:rPr>
        <w:softHyphen/>
        <w:t>жет собирать ежедневно 6—7машин, а через 15—20 дней довести сборку до 10 штук ежедневно.</w:t>
      </w:r>
    </w:p>
    <w:p w14:paraId="3F40BD23" w14:textId="77777777" w:rsidR="00090542" w:rsidRPr="008127F8" w:rsidRDefault="00090542" w:rsidP="001E0A84">
      <w:pPr>
        <w:pStyle w:val="Bodytext320"/>
        <w:shd w:val="clear" w:color="auto" w:fill="auto"/>
        <w:spacing w:line="240" w:lineRule="auto"/>
        <w:jc w:val="both"/>
        <w:rPr>
          <w:color w:val="000000" w:themeColor="text1"/>
          <w:sz w:val="16"/>
          <w:szCs w:val="16"/>
        </w:rPr>
      </w:pPr>
      <w:r w:rsidRPr="008127F8">
        <w:rPr>
          <w:color w:val="000000" w:themeColor="text1"/>
          <w:sz w:val="16"/>
          <w:szCs w:val="16"/>
        </w:rPr>
        <w:t>&lt;...&gt;</w:t>
      </w:r>
    </w:p>
    <w:p w14:paraId="31A4BBEF"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выполнения февральской программы по Т-60 задела нет. Корпусов имеется 8 штук, радиаторов 3 штуки, а бензобаков совершенно нет. Мо</w:t>
      </w:r>
      <w:r w:rsidRPr="008127F8">
        <w:rPr>
          <w:rFonts w:ascii="Times New Roman" w:hAnsi="Times New Roman"/>
          <w:color w:val="000000" w:themeColor="text1"/>
          <w:sz w:val="16"/>
          <w:szCs w:val="16"/>
        </w:rPr>
        <w:softHyphen/>
        <w:t>торов имеется 58, из них 18моторов имеют дефекты, причем сведений об отгрузке завод не имеет.</w:t>
      </w:r>
    </w:p>
    <w:p w14:paraId="17CA9FF6"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вооружению в настоящее время отсутствуют:</w:t>
      </w:r>
    </w:p>
    <w:p w14:paraId="53675591" w14:textId="77777777" w:rsidR="00090542" w:rsidRPr="008127F8" w:rsidRDefault="00090542" w:rsidP="001E0A84">
      <w:pPr>
        <w:tabs>
          <w:tab w:val="left" w:pos="5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Снаряды и звенья для пушки ШВАК.</w:t>
      </w:r>
    </w:p>
    <w:p w14:paraId="3E4A742B" w14:textId="77777777" w:rsidR="00090542" w:rsidRPr="008127F8" w:rsidRDefault="00090542" w:rsidP="001E0A84">
      <w:pPr>
        <w:tabs>
          <w:tab w:val="left" w:pos="5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Оптика (прицелы и </w:t>
      </w:r>
      <w:r w:rsidRPr="008127F8">
        <w:rPr>
          <w:rFonts w:ascii="Times New Roman" w:hAnsi="Times New Roman"/>
          <w:color w:val="000000" w:themeColor="text1"/>
          <w:sz w:val="16"/>
          <w:szCs w:val="16"/>
          <w:lang w:val="en-US"/>
        </w:rPr>
        <w:t>TXJI</w:t>
      </w:r>
      <w:r w:rsidRPr="008127F8">
        <w:rPr>
          <w:rFonts w:ascii="Times New Roman" w:hAnsi="Times New Roman"/>
          <w:color w:val="000000" w:themeColor="text1"/>
          <w:sz w:val="16"/>
          <w:szCs w:val="16"/>
        </w:rPr>
        <w:t>).</w:t>
      </w:r>
    </w:p>
    <w:p w14:paraId="49575CF4" w14:textId="77777777" w:rsidR="00090542" w:rsidRPr="008127F8" w:rsidRDefault="00090542" w:rsidP="001E0A84">
      <w:pPr>
        <w:tabs>
          <w:tab w:val="left" w:pos="5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Ручные гранаты Ф-1.</w:t>
      </w:r>
    </w:p>
    <w:p w14:paraId="3795D37C"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Транспорты, заряженные со снарядами и звеньями, еще не получены.</w:t>
      </w:r>
    </w:p>
    <w:p w14:paraId="09DF0388"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Покупными деталями выпуск Т-60 полностью не обеспечен. Например, сигналов нет, тормозной ленты осталось на 20машин. Для замены ленты Ферродо производятся испытания чугунных тормозных колодок, заключе</w:t>
      </w:r>
      <w:r w:rsidRPr="008127F8">
        <w:rPr>
          <w:rFonts w:ascii="Times New Roman" w:hAnsi="Times New Roman"/>
          <w:color w:val="000000" w:themeColor="text1"/>
          <w:sz w:val="16"/>
          <w:szCs w:val="16"/>
        </w:rPr>
        <w:softHyphen/>
        <w:t>ния результатов испытания пока нет.</w:t>
      </w:r>
    </w:p>
    <w:p w14:paraId="4B9736D2"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приемке ГАБТУ КА на участке машин Т-60 сильно чувствуется от</w:t>
      </w:r>
      <w:r w:rsidRPr="008127F8">
        <w:rPr>
          <w:rFonts w:ascii="Times New Roman" w:hAnsi="Times New Roman"/>
          <w:color w:val="000000" w:themeColor="text1"/>
          <w:sz w:val="16"/>
          <w:szCs w:val="16"/>
        </w:rPr>
        <w:softHyphen/>
        <w:t>сутствие техников. Техников для приемки машин подобрать на заводе не представляется возможным, так как сам завод слабо располагает та</w:t>
      </w:r>
      <w:r w:rsidRPr="008127F8">
        <w:rPr>
          <w:rFonts w:ascii="Times New Roman" w:hAnsi="Times New Roman"/>
          <w:color w:val="000000" w:themeColor="text1"/>
          <w:sz w:val="16"/>
          <w:szCs w:val="16"/>
        </w:rPr>
        <w:softHyphen/>
        <w:t>кими кадрами, а имеющиеся не хотят у нас работать по причине низкой оплаты».</w:t>
      </w:r>
    </w:p>
    <w:p w14:paraId="031EFBE5"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Проблема поставок деталей со стороны СТЗ стояла настолько остро, что приходилось идти на крайние меры и производить танки без неко</w:t>
      </w:r>
      <w:r w:rsidRPr="008127F8">
        <w:rPr>
          <w:rFonts w:ascii="Times New Roman" w:hAnsi="Times New Roman"/>
          <w:color w:val="000000" w:themeColor="text1"/>
          <w:sz w:val="16"/>
          <w:szCs w:val="16"/>
        </w:rPr>
        <w:softHyphen/>
        <w:t>торых узлов. Например, из январского выпуска как минимум 11 тан</w:t>
      </w:r>
      <w:r w:rsidRPr="008127F8">
        <w:rPr>
          <w:rFonts w:ascii="Times New Roman" w:hAnsi="Times New Roman"/>
          <w:color w:val="000000" w:themeColor="text1"/>
          <w:sz w:val="16"/>
          <w:szCs w:val="16"/>
        </w:rPr>
        <w:softHyphen/>
        <w:t>ков было сдано без масляных радиаторов. Отсутствие отапливаемого помещения привело к тому, что танки вместо легкосмываемой белой краски на основе казеина, мела и извести, красили белой нитрокра</w:t>
      </w:r>
      <w:r w:rsidRPr="008127F8">
        <w:rPr>
          <w:rFonts w:ascii="Times New Roman" w:hAnsi="Times New Roman"/>
          <w:color w:val="000000" w:themeColor="text1"/>
          <w:sz w:val="16"/>
          <w:szCs w:val="16"/>
        </w:rPr>
        <w:softHyphen/>
        <w:t xml:space="preserve">ской. Несмотря на проблемы, в ГАБТУ считали, что трудности имеют временный </w:t>
      </w:r>
      <w:proofErr w:type="gramStart"/>
      <w:r w:rsidRPr="008127F8">
        <w:rPr>
          <w:rFonts w:ascii="Times New Roman" w:hAnsi="Times New Roman"/>
          <w:color w:val="000000" w:themeColor="text1"/>
          <w:sz w:val="16"/>
          <w:szCs w:val="16"/>
        </w:rPr>
        <w:t>характер  (</w:t>
      </w:r>
      <w:proofErr w:type="gramEnd"/>
      <w:r w:rsidRPr="008127F8">
        <w:rPr>
          <w:rFonts w:ascii="Times New Roman" w:hAnsi="Times New Roman"/>
          <w:color w:val="000000" w:themeColor="text1"/>
          <w:sz w:val="16"/>
          <w:szCs w:val="16"/>
        </w:rPr>
        <w:t>17485).</w:t>
      </w:r>
    </w:p>
    <w:p w14:paraId="56B23F5B" w14:textId="77777777" w:rsidR="00090542" w:rsidRPr="008127F8" w:rsidRDefault="00090542" w:rsidP="001E0A84">
      <w:pPr>
        <w:pStyle w:val="af"/>
        <w:spacing w:before="0" w:after="0"/>
        <w:jc w:val="both"/>
        <w:rPr>
          <w:color w:val="000000" w:themeColor="text1"/>
          <w:sz w:val="16"/>
          <w:szCs w:val="16"/>
        </w:rPr>
      </w:pPr>
    </w:p>
    <w:p w14:paraId="0F3564A0" w14:textId="77777777" w:rsidR="00090542" w:rsidRPr="008127F8" w:rsidRDefault="00090542" w:rsidP="001E0A84">
      <w:pPr>
        <w:pStyle w:val="af"/>
        <w:spacing w:before="0" w:after="0"/>
        <w:jc w:val="both"/>
        <w:rPr>
          <w:color w:val="000000" w:themeColor="text1"/>
          <w:sz w:val="16"/>
          <w:szCs w:val="16"/>
        </w:rPr>
      </w:pPr>
      <w:r w:rsidRPr="008127F8">
        <w:rPr>
          <w:color w:val="000000" w:themeColor="text1"/>
          <w:sz w:val="16"/>
          <w:szCs w:val="16"/>
        </w:rPr>
        <w:t>В январе 1942 года на заводе № 37 в Свердловске побывал военинженер 1-го ранга И. А. Бурцев, задачей которого являлось ознакомление с производ</w:t>
      </w:r>
      <w:r w:rsidRPr="008127F8">
        <w:rPr>
          <w:color w:val="000000" w:themeColor="text1"/>
          <w:sz w:val="16"/>
          <w:szCs w:val="16"/>
        </w:rPr>
        <w:softHyphen/>
        <w:t>ственными возможностями и помощь в организации корпусного про</w:t>
      </w:r>
      <w:r w:rsidRPr="008127F8">
        <w:rPr>
          <w:color w:val="000000" w:themeColor="text1"/>
          <w:sz w:val="16"/>
          <w:szCs w:val="16"/>
        </w:rPr>
        <w:softHyphen/>
        <w:t>изводства. Согласно отчету, к 12 января часть станков все еще нахолилась в пути, чем и объясняется тот факт, что корпуса «060» к тому моменту еще не выпускались:</w:t>
      </w:r>
    </w:p>
    <w:p w14:paraId="0E61FB16"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возможности завода по выпуску бронекорпусов Т-60</w:t>
      </w:r>
    </w:p>
    <w:p w14:paraId="5FEA2DDE"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месяце завод в основном производил доделки корпусов Т-60, из</w:t>
      </w:r>
      <w:r w:rsidRPr="008127F8">
        <w:rPr>
          <w:rFonts w:ascii="Times New Roman" w:hAnsi="Times New Roman"/>
          <w:color w:val="000000" w:themeColor="text1"/>
          <w:sz w:val="16"/>
          <w:szCs w:val="16"/>
        </w:rPr>
        <w:softHyphen/>
        <w:t>готовленных еще в Подольске, и ремонтировал корпуса изготовления как Подольского, так и Коломенского заводов. Таких корпусов доделано и от</w:t>
      </w:r>
      <w:r w:rsidRPr="008127F8">
        <w:rPr>
          <w:rFonts w:ascii="Times New Roman" w:hAnsi="Times New Roman"/>
          <w:color w:val="000000" w:themeColor="text1"/>
          <w:sz w:val="16"/>
          <w:szCs w:val="16"/>
        </w:rPr>
        <w:softHyphen/>
        <w:t>ремонтировано за январь месяц 146 штук.</w:t>
      </w:r>
    </w:p>
    <w:p w14:paraId="35EE844D"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Вновь заложено башмаков корпуса в январе месяце 25 штук.</w:t>
      </w:r>
    </w:p>
    <w:p w14:paraId="1A5651F8"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имеется в заделе в разной стадии готовности корпусов Т-30— 25 штук, Т-60—87 штук (где Т-30 есть гомогенные корпуса неплавающих машин Т-40, Т-60 есть упрощенные корпуса без ниши).</w:t>
      </w:r>
    </w:p>
    <w:p w14:paraId="7C936252"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 монтажу Т-60 еще не подготовлено. Поэтому основ</w:t>
      </w:r>
      <w:r w:rsidRPr="008127F8">
        <w:rPr>
          <w:rFonts w:ascii="Times New Roman" w:hAnsi="Times New Roman"/>
          <w:color w:val="000000" w:themeColor="text1"/>
          <w:sz w:val="16"/>
          <w:szCs w:val="16"/>
        </w:rPr>
        <w:softHyphen/>
        <w:t>ной упор делается на изготовление Т-30.</w:t>
      </w:r>
    </w:p>
    <w:p w14:paraId="3D2FCBB7"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узким местом на сегодня является: в заготовительном цеху — подводка железнодорожной колеи для транспортировки металлов в цех и пуск кранового хозяйства.</w:t>
      </w:r>
    </w:p>
    <w:p w14:paraId="6DA702EB"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термическом цеху монтаж насоса на аккумуляторные станции и прессов. Сборочный цех — пуск компрессора и кранов.</w:t>
      </w:r>
    </w:p>
    <w:p w14:paraId="3B27F09A"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недостаточной оперативности дирекции завода график оконча</w:t>
      </w:r>
      <w:r w:rsidRPr="008127F8">
        <w:rPr>
          <w:rFonts w:ascii="Times New Roman" w:hAnsi="Times New Roman"/>
          <w:color w:val="000000" w:themeColor="text1"/>
          <w:sz w:val="16"/>
          <w:szCs w:val="16"/>
        </w:rPr>
        <w:softHyphen/>
        <w:t>ния монтажа оборудования систематически срывается. На февраль ме</w:t>
      </w:r>
      <w:r w:rsidRPr="008127F8">
        <w:rPr>
          <w:rFonts w:ascii="Times New Roman" w:hAnsi="Times New Roman"/>
          <w:color w:val="000000" w:themeColor="text1"/>
          <w:sz w:val="16"/>
          <w:szCs w:val="16"/>
        </w:rPr>
        <w:softHyphen/>
        <w:t>сяц в лучшем случае может быть изготовлено 200—300 штук корпусов, так как малые производственные площади, существующие у сборочного цеха, не позволяют развернуть на полную мощность производство.</w:t>
      </w:r>
    </w:p>
    <w:p w14:paraId="064607E9"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37мною принято следующее решение:</w:t>
      </w:r>
    </w:p>
    <w:p w14:paraId="47AA1F74" w14:textId="77777777" w:rsidR="00090542" w:rsidRPr="008127F8" w:rsidRDefault="00090542" w:rsidP="001E0A84">
      <w:pPr>
        <w:tabs>
          <w:tab w:val="left" w:pos="52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Отработал с работниками завода техусловия на изготовление и при</w:t>
      </w:r>
      <w:r w:rsidRPr="008127F8">
        <w:rPr>
          <w:rFonts w:ascii="Times New Roman" w:hAnsi="Times New Roman"/>
          <w:color w:val="000000" w:themeColor="text1"/>
          <w:sz w:val="16"/>
          <w:szCs w:val="16"/>
        </w:rPr>
        <w:softHyphen/>
        <w:t>емку бронекорпусов танка Т-60, которые мною утверждены на 1942 год.</w:t>
      </w:r>
    </w:p>
    <w:p w14:paraId="64858C9D" w14:textId="77777777" w:rsidR="00090542" w:rsidRPr="008127F8" w:rsidRDefault="00090542" w:rsidP="001E0A84">
      <w:pPr>
        <w:tabs>
          <w:tab w:val="left" w:pos="52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Утверждены чертежи на бронекорпус Т-60 на заказ 1942 г. В черте</w:t>
      </w:r>
      <w:r w:rsidRPr="008127F8">
        <w:rPr>
          <w:rFonts w:ascii="Times New Roman" w:hAnsi="Times New Roman"/>
          <w:color w:val="000000" w:themeColor="text1"/>
          <w:sz w:val="16"/>
          <w:szCs w:val="16"/>
        </w:rPr>
        <w:softHyphen/>
        <w:t>жах предусмотрены следующие толщины бронедеталей:</w:t>
      </w:r>
    </w:p>
    <w:p w14:paraId="72705D51" w14:textId="77777777" w:rsidR="00090542" w:rsidRPr="008127F8" w:rsidRDefault="00090542" w:rsidP="001E0A84">
      <w:pPr>
        <w:tabs>
          <w:tab w:val="left" w:pos="9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бортовые листы толщиной 15мм;</w:t>
      </w:r>
    </w:p>
    <w:p w14:paraId="5BB8D70C" w14:textId="77777777" w:rsidR="00090542" w:rsidRPr="008127F8" w:rsidRDefault="00090542" w:rsidP="001E0A84">
      <w:pPr>
        <w:tabs>
          <w:tab w:val="left" w:pos="90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носовой лист толщиной 35 мм;</w:t>
      </w:r>
    </w:p>
    <w:p w14:paraId="5D1ED37B" w14:textId="77777777" w:rsidR="00090542" w:rsidRPr="008127F8" w:rsidRDefault="00090542" w:rsidP="001E0A84">
      <w:pPr>
        <w:tabs>
          <w:tab w:val="left" w:pos="88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лобовой лист толщиной 35 мм;</w:t>
      </w:r>
    </w:p>
    <w:p w14:paraId="02A3F3A6" w14:textId="77777777" w:rsidR="00090542" w:rsidRPr="008127F8" w:rsidRDefault="00090542" w:rsidP="001E0A84">
      <w:pPr>
        <w:tabs>
          <w:tab w:val="left" w:pos="88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кормовой лист толщиной 15 мм;</w:t>
      </w:r>
    </w:p>
    <w:p w14:paraId="66C6D23D" w14:textId="77777777" w:rsidR="00090542" w:rsidRPr="008127F8" w:rsidRDefault="00090542" w:rsidP="001E0A84">
      <w:pPr>
        <w:tabs>
          <w:tab w:val="left" w:pos="90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башня из катаной брони толщиной 35мм;</w:t>
      </w:r>
    </w:p>
    <w:p w14:paraId="747C4B12" w14:textId="77777777" w:rsidR="00090542" w:rsidRPr="008127F8" w:rsidRDefault="00090542" w:rsidP="001E0A84">
      <w:pPr>
        <w:tabs>
          <w:tab w:val="left" w:pos="87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литая башня толщиной 35—40мм;</w:t>
      </w:r>
    </w:p>
    <w:p w14:paraId="5F58EB5F"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крыша: подбашенный лист толщиной 15мм, крышка лаза тол</w:t>
      </w:r>
      <w:r w:rsidRPr="008127F8">
        <w:rPr>
          <w:rFonts w:ascii="Times New Roman" w:hAnsi="Times New Roman"/>
          <w:color w:val="000000" w:themeColor="text1"/>
          <w:sz w:val="16"/>
          <w:szCs w:val="16"/>
        </w:rPr>
        <w:softHyphen/>
        <w:t>щиной 15 мм, крыша над водителем 10мм, лист над бензобаком толщиной 10 мм, жалюзи толщиной 15 мм, грибок воздухопри- тока толщиной 10мм;</w:t>
      </w:r>
    </w:p>
    <w:p w14:paraId="714A82D6" w14:textId="77777777" w:rsidR="00090542" w:rsidRPr="008127F8" w:rsidRDefault="00090542" w:rsidP="001E0A84">
      <w:pPr>
        <w:tabs>
          <w:tab w:val="left" w:pos="88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днище: передний лист толщиной 10мм, остальные листы толщи</w:t>
      </w:r>
      <w:r w:rsidRPr="008127F8">
        <w:rPr>
          <w:rFonts w:ascii="Times New Roman" w:hAnsi="Times New Roman"/>
          <w:color w:val="000000" w:themeColor="text1"/>
          <w:sz w:val="16"/>
          <w:szCs w:val="16"/>
        </w:rPr>
        <w:softHyphen/>
        <w:t>ною в 6 мм;</w:t>
      </w:r>
    </w:p>
    <w:p w14:paraId="528A3816" w14:textId="77777777" w:rsidR="00090542" w:rsidRPr="008127F8" w:rsidRDefault="00090542" w:rsidP="001E0A84">
      <w:pPr>
        <w:tabs>
          <w:tab w:val="left" w:pos="90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бронемаска литая толщиной 35—40мм;</w:t>
      </w:r>
    </w:p>
    <w:p w14:paraId="1B969702"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смотровые приборы толщиной 25мм.</w:t>
      </w:r>
    </w:p>
    <w:p w14:paraId="7B2BFA98"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этих толщинах вес корпуса 2348 килограммов, вес граненой башни из катаной брони 540 килограммов, вес литой башни 488 килограммов.</w:t>
      </w:r>
    </w:p>
    <w:p w14:paraId="61399560"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веса по корпусу составило 200 килограммов по сравнению с весом корпуса Т-40 (не плавающего). Увеличение веса по башне из ка</w:t>
      </w:r>
      <w:r w:rsidRPr="008127F8">
        <w:rPr>
          <w:rFonts w:ascii="Times New Roman" w:hAnsi="Times New Roman"/>
          <w:color w:val="000000" w:themeColor="text1"/>
          <w:sz w:val="16"/>
          <w:szCs w:val="16"/>
        </w:rPr>
        <w:softHyphen/>
        <w:t>таной брони составило 284 килограмма. Увеличение веса по литой башне составило 234 килограмма.</w:t>
      </w:r>
    </w:p>
    <w:p w14:paraId="79245CF6"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вес танка с граненой башней будет 6200 килограммов.</w:t>
      </w:r>
    </w:p>
    <w:p w14:paraId="030F4873" w14:textId="77777777" w:rsidR="00090542" w:rsidRPr="008127F8" w:rsidRDefault="00090542" w:rsidP="001E0A84">
      <w:pPr>
        <w:tabs>
          <w:tab w:val="left" w:pos="5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Утверждены чертежи на экранировку корпуса Т-60. В чертежах предусмотрены следующие толщины бронедеталей:</w:t>
      </w:r>
    </w:p>
    <w:p w14:paraId="7C5B19A6" w14:textId="77777777" w:rsidR="00090542" w:rsidRPr="008127F8" w:rsidRDefault="00090542" w:rsidP="001E0A84">
      <w:pPr>
        <w:tabs>
          <w:tab w:val="left" w:pos="8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нос корпуса толщиной 15 и 20 мм, с суммарной толщиной 35 мм;</w:t>
      </w:r>
    </w:p>
    <w:p w14:paraId="4DF3E626" w14:textId="77777777" w:rsidR="00090542" w:rsidRPr="008127F8" w:rsidRDefault="00090542" w:rsidP="001E0A84">
      <w:pPr>
        <w:tabs>
          <w:tab w:val="left" w:pos="82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листы кабины водителя толщиной экрана 15 и 20 мм, с суммар</w:t>
      </w:r>
      <w:r w:rsidRPr="008127F8">
        <w:rPr>
          <w:rFonts w:ascii="Times New Roman" w:hAnsi="Times New Roman"/>
          <w:color w:val="000000" w:themeColor="text1"/>
          <w:sz w:val="16"/>
          <w:szCs w:val="16"/>
        </w:rPr>
        <w:softHyphen/>
        <w:t>ной толщиной 35 мм;</w:t>
      </w:r>
    </w:p>
    <w:p w14:paraId="20D11F7E" w14:textId="77777777" w:rsidR="00090542" w:rsidRPr="008127F8" w:rsidRDefault="00090542" w:rsidP="001E0A84">
      <w:pPr>
        <w:tabs>
          <w:tab w:val="left" w:pos="82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люк водителя толщиной экрана 15 и 20 мм, с суммарной толщи</w:t>
      </w:r>
      <w:r w:rsidRPr="008127F8">
        <w:rPr>
          <w:rFonts w:ascii="Times New Roman" w:hAnsi="Times New Roman"/>
          <w:color w:val="000000" w:themeColor="text1"/>
          <w:sz w:val="16"/>
          <w:szCs w:val="16"/>
        </w:rPr>
        <w:softHyphen/>
        <w:t>ной 35мм;</w:t>
      </w:r>
    </w:p>
    <w:p w14:paraId="11B1D687" w14:textId="77777777" w:rsidR="00090542" w:rsidRPr="008127F8" w:rsidRDefault="00090542" w:rsidP="001E0A84">
      <w:pPr>
        <w:pStyle w:val="af"/>
        <w:spacing w:before="0" w:after="0"/>
        <w:jc w:val="both"/>
        <w:rPr>
          <w:color w:val="000000" w:themeColor="text1"/>
          <w:sz w:val="16"/>
          <w:szCs w:val="16"/>
        </w:rPr>
      </w:pPr>
      <w:r w:rsidRPr="008127F8">
        <w:rPr>
          <w:color w:val="000000" w:themeColor="text1"/>
          <w:sz w:val="16"/>
          <w:szCs w:val="16"/>
        </w:rPr>
        <w:t>г) башня экранируется толщиной 20 мм (основная броня 15 мм).</w:t>
      </w:r>
    </w:p>
    <w:p w14:paraId="6E7FC3E5" w14:textId="77777777" w:rsidR="00090542" w:rsidRPr="008127F8" w:rsidRDefault="00090542" w:rsidP="001E0A84">
      <w:pPr>
        <w:tabs>
          <w:tab w:val="left" w:pos="5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Утверждена ведомость бронедеталей танка Т-60 с указанием их твердости, марки стали и контроля качества на 1942 год.</w:t>
      </w:r>
    </w:p>
    <w:p w14:paraId="368B13A4"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руководстве завода</w:t>
      </w:r>
    </w:p>
    <w:p w14:paraId="107D4057" w14:textId="77777777" w:rsidR="00090542" w:rsidRPr="008127F8" w:rsidRDefault="00090542" w:rsidP="001E0A84">
      <w:pPr>
        <w:tabs>
          <w:tab w:val="left" w:pos="5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 завода тов. Фрезеров весьма энергично, технически гра</w:t>
      </w:r>
      <w:r w:rsidRPr="008127F8">
        <w:rPr>
          <w:rFonts w:ascii="Times New Roman" w:hAnsi="Times New Roman"/>
          <w:color w:val="000000" w:themeColor="text1"/>
          <w:sz w:val="16"/>
          <w:szCs w:val="16"/>
        </w:rPr>
        <w:softHyphen/>
        <w:t>мотно руководит заводом.</w:t>
      </w:r>
    </w:p>
    <w:p w14:paraId="301A0134" w14:textId="77777777" w:rsidR="00090542" w:rsidRPr="008127F8" w:rsidRDefault="00090542" w:rsidP="001E0A84">
      <w:pPr>
        <w:tabs>
          <w:tab w:val="left" w:pos="5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Главный инженер завода тов. Мартиросов танкового производства совершенно не знает. В техническом отношении очень слаб и поэтому ав</w:t>
      </w:r>
      <w:r w:rsidRPr="008127F8">
        <w:rPr>
          <w:rFonts w:ascii="Times New Roman" w:hAnsi="Times New Roman"/>
          <w:color w:val="000000" w:themeColor="text1"/>
          <w:sz w:val="16"/>
          <w:szCs w:val="16"/>
        </w:rPr>
        <w:softHyphen/>
        <w:t>торитетом не пользуется.</w:t>
      </w:r>
    </w:p>
    <w:p w14:paraId="70ACF92F" w14:textId="77777777" w:rsidR="00090542" w:rsidRPr="008127F8" w:rsidRDefault="00090542" w:rsidP="001E0A84">
      <w:pPr>
        <w:tabs>
          <w:tab w:val="left" w:pos="5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Также слабым местом является отсутствие по существу главного конструктора. Приказом назначен тов. Постников — совершенно не со</w:t>
      </w:r>
      <w:r w:rsidRPr="008127F8">
        <w:rPr>
          <w:rFonts w:ascii="Times New Roman" w:hAnsi="Times New Roman"/>
          <w:color w:val="000000" w:themeColor="text1"/>
          <w:sz w:val="16"/>
          <w:szCs w:val="16"/>
        </w:rPr>
        <w:softHyphen/>
        <w:t>ответствует этой должности.</w:t>
      </w:r>
    </w:p>
    <w:p w14:paraId="36E08359" w14:textId="77777777" w:rsidR="00090542" w:rsidRPr="008127F8" w:rsidRDefault="00090542" w:rsidP="001E0A84">
      <w:pPr>
        <w:tabs>
          <w:tab w:val="left" w:pos="55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Все вопросы по бронепроизводству решаются зам. главного инженера завода тов. Свет, который пользуется авторитетом среди работников завода.</w:t>
      </w:r>
    </w:p>
    <w:p w14:paraId="5E1BD029"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необходимым поставить вопрос перед НКТПо замене главного инженера и главного конструктора завода №37, так как главный инже</w:t>
      </w:r>
      <w:r w:rsidRPr="008127F8">
        <w:rPr>
          <w:rFonts w:ascii="Times New Roman" w:hAnsi="Times New Roman"/>
          <w:color w:val="000000" w:themeColor="text1"/>
          <w:sz w:val="16"/>
          <w:szCs w:val="16"/>
        </w:rPr>
        <w:softHyphen/>
        <w:t>нер тов. Мартиросов и главный конструктор тов. Постников не могут обеспечить выполнение программы завода» (17485).</w:t>
      </w:r>
    </w:p>
    <w:p w14:paraId="6C0DA522" w14:textId="77777777" w:rsidR="00090542" w:rsidRPr="008127F8" w:rsidRDefault="00090542" w:rsidP="001E0A84">
      <w:pPr>
        <w:pStyle w:val="af"/>
        <w:spacing w:before="0" w:after="0"/>
        <w:jc w:val="both"/>
        <w:rPr>
          <w:color w:val="000000" w:themeColor="text1"/>
          <w:sz w:val="16"/>
          <w:szCs w:val="16"/>
        </w:rPr>
      </w:pPr>
    </w:p>
    <w:p w14:paraId="509BAA8E" w14:textId="77777777" w:rsidR="00CA549D" w:rsidRPr="008127F8" w:rsidRDefault="00CA54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январе 1942 года был подготовлен эскизный проект САУ У-20. Разработкой руководил Ф.Ф. Петров, являвшийся главным конструктором УЗТМ по артиллерийской теме. Задание было поставлено так, что у конструкторского коллектива не было ни единого шанса его выполнить в разумном виде. При условии, когда ГАУ КА, с упорством, достойным иного применения, требовало использовать зенитку 52-К в неизменной виде, финал оказался немного предсказуем. И даже вариант с использованием более компактной системы У-10 получился не особо удачным. В ГАУ КА покачали головой, дали вердикт, что установить такое орудие в Т-34 невозможно, на этом история и закончилась. Возможно, в это время сам Петров где-то в своём кабинете громко хохотал. Как раз в то время он, к весне 1942 года ставший главным конструктором завода №8, руководил разработкой 85-мм танкового орудия ЗИК-1. Так вот, оно влезло не только в башню КВ-1, но и в Т-34. Это, впрочем, нисколько не помешало артиллеристам упорно заниматься весьма странным делом, а именно заставлять впихивать серийные системы на серийные шасси (20931).</w:t>
      </w:r>
    </w:p>
    <w:p w14:paraId="7EEAEF56" w14:textId="77777777" w:rsidR="00CA549D" w:rsidRPr="008127F8" w:rsidRDefault="00CA549D" w:rsidP="001E0A84">
      <w:pPr>
        <w:spacing w:after="0" w:line="240" w:lineRule="auto"/>
        <w:jc w:val="both"/>
        <w:rPr>
          <w:rFonts w:ascii="Times New Roman" w:hAnsi="Times New Roman"/>
          <w:color w:val="000000" w:themeColor="text1"/>
          <w:sz w:val="16"/>
          <w:szCs w:val="16"/>
        </w:rPr>
      </w:pPr>
    </w:p>
    <w:p w14:paraId="15ECA9B6" w14:textId="77777777" w:rsidR="00CA549D" w:rsidRPr="008127F8" w:rsidRDefault="00CA54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январе 1942 года под Казанью проводились совместные испытания английских танков, немецкого Pz.Kpfw.III и Т-34. Главной целью испытаний была отработка противотанковых заграждений, но попутно испытали и средства их преодоления. Среди них оказались и те самые фашины, правда, на сей раз их изготовили из бревен. Габариты фашин оказались примерно те же: - диаметр и ширина 1000 мм, общая ширина 3500 мм. На сей раз тестировали не столько сброс фашин, сколько возможность их использования. Поочередно в ров глубиной 3 метра сбрасывали 1, 2, 3 и 4 фашины. Т-34, на который установили штатные шпор, смог преодолеть ров во всех случаях. Даже 1 фашины, как показали испытания, оказалось достаточно (22834).</w:t>
      </w:r>
    </w:p>
    <w:p w14:paraId="33375B26" w14:textId="77777777" w:rsidR="00CA549D" w:rsidRPr="008127F8" w:rsidRDefault="00CA549D" w:rsidP="001E0A84">
      <w:pPr>
        <w:spacing w:after="0" w:line="240" w:lineRule="auto"/>
        <w:jc w:val="both"/>
        <w:rPr>
          <w:rFonts w:ascii="Times New Roman" w:hAnsi="Times New Roman"/>
          <w:color w:val="000000" w:themeColor="text1"/>
          <w:sz w:val="16"/>
          <w:szCs w:val="16"/>
        </w:rPr>
      </w:pPr>
    </w:p>
    <w:p w14:paraId="62850D4C"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январе 1942 года отдел № 22 ГАЗ разработал конструкцию съемных плиц-уширителей траков. Плицы штампованной конструкции при</w:t>
      </w:r>
      <w:r w:rsidRPr="008127F8">
        <w:rPr>
          <w:rFonts w:eastAsia="Calibri"/>
          <w:color w:val="000000" w:themeColor="text1"/>
          <w:sz w:val="16"/>
          <w:szCs w:val="16"/>
        </w:rPr>
        <w:softHyphen/>
        <w:t>кручивались к штатному траку Т-60 на болтах:</w:t>
      </w:r>
    </w:p>
    <w:p w14:paraId="255C17DE"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плицы-уширителя разрабатывалась с учетом следую</w:t>
      </w:r>
      <w:r w:rsidRPr="008127F8">
        <w:rPr>
          <w:rFonts w:ascii="Times New Roman" w:hAnsi="Times New Roman"/>
          <w:color w:val="000000" w:themeColor="text1"/>
          <w:sz w:val="16"/>
          <w:szCs w:val="16"/>
        </w:rPr>
        <w:softHyphen/>
        <w:t>щих требовании снегоходности:</w:t>
      </w:r>
    </w:p>
    <w:p w14:paraId="590C71C5" w14:textId="77777777" w:rsidR="00090542" w:rsidRPr="008127F8" w:rsidRDefault="00090542" w:rsidP="001E0A84">
      <w:pPr>
        <w:tabs>
          <w:tab w:val="left" w:pos="8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сплошности гусеницы;</w:t>
      </w:r>
    </w:p>
    <w:p w14:paraId="4D756F67" w14:textId="77777777" w:rsidR="00090542" w:rsidRPr="008127F8" w:rsidRDefault="00090542" w:rsidP="001E0A84">
      <w:pPr>
        <w:tabs>
          <w:tab w:val="left" w:pos="8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необходимого зацепления плицы со снегом;</w:t>
      </w:r>
    </w:p>
    <w:p w14:paraId="2D3F9E48" w14:textId="77777777" w:rsidR="00090542" w:rsidRPr="008127F8" w:rsidRDefault="00090542" w:rsidP="001E0A84">
      <w:pPr>
        <w:pStyle w:val="af"/>
        <w:spacing w:before="0" w:after="0"/>
        <w:jc w:val="both"/>
        <w:rPr>
          <w:color w:val="000000" w:themeColor="text1"/>
          <w:sz w:val="16"/>
          <w:szCs w:val="16"/>
        </w:rPr>
      </w:pPr>
      <w:r w:rsidRPr="008127F8">
        <w:rPr>
          <w:color w:val="000000" w:themeColor="text1"/>
          <w:sz w:val="16"/>
          <w:szCs w:val="16"/>
        </w:rPr>
        <w:t>в) зацепления гусеницы со снежным покровом укатанной дороги или со льдом;</w:t>
      </w:r>
    </w:p>
    <w:p w14:paraId="7CA7FE27" w14:textId="77777777" w:rsidR="00090542" w:rsidRPr="008127F8" w:rsidRDefault="00090542" w:rsidP="001E0A84">
      <w:pPr>
        <w:tabs>
          <w:tab w:val="left" w:pos="84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наиболее легкого поворота машины на снегу;</w:t>
      </w:r>
    </w:p>
    <w:p w14:paraId="53CE21BE" w14:textId="77777777" w:rsidR="00090542" w:rsidRPr="008127F8" w:rsidRDefault="00090542" w:rsidP="001E0A84">
      <w:pPr>
        <w:tabs>
          <w:tab w:val="left" w:pos="8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предотвращения забивания и спрессовывания зубом ведущей зуб</w:t>
      </w:r>
      <w:r w:rsidRPr="008127F8">
        <w:rPr>
          <w:rFonts w:ascii="Times New Roman" w:hAnsi="Times New Roman"/>
          <w:color w:val="000000" w:themeColor="text1"/>
          <w:sz w:val="16"/>
          <w:szCs w:val="16"/>
        </w:rPr>
        <w:softHyphen/>
        <w:t>чатки грязи и снега в пространстве между траком и плицей у про</w:t>
      </w:r>
      <w:r w:rsidRPr="008127F8">
        <w:rPr>
          <w:rFonts w:ascii="Times New Roman" w:hAnsi="Times New Roman"/>
          <w:color w:val="000000" w:themeColor="text1"/>
          <w:sz w:val="16"/>
          <w:szCs w:val="16"/>
        </w:rPr>
        <w:softHyphen/>
        <w:t>реза для зуба;</w:t>
      </w:r>
    </w:p>
    <w:p w14:paraId="25F14E5E" w14:textId="77777777" w:rsidR="00090542" w:rsidRPr="008127F8" w:rsidRDefault="00090542" w:rsidP="001E0A84">
      <w:pPr>
        <w:tabs>
          <w:tab w:val="left" w:pos="84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надежного крепления плицы к траку, а также ее прочности и из</w:t>
      </w:r>
      <w:r w:rsidRPr="008127F8">
        <w:rPr>
          <w:rFonts w:ascii="Times New Roman" w:hAnsi="Times New Roman"/>
          <w:color w:val="000000" w:themeColor="text1"/>
          <w:sz w:val="16"/>
          <w:szCs w:val="16"/>
        </w:rPr>
        <w:softHyphen/>
        <w:t>носоустойчивости» '.</w:t>
      </w:r>
    </w:p>
    <w:p w14:paraId="3558258B"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Уширители ставились на все траки, благодаря чему пятно контак</w:t>
      </w:r>
      <w:r w:rsidRPr="008127F8">
        <w:rPr>
          <w:rFonts w:eastAsia="Calibri"/>
          <w:color w:val="000000" w:themeColor="text1"/>
          <w:sz w:val="16"/>
          <w:szCs w:val="16"/>
        </w:rPr>
        <w:softHyphen/>
        <w:t>та с поверхностью значительно увеличивалось. При установке ушири- телей на танк его масса выросла с 5720 до 6080 кг, при этом удельное давление на грунт снизилось с 0,5 кг/см</w:t>
      </w:r>
      <w:r w:rsidRPr="008127F8">
        <w:rPr>
          <w:rFonts w:eastAsia="Calibri"/>
          <w:color w:val="000000" w:themeColor="text1"/>
          <w:sz w:val="16"/>
          <w:szCs w:val="16"/>
          <w:vertAlign w:val="superscript"/>
        </w:rPr>
        <w:t>2</w:t>
      </w:r>
      <w:r w:rsidRPr="008127F8">
        <w:rPr>
          <w:rFonts w:eastAsia="Calibri"/>
          <w:color w:val="000000" w:themeColor="text1"/>
          <w:sz w:val="16"/>
          <w:szCs w:val="16"/>
        </w:rPr>
        <w:t xml:space="preserve"> до 0,26 кг/см</w:t>
      </w:r>
      <w:r w:rsidRPr="008127F8">
        <w:rPr>
          <w:rFonts w:eastAsia="Calibri"/>
          <w:color w:val="000000" w:themeColor="text1"/>
          <w:sz w:val="16"/>
          <w:szCs w:val="16"/>
          <w:vertAlign w:val="superscript"/>
        </w:rPr>
        <w:t>2</w:t>
      </w:r>
      <w:r w:rsidRPr="008127F8">
        <w:rPr>
          <w:rFonts w:eastAsia="Calibri"/>
          <w:color w:val="000000" w:themeColor="text1"/>
          <w:sz w:val="16"/>
          <w:szCs w:val="16"/>
        </w:rPr>
        <w:t>. Испытания, проведенные с 27 марта по 7 апреля 1942 года,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w:t>
      </w:r>
      <w:r w:rsidRPr="008127F8">
        <w:rPr>
          <w:rFonts w:eastAsia="Calibri"/>
          <w:color w:val="000000" w:themeColor="text1"/>
          <w:sz w:val="16"/>
          <w:szCs w:val="16"/>
        </w:rPr>
        <w:softHyphen/>
        <w:t>скольку отмечалось недостаточное сцепление и низкая надежность. За 150 километров испытаний было сломано 73 плицы. По результатам испытаний предлагалось улучшить конструкцию уширителей, но даль</w:t>
      </w:r>
      <w:r w:rsidRPr="008127F8">
        <w:rPr>
          <w:rFonts w:eastAsia="Calibri"/>
          <w:color w:val="000000" w:themeColor="text1"/>
          <w:sz w:val="16"/>
          <w:szCs w:val="16"/>
        </w:rPr>
        <w:softHyphen/>
        <w:t>нейшего развития конструкция не получила.</w:t>
      </w:r>
    </w:p>
    <w:p w14:paraId="11A52495" w14:textId="77777777" w:rsidR="00090542" w:rsidRPr="008127F8" w:rsidRDefault="0009054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Стоит отметить, что работа по уширителям была организована не из праздного любопытства. Бытует мнение, что Т-40, Т-30 и Т-60 благо</w:t>
      </w:r>
      <w:r w:rsidRPr="008127F8">
        <w:rPr>
          <w:rFonts w:eastAsia="Calibri"/>
          <w:color w:val="000000" w:themeColor="text1"/>
          <w:sz w:val="16"/>
          <w:szCs w:val="16"/>
        </w:rPr>
        <w:softHyphen/>
        <w:t xml:space="preserve">даря небольшой массе прекрасно чувствовали себя при езде по снегу и насту. На самом деле ситуация была прямо противоположной, о чем, к примеру, красноречиво говорит отчет БТ и </w:t>
      </w:r>
      <w:r w:rsidRPr="008127F8">
        <w:rPr>
          <w:rFonts w:eastAsia="Calibri"/>
          <w:color w:val="000000" w:themeColor="text1"/>
          <w:sz w:val="16"/>
          <w:szCs w:val="16"/>
          <w:lang w:val="en-US"/>
        </w:rPr>
        <w:t>MB</w:t>
      </w:r>
      <w:r w:rsidRPr="008127F8">
        <w:rPr>
          <w:rFonts w:eastAsia="Calibri"/>
          <w:color w:val="000000" w:themeColor="text1"/>
          <w:sz w:val="16"/>
          <w:szCs w:val="16"/>
        </w:rPr>
        <w:t xml:space="preserve"> 20-й Армии по ис</w:t>
      </w:r>
      <w:r w:rsidRPr="008127F8">
        <w:rPr>
          <w:rFonts w:eastAsia="Calibri"/>
          <w:color w:val="000000" w:themeColor="text1"/>
          <w:sz w:val="16"/>
          <w:szCs w:val="16"/>
        </w:rPr>
        <w:softHyphen/>
        <w:t>пользованию танков зимой 1941/42 годов:</w:t>
      </w:r>
    </w:p>
    <w:p w14:paraId="07792EDD"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«Т-60 — проходимость танка совершенно ограничена. Узкая гусеница прорезает снег до грунта, танк садится на днище.</w:t>
      </w:r>
    </w:p>
    <w:p w14:paraId="4F0799BE"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Глубина преодоления снега танком Т-60 не более 30 см, по неровной местности — 20—25 см.</w:t>
      </w:r>
    </w:p>
    <w:p w14:paraId="71A1F679" w14:textId="77777777" w:rsidR="00090542" w:rsidRPr="008127F8" w:rsidRDefault="000905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 по использованию танков Т-60:</w:t>
      </w:r>
    </w:p>
    <w:p w14:paraId="6D7961BC" w14:textId="77777777" w:rsidR="00090542" w:rsidRPr="008127F8" w:rsidRDefault="00090542" w:rsidP="001E0A84">
      <w:pPr>
        <w:tabs>
          <w:tab w:val="left" w:pos="56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Последние операции танков 20-й Армии показали, что танк Т-60 при наличии покрова снега свыше 30—40 см может двигаться только по шос</w:t>
      </w:r>
      <w:r w:rsidRPr="008127F8">
        <w:rPr>
          <w:rFonts w:ascii="Times New Roman" w:hAnsi="Times New Roman"/>
          <w:color w:val="000000" w:themeColor="text1"/>
          <w:sz w:val="16"/>
          <w:szCs w:val="16"/>
        </w:rPr>
        <w:softHyphen/>
        <w:t>сейным дорогам. Большие морозы приводят к частому прогреванию мото</w:t>
      </w:r>
      <w:r w:rsidRPr="008127F8">
        <w:rPr>
          <w:rFonts w:ascii="Times New Roman" w:hAnsi="Times New Roman"/>
          <w:color w:val="000000" w:themeColor="text1"/>
          <w:sz w:val="16"/>
          <w:szCs w:val="16"/>
        </w:rPr>
        <w:softHyphen/>
        <w:t>ров и расходу горючего. Редкое прогревание невозможно, замерзает вода в радиаторе.</w:t>
      </w:r>
    </w:p>
    <w:p w14:paraId="64A76B25" w14:textId="77777777" w:rsidR="00090542" w:rsidRPr="008127F8" w:rsidRDefault="00090542" w:rsidP="001E0A84">
      <w:pPr>
        <w:tabs>
          <w:tab w:val="left" w:pos="53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Целесообразно танки использовать на участках с меньшим покровом снега — на юге. В районах Москвы снежный покров большой, и применение Т-60 по существу для атаки развернутыми боевыми порядками совмест</w:t>
      </w:r>
      <w:r w:rsidRPr="008127F8">
        <w:rPr>
          <w:rFonts w:ascii="Times New Roman" w:hAnsi="Times New Roman"/>
          <w:color w:val="000000" w:themeColor="text1"/>
          <w:sz w:val="16"/>
          <w:szCs w:val="16"/>
        </w:rPr>
        <w:softHyphen/>
        <w:t>но с пехотой исключается, эти танки можно применять по дорогам, для обороны населенных пунктов, штабов и т.д.» (17485).</w:t>
      </w:r>
    </w:p>
    <w:p w14:paraId="05C66268" w14:textId="77777777" w:rsidR="00090542" w:rsidRPr="008127F8" w:rsidRDefault="00090542" w:rsidP="001E0A84">
      <w:pPr>
        <w:pStyle w:val="af"/>
        <w:spacing w:before="0" w:after="0"/>
        <w:jc w:val="both"/>
        <w:rPr>
          <w:color w:val="000000" w:themeColor="text1"/>
          <w:sz w:val="16"/>
          <w:szCs w:val="16"/>
        </w:rPr>
      </w:pPr>
    </w:p>
    <w:p w14:paraId="26B9DBD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танк Т-70 был принят на вооружение РККА. Срок начала серийного выпуска машины был определен - март 1942 г. В ап</w:t>
      </w:r>
      <w:r w:rsidRPr="008127F8">
        <w:rPr>
          <w:rFonts w:ascii="Times New Roman" w:hAnsi="Times New Roman"/>
          <w:color w:val="000000" w:themeColor="text1"/>
          <w:sz w:val="16"/>
          <w:szCs w:val="16"/>
        </w:rPr>
        <w:softHyphen/>
        <w:t>реле 1942 г. по чертежам Горьковского автозавода серийное производст</w:t>
      </w:r>
      <w:r w:rsidRPr="008127F8">
        <w:rPr>
          <w:rFonts w:ascii="Times New Roman" w:hAnsi="Times New Roman"/>
          <w:color w:val="000000" w:themeColor="text1"/>
          <w:sz w:val="16"/>
          <w:szCs w:val="16"/>
        </w:rPr>
        <w:softHyphen/>
        <w:t>во танков Т-70 было организовано и на заводе № 38 в г. Киров. С октя</w:t>
      </w:r>
      <w:r w:rsidRPr="008127F8">
        <w:rPr>
          <w:rFonts w:ascii="Times New Roman" w:hAnsi="Times New Roman"/>
          <w:color w:val="000000" w:themeColor="text1"/>
          <w:sz w:val="16"/>
          <w:szCs w:val="16"/>
        </w:rPr>
        <w:softHyphen/>
        <w:t>бря того же года Горьковский автозавод и завод № 38 перешли на про</w:t>
      </w:r>
      <w:r w:rsidRPr="008127F8">
        <w:rPr>
          <w:rFonts w:ascii="Times New Roman" w:hAnsi="Times New Roman"/>
          <w:color w:val="000000" w:themeColor="text1"/>
          <w:sz w:val="16"/>
          <w:szCs w:val="16"/>
        </w:rPr>
        <w:softHyphen/>
        <w:t>изводство модернизированного варианта танка Т-70М с усиленной хо</w:t>
      </w:r>
      <w:r w:rsidRPr="008127F8">
        <w:rPr>
          <w:rFonts w:ascii="Times New Roman" w:hAnsi="Times New Roman"/>
          <w:color w:val="000000" w:themeColor="text1"/>
          <w:sz w:val="16"/>
          <w:szCs w:val="16"/>
        </w:rPr>
        <w:softHyphen/>
        <w:t>довой частью, которое продолжалось по июнь 1943 г. Во второй половине 1942 г. под руководством главного металлурга Горьковского автозавода Носкова при участии инженеров ЦНИИ-48 проводилась работа по изготовлению траков танка Т-70 из стали марки 40 вместо дефицитной легированной стали Г13Ф (10703).</w:t>
      </w:r>
    </w:p>
    <w:p w14:paraId="4333997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2C2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 на танках Т-40С, поступавших в ремонт, вместо пу</w:t>
      </w:r>
      <w:r w:rsidRPr="008127F8">
        <w:rPr>
          <w:rFonts w:ascii="Times New Roman" w:hAnsi="Times New Roman"/>
          <w:color w:val="000000" w:themeColor="text1"/>
          <w:sz w:val="16"/>
          <w:szCs w:val="16"/>
        </w:rPr>
        <w:softHyphen/>
        <w:t>лемета ДШК устанавливалась 20-мм автоматическая пушка ТНШ. Углы наводки спаренной установки по вертикали составляли от -7 до +25°. При стрельбе использовался телескопический прицел ТМФП-1. Техни</w:t>
      </w:r>
      <w:r w:rsidRPr="008127F8">
        <w:rPr>
          <w:rFonts w:ascii="Times New Roman" w:hAnsi="Times New Roman"/>
          <w:color w:val="000000" w:themeColor="text1"/>
          <w:sz w:val="16"/>
          <w:szCs w:val="16"/>
        </w:rPr>
        <w:softHyphen/>
        <w:t xml:space="preserve">ческая скорострельность пушки составляла 600 </w:t>
      </w:r>
      <w:proofErr w:type="gramStart"/>
      <w:r w:rsidRPr="008127F8">
        <w:rPr>
          <w:rFonts w:ascii="Times New Roman" w:hAnsi="Times New Roman"/>
          <w:color w:val="000000" w:themeColor="text1"/>
          <w:sz w:val="16"/>
          <w:szCs w:val="16"/>
        </w:rPr>
        <w:t>выстр./</w:t>
      </w:r>
      <w:proofErr w:type="gramEnd"/>
      <w:r w:rsidRPr="008127F8">
        <w:rPr>
          <w:rFonts w:ascii="Times New Roman" w:hAnsi="Times New Roman"/>
          <w:color w:val="000000" w:themeColor="text1"/>
          <w:sz w:val="16"/>
          <w:szCs w:val="16"/>
        </w:rPr>
        <w:t>мин. Механизмы наводки и спуска остались без изменений. В боекомплект танка входили 750 выстрелов к пушке и 1512 патронов к пулемету ДТ (24 диска) (10703).</w:t>
      </w:r>
    </w:p>
    <w:p w14:paraId="723D37D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931C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разрабатывавшийся с осени 1941 для замены Т-60 в КБ ГАЗ под руководством Н.А.Астрова Т-70 был показан И.В.С. и принят на вооружение и к производству на ГАЗ (3547).</w:t>
      </w:r>
    </w:p>
    <w:p w14:paraId="73A7F1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E38A67"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января 1942 года к производству корпусов и башен для Т-60 подключился и сам ГАЗ. Выпуск организовали в цеху МСЦ-8 новокузовного корпуса. В качестве основного поставщика металла выступали завод №112 «Красное Сормово» и Кузнецкий металлургический завод (г. Сталинск, ныне Новокузнецк). Согласно плану, в январе ГАЗ должен был изготовить первые 140 корпусов, однако в реальности январский выпуск составил лишь 50 штук. Причинами срыва производства стали плохая обеспеченность металлом и низкое качество стали. Особенно это касалось поставок завода №112. Срыв по поставкам металла привёл к тому, что при задании в 325 корпусов за 18 дней февраля удалось сдать лишь 42 штуки.</w:t>
      </w:r>
    </w:p>
    <w:p w14:paraId="10415096"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 января ГАЗ собрал первый корпус Т-60 с экранировкой (всего же за январь их было собрано 7 штук), а 29 числа — первый корпус с утолщённой броней (17672).</w:t>
      </w:r>
    </w:p>
    <w:p w14:paraId="34BD42B0" w14:textId="77777777" w:rsidR="006A63DA" w:rsidRPr="008127F8" w:rsidRDefault="006A63DA" w:rsidP="001E0A84">
      <w:pPr>
        <w:pStyle w:val="12a"/>
        <w:shd w:val="clear" w:color="auto" w:fill="auto"/>
        <w:spacing w:after="0" w:line="240" w:lineRule="auto"/>
        <w:jc w:val="both"/>
        <w:rPr>
          <w:color w:val="000000" w:themeColor="text1"/>
          <w:sz w:val="16"/>
          <w:szCs w:val="16"/>
        </w:rPr>
      </w:pPr>
    </w:p>
    <w:p w14:paraId="5BB43C9E"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январе 1942 года отдел №22 разработал конструкцию съемных плиц-уширителей траков. Вместе с заводом №37 оказалось эвакуировано и заводское КБ (отдел 22). В эвакуации его возглавил Г.С. Суренян. Несмотря на то, что в основном КБ занималось темами, связанными с организацией производства Т-60, нашлось место и опытным работам.</w:t>
      </w:r>
    </w:p>
    <w:p w14:paraId="2C865BB5"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Плицы штампованной конструкции прикручивались к штатному траку Т-60 на болтах. Уширители ставились на все траки, благодаря чему пятно контакта с поверхностью значительно увеличивалось. При установке уширителей на танк его масса увеличивалась с 5720 до 6080 кг, при этом удельное давление на грунт снижалось с 0,5 кг/см² до 0,26 кг/см². Испытания, проведенные с 27 марта по 7 апреля 1942 года,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поскольку отмечалось недостаточное сцепление с поверхностью и низкая надежность. За 150 километров испытаний было сломано 73 плицы. По результатам испытаний предлагалось улучшить конструкцию уширителей, но дальнейшего развития конструкция не получила.</w:t>
      </w:r>
    </w:p>
    <w:p w14:paraId="3978EE38"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уширителей, экспериментировали в Свердловске и с опорными катками. В середине марта 1942 года на испытания вышел Т-60, который вместо опорных катков диаметром 515 мм имел установленные на балансирах тележки, на каждой из которых были жестко установлены цельнометаллические катки диаметром 280 мм. Данная конструкция, разработанная под руководством группы ходовой части отдела 22 Р.А. Аншелевича, позволяла отказаться от ошиновки катков и одновременно улучшить характеристики распределения давления на грунт. Правда, на испытаниях новых тележек танк прошел недалеко. Конструкция оказалась неудачной (17686).</w:t>
      </w:r>
    </w:p>
    <w:p w14:paraId="6F57AE69" w14:textId="77777777" w:rsidR="006A63DA" w:rsidRPr="008127F8" w:rsidRDefault="006A63DA" w:rsidP="001E0A84">
      <w:pPr>
        <w:pStyle w:val="12a"/>
        <w:shd w:val="clear" w:color="auto" w:fill="auto"/>
        <w:spacing w:after="0" w:line="240" w:lineRule="auto"/>
        <w:jc w:val="both"/>
        <w:rPr>
          <w:color w:val="000000" w:themeColor="text1"/>
          <w:sz w:val="16"/>
          <w:szCs w:val="16"/>
        </w:rPr>
      </w:pPr>
    </w:p>
    <w:p w14:paraId="11CAEAB5"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январе 1942 года вместо 240 танков заводу 264 удалось сдать всего 101. Корпуса, поступавшие с «Красного Октября», нередко приходилось дорабатывать на месте. Больше того, за январь вместо 200 корпусов завод получил лишь 92 штуки. Подводил и СТЗ, выступавший смежником по ряду важных агрегатов, включая бензобаки и радиаторы. Проблема поставок деталей со стороны СТЗ стояла настолько остро, что приходилось идти на крайние меры и выпускать танки без некоторых узлов. Например, из январского выпуска как минимум 11 машин было сдано без масляных радиаторов. Отсутствие у завода № 264 отапливаемого помещения привело к тому, что танки вместо легко смываемой белой краски на основе казеина, мела и извести красили белой нитрокраской.</w:t>
      </w:r>
    </w:p>
    <w:p w14:paraId="309ADF45"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Для обеспечения завода № 264 дефицитными узлами пришлось привлекать другие предприятия. Завод № 469 НКАП им. Громова (г. Горький), который изготавливал радиаторы для заводов № 37 и ГАЗ, в середине февраля получил расширенный заказ.</w:t>
      </w:r>
    </w:p>
    <w:p w14:paraId="407438C7"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Несмотря на проблемы, в Главном автобронетанковом управлении (ГАБТУ) считали, что трудности временные. 30 января 1942 года был подписан договор между заводом № 264 и ГАБТУ на поставку 650 танков. Согласно этому документу, стоимость полностью укомплектованного Т-60 составила 81 тысяч рублей. Кроме того, предусматривалось создание радийной версии танка, и в случае её запуска в производство цена машины составила бы 82 700 рублей. Впрочем, за все время выпуска Т-60 ни на одном заводе так и не выпустили радийных Т-60. Виной тому стало отсутствие радиостанций (17677).</w:t>
      </w:r>
    </w:p>
    <w:p w14:paraId="45B2F48C" w14:textId="77777777" w:rsidR="006A63DA" w:rsidRPr="008127F8" w:rsidRDefault="006A63DA" w:rsidP="001E0A84">
      <w:pPr>
        <w:pStyle w:val="12a"/>
        <w:shd w:val="clear" w:color="auto" w:fill="auto"/>
        <w:spacing w:after="0" w:line="240" w:lineRule="auto"/>
        <w:jc w:val="both"/>
        <w:rPr>
          <w:color w:val="000000" w:themeColor="text1"/>
          <w:sz w:val="16"/>
          <w:szCs w:val="16"/>
        </w:rPr>
      </w:pPr>
    </w:p>
    <w:p w14:paraId="7D5C78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 декабре 1943 г. к производству танков Т-34-76 были привлечены заводы ЧКЗ, УЗТМ и № 174, эвакуированный из Ленингра</w:t>
      </w:r>
      <w:r w:rsidRPr="008127F8">
        <w:rPr>
          <w:rFonts w:ascii="Times New Roman" w:hAnsi="Times New Roman"/>
          <w:color w:val="000000" w:themeColor="text1"/>
          <w:sz w:val="16"/>
          <w:szCs w:val="16"/>
        </w:rPr>
        <w:softHyphen/>
        <w:t>да в Омск, а также осуществлена эвакуация СТЗ в Свердловск. На этом этапе были разработаны и испытаны: опытные образцы танков Т-34С и Т-34 с 85-мм танковыми пушками (Д-5Т-85, С-50, С-53 и ЛБ-1), опытные средние танки Т-43 и КВ-13, были развернуты работы по созда</w:t>
      </w:r>
      <w:r w:rsidRPr="008127F8">
        <w:rPr>
          <w:rFonts w:ascii="Times New Roman" w:hAnsi="Times New Roman"/>
          <w:color w:val="000000" w:themeColor="text1"/>
          <w:sz w:val="16"/>
          <w:szCs w:val="16"/>
        </w:rPr>
        <w:softHyphen/>
        <w:t>нию среднего танка Т-44 ("Объект 136") (10703).</w:t>
      </w:r>
    </w:p>
    <w:p w14:paraId="5F97DC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EBB6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 связи с установкой на немецких танках 50-мм длинноствольных танковых пушек было принято реше</w:t>
      </w:r>
      <w:r w:rsidRPr="008127F8">
        <w:rPr>
          <w:rFonts w:ascii="Times New Roman" w:hAnsi="Times New Roman"/>
          <w:color w:val="000000" w:themeColor="text1"/>
          <w:sz w:val="16"/>
          <w:szCs w:val="16"/>
        </w:rPr>
        <w:softHyphen/>
        <w:t>ние усилить лобовую часть танка Т-34. Разработки усиления броневой защиты корпуса велись по двум направлениям: замене 45-мм броне листа на броневой лист толщиной 60 мм и приварке снаружи допо тельного броневого листа, однако постановлением ГКО от 23 февр 1942 г. эти работы были прекращены (10703).</w:t>
      </w:r>
    </w:p>
    <w:p w14:paraId="70B83F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62C23"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1942 г. Уралмаш, который с октября 1941 г. по начало следующего года в документах обозначается как «Ижорский завод», смог вернуть свое прежнее </w:t>
      </w:r>
      <w:proofErr w:type="gramStart"/>
      <w:r w:rsidRPr="008A2E5A">
        <w:rPr>
          <w:rFonts w:ascii="Times New Roman" w:hAnsi="Times New Roman"/>
          <w:color w:val="0070C0"/>
          <w:sz w:val="16"/>
          <w:szCs w:val="16"/>
        </w:rPr>
        <w:t>имя[</w:t>
      </w:r>
      <w:proofErr w:type="gramEnd"/>
      <w:r w:rsidRPr="008A2E5A">
        <w:rPr>
          <w:rFonts w:ascii="Times New Roman" w:hAnsi="Times New Roman"/>
          <w:color w:val="0070C0"/>
          <w:sz w:val="16"/>
          <w:szCs w:val="16"/>
        </w:rPr>
        <w:t>336]. Случай достаточно уникальный для восточных предприятий Наркомтанкопрома, поскольку все остальные местные промышленные площадки были так или иначе переименованы. Они либо получали название одного из эвакуируемых предприятий (челябинский Кировский завод, свердловский завод № 37), либо принимали новое обозначение (УТЗ, завод № 200). Более того, УЗТМ сохранил свое довоенное руководство: Б.Г. Музруков стал единственным «местным» танковым директором в регионе (23536).</w:t>
      </w:r>
    </w:p>
    <w:p w14:paraId="2E281D66" w14:textId="77777777" w:rsidR="007B68CB" w:rsidRPr="008A2E5A" w:rsidRDefault="007B68CB" w:rsidP="007B68CB">
      <w:pPr>
        <w:spacing w:after="0" w:line="240" w:lineRule="auto"/>
        <w:jc w:val="both"/>
        <w:rPr>
          <w:rFonts w:ascii="Times New Roman" w:hAnsi="Times New Roman"/>
          <w:color w:val="0070C0"/>
          <w:sz w:val="16"/>
          <w:szCs w:val="16"/>
        </w:rPr>
      </w:pPr>
    </w:p>
    <w:p w14:paraId="53FC8DFF"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впервые удалось преодолеть отметку в 200 танков КВ, выпущенных за месяц. Тогда же Сталин поднял вопрос о недостаточной подвижности машины. Решать ее собирались за счет повышения мощности мотора. Но быстро выяснилось, что этот путь тупиковый. Главной проблемой на пути повышения подвижности стала боевая масса, которая достигла 50 тонн (а порой эту отметку и превосходила). Неудачные испытания февраля 1942 года привели к тому, что в конце месяца появились первые постановления ГКО, которые регламентировали снижение массы (23354).</w:t>
      </w:r>
    </w:p>
    <w:p w14:paraId="1AE05578" w14:textId="77777777" w:rsidR="007B68CB" w:rsidRPr="008A2E5A" w:rsidRDefault="007B68CB" w:rsidP="007B68CB">
      <w:pPr>
        <w:spacing w:after="0" w:line="240" w:lineRule="auto"/>
        <w:jc w:val="both"/>
        <w:rPr>
          <w:rFonts w:ascii="Times New Roman" w:hAnsi="Times New Roman"/>
          <w:color w:val="0070C0"/>
          <w:sz w:val="16"/>
          <w:szCs w:val="16"/>
        </w:rPr>
      </w:pPr>
    </w:p>
    <w:p w14:paraId="2B3B8A4D"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 январь 1942 года завод № 37 в Свердловске сдал 100 танков, все Т-30, с корпусами из задела. Корпусное производство только налаживалось, максимум, что удалось на тот момент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начать ставить экраны. Всего за январь поставили 51 комплект экранов. Военная приемка констатировала, что поставщики систематически не выполняли план. Из 350 моторов ГАЗ-11 модель 202 за январь не прибыло ни одного. Имелись проблемы и на местах. Квалификация рабочих оценивалась как низкая. Отдел главного конструктора существовал номинально, поэтому представители ГАБТУ КА предлагали сменить руководство, поставив вместо Постникова кого-то другого. Лишь в феврале 1942 года Т-60, наконец, встал на производство в Свердловске. Из 147 танков, сданных заводом №37 за февраль, 67 являлись Т-60, кроме того, было принято 125 новых корпусов.</w:t>
      </w:r>
    </w:p>
    <w:p w14:paraId="26357E2C"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Поначалу свердловские Т-60 ничем не отличались от эталонных ГАЗ-овских машин. Несмотря на то, что по утолщенным корпусам и башням работы проводились, фактически в работу пошли экранированные комплекты. Занятным моментом стало то, что в определенный момент завод перешел с серийных номеров 30XX на 10XXX. Вот только, в отличие от завода №38, где Т-30 и Т-60 по серийным номерам отличались, со свердловскими танками ситуация сложилась иначе. Там просто в какой-то момент взяли и перешли на новые номера, по ним Т-30 и Т-60 не отличались. Впрочем, выглядел свердловский Т-60, как все, недолго. Дело в том, что отдел "22", после критики со стороны ГАБТУ КА, подвергся реформированию (23355).</w:t>
      </w:r>
    </w:p>
    <w:p w14:paraId="6D361B6C"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по март 1942 года завод № 37 недополучил 664 мотора ГАЗ-11 модель 202 (23347).</w:t>
      </w:r>
    </w:p>
    <w:p w14:paraId="4FC6FC57" w14:textId="77777777" w:rsidR="007B68CB" w:rsidRPr="008A2E5A" w:rsidRDefault="007B68CB" w:rsidP="007B68CB">
      <w:pPr>
        <w:spacing w:after="0" w:line="240" w:lineRule="auto"/>
        <w:jc w:val="both"/>
        <w:rPr>
          <w:rFonts w:ascii="Times New Roman" w:hAnsi="Times New Roman"/>
          <w:color w:val="0070C0"/>
          <w:sz w:val="16"/>
          <w:szCs w:val="16"/>
        </w:rPr>
      </w:pPr>
    </w:p>
    <w:p w14:paraId="1FCB640F"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отделом "22" завода № 37 отрабатывалась конструкция съемных плицей-уширителей траков. Плицы штампованной конструкции прикручивались к штатному траку Т-60 на болтах. Причиной их появления стали низкие снегоходные качества Т-30, Т-40 и Т-60. Испытания, проведенные с 27 марта по 7 апреля 1942 года,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поскольку отмечалось недостаточное сцепление и низкая надежность. За 150 километров испытаний было сломано 73 плицы (23355).</w:t>
      </w:r>
    </w:p>
    <w:p w14:paraId="58CA4DBE" w14:textId="77777777" w:rsidR="007B68CB" w:rsidRPr="008A2E5A" w:rsidRDefault="007B68CB" w:rsidP="007B68CB">
      <w:pPr>
        <w:spacing w:after="0" w:line="240" w:lineRule="auto"/>
        <w:jc w:val="both"/>
        <w:rPr>
          <w:rFonts w:ascii="Times New Roman" w:hAnsi="Times New Roman"/>
          <w:color w:val="0070C0"/>
          <w:sz w:val="16"/>
          <w:szCs w:val="16"/>
        </w:rPr>
      </w:pPr>
    </w:p>
    <w:p w14:paraId="64155800"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января 1942 завод "Красный Октябрь" начал реальные поставки корпусов Т-60 заводу № 264, причем цифры явно не бились с планами. Вместо 200 корпусов завод прислал 92, причем они были такие, что в Красноармейске приходилось корпуса с башнями дорабатывать. Отдельно стоит упомянуть внешний вид изделий "Красного Октября". Помимо того, что выглядели эти корпуса весьма грубо, так еще и со штамповкой на заводе дела обстояли плохо. Посему от округлых форм люков и воздуховодов там очень быстро перешли к угловатым конструкциям. 8-гранные створки люков, а также повсеместный переход от заклепок к грубой сварке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визитная карточка "Красного Октября". Традиционно срывал объемы поставок и СТЗ. Итог закономерен: вместо 240 танков завод №264 сдал 101. В свою очередь, завод №264 сдал 250 корпусов и 255 башен Т-34 (23360).</w:t>
      </w:r>
    </w:p>
    <w:p w14:paraId="21DDDA02" w14:textId="77777777" w:rsidR="007B68CB" w:rsidRPr="008A2E5A" w:rsidRDefault="007B68CB" w:rsidP="007B68CB">
      <w:pPr>
        <w:spacing w:after="0" w:line="240" w:lineRule="auto"/>
        <w:jc w:val="both"/>
        <w:rPr>
          <w:rFonts w:ascii="Times New Roman" w:hAnsi="Times New Roman"/>
          <w:color w:val="0070C0"/>
          <w:sz w:val="16"/>
          <w:szCs w:val="16"/>
        </w:rPr>
      </w:pPr>
    </w:p>
    <w:p w14:paraId="570148AE"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военпред военинженер 2-го ранга Плахов указывал, что на заводе № 264 кончились катки с обрезинкой (23360).</w:t>
      </w:r>
    </w:p>
    <w:p w14:paraId="674E1FC3" w14:textId="77777777" w:rsidR="007B68CB" w:rsidRPr="008A2E5A" w:rsidRDefault="007B68CB" w:rsidP="007B68CB">
      <w:pPr>
        <w:spacing w:after="0" w:line="240" w:lineRule="auto"/>
        <w:jc w:val="both"/>
        <w:rPr>
          <w:rFonts w:ascii="Times New Roman" w:hAnsi="Times New Roman"/>
          <w:color w:val="0070C0"/>
          <w:sz w:val="16"/>
          <w:szCs w:val="16"/>
        </w:rPr>
      </w:pPr>
    </w:p>
    <w:p w14:paraId="3B2572E7"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заводе № 183 на двух установках для автоматической сварки началась сварка бортов корпуса Т-34. Корпус этого танка требовал большого объема сварочных работ. Днище и подкрылок приваривались к борту двумя мощными швами длиной более 5 метров. На эту работу квалифицированный сварщик затрачивал около 20 часов. Сварочный же автомат, управляемый учеником-подростком, мог выполнить эту работу за 2 часа.</w:t>
      </w:r>
    </w:p>
    <w:p w14:paraId="26B5D373"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Институт электросварки АН УССР под руководством Е.О. Патона был эвакуирован в Нижний Тагид. Работа на новом месте началась с создания собственной производственной базы для изготовления сварочных головок, электрической и флюсовой аппаратуры. Проектное бюро института занялось проектированием установок для автоматической сварки корпусов тяжелых танков КВ, средних Т-34 и легких Т-60 и Т-70. Специалисты Института электросварки впервые в мире решили сложнейшие научные и технические задачи, связанные с автоматической сваркой брони, разработали совершенную технологию и необходимое оборудование. До конца 1941 года были смонтированы и пущены в эксплуатацию девять автоматических установок для сварки отдельных узлов танков, разработан технологический процесс, смонтированы и пущены установки для скоростной сварки авиабомб, подготовлены сварщики, работающие на автоматах, и мастера-наладчики.</w:t>
      </w:r>
    </w:p>
    <w:p w14:paraId="287D99DA" w14:textId="2A153ED8"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инициативе Е.О. Патона на заводе № 183 в Нижнем Тагиле была введена в действие первая в мире поточная линия производства бронекорпусов танков. С июля 1942 г. конвейер для сварки корпусов, где действовало 19 установок для автоматической сварки под флюсом, был отлажен и работал бесперебойно. Это позволило высвободить для других работ 280 высококвалифицированных сварщиков, которых заменили 57 рабочих более низкой квалификации.</w:t>
      </w:r>
    </w:p>
    <w:p w14:paraId="75840713" w14:textId="62D46C38"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Е.О. Патон в докладной записке на имя секретаря отдела танковой промышленности Свердловского обкома ВКП(б) в марте 1942 г., говоря об эффекте перехода на автоматическую сварку ряда швов корпуса танка Т-34, указывал на следующие положительные стороны нового метода: «Вследствие большой производительности скоростной автоматической сварки под слоем флюса сроки сварки корпусов будут заметно сокращены, причем уменьшится расход рабочей силы, электроэнергии и электродной проволоки».</w:t>
      </w:r>
    </w:p>
    <w:p w14:paraId="65105DA9"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Революционность нового метода заключалась в том, что, с одной стороны, он позволял резко повысить производительность труда и увеличить скорость сварки в несколько раз, а с другой стороны, задействовать сварщиков в гораздо меньшем количестве и низкой квалификации (см. таблицу 2.3 на с. 274). Более того, автоматическая сварка значительно повысила прочность сварочных швов и снизила количество трещин на корпусе. Также достигалась существенная экономия за счет снижения расхода электроэнергии и материалов.</w:t>
      </w:r>
    </w:p>
    <w:p w14:paraId="3FE5FCAD"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Исследователь С.В. Устьянцев ставит под сомнение высокую эффективность автоматической сварки. Сергей Викторович справедливо указывает, что на УТЗ в общем объеме сварочных работ автосварка значительно уступала ручной:</w:t>
      </w:r>
    </w:p>
    <w:p w14:paraId="751B6258"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только 23 % веса наплавленного металла по корпусу Т-34 (30 % - по башне);</w:t>
      </w:r>
    </w:p>
    <w:p w14:paraId="3698C095" w14:textId="77777777" w:rsidR="007B68CB" w:rsidRPr="008A2E5A" w:rsidRDefault="007B68CB" w:rsidP="007B68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целом суммарная длина швов, выполненных автоматической сваркой, на корпусе и башне Т-34 была меньше сделанных ручной сваркой почти в 8 раз (23536).</w:t>
      </w:r>
    </w:p>
    <w:p w14:paraId="1D20DC4A" w14:textId="77777777" w:rsidR="007B68CB" w:rsidRPr="008A2E5A" w:rsidRDefault="007B68CB" w:rsidP="007B68CB">
      <w:pPr>
        <w:spacing w:after="0" w:line="240" w:lineRule="auto"/>
        <w:jc w:val="both"/>
        <w:rPr>
          <w:rFonts w:ascii="Times New Roman" w:hAnsi="Times New Roman"/>
          <w:color w:val="0070C0"/>
          <w:sz w:val="16"/>
          <w:szCs w:val="16"/>
        </w:rPr>
      </w:pPr>
    </w:p>
    <w:p w14:paraId="676BCD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УТХ N 183 было выпущено 75 машин, в феврале -140, в марте - 225, в апреле - 380. Максимальный месячный выпуск -758 машин - был достигнут в декабре 1942 (3905).</w:t>
      </w:r>
    </w:p>
    <w:p w14:paraId="2DC43F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D396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прошло первое испытание для проверки технологии и работы оборудования. Результаты оказались хорошими, производительность сварки автоматом оказалась в десять раз выше, чем традиционной ручной.</w:t>
      </w:r>
    </w:p>
    <w:p w14:paraId="482104A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освоения сварки бортов на двух автоматических установках, на заводе № 183 постепенно перешли и на автоматическую сварку носового узла танка, картеров бортовых редукторов, крыши башни, командирской башенки, ободов опорных катков и некоторых других узлов.</w:t>
      </w:r>
    </w:p>
    <w:p w14:paraId="35BC76C0"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Помимо увеличения скорости выполнения работ, еще одним важным преимуществом автоматической сварки была возможность использовать для этой работы людей, не имеющих специальной подготовки даже подростков и девушек - больших физических усилий здесь не требовалось.</w:t>
      </w:r>
    </w:p>
    <w:p w14:paraId="1A2475C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1942 года на заводе № 183 имелось шесть автоматических установок, через год - 15, а еще через год - 30 штук. С середины 1942 года аналогичные установки стали устанавливать и вводить в строй и на других танковых заводах.</w:t>
      </w:r>
    </w:p>
    <w:p w14:paraId="03C7E8FB"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применению автоматической сварки под флюсом трудоемкость изготовления корпуса танка Т-34 снизилась в пять раз, что позволило только на заводе № 183 освободить для других работ 250 квалифицированных сварщиков (12217).</w:t>
      </w:r>
    </w:p>
    <w:p w14:paraId="27419ECE"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1B761277"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w:t>
      </w:r>
    </w:p>
    <w:p w14:paraId="1BAF199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по новому методу изготовления бронекорпуса танка Т-34 говорилось (отчет по корпусу датирован январем 1942 года):</w:t>
      </w:r>
    </w:p>
    <w:p w14:paraId="2775EF8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Разработан новый, значительно более простой режим термической термообработки брони высокой твердости. Применение нового режима и многорядная посадка в закалочную печь позволяет увеличить производительность термической печи с 20 тн/м2 в месяц до 50 тп/м2 в месяц, т.е. в два с половиной раза.</w:t>
      </w:r>
    </w:p>
    <w:p w14:paraId="7272EBE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Разработан новый метод соединения бронедеталей в «шип». Который в сочетании с введением чистовой газовой вырезки позволил сократить общее время мехобработ- ки основных бронедеталей корпуса с 198,9 станко-часов до 36 станко-</w:t>
      </w:r>
      <w:proofErr w:type="gramStart"/>
      <w:r w:rsidRPr="008127F8">
        <w:rPr>
          <w:rFonts w:ascii="Times New Roman" w:hAnsi="Times New Roman"/>
          <w:color w:val="000000" w:themeColor="text1"/>
          <w:sz w:val="16"/>
          <w:szCs w:val="16"/>
        </w:rPr>
        <w:t>ча- са</w:t>
      </w:r>
      <w:proofErr w:type="gramEnd"/>
      <w:r w:rsidRPr="008127F8">
        <w:rPr>
          <w:rFonts w:ascii="Times New Roman" w:hAnsi="Times New Roman"/>
          <w:color w:val="000000" w:themeColor="text1"/>
          <w:sz w:val="16"/>
          <w:szCs w:val="16"/>
        </w:rPr>
        <w:t xml:space="preserve"> (в пять с половиной раз).</w:t>
      </w:r>
    </w:p>
    <w:p w14:paraId="3DD1D3C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Полигонные испытания корпуса Т-34 с новым типом соединения показали высокое качество сварных узлов корпуса.</w:t>
      </w:r>
    </w:p>
    <w:p w14:paraId="35B6CD6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основе новой технологии сокращен цикл изготовления бронедеталей корпуса с 45 суток до 20 суток. т.е. более чем в два раза.</w:t>
      </w:r>
    </w:p>
    <w:p w14:paraId="40F33DF7"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Внесен целый ряд конструктивных изменений отдельных деталей и узлов корпуса.</w:t>
      </w:r>
    </w:p>
    <w:p w14:paraId="4E9CFA21"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технология изготовления корпуса танка Т-34 значительно упростила изготовление его и явилась одним из основных факторов, позволивших заводу 264 резко увеличить производство корпусов.</w:t>
      </w:r>
    </w:p>
    <w:p w14:paraId="7734B62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месяце 1942 выпуск башен Т-34 по сравнению с маем 1941 года увеличился более чем в 35 раз, поэтому мы рекомендуем разработанные нами технологические и конструктивные принципы всем заводам Советского Союза для увеличения выпуска столь необходимых танков для скорейшей победы над врагом».</w:t>
      </w:r>
    </w:p>
    <w:p w14:paraId="3C3DD5A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Сварная башня для танка Т-34 выпуска 1941 года была очень сложной конструкцией, требовавшей соответствовавшего оборудования и хорошо подготовленных кадров. Техпроцесс сборки такой башни был разработан на Мариупольском заводе имени Ильича. По такому же техпроцессу изготавливали башни и на заводе № 264. После эвакуации Мариуполя основная тяжесть производства сварных башен легла на завод в Сарепте, но последний не имел такого оборудования, как на заводе имени Ильича. Для увеличения выпуска башен срочно требовалось изменение технологии. Данная работа была проведена совместно инженерами завода № 264 и НИИ-48 под руководством директора механического завода ОСОБСТРОЯ НКВД (бывший главный инженер завода № 264) М.А. Каневского, главного технолога завода № 264 В.И. Орлова, заместителя главного металлурга завода № 264 старшего инженера НИИ-48 А.П. Коф- мана, начальника бюро технического планирования Б.З. Эльянова и начальника сварочного бюро завода № 264 старшего инженера НИИ-48 П.В. Пильняка.</w:t>
      </w:r>
    </w:p>
    <w:p w14:paraId="2B3A6AD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Дело в том, что конфигурация основных деталей башни Т-34 была весьма сложная, поэтому их механическая обработка и особенно правка, после закалки представляла очень сложную операцию (только время, требуемое </w:t>
      </w:r>
      <w:proofErr w:type="gramStart"/>
      <w:r w:rsidRPr="008127F8">
        <w:rPr>
          <w:rFonts w:ascii="Times New Roman" w:hAnsi="Times New Roman"/>
          <w:color w:val="000000" w:themeColor="text1"/>
          <w:sz w:val="16"/>
          <w:szCs w:val="16"/>
        </w:rPr>
        <w:t>на правку</w:t>
      </w:r>
      <w:proofErr w:type="gramEnd"/>
      <w:r w:rsidRPr="008127F8">
        <w:rPr>
          <w:rFonts w:ascii="Times New Roman" w:hAnsi="Times New Roman"/>
          <w:color w:val="000000" w:themeColor="text1"/>
          <w:sz w:val="16"/>
          <w:szCs w:val="16"/>
        </w:rPr>
        <w:t xml:space="preserve"> составляло почти 28 часов). Кроме того, правка 45 мм бронедеталей в закаленном состоянии требовала мощных прессов, которые требовались для изготовления других деталей. Суть нового метода заключалась в том, что при изготовлении бронеконструкций отказывались от таких сложных операций, как строжка и фрезерование кромок бронелис- тов, и предлагалось использование их соединения в «шип». После сборки башни производилась ее закалка (в собранном виде), после чего совершенно не требовалась правка. ПОСЛЕ внедрения такого метода завод № 264 стал экономить на сборке башен около 300 прессо-часов в сутки. Кроне того, сборка башен из сырых (незакаленных) деталей значительно упрощалась, так как при этом можно без проблем использовать газовую резку, пневматические зубила и т.п. в результате чего механическая обработка сводиласъ к минимуму. Наибольшая экономия при сборке башен по новому методу времени происходила по строжке (с 19,15 до 1,5 часов), фрезерным (с 21,6 до 1 часа) и карусельным (с 20,4 до 1 часа) работам, для которых требовалось самое дефицитное оборудование.</w:t>
      </w:r>
    </w:p>
    <w:p w14:paraId="7B22A282"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1941 в своих выводах по новому методу изготовления башен на заводе № 264 говорилось:</w:t>
      </w:r>
    </w:p>
    <w:p w14:paraId="7AC1499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«Преимущества изготовления башни Т-34 из незакаленных деталей с последующей закалкой:</w:t>
      </w:r>
    </w:p>
    <w:p w14:paraId="64310324"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Уничтожается необходимость правки деталей после калки. Правка 45 мм деталей башни из брони высокой твердости является весьма трудоемкой операцией, требующей 28 прессо-часов для правки одного комплекта.</w:t>
      </w:r>
    </w:p>
    <w:p w14:paraId="47525B7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 сборке башни из незакаленных деталей значительно упростилась технология изготовления деталей, потребное время для мехобра- ботки, снизилось в 4 раза (с 76,8 станко-часов доведена до 18,8 стан- ко-часов).</w:t>
      </w:r>
    </w:p>
    <w:p w14:paraId="3D8BA079"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Механическая прочность сварных швов значительно увеличивается, так как уничтожаются различные зоны в металле, образующиеся после сварки.</w:t>
      </w:r>
    </w:p>
    <w:p w14:paraId="30981D4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закалка башен в собранном виде повышает производительность термических печей.</w:t>
      </w:r>
    </w:p>
    <w:p w14:paraId="56A8B032"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новой технологии заводом № 264 изготовлено более 100 башен (отчет по новому методу изготовления башен датирован ноябрем 1941 года. - Прим. автора) и при этом неизменно получались хорошие результаты, поэтому считаем необходимым рекомендовать заводам Танкостроения применять этот метод при изготовлении различных узлов из брони высокой твердости для всех танков, изготовляемых нашей промышленностью».</w:t>
      </w:r>
    </w:p>
    <w:p w14:paraId="207C41D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изготовлении корпуса по новому методу предлагалось сократить режим термообработки деталей, внести в конструкцию последних ряд изменений, использовать газовую резку без последующей обработки кромок, а также, как и в конструкции башни, производить соединение бронелистов в «шип».</w:t>
      </w:r>
    </w:p>
    <w:p w14:paraId="59F76AA3"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использовании нового метода значительно упрощалась термообработка бронедеталей, так как технология завода имени Ильича оказалась мало применимой на заводе № 264 — на последнем не имелось нужного количества закалочных ванн и отпускных печей. Применение соединения в «шип» и отмена обработки кромок позволили отказаться от высокого отпуска, так как проведенные опыты показали, что можно значительно сократить время низкого отпуска для деталей из стали 8с. Кроме того, теперь можно было загружать детали для закалки в печь в несколько рядов, что позволяло выиграть время для их изготовления.</w:t>
      </w:r>
    </w:p>
    <w:p w14:paraId="03C2E7A1"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 все-таки основными операциями, позволившими сократить производственный цикл выпуска корпусов и башен по новому методу, являлась отмена строжки кромок и соединение деталей в «шип». Справедливости ради следует сказать, что автором, предложившим введение этих операций </w:t>
      </w:r>
      <w:proofErr w:type="gramStart"/>
      <w:r w:rsidRPr="008127F8">
        <w:rPr>
          <w:rFonts w:ascii="Times New Roman" w:hAnsi="Times New Roman"/>
          <w:color w:val="000000" w:themeColor="text1"/>
          <w:sz w:val="16"/>
          <w:szCs w:val="16"/>
        </w:rPr>
        <w:t>вместо используемых</w:t>
      </w:r>
      <w:proofErr w:type="gramEnd"/>
      <w:r w:rsidRPr="008127F8">
        <w:rPr>
          <w:rFonts w:ascii="Times New Roman" w:hAnsi="Times New Roman"/>
          <w:color w:val="000000" w:themeColor="text1"/>
          <w:sz w:val="16"/>
          <w:szCs w:val="16"/>
        </w:rPr>
        <w:t xml:space="preserve"> ранее был старший военпред ГАБТУ КА на заводе № 264 военинженер 3-го ранга Морозов. Используя </w:t>
      </w:r>
      <w:proofErr w:type="gramStart"/>
      <w:r w:rsidRPr="008127F8">
        <w:rPr>
          <w:rFonts w:ascii="Times New Roman" w:hAnsi="Times New Roman"/>
          <w:color w:val="000000" w:themeColor="text1"/>
          <w:sz w:val="16"/>
          <w:szCs w:val="16"/>
        </w:rPr>
        <w:t>его предложения</w:t>
      </w:r>
      <w:proofErr w:type="gramEnd"/>
      <w:r w:rsidRPr="008127F8">
        <w:rPr>
          <w:rFonts w:ascii="Times New Roman" w:hAnsi="Times New Roman"/>
          <w:color w:val="000000" w:themeColor="text1"/>
          <w:sz w:val="16"/>
          <w:szCs w:val="16"/>
        </w:rPr>
        <w:t xml:space="preserve"> группа инженеров завода № 264 и НИИ-48 (о чем говорилось выше) разработала новый метод изготовления бронекорпуса и башни.</w:t>
      </w:r>
    </w:p>
    <w:p w14:paraId="673CBAF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время, потребное для изготовления одного комплекта сокращалось со 199 до 36 станко-часов - в пять с половиной раз! Кроме того, завод № 264 провел исследования по возможности газовой резки уже закаленных деталей, давшие положительный результат. Это в последующем позволило сократить цикл сборки бронекорпуса с 216 до 48, а в некоторых случаях до 36 часов (12217).</w:t>
      </w:r>
    </w:p>
    <w:p w14:paraId="1FDE8242"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3637EB9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года в связи с резким сокращением поставок резиновых бандажей для опорных катков с Ярославского резинокомбината на тридцатьчетверки ставили литые опорные катки с внутренней амортизацией, спроектированные на СТЗ осенью 1941 года. При этом как правило первый и последний катки старались ставить с резиновым бандажом. Такое решение позволяло сэкономить до полутоны резины на каждый танк. От катков с внутренней амортизацией отказались только в сентябре 1943 года, когда исчез дефицит резины.</w:t>
      </w:r>
    </w:p>
    <w:p w14:paraId="1A5653A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Вводились и другие упрощения. Например, наркомат танковой промышленности совместно с главным конструктором и главным технологом завода № 183 проработали в сторону упрощения и сокращения механической обработки ряд деталей и механизмов Т-34. В результате значительно сократилось время по механической обработке и освободился ряд дефицитного оборудования, например:</w:t>
      </w:r>
    </w:p>
    <w:p w14:paraId="7CD500C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вместо применяемого ранее метода соединения листов брони в четверть перешли на соединение листов в стык, что уменьшало время сборки до 200 часов на машину, при этом механическая прочность не снижалась;</w:t>
      </w:r>
    </w:p>
    <w:p w14:paraId="128C49A2"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целях сокращения трудоемкое - ти механической обработки и освобождения прессового оборудования, детали ходовой части - механизм натяжения гусениц, ведущее колесо и др. были переведены на литье. Причем опорные катки и ведущее колесо отливали как одно целое ступицы с диском. Также отменялась «как излишняя деталь» втулка ролика ведущего колеса. Такие рекомендации рассылались НКТП по другим заводам для внедрения в производство.</w:t>
      </w:r>
    </w:p>
    <w:p w14:paraId="2AF19642"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Большая заслуга в увеличении выпуска танков Т-34 в годы Великой Отечественной войны принадлежит академику Евгению Оскаровичу Патону, разработавшему метод автоматической сварки под флюсом. Внедренный сначала на заводе № 183, а затем на других предприятиях, этот метод позволил значительно увеличить выпуск продукции.</w:t>
      </w:r>
    </w:p>
    <w:p w14:paraId="111E239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Возглавляемый Патоном Институт электросварки Академии наук УССР в июле - августе 1941 года по распоряжению СНК СССР эвакуировали в Нижний Тагил. С первых дней работы на Урале Евгений Оскарович направил все усилия коллектива института на разработку вопросов сварки под флюсом специальных броневых сталей для применения ее при производстве танков.</w:t>
      </w:r>
    </w:p>
    <w:p w14:paraId="4C491C5F"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кое-какой опыт у коллектива института уже имелся - еще до войны здесь разработали и внедрили в производство автоматическую сварку под флюсом при изготовлении железнодорожных вагонов-цистерн. Естественно, в конструкции последних использовалась другая сталь, нежели чем в танках, да и толщина материала различалась. Но самое главное, метод-то уже работал!</w:t>
      </w:r>
    </w:p>
    <w:p w14:paraId="2BD2364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Бригада технологов под руководством В. Дятлова начала изучение вопроса возможности сварки брони, при этом основным вопросом, который предстояло решить, было образование трещин в металлах сварного шва и в зонах термического влияния.</w:t>
      </w:r>
    </w:p>
    <w:p w14:paraId="3A797D30"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Параллельно с этим под руководством главного конструктора института П. Севбо, при активном участии инженеров Ф. Руденко и Рубчинско- го, а также главного механика и главного энергетика корпусного отдела завода № 183 велось проектирование. изготовление и монтаж двух установок для сварки борта корпуса танка Т-34 с подкрылком (12217).</w:t>
      </w:r>
    </w:p>
    <w:p w14:paraId="61C47F24"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4A4E66B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нового, 1942 года Сталинградский тракторный завод сумел добиться существенных успехов и в двигателестроении, изготовив за месяц 225 дизелей В-2 - вдвое больше, чем в декабре. Правда, по заявлению дирекции выпуск мог бы быть и большим, если бы не отсутствие топливной аппаратуры. Из-за ее недостатка задерживалось испытание готовых моторов, а часть собранных (30 штук) смонтировали в танки вообще без топливной аппаратуры. Ее устанавливали дополнительно, по мере поступления </w:t>
      </w:r>
      <w:proofErr w:type="gramStart"/>
      <w:r w:rsidRPr="008127F8">
        <w:rPr>
          <w:rFonts w:ascii="Times New Roman" w:hAnsi="Times New Roman"/>
          <w:color w:val="000000" w:themeColor="text1"/>
          <w:sz w:val="16"/>
          <w:szCs w:val="16"/>
        </w:rPr>
        <w:t>от завод</w:t>
      </w:r>
      <w:proofErr w:type="gramEnd"/>
      <w:r w:rsidRPr="008127F8">
        <w:rPr>
          <w:rFonts w:ascii="Times New Roman" w:hAnsi="Times New Roman"/>
          <w:color w:val="000000" w:themeColor="text1"/>
          <w:sz w:val="16"/>
          <w:szCs w:val="16"/>
        </w:rPr>
        <w:t xml:space="preserve"> ов-поставщиков. Кроме того, из-за отсутствия тяжелого молота СТЗ не освоил производство поковок коленчатых валов, из-за чего имелся большой процент брака. А заводы-смежники в течение месяца поставили всего 80 таких изделий (12217).</w:t>
      </w:r>
    </w:p>
    <w:p w14:paraId="3CC73DC4"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42996663"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январь 1942 на СТЗ было принято 244 машины, 134 из которых, несмотря на рост выпуска дизелей, получили карбюраторные моторы М-17. Кроме того, из 244 тридцатьчетверок 56 были приняты без пушек, так как последние прибыли только 31 января.</w:t>
      </w:r>
    </w:p>
    <w:p w14:paraId="11F9CA2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обстоятельство вызвало большой скандал. Дело в том</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данный факт не прошел мимо особого отдела по Сталинградскому военному округу, и на имя Кобулова и Федоренко ушло спецсообщение за подписью начальника 3-го отдела управления особых отделов НКВД СССР майора госбезопсности Рогова, в котором говорилось:</w:t>
      </w:r>
    </w:p>
    <w:p w14:paraId="36CDA42B"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«Особый отдел НКВД Сталинградского военного округа сообщил, что старший военпред Сталинградского тракторного завода военинженер 2-го ранга Левин и дирекция завода представляют Наркомату Обороны и Наркомату Танковой промышленности завышенные данные о выпуске танков.</w:t>
      </w:r>
    </w:p>
    <w:p w14:paraId="0A1FE994"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месяце с.г. завод должен был выпустить 308 танков. Военпред Левин сообщил в ГАБТУ КА, что военной приемкой принято за январь месяц, как окончательно изготовленные, 244 танка. Фактически же было готово и укомплектовано только 182 танка, а 62 машины находились в цехах на сборке, т.к. на них не были установлены башни, артиллерийское вооружение, прицелы и т.д.</w:t>
      </w:r>
    </w:p>
    <w:p w14:paraId="05509215"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инженер СТЗ - Демьянович дал гарантийное письмо Левину, которым обязался неоконченные производством машины изготовить к 5 февраля с.г., однако к этому сроку из 62 машин были готовы только 32, остальные доделывались заводом в разные сроки до 17 февраля.</w:t>
      </w:r>
    </w:p>
    <w:p w14:paraId="7F00F5C2"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Будучи вызван 7 февраля с.г. в Особый отдел НКВД Ст. ВО военпред Левин подтвердил, что сведения о выполнении заводом плана выпуска танков НКО и НКТП были даны неверные, так как он оформил приемкой </w:t>
      </w:r>
      <w:proofErr w:type="gramStart"/>
      <w:r w:rsidRPr="008127F8">
        <w:rPr>
          <w:rFonts w:ascii="Times New Roman" w:hAnsi="Times New Roman"/>
          <w:color w:val="000000" w:themeColor="text1"/>
          <w:sz w:val="16"/>
          <w:szCs w:val="16"/>
        </w:rPr>
        <w:t>машины</w:t>
      </w:r>
      <w:proofErr w:type="gramEnd"/>
      <w:r w:rsidRPr="008127F8">
        <w:rPr>
          <w:rFonts w:ascii="Times New Roman" w:hAnsi="Times New Roman"/>
          <w:color w:val="000000" w:themeColor="text1"/>
          <w:sz w:val="16"/>
          <w:szCs w:val="16"/>
        </w:rPr>
        <w:t xml:space="preserve"> еще не оконченные производством. Левин объяснил это тем, что не хотел допустить, чтобы февральская программа была выполнена заводом в счет январских заделов. При этом Левин ссылался, что принять неготовые танки ему, якобы, разрешил начальник ГАБТУ КА т. Федоренко, что наведенными нами справками не подтвердилось.</w:t>
      </w:r>
    </w:p>
    <w:p w14:paraId="62E11447"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 очковтирательства со стороны дирекции завода повторился 15.2.42 г. Наркомату танковой промышленности дирекция сообщила о том, что за первую половину февраля завод выпустил 132 танка, из которых принято военпредом после пробега 130 машин. Фактически же с конвейера было снято 128 танков, из них военпредом после пробега принято было только 110 танков.</w:t>
      </w:r>
    </w:p>
    <w:p w14:paraId="6FD3CAE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Считаем необходимым Левина и конкретных виновников из состава дирекции завода привлечь к ответственности».</w:t>
      </w:r>
    </w:p>
    <w:p w14:paraId="2B1CA57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этом письме начальник ГАБТУ КА Федоренко наложил следующую резолюцию:</w:t>
      </w:r>
    </w:p>
    <w:p w14:paraId="050579A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Коробкову. Разберитесь и доложите для наложения взыскания».</w:t>
      </w:r>
    </w:p>
    <w:p w14:paraId="3E192CA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Справедливости ради надо отметить, что ГАБТУ КА своего военпреда на СТЗ не оставило. Начальник БТУ Главного автобронетанкового управления генерал-майор Коробков направил на имя майора госбезопасности Рогова следующее письмо:</w:t>
      </w:r>
    </w:p>
    <w:p w14:paraId="66D2B77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Ваш № 16/7358 сообщаю, что на Сталинградском Тракторном заводе за январь месяц ст. военпредом тов. Левиным принято, как окончательно изготовленных, 244 танка, из них 56 танков было принято без пушек ввиду отсутствия на заводе.</w:t>
      </w:r>
    </w:p>
    <w:p w14:paraId="3CD638C9"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военпреду тов. Левину было разрешено: «готовые машины январского выпуска не имеющие артсис- тем из-за их отсутствия на заводе, принять взяв обязательство от завода немедленно установить системы по прибытии последних на завод».</w:t>
      </w:r>
    </w:p>
    <w:p w14:paraId="014D52F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этих 56 машинах действительно не были установлены башни, так как они устанавливаются по технологическому процессу после монтажа на них вооружения и оптики. В остальном же машины были укомплектованы</w:t>
      </w:r>
    </w:p>
    <w:p w14:paraId="0E7455F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инженер завода СТЗ тов. Демьянович своего гарантийного обязательства действительно не выполнил, за что тов. Левин получил предупреждение, и если подобные случаи повторяться, то он понесет более суровое наказание (12217).</w:t>
      </w:r>
    </w:p>
    <w:p w14:paraId="20130A8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первую половину февраля, по донесению тов. Левина, им принято окончательно 43 танка и 130 воен- предовским пробегом, что и было показано в официальной сводке за 15 дней февраля. Остальные машины стояли на заводе без систем, т.к. последние поступают на завод очень плохо и в настоящее время, вследствие задержки транспортом.</w:t>
      </w:r>
    </w:p>
    <w:p w14:paraId="15888114"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Поставка вооружения на танковые заводы идет с большими перебоями и задерживает выпуск танков».</w:t>
      </w:r>
    </w:p>
    <w:p w14:paraId="30CCA0C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уже говорилось, получил предупреждение и Левин:</w:t>
      </w:r>
    </w:p>
    <w:p w14:paraId="3541304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«Предупреждаю, - писал Коробков, -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если в дальнейшем будут иметь место подобные факты в задержке сдачи танков и даваться неправильные сведения по выполнению программы, Вы будете привлечены к более суровой ответственности» (12217).</w:t>
      </w:r>
    </w:p>
    <w:p w14:paraId="20E5C92E"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2A63C071"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январе 1942 года советская военная комиссия посетила завод Old Park Works Wednesbury в Бирмингеме. Завод</w:t>
      </w:r>
      <w:r w:rsidRPr="008127F8">
        <w:rPr>
          <w:rFonts w:ascii="Times New Roman" w:eastAsia="Times New Roman" w:hAnsi="Times New Roman"/>
          <w:color w:val="000000" w:themeColor="text1"/>
          <w:sz w:val="16"/>
          <w:szCs w:val="16"/>
          <w:lang w:val="en-US" w:eastAsia="ru-RU"/>
        </w:rPr>
        <w:t xml:space="preserve"> </w:t>
      </w:r>
      <w:r w:rsidRPr="008127F8">
        <w:rPr>
          <w:rFonts w:ascii="Times New Roman" w:eastAsia="Times New Roman" w:hAnsi="Times New Roman"/>
          <w:color w:val="000000" w:themeColor="text1"/>
          <w:sz w:val="16"/>
          <w:szCs w:val="16"/>
          <w:lang w:eastAsia="ru-RU"/>
        </w:rPr>
        <w:t>этот</w:t>
      </w:r>
      <w:r w:rsidRPr="008127F8">
        <w:rPr>
          <w:rFonts w:ascii="Times New Roman" w:eastAsia="Times New Roman" w:hAnsi="Times New Roman"/>
          <w:color w:val="000000" w:themeColor="text1"/>
          <w:sz w:val="16"/>
          <w:szCs w:val="16"/>
          <w:lang w:val="en-US" w:eastAsia="ru-RU"/>
        </w:rPr>
        <w:t xml:space="preserve"> </w:t>
      </w:r>
      <w:r w:rsidRPr="008127F8">
        <w:rPr>
          <w:rFonts w:ascii="Times New Roman" w:eastAsia="Times New Roman" w:hAnsi="Times New Roman"/>
          <w:color w:val="000000" w:themeColor="text1"/>
          <w:sz w:val="16"/>
          <w:szCs w:val="16"/>
          <w:lang w:eastAsia="ru-RU"/>
        </w:rPr>
        <w:t>входил</w:t>
      </w:r>
      <w:r w:rsidRPr="008127F8">
        <w:rPr>
          <w:rFonts w:ascii="Times New Roman" w:eastAsia="Times New Roman" w:hAnsi="Times New Roman"/>
          <w:color w:val="000000" w:themeColor="text1"/>
          <w:sz w:val="16"/>
          <w:szCs w:val="16"/>
          <w:lang w:val="en-US" w:eastAsia="ru-RU"/>
        </w:rPr>
        <w:t xml:space="preserve"> </w:t>
      </w:r>
      <w:r w:rsidRPr="008127F8">
        <w:rPr>
          <w:rFonts w:ascii="Times New Roman" w:eastAsia="Times New Roman" w:hAnsi="Times New Roman"/>
          <w:color w:val="000000" w:themeColor="text1"/>
          <w:sz w:val="16"/>
          <w:szCs w:val="16"/>
          <w:lang w:eastAsia="ru-RU"/>
        </w:rPr>
        <w:t>в</w:t>
      </w:r>
      <w:r w:rsidRPr="008127F8">
        <w:rPr>
          <w:rFonts w:ascii="Times New Roman" w:eastAsia="Times New Roman" w:hAnsi="Times New Roman"/>
          <w:color w:val="000000" w:themeColor="text1"/>
          <w:sz w:val="16"/>
          <w:szCs w:val="16"/>
          <w:lang w:val="en-US" w:eastAsia="ru-RU"/>
        </w:rPr>
        <w:t xml:space="preserve"> </w:t>
      </w:r>
      <w:r w:rsidRPr="008127F8">
        <w:rPr>
          <w:rFonts w:ascii="Times New Roman" w:eastAsia="Times New Roman" w:hAnsi="Times New Roman"/>
          <w:color w:val="000000" w:themeColor="text1"/>
          <w:sz w:val="16"/>
          <w:szCs w:val="16"/>
          <w:lang w:eastAsia="ru-RU"/>
        </w:rPr>
        <w:t>состав</w:t>
      </w:r>
      <w:r w:rsidRPr="008127F8">
        <w:rPr>
          <w:rFonts w:ascii="Times New Roman" w:eastAsia="Times New Roman" w:hAnsi="Times New Roman"/>
          <w:color w:val="000000" w:themeColor="text1"/>
          <w:sz w:val="16"/>
          <w:szCs w:val="16"/>
          <w:lang w:val="en-US" w:eastAsia="ru-RU"/>
        </w:rPr>
        <w:t xml:space="preserve"> Midland Railway Carriage and Wagon Company. </w:t>
      </w:r>
      <w:r w:rsidRPr="008127F8">
        <w:rPr>
          <w:rFonts w:ascii="Times New Roman" w:eastAsia="Times New Roman" w:hAnsi="Times New Roman"/>
          <w:color w:val="000000" w:themeColor="text1"/>
          <w:sz w:val="16"/>
          <w:szCs w:val="16"/>
          <w:lang w:eastAsia="ru-RU"/>
        </w:rPr>
        <w:t>Согласно данным комиссии, за неделю на нём выпускалось по 6–7 танков Churchill. В феврале советские военные попали за завод Vauxhall, который был головным разработчиком и производителем Churchill. На тот момент здесь выпускалось по 10 танков этого типа в неделю. 28–30 апреля года комиссия попала на завод Leyland, также задействованный в программе производства Churchill. По оценке комиссии, здесь производилось 7 танков в неделю.</w:t>
      </w:r>
    </w:p>
    <w:p w14:paraId="4FDA7F43" w14:textId="77777777" w:rsidR="006A63DA" w:rsidRPr="008127F8" w:rsidRDefault="006A63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Таким образом, советские военные представители смогли попасть на три из четырёх заводов, на которых выпускались Churchill. Кроме того, им удалось поприсутствовать на испытаниях Churchill IV, производство которых на тот момент только осваивалось на предприятиях (17691).</w:t>
      </w:r>
    </w:p>
    <w:p w14:paraId="0C51051F" w14:textId="77777777" w:rsidR="006A63DA" w:rsidRPr="008127F8" w:rsidRDefault="006A63DA" w:rsidP="001E0A84">
      <w:pPr>
        <w:pStyle w:val="12a"/>
        <w:shd w:val="clear" w:color="auto" w:fill="auto"/>
        <w:spacing w:after="0" w:line="240" w:lineRule="auto"/>
        <w:jc w:val="both"/>
        <w:rPr>
          <w:color w:val="000000" w:themeColor="text1"/>
          <w:sz w:val="16"/>
          <w:szCs w:val="16"/>
        </w:rPr>
      </w:pPr>
    </w:p>
    <w:p w14:paraId="1B3E34E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СТЗ испытывался второй образец дизеля В-2 с чугунным картером (верхним и нижним, для экономии дефицитного алюминия). К этому времени первый образец такого двигателя, проработав 200 часов на стенде готовился к монтажу в танк для дальнейших испытаний.</w:t>
      </w:r>
    </w:p>
    <w:p w14:paraId="3C805610"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двигателей, Сталинградский тракторный завод продолжал наращивать и выпуск танков Т-34 (12217).</w:t>
      </w:r>
    </w:p>
    <w:p w14:paraId="22727CFB"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1D31628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двигатель В-2 с чугунными картером и гильзами был принят в серию. Не</w:t>
      </w:r>
      <w:r w:rsidRPr="008127F8">
        <w:rPr>
          <w:rFonts w:ascii="Times New Roman" w:hAnsi="Times New Roman"/>
          <w:color w:val="000000" w:themeColor="text1"/>
          <w:sz w:val="16"/>
          <w:szCs w:val="16"/>
        </w:rPr>
        <w:softHyphen/>
        <w:t xml:space="preserve">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его ресурс снизился, увеличился вес дви</w:t>
      </w:r>
      <w:r w:rsidRPr="008127F8">
        <w:rPr>
          <w:rFonts w:ascii="Times New Roman" w:hAnsi="Times New Roman"/>
          <w:color w:val="000000" w:themeColor="text1"/>
          <w:sz w:val="16"/>
          <w:szCs w:val="16"/>
        </w:rPr>
        <w:softHyphen/>
        <w:t>гателя и танка, появились течи при подрывах на минах, это решение в то время было единственно правильным, так как позволило не только не остановить, но и несколько увели</w:t>
      </w:r>
      <w:r w:rsidRPr="008127F8">
        <w:rPr>
          <w:rFonts w:ascii="Times New Roman" w:hAnsi="Times New Roman"/>
          <w:color w:val="000000" w:themeColor="text1"/>
          <w:sz w:val="16"/>
          <w:szCs w:val="16"/>
        </w:rPr>
        <w:softHyphen/>
        <w:t>чить выпуск В-2. Однако их все равно не хватало. Еще до войны, разрабатывая возможную замену дизеля В-2, по Наркомату среднего машиностроения разрешалось использовать танковый мотор М-17Т или авиационный М-17Ф. Поэтому приказом по НКТП № 15сс от 18 сентября 1941 г. завод № 183 должен был в пятидневный срок отрабо</w:t>
      </w:r>
      <w:r w:rsidRPr="008127F8">
        <w:rPr>
          <w:rFonts w:ascii="Times New Roman" w:hAnsi="Times New Roman"/>
          <w:color w:val="000000" w:themeColor="text1"/>
          <w:sz w:val="16"/>
          <w:szCs w:val="16"/>
        </w:rPr>
        <w:softHyphen/>
        <w:t>тать установку авиамотора М-17 на танк Т-34 и обеспечить заводы СТЗ и № 112 необходимыми чертежами и техдоку</w:t>
      </w:r>
      <w:r w:rsidRPr="008127F8">
        <w:rPr>
          <w:rFonts w:ascii="Times New Roman" w:hAnsi="Times New Roman"/>
          <w:color w:val="000000" w:themeColor="text1"/>
          <w:sz w:val="16"/>
          <w:szCs w:val="16"/>
        </w:rPr>
        <w:softHyphen/>
        <w:t>ментацией. Однако завод № 183 в то время находился «на ко</w:t>
      </w:r>
      <w:r w:rsidRPr="008127F8">
        <w:rPr>
          <w:rFonts w:ascii="Times New Roman" w:hAnsi="Times New Roman"/>
          <w:color w:val="000000" w:themeColor="text1"/>
          <w:sz w:val="16"/>
          <w:szCs w:val="16"/>
        </w:rPr>
        <w:softHyphen/>
        <w:t xml:space="preserve">лесах» и закончить работу </w:t>
      </w:r>
      <w:proofErr w:type="gramStart"/>
      <w:r w:rsidRPr="008127F8">
        <w:rPr>
          <w:rFonts w:ascii="Times New Roman" w:hAnsi="Times New Roman"/>
          <w:color w:val="000000" w:themeColor="text1"/>
          <w:sz w:val="16"/>
          <w:szCs w:val="16"/>
        </w:rPr>
        <w:t>во время</w:t>
      </w:r>
      <w:proofErr w:type="gramEnd"/>
      <w:r w:rsidRPr="008127F8">
        <w:rPr>
          <w:rFonts w:ascii="Times New Roman" w:hAnsi="Times New Roman"/>
          <w:color w:val="000000" w:themeColor="text1"/>
          <w:sz w:val="16"/>
          <w:szCs w:val="16"/>
        </w:rPr>
        <w:t xml:space="preserve"> не смог. 4 октября 1941 г. на заседании ГКО слушался вопрос об установке танковых и авиамоторов М-17Т и М-17Ф на танки Т-34 и КВ взамен ди</w:t>
      </w:r>
      <w:r w:rsidRPr="008127F8">
        <w:rPr>
          <w:rFonts w:ascii="Times New Roman" w:hAnsi="Times New Roman"/>
          <w:color w:val="000000" w:themeColor="text1"/>
          <w:sz w:val="16"/>
          <w:szCs w:val="16"/>
        </w:rPr>
        <w:softHyphen/>
        <w:t>зель-мотора В-2. Тогда же эта замена была одобрена (10782).</w:t>
      </w:r>
    </w:p>
    <w:p w14:paraId="0A9CC6F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8A560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в Барнауле, на базе двигательного производства Харьковского тракторного завода и ЗИСа был создан еще один завод - №77 - по производству дизелей, с запланированной мощностью 35 В-2 в сутки. Первую продукцию он выдал в ноябре 1942 года.</w:t>
      </w:r>
    </w:p>
    <w:p w14:paraId="451382B7"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в феврале 1942 года ситуация была еще не очень обнадеживающей, о чем заместитель наркома танковой промышленности Котин докладывал В. Молотову:</w:t>
      </w:r>
    </w:p>
    <w:p w14:paraId="188A9274"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выпуска КВ и Т-34 за последние 4-5 месяцев тормозится т.о. недостатком танковых дизелей В-2.</w:t>
      </w:r>
    </w:p>
    <w:p w14:paraId="17213C2B"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эвакуации танковых заводов из Харькова и Ленинграда производство В-2 несколько опережало производство танков КВ и Т-34. В последующий период все время производство В-2 отстает от производства танков».</w:t>
      </w:r>
    </w:p>
    <w:p w14:paraId="710DF0CB"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уже в марте 1942 года ситуация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3EDB9E4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в котором говорилось:</w:t>
      </w:r>
    </w:p>
    <w:p w14:paraId="0A53A71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463DF805"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5260A96A"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615019ED"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58FF91C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8127F8">
        <w:rPr>
          <w:rFonts w:ascii="Times New Roman" w:hAnsi="Times New Roman"/>
          <w:color w:val="000000" w:themeColor="text1"/>
          <w:sz w:val="16"/>
          <w:szCs w:val="16"/>
        </w:rPr>
        <w:t>машина с М-17</w:t>
      </w:r>
      <w:proofErr w:type="gramEnd"/>
      <w:r w:rsidRPr="008127F8">
        <w:rPr>
          <w:rFonts w:ascii="Times New Roman" w:hAnsi="Times New Roman"/>
          <w:color w:val="000000" w:themeColor="text1"/>
          <w:sz w:val="16"/>
          <w:szCs w:val="16"/>
        </w:rPr>
        <w:t xml:space="preserve"> прошедшая пробег, но требу- юшие небольших доделок.</w:t>
      </w:r>
    </w:p>
    <w:p w14:paraId="5F897D93"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НКПС т. Хрулева обеспечить немедленную доставку заводу 112 находящихся в пути моторов.</w:t>
      </w:r>
    </w:p>
    <w:p w14:paraId="38A36644"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ТанкТ-34 выпуска завода №183 апреля 1943года (ЦАМО).</w:t>
      </w:r>
    </w:p>
    <w:p w14:paraId="6F970DD3"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10FA50AA"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6DF54A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распоряжением по нарко</w:t>
      </w:r>
      <w:r w:rsidRPr="008127F8">
        <w:rPr>
          <w:rFonts w:ascii="Times New Roman" w:hAnsi="Times New Roman"/>
          <w:color w:val="000000" w:themeColor="text1"/>
          <w:sz w:val="16"/>
          <w:szCs w:val="16"/>
        </w:rPr>
        <w:softHyphen/>
        <w:t>мату велся выпуск танков Т-34 с двигателем М-17Т без устройства питания тяжелым топливом. Общее количество Т-34 с мотором М-17, выпущенных СТЗ в 1941-42 гг., составило: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tblGrid>
      <w:tr w:rsidR="006F4095" w:rsidRPr="008127F8" w14:paraId="2DF07216" w14:textId="77777777">
        <w:tc>
          <w:tcPr>
            <w:tcW w:w="2988" w:type="dxa"/>
            <w:tcBorders>
              <w:top w:val="single" w:sz="12" w:space="0" w:color="auto"/>
            </w:tcBorders>
          </w:tcPr>
          <w:p w14:paraId="764061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988" w:type="dxa"/>
            <w:tcBorders>
              <w:top w:val="single" w:sz="12" w:space="0" w:color="auto"/>
            </w:tcBorders>
          </w:tcPr>
          <w:p w14:paraId="1EDD617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65D7DDEC" w14:textId="77777777">
        <w:tc>
          <w:tcPr>
            <w:tcW w:w="2988" w:type="dxa"/>
          </w:tcPr>
          <w:p w14:paraId="7C5592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2988" w:type="dxa"/>
          </w:tcPr>
          <w:p w14:paraId="79EBCB0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r>
      <w:tr w:rsidR="006F4095" w:rsidRPr="008127F8" w14:paraId="1F1F74A5" w14:textId="77777777">
        <w:tc>
          <w:tcPr>
            <w:tcW w:w="2988" w:type="dxa"/>
          </w:tcPr>
          <w:p w14:paraId="25698A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988" w:type="dxa"/>
          </w:tcPr>
          <w:p w14:paraId="5CF787B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r>
      <w:tr w:rsidR="006F4095" w:rsidRPr="008127F8" w14:paraId="16E4F68F" w14:textId="77777777">
        <w:tc>
          <w:tcPr>
            <w:tcW w:w="2988" w:type="dxa"/>
          </w:tcPr>
          <w:p w14:paraId="14CA91A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tc>
        <w:tc>
          <w:tcPr>
            <w:tcW w:w="2988" w:type="dxa"/>
          </w:tcPr>
          <w:p w14:paraId="3A4227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w:t>
            </w:r>
          </w:p>
        </w:tc>
      </w:tr>
      <w:tr w:rsidR="006F4095" w:rsidRPr="008127F8" w14:paraId="3A9BF1C9" w14:textId="77777777">
        <w:tc>
          <w:tcPr>
            <w:tcW w:w="2988" w:type="dxa"/>
          </w:tcPr>
          <w:p w14:paraId="68D39B4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2988" w:type="dxa"/>
          </w:tcPr>
          <w:p w14:paraId="18F99A2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r>
      <w:tr w:rsidR="006F4095" w:rsidRPr="008127F8" w14:paraId="386C321D" w14:textId="77777777">
        <w:tc>
          <w:tcPr>
            <w:tcW w:w="2988" w:type="dxa"/>
          </w:tcPr>
          <w:p w14:paraId="0B976C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roofErr w:type="gramStart"/>
            <w:r w:rsidRPr="008127F8">
              <w:rPr>
                <w:rFonts w:ascii="Times New Roman" w:hAnsi="Times New Roman"/>
                <w:color w:val="000000" w:themeColor="text1"/>
                <w:sz w:val="16"/>
                <w:szCs w:val="16"/>
              </w:rPr>
              <w:t xml:space="preserve"> ..</w:t>
            </w:r>
            <w:proofErr w:type="gramEnd"/>
          </w:p>
        </w:tc>
        <w:tc>
          <w:tcPr>
            <w:tcW w:w="2988" w:type="dxa"/>
          </w:tcPr>
          <w:p w14:paraId="4B1D26F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r>
      <w:tr w:rsidR="006F4095" w:rsidRPr="008127F8" w14:paraId="3574CCC5" w14:textId="77777777">
        <w:tc>
          <w:tcPr>
            <w:tcW w:w="2988" w:type="dxa"/>
            <w:tcBorders>
              <w:bottom w:val="single" w:sz="12" w:space="0" w:color="auto"/>
            </w:tcBorders>
          </w:tcPr>
          <w:p w14:paraId="29CB43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2988" w:type="dxa"/>
            <w:tcBorders>
              <w:bottom w:val="single" w:sz="12" w:space="0" w:color="auto"/>
            </w:tcBorders>
          </w:tcPr>
          <w:p w14:paraId="75E38B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bl>
    <w:p w14:paraId="5CE065D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(10782).</w:t>
      </w:r>
    </w:p>
    <w:p w14:paraId="27AF3B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92190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первые серийные тридцатьчетверки, вооруженные огнеметом АТО-41 и получившие обозначение ТО-34, были изготовлены на СТЗ и 2 февраля отгружены на Юго-Западный фронт. Позже к выпуску ТО-34 подключились заводы № 112 и № 183, но объем производства огнеметных танков был невелик.</w:t>
      </w:r>
    </w:p>
    <w:p w14:paraId="67D6AA3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Огнеметный танк ТО-34 представлял собой обычный танк Т-34, у которого в передней части вместо пулемета в лобовом листе корпуса монтировался поршневой пороховой огнемет АТО-41 и резервуар емкостью 105 литров для огнесме- си. При этом на танке не предусматривалась установка радиостанции, так как для нее не оставалось места, а экипаж сокращался до трех человек. Углы обстрела огнемета по вертикали составляли от -2 до +10 градусов, по горизонтали в пределах 7,5 градусов. Управлял действиями огнемета механик-водитель, что значительно снижало эффективность действия, так как часто водитель не мог отвлечься для стрельбы из огнемета.</w:t>
      </w:r>
    </w:p>
    <w:p w14:paraId="314D9C56"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Выбрасывание струи, как уже говорилось, велось при помощи пороховых газов. Перезарядка огнемета и подача следующего патрона производилась автоматически, под давлением гидравлического напора огнесмеси, создаваемого в резервуаре. Воздух давлением 150 атмосфер из баллона попадал в понижающий редуктор, в котором давление падало до 4 атмосфер, после чего он поступал в резервуар с огнесмесью. При этом часть воздуха проходила через второй понижающий редуктор (давление снижалось до 7-8 атмосфер) и попадала в бензобак. Под давлением сжатого воздуха огнесмесь поступала в рабочий цилиндр огнемета. При нажатии на спусковую скобу на электродах запальных свечей зажигалки появлялась искра, которая воспламеняла бензин, выбрасываемый через форсунки. При воспламенении заряда пороховые газы под давлением примерно 30 атмосфер давили на поршень и выбрасывали огнесмесь через насадку. Проходя через горящий факел </w:t>
      </w:r>
      <w:proofErr w:type="gramStart"/>
      <w:r w:rsidRPr="008127F8">
        <w:rPr>
          <w:rFonts w:ascii="Times New Roman" w:hAnsi="Times New Roman"/>
          <w:color w:val="000000" w:themeColor="text1"/>
          <w:sz w:val="16"/>
          <w:szCs w:val="16"/>
        </w:rPr>
        <w:t>форсунки</w:t>
      </w:r>
      <w:proofErr w:type="gramEnd"/>
      <w:r w:rsidRPr="008127F8">
        <w:rPr>
          <w:rFonts w:ascii="Times New Roman" w:hAnsi="Times New Roman"/>
          <w:color w:val="000000" w:themeColor="text1"/>
          <w:sz w:val="16"/>
          <w:szCs w:val="16"/>
        </w:rPr>
        <w:t xml:space="preserve"> струя огнесме- си воспламенялась (12217).</w:t>
      </w:r>
    </w:p>
    <w:p w14:paraId="09734F3C"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27B368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завод 174 в Омске прекратил серию Т-50, изготовив только 15 машин, и перешел на выпуск Т-34 (3547).</w:t>
      </w:r>
    </w:p>
    <w:p w14:paraId="28CCDB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D9B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производство T-50 и двигателей к ним прекратили. Завод №174 в Омске, выпустив 15 танков Т-50, перешел на изготовление Т-34. Для легкого танка Т-50 был хорошо вооружен, бронирован и имел неплохие ходовые качества. Но он оказался сложным в производстве в основном из-за дизеля. Трудоемкость его изготовления почти равнялась таковой у Т-34, которому он уступал по боевым качествам, в первую очередь по вооружению. Поэтому в ходе войны выявилась нецелесообразность строительства столь дорогого легкого танка (3862).</w:t>
      </w:r>
    </w:p>
    <w:p w14:paraId="7D324D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57EB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от</w:t>
      </w:r>
      <w:r w:rsidRPr="008127F8">
        <w:rPr>
          <w:rFonts w:ascii="Times New Roman" w:hAnsi="Times New Roman"/>
          <w:color w:val="000000" w:themeColor="text1"/>
          <w:sz w:val="16"/>
          <w:szCs w:val="16"/>
        </w:rPr>
        <w:softHyphen/>
        <w:t>ливать башни начал УЗТМ. Конечно, литые башни имели худшую снарядную стой</w:t>
      </w:r>
      <w:r w:rsidRPr="008127F8">
        <w:rPr>
          <w:rFonts w:ascii="Times New Roman" w:hAnsi="Times New Roman"/>
          <w:color w:val="000000" w:themeColor="text1"/>
          <w:sz w:val="16"/>
          <w:szCs w:val="16"/>
        </w:rPr>
        <w:softHyphen/>
        <w:t>кость по сравнению со сварными. Для компенсации этого их приходилось изготавливать с более толстыми стенками (до 110 мм против 75-мм толщине стенок сварной башни), но их изготовление требовало на порядок меньшую трудо</w:t>
      </w:r>
      <w:r w:rsidRPr="008127F8">
        <w:rPr>
          <w:rFonts w:ascii="Times New Roman" w:hAnsi="Times New Roman"/>
          <w:color w:val="000000" w:themeColor="text1"/>
          <w:sz w:val="16"/>
          <w:szCs w:val="16"/>
        </w:rPr>
        <w:softHyphen/>
        <w:t>емкость в производстве, и потому литье процветало (10782).</w:t>
      </w:r>
    </w:p>
    <w:p w14:paraId="526B661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81C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года конструкторами Н.В.Куриным, Т.Ф.Ксюниным и др. спаренная установка вооружения на КВ (заводской индекс У-14) была разработана в КБ УЗТМ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6CAB4C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8127F8">
        <w:rPr>
          <w:rFonts w:ascii="Times New Roman" w:hAnsi="Times New Roman"/>
          <w:color w:val="000000" w:themeColor="text1"/>
          <w:sz w:val="16"/>
          <w:szCs w:val="16"/>
        </w:rPr>
        <w:t>выстр./</w:t>
      </w:r>
      <w:proofErr w:type="gramEnd"/>
      <w:r w:rsidRPr="008127F8">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0299DC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117A5"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влиятельный лоббист - заместитель начальника второго отдела С.А. Гинзбург поднял вопрос о разработке лёгких самоходок на совещании у наркома В.А. Малышева (Свирин М. Самоходки Сталина: история советской САУ 1919-1945. С. 168</w:t>
      </w:r>
      <w:r w:rsidRPr="008127F8">
        <w:rPr>
          <w:rFonts w:ascii="Times New Roman" w:hAnsi="Times New Roman"/>
          <w:color w:val="000000" w:themeColor="text1"/>
          <w:sz w:val="16"/>
          <w:szCs w:val="16"/>
        </w:rPr>
        <w:softHyphen/>
        <w:t>169). Лёгкая самоходка, по мнению Гинзбурга, могла бы быть вооружена на уровне среднего танка, была бы удобнее для производства и обладала бы способностью эффективно бороться с танками противника. В марте 1942 года при Втором отделе было создано Специальное бюро самоходной артиллерии (12290).</w:t>
      </w:r>
    </w:p>
    <w:p w14:paraId="3614F899"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5D91E66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базе шасси ГАЗ-64 был построен легкий бронеавтомобиль БА-64-125 и с мая он уже выпускавшемся параллельно с ним в значительных количествах. В 1942 году их было выпущено всего 67 штук (бронеавтомобилей - 2486), хотя еще в июне завод получил дополнительное задание (9638).</w:t>
      </w:r>
    </w:p>
    <w:p w14:paraId="414057E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5C782C8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образец 122-мм танковой гаубицы У-11 был установлен в кон</w:t>
      </w:r>
      <w:r w:rsidRPr="008127F8">
        <w:rPr>
          <w:rFonts w:ascii="Times New Roman" w:hAnsi="Times New Roman"/>
          <w:color w:val="000000" w:themeColor="text1"/>
          <w:sz w:val="16"/>
          <w:szCs w:val="16"/>
        </w:rPr>
        <w:softHyphen/>
        <w:t>структивно измененной башне танка КВ и в марте того же года прошла испытания на опытных образцах танка КВ-9, а позже - на опытном тан</w:t>
      </w:r>
      <w:r w:rsidRPr="008127F8">
        <w:rPr>
          <w:rFonts w:ascii="Times New Roman" w:hAnsi="Times New Roman"/>
          <w:color w:val="000000" w:themeColor="text1"/>
          <w:sz w:val="16"/>
          <w:szCs w:val="16"/>
        </w:rPr>
        <w:softHyphen/>
        <w:t>ке "Объект 234". В августе 1943 г. был изготовлен опытный образец тан</w:t>
      </w:r>
      <w:r w:rsidRPr="008127F8">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8127F8">
        <w:rPr>
          <w:rFonts w:ascii="Times New Roman" w:hAnsi="Times New Roman"/>
          <w:color w:val="000000" w:themeColor="text1"/>
          <w:sz w:val="16"/>
          <w:szCs w:val="16"/>
        </w:rPr>
        <w:softHyphen/>
        <w:t>тановке в танк 122-мм гаубицы были прекращены. Гаубица такого кали</w:t>
      </w:r>
      <w:r w:rsidRPr="008127F8">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09501B9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3E672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ЧКЗ был изготовлен опытный образец машины КВ-9. В апреле 1942 г. заводом № 9 НКВ для тан</w:t>
      </w:r>
      <w:r w:rsidRPr="008127F8">
        <w:rPr>
          <w:rFonts w:ascii="Times New Roman" w:hAnsi="Times New Roman"/>
          <w:color w:val="000000" w:themeColor="text1"/>
          <w:sz w:val="16"/>
          <w:szCs w:val="16"/>
        </w:rPr>
        <w:softHyphen/>
        <w:t>ков КВ-9 была изготовлена небольшая серия гаубиц У-11. Одновременно с работой по установке в танк КВ-9 гаубицы У-11 конструкторами объединенного конструкторского бюро УЗТМ В.Н. Сидоренко, С.Е. Рыковским, А.Д. Заецем и др. решалась задача по уси</w:t>
      </w:r>
      <w:r w:rsidRPr="008127F8">
        <w:rPr>
          <w:rFonts w:ascii="Times New Roman" w:hAnsi="Times New Roman"/>
          <w:color w:val="000000" w:themeColor="text1"/>
          <w:sz w:val="16"/>
          <w:szCs w:val="16"/>
        </w:rPr>
        <w:softHyphen/>
        <w:t>лению вооружения танка КВ-1 за счет установки в его башню 85-мм зе</w:t>
      </w:r>
      <w:r w:rsidRPr="008127F8">
        <w:rPr>
          <w:rFonts w:ascii="Times New Roman" w:hAnsi="Times New Roman"/>
          <w:color w:val="000000" w:themeColor="text1"/>
          <w:sz w:val="16"/>
          <w:szCs w:val="16"/>
        </w:rPr>
        <w:softHyphen/>
        <w:t>нитной пушки обр. 1939 г. Эта работа велась на заводе под индексом "У-12". Проект установки пушки в танке КВ-1 был закончен в декабре 1941 г. Основными особенностями проекта были: использование штат</w:t>
      </w:r>
      <w:r w:rsidRPr="008127F8">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8127F8">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32096A4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F68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УЗТМ при создании второго варианта КВ-7 (У-13) установили спаренную систему двух 76,2-мм танко</w:t>
      </w:r>
      <w:r w:rsidRPr="008127F8">
        <w:rPr>
          <w:rFonts w:ascii="Times New Roman" w:hAnsi="Times New Roman"/>
          <w:color w:val="000000" w:themeColor="text1"/>
          <w:sz w:val="16"/>
          <w:szCs w:val="16"/>
        </w:rPr>
        <w:softHyphen/>
        <w:t>вых пушек ЗИС-5. Эта спаренная установка вооружения получила за</w:t>
      </w:r>
      <w:r w:rsidRPr="008127F8">
        <w:rPr>
          <w:rFonts w:ascii="Times New Roman" w:hAnsi="Times New Roman"/>
          <w:color w:val="000000" w:themeColor="text1"/>
          <w:sz w:val="16"/>
          <w:szCs w:val="16"/>
        </w:rPr>
        <w:softHyphen/>
        <w:t>водское обозначение "У-14". Опытный образец самоходной установки КВ-7 с новым вариантом вооружения был изготовлен и испытан стрель</w:t>
      </w:r>
      <w:r w:rsidRPr="008127F8">
        <w:rPr>
          <w:rFonts w:ascii="Times New Roman" w:hAnsi="Times New Roman"/>
          <w:color w:val="000000" w:themeColor="text1"/>
          <w:sz w:val="16"/>
          <w:szCs w:val="16"/>
        </w:rPr>
        <w:softHyphen/>
        <w:t>бой в апреле 1942 г. Эта самоходная установка была показана высшему командованию РККА, но на вооружение принята не была. В дальней</w:t>
      </w:r>
      <w:r w:rsidRPr="008127F8">
        <w:rPr>
          <w:rFonts w:ascii="Times New Roman" w:hAnsi="Times New Roman"/>
          <w:color w:val="000000" w:themeColor="text1"/>
          <w:sz w:val="16"/>
          <w:szCs w:val="16"/>
        </w:rPr>
        <w:softHyphen/>
        <w:t>шем отечественные конструкторы танков и САУ повышение мощности артиллерийского огня боевых машин осуществляли путем увеличения калибра артиллерийского орудия или повышения начальной скорости его снаряда (10703).</w:t>
      </w:r>
    </w:p>
    <w:p w14:paraId="518BA7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96E28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конструкторами Н.В. Кури</w:t>
      </w:r>
      <w:r w:rsidRPr="008127F8">
        <w:rPr>
          <w:rFonts w:ascii="Times New Roman" w:hAnsi="Times New Roman"/>
          <w:color w:val="000000" w:themeColor="text1"/>
          <w:sz w:val="16"/>
          <w:szCs w:val="16"/>
        </w:rPr>
        <w:softHyphen/>
        <w:t>ным, Г.Ф. Ксюниным и др. была разработана в кон</w:t>
      </w:r>
      <w:r w:rsidRPr="008127F8">
        <w:rPr>
          <w:rFonts w:ascii="Times New Roman" w:hAnsi="Times New Roman"/>
          <w:color w:val="000000" w:themeColor="text1"/>
          <w:sz w:val="16"/>
          <w:szCs w:val="16"/>
        </w:rPr>
        <w:softHyphen/>
        <w:t>структорском бюро УЗТМ установка оружия (заводской индекс У-14) Опытный образец машины был изготовлен на ЧКЗ (заводское обозначение "Объект 227") и испытан стрельбой в апреле 1942 г. Усовершенствованный образец установки в серийное производство и на вооружение не поступил (10703).</w:t>
      </w:r>
    </w:p>
    <w:p w14:paraId="387DD4A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2C7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обе машины Т-34-76 с установкой огнеметов ФОГ прошли ис</w:t>
      </w:r>
      <w:r w:rsidRPr="008127F8">
        <w:rPr>
          <w:rFonts w:ascii="Times New Roman" w:hAnsi="Times New Roman"/>
          <w:color w:val="000000" w:themeColor="text1"/>
          <w:sz w:val="16"/>
          <w:szCs w:val="16"/>
        </w:rPr>
        <w:softHyphen/>
        <w:t>пытания на Западном фронте, которые показали отрицательные резуль</w:t>
      </w:r>
      <w:r w:rsidRPr="008127F8">
        <w:rPr>
          <w:rFonts w:ascii="Times New Roman" w:hAnsi="Times New Roman"/>
          <w:color w:val="000000" w:themeColor="text1"/>
          <w:sz w:val="16"/>
          <w:szCs w:val="16"/>
        </w:rPr>
        <w:softHyphen/>
        <w:t xml:space="preserve">таты из-за </w:t>
      </w:r>
      <w:r w:rsidRPr="008127F8">
        <w:rPr>
          <w:rFonts w:ascii="Times New Roman" w:hAnsi="Times New Roman"/>
          <w:color w:val="000000" w:themeColor="text1"/>
          <w:sz w:val="16"/>
          <w:szCs w:val="16"/>
        </w:rPr>
        <w:lastRenderedPageBreak/>
        <w:t>пожарной опасности для танков и их экипажей. Поэтому на оснащение танков Т-34 огнемет ФОГ принят не был (10703).</w:t>
      </w:r>
    </w:p>
    <w:p w14:paraId="58C70C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1206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первые пять Т-60 были сданы заводом № 38 в Кирове, за I квартал 1942 г. здесь изготовили 241 машину, а по июнь — 535 (10782).</w:t>
      </w:r>
    </w:p>
    <w:p w14:paraId="62B5BFA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548A5" w14:textId="77777777" w:rsidR="00AA6BB1" w:rsidRPr="008127F8" w:rsidRDefault="00AA6BB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января месяца 1942 новый броневик проходил заводские испытания, в ходе которых у него выявился целый ряд недостатков, основным из которых являлась слабость подвески, особенно передней оси. 3 февраля 1942 года военпред бронетанкового управления ГАБТУ КА на ГАЗе военинженер 1-го ранга Окунев докладывал: «По опытным работам. В настоящее время готовится к отправке в Москву броневик ГАЗ-64…» (15218).</w:t>
      </w:r>
    </w:p>
    <w:p w14:paraId="2140D4E2" w14:textId="77777777" w:rsidR="00AA6BB1" w:rsidRPr="008127F8" w:rsidRDefault="00AA6BB1" w:rsidP="001E0A84">
      <w:pPr>
        <w:widowControl w:val="0"/>
        <w:spacing w:after="0" w:line="240" w:lineRule="auto"/>
        <w:jc w:val="both"/>
        <w:rPr>
          <w:rFonts w:ascii="Times New Roman" w:hAnsi="Times New Roman"/>
          <w:color w:val="000000" w:themeColor="text1"/>
          <w:sz w:val="16"/>
          <w:szCs w:val="16"/>
        </w:rPr>
      </w:pPr>
    </w:p>
    <w:p w14:paraId="4F33AE27" w14:textId="77777777" w:rsidR="00A174FD" w:rsidRPr="008127F8" w:rsidRDefault="00A174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январю 1942 года на Коломенском машиностроительном заводе был построен бронепоезд №2 «Коломенский рабочий». Основным вооружением бронеплощадок, выполненных на основе усиленных 60-тонных железнодорожных платформ, были два 152-мм орудия, установленных во вращающихся башнях карусельного типа. Для защиты стволов орудий предназначались бронекожухи. Прежде орудия такого калибра устанавливались только на открытых платформах, что не обеспечивало надежной защиты артиллерийскому расчету. На бронеплощадке также размещался артиллерийский погреб (каземат), оборудованный стеллажами для снарядов и имеющий многослойное бронирование, повышающее живучесть состава. Артиллерийское вооружение дополняли две бортовые шаровые установки танковых пулеметов ДТ. На крыше каземата была смонтирована еще одна пулеметная установка с ДТ во вращающейся башне сферической формы. Однако солидный калибр орудий наложил серьезные ограничения на боевое использование бронепоезда. Стрельба главным калибром могла вестись только с места и в основном в боковых секторах. Огонь нельзя было открывать и с ходу – первоначально требовалось закрепить за рельсы специальные выдвижные захваты клещевидной системы – иначе при стрельбе бронеплощадка под воздействием отдачи могла просто перевернуться. Но, учитывая мощь артиллерийского вооружения «Коломенского рабочего», приходилось мириться с этими особенностями конструкции бронепоезда (15218).</w:t>
      </w:r>
    </w:p>
    <w:p w14:paraId="0CACF606" w14:textId="77777777" w:rsidR="00A174FD" w:rsidRPr="008127F8" w:rsidRDefault="00A174FD" w:rsidP="001E0A84">
      <w:pPr>
        <w:spacing w:after="0" w:line="240" w:lineRule="auto"/>
        <w:jc w:val="both"/>
        <w:rPr>
          <w:rFonts w:ascii="Times New Roman" w:hAnsi="Times New Roman"/>
          <w:color w:val="000000" w:themeColor="text1"/>
          <w:sz w:val="16"/>
          <w:szCs w:val="16"/>
        </w:rPr>
      </w:pPr>
    </w:p>
    <w:p w14:paraId="6266EE3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на Западном фронте были произведены испытания фугасных огнеметов ФОГ и ОТОГ, установленных на средних танках Т-34-76 из состава 20 тбр 5А. Испытания показали, что установка ФОГов на танки в качестве дополнительного оружия повысила их огневую мощь и не повлияла на остальные боевые и технические характеристики машин. Огнеметы ФОГ обеспечивали поражение открыто расположенной живой силы противника, а также противника, находящегося в укрытиях и строе</w:t>
      </w:r>
      <w:r w:rsidRPr="008127F8">
        <w:rPr>
          <w:rFonts w:ascii="Times New Roman" w:hAnsi="Times New Roman"/>
          <w:color w:val="000000" w:themeColor="text1"/>
          <w:sz w:val="16"/>
          <w:szCs w:val="16"/>
        </w:rPr>
        <w:softHyphen/>
        <w:t>ниях. Огневая струя, выпущенная из ФОГа, поражала значительную пло</w:t>
      </w:r>
      <w:r w:rsidRPr="008127F8">
        <w:rPr>
          <w:rFonts w:ascii="Times New Roman" w:hAnsi="Times New Roman"/>
          <w:color w:val="000000" w:themeColor="text1"/>
          <w:sz w:val="16"/>
          <w:szCs w:val="16"/>
        </w:rPr>
        <w:softHyphen/>
        <w:t>щадь и производила на противника большой моральный эффект. Несмот</w:t>
      </w:r>
      <w:r w:rsidRPr="008127F8">
        <w:rPr>
          <w:rFonts w:ascii="Times New Roman" w:hAnsi="Times New Roman"/>
          <w:color w:val="000000" w:themeColor="text1"/>
          <w:sz w:val="16"/>
          <w:szCs w:val="16"/>
        </w:rPr>
        <w:softHyphen/>
        <w:t>ря на то, что технически установка ФОГов не требовала конструктивных изменений танка Т-34 и могла быть осуществлена в войсковых мастер</w:t>
      </w:r>
      <w:r w:rsidRPr="008127F8">
        <w:rPr>
          <w:rFonts w:ascii="Times New Roman" w:hAnsi="Times New Roman"/>
          <w:color w:val="000000" w:themeColor="text1"/>
          <w:sz w:val="16"/>
          <w:szCs w:val="16"/>
        </w:rPr>
        <w:softHyphen/>
        <w:t>ских, дальнейшего развития она не получила из-за пожарной опасности для танка. При испытании 15-литровых ОТОГ, смонтированных на танке Т-34, было установлено, что ОТОГ требуют доработки порохового заряда и системы зажигания смеси. Доработка была прекращена ввиду освоения к этому времени огнемета АТО-41. Одновременно с установкой огнеметов ФОГ и ОТОГ была изготовлена опытная партия танковых волокуш с ус</w:t>
      </w:r>
      <w:r w:rsidRPr="008127F8">
        <w:rPr>
          <w:rFonts w:ascii="Times New Roman" w:hAnsi="Times New Roman"/>
          <w:color w:val="000000" w:themeColor="text1"/>
          <w:sz w:val="16"/>
          <w:szCs w:val="16"/>
        </w:rPr>
        <w:softHyphen/>
        <w:t>тановкой на них по 12 ФОГ на каждой, которые после испытаний были от</w:t>
      </w:r>
      <w:r w:rsidRPr="008127F8">
        <w:rPr>
          <w:rFonts w:ascii="Times New Roman" w:hAnsi="Times New Roman"/>
          <w:color w:val="000000" w:themeColor="text1"/>
          <w:sz w:val="16"/>
          <w:szCs w:val="16"/>
        </w:rPr>
        <w:softHyphen/>
        <w:t>правлены на Западный фронт для их проверки в боевых условиях. В 1942 г. конструкторским бюро под руководством Ж.Я.Котина был разработан химический танк КВ-12, предназначавшийся для распыле</w:t>
      </w:r>
      <w:r w:rsidRPr="008127F8">
        <w:rPr>
          <w:rFonts w:ascii="Times New Roman" w:hAnsi="Times New Roman"/>
          <w:color w:val="000000" w:themeColor="text1"/>
          <w:sz w:val="16"/>
          <w:szCs w:val="16"/>
        </w:rPr>
        <w:softHyphen/>
        <w:t>ния боевых химических веществ (жидких и газообразных), постановки дымовой завесы и дегазации зараженной местности. После изготовле</w:t>
      </w:r>
      <w:r w:rsidRPr="008127F8">
        <w:rPr>
          <w:rFonts w:ascii="Times New Roman" w:hAnsi="Times New Roman"/>
          <w:color w:val="000000" w:themeColor="text1"/>
          <w:sz w:val="16"/>
          <w:szCs w:val="16"/>
        </w:rPr>
        <w:softHyphen/>
        <w:t>ния опытного образца работы по нему были свернуты (10703).</w:t>
      </w:r>
    </w:p>
    <w:p w14:paraId="21CD8A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11E0A8"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после эвакуации Московского автозавода имени Сталина и израсходования ре</w:t>
      </w:r>
      <w:r w:rsidRPr="008A2E5A">
        <w:rPr>
          <w:rFonts w:ascii="Times New Roman" w:hAnsi="Times New Roman"/>
          <w:color w:val="0070C0"/>
          <w:sz w:val="16"/>
          <w:szCs w:val="16"/>
        </w:rPr>
        <w:softHyphen/>
        <w:t>зервов Красная Армия ощутила дефицит автомобильных шасси. Несколько месяцев положение стало катастрофическим. Лишь в октябре через Владивосток и Мурманск в центр стра</w:t>
      </w:r>
      <w:r w:rsidRPr="008A2E5A">
        <w:rPr>
          <w:rFonts w:ascii="Times New Roman" w:hAnsi="Times New Roman"/>
          <w:color w:val="0070C0"/>
          <w:sz w:val="16"/>
          <w:szCs w:val="16"/>
        </w:rPr>
        <w:softHyphen/>
        <w:t>ны начали поступать автомобили иностранного производства. В этом же месяце первые БМ-13 на шасси иномарок получили Гвардейские минометные части. С начала 1943 года поставки иностранной техники в войска приобрели массовый характер (23510).</w:t>
      </w:r>
    </w:p>
    <w:p w14:paraId="67E45735" w14:textId="77777777" w:rsidR="00B95B7F" w:rsidRPr="008A2E5A" w:rsidRDefault="00B95B7F" w:rsidP="00B95B7F">
      <w:pPr>
        <w:spacing w:after="0" w:line="240" w:lineRule="auto"/>
        <w:jc w:val="both"/>
        <w:rPr>
          <w:rFonts w:ascii="Times New Roman" w:hAnsi="Times New Roman"/>
          <w:color w:val="0070C0"/>
          <w:sz w:val="16"/>
          <w:szCs w:val="16"/>
        </w:rPr>
      </w:pPr>
    </w:p>
    <w:p w14:paraId="11B6F291"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1942 года в Мурманск и Архангельск на судах полярных конвоев в нашу страну прибыли первые автомобили Studebaker US6. Это были машины из английского контракта с одной фарой. К этому времени возник дефицит шасси для систем залпового огня М-13 (название БМ-13 получит широкое распространение только в самом конце войны). Изначально М-13 устанавливалась на шасси грузовика ЗИС-6 с колесной формулой 6x4, но их выпуск был прекращен осенью 1941 года в связи </w:t>
      </w:r>
      <w:proofErr w:type="gramStart"/>
      <w:r w:rsidRPr="008A2E5A">
        <w:rPr>
          <w:rFonts w:ascii="Times New Roman" w:hAnsi="Times New Roman"/>
          <w:color w:val="0070C0"/>
          <w:sz w:val="16"/>
          <w:szCs w:val="16"/>
        </w:rPr>
        <w:t>в эвакуацией</w:t>
      </w:r>
      <w:proofErr w:type="gramEnd"/>
      <w:r w:rsidRPr="008A2E5A">
        <w:rPr>
          <w:rFonts w:ascii="Times New Roman" w:hAnsi="Times New Roman"/>
          <w:color w:val="0070C0"/>
          <w:sz w:val="16"/>
          <w:szCs w:val="16"/>
        </w:rPr>
        <w:t xml:space="preserve"> завода на восток. При этом объем производ</w:t>
      </w:r>
      <w:r w:rsidRPr="008A2E5A">
        <w:rPr>
          <w:rFonts w:ascii="Times New Roman" w:hAnsi="Times New Roman"/>
          <w:color w:val="0070C0"/>
          <w:sz w:val="16"/>
          <w:szCs w:val="16"/>
        </w:rPr>
        <w:softHyphen/>
        <w:t>ства пусковых установок М-13, дока</w:t>
      </w:r>
      <w:r w:rsidRPr="008A2E5A">
        <w:rPr>
          <w:rFonts w:ascii="Times New Roman" w:hAnsi="Times New Roman"/>
          <w:color w:val="0070C0"/>
          <w:sz w:val="16"/>
          <w:szCs w:val="16"/>
        </w:rPr>
        <w:softHyphen/>
        <w:t>завших свою высокую эффективность еще летом 1941 года, наращивался, но оптимального шасси для них не было. Приходилось использовать все, что имелось в наличии: автомобили раз</w:t>
      </w:r>
      <w:r w:rsidRPr="008A2E5A">
        <w:rPr>
          <w:rFonts w:ascii="Times New Roman" w:hAnsi="Times New Roman"/>
          <w:color w:val="0070C0"/>
          <w:sz w:val="16"/>
          <w:szCs w:val="16"/>
        </w:rPr>
        <w:softHyphen/>
        <w:t>личных марок, тракторы, легкие танки,</w:t>
      </w:r>
    </w:p>
    <w:p w14:paraId="32846FD4"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Технические характеристики автомобиля Studebaker US6</w:t>
      </w:r>
    </w:p>
    <w:tbl>
      <w:tblPr>
        <w:tblOverlap w:val="never"/>
        <w:tblW w:w="0" w:type="auto"/>
        <w:tblLayout w:type="fixed"/>
        <w:tblCellMar>
          <w:left w:w="10" w:type="dxa"/>
          <w:right w:w="10" w:type="dxa"/>
        </w:tblCellMar>
        <w:tblLook w:val="04A0" w:firstRow="1" w:lastRow="0" w:firstColumn="1" w:lastColumn="0" w:noHBand="0" w:noVBand="1"/>
      </w:tblPr>
      <w:tblGrid>
        <w:gridCol w:w="15"/>
        <w:gridCol w:w="2846"/>
        <w:gridCol w:w="15"/>
        <w:gridCol w:w="556"/>
        <w:gridCol w:w="15"/>
      </w:tblGrid>
      <w:tr w:rsidR="00B95B7F" w:rsidRPr="008A2E5A" w14:paraId="45F96C70" w14:textId="77777777" w:rsidTr="004C5D62">
        <w:trPr>
          <w:gridAfter w:val="1"/>
          <w:wAfter w:w="15" w:type="dxa"/>
          <w:trHeight w:val="250"/>
        </w:trPr>
        <w:tc>
          <w:tcPr>
            <w:tcW w:w="2861" w:type="dxa"/>
            <w:gridSpan w:val="2"/>
            <w:tcBorders>
              <w:top w:val="single" w:sz="4" w:space="0" w:color="auto"/>
              <w:left w:val="single" w:sz="4" w:space="0" w:color="auto"/>
            </w:tcBorders>
            <w:shd w:val="clear" w:color="auto" w:fill="auto"/>
            <w:vAlign w:val="bottom"/>
          </w:tcPr>
          <w:p w14:paraId="1DC2F8FA"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Снаряженная масса, кг</w:t>
            </w:r>
          </w:p>
        </w:tc>
        <w:tc>
          <w:tcPr>
            <w:tcW w:w="571" w:type="dxa"/>
            <w:gridSpan w:val="2"/>
            <w:tcBorders>
              <w:top w:val="single" w:sz="4" w:space="0" w:color="auto"/>
              <w:left w:val="single" w:sz="4" w:space="0" w:color="auto"/>
              <w:right w:val="single" w:sz="4" w:space="0" w:color="auto"/>
            </w:tcBorders>
            <w:shd w:val="clear" w:color="auto" w:fill="auto"/>
            <w:vAlign w:val="bottom"/>
          </w:tcPr>
          <w:p w14:paraId="5BD643F1"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4500</w:t>
            </w:r>
          </w:p>
        </w:tc>
      </w:tr>
      <w:tr w:rsidR="00B95B7F" w:rsidRPr="008A2E5A" w14:paraId="703F84DC"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0CC1D025"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Полная масса, кг</w:t>
            </w:r>
          </w:p>
        </w:tc>
        <w:tc>
          <w:tcPr>
            <w:tcW w:w="571" w:type="dxa"/>
            <w:gridSpan w:val="2"/>
            <w:tcBorders>
              <w:top w:val="single" w:sz="4" w:space="0" w:color="auto"/>
              <w:left w:val="single" w:sz="4" w:space="0" w:color="auto"/>
              <w:right w:val="single" w:sz="4" w:space="0" w:color="auto"/>
            </w:tcBorders>
            <w:shd w:val="clear" w:color="auto" w:fill="auto"/>
            <w:vAlign w:val="bottom"/>
          </w:tcPr>
          <w:p w14:paraId="025ACB8D"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r>
      <w:tr w:rsidR="00B95B7F" w:rsidRPr="008A2E5A" w14:paraId="49C7461E"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4FD8E54F"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Грузоподъемность, кг</w:t>
            </w:r>
          </w:p>
        </w:tc>
        <w:tc>
          <w:tcPr>
            <w:tcW w:w="571" w:type="dxa"/>
            <w:gridSpan w:val="2"/>
            <w:tcBorders>
              <w:top w:val="single" w:sz="4" w:space="0" w:color="auto"/>
              <w:left w:val="single" w:sz="4" w:space="0" w:color="auto"/>
              <w:right w:val="single" w:sz="4" w:space="0" w:color="auto"/>
            </w:tcBorders>
            <w:shd w:val="clear" w:color="auto" w:fill="auto"/>
            <w:vAlign w:val="bottom"/>
          </w:tcPr>
          <w:p w14:paraId="4EE1DC25"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2500</w:t>
            </w:r>
          </w:p>
        </w:tc>
      </w:tr>
      <w:tr w:rsidR="00B95B7F" w:rsidRPr="008A2E5A" w14:paraId="717F63CB" w14:textId="77777777" w:rsidTr="004C5D62">
        <w:trPr>
          <w:gridAfter w:val="1"/>
          <w:wAfter w:w="15" w:type="dxa"/>
          <w:trHeight w:val="446"/>
        </w:trPr>
        <w:tc>
          <w:tcPr>
            <w:tcW w:w="2861" w:type="dxa"/>
            <w:gridSpan w:val="2"/>
            <w:tcBorders>
              <w:top w:val="single" w:sz="4" w:space="0" w:color="auto"/>
              <w:left w:val="single" w:sz="4" w:space="0" w:color="auto"/>
            </w:tcBorders>
            <w:shd w:val="clear" w:color="auto" w:fill="auto"/>
            <w:vAlign w:val="bottom"/>
          </w:tcPr>
          <w:p w14:paraId="7CD9BC18"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Радиус поворота по колее внеш</w:t>
            </w:r>
            <w:r w:rsidRPr="008A2E5A">
              <w:rPr>
                <w:rFonts w:ascii="Times New Roman" w:hAnsi="Times New Roman"/>
                <w:color w:val="0070C0"/>
                <w:sz w:val="16"/>
                <w:szCs w:val="16"/>
              </w:rPr>
              <w:softHyphen/>
              <w:t>него переднего колеса, м</w:t>
            </w:r>
          </w:p>
        </w:tc>
        <w:tc>
          <w:tcPr>
            <w:tcW w:w="571" w:type="dxa"/>
            <w:gridSpan w:val="2"/>
            <w:tcBorders>
              <w:top w:val="single" w:sz="4" w:space="0" w:color="auto"/>
              <w:left w:val="single" w:sz="4" w:space="0" w:color="auto"/>
              <w:right w:val="single" w:sz="4" w:space="0" w:color="auto"/>
            </w:tcBorders>
            <w:shd w:val="clear" w:color="auto" w:fill="auto"/>
          </w:tcPr>
          <w:p w14:paraId="4811E4B2"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w:t>
            </w:r>
          </w:p>
        </w:tc>
      </w:tr>
      <w:tr w:rsidR="00B95B7F" w:rsidRPr="008A2E5A" w14:paraId="49AE6101"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3F244880"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Дорожный просвет, мм</w:t>
            </w:r>
          </w:p>
        </w:tc>
        <w:tc>
          <w:tcPr>
            <w:tcW w:w="571" w:type="dxa"/>
            <w:gridSpan w:val="2"/>
            <w:tcBorders>
              <w:top w:val="single" w:sz="4" w:space="0" w:color="auto"/>
              <w:left w:val="single" w:sz="4" w:space="0" w:color="auto"/>
              <w:right w:val="single" w:sz="4" w:space="0" w:color="auto"/>
            </w:tcBorders>
            <w:shd w:val="clear" w:color="auto" w:fill="auto"/>
            <w:vAlign w:val="bottom"/>
          </w:tcPr>
          <w:p w14:paraId="6DFE23C0"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250</w:t>
            </w:r>
          </w:p>
        </w:tc>
      </w:tr>
      <w:tr w:rsidR="00B95B7F" w:rsidRPr="008A2E5A" w14:paraId="13AC4485"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41CC3EB3"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Рабочий объем двигателя, куб. см</w:t>
            </w:r>
          </w:p>
        </w:tc>
        <w:tc>
          <w:tcPr>
            <w:tcW w:w="571" w:type="dxa"/>
            <w:gridSpan w:val="2"/>
            <w:tcBorders>
              <w:top w:val="single" w:sz="4" w:space="0" w:color="auto"/>
              <w:left w:val="single" w:sz="4" w:space="0" w:color="auto"/>
              <w:right w:val="single" w:sz="4" w:space="0" w:color="auto"/>
            </w:tcBorders>
            <w:shd w:val="clear" w:color="auto" w:fill="auto"/>
            <w:vAlign w:val="bottom"/>
          </w:tcPr>
          <w:p w14:paraId="538E42FA"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5242</w:t>
            </w:r>
          </w:p>
        </w:tc>
      </w:tr>
      <w:tr w:rsidR="00B95B7F" w:rsidRPr="008A2E5A" w14:paraId="39B80846"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52CD51AC"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л.с.</w:t>
            </w:r>
          </w:p>
        </w:tc>
        <w:tc>
          <w:tcPr>
            <w:tcW w:w="571" w:type="dxa"/>
            <w:gridSpan w:val="2"/>
            <w:tcBorders>
              <w:top w:val="single" w:sz="4" w:space="0" w:color="auto"/>
              <w:left w:val="single" w:sz="4" w:space="0" w:color="auto"/>
              <w:right w:val="single" w:sz="4" w:space="0" w:color="auto"/>
            </w:tcBorders>
            <w:shd w:val="clear" w:color="auto" w:fill="auto"/>
            <w:vAlign w:val="bottom"/>
          </w:tcPr>
          <w:p w14:paraId="29C30588"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87</w:t>
            </w:r>
          </w:p>
        </w:tc>
      </w:tr>
      <w:tr w:rsidR="00B95B7F" w:rsidRPr="008A2E5A" w14:paraId="1D771616"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64224569"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Степень сжатия</w:t>
            </w:r>
          </w:p>
        </w:tc>
        <w:tc>
          <w:tcPr>
            <w:tcW w:w="571" w:type="dxa"/>
            <w:gridSpan w:val="2"/>
            <w:tcBorders>
              <w:top w:val="single" w:sz="4" w:space="0" w:color="auto"/>
              <w:left w:val="single" w:sz="4" w:space="0" w:color="auto"/>
              <w:right w:val="single" w:sz="4" w:space="0" w:color="auto"/>
            </w:tcBorders>
            <w:shd w:val="clear" w:color="auto" w:fill="auto"/>
            <w:vAlign w:val="bottom"/>
          </w:tcPr>
          <w:p w14:paraId="11CDC123"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5,82</w:t>
            </w:r>
          </w:p>
        </w:tc>
      </w:tr>
      <w:tr w:rsidR="00B95B7F" w:rsidRPr="008A2E5A" w14:paraId="6E2EA249" w14:textId="77777777" w:rsidTr="004C5D62">
        <w:trPr>
          <w:gridAfter w:val="1"/>
          <w:wAfter w:w="15" w:type="dxa"/>
          <w:trHeight w:val="245"/>
        </w:trPr>
        <w:tc>
          <w:tcPr>
            <w:tcW w:w="2861" w:type="dxa"/>
            <w:gridSpan w:val="2"/>
            <w:tcBorders>
              <w:top w:val="single" w:sz="4" w:space="0" w:color="auto"/>
              <w:left w:val="single" w:sz="4" w:space="0" w:color="auto"/>
            </w:tcBorders>
            <w:shd w:val="clear" w:color="auto" w:fill="auto"/>
            <w:vAlign w:val="bottom"/>
          </w:tcPr>
          <w:p w14:paraId="7C971092"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w:t>
            </w:r>
          </w:p>
        </w:tc>
        <w:tc>
          <w:tcPr>
            <w:tcW w:w="571" w:type="dxa"/>
            <w:gridSpan w:val="2"/>
            <w:tcBorders>
              <w:top w:val="single" w:sz="4" w:space="0" w:color="auto"/>
              <w:left w:val="single" w:sz="4" w:space="0" w:color="auto"/>
              <w:right w:val="single" w:sz="4" w:space="0" w:color="auto"/>
            </w:tcBorders>
            <w:shd w:val="clear" w:color="auto" w:fill="auto"/>
            <w:vAlign w:val="bottom"/>
          </w:tcPr>
          <w:p w14:paraId="4A63B54A"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w:t>
            </w:r>
          </w:p>
        </w:tc>
      </w:tr>
      <w:tr w:rsidR="00B95B7F" w:rsidRPr="008A2E5A" w14:paraId="7801B271" w14:textId="77777777" w:rsidTr="004C5D62">
        <w:trPr>
          <w:gridBefore w:val="1"/>
          <w:wBefore w:w="15" w:type="dxa"/>
          <w:trHeight w:val="456"/>
        </w:trPr>
        <w:tc>
          <w:tcPr>
            <w:tcW w:w="2861" w:type="dxa"/>
            <w:gridSpan w:val="2"/>
            <w:tcBorders>
              <w:top w:val="single" w:sz="4" w:space="0" w:color="auto"/>
              <w:left w:val="single" w:sz="4" w:space="0" w:color="auto"/>
              <w:bottom w:val="single" w:sz="4" w:space="0" w:color="auto"/>
            </w:tcBorders>
            <w:shd w:val="clear" w:color="auto" w:fill="auto"/>
            <w:vAlign w:val="bottom"/>
          </w:tcPr>
          <w:p w14:paraId="0E14B286"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Контрольный расход топлива на 100 км при скорости 60 км/ч, л</w:t>
            </w:r>
          </w:p>
        </w:tc>
        <w:tc>
          <w:tcPr>
            <w:tcW w:w="571" w:type="dxa"/>
            <w:gridSpan w:val="2"/>
            <w:tcBorders>
              <w:top w:val="single" w:sz="4" w:space="0" w:color="auto"/>
              <w:left w:val="single" w:sz="4" w:space="0" w:color="auto"/>
              <w:bottom w:val="single" w:sz="4" w:space="0" w:color="auto"/>
              <w:right w:val="single" w:sz="4" w:space="0" w:color="auto"/>
            </w:tcBorders>
            <w:shd w:val="clear" w:color="auto" w:fill="auto"/>
          </w:tcPr>
          <w:p w14:paraId="4B1176A7" w14:textId="77777777" w:rsidR="00B95B7F" w:rsidRPr="008A2E5A" w:rsidRDefault="00B95B7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w:t>
            </w:r>
          </w:p>
        </w:tc>
      </w:tr>
    </w:tbl>
    <w:p w14:paraId="742787B8"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(23592).</w:t>
      </w:r>
    </w:p>
    <w:p w14:paraId="2B8E82A0" w14:textId="77777777" w:rsidR="00B95B7F" w:rsidRPr="008A2E5A" w:rsidRDefault="00B95B7F" w:rsidP="00B95B7F">
      <w:pPr>
        <w:spacing w:after="0" w:line="240" w:lineRule="auto"/>
        <w:jc w:val="both"/>
        <w:rPr>
          <w:rFonts w:ascii="Times New Roman" w:hAnsi="Times New Roman"/>
          <w:color w:val="0070C0"/>
          <w:sz w:val="16"/>
          <w:szCs w:val="16"/>
        </w:rPr>
      </w:pPr>
    </w:p>
    <w:p w14:paraId="6533E9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союзная контора "Лакокраспокрытие" предложила рецептуру белой краски для Главного артуправления на базе уральских гипсов. Краска, названная АБ-1, изготовлялась в Перми и служила для окраски самолетов Су-2 на эвакуированном туда заводе № 135. По заключению НИИ ВВС, она по своим свойствам: расходу, привесу, времени высыхания и другим - была очень близка к МК-7, а по маскировочным свойствам (недешифрируемость в ультрафиолете) превосходила последнюю. Тем не менее широкого распространения в авиации АБ-1 не получила; основной зимней краской оставалась МК-7. Помимо использования смываемых красок, в документах упоминаются отдельные случаи зимней маскировки самолетов с помощью белых масляных и нитроэмалей и даже алюминиевых аэролаков (например, в 6-м иак в ноябре 1942 г.). Такие попытки пресекались командованием и не являлись системой (11989).</w:t>
      </w:r>
    </w:p>
    <w:p w14:paraId="1393D8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368B4"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Союзная контора «Лакокраспокрытие» проработала рецептуру заменителя прежней белой краски для Главного артиллерийского управления на базе уральских гипсов. Согласно акту испытания в условиях завода № 000 на базе Кунгурских гипсовых отложений новая краска АБ-1 соответствовала своему назначению.</w:t>
      </w:r>
    </w:p>
    <w:p w14:paraId="53F4BE25"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новой краски проводились в марте 1942 года в районе Нахабино.  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казеиновая краска не дешифруется и может быть использована для маскировки самолета в зимних условиях 1942 – 1943 годов» (24278).</w:t>
      </w:r>
    </w:p>
    <w:p w14:paraId="15F84E1C" w14:textId="77777777" w:rsidR="00B95B7F" w:rsidRDefault="00B95B7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94B88" w14:textId="77777777" w:rsidR="00B95B7F" w:rsidRPr="008A2E5A" w:rsidRDefault="00B95B7F" w:rsidP="00B95B7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года утвердили предложение завода №264 красить танки белой нитрокраской. Причиной стало то, что на заводе отсутствовало теплое помещение, где имелась возможность красить легкосмываемой белой краской (23360).</w:t>
      </w:r>
    </w:p>
    <w:p w14:paraId="3833858F" w14:textId="77777777" w:rsidR="00B95B7F" w:rsidRPr="008A2E5A" w:rsidRDefault="00B95B7F" w:rsidP="00B95B7F">
      <w:pPr>
        <w:spacing w:after="0" w:line="240" w:lineRule="auto"/>
        <w:jc w:val="both"/>
        <w:rPr>
          <w:rFonts w:ascii="Times New Roman" w:hAnsi="Times New Roman"/>
          <w:color w:val="0070C0"/>
          <w:sz w:val="16"/>
          <w:szCs w:val="16"/>
        </w:rPr>
      </w:pPr>
    </w:p>
    <w:p w14:paraId="29DF165D" w14:textId="3A1014BC"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1942-го начальником Тутаевского РУ НКВД старшим лейтенантом госбезопасности Перовым был утвержден оперативный план уничтожения промышленных объектов Тутаева. Пять оперативных групп будущих диверсантов также прошли краткосрочные курсы по подрывному делу.</w:t>
      </w:r>
    </w:p>
    <w:p w14:paraId="6E69AD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Взлететь на воздух и запылать на протяжении трех километров должен был Константиновский нефтеперерабатывающий завод имени Менделеева.</w:t>
      </w:r>
    </w:p>
    <w:p w14:paraId="672B24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Взорвать предстояло нефтяные емкости, печи, автоклавы, котлы, авиамасла, а также солидол и другие спецсмазки, сернокислотный цех.</w:t>
      </w:r>
    </w:p>
    <w:p w14:paraId="7D1839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Печальная участь ждала и овчинно-шубный завод имени Калинина, фабрику "Тульма", выпускавшую брезент для армии, ее водонасосную станцию, пром- и мелькомбинаты, склады "Заготзерна", бондарный завод, электростанцию, водокачку, почту, телеграф и телефон. Конечно, согласно разработанным планам, все рабочие перед началом проведения этих секретных операций должны были предварительно покинуть цеха (9683).</w:t>
      </w:r>
    </w:p>
    <w:p w14:paraId="25740A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0C7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Филиал завода № 209 (ГС завод № 209 им. А.А. Кулакова НКОП, НКСП, Электромеханический завод «Гейслер и К</w:t>
      </w:r>
      <w:r w:rsidRPr="008127F8">
        <w:rPr>
          <w:rFonts w:ascii="Times New Roman" w:hAnsi="Times New Roman"/>
          <w:color w:val="000000" w:themeColor="text1"/>
          <w:sz w:val="16"/>
          <w:szCs w:val="16"/>
          <w:vertAlign w:val="superscript"/>
        </w:rPr>
        <w:t>0</w:t>
      </w:r>
      <w:r w:rsidRPr="008127F8">
        <w:rPr>
          <w:rFonts w:ascii="Times New Roman" w:hAnsi="Times New Roman"/>
          <w:color w:val="000000" w:themeColor="text1"/>
          <w:sz w:val="16"/>
          <w:szCs w:val="16"/>
        </w:rPr>
        <w:t>»,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  г. Петроград,  г. Ленинград н/я 499 «Телесвязь» (1937 г.)/) в Свердловске, который 25.08.1941 г. уже выпустил первую продукцию, был преобразован в самостоятельный завод № 707 НКСП )(11982).</w:t>
      </w:r>
    </w:p>
    <w:p w14:paraId="51BF97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3BBF5"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В январе 1942 состояние завода 191, который прибыл в Ташкент в декабре, было следующим:</w:t>
      </w:r>
    </w:p>
    <w:p w14:paraId="61BE7893"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Старший районный инженер ГУС КА бригадный инженер Лейкин и его подчиненный начальник 3 отделения 1 отдела военный инженер 3 ранга Юловский представили докладную записку своему начальству.</w:t>
      </w:r>
    </w:p>
    <w:p w14:paraId="63247FAF"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«Согласно сообщению главного инженера завода № 191 тов. Сорокина докладываю о состоянии завода на 22 декабря 1941 года.</w:t>
      </w:r>
    </w:p>
    <w:p w14:paraId="0A434614"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1. Оборудование прибыло в Ташкент 30 вагонов, находится в пути 120 вагонов и для полной доукомплектации из Москвы необходимо отгрузить еще 30 вагонов.</w:t>
      </w:r>
    </w:p>
    <w:p w14:paraId="51E41726"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 xml:space="preserve">2. Для монтажа производства выделено здание б. музея искусств площадью 3.500 </w:t>
      </w:r>
      <w:proofErr w:type="gramStart"/>
      <w:r w:rsidRPr="008127F8">
        <w:rPr>
          <w:rFonts w:ascii="Times New Roman" w:eastAsia="TimesNewRoman" w:hAnsi="Times New Roman"/>
          <w:color w:val="000000" w:themeColor="text1"/>
          <w:sz w:val="16"/>
          <w:szCs w:val="16"/>
        </w:rPr>
        <w:t>кв.метров</w:t>
      </w:r>
      <w:proofErr w:type="gramEnd"/>
      <w:r w:rsidRPr="008127F8">
        <w:rPr>
          <w:rFonts w:ascii="Times New Roman" w:eastAsia="TimesNewRoman" w:hAnsi="Times New Roman"/>
          <w:color w:val="000000" w:themeColor="text1"/>
          <w:sz w:val="16"/>
          <w:szCs w:val="16"/>
        </w:rPr>
        <w:t xml:space="preserve"> и разные мелкие постройки и гаражи общей площадью 3.000 кв.метров. Выделенных площадей недостаточно, на них можно разместить 30% основного производства.</w:t>
      </w:r>
    </w:p>
    <w:p w14:paraId="3658FB40"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Нет помещений для газового завода, стекольного и керамического цехов.</w:t>
      </w:r>
    </w:p>
    <w:p w14:paraId="0EAB960D"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3.Площадей для размещения работников завода нет. Сейчас занимаются площади, предназначенные под монтаж оборудования.</w:t>
      </w:r>
    </w:p>
    <w:p w14:paraId="67A8355B"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Необходимо разместить 1300 человек.</w:t>
      </w:r>
    </w:p>
    <w:p w14:paraId="3B13CC96"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Местные органы не понимают значения данного завода, что также тормозит его развертывание.</w:t>
      </w:r>
    </w:p>
    <w:p w14:paraId="019C58E2"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4.Нет фондов на различные стройматериалы.</w:t>
      </w:r>
    </w:p>
    <w:p w14:paraId="660A8707"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 xml:space="preserve">По сообщению гл. инженера, при условии немедленного устранения всех неполадок, доставки всего недостающего и получении от начальника Главного военно-строительного управления бригинженера т.Шапиро разрешения на заключение </w:t>
      </w:r>
      <w:proofErr w:type="gramStart"/>
      <w:r w:rsidRPr="008127F8">
        <w:rPr>
          <w:rFonts w:ascii="Times New Roman" w:eastAsia="TimesNewRoman" w:hAnsi="Times New Roman"/>
          <w:color w:val="000000" w:themeColor="text1"/>
          <w:sz w:val="16"/>
          <w:szCs w:val="16"/>
        </w:rPr>
        <w:t>Средне-азиатским</w:t>
      </w:r>
      <w:proofErr w:type="gramEnd"/>
      <w:r w:rsidRPr="008127F8">
        <w:rPr>
          <w:rFonts w:ascii="Times New Roman" w:eastAsia="TimesNewRoman" w:hAnsi="Times New Roman"/>
          <w:color w:val="000000" w:themeColor="text1"/>
          <w:sz w:val="16"/>
          <w:szCs w:val="16"/>
        </w:rPr>
        <w:t xml:space="preserve"> военно-строительным управлением договора с заводом 191 на веде-</w:t>
      </w:r>
    </w:p>
    <w:p w14:paraId="3CEB08D6"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ние всех строительных работ, пуск производства намечается с конца 1-го и в основном со 2-го квартала 1942 года.</w:t>
      </w:r>
    </w:p>
    <w:p w14:paraId="1FBED143"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Со своей стороны считаю, что при создавшемся положении реально можно ожидать выпуск радиоламп не ранее мая-июня месяца».</w:t>
      </w:r>
    </w:p>
    <w:p w14:paraId="766EB0CF"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«В настоящее время встает вопрос о целесообразности размещения завода № 191 в Ташкенте. Необходимо дать указание 1-му отделу проверить в Щелкове (т.е. во Фрязине) состояние оставшегося оборудования и зданий и в соответствии с результатами поставить вопрос перед правительством о возвращении завода 191 в Щелково (т.е. во Фрязино), так как перевозка эвакуированного оборудования из Ташкента займет максимум полтора месяца, а монтаж его на старом месте не более месяца».</w:t>
      </w:r>
    </w:p>
    <w:p w14:paraId="0F81DB41"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На документе зафиксированы резолюции и отметки, подписи под которыми неразборчивы.</w:t>
      </w:r>
    </w:p>
    <w:p w14:paraId="03C50F61"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8127F8">
        <w:rPr>
          <w:rFonts w:ascii="Times New Roman" w:eastAsia="TimesNewRoman" w:hAnsi="Times New Roman"/>
          <w:color w:val="000000" w:themeColor="text1"/>
          <w:sz w:val="16"/>
          <w:szCs w:val="16"/>
        </w:rPr>
        <w:t>Одна из резолюций: «Нужно срочно проверить Щелково, ставить вопрос о возвращении завода на старое место» (17424).</w:t>
      </w:r>
    </w:p>
    <w:p w14:paraId="39EBA9A5" w14:textId="77777777" w:rsidR="00F06FA1" w:rsidRPr="008127F8" w:rsidRDefault="00F06FA1" w:rsidP="001E0A84">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20D7FB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филиал завода № 209 был преобразован в самостоятельный завод № 707 НКСП (Завод № 707 НКСП, МСП, МСМ, Уральский электромеханический завод (УЭМЗ) МСМ, ФГУП «УЭМЗ» Росатома /620000  г. Свердловск а/я 74/ /620137  г. Екатеринбург ул. Студенческая, 9 тел. 374-12-81/). В 11.1943 г. - в ведении НКСП.</w:t>
      </w:r>
    </w:p>
    <w:p w14:paraId="18DD1D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средств связи, навигационных и артиллерийских корабельных систем.</w:t>
      </w:r>
    </w:p>
    <w:p w14:paraId="75BE41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3.09.1944 г. вышло распоряжение ГКО № 6502 об освобождении заводом № 707 НКСП здания Уральского индустриального института НКЧМ в связи с переводом в Ленинград. После окончания войны часть коллектива завода во главе с директором Ф.А. Мотиенко вернулись в Ленинград.</w:t>
      </w:r>
    </w:p>
    <w:p w14:paraId="1EED3F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xml:space="preserve">, правительства от 2.05.1949 г. для нужд ПГУ на заводе создается производственная база по выпуску аппаратуры для ЯБП. Одновременно начато строительство новой производственной площадки, на которую завод без остановки производства перебазировался в 1954 г. В соответствии с пост. СМ СССР от 5(17).05.1957 г. завод передан из МСП в ГУ приборостроения МСМ, заказы МСП переданы на другие заводы. В 1971-80 г. проведена реконструкция завода, организовано 16 новых производств, в т.ч. печатных плат, микросхем, микросердечников, изделий микроэлектроники, порошковая металлургия, прецизионная сварка приборов, производство сложно-контурных деталей на станках с ЧПУ. С 1991 г. в рамках конверсии начато освоение выпуска гражданской продукции, в т.ч. оптических носителей информации. С 1992 г. на оборудовании голландской фирмы </w:t>
      </w:r>
      <w:r w:rsidRPr="008127F8">
        <w:rPr>
          <w:rFonts w:ascii="Times New Roman" w:hAnsi="Times New Roman"/>
          <w:color w:val="000000" w:themeColor="text1"/>
          <w:sz w:val="16"/>
          <w:szCs w:val="16"/>
          <w:lang w:val="en-US"/>
        </w:rPr>
        <w:t>ODME</w:t>
      </w:r>
      <w:r w:rsidRPr="008127F8">
        <w:rPr>
          <w:rFonts w:ascii="Times New Roman" w:hAnsi="Times New Roman"/>
          <w:color w:val="000000" w:themeColor="text1"/>
          <w:sz w:val="16"/>
          <w:szCs w:val="16"/>
        </w:rPr>
        <w:t xml:space="preserve"> начато производство лазерных компакт-дисков. В 1997 г. оно выделилось из состава завода в самостоятельное ООО «Уральский электронный завод» (</w:t>
      </w:r>
      <w:r w:rsidRPr="008127F8">
        <w:rPr>
          <w:rFonts w:ascii="Times New Roman" w:hAnsi="Times New Roman"/>
          <w:color w:val="000000" w:themeColor="text1"/>
          <w:sz w:val="16"/>
          <w:szCs w:val="16"/>
          <w:lang w:val="en-US"/>
        </w:rPr>
        <w:t>UEP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CD</w:t>
      </w:r>
      <w:r w:rsidRPr="008127F8">
        <w:rPr>
          <w:rFonts w:ascii="Times New Roman" w:hAnsi="Times New Roman"/>
          <w:color w:val="000000" w:themeColor="text1"/>
          <w:sz w:val="16"/>
          <w:szCs w:val="16"/>
        </w:rPr>
        <w:t>) и стало самым крупным в СН Г.</w:t>
      </w:r>
    </w:p>
    <w:p w14:paraId="0E9EDA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12.2004 г.- в ведении Управления промышленности ядерных боеприпасов Росатома.</w:t>
      </w:r>
    </w:p>
    <w:p w14:paraId="7F23D4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устройства автоматики, коммутационные приборы; пультовая и стендовая аппаратура; технические средства охраны; высокоэнергоемкие магниты; оборудование для ТЭК; научные приборы; изделия промышленной электротехники; медицинская техника и инструмент; приборы автомобильной автоматики.</w:t>
      </w:r>
    </w:p>
    <w:p w14:paraId="1C962D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(-1946 г.)- Ф.А. Мотиенко, (13.11.1946-83 г.)- А.А. Соловьев, (1983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Кузнецов. Гендиректор (2000-; 2006 г.)- В.Б. Великанов, (2001 г.)- В. Г. Чечнев.</w:t>
      </w:r>
    </w:p>
    <w:p w14:paraId="485999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(1972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Кузнецов.</w:t>
      </w:r>
    </w:p>
    <w:p w14:paraId="305DA5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технолог (-1972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Кузнецов.</w:t>
      </w:r>
    </w:p>
    <w:p w14:paraId="1394D8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по новой технике и конверсии (-2000 г.)- В.Б. Великанов.</w:t>
      </w:r>
    </w:p>
    <w:p w14:paraId="503333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мастерской: (1941-42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Жданов.</w:t>
      </w:r>
    </w:p>
    <w:p w14:paraId="574FE3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(ВОВ) телеграфный аппарат СТ-35, телеграфно-шифровальный аппарат, звукометрическая станция СЧЗМ-Зб; детали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для «Катюши»; аппаратура для БЧ ЯБП (блоки низковольтной автоматики) (1949-), стендовая аппаратура предстартового и эксплуатационного контроля ЯБП; центрифуги, пульты их управления (11982).</w:t>
      </w:r>
    </w:p>
    <w:p w14:paraId="2ED895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DFE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Использование для связи с партизанскими отрядами и воздушными десантами радиостанций «Прима». Поступление в войска радиостанций 9Р и 10Р. Перевод на новые штаты десяти запасных полков связи и создание запасных телеграфного полка и трех телеграфных батальонов для подготовки специалистов фронтовых, армейских и войсковых частей связи. Введение должности начальника ВЧ связи во фронтах и отдельных армиях. Формирование отдельных батальонов связи военно-строительного управления НКС для обеспечения связи в звене «Ставка ВГК — фронт» (11072).</w:t>
      </w:r>
    </w:p>
    <w:p w14:paraId="563997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AF1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из 68 важнейших ленинградских заводов, работавших на оборону, действовало лишь 18, в том числе 8 судостроительных предприятий (10671).</w:t>
      </w:r>
    </w:p>
    <w:p w14:paraId="73B2F6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3242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на заводе № 340 был заложен опытный образец катера СТК ДД. Нормальное водоизмещение катера ло 46 т, а полное — 50 т. Вооружение состояло из 12,7-мм пулеметов ДШК, четырех 45-см трубчатых торпедных аппаратов с боекомплектом 4 торпеды или 12 малых глубинных бомб.. Имелась гидроакустическая станпля. На катер СТК ДД поставили З дизеля М-50 общей мощностью 3000 </w:t>
      </w:r>
      <w:proofErr w:type="gramStart"/>
      <w:r w:rsidRPr="008127F8">
        <w:rPr>
          <w:rFonts w:ascii="Times New Roman" w:hAnsi="Times New Roman"/>
          <w:color w:val="000000" w:themeColor="text1"/>
          <w:sz w:val="16"/>
          <w:szCs w:val="16"/>
        </w:rPr>
        <w:t>л,с.</w:t>
      </w:r>
      <w:proofErr w:type="gramEnd"/>
      <w:r w:rsidRPr="008127F8">
        <w:rPr>
          <w:rFonts w:ascii="Times New Roman" w:hAnsi="Times New Roman"/>
          <w:color w:val="000000" w:themeColor="text1"/>
          <w:sz w:val="16"/>
          <w:szCs w:val="16"/>
        </w:rPr>
        <w:t xml:space="preserve"> (разработки также ОТБ НКВД) и один вспомогательный дизель В-2 (10675).</w:t>
      </w:r>
    </w:p>
    <w:p w14:paraId="7A7F255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B24D8B" w14:textId="77777777" w:rsidR="00687F81" w:rsidRPr="008127F8" w:rsidRDefault="00687F81"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январе 1942 года перед флотским командованием встал вопрос об увеличении огневой мощи кораблей малого водоизмещения. Проблема состояла в том, что боевым катерам приходилось сражаться с воздушным, морским и береговым противником, вооружённым большим количеством пулемётов и автоматических пушек. Чтобы адекватно противостоять ему, требовалось довооружаться. Размещение дополнительных артиллерийских систем практически исключалось из-за перегруза. Внимание привлекло ракетное оружие, которое всё активнее применялось сухопутными войсками (19941).</w:t>
      </w:r>
    </w:p>
    <w:p w14:paraId="6455A7DC" w14:textId="77777777" w:rsidR="00687F81" w:rsidRPr="008127F8" w:rsidRDefault="00687F81" w:rsidP="001E0A84">
      <w:pPr>
        <w:pStyle w:val="af"/>
        <w:shd w:val="clear" w:color="auto" w:fill="FFFFFF"/>
        <w:spacing w:before="0" w:after="0"/>
        <w:jc w:val="both"/>
        <w:textAlignment w:val="baseline"/>
        <w:rPr>
          <w:color w:val="000000" w:themeColor="text1"/>
          <w:sz w:val="16"/>
          <w:szCs w:val="16"/>
        </w:rPr>
      </w:pPr>
    </w:p>
    <w:p w14:paraId="7AC767E5"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EE9A3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32EB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при возвращении с задания экипаж Пе-8 К.К. Егорова, не сумев определить своё местонахождение, шёл по компасу строго на восток, при этом израсходовал всё топливо и произвёл вынужденную посадку на лес аж на востоке Кировской области. Егоров приехал в Казань и уговорил конструкторов слетать на место аварии и посмотреть машину. Были сильно разрушены крыло и шасси, но заводская бригада ухитрилась к весне восстановить бомбардировщик, после чего он перелетел в часть (11996).</w:t>
      </w:r>
    </w:p>
    <w:p w14:paraId="607C95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A38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ЛаГГ-3 вместе с двухмоторными Пе-2 состояли на вооружении 3-го разведывательного авиационного полка (4707).</w:t>
      </w:r>
    </w:p>
    <w:p w14:paraId="39CE81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E70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8 И-15бис входят в состав 71-го иап 61-й авиабригады. Базируются на аэродроме Новая Ладога с основной боевой задачей - прикрытие трассы снабжения, проходящей через Ладожское озеро (12014).</w:t>
      </w:r>
    </w:p>
    <w:p w14:paraId="56472E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F9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"Томагауки", которые продолжали поступать в нашу страну и в начале 1942 года, но в гораздо меньших количествах - их прибыло всего 17 штук, получила одна из эскадрилий 20-го гвардейского полка, несколько позже - весь 964-и полк. Из числа доставленных ранее обеспечивали как пополнение полков на </w:t>
      </w:r>
      <w:r w:rsidRPr="008127F8">
        <w:rPr>
          <w:rFonts w:ascii="Times New Roman" w:hAnsi="Times New Roman"/>
          <w:color w:val="000000" w:themeColor="text1"/>
          <w:sz w:val="16"/>
          <w:szCs w:val="16"/>
        </w:rPr>
        <w:lastRenderedPageBreak/>
        <w:t>фронте, так и вооружение новых частей (3457,62).</w:t>
      </w:r>
    </w:p>
    <w:p w14:paraId="437EA5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B82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на фронт попал вооруженный "Томагауками" 196-й иап. Они вместе со 154-м и 159-м полками вошел в состав Восточной оперативной группы, обеспечивавшей прикрытие транспортных самолетов, доставлявших через Ладогу грузы в осажденный Ленинград. Немцы упорно пытались разрушить "воздушный мост" (3457,61).</w:t>
      </w:r>
    </w:p>
    <w:p w14:paraId="0AB127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технической эксплуатацией "Томагауков" в нашей стране было немало хлопот. Ломались электрогенераторы (шестерни и хвостовики), и их заменяли на отечественные ГС-650. Этот дефект выявился еще на испытаниях в США, поэтому американцы не удивились, когда</w:t>
      </w:r>
    </w:p>
    <w:p w14:paraId="4946EC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истребительную авиацию, выделенную для обороны объектов, подчинили командующему Войсками ПВО страны (359,186).</w:t>
      </w:r>
    </w:p>
    <w:p w14:paraId="40E0E9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3EB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СССР попали первые Аэрокобры - 20 Р-39D из Англии, где их сняли с вооружения в декабре 1941. Мы решили сразу же их адаптировать и для сборки и облета сформировали специальную группу работников НИИ ВВС. В испытаниях погибли К.А.Груздев, А.А.Автономов и К.И.Овчинников (173,249).</w:t>
      </w:r>
    </w:p>
    <w:p w14:paraId="075B9D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158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Кинешму в 22 зап доставили в разобранном виде О-52 Кертисы Оул, которые посткпили в СССР из США в конце 1941 (5) и начале 1942 (14)ю Самолеты собрали под руководством и А.И.Смолярова и один облетал м П.С.Акуленко (4622, 24).</w:t>
      </w:r>
    </w:p>
    <w:p w14:paraId="0EAC2E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F48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штаб ВВС КА провел проверку боевой работы ВВС Западного и Юго-Западного фронтов. Эффективность применения авиации фронтов оценивалась командованием ВВС и Ставкой ВГК весьма и весьма невысоко (8687). К сожалению, принятые командованием ВВС КА и Ставкой ВГК по результатам проверки решения оказались ошибочными. Предложенные организационно-штатные изменения ВВС привели к еще большему распылению сил авиации и к существенному снижению ее боевой эффективности. Новая структура ВВС и система управления авиасилами создавали предпосылки к тому, чтобы в то время, когда одна часть авиации вела напряженные бои, другая фактически бездействовала, и в лучшем случае решала боевые задачи с гораздо меньшим боевым напряжением или при большом налете выполняла второстепенные задания. Организация массированных действий авиации на главных направлениях в масштабе фронта резко усложнилась, а подчас стала практически невозможной. Указанные недостатки в организации действий ВВС КА не замедлили негативно сказаться на положении наземных войск. Требовались решительные шаги по объединению всех имевшихся на фронтах сил авиации в оперативные объединения и введение централизованного управления ВВС КА. Последнее обеспечивало бы быстрое формирование необходимых авиационных группировок на конкретных операционных направлениях не за счет авиарезервов Ставки, как это было раньше, а главным образом за счет межфронтового маневрирования силами авиационных оперативных объединений (8687).</w:t>
      </w:r>
    </w:p>
    <w:p w14:paraId="0E3FC4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238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экипажи 47-й сад (312-й шап и 519-й иап) на московском направлении закончили сравнительные войсковые испытания ракетных снарядов нового типа (РБС-132 и РОФС-132) с целью определения наилучшего из них, которые проводились с ноября 1941 г. (8270). К сожалению, несмотря на прекрасные результаты боевого применения бронебойных и осколочно-фугасных ракетных снарядов. Наркомат вооружения так и не смог наладить их устойчивое серийное производство практически до середины войны. Массовое применение на полях сражений РБС-132 и РОФС-132 отмечается лишь с весны 43-го. а РБС-82 - с лета 1944 г. (8270).</w:t>
      </w:r>
    </w:p>
    <w:p w14:paraId="5050CB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7BCC5"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лейтенант Иван Михайлович Чиссы чудом выживает при падении с 22000 футов (6,706 м) без парашюта после покидания тяжело поврежденного двухмоторного бомбардировщика Ил-4. Достигнув скорости около 150 миль в час (242 км / ч), он замедляется, когда ударяется о выступ заснеженного оврага, и скользит вниз с уменьшающейся скоростью, пока не останавливается на дне, страдая от перелома таза и тяжелой травмы позвоночника (20793). </w:t>
      </w:r>
    </w:p>
    <w:p w14:paraId="4A21A184"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073E1787"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 высаживается парашютный десант 2000 военнослужащих позади немецких позиций у Медыни, недалеко от Тулы, в поддержку наступательных операций Советской Армии (20793). </w:t>
      </w:r>
    </w:p>
    <w:p w14:paraId="74194FF6"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0A1D79DF"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 вражеские самолёты-разведчики стали появ</w:t>
      </w:r>
      <w:r w:rsidRPr="008127F8">
        <w:rPr>
          <w:rFonts w:ascii="Times New Roman" w:hAnsi="Times New Roman"/>
          <w:color w:val="000000" w:themeColor="text1"/>
          <w:sz w:val="16"/>
          <w:szCs w:val="16"/>
        </w:rPr>
        <w:softHyphen/>
        <w:t>ляться в небе Закавказья Основ</w:t>
      </w:r>
      <w:r w:rsidRPr="008127F8">
        <w:rPr>
          <w:rFonts w:ascii="Times New Roman" w:hAnsi="Times New Roman"/>
          <w:color w:val="000000" w:themeColor="text1"/>
          <w:sz w:val="16"/>
          <w:szCs w:val="16"/>
        </w:rPr>
        <w:softHyphen/>
        <w:t>ной удар немецкая авиация наносила по морским коммуникациям на Каспийском море и портам в его северной части — Астрахани и Гурьеву, поэ</w:t>
      </w:r>
      <w:r w:rsidRPr="008127F8">
        <w:rPr>
          <w:rFonts w:ascii="Times New Roman" w:hAnsi="Times New Roman"/>
          <w:color w:val="000000" w:themeColor="text1"/>
          <w:sz w:val="16"/>
          <w:szCs w:val="16"/>
        </w:rPr>
        <w:softHyphen/>
        <w:t>тому самолёты врага лишь дважды появились над Баку. В первый раз с самолёта сбросили листовки, во втором случае к городу прорвался истребитель, отогнанный огнём зенитной артиллерии.</w:t>
      </w:r>
    </w:p>
    <w:p w14:paraId="27D909E6"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 Бакинский корпусной рай</w:t>
      </w:r>
      <w:r w:rsidRPr="008127F8">
        <w:rPr>
          <w:rFonts w:ascii="Times New Roman" w:hAnsi="Times New Roman"/>
          <w:color w:val="000000" w:themeColor="text1"/>
          <w:sz w:val="16"/>
          <w:szCs w:val="16"/>
        </w:rPr>
        <w:softHyphen/>
        <w:t>он ПВО реорганизовали в Бакинскую армию ПВО (командующий — генерал-майор артил</w:t>
      </w:r>
      <w:r w:rsidRPr="008127F8">
        <w:rPr>
          <w:rFonts w:ascii="Times New Roman" w:hAnsi="Times New Roman"/>
          <w:color w:val="000000" w:themeColor="text1"/>
          <w:sz w:val="16"/>
          <w:szCs w:val="16"/>
        </w:rPr>
        <w:softHyphen/>
        <w:t>лерии П.М. Бескровнов) в составе Закавказской зоны ПВО. 8 декабря 1943 г. в Бакинской армии ПВО провели трёхдневное учение, которым ру</w:t>
      </w:r>
      <w:r w:rsidRPr="008127F8">
        <w:rPr>
          <w:rFonts w:ascii="Times New Roman" w:hAnsi="Times New Roman"/>
          <w:color w:val="000000" w:themeColor="text1"/>
          <w:sz w:val="16"/>
          <w:szCs w:val="16"/>
        </w:rPr>
        <w:softHyphen/>
        <w:t>ководил командующий артиллерией Восточного фронта ПВО генерал-майор С.С. Сазонов. В ходе учения проверялась готовность средств ПВО к совместному отражению массированных налё</w:t>
      </w:r>
      <w:r w:rsidRPr="008127F8">
        <w:rPr>
          <w:rFonts w:ascii="Times New Roman" w:hAnsi="Times New Roman"/>
          <w:color w:val="000000" w:themeColor="text1"/>
          <w:sz w:val="16"/>
          <w:szCs w:val="16"/>
        </w:rPr>
        <w:softHyphen/>
        <w:t>тов авиации противника. Среди прочих частей ПВО был отмечен и 5-й полк АЗ, показавший высокую выучку, слаженность и организован</w:t>
      </w:r>
      <w:r w:rsidRPr="008127F8">
        <w:rPr>
          <w:rFonts w:ascii="Times New Roman" w:hAnsi="Times New Roman"/>
          <w:color w:val="000000" w:themeColor="text1"/>
          <w:sz w:val="16"/>
          <w:szCs w:val="16"/>
        </w:rPr>
        <w:softHyphen/>
        <w:t>ность. Летом 1944 г. полк переформировали в два отдельных дивизиона: 10-й (по другим данным 4-й) и 11-й ОДАЗ.</w:t>
      </w:r>
    </w:p>
    <w:p w14:paraId="4C5D84A3"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аэростатчики Бакинской ар</w:t>
      </w:r>
      <w:r w:rsidRPr="008127F8">
        <w:rPr>
          <w:rFonts w:ascii="Times New Roman" w:hAnsi="Times New Roman"/>
          <w:color w:val="000000" w:themeColor="text1"/>
          <w:sz w:val="16"/>
          <w:szCs w:val="16"/>
        </w:rPr>
        <w:softHyphen/>
        <w:t>мии ПВО произвели за 287 подъёмных дней 10428 подъёмов аэростатов (20120).</w:t>
      </w:r>
    </w:p>
    <w:p w14:paraId="3AB63104"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469AAE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Постановлением Государственного Комитета Обороны (ГКО) на НКВД было возложено эксплуатационное обслуживание и охрана магистральных линий и проводов, используемых для связи Ставки с фронтами и армиями (8983).</w:t>
      </w:r>
    </w:p>
    <w:p w14:paraId="372B4A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ED0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на территорию Закарпатья (Венгрия, Чехия) высажена группа О.Борканюка (8983).</w:t>
      </w:r>
    </w:p>
    <w:p w14:paraId="08FB80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6997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DBA5D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8F6D26" w14:textId="4E4136CE"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килограмм картофеля на рынках Горького в среднем стоил 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 60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коп., то через год — уже 12, а в январе 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40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w:t>
      </w:r>
      <w:proofErr w:type="gramEnd"/>
      <w:r w:rsidRPr="008127F8">
        <w:rPr>
          <w:rFonts w:ascii="Times New Roman" w:hAnsi="Times New Roman"/>
          <w:color w:val="000000" w:themeColor="text1"/>
          <w:sz w:val="16"/>
          <w:szCs w:val="16"/>
        </w:rPr>
        <w:t xml:space="preserve">! Стоимость килограмма свежей капусты выросла с </w:t>
      </w:r>
      <w:proofErr w:type="gramStart"/>
      <w:r w:rsidRPr="008127F8">
        <w:rPr>
          <w:rFonts w:ascii="Times New Roman" w:hAnsi="Times New Roman"/>
          <w:color w:val="000000" w:themeColor="text1"/>
          <w:sz w:val="16"/>
          <w:szCs w:val="16"/>
        </w:rPr>
        <w:t>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w:t>
      </w:r>
      <w:proofErr w:type="gramEnd"/>
      <w:r w:rsidRPr="008127F8">
        <w:rPr>
          <w:rFonts w:ascii="Times New Roman" w:hAnsi="Times New Roman"/>
          <w:color w:val="000000" w:themeColor="text1"/>
          <w:sz w:val="16"/>
          <w:szCs w:val="16"/>
        </w:rPr>
        <w:t xml:space="preserve"> 70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коп. в январе 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до 20 рублей в январе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г., а через год возросла еще вдвое. Лук подорожал с </w:t>
      </w:r>
      <w:proofErr w:type="gramStart"/>
      <w:r w:rsidRPr="008127F8">
        <w:rPr>
          <w:rFonts w:ascii="Times New Roman" w:hAnsi="Times New Roman"/>
          <w:color w:val="000000" w:themeColor="text1"/>
          <w:sz w:val="16"/>
          <w:szCs w:val="16"/>
        </w:rPr>
        <w:t>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w:t>
      </w:r>
      <w:proofErr w:type="gramEnd"/>
      <w:r w:rsidRPr="008127F8">
        <w:rPr>
          <w:rFonts w:ascii="Times New Roman" w:hAnsi="Times New Roman"/>
          <w:color w:val="000000" w:themeColor="text1"/>
          <w:sz w:val="16"/>
          <w:szCs w:val="16"/>
        </w:rPr>
        <w:t xml:space="preserve"> 50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коп. до соответственно — 14 и 78 рублей. Десяток яиц в январе </w:t>
      </w:r>
      <w:proofErr w:type="gramStart"/>
      <w:r w:rsidRPr="008127F8">
        <w:rPr>
          <w:rFonts w:ascii="Times New Roman" w:hAnsi="Times New Roman"/>
          <w:color w:val="000000" w:themeColor="text1"/>
          <w:sz w:val="16"/>
          <w:szCs w:val="16"/>
        </w:rPr>
        <w:t>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 среднем стоил 16</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 в январе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52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w:t>
      </w:r>
      <w:proofErr w:type="gramEnd"/>
      <w:r w:rsidRPr="008127F8">
        <w:rPr>
          <w:rFonts w:ascii="Times New Roman" w:hAnsi="Times New Roman"/>
          <w:color w:val="000000" w:themeColor="text1"/>
          <w:sz w:val="16"/>
          <w:szCs w:val="16"/>
        </w:rPr>
        <w:t>, а в январе 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уже </w:t>
      </w:r>
      <w:proofErr w:type="gramStart"/>
      <w:r w:rsidRPr="008127F8">
        <w:rPr>
          <w:rFonts w:ascii="Times New Roman" w:hAnsi="Times New Roman"/>
          <w:color w:val="000000" w:themeColor="text1"/>
          <w:sz w:val="16"/>
          <w:szCs w:val="16"/>
        </w:rPr>
        <w:t>190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w:t>
      </w:r>
      <w:proofErr w:type="gramEnd"/>
      <w:r w:rsidRPr="008127F8">
        <w:rPr>
          <w:rFonts w:ascii="Times New Roman" w:hAnsi="Times New Roman"/>
          <w:color w:val="000000" w:themeColor="text1"/>
          <w:sz w:val="16"/>
          <w:szCs w:val="16"/>
        </w:rPr>
        <w:t>! Но самым рекордным был рост цен на животное и растительное масло, молоко и мясо. //- Рост цен на продукты питания в 1941–1943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гг., руб./кг [429 — Там же, Д. 3307, Л. 34–35, Д. 4277, Л. 19–20, Д. 4829, Л. 17.]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F4095" w:rsidRPr="008127F8" w14:paraId="42D1CFB4" w14:textId="77777777">
        <w:tc>
          <w:tcPr>
            <w:tcW w:w="2242" w:type="dxa"/>
            <w:tcBorders>
              <w:top w:val="single" w:sz="12" w:space="0" w:color="auto"/>
            </w:tcBorders>
          </w:tcPr>
          <w:p w14:paraId="765B06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1D18F3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 животное</w:t>
            </w:r>
          </w:p>
        </w:tc>
        <w:tc>
          <w:tcPr>
            <w:tcW w:w="2242" w:type="dxa"/>
            <w:tcBorders>
              <w:top w:val="single" w:sz="12" w:space="0" w:color="auto"/>
            </w:tcBorders>
          </w:tcPr>
          <w:p w14:paraId="614150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 растительное</w:t>
            </w:r>
          </w:p>
        </w:tc>
        <w:tc>
          <w:tcPr>
            <w:tcW w:w="2242" w:type="dxa"/>
            <w:tcBorders>
              <w:top w:val="single" w:sz="12" w:space="0" w:color="auto"/>
            </w:tcBorders>
          </w:tcPr>
          <w:p w14:paraId="21C8C5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Молоко</w:t>
            </w:r>
          </w:p>
        </w:tc>
        <w:tc>
          <w:tcPr>
            <w:tcW w:w="2242" w:type="dxa"/>
            <w:tcBorders>
              <w:top w:val="single" w:sz="12" w:space="0" w:color="auto"/>
            </w:tcBorders>
          </w:tcPr>
          <w:p w14:paraId="2E4C5E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Мясо (свинина)</w:t>
            </w:r>
          </w:p>
        </w:tc>
      </w:tr>
      <w:tr w:rsidR="006F4095" w:rsidRPr="008127F8" w14:paraId="23D33BAA" w14:textId="77777777">
        <w:tc>
          <w:tcPr>
            <w:tcW w:w="2242" w:type="dxa"/>
          </w:tcPr>
          <w:p w14:paraId="061A14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1941</w:t>
            </w:r>
          </w:p>
        </w:tc>
        <w:tc>
          <w:tcPr>
            <w:tcW w:w="2242" w:type="dxa"/>
          </w:tcPr>
          <w:p w14:paraId="3195BE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2242" w:type="dxa"/>
          </w:tcPr>
          <w:p w14:paraId="58B16B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2242" w:type="dxa"/>
          </w:tcPr>
          <w:p w14:paraId="296A99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2242" w:type="dxa"/>
          </w:tcPr>
          <w:p w14:paraId="7996A8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r>
      <w:tr w:rsidR="006F4095" w:rsidRPr="008127F8" w14:paraId="43E88E03" w14:textId="77777777">
        <w:tc>
          <w:tcPr>
            <w:tcW w:w="2242" w:type="dxa"/>
          </w:tcPr>
          <w:p w14:paraId="79A4B1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242" w:type="dxa"/>
          </w:tcPr>
          <w:p w14:paraId="3E4656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2242" w:type="dxa"/>
          </w:tcPr>
          <w:p w14:paraId="2B66A4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2242" w:type="dxa"/>
          </w:tcPr>
          <w:p w14:paraId="1BC722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2242" w:type="dxa"/>
          </w:tcPr>
          <w:p w14:paraId="41931D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r>
      <w:tr w:rsidR="006F4095" w:rsidRPr="008127F8" w14:paraId="4CCD306C" w14:textId="77777777">
        <w:tc>
          <w:tcPr>
            <w:tcW w:w="2242" w:type="dxa"/>
          </w:tcPr>
          <w:p w14:paraId="4B9CE5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1941</w:t>
            </w:r>
          </w:p>
        </w:tc>
        <w:tc>
          <w:tcPr>
            <w:tcW w:w="2242" w:type="dxa"/>
          </w:tcPr>
          <w:p w14:paraId="5D1691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2242" w:type="dxa"/>
          </w:tcPr>
          <w:p w14:paraId="45EBAC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2242" w:type="dxa"/>
          </w:tcPr>
          <w:p w14:paraId="7D3BA0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242" w:type="dxa"/>
          </w:tcPr>
          <w:p w14:paraId="739240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w:t>
            </w:r>
          </w:p>
        </w:tc>
      </w:tr>
      <w:tr w:rsidR="006F4095" w:rsidRPr="008127F8" w14:paraId="4712375E" w14:textId="77777777">
        <w:tc>
          <w:tcPr>
            <w:tcW w:w="2242" w:type="dxa"/>
          </w:tcPr>
          <w:p w14:paraId="76C776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1942</w:t>
            </w:r>
          </w:p>
        </w:tc>
        <w:tc>
          <w:tcPr>
            <w:tcW w:w="2242" w:type="dxa"/>
          </w:tcPr>
          <w:p w14:paraId="5D1524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2242" w:type="dxa"/>
          </w:tcPr>
          <w:p w14:paraId="0F1BBF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2242" w:type="dxa"/>
          </w:tcPr>
          <w:p w14:paraId="369CE9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2242" w:type="dxa"/>
          </w:tcPr>
          <w:p w14:paraId="3CB356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w:t>
            </w:r>
          </w:p>
        </w:tc>
      </w:tr>
      <w:tr w:rsidR="006F4095" w:rsidRPr="008127F8" w14:paraId="7A7FB59F" w14:textId="77777777">
        <w:tc>
          <w:tcPr>
            <w:tcW w:w="2242" w:type="dxa"/>
          </w:tcPr>
          <w:p w14:paraId="20E2F4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1943</w:t>
            </w:r>
          </w:p>
        </w:tc>
        <w:tc>
          <w:tcPr>
            <w:tcW w:w="2242" w:type="dxa"/>
          </w:tcPr>
          <w:p w14:paraId="3DC22D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2242" w:type="dxa"/>
          </w:tcPr>
          <w:p w14:paraId="5D5A20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588</w:t>
            </w:r>
          </w:p>
        </w:tc>
        <w:tc>
          <w:tcPr>
            <w:tcW w:w="2242" w:type="dxa"/>
          </w:tcPr>
          <w:p w14:paraId="65AF53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2242" w:type="dxa"/>
          </w:tcPr>
          <w:p w14:paraId="122A44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512</w:t>
            </w:r>
          </w:p>
        </w:tc>
      </w:tr>
      <w:tr w:rsidR="006F4095" w:rsidRPr="008127F8" w14:paraId="1CE4FBC8" w14:textId="77777777">
        <w:tc>
          <w:tcPr>
            <w:tcW w:w="2242" w:type="dxa"/>
            <w:tcBorders>
              <w:bottom w:val="single" w:sz="12" w:space="0" w:color="auto"/>
            </w:tcBorders>
          </w:tcPr>
          <w:p w14:paraId="10679E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1943</w:t>
            </w:r>
          </w:p>
        </w:tc>
        <w:tc>
          <w:tcPr>
            <w:tcW w:w="2242" w:type="dxa"/>
            <w:tcBorders>
              <w:bottom w:val="single" w:sz="12" w:space="0" w:color="auto"/>
            </w:tcBorders>
          </w:tcPr>
          <w:p w14:paraId="722949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738</w:t>
            </w:r>
          </w:p>
        </w:tc>
        <w:tc>
          <w:tcPr>
            <w:tcW w:w="2242" w:type="dxa"/>
            <w:tcBorders>
              <w:bottom w:val="single" w:sz="12" w:space="0" w:color="auto"/>
            </w:tcBorders>
          </w:tcPr>
          <w:p w14:paraId="34FD34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2242" w:type="dxa"/>
            <w:tcBorders>
              <w:bottom w:val="single" w:sz="12" w:space="0" w:color="auto"/>
            </w:tcBorders>
          </w:tcPr>
          <w:p w14:paraId="70CDBF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2242" w:type="dxa"/>
            <w:tcBorders>
              <w:bottom w:val="single" w:sz="12" w:space="0" w:color="auto"/>
            </w:tcBorders>
          </w:tcPr>
          <w:p w14:paraId="202740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bl>
    <w:p w14:paraId="179BD9DC" w14:textId="2CEC43FC"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 таблицы видно, что наиболее высокие цены на продовольствие имели место в конце 1942-го — начале </w:t>
      </w:r>
      <w:proofErr w:type="gramStart"/>
      <w:r w:rsidRPr="008127F8">
        <w:rPr>
          <w:rFonts w:ascii="Times New Roman" w:hAnsi="Times New Roman"/>
          <w:color w:val="000000" w:themeColor="text1"/>
          <w:sz w:val="16"/>
          <w:szCs w:val="16"/>
        </w:rPr>
        <w:t>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Затем по некоторым товарам наметилось снижение, но по сравнению с началом войны рост цен все равно остался высоким. Больше всего поражает рост цен на сливочное масло и молоко, подорожавшие за указанный период в 14 раз! По регионам цены на продукты несколько варьировались, но размер инфляции все равно можно наглядно представить и по этим цифрам. Впрочем, здесь мы упомянули товары первой необходимости. Но в дефиците были и другие. К примеру, шампанское к </w:t>
      </w:r>
      <w:proofErr w:type="gramStart"/>
      <w:r w:rsidRPr="008127F8">
        <w:rPr>
          <w:rFonts w:ascii="Times New Roman" w:hAnsi="Times New Roman"/>
          <w:color w:val="000000" w:themeColor="text1"/>
          <w:sz w:val="16"/>
          <w:szCs w:val="16"/>
        </w:rPr>
        <w:t>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подорожало в среднем до 160 рублей за литр. Но самым дорогим продуктом, обогнавшим всех «конкурентов», конечно же, была водка. Стоимость одной бутылки на рынке к середине войны достигала астрономической суммы в 1000 рублей! То есть даже месячной зарплаты квалифицированного рабочего было недостаточно, чтобы купить ее. Но раз установилась такая цена, значит, был и спрос (11741).</w:t>
      </w:r>
    </w:p>
    <w:p w14:paraId="51019B3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CAC6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C5FBF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4E96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между СССР, Великобританией и Ираном был подписан договор о союзе: две великие державы обязались "уважать территориальную целостность, суверенитет и независимость Ирана" и защищать его "от всякой агрессии со стороны Германии или любой другой державы". Со своей стороны иранское правительство разрешило сквозной транзит через свою территорию военного снаряжения и материалов, поступавших Советскому Союзу из Великобритании (а позднее и из США) по морю через порты на побережье Персидского залива (3871).</w:t>
      </w:r>
    </w:p>
    <w:p w14:paraId="71E45A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604BF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1942-го госсекретарь США Эдвард Р. Стеттиниус посоветовал послу Литвинову джипы, которыми уже успешно пользовалась американская армия. Вообще-то мы просили у американцев вовсе не "Виллисы", а мотоциклетные коляски. Мы попробовали и скоро запросили еще. Всего за войну мы получили 44 000 </w:t>
      </w:r>
      <w:r w:rsidRPr="008127F8">
        <w:rPr>
          <w:rFonts w:ascii="Times New Roman" w:hAnsi="Times New Roman"/>
          <w:color w:val="000000" w:themeColor="text1"/>
          <w:sz w:val="16"/>
          <w:szCs w:val="16"/>
        </w:rPr>
        <w:lastRenderedPageBreak/>
        <w:t>командирских автомобилей Willys MB и Ford GPW (General Purpose Willys). Эмблем на них не было, поэтому их всех обозвали "Виллисами". Автомобили к нам поступали 50 моделей - 26 американских, канадских и английских фирм. Производителей комплектующих частей было намного больше: только стандартные задние фонари выпускали пять разных заводов (11593).</w:t>
      </w:r>
    </w:p>
    <w:p w14:paraId="694E29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B02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6-ю китайскую эскадрилью расформировали. Примерно то же са</w:t>
      </w:r>
      <w:r w:rsidRPr="008127F8">
        <w:rPr>
          <w:rFonts w:ascii="Times New Roman" w:hAnsi="Times New Roman"/>
          <w:color w:val="000000" w:themeColor="text1"/>
          <w:sz w:val="16"/>
          <w:szCs w:val="16"/>
        </w:rPr>
        <w:softHyphen/>
        <w:t>мое произошло и с 10-й эскадрильей. Последние ДБ-3 служили в Китае для учебных целей где-то до сентября 1943 г. Несмотря на небольшое количество использовавшихся в боевых действиях самолетов и довольно короткий срок пребывания советских экипажей, уда</w:t>
      </w:r>
      <w:r w:rsidRPr="008127F8">
        <w:rPr>
          <w:rFonts w:ascii="Times New Roman" w:hAnsi="Times New Roman"/>
          <w:color w:val="000000" w:themeColor="text1"/>
          <w:sz w:val="16"/>
          <w:szCs w:val="16"/>
        </w:rPr>
        <w:softHyphen/>
        <w:t>лось сделать некоторые выводы о до</w:t>
      </w:r>
      <w:r w:rsidRPr="008127F8">
        <w:rPr>
          <w:rFonts w:ascii="Times New Roman" w:hAnsi="Times New Roman"/>
          <w:color w:val="000000" w:themeColor="text1"/>
          <w:sz w:val="16"/>
          <w:szCs w:val="16"/>
        </w:rPr>
        <w:softHyphen/>
        <w:t>стоинствах и недостатках бомбардиров</w:t>
      </w:r>
      <w:r w:rsidRPr="008127F8">
        <w:rPr>
          <w:rFonts w:ascii="Times New Roman" w:hAnsi="Times New Roman"/>
          <w:color w:val="000000" w:themeColor="text1"/>
          <w:sz w:val="16"/>
          <w:szCs w:val="16"/>
        </w:rPr>
        <w:softHyphen/>
        <w:t>щика Ильюшина. Очень интересен ито</w:t>
      </w:r>
      <w:r w:rsidRPr="008127F8">
        <w:rPr>
          <w:rFonts w:ascii="Times New Roman" w:hAnsi="Times New Roman"/>
          <w:color w:val="000000" w:themeColor="text1"/>
          <w:sz w:val="16"/>
          <w:szCs w:val="16"/>
        </w:rPr>
        <w:softHyphen/>
        <w:t>говый доклад советника по авиации Анисимова. В нем указывается: «Само</w:t>
      </w:r>
      <w:r w:rsidRPr="008127F8">
        <w:rPr>
          <w:rFonts w:ascii="Times New Roman" w:hAnsi="Times New Roman"/>
          <w:color w:val="000000" w:themeColor="text1"/>
          <w:sz w:val="16"/>
          <w:szCs w:val="16"/>
        </w:rPr>
        <w:softHyphen/>
        <w:t>лет ДБ... показал хорошие результаты». В сравнении с японскими бомбардиров</w:t>
      </w:r>
      <w:r w:rsidRPr="008127F8">
        <w:rPr>
          <w:rFonts w:ascii="Times New Roman" w:hAnsi="Times New Roman"/>
          <w:color w:val="000000" w:themeColor="text1"/>
          <w:sz w:val="16"/>
          <w:szCs w:val="16"/>
        </w:rPr>
        <w:softHyphen/>
        <w:t>щиками ДБ-3 неплохо смотрелся по скорости и маневренности. Но потолок самолета Анисимов счел недостаточ</w:t>
      </w:r>
      <w:r w:rsidRPr="008127F8">
        <w:rPr>
          <w:rFonts w:ascii="Times New Roman" w:hAnsi="Times New Roman"/>
          <w:color w:val="000000" w:themeColor="text1"/>
          <w:sz w:val="16"/>
          <w:szCs w:val="16"/>
        </w:rPr>
        <w:softHyphen/>
        <w:t>ным. Во время налетов на Ханькоу ис</w:t>
      </w:r>
      <w:r w:rsidRPr="008127F8">
        <w:rPr>
          <w:rFonts w:ascii="Times New Roman" w:hAnsi="Times New Roman"/>
          <w:color w:val="000000" w:themeColor="text1"/>
          <w:sz w:val="16"/>
          <w:szCs w:val="16"/>
        </w:rPr>
        <w:softHyphen/>
        <w:t>требители Ки.27 (в наших документах И-97) перехватывали бомбардировщи</w:t>
      </w:r>
      <w:r w:rsidRPr="008127F8">
        <w:rPr>
          <w:rFonts w:ascii="Times New Roman" w:hAnsi="Times New Roman"/>
          <w:color w:val="000000" w:themeColor="text1"/>
          <w:sz w:val="16"/>
          <w:szCs w:val="16"/>
        </w:rPr>
        <w:softHyphen/>
        <w:t>ки на высоте порядка 8500-9000 м. Вы</w:t>
      </w:r>
      <w:r w:rsidRPr="008127F8">
        <w:rPr>
          <w:rFonts w:ascii="Times New Roman" w:hAnsi="Times New Roman"/>
          <w:color w:val="000000" w:themeColor="text1"/>
          <w:sz w:val="16"/>
          <w:szCs w:val="16"/>
        </w:rPr>
        <w:softHyphen/>
        <w:t>звало зависть и отсутствие на наших са</w:t>
      </w:r>
      <w:r w:rsidRPr="008127F8">
        <w:rPr>
          <w:rFonts w:ascii="Times New Roman" w:hAnsi="Times New Roman"/>
          <w:color w:val="000000" w:themeColor="text1"/>
          <w:sz w:val="16"/>
          <w:szCs w:val="16"/>
        </w:rPr>
        <w:softHyphen/>
        <w:t>молетах средств радионавигации, кото</w:t>
      </w:r>
      <w:r w:rsidRPr="008127F8">
        <w:rPr>
          <w:rFonts w:ascii="Times New Roman" w:hAnsi="Times New Roman"/>
          <w:color w:val="000000" w:themeColor="text1"/>
          <w:sz w:val="16"/>
          <w:szCs w:val="16"/>
        </w:rPr>
        <w:softHyphen/>
        <w:t>рые советские летчики видели на сби</w:t>
      </w:r>
      <w:r w:rsidRPr="008127F8">
        <w:rPr>
          <w:rFonts w:ascii="Times New Roman" w:hAnsi="Times New Roman"/>
          <w:color w:val="000000" w:themeColor="text1"/>
          <w:sz w:val="16"/>
          <w:szCs w:val="16"/>
        </w:rPr>
        <w:softHyphen/>
        <w:t>тых японских машинах. Общие выводы по использованию в японо-китайской войне советских само</w:t>
      </w:r>
      <w:r w:rsidRPr="008127F8">
        <w:rPr>
          <w:rFonts w:ascii="Times New Roman" w:hAnsi="Times New Roman"/>
          <w:color w:val="000000" w:themeColor="text1"/>
          <w:sz w:val="16"/>
          <w:szCs w:val="16"/>
        </w:rPr>
        <w:softHyphen/>
        <w:t>летов и летчиков были впоследствии сформулированы в постановлении Во</w:t>
      </w:r>
      <w:r w:rsidRPr="008127F8">
        <w:rPr>
          <w:rFonts w:ascii="Times New Roman" w:hAnsi="Times New Roman"/>
          <w:color w:val="000000" w:themeColor="text1"/>
          <w:sz w:val="16"/>
          <w:szCs w:val="16"/>
        </w:rPr>
        <w:softHyphen/>
        <w:t>енного совета ВВС «О ходе реализации предложений по опыту применения ВВС в Испании и Китае». Это постановление было принято 28 февраля 1939 г. Оно потребовало от конструкто</w:t>
      </w:r>
      <w:r w:rsidRPr="008127F8">
        <w:rPr>
          <w:rFonts w:ascii="Times New Roman" w:hAnsi="Times New Roman"/>
          <w:color w:val="000000" w:themeColor="text1"/>
          <w:sz w:val="16"/>
          <w:szCs w:val="16"/>
        </w:rPr>
        <w:softHyphen/>
        <w:t>ров протектировать все бензобаки, за</w:t>
      </w:r>
      <w:r w:rsidRPr="008127F8">
        <w:rPr>
          <w:rFonts w:ascii="Times New Roman" w:hAnsi="Times New Roman"/>
          <w:color w:val="000000" w:themeColor="text1"/>
          <w:sz w:val="16"/>
          <w:szCs w:val="16"/>
        </w:rPr>
        <w:softHyphen/>
        <w:t>полнять их нейтральным газом, ввести полноценное второе управление и уже упоминавшиеся лобовые жалюзи, уве</w:t>
      </w:r>
      <w:r w:rsidRPr="008127F8">
        <w:rPr>
          <w:rFonts w:ascii="Times New Roman" w:hAnsi="Times New Roman"/>
          <w:color w:val="000000" w:themeColor="text1"/>
          <w:sz w:val="16"/>
          <w:szCs w:val="16"/>
        </w:rPr>
        <w:softHyphen/>
        <w:t>личить размеры колес и поставить на них двухсторонние тормоза, поставить фотоаппарат и «проработать вопрос о введении еще одного стрелка». Как вы поняли, часть этого реализовали на ДБ-3Б. Другую часть изменений собира</w:t>
      </w:r>
      <w:r w:rsidRPr="008127F8">
        <w:rPr>
          <w:rFonts w:ascii="Times New Roman" w:hAnsi="Times New Roman"/>
          <w:color w:val="000000" w:themeColor="text1"/>
          <w:sz w:val="16"/>
          <w:szCs w:val="16"/>
        </w:rPr>
        <w:softHyphen/>
        <w:t>лись внести в ходе работ по «глубокой модернизации», вылившейся в созда</w:t>
      </w:r>
      <w:r w:rsidRPr="008127F8">
        <w:rPr>
          <w:rFonts w:ascii="Times New Roman" w:hAnsi="Times New Roman"/>
          <w:color w:val="000000" w:themeColor="text1"/>
          <w:sz w:val="16"/>
          <w:szCs w:val="16"/>
        </w:rPr>
        <w:softHyphen/>
        <w:t>ние ДБ-3Ф (10734,40).</w:t>
      </w:r>
    </w:p>
    <w:p w14:paraId="33B1F0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888C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B831E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C14BA5"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1942 г. в США военные заказали GAL (будущей JTL) Калтеха в Пасадене лётные испытания ускорителей на жидком, а не твёрдом топливе. Парсонс </w:t>
      </w:r>
      <w:proofErr w:type="gramStart"/>
      <w:r w:rsidRPr="008A2E5A">
        <w:rPr>
          <w:rFonts w:ascii="Times New Roman" w:hAnsi="Times New Roman"/>
          <w:color w:val="0070C0"/>
          <w:sz w:val="16"/>
          <w:szCs w:val="16"/>
        </w:rPr>
        <w:t>и  Саммерфилд</w:t>
      </w:r>
      <w:proofErr w:type="gramEnd"/>
      <w:r w:rsidRPr="008A2E5A">
        <w:rPr>
          <w:rFonts w:ascii="Times New Roman" w:hAnsi="Times New Roman"/>
          <w:color w:val="0070C0"/>
          <w:sz w:val="16"/>
          <w:szCs w:val="16"/>
        </w:rPr>
        <w:t xml:space="preserve"> нашли решение в сочетании бензина с красной дымящейся азотной кислотой в качестве окислителя. На испытаниях этого топлива экспериментальный ракетный двигатель взорвался. Малина решил возникшую проблему, заменив бензин анилином. Испытания JATO на бомбардировщке «Douglas A-20 Havoc» на аэродроме в пустыне Мохав прошли успешно: они обеспечили </w:t>
      </w:r>
      <w:proofErr w:type="gramStart"/>
      <w:r w:rsidRPr="008A2E5A">
        <w:rPr>
          <w:rFonts w:ascii="Times New Roman" w:hAnsi="Times New Roman"/>
          <w:color w:val="0070C0"/>
          <w:sz w:val="16"/>
          <w:szCs w:val="16"/>
        </w:rPr>
        <w:t>в  5</w:t>
      </w:r>
      <w:proofErr w:type="gramEnd"/>
      <w:r w:rsidRPr="008A2E5A">
        <w:rPr>
          <w:rFonts w:ascii="Times New Roman" w:hAnsi="Times New Roman"/>
          <w:color w:val="0070C0"/>
          <w:sz w:val="16"/>
          <w:szCs w:val="16"/>
        </w:rPr>
        <w:t xml:space="preserve"> раз больше тягу, чем GALCIT-27, и вдвое сократили пробег при взлете. Парсонс </w:t>
      </w:r>
      <w:proofErr w:type="gramStart"/>
      <w:r w:rsidRPr="008A2E5A">
        <w:rPr>
          <w:rFonts w:ascii="Times New Roman" w:hAnsi="Times New Roman"/>
          <w:color w:val="0070C0"/>
          <w:sz w:val="16"/>
          <w:szCs w:val="16"/>
        </w:rPr>
        <w:t>и  его</w:t>
      </w:r>
      <w:proofErr w:type="gramEnd"/>
      <w:r w:rsidRPr="008A2E5A">
        <w:rPr>
          <w:rFonts w:ascii="Times New Roman" w:hAnsi="Times New Roman"/>
          <w:color w:val="0070C0"/>
          <w:sz w:val="16"/>
          <w:szCs w:val="16"/>
        </w:rPr>
        <w:t xml:space="preserve"> группа договорились произвести по заказу армейской авиации 60 ускорителей для войсковых испытаний. Для этого в марте 1942 г. они учредили «Aerojet Engineering Corporation». Парсонс, Форман, Малина, Саммерфилд </w:t>
      </w:r>
      <w:proofErr w:type="gramStart"/>
      <w:r w:rsidRPr="008A2E5A">
        <w:rPr>
          <w:rFonts w:ascii="Times New Roman" w:hAnsi="Times New Roman"/>
          <w:color w:val="0070C0"/>
          <w:sz w:val="16"/>
          <w:szCs w:val="16"/>
        </w:rPr>
        <w:t>и  Т.</w:t>
      </w:r>
      <w:proofErr w:type="gramEnd"/>
      <w:r w:rsidRPr="008A2E5A">
        <w:rPr>
          <w:rFonts w:ascii="Times New Roman" w:hAnsi="Times New Roman"/>
          <w:color w:val="0070C0"/>
          <w:sz w:val="16"/>
          <w:szCs w:val="16"/>
        </w:rPr>
        <w:t xml:space="preserve"> фон Карман внесли по 250 долларов. Свой офис они открыли на бульваре Колорадо, наняли Э. Хейли адвокатом </w:t>
      </w:r>
      <w:proofErr w:type="gramStart"/>
      <w:r w:rsidRPr="008A2E5A">
        <w:rPr>
          <w:rFonts w:ascii="Times New Roman" w:hAnsi="Times New Roman"/>
          <w:color w:val="0070C0"/>
          <w:sz w:val="16"/>
          <w:szCs w:val="16"/>
        </w:rPr>
        <w:t>и  казначеем</w:t>
      </w:r>
      <w:proofErr w:type="gramEnd"/>
      <w:r w:rsidRPr="008A2E5A">
        <w:rPr>
          <w:rFonts w:ascii="Times New Roman" w:hAnsi="Times New Roman"/>
          <w:color w:val="0070C0"/>
          <w:sz w:val="16"/>
          <w:szCs w:val="16"/>
        </w:rPr>
        <w:t xml:space="preserve"> компании. По уставу, «Aerojet» должна была разрабатывать технологии для военных нужд (23372).</w:t>
      </w:r>
    </w:p>
    <w:p w14:paraId="5F7FCD62" w14:textId="77777777" w:rsidR="00447BBA" w:rsidRPr="008A2E5A" w:rsidRDefault="00447BBA" w:rsidP="00447BBA">
      <w:pPr>
        <w:spacing w:after="0" w:line="240" w:lineRule="auto"/>
        <w:jc w:val="both"/>
        <w:rPr>
          <w:rFonts w:ascii="Times New Roman" w:hAnsi="Times New Roman"/>
          <w:color w:val="0070C0"/>
          <w:sz w:val="16"/>
          <w:szCs w:val="16"/>
        </w:rPr>
      </w:pPr>
    </w:p>
    <w:p w14:paraId="44F71DA4"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Фирма «Ф. Хиллс энд сан» из Манчестера для улучшения взлетно-посадочных харак</w:t>
      </w:r>
      <w:r w:rsidRPr="008A2E5A">
        <w:rPr>
          <w:rFonts w:ascii="Times New Roman" w:hAnsi="Times New Roman"/>
          <w:color w:val="0070C0"/>
          <w:sz w:val="16"/>
          <w:szCs w:val="16"/>
        </w:rPr>
        <w:softHyphen/>
        <w:t>теристик истребителя Харрикейн пред</w:t>
      </w:r>
      <w:r w:rsidRPr="008A2E5A">
        <w:rPr>
          <w:rFonts w:ascii="Times New Roman" w:hAnsi="Times New Roman"/>
          <w:color w:val="0070C0"/>
          <w:sz w:val="16"/>
          <w:szCs w:val="16"/>
        </w:rPr>
        <w:softHyphen/>
        <w:t>ложила превратить моно</w:t>
      </w:r>
      <w:r w:rsidRPr="008A2E5A">
        <w:rPr>
          <w:rFonts w:ascii="Times New Roman" w:hAnsi="Times New Roman"/>
          <w:color w:val="0070C0"/>
          <w:sz w:val="16"/>
          <w:szCs w:val="16"/>
        </w:rPr>
        <w:softHyphen/>
        <w:t>план в биплан. Не навсегда, а только на время разбега, набора высоты и крейсерского поле</w:t>
      </w:r>
      <w:r w:rsidRPr="008A2E5A">
        <w:rPr>
          <w:rFonts w:ascii="Times New Roman" w:hAnsi="Times New Roman"/>
          <w:color w:val="0070C0"/>
          <w:sz w:val="16"/>
          <w:szCs w:val="16"/>
        </w:rPr>
        <w:softHyphen/>
        <w:t>та. Это обещало уменьшить дистанцию раз</w:t>
      </w:r>
      <w:r w:rsidRPr="008A2E5A">
        <w:rPr>
          <w:rFonts w:ascii="Times New Roman" w:hAnsi="Times New Roman"/>
          <w:color w:val="0070C0"/>
          <w:sz w:val="16"/>
          <w:szCs w:val="16"/>
        </w:rPr>
        <w:softHyphen/>
        <w:t>бега, увеличить полезную нагрузку самолета и радиус действия. В бою «лишнее» крыло собирались сбрасывать. Министерство авиа</w:t>
      </w:r>
      <w:r w:rsidRPr="008A2E5A">
        <w:rPr>
          <w:rFonts w:ascii="Times New Roman" w:hAnsi="Times New Roman"/>
          <w:color w:val="0070C0"/>
          <w:sz w:val="16"/>
          <w:szCs w:val="16"/>
        </w:rPr>
        <w:softHyphen/>
        <w:t>ции идею одобрило, но денег не дало. Поста</w:t>
      </w:r>
      <w:r w:rsidRPr="008A2E5A">
        <w:rPr>
          <w:rFonts w:ascii="Times New Roman" w:hAnsi="Times New Roman"/>
          <w:color w:val="0070C0"/>
          <w:sz w:val="16"/>
          <w:szCs w:val="16"/>
        </w:rPr>
        <w:softHyphen/>
        <w:t>новили считать проект частным и согласились только предоставить самолет. При этом он считался переданным взаймы на шесть меся</w:t>
      </w:r>
      <w:r w:rsidRPr="008A2E5A">
        <w:rPr>
          <w:rFonts w:ascii="Times New Roman" w:hAnsi="Times New Roman"/>
          <w:color w:val="0070C0"/>
          <w:sz w:val="16"/>
          <w:szCs w:val="16"/>
        </w:rPr>
        <w:softHyphen/>
        <w:t>цев, а с фирмы взяли 7000 фунтов на оплату страховки. Сидней Кэмм отнесся к новаторам настороженно, но согласился помочь при не</w:t>
      </w:r>
      <w:r w:rsidRPr="008A2E5A">
        <w:rPr>
          <w:rFonts w:ascii="Times New Roman" w:hAnsi="Times New Roman"/>
          <w:color w:val="0070C0"/>
          <w:sz w:val="16"/>
          <w:szCs w:val="16"/>
        </w:rPr>
        <w:softHyphen/>
        <w:t>обходимости.</w:t>
      </w:r>
    </w:p>
    <w:p w14:paraId="5738EBC7"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разработанный под руководством конструктора Сайкса, назвали FH.40. Верх</w:t>
      </w:r>
      <w:r w:rsidRPr="008A2E5A">
        <w:rPr>
          <w:rFonts w:ascii="Times New Roman" w:hAnsi="Times New Roman"/>
          <w:color w:val="0070C0"/>
          <w:sz w:val="16"/>
          <w:szCs w:val="16"/>
        </w:rPr>
        <w:softHyphen/>
        <w:t>нее крыло по размаху и форме соответство</w:t>
      </w:r>
      <w:r w:rsidRPr="008A2E5A">
        <w:rPr>
          <w:rFonts w:ascii="Times New Roman" w:hAnsi="Times New Roman"/>
          <w:color w:val="0070C0"/>
          <w:sz w:val="16"/>
          <w:szCs w:val="16"/>
        </w:rPr>
        <w:softHyphen/>
        <w:t>вало нижнему. Оно имело деревянный набор с двумя коробчатыми лонжеронами, деревян</w:t>
      </w:r>
      <w:r w:rsidRPr="008A2E5A">
        <w:rPr>
          <w:rFonts w:ascii="Times New Roman" w:hAnsi="Times New Roman"/>
          <w:color w:val="0070C0"/>
          <w:sz w:val="16"/>
          <w:szCs w:val="16"/>
        </w:rPr>
        <w:softHyphen/>
        <w:t>ными же нервюрами и обшивалось тонкой фанерой. Конструкция выполнялась предель</w:t>
      </w:r>
      <w:r w:rsidRPr="008A2E5A">
        <w:rPr>
          <w:rFonts w:ascii="Times New Roman" w:hAnsi="Times New Roman"/>
          <w:color w:val="0070C0"/>
          <w:sz w:val="16"/>
          <w:szCs w:val="16"/>
        </w:rPr>
        <w:softHyphen/>
        <w:t>но простой и дешевой, поскольку считалась «одноразовой». В центроплане располага</w:t>
      </w:r>
      <w:r w:rsidRPr="008A2E5A">
        <w:rPr>
          <w:rFonts w:ascii="Times New Roman" w:hAnsi="Times New Roman"/>
          <w:color w:val="0070C0"/>
          <w:sz w:val="16"/>
          <w:szCs w:val="16"/>
        </w:rPr>
        <w:softHyphen/>
        <w:t>лись дополнительные бензобаки, магистрали от них шли через стойки.</w:t>
      </w:r>
    </w:p>
    <w:p w14:paraId="3DBA0AE8"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несущей поверхности у биплана более чем удваивалась по сравнению с обыч</w:t>
      </w:r>
      <w:r w:rsidRPr="008A2E5A">
        <w:rPr>
          <w:rFonts w:ascii="Times New Roman" w:hAnsi="Times New Roman"/>
          <w:color w:val="0070C0"/>
          <w:sz w:val="16"/>
          <w:szCs w:val="16"/>
        </w:rPr>
        <w:softHyphen/>
        <w:t>ным «Харрикейном» и была больше, чем у двухмоторного бомбардировщика «Бленхейм».</w:t>
      </w:r>
    </w:p>
    <w:p w14:paraId="2541496A"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Верхнее крыло было связано с нижним и с фюзеляжем системой стоек и подкосов из труб. При сбросе четыре замка на стойках крыла должны были открываться гидравли</w:t>
      </w:r>
      <w:r w:rsidRPr="008A2E5A">
        <w:rPr>
          <w:rFonts w:ascii="Times New Roman" w:hAnsi="Times New Roman"/>
          <w:color w:val="0070C0"/>
          <w:sz w:val="16"/>
          <w:szCs w:val="16"/>
        </w:rPr>
        <w:softHyphen/>
        <w:t>ческим приводом. Надо сказать, что у спе</w:t>
      </w:r>
      <w:r w:rsidRPr="008A2E5A">
        <w:rPr>
          <w:rFonts w:ascii="Times New Roman" w:hAnsi="Times New Roman"/>
          <w:color w:val="0070C0"/>
          <w:sz w:val="16"/>
          <w:szCs w:val="16"/>
        </w:rPr>
        <w:softHyphen/>
        <w:t>циалистов RAE схема сброса вызвала много сомнений. Не верилось, что крыло со стойка</w:t>
      </w:r>
      <w:r w:rsidRPr="008A2E5A">
        <w:rPr>
          <w:rFonts w:ascii="Times New Roman" w:hAnsi="Times New Roman"/>
          <w:color w:val="0070C0"/>
          <w:sz w:val="16"/>
          <w:szCs w:val="16"/>
        </w:rPr>
        <w:softHyphen/>
        <w:t>ми улетит, не задев оперение. Если же замки сработают не синхронно, то вероятность уда</w:t>
      </w:r>
      <w:r w:rsidRPr="008A2E5A">
        <w:rPr>
          <w:rFonts w:ascii="Times New Roman" w:hAnsi="Times New Roman"/>
          <w:color w:val="0070C0"/>
          <w:sz w:val="16"/>
          <w:szCs w:val="16"/>
        </w:rPr>
        <w:softHyphen/>
        <w:t>ра по фюзеляжу становилась очень высокой.</w:t>
      </w:r>
    </w:p>
    <w:p w14:paraId="54AA26E5"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электромагнитным — соленоиды вытягивали пальцы замков из вилок стоек. Предусматри</w:t>
      </w:r>
      <w:r w:rsidRPr="008A2E5A">
        <w:rPr>
          <w:rFonts w:ascii="Times New Roman" w:hAnsi="Times New Roman"/>
          <w:color w:val="0070C0"/>
          <w:sz w:val="16"/>
          <w:szCs w:val="16"/>
        </w:rPr>
        <w:softHyphen/>
        <w:t>вался также механический (предварительно сжатыми пружинами) аварийный сброс (24506).</w:t>
      </w:r>
    </w:p>
    <w:p w14:paraId="1EA312A9" w14:textId="77777777" w:rsidR="00447BBA" w:rsidRPr="008A2E5A" w:rsidRDefault="00447BBA" w:rsidP="00447B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выделили, но дать что-то хоро</w:t>
      </w:r>
      <w:r w:rsidRPr="008A2E5A">
        <w:rPr>
          <w:rFonts w:ascii="Times New Roman" w:hAnsi="Times New Roman"/>
          <w:color w:val="0070C0"/>
          <w:sz w:val="16"/>
          <w:szCs w:val="16"/>
        </w:rPr>
        <w:softHyphen/>
        <w:t>шее пожадничали. Это оказался потрепанный «Харрикейн» I, который когда-то был экспор</w:t>
      </w:r>
      <w:r w:rsidRPr="008A2E5A">
        <w:rPr>
          <w:rFonts w:ascii="Times New Roman" w:hAnsi="Times New Roman"/>
          <w:color w:val="0070C0"/>
          <w:sz w:val="16"/>
          <w:szCs w:val="16"/>
        </w:rPr>
        <w:softHyphen/>
        <w:t>тирован в Канаду, затем вернулся на родину вместе с канадской эскадрильей, а со вре</w:t>
      </w:r>
      <w:r w:rsidRPr="008A2E5A">
        <w:rPr>
          <w:rFonts w:ascii="Times New Roman" w:hAnsi="Times New Roman"/>
          <w:color w:val="0070C0"/>
          <w:sz w:val="16"/>
          <w:szCs w:val="16"/>
        </w:rPr>
        <w:softHyphen/>
        <w:t>менем попал в учебный центр. Крылья у него были деревянные, а проект предусматривал использование более прочного металличе</w:t>
      </w:r>
      <w:r w:rsidRPr="008A2E5A">
        <w:rPr>
          <w:rFonts w:ascii="Times New Roman" w:hAnsi="Times New Roman"/>
          <w:color w:val="0070C0"/>
          <w:sz w:val="16"/>
          <w:szCs w:val="16"/>
        </w:rPr>
        <w:softHyphen/>
        <w:t xml:space="preserve">ского. Фирма добилась такого комплекта, который в одной </w:t>
      </w:r>
      <w:proofErr w:type="gramStart"/>
      <w:r w:rsidRPr="008A2E5A">
        <w:rPr>
          <w:rFonts w:ascii="Times New Roman" w:hAnsi="Times New Roman"/>
          <w:color w:val="0070C0"/>
          <w:sz w:val="16"/>
          <w:szCs w:val="16"/>
        </w:rPr>
        <w:t>из .</w:t>
      </w:r>
      <w:proofErr w:type="gramEnd"/>
      <w:r w:rsidRPr="008A2E5A">
        <w:rPr>
          <w:rFonts w:ascii="Times New Roman" w:hAnsi="Times New Roman"/>
          <w:color w:val="0070C0"/>
          <w:sz w:val="16"/>
          <w:szCs w:val="16"/>
        </w:rPr>
        <w:t xml:space="preserve"> частей обслуживания поставили на самолет. Верхнее крыло и стой</w:t>
      </w:r>
      <w:r w:rsidRPr="008A2E5A">
        <w:rPr>
          <w:rFonts w:ascii="Times New Roman" w:hAnsi="Times New Roman"/>
          <w:color w:val="0070C0"/>
          <w:sz w:val="16"/>
          <w:szCs w:val="16"/>
        </w:rPr>
        <w:softHyphen/>
        <w:t>ки изготовила «Хиллс», а на заводе «Хокер» сделали увеличенный руль высоты. Шасси усилили, учитывая увеличившийся до 3360 кг взлетный вес. Все это собрали только в апре</w:t>
      </w:r>
      <w:r w:rsidRPr="008A2E5A">
        <w:rPr>
          <w:rFonts w:ascii="Times New Roman" w:hAnsi="Times New Roman"/>
          <w:color w:val="0070C0"/>
          <w:sz w:val="16"/>
          <w:szCs w:val="16"/>
        </w:rPr>
        <w:softHyphen/>
        <w:t>ле 1943 г. На первом этапе механизм сброса не монтировался. К этому времени он уже был электромагнитным — соленоиды вытягивали пальцы замков из вилок стоек. Предусматри</w:t>
      </w:r>
      <w:r w:rsidRPr="008A2E5A">
        <w:rPr>
          <w:rFonts w:ascii="Times New Roman" w:hAnsi="Times New Roman"/>
          <w:color w:val="0070C0"/>
          <w:sz w:val="16"/>
          <w:szCs w:val="16"/>
        </w:rPr>
        <w:softHyphen/>
        <w:t>вался также механический (предварительно сжатыми пружинами) аварийный сброс (24506).</w:t>
      </w:r>
    </w:p>
    <w:p w14:paraId="710F8D59" w14:textId="77777777" w:rsidR="00447BBA" w:rsidRPr="008A2E5A" w:rsidRDefault="00447BBA" w:rsidP="00447BBA">
      <w:pPr>
        <w:spacing w:after="0" w:line="240" w:lineRule="auto"/>
        <w:jc w:val="both"/>
        <w:rPr>
          <w:rFonts w:ascii="Times New Roman" w:hAnsi="Times New Roman"/>
          <w:color w:val="0070C0"/>
          <w:sz w:val="16"/>
          <w:szCs w:val="16"/>
        </w:rPr>
      </w:pPr>
    </w:p>
    <w:p w14:paraId="703F35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в серию пошла управляемая бомба Hs293A-1, однако на вооружение строевых подразделений Люфтваффе этот боеприпас начал поступать только в 1943 г. Новое оружие представляло собой стандартную немецкую фугасную бомбу SC500 с добавленными несущими плоскостямии и жидкостным ракетным двигателем “Вальтер” 109-107В. Вследствие этого некоторые западные авторы относят Hs293 к разряду крылатых ракет. Реактивный двигатель начинал работать через 1 - 1,5 секунды после сбрасывания бомбы и действовал в течение 10 секунд. Это давало увеличение скорости на 165 км/ч. Корпус бомбы прекрасно выдерживал трансзвуковые скорости. Однако, в боевых условиях бомбардировщики-носители УАБ наносили удар, как правило, с малых и средних высот, в результате чего конечная скорость бомбы редко превышала величину, соответствующую 0.5 - 0,6 М. Самолет-носитель оснащался радиоприбором наведения FUG203.“Киль”. Управление УАБ осуществлялось посредством специальной рукоятки по одному из 18 радиоканалов. Радиосигналы передовались в диапазоне УКВ и принимались смонтированным на Hs293 устройством FuGE230 “Страсбург". От него команды поступали к механизму управления рулем высоты. Руль направления на Hs293 отсутствовал, что налагало серьёзные ограничения на применение и требовало от экипажей определённой точности выхода на цель, причём под возможно более острым курсовым углом (9524).</w:t>
      </w:r>
    </w:p>
    <w:p w14:paraId="43F6CD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05C22" w14:textId="77777777" w:rsidR="00A174FD" w:rsidRPr="008127F8" w:rsidRDefault="00A174FD"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С января 1942 г. в войска начали по</w:t>
      </w:r>
      <w:r w:rsidRPr="008127F8">
        <w:rPr>
          <w:rFonts w:ascii="Times New Roman" w:cs="Times New Roman"/>
          <w:color w:val="000000" w:themeColor="text1"/>
          <w:spacing w:val="0"/>
          <w:sz w:val="16"/>
          <w:szCs w:val="16"/>
        </w:rPr>
        <w:softHyphen/>
        <w:t>ступать усовершенствованные В-17Е, которые во многом стали новыми са</w:t>
      </w:r>
      <w:r w:rsidRPr="008127F8">
        <w:rPr>
          <w:rFonts w:ascii="Times New Roman" w:cs="Times New Roman"/>
          <w:color w:val="000000" w:themeColor="text1"/>
          <w:spacing w:val="0"/>
          <w:sz w:val="16"/>
          <w:szCs w:val="16"/>
        </w:rPr>
        <w:softHyphen/>
        <w:t>молетами. В этой модификации замене и доработке подверглось более 30 про</w:t>
      </w:r>
      <w:r w:rsidRPr="008127F8">
        <w:rPr>
          <w:rFonts w:ascii="Times New Roman" w:cs="Times New Roman"/>
          <w:color w:val="000000" w:themeColor="text1"/>
          <w:spacing w:val="0"/>
          <w:sz w:val="16"/>
          <w:szCs w:val="16"/>
        </w:rPr>
        <w:softHyphen/>
        <w:t>центов деталей и узлов. Самолету пол</w:t>
      </w:r>
      <w:r w:rsidRPr="008127F8">
        <w:rPr>
          <w:rFonts w:ascii="Times New Roman" w:cs="Times New Roman"/>
          <w:color w:val="000000" w:themeColor="text1"/>
          <w:spacing w:val="0"/>
          <w:sz w:val="16"/>
          <w:szCs w:val="16"/>
        </w:rPr>
        <w:softHyphen/>
        <w:t>ностью заменили хвостовое оперение и усилили вооружение, а самое уязвимое место (за килем) прикрыли спаренной пулеметной установкой (15772).</w:t>
      </w:r>
    </w:p>
    <w:p w14:paraId="113B4D0A" w14:textId="77777777" w:rsidR="00A174FD" w:rsidRPr="008127F8" w:rsidRDefault="00A174FD" w:rsidP="001E0A84">
      <w:pPr>
        <w:pStyle w:val="36"/>
        <w:shd w:val="clear" w:color="auto" w:fill="auto"/>
        <w:spacing w:after="0" w:line="240" w:lineRule="auto"/>
        <w:jc w:val="both"/>
        <w:rPr>
          <w:rFonts w:ascii="Times New Roman" w:cs="Times New Roman"/>
          <w:color w:val="000000" w:themeColor="text1"/>
          <w:spacing w:val="0"/>
          <w:sz w:val="16"/>
          <w:szCs w:val="16"/>
        </w:rPr>
      </w:pPr>
    </w:p>
    <w:p w14:paraId="0F054AD5"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в США Объединенный комитет начальников штабов начать рассматривать возможности создания системы транспортировки на театр боевых действий в Кита-Бирме-Индии, в первую очередь с участием транспортных самолетов (20793)</w:t>
      </w:r>
    </w:p>
    <w:p w14:paraId="5914837A"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0304BEB5"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район Сан-Франциско из своей единственной 76-мм пушки обстре</w:t>
      </w:r>
      <w:r w:rsidRPr="008127F8">
        <w:rPr>
          <w:rFonts w:ascii="Times New Roman" w:hAnsi="Times New Roman"/>
          <w:color w:val="000000" w:themeColor="text1"/>
          <w:sz w:val="16"/>
          <w:szCs w:val="16"/>
        </w:rPr>
        <w:softHyphen/>
        <w:t>ляла японская подлодка Ro-64. После этих успешных рейдов командование флота приказало всем японским суб</w:t>
      </w:r>
      <w:r w:rsidRPr="008127F8">
        <w:rPr>
          <w:rFonts w:ascii="Times New Roman" w:hAnsi="Times New Roman"/>
          <w:color w:val="000000" w:themeColor="text1"/>
          <w:sz w:val="16"/>
          <w:szCs w:val="16"/>
        </w:rPr>
        <w:softHyphen/>
        <w:t>маринам наносить артиллерийские удары по береговым объектам (не в ущерб основному заданию), чтобы вызвать панику и оказать психологи</w:t>
      </w:r>
      <w:r w:rsidRPr="008127F8">
        <w:rPr>
          <w:rFonts w:ascii="Times New Roman" w:hAnsi="Times New Roman"/>
          <w:color w:val="000000" w:themeColor="text1"/>
          <w:sz w:val="16"/>
          <w:szCs w:val="16"/>
        </w:rPr>
        <w:softHyphen/>
        <w:t>ческое воздействие на противника (22807).</w:t>
      </w:r>
    </w:p>
    <w:p w14:paraId="6814E1FE"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348B2701"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январе 1942 года Фердинанд Порше предложил переделать корпус Tiger P с наклонной бронёй. В ответ фирма «Крупп» подготовила проект корпуса для VK 45.02 (P) с единой гнутой лобовой деталью, установленной под углом 55°. Переход на новый корпус планировался со 101-го по счёту танка, но из-за остановки сборки Tiger P он так и не состоялся. Примерно в то же время по аналогии переделали и корпус сверхтяжёлого Löwe — он тоже получил лоб из одного гнутого бронелиста (19677).</w:t>
      </w:r>
    </w:p>
    <w:p w14:paraId="5964273B"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042ECEFB" w14:textId="77777777" w:rsidR="00687F81" w:rsidRPr="008127F8" w:rsidRDefault="00687F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была окончательно завершена постройка 80 cm (E) «Dora». Орудие было готово к боевым действиям и поступило на вооружение специально созданного отдельного 672-го тяжелого железнодорожного артдивизиона (SchwereArtillerieAbteilung (E) 672). Это формирование состояло из нескольких подразделений, основными из которых являлись штабная и огневая батареи. В составе штабной батареи имелись вычислительные группы, производившие все необходимые для наводки на цель расчеты, а также взвод артиллерийских наблюдателей, в котором, кроме обычных средств (теодолиты, стереотрубы), использовалась и новая для того времени инфракрасная техника. Расчет орудия составлял около 500 человек, но с батальоном охраны, транспортным батальоном, двумя составами для подвоза боеприпасов, энергопоездом, полевым хлебозаводом и комендатурой на установку приходилось до 1420 человек обслуги. Первым командиром 672-го дивизиона стал полковник Р. Бом (R. Bohm), имевший также и диплом инженера. «Дора» состояла из собственно орудия и железнодорожного транспортера. 800-мм ствол имел длину 32,48 м (40,6 калибров) и весил 400 т. Заряжание — раздельно-гильзовое. Запирание канала ствола осуществлялось клиновым затвором, имевшим гидравлический привод, также при помощи гидропривода производилось досылание снаряда (22897).</w:t>
      </w:r>
    </w:p>
    <w:p w14:paraId="12C72769" w14:textId="77777777" w:rsidR="00687F81" w:rsidRPr="008127F8" w:rsidRDefault="00687F81" w:rsidP="001E0A84">
      <w:pPr>
        <w:spacing w:after="0" w:line="240" w:lineRule="auto"/>
        <w:jc w:val="both"/>
        <w:rPr>
          <w:rFonts w:ascii="Times New Roman" w:hAnsi="Times New Roman"/>
          <w:color w:val="000000" w:themeColor="text1"/>
          <w:sz w:val="16"/>
          <w:szCs w:val="16"/>
        </w:rPr>
      </w:pPr>
    </w:p>
    <w:p w14:paraId="2B07241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Авиапромышленность:</w:t>
      </w:r>
    </w:p>
    <w:p w14:paraId="4C006D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C98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и феврале 1942 за счет кадров и оборудования расформированного завода № 135 были усилены авиазаводы №№ 30 и 381. По воспоминаниям старейшего сотрудника ОКБ М.И.Зуева, на такое решение повлияла нелюбовь к Павлу Осиповичу со стороны Сталина. После гибели В.М.Петлякова в катастрофе 12 января 1942 г. Сухой был вызван в Кремль и получил предложение возглавить работу над совершенствованием Пе-2. Сухой не отказался, но и не согласился. Сталину не понравились колебания Павла Осиповича, и 14 января с его ведома состоялось назначение на должность главного конструктора завода № 22 А.И.Изаксона (5360).</w:t>
      </w:r>
    </w:p>
    <w:p w14:paraId="11F572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49114" w14:textId="77777777" w:rsidR="00A174FD" w:rsidRPr="008127F8" w:rsidRDefault="00A174FD"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и феврале 1942 завод № 39 отправил фронтовым частям 50 бомбардировщиков Пе-2. Начиная с марта, ежемесячные поставки фронту составляли свыше 100 машин (15223).</w:t>
      </w:r>
    </w:p>
    <w:p w14:paraId="4BAE63F0" w14:textId="77777777" w:rsidR="00A174FD" w:rsidRPr="008127F8" w:rsidRDefault="00A174FD" w:rsidP="001E0A84">
      <w:pPr>
        <w:shd w:val="clear" w:color="auto" w:fill="FFFFFF"/>
        <w:spacing w:after="0" w:line="240" w:lineRule="auto"/>
        <w:jc w:val="both"/>
        <w:rPr>
          <w:rFonts w:ascii="Times New Roman" w:hAnsi="Times New Roman"/>
          <w:color w:val="000000" w:themeColor="text1"/>
          <w:sz w:val="16"/>
          <w:szCs w:val="16"/>
        </w:rPr>
      </w:pPr>
    </w:p>
    <w:p w14:paraId="7C3CC6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январе-феврале 1942 30 завод сделал несколько (65) Як-1 (198,23) - то есть А.С.Я - давил.</w:t>
      </w:r>
    </w:p>
    <w:p w14:paraId="429628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D15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январе-мае 1942 на 153 заводе выпускали Як-7А с М-105ПА (65,80).</w:t>
      </w:r>
    </w:p>
    <w:p w14:paraId="2C27E7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32C8F" w14:textId="77777777" w:rsidR="00AA6BB1" w:rsidRPr="008127F8" w:rsidRDefault="00AA6BB1" w:rsidP="001E0A84">
      <w:pPr>
        <w:pStyle w:val="a4"/>
        <w:rPr>
          <w:color w:val="000000" w:themeColor="text1"/>
          <w:lang w:val="ru-RU"/>
        </w:rPr>
      </w:pPr>
      <w:r w:rsidRPr="008127F8">
        <w:rPr>
          <w:color w:val="000000" w:themeColor="text1"/>
          <w:lang w:val="ru-RU"/>
        </w:rPr>
        <w:t>За январь—март 1942 на Як-7 М-82 сменили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аналогичные значения зийного Як-7А с М-105П. Такой результат, в частности, явился следствием установки винта диаметром всего 2,8 м, что не позволяло снять полную мощность мотора. Винт же большего диаметра на Як-7 установить было невозможно из-за недостаточной выс</w:t>
      </w:r>
      <w:r w:rsidRPr="008127F8">
        <w:rPr>
          <w:rStyle w:val="MSReferenceSansSerif"/>
          <w:rFonts w:ascii="Times New Roman" w:eastAsia="Arial Unicode MS" w:hAnsi="Times New Roman" w:cs="Times New Roman"/>
          <w:color w:val="000000" w:themeColor="text1"/>
          <w:sz w:val="16"/>
          <w:szCs w:val="16"/>
          <w:lang w:val="ru-RU"/>
        </w:rPr>
        <w:t>оты</w:t>
      </w:r>
      <w:r w:rsidRPr="008127F8">
        <w:rPr>
          <w:color w:val="000000" w:themeColor="text1"/>
          <w:lang w:val="ru-RU"/>
        </w:rPr>
        <w:t xml:space="preserve"> стоек шасси. В результате А.С. Яковлев не проявил интереса к продолжению эводки этого самолёта, и 13 мая 1942 г. лётные испытания прекратили (15788).</w:t>
      </w:r>
    </w:p>
    <w:p w14:paraId="53311AA7" w14:textId="77777777" w:rsidR="00AA6BB1" w:rsidRPr="008127F8" w:rsidRDefault="00AA6BB1" w:rsidP="001E0A84">
      <w:pPr>
        <w:pStyle w:val="a4"/>
        <w:rPr>
          <w:color w:val="000000" w:themeColor="text1"/>
          <w:lang w:val="ru-RU"/>
        </w:rPr>
      </w:pPr>
    </w:p>
    <w:p w14:paraId="70F04971" w14:textId="77777777" w:rsidR="005C1FB8" w:rsidRPr="008A2E5A" w:rsidRDefault="005C1FB8" w:rsidP="005C1F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по март 1942 г. ведущий инженер Новоси</w:t>
      </w:r>
      <w:r w:rsidRPr="008A2E5A">
        <w:rPr>
          <w:rFonts w:ascii="Times New Roman" w:hAnsi="Times New Roman"/>
          <w:color w:val="0070C0"/>
          <w:sz w:val="16"/>
          <w:szCs w:val="16"/>
        </w:rPr>
        <w:softHyphen/>
        <w:t>бирского филиала ЛИИ НКАП Н.И. Тихонов проводил первоначальную доводку системы НГ на самолете Як-7А №1515321. Изменением положения элементов и улуч</w:t>
      </w:r>
      <w:r w:rsidRPr="008A2E5A">
        <w:rPr>
          <w:rFonts w:ascii="Times New Roman" w:hAnsi="Times New Roman"/>
          <w:color w:val="0070C0"/>
          <w:sz w:val="16"/>
          <w:szCs w:val="16"/>
        </w:rPr>
        <w:softHyphen/>
        <w:t>шением герметичности соединений системы удалось добиться ее удовлетворительной работы. Измененную систему НГ на Як-7А внедрили в производство с 16-й се</w:t>
      </w:r>
      <w:r w:rsidRPr="008A2E5A">
        <w:rPr>
          <w:rFonts w:ascii="Times New Roman" w:hAnsi="Times New Roman"/>
          <w:color w:val="0070C0"/>
          <w:sz w:val="16"/>
          <w:szCs w:val="16"/>
        </w:rPr>
        <w:softHyphen/>
        <w:t>рии. Дальнейшие работы по улучшению системы, необ</w:t>
      </w:r>
      <w:r w:rsidRPr="008A2E5A">
        <w:rPr>
          <w:rFonts w:ascii="Times New Roman" w:hAnsi="Times New Roman"/>
          <w:color w:val="0070C0"/>
          <w:sz w:val="16"/>
          <w:szCs w:val="16"/>
        </w:rPr>
        <w:softHyphen/>
        <w:t>ходимость которых обуславливалась установкой на Як-7 мотора М-105ПФ с повышенным наддувом, застопори</w:t>
      </w:r>
      <w:r w:rsidRPr="008A2E5A">
        <w:rPr>
          <w:rFonts w:ascii="Times New Roman" w:hAnsi="Times New Roman"/>
          <w:color w:val="0070C0"/>
          <w:sz w:val="16"/>
          <w:szCs w:val="16"/>
        </w:rPr>
        <w:softHyphen/>
        <w:t>лись в Новосибирске из-за отсутствия самолета, на ко</w:t>
      </w:r>
      <w:r w:rsidRPr="008A2E5A">
        <w:rPr>
          <w:rFonts w:ascii="Times New Roman" w:hAnsi="Times New Roman"/>
          <w:color w:val="0070C0"/>
          <w:sz w:val="16"/>
          <w:szCs w:val="16"/>
        </w:rPr>
        <w:softHyphen/>
        <w:t>тором можно было бы проводить испытания (23381).</w:t>
      </w:r>
    </w:p>
    <w:p w14:paraId="4D3E6857" w14:textId="77777777" w:rsidR="005C1FB8" w:rsidRPr="008A2E5A" w:rsidRDefault="005C1FB8" w:rsidP="005C1FB8">
      <w:pPr>
        <w:spacing w:after="0" w:line="240" w:lineRule="auto"/>
        <w:jc w:val="both"/>
        <w:rPr>
          <w:rFonts w:ascii="Times New Roman" w:hAnsi="Times New Roman"/>
          <w:color w:val="0070C0"/>
          <w:sz w:val="16"/>
          <w:szCs w:val="16"/>
        </w:rPr>
      </w:pPr>
    </w:p>
    <w:p w14:paraId="6E35A7D8" w14:textId="77777777" w:rsidR="005C1FB8" w:rsidRPr="008A2E5A" w:rsidRDefault="005C1FB8" w:rsidP="005C1F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январе-феврале 1942 г., по данным НКАП, заводом № 30, вновь организованным в Москве и № 301, вернувшимся в Москву, собрано и сдано военным представителям 83 самолета Як-1 (65 и 18 соответственно). Еще два самолета 49-й серии из полученных заводом № 301 20 машин были собраны 28 марта и 21 апреля уже 1943 г. Судьба остальных 12 самолетов из полученных 77 заводом №30 к 18 января 1942 г. пока остается неизвестной (23451).</w:t>
      </w:r>
    </w:p>
    <w:p w14:paraId="1B750C4C" w14:textId="77777777" w:rsidR="005C1FB8" w:rsidRPr="008A2E5A" w:rsidRDefault="005C1FB8" w:rsidP="005C1FB8">
      <w:pPr>
        <w:spacing w:after="0" w:line="240" w:lineRule="auto"/>
        <w:jc w:val="both"/>
        <w:rPr>
          <w:rFonts w:ascii="Times New Roman" w:hAnsi="Times New Roman"/>
          <w:color w:val="0070C0"/>
          <w:sz w:val="16"/>
          <w:szCs w:val="16"/>
        </w:rPr>
      </w:pPr>
    </w:p>
    <w:p w14:paraId="746578C7" w14:textId="77777777" w:rsidR="005C1FB8" w:rsidRPr="008A2E5A" w:rsidRDefault="005C1FB8" w:rsidP="005C1F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январе-феврале 1942 г. на заводе № 292 была выпущена опытная серия из шести самолетов с вооружением, аналогичным экспериментальной машине с синхронными пулеметами УБ. В конце февраля один из них прошел испытания на Научно-испытательном полигоне авиационного вооружения (НИПАВ) ВВС КА с удовлетворительным результатом. После устранения замечаний, полученных на этих испытаниях, все машины были отправлены на войсковые испытания.</w:t>
      </w:r>
    </w:p>
    <w:p w14:paraId="73D75AD5" w14:textId="77777777" w:rsidR="005C1FB8" w:rsidRPr="008A2E5A" w:rsidRDefault="005C1FB8" w:rsidP="005C1F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появилась новая модификация "мессершмитта" - Bf.109F, которой уступал в скорости и вертикальном маневре даже Як-1 с обычным вооружением (23451).</w:t>
      </w:r>
    </w:p>
    <w:p w14:paraId="27C496FD" w14:textId="77777777" w:rsidR="005C1FB8" w:rsidRPr="008A2E5A" w:rsidRDefault="005C1FB8" w:rsidP="005C1FB8">
      <w:pPr>
        <w:spacing w:after="0" w:line="240" w:lineRule="auto"/>
        <w:jc w:val="both"/>
        <w:rPr>
          <w:rFonts w:ascii="Times New Roman" w:hAnsi="Times New Roman"/>
          <w:color w:val="0070C0"/>
          <w:sz w:val="16"/>
          <w:szCs w:val="16"/>
        </w:rPr>
      </w:pPr>
    </w:p>
    <w:p w14:paraId="1DD855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январе-апреле 1942 г. новые ап на Пе-2 уходили на фронт с темпом от одного до трех в месяц, в мае - уже шесть, а в июне - двенадцать (3542).</w:t>
      </w:r>
    </w:p>
    <w:p w14:paraId="0F43D2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F5F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феврале 1942 г. на большинстве эвакуированных заводов были завершены монтажно-строительные работы и возобновила авиавыпуск (Захарченко А.В. Формирование авиапромышленного комплекса в По</w:t>
      </w:r>
      <w:r w:rsidRPr="008127F8">
        <w:rPr>
          <w:rFonts w:ascii="Times New Roman" w:hAnsi="Times New Roman"/>
          <w:color w:val="000000" w:themeColor="text1"/>
          <w:sz w:val="16"/>
          <w:szCs w:val="16"/>
        </w:rPr>
        <w:softHyphen/>
        <w:t>волжье накануне и в годы Великой Отечественной войны (1940—1942 гг.). Самара, 2004. С.15). На 25 декабря 1941 г. из отправ</w:t>
      </w:r>
      <w:r w:rsidRPr="008127F8">
        <w:rPr>
          <w:rFonts w:ascii="Times New Roman" w:hAnsi="Times New Roman"/>
          <w:color w:val="000000" w:themeColor="text1"/>
          <w:sz w:val="16"/>
          <w:szCs w:val="16"/>
        </w:rPr>
        <w:softHyphen/>
        <w:t>ленных в эвакуацию 39 814 единиц оборудования 28 114 уже были смонтированы на новом месте, а 15 773 — введены в строй и давали продукцию. Из 180 существовавших к нача</w:t>
      </w:r>
      <w:r w:rsidRPr="008127F8">
        <w:rPr>
          <w:rFonts w:ascii="Times New Roman" w:hAnsi="Times New Roman"/>
          <w:color w:val="000000" w:themeColor="text1"/>
          <w:sz w:val="16"/>
          <w:szCs w:val="16"/>
        </w:rPr>
        <w:softHyphen/>
        <w:t>лу войны предприятий авиастроения функционировали 125. Остальные были законсервированы, ликвидированы или сли</w:t>
      </w:r>
      <w:r w:rsidRPr="008127F8">
        <w:rPr>
          <w:rFonts w:ascii="Times New Roman" w:hAnsi="Times New Roman"/>
          <w:color w:val="000000" w:themeColor="text1"/>
          <w:sz w:val="16"/>
          <w:szCs w:val="16"/>
        </w:rPr>
        <w:softHyphen/>
        <w:t>ты с другими заводами.</w:t>
      </w:r>
    </w:p>
    <w:p w14:paraId="75250F08" w14:textId="77777777" w:rsidR="00D91C13" w:rsidRPr="008127F8" w:rsidRDefault="00D91C13" w:rsidP="001E0A84">
      <w:pPr>
        <w:widowControl w:val="0"/>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было эвакуировано 85 % авиапредприятий, а также большое количество смежных производств. С июля по де</w:t>
      </w:r>
      <w:r w:rsidRPr="008127F8">
        <w:rPr>
          <w:rFonts w:ascii="Times New Roman" w:hAnsi="Times New Roman"/>
          <w:color w:val="000000" w:themeColor="text1"/>
          <w:sz w:val="16"/>
          <w:szCs w:val="16"/>
        </w:rPr>
        <w:softHyphen/>
        <w:t>кабрь 1941 г. в эвакуацию было направлено свыше 100 авиа</w:t>
      </w:r>
      <w:r w:rsidRPr="008127F8">
        <w:rPr>
          <w:rFonts w:ascii="Times New Roman" w:hAnsi="Times New Roman"/>
          <w:color w:val="000000" w:themeColor="text1"/>
          <w:sz w:val="16"/>
          <w:szCs w:val="16"/>
        </w:rPr>
        <w:softHyphen/>
        <w:t>предприятий (Самолётостроение в СССР. 1917—1945. Кн. 2. М., 1994. С. 214). Некоторые из авиазаводов проводили в пути к новым местам дислокации до 4 месяцев. Размещение на но</w:t>
      </w:r>
      <w:r w:rsidRPr="008127F8">
        <w:rPr>
          <w:rFonts w:ascii="Times New Roman" w:hAnsi="Times New Roman"/>
          <w:color w:val="000000" w:themeColor="text1"/>
          <w:sz w:val="16"/>
          <w:szCs w:val="16"/>
        </w:rPr>
        <w:softHyphen/>
        <w:t>вых площадях такого большого числа промышленных объ</w:t>
      </w:r>
      <w:r w:rsidRPr="008127F8">
        <w:rPr>
          <w:rFonts w:ascii="Times New Roman" w:hAnsi="Times New Roman"/>
          <w:color w:val="000000" w:themeColor="text1"/>
          <w:sz w:val="16"/>
          <w:szCs w:val="16"/>
        </w:rPr>
        <w:softHyphen/>
        <w:t>ектов столкнулось с многочисленными трудностями. При размещении на новых производственных площадках пред</w:t>
      </w:r>
      <w:r w:rsidRPr="008127F8">
        <w:rPr>
          <w:rFonts w:ascii="Times New Roman" w:hAnsi="Times New Roman"/>
          <w:color w:val="000000" w:themeColor="text1"/>
          <w:sz w:val="16"/>
          <w:szCs w:val="16"/>
        </w:rPr>
        <w:softHyphen/>
        <w:t>почтение отдавалось базовым предприятиям отрасли — са</w:t>
      </w:r>
      <w:r w:rsidRPr="008127F8">
        <w:rPr>
          <w:rFonts w:ascii="Times New Roman" w:hAnsi="Times New Roman"/>
          <w:color w:val="000000" w:themeColor="text1"/>
          <w:sz w:val="16"/>
          <w:szCs w:val="16"/>
        </w:rPr>
        <w:softHyphen/>
        <w:t>молетостроительным и моторостроительным заводам. Со</w:t>
      </w:r>
      <w:r w:rsidRPr="008127F8">
        <w:rPr>
          <w:rFonts w:ascii="Times New Roman" w:hAnsi="Times New Roman"/>
          <w:color w:val="000000" w:themeColor="text1"/>
          <w:sz w:val="16"/>
          <w:szCs w:val="16"/>
        </w:rPr>
        <w:softHyphen/>
        <w:t>ответственно, агрегатные, приборные и вспомогательные предприятия были вынуждены размещаться по остаточному принципу — в зданиях бывших клубов, театров, учебных заведений, предприятии пищевои и лёгкой промышленности. В отдельных случаях таким заводам приходилось обживать подземные туннели, а то и вовсе развёртываться под откры</w:t>
      </w:r>
      <w:r w:rsidRPr="008127F8">
        <w:rPr>
          <w:rFonts w:ascii="Times New Roman" w:hAnsi="Times New Roman"/>
          <w:color w:val="000000" w:themeColor="text1"/>
          <w:sz w:val="16"/>
          <w:szCs w:val="16"/>
        </w:rPr>
        <w:softHyphen/>
        <w:t>тым небом (Самолётостроение в СССР. 1917—1945. Кн. 2. М., 1994. С. 216). Ввиду этого для организации размещения и нала</w:t>
      </w:r>
      <w:r w:rsidRPr="008127F8">
        <w:rPr>
          <w:rFonts w:ascii="Times New Roman" w:hAnsi="Times New Roman"/>
          <w:color w:val="000000" w:themeColor="text1"/>
          <w:sz w:val="16"/>
          <w:szCs w:val="16"/>
        </w:rPr>
        <w:softHyphen/>
        <w:t>живания межзаводской кооперации между авиастроительны</w:t>
      </w:r>
      <w:r w:rsidRPr="008127F8">
        <w:rPr>
          <w:rFonts w:ascii="Times New Roman" w:hAnsi="Times New Roman"/>
          <w:color w:val="000000" w:themeColor="text1"/>
          <w:sz w:val="16"/>
          <w:szCs w:val="16"/>
        </w:rPr>
        <w:softHyphen/>
        <w:t>ми, авиамоторными и авиаагрегатными заводами в восточной части страны был создан специальный межотраслевой главк, в обязанности которого было вменено в контакте и взаимо</w:t>
      </w:r>
      <w:r w:rsidRPr="008127F8">
        <w:rPr>
          <w:rFonts w:ascii="Times New Roman" w:hAnsi="Times New Roman"/>
          <w:color w:val="000000" w:themeColor="text1"/>
          <w:sz w:val="16"/>
          <w:szCs w:val="16"/>
        </w:rPr>
        <w:softHyphen/>
        <w:t>действии с местными органами власти обеспечить снабжение комплекса авиапредприятий всем необходимым (РГАЭ. Ф. 4372. Оп. 93. Д. 313. Л. 155) (12011).</w:t>
      </w:r>
    </w:p>
    <w:p w14:paraId="29BE93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8B2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по 23 декабря 1942 года Начальником филиала завода № 95 был И.В. Селихов. 23 декабря 1942 года приказом НКАП за № 134-ок директором филиала завода № 95 был назначен Румянцев Б.Ф.</w:t>
      </w:r>
    </w:p>
    <w:p w14:paraId="274B1C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078071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65892D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5AA3CD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9169D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539C53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Кунцево, ул. Горбунова, д. 20 (9894).</w:t>
      </w:r>
    </w:p>
    <w:p w14:paraId="2F2C1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1474B"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3D8E1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2E7CC" w14:textId="77777777" w:rsidR="003C7055" w:rsidRPr="008127F8" w:rsidRDefault="003C7055"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С января по июль 1942 г. валовая продукция НКБ увеличилась на 66%. Выпуск артиллерийских снарядов в декабре 1942 г. по сравнению с декабрем 1941 г. увеличился почти в два раза, авиационных выстрелов – в 6,3 раза, мин – в 3,3 раза, в том числе производство 120-миллиметровых мин возросло в 16 раз. Выпуск реактивных снарядов за этот период увеличился в 1,9 раза, авиабомб – в 2,1 раза, ручных гранат – в 1,8 раза (15989).</w:t>
      </w:r>
    </w:p>
    <w:p w14:paraId="35335154" w14:textId="77777777" w:rsidR="003C7055" w:rsidRPr="008127F8" w:rsidRDefault="003C7055" w:rsidP="001E0A84">
      <w:pPr>
        <w:spacing w:after="0" w:line="240" w:lineRule="auto"/>
        <w:jc w:val="both"/>
        <w:rPr>
          <w:rFonts w:ascii="Times New Roman" w:eastAsia="Times New Roman" w:hAnsi="Times New Roman"/>
          <w:color w:val="000000" w:themeColor="text1"/>
          <w:sz w:val="16"/>
          <w:szCs w:val="16"/>
        </w:rPr>
      </w:pPr>
    </w:p>
    <w:p w14:paraId="624699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марте 1942 г. эвакуированная часть завода № 571 (Завод № 571 НКБ, МСХМ, Завод пластмасс, и/я 4219, НИИ-571 /г. Москва п/я 4219 «Массы» (1943 г.)/ / г. Москва ул. Нововокзальная (?)/) вернулась в Москву. В 02-03.1942 г. проведена подготовка к выпуску новой продукции - элементов выстрелов из пластмасс. В начале 04.1942 г. выпущены первые пластмассовые детали. В 1943 г. строился монтажно-калильный цех. В 12.1942-09.1944 г. - в ведении 2ГУ НКБ. Имел обозначение «п/я 4219» (1943 г.). После войны велись работы по изучению и воспроизводству систем подрыва БЧ немецких ракет.</w:t>
      </w:r>
      <w:r w:rsidRPr="008127F8">
        <w:rPr>
          <w:rFonts w:ascii="Times New Roman" w:hAnsi="Times New Roman"/>
          <w:color w:val="000000" w:themeColor="text1"/>
          <w:sz w:val="16"/>
          <w:szCs w:val="16"/>
          <w:vertAlign w:val="superscript"/>
        </w:rPr>
        <w:t xml:space="preserve">92 </w:t>
      </w:r>
      <w:r w:rsidRPr="008127F8">
        <w:rPr>
          <w:rFonts w:ascii="Times New Roman" w:hAnsi="Times New Roman"/>
          <w:color w:val="000000" w:themeColor="text1"/>
          <w:sz w:val="16"/>
          <w:szCs w:val="16"/>
        </w:rPr>
        <w:t>После ВОВ (в ~1946-47 г.) на заводе образован НИИ-571 для разработки конструкций взрывателей. В НИИ-571 разработан радиовзрыватель «Аист-М» для ракеты К-40. НИИ-571 был в 1960 г. Площадь (1943 г.): производственная- 2913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вспомогательная- 2060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Численность персонала (12.1942 г.)- 1276 чел.</w:t>
      </w:r>
    </w:p>
    <w:p w14:paraId="496BC1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С.Ф. Аксенов, (-11.1941 г.)- П.В. Лактионов, (-05.1942-04.1943 г.-)- С. Г. Бахшинов.</w:t>
      </w:r>
    </w:p>
    <w:p w14:paraId="45E843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(05.1942 г.)- Большаков.</w:t>
      </w:r>
    </w:p>
    <w:p w14:paraId="7A78E5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планового (04.1943 г.)- Шатенштейн.</w:t>
      </w:r>
    </w:p>
    <w:p w14:paraId="0B08DB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взрыватель МП.</w:t>
      </w:r>
      <w:r w:rsidRPr="008127F8">
        <w:rPr>
          <w:rFonts w:ascii="Times New Roman" w:hAnsi="Times New Roman"/>
          <w:color w:val="000000" w:themeColor="text1"/>
          <w:sz w:val="16"/>
          <w:szCs w:val="16"/>
          <w:vertAlign w:val="superscript"/>
        </w:rPr>
        <w:t>132</w:t>
      </w:r>
    </w:p>
    <w:p w14:paraId="6DDD92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В.П. Рюмина</w:t>
      </w:r>
    </w:p>
    <w:p w14:paraId="683957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 (совместно с ГНИИ-22) и испытан взрыватель АВ-508 для самолета-снаряда Фау-1 (11982).</w:t>
      </w:r>
    </w:p>
    <w:p w14:paraId="7AF064C9" w14:textId="77777777" w:rsidR="00AA6BB1" w:rsidRPr="008127F8" w:rsidRDefault="00AA6BB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76CDA" w14:textId="77777777" w:rsidR="00AA31CD" w:rsidRPr="008127F8" w:rsidRDefault="00AA31C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 марте 1942 года ОКБ-172 разработало проект 45-мм ПТП М-42. Чтобы избежать путаницы с одинаковыми номерами КБ, следует отметить, что ОКБ-172 </w:t>
      </w:r>
      <w:r w:rsidRPr="008127F8">
        <w:rPr>
          <w:rFonts w:ascii="Times New Roman" w:hAnsi="Times New Roman"/>
          <w:color w:val="000000" w:themeColor="text1"/>
          <w:sz w:val="16"/>
          <w:szCs w:val="16"/>
        </w:rPr>
        <w:lastRenderedPageBreak/>
        <w:t>(бывшее ОКБ НКВД ЛО) - это "шарага", где работали "зеки". Это КБ с 1937 года работало в ленинградской тюрьме "Кресты", а в конце 1941 года было частично эвакуировано на завод № 172 в г. Пермь (3861).</w:t>
      </w:r>
    </w:p>
    <w:p w14:paraId="7BF7CE85" w14:textId="77777777" w:rsidR="00AA31CD" w:rsidRPr="008127F8" w:rsidRDefault="00AA31C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BAB0BC" w14:textId="6AE08973"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w:t>
      </w:r>
      <w:proofErr w:type="gramStart"/>
      <w:r w:rsidRPr="008127F8">
        <w:rPr>
          <w:rFonts w:ascii="Times New Roman" w:hAnsi="Times New Roman"/>
          <w:color w:val="000000" w:themeColor="text1"/>
          <w:sz w:val="16"/>
          <w:szCs w:val="16"/>
        </w:rPr>
        <w:t>январе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марте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ОКБ-172 разработало проект 45-мм противотанковой пушки М-42. Весной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на заводе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172 изготовили ее опытный образец. В </w:t>
      </w:r>
      <w:proofErr w:type="gramStart"/>
      <w:r w:rsidRPr="008127F8">
        <w:rPr>
          <w:rFonts w:ascii="Times New Roman" w:hAnsi="Times New Roman"/>
          <w:color w:val="000000" w:themeColor="text1"/>
          <w:sz w:val="16"/>
          <w:szCs w:val="16"/>
        </w:rPr>
        <w:t>августе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сентябре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М-42 прошла полигонные и войсковые испытания и была принята на вооружение под названием «45-мм противотанковая пушка обр.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г.». Валовое производство М-42 было начато на заводе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172</w:t>
      </w:r>
      <w:proofErr w:type="gramEnd"/>
      <w:r w:rsidRPr="008127F8">
        <w:rPr>
          <w:rFonts w:ascii="Times New Roman" w:hAnsi="Times New Roman"/>
          <w:color w:val="000000" w:themeColor="text1"/>
          <w:sz w:val="16"/>
          <w:szCs w:val="16"/>
        </w:rPr>
        <w:t xml:space="preserve"> в январе 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
    <w:p w14:paraId="511B1634"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Данные 45-мм пушки М-42 </w:t>
      </w:r>
    </w:p>
    <w:p w14:paraId="172FB71D" w14:textId="54BD18D5"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Калибр,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45</w:t>
      </w:r>
    </w:p>
    <w:p w14:paraId="1C908E6E" w14:textId="1D743AEE" w:rsidR="0093288E" w:rsidRPr="008127F8" w:rsidRDefault="0093288E"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Образец</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Обр.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
    <w:p w14:paraId="70B4E2F5" w14:textId="62C5EC44"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Заводской </w:t>
      </w:r>
      <w:proofErr w:type="gramStart"/>
      <w:r w:rsidRPr="008127F8">
        <w:rPr>
          <w:rFonts w:ascii="Times New Roman" w:hAnsi="Times New Roman"/>
          <w:color w:val="000000" w:themeColor="text1"/>
          <w:sz w:val="16"/>
          <w:szCs w:val="16"/>
        </w:rPr>
        <w:t>индекс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М-42</w:t>
      </w:r>
    </w:p>
    <w:p w14:paraId="6673B867" w14:textId="213F35E8"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ствола полная, мм/</w:t>
      </w:r>
      <w:proofErr w:type="gramStart"/>
      <w:r w:rsidRPr="008127F8">
        <w:rPr>
          <w:rFonts w:ascii="Times New Roman" w:hAnsi="Times New Roman"/>
          <w:color w:val="000000" w:themeColor="text1"/>
          <w:sz w:val="16"/>
          <w:szCs w:val="16"/>
        </w:rPr>
        <w:t>клб</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3087/68,6</w:t>
      </w:r>
    </w:p>
    <w:p w14:paraId="00763ABD" w14:textId="5BB903C3"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канала, мм/</w:t>
      </w:r>
      <w:proofErr w:type="gramStart"/>
      <w:r w:rsidRPr="008127F8">
        <w:rPr>
          <w:rFonts w:ascii="Times New Roman" w:hAnsi="Times New Roman"/>
          <w:color w:val="000000" w:themeColor="text1"/>
          <w:sz w:val="16"/>
          <w:szCs w:val="16"/>
        </w:rPr>
        <w:t>клб</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2985/66,3</w:t>
      </w:r>
    </w:p>
    <w:p w14:paraId="52B806AD" w14:textId="1175FFCC"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Длина нарезной части,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2660</w:t>
      </w:r>
    </w:p>
    <w:p w14:paraId="78E50685" w14:textId="7D826BD0"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Крутизна нарезов, </w:t>
      </w:r>
      <w:proofErr w:type="gramStart"/>
      <w:r w:rsidRPr="008127F8">
        <w:rPr>
          <w:rFonts w:ascii="Times New Roman" w:hAnsi="Times New Roman"/>
          <w:color w:val="000000" w:themeColor="text1"/>
          <w:sz w:val="16"/>
          <w:szCs w:val="16"/>
        </w:rPr>
        <w:t>клб</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25</w:t>
      </w:r>
    </w:p>
    <w:p w14:paraId="0538024C" w14:textId="2EFA759C"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Объем каморы, </w:t>
      </w:r>
      <w:proofErr w:type="gramStart"/>
      <w:r w:rsidRPr="008127F8">
        <w:rPr>
          <w:rFonts w:ascii="Times New Roman" w:hAnsi="Times New Roman"/>
          <w:color w:val="000000" w:themeColor="text1"/>
          <w:sz w:val="16"/>
          <w:szCs w:val="16"/>
        </w:rPr>
        <w:t>л</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0,54</w:t>
      </w:r>
    </w:p>
    <w:p w14:paraId="50BCD954" w14:textId="6DB004FA"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Число </w:t>
      </w:r>
      <w:proofErr w:type="gramStart"/>
      <w:r w:rsidRPr="008127F8">
        <w:rPr>
          <w:rFonts w:ascii="Times New Roman" w:hAnsi="Times New Roman"/>
          <w:color w:val="000000" w:themeColor="text1"/>
          <w:sz w:val="16"/>
          <w:szCs w:val="16"/>
        </w:rPr>
        <w:t>нарезов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16</w:t>
      </w:r>
    </w:p>
    <w:p w14:paraId="77EA3C6F" w14:textId="03DBA8E8"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Глубина нареза,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0,5</w:t>
      </w:r>
    </w:p>
    <w:p w14:paraId="701D751E" w14:textId="0F0A4440"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Ширина нареза,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6,5</w:t>
      </w:r>
    </w:p>
    <w:p w14:paraId="3522F769" w14:textId="6169CCC4"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Ширина поля,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2,5</w:t>
      </w:r>
    </w:p>
    <w:p w14:paraId="197A4632" w14:textId="0B2EE5A9"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затвора,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7,87</w:t>
      </w:r>
    </w:p>
    <w:p w14:paraId="02E3B7D8" w14:textId="5FE78A9F"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ствола с затвором,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159</w:t>
      </w:r>
    </w:p>
    <w:p w14:paraId="75109E7A" w14:textId="1D9E2F70"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Угол ВН, </w:t>
      </w:r>
      <w:proofErr w:type="gramStart"/>
      <w:r w:rsidRPr="008127F8">
        <w:rPr>
          <w:rFonts w:ascii="Times New Roman" w:hAnsi="Times New Roman"/>
          <w:color w:val="000000" w:themeColor="text1"/>
          <w:sz w:val="16"/>
          <w:szCs w:val="16"/>
        </w:rPr>
        <w:t>град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−8; +25</w:t>
      </w:r>
    </w:p>
    <w:p w14:paraId="199C9354" w14:textId="722AD800"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Угол ГН, </w:t>
      </w:r>
      <w:proofErr w:type="gramStart"/>
      <w:r w:rsidRPr="008127F8">
        <w:rPr>
          <w:rFonts w:ascii="Times New Roman" w:hAnsi="Times New Roman"/>
          <w:color w:val="000000" w:themeColor="text1"/>
          <w:sz w:val="16"/>
          <w:szCs w:val="16"/>
        </w:rPr>
        <w:t>град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60</w:t>
      </w:r>
    </w:p>
    <w:p w14:paraId="26CCC260" w14:textId="4A92CD15"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Длина отката, мм: </w:t>
      </w:r>
      <w:proofErr w:type="gramStart"/>
      <w:r w:rsidRPr="008127F8">
        <w:rPr>
          <w:rFonts w:ascii="Times New Roman" w:hAnsi="Times New Roman"/>
          <w:color w:val="000000" w:themeColor="text1"/>
          <w:sz w:val="16"/>
          <w:szCs w:val="16"/>
        </w:rPr>
        <w:t>нормальная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640–780</w:t>
      </w:r>
    </w:p>
    <w:p w14:paraId="1849B3F2" w14:textId="317B643B" w:rsidR="0093288E" w:rsidRPr="008127F8" w:rsidRDefault="0093288E"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предельная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780</w:t>
      </w:r>
    </w:p>
    <w:p w14:paraId="5E8900F0" w14:textId="39B7974F"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Высота линии огня,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710</w:t>
      </w:r>
    </w:p>
    <w:p w14:paraId="48F5CF9A" w14:textId="200853C2"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Длина орудия при сдвинутых станинах,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4885</w:t>
      </w:r>
    </w:p>
    <w:p w14:paraId="192A2DAD" w14:textId="67AB0472"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Ширина орудия, мм: при сдвинутых </w:t>
      </w:r>
      <w:proofErr w:type="gramStart"/>
      <w:r w:rsidRPr="008127F8">
        <w:rPr>
          <w:rFonts w:ascii="Times New Roman" w:hAnsi="Times New Roman"/>
          <w:color w:val="000000" w:themeColor="text1"/>
          <w:sz w:val="16"/>
          <w:szCs w:val="16"/>
        </w:rPr>
        <w:t>станинах</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1634</w:t>
      </w:r>
    </w:p>
    <w:p w14:paraId="0226FA74" w14:textId="0C95E4AA"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Ширина хода,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1400</w:t>
      </w:r>
    </w:p>
    <w:p w14:paraId="2C62D4E3" w14:textId="49FC689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Толщина щита,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7</w:t>
      </w:r>
    </w:p>
    <w:p w14:paraId="668DCA67" w14:textId="41C387DB"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Диаметр колеса, </w:t>
      </w:r>
      <w:proofErr w:type="gramStart"/>
      <w:r w:rsidRPr="008127F8">
        <w:rPr>
          <w:rFonts w:ascii="Times New Roman" w:hAnsi="Times New Roman"/>
          <w:color w:val="000000" w:themeColor="text1"/>
          <w:sz w:val="16"/>
          <w:szCs w:val="16"/>
        </w:rPr>
        <w:t>мм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925</w:t>
      </w:r>
    </w:p>
    <w:p w14:paraId="689ABC43" w14:textId="7798C07C"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откатных частей,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175</w:t>
      </w:r>
    </w:p>
    <w:p w14:paraId="1335574B" w14:textId="0F1AAF81"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качающейся части,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222</w:t>
      </w:r>
    </w:p>
    <w:p w14:paraId="0062A2E1" w14:textId="58ED74F0"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щита,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53,6</w:t>
      </w:r>
    </w:p>
    <w:p w14:paraId="630F41EA" w14:textId="6967EDC1"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лафета без орудия и щита,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406</w:t>
      </w:r>
    </w:p>
    <w:p w14:paraId="5B60A658" w14:textId="7EF9C81B"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 системы в боевом положении, </w:t>
      </w:r>
      <w:proofErr w:type="gramStart"/>
      <w:r w:rsidRPr="008127F8">
        <w:rPr>
          <w:rFonts w:ascii="Times New Roman" w:hAnsi="Times New Roman"/>
          <w:color w:val="000000" w:themeColor="text1"/>
          <w:sz w:val="16"/>
          <w:szCs w:val="16"/>
        </w:rPr>
        <w:t>кг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625</w:t>
      </w:r>
    </w:p>
    <w:p w14:paraId="25DA5B42" w14:textId="4C2E3901"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Скорострельность, выстр/</w:t>
      </w:r>
      <w:proofErr w:type="gramStart"/>
      <w:r w:rsidRPr="008127F8">
        <w:rPr>
          <w:rFonts w:ascii="Times New Roman" w:hAnsi="Times New Roman"/>
          <w:color w:val="000000" w:themeColor="text1"/>
          <w:sz w:val="16"/>
          <w:szCs w:val="16"/>
        </w:rPr>
        <w:t>мин</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15–20</w:t>
      </w:r>
    </w:p>
    <w:p w14:paraId="44EBABEC" w14:textId="54F97461"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возки по шоссе, км/</w:t>
      </w:r>
      <w:proofErr w:type="gramStart"/>
      <w:r w:rsidRPr="008127F8">
        <w:rPr>
          <w:rFonts w:ascii="Times New Roman" w:hAnsi="Times New Roman"/>
          <w:color w:val="000000" w:themeColor="text1"/>
          <w:sz w:val="16"/>
          <w:szCs w:val="16"/>
        </w:rPr>
        <w:t>час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50–60</w:t>
      </w:r>
    </w:p>
    <w:p w14:paraId="202F5860" w14:textId="3F72AEEA"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w:t>
      </w:r>
      <w:proofErr w:type="gramStart"/>
      <w:r w:rsidRPr="008127F8">
        <w:rPr>
          <w:rFonts w:ascii="Times New Roman" w:hAnsi="Times New Roman"/>
          <w:color w:val="000000" w:themeColor="text1"/>
          <w:sz w:val="16"/>
          <w:szCs w:val="16"/>
        </w:rPr>
        <w:t>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заводом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172 было изготовлено 4151 45-мм противотанковых пушек, в 1944</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4628, в </w:t>
      </w:r>
      <w:proofErr w:type="gramStart"/>
      <w:r w:rsidRPr="008127F8">
        <w:rPr>
          <w:rFonts w:ascii="Times New Roman" w:hAnsi="Times New Roman"/>
          <w:color w:val="000000" w:themeColor="text1"/>
          <w:sz w:val="16"/>
          <w:szCs w:val="16"/>
        </w:rPr>
        <w:t>1945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2064, в </w:t>
      </w:r>
      <w:proofErr w:type="gramStart"/>
      <w:r w:rsidRPr="008127F8">
        <w:rPr>
          <w:rFonts w:ascii="Times New Roman" w:hAnsi="Times New Roman"/>
          <w:color w:val="000000" w:themeColor="text1"/>
          <w:sz w:val="16"/>
          <w:szCs w:val="16"/>
        </w:rPr>
        <w:t>1946</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140. Всего с января </w:t>
      </w:r>
      <w:proofErr w:type="gramStart"/>
      <w:r w:rsidRPr="008127F8">
        <w:rPr>
          <w:rFonts w:ascii="Times New Roman" w:hAnsi="Times New Roman"/>
          <w:color w:val="000000" w:themeColor="text1"/>
          <w:sz w:val="16"/>
          <w:szCs w:val="16"/>
        </w:rPr>
        <w:t>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завод изготовил 10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983 45-мм противотанковых пушек (12705).</w:t>
      </w:r>
    </w:p>
    <w:p w14:paraId="535E13F8"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7D1D9949" w14:textId="77777777" w:rsidR="005C1FB8" w:rsidRPr="008A2E5A" w:rsidRDefault="005C1FB8" w:rsidP="005C1F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январе-феврале 1942 г. из всех тяжелых машин, присутствующих на ремонтных базах, только 39 % танков были потеряны в бою, остальные имели различные заводские дефекты, устранить которые в действующих частях было </w:t>
      </w:r>
      <w:proofErr w:type="gramStart"/>
      <w:r w:rsidRPr="008A2E5A">
        <w:rPr>
          <w:rFonts w:ascii="Times New Roman" w:hAnsi="Times New Roman"/>
          <w:color w:val="0070C0"/>
          <w:sz w:val="16"/>
          <w:szCs w:val="16"/>
        </w:rPr>
        <w:t>невозможно[</w:t>
      </w:r>
      <w:proofErr w:type="gramEnd"/>
      <w:r w:rsidRPr="008A2E5A">
        <w:rPr>
          <w:rFonts w:ascii="Times New Roman" w:hAnsi="Times New Roman"/>
          <w:color w:val="0070C0"/>
          <w:sz w:val="16"/>
          <w:szCs w:val="16"/>
        </w:rPr>
        <w:t>487]. Выше уже отмечалось, что в феврале 1942 г. 121-я танковая бригада в течение пробега до 250 км потеряла в результате поломок половину танков КВ.</w:t>
      </w:r>
    </w:p>
    <w:p w14:paraId="738E74A3" w14:textId="77777777" w:rsidR="005C1FB8" w:rsidRPr="008A2E5A" w:rsidRDefault="005C1FB8" w:rsidP="005C1F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Ситуация принципиально не изменилась и к концу года. В середине ноября 1942 г. было осмотрено 84 вышедших из строя танка КВ, которые были выпущены с 10 октября по 4 ноября. Все они проработали не более 15 мото-часов, а некоторые вообще не имели пробега. 72 из них имели различные конструктивные дефекты, которые вывели их из строя, а 12 танков не «выездили» и 1,5-2 мото-часа, их качество на тот момент было до конца не выяснено. В 13 случаях вышел из строя двигатель, в 6 - была поломана КПП, на всех дефектных танках в целом было поломано 289 нижних катков, было обнаружено 38 негодных триплексов. Кроме того, все машины имели большое количество мелких поломок и дефектов (не установлены крепления аккумулятора и </w:t>
      </w:r>
      <w:proofErr w:type="gramStart"/>
      <w:r w:rsidRPr="008A2E5A">
        <w:rPr>
          <w:rFonts w:ascii="Times New Roman" w:hAnsi="Times New Roman"/>
          <w:color w:val="0070C0"/>
          <w:sz w:val="16"/>
          <w:szCs w:val="16"/>
        </w:rPr>
        <w:t>др.)[</w:t>
      </w:r>
      <w:proofErr w:type="gramEnd"/>
      <w:r w:rsidRPr="008A2E5A">
        <w:rPr>
          <w:rFonts w:ascii="Times New Roman" w:hAnsi="Times New Roman"/>
          <w:color w:val="0070C0"/>
          <w:sz w:val="16"/>
          <w:szCs w:val="16"/>
        </w:rPr>
        <w:t>488] (23536).</w:t>
      </w:r>
    </w:p>
    <w:p w14:paraId="3B1D7971" w14:textId="77777777" w:rsidR="005C1FB8" w:rsidRPr="008A2E5A" w:rsidRDefault="005C1FB8" w:rsidP="005C1FB8">
      <w:pPr>
        <w:spacing w:after="0" w:line="240" w:lineRule="auto"/>
        <w:jc w:val="both"/>
        <w:rPr>
          <w:rFonts w:ascii="Times New Roman" w:hAnsi="Times New Roman"/>
          <w:color w:val="0070C0"/>
          <w:sz w:val="16"/>
          <w:szCs w:val="16"/>
        </w:rPr>
      </w:pPr>
    </w:p>
    <w:p w14:paraId="5B30FAA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феврале 1942 г. в конструкторском бюро СКБ-2 ЧКЗ под руководством Ж.Я. Котина был разработан Огнеметный танк КВ-8. Танк был создан на базе опытного огнеметного танка "Объект 228", раз</w:t>
      </w:r>
      <w:r w:rsidRPr="008127F8">
        <w:rPr>
          <w:rFonts w:ascii="Times New Roman" w:hAnsi="Times New Roman"/>
          <w:color w:val="000000" w:themeColor="text1"/>
          <w:sz w:val="16"/>
          <w:szCs w:val="16"/>
        </w:rPr>
        <w:softHyphen/>
        <w:t>работанного в конце октября 1941 г., в ходе его доработки и подготовки к серийному производству. Танк был принят на вооружение Красной Армии постановлением ГКО от 6 января 1942 г. Всесторонние полигон</w:t>
      </w:r>
      <w:r w:rsidRPr="008127F8">
        <w:rPr>
          <w:rFonts w:ascii="Times New Roman" w:hAnsi="Times New Roman"/>
          <w:color w:val="000000" w:themeColor="text1"/>
          <w:sz w:val="16"/>
          <w:szCs w:val="16"/>
        </w:rPr>
        <w:softHyphen/>
        <w:t>ные испытания танк КВ-8 прошел в феврале 1942 г. в Челябинске и Ко</w:t>
      </w:r>
      <w:r w:rsidRPr="008127F8">
        <w:rPr>
          <w:rFonts w:ascii="Times New Roman" w:hAnsi="Times New Roman"/>
          <w:color w:val="000000" w:themeColor="text1"/>
          <w:sz w:val="16"/>
          <w:szCs w:val="16"/>
        </w:rPr>
        <w:softHyphen/>
        <w:t>пейске. Серийное производство машины было организовано на Челя</w:t>
      </w:r>
      <w:r w:rsidRPr="008127F8">
        <w:rPr>
          <w:rFonts w:ascii="Times New Roman" w:hAnsi="Times New Roman"/>
          <w:color w:val="000000" w:themeColor="text1"/>
          <w:sz w:val="16"/>
          <w:szCs w:val="16"/>
        </w:rPr>
        <w:softHyphen/>
        <w:t>бинском Кировском заводе в марте — апреле 1942 г. и продолжалось в течение 1942 г. Всего было выпущено 102 огнеметных танка КВ-8, кото</w:t>
      </w:r>
      <w:r w:rsidRPr="008127F8">
        <w:rPr>
          <w:rFonts w:ascii="Times New Roman" w:hAnsi="Times New Roman"/>
          <w:color w:val="000000" w:themeColor="text1"/>
          <w:sz w:val="16"/>
          <w:szCs w:val="16"/>
        </w:rPr>
        <w:softHyphen/>
        <w:t>рые использовались на фронтах Великой Отечественной войны (10703).</w:t>
      </w:r>
    </w:p>
    <w:p w14:paraId="010D49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35290"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марте 1942 года среднесуточный выпуск Т-34 на хаводе № 183 составлял не более 10-15 машин. Это было связано и с острым недостатком рабочей силы, прежде всего квалифицированной - на 1 января 1942 года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614354D9"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была пересмотрена технология изготовления Т-34, а также в кратчайшие сроки построены новые цеха для разгрузки существующих и сокращения номенклатуры изготовляемых в них деталей (корпус «184» - изготовление главных и бортовых фрикционов, подвески, ленивцев, тормозной ленты и ведущих колес, цех «140» - мелкие узлы арматуры и цех «170» - волочильный).</w:t>
      </w:r>
    </w:p>
    <w:p w14:paraId="6F1AFBD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лучшей организации испытаний готовых танков сдаточный цех «150» выделили из состава сборочного цеха «130», а в бронекорпус- ном отделе «700» организовали заготовительные и сборочно-сварочные цеха (12217).</w:t>
      </w:r>
    </w:p>
    <w:p w14:paraId="793C86B3"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22087D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по март 1942 г. на СТЗ было вы</w:t>
      </w:r>
      <w:r w:rsidRPr="008127F8">
        <w:rPr>
          <w:rFonts w:ascii="Times New Roman" w:hAnsi="Times New Roman"/>
          <w:color w:val="000000" w:themeColor="text1"/>
          <w:sz w:val="16"/>
          <w:szCs w:val="16"/>
        </w:rPr>
        <w:softHyphen/>
        <w:t>пущено 269 танков с авиационными двигателями М-17Ф. Постепенное увели</w:t>
      </w:r>
      <w:r w:rsidRPr="008127F8">
        <w:rPr>
          <w:rFonts w:ascii="Times New Roman" w:hAnsi="Times New Roman"/>
          <w:color w:val="000000" w:themeColor="text1"/>
          <w:sz w:val="16"/>
          <w:szCs w:val="16"/>
        </w:rPr>
        <w:softHyphen/>
        <w:t>чение серийного выпуска дизелей В-2 собственного изготовления поз</w:t>
      </w:r>
      <w:r w:rsidRPr="008127F8">
        <w:rPr>
          <w:rFonts w:ascii="Times New Roman" w:hAnsi="Times New Roman"/>
          <w:color w:val="000000" w:themeColor="text1"/>
          <w:sz w:val="16"/>
          <w:szCs w:val="16"/>
        </w:rPr>
        <w:softHyphen/>
        <w:t>волило коллективу СТЗ весной 1942 г. отказаться от установки авиаци</w:t>
      </w:r>
      <w:r w:rsidRPr="008127F8">
        <w:rPr>
          <w:rFonts w:ascii="Times New Roman" w:hAnsi="Times New Roman"/>
          <w:color w:val="000000" w:themeColor="text1"/>
          <w:sz w:val="16"/>
          <w:szCs w:val="16"/>
        </w:rPr>
        <w:softHyphen/>
        <w:t>онных двигателей в танки Т-34. С конца марта коллективу СТЗ удалось на 81% выполнить план по производству дизелей (было изготовлено 319 двигателей из 390 запланированных). Без сомнения, начало серий</w:t>
      </w:r>
      <w:r w:rsidRPr="008127F8">
        <w:rPr>
          <w:rFonts w:ascii="Times New Roman" w:hAnsi="Times New Roman"/>
          <w:color w:val="000000" w:themeColor="text1"/>
          <w:sz w:val="16"/>
          <w:szCs w:val="16"/>
        </w:rPr>
        <w:softHyphen/>
        <w:t>ного выпуска дизеля В-2 стало большим событием в истории сталин</w:t>
      </w:r>
      <w:r w:rsidRPr="008127F8">
        <w:rPr>
          <w:rFonts w:ascii="Times New Roman" w:hAnsi="Times New Roman"/>
          <w:color w:val="000000" w:themeColor="text1"/>
          <w:sz w:val="16"/>
          <w:szCs w:val="16"/>
        </w:rPr>
        <w:softHyphen/>
        <w:t>градского завода (10703).</w:t>
      </w:r>
    </w:p>
    <w:p w14:paraId="3ABD0CE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4F4BB3" w14:textId="77777777" w:rsidR="003C7055" w:rsidRPr="008127F8" w:rsidRDefault="003C7055"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shd w:val="clear" w:color="auto" w:fill="FFFFFF"/>
        </w:rPr>
        <w:t>За январь-февраль 1942 года советские заводы сдали 1511 Т-60. Из них минимум половина с экранами (22726).</w:t>
      </w:r>
    </w:p>
    <w:p w14:paraId="091811C9" w14:textId="77777777" w:rsidR="003C7055" w:rsidRPr="008127F8" w:rsidRDefault="003C7055" w:rsidP="001E0A84">
      <w:pPr>
        <w:pStyle w:val="af"/>
        <w:shd w:val="clear" w:color="auto" w:fill="FFFFFF"/>
        <w:spacing w:before="0" w:after="0"/>
        <w:jc w:val="both"/>
        <w:textAlignment w:val="baseline"/>
        <w:rPr>
          <w:color w:val="000000" w:themeColor="text1"/>
          <w:sz w:val="16"/>
          <w:szCs w:val="16"/>
        </w:rPr>
      </w:pPr>
    </w:p>
    <w:p w14:paraId="01A4F0C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апре</w:t>
      </w:r>
      <w:r w:rsidRPr="008127F8">
        <w:rPr>
          <w:rFonts w:ascii="Times New Roman" w:hAnsi="Times New Roman"/>
          <w:color w:val="000000" w:themeColor="text1"/>
          <w:sz w:val="16"/>
          <w:szCs w:val="16"/>
        </w:rPr>
        <w:softHyphen/>
        <w:t>ле 1942 года были сделаны последние попытки «реанимиро</w:t>
      </w:r>
      <w:r w:rsidRPr="008127F8">
        <w:rPr>
          <w:rFonts w:ascii="Times New Roman" w:hAnsi="Times New Roman"/>
          <w:color w:val="000000" w:themeColor="text1"/>
          <w:sz w:val="16"/>
          <w:szCs w:val="16"/>
        </w:rPr>
        <w:softHyphen/>
        <w:t>вать» ЗИС-30. Группа Муравьева оснастила находившуюся на заводе первую опытную машину ЗИС-30 76-мм пушкой ЗИС-3 (это орудие было поставлено на серийное произ</w:t>
      </w:r>
      <w:r w:rsidRPr="008127F8">
        <w:rPr>
          <w:rFonts w:ascii="Times New Roman" w:hAnsi="Times New Roman"/>
          <w:color w:val="000000" w:themeColor="text1"/>
          <w:sz w:val="16"/>
          <w:szCs w:val="16"/>
        </w:rPr>
        <w:softHyphen/>
        <w:t>водство только в конце декабря 1941 года взамен 57-мм пушки ЗИС-2). Однако ре</w:t>
      </w:r>
      <w:r w:rsidRPr="008127F8">
        <w:rPr>
          <w:rFonts w:ascii="Times New Roman" w:hAnsi="Times New Roman"/>
          <w:color w:val="000000" w:themeColor="text1"/>
          <w:sz w:val="16"/>
          <w:szCs w:val="16"/>
        </w:rPr>
        <w:softHyphen/>
        <w:t>зультаты испытаний были признаны неудач</w:t>
      </w:r>
      <w:r w:rsidRPr="008127F8">
        <w:rPr>
          <w:rFonts w:ascii="Times New Roman" w:hAnsi="Times New Roman"/>
          <w:color w:val="000000" w:themeColor="text1"/>
          <w:sz w:val="16"/>
          <w:szCs w:val="16"/>
        </w:rPr>
        <w:softHyphen/>
        <w:t>ными и дальше заводского опробования это</w:t>
      </w:r>
      <w:r w:rsidRPr="008127F8">
        <w:rPr>
          <w:rFonts w:ascii="Times New Roman" w:hAnsi="Times New Roman"/>
          <w:color w:val="000000" w:themeColor="text1"/>
          <w:sz w:val="16"/>
          <w:szCs w:val="16"/>
        </w:rPr>
        <w:softHyphen/>
        <w:t>го образца дело не пошло. В марте был изго</w:t>
      </w:r>
      <w:r w:rsidRPr="008127F8">
        <w:rPr>
          <w:rFonts w:ascii="Times New Roman" w:hAnsi="Times New Roman"/>
          <w:color w:val="000000" w:themeColor="text1"/>
          <w:sz w:val="16"/>
          <w:szCs w:val="16"/>
        </w:rPr>
        <w:softHyphen/>
        <w:t>товлен макет аналогичной САУ на шасси танка Т-60, но даже невооруженным глазом было видно, что машина получается со слиш</w:t>
      </w:r>
      <w:r w:rsidRPr="008127F8">
        <w:rPr>
          <w:rFonts w:ascii="Times New Roman" w:hAnsi="Times New Roman"/>
          <w:color w:val="000000" w:themeColor="text1"/>
          <w:sz w:val="16"/>
          <w:szCs w:val="16"/>
        </w:rPr>
        <w:softHyphen/>
        <w:t>ком высокой линией огня, больший динами</w:t>
      </w:r>
      <w:r w:rsidRPr="008127F8">
        <w:rPr>
          <w:rFonts w:ascii="Times New Roman" w:hAnsi="Times New Roman"/>
          <w:color w:val="000000" w:themeColor="text1"/>
          <w:sz w:val="16"/>
          <w:szCs w:val="16"/>
        </w:rPr>
        <w:softHyphen/>
        <w:t>ческий ход подвески обуславливал сильное раскачивание при стрельбе (11089).</w:t>
      </w:r>
    </w:p>
    <w:p w14:paraId="2FB4F9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51DE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марте 1942 года на заводе "Стальмост" в количестве 65 штук были изготовлены зенитные бронеплощадки (по одной на бронепоезд) для усиления противовоздушной обороны ОБ-3. Эти площадки, позднее получившие индекс ПВО-4, имели две зенитные точки и вооружались 25-мм зенитными автоматическими пушками, 20-мм пушками ШВАК или "Эрликон" или 12,7-мм пулеметами ДШК (9642).</w:t>
      </w:r>
    </w:p>
    <w:p w14:paraId="4118385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59370E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январе—декабре 1942 Поступление в войска приемников УС-ЗС и КВ. Установка радиостанций РСБ-Ф в танках для обеспечения радиосвязи командиров танкевых </w:t>
      </w:r>
      <w:r w:rsidRPr="008127F8">
        <w:rPr>
          <w:rFonts w:ascii="Times New Roman" w:hAnsi="Times New Roman"/>
          <w:color w:val="000000" w:themeColor="text1"/>
          <w:sz w:val="16"/>
          <w:szCs w:val="16"/>
        </w:rPr>
        <w:lastRenderedPageBreak/>
        <w:t>соединений. Формирование отдельных батальонов связи для гвардейских стрелковых корпусов и подразделений связи для артиллерийских дивизий прорыва. В феврале 1942 Поступление в войска радиостанции РБМ (11072).</w:t>
      </w:r>
    </w:p>
    <w:p w14:paraId="30238A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71E09"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ранее января 1942 г. — не позднее 5 апреля 1942 г. Копия черновика письма Г.Н. Флерова секретарю И.В. Сталина</w:t>
      </w:r>
    </w:p>
    <w:p w14:paraId="00981ECF"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66E28F03"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Уважаемый товарищ!</w:t>
      </w:r>
    </w:p>
    <w:p w14:paraId="1C955F8D"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Очень прошу Вас довести основное из изложенного в письме до сведения самого Иосифа Виссарионовича.</w:t>
      </w:r>
    </w:p>
    <w:p w14:paraId="297F7406"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 об уране находится сейчас в такой стадии, когда только личное участие тов. Сталина может чему-нибудь помочь. Я достаточно хорошо знаю Абрама Федоровича Иоффе, для того чтобы думать, что то, что он делает, делается им сознательно. Но, однако, объективно подходя к вопросу, его поведение близко к самому настоящему преступлению.</w:t>
      </w:r>
    </w:p>
    <w:p w14:paraId="1992CED1"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Вероятность успеха в «проблеме урана», по моим оценкам, 10-20%. Есть сведения, что этим вопросом, по-видимому, усиленно занимаются за границей. Ну и то, что безусловно правильно, — это то, что решение задачи приведет к появлению ядерной бомбы, эквивалентной 20-30 тысячам тонн взрывчатого вещества, — достаточно для полного уничтожения или Берлина, или Москвы, в зависимости от того, в чьих руках эта бомба будет находиться.</w:t>
      </w:r>
    </w:p>
    <w:p w14:paraId="3014EA17"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однако, этот вопрос либо замалчивается, либо от него просто отмахиваются. Уран — фантастика, кончится война — будем на свободе заниматься этим вопросом. И именно перспективность в случае осуществления ядерных бомб позволяет Абраму Федоровичу действовать наверняка. Никто нигде не сможет осуществить эти бомбы. Ну что же, можно будет говорить об интуиции акад. Иоффе, позволившей ему без всех многочисленных опытов (которые еще предстоит проделать) угадать неосуществленность ядерных бомб.</w:t>
      </w:r>
    </w:p>
    <w:p w14:paraId="2D6536BE"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Удастся решить задачу в Германии, Англии или США — результаты будут настолько огромны, что будет не до того, чтобы определять, какова доля вины Абрама Федоровича в том, что у нас в Союзе забросили эту работу.</w:t>
      </w:r>
    </w:p>
    <w:p w14:paraId="1EF1EE51"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Вдобавок делается это все настолько искусно, что формальных оснований против А.Ф. у нас не будет. Никогда нигде А.Ф. прямо не говорил, что ядерные бомбы неосуществимы, и однако какими-то путями создано упорное мнение, что эта задача из области фантастики.</w:t>
      </w:r>
    </w:p>
    <w:p w14:paraId="4250645B"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первая просьба, на выполнении которой я настаиваю, — это обязательное получение от всех кандидатов будущего совещания письменных соображений о реальности проблемы урана. Заключением должен явиться ответ, какой цифрой оценивает автор записки вероятность решения задачи.</w:t>
      </w:r>
    </w:p>
    <w:p w14:paraId="2126C31D"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Мои расчеты для ознакомления находятся у проф. И.В. Курчатова (проф. Курчатову было направлено 5 писем с расчетами по атомной бомбе, 4 письма утеряны, одно сохранилось).</w:t>
      </w:r>
    </w:p>
    <w:p w14:paraId="6717F105"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Вторая просьба — получить у наших осведомляющих органов полные сведения о том, какая работа по урану в настоящее время проводится в Германии, Англии, США, и приложить их к моему письму для ознакомления с ними товарища Сталина.</w:t>
      </w:r>
    </w:p>
    <w:p w14:paraId="1C864395"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письму прилагаю копию моего письма, направленного к тов. Кафтанову в январе 1942 года20.</w:t>
      </w:r>
    </w:p>
    <w:p w14:paraId="65DB5AC8"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раз повторяю свою просьбу— решить вопрос может только лично тов. Сталин, так постарайтесь, чтобы мое письмо попало к нему. О получении письма и всех дальнейших мероприятиях известите меня незамедлительно по адресу: П. П. С 1937 вышел приказ НКОП № 899 п/я 14 Юго-Западный фронт, 90 разведывательная эскадрилья Флерову Г.Н.</w:t>
      </w:r>
    </w:p>
    <w:p w14:paraId="2B369894"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представления моего письма тов. Сталину попрошу, исправив орфографию и стилистику, перепечатать его на машинке.</w:t>
      </w:r>
    </w:p>
    <w:p w14:paraId="68882B26"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подготовки к созываемому совещанию мне потребуется 3-дневное ознакомление:</w:t>
      </w:r>
    </w:p>
    <w:p w14:paraId="4AEC3249"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 материалами о работе над ураном за границей,</w:t>
      </w:r>
    </w:p>
    <w:p w14:paraId="6252006C"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 записками участников совещания и</w:t>
      </w:r>
    </w:p>
    <w:p w14:paraId="7EE70A45"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физическими журналами за 1942 г. (15720).</w:t>
      </w:r>
    </w:p>
    <w:p w14:paraId="0081ED82" w14:textId="77777777" w:rsidR="0005046D" w:rsidRPr="008127F8" w:rsidRDefault="0005046D" w:rsidP="001E0A84">
      <w:pPr>
        <w:spacing w:after="0" w:line="240" w:lineRule="auto"/>
        <w:jc w:val="both"/>
        <w:rPr>
          <w:rFonts w:ascii="Times New Roman" w:hAnsi="Times New Roman"/>
          <w:color w:val="000000" w:themeColor="text1"/>
          <w:sz w:val="16"/>
          <w:szCs w:val="16"/>
        </w:rPr>
      </w:pPr>
    </w:p>
    <w:p w14:paraId="1381523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33B03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13B1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январе-феврале 1942 г. комиссия штаба ВВС КА обследовала некоторые бомбардировочные полки на Пе-2 (Пе-3), базировавшиеся в районе Москвы. Комиссию интересовало, главным образом, состояние моторов, но попутно была набрана определенная статистика, которую мы приводим в таблице ниже.</w:t>
      </w:r>
    </w:p>
    <w:p w14:paraId="10895A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Сведения о некоторых полках, вооруженных самолетами В.М. Петлякова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8127F8" w14:paraId="3D28E3C1" w14:textId="77777777">
        <w:tc>
          <w:tcPr>
            <w:tcW w:w="1868" w:type="dxa"/>
            <w:tcBorders>
              <w:top w:val="single" w:sz="12" w:space="0" w:color="auto"/>
            </w:tcBorders>
          </w:tcPr>
          <w:p w14:paraId="0068FA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Характеристика</w:t>
            </w:r>
          </w:p>
        </w:tc>
        <w:tc>
          <w:tcPr>
            <w:tcW w:w="1868" w:type="dxa"/>
            <w:tcBorders>
              <w:top w:val="single" w:sz="12" w:space="0" w:color="auto"/>
            </w:tcBorders>
          </w:tcPr>
          <w:p w14:paraId="565D69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9-й бап'</w:t>
            </w:r>
          </w:p>
        </w:tc>
        <w:tc>
          <w:tcPr>
            <w:tcW w:w="1868" w:type="dxa"/>
            <w:tcBorders>
              <w:top w:val="single" w:sz="12" w:space="0" w:color="auto"/>
            </w:tcBorders>
          </w:tcPr>
          <w:p w14:paraId="58A9A9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54-й бап</w:t>
            </w:r>
          </w:p>
        </w:tc>
        <w:tc>
          <w:tcPr>
            <w:tcW w:w="1868" w:type="dxa"/>
            <w:tcBorders>
              <w:top w:val="single" w:sz="12" w:space="0" w:color="auto"/>
            </w:tcBorders>
          </w:tcPr>
          <w:p w14:paraId="7FDFC4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603-й бап</w:t>
            </w:r>
          </w:p>
        </w:tc>
        <w:tc>
          <w:tcPr>
            <w:tcW w:w="1868" w:type="dxa"/>
            <w:tcBorders>
              <w:top w:val="single" w:sz="12" w:space="0" w:color="auto"/>
            </w:tcBorders>
          </w:tcPr>
          <w:p w14:paraId="4686A8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132-й бап</w:t>
            </w:r>
          </w:p>
        </w:tc>
        <w:tc>
          <w:tcPr>
            <w:tcW w:w="1868" w:type="dxa"/>
            <w:tcBorders>
              <w:top w:val="single" w:sz="12" w:space="0" w:color="auto"/>
            </w:tcBorders>
          </w:tcPr>
          <w:p w14:paraId="370104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95-й иап</w:t>
            </w:r>
          </w:p>
        </w:tc>
      </w:tr>
      <w:tr w:rsidR="006F4095" w:rsidRPr="008127F8" w14:paraId="06E4A93B" w14:textId="77777777">
        <w:tc>
          <w:tcPr>
            <w:tcW w:w="1868" w:type="dxa"/>
          </w:tcPr>
          <w:p w14:paraId="64B643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 обследования</w:t>
            </w:r>
          </w:p>
        </w:tc>
        <w:tc>
          <w:tcPr>
            <w:tcW w:w="1868" w:type="dxa"/>
          </w:tcPr>
          <w:p w14:paraId="3F4463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w:t>
            </w:r>
          </w:p>
        </w:tc>
        <w:tc>
          <w:tcPr>
            <w:tcW w:w="1868" w:type="dxa"/>
          </w:tcPr>
          <w:p w14:paraId="3D9E1F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w:t>
            </w:r>
          </w:p>
        </w:tc>
        <w:tc>
          <w:tcPr>
            <w:tcW w:w="1868" w:type="dxa"/>
          </w:tcPr>
          <w:p w14:paraId="7619FD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w:t>
            </w:r>
          </w:p>
        </w:tc>
        <w:tc>
          <w:tcPr>
            <w:tcW w:w="1868" w:type="dxa"/>
          </w:tcPr>
          <w:p w14:paraId="5E2A97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w:t>
            </w:r>
          </w:p>
        </w:tc>
        <w:tc>
          <w:tcPr>
            <w:tcW w:w="1868" w:type="dxa"/>
          </w:tcPr>
          <w:p w14:paraId="23080C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w:t>
            </w:r>
          </w:p>
        </w:tc>
      </w:tr>
      <w:tr w:rsidR="006F4095" w:rsidRPr="008127F8" w14:paraId="08B92C86" w14:textId="77777777">
        <w:tc>
          <w:tcPr>
            <w:tcW w:w="1868" w:type="dxa"/>
          </w:tcPr>
          <w:p w14:paraId="0D3CFA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самолетов</w:t>
            </w:r>
          </w:p>
        </w:tc>
        <w:tc>
          <w:tcPr>
            <w:tcW w:w="1868" w:type="dxa"/>
          </w:tcPr>
          <w:p w14:paraId="776A7C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Пе-2</w:t>
            </w:r>
          </w:p>
        </w:tc>
        <w:tc>
          <w:tcPr>
            <w:tcW w:w="1868" w:type="dxa"/>
          </w:tcPr>
          <w:p w14:paraId="4B3E80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Пе-3</w:t>
            </w:r>
          </w:p>
        </w:tc>
        <w:tc>
          <w:tcPr>
            <w:tcW w:w="1868" w:type="dxa"/>
          </w:tcPr>
          <w:p w14:paraId="37C410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Пе-2</w:t>
            </w:r>
          </w:p>
        </w:tc>
        <w:tc>
          <w:tcPr>
            <w:tcW w:w="1868" w:type="dxa"/>
          </w:tcPr>
          <w:p w14:paraId="77B6EF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Пе-2</w:t>
            </w:r>
          </w:p>
        </w:tc>
        <w:tc>
          <w:tcPr>
            <w:tcW w:w="1868" w:type="dxa"/>
          </w:tcPr>
          <w:p w14:paraId="401F38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Пе-3</w:t>
            </w:r>
          </w:p>
        </w:tc>
      </w:tr>
      <w:tr w:rsidR="006F4095" w:rsidRPr="008127F8" w14:paraId="1448FBE2" w14:textId="77777777">
        <w:tc>
          <w:tcPr>
            <w:tcW w:w="1868" w:type="dxa"/>
          </w:tcPr>
          <w:p w14:paraId="42EDBE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Начало этапа боевых действий</w:t>
            </w:r>
          </w:p>
        </w:tc>
        <w:tc>
          <w:tcPr>
            <w:tcW w:w="1868" w:type="dxa"/>
          </w:tcPr>
          <w:p w14:paraId="35B92D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1868" w:type="dxa"/>
          </w:tcPr>
          <w:p w14:paraId="1C18E6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1868" w:type="dxa"/>
          </w:tcPr>
          <w:p w14:paraId="024671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1868" w:type="dxa"/>
          </w:tcPr>
          <w:p w14:paraId="638021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1868" w:type="dxa"/>
          </w:tcPr>
          <w:p w14:paraId="458ED9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r>
      <w:tr w:rsidR="006F4095" w:rsidRPr="008127F8" w14:paraId="216B610D" w14:textId="77777777">
        <w:tc>
          <w:tcPr>
            <w:tcW w:w="1868" w:type="dxa"/>
          </w:tcPr>
          <w:p w14:paraId="4EF3C5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F056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1868" w:type="dxa"/>
          </w:tcPr>
          <w:p w14:paraId="373DBB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1868" w:type="dxa"/>
          </w:tcPr>
          <w:p w14:paraId="56589C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1868" w:type="dxa"/>
          </w:tcPr>
          <w:p w14:paraId="206871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c>
          <w:tcPr>
            <w:tcW w:w="1868" w:type="dxa"/>
          </w:tcPr>
          <w:p w14:paraId="61CD70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r>
      <w:tr w:rsidR="006F4095" w:rsidRPr="008127F8" w14:paraId="06170F56" w14:textId="77777777">
        <w:tc>
          <w:tcPr>
            <w:tcW w:w="1868" w:type="dxa"/>
          </w:tcPr>
          <w:p w14:paraId="2F76E7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Сбито ИА и ЗА</w:t>
            </w:r>
          </w:p>
        </w:tc>
        <w:tc>
          <w:tcPr>
            <w:tcW w:w="1868" w:type="dxa"/>
          </w:tcPr>
          <w:p w14:paraId="7F97E5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015DC0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868" w:type="dxa"/>
          </w:tcPr>
          <w:p w14:paraId="04BA0F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70DF4C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4194D7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B4554B2" w14:textId="77777777">
        <w:tc>
          <w:tcPr>
            <w:tcW w:w="1868" w:type="dxa"/>
          </w:tcPr>
          <w:p w14:paraId="3DB416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 на аэродроме</w:t>
            </w:r>
          </w:p>
        </w:tc>
        <w:tc>
          <w:tcPr>
            <w:tcW w:w="1868" w:type="dxa"/>
          </w:tcPr>
          <w:p w14:paraId="40BFF4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868" w:type="dxa"/>
          </w:tcPr>
          <w:p w14:paraId="1F0746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Pr>
          <w:p w14:paraId="7520D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08E415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312533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07B1815" w14:textId="77777777">
        <w:tc>
          <w:tcPr>
            <w:tcW w:w="1868" w:type="dxa"/>
          </w:tcPr>
          <w:p w14:paraId="2DCF35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вернулись с боевых заданий</w:t>
            </w:r>
          </w:p>
        </w:tc>
        <w:tc>
          <w:tcPr>
            <w:tcW w:w="1868" w:type="dxa"/>
          </w:tcPr>
          <w:p w14:paraId="01503D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7E61FD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Pr>
          <w:p w14:paraId="1053B7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868" w:type="dxa"/>
          </w:tcPr>
          <w:p w14:paraId="76A868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868" w:type="dxa"/>
          </w:tcPr>
          <w:p w14:paraId="35AEDD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7B01D81E" w14:textId="77777777">
        <w:tc>
          <w:tcPr>
            <w:tcW w:w="1868" w:type="dxa"/>
          </w:tcPr>
          <w:p w14:paraId="5D5796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Потеряны в авариях</w:t>
            </w:r>
          </w:p>
        </w:tc>
        <w:tc>
          <w:tcPr>
            <w:tcW w:w="1868" w:type="dxa"/>
          </w:tcPr>
          <w:p w14:paraId="042721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Pr>
          <w:p w14:paraId="6C4920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868" w:type="dxa"/>
          </w:tcPr>
          <w:p w14:paraId="4C7A26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052C00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041D81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3595CF8" w14:textId="77777777">
        <w:tc>
          <w:tcPr>
            <w:tcW w:w="1868" w:type="dxa"/>
          </w:tcPr>
          <w:p w14:paraId="10CCFB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Сданы в ремонт</w:t>
            </w:r>
          </w:p>
        </w:tc>
        <w:tc>
          <w:tcPr>
            <w:tcW w:w="1868" w:type="dxa"/>
          </w:tcPr>
          <w:p w14:paraId="22DFCA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Pr>
          <w:p w14:paraId="7E5DFD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76D77B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43A8D2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3EA0A1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E11140E" w14:textId="77777777">
        <w:tc>
          <w:tcPr>
            <w:tcW w:w="1868" w:type="dxa"/>
          </w:tcPr>
          <w:p w14:paraId="065066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Боеготовых машин</w:t>
            </w:r>
          </w:p>
        </w:tc>
        <w:tc>
          <w:tcPr>
            <w:tcW w:w="1868" w:type="dxa"/>
          </w:tcPr>
          <w:p w14:paraId="558A05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868" w:type="dxa"/>
          </w:tcPr>
          <w:p w14:paraId="2AEF3F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868" w:type="dxa"/>
          </w:tcPr>
          <w:p w14:paraId="37698A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868" w:type="dxa"/>
          </w:tcPr>
          <w:p w14:paraId="6703E5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868" w:type="dxa"/>
          </w:tcPr>
          <w:p w14:paraId="1B89BC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6F4095" w:rsidRPr="008127F8" w14:paraId="62596185" w14:textId="77777777">
        <w:tc>
          <w:tcPr>
            <w:tcW w:w="1868" w:type="dxa"/>
          </w:tcPr>
          <w:p w14:paraId="403B0E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Пополнение</w:t>
            </w:r>
          </w:p>
        </w:tc>
        <w:tc>
          <w:tcPr>
            <w:tcW w:w="1868" w:type="dxa"/>
          </w:tcPr>
          <w:p w14:paraId="349E19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30580B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3CB758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868" w:type="dxa"/>
          </w:tcPr>
          <w:p w14:paraId="60BCAF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Pr>
          <w:p w14:paraId="41B1F0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71FA6409" w14:textId="77777777">
        <w:tc>
          <w:tcPr>
            <w:tcW w:w="1868" w:type="dxa"/>
            <w:tcBorders>
              <w:bottom w:val="single" w:sz="12" w:space="0" w:color="auto"/>
            </w:tcBorders>
          </w:tcPr>
          <w:p w14:paraId="19FF08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Средняя наработка моторов, ч</w:t>
            </w:r>
          </w:p>
        </w:tc>
        <w:tc>
          <w:tcPr>
            <w:tcW w:w="1868" w:type="dxa"/>
            <w:tcBorders>
              <w:bottom w:val="single" w:sz="12" w:space="0" w:color="auto"/>
            </w:tcBorders>
          </w:tcPr>
          <w:p w14:paraId="67F9DB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30-70</w:t>
            </w:r>
          </w:p>
        </w:tc>
        <w:tc>
          <w:tcPr>
            <w:tcW w:w="1868" w:type="dxa"/>
            <w:tcBorders>
              <w:bottom w:val="single" w:sz="12" w:space="0" w:color="auto"/>
            </w:tcBorders>
          </w:tcPr>
          <w:p w14:paraId="775D28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70-100</w:t>
            </w:r>
          </w:p>
        </w:tc>
        <w:tc>
          <w:tcPr>
            <w:tcW w:w="1868" w:type="dxa"/>
            <w:tcBorders>
              <w:bottom w:val="single" w:sz="12" w:space="0" w:color="auto"/>
            </w:tcBorders>
          </w:tcPr>
          <w:p w14:paraId="4BDDFE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Borders>
              <w:bottom w:val="single" w:sz="12" w:space="0" w:color="auto"/>
            </w:tcBorders>
          </w:tcPr>
          <w:p w14:paraId="1E814F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Borders>
              <w:bottom w:val="single" w:sz="12" w:space="0" w:color="auto"/>
            </w:tcBorders>
          </w:tcPr>
          <w:p w14:paraId="61D2E0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bl>
    <w:p w14:paraId="2DDCA4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9-й бап использовался для лидирования самолетов, перелетавших с заводов на фронт, и в боевых действиях практически не участвовал (12042).</w:t>
      </w:r>
    </w:p>
    <w:p w14:paraId="04A1BC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6DCE3" w14:textId="77777777" w:rsidR="00011043" w:rsidRPr="008127F8" w:rsidRDefault="00011043"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января по март 1942 года было сформировано 55 отдельных аэросанных батальонов, из которых 53 были направлены на фронт, а 2 остались в резерве. Всего известно о 60 отдельных батальонах действующей армии, а также нескольких учебных и ремонтных подразделениях. В боевых условиях использовались следующие основные построения: «линия», «кильватер» и «клин». В первом случае машины двигались параллельно друг другу на дистанции около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10 м</w:t>
        </w:r>
      </w:smartTag>
      <w:r w:rsidRPr="008127F8">
        <w:rPr>
          <w:rFonts w:ascii="Times New Roman" w:hAnsi="Times New Roman"/>
          <w:color w:val="000000" w:themeColor="text1"/>
          <w:sz w:val="16"/>
          <w:szCs w:val="16"/>
        </w:rPr>
        <w:t>. При «кильватерном» построении аэросани шли друг за другом, соблюдая дистанцию 30-</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50 м</w:t>
        </w:r>
      </w:smartTag>
      <w:r w:rsidRPr="008127F8">
        <w:rPr>
          <w:rFonts w:ascii="Times New Roman" w:hAnsi="Times New Roman"/>
          <w:color w:val="000000" w:themeColor="text1"/>
          <w:sz w:val="16"/>
          <w:szCs w:val="16"/>
        </w:rPr>
        <w:t>. Строй «клин» применялся при движении по бездорожью, и в этом случае сани командира взвода находились на 20-</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25 м</w:t>
        </w:r>
      </w:smartTag>
      <w:r w:rsidRPr="008127F8">
        <w:rPr>
          <w:rFonts w:ascii="Times New Roman" w:hAnsi="Times New Roman"/>
          <w:color w:val="000000" w:themeColor="text1"/>
          <w:sz w:val="16"/>
          <w:szCs w:val="16"/>
        </w:rPr>
        <w:t xml:space="preserve"> впереди двух других саней взвода, оставшихся в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20 м</w:t>
        </w:r>
      </w:smartTag>
      <w:r w:rsidRPr="008127F8">
        <w:rPr>
          <w:rFonts w:ascii="Times New Roman" w:hAnsi="Times New Roman"/>
          <w:color w:val="000000" w:themeColor="text1"/>
          <w:sz w:val="16"/>
          <w:szCs w:val="16"/>
        </w:rPr>
        <w:t xml:space="preserve"> по сторонам. При транспортировке десанта военнослужащие могли размещаться как в кабине, так и на лыжах аэросаней, держась за специальные скобки (15218).</w:t>
      </w:r>
    </w:p>
    <w:p w14:paraId="4144DED6" w14:textId="77777777" w:rsidR="00011043" w:rsidRPr="008127F8" w:rsidRDefault="00011043" w:rsidP="001E0A84">
      <w:pPr>
        <w:widowControl w:val="0"/>
        <w:spacing w:after="0" w:line="240" w:lineRule="auto"/>
        <w:jc w:val="both"/>
        <w:rPr>
          <w:rFonts w:ascii="Times New Roman" w:hAnsi="Times New Roman"/>
          <w:color w:val="000000" w:themeColor="text1"/>
          <w:sz w:val="16"/>
          <w:szCs w:val="16"/>
        </w:rPr>
      </w:pPr>
    </w:p>
    <w:p w14:paraId="0A2580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январе-феврале 1942 на СФ впервые применяли высотные торпеды и всего сбросили 15, но повредили только один транспорт (1085,149).</w:t>
      </w:r>
    </w:p>
    <w:p w14:paraId="5BC250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9F6A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январе-мае 1942 года разработали несколько штатов отдельных танковых батальонов (№№010/321.</w:t>
      </w:r>
    </w:p>
    <w:p w14:paraId="6FC95D7B"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010/322, 010/360,010/361,010/362 010/363, имевших однотипную организацию (3-4роты) и отличавшихся главным образом количеством танков - от 16 до 41. При этом меньшее количество имели батальоны, укомплектованные однотипными машинами (КВ, английские, иногда Т-34), а большую - смешанного состава. Например, штат № 010/361 включал 41 танк - 5 КВ, 30 Т-34 и 16 Т-60 (12217).</w:t>
      </w:r>
    </w:p>
    <w:p w14:paraId="1B142395"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1FB7462A"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50B8D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4DC0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вышел отчет завода 381 за 1941:</w:t>
      </w:r>
    </w:p>
    <w:p w14:paraId="3CEA8C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"Работу завода в течение 1941 необходимо разделить на 2 периода:</w:t>
      </w:r>
    </w:p>
    <w:p w14:paraId="0D0FB4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Организация и первый этап самостоятельной работы заводов 380 и 381 в Ленинграде до их слияния (1 полугодие 1941).</w:t>
      </w:r>
    </w:p>
    <w:p w14:paraId="2E9B91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Эвакуация и второй этап работы объединенного завода 381 в Нижнем Тагиле (2 полугодие).</w:t>
      </w:r>
    </w:p>
    <w:p w14:paraId="212133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первом полугодии на заводах 380 и 381 товарного выпуска самолетов, если не считать выпуска 2-х машин заводом 381 типа ЦКБ-55 не было.</w:t>
      </w:r>
    </w:p>
    <w:p w14:paraId="11C92A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Эвакуация заводов из Ленинграда по решению Правительства началась 1 июля 1941 и продолжалась до 5 августа 1941.</w:t>
      </w:r>
    </w:p>
    <w:p w14:paraId="6D7EAC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Выполнена производственная программа в натуральном выражении:</w:t>
      </w:r>
    </w:p>
    <w:p w14:paraId="2FB989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самолет Ил-2 с М-38 - план - 80, отчет 25 (31.2%) (План по выпуску приведен в соответствии с Постановлением ГКО N 647сс от 8 сентября 1941).</w:t>
      </w:r>
    </w:p>
    <w:p w14:paraId="7BD516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Рекламаций от в/ч ВВС на изготовленные в 1941 самолеты - нет.</w:t>
      </w:r>
    </w:p>
    <w:p w14:paraId="38D3E4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Сборка модернизированной машины Ил-2 с М-82 намечается к 1 марта 1942." (2332).</w:t>
      </w:r>
    </w:p>
    <w:p w14:paraId="33F30E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5B6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претворяя в жизнь пожелания летчи</w:t>
      </w:r>
      <w:r w:rsidRPr="008127F8">
        <w:rPr>
          <w:rFonts w:ascii="Times New Roman" w:hAnsi="Times New Roman"/>
          <w:color w:val="000000" w:themeColor="text1"/>
          <w:sz w:val="16"/>
          <w:szCs w:val="16"/>
        </w:rPr>
        <w:softHyphen/>
        <w:t>ков строевых частей оснастить Ил-2 при</w:t>
      </w:r>
      <w:r w:rsidRPr="008127F8">
        <w:rPr>
          <w:rFonts w:ascii="Times New Roman" w:hAnsi="Times New Roman"/>
          <w:color w:val="000000" w:themeColor="text1"/>
          <w:sz w:val="16"/>
          <w:szCs w:val="16"/>
        </w:rPr>
        <w:softHyphen/>
        <w:t>целом для стрельбы из стрелкового ору</w:t>
      </w:r>
      <w:r w:rsidRPr="008127F8">
        <w:rPr>
          <w:rFonts w:ascii="Times New Roman" w:hAnsi="Times New Roman"/>
          <w:color w:val="000000" w:themeColor="text1"/>
          <w:sz w:val="16"/>
          <w:szCs w:val="16"/>
        </w:rPr>
        <w:softHyphen/>
        <w:t>жия простейшего типа, не мешающим и не загромождающим кабину, конструк</w:t>
      </w:r>
      <w:r w:rsidRPr="008127F8">
        <w:rPr>
          <w:rFonts w:ascii="Times New Roman" w:hAnsi="Times New Roman"/>
          <w:color w:val="000000" w:themeColor="text1"/>
          <w:sz w:val="16"/>
          <w:szCs w:val="16"/>
        </w:rPr>
        <w:softHyphen/>
        <w:t>тором ОКБ завода № 18 Г.К.Василье</w:t>
      </w:r>
      <w:r w:rsidRPr="008127F8">
        <w:rPr>
          <w:rFonts w:ascii="Times New Roman" w:hAnsi="Times New Roman"/>
          <w:color w:val="000000" w:themeColor="text1"/>
          <w:sz w:val="16"/>
          <w:szCs w:val="16"/>
        </w:rPr>
        <w:softHyphen/>
        <w:t>вым специально для Ил-2 был сконструирован механический визир, который состоял из мушки в виде кольца, расположенной на капоте само</w:t>
      </w:r>
      <w:r w:rsidRPr="008127F8">
        <w:rPr>
          <w:rFonts w:ascii="Times New Roman" w:hAnsi="Times New Roman"/>
          <w:color w:val="000000" w:themeColor="text1"/>
          <w:sz w:val="16"/>
          <w:szCs w:val="16"/>
        </w:rPr>
        <w:softHyphen/>
        <w:t>лета перед бронекозырьком, и упредительных эллипсов, нанесенных непосред</w:t>
      </w:r>
      <w:r w:rsidRPr="008127F8">
        <w:rPr>
          <w:rFonts w:ascii="Times New Roman" w:hAnsi="Times New Roman"/>
          <w:color w:val="000000" w:themeColor="text1"/>
          <w:sz w:val="16"/>
          <w:szCs w:val="16"/>
        </w:rPr>
        <w:softHyphen/>
        <w:t>ственно на бронестекле кабины летчика.</w:t>
      </w:r>
    </w:p>
    <w:p w14:paraId="3ABAB9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Точность прицеливания с помощью такого визира, как показали исследова</w:t>
      </w:r>
      <w:r w:rsidRPr="008127F8">
        <w:rPr>
          <w:rFonts w:ascii="Times New Roman" w:hAnsi="Times New Roman"/>
          <w:color w:val="000000" w:themeColor="text1"/>
          <w:sz w:val="16"/>
          <w:szCs w:val="16"/>
        </w:rPr>
        <w:softHyphen/>
        <w:t>ния, проведенные летным составом 3-й эскадрильи учебного авиаполка при ВАКШС ВВС КА, была хуже, чем у коллиматорного прицела ПБП-16. Однако среднее время, необходимое летчику для осуществления прицеливания, было при</w:t>
      </w:r>
      <w:r w:rsidRPr="008127F8">
        <w:rPr>
          <w:rFonts w:ascii="Times New Roman" w:hAnsi="Times New Roman"/>
          <w:color w:val="000000" w:themeColor="text1"/>
          <w:sz w:val="16"/>
          <w:szCs w:val="16"/>
        </w:rPr>
        <w:softHyphen/>
        <w:t>мерно в 1,5-2 раза меньше, чем у ПБП-16 (6467).</w:t>
      </w:r>
    </w:p>
    <w:p w14:paraId="28603E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FA1AE" w14:textId="77777777" w:rsidR="003C7055" w:rsidRPr="008127F8" w:rsidRDefault="003C7055"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начале 1942 г. конструктором ОКБ завода № 18 Г.К. Васильевым специально был сконструирован механический визир, который состоял из мушки в виде кольца, расположенной на капоте самолета перед бронекозырьком, и упредительных эллипсов, нанесенных непосредственно на бронестекле кабины летчика.</w:t>
      </w:r>
    </w:p>
    <w:p w14:paraId="650A8805" w14:textId="77777777" w:rsidR="003C7055" w:rsidRPr="008127F8" w:rsidRDefault="003C7055"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Точность прицеливания с помощью такого визира была хуже, чем у коллиматорного прицела ПБП-16. Однако среднее время, необходимое летчику для осуществления прицеливания, было примерно в 1,5-2 раза меньше. Поэтому уже 13 июня 1942 г. Постановлением ГКО механический прицел ОКБ 18-го авиазавода под шифром ВВ-1 (воздушный визир первый) был запущен в серийное производство для установки его на Ил-2 вместо прицела ПБП-16 (20186).</w:t>
      </w:r>
    </w:p>
    <w:p w14:paraId="601112BD" w14:textId="77777777" w:rsidR="003C7055" w:rsidRPr="008127F8" w:rsidRDefault="003C7055" w:rsidP="001E0A84">
      <w:pPr>
        <w:pStyle w:val="article-renderblock"/>
        <w:shd w:val="clear" w:color="auto" w:fill="FFFFFF"/>
        <w:spacing w:before="0" w:beforeAutospacing="0" w:after="0" w:afterAutospacing="0"/>
        <w:jc w:val="both"/>
        <w:rPr>
          <w:color w:val="000000" w:themeColor="text1"/>
          <w:sz w:val="16"/>
          <w:szCs w:val="16"/>
        </w:rPr>
      </w:pPr>
    </w:p>
    <w:p w14:paraId="0F3F5F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 Бюро новой техники наркомата авиапромышленности (БНТ НКАП) была проведена конференция фронтовых летчиков-штурмовиков, летчиков-испытателей Ил-2 и конструкторов по обмену опытом боевого применения Ил-2 и по улучшению Ил-2. Пожелания летчиков сводились к необходимости переделки машины в двухместную, к усилению пушечного вооружения, та как ШВАК были недостаточно эффективны против танков, и к увеличению мощности двигателя (182,244).</w:t>
      </w:r>
    </w:p>
    <w:p w14:paraId="0D333F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7B4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к Е.П.Коваль писал письмо И.В.С.:</w:t>
      </w:r>
    </w:p>
    <w:p w14:paraId="7C9777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"...Основной недостаток самолета (Ил-2) в том, что он сзади совершенно беззащитен от и. И противника в большинстве случаев подходят сади и сбоку на 10-15 м и бьет по самолету из пушек и пулеметов, стараясь поразить мотор или </w:t>
      </w:r>
      <w:proofErr w:type="gramStart"/>
      <w:r w:rsidRPr="008127F8">
        <w:rPr>
          <w:rFonts w:ascii="Times New Roman" w:hAnsi="Times New Roman"/>
          <w:color w:val="000000" w:themeColor="text1"/>
          <w:sz w:val="16"/>
          <w:szCs w:val="16"/>
        </w:rPr>
        <w:t>л...</w:t>
      </w:r>
      <w:proofErr w:type="gramEnd"/>
      <w:r w:rsidRPr="008127F8">
        <w:rPr>
          <w:rFonts w:ascii="Times New Roman" w:hAnsi="Times New Roman"/>
          <w:color w:val="000000" w:themeColor="text1"/>
          <w:sz w:val="16"/>
          <w:szCs w:val="16"/>
        </w:rPr>
        <w:t>" (3820).</w:t>
      </w:r>
    </w:p>
    <w:p w14:paraId="59C454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0E1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по воспоминаниям В.Н. Новикова, в то время заместителя наркома вооружения, встал "вопрос об усилении вооружения штурмовиков Ил-2". "Государственный Комитет Обороны принял решение оснастить штурмовик Ил-2 двумя пушками ВЯ и крупнокалиберным пулеметом. Изготовление пушки было поручено ковровским оружейникам [заводу № </w:t>
      </w:r>
      <w:proofErr w:type="gramStart"/>
      <w:r w:rsidRPr="008127F8">
        <w:rPr>
          <w:rFonts w:ascii="Times New Roman" w:hAnsi="Times New Roman"/>
          <w:color w:val="000000" w:themeColor="text1"/>
          <w:sz w:val="16"/>
          <w:szCs w:val="16"/>
        </w:rPr>
        <w:t>2]…</w:t>
      </w:r>
      <w:proofErr w:type="gramEnd"/>
      <w:r w:rsidRPr="008127F8">
        <w:rPr>
          <w:rFonts w:ascii="Times New Roman" w:hAnsi="Times New Roman"/>
          <w:color w:val="000000" w:themeColor="text1"/>
          <w:sz w:val="16"/>
          <w:szCs w:val="16"/>
        </w:rPr>
        <w:t>Первые опытные образцы ждали от ковровцев через месяц, а спустя еще месяц - серийного выпуска новых пушек. Даже для военного времени - срок невероятный". Далее Новиков сетовал на то, что ранее "пушку Волкова - Ярцева пробовали ставить на одном из эвакуированных заводов, но из этого ничего не получилось: в отведенные сроки коллектив не уложился из-за плохих условий производства и отсутствия высококвалифицированных кадров". (ЦАМО, ф. 35, оп. 11320, д. 78. Л. 254</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Как мы видим, причины были не только в эвакуации, но и в необходимом для кропотливой доводки пушки ВЯ (11148).</w:t>
      </w:r>
    </w:p>
    <w:p w14:paraId="430D08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C3659" w14:textId="77777777" w:rsidR="00A174FD" w:rsidRPr="008127F8" w:rsidRDefault="00A174FD" w:rsidP="001E0A84">
      <w:pPr>
        <w:pStyle w:val="a4"/>
        <w:rPr>
          <w:color w:val="000000" w:themeColor="text1"/>
          <w:lang w:val="ru-RU"/>
        </w:rPr>
      </w:pPr>
      <w:r w:rsidRPr="008127F8">
        <w:rPr>
          <w:color w:val="000000" w:themeColor="text1"/>
          <w:lang w:val="ru-RU"/>
        </w:rPr>
        <w:t xml:space="preserve">В начале 1942, по воспоминаниям В.Н. Новикова, в то время заместителя наркома вооружения, на его памяти «вопрос об усилении вооружения штурмовиков Ил-2» встал в начале 1942 г. «Государственный Комитет Обороны принял решение оснастить штурмовик Ил-2 двумя пушками ВЯ и крупнокалиберным пулемётом. Изготовление пушки было поручено ков- ровским оружейникам (заводу № </w:t>
      </w:r>
      <w:proofErr w:type="gramStart"/>
      <w:r w:rsidRPr="008127F8">
        <w:rPr>
          <w:color w:val="000000" w:themeColor="text1"/>
          <w:lang w:val="ru-RU"/>
        </w:rPr>
        <w:t>2)...</w:t>
      </w:r>
      <w:proofErr w:type="gramEnd"/>
      <w:r w:rsidRPr="008127F8">
        <w:rPr>
          <w:color w:val="000000" w:themeColor="text1"/>
          <w:lang w:val="ru-RU"/>
        </w:rPr>
        <w:t xml:space="preserve"> В конце февраля 1942 г. на завод по</w:t>
      </w:r>
      <w:r w:rsidRPr="008127F8">
        <w:rPr>
          <w:color w:val="000000" w:themeColor="text1"/>
          <w:lang w:val="ru-RU"/>
        </w:rPr>
        <w:softHyphen/>
        <w:t>ступил приказ, в котором излагалось задание правительства, и тогда же все отделы и цехи немедленно развернули работу по подготовке производства ВЯ и вели её кругло</w:t>
      </w:r>
      <w:r w:rsidRPr="008127F8">
        <w:rPr>
          <w:color w:val="000000" w:themeColor="text1"/>
          <w:lang w:val="ru-RU"/>
        </w:rPr>
        <w:softHyphen/>
        <w:t>суточно. Первые опытные образцы ждали от ковровцев через месяц, а спустя еще ме</w:t>
      </w:r>
      <w:r w:rsidRPr="008127F8">
        <w:rPr>
          <w:color w:val="000000" w:themeColor="text1"/>
          <w:lang w:val="ru-RU"/>
        </w:rPr>
        <w:softHyphen/>
        <w:t>сяц — серийного выпуска новых пушек. Даже для военного времени — срок невероят</w:t>
      </w:r>
      <w:r w:rsidRPr="008127F8">
        <w:rPr>
          <w:color w:val="000000" w:themeColor="text1"/>
          <w:lang w:val="ru-RU"/>
        </w:rPr>
        <w:softHyphen/>
        <w:t>ный». Далее Новиков сетовал на то, что ранее «пушку Волкова — Ярцева пробовали ста</w:t>
      </w:r>
      <w:r w:rsidRPr="008127F8">
        <w:rPr>
          <w:color w:val="000000" w:themeColor="text1"/>
          <w:lang w:val="ru-RU"/>
        </w:rPr>
        <w:softHyphen/>
        <w:t>вить на одном из эвакуированных заводов, но из этого ничего не получилось: в отведен</w:t>
      </w:r>
      <w:r w:rsidRPr="008127F8">
        <w:rPr>
          <w:color w:val="000000" w:themeColor="text1"/>
          <w:lang w:val="ru-RU"/>
        </w:rPr>
        <w:softHyphen/>
        <w:t>ные сроки коллектив не уложился из-за плохих условий производства и отсутствия высококвалифицированных кадров». Как мы видим, причины были не только в эвакуа</w:t>
      </w:r>
      <w:r w:rsidRPr="008127F8">
        <w:rPr>
          <w:color w:val="000000" w:themeColor="text1"/>
          <w:lang w:val="ru-RU"/>
        </w:rPr>
        <w:softHyphen/>
        <w:t>ции, но и в необходимом для кропотливой доводки пушки ВЯ времени: понадобился почти год, чтобы устранить её основные недостатки (15787).</w:t>
      </w:r>
    </w:p>
    <w:p w14:paraId="635DF4C2" w14:textId="77777777" w:rsidR="00A174FD" w:rsidRPr="008127F8" w:rsidRDefault="00A174FD" w:rsidP="001E0A84">
      <w:pPr>
        <w:pStyle w:val="a4"/>
        <w:rPr>
          <w:color w:val="000000" w:themeColor="text1"/>
          <w:lang w:val="ru-RU"/>
        </w:rPr>
      </w:pPr>
    </w:p>
    <w:p w14:paraId="26839D0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когда появи</w:t>
      </w:r>
      <w:r w:rsidRPr="008127F8">
        <w:rPr>
          <w:rFonts w:ascii="Times New Roman" w:hAnsi="Times New Roman"/>
          <w:color w:val="000000" w:themeColor="text1"/>
          <w:sz w:val="16"/>
          <w:szCs w:val="16"/>
        </w:rPr>
        <w:softHyphen/>
        <w:t>лось требование заказчика о создании двухместного варианта Ил-2, конст</w:t>
      </w:r>
      <w:r w:rsidRPr="008127F8">
        <w:rPr>
          <w:rFonts w:ascii="Times New Roman" w:hAnsi="Times New Roman"/>
          <w:color w:val="000000" w:themeColor="text1"/>
          <w:sz w:val="16"/>
          <w:szCs w:val="16"/>
        </w:rPr>
        <w:softHyphen/>
        <w:t>руктор А.А. Микулин приступил к мо</w:t>
      </w:r>
      <w:r w:rsidRPr="008127F8">
        <w:rPr>
          <w:rFonts w:ascii="Times New Roman" w:hAnsi="Times New Roman"/>
          <w:color w:val="000000" w:themeColor="text1"/>
          <w:sz w:val="16"/>
          <w:szCs w:val="16"/>
        </w:rPr>
        <w:softHyphen/>
        <w:t>дернизации АМ-38 для улучшения лет</w:t>
      </w:r>
      <w:r w:rsidRPr="008127F8">
        <w:rPr>
          <w:rFonts w:ascii="Times New Roman" w:hAnsi="Times New Roman"/>
          <w:color w:val="000000" w:themeColor="text1"/>
          <w:sz w:val="16"/>
          <w:szCs w:val="16"/>
        </w:rPr>
        <w:softHyphen/>
        <w:t>ных качеств штурмовика. Новый вари</w:t>
      </w:r>
      <w:r w:rsidRPr="008127F8">
        <w:rPr>
          <w:rFonts w:ascii="Times New Roman" w:hAnsi="Times New Roman"/>
          <w:color w:val="000000" w:themeColor="text1"/>
          <w:sz w:val="16"/>
          <w:szCs w:val="16"/>
        </w:rPr>
        <w:softHyphen/>
        <w:t>ант мотора с увеличенной на 100 л.с. взлетной мощностью получил назва</w:t>
      </w:r>
      <w:r w:rsidRPr="008127F8">
        <w:rPr>
          <w:rFonts w:ascii="Times New Roman" w:hAnsi="Times New Roman"/>
          <w:color w:val="000000" w:themeColor="text1"/>
          <w:sz w:val="16"/>
          <w:szCs w:val="16"/>
        </w:rPr>
        <w:softHyphen/>
        <w:t>ние АМ-38Ф. Конструкторам пришлось несколько увеличить наддув, но при этом уменьшить расчетную высоту мо</w:t>
      </w:r>
      <w:r w:rsidRPr="008127F8">
        <w:rPr>
          <w:rFonts w:ascii="Times New Roman" w:hAnsi="Times New Roman"/>
          <w:color w:val="000000" w:themeColor="text1"/>
          <w:sz w:val="16"/>
          <w:szCs w:val="16"/>
        </w:rPr>
        <w:softHyphen/>
        <w:t>тора до 750 м. Дополнительную мощ</w:t>
      </w:r>
      <w:r w:rsidRPr="008127F8">
        <w:rPr>
          <w:rFonts w:ascii="Times New Roman" w:hAnsi="Times New Roman"/>
          <w:color w:val="000000" w:themeColor="text1"/>
          <w:sz w:val="16"/>
          <w:szCs w:val="16"/>
        </w:rPr>
        <w:softHyphen/>
        <w:t>ность удалось получить также благо</w:t>
      </w:r>
      <w:r w:rsidRPr="008127F8">
        <w:rPr>
          <w:rFonts w:ascii="Times New Roman" w:hAnsi="Times New Roman"/>
          <w:color w:val="000000" w:themeColor="text1"/>
          <w:sz w:val="16"/>
          <w:szCs w:val="16"/>
        </w:rPr>
        <w:softHyphen/>
        <w:t>даря увеличению частоты вращения вала двигателя. Мотор АМ-38Ф позво</w:t>
      </w:r>
      <w:r w:rsidRPr="008127F8">
        <w:rPr>
          <w:rFonts w:ascii="Times New Roman" w:hAnsi="Times New Roman"/>
          <w:color w:val="000000" w:themeColor="text1"/>
          <w:sz w:val="16"/>
          <w:szCs w:val="16"/>
        </w:rPr>
        <w:softHyphen/>
        <w:t>лил сократить длину разбега Ил-2 на треть. Максимальная скорость штур</w:t>
      </w:r>
      <w:r w:rsidRPr="008127F8">
        <w:rPr>
          <w:rFonts w:ascii="Times New Roman" w:hAnsi="Times New Roman"/>
          <w:color w:val="000000" w:themeColor="text1"/>
          <w:sz w:val="16"/>
          <w:szCs w:val="16"/>
        </w:rPr>
        <w:softHyphen/>
        <w:t>мовика на расчетной высоте увеличи</w:t>
      </w:r>
      <w:r w:rsidRPr="008127F8">
        <w:rPr>
          <w:rFonts w:ascii="Times New Roman" w:hAnsi="Times New Roman"/>
          <w:color w:val="000000" w:themeColor="text1"/>
          <w:sz w:val="16"/>
          <w:szCs w:val="16"/>
        </w:rPr>
        <w:softHyphen/>
        <w:t>лась на 17 км/ч, а нормальная бомбо</w:t>
      </w:r>
      <w:r w:rsidRPr="008127F8">
        <w:rPr>
          <w:rFonts w:ascii="Times New Roman" w:hAnsi="Times New Roman"/>
          <w:color w:val="000000" w:themeColor="text1"/>
          <w:sz w:val="16"/>
          <w:szCs w:val="16"/>
        </w:rPr>
        <w:softHyphen/>
        <w:t>вая нагрузка осталась на прежнем уровне (400 кг - как на одноместном варианте). Разумеется, переход к из</w:t>
      </w:r>
      <w:r w:rsidRPr="008127F8">
        <w:rPr>
          <w:rFonts w:ascii="Times New Roman" w:hAnsi="Times New Roman"/>
          <w:color w:val="000000" w:themeColor="text1"/>
          <w:sz w:val="16"/>
          <w:szCs w:val="16"/>
        </w:rPr>
        <w:softHyphen/>
        <w:t>готовлению новой модификации дви</w:t>
      </w:r>
      <w:r w:rsidRPr="008127F8">
        <w:rPr>
          <w:rFonts w:ascii="Times New Roman" w:hAnsi="Times New Roman"/>
          <w:color w:val="000000" w:themeColor="text1"/>
          <w:sz w:val="16"/>
          <w:szCs w:val="16"/>
        </w:rPr>
        <w:softHyphen/>
        <w:t>гателя потребовал переоснащения производства и совершенствования технологических процессов (11159).</w:t>
      </w:r>
    </w:p>
    <w:p w14:paraId="222CEF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DDFA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когда появилось требование о созда</w:t>
      </w:r>
      <w:r w:rsidRPr="008127F8">
        <w:rPr>
          <w:rFonts w:ascii="Times New Roman" w:hAnsi="Times New Roman"/>
          <w:color w:val="000000" w:themeColor="text1"/>
          <w:sz w:val="16"/>
          <w:szCs w:val="16"/>
        </w:rPr>
        <w:softHyphen/>
        <w:t>нии двухместного варианта Ил-2, Главный конструктор мото</w:t>
      </w:r>
      <w:r w:rsidRPr="008127F8">
        <w:rPr>
          <w:rFonts w:ascii="Times New Roman" w:hAnsi="Times New Roman"/>
          <w:color w:val="000000" w:themeColor="text1"/>
          <w:sz w:val="16"/>
          <w:szCs w:val="16"/>
        </w:rPr>
        <w:softHyphen/>
        <w:t>ра АМ-38 А.А. Микулин приступил к его модернизации с це</w:t>
      </w:r>
      <w:r w:rsidRPr="008127F8">
        <w:rPr>
          <w:rFonts w:ascii="Times New Roman" w:hAnsi="Times New Roman"/>
          <w:color w:val="000000" w:themeColor="text1"/>
          <w:sz w:val="16"/>
          <w:szCs w:val="16"/>
        </w:rPr>
        <w:softHyphen/>
        <w:t>лью повышения мощности и улучшения эксплуатационных качеств. За счет форсирования мотора по наддуву и частоте вращения вала мотора удалось поднять взлетную мощность до 1700 л.с. Пришлось уменьшить диаметр крыльчатки нагнетате</w:t>
      </w:r>
      <w:r w:rsidRPr="008127F8">
        <w:rPr>
          <w:rFonts w:ascii="Times New Roman" w:hAnsi="Times New Roman"/>
          <w:color w:val="000000" w:themeColor="text1"/>
          <w:sz w:val="16"/>
          <w:szCs w:val="16"/>
        </w:rPr>
        <w:softHyphen/>
        <w:t>ля при одновременном увеличении оборотов. Расчетная высо</w:t>
      </w:r>
      <w:r w:rsidRPr="008127F8">
        <w:rPr>
          <w:rFonts w:ascii="Times New Roman" w:hAnsi="Times New Roman"/>
          <w:color w:val="000000" w:themeColor="text1"/>
          <w:sz w:val="16"/>
          <w:szCs w:val="16"/>
        </w:rPr>
        <w:softHyphen/>
        <w:t>та понизилась до 750 м. Чтобы не повышать октановое число топлива, в снабжении которым строевых частей ВВС КА были в это время затруднения, уменьшили до 6 степень сжатия. Для снижения склонности мотора к детонации были введены утоп</w:t>
      </w:r>
      <w:r w:rsidRPr="008127F8">
        <w:rPr>
          <w:rFonts w:ascii="Times New Roman" w:hAnsi="Times New Roman"/>
          <w:color w:val="000000" w:themeColor="text1"/>
          <w:sz w:val="16"/>
          <w:szCs w:val="16"/>
        </w:rPr>
        <w:softHyphen/>
        <w:t>ленные свечи. В маслосистему ввели специальную центрифу</w:t>
      </w:r>
      <w:r w:rsidRPr="008127F8">
        <w:rPr>
          <w:rFonts w:ascii="Times New Roman" w:hAnsi="Times New Roman"/>
          <w:color w:val="000000" w:themeColor="text1"/>
          <w:sz w:val="16"/>
          <w:szCs w:val="16"/>
        </w:rPr>
        <w:softHyphen/>
        <w:t>гу, очищавшую масло от металлических и других загрязнений, поступающее на смазку в коленчатый вал со стороны нагнета</w:t>
      </w:r>
      <w:r w:rsidRPr="008127F8">
        <w:rPr>
          <w:rFonts w:ascii="Times New Roman" w:hAnsi="Times New Roman"/>
          <w:color w:val="000000" w:themeColor="text1"/>
          <w:sz w:val="16"/>
          <w:szCs w:val="16"/>
        </w:rPr>
        <w:softHyphen/>
        <w:t>теля и на смазку приводов нагнетателя и газораспределения. Это повысило надежность коренных и шатунных подшипни</w:t>
      </w:r>
      <w:r w:rsidRPr="008127F8">
        <w:rPr>
          <w:rFonts w:ascii="Times New Roman" w:hAnsi="Times New Roman"/>
          <w:color w:val="000000" w:themeColor="text1"/>
          <w:sz w:val="16"/>
          <w:szCs w:val="16"/>
        </w:rPr>
        <w:softHyphen/>
        <w:t>ков, а также привода нагнетателя и газораспределения. Кроме этого, в передаче к распределительным валикам вместо винто</w:t>
      </w:r>
      <w:r w:rsidRPr="008127F8">
        <w:rPr>
          <w:rFonts w:ascii="Times New Roman" w:hAnsi="Times New Roman"/>
          <w:color w:val="000000" w:themeColor="text1"/>
          <w:sz w:val="16"/>
          <w:szCs w:val="16"/>
        </w:rPr>
        <w:softHyphen/>
        <w:t>вой передачи применили коническую и цилиндрическую пе</w:t>
      </w:r>
      <w:r w:rsidRPr="008127F8">
        <w:rPr>
          <w:rFonts w:ascii="Times New Roman" w:hAnsi="Times New Roman"/>
          <w:color w:val="000000" w:themeColor="text1"/>
          <w:sz w:val="16"/>
          <w:szCs w:val="16"/>
        </w:rPr>
        <w:softHyphen/>
        <w:t>редачи с прямыми зубьями (винтовая передача мотора АМ-38 страдала дефектом повышенного износа ведущей бронзовой шестерни). Были усилены клапаны, вал редуктора и ряд других деталей. Головку блока цилиндров стали отливать из силуми</w:t>
      </w:r>
      <w:r w:rsidRPr="008127F8">
        <w:rPr>
          <w:rFonts w:ascii="Times New Roman" w:hAnsi="Times New Roman"/>
          <w:color w:val="000000" w:themeColor="text1"/>
          <w:sz w:val="16"/>
          <w:szCs w:val="16"/>
        </w:rPr>
        <w:softHyphen/>
        <w:t>на. Новый вариант мотора получил обозначение АМ-38ф (11474,300).</w:t>
      </w:r>
    </w:p>
    <w:p w14:paraId="4EEE97A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CBC8F" w14:textId="31D49F31"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самом начале 1942 года 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Ильюшин предложил установить на серийный Ил-2 мотор жидкостного охлаждения М-250 (2200/2500 л.</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 конструкции ОКБ-250 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Добрынина. Одной из особенностей этого мотора был редуктор для привода двух соосных винтов в разные стороны.</w:t>
      </w:r>
    </w:p>
    <w:p w14:paraId="5F1A7A16" w14:textId="5B06F69A"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Вооружение самолета оставалось без изменений, но летные данные заметно улучшались. По расчетам, максимальная скорость Ил-2 с М-250 у земли достигала </w:t>
      </w:r>
      <w:proofErr w:type="gramStart"/>
      <w:r w:rsidRPr="008127F8">
        <w:rPr>
          <w:rFonts w:ascii="Times New Roman" w:hAnsi="Times New Roman"/>
          <w:color w:val="000000" w:themeColor="text1"/>
          <w:sz w:val="16"/>
          <w:szCs w:val="16"/>
        </w:rPr>
        <w:t>460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w:t>
      </w:r>
      <w:proofErr w:type="gramEnd"/>
      <w:r w:rsidRPr="008127F8">
        <w:rPr>
          <w:rFonts w:ascii="Times New Roman" w:hAnsi="Times New Roman"/>
          <w:color w:val="000000" w:themeColor="text1"/>
          <w:sz w:val="16"/>
          <w:szCs w:val="16"/>
        </w:rPr>
        <w:t>/ч, а с подвеской 8 РС-132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420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Скоростная дальность полета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500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w:t>
      </w:r>
    </w:p>
    <w:p w14:paraId="15CA8A6B" w14:textId="77777777"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Следствием «вторжения» М-250 в схемные решения серийного Ил-2 становились очевидные проблемы с обеспечением нормальной центровки самолета. Но, по мнению Ильюшина, они были вполне разрешимыми.</w:t>
      </w:r>
    </w:p>
    <w:p w14:paraId="162CD7FB" w14:textId="77777777"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Инициативу Ильюшина сочли дельной, и модернизацию одноместного Ил-2 под мотор М-250 включили в план опытного самолетостроения на 1942 год. Срок предъявления опытного экземпляра самолета на испытания устанавливался не позже 1 августа.</w:t>
      </w:r>
    </w:p>
    <w:p w14:paraId="516678FF" w14:textId="6EAB49F4"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изменившимися требованиями военных по опыту войны проект Ил-2 с М-250 был переработан в двухместный вариант с воздушным стрелком. Полетный вес самолета достигал 7000–</w:t>
      </w:r>
      <w:proofErr w:type="gramStart"/>
      <w:r w:rsidRPr="008127F8">
        <w:rPr>
          <w:rFonts w:ascii="Times New Roman" w:hAnsi="Times New Roman"/>
          <w:color w:val="000000" w:themeColor="text1"/>
          <w:sz w:val="16"/>
          <w:szCs w:val="16"/>
        </w:rPr>
        <w:t>7300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w:t>
      </w:r>
      <w:proofErr w:type="gramEnd"/>
      <w:r w:rsidRPr="008127F8">
        <w:rPr>
          <w:rFonts w:ascii="Times New Roman" w:hAnsi="Times New Roman"/>
          <w:color w:val="000000" w:themeColor="text1"/>
          <w:sz w:val="16"/>
          <w:szCs w:val="16"/>
        </w:rPr>
        <w:t>, увеличивалась площадь крыла (до 45–48</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и оперения. Бронирование полностью соответствовало серийному двухместному самолету Ил-2.</w:t>
      </w:r>
    </w:p>
    <w:p w14:paraId="633CAD0B" w14:textId="56C316F5"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 окончательном составе включало две пушки ВЯ (300 снарядов), два 12,7-мм пулемета УБК (300 патронов), один оборонительный УБТ (150 патронов), 600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 (в перегрузку 800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 8 РО-82.</w:t>
      </w:r>
    </w:p>
    <w:p w14:paraId="29C77A1B" w14:textId="36369515"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Максимальная скорость ожидалась около </w:t>
      </w:r>
      <w:proofErr w:type="gramStart"/>
      <w:r w:rsidRPr="008127F8">
        <w:rPr>
          <w:rFonts w:ascii="Times New Roman" w:hAnsi="Times New Roman"/>
          <w:color w:val="000000" w:themeColor="text1"/>
          <w:sz w:val="16"/>
          <w:szCs w:val="16"/>
        </w:rPr>
        <w:t>490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w:t>
      </w:r>
      <w:proofErr w:type="gramEnd"/>
      <w:r w:rsidRPr="008127F8">
        <w:rPr>
          <w:rFonts w:ascii="Times New Roman" w:hAnsi="Times New Roman"/>
          <w:color w:val="000000" w:themeColor="text1"/>
          <w:sz w:val="16"/>
          <w:szCs w:val="16"/>
        </w:rPr>
        <w:t>/ч</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на высоте 2500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и 450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у земли. Время виража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30 с. Время подъема на высоту 5000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не превышало 5,5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мин. Посадочная скорость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135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была почти такой же, как у серийного самолета Ил-2. Дальность полета (700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топлива)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700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w:t>
      </w:r>
    </w:p>
    <w:p w14:paraId="64A421FE" w14:textId="77777777"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отсутствия доведенного М-250 задание Ильюшину по Ил-2 с этим мотором перешло в план опытного самолетостроения на 1943 год. Но и в следующем году ситуация с мотором не улучшилась. В итоге работы по Ил-2 с М-250 так и не вышли из стадии эскизного проекта. Самолет не строился.</w:t>
      </w:r>
    </w:p>
    <w:p w14:paraId="07B8F25B" w14:textId="5A83762F" w:rsidR="006A63DA" w:rsidRPr="008127F8" w:rsidRDefault="006A63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Известно, что по распоряжению наркома авиапромышленности 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Шахурина под мотор М-250 просчитывались и варианты таких самолетов, как И-185, ИТП, Як-1, ЛаГГ-3, Ту-2. Из них М-250 «пристраивался» только на И-185 и Ту-2 (17490).</w:t>
      </w:r>
    </w:p>
    <w:p w14:paraId="5D3641CF" w14:textId="77777777" w:rsidR="006A63DA" w:rsidRPr="008127F8" w:rsidRDefault="006A63DA" w:rsidP="001E0A84">
      <w:pPr>
        <w:spacing w:after="0" w:line="240" w:lineRule="auto"/>
        <w:jc w:val="both"/>
        <w:rPr>
          <w:rFonts w:ascii="Times New Roman" w:eastAsia="Times New Roman" w:hAnsi="Times New Roman"/>
          <w:color w:val="000000" w:themeColor="text1"/>
          <w:sz w:val="16"/>
          <w:szCs w:val="16"/>
          <w:lang w:eastAsia="ru-RU"/>
        </w:rPr>
      </w:pPr>
    </w:p>
    <w:p w14:paraId="0587773F" w14:textId="77777777" w:rsidR="00F365E4" w:rsidRPr="008127F8" w:rsidRDefault="00F365E4"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w:t>
      </w:r>
      <w:r w:rsidRPr="008127F8">
        <w:rPr>
          <w:rFonts w:ascii="Times New Roman" w:hAnsi="Times New Roman"/>
          <w:color w:val="000000" w:themeColor="text1"/>
          <w:sz w:val="16"/>
          <w:szCs w:val="16"/>
        </w:rPr>
        <w:softHyphen/>
        <w:t>чале 1942 г. на Северо-Западном фронте два серийных Ил-2 были оборудованы местными умельцами под подвеску 8 РС-82 и 8 РС-132 и затем успешно испытаны в боях. В строевых час</w:t>
      </w:r>
      <w:r w:rsidRPr="008127F8">
        <w:rPr>
          <w:rFonts w:ascii="Times New Roman" w:hAnsi="Times New Roman"/>
          <w:color w:val="000000" w:themeColor="text1"/>
          <w:sz w:val="16"/>
          <w:szCs w:val="16"/>
        </w:rPr>
        <w:softHyphen/>
        <w:t>тях имелись варианты Ил-2 с подвеской 24 (!) РС-82.</w:t>
      </w:r>
    </w:p>
    <w:p w14:paraId="38F66595" w14:textId="77777777" w:rsidR="00F365E4" w:rsidRPr="008127F8" w:rsidRDefault="00F365E4"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сказать, Ильюшин активно возражал против таких доработок, соглашаясь на установку ракетных орудий в тан</w:t>
      </w:r>
      <w:r w:rsidRPr="008127F8">
        <w:rPr>
          <w:rFonts w:ascii="Times New Roman" w:hAnsi="Times New Roman"/>
          <w:color w:val="000000" w:themeColor="text1"/>
          <w:sz w:val="16"/>
          <w:szCs w:val="16"/>
        </w:rPr>
        <w:softHyphen/>
        <w:t>дем, чтобы не так сильно снижалась скорость полета. В план опытного самолетостроения на 1942 г. была даже включена по</w:t>
      </w:r>
      <w:r w:rsidRPr="008127F8">
        <w:rPr>
          <w:rFonts w:ascii="Times New Roman" w:hAnsi="Times New Roman"/>
          <w:color w:val="000000" w:themeColor="text1"/>
          <w:sz w:val="16"/>
          <w:szCs w:val="16"/>
        </w:rPr>
        <w:softHyphen/>
        <w:t xml:space="preserve">стройка варианта Ил-2 с подвеской 16 реактивных снарядов РС-132 в тандем (скорость </w:t>
      </w:r>
      <w:r w:rsidRPr="008127F8">
        <w:rPr>
          <w:rFonts w:ascii="Times New Roman" w:hAnsi="Times New Roman"/>
          <w:color w:val="000000" w:themeColor="text1"/>
          <w:sz w:val="16"/>
          <w:szCs w:val="16"/>
        </w:rPr>
        <w:lastRenderedPageBreak/>
        <w:t>у земли — 360 км/ч).</w:t>
      </w:r>
    </w:p>
    <w:p w14:paraId="5FA3D9B9" w14:textId="77777777" w:rsidR="00F365E4" w:rsidRPr="008127F8" w:rsidRDefault="00F365E4"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Известно, что такое ракетное орудие, но рассчитанное на подвеску двух РС-82, было разработано и с успехом испытано к 7 марта 1942 г. Под каждой плоскостью Ил-2 (на нервюрах с 9 по 12) устанавливались 8 РОТ-82 (РО-82 тандем) по два РС-82 на каждое орудие. Стрельба из РОТ-82 могла вестись залпами из двух, четырех и восьми снарядов. Для управления стрельбой из РОТ-82 в кабине пилота устанавливался дополнительный электробомбосбрасыватель ЭСБР-Зп, а на ручке управления са</w:t>
      </w:r>
      <w:r w:rsidRPr="008127F8">
        <w:rPr>
          <w:rFonts w:ascii="Times New Roman" w:hAnsi="Times New Roman"/>
          <w:color w:val="000000" w:themeColor="text1"/>
          <w:sz w:val="16"/>
          <w:szCs w:val="16"/>
        </w:rPr>
        <w:softHyphen/>
        <w:t>молетом монтировалась кнопка. Однако дальнейшего развития эта работа не получила (11474,324).</w:t>
      </w:r>
    </w:p>
    <w:p w14:paraId="2BE46AD2" w14:textId="77777777" w:rsidR="00F365E4" w:rsidRPr="008127F8" w:rsidRDefault="00F365E4"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2C13E" w14:textId="77777777" w:rsidR="006A63DA" w:rsidRPr="008127F8" w:rsidRDefault="006A63D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начале 1942 г. на Северо-Западном фрон</w:t>
      </w:r>
      <w:r w:rsidRPr="008127F8">
        <w:rPr>
          <w:color w:val="000000" w:themeColor="text1"/>
          <w:sz w:val="16"/>
          <w:szCs w:val="16"/>
        </w:rPr>
        <w:softHyphen/>
        <w:t>те 2 серийных Ил-2 были оборудованы местными умельцами под подвеску 8 РС-82 и 8 РС-132 и затем успешно испытаны в боях. Кроме этого, в архивных документах имеются сведения о применении в бою вариантов Ил-2 с подвеской 24 (!) РС-82 (17500).</w:t>
      </w:r>
    </w:p>
    <w:p w14:paraId="3A1C6840" w14:textId="77777777" w:rsidR="006A63DA" w:rsidRPr="008127F8" w:rsidRDefault="006A63DA" w:rsidP="001E0A84">
      <w:pPr>
        <w:spacing w:after="0" w:line="240" w:lineRule="auto"/>
        <w:jc w:val="both"/>
        <w:rPr>
          <w:rFonts w:ascii="Times New Roman" w:eastAsia="Times New Roman" w:hAnsi="Times New Roman"/>
          <w:color w:val="000000" w:themeColor="text1"/>
          <w:sz w:val="16"/>
          <w:szCs w:val="16"/>
          <w:lang w:eastAsia="ru-RU"/>
        </w:rPr>
      </w:pPr>
    </w:p>
    <w:p w14:paraId="6ED83B7C" w14:textId="77777777" w:rsidR="00D60203" w:rsidRPr="008127F8" w:rsidRDefault="00D60203" w:rsidP="001E0A84">
      <w:pPr>
        <w:pStyle w:val="af"/>
        <w:spacing w:before="0" w:after="0"/>
        <w:jc w:val="both"/>
        <w:textAlignment w:val="baseline"/>
        <w:rPr>
          <w:color w:val="000000" w:themeColor="text1"/>
          <w:sz w:val="16"/>
          <w:szCs w:val="16"/>
        </w:rPr>
      </w:pPr>
      <w:r w:rsidRPr="008127F8">
        <w:rPr>
          <w:color w:val="000000" w:themeColor="text1"/>
          <w:sz w:val="16"/>
          <w:szCs w:val="16"/>
        </w:rPr>
        <w:t>В начале 1942 г. на вооружение советской авиации приняли 82-мм ракетный фугасно-бронебойный снаряд РБС-82 «Якорь» модели 07041 м. Его проникающее действие было основано на кинетике скоростного тяжелого боеприпаса с мощным двигателем, с боевой частью специальной противорикошетной формы и донным взрывателем (18989).</w:t>
      </w:r>
    </w:p>
    <w:p w14:paraId="786EF4E3" w14:textId="77777777" w:rsidR="00D60203" w:rsidRPr="008127F8" w:rsidRDefault="00D60203" w:rsidP="001E0A84">
      <w:pPr>
        <w:pStyle w:val="af"/>
        <w:spacing w:before="0" w:after="0"/>
        <w:jc w:val="both"/>
        <w:textAlignment w:val="baseline"/>
        <w:rPr>
          <w:color w:val="000000" w:themeColor="text1"/>
          <w:sz w:val="16"/>
          <w:szCs w:val="16"/>
        </w:rPr>
      </w:pPr>
    </w:p>
    <w:p w14:paraId="53B5979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 вместо авиаброни АБ-1 был освоен выпуск брони АБ-2 с меньшим содержанием никеля (в 2 раза) и мо</w:t>
      </w:r>
      <w:r w:rsidRPr="008127F8">
        <w:rPr>
          <w:rFonts w:ascii="Times New Roman" w:hAnsi="Times New Roman"/>
          <w:color w:val="000000" w:themeColor="text1"/>
          <w:sz w:val="16"/>
          <w:szCs w:val="16"/>
        </w:rPr>
        <w:softHyphen/>
        <w:t>либдена (в 3 раза), но такой же по пулестойкости (11474,254).</w:t>
      </w:r>
    </w:p>
    <w:p w14:paraId="788517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DDCAF0" w14:textId="77777777" w:rsidR="00F365E4" w:rsidRPr="008127F8" w:rsidRDefault="00F365E4"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rPr>
        <w:t>В самом начале 1942 г. большая дефицитность никеля заставила искать составы авиаброни с его заменителями. Возможно для решения данного вопроса в мае 1942 г. встречать руководство завода № 18 в Н.Тагил прибыл и директор Н.Салдинского металлургического завода С.М.Лещенко (19537).</w:t>
      </w:r>
    </w:p>
    <w:p w14:paraId="6BBF1ABF" w14:textId="77777777" w:rsidR="00F365E4" w:rsidRPr="008127F8" w:rsidRDefault="00F365E4" w:rsidP="001E0A84">
      <w:pPr>
        <w:spacing w:after="0" w:line="240" w:lineRule="auto"/>
        <w:jc w:val="both"/>
        <w:rPr>
          <w:rFonts w:ascii="Times New Roman" w:hAnsi="Times New Roman"/>
          <w:color w:val="000000" w:themeColor="text1"/>
          <w:sz w:val="16"/>
          <w:szCs w:val="16"/>
          <w:shd w:val="clear" w:color="auto" w:fill="FFFFFF"/>
        </w:rPr>
      </w:pPr>
    </w:p>
    <w:p w14:paraId="69D8425D" w14:textId="77777777" w:rsidR="001652EB" w:rsidRPr="008127F8" w:rsidRDefault="001652E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состоялась профсоюзная конференция на заводе № 18</w:t>
      </w:r>
    </w:p>
    <w:p w14:paraId="2876D2D6" w14:textId="77777777" w:rsidR="001652EB" w:rsidRPr="008127F8" w:rsidRDefault="001652E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18. Присутствовали: Вассерман, председатель ЦК профсоюза; Федоренко, парторг ЦК ВКП(б); Белянский, директор завода.</w:t>
      </w:r>
    </w:p>
    <w:p w14:paraId="7183288A" w14:textId="77777777" w:rsidR="001652EB" w:rsidRPr="008127F8" w:rsidRDefault="001652E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доклада предзавкома Кудрина "О состоянии трудовой дисциплины"</w:t>
      </w:r>
      <w:proofErr w:type="gramStart"/>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слабая трудовая дисциплина на заводе объясняется прежде всего недостаточной работой с новыми кадрами рабочих из числа мобилизованных из города и деревень, а также за счет бывших учеников ФЗО и РУ. Эти новые кадры требовали внимания в части производственного обучения, а также материально-бытовом благоустройстве... ...даже ремонт бараков и расселение молодых рабочих по баракам Юнгородка не закончены... Постановление: ...Председателям цеховых комитетов, завкому профсоюза, всему профактиву вести систематическую, повседневную работу в цехах по разъяснению роли каждого рабочего в производственном процессе, необходимости соблюдения железной трудовой дисциплины в условиях Отечественной войны... (11764).</w:t>
      </w:r>
    </w:p>
    <w:p w14:paraId="4FB73D4E" w14:textId="77777777" w:rsidR="001652EB" w:rsidRPr="008127F8" w:rsidRDefault="001652E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20F1E" w14:textId="77777777" w:rsidR="00F365E4" w:rsidRPr="008127F8" w:rsidRDefault="00F365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массовые поломки лыж самолетов Як-1, ЛаГГ-3, Як-7, МиГ-3 и Ил-2 заставили ЦАГИ провести исследования проблемы. Оказалось, что фактические нагрузки на лыжи не соответствовали существовавшим нормам прочности, по которым рассчитывали лыжное шасси. Требование уборки лыжного шасси вызвало изменение конструкции лыж. Они стали короче и шире, а нагрузка на них увеличилась до 1100—1200 кг/см2 вместо 700—800 кг/см</w:t>
      </w:r>
      <w:proofErr w:type="gramStart"/>
      <w:r w:rsidRPr="008127F8">
        <w:rPr>
          <w:rFonts w:ascii="Times New Roman" w:hAnsi="Times New Roman"/>
          <w:color w:val="000000" w:themeColor="text1"/>
          <w:sz w:val="16"/>
          <w:szCs w:val="16"/>
        </w:rPr>
        <w:t>2 .</w:t>
      </w:r>
      <w:proofErr w:type="gramEnd"/>
      <w:r w:rsidRPr="008127F8">
        <w:rPr>
          <w:rFonts w:ascii="Times New Roman" w:hAnsi="Times New Roman"/>
          <w:color w:val="000000" w:themeColor="text1"/>
          <w:sz w:val="16"/>
          <w:szCs w:val="16"/>
        </w:rPr>
        <w:t xml:space="preserve"> При этом кабан лыжи располагался асимметрично, что при посадке с креном приводило к многократному увеличению момента выворачивающего лыжу, по сравнению с центральным расположением нагрузки, как это рекомендовали нормы прочности. Норма поглощаемой работы лыжным шасси была принята равной половине работы, поглощаемой колесным шасси, так как считалось, что оставшаяся половина компенсируется снежным покровом. Это было справедливо только для не укатанных аэродромов. Практика показала, что на укатанных аэродромах посадка на лыжах была более жесткой, толчки резче и сильнее. Опыт эксплуатации потребовал пересмотра норм прочности лыжного шасси (19727).</w:t>
      </w:r>
    </w:p>
    <w:p w14:paraId="3BBAC3F2" w14:textId="77777777" w:rsidR="00F365E4" w:rsidRPr="008127F8" w:rsidRDefault="00F365E4" w:rsidP="001E0A84">
      <w:pPr>
        <w:spacing w:after="0" w:line="240" w:lineRule="auto"/>
        <w:jc w:val="both"/>
        <w:rPr>
          <w:rFonts w:ascii="Times New Roman" w:hAnsi="Times New Roman"/>
          <w:color w:val="000000" w:themeColor="text1"/>
          <w:sz w:val="16"/>
          <w:szCs w:val="16"/>
        </w:rPr>
      </w:pPr>
    </w:p>
    <w:p w14:paraId="06FBF0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самолет Су-2 М-89 №13016, на котором 28 июня 1941 года летчик-испытатель А.П.Деев вы</w:t>
      </w:r>
      <w:r w:rsidRPr="008127F8">
        <w:rPr>
          <w:rFonts w:ascii="Times New Roman" w:hAnsi="Times New Roman"/>
          <w:color w:val="000000" w:themeColor="text1"/>
          <w:sz w:val="16"/>
          <w:szCs w:val="16"/>
        </w:rPr>
        <w:softHyphen/>
        <w:t>полнил программу заводских испы</w:t>
      </w:r>
      <w:r w:rsidRPr="008127F8">
        <w:rPr>
          <w:rFonts w:ascii="Times New Roman" w:hAnsi="Times New Roman"/>
          <w:color w:val="000000" w:themeColor="text1"/>
          <w:sz w:val="16"/>
          <w:szCs w:val="16"/>
        </w:rPr>
        <w:softHyphen/>
        <w:t>таний, переобору</w:t>
      </w:r>
      <w:r w:rsidRPr="008127F8">
        <w:rPr>
          <w:rFonts w:ascii="Times New Roman" w:hAnsi="Times New Roman"/>
          <w:color w:val="000000" w:themeColor="text1"/>
          <w:sz w:val="16"/>
          <w:szCs w:val="16"/>
        </w:rPr>
        <w:softHyphen/>
        <w:t>довали в артиллерийский корректи</w:t>
      </w:r>
      <w:r w:rsidRPr="008127F8">
        <w:rPr>
          <w:rFonts w:ascii="Times New Roman" w:hAnsi="Times New Roman"/>
          <w:color w:val="000000" w:themeColor="text1"/>
          <w:sz w:val="16"/>
          <w:szCs w:val="16"/>
        </w:rPr>
        <w:softHyphen/>
        <w:t>ровщик и передали ВВС. Уместно отметить, что в ноябре 1941 года на одном из серийных Су-2 смонтировали мотор М-89Ф и пе</w:t>
      </w:r>
      <w:r w:rsidRPr="008127F8">
        <w:rPr>
          <w:rFonts w:ascii="Times New Roman" w:hAnsi="Times New Roman"/>
          <w:color w:val="000000" w:themeColor="text1"/>
          <w:sz w:val="16"/>
          <w:szCs w:val="16"/>
        </w:rPr>
        <w:softHyphen/>
        <w:t>редали в НИИ ВВС для совместных государственных испытаний (11849).</w:t>
      </w:r>
    </w:p>
    <w:p w14:paraId="0A5108A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C549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А.К.Долгов испытывал одноместный Су-6 с М-71. Отмечено, что по скорости машина лучше Ил-2 и после выполнения боевого задания (освободившись от бомб) может 10 минут лететь на скорости 483 км/ч. Решили сделать небольшую войсковую серию (200,36).</w:t>
      </w:r>
    </w:p>
    <w:p w14:paraId="689630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430B5" w14:textId="77777777" w:rsidR="00D60203" w:rsidRPr="008127F8" w:rsidRDefault="00D6020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по устному распоряжению А.И.Шахурина завод №289 приступил к изготовлению малой войсковой серии самолетов Су-6 с М-71 в количестве пяти экземпляров и одного планера для статиспытаний, со сроком окончания работ в октябре 1942 года. Но в конце июля Нарком отменил свое распоряжение, и работа по войсковой серии была прекращена. Утвержденный план на 1942 год обязал П.О.Сухого изготовить один экземпляр одноместного штурмовика Су-6 с М-71Ф, представляющего собой эталон войсковой серии. К тому же, учитывая изменившиеся требования к штурмовику, с разрешения руководства НКАП, П.О.Сухой принимает решение переделать строящийся экземпляр в двухместный вариант, со сдачей его на госиспытания в конце февраля 1943 года (19769).</w:t>
      </w:r>
    </w:p>
    <w:p w14:paraId="3B5D6DA4" w14:textId="77777777" w:rsidR="00D60203" w:rsidRPr="008127F8" w:rsidRDefault="00D60203" w:rsidP="001E0A84">
      <w:pPr>
        <w:spacing w:after="0" w:line="240" w:lineRule="auto"/>
        <w:jc w:val="both"/>
        <w:rPr>
          <w:rFonts w:ascii="Times New Roman" w:hAnsi="Times New Roman"/>
          <w:color w:val="000000" w:themeColor="text1"/>
          <w:sz w:val="16"/>
          <w:szCs w:val="16"/>
        </w:rPr>
      </w:pPr>
    </w:p>
    <w:p w14:paraId="0A43F6E9" w14:textId="77777777" w:rsidR="00011043" w:rsidRPr="008127F8" w:rsidRDefault="00011043" w:rsidP="001E0A84">
      <w:pPr>
        <w:pStyle w:val="a4"/>
        <w:rPr>
          <w:color w:val="000000" w:themeColor="text1"/>
          <w:lang w:val="ru-RU"/>
        </w:rPr>
      </w:pPr>
      <w:r w:rsidRPr="008127F8">
        <w:rPr>
          <w:color w:val="000000" w:themeColor="text1"/>
          <w:lang w:val="ru-RU"/>
        </w:rPr>
        <w:t>В начале 1942 года самолёт Су-2 № 1 301 6 с М-89 переоборудовали в артиллерийский корректировщик и передали ВВС (15975).</w:t>
      </w:r>
    </w:p>
    <w:p w14:paraId="6C640350" w14:textId="77777777" w:rsidR="00011043" w:rsidRPr="008127F8" w:rsidRDefault="00011043" w:rsidP="001E0A84">
      <w:pPr>
        <w:pStyle w:val="a4"/>
        <w:rPr>
          <w:color w:val="000000" w:themeColor="text1"/>
          <w:lang w:val="ru-RU"/>
        </w:rPr>
      </w:pPr>
    </w:p>
    <w:p w14:paraId="2FFBDDD5" w14:textId="77777777" w:rsidR="00F448B1" w:rsidRPr="008127F8" w:rsidRDefault="00F448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начались более актив</w:t>
      </w:r>
      <w:r w:rsidRPr="008127F8">
        <w:rPr>
          <w:rFonts w:ascii="Times New Roman" w:hAnsi="Times New Roman"/>
          <w:color w:val="000000" w:themeColor="text1"/>
          <w:sz w:val="16"/>
          <w:szCs w:val="16"/>
        </w:rPr>
        <w:softHyphen/>
        <w:t>ные переработки кочеригинского пикировщика под двига</w:t>
      </w:r>
      <w:r w:rsidRPr="008127F8">
        <w:rPr>
          <w:rFonts w:ascii="Times New Roman" w:hAnsi="Times New Roman"/>
          <w:color w:val="000000" w:themeColor="text1"/>
          <w:sz w:val="16"/>
          <w:szCs w:val="16"/>
        </w:rPr>
        <w:softHyphen/>
        <w:t>тель М-71. Были разработаны новые отъемные части кры</w:t>
      </w:r>
      <w:r w:rsidRPr="008127F8">
        <w:rPr>
          <w:rFonts w:ascii="Times New Roman" w:hAnsi="Times New Roman"/>
          <w:color w:val="000000" w:themeColor="text1"/>
          <w:sz w:val="16"/>
          <w:szCs w:val="16"/>
        </w:rPr>
        <w:softHyphen/>
        <w:t>ла из дерева, было усилено бронирование, пулеметы БС заменены на пушки ШВАК, а ШКАС — на БС.</w:t>
      </w:r>
    </w:p>
    <w:p w14:paraId="6C7A0B71" w14:textId="77777777" w:rsidR="00F448B1" w:rsidRPr="008127F8" w:rsidRDefault="00F448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тем, чуда не произошло - довести самолет до по</w:t>
      </w:r>
      <w:r w:rsidRPr="008127F8">
        <w:rPr>
          <w:rFonts w:ascii="Times New Roman" w:hAnsi="Times New Roman"/>
          <w:color w:val="000000" w:themeColor="text1"/>
          <w:sz w:val="16"/>
          <w:szCs w:val="16"/>
        </w:rPr>
        <w:softHyphen/>
        <w:t>летного состояния не удалось. Завод №135 ликвидирова</w:t>
      </w:r>
      <w:r w:rsidRPr="008127F8">
        <w:rPr>
          <w:rFonts w:ascii="Times New Roman" w:hAnsi="Times New Roman"/>
          <w:color w:val="000000" w:themeColor="text1"/>
          <w:sz w:val="16"/>
          <w:szCs w:val="16"/>
        </w:rPr>
        <w:softHyphen/>
        <w:t>ли приказом №12 от 10.04.42. Новую производственную базу Кочеригину не предоставили, его конструкторское бю</w:t>
      </w:r>
      <w:r w:rsidRPr="008127F8">
        <w:rPr>
          <w:rFonts w:ascii="Times New Roman" w:hAnsi="Times New Roman"/>
          <w:color w:val="000000" w:themeColor="text1"/>
          <w:sz w:val="16"/>
          <w:szCs w:val="16"/>
        </w:rPr>
        <w:softHyphen/>
        <w:t>ро расформировали (20362).</w:t>
      </w:r>
    </w:p>
    <w:p w14:paraId="2115F0CE" w14:textId="77777777" w:rsidR="00F448B1" w:rsidRPr="008127F8" w:rsidRDefault="00F448B1" w:rsidP="001E0A84">
      <w:pPr>
        <w:shd w:val="clear" w:color="auto" w:fill="FFFFFF"/>
        <w:spacing w:after="0" w:line="240" w:lineRule="auto"/>
        <w:jc w:val="both"/>
        <w:rPr>
          <w:rFonts w:ascii="Times New Roman" w:hAnsi="Times New Roman"/>
          <w:color w:val="000000" w:themeColor="text1"/>
          <w:sz w:val="16"/>
          <w:szCs w:val="16"/>
        </w:rPr>
      </w:pPr>
    </w:p>
    <w:p w14:paraId="72A87602"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w:t>
      </w:r>
      <w:r w:rsidRPr="008127F8">
        <w:rPr>
          <w:rFonts w:ascii="Times New Roman" w:hAnsi="Times New Roman"/>
          <w:color w:val="000000" w:themeColor="text1"/>
          <w:sz w:val="16"/>
          <w:szCs w:val="16"/>
        </w:rPr>
        <w:softHyphen/>
        <w:t>ле 1942 года на 126-м заводе предприняли попытку улучшить летные характеристики ДБ-ЗФ путем заме</w:t>
      </w:r>
      <w:r w:rsidRPr="008127F8">
        <w:rPr>
          <w:rFonts w:ascii="Times New Roman" w:hAnsi="Times New Roman"/>
          <w:color w:val="000000" w:themeColor="text1"/>
          <w:sz w:val="16"/>
          <w:szCs w:val="16"/>
        </w:rPr>
        <w:softHyphen/>
        <w:t>ны М-88 более мощными М-82. Этому способствова</w:t>
      </w:r>
      <w:r w:rsidRPr="008127F8">
        <w:rPr>
          <w:rFonts w:ascii="Times New Roman" w:hAnsi="Times New Roman"/>
          <w:color w:val="000000" w:themeColor="text1"/>
          <w:sz w:val="16"/>
          <w:szCs w:val="16"/>
        </w:rPr>
        <w:softHyphen/>
        <w:t>ли и перебои с поставками 88-х моторов, вызванные эвакуацией промышленности на восток страны.</w:t>
      </w:r>
    </w:p>
    <w:p w14:paraId="43C42E27"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двигателях появились новые капоты с увеличенным выходным се</w:t>
      </w:r>
      <w:r w:rsidRPr="008127F8">
        <w:rPr>
          <w:rFonts w:ascii="Times New Roman" w:hAnsi="Times New Roman"/>
          <w:color w:val="000000" w:themeColor="text1"/>
          <w:sz w:val="16"/>
          <w:szCs w:val="16"/>
        </w:rPr>
        <w:softHyphen/>
        <w:t>чением, обеспечивавшие лучший те</w:t>
      </w:r>
      <w:r w:rsidRPr="008127F8">
        <w:rPr>
          <w:rFonts w:ascii="Times New Roman" w:hAnsi="Times New Roman"/>
          <w:color w:val="000000" w:themeColor="text1"/>
          <w:sz w:val="16"/>
          <w:szCs w:val="16"/>
        </w:rPr>
        <w:softHyphen/>
        <w:t xml:space="preserve">пловой режим двигателей, а </w:t>
      </w:r>
      <w:proofErr w:type="gramStart"/>
      <w:r w:rsidRPr="008127F8">
        <w:rPr>
          <w:rFonts w:ascii="Times New Roman" w:hAnsi="Times New Roman"/>
          <w:color w:val="000000" w:themeColor="text1"/>
          <w:sz w:val="16"/>
          <w:szCs w:val="16"/>
        </w:rPr>
        <w:t>масло- радиаторы</w:t>
      </w:r>
      <w:proofErr w:type="gramEnd"/>
      <w:r w:rsidRPr="008127F8">
        <w:rPr>
          <w:rFonts w:ascii="Times New Roman" w:hAnsi="Times New Roman"/>
          <w:color w:val="000000" w:themeColor="text1"/>
          <w:sz w:val="16"/>
          <w:szCs w:val="16"/>
        </w:rPr>
        <w:t xml:space="preserve"> переместили в переднюю кромку крыла.</w:t>
      </w:r>
    </w:p>
    <w:p w14:paraId="582B58B8"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проведенные при участии ведущих инженера Н.М. Кокори</w:t>
      </w:r>
      <w:r w:rsidRPr="008127F8">
        <w:rPr>
          <w:rFonts w:ascii="Times New Roman" w:hAnsi="Times New Roman"/>
          <w:color w:val="000000" w:themeColor="text1"/>
          <w:sz w:val="16"/>
          <w:szCs w:val="16"/>
        </w:rPr>
        <w:softHyphen/>
        <w:t>на, летчика А. П. Сыроегина и штурмана Л. М. Гоптарева (самолет облетали лет</w:t>
      </w:r>
      <w:r w:rsidRPr="008127F8">
        <w:rPr>
          <w:rFonts w:ascii="Times New Roman" w:hAnsi="Times New Roman"/>
          <w:color w:val="000000" w:themeColor="text1"/>
          <w:sz w:val="16"/>
          <w:szCs w:val="16"/>
        </w:rPr>
        <w:softHyphen/>
        <w:t>чик Л.П. Лупкин и штурман Н.П. Цвет</w:t>
      </w:r>
      <w:r w:rsidRPr="008127F8">
        <w:rPr>
          <w:rFonts w:ascii="Times New Roman" w:hAnsi="Times New Roman"/>
          <w:color w:val="000000" w:themeColor="text1"/>
          <w:sz w:val="16"/>
          <w:szCs w:val="16"/>
        </w:rPr>
        <w:softHyphen/>
        <w:t>ков), показали, что пилотажные харак</w:t>
      </w:r>
      <w:r w:rsidRPr="008127F8">
        <w:rPr>
          <w:rFonts w:ascii="Times New Roman" w:hAnsi="Times New Roman"/>
          <w:color w:val="000000" w:themeColor="text1"/>
          <w:sz w:val="16"/>
          <w:szCs w:val="16"/>
        </w:rPr>
        <w:softHyphen/>
        <w:t>теристики остались неизменными. Од</w:t>
      </w:r>
      <w:r w:rsidRPr="008127F8">
        <w:rPr>
          <w:rFonts w:ascii="Times New Roman" w:hAnsi="Times New Roman"/>
          <w:color w:val="000000" w:themeColor="text1"/>
          <w:sz w:val="16"/>
          <w:szCs w:val="16"/>
        </w:rPr>
        <w:softHyphen/>
        <w:t>нако при повороте пулемета верхней установки МВ-3 в стороны самолет на</w:t>
      </w:r>
      <w:r w:rsidRPr="008127F8">
        <w:rPr>
          <w:rFonts w:ascii="Times New Roman" w:hAnsi="Times New Roman"/>
          <w:color w:val="000000" w:themeColor="text1"/>
          <w:sz w:val="16"/>
          <w:szCs w:val="16"/>
        </w:rPr>
        <w:softHyphen/>
        <w:t>чинал «гулять» по курсу, создавая крен до трех градусов, правда, легко пари</w:t>
      </w:r>
      <w:r w:rsidRPr="008127F8">
        <w:rPr>
          <w:rFonts w:ascii="Times New Roman" w:hAnsi="Times New Roman"/>
          <w:color w:val="000000" w:themeColor="text1"/>
          <w:sz w:val="16"/>
          <w:szCs w:val="16"/>
        </w:rPr>
        <w:softHyphen/>
        <w:t>ровавшийся рулем поворота.</w:t>
      </w:r>
    </w:p>
    <w:p w14:paraId="11F780C9"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в пер</w:t>
      </w:r>
      <w:r w:rsidRPr="008127F8">
        <w:rPr>
          <w:rFonts w:ascii="Times New Roman" w:hAnsi="Times New Roman"/>
          <w:color w:val="000000" w:themeColor="text1"/>
          <w:sz w:val="16"/>
          <w:szCs w:val="16"/>
        </w:rPr>
        <w:softHyphen/>
        <w:t>вом же вылете Ил-4 М-82 обнаружился сильный выброс моторного масла. Доводки затянулись почти на два месяца, и лишь 5 апреля начались испытания по программе.</w:t>
      </w:r>
    </w:p>
    <w:p w14:paraId="5F144EBF"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проводились на трех машинах при участии ведущих инженеров НИИ ВВС Г. В. Гри</w:t>
      </w:r>
      <w:r w:rsidRPr="008127F8">
        <w:rPr>
          <w:rFonts w:ascii="Times New Roman" w:hAnsi="Times New Roman"/>
          <w:color w:val="000000" w:themeColor="text1"/>
          <w:sz w:val="16"/>
          <w:szCs w:val="16"/>
        </w:rPr>
        <w:softHyphen/>
        <w:t>бакина и Н. Н. Фингерова, ЛИИ — С.С. Юданова и заводского летчика-испытателя Галицкого.</w:t>
      </w:r>
    </w:p>
    <w:p w14:paraId="291DEA47"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двигателей не нашлось штатных винтов АВ-5, и вместо них пришлось ставить втулки винтов ВИШ-22 с лопастями ВИШ-21 диаметром 3,4 м. Ско</w:t>
      </w:r>
      <w:r w:rsidRPr="008127F8">
        <w:rPr>
          <w:rFonts w:ascii="Times New Roman" w:hAnsi="Times New Roman"/>
          <w:color w:val="000000" w:themeColor="text1"/>
          <w:sz w:val="16"/>
          <w:szCs w:val="16"/>
        </w:rPr>
        <w:softHyphen/>
        <w:t>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w:t>
      </w:r>
      <w:r w:rsidRPr="008127F8">
        <w:rPr>
          <w:rFonts w:ascii="Times New Roman" w:hAnsi="Times New Roman"/>
          <w:color w:val="000000" w:themeColor="text1"/>
          <w:sz w:val="16"/>
          <w:szCs w:val="16"/>
        </w:rPr>
        <w:softHyphen/>
        <w:t>ным образом за счет топлива) дальность увеличи</w:t>
      </w:r>
      <w:r w:rsidRPr="008127F8">
        <w:rPr>
          <w:rFonts w:ascii="Times New Roman" w:hAnsi="Times New Roman"/>
          <w:color w:val="000000" w:themeColor="text1"/>
          <w:sz w:val="16"/>
          <w:szCs w:val="16"/>
        </w:rPr>
        <w:softHyphen/>
        <w:t>лась на 900 км, максимальная скорость — на 45 км/ч. Улучшились взлетные характеристики и скороподъ</w:t>
      </w:r>
      <w:r w:rsidRPr="008127F8">
        <w:rPr>
          <w:rFonts w:ascii="Times New Roman" w:hAnsi="Times New Roman"/>
          <w:color w:val="000000" w:themeColor="text1"/>
          <w:sz w:val="16"/>
          <w:szCs w:val="16"/>
        </w:rPr>
        <w:softHyphen/>
        <w:t>емность.</w:t>
      </w:r>
    </w:p>
    <w:p w14:paraId="7BB1670D" w14:textId="77777777" w:rsidR="00822FEF" w:rsidRPr="008127F8" w:rsidRDefault="00822FE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отчета отмечалась целесообраз</w:t>
      </w:r>
      <w:r w:rsidRPr="008127F8">
        <w:rPr>
          <w:rFonts w:ascii="Times New Roman" w:hAnsi="Times New Roman"/>
          <w:color w:val="000000" w:themeColor="text1"/>
          <w:sz w:val="16"/>
          <w:szCs w:val="16"/>
        </w:rPr>
        <w:softHyphen/>
        <w:t>ность установки М-82 на серийные самолеты. Но из- за неудовлетворительной работы системы охлаж</w:t>
      </w:r>
      <w:r w:rsidRPr="008127F8">
        <w:rPr>
          <w:rFonts w:ascii="Times New Roman" w:hAnsi="Times New Roman"/>
          <w:color w:val="000000" w:themeColor="text1"/>
          <w:sz w:val="16"/>
          <w:szCs w:val="16"/>
        </w:rPr>
        <w:softHyphen/>
        <w:t>дения масла, несоответствия колес шасси возрос</w:t>
      </w:r>
      <w:r w:rsidRPr="008127F8">
        <w:rPr>
          <w:rFonts w:ascii="Times New Roman" w:hAnsi="Times New Roman"/>
          <w:color w:val="000000" w:themeColor="text1"/>
          <w:sz w:val="16"/>
          <w:szCs w:val="16"/>
        </w:rPr>
        <w:softHyphen/>
        <w:t>шим нагрузкам, отсутствия амортизации двигателей и неудобного расположения его агрегатов самолет не рекомендовался к серийному производству (23188).</w:t>
      </w:r>
    </w:p>
    <w:p w14:paraId="5FCB65F1" w14:textId="77777777" w:rsidR="00822FEF" w:rsidRPr="008127F8" w:rsidRDefault="00822FEF" w:rsidP="001E0A84">
      <w:pPr>
        <w:spacing w:after="0" w:line="240" w:lineRule="auto"/>
        <w:jc w:val="both"/>
        <w:rPr>
          <w:rFonts w:ascii="Times New Roman" w:hAnsi="Times New Roman"/>
          <w:color w:val="000000" w:themeColor="text1"/>
          <w:sz w:val="16"/>
          <w:szCs w:val="16"/>
        </w:rPr>
      </w:pPr>
    </w:p>
    <w:p w14:paraId="0F4A33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штаб ВВС ВМФ попросил НКАП дополнительно произвести переделку 50 ДБ-ЗБ в пикировщики для нужд Тихоокеанского флота. Однако Ильюшин отказался гарантировать сохранение прочности уже не новых машин, и заводы от этой работы уклонились (12021).</w:t>
      </w:r>
    </w:p>
    <w:p w14:paraId="2CA334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C42BC" w14:textId="48B95109" w:rsidR="00D47170" w:rsidRPr="008127F8" w:rsidRDefault="00D4717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 21 авиазаводе в Горьком. Пользуясь тем обстоятельством, что там из-за нехватки двигателей водяного охлаждения был прекращён серийный выпуск истребителя ЛаГГ-3, Яковлев попытался вместо них развернуть на предприятии сборку своего Як-7, причём опять же с остродефицитным двигателем жидкостного охлаждения. Он стал ходатайствовать перед Сталиным об удалении с предприятия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КБ 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Лавочкина, который как раз разрабатывал новый Ла-5 под имевшиеся в избытке двигатели воздушного охлаждения. За Лавочкина вступились Шахурин и Маленков. И Сталин, сообразуясь с интересами дела, принял их сторону. Так удалось отразить посягательство Яковлева и преодолеть описанную диспропорцию в выпуске самолётов и авиамоторов (21417).</w:t>
      </w:r>
    </w:p>
    <w:p w14:paraId="279900D0" w14:textId="77777777" w:rsidR="00D47170" w:rsidRPr="008127F8" w:rsidRDefault="00D47170" w:rsidP="001E0A84">
      <w:pPr>
        <w:spacing w:after="0" w:line="240" w:lineRule="auto"/>
        <w:jc w:val="both"/>
        <w:rPr>
          <w:rFonts w:ascii="Times New Roman" w:hAnsi="Times New Roman"/>
          <w:color w:val="000000" w:themeColor="text1"/>
          <w:sz w:val="16"/>
          <w:szCs w:val="16"/>
        </w:rPr>
      </w:pPr>
    </w:p>
    <w:p w14:paraId="0C16D922"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начала 1942 г. боевые варианты У-2 стали выпускаться и на серийных авиазаводах. Поначалу самолеты У-2ВС имели только 4 узла для подвески бомб весом до 32 кг (бомбодержатели Дер-5), что было явно недостаточно для эффективного боевого применения самолета. Поэтому в строевых частях проводились доработки. Боевые У-2ВС силами техсостава авиамастерских и авиачастей стали оборудоваться шестью балочными держателями типа Дер-6, позволявшими подвешивать фугасные бомбы типа ФАБ-50 и ФАБ-100. На некоторых У-2 устанавливались бомбодержатели под замок Дер-21, которые дотекали подвеску, кроме авиабомб калибра до 100 кг включительно, кассет КД-1-6. На каждую кассету можно было подвешивать шесть авиабомб калибром от 8 до 25 кг. Некоторые У-2 оснащались восемью ракетными орудиями РО-82 или РО-132 — по 4 орудия под каждую плоскость нижнего крыла. Когда потребовалось разрушать долговременные оборонительные укрепления немцев (ДОТы. ДЗОТы. бронеколпаки и т. д.), умельцы фронтовых авиамастерских, усилив нижнюю часть фюзеляжа самолета, осуществили подвеску на нем одной фугасной авиабомбы калибра 250 кг. Уникальной являлась произведенная инженером К. А. Москатовым подвеска под фюзеляжем У-2 бомбы в 500 кг и установка двух пулеметов на нижнем крыле.</w:t>
      </w:r>
    </w:p>
    <w:p w14:paraId="639494D6"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Сброс авиабомб и пуск РСов осуществлялся путем нажатия на кнопку простейшего электробомбосбрасывателя (15142).</w:t>
      </w:r>
    </w:p>
    <w:p w14:paraId="561ECB61" w14:textId="77777777" w:rsidR="00011043" w:rsidRPr="008127F8" w:rsidRDefault="00011043" w:rsidP="001E0A84">
      <w:pPr>
        <w:spacing w:after="0" w:line="240" w:lineRule="auto"/>
        <w:jc w:val="both"/>
        <w:rPr>
          <w:rFonts w:ascii="Times New Roman" w:hAnsi="Times New Roman"/>
          <w:color w:val="000000" w:themeColor="text1"/>
          <w:sz w:val="16"/>
          <w:szCs w:val="16"/>
        </w:rPr>
      </w:pPr>
    </w:p>
    <w:p w14:paraId="766D28D1"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испытания КЦ-2 проводил В.Л. Растор</w:t>
      </w:r>
      <w:r w:rsidRPr="008127F8">
        <w:rPr>
          <w:rFonts w:ascii="Times New Roman" w:hAnsi="Times New Roman"/>
          <w:color w:val="000000" w:themeColor="text1"/>
          <w:sz w:val="16"/>
          <w:szCs w:val="16"/>
        </w:rPr>
        <w:softHyphen/>
        <w:t>гуев. На первых порах полётный вес ограничивался 2600 кг, но позже его довели до 4200 кг. При этом СБ уже тянуть планёр не мог, и перешли на ис</w:t>
      </w:r>
      <w:r w:rsidRPr="008127F8">
        <w:rPr>
          <w:rFonts w:ascii="Times New Roman" w:hAnsi="Times New Roman"/>
          <w:color w:val="000000" w:themeColor="text1"/>
          <w:sz w:val="16"/>
          <w:szCs w:val="16"/>
        </w:rPr>
        <w:softHyphen/>
        <w:t>пользование в качестве буксировщика бомбардировщика ДБ-ЗФ (Ил-4).</w:t>
      </w:r>
    </w:p>
    <w:p w14:paraId="54C3DF4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Облётывали КЦ-2 (пилот В.Л. Растор</w:t>
      </w:r>
      <w:r w:rsidRPr="008127F8">
        <w:rPr>
          <w:rFonts w:ascii="Times New Roman" w:hAnsi="Times New Roman"/>
          <w:color w:val="000000" w:themeColor="text1"/>
          <w:sz w:val="16"/>
          <w:szCs w:val="16"/>
        </w:rPr>
        <w:softHyphen/>
        <w:t>гуев) уже в Лопатино под Казанью, куда эвакуировали часть рязанского завода. Испытания выявили ряд дефектов в устойчивости и управляемости. В част</w:t>
      </w:r>
      <w:r w:rsidRPr="008127F8">
        <w:rPr>
          <w:rFonts w:ascii="Times New Roman" w:hAnsi="Times New Roman"/>
          <w:color w:val="000000" w:themeColor="text1"/>
          <w:sz w:val="16"/>
          <w:szCs w:val="16"/>
        </w:rPr>
        <w:softHyphen/>
        <w:t>ности, от конструкторов потребовали повысить путевую устойчивость, умень</w:t>
      </w:r>
      <w:r w:rsidRPr="008127F8">
        <w:rPr>
          <w:rFonts w:ascii="Times New Roman" w:hAnsi="Times New Roman"/>
          <w:color w:val="000000" w:themeColor="text1"/>
          <w:sz w:val="16"/>
          <w:szCs w:val="16"/>
        </w:rPr>
        <w:softHyphen/>
        <w:t>шить нагрузки на органы управления, уменьшить деформацию тросов и по</w:t>
      </w:r>
      <w:r w:rsidRPr="008127F8">
        <w:rPr>
          <w:rFonts w:ascii="Times New Roman" w:hAnsi="Times New Roman"/>
          <w:color w:val="000000" w:themeColor="text1"/>
          <w:sz w:val="16"/>
          <w:szCs w:val="16"/>
        </w:rPr>
        <w:softHyphen/>
        <w:t>высить максимальную скорость букси</w:t>
      </w:r>
      <w:r w:rsidRPr="008127F8">
        <w:rPr>
          <w:rFonts w:ascii="Times New Roman" w:hAnsi="Times New Roman"/>
          <w:color w:val="000000" w:themeColor="text1"/>
          <w:sz w:val="16"/>
          <w:szCs w:val="16"/>
        </w:rPr>
        <w:softHyphen/>
        <w:t>ровки до 300 км/ч. Пилотскую кабину оценили как просторную и удобную, а вот грузовая была явно тесна для 21 бойца. Тем не менее, КЦ-2 рекомен</w:t>
      </w:r>
      <w:r w:rsidRPr="008127F8">
        <w:rPr>
          <w:rFonts w:ascii="Times New Roman" w:hAnsi="Times New Roman"/>
          <w:color w:val="000000" w:themeColor="text1"/>
          <w:sz w:val="16"/>
          <w:szCs w:val="16"/>
        </w:rPr>
        <w:softHyphen/>
        <w:t>довали к серийному производству.</w:t>
      </w:r>
    </w:p>
    <w:p w14:paraId="795A4CBC"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серии организовали в том же Лопатино. Серийный образец, получив</w:t>
      </w:r>
      <w:r w:rsidRPr="008127F8">
        <w:rPr>
          <w:rFonts w:ascii="Times New Roman" w:hAnsi="Times New Roman"/>
          <w:color w:val="000000" w:themeColor="text1"/>
          <w:sz w:val="16"/>
          <w:szCs w:val="16"/>
        </w:rPr>
        <w:softHyphen/>
        <w:t>ший обозначение КЦ-20, имел ряд отли</w:t>
      </w:r>
      <w:r w:rsidRPr="008127F8">
        <w:rPr>
          <w:rFonts w:ascii="Times New Roman" w:hAnsi="Times New Roman"/>
          <w:color w:val="000000" w:themeColor="text1"/>
          <w:sz w:val="16"/>
          <w:szCs w:val="16"/>
        </w:rPr>
        <w:softHyphen/>
        <w:t>чий от КЦ-2. Количество перевозимых десантников сократили до 18, чтобы им стало свободнее. При этом фюзеляж удлинили в хвостовой части пример</w:t>
      </w:r>
      <w:r w:rsidRPr="008127F8">
        <w:rPr>
          <w:rFonts w:ascii="Times New Roman" w:hAnsi="Times New Roman"/>
          <w:color w:val="000000" w:themeColor="text1"/>
          <w:sz w:val="16"/>
          <w:szCs w:val="16"/>
        </w:rPr>
        <w:softHyphen/>
        <w:t>но на 0,9 м. Двери сделали обычными двустворчатыми с сохранением преж</w:t>
      </w:r>
      <w:r w:rsidRPr="008127F8">
        <w:rPr>
          <w:rFonts w:ascii="Times New Roman" w:hAnsi="Times New Roman"/>
          <w:color w:val="000000" w:themeColor="text1"/>
          <w:sz w:val="16"/>
          <w:szCs w:val="16"/>
        </w:rPr>
        <w:softHyphen/>
        <w:t>них размеров. На каждом борту теперь имелось по четыре окна. Площадь ос</w:t>
      </w:r>
      <w:r w:rsidRPr="008127F8">
        <w:rPr>
          <w:rFonts w:ascii="Times New Roman" w:hAnsi="Times New Roman"/>
          <w:color w:val="000000" w:themeColor="text1"/>
          <w:sz w:val="16"/>
          <w:szCs w:val="16"/>
        </w:rPr>
        <w:softHyphen/>
        <w:t>текления в носу фюзеляжа значитель</w:t>
      </w:r>
      <w:r w:rsidRPr="008127F8">
        <w:rPr>
          <w:rFonts w:ascii="Times New Roman" w:hAnsi="Times New Roman"/>
          <w:color w:val="000000" w:themeColor="text1"/>
          <w:sz w:val="16"/>
          <w:szCs w:val="16"/>
        </w:rPr>
        <w:softHyphen/>
        <w:t>но уменьшили. Увеличили на 2° попе</w:t>
      </w:r>
      <w:r w:rsidRPr="008127F8">
        <w:rPr>
          <w:rFonts w:ascii="Times New Roman" w:hAnsi="Times New Roman"/>
          <w:color w:val="000000" w:themeColor="text1"/>
          <w:sz w:val="16"/>
          <w:szCs w:val="16"/>
        </w:rPr>
        <w:softHyphen/>
        <w:t>речное V крыла. Возросли площадь горизонтального оперения, диапазон отклонения рулей высоты и размеры триммеров на них. Рули направления получили роговые аэродинамические компенсаторы.</w:t>
      </w:r>
    </w:p>
    <w:p w14:paraId="183EB83E"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 заново спроектировали управление планёром. Тросы заменили деревянными тягами. Вообще в конс</w:t>
      </w:r>
      <w:r w:rsidRPr="008127F8">
        <w:rPr>
          <w:rFonts w:ascii="Times New Roman" w:hAnsi="Times New Roman"/>
          <w:color w:val="000000" w:themeColor="text1"/>
          <w:sz w:val="16"/>
          <w:szCs w:val="16"/>
        </w:rPr>
        <w:softHyphen/>
        <w:t>трукции КЦ-20 металл использовали в минимальной степени. Вместо двух раздельных штурвалов установили один, тоже деревянный. Из дерева выполнили и штурвальную колонку. Колёса стояли на деревянных осях, на которые надевались стальные обоймы под подшипники.</w:t>
      </w:r>
    </w:p>
    <w:p w14:paraId="392EE463"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Интересно, что при столь большом количестве изменений пустой вес се</w:t>
      </w:r>
      <w:r w:rsidRPr="008127F8">
        <w:rPr>
          <w:rFonts w:ascii="Times New Roman" w:hAnsi="Times New Roman"/>
          <w:color w:val="000000" w:themeColor="text1"/>
          <w:sz w:val="16"/>
          <w:szCs w:val="16"/>
        </w:rPr>
        <w:softHyphen/>
        <w:t>рийного КЦ-20 остался тем же, что у опытного КЦ-2 - 2050 кг (12266).</w:t>
      </w:r>
    </w:p>
    <w:p w14:paraId="56FC76D7"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2E67FDE2"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начале 1942 г. в Казани, куда был эвакуирован завод из-за наступления немцев, проходили испытания планера КЦ-2. Испытания, которые проводил лётчик В. Л. Расторгуев, выявили ряд серьёзных недостатков: были плохими устойчивость и управляемость. Нужно было увеличить путевую устойчивость, уменьшить нагрузки в органах управления, увеличить эффективность элеронов и убрать люфты и упругие деформации в проводке управления. По требованию ЦАГИ, разрешённую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66839087"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Учитывая необходимость в тяжёлых планерах, несмотря на отмеченные недостатки, планер был рекомендован к серийному производству под обозначением КЦ-20 (2 пилота + 18 десантников). Производство организовали в посёлке Лопатино под Казанью.</w:t>
      </w:r>
    </w:p>
    <w:p w14:paraId="604C8B8B"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Для устранения отмеченных недостатков конструкцию существенно доработали: фюзеляж, в хвостовой части, удлинили на 900 мм, съёмные двери заменили на двухстворчатые поворотные, а число иллюминаторов на каждом борту увеличили до четырёх. Увеличили также площадь элеронов, а также увеличили и поперечное V крыла на 2°.</w:t>
      </w:r>
    </w:p>
    <w:p w14:paraId="7392410A"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Возросла площадь всего горизонтального оперения,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изменений, масса пустого планера осталась неизменной – 2050 кг, хотя проблемы с центровкой, пусть и не такие острые, остались (19191).</w:t>
      </w:r>
    </w:p>
    <w:p w14:paraId="4CD60BE7"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p>
    <w:p w14:paraId="4A936CB7"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начале 1942 г, на основе планера КЦ-20, Д. Н. Колесников предложил спроектировать морской десантный гидропланер. По схеме это должна была быть летающая лодка с поддерживающими поплавками на крыльях. Предполагалось, что такой планер будет высаживать десанты на побережье Крыма, Прибалтики и в других подобных местах. Но далее предложения дело не пошло (19191).</w:t>
      </w:r>
    </w:p>
    <w:p w14:paraId="14BE937B" w14:textId="77777777" w:rsidR="00273C48" w:rsidRPr="008127F8" w:rsidRDefault="00273C48" w:rsidP="001E0A84">
      <w:pPr>
        <w:pStyle w:val="af"/>
        <w:shd w:val="clear" w:color="auto" w:fill="FFFFFF"/>
        <w:spacing w:before="0" w:after="0"/>
        <w:jc w:val="both"/>
        <w:textAlignment w:val="baseline"/>
        <w:rPr>
          <w:color w:val="000000" w:themeColor="text1"/>
          <w:sz w:val="16"/>
          <w:szCs w:val="16"/>
        </w:rPr>
      </w:pPr>
    </w:p>
    <w:p w14:paraId="6E2C97D8" w14:textId="77777777" w:rsidR="00AA31CD" w:rsidRPr="008127F8" w:rsidRDefault="00AA31C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Колесников пред</w:t>
      </w:r>
      <w:r w:rsidRPr="008127F8">
        <w:rPr>
          <w:rFonts w:ascii="Times New Roman" w:hAnsi="Times New Roman"/>
          <w:color w:val="000000" w:themeColor="text1"/>
          <w:sz w:val="16"/>
          <w:szCs w:val="16"/>
        </w:rPr>
        <w:softHyphen/>
        <w:t>ложил создать на базе КЦ морской де</w:t>
      </w:r>
      <w:r w:rsidRPr="008127F8">
        <w:rPr>
          <w:rFonts w:ascii="Times New Roman" w:hAnsi="Times New Roman"/>
          <w:color w:val="000000" w:themeColor="text1"/>
          <w:sz w:val="16"/>
          <w:szCs w:val="16"/>
        </w:rPr>
        <w:softHyphen/>
        <w:t>сантный планёр, садившийся на воду. Был разработан эскизный проект этой модификации. Морской вариант имел более килеватый фюзеляж-лодку, под</w:t>
      </w:r>
      <w:r w:rsidRPr="008127F8">
        <w:rPr>
          <w:rFonts w:ascii="Times New Roman" w:hAnsi="Times New Roman"/>
          <w:color w:val="000000" w:themeColor="text1"/>
          <w:sz w:val="16"/>
          <w:szCs w:val="16"/>
        </w:rPr>
        <w:softHyphen/>
        <w:t>держивающие поплавки под консоля</w:t>
      </w:r>
      <w:r w:rsidRPr="008127F8">
        <w:rPr>
          <w:rFonts w:ascii="Times New Roman" w:hAnsi="Times New Roman"/>
          <w:color w:val="000000" w:themeColor="text1"/>
          <w:sz w:val="16"/>
          <w:szCs w:val="16"/>
        </w:rPr>
        <w:softHyphen/>
        <w:t>ми крыла и видоизменённое хвостовое оперение. Интересно, что за крылом предусматривался проём, видимо, под верхнюю огневую точку. Остекление но</w:t>
      </w:r>
      <w:r w:rsidRPr="008127F8">
        <w:rPr>
          <w:rFonts w:ascii="Times New Roman" w:hAnsi="Times New Roman"/>
          <w:color w:val="000000" w:themeColor="text1"/>
          <w:sz w:val="16"/>
          <w:szCs w:val="16"/>
        </w:rPr>
        <w:softHyphen/>
        <w:t>совой части фюзеляжа выполнялось по образцу КЦ (12266).</w:t>
      </w:r>
    </w:p>
    <w:p w14:paraId="3FCA2238" w14:textId="77777777" w:rsidR="00AA31CD" w:rsidRPr="008127F8" w:rsidRDefault="00AA31CD" w:rsidP="001E0A84">
      <w:pPr>
        <w:spacing w:after="0" w:line="240" w:lineRule="auto"/>
        <w:jc w:val="both"/>
        <w:rPr>
          <w:rFonts w:ascii="Times New Roman" w:hAnsi="Times New Roman"/>
          <w:color w:val="000000" w:themeColor="text1"/>
          <w:sz w:val="16"/>
          <w:szCs w:val="16"/>
        </w:rPr>
      </w:pPr>
    </w:p>
    <w:p w14:paraId="488F95C9" w14:textId="77777777" w:rsidR="00584F32" w:rsidRPr="008127F8" w:rsidRDefault="00584F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начале 1942 г. конструктор Л.Г. Головин предложил для постройки проект малоразмерного истребителя войскового со провождения (ИВС). По представлению конструктора, перехват чик ИВС с летчиком, который находился в лежачем положе нии, должен был стартовать с помощью РДТТ с подвижной пусковой установки в расположении войск, охраняемых объек тов или палубы корабля, находить бомбардировщики против ника, наводиться летчиком на них и таранить.</w:t>
      </w:r>
    </w:p>
    <w:p w14:paraId="477218E2" w14:textId="77777777" w:rsidR="00584F32" w:rsidRPr="008127F8" w:rsidRDefault="00584F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Впоследствии, по рекомендации заказчика, проект ИВС был доработан и в окончательном виде цельнодере вянный перехватчик с оживальным крылом малого удлине ния приобрел классическую компоновку с сидячим располо жением пилота. Теперь вместо РДТТ был установлен ЖРД, а в вооружении самолета появились пушки. Можно было унич тожать самолеты противника огнем пушек и не таранить их.</w:t>
      </w:r>
    </w:p>
    <w:p w14:paraId="7F318045" w14:textId="77777777" w:rsidR="00584F32" w:rsidRPr="008127F8" w:rsidRDefault="00584F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Идея старта с подвижной наземной или корабельной установ ки в проекте сохранилась. Из проведенных расчетов получа лось, что при среднем полетном весе около 270 кг можно было получить скорость 1060 км/ч, скороподъемность до 270 м/с и динамический потолок 7500 м. При этом крыло удлинением 3,6 имело площадь 1 м 2.</w:t>
      </w:r>
    </w:p>
    <w:p w14:paraId="2912E608" w14:textId="77777777" w:rsidR="00584F32" w:rsidRPr="008127F8" w:rsidRDefault="00584F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Проект этого самолета так и остался на бумаге. Так как экспертная комиссия посчитала, исходя из того, что у самолета малая высота действия (5500...7500 м), на которой могла успешно действовать зенитная артиллерия, самолет к постройке не стали допускать (19586)</w:t>
      </w:r>
    </w:p>
    <w:p w14:paraId="550F8A43" w14:textId="77777777" w:rsidR="00584F32" w:rsidRPr="008127F8" w:rsidRDefault="00584F32" w:rsidP="001E0A84">
      <w:pPr>
        <w:pStyle w:val="af"/>
        <w:shd w:val="clear" w:color="auto" w:fill="FFFFFF"/>
        <w:spacing w:before="0" w:after="0"/>
        <w:jc w:val="both"/>
        <w:rPr>
          <w:color w:val="000000" w:themeColor="text1"/>
          <w:sz w:val="16"/>
          <w:szCs w:val="16"/>
        </w:rPr>
      </w:pPr>
    </w:p>
    <w:p w14:paraId="5037FF82" w14:textId="77777777" w:rsidR="00584F32" w:rsidRPr="008127F8" w:rsidRDefault="00584F32"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В начале 1942 г. на советско-германском фронте отмечалось появление Ме-109Ф-4, а в конце лета 1942 г. — грозного Ме-109Г-2. На них последовательно устанавливали более мощные и высотные модификации моторов Даймлер-Бенц, усиливали бронезащиту. Нельзя сказать, что известие об этом застало советское командование и НИИ ВВС врасплох. Еще в конце апреля 1942 г. наша разведка передала почти точные данные о будущем противнике. Аналогичная информация поступила и от союзников, успевших столкнуться с новым опасным противником над Ла-Маншем.</w:t>
      </w:r>
    </w:p>
    <w:p w14:paraId="0F520FE5" w14:textId="77777777" w:rsidR="00584F32" w:rsidRPr="008127F8" w:rsidRDefault="00584F32"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Но одно дело — информация, совсем другое — реальные боевые машины, появившиеся в конце августа 1942 г. под Сталинградом и сыгравшие не последнюю роль в завоевании противником оперативного господства в воздухе в этом районе. На Ме-109Г-2 летали наиболее опытные летчики, асы (19179).</w:t>
      </w:r>
    </w:p>
    <w:p w14:paraId="5A388CB9" w14:textId="77777777" w:rsidR="00584F32" w:rsidRPr="008127F8" w:rsidRDefault="00584F32" w:rsidP="001E0A84">
      <w:pPr>
        <w:pStyle w:val="rtejustify"/>
        <w:shd w:val="clear" w:color="auto" w:fill="FFFFFF"/>
        <w:spacing w:before="0" w:after="0"/>
        <w:textAlignment w:val="baseline"/>
        <w:rPr>
          <w:color w:val="000000" w:themeColor="text1"/>
          <w:sz w:val="16"/>
          <w:szCs w:val="16"/>
        </w:rPr>
      </w:pPr>
    </w:p>
    <w:p w14:paraId="14D4AB3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w:t>
      </w:r>
    </w:p>
    <w:p w14:paraId="3DBA059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ВЫПИСКА ИЗ ДИСПЕТЧЕРСКОГО ЖУРНАЛА НАРКОМАТА АВИАЦИОННОЙ ПРОМЫШЛЕННОСТИ СССР ПО ВЫПУСКУ САМОЛЕТОВ В 1941 ГОДУ</w:t>
      </w:r>
    </w:p>
    <w:p w14:paraId="2476830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(Левая половина таблицы. - Сосг.)</w:t>
      </w:r>
    </w:p>
    <w:tbl>
      <w:tblPr>
        <w:tblW w:w="0" w:type="auto"/>
        <w:tblLook w:val="04A0" w:firstRow="1" w:lastRow="0" w:firstColumn="1" w:lastColumn="0" w:noHBand="0" w:noVBand="1"/>
      </w:tblPr>
      <w:tblGrid>
        <w:gridCol w:w="1139"/>
        <w:gridCol w:w="660"/>
        <w:gridCol w:w="1001"/>
        <w:gridCol w:w="456"/>
        <w:gridCol w:w="456"/>
        <w:gridCol w:w="536"/>
        <w:gridCol w:w="567"/>
        <w:gridCol w:w="567"/>
        <w:gridCol w:w="567"/>
        <w:gridCol w:w="567"/>
        <w:gridCol w:w="567"/>
        <w:gridCol w:w="926"/>
      </w:tblGrid>
      <w:tr w:rsidR="008127F8" w:rsidRPr="008127F8" w14:paraId="4353A15D" w14:textId="77777777" w:rsidTr="007609C9">
        <w:tc>
          <w:tcPr>
            <w:tcW w:w="1139" w:type="dxa"/>
          </w:tcPr>
          <w:p w14:paraId="718D43F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  изделия</w:t>
            </w:r>
          </w:p>
        </w:tc>
        <w:tc>
          <w:tcPr>
            <w:tcW w:w="660" w:type="dxa"/>
          </w:tcPr>
          <w:p w14:paraId="53760D5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roofErr w:type="gramStart"/>
            <w:r w:rsidRPr="008127F8">
              <w:rPr>
                <w:rFonts w:ascii="Times New Roman" w:hAnsi="Times New Roman"/>
                <w:color w:val="000000" w:themeColor="text1"/>
                <w:sz w:val="16"/>
                <w:szCs w:val="16"/>
              </w:rPr>
              <w:t>№  завода</w:t>
            </w:r>
            <w:proofErr w:type="gramEnd"/>
          </w:p>
        </w:tc>
        <w:tc>
          <w:tcPr>
            <w:tcW w:w="1001" w:type="dxa"/>
          </w:tcPr>
          <w:p w14:paraId="72EA809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Показатели</w:t>
            </w:r>
          </w:p>
        </w:tc>
        <w:tc>
          <w:tcPr>
            <w:tcW w:w="456" w:type="dxa"/>
          </w:tcPr>
          <w:p w14:paraId="2953433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456" w:type="dxa"/>
          </w:tcPr>
          <w:p w14:paraId="7A45AD3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w:t>
            </w:r>
          </w:p>
        </w:tc>
        <w:tc>
          <w:tcPr>
            <w:tcW w:w="536" w:type="dxa"/>
          </w:tcPr>
          <w:p w14:paraId="5E128E2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w:t>
            </w:r>
          </w:p>
        </w:tc>
        <w:tc>
          <w:tcPr>
            <w:tcW w:w="567" w:type="dxa"/>
          </w:tcPr>
          <w:p w14:paraId="08E3C47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кв.</w:t>
            </w:r>
          </w:p>
        </w:tc>
        <w:tc>
          <w:tcPr>
            <w:tcW w:w="567" w:type="dxa"/>
          </w:tcPr>
          <w:p w14:paraId="24F3A97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567" w:type="dxa"/>
          </w:tcPr>
          <w:p w14:paraId="32BA387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w:t>
            </w:r>
          </w:p>
        </w:tc>
        <w:tc>
          <w:tcPr>
            <w:tcW w:w="567" w:type="dxa"/>
          </w:tcPr>
          <w:p w14:paraId="2D140F9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w:t>
            </w:r>
          </w:p>
        </w:tc>
        <w:tc>
          <w:tcPr>
            <w:tcW w:w="567" w:type="dxa"/>
          </w:tcPr>
          <w:p w14:paraId="75A69A5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кв.</w:t>
            </w:r>
          </w:p>
        </w:tc>
        <w:tc>
          <w:tcPr>
            <w:tcW w:w="926" w:type="dxa"/>
          </w:tcPr>
          <w:p w14:paraId="137D272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полугодие</w:t>
            </w:r>
          </w:p>
        </w:tc>
      </w:tr>
      <w:tr w:rsidR="008127F8" w:rsidRPr="008127F8" w14:paraId="2AF0FE6C" w14:textId="77777777" w:rsidTr="007609C9">
        <w:tc>
          <w:tcPr>
            <w:tcW w:w="1139" w:type="dxa"/>
          </w:tcPr>
          <w:p w14:paraId="7A624E5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60" w:type="dxa"/>
          </w:tcPr>
          <w:p w14:paraId="28644C7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001" w:type="dxa"/>
          </w:tcPr>
          <w:p w14:paraId="2AD6BB5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456" w:type="dxa"/>
          </w:tcPr>
          <w:p w14:paraId="0ADCC17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6" w:type="dxa"/>
          </w:tcPr>
          <w:p w14:paraId="51F7683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36" w:type="dxa"/>
          </w:tcPr>
          <w:p w14:paraId="1B6612B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67" w:type="dxa"/>
          </w:tcPr>
          <w:p w14:paraId="35E8152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67" w:type="dxa"/>
          </w:tcPr>
          <w:p w14:paraId="23802E8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67" w:type="dxa"/>
          </w:tcPr>
          <w:p w14:paraId="078564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67" w:type="dxa"/>
          </w:tcPr>
          <w:p w14:paraId="2368C2B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67" w:type="dxa"/>
          </w:tcPr>
          <w:p w14:paraId="0501D7E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926" w:type="dxa"/>
          </w:tcPr>
          <w:p w14:paraId="32C42CA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r>
      <w:tr w:rsidR="008127F8" w:rsidRPr="008127F8" w14:paraId="538315E0" w14:textId="77777777" w:rsidTr="007609C9">
        <w:tc>
          <w:tcPr>
            <w:tcW w:w="1139" w:type="dxa"/>
          </w:tcPr>
          <w:p w14:paraId="7A5D383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w:t>
            </w:r>
          </w:p>
        </w:tc>
        <w:tc>
          <w:tcPr>
            <w:tcW w:w="660" w:type="dxa"/>
          </w:tcPr>
          <w:p w14:paraId="6542A50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01" w:type="dxa"/>
          </w:tcPr>
          <w:p w14:paraId="48C1813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4286F10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456" w:type="dxa"/>
          </w:tcPr>
          <w:p w14:paraId="4DD8548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w:t>
            </w:r>
          </w:p>
        </w:tc>
        <w:tc>
          <w:tcPr>
            <w:tcW w:w="536" w:type="dxa"/>
          </w:tcPr>
          <w:p w14:paraId="7F30B75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567" w:type="dxa"/>
          </w:tcPr>
          <w:p w14:paraId="0AF6195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w:t>
            </w:r>
          </w:p>
        </w:tc>
        <w:tc>
          <w:tcPr>
            <w:tcW w:w="567" w:type="dxa"/>
          </w:tcPr>
          <w:p w14:paraId="1E37C46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567" w:type="dxa"/>
          </w:tcPr>
          <w:p w14:paraId="5C765F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567" w:type="dxa"/>
          </w:tcPr>
          <w:p w14:paraId="4429B2C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298</w:t>
            </w:r>
          </w:p>
        </w:tc>
        <w:tc>
          <w:tcPr>
            <w:tcW w:w="567" w:type="dxa"/>
          </w:tcPr>
          <w:p w14:paraId="0EBBEDC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838</w:t>
            </w:r>
          </w:p>
        </w:tc>
        <w:tc>
          <w:tcPr>
            <w:tcW w:w="926" w:type="dxa"/>
          </w:tcPr>
          <w:p w14:paraId="5A9CFC2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1363</w:t>
            </w:r>
          </w:p>
        </w:tc>
      </w:tr>
      <w:tr w:rsidR="008127F8" w:rsidRPr="008127F8" w14:paraId="7D59A5BF" w14:textId="77777777" w:rsidTr="007609C9">
        <w:tc>
          <w:tcPr>
            <w:tcW w:w="1139" w:type="dxa"/>
          </w:tcPr>
          <w:p w14:paraId="66EB0FC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И-153</w:t>
            </w:r>
          </w:p>
        </w:tc>
        <w:tc>
          <w:tcPr>
            <w:tcW w:w="660" w:type="dxa"/>
          </w:tcPr>
          <w:p w14:paraId="62CA657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01" w:type="dxa"/>
          </w:tcPr>
          <w:p w14:paraId="09A299D0"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DF37A6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456" w:type="dxa"/>
          </w:tcPr>
          <w:p w14:paraId="40ABCA5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536" w:type="dxa"/>
          </w:tcPr>
          <w:p w14:paraId="197D33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732AF10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567" w:type="dxa"/>
          </w:tcPr>
          <w:p w14:paraId="516D933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73B5F14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5F74A5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567" w:type="dxa"/>
          </w:tcPr>
          <w:p w14:paraId="1AEC32D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926" w:type="dxa"/>
          </w:tcPr>
          <w:p w14:paraId="72673B4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r>
      <w:tr w:rsidR="008127F8" w:rsidRPr="008127F8" w14:paraId="0426E277" w14:textId="77777777" w:rsidTr="007609C9">
        <w:tc>
          <w:tcPr>
            <w:tcW w:w="1139" w:type="dxa"/>
          </w:tcPr>
          <w:p w14:paraId="73388EF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60" w:type="dxa"/>
          </w:tcPr>
          <w:p w14:paraId="5BD0857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01" w:type="dxa"/>
          </w:tcPr>
          <w:p w14:paraId="699C54C8"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2D6D6BD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59CF52F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01AE1C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0F856D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0CD4C98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567" w:type="dxa"/>
          </w:tcPr>
          <w:p w14:paraId="5A44DFE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67" w:type="dxa"/>
          </w:tcPr>
          <w:p w14:paraId="1F4F0EF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67" w:type="dxa"/>
          </w:tcPr>
          <w:p w14:paraId="36FDF65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26" w:type="dxa"/>
          </w:tcPr>
          <w:p w14:paraId="47E054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r>
      <w:tr w:rsidR="008127F8" w:rsidRPr="008127F8" w14:paraId="1158BB85" w14:textId="77777777" w:rsidTr="007609C9">
        <w:tc>
          <w:tcPr>
            <w:tcW w:w="1139" w:type="dxa"/>
          </w:tcPr>
          <w:p w14:paraId="62CAA4F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И-16</w:t>
            </w:r>
          </w:p>
        </w:tc>
        <w:tc>
          <w:tcPr>
            <w:tcW w:w="660" w:type="dxa"/>
          </w:tcPr>
          <w:p w14:paraId="1327078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01" w:type="dxa"/>
          </w:tcPr>
          <w:p w14:paraId="5B5956B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0D60373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456" w:type="dxa"/>
          </w:tcPr>
          <w:p w14:paraId="3F33348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536" w:type="dxa"/>
          </w:tcPr>
          <w:p w14:paraId="2A7359C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567" w:type="dxa"/>
          </w:tcPr>
          <w:p w14:paraId="2647808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c>
          <w:tcPr>
            <w:tcW w:w="567" w:type="dxa"/>
          </w:tcPr>
          <w:p w14:paraId="201BA4F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567" w:type="dxa"/>
          </w:tcPr>
          <w:p w14:paraId="5F93BE3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41F4355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50AE444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26" w:type="dxa"/>
          </w:tcPr>
          <w:p w14:paraId="487D7E0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r>
      <w:tr w:rsidR="008127F8" w:rsidRPr="008127F8" w14:paraId="5A01801B" w14:textId="77777777" w:rsidTr="007609C9">
        <w:tc>
          <w:tcPr>
            <w:tcW w:w="1139" w:type="dxa"/>
          </w:tcPr>
          <w:p w14:paraId="141EA32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60" w:type="dxa"/>
          </w:tcPr>
          <w:p w14:paraId="7665CDB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001" w:type="dxa"/>
          </w:tcPr>
          <w:p w14:paraId="3A92727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1F3E696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456" w:type="dxa"/>
          </w:tcPr>
          <w:p w14:paraId="385E0E9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536" w:type="dxa"/>
          </w:tcPr>
          <w:p w14:paraId="0B61F0C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567" w:type="dxa"/>
          </w:tcPr>
          <w:p w14:paraId="475FA25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567" w:type="dxa"/>
          </w:tcPr>
          <w:p w14:paraId="3AE2DFF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CB68E6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567" w:type="dxa"/>
          </w:tcPr>
          <w:p w14:paraId="7280C0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567" w:type="dxa"/>
          </w:tcPr>
          <w:p w14:paraId="5068E77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926" w:type="dxa"/>
          </w:tcPr>
          <w:p w14:paraId="6384000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tc>
      </w:tr>
      <w:tr w:rsidR="008127F8" w:rsidRPr="008127F8" w14:paraId="375B74F4" w14:textId="77777777" w:rsidTr="007609C9">
        <w:tc>
          <w:tcPr>
            <w:tcW w:w="1139" w:type="dxa"/>
          </w:tcPr>
          <w:p w14:paraId="069C5FC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60" w:type="dxa"/>
          </w:tcPr>
          <w:p w14:paraId="38142D1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1001" w:type="dxa"/>
          </w:tcPr>
          <w:p w14:paraId="7911A6BC"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536780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456" w:type="dxa"/>
          </w:tcPr>
          <w:p w14:paraId="05A7769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047D54B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57281D3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567" w:type="dxa"/>
          </w:tcPr>
          <w:p w14:paraId="38F4AE6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67" w:type="dxa"/>
          </w:tcPr>
          <w:p w14:paraId="1DD46C5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567" w:type="dxa"/>
          </w:tcPr>
          <w:p w14:paraId="794CBF7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w:t>
            </w:r>
          </w:p>
        </w:tc>
        <w:tc>
          <w:tcPr>
            <w:tcW w:w="567" w:type="dxa"/>
          </w:tcPr>
          <w:p w14:paraId="1059EFC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242</w:t>
            </w:r>
          </w:p>
        </w:tc>
        <w:tc>
          <w:tcPr>
            <w:tcW w:w="926" w:type="dxa"/>
          </w:tcPr>
          <w:p w14:paraId="654F898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318</w:t>
            </w:r>
          </w:p>
        </w:tc>
      </w:tr>
      <w:tr w:rsidR="008127F8" w:rsidRPr="008127F8" w14:paraId="3F0284B2" w14:textId="77777777" w:rsidTr="007609C9">
        <w:tc>
          <w:tcPr>
            <w:tcW w:w="1139" w:type="dxa"/>
          </w:tcPr>
          <w:p w14:paraId="4AA292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ЯК-1</w:t>
            </w:r>
          </w:p>
        </w:tc>
        <w:tc>
          <w:tcPr>
            <w:tcW w:w="660" w:type="dxa"/>
          </w:tcPr>
          <w:p w14:paraId="59ED4E9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1001" w:type="dxa"/>
          </w:tcPr>
          <w:p w14:paraId="7FED0BE2"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43EDE82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18F0984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610DDF4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6C3AEB8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B6A59E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A0703A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6A23DB4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7C9F58A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26" w:type="dxa"/>
          </w:tcPr>
          <w:p w14:paraId="0818EB2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r>
      <w:tr w:rsidR="008127F8" w:rsidRPr="008127F8" w14:paraId="11339FBE" w14:textId="77777777" w:rsidTr="007609C9">
        <w:tc>
          <w:tcPr>
            <w:tcW w:w="1139" w:type="dxa"/>
          </w:tcPr>
          <w:p w14:paraId="5EA983B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И-16</w:t>
            </w:r>
          </w:p>
        </w:tc>
        <w:tc>
          <w:tcPr>
            <w:tcW w:w="660" w:type="dxa"/>
          </w:tcPr>
          <w:p w14:paraId="282F08A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001" w:type="dxa"/>
          </w:tcPr>
          <w:p w14:paraId="2F6AD9B6"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12EF11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70E2B36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44093FE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1E621E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4AFFE6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EBF7A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2CE4C5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5F5397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926" w:type="dxa"/>
          </w:tcPr>
          <w:p w14:paraId="24F61F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r>
      <w:tr w:rsidR="008127F8" w:rsidRPr="008127F8" w14:paraId="5A99FD39" w14:textId="77777777" w:rsidTr="007609C9">
        <w:tc>
          <w:tcPr>
            <w:tcW w:w="1139" w:type="dxa"/>
          </w:tcPr>
          <w:p w14:paraId="0483EAE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60" w:type="dxa"/>
          </w:tcPr>
          <w:p w14:paraId="53D87B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001" w:type="dxa"/>
          </w:tcPr>
          <w:p w14:paraId="32F5DD0B"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1D2DCCB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011404B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7804BD3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8DBA25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CEF2A2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0E304E5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E3A405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BC3103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26" w:type="dxa"/>
          </w:tcPr>
          <w:p w14:paraId="1550DF7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38B42E0D" w14:textId="77777777" w:rsidTr="007609C9">
        <w:tc>
          <w:tcPr>
            <w:tcW w:w="1139" w:type="dxa"/>
          </w:tcPr>
          <w:p w14:paraId="60944C7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ПЕ-3</w:t>
            </w:r>
          </w:p>
        </w:tc>
        <w:tc>
          <w:tcPr>
            <w:tcW w:w="660" w:type="dxa"/>
          </w:tcPr>
          <w:p w14:paraId="3447875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1001" w:type="dxa"/>
          </w:tcPr>
          <w:p w14:paraId="37200154"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61DFBC7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5F4F2AD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7B2AE6E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7E9D8C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212D490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157F82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06D88D4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CB06F6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26" w:type="dxa"/>
          </w:tcPr>
          <w:p w14:paraId="57AD918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4B641E9C" w14:textId="77777777" w:rsidTr="007609C9">
        <w:tc>
          <w:tcPr>
            <w:tcW w:w="1139" w:type="dxa"/>
          </w:tcPr>
          <w:p w14:paraId="73576BE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И-21</w:t>
            </w:r>
          </w:p>
        </w:tc>
        <w:tc>
          <w:tcPr>
            <w:tcW w:w="660" w:type="dxa"/>
          </w:tcPr>
          <w:p w14:paraId="7BD4870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01" w:type="dxa"/>
          </w:tcPr>
          <w:p w14:paraId="234D74F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6D8CAB4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4892A4B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3CC5109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F1B299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0017FF9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3B52D6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89CAC2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D86324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26" w:type="dxa"/>
          </w:tcPr>
          <w:p w14:paraId="6044D31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013B708A" w14:textId="77777777" w:rsidTr="007609C9">
        <w:tc>
          <w:tcPr>
            <w:tcW w:w="1139" w:type="dxa"/>
          </w:tcPr>
          <w:p w14:paraId="5AF7120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60" w:type="dxa"/>
          </w:tcPr>
          <w:p w14:paraId="537C4C3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001" w:type="dxa"/>
          </w:tcPr>
          <w:p w14:paraId="6284F5D4"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21D7BF0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6CC8306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56F6D15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55C9C74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8EFC6D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1ACE9B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18F251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2B8EB6C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26" w:type="dxa"/>
          </w:tcPr>
          <w:p w14:paraId="1D05C3F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1E66AB59" w14:textId="77777777" w:rsidTr="007609C9">
        <w:tc>
          <w:tcPr>
            <w:tcW w:w="1139" w:type="dxa"/>
          </w:tcPr>
          <w:p w14:paraId="60590C2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истребителей</w:t>
            </w:r>
          </w:p>
        </w:tc>
        <w:tc>
          <w:tcPr>
            <w:tcW w:w="660" w:type="dxa"/>
          </w:tcPr>
          <w:p w14:paraId="533388C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1001" w:type="dxa"/>
          </w:tcPr>
          <w:p w14:paraId="7B1365CD"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23561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c>
          <w:tcPr>
            <w:tcW w:w="456" w:type="dxa"/>
          </w:tcPr>
          <w:p w14:paraId="44D9526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276</w:t>
            </w:r>
          </w:p>
        </w:tc>
        <w:tc>
          <w:tcPr>
            <w:tcW w:w="536" w:type="dxa"/>
          </w:tcPr>
          <w:p w14:paraId="603AAD4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w:t>
            </w:r>
          </w:p>
        </w:tc>
        <w:tc>
          <w:tcPr>
            <w:tcW w:w="567" w:type="dxa"/>
          </w:tcPr>
          <w:p w14:paraId="46166C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849</w:t>
            </w:r>
          </w:p>
        </w:tc>
        <w:tc>
          <w:tcPr>
            <w:tcW w:w="567" w:type="dxa"/>
          </w:tcPr>
          <w:p w14:paraId="6553708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421</w:t>
            </w:r>
          </w:p>
        </w:tc>
        <w:tc>
          <w:tcPr>
            <w:tcW w:w="567" w:type="dxa"/>
          </w:tcPr>
          <w:p w14:paraId="4D0FC7E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433</w:t>
            </w:r>
          </w:p>
        </w:tc>
        <w:tc>
          <w:tcPr>
            <w:tcW w:w="567" w:type="dxa"/>
          </w:tcPr>
          <w:p w14:paraId="7175986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w:t>
            </w:r>
          </w:p>
        </w:tc>
        <w:tc>
          <w:tcPr>
            <w:tcW w:w="567" w:type="dxa"/>
          </w:tcPr>
          <w:p w14:paraId="47638D7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1401</w:t>
            </w:r>
          </w:p>
        </w:tc>
        <w:tc>
          <w:tcPr>
            <w:tcW w:w="926" w:type="dxa"/>
          </w:tcPr>
          <w:p w14:paraId="5135F78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w:t>
            </w:r>
          </w:p>
        </w:tc>
      </w:tr>
    </w:tbl>
    <w:p w14:paraId="63C847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Бомбардировщики</w:t>
      </w:r>
    </w:p>
    <w:tbl>
      <w:tblPr>
        <w:tblW w:w="0" w:type="auto"/>
        <w:tblLook w:val="04A0" w:firstRow="1" w:lastRow="0" w:firstColumn="1" w:lastColumn="0" w:noHBand="0" w:noVBand="1"/>
      </w:tblPr>
      <w:tblGrid>
        <w:gridCol w:w="1129"/>
        <w:gridCol w:w="16"/>
        <w:gridCol w:w="693"/>
        <w:gridCol w:w="992"/>
        <w:gridCol w:w="456"/>
        <w:gridCol w:w="456"/>
        <w:gridCol w:w="506"/>
        <w:gridCol w:w="37"/>
        <w:gridCol w:w="536"/>
        <w:gridCol w:w="567"/>
        <w:gridCol w:w="567"/>
        <w:gridCol w:w="567"/>
        <w:gridCol w:w="567"/>
        <w:gridCol w:w="992"/>
      </w:tblGrid>
      <w:tr w:rsidR="008127F8" w:rsidRPr="008127F8" w14:paraId="69032E1E" w14:textId="77777777" w:rsidTr="007609C9">
        <w:tc>
          <w:tcPr>
            <w:tcW w:w="1129" w:type="dxa"/>
          </w:tcPr>
          <w:p w14:paraId="157E291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709" w:type="dxa"/>
            <w:gridSpan w:val="2"/>
          </w:tcPr>
          <w:p w14:paraId="23FA7CE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2" w:type="dxa"/>
          </w:tcPr>
          <w:p w14:paraId="5B9713FE"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4DE6E23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456" w:type="dxa"/>
          </w:tcPr>
          <w:p w14:paraId="2D8079B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06" w:type="dxa"/>
          </w:tcPr>
          <w:p w14:paraId="34CA74B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567" w:type="dxa"/>
            <w:gridSpan w:val="2"/>
          </w:tcPr>
          <w:p w14:paraId="55EC676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567" w:type="dxa"/>
          </w:tcPr>
          <w:p w14:paraId="6947828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w:t>
            </w:r>
          </w:p>
        </w:tc>
        <w:tc>
          <w:tcPr>
            <w:tcW w:w="567" w:type="dxa"/>
          </w:tcPr>
          <w:p w14:paraId="77666F8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567" w:type="dxa"/>
          </w:tcPr>
          <w:p w14:paraId="2FD1274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567" w:type="dxa"/>
          </w:tcPr>
          <w:p w14:paraId="05DD4A5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276</w:t>
            </w:r>
          </w:p>
        </w:tc>
        <w:tc>
          <w:tcPr>
            <w:tcW w:w="992" w:type="dxa"/>
          </w:tcPr>
          <w:p w14:paraId="1579497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w:t>
            </w:r>
          </w:p>
        </w:tc>
      </w:tr>
      <w:tr w:rsidR="008127F8" w:rsidRPr="008127F8" w14:paraId="5D514CF6" w14:textId="77777777" w:rsidTr="007609C9">
        <w:tc>
          <w:tcPr>
            <w:tcW w:w="1129" w:type="dxa"/>
          </w:tcPr>
          <w:p w14:paraId="3A0D2C5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АР-2</w:t>
            </w:r>
          </w:p>
        </w:tc>
        <w:tc>
          <w:tcPr>
            <w:tcW w:w="709" w:type="dxa"/>
            <w:gridSpan w:val="2"/>
          </w:tcPr>
          <w:p w14:paraId="266AA74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2" w:type="dxa"/>
          </w:tcPr>
          <w:p w14:paraId="649F0B14"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4478ED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456" w:type="dxa"/>
          </w:tcPr>
          <w:p w14:paraId="6E37B0C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506" w:type="dxa"/>
          </w:tcPr>
          <w:p w14:paraId="6984A20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67" w:type="dxa"/>
            <w:gridSpan w:val="2"/>
          </w:tcPr>
          <w:p w14:paraId="204885C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567" w:type="dxa"/>
          </w:tcPr>
          <w:p w14:paraId="1941666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7D027D5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638E8EF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6F0EEA4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2A3F66A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r>
      <w:tr w:rsidR="008127F8" w:rsidRPr="008127F8" w14:paraId="1A6C58CB" w14:textId="77777777" w:rsidTr="007609C9">
        <w:tc>
          <w:tcPr>
            <w:tcW w:w="1129" w:type="dxa"/>
          </w:tcPr>
          <w:p w14:paraId="130259B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w:t>
            </w:r>
          </w:p>
        </w:tc>
        <w:tc>
          <w:tcPr>
            <w:tcW w:w="709" w:type="dxa"/>
            <w:gridSpan w:val="2"/>
          </w:tcPr>
          <w:p w14:paraId="5C38FEA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2" w:type="dxa"/>
          </w:tcPr>
          <w:p w14:paraId="118EFEFA"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5D8854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456" w:type="dxa"/>
          </w:tcPr>
          <w:p w14:paraId="4E7DC1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06" w:type="dxa"/>
          </w:tcPr>
          <w:p w14:paraId="4964A5E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67" w:type="dxa"/>
            <w:gridSpan w:val="2"/>
          </w:tcPr>
          <w:p w14:paraId="353E85D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567" w:type="dxa"/>
          </w:tcPr>
          <w:p w14:paraId="3AA2201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67" w:type="dxa"/>
          </w:tcPr>
          <w:p w14:paraId="78B4E92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4F61EAE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7A7DFA2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992" w:type="dxa"/>
          </w:tcPr>
          <w:p w14:paraId="4DF3BB7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r>
      <w:tr w:rsidR="008127F8" w:rsidRPr="008127F8" w14:paraId="1E0364D1" w14:textId="77777777" w:rsidTr="007609C9">
        <w:tc>
          <w:tcPr>
            <w:tcW w:w="1129" w:type="dxa"/>
          </w:tcPr>
          <w:p w14:paraId="499727E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709" w:type="dxa"/>
            <w:gridSpan w:val="2"/>
          </w:tcPr>
          <w:p w14:paraId="46E3BA8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992" w:type="dxa"/>
          </w:tcPr>
          <w:p w14:paraId="29781B3F"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7FBA14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456" w:type="dxa"/>
          </w:tcPr>
          <w:p w14:paraId="20C1CE8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06" w:type="dxa"/>
          </w:tcPr>
          <w:p w14:paraId="461C99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567" w:type="dxa"/>
            <w:gridSpan w:val="2"/>
          </w:tcPr>
          <w:p w14:paraId="5228BEF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567" w:type="dxa"/>
          </w:tcPr>
          <w:p w14:paraId="003421B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567" w:type="dxa"/>
          </w:tcPr>
          <w:p w14:paraId="6AFE449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567" w:type="dxa"/>
          </w:tcPr>
          <w:p w14:paraId="379A504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567" w:type="dxa"/>
          </w:tcPr>
          <w:p w14:paraId="360608D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992" w:type="dxa"/>
          </w:tcPr>
          <w:p w14:paraId="208EB6B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w:t>
            </w:r>
          </w:p>
        </w:tc>
      </w:tr>
      <w:tr w:rsidR="008127F8" w:rsidRPr="008127F8" w14:paraId="2EA3115F" w14:textId="77777777" w:rsidTr="007609C9">
        <w:tc>
          <w:tcPr>
            <w:tcW w:w="1129" w:type="dxa"/>
          </w:tcPr>
          <w:p w14:paraId="033F687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ДБ-Зф</w:t>
            </w:r>
          </w:p>
        </w:tc>
        <w:tc>
          <w:tcPr>
            <w:tcW w:w="709" w:type="dxa"/>
            <w:gridSpan w:val="2"/>
          </w:tcPr>
          <w:p w14:paraId="32975C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992" w:type="dxa"/>
          </w:tcPr>
          <w:p w14:paraId="73B4EDC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7F12825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456" w:type="dxa"/>
          </w:tcPr>
          <w:p w14:paraId="04204E4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06" w:type="dxa"/>
          </w:tcPr>
          <w:p w14:paraId="6666E21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67" w:type="dxa"/>
            <w:gridSpan w:val="2"/>
          </w:tcPr>
          <w:p w14:paraId="13FB607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567" w:type="dxa"/>
          </w:tcPr>
          <w:p w14:paraId="2DB0C19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67" w:type="dxa"/>
          </w:tcPr>
          <w:p w14:paraId="70FEE0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67" w:type="dxa"/>
          </w:tcPr>
          <w:p w14:paraId="7CE5F64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1D273FB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992" w:type="dxa"/>
          </w:tcPr>
          <w:p w14:paraId="05C3410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r>
      <w:tr w:rsidR="008127F8" w:rsidRPr="008127F8" w14:paraId="4C2C6505" w14:textId="77777777" w:rsidTr="007609C9">
        <w:tc>
          <w:tcPr>
            <w:tcW w:w="1129" w:type="dxa"/>
          </w:tcPr>
          <w:p w14:paraId="40DE433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709" w:type="dxa"/>
            <w:gridSpan w:val="2"/>
          </w:tcPr>
          <w:p w14:paraId="29C4E5A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992" w:type="dxa"/>
          </w:tcPr>
          <w:p w14:paraId="01AA0CC3"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73B83BF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456" w:type="dxa"/>
          </w:tcPr>
          <w:p w14:paraId="7DE0D2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506" w:type="dxa"/>
          </w:tcPr>
          <w:p w14:paraId="34F5ED2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567" w:type="dxa"/>
            <w:gridSpan w:val="2"/>
          </w:tcPr>
          <w:p w14:paraId="5996C7C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567" w:type="dxa"/>
          </w:tcPr>
          <w:p w14:paraId="087A1C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567" w:type="dxa"/>
          </w:tcPr>
          <w:p w14:paraId="4FB23DC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567" w:type="dxa"/>
          </w:tcPr>
          <w:p w14:paraId="03F7C5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w:t>
            </w:r>
          </w:p>
        </w:tc>
        <w:tc>
          <w:tcPr>
            <w:tcW w:w="567" w:type="dxa"/>
          </w:tcPr>
          <w:p w14:paraId="5350009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w:t>
            </w:r>
          </w:p>
        </w:tc>
        <w:tc>
          <w:tcPr>
            <w:tcW w:w="992" w:type="dxa"/>
          </w:tcPr>
          <w:p w14:paraId="3F34159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r>
      <w:tr w:rsidR="008127F8" w:rsidRPr="008127F8" w14:paraId="7F7A58E5" w14:textId="77777777" w:rsidTr="007609C9">
        <w:tc>
          <w:tcPr>
            <w:tcW w:w="1129" w:type="dxa"/>
          </w:tcPr>
          <w:p w14:paraId="5E2C48A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709" w:type="dxa"/>
            <w:gridSpan w:val="2"/>
          </w:tcPr>
          <w:p w14:paraId="63EB443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992" w:type="dxa"/>
          </w:tcPr>
          <w:p w14:paraId="53A407BB"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56C97B6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456" w:type="dxa"/>
          </w:tcPr>
          <w:p w14:paraId="0A9022E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06" w:type="dxa"/>
          </w:tcPr>
          <w:p w14:paraId="5697641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67" w:type="dxa"/>
            <w:gridSpan w:val="2"/>
          </w:tcPr>
          <w:p w14:paraId="08E68E7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567" w:type="dxa"/>
          </w:tcPr>
          <w:p w14:paraId="0FF4E84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67" w:type="dxa"/>
          </w:tcPr>
          <w:p w14:paraId="417F3B8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67" w:type="dxa"/>
          </w:tcPr>
          <w:p w14:paraId="491BF7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567" w:type="dxa"/>
          </w:tcPr>
          <w:p w14:paraId="5100FE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992" w:type="dxa"/>
          </w:tcPr>
          <w:p w14:paraId="2E33421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r>
      <w:tr w:rsidR="008127F8" w:rsidRPr="008127F8" w14:paraId="6CF7054F" w14:textId="77777777" w:rsidTr="007609C9">
        <w:tc>
          <w:tcPr>
            <w:tcW w:w="1129" w:type="dxa"/>
          </w:tcPr>
          <w:p w14:paraId="13B1376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ЯК-4</w:t>
            </w:r>
          </w:p>
        </w:tc>
        <w:tc>
          <w:tcPr>
            <w:tcW w:w="709" w:type="dxa"/>
            <w:gridSpan w:val="2"/>
          </w:tcPr>
          <w:p w14:paraId="10A7987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992" w:type="dxa"/>
          </w:tcPr>
          <w:p w14:paraId="0891584A"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4AF4CBC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456" w:type="dxa"/>
          </w:tcPr>
          <w:p w14:paraId="2C3B44C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06" w:type="dxa"/>
          </w:tcPr>
          <w:p w14:paraId="78CB315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67" w:type="dxa"/>
            <w:gridSpan w:val="2"/>
          </w:tcPr>
          <w:p w14:paraId="263060F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567" w:type="dxa"/>
          </w:tcPr>
          <w:p w14:paraId="2904007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567" w:type="dxa"/>
          </w:tcPr>
          <w:p w14:paraId="1992222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16342A7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6A4E3FA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2" w:type="dxa"/>
          </w:tcPr>
          <w:p w14:paraId="56ED698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r>
      <w:tr w:rsidR="008127F8" w:rsidRPr="008127F8" w14:paraId="2728666C" w14:textId="77777777" w:rsidTr="007609C9">
        <w:tc>
          <w:tcPr>
            <w:tcW w:w="1129" w:type="dxa"/>
          </w:tcPr>
          <w:p w14:paraId="5B93A5A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ДБ-Зф</w:t>
            </w:r>
          </w:p>
        </w:tc>
        <w:tc>
          <w:tcPr>
            <w:tcW w:w="709" w:type="dxa"/>
            <w:gridSpan w:val="2"/>
          </w:tcPr>
          <w:p w14:paraId="4A46DE8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992" w:type="dxa"/>
          </w:tcPr>
          <w:p w14:paraId="1BD46366"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DF5FEE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456" w:type="dxa"/>
          </w:tcPr>
          <w:p w14:paraId="2141666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506" w:type="dxa"/>
          </w:tcPr>
          <w:p w14:paraId="65030A0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c>
          <w:tcPr>
            <w:tcW w:w="567" w:type="dxa"/>
            <w:gridSpan w:val="2"/>
          </w:tcPr>
          <w:p w14:paraId="40A4DC1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567" w:type="dxa"/>
          </w:tcPr>
          <w:p w14:paraId="0F9BB8D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567" w:type="dxa"/>
          </w:tcPr>
          <w:p w14:paraId="640E03B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08B0680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567" w:type="dxa"/>
          </w:tcPr>
          <w:p w14:paraId="7292CB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c>
          <w:tcPr>
            <w:tcW w:w="992" w:type="dxa"/>
          </w:tcPr>
          <w:p w14:paraId="04A41E3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326</w:t>
            </w:r>
          </w:p>
        </w:tc>
      </w:tr>
      <w:tr w:rsidR="008127F8" w:rsidRPr="008127F8" w14:paraId="19E56C8B" w14:textId="77777777" w:rsidTr="007609C9">
        <w:tc>
          <w:tcPr>
            <w:tcW w:w="1129" w:type="dxa"/>
          </w:tcPr>
          <w:p w14:paraId="53EDFE6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ЕР-2</w:t>
            </w:r>
          </w:p>
        </w:tc>
        <w:tc>
          <w:tcPr>
            <w:tcW w:w="709" w:type="dxa"/>
            <w:gridSpan w:val="2"/>
          </w:tcPr>
          <w:p w14:paraId="6C46501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992" w:type="dxa"/>
          </w:tcPr>
          <w:p w14:paraId="607C9BC3"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2770744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202901D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06" w:type="dxa"/>
          </w:tcPr>
          <w:p w14:paraId="6037496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gridSpan w:val="2"/>
          </w:tcPr>
          <w:p w14:paraId="4406C64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52F1B34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67" w:type="dxa"/>
          </w:tcPr>
          <w:p w14:paraId="1D76FBE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67" w:type="dxa"/>
          </w:tcPr>
          <w:p w14:paraId="78AA188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567" w:type="dxa"/>
          </w:tcPr>
          <w:p w14:paraId="307C679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992" w:type="dxa"/>
          </w:tcPr>
          <w:p w14:paraId="2F9FA0B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r>
      <w:tr w:rsidR="008127F8" w:rsidRPr="008127F8" w14:paraId="6C78FC2B" w14:textId="77777777" w:rsidTr="007609C9">
        <w:tc>
          <w:tcPr>
            <w:tcW w:w="1129" w:type="dxa"/>
          </w:tcPr>
          <w:p w14:paraId="1181BEB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ДБ-Зф</w:t>
            </w:r>
          </w:p>
        </w:tc>
        <w:tc>
          <w:tcPr>
            <w:tcW w:w="709" w:type="dxa"/>
            <w:gridSpan w:val="2"/>
          </w:tcPr>
          <w:p w14:paraId="397EC2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992" w:type="dxa"/>
          </w:tcPr>
          <w:p w14:paraId="4EEC4C08"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5A2DA94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24C3982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06" w:type="dxa"/>
          </w:tcPr>
          <w:p w14:paraId="7EB0F3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gridSpan w:val="2"/>
          </w:tcPr>
          <w:p w14:paraId="6569F0B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C45CF4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67" w:type="dxa"/>
          </w:tcPr>
          <w:p w14:paraId="0D2E260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567" w:type="dxa"/>
          </w:tcPr>
          <w:p w14:paraId="3E765D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567" w:type="dxa"/>
          </w:tcPr>
          <w:p w14:paraId="5DFC00B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992" w:type="dxa"/>
          </w:tcPr>
          <w:p w14:paraId="27B52C8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r>
      <w:tr w:rsidR="008127F8" w:rsidRPr="008127F8" w14:paraId="266059F3" w14:textId="77777777" w:rsidTr="007609C9">
        <w:tc>
          <w:tcPr>
            <w:tcW w:w="1129" w:type="dxa"/>
          </w:tcPr>
          <w:p w14:paraId="786EFD5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w:t>
            </w:r>
          </w:p>
        </w:tc>
        <w:tc>
          <w:tcPr>
            <w:tcW w:w="709" w:type="dxa"/>
            <w:gridSpan w:val="2"/>
          </w:tcPr>
          <w:p w14:paraId="54FB1A2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992" w:type="dxa"/>
          </w:tcPr>
          <w:p w14:paraId="4028032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5A0D714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50BF1AD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06" w:type="dxa"/>
          </w:tcPr>
          <w:p w14:paraId="4E757B7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67" w:type="dxa"/>
            <w:gridSpan w:val="2"/>
          </w:tcPr>
          <w:p w14:paraId="0C0EDB3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67" w:type="dxa"/>
          </w:tcPr>
          <w:p w14:paraId="30FC123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67" w:type="dxa"/>
          </w:tcPr>
          <w:p w14:paraId="5154786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309C549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78654B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992" w:type="dxa"/>
          </w:tcPr>
          <w:p w14:paraId="6112B96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r>
      <w:tr w:rsidR="008127F8" w:rsidRPr="008127F8" w14:paraId="3748C965" w14:textId="77777777" w:rsidTr="007609C9">
        <w:tc>
          <w:tcPr>
            <w:tcW w:w="1129" w:type="dxa"/>
          </w:tcPr>
          <w:p w14:paraId="5967807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ТБ-7</w:t>
            </w:r>
          </w:p>
        </w:tc>
        <w:tc>
          <w:tcPr>
            <w:tcW w:w="709" w:type="dxa"/>
            <w:gridSpan w:val="2"/>
          </w:tcPr>
          <w:p w14:paraId="72B8301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992" w:type="dxa"/>
          </w:tcPr>
          <w:p w14:paraId="1F1AD56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6379967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4A8E99C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06" w:type="dxa"/>
          </w:tcPr>
          <w:p w14:paraId="5BAEC18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gridSpan w:val="2"/>
          </w:tcPr>
          <w:p w14:paraId="5A44695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67" w:type="dxa"/>
          </w:tcPr>
          <w:p w14:paraId="0D8AC32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1F6E0CC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67" w:type="dxa"/>
          </w:tcPr>
          <w:p w14:paraId="5BEE1FE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67" w:type="dxa"/>
          </w:tcPr>
          <w:p w14:paraId="594B2F1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992" w:type="dxa"/>
          </w:tcPr>
          <w:p w14:paraId="345B8D4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r>
      <w:tr w:rsidR="008127F8" w:rsidRPr="008127F8" w14:paraId="6BB3121F" w14:textId="77777777" w:rsidTr="007609C9">
        <w:tc>
          <w:tcPr>
            <w:tcW w:w="1129" w:type="dxa"/>
          </w:tcPr>
          <w:p w14:paraId="7E62FC4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w:t>
            </w:r>
          </w:p>
        </w:tc>
        <w:tc>
          <w:tcPr>
            <w:tcW w:w="709" w:type="dxa"/>
            <w:gridSpan w:val="2"/>
          </w:tcPr>
          <w:p w14:paraId="3675592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992" w:type="dxa"/>
          </w:tcPr>
          <w:p w14:paraId="4EE9344F"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6388951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09CB62E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06" w:type="dxa"/>
          </w:tcPr>
          <w:p w14:paraId="5A9DF47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567" w:type="dxa"/>
            <w:gridSpan w:val="2"/>
          </w:tcPr>
          <w:p w14:paraId="78B823B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567" w:type="dxa"/>
          </w:tcPr>
          <w:p w14:paraId="4B3EFCF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567" w:type="dxa"/>
          </w:tcPr>
          <w:p w14:paraId="4A7AA54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567" w:type="dxa"/>
          </w:tcPr>
          <w:p w14:paraId="5E22AA8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567" w:type="dxa"/>
          </w:tcPr>
          <w:p w14:paraId="72F580F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992" w:type="dxa"/>
          </w:tcPr>
          <w:p w14:paraId="4F61883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r>
      <w:tr w:rsidR="008127F8" w:rsidRPr="008127F8" w14:paraId="15DB5D15" w14:textId="77777777" w:rsidTr="007609C9">
        <w:tc>
          <w:tcPr>
            <w:tcW w:w="1129" w:type="dxa"/>
          </w:tcPr>
          <w:p w14:paraId="4FCB2A4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709" w:type="dxa"/>
            <w:gridSpan w:val="2"/>
          </w:tcPr>
          <w:p w14:paraId="402262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992" w:type="dxa"/>
          </w:tcPr>
          <w:p w14:paraId="023BE19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4E4A56B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14ED83C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06" w:type="dxa"/>
          </w:tcPr>
          <w:p w14:paraId="76E6075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gridSpan w:val="2"/>
          </w:tcPr>
          <w:p w14:paraId="71B58E5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5D21AC4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6FDB7E4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5287689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67" w:type="dxa"/>
          </w:tcPr>
          <w:p w14:paraId="2FC5498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992" w:type="dxa"/>
          </w:tcPr>
          <w:p w14:paraId="3EA332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8127F8" w:rsidRPr="008127F8" w14:paraId="785FF398" w14:textId="77777777" w:rsidTr="007609C9">
        <w:tc>
          <w:tcPr>
            <w:tcW w:w="1129" w:type="dxa"/>
          </w:tcPr>
          <w:p w14:paraId="1B8EA0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709" w:type="dxa"/>
            <w:gridSpan w:val="2"/>
          </w:tcPr>
          <w:p w14:paraId="49AB9A7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992" w:type="dxa"/>
          </w:tcPr>
          <w:p w14:paraId="57513F96"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6301497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436C2A4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06" w:type="dxa"/>
          </w:tcPr>
          <w:p w14:paraId="279DD92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gridSpan w:val="2"/>
          </w:tcPr>
          <w:p w14:paraId="6DA0895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2C1456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0B8FDA2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28B004C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03B4D3A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4B28D42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05CAC736" w14:textId="77777777" w:rsidTr="007609C9">
        <w:tc>
          <w:tcPr>
            <w:tcW w:w="1129" w:type="dxa"/>
          </w:tcPr>
          <w:p w14:paraId="1411121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709" w:type="dxa"/>
            <w:gridSpan w:val="2"/>
          </w:tcPr>
          <w:p w14:paraId="6DEFF09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992" w:type="dxa"/>
          </w:tcPr>
          <w:p w14:paraId="28ECE051"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22663DC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475D81B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06" w:type="dxa"/>
          </w:tcPr>
          <w:p w14:paraId="6945412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gridSpan w:val="2"/>
          </w:tcPr>
          <w:p w14:paraId="20E298C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00B783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310784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9E2230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23661C4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1F57C91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6372A771" w14:textId="77777777" w:rsidTr="007609C9">
        <w:tc>
          <w:tcPr>
            <w:tcW w:w="1129" w:type="dxa"/>
          </w:tcPr>
          <w:p w14:paraId="4F49112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бомбардир.</w:t>
            </w:r>
          </w:p>
        </w:tc>
        <w:tc>
          <w:tcPr>
            <w:tcW w:w="709" w:type="dxa"/>
            <w:gridSpan w:val="2"/>
          </w:tcPr>
          <w:p w14:paraId="4123B0E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114750F0"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77F8BCA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w:t>
            </w:r>
          </w:p>
        </w:tc>
        <w:tc>
          <w:tcPr>
            <w:tcW w:w="456" w:type="dxa"/>
          </w:tcPr>
          <w:p w14:paraId="1C6B79F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w:t>
            </w:r>
          </w:p>
        </w:tc>
        <w:tc>
          <w:tcPr>
            <w:tcW w:w="506" w:type="dxa"/>
          </w:tcPr>
          <w:p w14:paraId="6231C97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259</w:t>
            </w:r>
          </w:p>
        </w:tc>
        <w:tc>
          <w:tcPr>
            <w:tcW w:w="567" w:type="dxa"/>
            <w:gridSpan w:val="2"/>
          </w:tcPr>
          <w:p w14:paraId="2B0B064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742</w:t>
            </w:r>
          </w:p>
        </w:tc>
        <w:tc>
          <w:tcPr>
            <w:tcW w:w="567" w:type="dxa"/>
          </w:tcPr>
          <w:p w14:paraId="60FC3A5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288  5</w:t>
            </w:r>
            <w:proofErr w:type="gramEnd"/>
          </w:p>
        </w:tc>
        <w:tc>
          <w:tcPr>
            <w:tcW w:w="567" w:type="dxa"/>
          </w:tcPr>
          <w:p w14:paraId="4756FB1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w:t>
            </w:r>
          </w:p>
        </w:tc>
        <w:tc>
          <w:tcPr>
            <w:tcW w:w="567" w:type="dxa"/>
          </w:tcPr>
          <w:p w14:paraId="6EEA7E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567" w:type="dxa"/>
          </w:tcPr>
          <w:p w14:paraId="34FF73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877</w:t>
            </w:r>
          </w:p>
        </w:tc>
        <w:tc>
          <w:tcPr>
            <w:tcW w:w="992" w:type="dxa"/>
          </w:tcPr>
          <w:p w14:paraId="46F2960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1619</w:t>
            </w:r>
          </w:p>
        </w:tc>
      </w:tr>
      <w:tr w:rsidR="008127F8" w:rsidRPr="008127F8" w14:paraId="099AF659" w14:textId="77777777" w:rsidTr="007609C9">
        <w:tc>
          <w:tcPr>
            <w:tcW w:w="1145" w:type="dxa"/>
            <w:gridSpan w:val="2"/>
          </w:tcPr>
          <w:p w14:paraId="408E818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Дополнения</w:t>
            </w:r>
          </w:p>
        </w:tc>
        <w:tc>
          <w:tcPr>
            <w:tcW w:w="692" w:type="dxa"/>
          </w:tcPr>
          <w:p w14:paraId="360BEBF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0" w:type="dxa"/>
          </w:tcPr>
          <w:p w14:paraId="026826F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70ACA3F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6" w:type="dxa"/>
          </w:tcPr>
          <w:p w14:paraId="2A1AC50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6004570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218CADE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67" w:type="dxa"/>
          </w:tcPr>
          <w:p w14:paraId="2CF8F78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63D944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36DEFC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0B95C2C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0B5CFE7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186888C5" w14:textId="77777777" w:rsidTr="007609C9">
        <w:tc>
          <w:tcPr>
            <w:tcW w:w="1145" w:type="dxa"/>
            <w:gridSpan w:val="2"/>
          </w:tcPr>
          <w:p w14:paraId="18E9630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Штурмовики</w:t>
            </w:r>
          </w:p>
        </w:tc>
        <w:tc>
          <w:tcPr>
            <w:tcW w:w="692" w:type="dxa"/>
          </w:tcPr>
          <w:p w14:paraId="4C884A2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0" w:type="dxa"/>
          </w:tcPr>
          <w:p w14:paraId="2391686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1C5EEDA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00D0801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43" w:type="dxa"/>
            <w:gridSpan w:val="2"/>
          </w:tcPr>
          <w:p w14:paraId="59CE59A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5C51519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36B362C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1AE10EC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700179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9960A5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3C18A46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32A10C0E" w14:textId="77777777" w:rsidTr="007609C9">
        <w:tc>
          <w:tcPr>
            <w:tcW w:w="1145" w:type="dxa"/>
            <w:gridSpan w:val="2"/>
          </w:tcPr>
          <w:p w14:paraId="7D53B69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92" w:type="dxa"/>
          </w:tcPr>
          <w:p w14:paraId="0F91CF6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990" w:type="dxa"/>
          </w:tcPr>
          <w:p w14:paraId="67CF3E2B"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1490F2F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17C553B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082A05A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36" w:type="dxa"/>
          </w:tcPr>
          <w:p w14:paraId="4F278D8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67" w:type="dxa"/>
          </w:tcPr>
          <w:p w14:paraId="3B6DD7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567" w:type="dxa"/>
          </w:tcPr>
          <w:p w14:paraId="00035A6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567" w:type="dxa"/>
          </w:tcPr>
          <w:p w14:paraId="1BB0E1D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159</w:t>
            </w:r>
          </w:p>
        </w:tc>
        <w:tc>
          <w:tcPr>
            <w:tcW w:w="567" w:type="dxa"/>
          </w:tcPr>
          <w:p w14:paraId="6BD3B6B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w:t>
            </w:r>
          </w:p>
        </w:tc>
        <w:tc>
          <w:tcPr>
            <w:tcW w:w="992" w:type="dxa"/>
          </w:tcPr>
          <w:p w14:paraId="34155D1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251</w:t>
            </w:r>
          </w:p>
        </w:tc>
      </w:tr>
      <w:tr w:rsidR="008127F8" w:rsidRPr="008127F8" w14:paraId="549EF2F4" w14:textId="77777777" w:rsidTr="007609C9">
        <w:tc>
          <w:tcPr>
            <w:tcW w:w="1145" w:type="dxa"/>
            <w:gridSpan w:val="2"/>
          </w:tcPr>
          <w:p w14:paraId="675840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92" w:type="dxa"/>
          </w:tcPr>
          <w:p w14:paraId="3FB3A47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990" w:type="dxa"/>
          </w:tcPr>
          <w:p w14:paraId="69B97CD6"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0BF7178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214D69B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31DD274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0C38EFE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7F57C58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541EC1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2D0B079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1B2F38E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7DA5970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30FD5F2D" w14:textId="77777777" w:rsidTr="007609C9">
        <w:tc>
          <w:tcPr>
            <w:tcW w:w="1145" w:type="dxa"/>
            <w:gridSpan w:val="2"/>
          </w:tcPr>
          <w:p w14:paraId="70DB629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92" w:type="dxa"/>
          </w:tcPr>
          <w:p w14:paraId="2B612C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990" w:type="dxa"/>
          </w:tcPr>
          <w:p w14:paraId="49E3740B"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5E79FD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11ECC14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43" w:type="dxa"/>
            <w:gridSpan w:val="2"/>
          </w:tcPr>
          <w:p w14:paraId="42BF41B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3E48040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BCF93D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1567F01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4F72200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67" w:type="dxa"/>
          </w:tcPr>
          <w:p w14:paraId="6843BAE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2" w:type="dxa"/>
          </w:tcPr>
          <w:p w14:paraId="0966349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r>
      <w:tr w:rsidR="008127F8" w:rsidRPr="008127F8" w14:paraId="2C4B2FE5" w14:textId="77777777" w:rsidTr="007609C9">
        <w:tc>
          <w:tcPr>
            <w:tcW w:w="1145" w:type="dxa"/>
            <w:gridSpan w:val="2"/>
          </w:tcPr>
          <w:p w14:paraId="033909A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штурмовиков</w:t>
            </w:r>
          </w:p>
        </w:tc>
        <w:tc>
          <w:tcPr>
            <w:tcW w:w="692" w:type="dxa"/>
          </w:tcPr>
          <w:p w14:paraId="3E34305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0" w:type="dxa"/>
          </w:tcPr>
          <w:p w14:paraId="73308B2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28570B1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2E516CE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04CC14A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36" w:type="dxa"/>
          </w:tcPr>
          <w:p w14:paraId="2440A3E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67" w:type="dxa"/>
          </w:tcPr>
          <w:p w14:paraId="5EDDBED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567" w:type="dxa"/>
          </w:tcPr>
          <w:p w14:paraId="7BEE649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567" w:type="dxa"/>
          </w:tcPr>
          <w:p w14:paraId="0394E63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159</w:t>
            </w:r>
          </w:p>
        </w:tc>
        <w:tc>
          <w:tcPr>
            <w:tcW w:w="567" w:type="dxa"/>
          </w:tcPr>
          <w:p w14:paraId="024FC5A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w:t>
            </w:r>
          </w:p>
        </w:tc>
        <w:tc>
          <w:tcPr>
            <w:tcW w:w="992" w:type="dxa"/>
          </w:tcPr>
          <w:p w14:paraId="495DBDE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251</w:t>
            </w:r>
          </w:p>
        </w:tc>
      </w:tr>
      <w:tr w:rsidR="008127F8" w:rsidRPr="008127F8" w14:paraId="575A4A14" w14:textId="77777777" w:rsidTr="007609C9">
        <w:tc>
          <w:tcPr>
            <w:tcW w:w="1145" w:type="dxa"/>
            <w:gridSpan w:val="2"/>
          </w:tcPr>
          <w:p w14:paraId="5B79410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w:t>
            </w:r>
          </w:p>
        </w:tc>
        <w:tc>
          <w:tcPr>
            <w:tcW w:w="692" w:type="dxa"/>
          </w:tcPr>
          <w:p w14:paraId="55C0856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0" w:type="dxa"/>
          </w:tcPr>
          <w:p w14:paraId="55CAB4C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5C8639D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2466D1F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43" w:type="dxa"/>
            <w:gridSpan w:val="2"/>
          </w:tcPr>
          <w:p w14:paraId="1792B6A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536" w:type="dxa"/>
          </w:tcPr>
          <w:p w14:paraId="72769D3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67" w:type="dxa"/>
          </w:tcPr>
          <w:p w14:paraId="4B79C0F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567" w:type="dxa"/>
          </w:tcPr>
          <w:p w14:paraId="18ED6F5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567" w:type="dxa"/>
          </w:tcPr>
          <w:p w14:paraId="67D6519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159</w:t>
            </w:r>
          </w:p>
        </w:tc>
        <w:tc>
          <w:tcPr>
            <w:tcW w:w="567" w:type="dxa"/>
          </w:tcPr>
          <w:p w14:paraId="24053C5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w:t>
            </w:r>
          </w:p>
        </w:tc>
        <w:tc>
          <w:tcPr>
            <w:tcW w:w="992" w:type="dxa"/>
          </w:tcPr>
          <w:p w14:paraId="77E9973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251</w:t>
            </w:r>
          </w:p>
        </w:tc>
      </w:tr>
      <w:tr w:rsidR="008127F8" w:rsidRPr="008127F8" w14:paraId="464581AF" w14:textId="77777777" w:rsidTr="007609C9">
        <w:tc>
          <w:tcPr>
            <w:tcW w:w="1145" w:type="dxa"/>
            <w:gridSpan w:val="2"/>
          </w:tcPr>
          <w:p w14:paraId="3DD8D74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МДР-6</w:t>
            </w:r>
          </w:p>
        </w:tc>
        <w:tc>
          <w:tcPr>
            <w:tcW w:w="692" w:type="dxa"/>
          </w:tcPr>
          <w:p w14:paraId="42C79BD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990" w:type="dxa"/>
          </w:tcPr>
          <w:p w14:paraId="7EB2EAF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30ECC75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6" w:type="dxa"/>
          </w:tcPr>
          <w:p w14:paraId="06A93F7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25F545D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4D8477F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67" w:type="dxa"/>
          </w:tcPr>
          <w:p w14:paraId="6DFAD6B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4B0BBC6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1C470BB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6C98441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92" w:type="dxa"/>
          </w:tcPr>
          <w:p w14:paraId="2879087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8127F8" w:rsidRPr="008127F8" w14:paraId="512B06FC" w14:textId="77777777" w:rsidTr="007609C9">
        <w:tc>
          <w:tcPr>
            <w:tcW w:w="1145" w:type="dxa"/>
            <w:gridSpan w:val="2"/>
          </w:tcPr>
          <w:p w14:paraId="738CFDF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w:t>
            </w:r>
            <w:proofErr w:type="gramStart"/>
            <w:r w:rsidRPr="008127F8">
              <w:rPr>
                <w:rFonts w:ascii="Times New Roman" w:hAnsi="Times New Roman"/>
                <w:color w:val="000000" w:themeColor="text1"/>
                <w:sz w:val="16"/>
                <w:szCs w:val="16"/>
              </w:rPr>
              <w:t>-  МДР</w:t>
            </w:r>
            <w:proofErr w:type="gramEnd"/>
            <w:r w:rsidRPr="008127F8">
              <w:rPr>
                <w:rFonts w:ascii="Times New Roman" w:hAnsi="Times New Roman"/>
                <w:color w:val="000000" w:themeColor="text1"/>
                <w:sz w:val="16"/>
                <w:szCs w:val="16"/>
              </w:rPr>
              <w:t>-6</w:t>
            </w:r>
          </w:p>
        </w:tc>
        <w:tc>
          <w:tcPr>
            <w:tcW w:w="692" w:type="dxa"/>
          </w:tcPr>
          <w:p w14:paraId="02F82CC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990" w:type="dxa"/>
          </w:tcPr>
          <w:p w14:paraId="05DA7064"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456" w:type="dxa"/>
          </w:tcPr>
          <w:p w14:paraId="2816523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56" w:type="dxa"/>
          </w:tcPr>
          <w:p w14:paraId="7B5E01E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607C19B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13F3E12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0E11037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67" w:type="dxa"/>
          </w:tcPr>
          <w:p w14:paraId="3DBF8AF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78439E5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551E63A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992" w:type="dxa"/>
          </w:tcPr>
          <w:p w14:paraId="09E27EE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8127F8" w:rsidRPr="008127F8" w14:paraId="70935C4D" w14:textId="77777777" w:rsidTr="007609C9">
        <w:tc>
          <w:tcPr>
            <w:tcW w:w="1145" w:type="dxa"/>
            <w:gridSpan w:val="2"/>
          </w:tcPr>
          <w:p w14:paraId="7AB7CBA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разведчиков</w:t>
            </w:r>
          </w:p>
        </w:tc>
        <w:tc>
          <w:tcPr>
            <w:tcW w:w="692" w:type="dxa"/>
          </w:tcPr>
          <w:p w14:paraId="780DE61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0" w:type="dxa"/>
          </w:tcPr>
          <w:p w14:paraId="4841FC5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26798D2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6" w:type="dxa"/>
          </w:tcPr>
          <w:p w14:paraId="202940A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3" w:type="dxa"/>
            <w:gridSpan w:val="2"/>
          </w:tcPr>
          <w:p w14:paraId="69A209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36" w:type="dxa"/>
          </w:tcPr>
          <w:p w14:paraId="0856547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67" w:type="dxa"/>
          </w:tcPr>
          <w:p w14:paraId="72F37A6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67" w:type="dxa"/>
          </w:tcPr>
          <w:p w14:paraId="01AB90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67" w:type="dxa"/>
          </w:tcPr>
          <w:p w14:paraId="2DC3B8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67" w:type="dxa"/>
          </w:tcPr>
          <w:p w14:paraId="48794BB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992" w:type="dxa"/>
          </w:tcPr>
          <w:p w14:paraId="705B107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8127F8" w:rsidRPr="008127F8" w14:paraId="30462925" w14:textId="77777777" w:rsidTr="007609C9">
        <w:tc>
          <w:tcPr>
            <w:tcW w:w="1145" w:type="dxa"/>
            <w:gridSpan w:val="2"/>
          </w:tcPr>
          <w:p w14:paraId="6048E34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боевых машин</w:t>
            </w:r>
          </w:p>
        </w:tc>
        <w:tc>
          <w:tcPr>
            <w:tcW w:w="692" w:type="dxa"/>
          </w:tcPr>
          <w:p w14:paraId="67448EA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990" w:type="dxa"/>
          </w:tcPr>
          <w:p w14:paraId="4C22B2A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456" w:type="dxa"/>
          </w:tcPr>
          <w:p w14:paraId="6A2BA94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556</w:t>
            </w:r>
          </w:p>
        </w:tc>
        <w:tc>
          <w:tcPr>
            <w:tcW w:w="456" w:type="dxa"/>
          </w:tcPr>
          <w:p w14:paraId="2809B3A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468</w:t>
            </w:r>
          </w:p>
        </w:tc>
        <w:tc>
          <w:tcPr>
            <w:tcW w:w="543" w:type="dxa"/>
            <w:gridSpan w:val="2"/>
          </w:tcPr>
          <w:p w14:paraId="173DE3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w:t>
            </w:r>
          </w:p>
        </w:tc>
        <w:tc>
          <w:tcPr>
            <w:tcW w:w="536" w:type="dxa"/>
          </w:tcPr>
          <w:p w14:paraId="3C51BEA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1597</w:t>
            </w:r>
          </w:p>
        </w:tc>
        <w:tc>
          <w:tcPr>
            <w:tcW w:w="567" w:type="dxa"/>
          </w:tcPr>
          <w:p w14:paraId="270AC9A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730</w:t>
            </w:r>
          </w:p>
        </w:tc>
        <w:tc>
          <w:tcPr>
            <w:tcW w:w="567" w:type="dxa"/>
          </w:tcPr>
          <w:p w14:paraId="63E6069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w:t>
            </w:r>
          </w:p>
        </w:tc>
        <w:tc>
          <w:tcPr>
            <w:tcW w:w="567" w:type="dxa"/>
          </w:tcPr>
          <w:p w14:paraId="0A97DEA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1407</w:t>
            </w:r>
          </w:p>
        </w:tc>
        <w:tc>
          <w:tcPr>
            <w:tcW w:w="567" w:type="dxa"/>
          </w:tcPr>
          <w:p w14:paraId="7F45293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2533</w:t>
            </w:r>
          </w:p>
        </w:tc>
        <w:tc>
          <w:tcPr>
            <w:tcW w:w="992" w:type="dxa"/>
          </w:tcPr>
          <w:p w14:paraId="1B4B3BE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4130</w:t>
            </w:r>
          </w:p>
        </w:tc>
      </w:tr>
    </w:tbl>
    <w:p w14:paraId="0EA53F9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(Продолжение таблицы - правая сторона. - Сост.)</w:t>
      </w:r>
    </w:p>
    <w:tbl>
      <w:tblPr>
        <w:tblW w:w="0" w:type="auto"/>
        <w:tblLook w:val="04A0" w:firstRow="1" w:lastRow="0" w:firstColumn="1" w:lastColumn="0" w:noHBand="0" w:noVBand="1"/>
      </w:tblPr>
      <w:tblGrid>
        <w:gridCol w:w="1139"/>
        <w:gridCol w:w="687"/>
        <w:gridCol w:w="700"/>
        <w:gridCol w:w="670"/>
        <w:gridCol w:w="685"/>
        <w:gridCol w:w="685"/>
        <w:gridCol w:w="685"/>
        <w:gridCol w:w="670"/>
        <w:gridCol w:w="670"/>
        <w:gridCol w:w="670"/>
        <w:gridCol w:w="685"/>
        <w:gridCol w:w="692"/>
        <w:gridCol w:w="707"/>
      </w:tblGrid>
      <w:tr w:rsidR="008127F8" w:rsidRPr="008127F8" w14:paraId="4748B63B" w14:textId="77777777" w:rsidTr="007609C9">
        <w:tc>
          <w:tcPr>
            <w:tcW w:w="1139" w:type="dxa"/>
          </w:tcPr>
          <w:p w14:paraId="7484705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  изделия</w:t>
            </w:r>
          </w:p>
        </w:tc>
        <w:tc>
          <w:tcPr>
            <w:tcW w:w="687" w:type="dxa"/>
          </w:tcPr>
          <w:p w14:paraId="17D5E1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roofErr w:type="gramStart"/>
            <w:r w:rsidRPr="008127F8">
              <w:rPr>
                <w:rFonts w:ascii="Times New Roman" w:hAnsi="Times New Roman"/>
                <w:color w:val="000000" w:themeColor="text1"/>
                <w:sz w:val="16"/>
                <w:szCs w:val="16"/>
              </w:rPr>
              <w:t>№  заво</w:t>
            </w:r>
            <w:proofErr w:type="gramEnd"/>
            <w:r w:rsidRPr="008127F8">
              <w:rPr>
                <w:rFonts w:ascii="Times New Roman" w:hAnsi="Times New Roman"/>
                <w:color w:val="000000" w:themeColor="text1"/>
                <w:sz w:val="16"/>
                <w:szCs w:val="16"/>
              </w:rPr>
              <w:t>-  да</w:t>
            </w:r>
          </w:p>
        </w:tc>
        <w:tc>
          <w:tcPr>
            <w:tcW w:w="700" w:type="dxa"/>
          </w:tcPr>
          <w:p w14:paraId="0327222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w:t>
            </w:r>
            <w:proofErr w:type="gramStart"/>
            <w:r w:rsidRPr="008127F8">
              <w:rPr>
                <w:rFonts w:ascii="Times New Roman" w:hAnsi="Times New Roman"/>
                <w:color w:val="000000" w:themeColor="text1"/>
                <w:sz w:val="16"/>
                <w:szCs w:val="16"/>
              </w:rPr>
              <w:t>-  зате</w:t>
            </w:r>
            <w:proofErr w:type="gramEnd"/>
            <w:r w:rsidRPr="008127F8">
              <w:rPr>
                <w:rFonts w:ascii="Times New Roman" w:hAnsi="Times New Roman"/>
                <w:color w:val="000000" w:themeColor="text1"/>
                <w:sz w:val="16"/>
                <w:szCs w:val="16"/>
              </w:rPr>
              <w:t>-  ли</w:t>
            </w:r>
          </w:p>
        </w:tc>
        <w:tc>
          <w:tcPr>
            <w:tcW w:w="670" w:type="dxa"/>
          </w:tcPr>
          <w:p w14:paraId="0F565D7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VII</w:t>
            </w:r>
          </w:p>
        </w:tc>
        <w:tc>
          <w:tcPr>
            <w:tcW w:w="685" w:type="dxa"/>
          </w:tcPr>
          <w:p w14:paraId="7F4C0DD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VIII</w:t>
            </w:r>
          </w:p>
        </w:tc>
        <w:tc>
          <w:tcPr>
            <w:tcW w:w="685" w:type="dxa"/>
          </w:tcPr>
          <w:p w14:paraId="23BB2A9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IX</w:t>
            </w:r>
          </w:p>
        </w:tc>
        <w:tc>
          <w:tcPr>
            <w:tcW w:w="685" w:type="dxa"/>
          </w:tcPr>
          <w:p w14:paraId="5E5E0C6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кв.</w:t>
            </w:r>
          </w:p>
        </w:tc>
        <w:tc>
          <w:tcPr>
            <w:tcW w:w="670" w:type="dxa"/>
          </w:tcPr>
          <w:p w14:paraId="590F40B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X</w:t>
            </w:r>
          </w:p>
        </w:tc>
        <w:tc>
          <w:tcPr>
            <w:tcW w:w="670" w:type="dxa"/>
          </w:tcPr>
          <w:p w14:paraId="39333A4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XI</w:t>
            </w:r>
          </w:p>
        </w:tc>
        <w:tc>
          <w:tcPr>
            <w:tcW w:w="670" w:type="dxa"/>
          </w:tcPr>
          <w:p w14:paraId="7D5052D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XII</w:t>
            </w:r>
          </w:p>
        </w:tc>
        <w:tc>
          <w:tcPr>
            <w:tcW w:w="685" w:type="dxa"/>
          </w:tcPr>
          <w:p w14:paraId="0D861AA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кв.</w:t>
            </w:r>
          </w:p>
        </w:tc>
        <w:tc>
          <w:tcPr>
            <w:tcW w:w="692" w:type="dxa"/>
          </w:tcPr>
          <w:p w14:paraId="6CB8725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II </w:t>
            </w:r>
            <w:proofErr w:type="gramStart"/>
            <w:r w:rsidRPr="008127F8">
              <w:rPr>
                <w:rFonts w:ascii="Times New Roman" w:hAnsi="Times New Roman"/>
                <w:color w:val="000000" w:themeColor="text1"/>
                <w:sz w:val="16"/>
                <w:szCs w:val="16"/>
              </w:rPr>
              <w:t>по- луго- дие</w:t>
            </w:r>
            <w:proofErr w:type="gramEnd"/>
          </w:p>
        </w:tc>
        <w:tc>
          <w:tcPr>
            <w:tcW w:w="707" w:type="dxa"/>
          </w:tcPr>
          <w:p w14:paraId="7B0699D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w:t>
            </w:r>
          </w:p>
        </w:tc>
      </w:tr>
      <w:tr w:rsidR="008127F8" w:rsidRPr="008127F8" w14:paraId="2E0C1F5E" w14:textId="77777777" w:rsidTr="007609C9">
        <w:tc>
          <w:tcPr>
            <w:tcW w:w="1139" w:type="dxa"/>
          </w:tcPr>
          <w:p w14:paraId="4B83C94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7" w:type="dxa"/>
          </w:tcPr>
          <w:p w14:paraId="19CD8C7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700" w:type="dxa"/>
          </w:tcPr>
          <w:p w14:paraId="7D91E1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70" w:type="dxa"/>
          </w:tcPr>
          <w:p w14:paraId="6087E7B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5" w:type="dxa"/>
          </w:tcPr>
          <w:p w14:paraId="58D2635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85" w:type="dxa"/>
          </w:tcPr>
          <w:p w14:paraId="1A39584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5" w:type="dxa"/>
          </w:tcPr>
          <w:p w14:paraId="24FD19B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670" w:type="dxa"/>
          </w:tcPr>
          <w:p w14:paraId="1CD0BE4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670" w:type="dxa"/>
          </w:tcPr>
          <w:p w14:paraId="0F215FA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670" w:type="dxa"/>
          </w:tcPr>
          <w:p w14:paraId="0E5E33D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685" w:type="dxa"/>
          </w:tcPr>
          <w:p w14:paraId="4EF6F00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692" w:type="dxa"/>
          </w:tcPr>
          <w:p w14:paraId="7264311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707" w:type="dxa"/>
          </w:tcPr>
          <w:p w14:paraId="08BBF75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r w:rsidR="008127F8" w:rsidRPr="008127F8" w14:paraId="57884492" w14:textId="77777777" w:rsidTr="007609C9">
        <w:tc>
          <w:tcPr>
            <w:tcW w:w="1139" w:type="dxa"/>
          </w:tcPr>
          <w:p w14:paraId="221C286D"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Истребители  МИГ</w:t>
            </w:r>
            <w:proofErr w:type="gramEnd"/>
            <w:r w:rsidRPr="008127F8">
              <w:rPr>
                <w:rFonts w:ascii="Times New Roman" w:hAnsi="Times New Roman"/>
                <w:color w:val="000000" w:themeColor="text1"/>
                <w:sz w:val="16"/>
                <w:szCs w:val="16"/>
              </w:rPr>
              <w:t>-3 1</w:t>
            </w:r>
          </w:p>
        </w:tc>
        <w:tc>
          <w:tcPr>
            <w:tcW w:w="687" w:type="dxa"/>
          </w:tcPr>
          <w:p w14:paraId="2D4797D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0" w:type="dxa"/>
          </w:tcPr>
          <w:p w14:paraId="2E980BF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c>
          <w:tcPr>
            <w:tcW w:w="670" w:type="dxa"/>
          </w:tcPr>
          <w:p w14:paraId="1A0EB5F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w:t>
            </w:r>
          </w:p>
        </w:tc>
        <w:tc>
          <w:tcPr>
            <w:tcW w:w="685" w:type="dxa"/>
          </w:tcPr>
          <w:p w14:paraId="41671B3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562</w:t>
            </w:r>
          </w:p>
        </w:tc>
        <w:tc>
          <w:tcPr>
            <w:tcW w:w="685" w:type="dxa"/>
          </w:tcPr>
          <w:p w14:paraId="2B8C1B6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685" w:type="dxa"/>
          </w:tcPr>
          <w:p w14:paraId="3904BD2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1508</w:t>
            </w:r>
          </w:p>
        </w:tc>
        <w:tc>
          <w:tcPr>
            <w:tcW w:w="670" w:type="dxa"/>
          </w:tcPr>
          <w:p w14:paraId="05DA310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w:t>
            </w:r>
          </w:p>
        </w:tc>
        <w:tc>
          <w:tcPr>
            <w:tcW w:w="670" w:type="dxa"/>
          </w:tcPr>
          <w:p w14:paraId="1E96BC0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70" w:type="dxa"/>
          </w:tcPr>
          <w:p w14:paraId="17B8D32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685" w:type="dxa"/>
          </w:tcPr>
          <w:p w14:paraId="288A55B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229</w:t>
            </w:r>
          </w:p>
        </w:tc>
        <w:tc>
          <w:tcPr>
            <w:tcW w:w="692" w:type="dxa"/>
          </w:tcPr>
          <w:p w14:paraId="5E081F2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1737</w:t>
            </w:r>
          </w:p>
        </w:tc>
        <w:tc>
          <w:tcPr>
            <w:tcW w:w="707" w:type="dxa"/>
          </w:tcPr>
          <w:p w14:paraId="78A11AA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3100</w:t>
            </w:r>
          </w:p>
        </w:tc>
      </w:tr>
      <w:tr w:rsidR="008127F8" w:rsidRPr="008127F8" w14:paraId="566B89D6" w14:textId="77777777" w:rsidTr="007609C9">
        <w:tc>
          <w:tcPr>
            <w:tcW w:w="1139" w:type="dxa"/>
          </w:tcPr>
          <w:p w14:paraId="21BB6F0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И-153</w:t>
            </w:r>
          </w:p>
        </w:tc>
        <w:tc>
          <w:tcPr>
            <w:tcW w:w="687" w:type="dxa"/>
          </w:tcPr>
          <w:p w14:paraId="2E9F3F2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00" w:type="dxa"/>
          </w:tcPr>
          <w:p w14:paraId="2E468C51"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6381CE6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05D80A2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4C095D1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1E462C8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05270EB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466C238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3D9BA97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17C20A2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2" w:type="dxa"/>
          </w:tcPr>
          <w:p w14:paraId="0A0B9F8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7" w:type="dxa"/>
          </w:tcPr>
          <w:p w14:paraId="7AF2F9F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r>
      <w:tr w:rsidR="008127F8" w:rsidRPr="008127F8" w14:paraId="600BCF38" w14:textId="77777777" w:rsidTr="007609C9">
        <w:tc>
          <w:tcPr>
            <w:tcW w:w="1139" w:type="dxa"/>
          </w:tcPr>
          <w:p w14:paraId="7693B72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87" w:type="dxa"/>
          </w:tcPr>
          <w:p w14:paraId="1BE70A6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700" w:type="dxa"/>
          </w:tcPr>
          <w:p w14:paraId="0987996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321468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685" w:type="dxa"/>
          </w:tcPr>
          <w:p w14:paraId="53EA479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685" w:type="dxa"/>
          </w:tcPr>
          <w:p w14:paraId="5DC97B1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685" w:type="dxa"/>
          </w:tcPr>
          <w:p w14:paraId="1585132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670" w:type="dxa"/>
          </w:tcPr>
          <w:p w14:paraId="2D3B9BA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62D008A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61E8A91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35AC8B1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92" w:type="dxa"/>
          </w:tcPr>
          <w:p w14:paraId="3760A4C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707" w:type="dxa"/>
          </w:tcPr>
          <w:p w14:paraId="119D71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r>
      <w:tr w:rsidR="008127F8" w:rsidRPr="008127F8" w14:paraId="0D8FA4F0" w14:textId="77777777" w:rsidTr="007609C9">
        <w:tc>
          <w:tcPr>
            <w:tcW w:w="1139" w:type="dxa"/>
          </w:tcPr>
          <w:p w14:paraId="40198B8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И-16</w:t>
            </w:r>
          </w:p>
        </w:tc>
        <w:tc>
          <w:tcPr>
            <w:tcW w:w="687" w:type="dxa"/>
          </w:tcPr>
          <w:p w14:paraId="2F0BBC3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700" w:type="dxa"/>
          </w:tcPr>
          <w:p w14:paraId="7040B74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7DC470E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742BC0F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4D9640A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183B5C2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384B05F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31304DE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2529CF8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500BD08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2" w:type="dxa"/>
          </w:tcPr>
          <w:p w14:paraId="704C8EE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7" w:type="dxa"/>
          </w:tcPr>
          <w:p w14:paraId="44124FE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r>
      <w:tr w:rsidR="008127F8" w:rsidRPr="008127F8" w14:paraId="69286DF4" w14:textId="77777777" w:rsidTr="007609C9">
        <w:tc>
          <w:tcPr>
            <w:tcW w:w="1139" w:type="dxa"/>
          </w:tcPr>
          <w:p w14:paraId="5AB74D2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ЛАГГ-3</w:t>
            </w:r>
          </w:p>
        </w:tc>
        <w:tc>
          <w:tcPr>
            <w:tcW w:w="687" w:type="dxa"/>
          </w:tcPr>
          <w:p w14:paraId="4516987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700" w:type="dxa"/>
          </w:tcPr>
          <w:p w14:paraId="0EE41740"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5F5CBC0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685" w:type="dxa"/>
          </w:tcPr>
          <w:p w14:paraId="03A73BB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685" w:type="dxa"/>
          </w:tcPr>
          <w:p w14:paraId="41AA415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685" w:type="dxa"/>
          </w:tcPr>
          <w:p w14:paraId="3B9924A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w:t>
            </w:r>
          </w:p>
        </w:tc>
        <w:tc>
          <w:tcPr>
            <w:tcW w:w="670" w:type="dxa"/>
          </w:tcPr>
          <w:p w14:paraId="7D20258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670" w:type="dxa"/>
          </w:tcPr>
          <w:p w14:paraId="554BDC5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70" w:type="dxa"/>
          </w:tcPr>
          <w:p w14:paraId="5A50057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685" w:type="dxa"/>
          </w:tcPr>
          <w:p w14:paraId="4AED76C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692" w:type="dxa"/>
          </w:tcPr>
          <w:p w14:paraId="12F16E2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385</w:t>
            </w:r>
          </w:p>
        </w:tc>
        <w:tc>
          <w:tcPr>
            <w:tcW w:w="707" w:type="dxa"/>
          </w:tcPr>
          <w:p w14:paraId="531BB62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w:t>
            </w:r>
          </w:p>
        </w:tc>
      </w:tr>
      <w:tr w:rsidR="008127F8" w:rsidRPr="008127F8" w14:paraId="218D0CCE" w14:textId="77777777" w:rsidTr="007609C9">
        <w:tc>
          <w:tcPr>
            <w:tcW w:w="1139" w:type="dxa"/>
          </w:tcPr>
          <w:p w14:paraId="4F0F1DC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87" w:type="dxa"/>
          </w:tcPr>
          <w:p w14:paraId="11F649F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700" w:type="dxa"/>
          </w:tcPr>
          <w:p w14:paraId="30804712"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44335C2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685" w:type="dxa"/>
          </w:tcPr>
          <w:p w14:paraId="0163EDA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685" w:type="dxa"/>
          </w:tcPr>
          <w:p w14:paraId="71A03E0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w:t>
            </w:r>
          </w:p>
        </w:tc>
        <w:tc>
          <w:tcPr>
            <w:tcW w:w="685" w:type="dxa"/>
          </w:tcPr>
          <w:p w14:paraId="2B78C57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670" w:type="dxa"/>
          </w:tcPr>
          <w:p w14:paraId="533C8F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670" w:type="dxa"/>
          </w:tcPr>
          <w:p w14:paraId="55487BE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670" w:type="dxa"/>
          </w:tcPr>
          <w:p w14:paraId="58C61DC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w:t>
            </w:r>
          </w:p>
        </w:tc>
        <w:tc>
          <w:tcPr>
            <w:tcW w:w="685" w:type="dxa"/>
          </w:tcPr>
          <w:p w14:paraId="4370C1A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441</w:t>
            </w:r>
          </w:p>
        </w:tc>
        <w:tc>
          <w:tcPr>
            <w:tcW w:w="692" w:type="dxa"/>
          </w:tcPr>
          <w:p w14:paraId="57C2925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894</w:t>
            </w:r>
          </w:p>
        </w:tc>
        <w:tc>
          <w:tcPr>
            <w:tcW w:w="707" w:type="dxa"/>
          </w:tcPr>
          <w:p w14:paraId="5E73F50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1212</w:t>
            </w:r>
          </w:p>
        </w:tc>
      </w:tr>
      <w:tr w:rsidR="008127F8" w:rsidRPr="008127F8" w14:paraId="210D6F8C" w14:textId="77777777" w:rsidTr="007609C9">
        <w:tc>
          <w:tcPr>
            <w:tcW w:w="1139" w:type="dxa"/>
          </w:tcPr>
          <w:p w14:paraId="3B30F1D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87" w:type="dxa"/>
          </w:tcPr>
          <w:p w14:paraId="5FBA5EA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700" w:type="dxa"/>
          </w:tcPr>
          <w:p w14:paraId="0BCE2A8D"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7F431CB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4CB0985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2DD19DD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685" w:type="dxa"/>
          </w:tcPr>
          <w:p w14:paraId="5DA055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670" w:type="dxa"/>
          </w:tcPr>
          <w:p w14:paraId="6AEBFD2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70" w:type="dxa"/>
          </w:tcPr>
          <w:p w14:paraId="7A5AF5A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0E8E6AD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08A4D6D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92" w:type="dxa"/>
          </w:tcPr>
          <w:p w14:paraId="36D2430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707" w:type="dxa"/>
          </w:tcPr>
          <w:p w14:paraId="3B615BD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w:t>
            </w:r>
          </w:p>
        </w:tc>
      </w:tr>
      <w:tr w:rsidR="008127F8" w:rsidRPr="008127F8" w14:paraId="672B7E18" w14:textId="77777777" w:rsidTr="007609C9">
        <w:tc>
          <w:tcPr>
            <w:tcW w:w="1139" w:type="dxa"/>
          </w:tcPr>
          <w:p w14:paraId="1B7D0D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И-16</w:t>
            </w:r>
          </w:p>
        </w:tc>
        <w:tc>
          <w:tcPr>
            <w:tcW w:w="687" w:type="dxa"/>
          </w:tcPr>
          <w:p w14:paraId="278BFC3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700" w:type="dxa"/>
          </w:tcPr>
          <w:p w14:paraId="4056950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54A0145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1C3955E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5EA141E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6B6A239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61E44E8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0EA5F98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10633B8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49EFE22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2" w:type="dxa"/>
          </w:tcPr>
          <w:p w14:paraId="12C3641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7" w:type="dxa"/>
          </w:tcPr>
          <w:p w14:paraId="6CE34DC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r>
      <w:tr w:rsidR="008127F8" w:rsidRPr="008127F8" w14:paraId="7AB63475" w14:textId="77777777" w:rsidTr="007609C9">
        <w:tc>
          <w:tcPr>
            <w:tcW w:w="1139" w:type="dxa"/>
          </w:tcPr>
          <w:p w14:paraId="0A913E8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687" w:type="dxa"/>
          </w:tcPr>
          <w:p w14:paraId="01198D4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700" w:type="dxa"/>
          </w:tcPr>
          <w:p w14:paraId="4C4D9F6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58E91E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5" w:type="dxa"/>
          </w:tcPr>
          <w:p w14:paraId="02485D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685" w:type="dxa"/>
          </w:tcPr>
          <w:p w14:paraId="2D350A1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685" w:type="dxa"/>
          </w:tcPr>
          <w:p w14:paraId="66D213D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670" w:type="dxa"/>
          </w:tcPr>
          <w:p w14:paraId="2450020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670" w:type="dxa"/>
          </w:tcPr>
          <w:p w14:paraId="2C69FDF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670" w:type="dxa"/>
          </w:tcPr>
          <w:p w14:paraId="793FB9A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c>
          <w:tcPr>
            <w:tcW w:w="685" w:type="dxa"/>
          </w:tcPr>
          <w:p w14:paraId="1CC210D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692" w:type="dxa"/>
          </w:tcPr>
          <w:p w14:paraId="5C0DB5F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c>
          <w:tcPr>
            <w:tcW w:w="707" w:type="dxa"/>
          </w:tcPr>
          <w:p w14:paraId="150BA49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r>
      <w:tr w:rsidR="008127F8" w:rsidRPr="008127F8" w14:paraId="3BE5E864" w14:textId="77777777" w:rsidTr="007609C9">
        <w:tc>
          <w:tcPr>
            <w:tcW w:w="1139" w:type="dxa"/>
          </w:tcPr>
          <w:p w14:paraId="3B07532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ПЕ-3</w:t>
            </w:r>
          </w:p>
        </w:tc>
        <w:tc>
          <w:tcPr>
            <w:tcW w:w="687" w:type="dxa"/>
          </w:tcPr>
          <w:p w14:paraId="230DF9A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700" w:type="dxa"/>
          </w:tcPr>
          <w:p w14:paraId="6A303B03"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5754C1C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699AA1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685" w:type="dxa"/>
          </w:tcPr>
          <w:p w14:paraId="6C21143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685" w:type="dxa"/>
          </w:tcPr>
          <w:p w14:paraId="4C11471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w:t>
            </w:r>
          </w:p>
        </w:tc>
        <w:tc>
          <w:tcPr>
            <w:tcW w:w="670" w:type="dxa"/>
          </w:tcPr>
          <w:p w14:paraId="4DE01CE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670" w:type="dxa"/>
          </w:tcPr>
          <w:p w14:paraId="29C2DAC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3350225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24415A5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692" w:type="dxa"/>
          </w:tcPr>
          <w:p w14:paraId="7A3378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w:t>
            </w:r>
          </w:p>
        </w:tc>
        <w:tc>
          <w:tcPr>
            <w:tcW w:w="707" w:type="dxa"/>
          </w:tcPr>
          <w:p w14:paraId="23923AC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w:t>
            </w:r>
          </w:p>
        </w:tc>
      </w:tr>
      <w:tr w:rsidR="008127F8" w:rsidRPr="008127F8" w14:paraId="7750664D" w14:textId="77777777" w:rsidTr="007609C9">
        <w:tc>
          <w:tcPr>
            <w:tcW w:w="1139" w:type="dxa"/>
          </w:tcPr>
          <w:p w14:paraId="7E11271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И-21</w:t>
            </w:r>
          </w:p>
        </w:tc>
        <w:tc>
          <w:tcPr>
            <w:tcW w:w="687" w:type="dxa"/>
          </w:tcPr>
          <w:p w14:paraId="731539E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700" w:type="dxa"/>
          </w:tcPr>
          <w:p w14:paraId="105B34B4"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1601928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555EA37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2AB24AC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5" w:type="dxa"/>
          </w:tcPr>
          <w:p w14:paraId="14EB646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70" w:type="dxa"/>
          </w:tcPr>
          <w:p w14:paraId="2577680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70DFDA7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56CD115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5" w:type="dxa"/>
          </w:tcPr>
          <w:p w14:paraId="141E6E0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2" w:type="dxa"/>
          </w:tcPr>
          <w:p w14:paraId="6E6ECF7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07" w:type="dxa"/>
          </w:tcPr>
          <w:p w14:paraId="2C19DD6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roofErr w:type="gramStart"/>
            <w:r w:rsidRPr="008127F8">
              <w:rPr>
                <w:rFonts w:ascii="Times New Roman" w:hAnsi="Times New Roman"/>
                <w:color w:val="000000" w:themeColor="text1"/>
                <w:sz w:val="16"/>
                <w:szCs w:val="16"/>
              </w:rPr>
              <w:t>отне- сено</w:t>
            </w:r>
            <w:proofErr w:type="gramEnd"/>
            <w:r w:rsidRPr="008127F8">
              <w:rPr>
                <w:rFonts w:ascii="Times New Roman" w:hAnsi="Times New Roman"/>
                <w:color w:val="000000" w:themeColor="text1"/>
                <w:sz w:val="16"/>
                <w:szCs w:val="16"/>
              </w:rPr>
              <w:t xml:space="preserve"> к бомб.) 1</w:t>
            </w:r>
          </w:p>
        </w:tc>
      </w:tr>
      <w:tr w:rsidR="008127F8" w:rsidRPr="008127F8" w14:paraId="2B947FBA" w14:textId="77777777" w:rsidTr="007609C9">
        <w:tc>
          <w:tcPr>
            <w:tcW w:w="1139" w:type="dxa"/>
          </w:tcPr>
          <w:p w14:paraId="627191A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687" w:type="dxa"/>
          </w:tcPr>
          <w:p w14:paraId="39EDB34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700" w:type="dxa"/>
          </w:tcPr>
          <w:p w14:paraId="6F0344B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70" w:type="dxa"/>
          </w:tcPr>
          <w:p w14:paraId="6B701AD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46C2756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2D1F05C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5" w:type="dxa"/>
          </w:tcPr>
          <w:p w14:paraId="1A2C70F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35F681E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4CE17FE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0" w:type="dxa"/>
          </w:tcPr>
          <w:p w14:paraId="01F3F79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85" w:type="dxa"/>
          </w:tcPr>
          <w:p w14:paraId="076D2FD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92" w:type="dxa"/>
          </w:tcPr>
          <w:p w14:paraId="02D0635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707" w:type="dxa"/>
          </w:tcPr>
          <w:p w14:paraId="0F7F8EC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r>
      <w:tr w:rsidR="008127F8" w:rsidRPr="008127F8" w14:paraId="3C1DC801" w14:textId="77777777" w:rsidTr="007609C9">
        <w:tc>
          <w:tcPr>
            <w:tcW w:w="1139" w:type="dxa"/>
          </w:tcPr>
          <w:p w14:paraId="7AF4BE91"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Итого  истребителей</w:t>
            </w:r>
            <w:proofErr w:type="gramEnd"/>
          </w:p>
        </w:tc>
        <w:tc>
          <w:tcPr>
            <w:tcW w:w="687" w:type="dxa"/>
          </w:tcPr>
          <w:p w14:paraId="1A3FB55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0" w:type="dxa"/>
          </w:tcPr>
          <w:p w14:paraId="191C9D6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tc>
        <w:tc>
          <w:tcPr>
            <w:tcW w:w="670" w:type="dxa"/>
          </w:tcPr>
          <w:p w14:paraId="79CF473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887</w:t>
            </w:r>
          </w:p>
        </w:tc>
        <w:tc>
          <w:tcPr>
            <w:tcW w:w="685" w:type="dxa"/>
          </w:tcPr>
          <w:p w14:paraId="1FECF2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1118</w:t>
            </w:r>
          </w:p>
        </w:tc>
        <w:tc>
          <w:tcPr>
            <w:tcW w:w="685" w:type="dxa"/>
          </w:tcPr>
          <w:p w14:paraId="60260ED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1229</w:t>
            </w:r>
          </w:p>
        </w:tc>
        <w:tc>
          <w:tcPr>
            <w:tcW w:w="685" w:type="dxa"/>
          </w:tcPr>
          <w:p w14:paraId="2F1438F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3234</w:t>
            </w:r>
          </w:p>
        </w:tc>
        <w:tc>
          <w:tcPr>
            <w:tcW w:w="670" w:type="dxa"/>
          </w:tcPr>
          <w:p w14:paraId="35D9C33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878</w:t>
            </w:r>
          </w:p>
        </w:tc>
        <w:tc>
          <w:tcPr>
            <w:tcW w:w="670" w:type="dxa"/>
          </w:tcPr>
          <w:p w14:paraId="7E2379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394</w:t>
            </w:r>
          </w:p>
        </w:tc>
        <w:tc>
          <w:tcPr>
            <w:tcW w:w="670" w:type="dxa"/>
          </w:tcPr>
          <w:p w14:paraId="31E8315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w:t>
            </w:r>
          </w:p>
        </w:tc>
        <w:tc>
          <w:tcPr>
            <w:tcW w:w="685" w:type="dxa"/>
          </w:tcPr>
          <w:p w14:paraId="33BA421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1793</w:t>
            </w:r>
          </w:p>
        </w:tc>
        <w:tc>
          <w:tcPr>
            <w:tcW w:w="692" w:type="dxa"/>
          </w:tcPr>
          <w:p w14:paraId="0B86DBA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5027</w:t>
            </w:r>
          </w:p>
        </w:tc>
        <w:tc>
          <w:tcPr>
            <w:tcW w:w="707" w:type="dxa"/>
          </w:tcPr>
          <w:p w14:paraId="4FA65BD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7277  (</w:t>
            </w:r>
            <w:proofErr w:type="gramEnd"/>
            <w:r w:rsidRPr="008127F8">
              <w:rPr>
                <w:rFonts w:ascii="Times New Roman" w:hAnsi="Times New Roman"/>
                <w:color w:val="000000" w:themeColor="text1"/>
                <w:sz w:val="16"/>
                <w:szCs w:val="16"/>
              </w:rPr>
              <w:t>7081)</w:t>
            </w:r>
          </w:p>
        </w:tc>
      </w:tr>
    </w:tbl>
    <w:p w14:paraId="5D8EAF1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Бомбардировщики</w:t>
      </w:r>
    </w:p>
    <w:tbl>
      <w:tblPr>
        <w:tblW w:w="0" w:type="auto"/>
        <w:tblLook w:val="04A0" w:firstRow="1" w:lastRow="0" w:firstColumn="1" w:lastColumn="0" w:noHBand="0" w:noVBand="1"/>
      </w:tblPr>
      <w:tblGrid>
        <w:gridCol w:w="1053"/>
        <w:gridCol w:w="687"/>
        <w:gridCol w:w="708"/>
        <w:gridCol w:w="688"/>
        <w:gridCol w:w="688"/>
        <w:gridCol w:w="688"/>
        <w:gridCol w:w="697"/>
        <w:gridCol w:w="688"/>
        <w:gridCol w:w="678"/>
        <w:gridCol w:w="688"/>
        <w:gridCol w:w="688"/>
        <w:gridCol w:w="697"/>
        <w:gridCol w:w="697"/>
      </w:tblGrid>
      <w:tr w:rsidR="008127F8" w:rsidRPr="008127F8" w14:paraId="6325E87D" w14:textId="77777777" w:rsidTr="007609C9">
        <w:tc>
          <w:tcPr>
            <w:tcW w:w="1053" w:type="dxa"/>
          </w:tcPr>
          <w:p w14:paraId="45E018A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87" w:type="dxa"/>
          </w:tcPr>
          <w:p w14:paraId="411F0FA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708" w:type="dxa"/>
          </w:tcPr>
          <w:p w14:paraId="5FA7F745"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49C5F3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183</w:t>
            </w:r>
          </w:p>
        </w:tc>
        <w:tc>
          <w:tcPr>
            <w:tcW w:w="688" w:type="dxa"/>
          </w:tcPr>
          <w:p w14:paraId="4A0BE88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201</w:t>
            </w:r>
          </w:p>
        </w:tc>
        <w:tc>
          <w:tcPr>
            <w:tcW w:w="688" w:type="dxa"/>
          </w:tcPr>
          <w:p w14:paraId="45E4C38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w:t>
            </w:r>
          </w:p>
        </w:tc>
        <w:tc>
          <w:tcPr>
            <w:tcW w:w="697" w:type="dxa"/>
          </w:tcPr>
          <w:p w14:paraId="742E2A9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617</w:t>
            </w:r>
          </w:p>
        </w:tc>
        <w:tc>
          <w:tcPr>
            <w:tcW w:w="688" w:type="dxa"/>
          </w:tcPr>
          <w:p w14:paraId="2A25028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w:t>
            </w:r>
          </w:p>
        </w:tc>
        <w:tc>
          <w:tcPr>
            <w:tcW w:w="678" w:type="dxa"/>
          </w:tcPr>
          <w:p w14:paraId="68DED1E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688" w:type="dxa"/>
          </w:tcPr>
          <w:p w14:paraId="4726809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688" w:type="dxa"/>
          </w:tcPr>
          <w:p w14:paraId="2B2061F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w:t>
            </w:r>
          </w:p>
        </w:tc>
        <w:tc>
          <w:tcPr>
            <w:tcW w:w="697" w:type="dxa"/>
          </w:tcPr>
          <w:p w14:paraId="145A5E2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801</w:t>
            </w:r>
          </w:p>
        </w:tc>
        <w:tc>
          <w:tcPr>
            <w:tcW w:w="697" w:type="dxa"/>
          </w:tcPr>
          <w:p w14:paraId="69D9C9F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w:t>
            </w:r>
          </w:p>
        </w:tc>
      </w:tr>
      <w:tr w:rsidR="008127F8" w:rsidRPr="008127F8" w14:paraId="7101EF82" w14:textId="77777777" w:rsidTr="007609C9">
        <w:tc>
          <w:tcPr>
            <w:tcW w:w="1053" w:type="dxa"/>
          </w:tcPr>
          <w:p w14:paraId="4054E27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АР-2</w:t>
            </w:r>
          </w:p>
        </w:tc>
        <w:tc>
          <w:tcPr>
            <w:tcW w:w="687" w:type="dxa"/>
          </w:tcPr>
          <w:p w14:paraId="1381E8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708" w:type="dxa"/>
          </w:tcPr>
          <w:p w14:paraId="79CF7878"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274D7C0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88" w:type="dxa"/>
          </w:tcPr>
          <w:p w14:paraId="629C93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BE3D47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5E5A021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88" w:type="dxa"/>
          </w:tcPr>
          <w:p w14:paraId="3E0EFCA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8" w:type="dxa"/>
          </w:tcPr>
          <w:p w14:paraId="60006E42"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0B92CC0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19A9A0D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1B8BA3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97" w:type="dxa"/>
          </w:tcPr>
          <w:p w14:paraId="5712382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w:t>
            </w:r>
          </w:p>
        </w:tc>
      </w:tr>
      <w:tr w:rsidR="008127F8" w:rsidRPr="008127F8" w14:paraId="77FAB412" w14:textId="77777777" w:rsidTr="007609C9">
        <w:tc>
          <w:tcPr>
            <w:tcW w:w="1053" w:type="dxa"/>
          </w:tcPr>
          <w:p w14:paraId="724E544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w:t>
            </w:r>
          </w:p>
        </w:tc>
        <w:tc>
          <w:tcPr>
            <w:tcW w:w="687" w:type="dxa"/>
          </w:tcPr>
          <w:p w14:paraId="4203D99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708" w:type="dxa"/>
          </w:tcPr>
          <w:p w14:paraId="28C07AA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7B2E6D5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8" w:type="dxa"/>
          </w:tcPr>
          <w:p w14:paraId="3F24F16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074CE33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2BB497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8" w:type="dxa"/>
          </w:tcPr>
          <w:p w14:paraId="4A18AB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8" w:type="dxa"/>
          </w:tcPr>
          <w:p w14:paraId="2F73A91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032BA79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3CC7F3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5DD99FA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97" w:type="dxa"/>
          </w:tcPr>
          <w:p w14:paraId="00CDF34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r>
      <w:tr w:rsidR="008127F8" w:rsidRPr="008127F8" w14:paraId="060D6267" w14:textId="77777777" w:rsidTr="007609C9">
        <w:tc>
          <w:tcPr>
            <w:tcW w:w="1053" w:type="dxa"/>
          </w:tcPr>
          <w:p w14:paraId="67DB091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87" w:type="dxa"/>
          </w:tcPr>
          <w:p w14:paraId="58F92BD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708" w:type="dxa"/>
          </w:tcPr>
          <w:p w14:paraId="6A13F1E8"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1A34357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688" w:type="dxa"/>
          </w:tcPr>
          <w:p w14:paraId="5FF3C41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688" w:type="dxa"/>
          </w:tcPr>
          <w:p w14:paraId="25B6602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6092873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688" w:type="dxa"/>
          </w:tcPr>
          <w:p w14:paraId="705914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8" w:type="dxa"/>
          </w:tcPr>
          <w:p w14:paraId="2484B5C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123F039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16797F5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4E16EB0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697" w:type="dxa"/>
          </w:tcPr>
          <w:p w14:paraId="6043046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w:t>
            </w:r>
          </w:p>
        </w:tc>
      </w:tr>
      <w:tr w:rsidR="008127F8" w:rsidRPr="008127F8" w14:paraId="60BF1DEC" w14:textId="77777777" w:rsidTr="007609C9">
        <w:tc>
          <w:tcPr>
            <w:tcW w:w="1053" w:type="dxa"/>
          </w:tcPr>
          <w:p w14:paraId="4A84C1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ДБ-Зф</w:t>
            </w:r>
          </w:p>
        </w:tc>
        <w:tc>
          <w:tcPr>
            <w:tcW w:w="687" w:type="dxa"/>
          </w:tcPr>
          <w:p w14:paraId="620486B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708" w:type="dxa"/>
          </w:tcPr>
          <w:p w14:paraId="62B0FCC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3ADE90D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8" w:type="dxa"/>
          </w:tcPr>
          <w:p w14:paraId="0767A8E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EC7781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7" w:type="dxa"/>
          </w:tcPr>
          <w:p w14:paraId="3557D45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0579E55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8" w:type="dxa"/>
          </w:tcPr>
          <w:p w14:paraId="306055B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7AC4DA7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6CFD0B2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42A1927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97" w:type="dxa"/>
          </w:tcPr>
          <w:p w14:paraId="4B7BA03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r>
      <w:tr w:rsidR="008127F8" w:rsidRPr="008127F8" w14:paraId="38571815" w14:textId="77777777" w:rsidTr="007609C9">
        <w:tc>
          <w:tcPr>
            <w:tcW w:w="1053" w:type="dxa"/>
          </w:tcPr>
          <w:p w14:paraId="1EEBD7C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687" w:type="dxa"/>
          </w:tcPr>
          <w:p w14:paraId="58C2B0F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708" w:type="dxa"/>
          </w:tcPr>
          <w:p w14:paraId="400C8166"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3ACCF55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c>
          <w:tcPr>
            <w:tcW w:w="688" w:type="dxa"/>
          </w:tcPr>
          <w:p w14:paraId="63EC78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w:t>
            </w:r>
          </w:p>
        </w:tc>
        <w:tc>
          <w:tcPr>
            <w:tcW w:w="688" w:type="dxa"/>
          </w:tcPr>
          <w:p w14:paraId="01C8361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c>
          <w:tcPr>
            <w:tcW w:w="697" w:type="dxa"/>
          </w:tcPr>
          <w:p w14:paraId="78CFF67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298</w:t>
            </w:r>
          </w:p>
        </w:tc>
        <w:tc>
          <w:tcPr>
            <w:tcW w:w="688" w:type="dxa"/>
          </w:tcPr>
          <w:p w14:paraId="5D2FBCA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78" w:type="dxa"/>
          </w:tcPr>
          <w:p w14:paraId="0B64454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0C2980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688" w:type="dxa"/>
          </w:tcPr>
          <w:p w14:paraId="644DFE5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697" w:type="dxa"/>
          </w:tcPr>
          <w:p w14:paraId="1F23D86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w:t>
            </w:r>
          </w:p>
        </w:tc>
        <w:tc>
          <w:tcPr>
            <w:tcW w:w="697" w:type="dxa"/>
          </w:tcPr>
          <w:p w14:paraId="3D31BE1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636</w:t>
            </w:r>
          </w:p>
        </w:tc>
      </w:tr>
      <w:tr w:rsidR="008127F8" w:rsidRPr="008127F8" w14:paraId="1739C043" w14:textId="77777777" w:rsidTr="007609C9">
        <w:tc>
          <w:tcPr>
            <w:tcW w:w="1053" w:type="dxa"/>
          </w:tcPr>
          <w:p w14:paraId="0043A44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687" w:type="dxa"/>
          </w:tcPr>
          <w:p w14:paraId="3E02696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708" w:type="dxa"/>
          </w:tcPr>
          <w:p w14:paraId="7D914E1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План</w:t>
            </w:r>
          </w:p>
        </w:tc>
        <w:tc>
          <w:tcPr>
            <w:tcW w:w="688" w:type="dxa"/>
          </w:tcPr>
          <w:p w14:paraId="4A6D6B6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688" w:type="dxa"/>
          </w:tcPr>
          <w:p w14:paraId="62BEE85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688" w:type="dxa"/>
          </w:tcPr>
          <w:p w14:paraId="50E5720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697" w:type="dxa"/>
          </w:tcPr>
          <w:p w14:paraId="0D55725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688" w:type="dxa"/>
          </w:tcPr>
          <w:p w14:paraId="2210DCC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8" w:type="dxa"/>
          </w:tcPr>
          <w:p w14:paraId="7BF2C8A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C09CE3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0F3922D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697" w:type="dxa"/>
          </w:tcPr>
          <w:p w14:paraId="1DFB876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697" w:type="dxa"/>
          </w:tcPr>
          <w:p w14:paraId="55862B5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tc>
      </w:tr>
      <w:tr w:rsidR="008127F8" w:rsidRPr="008127F8" w14:paraId="2D8319C3" w14:textId="77777777" w:rsidTr="007609C9">
        <w:tc>
          <w:tcPr>
            <w:tcW w:w="1053" w:type="dxa"/>
          </w:tcPr>
          <w:p w14:paraId="1D919665"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ЯК</w:t>
            </w:r>
            <w:r w:rsidRPr="008127F8">
              <w:rPr>
                <w:rFonts w:ascii="Times New Roman" w:hAnsi="Times New Roman"/>
                <w:color w:val="000000" w:themeColor="text1"/>
                <w:sz w:val="16"/>
                <w:szCs w:val="16"/>
                <w:lang w:val="en-US"/>
              </w:rPr>
              <w:t>-4</w:t>
            </w:r>
          </w:p>
        </w:tc>
        <w:tc>
          <w:tcPr>
            <w:tcW w:w="687" w:type="dxa"/>
          </w:tcPr>
          <w:p w14:paraId="7543622D"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81 -</w:t>
            </w:r>
          </w:p>
        </w:tc>
        <w:tc>
          <w:tcPr>
            <w:tcW w:w="708" w:type="dxa"/>
          </w:tcPr>
          <w:p w14:paraId="351A4F1C"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Отчет</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План</w:t>
            </w:r>
            <w:r w:rsidRPr="008127F8">
              <w:rPr>
                <w:rFonts w:ascii="Times New Roman" w:hAnsi="Times New Roman"/>
                <w:color w:val="000000" w:themeColor="text1"/>
                <w:sz w:val="16"/>
                <w:szCs w:val="16"/>
                <w:lang w:val="en-US"/>
              </w:rPr>
              <w:t xml:space="preserve"> </w:t>
            </w:r>
          </w:p>
        </w:tc>
        <w:tc>
          <w:tcPr>
            <w:tcW w:w="688" w:type="dxa"/>
          </w:tcPr>
          <w:p w14:paraId="4D59BB44"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w:t>
            </w:r>
          </w:p>
        </w:tc>
        <w:tc>
          <w:tcPr>
            <w:tcW w:w="688" w:type="dxa"/>
          </w:tcPr>
          <w:p w14:paraId="0671EE3B"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w:t>
            </w:r>
          </w:p>
        </w:tc>
        <w:tc>
          <w:tcPr>
            <w:tcW w:w="688" w:type="dxa"/>
          </w:tcPr>
          <w:p w14:paraId="5BCD0EB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64B9A485"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w:t>
            </w:r>
          </w:p>
        </w:tc>
        <w:tc>
          <w:tcPr>
            <w:tcW w:w="688" w:type="dxa"/>
          </w:tcPr>
          <w:p w14:paraId="40E964B3"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p>
        </w:tc>
        <w:tc>
          <w:tcPr>
            <w:tcW w:w="678" w:type="dxa"/>
          </w:tcPr>
          <w:p w14:paraId="54C8ED76"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p>
        </w:tc>
        <w:tc>
          <w:tcPr>
            <w:tcW w:w="688" w:type="dxa"/>
          </w:tcPr>
          <w:p w14:paraId="3B4A97D1"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p>
        </w:tc>
        <w:tc>
          <w:tcPr>
            <w:tcW w:w="688" w:type="dxa"/>
          </w:tcPr>
          <w:p w14:paraId="37AEFF7F"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p>
        </w:tc>
        <w:tc>
          <w:tcPr>
            <w:tcW w:w="697" w:type="dxa"/>
          </w:tcPr>
          <w:p w14:paraId="4F8C8B6B"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p>
        </w:tc>
        <w:tc>
          <w:tcPr>
            <w:tcW w:w="697" w:type="dxa"/>
          </w:tcPr>
          <w:p w14:paraId="5DCD715E" w14:textId="77777777" w:rsidR="000D0B36" w:rsidRPr="008127F8" w:rsidRDefault="000D0B36"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63</w:t>
            </w:r>
          </w:p>
        </w:tc>
      </w:tr>
      <w:tr w:rsidR="008127F8" w:rsidRPr="008127F8" w14:paraId="4FC6B908" w14:textId="77777777" w:rsidTr="007609C9">
        <w:tc>
          <w:tcPr>
            <w:tcW w:w="1053" w:type="dxa"/>
          </w:tcPr>
          <w:p w14:paraId="198015E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ДБ-Зф</w:t>
            </w:r>
          </w:p>
        </w:tc>
        <w:tc>
          <w:tcPr>
            <w:tcW w:w="687" w:type="dxa"/>
          </w:tcPr>
          <w:p w14:paraId="61D5CE8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708" w:type="dxa"/>
          </w:tcPr>
          <w:p w14:paraId="62612267"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4371B1F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8" w:type="dxa"/>
          </w:tcPr>
          <w:p w14:paraId="7BC4534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35BC884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7" w:type="dxa"/>
          </w:tcPr>
          <w:p w14:paraId="1CC463B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8" w:type="dxa"/>
          </w:tcPr>
          <w:p w14:paraId="3531E9C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78" w:type="dxa"/>
          </w:tcPr>
          <w:p w14:paraId="56E234A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3F0B082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25452C1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97" w:type="dxa"/>
          </w:tcPr>
          <w:p w14:paraId="69BA543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697" w:type="dxa"/>
          </w:tcPr>
          <w:p w14:paraId="2C3D893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r>
      <w:tr w:rsidR="008127F8" w:rsidRPr="008127F8" w14:paraId="056F1F4F" w14:textId="77777777" w:rsidTr="007609C9">
        <w:tc>
          <w:tcPr>
            <w:tcW w:w="1053" w:type="dxa"/>
          </w:tcPr>
          <w:p w14:paraId="15B559E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ЕР-2</w:t>
            </w:r>
          </w:p>
        </w:tc>
        <w:tc>
          <w:tcPr>
            <w:tcW w:w="687" w:type="dxa"/>
          </w:tcPr>
          <w:p w14:paraId="6945A46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708" w:type="dxa"/>
          </w:tcPr>
          <w:p w14:paraId="2FC15FA2"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287E9DA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688" w:type="dxa"/>
          </w:tcPr>
          <w:p w14:paraId="1C71B97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51E43EB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3C4655A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688" w:type="dxa"/>
          </w:tcPr>
          <w:p w14:paraId="7150044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8" w:type="dxa"/>
          </w:tcPr>
          <w:p w14:paraId="25C2507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A9508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3264630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5037C30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697" w:type="dxa"/>
          </w:tcPr>
          <w:p w14:paraId="0640F7C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r>
      <w:tr w:rsidR="008127F8" w:rsidRPr="008127F8" w14:paraId="22EF2ECC" w14:textId="77777777" w:rsidTr="007609C9">
        <w:tc>
          <w:tcPr>
            <w:tcW w:w="1053" w:type="dxa"/>
          </w:tcPr>
          <w:p w14:paraId="1310D72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ДБ-Зф</w:t>
            </w:r>
          </w:p>
        </w:tc>
        <w:tc>
          <w:tcPr>
            <w:tcW w:w="687" w:type="dxa"/>
          </w:tcPr>
          <w:p w14:paraId="081A57D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708" w:type="dxa"/>
          </w:tcPr>
          <w:p w14:paraId="75A7E1A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4489107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688" w:type="dxa"/>
          </w:tcPr>
          <w:p w14:paraId="5948CF9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688" w:type="dxa"/>
          </w:tcPr>
          <w:p w14:paraId="5950961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697" w:type="dxa"/>
          </w:tcPr>
          <w:p w14:paraId="039AE01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688" w:type="dxa"/>
          </w:tcPr>
          <w:p w14:paraId="67930C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678" w:type="dxa"/>
          </w:tcPr>
          <w:p w14:paraId="0F43003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186BB9C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688" w:type="dxa"/>
          </w:tcPr>
          <w:p w14:paraId="77C3274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w:t>
            </w:r>
          </w:p>
        </w:tc>
        <w:tc>
          <w:tcPr>
            <w:tcW w:w="697" w:type="dxa"/>
          </w:tcPr>
          <w:p w14:paraId="14C62D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w:t>
            </w:r>
          </w:p>
        </w:tc>
        <w:tc>
          <w:tcPr>
            <w:tcW w:w="697" w:type="dxa"/>
          </w:tcPr>
          <w:p w14:paraId="11DE94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r>
      <w:tr w:rsidR="008127F8" w:rsidRPr="008127F8" w14:paraId="30EF1CEB" w14:textId="77777777" w:rsidTr="007609C9">
        <w:tc>
          <w:tcPr>
            <w:tcW w:w="1053" w:type="dxa"/>
          </w:tcPr>
          <w:p w14:paraId="4CE30E9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w:t>
            </w:r>
          </w:p>
        </w:tc>
        <w:tc>
          <w:tcPr>
            <w:tcW w:w="687" w:type="dxa"/>
          </w:tcPr>
          <w:p w14:paraId="3DB49A5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708" w:type="dxa"/>
          </w:tcPr>
          <w:p w14:paraId="5490E3E0"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5582E90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1A32BDE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7AB691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7" w:type="dxa"/>
          </w:tcPr>
          <w:p w14:paraId="75EC212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7EBFAD2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8" w:type="dxa"/>
          </w:tcPr>
          <w:p w14:paraId="1A638E9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88" w:type="dxa"/>
          </w:tcPr>
          <w:p w14:paraId="7860DD7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688" w:type="dxa"/>
          </w:tcPr>
          <w:p w14:paraId="371DE09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697" w:type="dxa"/>
          </w:tcPr>
          <w:p w14:paraId="103D2B1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697" w:type="dxa"/>
          </w:tcPr>
          <w:p w14:paraId="15A9DF7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8127F8" w:rsidRPr="008127F8" w14:paraId="566EC451" w14:textId="77777777" w:rsidTr="007609C9">
        <w:tc>
          <w:tcPr>
            <w:tcW w:w="1053" w:type="dxa"/>
          </w:tcPr>
          <w:p w14:paraId="603535C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ТБ-7</w:t>
            </w:r>
          </w:p>
        </w:tc>
        <w:tc>
          <w:tcPr>
            <w:tcW w:w="687" w:type="dxa"/>
          </w:tcPr>
          <w:p w14:paraId="745D7F1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708" w:type="dxa"/>
          </w:tcPr>
          <w:p w14:paraId="41E18719"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040899B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8" w:type="dxa"/>
          </w:tcPr>
          <w:p w14:paraId="58FE77F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8" w:type="dxa"/>
          </w:tcPr>
          <w:p w14:paraId="354E3C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97" w:type="dxa"/>
          </w:tcPr>
          <w:p w14:paraId="156233A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688" w:type="dxa"/>
          </w:tcPr>
          <w:p w14:paraId="7363AC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78" w:type="dxa"/>
          </w:tcPr>
          <w:p w14:paraId="51D17B3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688" w:type="dxa"/>
          </w:tcPr>
          <w:p w14:paraId="6C70B5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688" w:type="dxa"/>
          </w:tcPr>
          <w:p w14:paraId="3AED55F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97" w:type="dxa"/>
          </w:tcPr>
          <w:p w14:paraId="3E07BB4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697" w:type="dxa"/>
          </w:tcPr>
          <w:p w14:paraId="49A83E6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r>
      <w:tr w:rsidR="008127F8" w:rsidRPr="008127F8" w14:paraId="03F53401" w14:textId="77777777" w:rsidTr="007609C9">
        <w:tc>
          <w:tcPr>
            <w:tcW w:w="1053" w:type="dxa"/>
          </w:tcPr>
          <w:p w14:paraId="726E3B8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w:t>
            </w:r>
          </w:p>
        </w:tc>
        <w:tc>
          <w:tcPr>
            <w:tcW w:w="687" w:type="dxa"/>
          </w:tcPr>
          <w:p w14:paraId="09EE9D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708" w:type="dxa"/>
          </w:tcPr>
          <w:p w14:paraId="22231A5D"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37B71D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06F68E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3BCB9F5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0DACC46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37F8015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8" w:type="dxa"/>
          </w:tcPr>
          <w:p w14:paraId="4058DAA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2BC8DCE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53D0935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03B24F2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97" w:type="dxa"/>
          </w:tcPr>
          <w:p w14:paraId="6A92272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r>
      <w:tr w:rsidR="008127F8" w:rsidRPr="008127F8" w14:paraId="37DF548E" w14:textId="77777777" w:rsidTr="007609C9">
        <w:tc>
          <w:tcPr>
            <w:tcW w:w="1053" w:type="dxa"/>
          </w:tcPr>
          <w:p w14:paraId="70D8B14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87" w:type="dxa"/>
          </w:tcPr>
          <w:p w14:paraId="4414C88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708" w:type="dxa"/>
          </w:tcPr>
          <w:p w14:paraId="6C5CD833"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40DF067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688" w:type="dxa"/>
          </w:tcPr>
          <w:p w14:paraId="47084A2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8" w:type="dxa"/>
          </w:tcPr>
          <w:p w14:paraId="241210E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697" w:type="dxa"/>
          </w:tcPr>
          <w:p w14:paraId="641FAAC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688" w:type="dxa"/>
          </w:tcPr>
          <w:p w14:paraId="2DE8C42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678" w:type="dxa"/>
          </w:tcPr>
          <w:p w14:paraId="55BAF1A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688" w:type="dxa"/>
          </w:tcPr>
          <w:p w14:paraId="7FD55E7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37951FE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697" w:type="dxa"/>
          </w:tcPr>
          <w:p w14:paraId="6EF55DF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697" w:type="dxa"/>
          </w:tcPr>
          <w:p w14:paraId="5623D64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r>
      <w:tr w:rsidR="008127F8" w:rsidRPr="008127F8" w14:paraId="3518716E" w14:textId="77777777" w:rsidTr="007609C9">
        <w:tc>
          <w:tcPr>
            <w:tcW w:w="1053" w:type="dxa"/>
          </w:tcPr>
          <w:p w14:paraId="0DBB965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687" w:type="dxa"/>
          </w:tcPr>
          <w:p w14:paraId="7084524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708" w:type="dxa"/>
          </w:tcPr>
          <w:p w14:paraId="1F54C46F"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1200A5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88" w:type="dxa"/>
          </w:tcPr>
          <w:p w14:paraId="3DEC1E8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8" w:type="dxa"/>
          </w:tcPr>
          <w:p w14:paraId="265B9EB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697" w:type="dxa"/>
          </w:tcPr>
          <w:p w14:paraId="23E4E0D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688" w:type="dxa"/>
          </w:tcPr>
          <w:p w14:paraId="1E929CC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678" w:type="dxa"/>
          </w:tcPr>
          <w:p w14:paraId="7996589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688" w:type="dxa"/>
          </w:tcPr>
          <w:p w14:paraId="17D2475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688" w:type="dxa"/>
          </w:tcPr>
          <w:p w14:paraId="7907B96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697" w:type="dxa"/>
          </w:tcPr>
          <w:p w14:paraId="385FCA3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97" w:type="dxa"/>
          </w:tcPr>
          <w:p w14:paraId="4DDD126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w:t>
            </w:r>
          </w:p>
        </w:tc>
      </w:tr>
      <w:tr w:rsidR="008127F8" w:rsidRPr="008127F8" w14:paraId="0C0E36C9" w14:textId="77777777" w:rsidTr="007609C9">
        <w:tc>
          <w:tcPr>
            <w:tcW w:w="1053" w:type="dxa"/>
          </w:tcPr>
          <w:p w14:paraId="05C46BA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687" w:type="dxa"/>
          </w:tcPr>
          <w:p w14:paraId="5B6254E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708" w:type="dxa"/>
          </w:tcPr>
          <w:p w14:paraId="665F47ED"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Отчет  План</w:t>
            </w:r>
            <w:proofErr w:type="gramEnd"/>
          </w:p>
        </w:tc>
        <w:tc>
          <w:tcPr>
            <w:tcW w:w="688" w:type="dxa"/>
          </w:tcPr>
          <w:p w14:paraId="7057498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5FACB89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0032CFD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97" w:type="dxa"/>
          </w:tcPr>
          <w:p w14:paraId="385BB05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8" w:type="dxa"/>
          </w:tcPr>
          <w:p w14:paraId="3089AA0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8" w:type="dxa"/>
          </w:tcPr>
          <w:p w14:paraId="2C4D2A1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2754496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67911C8E"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7" w:type="dxa"/>
          </w:tcPr>
          <w:p w14:paraId="4501648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97" w:type="dxa"/>
          </w:tcPr>
          <w:p w14:paraId="617978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8127F8" w:rsidRPr="008127F8" w14:paraId="3C92BAD0" w14:textId="77777777" w:rsidTr="007609C9">
        <w:tc>
          <w:tcPr>
            <w:tcW w:w="1053" w:type="dxa"/>
          </w:tcPr>
          <w:p w14:paraId="185865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Всего </w:t>
            </w:r>
            <w:proofErr w:type="gramStart"/>
            <w:r w:rsidRPr="008127F8">
              <w:rPr>
                <w:rFonts w:ascii="Times New Roman" w:hAnsi="Times New Roman"/>
                <w:color w:val="000000" w:themeColor="text1"/>
                <w:sz w:val="16"/>
                <w:szCs w:val="16"/>
              </w:rPr>
              <w:t>бомбард.-</w:t>
            </w:r>
            <w:proofErr w:type="gramEnd"/>
          </w:p>
        </w:tc>
        <w:tc>
          <w:tcPr>
            <w:tcW w:w="687" w:type="dxa"/>
          </w:tcPr>
          <w:p w14:paraId="122E7D57"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8" w:type="dxa"/>
          </w:tcPr>
          <w:p w14:paraId="1C8B2E1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План</w:t>
            </w:r>
          </w:p>
        </w:tc>
        <w:tc>
          <w:tcPr>
            <w:tcW w:w="688" w:type="dxa"/>
          </w:tcPr>
          <w:p w14:paraId="2274577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485</w:t>
            </w:r>
          </w:p>
        </w:tc>
        <w:tc>
          <w:tcPr>
            <w:tcW w:w="688" w:type="dxa"/>
          </w:tcPr>
          <w:p w14:paraId="644C36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688" w:type="dxa"/>
          </w:tcPr>
          <w:p w14:paraId="5AD9E7B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446</w:t>
            </w:r>
          </w:p>
        </w:tc>
        <w:tc>
          <w:tcPr>
            <w:tcW w:w="697" w:type="dxa"/>
          </w:tcPr>
          <w:p w14:paraId="749ADD5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1411</w:t>
            </w:r>
          </w:p>
        </w:tc>
        <w:tc>
          <w:tcPr>
            <w:tcW w:w="688" w:type="dxa"/>
          </w:tcPr>
          <w:p w14:paraId="7429996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678" w:type="dxa"/>
          </w:tcPr>
          <w:p w14:paraId="7AF020E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688" w:type="dxa"/>
          </w:tcPr>
          <w:p w14:paraId="692AEED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688" w:type="dxa"/>
          </w:tcPr>
          <w:p w14:paraId="2F19C5D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w:t>
            </w:r>
          </w:p>
        </w:tc>
        <w:tc>
          <w:tcPr>
            <w:tcW w:w="697" w:type="dxa"/>
          </w:tcPr>
          <w:p w14:paraId="0AC775C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1914</w:t>
            </w:r>
          </w:p>
        </w:tc>
        <w:tc>
          <w:tcPr>
            <w:tcW w:w="697" w:type="dxa"/>
          </w:tcPr>
          <w:p w14:paraId="20FD9D9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3533</w:t>
            </w:r>
          </w:p>
        </w:tc>
      </w:tr>
      <w:tr w:rsidR="008127F8" w:rsidRPr="008127F8" w14:paraId="42491413" w14:textId="77777777" w:rsidTr="007609C9">
        <w:tc>
          <w:tcPr>
            <w:tcW w:w="1053" w:type="dxa"/>
          </w:tcPr>
          <w:p w14:paraId="6415900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Дополнения</w:t>
            </w:r>
          </w:p>
        </w:tc>
        <w:tc>
          <w:tcPr>
            <w:tcW w:w="687" w:type="dxa"/>
          </w:tcPr>
          <w:p w14:paraId="2A4468C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8" w:type="dxa"/>
          </w:tcPr>
          <w:p w14:paraId="1D73EE7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038FF4B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88" w:type="dxa"/>
          </w:tcPr>
          <w:p w14:paraId="44ACE8A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88" w:type="dxa"/>
          </w:tcPr>
          <w:p w14:paraId="3865268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697" w:type="dxa"/>
          </w:tcPr>
          <w:p w14:paraId="1B83F22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8" w:type="dxa"/>
          </w:tcPr>
          <w:p w14:paraId="2FEE2F6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678" w:type="dxa"/>
          </w:tcPr>
          <w:p w14:paraId="5F9CEC03"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22172361"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8" w:type="dxa"/>
          </w:tcPr>
          <w:p w14:paraId="6CB5167A"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7" w:type="dxa"/>
          </w:tcPr>
          <w:p w14:paraId="7A2C4924"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97" w:type="dxa"/>
          </w:tcPr>
          <w:p w14:paraId="0FFEEFF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w:t>
            </w:r>
          </w:p>
        </w:tc>
      </w:tr>
    </w:tbl>
    <w:p w14:paraId="0893F6F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Штурмовики</w:t>
      </w:r>
    </w:p>
    <w:tbl>
      <w:tblPr>
        <w:tblW w:w="0" w:type="auto"/>
        <w:tblLook w:val="04A0" w:firstRow="1" w:lastRow="0" w:firstColumn="1" w:lastColumn="0" w:noHBand="0" w:noVBand="1"/>
      </w:tblPr>
      <w:tblGrid>
        <w:gridCol w:w="1145"/>
        <w:gridCol w:w="652"/>
        <w:gridCol w:w="701"/>
        <w:gridCol w:w="616"/>
        <w:gridCol w:w="763"/>
        <w:gridCol w:w="684"/>
        <w:gridCol w:w="686"/>
        <w:gridCol w:w="684"/>
        <w:gridCol w:w="670"/>
        <w:gridCol w:w="671"/>
        <w:gridCol w:w="686"/>
        <w:gridCol w:w="687"/>
        <w:gridCol w:w="700"/>
      </w:tblGrid>
      <w:tr w:rsidR="008127F8" w:rsidRPr="008127F8" w14:paraId="20EFFD1D" w14:textId="77777777" w:rsidTr="007609C9">
        <w:tc>
          <w:tcPr>
            <w:tcW w:w="1145" w:type="dxa"/>
          </w:tcPr>
          <w:p w14:paraId="2F76484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52" w:type="dxa"/>
          </w:tcPr>
          <w:p w14:paraId="67C0CBB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701" w:type="dxa"/>
          </w:tcPr>
          <w:p w14:paraId="6A546DE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c>
          <w:tcPr>
            <w:tcW w:w="616" w:type="dxa"/>
          </w:tcPr>
          <w:p w14:paraId="4409B7E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763" w:type="dxa"/>
          </w:tcPr>
          <w:p w14:paraId="43E1B39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356</w:t>
            </w:r>
          </w:p>
        </w:tc>
        <w:tc>
          <w:tcPr>
            <w:tcW w:w="684" w:type="dxa"/>
          </w:tcPr>
          <w:p w14:paraId="44B4C14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w:t>
            </w:r>
          </w:p>
        </w:tc>
        <w:tc>
          <w:tcPr>
            <w:tcW w:w="686" w:type="dxa"/>
          </w:tcPr>
          <w:p w14:paraId="656713C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1002</w:t>
            </w:r>
          </w:p>
        </w:tc>
        <w:tc>
          <w:tcPr>
            <w:tcW w:w="684" w:type="dxa"/>
          </w:tcPr>
          <w:p w14:paraId="3E6DF34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228</w:t>
            </w:r>
          </w:p>
        </w:tc>
        <w:tc>
          <w:tcPr>
            <w:tcW w:w="670" w:type="dxa"/>
          </w:tcPr>
          <w:p w14:paraId="1B1C04E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71" w:type="dxa"/>
          </w:tcPr>
          <w:p w14:paraId="1CF3E3C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686" w:type="dxa"/>
          </w:tcPr>
          <w:p w14:paraId="53766AC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257</w:t>
            </w:r>
          </w:p>
        </w:tc>
        <w:tc>
          <w:tcPr>
            <w:tcW w:w="687" w:type="dxa"/>
          </w:tcPr>
          <w:p w14:paraId="00EAA56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1259</w:t>
            </w:r>
          </w:p>
        </w:tc>
        <w:tc>
          <w:tcPr>
            <w:tcW w:w="700" w:type="dxa"/>
          </w:tcPr>
          <w:p w14:paraId="44D7AC0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1510</w:t>
            </w:r>
          </w:p>
        </w:tc>
      </w:tr>
      <w:tr w:rsidR="008127F8" w:rsidRPr="008127F8" w14:paraId="0A023B29" w14:textId="77777777" w:rsidTr="007609C9">
        <w:tc>
          <w:tcPr>
            <w:tcW w:w="1145" w:type="dxa"/>
          </w:tcPr>
          <w:p w14:paraId="31CDFBA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52" w:type="dxa"/>
          </w:tcPr>
          <w:p w14:paraId="463D1A4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01" w:type="dxa"/>
          </w:tcPr>
          <w:p w14:paraId="3124F380"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16" w:type="dxa"/>
          </w:tcPr>
          <w:p w14:paraId="719E3EB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763" w:type="dxa"/>
          </w:tcPr>
          <w:p w14:paraId="5ED86AF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4" w:type="dxa"/>
          </w:tcPr>
          <w:p w14:paraId="2F8D3F7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6" w:type="dxa"/>
          </w:tcPr>
          <w:p w14:paraId="58C8334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4" w:type="dxa"/>
          </w:tcPr>
          <w:p w14:paraId="136451D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70" w:type="dxa"/>
          </w:tcPr>
          <w:p w14:paraId="0AA3475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1" w:type="dxa"/>
          </w:tcPr>
          <w:p w14:paraId="34F3D57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86" w:type="dxa"/>
          </w:tcPr>
          <w:p w14:paraId="0950939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7" w:type="dxa"/>
          </w:tcPr>
          <w:p w14:paraId="733BCB0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00" w:type="dxa"/>
          </w:tcPr>
          <w:p w14:paraId="57E868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r>
      <w:tr w:rsidR="008127F8" w:rsidRPr="008127F8" w14:paraId="52CC5861" w14:textId="77777777" w:rsidTr="007609C9">
        <w:tc>
          <w:tcPr>
            <w:tcW w:w="1145" w:type="dxa"/>
          </w:tcPr>
          <w:p w14:paraId="12A44B7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652" w:type="dxa"/>
          </w:tcPr>
          <w:p w14:paraId="43F0F2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701" w:type="dxa"/>
          </w:tcPr>
          <w:p w14:paraId="0D837974"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16" w:type="dxa"/>
          </w:tcPr>
          <w:p w14:paraId="07D713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763" w:type="dxa"/>
          </w:tcPr>
          <w:p w14:paraId="6118118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4" w:type="dxa"/>
          </w:tcPr>
          <w:p w14:paraId="73662BC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6" w:type="dxa"/>
          </w:tcPr>
          <w:p w14:paraId="31AB790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684" w:type="dxa"/>
          </w:tcPr>
          <w:p w14:paraId="1A4E7FF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70" w:type="dxa"/>
          </w:tcPr>
          <w:p w14:paraId="50902E0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71" w:type="dxa"/>
          </w:tcPr>
          <w:p w14:paraId="4643843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686" w:type="dxa"/>
          </w:tcPr>
          <w:p w14:paraId="2733DD2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687" w:type="dxa"/>
          </w:tcPr>
          <w:p w14:paraId="0BB7798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700" w:type="dxa"/>
          </w:tcPr>
          <w:p w14:paraId="18BE2CE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r>
      <w:tr w:rsidR="008127F8" w:rsidRPr="008127F8" w14:paraId="32B2732A" w14:textId="77777777" w:rsidTr="007609C9">
        <w:tc>
          <w:tcPr>
            <w:tcW w:w="1145" w:type="dxa"/>
          </w:tcPr>
          <w:p w14:paraId="0467544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штурмовиков</w:t>
            </w:r>
          </w:p>
        </w:tc>
        <w:tc>
          <w:tcPr>
            <w:tcW w:w="652" w:type="dxa"/>
          </w:tcPr>
          <w:p w14:paraId="0B184BB6"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1" w:type="dxa"/>
          </w:tcPr>
          <w:p w14:paraId="3E1D2F8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Отчет</w:t>
            </w:r>
          </w:p>
        </w:tc>
        <w:tc>
          <w:tcPr>
            <w:tcW w:w="616" w:type="dxa"/>
          </w:tcPr>
          <w:p w14:paraId="00B5208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763" w:type="dxa"/>
          </w:tcPr>
          <w:p w14:paraId="3FAE277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356</w:t>
            </w:r>
          </w:p>
        </w:tc>
        <w:tc>
          <w:tcPr>
            <w:tcW w:w="684" w:type="dxa"/>
          </w:tcPr>
          <w:p w14:paraId="172C2E0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341</w:t>
            </w:r>
          </w:p>
        </w:tc>
        <w:tc>
          <w:tcPr>
            <w:tcW w:w="686" w:type="dxa"/>
          </w:tcPr>
          <w:p w14:paraId="14EEEA9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1007</w:t>
            </w:r>
          </w:p>
        </w:tc>
        <w:tc>
          <w:tcPr>
            <w:tcW w:w="684" w:type="dxa"/>
          </w:tcPr>
          <w:p w14:paraId="2CAB264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w:t>
            </w:r>
          </w:p>
        </w:tc>
        <w:tc>
          <w:tcPr>
            <w:tcW w:w="670" w:type="dxa"/>
          </w:tcPr>
          <w:p w14:paraId="3CE785A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671" w:type="dxa"/>
          </w:tcPr>
          <w:p w14:paraId="18FFED3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686" w:type="dxa"/>
          </w:tcPr>
          <w:p w14:paraId="2D3BB5F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687" w:type="dxa"/>
          </w:tcPr>
          <w:p w14:paraId="66BF8E0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1291</w:t>
            </w:r>
          </w:p>
        </w:tc>
        <w:tc>
          <w:tcPr>
            <w:tcW w:w="700" w:type="dxa"/>
          </w:tcPr>
          <w:p w14:paraId="5DB98F1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1542</w:t>
            </w:r>
          </w:p>
        </w:tc>
      </w:tr>
      <w:tr w:rsidR="008127F8" w:rsidRPr="008127F8" w14:paraId="4585FA71" w14:textId="77777777" w:rsidTr="007609C9">
        <w:tc>
          <w:tcPr>
            <w:tcW w:w="1145" w:type="dxa"/>
          </w:tcPr>
          <w:p w14:paraId="02F8F2FF"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Разведчики  МДР</w:t>
            </w:r>
            <w:proofErr w:type="gramEnd"/>
            <w:r w:rsidRPr="008127F8">
              <w:rPr>
                <w:rFonts w:ascii="Times New Roman" w:hAnsi="Times New Roman"/>
                <w:color w:val="000000" w:themeColor="text1"/>
                <w:sz w:val="16"/>
                <w:szCs w:val="16"/>
              </w:rPr>
              <w:t xml:space="preserve">-6 </w:t>
            </w:r>
          </w:p>
        </w:tc>
        <w:tc>
          <w:tcPr>
            <w:tcW w:w="652" w:type="dxa"/>
          </w:tcPr>
          <w:p w14:paraId="238EC0DC"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701" w:type="dxa"/>
          </w:tcPr>
          <w:p w14:paraId="36896F7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Отчет</w:t>
            </w:r>
          </w:p>
        </w:tc>
        <w:tc>
          <w:tcPr>
            <w:tcW w:w="616" w:type="dxa"/>
          </w:tcPr>
          <w:p w14:paraId="518549BF"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63" w:type="dxa"/>
          </w:tcPr>
          <w:p w14:paraId="016AFC5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4" w:type="dxa"/>
          </w:tcPr>
          <w:p w14:paraId="005FEBF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6" w:type="dxa"/>
          </w:tcPr>
          <w:p w14:paraId="7AECA325"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4" w:type="dxa"/>
          </w:tcPr>
          <w:p w14:paraId="633BB92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0" w:type="dxa"/>
          </w:tcPr>
          <w:p w14:paraId="053B51DC"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1" w:type="dxa"/>
          </w:tcPr>
          <w:p w14:paraId="4FC010FB"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6" w:type="dxa"/>
          </w:tcPr>
          <w:p w14:paraId="16583F8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7" w:type="dxa"/>
          </w:tcPr>
          <w:p w14:paraId="528A0FC9"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0" w:type="dxa"/>
          </w:tcPr>
          <w:p w14:paraId="158C618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8127F8" w:rsidRPr="008127F8" w14:paraId="4AE51493" w14:textId="77777777" w:rsidTr="007609C9">
        <w:tc>
          <w:tcPr>
            <w:tcW w:w="1145" w:type="dxa"/>
          </w:tcPr>
          <w:p w14:paraId="3FE593B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(Чс)- МДР-6  </w:t>
            </w:r>
          </w:p>
        </w:tc>
        <w:tc>
          <w:tcPr>
            <w:tcW w:w="652" w:type="dxa"/>
          </w:tcPr>
          <w:p w14:paraId="655FFAE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701" w:type="dxa"/>
          </w:tcPr>
          <w:p w14:paraId="2E29C863" w14:textId="77777777" w:rsidR="000D0B36" w:rsidRPr="008127F8" w:rsidRDefault="000D0B3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План  Отчет</w:t>
            </w:r>
            <w:proofErr w:type="gramEnd"/>
          </w:p>
        </w:tc>
        <w:tc>
          <w:tcPr>
            <w:tcW w:w="616" w:type="dxa"/>
          </w:tcPr>
          <w:p w14:paraId="13F94E9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763" w:type="dxa"/>
          </w:tcPr>
          <w:p w14:paraId="5E48BB6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84" w:type="dxa"/>
          </w:tcPr>
          <w:p w14:paraId="274AB311"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6" w:type="dxa"/>
          </w:tcPr>
          <w:p w14:paraId="77C459A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684" w:type="dxa"/>
          </w:tcPr>
          <w:p w14:paraId="42B1657E"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70" w:type="dxa"/>
          </w:tcPr>
          <w:p w14:paraId="2A8F613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71" w:type="dxa"/>
          </w:tcPr>
          <w:p w14:paraId="5991A85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686" w:type="dxa"/>
          </w:tcPr>
          <w:p w14:paraId="43F4DDC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7" w:type="dxa"/>
          </w:tcPr>
          <w:p w14:paraId="23EC63D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700" w:type="dxa"/>
          </w:tcPr>
          <w:p w14:paraId="3EBF45C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r>
      <w:tr w:rsidR="008127F8" w:rsidRPr="008127F8" w14:paraId="4F910B17" w14:textId="77777777" w:rsidTr="007609C9">
        <w:tc>
          <w:tcPr>
            <w:tcW w:w="1145" w:type="dxa"/>
          </w:tcPr>
          <w:p w14:paraId="51531C1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разведчиков</w:t>
            </w:r>
          </w:p>
        </w:tc>
        <w:tc>
          <w:tcPr>
            <w:tcW w:w="652" w:type="dxa"/>
          </w:tcPr>
          <w:p w14:paraId="7C69DCF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1" w:type="dxa"/>
          </w:tcPr>
          <w:p w14:paraId="044F19E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Отчет</w:t>
            </w:r>
          </w:p>
        </w:tc>
        <w:tc>
          <w:tcPr>
            <w:tcW w:w="616" w:type="dxa"/>
          </w:tcPr>
          <w:p w14:paraId="69A12D25"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763" w:type="dxa"/>
          </w:tcPr>
          <w:p w14:paraId="674DE52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684" w:type="dxa"/>
          </w:tcPr>
          <w:p w14:paraId="325D7EB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686" w:type="dxa"/>
          </w:tcPr>
          <w:p w14:paraId="47D2C8A9"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684" w:type="dxa"/>
          </w:tcPr>
          <w:p w14:paraId="7C68CC3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70" w:type="dxa"/>
          </w:tcPr>
          <w:p w14:paraId="5B703FFD"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71" w:type="dxa"/>
          </w:tcPr>
          <w:p w14:paraId="7C53A240"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686" w:type="dxa"/>
          </w:tcPr>
          <w:p w14:paraId="2F846D2F"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687" w:type="dxa"/>
          </w:tcPr>
          <w:p w14:paraId="065D6856"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00" w:type="dxa"/>
          </w:tcPr>
          <w:p w14:paraId="487870E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8127F8" w:rsidRPr="008127F8" w14:paraId="2AFDEF4E" w14:textId="77777777" w:rsidTr="007609C9">
        <w:tc>
          <w:tcPr>
            <w:tcW w:w="1145" w:type="dxa"/>
          </w:tcPr>
          <w:p w14:paraId="0A6346C7"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боевых машин</w:t>
            </w:r>
          </w:p>
        </w:tc>
        <w:tc>
          <w:tcPr>
            <w:tcW w:w="652" w:type="dxa"/>
          </w:tcPr>
          <w:p w14:paraId="1D9EF678" w14:textId="77777777" w:rsidR="000D0B36" w:rsidRPr="008127F8" w:rsidRDefault="000D0B36" w:rsidP="001E0A84">
            <w:pPr>
              <w:spacing w:after="0" w:line="240" w:lineRule="auto"/>
              <w:jc w:val="both"/>
              <w:rPr>
                <w:rFonts w:ascii="Times New Roman" w:hAnsi="Times New Roman"/>
                <w:color w:val="000000" w:themeColor="text1"/>
                <w:sz w:val="16"/>
                <w:szCs w:val="16"/>
              </w:rPr>
            </w:pPr>
          </w:p>
        </w:tc>
        <w:tc>
          <w:tcPr>
            <w:tcW w:w="701" w:type="dxa"/>
          </w:tcPr>
          <w:p w14:paraId="76621994"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Отчет</w:t>
            </w:r>
          </w:p>
        </w:tc>
        <w:tc>
          <w:tcPr>
            <w:tcW w:w="616" w:type="dxa"/>
          </w:tcPr>
          <w:p w14:paraId="2C7C479D"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1685</w:t>
            </w:r>
          </w:p>
        </w:tc>
        <w:tc>
          <w:tcPr>
            <w:tcW w:w="763" w:type="dxa"/>
          </w:tcPr>
          <w:p w14:paraId="36D42DD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1959</w:t>
            </w:r>
          </w:p>
        </w:tc>
        <w:tc>
          <w:tcPr>
            <w:tcW w:w="684" w:type="dxa"/>
          </w:tcPr>
          <w:p w14:paraId="04EEBEB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2022</w:t>
            </w:r>
          </w:p>
        </w:tc>
        <w:tc>
          <w:tcPr>
            <w:tcW w:w="686" w:type="dxa"/>
          </w:tcPr>
          <w:p w14:paraId="561620E8"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5667</w:t>
            </w:r>
          </w:p>
        </w:tc>
        <w:tc>
          <w:tcPr>
            <w:tcW w:w="684" w:type="dxa"/>
          </w:tcPr>
          <w:p w14:paraId="29F93C40"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1399</w:t>
            </w:r>
          </w:p>
        </w:tc>
        <w:tc>
          <w:tcPr>
            <w:tcW w:w="670" w:type="dxa"/>
          </w:tcPr>
          <w:p w14:paraId="5989202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671" w:type="dxa"/>
          </w:tcPr>
          <w:p w14:paraId="7CA3DEF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788</w:t>
            </w:r>
          </w:p>
        </w:tc>
        <w:tc>
          <w:tcPr>
            <w:tcW w:w="686" w:type="dxa"/>
          </w:tcPr>
          <w:p w14:paraId="35ACD523"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2580</w:t>
            </w:r>
          </w:p>
        </w:tc>
        <w:tc>
          <w:tcPr>
            <w:tcW w:w="687" w:type="dxa"/>
          </w:tcPr>
          <w:p w14:paraId="427976DB"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8247</w:t>
            </w:r>
          </w:p>
        </w:tc>
        <w:tc>
          <w:tcPr>
            <w:tcW w:w="700" w:type="dxa"/>
          </w:tcPr>
          <w:p w14:paraId="48D192EA"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12377</w:t>
            </w:r>
          </w:p>
        </w:tc>
      </w:tr>
    </w:tbl>
    <w:p w14:paraId="6AD24412" w14:textId="77777777" w:rsidR="000D0B36" w:rsidRPr="008127F8" w:rsidRDefault="000D0B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Ф.8044. Оп. 1. Д.3228. Лл. 15-17. Рукопись в канцелярской тетради. Фамилии исполнителей не указаны (</w:t>
      </w:r>
      <w:bookmarkStart w:id="15" w:name="_Hlk69798773"/>
      <w:r w:rsidRPr="008127F8">
        <w:rPr>
          <w:rFonts w:ascii="Times New Roman" w:hAnsi="Times New Roman"/>
          <w:color w:val="000000" w:themeColor="text1"/>
          <w:sz w:val="16"/>
          <w:szCs w:val="16"/>
        </w:rPr>
        <w:t>20549</w:t>
      </w:r>
      <w:bookmarkEnd w:id="15"/>
      <w:r w:rsidRPr="008127F8">
        <w:rPr>
          <w:rFonts w:ascii="Times New Roman" w:hAnsi="Times New Roman"/>
          <w:color w:val="000000" w:themeColor="text1"/>
          <w:sz w:val="16"/>
          <w:szCs w:val="16"/>
        </w:rPr>
        <w:t>).</w:t>
      </w:r>
    </w:p>
    <w:p w14:paraId="1F8A6459" w14:textId="77777777" w:rsidR="000D0B36" w:rsidRPr="008127F8" w:rsidRDefault="000D0B36" w:rsidP="001E0A84">
      <w:pPr>
        <w:spacing w:after="0" w:line="240" w:lineRule="auto"/>
        <w:jc w:val="both"/>
        <w:rPr>
          <w:rFonts w:ascii="Times New Roman" w:hAnsi="Times New Roman"/>
          <w:color w:val="000000" w:themeColor="text1"/>
          <w:sz w:val="16"/>
          <w:szCs w:val="16"/>
        </w:rPr>
      </w:pPr>
    </w:p>
    <w:p w14:paraId="467B68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московская группа НКАП пополнилась еще несколькими сотрудниками, прибывшими в Москву. Среди них были А.И.Евтихов, В.А.Зорин, Н.И.Сысоев и другие (303).</w:t>
      </w:r>
    </w:p>
    <w:p w14:paraId="0762FC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A32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Саратовский филиал НКАП подготовил справку об эвакуации и создании новых з-в: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662F9358" w14:textId="77777777">
        <w:tc>
          <w:tcPr>
            <w:tcW w:w="3757" w:type="dxa"/>
            <w:tcBorders>
              <w:top w:val="single" w:sz="12" w:space="0" w:color="auto"/>
            </w:tcBorders>
          </w:tcPr>
          <w:p w14:paraId="1A0034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Город</w:t>
            </w:r>
          </w:p>
        </w:tc>
        <w:tc>
          <w:tcPr>
            <w:tcW w:w="3757" w:type="dxa"/>
            <w:tcBorders>
              <w:top w:val="single" w:sz="12" w:space="0" w:color="auto"/>
            </w:tcBorders>
          </w:tcPr>
          <w:p w14:paraId="14FDC3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9ABCC4" w14:textId="77777777">
        <w:tc>
          <w:tcPr>
            <w:tcW w:w="3757" w:type="dxa"/>
          </w:tcPr>
          <w:p w14:paraId="4A3492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Тагил</w:t>
            </w:r>
          </w:p>
        </w:tc>
        <w:tc>
          <w:tcPr>
            <w:tcW w:w="3757" w:type="dxa"/>
          </w:tcPr>
          <w:p w14:paraId="5DF18C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120-го</w:t>
            </w:r>
          </w:p>
        </w:tc>
      </w:tr>
      <w:tr w:rsidR="006F4095" w:rsidRPr="008127F8" w14:paraId="33CD102B" w14:textId="77777777">
        <w:tc>
          <w:tcPr>
            <w:tcW w:w="3757" w:type="dxa"/>
          </w:tcPr>
          <w:p w14:paraId="494863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925A2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r>
      <w:tr w:rsidR="006F4095" w:rsidRPr="008127F8" w14:paraId="55EAE6D2" w14:textId="77777777">
        <w:tc>
          <w:tcPr>
            <w:tcW w:w="3757" w:type="dxa"/>
          </w:tcPr>
          <w:p w14:paraId="5CF202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Уфа</w:t>
            </w:r>
          </w:p>
        </w:tc>
        <w:tc>
          <w:tcPr>
            <w:tcW w:w="3757" w:type="dxa"/>
          </w:tcPr>
          <w:p w14:paraId="4B59FA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384</w:t>
            </w:r>
          </w:p>
        </w:tc>
      </w:tr>
      <w:tr w:rsidR="006F4095" w:rsidRPr="008127F8" w14:paraId="713F444E" w14:textId="77777777">
        <w:tc>
          <w:tcPr>
            <w:tcW w:w="3757" w:type="dxa"/>
          </w:tcPr>
          <w:p w14:paraId="2FA5F1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C31E5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w:t>
            </w:r>
          </w:p>
        </w:tc>
      </w:tr>
      <w:tr w:rsidR="006F4095" w:rsidRPr="008127F8" w14:paraId="670874A0" w14:textId="77777777">
        <w:tc>
          <w:tcPr>
            <w:tcW w:w="3757" w:type="dxa"/>
          </w:tcPr>
          <w:p w14:paraId="232C63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Салда</w:t>
            </w:r>
          </w:p>
        </w:tc>
        <w:tc>
          <w:tcPr>
            <w:tcW w:w="3757" w:type="dxa"/>
          </w:tcPr>
          <w:p w14:paraId="78F195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132-го</w:t>
            </w:r>
          </w:p>
        </w:tc>
      </w:tr>
      <w:tr w:rsidR="006F4095" w:rsidRPr="008127F8" w14:paraId="781F8F70" w14:textId="77777777">
        <w:tc>
          <w:tcPr>
            <w:tcW w:w="3757" w:type="dxa"/>
          </w:tcPr>
          <w:p w14:paraId="4A6F09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3757" w:type="dxa"/>
          </w:tcPr>
          <w:p w14:paraId="20C672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214-го</w:t>
            </w:r>
          </w:p>
        </w:tc>
      </w:tr>
      <w:tr w:rsidR="006F4095" w:rsidRPr="008127F8" w14:paraId="21BF8B0B" w14:textId="77777777">
        <w:tc>
          <w:tcPr>
            <w:tcW w:w="3757" w:type="dxa"/>
          </w:tcPr>
          <w:p w14:paraId="6DCEBA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3757" w:type="dxa"/>
          </w:tcPr>
          <w:p w14:paraId="2ED44D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122</w:t>
            </w:r>
          </w:p>
        </w:tc>
      </w:tr>
      <w:tr w:rsidR="006F4095" w:rsidRPr="008127F8" w14:paraId="1468B011" w14:textId="77777777">
        <w:tc>
          <w:tcPr>
            <w:tcW w:w="3757" w:type="dxa"/>
          </w:tcPr>
          <w:p w14:paraId="4C45F3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28ADD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295</w:t>
            </w:r>
          </w:p>
        </w:tc>
      </w:tr>
      <w:tr w:rsidR="006F4095" w:rsidRPr="008127F8" w14:paraId="060B00D1" w14:textId="77777777">
        <w:tc>
          <w:tcPr>
            <w:tcW w:w="3757" w:type="dxa"/>
          </w:tcPr>
          <w:p w14:paraId="0F3735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41D60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337</w:t>
            </w:r>
          </w:p>
        </w:tc>
      </w:tr>
      <w:tr w:rsidR="006F4095" w:rsidRPr="008127F8" w14:paraId="0681AAD4" w14:textId="77777777">
        <w:tc>
          <w:tcPr>
            <w:tcW w:w="3757" w:type="dxa"/>
          </w:tcPr>
          <w:p w14:paraId="6F2AF2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DB512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454</w:t>
            </w:r>
          </w:p>
        </w:tc>
      </w:tr>
      <w:tr w:rsidR="006F4095" w:rsidRPr="008127F8" w14:paraId="5BCB5BAC" w14:textId="77777777">
        <w:tc>
          <w:tcPr>
            <w:tcW w:w="3757" w:type="dxa"/>
          </w:tcPr>
          <w:p w14:paraId="37834C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316C6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455</w:t>
            </w:r>
          </w:p>
        </w:tc>
      </w:tr>
      <w:tr w:rsidR="006F4095" w:rsidRPr="008127F8" w14:paraId="77EA1A4A" w14:textId="77777777">
        <w:tc>
          <w:tcPr>
            <w:tcW w:w="3757" w:type="dxa"/>
          </w:tcPr>
          <w:p w14:paraId="2388B0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DE8D2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481</w:t>
            </w:r>
          </w:p>
        </w:tc>
      </w:tr>
      <w:tr w:rsidR="006F4095" w:rsidRPr="008127F8" w14:paraId="6775676C" w14:textId="77777777">
        <w:tc>
          <w:tcPr>
            <w:tcW w:w="3757" w:type="dxa"/>
          </w:tcPr>
          <w:p w14:paraId="6AFF83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3757" w:type="dxa"/>
          </w:tcPr>
          <w:p w14:paraId="67634C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306</w:t>
            </w:r>
          </w:p>
        </w:tc>
      </w:tr>
      <w:tr w:rsidR="006F4095" w:rsidRPr="008127F8" w14:paraId="24E4BC98" w14:textId="77777777">
        <w:tc>
          <w:tcPr>
            <w:tcW w:w="3757" w:type="dxa"/>
          </w:tcPr>
          <w:p w14:paraId="1E0D79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Энгельс</w:t>
            </w:r>
          </w:p>
        </w:tc>
        <w:tc>
          <w:tcPr>
            <w:tcW w:w="3757" w:type="dxa"/>
          </w:tcPr>
          <w:p w14:paraId="060264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213-го</w:t>
            </w:r>
          </w:p>
        </w:tc>
      </w:tr>
      <w:tr w:rsidR="006F4095" w:rsidRPr="008127F8" w14:paraId="7EEDF8B9" w14:textId="77777777">
        <w:tc>
          <w:tcPr>
            <w:tcW w:w="3757" w:type="dxa"/>
          </w:tcPr>
          <w:p w14:paraId="7623D7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Пенза</w:t>
            </w:r>
          </w:p>
        </w:tc>
        <w:tc>
          <w:tcPr>
            <w:tcW w:w="3757" w:type="dxa"/>
          </w:tcPr>
          <w:p w14:paraId="5802CF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34-го</w:t>
            </w:r>
          </w:p>
        </w:tc>
      </w:tr>
      <w:tr w:rsidR="006F4095" w:rsidRPr="008127F8" w14:paraId="7FE17F5B" w14:textId="77777777">
        <w:tc>
          <w:tcPr>
            <w:tcW w:w="3757" w:type="dxa"/>
          </w:tcPr>
          <w:p w14:paraId="0A6BD9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w:t>
            </w:r>
          </w:p>
        </w:tc>
        <w:tc>
          <w:tcPr>
            <w:tcW w:w="3757" w:type="dxa"/>
          </w:tcPr>
          <w:p w14:paraId="66810D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32-го</w:t>
            </w:r>
          </w:p>
        </w:tc>
      </w:tr>
      <w:tr w:rsidR="006F4095" w:rsidRPr="008127F8" w14:paraId="7F5674CE" w14:textId="77777777">
        <w:tc>
          <w:tcPr>
            <w:tcW w:w="3757" w:type="dxa"/>
          </w:tcPr>
          <w:p w14:paraId="08DFB4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3757" w:type="dxa"/>
          </w:tcPr>
          <w:p w14:paraId="090E29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127</w:t>
            </w:r>
          </w:p>
        </w:tc>
      </w:tr>
      <w:tr w:rsidR="006F4095" w:rsidRPr="008127F8" w14:paraId="44A22CEA" w14:textId="77777777">
        <w:tc>
          <w:tcPr>
            <w:tcW w:w="3757" w:type="dxa"/>
          </w:tcPr>
          <w:p w14:paraId="32CC0B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8EAD9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280</w:t>
            </w:r>
          </w:p>
        </w:tc>
      </w:tr>
      <w:tr w:rsidR="006F4095" w:rsidRPr="008127F8" w14:paraId="263945C8" w14:textId="77777777">
        <w:tc>
          <w:tcPr>
            <w:tcW w:w="3757" w:type="dxa"/>
          </w:tcPr>
          <w:p w14:paraId="1CA1DC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889B6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27</w:t>
            </w:r>
          </w:p>
        </w:tc>
      </w:tr>
      <w:tr w:rsidR="006F4095" w:rsidRPr="008127F8" w14:paraId="1C8AEB43" w14:textId="77777777">
        <w:tc>
          <w:tcPr>
            <w:tcW w:w="3757" w:type="dxa"/>
          </w:tcPr>
          <w:p w14:paraId="7E36C9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6CB9E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230</w:t>
            </w:r>
          </w:p>
        </w:tc>
      </w:tr>
      <w:tr w:rsidR="006F4095" w:rsidRPr="008127F8" w14:paraId="12D9E3D0" w14:textId="77777777">
        <w:tc>
          <w:tcPr>
            <w:tcW w:w="3757" w:type="dxa"/>
          </w:tcPr>
          <w:p w14:paraId="18702D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28993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218</w:t>
            </w:r>
          </w:p>
        </w:tc>
      </w:tr>
      <w:tr w:rsidR="006F4095" w:rsidRPr="008127F8" w14:paraId="79A5E0D0" w14:textId="77777777">
        <w:tc>
          <w:tcPr>
            <w:tcW w:w="3757" w:type="dxa"/>
          </w:tcPr>
          <w:p w14:paraId="4C0550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2EDD8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379</w:t>
            </w:r>
          </w:p>
        </w:tc>
      </w:tr>
      <w:tr w:rsidR="006F4095" w:rsidRPr="008127F8" w14:paraId="442DF56E" w14:textId="77777777">
        <w:tc>
          <w:tcPr>
            <w:tcW w:w="3757" w:type="dxa"/>
          </w:tcPr>
          <w:p w14:paraId="6BAE8A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20F68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473</w:t>
            </w:r>
          </w:p>
        </w:tc>
      </w:tr>
      <w:tr w:rsidR="006F4095" w:rsidRPr="008127F8" w14:paraId="4F6D5187" w14:textId="77777777">
        <w:tc>
          <w:tcPr>
            <w:tcW w:w="3757" w:type="dxa"/>
          </w:tcPr>
          <w:p w14:paraId="322D49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E7C3E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дублер (?) 387</w:t>
            </w:r>
          </w:p>
        </w:tc>
      </w:tr>
      <w:tr w:rsidR="006F4095" w:rsidRPr="008127F8" w14:paraId="4D1B2BCA" w14:textId="77777777">
        <w:tc>
          <w:tcPr>
            <w:tcW w:w="3757" w:type="dxa"/>
          </w:tcPr>
          <w:p w14:paraId="2FDD82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3757" w:type="dxa"/>
          </w:tcPr>
          <w:p w14:paraId="5FF4CA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w:t>
            </w:r>
          </w:p>
        </w:tc>
      </w:tr>
      <w:tr w:rsidR="006F4095" w:rsidRPr="008127F8" w14:paraId="7802D3EB" w14:textId="77777777">
        <w:tc>
          <w:tcPr>
            <w:tcW w:w="3757" w:type="dxa"/>
          </w:tcPr>
          <w:p w14:paraId="266BB7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D790D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w:t>
            </w:r>
          </w:p>
        </w:tc>
      </w:tr>
      <w:tr w:rsidR="00687FE2" w:rsidRPr="008127F8" w14:paraId="48999499" w14:textId="77777777">
        <w:tc>
          <w:tcPr>
            <w:tcW w:w="3757" w:type="dxa"/>
            <w:tcBorders>
              <w:bottom w:val="single" w:sz="12" w:space="0" w:color="auto"/>
            </w:tcBorders>
          </w:tcPr>
          <w:p w14:paraId="1F88D9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Borders>
              <w:bottom w:val="single" w:sz="12" w:space="0" w:color="auto"/>
            </w:tcBorders>
          </w:tcPr>
          <w:p w14:paraId="600C07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(1326, 10)</w:t>
            </w:r>
          </w:p>
        </w:tc>
      </w:tr>
    </w:tbl>
    <w:p w14:paraId="46E688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244D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 xml:space="preserve">В начале 1942 был подготовлен СПИСОК </w:t>
      </w:r>
      <w:r w:rsidRPr="008127F8">
        <w:rPr>
          <w:rStyle w:val="16"/>
          <w:rFonts w:ascii="Times New Roman" w:eastAsia="Calibri" w:hAnsi="Times New Roman" w:cs="Times New Roman"/>
          <w:color w:val="000000" w:themeColor="text1"/>
          <w:spacing w:val="0"/>
          <w:u w:val="none"/>
        </w:rPr>
        <w:t>оборонных предприятий по наркоматам авиапромышленности, танковой промышленности и вооружения, перебазированных согласно постановлениям и распоряжениям ГКО, СНК СССР и Совета по эвакуации (июль — ноябрь 1942 г.) ()</w:t>
      </w:r>
    </w:p>
    <w:p w14:paraId="78E708D3" w14:textId="77777777" w:rsidR="00D90D46" w:rsidRPr="008127F8" w:rsidRDefault="00D90D46" w:rsidP="001E0A84">
      <w:pPr>
        <w:pStyle w:val="623"/>
        <w:shd w:val="clear" w:color="auto" w:fill="auto"/>
        <w:spacing w:before="0" w:line="240" w:lineRule="auto"/>
        <w:rPr>
          <w:color w:val="000000" w:themeColor="text1"/>
          <w:sz w:val="16"/>
          <w:szCs w:val="16"/>
        </w:rPr>
      </w:pPr>
      <w:r w:rsidRPr="008127F8">
        <w:rPr>
          <w:rStyle w:val="16"/>
          <w:rFonts w:ascii="Times New Roman" w:cs="Times New Roman"/>
          <w:color w:val="000000" w:themeColor="text1"/>
          <w:spacing w:val="0"/>
          <w:u w:val="none"/>
        </w:rPr>
        <w:t>а) Наркомат авиапромышленности (НКАП)</w:t>
      </w:r>
    </w:p>
    <w:tbl>
      <w:tblPr>
        <w:tblW w:w="0" w:type="auto"/>
        <w:tblLayout w:type="fixed"/>
        <w:tblCellMar>
          <w:left w:w="10" w:type="dxa"/>
          <w:right w:w="10" w:type="dxa"/>
        </w:tblCellMar>
        <w:tblLook w:val="0000" w:firstRow="0" w:lastRow="0" w:firstColumn="0" w:lastColumn="0" w:noHBand="0" w:noVBand="0"/>
      </w:tblPr>
      <w:tblGrid>
        <w:gridCol w:w="480"/>
        <w:gridCol w:w="3336"/>
        <w:gridCol w:w="4973"/>
      </w:tblGrid>
      <w:tr w:rsidR="006F4095" w:rsidRPr="008127F8" w14:paraId="0032B3B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24A6D0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 им</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C449E0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Наименование предприятия</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F6E294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Куда эвакуировано</w:t>
            </w:r>
          </w:p>
        </w:tc>
      </w:tr>
      <w:tr w:rsidR="006F4095" w:rsidRPr="008127F8" w14:paraId="6A5C2F6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424E69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6AF25C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479, г. Серпухов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848C28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 г. Бийск Алтайского края</w:t>
            </w:r>
          </w:p>
        </w:tc>
      </w:tr>
      <w:tr w:rsidR="006F4095" w:rsidRPr="008127F8" w14:paraId="3E9DCB7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D9270C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5FC981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Заводы № 234, 451,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664A86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моторный завод № 381 НКАП, г. Уфа</w:t>
            </w:r>
          </w:p>
        </w:tc>
      </w:tr>
      <w:tr w:rsidR="006F4095" w:rsidRPr="008127F8" w14:paraId="3E71566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936FB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131B75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49, г. Балашиха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B545C9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моторный завод № 381 НКАП, г. Уфа</w:t>
            </w:r>
          </w:p>
        </w:tc>
      </w:tr>
      <w:tr w:rsidR="006F4095" w:rsidRPr="008127F8" w14:paraId="01589F3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D0CEB8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3B3D39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26, г. Рыбинск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4C9EB6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заводы № 338, 384 НКАП, г. Уфа</w:t>
            </w:r>
          </w:p>
        </w:tc>
      </w:tr>
      <w:tr w:rsidR="006F4095" w:rsidRPr="008127F8" w14:paraId="24F2DB8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FDFED7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CA515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Центральный институт авиамоторо</w:t>
            </w:r>
            <w:r w:rsidRPr="008127F8">
              <w:rPr>
                <w:rStyle w:val="Bodytext2"/>
                <w:rFonts w:eastAsia="Calibri"/>
                <w:color w:val="000000" w:themeColor="text1"/>
                <w:sz w:val="16"/>
                <w:szCs w:val="16"/>
              </w:rPr>
              <w:softHyphen/>
              <w:t>строения (ЦИАМ),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43D0B9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моторный завод № 384 НКАП, г. Москва</w:t>
            </w:r>
          </w:p>
        </w:tc>
      </w:tr>
      <w:tr w:rsidR="006F4095" w:rsidRPr="008127F8" w14:paraId="690AFEE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3DD8A7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514B8D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ОКБ завода № 16,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703D4E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моторный завод № 384 НКАП, г. Москва</w:t>
            </w:r>
          </w:p>
        </w:tc>
      </w:tr>
      <w:tr w:rsidR="006F4095" w:rsidRPr="008127F8" w14:paraId="6B52218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5E2AAA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3BAB43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476</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CA0AE7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461 НКАП, г. Киров</w:t>
            </w:r>
          </w:p>
        </w:tc>
      </w:tr>
      <w:tr w:rsidR="006F4095" w:rsidRPr="008127F8" w14:paraId="6680859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8DD6CF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1AB3F9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291</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1B34C3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384 НКАП, г. Уфа</w:t>
            </w:r>
          </w:p>
        </w:tc>
      </w:tr>
      <w:tr w:rsidR="006F4095" w:rsidRPr="008127F8" w14:paraId="4266144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B92E6D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DAEF49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469, г. Солнечногорск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BEB068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275 НКАП, г. Горький</w:t>
            </w:r>
          </w:p>
        </w:tc>
      </w:tr>
      <w:tr w:rsidR="006F4095" w:rsidRPr="008127F8" w14:paraId="5D2E8FB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124BA3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908A25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119,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B483BE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21 НКАП, г. Горький</w:t>
            </w:r>
          </w:p>
        </w:tc>
      </w:tr>
      <w:tr w:rsidR="006F4095" w:rsidRPr="008127F8" w14:paraId="65A52E4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E4B486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926503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DE141C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337 НКАП, г. Куйбышев</w:t>
            </w:r>
          </w:p>
        </w:tc>
      </w:tr>
      <w:tr w:rsidR="006F4095" w:rsidRPr="008127F8" w14:paraId="3D04835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CEE5D5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F7EFDB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ОКБ-301, г. Химки</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5D810A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21 НКАП, г. Горький</w:t>
            </w:r>
          </w:p>
        </w:tc>
      </w:tr>
      <w:tr w:rsidR="006F4095" w:rsidRPr="008127F8" w14:paraId="499DF70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13010F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C08154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D24D8C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125 НКАП, г. Иркутск</w:t>
            </w:r>
          </w:p>
        </w:tc>
      </w:tr>
      <w:tr w:rsidR="006F4095" w:rsidRPr="008127F8" w14:paraId="37F5161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C1BB1F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D8767C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481,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EA56B0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164 НАКП</w:t>
            </w:r>
          </w:p>
          <w:p w14:paraId="1B08B42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ликероводочный завод НКпищепрома и гвоздильный завод НКместпрома, г. Сызрань</w:t>
            </w:r>
          </w:p>
        </w:tc>
      </w:tr>
      <w:tr w:rsidR="006F4095" w:rsidRPr="008127F8" w14:paraId="07331B1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05E225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6591CB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145,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3B00EB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315 НКАП, г. Киров</w:t>
            </w:r>
          </w:p>
          <w:p w14:paraId="7430978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455 НКАП, г. Куйбышев</w:t>
            </w:r>
          </w:p>
        </w:tc>
      </w:tr>
      <w:tr w:rsidR="006F4095" w:rsidRPr="008127F8" w14:paraId="636696A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EA25E6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60B64B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266,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E2474A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461 НКАП, г. Киров</w:t>
            </w:r>
          </w:p>
          <w:p w14:paraId="179C549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электромоторный завод НКэлектропрома, г. Томск</w:t>
            </w:r>
          </w:p>
        </w:tc>
      </w:tr>
      <w:tr w:rsidR="006F4095" w:rsidRPr="008127F8" w14:paraId="317FDC3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1AE3E0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48FCAE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25,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B67A05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28 НКАП, г. Ульяновск</w:t>
            </w:r>
          </w:p>
        </w:tc>
      </w:tr>
      <w:tr w:rsidR="006F4095" w:rsidRPr="008127F8" w14:paraId="624AD35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12FE7F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E2111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B5B76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бытовок заводов № 122, 295 НКАП, г. Куйбышев</w:t>
            </w:r>
          </w:p>
        </w:tc>
      </w:tr>
      <w:tr w:rsidR="006F4095" w:rsidRPr="008127F8" w14:paraId="16342BD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B9AD5D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E09C6F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477</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823886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им. Побежимова Главсевморпути и на площади Дворца культуры ВЦСПС, г. Красноярск</w:t>
            </w:r>
          </w:p>
        </w:tc>
      </w:tr>
      <w:tr w:rsidR="006F4095" w:rsidRPr="008127F8" w14:paraId="50F03F6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A8188F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lastRenderedPageBreak/>
              <w:t>20.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670C46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452,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F2C48C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337 НКАП, г. Куйбышев</w:t>
            </w:r>
          </w:p>
        </w:tc>
      </w:tr>
      <w:tr w:rsidR="006F4095" w:rsidRPr="008127F8" w14:paraId="2A2BF17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BBD0EB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EEB249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487,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DE80DC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481 НКАП</w:t>
            </w:r>
          </w:p>
          <w:p w14:paraId="7A6538F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ликероводочный завод НКпищепрома СССР и на пло</w:t>
            </w:r>
            <w:r w:rsidRPr="008127F8">
              <w:rPr>
                <w:rStyle w:val="Bodytext2"/>
                <w:rFonts w:eastAsia="Calibri"/>
                <w:color w:val="000000" w:themeColor="text1"/>
                <w:sz w:val="16"/>
                <w:szCs w:val="16"/>
              </w:rPr>
              <w:softHyphen/>
              <w:t>щади Учительского института,</w:t>
            </w:r>
          </w:p>
          <w:p w14:paraId="1848875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 Сызрань Куйбышевской обл.</w:t>
            </w:r>
          </w:p>
          <w:p w14:paraId="317D2CC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завод № 454 НКАП, г. Куйбышев</w:t>
            </w:r>
          </w:p>
        </w:tc>
      </w:tr>
      <w:tr w:rsidR="006F4095" w:rsidRPr="008127F8" w14:paraId="3CF5DEC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2DC136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FE19C8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D3ECAC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вновь строящиеся заводы НКАП, г. Куйбышев</w:t>
            </w:r>
          </w:p>
        </w:tc>
      </w:tr>
      <w:tr w:rsidR="006F4095" w:rsidRPr="008127F8" w14:paraId="0D11D54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F7051C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2FD54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BA6121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122 НКАП, г. Куйбышев</w:t>
            </w:r>
          </w:p>
        </w:tc>
      </w:tr>
      <w:tr w:rsidR="006F4095" w:rsidRPr="008127F8" w14:paraId="433115F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2ED59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FC5A7F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464, г. Рига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C8ECC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122 НКАП, г. Куйбышев</w:t>
            </w:r>
          </w:p>
        </w:tc>
      </w:tr>
      <w:tr w:rsidR="006F4095" w:rsidRPr="008127F8" w14:paraId="4EEB18B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D24861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D37EBC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18,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55D149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295 НКАП, г. Куйбышев</w:t>
            </w:r>
          </w:p>
        </w:tc>
      </w:tr>
      <w:tr w:rsidR="006F4095" w:rsidRPr="008127F8" w14:paraId="6E1D29C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C2082C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6467CC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454, г. Киев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92F13F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 производственные и жилые помещения артели «Ход» УПК при СНК РСФСР, г. Куйбышев</w:t>
            </w:r>
          </w:p>
        </w:tc>
      </w:tr>
      <w:tr w:rsidR="006F4095" w:rsidRPr="008127F8" w14:paraId="0DF14F6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FD831E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3FF1B6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CADF9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лабораторий Куйбышевского гидроузла НКВД СССР, г. Куйбышев</w:t>
            </w:r>
          </w:p>
        </w:tc>
      </w:tr>
      <w:tr w:rsidR="006F4095" w:rsidRPr="008127F8" w14:paraId="02AEACF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D809D8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A272B5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459, г. Могилев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BB67B8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337 НКАП, г. Куйбышев</w:t>
            </w:r>
          </w:p>
        </w:tc>
      </w:tr>
      <w:tr w:rsidR="006F4095" w:rsidRPr="008127F8" w14:paraId="674CAF7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22F147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330052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463, г. Таллин</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4435CD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122 НКАП, г. Куйбышев</w:t>
            </w:r>
          </w:p>
        </w:tc>
      </w:tr>
      <w:tr w:rsidR="006F4095" w:rsidRPr="008127F8" w14:paraId="2FF5EA5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3F3630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B2A1F3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оснастки № 8,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9FC528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122 НКАП, г. Куйбышев</w:t>
            </w:r>
          </w:p>
        </w:tc>
      </w:tr>
      <w:tr w:rsidR="006F4095" w:rsidRPr="008127F8" w14:paraId="17133EC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82AFBE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40E4B3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289,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367902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135 НКАП, г. Молотов</w:t>
            </w:r>
          </w:p>
        </w:tc>
      </w:tr>
      <w:tr w:rsidR="006F4095" w:rsidRPr="008127F8" w14:paraId="1E7BB47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85D359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ADE742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ВИАМ,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31B6EF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заводы НКАП, г. Куйбышев</w:t>
            </w:r>
          </w:p>
        </w:tc>
      </w:tr>
      <w:tr w:rsidR="006F4095" w:rsidRPr="008127F8" w14:paraId="7104F8E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AC6494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3F6677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383,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ECE47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мебельную фабрику НКместпрома РСФСР, г. Йошкар-Ола</w:t>
            </w:r>
          </w:p>
        </w:tc>
      </w:tr>
      <w:tr w:rsidR="006F4095" w:rsidRPr="008127F8" w14:paraId="56CE0DE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6CD89B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62801C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33,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7D8E4C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339 НКАП, г. Молотов</w:t>
            </w:r>
          </w:p>
        </w:tc>
      </w:tr>
      <w:tr w:rsidR="006F4095" w:rsidRPr="008127F8" w14:paraId="71EB9ED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9F7F56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88EBA9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224 (часть),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69875C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строительную площадку Авиатехникума НКАП, г. Мо</w:t>
            </w:r>
            <w:r w:rsidRPr="008127F8">
              <w:rPr>
                <w:rStyle w:val="Bodytext2"/>
                <w:rFonts w:eastAsia="Calibri"/>
                <w:color w:val="000000" w:themeColor="text1"/>
                <w:sz w:val="16"/>
                <w:szCs w:val="16"/>
              </w:rPr>
              <w:softHyphen/>
              <w:t>лотов</w:t>
            </w:r>
          </w:p>
        </w:tc>
      </w:tr>
      <w:tr w:rsidR="006F4095" w:rsidRPr="008127F8" w14:paraId="737CC77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73ABEB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3B2FC9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135,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491412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19 НКАП, г. Молотов</w:t>
            </w:r>
          </w:p>
        </w:tc>
      </w:tr>
      <w:tr w:rsidR="006F4095" w:rsidRPr="008127F8" w14:paraId="7D6024B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4FCDB5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377CB4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450</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5BF77B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19 НКАП, г. Молотов</w:t>
            </w:r>
          </w:p>
        </w:tc>
      </w:tr>
      <w:tr w:rsidR="006F4095" w:rsidRPr="008127F8" w14:paraId="2F65C03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C6D184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04A5F8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480</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040576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19 НКАП, г. Молотов</w:t>
            </w:r>
          </w:p>
        </w:tc>
      </w:tr>
      <w:tr w:rsidR="006F4095" w:rsidRPr="008127F8" w14:paraId="36658E1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D8BE7D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B4A894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296, г. Осипенко</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5818F5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пяти складов УГМР, пос. Бердск Новосибирской обл.</w:t>
            </w:r>
          </w:p>
        </w:tc>
      </w:tr>
      <w:tr w:rsidR="006F4095" w:rsidRPr="008127F8" w14:paraId="481D3D2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109081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288E86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9 Оргавиапрома, г. Осипенко</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9485CC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пяти складов УГМР, пос. Бердск Новосибирской обл.</w:t>
            </w:r>
          </w:p>
        </w:tc>
      </w:tr>
      <w:tr w:rsidR="006F4095" w:rsidRPr="008127F8" w14:paraId="49F822D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4C0DF3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640CC4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23,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E889B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153 НКАП, г. Новосибирск</w:t>
            </w:r>
          </w:p>
        </w:tc>
      </w:tr>
      <w:tr w:rsidR="006F4095" w:rsidRPr="008127F8" w14:paraId="34EBB48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F5DB1D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87CDBE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388</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90DE3D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153 НКАП, г. Новосибирск</w:t>
            </w:r>
          </w:p>
        </w:tc>
      </w:tr>
      <w:tr w:rsidR="006F4095" w:rsidRPr="008127F8" w14:paraId="7C0AEF8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178B88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F4C73C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43, г. Киев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30182F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153 НКАП, г. Новосибирск</w:t>
            </w:r>
          </w:p>
        </w:tc>
      </w:tr>
      <w:tr w:rsidR="006F4095" w:rsidRPr="008127F8" w14:paraId="7E05E05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A9358F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1C9F16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51,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B3EA9D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153 НКАП, г. Новосибирск</w:t>
            </w:r>
          </w:p>
        </w:tc>
      </w:tr>
      <w:tr w:rsidR="006F4095" w:rsidRPr="008127F8" w14:paraId="7DE68F6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27C378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26B32A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ЦАГИ (часть), г. Раменское Мо</w:t>
            </w:r>
            <w:r w:rsidRPr="008127F8">
              <w:rPr>
                <w:rStyle w:val="Bodytext2"/>
                <w:rFonts w:eastAsia="Calibri"/>
                <w:color w:val="000000" w:themeColor="text1"/>
                <w:sz w:val="16"/>
                <w:szCs w:val="16"/>
              </w:rPr>
              <w:softHyphen/>
              <w:t>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582E6C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153 НКАП, г. Новосибирск</w:t>
            </w:r>
          </w:p>
          <w:p w14:paraId="19DBCC9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124 НКАП, г. Казань</w:t>
            </w:r>
          </w:p>
          <w:p w14:paraId="2044791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площади Авиаинститута НКАП, г. Казань</w:t>
            </w:r>
          </w:p>
        </w:tc>
      </w:tr>
      <w:tr w:rsidR="006F4095" w:rsidRPr="008127F8" w14:paraId="6145C78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118E5D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3357D2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115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60E650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153 НКАП, г. Новосибирск</w:t>
            </w:r>
          </w:p>
        </w:tc>
      </w:tr>
      <w:tr w:rsidR="006F4095" w:rsidRPr="008127F8" w14:paraId="78475A8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D049A0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495CE6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Летно-испытательный институт ЛИИ, пос. Быково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21CAA7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153 НКАП, г. Новосибирск</w:t>
            </w:r>
          </w:p>
          <w:p w14:paraId="60C4C85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124 НКАП, г. Казань</w:t>
            </w:r>
          </w:p>
        </w:tc>
      </w:tr>
      <w:tr w:rsidR="006F4095" w:rsidRPr="008127F8" w14:paraId="7541C75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46980A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787D5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F6CB50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канатную фабрику НКтекстиля СССР, г. Пенза</w:t>
            </w:r>
          </w:p>
          <w:p w14:paraId="7869287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завода Речинской МТМ и на площади складов, г. Троицк Челябинской обл.</w:t>
            </w:r>
          </w:p>
        </w:tc>
      </w:tr>
      <w:tr w:rsidR="006F4095" w:rsidRPr="008127F8" w14:paraId="6E4E710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789A00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CD591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296,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1E0209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склады УГМР, г. Бердск Новосибирской обл.</w:t>
            </w:r>
          </w:p>
        </w:tc>
      </w:tr>
      <w:tr w:rsidR="006F4095" w:rsidRPr="008127F8" w14:paraId="2002E08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254152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EBB745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6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86A45C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 г. Кемерово Новосибирской обл.</w:t>
            </w:r>
          </w:p>
        </w:tc>
      </w:tr>
      <w:tr w:rsidR="006F4095" w:rsidRPr="008127F8" w14:paraId="7359F75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96D0FD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lastRenderedPageBreak/>
              <w:t>51.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805485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81,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DB4923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завода № 166 НКАП, завода автоприцепов НКсредмаша и авиамастерских ГУГВФ, г. Омск</w:t>
            </w:r>
          </w:p>
        </w:tc>
      </w:tr>
      <w:tr w:rsidR="006F4095" w:rsidRPr="008127F8" w14:paraId="502D9CB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D72704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A4A9CD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 г. Запорожье</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B6F319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166 НКАП, г. Омск</w:t>
            </w:r>
          </w:p>
          <w:p w14:paraId="23CED0D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им. Куйбышева, г. Омск</w:t>
            </w:r>
          </w:p>
        </w:tc>
      </w:tr>
      <w:tr w:rsidR="006F4095" w:rsidRPr="008127F8" w14:paraId="7E9A367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E3156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2B96F0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КБ Архангельского завода,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EE5527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166 НКАП, г. Омск</w:t>
            </w:r>
          </w:p>
        </w:tc>
      </w:tr>
      <w:tr w:rsidR="006F4095" w:rsidRPr="008127F8" w14:paraId="493DC59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D27C26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958CC9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156,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EADB67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завода № 166 НКАП, завода автоприцепов НКсредмаша и мастерских ГУГВФ</w:t>
            </w:r>
          </w:p>
        </w:tc>
      </w:tr>
      <w:tr w:rsidR="006F4095" w:rsidRPr="008127F8" w14:paraId="0DB6D77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1D18A2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AD7CF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09EF8A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им. Куйбышева НКобщемаша и на площади склада № 25 СибВО, г. Омск</w:t>
            </w:r>
          </w:p>
        </w:tc>
      </w:tr>
      <w:tr w:rsidR="006F4095" w:rsidRPr="008127F8" w14:paraId="17E828F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A75E40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7B99F8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32 (пр-во вооружения), г. Мо</w:t>
            </w:r>
            <w:r w:rsidRPr="008127F8">
              <w:rPr>
                <w:rStyle w:val="Bodytext2"/>
                <w:rFonts w:eastAsia="Calibri"/>
                <w:color w:val="000000" w:themeColor="text1"/>
                <w:sz w:val="16"/>
                <w:szCs w:val="16"/>
              </w:rPr>
              <w:softHyphen/>
              <w:t>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72B019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315 НКАП, г. Киров</w:t>
            </w:r>
          </w:p>
        </w:tc>
      </w:tr>
      <w:tr w:rsidR="006F4095" w:rsidRPr="008127F8" w14:paraId="724B248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07846E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145B89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288, Савелово Калининской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AC7E93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шести складов УГМР, г. Омск</w:t>
            </w:r>
          </w:p>
        </w:tc>
      </w:tr>
      <w:tr w:rsidR="006F4095" w:rsidRPr="008127F8" w14:paraId="66AA1E9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7C4E2F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744509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Стройтрест № 8,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2D4541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29 НКАП, г. Омск</w:t>
            </w:r>
          </w:p>
        </w:tc>
      </w:tr>
      <w:tr w:rsidR="006F4095" w:rsidRPr="008127F8" w14:paraId="1DC28D2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765525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149D4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241 (планерное пр-во), г. Мо</w:t>
            </w:r>
            <w:r w:rsidRPr="008127F8">
              <w:rPr>
                <w:rStyle w:val="Bodytext2"/>
                <w:rFonts w:eastAsia="Calibri"/>
                <w:color w:val="000000" w:themeColor="text1"/>
                <w:sz w:val="16"/>
                <w:szCs w:val="16"/>
              </w:rPr>
              <w:softHyphen/>
              <w:t>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2E1DC0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помещений двух крытых рынков горсовета, г. Тюмень</w:t>
            </w:r>
          </w:p>
        </w:tc>
      </w:tr>
      <w:tr w:rsidR="006F4095" w:rsidRPr="008127F8" w14:paraId="0CBB342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BADC2C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415E2D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471, Болшево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6AC6C2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163 НКАП, г. Пенза</w:t>
            </w:r>
          </w:p>
          <w:p w14:paraId="0FBE25C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канатную фабрику НКтекстиля СССР, г. Кузнецк Пен</w:t>
            </w:r>
            <w:r w:rsidRPr="008127F8">
              <w:rPr>
                <w:rStyle w:val="Bodytext2"/>
                <w:rFonts w:eastAsia="Calibri"/>
                <w:color w:val="000000" w:themeColor="text1"/>
                <w:sz w:val="16"/>
                <w:szCs w:val="16"/>
              </w:rPr>
              <w:softHyphen/>
              <w:t>зенской обл.</w:t>
            </w:r>
          </w:p>
        </w:tc>
      </w:tr>
      <w:tr w:rsidR="006F4095" w:rsidRPr="008127F8" w14:paraId="1B89374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4CDA51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043887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213,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9D856D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мясокомбината НКмясмолпрома СССР, г. Эн- гельск Саратовской обл.</w:t>
            </w:r>
          </w:p>
        </w:tc>
      </w:tr>
      <w:tr w:rsidR="006F4095" w:rsidRPr="008127F8" w14:paraId="078CFD5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A19595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985E05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133,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FFCFD4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строящийся завод № 306 НКАП, г. Саратов</w:t>
            </w:r>
          </w:p>
        </w:tc>
      </w:tr>
      <w:tr w:rsidR="006F4095" w:rsidRPr="008127F8" w14:paraId="2392458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E07C3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D0A93B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161</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9D09FE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строящийся завод № 306 НКАП, г. Саратов</w:t>
            </w:r>
          </w:p>
        </w:tc>
      </w:tr>
      <w:tr w:rsidR="006F4095" w:rsidRPr="008127F8" w14:paraId="1309CE5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D81BD6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54D150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167, г. Кунцево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92D89B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 филиал завода № 292 НКАП, г. Саратов</w:t>
            </w:r>
          </w:p>
        </w:tc>
      </w:tr>
      <w:tr w:rsidR="006F4095" w:rsidRPr="008127F8" w14:paraId="76F2682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A3E69D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76EABA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456 (пр-во моторных агрега</w:t>
            </w:r>
            <w:r w:rsidRPr="008127F8">
              <w:rPr>
                <w:rStyle w:val="Bodytext2"/>
                <w:rFonts w:eastAsia="Calibri"/>
                <w:color w:val="000000" w:themeColor="text1"/>
                <w:sz w:val="16"/>
                <w:szCs w:val="16"/>
              </w:rPr>
              <w:softHyphen/>
              <w:t>тов), г. Полтава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BBC040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инструментального цеха завода № 306 НКАП, г. Саратов</w:t>
            </w:r>
          </w:p>
        </w:tc>
      </w:tr>
      <w:tr w:rsidR="006F4095" w:rsidRPr="008127F8" w14:paraId="133DB10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C91F58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685552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165,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41F63A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292 НКАП, г. Саратов</w:t>
            </w:r>
          </w:p>
        </w:tc>
      </w:tr>
      <w:tr w:rsidR="006F4095" w:rsidRPr="008127F8" w14:paraId="5F49D20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0BDA42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64F25A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307, г. Ржев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563C44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площади школы НКпроса РСФСР, г. Екатериновск</w:t>
            </w:r>
          </w:p>
          <w:p w14:paraId="3F6D4DA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бывшей церкви, пос. Переезд Саратовской обл.</w:t>
            </w:r>
          </w:p>
        </w:tc>
      </w:tr>
      <w:tr w:rsidR="006F4095" w:rsidRPr="008127F8" w14:paraId="3D97BAC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E0BD4E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6F4554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162 (пр-во авиавинтов), г. Ле</w:t>
            </w:r>
            <w:r w:rsidRPr="008127F8">
              <w:rPr>
                <w:rStyle w:val="Bodytext2"/>
                <w:rFonts w:eastAsia="Calibri"/>
                <w:color w:val="000000" w:themeColor="text1"/>
                <w:sz w:val="16"/>
                <w:szCs w:val="16"/>
              </w:rPr>
              <w:softHyphen/>
              <w:t>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6783BB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449 НКАП, г. Саратов</w:t>
            </w:r>
          </w:p>
        </w:tc>
      </w:tr>
      <w:tr w:rsidR="006F4095" w:rsidRPr="008127F8" w14:paraId="5A40CA1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E5B30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711A64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478, г. Калуга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B24B50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84 НКАП, г. Ташкент</w:t>
            </w:r>
          </w:p>
        </w:tc>
      </w:tr>
      <w:tr w:rsidR="006F4095" w:rsidRPr="008127F8" w14:paraId="4D3B964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2955A3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6B236D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по производству лопастей винтов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DED8CB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Саратовскую мебельную фабрику НКлеса СССР, г. Са</w:t>
            </w:r>
            <w:r w:rsidRPr="008127F8">
              <w:rPr>
                <w:rStyle w:val="Bodytext2"/>
                <w:rFonts w:eastAsia="Calibri"/>
                <w:color w:val="000000" w:themeColor="text1"/>
                <w:sz w:val="16"/>
                <w:szCs w:val="16"/>
              </w:rPr>
              <w:softHyphen/>
              <w:t>ратов</w:t>
            </w:r>
          </w:p>
        </w:tc>
      </w:tr>
      <w:tr w:rsidR="006F4095" w:rsidRPr="008127F8" w14:paraId="25CFAC6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201075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82B35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380,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D27400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вагоностроительный завод НКсредмаша, г. Нижний Тагил Свердловской обл.</w:t>
            </w:r>
          </w:p>
        </w:tc>
      </w:tr>
      <w:tr w:rsidR="006F4095" w:rsidRPr="008127F8" w14:paraId="451B75F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B15A1D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7EDA3D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381,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2B2816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вагоностроительный завод НКсредмаша, г. Нижний Тагил Свердловской обл.</w:t>
            </w:r>
          </w:p>
        </w:tc>
      </w:tr>
      <w:tr w:rsidR="006F4095" w:rsidRPr="008127F8" w14:paraId="7A19C3E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989FA1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D4D4C3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120,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9724C8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вагоностроительный завод НКсредмаша, г. Нижний Тагил Свердловской обл.</w:t>
            </w:r>
          </w:p>
          <w:p w14:paraId="20EE896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286 НКАП, г. Каменск Челябинской обл.</w:t>
            </w:r>
          </w:p>
        </w:tc>
      </w:tr>
      <w:tr w:rsidR="006F4095" w:rsidRPr="008127F8" w14:paraId="11E0C65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97E4BF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D34254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«Точизмеритель» (Сходненское стекольное пр-во),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488097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Манчашский стекольный завод НКместпрома РСФСР, Свердловская обл.</w:t>
            </w:r>
          </w:p>
        </w:tc>
      </w:tr>
      <w:tr w:rsidR="006F4095" w:rsidRPr="008127F8" w14:paraId="1F18FF9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724FD5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117223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150,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F8828F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Верхне-Салдинский завод металлоконструкций НКстроя</w:t>
            </w:r>
          </w:p>
          <w:p w14:paraId="359954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268 НКАП, г. Каменск Челябинской обл.</w:t>
            </w:r>
          </w:p>
          <w:p w14:paraId="5651E70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в бытовки заводов № 122, 295 НКАП, г. Куйбышев</w:t>
            </w:r>
          </w:p>
        </w:tc>
      </w:tr>
      <w:tr w:rsidR="006F4095" w:rsidRPr="008127F8" w14:paraId="06BCC07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D12FE7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B9835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95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3F12F9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Верхне-Салдинский завод металлоконструкций, г. Верх</w:t>
            </w:r>
            <w:r w:rsidRPr="008127F8">
              <w:rPr>
                <w:rStyle w:val="Bodytext2"/>
                <w:rFonts w:eastAsia="Calibri"/>
                <w:color w:val="000000" w:themeColor="text1"/>
                <w:sz w:val="16"/>
                <w:szCs w:val="16"/>
              </w:rPr>
              <w:softHyphen/>
              <w:t>няя Салда Свердловской обл.</w:t>
            </w:r>
          </w:p>
        </w:tc>
      </w:tr>
      <w:tr w:rsidR="006F4095" w:rsidRPr="008127F8" w14:paraId="583623E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22FE5F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29583E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468, г. Бескудниково Москов</w:t>
            </w:r>
            <w:r w:rsidRPr="008127F8">
              <w:rPr>
                <w:rStyle w:val="Bodytext2"/>
                <w:rFonts w:eastAsia="Calibri"/>
                <w:color w:val="000000" w:themeColor="text1"/>
                <w:sz w:val="16"/>
                <w:szCs w:val="16"/>
              </w:rPr>
              <w:softHyphen/>
              <w:t>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CF1181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литейный завод НКместпрома РСФСР, г. Билимбай Свердловской обл.</w:t>
            </w:r>
          </w:p>
        </w:tc>
      </w:tr>
      <w:tr w:rsidR="006F4095" w:rsidRPr="008127F8" w14:paraId="2321B69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00BAD2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AFDB9E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293, г. Химки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2D0E65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литейный завод НКместпрома РСФСР, г. Билимбай Свердловской обл.</w:t>
            </w:r>
          </w:p>
        </w:tc>
      </w:tr>
      <w:tr w:rsidR="006F4095" w:rsidRPr="008127F8" w14:paraId="7D551C6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F671CB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1C5A97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703264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литейный завод НКместпрома РСФСР, г. Билимбай Свердловской обл.</w:t>
            </w:r>
          </w:p>
          <w:p w14:paraId="7EE048C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Билимбайского клуба (бывшая церковь), г. Билимбай Свердловской обл.</w:t>
            </w:r>
          </w:p>
        </w:tc>
      </w:tr>
      <w:tr w:rsidR="006F4095" w:rsidRPr="008127F8" w14:paraId="43C16D9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530D13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D75E2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214(пр-во авиаприборов),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D4323C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клуба им. Профинтерна ВЦСПС, г. Свердловск</w:t>
            </w:r>
          </w:p>
        </w:tc>
      </w:tr>
      <w:tr w:rsidR="006F4095" w:rsidRPr="008127F8" w14:paraId="130997A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E95953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B8A3FA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382, г. Тарту</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1B8365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клуба им. Профинтерна ВЦСПС, г. Свердловск</w:t>
            </w:r>
          </w:p>
        </w:tc>
      </w:tr>
      <w:tr w:rsidR="006F4095" w:rsidRPr="008127F8" w14:paraId="7DD5DC6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20A9DC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lastRenderedPageBreak/>
              <w:t>82.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C54E00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155,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F23072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клуба им. Профинтерна ВЦСПС, г. Свердловск</w:t>
            </w:r>
          </w:p>
        </w:tc>
      </w:tr>
      <w:tr w:rsidR="006F4095" w:rsidRPr="008127F8" w14:paraId="750A8AF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0760E4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C0D803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240,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CFBDAE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предоставленные Свердловским облисполко</w:t>
            </w:r>
            <w:r w:rsidRPr="008127F8">
              <w:rPr>
                <w:rStyle w:val="Bodytext2"/>
                <w:rFonts w:eastAsia="Calibri"/>
                <w:color w:val="000000" w:themeColor="text1"/>
                <w:sz w:val="16"/>
                <w:szCs w:val="16"/>
              </w:rPr>
              <w:softHyphen/>
              <w:t>мом, г. Свердловск</w:t>
            </w:r>
          </w:p>
        </w:tc>
      </w:tr>
      <w:tr w:rsidR="006F4095" w:rsidRPr="008127F8" w14:paraId="2E65DB4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083046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D4C738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8F8DDE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Энергомеханического техникума НКэлектро- прома, г. Свердловск</w:t>
            </w:r>
          </w:p>
        </w:tc>
      </w:tr>
      <w:tr w:rsidR="006F4095" w:rsidRPr="008127F8" w14:paraId="6E68253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49A365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B248C7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Заводы № 3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42E772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площади вагоноремонтной мастерской и депо НКПС, г. Тавда</w:t>
            </w:r>
          </w:p>
          <w:p w14:paraId="459E8BD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бывшего прокатного цеха, пос. Черноисточник Свердловской обл.</w:t>
            </w:r>
          </w:p>
        </w:tc>
      </w:tr>
      <w:tr w:rsidR="006F4095" w:rsidRPr="008127F8" w14:paraId="49FE651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C6905A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40A9A9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5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5D9017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площади вагоноремонтной мастерской и депо НКПС, г. Тавда</w:t>
            </w:r>
          </w:p>
          <w:p w14:paraId="611A536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бывшего прокатного цеха, пос. Черноисточник Свердловской обл.</w:t>
            </w:r>
          </w:p>
        </w:tc>
      </w:tr>
      <w:tr w:rsidR="006F4095" w:rsidRPr="008127F8" w14:paraId="65DB289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F7918E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3BDC8F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261</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2D44EA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Делового дома, г. Свердловск</w:t>
            </w:r>
          </w:p>
        </w:tc>
      </w:tr>
      <w:tr w:rsidR="006F4095" w:rsidRPr="008127F8" w14:paraId="7CA74E0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3B1690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817C7A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Опытный завод металлических баков при заводе № 156,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3541B4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лесозавод НКместпрома РСФСР, г. Невьянск Свердлов</w:t>
            </w:r>
            <w:r w:rsidRPr="008127F8">
              <w:rPr>
                <w:rStyle w:val="Bodytext2"/>
                <w:rFonts w:eastAsia="Calibri"/>
                <w:color w:val="000000" w:themeColor="text1"/>
                <w:sz w:val="16"/>
                <w:szCs w:val="16"/>
              </w:rPr>
              <w:softHyphen/>
              <w:t>ской обл.</w:t>
            </w:r>
          </w:p>
        </w:tc>
      </w:tr>
      <w:tr w:rsidR="006F4095" w:rsidRPr="008127F8" w14:paraId="3CCE134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96A523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E0EDC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445, Московская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60FF24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 xml:space="preserve">На Алапаевский деревоотделочный комбинат НКЧМ, г. </w:t>
            </w:r>
            <w:proofErr w:type="gramStart"/>
            <w:r w:rsidRPr="008127F8">
              <w:rPr>
                <w:rStyle w:val="Bodytext2"/>
                <w:rFonts w:eastAsia="Calibri"/>
                <w:color w:val="000000" w:themeColor="text1"/>
                <w:sz w:val="16"/>
                <w:szCs w:val="16"/>
              </w:rPr>
              <w:t>Ала- паевск</w:t>
            </w:r>
            <w:proofErr w:type="gramEnd"/>
            <w:r w:rsidRPr="008127F8">
              <w:rPr>
                <w:rStyle w:val="Bodytext2"/>
                <w:rFonts w:eastAsia="Calibri"/>
                <w:color w:val="000000" w:themeColor="text1"/>
                <w:sz w:val="16"/>
                <w:szCs w:val="16"/>
              </w:rPr>
              <w:t xml:space="preserve"> Свердловской обл.</w:t>
            </w:r>
          </w:p>
        </w:tc>
      </w:tr>
      <w:tr w:rsidR="006F4095" w:rsidRPr="008127F8" w14:paraId="1E55CE7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8C5D52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88EC42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493, Московская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8090D7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 xml:space="preserve">На Алапаевский деревоотделочный комбинат НКЧМ, г. </w:t>
            </w:r>
            <w:proofErr w:type="gramStart"/>
            <w:r w:rsidRPr="008127F8">
              <w:rPr>
                <w:rStyle w:val="Bodytext2"/>
                <w:rFonts w:eastAsia="Calibri"/>
                <w:color w:val="000000" w:themeColor="text1"/>
                <w:sz w:val="16"/>
                <w:szCs w:val="16"/>
              </w:rPr>
              <w:t>Ала- паевск</w:t>
            </w:r>
            <w:proofErr w:type="gramEnd"/>
            <w:r w:rsidRPr="008127F8">
              <w:rPr>
                <w:rStyle w:val="Bodytext2"/>
                <w:rFonts w:eastAsia="Calibri"/>
                <w:color w:val="000000" w:themeColor="text1"/>
                <w:sz w:val="16"/>
                <w:szCs w:val="16"/>
              </w:rPr>
              <w:t xml:space="preserve"> Свердловской обл.</w:t>
            </w:r>
          </w:p>
        </w:tc>
      </w:tr>
      <w:tr w:rsidR="006F4095" w:rsidRPr="008127F8" w14:paraId="5001E0F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CDE955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213992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28,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4E7144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493 НКАП и мебельную фабрику НКместпрома РСФСР, г. Свердловск</w:t>
            </w:r>
          </w:p>
        </w:tc>
      </w:tr>
      <w:tr w:rsidR="006F4095" w:rsidRPr="008127F8" w14:paraId="2E8E1A1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31FBF7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401155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89D889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124 НКАП, г. Казань</w:t>
            </w:r>
          </w:p>
        </w:tc>
      </w:tr>
      <w:tr w:rsidR="006F4095" w:rsidRPr="008127F8" w14:paraId="39EDB5B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C8AD8C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5AAA1D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82</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0F3EE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27 НКАП, г. Казань</w:t>
            </w:r>
          </w:p>
        </w:tc>
      </w:tr>
      <w:tr w:rsidR="006F4095" w:rsidRPr="008127F8" w14:paraId="1E99E30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F60AFA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B3F7DC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16</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DC8E22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27 НКАП, г. Казань</w:t>
            </w:r>
          </w:p>
        </w:tc>
      </w:tr>
      <w:tr w:rsidR="006F4095" w:rsidRPr="008127F8" w14:paraId="3570ECA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0A7D8D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237752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218 (часть),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495E4A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фабрики кинопленки Комитета по делам кине</w:t>
            </w:r>
            <w:r w:rsidRPr="008127F8">
              <w:rPr>
                <w:rStyle w:val="Bodytext2"/>
                <w:rFonts w:eastAsia="Calibri"/>
                <w:color w:val="000000" w:themeColor="text1"/>
                <w:sz w:val="16"/>
                <w:szCs w:val="16"/>
              </w:rPr>
              <w:softHyphen/>
              <w:t>матографии, г. Казань</w:t>
            </w:r>
          </w:p>
        </w:tc>
      </w:tr>
      <w:tr w:rsidR="006F4095" w:rsidRPr="008127F8" w14:paraId="493081E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83469C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DCC168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230,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989C55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площади фабрики кинопленки Комитета по делам ки</w:t>
            </w:r>
            <w:r w:rsidRPr="008127F8">
              <w:rPr>
                <w:rStyle w:val="Bodytext2"/>
                <w:rFonts w:eastAsia="Calibri"/>
                <w:color w:val="000000" w:themeColor="text1"/>
                <w:sz w:val="16"/>
                <w:szCs w:val="16"/>
              </w:rPr>
              <w:softHyphen/>
              <w:t>нематографии, г. Казань</w:t>
            </w:r>
          </w:p>
          <w:p w14:paraId="756545B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Ветеринарного института и Ветеринарного техникума НКзема СССР, г. Казань</w:t>
            </w:r>
          </w:p>
        </w:tc>
      </w:tr>
      <w:tr w:rsidR="006F4095" w:rsidRPr="008127F8" w14:paraId="4F57C06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4F36D1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9AC780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473, г. Львов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8855D4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кинофабрику Комитета по делам кинематографии, г. Ка</w:t>
            </w:r>
            <w:r w:rsidRPr="008127F8">
              <w:rPr>
                <w:rStyle w:val="Bodytext2"/>
                <w:rFonts w:eastAsia="Calibri"/>
                <w:color w:val="000000" w:themeColor="text1"/>
                <w:sz w:val="16"/>
                <w:szCs w:val="16"/>
              </w:rPr>
              <w:softHyphen/>
              <w:t>зань</w:t>
            </w:r>
          </w:p>
        </w:tc>
      </w:tr>
      <w:tr w:rsidR="006F4095" w:rsidRPr="008127F8" w14:paraId="61D428D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47E4E2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C88C9E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278 (30%),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6B611C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Ветеринарного института и Ветеринарного тех</w:t>
            </w:r>
            <w:r w:rsidRPr="008127F8">
              <w:rPr>
                <w:rStyle w:val="Bodytext2"/>
                <w:rFonts w:eastAsia="Calibri"/>
                <w:color w:val="000000" w:themeColor="text1"/>
                <w:sz w:val="16"/>
                <w:szCs w:val="16"/>
              </w:rPr>
              <w:softHyphen/>
              <w:t>никума НКзема СССР, г. Казань</w:t>
            </w:r>
          </w:p>
        </w:tc>
      </w:tr>
      <w:tr w:rsidR="006F4095" w:rsidRPr="008127F8" w14:paraId="020CFAA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32F0F5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F6BD9D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168, г. Рязань</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790DC2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Лопатинский лесокомбинат НКлеса СССР, ст. Лопатино Казанской ж.д.</w:t>
            </w:r>
          </w:p>
          <w:p w14:paraId="1B5AB63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471 НКАП, г. Шумерля Чувашской АССР</w:t>
            </w:r>
          </w:p>
        </w:tc>
      </w:tr>
      <w:tr w:rsidR="006F4095" w:rsidRPr="008127F8" w14:paraId="001E97F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F7B12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753132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294,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911EF8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пивоваренный завод «Красный Восток» НКПищепрома СССР, г. Казань</w:t>
            </w:r>
          </w:p>
        </w:tc>
      </w:tr>
      <w:tr w:rsidR="006F4095" w:rsidRPr="008127F8" w14:paraId="27E1CCA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0B784C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B6D1DF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8 НКместпрома РСФСР, г. Мо</w:t>
            </w:r>
            <w:r w:rsidRPr="008127F8">
              <w:rPr>
                <w:rStyle w:val="Bodytext2"/>
                <w:rFonts w:eastAsia="Calibri"/>
                <w:color w:val="000000" w:themeColor="text1"/>
                <w:sz w:val="16"/>
                <w:szCs w:val="16"/>
              </w:rPr>
              <w:softHyphen/>
              <w:t>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424190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пивоваренный завод «Красный Восток» НКПищепрома СССР, г. Казань</w:t>
            </w:r>
          </w:p>
        </w:tc>
      </w:tr>
      <w:tr w:rsidR="006F4095" w:rsidRPr="008127F8" w14:paraId="5233AD4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C75271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5688F7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84,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753BAD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мастерских ГУГВФ и Полиграфического ком</w:t>
            </w:r>
            <w:r w:rsidRPr="008127F8">
              <w:rPr>
                <w:rStyle w:val="Bodytext2"/>
                <w:rFonts w:eastAsia="Calibri"/>
                <w:color w:val="000000" w:themeColor="text1"/>
                <w:sz w:val="16"/>
                <w:szCs w:val="16"/>
              </w:rPr>
              <w:softHyphen/>
              <w:t>бината, г. Ташкент</w:t>
            </w:r>
          </w:p>
        </w:tc>
      </w:tr>
      <w:tr w:rsidR="006F4095" w:rsidRPr="008127F8" w14:paraId="673CAE6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38C9C6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459A43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 xml:space="preserve">Завод № 279 (пр-во приборов), г. </w:t>
            </w:r>
            <w:proofErr w:type="gramStart"/>
            <w:r w:rsidRPr="008127F8">
              <w:rPr>
                <w:rStyle w:val="Bodytext2"/>
                <w:rFonts w:eastAsia="Calibri"/>
                <w:color w:val="000000" w:themeColor="text1"/>
                <w:sz w:val="16"/>
                <w:szCs w:val="16"/>
              </w:rPr>
              <w:t>Рамен- ское</w:t>
            </w:r>
            <w:proofErr w:type="gramEnd"/>
            <w:r w:rsidRPr="008127F8">
              <w:rPr>
                <w:rStyle w:val="Bodytext2"/>
                <w:rFonts w:eastAsia="Calibri"/>
                <w:color w:val="000000" w:themeColor="text1"/>
                <w:sz w:val="16"/>
                <w:szCs w:val="16"/>
              </w:rPr>
              <w:t xml:space="preserve">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DFDA8A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клуба им. Х-летия Октябрьской революции, г. Ижевск</w:t>
            </w:r>
          </w:p>
        </w:tc>
      </w:tr>
      <w:tr w:rsidR="006F4095" w:rsidRPr="008127F8" w14:paraId="6557445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DFB1F5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5EE7E2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444, г. Перово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96BBDA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Симский арматурный завод НКобщемаша, Челябинская обл.</w:t>
            </w:r>
          </w:p>
        </w:tc>
      </w:tr>
      <w:tr w:rsidR="006F4095" w:rsidRPr="008127F8" w14:paraId="50765E3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FE5E94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232B4D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132,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E514FF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Симский арматурный завод НКобщемаша, Челябинская обл.</w:t>
            </w:r>
          </w:p>
        </w:tc>
      </w:tr>
      <w:tr w:rsidR="006F4095" w:rsidRPr="008127F8" w14:paraId="3B5F67D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80A7FB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D2476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Инструментальный завод № 2 Оргавиа- 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F091B0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механической мастерской Госселекционной станции НКзема СССР, пос. Опытная Челябинской обл.</w:t>
            </w:r>
          </w:p>
        </w:tc>
      </w:tr>
      <w:tr w:rsidR="006F4095" w:rsidRPr="008127F8" w14:paraId="6D74C2A7"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6204E3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065986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47 (пр-во самолетов УТ-2),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493998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авиареммастерских ВВС НКО и мебельной фабрики НКлеса СССР, г. Чкалов</w:t>
            </w:r>
          </w:p>
        </w:tc>
      </w:tr>
      <w:tr w:rsidR="006F4095" w:rsidRPr="008127F8" w14:paraId="4B19B9A2"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35C63E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A704EB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482,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1894B4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494 НКАП, пос. Козловка Чувашской АССР</w:t>
            </w:r>
          </w:p>
        </w:tc>
      </w:tr>
      <w:tr w:rsidR="006F4095" w:rsidRPr="008127F8" w14:paraId="575AD632"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4F369B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92AB67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ОКБ-28,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6A5F2A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471 НКАП, г. Шумерля</w:t>
            </w:r>
          </w:p>
        </w:tc>
      </w:tr>
      <w:tr w:rsidR="006F4095" w:rsidRPr="008127F8" w14:paraId="477D7E99"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2D81AC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788EDC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305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B1609A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бытовок заводов № 122, 295, г. Куйбышев</w:t>
            </w:r>
          </w:p>
        </w:tc>
      </w:tr>
      <w:tr w:rsidR="006F4095" w:rsidRPr="008127F8" w14:paraId="41DF8591"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46E842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ECFC9F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31, г. Таганрог</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483083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448 НКАП, г. Тбилиси</w:t>
            </w:r>
          </w:p>
        </w:tc>
      </w:tr>
      <w:tr w:rsidR="006F4095" w:rsidRPr="008127F8" w14:paraId="6B0E58CC"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713E61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16FC99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35, г. Смоленск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89584A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122 НКАП, г. Куйбышев</w:t>
            </w:r>
          </w:p>
        </w:tc>
      </w:tr>
      <w:tr w:rsidR="006F4095" w:rsidRPr="008127F8" w14:paraId="2F298E83"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071866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3E778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 г. Севастополь</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D7C933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448 НКАП, г. Тбилиси</w:t>
            </w:r>
          </w:p>
        </w:tc>
      </w:tr>
      <w:tr w:rsidR="006F4095" w:rsidRPr="008127F8" w14:paraId="44212666"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84CFB1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C49E12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154,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9502ED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хлопковых складов, г. Андижан Узбекской ССР</w:t>
            </w:r>
          </w:p>
        </w:tc>
      </w:tr>
      <w:tr w:rsidR="006F4095" w:rsidRPr="008127F8" w14:paraId="2C0519B7"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CAF76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lastRenderedPageBreak/>
              <w:t>115.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382679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207, ст. Долгопрудная Яро</w:t>
            </w:r>
            <w:r w:rsidRPr="008127F8">
              <w:rPr>
                <w:rStyle w:val="Bodytext2"/>
                <w:rFonts w:eastAsia="Calibri"/>
                <w:color w:val="000000" w:themeColor="text1"/>
                <w:sz w:val="16"/>
                <w:szCs w:val="16"/>
              </w:rPr>
              <w:softHyphen/>
              <w:t>славской ж.д.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CCDBE2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 19 НКАП, г. Молотов</w:t>
            </w:r>
          </w:p>
        </w:tc>
      </w:tr>
      <w:tr w:rsidR="006F4095" w:rsidRPr="008127F8" w14:paraId="273416A7" w14:textId="77777777" w:rsidTr="0077406C">
        <w:trPr>
          <w:trHeight w:val="682"/>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AB84DD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B8EC1B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219, г. Реутово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EAB55F0"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384 НКАП, г. Уфа Башкирской АССР</w:t>
            </w:r>
          </w:p>
          <w:p w14:paraId="6E0CAFC7"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27, г. Казань</w:t>
            </w:r>
          </w:p>
          <w:p w14:paraId="77C04C17"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завод № 122, г. Куйбышев</w:t>
            </w:r>
          </w:p>
        </w:tc>
      </w:tr>
      <w:tr w:rsidR="006F4095" w:rsidRPr="008127F8" w14:paraId="6436E67F"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455C7B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9DC1A3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301,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BE67C2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153 НКАП, г. Новосибирск</w:t>
            </w:r>
          </w:p>
        </w:tc>
      </w:tr>
      <w:tr w:rsidR="006F4095" w:rsidRPr="008127F8" w14:paraId="75083372"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93584A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52EF7C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379,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5E533F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ликероводочный завод НКпищепрома СССР, г. Казань</w:t>
            </w:r>
          </w:p>
        </w:tc>
      </w:tr>
      <w:tr w:rsidR="006F4095" w:rsidRPr="008127F8" w14:paraId="1B0D5B95"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6AA81A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63C59B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451,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44A222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384 НКАП, г. Уфа</w:t>
            </w:r>
          </w:p>
        </w:tc>
      </w:tr>
      <w:tr w:rsidR="006F4095" w:rsidRPr="008127F8" w14:paraId="264D5C35"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A7F310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C89BC5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457, г. Запорожье</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B0ABEF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446 НКАП, г. Баку</w:t>
            </w:r>
          </w:p>
        </w:tc>
      </w:tr>
      <w:tr w:rsidR="006F4095" w:rsidRPr="008127F8" w14:paraId="6F745A70"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D7198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6F9F87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458, г. Ростов-на-Дону</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BE23E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446 НКАП, г. Баку</w:t>
            </w:r>
          </w:p>
        </w:tc>
      </w:tr>
      <w:tr w:rsidR="006F4095" w:rsidRPr="008127F8" w14:paraId="4CCF6B18"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DBE6EC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DABA38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483, г. Киев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CAD3B7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122 НКАП, г. Куйбышев</w:t>
            </w:r>
          </w:p>
        </w:tc>
      </w:tr>
      <w:tr w:rsidR="006F4095" w:rsidRPr="008127F8" w14:paraId="46F240EC"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C4C655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9D88A7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НИИ-12,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3455C4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280 НКАП, г. Ульяновск</w:t>
            </w:r>
          </w:p>
        </w:tc>
      </w:tr>
      <w:tr w:rsidR="006F4095" w:rsidRPr="008127F8" w14:paraId="400852E9"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6B186D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38F79B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ОКБ-31,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23C57F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Заводоуковской МТС НКзема СССР, Омская обл.</w:t>
            </w:r>
          </w:p>
        </w:tc>
      </w:tr>
      <w:tr w:rsidR="006F4095" w:rsidRPr="008127F8" w14:paraId="6603FD25" w14:textId="77777777" w:rsidTr="0077406C">
        <w:trPr>
          <w:trHeight w:val="466"/>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A6191D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C2556E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Голицынские планерные мастерские, пос. Голицыно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F83955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Заводоуковской МТС НКзема СССР, Омская обл.</w:t>
            </w:r>
          </w:p>
        </w:tc>
      </w:tr>
      <w:tr w:rsidR="006F4095" w:rsidRPr="008127F8" w14:paraId="6AAA8744"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213618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91B09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487,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30794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169 НКАП, г. Казань</w:t>
            </w:r>
          </w:p>
        </w:tc>
      </w:tr>
    </w:tbl>
    <w:p w14:paraId="2B14252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16"/>
          <w:rFonts w:ascii="Times New Roman" w:hAnsi="Times New Roman" w:cs="Times New Roman"/>
          <w:color w:val="000000" w:themeColor="text1"/>
          <w:spacing w:val="0"/>
        </w:rPr>
        <w:t>б) Наркомат танковой промышленности (НКТП)</w:t>
      </w:r>
    </w:p>
    <w:tbl>
      <w:tblPr>
        <w:tblW w:w="0" w:type="auto"/>
        <w:tblLayout w:type="fixed"/>
        <w:tblCellMar>
          <w:left w:w="10" w:type="dxa"/>
          <w:right w:w="10" w:type="dxa"/>
        </w:tblCellMar>
        <w:tblLook w:val="0000" w:firstRow="0" w:lastRow="0" w:firstColumn="0" w:lastColumn="0" w:noHBand="0" w:noVBand="0"/>
      </w:tblPr>
      <w:tblGrid>
        <w:gridCol w:w="432"/>
        <w:gridCol w:w="3422"/>
        <w:gridCol w:w="4934"/>
      </w:tblGrid>
      <w:tr w:rsidR="006F4095" w:rsidRPr="008127F8" w14:paraId="41F3CEEE"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EE12C4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 мм</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F6C1F4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Наименование предприятия</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1F8697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Куда эвакуировано</w:t>
            </w:r>
          </w:p>
        </w:tc>
      </w:tr>
      <w:tr w:rsidR="006F4095" w:rsidRPr="008127F8" w14:paraId="15A74EC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156573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285D32F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Мелитопольский завод им. ОГПУ</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A7856D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Акмолинского пединститута Казахской ССР</w:t>
            </w:r>
          </w:p>
        </w:tc>
      </w:tr>
      <w:tr w:rsidR="006F4095" w:rsidRPr="008127F8" w14:paraId="51E0A6E0"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E86846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993632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«Комсомолец»,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64EA36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«Тяжгидропресс» НКТП, г. Барнаул Алтайского края</w:t>
            </w:r>
          </w:p>
        </w:tc>
      </w:tr>
      <w:tr w:rsidR="006F4095" w:rsidRPr="008127F8" w14:paraId="0C12817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26EB92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CC164C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XVI партсъезда,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2442A2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строительство завода «Тяжгидропресс» НКТП, г. Барнаул Алтайского края</w:t>
            </w:r>
          </w:p>
        </w:tc>
      </w:tr>
      <w:tr w:rsidR="006F4095" w:rsidRPr="008127F8" w14:paraId="0178DE9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CFDCE3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FDDA50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Кузнечнопрессового оборудования, г. Серпухов Московской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5102AC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строительство завода «Тяжгидропресс» НКТП, г. Бар</w:t>
            </w:r>
            <w:r w:rsidRPr="008127F8">
              <w:rPr>
                <w:rStyle w:val="Bodytext2"/>
                <w:rFonts w:eastAsia="Calibri"/>
                <w:color w:val="000000" w:themeColor="text1"/>
                <w:sz w:val="16"/>
                <w:szCs w:val="16"/>
              </w:rPr>
              <w:softHyphen/>
              <w:t>наул</w:t>
            </w:r>
          </w:p>
          <w:p w14:paraId="7844C65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складов Потребсоюза, г. Славгород Алтай</w:t>
            </w:r>
            <w:r w:rsidRPr="008127F8">
              <w:rPr>
                <w:rStyle w:val="Bodytext2"/>
                <w:rFonts w:eastAsia="Calibri"/>
                <w:color w:val="000000" w:themeColor="text1"/>
                <w:sz w:val="16"/>
                <w:szCs w:val="16"/>
              </w:rPr>
              <w:softHyphen/>
              <w:t>ского края</w:t>
            </w:r>
          </w:p>
        </w:tc>
      </w:tr>
      <w:tr w:rsidR="006F4095" w:rsidRPr="008127F8" w14:paraId="144524A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500976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2BC517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8-летия Октября, г. Серпухов Московской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D8EE0F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строительство завода «Тяжгидропресс» НКТП, г. Бар</w:t>
            </w:r>
            <w:r w:rsidRPr="008127F8">
              <w:rPr>
                <w:rStyle w:val="Bodytext2"/>
                <w:rFonts w:eastAsia="Calibri"/>
                <w:color w:val="000000" w:themeColor="text1"/>
                <w:sz w:val="16"/>
                <w:szCs w:val="16"/>
              </w:rPr>
              <w:softHyphen/>
              <w:t>наул</w:t>
            </w:r>
          </w:p>
          <w:p w14:paraId="0D586C7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складов Потребсоюза, г. Славгород Алтай</w:t>
            </w:r>
            <w:r w:rsidRPr="008127F8">
              <w:rPr>
                <w:rStyle w:val="Bodytext2"/>
                <w:rFonts w:eastAsia="Calibri"/>
                <w:color w:val="000000" w:themeColor="text1"/>
                <w:sz w:val="16"/>
                <w:szCs w:val="16"/>
              </w:rPr>
              <w:softHyphen/>
              <w:t>ского края</w:t>
            </w:r>
          </w:p>
        </w:tc>
      </w:tr>
      <w:tr w:rsidR="006F4095" w:rsidRPr="008127F8" w14:paraId="5A89BD4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B9C39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35D198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фрезерных станков, г. Днепров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5A94A0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складов Облпотребсоюза, г. Бийск Алтайского края</w:t>
            </w:r>
          </w:p>
        </w:tc>
      </w:tr>
      <w:tr w:rsidR="006F4095" w:rsidRPr="008127F8" w14:paraId="12B6B1F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712FBC6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F5C040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Ленина,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812579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машиностроительный завод НКнефти, г. Стерлитамак БАССР</w:t>
            </w:r>
          </w:p>
        </w:tc>
      </w:tr>
      <w:tr w:rsidR="006F4095" w:rsidRPr="008127F8" w14:paraId="5A87E2E2"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5D62B7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44E732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Станкостроительный завод, г. Клин</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0A4BA3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Дворца культуры ВЦСПС, г. Белорецк БАССР</w:t>
            </w:r>
          </w:p>
        </w:tc>
      </w:tr>
      <w:tr w:rsidR="006F4095" w:rsidRPr="008127F8" w14:paraId="1B60D48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A17E65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1EBB90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Автомобильный завод КИМ,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B26D25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Свердловский вагоноремонтный завод НКПС, г. Свер</w:t>
            </w:r>
            <w:r w:rsidRPr="008127F8">
              <w:rPr>
                <w:rStyle w:val="Bodytext2"/>
                <w:rFonts w:eastAsia="Calibri"/>
                <w:color w:val="000000" w:themeColor="text1"/>
                <w:sz w:val="16"/>
                <w:szCs w:val="16"/>
              </w:rPr>
              <w:softHyphen/>
              <w:t>дловск</w:t>
            </w:r>
          </w:p>
        </w:tc>
      </w:tr>
      <w:tr w:rsidR="006F4095" w:rsidRPr="008127F8" w14:paraId="03C2A7D6"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6CC65FC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154AD6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Станкозавод им. Молотова,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88E3CE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Челябинский тракторный завод НКтанкопрома, г. Че</w:t>
            </w:r>
            <w:r w:rsidRPr="008127F8">
              <w:rPr>
                <w:rStyle w:val="Bodytext2"/>
                <w:rFonts w:eastAsia="Calibri"/>
                <w:color w:val="000000" w:themeColor="text1"/>
                <w:sz w:val="16"/>
                <w:szCs w:val="16"/>
              </w:rPr>
              <w:softHyphen/>
              <w:t>лябинск</w:t>
            </w:r>
          </w:p>
        </w:tc>
      </w:tr>
      <w:tr w:rsidR="006F4095" w:rsidRPr="008127F8" w14:paraId="7163979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DAD686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08BF37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Станкостроительный завод им. Горького, г. Киев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407FC3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стройку Кизеловской обогатительной фабрики НКугля, г. Кизел Молотовской обл.</w:t>
            </w:r>
          </w:p>
        </w:tc>
      </w:tr>
      <w:tr w:rsidR="006F4095" w:rsidRPr="008127F8" w14:paraId="12B3D3E4"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4BBF60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12.</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9DACAA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«Гидропривод»,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99D4D8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агломерационную фабрику НКугля, пос. Луньевка Мо</w:t>
            </w:r>
            <w:r w:rsidRPr="008127F8">
              <w:rPr>
                <w:rStyle w:val="Bodytext2"/>
                <w:rFonts w:eastAsia="Calibri"/>
                <w:color w:val="000000" w:themeColor="text1"/>
                <w:sz w:val="16"/>
                <w:szCs w:val="16"/>
              </w:rPr>
              <w:softHyphen/>
              <w:t>лотовской обл.</w:t>
            </w:r>
          </w:p>
        </w:tc>
      </w:tr>
      <w:tr w:rsidR="006F4095" w:rsidRPr="008127F8" w14:paraId="29DE6A9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7D48CE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02D25F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«Станконормаль» (часть),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F15941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Бисерский завод НКтанкопрома, г. Бисер Молотовской обл.</w:t>
            </w:r>
          </w:p>
        </w:tc>
      </w:tr>
      <w:tr w:rsidR="006F4095" w:rsidRPr="008127F8" w14:paraId="28FDB851"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4AC7DB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85FEBA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С. М. Кирова, г. Гомель</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2DFA65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тяжелых станков НКтанкопрома, г. Свердловск</w:t>
            </w:r>
          </w:p>
        </w:tc>
      </w:tr>
      <w:tr w:rsidR="006F4095" w:rsidRPr="008127F8" w14:paraId="2818DAF6"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894CB4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F48149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«Станколит»,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B4A2FC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Уралвагонзавод НКтанкопрома, г. Нижний Тагил Свер</w:t>
            </w:r>
            <w:r w:rsidRPr="008127F8">
              <w:rPr>
                <w:rStyle w:val="Bodytext2"/>
                <w:rFonts w:eastAsia="Calibri"/>
                <w:color w:val="000000" w:themeColor="text1"/>
                <w:sz w:val="16"/>
                <w:szCs w:val="16"/>
              </w:rPr>
              <w:softHyphen/>
              <w:t>дловской обл.</w:t>
            </w:r>
          </w:p>
        </w:tc>
      </w:tr>
      <w:tr w:rsidR="006F4095" w:rsidRPr="008127F8" w14:paraId="22D0D137"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C94E32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6DA926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тяжелых станков, г. Краматорск Сталинской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A2F475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НКтанкопрома, г. Свердловск</w:t>
            </w:r>
          </w:p>
        </w:tc>
      </w:tr>
      <w:tr w:rsidR="006F4095" w:rsidRPr="008127F8" w14:paraId="3DA8F2FC"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FF6E11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D259BA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НИ лаборатория фотоэлектроники и авто</w:t>
            </w:r>
            <w:r w:rsidRPr="008127F8">
              <w:rPr>
                <w:rStyle w:val="Bodytext2"/>
                <w:rFonts w:eastAsia="Calibri"/>
                <w:color w:val="000000" w:themeColor="text1"/>
                <w:sz w:val="16"/>
                <w:szCs w:val="16"/>
              </w:rPr>
              <w:softHyphen/>
              <w:t>матики (НИЛФА),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6D111E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тяжелых станков НКтанкопрома, г. Свердловск</w:t>
            </w:r>
          </w:p>
        </w:tc>
      </w:tr>
      <w:tr w:rsidR="006F4095" w:rsidRPr="008127F8" w14:paraId="027B2C51"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57E712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2EC6F90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Инструментальный завод МИЗ,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24D171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выделенные в г. Свердловске</w:t>
            </w:r>
          </w:p>
        </w:tc>
      </w:tr>
      <w:tr w:rsidR="006F4095" w:rsidRPr="008127F8" w14:paraId="23DBAFA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A5FCEE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892607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Харьковский тракторный завод ХТЗ,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28ADA0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тракторный завод НКтанкопрома, г. Сталинград</w:t>
            </w:r>
          </w:p>
        </w:tc>
      </w:tr>
      <w:tr w:rsidR="006F4095" w:rsidRPr="008127F8" w14:paraId="7F362F23"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DEED42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E4E441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Станкостроительный завод, г. Новочер</w:t>
            </w:r>
            <w:r w:rsidRPr="008127F8">
              <w:rPr>
                <w:rStyle w:val="Bodytext2"/>
                <w:rFonts w:eastAsia="Calibri"/>
                <w:color w:val="000000" w:themeColor="text1"/>
                <w:sz w:val="16"/>
                <w:szCs w:val="16"/>
              </w:rPr>
              <w:softHyphen/>
              <w:t>касск Орджоникидзевского края</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B96473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моторемонтного завода НКзема СССР, г. Троицк Челябинской обл.</w:t>
            </w:r>
          </w:p>
        </w:tc>
      </w:tr>
      <w:tr w:rsidR="006F4095" w:rsidRPr="008127F8" w14:paraId="5F974D62"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CBB5A2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A7EA7E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«Электростанок»,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7FBBD3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гаража треста Горочистки горисполкома, г. Ташкент</w:t>
            </w:r>
          </w:p>
        </w:tc>
      </w:tr>
      <w:tr w:rsidR="006F4095" w:rsidRPr="008127F8" w14:paraId="17E67862"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A80975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lastRenderedPageBreak/>
              <w:t>22.</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23AF6A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75,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B14CC1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Челябинский тракторный завод НКтанкопрома</w:t>
            </w:r>
          </w:p>
        </w:tc>
      </w:tr>
      <w:tr w:rsidR="006F4095" w:rsidRPr="008127F8" w14:paraId="41A3453E"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7FA4FBF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7637E6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Кирова,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EF46A6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станкозавод НКтанкопрома, г. Челябинск</w:t>
            </w:r>
          </w:p>
        </w:tc>
      </w:tr>
      <w:tr w:rsidR="006F4095" w:rsidRPr="008127F8" w14:paraId="161D6A4F"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FA4221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6BD43B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«Красный пролетарий»,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5DACDF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Челябинский тракторный завод НКтанкопрома</w:t>
            </w:r>
          </w:p>
        </w:tc>
      </w:tr>
      <w:tr w:rsidR="006F4095" w:rsidRPr="008127F8" w14:paraId="4E20E615"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18414C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31E7D2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шлифовальных станков,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3B3E6A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Челябинский тракторный завод НКтанкопрома</w:t>
            </w:r>
          </w:p>
          <w:p w14:paraId="27A3B34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Бисерский завод НКтанкопрома, г. Бисер Молотов</w:t>
            </w:r>
            <w:r w:rsidRPr="008127F8">
              <w:rPr>
                <w:rStyle w:val="Bodytext2"/>
                <w:rFonts w:eastAsia="Calibri"/>
                <w:color w:val="000000" w:themeColor="text1"/>
                <w:sz w:val="16"/>
                <w:szCs w:val="16"/>
              </w:rPr>
              <w:softHyphen/>
              <w:t>ской обл.</w:t>
            </w:r>
          </w:p>
        </w:tc>
      </w:tr>
      <w:tr w:rsidR="006F4095" w:rsidRPr="008127F8" w14:paraId="2AA5B0F4"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F279E2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DEC096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Орджоникидзе,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33275B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трикотажную фабрику НКлегпрома СССР, г. Ново</w:t>
            </w:r>
            <w:r w:rsidRPr="008127F8">
              <w:rPr>
                <w:rStyle w:val="Bodytext2"/>
                <w:rFonts w:eastAsia="Calibri"/>
                <w:color w:val="000000" w:themeColor="text1"/>
                <w:sz w:val="16"/>
                <w:szCs w:val="16"/>
              </w:rPr>
              <w:softHyphen/>
              <w:t>сибирск</w:t>
            </w:r>
          </w:p>
          <w:p w14:paraId="31DA9C2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Уралвагонзавод НКтанкопрома, г. Нижний Тагил Свердловской обл.</w:t>
            </w:r>
          </w:p>
        </w:tc>
      </w:tr>
      <w:tr w:rsidR="006F4095" w:rsidRPr="008127F8" w14:paraId="14EC29E3"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182553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00CBB6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Коминтерна, г. Витебск</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37E721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станкостроительный завод НКтанкопрома, г. Саратов</w:t>
            </w:r>
          </w:p>
        </w:tc>
      </w:tr>
      <w:tr w:rsidR="006F4095" w:rsidRPr="008127F8" w14:paraId="061FE0D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30FA62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A662B5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«Комсомолец», г. Егорьевск Московской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C9893A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строительство завода зуборезных станков НКтанко</w:t>
            </w:r>
            <w:r w:rsidRPr="008127F8">
              <w:rPr>
                <w:rStyle w:val="Bodytext2"/>
                <w:rFonts w:eastAsia="Calibri"/>
                <w:color w:val="000000" w:themeColor="text1"/>
                <w:sz w:val="16"/>
                <w:szCs w:val="16"/>
              </w:rPr>
              <w:softHyphen/>
              <w:t>прома, г. Саратов</w:t>
            </w:r>
          </w:p>
          <w:p w14:paraId="14651D4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помещений зерносовхоза НКсовхозов СССР, пос. Тогузак Кустанайской обл.</w:t>
            </w:r>
          </w:p>
        </w:tc>
      </w:tr>
      <w:tr w:rsidR="006F4095" w:rsidRPr="008127F8" w14:paraId="3AB33920"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001619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200A7EC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«Станкоконструкция»,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DAE81B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льнопрядильную фабрику им. Ленина НКтекстиля СССР, г. Свердловск</w:t>
            </w:r>
          </w:p>
        </w:tc>
      </w:tr>
      <w:tr w:rsidR="006F4095" w:rsidRPr="008127F8" w14:paraId="6BDEF31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8A34CD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BC7307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«Унимс»,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39A273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льнопрядильную фабрику им. Ленина НКтекстиля СССР, г. Свердловск</w:t>
            </w:r>
          </w:p>
        </w:tc>
      </w:tr>
      <w:tr w:rsidR="006F4095" w:rsidRPr="008127F8" w14:paraId="48CA0D76"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6320CD9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C7AF23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«Станкоинструмент» (часть),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3AC01B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станкостроительный завод НКтанкопрома, г. Челябинск</w:t>
            </w:r>
          </w:p>
        </w:tc>
      </w:tr>
      <w:tr w:rsidR="006F4095" w:rsidRPr="008127F8" w14:paraId="102710A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A73551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5950CE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микропорошков,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21DE6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корундовую фабрику НКтанкопрома, г. Кыштын Челябинской обл.</w:t>
            </w:r>
          </w:p>
        </w:tc>
      </w:tr>
      <w:tr w:rsidR="006F4095" w:rsidRPr="008127F8" w14:paraId="0F075F57" w14:textId="77777777" w:rsidTr="0077406C">
        <w:trPr>
          <w:trHeight w:val="686"/>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5B6AB0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BCC665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Елецкий станкостроительный завод, Орловская обл. (вместе с оборудованием завода им. Кирова, г. Витебск)</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B7EEAED"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обозоремонтный завод НКместпрома РСФСР, г. Чкалов</w:t>
            </w:r>
          </w:p>
        </w:tc>
      </w:tr>
      <w:tr w:rsidR="006F4095" w:rsidRPr="008127F8" w14:paraId="1DEC76B0" w14:textId="77777777" w:rsidTr="0077406C">
        <w:trPr>
          <w:trHeight w:val="47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8E14CE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64FC12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Станкостроительный завод «Коммунар», г. Лубны Полтавской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CB319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 xml:space="preserve">На площади МТМ НКзема СССР, пос. Соракташ </w:t>
            </w:r>
            <w:proofErr w:type="gramStart"/>
            <w:r w:rsidRPr="008127F8">
              <w:rPr>
                <w:rStyle w:val="Bodytext2"/>
                <w:rFonts w:eastAsia="Calibri"/>
                <w:color w:val="000000" w:themeColor="text1"/>
                <w:sz w:val="16"/>
                <w:szCs w:val="16"/>
              </w:rPr>
              <w:t>Чкалов- ской</w:t>
            </w:r>
            <w:proofErr w:type="gramEnd"/>
            <w:r w:rsidRPr="008127F8">
              <w:rPr>
                <w:rStyle w:val="Bodytext2"/>
                <w:rFonts w:eastAsia="Calibri"/>
                <w:color w:val="000000" w:themeColor="text1"/>
                <w:sz w:val="16"/>
                <w:szCs w:val="16"/>
              </w:rPr>
              <w:t xml:space="preserve"> обл.</w:t>
            </w:r>
          </w:p>
        </w:tc>
      </w:tr>
      <w:tr w:rsidR="006F4095" w:rsidRPr="008127F8" w14:paraId="42296BFB" w14:textId="77777777" w:rsidTr="0077406C">
        <w:trPr>
          <w:trHeight w:val="47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391EEF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088657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«Металлист», г. Таганрог Ростов</w:t>
            </w:r>
            <w:r w:rsidRPr="008127F8">
              <w:rPr>
                <w:rStyle w:val="Bodytext2"/>
                <w:rFonts w:eastAsia="Calibri"/>
                <w:color w:val="000000" w:themeColor="text1"/>
                <w:sz w:val="16"/>
                <w:szCs w:val="16"/>
              </w:rPr>
              <w:softHyphen/>
              <w:t>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BA8B4B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чугунолитейный и механический заводы НКтанкопрома, г. Чкалов</w:t>
            </w:r>
          </w:p>
        </w:tc>
      </w:tr>
      <w:tr w:rsidR="006F4095" w:rsidRPr="008127F8" w14:paraId="03AFB6D8" w14:textId="77777777" w:rsidTr="0077406C">
        <w:trPr>
          <w:trHeight w:val="475"/>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A20492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3A28C1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им. Свердлова (часть), г. Ленинград</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DE5606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завода тяжелых станков НКтанкостроения, г. Свердловск</w:t>
            </w:r>
          </w:p>
        </w:tc>
      </w:tr>
      <w:tr w:rsidR="006F4095" w:rsidRPr="008127F8" w14:paraId="739AE71F" w14:textId="77777777" w:rsidTr="0077406C">
        <w:trPr>
          <w:trHeight w:val="47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706402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5D70CA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Мастерские Индустриального техникума,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60D344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МТМ НКзема СССР, пос. Соль-Илецк Чка- ловской обл.</w:t>
            </w:r>
          </w:p>
        </w:tc>
      </w:tr>
      <w:tr w:rsidR="006F4095" w:rsidRPr="008127F8" w14:paraId="54BE1B8A" w14:textId="77777777" w:rsidTr="0077406C">
        <w:trPr>
          <w:trHeight w:val="254"/>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8A188F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81083E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Кировский завод (часть), г. Ленинград</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CA1581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Челябинский тракторный завод</w:t>
            </w:r>
          </w:p>
        </w:tc>
      </w:tr>
      <w:tr w:rsidR="006F4095" w:rsidRPr="008127F8" w14:paraId="3187444A" w14:textId="77777777" w:rsidTr="0077406C">
        <w:trPr>
          <w:trHeight w:val="254"/>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C33503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799ABC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183,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D5F713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Уралвагонзавод, г. Нижний Тагил Свердловской обл.</w:t>
            </w:r>
          </w:p>
        </w:tc>
      </w:tr>
      <w:tr w:rsidR="006F4095" w:rsidRPr="008127F8" w14:paraId="029B3320" w14:textId="77777777" w:rsidTr="0077406C">
        <w:trPr>
          <w:trHeight w:val="264"/>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D53A7A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D5339D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37,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CDE98D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 г. Свердловск</w:t>
            </w:r>
          </w:p>
        </w:tc>
      </w:tr>
    </w:tbl>
    <w:p w14:paraId="17050834" w14:textId="77777777" w:rsidR="00D90D46" w:rsidRPr="008127F8" w:rsidRDefault="00D90D46" w:rsidP="001E0A84">
      <w:pPr>
        <w:pStyle w:val="623"/>
        <w:shd w:val="clear" w:color="auto" w:fill="auto"/>
        <w:spacing w:before="0" w:line="240" w:lineRule="auto"/>
        <w:rPr>
          <w:color w:val="000000" w:themeColor="text1"/>
          <w:sz w:val="16"/>
          <w:szCs w:val="16"/>
        </w:rPr>
      </w:pPr>
    </w:p>
    <w:p w14:paraId="37186180" w14:textId="77777777" w:rsidR="00D90D46" w:rsidRPr="008127F8" w:rsidRDefault="00D90D46" w:rsidP="001E0A84">
      <w:pPr>
        <w:pStyle w:val="623"/>
        <w:shd w:val="clear" w:color="auto" w:fill="auto"/>
        <w:spacing w:before="0" w:line="240" w:lineRule="auto"/>
        <w:rPr>
          <w:rStyle w:val="Heading12"/>
          <w:color w:val="000000" w:themeColor="text1"/>
          <w:sz w:val="16"/>
          <w:szCs w:val="16"/>
        </w:rPr>
      </w:pPr>
      <w:bookmarkStart w:id="16" w:name="bookmark169"/>
      <w:r w:rsidRPr="008127F8">
        <w:rPr>
          <w:rStyle w:val="16"/>
          <w:rFonts w:ascii="Times New Roman" w:cs="Times New Roman"/>
          <w:color w:val="000000" w:themeColor="text1"/>
          <w:spacing w:val="0"/>
        </w:rPr>
        <w:t>в) Наркомат вооружения (НКВ)</w:t>
      </w:r>
    </w:p>
    <w:tbl>
      <w:tblPr>
        <w:tblW w:w="0" w:type="auto"/>
        <w:tblLayout w:type="fixed"/>
        <w:tblCellMar>
          <w:left w:w="10" w:type="dxa"/>
          <w:right w:w="10" w:type="dxa"/>
        </w:tblCellMar>
        <w:tblLook w:val="0000" w:firstRow="0" w:lastRow="0" w:firstColumn="0" w:lastColumn="0" w:noHBand="0" w:noVBand="0"/>
      </w:tblPr>
      <w:tblGrid>
        <w:gridCol w:w="494"/>
        <w:gridCol w:w="3701"/>
        <w:gridCol w:w="4594"/>
      </w:tblGrid>
      <w:tr w:rsidR="006F4095" w:rsidRPr="008127F8" w14:paraId="7CDD32B4" w14:textId="77777777" w:rsidTr="0077406C">
        <w:trPr>
          <w:trHeight w:val="475"/>
        </w:trPr>
        <w:tc>
          <w:tcPr>
            <w:tcW w:w="494" w:type="dxa"/>
            <w:tcBorders>
              <w:top w:val="single" w:sz="4" w:space="0" w:color="auto"/>
              <w:left w:val="single" w:sz="4" w:space="0" w:color="auto"/>
              <w:bottom w:val="single" w:sz="4" w:space="0" w:color="auto"/>
              <w:right w:val="single" w:sz="4" w:space="0" w:color="auto"/>
            </w:tcBorders>
            <w:shd w:val="clear" w:color="auto" w:fill="FFFFFF"/>
          </w:tcPr>
          <w:bookmarkEnd w:id="16"/>
          <w:p w14:paraId="3D61353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 им</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543E81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Наименование предприятия</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92B4AB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6"/>
                <w:rFonts w:eastAsia="Calibri"/>
                <w:color w:val="000000" w:themeColor="text1"/>
                <w:sz w:val="16"/>
                <w:szCs w:val="16"/>
              </w:rPr>
              <w:t>Куда эвакуировано</w:t>
            </w:r>
          </w:p>
        </w:tc>
      </w:tr>
      <w:tr w:rsidR="006F4095" w:rsidRPr="008127F8" w14:paraId="77A67C12"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CEF0B6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1.</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0994D9A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367, г. Загорск Московской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E6F1C8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622 НКВ, г. Вятские Поляны Кировской обл.</w:t>
            </w:r>
          </w:p>
        </w:tc>
      </w:tr>
      <w:tr w:rsidR="006F4095" w:rsidRPr="008127F8" w14:paraId="64C2D2B6"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8F2C99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252D1DF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509,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EE2903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622 НКВ, г. Вятские Поляны Кировской обл.</w:t>
            </w:r>
          </w:p>
        </w:tc>
      </w:tr>
      <w:tr w:rsidR="006F4095" w:rsidRPr="008127F8" w14:paraId="35E2339E" w14:textId="77777777" w:rsidTr="0077406C">
        <w:trPr>
          <w:trHeight w:val="2203"/>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211A7652"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0F39F85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60, г. Ворошиловград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DF8DF32" w14:textId="77777777" w:rsidR="00D90D46" w:rsidRPr="008127F8" w:rsidRDefault="00D90D46" w:rsidP="001E0A84">
            <w:pPr>
              <w:tabs>
                <w:tab w:val="left" w:pos="25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537 НКВ, г. Киров</w:t>
            </w:r>
          </w:p>
          <w:p w14:paraId="0F9766D8" w14:textId="77777777" w:rsidR="00D90D46" w:rsidRPr="008127F8" w:rsidRDefault="00D90D46" w:rsidP="001E0A84">
            <w:pPr>
              <w:tabs>
                <w:tab w:val="left" w:pos="290"/>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складов НКвнешторга (16 тыс. кв. м), г. Ульяновск</w:t>
            </w:r>
          </w:p>
          <w:p w14:paraId="3E51329A"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завод № 543 НКВ, г. Казань</w:t>
            </w:r>
          </w:p>
          <w:p w14:paraId="4C0F1862" w14:textId="77777777" w:rsidR="00D90D46" w:rsidRPr="008127F8" w:rsidRDefault="00D90D46" w:rsidP="001E0A84">
            <w:pPr>
              <w:tabs>
                <w:tab w:val="left" w:pos="24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w:t>
            </w:r>
            <w:r w:rsidRPr="008127F8">
              <w:rPr>
                <w:rStyle w:val="Bodytext2"/>
                <w:rFonts w:eastAsia="Calibri"/>
                <w:color w:val="000000" w:themeColor="text1"/>
                <w:sz w:val="16"/>
                <w:szCs w:val="16"/>
              </w:rPr>
              <w:tab/>
              <w:t>на завод № 545 НКВ, г. Чкалов</w:t>
            </w:r>
          </w:p>
          <w:p w14:paraId="7A274AA7" w14:textId="77777777" w:rsidR="00D90D46" w:rsidRPr="008127F8" w:rsidRDefault="00D90D46" w:rsidP="001E0A84">
            <w:pPr>
              <w:tabs>
                <w:tab w:val="left" w:pos="271"/>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д)</w:t>
            </w:r>
            <w:r w:rsidRPr="008127F8">
              <w:rPr>
                <w:rStyle w:val="Bodytext2"/>
                <w:rFonts w:eastAsia="Calibri"/>
                <w:color w:val="000000" w:themeColor="text1"/>
                <w:sz w:val="16"/>
                <w:szCs w:val="16"/>
              </w:rPr>
              <w:tab/>
              <w:t>на завод 541 НКВ, г. Челябинск</w:t>
            </w:r>
          </w:p>
          <w:p w14:paraId="5067EDD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 на площади моторемонтного завода НКземледелия СССР, г. Фрунзе</w:t>
            </w:r>
          </w:p>
          <w:p w14:paraId="3E1B3C3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ж) на одежно-плательный комбинат НКлегпрома СССР, г. Барнаул Алтайского край</w:t>
            </w:r>
          </w:p>
        </w:tc>
      </w:tr>
      <w:tr w:rsidR="006F4095" w:rsidRPr="008127F8" w14:paraId="26C8C320"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1E3173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4.</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FFEFC5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(стройка), г. Купянск Харьковской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42266A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Красноярский машиностроительный завод НКугля</w:t>
            </w:r>
          </w:p>
        </w:tc>
      </w:tr>
      <w:tr w:rsidR="006F4095" w:rsidRPr="008127F8" w14:paraId="65D3F9EC"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EF26DC6"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5.</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56A4C4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 г. Коломна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9FC0EE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Красноярский машиностроительный завод НКугля</w:t>
            </w:r>
          </w:p>
        </w:tc>
      </w:tr>
      <w:tr w:rsidR="006F4095" w:rsidRPr="008127F8" w14:paraId="7B893D0D"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1027BC5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6.</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F6FF9E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589, г. Калуга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65D3705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Красноярский машиностроительный завод НКугля</w:t>
            </w:r>
          </w:p>
        </w:tc>
      </w:tr>
      <w:tr w:rsidR="006F4095" w:rsidRPr="008127F8" w14:paraId="4114F635"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5AF8033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7.</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779F8F8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525 (стройка), г. Артемовск</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F51D2E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стройку газомотокомпрессорного завода НКнефти, г. Куйбышев</w:t>
            </w:r>
          </w:p>
        </w:tc>
      </w:tr>
      <w:tr w:rsidR="006F4095" w:rsidRPr="008127F8" w14:paraId="32CF0050" w14:textId="77777777" w:rsidTr="0077406C">
        <w:trPr>
          <w:trHeight w:val="1123"/>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5C36269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8.</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247473A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46 (часть), г. Кунцево Московской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285E254" w14:textId="77777777" w:rsidR="00D90D46" w:rsidRPr="008127F8" w:rsidRDefault="00D90D46" w:rsidP="001E0A84">
            <w:pPr>
              <w:tabs>
                <w:tab w:val="left" w:pos="238"/>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3 НКВ, г. Ульяновск (бывшие склады НВТ)</w:t>
            </w:r>
          </w:p>
          <w:p w14:paraId="05487262"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льнопрядильную фабрику им. Ленина, г. Свердловск</w:t>
            </w:r>
          </w:p>
          <w:p w14:paraId="4758C01D" w14:textId="77777777" w:rsidR="00D90D46" w:rsidRPr="008127F8" w:rsidRDefault="00D90D46" w:rsidP="001E0A84">
            <w:pPr>
              <w:tabs>
                <w:tab w:val="left" w:pos="276"/>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целлюлозно-бумажный комбинат, г. Новая Ляля Свердловской обл.</w:t>
            </w:r>
          </w:p>
        </w:tc>
      </w:tr>
      <w:tr w:rsidR="006F4095" w:rsidRPr="008127F8" w14:paraId="709A92D0" w14:textId="77777777" w:rsidTr="0077406C">
        <w:trPr>
          <w:trHeight w:val="156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A4BC67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lastRenderedPageBreak/>
              <w:t>9.</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80AA9E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66, г. Тула</w:t>
            </w:r>
          </w:p>
          <w:p w14:paraId="2C253D31"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пр-во пулеметов «Шкас»</w:t>
            </w:r>
          </w:p>
          <w:p w14:paraId="2BA949B5"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станкостроительное пр-во</w:t>
            </w:r>
          </w:p>
          <w:p w14:paraId="187D747B"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пр-во противотанковых ружей</w:t>
            </w:r>
          </w:p>
          <w:p w14:paraId="1FEA505A" w14:textId="77777777" w:rsidR="00D90D46" w:rsidRPr="008127F8" w:rsidRDefault="00D90D46" w:rsidP="001E0A84">
            <w:pPr>
              <w:tabs>
                <w:tab w:val="left" w:pos="24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w:t>
            </w:r>
            <w:r w:rsidRPr="008127F8">
              <w:rPr>
                <w:rStyle w:val="Bodytext2"/>
                <w:rFonts w:eastAsia="Calibri"/>
                <w:color w:val="000000" w:themeColor="text1"/>
                <w:sz w:val="16"/>
                <w:szCs w:val="16"/>
              </w:rPr>
              <w:tab/>
              <w:t>пр-во пушек Волкова — Ярцева</w:t>
            </w:r>
          </w:p>
          <w:p w14:paraId="7B1952FA" w14:textId="77777777" w:rsidR="00D90D46" w:rsidRPr="008127F8" w:rsidRDefault="00D90D46" w:rsidP="001E0A84">
            <w:pPr>
              <w:tabs>
                <w:tab w:val="left" w:pos="266"/>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д)</w:t>
            </w:r>
            <w:r w:rsidRPr="008127F8">
              <w:rPr>
                <w:rStyle w:val="Bodytext2"/>
                <w:rFonts w:eastAsia="Calibri"/>
                <w:color w:val="000000" w:themeColor="text1"/>
                <w:sz w:val="16"/>
                <w:szCs w:val="16"/>
              </w:rPr>
              <w:tab/>
              <w:t>пр-во универсальных пулеметов Березина</w:t>
            </w:r>
          </w:p>
          <w:p w14:paraId="15912933" w14:textId="77777777" w:rsidR="00D90D46" w:rsidRPr="008127F8" w:rsidRDefault="00D90D46" w:rsidP="001E0A84">
            <w:pPr>
              <w:tabs>
                <w:tab w:val="left" w:pos="25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е)</w:t>
            </w:r>
            <w:r w:rsidRPr="008127F8">
              <w:rPr>
                <w:rStyle w:val="Bodytext2"/>
                <w:rFonts w:eastAsia="Calibri"/>
                <w:color w:val="000000" w:themeColor="text1"/>
                <w:sz w:val="16"/>
                <w:szCs w:val="16"/>
              </w:rPr>
              <w:tab/>
              <w:t>часть завода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7CE63E0C" w14:textId="77777777" w:rsidR="00D90D46" w:rsidRPr="008127F8" w:rsidRDefault="00D90D46" w:rsidP="001E0A84">
            <w:pPr>
              <w:tabs>
                <w:tab w:val="left" w:pos="25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525 НКВ, г. Куйбышев</w:t>
            </w:r>
          </w:p>
          <w:p w14:paraId="27E75F3A"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172 НКВ, г. Молотов</w:t>
            </w:r>
          </w:p>
          <w:p w14:paraId="723CFA20"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завод № 614 НКВ, г. Саратов</w:t>
            </w:r>
          </w:p>
          <w:p w14:paraId="28549776" w14:textId="77777777" w:rsidR="00D90D46" w:rsidRPr="008127F8" w:rsidRDefault="00D90D46" w:rsidP="001E0A84">
            <w:pPr>
              <w:tabs>
                <w:tab w:val="left" w:pos="24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w:t>
            </w:r>
            <w:r w:rsidRPr="008127F8">
              <w:rPr>
                <w:rStyle w:val="Bodytext2"/>
                <w:rFonts w:eastAsia="Calibri"/>
                <w:color w:val="000000" w:themeColor="text1"/>
                <w:sz w:val="16"/>
                <w:szCs w:val="16"/>
              </w:rPr>
              <w:tab/>
              <w:t>на завод № 54 НКВ, г. Златоуст</w:t>
            </w:r>
          </w:p>
          <w:p w14:paraId="50434AD4" w14:textId="77777777" w:rsidR="00D90D46" w:rsidRPr="008127F8" w:rsidRDefault="00D90D46" w:rsidP="001E0A84">
            <w:pPr>
              <w:tabs>
                <w:tab w:val="left" w:pos="271"/>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д)</w:t>
            </w:r>
            <w:r w:rsidRPr="008127F8">
              <w:rPr>
                <w:rStyle w:val="Bodytext2"/>
                <w:rFonts w:eastAsia="Calibri"/>
                <w:color w:val="000000" w:themeColor="text1"/>
                <w:sz w:val="16"/>
                <w:szCs w:val="16"/>
              </w:rPr>
              <w:tab/>
              <w:t>на завод № 385, г. Златоуст</w:t>
            </w:r>
          </w:p>
          <w:p w14:paraId="409A935D" w14:textId="77777777" w:rsidR="00D90D46" w:rsidRPr="008127F8" w:rsidRDefault="00D90D46" w:rsidP="001E0A84">
            <w:pPr>
              <w:tabs>
                <w:tab w:val="left" w:pos="238"/>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е)</w:t>
            </w:r>
            <w:r w:rsidRPr="008127F8">
              <w:rPr>
                <w:rStyle w:val="Bodytext2"/>
                <w:rFonts w:eastAsia="Calibri"/>
                <w:color w:val="000000" w:themeColor="text1"/>
                <w:sz w:val="16"/>
                <w:szCs w:val="16"/>
              </w:rPr>
              <w:tab/>
              <w:t>на завод № 64 НКВ, ст. Урисум Южно-Уральской ж.д.</w:t>
            </w:r>
          </w:p>
          <w:p w14:paraId="0514234A" w14:textId="77777777" w:rsidR="00D90D46" w:rsidRPr="008127F8" w:rsidRDefault="00D90D46" w:rsidP="001E0A84">
            <w:pPr>
              <w:tabs>
                <w:tab w:val="left" w:pos="305"/>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ж)</w:t>
            </w:r>
            <w:r w:rsidRPr="008127F8">
              <w:rPr>
                <w:rStyle w:val="Bodytext2"/>
                <w:rFonts w:eastAsia="Calibri"/>
                <w:color w:val="000000" w:themeColor="text1"/>
                <w:sz w:val="16"/>
                <w:szCs w:val="16"/>
              </w:rPr>
              <w:tab/>
              <w:t>на завод № 74 НКВ, г. Ижевск</w:t>
            </w:r>
          </w:p>
        </w:tc>
      </w:tr>
      <w:tr w:rsidR="006F4095" w:rsidRPr="008127F8" w14:paraId="28B13D9F" w14:textId="77777777" w:rsidTr="0077406C">
        <w:trPr>
          <w:trHeight w:val="26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4FF39F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28.</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7E5F6AB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354,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D8D8197"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«Красный гигант», ст. Ночка Пензенской ж.д.</w:t>
            </w:r>
          </w:p>
        </w:tc>
      </w:tr>
      <w:tr w:rsidR="006F4095" w:rsidRPr="008127F8" w14:paraId="3000C09C"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3295C65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29.</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6E6DFA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356,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521FFB8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кондитерскую фабрику и строящийся рядом конди</w:t>
            </w:r>
            <w:r w:rsidRPr="008127F8">
              <w:rPr>
                <w:rStyle w:val="Bodytext2"/>
                <w:rFonts w:eastAsia="Calibri"/>
                <w:color w:val="000000" w:themeColor="text1"/>
                <w:sz w:val="16"/>
                <w:szCs w:val="16"/>
              </w:rPr>
              <w:softHyphen/>
              <w:t>терский комбинат НКпищепома СССР, г. Свердловск</w:t>
            </w:r>
          </w:p>
        </w:tc>
      </w:tr>
      <w:tr w:rsidR="006F4095" w:rsidRPr="008127F8" w14:paraId="23AB0AA7" w14:textId="77777777" w:rsidTr="0077406C">
        <w:trPr>
          <w:trHeight w:val="1766"/>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27E9E95B"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30.</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3AA02E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460, г. Подольск Московской обл.</w:t>
            </w:r>
          </w:p>
          <w:p w14:paraId="3C3D3BC5"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пр-во иголок к швейным машинам</w:t>
            </w:r>
          </w:p>
          <w:p w14:paraId="142AB9BA"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пр-во боеприпасов</w:t>
            </w:r>
          </w:p>
          <w:p w14:paraId="4623E126" w14:textId="77777777" w:rsidR="00D90D46" w:rsidRPr="008127F8" w:rsidRDefault="00D90D46" w:rsidP="001E0A84">
            <w:pPr>
              <w:tabs>
                <w:tab w:val="left" w:pos="26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пр-во самозарядной винтовки</w:t>
            </w:r>
          </w:p>
          <w:p w14:paraId="69813AB4" w14:textId="77777777" w:rsidR="00D90D46" w:rsidRPr="008127F8" w:rsidRDefault="00D90D46" w:rsidP="001E0A84">
            <w:pPr>
              <w:tabs>
                <w:tab w:val="left" w:pos="24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w:t>
            </w:r>
            <w:r w:rsidRPr="008127F8">
              <w:rPr>
                <w:rStyle w:val="Bodytext2"/>
                <w:rFonts w:eastAsia="Calibri"/>
                <w:color w:val="000000" w:themeColor="text1"/>
                <w:sz w:val="16"/>
                <w:szCs w:val="16"/>
              </w:rPr>
              <w:tab/>
              <w:t>пр-во средств воспламенения</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1DB60BAC" w14:textId="77777777" w:rsidR="00D90D46" w:rsidRPr="008127F8" w:rsidRDefault="00D90D46" w:rsidP="001E0A84">
            <w:pPr>
              <w:tabs>
                <w:tab w:val="left" w:pos="25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площади авторемонтных мастерских, г. Кокчетав Северо-Казахстанской обл.</w:t>
            </w:r>
          </w:p>
          <w:p w14:paraId="6BEA77C2" w14:textId="77777777" w:rsidR="00D90D46" w:rsidRPr="008127F8" w:rsidRDefault="00D90D46" w:rsidP="001E0A84">
            <w:pPr>
              <w:tabs>
                <w:tab w:val="left" w:pos="276"/>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костный завод НКместпрома РСФСР, пос. Арти Свердловской обл.</w:t>
            </w:r>
          </w:p>
          <w:p w14:paraId="1D01491C"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завод № 235 НКВ, г. Воткинск</w:t>
            </w:r>
          </w:p>
          <w:p w14:paraId="555E85EC" w14:textId="77777777" w:rsidR="00D90D46" w:rsidRPr="008127F8" w:rsidRDefault="00D90D46" w:rsidP="001E0A84">
            <w:pPr>
              <w:tabs>
                <w:tab w:val="left" w:pos="24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w:t>
            </w:r>
            <w:r w:rsidRPr="008127F8">
              <w:rPr>
                <w:rStyle w:val="Bodytext2"/>
                <w:rFonts w:eastAsia="Calibri"/>
                <w:color w:val="000000" w:themeColor="text1"/>
                <w:sz w:val="16"/>
                <w:szCs w:val="16"/>
              </w:rPr>
              <w:tab/>
              <w:t>на завод № 74 НКВ, г. Ижевск</w:t>
            </w:r>
          </w:p>
          <w:p w14:paraId="264484E7" w14:textId="77777777" w:rsidR="00D90D46" w:rsidRPr="008127F8" w:rsidRDefault="00D90D46" w:rsidP="001E0A84">
            <w:pPr>
              <w:tabs>
                <w:tab w:val="left" w:pos="271"/>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д)</w:t>
            </w:r>
            <w:r w:rsidRPr="008127F8">
              <w:rPr>
                <w:rStyle w:val="Bodytext2"/>
                <w:rFonts w:eastAsia="Calibri"/>
                <w:color w:val="000000" w:themeColor="text1"/>
                <w:sz w:val="16"/>
                <w:szCs w:val="16"/>
              </w:rPr>
              <w:tab/>
              <w:t>на завод № 74 НКВ, г. Ижевск</w:t>
            </w:r>
          </w:p>
          <w:p w14:paraId="2DAB676A" w14:textId="77777777" w:rsidR="00D90D46" w:rsidRPr="008127F8" w:rsidRDefault="00D90D46" w:rsidP="001E0A84">
            <w:pPr>
              <w:tabs>
                <w:tab w:val="left" w:pos="25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е)</w:t>
            </w:r>
            <w:r w:rsidRPr="008127F8">
              <w:rPr>
                <w:rStyle w:val="Bodytext2"/>
                <w:rFonts w:eastAsia="Calibri"/>
                <w:color w:val="000000" w:themeColor="text1"/>
                <w:sz w:val="16"/>
                <w:szCs w:val="16"/>
              </w:rPr>
              <w:tab/>
              <w:t>на завод № 54 НКВ, г. Златоуст</w:t>
            </w:r>
          </w:p>
        </w:tc>
      </w:tr>
      <w:tr w:rsidR="006F4095" w:rsidRPr="008127F8" w14:paraId="20E7C6C7"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3C46488"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31.</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051BAA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217 (пр-во прицелов),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6A718AD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Свердловского университета и Пединсти</w:t>
            </w:r>
            <w:r w:rsidRPr="008127F8">
              <w:rPr>
                <w:rStyle w:val="Bodytext2"/>
                <w:rFonts w:eastAsia="Calibri"/>
                <w:color w:val="000000" w:themeColor="text1"/>
                <w:sz w:val="16"/>
                <w:szCs w:val="16"/>
              </w:rPr>
              <w:softHyphen/>
              <w:t>тута, г. Свердловск</w:t>
            </w:r>
          </w:p>
        </w:tc>
      </w:tr>
      <w:tr w:rsidR="006F4095" w:rsidRPr="008127F8" w14:paraId="58A354B7" w14:textId="77777777" w:rsidTr="0077406C">
        <w:trPr>
          <w:trHeight w:val="475"/>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6C1790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32.</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774C552F"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371,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66CD7E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Верхне-Салдинский завод металлоконструкций, г. Верхняя Салда</w:t>
            </w:r>
          </w:p>
        </w:tc>
      </w:tr>
      <w:tr w:rsidR="006F4095" w:rsidRPr="008127F8" w14:paraId="63ACE412" w14:textId="77777777" w:rsidTr="0077406C">
        <w:trPr>
          <w:trHeight w:val="902"/>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0CF5D93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33.</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4E9B83B9"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69 (часть), г. Красногорск Москов</w:t>
            </w:r>
            <w:r w:rsidRPr="008127F8">
              <w:rPr>
                <w:rStyle w:val="Bodytext2"/>
                <w:rFonts w:eastAsia="Calibri"/>
                <w:color w:val="000000" w:themeColor="text1"/>
                <w:sz w:val="16"/>
                <w:szCs w:val="16"/>
              </w:rPr>
              <w:softHyphen/>
              <w:t>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F194180" w14:textId="77777777" w:rsidR="00D90D46" w:rsidRPr="008127F8" w:rsidRDefault="00D90D46" w:rsidP="001E0A84">
            <w:pPr>
              <w:tabs>
                <w:tab w:val="left" w:pos="238"/>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площади Военно-транспортного института НКПС, г. Новосибирск</w:t>
            </w:r>
          </w:p>
          <w:p w14:paraId="46F2978D" w14:textId="77777777" w:rsidR="00D90D46" w:rsidRPr="008127F8" w:rsidRDefault="00D90D46" w:rsidP="001E0A84">
            <w:pPr>
              <w:tabs>
                <w:tab w:val="left" w:pos="252"/>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площади Красных казарм и конюшни НКО, г. Но</w:t>
            </w:r>
            <w:r w:rsidRPr="008127F8">
              <w:rPr>
                <w:rStyle w:val="Bodytext2"/>
                <w:rFonts w:eastAsia="Calibri"/>
                <w:color w:val="000000" w:themeColor="text1"/>
                <w:sz w:val="16"/>
                <w:szCs w:val="16"/>
              </w:rPr>
              <w:softHyphen/>
              <w:t>восибирск</w:t>
            </w:r>
          </w:p>
        </w:tc>
      </w:tr>
      <w:tr w:rsidR="006F4095" w:rsidRPr="008127F8" w14:paraId="2C0CD3C4"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AB67D4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34.</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45F1C8F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ГСПИ № 7,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67B87FD4"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площади Института журналистики, г. Свердловск</w:t>
            </w:r>
          </w:p>
        </w:tc>
      </w:tr>
      <w:tr w:rsidR="006F4095" w:rsidRPr="008127F8" w14:paraId="382B47FB" w14:textId="77777777" w:rsidTr="0077406C">
        <w:trPr>
          <w:trHeight w:val="1118"/>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0324C153"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35.</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4194CB1"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232 (артиллерийское и снарядное пр-во),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99FFD57" w14:textId="77777777" w:rsidR="00D90D46" w:rsidRPr="008127F8" w:rsidRDefault="00D90D46" w:rsidP="001E0A84">
            <w:pPr>
              <w:tabs>
                <w:tab w:val="left" w:pos="286"/>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а)</w:t>
            </w:r>
            <w:r w:rsidRPr="008127F8">
              <w:rPr>
                <w:rStyle w:val="Bodytext2"/>
                <w:rFonts w:eastAsia="Calibri"/>
                <w:color w:val="000000" w:themeColor="text1"/>
                <w:sz w:val="16"/>
                <w:szCs w:val="16"/>
              </w:rPr>
              <w:tab/>
              <w:t>на завод № 221 и стройку завода «Т» НКВ, г. Ста</w:t>
            </w:r>
            <w:r w:rsidRPr="008127F8">
              <w:rPr>
                <w:rStyle w:val="Bodytext2"/>
                <w:rFonts w:eastAsia="Calibri"/>
                <w:color w:val="000000" w:themeColor="text1"/>
                <w:sz w:val="16"/>
                <w:szCs w:val="16"/>
              </w:rPr>
              <w:softHyphen/>
              <w:t>линград</w:t>
            </w:r>
          </w:p>
          <w:p w14:paraId="19C6D7B0" w14:textId="77777777" w:rsidR="00D90D46" w:rsidRPr="008127F8" w:rsidRDefault="00D90D46" w:rsidP="001E0A84">
            <w:pPr>
              <w:tabs>
                <w:tab w:val="left" w:pos="257"/>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б)</w:t>
            </w:r>
            <w:r w:rsidRPr="008127F8">
              <w:rPr>
                <w:rStyle w:val="Bodytext2"/>
                <w:rFonts w:eastAsia="Calibri"/>
                <w:color w:val="000000" w:themeColor="text1"/>
                <w:sz w:val="16"/>
                <w:szCs w:val="16"/>
              </w:rPr>
              <w:tab/>
              <w:t>на завод № 78 НКбоеприпасов, г.Челябинск</w:t>
            </w:r>
          </w:p>
          <w:p w14:paraId="7C4D2FAF" w14:textId="77777777" w:rsidR="00D90D46" w:rsidRPr="008127F8" w:rsidRDefault="00D90D46" w:rsidP="001E0A84">
            <w:pPr>
              <w:tabs>
                <w:tab w:val="left" w:pos="266"/>
              </w:tabs>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в)</w:t>
            </w:r>
            <w:r w:rsidRPr="008127F8">
              <w:rPr>
                <w:rStyle w:val="Bodytext2"/>
                <w:rFonts w:eastAsia="Calibri"/>
                <w:color w:val="000000" w:themeColor="text1"/>
                <w:sz w:val="16"/>
                <w:szCs w:val="16"/>
              </w:rPr>
              <w:tab/>
              <w:t>на строительство завода НКВ, ст. Юрга Новосибир</w:t>
            </w:r>
            <w:r w:rsidRPr="008127F8">
              <w:rPr>
                <w:rStyle w:val="Bodytext2"/>
                <w:rFonts w:eastAsia="Calibri"/>
                <w:color w:val="000000" w:themeColor="text1"/>
                <w:sz w:val="16"/>
                <w:szCs w:val="16"/>
              </w:rPr>
              <w:softHyphen/>
              <w:t>ской обл.</w:t>
            </w:r>
          </w:p>
        </w:tc>
      </w:tr>
      <w:tr w:rsidR="006F4095" w:rsidRPr="008127F8" w14:paraId="670E467D"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6F75485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36.</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016426FE"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345,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7A38908C"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237 НКВ и площади Института коммуналь</w:t>
            </w:r>
            <w:r w:rsidRPr="008127F8">
              <w:rPr>
                <w:rStyle w:val="Bodytext2"/>
                <w:rFonts w:eastAsia="Calibri"/>
                <w:color w:val="000000" w:themeColor="text1"/>
                <w:sz w:val="16"/>
                <w:szCs w:val="16"/>
              </w:rPr>
              <w:softHyphen/>
              <w:t>ного хозяйства, г. Казань</w:t>
            </w:r>
          </w:p>
        </w:tc>
      </w:tr>
      <w:tr w:rsidR="006F4095" w:rsidRPr="008127F8" w14:paraId="54C7F47A" w14:textId="77777777" w:rsidTr="0077406C">
        <w:trPr>
          <w:trHeight w:val="269"/>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29B329E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37.</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95BBD30"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Завод № 393, г. Киев</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F75C9B5"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Bodytext2"/>
                <w:rFonts w:eastAsia="Calibri"/>
                <w:color w:val="000000" w:themeColor="text1"/>
                <w:sz w:val="16"/>
                <w:szCs w:val="16"/>
              </w:rPr>
              <w:t>На завод № 235 НКВ, г. Воткинск</w:t>
            </w:r>
          </w:p>
        </w:tc>
      </w:tr>
    </w:tbl>
    <w:p w14:paraId="15FAD05A" w14:textId="77777777" w:rsidR="00D90D46" w:rsidRPr="008127F8" w:rsidRDefault="00D90D46" w:rsidP="001E0A84">
      <w:pPr>
        <w:spacing w:after="0" w:line="240" w:lineRule="auto"/>
        <w:jc w:val="both"/>
        <w:rPr>
          <w:rFonts w:ascii="Times New Roman" w:hAnsi="Times New Roman"/>
          <w:color w:val="000000" w:themeColor="text1"/>
          <w:sz w:val="16"/>
          <w:szCs w:val="16"/>
        </w:rPr>
      </w:pPr>
      <w:r w:rsidRPr="008127F8">
        <w:rPr>
          <w:rStyle w:val="Heading12"/>
          <w:rFonts w:eastAsia="Calibri"/>
          <w:color w:val="000000" w:themeColor="text1"/>
          <w:sz w:val="16"/>
          <w:szCs w:val="16"/>
        </w:rPr>
        <w:t>(15123).</w:t>
      </w:r>
    </w:p>
    <w:p w14:paraId="5217D2FA" w14:textId="77777777" w:rsidR="00D90D46" w:rsidRPr="008127F8" w:rsidRDefault="00D90D46" w:rsidP="001E0A84">
      <w:pPr>
        <w:spacing w:after="0" w:line="240" w:lineRule="auto"/>
        <w:jc w:val="both"/>
        <w:rPr>
          <w:rFonts w:ascii="Times New Roman" w:hAnsi="Times New Roman"/>
          <w:color w:val="000000" w:themeColor="text1"/>
          <w:sz w:val="16"/>
          <w:szCs w:val="16"/>
        </w:rPr>
      </w:pPr>
    </w:p>
    <w:p w14:paraId="7705A9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 заводом (Завод № 445 НКСП, НКАП /г. Тушино Московской обл.</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Алапаевск Свердловской обл./) влитым завод № 493 НКАП освоен выпуск десантного планера А-7. Завод № 445 действовал в системе 11 ГУ. Налажено также производство крыльев самолета Ил-2 для завода № 381 НКАП.</w:t>
      </w:r>
    </w:p>
    <w:p w14:paraId="2F38BD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площадке эвакуированного завода в Тушино образовался филиал завода № 445. Сюда реэвакуирован из Тюмени завод № 464 НКАП и в результате слияния образован единый завод № 464.</w:t>
      </w:r>
    </w:p>
    <w:p w14:paraId="2EDCFF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3028сс от 12.03.1943 г. и приказом № 174с от 27.03.1943 г. завод № 445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6F3D10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(1941-05.1942 г.-)- П.П. Перовский.</w:t>
      </w:r>
    </w:p>
    <w:p w14:paraId="14A4C7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(09.1941 г.-)- </w:t>
      </w:r>
      <w:r w:rsidRPr="008127F8">
        <w:rPr>
          <w:rFonts w:ascii="Times New Roman" w:hAnsi="Times New Roman"/>
          <w:color w:val="000000" w:themeColor="text1"/>
          <w:sz w:val="16"/>
          <w:szCs w:val="16"/>
          <w:lang w:val="en-US"/>
        </w:rPr>
        <w:t>O</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Антонов.</w:t>
      </w:r>
    </w:p>
    <w:p w14:paraId="107CF3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В.И. Левков.</w:t>
      </w:r>
    </w:p>
    <w:p w14:paraId="2491F0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ЦКБ-1 гл. конструктора В.И. Левкова НКСП, НКАП</w:t>
      </w:r>
    </w:p>
    <w:p w14:paraId="0DC779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388315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17E3FC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2065DB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(11.03.1939-44 г.-)- В.И. Левков {-2.01.1954} (11982).</w:t>
      </w:r>
    </w:p>
    <w:p w14:paraId="7E9908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7358B" w14:textId="77777777" w:rsidR="00D60203" w:rsidRPr="008127F8" w:rsidRDefault="00D6020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согласно отчету Новосибирского филиала ЦАГИ за первый квартал 1942 г., окончилисб испытания винтомоторной группы с двигателем Мерлин XX и винтом Ротол на истребителе Як-7. Работа проводилась по заданию ОКБ А. С. Яковлева. В ЦАГИ провели анализ изменения летных данных самолетов Як-1 и Пе-2 при установке на них моторов Мерлин-20 и Аллисон-V1710, самолета Ла-5 при установке моторов Райт R-2600 и Пратт Уитни R-2800, самолета Ил-4 при установке моторов Райт R-2600 и Пратт-Уитни R-1830-33 и самолета Ли-2 при установке мотора Райт Циклон R-1820-71. Были сделаны следующие выводы: «...Установка на Як-1 мотора Мерлин-20 резко повысит скорость на 2-й границе высотности, доведя ее примерно до 665 км/ч. Однако такой результат получится лишь на высотах 6000—7000 м. На малых высотах скорости получатся худшими... При установке на Як-1 мотора Аллисон V-1710, скорость у земли снизится примерно на 50 км/ч... Замена мотора на самолете Ла-5 на Райт R-2600 снижает скорости полета на всем диапазоне высот... Данные самолета Ла-5 с мотором Пратт-Уитни R-2800 оказываются близкими к данным варианта этого самолета с М-71... Изменение летных данных самолета Пе-2 при постановке на него моторов Мерлин-20 и Аллисон V-1710 аналогично тому, что имело место на самолете Як-1... Дальность самолета Ил-4 при установке на него моторов Райт R-2600 ухудшается: при небольшом возрастании скорости на 2-й границе высотности, дальность полета снижается до 2300 км. Установка этих моторов потребует примерно тех же конструктивных изменений, как и установка моторов М-82. Мотор Пратт-Уитни «Дабл-Уосп» тяжел для самолета Ил-4, значительно снижает его дальность и поэтому не может быть установлен на Ил-4. Мотор ПраттУитни R-1830-33, не изменяя практически скоростных и взлетных свойств самолета Ил-4, повышает дальность этого самолета приблизительно на 300 км, вследствие большей высотности мотора Пратт-Уитни с ТК». Общий вывод гласил: «На самолетах Як и Пе-2 наиболее целесообразной является постановка моторов Мерлин-20 или более новых модификаций (Мерлин-45, Мерлин-61). Следует отметить, что этот мотор не пушечный, что вызовет необходимость на самолетах Як изменения оружия: крыльевые пушки и пулеметы, вместо пушки и пулеметов на моторе. Ввиду того, что число оборотов винта на моторе Мерлин-20 значительно ниже, чем на М-105ПФ, а диаметр винтов на наших самолетах Як не может быть без изменения высоты шасси доведен до размера диаметра английских винтов, желательно при установке мотора Мерлин на наших самолетах, изменить его редукцию в сторону увеличения оборотов винта. На самолете Ла-5 целесообразна установка мотора Пратт-Уитни R-2800 «Дабл-Уосп», но он пока еще не эксплуатируется в Советском Союзе. К этому мотору относятся замечания по редуктору, сделанные </w:t>
      </w:r>
      <w:proofErr w:type="gramStart"/>
      <w:r w:rsidRPr="008127F8">
        <w:rPr>
          <w:rFonts w:ascii="Times New Roman" w:hAnsi="Times New Roman"/>
          <w:color w:val="000000" w:themeColor="text1"/>
          <w:sz w:val="16"/>
          <w:szCs w:val="16"/>
        </w:rPr>
        <w:t>для мотора</w:t>
      </w:r>
      <w:proofErr w:type="gramEnd"/>
      <w:r w:rsidRPr="008127F8">
        <w:rPr>
          <w:rFonts w:ascii="Times New Roman" w:hAnsi="Times New Roman"/>
          <w:color w:val="000000" w:themeColor="text1"/>
          <w:sz w:val="16"/>
          <w:szCs w:val="16"/>
        </w:rPr>
        <w:t xml:space="preserve"> Мерлин-20. На самолете Ил-4 наиболее целесообразна установка моторов Пратт Уитни R-1830-ТК. Что касается </w:t>
      </w:r>
      <w:r w:rsidRPr="008127F8">
        <w:rPr>
          <w:rFonts w:ascii="Times New Roman" w:hAnsi="Times New Roman"/>
          <w:color w:val="000000" w:themeColor="text1"/>
          <w:sz w:val="16"/>
          <w:szCs w:val="16"/>
        </w:rPr>
        <w:lastRenderedPageBreak/>
        <w:t>самолета Ли-2, то установка на нем моторов РайтЦиклон R-1820-71, весьма близких к моторам М-62ИР, не вызовет никаких затруднений и практически не повлияет на летные данные этого самолета. Постановка моторов Райт R-2600 и Аллисон V-1710 ни на одном из рассмотренных самолетов не представляет интереса с точки зрения улучшения летных данных» (19727).</w:t>
      </w:r>
    </w:p>
    <w:p w14:paraId="73FDEDD5" w14:textId="77777777" w:rsidR="00D60203" w:rsidRPr="008127F8" w:rsidRDefault="00D60203" w:rsidP="001E0A84">
      <w:pPr>
        <w:spacing w:after="0" w:line="240" w:lineRule="auto"/>
        <w:jc w:val="both"/>
        <w:rPr>
          <w:rFonts w:ascii="Times New Roman" w:hAnsi="Times New Roman"/>
          <w:color w:val="000000" w:themeColor="text1"/>
          <w:sz w:val="16"/>
          <w:szCs w:val="16"/>
        </w:rPr>
      </w:pPr>
    </w:p>
    <w:p w14:paraId="6F9A0A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 Москву стали возвращаться институты АП (6,155). В январе начали монтировать скоростную трубу Т-6 (6,155).</w:t>
      </w:r>
    </w:p>
    <w:p w14:paraId="0391AF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940B" w14:textId="77777777" w:rsidR="00534389" w:rsidRPr="008127F8" w:rsidRDefault="00534389"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начале 1942 г. оно отгрузило в Москву первую партию дви</w:t>
      </w:r>
      <w:r w:rsidRPr="008127F8">
        <w:rPr>
          <w:rFonts w:ascii="Times New Roman" w:hAnsi="Times New Roman" w:cs="Times New Roman"/>
          <w:color w:val="000000" w:themeColor="text1"/>
          <w:sz w:val="16"/>
          <w:szCs w:val="16"/>
        </w:rPr>
        <w:softHyphen/>
        <w:t>гателей ДМ-4 на испытания.</w:t>
      </w:r>
    </w:p>
    <w:p w14:paraId="7BAF2E2D" w14:textId="77777777" w:rsidR="00534389" w:rsidRPr="008127F8" w:rsidRDefault="00534389"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Они начались в специально соору</w:t>
      </w:r>
      <w:r w:rsidRPr="008127F8">
        <w:rPr>
          <w:rFonts w:ascii="Times New Roman" w:hAnsi="Times New Roman" w:cs="Times New Roman"/>
          <w:color w:val="000000" w:themeColor="text1"/>
          <w:sz w:val="16"/>
          <w:szCs w:val="16"/>
        </w:rPr>
        <w:softHyphen/>
        <w:t>женной на территории Московского ави</w:t>
      </w:r>
      <w:r w:rsidRPr="008127F8">
        <w:rPr>
          <w:rFonts w:ascii="Times New Roman" w:hAnsi="Times New Roman" w:cs="Times New Roman"/>
          <w:color w:val="000000" w:themeColor="text1"/>
          <w:sz w:val="16"/>
          <w:szCs w:val="16"/>
        </w:rPr>
        <w:softHyphen/>
        <w:t>ационного института аэродинамической трубе АТ-2 со стальной проточной частью размером 17x1 м. Но она давала поток со скоростью до 180 км/ч и для дальнейших испытаний Яковлев распорядился изъять из 120-го (с 7 марта 1942 г. - 12-го гвар</w:t>
      </w:r>
      <w:r w:rsidRPr="008127F8">
        <w:rPr>
          <w:rFonts w:ascii="Times New Roman" w:hAnsi="Times New Roman" w:cs="Times New Roman"/>
          <w:color w:val="000000" w:themeColor="text1"/>
          <w:sz w:val="16"/>
          <w:szCs w:val="16"/>
        </w:rPr>
        <w:softHyphen/>
        <w:t>дейского) ИАП ПВО проходивший там опытную эксплуатацию учебно-трениро</w:t>
      </w:r>
      <w:r w:rsidRPr="008127F8">
        <w:rPr>
          <w:rFonts w:ascii="Times New Roman" w:hAnsi="Times New Roman" w:cs="Times New Roman"/>
          <w:color w:val="000000" w:themeColor="text1"/>
          <w:sz w:val="16"/>
          <w:szCs w:val="16"/>
        </w:rPr>
        <w:softHyphen/>
        <w:t>вочный истребитель УТИ-26, во второй кабине которого можно было оборудовать место инженера-экспериментатора.</w:t>
      </w:r>
    </w:p>
    <w:p w14:paraId="0A8B7FCB" w14:textId="77777777" w:rsidR="00534389" w:rsidRPr="008127F8" w:rsidRDefault="00534389"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Самолет проходил испытания в ЛИИ, </w:t>
      </w:r>
      <w:proofErr w:type="gramStart"/>
      <w:r w:rsidRPr="008127F8">
        <w:rPr>
          <w:rFonts w:ascii="Times New Roman" w:hAnsi="Times New Roman" w:cs="Times New Roman"/>
          <w:color w:val="000000" w:themeColor="text1"/>
          <w:sz w:val="16"/>
          <w:szCs w:val="16"/>
        </w:rPr>
        <w:t>но к сожалению</w:t>
      </w:r>
      <w:proofErr w:type="gramEnd"/>
      <w:r w:rsidRPr="008127F8">
        <w:rPr>
          <w:rFonts w:ascii="Times New Roman" w:hAnsi="Times New Roman" w:cs="Times New Roman"/>
          <w:color w:val="000000" w:themeColor="text1"/>
          <w:sz w:val="16"/>
          <w:szCs w:val="16"/>
        </w:rPr>
        <w:t>, ни времени их прове</w:t>
      </w:r>
      <w:r w:rsidRPr="008127F8">
        <w:rPr>
          <w:rFonts w:ascii="Times New Roman" w:hAnsi="Times New Roman" w:cs="Times New Roman"/>
          <w:color w:val="000000" w:themeColor="text1"/>
          <w:sz w:val="16"/>
          <w:szCs w:val="16"/>
        </w:rPr>
        <w:softHyphen/>
        <w:t xml:space="preserve">дения, ни подробностей автору узнать не удалось. В некоторых источниках сказано, что «из-за вибраций наблюдалась течь баков», в других говорится, что полетов с включением ПВРД не проводили, потому А.С.Я. дал распоряжение переоборудовать </w:t>
      </w:r>
      <w:r w:rsidRPr="008127F8">
        <w:rPr>
          <w:rStyle w:val="BodytextBold30"/>
          <w:rFonts w:ascii="Times New Roman" w:eastAsiaTheme="minorHAnsi" w:hAnsi="Times New Roman" w:cs="Times New Roman"/>
          <w:b w:val="0"/>
          <w:color w:val="000000" w:themeColor="text1"/>
          <w:sz w:val="16"/>
          <w:szCs w:val="16"/>
        </w:rPr>
        <w:t>другой</w:t>
      </w:r>
      <w:r w:rsidRPr="008127F8">
        <w:rPr>
          <w:rFonts w:ascii="Times New Roman" w:hAnsi="Times New Roman" w:cs="Times New Roman"/>
          <w:color w:val="000000" w:themeColor="text1"/>
          <w:sz w:val="16"/>
          <w:szCs w:val="16"/>
        </w:rPr>
        <w:t xml:space="preserve"> самолет для той же цели.</w:t>
      </w:r>
    </w:p>
    <w:p w14:paraId="24B24393" w14:textId="77777777" w:rsidR="00534389" w:rsidRPr="008127F8" w:rsidRDefault="00534389"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Style w:val="BodytextBold30"/>
          <w:rFonts w:ascii="Times New Roman" w:eastAsiaTheme="minorHAnsi" w:hAnsi="Times New Roman" w:cs="Times New Roman"/>
          <w:b w:val="0"/>
          <w:color w:val="000000" w:themeColor="text1"/>
          <w:sz w:val="16"/>
          <w:szCs w:val="16"/>
        </w:rPr>
        <w:t>Предварительные</w:t>
      </w:r>
      <w:r w:rsidRPr="008127F8">
        <w:rPr>
          <w:rFonts w:ascii="Times New Roman" w:hAnsi="Times New Roman" w:cs="Times New Roman"/>
          <w:color w:val="000000" w:themeColor="text1"/>
          <w:sz w:val="16"/>
          <w:szCs w:val="16"/>
        </w:rPr>
        <w:t xml:space="preserve"> трубные испыта</w:t>
      </w:r>
      <w:r w:rsidRPr="008127F8">
        <w:rPr>
          <w:rFonts w:ascii="Times New Roman" w:hAnsi="Times New Roman" w:cs="Times New Roman"/>
          <w:color w:val="000000" w:themeColor="text1"/>
          <w:sz w:val="16"/>
          <w:szCs w:val="16"/>
        </w:rPr>
        <w:softHyphen/>
      </w:r>
      <w:r w:rsidRPr="008127F8">
        <w:rPr>
          <w:rStyle w:val="BodytextBold30"/>
          <w:rFonts w:ascii="Times New Roman" w:eastAsiaTheme="minorHAnsi" w:hAnsi="Times New Roman" w:cs="Times New Roman"/>
          <w:b w:val="0"/>
          <w:color w:val="000000" w:themeColor="text1"/>
          <w:sz w:val="16"/>
          <w:szCs w:val="16"/>
        </w:rPr>
        <w:t>ния «дополнительных</w:t>
      </w:r>
      <w:r w:rsidRPr="008127F8">
        <w:rPr>
          <w:rFonts w:ascii="Times New Roman" w:hAnsi="Times New Roman" w:cs="Times New Roman"/>
          <w:color w:val="000000" w:themeColor="text1"/>
          <w:sz w:val="16"/>
          <w:szCs w:val="16"/>
        </w:rPr>
        <w:t xml:space="preserve"> моторов» ДМ-4 </w:t>
      </w:r>
      <w:r w:rsidRPr="008127F8">
        <w:rPr>
          <w:rStyle w:val="BodytextBold30"/>
          <w:rFonts w:ascii="Times New Roman" w:eastAsiaTheme="minorHAnsi" w:hAnsi="Times New Roman" w:cs="Times New Roman"/>
          <w:b w:val="0"/>
          <w:color w:val="000000" w:themeColor="text1"/>
          <w:sz w:val="16"/>
          <w:szCs w:val="16"/>
        </w:rPr>
        <w:t>позволили</w:t>
      </w:r>
      <w:r w:rsidRPr="008127F8">
        <w:rPr>
          <w:rFonts w:ascii="Times New Roman" w:hAnsi="Times New Roman" w:cs="Times New Roman"/>
          <w:color w:val="000000" w:themeColor="text1"/>
          <w:sz w:val="16"/>
          <w:szCs w:val="16"/>
        </w:rPr>
        <w:t xml:space="preserve"> наметить ряд важных направ</w:t>
      </w:r>
      <w:r w:rsidRPr="008127F8">
        <w:rPr>
          <w:rFonts w:ascii="Times New Roman" w:hAnsi="Times New Roman" w:cs="Times New Roman"/>
          <w:color w:val="000000" w:themeColor="text1"/>
          <w:sz w:val="16"/>
          <w:szCs w:val="16"/>
        </w:rPr>
        <w:softHyphen/>
      </w:r>
      <w:r w:rsidRPr="008127F8">
        <w:rPr>
          <w:rStyle w:val="BodytextBold30"/>
          <w:rFonts w:ascii="Times New Roman" w:eastAsiaTheme="minorHAnsi" w:hAnsi="Times New Roman" w:cs="Times New Roman"/>
          <w:b w:val="0"/>
          <w:color w:val="000000" w:themeColor="text1"/>
          <w:sz w:val="16"/>
          <w:szCs w:val="16"/>
        </w:rPr>
        <w:t>лений их</w:t>
      </w:r>
      <w:r w:rsidRPr="008127F8">
        <w:rPr>
          <w:rFonts w:ascii="Times New Roman" w:hAnsi="Times New Roman" w:cs="Times New Roman"/>
          <w:color w:val="000000" w:themeColor="text1"/>
          <w:sz w:val="16"/>
          <w:szCs w:val="16"/>
        </w:rPr>
        <w:t xml:space="preserve"> совершенствования и, прежде </w:t>
      </w:r>
      <w:r w:rsidRPr="008127F8">
        <w:rPr>
          <w:rStyle w:val="BodytextBold30"/>
          <w:rFonts w:ascii="Times New Roman" w:eastAsiaTheme="minorHAnsi" w:hAnsi="Times New Roman" w:cs="Times New Roman"/>
          <w:b w:val="0"/>
          <w:color w:val="000000" w:themeColor="text1"/>
          <w:sz w:val="16"/>
          <w:szCs w:val="16"/>
        </w:rPr>
        <w:t>всего, повысить</w:t>
      </w:r>
      <w:r w:rsidRPr="008127F8">
        <w:rPr>
          <w:rFonts w:ascii="Times New Roman" w:hAnsi="Times New Roman" w:cs="Times New Roman"/>
          <w:color w:val="000000" w:themeColor="text1"/>
          <w:sz w:val="16"/>
          <w:szCs w:val="16"/>
        </w:rPr>
        <w:t xml:space="preserve"> полноту сгорания то</w:t>
      </w:r>
      <w:r w:rsidRPr="008127F8">
        <w:rPr>
          <w:rFonts w:ascii="Times New Roman" w:hAnsi="Times New Roman" w:cs="Times New Roman"/>
          <w:color w:val="000000" w:themeColor="text1"/>
          <w:sz w:val="16"/>
          <w:szCs w:val="16"/>
        </w:rPr>
        <w:softHyphen/>
      </w:r>
      <w:r w:rsidRPr="008127F8">
        <w:rPr>
          <w:rStyle w:val="BodytextBold30"/>
          <w:rFonts w:ascii="Times New Roman" w:eastAsiaTheme="minorHAnsi" w:hAnsi="Times New Roman" w:cs="Times New Roman"/>
          <w:b w:val="0"/>
          <w:color w:val="000000" w:themeColor="text1"/>
          <w:sz w:val="16"/>
          <w:szCs w:val="16"/>
        </w:rPr>
        <w:t>плива и экономичность</w:t>
      </w:r>
      <w:r w:rsidRPr="008127F8">
        <w:rPr>
          <w:rFonts w:ascii="Times New Roman" w:hAnsi="Times New Roman" w:cs="Times New Roman"/>
          <w:color w:val="000000" w:themeColor="text1"/>
          <w:sz w:val="16"/>
          <w:szCs w:val="16"/>
        </w:rPr>
        <w:t xml:space="preserve"> двигателя, что </w:t>
      </w:r>
      <w:r w:rsidRPr="008127F8">
        <w:rPr>
          <w:rStyle w:val="BodytextBold30"/>
          <w:rFonts w:ascii="Times New Roman" w:eastAsiaTheme="minorHAnsi" w:hAnsi="Times New Roman" w:cs="Times New Roman"/>
          <w:b w:val="0"/>
          <w:color w:val="000000" w:themeColor="text1"/>
          <w:sz w:val="16"/>
          <w:szCs w:val="16"/>
        </w:rPr>
        <w:t>открывало пути к</w:t>
      </w:r>
      <w:r w:rsidRPr="008127F8">
        <w:rPr>
          <w:rFonts w:ascii="Times New Roman" w:hAnsi="Times New Roman" w:cs="Times New Roman"/>
          <w:color w:val="000000" w:themeColor="text1"/>
          <w:sz w:val="16"/>
          <w:szCs w:val="16"/>
        </w:rPr>
        <w:t xml:space="preserve"> увеличению дальности </w:t>
      </w:r>
      <w:r w:rsidRPr="008127F8">
        <w:rPr>
          <w:rStyle w:val="BodytextBold30"/>
          <w:rFonts w:ascii="Times New Roman" w:eastAsiaTheme="minorHAnsi" w:hAnsi="Times New Roman" w:cs="Times New Roman"/>
          <w:b w:val="0"/>
          <w:color w:val="000000" w:themeColor="text1"/>
          <w:sz w:val="16"/>
          <w:szCs w:val="16"/>
        </w:rPr>
        <w:t>и продолжительности</w:t>
      </w:r>
      <w:r w:rsidRPr="008127F8">
        <w:rPr>
          <w:rFonts w:ascii="Times New Roman" w:hAnsi="Times New Roman" w:cs="Times New Roman"/>
          <w:color w:val="000000" w:themeColor="text1"/>
          <w:sz w:val="16"/>
          <w:szCs w:val="16"/>
        </w:rPr>
        <w:t xml:space="preserve"> полета, которые пока</w:t>
      </w:r>
      <w:r w:rsidRPr="008127F8">
        <w:rPr>
          <w:rStyle w:val="BodytextBold30"/>
          <w:rFonts w:ascii="Times New Roman" w:eastAsiaTheme="minorHAnsi" w:hAnsi="Times New Roman" w:cs="Times New Roman"/>
          <w:b w:val="0"/>
          <w:color w:val="000000" w:themeColor="text1"/>
          <w:sz w:val="16"/>
          <w:szCs w:val="16"/>
        </w:rPr>
        <w:t xml:space="preserve"> не</w:t>
      </w:r>
      <w:r w:rsidRPr="008127F8">
        <w:rPr>
          <w:rFonts w:ascii="Times New Roman" w:hAnsi="Times New Roman" w:cs="Times New Roman"/>
          <w:color w:val="000000" w:themeColor="text1"/>
          <w:sz w:val="16"/>
          <w:szCs w:val="16"/>
        </w:rPr>
        <w:t xml:space="preserve"> устраивали Заказчика. Однако </w:t>
      </w:r>
      <w:r w:rsidRPr="008127F8">
        <w:rPr>
          <w:rStyle w:val="BodytextBold30"/>
          <w:rFonts w:ascii="Times New Roman" w:eastAsiaTheme="minorHAnsi" w:hAnsi="Times New Roman" w:cs="Times New Roman"/>
          <w:b w:val="0"/>
          <w:color w:val="000000" w:themeColor="text1"/>
          <w:sz w:val="16"/>
          <w:szCs w:val="16"/>
        </w:rPr>
        <w:t>в период между</w:t>
      </w:r>
      <w:r w:rsidRPr="008127F8">
        <w:rPr>
          <w:rFonts w:ascii="Times New Roman" w:hAnsi="Times New Roman" w:cs="Times New Roman"/>
          <w:color w:val="000000" w:themeColor="text1"/>
          <w:sz w:val="16"/>
          <w:szCs w:val="16"/>
        </w:rPr>
        <w:t xml:space="preserve"> весной 1942 г., когда прошли</w:t>
      </w:r>
      <w:r w:rsidRPr="008127F8">
        <w:rPr>
          <w:rStyle w:val="BodytextBold30"/>
          <w:rFonts w:ascii="Times New Roman" w:eastAsiaTheme="minorHAnsi" w:hAnsi="Times New Roman" w:cs="Times New Roman"/>
          <w:b w:val="0"/>
          <w:color w:val="000000" w:themeColor="text1"/>
          <w:sz w:val="16"/>
          <w:szCs w:val="16"/>
        </w:rPr>
        <w:t xml:space="preserve"> первые</w:t>
      </w:r>
      <w:r w:rsidRPr="008127F8">
        <w:rPr>
          <w:rFonts w:ascii="Times New Roman" w:hAnsi="Times New Roman" w:cs="Times New Roman"/>
          <w:color w:val="000000" w:themeColor="text1"/>
          <w:sz w:val="16"/>
          <w:szCs w:val="16"/>
        </w:rPr>
        <w:t xml:space="preserve"> включения ПВРД в аэ</w:t>
      </w:r>
      <w:r w:rsidRPr="008127F8">
        <w:rPr>
          <w:rFonts w:ascii="Times New Roman" w:hAnsi="Times New Roman" w:cs="Times New Roman"/>
          <w:color w:val="000000" w:themeColor="text1"/>
          <w:sz w:val="16"/>
          <w:szCs w:val="16"/>
        </w:rPr>
        <w:softHyphen/>
      </w:r>
      <w:r w:rsidRPr="008127F8">
        <w:rPr>
          <w:rStyle w:val="BodytextBold30"/>
          <w:rFonts w:ascii="Times New Roman" w:eastAsiaTheme="minorHAnsi" w:hAnsi="Times New Roman" w:cs="Times New Roman"/>
          <w:b w:val="0"/>
          <w:color w:val="000000" w:themeColor="text1"/>
          <w:sz w:val="16"/>
          <w:szCs w:val="16"/>
        </w:rPr>
        <w:t>родинамической</w:t>
      </w:r>
      <w:r w:rsidRPr="008127F8">
        <w:rPr>
          <w:rFonts w:ascii="Times New Roman" w:hAnsi="Times New Roman" w:cs="Times New Roman"/>
          <w:color w:val="000000" w:themeColor="text1"/>
          <w:sz w:val="16"/>
          <w:szCs w:val="16"/>
        </w:rPr>
        <w:t xml:space="preserve"> трубе, и осенью того же года, когда началось проектирование аг</w:t>
      </w:r>
      <w:r w:rsidRPr="008127F8">
        <w:rPr>
          <w:rFonts w:ascii="Times New Roman" w:hAnsi="Times New Roman" w:cs="Times New Roman"/>
          <w:color w:val="000000" w:themeColor="text1"/>
          <w:sz w:val="16"/>
          <w:szCs w:val="16"/>
        </w:rPr>
        <w:softHyphen/>
        <w:t>регатов Як-7Р</w:t>
      </w:r>
      <w:r w:rsidRPr="008127F8">
        <w:rPr>
          <w:rStyle w:val="BodytextBold30"/>
          <w:rFonts w:ascii="Times New Roman" w:eastAsiaTheme="minorHAnsi" w:hAnsi="Times New Roman" w:cs="Times New Roman"/>
          <w:b w:val="0"/>
          <w:color w:val="000000" w:themeColor="text1"/>
          <w:sz w:val="16"/>
          <w:szCs w:val="16"/>
        </w:rPr>
        <w:t xml:space="preserve"> и</w:t>
      </w:r>
      <w:r w:rsidRPr="008127F8">
        <w:rPr>
          <w:rFonts w:ascii="Times New Roman" w:hAnsi="Times New Roman" w:cs="Times New Roman"/>
          <w:color w:val="000000" w:themeColor="text1"/>
          <w:sz w:val="16"/>
          <w:szCs w:val="16"/>
        </w:rPr>
        <w:t xml:space="preserve"> было принято решение о летной их отработке на новом самолете- лаборатории, кое-что произошло (17742).</w:t>
      </w:r>
    </w:p>
    <w:p w14:paraId="65D7140D" w14:textId="77777777" w:rsidR="00534389" w:rsidRPr="008127F8" w:rsidRDefault="00534389" w:rsidP="001E0A84">
      <w:pPr>
        <w:spacing w:after="0" w:line="240" w:lineRule="auto"/>
        <w:jc w:val="both"/>
        <w:rPr>
          <w:rFonts w:ascii="Times New Roman" w:eastAsia="Times New Roman" w:hAnsi="Times New Roman"/>
          <w:color w:val="000000" w:themeColor="text1"/>
          <w:sz w:val="16"/>
          <w:szCs w:val="16"/>
          <w:lang w:eastAsia="ru-RU"/>
        </w:rPr>
      </w:pPr>
    </w:p>
    <w:p w14:paraId="072912AA"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1942 г. были изготовлены двигатели ДМ-4С Бондарюка, спроектированные еще в 1941. Всесторонние огневые испытания ПВРД, одними из первых мире, были подготовлены и проведены специальным конструкторским бюро (СКБ) и МАИ им. С. Орджоникидзе. Директор МАИ А.И. Михайлов на свой риск решил помочь СКБ Бондарюка и учредилв МАИ специальную экспериментально-исследовательс к у ю группу (СЭИГ), и утвердил тему «Доработка и испыта ние дополнительных моторов специального типа».</w:t>
      </w:r>
    </w:p>
    <w:p w14:paraId="4DBDB25D"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 содействии А. И. Михайлова и его заместителя </w:t>
      </w:r>
      <w:proofErr w:type="gramStart"/>
      <w:r w:rsidRPr="008127F8">
        <w:rPr>
          <w:rFonts w:ascii="Times New Roman" w:eastAsia="Times New Roman" w:hAnsi="Times New Roman"/>
          <w:color w:val="000000" w:themeColor="text1"/>
          <w:sz w:val="16"/>
          <w:szCs w:val="16"/>
          <w:lang w:eastAsia="ru-RU"/>
        </w:rPr>
        <w:t>про- фессора</w:t>
      </w:r>
      <w:proofErr w:type="gramEnd"/>
      <w:r w:rsidRPr="008127F8">
        <w:rPr>
          <w:rFonts w:ascii="Times New Roman" w:eastAsia="Times New Roman" w:hAnsi="Times New Roman"/>
          <w:color w:val="000000" w:themeColor="text1"/>
          <w:sz w:val="16"/>
          <w:szCs w:val="16"/>
          <w:lang w:eastAsia="ru-RU"/>
        </w:rPr>
        <w:t xml:space="preserve"> Н. В. Иноземцева удалось преодолеть разнообразные и иногда довольно сложные препя тствия, возникавшие из-за трудностей военных лет.</w:t>
      </w:r>
    </w:p>
    <w:p w14:paraId="017072E1"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1942 г. инженеры и техники СКВ и сотрудники СЭИГ МАИ смонтировали стальную аэродинамическую трубу.</w:t>
      </w:r>
    </w:p>
    <w:p w14:paraId="51F3D417"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Эта труба имела длину 17 м и диаметр рабочей части 1 м.</w:t>
      </w:r>
    </w:p>
    <w:p w14:paraId="121C5299"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Скорость потока воздуха в рабочей части трубы составляла около 50 м/с. AT была оснащена измерительной аппаратурой для одновременного замера 22-х параметров — температур, ско ростей и давлений в разных точках ПВРД.</w:t>
      </w:r>
    </w:p>
    <w:p w14:paraId="63996729"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Из-за войны конструирование образцов ПВРД осуществля лось И.А. Меркуловым далеко от Москвы, и для испытаний и доводки эти образцы летным путем доставлялись в Москву.</w:t>
      </w:r>
    </w:p>
    <w:p w14:paraId="0F1776D9"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конструкторской разработке двигателей </w:t>
      </w:r>
      <w:proofErr w:type="gramStart"/>
      <w:r w:rsidRPr="008127F8">
        <w:rPr>
          <w:rFonts w:ascii="Times New Roman" w:eastAsia="Times New Roman" w:hAnsi="Times New Roman"/>
          <w:color w:val="000000" w:themeColor="text1"/>
          <w:sz w:val="16"/>
          <w:szCs w:val="16"/>
          <w:lang w:eastAsia="ru-RU"/>
        </w:rPr>
        <w:t>принимали</w:t>
      </w:r>
      <w:proofErr w:type="gramEnd"/>
      <w:r w:rsidRPr="008127F8">
        <w:rPr>
          <w:rFonts w:ascii="Times New Roman" w:eastAsia="Times New Roman" w:hAnsi="Times New Roman"/>
          <w:color w:val="000000" w:themeColor="text1"/>
          <w:sz w:val="16"/>
          <w:szCs w:val="16"/>
          <w:lang w:eastAsia="ru-RU"/>
        </w:rPr>
        <w:t xml:space="preserve"> уча стие: В.И. Бухарин, Н.И. Зайкин, Д.Н. Чеклетов, О.С. Огане сов и др. Проектирование установки двигателя на самолете, систем бензопитания, электропитания и управления двигате лем выполняли инженеры Б.А. Николаевский, Б.Р. Пастухов ский, И.А. Чарный и Е.А. Асадчиков. В Москве душой дела, организатором испытаний и инициатором различных усовер шенствований был неугомонный изобретатель, парторг кафед ры физики МАИ Б.Р. Пастуховский.</w:t>
      </w:r>
    </w:p>
    <w:p w14:paraId="12372C57"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 огневых испытаниях ПВРД возникало множество </w:t>
      </w:r>
      <w:proofErr w:type="gramStart"/>
      <w:r w:rsidRPr="008127F8">
        <w:rPr>
          <w:rFonts w:ascii="Times New Roman" w:eastAsia="Times New Roman" w:hAnsi="Times New Roman"/>
          <w:color w:val="000000" w:themeColor="text1"/>
          <w:sz w:val="16"/>
          <w:szCs w:val="16"/>
          <w:lang w:eastAsia="ru-RU"/>
        </w:rPr>
        <w:t>не предвиденных</w:t>
      </w:r>
      <w:proofErr w:type="gramEnd"/>
      <w:r w:rsidRPr="008127F8">
        <w:rPr>
          <w:rFonts w:ascii="Times New Roman" w:eastAsia="Times New Roman" w:hAnsi="Times New Roman"/>
          <w:color w:val="000000" w:themeColor="text1"/>
          <w:sz w:val="16"/>
          <w:szCs w:val="16"/>
          <w:lang w:eastAsia="ru-RU"/>
        </w:rPr>
        <w:t xml:space="preserve"> трудностей. В преодолении некоторых из них помощь оказывали члены кафедры П.В. Моторин и С.А. Ла пушкин.</w:t>
      </w:r>
    </w:p>
    <w:p w14:paraId="69ACC059"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 наземных огневых испытаниях ПВРД надо было </w:t>
      </w:r>
      <w:proofErr w:type="gramStart"/>
      <w:r w:rsidRPr="008127F8">
        <w:rPr>
          <w:rFonts w:ascii="Times New Roman" w:eastAsia="Times New Roman" w:hAnsi="Times New Roman"/>
          <w:color w:val="000000" w:themeColor="text1"/>
          <w:sz w:val="16"/>
          <w:szCs w:val="16"/>
          <w:lang w:eastAsia="ru-RU"/>
        </w:rPr>
        <w:t>в пер</w:t>
      </w:r>
      <w:proofErr w:type="gramEnd"/>
      <w:r w:rsidRPr="008127F8">
        <w:rPr>
          <w:rFonts w:ascii="Times New Roman" w:eastAsia="Times New Roman" w:hAnsi="Times New Roman"/>
          <w:color w:val="000000" w:themeColor="text1"/>
          <w:sz w:val="16"/>
          <w:szCs w:val="16"/>
          <w:lang w:eastAsia="ru-RU"/>
        </w:rPr>
        <w:t xml:space="preserve"> вую очередь изучить условия, обеспечивающие достаточно пол ное сгорание топлива и изменение давления по газовоздушному тракту двигателя, т.е. те процессы, которые влияют на величи ну скорости истечения газа из сопла ПВРД. Нужно было также проверить и отработать надежность зажигания, устойчивость го рения, жаропрочность всех элементов конструкции двигателя.</w:t>
      </w:r>
    </w:p>
    <w:p w14:paraId="235BFFC2"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Чтобы подойти к решению этих вопросов измерялись ско рости потоков на входе, выходе, а также в рабочей части из мерялось статическое давление по оси двигателя перед диф фузором, в нескольких точках в диффузоре и в камере. Изме рялась температура воздуха после сжатия в диффузоре, температура в камере и температура в выходном сечении со пла на оси и вблизи стенок. По этим данным производился расчет всех процессов с достаточной точностью.</w:t>
      </w:r>
    </w:p>
    <w:p w14:paraId="1B6F7EC2"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Летные испытания на самолетах Н.Н. Поликарпова позво лили выявить как положительные свойства этих двигателей — безопасность, длительный ресурс, способность работать на любом сорте авиационного бензина, устойчивость процесса горе ния, достаточную надежность системы зажигания, так и их не достатки, главным из которых были низкая полнота сгорания.</w:t>
      </w:r>
    </w:p>
    <w:p w14:paraId="1F5EA4AE"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Поэтому вскоре после окончания летных испытаний, в 1941 г. было проведено исследование двигателя ДМ-4 в аэродинамичес кой трубе ЦАГИ Т-104. Эти исследования позволили выявить причины низкой полноты сгорания бензина. В новые двигате ли ДМ-4С, предназначенные для испытания на самолете А.С. Яковлева, были внесены изменения с целью повысить пол ноту сгорания и снизить потери давления. Кроме того, в двига теле ДМ-4С были сделаны съемные диффузоры и сопла </w:t>
      </w:r>
      <w:proofErr w:type="gramStart"/>
      <w:r w:rsidRPr="008127F8">
        <w:rPr>
          <w:rFonts w:ascii="Times New Roman" w:eastAsia="Times New Roman" w:hAnsi="Times New Roman"/>
          <w:color w:val="000000" w:themeColor="text1"/>
          <w:sz w:val="16"/>
          <w:szCs w:val="16"/>
          <w:lang w:eastAsia="ru-RU"/>
        </w:rPr>
        <w:t>различ ных</w:t>
      </w:r>
      <w:proofErr w:type="gramEnd"/>
      <w:r w:rsidRPr="008127F8">
        <w:rPr>
          <w:rFonts w:ascii="Times New Roman" w:eastAsia="Times New Roman" w:hAnsi="Times New Roman"/>
          <w:color w:val="000000" w:themeColor="text1"/>
          <w:sz w:val="16"/>
          <w:szCs w:val="16"/>
          <w:lang w:eastAsia="ru-RU"/>
        </w:rPr>
        <w:t xml:space="preserve"> размеров, чтобы в процессе испытаний подобрать оптималь ные геометрические параметры двигателя. В дополнение к основному варианту диффузора был разработан диффузор с ин жектором, в котором рабочим телом служил парообразный бен зин. Устанавливаемые в камере сгорания защитные кольца так же были разработаны в нескольких вариантах.</w:t>
      </w:r>
    </w:p>
    <w:p w14:paraId="0CE076A3"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Поскольку исследования в AT Т-104 показали, что пери ферийная подача горючего не позволяет получить </w:t>
      </w:r>
      <w:proofErr w:type="gramStart"/>
      <w:r w:rsidRPr="008127F8">
        <w:rPr>
          <w:rFonts w:ascii="Times New Roman" w:eastAsia="Times New Roman" w:hAnsi="Times New Roman"/>
          <w:color w:val="000000" w:themeColor="text1"/>
          <w:sz w:val="16"/>
          <w:szCs w:val="16"/>
          <w:lang w:eastAsia="ru-RU"/>
        </w:rPr>
        <w:t>равномер ную</w:t>
      </w:r>
      <w:proofErr w:type="gramEnd"/>
      <w:r w:rsidRPr="008127F8">
        <w:rPr>
          <w:rFonts w:ascii="Times New Roman" w:eastAsia="Times New Roman" w:hAnsi="Times New Roman"/>
          <w:color w:val="000000" w:themeColor="text1"/>
          <w:sz w:val="16"/>
          <w:szCs w:val="16"/>
          <w:lang w:eastAsia="ru-RU"/>
        </w:rPr>
        <w:t xml:space="preserve"> бензовоздушную смесь, в новых двигателях были устрое ны кольцевые горелки, более равномерно распределяющие го рючее по всему сечению камеры сгорания. Горелки имели различные устройства для стабилизации пламени.</w:t>
      </w:r>
    </w:p>
    <w:p w14:paraId="1A341360"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Зажигание в ПВРД осуществлялось прибором ЭПЗ-ДМ-5, получавшим питание от аккумулятора 12-А-30.</w:t>
      </w:r>
    </w:p>
    <w:p w14:paraId="5AD7FA47"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сеть, питающую током прибор зажигания, был включен автомат АЗ-ДМ-1, производящий автоматическое разъедине ние электросети после начала работы двигателя.</w:t>
      </w:r>
    </w:p>
    <w:p w14:paraId="2AA95CAC"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результате неправильного затухания двигателя, вслед ствие, например, временного проектирования подачи бензи на, автомат АЗ-ДМ-1 должен был включать ток в прибор за жигания.</w:t>
      </w:r>
    </w:p>
    <w:p w14:paraId="3E54F505"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Три съемных диффузора имели диаметры входного сече ния 230, 280 и 330 мм. Съемные сопла имели диаметры вы- '• ходного сечения 300, 340 и 360 мм (19586).</w:t>
      </w:r>
    </w:p>
    <w:p w14:paraId="5C48A60B" w14:textId="77777777" w:rsidR="00D60203" w:rsidRPr="008127F8" w:rsidRDefault="00D602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16DD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НТК ВВС опытной ФАБ-250М присвоили номер чертежа 3-01086 для серийного пр-ва и 7-Ф-323 для принятия на вооружение (7453, 304).</w:t>
      </w:r>
    </w:p>
    <w:p w14:paraId="0A2AE2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31F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состоялись войсковые испытания Ш-37 на ЛаГГ, доработанном самим С.А.Л. - на Брянском фронте. Магазин в 20 снарядов быстро расстреливался. Пришло решение о серии, но пушка оказалась трудной в производстве и за год сделали только 196 (177,297). Испытывали в 42 иап под командованием ГСС И.Шинкаренко и уничтожили более 50 самолетов и 5 танков. Пушка работала неудовлетворительно и производство малой серии прекратили (3241,30).</w:t>
      </w:r>
    </w:p>
    <w:p w14:paraId="065409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3C5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заводе № 31 в Тбилиси (этот номер предприятие получило, приняв эвакуированный из Таганрога 31-й завод) под руководст</w:t>
      </w:r>
      <w:r w:rsidRPr="008127F8">
        <w:rPr>
          <w:rFonts w:ascii="Times New Roman" w:hAnsi="Times New Roman"/>
          <w:color w:val="000000" w:themeColor="text1"/>
          <w:sz w:val="16"/>
          <w:szCs w:val="16"/>
        </w:rPr>
        <w:softHyphen/>
        <w:t>вом Горбунова был построен самолет ЛаГ-5 — се</w:t>
      </w:r>
      <w:r w:rsidRPr="008127F8">
        <w:rPr>
          <w:rFonts w:ascii="Times New Roman" w:hAnsi="Times New Roman"/>
          <w:color w:val="000000" w:themeColor="text1"/>
          <w:sz w:val="16"/>
          <w:szCs w:val="16"/>
        </w:rPr>
        <w:softHyphen/>
        <w:t>рийный ЛаГГ-3 с мотором М-82. Его капот оказался чуть лучше, чем у Гу-82, и рост данных по сравнению с ЛаГГ-3 4-й серии был при</w:t>
      </w:r>
      <w:r w:rsidRPr="008127F8">
        <w:rPr>
          <w:rFonts w:ascii="Times New Roman" w:hAnsi="Times New Roman"/>
          <w:color w:val="000000" w:themeColor="text1"/>
          <w:sz w:val="16"/>
          <w:szCs w:val="16"/>
        </w:rPr>
        <w:softHyphen/>
        <w:t>личным. Скорость у земли поднялась с 421 до 515 км/ч, а на высо</w:t>
      </w:r>
      <w:r w:rsidRPr="008127F8">
        <w:rPr>
          <w:rFonts w:ascii="Times New Roman" w:hAnsi="Times New Roman"/>
          <w:color w:val="000000" w:themeColor="text1"/>
          <w:sz w:val="16"/>
          <w:szCs w:val="16"/>
        </w:rPr>
        <w:softHyphen/>
        <w:t>те 6450 м достигла 600 км/ч против 502 км/ч. Время набора высоты 5000 м сократилось с 8,6 до 5,2 мин, а время виража — с 30 до 25 с. При этом дальность полета упала с 870 до 655 км, т.к. объем внут</w:t>
      </w:r>
      <w:r w:rsidRPr="008127F8">
        <w:rPr>
          <w:rFonts w:ascii="Times New Roman" w:hAnsi="Times New Roman"/>
          <w:color w:val="000000" w:themeColor="text1"/>
          <w:sz w:val="16"/>
          <w:szCs w:val="16"/>
        </w:rPr>
        <w:softHyphen/>
        <w:t>ренних баков уменьшили с 548 до 475 л, ПТБ упразднили, а сам М-82 уступал в экономичности М-105. Но, в общем, ничто не меша</w:t>
      </w:r>
      <w:r w:rsidRPr="008127F8">
        <w:rPr>
          <w:rFonts w:ascii="Times New Roman" w:hAnsi="Times New Roman"/>
          <w:color w:val="000000" w:themeColor="text1"/>
          <w:sz w:val="16"/>
          <w:szCs w:val="16"/>
        </w:rPr>
        <w:softHyphen/>
        <w:t>ло запуску ЛаГ-5 в серию, если бы не третий вариант (11123).</w:t>
      </w:r>
    </w:p>
    <w:p w14:paraId="7A2CBA2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D61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по инициативе НИИ ВВС и ОКБ А.С. Яковлева мощность двигателя М-105 увеличили за счет установки нагнетателя. В результате мощность двигателя у земли возросла с 1020 л.с. до 1210 л.с, а благодаря снижению рабочей высоты номинальная мощность увеличилась с 1100 л.с. (2000 м) до 1260 л.с. (700 м). Рост мощности был очень заметен, но он потребовал усилить некоторые детали двигателя, в первую очередь поршневую группу. Самолет ЛаГГ-3 с двигателем М-105ПФ развивал максимальную скорость на 25-28 км/ч больше, чем с двигателем М-105П. Другой возможностью увеличить энерговооруженность самолета было установить на него звездообразный двигатель воздушного охлаждения М-82 конструкции Швецова. Но установка этого двигателя, выполненного по схеме «двойная звезда», на ЛаГГ-3 представляла собой серьезную проблему. Но именно этот вариант увенчался полным успехом и привел к появлению удачного истребителя Ла-5. Лавочкин боролся за то, чтобы сохранить ЛаГГ-3 на конвейере. Главный выход в создавшейся ситуации он видел в том, чтобы увеличить мощность двигательной установки. Рассматривались две возможности: увеличить мощность штатного двигателя М-105, а также установить на самолет новый, более мощный двигатель. Слишком малая мощность двигателя М-105 не удовлетворяла не только Лавочкина, но и его конкурента Яковлева (11749).</w:t>
      </w:r>
    </w:p>
    <w:p w14:paraId="4DC239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F00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C начала 1942 г. обстановка с красками в АП стала понемногу приходить в норму (3092). К производству авиационных красок подключались дополнительные предприятия химической промышленности. Так, например, с 1942 г. начал производство красок для самолетов один из крупнейших в стране Ярославский завод </w:t>
      </w:r>
      <w:r w:rsidRPr="008127F8">
        <w:rPr>
          <w:rFonts w:ascii="Times New Roman" w:hAnsi="Times New Roman"/>
          <w:color w:val="000000" w:themeColor="text1"/>
          <w:sz w:val="16"/>
          <w:szCs w:val="16"/>
        </w:rPr>
        <w:lastRenderedPageBreak/>
        <w:t xml:space="preserve">"Свободный труд". Все это позволило стабилизировать положение и избежать в дальнейшем на заводах НКАП всевозможных замен стандартных аэролаков АМТ на другие, имеющиеся в наличии. Правда, осталась большая проблема с сырьем. Многие месторождения пигментов находились на Украине и были захвачены немцами. Так </w:t>
      </w:r>
      <w:proofErr w:type="gramStart"/>
      <w:r w:rsidRPr="008127F8">
        <w:rPr>
          <w:rFonts w:ascii="Times New Roman" w:hAnsi="Times New Roman"/>
          <w:color w:val="000000" w:themeColor="text1"/>
          <w:sz w:val="16"/>
          <w:szCs w:val="16"/>
        </w:rPr>
        <w:t>же</w:t>
      </w:r>
      <w:proofErr w:type="gramEnd"/>
      <w:r w:rsidRPr="008127F8">
        <w:rPr>
          <w:rFonts w:ascii="Times New Roman" w:hAnsi="Times New Roman"/>
          <w:color w:val="000000" w:themeColor="text1"/>
          <w:sz w:val="16"/>
          <w:szCs w:val="16"/>
        </w:rPr>
        <w:t xml:space="preserve"> как и в случае с 36-м заводом, это вынуждало искать подходящие заменители, как правило, из местных источников. Результат таких замен был не всегда положительным. Одно из условий успешной маскировки требует такого варьирования окрасок, при котором уничтожался демаскирующий фактор повторяемости вариантов. Поточный метод производства требует обратного - стандартных окрасок, поэтому вполне естественно появление схем камуфляжа, "привязанных" не столько к определенному типу самолета, сколько ко всем самолетам, выпускаемым на одном заводе. Например, для истребителей ЛаГГ-3 и Ла-5, выпускаемых Горьковским авиазаводом, характерна определенная общность камуфляжа (3092).</w:t>
      </w:r>
    </w:p>
    <w:p w14:paraId="53750A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76D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в Омске на заводе № 288 бомбардировщик ДВБ-102 подготовили к летным испыта</w:t>
      </w:r>
      <w:r w:rsidRPr="008127F8">
        <w:rPr>
          <w:rFonts w:ascii="Times New Roman" w:hAnsi="Times New Roman"/>
          <w:color w:val="000000" w:themeColor="text1"/>
          <w:sz w:val="16"/>
          <w:szCs w:val="16"/>
        </w:rPr>
        <w:softHyphen/>
        <w:t>ниям, и В.М. Мясищев остановил свой выбор на летчике-ис</w:t>
      </w:r>
      <w:r w:rsidRPr="008127F8">
        <w:rPr>
          <w:rFonts w:ascii="Times New Roman" w:hAnsi="Times New Roman"/>
          <w:color w:val="000000" w:themeColor="text1"/>
          <w:sz w:val="16"/>
          <w:szCs w:val="16"/>
        </w:rPr>
        <w:softHyphen/>
        <w:t>пытателе НИИ ВВС В.И.Жданове. Опытный самолет, едва начав свой первый разбег, вдруг стал раскачиваться из стороны в сторону с нарастающей ам</w:t>
      </w:r>
      <w:r w:rsidRPr="008127F8">
        <w:rPr>
          <w:rFonts w:ascii="Times New Roman" w:hAnsi="Times New Roman"/>
          <w:color w:val="000000" w:themeColor="text1"/>
          <w:sz w:val="16"/>
          <w:szCs w:val="16"/>
        </w:rPr>
        <w:softHyphen/>
        <w:t>плитудой. Это напоминало модный в 1930-е годы танец «Шимми». Вспомнились последние напутствия главного конструктора, и рука потянулась к секторам газа, взвизг</w:t>
      </w:r>
      <w:r w:rsidRPr="008127F8">
        <w:rPr>
          <w:rFonts w:ascii="Times New Roman" w:hAnsi="Times New Roman"/>
          <w:color w:val="000000" w:themeColor="text1"/>
          <w:sz w:val="16"/>
          <w:szCs w:val="16"/>
        </w:rPr>
        <w:softHyphen/>
        <w:t>нули тормоза. Бомбардировщик еще не успел остановиться, а к нему со всех сторон бежали люди. После осмотра специалисты сделали вывод: через не</w:t>
      </w:r>
      <w:r w:rsidRPr="008127F8">
        <w:rPr>
          <w:rFonts w:ascii="Times New Roman" w:hAnsi="Times New Roman"/>
          <w:color w:val="000000" w:themeColor="text1"/>
          <w:sz w:val="16"/>
          <w:szCs w:val="16"/>
        </w:rPr>
        <w:softHyphen/>
        <w:t>сколько секунд передняя стойка сломалась бы. Только са</w:t>
      </w:r>
      <w:r w:rsidRPr="008127F8">
        <w:rPr>
          <w:rFonts w:ascii="Times New Roman" w:hAnsi="Times New Roman"/>
          <w:color w:val="000000" w:themeColor="text1"/>
          <w:sz w:val="16"/>
          <w:szCs w:val="16"/>
        </w:rPr>
        <w:softHyphen/>
        <w:t>мообладание и реакция Жданова предотвратили аварию, лет</w:t>
      </w:r>
      <w:r w:rsidRPr="008127F8">
        <w:rPr>
          <w:rFonts w:ascii="Times New Roman" w:hAnsi="Times New Roman"/>
          <w:color w:val="000000" w:themeColor="text1"/>
          <w:sz w:val="16"/>
          <w:szCs w:val="16"/>
        </w:rPr>
        <w:softHyphen/>
        <w:t>чик спас опытный экземпляр бомбардировщика ДВЕ-102 — самолета, о котором впоследствии будут много писать, не за</w:t>
      </w:r>
      <w:r w:rsidRPr="008127F8">
        <w:rPr>
          <w:rFonts w:ascii="Times New Roman" w:hAnsi="Times New Roman"/>
          <w:color w:val="000000" w:themeColor="text1"/>
          <w:sz w:val="16"/>
          <w:szCs w:val="16"/>
        </w:rPr>
        <w:softHyphen/>
        <w:t>бывая при этом награждать эпитетами: «впервые в отече</w:t>
      </w:r>
      <w:r w:rsidRPr="008127F8">
        <w:rPr>
          <w:rFonts w:ascii="Times New Roman" w:hAnsi="Times New Roman"/>
          <w:color w:val="000000" w:themeColor="text1"/>
          <w:sz w:val="16"/>
          <w:szCs w:val="16"/>
        </w:rPr>
        <w:softHyphen/>
        <w:t>ственной практике», «не имеющий аналогов» (10745,236).</w:t>
      </w:r>
    </w:p>
    <w:p w14:paraId="1FAE50B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A398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бомбардировщик ДВБ-102 подготовили к летным испытаниям, и В.М. Мясищев остановил свой выбор на летчике-испытателе НИИ ВВС Валериане Ивановиче Жданове (11446).</w:t>
      </w:r>
    </w:p>
    <w:p w14:paraId="095D650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этого же года В.И. Жданова командирова</w:t>
      </w:r>
      <w:r w:rsidRPr="008127F8">
        <w:rPr>
          <w:rFonts w:ascii="Times New Roman" w:hAnsi="Times New Roman"/>
          <w:color w:val="000000" w:themeColor="text1"/>
          <w:sz w:val="16"/>
          <w:szCs w:val="16"/>
        </w:rPr>
        <w:softHyphen/>
        <w:t>ли в Омск для проведения летных испытаний ДВБ-102. Хорошо знакомый с проектом бомбовоза, участвовав</w:t>
      </w:r>
      <w:r w:rsidRPr="008127F8">
        <w:rPr>
          <w:rFonts w:ascii="Times New Roman" w:hAnsi="Times New Roman"/>
          <w:color w:val="000000" w:themeColor="text1"/>
          <w:sz w:val="16"/>
          <w:szCs w:val="16"/>
        </w:rPr>
        <w:softHyphen/>
        <w:t>ший в работе макетной комиссии, Валериан Иванович не ожидал эффекта, который произвел на него вопло</w:t>
      </w:r>
      <w:r w:rsidRPr="008127F8">
        <w:rPr>
          <w:rFonts w:ascii="Times New Roman" w:hAnsi="Times New Roman"/>
          <w:color w:val="000000" w:themeColor="text1"/>
          <w:sz w:val="16"/>
          <w:szCs w:val="16"/>
        </w:rPr>
        <w:softHyphen/>
        <w:t>щенный в металл самолет.</w:t>
      </w:r>
    </w:p>
    <w:p w14:paraId="5EF9A2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День подходил к концу, когда в лучах заходящего солнца показался «транспорт» из Свердловска. Само</w:t>
      </w:r>
      <w:r w:rsidRPr="008127F8">
        <w:rPr>
          <w:rFonts w:ascii="Times New Roman" w:hAnsi="Times New Roman"/>
          <w:color w:val="000000" w:themeColor="text1"/>
          <w:sz w:val="16"/>
          <w:szCs w:val="16"/>
        </w:rPr>
        <w:softHyphen/>
        <w:t>лет зарулил на стоянку, остановив свой бег возле не</w:t>
      </w:r>
      <w:r w:rsidRPr="008127F8">
        <w:rPr>
          <w:rFonts w:ascii="Times New Roman" w:hAnsi="Times New Roman"/>
          <w:color w:val="000000" w:themeColor="text1"/>
          <w:sz w:val="16"/>
          <w:szCs w:val="16"/>
        </w:rPr>
        <w:softHyphen/>
        <w:t>привычного взгляду летательного аппарата с высоко поднятым хвостом. Разминая отекшие после длитель</w:t>
      </w:r>
      <w:r w:rsidRPr="008127F8">
        <w:rPr>
          <w:rFonts w:ascii="Times New Roman" w:hAnsi="Times New Roman"/>
          <w:color w:val="000000" w:themeColor="text1"/>
          <w:sz w:val="16"/>
          <w:szCs w:val="16"/>
        </w:rPr>
        <w:softHyphen/>
        <w:t>ного полета ноги, летчик обошел зачехленный даль ний высотный бомбардировщик и подумал: «Так вот ты какой, мой будущий крестник». Спустя несколько дней, выслушав последние наставления ведущего инженера, экипаж ДВБ-102 занял свои места в самолете, предва</w:t>
      </w:r>
      <w:r w:rsidRPr="008127F8">
        <w:rPr>
          <w:rFonts w:ascii="Times New Roman" w:hAnsi="Times New Roman"/>
          <w:color w:val="000000" w:themeColor="text1"/>
          <w:sz w:val="16"/>
          <w:szCs w:val="16"/>
        </w:rPr>
        <w:softHyphen/>
        <w:t>рительно отбуксированном к дальнему краю бетони</w:t>
      </w:r>
      <w:r w:rsidRPr="008127F8">
        <w:rPr>
          <w:rFonts w:ascii="Times New Roman" w:hAnsi="Times New Roman"/>
          <w:color w:val="000000" w:themeColor="text1"/>
          <w:sz w:val="16"/>
          <w:szCs w:val="16"/>
        </w:rPr>
        <w:softHyphen/>
        <w:t>рованной стоянки, временно превращенной во взлет</w:t>
      </w:r>
      <w:r w:rsidRPr="008127F8">
        <w:rPr>
          <w:rFonts w:ascii="Times New Roman" w:hAnsi="Times New Roman"/>
          <w:color w:val="000000" w:themeColor="text1"/>
          <w:sz w:val="16"/>
          <w:szCs w:val="16"/>
        </w:rPr>
        <w:softHyphen/>
        <w:t>ную полосу.</w:t>
      </w:r>
    </w:p>
    <w:p w14:paraId="29EC085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самолет, едва начав свой первый разбег, вдруг стал раскачиваться из стороны в сторону с нарас</w:t>
      </w:r>
      <w:r w:rsidRPr="008127F8">
        <w:rPr>
          <w:rFonts w:ascii="Times New Roman" w:hAnsi="Times New Roman"/>
          <w:color w:val="000000" w:themeColor="text1"/>
          <w:sz w:val="16"/>
          <w:szCs w:val="16"/>
        </w:rPr>
        <w:softHyphen/>
        <w:t>тающей амплитудой. «Шимми» — это короткое слово, заимствованное от модного в 1930-х годах танца, мол</w:t>
      </w:r>
      <w:r w:rsidRPr="008127F8">
        <w:rPr>
          <w:rFonts w:ascii="Times New Roman" w:hAnsi="Times New Roman"/>
          <w:color w:val="000000" w:themeColor="text1"/>
          <w:sz w:val="16"/>
          <w:szCs w:val="16"/>
        </w:rPr>
        <w:softHyphen/>
        <w:t>нией пронеслось в голове летчика. Вспомнились по</w:t>
      </w:r>
      <w:r w:rsidRPr="008127F8">
        <w:rPr>
          <w:rFonts w:ascii="Times New Roman" w:hAnsi="Times New Roman"/>
          <w:color w:val="000000" w:themeColor="text1"/>
          <w:sz w:val="16"/>
          <w:szCs w:val="16"/>
        </w:rPr>
        <w:softHyphen/>
        <w:t>следние напутствия главного конструктора, и рука бы</w:t>
      </w:r>
      <w:r w:rsidRPr="008127F8">
        <w:rPr>
          <w:rFonts w:ascii="Times New Roman" w:hAnsi="Times New Roman"/>
          <w:color w:val="000000" w:themeColor="text1"/>
          <w:sz w:val="16"/>
          <w:szCs w:val="16"/>
        </w:rPr>
        <w:softHyphen/>
        <w:t>стро потянулась к секторам газа, взвизгнули тормоза. Бомбардировщик еще не успел остановиться, а к нему со всех сторон бежали люди.</w:t>
      </w:r>
    </w:p>
    <w:p w14:paraId="5F0975F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осмотра специалисты сделают вывод: еще несколько секунд и передняя стойка могла сломаться. Только самообладание и быстрая реакция летчика по</w:t>
      </w:r>
      <w:r w:rsidRPr="008127F8">
        <w:rPr>
          <w:rFonts w:ascii="Times New Roman" w:hAnsi="Times New Roman"/>
          <w:color w:val="000000" w:themeColor="text1"/>
          <w:sz w:val="16"/>
          <w:szCs w:val="16"/>
        </w:rPr>
        <w:softHyphen/>
        <w:t>зволили предотвратить аварию, спасти опытный эк</w:t>
      </w:r>
      <w:r w:rsidRPr="008127F8">
        <w:rPr>
          <w:rFonts w:ascii="Times New Roman" w:hAnsi="Times New Roman"/>
          <w:color w:val="000000" w:themeColor="text1"/>
          <w:sz w:val="16"/>
          <w:szCs w:val="16"/>
        </w:rPr>
        <w:softHyphen/>
        <w:t>земпляр бомбардировщика ДВБ-102 — самолета, о ко</w:t>
      </w:r>
      <w:r w:rsidRPr="008127F8">
        <w:rPr>
          <w:rFonts w:ascii="Times New Roman" w:hAnsi="Times New Roman"/>
          <w:color w:val="000000" w:themeColor="text1"/>
          <w:sz w:val="16"/>
          <w:szCs w:val="16"/>
        </w:rPr>
        <w:softHyphen/>
        <w:t>тором впоследствии будут много писать, не забывая при этом награждать эпитетами: «впервые в отечест</w:t>
      </w:r>
      <w:r w:rsidRPr="008127F8">
        <w:rPr>
          <w:rFonts w:ascii="Times New Roman" w:hAnsi="Times New Roman"/>
          <w:color w:val="000000" w:themeColor="text1"/>
          <w:sz w:val="16"/>
          <w:szCs w:val="16"/>
        </w:rPr>
        <w:softHyphen/>
        <w:t>венной практике», «не имеющий аналогов» (11446).</w:t>
      </w:r>
    </w:p>
    <w:p w14:paraId="08FFFFB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2E288"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noProof/>
          <w:color w:val="000000" w:themeColor="text1"/>
          <w:sz w:val="16"/>
          <w:szCs w:val="16"/>
        </w:rPr>
        <w:t xml:space="preserve"> начале 1942 года </w:t>
      </w:r>
      <w:r w:rsidRPr="008127F8">
        <w:rPr>
          <w:rFonts w:ascii="Times New Roman" w:hAnsi="Times New Roman"/>
          <w:color w:val="000000" w:themeColor="text1"/>
          <w:sz w:val="16"/>
          <w:szCs w:val="16"/>
        </w:rPr>
        <w:t>п</w:t>
      </w:r>
      <w:r w:rsidRPr="008127F8">
        <w:rPr>
          <w:rFonts w:ascii="Times New Roman" w:hAnsi="Times New Roman"/>
          <w:noProof/>
          <w:color w:val="000000" w:themeColor="text1"/>
          <w:sz w:val="16"/>
          <w:szCs w:val="16"/>
        </w:rPr>
        <w:t>ервый экземпляр ДВБ-102 закончили стро</w:t>
      </w:r>
      <w:r w:rsidRPr="008127F8">
        <w:rPr>
          <w:rFonts w:ascii="Times New Roman" w:hAnsi="Times New Roman"/>
          <w:noProof/>
          <w:color w:val="000000" w:themeColor="text1"/>
          <w:sz w:val="16"/>
          <w:szCs w:val="16"/>
        </w:rPr>
        <w:softHyphen/>
        <w:t>ительством и подготовили к проведению лет</w:t>
      </w:r>
      <w:r w:rsidRPr="008127F8">
        <w:rPr>
          <w:rFonts w:ascii="Times New Roman" w:hAnsi="Times New Roman"/>
          <w:noProof/>
          <w:color w:val="000000" w:themeColor="text1"/>
          <w:sz w:val="16"/>
          <w:szCs w:val="16"/>
        </w:rPr>
        <w:softHyphen/>
        <w:t>ных испытаний. Во время проведения пробежек по аэродрому пришлось столкнуться с явлением автоколебаний типа «шимми» на носовой стойке шасси, поэтому для начала пришлось лечить этот недостаток. Пер</w:t>
      </w:r>
      <w:r w:rsidRPr="008127F8">
        <w:rPr>
          <w:rFonts w:ascii="Times New Roman" w:hAnsi="Times New Roman"/>
          <w:noProof/>
          <w:color w:val="000000" w:themeColor="text1"/>
          <w:sz w:val="16"/>
          <w:szCs w:val="16"/>
        </w:rPr>
        <w:softHyphen/>
        <w:t>вый полет нового самолета 19 февраля 1942 г. выполнил летчик НИИ ВВС В.И.Жданов, затем полеты продолжил заводской летчик-испыта- тель Ф.Ф.Опадчий. Испытания сопровождались ненадежной работой двигателей, уже в третьем полете отметились неполадки в левом М-120ТК. В апреле машину передали на испытания в НИИ ВВС, однако полностью зафиксировать летные характеристики по причине неустойчивой ра</w:t>
      </w:r>
      <w:r w:rsidRPr="008127F8">
        <w:rPr>
          <w:rFonts w:ascii="Times New Roman" w:hAnsi="Times New Roman"/>
          <w:noProof/>
          <w:color w:val="000000" w:themeColor="text1"/>
          <w:sz w:val="16"/>
          <w:szCs w:val="16"/>
        </w:rPr>
        <w:softHyphen/>
        <w:t>боты двигателей не удалось. В процессе прове</w:t>
      </w:r>
      <w:r w:rsidRPr="008127F8">
        <w:rPr>
          <w:rFonts w:ascii="Times New Roman" w:hAnsi="Times New Roman"/>
          <w:noProof/>
          <w:color w:val="000000" w:themeColor="text1"/>
          <w:sz w:val="16"/>
          <w:szCs w:val="16"/>
        </w:rPr>
        <w:softHyphen/>
        <w:t>дения испытаний в передней установке смонти</w:t>
      </w:r>
      <w:r w:rsidRPr="008127F8">
        <w:rPr>
          <w:rFonts w:ascii="Times New Roman" w:hAnsi="Times New Roman"/>
          <w:noProof/>
          <w:color w:val="000000" w:themeColor="text1"/>
          <w:sz w:val="16"/>
          <w:szCs w:val="16"/>
        </w:rPr>
        <w:softHyphen/>
        <w:t>ровали 20-мм пушку ШВАК, а на подфюзеляж- ной турели - пулемет УБК калибра 12,7 мм.</w:t>
      </w:r>
    </w:p>
    <w:p w14:paraId="69B95252"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Кроме неудовлетворительной работы дви</w:t>
      </w:r>
      <w:r w:rsidRPr="008127F8">
        <w:rPr>
          <w:rFonts w:ascii="Times New Roman" w:hAnsi="Times New Roman"/>
          <w:noProof/>
          <w:color w:val="000000" w:themeColor="text1"/>
          <w:sz w:val="16"/>
          <w:szCs w:val="16"/>
        </w:rPr>
        <w:softHyphen/>
        <w:t>гателей выявилось достаточное количество иных проблем и недостатков. В частности, из</w:t>
      </w:r>
      <w:r w:rsidRPr="008127F8">
        <w:rPr>
          <w:rFonts w:ascii="Times New Roman" w:hAnsi="Times New Roman"/>
          <w:noProof/>
          <w:color w:val="000000" w:themeColor="text1"/>
          <w:sz w:val="16"/>
          <w:szCs w:val="16"/>
        </w:rPr>
        <w:softHyphen/>
        <w:t>начально заложенные малые габариты кабины штурмана и пилота определили недостаточный обзор из них, затруднение посадки в самолет и выбрасывания с парашютом. Установленная пушка ШВАК закрывала обзор штурману и ме</w:t>
      </w:r>
      <w:r w:rsidRPr="008127F8">
        <w:rPr>
          <w:rFonts w:ascii="Times New Roman" w:hAnsi="Times New Roman"/>
          <w:noProof/>
          <w:color w:val="000000" w:themeColor="text1"/>
          <w:sz w:val="16"/>
          <w:szCs w:val="16"/>
        </w:rPr>
        <w:softHyphen/>
        <w:t>шала наведению на цель при выходе на боевой курс. Нужно отметить, что указанный недоста</w:t>
      </w:r>
      <w:r w:rsidRPr="008127F8">
        <w:rPr>
          <w:rFonts w:ascii="Times New Roman" w:hAnsi="Times New Roman"/>
          <w:noProof/>
          <w:color w:val="000000" w:themeColor="text1"/>
          <w:sz w:val="16"/>
          <w:szCs w:val="16"/>
        </w:rPr>
        <w:softHyphen/>
        <w:t>ток был отмечен еще до проведения первых полетов, поэтому уже в начале 1942 г. велись разработки новой передней гермокабины и бомбового отсека.</w:t>
      </w:r>
    </w:p>
    <w:p w14:paraId="0598089B"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ходе продолжения испытаний самолет ле</w:t>
      </w:r>
      <w:r w:rsidRPr="008127F8">
        <w:rPr>
          <w:rFonts w:ascii="Times New Roman" w:hAnsi="Times New Roman"/>
          <w:noProof/>
          <w:color w:val="000000" w:themeColor="text1"/>
          <w:sz w:val="16"/>
          <w:szCs w:val="16"/>
        </w:rPr>
        <w:softHyphen/>
        <w:t>тал с двигателями М-120, которые не развива</w:t>
      </w:r>
      <w:r w:rsidRPr="008127F8">
        <w:rPr>
          <w:rFonts w:ascii="Times New Roman" w:hAnsi="Times New Roman"/>
          <w:noProof/>
          <w:color w:val="000000" w:themeColor="text1"/>
          <w:sz w:val="16"/>
          <w:szCs w:val="16"/>
        </w:rPr>
        <w:softHyphen/>
        <w:t>ли полную мощность, кроме того, при подъеме на высоту не использовались турбокомпрессо</w:t>
      </w:r>
      <w:r w:rsidRPr="008127F8">
        <w:rPr>
          <w:rFonts w:ascii="Times New Roman" w:hAnsi="Times New Roman"/>
          <w:noProof/>
          <w:color w:val="000000" w:themeColor="text1"/>
          <w:sz w:val="16"/>
          <w:szCs w:val="16"/>
        </w:rPr>
        <w:softHyphen/>
        <w:t>ры. Это определило скромные достигнутые ре</w:t>
      </w:r>
      <w:r w:rsidRPr="008127F8">
        <w:rPr>
          <w:rFonts w:ascii="Times New Roman" w:hAnsi="Times New Roman"/>
          <w:noProof/>
          <w:color w:val="000000" w:themeColor="text1"/>
          <w:sz w:val="16"/>
          <w:szCs w:val="16"/>
        </w:rPr>
        <w:softHyphen/>
        <w:t>зультаты испытаний: потолок составил 8300 метров, максимальная скорость - 542 км/ч на высоте 6250 метров.</w:t>
      </w:r>
    </w:p>
    <w:p w14:paraId="348EDC9B"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июне 1942 г. на самолете заменили си</w:t>
      </w:r>
      <w:r w:rsidRPr="008127F8">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8127F8">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8127F8">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8127F8">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8127F8">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8127F8">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8127F8">
        <w:rPr>
          <w:rFonts w:ascii="Times New Roman" w:hAnsi="Times New Roman"/>
          <w:noProof/>
          <w:color w:val="000000" w:themeColor="text1"/>
          <w:sz w:val="16"/>
          <w:szCs w:val="16"/>
        </w:rPr>
        <w:softHyphen/>
        <w:t>ния высотных машин.</w:t>
      </w:r>
    </w:p>
    <w:p w14:paraId="67B1E5EC"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6F4095" w:rsidRPr="008127F8" w14:paraId="594686EE" w14:textId="77777777">
        <w:trPr>
          <w:trHeight w:val="197"/>
        </w:trPr>
        <w:tc>
          <w:tcPr>
            <w:tcW w:w="2558" w:type="dxa"/>
            <w:tcBorders>
              <w:top w:val="single" w:sz="12" w:space="0" w:color="auto"/>
            </w:tcBorders>
            <w:shd w:val="clear" w:color="auto" w:fill="FFFFFF"/>
          </w:tcPr>
          <w:p w14:paraId="2ECE70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40C7F2FA"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51C1456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7E8F4492"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r>
      <w:tr w:rsidR="006F4095" w:rsidRPr="008127F8" w14:paraId="06983493" w14:textId="77777777">
        <w:trPr>
          <w:trHeight w:val="173"/>
        </w:trPr>
        <w:tc>
          <w:tcPr>
            <w:tcW w:w="2558" w:type="dxa"/>
            <w:shd w:val="clear" w:color="auto" w:fill="FFFFFF"/>
          </w:tcPr>
          <w:p w14:paraId="01B335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53277F7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1940 г.</w:t>
            </w:r>
          </w:p>
        </w:tc>
        <w:tc>
          <w:tcPr>
            <w:tcW w:w="1910" w:type="dxa"/>
            <w:shd w:val="clear" w:color="auto" w:fill="FFFFFF"/>
          </w:tcPr>
          <w:p w14:paraId="2D50BF16"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2хМ-120ТК</w:t>
            </w:r>
          </w:p>
        </w:tc>
        <w:tc>
          <w:tcPr>
            <w:tcW w:w="1027" w:type="dxa"/>
            <w:shd w:val="clear" w:color="auto" w:fill="FFFFFF"/>
          </w:tcPr>
          <w:p w14:paraId="0DBF7FD8"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2хМ-71 ТК-3</w:t>
            </w:r>
          </w:p>
        </w:tc>
      </w:tr>
      <w:tr w:rsidR="006F4095" w:rsidRPr="008127F8" w14:paraId="43A64262" w14:textId="77777777">
        <w:trPr>
          <w:trHeight w:val="178"/>
        </w:trPr>
        <w:tc>
          <w:tcPr>
            <w:tcW w:w="2558" w:type="dxa"/>
            <w:shd w:val="clear" w:color="auto" w:fill="FFFFFF"/>
          </w:tcPr>
          <w:p w14:paraId="18259A3C"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Размах крыла (м)</w:t>
            </w:r>
          </w:p>
        </w:tc>
        <w:tc>
          <w:tcPr>
            <w:tcW w:w="950" w:type="dxa"/>
            <w:shd w:val="clear" w:color="auto" w:fill="FFFFFF"/>
          </w:tcPr>
          <w:p w14:paraId="759AB76D"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w:t>
            </w:r>
          </w:p>
        </w:tc>
        <w:tc>
          <w:tcPr>
            <w:tcW w:w="1910" w:type="dxa"/>
            <w:shd w:val="clear" w:color="auto" w:fill="FFFFFF"/>
          </w:tcPr>
          <w:p w14:paraId="4B7BC35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25,168</w:t>
            </w:r>
          </w:p>
        </w:tc>
        <w:tc>
          <w:tcPr>
            <w:tcW w:w="1027" w:type="dxa"/>
            <w:shd w:val="clear" w:color="auto" w:fill="FFFFFF"/>
          </w:tcPr>
          <w:p w14:paraId="6600B17F"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25,22</w:t>
            </w:r>
          </w:p>
        </w:tc>
      </w:tr>
      <w:tr w:rsidR="006F4095" w:rsidRPr="008127F8" w14:paraId="3016BB38" w14:textId="77777777">
        <w:trPr>
          <w:trHeight w:val="163"/>
        </w:trPr>
        <w:tc>
          <w:tcPr>
            <w:tcW w:w="2558" w:type="dxa"/>
            <w:shd w:val="clear" w:color="auto" w:fill="FFFFFF"/>
          </w:tcPr>
          <w:p w14:paraId="5C4D7CFF"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Длина (м)</w:t>
            </w:r>
          </w:p>
        </w:tc>
        <w:tc>
          <w:tcPr>
            <w:tcW w:w="950" w:type="dxa"/>
            <w:shd w:val="clear" w:color="auto" w:fill="FFFFFF"/>
          </w:tcPr>
          <w:p w14:paraId="23C122D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910" w:type="dxa"/>
            <w:shd w:val="clear" w:color="auto" w:fill="FFFFFF"/>
          </w:tcPr>
          <w:p w14:paraId="43629B0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027" w:type="dxa"/>
            <w:shd w:val="clear" w:color="auto" w:fill="FFFFFF"/>
          </w:tcPr>
          <w:p w14:paraId="38E1235F"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20,30</w:t>
            </w:r>
          </w:p>
        </w:tc>
      </w:tr>
      <w:tr w:rsidR="006F4095" w:rsidRPr="008127F8" w14:paraId="0C0D5403" w14:textId="77777777">
        <w:trPr>
          <w:trHeight w:val="178"/>
        </w:trPr>
        <w:tc>
          <w:tcPr>
            <w:tcW w:w="2558" w:type="dxa"/>
            <w:shd w:val="clear" w:color="auto" w:fill="FFFFFF"/>
          </w:tcPr>
          <w:p w14:paraId="731926A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Площадь крыла (м</w:t>
            </w:r>
            <w:r w:rsidRPr="008127F8">
              <w:rPr>
                <w:rFonts w:ascii="Times New Roman" w:hAnsi="Times New Roman"/>
                <w:noProof/>
                <w:color w:val="000000" w:themeColor="text1"/>
                <w:sz w:val="16"/>
                <w:szCs w:val="16"/>
                <w:vertAlign w:val="superscript"/>
                <w:lang w:val="en-US"/>
              </w:rPr>
              <w:t>г</w:t>
            </w:r>
            <w:r w:rsidRPr="008127F8">
              <w:rPr>
                <w:rFonts w:ascii="Times New Roman" w:hAnsi="Times New Roman"/>
                <w:noProof/>
                <w:color w:val="000000" w:themeColor="text1"/>
                <w:sz w:val="16"/>
                <w:szCs w:val="16"/>
                <w:lang w:val="en-US"/>
              </w:rPr>
              <w:t>)</w:t>
            </w:r>
          </w:p>
        </w:tc>
        <w:tc>
          <w:tcPr>
            <w:tcW w:w="950" w:type="dxa"/>
            <w:shd w:val="clear" w:color="auto" w:fill="FFFFFF"/>
          </w:tcPr>
          <w:p w14:paraId="26ED210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78,0</w:t>
            </w:r>
          </w:p>
        </w:tc>
        <w:tc>
          <w:tcPr>
            <w:tcW w:w="1910" w:type="dxa"/>
            <w:shd w:val="clear" w:color="auto" w:fill="FFFFFF"/>
          </w:tcPr>
          <w:p w14:paraId="7217BD5C"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78,34</w:t>
            </w:r>
          </w:p>
        </w:tc>
        <w:tc>
          <w:tcPr>
            <w:tcW w:w="1027" w:type="dxa"/>
            <w:shd w:val="clear" w:color="auto" w:fill="FFFFFF"/>
          </w:tcPr>
          <w:p w14:paraId="13C873C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78,8</w:t>
            </w:r>
          </w:p>
        </w:tc>
      </w:tr>
      <w:tr w:rsidR="006F4095" w:rsidRPr="008127F8" w14:paraId="39F26BE4" w14:textId="77777777">
        <w:trPr>
          <w:trHeight w:val="173"/>
        </w:trPr>
        <w:tc>
          <w:tcPr>
            <w:tcW w:w="2558" w:type="dxa"/>
            <w:shd w:val="clear" w:color="auto" w:fill="FFFFFF"/>
          </w:tcPr>
          <w:p w14:paraId="765CA09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Вес пустого (кг)</w:t>
            </w:r>
          </w:p>
        </w:tc>
        <w:tc>
          <w:tcPr>
            <w:tcW w:w="950" w:type="dxa"/>
            <w:shd w:val="clear" w:color="auto" w:fill="FFFFFF"/>
          </w:tcPr>
          <w:p w14:paraId="5A89FF8C"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10392</w:t>
            </w:r>
          </w:p>
        </w:tc>
        <w:tc>
          <w:tcPr>
            <w:tcW w:w="1910" w:type="dxa"/>
            <w:shd w:val="clear" w:color="auto" w:fill="FFFFFF"/>
          </w:tcPr>
          <w:p w14:paraId="7B1D8256"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11873</w:t>
            </w:r>
          </w:p>
        </w:tc>
        <w:tc>
          <w:tcPr>
            <w:tcW w:w="1027" w:type="dxa"/>
            <w:shd w:val="clear" w:color="auto" w:fill="FFFFFF"/>
          </w:tcPr>
          <w:p w14:paraId="361E0D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27D273F" w14:textId="77777777">
        <w:trPr>
          <w:trHeight w:val="158"/>
        </w:trPr>
        <w:tc>
          <w:tcPr>
            <w:tcW w:w="2558" w:type="dxa"/>
            <w:shd w:val="clear" w:color="auto" w:fill="FFFFFF"/>
          </w:tcPr>
          <w:p w14:paraId="2421E6E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(кг)</w:t>
            </w:r>
          </w:p>
        </w:tc>
        <w:tc>
          <w:tcPr>
            <w:tcW w:w="950" w:type="dxa"/>
            <w:shd w:val="clear" w:color="auto" w:fill="FFFFFF"/>
          </w:tcPr>
          <w:p w14:paraId="43A3833B"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14705</w:t>
            </w:r>
          </w:p>
        </w:tc>
        <w:tc>
          <w:tcPr>
            <w:tcW w:w="1910" w:type="dxa"/>
            <w:shd w:val="clear" w:color="auto" w:fill="FFFFFF"/>
          </w:tcPr>
          <w:p w14:paraId="72EE566E"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15183</w:t>
            </w:r>
          </w:p>
        </w:tc>
        <w:tc>
          <w:tcPr>
            <w:tcW w:w="1027" w:type="dxa"/>
            <w:shd w:val="clear" w:color="auto" w:fill="FFFFFF"/>
          </w:tcPr>
          <w:p w14:paraId="3C76BEA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15500</w:t>
            </w:r>
          </w:p>
        </w:tc>
      </w:tr>
      <w:tr w:rsidR="006F4095" w:rsidRPr="008127F8" w14:paraId="5BC2A285" w14:textId="77777777">
        <w:trPr>
          <w:trHeight w:val="168"/>
        </w:trPr>
        <w:tc>
          <w:tcPr>
            <w:tcW w:w="2558" w:type="dxa"/>
            <w:shd w:val="clear" w:color="auto" w:fill="FFFFFF"/>
          </w:tcPr>
          <w:p w14:paraId="06576B2A"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62B6E47A"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15245</w:t>
            </w:r>
          </w:p>
        </w:tc>
        <w:tc>
          <w:tcPr>
            <w:tcW w:w="1910" w:type="dxa"/>
            <w:shd w:val="clear" w:color="auto" w:fill="FFFFFF"/>
          </w:tcPr>
          <w:p w14:paraId="1D67FB55"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18500</w:t>
            </w:r>
          </w:p>
        </w:tc>
        <w:tc>
          <w:tcPr>
            <w:tcW w:w="1027" w:type="dxa"/>
            <w:shd w:val="clear" w:color="auto" w:fill="FFFFFF"/>
          </w:tcPr>
          <w:p w14:paraId="3921ABA5"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17800</w:t>
            </w:r>
          </w:p>
        </w:tc>
      </w:tr>
      <w:tr w:rsidR="006F4095" w:rsidRPr="008127F8" w14:paraId="392A8156" w14:textId="77777777">
        <w:trPr>
          <w:trHeight w:val="178"/>
        </w:trPr>
        <w:tc>
          <w:tcPr>
            <w:tcW w:w="2558" w:type="dxa"/>
            <w:shd w:val="clear" w:color="auto" w:fill="FFFFFF"/>
          </w:tcPr>
          <w:p w14:paraId="54E1B06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Нагрузка на крыло (кг/м</w:t>
            </w:r>
            <w:r w:rsidRPr="008127F8">
              <w:rPr>
                <w:rFonts w:ascii="Times New Roman" w:hAnsi="Times New Roman"/>
                <w:noProof/>
                <w:color w:val="000000" w:themeColor="text1"/>
                <w:sz w:val="16"/>
                <w:szCs w:val="16"/>
                <w:vertAlign w:val="superscript"/>
              </w:rPr>
              <w:t>г</w:t>
            </w:r>
            <w:r w:rsidRPr="008127F8">
              <w:rPr>
                <w:rFonts w:ascii="Times New Roman" w:hAnsi="Times New Roman"/>
                <w:noProof/>
                <w:color w:val="000000" w:themeColor="text1"/>
                <w:sz w:val="16"/>
                <w:szCs w:val="16"/>
              </w:rPr>
              <w:t>)</w:t>
            </w:r>
          </w:p>
        </w:tc>
        <w:tc>
          <w:tcPr>
            <w:tcW w:w="950" w:type="dxa"/>
            <w:shd w:val="clear" w:color="auto" w:fill="FFFFFF"/>
          </w:tcPr>
          <w:p w14:paraId="7138D1A1"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188,5 *</w:t>
            </w:r>
          </w:p>
        </w:tc>
        <w:tc>
          <w:tcPr>
            <w:tcW w:w="1910" w:type="dxa"/>
            <w:shd w:val="clear" w:color="auto" w:fill="FFFFFF"/>
          </w:tcPr>
          <w:p w14:paraId="2BCEFD82"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193,8</w:t>
            </w:r>
          </w:p>
        </w:tc>
        <w:tc>
          <w:tcPr>
            <w:tcW w:w="1027" w:type="dxa"/>
            <w:shd w:val="clear" w:color="auto" w:fill="FFFFFF"/>
          </w:tcPr>
          <w:p w14:paraId="3EE02CFB"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225,8</w:t>
            </w:r>
          </w:p>
        </w:tc>
      </w:tr>
      <w:tr w:rsidR="006F4095" w:rsidRPr="008127F8" w14:paraId="2E80C4B1" w14:textId="77777777">
        <w:trPr>
          <w:trHeight w:val="173"/>
        </w:trPr>
        <w:tc>
          <w:tcPr>
            <w:tcW w:w="2558" w:type="dxa"/>
            <w:shd w:val="clear" w:color="auto" w:fill="FFFFFF"/>
          </w:tcPr>
          <w:p w14:paraId="2EB08627"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Скорость макс. Н=0 (км/ч)</w:t>
            </w:r>
          </w:p>
        </w:tc>
        <w:tc>
          <w:tcPr>
            <w:tcW w:w="950" w:type="dxa"/>
            <w:shd w:val="clear" w:color="auto" w:fill="FFFFFF"/>
          </w:tcPr>
          <w:p w14:paraId="45174BB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486</w:t>
            </w:r>
          </w:p>
        </w:tc>
        <w:tc>
          <w:tcPr>
            <w:tcW w:w="1910" w:type="dxa"/>
            <w:shd w:val="clear" w:color="auto" w:fill="FFFFFF"/>
          </w:tcPr>
          <w:p w14:paraId="29C00173"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456</w:t>
            </w:r>
          </w:p>
        </w:tc>
        <w:tc>
          <w:tcPr>
            <w:tcW w:w="1027" w:type="dxa"/>
            <w:shd w:val="clear" w:color="auto" w:fill="FFFFFF"/>
          </w:tcPr>
          <w:p w14:paraId="46045013"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440</w:t>
            </w:r>
          </w:p>
        </w:tc>
      </w:tr>
      <w:tr w:rsidR="006F4095" w:rsidRPr="008127F8" w14:paraId="6F1A9278" w14:textId="77777777">
        <w:trPr>
          <w:trHeight w:val="173"/>
        </w:trPr>
        <w:tc>
          <w:tcPr>
            <w:tcW w:w="2558" w:type="dxa"/>
            <w:shd w:val="clear" w:color="auto" w:fill="FFFFFF"/>
          </w:tcPr>
          <w:p w14:paraId="1D068156"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Скорость макс, (км/ч)</w:t>
            </w:r>
          </w:p>
        </w:tc>
        <w:tc>
          <w:tcPr>
            <w:tcW w:w="950" w:type="dxa"/>
            <w:shd w:val="clear" w:color="auto" w:fill="FFFFFF"/>
          </w:tcPr>
          <w:p w14:paraId="1D9C7B37"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620</w:t>
            </w:r>
          </w:p>
        </w:tc>
        <w:tc>
          <w:tcPr>
            <w:tcW w:w="1910" w:type="dxa"/>
            <w:shd w:val="clear" w:color="auto" w:fill="FFFFFF"/>
          </w:tcPr>
          <w:p w14:paraId="172F9E96"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545</w:t>
            </w:r>
          </w:p>
        </w:tc>
        <w:tc>
          <w:tcPr>
            <w:tcW w:w="1027" w:type="dxa"/>
            <w:shd w:val="clear" w:color="auto" w:fill="FFFFFF"/>
          </w:tcPr>
          <w:p w14:paraId="18E39D6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570</w:t>
            </w:r>
          </w:p>
        </w:tc>
      </w:tr>
      <w:tr w:rsidR="006F4095" w:rsidRPr="008127F8" w14:paraId="19A0DF22" w14:textId="77777777">
        <w:trPr>
          <w:trHeight w:val="158"/>
        </w:trPr>
        <w:tc>
          <w:tcPr>
            <w:tcW w:w="2558" w:type="dxa"/>
            <w:shd w:val="clear" w:color="auto" w:fill="FFFFFF"/>
          </w:tcPr>
          <w:p w14:paraId="6971F0D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 высоте (м)</w:t>
            </w:r>
          </w:p>
        </w:tc>
        <w:tc>
          <w:tcPr>
            <w:tcW w:w="950" w:type="dxa"/>
            <w:shd w:val="clear" w:color="auto" w:fill="FFFFFF"/>
          </w:tcPr>
          <w:p w14:paraId="53305911"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10000</w:t>
            </w:r>
          </w:p>
        </w:tc>
        <w:tc>
          <w:tcPr>
            <w:tcW w:w="1910" w:type="dxa"/>
            <w:shd w:val="clear" w:color="auto" w:fill="FFFFFF"/>
          </w:tcPr>
          <w:p w14:paraId="00D5C48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6000</w:t>
            </w:r>
          </w:p>
        </w:tc>
        <w:tc>
          <w:tcPr>
            <w:tcW w:w="1027" w:type="dxa"/>
            <w:shd w:val="clear" w:color="auto" w:fill="FFFFFF"/>
          </w:tcPr>
          <w:p w14:paraId="23E169B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8500</w:t>
            </w:r>
          </w:p>
        </w:tc>
      </w:tr>
      <w:tr w:rsidR="006F4095" w:rsidRPr="008127F8" w14:paraId="0543782B" w14:textId="77777777">
        <w:trPr>
          <w:trHeight w:val="178"/>
        </w:trPr>
        <w:tc>
          <w:tcPr>
            <w:tcW w:w="2558" w:type="dxa"/>
            <w:shd w:val="clear" w:color="auto" w:fill="FFFFFF"/>
          </w:tcPr>
          <w:p w14:paraId="4B9CD7EE"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5B14ACF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115</w:t>
            </w:r>
          </w:p>
        </w:tc>
        <w:tc>
          <w:tcPr>
            <w:tcW w:w="1910" w:type="dxa"/>
            <w:shd w:val="clear" w:color="auto" w:fill="FFFFFF"/>
          </w:tcPr>
          <w:p w14:paraId="433CB701"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w:t>
            </w:r>
          </w:p>
        </w:tc>
        <w:tc>
          <w:tcPr>
            <w:tcW w:w="1027" w:type="dxa"/>
            <w:shd w:val="clear" w:color="auto" w:fill="FFFFFF"/>
          </w:tcPr>
          <w:p w14:paraId="0B458672"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130</w:t>
            </w:r>
          </w:p>
        </w:tc>
      </w:tr>
      <w:tr w:rsidR="006F4095" w:rsidRPr="008127F8" w14:paraId="49E2E77E" w14:textId="77777777">
        <w:trPr>
          <w:trHeight w:val="163"/>
        </w:trPr>
        <w:tc>
          <w:tcPr>
            <w:tcW w:w="2558" w:type="dxa"/>
            <w:shd w:val="clear" w:color="auto" w:fill="FFFFFF"/>
          </w:tcPr>
          <w:p w14:paraId="0865B84E"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415C4208"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13,8 **</w:t>
            </w:r>
          </w:p>
        </w:tc>
        <w:tc>
          <w:tcPr>
            <w:tcW w:w="1910" w:type="dxa"/>
            <w:shd w:val="clear" w:color="auto" w:fill="FFFFFF"/>
          </w:tcPr>
          <w:p w14:paraId="0B5E0181"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c>
          <w:tcPr>
            <w:tcW w:w="1027" w:type="dxa"/>
            <w:shd w:val="clear" w:color="auto" w:fill="FFFFFF"/>
          </w:tcPr>
          <w:p w14:paraId="306C681D"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r>
      <w:tr w:rsidR="006F4095" w:rsidRPr="008127F8" w14:paraId="3CF26375" w14:textId="77777777">
        <w:trPr>
          <w:trHeight w:val="168"/>
        </w:trPr>
        <w:tc>
          <w:tcPr>
            <w:tcW w:w="2558" w:type="dxa"/>
            <w:shd w:val="clear" w:color="auto" w:fill="FFFFFF"/>
          </w:tcPr>
          <w:p w14:paraId="20D7A72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0C33C5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39382C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3B0B56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D97EAA" w14:textId="77777777">
        <w:trPr>
          <w:trHeight w:val="178"/>
        </w:trPr>
        <w:tc>
          <w:tcPr>
            <w:tcW w:w="2558" w:type="dxa"/>
            <w:shd w:val="clear" w:color="auto" w:fill="FFFFFF"/>
          </w:tcPr>
          <w:p w14:paraId="39DE54B3"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нагрузкой 1000 кг(км)</w:t>
            </w:r>
          </w:p>
        </w:tc>
        <w:tc>
          <w:tcPr>
            <w:tcW w:w="950" w:type="dxa"/>
            <w:shd w:val="clear" w:color="auto" w:fill="FFFFFF"/>
          </w:tcPr>
          <w:p w14:paraId="21641EA9"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3850</w:t>
            </w:r>
          </w:p>
        </w:tc>
        <w:tc>
          <w:tcPr>
            <w:tcW w:w="1910" w:type="dxa"/>
            <w:shd w:val="clear" w:color="auto" w:fill="FFFFFF"/>
          </w:tcPr>
          <w:p w14:paraId="18F905C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3440</w:t>
            </w:r>
          </w:p>
        </w:tc>
        <w:tc>
          <w:tcPr>
            <w:tcW w:w="1027" w:type="dxa"/>
            <w:shd w:val="clear" w:color="auto" w:fill="FFFFFF"/>
          </w:tcPr>
          <w:p w14:paraId="245E4DC0"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3470</w:t>
            </w:r>
          </w:p>
        </w:tc>
      </w:tr>
      <w:tr w:rsidR="006F4095" w:rsidRPr="008127F8" w14:paraId="3648AF2C" w14:textId="77777777">
        <w:trPr>
          <w:trHeight w:val="178"/>
        </w:trPr>
        <w:tc>
          <w:tcPr>
            <w:tcW w:w="2558" w:type="dxa"/>
            <w:tcBorders>
              <w:bottom w:val="single" w:sz="12" w:space="0" w:color="auto"/>
            </w:tcBorders>
            <w:shd w:val="clear" w:color="auto" w:fill="FFFFFF"/>
          </w:tcPr>
          <w:p w14:paraId="42DD1746"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36D2B84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4CF3C864"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3F5B8D4E" w14:textId="77777777" w:rsidR="00D91C13" w:rsidRPr="008127F8" w:rsidRDefault="00D91C13"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10750***</w:t>
            </w:r>
          </w:p>
        </w:tc>
      </w:tr>
    </w:tbl>
    <w:p w14:paraId="1D74E98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w:t>
      </w:r>
      <w:r w:rsidRPr="008127F8">
        <w:rPr>
          <w:rFonts w:ascii="Times New Roman" w:hAnsi="Times New Roman"/>
          <w:noProof/>
          <w:color w:val="000000" w:themeColor="text1"/>
          <w:sz w:val="16"/>
          <w:szCs w:val="16"/>
          <w:lang w:val="en-US"/>
        </w:rPr>
        <w:t>с нормальным взлетным весом</w:t>
      </w:r>
    </w:p>
    <w:p w14:paraId="29309367"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расчетное значение для высоты 5000 м</w:t>
      </w:r>
    </w:p>
    <w:p w14:paraId="47938D57" w14:textId="5C9F0CD2"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достигну</w:t>
      </w:r>
      <w:r w:rsidR="00E621C5">
        <w:rPr>
          <w:rFonts w:ascii="Times New Roman" w:hAnsi="Times New Roman"/>
          <w:noProof/>
          <w:color w:val="000000" w:themeColor="text1"/>
          <w:sz w:val="16"/>
          <w:szCs w:val="16"/>
          <w:lang w:val="en-US"/>
        </w:rPr>
        <w:t xml:space="preserve">n </w:t>
      </w:r>
      <w:r w:rsidRPr="008127F8">
        <w:rPr>
          <w:rFonts w:ascii="Times New Roman" w:hAnsi="Times New Roman"/>
          <w:noProof/>
          <w:color w:val="000000" w:themeColor="text1"/>
          <w:sz w:val="16"/>
          <w:szCs w:val="16"/>
          <w:lang w:val="en-US"/>
        </w:rPr>
        <w:t>потолок</w:t>
      </w:r>
      <w:r w:rsidRPr="008127F8">
        <w:rPr>
          <w:rFonts w:ascii="Times New Roman" w:hAnsi="Times New Roman"/>
          <w:color w:val="000000" w:themeColor="text1"/>
          <w:sz w:val="16"/>
          <w:szCs w:val="16"/>
        </w:rPr>
        <w:t xml:space="preserve"> (11941).</w:t>
      </w:r>
    </w:p>
    <w:p w14:paraId="24A82EF7" w14:textId="77777777" w:rsidR="00E621C5" w:rsidRPr="008127F8" w:rsidRDefault="00E621C5" w:rsidP="00E621C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E887A"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был выполнен эскизный проект ДВБ-102 2М-120ТК с ПЦН Доллежаля проект, дальний скоростной бомбардировщик. Эскизный проект был выполнен с целью восстановления высотности самолета после увеличения его полетного веса. Он предусматривал установку на моторы в вместо штатных 1-ступенчатых 2-скоростных ПЦН новых 2-ступенчатых 2-скоростных ПЦН системы Доллежаля (ВИАМ) и дальнейшие связанные с этим изменения:</w:t>
      </w:r>
    </w:p>
    <w:p w14:paraId="2566ACDA"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переделку каналов воздухозаборников ПЦН;</w:t>
      </w:r>
    </w:p>
    <w:p w14:paraId="6F01FCB0"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доработку системы регулирования наддува и др.</w:t>
      </w:r>
    </w:p>
    <w:p w14:paraId="3A47CF71"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Поскольку 2-стуенчатые ПЦН довести не удалось, доработка самолета не выполнялась (23552).</w:t>
      </w:r>
    </w:p>
    <w:p w14:paraId="6FEE0447" w14:textId="77777777" w:rsidR="00E621C5" w:rsidRPr="008A2E5A" w:rsidRDefault="00E621C5" w:rsidP="00E621C5">
      <w:pPr>
        <w:spacing w:after="0" w:line="240" w:lineRule="auto"/>
        <w:jc w:val="both"/>
        <w:rPr>
          <w:rFonts w:ascii="Times New Roman" w:hAnsi="Times New Roman"/>
          <w:color w:val="0070C0"/>
          <w:sz w:val="16"/>
          <w:szCs w:val="16"/>
        </w:rPr>
      </w:pPr>
    </w:p>
    <w:p w14:paraId="19271D05"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был выполнен эскизный проект ДВБ-102 2МБ-100, дальний скоростной бомбардировщик. Эскизный проект был выполнен в целях замены снятого с плана серийного выпуска мотора М-120ТК.</w:t>
      </w:r>
    </w:p>
    <w:p w14:paraId="0C90FACC"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отличия от базового варианта с М-120ТК:</w:t>
      </w:r>
    </w:p>
    <w:p w14:paraId="30F21D81"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установлены невысотнные моторы МБ-100 (Х-образные, рассматривались как в «горизонтальном», так и в «вертикальном» вариантах);</w:t>
      </w:r>
    </w:p>
    <w:p w14:paraId="5362BCF2"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установлены новые 4-лопастные воздушные винты вместо 3-лопастных;</w:t>
      </w:r>
    </w:p>
    <w:p w14:paraId="0DF77D03"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изменены моторамы;</w:t>
      </w:r>
    </w:p>
    <w:p w14:paraId="6A83A18C"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изменены капоты (2 варианта в соответствии с расположением блоков цилиндров моторов);</w:t>
      </w:r>
    </w:p>
    <w:p w14:paraId="56D9604F"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изменены системы охлаждения воды и масла (радиаторы и емкости систем увеличены);</w:t>
      </w:r>
    </w:p>
    <w:p w14:paraId="6C50987A"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изменены системы запуска;</w:t>
      </w:r>
    </w:p>
    <w:p w14:paraId="6AF68218"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увеличена емкость топливной системы;</w:t>
      </w:r>
    </w:p>
    <w:p w14:paraId="0DE9C3A4"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усилено оборонительное вооружение (5 пушек калибра 20 мм, общий боекомплект 1450 снарядов);</w:t>
      </w:r>
    </w:p>
    <w:p w14:paraId="5C0313DD"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увеличен экипаж (до 9 человек?);</w:t>
      </w:r>
    </w:p>
    <w:p w14:paraId="7D1DE258"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кабины сделаны негерметичными (предположительно).</w:t>
      </w:r>
    </w:p>
    <w:p w14:paraId="7E813ABB"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Применение мотора МБ-100 было предусмотрено на 2-м опытном экземпляре (ДМ), но не реализовано, т.к. этот мотор требовал значительной доводки и не был включен в план на 1942 г. (хотя испытывался на Ер-2). В мае 1942 г. пришли к выводу о нецелесообразности установки МБ-100 на самолет ДВБ-102. Приказ по НКАП об этом был подготовлен 03.06.42 г. (23552).</w:t>
      </w:r>
    </w:p>
    <w:p w14:paraId="3EB7265F" w14:textId="77777777" w:rsidR="00E621C5" w:rsidRPr="008A2E5A" w:rsidRDefault="00E621C5" w:rsidP="00E621C5">
      <w:pPr>
        <w:spacing w:after="0" w:line="240" w:lineRule="auto"/>
        <w:jc w:val="both"/>
        <w:rPr>
          <w:rFonts w:ascii="Times New Roman" w:hAnsi="Times New Roman"/>
          <w:color w:val="0070C0"/>
          <w:sz w:val="16"/>
          <w:szCs w:val="16"/>
        </w:rPr>
      </w:pPr>
    </w:p>
    <w:p w14:paraId="1347EFE5"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был выполнен эскизный проект ДВБ-102 2МБ-102 проект, дальний скоростной бомбардировщик. Эскизный проект был выполнен в начале 1942 г. в целях замены снятого с плана серийного выпуска мотора М-120ТК. ТТХ – см. файл. Не строился по той же причине, что и самолет с МБ-100 (23552).</w:t>
      </w:r>
    </w:p>
    <w:p w14:paraId="49CACE73" w14:textId="77777777" w:rsidR="00E621C5" w:rsidRPr="008A2E5A" w:rsidRDefault="00E621C5" w:rsidP="00E621C5">
      <w:pPr>
        <w:spacing w:after="0" w:line="240" w:lineRule="auto"/>
        <w:jc w:val="both"/>
        <w:rPr>
          <w:rFonts w:ascii="Times New Roman" w:hAnsi="Times New Roman"/>
          <w:color w:val="0070C0"/>
          <w:sz w:val="16"/>
          <w:szCs w:val="16"/>
        </w:rPr>
      </w:pPr>
    </w:p>
    <w:p w14:paraId="045EFCB4"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был выполнен эскизный проект ДВБ-102 2М-30Б проект, дальний высотный скоростной бомбардировщик. Проект выполнен в 1942 г. с целью замены снятых с производства моторов М-120. Не строился (23552).</w:t>
      </w:r>
    </w:p>
    <w:p w14:paraId="6FE780FF" w14:textId="77777777" w:rsidR="00E621C5" w:rsidRDefault="00E621C5"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BE9A6" w14:textId="4B114095"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 НИИ-3 НКБ была завершена разработка эскизного проекта самолета 302 (2928,58).</w:t>
      </w:r>
    </w:p>
    <w:p w14:paraId="7B3F3E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49CF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года в парке ГВФ оставалось 19 "Валти". Зимой 1941-1942 годов ПС-43 участвовали в "воздушном мосту" в блокадный Ленинград. Самолет M.Г.Скрыльникова подбили над Ладогой, пришлось совершить вынужденную посадку. Было сломано шасси, а хвост оторван совсем. По за 10 дней машину вновь поставили в строй, П.П.Тукиш летал на нем до конца воины (3457,43). За тяжелый 1941 год немцы уничтожили в общей сложности четыре ПС-43, аварии и износ вынудили списать еще ряд машин. Несколько самолетов перешли в ВВС, где они служили в основном как связные (3457,43).</w:t>
      </w:r>
    </w:p>
    <w:p w14:paraId="5EAF48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A1327" w14:textId="77777777" w:rsidR="0005046D" w:rsidRPr="008127F8" w:rsidRDefault="0005046D" w:rsidP="001E0A84">
      <w:pPr>
        <w:pStyle w:val="a4"/>
        <w:rPr>
          <w:color w:val="000000" w:themeColor="text1"/>
          <w:lang w:val="ru-RU"/>
        </w:rPr>
      </w:pPr>
      <w:r w:rsidRPr="008127F8">
        <w:rPr>
          <w:color w:val="000000" w:themeColor="text1"/>
          <w:lang w:val="ru-RU"/>
        </w:rPr>
        <w:t>В начале 1942 года военинженером 3 ранга Л.Г. Головиным, работавшим в самолетных ремонтных мастерских Наркомата Авиапрома, был предложен проект самолета перехватчика с ракетным двигателем, стартующего с мобильной катапульты. Перехватчик с лежачим положением летчика, оживальным крылом малого удлинения и твердотопливным ракет</w:t>
      </w:r>
      <w:r w:rsidRPr="008127F8">
        <w:rPr>
          <w:color w:val="000000" w:themeColor="text1"/>
          <w:lang w:val="ru-RU"/>
        </w:rPr>
        <w:softHyphen/>
        <w:t>ным двигателем должен был стартовать с подвижной пусковой установки (15841).</w:t>
      </w:r>
    </w:p>
    <w:p w14:paraId="516D68E7" w14:textId="77777777" w:rsidR="0005046D" w:rsidRPr="008127F8" w:rsidRDefault="0005046D" w:rsidP="001E0A84">
      <w:pPr>
        <w:pStyle w:val="a4"/>
        <w:rPr>
          <w:color w:val="000000" w:themeColor="text1"/>
          <w:lang w:val="ru-RU"/>
        </w:rPr>
      </w:pPr>
    </w:p>
    <w:p w14:paraId="6D5E466C" w14:textId="4A707211"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№81 один из истребителей Харрикейн 736-го иап, доставленных в ремонт, оснастили лыжным шасси, убиравшимся в полете. Его испытывали с 5 по 15 февраля на Центральном аэродроме. Летал В.А.Степанчонок из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НИИ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ВВС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а также пилоты из 10-го гв. иап и 736-го иап (15129).</w:t>
      </w:r>
    </w:p>
    <w:p w14:paraId="54C09BA3" w14:textId="77777777" w:rsidR="00011043" w:rsidRPr="008127F8" w:rsidRDefault="00011043" w:rsidP="001E0A84">
      <w:pPr>
        <w:spacing w:after="0" w:line="240" w:lineRule="auto"/>
        <w:jc w:val="both"/>
        <w:rPr>
          <w:rFonts w:ascii="Times New Roman" w:hAnsi="Times New Roman"/>
          <w:color w:val="000000" w:themeColor="text1"/>
          <w:sz w:val="16"/>
          <w:szCs w:val="16"/>
        </w:rPr>
      </w:pPr>
    </w:p>
    <w:p w14:paraId="7C1FA6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испытали за ТБ-3 (АНТ-6) двухбалочный планер КГ Л.П.Курбалы (112,175).</w:t>
      </w:r>
    </w:p>
    <w:p w14:paraId="6544CC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EB3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В.Л.Расторгуев испытал второй опытный планер КЦ-2, а Д.Н.Колесников - ГК завода 168, экакуированного в Лопатино Мари Эл (ст. Козловка) - предложил проработать на базе КЦ-2 П.В.Цыбина вариант морского гидропланера. Машина была рекомендована в серию (94,81).</w:t>
      </w:r>
    </w:p>
    <w:p w14:paraId="1B2AC6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35B16"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в Казани, куда из Рязани был эвакуирован завод из-за наступления немцев, проходили ис</w:t>
      </w:r>
      <w:r w:rsidRPr="008127F8">
        <w:rPr>
          <w:rFonts w:ascii="Times New Roman" w:hAnsi="Times New Roman"/>
          <w:color w:val="000000" w:themeColor="text1"/>
          <w:sz w:val="16"/>
          <w:szCs w:val="16"/>
        </w:rPr>
        <w:softHyphen/>
        <w:t>пытания КЦ-2. Испытания КЦ-2, которые проводил летчик В.Л. Расторгуев, выявили ряд серьезных недостат</w:t>
      </w:r>
      <w:r w:rsidRPr="008127F8">
        <w:rPr>
          <w:rFonts w:ascii="Times New Roman" w:hAnsi="Times New Roman"/>
          <w:color w:val="000000" w:themeColor="text1"/>
          <w:sz w:val="16"/>
          <w:szCs w:val="16"/>
        </w:rPr>
        <w:softHyphen/>
        <w:t>ков: были плохими устойчивость и управляемость. Нужно было увеличить путевую устойчивость, умень</w:t>
      </w:r>
      <w:r w:rsidRPr="008127F8">
        <w:rPr>
          <w:rFonts w:ascii="Times New Roman" w:hAnsi="Times New Roman"/>
          <w:color w:val="000000" w:themeColor="text1"/>
          <w:sz w:val="16"/>
          <w:szCs w:val="16"/>
        </w:rPr>
        <w:softHyphen/>
        <w:t>шить нагрузки в органах управления, увеличить эф</w:t>
      </w:r>
      <w:r w:rsidRPr="008127F8">
        <w:rPr>
          <w:rFonts w:ascii="Times New Roman" w:hAnsi="Times New Roman"/>
          <w:color w:val="000000" w:themeColor="text1"/>
          <w:sz w:val="16"/>
          <w:szCs w:val="16"/>
        </w:rPr>
        <w:softHyphen/>
        <w:t>фективность элеронов и убрать люфты и упругие деформации в проводке управления. По требованию ЦАГИ разрешенную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42CA47CA"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необходимость в тяжелых планерах, не</w:t>
      </w:r>
      <w:r w:rsidRPr="008127F8">
        <w:rPr>
          <w:rFonts w:ascii="Times New Roman" w:hAnsi="Times New Roman"/>
          <w:color w:val="000000" w:themeColor="text1"/>
          <w:sz w:val="16"/>
          <w:szCs w:val="16"/>
        </w:rPr>
        <w:softHyphen/>
        <w:t>смотря на отмеченные недостатки, планер был реко</w:t>
      </w:r>
      <w:r w:rsidRPr="008127F8">
        <w:rPr>
          <w:rFonts w:ascii="Times New Roman" w:hAnsi="Times New Roman"/>
          <w:color w:val="000000" w:themeColor="text1"/>
          <w:sz w:val="16"/>
          <w:szCs w:val="16"/>
        </w:rPr>
        <w:softHyphen/>
        <w:t>мендован к серийному производству под обозначе</w:t>
      </w:r>
      <w:r w:rsidRPr="008127F8">
        <w:rPr>
          <w:rFonts w:ascii="Times New Roman" w:hAnsi="Times New Roman"/>
          <w:color w:val="000000" w:themeColor="text1"/>
          <w:sz w:val="16"/>
          <w:szCs w:val="16"/>
        </w:rPr>
        <w:softHyphen/>
        <w:t>нием КЦ-20 (2 пилота + 18 десантников). Производ</w:t>
      </w:r>
      <w:r w:rsidRPr="008127F8">
        <w:rPr>
          <w:rFonts w:ascii="Times New Roman" w:hAnsi="Times New Roman"/>
          <w:color w:val="000000" w:themeColor="text1"/>
          <w:sz w:val="16"/>
          <w:szCs w:val="16"/>
        </w:rPr>
        <w:softHyphen/>
        <w:t>ство организовали в поселке Лопатино под Казанью.</w:t>
      </w:r>
    </w:p>
    <w:p w14:paraId="6530E054"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устранения отмеченных недостатков конструк</w:t>
      </w:r>
      <w:r w:rsidRPr="008127F8">
        <w:rPr>
          <w:rFonts w:ascii="Times New Roman" w:hAnsi="Times New Roman"/>
          <w:color w:val="000000" w:themeColor="text1"/>
          <w:sz w:val="16"/>
          <w:szCs w:val="16"/>
        </w:rPr>
        <w:softHyphen/>
        <w:t>цию существенно доработали: фюзеляж в хвостовой части удлинили на 900 мм, съемные двери заменили на двухстворчатые поворотные, а число иллюминато</w:t>
      </w:r>
      <w:r w:rsidRPr="008127F8">
        <w:rPr>
          <w:rFonts w:ascii="Times New Roman" w:hAnsi="Times New Roman"/>
          <w:color w:val="000000" w:themeColor="text1"/>
          <w:sz w:val="16"/>
          <w:szCs w:val="16"/>
        </w:rPr>
        <w:softHyphen/>
        <w:t>ров на каждом борту увеличили до четырех. Увеличи</w:t>
      </w:r>
      <w:r w:rsidRPr="008127F8">
        <w:rPr>
          <w:rFonts w:ascii="Times New Roman" w:hAnsi="Times New Roman"/>
          <w:color w:val="000000" w:themeColor="text1"/>
          <w:sz w:val="16"/>
          <w:szCs w:val="16"/>
        </w:rPr>
        <w:softHyphen/>
        <w:t>ли также площадь элеронов и поперечное V крыла.</w:t>
      </w:r>
    </w:p>
    <w:p w14:paraId="1F1AEF74"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Возросла площадь всего горизонтального опе</w:t>
      </w:r>
      <w:r w:rsidRPr="008127F8">
        <w:rPr>
          <w:rFonts w:ascii="Times New Roman" w:hAnsi="Times New Roman"/>
          <w:color w:val="000000" w:themeColor="text1"/>
          <w:sz w:val="16"/>
          <w:szCs w:val="16"/>
        </w:rPr>
        <w:softHyphen/>
        <w:t>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w:t>
      </w:r>
      <w:r w:rsidRPr="008127F8">
        <w:rPr>
          <w:rFonts w:ascii="Times New Roman" w:hAnsi="Times New Roman"/>
          <w:color w:val="000000" w:themeColor="text1"/>
          <w:sz w:val="16"/>
          <w:szCs w:val="16"/>
        </w:rPr>
        <w:softHyphen/>
        <w:t>ний, масса пустого планера осталась неизменной — 2050 кг, но проблемы с центровкой, хотя и не такие острые, — остались.</w:t>
      </w:r>
    </w:p>
    <w:p w14:paraId="6760EF0F"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внедрения всех усовершенствований в ав</w:t>
      </w:r>
      <w:r w:rsidRPr="008127F8">
        <w:rPr>
          <w:rFonts w:ascii="Times New Roman" w:hAnsi="Times New Roman"/>
          <w:color w:val="000000" w:themeColor="text1"/>
          <w:sz w:val="16"/>
          <w:szCs w:val="16"/>
        </w:rPr>
        <w:softHyphen/>
        <w:t>густе 1942 г. были выполнены контрольные испытания головного серийного образца КЦ-20, которые провел летчик Расторгуев В.Л. В результате проведенных доработок удалось снизить трение в системе управ</w:t>
      </w:r>
      <w:r w:rsidRPr="008127F8">
        <w:rPr>
          <w:rFonts w:ascii="Times New Roman" w:hAnsi="Times New Roman"/>
          <w:color w:val="000000" w:themeColor="text1"/>
          <w:sz w:val="16"/>
          <w:szCs w:val="16"/>
        </w:rPr>
        <w:softHyphen/>
        <w:t>ления, повысить эффективность действия рулей и триммеров, а также привести в норму устойчивость планера при буксировке и в планировании. Управля- емость планера также улучшилась, хотя повышенные нагрузки на штурвал от элеронов и на педали от руля направления сохранились. На это в дальнейшем жа</w:t>
      </w:r>
      <w:r w:rsidRPr="008127F8">
        <w:rPr>
          <w:rFonts w:ascii="Times New Roman" w:hAnsi="Times New Roman"/>
          <w:color w:val="000000" w:themeColor="text1"/>
          <w:sz w:val="16"/>
          <w:szCs w:val="16"/>
        </w:rPr>
        <w:softHyphen/>
        <w:t>ловались и строевые летчики. Для обеспечения приемлемой центровки в нос планера загружали балан</w:t>
      </w:r>
      <w:r w:rsidRPr="008127F8">
        <w:rPr>
          <w:rFonts w:ascii="Times New Roman" w:hAnsi="Times New Roman"/>
          <w:color w:val="000000" w:themeColor="text1"/>
          <w:sz w:val="16"/>
          <w:szCs w:val="16"/>
        </w:rPr>
        <w:softHyphen/>
        <w:t>сировочный груз массой 115 кг (12300).</w:t>
      </w:r>
    </w:p>
    <w:p w14:paraId="0CBFFBF4"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3C31698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основе планера КЦ-20 Д.Н. Ко</w:t>
      </w:r>
      <w:r w:rsidRPr="008127F8">
        <w:rPr>
          <w:rFonts w:ascii="Times New Roman" w:hAnsi="Times New Roman"/>
          <w:color w:val="000000" w:themeColor="text1"/>
          <w:sz w:val="16"/>
          <w:szCs w:val="16"/>
        </w:rPr>
        <w:softHyphen/>
        <w:t>лесников предложил спроектировать морской де</w:t>
      </w:r>
      <w:r w:rsidRPr="008127F8">
        <w:rPr>
          <w:rFonts w:ascii="Times New Roman" w:hAnsi="Times New Roman"/>
          <w:color w:val="000000" w:themeColor="text1"/>
          <w:sz w:val="16"/>
          <w:szCs w:val="16"/>
        </w:rPr>
        <w:softHyphen/>
        <w:t>сантный гидропланер. По схеме это должна была быть летающая лодка с поддерживающими поплавками на крыльях. Предполагалось, что такой планер будет вы</w:t>
      </w:r>
      <w:r w:rsidRPr="008127F8">
        <w:rPr>
          <w:rFonts w:ascii="Times New Roman" w:hAnsi="Times New Roman"/>
          <w:color w:val="000000" w:themeColor="text1"/>
          <w:sz w:val="16"/>
          <w:szCs w:val="16"/>
        </w:rPr>
        <w:softHyphen/>
        <w:t>саживать десанты на побережье Крыма, Прибалтики и в других подобных местах. Но далее предложения дело не пошло (12300).</w:t>
      </w:r>
    </w:p>
    <w:p w14:paraId="4EAA2820"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70D223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ОКБ С.А.Кочеригина было ликвидировано, а он стал главным редактором БНТ ЦАГИ (4,43).</w:t>
      </w:r>
    </w:p>
    <w:p w14:paraId="48A5D1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8AC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были изготовлены ПВРД ДМ-4С И.А.Меркулова и для испытаний выбрали Як-7Б. Сначала ставили на УТИ-26-2 в 12 гв. иап ПВО Москвы, но центровка сместилась вперед и не была обеспечена пожаробезопасность (65,101).</w:t>
      </w:r>
    </w:p>
    <w:p w14:paraId="10F01B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592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были готовы ПВРД ДМ-4С И.А.Меркулова диаметром 500 мм и длинной 2300 мм с массой 45 кг, спроектированные в 1941 (65,101).</w:t>
      </w:r>
    </w:p>
    <w:p w14:paraId="61AE6A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094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ОКБ А.С.Я. на серийном Як-7 N 22-41 провело эксперименты по увеличению давления наддува двигателей до 1000 и 1050 мм рт. ст. (65,86).</w:t>
      </w:r>
    </w:p>
    <w:p w14:paraId="77811D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547B8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начала 1942 г. М-25 в различных модификациях выпускался заводом № 19; изготовлено 13 888 экз. На заводе № 27 (Казань) в 1938-1939 гг. собирали М-25 из комплектов запчастей, выпущенных в Перми; количе</w:t>
      </w:r>
      <w:r w:rsidRPr="008127F8">
        <w:rPr>
          <w:rFonts w:ascii="Times New Roman" w:hAnsi="Times New Roman"/>
          <w:color w:val="000000" w:themeColor="text1"/>
          <w:sz w:val="16"/>
          <w:szCs w:val="16"/>
        </w:rPr>
        <w:softHyphen/>
        <w:t>ство неизвестно.</w:t>
      </w:r>
    </w:p>
    <w:p w14:paraId="5712E7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Характеристики:</w:t>
      </w:r>
    </w:p>
    <w:p w14:paraId="0B5702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9-цилиндровый звездообразный, воздушного охлаждения, с односту</w:t>
      </w:r>
      <w:r w:rsidRPr="008127F8">
        <w:rPr>
          <w:rFonts w:ascii="Times New Roman" w:hAnsi="Times New Roman"/>
          <w:color w:val="000000" w:themeColor="text1"/>
          <w:sz w:val="16"/>
          <w:szCs w:val="16"/>
        </w:rPr>
        <w:softHyphen/>
        <w:t>пенчатым односкоростным ПЦН;</w:t>
      </w:r>
    </w:p>
    <w:p w14:paraId="2406C4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диаметр цилиндра/ход поршня 155,5/174,5 мм;</w:t>
      </w:r>
    </w:p>
    <w:p w14:paraId="32A6CBB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объем 29,87 л;</w:t>
      </w:r>
    </w:p>
    <w:p w14:paraId="43E124D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степень сжатия 6,4;</w:t>
      </w:r>
    </w:p>
    <w:p w14:paraId="2F4EEFE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мощность и вес в зависимости от модификации;</w:t>
      </w:r>
    </w:p>
    <w:p w14:paraId="025703D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возможна установка синхронизатора, электроинерционного старте</w:t>
      </w:r>
      <w:r w:rsidRPr="008127F8">
        <w:rPr>
          <w:rFonts w:ascii="Times New Roman" w:hAnsi="Times New Roman"/>
          <w:color w:val="000000" w:themeColor="text1"/>
          <w:sz w:val="16"/>
          <w:szCs w:val="16"/>
        </w:rPr>
        <w:softHyphen/>
        <w:t>ра или пневмопуска. Известны модификации:</w:t>
      </w:r>
    </w:p>
    <w:p w14:paraId="5F3AC6B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 безредукторный, первая серийная модификация с использовани</w:t>
      </w:r>
      <w:r w:rsidRPr="008127F8">
        <w:rPr>
          <w:rFonts w:ascii="Times New Roman" w:hAnsi="Times New Roman"/>
          <w:color w:val="000000" w:themeColor="text1"/>
          <w:sz w:val="16"/>
          <w:szCs w:val="16"/>
        </w:rPr>
        <w:softHyphen/>
        <w:t>ем большого числа импортных деталей, 635/700 л.с., прошла госиспы</w:t>
      </w:r>
      <w:r w:rsidRPr="008127F8">
        <w:rPr>
          <w:rFonts w:ascii="Times New Roman" w:hAnsi="Times New Roman"/>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6CE6272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54782D3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439 кг.</w:t>
      </w:r>
    </w:p>
    <w:p w14:paraId="216BD6E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411F09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М-25Р, редукторный мотор на базе М-25А. Изготовлено несколько опытных экземпляров с импортными редукторами.</w:t>
      </w:r>
    </w:p>
    <w:p w14:paraId="5EC88A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М-25В, безредукторный, форсирован по оборотам по сравнению с М-25А, 750/775 л.с., вес 453 кг. Усиленные головки цилиндров,</w:t>
      </w:r>
    </w:p>
    <w:p w14:paraId="4E8333D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8127F8">
        <w:rPr>
          <w:rFonts w:ascii="Times New Roman" w:hAnsi="Times New Roman"/>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1A69BC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8127F8">
        <w:rPr>
          <w:rFonts w:ascii="Times New Roman" w:hAnsi="Times New Roman"/>
          <w:color w:val="000000" w:themeColor="text1"/>
          <w:sz w:val="16"/>
          <w:szCs w:val="16"/>
        </w:rPr>
        <w:softHyphen/>
        <w:t>ность 750/775 л.с., вес 435 кг. Изготовлялась малая серия.</w:t>
      </w:r>
    </w:p>
    <w:p w14:paraId="657995F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М-25Е, опытные образцы с увеличенным наддувом (за счет повы</w:t>
      </w:r>
      <w:r w:rsidRPr="008127F8">
        <w:rPr>
          <w:rFonts w:ascii="Times New Roman" w:hAnsi="Times New Roman"/>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047BFF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М-25И, опытный образец с наддувом выше, чем у М-25В, но ниже, чем у М-25Е.</w:t>
      </w:r>
    </w:p>
    <w:p w14:paraId="23F73D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М-25Ф, проект 1935 г. с форсированием по оборотам, 720/815 л.с., вес 500 кг.</w:t>
      </w:r>
    </w:p>
    <w:p w14:paraId="5F0E81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М-25У, задание 1935 г., 840/950 л.с., вес 570 кг. -</w:t>
      </w:r>
    </w:p>
    <w:p w14:paraId="4A7CFA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37AB71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М-25 экспортировался в Китай и Испанию.</w:t>
      </w:r>
    </w:p>
    <w:p w14:paraId="4727B9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8127F8">
        <w:rPr>
          <w:rFonts w:ascii="Times New Roman" w:hAnsi="Times New Roman"/>
          <w:color w:val="000000" w:themeColor="text1"/>
          <w:sz w:val="16"/>
          <w:szCs w:val="16"/>
        </w:rPr>
        <w:softHyphen/>
        <w:t xml:space="preserve">лось проектом ТА. Трофейные М-25В устанавливались немцами на легкие транспортные </w:t>
      </w:r>
      <w:proofErr w:type="gramStart"/>
      <w:r w:rsidRPr="008127F8">
        <w:rPr>
          <w:rFonts w:ascii="Times New Roman" w:hAnsi="Times New Roman"/>
          <w:color w:val="000000" w:themeColor="text1"/>
          <w:sz w:val="16"/>
          <w:szCs w:val="16"/>
        </w:rPr>
        <w:t>самолеты</w:t>
      </w:r>
      <w:proofErr w:type="gramEnd"/>
      <w:r w:rsidRPr="008127F8">
        <w:rPr>
          <w:rFonts w:ascii="Times New Roman" w:hAnsi="Times New Roman"/>
          <w:color w:val="000000" w:themeColor="text1"/>
          <w:sz w:val="16"/>
          <w:szCs w:val="16"/>
        </w:rPr>
        <w:t xml:space="preserve"> Со 244 (11852).</w:t>
      </w:r>
    </w:p>
    <w:p w14:paraId="5A1095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D661D" w14:textId="77777777" w:rsidR="00D47170" w:rsidRPr="008127F8" w:rsidRDefault="00D47170"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 это время авиасборочный завод собрал первую партию самолетов. В донесении наркому Микояну указывалось, что «… готовая продукция завода в настоящее время не имеет сбыта, а также не ясен дальнейший план работы завода, т.к. сборка самолетов И-16 накануне последней поставки агрегатов для деталей такого типа прекращена»</w:t>
      </w:r>
      <w:proofErr w:type="gramStart"/>
      <w:r w:rsidRPr="008127F8">
        <w:rPr>
          <w:rFonts w:ascii="Times New Roman" w:hAnsi="Times New Roman"/>
          <w:color w:val="000000" w:themeColor="text1"/>
          <w:sz w:val="16"/>
          <w:szCs w:val="16"/>
        </w:rPr>
        <w:t>3 .</w:t>
      </w:r>
      <w:proofErr w:type="gramEnd"/>
      <w:r w:rsidRPr="008127F8">
        <w:rPr>
          <w:rFonts w:ascii="Times New Roman" w:hAnsi="Times New Roman"/>
          <w:color w:val="000000" w:themeColor="text1"/>
          <w:sz w:val="16"/>
          <w:szCs w:val="16"/>
        </w:rPr>
        <w:t xml:space="preserve"> Начальник Восточного управления Кумыкин в 1941 г в докладной записке на имя наркома Микояна вновь указывал на то, что «…завод собрал уже 65 самолетов и к 1 июля количество собранных самолетов составит 144. Собранные самолеты частично хранятся на открытом воздухе, что в климатических условиях Синьцзяна (песчаные бури, резкое колебание температуры) может вызвать порчу самолетов. Кроме того, хранение самолетов вызывает большие расходы по их обслуживанию (смазка и т.д.)»4 (20122</w:t>
      </w:r>
      <w:proofErr w:type="gramStart"/>
      <w:r w:rsidRPr="008127F8">
        <w:rPr>
          <w:rFonts w:ascii="Times New Roman" w:hAnsi="Times New Roman"/>
          <w:color w:val="000000" w:themeColor="text1"/>
          <w:sz w:val="16"/>
          <w:szCs w:val="16"/>
        </w:rPr>
        <w:t>) .</w:t>
      </w:r>
      <w:proofErr w:type="gramEnd"/>
    </w:p>
    <w:p w14:paraId="1CD31298" w14:textId="77777777" w:rsidR="00D47170" w:rsidRPr="008127F8" w:rsidRDefault="00D47170" w:rsidP="001E0A84">
      <w:pPr>
        <w:shd w:val="clear" w:color="auto" w:fill="FFFFFF"/>
        <w:spacing w:after="0" w:line="240" w:lineRule="auto"/>
        <w:jc w:val="both"/>
        <w:rPr>
          <w:rFonts w:ascii="Times New Roman" w:hAnsi="Times New Roman"/>
          <w:color w:val="000000" w:themeColor="text1"/>
          <w:sz w:val="16"/>
          <w:szCs w:val="16"/>
        </w:rPr>
      </w:pPr>
    </w:p>
    <w:p w14:paraId="4630BFC0" w14:textId="687897A6"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заводе № 35 в серийное производство был запущен винт АВ-5Л-158</w:t>
      </w:r>
      <w:r w:rsidR="006D4AC1"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для штурмовика СВ. Ильюшина Ил-2. При плане выпуска 14747 винтов завод изготовил 14984 винта в основном марки АВ-5Л-158, запущенного в серийное производство. Штурмовик Ил-2 к этому времени показал себя превосходной боевой машиной, в которой очень нуждался фронт. В известной телеграмме И.В. Сталина, отправленной в конце декабря 1941 г. директорам двух авиазаводов, были, в частности, и такие слова: «Нам нужны не МиГи, а Ил -2». Предыстория создания Ил-2 в предвоенные годы была непростой и изобиловала целым рядом драматических коллизий, о которых следует рассказать, несколько нарушив хронологию повествования. Рождение проекта бронированного штурмовика - «летающего танка» С.В. Ильюшиным относится к январю 1938 г., когда он обратился в Правительство с заявлением об освобождении его от должности Начальника Главка и поручении ему выпуска самолета на Госиспытания. Предложение С. В. Ильюшина было принято, и создание бронированного штурмовика включили в план опытного строительства. Это означало также проведение работ не только по планеру, но и всеми разработчиками комплектующих составляющих, в том числе мотористами и винтовиками. Разработанная в ВИАМе под руководством С.Т. Кишкина и М.Н. Склярова новая броневая сталь и новая технология изготовления деталей из нее путем штамповки позволили создать штурмовик с «работающей» броней, то есть органично включенной в конструкцию планера. Именно к броне, а не к набору из стрингеров и лонжеронов крепились крыло, двигатель, оборудование. Первый полет опытного самолета с двигателем А.А. Микулина АМ-35 состоялся 2 октября 1939г. под управлением летчика-испытателя В.К. Коккинаки, а в апреле 1940 г. штурмовик в двухместном варианте прошел Государственные испытания с положительным заключением военных специалистов. Однако были выявлены и некоторые слабые стороны, в частности, в необходимости уменьшения высотности двигателя AM -35, которая не была нужна штурмовику, летающему в основном на малых высотах. ОКБ А.А. Микулина в инициативном порядке создало двигатель АМ-38 с маловысотным нагнетателем. Ступинское ОКБ №150 подобрало необходимый тип воздушного винта из имеющегося в наличии номенклатурного ряда лицензионных винтов ВИШ и разработало конструкторскую документацию на него с привязкой винта ВИШ-22Т под новый двигатель. Серийное производство ступинского авиакомбината осуществило изготовление этих винтов. Когда работы по исправлению выявленных недостатков были в основном завершены, СВ. Ильюшину предложили переделать штурмовик в одноместный вариант. Самолет срочно доработали - убрали кабину стрелка, а на ее место установили дополнительный топливный бак. В октябре 1940 г. всего за 10 дней В.К. Коккинаки провел заводские испытания, показавшие, что основные недостатки самолета были устранены. Модифицированный одноместный самолет при поддержке И.В. Сталина был запущен в серийное производство еще до начала Государственных испытаний. В январе 1941 г. одноместный Ил-2 поступил на Государственные испытания, которые подтвердили хорошую управляемость самолета, достаточный обзор и удобство наводки на цель при стрельбе и бомбометании с бреющего полета. В 1942г. штурмовик Ил -2 вновь переделывают в двухместный вариант с форсированным мотором АМ-38Ф и вышеупомянутым ступинским воздушным винтом обратной схемы АВ-5Л-158, поскольку истребителей прикрытия </w:t>
      </w:r>
      <w:proofErr w:type="gramStart"/>
      <w:r w:rsidRPr="008127F8">
        <w:rPr>
          <w:rFonts w:ascii="Times New Roman" w:hAnsi="Times New Roman"/>
          <w:color w:val="000000" w:themeColor="text1"/>
          <w:sz w:val="16"/>
          <w:szCs w:val="16"/>
        </w:rPr>
        <w:t>не хватало</w:t>
      </w:r>
      <w:proofErr w:type="gramEnd"/>
      <w:r w:rsidRPr="008127F8">
        <w:rPr>
          <w:rFonts w:ascii="Times New Roman" w:hAnsi="Times New Roman"/>
          <w:color w:val="000000" w:themeColor="text1"/>
          <w:sz w:val="16"/>
          <w:szCs w:val="16"/>
        </w:rPr>
        <w:t xml:space="preserve"> и одноместные штурмовики несли большие потери. Для защиты носовой части штурмовика в винтовом ОКБ -35 разработали специальный броневой колпак на цилиндр винта. Однако с внедрением его разработчикам винта АВ-5Л-158 пришлось проявить настойчивость, поскольку металлургический завод отказывался заниматься подобной «мелочью» и не принимал заказ на изготовление. Дважды конструктор Н.П. Кузьмичев и технолог И.А. Горбунов ездили к металлургам и сумели </w:t>
      </w:r>
      <w:proofErr w:type="gramStart"/>
      <w:r w:rsidRPr="008127F8">
        <w:rPr>
          <w:rFonts w:ascii="Times New Roman" w:hAnsi="Times New Roman"/>
          <w:color w:val="000000" w:themeColor="text1"/>
          <w:sz w:val="16"/>
          <w:szCs w:val="16"/>
        </w:rPr>
        <w:t>все таки</w:t>
      </w:r>
      <w:proofErr w:type="gramEnd"/>
      <w:r w:rsidRPr="008127F8">
        <w:rPr>
          <w:rFonts w:ascii="Times New Roman" w:hAnsi="Times New Roman"/>
          <w:color w:val="000000" w:themeColor="text1"/>
          <w:sz w:val="16"/>
          <w:szCs w:val="16"/>
        </w:rPr>
        <w:t xml:space="preserve"> убедить Главного инженера завода в важности проблемы и необходимости ее практического исполнения. Самолетостроительный завод, выпускающий Илы, был также расположен в Куйбышеве на одной территории с винтовым заводом № 35. Это облегчало транспортировку уже собранных винтов и их установку </w:t>
      </w:r>
      <w:proofErr w:type="gramStart"/>
      <w:r w:rsidRPr="008127F8">
        <w:rPr>
          <w:rFonts w:ascii="Times New Roman" w:hAnsi="Times New Roman"/>
          <w:color w:val="000000" w:themeColor="text1"/>
          <w:sz w:val="16"/>
          <w:szCs w:val="16"/>
        </w:rPr>
        <w:t>на штурмовик</w:t>
      </w:r>
      <w:proofErr w:type="gramEnd"/>
      <w:r w:rsidRPr="008127F8">
        <w:rPr>
          <w:rFonts w:ascii="Times New Roman" w:hAnsi="Times New Roman"/>
          <w:color w:val="000000" w:themeColor="text1"/>
          <w:sz w:val="16"/>
          <w:szCs w:val="16"/>
        </w:rPr>
        <w:t>, что способствовало наращиванию выпуска боевых самолетов до 40 машин в сутки. Это являлось рекордом даже для самой развитой авиапромышленной державы. Всего за годы войны было выпущено более 40 тыс. штурмовиков Ил-2 с учетом разработанных на заключительно этапе войны штурмовиков Ил-10, оснащенных воздушными винтами АВ-5Л-124, также спроектированными ждановским ОКБ (11415).</w:t>
      </w:r>
    </w:p>
    <w:p w14:paraId="5738F2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6A7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 на заводе № 156 в Москве организованы работы по проектированию и производству подвесных масло- и бензобаков, а также корпусов химических ВАЛ из целлюлозы.</w:t>
      </w:r>
    </w:p>
    <w:p w14:paraId="6620C9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7ГУ № 4 от 11.1942 г. планировалось выделить ОКБ Гулянского в самостоятельное ОКБ-3 5 НКАП в системе 7ГУ на существующей опытной базе. Однако ОКБ продолжило действовать при заводе № 156 (на 02.1943 г.).</w:t>
      </w:r>
    </w:p>
    <w:p w14:paraId="12DF25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297с от 15.05.1943 г. в связи с расширением работ по производству неметаллических агрегатов (литье из растительных волокон) на существующей базе ОКБ в составе 14 чел. создан самостоятельный завод № 225 НКАП.</w:t>
      </w:r>
    </w:p>
    <w:p w14:paraId="15B8AA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(1942-43 г.)- П.В. Гулянский (11982).</w:t>
      </w:r>
    </w:p>
    <w:p w14:paraId="686319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798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 начинается неуклонный рост авиавыпуска (см. прил, 15, а также график «Выпуск боевых самолётов»).</w:t>
      </w:r>
    </w:p>
    <w:p w14:paraId="35FE7605" w14:textId="77777777" w:rsidR="00D91C13" w:rsidRPr="008127F8" w:rsidRDefault="00D91C13"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15</w:t>
      </w:r>
    </w:p>
    <w:p w14:paraId="7E0266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боевых самолётов в годы Великой Отечественной войны (</w:t>
      </w:r>
      <w:r w:rsidRPr="008127F8">
        <w:rPr>
          <w:rFonts w:ascii="Times New Roman" w:hAnsi="Times New Roman"/>
          <w:iCs/>
          <w:color w:val="000000" w:themeColor="text1"/>
          <w:sz w:val="16"/>
          <w:szCs w:val="16"/>
        </w:rPr>
        <w:t>Симоно</w:t>
      </w:r>
      <w:r w:rsidRPr="008127F8">
        <w:rPr>
          <w:rFonts w:ascii="Times New Roman" w:hAnsi="Times New Roman"/>
          <w:color w:val="000000" w:themeColor="text1"/>
          <w:sz w:val="16"/>
          <w:szCs w:val="16"/>
        </w:rPr>
        <w:t>в</w:t>
      </w:r>
      <w:r w:rsidRPr="008127F8">
        <w:rPr>
          <w:rFonts w:ascii="Times New Roman" w:hAnsi="Times New Roman"/>
          <w:iCs/>
          <w:color w:val="000000" w:themeColor="text1"/>
          <w:sz w:val="16"/>
          <w:szCs w:val="16"/>
        </w:rPr>
        <w:t xml:space="preserve"> Н.С.</w:t>
      </w:r>
      <w:r w:rsidRPr="008127F8">
        <w:rPr>
          <w:rFonts w:ascii="Times New Roman" w:hAnsi="Times New Roman"/>
          <w:color w:val="000000" w:themeColor="text1"/>
          <w:sz w:val="16"/>
          <w:szCs w:val="16"/>
        </w:rPr>
        <w:t xml:space="preserve"> Указ. соч. С. 172)</w:t>
      </w:r>
    </w:p>
    <w:tbl>
      <w:tblPr>
        <w:tblW w:w="0" w:type="auto"/>
        <w:tblInd w:w="8" w:type="dxa"/>
        <w:tblLayout w:type="fixed"/>
        <w:tblCellMar>
          <w:left w:w="0" w:type="dxa"/>
          <w:right w:w="0" w:type="dxa"/>
        </w:tblCellMar>
        <w:tblLook w:val="0000" w:firstRow="0" w:lastRow="0" w:firstColumn="0" w:lastColumn="0" w:noHBand="0" w:noVBand="0"/>
      </w:tblPr>
      <w:tblGrid>
        <w:gridCol w:w="1416"/>
        <w:gridCol w:w="2770"/>
        <w:gridCol w:w="2635"/>
      </w:tblGrid>
      <w:tr w:rsidR="006F4095" w:rsidRPr="008127F8" w14:paraId="601D4D2E" w14:textId="77777777">
        <w:trPr>
          <w:trHeight w:val="230"/>
        </w:trPr>
        <w:tc>
          <w:tcPr>
            <w:tcW w:w="1416" w:type="dxa"/>
            <w:tcBorders>
              <w:top w:val="single" w:sz="6" w:space="0" w:color="auto"/>
              <w:left w:val="single" w:sz="6" w:space="0" w:color="auto"/>
              <w:bottom w:val="single" w:sz="6" w:space="0" w:color="auto"/>
              <w:right w:val="single" w:sz="6" w:space="0" w:color="auto"/>
            </w:tcBorders>
            <w:shd w:val="clear" w:color="auto" w:fill="FFFFFF"/>
          </w:tcPr>
          <w:p w14:paraId="3D11B8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BD053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Квартал</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322212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самолётов</w:t>
            </w:r>
          </w:p>
        </w:tc>
      </w:tr>
      <w:tr w:rsidR="006F4095" w:rsidRPr="008127F8" w14:paraId="5F05417B" w14:textId="77777777">
        <w:trPr>
          <w:trHeight w:val="221"/>
        </w:trPr>
        <w:tc>
          <w:tcPr>
            <w:tcW w:w="1416" w:type="dxa"/>
            <w:tcBorders>
              <w:top w:val="single" w:sz="6" w:space="0" w:color="auto"/>
              <w:left w:val="single" w:sz="6" w:space="0" w:color="auto"/>
              <w:bottom w:val="nil"/>
              <w:right w:val="single" w:sz="6" w:space="0" w:color="auto"/>
            </w:tcBorders>
            <w:shd w:val="clear" w:color="auto" w:fill="FFFFFF"/>
          </w:tcPr>
          <w:p w14:paraId="5F26C0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CB27E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16ABFC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2086</w:t>
            </w:r>
          </w:p>
        </w:tc>
      </w:tr>
      <w:tr w:rsidR="006F4095" w:rsidRPr="008127F8" w14:paraId="5A8B20D2" w14:textId="77777777">
        <w:trPr>
          <w:trHeight w:val="226"/>
        </w:trPr>
        <w:tc>
          <w:tcPr>
            <w:tcW w:w="1416" w:type="dxa"/>
            <w:tcBorders>
              <w:top w:val="nil"/>
              <w:left w:val="single" w:sz="6" w:space="0" w:color="auto"/>
              <w:bottom w:val="nil"/>
              <w:right w:val="single" w:sz="6" w:space="0" w:color="auto"/>
            </w:tcBorders>
            <w:shd w:val="clear" w:color="auto" w:fill="FFFFFF"/>
          </w:tcPr>
          <w:p w14:paraId="67AE00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95E88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AA3D7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2089</w:t>
            </w:r>
          </w:p>
        </w:tc>
      </w:tr>
      <w:tr w:rsidR="006F4095" w:rsidRPr="008127F8" w14:paraId="2D428E7C" w14:textId="77777777">
        <w:trPr>
          <w:trHeight w:val="221"/>
        </w:trPr>
        <w:tc>
          <w:tcPr>
            <w:tcW w:w="1416" w:type="dxa"/>
            <w:tcBorders>
              <w:top w:val="nil"/>
              <w:left w:val="single" w:sz="6" w:space="0" w:color="auto"/>
              <w:bottom w:val="nil"/>
              <w:right w:val="single" w:sz="6" w:space="0" w:color="auto"/>
            </w:tcBorders>
            <w:shd w:val="clear" w:color="auto" w:fill="FFFFFF"/>
          </w:tcPr>
          <w:p w14:paraId="2676F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DFCB9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2355CA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5535</w:t>
            </w:r>
          </w:p>
        </w:tc>
      </w:tr>
      <w:tr w:rsidR="006F4095" w:rsidRPr="008127F8" w14:paraId="2EA97FC2" w14:textId="77777777">
        <w:trPr>
          <w:trHeight w:val="221"/>
        </w:trPr>
        <w:tc>
          <w:tcPr>
            <w:tcW w:w="1416" w:type="dxa"/>
            <w:tcBorders>
              <w:top w:val="nil"/>
              <w:left w:val="single" w:sz="6" w:space="0" w:color="auto"/>
              <w:bottom w:val="single" w:sz="6" w:space="0" w:color="auto"/>
              <w:right w:val="single" w:sz="6" w:space="0" w:color="auto"/>
            </w:tcBorders>
            <w:shd w:val="clear" w:color="auto" w:fill="FFFFFF"/>
          </w:tcPr>
          <w:p w14:paraId="6D6106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E3BE7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1B33D6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2665</w:t>
            </w:r>
          </w:p>
        </w:tc>
      </w:tr>
      <w:tr w:rsidR="006F4095" w:rsidRPr="008127F8" w14:paraId="6A77B978" w14:textId="77777777">
        <w:trPr>
          <w:trHeight w:val="226"/>
        </w:trPr>
        <w:tc>
          <w:tcPr>
            <w:tcW w:w="1416" w:type="dxa"/>
            <w:tcBorders>
              <w:top w:val="single" w:sz="6" w:space="0" w:color="auto"/>
              <w:left w:val="single" w:sz="6" w:space="0" w:color="auto"/>
              <w:bottom w:val="nil"/>
              <w:right w:val="single" w:sz="6" w:space="0" w:color="auto"/>
            </w:tcBorders>
            <w:shd w:val="clear" w:color="auto" w:fill="FFFFFF"/>
          </w:tcPr>
          <w:p w14:paraId="379706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7F176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455F0C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3301</w:t>
            </w:r>
          </w:p>
        </w:tc>
      </w:tr>
      <w:tr w:rsidR="006F4095" w:rsidRPr="008127F8" w14:paraId="51B2C6A9" w14:textId="77777777">
        <w:trPr>
          <w:trHeight w:val="221"/>
        </w:trPr>
        <w:tc>
          <w:tcPr>
            <w:tcW w:w="1416" w:type="dxa"/>
            <w:tcBorders>
              <w:top w:val="nil"/>
              <w:left w:val="single" w:sz="6" w:space="0" w:color="auto"/>
              <w:bottom w:val="nil"/>
              <w:right w:val="single" w:sz="6" w:space="0" w:color="auto"/>
            </w:tcBorders>
            <w:shd w:val="clear" w:color="auto" w:fill="FFFFFF"/>
          </w:tcPr>
          <w:p w14:paraId="0E132D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0C559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E0645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4967</w:t>
            </w:r>
          </w:p>
        </w:tc>
      </w:tr>
      <w:tr w:rsidR="006F4095" w:rsidRPr="008127F8" w14:paraId="18E06987" w14:textId="77777777">
        <w:trPr>
          <w:trHeight w:val="221"/>
        </w:trPr>
        <w:tc>
          <w:tcPr>
            <w:tcW w:w="1416" w:type="dxa"/>
            <w:tcBorders>
              <w:top w:val="nil"/>
              <w:left w:val="single" w:sz="6" w:space="0" w:color="auto"/>
              <w:bottom w:val="nil"/>
              <w:right w:val="single" w:sz="6" w:space="0" w:color="auto"/>
            </w:tcBorders>
            <w:shd w:val="clear" w:color="auto" w:fill="FFFFFF"/>
          </w:tcPr>
          <w:p w14:paraId="527C35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020A71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65C385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6219</w:t>
            </w:r>
          </w:p>
        </w:tc>
      </w:tr>
      <w:tr w:rsidR="006F4095" w:rsidRPr="008127F8" w14:paraId="761D58FE" w14:textId="77777777">
        <w:trPr>
          <w:trHeight w:val="226"/>
        </w:trPr>
        <w:tc>
          <w:tcPr>
            <w:tcW w:w="1416" w:type="dxa"/>
            <w:tcBorders>
              <w:top w:val="nil"/>
              <w:left w:val="single" w:sz="6" w:space="0" w:color="auto"/>
              <w:bottom w:val="single" w:sz="6" w:space="0" w:color="auto"/>
              <w:right w:val="single" w:sz="6" w:space="0" w:color="auto"/>
            </w:tcBorders>
            <w:shd w:val="clear" w:color="auto" w:fill="FFFFFF"/>
          </w:tcPr>
          <w:p w14:paraId="743D2C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9E59B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2891A2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7194</w:t>
            </w:r>
          </w:p>
        </w:tc>
      </w:tr>
      <w:tr w:rsidR="006F4095" w:rsidRPr="008127F8" w14:paraId="3BA8C85A" w14:textId="77777777">
        <w:trPr>
          <w:trHeight w:val="216"/>
        </w:trPr>
        <w:tc>
          <w:tcPr>
            <w:tcW w:w="1416" w:type="dxa"/>
            <w:tcBorders>
              <w:top w:val="single" w:sz="6" w:space="0" w:color="auto"/>
              <w:left w:val="single" w:sz="6" w:space="0" w:color="auto"/>
              <w:bottom w:val="nil"/>
              <w:right w:val="single" w:sz="6" w:space="0" w:color="auto"/>
            </w:tcBorders>
            <w:shd w:val="clear" w:color="auto" w:fill="FFFFFF"/>
          </w:tcPr>
          <w:p w14:paraId="5EEBFF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EC091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C8A2B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6372</w:t>
            </w:r>
          </w:p>
        </w:tc>
      </w:tr>
      <w:tr w:rsidR="006F4095" w:rsidRPr="008127F8" w14:paraId="38E4EA7D" w14:textId="77777777">
        <w:trPr>
          <w:trHeight w:val="226"/>
        </w:trPr>
        <w:tc>
          <w:tcPr>
            <w:tcW w:w="1416" w:type="dxa"/>
            <w:tcBorders>
              <w:top w:val="nil"/>
              <w:left w:val="single" w:sz="6" w:space="0" w:color="auto"/>
              <w:bottom w:val="nil"/>
              <w:right w:val="single" w:sz="6" w:space="0" w:color="auto"/>
            </w:tcBorders>
            <w:shd w:val="clear" w:color="auto" w:fill="FFFFFF"/>
          </w:tcPr>
          <w:p w14:paraId="551B09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094FEC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A242D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7369</w:t>
            </w:r>
          </w:p>
        </w:tc>
      </w:tr>
      <w:tr w:rsidR="006F4095" w:rsidRPr="008127F8" w14:paraId="0F52FB31" w14:textId="77777777">
        <w:trPr>
          <w:trHeight w:val="221"/>
        </w:trPr>
        <w:tc>
          <w:tcPr>
            <w:tcW w:w="1416" w:type="dxa"/>
            <w:tcBorders>
              <w:top w:val="nil"/>
              <w:left w:val="single" w:sz="6" w:space="0" w:color="auto"/>
              <w:bottom w:val="nil"/>
              <w:right w:val="single" w:sz="6" w:space="0" w:color="auto"/>
            </w:tcBorders>
            <w:shd w:val="clear" w:color="auto" w:fill="FFFFFF"/>
          </w:tcPr>
          <w:p w14:paraId="410495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7E926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6860A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8050</w:t>
            </w:r>
          </w:p>
        </w:tc>
      </w:tr>
      <w:tr w:rsidR="006F4095" w:rsidRPr="008127F8" w14:paraId="3EE11CB4" w14:textId="77777777">
        <w:trPr>
          <w:trHeight w:val="221"/>
        </w:trPr>
        <w:tc>
          <w:tcPr>
            <w:tcW w:w="1416" w:type="dxa"/>
            <w:tcBorders>
              <w:top w:val="nil"/>
              <w:left w:val="single" w:sz="6" w:space="0" w:color="auto"/>
              <w:bottom w:val="single" w:sz="6" w:space="0" w:color="auto"/>
              <w:right w:val="single" w:sz="6" w:space="0" w:color="auto"/>
            </w:tcBorders>
            <w:shd w:val="clear" w:color="auto" w:fill="FFFFFF"/>
          </w:tcPr>
          <w:p w14:paraId="7D7B30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7A01D8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33D2F3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8050</w:t>
            </w:r>
          </w:p>
        </w:tc>
      </w:tr>
      <w:tr w:rsidR="006F4095" w:rsidRPr="008127F8" w14:paraId="1732E599" w14:textId="77777777">
        <w:trPr>
          <w:trHeight w:val="221"/>
        </w:trPr>
        <w:tc>
          <w:tcPr>
            <w:tcW w:w="1416" w:type="dxa"/>
            <w:tcBorders>
              <w:top w:val="single" w:sz="6" w:space="0" w:color="auto"/>
              <w:left w:val="single" w:sz="6" w:space="0" w:color="auto"/>
              <w:bottom w:val="nil"/>
              <w:right w:val="single" w:sz="6" w:space="0" w:color="auto"/>
            </w:tcBorders>
            <w:shd w:val="clear" w:color="auto" w:fill="FFFFFF"/>
          </w:tcPr>
          <w:p w14:paraId="5D16F5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54D77C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69DB25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8150</w:t>
            </w:r>
          </w:p>
        </w:tc>
      </w:tr>
      <w:tr w:rsidR="006F4095" w:rsidRPr="008127F8" w14:paraId="53302F2A" w14:textId="77777777">
        <w:trPr>
          <w:trHeight w:val="226"/>
        </w:trPr>
        <w:tc>
          <w:tcPr>
            <w:tcW w:w="1416" w:type="dxa"/>
            <w:tcBorders>
              <w:top w:val="nil"/>
              <w:left w:val="single" w:sz="6" w:space="0" w:color="auto"/>
              <w:bottom w:val="nil"/>
              <w:right w:val="single" w:sz="6" w:space="0" w:color="auto"/>
            </w:tcBorders>
            <w:shd w:val="clear" w:color="auto" w:fill="FFFFFF"/>
          </w:tcPr>
          <w:p w14:paraId="169EE4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8A7DB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0AA411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8150</w:t>
            </w:r>
          </w:p>
        </w:tc>
      </w:tr>
      <w:tr w:rsidR="006F4095" w:rsidRPr="008127F8" w14:paraId="662E0DD2" w14:textId="77777777">
        <w:trPr>
          <w:trHeight w:val="221"/>
        </w:trPr>
        <w:tc>
          <w:tcPr>
            <w:tcW w:w="1416" w:type="dxa"/>
            <w:tcBorders>
              <w:top w:val="nil"/>
              <w:left w:val="single" w:sz="6" w:space="0" w:color="auto"/>
              <w:bottom w:val="nil"/>
              <w:right w:val="single" w:sz="6" w:space="0" w:color="auto"/>
            </w:tcBorders>
            <w:shd w:val="clear" w:color="auto" w:fill="FFFFFF"/>
          </w:tcPr>
          <w:p w14:paraId="7A8E44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EEAF3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67F21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8455</w:t>
            </w:r>
          </w:p>
        </w:tc>
      </w:tr>
      <w:tr w:rsidR="006F4095" w:rsidRPr="008127F8" w14:paraId="180A8F99" w14:textId="77777777">
        <w:trPr>
          <w:trHeight w:val="221"/>
        </w:trPr>
        <w:tc>
          <w:tcPr>
            <w:tcW w:w="1416" w:type="dxa"/>
            <w:tcBorders>
              <w:top w:val="nil"/>
              <w:left w:val="single" w:sz="6" w:space="0" w:color="auto"/>
              <w:bottom w:val="single" w:sz="6" w:space="0" w:color="auto"/>
              <w:right w:val="single" w:sz="6" w:space="0" w:color="auto"/>
            </w:tcBorders>
            <w:shd w:val="clear" w:color="auto" w:fill="FFFFFF"/>
          </w:tcPr>
          <w:p w14:paraId="0FD512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7C3835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137203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8455</w:t>
            </w:r>
          </w:p>
        </w:tc>
      </w:tr>
      <w:tr w:rsidR="006F4095" w:rsidRPr="008127F8" w14:paraId="1719A9CC" w14:textId="77777777">
        <w:trPr>
          <w:trHeight w:val="221"/>
        </w:trPr>
        <w:tc>
          <w:tcPr>
            <w:tcW w:w="1416" w:type="dxa"/>
            <w:tcBorders>
              <w:top w:val="single" w:sz="6" w:space="0" w:color="auto"/>
              <w:left w:val="single" w:sz="6" w:space="0" w:color="auto"/>
              <w:bottom w:val="nil"/>
              <w:right w:val="single" w:sz="6" w:space="0" w:color="auto"/>
            </w:tcBorders>
            <w:shd w:val="clear" w:color="auto" w:fill="FFFFFF"/>
          </w:tcPr>
          <w:p w14:paraId="6833AC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216A0B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C384E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8209</w:t>
            </w:r>
          </w:p>
        </w:tc>
      </w:tr>
      <w:tr w:rsidR="006F4095" w:rsidRPr="008127F8" w14:paraId="0D8ECBDA" w14:textId="77777777">
        <w:trPr>
          <w:trHeight w:val="221"/>
        </w:trPr>
        <w:tc>
          <w:tcPr>
            <w:tcW w:w="1416" w:type="dxa"/>
            <w:tcBorders>
              <w:top w:val="nil"/>
              <w:left w:val="single" w:sz="6" w:space="0" w:color="auto"/>
              <w:bottom w:val="nil"/>
              <w:right w:val="single" w:sz="6" w:space="0" w:color="auto"/>
            </w:tcBorders>
            <w:shd w:val="clear" w:color="auto" w:fill="FFFFFF"/>
          </w:tcPr>
          <w:p w14:paraId="4E93A2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0DEDB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09209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8209</w:t>
            </w:r>
          </w:p>
        </w:tc>
      </w:tr>
      <w:tr w:rsidR="006F4095" w:rsidRPr="008127F8" w14:paraId="46728F8E" w14:textId="77777777">
        <w:trPr>
          <w:trHeight w:val="226"/>
        </w:trPr>
        <w:tc>
          <w:tcPr>
            <w:tcW w:w="1416" w:type="dxa"/>
            <w:tcBorders>
              <w:top w:val="nil"/>
              <w:left w:val="single" w:sz="6" w:space="0" w:color="auto"/>
              <w:bottom w:val="nil"/>
              <w:right w:val="single" w:sz="6" w:space="0" w:color="auto"/>
            </w:tcBorders>
            <w:shd w:val="clear" w:color="auto" w:fill="FFFFFF"/>
          </w:tcPr>
          <w:p w14:paraId="3A2F1D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C8C61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08201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2241</w:t>
            </w:r>
          </w:p>
        </w:tc>
      </w:tr>
      <w:tr w:rsidR="006F4095" w:rsidRPr="008127F8" w14:paraId="7C6EF712" w14:textId="77777777">
        <w:trPr>
          <w:trHeight w:val="240"/>
        </w:trPr>
        <w:tc>
          <w:tcPr>
            <w:tcW w:w="1416" w:type="dxa"/>
            <w:tcBorders>
              <w:top w:val="nil"/>
              <w:left w:val="single" w:sz="6" w:space="0" w:color="auto"/>
              <w:bottom w:val="single" w:sz="6" w:space="0" w:color="auto"/>
              <w:right w:val="single" w:sz="6" w:space="0" w:color="auto"/>
            </w:tcBorders>
            <w:shd w:val="clear" w:color="auto" w:fill="FFFFFF"/>
          </w:tcPr>
          <w:p w14:paraId="33FA0D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AE5F7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034801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2241</w:t>
            </w:r>
          </w:p>
        </w:tc>
      </w:tr>
    </w:tbl>
    <w:p w14:paraId="480970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(12011).</w:t>
      </w:r>
    </w:p>
    <w:p w14:paraId="2D36F5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600FA" w14:textId="77777777" w:rsidR="0005046D" w:rsidRPr="008127F8" w:rsidRDefault="0005046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 начала 1942 г. моторы М-71 поч</w:t>
      </w:r>
      <w:r w:rsidRPr="008127F8">
        <w:rPr>
          <w:rFonts w:ascii="Times New Roman" w:cs="Times New Roman"/>
          <w:color w:val="000000" w:themeColor="text1"/>
          <w:spacing w:val="0"/>
        </w:rPr>
        <w:softHyphen/>
        <w:t>ти ежемесячно ставились на 100-часовые стендовые госиспытания, но долгое время их не могли закончить из-за поломок коленвапа, клапанов, трещин гильз цилиндров и т.д. Карбюраторы АК-71БП также работали неудовлетворительно. Но всё же 31 августа 1942 г. одному из моторов М-71 удалось закончить 100-часовое испытание, правда, с заменой клапана всасывания 13-го цилиндра и ручной регулировкой высотного корректора в про</w:t>
      </w:r>
      <w:r w:rsidRPr="008127F8">
        <w:rPr>
          <w:rFonts w:ascii="Times New Roman" w:cs="Times New Roman"/>
          <w:color w:val="000000" w:themeColor="text1"/>
          <w:spacing w:val="0"/>
        </w:rPr>
        <w:softHyphen/>
        <w:t>цессе испытаний. КБ Швецова приступило к работам по форсированию М-71 до взлёт</w:t>
      </w:r>
      <w:r w:rsidRPr="008127F8">
        <w:rPr>
          <w:rFonts w:ascii="Times New Roman" w:cs="Times New Roman"/>
          <w:color w:val="000000" w:themeColor="text1"/>
          <w:spacing w:val="0"/>
        </w:rPr>
        <w:softHyphen/>
        <w:t>ной мощности 2200 л.с. и по установке на него насоса непосредственного впрыска.</w:t>
      </w:r>
    </w:p>
    <w:p w14:paraId="3A1054DB" w14:textId="77777777" w:rsidR="0005046D" w:rsidRPr="008127F8" w:rsidRDefault="0005046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Казалось, что все эти данные получены как раз вовремя: запускай «образцовый» И-185 с М-71 в серию, и к весне 1943 г. можно будет иметь в строю достойный ответ на пос</w:t>
      </w:r>
      <w:r w:rsidRPr="008127F8">
        <w:rPr>
          <w:rFonts w:ascii="Times New Roman" w:cs="Times New Roman"/>
          <w:color w:val="000000" w:themeColor="text1"/>
          <w:spacing w:val="0"/>
        </w:rPr>
        <w:softHyphen/>
        <w:t>леднее творение Вилли Мессершмитта. Сторонников такой точки зрения оказалось не</w:t>
      </w:r>
      <w:r w:rsidRPr="008127F8">
        <w:rPr>
          <w:rFonts w:ascii="Times New Roman" w:cs="Times New Roman"/>
          <w:color w:val="000000" w:themeColor="text1"/>
          <w:spacing w:val="0"/>
        </w:rPr>
        <w:softHyphen/>
        <w:t>мало, и в наркомат авиапромышленности опять с разных сторон пошли соответствующие предложения и требования.</w:t>
      </w:r>
    </w:p>
    <w:p w14:paraId="1F942DD4" w14:textId="77777777" w:rsidR="0005046D" w:rsidRPr="008127F8" w:rsidRDefault="0005046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Однако имелось и одно «но», и весьма существенное. Помимо улучшения лётных данных, августовскими и последующими постановлениями ГКО авиапром обязывался существенно увеличить количественный выпуск истребителей, даже в ущерб другим типам самолётов. Свободных же мощностей давно уже не было. Поэтому организовать серийный выпуск нового истребителя и нового мотора можно было, только сняв с про</w:t>
      </w:r>
      <w:r w:rsidRPr="008127F8">
        <w:rPr>
          <w:rFonts w:ascii="Times New Roman" w:cs="Times New Roman"/>
          <w:color w:val="000000" w:themeColor="text1"/>
          <w:spacing w:val="0"/>
        </w:rPr>
        <w:softHyphen/>
        <w:t>изводства какие-то другие самолёты и моторы, притом с неизбежным провалом общей сдачи. Понятно, что выпускать мотор М-71 мог только завод № 19, значит, нужно сни</w:t>
      </w:r>
      <w:r w:rsidRPr="008127F8">
        <w:rPr>
          <w:rFonts w:ascii="Times New Roman" w:cs="Times New Roman"/>
          <w:color w:val="000000" w:themeColor="text1"/>
          <w:spacing w:val="0"/>
        </w:rPr>
        <w:softHyphen/>
        <w:t xml:space="preserve">мать с производства недавно освоенный и ещё далеко не исчерпавший всех резервов М-82, </w:t>
      </w:r>
      <w:proofErr w:type="gramStart"/>
      <w:r w:rsidRPr="008127F8">
        <w:rPr>
          <w:rFonts w:ascii="Times New Roman" w:cs="Times New Roman"/>
          <w:color w:val="000000" w:themeColor="text1"/>
          <w:spacing w:val="0"/>
        </w:rPr>
        <w:t>а следовательно</w:t>
      </w:r>
      <w:proofErr w:type="gramEnd"/>
      <w:r w:rsidRPr="008127F8">
        <w:rPr>
          <w:rFonts w:ascii="Times New Roman" w:cs="Times New Roman"/>
          <w:color w:val="000000" w:themeColor="text1"/>
          <w:spacing w:val="0"/>
        </w:rPr>
        <w:t xml:space="preserve"> и истребитель Ла-5. И это в ситуации, когда в модернизации больше нуждались истребители «Як» и жидкостные моторы.</w:t>
      </w:r>
    </w:p>
    <w:p w14:paraId="12AED072" w14:textId="77777777" w:rsidR="0005046D" w:rsidRPr="008127F8" w:rsidRDefault="0005046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Решая этот непростой вопрос, руководство НКАП опять предпочло иметь «синицу в ру</w:t>
      </w:r>
      <w:r w:rsidRPr="008127F8">
        <w:rPr>
          <w:rFonts w:ascii="Times New Roman" w:cs="Times New Roman"/>
          <w:color w:val="000000" w:themeColor="text1"/>
          <w:spacing w:val="0"/>
        </w:rPr>
        <w:softHyphen/>
        <w:t>ке, а не журавля в небе». На помощь С.А. Лавочкину в улучшении лётных данных серий</w:t>
      </w:r>
      <w:r w:rsidRPr="008127F8">
        <w:rPr>
          <w:rFonts w:ascii="Times New Roman" w:cs="Times New Roman"/>
          <w:color w:val="000000" w:themeColor="text1"/>
          <w:spacing w:val="0"/>
        </w:rPr>
        <w:softHyphen/>
        <w:t>ного Ла-5 привлекли как отраслевые институты — ЦАГИ, ЛИИ, ЦИАМ, так и завод № 19 (15813).</w:t>
      </w:r>
    </w:p>
    <w:p w14:paraId="577F6241" w14:textId="77777777" w:rsidR="0005046D" w:rsidRPr="008127F8" w:rsidRDefault="0005046D" w:rsidP="001E0A84">
      <w:pPr>
        <w:pStyle w:val="27"/>
        <w:shd w:val="clear" w:color="auto" w:fill="auto"/>
        <w:spacing w:after="0" w:line="240" w:lineRule="auto"/>
        <w:ind w:firstLine="0"/>
        <w:rPr>
          <w:rFonts w:ascii="Times New Roman" w:cs="Times New Roman"/>
          <w:color w:val="000000" w:themeColor="text1"/>
          <w:spacing w:val="0"/>
        </w:rPr>
      </w:pPr>
    </w:p>
    <w:p w14:paraId="4CE944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был подготовлен доклад начальника Главного Управления ГВФ Молокова в СНК СССР об итогах работы ГВФ за 1941 год, согласно которому НИИ ГВФ в первом полугодии 1941 года «осуществлял свою работу в направлении дальнейшего улучшения технической эксплуатации самолет-моторного парка на воздушных линиях ГВФ, рационального использования материальной части и внедрения различных видов усовершенствования аппаратуры, оборудования, используемых при эксплуатации» (РГАЭ. Ф. 9527. Оп. 1. Д. 1724. Л. 34.) (11642).</w:t>
      </w:r>
    </w:p>
    <w:p w14:paraId="2BEF60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B41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были подготовлены «Основные показатели работы Управления Полярной авиации Главсевморпути (1941 год)», согласно которому там также проводились НИР, связанные с авиацией. Например, уточненный план централизованных расходов управления полярной авиации на 1941 год, подписанный ВРИО замначальника Управления Полярной авиации Аникиным и начальником планового отдела Нуриком, предполагал из общей сумы 1800 тысяч рублей потратить 400 тысяч рублей на опытное самолетостроение (РГАЭ. Ф. 9570. Оп. 2. Д. 1220. Л. 18.) (11672).</w:t>
      </w:r>
    </w:p>
    <w:p w14:paraId="7718C5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F5B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завод № 32 разработал новую турель КТК-1 с УБТ (3404, 11).</w:t>
      </w:r>
    </w:p>
    <w:p w14:paraId="2711C9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B23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года на территории, занятой до эвакуации </w:t>
      </w:r>
      <w:proofErr w:type="gramStart"/>
      <w:r w:rsidRPr="008127F8">
        <w:rPr>
          <w:rFonts w:ascii="Times New Roman" w:hAnsi="Times New Roman"/>
          <w:color w:val="000000" w:themeColor="text1"/>
          <w:sz w:val="16"/>
          <w:szCs w:val="16"/>
        </w:rPr>
        <w:t>заводом № 266</w:t>
      </w:r>
      <w:proofErr w:type="gramEnd"/>
      <w:r w:rsidRPr="008127F8">
        <w:rPr>
          <w:rFonts w:ascii="Times New Roman" w:hAnsi="Times New Roman"/>
          <w:color w:val="000000" w:themeColor="text1"/>
          <w:sz w:val="16"/>
          <w:szCs w:val="16"/>
        </w:rPr>
        <w:t xml:space="preserve"> были организованы мастерские по ремонту самолетных генераторов и регуляторных коробок к ним.</w:t>
      </w:r>
    </w:p>
    <w:p w14:paraId="3F08AA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этом же году мастерские были подчинены заводу № 266 под названием “Филиал № 3”.</w:t>
      </w:r>
    </w:p>
    <w:p w14:paraId="4A7F43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1942 года филиал начал выпускать самолетные генераторы, регуляторные коробки и катушечные пускатели.</w:t>
      </w:r>
    </w:p>
    <w:p w14:paraId="0F5559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1943 года НКАП был издан приказ за № 198 об организации на базе Филиала № 3 завода № 140.</w:t>
      </w:r>
    </w:p>
    <w:p w14:paraId="5851F9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характеру производства завод должен быть отнесен к агрегатным заводам с большой номенклатурой изделий, выпускаемых в основном мелкими сериями.</w:t>
      </w:r>
    </w:p>
    <w:p w14:paraId="5BE771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Е-58, ул. Ибранимова, д. 31 (9506).</w:t>
      </w:r>
    </w:p>
    <w:p w14:paraId="58F736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AB0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1942-го А.С.Я. предложил И.В.Сталину построить в массовых количествах небольшой транспортный самолет, простой как "фанерный ящик", доступный любому летчику и имеющий достаточные внутренние объемы для перевозки габаритных грузов. Необходимость подобной транспортной машины для перевозок в интересах действующей армии оценивалась достаточно высоко, поэтому Иосиф Виссарионович одобрительно отнесся к затее Александра Сергеевича.</w:t>
      </w:r>
    </w:p>
    <w:p w14:paraId="2C93C5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получивший обозначение Як-6, спроектировали и построили в двух экземплярах всего за два месяца на заводе №47 в Оренбурге. Сразу по готовности одна машина перелетела в Москву, где, в присутствии высокого руководства, летчик-испытатель Г.М.Шиянов провел ее летные испытания.</w:t>
      </w:r>
    </w:p>
    <w:p w14:paraId="3C1739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Немедленно был составлен отчет, в котором утверждалось, что самолет великолепен, проще У-2, решает своим появлением острую проблему перевозки габаритных грузов в условиях фронта, поэтому необходимо построить таких замечательных аппаратов не менее 10000. Вечером Сталин, одобрил, представленный документ, и Як-6 пошел в производство сразу на трех заводах (9653).</w:t>
      </w:r>
    </w:p>
    <w:p w14:paraId="61F8B9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Дальше события развивались следующим образом. Як-6 оказался не столь уж простым в пилотировании, рядовые летчики на нем частенько бились. Связано это было даже не с какими-либо недостатками Як-6, а скорее с тем, что при перевозке различных грузов менялась центровка, а с ней, в значительной степени, и летные особенности машины.</w:t>
      </w:r>
    </w:p>
    <w:p w14:paraId="1DFFBA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самолет УТ-2 с производства завода № 47 снимается, завод переключается на производство самолета ЯК-1, но в феврале 1942 года завод вновь возвращается на выпуск самолета УТ-2. Из полученного задела от завода № 292 завод собрал 2 самолета ЯК-1. 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769D62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w:t>
      </w:r>
    </w:p>
    <w:p w14:paraId="0ED94E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w:t>
      </w:r>
    </w:p>
    <w:p w14:paraId="41B4AB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4B27981F" w14:textId="77777777" w:rsidR="00D91C13" w:rsidRPr="008127F8" w:rsidRDefault="00D91C13"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w:t>
      </w:r>
    </w:p>
    <w:p w14:paraId="4903B60D" w14:textId="77777777" w:rsidR="00D91C13" w:rsidRPr="008127F8" w:rsidRDefault="00D91C13"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Дизельный (с двумя дизельмоторами)</w:t>
      </w:r>
    </w:p>
    <w:p w14:paraId="2E6BF3EE" w14:textId="77777777" w:rsidR="00D91C13" w:rsidRPr="008127F8" w:rsidRDefault="00D91C13"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Модернизированный</w:t>
      </w:r>
    </w:p>
    <w:p w14:paraId="7E79B7D1" w14:textId="77777777" w:rsidR="00D91C13" w:rsidRPr="008127F8" w:rsidRDefault="00D91C13"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1E8DBC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3E7C79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485DA7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4BE15B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 Шевченко А.М.</w:t>
      </w:r>
    </w:p>
    <w:p w14:paraId="1F7C64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Оренбург, п/я 936</w:t>
      </w:r>
    </w:p>
    <w:p w14:paraId="0215F9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Производственный профиль – реактивная техника</w:t>
      </w:r>
    </w:p>
    <w:p w14:paraId="200B83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4C1B4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F16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массовые поломки лыж как Як-1, так и ЛаГГ-3, Як-7, МиГ-3, Ил-2 заставили ЦАГИ провести исследования проблемы. Оказалось, что фактические нагрузки на лыжи не соответствовали существовавшим нормам прочности, по которым рассчитывали лыжное шасси. Требование уборки лыжного шасси вызвало изменение конструкции лыж. Они стали короче и шире, а нагрузка на них увеличилась до 1100- 1200 кг/см2 вместо 700-800 кг/см2. При этом кабан лыжи располагался асимметрично, что при посадке с креном приводило к многократному увеличению момента выворачивающего лыжу, по сравнению с центральным расположением нагрузки, как это рекомендовали нормы прочности. Норма поглощаемой работы лыжным шасси была принята равной половине работы, поглощаемой колесным шасси, так как считалось, что оставшаяся половина компенсируется снежным покровом. Это было справедливо только для не укатанных аэродромов. Практика показала, что на укатанных аэродромах посадка на лыжах была более жесткой, толчки резче и сильнее. Опыт эксплуатации потребовал пересмотра норм прочности лыжного шасси.</w:t>
      </w:r>
    </w:p>
    <w:p w14:paraId="7D4FA2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Проблемы возникали и при эксплуатации лыж в частях. По свидетельству Б.Н. Еремина, командира эскадрильи 296-го иап, а впоследствии командира 31-го гиап, "иногда в бою от резких эволюций машины лыжи сходили с замков, и самолет забрасывало, что делало его почти неуправляемым. Много хлопот было у техников, поскольку при посадке кронштейны, на которых крепились лыжи, быстро выходили из строя". Ночами, при сильных морозах, при отсутствии запасных частей и инструментов техники снимали лыжи, заваривали трещины во втулках кабанов лыж. Однако это не гарантировало исправной работы, и после первой же посадки трещины в них могли появиться опять. Отчасти здесь была и вина завода. Ограниченный сроками, он был вынужден доводить лыжное шасси по ходу производства. К моменту выявления причин поломок и отработки кинематики лыжного шасси уже был выпущен 581 комплекте многочисленными отличиями друг от друга (12048).</w:t>
      </w:r>
    </w:p>
    <w:p w14:paraId="7324FB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4D249"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дефект шасси Як-7 - разрушение пневматиков хвостового колеса размером 255x100 мм из-за повы</w:t>
      </w:r>
      <w:r w:rsidRPr="008A2E5A">
        <w:rPr>
          <w:rFonts w:ascii="Times New Roman" w:hAnsi="Times New Roman"/>
          <w:color w:val="0070C0"/>
          <w:sz w:val="16"/>
          <w:szCs w:val="16"/>
        </w:rPr>
        <w:softHyphen/>
        <w:t>шенных нагрузок, - устранил на своих самолетах техни</w:t>
      </w:r>
      <w:r w:rsidRPr="008A2E5A">
        <w:rPr>
          <w:rFonts w:ascii="Times New Roman" w:hAnsi="Times New Roman"/>
          <w:color w:val="0070C0"/>
          <w:sz w:val="16"/>
          <w:szCs w:val="16"/>
        </w:rPr>
        <w:softHyphen/>
        <w:t>ческий состав 2-го зап (Сейма), установив хвостовые ко</w:t>
      </w:r>
      <w:r w:rsidRPr="008A2E5A">
        <w:rPr>
          <w:rFonts w:ascii="Times New Roman" w:hAnsi="Times New Roman"/>
          <w:color w:val="0070C0"/>
          <w:sz w:val="16"/>
          <w:szCs w:val="16"/>
        </w:rPr>
        <w:softHyphen/>
        <w:t>леса увеличенного размера 300x125 мм, взятые с истре</w:t>
      </w:r>
      <w:r w:rsidRPr="008A2E5A">
        <w:rPr>
          <w:rFonts w:ascii="Times New Roman" w:hAnsi="Times New Roman"/>
          <w:color w:val="0070C0"/>
          <w:sz w:val="16"/>
          <w:szCs w:val="16"/>
        </w:rPr>
        <w:softHyphen/>
        <w:t>бителя ЛаГГ-3 (2-й зап переучивал летчиков на этот тип самолета). Практика показала надежную работу нового шасси, и это улучшение конструкции внедрили в серий</w:t>
      </w:r>
      <w:r w:rsidRPr="008A2E5A">
        <w:rPr>
          <w:rFonts w:ascii="Times New Roman" w:hAnsi="Times New Roman"/>
          <w:color w:val="0070C0"/>
          <w:sz w:val="16"/>
          <w:szCs w:val="16"/>
        </w:rPr>
        <w:softHyphen/>
        <w:t>ное производство (23381).</w:t>
      </w:r>
    </w:p>
    <w:p w14:paraId="46F418A1" w14:textId="77777777" w:rsidR="00613E20" w:rsidRPr="008A2E5A" w:rsidRDefault="00613E20" w:rsidP="00613E20">
      <w:pPr>
        <w:spacing w:after="0" w:line="240" w:lineRule="auto"/>
        <w:jc w:val="both"/>
        <w:rPr>
          <w:rFonts w:ascii="Times New Roman" w:hAnsi="Times New Roman"/>
          <w:color w:val="0070C0"/>
          <w:sz w:val="16"/>
          <w:szCs w:val="16"/>
        </w:rPr>
      </w:pPr>
    </w:p>
    <w:p w14:paraId="1D61B7B9"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года по инициативе НИИ ВВС и ОКБ А. С. Яковлева мощность двигателя увеличили за счет установки нагнетателя. В результате мощность двигателя у земли возросла с 1020 л.с. до 1210 л.с., а благодаря снижению рабочей высоты номинальная мощность увеличилась с 1100 л.с. (2000 м) до 1260 л.с. (700 м). Рост мощности был очень заметен, но он потребовал усилить некоторые детали двигателя, в первую очередь поршневую группу. Самолет ЛаГГ-3 с двигателем М-105ПФ развивал максимальную скорость на 25–28 км/ч больше, чем с двигателем М-105П. Другой возможностью увеличить энерговооруженность самолета была установка на него звездообразного двигателя воздушного охлаждения М-82 конструкции Швецова. Но установка этого двигателя, выполненного по схеме «двойная звезда», на ЛаГГ-3 представляла собой серьезную проблему. Но именно этот вариант увенчался полным успехом и привел к появлению удачного истребителя Ла-5 (23548).</w:t>
      </w:r>
    </w:p>
    <w:p w14:paraId="48D208E0" w14:textId="77777777" w:rsidR="00613E20" w:rsidRPr="008A2E5A" w:rsidRDefault="00613E20" w:rsidP="00613E20">
      <w:pPr>
        <w:spacing w:after="0" w:line="240" w:lineRule="auto"/>
        <w:jc w:val="both"/>
        <w:rPr>
          <w:rFonts w:ascii="Times New Roman" w:hAnsi="Times New Roman"/>
          <w:color w:val="0070C0"/>
          <w:sz w:val="16"/>
          <w:szCs w:val="16"/>
        </w:rPr>
      </w:pPr>
    </w:p>
    <w:p w14:paraId="6CC76E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начало 1942 состав предприятий НКАП отражён в таблице приложения 3. При анализе этих данных нельзя упу</w:t>
      </w:r>
      <w:r w:rsidRPr="008127F8">
        <w:rPr>
          <w:rFonts w:ascii="Times New Roman" w:hAnsi="Times New Roman"/>
          <w:color w:val="000000" w:themeColor="text1"/>
          <w:sz w:val="16"/>
          <w:szCs w:val="16"/>
        </w:rPr>
        <w:softHyphen/>
        <w:t>скать из вида, что производством тех или иных комплектую</w:t>
      </w:r>
      <w:r w:rsidRPr="008127F8">
        <w:rPr>
          <w:rFonts w:ascii="Times New Roman" w:hAnsi="Times New Roman"/>
          <w:color w:val="000000" w:themeColor="text1"/>
          <w:sz w:val="16"/>
          <w:szCs w:val="16"/>
        </w:rPr>
        <w:softHyphen/>
        <w:t>щих, агрегатов и деталей для авиастроения был занят ещё значительный ряд заводов, формально НКАП не подчиняв</w:t>
      </w:r>
      <w:r w:rsidRPr="008127F8">
        <w:rPr>
          <w:rFonts w:ascii="Times New Roman" w:hAnsi="Times New Roman"/>
          <w:color w:val="000000" w:themeColor="text1"/>
          <w:sz w:val="16"/>
          <w:szCs w:val="16"/>
        </w:rPr>
        <w:softHyphen/>
        <w:t>шийся. Скажем, завод № 481 выпускал плоскости к само</w:t>
      </w:r>
      <w:r w:rsidRPr="008127F8">
        <w:rPr>
          <w:rFonts w:ascii="Times New Roman" w:hAnsi="Times New Roman"/>
          <w:color w:val="000000" w:themeColor="text1"/>
          <w:sz w:val="16"/>
          <w:szCs w:val="16"/>
        </w:rPr>
        <w:softHyphen/>
        <w:t>лётам Р-5 и И-153, а Куйбышевский механический завод — бронекорпуса для Ил-2, и т.д. (Военно-промышленный комплекс Куйбышевской области... Л. 54—55).</w:t>
      </w:r>
    </w:p>
    <w:p w14:paraId="39D53A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в последнюю очередь быстрому восстановлению авиа</w:t>
      </w:r>
      <w:r w:rsidRPr="008127F8">
        <w:rPr>
          <w:rFonts w:ascii="Times New Roman" w:hAnsi="Times New Roman"/>
          <w:color w:val="000000" w:themeColor="text1"/>
          <w:sz w:val="16"/>
          <w:szCs w:val="16"/>
        </w:rPr>
        <w:softHyphen/>
        <w:t>выпуска на эвакуированных предприятиях способствовало рациональное размещение головных заводов и предприя</w:t>
      </w:r>
      <w:r w:rsidRPr="008127F8">
        <w:rPr>
          <w:rFonts w:ascii="Times New Roman" w:hAnsi="Times New Roman"/>
          <w:color w:val="000000" w:themeColor="text1"/>
          <w:sz w:val="16"/>
          <w:szCs w:val="16"/>
        </w:rPr>
        <w:softHyphen/>
        <w:t>тий — смежников, основы которого были заложены руковод</w:t>
      </w:r>
      <w:r w:rsidRPr="008127F8">
        <w:rPr>
          <w:rFonts w:ascii="Times New Roman" w:hAnsi="Times New Roman"/>
          <w:color w:val="000000" w:themeColor="text1"/>
          <w:sz w:val="16"/>
          <w:szCs w:val="16"/>
        </w:rPr>
        <w:softHyphen/>
        <w:t>ством НКАП ещё в 1941 г. Например, своеобразный авиакомплекс сложился в Куйбышевской области. Расположенные в Одном регионе, самолётостроительные заводы области (а в их цисло входили такие гиганты, как заводы № 1 и 18) снабжа</w:t>
      </w:r>
      <w:r w:rsidRPr="008127F8">
        <w:rPr>
          <w:rFonts w:ascii="Times New Roman" w:hAnsi="Times New Roman"/>
          <w:color w:val="000000" w:themeColor="text1"/>
          <w:sz w:val="16"/>
          <w:szCs w:val="16"/>
        </w:rPr>
        <w:softHyphen/>
        <w:t>лись авиамоторами с завода № 24, металлическими винтами в завода № 35, металлическими изделиями с предприятия № 305, комплектами вооружения с заводов № 454, 481, 145, 327 (относились к Наркомату вооружения), бронекорпусами 0 предприятия № 207 и т.д. (Захарченко А.В. Формирование авиапромышленного комплекса в По</w:t>
      </w:r>
      <w:r w:rsidRPr="008127F8">
        <w:rPr>
          <w:rFonts w:ascii="Times New Roman" w:hAnsi="Times New Roman"/>
          <w:color w:val="000000" w:themeColor="text1"/>
          <w:sz w:val="16"/>
          <w:szCs w:val="16"/>
        </w:rPr>
        <w:softHyphen/>
        <w:t>волжье накануне и в годы Великой Отечественной войны (1940—1942 гг.). Самара, 2004. С. 17). Однако положение с комплек</w:t>
      </w:r>
      <w:r w:rsidRPr="008127F8">
        <w:rPr>
          <w:rFonts w:ascii="Times New Roman" w:hAnsi="Times New Roman"/>
          <w:color w:val="000000" w:themeColor="text1"/>
          <w:sz w:val="16"/>
          <w:szCs w:val="16"/>
        </w:rPr>
        <w:softHyphen/>
        <w:t>тующими и полуфабрикатами, поступавшими из других ре</w:t>
      </w:r>
      <w:r w:rsidRPr="008127F8">
        <w:rPr>
          <w:rFonts w:ascii="Times New Roman" w:hAnsi="Times New Roman"/>
          <w:color w:val="000000" w:themeColor="text1"/>
          <w:sz w:val="16"/>
          <w:szCs w:val="16"/>
        </w:rPr>
        <w:softHyphen/>
        <w:t>гионов, было весьма напряжённым. Типичным примером проблем с поставками из других регионов была ситуация на авиазаводе № 153. На 21 февраля 1942 г. лётные испытания прошли 48 машин, но ни одна из них не была отправлена на фронт из-за некомплектности — не хватало пропеллеров. В цехе окончательной сборки стояло 90 самолётов, для уком</w:t>
      </w:r>
      <w:r w:rsidRPr="008127F8">
        <w:rPr>
          <w:rFonts w:ascii="Times New Roman" w:hAnsi="Times New Roman"/>
          <w:color w:val="000000" w:themeColor="text1"/>
          <w:sz w:val="16"/>
          <w:szCs w:val="16"/>
        </w:rPr>
        <w:softHyphen/>
        <w:t xml:space="preserve">плектования которых заводу не хватало 32 мотора, 28 </w:t>
      </w:r>
      <w:proofErr w:type="gramStart"/>
      <w:r w:rsidRPr="008127F8">
        <w:rPr>
          <w:rFonts w:ascii="Times New Roman" w:hAnsi="Times New Roman"/>
          <w:color w:val="000000" w:themeColor="text1"/>
          <w:sz w:val="16"/>
          <w:szCs w:val="16"/>
        </w:rPr>
        <w:t>масло- радиаторов</w:t>
      </w:r>
      <w:proofErr w:type="gramEnd"/>
      <w:r w:rsidRPr="008127F8">
        <w:rPr>
          <w:rFonts w:ascii="Times New Roman" w:hAnsi="Times New Roman"/>
          <w:color w:val="000000" w:themeColor="text1"/>
          <w:sz w:val="16"/>
          <w:szCs w:val="16"/>
        </w:rPr>
        <w:t xml:space="preserve"> и 42 бронеспинки (Савицкий И.М. Указ. соч. С. 123). По свидетельству Я.Е. Чадаева, внутрирайонная кооперация оборонных заводов вообще стала одним из широко распространённых методов решения проблемы поставок от смежников в масштабе всей промыш</w:t>
      </w:r>
      <w:r w:rsidRPr="008127F8">
        <w:rPr>
          <w:rFonts w:ascii="Times New Roman" w:hAnsi="Times New Roman"/>
          <w:color w:val="000000" w:themeColor="text1"/>
          <w:sz w:val="16"/>
          <w:szCs w:val="16"/>
        </w:rPr>
        <w:softHyphen/>
        <w:t xml:space="preserve">ленности СССР (Чадаев Я.Е. Указ. соч. </w:t>
      </w:r>
      <w:r w:rsidRPr="008127F8">
        <w:rPr>
          <w:rFonts w:ascii="Times New Roman" w:hAnsi="Times New Roman"/>
          <w:color w:val="000000" w:themeColor="text1"/>
          <w:sz w:val="16"/>
          <w:szCs w:val="16"/>
          <w:lang w:val="en-US"/>
        </w:rPr>
        <w:t>G</w:t>
      </w:r>
      <w:r w:rsidRPr="008127F8">
        <w:rPr>
          <w:rFonts w:ascii="Times New Roman" w:hAnsi="Times New Roman"/>
          <w:color w:val="000000" w:themeColor="text1"/>
          <w:sz w:val="16"/>
          <w:szCs w:val="16"/>
        </w:rPr>
        <w:t>. 112).</w:t>
      </w:r>
    </w:p>
    <w:p w14:paraId="4431CAEA" w14:textId="77777777" w:rsidR="00D91C13" w:rsidRPr="008127F8" w:rsidRDefault="00D91C13" w:rsidP="001E0A84">
      <w:pPr>
        <w:widowControl w:val="0"/>
        <w:tabs>
          <w:tab w:val="left" w:pos="41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процесс восстановления производственных цепо</w:t>
      </w:r>
      <w:r w:rsidRPr="008127F8">
        <w:rPr>
          <w:rFonts w:ascii="Times New Roman" w:hAnsi="Times New Roman"/>
          <w:color w:val="000000" w:themeColor="text1"/>
          <w:sz w:val="16"/>
          <w:szCs w:val="16"/>
        </w:rPr>
        <w:softHyphen/>
        <w:t>чек затянулся на весь 1942 г. и протекал весьма драматично. В ряде случаев руководство отрасли предпочитало не нала</w:t>
      </w:r>
      <w:r w:rsidRPr="008127F8">
        <w:rPr>
          <w:rFonts w:ascii="Times New Roman" w:hAnsi="Times New Roman"/>
          <w:color w:val="000000" w:themeColor="text1"/>
          <w:sz w:val="16"/>
          <w:szCs w:val="16"/>
        </w:rPr>
        <w:softHyphen/>
        <w:t>живать поставки из соседних регионов, а построить новый завод на месте. Скажем, для обеспечения авиапредприятий необходимым при сварочных работах карбидом, в 1942 г. в Куйбышевской области был построен карбидный завод № 57 (Захарченко А.В. Указ. соч. С. 18). Окончательно проблема поставок была решена лишь к концу 1942 г. Начиная с этого момента авиапредприятия работают, имея некоторый запас необходимых материалов на складах (12001).</w:t>
      </w:r>
    </w:p>
    <w:p w14:paraId="4542565D" w14:textId="77777777" w:rsidR="00D91C13" w:rsidRPr="008127F8" w:rsidRDefault="00D91C13"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3</w:t>
      </w:r>
    </w:p>
    <w:p w14:paraId="1CF802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Действующие</w:t>
      </w:r>
      <w:r w:rsidRPr="008127F8">
        <w:rPr>
          <w:rFonts w:ascii="Times New Roman" w:hAnsi="Times New Roman"/>
          <w:color w:val="000000" w:themeColor="text1"/>
          <w:sz w:val="16"/>
          <w:szCs w:val="16"/>
        </w:rPr>
        <w:t xml:space="preserve"> предприятия НКАП на 17.02.1942 г.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2826. Л. 11—20).</w:t>
      </w:r>
    </w:p>
    <w:tbl>
      <w:tblPr>
        <w:tblW w:w="0" w:type="auto"/>
        <w:tblInd w:w="8" w:type="dxa"/>
        <w:tblLayout w:type="fixed"/>
        <w:tblCellMar>
          <w:left w:w="0" w:type="dxa"/>
          <w:right w:w="0" w:type="dxa"/>
        </w:tblCellMar>
        <w:tblLook w:val="0000" w:firstRow="0" w:lastRow="0" w:firstColumn="0" w:lastColumn="0" w:noHBand="0" w:noVBand="0"/>
      </w:tblPr>
      <w:tblGrid>
        <w:gridCol w:w="1276"/>
        <w:gridCol w:w="1701"/>
        <w:gridCol w:w="2970"/>
        <w:gridCol w:w="7"/>
      </w:tblGrid>
      <w:tr w:rsidR="006F4095" w:rsidRPr="008127F8" w14:paraId="6B6886E3" w14:textId="77777777">
        <w:trPr>
          <w:trHeight w:val="235"/>
        </w:trPr>
        <w:tc>
          <w:tcPr>
            <w:tcW w:w="1276" w:type="dxa"/>
            <w:tcBorders>
              <w:top w:val="single" w:sz="6" w:space="0" w:color="auto"/>
              <w:left w:val="single" w:sz="6" w:space="0" w:color="auto"/>
              <w:bottom w:val="single" w:sz="6" w:space="0" w:color="auto"/>
              <w:right w:val="nil"/>
            </w:tcBorders>
            <w:shd w:val="clear" w:color="auto" w:fill="FFFFFF"/>
          </w:tcPr>
          <w:p w14:paraId="7174A0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завода</w:t>
            </w:r>
          </w:p>
        </w:tc>
        <w:tc>
          <w:tcPr>
            <w:tcW w:w="1701" w:type="dxa"/>
            <w:tcBorders>
              <w:top w:val="single" w:sz="6" w:space="0" w:color="auto"/>
              <w:left w:val="nil"/>
              <w:bottom w:val="single" w:sz="6" w:space="0" w:color="auto"/>
              <w:right w:val="nil"/>
            </w:tcBorders>
            <w:shd w:val="clear" w:color="auto" w:fill="FFFFFF"/>
          </w:tcPr>
          <w:p w14:paraId="22390D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Местонахождение</w:t>
            </w:r>
          </w:p>
        </w:tc>
        <w:tc>
          <w:tcPr>
            <w:tcW w:w="2977" w:type="dxa"/>
            <w:gridSpan w:val="2"/>
            <w:tcBorders>
              <w:top w:val="single" w:sz="6" w:space="0" w:color="auto"/>
              <w:left w:val="nil"/>
              <w:bottom w:val="single" w:sz="6" w:space="0" w:color="auto"/>
              <w:right w:val="single" w:sz="6" w:space="0" w:color="auto"/>
            </w:tcBorders>
            <w:shd w:val="clear" w:color="auto" w:fill="FFFFFF"/>
          </w:tcPr>
          <w:p w14:paraId="01CB32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6BAAA2A5"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240B96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ХГУ</w:t>
            </w:r>
          </w:p>
        </w:tc>
      </w:tr>
      <w:tr w:rsidR="006F4095" w:rsidRPr="008127F8" w14:paraId="5A42582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C2E80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F1362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5B6A0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№122</w:t>
            </w:r>
          </w:p>
        </w:tc>
      </w:tr>
      <w:tr w:rsidR="006F4095" w:rsidRPr="008127F8" w14:paraId="61A8554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3C4E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919E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F86CE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 на площадку бывш. завода №295</w:t>
            </w:r>
          </w:p>
        </w:tc>
      </w:tr>
      <w:tr w:rsidR="006F4095" w:rsidRPr="008127F8" w14:paraId="525E46C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1DB55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664A8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E9FC5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из Москвы зав. №1</w:t>
            </w:r>
          </w:p>
        </w:tc>
      </w:tr>
      <w:tr w:rsidR="006F4095" w:rsidRPr="008127F8" w14:paraId="58B15E3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5CDC1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81F5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A66D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мастерских ГУГВФ</w:t>
            </w:r>
          </w:p>
        </w:tc>
      </w:tr>
      <w:tr w:rsidR="006F4095" w:rsidRPr="008127F8" w14:paraId="48690B3E"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773D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481AD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Комсомольск-на-Амуре</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DE07E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776F414"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0E113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5A994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Хабаровы</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5AEA1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завода № 126</w:t>
            </w:r>
          </w:p>
        </w:tc>
      </w:tr>
      <w:tr w:rsidR="006F4095" w:rsidRPr="008127F8" w14:paraId="1AB89741"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97EAD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C4D3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8F5D9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зав. № 125</w:t>
            </w:r>
          </w:p>
        </w:tc>
      </w:tr>
      <w:tr w:rsidR="006F4095" w:rsidRPr="008127F8" w14:paraId="29ED7012"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68F52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49F5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Улан-Удэ</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767F3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завода №39</w:t>
            </w:r>
          </w:p>
        </w:tc>
      </w:tr>
      <w:tr w:rsidR="006F4095" w:rsidRPr="008127F8" w14:paraId="7082E13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4F124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216EF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4FE72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D3D87E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80707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0C7B5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Подольск (Московская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97A9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бывш. завода нм. Орджони</w:t>
            </w:r>
            <w:r w:rsidRPr="008127F8">
              <w:rPr>
                <w:rFonts w:ascii="Times New Roman" w:hAnsi="Times New Roman"/>
                <w:color w:val="000000" w:themeColor="text1"/>
                <w:sz w:val="16"/>
                <w:szCs w:val="16"/>
              </w:rPr>
              <w:softHyphen/>
              <w:t>кидзе НКнсфга</w:t>
            </w:r>
          </w:p>
        </w:tc>
      </w:tr>
      <w:tr w:rsidR="006F4095" w:rsidRPr="008127F8" w14:paraId="7C03DE5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929E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C448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8309C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бывш. механического завода ИКтанкопром</w:t>
            </w:r>
          </w:p>
        </w:tc>
      </w:tr>
      <w:tr w:rsidR="006F4095" w:rsidRPr="008127F8" w14:paraId="4205412E"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B75AB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C4571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Тагил</w:t>
            </w:r>
            <w:r w:rsidRPr="008127F8">
              <w:rPr>
                <w:rFonts w:ascii="Times New Roman" w:hAnsi="Times New Roman"/>
                <w:iCs/>
                <w:color w:val="000000" w:themeColor="text1"/>
                <w:sz w:val="16"/>
                <w:szCs w:val="16"/>
              </w:rPr>
              <w:t xml:space="preserve"> (Москва) *</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F141F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кз Ленинграда на площадку Ниж</w:t>
            </w:r>
            <w:r w:rsidRPr="008127F8">
              <w:rPr>
                <w:rFonts w:ascii="Times New Roman" w:hAnsi="Times New Roman"/>
                <w:color w:val="000000" w:themeColor="text1"/>
                <w:sz w:val="16"/>
                <w:szCs w:val="16"/>
              </w:rPr>
              <w:softHyphen/>
              <w:t xml:space="preserve">нетагильского вагоностроительного завода (на </w:t>
            </w:r>
            <w:r w:rsidRPr="008127F8">
              <w:rPr>
                <w:rFonts w:ascii="Times New Roman" w:hAnsi="Times New Roman"/>
                <w:iCs/>
                <w:color w:val="000000" w:themeColor="text1"/>
                <w:sz w:val="16"/>
                <w:szCs w:val="16"/>
              </w:rPr>
              <w:t>площадку завода № 39)</w:t>
            </w:r>
          </w:p>
        </w:tc>
      </w:tr>
      <w:tr w:rsidR="006F4095" w:rsidRPr="008127F8" w14:paraId="2D4BB70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A253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62D0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(ликвидирован)</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DD707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 39</w:t>
            </w:r>
          </w:p>
        </w:tc>
      </w:tr>
      <w:tr w:rsidR="006F4095" w:rsidRPr="008127F8" w14:paraId="5245E56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BA3D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CB82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D66F8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из Ленинграда завода № 381</w:t>
            </w:r>
          </w:p>
        </w:tc>
      </w:tr>
      <w:tr w:rsidR="006F4095" w:rsidRPr="008127F8" w14:paraId="02DA44D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7F92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F1DE4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8C96F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ва площадку бывш. завода №124</w:t>
            </w:r>
          </w:p>
        </w:tc>
      </w:tr>
      <w:tr w:rsidR="006F4095" w:rsidRPr="008127F8" w14:paraId="3A448C62"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0A8F65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lastRenderedPageBreak/>
              <w:t>1ГУ</w:t>
            </w:r>
          </w:p>
        </w:tc>
      </w:tr>
      <w:tr w:rsidR="006F4095" w:rsidRPr="008127F8" w14:paraId="20F7FC6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CA71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B5FA1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EC9DB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EB29710"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99AE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6B694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55FFE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Эвакуиромн вз Таганрога нв площадку бывш. строительства зав. № 448</w:t>
            </w:r>
          </w:p>
        </w:tc>
      </w:tr>
      <w:tr w:rsidR="006F4095" w:rsidRPr="008127F8" w14:paraId="5ED27C2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45A2D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9489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Чкалов (ныне—Оренбург)</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7706B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бывш. Чкаловских военных мастерских</w:t>
            </w:r>
          </w:p>
        </w:tc>
      </w:tr>
      <w:tr w:rsidR="006F4095" w:rsidRPr="008127F8" w14:paraId="448BCBA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F21A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1EB64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E8C39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№22</w:t>
            </w:r>
          </w:p>
        </w:tc>
      </w:tr>
      <w:tr w:rsidR="006F4095" w:rsidRPr="008127F8" w14:paraId="07E73FC3"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108A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9694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Семёнова Уссурийской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ECBB4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F3237D4"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D85C0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3321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7A5D0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934C25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494BC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0C5C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A49B8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бывш. зав. № 165</w:t>
            </w:r>
          </w:p>
        </w:tc>
      </w:tr>
      <w:tr w:rsidR="006F4095" w:rsidRPr="008127F8" w14:paraId="0155C6E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810DC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EBB4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Баху</w:t>
            </w:r>
            <w:r w:rsidRPr="008127F8">
              <w:rPr>
                <w:rFonts w:ascii="Times New Roman" w:hAnsi="Times New Roman"/>
                <w:iCs/>
                <w:color w:val="000000" w:themeColor="text1"/>
                <w:sz w:val="16"/>
                <w:szCs w:val="16"/>
              </w:rPr>
              <w:t xml:space="preserve"> (передан </w:t>
            </w:r>
            <w:proofErr w:type="gramStart"/>
            <w:r w:rsidRPr="008127F8">
              <w:rPr>
                <w:rFonts w:ascii="Times New Roman" w:hAnsi="Times New Roman"/>
                <w:iCs/>
                <w:color w:val="000000" w:themeColor="text1"/>
                <w:sz w:val="16"/>
                <w:szCs w:val="16"/>
              </w:rPr>
              <w:t>в...</w:t>
            </w:r>
            <w:proofErr w:type="gramEnd"/>
            <w:r w:rsidRPr="008127F8">
              <w:rPr>
                <w:rFonts w:ascii="Times New Roman" w:hAnsi="Times New Roman"/>
                <w:iCs/>
                <w:color w:val="000000" w:themeColor="text1"/>
                <w:sz w:val="16"/>
                <w:szCs w:val="16"/>
              </w:rPr>
              <w:t>}</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27D05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Ростова на площадку бывш. строит, зав. №446</w:t>
            </w:r>
          </w:p>
        </w:tc>
      </w:tr>
      <w:tr w:rsidR="006F4095" w:rsidRPr="008127F8" w14:paraId="1FBF1C7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2BD1F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C7FB3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A2099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 №122</w:t>
            </w:r>
          </w:p>
        </w:tc>
      </w:tr>
      <w:tr w:rsidR="006F4095" w:rsidRPr="008127F8" w14:paraId="1E1309EC"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B451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DA007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F3E8F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E1A330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B706B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2C743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6F18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ва площадку бывш. строи</w:t>
            </w:r>
            <w:r w:rsidRPr="008127F8">
              <w:rPr>
                <w:rFonts w:ascii="Times New Roman" w:hAnsi="Times New Roman"/>
                <w:color w:val="000000" w:themeColor="text1"/>
                <w:sz w:val="16"/>
                <w:szCs w:val="16"/>
              </w:rPr>
              <w:softHyphen/>
              <w:t>тельства зав. №315</w:t>
            </w:r>
          </w:p>
        </w:tc>
      </w:tr>
      <w:tr w:rsidR="006F4095" w:rsidRPr="008127F8" w14:paraId="3D4BE0D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E2462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DE8D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8DEFA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иа площадке эвакуированного из Москвы завода №32</w:t>
            </w:r>
          </w:p>
        </w:tc>
      </w:tr>
      <w:tr w:rsidR="006F4095" w:rsidRPr="008127F8" w14:paraId="66EFC77C"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2FE1E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D999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Троицк Челябинской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BD9A0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42F672C0"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7C4D0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85E3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Горысий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F81D5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 «Гудок Октября»</w:t>
            </w:r>
          </w:p>
        </w:tc>
      </w:tr>
      <w:tr w:rsidR="006F4095" w:rsidRPr="008127F8" w14:paraId="782EAA0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39D06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9FE9D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Тагил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7F11E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га Москвы на площадку своего филиала</w:t>
            </w:r>
          </w:p>
        </w:tc>
      </w:tr>
      <w:tr w:rsidR="006F4095" w:rsidRPr="008127F8" w14:paraId="19A75125"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313D59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II</w:t>
            </w:r>
            <w:r w:rsidRPr="008127F8">
              <w:rPr>
                <w:rFonts w:ascii="Times New Roman" w:hAnsi="Times New Roman"/>
                <w:iCs/>
                <w:color w:val="000000" w:themeColor="text1"/>
                <w:sz w:val="16"/>
                <w:szCs w:val="16"/>
              </w:rPr>
              <w:t>ГУ</w:t>
            </w:r>
          </w:p>
        </w:tc>
      </w:tr>
      <w:tr w:rsidR="006F4095" w:rsidRPr="008127F8" w14:paraId="22E73B57"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E0AA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FF98A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Безымянка, Куйбышевская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3432B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на шющадку бывш. завода №455</w:t>
            </w:r>
          </w:p>
        </w:tc>
      </w:tr>
      <w:tr w:rsidR="006F4095" w:rsidRPr="008127F8" w14:paraId="31C1F72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BDC3A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ABEBA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Балашиха, Московская оби.</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FF7F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2EE8429"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331D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EEA1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Берёзовое,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5B244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6ADC4286"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350DE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74CA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B9840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83A237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EF0F8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7C2C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Безымянка, Куйбышевст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FBFB2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Киева на шющадку мастерских «Хсд»</w:t>
            </w:r>
          </w:p>
        </w:tc>
      </w:tr>
      <w:tr w:rsidR="006F4095" w:rsidRPr="008127F8" w14:paraId="05239905"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96FFF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8A7A9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31DB1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Солнечногорска (Московская обл.) на площадку бывш. строит, завода. № 285</w:t>
            </w:r>
          </w:p>
        </w:tc>
      </w:tr>
      <w:tr w:rsidR="006F4095" w:rsidRPr="008127F8" w14:paraId="3DEAD07A"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1B1FD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45FA9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Кузнецк, Пензенская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4E91C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се Болшево, Московская обл.</w:t>
            </w:r>
          </w:p>
        </w:tc>
      </w:tr>
      <w:tr w:rsidR="006F4095" w:rsidRPr="008127F8" w14:paraId="7EFAA245"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44CA1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AEBDC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 Куйбышевская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57BF1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Днепропетровска на площадку бывш. завода. № 164</w:t>
            </w:r>
          </w:p>
        </w:tc>
      </w:tr>
      <w:tr w:rsidR="006F4095" w:rsidRPr="008127F8" w14:paraId="4B1B6A2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0301B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0AE9A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56B94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34E7EDD"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5C323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r w:rsidRPr="008127F8">
              <w:rPr>
                <w:rFonts w:ascii="Times New Roman" w:hAnsi="Times New Roman"/>
                <w:iCs/>
                <w:color w:val="000000" w:themeColor="text1"/>
                <w:sz w:val="16"/>
                <w:szCs w:val="16"/>
              </w:rPr>
              <w:t xml:space="preserve"> (фиши» Щ</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A40F8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9801F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r>
      <w:tr w:rsidR="006F4095" w:rsidRPr="008127F8" w14:paraId="71064CD7"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6598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59E63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86DA2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Организованы на площадке эвакуированного за</w:t>
            </w:r>
            <w:r w:rsidRPr="008127F8">
              <w:rPr>
                <w:rFonts w:ascii="Times New Roman" w:hAnsi="Times New Roman"/>
                <w:color w:val="000000" w:themeColor="text1"/>
                <w:sz w:val="16"/>
                <w:szCs w:val="16"/>
              </w:rPr>
              <w:softHyphen/>
              <w:t>вода №34</w:t>
            </w:r>
          </w:p>
        </w:tc>
      </w:tr>
      <w:tr w:rsidR="006F4095" w:rsidRPr="008127F8" w14:paraId="4631CB7C"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19BEC2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III</w:t>
            </w:r>
            <w:r w:rsidRPr="008127F8">
              <w:rPr>
                <w:rFonts w:ascii="Times New Roman" w:hAnsi="Times New Roman"/>
                <w:iCs/>
                <w:color w:val="000000" w:themeColor="text1"/>
                <w:sz w:val="16"/>
                <w:szCs w:val="16"/>
              </w:rPr>
              <w:t>ГУ</w:t>
            </w:r>
          </w:p>
        </w:tc>
      </w:tr>
      <w:tr w:rsidR="006F4095" w:rsidRPr="008127F8" w14:paraId="5A6783E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582C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9D52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26DD3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 на шющадку бывш. завода №27</w:t>
            </w:r>
          </w:p>
        </w:tc>
      </w:tr>
      <w:tr w:rsidR="006F4095" w:rsidRPr="008127F8" w14:paraId="49543539"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03C5B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69155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 (ныне—Пермь)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08D57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C43E8D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8ABA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B1A05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04543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№337</w:t>
            </w:r>
          </w:p>
        </w:tc>
      </w:tr>
      <w:tr w:rsidR="006F4095" w:rsidRPr="008127F8" w14:paraId="4463C09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448A2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17F8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5792A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Рыбинска на площадку бнвш. завода №384</w:t>
            </w:r>
          </w:p>
        </w:tc>
      </w:tr>
      <w:tr w:rsidR="006F4095" w:rsidRPr="008127F8" w14:paraId="11E50969" w14:textId="77777777">
        <w:trPr>
          <w:trHeight w:val="24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1E043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39180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007AF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Запорожья</w:t>
            </w:r>
          </w:p>
        </w:tc>
      </w:tr>
      <w:tr w:rsidR="006F4095" w:rsidRPr="008127F8" w14:paraId="7DCAFAC7"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AA6CC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BF860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Андижан</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29D76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ю Воронежа</w:t>
            </w:r>
          </w:p>
        </w:tc>
      </w:tr>
      <w:tr w:rsidR="006F4095" w:rsidRPr="008127F8" w14:paraId="577CCCFC" w14:textId="77777777">
        <w:trPr>
          <w:trHeight w:val="68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F0396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w:t>
            </w:r>
            <w:r w:rsidRPr="008127F8">
              <w:rPr>
                <w:rFonts w:ascii="Times New Roman" w:hAnsi="Times New Roman"/>
                <w:iCs/>
                <w:color w:val="000000" w:themeColor="text1"/>
                <w:sz w:val="16"/>
                <w:szCs w:val="16"/>
              </w:rPr>
              <w:t xml:space="preserve"> (зачёркнут, указано, что входит в завод №45)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7A286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16EC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№24</w:t>
            </w:r>
          </w:p>
        </w:tc>
      </w:tr>
      <w:tr w:rsidR="006F4095" w:rsidRPr="008127F8" w14:paraId="29DA0605" w14:textId="77777777">
        <w:trPr>
          <w:trHeight w:val="49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9D0C6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5BE6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59395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№24</w:t>
            </w:r>
          </w:p>
        </w:tc>
      </w:tr>
      <w:tr w:rsidR="006F4095" w:rsidRPr="008127F8" w14:paraId="4D7C2512" w14:textId="77777777">
        <w:trPr>
          <w:trHeight w:val="47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25B7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DEE06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F73ED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бывш. ЦИАМ</w:t>
            </w:r>
            <w:r w:rsidRPr="008127F8">
              <w:rPr>
                <w:rFonts w:ascii="Times New Roman" w:hAnsi="Times New Roman"/>
                <w:iCs/>
                <w:color w:val="000000" w:themeColor="text1"/>
                <w:sz w:val="16"/>
                <w:szCs w:val="16"/>
              </w:rPr>
              <w:t xml:space="preserve"> (зачёркнуто, указано—на базе эвакуированного завода № 20)</w:t>
            </w:r>
          </w:p>
        </w:tc>
      </w:tr>
      <w:tr w:rsidR="006F4095" w:rsidRPr="008127F8" w14:paraId="146A6E63" w14:textId="77777777">
        <w:trPr>
          <w:trHeight w:val="48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EA6FA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36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E049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Рыбинск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5608F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№26</w:t>
            </w:r>
          </w:p>
        </w:tc>
      </w:tr>
      <w:tr w:rsidR="006F4095" w:rsidRPr="008127F8" w14:paraId="34E0E071" w14:textId="77777777">
        <w:trPr>
          <w:trHeight w:val="274"/>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2198B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466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FB4F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C2790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 авиамоторов ГАЗа</w:t>
            </w:r>
          </w:p>
        </w:tc>
      </w:tr>
      <w:tr w:rsidR="006F4095" w:rsidRPr="008127F8" w14:paraId="0368E0AF"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0F0E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6ACB2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A3662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на площадку бывш. строи</w:t>
            </w:r>
            <w:r w:rsidRPr="008127F8">
              <w:rPr>
                <w:rFonts w:ascii="Times New Roman" w:hAnsi="Times New Roman"/>
                <w:color w:val="000000" w:themeColor="text1"/>
                <w:sz w:val="16"/>
                <w:szCs w:val="16"/>
              </w:rPr>
              <w:softHyphen/>
              <w:t>тельства завода №493</w:t>
            </w:r>
          </w:p>
        </w:tc>
      </w:tr>
      <w:tr w:rsidR="006F4095" w:rsidRPr="008127F8" w14:paraId="633F1F4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9804A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9C841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27310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Часть бывшего зав. № 150, эвакуированного со ст. </w:t>
            </w:r>
            <w:r w:rsidRPr="008127F8">
              <w:rPr>
                <w:rFonts w:ascii="Times New Roman" w:hAnsi="Times New Roman"/>
                <w:color w:val="000000" w:themeColor="text1"/>
                <w:sz w:val="16"/>
                <w:szCs w:val="16"/>
                <w:lang w:val="en-US"/>
              </w:rPr>
              <w:t>CiyUHHO</w:t>
            </w:r>
          </w:p>
        </w:tc>
      </w:tr>
      <w:tr w:rsidR="006F4095" w:rsidRPr="008127F8" w14:paraId="05A7702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79EC2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0A5EE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Павлов-на</w:t>
            </w:r>
            <w:proofErr w:type="gramEnd"/>
            <w:r w:rsidRPr="008127F8">
              <w:rPr>
                <w:rFonts w:ascii="Times New Roman" w:hAnsi="Times New Roman"/>
                <w:color w:val="000000" w:themeColor="text1"/>
                <w:sz w:val="16"/>
                <w:szCs w:val="16"/>
              </w:rPr>
              <w:t>-Оке, Горьковская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8BD6A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E59CCE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38611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969E2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E28CD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№28</w:t>
            </w:r>
          </w:p>
        </w:tc>
      </w:tr>
      <w:tr w:rsidR="006F4095" w:rsidRPr="008127F8" w14:paraId="705278D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615CA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iCs/>
                <w:color w:val="000000" w:themeColor="text1"/>
                <w:sz w:val="16"/>
                <w:szCs w:val="16"/>
              </w:rPr>
              <w:t>»г</w:t>
            </w:r>
            <w:proofErr w:type="gramEnd"/>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17A5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F411F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Исключён из списка действующих, оборудование передано заводам №30 и 45</w:t>
            </w:r>
          </w:p>
        </w:tc>
      </w:tr>
      <w:tr w:rsidR="006F4095" w:rsidRPr="008127F8" w14:paraId="6CB5A1B6"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26F3A9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IV ГУ</w:t>
            </w:r>
          </w:p>
        </w:tc>
      </w:tr>
      <w:tr w:rsidR="006F4095" w:rsidRPr="008127F8" w14:paraId="0B9AC9E3"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F09BB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5DA0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9EB1B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Эвакуировал из Москвы на площадку бывш. завода №495</w:t>
            </w:r>
          </w:p>
        </w:tc>
      </w:tr>
      <w:tr w:rsidR="006F4095" w:rsidRPr="008127F8" w14:paraId="648060D2"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3FAF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24931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D0A70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ш площадку бывш. завода №283</w:t>
            </w:r>
          </w:p>
        </w:tc>
      </w:tr>
      <w:tr w:rsidR="006F4095" w:rsidRPr="008127F8" w14:paraId="0841D6A3"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0F4C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2051F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 (ниве—Перш)</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995F0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№339</w:t>
            </w:r>
          </w:p>
        </w:tc>
      </w:tr>
      <w:tr w:rsidR="006F4095" w:rsidRPr="008127F8" w14:paraId="314FEED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0D3D9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A49C7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 Чеибннскм обо.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B651E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иа площадку бывш. завода №444</w:t>
            </w:r>
          </w:p>
        </w:tc>
      </w:tr>
      <w:tr w:rsidR="006F4095" w:rsidRPr="008127F8" w14:paraId="5840C84F"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28B70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A62CF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BBC0C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«Арею»</w:t>
            </w:r>
          </w:p>
        </w:tc>
      </w:tr>
      <w:tr w:rsidR="006F4095" w:rsidRPr="008127F8" w14:paraId="723259C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85153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30C3F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7F94E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иа площадку бывш. завода №461</w:t>
            </w:r>
          </w:p>
        </w:tc>
      </w:tr>
      <w:tr w:rsidR="006F4095" w:rsidRPr="008127F8" w14:paraId="7750D0A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0ABD4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FE7A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Бсрдск, Новосибирски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FB254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Хариова на площадку бывш. складов УГМФ</w:t>
            </w:r>
          </w:p>
        </w:tc>
      </w:tr>
      <w:tr w:rsidR="006F4095" w:rsidRPr="008127F8" w14:paraId="75AD0BB1"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611F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284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F449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Сарапул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0B187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5E86088"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AA68E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2A9E8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B4D77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47B0B3A"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CC1B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73571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6136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 Ржева иа площадку иастерских авиатехнику)»</w:t>
            </w:r>
          </w:p>
        </w:tc>
      </w:tr>
      <w:tr w:rsidR="006F4095" w:rsidRPr="008127F8" w14:paraId="726AB3AC"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6A60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ремонтные мастер</w:t>
            </w:r>
            <w:r w:rsidRPr="008127F8">
              <w:rPr>
                <w:rFonts w:ascii="Times New Roman" w:hAnsi="Times New Roman"/>
                <w:iCs/>
                <w:color w:val="000000" w:themeColor="text1"/>
                <w:sz w:val="16"/>
                <w:szCs w:val="16"/>
              </w:rPr>
              <w:softHyphen/>
              <w:t>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EF2A9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E61A1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базе заводов № 20 (451), 25,33 (315), Шфил., 266,476</w:t>
            </w:r>
          </w:p>
        </w:tc>
      </w:tr>
      <w:tr w:rsidR="006F4095" w:rsidRPr="008127F8" w14:paraId="61A2F54A"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027BC7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УГУ</w:t>
            </w:r>
          </w:p>
        </w:tc>
      </w:tr>
      <w:tr w:rsidR="006F4095" w:rsidRPr="008127F8" w14:paraId="26F7066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A8F0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32E90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Энгельс</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C62D7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мясокомбината</w:t>
            </w:r>
          </w:p>
        </w:tc>
      </w:tr>
      <w:tr w:rsidR="006F4095" w:rsidRPr="008127F8" w14:paraId="671FD99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DBE02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D82FF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593E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клуба им. Профинтерна</w:t>
            </w:r>
          </w:p>
        </w:tc>
      </w:tr>
      <w:tr w:rsidR="006F4095" w:rsidRPr="008127F8" w14:paraId="2037F24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EB35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639F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DDC1C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128863B" w14:textId="77777777">
        <w:trPr>
          <w:trHeight w:val="46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572C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 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44EEF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356B9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эвакуирован из Ленинграда на площадь фабрики «Киноплёнка»</w:t>
            </w:r>
          </w:p>
        </w:tc>
      </w:tr>
      <w:tr w:rsidR="006F4095" w:rsidRPr="008127F8" w14:paraId="25CD7BC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AB24E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58B2E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77BDC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площадь авиатехникума</w:t>
            </w:r>
          </w:p>
        </w:tc>
      </w:tr>
      <w:tr w:rsidR="006F4095" w:rsidRPr="008127F8" w14:paraId="739F56E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11DA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2F497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C5994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площадь ликёрово- дочного завода, (передай вйГОТ)</w:t>
            </w:r>
          </w:p>
        </w:tc>
      </w:tr>
      <w:tr w:rsidR="006F4095" w:rsidRPr="008127F8" w14:paraId="5EA51531"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D60F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1E4A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A14E5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площадь ветеринарного института</w:t>
            </w:r>
          </w:p>
        </w:tc>
      </w:tr>
      <w:tr w:rsidR="006F4095" w:rsidRPr="008127F8" w14:paraId="7A01CE3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2AEC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FB9A2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FAAE4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9216E6E"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513C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1795C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Ижевск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7CC06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Рамеиское (Моск. обл.) на площадь клуба им. деоггялетм Октябрьской революции</w:t>
            </w:r>
          </w:p>
        </w:tc>
      </w:tr>
      <w:tr w:rsidR="006F4095" w:rsidRPr="008127F8" w14:paraId="233B203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29652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E0DD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CAD66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C8BCC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E50DD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ОЗПО</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F444A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9EBB6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5A0F5D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A0037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«Тояизмерит»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57139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 Монтаж, Свердлов,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3C848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бывщ. стекольного завода</w:t>
            </w:r>
          </w:p>
        </w:tc>
      </w:tr>
      <w:tr w:rsidR="006F4095" w:rsidRPr="008127F8" w14:paraId="10DAC134"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B034C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 «Тоташерт»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89916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3F45E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«Точизмерит»</w:t>
            </w:r>
          </w:p>
        </w:tc>
      </w:tr>
      <w:tr w:rsidR="006F4095" w:rsidRPr="008127F8" w14:paraId="08EA0FF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33293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№12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65CE3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Ульшовск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49F28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часть площадки строяцегосазав. № 280</w:t>
            </w:r>
          </w:p>
        </w:tc>
      </w:tr>
      <w:tr w:rsidR="006F4095" w:rsidRPr="008127F8" w14:paraId="4AD9B4E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67300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4DA6D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AA6C4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НИИ№ 12</w:t>
            </w:r>
          </w:p>
        </w:tc>
      </w:tr>
      <w:tr w:rsidR="006F4095" w:rsidRPr="008127F8" w14:paraId="558F0CE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CFD20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5E655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06D20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 230</w:t>
            </w:r>
          </w:p>
        </w:tc>
      </w:tr>
      <w:tr w:rsidR="006F4095" w:rsidRPr="008127F8" w14:paraId="35C551DA"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6BEE73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VI</w:t>
            </w:r>
            <w:r w:rsidRPr="008127F8">
              <w:rPr>
                <w:rFonts w:ascii="Times New Roman" w:hAnsi="Times New Roman"/>
                <w:iCs/>
                <w:color w:val="000000" w:themeColor="text1"/>
                <w:sz w:val="16"/>
                <w:szCs w:val="16"/>
              </w:rPr>
              <w:t>ГУ</w:t>
            </w:r>
          </w:p>
        </w:tc>
      </w:tr>
      <w:tr w:rsidR="006F4095" w:rsidRPr="008127F8" w14:paraId="5539E56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DE1DD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CEFF8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D2C3D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учебных мастерских авиатехникума</w:t>
            </w:r>
          </w:p>
        </w:tc>
      </w:tr>
      <w:tr w:rsidR="006F4095" w:rsidRPr="008127F8" w14:paraId="103CA6EE"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922A6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15EBB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A3C23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4BE8C4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DCB7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B6654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 Кунцево. Московская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FCCF4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Организован на площадке </w:t>
            </w:r>
            <w:proofErr w:type="gramStart"/>
            <w:r w:rsidRPr="008127F8">
              <w:rPr>
                <w:rFonts w:ascii="Times New Roman" w:hAnsi="Times New Roman"/>
                <w:color w:val="000000" w:themeColor="text1"/>
                <w:sz w:val="16"/>
                <w:szCs w:val="16"/>
              </w:rPr>
              <w:t>зав.</w:t>
            </w:r>
            <w:r w:rsidRPr="008127F8">
              <w:rPr>
                <w:rFonts w:ascii="Times New Roman" w:hAnsi="Times New Roman"/>
                <w:color w:val="000000" w:themeColor="text1"/>
                <w:sz w:val="16"/>
                <w:szCs w:val="16"/>
                <w:lang w:val="en-US"/>
              </w:rPr>
              <w:t>J</w:t>
            </w:r>
            <w:proofErr w:type="gramEnd"/>
            <w:r w:rsidRPr="008127F8">
              <w:rPr>
                <w:rFonts w:ascii="Times New Roman" w:hAnsi="Times New Roman"/>
                <w:color w:val="000000" w:themeColor="text1"/>
                <w:sz w:val="16"/>
                <w:szCs w:val="16"/>
              </w:rPr>
              <w:t>6 167</w:t>
            </w:r>
          </w:p>
        </w:tc>
      </w:tr>
      <w:tr w:rsidR="006F4095" w:rsidRPr="008127F8" w14:paraId="0B472E4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D18DC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r w:rsidRPr="008127F8">
              <w:rPr>
                <w:rFonts w:ascii="Times New Roman" w:hAnsi="Times New Roman"/>
                <w:iCs/>
                <w:color w:val="000000" w:themeColor="text1"/>
                <w:sz w:val="16"/>
                <w:szCs w:val="16"/>
              </w:rPr>
              <w:t xml:space="preserve"> (497)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DD40B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AC88F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бывшей мебельной фабрики № 2 НКЛес</w:t>
            </w:r>
          </w:p>
        </w:tc>
      </w:tr>
      <w:tr w:rsidR="006F4095" w:rsidRPr="008127F8" w14:paraId="31421AA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4C71A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55D2A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22DC7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бывшей мебельной фабрики №3 НКЛес</w:t>
            </w:r>
          </w:p>
        </w:tc>
      </w:tr>
      <w:tr w:rsidR="006F4095" w:rsidRPr="008127F8" w14:paraId="6B62CEA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0052C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1954E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802B8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—(передай во II Главк)</w:t>
            </w:r>
          </w:p>
        </w:tc>
      </w:tr>
      <w:tr w:rsidR="006F4095" w:rsidRPr="008127F8" w14:paraId="468C928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89EDC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7809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514B5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шкнцадке («вшей мебельной фабрики № 4 НКЛес</w:t>
            </w:r>
          </w:p>
        </w:tc>
      </w:tr>
      <w:tr w:rsidR="006F4095" w:rsidRPr="008127F8" w14:paraId="6E33623C" w14:textId="77777777">
        <w:trPr>
          <w:trHeight w:val="427"/>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9DE76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6685F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D1588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ш площадке бывшей мебельной фа</w:t>
            </w:r>
            <w:r w:rsidRPr="008127F8">
              <w:rPr>
                <w:rFonts w:ascii="Times New Roman" w:hAnsi="Times New Roman"/>
                <w:color w:val="000000" w:themeColor="text1"/>
                <w:sz w:val="16"/>
                <w:szCs w:val="16"/>
              </w:rPr>
              <w:softHyphen/>
              <w:t xml:space="preserve">брил </w:t>
            </w:r>
            <w:r w:rsidRPr="008127F8">
              <w:rPr>
                <w:rFonts w:ascii="Times New Roman" w:hAnsi="Times New Roman"/>
                <w:color w:val="000000" w:themeColor="text1"/>
                <w:sz w:val="16"/>
                <w:szCs w:val="16"/>
                <w:lang w:val="en-US"/>
              </w:rPr>
              <w:t>J</w:t>
            </w:r>
            <w:r w:rsidRPr="008127F8">
              <w:rPr>
                <w:rFonts w:ascii="Times New Roman" w:hAnsi="Times New Roman"/>
                <w:color w:val="000000" w:themeColor="text1"/>
                <w:sz w:val="16"/>
                <w:szCs w:val="16"/>
              </w:rPr>
              <w:t>6</w:t>
            </w:r>
            <w:r w:rsidRPr="008127F8">
              <w:rPr>
                <w:rFonts w:ascii="Times New Roman" w:hAnsi="Times New Roman"/>
                <w:iCs/>
                <w:color w:val="000000" w:themeColor="text1"/>
                <w:sz w:val="16"/>
                <w:szCs w:val="16"/>
              </w:rPr>
              <w:t xml:space="preserve"> 6</w:t>
            </w:r>
            <w:r w:rsidRPr="008127F8">
              <w:rPr>
                <w:rFonts w:ascii="Times New Roman" w:hAnsi="Times New Roman"/>
                <w:color w:val="000000" w:themeColor="text1"/>
                <w:sz w:val="16"/>
                <w:szCs w:val="16"/>
              </w:rPr>
              <w:t xml:space="preserve"> НКЛес</w:t>
            </w:r>
            <w:r w:rsidRPr="008127F8">
              <w:rPr>
                <w:rFonts w:ascii="Times New Roman" w:hAnsi="Times New Roman"/>
                <w:iCs/>
                <w:color w:val="000000" w:themeColor="text1"/>
                <w:sz w:val="16"/>
                <w:szCs w:val="16"/>
              </w:rPr>
              <w:t xml:space="preserve"> (мредан Оргаюаирошу за №8)</w:t>
            </w:r>
          </w:p>
        </w:tc>
      </w:tr>
      <w:tr w:rsidR="006F4095" w:rsidRPr="008127F8" w14:paraId="2F991D7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44C8C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7A9DE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ABD6A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бывшей фабрики № 1 Оргавиапром НКАП</w:t>
            </w:r>
          </w:p>
        </w:tc>
      </w:tr>
      <w:tr w:rsidR="006F4095" w:rsidRPr="008127F8" w14:paraId="3E88ABB6" w14:textId="77777777">
        <w:trPr>
          <w:trHeight w:val="47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00BCA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F6839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C658A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№294</w:t>
            </w:r>
          </w:p>
        </w:tc>
      </w:tr>
      <w:tr w:rsidR="006F4095" w:rsidRPr="008127F8" w14:paraId="4AC8743B"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C3035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0793F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Лешшрад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68080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A88BE7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71FCC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9F83F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399B3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842EB1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AFF00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3B17D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B2EAA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Кунцево на площадку фил. завода №292</w:t>
            </w:r>
          </w:p>
        </w:tc>
      </w:tr>
      <w:tr w:rsidR="006F4095" w:rsidRPr="008127F8" w14:paraId="00DA9FAB"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A40D4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43460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86EE1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EBF92A6"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2C1D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68B1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47CB1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Лаптеве Сельская обл.) на площадку бывш. зав. им. Побежнмова ГУСМП</w:t>
            </w:r>
          </w:p>
        </w:tc>
      </w:tr>
      <w:tr w:rsidR="006F4095" w:rsidRPr="008127F8" w14:paraId="0E88AD0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69A2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D862B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Бийск, Алтайский край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F3D52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их Серпухова</w:t>
            </w:r>
          </w:p>
        </w:tc>
      </w:tr>
      <w:tr w:rsidR="006F4095" w:rsidRPr="008127F8" w14:paraId="5FDCAC3C"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2C62A8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VII</w:t>
            </w:r>
            <w:r w:rsidRPr="008127F8">
              <w:rPr>
                <w:rFonts w:ascii="Times New Roman" w:hAnsi="Times New Roman"/>
                <w:iCs/>
                <w:color w:val="000000" w:themeColor="text1"/>
                <w:sz w:val="16"/>
                <w:szCs w:val="16"/>
              </w:rPr>
              <w:t>ГУ</w:t>
            </w:r>
          </w:p>
        </w:tc>
      </w:tr>
      <w:tr w:rsidR="006F4095" w:rsidRPr="008127F8" w14:paraId="0C8058A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FC85A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448B9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50F06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486028A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D569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02D65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Билимбай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89071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Химок</w:t>
            </w:r>
          </w:p>
        </w:tc>
      </w:tr>
      <w:tr w:rsidR="006F4095" w:rsidRPr="008127F8" w14:paraId="163D9D6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0361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8B23B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Билимбай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8A0A7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се Ухтомская</w:t>
            </w:r>
          </w:p>
        </w:tc>
      </w:tr>
      <w:tr w:rsidR="006F4095" w:rsidRPr="008127F8" w14:paraId="45518D5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4CCD0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468</w:t>
            </w:r>
            <w:r w:rsidRPr="008127F8">
              <w:rPr>
                <w:rFonts w:ascii="Times New Roman" w:hAnsi="Times New Roman"/>
                <w:iCs/>
                <w:color w:val="000000" w:themeColor="text1"/>
                <w:sz w:val="16"/>
                <w:szCs w:val="16"/>
              </w:rPr>
              <w:t xml:space="preserve"> (П ГУ)</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07385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Бшпшбай (Свердловсш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ACA7E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Бескудниково</w:t>
            </w:r>
          </w:p>
        </w:tc>
      </w:tr>
      <w:tr w:rsidR="006F4095" w:rsidRPr="008127F8" w14:paraId="4CCD7E2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A8F2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07AE0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514DF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Подлипки</w:t>
            </w:r>
          </w:p>
        </w:tc>
      </w:tr>
      <w:tr w:rsidR="006F4095" w:rsidRPr="008127F8" w14:paraId="20C101A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26D27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9E00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90A9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512621"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6A61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736DD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ED869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06B641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730AE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19AE8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Алма-Ата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ED1C4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1A1C9FCE"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2EBDC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D7767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D338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r w:rsidRPr="008127F8">
              <w:rPr>
                <w:rFonts w:ascii="Times New Roman" w:hAnsi="Times New Roman"/>
                <w:iCs/>
                <w:color w:val="000000" w:themeColor="text1"/>
                <w:sz w:val="16"/>
                <w:szCs w:val="16"/>
              </w:rPr>
              <w:t xml:space="preserve"> (входит в зав.</w:t>
            </w:r>
            <w:r w:rsidRPr="008127F8">
              <w:rPr>
                <w:rFonts w:ascii="Times New Roman" w:hAnsi="Times New Roman"/>
                <w:color w:val="000000" w:themeColor="text1"/>
                <w:sz w:val="16"/>
                <w:szCs w:val="16"/>
                <w:lang w:val="en-US"/>
              </w:rPr>
              <w:t>AS</w:t>
            </w:r>
            <w:r w:rsidRPr="008127F8">
              <w:rPr>
                <w:rFonts w:ascii="Times New Roman" w:hAnsi="Times New Roman"/>
                <w:iCs/>
                <w:color w:val="000000" w:themeColor="text1"/>
                <w:sz w:val="16"/>
                <w:szCs w:val="16"/>
              </w:rPr>
              <w:t>45)</w:t>
            </w:r>
          </w:p>
        </w:tc>
      </w:tr>
      <w:tr w:rsidR="006F4095" w:rsidRPr="008127F8" w14:paraId="50FE829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2B71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B05E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13889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61E784F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EE54F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E1937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7E57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0EA9188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9E555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E0E9B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1824B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1AC76F6A"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081EA5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1ХГУ</w:t>
            </w:r>
          </w:p>
        </w:tc>
      </w:tr>
      <w:tr w:rsidR="006F4095" w:rsidRPr="008127F8" w14:paraId="3B09CA0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009E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835F1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 Салда,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89083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Кунцево на площадку бывш. строит, зав. № 491</w:t>
            </w:r>
          </w:p>
        </w:tc>
      </w:tr>
      <w:tr w:rsidR="006F4095" w:rsidRPr="008127F8" w14:paraId="3E6020C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9883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2F6C3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FB1AD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F255A4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8D58F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r w:rsidRPr="008127F8">
              <w:rPr>
                <w:rFonts w:ascii="Times New Roman" w:hAnsi="Times New Roman"/>
                <w:iCs/>
                <w:color w:val="000000" w:themeColor="text1"/>
                <w:sz w:val="16"/>
                <w:szCs w:val="16"/>
              </w:rPr>
              <w:t xml:space="preserve"> (зачёркнуто, 268)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F62B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5E722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сь Ступино на площадку строю бывш. зав. №268</w:t>
            </w:r>
          </w:p>
        </w:tc>
      </w:tr>
      <w:tr w:rsidR="006F4095" w:rsidRPr="008127F8" w14:paraId="4D03149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7064F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8221A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F6A53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на площадку бывш. зав. №384</w:t>
            </w:r>
          </w:p>
        </w:tc>
      </w:tr>
      <w:tr w:rsidR="006F4095" w:rsidRPr="008127F8" w14:paraId="7041995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A39C0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491E1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Кирса (Кировская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B8960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5CEEF8C"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FA446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C3BB4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Кунцево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9950A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эвакуированного завода № 95</w:t>
            </w:r>
          </w:p>
        </w:tc>
      </w:tr>
      <w:tr w:rsidR="006F4095" w:rsidRPr="008127F8" w14:paraId="1C44BB5B"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6EC87B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XI</w:t>
            </w:r>
            <w:r w:rsidRPr="008127F8">
              <w:rPr>
                <w:rFonts w:ascii="Times New Roman" w:hAnsi="Times New Roman"/>
                <w:iCs/>
                <w:color w:val="000000" w:themeColor="text1"/>
                <w:sz w:val="16"/>
                <w:szCs w:val="16"/>
              </w:rPr>
              <w:t>ГУ</w:t>
            </w:r>
          </w:p>
        </w:tc>
      </w:tr>
      <w:tr w:rsidR="006F4095" w:rsidRPr="008127F8" w14:paraId="488E15A7"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3D465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44F3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Лопапшо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E387F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Рязани на площадку бывш. деревообделочного комбината</w:t>
            </w:r>
          </w:p>
        </w:tc>
      </w:tr>
      <w:tr w:rsidR="006F4095" w:rsidRPr="008127F8" w14:paraId="1964E9E4" w14:textId="77777777">
        <w:trPr>
          <w:trHeight w:val="24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DE195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23A46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Тюммень (Свердловская обо.)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0C1E4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ш бое педгешикума</w:t>
            </w:r>
          </w:p>
        </w:tc>
      </w:tr>
      <w:tr w:rsidR="006F4095" w:rsidRPr="008127F8" w14:paraId="51EF4C4F"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F6D7D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672E3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Алапаевск (Свердловская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07EF7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Тушино на шквддку бывш. деревообделочного комбината</w:t>
            </w:r>
          </w:p>
        </w:tc>
      </w:tr>
      <w:tr w:rsidR="006F4095" w:rsidRPr="008127F8" w14:paraId="7642F534" w14:textId="77777777">
        <w:trPr>
          <w:gridAfter w:val="1"/>
          <w:wAfter w:w="7" w:type="dxa"/>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4F44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00D29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Шумерля (Чуваш. АССР)</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23F482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BF84B9E"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C5D2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3BFA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210871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4BE7EBC"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F79C4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7D66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Козловка (Чуваш. АССР)</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2ECEF5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r>
      <w:tr w:rsidR="006F4095" w:rsidRPr="008127F8" w14:paraId="4960C0F3"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B10DE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260D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Заводоуювская (Омская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6BDAF1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47B5EF5" w14:textId="77777777">
        <w:trPr>
          <w:gridAfter w:val="1"/>
          <w:wAfter w:w="7" w:type="dxa"/>
          <w:trHeight w:val="221"/>
        </w:trPr>
        <w:tc>
          <w:tcPr>
            <w:tcW w:w="5947" w:type="dxa"/>
            <w:gridSpan w:val="3"/>
            <w:tcBorders>
              <w:top w:val="single" w:sz="6" w:space="0" w:color="auto"/>
              <w:left w:val="single" w:sz="6" w:space="0" w:color="auto"/>
              <w:bottom w:val="single" w:sz="6" w:space="0" w:color="auto"/>
              <w:right w:val="single" w:sz="6" w:space="0" w:color="auto"/>
            </w:tcBorders>
            <w:shd w:val="clear" w:color="auto" w:fill="FFFFFF"/>
          </w:tcPr>
          <w:p w14:paraId="1FD6F4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Оргавиапром</w:t>
            </w:r>
          </w:p>
        </w:tc>
      </w:tr>
      <w:tr w:rsidR="006F4095" w:rsidRPr="008127F8" w14:paraId="77577BDC"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BF68C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C81D6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3C1B1D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3179801A"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37AF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5AF9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Опытный (Челябинская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06276C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4589C767"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3441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8D420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CF106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завода № 2 Оргавиапрома</w:t>
            </w:r>
          </w:p>
        </w:tc>
      </w:tr>
      <w:tr w:rsidR="006F4095" w:rsidRPr="008127F8" w14:paraId="4C625E46"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1B381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7CD9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Тавда (Свердловская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46C346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64C08D48"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4C774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2C1C1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Кемерово (Новосибирская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E24CC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7B734659"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9F8F5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E64A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Бсрдск (Новосибирская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3C158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Осипенко (ныне—Бердянск)</w:t>
            </w:r>
          </w:p>
        </w:tc>
      </w:tr>
      <w:tr w:rsidR="006F4095" w:rsidRPr="008127F8" w14:paraId="1484B1C8" w14:textId="77777777">
        <w:trPr>
          <w:gridAfter w:val="1"/>
          <w:wAfter w:w="7" w:type="dxa"/>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05EC7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10E8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66BA4F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ва базе зав. № 478</w:t>
            </w:r>
          </w:p>
        </w:tc>
      </w:tr>
      <w:tr w:rsidR="006F4095" w:rsidRPr="008127F8" w14:paraId="72522F5F" w14:textId="77777777">
        <w:trPr>
          <w:gridAfter w:val="1"/>
          <w:wAfter w:w="7" w:type="dxa"/>
          <w:trHeight w:val="221"/>
        </w:trPr>
        <w:tc>
          <w:tcPr>
            <w:tcW w:w="5947" w:type="dxa"/>
            <w:gridSpan w:val="3"/>
            <w:tcBorders>
              <w:top w:val="single" w:sz="6" w:space="0" w:color="auto"/>
              <w:left w:val="single" w:sz="6" w:space="0" w:color="auto"/>
              <w:bottom w:val="single" w:sz="6" w:space="0" w:color="auto"/>
              <w:right w:val="single" w:sz="6" w:space="0" w:color="auto"/>
            </w:tcBorders>
            <w:shd w:val="clear" w:color="auto" w:fill="FFFFFF"/>
          </w:tcPr>
          <w:p w14:paraId="41A502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Ремонтный отдел</w:t>
            </w:r>
          </w:p>
        </w:tc>
      </w:tr>
      <w:tr w:rsidR="006F4095" w:rsidRPr="008127F8" w14:paraId="560A0517" w14:textId="77777777">
        <w:trPr>
          <w:gridAfter w:val="1"/>
          <w:wAfter w:w="7" w:type="dxa"/>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5F04F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F2091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F8BEC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 зав. № 89 ГВФ</w:t>
            </w:r>
          </w:p>
        </w:tc>
      </w:tr>
      <w:tr w:rsidR="006F4095" w:rsidRPr="008127F8" w14:paraId="45DCFED9" w14:textId="77777777">
        <w:trPr>
          <w:gridAfter w:val="1"/>
          <w:wAfter w:w="7" w:type="dxa"/>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9722F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C9159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3F1FE6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их площадке</w:t>
            </w:r>
            <w:r w:rsidRPr="008127F8">
              <w:rPr>
                <w:rFonts w:ascii="Times New Roman" w:hAnsi="Times New Roman"/>
                <w:iCs/>
                <w:color w:val="000000" w:themeColor="text1"/>
                <w:sz w:val="16"/>
                <w:szCs w:val="16"/>
              </w:rPr>
              <w:t xml:space="preserve"> бит.</w:t>
            </w:r>
            <w:r w:rsidRPr="008127F8">
              <w:rPr>
                <w:rFonts w:ascii="Times New Roman" w:hAnsi="Times New Roman"/>
                <w:color w:val="000000" w:themeColor="text1"/>
                <w:sz w:val="16"/>
                <w:szCs w:val="16"/>
              </w:rPr>
              <w:t xml:space="preserve"> зав. </w:t>
            </w:r>
            <w:r w:rsidRPr="008127F8">
              <w:rPr>
                <w:rFonts w:ascii="Times New Roman" w:hAnsi="Times New Roman"/>
                <w:color w:val="000000" w:themeColor="text1"/>
                <w:sz w:val="16"/>
                <w:szCs w:val="16"/>
                <w:lang w:val="en-US"/>
              </w:rPr>
              <w:t xml:space="preserve">Jfe </w:t>
            </w:r>
            <w:r w:rsidRPr="008127F8">
              <w:rPr>
                <w:rFonts w:ascii="Times New Roman" w:hAnsi="Times New Roman"/>
                <w:color w:val="000000" w:themeColor="text1"/>
                <w:sz w:val="16"/>
                <w:szCs w:val="16"/>
              </w:rPr>
              <w:t>115</w:t>
            </w:r>
          </w:p>
        </w:tc>
      </w:tr>
      <w:tr w:rsidR="006F4095" w:rsidRPr="008127F8" w14:paraId="423024D2"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A29B1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C7F36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75CE7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Органюовав ва площадке бывш. зав. № 301</w:t>
            </w:r>
          </w:p>
        </w:tc>
      </w:tr>
      <w:tr w:rsidR="006F4095" w:rsidRPr="008127F8" w14:paraId="25B1E1F4" w14:textId="77777777">
        <w:trPr>
          <w:gridAfter w:val="1"/>
          <w:wAfter w:w="7" w:type="dxa"/>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0171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783D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5DBA0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ва площадке бывш. зав. № 482</w:t>
            </w:r>
          </w:p>
        </w:tc>
      </w:tr>
      <w:tr w:rsidR="006F4095" w:rsidRPr="008127F8" w14:paraId="223FF47D" w14:textId="77777777">
        <w:trPr>
          <w:gridAfter w:val="1"/>
          <w:wAfter w:w="7" w:type="dxa"/>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43614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ACEC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A0739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ва площадке бывш. ЦИАМ</w:t>
            </w:r>
            <w:r w:rsidRPr="008127F8">
              <w:rPr>
                <w:rFonts w:ascii="Times New Roman" w:hAnsi="Times New Roman"/>
                <w:iCs/>
                <w:color w:val="000000" w:themeColor="text1"/>
                <w:sz w:val="16"/>
                <w:szCs w:val="16"/>
              </w:rPr>
              <w:t xml:space="preserve"> (отошёл ж Ш Питу за №41)</w:t>
            </w:r>
          </w:p>
        </w:tc>
      </w:tr>
    </w:tbl>
    <w:p w14:paraId="0A9322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Тут и далее—в скобках курсивом — от руки, карандашам.</w:t>
      </w:r>
    </w:p>
    <w:p w14:paraId="49A125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96B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Список бывших и бездействующих предприятий ИКАЛ (</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РГАЭ. Ф. 8044. Оп. 1. Д. 2826. Л. 21—25)</w:t>
      </w:r>
    </w:p>
    <w:tbl>
      <w:tblPr>
        <w:tblW w:w="0" w:type="auto"/>
        <w:tblInd w:w="8" w:type="dxa"/>
        <w:tblLayout w:type="fixed"/>
        <w:tblCellMar>
          <w:left w:w="0" w:type="dxa"/>
          <w:right w:w="0" w:type="dxa"/>
        </w:tblCellMar>
        <w:tblLook w:val="0000" w:firstRow="0" w:lastRow="0" w:firstColumn="0" w:lastColumn="0" w:noHBand="0" w:noVBand="0"/>
      </w:tblPr>
      <w:tblGrid>
        <w:gridCol w:w="426"/>
        <w:gridCol w:w="1099"/>
        <w:gridCol w:w="11"/>
        <w:gridCol w:w="1417"/>
        <w:gridCol w:w="8"/>
        <w:gridCol w:w="2993"/>
      </w:tblGrid>
      <w:tr w:rsidR="006F4095" w:rsidRPr="008127F8" w14:paraId="2F23D3D4" w14:textId="77777777">
        <w:trPr>
          <w:trHeight w:val="422"/>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8346C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E2FE3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Прежнее местоположение</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E29C4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Дата</w:t>
            </w:r>
            <w:r w:rsidRP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выбытия  (</w:t>
            </w:r>
            <w:proofErr w:type="gramEnd"/>
            <w:r w:rsidRPr="008127F8">
              <w:rPr>
                <w:rFonts w:ascii="Times New Roman" w:hAnsi="Times New Roman"/>
                <w:color w:val="000000" w:themeColor="text1"/>
                <w:sz w:val="16"/>
                <w:szCs w:val="16"/>
              </w:rPr>
              <w:t>прекра</w:t>
            </w:r>
            <w:r w:rsidRPr="008127F8">
              <w:rPr>
                <w:rFonts w:ascii="Times New Roman" w:hAnsi="Times New Roman"/>
                <w:color w:val="000000" w:themeColor="text1"/>
                <w:sz w:val="16"/>
                <w:szCs w:val="16"/>
              </w:rPr>
              <w:softHyphen/>
              <w:t>щения производства)</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636830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Причтна выбытия (прекращения производства)</w:t>
            </w:r>
          </w:p>
        </w:tc>
      </w:tr>
      <w:tr w:rsidR="006F4095" w:rsidRPr="008127F8" w14:paraId="79E49513"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0C8232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1ГУ</w:t>
            </w:r>
          </w:p>
        </w:tc>
      </w:tr>
      <w:tr w:rsidR="006F4095" w:rsidRPr="008127F8" w14:paraId="70D03357"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13804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D151D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E17A3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окпбрь1941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BED7C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Омск, сиг с зав. № 166</w:t>
            </w:r>
          </w:p>
        </w:tc>
      </w:tr>
      <w:tr w:rsidR="006F4095" w:rsidRPr="008127F8" w14:paraId="05A96E9F"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E4E96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7DF5D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F21E6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129BFF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 оборудования на различные заводи</w:t>
            </w:r>
          </w:p>
        </w:tc>
      </w:tr>
      <w:tr w:rsidR="006F4095" w:rsidRPr="008127F8" w14:paraId="1D216DC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0057B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D6601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D563B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024C1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елвт с за». №155</w:t>
            </w:r>
          </w:p>
        </w:tc>
      </w:tr>
      <w:tr w:rsidR="006F4095" w:rsidRPr="008127F8" w14:paraId="6FBC146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67C35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61B1E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Лешшград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967FE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вши 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58F91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сшс зав. №153</w:t>
            </w:r>
          </w:p>
        </w:tc>
      </w:tr>
      <w:tr w:rsidR="006F4095" w:rsidRPr="008127F8" w14:paraId="1CB96BA0"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D67C9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1ACE6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11529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3ECC1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7D0D789B"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06296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13FB0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350E4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16AE6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в Новосибирск, шт с зав. </w:t>
            </w:r>
            <w:r w:rsidRPr="008127F8">
              <w:rPr>
                <w:rFonts w:ascii="Times New Roman" w:hAnsi="Times New Roman"/>
                <w:color w:val="000000" w:themeColor="text1"/>
                <w:sz w:val="16"/>
                <w:szCs w:val="16"/>
                <w:lang w:val="en-US"/>
              </w:rPr>
              <w:t xml:space="preserve">Mi </w:t>
            </w:r>
            <w:r w:rsidRPr="008127F8">
              <w:rPr>
                <w:rFonts w:ascii="Times New Roman" w:hAnsi="Times New Roman"/>
                <w:color w:val="000000" w:themeColor="text1"/>
                <w:sz w:val="16"/>
                <w:szCs w:val="16"/>
              </w:rPr>
              <w:t>153</w:t>
            </w:r>
          </w:p>
        </w:tc>
      </w:tr>
      <w:tr w:rsidR="006F4095" w:rsidRPr="008127F8" w14:paraId="02890B9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8D8C2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EB803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Рига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477C5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1E6E9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Расформировав в связи с эвакуацией</w:t>
            </w:r>
          </w:p>
        </w:tc>
      </w:tr>
      <w:tr w:rsidR="006F4095" w:rsidRPr="008127F8" w14:paraId="344FD3A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E8DAF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C8B70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C6D5F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B06F0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3CEC300E"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7804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856BF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Каунас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30DB1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F59A3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53DE9116"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BFC56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A8065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Таллин</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AD176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70C1BF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6634C51A"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C70E5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21DE6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032EB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ссвибрь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7C9474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6DD9ABF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17A61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EEAB5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D3722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оггабрь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73B02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Моспы на, М1</w:t>
            </w:r>
          </w:p>
        </w:tc>
      </w:tr>
      <w:tr w:rsidR="006F4095" w:rsidRPr="008127F8" w14:paraId="5615521F" w14:textId="77777777">
        <w:trPr>
          <w:trHeight w:val="221"/>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52A66F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ПГУ</w:t>
            </w:r>
          </w:p>
        </w:tc>
      </w:tr>
      <w:tr w:rsidR="006F4095" w:rsidRPr="008127F8" w14:paraId="3086F5C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AFC58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DEBC0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8516B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3001" w:type="dxa"/>
            <w:gridSpan w:val="2"/>
            <w:tcBorders>
              <w:top w:val="single" w:sz="6" w:space="0" w:color="auto"/>
              <w:left w:val="single" w:sz="6" w:space="0" w:color="auto"/>
              <w:bottom w:val="single" w:sz="6" w:space="0" w:color="auto"/>
              <w:right w:val="nil"/>
            </w:tcBorders>
            <w:shd w:val="clear" w:color="auto" w:fill="FFFFFF"/>
          </w:tcPr>
          <w:p w14:paraId="568B13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Расформирован в связи с эвакуацией </w:t>
            </w:r>
            <w:r w:rsidRPr="008127F8">
              <w:rPr>
                <w:rFonts w:ascii="Times New Roman" w:hAnsi="Times New Roman"/>
                <w:color w:val="000000" w:themeColor="text1"/>
                <w:sz w:val="16"/>
                <w:szCs w:val="16"/>
                <w:lang w:val="en-US"/>
              </w:rPr>
              <w:t>J</w:t>
            </w:r>
          </w:p>
        </w:tc>
      </w:tr>
      <w:tr w:rsidR="006F4095" w:rsidRPr="008127F8" w14:paraId="267CFEAF"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8FDF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E77AC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Запорожье</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01CB9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шаль</w:t>
            </w:r>
          </w:p>
        </w:tc>
        <w:tc>
          <w:tcPr>
            <w:tcW w:w="3001" w:type="dxa"/>
            <w:gridSpan w:val="2"/>
            <w:tcBorders>
              <w:top w:val="single" w:sz="6" w:space="0" w:color="auto"/>
              <w:left w:val="single" w:sz="6" w:space="0" w:color="auto"/>
              <w:bottom w:val="single" w:sz="6" w:space="0" w:color="auto"/>
              <w:right w:val="nil"/>
            </w:tcBorders>
            <w:shd w:val="clear" w:color="auto" w:fill="FFFFFF"/>
          </w:tcPr>
          <w:p w14:paraId="58FE15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 объединён с за. №</w:t>
            </w:r>
            <w:proofErr w:type="gramStart"/>
            <w:r w:rsidRPr="008127F8">
              <w:rPr>
                <w:rFonts w:ascii="Times New Roman" w:hAnsi="Times New Roman"/>
                <w:color w:val="000000" w:themeColor="text1"/>
                <w:sz w:val="16"/>
                <w:szCs w:val="16"/>
              </w:rPr>
              <w:t>451 ]</w:t>
            </w:r>
            <w:proofErr w:type="gramEnd"/>
          </w:p>
        </w:tc>
      </w:tr>
      <w:tr w:rsidR="006F4095" w:rsidRPr="008127F8" w14:paraId="2C4934CE" w14:textId="77777777">
        <w:trPr>
          <w:trHeight w:val="60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44350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57F78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Безымянка (Куйбышевски обл.)</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62D71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86EC3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зав. № 145, эвакуированном о ММЯМ</w:t>
            </w:r>
          </w:p>
        </w:tc>
      </w:tr>
      <w:tr w:rsidR="006F4095" w:rsidRPr="008127F8" w14:paraId="10CC91D6"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0F7B85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ШГУ</w:t>
            </w:r>
          </w:p>
        </w:tc>
      </w:tr>
      <w:tr w:rsidR="006F4095" w:rsidRPr="008127F8" w14:paraId="376EB630"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3038A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9F635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56912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6B0199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в Казань и реэвакуацией в Москву</w:t>
            </w:r>
          </w:p>
        </w:tc>
      </w:tr>
      <w:tr w:rsidR="006F4095" w:rsidRPr="008127F8" w14:paraId="4CFFA625"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D5012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3D142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DF326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ноабрь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41963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Воронежа зав. № 16</w:t>
            </w:r>
          </w:p>
        </w:tc>
      </w:tr>
      <w:tr w:rsidR="006F4095" w:rsidRPr="008127F8" w14:paraId="7FFCC944"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695B4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83F60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265EA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ADF9F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358B704F"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C242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A8660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043A3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DD3EF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 Оборудовав</w:t>
            </w:r>
          </w:p>
          <w:p w14:paraId="16A0E5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передано другим заводам</w:t>
            </w:r>
          </w:p>
        </w:tc>
      </w:tr>
      <w:tr w:rsidR="006F4095" w:rsidRPr="008127F8" w14:paraId="235A05D8"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1604C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664E2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Могилёв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74BCA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шаль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1A148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 Оборлюии» передано другим заводам</w:t>
            </w:r>
          </w:p>
        </w:tc>
      </w:tr>
      <w:tr w:rsidR="006F4095" w:rsidRPr="008127F8" w14:paraId="37CE074E"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F9EE4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DBA37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C0290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9694D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заводом № 24;</w:t>
            </w:r>
          </w:p>
        </w:tc>
      </w:tr>
      <w:tr w:rsidR="006F4095" w:rsidRPr="008127F8" w14:paraId="501FF3C1"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FB07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A6888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737C5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11A709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Расформировав в связи с эвакуацией.</w:t>
            </w:r>
          </w:p>
        </w:tc>
      </w:tr>
      <w:tr w:rsidR="006F4095" w:rsidRPr="008127F8" w14:paraId="2D6E80CA"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4D716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A800E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DAB90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9E125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Запорожья зав. № 29</w:t>
            </w:r>
          </w:p>
        </w:tc>
      </w:tr>
      <w:tr w:rsidR="006F4095" w:rsidRPr="008127F8" w14:paraId="5036449E"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34F88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D2C86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04213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11E318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Рыбинска № 26</w:t>
            </w:r>
          </w:p>
        </w:tc>
      </w:tr>
      <w:tr w:rsidR="006F4095" w:rsidRPr="008127F8" w14:paraId="2A4B63CD"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4CF33B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IV ГУ</w:t>
            </w:r>
          </w:p>
        </w:tc>
      </w:tr>
      <w:tr w:rsidR="006F4095" w:rsidRPr="008127F8" w14:paraId="0B0C627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94067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6DE8D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Полтава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2E3F1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DB2AF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Эвакуирован</w:t>
            </w:r>
            <w:proofErr w:type="gramEnd"/>
            <w:r w:rsidRPr="008127F8">
              <w:rPr>
                <w:rFonts w:ascii="Times New Roman" w:hAnsi="Times New Roman"/>
                <w:color w:val="000000" w:themeColor="text1"/>
                <w:sz w:val="16"/>
                <w:szCs w:val="16"/>
              </w:rPr>
              <w:t xml:space="preserve"> а Саратов, объединён с зав. № 306</w:t>
            </w:r>
          </w:p>
        </w:tc>
      </w:tr>
      <w:tr w:rsidR="006F4095" w:rsidRPr="008127F8" w14:paraId="4BF10E9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2943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B1AAC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94BDD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E7725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Саретов, объединён с за». № 306</w:t>
            </w:r>
          </w:p>
        </w:tc>
      </w:tr>
      <w:tr w:rsidR="006F4095" w:rsidRPr="008127F8" w14:paraId="3CDC9B8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9C9CC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DA847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BD696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2456F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Обьединёвсзав.№</w:t>
            </w:r>
            <w:proofErr w:type="gramEnd"/>
            <w:r w:rsidRPr="008127F8">
              <w:rPr>
                <w:rFonts w:ascii="Times New Roman" w:hAnsi="Times New Roman"/>
                <w:color w:val="000000" w:themeColor="text1"/>
                <w:sz w:val="16"/>
                <w:szCs w:val="16"/>
              </w:rPr>
              <w:t>26</w:t>
            </w:r>
          </w:p>
        </w:tc>
      </w:tr>
      <w:tr w:rsidR="006F4095" w:rsidRPr="008127F8" w14:paraId="6296BF8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64732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474F2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5875D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251646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Молотов н объединён с зав. Л19</w:t>
            </w:r>
          </w:p>
        </w:tc>
      </w:tr>
      <w:tr w:rsidR="006F4095" w:rsidRPr="008127F8" w14:paraId="66A50C6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C3F1C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C29AF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631A1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90F2F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Киров, объединён с зав. №266</w:t>
            </w:r>
          </w:p>
        </w:tc>
      </w:tr>
      <w:tr w:rsidR="006F4095" w:rsidRPr="008127F8" w14:paraId="0FE5AC9B"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4DA0F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C8070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65715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5D964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 №33</w:t>
            </w:r>
          </w:p>
        </w:tc>
      </w:tr>
      <w:tr w:rsidR="006F4095" w:rsidRPr="008127F8" w14:paraId="1A736F1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91B72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D17A5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F3FE1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0B3BD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Объединён с эвакуированным из Мвшн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 316</w:t>
            </w:r>
          </w:p>
        </w:tc>
      </w:tr>
      <w:tr w:rsidR="006F4095" w:rsidRPr="008127F8" w14:paraId="405E3F38"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978F5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079D7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D433A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7220D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Киров, объединён с зав.№ 266</w:t>
            </w:r>
          </w:p>
        </w:tc>
      </w:tr>
      <w:tr w:rsidR="006F4095" w:rsidRPr="008127F8" w14:paraId="3F67D130"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AAC22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495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8C116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29867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BC27D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зав. Л 20</w:t>
            </w:r>
          </w:p>
        </w:tc>
      </w:tr>
      <w:tr w:rsidR="006F4095" w:rsidRPr="008127F8" w14:paraId="46CBF93C" w14:textId="77777777">
        <w:trPr>
          <w:trHeight w:val="221"/>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0CD0F1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УГУ</w:t>
            </w:r>
          </w:p>
        </w:tc>
      </w:tr>
      <w:tr w:rsidR="006F4095" w:rsidRPr="008127F8" w14:paraId="0677A92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A2543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29E0A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Тарту</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40703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C0E2A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Свердловск, обьедвнёв с зав. № 214</w:t>
            </w:r>
          </w:p>
        </w:tc>
      </w:tr>
      <w:tr w:rsidR="006F4095" w:rsidRPr="008127F8" w14:paraId="3532E2E4"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79FFC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F9C21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Вильнюс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3BD08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5EBE1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w:t>
            </w:r>
          </w:p>
        </w:tc>
      </w:tr>
      <w:tr w:rsidR="006F4095" w:rsidRPr="008127F8" w14:paraId="0AC8462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C3720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9EDF4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Львов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8C20B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7736C2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в Казань, объединён с </w:t>
            </w:r>
            <w:r w:rsidRPr="008127F8">
              <w:rPr>
                <w:rFonts w:ascii="Times New Roman" w:hAnsi="Times New Roman"/>
                <w:color w:val="000000" w:themeColor="text1"/>
                <w:sz w:val="16"/>
                <w:szCs w:val="16"/>
                <w:lang w:val="en-US"/>
              </w:rPr>
              <w:t>mJfe</w:t>
            </w:r>
            <w:r w:rsidRPr="008127F8">
              <w:rPr>
                <w:rFonts w:ascii="Times New Roman" w:hAnsi="Times New Roman"/>
                <w:color w:val="000000" w:themeColor="text1"/>
                <w:sz w:val="16"/>
                <w:szCs w:val="16"/>
              </w:rPr>
              <w:t xml:space="preserve"> 218фил.</w:t>
            </w:r>
          </w:p>
        </w:tc>
      </w:tr>
      <w:tr w:rsidR="006F4095" w:rsidRPr="008127F8" w14:paraId="0DB5EB4E"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0384C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ACAF2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6C060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7D35A2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w:t>
            </w:r>
          </w:p>
        </w:tc>
      </w:tr>
      <w:tr w:rsidR="006F4095" w:rsidRPr="008127F8" w14:paraId="139A8470"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710BB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80603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9B304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3B6B7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48A6508D" w14:textId="77777777">
        <w:trPr>
          <w:trHeight w:val="221"/>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29D76E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У1ГУ</w:t>
            </w:r>
          </w:p>
        </w:tc>
      </w:tr>
      <w:tr w:rsidR="006F4095" w:rsidRPr="008127F8" w14:paraId="148C180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F6D0A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54876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Калуга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80038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B8A52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Чкалов, объединён с зав. № 47</w:t>
            </w:r>
          </w:p>
        </w:tc>
      </w:tr>
      <w:tr w:rsidR="006F4095" w:rsidRPr="008127F8" w14:paraId="22EC6248"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D826D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F9C9C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62CAB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5ACA6E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Днепропетровска зав. №481</w:t>
            </w:r>
          </w:p>
        </w:tc>
      </w:tr>
      <w:tr w:rsidR="006F4095" w:rsidRPr="008127F8" w14:paraId="7602DD6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18326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F5C1A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Севастополь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B6EF3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A8E09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5D03E54F"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66F4EB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УПГУ</w:t>
            </w:r>
          </w:p>
        </w:tc>
      </w:tr>
      <w:tr w:rsidR="006F4095" w:rsidRPr="008127F8" w14:paraId="4A49D5E9"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980DE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r w:rsidRPr="008127F8">
              <w:rPr>
                <w:rFonts w:ascii="Times New Roman" w:hAnsi="Times New Roman"/>
                <w:color w:val="000000" w:themeColor="text1"/>
                <w:sz w:val="16"/>
                <w:szCs w:val="16"/>
                <w:lang w:val="en-US"/>
              </w:rPr>
              <w:t>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FD222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B9113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7A399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в Новосибирск преобразован в ОКБ зав. №153</w:t>
            </w:r>
          </w:p>
        </w:tc>
      </w:tr>
      <w:tr w:rsidR="006F4095" w:rsidRPr="008127F8" w14:paraId="501987B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DA021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32CBE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6A1C7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7659B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Омск, объединён с зав. № 166</w:t>
            </w:r>
          </w:p>
        </w:tc>
      </w:tr>
      <w:tr w:rsidR="006F4095" w:rsidRPr="008127F8" w14:paraId="652892C0"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7E7838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ХГУ</w:t>
            </w:r>
          </w:p>
        </w:tc>
      </w:tr>
      <w:tr w:rsidR="006F4095" w:rsidRPr="008127F8" w14:paraId="2E61DDF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092A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62D4F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Кимры</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35A00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6EE04F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434F4BDE" w14:textId="77777777">
        <w:trPr>
          <w:trHeight w:val="23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B8DF2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F8CA1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Смоленск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11B0E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60FB2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6EC38F0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41E58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B34BE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18686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0DCB9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зав. № 22</w:t>
            </w:r>
          </w:p>
        </w:tc>
      </w:tr>
      <w:tr w:rsidR="006F4095" w:rsidRPr="008127F8" w14:paraId="6058FF0F"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F52CA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6426F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DB009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5704D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ю Москвы зав. № 39</w:t>
            </w:r>
          </w:p>
        </w:tc>
      </w:tr>
      <w:tr w:rsidR="006F4095" w:rsidRPr="008127F8" w14:paraId="50DE340C"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13DD6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C4A08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F244F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F057E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Н-Тагил, объединён с эвакуированным туда же зав. №381</w:t>
            </w:r>
          </w:p>
        </w:tc>
      </w:tr>
      <w:tr w:rsidR="006F4095" w:rsidRPr="008127F8" w14:paraId="6761422F"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7F85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22AC0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D2BD3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54E49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269FDCAA"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934F7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1FFEBE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AE4C3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51C38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 (вся</w:t>
            </w:r>
            <w:r w:rsidRPr="008127F8">
              <w:rPr>
                <w:rFonts w:ascii="Times New Roman" w:hAnsi="Times New Roman"/>
                <w:iCs/>
                <w:color w:val="000000" w:themeColor="text1"/>
                <w:sz w:val="16"/>
                <w:szCs w:val="16"/>
              </w:rPr>
              <w:t xml:space="preserve"> строчка завода зачёркнута </w:t>
            </w:r>
            <w:r w:rsidRPr="008127F8">
              <w:rPr>
                <w:rFonts w:ascii="Times New Roman" w:hAnsi="Times New Roman"/>
                <w:iCs/>
                <w:color w:val="000000" w:themeColor="text1"/>
                <w:sz w:val="16"/>
                <w:szCs w:val="16"/>
                <w:lang w:val="en-US"/>
              </w:rPr>
              <w:t>oat</w:t>
            </w:r>
            <w:r w:rsidRPr="008127F8">
              <w:rPr>
                <w:rFonts w:ascii="Times New Roman" w:hAnsi="Times New Roman"/>
                <w:iCs/>
                <w:color w:val="000000" w:themeColor="text1"/>
                <w:sz w:val="16"/>
                <w:szCs w:val="16"/>
              </w:rPr>
              <w:t xml:space="preserve"> руки карандашом)</w:t>
            </w:r>
          </w:p>
        </w:tc>
      </w:tr>
      <w:tr w:rsidR="006F4095" w:rsidRPr="008127F8" w14:paraId="2004DF4C"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5DE11C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XI</w:t>
            </w:r>
            <w:r w:rsidRPr="008127F8">
              <w:rPr>
                <w:rFonts w:ascii="Times New Roman" w:hAnsi="Times New Roman"/>
                <w:iCs/>
                <w:color w:val="000000" w:themeColor="text1"/>
                <w:sz w:val="16"/>
                <w:szCs w:val="16"/>
              </w:rPr>
              <w:t>ГУ</w:t>
            </w:r>
          </w:p>
        </w:tc>
      </w:tr>
      <w:tr w:rsidR="006F4095" w:rsidRPr="008127F8" w14:paraId="62B94548"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F734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7AA21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4E2B3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80AD5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Ленинграда зав. №387</w:t>
            </w:r>
          </w:p>
        </w:tc>
      </w:tr>
      <w:tr w:rsidR="006F4095" w:rsidRPr="008127F8" w14:paraId="18EC4B9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8A3C8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E462B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4EF3A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89360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6172104A"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C1D44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482</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9CFA4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DDB93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BB532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в Козовку (Чувашей» АССР), объединён </w:t>
            </w:r>
            <w:proofErr w:type="gramStart"/>
            <w:r w:rsidRPr="008127F8">
              <w:rPr>
                <w:rFonts w:ascii="Times New Roman" w:hAnsi="Times New Roman"/>
                <w:color w:val="000000" w:themeColor="text1"/>
                <w:sz w:val="16"/>
                <w:szCs w:val="16"/>
              </w:rPr>
              <w:t>с зав</w:t>
            </w:r>
            <w:proofErr w:type="gramEnd"/>
            <w:r w:rsidRPr="008127F8">
              <w:rPr>
                <w:rFonts w:ascii="Times New Roman" w:hAnsi="Times New Roman"/>
                <w:color w:val="000000" w:themeColor="text1"/>
                <w:sz w:val="16"/>
                <w:szCs w:val="16"/>
              </w:rPr>
              <w:t>, № 494</w:t>
            </w:r>
          </w:p>
        </w:tc>
      </w:tr>
      <w:tr w:rsidR="006F4095" w:rsidRPr="008127F8" w14:paraId="2BDBA839"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6FE7D4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Оргавиапром</w:t>
            </w:r>
          </w:p>
        </w:tc>
      </w:tr>
      <w:tr w:rsidR="006F4095" w:rsidRPr="008127F8" w14:paraId="59230271"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4D14D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CA93D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3A15F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70D5E7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Тавду (Свердловская обл.), объединён с зав. №5 Оргавиапрома</w:t>
            </w:r>
          </w:p>
        </w:tc>
      </w:tr>
      <w:tr w:rsidR="006F4095" w:rsidRPr="008127F8" w14:paraId="202A6A70" w14:textId="77777777">
        <w:trPr>
          <w:trHeight w:val="2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F21A0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82502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EE81A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9403B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bl>
    <w:p w14:paraId="16421CA9" w14:textId="77777777" w:rsidR="00D91C13" w:rsidRPr="008127F8" w:rsidRDefault="00D91C13"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01524E4C" w14:textId="77777777" w:rsidR="00D91C13" w:rsidRPr="008127F8" w:rsidRDefault="00D91C13"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Список строек предприятий НКАП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2826. Л. 26—27)</w:t>
      </w:r>
    </w:p>
    <w:tbl>
      <w:tblPr>
        <w:tblW w:w="0" w:type="auto"/>
        <w:tblInd w:w="8" w:type="dxa"/>
        <w:tblLayout w:type="fixed"/>
        <w:tblCellMar>
          <w:left w:w="0" w:type="dxa"/>
          <w:right w:w="0" w:type="dxa"/>
        </w:tblCellMar>
        <w:tblLook w:val="0000" w:firstRow="0" w:lastRow="0" w:firstColumn="0" w:lastColumn="0" w:noHBand="0" w:noVBand="0"/>
      </w:tblPr>
      <w:tblGrid>
        <w:gridCol w:w="643"/>
        <w:gridCol w:w="1392"/>
        <w:gridCol w:w="3898"/>
      </w:tblGrid>
      <w:tr w:rsidR="006F4095" w:rsidRPr="008127F8" w14:paraId="75F34505"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D9277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Номер</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6F984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Местоположение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D6E27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2850D7A7" w14:textId="77777777">
        <w:trPr>
          <w:trHeight w:val="230"/>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0ABC2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1ГУ</w:t>
            </w:r>
          </w:p>
        </w:tc>
      </w:tr>
      <w:tr w:rsidR="006F4095" w:rsidRPr="008127F8" w14:paraId="79744626"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06DFB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664DB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 на Амуре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63C11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0F76E7A7"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CB426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63F72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Кутаиси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B2542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249539B6"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FA1AF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446</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8DBBC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Баху</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0C870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Ростова завода № 458</w:t>
            </w:r>
          </w:p>
        </w:tc>
      </w:tr>
      <w:tr w:rsidR="006F4095" w:rsidRPr="008127F8" w14:paraId="575BA6A9"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0BD3CC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11ГУ</w:t>
            </w:r>
          </w:p>
        </w:tc>
      </w:tr>
      <w:tr w:rsidR="006F4095" w:rsidRPr="008127F8" w14:paraId="583EDA20"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2158A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3F7433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7F90B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Москвы завода № 32</w:t>
            </w:r>
          </w:p>
        </w:tc>
      </w:tr>
      <w:tr w:rsidR="006F4095" w:rsidRPr="008127F8" w14:paraId="602702EA"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E42EC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886DC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18D5E1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Солнечногорска завода № 469</w:t>
            </w:r>
          </w:p>
        </w:tc>
      </w:tr>
      <w:tr w:rsidR="006F4095" w:rsidRPr="008127F8" w14:paraId="6399916A"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53A7B3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ШГУ</w:t>
            </w:r>
          </w:p>
        </w:tc>
      </w:tr>
      <w:tr w:rsidR="006F4095" w:rsidRPr="008127F8" w14:paraId="6E9BA1D2"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156C6F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7BECC3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450868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площадае эвакуиро</w:t>
            </w:r>
            <w:r w:rsidRPr="008127F8">
              <w:rPr>
                <w:rFonts w:ascii="Times New Roman" w:hAnsi="Times New Roman"/>
                <w:color w:val="000000" w:themeColor="text1"/>
                <w:sz w:val="16"/>
                <w:szCs w:val="16"/>
              </w:rPr>
              <w:softHyphen/>
              <w:t>ванного из Таганрога завода № 31</w:t>
            </w:r>
          </w:p>
        </w:tc>
      </w:tr>
      <w:tr w:rsidR="006F4095" w:rsidRPr="008127F8" w14:paraId="70371F2D"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639BEF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1УГУ</w:t>
            </w:r>
          </w:p>
        </w:tc>
      </w:tr>
      <w:tr w:rsidR="006F4095" w:rsidRPr="008127F8" w14:paraId="5A0FE533"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0DB3FD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D1F76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Сарапул, Удмуртская АССР</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4B0D58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79D8380C"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ED8B5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AA9D0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FBE7D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Москвы завода № 25</w:t>
            </w:r>
          </w:p>
        </w:tc>
      </w:tr>
      <w:tr w:rsidR="006F4095" w:rsidRPr="008127F8" w14:paraId="336856C5" w14:textId="77777777">
        <w:trPr>
          <w:trHeight w:val="226"/>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76EB13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УГУ</w:t>
            </w:r>
          </w:p>
        </w:tc>
      </w:tr>
      <w:tr w:rsidR="006F4095" w:rsidRPr="008127F8" w14:paraId="4F05B0A9"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4D59E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2212F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E1B0E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35A5F02B"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85712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F65AB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A6B68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762A78A0"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39FB7C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287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7FEFED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326C0C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F4095" w:rsidRPr="008127F8" w14:paraId="01F28BDB"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66298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149</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F8307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Вязьма</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0C789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Прекращено в связи с эвакуацией</w:t>
            </w:r>
          </w:p>
        </w:tc>
      </w:tr>
      <w:tr w:rsidR="006F4095" w:rsidRPr="008127F8" w14:paraId="61342114" w14:textId="77777777">
        <w:trPr>
          <w:trHeight w:val="226"/>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0EC05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99488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23B8A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Прекращено в связи с эвакуацией</w:t>
            </w:r>
          </w:p>
        </w:tc>
      </w:tr>
      <w:tr w:rsidR="006F4095" w:rsidRPr="008127F8" w14:paraId="374DDBBD"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27E5D5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VI</w:t>
            </w:r>
            <w:r w:rsidRPr="008127F8">
              <w:rPr>
                <w:rFonts w:ascii="Times New Roman" w:hAnsi="Times New Roman"/>
                <w:iCs/>
                <w:color w:val="000000" w:themeColor="text1"/>
                <w:sz w:val="16"/>
                <w:szCs w:val="16"/>
              </w:rPr>
              <w:t>ГУ</w:t>
            </w:r>
          </w:p>
        </w:tc>
      </w:tr>
      <w:tr w:rsidR="006F4095" w:rsidRPr="008127F8" w14:paraId="66EC7A30"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0F3C3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377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297E1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Ново-Киевка, Амурская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7BB49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F4095" w:rsidRPr="008127F8" w14:paraId="573DB8C6"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91860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1ХГУ</w:t>
            </w:r>
          </w:p>
        </w:tc>
      </w:tr>
      <w:tr w:rsidR="006F4095" w:rsidRPr="008127F8" w14:paraId="5C3FF39E"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5E667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3294E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2C50A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эвакуированного из Ступино завода № 150</w:t>
            </w:r>
          </w:p>
        </w:tc>
      </w:tr>
      <w:tr w:rsidR="006F4095" w:rsidRPr="008127F8" w14:paraId="14EB29B3"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1C71DA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6EA8C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Верхняя Салда, Сверд</w:t>
            </w:r>
            <w:r w:rsidRPr="008127F8">
              <w:rPr>
                <w:rFonts w:ascii="Times New Roman" w:hAnsi="Times New Roman"/>
                <w:color w:val="000000" w:themeColor="text1"/>
                <w:sz w:val="16"/>
                <w:szCs w:val="16"/>
              </w:rPr>
              <w:softHyphen/>
              <w:t>ловская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F2A4D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эвакуированного из Кунцево завода №95</w:t>
            </w:r>
          </w:p>
        </w:tc>
      </w:tr>
      <w:tr w:rsidR="006F4095" w:rsidRPr="008127F8" w14:paraId="777043B9"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CAB6C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XГУ</w:t>
            </w:r>
          </w:p>
        </w:tc>
      </w:tr>
      <w:tr w:rsidR="006F4095" w:rsidRPr="008127F8" w14:paraId="018D4A04"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8E2FC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70280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Ереван</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5F6A1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w:t>
            </w:r>
          </w:p>
        </w:tc>
      </w:tr>
    </w:tbl>
    <w:p w14:paraId="245D2A36" w14:textId="77777777" w:rsidR="00D91C13" w:rsidRPr="008127F8" w:rsidRDefault="00D91C13"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(12011).</w:t>
      </w:r>
    </w:p>
    <w:p w14:paraId="25291A49" w14:textId="77777777" w:rsidR="00D91C13" w:rsidRPr="008127F8" w:rsidRDefault="00D91C13"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34E21822" w14:textId="77777777" w:rsidR="00011043" w:rsidRPr="008127F8" w:rsidRDefault="0001104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начало 1942 был подготовлен СПИСОК оборонных предприятий по наркоматам авиапромышленности, танковой промышленности и вооружения, перебазированных согласно постановлениям и распоряжениям ГКО, СНК СССР и Совета по эвакуации (июль — ноябрь 1941 г.) (Таблица составлена по данным Государственного архива Российской Федерации. Ф. 6822. Оп. 1. Д. 538.)</w:t>
      </w:r>
    </w:p>
    <w:p w14:paraId="60C4959F" w14:textId="77777777" w:rsidR="00011043" w:rsidRPr="008127F8" w:rsidRDefault="0001104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Наркомат авиапромышленности (НКАП)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6"/>
        <w:gridCol w:w="3776"/>
      </w:tblGrid>
      <w:tr w:rsidR="008127F8" w:rsidRPr="008127F8" w14:paraId="2808671D" w14:textId="77777777" w:rsidTr="0005046D">
        <w:tc>
          <w:tcPr>
            <w:tcW w:w="3776" w:type="dxa"/>
            <w:shd w:val="clear" w:color="auto" w:fill="auto"/>
          </w:tcPr>
          <w:p w14:paraId="70ACDEF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пп, Наименование предприятия</w:t>
            </w:r>
          </w:p>
        </w:tc>
        <w:tc>
          <w:tcPr>
            <w:tcW w:w="3776" w:type="dxa"/>
            <w:shd w:val="clear" w:color="auto" w:fill="auto"/>
          </w:tcPr>
          <w:p w14:paraId="32F2CF5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Куда эвакуировано</w:t>
            </w:r>
          </w:p>
        </w:tc>
      </w:tr>
      <w:tr w:rsidR="008127F8" w:rsidRPr="008127F8" w14:paraId="6A4CA15A" w14:textId="77777777" w:rsidTr="0005046D">
        <w:tc>
          <w:tcPr>
            <w:tcW w:w="3776" w:type="dxa"/>
            <w:shd w:val="clear" w:color="auto" w:fill="auto"/>
          </w:tcPr>
          <w:p w14:paraId="656893B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 Завод № 479, г. Серпухов</w:t>
            </w:r>
          </w:p>
        </w:tc>
        <w:tc>
          <w:tcPr>
            <w:tcW w:w="3776" w:type="dxa"/>
            <w:shd w:val="clear" w:color="auto" w:fill="auto"/>
          </w:tcPr>
          <w:p w14:paraId="77F76E3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 В г. Бийск Алтайского края</w:t>
            </w:r>
          </w:p>
        </w:tc>
      </w:tr>
      <w:tr w:rsidR="008127F8" w:rsidRPr="008127F8" w14:paraId="6E806FF2" w14:textId="77777777" w:rsidTr="0005046D">
        <w:tc>
          <w:tcPr>
            <w:tcW w:w="3776" w:type="dxa"/>
            <w:shd w:val="clear" w:color="auto" w:fill="auto"/>
          </w:tcPr>
          <w:p w14:paraId="18D6E45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 Заводы № 234, 451, г. Ленинград </w:t>
            </w:r>
          </w:p>
        </w:tc>
        <w:tc>
          <w:tcPr>
            <w:tcW w:w="3776" w:type="dxa"/>
            <w:shd w:val="clear" w:color="auto" w:fill="auto"/>
          </w:tcPr>
          <w:p w14:paraId="0701E37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моторный завод № 381 НКАП, г. Уфа</w:t>
            </w:r>
          </w:p>
        </w:tc>
      </w:tr>
      <w:tr w:rsidR="008127F8" w:rsidRPr="008127F8" w14:paraId="092EF1E2" w14:textId="77777777" w:rsidTr="0005046D">
        <w:tc>
          <w:tcPr>
            <w:tcW w:w="3776" w:type="dxa"/>
            <w:shd w:val="clear" w:color="auto" w:fill="auto"/>
          </w:tcPr>
          <w:p w14:paraId="505392B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 Завод № 49, г. Балашиха </w:t>
            </w:r>
          </w:p>
        </w:tc>
        <w:tc>
          <w:tcPr>
            <w:tcW w:w="3776" w:type="dxa"/>
            <w:shd w:val="clear" w:color="auto" w:fill="auto"/>
          </w:tcPr>
          <w:p w14:paraId="312F933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моторный завод № 381 НКАП, г. Уфа</w:t>
            </w:r>
          </w:p>
        </w:tc>
      </w:tr>
      <w:tr w:rsidR="008127F8" w:rsidRPr="008127F8" w14:paraId="428B784C" w14:textId="77777777" w:rsidTr="0005046D">
        <w:tc>
          <w:tcPr>
            <w:tcW w:w="3776" w:type="dxa"/>
            <w:shd w:val="clear" w:color="auto" w:fill="auto"/>
          </w:tcPr>
          <w:p w14:paraId="6902233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 Завод № 26, г. Рыбинск </w:t>
            </w:r>
          </w:p>
        </w:tc>
        <w:tc>
          <w:tcPr>
            <w:tcW w:w="3776" w:type="dxa"/>
            <w:shd w:val="clear" w:color="auto" w:fill="auto"/>
          </w:tcPr>
          <w:p w14:paraId="120E1D6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заводы № 338, 384 НКАП, г. Уфа</w:t>
            </w:r>
          </w:p>
        </w:tc>
      </w:tr>
      <w:tr w:rsidR="008127F8" w:rsidRPr="008127F8" w14:paraId="0823284C" w14:textId="77777777" w:rsidTr="0005046D">
        <w:tc>
          <w:tcPr>
            <w:tcW w:w="3776" w:type="dxa"/>
            <w:shd w:val="clear" w:color="auto" w:fill="auto"/>
          </w:tcPr>
          <w:p w14:paraId="7B92E10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5. Центральный институт авиамоторостроения (ЦИАМ), г. Москва</w:t>
            </w:r>
          </w:p>
        </w:tc>
        <w:tc>
          <w:tcPr>
            <w:tcW w:w="3776" w:type="dxa"/>
            <w:shd w:val="clear" w:color="auto" w:fill="auto"/>
          </w:tcPr>
          <w:p w14:paraId="4CD0FA6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моторный завод № 384 НКАП, г. Москва</w:t>
            </w:r>
          </w:p>
        </w:tc>
      </w:tr>
      <w:tr w:rsidR="008127F8" w:rsidRPr="008127F8" w14:paraId="396CD72C" w14:textId="77777777" w:rsidTr="0005046D">
        <w:tc>
          <w:tcPr>
            <w:tcW w:w="3776" w:type="dxa"/>
            <w:shd w:val="clear" w:color="auto" w:fill="auto"/>
          </w:tcPr>
          <w:p w14:paraId="47CDAE2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6. ОКБ завода № 16, г. Воронеж</w:t>
            </w:r>
          </w:p>
        </w:tc>
        <w:tc>
          <w:tcPr>
            <w:tcW w:w="3776" w:type="dxa"/>
            <w:shd w:val="clear" w:color="auto" w:fill="auto"/>
          </w:tcPr>
          <w:p w14:paraId="389EA6A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моторный завод № 384 НКАП, г. Москва</w:t>
            </w:r>
          </w:p>
        </w:tc>
      </w:tr>
      <w:tr w:rsidR="008127F8" w:rsidRPr="008127F8" w14:paraId="66CAEC90" w14:textId="77777777" w:rsidTr="0005046D">
        <w:tc>
          <w:tcPr>
            <w:tcW w:w="3776" w:type="dxa"/>
            <w:shd w:val="clear" w:color="auto" w:fill="auto"/>
          </w:tcPr>
          <w:p w14:paraId="1F877FC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7. Завод № 476</w:t>
            </w:r>
          </w:p>
        </w:tc>
        <w:tc>
          <w:tcPr>
            <w:tcW w:w="3776" w:type="dxa"/>
            <w:shd w:val="clear" w:color="auto" w:fill="auto"/>
          </w:tcPr>
          <w:p w14:paraId="2C3E22D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461 НКАП, г. Киров</w:t>
            </w:r>
          </w:p>
        </w:tc>
      </w:tr>
      <w:tr w:rsidR="008127F8" w:rsidRPr="008127F8" w14:paraId="2E2CCEA0" w14:textId="77777777" w:rsidTr="0005046D">
        <w:tc>
          <w:tcPr>
            <w:tcW w:w="3776" w:type="dxa"/>
            <w:shd w:val="clear" w:color="auto" w:fill="auto"/>
          </w:tcPr>
          <w:p w14:paraId="11E2507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 Завод № 291 </w:t>
            </w:r>
          </w:p>
        </w:tc>
        <w:tc>
          <w:tcPr>
            <w:tcW w:w="3776" w:type="dxa"/>
            <w:shd w:val="clear" w:color="auto" w:fill="auto"/>
          </w:tcPr>
          <w:p w14:paraId="3234C9C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384 НКАП, г. Уфа</w:t>
            </w:r>
          </w:p>
        </w:tc>
      </w:tr>
      <w:tr w:rsidR="008127F8" w:rsidRPr="008127F8" w14:paraId="14532C4E" w14:textId="77777777" w:rsidTr="0005046D">
        <w:tc>
          <w:tcPr>
            <w:tcW w:w="3776" w:type="dxa"/>
            <w:shd w:val="clear" w:color="auto" w:fill="auto"/>
          </w:tcPr>
          <w:p w14:paraId="07FF9DF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 Завод № 469, г. Солнечногорск </w:t>
            </w:r>
          </w:p>
        </w:tc>
        <w:tc>
          <w:tcPr>
            <w:tcW w:w="3776" w:type="dxa"/>
            <w:shd w:val="clear" w:color="auto" w:fill="auto"/>
          </w:tcPr>
          <w:p w14:paraId="745C4F1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275 НКАП, г. Горький</w:t>
            </w:r>
          </w:p>
        </w:tc>
      </w:tr>
      <w:tr w:rsidR="008127F8" w:rsidRPr="008127F8" w14:paraId="711C4B88" w14:textId="77777777" w:rsidTr="0005046D">
        <w:tc>
          <w:tcPr>
            <w:tcW w:w="3776" w:type="dxa"/>
            <w:shd w:val="clear" w:color="auto" w:fill="auto"/>
          </w:tcPr>
          <w:p w14:paraId="55D7650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 Завод № 119, г. Москва </w:t>
            </w:r>
          </w:p>
        </w:tc>
        <w:tc>
          <w:tcPr>
            <w:tcW w:w="3776" w:type="dxa"/>
            <w:shd w:val="clear" w:color="auto" w:fill="auto"/>
          </w:tcPr>
          <w:p w14:paraId="434CB72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21 НКАП, г. Горький</w:t>
            </w:r>
          </w:p>
        </w:tc>
      </w:tr>
      <w:tr w:rsidR="008127F8" w:rsidRPr="008127F8" w14:paraId="3B7873C3" w14:textId="77777777" w:rsidTr="0005046D">
        <w:tc>
          <w:tcPr>
            <w:tcW w:w="3776" w:type="dxa"/>
            <w:shd w:val="clear" w:color="auto" w:fill="auto"/>
          </w:tcPr>
          <w:p w14:paraId="658A88D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 Завод № 459, г. Москва </w:t>
            </w:r>
          </w:p>
        </w:tc>
        <w:tc>
          <w:tcPr>
            <w:tcW w:w="3776" w:type="dxa"/>
            <w:shd w:val="clear" w:color="auto" w:fill="auto"/>
          </w:tcPr>
          <w:p w14:paraId="0EB11B7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337 НКАП, г. Куйбышев</w:t>
            </w:r>
          </w:p>
        </w:tc>
      </w:tr>
      <w:tr w:rsidR="008127F8" w:rsidRPr="008127F8" w14:paraId="594E0AD2" w14:textId="77777777" w:rsidTr="0005046D">
        <w:tc>
          <w:tcPr>
            <w:tcW w:w="3776" w:type="dxa"/>
            <w:shd w:val="clear" w:color="auto" w:fill="auto"/>
          </w:tcPr>
          <w:p w14:paraId="16FDC22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 ОКБ-301, г. Химки </w:t>
            </w:r>
          </w:p>
        </w:tc>
        <w:tc>
          <w:tcPr>
            <w:tcW w:w="3776" w:type="dxa"/>
            <w:shd w:val="clear" w:color="auto" w:fill="auto"/>
          </w:tcPr>
          <w:p w14:paraId="200E227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21 НКАП, г. Горький</w:t>
            </w:r>
          </w:p>
        </w:tc>
      </w:tr>
      <w:tr w:rsidR="008127F8" w:rsidRPr="008127F8" w14:paraId="67103277" w14:textId="77777777" w:rsidTr="0005046D">
        <w:tc>
          <w:tcPr>
            <w:tcW w:w="3776" w:type="dxa"/>
            <w:shd w:val="clear" w:color="auto" w:fill="auto"/>
          </w:tcPr>
          <w:p w14:paraId="22020C5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13. Завод № 39, г. Москва </w:t>
            </w:r>
          </w:p>
        </w:tc>
        <w:tc>
          <w:tcPr>
            <w:tcW w:w="3776" w:type="dxa"/>
            <w:shd w:val="clear" w:color="auto" w:fill="auto"/>
          </w:tcPr>
          <w:p w14:paraId="439FDDE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125 НКАП, г. Иркутск</w:t>
            </w:r>
          </w:p>
        </w:tc>
      </w:tr>
      <w:tr w:rsidR="008127F8" w:rsidRPr="008127F8" w14:paraId="70E79E7C" w14:textId="77777777" w:rsidTr="0005046D">
        <w:tc>
          <w:tcPr>
            <w:tcW w:w="3776" w:type="dxa"/>
            <w:shd w:val="clear" w:color="auto" w:fill="auto"/>
          </w:tcPr>
          <w:p w14:paraId="736CF9B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14. Завод № 481, г. Днепропетровск </w:t>
            </w:r>
          </w:p>
        </w:tc>
        <w:tc>
          <w:tcPr>
            <w:tcW w:w="3776" w:type="dxa"/>
            <w:shd w:val="clear" w:color="auto" w:fill="auto"/>
          </w:tcPr>
          <w:p w14:paraId="36B5A0D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164 НАКП</w:t>
            </w:r>
          </w:p>
        </w:tc>
      </w:tr>
      <w:tr w:rsidR="008127F8" w:rsidRPr="008127F8" w14:paraId="198E7607" w14:textId="77777777" w:rsidTr="0005046D">
        <w:tc>
          <w:tcPr>
            <w:tcW w:w="3776" w:type="dxa"/>
            <w:shd w:val="clear" w:color="auto" w:fill="auto"/>
          </w:tcPr>
          <w:p w14:paraId="00B7E11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2943653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ликероводочный завод НКпищепрома и гвоздильный завод НКместпрома, г. Сызрань</w:t>
            </w:r>
          </w:p>
        </w:tc>
      </w:tr>
      <w:tr w:rsidR="008127F8" w:rsidRPr="008127F8" w14:paraId="22C385DD" w14:textId="77777777" w:rsidTr="0005046D">
        <w:tc>
          <w:tcPr>
            <w:tcW w:w="3776" w:type="dxa"/>
            <w:shd w:val="clear" w:color="auto" w:fill="auto"/>
          </w:tcPr>
          <w:p w14:paraId="0952AC5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15. Завод № 145, г. Москва</w:t>
            </w:r>
          </w:p>
        </w:tc>
        <w:tc>
          <w:tcPr>
            <w:tcW w:w="3776" w:type="dxa"/>
            <w:shd w:val="clear" w:color="auto" w:fill="auto"/>
          </w:tcPr>
          <w:p w14:paraId="43AB6EB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315 НКАП, г. Киров</w:t>
            </w:r>
          </w:p>
        </w:tc>
      </w:tr>
      <w:tr w:rsidR="008127F8" w:rsidRPr="008127F8" w14:paraId="36EC2D2A" w14:textId="77777777" w:rsidTr="0005046D">
        <w:tc>
          <w:tcPr>
            <w:tcW w:w="3776" w:type="dxa"/>
            <w:shd w:val="clear" w:color="auto" w:fill="auto"/>
          </w:tcPr>
          <w:p w14:paraId="41F3389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2ACDDEE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455 НКАП, г. Куйбышев</w:t>
            </w:r>
          </w:p>
        </w:tc>
      </w:tr>
      <w:tr w:rsidR="008127F8" w:rsidRPr="008127F8" w14:paraId="68C2654E" w14:textId="77777777" w:rsidTr="0005046D">
        <w:tc>
          <w:tcPr>
            <w:tcW w:w="3776" w:type="dxa"/>
            <w:shd w:val="clear" w:color="auto" w:fill="auto"/>
          </w:tcPr>
          <w:p w14:paraId="1D8D6C6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16. Завод № 266, г. Москва </w:t>
            </w:r>
          </w:p>
        </w:tc>
        <w:tc>
          <w:tcPr>
            <w:tcW w:w="3776" w:type="dxa"/>
            <w:shd w:val="clear" w:color="auto" w:fill="auto"/>
          </w:tcPr>
          <w:p w14:paraId="5584F54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461 НКАП, г. Киров</w:t>
            </w:r>
          </w:p>
        </w:tc>
      </w:tr>
      <w:tr w:rsidR="008127F8" w:rsidRPr="008127F8" w14:paraId="71AC603A" w14:textId="77777777" w:rsidTr="0005046D">
        <w:tc>
          <w:tcPr>
            <w:tcW w:w="3776" w:type="dxa"/>
            <w:shd w:val="clear" w:color="auto" w:fill="auto"/>
          </w:tcPr>
          <w:p w14:paraId="04B54A3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39EDC50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электромоторный завод НКэлектропрома, г. Томск</w:t>
            </w:r>
          </w:p>
        </w:tc>
      </w:tr>
      <w:tr w:rsidR="008127F8" w:rsidRPr="008127F8" w14:paraId="4E7C31CE" w14:textId="77777777" w:rsidTr="0005046D">
        <w:tc>
          <w:tcPr>
            <w:tcW w:w="3776" w:type="dxa"/>
            <w:shd w:val="clear" w:color="auto" w:fill="auto"/>
          </w:tcPr>
          <w:p w14:paraId="7CF4843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17. Завод № 25, г. Москва </w:t>
            </w:r>
          </w:p>
        </w:tc>
        <w:tc>
          <w:tcPr>
            <w:tcW w:w="3776" w:type="dxa"/>
            <w:shd w:val="clear" w:color="auto" w:fill="auto"/>
          </w:tcPr>
          <w:p w14:paraId="4B81D2A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28 НКАП, г. Ульяновск</w:t>
            </w:r>
          </w:p>
        </w:tc>
      </w:tr>
      <w:tr w:rsidR="008127F8" w:rsidRPr="008127F8" w14:paraId="7E7588A8" w14:textId="77777777" w:rsidTr="0005046D">
        <w:tc>
          <w:tcPr>
            <w:tcW w:w="3776" w:type="dxa"/>
            <w:shd w:val="clear" w:color="auto" w:fill="auto"/>
          </w:tcPr>
          <w:p w14:paraId="0D8F887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18. Завод № 1 Оргавиапрома, г. Москва </w:t>
            </w:r>
          </w:p>
        </w:tc>
        <w:tc>
          <w:tcPr>
            <w:tcW w:w="3776" w:type="dxa"/>
            <w:shd w:val="clear" w:color="auto" w:fill="auto"/>
          </w:tcPr>
          <w:p w14:paraId="56726AB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бытовок заводов № 122, 295 НКАП, г. Куйбышев</w:t>
            </w:r>
          </w:p>
        </w:tc>
      </w:tr>
      <w:tr w:rsidR="008127F8" w:rsidRPr="008127F8" w14:paraId="10C64DA7" w14:textId="77777777" w:rsidTr="0005046D">
        <w:tc>
          <w:tcPr>
            <w:tcW w:w="3776" w:type="dxa"/>
            <w:shd w:val="clear" w:color="auto" w:fill="auto"/>
          </w:tcPr>
          <w:p w14:paraId="7E08977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19. Завод № 477 </w:t>
            </w:r>
          </w:p>
        </w:tc>
        <w:tc>
          <w:tcPr>
            <w:tcW w:w="3776" w:type="dxa"/>
            <w:shd w:val="clear" w:color="auto" w:fill="auto"/>
          </w:tcPr>
          <w:p w14:paraId="2AA82CA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им. Побежимова Главсевморпути и на площади Дворца культуры ВЦСПС, г. Красноярск</w:t>
            </w:r>
          </w:p>
        </w:tc>
      </w:tr>
      <w:tr w:rsidR="008127F8" w:rsidRPr="008127F8" w14:paraId="09972C52" w14:textId="77777777" w:rsidTr="0005046D">
        <w:tc>
          <w:tcPr>
            <w:tcW w:w="3776" w:type="dxa"/>
            <w:shd w:val="clear" w:color="auto" w:fill="auto"/>
          </w:tcPr>
          <w:p w14:paraId="229DB59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20. Завод № 452, г. Днепропетровск </w:t>
            </w:r>
          </w:p>
        </w:tc>
        <w:tc>
          <w:tcPr>
            <w:tcW w:w="3776" w:type="dxa"/>
            <w:shd w:val="clear" w:color="auto" w:fill="auto"/>
          </w:tcPr>
          <w:p w14:paraId="174D3FD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337 НКАП, г. Куйбышев</w:t>
            </w:r>
          </w:p>
        </w:tc>
      </w:tr>
      <w:tr w:rsidR="008127F8" w:rsidRPr="008127F8" w14:paraId="363E9A2C" w14:textId="77777777" w:rsidTr="0005046D">
        <w:tc>
          <w:tcPr>
            <w:tcW w:w="3776" w:type="dxa"/>
            <w:shd w:val="clear" w:color="auto" w:fill="auto"/>
          </w:tcPr>
          <w:p w14:paraId="078BFA0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21. Завод № 487, г. Москва </w:t>
            </w:r>
          </w:p>
        </w:tc>
        <w:tc>
          <w:tcPr>
            <w:tcW w:w="3776" w:type="dxa"/>
            <w:shd w:val="clear" w:color="auto" w:fill="auto"/>
          </w:tcPr>
          <w:p w14:paraId="2003361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481 НКАП</w:t>
            </w:r>
          </w:p>
        </w:tc>
      </w:tr>
      <w:tr w:rsidR="008127F8" w:rsidRPr="008127F8" w14:paraId="29364606" w14:textId="77777777" w:rsidTr="0005046D">
        <w:tc>
          <w:tcPr>
            <w:tcW w:w="3776" w:type="dxa"/>
            <w:shd w:val="clear" w:color="auto" w:fill="auto"/>
          </w:tcPr>
          <w:p w14:paraId="1AAD5BF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07AD94E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ликероводочный завод НКпищепрома СССР и на площади Учительского института, г. Сызрань Куйбышевской обл.</w:t>
            </w:r>
          </w:p>
        </w:tc>
      </w:tr>
      <w:tr w:rsidR="008127F8" w:rsidRPr="008127F8" w14:paraId="1FA8E22C" w14:textId="77777777" w:rsidTr="0005046D">
        <w:tc>
          <w:tcPr>
            <w:tcW w:w="3776" w:type="dxa"/>
            <w:shd w:val="clear" w:color="auto" w:fill="auto"/>
          </w:tcPr>
          <w:p w14:paraId="2229216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1EF45D3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454 НКАП, г. Куйбышев</w:t>
            </w:r>
          </w:p>
        </w:tc>
      </w:tr>
      <w:tr w:rsidR="008127F8" w:rsidRPr="008127F8" w14:paraId="4491535A" w14:textId="77777777" w:rsidTr="0005046D">
        <w:tc>
          <w:tcPr>
            <w:tcW w:w="3776" w:type="dxa"/>
            <w:shd w:val="clear" w:color="auto" w:fill="auto"/>
          </w:tcPr>
          <w:p w14:paraId="2CF967A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22. Завод № 24, г. Москва </w:t>
            </w:r>
          </w:p>
        </w:tc>
        <w:tc>
          <w:tcPr>
            <w:tcW w:w="3776" w:type="dxa"/>
            <w:shd w:val="clear" w:color="auto" w:fill="auto"/>
          </w:tcPr>
          <w:p w14:paraId="77098DC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вновь строящиеся заводы НКАП, г. Куйбышев</w:t>
            </w:r>
          </w:p>
        </w:tc>
      </w:tr>
      <w:tr w:rsidR="008127F8" w:rsidRPr="008127F8" w14:paraId="2317F351" w14:textId="77777777" w:rsidTr="0005046D">
        <w:tc>
          <w:tcPr>
            <w:tcW w:w="3776" w:type="dxa"/>
            <w:shd w:val="clear" w:color="auto" w:fill="auto"/>
          </w:tcPr>
          <w:p w14:paraId="16377CF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23. Завод № 1, г. Москва </w:t>
            </w:r>
          </w:p>
        </w:tc>
        <w:tc>
          <w:tcPr>
            <w:tcW w:w="3776" w:type="dxa"/>
            <w:shd w:val="clear" w:color="auto" w:fill="auto"/>
          </w:tcPr>
          <w:p w14:paraId="69C0C37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122 НКАП, г. Куйбышев</w:t>
            </w:r>
          </w:p>
        </w:tc>
      </w:tr>
      <w:tr w:rsidR="008127F8" w:rsidRPr="008127F8" w14:paraId="07D7B197" w14:textId="77777777" w:rsidTr="0005046D">
        <w:tc>
          <w:tcPr>
            <w:tcW w:w="3776" w:type="dxa"/>
            <w:shd w:val="clear" w:color="auto" w:fill="auto"/>
          </w:tcPr>
          <w:p w14:paraId="68DE35A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24. Завод № 464, г. Рига </w:t>
            </w:r>
          </w:p>
        </w:tc>
        <w:tc>
          <w:tcPr>
            <w:tcW w:w="3776" w:type="dxa"/>
            <w:shd w:val="clear" w:color="auto" w:fill="auto"/>
          </w:tcPr>
          <w:p w14:paraId="2FBD2F9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122 НКАП, г. Куйбышев</w:t>
            </w:r>
          </w:p>
        </w:tc>
      </w:tr>
      <w:tr w:rsidR="008127F8" w:rsidRPr="008127F8" w14:paraId="31962134" w14:textId="77777777" w:rsidTr="0005046D">
        <w:tc>
          <w:tcPr>
            <w:tcW w:w="3776" w:type="dxa"/>
            <w:shd w:val="clear" w:color="auto" w:fill="auto"/>
          </w:tcPr>
          <w:p w14:paraId="78C4996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25. Завод № 18, г. Воронеж </w:t>
            </w:r>
          </w:p>
        </w:tc>
        <w:tc>
          <w:tcPr>
            <w:tcW w:w="3776" w:type="dxa"/>
            <w:shd w:val="clear" w:color="auto" w:fill="auto"/>
          </w:tcPr>
          <w:p w14:paraId="293D594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295 НКАП, г. Куйбышев</w:t>
            </w:r>
          </w:p>
        </w:tc>
      </w:tr>
      <w:tr w:rsidR="008127F8" w:rsidRPr="008127F8" w14:paraId="544E089D" w14:textId="77777777" w:rsidTr="0005046D">
        <w:tc>
          <w:tcPr>
            <w:tcW w:w="3776" w:type="dxa"/>
            <w:shd w:val="clear" w:color="auto" w:fill="auto"/>
          </w:tcPr>
          <w:p w14:paraId="678494C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26. Завод № 454, г. Киев </w:t>
            </w:r>
          </w:p>
        </w:tc>
        <w:tc>
          <w:tcPr>
            <w:tcW w:w="3776" w:type="dxa"/>
            <w:shd w:val="clear" w:color="auto" w:fill="auto"/>
          </w:tcPr>
          <w:p w14:paraId="644C0AF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производственные и жилые помещения артели «Ход» УПК при СНК РСФСР, г. Куйбышев</w:t>
            </w:r>
          </w:p>
        </w:tc>
      </w:tr>
      <w:tr w:rsidR="008127F8" w:rsidRPr="008127F8" w14:paraId="14E9CC50" w14:textId="77777777" w:rsidTr="0005046D">
        <w:tc>
          <w:tcPr>
            <w:tcW w:w="3776" w:type="dxa"/>
            <w:shd w:val="clear" w:color="auto" w:fill="auto"/>
          </w:tcPr>
          <w:p w14:paraId="50AD492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27. Завод № 455 </w:t>
            </w:r>
          </w:p>
        </w:tc>
        <w:tc>
          <w:tcPr>
            <w:tcW w:w="3776" w:type="dxa"/>
            <w:shd w:val="clear" w:color="auto" w:fill="auto"/>
          </w:tcPr>
          <w:p w14:paraId="22DD0A8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лабораторий Куйбышевского гидроузла НКВД СССР, г. Куйбышев</w:t>
            </w:r>
          </w:p>
        </w:tc>
      </w:tr>
      <w:tr w:rsidR="008127F8" w:rsidRPr="008127F8" w14:paraId="5925F801" w14:textId="77777777" w:rsidTr="0005046D">
        <w:tc>
          <w:tcPr>
            <w:tcW w:w="3776" w:type="dxa"/>
            <w:shd w:val="clear" w:color="auto" w:fill="auto"/>
          </w:tcPr>
          <w:p w14:paraId="684FE8C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28. Завод № 459, г. Могилев </w:t>
            </w:r>
          </w:p>
        </w:tc>
        <w:tc>
          <w:tcPr>
            <w:tcW w:w="3776" w:type="dxa"/>
            <w:shd w:val="clear" w:color="auto" w:fill="auto"/>
          </w:tcPr>
          <w:p w14:paraId="5CA24B0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337 НКАП, г. Куйбышев</w:t>
            </w:r>
          </w:p>
        </w:tc>
      </w:tr>
      <w:tr w:rsidR="008127F8" w:rsidRPr="008127F8" w14:paraId="37D6307E" w14:textId="77777777" w:rsidTr="0005046D">
        <w:tc>
          <w:tcPr>
            <w:tcW w:w="3776" w:type="dxa"/>
            <w:shd w:val="clear" w:color="auto" w:fill="auto"/>
          </w:tcPr>
          <w:p w14:paraId="20A826B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29. Завод № 463, г. Таллин </w:t>
            </w:r>
          </w:p>
        </w:tc>
        <w:tc>
          <w:tcPr>
            <w:tcW w:w="3776" w:type="dxa"/>
            <w:shd w:val="clear" w:color="auto" w:fill="auto"/>
          </w:tcPr>
          <w:p w14:paraId="6DE2FB7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122 НКАП, г. Куйбышев</w:t>
            </w:r>
          </w:p>
        </w:tc>
      </w:tr>
      <w:tr w:rsidR="008127F8" w:rsidRPr="008127F8" w14:paraId="7DDDAAE2" w14:textId="77777777" w:rsidTr="0005046D">
        <w:tc>
          <w:tcPr>
            <w:tcW w:w="3776" w:type="dxa"/>
            <w:shd w:val="clear" w:color="auto" w:fill="auto"/>
          </w:tcPr>
          <w:p w14:paraId="2F0F1C0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30. Завод оснастки № 8, г. Днепропетровск </w:t>
            </w:r>
          </w:p>
        </w:tc>
        <w:tc>
          <w:tcPr>
            <w:tcW w:w="3776" w:type="dxa"/>
            <w:shd w:val="clear" w:color="auto" w:fill="auto"/>
          </w:tcPr>
          <w:p w14:paraId="71B3129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122 НКАП, г. Куйбышев</w:t>
            </w:r>
          </w:p>
        </w:tc>
      </w:tr>
      <w:tr w:rsidR="008127F8" w:rsidRPr="008127F8" w14:paraId="2F578E93" w14:textId="77777777" w:rsidTr="0005046D">
        <w:tc>
          <w:tcPr>
            <w:tcW w:w="3776" w:type="dxa"/>
            <w:shd w:val="clear" w:color="auto" w:fill="auto"/>
          </w:tcPr>
          <w:p w14:paraId="3BF1939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31. Завод № 289, г. Москва </w:t>
            </w:r>
          </w:p>
        </w:tc>
        <w:tc>
          <w:tcPr>
            <w:tcW w:w="3776" w:type="dxa"/>
            <w:shd w:val="clear" w:color="auto" w:fill="auto"/>
          </w:tcPr>
          <w:p w14:paraId="3DB6F81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135 НКАП, г. Молотов</w:t>
            </w:r>
          </w:p>
        </w:tc>
      </w:tr>
      <w:tr w:rsidR="008127F8" w:rsidRPr="008127F8" w14:paraId="03830E7E" w14:textId="77777777" w:rsidTr="0005046D">
        <w:tc>
          <w:tcPr>
            <w:tcW w:w="3776" w:type="dxa"/>
            <w:shd w:val="clear" w:color="auto" w:fill="auto"/>
          </w:tcPr>
          <w:p w14:paraId="4D05748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32. ВИАМ, г. Москва </w:t>
            </w:r>
          </w:p>
        </w:tc>
        <w:tc>
          <w:tcPr>
            <w:tcW w:w="3776" w:type="dxa"/>
            <w:shd w:val="clear" w:color="auto" w:fill="auto"/>
          </w:tcPr>
          <w:p w14:paraId="6554DBD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заводы НКАП, г. Куйбышев</w:t>
            </w:r>
          </w:p>
        </w:tc>
      </w:tr>
      <w:tr w:rsidR="008127F8" w:rsidRPr="008127F8" w14:paraId="4ABF78C5" w14:textId="77777777" w:rsidTr="0005046D">
        <w:tc>
          <w:tcPr>
            <w:tcW w:w="3776" w:type="dxa"/>
            <w:shd w:val="clear" w:color="auto" w:fill="auto"/>
          </w:tcPr>
          <w:p w14:paraId="55CFB88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33. Завод № 383, г. Москва </w:t>
            </w:r>
          </w:p>
        </w:tc>
        <w:tc>
          <w:tcPr>
            <w:tcW w:w="3776" w:type="dxa"/>
            <w:shd w:val="clear" w:color="auto" w:fill="auto"/>
          </w:tcPr>
          <w:p w14:paraId="1CE6510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мебельную фабрику НКместпрома РСФСР, г. Йошкар-Ола</w:t>
            </w:r>
          </w:p>
        </w:tc>
      </w:tr>
      <w:tr w:rsidR="008127F8" w:rsidRPr="008127F8" w14:paraId="0494C1B3" w14:textId="77777777" w:rsidTr="0005046D">
        <w:tc>
          <w:tcPr>
            <w:tcW w:w="3776" w:type="dxa"/>
            <w:shd w:val="clear" w:color="auto" w:fill="auto"/>
          </w:tcPr>
          <w:p w14:paraId="2E8907B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34. Завод № 33, г. Москва </w:t>
            </w:r>
          </w:p>
        </w:tc>
        <w:tc>
          <w:tcPr>
            <w:tcW w:w="3776" w:type="dxa"/>
            <w:shd w:val="clear" w:color="auto" w:fill="auto"/>
          </w:tcPr>
          <w:p w14:paraId="59FAC64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339 НКАП, г. Молотов</w:t>
            </w:r>
          </w:p>
        </w:tc>
      </w:tr>
      <w:tr w:rsidR="008127F8" w:rsidRPr="008127F8" w14:paraId="3F9E59E4" w14:textId="77777777" w:rsidTr="0005046D">
        <w:tc>
          <w:tcPr>
            <w:tcW w:w="3776" w:type="dxa"/>
            <w:shd w:val="clear" w:color="auto" w:fill="auto"/>
          </w:tcPr>
          <w:p w14:paraId="59D79CD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35. Завод № 224 (часть), г. Ленинград </w:t>
            </w:r>
          </w:p>
        </w:tc>
        <w:tc>
          <w:tcPr>
            <w:tcW w:w="3776" w:type="dxa"/>
            <w:shd w:val="clear" w:color="auto" w:fill="auto"/>
          </w:tcPr>
          <w:p w14:paraId="3FA8890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строительную площадку Авиатехникума НКАП, г. Молотов</w:t>
            </w:r>
          </w:p>
        </w:tc>
      </w:tr>
      <w:tr w:rsidR="008127F8" w:rsidRPr="008127F8" w14:paraId="1D31CCC2" w14:textId="77777777" w:rsidTr="0005046D">
        <w:tc>
          <w:tcPr>
            <w:tcW w:w="3776" w:type="dxa"/>
            <w:shd w:val="clear" w:color="auto" w:fill="auto"/>
          </w:tcPr>
          <w:p w14:paraId="38EB531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36. Завод № 135, г. Харьков </w:t>
            </w:r>
          </w:p>
        </w:tc>
        <w:tc>
          <w:tcPr>
            <w:tcW w:w="3776" w:type="dxa"/>
            <w:shd w:val="clear" w:color="auto" w:fill="auto"/>
          </w:tcPr>
          <w:p w14:paraId="36DED22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19 НКАП, г. Молотов</w:t>
            </w:r>
          </w:p>
        </w:tc>
      </w:tr>
      <w:tr w:rsidR="008127F8" w:rsidRPr="008127F8" w14:paraId="5F2A8C8B" w14:textId="77777777" w:rsidTr="0005046D">
        <w:tc>
          <w:tcPr>
            <w:tcW w:w="3776" w:type="dxa"/>
            <w:shd w:val="clear" w:color="auto" w:fill="auto"/>
          </w:tcPr>
          <w:p w14:paraId="1A89021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37. Завод № 450 </w:t>
            </w:r>
          </w:p>
        </w:tc>
        <w:tc>
          <w:tcPr>
            <w:tcW w:w="3776" w:type="dxa"/>
            <w:shd w:val="clear" w:color="auto" w:fill="auto"/>
          </w:tcPr>
          <w:p w14:paraId="152247D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19 НКАП, г. Молотов</w:t>
            </w:r>
          </w:p>
        </w:tc>
      </w:tr>
      <w:tr w:rsidR="008127F8" w:rsidRPr="008127F8" w14:paraId="4F3A72C2" w14:textId="77777777" w:rsidTr="0005046D">
        <w:tc>
          <w:tcPr>
            <w:tcW w:w="3776" w:type="dxa"/>
            <w:shd w:val="clear" w:color="auto" w:fill="auto"/>
          </w:tcPr>
          <w:p w14:paraId="7E5EAC5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38. Завод № 480 </w:t>
            </w:r>
          </w:p>
        </w:tc>
        <w:tc>
          <w:tcPr>
            <w:tcW w:w="3776" w:type="dxa"/>
            <w:shd w:val="clear" w:color="auto" w:fill="auto"/>
          </w:tcPr>
          <w:p w14:paraId="1106DC3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19 НКАП, г. Молотов</w:t>
            </w:r>
          </w:p>
        </w:tc>
      </w:tr>
      <w:tr w:rsidR="008127F8" w:rsidRPr="008127F8" w14:paraId="0A47D626" w14:textId="77777777" w:rsidTr="0005046D">
        <w:tc>
          <w:tcPr>
            <w:tcW w:w="3776" w:type="dxa"/>
            <w:shd w:val="clear" w:color="auto" w:fill="auto"/>
          </w:tcPr>
          <w:p w14:paraId="10515B5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39. Завод № 296, г. Осипенко </w:t>
            </w:r>
          </w:p>
        </w:tc>
        <w:tc>
          <w:tcPr>
            <w:tcW w:w="3776" w:type="dxa"/>
            <w:shd w:val="clear" w:color="auto" w:fill="auto"/>
          </w:tcPr>
          <w:p w14:paraId="1C29CA6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пяти складов УГМР, пос. Бердск Новосибирской обл.</w:t>
            </w:r>
          </w:p>
        </w:tc>
      </w:tr>
      <w:tr w:rsidR="008127F8" w:rsidRPr="008127F8" w14:paraId="62DDDCB9" w14:textId="77777777" w:rsidTr="0005046D">
        <w:tc>
          <w:tcPr>
            <w:tcW w:w="3776" w:type="dxa"/>
            <w:shd w:val="clear" w:color="auto" w:fill="auto"/>
          </w:tcPr>
          <w:p w14:paraId="00EF30C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40. Завод № 9 Оргавиапрома, г. Осипенко </w:t>
            </w:r>
          </w:p>
        </w:tc>
        <w:tc>
          <w:tcPr>
            <w:tcW w:w="3776" w:type="dxa"/>
            <w:shd w:val="clear" w:color="auto" w:fill="auto"/>
          </w:tcPr>
          <w:p w14:paraId="732EBB8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На площади пяти складов УГМР, пос. Бердск </w:t>
            </w:r>
            <w:r w:rsidRPr="008127F8">
              <w:rPr>
                <w:rFonts w:ascii="Times New Roman" w:eastAsia="Times New Roman" w:hAnsi="Times New Roman"/>
                <w:color w:val="000000" w:themeColor="text1"/>
                <w:sz w:val="16"/>
                <w:szCs w:val="16"/>
              </w:rPr>
              <w:lastRenderedPageBreak/>
              <w:t>Новосибирской обл.</w:t>
            </w:r>
          </w:p>
        </w:tc>
      </w:tr>
      <w:tr w:rsidR="008127F8" w:rsidRPr="008127F8" w14:paraId="4821A706" w14:textId="77777777" w:rsidTr="0005046D">
        <w:tc>
          <w:tcPr>
            <w:tcW w:w="3776" w:type="dxa"/>
            <w:shd w:val="clear" w:color="auto" w:fill="auto"/>
          </w:tcPr>
          <w:p w14:paraId="74699C1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lastRenderedPageBreak/>
              <w:t xml:space="preserve">41. Завод № 23, г. Ленинград </w:t>
            </w:r>
          </w:p>
        </w:tc>
        <w:tc>
          <w:tcPr>
            <w:tcW w:w="3776" w:type="dxa"/>
            <w:shd w:val="clear" w:color="auto" w:fill="auto"/>
          </w:tcPr>
          <w:p w14:paraId="12970ED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153 НКАП, г. Новосибирск</w:t>
            </w:r>
          </w:p>
        </w:tc>
      </w:tr>
      <w:tr w:rsidR="008127F8" w:rsidRPr="008127F8" w14:paraId="44116B38" w14:textId="77777777" w:rsidTr="0005046D">
        <w:tc>
          <w:tcPr>
            <w:tcW w:w="3776" w:type="dxa"/>
            <w:shd w:val="clear" w:color="auto" w:fill="auto"/>
          </w:tcPr>
          <w:p w14:paraId="4E11654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42. Завод № 388 </w:t>
            </w:r>
          </w:p>
        </w:tc>
        <w:tc>
          <w:tcPr>
            <w:tcW w:w="3776" w:type="dxa"/>
            <w:shd w:val="clear" w:color="auto" w:fill="auto"/>
          </w:tcPr>
          <w:p w14:paraId="0C661A7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153 НКАП, г. Новосибирск</w:t>
            </w:r>
          </w:p>
        </w:tc>
      </w:tr>
      <w:tr w:rsidR="008127F8" w:rsidRPr="008127F8" w14:paraId="29B794FD" w14:textId="77777777" w:rsidTr="0005046D">
        <w:tc>
          <w:tcPr>
            <w:tcW w:w="3776" w:type="dxa"/>
            <w:shd w:val="clear" w:color="auto" w:fill="auto"/>
          </w:tcPr>
          <w:p w14:paraId="6B4B1B1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43. Завод № 43, г. Киев </w:t>
            </w:r>
          </w:p>
        </w:tc>
        <w:tc>
          <w:tcPr>
            <w:tcW w:w="3776" w:type="dxa"/>
            <w:shd w:val="clear" w:color="auto" w:fill="auto"/>
          </w:tcPr>
          <w:p w14:paraId="3B5AE95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153 НКАП, г. Новосибирск</w:t>
            </w:r>
          </w:p>
        </w:tc>
      </w:tr>
      <w:tr w:rsidR="008127F8" w:rsidRPr="008127F8" w14:paraId="3BAFCC8B" w14:textId="77777777" w:rsidTr="0005046D">
        <w:tc>
          <w:tcPr>
            <w:tcW w:w="3776" w:type="dxa"/>
            <w:shd w:val="clear" w:color="auto" w:fill="auto"/>
          </w:tcPr>
          <w:p w14:paraId="02DB7F9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44. Завод № 51, г. Москва </w:t>
            </w:r>
          </w:p>
        </w:tc>
        <w:tc>
          <w:tcPr>
            <w:tcW w:w="3776" w:type="dxa"/>
            <w:shd w:val="clear" w:color="auto" w:fill="auto"/>
          </w:tcPr>
          <w:p w14:paraId="39BA508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153 НКАП, г. Новосибирск</w:t>
            </w:r>
          </w:p>
        </w:tc>
      </w:tr>
      <w:tr w:rsidR="008127F8" w:rsidRPr="008127F8" w14:paraId="29B02163" w14:textId="77777777" w:rsidTr="0005046D">
        <w:tc>
          <w:tcPr>
            <w:tcW w:w="3776" w:type="dxa"/>
            <w:shd w:val="clear" w:color="auto" w:fill="auto"/>
          </w:tcPr>
          <w:p w14:paraId="6246D34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45. Завод ЦАГИ (часть), г. Раменское Московской обл.</w:t>
            </w:r>
          </w:p>
        </w:tc>
        <w:tc>
          <w:tcPr>
            <w:tcW w:w="3776" w:type="dxa"/>
            <w:shd w:val="clear" w:color="auto" w:fill="auto"/>
          </w:tcPr>
          <w:p w14:paraId="5223278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153 НКАП, г. Новосибирск</w:t>
            </w:r>
          </w:p>
        </w:tc>
      </w:tr>
      <w:tr w:rsidR="008127F8" w:rsidRPr="008127F8" w14:paraId="5979887D" w14:textId="77777777" w:rsidTr="0005046D">
        <w:tc>
          <w:tcPr>
            <w:tcW w:w="3776" w:type="dxa"/>
            <w:shd w:val="clear" w:color="auto" w:fill="auto"/>
          </w:tcPr>
          <w:p w14:paraId="64FDA76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720C35D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124 НКАП, г. Казань</w:t>
            </w:r>
          </w:p>
        </w:tc>
      </w:tr>
      <w:tr w:rsidR="008127F8" w:rsidRPr="008127F8" w14:paraId="7AA3D057" w14:textId="77777777" w:rsidTr="0005046D">
        <w:tc>
          <w:tcPr>
            <w:tcW w:w="3776" w:type="dxa"/>
            <w:shd w:val="clear" w:color="auto" w:fill="auto"/>
          </w:tcPr>
          <w:p w14:paraId="2675FD1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177B922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площади Авиаинститута НКАП, г. Казань</w:t>
            </w:r>
          </w:p>
        </w:tc>
      </w:tr>
      <w:tr w:rsidR="008127F8" w:rsidRPr="008127F8" w14:paraId="6F4BA341" w14:textId="77777777" w:rsidTr="0005046D">
        <w:tc>
          <w:tcPr>
            <w:tcW w:w="3776" w:type="dxa"/>
            <w:shd w:val="clear" w:color="auto" w:fill="auto"/>
          </w:tcPr>
          <w:p w14:paraId="797C8D7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46. Завод № 115 </w:t>
            </w:r>
          </w:p>
        </w:tc>
        <w:tc>
          <w:tcPr>
            <w:tcW w:w="3776" w:type="dxa"/>
            <w:shd w:val="clear" w:color="auto" w:fill="auto"/>
          </w:tcPr>
          <w:p w14:paraId="3A4B215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153 НКАП, г. Новосибирск</w:t>
            </w:r>
          </w:p>
        </w:tc>
      </w:tr>
      <w:tr w:rsidR="008127F8" w:rsidRPr="008127F8" w14:paraId="5706FCC2" w14:textId="77777777" w:rsidTr="0005046D">
        <w:tc>
          <w:tcPr>
            <w:tcW w:w="3776" w:type="dxa"/>
            <w:shd w:val="clear" w:color="auto" w:fill="auto"/>
          </w:tcPr>
          <w:p w14:paraId="43C2F6D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47. Летно-испытательный институт ЛИИ, пос. Быково Московской обл.</w:t>
            </w:r>
          </w:p>
        </w:tc>
        <w:tc>
          <w:tcPr>
            <w:tcW w:w="3776" w:type="dxa"/>
            <w:shd w:val="clear" w:color="auto" w:fill="auto"/>
          </w:tcPr>
          <w:p w14:paraId="2984644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153 НКАП, г. Новосибирск</w:t>
            </w:r>
          </w:p>
        </w:tc>
      </w:tr>
      <w:tr w:rsidR="008127F8" w:rsidRPr="008127F8" w14:paraId="6BBAD3B4" w14:textId="77777777" w:rsidTr="0005046D">
        <w:tc>
          <w:tcPr>
            <w:tcW w:w="3776" w:type="dxa"/>
            <w:shd w:val="clear" w:color="auto" w:fill="auto"/>
          </w:tcPr>
          <w:p w14:paraId="421B94F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372D9BB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124 НКАП, г. Казань</w:t>
            </w:r>
          </w:p>
        </w:tc>
      </w:tr>
      <w:tr w:rsidR="008127F8" w:rsidRPr="008127F8" w14:paraId="1DD16A12" w14:textId="77777777" w:rsidTr="0005046D">
        <w:tc>
          <w:tcPr>
            <w:tcW w:w="3776" w:type="dxa"/>
            <w:shd w:val="clear" w:color="auto" w:fill="auto"/>
          </w:tcPr>
          <w:p w14:paraId="79588AA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48. Завод № 34, г. Москва </w:t>
            </w:r>
          </w:p>
        </w:tc>
        <w:tc>
          <w:tcPr>
            <w:tcW w:w="3776" w:type="dxa"/>
            <w:shd w:val="clear" w:color="auto" w:fill="auto"/>
          </w:tcPr>
          <w:p w14:paraId="54CB7EE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канатную фабрику НКтекстиля СССР, г. Пенза</w:t>
            </w:r>
          </w:p>
        </w:tc>
      </w:tr>
      <w:tr w:rsidR="008127F8" w:rsidRPr="008127F8" w14:paraId="3D2BAD14" w14:textId="77777777" w:rsidTr="0005046D">
        <w:tc>
          <w:tcPr>
            <w:tcW w:w="3776" w:type="dxa"/>
            <w:shd w:val="clear" w:color="auto" w:fill="auto"/>
          </w:tcPr>
          <w:p w14:paraId="05DF06D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58151DF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завода Речинской МТМ и на площади складов, г. Троицк Челябинской обл.</w:t>
            </w:r>
          </w:p>
        </w:tc>
      </w:tr>
      <w:tr w:rsidR="008127F8" w:rsidRPr="008127F8" w14:paraId="72011B41" w14:textId="77777777" w:rsidTr="0005046D">
        <w:tc>
          <w:tcPr>
            <w:tcW w:w="3776" w:type="dxa"/>
            <w:shd w:val="clear" w:color="auto" w:fill="auto"/>
          </w:tcPr>
          <w:p w14:paraId="4F9BA70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49. Завод № 296, г. Харьков </w:t>
            </w:r>
          </w:p>
        </w:tc>
        <w:tc>
          <w:tcPr>
            <w:tcW w:w="3776" w:type="dxa"/>
            <w:shd w:val="clear" w:color="auto" w:fill="auto"/>
          </w:tcPr>
          <w:p w14:paraId="21631A9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склады УГМР, г. Бердск Новосибирской обл.</w:t>
            </w:r>
          </w:p>
        </w:tc>
      </w:tr>
      <w:tr w:rsidR="008127F8" w:rsidRPr="008127F8" w14:paraId="7586FDD8" w14:textId="77777777" w:rsidTr="0005046D">
        <w:tc>
          <w:tcPr>
            <w:tcW w:w="3776" w:type="dxa"/>
            <w:shd w:val="clear" w:color="auto" w:fill="auto"/>
          </w:tcPr>
          <w:p w14:paraId="2F7F701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50. Завод № 6 Оргавиапрома, г. Москва </w:t>
            </w:r>
          </w:p>
        </w:tc>
        <w:tc>
          <w:tcPr>
            <w:tcW w:w="3776" w:type="dxa"/>
            <w:shd w:val="clear" w:color="auto" w:fill="auto"/>
          </w:tcPr>
          <w:p w14:paraId="46FD112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г. Кемерово Новосибирской обл.</w:t>
            </w:r>
          </w:p>
        </w:tc>
      </w:tr>
      <w:tr w:rsidR="008127F8" w:rsidRPr="008127F8" w14:paraId="77ED9532" w14:textId="77777777" w:rsidTr="0005046D">
        <w:tc>
          <w:tcPr>
            <w:tcW w:w="3776" w:type="dxa"/>
            <w:shd w:val="clear" w:color="auto" w:fill="auto"/>
          </w:tcPr>
          <w:p w14:paraId="56C5460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51. Завод № 81, г. Москва </w:t>
            </w:r>
          </w:p>
        </w:tc>
        <w:tc>
          <w:tcPr>
            <w:tcW w:w="3776" w:type="dxa"/>
            <w:shd w:val="clear" w:color="auto" w:fill="auto"/>
          </w:tcPr>
          <w:p w14:paraId="691C261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завода № 166 НКАП, завода автоприцепов НКсредмаша и авиамастерских ГУГВФ, г. Омск</w:t>
            </w:r>
          </w:p>
        </w:tc>
      </w:tr>
      <w:tr w:rsidR="008127F8" w:rsidRPr="008127F8" w14:paraId="4363969D" w14:textId="77777777" w:rsidTr="0005046D">
        <w:tc>
          <w:tcPr>
            <w:tcW w:w="3776" w:type="dxa"/>
            <w:shd w:val="clear" w:color="auto" w:fill="auto"/>
          </w:tcPr>
          <w:p w14:paraId="7081876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52. Завод № 29, г. Запорожье </w:t>
            </w:r>
          </w:p>
        </w:tc>
        <w:tc>
          <w:tcPr>
            <w:tcW w:w="3776" w:type="dxa"/>
            <w:shd w:val="clear" w:color="auto" w:fill="auto"/>
          </w:tcPr>
          <w:p w14:paraId="3433D44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166 НКАП, г. Омск</w:t>
            </w:r>
          </w:p>
        </w:tc>
      </w:tr>
      <w:tr w:rsidR="008127F8" w:rsidRPr="008127F8" w14:paraId="70630C89" w14:textId="77777777" w:rsidTr="0005046D">
        <w:tc>
          <w:tcPr>
            <w:tcW w:w="3776" w:type="dxa"/>
            <w:shd w:val="clear" w:color="auto" w:fill="auto"/>
          </w:tcPr>
          <w:p w14:paraId="5E95D15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348BC07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им. Куйбышева, г. Омск</w:t>
            </w:r>
          </w:p>
        </w:tc>
      </w:tr>
      <w:tr w:rsidR="008127F8" w:rsidRPr="008127F8" w14:paraId="29BD5C30" w14:textId="77777777" w:rsidTr="0005046D">
        <w:tc>
          <w:tcPr>
            <w:tcW w:w="3776" w:type="dxa"/>
            <w:shd w:val="clear" w:color="auto" w:fill="auto"/>
          </w:tcPr>
          <w:p w14:paraId="22E4E14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53. КБ Архангельского завода, г. Москва </w:t>
            </w:r>
          </w:p>
        </w:tc>
        <w:tc>
          <w:tcPr>
            <w:tcW w:w="3776" w:type="dxa"/>
            <w:shd w:val="clear" w:color="auto" w:fill="auto"/>
          </w:tcPr>
          <w:p w14:paraId="41A31DD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166 НКАП, г. Омск</w:t>
            </w:r>
          </w:p>
        </w:tc>
      </w:tr>
      <w:tr w:rsidR="008127F8" w:rsidRPr="008127F8" w14:paraId="472B4D43" w14:textId="77777777" w:rsidTr="0005046D">
        <w:tc>
          <w:tcPr>
            <w:tcW w:w="3776" w:type="dxa"/>
            <w:shd w:val="clear" w:color="auto" w:fill="auto"/>
          </w:tcPr>
          <w:p w14:paraId="60865A0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54. Завод № 156, г. Москва </w:t>
            </w:r>
          </w:p>
        </w:tc>
        <w:tc>
          <w:tcPr>
            <w:tcW w:w="3776" w:type="dxa"/>
            <w:shd w:val="clear" w:color="auto" w:fill="auto"/>
          </w:tcPr>
          <w:p w14:paraId="1D39A2E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завода № 166 НКАП, завода автоприцепов НКсредмаша и мастерских ГУГВФ</w:t>
            </w:r>
          </w:p>
        </w:tc>
      </w:tr>
      <w:tr w:rsidR="008127F8" w:rsidRPr="008127F8" w14:paraId="46E89839" w14:textId="77777777" w:rsidTr="0005046D">
        <w:tc>
          <w:tcPr>
            <w:tcW w:w="3776" w:type="dxa"/>
            <w:shd w:val="clear" w:color="auto" w:fill="auto"/>
          </w:tcPr>
          <w:p w14:paraId="633FD8E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55. Завод № 20, г. Москва </w:t>
            </w:r>
          </w:p>
        </w:tc>
        <w:tc>
          <w:tcPr>
            <w:tcW w:w="3776" w:type="dxa"/>
            <w:shd w:val="clear" w:color="auto" w:fill="auto"/>
          </w:tcPr>
          <w:p w14:paraId="237126C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им. Куйбышева НКобщемаша и на площади склада № 25 СибВО, г. Омск</w:t>
            </w:r>
          </w:p>
        </w:tc>
      </w:tr>
      <w:tr w:rsidR="008127F8" w:rsidRPr="008127F8" w14:paraId="0A689AED" w14:textId="77777777" w:rsidTr="0005046D">
        <w:tc>
          <w:tcPr>
            <w:tcW w:w="3776" w:type="dxa"/>
            <w:shd w:val="clear" w:color="auto" w:fill="auto"/>
          </w:tcPr>
          <w:p w14:paraId="6424A1F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56. Завод № 32 (пр-во вооружения), г. Москва</w:t>
            </w:r>
          </w:p>
        </w:tc>
        <w:tc>
          <w:tcPr>
            <w:tcW w:w="3776" w:type="dxa"/>
            <w:shd w:val="clear" w:color="auto" w:fill="auto"/>
          </w:tcPr>
          <w:p w14:paraId="6C656F3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315 НКАП, г. Киров</w:t>
            </w:r>
          </w:p>
        </w:tc>
      </w:tr>
      <w:tr w:rsidR="008127F8" w:rsidRPr="008127F8" w14:paraId="3468EDC5" w14:textId="77777777" w:rsidTr="0005046D">
        <w:tc>
          <w:tcPr>
            <w:tcW w:w="3776" w:type="dxa"/>
            <w:shd w:val="clear" w:color="auto" w:fill="auto"/>
          </w:tcPr>
          <w:p w14:paraId="6A0C390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57. Завод № 288, Савелово Калининской обл.</w:t>
            </w:r>
          </w:p>
        </w:tc>
        <w:tc>
          <w:tcPr>
            <w:tcW w:w="3776" w:type="dxa"/>
            <w:shd w:val="clear" w:color="auto" w:fill="auto"/>
          </w:tcPr>
          <w:p w14:paraId="71F3E36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шести складов УГМР, г. Омск</w:t>
            </w:r>
          </w:p>
        </w:tc>
      </w:tr>
      <w:tr w:rsidR="008127F8" w:rsidRPr="008127F8" w14:paraId="3EA0A6B6" w14:textId="77777777" w:rsidTr="0005046D">
        <w:tc>
          <w:tcPr>
            <w:tcW w:w="3776" w:type="dxa"/>
            <w:shd w:val="clear" w:color="auto" w:fill="auto"/>
          </w:tcPr>
          <w:p w14:paraId="38766D5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58. Стройтрест № 8, г. Харьков </w:t>
            </w:r>
          </w:p>
        </w:tc>
        <w:tc>
          <w:tcPr>
            <w:tcW w:w="3776" w:type="dxa"/>
            <w:shd w:val="clear" w:color="auto" w:fill="auto"/>
          </w:tcPr>
          <w:p w14:paraId="324C929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29 НКАП, г. Омск</w:t>
            </w:r>
          </w:p>
        </w:tc>
      </w:tr>
      <w:tr w:rsidR="008127F8" w:rsidRPr="008127F8" w14:paraId="07071F23" w14:textId="77777777" w:rsidTr="0005046D">
        <w:tc>
          <w:tcPr>
            <w:tcW w:w="3776" w:type="dxa"/>
            <w:shd w:val="clear" w:color="auto" w:fill="auto"/>
          </w:tcPr>
          <w:p w14:paraId="3428779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59. Завод № 241 (планерное пр-во), г. Москва</w:t>
            </w:r>
          </w:p>
        </w:tc>
        <w:tc>
          <w:tcPr>
            <w:tcW w:w="3776" w:type="dxa"/>
            <w:shd w:val="clear" w:color="auto" w:fill="auto"/>
          </w:tcPr>
          <w:p w14:paraId="0F81F0F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помещений двух крытых рынков горсовета, г. Тюмень</w:t>
            </w:r>
          </w:p>
        </w:tc>
      </w:tr>
      <w:tr w:rsidR="008127F8" w:rsidRPr="008127F8" w14:paraId="449763C0" w14:textId="77777777" w:rsidTr="0005046D">
        <w:tc>
          <w:tcPr>
            <w:tcW w:w="3776" w:type="dxa"/>
            <w:shd w:val="clear" w:color="auto" w:fill="auto"/>
          </w:tcPr>
          <w:p w14:paraId="3742338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60. Завод № 471, Болшево Московской обл. </w:t>
            </w:r>
          </w:p>
        </w:tc>
        <w:tc>
          <w:tcPr>
            <w:tcW w:w="3776" w:type="dxa"/>
            <w:shd w:val="clear" w:color="auto" w:fill="auto"/>
          </w:tcPr>
          <w:p w14:paraId="01C02D5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163 НКАП, г. Пенза</w:t>
            </w:r>
          </w:p>
        </w:tc>
      </w:tr>
      <w:tr w:rsidR="008127F8" w:rsidRPr="008127F8" w14:paraId="07ADE7BA" w14:textId="77777777" w:rsidTr="0005046D">
        <w:tc>
          <w:tcPr>
            <w:tcW w:w="3776" w:type="dxa"/>
            <w:shd w:val="clear" w:color="auto" w:fill="auto"/>
          </w:tcPr>
          <w:p w14:paraId="7EDAA91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2596079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канатную фабрику НКтекстиля СССР, г. Кузнецк Пензенской обл.</w:t>
            </w:r>
          </w:p>
        </w:tc>
      </w:tr>
      <w:tr w:rsidR="008127F8" w:rsidRPr="008127F8" w14:paraId="537F16F8" w14:textId="77777777" w:rsidTr="0005046D">
        <w:tc>
          <w:tcPr>
            <w:tcW w:w="3776" w:type="dxa"/>
            <w:shd w:val="clear" w:color="auto" w:fill="auto"/>
          </w:tcPr>
          <w:p w14:paraId="359F831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61. Завод № 213, г. Москва </w:t>
            </w:r>
          </w:p>
        </w:tc>
        <w:tc>
          <w:tcPr>
            <w:tcW w:w="3776" w:type="dxa"/>
            <w:shd w:val="clear" w:color="auto" w:fill="auto"/>
          </w:tcPr>
          <w:p w14:paraId="4373FB5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мясокомбината НКмясмолпрома СССР, г. Энгельск Саратовской обл.</w:t>
            </w:r>
          </w:p>
        </w:tc>
      </w:tr>
      <w:tr w:rsidR="008127F8" w:rsidRPr="008127F8" w14:paraId="4D7FF8D8" w14:textId="77777777" w:rsidTr="0005046D">
        <w:tc>
          <w:tcPr>
            <w:tcW w:w="3776" w:type="dxa"/>
            <w:shd w:val="clear" w:color="auto" w:fill="auto"/>
          </w:tcPr>
          <w:p w14:paraId="4DA10F6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62. Завод № 133, г. Ленинград </w:t>
            </w:r>
          </w:p>
        </w:tc>
        <w:tc>
          <w:tcPr>
            <w:tcW w:w="3776" w:type="dxa"/>
            <w:shd w:val="clear" w:color="auto" w:fill="auto"/>
          </w:tcPr>
          <w:p w14:paraId="36D9683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строящийся завод № 306 НКАП, г. Саратов</w:t>
            </w:r>
          </w:p>
        </w:tc>
      </w:tr>
      <w:tr w:rsidR="008127F8" w:rsidRPr="008127F8" w14:paraId="602F4E6D" w14:textId="77777777" w:rsidTr="0005046D">
        <w:tc>
          <w:tcPr>
            <w:tcW w:w="3776" w:type="dxa"/>
            <w:shd w:val="clear" w:color="auto" w:fill="auto"/>
          </w:tcPr>
          <w:p w14:paraId="417A61C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63. Завод № 161 </w:t>
            </w:r>
          </w:p>
        </w:tc>
        <w:tc>
          <w:tcPr>
            <w:tcW w:w="3776" w:type="dxa"/>
            <w:shd w:val="clear" w:color="auto" w:fill="auto"/>
          </w:tcPr>
          <w:p w14:paraId="0F057A3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строящийся завод № 306 НКАП, г. Саратов</w:t>
            </w:r>
          </w:p>
        </w:tc>
      </w:tr>
      <w:tr w:rsidR="008127F8" w:rsidRPr="008127F8" w14:paraId="58573757" w14:textId="77777777" w:rsidTr="0005046D">
        <w:tc>
          <w:tcPr>
            <w:tcW w:w="3776" w:type="dxa"/>
            <w:shd w:val="clear" w:color="auto" w:fill="auto"/>
          </w:tcPr>
          <w:p w14:paraId="11E0846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64. Завод № 167, г. Кунцево Московской обл.</w:t>
            </w:r>
          </w:p>
        </w:tc>
        <w:tc>
          <w:tcPr>
            <w:tcW w:w="3776" w:type="dxa"/>
            <w:shd w:val="clear" w:color="auto" w:fill="auto"/>
          </w:tcPr>
          <w:p w14:paraId="6D43AD2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филиал завода № 292 НКАП, г. Саратов</w:t>
            </w:r>
          </w:p>
        </w:tc>
      </w:tr>
      <w:tr w:rsidR="008127F8" w:rsidRPr="008127F8" w14:paraId="67047EE4" w14:textId="77777777" w:rsidTr="0005046D">
        <w:tc>
          <w:tcPr>
            <w:tcW w:w="3776" w:type="dxa"/>
            <w:shd w:val="clear" w:color="auto" w:fill="auto"/>
          </w:tcPr>
          <w:p w14:paraId="24F2F40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65. Завод № 456 (пр-во моторных агрегатов), г. Полтава</w:t>
            </w:r>
          </w:p>
        </w:tc>
        <w:tc>
          <w:tcPr>
            <w:tcW w:w="3776" w:type="dxa"/>
            <w:shd w:val="clear" w:color="auto" w:fill="auto"/>
          </w:tcPr>
          <w:p w14:paraId="178867D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инструментального цеха завода № 306 НКАП, г. Саратов</w:t>
            </w:r>
          </w:p>
        </w:tc>
      </w:tr>
      <w:tr w:rsidR="008127F8" w:rsidRPr="008127F8" w14:paraId="0416E19A" w14:textId="77777777" w:rsidTr="0005046D">
        <w:tc>
          <w:tcPr>
            <w:tcW w:w="3776" w:type="dxa"/>
            <w:shd w:val="clear" w:color="auto" w:fill="auto"/>
          </w:tcPr>
          <w:p w14:paraId="3284DE3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66. Завод № 165, г. Днепропетровск </w:t>
            </w:r>
          </w:p>
        </w:tc>
        <w:tc>
          <w:tcPr>
            <w:tcW w:w="3776" w:type="dxa"/>
            <w:shd w:val="clear" w:color="auto" w:fill="auto"/>
          </w:tcPr>
          <w:p w14:paraId="2E4E120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292 НКАП, г. Саратов</w:t>
            </w:r>
          </w:p>
        </w:tc>
      </w:tr>
      <w:tr w:rsidR="008127F8" w:rsidRPr="008127F8" w14:paraId="229D5FE5" w14:textId="77777777" w:rsidTr="0005046D">
        <w:tc>
          <w:tcPr>
            <w:tcW w:w="3776" w:type="dxa"/>
            <w:shd w:val="clear" w:color="auto" w:fill="auto"/>
          </w:tcPr>
          <w:p w14:paraId="7CD98DD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67. Завод № 307, г. Ржев </w:t>
            </w:r>
          </w:p>
        </w:tc>
        <w:tc>
          <w:tcPr>
            <w:tcW w:w="3776" w:type="dxa"/>
            <w:shd w:val="clear" w:color="auto" w:fill="auto"/>
          </w:tcPr>
          <w:p w14:paraId="4124249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школы НКпроса РСФСР, г. Екатериновск</w:t>
            </w:r>
          </w:p>
        </w:tc>
      </w:tr>
      <w:tr w:rsidR="008127F8" w:rsidRPr="008127F8" w14:paraId="3FB7CB33" w14:textId="77777777" w:rsidTr="0005046D">
        <w:tc>
          <w:tcPr>
            <w:tcW w:w="3776" w:type="dxa"/>
            <w:shd w:val="clear" w:color="auto" w:fill="auto"/>
          </w:tcPr>
          <w:p w14:paraId="0A74AB4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38DADF5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бывшей церкви, пос. Переезд Саратовской обл.</w:t>
            </w:r>
          </w:p>
        </w:tc>
      </w:tr>
      <w:tr w:rsidR="008127F8" w:rsidRPr="008127F8" w14:paraId="15D746E0" w14:textId="77777777" w:rsidTr="0005046D">
        <w:tc>
          <w:tcPr>
            <w:tcW w:w="3776" w:type="dxa"/>
            <w:shd w:val="clear" w:color="auto" w:fill="auto"/>
          </w:tcPr>
          <w:p w14:paraId="08FB4A4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68. Завод № 162 (пр-во авиавинтов), г. Ленинград</w:t>
            </w:r>
          </w:p>
        </w:tc>
        <w:tc>
          <w:tcPr>
            <w:tcW w:w="3776" w:type="dxa"/>
            <w:shd w:val="clear" w:color="auto" w:fill="auto"/>
          </w:tcPr>
          <w:p w14:paraId="2B5C7A9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449 НКАП, г. Саратов</w:t>
            </w:r>
          </w:p>
        </w:tc>
      </w:tr>
      <w:tr w:rsidR="008127F8" w:rsidRPr="008127F8" w14:paraId="679DC102" w14:textId="77777777" w:rsidTr="0005046D">
        <w:tc>
          <w:tcPr>
            <w:tcW w:w="3776" w:type="dxa"/>
            <w:shd w:val="clear" w:color="auto" w:fill="auto"/>
          </w:tcPr>
          <w:p w14:paraId="7EC6C14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69. Завод № 478, г. Калуга </w:t>
            </w:r>
          </w:p>
        </w:tc>
        <w:tc>
          <w:tcPr>
            <w:tcW w:w="3776" w:type="dxa"/>
            <w:shd w:val="clear" w:color="auto" w:fill="auto"/>
          </w:tcPr>
          <w:p w14:paraId="29F2EDE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84 НКАП, г. Ташкент</w:t>
            </w:r>
          </w:p>
        </w:tc>
      </w:tr>
      <w:tr w:rsidR="008127F8" w:rsidRPr="008127F8" w14:paraId="293861F9" w14:textId="77777777" w:rsidTr="0005046D">
        <w:tc>
          <w:tcPr>
            <w:tcW w:w="3776" w:type="dxa"/>
            <w:shd w:val="clear" w:color="auto" w:fill="auto"/>
          </w:tcPr>
          <w:p w14:paraId="2A0260D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70. Завод по производству лопастей винтов </w:t>
            </w:r>
          </w:p>
        </w:tc>
        <w:tc>
          <w:tcPr>
            <w:tcW w:w="3776" w:type="dxa"/>
            <w:shd w:val="clear" w:color="auto" w:fill="auto"/>
          </w:tcPr>
          <w:p w14:paraId="384AD0C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Саратовскую мебельную фабрику НКлеса СССР, г. Саратов</w:t>
            </w:r>
          </w:p>
        </w:tc>
      </w:tr>
      <w:tr w:rsidR="008127F8" w:rsidRPr="008127F8" w14:paraId="3CD12ED0" w14:textId="77777777" w:rsidTr="0005046D">
        <w:tc>
          <w:tcPr>
            <w:tcW w:w="3776" w:type="dxa"/>
            <w:shd w:val="clear" w:color="auto" w:fill="auto"/>
          </w:tcPr>
          <w:p w14:paraId="731354B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71. Завод № 380, г. Ленинград </w:t>
            </w:r>
          </w:p>
        </w:tc>
        <w:tc>
          <w:tcPr>
            <w:tcW w:w="3776" w:type="dxa"/>
            <w:shd w:val="clear" w:color="auto" w:fill="auto"/>
          </w:tcPr>
          <w:p w14:paraId="47A5C05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вагоностроительный завод НКсредмаша, г. Нижний Тагил Свердловской обл.</w:t>
            </w:r>
          </w:p>
        </w:tc>
      </w:tr>
      <w:tr w:rsidR="008127F8" w:rsidRPr="008127F8" w14:paraId="0B5E35FA" w14:textId="77777777" w:rsidTr="0005046D">
        <w:tc>
          <w:tcPr>
            <w:tcW w:w="3776" w:type="dxa"/>
            <w:shd w:val="clear" w:color="auto" w:fill="auto"/>
          </w:tcPr>
          <w:p w14:paraId="3FFDAD8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72. Завод № 381, г. Ленинград </w:t>
            </w:r>
          </w:p>
        </w:tc>
        <w:tc>
          <w:tcPr>
            <w:tcW w:w="3776" w:type="dxa"/>
            <w:shd w:val="clear" w:color="auto" w:fill="auto"/>
          </w:tcPr>
          <w:p w14:paraId="01F7680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вагоностроительный завод НКсредмаша, г. Нижний Тагил Свердловской обл.</w:t>
            </w:r>
          </w:p>
        </w:tc>
      </w:tr>
      <w:tr w:rsidR="008127F8" w:rsidRPr="008127F8" w14:paraId="296FD9F5" w14:textId="77777777" w:rsidTr="0005046D">
        <w:tc>
          <w:tcPr>
            <w:tcW w:w="3776" w:type="dxa"/>
            <w:shd w:val="clear" w:color="auto" w:fill="auto"/>
          </w:tcPr>
          <w:p w14:paraId="3849671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73. Завод № 120, г. Москва </w:t>
            </w:r>
          </w:p>
        </w:tc>
        <w:tc>
          <w:tcPr>
            <w:tcW w:w="3776" w:type="dxa"/>
            <w:shd w:val="clear" w:color="auto" w:fill="auto"/>
          </w:tcPr>
          <w:p w14:paraId="7305328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вагоностроительный завод НКсредмаша, г. Нижний Тагил Свердловской обл.</w:t>
            </w:r>
          </w:p>
        </w:tc>
      </w:tr>
      <w:tr w:rsidR="008127F8" w:rsidRPr="008127F8" w14:paraId="683B04E3" w14:textId="77777777" w:rsidTr="0005046D">
        <w:tc>
          <w:tcPr>
            <w:tcW w:w="3776" w:type="dxa"/>
            <w:shd w:val="clear" w:color="auto" w:fill="auto"/>
          </w:tcPr>
          <w:p w14:paraId="430943F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55819B9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286 НКАП, г. Каменск Челябинской обл.</w:t>
            </w:r>
          </w:p>
        </w:tc>
      </w:tr>
      <w:tr w:rsidR="008127F8" w:rsidRPr="008127F8" w14:paraId="101BBC44" w14:textId="77777777" w:rsidTr="0005046D">
        <w:tc>
          <w:tcPr>
            <w:tcW w:w="3776" w:type="dxa"/>
            <w:shd w:val="clear" w:color="auto" w:fill="auto"/>
          </w:tcPr>
          <w:p w14:paraId="3B375D2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74. Завод «Точизмеритель» (Сходненское стекольное пр-во), г. Москва</w:t>
            </w:r>
          </w:p>
        </w:tc>
        <w:tc>
          <w:tcPr>
            <w:tcW w:w="3776" w:type="dxa"/>
            <w:shd w:val="clear" w:color="auto" w:fill="auto"/>
          </w:tcPr>
          <w:p w14:paraId="55FE194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Манчашский стекольный завод НКместпрома РСФСР, Свердловская обл.</w:t>
            </w:r>
          </w:p>
        </w:tc>
      </w:tr>
      <w:tr w:rsidR="008127F8" w:rsidRPr="008127F8" w14:paraId="10F454A7" w14:textId="77777777" w:rsidTr="0005046D">
        <w:tc>
          <w:tcPr>
            <w:tcW w:w="3776" w:type="dxa"/>
            <w:shd w:val="clear" w:color="auto" w:fill="auto"/>
          </w:tcPr>
          <w:p w14:paraId="1312348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75. Завод № 150, г. Москва </w:t>
            </w:r>
          </w:p>
        </w:tc>
        <w:tc>
          <w:tcPr>
            <w:tcW w:w="3776" w:type="dxa"/>
            <w:shd w:val="clear" w:color="auto" w:fill="auto"/>
          </w:tcPr>
          <w:p w14:paraId="3C75DEE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Верхне-Салдинский завод металлоконструкций НКстроя</w:t>
            </w:r>
          </w:p>
        </w:tc>
      </w:tr>
      <w:tr w:rsidR="008127F8" w:rsidRPr="008127F8" w14:paraId="3503802A" w14:textId="77777777" w:rsidTr="0005046D">
        <w:tc>
          <w:tcPr>
            <w:tcW w:w="3776" w:type="dxa"/>
            <w:shd w:val="clear" w:color="auto" w:fill="auto"/>
          </w:tcPr>
          <w:p w14:paraId="0860484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70C0F1A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268 НКАП, г. Каменск Челябинской обл.</w:t>
            </w:r>
          </w:p>
        </w:tc>
      </w:tr>
      <w:tr w:rsidR="008127F8" w:rsidRPr="008127F8" w14:paraId="1C2BF1A1" w14:textId="77777777" w:rsidTr="0005046D">
        <w:tc>
          <w:tcPr>
            <w:tcW w:w="3776" w:type="dxa"/>
            <w:shd w:val="clear" w:color="auto" w:fill="auto"/>
          </w:tcPr>
          <w:p w14:paraId="6258A5B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7DD980B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в бытовки заводов № 122, 295 НКАП, г. Куйбышев</w:t>
            </w:r>
          </w:p>
        </w:tc>
      </w:tr>
      <w:tr w:rsidR="008127F8" w:rsidRPr="008127F8" w14:paraId="4421AA4B" w14:textId="77777777" w:rsidTr="0005046D">
        <w:tc>
          <w:tcPr>
            <w:tcW w:w="3776" w:type="dxa"/>
            <w:shd w:val="clear" w:color="auto" w:fill="auto"/>
          </w:tcPr>
          <w:p w14:paraId="5CE17EC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76. Завод № 95 </w:t>
            </w:r>
          </w:p>
        </w:tc>
        <w:tc>
          <w:tcPr>
            <w:tcW w:w="3776" w:type="dxa"/>
            <w:shd w:val="clear" w:color="auto" w:fill="auto"/>
          </w:tcPr>
          <w:p w14:paraId="51C9C1E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Верхне-Салдинский завод металлоконструкций, г. Верхняя Салда Свердловской обл.</w:t>
            </w:r>
          </w:p>
        </w:tc>
      </w:tr>
      <w:tr w:rsidR="008127F8" w:rsidRPr="008127F8" w14:paraId="0B162271" w14:textId="77777777" w:rsidTr="0005046D">
        <w:tc>
          <w:tcPr>
            <w:tcW w:w="3776" w:type="dxa"/>
            <w:shd w:val="clear" w:color="auto" w:fill="auto"/>
          </w:tcPr>
          <w:p w14:paraId="5A8EC92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77. Завод № 468, г. Бескудниково Московской обл.</w:t>
            </w:r>
          </w:p>
        </w:tc>
        <w:tc>
          <w:tcPr>
            <w:tcW w:w="3776" w:type="dxa"/>
            <w:shd w:val="clear" w:color="auto" w:fill="auto"/>
          </w:tcPr>
          <w:p w14:paraId="32C6AE3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литейный завод НКместпрома РСФСР, г. Билимбай Свердловской обл.</w:t>
            </w:r>
          </w:p>
        </w:tc>
      </w:tr>
      <w:tr w:rsidR="008127F8" w:rsidRPr="008127F8" w14:paraId="00E56B74" w14:textId="77777777" w:rsidTr="0005046D">
        <w:tc>
          <w:tcPr>
            <w:tcW w:w="3776" w:type="dxa"/>
            <w:shd w:val="clear" w:color="auto" w:fill="auto"/>
          </w:tcPr>
          <w:p w14:paraId="6B33EDD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78. Завод № 293, г. Химки Московской обл. </w:t>
            </w:r>
          </w:p>
        </w:tc>
        <w:tc>
          <w:tcPr>
            <w:tcW w:w="3776" w:type="dxa"/>
            <w:shd w:val="clear" w:color="auto" w:fill="auto"/>
          </w:tcPr>
          <w:p w14:paraId="4238321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литейный завод НКместпрома РСФСР, г. Билимбай Свердловской обл.</w:t>
            </w:r>
          </w:p>
        </w:tc>
      </w:tr>
      <w:tr w:rsidR="008127F8" w:rsidRPr="008127F8" w14:paraId="4CFF5457" w14:textId="77777777" w:rsidTr="0005046D">
        <w:tc>
          <w:tcPr>
            <w:tcW w:w="3776" w:type="dxa"/>
            <w:shd w:val="clear" w:color="auto" w:fill="auto"/>
          </w:tcPr>
          <w:p w14:paraId="7C57FA3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79. Завод № 290, г. Москва </w:t>
            </w:r>
          </w:p>
        </w:tc>
        <w:tc>
          <w:tcPr>
            <w:tcW w:w="3776" w:type="dxa"/>
            <w:shd w:val="clear" w:color="auto" w:fill="auto"/>
          </w:tcPr>
          <w:p w14:paraId="5627B95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литейный завод НКместпрома РСФСР, г. Билимбай Свердловской обл.</w:t>
            </w:r>
          </w:p>
        </w:tc>
      </w:tr>
      <w:tr w:rsidR="008127F8" w:rsidRPr="008127F8" w14:paraId="28FB9CC4" w14:textId="77777777" w:rsidTr="0005046D">
        <w:tc>
          <w:tcPr>
            <w:tcW w:w="3776" w:type="dxa"/>
            <w:shd w:val="clear" w:color="auto" w:fill="auto"/>
          </w:tcPr>
          <w:p w14:paraId="7A537DD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700FCB6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Билимбайского клуба (бывшая церковь), г. Билимбай Свердловской обл.</w:t>
            </w:r>
          </w:p>
        </w:tc>
      </w:tr>
      <w:tr w:rsidR="008127F8" w:rsidRPr="008127F8" w14:paraId="1F0950AA" w14:textId="77777777" w:rsidTr="0005046D">
        <w:tc>
          <w:tcPr>
            <w:tcW w:w="3776" w:type="dxa"/>
            <w:shd w:val="clear" w:color="auto" w:fill="auto"/>
          </w:tcPr>
          <w:p w14:paraId="57B9DD6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80. Завод № 214 (пр-во авиаприборов), г. Москва</w:t>
            </w:r>
          </w:p>
        </w:tc>
        <w:tc>
          <w:tcPr>
            <w:tcW w:w="3776" w:type="dxa"/>
            <w:shd w:val="clear" w:color="auto" w:fill="auto"/>
          </w:tcPr>
          <w:p w14:paraId="106F75D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клуба им. Профинтерна ВЦСПС, г. Свердловск</w:t>
            </w:r>
          </w:p>
        </w:tc>
      </w:tr>
      <w:tr w:rsidR="008127F8" w:rsidRPr="008127F8" w14:paraId="38646BBB" w14:textId="77777777" w:rsidTr="0005046D">
        <w:tc>
          <w:tcPr>
            <w:tcW w:w="3776" w:type="dxa"/>
            <w:shd w:val="clear" w:color="auto" w:fill="auto"/>
          </w:tcPr>
          <w:p w14:paraId="4368582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81. Завод № 382, г. Тарту </w:t>
            </w:r>
          </w:p>
        </w:tc>
        <w:tc>
          <w:tcPr>
            <w:tcW w:w="3776" w:type="dxa"/>
            <w:shd w:val="clear" w:color="auto" w:fill="auto"/>
          </w:tcPr>
          <w:p w14:paraId="1509EA0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клуба им. Профинтерна ВЦСПС, г. Свердловск</w:t>
            </w:r>
          </w:p>
        </w:tc>
      </w:tr>
      <w:tr w:rsidR="008127F8" w:rsidRPr="008127F8" w14:paraId="3404891D" w14:textId="77777777" w:rsidTr="0005046D">
        <w:tc>
          <w:tcPr>
            <w:tcW w:w="3776" w:type="dxa"/>
            <w:shd w:val="clear" w:color="auto" w:fill="auto"/>
          </w:tcPr>
          <w:p w14:paraId="7F85C69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lastRenderedPageBreak/>
              <w:t xml:space="preserve">82. Завод № 155, г. Харьков </w:t>
            </w:r>
          </w:p>
        </w:tc>
        <w:tc>
          <w:tcPr>
            <w:tcW w:w="3776" w:type="dxa"/>
            <w:shd w:val="clear" w:color="auto" w:fill="auto"/>
          </w:tcPr>
          <w:p w14:paraId="4A1F762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клуба им. Профинтерна ВЦСПС, г. Свердловск</w:t>
            </w:r>
          </w:p>
        </w:tc>
      </w:tr>
      <w:tr w:rsidR="008127F8" w:rsidRPr="008127F8" w14:paraId="04FEC8FD" w14:textId="77777777" w:rsidTr="0005046D">
        <w:tc>
          <w:tcPr>
            <w:tcW w:w="3776" w:type="dxa"/>
            <w:shd w:val="clear" w:color="auto" w:fill="auto"/>
          </w:tcPr>
          <w:p w14:paraId="2D0CFA4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83. Завод № 240, г. Москва </w:t>
            </w:r>
          </w:p>
        </w:tc>
        <w:tc>
          <w:tcPr>
            <w:tcW w:w="3776" w:type="dxa"/>
            <w:shd w:val="clear" w:color="auto" w:fill="auto"/>
          </w:tcPr>
          <w:p w14:paraId="65EB0A8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предоставленные Свердловским облисполкомом, г. Свердловск</w:t>
            </w:r>
          </w:p>
        </w:tc>
      </w:tr>
      <w:tr w:rsidR="008127F8" w:rsidRPr="008127F8" w14:paraId="22DBAA3C" w14:textId="77777777" w:rsidTr="0005046D">
        <w:tc>
          <w:tcPr>
            <w:tcW w:w="3776" w:type="dxa"/>
            <w:shd w:val="clear" w:color="auto" w:fill="auto"/>
          </w:tcPr>
          <w:p w14:paraId="3D71486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84. Завод № 474, г. Москва </w:t>
            </w:r>
          </w:p>
        </w:tc>
        <w:tc>
          <w:tcPr>
            <w:tcW w:w="3776" w:type="dxa"/>
            <w:shd w:val="clear" w:color="auto" w:fill="auto"/>
          </w:tcPr>
          <w:p w14:paraId="3DF2B37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Энергомеханического техникума НКэлектропрома, г. Свердловск</w:t>
            </w:r>
          </w:p>
        </w:tc>
      </w:tr>
      <w:tr w:rsidR="008127F8" w:rsidRPr="008127F8" w14:paraId="0A7259EB" w14:textId="77777777" w:rsidTr="0005046D">
        <w:tc>
          <w:tcPr>
            <w:tcW w:w="3776" w:type="dxa"/>
            <w:shd w:val="clear" w:color="auto" w:fill="auto"/>
          </w:tcPr>
          <w:p w14:paraId="601E76A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85. Заводы № 3 Оргавиапрома, г. Москва </w:t>
            </w:r>
          </w:p>
        </w:tc>
        <w:tc>
          <w:tcPr>
            <w:tcW w:w="3776" w:type="dxa"/>
            <w:shd w:val="clear" w:color="auto" w:fill="auto"/>
          </w:tcPr>
          <w:p w14:paraId="0BBA704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вагоноремонтной мастерской и депо НКПС, г. Тавда</w:t>
            </w:r>
          </w:p>
        </w:tc>
      </w:tr>
      <w:tr w:rsidR="008127F8" w:rsidRPr="008127F8" w14:paraId="0FC1D79A" w14:textId="77777777" w:rsidTr="0005046D">
        <w:tc>
          <w:tcPr>
            <w:tcW w:w="3776" w:type="dxa"/>
            <w:shd w:val="clear" w:color="auto" w:fill="auto"/>
          </w:tcPr>
          <w:p w14:paraId="5FF0451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1F97707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бывшего прокатного цеха, пос. Черноисточник Свердловской обл.</w:t>
            </w:r>
          </w:p>
        </w:tc>
      </w:tr>
      <w:tr w:rsidR="008127F8" w:rsidRPr="008127F8" w14:paraId="681EB859" w14:textId="77777777" w:rsidTr="0005046D">
        <w:tc>
          <w:tcPr>
            <w:tcW w:w="3776" w:type="dxa"/>
            <w:shd w:val="clear" w:color="auto" w:fill="auto"/>
          </w:tcPr>
          <w:p w14:paraId="1A78F10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86. Завод № 5 Оргавиапрома, г. Москва </w:t>
            </w:r>
          </w:p>
        </w:tc>
        <w:tc>
          <w:tcPr>
            <w:tcW w:w="3776" w:type="dxa"/>
            <w:shd w:val="clear" w:color="auto" w:fill="auto"/>
          </w:tcPr>
          <w:p w14:paraId="2CC3A1B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вагоноремонтной мастерской и депо НКПС, г. Тавда</w:t>
            </w:r>
          </w:p>
        </w:tc>
      </w:tr>
      <w:tr w:rsidR="008127F8" w:rsidRPr="008127F8" w14:paraId="1CD9D9E6" w14:textId="77777777" w:rsidTr="0005046D">
        <w:tc>
          <w:tcPr>
            <w:tcW w:w="3776" w:type="dxa"/>
            <w:shd w:val="clear" w:color="auto" w:fill="auto"/>
          </w:tcPr>
          <w:p w14:paraId="7D931F3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1022A9D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бывшего прокатного цеха, пос. Черноисточник Свердловской обл.</w:t>
            </w:r>
          </w:p>
        </w:tc>
      </w:tr>
      <w:tr w:rsidR="008127F8" w:rsidRPr="008127F8" w14:paraId="7403F566" w14:textId="77777777" w:rsidTr="0005046D">
        <w:tc>
          <w:tcPr>
            <w:tcW w:w="3776" w:type="dxa"/>
            <w:shd w:val="clear" w:color="auto" w:fill="auto"/>
          </w:tcPr>
          <w:p w14:paraId="6C8902A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87. Завод № 261 </w:t>
            </w:r>
          </w:p>
        </w:tc>
        <w:tc>
          <w:tcPr>
            <w:tcW w:w="3776" w:type="dxa"/>
            <w:shd w:val="clear" w:color="auto" w:fill="auto"/>
          </w:tcPr>
          <w:p w14:paraId="5F37A00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Делового дома, г. Свердловск</w:t>
            </w:r>
          </w:p>
        </w:tc>
      </w:tr>
      <w:tr w:rsidR="008127F8" w:rsidRPr="008127F8" w14:paraId="6AEE5256" w14:textId="77777777" w:rsidTr="0005046D">
        <w:tc>
          <w:tcPr>
            <w:tcW w:w="3776" w:type="dxa"/>
            <w:shd w:val="clear" w:color="auto" w:fill="auto"/>
          </w:tcPr>
          <w:p w14:paraId="56EA52B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88. Опытный завод металлических баков при заводе № 156, г. Москва</w:t>
            </w:r>
          </w:p>
        </w:tc>
        <w:tc>
          <w:tcPr>
            <w:tcW w:w="3776" w:type="dxa"/>
            <w:shd w:val="clear" w:color="auto" w:fill="auto"/>
          </w:tcPr>
          <w:p w14:paraId="7674690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лесозавод НКместпрома РСФСР, г. Невьянск Свердловской обл.</w:t>
            </w:r>
          </w:p>
        </w:tc>
      </w:tr>
      <w:tr w:rsidR="008127F8" w:rsidRPr="008127F8" w14:paraId="6F5A682F" w14:textId="77777777" w:rsidTr="0005046D">
        <w:tc>
          <w:tcPr>
            <w:tcW w:w="3776" w:type="dxa"/>
            <w:shd w:val="clear" w:color="auto" w:fill="auto"/>
          </w:tcPr>
          <w:p w14:paraId="53D9A5F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89. Завод № 445, Московская обл. </w:t>
            </w:r>
          </w:p>
        </w:tc>
        <w:tc>
          <w:tcPr>
            <w:tcW w:w="3776" w:type="dxa"/>
            <w:shd w:val="clear" w:color="auto" w:fill="auto"/>
          </w:tcPr>
          <w:p w14:paraId="5FC04D1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Алапаевский деревоотделочный комбинат НКЧМ, г. Алапаевск Свердловской обл.</w:t>
            </w:r>
          </w:p>
        </w:tc>
      </w:tr>
      <w:tr w:rsidR="008127F8" w:rsidRPr="008127F8" w14:paraId="6D6ED436" w14:textId="77777777" w:rsidTr="0005046D">
        <w:tc>
          <w:tcPr>
            <w:tcW w:w="3776" w:type="dxa"/>
            <w:shd w:val="clear" w:color="auto" w:fill="auto"/>
          </w:tcPr>
          <w:p w14:paraId="7A5BC47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90. Завод № 493, Московская обл. </w:t>
            </w:r>
          </w:p>
        </w:tc>
        <w:tc>
          <w:tcPr>
            <w:tcW w:w="3776" w:type="dxa"/>
            <w:shd w:val="clear" w:color="auto" w:fill="auto"/>
          </w:tcPr>
          <w:p w14:paraId="2D8BF62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Алапаевский деревоотделочный комбинат НКЧМ, г. Алапаевск Свердловской обл.</w:t>
            </w:r>
          </w:p>
        </w:tc>
      </w:tr>
      <w:tr w:rsidR="008127F8" w:rsidRPr="008127F8" w14:paraId="3F9E19D5" w14:textId="77777777" w:rsidTr="0005046D">
        <w:tc>
          <w:tcPr>
            <w:tcW w:w="3776" w:type="dxa"/>
            <w:shd w:val="clear" w:color="auto" w:fill="auto"/>
          </w:tcPr>
          <w:p w14:paraId="4FD0159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91. Завод № 28, г. Москва </w:t>
            </w:r>
          </w:p>
        </w:tc>
        <w:tc>
          <w:tcPr>
            <w:tcW w:w="3776" w:type="dxa"/>
            <w:shd w:val="clear" w:color="auto" w:fill="auto"/>
          </w:tcPr>
          <w:p w14:paraId="7CD983B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493 НКАП и мебельную фабрику НКместпрома РСФСР, г. Свердловск</w:t>
            </w:r>
          </w:p>
        </w:tc>
      </w:tr>
      <w:tr w:rsidR="008127F8" w:rsidRPr="008127F8" w14:paraId="339510F7" w14:textId="77777777" w:rsidTr="0005046D">
        <w:tc>
          <w:tcPr>
            <w:tcW w:w="3776" w:type="dxa"/>
            <w:shd w:val="clear" w:color="auto" w:fill="auto"/>
          </w:tcPr>
          <w:p w14:paraId="2F51D60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92. Завод № 22, г. Москва </w:t>
            </w:r>
          </w:p>
        </w:tc>
        <w:tc>
          <w:tcPr>
            <w:tcW w:w="3776" w:type="dxa"/>
            <w:shd w:val="clear" w:color="auto" w:fill="auto"/>
          </w:tcPr>
          <w:p w14:paraId="718C6F4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124 НКАП, г. Казань</w:t>
            </w:r>
          </w:p>
        </w:tc>
      </w:tr>
      <w:tr w:rsidR="008127F8" w:rsidRPr="008127F8" w14:paraId="6A5BE1FA" w14:textId="77777777" w:rsidTr="0005046D">
        <w:tc>
          <w:tcPr>
            <w:tcW w:w="3776" w:type="dxa"/>
            <w:shd w:val="clear" w:color="auto" w:fill="auto"/>
          </w:tcPr>
          <w:p w14:paraId="78B8B36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93. Завод № 82 </w:t>
            </w:r>
          </w:p>
        </w:tc>
        <w:tc>
          <w:tcPr>
            <w:tcW w:w="3776" w:type="dxa"/>
            <w:shd w:val="clear" w:color="auto" w:fill="auto"/>
          </w:tcPr>
          <w:p w14:paraId="60C7C19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27 НКАП, г. Казань</w:t>
            </w:r>
          </w:p>
        </w:tc>
      </w:tr>
      <w:tr w:rsidR="008127F8" w:rsidRPr="008127F8" w14:paraId="5A303FDF" w14:textId="77777777" w:rsidTr="0005046D">
        <w:tc>
          <w:tcPr>
            <w:tcW w:w="3776" w:type="dxa"/>
            <w:shd w:val="clear" w:color="auto" w:fill="auto"/>
          </w:tcPr>
          <w:p w14:paraId="61F91F4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94. Завод № 16 </w:t>
            </w:r>
          </w:p>
        </w:tc>
        <w:tc>
          <w:tcPr>
            <w:tcW w:w="3776" w:type="dxa"/>
            <w:shd w:val="clear" w:color="auto" w:fill="auto"/>
          </w:tcPr>
          <w:p w14:paraId="2D315FA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27 НКАП, г. Казань</w:t>
            </w:r>
          </w:p>
        </w:tc>
      </w:tr>
      <w:tr w:rsidR="008127F8" w:rsidRPr="008127F8" w14:paraId="1EB3217A" w14:textId="77777777" w:rsidTr="0005046D">
        <w:tc>
          <w:tcPr>
            <w:tcW w:w="3776" w:type="dxa"/>
            <w:shd w:val="clear" w:color="auto" w:fill="auto"/>
          </w:tcPr>
          <w:p w14:paraId="080F278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95. Завод № 218 (часть), г. Ленинград </w:t>
            </w:r>
          </w:p>
        </w:tc>
        <w:tc>
          <w:tcPr>
            <w:tcW w:w="3776" w:type="dxa"/>
            <w:shd w:val="clear" w:color="auto" w:fill="auto"/>
          </w:tcPr>
          <w:p w14:paraId="486D286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фабрики кинопленки Комитета по делам кинематографии, г. Казань</w:t>
            </w:r>
          </w:p>
        </w:tc>
      </w:tr>
      <w:tr w:rsidR="008127F8" w:rsidRPr="008127F8" w14:paraId="433AE633" w14:textId="77777777" w:rsidTr="0005046D">
        <w:tc>
          <w:tcPr>
            <w:tcW w:w="3776" w:type="dxa"/>
            <w:shd w:val="clear" w:color="auto" w:fill="auto"/>
          </w:tcPr>
          <w:p w14:paraId="5918120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96. Завод № 230, г. Москва </w:t>
            </w:r>
          </w:p>
        </w:tc>
        <w:tc>
          <w:tcPr>
            <w:tcW w:w="3776" w:type="dxa"/>
            <w:shd w:val="clear" w:color="auto" w:fill="auto"/>
          </w:tcPr>
          <w:p w14:paraId="0B79303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фабрики кинопленки Комитета по делам кинематографии, г. Казань</w:t>
            </w:r>
          </w:p>
        </w:tc>
      </w:tr>
      <w:tr w:rsidR="008127F8" w:rsidRPr="008127F8" w14:paraId="28892D56" w14:textId="77777777" w:rsidTr="0005046D">
        <w:tc>
          <w:tcPr>
            <w:tcW w:w="3776" w:type="dxa"/>
            <w:shd w:val="clear" w:color="auto" w:fill="auto"/>
          </w:tcPr>
          <w:p w14:paraId="459E0BE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5B3C049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Ветеринарного института и Ветеринарного техникума НКзема СССР, г. Казань</w:t>
            </w:r>
          </w:p>
        </w:tc>
      </w:tr>
      <w:tr w:rsidR="008127F8" w:rsidRPr="008127F8" w14:paraId="7540DE96" w14:textId="77777777" w:rsidTr="0005046D">
        <w:tc>
          <w:tcPr>
            <w:tcW w:w="3776" w:type="dxa"/>
            <w:shd w:val="clear" w:color="auto" w:fill="auto"/>
          </w:tcPr>
          <w:p w14:paraId="319D083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97. Завод № 473, г. Львов </w:t>
            </w:r>
          </w:p>
        </w:tc>
        <w:tc>
          <w:tcPr>
            <w:tcW w:w="3776" w:type="dxa"/>
            <w:shd w:val="clear" w:color="auto" w:fill="auto"/>
          </w:tcPr>
          <w:p w14:paraId="70512D3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кинофабрику Комитета по делам кинематографии, г. Казань</w:t>
            </w:r>
          </w:p>
        </w:tc>
      </w:tr>
      <w:tr w:rsidR="008127F8" w:rsidRPr="008127F8" w14:paraId="2D6358A0" w14:textId="77777777" w:rsidTr="0005046D">
        <w:tc>
          <w:tcPr>
            <w:tcW w:w="3776" w:type="dxa"/>
            <w:shd w:val="clear" w:color="auto" w:fill="auto"/>
          </w:tcPr>
          <w:p w14:paraId="54A81C7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98. Завод № 278 (30%), г. Ленинград </w:t>
            </w:r>
          </w:p>
        </w:tc>
        <w:tc>
          <w:tcPr>
            <w:tcW w:w="3776" w:type="dxa"/>
            <w:shd w:val="clear" w:color="auto" w:fill="auto"/>
          </w:tcPr>
          <w:p w14:paraId="505A25A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Ветеринарного института и Ветеринарного техникума НКзема СССР, г. Казань</w:t>
            </w:r>
          </w:p>
        </w:tc>
      </w:tr>
      <w:tr w:rsidR="008127F8" w:rsidRPr="008127F8" w14:paraId="50432667" w14:textId="77777777" w:rsidTr="0005046D">
        <w:tc>
          <w:tcPr>
            <w:tcW w:w="3776" w:type="dxa"/>
            <w:shd w:val="clear" w:color="auto" w:fill="auto"/>
          </w:tcPr>
          <w:p w14:paraId="574BCD9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99. Завод № 168, г. Рязань </w:t>
            </w:r>
          </w:p>
        </w:tc>
        <w:tc>
          <w:tcPr>
            <w:tcW w:w="3776" w:type="dxa"/>
            <w:shd w:val="clear" w:color="auto" w:fill="auto"/>
          </w:tcPr>
          <w:p w14:paraId="121BD18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Лопатинский лесокомбинат НКлеса СССР, ст. Лопатино Казанской ж.д.</w:t>
            </w:r>
          </w:p>
        </w:tc>
      </w:tr>
      <w:tr w:rsidR="008127F8" w:rsidRPr="008127F8" w14:paraId="69FCEC9D" w14:textId="77777777" w:rsidTr="0005046D">
        <w:tc>
          <w:tcPr>
            <w:tcW w:w="3776" w:type="dxa"/>
            <w:shd w:val="clear" w:color="auto" w:fill="auto"/>
          </w:tcPr>
          <w:p w14:paraId="3B2513E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1878B67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471 НКАП, г. Шумерля Чувашской АССР</w:t>
            </w:r>
          </w:p>
        </w:tc>
      </w:tr>
      <w:tr w:rsidR="008127F8" w:rsidRPr="008127F8" w14:paraId="32A93251" w14:textId="77777777" w:rsidTr="0005046D">
        <w:tc>
          <w:tcPr>
            <w:tcW w:w="3776" w:type="dxa"/>
            <w:shd w:val="clear" w:color="auto" w:fill="auto"/>
          </w:tcPr>
          <w:p w14:paraId="270E26C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100. Завод № 294, г. Москва </w:t>
            </w:r>
          </w:p>
        </w:tc>
        <w:tc>
          <w:tcPr>
            <w:tcW w:w="3776" w:type="dxa"/>
            <w:shd w:val="clear" w:color="auto" w:fill="auto"/>
          </w:tcPr>
          <w:p w14:paraId="64F1FDF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пивоваренный завод «Красный Восток» НКПищепрома СССР, г. Казань</w:t>
            </w:r>
          </w:p>
        </w:tc>
      </w:tr>
      <w:tr w:rsidR="008127F8" w:rsidRPr="008127F8" w14:paraId="379BB008" w14:textId="77777777" w:rsidTr="0005046D">
        <w:tc>
          <w:tcPr>
            <w:tcW w:w="3776" w:type="dxa"/>
            <w:shd w:val="clear" w:color="auto" w:fill="auto"/>
          </w:tcPr>
          <w:p w14:paraId="1FFC26B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101. Завод № 8 НКместпрома РСФСР, г. Москва</w:t>
            </w:r>
          </w:p>
        </w:tc>
        <w:tc>
          <w:tcPr>
            <w:tcW w:w="3776" w:type="dxa"/>
            <w:shd w:val="clear" w:color="auto" w:fill="auto"/>
          </w:tcPr>
          <w:p w14:paraId="27670E4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пивоваренный завод «Красный Восток» НКПищепрома СССР, г. Казань</w:t>
            </w:r>
          </w:p>
        </w:tc>
      </w:tr>
      <w:tr w:rsidR="008127F8" w:rsidRPr="008127F8" w14:paraId="200E6A9D" w14:textId="77777777" w:rsidTr="0005046D">
        <w:tc>
          <w:tcPr>
            <w:tcW w:w="3776" w:type="dxa"/>
            <w:shd w:val="clear" w:color="auto" w:fill="auto"/>
          </w:tcPr>
          <w:p w14:paraId="6ABCEE8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102. Завод № 84, г. Москва </w:t>
            </w:r>
          </w:p>
        </w:tc>
        <w:tc>
          <w:tcPr>
            <w:tcW w:w="3776" w:type="dxa"/>
            <w:shd w:val="clear" w:color="auto" w:fill="auto"/>
          </w:tcPr>
          <w:p w14:paraId="6D16D5A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мастерских ГУГВФ и Полиграфического комбината, г. Ташкент</w:t>
            </w:r>
          </w:p>
        </w:tc>
      </w:tr>
      <w:tr w:rsidR="008127F8" w:rsidRPr="008127F8" w14:paraId="7320F77E" w14:textId="77777777" w:rsidTr="0005046D">
        <w:tc>
          <w:tcPr>
            <w:tcW w:w="3776" w:type="dxa"/>
            <w:shd w:val="clear" w:color="auto" w:fill="auto"/>
          </w:tcPr>
          <w:p w14:paraId="641CDCE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103. Завод № 279 (пр-во приборов), г. Раменское Московской обл.</w:t>
            </w:r>
          </w:p>
        </w:tc>
        <w:tc>
          <w:tcPr>
            <w:tcW w:w="3776" w:type="dxa"/>
            <w:shd w:val="clear" w:color="auto" w:fill="auto"/>
          </w:tcPr>
          <w:p w14:paraId="4252876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клуба им. Х-летия Октябрьской революции, г. Ижевск</w:t>
            </w:r>
          </w:p>
        </w:tc>
      </w:tr>
      <w:tr w:rsidR="008127F8" w:rsidRPr="008127F8" w14:paraId="370195DE" w14:textId="77777777" w:rsidTr="0005046D">
        <w:tc>
          <w:tcPr>
            <w:tcW w:w="3776" w:type="dxa"/>
            <w:shd w:val="clear" w:color="auto" w:fill="auto"/>
          </w:tcPr>
          <w:p w14:paraId="52C399C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104. Завод № 444, г. Перово Московской обл. </w:t>
            </w:r>
          </w:p>
        </w:tc>
        <w:tc>
          <w:tcPr>
            <w:tcW w:w="3776" w:type="dxa"/>
            <w:shd w:val="clear" w:color="auto" w:fill="auto"/>
          </w:tcPr>
          <w:p w14:paraId="34EE5A0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Симский арматурный завод НКобщемаша, Челябинская обл.</w:t>
            </w:r>
          </w:p>
        </w:tc>
      </w:tr>
      <w:tr w:rsidR="008127F8" w:rsidRPr="008127F8" w14:paraId="267AA37A" w14:textId="77777777" w:rsidTr="0005046D">
        <w:tc>
          <w:tcPr>
            <w:tcW w:w="3776" w:type="dxa"/>
            <w:shd w:val="clear" w:color="auto" w:fill="auto"/>
          </w:tcPr>
          <w:p w14:paraId="52DF23C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105. Завод № 132, г. Москва </w:t>
            </w:r>
          </w:p>
        </w:tc>
        <w:tc>
          <w:tcPr>
            <w:tcW w:w="3776" w:type="dxa"/>
            <w:shd w:val="clear" w:color="auto" w:fill="auto"/>
          </w:tcPr>
          <w:p w14:paraId="556BDFE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Симский арматурный завод НКобщемаша, Челябинская обл.</w:t>
            </w:r>
          </w:p>
        </w:tc>
      </w:tr>
      <w:tr w:rsidR="008127F8" w:rsidRPr="008127F8" w14:paraId="48D2D458" w14:textId="77777777" w:rsidTr="0005046D">
        <w:tc>
          <w:tcPr>
            <w:tcW w:w="3776" w:type="dxa"/>
            <w:shd w:val="clear" w:color="auto" w:fill="auto"/>
          </w:tcPr>
          <w:p w14:paraId="49DE360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106. Инструментальный завод № 2 Оргавиапрома, г. Москва</w:t>
            </w:r>
          </w:p>
        </w:tc>
        <w:tc>
          <w:tcPr>
            <w:tcW w:w="3776" w:type="dxa"/>
            <w:shd w:val="clear" w:color="auto" w:fill="auto"/>
          </w:tcPr>
          <w:p w14:paraId="6CCB283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механической мастерской Госселекционной станции НКзема СССР, пос. Опытная Челябинской обл.</w:t>
            </w:r>
          </w:p>
        </w:tc>
      </w:tr>
      <w:tr w:rsidR="008127F8" w:rsidRPr="008127F8" w14:paraId="693408D7" w14:textId="77777777" w:rsidTr="0005046D">
        <w:tc>
          <w:tcPr>
            <w:tcW w:w="3776" w:type="dxa"/>
            <w:shd w:val="clear" w:color="auto" w:fill="auto"/>
          </w:tcPr>
          <w:p w14:paraId="5B29124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107. Завод № 47 (пр-во самолетов УТ-2), г. Ленинград</w:t>
            </w:r>
          </w:p>
        </w:tc>
        <w:tc>
          <w:tcPr>
            <w:tcW w:w="3776" w:type="dxa"/>
            <w:shd w:val="clear" w:color="auto" w:fill="auto"/>
          </w:tcPr>
          <w:p w14:paraId="51B0081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авиареммастерских ВВС НКО и мебельной фабрики НКлеса СССР, г. Чкалов</w:t>
            </w:r>
          </w:p>
        </w:tc>
      </w:tr>
      <w:tr w:rsidR="008127F8" w:rsidRPr="008127F8" w14:paraId="522B7007" w14:textId="77777777" w:rsidTr="0005046D">
        <w:tc>
          <w:tcPr>
            <w:tcW w:w="3776" w:type="dxa"/>
            <w:shd w:val="clear" w:color="auto" w:fill="auto"/>
          </w:tcPr>
          <w:p w14:paraId="0C4404D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108. Завод № 482, г. Москва </w:t>
            </w:r>
          </w:p>
        </w:tc>
        <w:tc>
          <w:tcPr>
            <w:tcW w:w="3776" w:type="dxa"/>
            <w:shd w:val="clear" w:color="auto" w:fill="auto"/>
          </w:tcPr>
          <w:p w14:paraId="287957D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494 НКАП, пос. Козловка Чувашской АССР</w:t>
            </w:r>
          </w:p>
        </w:tc>
      </w:tr>
      <w:tr w:rsidR="008127F8" w:rsidRPr="008127F8" w14:paraId="7A3FF779" w14:textId="77777777" w:rsidTr="0005046D">
        <w:tc>
          <w:tcPr>
            <w:tcW w:w="3776" w:type="dxa"/>
            <w:shd w:val="clear" w:color="auto" w:fill="auto"/>
          </w:tcPr>
          <w:p w14:paraId="67759AB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109. ОКБ-28, г. Москва </w:t>
            </w:r>
          </w:p>
        </w:tc>
        <w:tc>
          <w:tcPr>
            <w:tcW w:w="3776" w:type="dxa"/>
            <w:shd w:val="clear" w:color="auto" w:fill="auto"/>
          </w:tcPr>
          <w:p w14:paraId="25BDB7C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471 НКАП, г. Шумерля</w:t>
            </w:r>
          </w:p>
        </w:tc>
      </w:tr>
      <w:tr w:rsidR="008127F8" w:rsidRPr="008127F8" w14:paraId="7F750E0B" w14:textId="77777777" w:rsidTr="0005046D">
        <w:tc>
          <w:tcPr>
            <w:tcW w:w="3776" w:type="dxa"/>
            <w:shd w:val="clear" w:color="auto" w:fill="auto"/>
          </w:tcPr>
          <w:p w14:paraId="0305E74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110. Завод № 305 </w:t>
            </w:r>
          </w:p>
        </w:tc>
        <w:tc>
          <w:tcPr>
            <w:tcW w:w="3776" w:type="dxa"/>
            <w:shd w:val="clear" w:color="auto" w:fill="auto"/>
          </w:tcPr>
          <w:p w14:paraId="14864E4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бытовок заводов № 122, 295, г. Куйбышев</w:t>
            </w:r>
          </w:p>
        </w:tc>
      </w:tr>
      <w:tr w:rsidR="008127F8" w:rsidRPr="008127F8" w14:paraId="2CB1C381" w14:textId="77777777" w:rsidTr="0005046D">
        <w:tc>
          <w:tcPr>
            <w:tcW w:w="3776" w:type="dxa"/>
            <w:shd w:val="clear" w:color="auto" w:fill="auto"/>
          </w:tcPr>
          <w:p w14:paraId="48A8CB8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111. Завод № 31, г. Таганрог </w:t>
            </w:r>
          </w:p>
        </w:tc>
        <w:tc>
          <w:tcPr>
            <w:tcW w:w="3776" w:type="dxa"/>
            <w:shd w:val="clear" w:color="auto" w:fill="auto"/>
          </w:tcPr>
          <w:p w14:paraId="0E9607B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448 НКАП, г. Тбилиси</w:t>
            </w:r>
          </w:p>
        </w:tc>
      </w:tr>
      <w:tr w:rsidR="008127F8" w:rsidRPr="008127F8" w14:paraId="6355380A" w14:textId="77777777" w:rsidTr="0005046D">
        <w:tc>
          <w:tcPr>
            <w:tcW w:w="3776" w:type="dxa"/>
            <w:shd w:val="clear" w:color="auto" w:fill="auto"/>
          </w:tcPr>
          <w:p w14:paraId="3AA5FA2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112. Завод № 35, г. </w:t>
            </w:r>
            <w:proofErr w:type="gramStart"/>
            <w:r w:rsidRPr="008127F8">
              <w:rPr>
                <w:rFonts w:ascii="Times New Roman" w:eastAsia="Times New Roman" w:hAnsi="Times New Roman"/>
                <w:color w:val="000000" w:themeColor="text1"/>
                <w:sz w:val="16"/>
                <w:szCs w:val="16"/>
              </w:rPr>
              <w:t>Смоленск</w:t>
            </w:r>
            <w:proofErr w:type="gramEnd"/>
            <w:r w:rsidRPr="008127F8">
              <w:rPr>
                <w:rFonts w:ascii="Times New Roman" w:eastAsia="Times New Roman" w:hAnsi="Times New Roman"/>
                <w:color w:val="000000" w:themeColor="text1"/>
                <w:sz w:val="16"/>
                <w:szCs w:val="16"/>
              </w:rPr>
              <w:t xml:space="preserve"> На завод № 122 НКАП, г. Куйбышев</w:t>
            </w:r>
          </w:p>
        </w:tc>
        <w:tc>
          <w:tcPr>
            <w:tcW w:w="3776" w:type="dxa"/>
            <w:shd w:val="clear" w:color="auto" w:fill="auto"/>
          </w:tcPr>
          <w:p w14:paraId="0C7AEFF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r>
      <w:tr w:rsidR="008127F8" w:rsidRPr="008127F8" w14:paraId="1C132D0E" w14:textId="77777777" w:rsidTr="0005046D">
        <w:tc>
          <w:tcPr>
            <w:tcW w:w="3776" w:type="dxa"/>
            <w:shd w:val="clear" w:color="auto" w:fill="auto"/>
          </w:tcPr>
          <w:p w14:paraId="5753B8E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113. Завод № 45, г. Севастополь </w:t>
            </w:r>
          </w:p>
        </w:tc>
        <w:tc>
          <w:tcPr>
            <w:tcW w:w="3776" w:type="dxa"/>
            <w:shd w:val="clear" w:color="auto" w:fill="auto"/>
          </w:tcPr>
          <w:p w14:paraId="41E8D3D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448 НКАП, г. Тбилиси</w:t>
            </w:r>
          </w:p>
        </w:tc>
      </w:tr>
      <w:tr w:rsidR="008127F8" w:rsidRPr="008127F8" w14:paraId="04F5FDC4" w14:textId="77777777" w:rsidTr="0005046D">
        <w:tc>
          <w:tcPr>
            <w:tcW w:w="3776" w:type="dxa"/>
            <w:shd w:val="clear" w:color="auto" w:fill="auto"/>
          </w:tcPr>
          <w:p w14:paraId="26B43F0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114. Завод № 154, г. Воронеж </w:t>
            </w:r>
          </w:p>
        </w:tc>
        <w:tc>
          <w:tcPr>
            <w:tcW w:w="3776" w:type="dxa"/>
            <w:shd w:val="clear" w:color="auto" w:fill="auto"/>
          </w:tcPr>
          <w:p w14:paraId="6BE32B0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хлопковых складов, г. Андижан Узбекской ССР</w:t>
            </w:r>
          </w:p>
        </w:tc>
      </w:tr>
      <w:tr w:rsidR="008127F8" w:rsidRPr="008127F8" w14:paraId="2BAFC166" w14:textId="77777777" w:rsidTr="0005046D">
        <w:tc>
          <w:tcPr>
            <w:tcW w:w="3776" w:type="dxa"/>
            <w:shd w:val="clear" w:color="auto" w:fill="auto"/>
          </w:tcPr>
          <w:p w14:paraId="6C14FC6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115. Завод № 207, ст. Долгопрудная Ярославской ж.д.</w:t>
            </w:r>
          </w:p>
        </w:tc>
        <w:tc>
          <w:tcPr>
            <w:tcW w:w="3776" w:type="dxa"/>
            <w:shd w:val="clear" w:color="auto" w:fill="auto"/>
          </w:tcPr>
          <w:p w14:paraId="7C24D29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 19 НКАП, г. Молотов</w:t>
            </w:r>
          </w:p>
        </w:tc>
      </w:tr>
      <w:tr w:rsidR="008127F8" w:rsidRPr="008127F8" w14:paraId="5625C40B" w14:textId="77777777" w:rsidTr="0005046D">
        <w:tc>
          <w:tcPr>
            <w:tcW w:w="3776" w:type="dxa"/>
            <w:shd w:val="clear" w:color="auto" w:fill="auto"/>
          </w:tcPr>
          <w:p w14:paraId="109B381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116. Завод № 219, г. Реутово Московской обл.</w:t>
            </w:r>
          </w:p>
        </w:tc>
        <w:tc>
          <w:tcPr>
            <w:tcW w:w="3776" w:type="dxa"/>
            <w:shd w:val="clear" w:color="auto" w:fill="auto"/>
          </w:tcPr>
          <w:p w14:paraId="2DC4135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384 НКАП, г. Уфа Башкирской АССР</w:t>
            </w:r>
          </w:p>
        </w:tc>
      </w:tr>
      <w:tr w:rsidR="008127F8" w:rsidRPr="008127F8" w14:paraId="691D19BD" w14:textId="77777777" w:rsidTr="0005046D">
        <w:tc>
          <w:tcPr>
            <w:tcW w:w="3776" w:type="dxa"/>
            <w:shd w:val="clear" w:color="auto" w:fill="auto"/>
          </w:tcPr>
          <w:p w14:paraId="01DECDF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5B911D4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27, г. Казань</w:t>
            </w:r>
          </w:p>
        </w:tc>
      </w:tr>
      <w:tr w:rsidR="008127F8" w:rsidRPr="008127F8" w14:paraId="27E7CCE8" w14:textId="77777777" w:rsidTr="0005046D">
        <w:tc>
          <w:tcPr>
            <w:tcW w:w="3776" w:type="dxa"/>
            <w:shd w:val="clear" w:color="auto" w:fill="auto"/>
          </w:tcPr>
          <w:p w14:paraId="1C715C8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shd w:val="clear" w:color="auto" w:fill="auto"/>
          </w:tcPr>
          <w:p w14:paraId="43F84E7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122, г. Куйбышев</w:t>
            </w:r>
          </w:p>
        </w:tc>
      </w:tr>
      <w:tr w:rsidR="008127F8" w:rsidRPr="008127F8" w14:paraId="7B83F1BB" w14:textId="77777777" w:rsidTr="0005046D">
        <w:tc>
          <w:tcPr>
            <w:tcW w:w="3776" w:type="dxa"/>
            <w:shd w:val="clear" w:color="auto" w:fill="auto"/>
          </w:tcPr>
          <w:p w14:paraId="02AC9C4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117. Завод № 301, г. Москва </w:t>
            </w:r>
          </w:p>
        </w:tc>
        <w:tc>
          <w:tcPr>
            <w:tcW w:w="3776" w:type="dxa"/>
            <w:shd w:val="clear" w:color="auto" w:fill="auto"/>
          </w:tcPr>
          <w:p w14:paraId="32F4FC6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153 НКАП, г. Новосибирск</w:t>
            </w:r>
          </w:p>
        </w:tc>
      </w:tr>
      <w:tr w:rsidR="008127F8" w:rsidRPr="008127F8" w14:paraId="3F7CDF3F" w14:textId="77777777" w:rsidTr="0005046D">
        <w:tc>
          <w:tcPr>
            <w:tcW w:w="3776" w:type="dxa"/>
            <w:shd w:val="clear" w:color="auto" w:fill="auto"/>
          </w:tcPr>
          <w:p w14:paraId="0FDD7C8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118. Завод № 379, г. Ленинград </w:t>
            </w:r>
          </w:p>
        </w:tc>
        <w:tc>
          <w:tcPr>
            <w:tcW w:w="3776" w:type="dxa"/>
            <w:shd w:val="clear" w:color="auto" w:fill="auto"/>
          </w:tcPr>
          <w:p w14:paraId="3EFE5E8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ликероводочный завод НКпищепрома СССР, г. Казань</w:t>
            </w:r>
          </w:p>
        </w:tc>
      </w:tr>
      <w:tr w:rsidR="008127F8" w:rsidRPr="008127F8" w14:paraId="4852CA08" w14:textId="77777777" w:rsidTr="0005046D">
        <w:tc>
          <w:tcPr>
            <w:tcW w:w="3776" w:type="dxa"/>
            <w:shd w:val="clear" w:color="auto" w:fill="auto"/>
          </w:tcPr>
          <w:p w14:paraId="348D3FF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119. Завод № 451, г. Ленинград </w:t>
            </w:r>
          </w:p>
        </w:tc>
        <w:tc>
          <w:tcPr>
            <w:tcW w:w="3776" w:type="dxa"/>
            <w:shd w:val="clear" w:color="auto" w:fill="auto"/>
          </w:tcPr>
          <w:p w14:paraId="29DAC20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384 НКАП, г. Уфа</w:t>
            </w:r>
          </w:p>
        </w:tc>
      </w:tr>
      <w:tr w:rsidR="008127F8" w:rsidRPr="008127F8" w14:paraId="4E2D6B6A" w14:textId="77777777" w:rsidTr="0005046D">
        <w:tc>
          <w:tcPr>
            <w:tcW w:w="3776" w:type="dxa"/>
            <w:shd w:val="clear" w:color="auto" w:fill="auto"/>
          </w:tcPr>
          <w:p w14:paraId="2B1D6AE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120. Завод № 457, г. Запорожье </w:t>
            </w:r>
          </w:p>
        </w:tc>
        <w:tc>
          <w:tcPr>
            <w:tcW w:w="3776" w:type="dxa"/>
            <w:shd w:val="clear" w:color="auto" w:fill="auto"/>
          </w:tcPr>
          <w:p w14:paraId="229BCDA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446 НКАП, г. Баку</w:t>
            </w:r>
          </w:p>
        </w:tc>
      </w:tr>
      <w:tr w:rsidR="008127F8" w:rsidRPr="008127F8" w14:paraId="3D626B9A" w14:textId="77777777" w:rsidTr="0005046D">
        <w:tc>
          <w:tcPr>
            <w:tcW w:w="3776" w:type="dxa"/>
            <w:shd w:val="clear" w:color="auto" w:fill="auto"/>
          </w:tcPr>
          <w:p w14:paraId="3F7EA2F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121. Завод № 458, г. Ростов-на-Дону </w:t>
            </w:r>
          </w:p>
        </w:tc>
        <w:tc>
          <w:tcPr>
            <w:tcW w:w="3776" w:type="dxa"/>
            <w:shd w:val="clear" w:color="auto" w:fill="auto"/>
          </w:tcPr>
          <w:p w14:paraId="783FA9C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446 НКАП, г. Баку</w:t>
            </w:r>
          </w:p>
        </w:tc>
      </w:tr>
      <w:tr w:rsidR="008127F8" w:rsidRPr="008127F8" w14:paraId="162A34C0" w14:textId="77777777" w:rsidTr="0005046D">
        <w:tc>
          <w:tcPr>
            <w:tcW w:w="3776" w:type="dxa"/>
            <w:shd w:val="clear" w:color="auto" w:fill="auto"/>
          </w:tcPr>
          <w:p w14:paraId="03C6C11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122. Завод № 483, г. Киев </w:t>
            </w:r>
          </w:p>
        </w:tc>
        <w:tc>
          <w:tcPr>
            <w:tcW w:w="3776" w:type="dxa"/>
            <w:shd w:val="clear" w:color="auto" w:fill="auto"/>
          </w:tcPr>
          <w:p w14:paraId="7AEAA0D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122 НКАП, г. Куйбышев</w:t>
            </w:r>
          </w:p>
        </w:tc>
      </w:tr>
      <w:tr w:rsidR="008127F8" w:rsidRPr="008127F8" w14:paraId="645ECB92" w14:textId="77777777" w:rsidTr="0005046D">
        <w:tc>
          <w:tcPr>
            <w:tcW w:w="3776" w:type="dxa"/>
            <w:shd w:val="clear" w:color="auto" w:fill="auto"/>
          </w:tcPr>
          <w:p w14:paraId="6C3663F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123. НИИ-12, г. Москва </w:t>
            </w:r>
          </w:p>
        </w:tc>
        <w:tc>
          <w:tcPr>
            <w:tcW w:w="3776" w:type="dxa"/>
            <w:shd w:val="clear" w:color="auto" w:fill="auto"/>
          </w:tcPr>
          <w:p w14:paraId="7DA6001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280 НКАП, г. Ульяновск</w:t>
            </w:r>
          </w:p>
        </w:tc>
      </w:tr>
      <w:tr w:rsidR="008127F8" w:rsidRPr="008127F8" w14:paraId="71CCCB2B" w14:textId="77777777" w:rsidTr="0005046D">
        <w:tc>
          <w:tcPr>
            <w:tcW w:w="3776" w:type="dxa"/>
            <w:shd w:val="clear" w:color="auto" w:fill="auto"/>
          </w:tcPr>
          <w:p w14:paraId="23B4900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124. ОКБ-31, г. Воронеж </w:t>
            </w:r>
          </w:p>
        </w:tc>
        <w:tc>
          <w:tcPr>
            <w:tcW w:w="3776" w:type="dxa"/>
            <w:shd w:val="clear" w:color="auto" w:fill="auto"/>
          </w:tcPr>
          <w:p w14:paraId="6107582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На площади Заводоуковской МТС НКзема СССР, </w:t>
            </w:r>
            <w:r w:rsidRPr="008127F8">
              <w:rPr>
                <w:rFonts w:ascii="Times New Roman" w:eastAsia="Times New Roman" w:hAnsi="Times New Roman"/>
                <w:color w:val="000000" w:themeColor="text1"/>
                <w:sz w:val="16"/>
                <w:szCs w:val="16"/>
              </w:rPr>
              <w:lastRenderedPageBreak/>
              <w:t>Омская обл.</w:t>
            </w:r>
          </w:p>
        </w:tc>
      </w:tr>
      <w:tr w:rsidR="008127F8" w:rsidRPr="008127F8" w14:paraId="231D629D" w14:textId="77777777" w:rsidTr="0005046D">
        <w:tc>
          <w:tcPr>
            <w:tcW w:w="3776" w:type="dxa"/>
            <w:shd w:val="clear" w:color="auto" w:fill="auto"/>
          </w:tcPr>
          <w:p w14:paraId="589B210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lastRenderedPageBreak/>
              <w:t>125. Голицынские планерные мастерские, пос. Голицыно Московской обл.</w:t>
            </w:r>
          </w:p>
        </w:tc>
        <w:tc>
          <w:tcPr>
            <w:tcW w:w="3776" w:type="dxa"/>
            <w:shd w:val="clear" w:color="auto" w:fill="auto"/>
          </w:tcPr>
          <w:p w14:paraId="524E5B9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Заводоуковской МТС НКзема СССР, Омская обл.</w:t>
            </w:r>
          </w:p>
        </w:tc>
      </w:tr>
      <w:tr w:rsidR="008127F8" w:rsidRPr="008127F8" w14:paraId="7303F715" w14:textId="77777777" w:rsidTr="0005046D">
        <w:tc>
          <w:tcPr>
            <w:tcW w:w="3776" w:type="dxa"/>
            <w:shd w:val="clear" w:color="auto" w:fill="auto"/>
          </w:tcPr>
          <w:p w14:paraId="395CECF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126. Завод № 487, г. Москва </w:t>
            </w:r>
          </w:p>
        </w:tc>
        <w:tc>
          <w:tcPr>
            <w:tcW w:w="3776" w:type="dxa"/>
            <w:shd w:val="clear" w:color="auto" w:fill="auto"/>
          </w:tcPr>
          <w:p w14:paraId="3CFA8D1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169 НКАП, г. Казань</w:t>
            </w:r>
          </w:p>
        </w:tc>
      </w:tr>
    </w:tbl>
    <w:p w14:paraId="7A2ADC42" w14:textId="77777777" w:rsidR="00011043" w:rsidRPr="008127F8" w:rsidRDefault="0001104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Наркомат танковой промышленности (НКТП)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3685"/>
      </w:tblGrid>
      <w:tr w:rsidR="008127F8" w:rsidRPr="008127F8" w14:paraId="17999F0C" w14:textId="77777777" w:rsidTr="0005046D">
        <w:tc>
          <w:tcPr>
            <w:tcW w:w="3823" w:type="dxa"/>
            <w:shd w:val="clear" w:color="auto" w:fill="auto"/>
          </w:tcPr>
          <w:p w14:paraId="5950C51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пп, Наименование предприятия</w:t>
            </w:r>
          </w:p>
        </w:tc>
        <w:tc>
          <w:tcPr>
            <w:tcW w:w="3685" w:type="dxa"/>
            <w:shd w:val="clear" w:color="auto" w:fill="auto"/>
          </w:tcPr>
          <w:p w14:paraId="0AA5D99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Куда эвакуировано</w:t>
            </w:r>
          </w:p>
        </w:tc>
      </w:tr>
      <w:tr w:rsidR="008127F8" w:rsidRPr="008127F8" w14:paraId="3ED4A0CF" w14:textId="77777777" w:rsidTr="0005046D">
        <w:tc>
          <w:tcPr>
            <w:tcW w:w="3823" w:type="dxa"/>
            <w:shd w:val="clear" w:color="auto" w:fill="auto"/>
          </w:tcPr>
          <w:p w14:paraId="7B77486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 Мелитопольский завод им. ОГПУ </w:t>
            </w:r>
          </w:p>
        </w:tc>
        <w:tc>
          <w:tcPr>
            <w:tcW w:w="3685" w:type="dxa"/>
            <w:shd w:val="clear" w:color="auto" w:fill="auto"/>
          </w:tcPr>
          <w:p w14:paraId="2A2093D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Акмолинского пединститута Казахской ССР</w:t>
            </w:r>
          </w:p>
        </w:tc>
      </w:tr>
      <w:tr w:rsidR="008127F8" w:rsidRPr="008127F8" w14:paraId="70DD5445" w14:textId="77777777" w:rsidTr="0005046D">
        <w:tc>
          <w:tcPr>
            <w:tcW w:w="3823" w:type="dxa"/>
            <w:shd w:val="clear" w:color="auto" w:fill="auto"/>
          </w:tcPr>
          <w:p w14:paraId="7E29E8C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 Завод «Комсомолец», г. Одесса </w:t>
            </w:r>
          </w:p>
        </w:tc>
        <w:tc>
          <w:tcPr>
            <w:tcW w:w="3685" w:type="dxa"/>
            <w:shd w:val="clear" w:color="auto" w:fill="auto"/>
          </w:tcPr>
          <w:p w14:paraId="28D43AB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«Тяжгидропресс» НКТП, г. Барнаул Алтайского края</w:t>
            </w:r>
          </w:p>
        </w:tc>
      </w:tr>
      <w:tr w:rsidR="008127F8" w:rsidRPr="008127F8" w14:paraId="68FD1A53" w14:textId="77777777" w:rsidTr="0005046D">
        <w:tc>
          <w:tcPr>
            <w:tcW w:w="3823" w:type="dxa"/>
            <w:shd w:val="clear" w:color="auto" w:fill="auto"/>
          </w:tcPr>
          <w:p w14:paraId="75F6DA7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 Завод им. ХVI партсъезда, г. Одесса </w:t>
            </w:r>
          </w:p>
        </w:tc>
        <w:tc>
          <w:tcPr>
            <w:tcW w:w="3685" w:type="dxa"/>
            <w:shd w:val="clear" w:color="auto" w:fill="auto"/>
          </w:tcPr>
          <w:p w14:paraId="1A27192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строительство завода «Тяжгидропресс» НКТП, г. Барнаул Алтайского края</w:t>
            </w:r>
          </w:p>
        </w:tc>
      </w:tr>
      <w:tr w:rsidR="008127F8" w:rsidRPr="008127F8" w14:paraId="50B9101D" w14:textId="77777777" w:rsidTr="0005046D">
        <w:tc>
          <w:tcPr>
            <w:tcW w:w="3823" w:type="dxa"/>
            <w:shd w:val="clear" w:color="auto" w:fill="auto"/>
          </w:tcPr>
          <w:p w14:paraId="50E7D99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4. Завод Кузнечнопрессового оборудования, г. Серпухов Московской обл.</w:t>
            </w:r>
          </w:p>
        </w:tc>
        <w:tc>
          <w:tcPr>
            <w:tcW w:w="3685" w:type="dxa"/>
            <w:shd w:val="clear" w:color="auto" w:fill="auto"/>
          </w:tcPr>
          <w:p w14:paraId="69933DD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строительство завода «Тяжгидропресс» НКТП, г. Барнаул</w:t>
            </w:r>
          </w:p>
        </w:tc>
      </w:tr>
      <w:tr w:rsidR="008127F8" w:rsidRPr="008127F8" w14:paraId="6C60C332" w14:textId="77777777" w:rsidTr="0005046D">
        <w:tc>
          <w:tcPr>
            <w:tcW w:w="3823" w:type="dxa"/>
            <w:shd w:val="clear" w:color="auto" w:fill="auto"/>
          </w:tcPr>
          <w:p w14:paraId="66AC17A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731449D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складов Потребсоюза, г. Славгород Алтайского края</w:t>
            </w:r>
          </w:p>
        </w:tc>
      </w:tr>
      <w:tr w:rsidR="008127F8" w:rsidRPr="008127F8" w14:paraId="79542B11" w14:textId="77777777" w:rsidTr="0005046D">
        <w:tc>
          <w:tcPr>
            <w:tcW w:w="3823" w:type="dxa"/>
            <w:shd w:val="clear" w:color="auto" w:fill="auto"/>
          </w:tcPr>
          <w:p w14:paraId="572D412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5. Завод им. 8-летия Октября, г. Серпухов Московской обл.</w:t>
            </w:r>
          </w:p>
        </w:tc>
        <w:tc>
          <w:tcPr>
            <w:tcW w:w="3685" w:type="dxa"/>
            <w:shd w:val="clear" w:color="auto" w:fill="auto"/>
          </w:tcPr>
          <w:p w14:paraId="7E28ABC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строительство завода «Тяжгидропресс» НКТП, г. Барнаул</w:t>
            </w:r>
          </w:p>
        </w:tc>
      </w:tr>
      <w:tr w:rsidR="008127F8" w:rsidRPr="008127F8" w14:paraId="6BB22B87" w14:textId="77777777" w:rsidTr="0005046D">
        <w:tc>
          <w:tcPr>
            <w:tcW w:w="3823" w:type="dxa"/>
            <w:shd w:val="clear" w:color="auto" w:fill="auto"/>
          </w:tcPr>
          <w:p w14:paraId="2D05299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3A18FD1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складов Потребсоюза, г. Славгород Алтайского края</w:t>
            </w:r>
          </w:p>
        </w:tc>
      </w:tr>
      <w:tr w:rsidR="008127F8" w:rsidRPr="008127F8" w14:paraId="30FBCB4B" w14:textId="77777777" w:rsidTr="0005046D">
        <w:tc>
          <w:tcPr>
            <w:tcW w:w="3823" w:type="dxa"/>
            <w:shd w:val="clear" w:color="auto" w:fill="auto"/>
          </w:tcPr>
          <w:p w14:paraId="2D3CC18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6. Завод фрезерных станков, г. Днепров</w:t>
            </w:r>
          </w:p>
        </w:tc>
        <w:tc>
          <w:tcPr>
            <w:tcW w:w="3685" w:type="dxa"/>
            <w:shd w:val="clear" w:color="auto" w:fill="auto"/>
          </w:tcPr>
          <w:p w14:paraId="0ED8DF5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 На площади складов Облпотребсоюза, г. Бийск Алтайского края</w:t>
            </w:r>
          </w:p>
        </w:tc>
      </w:tr>
      <w:tr w:rsidR="008127F8" w:rsidRPr="008127F8" w14:paraId="7798DD92" w14:textId="77777777" w:rsidTr="0005046D">
        <w:tc>
          <w:tcPr>
            <w:tcW w:w="3823" w:type="dxa"/>
            <w:shd w:val="clear" w:color="auto" w:fill="auto"/>
          </w:tcPr>
          <w:p w14:paraId="46B2BDC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 Завод им. Ленина, г. Одесса </w:t>
            </w:r>
          </w:p>
        </w:tc>
        <w:tc>
          <w:tcPr>
            <w:tcW w:w="3685" w:type="dxa"/>
            <w:shd w:val="clear" w:color="auto" w:fill="auto"/>
          </w:tcPr>
          <w:p w14:paraId="5228859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машиностроительный завод НКнефти, г. Стерлитамак БАССР</w:t>
            </w:r>
          </w:p>
        </w:tc>
      </w:tr>
      <w:tr w:rsidR="008127F8" w:rsidRPr="008127F8" w14:paraId="1DABA1B0" w14:textId="77777777" w:rsidTr="0005046D">
        <w:tc>
          <w:tcPr>
            <w:tcW w:w="3823" w:type="dxa"/>
            <w:shd w:val="clear" w:color="auto" w:fill="auto"/>
          </w:tcPr>
          <w:p w14:paraId="3E79185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 Станкостроительный завод, г. Клин </w:t>
            </w:r>
          </w:p>
        </w:tc>
        <w:tc>
          <w:tcPr>
            <w:tcW w:w="3685" w:type="dxa"/>
            <w:shd w:val="clear" w:color="auto" w:fill="auto"/>
          </w:tcPr>
          <w:p w14:paraId="46A75D1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Дворца культуры ВЦСПС, г. Белорецк БАССР</w:t>
            </w:r>
          </w:p>
        </w:tc>
      </w:tr>
      <w:tr w:rsidR="008127F8" w:rsidRPr="008127F8" w14:paraId="0B3921C4" w14:textId="77777777" w:rsidTr="0005046D">
        <w:tc>
          <w:tcPr>
            <w:tcW w:w="3823" w:type="dxa"/>
            <w:shd w:val="clear" w:color="auto" w:fill="auto"/>
          </w:tcPr>
          <w:p w14:paraId="5C669E5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9. Автомобильный завод КИМ, г. Москва </w:t>
            </w:r>
          </w:p>
        </w:tc>
        <w:tc>
          <w:tcPr>
            <w:tcW w:w="3685" w:type="dxa"/>
            <w:shd w:val="clear" w:color="auto" w:fill="auto"/>
          </w:tcPr>
          <w:p w14:paraId="67D5AC1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Свердловский вагоноремонтный завод НКПС, г. Свердловск</w:t>
            </w:r>
          </w:p>
        </w:tc>
      </w:tr>
      <w:tr w:rsidR="008127F8" w:rsidRPr="008127F8" w14:paraId="66B61BBC" w14:textId="77777777" w:rsidTr="0005046D">
        <w:tc>
          <w:tcPr>
            <w:tcW w:w="3823" w:type="dxa"/>
            <w:shd w:val="clear" w:color="auto" w:fill="auto"/>
          </w:tcPr>
          <w:p w14:paraId="29D1236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 Станкозавод им. Молотова, г. Харьков </w:t>
            </w:r>
          </w:p>
        </w:tc>
        <w:tc>
          <w:tcPr>
            <w:tcW w:w="3685" w:type="dxa"/>
            <w:shd w:val="clear" w:color="auto" w:fill="auto"/>
          </w:tcPr>
          <w:p w14:paraId="574755D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Челябинский тракторный завод НКтанкопрома, г. Челябинск</w:t>
            </w:r>
          </w:p>
        </w:tc>
      </w:tr>
      <w:tr w:rsidR="008127F8" w:rsidRPr="008127F8" w14:paraId="52BDFDA2" w14:textId="77777777" w:rsidTr="0005046D">
        <w:tc>
          <w:tcPr>
            <w:tcW w:w="3823" w:type="dxa"/>
            <w:shd w:val="clear" w:color="auto" w:fill="auto"/>
          </w:tcPr>
          <w:p w14:paraId="7352DF5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11. Станкостроительный завод им. Горького, г. Киев</w:t>
            </w:r>
          </w:p>
        </w:tc>
        <w:tc>
          <w:tcPr>
            <w:tcW w:w="3685" w:type="dxa"/>
            <w:shd w:val="clear" w:color="auto" w:fill="auto"/>
          </w:tcPr>
          <w:p w14:paraId="4D4E5FC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стройку Кизеловской обогатительной фабрики НКугля, г. Кизел Молотовской обл.</w:t>
            </w:r>
          </w:p>
        </w:tc>
      </w:tr>
      <w:tr w:rsidR="008127F8" w:rsidRPr="008127F8" w14:paraId="33472617" w14:textId="77777777" w:rsidTr="0005046D">
        <w:tc>
          <w:tcPr>
            <w:tcW w:w="3823" w:type="dxa"/>
            <w:shd w:val="clear" w:color="auto" w:fill="auto"/>
          </w:tcPr>
          <w:p w14:paraId="5DB8189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 Завод «Гидропривод», г. Харьков </w:t>
            </w:r>
          </w:p>
        </w:tc>
        <w:tc>
          <w:tcPr>
            <w:tcW w:w="3685" w:type="dxa"/>
            <w:shd w:val="clear" w:color="auto" w:fill="auto"/>
          </w:tcPr>
          <w:p w14:paraId="7A94A33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агломерационную фабрику НКугля, пос. Луньевка Молотовской обл.</w:t>
            </w:r>
          </w:p>
        </w:tc>
      </w:tr>
      <w:tr w:rsidR="008127F8" w:rsidRPr="008127F8" w14:paraId="16A6EC41" w14:textId="77777777" w:rsidTr="0005046D">
        <w:tc>
          <w:tcPr>
            <w:tcW w:w="3823" w:type="dxa"/>
            <w:shd w:val="clear" w:color="auto" w:fill="auto"/>
          </w:tcPr>
          <w:p w14:paraId="4B8D0C6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13. Завод «Станконормаль» (часть), г. Москва </w:t>
            </w:r>
          </w:p>
        </w:tc>
        <w:tc>
          <w:tcPr>
            <w:tcW w:w="3685" w:type="dxa"/>
            <w:shd w:val="clear" w:color="auto" w:fill="auto"/>
          </w:tcPr>
          <w:p w14:paraId="7D21D9A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Бисерский завод НКтанкопрома, г. Бисер Молотовской обл.</w:t>
            </w:r>
          </w:p>
        </w:tc>
      </w:tr>
      <w:tr w:rsidR="008127F8" w:rsidRPr="008127F8" w14:paraId="52FC4066" w14:textId="77777777" w:rsidTr="0005046D">
        <w:tc>
          <w:tcPr>
            <w:tcW w:w="3823" w:type="dxa"/>
            <w:shd w:val="clear" w:color="auto" w:fill="auto"/>
          </w:tcPr>
          <w:p w14:paraId="1CC2295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14. Завод им. С. М. Кирова, г. Гомель </w:t>
            </w:r>
          </w:p>
        </w:tc>
        <w:tc>
          <w:tcPr>
            <w:tcW w:w="3685" w:type="dxa"/>
            <w:shd w:val="clear" w:color="auto" w:fill="auto"/>
          </w:tcPr>
          <w:p w14:paraId="5FB8E37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тяжелых станков НКтанкопрома, г. Свердловск</w:t>
            </w:r>
          </w:p>
        </w:tc>
      </w:tr>
      <w:tr w:rsidR="008127F8" w:rsidRPr="008127F8" w14:paraId="6EE585F9" w14:textId="77777777" w:rsidTr="0005046D">
        <w:tc>
          <w:tcPr>
            <w:tcW w:w="3823" w:type="dxa"/>
            <w:shd w:val="clear" w:color="auto" w:fill="auto"/>
          </w:tcPr>
          <w:p w14:paraId="323F6AE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15. Завод «Станколит», г. Москва </w:t>
            </w:r>
          </w:p>
        </w:tc>
        <w:tc>
          <w:tcPr>
            <w:tcW w:w="3685" w:type="dxa"/>
            <w:shd w:val="clear" w:color="auto" w:fill="auto"/>
          </w:tcPr>
          <w:p w14:paraId="45F54F0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Уралвагонзавод НКтанкопрома, г. Нижний Тагил Свердловской обл.</w:t>
            </w:r>
          </w:p>
        </w:tc>
      </w:tr>
      <w:tr w:rsidR="008127F8" w:rsidRPr="008127F8" w14:paraId="0E1185F2" w14:textId="77777777" w:rsidTr="0005046D">
        <w:tc>
          <w:tcPr>
            <w:tcW w:w="3823" w:type="dxa"/>
            <w:shd w:val="clear" w:color="auto" w:fill="auto"/>
          </w:tcPr>
          <w:p w14:paraId="765197C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16. Завод тяжелых станков, г. Краматорск Сталинской обл.</w:t>
            </w:r>
          </w:p>
        </w:tc>
        <w:tc>
          <w:tcPr>
            <w:tcW w:w="3685" w:type="dxa"/>
            <w:shd w:val="clear" w:color="auto" w:fill="auto"/>
          </w:tcPr>
          <w:p w14:paraId="3338333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НКтанкопрома, г. Свердловск</w:t>
            </w:r>
          </w:p>
        </w:tc>
      </w:tr>
      <w:tr w:rsidR="008127F8" w:rsidRPr="008127F8" w14:paraId="58B76262" w14:textId="77777777" w:rsidTr="0005046D">
        <w:tc>
          <w:tcPr>
            <w:tcW w:w="3823" w:type="dxa"/>
            <w:shd w:val="clear" w:color="auto" w:fill="auto"/>
          </w:tcPr>
          <w:p w14:paraId="514C5AE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17. НИ лаборатория фотоэлектроники и автоматики (НИЛФА), г. Москва</w:t>
            </w:r>
          </w:p>
        </w:tc>
        <w:tc>
          <w:tcPr>
            <w:tcW w:w="3685" w:type="dxa"/>
            <w:shd w:val="clear" w:color="auto" w:fill="auto"/>
          </w:tcPr>
          <w:p w14:paraId="7947F60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тяжелых станков НКтанкопрома, г. Свердловск</w:t>
            </w:r>
          </w:p>
        </w:tc>
      </w:tr>
      <w:tr w:rsidR="008127F8" w:rsidRPr="008127F8" w14:paraId="18C6F77A" w14:textId="77777777" w:rsidTr="0005046D">
        <w:tc>
          <w:tcPr>
            <w:tcW w:w="3823" w:type="dxa"/>
            <w:shd w:val="clear" w:color="auto" w:fill="auto"/>
          </w:tcPr>
          <w:p w14:paraId="0E4627A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18. Инструментальный завод МИЗ, г. Москва </w:t>
            </w:r>
          </w:p>
        </w:tc>
        <w:tc>
          <w:tcPr>
            <w:tcW w:w="3685" w:type="dxa"/>
            <w:shd w:val="clear" w:color="auto" w:fill="auto"/>
          </w:tcPr>
          <w:p w14:paraId="346B707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выделенные в г. Свердловске</w:t>
            </w:r>
          </w:p>
        </w:tc>
      </w:tr>
      <w:tr w:rsidR="008127F8" w:rsidRPr="008127F8" w14:paraId="347E6361" w14:textId="77777777" w:rsidTr="0005046D">
        <w:tc>
          <w:tcPr>
            <w:tcW w:w="3823" w:type="dxa"/>
            <w:shd w:val="clear" w:color="auto" w:fill="auto"/>
          </w:tcPr>
          <w:p w14:paraId="2410C02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19. Харьковский тракторный завод ХТЗ, г. Харьков</w:t>
            </w:r>
          </w:p>
        </w:tc>
        <w:tc>
          <w:tcPr>
            <w:tcW w:w="3685" w:type="dxa"/>
            <w:shd w:val="clear" w:color="auto" w:fill="auto"/>
          </w:tcPr>
          <w:p w14:paraId="31A8D19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тракторный завод НКтанкопрома, г. Сталинград</w:t>
            </w:r>
          </w:p>
        </w:tc>
      </w:tr>
      <w:tr w:rsidR="008127F8" w:rsidRPr="008127F8" w14:paraId="6BA9AB2B" w14:textId="77777777" w:rsidTr="0005046D">
        <w:tc>
          <w:tcPr>
            <w:tcW w:w="3823" w:type="dxa"/>
            <w:shd w:val="clear" w:color="auto" w:fill="auto"/>
          </w:tcPr>
          <w:p w14:paraId="6FB756E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20. Станкостроительный завод, г. Новочеркасск Орджоникидзевского края</w:t>
            </w:r>
          </w:p>
        </w:tc>
        <w:tc>
          <w:tcPr>
            <w:tcW w:w="3685" w:type="dxa"/>
            <w:shd w:val="clear" w:color="auto" w:fill="auto"/>
          </w:tcPr>
          <w:p w14:paraId="678EC85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моторемонтного завода НКзема СССР, г. Троицк Челябинской обл.</w:t>
            </w:r>
          </w:p>
        </w:tc>
      </w:tr>
      <w:tr w:rsidR="008127F8" w:rsidRPr="008127F8" w14:paraId="5D17CF31" w14:textId="77777777" w:rsidTr="0005046D">
        <w:tc>
          <w:tcPr>
            <w:tcW w:w="3823" w:type="dxa"/>
            <w:shd w:val="clear" w:color="auto" w:fill="auto"/>
          </w:tcPr>
          <w:p w14:paraId="6718757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21. Завод «Электростанок», г. Харьков </w:t>
            </w:r>
          </w:p>
        </w:tc>
        <w:tc>
          <w:tcPr>
            <w:tcW w:w="3685" w:type="dxa"/>
            <w:shd w:val="clear" w:color="auto" w:fill="auto"/>
          </w:tcPr>
          <w:p w14:paraId="305F8FA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гаража треста Горочистки горисполкома, г. Ташкент</w:t>
            </w:r>
          </w:p>
        </w:tc>
      </w:tr>
      <w:tr w:rsidR="008127F8" w:rsidRPr="008127F8" w14:paraId="2F53463C" w14:textId="77777777" w:rsidTr="0005046D">
        <w:tc>
          <w:tcPr>
            <w:tcW w:w="3823" w:type="dxa"/>
            <w:shd w:val="clear" w:color="auto" w:fill="auto"/>
          </w:tcPr>
          <w:p w14:paraId="7574617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22. Завод № 75, г. Харьков </w:t>
            </w:r>
          </w:p>
        </w:tc>
        <w:tc>
          <w:tcPr>
            <w:tcW w:w="3685" w:type="dxa"/>
            <w:shd w:val="clear" w:color="auto" w:fill="auto"/>
          </w:tcPr>
          <w:p w14:paraId="0CCCFEA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Челябинский тракторный завод НКтанкопрома</w:t>
            </w:r>
          </w:p>
        </w:tc>
      </w:tr>
      <w:tr w:rsidR="008127F8" w:rsidRPr="008127F8" w14:paraId="3EB696C3" w14:textId="77777777" w:rsidTr="0005046D">
        <w:tc>
          <w:tcPr>
            <w:tcW w:w="3823" w:type="dxa"/>
            <w:shd w:val="clear" w:color="auto" w:fill="auto"/>
          </w:tcPr>
          <w:p w14:paraId="28BA2A4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23. Завод им. Кирова, г. Одесса </w:t>
            </w:r>
          </w:p>
        </w:tc>
        <w:tc>
          <w:tcPr>
            <w:tcW w:w="3685" w:type="dxa"/>
            <w:shd w:val="clear" w:color="auto" w:fill="auto"/>
          </w:tcPr>
          <w:p w14:paraId="08F51F1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станкозавод НКтанкопрома, г. Челябинск</w:t>
            </w:r>
          </w:p>
        </w:tc>
      </w:tr>
      <w:tr w:rsidR="008127F8" w:rsidRPr="008127F8" w14:paraId="5AEEBC34" w14:textId="77777777" w:rsidTr="0005046D">
        <w:tc>
          <w:tcPr>
            <w:tcW w:w="3823" w:type="dxa"/>
            <w:shd w:val="clear" w:color="auto" w:fill="auto"/>
          </w:tcPr>
          <w:p w14:paraId="7DC295C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24. Завод «Красный пролетарий», г. Москва </w:t>
            </w:r>
          </w:p>
        </w:tc>
        <w:tc>
          <w:tcPr>
            <w:tcW w:w="3685" w:type="dxa"/>
            <w:shd w:val="clear" w:color="auto" w:fill="auto"/>
          </w:tcPr>
          <w:p w14:paraId="2CF8AC1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Челябинский тракторный завод НКтанкопрома</w:t>
            </w:r>
          </w:p>
        </w:tc>
      </w:tr>
      <w:tr w:rsidR="008127F8" w:rsidRPr="008127F8" w14:paraId="72C21422" w14:textId="77777777" w:rsidTr="0005046D">
        <w:tc>
          <w:tcPr>
            <w:tcW w:w="3823" w:type="dxa"/>
            <w:shd w:val="clear" w:color="auto" w:fill="auto"/>
          </w:tcPr>
          <w:p w14:paraId="13B70C8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25. Завод шлифовальных станков, г. Москва </w:t>
            </w:r>
          </w:p>
        </w:tc>
        <w:tc>
          <w:tcPr>
            <w:tcW w:w="3685" w:type="dxa"/>
            <w:shd w:val="clear" w:color="auto" w:fill="auto"/>
          </w:tcPr>
          <w:p w14:paraId="7068779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Челябинский тракторный завод НКтанкопрома</w:t>
            </w:r>
          </w:p>
        </w:tc>
      </w:tr>
      <w:tr w:rsidR="008127F8" w:rsidRPr="008127F8" w14:paraId="7CD1FC48" w14:textId="77777777" w:rsidTr="0005046D">
        <w:tc>
          <w:tcPr>
            <w:tcW w:w="3823" w:type="dxa"/>
            <w:shd w:val="clear" w:color="auto" w:fill="auto"/>
          </w:tcPr>
          <w:p w14:paraId="1A8B427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6B82325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Бисерский завод НКтанкопрома, г. Бисер Молотовской обл.</w:t>
            </w:r>
          </w:p>
        </w:tc>
      </w:tr>
      <w:tr w:rsidR="008127F8" w:rsidRPr="008127F8" w14:paraId="370A840C" w14:textId="77777777" w:rsidTr="0005046D">
        <w:tc>
          <w:tcPr>
            <w:tcW w:w="3823" w:type="dxa"/>
            <w:shd w:val="clear" w:color="auto" w:fill="auto"/>
          </w:tcPr>
          <w:p w14:paraId="1EC85DD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26. Завод им. Орджоникидзе, г. Москва</w:t>
            </w:r>
          </w:p>
        </w:tc>
        <w:tc>
          <w:tcPr>
            <w:tcW w:w="3685" w:type="dxa"/>
            <w:shd w:val="clear" w:color="auto" w:fill="auto"/>
          </w:tcPr>
          <w:p w14:paraId="07C54C3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 а) на трикотажную фабрику НКлегпрома СССР, г. Новосибирск</w:t>
            </w:r>
          </w:p>
        </w:tc>
      </w:tr>
      <w:tr w:rsidR="008127F8" w:rsidRPr="008127F8" w14:paraId="595A7230" w14:textId="77777777" w:rsidTr="0005046D">
        <w:tc>
          <w:tcPr>
            <w:tcW w:w="3823" w:type="dxa"/>
            <w:shd w:val="clear" w:color="auto" w:fill="auto"/>
          </w:tcPr>
          <w:p w14:paraId="29788991"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104244E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Уралвагонзавод НКтанкопрома, г. Нижний Тагил Свердловской обл.</w:t>
            </w:r>
          </w:p>
        </w:tc>
      </w:tr>
      <w:tr w:rsidR="008127F8" w:rsidRPr="008127F8" w14:paraId="4C3C2510" w14:textId="77777777" w:rsidTr="0005046D">
        <w:tc>
          <w:tcPr>
            <w:tcW w:w="3823" w:type="dxa"/>
            <w:shd w:val="clear" w:color="auto" w:fill="auto"/>
          </w:tcPr>
          <w:p w14:paraId="7DDB8994"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27. Завод им. Коминтерна, г. Витебск </w:t>
            </w:r>
          </w:p>
        </w:tc>
        <w:tc>
          <w:tcPr>
            <w:tcW w:w="3685" w:type="dxa"/>
            <w:shd w:val="clear" w:color="auto" w:fill="auto"/>
          </w:tcPr>
          <w:p w14:paraId="6A39F36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станкостроительный завод НКтанкопрома, г. Саратов</w:t>
            </w:r>
          </w:p>
        </w:tc>
      </w:tr>
      <w:tr w:rsidR="008127F8" w:rsidRPr="008127F8" w14:paraId="7076CF95" w14:textId="77777777" w:rsidTr="0005046D">
        <w:tc>
          <w:tcPr>
            <w:tcW w:w="3823" w:type="dxa"/>
            <w:shd w:val="clear" w:color="auto" w:fill="auto"/>
          </w:tcPr>
          <w:p w14:paraId="3A66C4C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28. Завод «Комсомолец», г. Егорьевск Московской обл.</w:t>
            </w:r>
          </w:p>
        </w:tc>
        <w:tc>
          <w:tcPr>
            <w:tcW w:w="3685" w:type="dxa"/>
            <w:shd w:val="clear" w:color="auto" w:fill="auto"/>
          </w:tcPr>
          <w:p w14:paraId="1399058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строительство завода зуборезных станков НКтанкопрома, г. Саратов</w:t>
            </w:r>
          </w:p>
        </w:tc>
      </w:tr>
      <w:tr w:rsidR="008127F8" w:rsidRPr="008127F8" w14:paraId="64215150" w14:textId="77777777" w:rsidTr="0005046D">
        <w:tc>
          <w:tcPr>
            <w:tcW w:w="3823" w:type="dxa"/>
            <w:shd w:val="clear" w:color="auto" w:fill="auto"/>
          </w:tcPr>
          <w:p w14:paraId="19066D6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26A0066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помещений зерносовхоза НКсовхозов СССР, пос. Тогузак Кустанайской обл.</w:t>
            </w:r>
          </w:p>
        </w:tc>
      </w:tr>
      <w:tr w:rsidR="008127F8" w:rsidRPr="008127F8" w14:paraId="10FA1497" w14:textId="77777777" w:rsidTr="0005046D">
        <w:tc>
          <w:tcPr>
            <w:tcW w:w="3823" w:type="dxa"/>
            <w:shd w:val="clear" w:color="auto" w:fill="auto"/>
          </w:tcPr>
          <w:p w14:paraId="6D394BF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29. Завод «Станкоконструкция», г. Москва </w:t>
            </w:r>
          </w:p>
        </w:tc>
        <w:tc>
          <w:tcPr>
            <w:tcW w:w="3685" w:type="dxa"/>
            <w:shd w:val="clear" w:color="auto" w:fill="auto"/>
          </w:tcPr>
          <w:p w14:paraId="4A25389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льнопрядильную фабрику им. Ленина НКтекстиля СССР, г. Свердловск</w:t>
            </w:r>
          </w:p>
        </w:tc>
      </w:tr>
      <w:tr w:rsidR="008127F8" w:rsidRPr="008127F8" w14:paraId="68FC5029" w14:textId="77777777" w:rsidTr="0005046D">
        <w:tc>
          <w:tcPr>
            <w:tcW w:w="3823" w:type="dxa"/>
            <w:shd w:val="clear" w:color="auto" w:fill="auto"/>
          </w:tcPr>
          <w:p w14:paraId="64F49CC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30. Завод «Унимс», г. Москва </w:t>
            </w:r>
          </w:p>
        </w:tc>
        <w:tc>
          <w:tcPr>
            <w:tcW w:w="3685" w:type="dxa"/>
            <w:shd w:val="clear" w:color="auto" w:fill="auto"/>
          </w:tcPr>
          <w:p w14:paraId="172E5EEC"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льнопрядильную фабрику им. Ленина НКтекстиля СССР, г. Свердловск</w:t>
            </w:r>
          </w:p>
        </w:tc>
      </w:tr>
      <w:tr w:rsidR="008127F8" w:rsidRPr="008127F8" w14:paraId="4202D32D" w14:textId="77777777" w:rsidTr="0005046D">
        <w:tc>
          <w:tcPr>
            <w:tcW w:w="3823" w:type="dxa"/>
            <w:shd w:val="clear" w:color="auto" w:fill="auto"/>
          </w:tcPr>
          <w:p w14:paraId="329C193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31. Завод «Станкоинструмент» (часть), г. Москва</w:t>
            </w:r>
          </w:p>
        </w:tc>
        <w:tc>
          <w:tcPr>
            <w:tcW w:w="3685" w:type="dxa"/>
            <w:shd w:val="clear" w:color="auto" w:fill="auto"/>
          </w:tcPr>
          <w:p w14:paraId="298081DD"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станкостроительный завод НКтанкопрома, г. Челябинск</w:t>
            </w:r>
          </w:p>
        </w:tc>
      </w:tr>
      <w:tr w:rsidR="008127F8" w:rsidRPr="008127F8" w14:paraId="2A5C3FF5" w14:textId="77777777" w:rsidTr="0005046D">
        <w:tc>
          <w:tcPr>
            <w:tcW w:w="3823" w:type="dxa"/>
            <w:shd w:val="clear" w:color="auto" w:fill="auto"/>
          </w:tcPr>
          <w:p w14:paraId="016C41AA"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33. Завод микропорошков, г. Москва </w:t>
            </w:r>
          </w:p>
        </w:tc>
        <w:tc>
          <w:tcPr>
            <w:tcW w:w="3685" w:type="dxa"/>
            <w:shd w:val="clear" w:color="auto" w:fill="auto"/>
          </w:tcPr>
          <w:p w14:paraId="311FC1D8"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корундовую фабрику НКтанкопрома, г. Кыштын Челябинской обл.</w:t>
            </w:r>
          </w:p>
        </w:tc>
      </w:tr>
      <w:tr w:rsidR="008127F8" w:rsidRPr="008127F8" w14:paraId="4400D292" w14:textId="77777777" w:rsidTr="0005046D">
        <w:tc>
          <w:tcPr>
            <w:tcW w:w="3823" w:type="dxa"/>
            <w:shd w:val="clear" w:color="auto" w:fill="auto"/>
          </w:tcPr>
          <w:p w14:paraId="300E59B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34. Елецкий станкостроительный завод, Орловская обл. (вместе с оборудованием завода им. Кирова, г. Витебск)</w:t>
            </w:r>
          </w:p>
        </w:tc>
        <w:tc>
          <w:tcPr>
            <w:tcW w:w="3685" w:type="dxa"/>
            <w:shd w:val="clear" w:color="auto" w:fill="auto"/>
          </w:tcPr>
          <w:p w14:paraId="31953436"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обозоремонтный завод НКместпрома РСФСР, г. Чкалов</w:t>
            </w:r>
          </w:p>
        </w:tc>
      </w:tr>
      <w:tr w:rsidR="008127F8" w:rsidRPr="008127F8" w14:paraId="7D684F4A" w14:textId="77777777" w:rsidTr="0005046D">
        <w:tc>
          <w:tcPr>
            <w:tcW w:w="3823" w:type="dxa"/>
            <w:shd w:val="clear" w:color="auto" w:fill="auto"/>
          </w:tcPr>
          <w:p w14:paraId="6E9B102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35. Станкостроительный завод «Коммунар», г. Лубны Полтавской обл.</w:t>
            </w:r>
          </w:p>
        </w:tc>
        <w:tc>
          <w:tcPr>
            <w:tcW w:w="3685" w:type="dxa"/>
            <w:shd w:val="clear" w:color="auto" w:fill="auto"/>
          </w:tcPr>
          <w:p w14:paraId="4DC799E9"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МТМ НКзема СССР, пос. Соракташ Чкаловской обл.</w:t>
            </w:r>
          </w:p>
        </w:tc>
      </w:tr>
      <w:tr w:rsidR="008127F8" w:rsidRPr="008127F8" w14:paraId="1FCEFF30" w14:textId="77777777" w:rsidTr="0005046D">
        <w:tc>
          <w:tcPr>
            <w:tcW w:w="3823" w:type="dxa"/>
            <w:shd w:val="clear" w:color="auto" w:fill="auto"/>
          </w:tcPr>
          <w:p w14:paraId="25B6CD4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lastRenderedPageBreak/>
              <w:t>36. Завод «Металлист», г. Таганрог Ростовской обл.</w:t>
            </w:r>
          </w:p>
        </w:tc>
        <w:tc>
          <w:tcPr>
            <w:tcW w:w="3685" w:type="dxa"/>
            <w:shd w:val="clear" w:color="auto" w:fill="auto"/>
          </w:tcPr>
          <w:p w14:paraId="70EF1A40"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чугунолитейный и механический заводы НКтанкопрома, г. Чкалов</w:t>
            </w:r>
          </w:p>
        </w:tc>
      </w:tr>
      <w:tr w:rsidR="008127F8" w:rsidRPr="008127F8" w14:paraId="07ECF2DF" w14:textId="77777777" w:rsidTr="0005046D">
        <w:tc>
          <w:tcPr>
            <w:tcW w:w="3823" w:type="dxa"/>
            <w:shd w:val="clear" w:color="auto" w:fill="auto"/>
          </w:tcPr>
          <w:p w14:paraId="6320AAA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37. Завод им. Свердлова (часть), г. Ленинград </w:t>
            </w:r>
          </w:p>
        </w:tc>
        <w:tc>
          <w:tcPr>
            <w:tcW w:w="3685" w:type="dxa"/>
            <w:shd w:val="clear" w:color="auto" w:fill="auto"/>
          </w:tcPr>
          <w:p w14:paraId="7740B1AB"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завода тяжелых станков НКтанкостроения, г. Свердловск</w:t>
            </w:r>
          </w:p>
        </w:tc>
      </w:tr>
      <w:tr w:rsidR="008127F8" w:rsidRPr="008127F8" w14:paraId="78F54F1D" w14:textId="77777777" w:rsidTr="0005046D">
        <w:tc>
          <w:tcPr>
            <w:tcW w:w="3823" w:type="dxa"/>
            <w:shd w:val="clear" w:color="auto" w:fill="auto"/>
          </w:tcPr>
          <w:p w14:paraId="282E115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38. Мастерские Индустриального техникума, г. Одесса</w:t>
            </w:r>
          </w:p>
        </w:tc>
        <w:tc>
          <w:tcPr>
            <w:tcW w:w="3685" w:type="dxa"/>
            <w:shd w:val="clear" w:color="auto" w:fill="auto"/>
          </w:tcPr>
          <w:p w14:paraId="0A5BA5D3"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МТМ НКзема СССР, пос. Соль-Илецк Чкаловской обл.</w:t>
            </w:r>
          </w:p>
        </w:tc>
      </w:tr>
      <w:tr w:rsidR="008127F8" w:rsidRPr="008127F8" w14:paraId="3F543381" w14:textId="77777777" w:rsidTr="0005046D">
        <w:tc>
          <w:tcPr>
            <w:tcW w:w="3823" w:type="dxa"/>
            <w:shd w:val="clear" w:color="auto" w:fill="auto"/>
          </w:tcPr>
          <w:p w14:paraId="75E905F7"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39. Кировский завод (часть), г. Ленинград </w:t>
            </w:r>
          </w:p>
        </w:tc>
        <w:tc>
          <w:tcPr>
            <w:tcW w:w="3685" w:type="dxa"/>
            <w:shd w:val="clear" w:color="auto" w:fill="auto"/>
          </w:tcPr>
          <w:p w14:paraId="0796CD7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Челябинский тракторный завод</w:t>
            </w:r>
          </w:p>
        </w:tc>
      </w:tr>
      <w:tr w:rsidR="008127F8" w:rsidRPr="008127F8" w14:paraId="6BFC7E1F" w14:textId="77777777" w:rsidTr="0005046D">
        <w:tc>
          <w:tcPr>
            <w:tcW w:w="3823" w:type="dxa"/>
            <w:shd w:val="clear" w:color="auto" w:fill="auto"/>
          </w:tcPr>
          <w:p w14:paraId="1C48B255"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40. Завод № 183, г. Харьков </w:t>
            </w:r>
          </w:p>
        </w:tc>
        <w:tc>
          <w:tcPr>
            <w:tcW w:w="3685" w:type="dxa"/>
            <w:shd w:val="clear" w:color="auto" w:fill="auto"/>
          </w:tcPr>
          <w:p w14:paraId="2BEE31E2"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Уралвагонзавод, г. Нижний Тагил Свердловской обл.</w:t>
            </w:r>
          </w:p>
        </w:tc>
      </w:tr>
      <w:tr w:rsidR="008127F8" w:rsidRPr="008127F8" w14:paraId="6C7D79B9" w14:textId="77777777" w:rsidTr="0005046D">
        <w:tc>
          <w:tcPr>
            <w:tcW w:w="3823" w:type="dxa"/>
            <w:shd w:val="clear" w:color="auto" w:fill="auto"/>
          </w:tcPr>
          <w:p w14:paraId="507F4EFE"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41. Завод № 37, г. Москва </w:t>
            </w:r>
          </w:p>
        </w:tc>
        <w:tc>
          <w:tcPr>
            <w:tcW w:w="3685" w:type="dxa"/>
            <w:shd w:val="clear" w:color="auto" w:fill="auto"/>
          </w:tcPr>
          <w:p w14:paraId="3F06371F" w14:textId="77777777" w:rsidR="00011043" w:rsidRPr="008127F8" w:rsidRDefault="00011043" w:rsidP="001E0A84">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г. Свердловск</w:t>
            </w:r>
          </w:p>
        </w:tc>
      </w:tr>
    </w:tbl>
    <w:p w14:paraId="24B3A9C4"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Наркомат вооружения (НКВ)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3685"/>
      </w:tblGrid>
      <w:tr w:rsidR="008127F8" w:rsidRPr="008127F8" w14:paraId="3C47A8F8" w14:textId="77777777" w:rsidTr="0005046D">
        <w:tc>
          <w:tcPr>
            <w:tcW w:w="3823" w:type="dxa"/>
            <w:shd w:val="clear" w:color="auto" w:fill="auto"/>
          </w:tcPr>
          <w:p w14:paraId="1B848BE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 Завод № 367, г. Загорск Московской обл. </w:t>
            </w:r>
          </w:p>
        </w:tc>
        <w:tc>
          <w:tcPr>
            <w:tcW w:w="3685" w:type="dxa"/>
            <w:shd w:val="clear" w:color="auto" w:fill="auto"/>
          </w:tcPr>
          <w:p w14:paraId="46F83CF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622 НКВ, г. Вятские Поляны Кировской обл.</w:t>
            </w:r>
          </w:p>
        </w:tc>
      </w:tr>
      <w:tr w:rsidR="008127F8" w:rsidRPr="008127F8" w14:paraId="010119D5" w14:textId="77777777" w:rsidTr="0005046D">
        <w:tc>
          <w:tcPr>
            <w:tcW w:w="3823" w:type="dxa"/>
            <w:shd w:val="clear" w:color="auto" w:fill="auto"/>
          </w:tcPr>
          <w:p w14:paraId="242A18B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 Завод № 509, г. Москва </w:t>
            </w:r>
          </w:p>
        </w:tc>
        <w:tc>
          <w:tcPr>
            <w:tcW w:w="3685" w:type="dxa"/>
            <w:shd w:val="clear" w:color="auto" w:fill="auto"/>
          </w:tcPr>
          <w:p w14:paraId="7E042B6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622 НКВ, г. Вятские Поляны Кировской обл.</w:t>
            </w:r>
          </w:p>
        </w:tc>
      </w:tr>
      <w:tr w:rsidR="008127F8" w:rsidRPr="008127F8" w14:paraId="60CD41C4" w14:textId="77777777" w:rsidTr="0005046D">
        <w:tc>
          <w:tcPr>
            <w:tcW w:w="3823" w:type="dxa"/>
            <w:shd w:val="clear" w:color="auto" w:fill="auto"/>
          </w:tcPr>
          <w:p w14:paraId="2248C1F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 Завод № 60, г. Ворошиловград </w:t>
            </w:r>
          </w:p>
        </w:tc>
        <w:tc>
          <w:tcPr>
            <w:tcW w:w="3685" w:type="dxa"/>
            <w:shd w:val="clear" w:color="auto" w:fill="auto"/>
          </w:tcPr>
          <w:p w14:paraId="5C4511EB"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537 НКВ, г. Киров</w:t>
            </w:r>
          </w:p>
        </w:tc>
      </w:tr>
      <w:tr w:rsidR="008127F8" w:rsidRPr="008127F8" w14:paraId="7517B93B" w14:textId="77777777" w:rsidTr="0005046D">
        <w:tc>
          <w:tcPr>
            <w:tcW w:w="3823" w:type="dxa"/>
            <w:shd w:val="clear" w:color="auto" w:fill="auto"/>
          </w:tcPr>
          <w:p w14:paraId="3D60F92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4C44590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складов НКвнешторга (16 тыс. кв. м), г. Ульяновск</w:t>
            </w:r>
          </w:p>
        </w:tc>
      </w:tr>
      <w:tr w:rsidR="008127F8" w:rsidRPr="008127F8" w14:paraId="3707A42E" w14:textId="77777777" w:rsidTr="0005046D">
        <w:tc>
          <w:tcPr>
            <w:tcW w:w="3823" w:type="dxa"/>
            <w:shd w:val="clear" w:color="auto" w:fill="auto"/>
          </w:tcPr>
          <w:p w14:paraId="2A29F0E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260C0AD0"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543 НКВ, г. Казань</w:t>
            </w:r>
          </w:p>
        </w:tc>
      </w:tr>
      <w:tr w:rsidR="008127F8" w:rsidRPr="008127F8" w14:paraId="242F7FE5" w14:textId="77777777" w:rsidTr="0005046D">
        <w:tc>
          <w:tcPr>
            <w:tcW w:w="3823" w:type="dxa"/>
            <w:shd w:val="clear" w:color="auto" w:fill="auto"/>
          </w:tcPr>
          <w:p w14:paraId="3B3251A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14733E7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на завод № 545 НКВ, г. Чкалов</w:t>
            </w:r>
          </w:p>
        </w:tc>
      </w:tr>
      <w:tr w:rsidR="008127F8" w:rsidRPr="008127F8" w14:paraId="239CCAAA" w14:textId="77777777" w:rsidTr="0005046D">
        <w:tc>
          <w:tcPr>
            <w:tcW w:w="3823" w:type="dxa"/>
            <w:shd w:val="clear" w:color="auto" w:fill="auto"/>
          </w:tcPr>
          <w:p w14:paraId="4D4A3DEC"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3436566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 на завод 541 НКВ, г. Челябинск</w:t>
            </w:r>
          </w:p>
        </w:tc>
      </w:tr>
      <w:tr w:rsidR="008127F8" w:rsidRPr="008127F8" w14:paraId="4001E187" w14:textId="77777777" w:rsidTr="0005046D">
        <w:tc>
          <w:tcPr>
            <w:tcW w:w="3823" w:type="dxa"/>
            <w:shd w:val="clear" w:color="auto" w:fill="auto"/>
          </w:tcPr>
          <w:p w14:paraId="5117A62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134E5AE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е) на площади моторемонтного завода НКземледелия СССР, г. Фрунзе</w:t>
            </w:r>
          </w:p>
        </w:tc>
      </w:tr>
      <w:tr w:rsidR="008127F8" w:rsidRPr="008127F8" w14:paraId="5E5F98EC" w14:textId="77777777" w:rsidTr="0005046D">
        <w:tc>
          <w:tcPr>
            <w:tcW w:w="3823" w:type="dxa"/>
            <w:shd w:val="clear" w:color="auto" w:fill="auto"/>
          </w:tcPr>
          <w:p w14:paraId="2335C5D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60F2D19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ж) на одежно-плательный комбинат НКлегпрома СССР, г. Барнаул Алтайского край</w:t>
            </w:r>
          </w:p>
        </w:tc>
      </w:tr>
      <w:tr w:rsidR="008127F8" w:rsidRPr="008127F8" w14:paraId="7D9D274A" w14:textId="77777777" w:rsidTr="0005046D">
        <w:tc>
          <w:tcPr>
            <w:tcW w:w="3823" w:type="dxa"/>
            <w:shd w:val="clear" w:color="auto" w:fill="auto"/>
          </w:tcPr>
          <w:p w14:paraId="147A745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4. Завод (стройка), г. Купянск Харьковской обл. </w:t>
            </w:r>
          </w:p>
        </w:tc>
        <w:tc>
          <w:tcPr>
            <w:tcW w:w="3685" w:type="dxa"/>
            <w:shd w:val="clear" w:color="auto" w:fill="auto"/>
          </w:tcPr>
          <w:p w14:paraId="38CF23CC"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Красноярский машиностроительный завод НКугля</w:t>
            </w:r>
          </w:p>
        </w:tc>
      </w:tr>
      <w:tr w:rsidR="008127F8" w:rsidRPr="008127F8" w14:paraId="7F1FEE1A" w14:textId="77777777" w:rsidTr="0005046D">
        <w:tc>
          <w:tcPr>
            <w:tcW w:w="3823" w:type="dxa"/>
            <w:shd w:val="clear" w:color="auto" w:fill="auto"/>
          </w:tcPr>
          <w:p w14:paraId="10F94E7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5. Завод № 4, г. Коломна </w:t>
            </w:r>
          </w:p>
        </w:tc>
        <w:tc>
          <w:tcPr>
            <w:tcW w:w="3685" w:type="dxa"/>
            <w:shd w:val="clear" w:color="auto" w:fill="auto"/>
          </w:tcPr>
          <w:p w14:paraId="4743625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Красноярский машиностроительный завод НКугля</w:t>
            </w:r>
          </w:p>
        </w:tc>
      </w:tr>
      <w:tr w:rsidR="008127F8" w:rsidRPr="008127F8" w14:paraId="4B864ACE" w14:textId="77777777" w:rsidTr="0005046D">
        <w:tc>
          <w:tcPr>
            <w:tcW w:w="3823" w:type="dxa"/>
            <w:shd w:val="clear" w:color="auto" w:fill="auto"/>
          </w:tcPr>
          <w:p w14:paraId="06FE677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6. Завод № 589, г. Калуга </w:t>
            </w:r>
          </w:p>
        </w:tc>
        <w:tc>
          <w:tcPr>
            <w:tcW w:w="3685" w:type="dxa"/>
            <w:shd w:val="clear" w:color="auto" w:fill="auto"/>
          </w:tcPr>
          <w:p w14:paraId="68D4EC9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Красноярский машиностроительный завод НКугля</w:t>
            </w:r>
          </w:p>
        </w:tc>
      </w:tr>
      <w:tr w:rsidR="008127F8" w:rsidRPr="008127F8" w14:paraId="48B6D86C" w14:textId="77777777" w:rsidTr="0005046D">
        <w:tc>
          <w:tcPr>
            <w:tcW w:w="3823" w:type="dxa"/>
            <w:shd w:val="clear" w:color="auto" w:fill="auto"/>
          </w:tcPr>
          <w:p w14:paraId="79F09FC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7. Завод № 525 (стройка), г. Артемовск </w:t>
            </w:r>
          </w:p>
        </w:tc>
        <w:tc>
          <w:tcPr>
            <w:tcW w:w="3685" w:type="dxa"/>
            <w:shd w:val="clear" w:color="auto" w:fill="auto"/>
          </w:tcPr>
          <w:p w14:paraId="1F2E27B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стройку газомотокомпрессорного завода НКнефти, г. Куйбышев</w:t>
            </w:r>
          </w:p>
        </w:tc>
      </w:tr>
      <w:tr w:rsidR="008127F8" w:rsidRPr="008127F8" w14:paraId="430A9935" w14:textId="77777777" w:rsidTr="0005046D">
        <w:tc>
          <w:tcPr>
            <w:tcW w:w="3823" w:type="dxa"/>
            <w:shd w:val="clear" w:color="auto" w:fill="auto"/>
          </w:tcPr>
          <w:p w14:paraId="2999768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8. Завод № 46 (часть), г. Кунцево Московской обл. </w:t>
            </w:r>
          </w:p>
        </w:tc>
        <w:tc>
          <w:tcPr>
            <w:tcW w:w="3685" w:type="dxa"/>
            <w:shd w:val="clear" w:color="auto" w:fill="auto"/>
          </w:tcPr>
          <w:p w14:paraId="7F6439C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3 НКВ, г. Ульяновск (бывшие склады НВТ)</w:t>
            </w:r>
          </w:p>
        </w:tc>
      </w:tr>
      <w:tr w:rsidR="008127F8" w:rsidRPr="008127F8" w14:paraId="48D98DC9" w14:textId="77777777" w:rsidTr="0005046D">
        <w:tc>
          <w:tcPr>
            <w:tcW w:w="3823" w:type="dxa"/>
            <w:shd w:val="clear" w:color="auto" w:fill="auto"/>
          </w:tcPr>
          <w:p w14:paraId="08A46C6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26DEB52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льнопрядильную фабрику им. Ленина, г. Свердловск</w:t>
            </w:r>
          </w:p>
        </w:tc>
      </w:tr>
      <w:tr w:rsidR="008127F8" w:rsidRPr="008127F8" w14:paraId="5DED67E1" w14:textId="77777777" w:rsidTr="0005046D">
        <w:tc>
          <w:tcPr>
            <w:tcW w:w="3823" w:type="dxa"/>
            <w:shd w:val="clear" w:color="auto" w:fill="auto"/>
          </w:tcPr>
          <w:p w14:paraId="5D213D5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5F3A62C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целлюлозно-бумажный комбинат, г. Новая Ляля Свердловской обл.</w:t>
            </w:r>
          </w:p>
        </w:tc>
      </w:tr>
      <w:tr w:rsidR="008127F8" w:rsidRPr="008127F8" w14:paraId="7A5AAA5C" w14:textId="77777777" w:rsidTr="0005046D">
        <w:tc>
          <w:tcPr>
            <w:tcW w:w="3823" w:type="dxa"/>
            <w:shd w:val="clear" w:color="auto" w:fill="auto"/>
          </w:tcPr>
          <w:p w14:paraId="77B703EB"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9. Завод № 66, г. Тула</w:t>
            </w:r>
          </w:p>
        </w:tc>
        <w:tc>
          <w:tcPr>
            <w:tcW w:w="3685" w:type="dxa"/>
            <w:shd w:val="clear" w:color="auto" w:fill="auto"/>
          </w:tcPr>
          <w:p w14:paraId="431E3EC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0B03D699" w14:textId="77777777" w:rsidTr="0005046D">
        <w:tc>
          <w:tcPr>
            <w:tcW w:w="3823" w:type="dxa"/>
            <w:shd w:val="clear" w:color="auto" w:fill="auto"/>
          </w:tcPr>
          <w:p w14:paraId="03467E5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пр-во пулеметов «Шкас»</w:t>
            </w:r>
          </w:p>
        </w:tc>
        <w:tc>
          <w:tcPr>
            <w:tcW w:w="3685" w:type="dxa"/>
            <w:shd w:val="clear" w:color="auto" w:fill="auto"/>
          </w:tcPr>
          <w:p w14:paraId="426A81D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525 НКВ, г. Куйбышев</w:t>
            </w:r>
          </w:p>
        </w:tc>
      </w:tr>
      <w:tr w:rsidR="008127F8" w:rsidRPr="008127F8" w14:paraId="77F320DC" w14:textId="77777777" w:rsidTr="0005046D">
        <w:tc>
          <w:tcPr>
            <w:tcW w:w="3823" w:type="dxa"/>
            <w:shd w:val="clear" w:color="auto" w:fill="auto"/>
          </w:tcPr>
          <w:p w14:paraId="2D4C6C9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станкостроительное пр-во</w:t>
            </w:r>
          </w:p>
        </w:tc>
        <w:tc>
          <w:tcPr>
            <w:tcW w:w="3685" w:type="dxa"/>
            <w:shd w:val="clear" w:color="auto" w:fill="auto"/>
          </w:tcPr>
          <w:p w14:paraId="67EFDCB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172 НКВ, г. Молотов</w:t>
            </w:r>
          </w:p>
        </w:tc>
      </w:tr>
      <w:tr w:rsidR="008127F8" w:rsidRPr="008127F8" w14:paraId="7E6127D3" w14:textId="77777777" w:rsidTr="0005046D">
        <w:tc>
          <w:tcPr>
            <w:tcW w:w="3823" w:type="dxa"/>
            <w:shd w:val="clear" w:color="auto" w:fill="auto"/>
          </w:tcPr>
          <w:p w14:paraId="4540839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пр-во противотанковых ружей</w:t>
            </w:r>
          </w:p>
        </w:tc>
        <w:tc>
          <w:tcPr>
            <w:tcW w:w="3685" w:type="dxa"/>
            <w:shd w:val="clear" w:color="auto" w:fill="auto"/>
          </w:tcPr>
          <w:p w14:paraId="570538C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614 НКВ, г. Саратов</w:t>
            </w:r>
          </w:p>
        </w:tc>
      </w:tr>
      <w:tr w:rsidR="008127F8" w:rsidRPr="008127F8" w14:paraId="78D06594" w14:textId="77777777" w:rsidTr="0005046D">
        <w:tc>
          <w:tcPr>
            <w:tcW w:w="3823" w:type="dxa"/>
            <w:shd w:val="clear" w:color="auto" w:fill="auto"/>
          </w:tcPr>
          <w:p w14:paraId="7041C68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пр-во пушек Волкова — Ярцева</w:t>
            </w:r>
          </w:p>
        </w:tc>
        <w:tc>
          <w:tcPr>
            <w:tcW w:w="3685" w:type="dxa"/>
            <w:shd w:val="clear" w:color="auto" w:fill="auto"/>
          </w:tcPr>
          <w:p w14:paraId="266B2DF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на завод № 54 НКВ, г. Златоуст</w:t>
            </w:r>
          </w:p>
        </w:tc>
      </w:tr>
      <w:tr w:rsidR="008127F8" w:rsidRPr="008127F8" w14:paraId="00BA1042" w14:textId="77777777" w:rsidTr="0005046D">
        <w:tc>
          <w:tcPr>
            <w:tcW w:w="3823" w:type="dxa"/>
            <w:shd w:val="clear" w:color="auto" w:fill="auto"/>
          </w:tcPr>
          <w:p w14:paraId="6DD5C5B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 пр-во универсальных пулеметов Березина</w:t>
            </w:r>
          </w:p>
        </w:tc>
        <w:tc>
          <w:tcPr>
            <w:tcW w:w="3685" w:type="dxa"/>
            <w:shd w:val="clear" w:color="auto" w:fill="auto"/>
          </w:tcPr>
          <w:p w14:paraId="3D0EED80"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 на завод № 385, г. Златоуст</w:t>
            </w:r>
          </w:p>
        </w:tc>
      </w:tr>
      <w:tr w:rsidR="008127F8" w:rsidRPr="008127F8" w14:paraId="629977AE" w14:textId="77777777" w:rsidTr="0005046D">
        <w:tc>
          <w:tcPr>
            <w:tcW w:w="3823" w:type="dxa"/>
            <w:shd w:val="clear" w:color="auto" w:fill="auto"/>
          </w:tcPr>
          <w:p w14:paraId="7D0E75C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е) часть завода</w:t>
            </w:r>
          </w:p>
        </w:tc>
        <w:tc>
          <w:tcPr>
            <w:tcW w:w="3685" w:type="dxa"/>
            <w:shd w:val="clear" w:color="auto" w:fill="auto"/>
          </w:tcPr>
          <w:p w14:paraId="2EC8A61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е) на завод № 64 НКВ, ст. Урисум Южно-Уральской ж.д.</w:t>
            </w:r>
          </w:p>
        </w:tc>
      </w:tr>
      <w:tr w:rsidR="008127F8" w:rsidRPr="008127F8" w14:paraId="000365F5" w14:textId="77777777" w:rsidTr="0005046D">
        <w:tc>
          <w:tcPr>
            <w:tcW w:w="3823" w:type="dxa"/>
            <w:shd w:val="clear" w:color="auto" w:fill="auto"/>
          </w:tcPr>
          <w:p w14:paraId="3491438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43D93CE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ж) на завод № 74 НКВ, г. Ижевск</w:t>
            </w:r>
          </w:p>
        </w:tc>
      </w:tr>
      <w:tr w:rsidR="008127F8" w:rsidRPr="008127F8" w14:paraId="71978D86" w14:textId="77777777" w:rsidTr="0005046D">
        <w:tc>
          <w:tcPr>
            <w:tcW w:w="3823" w:type="dxa"/>
            <w:shd w:val="clear" w:color="auto" w:fill="auto"/>
          </w:tcPr>
          <w:p w14:paraId="1D6B264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10. Завод № 2 (пр-во пушек «Швак»), г. Ковров </w:t>
            </w:r>
          </w:p>
        </w:tc>
        <w:tc>
          <w:tcPr>
            <w:tcW w:w="3685" w:type="dxa"/>
            <w:shd w:val="clear" w:color="auto" w:fill="auto"/>
          </w:tcPr>
          <w:p w14:paraId="32A7FCBC"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525 НКВ, г. Куйбышев</w:t>
            </w:r>
          </w:p>
        </w:tc>
      </w:tr>
      <w:tr w:rsidR="008127F8" w:rsidRPr="008127F8" w14:paraId="045679A0" w14:textId="77777777" w:rsidTr="0005046D">
        <w:tc>
          <w:tcPr>
            <w:tcW w:w="3823" w:type="dxa"/>
            <w:shd w:val="clear" w:color="auto" w:fill="auto"/>
          </w:tcPr>
          <w:p w14:paraId="5E1D525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11. Государственный оптический институт ОКБ-43 (конструкторский отдел по артилле рии), г. Ленинград</w:t>
            </w:r>
          </w:p>
        </w:tc>
        <w:tc>
          <w:tcPr>
            <w:tcW w:w="3685" w:type="dxa"/>
            <w:shd w:val="clear" w:color="auto" w:fill="auto"/>
          </w:tcPr>
          <w:p w14:paraId="25ECB13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Поволжского лесотехнического института, г. Йошкар-Ола</w:t>
            </w:r>
          </w:p>
        </w:tc>
      </w:tr>
      <w:tr w:rsidR="008127F8" w:rsidRPr="008127F8" w14:paraId="3300D738" w14:textId="77777777" w:rsidTr="0005046D">
        <w:tc>
          <w:tcPr>
            <w:tcW w:w="3823" w:type="dxa"/>
            <w:shd w:val="clear" w:color="auto" w:fill="auto"/>
          </w:tcPr>
          <w:p w14:paraId="048493EB"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12. НИИ-13, г. Ленинград </w:t>
            </w:r>
          </w:p>
        </w:tc>
        <w:tc>
          <w:tcPr>
            <w:tcW w:w="3685" w:type="dxa"/>
            <w:shd w:val="clear" w:color="auto" w:fill="auto"/>
          </w:tcPr>
          <w:p w14:paraId="6D2B58F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Сельскохозяйственного института, г. Молотов</w:t>
            </w:r>
          </w:p>
        </w:tc>
      </w:tr>
      <w:tr w:rsidR="008127F8" w:rsidRPr="008127F8" w14:paraId="1236C5CE" w14:textId="77777777" w:rsidTr="0005046D">
        <w:tc>
          <w:tcPr>
            <w:tcW w:w="3823" w:type="dxa"/>
            <w:shd w:val="clear" w:color="auto" w:fill="auto"/>
          </w:tcPr>
          <w:p w14:paraId="424D50F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13. ГСПКИ-40, г. Москва </w:t>
            </w:r>
          </w:p>
        </w:tc>
        <w:tc>
          <w:tcPr>
            <w:tcW w:w="3685" w:type="dxa"/>
            <w:shd w:val="clear" w:color="auto" w:fill="auto"/>
          </w:tcPr>
          <w:p w14:paraId="2B26FFF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Сельскохозяйственного института, г. Молотов</w:t>
            </w:r>
          </w:p>
        </w:tc>
      </w:tr>
      <w:tr w:rsidR="008127F8" w:rsidRPr="008127F8" w14:paraId="7D7749CE" w14:textId="77777777" w:rsidTr="0005046D">
        <w:tc>
          <w:tcPr>
            <w:tcW w:w="3823" w:type="dxa"/>
            <w:shd w:val="clear" w:color="auto" w:fill="auto"/>
          </w:tcPr>
          <w:p w14:paraId="5A4F3B3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14. Завод № 538 с ОКБ № 16, г. Москва (передан НКминвооружения)</w:t>
            </w:r>
          </w:p>
        </w:tc>
        <w:tc>
          <w:tcPr>
            <w:tcW w:w="3685" w:type="dxa"/>
            <w:shd w:val="clear" w:color="auto" w:fill="auto"/>
          </w:tcPr>
          <w:p w14:paraId="2C9F7C7B"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артели «Гвоздарь», г. Нытва Молотовской обл.</w:t>
            </w:r>
          </w:p>
        </w:tc>
      </w:tr>
      <w:tr w:rsidR="008127F8" w:rsidRPr="008127F8" w14:paraId="1E5EA518" w14:textId="77777777" w:rsidTr="0005046D">
        <w:tc>
          <w:tcPr>
            <w:tcW w:w="3823" w:type="dxa"/>
            <w:shd w:val="clear" w:color="auto" w:fill="auto"/>
          </w:tcPr>
          <w:p w14:paraId="64575CD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15. Завод № 592, г. Москва</w:t>
            </w:r>
          </w:p>
        </w:tc>
        <w:tc>
          <w:tcPr>
            <w:tcW w:w="3685" w:type="dxa"/>
            <w:shd w:val="clear" w:color="auto" w:fill="auto"/>
          </w:tcPr>
          <w:p w14:paraId="0691B1CC"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58CEAA9D" w14:textId="77777777" w:rsidTr="0005046D">
        <w:tc>
          <w:tcPr>
            <w:tcW w:w="3823" w:type="dxa"/>
            <w:shd w:val="clear" w:color="auto" w:fill="auto"/>
          </w:tcPr>
          <w:p w14:paraId="2FF0563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пр-во боеприпасов</w:t>
            </w:r>
          </w:p>
        </w:tc>
        <w:tc>
          <w:tcPr>
            <w:tcW w:w="3685" w:type="dxa"/>
            <w:shd w:val="clear" w:color="auto" w:fill="auto"/>
          </w:tcPr>
          <w:p w14:paraId="32288DA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паровозовагоноремонтный завод, г. Молотов</w:t>
            </w:r>
          </w:p>
        </w:tc>
      </w:tr>
      <w:tr w:rsidR="008127F8" w:rsidRPr="008127F8" w14:paraId="6B1C9F0B" w14:textId="77777777" w:rsidTr="0005046D">
        <w:tc>
          <w:tcPr>
            <w:tcW w:w="3823" w:type="dxa"/>
            <w:shd w:val="clear" w:color="auto" w:fill="auto"/>
          </w:tcPr>
          <w:p w14:paraId="0B74214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пр-во платформ к 85-мм зенитным системам</w:t>
            </w:r>
          </w:p>
        </w:tc>
        <w:tc>
          <w:tcPr>
            <w:tcW w:w="3685" w:type="dxa"/>
            <w:shd w:val="clear" w:color="auto" w:fill="auto"/>
          </w:tcPr>
          <w:p w14:paraId="012E5FC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13 НКВ (бывший механический завод НК местной промышленности РСФСР), пос. Усть-Котов Челябинской обл.</w:t>
            </w:r>
          </w:p>
        </w:tc>
      </w:tr>
      <w:tr w:rsidR="008127F8" w:rsidRPr="008127F8" w14:paraId="6716CD4C" w14:textId="77777777" w:rsidTr="0005046D">
        <w:tc>
          <w:tcPr>
            <w:tcW w:w="3823" w:type="dxa"/>
            <w:shd w:val="clear" w:color="auto" w:fill="auto"/>
          </w:tcPr>
          <w:p w14:paraId="440E55B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74FB486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площади завода Строймеханизация, г. Саратов</w:t>
            </w:r>
          </w:p>
        </w:tc>
      </w:tr>
      <w:tr w:rsidR="008127F8" w:rsidRPr="008127F8" w14:paraId="63253FE3" w14:textId="77777777" w:rsidTr="0005046D">
        <w:tc>
          <w:tcPr>
            <w:tcW w:w="3823" w:type="dxa"/>
            <w:shd w:val="clear" w:color="auto" w:fill="auto"/>
          </w:tcPr>
          <w:p w14:paraId="70CEC9E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16. Завод № 8, г. Калининград (ныне г. Королев) Московской обл.</w:t>
            </w:r>
          </w:p>
        </w:tc>
        <w:tc>
          <w:tcPr>
            <w:tcW w:w="3685" w:type="dxa"/>
            <w:shd w:val="clear" w:color="auto" w:fill="auto"/>
          </w:tcPr>
          <w:p w14:paraId="482589D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5E55E58C" w14:textId="77777777" w:rsidTr="0005046D">
        <w:tc>
          <w:tcPr>
            <w:tcW w:w="3823" w:type="dxa"/>
            <w:shd w:val="clear" w:color="auto" w:fill="auto"/>
          </w:tcPr>
          <w:p w14:paraId="2710D84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пр-во 25-мм зенитных автоматов</w:t>
            </w:r>
          </w:p>
        </w:tc>
        <w:tc>
          <w:tcPr>
            <w:tcW w:w="3685" w:type="dxa"/>
            <w:shd w:val="clear" w:color="auto" w:fill="auto"/>
          </w:tcPr>
          <w:p w14:paraId="4C47174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172 НКВ, г. Молотов</w:t>
            </w:r>
          </w:p>
        </w:tc>
      </w:tr>
      <w:tr w:rsidR="008127F8" w:rsidRPr="008127F8" w14:paraId="597A6E7E" w14:textId="77777777" w:rsidTr="0005046D">
        <w:tc>
          <w:tcPr>
            <w:tcW w:w="3823" w:type="dxa"/>
            <w:shd w:val="clear" w:color="auto" w:fill="auto"/>
          </w:tcPr>
          <w:p w14:paraId="20542060"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пр-во 85-мм зенитных пушек</w:t>
            </w:r>
          </w:p>
        </w:tc>
        <w:tc>
          <w:tcPr>
            <w:tcW w:w="3685" w:type="dxa"/>
            <w:shd w:val="clear" w:color="auto" w:fill="auto"/>
          </w:tcPr>
          <w:p w14:paraId="566AC7A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Станкостроя НКтяжмаша, г. Свердловск</w:t>
            </w:r>
          </w:p>
        </w:tc>
      </w:tr>
      <w:tr w:rsidR="008127F8" w:rsidRPr="008127F8" w14:paraId="0033BA6B" w14:textId="77777777" w:rsidTr="0005046D">
        <w:tc>
          <w:tcPr>
            <w:tcW w:w="3823" w:type="dxa"/>
            <w:shd w:val="clear" w:color="auto" w:fill="auto"/>
          </w:tcPr>
          <w:p w14:paraId="48EDB84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пр-во 45-мм танковых и морских систем</w:t>
            </w:r>
          </w:p>
        </w:tc>
        <w:tc>
          <w:tcPr>
            <w:tcW w:w="3685" w:type="dxa"/>
            <w:shd w:val="clear" w:color="auto" w:fill="auto"/>
          </w:tcPr>
          <w:p w14:paraId="62C37A3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235 НКВ, г. Воткинск</w:t>
            </w:r>
          </w:p>
        </w:tc>
      </w:tr>
      <w:tr w:rsidR="008127F8" w:rsidRPr="008127F8" w14:paraId="311C006A" w14:textId="77777777" w:rsidTr="0005046D">
        <w:tc>
          <w:tcPr>
            <w:tcW w:w="3823" w:type="dxa"/>
            <w:shd w:val="clear" w:color="auto" w:fill="auto"/>
          </w:tcPr>
          <w:p w14:paraId="5B833DB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17. Завод № 38, г. Тула </w:t>
            </w:r>
          </w:p>
        </w:tc>
        <w:tc>
          <w:tcPr>
            <w:tcW w:w="3685" w:type="dxa"/>
            <w:shd w:val="clear" w:color="auto" w:fill="auto"/>
          </w:tcPr>
          <w:p w14:paraId="54E35AB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0D80FB1B" w14:textId="77777777" w:rsidTr="0005046D">
        <w:tc>
          <w:tcPr>
            <w:tcW w:w="3823" w:type="dxa"/>
            <w:shd w:val="clear" w:color="auto" w:fill="auto"/>
          </w:tcPr>
          <w:p w14:paraId="1A48A57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пр-во биметалла</w:t>
            </w:r>
          </w:p>
        </w:tc>
        <w:tc>
          <w:tcPr>
            <w:tcW w:w="3685" w:type="dxa"/>
            <w:shd w:val="clear" w:color="auto" w:fill="auto"/>
          </w:tcPr>
          <w:p w14:paraId="7001BB7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Нытвенский завод НКчермета, Молотовская обл.</w:t>
            </w:r>
          </w:p>
        </w:tc>
      </w:tr>
      <w:tr w:rsidR="008127F8" w:rsidRPr="008127F8" w14:paraId="78ABF8EE" w14:textId="77777777" w:rsidTr="0005046D">
        <w:tc>
          <w:tcPr>
            <w:tcW w:w="3823" w:type="dxa"/>
            <w:shd w:val="clear" w:color="auto" w:fill="auto"/>
          </w:tcPr>
          <w:p w14:paraId="282DE37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пр-во патронов ППТ и «Наган»</w:t>
            </w:r>
          </w:p>
        </w:tc>
        <w:tc>
          <w:tcPr>
            <w:tcW w:w="3685" w:type="dxa"/>
            <w:shd w:val="clear" w:color="auto" w:fill="auto"/>
          </w:tcPr>
          <w:p w14:paraId="037D4AD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механический завод НКместпрома РСФСР, пос. Юрюзань Челябинской обл.</w:t>
            </w:r>
          </w:p>
        </w:tc>
      </w:tr>
      <w:tr w:rsidR="008127F8" w:rsidRPr="008127F8" w14:paraId="0FF78823" w14:textId="77777777" w:rsidTr="0005046D">
        <w:tc>
          <w:tcPr>
            <w:tcW w:w="3823" w:type="dxa"/>
            <w:shd w:val="clear" w:color="auto" w:fill="auto"/>
          </w:tcPr>
          <w:p w14:paraId="7879CDD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пр-во гильз «Шкас» и легкой пули</w:t>
            </w:r>
          </w:p>
        </w:tc>
        <w:tc>
          <w:tcPr>
            <w:tcW w:w="3685" w:type="dxa"/>
            <w:shd w:val="clear" w:color="auto" w:fill="auto"/>
          </w:tcPr>
          <w:p w14:paraId="73DA122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541 НКВ, г. Челябинск</w:t>
            </w:r>
          </w:p>
        </w:tc>
      </w:tr>
      <w:tr w:rsidR="008127F8" w:rsidRPr="008127F8" w14:paraId="5FADAF8A" w14:textId="77777777" w:rsidTr="0005046D">
        <w:tc>
          <w:tcPr>
            <w:tcW w:w="3823" w:type="dxa"/>
            <w:shd w:val="clear" w:color="auto" w:fill="auto"/>
          </w:tcPr>
          <w:p w14:paraId="262E6715"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18. Завод № 352, г. Новочеркасск </w:t>
            </w:r>
          </w:p>
        </w:tc>
        <w:tc>
          <w:tcPr>
            <w:tcW w:w="3685" w:type="dxa"/>
            <w:shd w:val="clear" w:color="auto" w:fill="auto"/>
          </w:tcPr>
          <w:p w14:paraId="5D35453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172 НКВ, г. Молотов</w:t>
            </w:r>
          </w:p>
        </w:tc>
      </w:tr>
      <w:tr w:rsidR="008127F8" w:rsidRPr="008127F8" w14:paraId="23846447" w14:textId="77777777" w:rsidTr="0005046D">
        <w:tc>
          <w:tcPr>
            <w:tcW w:w="3823" w:type="dxa"/>
            <w:shd w:val="clear" w:color="auto" w:fill="auto"/>
          </w:tcPr>
          <w:p w14:paraId="2534296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5D265B2B"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235 НКВ, г. Воткинск</w:t>
            </w:r>
          </w:p>
        </w:tc>
      </w:tr>
      <w:tr w:rsidR="008127F8" w:rsidRPr="008127F8" w14:paraId="35BE3A78" w14:textId="77777777" w:rsidTr="0005046D">
        <w:tc>
          <w:tcPr>
            <w:tcW w:w="3823" w:type="dxa"/>
            <w:shd w:val="clear" w:color="auto" w:fill="auto"/>
          </w:tcPr>
          <w:p w14:paraId="2907C19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299AE13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221 НКВ, г. Сталинград</w:t>
            </w:r>
          </w:p>
        </w:tc>
      </w:tr>
      <w:tr w:rsidR="008127F8" w:rsidRPr="008127F8" w14:paraId="302C1201" w14:textId="77777777" w:rsidTr="0005046D">
        <w:tc>
          <w:tcPr>
            <w:tcW w:w="3823" w:type="dxa"/>
            <w:shd w:val="clear" w:color="auto" w:fill="auto"/>
          </w:tcPr>
          <w:p w14:paraId="5DD5D85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19. Завод № 188, г. Подольск </w:t>
            </w:r>
          </w:p>
        </w:tc>
        <w:tc>
          <w:tcPr>
            <w:tcW w:w="3685" w:type="dxa"/>
            <w:shd w:val="clear" w:color="auto" w:fill="auto"/>
          </w:tcPr>
          <w:p w14:paraId="6FDA98F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комбинат № 179, г. Новосибирск</w:t>
            </w:r>
          </w:p>
        </w:tc>
      </w:tr>
      <w:tr w:rsidR="008127F8" w:rsidRPr="008127F8" w14:paraId="76803292" w14:textId="77777777" w:rsidTr="0005046D">
        <w:tc>
          <w:tcPr>
            <w:tcW w:w="3823" w:type="dxa"/>
            <w:shd w:val="clear" w:color="auto" w:fill="auto"/>
          </w:tcPr>
          <w:p w14:paraId="25BB800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lastRenderedPageBreak/>
              <w:t xml:space="preserve">20. Пр-во пиротехнических патронов калибра 7,62 и 12,7 мм </w:t>
            </w:r>
          </w:p>
        </w:tc>
        <w:tc>
          <w:tcPr>
            <w:tcW w:w="3685" w:type="dxa"/>
            <w:shd w:val="clear" w:color="auto" w:fill="auto"/>
          </w:tcPr>
          <w:p w14:paraId="252AD02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524 НКВ, г. Новосибирск</w:t>
            </w:r>
          </w:p>
        </w:tc>
      </w:tr>
      <w:tr w:rsidR="008127F8" w:rsidRPr="008127F8" w14:paraId="327D8BDF" w14:textId="77777777" w:rsidTr="0005046D">
        <w:tc>
          <w:tcPr>
            <w:tcW w:w="3823" w:type="dxa"/>
            <w:shd w:val="clear" w:color="auto" w:fill="auto"/>
          </w:tcPr>
          <w:p w14:paraId="2F20F30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21. Завод № 587 (стройка), пос. Лиски Воронежской обл. </w:t>
            </w:r>
          </w:p>
        </w:tc>
        <w:tc>
          <w:tcPr>
            <w:tcW w:w="3685" w:type="dxa"/>
            <w:shd w:val="clear" w:color="auto" w:fill="auto"/>
          </w:tcPr>
          <w:p w14:paraId="1E18A4F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4 НКВ, г. Красноярск</w:t>
            </w:r>
          </w:p>
        </w:tc>
      </w:tr>
      <w:tr w:rsidR="008127F8" w:rsidRPr="008127F8" w14:paraId="4C527A9F" w14:textId="77777777" w:rsidTr="0005046D">
        <w:tc>
          <w:tcPr>
            <w:tcW w:w="3823" w:type="dxa"/>
            <w:shd w:val="clear" w:color="auto" w:fill="auto"/>
          </w:tcPr>
          <w:p w14:paraId="156BB25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22. Завод № 350 (часть), г. Ленинград </w:t>
            </w:r>
          </w:p>
        </w:tc>
        <w:tc>
          <w:tcPr>
            <w:tcW w:w="3685" w:type="dxa"/>
            <w:shd w:val="clear" w:color="auto" w:fill="auto"/>
          </w:tcPr>
          <w:p w14:paraId="5FA4B22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Инженерно-строительного и Сельскохозяйственного институтов, г. Новосибирск</w:t>
            </w:r>
          </w:p>
        </w:tc>
      </w:tr>
      <w:tr w:rsidR="008127F8" w:rsidRPr="008127F8" w14:paraId="20A735B8" w14:textId="77777777" w:rsidTr="0005046D">
        <w:tc>
          <w:tcPr>
            <w:tcW w:w="3823" w:type="dxa"/>
            <w:shd w:val="clear" w:color="auto" w:fill="auto"/>
          </w:tcPr>
          <w:p w14:paraId="13370F6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23. Завод № 355, г. Загорск Московской обл. </w:t>
            </w:r>
          </w:p>
        </w:tc>
        <w:tc>
          <w:tcPr>
            <w:tcW w:w="3685" w:type="dxa"/>
            <w:shd w:val="clear" w:color="auto" w:fill="auto"/>
          </w:tcPr>
          <w:p w14:paraId="42570D5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Томского университета, г. Томск</w:t>
            </w:r>
          </w:p>
        </w:tc>
      </w:tr>
      <w:tr w:rsidR="008127F8" w:rsidRPr="008127F8" w14:paraId="0BF0D3D6" w14:textId="77777777" w:rsidTr="0005046D">
        <w:tc>
          <w:tcPr>
            <w:tcW w:w="3823" w:type="dxa"/>
            <w:shd w:val="clear" w:color="auto" w:fill="auto"/>
          </w:tcPr>
          <w:p w14:paraId="49C4A46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24. Завод № 314, г. Тула</w:t>
            </w:r>
          </w:p>
        </w:tc>
        <w:tc>
          <w:tcPr>
            <w:tcW w:w="3685" w:type="dxa"/>
            <w:shd w:val="clear" w:color="auto" w:fill="auto"/>
          </w:tcPr>
          <w:p w14:paraId="17E3744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0266DB9F" w14:textId="77777777" w:rsidTr="0005046D">
        <w:tc>
          <w:tcPr>
            <w:tcW w:w="3823" w:type="dxa"/>
            <w:shd w:val="clear" w:color="auto" w:fill="auto"/>
          </w:tcPr>
          <w:p w14:paraId="30FB7EE0"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2-я технологическая цепочка пр-ва самозарядных винтовок</w:t>
            </w:r>
          </w:p>
        </w:tc>
        <w:tc>
          <w:tcPr>
            <w:tcW w:w="3685" w:type="dxa"/>
            <w:shd w:val="clear" w:color="auto" w:fill="auto"/>
          </w:tcPr>
          <w:p w14:paraId="3B3F31D0"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526 НКВ, г. Сталинск</w:t>
            </w:r>
          </w:p>
        </w:tc>
      </w:tr>
      <w:tr w:rsidR="008127F8" w:rsidRPr="008127F8" w14:paraId="0B1F6F8F" w14:textId="77777777" w:rsidTr="0005046D">
        <w:tc>
          <w:tcPr>
            <w:tcW w:w="3823" w:type="dxa"/>
            <w:shd w:val="clear" w:color="auto" w:fill="auto"/>
          </w:tcPr>
          <w:p w14:paraId="3F041B2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цех по пр-ву пистолетов и револьверов</w:t>
            </w:r>
          </w:p>
        </w:tc>
        <w:tc>
          <w:tcPr>
            <w:tcW w:w="3685" w:type="dxa"/>
            <w:shd w:val="clear" w:color="auto" w:fill="auto"/>
          </w:tcPr>
          <w:p w14:paraId="1B93AB4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614 НКВ, г. Саратов</w:t>
            </w:r>
          </w:p>
        </w:tc>
      </w:tr>
      <w:tr w:rsidR="008127F8" w:rsidRPr="008127F8" w14:paraId="6DD0C58D" w14:textId="77777777" w:rsidTr="0005046D">
        <w:tc>
          <w:tcPr>
            <w:tcW w:w="3823" w:type="dxa"/>
            <w:shd w:val="clear" w:color="auto" w:fill="auto"/>
          </w:tcPr>
          <w:p w14:paraId="5007787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пр-во револьверов системы «Наган»</w:t>
            </w:r>
          </w:p>
        </w:tc>
        <w:tc>
          <w:tcPr>
            <w:tcW w:w="3685" w:type="dxa"/>
            <w:shd w:val="clear" w:color="auto" w:fill="auto"/>
          </w:tcPr>
          <w:p w14:paraId="49A5844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74 НКВ, г. Ижевск</w:t>
            </w:r>
          </w:p>
        </w:tc>
      </w:tr>
      <w:tr w:rsidR="008127F8" w:rsidRPr="008127F8" w14:paraId="0270A6AF" w14:textId="77777777" w:rsidTr="0005046D">
        <w:tc>
          <w:tcPr>
            <w:tcW w:w="3823" w:type="dxa"/>
            <w:shd w:val="clear" w:color="auto" w:fill="auto"/>
          </w:tcPr>
          <w:p w14:paraId="7D3794A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часть завода</w:t>
            </w:r>
          </w:p>
        </w:tc>
        <w:tc>
          <w:tcPr>
            <w:tcW w:w="3685" w:type="dxa"/>
            <w:shd w:val="clear" w:color="auto" w:fill="auto"/>
          </w:tcPr>
          <w:p w14:paraId="584FA4C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на завод № 54 НКВ, г. Златоуст</w:t>
            </w:r>
          </w:p>
        </w:tc>
      </w:tr>
      <w:tr w:rsidR="008127F8" w:rsidRPr="008127F8" w14:paraId="6E028400" w14:textId="77777777" w:rsidTr="0005046D">
        <w:tc>
          <w:tcPr>
            <w:tcW w:w="3823" w:type="dxa"/>
            <w:shd w:val="clear" w:color="auto" w:fill="auto"/>
          </w:tcPr>
          <w:p w14:paraId="36B732E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 технологическая цепочка пр-ва самозарядных винтовок</w:t>
            </w:r>
          </w:p>
        </w:tc>
        <w:tc>
          <w:tcPr>
            <w:tcW w:w="3685" w:type="dxa"/>
            <w:shd w:val="clear" w:color="auto" w:fill="auto"/>
          </w:tcPr>
          <w:p w14:paraId="2D27E17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 на завод № 385 НКВ, г. Златоуст</w:t>
            </w:r>
          </w:p>
        </w:tc>
      </w:tr>
      <w:tr w:rsidR="008127F8" w:rsidRPr="008127F8" w14:paraId="25309D4E" w14:textId="77777777" w:rsidTr="0005046D">
        <w:tc>
          <w:tcPr>
            <w:tcW w:w="3823" w:type="dxa"/>
            <w:shd w:val="clear" w:color="auto" w:fill="auto"/>
          </w:tcPr>
          <w:p w14:paraId="718EDD0C"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е) пр-во самозарядных винтовок</w:t>
            </w:r>
          </w:p>
        </w:tc>
        <w:tc>
          <w:tcPr>
            <w:tcW w:w="3685" w:type="dxa"/>
            <w:shd w:val="clear" w:color="auto" w:fill="auto"/>
          </w:tcPr>
          <w:p w14:paraId="10C308A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е) на завод № 621 НКВ, г. Медногорск Челябинской обл.</w:t>
            </w:r>
          </w:p>
        </w:tc>
      </w:tr>
      <w:tr w:rsidR="008127F8" w:rsidRPr="008127F8" w14:paraId="568175FF" w14:textId="77777777" w:rsidTr="0005046D">
        <w:tc>
          <w:tcPr>
            <w:tcW w:w="3823" w:type="dxa"/>
            <w:shd w:val="clear" w:color="auto" w:fill="auto"/>
          </w:tcPr>
          <w:p w14:paraId="550F859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25. Завод № 221 (часть), г. Сталинград </w:t>
            </w:r>
          </w:p>
        </w:tc>
        <w:tc>
          <w:tcPr>
            <w:tcW w:w="3685" w:type="dxa"/>
            <w:shd w:val="clear" w:color="auto" w:fill="auto"/>
          </w:tcPr>
          <w:p w14:paraId="4F85AE6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строительную площадку завода «Т», ст. Юрга Новосибирской обл.</w:t>
            </w:r>
          </w:p>
        </w:tc>
      </w:tr>
      <w:tr w:rsidR="008127F8" w:rsidRPr="008127F8" w14:paraId="5224F399" w14:textId="77777777" w:rsidTr="0005046D">
        <w:tc>
          <w:tcPr>
            <w:tcW w:w="3823" w:type="dxa"/>
            <w:shd w:val="clear" w:color="auto" w:fill="auto"/>
          </w:tcPr>
          <w:p w14:paraId="3F988EC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26. Завод № 353, г. Изюм </w:t>
            </w:r>
          </w:p>
        </w:tc>
        <w:tc>
          <w:tcPr>
            <w:tcW w:w="3685" w:type="dxa"/>
            <w:shd w:val="clear" w:color="auto" w:fill="auto"/>
          </w:tcPr>
          <w:p w14:paraId="5AAA4BA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74FAD264" w14:textId="77777777" w:rsidTr="0005046D">
        <w:tc>
          <w:tcPr>
            <w:tcW w:w="3823" w:type="dxa"/>
            <w:shd w:val="clear" w:color="auto" w:fill="auto"/>
          </w:tcPr>
          <w:p w14:paraId="6EA21BA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механическая часть</w:t>
            </w:r>
          </w:p>
        </w:tc>
        <w:tc>
          <w:tcPr>
            <w:tcW w:w="3685" w:type="dxa"/>
            <w:shd w:val="clear" w:color="auto" w:fill="auto"/>
          </w:tcPr>
          <w:p w14:paraId="5C0CE00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Силикатного техникума, г. Томск Новосибирской обл.</w:t>
            </w:r>
          </w:p>
        </w:tc>
      </w:tr>
      <w:tr w:rsidR="008127F8" w:rsidRPr="008127F8" w14:paraId="1768F160" w14:textId="77777777" w:rsidTr="0005046D">
        <w:tc>
          <w:tcPr>
            <w:tcW w:w="3823" w:type="dxa"/>
            <w:shd w:val="clear" w:color="auto" w:fill="auto"/>
          </w:tcPr>
          <w:p w14:paraId="5566377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стекловаренная часть</w:t>
            </w:r>
          </w:p>
        </w:tc>
        <w:tc>
          <w:tcPr>
            <w:tcW w:w="3685" w:type="dxa"/>
            <w:shd w:val="clear" w:color="auto" w:fill="auto"/>
          </w:tcPr>
          <w:p w14:paraId="4D6ADB3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«Красный гигант», ст. Ночка Пензенской ж.д.</w:t>
            </w:r>
          </w:p>
        </w:tc>
      </w:tr>
      <w:tr w:rsidR="008127F8" w:rsidRPr="008127F8" w14:paraId="363E4775" w14:textId="77777777" w:rsidTr="0005046D">
        <w:tc>
          <w:tcPr>
            <w:tcW w:w="3823" w:type="dxa"/>
            <w:shd w:val="clear" w:color="auto" w:fill="auto"/>
          </w:tcPr>
          <w:p w14:paraId="3000B74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27. Завод № 357, г. Ленинград </w:t>
            </w:r>
          </w:p>
        </w:tc>
        <w:tc>
          <w:tcPr>
            <w:tcW w:w="3685" w:type="dxa"/>
            <w:shd w:val="clear" w:color="auto" w:fill="auto"/>
          </w:tcPr>
          <w:p w14:paraId="268422F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Сельскохозяйственного и Ветеринарного институтов, г. Омск</w:t>
            </w:r>
          </w:p>
        </w:tc>
      </w:tr>
      <w:tr w:rsidR="008127F8" w:rsidRPr="008127F8" w14:paraId="6156CC70" w14:textId="77777777" w:rsidTr="0005046D">
        <w:tc>
          <w:tcPr>
            <w:tcW w:w="3823" w:type="dxa"/>
            <w:shd w:val="clear" w:color="auto" w:fill="auto"/>
          </w:tcPr>
          <w:p w14:paraId="0E48124C"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28. Завод № 354, г. Ленинград </w:t>
            </w:r>
          </w:p>
        </w:tc>
        <w:tc>
          <w:tcPr>
            <w:tcW w:w="3685" w:type="dxa"/>
            <w:shd w:val="clear" w:color="auto" w:fill="auto"/>
          </w:tcPr>
          <w:p w14:paraId="7DF2A95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«Красный гигант», ст. Ночка Пензенской ж.д.</w:t>
            </w:r>
          </w:p>
        </w:tc>
      </w:tr>
      <w:tr w:rsidR="008127F8" w:rsidRPr="008127F8" w14:paraId="29163640" w14:textId="77777777" w:rsidTr="0005046D">
        <w:tc>
          <w:tcPr>
            <w:tcW w:w="3823" w:type="dxa"/>
            <w:shd w:val="clear" w:color="auto" w:fill="auto"/>
          </w:tcPr>
          <w:p w14:paraId="59EDC51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29. Завод № 356, г. </w:t>
            </w:r>
            <w:proofErr w:type="gramStart"/>
            <w:r w:rsidRPr="008127F8">
              <w:rPr>
                <w:rFonts w:ascii="Times New Roman" w:eastAsia="Times New Roman" w:hAnsi="Times New Roman"/>
                <w:color w:val="000000" w:themeColor="text1"/>
                <w:sz w:val="16"/>
                <w:szCs w:val="16"/>
              </w:rPr>
              <w:t>Москва</w:t>
            </w:r>
            <w:proofErr w:type="gramEnd"/>
            <w:r w:rsidRPr="008127F8">
              <w:rPr>
                <w:rFonts w:ascii="Times New Roman" w:eastAsia="Times New Roman" w:hAnsi="Times New Roman"/>
                <w:color w:val="000000" w:themeColor="text1"/>
                <w:sz w:val="16"/>
                <w:szCs w:val="16"/>
              </w:rPr>
              <w:t xml:space="preserve"> На кондитерскую фабрику и строящийся рядом кондитерский комбинат НКпищепома СССР, г. Свердловск</w:t>
            </w:r>
          </w:p>
        </w:tc>
        <w:tc>
          <w:tcPr>
            <w:tcW w:w="3685" w:type="dxa"/>
            <w:shd w:val="clear" w:color="auto" w:fill="auto"/>
          </w:tcPr>
          <w:p w14:paraId="11B00756"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60497BC0" w14:textId="77777777" w:rsidTr="0005046D">
        <w:tc>
          <w:tcPr>
            <w:tcW w:w="3823" w:type="dxa"/>
            <w:shd w:val="clear" w:color="auto" w:fill="auto"/>
          </w:tcPr>
          <w:p w14:paraId="542BFE1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30. Завод № 460, г. Подольск Московской обл. </w:t>
            </w:r>
          </w:p>
        </w:tc>
        <w:tc>
          <w:tcPr>
            <w:tcW w:w="3685" w:type="dxa"/>
            <w:shd w:val="clear" w:color="auto" w:fill="auto"/>
          </w:tcPr>
          <w:p w14:paraId="36BF346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r>
      <w:tr w:rsidR="008127F8" w:rsidRPr="008127F8" w14:paraId="0B2F7D8A" w14:textId="77777777" w:rsidTr="0005046D">
        <w:tc>
          <w:tcPr>
            <w:tcW w:w="3823" w:type="dxa"/>
            <w:shd w:val="clear" w:color="auto" w:fill="auto"/>
          </w:tcPr>
          <w:p w14:paraId="7E1D6105"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пр-во иголок к швейным машинам</w:t>
            </w:r>
          </w:p>
        </w:tc>
        <w:tc>
          <w:tcPr>
            <w:tcW w:w="3685" w:type="dxa"/>
            <w:shd w:val="clear" w:color="auto" w:fill="auto"/>
          </w:tcPr>
          <w:p w14:paraId="481FE8B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авторемонтных мастерских, г. Кокчетав Северо-Казахстанской обл.</w:t>
            </w:r>
          </w:p>
        </w:tc>
      </w:tr>
      <w:tr w:rsidR="008127F8" w:rsidRPr="008127F8" w14:paraId="781AE5C7" w14:textId="77777777" w:rsidTr="0005046D">
        <w:tc>
          <w:tcPr>
            <w:tcW w:w="3823" w:type="dxa"/>
            <w:shd w:val="clear" w:color="auto" w:fill="auto"/>
          </w:tcPr>
          <w:p w14:paraId="37EFCE6E"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пр-во боеприпасов</w:t>
            </w:r>
          </w:p>
        </w:tc>
        <w:tc>
          <w:tcPr>
            <w:tcW w:w="3685" w:type="dxa"/>
            <w:shd w:val="clear" w:color="auto" w:fill="auto"/>
          </w:tcPr>
          <w:p w14:paraId="05CF2DC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костный завод НКместпрома РСФСР, пос. Арти Свердловской обл.</w:t>
            </w:r>
          </w:p>
        </w:tc>
      </w:tr>
      <w:tr w:rsidR="008127F8" w:rsidRPr="008127F8" w14:paraId="7D8F4B86" w14:textId="77777777" w:rsidTr="0005046D">
        <w:tc>
          <w:tcPr>
            <w:tcW w:w="3823" w:type="dxa"/>
            <w:shd w:val="clear" w:color="auto" w:fill="auto"/>
          </w:tcPr>
          <w:p w14:paraId="3AEE0AF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пр-во самозарядной винтовки</w:t>
            </w:r>
          </w:p>
        </w:tc>
        <w:tc>
          <w:tcPr>
            <w:tcW w:w="3685" w:type="dxa"/>
            <w:shd w:val="clear" w:color="auto" w:fill="auto"/>
          </w:tcPr>
          <w:p w14:paraId="592863F3"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завод № 235 НКВ, г. Воткинск</w:t>
            </w:r>
          </w:p>
        </w:tc>
      </w:tr>
      <w:tr w:rsidR="008127F8" w:rsidRPr="008127F8" w14:paraId="242E4F8A" w14:textId="77777777" w:rsidTr="0005046D">
        <w:tc>
          <w:tcPr>
            <w:tcW w:w="3823" w:type="dxa"/>
            <w:shd w:val="clear" w:color="auto" w:fill="auto"/>
          </w:tcPr>
          <w:p w14:paraId="7D51433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пр-во средств воспламенения</w:t>
            </w:r>
          </w:p>
        </w:tc>
        <w:tc>
          <w:tcPr>
            <w:tcW w:w="3685" w:type="dxa"/>
            <w:shd w:val="clear" w:color="auto" w:fill="auto"/>
          </w:tcPr>
          <w:p w14:paraId="318DB38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г) на завод № 74 НКВ, г. Ижевск</w:t>
            </w:r>
          </w:p>
        </w:tc>
      </w:tr>
      <w:tr w:rsidR="008127F8" w:rsidRPr="008127F8" w14:paraId="421BB793" w14:textId="77777777" w:rsidTr="0005046D">
        <w:tc>
          <w:tcPr>
            <w:tcW w:w="3823" w:type="dxa"/>
            <w:shd w:val="clear" w:color="auto" w:fill="auto"/>
          </w:tcPr>
          <w:p w14:paraId="1FAE2BC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77D1AE6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д) на завод № 74 НКВ, г. Ижевск</w:t>
            </w:r>
          </w:p>
        </w:tc>
      </w:tr>
      <w:tr w:rsidR="008127F8" w:rsidRPr="008127F8" w14:paraId="66AB2F4C" w14:textId="77777777" w:rsidTr="0005046D">
        <w:tc>
          <w:tcPr>
            <w:tcW w:w="3823" w:type="dxa"/>
            <w:shd w:val="clear" w:color="auto" w:fill="auto"/>
          </w:tcPr>
          <w:p w14:paraId="3C5E517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09679AD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е) на завод № 54 НКВ, г. Златоуст</w:t>
            </w:r>
          </w:p>
        </w:tc>
      </w:tr>
      <w:tr w:rsidR="008127F8" w:rsidRPr="008127F8" w14:paraId="43133FE0" w14:textId="77777777" w:rsidTr="0005046D">
        <w:tc>
          <w:tcPr>
            <w:tcW w:w="3823" w:type="dxa"/>
            <w:shd w:val="clear" w:color="auto" w:fill="auto"/>
          </w:tcPr>
          <w:p w14:paraId="50425B9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31. Завод № 217 (пр-во прицелов), г. Москва </w:t>
            </w:r>
          </w:p>
        </w:tc>
        <w:tc>
          <w:tcPr>
            <w:tcW w:w="3685" w:type="dxa"/>
            <w:shd w:val="clear" w:color="auto" w:fill="auto"/>
          </w:tcPr>
          <w:p w14:paraId="1CC16A2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Свердловского университета и Пединститута, г. Свердловск</w:t>
            </w:r>
          </w:p>
        </w:tc>
      </w:tr>
      <w:tr w:rsidR="008127F8" w:rsidRPr="008127F8" w14:paraId="6283D487" w14:textId="77777777" w:rsidTr="0005046D">
        <w:tc>
          <w:tcPr>
            <w:tcW w:w="3823" w:type="dxa"/>
            <w:shd w:val="clear" w:color="auto" w:fill="auto"/>
          </w:tcPr>
          <w:p w14:paraId="5486540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32. Завод № 371, г. Ленинград </w:t>
            </w:r>
          </w:p>
        </w:tc>
        <w:tc>
          <w:tcPr>
            <w:tcW w:w="3685" w:type="dxa"/>
            <w:shd w:val="clear" w:color="auto" w:fill="auto"/>
          </w:tcPr>
          <w:p w14:paraId="40539B9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Верхне-Салдинский завод металлоконструкций, г. Верхняя Салда</w:t>
            </w:r>
          </w:p>
        </w:tc>
      </w:tr>
      <w:tr w:rsidR="008127F8" w:rsidRPr="008127F8" w14:paraId="6EAD24B3" w14:textId="77777777" w:rsidTr="0005046D">
        <w:tc>
          <w:tcPr>
            <w:tcW w:w="3823" w:type="dxa"/>
            <w:shd w:val="clear" w:color="auto" w:fill="auto"/>
          </w:tcPr>
          <w:p w14:paraId="767D2A7D"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33. Завод № 69 (часть), г. Красногорск Московской обл. </w:t>
            </w:r>
          </w:p>
        </w:tc>
        <w:tc>
          <w:tcPr>
            <w:tcW w:w="3685" w:type="dxa"/>
            <w:shd w:val="clear" w:color="auto" w:fill="auto"/>
          </w:tcPr>
          <w:p w14:paraId="3AD3E96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площади Военно-транспортного института НКПС, г. Новосибирск</w:t>
            </w:r>
          </w:p>
        </w:tc>
      </w:tr>
      <w:tr w:rsidR="008127F8" w:rsidRPr="008127F8" w14:paraId="3239B173" w14:textId="77777777" w:rsidTr="0005046D">
        <w:tc>
          <w:tcPr>
            <w:tcW w:w="3823" w:type="dxa"/>
            <w:shd w:val="clear" w:color="auto" w:fill="auto"/>
          </w:tcPr>
          <w:p w14:paraId="0365C78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72A4AACF"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площади Красных казарм и конюшни НКО, г. Новосибирск</w:t>
            </w:r>
          </w:p>
        </w:tc>
      </w:tr>
      <w:tr w:rsidR="008127F8" w:rsidRPr="008127F8" w14:paraId="3930A0FC" w14:textId="77777777" w:rsidTr="0005046D">
        <w:tc>
          <w:tcPr>
            <w:tcW w:w="3823" w:type="dxa"/>
            <w:shd w:val="clear" w:color="auto" w:fill="auto"/>
          </w:tcPr>
          <w:p w14:paraId="6A595221"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34. ГСПИ № 7, г. Москва </w:t>
            </w:r>
          </w:p>
        </w:tc>
        <w:tc>
          <w:tcPr>
            <w:tcW w:w="3685" w:type="dxa"/>
            <w:shd w:val="clear" w:color="auto" w:fill="auto"/>
          </w:tcPr>
          <w:p w14:paraId="7FB0B585"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площади Института журналистики, г. Свердловск</w:t>
            </w:r>
          </w:p>
        </w:tc>
      </w:tr>
      <w:tr w:rsidR="008127F8" w:rsidRPr="008127F8" w14:paraId="525133C0" w14:textId="77777777" w:rsidTr="0005046D">
        <w:tc>
          <w:tcPr>
            <w:tcW w:w="3823" w:type="dxa"/>
            <w:shd w:val="clear" w:color="auto" w:fill="auto"/>
          </w:tcPr>
          <w:p w14:paraId="199CAC28"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35. Завод № 232 (артиллерийское и снарядное пр-во), г. Ленинград</w:t>
            </w:r>
          </w:p>
        </w:tc>
        <w:tc>
          <w:tcPr>
            <w:tcW w:w="3685" w:type="dxa"/>
            <w:shd w:val="clear" w:color="auto" w:fill="auto"/>
          </w:tcPr>
          <w:p w14:paraId="2A852E62"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 на завод № 221 и стройку завода «Т» НКВ, г. Сталинград</w:t>
            </w:r>
          </w:p>
        </w:tc>
      </w:tr>
      <w:tr w:rsidR="008127F8" w:rsidRPr="008127F8" w14:paraId="7EF5E12C" w14:textId="77777777" w:rsidTr="0005046D">
        <w:tc>
          <w:tcPr>
            <w:tcW w:w="3823" w:type="dxa"/>
            <w:shd w:val="clear" w:color="auto" w:fill="auto"/>
          </w:tcPr>
          <w:p w14:paraId="103B37E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4ADC42A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б) на завод № 78 НКбоеприпасов, г.Челябинск</w:t>
            </w:r>
          </w:p>
        </w:tc>
      </w:tr>
      <w:tr w:rsidR="008127F8" w:rsidRPr="008127F8" w14:paraId="3A60D20F" w14:textId="77777777" w:rsidTr="0005046D">
        <w:tc>
          <w:tcPr>
            <w:tcW w:w="3823" w:type="dxa"/>
            <w:shd w:val="clear" w:color="auto" w:fill="auto"/>
          </w:tcPr>
          <w:p w14:paraId="39CC536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p>
        </w:tc>
        <w:tc>
          <w:tcPr>
            <w:tcW w:w="3685" w:type="dxa"/>
            <w:shd w:val="clear" w:color="auto" w:fill="auto"/>
          </w:tcPr>
          <w:p w14:paraId="6EA7E749"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на строительство завода НКВ, ст. Юрга Новосибирской обл.</w:t>
            </w:r>
          </w:p>
        </w:tc>
      </w:tr>
      <w:tr w:rsidR="008127F8" w:rsidRPr="008127F8" w14:paraId="1E4D77D7" w14:textId="77777777" w:rsidTr="0005046D">
        <w:tc>
          <w:tcPr>
            <w:tcW w:w="3823" w:type="dxa"/>
            <w:shd w:val="clear" w:color="auto" w:fill="auto"/>
          </w:tcPr>
          <w:p w14:paraId="2F674AB7"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36. Завод № 345, г. Ленинград </w:t>
            </w:r>
          </w:p>
        </w:tc>
        <w:tc>
          <w:tcPr>
            <w:tcW w:w="3685" w:type="dxa"/>
            <w:shd w:val="clear" w:color="auto" w:fill="auto"/>
          </w:tcPr>
          <w:p w14:paraId="28AA09F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237 НКВ и площади Института коммунального хозяйства, г. Казань</w:t>
            </w:r>
          </w:p>
        </w:tc>
      </w:tr>
      <w:tr w:rsidR="008127F8" w:rsidRPr="008127F8" w14:paraId="30437F34" w14:textId="77777777" w:rsidTr="0005046D">
        <w:tc>
          <w:tcPr>
            <w:tcW w:w="3823" w:type="dxa"/>
            <w:shd w:val="clear" w:color="auto" w:fill="auto"/>
          </w:tcPr>
          <w:p w14:paraId="1CFB398A"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37. Завод № 393, г. Киев </w:t>
            </w:r>
          </w:p>
        </w:tc>
        <w:tc>
          <w:tcPr>
            <w:tcW w:w="3685" w:type="dxa"/>
            <w:shd w:val="clear" w:color="auto" w:fill="auto"/>
          </w:tcPr>
          <w:p w14:paraId="6CDB3314" w14:textId="77777777" w:rsidR="00011043" w:rsidRPr="008127F8" w:rsidRDefault="0001104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завод № 235 НКВ, г. Воткинск</w:t>
            </w:r>
          </w:p>
        </w:tc>
      </w:tr>
    </w:tbl>
    <w:p w14:paraId="2873A7F6"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(15980).</w:t>
      </w:r>
    </w:p>
    <w:p w14:paraId="77FF5970" w14:textId="77777777" w:rsidR="00011043" w:rsidRPr="008127F8" w:rsidRDefault="00011043" w:rsidP="001E0A84">
      <w:pPr>
        <w:spacing w:after="0" w:line="240" w:lineRule="auto"/>
        <w:jc w:val="both"/>
        <w:rPr>
          <w:rFonts w:ascii="Times New Roman" w:hAnsi="Times New Roman"/>
          <w:color w:val="000000" w:themeColor="text1"/>
          <w:sz w:val="16"/>
          <w:szCs w:val="16"/>
        </w:rPr>
      </w:pPr>
    </w:p>
    <w:p w14:paraId="1A170C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началась реэвакуация завода № 51 из Новосибирскав Москву на принадлежащую заводу № 51 территорию, которая была закончена в начале 1944 года.</w:t>
      </w:r>
    </w:p>
    <w:p w14:paraId="013664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1940 года по 1944 год гл. конструктор Поликарпов Н.Н. проектировал и строил опытные самолеты разных типов.</w:t>
      </w:r>
    </w:p>
    <w:p w14:paraId="1EB4C6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 717/к от 19 октября 1944 года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183ACA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227E93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6CF5F0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Е. Иванов</w:t>
      </w:r>
    </w:p>
    <w:p w14:paraId="32264F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Боткинский проезд, 8-й тупик</w:t>
      </w:r>
    </w:p>
    <w:p w14:paraId="02D310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76358C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7F6C6C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47D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в соответствии с приказом НКАП завод № 29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449324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Постановлением ГКО от 15 июня 1943 года за № 3587 завод в третий раз был обязан приступить к освоению и серийному производству двигателей АШ-82 уже новой </w:t>
      </w:r>
      <w:r w:rsidRPr="008127F8">
        <w:rPr>
          <w:rFonts w:ascii="Times New Roman" w:hAnsi="Times New Roman"/>
          <w:color w:val="000000" w:themeColor="text1"/>
          <w:sz w:val="16"/>
          <w:szCs w:val="16"/>
        </w:rPr>
        <w:lastRenderedPageBreak/>
        <w:t>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BEE23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59C707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43840B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Омск, Б. Хмельницкого – 281, п/я 64</w:t>
      </w:r>
    </w:p>
    <w:p w14:paraId="3BABFD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CF99639" w14:textId="77777777" w:rsidR="00E621C5" w:rsidRPr="008A2E5A" w:rsidRDefault="00E621C5" w:rsidP="00E621C5">
      <w:pPr>
        <w:spacing w:after="0" w:line="240" w:lineRule="auto"/>
        <w:jc w:val="both"/>
        <w:rPr>
          <w:rFonts w:ascii="Times New Roman" w:hAnsi="Times New Roman"/>
          <w:color w:val="0070C0"/>
          <w:sz w:val="16"/>
          <w:szCs w:val="16"/>
        </w:rPr>
      </w:pPr>
    </w:p>
    <w:p w14:paraId="6C5840C7"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в КБ-19 Наркомата авиапромышленности в Перми приступили к разработке модификации М-82 непосредственного впрыска, воспользовавшись как экспериментальным заделом, накопленным ЦИАМ и этим КБ в предвоенный период, так и результатами изучений иностранных моторов и их документации – трофейных немецких и полученных из США и Великобритании по ленд-лизу. Общее руководство разработкой осуществлял Главный конструктор КБ-19 Аркадий Дмитриевич Швецов.</w:t>
      </w:r>
    </w:p>
    <w:p w14:paraId="10BA02FD"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Непосредственный впрыск на авиамоторе М-82НВ был применен впервые в СССР, но ранее проводились опыты на ДВС другого назначения. Также использовался опыт разработки дизельных двигателей.</w:t>
      </w:r>
    </w:p>
    <w:p w14:paraId="4B115E94"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делался как модификация серийного М-82Ф, в конструкцию которого поэтапно были введены следующие изменения:</w:t>
      </w:r>
    </w:p>
    <w:p w14:paraId="74663638"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карбюратор заменен агрегатом непосредственного впрыска топлива;</w:t>
      </w:r>
    </w:p>
    <w:p w14:paraId="103AF61C"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механизм газораспределения с впускными и выпускными клапанами обеспечивает впуск только воздуха в цилиндры и выпуск продуктов сгорания, топливо в цилиндры подается форсунками </w:t>
      </w:r>
      <w:proofErr w:type="gramStart"/>
      <w:r w:rsidRPr="008A2E5A">
        <w:rPr>
          <w:rFonts w:ascii="Times New Roman" w:hAnsi="Times New Roman"/>
          <w:color w:val="0070C0"/>
          <w:sz w:val="16"/>
          <w:szCs w:val="16"/>
        </w:rPr>
        <w:t>топливо-воздушная</w:t>
      </w:r>
      <w:proofErr w:type="gramEnd"/>
      <w:r w:rsidRPr="008A2E5A">
        <w:rPr>
          <w:rFonts w:ascii="Times New Roman" w:hAnsi="Times New Roman"/>
          <w:color w:val="0070C0"/>
          <w:sz w:val="16"/>
          <w:szCs w:val="16"/>
        </w:rPr>
        <w:t xml:space="preserve"> смесь образуется непосредственно в цилиндрах, что повысило КПД мотора;</w:t>
      </w:r>
    </w:p>
    <w:p w14:paraId="41005C13"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введено фланкирование зубьев неподвижной шестерни редуктора, что повысило надежность и ресурс механизма;</w:t>
      </w:r>
    </w:p>
    <w:p w14:paraId="45D91ED1"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металлический диск фрикциона передачи ПЦН заменен металлокерамическим, что улучшило сцепление, устойчивость и надежность работы передачи (24263).</w:t>
      </w:r>
    </w:p>
    <w:p w14:paraId="35801091" w14:textId="77777777" w:rsidR="00E621C5" w:rsidRPr="008A2E5A" w:rsidRDefault="00E621C5" w:rsidP="00E621C5">
      <w:pPr>
        <w:spacing w:after="0" w:line="240" w:lineRule="auto"/>
        <w:jc w:val="both"/>
        <w:rPr>
          <w:rFonts w:ascii="Times New Roman" w:hAnsi="Times New Roman"/>
          <w:color w:val="0070C0"/>
          <w:sz w:val="16"/>
          <w:szCs w:val="16"/>
        </w:rPr>
      </w:pPr>
    </w:p>
    <w:p w14:paraId="63BDB1B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года моторы М-71 почти еже</w:t>
      </w:r>
      <w:r w:rsidRPr="008127F8">
        <w:rPr>
          <w:rFonts w:ascii="Times New Roman" w:hAnsi="Times New Roman"/>
          <w:color w:val="000000" w:themeColor="text1"/>
          <w:sz w:val="16"/>
          <w:szCs w:val="16"/>
        </w:rPr>
        <w:softHyphen/>
        <w:t>месячно ставились на 100-часовые стендовые госиспытания, но долгое время их не могли закончить из-за поломок коленвала, клапанов, трещин гильз цилиндров и т.д. Карбюраторы АК-71БП также работали неудовлет</w:t>
      </w:r>
      <w:r w:rsidRPr="008127F8">
        <w:rPr>
          <w:rFonts w:ascii="Times New Roman" w:hAnsi="Times New Roman"/>
          <w:color w:val="000000" w:themeColor="text1"/>
          <w:sz w:val="16"/>
          <w:szCs w:val="16"/>
        </w:rPr>
        <w:softHyphen/>
        <w:t>ворительно. Но все же 31 августа 1942 года одному из моторов М-71 удалось закончить 100-часовое испы</w:t>
      </w:r>
      <w:r w:rsidRPr="008127F8">
        <w:rPr>
          <w:rFonts w:ascii="Times New Roman" w:hAnsi="Times New Roman"/>
          <w:color w:val="000000" w:themeColor="text1"/>
          <w:sz w:val="16"/>
          <w:szCs w:val="16"/>
        </w:rPr>
        <w:softHyphen/>
        <w:t>тание, правда, с заменой клапана вса</w:t>
      </w:r>
      <w:r w:rsidRPr="008127F8">
        <w:rPr>
          <w:rFonts w:ascii="Times New Roman" w:hAnsi="Times New Roman"/>
          <w:color w:val="000000" w:themeColor="text1"/>
          <w:sz w:val="16"/>
          <w:szCs w:val="16"/>
        </w:rPr>
        <w:softHyphen/>
        <w:t>сывания 13-го цилиндра и ручной регулировкой высотного корректора в процессе испытаний. КБ Швецова приступило к работам по форсирова</w:t>
      </w:r>
      <w:r w:rsidRPr="008127F8">
        <w:rPr>
          <w:rFonts w:ascii="Times New Roman" w:hAnsi="Times New Roman"/>
          <w:color w:val="000000" w:themeColor="text1"/>
          <w:sz w:val="16"/>
          <w:szCs w:val="16"/>
        </w:rPr>
        <w:softHyphen/>
        <w:t>нию М-71 до взлетной мощности 2200 л.с. и по установке на него на</w:t>
      </w:r>
      <w:r w:rsidRPr="008127F8">
        <w:rPr>
          <w:rFonts w:ascii="Times New Roman" w:hAnsi="Times New Roman"/>
          <w:color w:val="000000" w:themeColor="text1"/>
          <w:sz w:val="16"/>
          <w:szCs w:val="16"/>
        </w:rPr>
        <w:softHyphen/>
        <w:t>соса непосредственного впрыска (10705).</w:t>
      </w:r>
    </w:p>
    <w:p w14:paraId="7F58AA3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661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начала 1942 доводили М-36, после чего работы прекратили как бесперспективные.</w:t>
      </w:r>
    </w:p>
    <w:p w14:paraId="49484F4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Характеристики:</w:t>
      </w:r>
    </w:p>
    <w:p w14:paraId="76173EE5" w14:textId="28472251"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18-ц</w:t>
      </w:r>
      <w:r w:rsidR="00D47170" w:rsidRPr="008127F8">
        <w:rPr>
          <w:rFonts w:ascii="Times New Roman" w:hAnsi="Times New Roman"/>
          <w:color w:val="000000" w:themeColor="text1"/>
          <w:sz w:val="16"/>
          <w:szCs w:val="16"/>
        </w:rPr>
        <w:t>илин</w:t>
      </w:r>
      <w:r w:rsidRPr="008127F8">
        <w:rPr>
          <w:rFonts w:ascii="Times New Roman" w:hAnsi="Times New Roman"/>
          <w:color w:val="000000" w:themeColor="text1"/>
          <w:sz w:val="16"/>
          <w:szCs w:val="16"/>
        </w:rPr>
        <w:t>дровый, рядный У-образный, четырехтактный, водяного охлаждения, редукторный, с ПЦН;</w:t>
      </w:r>
    </w:p>
    <w:p w14:paraId="74D4D60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мощность 1600/2000 л.с. (по другим данным 2000/2250 л.с.);</w:t>
      </w:r>
    </w:p>
    <w:p w14:paraId="242451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вес 1160 кг (по проекту 1050 кг, с непосредственным впрыском 1090 кг);</w:t>
      </w:r>
    </w:p>
    <w:p w14:paraId="2061AA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степень сжатия 6,0;</w:t>
      </w:r>
    </w:p>
    <w:p w14:paraId="5DC6FE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диаметр цилиндра/ход поршня 160/190 мм (в цилиндрах с прицепными поршнями — 196,8 мм);</w:t>
      </w:r>
    </w:p>
    <w:p w14:paraId="362560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полный рабочий объем 68,73 л.</w:t>
      </w:r>
    </w:p>
    <w:p w14:paraId="52F7FC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Предполагалось использовать в проекте истребителя Таирова (11852).</w:t>
      </w:r>
    </w:p>
    <w:p w14:paraId="0EA8B8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C56690" w14:textId="77777777" w:rsidR="001652EB" w:rsidRPr="008127F8" w:rsidRDefault="001652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 были возобновлены контрольные испытания серийных самолетов в Летно-испытательном институте Наркомата авиапромышленности (ЛИИ) и НИИ ВВС Красной Армии, для которых военпреды заводов регулярно отбирали самолеты из общего потока (22828).</w:t>
      </w:r>
    </w:p>
    <w:p w14:paraId="6DFC7927" w14:textId="77777777" w:rsidR="001652EB" w:rsidRPr="008127F8" w:rsidRDefault="001652EB" w:rsidP="001E0A84">
      <w:pPr>
        <w:spacing w:after="0" w:line="240" w:lineRule="auto"/>
        <w:jc w:val="both"/>
        <w:rPr>
          <w:rFonts w:ascii="Times New Roman" w:hAnsi="Times New Roman"/>
          <w:color w:val="000000" w:themeColor="text1"/>
          <w:sz w:val="16"/>
          <w:szCs w:val="16"/>
        </w:rPr>
      </w:pPr>
    </w:p>
    <w:p w14:paraId="09C0BB04" w14:textId="77777777" w:rsidR="001652EB" w:rsidRPr="008127F8" w:rsidRDefault="001652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Генштаб Красной Армии проявил интерес к действиям тяжелых бомбардировщиков Союзников — и в США были направлены повторные запросы о закупке самолетов В-17 и В-24. Американская сторона позволила ознакомиться с ними, но продать отказалась (22872).</w:t>
      </w:r>
    </w:p>
    <w:p w14:paraId="41D34705" w14:textId="77777777" w:rsidR="001652EB" w:rsidRPr="008127F8" w:rsidRDefault="001652EB" w:rsidP="001E0A84">
      <w:pPr>
        <w:spacing w:after="0" w:line="240" w:lineRule="auto"/>
        <w:jc w:val="both"/>
        <w:rPr>
          <w:rFonts w:ascii="Times New Roman" w:hAnsi="Times New Roman"/>
          <w:color w:val="000000" w:themeColor="text1"/>
          <w:sz w:val="16"/>
          <w:szCs w:val="16"/>
        </w:rPr>
      </w:pPr>
    </w:p>
    <w:p w14:paraId="14BF7B9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официально прекратили работы над АМ-35АНВ, вариант АМ-35А с непосредственным впрыском топли</w:t>
      </w:r>
      <w:r w:rsidRPr="008127F8">
        <w:rPr>
          <w:rFonts w:ascii="Times New Roman" w:hAnsi="Times New Roman"/>
          <w:color w:val="000000" w:themeColor="text1"/>
          <w:sz w:val="16"/>
          <w:szCs w:val="16"/>
        </w:rPr>
        <w:softHyphen/>
        <w:t>ва, 1200/1350 л.с., вес 870 кг. Опытный образец изготовили летом 1941 г., но не испытывали в связи с эвакуацией (11952).</w:t>
      </w:r>
    </w:p>
    <w:p w14:paraId="10F5EC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D72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состоялась профсоюзная конференция на заводе № 16</w:t>
      </w:r>
    </w:p>
    <w:p w14:paraId="5E6C38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16. Присутствовали: Лукин, директор завода; Максимов, парторг ЦК ВКП(б); Николаев, тех. инспектор ЦК союза; Щетинин, председатель завкома. Из выступлений: ...мы недодаем фронту ту программу и то количество, которое от нас требуют партия и правительство. Всему этому причиной является полнейшая расхлябанность хозяйственных и профсоюзных руководителей цехов и в целом по заводу. ...руководство завкома оторвано от масс, от выполнения заводом программы, работа завкома неудовлетворительная. Постановление: ...Работу завкома за отчетный период признать неудовлетворительной (принято единогласно). председателя ЗК профсоюза Щетинина вывести из состава ЗК. Завод №22 (11764).</w:t>
      </w:r>
    </w:p>
    <w:p w14:paraId="78CC3C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183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в гражданской авиации имелось 102 ПР-5 и 124 Р-5 (12034).</w:t>
      </w:r>
    </w:p>
    <w:p w14:paraId="5C851A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60C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в 42-й истребительный авиаполк поступили са</w:t>
      </w:r>
      <w:r w:rsidRPr="008127F8">
        <w:rPr>
          <w:rFonts w:ascii="Times New Roman" w:hAnsi="Times New Roman"/>
          <w:color w:val="000000" w:themeColor="text1"/>
          <w:sz w:val="16"/>
          <w:szCs w:val="16"/>
        </w:rPr>
        <w:softHyphen/>
        <w:t>молеты ЛаГГ-3 с 37-мм мотор-пушкой МПШ-37 (10695).</w:t>
      </w:r>
    </w:p>
    <w:p w14:paraId="0F6D27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88C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мотор-пушкой МПШ-37 был оснащен истреби</w:t>
      </w:r>
      <w:r w:rsidRPr="008127F8">
        <w:rPr>
          <w:rFonts w:ascii="Times New Roman" w:hAnsi="Times New Roman"/>
          <w:color w:val="000000" w:themeColor="text1"/>
          <w:sz w:val="16"/>
          <w:szCs w:val="16"/>
        </w:rPr>
        <w:softHyphen/>
        <w:t>тель Як-7-37 с мотором М-105ПА. Его вооружение состояло из МПШ, двух синхронных 12,7-мм пулеметов УБС и в перегрузку Шестью снарядами РС-82. Боекомплект пушки 20 снарядов. Перезарядка пушки пневматическая, спуск электрический. Взлетный |Вс Як-7-37 по сравнению с Як-7Б возрос с 3042 кг до 3235 кг, * Максимальная скорость во всем диапазоне высот уменьшилась примерно на 15 км/</w:t>
      </w:r>
      <w:proofErr w:type="gramStart"/>
      <w:r w:rsidRPr="008127F8">
        <w:rPr>
          <w:rFonts w:ascii="Times New Roman" w:hAnsi="Times New Roman"/>
          <w:color w:val="000000" w:themeColor="text1"/>
          <w:sz w:val="16"/>
          <w:szCs w:val="16"/>
        </w:rPr>
        <w:t>час.(</w:t>
      </w:r>
      <w:proofErr w:type="gramEnd"/>
      <w:r w:rsidRPr="008127F8">
        <w:rPr>
          <w:rFonts w:ascii="Times New Roman" w:hAnsi="Times New Roman"/>
          <w:color w:val="000000" w:themeColor="text1"/>
          <w:sz w:val="16"/>
          <w:szCs w:val="16"/>
        </w:rPr>
        <w:t>10695).</w:t>
      </w:r>
    </w:p>
    <w:p w14:paraId="1C5DF2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D13C8"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w:t>
      </w:r>
      <w:r w:rsidRPr="008A2E5A">
        <w:rPr>
          <w:rFonts w:ascii="Times New Roman" w:hAnsi="Times New Roman"/>
          <w:color w:val="0070C0"/>
          <w:sz w:val="16"/>
          <w:szCs w:val="16"/>
        </w:rPr>
        <w:softHyphen/>
        <w:t>ле 1942 г. на заводе №84 были изготовлены первые образцы ПВРД ДМ-4с Меркулова. Для испытаний их достави</w:t>
      </w:r>
      <w:r w:rsidRPr="008A2E5A">
        <w:rPr>
          <w:rFonts w:ascii="Times New Roman" w:hAnsi="Times New Roman"/>
          <w:color w:val="0070C0"/>
          <w:sz w:val="16"/>
          <w:szCs w:val="16"/>
        </w:rPr>
        <w:softHyphen/>
        <w:t>ли из Ташкента в Москву, где в Московском авиацион</w:t>
      </w:r>
      <w:r w:rsidRPr="008A2E5A">
        <w:rPr>
          <w:rFonts w:ascii="Times New Roman" w:hAnsi="Times New Roman"/>
          <w:color w:val="0070C0"/>
          <w:sz w:val="16"/>
          <w:szCs w:val="16"/>
        </w:rPr>
        <w:softHyphen/>
        <w:t>ном институте (МАИ) имени Серго Орджоникидзе созда</w:t>
      </w:r>
      <w:r w:rsidRPr="008A2E5A">
        <w:rPr>
          <w:rFonts w:ascii="Times New Roman" w:hAnsi="Times New Roman"/>
          <w:color w:val="0070C0"/>
          <w:sz w:val="16"/>
          <w:szCs w:val="16"/>
        </w:rPr>
        <w:softHyphen/>
        <w:t>ли стальную аэродинамическую трубу (АТ) длиной 17 м и диаметром 1 м с комплектом измерительной аппаратуры для замера параметров работы ПВРД, а также сформи</w:t>
      </w:r>
      <w:r w:rsidRPr="008A2E5A">
        <w:rPr>
          <w:rFonts w:ascii="Times New Roman" w:hAnsi="Times New Roman"/>
          <w:color w:val="0070C0"/>
          <w:sz w:val="16"/>
          <w:szCs w:val="16"/>
        </w:rPr>
        <w:softHyphen/>
        <w:t>ровали специальную экспериментально-исследователь</w:t>
      </w:r>
      <w:r w:rsidRPr="008A2E5A">
        <w:rPr>
          <w:rFonts w:ascii="Times New Roman" w:hAnsi="Times New Roman"/>
          <w:color w:val="0070C0"/>
          <w:sz w:val="16"/>
          <w:szCs w:val="16"/>
        </w:rPr>
        <w:softHyphen/>
        <w:t>скую группу. Только в августе 1942 г. ПВРД ДМ-4с успеш</w:t>
      </w:r>
      <w:r w:rsidRPr="008A2E5A">
        <w:rPr>
          <w:rFonts w:ascii="Times New Roman" w:hAnsi="Times New Roman"/>
          <w:color w:val="0070C0"/>
          <w:sz w:val="16"/>
          <w:szCs w:val="16"/>
        </w:rPr>
        <w:softHyphen/>
        <w:t>но прошли наземные испытания в трубе АТ-2 при скоро</w:t>
      </w:r>
      <w:r w:rsidRPr="008A2E5A">
        <w:rPr>
          <w:rFonts w:ascii="Times New Roman" w:hAnsi="Times New Roman"/>
          <w:color w:val="0070C0"/>
          <w:sz w:val="16"/>
          <w:szCs w:val="16"/>
        </w:rPr>
        <w:softHyphen/>
        <w:t>стях воздушного потока до 180 км/ч.</w:t>
      </w:r>
    </w:p>
    <w:p w14:paraId="7F4C9839"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результатов наземных испытаний под новую двигательную установку в ОКБ создали проект истреби</w:t>
      </w:r>
      <w:r w:rsidRPr="008A2E5A">
        <w:rPr>
          <w:rFonts w:ascii="Times New Roman" w:hAnsi="Times New Roman"/>
          <w:color w:val="0070C0"/>
          <w:sz w:val="16"/>
          <w:szCs w:val="16"/>
        </w:rPr>
        <w:softHyphen/>
        <w:t>теля-перехватчика Як-7Р, общую компоновку которого Л.М. Шехтер завершил 25 августа 1942 г. На этой маши</w:t>
      </w:r>
      <w:r w:rsidRPr="008A2E5A">
        <w:rPr>
          <w:rFonts w:ascii="Times New Roman" w:hAnsi="Times New Roman"/>
          <w:color w:val="0070C0"/>
          <w:sz w:val="16"/>
          <w:szCs w:val="16"/>
        </w:rPr>
        <w:softHyphen/>
        <w:t>не планировалось установить комбинированную силовую установку, состоящую из жидкостного реактивного двига</w:t>
      </w:r>
      <w:r w:rsidRPr="008A2E5A">
        <w:rPr>
          <w:rFonts w:ascii="Times New Roman" w:hAnsi="Times New Roman"/>
          <w:color w:val="0070C0"/>
          <w:sz w:val="16"/>
          <w:szCs w:val="16"/>
        </w:rPr>
        <w:softHyphen/>
        <w:t>теля (ЖРД) Д-1АЛ.С. Душкина с тягой 1100 кг и двух ПВРД ДМ-4с. По замыслу конструкторов ЖРД, время работы ко</w:t>
      </w:r>
      <w:r w:rsidRPr="008A2E5A">
        <w:rPr>
          <w:rFonts w:ascii="Times New Roman" w:hAnsi="Times New Roman"/>
          <w:color w:val="0070C0"/>
          <w:sz w:val="16"/>
          <w:szCs w:val="16"/>
        </w:rPr>
        <w:softHyphen/>
        <w:t>торого составляло до 200 с, должен был использоваться на этапах взлета, набора высоты и разгона (догона), а на маршевых режимах - ПВРД. Двойная силовая установка позволяла реактивному истребителю находиться в возду</w:t>
      </w:r>
      <w:r w:rsidRPr="008A2E5A">
        <w:rPr>
          <w:rFonts w:ascii="Times New Roman" w:hAnsi="Times New Roman"/>
          <w:color w:val="0070C0"/>
          <w:sz w:val="16"/>
          <w:szCs w:val="16"/>
        </w:rPr>
        <w:softHyphen/>
        <w:t>хе 25 минут и решать задачи перехвата воздушных целей в течение 10-15 минут (ограниченных запасом горюче</w:t>
      </w:r>
      <w:r w:rsidRPr="008A2E5A">
        <w:rPr>
          <w:rFonts w:ascii="Times New Roman" w:hAnsi="Times New Roman"/>
          <w:color w:val="0070C0"/>
          <w:sz w:val="16"/>
          <w:szCs w:val="16"/>
        </w:rPr>
        <w:softHyphen/>
        <w:t>го на самолете). Это было существенным шагом вперед по сравнению с реактивным ближним истребителем БИ-1 конструкции ОКБ №293, время полета которого составля</w:t>
      </w:r>
      <w:r w:rsidRPr="008A2E5A">
        <w:rPr>
          <w:rFonts w:ascii="Times New Roman" w:hAnsi="Times New Roman"/>
          <w:color w:val="0070C0"/>
          <w:sz w:val="16"/>
          <w:szCs w:val="16"/>
        </w:rPr>
        <w:softHyphen/>
        <w:t>ло всего семь минут.</w:t>
      </w:r>
    </w:p>
    <w:p w14:paraId="3878C83B"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отказом от поршневого мотора на его месте поместили кабину пилота с органами управления, при</w:t>
      </w:r>
      <w:r w:rsidRPr="008A2E5A">
        <w:rPr>
          <w:rFonts w:ascii="Times New Roman" w:hAnsi="Times New Roman"/>
          <w:color w:val="0070C0"/>
          <w:sz w:val="16"/>
          <w:szCs w:val="16"/>
        </w:rPr>
        <w:softHyphen/>
        <w:t>борами, оборудованием и вооружением, состоявшим из двух пулеметов БС с боекомплектом по 200 патронов на ствол. Центральную часть фюзеляжа отдали под баки с компонентами топлива ЖРД. Питание ПВРД осуществ</w:t>
      </w:r>
      <w:r w:rsidRPr="008A2E5A">
        <w:rPr>
          <w:rFonts w:ascii="Times New Roman" w:hAnsi="Times New Roman"/>
          <w:color w:val="0070C0"/>
          <w:sz w:val="16"/>
          <w:szCs w:val="16"/>
        </w:rPr>
        <w:softHyphen/>
        <w:t>лялось из крыльевых бензобаков. Полетный вес машины оценивался в 2910 кг, в том числе 1200 кг горючего. Высо</w:t>
      </w:r>
      <w:r w:rsidRPr="008A2E5A">
        <w:rPr>
          <w:rFonts w:ascii="Times New Roman" w:hAnsi="Times New Roman"/>
          <w:color w:val="0070C0"/>
          <w:sz w:val="16"/>
          <w:szCs w:val="16"/>
        </w:rPr>
        <w:softHyphen/>
        <w:t>ту 8000 м машина должна была набрать за 70-80 секунд, а максимальная скорость ожидалась равной 800 км/ч. Поскольку в конструкции Як-7Р максимально использо</w:t>
      </w:r>
      <w:r w:rsidRPr="008A2E5A">
        <w:rPr>
          <w:rFonts w:ascii="Times New Roman" w:hAnsi="Times New Roman"/>
          <w:color w:val="0070C0"/>
          <w:sz w:val="16"/>
          <w:szCs w:val="16"/>
        </w:rPr>
        <w:softHyphen/>
        <w:t>вали планер и агрегаты серийного истребителя Як-7Б, то при наличии реактивных двигателей выпуск таких машин можно было организовать в кратчайший срок. Отсутствие отработанных реактивных двигателей не позволило реа</w:t>
      </w:r>
      <w:r w:rsidRPr="008A2E5A">
        <w:rPr>
          <w:rFonts w:ascii="Times New Roman" w:hAnsi="Times New Roman"/>
          <w:color w:val="0070C0"/>
          <w:sz w:val="16"/>
          <w:szCs w:val="16"/>
        </w:rPr>
        <w:softHyphen/>
        <w:t>лизовать проект (23381).</w:t>
      </w:r>
    </w:p>
    <w:p w14:paraId="0CA64D4A" w14:textId="77777777" w:rsidR="00613E20" w:rsidRPr="008A2E5A" w:rsidRDefault="00613E20" w:rsidP="00613E20">
      <w:pPr>
        <w:spacing w:after="0" w:line="240" w:lineRule="auto"/>
        <w:jc w:val="both"/>
        <w:rPr>
          <w:rFonts w:ascii="Times New Roman" w:hAnsi="Times New Roman"/>
          <w:color w:val="0070C0"/>
          <w:sz w:val="16"/>
          <w:szCs w:val="16"/>
        </w:rPr>
      </w:pPr>
    </w:p>
    <w:p w14:paraId="5B3C79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началось восстановление производства, Агрегатные ремонтные мастерские, созданные 20 января 1942 г. по приказу НКАП № 51с в Москве на площадке эвакуированного завода № 34 НКАП, были преобразованы в филиал завода № 34 (завод № 34м). Директор филиала - Ю.Б. Эскин. Приказом № 464с от </w:t>
      </w:r>
      <w:r w:rsidRPr="008127F8">
        <w:rPr>
          <w:rFonts w:ascii="Times New Roman" w:hAnsi="Times New Roman"/>
          <w:color w:val="000000" w:themeColor="text1"/>
          <w:sz w:val="16"/>
          <w:szCs w:val="16"/>
        </w:rPr>
        <w:lastRenderedPageBreak/>
        <w:t>24.06.1942 г. филиал завода № 34 НКАП преобразован в новый завод № 124 при 2ГУ НКАП (Завод № 124 НКАП, Завод, НПО «Наука» МАП, АООТ, ОАО «НПО «Наука» ФАП /</w:t>
      </w:r>
      <w:proofErr w:type="gramStart"/>
      <w:r w:rsidRPr="008127F8">
        <w:rPr>
          <w:rFonts w:ascii="Times New Roman" w:hAnsi="Times New Roman"/>
          <w:color w:val="000000" w:themeColor="text1"/>
          <w:sz w:val="16"/>
          <w:szCs w:val="16"/>
        </w:rPr>
        <w:t>125124  г.</w:t>
      </w:r>
      <w:proofErr w:type="gramEnd"/>
      <w:r w:rsidRPr="008127F8">
        <w:rPr>
          <w:rFonts w:ascii="Times New Roman" w:hAnsi="Times New Roman"/>
          <w:color w:val="000000" w:themeColor="text1"/>
          <w:sz w:val="16"/>
          <w:szCs w:val="16"/>
        </w:rPr>
        <w:t xml:space="preserve"> Москва 3-я ул. Ямского Поля 14/16, вл. 2 тел. 775-31-10/). Производство водо- и маслорадиаторов.</w:t>
      </w:r>
    </w:p>
    <w:p w14:paraId="3A16F7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1E2BE5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1504F5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1947 г. начата разработка турбохолодильников, 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предприятие являлось монополистом в этой области. В 04.1953 г. первый турбохолодильник системы кондиционирования самолета запущен в серийное производство. В 1958 г. создана первая наземная установка кондиционирования вздуха для пассажирских самолетов. С 1956 г. начата разработка систем жизнеобеспечения космических кораблей.</w:t>
      </w:r>
    </w:p>
    <w:p w14:paraId="7A4262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В 08.1957 г.- в ведении 2ГУ МАП. С 12.01.1959 г. завод реорганизован в опытно- серийный. Сохранено крупносерийное производство, развивалось опытное производство. С 01.1960 г. завод и ОКБ вновь слиты в единое предприятие - опытный агрегатный завод «Наука».</w:t>
      </w:r>
    </w:p>
    <w:p w14:paraId="5FBC8F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заводу передано предприятие из системы МВД, образована вторая территория завода.</w:t>
      </w:r>
    </w:p>
    <w:p w14:paraId="5FE065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Участвовало в создании в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стартового комплекса РН «Циклон-2».</w:t>
      </w:r>
    </w:p>
    <w:p w14:paraId="3EACF7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16.02.1989 г. предприятие преобразовано в НПО «Наука». В 1990 г. в составе НПО «Наука»- Агрегатный завод «Наука» МАП. В 1993 г. НПО преобразовано в ОАО.</w:t>
      </w:r>
    </w:p>
    <w:p w14:paraId="0C9E02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Имелись (2006 г.): испытательный комплекс для испытания систем и агрегатов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w:t>
      </w:r>
    </w:p>
    <w:p w14:paraId="24D378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теплотехническое оборудование, регуляторы расхода топлива.</w:t>
      </w:r>
    </w:p>
    <w:p w14:paraId="5FD37A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(2002 г.): разработка и производство систем жизнеобеспечения (кондиционирования, автоматического регулирования давления) экипажа и пассажиров </w:t>
      </w:r>
      <w:r w:rsidRPr="008127F8">
        <w:rPr>
          <w:rFonts w:ascii="Times New Roman" w:hAnsi="Times New Roman"/>
          <w:color w:val="000000" w:themeColor="text1"/>
          <w:sz w:val="16"/>
          <w:szCs w:val="16"/>
          <w:lang w:val="en-US"/>
        </w:rPr>
        <w:t>JTA</w:t>
      </w:r>
      <w:r w:rsidRPr="008127F8">
        <w:rPr>
          <w:rFonts w:ascii="Times New Roman" w:hAnsi="Times New Roman"/>
          <w:color w:val="000000" w:themeColor="text1"/>
          <w:sz w:val="16"/>
          <w:szCs w:val="16"/>
        </w:rPr>
        <w:t>; системы теплообмена авиадвигателей;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4F0065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5D4B7D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г.)- 2000 чел.</w:t>
      </w:r>
      <w:r w:rsidRPr="008127F8">
        <w:rPr>
          <w:rFonts w:ascii="Times New Roman" w:hAnsi="Times New Roman"/>
          <w:color w:val="000000" w:themeColor="text1"/>
          <w:sz w:val="16"/>
          <w:szCs w:val="16"/>
          <w:vertAlign w:val="superscript"/>
        </w:rPr>
        <w:t>69</w:t>
      </w:r>
    </w:p>
    <w:p w14:paraId="34182E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(20.07.1942-1.03.1943 г.)- Ю.Б. Эскин, (2.03.1943-2.11.1944 г.)- Ф. Г. Нестеров, (2.11.1944- 19.04.1946 г.)- К.М. Ермолов, (19.04-9.06.1946 г.)- Ф. Г. Нестеров, (07.1946-11.1948 г.)-  Г.И. Воронин, (25.11.1948- 21.12.1951 г.)- М.М. Бондаренко, (24.12.1951-5.04.1954 г.)- Ф.А. Мелихов, (25.05.1954-1963 г.)- И.И. Румянцев, (1963-73 г.)- В.И. Сычев, (1973-84 г.-)- В.Ф. Кадышев. Гендиректор (1990-е)- И.В. Тишин, (2006 г.)- В.А. Шаповалов.</w:t>
      </w:r>
    </w:p>
    <w:p w14:paraId="1ECEAE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технический (1998-2001 г.)- В.А. Шаповалов; по маркетингу и коммерции (2006 г.)- И.В. Примашова.</w:t>
      </w:r>
    </w:p>
    <w:p w14:paraId="7A0AEB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(1961 г.)- В.В. Сычев.</w:t>
      </w:r>
    </w:p>
    <w:p w14:paraId="0FEC1D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(07.1946-11.1948; -1963-85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Воронин {21.12.1906-87}, (1985-96 г.)- И.В. Тишин, (1996- 2005 г.-)-  Г.В. Хомутов.</w:t>
      </w:r>
    </w:p>
    <w:p w14:paraId="7026F6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(1960 г.)- М.В. Золотухин.</w:t>
      </w:r>
    </w:p>
    <w:p w14:paraId="21CC43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(2006 г.)- А.Н. Афанасьев.</w:t>
      </w:r>
    </w:p>
    <w:p w14:paraId="344A4B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системы жизнеобеспечения и терморегулирования для: КА «Восток», «Восход», «Союз», «Луна», «Венера», «Марс», «Салют», «Мир», «Алмаз», «Энергия-Буран»; специальных наземных транспортных средств; системы охлаждения и кондиционирования для: А-50 (1970-е), (2006): Бе-200, Ту-334, Ан-140, Ан-74ТК- 300, Ан-148, Ту-204, Ту-214, Ил-96 (11982).</w:t>
      </w:r>
    </w:p>
    <w:p w14:paraId="213A99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85A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площадке эвакуированного завода № 487 КПГ (ГС Завод № 487 НКАП им. Коммунистической партии Германии (КПГ), Завод им. КПГ НКОМ /г. Москва/) был образован Московский филиал завода № 481 НКАП, далее вновь преобразованный в самостоятельный завод № 487 НКАП.</w:t>
      </w:r>
    </w:p>
    <w:p w14:paraId="21442D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4F8D5E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 г.)- И.П. Шебанов.</w:t>
      </w:r>
    </w:p>
    <w:p w14:paraId="7D663EDA" w14:textId="77777777" w:rsidR="0001104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56861D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487 НКАП, ОКБ-487 НКАП гл. конструктора И.П. Шебанова</w:t>
      </w:r>
    </w:p>
    <w:p w14:paraId="72254A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1B9C7C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установкам вооружения: установка ШКАС для Пе-2 и «103».</w:t>
      </w:r>
    </w:p>
    <w:p w14:paraId="5D70F6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51AF3505"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1EA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 производственных площадях эвакуированного завода № 472 был создан филиал Куйбышевского завода № 145. Он выпускал выливные авиационные приборы типа ВАП-6М, ВАП-100, ВАП-500 и ленты расчалки для оснащения самолётов фронтовой авиации.</w:t>
      </w:r>
    </w:p>
    <w:p w14:paraId="7DE555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Директором филиала завода № 145 назначен Николай Кузьмич Сорокин. Главным инженером – Иван Георгиевич Терехов. </w:t>
      </w:r>
    </w:p>
    <w:p w14:paraId="61FBC7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месяцев работы филиала № 145 Куйбышевского завода схема управления была признана слишком громоздкой и рискованной, особенно в условиях войны. Государственный Комитет Обороны принял решение о создании на базе филиала самостоятельного оборонного предприятия.</w:t>
      </w:r>
    </w:p>
    <w:p w14:paraId="131CCC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года постановлением ГКО на базе филиала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52D852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4FE91A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3CA6D3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671C5A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45B963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743386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А.Н.Туполева. Приказом министра авиапрома от 2 апреля 1946 года главным инженером предприятия назначен Василий Иванович Кузьмин.</w:t>
      </w:r>
    </w:p>
    <w:p w14:paraId="77BF85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0983C5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Аржакову,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(ОГМет), а также инструментальный отдел. Кроме этого, была создана рентгеновская лаборатория ОГМет, реконструирован участок сборки узлов цеха № 15.</w:t>
      </w:r>
    </w:p>
    <w:p w14:paraId="1F35E4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1950 года по инициативе Михаила Аржакова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w:t>
      </w:r>
      <w:r w:rsidRPr="008127F8">
        <w:rPr>
          <w:rFonts w:ascii="Times New Roman" w:hAnsi="Times New Roman"/>
          <w:color w:val="000000" w:themeColor="text1"/>
          <w:sz w:val="16"/>
          <w:szCs w:val="16"/>
        </w:rPr>
        <w:lastRenderedPageBreak/>
        <w:t>чайно-кофейный сервиз, впоследствии удостоившийся государственного Знака качества.</w:t>
      </w:r>
    </w:p>
    <w:p w14:paraId="718F03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1681F6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турельных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12D30C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w:t>
      </w:r>
      <w:proofErr w:type="gramStart"/>
      <w:r w:rsidRPr="008127F8">
        <w:rPr>
          <w:rFonts w:ascii="Times New Roman" w:hAnsi="Times New Roman"/>
          <w:color w:val="000000" w:themeColor="text1"/>
          <w:sz w:val="16"/>
          <w:szCs w:val="16"/>
        </w:rPr>
        <w:t>ракет</w:t>
      </w:r>
      <w:proofErr w:type="gramEnd"/>
      <w:r w:rsidRPr="008127F8">
        <w:rPr>
          <w:rFonts w:ascii="Times New Roman" w:hAnsi="Times New Roman"/>
          <w:color w:val="000000" w:themeColor="text1"/>
          <w:sz w:val="16"/>
          <w:szCs w:val="16"/>
        </w:rPr>
        <w:t xml:space="preserve"> в частности.</w:t>
      </w:r>
    </w:p>
    <w:p w14:paraId="4596D9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471618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35A62F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Едидович,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4366D3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5AD6F7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Аржаковым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03D60F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462564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Аржакова в 1958 году был введён в строй отдельный цех ТНП, где началось серийное производство чайно-кофейных сервизов. </w:t>
      </w:r>
    </w:p>
    <w:p w14:paraId="239602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Рувимович Бисноват. </w:t>
      </w:r>
    </w:p>
    <w:p w14:paraId="4CE999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38BA35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5A9AC9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7F1FAC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7D2B52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021710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1968 года главным инженером завода стал Николай Сергеевич Жучков.</w:t>
      </w:r>
    </w:p>
    <w:p w14:paraId="49F20F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60-х годов коллектив КМЗ освоил производство ряда ракет класса «воздух-воздух» - Р-40, Р-40Д, Р-40Д1.</w:t>
      </w:r>
    </w:p>
    <w:p w14:paraId="66429C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пеногерметики. </w:t>
      </w:r>
    </w:p>
    <w:p w14:paraId="24881C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14B77B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5E09F2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расширению возможностей управляемых ракет шли в нескольких направлениях. В 1972 году инженеры ОКБ приступили к созданию 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E9611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году главным конструктором ОКБ назначен доктор технических наук Виктор Никифорович Бугайский,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1E179B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0AB817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5359B7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рентгеноконтроля, складские помещения. Началось оснащение предприятия новейшими станками с числовым программным управлением (ЧПУ),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33E738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486758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3FC1F7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0F3A55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w:t>
      </w:r>
      <w:r w:rsidRPr="008127F8">
        <w:rPr>
          <w:rFonts w:ascii="Times New Roman" w:hAnsi="Times New Roman"/>
          <w:color w:val="000000" w:themeColor="text1"/>
          <w:sz w:val="16"/>
          <w:szCs w:val="16"/>
        </w:rPr>
        <w:lastRenderedPageBreak/>
        <w:t>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4BFBEA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1A5C4E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6235CF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45605336" w14:textId="77777777" w:rsidR="00D91C13" w:rsidRPr="008127F8" w:rsidRDefault="00D91C13" w:rsidP="001E0A84">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1B651C35" w14:textId="77777777" w:rsidR="00D91C13" w:rsidRPr="008127F8" w:rsidRDefault="00D91C13" w:rsidP="001E0A84">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возможность формирования в строевых частях необходимого облика ракеты;</w:t>
      </w:r>
    </w:p>
    <w:p w14:paraId="10F7CBB6" w14:textId="77777777" w:rsidR="00D91C13" w:rsidRPr="008127F8" w:rsidRDefault="00D91C13" w:rsidP="001E0A84">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0D4ED0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2398C8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были сформированы три варианта модульной ракеты Х-25М:</w:t>
      </w:r>
    </w:p>
    <w:p w14:paraId="373E69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706896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Х-25МЛ – многоцелевая ракета с лазерной ГСН;</w:t>
      </w:r>
    </w:p>
    <w:p w14:paraId="776803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Х-25МР – многоцелевая ракета с радиокомандной аппаратурой наведения.</w:t>
      </w:r>
    </w:p>
    <w:p w14:paraId="6C5710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отработанны другой конструкторской школой, предприятие к весне 1981 года выпустило и сдало заказчику необходимую партию ракет.</w:t>
      </w:r>
    </w:p>
    <w:p w14:paraId="63169F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75FEF7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51665E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Успешные работы КПО «Стрела» в деле повышения обороноспособности страны были по достоинству оценены правительством. Указом Президиума Верховного 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5F34AE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032051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09DD57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0B7DAA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6EFF80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5AF7AE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Люнеберга. Опытно-конструкторское бюро выделено из состава объединения в самостоятельное юридическое лицо – ОКБ «Звезда».</w:t>
      </w:r>
    </w:p>
    <w:p w14:paraId="6ADB7B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010FC3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54CF0B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25EFE4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7F2D55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094431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183319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7B6671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232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завод № 117 в Чите был передан из 10ГУ в 6ГУ НКАП. По приказу № 706с от 24.11.1943 г. опытный завод № 117 переведён в Москву и с 1.11.1943 г. влит в состав завода № 23 НКАП.</w:t>
      </w:r>
    </w:p>
    <w:p w14:paraId="4F0328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июня 1938 г. вышло пост. Правительства № 116с, в соответствии с которым началось строительство завода № 117 в Киеве для ремонта авиаприборов (Завод № 117 НКАП /г. </w:t>
      </w:r>
      <w:proofErr w:type="gramStart"/>
      <w:r w:rsidRPr="008127F8">
        <w:rPr>
          <w:rFonts w:ascii="Times New Roman" w:hAnsi="Times New Roman"/>
          <w:color w:val="000000" w:themeColor="text1"/>
          <w:sz w:val="16"/>
          <w:szCs w:val="16"/>
        </w:rPr>
        <w:t>Киев;  г.</w:t>
      </w:r>
      <w:proofErr w:type="gramEnd"/>
      <w:r w:rsidRPr="008127F8">
        <w:rPr>
          <w:rFonts w:ascii="Times New Roman" w:hAnsi="Times New Roman"/>
          <w:color w:val="000000" w:themeColor="text1"/>
          <w:sz w:val="16"/>
          <w:szCs w:val="16"/>
        </w:rPr>
        <w:t xml:space="preserve"> Чита/). В 1941 г. после начала войны эвакуирован в Читу на площадку завода авиационных нормалей.</w:t>
      </w:r>
    </w:p>
    <w:p w14:paraId="472C1A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(1941-1943 г.): шасси самолетов СБ и Ил-2, фильтры, крепежные детали, втулки бомбовзрывателей, масляные воздухосистемы, мелкие детали высокой прочности.</w:t>
      </w:r>
    </w:p>
    <w:p w14:paraId="01F91F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оставшихся мощностях в Чите создан Читинский машиностроительный завод.</w:t>
      </w:r>
    </w:p>
    <w:p w14:paraId="4D4358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(08.1940 г.-)- Н.И. Жуковский, (1942 г.)- Горьковский (11982).</w:t>
      </w:r>
    </w:p>
    <w:p w14:paraId="2BA6DAE1"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70C16"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«Томагауки» продолжали поступать в СССР, но в гораздо меньших количествах — их прибыло всего 17 штук. Но машины, доставленные ранее обеспечивали как пополнение полков на фронте, так и вооружение новых частей. В январе их получила одна из эскадри</w:t>
      </w:r>
      <w:r w:rsidRPr="008A2E5A">
        <w:rPr>
          <w:rFonts w:ascii="Times New Roman" w:hAnsi="Times New Roman"/>
          <w:color w:val="0070C0"/>
          <w:sz w:val="16"/>
          <w:szCs w:val="16"/>
        </w:rPr>
        <w:softHyphen/>
        <w:t xml:space="preserve">лий 20-го </w:t>
      </w:r>
      <w:proofErr w:type="gramStart"/>
      <w:r w:rsidRPr="008A2E5A">
        <w:rPr>
          <w:rFonts w:ascii="Times New Roman" w:hAnsi="Times New Roman"/>
          <w:color w:val="0070C0"/>
          <w:sz w:val="16"/>
          <w:szCs w:val="16"/>
        </w:rPr>
        <w:t>гв.иап</w:t>
      </w:r>
      <w:proofErr w:type="gramEnd"/>
      <w:r w:rsidRPr="008A2E5A">
        <w:rPr>
          <w:rFonts w:ascii="Times New Roman" w:hAnsi="Times New Roman"/>
          <w:color w:val="0070C0"/>
          <w:sz w:val="16"/>
          <w:szCs w:val="16"/>
        </w:rPr>
        <w:t>, несколько позже — весь 964-й иап (23513).</w:t>
      </w:r>
    </w:p>
    <w:p w14:paraId="04C78A87" w14:textId="77777777" w:rsidR="00E621C5" w:rsidRPr="008A2E5A" w:rsidRDefault="00E621C5" w:rsidP="00E621C5">
      <w:pPr>
        <w:spacing w:after="0" w:line="240" w:lineRule="auto"/>
        <w:jc w:val="both"/>
        <w:rPr>
          <w:rFonts w:ascii="Times New Roman" w:hAnsi="Times New Roman"/>
          <w:color w:val="0070C0"/>
          <w:sz w:val="16"/>
          <w:szCs w:val="16"/>
        </w:rPr>
      </w:pPr>
    </w:p>
    <w:p w14:paraId="761A0B0C"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года «Томагауки» продолжали поступать в нашу страну, но в гораздо меньших количест</w:t>
      </w:r>
      <w:r w:rsidRPr="008A2E5A">
        <w:rPr>
          <w:rFonts w:ascii="Times New Roman" w:hAnsi="Times New Roman"/>
          <w:color w:val="0070C0"/>
          <w:sz w:val="16"/>
          <w:szCs w:val="16"/>
        </w:rPr>
        <w:softHyphen/>
        <w:t>вах—их прибыло всего 17 штук. Из числа доставлен</w:t>
      </w:r>
      <w:r w:rsidRPr="008A2E5A">
        <w:rPr>
          <w:rFonts w:ascii="Times New Roman" w:hAnsi="Times New Roman"/>
          <w:color w:val="0070C0"/>
          <w:sz w:val="16"/>
          <w:szCs w:val="16"/>
        </w:rPr>
        <w:softHyphen/>
        <w:t>ных ранее обеспечивали как пополнение полков на фронте, так и вооружение новых частей. В январе их получила одна из эскадрилий 20-го гвардейского полка, несколько позже—весь 964-й полк. К началу 1943 го</w:t>
      </w:r>
      <w:r w:rsidRPr="008A2E5A">
        <w:rPr>
          <w:rFonts w:ascii="Times New Roman" w:hAnsi="Times New Roman"/>
          <w:color w:val="0070C0"/>
          <w:sz w:val="16"/>
          <w:szCs w:val="16"/>
        </w:rPr>
        <w:softHyphen/>
        <w:t>да на передовой «Томагауков» уже не было, а вот в ты</w:t>
      </w:r>
      <w:r w:rsidRPr="008A2E5A">
        <w:rPr>
          <w:rFonts w:ascii="Times New Roman" w:hAnsi="Times New Roman"/>
          <w:color w:val="0070C0"/>
          <w:sz w:val="16"/>
          <w:szCs w:val="16"/>
        </w:rPr>
        <w:softHyphen/>
        <w:t>лу кое-где они еще летали. В системе ПВО 27 машин дожили до победы над Германией.</w:t>
      </w:r>
    </w:p>
    <w:p w14:paraId="6026B96D"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Когда «Томагауки» вступили в бой над заснеженны</w:t>
      </w:r>
      <w:r w:rsidRPr="008A2E5A">
        <w:rPr>
          <w:rFonts w:ascii="Times New Roman" w:hAnsi="Times New Roman"/>
          <w:color w:val="0070C0"/>
          <w:sz w:val="16"/>
          <w:szCs w:val="16"/>
        </w:rPr>
        <w:softHyphen/>
        <w:t>ми просторами России, в США заводы уже вовсю вы</w:t>
      </w:r>
      <w:r w:rsidRPr="008A2E5A">
        <w:rPr>
          <w:rFonts w:ascii="Times New Roman" w:hAnsi="Times New Roman"/>
          <w:color w:val="0070C0"/>
          <w:sz w:val="16"/>
          <w:szCs w:val="16"/>
        </w:rPr>
        <w:softHyphen/>
        <w:t>пускали машины нового поколения—«Хаук» 87; англи</w:t>
      </w:r>
      <w:r w:rsidRPr="008A2E5A">
        <w:rPr>
          <w:rFonts w:ascii="Times New Roman" w:hAnsi="Times New Roman"/>
          <w:color w:val="0070C0"/>
          <w:sz w:val="16"/>
          <w:szCs w:val="16"/>
        </w:rPr>
        <w:softHyphen/>
        <w:t>чане именовали их «Киттихаук». Модернизированный истребитель имел более совершенный двигатель V-1710-39 вместо V-1710-33, обладавший лучшими вы</w:t>
      </w:r>
      <w:r w:rsidRPr="008A2E5A">
        <w:rPr>
          <w:rFonts w:ascii="Times New Roman" w:hAnsi="Times New Roman"/>
          <w:color w:val="0070C0"/>
          <w:sz w:val="16"/>
          <w:szCs w:val="16"/>
        </w:rPr>
        <w:softHyphen/>
        <w:t>сотными характеристиками и возможностью кратковре</w:t>
      </w:r>
      <w:r w:rsidRPr="008A2E5A">
        <w:rPr>
          <w:rFonts w:ascii="Times New Roman" w:hAnsi="Times New Roman"/>
          <w:color w:val="0070C0"/>
          <w:sz w:val="16"/>
          <w:szCs w:val="16"/>
        </w:rPr>
        <w:softHyphen/>
        <w:t>менного (до 5 минут) форсирования—так называемый «чрезвычайный боевой режим». Одновременно конст</w:t>
      </w:r>
      <w:r w:rsidRPr="008A2E5A">
        <w:rPr>
          <w:rFonts w:ascii="Times New Roman" w:hAnsi="Times New Roman"/>
          <w:color w:val="0070C0"/>
          <w:sz w:val="16"/>
          <w:szCs w:val="16"/>
        </w:rPr>
        <w:softHyphen/>
        <w:t>рукторы переработали весь фюзеляж. Он стал ниже, контуры его изменились, обеспечивая лучший обзор из кабины. Смещенный вверх мотор позволил укоротить стойки шасси, но одновременно вытеснил из-под капо</w:t>
      </w:r>
      <w:r w:rsidRPr="008A2E5A">
        <w:rPr>
          <w:rFonts w:ascii="Times New Roman" w:hAnsi="Times New Roman"/>
          <w:color w:val="0070C0"/>
          <w:sz w:val="16"/>
          <w:szCs w:val="16"/>
        </w:rPr>
        <w:softHyphen/>
        <w:t>та пулеметы—их все сосредоточили в крыле. Воздухо</w:t>
      </w:r>
      <w:r w:rsidRPr="008A2E5A">
        <w:rPr>
          <w:rFonts w:ascii="Times New Roman" w:hAnsi="Times New Roman"/>
          <w:color w:val="0070C0"/>
          <w:sz w:val="16"/>
          <w:szCs w:val="16"/>
        </w:rPr>
        <w:softHyphen/>
        <w:t>заборник радиатора увеличили и сдвинули к самому ко</w:t>
      </w:r>
      <w:r w:rsidRPr="008A2E5A">
        <w:rPr>
          <w:rFonts w:ascii="Times New Roman" w:hAnsi="Times New Roman"/>
          <w:color w:val="0070C0"/>
          <w:sz w:val="16"/>
          <w:szCs w:val="16"/>
        </w:rPr>
        <w:softHyphen/>
        <w:t>ку винта. Крыло, хвостовое оперение и основные агрегаты не изменились или изменились весьма незна</w:t>
      </w:r>
      <w:r w:rsidRPr="008A2E5A">
        <w:rPr>
          <w:rFonts w:ascii="Times New Roman" w:hAnsi="Times New Roman"/>
          <w:color w:val="0070C0"/>
          <w:sz w:val="16"/>
          <w:szCs w:val="16"/>
        </w:rPr>
        <w:softHyphen/>
        <w:t>чительно.</w:t>
      </w:r>
    </w:p>
    <w:p w14:paraId="48A4845B"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Такой подход позволял очень быстро поставить само</w:t>
      </w:r>
      <w:r w:rsidRPr="008A2E5A">
        <w:rPr>
          <w:rFonts w:ascii="Times New Roman" w:hAnsi="Times New Roman"/>
          <w:color w:val="0070C0"/>
          <w:sz w:val="16"/>
          <w:szCs w:val="16"/>
        </w:rPr>
        <w:softHyphen/>
        <w:t>лет на поток, хотя заранее обрекал его на сохранение большинства недостатков предшественника. Однако принцип «количество за счет качества» в преддверии большой войны возобладал и в США. Новую модифи</w:t>
      </w:r>
      <w:r w:rsidRPr="008A2E5A">
        <w:rPr>
          <w:rFonts w:ascii="Times New Roman" w:hAnsi="Times New Roman"/>
          <w:color w:val="0070C0"/>
          <w:sz w:val="16"/>
          <w:szCs w:val="16"/>
        </w:rPr>
        <w:softHyphen/>
        <w:t>кацию, P-4OD, в июне 1940 года приняли на вооруже</w:t>
      </w:r>
      <w:r w:rsidRPr="008A2E5A">
        <w:rPr>
          <w:rFonts w:ascii="Times New Roman" w:hAnsi="Times New Roman"/>
          <w:color w:val="0070C0"/>
          <w:sz w:val="16"/>
          <w:szCs w:val="16"/>
        </w:rPr>
        <w:softHyphen/>
        <w:t>ние. Еще раньше, в мае, ее заказали английские ВВС как «Киттихаук» I. P-4OD построили немного, массовым стал вариант Р-40Е, отличавшийся только шестью пулеметами вместо четырех (23545).</w:t>
      </w:r>
    </w:p>
    <w:p w14:paraId="6A767744" w14:textId="77777777" w:rsidR="00E621C5" w:rsidRPr="008A2E5A" w:rsidRDefault="00E621C5" w:rsidP="00E621C5">
      <w:pPr>
        <w:spacing w:after="0" w:line="240" w:lineRule="auto"/>
        <w:jc w:val="both"/>
        <w:rPr>
          <w:rFonts w:ascii="Times New Roman" w:hAnsi="Times New Roman"/>
          <w:color w:val="0070C0"/>
          <w:sz w:val="16"/>
          <w:szCs w:val="16"/>
        </w:rPr>
      </w:pPr>
    </w:p>
    <w:p w14:paraId="5DCA4E3B"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в НИИ ВВС Красной Армии был испытан трофейный истреби</w:t>
      </w:r>
      <w:r w:rsidRPr="008A2E5A">
        <w:rPr>
          <w:rFonts w:ascii="Times New Roman" w:hAnsi="Times New Roman"/>
          <w:color w:val="0070C0"/>
          <w:sz w:val="16"/>
          <w:szCs w:val="16"/>
        </w:rPr>
        <w:softHyphen/>
        <w:t>тель Мессершмитт Bf 109F-2. В акте за</w:t>
      </w:r>
      <w:r w:rsidRPr="008A2E5A">
        <w:rPr>
          <w:rFonts w:ascii="Times New Roman" w:hAnsi="Times New Roman"/>
          <w:color w:val="0070C0"/>
          <w:sz w:val="16"/>
          <w:szCs w:val="16"/>
        </w:rPr>
        <w:softHyphen/>
        <w:t>фиксировали, что самолет имеет скром</w:t>
      </w:r>
      <w:r w:rsidRPr="008A2E5A">
        <w:rPr>
          <w:rFonts w:ascii="Times New Roman" w:hAnsi="Times New Roman"/>
          <w:color w:val="0070C0"/>
          <w:sz w:val="16"/>
          <w:szCs w:val="16"/>
        </w:rPr>
        <w:softHyphen/>
        <w:t>ные характеристики скорости и высот</w:t>
      </w:r>
      <w:r w:rsidRPr="008A2E5A">
        <w:rPr>
          <w:rFonts w:ascii="Times New Roman" w:hAnsi="Times New Roman"/>
          <w:color w:val="0070C0"/>
          <w:sz w:val="16"/>
          <w:szCs w:val="16"/>
        </w:rPr>
        <w:softHyphen/>
        <w:t>ности - специалисты Института не смо</w:t>
      </w:r>
      <w:r w:rsidRPr="008A2E5A">
        <w:rPr>
          <w:rFonts w:ascii="Times New Roman" w:hAnsi="Times New Roman"/>
          <w:color w:val="0070C0"/>
          <w:sz w:val="16"/>
          <w:szCs w:val="16"/>
        </w:rPr>
        <w:softHyphen/>
        <w:t>гли определить нарушения регулировки нагнетателя мотора и получили зани</w:t>
      </w:r>
      <w:r w:rsidRPr="008A2E5A">
        <w:rPr>
          <w:rFonts w:ascii="Times New Roman" w:hAnsi="Times New Roman"/>
          <w:color w:val="0070C0"/>
          <w:sz w:val="16"/>
          <w:szCs w:val="16"/>
        </w:rPr>
        <w:softHyphen/>
        <w:t>женные данные, не соответствующие действительным.</w:t>
      </w:r>
    </w:p>
    <w:p w14:paraId="3528282B"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в наши руки попал и новей</w:t>
      </w:r>
      <w:r w:rsidRPr="008A2E5A">
        <w:rPr>
          <w:rFonts w:ascii="Times New Roman" w:hAnsi="Times New Roman"/>
          <w:color w:val="0070C0"/>
          <w:sz w:val="16"/>
          <w:szCs w:val="16"/>
        </w:rPr>
        <w:softHyphen/>
        <w:t>ший Bf 109G-2. И на нем испытатели определили границу высотности по мо</w:t>
      </w:r>
      <w:r w:rsidRPr="008A2E5A">
        <w:rPr>
          <w:rFonts w:ascii="Times New Roman" w:hAnsi="Times New Roman"/>
          <w:color w:val="0070C0"/>
          <w:sz w:val="16"/>
          <w:szCs w:val="16"/>
        </w:rPr>
        <w:softHyphen/>
        <w:t>тору всего 2300 м, а на то обстоятель</w:t>
      </w:r>
      <w:r w:rsidRPr="008A2E5A">
        <w:rPr>
          <w:rFonts w:ascii="Times New Roman" w:hAnsi="Times New Roman"/>
          <w:color w:val="0070C0"/>
          <w:sz w:val="16"/>
          <w:szCs w:val="16"/>
        </w:rPr>
        <w:softHyphen/>
        <w:t>ство, что граница высотности по скоро</w:t>
      </w:r>
      <w:r w:rsidRPr="008A2E5A">
        <w:rPr>
          <w:rFonts w:ascii="Times New Roman" w:hAnsi="Times New Roman"/>
          <w:color w:val="0070C0"/>
          <w:sz w:val="16"/>
          <w:szCs w:val="16"/>
        </w:rPr>
        <w:softHyphen/>
        <w:t>сти у него находилась аж на эшелоне 7000 м, не обратили внимания. Военных тогда гораздо больше волновала нижняя часть его диаграммы скоростей - у зем</w:t>
      </w:r>
      <w:r w:rsidRPr="008A2E5A">
        <w:rPr>
          <w:rFonts w:ascii="Times New Roman" w:hAnsi="Times New Roman"/>
          <w:color w:val="0070C0"/>
          <w:sz w:val="16"/>
          <w:szCs w:val="16"/>
        </w:rPr>
        <w:softHyphen/>
        <w:t>ли машина выдала 524 км/ч, что все рав</w:t>
      </w:r>
      <w:r w:rsidRPr="008A2E5A">
        <w:rPr>
          <w:rFonts w:ascii="Times New Roman" w:hAnsi="Times New Roman"/>
          <w:color w:val="0070C0"/>
          <w:sz w:val="16"/>
          <w:szCs w:val="16"/>
        </w:rPr>
        <w:softHyphen/>
        <w:t>но было существенно выше, чем у любого нашего самолета. Но имелась информа</w:t>
      </w:r>
      <w:r w:rsidRPr="008A2E5A">
        <w:rPr>
          <w:rFonts w:ascii="Times New Roman" w:hAnsi="Times New Roman"/>
          <w:color w:val="0070C0"/>
          <w:sz w:val="16"/>
          <w:szCs w:val="16"/>
        </w:rPr>
        <w:softHyphen/>
        <w:t>ция, что на Западном фронте немцы все шире применяют такой самолет именно на «потолке». Опять же, гарантии досто</w:t>
      </w:r>
      <w:r w:rsidRPr="008A2E5A">
        <w:rPr>
          <w:rFonts w:ascii="Times New Roman" w:hAnsi="Times New Roman"/>
          <w:color w:val="0070C0"/>
          <w:sz w:val="16"/>
          <w:szCs w:val="16"/>
        </w:rPr>
        <w:softHyphen/>
        <w:t>верности этих сведений не было, но они оказались правдой - противник действи</w:t>
      </w:r>
      <w:r w:rsidRPr="008A2E5A">
        <w:rPr>
          <w:rFonts w:ascii="Times New Roman" w:hAnsi="Times New Roman"/>
          <w:color w:val="0070C0"/>
          <w:sz w:val="16"/>
          <w:szCs w:val="16"/>
        </w:rPr>
        <w:softHyphen/>
        <w:t>тельно имел такие самолеты в модифика</w:t>
      </w:r>
      <w:r w:rsidRPr="008A2E5A">
        <w:rPr>
          <w:rFonts w:ascii="Times New Roman" w:hAnsi="Times New Roman"/>
          <w:color w:val="0070C0"/>
          <w:sz w:val="16"/>
          <w:szCs w:val="16"/>
        </w:rPr>
        <w:softHyphen/>
        <w:t>циях Bf 109G-1, G-3 и G-5 с гермокабиной и с устройством подпитки мотора содер</w:t>
      </w:r>
      <w:r w:rsidRPr="008A2E5A">
        <w:rPr>
          <w:rFonts w:ascii="Times New Roman" w:hAnsi="Times New Roman"/>
          <w:color w:val="0070C0"/>
          <w:sz w:val="16"/>
          <w:szCs w:val="16"/>
        </w:rPr>
        <w:softHyphen/>
        <w:t>жащей кислород «микстурой Геринга» (23396).</w:t>
      </w:r>
    </w:p>
    <w:p w14:paraId="6099C153" w14:textId="77777777" w:rsidR="00E621C5" w:rsidRPr="008A2E5A" w:rsidRDefault="00E621C5" w:rsidP="00E621C5">
      <w:pPr>
        <w:spacing w:after="0" w:line="240" w:lineRule="auto"/>
        <w:jc w:val="both"/>
        <w:rPr>
          <w:rFonts w:ascii="Times New Roman" w:hAnsi="Times New Roman"/>
          <w:color w:val="0070C0"/>
          <w:sz w:val="16"/>
          <w:szCs w:val="16"/>
        </w:rPr>
      </w:pPr>
    </w:p>
    <w:p w14:paraId="059A86D7"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года авиационный инженер Л.Г. Головин предложил построить мало</w:t>
      </w:r>
      <w:r w:rsidRPr="008A2E5A">
        <w:rPr>
          <w:rFonts w:ascii="Times New Roman" w:hAnsi="Times New Roman"/>
          <w:color w:val="0070C0"/>
          <w:sz w:val="16"/>
          <w:szCs w:val="16"/>
        </w:rPr>
        <w:softHyphen/>
        <w:t>размерный самолет войскового сопрово</w:t>
      </w:r>
      <w:r w:rsidRPr="008A2E5A">
        <w:rPr>
          <w:rFonts w:ascii="Times New Roman" w:hAnsi="Times New Roman"/>
          <w:color w:val="0070C0"/>
          <w:sz w:val="16"/>
          <w:szCs w:val="16"/>
        </w:rPr>
        <w:softHyphen/>
        <w:t>ждения, который можно считать ближай</w:t>
      </w:r>
      <w:r w:rsidRPr="008A2E5A">
        <w:rPr>
          <w:rFonts w:ascii="Times New Roman" w:hAnsi="Times New Roman"/>
          <w:color w:val="0070C0"/>
          <w:sz w:val="16"/>
          <w:szCs w:val="16"/>
        </w:rPr>
        <w:softHyphen/>
        <w:t>шим отечественным аналогом немецкой «Гадюки». По замыслам конструктора перехватчик с лежачим положением лет</w:t>
      </w:r>
      <w:r w:rsidRPr="008A2E5A">
        <w:rPr>
          <w:rFonts w:ascii="Times New Roman" w:hAnsi="Times New Roman"/>
          <w:color w:val="0070C0"/>
          <w:sz w:val="16"/>
          <w:szCs w:val="16"/>
        </w:rPr>
        <w:softHyphen/>
        <w:t>чика, оживальным крылом малого уд</w:t>
      </w:r>
      <w:r w:rsidRPr="008A2E5A">
        <w:rPr>
          <w:rFonts w:ascii="Times New Roman" w:hAnsi="Times New Roman"/>
          <w:color w:val="0070C0"/>
          <w:sz w:val="16"/>
          <w:szCs w:val="16"/>
        </w:rPr>
        <w:softHyphen/>
        <w:t>линения и твердотопливным ракетным двигателем должен был стартовать с под</w:t>
      </w:r>
      <w:r w:rsidRPr="008A2E5A">
        <w:rPr>
          <w:rFonts w:ascii="Times New Roman" w:hAnsi="Times New Roman"/>
          <w:color w:val="0070C0"/>
          <w:sz w:val="16"/>
          <w:szCs w:val="16"/>
        </w:rPr>
        <w:softHyphen/>
        <w:t>вижной пусковой установки в располо</w:t>
      </w:r>
      <w:r w:rsidRPr="008A2E5A">
        <w:rPr>
          <w:rFonts w:ascii="Times New Roman" w:hAnsi="Times New Roman"/>
          <w:color w:val="0070C0"/>
          <w:sz w:val="16"/>
          <w:szCs w:val="16"/>
        </w:rPr>
        <w:softHyphen/>
        <w:t>жении войск, охраняемых объектов или с палубы корабля.</w:t>
      </w:r>
    </w:p>
    <w:p w14:paraId="143398FC"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Впоследствии по рекомендации во</w:t>
      </w:r>
      <w:r w:rsidRPr="008A2E5A">
        <w:rPr>
          <w:rFonts w:ascii="Times New Roman" w:hAnsi="Times New Roman"/>
          <w:color w:val="0070C0"/>
          <w:sz w:val="16"/>
          <w:szCs w:val="16"/>
        </w:rPr>
        <w:softHyphen/>
        <w:t>енных это предложение доработали, и в окончательном виде цельнодеревянный перехватчик приобрел классическую компоновку с сидячим расположением пилота и пушечным вооружением. Но идея подвижного старта с наземной или корабельной установки сохранилась. По расчетам получалось, что при среднем по</w:t>
      </w:r>
      <w:r w:rsidRPr="008A2E5A">
        <w:rPr>
          <w:rFonts w:ascii="Times New Roman" w:hAnsi="Times New Roman"/>
          <w:color w:val="0070C0"/>
          <w:sz w:val="16"/>
          <w:szCs w:val="16"/>
        </w:rPr>
        <w:softHyphen/>
        <w:t>летном весе 270 кг можно было получить скорость 1060 км/ч, скороподъемность до 270 м/с и динамический потолок 7500 метров. При этом крыло удлинением 3,6 имело площадь всего 1 м2.</w:t>
      </w:r>
    </w:p>
    <w:p w14:paraId="1A80BBD7"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проект так и остался на бумаге. Экспертная комиссия посчитала, что по</w:t>
      </w:r>
      <w:r w:rsidRPr="008A2E5A">
        <w:rPr>
          <w:rFonts w:ascii="Times New Roman" w:hAnsi="Times New Roman"/>
          <w:color w:val="0070C0"/>
          <w:sz w:val="16"/>
          <w:szCs w:val="16"/>
        </w:rPr>
        <w:softHyphen/>
        <w:t>стройка машины нецелесообразна из-за малой высоты действия (5500—7500 ме</w:t>
      </w:r>
      <w:r w:rsidRPr="008A2E5A">
        <w:rPr>
          <w:rFonts w:ascii="Times New Roman" w:hAnsi="Times New Roman"/>
          <w:color w:val="0070C0"/>
          <w:sz w:val="16"/>
          <w:szCs w:val="16"/>
        </w:rPr>
        <w:softHyphen/>
        <w:t>тров), на которой сохраняла свою эффек</w:t>
      </w:r>
      <w:r w:rsidRPr="008A2E5A">
        <w:rPr>
          <w:rFonts w:ascii="Times New Roman" w:hAnsi="Times New Roman"/>
          <w:color w:val="0070C0"/>
          <w:sz w:val="16"/>
          <w:szCs w:val="16"/>
        </w:rPr>
        <w:softHyphen/>
        <w:t>тивность зенитная артиллерия (23466).</w:t>
      </w:r>
    </w:p>
    <w:p w14:paraId="57B2D4BC" w14:textId="77777777" w:rsidR="00E621C5" w:rsidRPr="008A2E5A" w:rsidRDefault="00E621C5" w:rsidP="00E621C5">
      <w:pPr>
        <w:spacing w:after="0" w:line="240" w:lineRule="auto"/>
        <w:jc w:val="both"/>
        <w:rPr>
          <w:rFonts w:ascii="Times New Roman" w:hAnsi="Times New Roman"/>
          <w:color w:val="0070C0"/>
          <w:sz w:val="16"/>
          <w:szCs w:val="16"/>
        </w:rPr>
      </w:pPr>
    </w:p>
    <w:p w14:paraId="57419196" w14:textId="77777777" w:rsidR="00613E20" w:rsidRPr="008127F8" w:rsidRDefault="00613E20" w:rsidP="00613E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в Шуаибу (Ирак) доставили первые бомбардировщики А-20 "Бостон". Это были самолеты "Бостон" III, выпущенные для англичан (3457,100).</w:t>
      </w:r>
    </w:p>
    <w:p w14:paraId="097B0588" w14:textId="77777777" w:rsidR="00613E20" w:rsidRPr="008127F8" w:rsidRDefault="00613E20" w:rsidP="00613E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FE44F" w14:textId="77777777" w:rsidR="00613E20" w:rsidRPr="008127F8" w:rsidRDefault="00613E20" w:rsidP="00613E2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года ленд-лизовские самолеты двинулись и по южному пути. Истребители и легкие бомбардировщики морем везли в Басру (Ирак) и собирали на близлежащих английских авиабазах Маргиле и Шуайба. Параллельно американская фирма "Дуглас" начала строить сборочный завод в Абадане (Иран). Вскоре часть самолетов стали доставлять в собранном виде на палубах и в трюмах переоборудованных танкеров. Обладавшие большей дальностью бомбардировщики В-25 летели своим ходом из Флориды до Бразилию, оттуда на западное побережье Африки, следовали через Ближний Восток и тоже сдавались нашим приемщикам в Абадане или Тегеране. После постройки промежуточной базы на о. Вознесения так же стали переправлять и имевшие меньший радиус действия А-20. Через Ирак и Иран поступали самолеты американского производства, предоставленные как США, так и Великобританией: истребители Р-39, Р-40, Р-47, бомбардировщики А-20 и В-25, учебные самолеты АТ-6. Последние машины из Ирана - три P-47D - перелетели в Советский Союз в феврале 1945 года (3457,57).</w:t>
      </w:r>
    </w:p>
    <w:p w14:paraId="5E36837D" w14:textId="77777777" w:rsidR="00613E20" w:rsidRPr="008127F8" w:rsidRDefault="00613E20" w:rsidP="00613E2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821E4" w14:textId="77777777" w:rsidR="00E621C5" w:rsidRPr="008A2E5A" w:rsidRDefault="00E621C5" w:rsidP="00E621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на английский аэро</w:t>
      </w:r>
      <w:r w:rsidRPr="008A2E5A">
        <w:rPr>
          <w:rFonts w:ascii="Times New Roman" w:hAnsi="Times New Roman"/>
          <w:color w:val="0070C0"/>
          <w:sz w:val="16"/>
          <w:szCs w:val="16"/>
        </w:rPr>
        <w:softHyphen/>
        <w:t>дром Маргиле для сборки доставили первые А-20, которые в полуразобран</w:t>
      </w:r>
      <w:r w:rsidRPr="008A2E5A">
        <w:rPr>
          <w:rFonts w:ascii="Times New Roman" w:hAnsi="Times New Roman"/>
          <w:color w:val="0070C0"/>
          <w:sz w:val="16"/>
          <w:szCs w:val="16"/>
        </w:rPr>
        <w:softHyphen/>
        <w:t>ном виде везли морем из США в Басру в Ираке. Это были самолеты «Бостон» III, выпущенные для англичан. В Ирак отправили советскую приемочную комиссию. Одновременно начали формировать подразделения пере</w:t>
      </w:r>
      <w:r w:rsidRPr="008A2E5A">
        <w:rPr>
          <w:rFonts w:ascii="Times New Roman" w:hAnsi="Times New Roman"/>
          <w:color w:val="0070C0"/>
          <w:sz w:val="16"/>
          <w:szCs w:val="16"/>
        </w:rPr>
        <w:softHyphen/>
        <w:t>гонщиков. 14 января 1942 г. ВВС запро</w:t>
      </w:r>
      <w:r w:rsidRPr="008A2E5A">
        <w:rPr>
          <w:rFonts w:ascii="Times New Roman" w:hAnsi="Times New Roman"/>
          <w:color w:val="0070C0"/>
          <w:sz w:val="16"/>
          <w:szCs w:val="16"/>
        </w:rPr>
        <w:softHyphen/>
        <w:t>сили у Главного управления ГВФ десять экипажей «для перегонки из Басры само</w:t>
      </w:r>
      <w:r w:rsidRPr="008A2E5A">
        <w:rPr>
          <w:rFonts w:ascii="Times New Roman" w:hAnsi="Times New Roman"/>
          <w:color w:val="0070C0"/>
          <w:sz w:val="16"/>
          <w:szCs w:val="16"/>
        </w:rPr>
        <w:softHyphen/>
        <w:t>летов Б-3». Обозначение Б-3 впоследст</w:t>
      </w:r>
      <w:r w:rsidRPr="008A2E5A">
        <w:rPr>
          <w:rFonts w:ascii="Times New Roman" w:hAnsi="Times New Roman"/>
          <w:color w:val="0070C0"/>
          <w:sz w:val="16"/>
          <w:szCs w:val="16"/>
        </w:rPr>
        <w:softHyphen/>
        <w:t>вии широко применялось как для англий</w:t>
      </w:r>
      <w:r w:rsidRPr="008A2E5A">
        <w:rPr>
          <w:rFonts w:ascii="Times New Roman" w:hAnsi="Times New Roman"/>
          <w:color w:val="0070C0"/>
          <w:sz w:val="16"/>
          <w:szCs w:val="16"/>
        </w:rPr>
        <w:softHyphen/>
        <w:t>ских «Бостонов», так и для других близких к ним модификаций. 26 января граждан</w:t>
      </w:r>
      <w:r w:rsidRPr="008A2E5A">
        <w:rPr>
          <w:rFonts w:ascii="Times New Roman" w:hAnsi="Times New Roman"/>
          <w:color w:val="0070C0"/>
          <w:sz w:val="16"/>
          <w:szCs w:val="16"/>
        </w:rPr>
        <w:softHyphen/>
        <w:t>ская авиация выделила шесть летчиков, шесть бортмехаников и шесть радистов. Еще четыре экипажа должны были при</w:t>
      </w:r>
      <w:r w:rsidRPr="008A2E5A">
        <w:rPr>
          <w:rFonts w:ascii="Times New Roman" w:hAnsi="Times New Roman"/>
          <w:color w:val="0070C0"/>
          <w:sz w:val="16"/>
          <w:szCs w:val="16"/>
        </w:rPr>
        <w:softHyphen/>
        <w:t>быть из Казани. Они отправились на юг 3 февраля. Командиром этого отряда пере</w:t>
      </w:r>
      <w:r w:rsidRPr="008A2E5A">
        <w:rPr>
          <w:rFonts w:ascii="Times New Roman" w:hAnsi="Times New Roman"/>
          <w:color w:val="0070C0"/>
          <w:sz w:val="16"/>
          <w:szCs w:val="16"/>
        </w:rPr>
        <w:softHyphen/>
        <w:t>гонщиков назначили Ф.А. Хруцкого (23513)</w:t>
      </w:r>
    </w:p>
    <w:p w14:paraId="2158E965" w14:textId="77777777" w:rsidR="00E621C5" w:rsidRPr="008A2E5A" w:rsidRDefault="00E621C5" w:rsidP="00E621C5">
      <w:pPr>
        <w:spacing w:after="0" w:line="240" w:lineRule="auto"/>
        <w:jc w:val="both"/>
        <w:rPr>
          <w:rFonts w:ascii="Times New Roman" w:hAnsi="Times New Roman"/>
          <w:color w:val="0070C0"/>
          <w:sz w:val="16"/>
          <w:szCs w:val="16"/>
        </w:rPr>
      </w:pPr>
    </w:p>
    <w:p w14:paraId="28945998" w14:textId="77777777" w:rsidR="00A01163" w:rsidRPr="008A2E5A" w:rsidRDefault="00A01163" w:rsidP="00A011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1942 г. приступили к подготовке к отправ</w:t>
      </w:r>
      <w:r w:rsidRPr="008A2E5A">
        <w:rPr>
          <w:rFonts w:ascii="Times New Roman" w:hAnsi="Times New Roman"/>
          <w:color w:val="0070C0"/>
          <w:sz w:val="16"/>
          <w:szCs w:val="16"/>
        </w:rPr>
        <w:softHyphen/>
        <w:t>ке самолетов через Ирак и Иран (послед</w:t>
      </w:r>
      <w:r w:rsidRPr="008A2E5A">
        <w:rPr>
          <w:rFonts w:ascii="Times New Roman" w:hAnsi="Times New Roman"/>
          <w:color w:val="0070C0"/>
          <w:sz w:val="16"/>
          <w:szCs w:val="16"/>
        </w:rPr>
        <w:softHyphen/>
        <w:t>ний с августа 1941 г. был оккупирован советскими и британскими войсками). Истребители и легкие бомбардировщики обычно доставлялись морем в Басру. От</w:t>
      </w:r>
      <w:r w:rsidRPr="008A2E5A">
        <w:rPr>
          <w:rFonts w:ascii="Times New Roman" w:hAnsi="Times New Roman"/>
          <w:color w:val="0070C0"/>
          <w:sz w:val="16"/>
          <w:szCs w:val="16"/>
        </w:rPr>
        <w:softHyphen/>
        <w:t>туда их перевозили на английские авиа</w:t>
      </w:r>
      <w:r w:rsidRPr="008A2E5A">
        <w:rPr>
          <w:rFonts w:ascii="Times New Roman" w:hAnsi="Times New Roman"/>
          <w:color w:val="0070C0"/>
          <w:sz w:val="16"/>
          <w:szCs w:val="16"/>
        </w:rPr>
        <w:softHyphen/>
        <w:t>базы в Ираке, где осуществлялась сборка. Сначала работали на аэродроме Маргиле, где самолеты принимала советская ко</w:t>
      </w:r>
      <w:r w:rsidRPr="008A2E5A">
        <w:rPr>
          <w:rFonts w:ascii="Times New Roman" w:hAnsi="Times New Roman"/>
          <w:color w:val="0070C0"/>
          <w:sz w:val="16"/>
          <w:szCs w:val="16"/>
        </w:rPr>
        <w:softHyphen/>
        <w:t>миссия. Ветераны этой трассы вспомина</w:t>
      </w:r>
      <w:r w:rsidRPr="008A2E5A">
        <w:rPr>
          <w:rFonts w:ascii="Times New Roman" w:hAnsi="Times New Roman"/>
          <w:color w:val="0070C0"/>
          <w:sz w:val="16"/>
          <w:szCs w:val="16"/>
        </w:rPr>
        <w:softHyphen/>
        <w:t>ли, что перед отправкой из Москвы всех, даже сержантов, переодели в обмунди</w:t>
      </w:r>
      <w:r w:rsidRPr="008A2E5A">
        <w:rPr>
          <w:rFonts w:ascii="Times New Roman" w:hAnsi="Times New Roman"/>
          <w:color w:val="0070C0"/>
          <w:sz w:val="16"/>
          <w:szCs w:val="16"/>
        </w:rPr>
        <w:softHyphen/>
        <w:t>рование из добротного сукна и выдали новые сапоги. А на месте оказалось более 30 градусов жары! Выручили английские коллеги, поделившиеся кое-чем из своего тропического обмундирования. Резуль</w:t>
      </w:r>
      <w:r w:rsidRPr="008A2E5A">
        <w:rPr>
          <w:rFonts w:ascii="Times New Roman" w:hAnsi="Times New Roman"/>
          <w:color w:val="0070C0"/>
          <w:sz w:val="16"/>
          <w:szCs w:val="16"/>
        </w:rPr>
        <w:softHyphen/>
        <w:t>тат был неописуем! На аэродроме мож</w:t>
      </w:r>
      <w:r w:rsidRPr="008A2E5A">
        <w:rPr>
          <w:rFonts w:ascii="Times New Roman" w:hAnsi="Times New Roman"/>
          <w:color w:val="0070C0"/>
          <w:sz w:val="16"/>
          <w:szCs w:val="16"/>
        </w:rPr>
        <w:softHyphen/>
        <w:t>но было увидеть советские гимнастерки длиной почти до колен и пробковые шле</w:t>
      </w:r>
      <w:r w:rsidRPr="008A2E5A">
        <w:rPr>
          <w:rFonts w:ascii="Times New Roman" w:hAnsi="Times New Roman"/>
          <w:color w:val="0070C0"/>
          <w:sz w:val="16"/>
          <w:szCs w:val="16"/>
        </w:rPr>
        <w:softHyphen/>
        <w:t>мы, майки, «колонизаторские» шорты и сапоги... В связи со спецификой к форме одежды почти не придирались, только начальство обливалось потом в своем об</w:t>
      </w:r>
      <w:r w:rsidRPr="008A2E5A">
        <w:rPr>
          <w:rFonts w:ascii="Times New Roman" w:hAnsi="Times New Roman"/>
          <w:color w:val="0070C0"/>
          <w:sz w:val="16"/>
          <w:szCs w:val="16"/>
        </w:rPr>
        <w:softHyphen/>
        <w:t>мундировании.</w:t>
      </w:r>
    </w:p>
    <w:p w14:paraId="5E3DF622" w14:textId="77777777" w:rsidR="00A01163" w:rsidRPr="008A2E5A" w:rsidRDefault="00A01163" w:rsidP="00A011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маршрут был безопаснее, но отни</w:t>
      </w:r>
      <w:r w:rsidRPr="008A2E5A">
        <w:rPr>
          <w:rFonts w:ascii="Times New Roman" w:hAnsi="Times New Roman"/>
          <w:color w:val="0070C0"/>
          <w:sz w:val="16"/>
          <w:szCs w:val="16"/>
        </w:rPr>
        <w:softHyphen/>
        <w:t>мал много времени. Только путь морем из США вокруг Африки занимал около трех месяцев.</w:t>
      </w:r>
    </w:p>
    <w:p w14:paraId="0A184EFF" w14:textId="77777777" w:rsidR="00A01163" w:rsidRPr="008A2E5A" w:rsidRDefault="00A01163" w:rsidP="00A011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1942 г. сборку перенесли в Шуайбу, на более крупную базу в 20 милях от Басры. Туда же перебралась и советская приемка. Интересно, что в апреле 1940 г. этот аэродром входил в список целей, ко</w:t>
      </w:r>
      <w:r w:rsidRPr="008A2E5A">
        <w:rPr>
          <w:rFonts w:ascii="Times New Roman" w:hAnsi="Times New Roman"/>
          <w:color w:val="0070C0"/>
          <w:sz w:val="16"/>
          <w:szCs w:val="16"/>
        </w:rPr>
        <w:softHyphen/>
        <w:t>торые собирались бомбить в случае начала конфликта с Англией и Францией. Оттуда в Абадан в Иране самолеты перегоняли английские летчики. В Абадане самолеты уже окончательно проходили советскую приемку. Процедура была следующей. Са</w:t>
      </w:r>
      <w:r w:rsidRPr="008A2E5A">
        <w:rPr>
          <w:rFonts w:ascii="Times New Roman" w:hAnsi="Times New Roman"/>
          <w:color w:val="0070C0"/>
          <w:sz w:val="16"/>
          <w:szCs w:val="16"/>
        </w:rPr>
        <w:softHyphen/>
        <w:t>молет проходил доскональный осмотр. Если он допускался к полету, первым его облетывал англичанин. Затем то же самое повторял его советский коллега. Если за</w:t>
      </w:r>
      <w:r w:rsidRPr="008A2E5A">
        <w:rPr>
          <w:rFonts w:ascii="Times New Roman" w:hAnsi="Times New Roman"/>
          <w:color w:val="0070C0"/>
          <w:sz w:val="16"/>
          <w:szCs w:val="16"/>
        </w:rPr>
        <w:softHyphen/>
        <w:t>мечаний не имелось, машину готовили к перегонке, если были — возвращали для их устранения (23513).</w:t>
      </w:r>
    </w:p>
    <w:p w14:paraId="619B3B8A" w14:textId="77777777" w:rsidR="00A01163" w:rsidRPr="008A2E5A" w:rsidRDefault="00A01163" w:rsidP="00A01163">
      <w:pPr>
        <w:spacing w:after="0" w:line="240" w:lineRule="auto"/>
        <w:jc w:val="both"/>
        <w:rPr>
          <w:rFonts w:ascii="Times New Roman" w:hAnsi="Times New Roman"/>
          <w:color w:val="0070C0"/>
          <w:sz w:val="16"/>
          <w:szCs w:val="16"/>
        </w:rPr>
      </w:pPr>
    </w:p>
    <w:p w14:paraId="3B27B2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М.Я.Васильев, З.В.Владимирова и Н.С.Житких спро</w:t>
      </w:r>
      <w:r w:rsidRPr="008127F8">
        <w:rPr>
          <w:rFonts w:ascii="Times New Roman" w:hAnsi="Times New Roman"/>
          <w:color w:val="000000" w:themeColor="text1"/>
          <w:sz w:val="16"/>
          <w:szCs w:val="16"/>
        </w:rPr>
        <w:softHyphen/>
        <w:t>ектировали первый в СССР 76-мм кумулятивный снаряд с конусной ку</w:t>
      </w:r>
      <w:r w:rsidRPr="008127F8">
        <w:rPr>
          <w:rFonts w:ascii="Times New Roman" w:hAnsi="Times New Roman"/>
          <w:color w:val="000000" w:themeColor="text1"/>
          <w:sz w:val="16"/>
          <w:szCs w:val="16"/>
        </w:rPr>
        <w:softHyphen/>
        <w:t>мулятивной выемкой, облицованной стальной оболочкой и авиацион</w:t>
      </w:r>
      <w:r w:rsidRPr="008127F8">
        <w:rPr>
          <w:rFonts w:ascii="Times New Roman" w:hAnsi="Times New Roman"/>
          <w:color w:val="000000" w:themeColor="text1"/>
          <w:sz w:val="16"/>
          <w:szCs w:val="16"/>
        </w:rPr>
        <w:softHyphen/>
        <w:t xml:space="preserve">ным головным взрывателем мгновенного действия АМ-Б. Снаряжался снаряд мощным ВВ - сплавом тротила с гексогеном. На испытаниях </w:t>
      </w:r>
      <w:proofErr w:type="gramStart"/>
      <w:r w:rsidRPr="008127F8">
        <w:rPr>
          <w:rFonts w:ascii="Times New Roman" w:hAnsi="Times New Roman"/>
          <w:color w:val="000000" w:themeColor="text1"/>
          <w:sz w:val="16"/>
          <w:szCs w:val="16"/>
        </w:rPr>
        <w:t>он Надежно</w:t>
      </w:r>
      <w:proofErr w:type="gramEnd"/>
      <w:r w:rsidRPr="008127F8">
        <w:rPr>
          <w:rFonts w:ascii="Times New Roman" w:hAnsi="Times New Roman"/>
          <w:color w:val="000000" w:themeColor="text1"/>
          <w:sz w:val="16"/>
          <w:szCs w:val="16"/>
        </w:rPr>
        <w:t xml:space="preserve"> пробивал 100 мм брони по нормали и 60 мм под углом 30° к нор</w:t>
      </w:r>
      <w:r w:rsidRPr="008127F8">
        <w:rPr>
          <w:rFonts w:ascii="Times New Roman" w:hAnsi="Times New Roman"/>
          <w:color w:val="000000" w:themeColor="text1"/>
          <w:sz w:val="16"/>
          <w:szCs w:val="16"/>
        </w:rPr>
        <w:softHyphen/>
        <w:t>мали. С мая 1942 г. до конца войны изготовлялся серийно. В 1942 г. в ЦКБ-22 И.А.Ларионов создал первую в истории военной техники малогабаритную противотанковую кумулятивную авиабомбу ПТАБ и донный взрыватель АДА к ней.</w:t>
      </w:r>
    </w:p>
    <w:p w14:paraId="7D08B32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1943 г. на вооружение советской противотанковой артиллерии по</w:t>
      </w:r>
      <w:r w:rsidRPr="008127F8">
        <w:rPr>
          <w:rFonts w:ascii="Times New Roman" w:hAnsi="Times New Roman"/>
          <w:color w:val="000000" w:themeColor="text1"/>
          <w:sz w:val="16"/>
          <w:szCs w:val="16"/>
        </w:rPr>
        <w:softHyphen/>
        <w:t>ступили кумулятивные снаряды калибра 76,2 мм, а вслед за этим и про</w:t>
      </w:r>
      <w:r w:rsidRPr="008127F8">
        <w:rPr>
          <w:rFonts w:ascii="Times New Roman" w:hAnsi="Times New Roman"/>
          <w:color w:val="000000" w:themeColor="text1"/>
          <w:sz w:val="16"/>
          <w:szCs w:val="16"/>
        </w:rPr>
        <w:softHyphen/>
        <w:t>тивотанковые авиабомбы малых калибров. В этом же году в НИИ-3 раз</w:t>
      </w:r>
      <w:r w:rsidRPr="008127F8">
        <w:rPr>
          <w:rFonts w:ascii="Times New Roman" w:hAnsi="Times New Roman"/>
          <w:color w:val="000000" w:themeColor="text1"/>
          <w:sz w:val="16"/>
          <w:szCs w:val="16"/>
        </w:rPr>
        <w:softHyphen/>
        <w:t>работали РСКД-82 - реактивный снаряд кумулятивного действия. Масса его БЧ была значительно меньше, чем у РБС. Высокие скорости и огра</w:t>
      </w:r>
      <w:r w:rsidRPr="008127F8">
        <w:rPr>
          <w:rFonts w:ascii="Times New Roman" w:hAnsi="Times New Roman"/>
          <w:color w:val="000000" w:themeColor="text1"/>
          <w:sz w:val="16"/>
          <w:szCs w:val="16"/>
        </w:rPr>
        <w:softHyphen/>
        <w:t>ничения по углам пикирования для использования кумулятивной БЧ не требовались, а бронебойность возросла на порядок. Однако, в серию та</w:t>
      </w:r>
      <w:r w:rsidRPr="008127F8">
        <w:rPr>
          <w:rFonts w:ascii="Times New Roman" w:hAnsi="Times New Roman"/>
          <w:color w:val="000000" w:themeColor="text1"/>
          <w:sz w:val="16"/>
          <w:szCs w:val="16"/>
        </w:rPr>
        <w:softHyphen/>
        <w:t>кой боеприпас не пошел.</w:t>
      </w:r>
    </w:p>
    <w:p w14:paraId="51CD8C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Типовые узлы в конструкции ракетных боеприпасов были в достаточ</w:t>
      </w:r>
      <w:r w:rsidRPr="008127F8">
        <w:rPr>
          <w:rFonts w:ascii="Times New Roman" w:hAnsi="Times New Roman"/>
          <w:color w:val="000000" w:themeColor="text1"/>
          <w:sz w:val="16"/>
          <w:szCs w:val="16"/>
        </w:rPr>
        <w:softHyphen/>
        <w:t>ной степени отработаны в предвоенные годы. Их схемы, расчеты и тех</w:t>
      </w:r>
      <w:r w:rsidRPr="008127F8">
        <w:rPr>
          <w:rFonts w:ascii="Times New Roman" w:hAnsi="Times New Roman"/>
          <w:color w:val="000000" w:themeColor="text1"/>
          <w:sz w:val="16"/>
          <w:szCs w:val="16"/>
        </w:rPr>
        <w:softHyphen/>
        <w:t>нологии изготовления можно было считать классическими. В октябре 1941 г. из-за отсутствия компонентов резко сократился выпуск тротила, и БЧ реактивных снарядов пришлось снаряжать суррогатированными ВВ, что не лучшим образом отразилось на боевых качествах РС.</w:t>
      </w:r>
    </w:p>
    <w:p w14:paraId="558E208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Этой проблеме вполне можно было бы найти достойное решение, ес</w:t>
      </w:r>
      <w:r w:rsidRPr="008127F8">
        <w:rPr>
          <w:rFonts w:ascii="Times New Roman" w:hAnsi="Times New Roman"/>
          <w:color w:val="000000" w:themeColor="text1"/>
          <w:sz w:val="16"/>
          <w:szCs w:val="16"/>
        </w:rPr>
        <w:softHyphen/>
        <w:t>ли бы накануне войны в стране больше внимания уделяли исследовани</w:t>
      </w:r>
      <w:r w:rsidRPr="008127F8">
        <w:rPr>
          <w:rFonts w:ascii="Times New Roman" w:hAnsi="Times New Roman"/>
          <w:color w:val="000000" w:themeColor="text1"/>
          <w:sz w:val="16"/>
          <w:szCs w:val="16"/>
        </w:rPr>
        <w:softHyphen/>
        <w:t>ям бризантности боеприпасов. Тогда и при условии снаряжания суррога</w:t>
      </w:r>
      <w:r w:rsidRPr="008127F8">
        <w:rPr>
          <w:rFonts w:ascii="Times New Roman" w:hAnsi="Times New Roman"/>
          <w:color w:val="000000" w:themeColor="text1"/>
          <w:sz w:val="16"/>
          <w:szCs w:val="16"/>
        </w:rPr>
        <w:softHyphen/>
        <w:t>тированными ВВ, без большого труда можно было подобрать марку ста</w:t>
      </w:r>
      <w:r w:rsidRPr="008127F8">
        <w:rPr>
          <w:rFonts w:ascii="Times New Roman" w:hAnsi="Times New Roman"/>
          <w:color w:val="000000" w:themeColor="text1"/>
          <w:sz w:val="16"/>
          <w:szCs w:val="16"/>
        </w:rPr>
        <w:softHyphen/>
        <w:t>ли для изготовления корпусов БЧ ракетных боеприпасов, чтобы не ухуд</w:t>
      </w:r>
      <w:r w:rsidRPr="008127F8">
        <w:rPr>
          <w:rFonts w:ascii="Times New Roman" w:hAnsi="Times New Roman"/>
          <w:color w:val="000000" w:themeColor="text1"/>
          <w:sz w:val="16"/>
          <w:szCs w:val="16"/>
        </w:rPr>
        <w:softHyphen/>
        <w:t>шать характеристик их осколочности. В отсутствие тротила те же самые корпуса снаряжали аммонитами и аммонпеками, а вместо тетриловых промежуточных детонаторов использовали «усиленные» мелинитовые. В итоге огневая мощь эрзац-вариантов РС М-8 снизилась настолько, что руководство ГМЧ однажды возвратило всю их партию с фронта и затре</w:t>
      </w:r>
      <w:r w:rsidRPr="008127F8">
        <w:rPr>
          <w:rFonts w:ascii="Times New Roman" w:hAnsi="Times New Roman"/>
          <w:color w:val="000000" w:themeColor="text1"/>
          <w:sz w:val="16"/>
          <w:szCs w:val="16"/>
        </w:rPr>
        <w:softHyphen/>
        <w:t>бовало хотя бы приблизить этот показатель к уровню тротилового экви</w:t>
      </w:r>
      <w:r w:rsidRPr="008127F8">
        <w:rPr>
          <w:rFonts w:ascii="Times New Roman" w:hAnsi="Times New Roman"/>
          <w:color w:val="000000" w:themeColor="text1"/>
          <w:sz w:val="16"/>
          <w:szCs w:val="16"/>
        </w:rPr>
        <w:softHyphen/>
        <w:t>валента (11402).</w:t>
      </w:r>
    </w:p>
    <w:p w14:paraId="4883A27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D19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первые месяцы 1942 года в СССР на Новороссийской военно-морской базе (НВМБ) зародилась идея использовать ракетные пусковые установки для запуска неуправляемых авиационных ракет РС-82 на катерах Черноморского флота. Инициатором и энтузиастом идеи был капитан-лейтенант Г.В. Терновский, заручившийся поддержкой командира НВМБ капитана 1 ранга Г.Н. Холостякова. Ознакомившись с использованием РС-82 в частях штурмовой авиации, Г.В. Терновский вместе со старшим техником-лейтенантом Н.С. Поповым организовали разработку и изготовление в мастерских НВМБ ракетно-пускового четырехзарядного устройства, </w:t>
      </w:r>
      <w:r w:rsidRPr="008127F8">
        <w:rPr>
          <w:rFonts w:ascii="Times New Roman" w:hAnsi="Times New Roman"/>
          <w:color w:val="000000" w:themeColor="text1"/>
          <w:sz w:val="16"/>
          <w:szCs w:val="16"/>
        </w:rPr>
        <w:lastRenderedPageBreak/>
        <w:t>которое закреплялось на откатном устройстве 45-мм пушки катера “малый охотник” МО-2. В бригаде торпедных катеров инженер-капитан 3 ранга Н.И. Ясулович, после ознакомления с гвардейскими минометами, организовал с участием старшины мотористов А. Вдовина разработку и изготовление в ремонтных мастерских ракетно-пускового устройства (РПУ) с направляющими для пуска восьми снарядов калибра 82 мм, которое закреплялось на задней части рубки торпедных катеров (ТК) типа Г-5. В обеих РПУ использовались направляющие, полученные в порядке технической помощи из армейских ракетных подразделений. Моряки-катерники называли эти устройства – наши самодельные “катюши”. Такие РПУ были установлены на одном катере МО-2, одном легком торпедном катере типа Г-5 и на двух более крупных ТК типов Д-3 и СМ-3. Сотрудниками специальных комиссий НВМБ они были испытаны в море стрельбой и допущены командованием к применению в боевых операциях в составе отрядов других катеров. Появление ракетного вооружения на советских катерах и новое тактическое использование этого вооружения катеров против береговых объектов оказали сильное психологическое воздействие на противника. Некоторые немецкие катера стали избегать боевых столкновений с нашими катерами. Таким образом, возможность и целесообразность реализации идеи вооружения быстроходных катеров и маневренных кораблей ВМФ реактивным оружием были практически проверены и доказаны на Новороссийской военно-морской базе Черноморского флота.</w:t>
      </w:r>
    </w:p>
    <w:p w14:paraId="14CF0F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возможностях нового оружия на флоте командир Новороссийской военно-морской базы капитан 1 ранга Г.Н. Холостяков доложил прибывшему в город Новороссийск заместителю наркома Военно-морского флота адмиралу И.С. Исаеву. Опытный моряк заинтересовался новым оружием, подробно расспросил Г.В. Терновского о зарождении самой идеи использования ракетного оружия на малых боевых кораблях. По результатам ознакомления, И.С. Исаев распорядился устанавливать реактивные установки также и на торпедных катерах.</w:t>
      </w:r>
    </w:p>
    <w:p w14:paraId="6696C6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Черноморцы сразу же загорелись желанием установить “катюши” на ТКА “Г-5” для частичной компенсации их слабого пулеметного вооружения. Начальник штаба флота контр-адмирал И.Д. Елисеев дал положительную оценку этой идеи. В ремонтных мастерских пограничных войск Народного комиссариата внутренних дел (НКВД) в городе Новороссийске по чертежам, разработанным дивизионным инженером-механиком Н.И. Ясуловичем (из 2-й бригады ТКА), он с группой катерников-ремонтников за восемь дней изготовил установку с четырьмя направляющими с возможностью пуска до восьми реактивных снарядов калибра 82 мм. За основу была взята ремонтирующаяся установка для стрельбы такими же снарядами. Эту установку и смонтировали перед командирской рубкой на ТКА № 175 Ф.П. Бублика. Однако на испытаниях при волне 3 балла подвешенные на крайних рельсах снизу РС срывались и падали за борт. Поэтому решено было укладывать только сверху по четыре реактивных снаряда.</w:t>
      </w:r>
    </w:p>
    <w:p w14:paraId="415CA0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 Кочнева, М. Гурина и А. Куракина, а затем и на более крупных, чем Г-5, торпедных катерах Д-3 (деревянном) и СМ-3 (стальном мореходном).</w:t>
      </w:r>
    </w:p>
    <w:p w14:paraId="197E22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неудачей наступления войск Юго-Западного фронта на Харьковском направлении и последовавшим затем продвижением немецких войск к Ростову-на-Дону на Черном море принимается ряд оборонительных мер. Отряд торпедных катеров, дополнительно вооруженных установками РС, был передан в состав Азовской флотилии (11772).</w:t>
      </w:r>
    </w:p>
    <w:p w14:paraId="17007C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5B51C"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на вооружение советской авиации приняли 82-мм ракетный фугасно-бронебойный снаряд РБС-82 «Якорь» модели 07041 м. Его проникающее действие было основано на кинетике скоростного тяжелого боеприпаса с мощным двигателем, с боевой частью специальной противорикошетной формы и донным взрывателем. военные требовали довести максимальную бронебойность этих снарядов до 35 мм под углами до 30° от нормали. Но на испытаниях в 1940 г. с истребителей И-16 эти снаряды «брали» и 50 мм - как раз толщину лобовой брони немецких </w:t>
      </w:r>
      <w:hyperlink r:id="rId31"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 середины 1941 г., но при стрельбе с самолетов Vo получала значительный прирост (15595).</w:t>
      </w:r>
    </w:p>
    <w:p w14:paraId="5821A778" w14:textId="77777777" w:rsidR="00011043" w:rsidRPr="008127F8" w:rsidRDefault="00011043" w:rsidP="001E0A84">
      <w:pPr>
        <w:spacing w:after="0" w:line="240" w:lineRule="auto"/>
        <w:jc w:val="both"/>
        <w:rPr>
          <w:rFonts w:ascii="Times New Roman" w:hAnsi="Times New Roman"/>
          <w:color w:val="000000" w:themeColor="text1"/>
          <w:sz w:val="16"/>
          <w:szCs w:val="16"/>
        </w:rPr>
      </w:pPr>
    </w:p>
    <w:p w14:paraId="1E229E8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12980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209F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пущена 2-я очередь порохового производства комбината (Комбинат № 392 НКТП, НКОП, НКБ, Завод, ПО «Прогресс», ФГУП «ПО «Прогресс» Росбоеприпаса /дер. Евсеево Кемеровской обл./ /650001  г. Кемерово ул. 40 лет Октября, 2 тел. 62-28-80/), в течение года вошло в строй тарное производство, построено здание ЦЗЛ, строилась 2-я очередь производств пироксилина, эфира и рекуперации растворителей. В 1942 г. освоено 6 новых марок порохов, 6 систем зарядов, подготовлено производство зарядов к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 «Катюша». В 1943 г. комбинат переведен на военное положение, руководству присвоены воинские звания. В 03.1943 г. сдана в эксплуатацию 2-я очередь производства пироксилина.</w:t>
      </w:r>
    </w:p>
    <w:p w14:paraId="1E8367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12.1942-04.1943 г. - в ведении ЗГУ НКБ.</w:t>
      </w:r>
    </w:p>
    <w:p w14:paraId="321E04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комбината (1943 г.): основные производства: 1-е олеумное, 2-е денир</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концентр., 3-е пироксилиновое, 4-е спирто-эфирное, 5-е пороховое, 6-е зарядное, 7-е тарное; рекуперационные установки; вспомогательные: полигон, ТЭЦ, автобаза. В 09.1943 г. создана центральная научно-измерительная лаборатория для отработки технологии и создания приборов контроля. 22.11.1943 г. вышло постановление ГКО № 4644 о неотложных мерах помощи по вводу в действие новых мощностей на ТЭЦ комбината.</w:t>
      </w:r>
    </w:p>
    <w:p w14:paraId="44A570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11.1943 г. на комбинате произошел пожар с человеческими жертвами. В связи с этим приказом НКБ № 1055сс от 14.11.1943 г. сняты и отданы под суд зам. начальника завода по технике безопасности М.Н. Секрет, гл. инженер А.К. Вострухин и начальник отдела ТБ Б.В. Лешков.</w:t>
      </w:r>
    </w:p>
    <w:p w14:paraId="19CC81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введена в строй 3-я очередь производства пироксилина. В том же году, в связи с значительным ростом и расширением номенклатуры, комбинат № 392 был разделен на два самостоятельных завода: № 129 (по кислотам и пироксилину) и № 388 (по порохам и зарядам из них). К концу 1944 г. объемы выпуска военной продукции снижаются, началось изготовление запчастей для тракторов. В 08.1945 г. начато производство ТНП. В 1946 г. заводы № 129 и № 388 вновь объединены в комбинат № 392. Продолжено производство пироксилина, порохов и зарядов. Вырос выпуск гражданской продукции- эфира, сульфата натрия, запчастей для тракторов и сельхозтехники, ТНП.</w:t>
      </w:r>
    </w:p>
    <w:p w14:paraId="558482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комбинат № 392 переименован в завод «Прогресс», в 1980 г. преобразован в ПО «Прогресс».</w:t>
      </w:r>
    </w:p>
    <w:p w14:paraId="57930C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Освоена новая продукция: растворители, изделия из латекса, клеи, декоративная пленка, ковровые дорожки.</w:t>
      </w:r>
    </w:p>
    <w:p w14:paraId="3F6509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1991-93 г. прекращен выпуск оборонной продукции. На базе производственных мощностей образовано несколько ООО и ЗАО. 15.07.1999 г. ПО «Прогресс» преобразовано в ФГУП «ПО «Прогресс». В 2000 г. принято решение о реформировании предприятия в «Государственный казенный завод «Прогресс», которое продолжалось и в 2005 г.</w:t>
      </w:r>
    </w:p>
    <w:p w14:paraId="223D19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Указу Президента РФ № 1009 от 4.08.2004 г. вошло в число стратегических оборонных предприятий. </w:t>
      </w: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правительства № 876-98 от 30.12.2004 г. установлен гособоронзаказ по ликвидации порохового производства на ПО «Прогресс».</w:t>
      </w:r>
    </w:p>
    <w:p w14:paraId="1D14E1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(1943 г.): производственная- 101.487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вспомогательная- 42872 м</w:t>
      </w:r>
      <w:r w:rsidRPr="008127F8">
        <w:rPr>
          <w:rFonts w:ascii="Times New Roman" w:hAnsi="Times New Roman"/>
          <w:color w:val="000000" w:themeColor="text1"/>
          <w:sz w:val="16"/>
          <w:szCs w:val="16"/>
          <w:vertAlign w:val="superscript"/>
        </w:rPr>
        <w:t>2</w:t>
      </w:r>
    </w:p>
    <w:p w14:paraId="452C7A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г.)- 7662 чел.</w:t>
      </w:r>
    </w:p>
    <w:p w14:paraId="566BD5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(17.05-14.07.1937 г.)- З.М. Галицкий. Директор (7.09.1937 г.-&gt; А.П. Якушев, (08.1939-41 г.)- К.С. Гамов, Б.Л. Горский, (04.1943 г.)- Галицкий. Начальник (11.1943 г.)- г-м Н.И. Гречищев.</w:t>
      </w:r>
      <w:r w:rsidRPr="008127F8">
        <w:rPr>
          <w:rFonts w:ascii="Times New Roman" w:hAnsi="Times New Roman"/>
          <w:color w:val="000000" w:themeColor="text1"/>
          <w:sz w:val="16"/>
          <w:szCs w:val="16"/>
          <w:vertAlign w:val="superscript"/>
        </w:rPr>
        <w:t>53</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56</w:t>
      </w:r>
    </w:p>
    <w:p w14:paraId="01ED83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начальника строительства (11.01-02.1938 г.)- К.С. Гамов. Начальник строительства (02.1937-05.1938 г.-)- К.С. Гамов. Зам. начальника: по ТБ (-11.1943 г.)- М.Н. Секрет.</w:t>
      </w:r>
    </w:p>
    <w:p w14:paraId="0FDDA5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строительства (11.01.1938 г.-)- С. Г. Франкфурт.</w:t>
      </w:r>
    </w:p>
    <w:p w14:paraId="452006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инженер-технолог правого берега (27.05.1937-11.01.1938 г.)- С. Г. Франкфурт. Гл. инженер (11.01.1938-; 08.1939 г.-)- С. Г. Франкфурт, (-04-11.1943 г.)- А.К. Вострухин.</w:t>
      </w:r>
    </w:p>
    <w:p w14:paraId="789B3E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механик (11.1943 г.)- Абраменко.</w:t>
      </w:r>
    </w:p>
    <w:p w14:paraId="76BE67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производств: пироксилина (1941 г.)- В.И. Беляев.</w:t>
      </w:r>
      <w:r w:rsidRPr="008127F8">
        <w:rPr>
          <w:rFonts w:ascii="Times New Roman" w:hAnsi="Times New Roman"/>
          <w:color w:val="000000" w:themeColor="text1"/>
          <w:sz w:val="16"/>
          <w:szCs w:val="16"/>
          <w:vertAlign w:val="superscript"/>
        </w:rPr>
        <w:t>101</w:t>
      </w:r>
    </w:p>
    <w:p w14:paraId="0190B3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ТБ (-11.1943 г.)- Б.В. Лешков.</w:t>
      </w:r>
    </w:p>
    <w:p w14:paraId="273F55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Управляющий Московской конторой строительства (11.01.1938 г.-)- Н.С. Чейшвили.</w:t>
      </w:r>
      <w:r w:rsidRPr="008127F8">
        <w:rPr>
          <w:rFonts w:ascii="Times New Roman" w:hAnsi="Times New Roman"/>
          <w:color w:val="000000" w:themeColor="text1"/>
          <w:sz w:val="16"/>
          <w:szCs w:val="16"/>
          <w:vertAlign w:val="superscript"/>
        </w:rPr>
        <w:t>139</w:t>
      </w:r>
    </w:p>
    <w:p w14:paraId="43AEBD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порох пироксилиновый; олеум, спирт-ректификат, эфир, пироксилин (1943</w:t>
      </w:r>
      <w:proofErr w:type="gramStart"/>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ш</w:t>
      </w:r>
      <w:proofErr w:type="gramEnd"/>
    </w:p>
    <w:p w14:paraId="21A3CF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Кемеровский пороховой комбинат НКТП, Кемеровский химический комбинат (КХК, «Кемеровкомбинатстрой») НКТП</w:t>
      </w:r>
    </w:p>
    <w:p w14:paraId="2450A6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Химический комбинат (в т.ч. и для производства пироксилиновых порохов) начал строиться в 08.1933 г. у дер. Евсеево по проекту С. Г. Франкфурта (будущего гл. инженера). Уполномоченным от НКТП по объекту был назначен Б.О. Норкин. Строительство велось отдельными разрозненными объектами, без соблюдения технологической увязки очередности ввода зданий. Были построены лесозавод, бетонный узел, гравиемойка, деревянные строения. В 1934 г. построены центральная дорога, подъездные ж/д пути, водокачка, начато строительство ремонтно-механического завода. В 1935 г. началось строительство основных производств. Комбинат располагался по обеим берегам реки Томь. На правом берегу строились военные производства. В составе комбината объекты (1937 г.): № 405, 406, 407, 429, 431 - производство детонаторов, № 520 - пиротехника, 521 - авиабомбы, 522 - котельная, 525 - фенол, 524 - мелкие патроны, 526 - пикриновая кислота, 527 - ДНН. В 12.1936 г. строительство Кемеровского порохового комбината (употреблялось также название КХК, «Кемеровкомбинатстрой») планировалось передать из Порохового треста Главазота НКТП в ведение НКОП. Но затем, по пр. НКТП/НКОП № 22а/20 от 20.01.1938 г. строительство Кемеровского правобережного химкомбината (военные производства) передано (срок - до 5.02.1938 г.) из НКТП в ведение 11ГУ НКОП, и ему присвоено наименование «Комбинат № 392».</w:t>
      </w:r>
    </w:p>
    <w:p w14:paraId="44FF28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при научной поддержке НИОПИК пущен цех по выпуску бромаминовой кислоты, антрахинонсульфокислоты, ксилидинов.</w:t>
      </w:r>
    </w:p>
    <w:p w14:paraId="0BBBC0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(06.1937 г.)- Каттель (11982).</w:t>
      </w:r>
    </w:p>
    <w:p w14:paraId="3CC8D3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2E5B8" w14:textId="3EEC27BA" w:rsidR="00E84AE4" w:rsidRPr="008127F8" w:rsidRDefault="00E84AE4" w:rsidP="001E0A84">
      <w:pPr>
        <w:pStyle w:val="af"/>
        <w:spacing w:before="0" w:after="0"/>
        <w:jc w:val="both"/>
        <w:textAlignment w:val="baseline"/>
        <w:rPr>
          <w:color w:val="000000" w:themeColor="text1"/>
          <w:sz w:val="16"/>
          <w:szCs w:val="16"/>
        </w:rPr>
      </w:pPr>
      <w:r w:rsidRPr="008127F8">
        <w:rPr>
          <w:color w:val="000000" w:themeColor="text1"/>
          <w:sz w:val="16"/>
          <w:szCs w:val="16"/>
        </w:rPr>
        <w:t>В начале 1942 года в Главном артиллерийском управлении (ГАУ) рассматривались два основных варианта модернизации фугасных противотанковых гранат. Один из них предложил завод №96. Эта была граната</w:t>
      </w:r>
      <w:r w:rsidR="008127F8">
        <w:rPr>
          <w:color w:val="000000" w:themeColor="text1"/>
          <w:sz w:val="16"/>
          <w:szCs w:val="16"/>
        </w:rPr>
        <w:t xml:space="preserve">  </w:t>
      </w:r>
      <w:hyperlink r:id="rId32" w:history="1">
        <w:r w:rsidRPr="008127F8">
          <w:rPr>
            <w:rStyle w:val="a6"/>
            <w:bCs/>
            <w:iCs/>
            <w:color w:val="000000" w:themeColor="text1"/>
            <w:sz w:val="16"/>
            <w:szCs w:val="16"/>
            <w:bdr w:val="none" w:sz="0" w:space="0" w:color="auto" w:frame="1"/>
          </w:rPr>
          <w:t>ПРГ-КД</w:t>
        </w:r>
      </w:hyperlink>
      <w:r w:rsidRPr="008127F8">
        <w:rPr>
          <w:color w:val="000000" w:themeColor="text1"/>
          <w:sz w:val="16"/>
          <w:szCs w:val="16"/>
        </w:rPr>
        <w:t>, снаряжённая жидким взрывчатым веществом. В итоге такой вариант не устроил ГАУ — в основном из-за проблем с герметичностью корпуса во время хранения.</w:t>
      </w:r>
    </w:p>
    <w:p w14:paraId="75E3BA27" w14:textId="77777777" w:rsidR="00E84AE4" w:rsidRPr="008127F8" w:rsidRDefault="00E84AE4" w:rsidP="001E0A84">
      <w:pPr>
        <w:pStyle w:val="af"/>
        <w:spacing w:before="0" w:after="0"/>
        <w:jc w:val="both"/>
        <w:textAlignment w:val="baseline"/>
        <w:rPr>
          <w:color w:val="000000" w:themeColor="text1"/>
          <w:sz w:val="16"/>
          <w:szCs w:val="16"/>
        </w:rPr>
      </w:pPr>
      <w:r w:rsidRPr="008127F8">
        <w:rPr>
          <w:color w:val="000000" w:themeColor="text1"/>
          <w:sz w:val="16"/>
          <w:szCs w:val="16"/>
        </w:rPr>
        <w:t>Другой вариант, предложенный заводом №260, оказался более перспективным. Ударно-фугасная граната ГУФ-800, снаряжённая 750 граммами литого тротила, осенью 1941 года на сравнительных испытаниях с существующими образцами показала лучшие боевые свойства. Тремя выстрелами она смогла пробить в башне трофейного танка три большие пробоины, каждая из которых была губительна для него. Также отмечалась простота конструкции гранаты (24 детали против 40 у РПГ-40). В заключении комиссия рекомендовала к 5 декабря 1941 года изготовить опытно-серийную партию из 3000 гранат и направить их на войсковые испытания (18876).</w:t>
      </w:r>
    </w:p>
    <w:p w14:paraId="3C69632D" w14:textId="77777777" w:rsidR="00E84AE4" w:rsidRPr="008127F8" w:rsidRDefault="00E84AE4" w:rsidP="001E0A84">
      <w:pPr>
        <w:pStyle w:val="af"/>
        <w:spacing w:before="0" w:after="0"/>
        <w:jc w:val="both"/>
        <w:textAlignment w:val="baseline"/>
        <w:rPr>
          <w:color w:val="000000" w:themeColor="text1"/>
          <w:sz w:val="16"/>
          <w:szCs w:val="16"/>
        </w:rPr>
      </w:pPr>
    </w:p>
    <w:p w14:paraId="320E9C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 поле боя на одном из участков Ленинградского фронта было зафиксировано падение без разрыва 280-мм немецкой мины. Отказ мины позволил бойцам 54 армии захватить ее и вынести в наш тыл (6403, 42).</w:t>
      </w:r>
    </w:p>
    <w:p w14:paraId="759D5E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BDDE2"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Главное инженерное управление Красной армии выдало ГСКБ-47 задание на разработку вибрационного замыкателя для минирования шоссейных и железных дорог. Он должен был срабатывать, когда двигалась тяжелая техника или большие колонны пехоты.</w:t>
      </w:r>
    </w:p>
    <w:p w14:paraId="468BEC1C"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была поручена отделу, которым руководил Н. С. Носков. Изготовление опытного варианта велось в маленькой механической мастерской силами конструкторов и механиков. В работе участвовали Б. М. Ульянов, И. М. Матвеев, В. А. Ряполов, Г. В. Боголюбов, Г. М. Дьячков, П. А. Иванов.</w:t>
      </w:r>
    </w:p>
    <w:p w14:paraId="00EDD32E"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успешных испытаний вибрационный замыкатель ВЗ-1 был принят на вооружение. На его основе была создана вибрационная мина ВМ-1 с часовым механизмом для минирования шоссейных и железных дорог. Изготовленные образцы были направлены партизанам Белоруссии, Украины, на Смоленщину, под Брянск.</w:t>
      </w:r>
    </w:p>
    <w:p w14:paraId="3ECB397E"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Высокую оценку партизан получил «Блок-47» для так называемой «мины второго поезда», – сконструированной Н. С. Носковым и Б. М. Ульяновым. В отличие от мины замедленного действия МЗД-2, созданной также на основе вибрационного </w:t>
      </w:r>
      <w:proofErr w:type="gramStart"/>
      <w:r w:rsidRPr="008127F8">
        <w:rPr>
          <w:rFonts w:ascii="Times New Roman" w:hAnsi="Times New Roman"/>
          <w:color w:val="000000" w:themeColor="text1"/>
          <w:sz w:val="16"/>
          <w:szCs w:val="16"/>
        </w:rPr>
        <w:t>замыкате- ля</w:t>
      </w:r>
      <w:proofErr w:type="gramEnd"/>
      <w:r w:rsidRPr="008127F8">
        <w:rPr>
          <w:rFonts w:ascii="Times New Roman" w:hAnsi="Times New Roman"/>
          <w:color w:val="000000" w:themeColor="text1"/>
          <w:sz w:val="16"/>
          <w:szCs w:val="16"/>
        </w:rPr>
        <w:t xml:space="preserve"> ВЗ-1 и предназначенной специально для минирования железных и автогужевых дорог и срабатывавшей от первого сотрясения, мина с «Блоком-47» взрывалась только при втором сотрясении.</w:t>
      </w:r>
    </w:p>
    <w:p w14:paraId="15696FF1"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проведения широких операций в тылу врага в отделе Н. С. Носкова разработали мину-сюрприз МС-1 с химическим предохранителем. Мина МС-1 была выполнена в виде спичечной коробки и могла устанавливаться на срабатывание от поднятия, снятие с нее предмета или выдергивания чеки. Разработали эту мину Н. С. Носков и И. М. Матвеев.</w:t>
      </w:r>
    </w:p>
    <w:p w14:paraId="08F83557"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Мины-сюрпризы делались также в виде привлекательных коробок конфет или дорогих сортов папирос. Для партизан было изготовлено около 500 штук таких «сюрпризов». Делались они прямо в отделе конструкторами и чертежниками. Готовые изделия партиями направлялись в штабы партизанского движения Украины и Белоруссии. По существующей на предприятии легенде похожей миной был убит гаулейтер Белоруссии Кубе.</w:t>
      </w:r>
    </w:p>
    <w:p w14:paraId="3522F457"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Мину ему подложила под подушку девушка-партизанка, работавшая в его доме прислугой. Эта девушка – Елена Мазаник – за свой подвиг была удостоена звания Героя Советского Союза.</w:t>
      </w:r>
    </w:p>
    <w:p w14:paraId="19048E1E"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партизан была создана дорожная мина ПДМ в трех вариантах для минирования проселочных дорог, троп.</w:t>
      </w:r>
    </w:p>
    <w:p w14:paraId="5ECCC693"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Липкая мина ПЛМ использовалась для диверсий на аэродромах, железнодорожных станциях. Прикреплялась липкая мина к вражеским самолетам, автомашинам, цистернам.</w:t>
      </w:r>
    </w:p>
    <w:p w14:paraId="70EADFA6"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аналогичных целей успешно применялась и магнитная мина ММ.</w:t>
      </w:r>
    </w:p>
    <w:p w14:paraId="7D92D2DF"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Была разработана диверсионная мина в виде куска угля. Уголь сверлили, закладывали в отверстие толовую шашку с детонатором, отверстие заделывали смолой и угольной пылью. Подобными минами партизаны подрывали паровозы или закладывали их в составы с донецким углем, направлявшиеся на сталелитейные заводы Германии.</w:t>
      </w:r>
    </w:p>
    <w:p w14:paraId="04B0A0B0"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Разработанные и изготовленные мины Н. С. Носков или Н. И. Крупнов показывали партизанам. Встречи происходили обычно в присутствии представителя Центрального штаба партизанского движения полковника И. Г. Старинова. С целью конспирации ни разработчики мин, ни получавшие их партизаны друг друга не знали. О результатах работы мин у партизан разработчики тоже не знали. Лишь по количеству тех или иных образцов, которые забирались партизанами, можно было судить об их эффективности в применении и безопасности в эксплуатации.</w:t>
      </w:r>
    </w:p>
    <w:p w14:paraId="0711342B"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поджога складов с боеприпасами, цистерн, нефтехранилищ и т. п. Н. С. Но- сковым и И. М. Матвеевым были отработаны диверсионный зажигательный патрон ЗП-1, фугасно-зажигательные гранаты ФЗГ-2, ФЗГ-3 и ФЗГ-3М с различными видами снаряжения.</w:t>
      </w:r>
    </w:p>
    <w:p w14:paraId="3A0AF9E3"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сотрудники отдела Н. С. Носкова создали для партизан более 15 типов различного рода мин, патронов и гранат. Указанные боеприпасы не являлись основными для коллектива предприятия, но их создание и изготовление было важным военным делом. И не случайно, что главный инженер предприятия Н. И. Крупнов демонстрировал эти боеприпасы в Кремле К. Е. Ворошилову и Н. Н. Вознесенскому (15794).</w:t>
      </w:r>
    </w:p>
    <w:p w14:paraId="52215002" w14:textId="77777777" w:rsidR="0005046D" w:rsidRPr="008127F8" w:rsidRDefault="0005046D" w:rsidP="001E0A84">
      <w:pPr>
        <w:spacing w:after="0" w:line="240" w:lineRule="auto"/>
        <w:jc w:val="both"/>
        <w:rPr>
          <w:rFonts w:ascii="Times New Roman" w:hAnsi="Times New Roman"/>
          <w:color w:val="000000" w:themeColor="text1"/>
          <w:sz w:val="16"/>
          <w:szCs w:val="16"/>
        </w:rPr>
      </w:pPr>
    </w:p>
    <w:p w14:paraId="63072EB2" w14:textId="65DF4308"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Московский горком ВКП(б) обратился в СНК СССР с просьбой рассмотреть вопрос об использовании свободных производственных площадей предприятий, эвакуированных из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Москвы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К тому времени в сто — лице имелось 2500 тысяч м2 свободных производственных площадей, и МГК предлагал организовать на них выпуск различной промышленной продукции. В свою очередь, 16 наркоматов представили в Госплан СССР свои предложения по организации производства на 192 эвакуированных из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заводах</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общей площадью 1280 тысяч м2.</w:t>
      </w:r>
    </w:p>
    <w:p w14:paraId="259757EE" w14:textId="6AAFBA13"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Разобраться в этом вопросе СНК поручил Госплану, который в феврале 1942 г. представил соответствующую докладную записку заместителю председателя СНК Н. А. Вознесенскому. Аналитики Госплана считали, что удовлетворение заявок наркоматов в полном объёме потребовало бы возвращения в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с Урала, из Западной Сибири, Казахстана и Поволжья большого количества оборудования (до 40% станков, ушедших в эвакуацию, и т. д.). По их мнению, целесообразно было организовать в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на свободных мощностях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производство отраслей, которые работали на нужды «Красной армии Западного фронта», на развитие хозяйства г.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 В целом Госплан считал возможным восстановить производство только на 57 предприятиях (общая площадь 210 тысяч м2). Прежде всего намечалось восстановление военных производств, в частности:</w:t>
      </w:r>
    </w:p>
    <w:p w14:paraId="3A150334" w14:textId="48AB07C1"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 НКАП планировалось восстановление на четырёх предприятиях ремонта самолётов и моторов (к 1 сентября 1942 г. восстановить мощности ремонтных мастерских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84, 207, 301; к 1 октября –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482 для ремонта самолётов, изготовления запчастей, агрега — тов на сумму 20 млн руб. в квартал);</w:t>
      </w:r>
    </w:p>
    <w:p w14:paraId="5328AF24" w14:textId="6798A5C8"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по НКБ – на двух предприятиях производство порохов, взры- вателей и снаряжения (к 1 апреля –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358 – производство снаряжения взрывателей, к 1 мая на госзаводе НИИ-6 – производ — ство пороха);</w:t>
      </w:r>
    </w:p>
    <w:p w14:paraId="5AD3DC55" w14:textId="640F43A5"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по Наркомсудпрому – на одном предприятии производство минных тралов («за счёт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239»);</w:t>
      </w:r>
    </w:p>
    <w:p w14:paraId="0CB88412" w14:textId="5A4A055C"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 Наркомату миномётного вооружения –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Арматура» производство редукторов кислородных и другой продукции на 23 млн руб.;</w:t>
      </w:r>
    </w:p>
    <w:p w14:paraId="1DAF5C31" w14:textId="6B48E348"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по Наркомтяжмашу –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Стальмост» восстановить мощности по производству кранов и боеприпасов в сумме 7,6 млн руб., при условии возвращения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неиспользованного эвакуированно — го оборудования;</w:t>
      </w:r>
    </w:p>
    <w:p w14:paraId="6B70795F" w14:textId="7BE1E2BA"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по Наркомэлектропрому – организовать производство </w:t>
      </w:r>
      <w:proofErr w:type="gramStart"/>
      <w:r w:rsidRPr="008127F8">
        <w:rPr>
          <w:rFonts w:ascii="Times New Roman" w:hAnsi="Times New Roman"/>
          <w:color w:val="000000" w:themeColor="text1"/>
          <w:sz w:val="16"/>
          <w:szCs w:val="16"/>
        </w:rPr>
        <w:t>боепри- пасов</w:t>
      </w:r>
      <w:proofErr w:type="gramEnd"/>
      <w:r w:rsidRPr="008127F8">
        <w:rPr>
          <w:rFonts w:ascii="Times New Roman" w:hAnsi="Times New Roman"/>
          <w:color w:val="000000" w:themeColor="text1"/>
          <w:sz w:val="16"/>
          <w:szCs w:val="16"/>
        </w:rPr>
        <w:t xml:space="preserve">, радиоаппаратуры и др. на семи предприятиях, «продукция ко — торых является наиболее дефицитной и восстановление этих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на востоке требует длительного времени»;</w:t>
      </w:r>
    </w:p>
    <w:p w14:paraId="54ED2CD8" w14:textId="51C46544"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по Наркомату резиновой промышленности – на двух предприя- тиях организовать производство средств химзащиты (в том числе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Красный богатырь» – лицевой части противогазов и других средств химзащиты в количестве 35 тысяч шт. в сутки, и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145 – мощностей по производству изделий санитарии и гигиены);</w:t>
      </w:r>
    </w:p>
    <w:p w14:paraId="29DE33B6" w14:textId="3E88B0EE"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по Наркомстрою – на семи предприятиях производство спец- продукции («в течение первого полугодия 1942 г. организовать за счёт установки неиспользуемого оборудования производство боеприпасов и автобензоцистерн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Металлоконструкция» (Тюфелева роща), спецукупорки и прочей военной продукции на ДОЗ № 2, запчастей и спецпродукции на механическом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2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ОСМЧ</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Строитель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
    <w:p w14:paraId="4C728D68"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 — ятий Наркомэлектропрома, Наркомлегпрома, Наркомчермета и др.</w:t>
      </w:r>
    </w:p>
    <w:p w14:paraId="61A7A2C6" w14:textId="07965358"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записке Госплана указывалось на необходимость использо- вать для восстановления производств только свободные производственные помещения без строительства новых цехов и подсобных помещений, а также «запретить всем наркоматам без специального распоряжения СНК завозить в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оборудование и рабочих эвакуированных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w:t>
      </w:r>
    </w:p>
    <w:p w14:paraId="771C7785" w14:textId="776107EF"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Уже в 1942 г. началась частичная реэвакуация предприятий в Москву, в том числе авиационных предприятий, заводов боеприпасов и т. д. В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1942 гг. из Москвы было вывезено в различные районы страны 211 предприятий, из которых 80 были частично или полностью реэвакуированы, а остальные дали начало 179 новым предприятиям. Так, часть оборудования по производству танков с Московского завода</w:t>
      </w:r>
    </w:p>
    <w:p w14:paraId="1A22113F"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37 им. Орджоникидзе, вывезенная в Свердловск, была подключена к производству танков Т-34 на Уральском заводе тяжёлого машинострое- ния (УЗТМ) сначала на правах филиала. С октября 1943 г. был создан самостоятельный завод № 50, производивший узлы и агрегаты к тан — кам Т-34, выпускавшимся УЗТМ, и артиллерийские детали – для завода № 916. В целом война способствовала значительному развитию военно — го производства «вширь».</w:t>
      </w:r>
    </w:p>
    <w:p w14:paraId="27FC4EF7"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Проблемы реэвакуации были сходны с трудностями эвакуации. В качестве примера можно привести ситуацию с восстановлением Нагатинского завода. Постановлением ГКО от 15 января 1942 г 1937 вышел приказ НКОП № 1152сс Наркомату речного флота было предписано «восстановить в Москве эвакуированный Нагатинский завод для изготовления элементов боеприпасов». Из документа Наркомата речного флота следовало, что часть станков завода при эвакуации замёрзла в барже, зазимовавшей в Белгородском затоне. В связи с заносом дорог Наркомат обратился с просьбой «обязать Горьковский облисполком […] выделить 3 трактора "Челябинца" и 50 шт. лошадей с горючим и фуражом для вывоза станочного парка с Белгородского затона». Кроме того, для ускорения пуска Нагатинского завода заместитель народного комиссара речного флота В. Рахманин просил разрешить вывезти в Нагатино 20 токарных станков с Саратовского судоремонтного завода («Саратовский завод получил 19 станков с эвакобазы и 4 станка, прибывших к нему с Запорожского завода, оборудованием для имеющихся у него заказов будет обеспечен»)17. Так шёл сложный процесс перемещения, «заимствования» оборудования между предприятиями.</w:t>
      </w:r>
    </w:p>
    <w:p w14:paraId="156E3299" w14:textId="77777777"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период наименьшего производства военной продукции за всю войну пришёлся на ноябрь – декабрь 1941 г., и потребовался поч — ти год, чтобы восстановить и заметно увеличить её выпуск (15525).</w:t>
      </w:r>
    </w:p>
    <w:p w14:paraId="3F97DB64" w14:textId="77777777" w:rsidR="0005046D" w:rsidRPr="008127F8" w:rsidRDefault="0005046D" w:rsidP="001E0A84">
      <w:pPr>
        <w:spacing w:after="0" w:line="240" w:lineRule="auto"/>
        <w:jc w:val="both"/>
        <w:rPr>
          <w:rFonts w:ascii="Times New Roman" w:hAnsi="Times New Roman"/>
          <w:color w:val="000000" w:themeColor="text1"/>
          <w:sz w:val="16"/>
          <w:szCs w:val="16"/>
        </w:rPr>
      </w:pPr>
    </w:p>
    <w:p w14:paraId="3FC873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было прекращенное производство 203-мм гаубицы Б-4 (3861).</w:t>
      </w:r>
    </w:p>
    <w:p w14:paraId="08143A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1371A" w14:textId="77777777" w:rsidR="00011043" w:rsidRPr="008127F8" w:rsidRDefault="00011043"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начале 1942 г. объявили конкурс на новый, облегченный 7,62-мм пистолет-пуле</w:t>
      </w:r>
      <w:r w:rsidRPr="008127F8">
        <w:rPr>
          <w:rFonts w:ascii="Times New Roman" w:cs="Times New Roman"/>
          <w:color w:val="000000" w:themeColor="text1"/>
          <w:spacing w:val="0"/>
          <w:sz w:val="16"/>
          <w:szCs w:val="16"/>
        </w:rPr>
        <w:softHyphen/>
        <w:t>мет, который мог бы заменить ППД и ППШ на вооружении разведчиков, лыжников, десант</w:t>
      </w:r>
      <w:r w:rsidRPr="008127F8">
        <w:rPr>
          <w:rFonts w:ascii="Times New Roman" w:cs="Times New Roman"/>
          <w:color w:val="000000" w:themeColor="text1"/>
          <w:spacing w:val="0"/>
          <w:sz w:val="16"/>
          <w:szCs w:val="16"/>
        </w:rPr>
        <w:softHyphen/>
        <w:t>ников, расчетов орудий, экипажей боевых ма</w:t>
      </w:r>
      <w:r w:rsidRPr="008127F8">
        <w:rPr>
          <w:rFonts w:ascii="Times New Roman" w:cs="Times New Roman"/>
          <w:color w:val="000000" w:themeColor="text1"/>
          <w:spacing w:val="0"/>
          <w:sz w:val="16"/>
          <w:szCs w:val="16"/>
        </w:rPr>
        <w:softHyphen/>
        <w:t>шин, водителей и т.д. Среди многочисленных участников этого конкурса были и В.А. Дег</w:t>
      </w:r>
      <w:r w:rsidRPr="008127F8">
        <w:rPr>
          <w:rFonts w:ascii="Times New Roman" w:cs="Times New Roman"/>
          <w:color w:val="000000" w:themeColor="text1"/>
          <w:spacing w:val="0"/>
          <w:sz w:val="16"/>
          <w:szCs w:val="16"/>
        </w:rPr>
        <w:softHyphen/>
        <w:t>тярев, и Г.С. Шпагин. Однако победу одержал образец А.И. Судаева, признанный позже луч</w:t>
      </w:r>
      <w:r w:rsidRPr="008127F8">
        <w:rPr>
          <w:rFonts w:ascii="Times New Roman" w:cs="Times New Roman"/>
          <w:color w:val="000000" w:themeColor="text1"/>
          <w:spacing w:val="0"/>
          <w:sz w:val="16"/>
          <w:szCs w:val="16"/>
        </w:rPr>
        <w:softHyphen/>
        <w:t>шим пистолетом-пулеметом Второй мировой войны. Причем хорошей базой для организа</w:t>
      </w:r>
      <w:r w:rsidRPr="008127F8">
        <w:rPr>
          <w:rFonts w:ascii="Times New Roman" w:cs="Times New Roman"/>
          <w:color w:val="000000" w:themeColor="text1"/>
          <w:spacing w:val="0"/>
          <w:sz w:val="16"/>
          <w:szCs w:val="16"/>
        </w:rPr>
        <w:softHyphen/>
        <w:t>ции массового выпуска ППС стали производ</w:t>
      </w:r>
      <w:r w:rsidRPr="008127F8">
        <w:rPr>
          <w:rFonts w:ascii="Times New Roman" w:cs="Times New Roman"/>
          <w:color w:val="000000" w:themeColor="text1"/>
          <w:spacing w:val="0"/>
          <w:sz w:val="16"/>
          <w:szCs w:val="16"/>
        </w:rPr>
        <w:softHyphen/>
        <w:t>ства заводов им. Воскова и им. Кулакова (ор</w:t>
      </w:r>
      <w:r w:rsidRPr="008127F8">
        <w:rPr>
          <w:rFonts w:ascii="Times New Roman" w:cs="Times New Roman"/>
          <w:color w:val="000000" w:themeColor="text1"/>
          <w:spacing w:val="0"/>
          <w:sz w:val="16"/>
          <w:szCs w:val="16"/>
        </w:rPr>
        <w:softHyphen/>
        <w:t>ганизацией производства непосредственно руководил А.И. Судаев) (15770).</w:t>
      </w:r>
    </w:p>
    <w:p w14:paraId="144B8563" w14:textId="77777777" w:rsidR="00011043" w:rsidRPr="008127F8" w:rsidRDefault="00011043" w:rsidP="001E0A84">
      <w:pPr>
        <w:pStyle w:val="87"/>
        <w:shd w:val="clear" w:color="auto" w:fill="auto"/>
        <w:spacing w:before="0" w:line="240" w:lineRule="auto"/>
        <w:jc w:val="both"/>
        <w:outlineLvl w:val="9"/>
        <w:rPr>
          <w:rFonts w:ascii="Times New Roman" w:hAnsi="Times New Roman" w:cs="Times New Roman"/>
          <w:b w:val="0"/>
          <w:color w:val="000000" w:themeColor="text1"/>
          <w:sz w:val="16"/>
          <w:szCs w:val="16"/>
        </w:rPr>
      </w:pPr>
    </w:p>
    <w:p w14:paraId="3048EF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КБ Грабина модернизировало пушку УСВ. Модернизированный вариант получил название ЗИС-22-УСВ, которая и была запущена в производство. 76-мм модернизированная пушка ЗИС-22-УСВ отличалась от пушки УСВ следующим:</w:t>
      </w:r>
    </w:p>
    <w:p w14:paraId="7918AE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Ствол со свободной трубой, кожухом и навинтным казенником заменен стволом-моноблоком с казенником, соединенным со стволом при помощи муфты.</w:t>
      </w:r>
    </w:p>
    <w:p w14:paraId="42E6B7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Изменена конструкция затвора и полуавтоматика.</w:t>
      </w:r>
    </w:p>
    <w:p w14:paraId="2828D0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Изменен поворотный механизм.</w:t>
      </w:r>
    </w:p>
    <w:p w14:paraId="40E442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Изменено подрессоривание: пластинчатая рессора заменена цилиндрическими пружинами, укрепленными на специальной балке.</w:t>
      </w:r>
    </w:p>
    <w:p w14:paraId="0FD370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Клепаные станины заменены литыми, сваренными из трех частей.</w:t>
      </w:r>
    </w:p>
    <w:p w14:paraId="3D80B9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Клепаная люлька заменена литой, сваренной из двух частей.</w:t>
      </w:r>
    </w:p>
    <w:p w14:paraId="0E4975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Установлен новый прицел ЗИС-13.</w:t>
      </w:r>
    </w:p>
    <w:p w14:paraId="333940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ствола-моноблока с затвором 412 кг.</w:t>
      </w:r>
    </w:p>
    <w:p w14:paraId="366C07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ЗИС-22-УСВ в боевом положении 1550</w:t>
      </w:r>
    </w:p>
    <w:p w14:paraId="697232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конструкторами НИИ Наркомата Вооружений под руководством Г.Д. Ширенина был разработан 160-мм миномет с казнозарядным заряжанием по схеме реального треугольника (3861).</w:t>
      </w:r>
    </w:p>
    <w:p w14:paraId="5D1206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D8E84"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В начале 1942 года сразу два предприятия были задействованы в работах по проектированию тяжелых самоходных установок. Московский машиностроительный институт им. Баумана (ныне МГТУ им. Баумана) по заданию НКВ работал над эскизными проектами самоходных установок, в том числе истребителей ДОТов, вооруженных либо 152-мм пушкой БР-2 (СУ-БР-2), либо 203-мм га</w:t>
      </w:r>
      <w:r w:rsidRPr="008127F8">
        <w:rPr>
          <w:i w:val="0"/>
          <w:color w:val="000000" w:themeColor="text1"/>
          <w:sz w:val="16"/>
          <w:szCs w:val="16"/>
        </w:rPr>
        <w:softHyphen/>
        <w:t>убицей Б-4 (СУ-Б-4). Вторым предприятием был завод №221 НКВ, непосредственный изготовитель пушек БР-2 и гаубиц Б-4. В марте 1942 года заводское КБ представило проекты самоходных установок БР-ЗЗП и БР-ЗЗГ. Оба проекта базировались на агрегатах среднего тан</w:t>
      </w:r>
      <w:r w:rsidRPr="008127F8">
        <w:rPr>
          <w:i w:val="0"/>
          <w:color w:val="000000" w:themeColor="text1"/>
          <w:sz w:val="16"/>
          <w:szCs w:val="16"/>
        </w:rPr>
        <w:softHyphen/>
        <w:t>ка Т-34. Согласно документации, БР-ЗЗП оснащался 152-мм пушкой БР-2, а БР-ЗЗГ — 203-мм гаубицей Б-4. По результатам рассмотрения проектов было решено в металле их не изготовлять, поскольку требо-</w:t>
      </w:r>
      <w:r w:rsidRPr="008127F8">
        <w:rPr>
          <w:rStyle w:val="BodytextTahoma3"/>
          <w:rFonts w:ascii="Times New Roman" w:hAnsi="Times New Roman" w:cs="Times New Roman"/>
          <w:i w:val="0"/>
          <w:color w:val="000000" w:themeColor="text1"/>
        </w:rPr>
        <w:t xml:space="preserve"> МЛ-20 в походном </w:t>
      </w:r>
      <w:r w:rsidRPr="008127F8">
        <w:rPr>
          <w:i w:val="0"/>
          <w:color w:val="000000" w:themeColor="text1"/>
          <w:sz w:val="16"/>
          <w:szCs w:val="16"/>
        </w:rPr>
        <w:t>ваниям на истребители ДОТов они не соответствовали. Подобная формулировка выглядит довольно странно, поскольку исходным заданием была механизация корпусной артиллерии, а не создание разрушителей вражеских укреплений прямой наводкой (17484).</w:t>
      </w:r>
    </w:p>
    <w:p w14:paraId="2CA12EA7"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p>
    <w:p w14:paraId="3E878832" w14:textId="77777777" w:rsidR="00E9478D" w:rsidRPr="008127F8" w:rsidRDefault="00E9478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1942 года проявивились проблемы танка КВ-1, во многом оказались заложенными в его конструкции изначально. Дело в том, что определенный запас прочности у шасси любого танка ограничен. Если в процессе модернизации, утяжеляющей машину, превысить его, то проблемы с надёжностью будут гарантированными. В случае с КВ-1 стоит напомнить, что он изначально проектировался как танк с боевой массой 40 тонн. Серийный танк образца 1940 года имел боевую массу 42,5–43 тонны, и это было только начало. В 1941 году его боевая масса достигла сначала 46, а затем и 47,5 тонн.</w:t>
      </w:r>
    </w:p>
    <w:p w14:paraId="7080C399" w14:textId="77777777" w:rsidR="00E9478D" w:rsidRPr="008127F8" w:rsidRDefault="00E9478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Ситуация усугубилась, когда осенью 1941 года вместо сварных башен на Челябинском тракторном заводе (ЧТЗ, позже ЧКЗ) стали устанавливать башни литой конструкции. Они были толще сварных, а уровень допуска оказался таков, что случаи превышения установленной массы оказались совсем не редкими. Разумеется, это прямым образом сказывалось на боевой массе КВ-1, которая достигла 50 тонн.</w:t>
      </w:r>
    </w:p>
    <w:p w14:paraId="16DCB1D5" w14:textId="77777777" w:rsidR="00E9478D" w:rsidRPr="008127F8" w:rsidRDefault="00E9478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Но и такое превышение боевой массы в перспективе могло оказаться не последним. Дело в том, что танк КВ-1 советские военачальники считали если не вчерашним днем, то, как минимум, временным решением. Не стоит забывать, что с весны 1941 года приоритетом стал тяжелый танк </w:t>
      </w:r>
      <w:hyperlink r:id="rId33" w:history="1">
        <w:r w:rsidRPr="008127F8">
          <w:rPr>
            <w:rFonts w:ascii="Times New Roman" w:eastAsia="Times New Roman" w:hAnsi="Times New Roman"/>
            <w:color w:val="000000" w:themeColor="text1"/>
            <w:sz w:val="16"/>
            <w:szCs w:val="16"/>
            <w:lang w:eastAsia="ru-RU"/>
          </w:rPr>
          <w:t>КВ-3</w:t>
        </w:r>
      </w:hyperlink>
      <w:r w:rsidRPr="008127F8">
        <w:rPr>
          <w:rFonts w:ascii="Times New Roman" w:eastAsia="Times New Roman" w:hAnsi="Times New Roman"/>
          <w:color w:val="000000" w:themeColor="text1"/>
          <w:sz w:val="16"/>
          <w:szCs w:val="16"/>
          <w:lang w:eastAsia="ru-RU"/>
        </w:rPr>
        <w:t xml:space="preserve">, который, к слову, тоже рассматривался в качестве временного решения. Вместо него позже предполагалось запускать в серию либо </w:t>
      </w:r>
      <w:hyperlink r:id="rId34" w:history="1">
        <w:r w:rsidRPr="008127F8">
          <w:rPr>
            <w:rFonts w:ascii="Times New Roman" w:eastAsia="Times New Roman" w:hAnsi="Times New Roman"/>
            <w:color w:val="000000" w:themeColor="text1"/>
            <w:sz w:val="16"/>
            <w:szCs w:val="16"/>
            <w:lang w:eastAsia="ru-RU"/>
          </w:rPr>
          <w:t>КВ-4, либо КВ-5</w:t>
        </w:r>
      </w:hyperlink>
      <w:r w:rsidRPr="008127F8">
        <w:rPr>
          <w:rFonts w:ascii="Times New Roman" w:eastAsia="Times New Roman" w:hAnsi="Times New Roman"/>
          <w:color w:val="000000" w:themeColor="text1"/>
          <w:sz w:val="16"/>
          <w:szCs w:val="16"/>
          <w:lang w:eastAsia="ru-RU"/>
        </w:rPr>
        <w:t>. После начала Великой Отечественной войны работы над КВ-4 и КВ-5 были остановлены. Что же касается КВ-3, то его производство все еще предполагалось развернуть на ЧКЗ.</w:t>
      </w:r>
    </w:p>
    <w:p w14:paraId="2B9EE590" w14:textId="77777777" w:rsidR="00E9478D" w:rsidRPr="008127F8" w:rsidRDefault="00E9478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концу 1941 года стало ясно, что планы эти явно несбыточные, поэтому появилась новая идея – путем модернизации довести КВ-1 до уровня, близкого к КВ-3. Толщину его брони собирались довести до 120 мм в лобовой части (такая толщина указывалась, в частности, при обсуждении штурмового танка </w:t>
      </w:r>
      <w:hyperlink r:id="rId35" w:history="1">
        <w:r w:rsidRPr="008127F8">
          <w:rPr>
            <w:rFonts w:ascii="Times New Roman" w:eastAsia="Times New Roman" w:hAnsi="Times New Roman"/>
            <w:color w:val="000000" w:themeColor="text1"/>
            <w:sz w:val="16"/>
            <w:szCs w:val="16"/>
            <w:lang w:eastAsia="ru-RU"/>
          </w:rPr>
          <w:t>КВ-7</w:t>
        </w:r>
      </w:hyperlink>
      <w:r w:rsidRPr="008127F8">
        <w:rPr>
          <w:rFonts w:ascii="Times New Roman" w:eastAsia="Times New Roman" w:hAnsi="Times New Roman"/>
          <w:color w:val="000000" w:themeColor="text1"/>
          <w:sz w:val="16"/>
          <w:szCs w:val="16"/>
          <w:lang w:eastAsia="ru-RU"/>
        </w:rPr>
        <w:t xml:space="preserve">). В результате по защищенности танк становился равным КВ-3. В самом конце 1941 года начались работы по артиллерийской системе У-12 калибра 85 мм. В случае успеха на свет </w:t>
      </w:r>
      <w:hyperlink r:id="rId36" w:history="1">
        <w:r w:rsidRPr="008127F8">
          <w:rPr>
            <w:rFonts w:ascii="Times New Roman" w:eastAsia="Times New Roman" w:hAnsi="Times New Roman"/>
            <w:color w:val="000000" w:themeColor="text1"/>
            <w:sz w:val="16"/>
            <w:szCs w:val="16"/>
            <w:lang w:eastAsia="ru-RU"/>
          </w:rPr>
          <w:t>должен был появиться советский «Тигр»</w:t>
        </w:r>
      </w:hyperlink>
      <w:r w:rsidRPr="008127F8">
        <w:rPr>
          <w:rFonts w:ascii="Times New Roman" w:eastAsia="Times New Roman" w:hAnsi="Times New Roman"/>
          <w:color w:val="000000" w:themeColor="text1"/>
          <w:sz w:val="16"/>
          <w:szCs w:val="16"/>
          <w:lang w:eastAsia="ru-RU"/>
        </w:rPr>
        <w:t>, по крайней мере, характеристики защиты, вооружения и массы у этих танков оказались бы очень близкими (17682).</w:t>
      </w:r>
    </w:p>
    <w:p w14:paraId="09D98D19" w14:textId="77777777" w:rsidR="00E9478D" w:rsidRPr="008127F8" w:rsidRDefault="00E9478D" w:rsidP="001E0A84">
      <w:pPr>
        <w:spacing w:after="0" w:line="240" w:lineRule="auto"/>
        <w:jc w:val="both"/>
        <w:rPr>
          <w:rFonts w:ascii="Times New Roman" w:eastAsia="Times New Roman" w:hAnsi="Times New Roman"/>
          <w:color w:val="000000" w:themeColor="text1"/>
          <w:sz w:val="16"/>
          <w:szCs w:val="16"/>
          <w:lang w:eastAsia="ru-RU"/>
        </w:rPr>
      </w:pPr>
    </w:p>
    <w:p w14:paraId="7A06AC01" w14:textId="77777777" w:rsidR="00E9478D" w:rsidRPr="008127F8" w:rsidRDefault="00E9478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1942 года на заводе №8 началось производство ЗИС-5, тем самым окончательно решился вопрос обеспечения пушками танков КВ-1, строившихся в Челябинске. По баллистике Ф-22 УСВ, ЗИС-3 и ЗИС-5 были одинаковыми. Одним словом, разработкой завода №8 УЗТМ подстраховывался на случай перебоев с поставками ЗИС-3 (17683).</w:t>
      </w:r>
    </w:p>
    <w:p w14:paraId="6D019DD8" w14:textId="77777777" w:rsidR="00E9478D" w:rsidRPr="008127F8" w:rsidRDefault="00E9478D" w:rsidP="001E0A84">
      <w:pPr>
        <w:spacing w:after="0" w:line="240" w:lineRule="auto"/>
        <w:jc w:val="both"/>
        <w:rPr>
          <w:rFonts w:ascii="Times New Roman" w:eastAsia="Times New Roman" w:hAnsi="Times New Roman"/>
          <w:color w:val="000000" w:themeColor="text1"/>
          <w:sz w:val="16"/>
          <w:szCs w:val="16"/>
          <w:lang w:eastAsia="ru-RU"/>
        </w:rPr>
      </w:pPr>
    </w:p>
    <w:p w14:paraId="72114E7E" w14:textId="77777777" w:rsidR="0025012D" w:rsidRPr="008127F8" w:rsidRDefault="0025012D" w:rsidP="001E0A84">
      <w:pPr>
        <w:pStyle w:val="a4"/>
        <w:rPr>
          <w:color w:val="000000" w:themeColor="text1"/>
          <w:lang w:val="ru-RU"/>
        </w:rPr>
      </w:pPr>
      <w:r w:rsidRPr="008127F8">
        <w:rPr>
          <w:color w:val="000000" w:themeColor="text1"/>
          <w:lang w:val="ru-RU"/>
        </w:rPr>
        <w:t>В начале 1942, одновременно с требованиями на мо</w:t>
      </w:r>
      <w:r w:rsidRPr="008127F8">
        <w:rPr>
          <w:color w:val="000000" w:themeColor="text1"/>
          <w:lang w:val="ru-RU"/>
        </w:rPr>
        <w:softHyphen/>
        <w:t>дернизированный вариант КВ-7 С.А. Гинзбург подготовил и требова</w:t>
      </w:r>
      <w:r w:rsidRPr="008127F8">
        <w:rPr>
          <w:color w:val="000000" w:themeColor="text1"/>
          <w:lang w:val="ru-RU"/>
        </w:rPr>
        <w:softHyphen/>
        <w:t>ния на самоходную установку 152-мм гаубицы на базе КВ-7:</w:t>
      </w:r>
    </w:p>
    <w:p w14:paraId="1CFD2EB0"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«Самоходная установка 152 мм гаубицы проектируется по типу тан</w:t>
      </w:r>
      <w:r w:rsidRPr="008127F8">
        <w:rPr>
          <w:rStyle w:val="Bodytext145"/>
          <w:i w:val="0"/>
          <w:iCs w:val="0"/>
          <w:color w:val="000000" w:themeColor="text1"/>
          <w:sz w:val="16"/>
          <w:szCs w:val="16"/>
        </w:rPr>
        <w:softHyphen/>
        <w:t xml:space="preserve">ка </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r w:rsidRPr="008127F8">
        <w:rPr>
          <w:rStyle w:val="Bodytext14NotItalic12"/>
          <w:i w:val="0"/>
          <w:iCs w:val="0"/>
          <w:color w:val="000000" w:themeColor="text1"/>
          <w:sz w:val="16"/>
          <w:szCs w:val="16"/>
        </w:rPr>
        <w:t xml:space="preserve"> 7</w:t>
      </w:r>
      <w:r w:rsidRPr="008127F8">
        <w:rPr>
          <w:rStyle w:val="Bodytext145"/>
          <w:i w:val="0"/>
          <w:iCs w:val="0"/>
          <w:color w:val="000000" w:themeColor="text1"/>
          <w:sz w:val="16"/>
          <w:szCs w:val="16"/>
        </w:rPr>
        <w:t xml:space="preserve"> и является артиллерийским средством кинжального разрушения ДО Т в укрепрайонах.</w:t>
      </w:r>
    </w:p>
    <w:p w14:paraId="37F4D39B"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I. Боевой вес самоходной установки 50—55 тонн</w:t>
      </w:r>
    </w:p>
    <w:p w14:paraId="4666A797"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II. Броня</w:t>
      </w:r>
    </w:p>
    <w:p w14:paraId="6B38343A"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Броневая защита корпуса и системы аналогична защите танка </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r w:rsidRPr="008127F8">
        <w:rPr>
          <w:rStyle w:val="Bodytext14NotItalic12"/>
          <w:i w:val="0"/>
          <w:iCs w:val="0"/>
          <w:color w:val="000000" w:themeColor="text1"/>
          <w:sz w:val="16"/>
          <w:szCs w:val="16"/>
        </w:rPr>
        <w:t xml:space="preserve"> 7</w:t>
      </w:r>
    </w:p>
    <w:p w14:paraId="6638963F" w14:textId="77777777" w:rsidR="0025012D" w:rsidRPr="008127F8" w:rsidRDefault="0025012D" w:rsidP="001E0A84">
      <w:pPr>
        <w:pStyle w:val="Bodytext141"/>
        <w:shd w:val="clear" w:color="auto" w:fill="auto"/>
        <w:tabs>
          <w:tab w:val="left" w:pos="3164"/>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lang w:val="en-US"/>
        </w:rPr>
        <w:t>III</w:t>
      </w:r>
      <w:r w:rsidRPr="008127F8">
        <w:rPr>
          <w:rStyle w:val="Bodytext145"/>
          <w:i w:val="0"/>
          <w:iCs w:val="0"/>
          <w:color w:val="000000" w:themeColor="text1"/>
          <w:sz w:val="16"/>
          <w:szCs w:val="16"/>
        </w:rPr>
        <w:t>. Вооружение</w:t>
      </w:r>
    </w:p>
    <w:p w14:paraId="23E8CE6C" w14:textId="77777777" w:rsidR="0025012D" w:rsidRPr="008127F8" w:rsidRDefault="0025012D" w:rsidP="001E0A84">
      <w:pPr>
        <w:pStyle w:val="Bodytext141"/>
        <w:shd w:val="clear" w:color="auto" w:fill="auto"/>
        <w:tabs>
          <w:tab w:val="left" w:pos="3457"/>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Гаубица 152мм — 1 шт.</w:t>
      </w:r>
    </w:p>
    <w:p w14:paraId="3543CF6A"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Горизонтальный ход обстрела спаренной установки: +/— 7,5° Вертикальные углы обстрела: +12° —5°</w:t>
      </w:r>
    </w:p>
    <w:p w14:paraId="0578E89B" w14:textId="77777777" w:rsidR="0025012D" w:rsidRPr="008127F8" w:rsidRDefault="0025012D" w:rsidP="001E0A84">
      <w:pPr>
        <w:pStyle w:val="Bodytext141"/>
        <w:shd w:val="clear" w:color="auto" w:fill="auto"/>
        <w:tabs>
          <w:tab w:val="left" w:pos="3495"/>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Количество пулеметов ДТ</w:t>
      </w:r>
    </w:p>
    <w:p w14:paraId="0A8046A6" w14:textId="77777777" w:rsidR="0025012D" w:rsidRPr="008127F8" w:rsidRDefault="0025012D" w:rsidP="001E0A84">
      <w:pPr>
        <w:pStyle w:val="Bodytext141"/>
        <w:shd w:val="clear" w:color="auto" w:fill="auto"/>
        <w:tabs>
          <w:tab w:val="left" w:pos="3510"/>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а) в носовой части корпуса — 1</w:t>
      </w:r>
    </w:p>
    <w:p w14:paraId="7622F497" w14:textId="77777777" w:rsidR="0025012D" w:rsidRPr="008127F8" w:rsidRDefault="0025012D" w:rsidP="001E0A84">
      <w:pPr>
        <w:pStyle w:val="Bodytext141"/>
        <w:shd w:val="clear" w:color="auto" w:fill="auto"/>
        <w:tabs>
          <w:tab w:val="left" w:pos="3505"/>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б) в кормовой части боевого отделения — 2 Горизонтальные углы обстрела пулеметов — 30° Вертикальные углы обстрела пулеметов: +15°—5°</w:t>
      </w:r>
    </w:p>
    <w:p w14:paraId="360E3E17" w14:textId="77777777" w:rsidR="0025012D" w:rsidRPr="008127F8" w:rsidRDefault="0025012D" w:rsidP="001E0A84">
      <w:pPr>
        <w:pStyle w:val="Bodytext141"/>
        <w:shd w:val="clear" w:color="auto" w:fill="auto"/>
        <w:tabs>
          <w:tab w:val="left" w:pos="3116"/>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lang w:val="en-US"/>
        </w:rPr>
        <w:t>IV</w:t>
      </w:r>
      <w:r w:rsidRPr="008127F8">
        <w:rPr>
          <w:rStyle w:val="Bodytext145"/>
          <w:i w:val="0"/>
          <w:iCs w:val="0"/>
          <w:color w:val="000000" w:themeColor="text1"/>
          <w:sz w:val="16"/>
          <w:szCs w:val="16"/>
        </w:rPr>
        <w:t>. Боекомплект</w:t>
      </w:r>
    </w:p>
    <w:p w14:paraId="5B70CE4C" w14:textId="77777777" w:rsidR="0025012D" w:rsidRPr="008127F8" w:rsidRDefault="0025012D" w:rsidP="001E0A84">
      <w:pPr>
        <w:pStyle w:val="Bodytext141"/>
        <w:shd w:val="clear" w:color="auto" w:fill="auto"/>
        <w:tabs>
          <w:tab w:val="left" w:pos="3476"/>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Снаряды для 152-мм не менее — 30шт.</w:t>
      </w:r>
    </w:p>
    <w:p w14:paraId="11A72090" w14:textId="77777777" w:rsidR="0025012D" w:rsidRPr="008127F8" w:rsidRDefault="0025012D" w:rsidP="001E0A84">
      <w:pPr>
        <w:pStyle w:val="Bodytext141"/>
        <w:shd w:val="clear" w:color="auto" w:fill="auto"/>
        <w:tabs>
          <w:tab w:val="left" w:pos="348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Количество пулеметных дисков не менее — 40 шт.</w:t>
      </w:r>
    </w:p>
    <w:p w14:paraId="5398FDD1" w14:textId="77777777" w:rsidR="0025012D" w:rsidRPr="008127F8" w:rsidRDefault="0025012D" w:rsidP="001E0A84">
      <w:pPr>
        <w:pStyle w:val="Bodytext141"/>
        <w:shd w:val="clear" w:color="auto" w:fill="auto"/>
        <w:tabs>
          <w:tab w:val="left" w:pos="3006"/>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lang w:val="en-US"/>
        </w:rPr>
        <w:t>V</w:t>
      </w:r>
      <w:r w:rsidRPr="008127F8">
        <w:rPr>
          <w:rStyle w:val="Bodytext145"/>
          <w:i w:val="0"/>
          <w:iCs w:val="0"/>
          <w:color w:val="000000" w:themeColor="text1"/>
          <w:sz w:val="16"/>
          <w:szCs w:val="16"/>
        </w:rPr>
        <w:t>. Экипаж самоходной установки — 6 человек</w:t>
      </w:r>
    </w:p>
    <w:p w14:paraId="2F4E1C09" w14:textId="77777777" w:rsidR="0025012D" w:rsidRPr="008127F8" w:rsidRDefault="0025012D" w:rsidP="001E0A84">
      <w:pPr>
        <w:pStyle w:val="Bodytext141"/>
        <w:shd w:val="clear" w:color="auto" w:fill="auto"/>
        <w:tabs>
          <w:tab w:val="left" w:pos="3087"/>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lang w:val="en-US"/>
        </w:rPr>
        <w:t>VI</w:t>
      </w:r>
      <w:r w:rsidRPr="008127F8">
        <w:rPr>
          <w:rStyle w:val="Bodytext145"/>
          <w:i w:val="0"/>
          <w:iCs w:val="0"/>
          <w:color w:val="000000" w:themeColor="text1"/>
          <w:sz w:val="16"/>
          <w:szCs w:val="16"/>
        </w:rPr>
        <w:t>. Корпус самоходной установки.</w:t>
      </w:r>
    </w:p>
    <w:p w14:paraId="62964854"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Корпус самоходной установки такой же, как корпус танка </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r w:rsidRPr="008127F8">
        <w:rPr>
          <w:rStyle w:val="Bodytext14NotItalic11"/>
          <w:i w:val="0"/>
          <w:iCs w:val="0"/>
          <w:color w:val="000000" w:themeColor="text1"/>
          <w:sz w:val="16"/>
          <w:szCs w:val="16"/>
        </w:rPr>
        <w:t xml:space="preserve"> 7,</w:t>
      </w:r>
      <w:r w:rsidRPr="008127F8">
        <w:rPr>
          <w:rStyle w:val="Bodytext145"/>
          <w:i w:val="0"/>
          <w:iCs w:val="0"/>
          <w:color w:val="000000" w:themeColor="text1"/>
          <w:sz w:val="16"/>
          <w:szCs w:val="16"/>
        </w:rPr>
        <w:t xml:space="preserve"> за исключением деталей, непосредственно связанных с уста</w:t>
      </w:r>
      <w:r w:rsidRPr="008127F8">
        <w:rPr>
          <w:rStyle w:val="Bodytext145"/>
          <w:i w:val="0"/>
          <w:iCs w:val="0"/>
          <w:color w:val="000000" w:themeColor="text1"/>
          <w:sz w:val="16"/>
          <w:szCs w:val="16"/>
        </w:rPr>
        <w:softHyphen/>
        <w:t>новкой гаубицы.</w:t>
      </w:r>
    </w:p>
    <w:p w14:paraId="3A61AE29" w14:textId="77777777" w:rsidR="0025012D" w:rsidRPr="008127F8" w:rsidRDefault="0025012D" w:rsidP="001E0A84">
      <w:pPr>
        <w:pStyle w:val="Bodytext141"/>
        <w:shd w:val="clear" w:color="auto" w:fill="auto"/>
        <w:tabs>
          <w:tab w:val="left" w:pos="398"/>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lang w:val="en-US"/>
        </w:rPr>
        <w:t>VII</w:t>
      </w:r>
      <w:r w:rsidRPr="008127F8">
        <w:rPr>
          <w:rStyle w:val="Bodytext145"/>
          <w:i w:val="0"/>
          <w:iCs w:val="0"/>
          <w:color w:val="000000" w:themeColor="text1"/>
          <w:sz w:val="16"/>
          <w:szCs w:val="16"/>
        </w:rPr>
        <w:t>. Боевое отделение и установка вооружения.</w:t>
      </w:r>
    </w:p>
    <w:p w14:paraId="50632719" w14:textId="77777777" w:rsidR="0025012D" w:rsidRPr="008127F8" w:rsidRDefault="0025012D" w:rsidP="001E0A84">
      <w:pPr>
        <w:pStyle w:val="Bodytext141"/>
        <w:shd w:val="clear" w:color="auto" w:fill="auto"/>
        <w:tabs>
          <w:tab w:val="left" w:pos="740"/>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Боевое отделение должно допускать удобное размещение ору</w:t>
      </w:r>
      <w:r w:rsidRPr="008127F8">
        <w:rPr>
          <w:rStyle w:val="Bodytext145"/>
          <w:i w:val="0"/>
          <w:iCs w:val="0"/>
          <w:color w:val="000000" w:themeColor="text1"/>
          <w:sz w:val="16"/>
          <w:szCs w:val="16"/>
        </w:rPr>
        <w:softHyphen/>
        <w:t>дийного расчета и иметь приборы для кругового обзора.</w:t>
      </w:r>
    </w:p>
    <w:p w14:paraId="06DFB983" w14:textId="77777777" w:rsidR="0025012D" w:rsidRPr="008127F8" w:rsidRDefault="0025012D" w:rsidP="001E0A84">
      <w:pPr>
        <w:pStyle w:val="Bodytext141"/>
        <w:shd w:val="clear" w:color="auto" w:fill="auto"/>
        <w:spacing w:line="240" w:lineRule="auto"/>
        <w:ind w:firstLine="0"/>
        <w:jc w:val="both"/>
        <w:rPr>
          <w:rStyle w:val="Bodytext145"/>
          <w:i w:val="0"/>
          <w:iCs w:val="0"/>
          <w:color w:val="000000" w:themeColor="text1"/>
          <w:sz w:val="16"/>
          <w:szCs w:val="16"/>
        </w:rPr>
      </w:pPr>
      <w:r w:rsidRPr="008127F8">
        <w:rPr>
          <w:rStyle w:val="Bodytext145"/>
          <w:i w:val="0"/>
          <w:iCs w:val="0"/>
          <w:color w:val="000000" w:themeColor="text1"/>
          <w:sz w:val="16"/>
          <w:szCs w:val="16"/>
        </w:rPr>
        <w:t>2. Для увеличения возимого количества боеприпасов и удобного их размещения допускается размещение топливных баков на днище боевого отделения</w:t>
      </w:r>
    </w:p>
    <w:p w14:paraId="4FDC7862"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lastRenderedPageBreak/>
        <w:t>3. Для повышения скорострельности и облегчения зарядки гаубицы желательно хотя бы частично механизировать процесс зарядки (подачу снаряда и заряда).</w:t>
      </w:r>
    </w:p>
    <w:p w14:paraId="58031E5E"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VIII. Проходимость танка, двигатель, ходовая часть и средства связи аналогичны танку </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r w:rsidRPr="008127F8">
        <w:rPr>
          <w:rStyle w:val="Bodytext14NotItalic10"/>
          <w:i w:val="0"/>
          <w:iCs w:val="0"/>
          <w:color w:val="000000" w:themeColor="text1"/>
          <w:sz w:val="16"/>
          <w:szCs w:val="16"/>
        </w:rPr>
        <w:t xml:space="preserve"> 7.</w:t>
      </w:r>
    </w:p>
    <w:p w14:paraId="0AB0E307"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Примечание: заводу разрешается вносить изменения и дополнения в данные тактико-технические требования по улучшению конструкции по согласованию с И КО, БТУКА и НКТП» (17484).</w:t>
      </w:r>
    </w:p>
    <w:p w14:paraId="3F024614" w14:textId="77777777" w:rsidR="0025012D" w:rsidRPr="008127F8" w:rsidRDefault="0025012D" w:rsidP="001E0A84">
      <w:pPr>
        <w:pStyle w:val="Bodytext141"/>
        <w:shd w:val="clear" w:color="auto" w:fill="auto"/>
        <w:spacing w:line="240" w:lineRule="auto"/>
        <w:ind w:firstLine="0"/>
        <w:jc w:val="both"/>
        <w:rPr>
          <w:i w:val="0"/>
          <w:color w:val="000000" w:themeColor="text1"/>
          <w:sz w:val="16"/>
          <w:szCs w:val="16"/>
        </w:rPr>
      </w:pPr>
    </w:p>
    <w:p w14:paraId="5547527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базе НИИ-24 под общим руководст</w:t>
      </w:r>
      <w:r w:rsidRPr="008127F8">
        <w:rPr>
          <w:rFonts w:ascii="Times New Roman" w:hAnsi="Times New Roman"/>
          <w:color w:val="000000" w:themeColor="text1"/>
          <w:sz w:val="16"/>
          <w:szCs w:val="16"/>
        </w:rPr>
        <w:softHyphen/>
        <w:t>вом В. Константинова была образована группа И. Бурмистрова, целью которой было изучить немецкие «бронебойные штучки» и разработать подобные для наших артиллерийских систем. Понятное дело, что главное назначение указанные снаряды должны были найти именно в БК 45-мм противо</w:t>
      </w:r>
      <w:r w:rsidRPr="008127F8">
        <w:rPr>
          <w:rFonts w:ascii="Times New Roman" w:hAnsi="Times New Roman"/>
          <w:color w:val="000000" w:themeColor="text1"/>
          <w:sz w:val="16"/>
          <w:szCs w:val="16"/>
        </w:rPr>
        <w:softHyphen/>
        <w:t>танковых пушек, ввиду их наибольшего распространения и достижения ими предельных характеристик... Группа работа</w:t>
      </w:r>
      <w:r w:rsidRPr="008127F8">
        <w:rPr>
          <w:rFonts w:ascii="Times New Roman" w:hAnsi="Times New Roman"/>
          <w:color w:val="000000" w:themeColor="text1"/>
          <w:sz w:val="16"/>
          <w:szCs w:val="16"/>
        </w:rPr>
        <w:softHyphen/>
        <w:t>ла в форсированном режиме и уже в марте провела испыта</w:t>
      </w:r>
      <w:r w:rsidRPr="008127F8">
        <w:rPr>
          <w:rFonts w:ascii="Times New Roman" w:hAnsi="Times New Roman"/>
          <w:color w:val="000000" w:themeColor="text1"/>
          <w:sz w:val="16"/>
          <w:szCs w:val="16"/>
        </w:rPr>
        <w:softHyphen/>
        <w:t>ния первых пяти образцов 45-мм подкалиберного снаряда, пробивших бронеплиту танка КВ средней твердости толщи</w:t>
      </w:r>
      <w:r w:rsidRPr="008127F8">
        <w:rPr>
          <w:rFonts w:ascii="Times New Roman" w:hAnsi="Times New Roman"/>
          <w:color w:val="000000" w:themeColor="text1"/>
          <w:sz w:val="16"/>
          <w:szCs w:val="16"/>
        </w:rPr>
        <w:softHyphen/>
        <w:t>ной 75 мм со скоростью, соответствующей удалению в 300 м. Эффект превзошел все ожидания, и 1 апреля 1942 г., несмот</w:t>
      </w:r>
      <w:r w:rsidRPr="008127F8">
        <w:rPr>
          <w:rFonts w:ascii="Times New Roman" w:hAnsi="Times New Roman"/>
          <w:color w:val="000000" w:themeColor="text1"/>
          <w:sz w:val="16"/>
          <w:szCs w:val="16"/>
        </w:rPr>
        <w:softHyphen/>
        <w:t>ря на то что программа испытаний еще не была окончена, снаряд принимается на вооружение.</w:t>
      </w:r>
    </w:p>
    <w:p w14:paraId="2C3494D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Новый снаряд представлял собой поддон из поделоч</w:t>
      </w:r>
      <w:r w:rsidRPr="008127F8">
        <w:rPr>
          <w:rFonts w:ascii="Times New Roman" w:hAnsi="Times New Roman"/>
          <w:color w:val="000000" w:themeColor="text1"/>
          <w:sz w:val="16"/>
          <w:szCs w:val="16"/>
        </w:rPr>
        <w:softHyphen/>
        <w:t>ной или конструкционной стали катушечной формы, в го</w:t>
      </w:r>
      <w:r w:rsidRPr="008127F8">
        <w:rPr>
          <w:rFonts w:ascii="Times New Roman" w:hAnsi="Times New Roman"/>
          <w:color w:val="000000" w:themeColor="text1"/>
          <w:sz w:val="16"/>
          <w:szCs w:val="16"/>
        </w:rPr>
        <w:softHyphen/>
        <w:t>ловное очко которого запрессовывался или вставлялся на специальной мастике сердечник из карбида вольфрама, с головной части прикрываемый баллистическим наконеч</w:t>
      </w:r>
      <w:r w:rsidRPr="008127F8">
        <w:rPr>
          <w:rFonts w:ascii="Times New Roman" w:hAnsi="Times New Roman"/>
          <w:color w:val="000000" w:themeColor="text1"/>
          <w:sz w:val="16"/>
          <w:szCs w:val="16"/>
        </w:rPr>
        <w:softHyphen/>
        <w:t>ником из кровельного железа или пластмассы. В хвостовой части снаряда растачивалось гнездо трассера.</w:t>
      </w:r>
    </w:p>
    <w:p w14:paraId="783E2F7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Роль поддона была в том, чтобы играть роль центриру</w:t>
      </w:r>
      <w:r w:rsidRPr="008127F8">
        <w:rPr>
          <w:rFonts w:ascii="Times New Roman" w:hAnsi="Times New Roman"/>
          <w:color w:val="000000" w:themeColor="text1"/>
          <w:sz w:val="16"/>
          <w:szCs w:val="16"/>
        </w:rPr>
        <w:softHyphen/>
        <w:t>ющего устройства сердечника при выстреле, затем донести сердечник до цели и отдать ему часть своей кинетической энергии. Высокая пробивная способность подкалиберного снаряда обуславливалась его высокой начальной скорос</w:t>
      </w:r>
      <w:r w:rsidRPr="008127F8">
        <w:rPr>
          <w:rFonts w:ascii="Times New Roman" w:hAnsi="Times New Roman"/>
          <w:color w:val="000000" w:themeColor="text1"/>
          <w:sz w:val="16"/>
          <w:szCs w:val="16"/>
        </w:rPr>
        <w:softHyphen/>
        <w:t>тью (снаряд был значительно легче бронебойного калибер-ного при сравнимом пороховом заряде), а также высокой прочностью и большой поперечной нагрузкой сердечника диаметром 20 мм. При соударении с броней баллистичес</w:t>
      </w:r>
      <w:r w:rsidRPr="008127F8">
        <w:rPr>
          <w:rFonts w:ascii="Times New Roman" w:hAnsi="Times New Roman"/>
          <w:color w:val="000000" w:themeColor="text1"/>
          <w:sz w:val="16"/>
          <w:szCs w:val="16"/>
        </w:rPr>
        <w:softHyphen/>
        <w:t>кий сердечник разрушался и почти весь импульс снаряда передавался сердечнику, тогда как поддон, сминаясь, оста</w:t>
      </w:r>
      <w:r w:rsidRPr="008127F8">
        <w:rPr>
          <w:rFonts w:ascii="Times New Roman" w:hAnsi="Times New Roman"/>
          <w:color w:val="000000" w:themeColor="text1"/>
          <w:sz w:val="16"/>
          <w:szCs w:val="16"/>
        </w:rPr>
        <w:softHyphen/>
        <w:t>вался за броней...</w:t>
      </w:r>
    </w:p>
    <w:p w14:paraId="04AF55F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несмотря на то что разработка снаряда закончилась весной 1942 г., его крупносерийное производство было на</w:t>
      </w:r>
      <w:r w:rsidRPr="008127F8">
        <w:rPr>
          <w:rFonts w:ascii="Times New Roman" w:hAnsi="Times New Roman"/>
          <w:color w:val="000000" w:themeColor="text1"/>
          <w:sz w:val="16"/>
          <w:szCs w:val="16"/>
        </w:rPr>
        <w:softHyphen/>
        <w:t>чато только в 1943 г. Связано это было с тем, что техноло</w:t>
      </w:r>
      <w:r w:rsidRPr="008127F8">
        <w:rPr>
          <w:rFonts w:ascii="Times New Roman" w:hAnsi="Times New Roman"/>
          <w:color w:val="000000" w:themeColor="text1"/>
          <w:sz w:val="16"/>
          <w:szCs w:val="16"/>
        </w:rPr>
        <w:softHyphen/>
        <w:t>гия изготовления сердечников из порошкового материала прессованием, разработнанная под руководством В. Рискина, Г. Левина и М. Медведева, была отработана лишь к середине 1942 г., в рамках которой инженер В. Семченко разработал простые пресс-формы, а также по причине по</w:t>
      </w:r>
      <w:r w:rsidRPr="008127F8">
        <w:rPr>
          <w:rFonts w:ascii="Times New Roman" w:hAnsi="Times New Roman"/>
          <w:color w:val="000000" w:themeColor="text1"/>
          <w:sz w:val="16"/>
          <w:szCs w:val="16"/>
        </w:rPr>
        <w:softHyphen/>
        <w:t>явления в начале 1943 г. на фронте немецких танков «Тигр» и Т-IV с усиленной лобовой броней, неуязвимой для 45-мм бронебойного снаряда (11135).</w:t>
      </w:r>
    </w:p>
    <w:p w14:paraId="558118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256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из состава УЗТМ артиллерий</w:t>
      </w:r>
      <w:r w:rsidRPr="008127F8">
        <w:rPr>
          <w:rFonts w:ascii="Times New Roman" w:hAnsi="Times New Roman"/>
          <w:color w:val="000000" w:themeColor="text1"/>
          <w:sz w:val="16"/>
          <w:szCs w:val="16"/>
        </w:rPr>
        <w:softHyphen/>
        <w:t>ские цеха были выделены в самостоятельный артиллерийский завод № 9 НКВ, однако, часть конструкторов объединенного конструкторского бюро была оставлена на заводе для ведения серийного производства корпу</w:t>
      </w:r>
      <w:r w:rsidRPr="008127F8">
        <w:rPr>
          <w:rFonts w:ascii="Times New Roman" w:hAnsi="Times New Roman"/>
          <w:color w:val="000000" w:themeColor="text1"/>
          <w:sz w:val="16"/>
          <w:szCs w:val="16"/>
        </w:rPr>
        <w:softHyphen/>
        <w:t>сов танка КВ (из этой группы впоследствии, летом 1942 г. был образо</w:t>
      </w:r>
      <w:r w:rsidRPr="008127F8">
        <w:rPr>
          <w:rFonts w:ascii="Times New Roman" w:hAnsi="Times New Roman"/>
          <w:color w:val="000000" w:themeColor="text1"/>
          <w:sz w:val="16"/>
          <w:szCs w:val="16"/>
        </w:rPr>
        <w:softHyphen/>
        <w:t>ван конструкторский отдел по проектированию новых САУ). В течение февраля - апреля 1942 г. этой оставшейся частью КБ был выполнен ряд проектных работ по созданию новых САУ. В их числе были проекты тя</w:t>
      </w:r>
      <w:r w:rsidRPr="008127F8">
        <w:rPr>
          <w:rFonts w:ascii="Times New Roman" w:hAnsi="Times New Roman"/>
          <w:color w:val="000000" w:themeColor="text1"/>
          <w:sz w:val="16"/>
          <w:szCs w:val="16"/>
        </w:rPr>
        <w:softHyphen/>
        <w:t>желых самоходных установок, получивших индексы "У-18" и "У-19" (10703).</w:t>
      </w:r>
    </w:p>
    <w:p w14:paraId="72E8015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903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в НИИ-6 организовано СТБ (специальное техническое бюро) во главе с И.М. Найманом для работ по механизации производства зарядов. В СТБ НИИ-6 разработана конструкция гранатомета ПГ-6 (1944 г.) под РПГ-6 (10776).</w:t>
      </w:r>
    </w:p>
    <w:p w14:paraId="2868B5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E7D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1942г. в НИИ-6 (НИИ-6 НКОП, НКБ, МСХМ, ММ, МОП,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 (11982).</w:t>
      </w:r>
    </w:p>
    <w:p w14:paraId="4AE2EE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1B37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параллельно с внедрением в производство автоматической сварки на заводе № 183 велась интенсивная работа по увеличе</w:t>
      </w:r>
      <w:r w:rsidRPr="008127F8">
        <w:rPr>
          <w:rFonts w:ascii="Times New Roman" w:hAnsi="Times New Roman"/>
          <w:color w:val="000000" w:themeColor="text1"/>
          <w:sz w:val="16"/>
          <w:szCs w:val="16"/>
        </w:rPr>
        <w:softHyphen/>
        <w:t>нию выпуска литых башен для танка Т-34. Маломощное оборудование УВЗ не позволяло формовать многотонную башню. Металлург завода П.П. Маляров предложил делать для нее модели по частям. Это потре</w:t>
      </w:r>
      <w:r w:rsidRPr="008127F8">
        <w:rPr>
          <w:rFonts w:ascii="Times New Roman" w:hAnsi="Times New Roman"/>
          <w:color w:val="000000" w:themeColor="text1"/>
          <w:sz w:val="16"/>
          <w:szCs w:val="16"/>
        </w:rPr>
        <w:softHyphen/>
        <w:t>бовало в срочном порядке разработать совершенно новую конструкцию башни (10703).</w:t>
      </w:r>
    </w:p>
    <w:p w14:paraId="197F357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2466F" w14:textId="77777777" w:rsidR="00A867FD" w:rsidRPr="008127F8" w:rsidRDefault="00A867FD" w:rsidP="001E0A84">
      <w:pPr>
        <w:pStyle w:val="a4"/>
        <w:rPr>
          <w:color w:val="000000" w:themeColor="text1"/>
          <w:lang w:val="ru-RU"/>
        </w:rPr>
      </w:pPr>
      <w:r w:rsidRPr="008127F8">
        <w:rPr>
          <w:color w:val="000000" w:themeColor="text1"/>
          <w:lang w:val="ru-RU"/>
        </w:rPr>
        <w:t>В начале 1942 г. КВ-7 (вместе с огнеметным танком КВ-8) был показан руководству страны в Москве. На полигоне с ним детально ознако</w:t>
      </w:r>
      <w:r w:rsidRPr="008127F8">
        <w:rPr>
          <w:color w:val="000000" w:themeColor="text1"/>
          <w:lang w:val="ru-RU"/>
        </w:rPr>
        <w:softHyphen/>
        <w:t>мились военные специалисты, а потом он был продемонстрирован в Кремле.</w:t>
      </w:r>
    </w:p>
    <w:p w14:paraId="63C4D90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вывод, который сделали кон</w:t>
      </w:r>
      <w:r w:rsidRPr="008127F8">
        <w:rPr>
          <w:rFonts w:ascii="Times New Roman" w:hAnsi="Times New Roman"/>
          <w:color w:val="000000" w:themeColor="text1"/>
          <w:sz w:val="16"/>
          <w:szCs w:val="16"/>
        </w:rPr>
        <w:softHyphen/>
        <w:t>структоры ЧКЗ в ходе работы над КВ-7, заклю</w:t>
      </w:r>
      <w:r w:rsidRPr="008127F8">
        <w:rPr>
          <w:rFonts w:ascii="Times New Roman" w:hAnsi="Times New Roman"/>
          <w:color w:val="000000" w:themeColor="text1"/>
          <w:sz w:val="16"/>
          <w:szCs w:val="16"/>
        </w:rPr>
        <w:softHyphen/>
        <w:t>чался в том, что, не изменяя принципиально компоновку базового танка, можно на рамоч</w:t>
      </w:r>
      <w:r w:rsidRPr="008127F8">
        <w:rPr>
          <w:rFonts w:ascii="Times New Roman" w:hAnsi="Times New Roman"/>
          <w:color w:val="000000" w:themeColor="text1"/>
          <w:sz w:val="16"/>
          <w:szCs w:val="16"/>
        </w:rPr>
        <w:softHyphen/>
        <w:t>ном подвесе установить одну, но более мощ</w:t>
      </w:r>
      <w:r w:rsidRPr="008127F8">
        <w:rPr>
          <w:rFonts w:ascii="Times New Roman" w:hAnsi="Times New Roman"/>
          <w:color w:val="000000" w:themeColor="text1"/>
          <w:sz w:val="16"/>
          <w:szCs w:val="16"/>
        </w:rPr>
        <w:softHyphen/>
        <w:t>ную пушку. Однако в начале 1942 г. артилле</w:t>
      </w:r>
      <w:r w:rsidRPr="008127F8">
        <w:rPr>
          <w:rFonts w:ascii="Times New Roman" w:hAnsi="Times New Roman"/>
          <w:color w:val="000000" w:themeColor="text1"/>
          <w:sz w:val="16"/>
          <w:szCs w:val="16"/>
        </w:rPr>
        <w:softHyphen/>
        <w:t>рийские заводы такое орудие предложить еще не могли (12619).</w:t>
      </w:r>
    </w:p>
    <w:p w14:paraId="11C5DC8C"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6EAAB0E3"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 ЧКЗ была вы</w:t>
      </w:r>
      <w:r w:rsidRPr="008127F8">
        <w:rPr>
          <w:rFonts w:ascii="Times New Roman" w:hAnsi="Times New Roman"/>
          <w:color w:val="000000" w:themeColor="text1"/>
          <w:sz w:val="16"/>
          <w:szCs w:val="16"/>
        </w:rPr>
        <w:softHyphen/>
        <w:t>полнена окончательная сборка машины, получившей обозначение КВ-7. Эта машина стала первой тяжелой самоход</w:t>
      </w:r>
      <w:r w:rsidRPr="008127F8">
        <w:rPr>
          <w:rFonts w:ascii="Times New Roman" w:hAnsi="Times New Roman"/>
          <w:color w:val="000000" w:themeColor="text1"/>
          <w:sz w:val="16"/>
          <w:szCs w:val="16"/>
        </w:rPr>
        <w:softHyphen/>
        <w:t>ной артиллерийской установкой, создан</w:t>
      </w:r>
      <w:r w:rsidRPr="008127F8">
        <w:rPr>
          <w:rFonts w:ascii="Times New Roman" w:hAnsi="Times New Roman"/>
          <w:color w:val="000000" w:themeColor="text1"/>
          <w:sz w:val="16"/>
          <w:szCs w:val="16"/>
        </w:rPr>
        <w:softHyphen/>
        <w:t>ной в СССР в годы Великой Отечествен</w:t>
      </w:r>
      <w:r w:rsidRPr="008127F8">
        <w:rPr>
          <w:rFonts w:ascii="Times New Roman" w:hAnsi="Times New Roman"/>
          <w:color w:val="000000" w:themeColor="text1"/>
          <w:sz w:val="16"/>
          <w:szCs w:val="16"/>
        </w:rPr>
        <w:softHyphen/>
        <w:t>ной войны. Впервые примененная на этой машине рамочная конструкция ус</w:t>
      </w:r>
      <w:r w:rsidRPr="008127F8">
        <w:rPr>
          <w:rFonts w:ascii="Times New Roman" w:hAnsi="Times New Roman"/>
          <w:color w:val="000000" w:themeColor="text1"/>
          <w:sz w:val="16"/>
          <w:szCs w:val="16"/>
        </w:rPr>
        <w:softHyphen/>
        <w:t>тановки орудий впоследствии использо</w:t>
      </w:r>
      <w:r w:rsidRPr="008127F8">
        <w:rPr>
          <w:rFonts w:ascii="Times New Roman" w:hAnsi="Times New Roman"/>
          <w:color w:val="000000" w:themeColor="text1"/>
          <w:sz w:val="16"/>
          <w:szCs w:val="16"/>
        </w:rPr>
        <w:softHyphen/>
        <w:t>валась почти на всех советских самоход</w:t>
      </w:r>
      <w:r w:rsidRPr="008127F8">
        <w:rPr>
          <w:rFonts w:ascii="Times New Roman" w:hAnsi="Times New Roman"/>
          <w:color w:val="000000" w:themeColor="text1"/>
          <w:sz w:val="16"/>
          <w:szCs w:val="16"/>
        </w:rPr>
        <w:softHyphen/>
        <w:t>ках. По сравнению с тумбовыми установ</w:t>
      </w:r>
      <w:r w:rsidRPr="008127F8">
        <w:rPr>
          <w:rFonts w:ascii="Times New Roman" w:hAnsi="Times New Roman"/>
          <w:color w:val="000000" w:themeColor="text1"/>
          <w:sz w:val="16"/>
          <w:szCs w:val="16"/>
        </w:rPr>
        <w:softHyphen/>
        <w:t>ками, она обеспечивала наиболее компактное размещение орудия внутри боевой рубки.</w:t>
      </w:r>
    </w:p>
    <w:p w14:paraId="2550DFFD" w14:textId="77777777" w:rsidR="00011043" w:rsidRPr="008127F8" w:rsidRDefault="00011043"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Учитывая сжатые сроки проектирова</w:t>
      </w:r>
      <w:r w:rsidRPr="008127F8">
        <w:rPr>
          <w:rFonts w:ascii="Times New Roman" w:cs="Times New Roman"/>
          <w:color w:val="000000" w:themeColor="text1"/>
          <w:spacing w:val="0"/>
        </w:rPr>
        <w:softHyphen/>
        <w:t>ния, в качестве шасси взяли без измене</w:t>
      </w:r>
      <w:r w:rsidRPr="008127F8">
        <w:rPr>
          <w:rFonts w:ascii="Times New Roman" w:cs="Times New Roman"/>
          <w:color w:val="000000" w:themeColor="text1"/>
          <w:spacing w:val="0"/>
        </w:rPr>
        <w:softHyphen/>
        <w:t>ний ходовую часть танка КВ-1. В перед</w:t>
      </w:r>
      <w:r w:rsidRPr="008127F8">
        <w:rPr>
          <w:rFonts w:ascii="Times New Roman" w:cs="Times New Roman"/>
          <w:color w:val="000000" w:themeColor="text1"/>
          <w:spacing w:val="0"/>
        </w:rPr>
        <w:softHyphen/>
        <w:t>ней части корпуса смонтировали боевую рубку, сваренную из 75-мм броневых ли</w:t>
      </w:r>
      <w:r w:rsidRPr="008127F8">
        <w:rPr>
          <w:rFonts w:ascii="Times New Roman" w:cs="Times New Roman"/>
          <w:color w:val="000000" w:themeColor="text1"/>
          <w:spacing w:val="0"/>
        </w:rPr>
        <w:softHyphen/>
        <w:t>стов. Кроме того, лобовые листы корпуса и рубки усилили 20-мм броневыми экра</w:t>
      </w:r>
      <w:r w:rsidRPr="008127F8">
        <w:rPr>
          <w:rFonts w:ascii="Times New Roman" w:cs="Times New Roman"/>
          <w:color w:val="000000" w:themeColor="text1"/>
          <w:spacing w:val="0"/>
        </w:rPr>
        <w:softHyphen/>
        <w:t>нами. Рубка была шире корпуса, поэтому с бортов выходила за его габариты и на</w:t>
      </w:r>
      <w:r w:rsidRPr="008127F8">
        <w:rPr>
          <w:rFonts w:ascii="Times New Roman" w:cs="Times New Roman"/>
          <w:color w:val="000000" w:themeColor="text1"/>
          <w:spacing w:val="0"/>
        </w:rPr>
        <w:softHyphen/>
        <w:t>висала над гусеницами. Из-за больших, по сравнению с танком, габаритов воору</w:t>
      </w:r>
      <w:r w:rsidRPr="008127F8">
        <w:rPr>
          <w:rFonts w:ascii="Times New Roman" w:cs="Times New Roman"/>
          <w:color w:val="000000" w:themeColor="text1"/>
          <w:spacing w:val="0"/>
        </w:rPr>
        <w:softHyphen/>
        <w:t>жения в машине пришлось изменить расположение топливных и масляных ба</w:t>
      </w:r>
      <w:r w:rsidRPr="008127F8">
        <w:rPr>
          <w:rFonts w:ascii="Times New Roman" w:cs="Times New Roman"/>
          <w:color w:val="000000" w:themeColor="text1"/>
          <w:spacing w:val="0"/>
        </w:rPr>
        <w:softHyphen/>
        <w:t>ков.</w:t>
      </w:r>
    </w:p>
    <w:p w14:paraId="2AADB990"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Артиллерийские орудия, согласно зада</w:t>
      </w:r>
      <w:r w:rsidRPr="008127F8">
        <w:rPr>
          <w:rFonts w:ascii="Times New Roman" w:hAnsi="Times New Roman"/>
          <w:color w:val="000000" w:themeColor="text1"/>
          <w:sz w:val="16"/>
          <w:szCs w:val="16"/>
        </w:rPr>
        <w:softHyphen/>
        <w:t>нию, должны были быть смонтированы в едином блоке. Предполагалось, что одна машина, вооруженная тремя пушками, сможет более эффективно обеспечить поражение различных целей при сопро</w:t>
      </w:r>
      <w:r w:rsidRPr="008127F8">
        <w:rPr>
          <w:rFonts w:ascii="Times New Roman" w:hAnsi="Times New Roman"/>
          <w:color w:val="000000" w:themeColor="text1"/>
          <w:sz w:val="16"/>
          <w:szCs w:val="16"/>
        </w:rPr>
        <w:softHyphen/>
        <w:t>вождении танков. В итоге вооружение машины состояло из строенных на об</w:t>
      </w:r>
      <w:r w:rsidRPr="008127F8">
        <w:rPr>
          <w:rFonts w:ascii="Times New Roman" w:hAnsi="Times New Roman"/>
          <w:color w:val="000000" w:themeColor="text1"/>
          <w:sz w:val="16"/>
          <w:szCs w:val="16"/>
        </w:rPr>
        <w:softHyphen/>
        <w:t>щей люльке одной 76-мм танковой пуш</w:t>
      </w:r>
      <w:r w:rsidRPr="008127F8">
        <w:rPr>
          <w:rFonts w:ascii="Times New Roman" w:hAnsi="Times New Roman"/>
          <w:color w:val="000000" w:themeColor="text1"/>
          <w:sz w:val="16"/>
          <w:szCs w:val="16"/>
        </w:rPr>
        <w:softHyphen/>
        <w:t>ки Ф-34 и двух 45-мм танковых пушек 20К обр. 1932/34 г. Конструкция установ</w:t>
      </w:r>
      <w:r w:rsidRPr="008127F8">
        <w:rPr>
          <w:rFonts w:ascii="Times New Roman" w:hAnsi="Times New Roman"/>
          <w:color w:val="000000" w:themeColor="text1"/>
          <w:sz w:val="16"/>
          <w:szCs w:val="16"/>
        </w:rPr>
        <w:softHyphen/>
        <w:t>ки позволяла производить одновремен</w:t>
      </w:r>
      <w:r w:rsidRPr="008127F8">
        <w:rPr>
          <w:rFonts w:ascii="Times New Roman" w:hAnsi="Times New Roman"/>
          <w:color w:val="000000" w:themeColor="text1"/>
          <w:sz w:val="16"/>
          <w:szCs w:val="16"/>
        </w:rPr>
        <w:softHyphen/>
        <w:t>ный залп из трех орудий или вести оди</w:t>
      </w:r>
      <w:r w:rsidRPr="008127F8">
        <w:rPr>
          <w:rFonts w:ascii="Times New Roman" w:hAnsi="Times New Roman"/>
          <w:color w:val="000000" w:themeColor="text1"/>
          <w:sz w:val="16"/>
          <w:szCs w:val="16"/>
        </w:rPr>
        <w:softHyphen/>
        <w:t>ночный огонь из любого из них. Общая люлька с полосками и гнездами для крепления противооткатных устройств всех трех орудий имела возможность с помощью подъемного механизма вертикально вращаться на горизонтальных цапфах, закрепленных в массивной рам</w:t>
      </w:r>
      <w:r w:rsidRPr="008127F8">
        <w:rPr>
          <w:rFonts w:ascii="Times New Roman" w:hAnsi="Times New Roman"/>
          <w:color w:val="000000" w:themeColor="text1"/>
          <w:sz w:val="16"/>
          <w:szCs w:val="16"/>
        </w:rPr>
        <w:softHyphen/>
        <w:t>ке. В свою очередь, рамка могла с помо</w:t>
      </w:r>
      <w:r w:rsidRPr="008127F8">
        <w:rPr>
          <w:rFonts w:ascii="Times New Roman" w:hAnsi="Times New Roman"/>
          <w:color w:val="000000" w:themeColor="text1"/>
          <w:sz w:val="16"/>
          <w:szCs w:val="16"/>
        </w:rPr>
        <w:softHyphen/>
        <w:t>щью поворотного механизма горизон</w:t>
      </w:r>
      <w:r w:rsidRPr="008127F8">
        <w:rPr>
          <w:rFonts w:ascii="Times New Roman" w:hAnsi="Times New Roman"/>
          <w:color w:val="000000" w:themeColor="text1"/>
          <w:sz w:val="16"/>
          <w:szCs w:val="16"/>
        </w:rPr>
        <w:softHyphen/>
        <w:t>тально вращаться на вертикальных цап</w:t>
      </w:r>
      <w:r w:rsidRPr="008127F8">
        <w:rPr>
          <w:rFonts w:ascii="Times New Roman" w:hAnsi="Times New Roman"/>
          <w:color w:val="000000" w:themeColor="text1"/>
          <w:sz w:val="16"/>
          <w:szCs w:val="16"/>
        </w:rPr>
        <w:softHyphen/>
        <w:t>фах, закрепленных в неподвижной бронировке, установленной на корпусе машины. Таким образом, наведение всех трех орудий производилось одновремен</w:t>
      </w:r>
      <w:r w:rsidRPr="008127F8">
        <w:rPr>
          <w:rFonts w:ascii="Times New Roman" w:hAnsi="Times New Roman"/>
          <w:color w:val="000000" w:themeColor="text1"/>
          <w:sz w:val="16"/>
          <w:szCs w:val="16"/>
        </w:rPr>
        <w:softHyphen/>
        <w:t>но общими механизмами. Вертикальный угол наведения составлял от +15° до -5°, горизонтальный — 15°, то есть по 7°30' в каждую сторону. Неподвижная брони</w:t>
      </w:r>
      <w:r w:rsidRPr="008127F8">
        <w:rPr>
          <w:rFonts w:ascii="Times New Roman" w:hAnsi="Times New Roman"/>
          <w:color w:val="000000" w:themeColor="text1"/>
          <w:sz w:val="16"/>
          <w:szCs w:val="16"/>
        </w:rPr>
        <w:softHyphen/>
        <w:t>ровка прикрывалась подвижным щитом толщиной 100 мм. Зазор между подвиж</w:t>
      </w:r>
      <w:r w:rsidRPr="008127F8">
        <w:rPr>
          <w:rFonts w:ascii="Times New Roman" w:hAnsi="Times New Roman"/>
          <w:color w:val="000000" w:themeColor="text1"/>
          <w:sz w:val="16"/>
          <w:szCs w:val="16"/>
        </w:rPr>
        <w:softHyphen/>
        <w:t>ной бронировкой и корпусом машины был защищен броневым прикрытием. При стрельбе из пушек использовался телескопический прицел ТМФД-7. Вспо</w:t>
      </w:r>
      <w:r w:rsidRPr="008127F8">
        <w:rPr>
          <w:rFonts w:ascii="Times New Roman" w:hAnsi="Times New Roman"/>
          <w:color w:val="000000" w:themeColor="text1"/>
          <w:sz w:val="16"/>
          <w:szCs w:val="16"/>
        </w:rPr>
        <w:softHyphen/>
        <w:t>могательным вооружением служили два пулемета ДТ, установленные в шаровых опорах: один - в лобовом листе корпуса, второй — в кормовом листе боевой руб</w:t>
      </w:r>
      <w:r w:rsidRPr="008127F8">
        <w:rPr>
          <w:rFonts w:ascii="Times New Roman" w:hAnsi="Times New Roman"/>
          <w:color w:val="000000" w:themeColor="text1"/>
          <w:sz w:val="16"/>
          <w:szCs w:val="16"/>
        </w:rPr>
        <w:softHyphen/>
        <w:t>ки. Боекомплект машины состоял из 93 выстрелов калибра 76 мм, 200 выстрелов калибра 45 мм и 3591 патрона к пулеме</w:t>
      </w:r>
      <w:r w:rsidRPr="008127F8">
        <w:rPr>
          <w:rFonts w:ascii="Times New Roman" w:hAnsi="Times New Roman"/>
          <w:color w:val="000000" w:themeColor="text1"/>
          <w:sz w:val="16"/>
          <w:szCs w:val="16"/>
        </w:rPr>
        <w:softHyphen/>
        <w:t>там ДТ. Экипаж установки включал шесть человек. Механик-водитель и стрелок-радист находились в отделении управления аналогично танку КВ-1. В боевом отделении слева от орудий разме</w:t>
      </w:r>
      <w:r w:rsidRPr="008127F8">
        <w:rPr>
          <w:rFonts w:ascii="Times New Roman" w:hAnsi="Times New Roman"/>
          <w:color w:val="000000" w:themeColor="text1"/>
          <w:sz w:val="16"/>
          <w:szCs w:val="16"/>
        </w:rPr>
        <w:softHyphen/>
        <w:t>щался наводчик, за ним — первый заря</w:t>
      </w:r>
      <w:r w:rsidRPr="008127F8">
        <w:rPr>
          <w:rFonts w:ascii="Times New Roman" w:hAnsi="Times New Roman"/>
          <w:color w:val="000000" w:themeColor="text1"/>
          <w:sz w:val="16"/>
          <w:szCs w:val="16"/>
        </w:rPr>
        <w:softHyphen/>
        <w:t>жающий, справа от орудий впереди — ко</w:t>
      </w:r>
      <w:r w:rsidRPr="008127F8">
        <w:rPr>
          <w:rFonts w:ascii="Times New Roman" w:hAnsi="Times New Roman"/>
          <w:color w:val="000000" w:themeColor="text1"/>
          <w:sz w:val="16"/>
          <w:szCs w:val="16"/>
        </w:rPr>
        <w:softHyphen/>
        <w:t>мандир машины, за ним — второй заря</w:t>
      </w:r>
      <w:r w:rsidRPr="008127F8">
        <w:rPr>
          <w:rFonts w:ascii="Times New Roman" w:hAnsi="Times New Roman"/>
          <w:color w:val="000000" w:themeColor="text1"/>
          <w:sz w:val="16"/>
          <w:szCs w:val="16"/>
        </w:rPr>
        <w:softHyphen/>
        <w:t>жающий.</w:t>
      </w:r>
    </w:p>
    <w:p w14:paraId="65B49C2E" w14:textId="77777777" w:rsidR="00011043" w:rsidRPr="008127F8" w:rsidRDefault="00011043"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После нескольких заводских пробегов самоход КВ-7 в спешном порядке отпра</w:t>
      </w:r>
      <w:r w:rsidRPr="008127F8">
        <w:rPr>
          <w:rFonts w:ascii="Times New Roman" w:cs="Times New Roman"/>
          <w:color w:val="000000" w:themeColor="text1"/>
          <w:spacing w:val="0"/>
        </w:rPr>
        <w:softHyphen/>
        <w:t xml:space="preserve">вили в Москву. Несмотря на </w:t>
      </w:r>
      <w:proofErr w:type="gramStart"/>
      <w:r w:rsidRPr="008127F8">
        <w:rPr>
          <w:rFonts w:ascii="Times New Roman" w:cs="Times New Roman"/>
          <w:color w:val="000000" w:themeColor="text1"/>
          <w:spacing w:val="0"/>
        </w:rPr>
        <w:t>то</w:t>
      </w:r>
      <w:proofErr w:type="gramEnd"/>
      <w:r w:rsidRPr="008127F8">
        <w:rPr>
          <w:rFonts w:ascii="Times New Roman" w:cs="Times New Roman"/>
          <w:color w:val="000000" w:themeColor="text1"/>
          <w:spacing w:val="0"/>
        </w:rPr>
        <w:t xml:space="preserve"> что КВ-7 проектировался по заявкам военных как «штурмовой танк с массированным ар</w:t>
      </w:r>
      <w:r w:rsidRPr="008127F8">
        <w:rPr>
          <w:rFonts w:ascii="Times New Roman" w:cs="Times New Roman"/>
          <w:color w:val="000000" w:themeColor="text1"/>
          <w:spacing w:val="0"/>
        </w:rPr>
        <w:softHyphen/>
        <w:t>тогнем, способный наиболее успешно подавлять артбатареи и разрушать оборо</w:t>
      </w:r>
      <w:r w:rsidRPr="008127F8">
        <w:rPr>
          <w:rFonts w:ascii="Times New Roman" w:cs="Times New Roman"/>
          <w:color w:val="000000" w:themeColor="text1"/>
          <w:spacing w:val="0"/>
        </w:rPr>
        <w:softHyphen/>
        <w:t>нительные сооружения противника», он не получил одобрения у представителей ГБТУ и командования Красной Армии. В качестве главных недостатков машины отмечалось:</w:t>
      </w:r>
    </w:p>
    <w:p w14:paraId="5CD88CDE" w14:textId="77777777" w:rsidR="00011043" w:rsidRPr="008127F8" w:rsidRDefault="00011043"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наличие в одном блоке орудий раз</w:t>
      </w:r>
      <w:r w:rsidRPr="008127F8">
        <w:rPr>
          <w:rFonts w:ascii="Times New Roman" w:cs="Times New Roman"/>
          <w:color w:val="000000" w:themeColor="text1"/>
          <w:spacing w:val="0"/>
        </w:rPr>
        <w:softHyphen/>
        <w:t>личных калибров с различной баллисти</w:t>
      </w:r>
      <w:r w:rsidRPr="008127F8">
        <w:rPr>
          <w:rFonts w:ascii="Times New Roman" w:cs="Times New Roman"/>
          <w:color w:val="000000" w:themeColor="text1"/>
          <w:spacing w:val="0"/>
        </w:rPr>
        <w:softHyphen/>
        <w:t>кой, что не позволяло вести прицельную стрельбу одновременно из трех орудий, так как в зависимости от дистанции до цели углы вертикального наведения ору</w:t>
      </w:r>
      <w:r w:rsidRPr="008127F8">
        <w:rPr>
          <w:rFonts w:ascii="Times New Roman" w:cs="Times New Roman"/>
          <w:color w:val="000000" w:themeColor="text1"/>
          <w:spacing w:val="0"/>
        </w:rPr>
        <w:softHyphen/>
        <w:t>дий различны;</w:t>
      </w:r>
    </w:p>
    <w:p w14:paraId="7AA0F9A9" w14:textId="77777777"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при стрельбе из крайних орудий, благодаря наличию значительного рас</w:t>
      </w:r>
      <w:r w:rsidRPr="008127F8">
        <w:rPr>
          <w:rFonts w:ascii="Times New Roman" w:hAnsi="Times New Roman"/>
          <w:color w:val="000000" w:themeColor="text1"/>
          <w:sz w:val="16"/>
          <w:szCs w:val="16"/>
        </w:rPr>
        <w:softHyphen/>
        <w:t>стояния между осью вращения блока орудий и осью бокового орудия, проис</w:t>
      </w:r>
      <w:r w:rsidRPr="008127F8">
        <w:rPr>
          <w:rFonts w:ascii="Times New Roman" w:hAnsi="Times New Roman"/>
          <w:color w:val="000000" w:themeColor="text1"/>
          <w:sz w:val="16"/>
          <w:szCs w:val="16"/>
        </w:rPr>
        <w:softHyphen/>
        <w:t>ходила большая сбиваемость наводки в горизонтальной плоскости, постоянно увеличивавшаяся в процессе стрельбы</w:t>
      </w:r>
    </w:p>
    <w:p w14:paraId="0C96C082" w14:textId="77777777" w:rsidR="00011043" w:rsidRPr="008127F8" w:rsidRDefault="00011043"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трехорудийный образец КВ-7 и по</w:t>
      </w:r>
      <w:r w:rsidRPr="008127F8">
        <w:rPr>
          <w:rFonts w:ascii="Times New Roman" w:cs="Times New Roman"/>
          <w:color w:val="000000" w:themeColor="text1"/>
          <w:spacing w:val="0"/>
        </w:rPr>
        <w:softHyphen/>
        <w:t>становил вооружить КВ-7 спаренной ус</w:t>
      </w:r>
      <w:r w:rsidRPr="008127F8">
        <w:rPr>
          <w:rFonts w:ascii="Times New Roman" w:cs="Times New Roman"/>
          <w:color w:val="000000" w:themeColor="text1"/>
          <w:spacing w:val="0"/>
        </w:rPr>
        <w:softHyphen/>
        <w:t>тановкой 76-мм орудий» (15232).</w:t>
      </w:r>
    </w:p>
    <w:p w14:paraId="0E63F54D" w14:textId="77777777" w:rsidR="00011043" w:rsidRPr="008127F8" w:rsidRDefault="00011043" w:rsidP="001E0A84">
      <w:pPr>
        <w:pStyle w:val="27"/>
        <w:shd w:val="clear" w:color="auto" w:fill="auto"/>
        <w:spacing w:after="0" w:line="240" w:lineRule="auto"/>
        <w:ind w:firstLine="0"/>
        <w:rPr>
          <w:rFonts w:ascii="Times New Roman" w:cs="Times New Roman"/>
          <w:color w:val="000000" w:themeColor="text1"/>
          <w:spacing w:val="0"/>
        </w:rPr>
      </w:pPr>
    </w:p>
    <w:p w14:paraId="2BC635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танк ГАЗ-70 про</w:t>
      </w:r>
      <w:r w:rsidRPr="008127F8">
        <w:rPr>
          <w:rFonts w:ascii="Times New Roman" w:hAnsi="Times New Roman"/>
          <w:color w:val="000000" w:themeColor="text1"/>
          <w:sz w:val="16"/>
          <w:szCs w:val="16"/>
        </w:rPr>
        <w:softHyphen/>
        <w:t>шел заводские испытания. После устранения выявленных недостатков и установки на танк граненой сварной башни, он был принят на воору</w:t>
      </w:r>
      <w:r w:rsidRPr="008127F8">
        <w:rPr>
          <w:rFonts w:ascii="Times New Roman" w:hAnsi="Times New Roman"/>
          <w:color w:val="000000" w:themeColor="text1"/>
          <w:sz w:val="16"/>
          <w:szCs w:val="16"/>
        </w:rPr>
        <w:softHyphen/>
        <w:t>жение под маркой Т-70. Машина была разработана на базе узлов и агрегатов танка Т-60 и от</w:t>
      </w:r>
      <w:r w:rsidRPr="008127F8">
        <w:rPr>
          <w:rFonts w:ascii="Times New Roman" w:hAnsi="Times New Roman"/>
          <w:color w:val="000000" w:themeColor="text1"/>
          <w:sz w:val="16"/>
          <w:szCs w:val="16"/>
        </w:rPr>
        <w:softHyphen/>
        <w:t xml:space="preserve">личалась от него установкой более мощного вооружения, усиленной броневой защитой упрощенного корпуса и литой башни, а также более высокой удельной мощностью, за счет установки двух двигателей. Танк имел пять отделений: управления - в передней части корпуса, боевое -в средней части, трансмиссионное - в передней части корпуса справа по ходу, моторное - в средней части вдоль правого борта корпуса и </w:t>
      </w:r>
      <w:proofErr w:type="gramStart"/>
      <w:r w:rsidRPr="008127F8">
        <w:rPr>
          <w:rFonts w:ascii="Times New Roman" w:hAnsi="Times New Roman"/>
          <w:color w:val="000000" w:themeColor="text1"/>
          <w:sz w:val="16"/>
          <w:szCs w:val="16"/>
        </w:rPr>
        <w:t>кормомы</w:t>
      </w:r>
      <w:proofErr w:type="gramEnd"/>
      <w:r w:rsidRPr="008127F8">
        <w:rPr>
          <w:rFonts w:ascii="Times New Roman" w:hAnsi="Times New Roman"/>
          <w:color w:val="000000" w:themeColor="text1"/>
          <w:sz w:val="16"/>
          <w:szCs w:val="16"/>
        </w:rPr>
        <w:t xml:space="preserve"> В состав экипажа входили два человека. Механик-водитель нахо</w:t>
      </w:r>
      <w:r w:rsidRPr="008127F8">
        <w:rPr>
          <w:rFonts w:ascii="Times New Roman" w:hAnsi="Times New Roman"/>
          <w:color w:val="000000" w:themeColor="text1"/>
          <w:sz w:val="16"/>
          <w:szCs w:val="16"/>
        </w:rPr>
        <w:softHyphen/>
        <w:t>дился в носовой части корпусу у левого борта, командир танка распола</w:t>
      </w:r>
      <w:r w:rsidRPr="008127F8">
        <w:rPr>
          <w:rFonts w:ascii="Times New Roman" w:hAnsi="Times New Roman"/>
          <w:color w:val="000000" w:themeColor="text1"/>
          <w:sz w:val="16"/>
          <w:szCs w:val="16"/>
        </w:rPr>
        <w:softHyphen/>
        <w:t>гался во вращающейся башне, смещенной к левому борту от продольной оси корпуса. В средней части корпуса вдоль правого борта были ус</w:t>
      </w:r>
      <w:r w:rsidRPr="008127F8">
        <w:rPr>
          <w:rFonts w:ascii="Times New Roman" w:hAnsi="Times New Roman"/>
          <w:color w:val="000000" w:themeColor="text1"/>
          <w:sz w:val="16"/>
          <w:szCs w:val="16"/>
        </w:rPr>
        <w:softHyphen/>
        <w:t>тановлены два спаренных в линию двигателя, составлявших силовой агрегат. Трансмиссия и ведущие колеса имели переднее расположение (10703).</w:t>
      </w:r>
    </w:p>
    <w:p w14:paraId="6E0642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3516F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 Астров еше дал обещание ГБТУ не позднее второго полугодия 1942 г. перейти к вы</w:t>
      </w:r>
      <w:r w:rsidRPr="008127F8">
        <w:rPr>
          <w:rFonts w:ascii="Times New Roman" w:hAnsi="Times New Roman"/>
          <w:color w:val="000000" w:themeColor="text1"/>
          <w:sz w:val="16"/>
          <w:szCs w:val="16"/>
        </w:rPr>
        <w:softHyphen/>
        <w:t>пуску трехместного варианта Т-70, все усилия «танкового КБ» ГАЗа были брошены на это. В апреле - мае 1942 г. про</w:t>
      </w:r>
      <w:r w:rsidRPr="008127F8">
        <w:rPr>
          <w:rFonts w:ascii="Times New Roman" w:hAnsi="Times New Roman"/>
          <w:color w:val="000000" w:themeColor="text1"/>
          <w:sz w:val="16"/>
          <w:szCs w:val="16"/>
        </w:rPr>
        <w:softHyphen/>
        <w:t xml:space="preserve">ект улучшенного танка был утвержден ОГК НКТП, а в июне началась сборка опытного образца. Компоновка </w:t>
      </w:r>
      <w:r w:rsidRPr="008127F8">
        <w:rPr>
          <w:rFonts w:ascii="Times New Roman" w:hAnsi="Times New Roman"/>
          <w:color w:val="000000" w:themeColor="text1"/>
          <w:sz w:val="16"/>
          <w:szCs w:val="16"/>
        </w:rPr>
        <w:lastRenderedPageBreak/>
        <w:t>танка, вооружение, ходовая часть, корпус, МТО, рабочее место механика-водителя со всеми элемента</w:t>
      </w:r>
      <w:r w:rsidRPr="008127F8">
        <w:rPr>
          <w:rFonts w:ascii="Times New Roman" w:hAnsi="Times New Roman"/>
          <w:color w:val="000000" w:themeColor="text1"/>
          <w:sz w:val="16"/>
          <w:szCs w:val="16"/>
        </w:rPr>
        <w:softHyphen/>
        <w:t>ми управления были такими же, как и на Т-70. Отличия за</w:t>
      </w:r>
      <w:r w:rsidRPr="008127F8">
        <w:rPr>
          <w:rFonts w:ascii="Times New Roman" w:hAnsi="Times New Roman"/>
          <w:color w:val="000000" w:themeColor="text1"/>
          <w:sz w:val="16"/>
          <w:szCs w:val="16"/>
        </w:rPr>
        <w:softHyphen/>
        <w:t>ключались лишь в замене подбашенного листа с увеличен</w:t>
      </w:r>
      <w:r w:rsidRPr="008127F8">
        <w:rPr>
          <w:rFonts w:ascii="Times New Roman" w:hAnsi="Times New Roman"/>
          <w:color w:val="000000" w:themeColor="text1"/>
          <w:sz w:val="16"/>
          <w:szCs w:val="16"/>
        </w:rPr>
        <w:softHyphen/>
        <w:t>ным диаметром погона, на который устанавливалась новая двухместная башня с рабочими местами командира танка и заряжающего, ставшего по совместительству радистом. Пу</w:t>
      </w:r>
      <w:r w:rsidRPr="008127F8">
        <w:rPr>
          <w:rFonts w:ascii="Times New Roman" w:hAnsi="Times New Roman"/>
          <w:color w:val="000000" w:themeColor="text1"/>
          <w:sz w:val="16"/>
          <w:szCs w:val="16"/>
        </w:rPr>
        <w:softHyphen/>
        <w:t>лемет в двухместной башне был перемещен слева направо и его обслуживание было также передано заряжающему. Командиру машины для наблюдения за полем боя пла</w:t>
      </w:r>
      <w:r w:rsidRPr="008127F8">
        <w:rPr>
          <w:rFonts w:ascii="Times New Roman" w:hAnsi="Times New Roman"/>
          <w:color w:val="000000" w:themeColor="text1"/>
          <w:sz w:val="16"/>
          <w:szCs w:val="16"/>
        </w:rPr>
        <w:softHyphen/>
        <w:t>нировалось установить командирскую башенку, но она требовала не менее 5 перископических приборов наблюдения и имела приличный вес, мешающий открытию и закрытию башенного люка. Поэтому на опытном образце вновь раз</w:t>
      </w:r>
      <w:r w:rsidRPr="008127F8">
        <w:rPr>
          <w:rFonts w:ascii="Times New Roman" w:hAnsi="Times New Roman"/>
          <w:color w:val="000000" w:themeColor="text1"/>
          <w:sz w:val="16"/>
          <w:szCs w:val="16"/>
        </w:rPr>
        <w:softHyphen/>
        <w:t>местилась поворотная командирская панорама. Броневая защита корпуса также была усилена за счет повсеместного перехода на установку бортовых листов тол</w:t>
      </w:r>
      <w:r w:rsidRPr="008127F8">
        <w:rPr>
          <w:rFonts w:ascii="Times New Roman" w:hAnsi="Times New Roman"/>
          <w:color w:val="000000" w:themeColor="text1"/>
          <w:sz w:val="16"/>
          <w:szCs w:val="16"/>
        </w:rPr>
        <w:softHyphen/>
        <w:t>щиной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8127F8">
        <w:rPr>
          <w:rFonts w:ascii="Times New Roman" w:hAnsi="Times New Roman"/>
          <w:color w:val="000000" w:themeColor="text1"/>
          <w:sz w:val="16"/>
          <w:szCs w:val="16"/>
        </w:rPr>
        <w:softHyphen/>
        <w:t>кали соответственно 60° и 30°. Броневые листы сварной башни высокой твердости теперь имели толщину 35 мм. Ввиду изменения места установки пулемета конструкция литой маски спаренной установки была изменена (11135).</w:t>
      </w:r>
    </w:p>
    <w:p w14:paraId="6CBEA4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AB216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прошли испытания танка ГАЗ-70. Несмотря на ряд поломок трансмиссии (испытания велись в глубоком снегу при температуре окружающего воздуха до минус 35 градусов), они закончились успешно. Теперь руководству НКТП предстояло принять важное решение. С одной стороны, прошел испытания легкий танк, вооруженный 45-мм пушкой, но с другой, для его выпуска не годился задел широко освоенного Т-60. Недостатками танка была названа его одноместная башня и малая толщина бро</w:t>
      </w:r>
      <w:r w:rsidRPr="008127F8">
        <w:rPr>
          <w:rFonts w:ascii="Times New Roman" w:hAnsi="Times New Roman"/>
          <w:color w:val="000000" w:themeColor="text1"/>
          <w:sz w:val="16"/>
          <w:szCs w:val="16"/>
        </w:rPr>
        <w:softHyphen/>
        <w:t>ни. Однако главный конструктор по танковому производст</w:t>
      </w:r>
      <w:r w:rsidRPr="008127F8">
        <w:rPr>
          <w:rFonts w:ascii="Times New Roman" w:hAnsi="Times New Roman"/>
          <w:color w:val="000000" w:themeColor="text1"/>
          <w:sz w:val="16"/>
          <w:szCs w:val="16"/>
        </w:rPr>
        <w:softHyphen/>
        <w:t>ву ГАЗ Н. Астров обещал, что указанные конструктивные не</w:t>
      </w:r>
      <w:r w:rsidRPr="008127F8">
        <w:rPr>
          <w:rFonts w:ascii="Times New Roman" w:hAnsi="Times New Roman"/>
          <w:color w:val="000000" w:themeColor="text1"/>
          <w:sz w:val="16"/>
          <w:szCs w:val="16"/>
        </w:rPr>
        <w:softHyphen/>
        <w:t>достатки будут устранены в кратчайший срок, для чего в план опытных работ I квартала 1942 г. было включено «создание танка ГАЗ-70 с увеличенной башней». Используя резерв мощности (140 л.с. для танка в 8,4 т), удалось увеличить толщину брони ГАЗ-70. Так, средний ло</w:t>
      </w:r>
      <w:r w:rsidRPr="008127F8">
        <w:rPr>
          <w:rFonts w:ascii="Times New Roman" w:hAnsi="Times New Roman"/>
          <w:color w:val="000000" w:themeColor="text1"/>
          <w:sz w:val="16"/>
          <w:szCs w:val="16"/>
        </w:rPr>
        <w:softHyphen/>
        <w:t>бовой лист был утолщен до 45 мм, верхний — до 30 мм, вмес</w:t>
      </w:r>
      <w:r w:rsidRPr="008127F8">
        <w:rPr>
          <w:rFonts w:ascii="Times New Roman" w:hAnsi="Times New Roman"/>
          <w:color w:val="000000" w:themeColor="text1"/>
          <w:sz w:val="16"/>
          <w:szCs w:val="16"/>
        </w:rPr>
        <w:softHyphen/>
        <w:t>то литой башни Дедкова танк получил сварную из брони вы</w:t>
      </w:r>
      <w:r w:rsidRPr="008127F8">
        <w:rPr>
          <w:rFonts w:ascii="Times New Roman" w:hAnsi="Times New Roman"/>
          <w:color w:val="000000" w:themeColor="text1"/>
          <w:sz w:val="16"/>
          <w:szCs w:val="16"/>
        </w:rPr>
        <w:softHyphen/>
        <w:t>сокой твердости с толщиной стенок 35 мм. В таком виде с массой, возросшей до 9,2 т. в отсутствие иных альтернатив, танк был рекомендован для принятия на вооружение (10782).</w:t>
      </w:r>
    </w:p>
    <w:p w14:paraId="082DB0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A6B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был разработан в КБ завода № 37 Танк Т-60 с 37-мм пушкой ЗИС-19. Пушка ЗИС-19 была установлена в танк на заво</w:t>
      </w:r>
      <w:r w:rsidRPr="008127F8">
        <w:rPr>
          <w:rFonts w:ascii="Times New Roman" w:hAnsi="Times New Roman"/>
          <w:color w:val="000000" w:themeColor="text1"/>
          <w:sz w:val="16"/>
          <w:szCs w:val="16"/>
        </w:rPr>
        <w:softHyphen/>
        <w:t>де № 92 под руководством В.Г. Грабина. В марте того же года опытный образец танка поступил на полигонные испытания на Гороховецкий АНИОП, которые проходили в период с апреля по июль 1942 г. На во</w:t>
      </w:r>
      <w:r w:rsidRPr="008127F8">
        <w:rPr>
          <w:rFonts w:ascii="Times New Roman" w:hAnsi="Times New Roman"/>
          <w:color w:val="000000" w:themeColor="text1"/>
          <w:sz w:val="16"/>
          <w:szCs w:val="16"/>
        </w:rPr>
        <w:softHyphen/>
        <w:t>оружение и в серийное производство танк не принимался. Машина отличалась от серийного образца танка Т-60 установкой более мощного вооружения в новой увеличенной башне. Экипаж маши</w:t>
      </w:r>
      <w:r w:rsidRPr="008127F8">
        <w:rPr>
          <w:rFonts w:ascii="Times New Roman" w:hAnsi="Times New Roman"/>
          <w:color w:val="000000" w:themeColor="text1"/>
          <w:sz w:val="16"/>
          <w:szCs w:val="16"/>
        </w:rPr>
        <w:softHyphen/>
        <w:t>ны состоял из двух человек. Танк был вооружен 37-мм танковой пушкой ЗИС-19 конструкции КБ завода № 92, спаренной с 7,62-мм пулеметом ДТ, установленным сле</w:t>
      </w:r>
      <w:r w:rsidRPr="008127F8">
        <w:rPr>
          <w:rFonts w:ascii="Times New Roman" w:hAnsi="Times New Roman"/>
          <w:color w:val="000000" w:themeColor="text1"/>
          <w:sz w:val="16"/>
          <w:szCs w:val="16"/>
        </w:rPr>
        <w:softHyphen/>
        <w:t>ва от нее. Пушка ЗИС-19 имела баллистику 37-мм зенитной автоматиче</w:t>
      </w:r>
      <w:r w:rsidRPr="008127F8">
        <w:rPr>
          <w:rFonts w:ascii="Times New Roman" w:hAnsi="Times New Roman"/>
          <w:color w:val="000000" w:themeColor="text1"/>
          <w:sz w:val="16"/>
          <w:szCs w:val="16"/>
        </w:rPr>
        <w:softHyphen/>
        <w:t>ской пушки обр. 1939 г. и длину ствола 66,7 калибра. Углы вертикальной наводки составляли от -6°30' до +18°36'. Приводы наведения спаренной установки - механические, ручные. При стрельбе использовался теле</w:t>
      </w:r>
      <w:r w:rsidRPr="008127F8">
        <w:rPr>
          <w:rFonts w:ascii="Times New Roman" w:hAnsi="Times New Roman"/>
          <w:color w:val="000000" w:themeColor="text1"/>
          <w:sz w:val="16"/>
          <w:szCs w:val="16"/>
        </w:rPr>
        <w:softHyphen/>
        <w:t>скопический прицел. Бронебойно-трассирующий снаряд при массе 0,765 кг имел начальную скорость 917 м/с. Его бронепробиваемость со</w:t>
      </w:r>
      <w:r w:rsidRPr="008127F8">
        <w:rPr>
          <w:rFonts w:ascii="Times New Roman" w:hAnsi="Times New Roman"/>
          <w:color w:val="000000" w:themeColor="text1"/>
          <w:sz w:val="16"/>
          <w:szCs w:val="16"/>
        </w:rPr>
        <w:softHyphen/>
        <w:t>ответствовала бронепробиваемости аналогичного снаряда 45-мм танко</w:t>
      </w:r>
      <w:r w:rsidRPr="008127F8">
        <w:rPr>
          <w:rFonts w:ascii="Times New Roman" w:hAnsi="Times New Roman"/>
          <w:color w:val="000000" w:themeColor="text1"/>
          <w:sz w:val="16"/>
          <w:szCs w:val="16"/>
        </w:rPr>
        <w:softHyphen/>
        <w:t>вой пушки обр. 1938 г. Практическая скорострельность при стрельбе с места составляла 10 выстр./мин., по движущимся целям -3 выстр./мин., прицельная дальность стрельбы - 3500 м, максимальная - около 10 000 м. В боекомплект танка помимо выстрелов с бронебойно-трассирующими снарядами входили и осколочно-трассирующие. 37-мм пушка имела меньшую живучесть ствола, чем 45-мм танковая пушка, но была проще по конструкции и более технологичной в производстве (10703).</w:t>
      </w:r>
    </w:p>
    <w:p w14:paraId="4B2A75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D74BA1" w14:textId="77777777" w:rsidR="0005046D" w:rsidRPr="008127F8" w:rsidRDefault="0005046D"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года прошли испытания Т-70. Несмотря на ряд поломок трансмиссии (испытания велись в глубоком снегу при температуре окружающего воздуха до минус 35 градусов), они закончились успешно. В январе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танк Т-70 был принят на вооружение РККА. Срок начала серийного выпуска машины был определен – март 1942 года. В апреле 1942 года по чертежам Горьковского автозавода серийное производство танков Т-70 было организовано и на заводе №38 в г. Кирове (15218).</w:t>
      </w:r>
    </w:p>
    <w:p w14:paraId="7C7D3607" w14:textId="77777777" w:rsidR="0005046D" w:rsidRPr="008127F8" w:rsidRDefault="0005046D" w:rsidP="001E0A84">
      <w:pPr>
        <w:widowControl w:val="0"/>
        <w:spacing w:after="0" w:line="240" w:lineRule="auto"/>
        <w:jc w:val="both"/>
        <w:rPr>
          <w:rFonts w:ascii="Times New Roman" w:hAnsi="Times New Roman"/>
          <w:color w:val="000000" w:themeColor="text1"/>
          <w:sz w:val="16"/>
          <w:szCs w:val="16"/>
        </w:rPr>
      </w:pPr>
    </w:p>
    <w:p w14:paraId="6A8EA2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после выпуска 65 машин Т-50 был снят с производства. Не хватало налаженного производства дизеля В-4. На производство Т-50 был ориентирован один из крупнейших до войны танкостроительных заводов - №174. Подготовка к выпуску Т-50 не позволила заводу (во время войны эвакуированному в г. Омск) до 1942 г. включиться в производство столь необходимого армии Т-34. (3862).</w:t>
      </w:r>
    </w:p>
    <w:p w14:paraId="7D0B60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D98CB" w14:textId="77777777" w:rsidR="001652EB" w:rsidRPr="008127F8" w:rsidRDefault="001652EB"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В начале 1942 года производство Т-50 затихло, т.к. выпуск моторов В-4 не был налажен в крупной серии (20344).</w:t>
      </w:r>
    </w:p>
    <w:p w14:paraId="385B6EE6" w14:textId="77777777" w:rsidR="001652EB" w:rsidRPr="008127F8" w:rsidRDefault="001652EB" w:rsidP="001E0A84">
      <w:pPr>
        <w:pStyle w:val="article-renderblock"/>
        <w:shd w:val="clear" w:color="auto" w:fill="FFFFFF"/>
        <w:spacing w:before="0" w:beforeAutospacing="0" w:after="0" w:afterAutospacing="0"/>
        <w:jc w:val="both"/>
        <w:rPr>
          <w:color w:val="000000" w:themeColor="text1"/>
          <w:sz w:val="16"/>
          <w:szCs w:val="16"/>
        </w:rPr>
      </w:pPr>
    </w:p>
    <w:p w14:paraId="26BA4E84" w14:textId="77777777" w:rsidR="001652EB" w:rsidRPr="008127F8" w:rsidRDefault="001652E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начале 1942 года Савин попытался переделать проект зенитной самоходной установки под башню Т-34, но без особого </w:t>
      </w:r>
      <w:proofErr w:type="gramStart"/>
      <w:r w:rsidRPr="008127F8">
        <w:rPr>
          <w:rFonts w:ascii="Times New Roman" w:eastAsia="Times New Roman" w:hAnsi="Times New Roman"/>
          <w:color w:val="000000" w:themeColor="text1"/>
          <w:sz w:val="16"/>
          <w:szCs w:val="16"/>
          <w:lang w:eastAsia="ru-RU"/>
        </w:rPr>
        <w:t>успеха(</w:t>
      </w:r>
      <w:proofErr w:type="gramEnd"/>
      <w:r w:rsidRPr="008127F8">
        <w:rPr>
          <w:rFonts w:ascii="Times New Roman" w:eastAsia="Times New Roman" w:hAnsi="Times New Roman"/>
          <w:color w:val="000000" w:themeColor="text1"/>
          <w:sz w:val="16"/>
          <w:szCs w:val="16"/>
          <w:lang w:eastAsia="ru-RU"/>
        </w:rPr>
        <w:t>21193).</w:t>
      </w:r>
    </w:p>
    <w:p w14:paraId="5462D314" w14:textId="77777777" w:rsidR="001652EB" w:rsidRPr="008127F8" w:rsidRDefault="001652E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8CF1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попытались наладить выпуск упрощенных Т-50, но отказались. Всего было выпущено 69 машин, после этого Т-50 был окончательно снят с производства (3862).</w:t>
      </w:r>
    </w:p>
    <w:p w14:paraId="1208B7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698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была предпринята попытка перевооружить Т-60 37-мм полуавтоматической пушкой ЗИС-19. Разработка орудия началось еще в августе 1941 года в ОКБ завода №92 под руководством В.Грабина. Хотя орудие и планировалось как универсальное, но наибольший упор делался именно в сторону вооружения им легких танков. Орудие отличалось большой мощностью (нач. скорость ББ снаряда - 915 м/с), но ее размеры оказались слишком велики для установки в штатную башню Т-60. Поэтому для орудия изготовили новую башню. Танк с новой башней успешно прошел испытания, но на вооружение принят не был в основном из-за отсутствия боеприпасов, т.к. производство 37-мм боеприпасов для танковой пушки образца 1930 года было давно прекращено, а боеприпасов для 37-мм зенитного автомата 61К катастрофически не хватало (3862).</w:t>
      </w:r>
    </w:p>
    <w:p w14:paraId="0D835D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A3AFA" w14:textId="77777777" w:rsidR="00E9478D" w:rsidRPr="008127F8" w:rsidRDefault="00E9478D"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начале 1941 года танки 7ТП 5057 и 5097 были сданы в металлолом, а 7TP и C7P оказались на хранении. В апреле 1941 года танк 5091 и тягач было решено отдать в музей. Дальнейшая судьба этих машин неизвестна. Не исключено, что их направили на одно из предприятий города. По крайней мере, в фотохронике встречается 7TP с польским камуфляжем, находившийся на территории Сталинградского тракторного завода. Кроме того, под Волгоградом был обнаружен остов тягача C7P. Из него был сделан макет Т-26, при этом башню для этого «кентавра» взяли от БТ. Ныне эта машина находится в экспозиции музея на Поклонной Горе в Москве (17703).</w:t>
      </w:r>
    </w:p>
    <w:p w14:paraId="4ED54211" w14:textId="77777777" w:rsidR="00E9478D" w:rsidRPr="008127F8" w:rsidRDefault="00E9478D" w:rsidP="001E0A84">
      <w:pPr>
        <w:spacing w:after="0" w:line="240" w:lineRule="auto"/>
        <w:jc w:val="both"/>
        <w:rPr>
          <w:rFonts w:ascii="Times New Roman" w:eastAsia="Times New Roman" w:hAnsi="Times New Roman"/>
          <w:color w:val="000000" w:themeColor="text1"/>
          <w:sz w:val="16"/>
          <w:szCs w:val="16"/>
          <w:lang w:eastAsia="ru-RU"/>
        </w:rPr>
      </w:pPr>
    </w:p>
    <w:p w14:paraId="665457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главными образцами танковой артиллерии СССР были 20-мм автоматическая танковая пушка обр. 1941 г., или ТНШ, выпускавшаяся для вооружения тан</w:t>
      </w:r>
      <w:r w:rsidRPr="008127F8">
        <w:rPr>
          <w:rFonts w:ascii="Times New Roman" w:hAnsi="Times New Roman"/>
          <w:color w:val="000000" w:themeColor="text1"/>
          <w:sz w:val="16"/>
          <w:szCs w:val="16"/>
        </w:rPr>
        <w:softHyphen/>
        <w:t>ков Т-60, 45-мм танковая пушка обр. 1932/38 гг., производ</w:t>
      </w:r>
      <w:r w:rsidRPr="008127F8">
        <w:rPr>
          <w:rFonts w:ascii="Times New Roman" w:hAnsi="Times New Roman"/>
          <w:color w:val="000000" w:themeColor="text1"/>
          <w:sz w:val="16"/>
          <w:szCs w:val="16"/>
        </w:rPr>
        <w:softHyphen/>
        <w:t>ство которой продолжалось для вооружения танков Т-50 и 76-мм танковые пушки обр. 1940 г. (Ф-34) и обр. 1941 г. (ЗИС-5), выпускавшиеся соответственно для Т-34 и КВ. Также для танков-истребителей в течение второго полу</w:t>
      </w:r>
      <w:r w:rsidRPr="008127F8">
        <w:rPr>
          <w:rFonts w:ascii="Times New Roman" w:hAnsi="Times New Roman"/>
          <w:color w:val="000000" w:themeColor="text1"/>
          <w:sz w:val="16"/>
          <w:szCs w:val="16"/>
        </w:rPr>
        <w:softHyphen/>
        <w:t>годия выпускалась длинноствольная 57-мм танковая пушка ЗИС-4, по баллистике совпадающая с противотанковой ЗИС-2. Согласно утвержденному плану в 1941 г. их должно было быть выпущено 400 шт., однако до начала боевых дей</w:t>
      </w:r>
      <w:r w:rsidRPr="008127F8">
        <w:rPr>
          <w:rFonts w:ascii="Times New Roman" w:hAnsi="Times New Roman"/>
          <w:color w:val="000000" w:themeColor="text1"/>
          <w:sz w:val="16"/>
          <w:szCs w:val="16"/>
        </w:rPr>
        <w:softHyphen/>
        <w:t>ствий серийное производство указанных орудий не нача</w:t>
      </w:r>
      <w:r w:rsidRPr="008127F8">
        <w:rPr>
          <w:rFonts w:ascii="Times New Roman" w:hAnsi="Times New Roman"/>
          <w:color w:val="000000" w:themeColor="text1"/>
          <w:sz w:val="16"/>
          <w:szCs w:val="16"/>
        </w:rPr>
        <w:softHyphen/>
        <w:t>лось. С началом войны план их выпуска был пересмотрен. Судя по переписке НКВ, завод № 92 отгрузил заказчику в 1941 г. около 100 шт. ЗИС-4, причем к 15/10-41 г. 40 орудий было установлено в танках Т-34, за другие месяцы автор данных не имеет. В декабре выпуск 57-мм орудий ЗИС-2 и ЗИС-4 был прекращен, а задел стволов законсервирован (10782).</w:t>
      </w:r>
    </w:p>
    <w:p w14:paraId="4CA6DA2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0AE8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конструкция затвора 107-мм пушки ЗИС-6 была изменена в сторону упрощения. Был спроек</w:t>
      </w:r>
      <w:r w:rsidRPr="008127F8">
        <w:rPr>
          <w:rFonts w:ascii="Times New Roman" w:hAnsi="Times New Roman"/>
          <w:color w:val="000000" w:themeColor="text1"/>
          <w:sz w:val="16"/>
          <w:szCs w:val="16"/>
        </w:rPr>
        <w:softHyphen/>
        <w:t>тирован ножной спуск, подобный Ф-34/ЗИС-5. Переде</w:t>
      </w:r>
      <w:r w:rsidRPr="008127F8">
        <w:rPr>
          <w:rFonts w:ascii="Times New Roman" w:hAnsi="Times New Roman"/>
          <w:color w:val="000000" w:themeColor="text1"/>
          <w:sz w:val="16"/>
          <w:szCs w:val="16"/>
        </w:rPr>
        <w:softHyphen/>
        <w:t>ланных таким образом орудий в начале 1942 г. было изго</w:t>
      </w:r>
      <w:r w:rsidRPr="008127F8">
        <w:rPr>
          <w:rFonts w:ascii="Times New Roman" w:hAnsi="Times New Roman"/>
          <w:color w:val="000000" w:themeColor="text1"/>
          <w:sz w:val="16"/>
          <w:szCs w:val="16"/>
        </w:rPr>
        <w:softHyphen/>
        <w:t>товлено несколько штук (по-видимому - 2) (10782).</w:t>
      </w:r>
    </w:p>
    <w:p w14:paraId="158DE4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6B728" w14:textId="2A8BA593"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при оставшемся в Москве филиале ОКБ-16 техническим советом наркомата вооружения (НК.В) создается Отдельная конструкторская группа, которую возглавил инженер 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Синельщиков. Группа получила задачу начать разработку проектов самоходных артиллерийских установок на различных шасси. Причем в качестве базы предлагалось использовать уже отработанные в производстве образцы. В кратчайшие сроки конструкторы разработали варианты самоходок на шасси грузовика «Студебеккер», тягачей СТЗ-НАТИ и «Коминтерн» (12688).</w:t>
      </w:r>
    </w:p>
    <w:p w14:paraId="085D7790"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04C096DF"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по инициативе Гинзбурга уже начались работы над лёгкой самоходкой. Между тем, обострился интерес к самоходной артиллерии у военных. Наступление советской армии зимой 1941-42 годов продемонстрировало ряд недостатков в её тактике, организации и оснащении вооружением. Одной из выявленных проблем была неспособность артиллерии сопровождать наступающие войска и непрерывно поддерживать их огнём. Это касалось в том числе орудий непосредственного сопровождения пехоты и танков. Поэтому Главное Артиллерийское управление (ГАУ) тоже начало проявлять интерес к новым САУ и выработало для них свои тактико-технические требования. Летом 1942 года была выработана программа по созданию системы самоходной артиллерии для вооружения Красной Армии. К этому времени уже полным ходом шло создание новых самоходок. В апреле бюро самоходной артиллерии НКТП завершило разработку шасси для лёгкой самоходки с широким использованием автомобильных деталей и деталей танка Т-60. Конструктор УЗТМ А.Н. Шляков разработал на основе ЗИС-3 установку У-31, предназначенную для самоходки. Завод № 37 взялся за изготовление опытного образца, и в июне 1942 года уже шли его испытания.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6B68AE65"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29F73A2D"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0C7F8F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в отраслевом НАТИ был выполнен эскизный проект нового артиллерийского тягача. В разработке машины применялись хорошо освоенные промышленностью узлы, агрегаты и двигатель, используемые в других изделиях (5743, 14). В качестве базы первоначально применили шасси и КПП танка Т-26, но поскольку последний с 1940 г. был снят с производства, впоследствии переориентировались на ходовую часть танка Т-60, производившегося на нескольких заводах (5743, 14). Силовая установка тягача по требованиям ОГК НКСМ (позднее - НКТП) должна была состоять из двух параллельно спаренных моторов типа ГАЗ-ММ, суммарной мощностью 86-88 л.с. Опытный образец был изготовлен, и в 1942 г. прошел в НАТИ кратковременные испытания, выявившие большое количество недоработок (5744, 30).</w:t>
      </w:r>
    </w:p>
    <w:p w14:paraId="14C2B2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1D6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харьковский завод № 183, который эвакуировался на “Уралвагонзавод”, начал серийный выпуск Т-34 (4018).</w:t>
      </w:r>
    </w:p>
    <w:p w14:paraId="54DB67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11CB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ЧКЗ бы</w:t>
      </w:r>
      <w:r w:rsidRPr="008127F8">
        <w:rPr>
          <w:rFonts w:ascii="Times New Roman" w:hAnsi="Times New Roman"/>
          <w:color w:val="000000" w:themeColor="text1"/>
          <w:sz w:val="16"/>
          <w:szCs w:val="16"/>
        </w:rPr>
        <w:softHyphen/>
        <w:t>ла выполнена Окончательная сборка машины КВ-7. Это была первая тяжелая самоход</w:t>
      </w:r>
      <w:r w:rsidRPr="008127F8">
        <w:rPr>
          <w:rFonts w:ascii="Times New Roman" w:hAnsi="Times New Roman"/>
          <w:color w:val="000000" w:themeColor="text1"/>
          <w:sz w:val="16"/>
          <w:szCs w:val="16"/>
        </w:rPr>
        <w:softHyphen/>
        <w:t>ная установка в нашей стране во время Великой Отечественной войны. На вооружение и в серийное производство машина не принималась (10703).</w:t>
      </w:r>
    </w:p>
    <w:p w14:paraId="11584A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2F0E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ЧКЗ был изготовлен опытный образец машины получил наименование КВ-7, а ее ору</w:t>
      </w:r>
      <w:r w:rsidRPr="008127F8">
        <w:rPr>
          <w:rFonts w:ascii="Times New Roman" w:hAnsi="Times New Roman"/>
          <w:color w:val="000000" w:themeColor="text1"/>
          <w:sz w:val="16"/>
          <w:szCs w:val="16"/>
        </w:rPr>
        <w:softHyphen/>
        <w:t>дийный блок со всеми механизмами - индекс "У-13". Эта машина стала первой тяжелой самоходной артиллерийской установкой, в проектиро</w:t>
      </w:r>
      <w:r w:rsidRPr="008127F8">
        <w:rPr>
          <w:rFonts w:ascii="Times New Roman" w:hAnsi="Times New Roman"/>
          <w:color w:val="000000" w:themeColor="text1"/>
          <w:sz w:val="16"/>
          <w:szCs w:val="16"/>
        </w:rPr>
        <w:softHyphen/>
        <w:t>вании и изготовлении которой принял участие коллектив УЗТМ. Первый опытный образец тяжелой САУ не был лишен отдельных конструктивных недостатков, связанных с установкой в едином блоке трех артиллерийских орудий различных калибров и баллистики. Эти недостатки САУ с таким вариантом установки вооружения в январе 1942 г. попытались устранить на УЗТМ при создании второго варианта этой машины, установив в ней спаренную систему двух 76,2-мм танко</w:t>
      </w:r>
      <w:r w:rsidRPr="008127F8">
        <w:rPr>
          <w:rFonts w:ascii="Times New Roman" w:hAnsi="Times New Roman"/>
          <w:color w:val="000000" w:themeColor="text1"/>
          <w:sz w:val="16"/>
          <w:szCs w:val="16"/>
        </w:rPr>
        <w:softHyphen/>
        <w:t>вых пушек ЗИС-5. Эта спаренная установка вооружения получила за</w:t>
      </w:r>
      <w:r w:rsidRPr="008127F8">
        <w:rPr>
          <w:rFonts w:ascii="Times New Roman" w:hAnsi="Times New Roman"/>
          <w:color w:val="000000" w:themeColor="text1"/>
          <w:sz w:val="16"/>
          <w:szCs w:val="16"/>
        </w:rPr>
        <w:softHyphen/>
        <w:t>водское обозначение "У-14". Опытный образец самоходной установки КВ-7 с новым вариантом вооружения был изготовлен и испытан стрель</w:t>
      </w:r>
      <w:r w:rsidRPr="008127F8">
        <w:rPr>
          <w:rFonts w:ascii="Times New Roman" w:hAnsi="Times New Roman"/>
          <w:color w:val="000000" w:themeColor="text1"/>
          <w:sz w:val="16"/>
          <w:szCs w:val="16"/>
        </w:rPr>
        <w:softHyphen/>
        <w:t>бой в апреле 1942 г. Эта самоходная установка была показана высшему командованию РККА, но на вооружение принята не была. В дальней</w:t>
      </w:r>
      <w:r w:rsidRPr="008127F8">
        <w:rPr>
          <w:rFonts w:ascii="Times New Roman" w:hAnsi="Times New Roman"/>
          <w:color w:val="000000" w:themeColor="text1"/>
          <w:sz w:val="16"/>
          <w:szCs w:val="16"/>
        </w:rPr>
        <w:softHyphen/>
        <w:t>шем отечественные конструкторы танков и САУ повышение мощности артиллерийского огня боевых машин осуществляли путем увеличения калибра артиллерийского орудия или повышения начальной скорости его снаряда (10703).</w:t>
      </w:r>
    </w:p>
    <w:p w14:paraId="6E7F96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24E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ОКБ № 92 создает новое полевое 57-мм орудие ИС-1 и его танковая версия ИС-1-1. Но в то время переход на калибр 57-мм не давал особых выгод перед 76-мм пушками. Их производство оставалось весьма дорогим, а фугасное могущество 57-мм снаряда сильно уступало аналогичному 76-мм снаряду. Орудие, выпущенное в количестве 5 штук (в танковом и противотанковом варианте), осталось в разряде опытных (3862).</w:t>
      </w:r>
    </w:p>
    <w:p w14:paraId="4C4D47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43B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УТЗ было дано задание по из</w:t>
      </w:r>
      <w:r w:rsidRPr="008127F8">
        <w:rPr>
          <w:rFonts w:ascii="Times New Roman" w:hAnsi="Times New Roman"/>
          <w:color w:val="000000" w:themeColor="text1"/>
          <w:sz w:val="16"/>
          <w:szCs w:val="16"/>
        </w:rPr>
        <w:softHyphen/>
        <w:t>готовлению пяти эталонных образцов Т-34, двум из кото</w:t>
      </w:r>
      <w:r w:rsidRPr="008127F8">
        <w:rPr>
          <w:rFonts w:ascii="Times New Roman" w:hAnsi="Times New Roman"/>
          <w:color w:val="000000" w:themeColor="text1"/>
          <w:sz w:val="16"/>
          <w:szCs w:val="16"/>
        </w:rPr>
        <w:softHyphen/>
        <w:t>рых предстоял долгий путь морем - в Великобританию и США для изучения союзными специалистами этого «чуда советской конструкторской мысли» (10782).</w:t>
      </w:r>
    </w:p>
    <w:p w14:paraId="5C5C37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CCB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еще не полностью вступили в строй эвакуирован</w:t>
      </w:r>
      <w:r w:rsidRPr="008127F8">
        <w:rPr>
          <w:rFonts w:ascii="Times New Roman" w:hAnsi="Times New Roman"/>
          <w:color w:val="000000" w:themeColor="text1"/>
          <w:sz w:val="16"/>
          <w:szCs w:val="16"/>
        </w:rPr>
        <w:softHyphen/>
        <w:t>ные на Урал и в Сибирь заводы по производству средних и тяжелых танков. Большие потери советских танков в первые месяцы войны и со</w:t>
      </w:r>
      <w:r w:rsidRPr="008127F8">
        <w:rPr>
          <w:rFonts w:ascii="Times New Roman" w:hAnsi="Times New Roman"/>
          <w:color w:val="000000" w:themeColor="text1"/>
          <w:sz w:val="16"/>
          <w:szCs w:val="16"/>
        </w:rPr>
        <w:softHyphen/>
        <w:t>кращение производства боевых машин в связи с эвакуацией заводов, привели к численному превосходству противника в танках. Для того чтобы в кратчайший срок восполнить боевые потери и удовлетворить потребность Красной Армии в танках, а также создать количественный перевес в танках над противником, в 1941 - 1942 гг. был значительно увеличен выпуск легких танков. Они сыграли в то время чрезвычайно большую роль. Основной задачей отечественного танкостроения в первые годы Ве</w:t>
      </w:r>
      <w:r w:rsidRPr="008127F8">
        <w:rPr>
          <w:rFonts w:ascii="Times New Roman" w:hAnsi="Times New Roman"/>
          <w:color w:val="000000" w:themeColor="text1"/>
          <w:sz w:val="16"/>
          <w:szCs w:val="16"/>
        </w:rPr>
        <w:softHyphen/>
        <w:t>ликой Отечественной войны было наращивание производства создан</w:t>
      </w:r>
      <w:r w:rsidRPr="008127F8">
        <w:rPr>
          <w:rFonts w:ascii="Times New Roman" w:hAnsi="Times New Roman"/>
          <w:color w:val="000000" w:themeColor="text1"/>
          <w:sz w:val="16"/>
          <w:szCs w:val="16"/>
        </w:rPr>
        <w:softHyphen/>
        <w:t>ных перед войной танков КВ, Т-34 и Т-40 и их модификаций. Наиболее распространенными мероприятиями по модернизации танка были те, которые способствовали снижению трудоемкости изго</w:t>
      </w:r>
      <w:r w:rsidRPr="008127F8">
        <w:rPr>
          <w:rFonts w:ascii="Times New Roman" w:hAnsi="Times New Roman"/>
          <w:color w:val="000000" w:themeColor="text1"/>
          <w:sz w:val="16"/>
          <w:szCs w:val="16"/>
        </w:rPr>
        <w:softHyphen/>
        <w:t>товления танков. Одновременно предусматривалось повышение огне</w:t>
      </w:r>
      <w:r w:rsidRPr="008127F8">
        <w:rPr>
          <w:rFonts w:ascii="Times New Roman" w:hAnsi="Times New Roman"/>
          <w:color w:val="000000" w:themeColor="text1"/>
          <w:sz w:val="16"/>
          <w:szCs w:val="16"/>
        </w:rPr>
        <w:softHyphen/>
        <w:t>вой мощи танков: переход на пушки увеличенного калибра, повышение могущества действия снарядов у цели, оснащение танков более совер</w:t>
      </w:r>
      <w:r w:rsidRPr="008127F8">
        <w:rPr>
          <w:rFonts w:ascii="Times New Roman" w:hAnsi="Times New Roman"/>
          <w:color w:val="000000" w:themeColor="text1"/>
          <w:sz w:val="16"/>
          <w:szCs w:val="16"/>
        </w:rPr>
        <w:softHyphen/>
        <w:t>шенными приборами стрельбы и наблюдения. Мероприятия по усиле</w:t>
      </w:r>
      <w:r w:rsidRPr="008127F8">
        <w:rPr>
          <w:rFonts w:ascii="Times New Roman" w:hAnsi="Times New Roman"/>
          <w:color w:val="000000" w:themeColor="text1"/>
          <w:sz w:val="16"/>
          <w:szCs w:val="16"/>
        </w:rPr>
        <w:softHyphen/>
        <w:t>нию защищенности танков сводились, главным образом, к увеличению толщины некоторых наиболее ответственных броневых деталей и при</w:t>
      </w:r>
      <w:r w:rsidRPr="008127F8">
        <w:rPr>
          <w:rFonts w:ascii="Times New Roman" w:hAnsi="Times New Roman"/>
          <w:color w:val="000000" w:themeColor="text1"/>
          <w:sz w:val="16"/>
          <w:szCs w:val="16"/>
        </w:rPr>
        <w:softHyphen/>
        <w:t>менению дополнительного бронирования (экранирования) корпуса и башни. Это было связано с тем, что конструкция броневой защиты с большим трудом поддавалась изменениям даже при проведении глубо</w:t>
      </w:r>
      <w:r w:rsidRPr="008127F8">
        <w:rPr>
          <w:rFonts w:ascii="Times New Roman" w:hAnsi="Times New Roman"/>
          <w:color w:val="000000" w:themeColor="text1"/>
          <w:sz w:val="16"/>
          <w:szCs w:val="16"/>
        </w:rPr>
        <w:softHyphen/>
        <w:t>кой модернизации. Основные усилия в области повышения подвижно</w:t>
      </w:r>
      <w:r w:rsidRPr="008127F8">
        <w:rPr>
          <w:rFonts w:ascii="Times New Roman" w:hAnsi="Times New Roman"/>
          <w:color w:val="000000" w:themeColor="text1"/>
          <w:sz w:val="16"/>
          <w:szCs w:val="16"/>
        </w:rPr>
        <w:softHyphen/>
        <w:t>сти при модернизации танков были сосредоточены на совершенствова</w:t>
      </w:r>
      <w:r w:rsidRPr="008127F8">
        <w:rPr>
          <w:rFonts w:ascii="Times New Roman" w:hAnsi="Times New Roman"/>
          <w:color w:val="000000" w:themeColor="text1"/>
          <w:sz w:val="16"/>
          <w:szCs w:val="16"/>
        </w:rPr>
        <w:softHyphen/>
        <w:t>нии конструкции силовой установки, трансмиссии и ходовой части, а также обеспечении надежности работы их агрегатов и узлов (10703).</w:t>
      </w:r>
    </w:p>
    <w:p w14:paraId="5DCC634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танков в СССР во втором полугодии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48"/>
        <w:gridCol w:w="941"/>
        <w:gridCol w:w="950"/>
        <w:gridCol w:w="1104"/>
        <w:gridCol w:w="970"/>
        <w:gridCol w:w="941"/>
        <w:gridCol w:w="950"/>
        <w:gridCol w:w="2083"/>
      </w:tblGrid>
      <w:tr w:rsidR="006F4095" w:rsidRPr="008127F8" w14:paraId="256CEB27" w14:textId="77777777">
        <w:trPr>
          <w:trHeight w:val="221"/>
        </w:trPr>
        <w:tc>
          <w:tcPr>
            <w:tcW w:w="2448" w:type="dxa"/>
            <w:tcBorders>
              <w:top w:val="single" w:sz="12" w:space="0" w:color="auto"/>
            </w:tcBorders>
          </w:tcPr>
          <w:p w14:paraId="05098F6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танка</w:t>
            </w:r>
          </w:p>
        </w:tc>
        <w:tc>
          <w:tcPr>
            <w:tcW w:w="5856" w:type="dxa"/>
            <w:gridSpan w:val="6"/>
            <w:tcBorders>
              <w:top w:val="single" w:sz="12" w:space="0" w:color="auto"/>
            </w:tcBorders>
          </w:tcPr>
          <w:p w14:paraId="5ACE6E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Месяцы года</w:t>
            </w:r>
          </w:p>
        </w:tc>
        <w:tc>
          <w:tcPr>
            <w:tcW w:w="2083" w:type="dxa"/>
            <w:tcBorders>
              <w:top w:val="single" w:sz="12" w:space="0" w:color="auto"/>
            </w:tcBorders>
          </w:tcPr>
          <w:p w14:paraId="3C6C650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второе полугодие 1941</w:t>
            </w:r>
          </w:p>
        </w:tc>
      </w:tr>
      <w:tr w:rsidR="006F4095" w:rsidRPr="008127F8" w14:paraId="64A36B09" w14:textId="77777777">
        <w:trPr>
          <w:trHeight w:val="202"/>
        </w:trPr>
        <w:tc>
          <w:tcPr>
            <w:tcW w:w="2448" w:type="dxa"/>
          </w:tcPr>
          <w:p w14:paraId="5E860B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577B34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950" w:type="dxa"/>
          </w:tcPr>
          <w:p w14:paraId="2C9D03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1104" w:type="dxa"/>
          </w:tcPr>
          <w:p w14:paraId="1E90E23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970" w:type="dxa"/>
          </w:tcPr>
          <w:p w14:paraId="3744442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941" w:type="dxa"/>
          </w:tcPr>
          <w:p w14:paraId="50F69D8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950" w:type="dxa"/>
          </w:tcPr>
          <w:p w14:paraId="200506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083" w:type="dxa"/>
          </w:tcPr>
          <w:p w14:paraId="7BD63B0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928B3B" w14:textId="77777777">
        <w:trPr>
          <w:trHeight w:val="192"/>
        </w:trPr>
        <w:tc>
          <w:tcPr>
            <w:tcW w:w="2448" w:type="dxa"/>
          </w:tcPr>
          <w:p w14:paraId="6C4E1CE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КВ-1</w:t>
            </w:r>
          </w:p>
        </w:tc>
        <w:tc>
          <w:tcPr>
            <w:tcW w:w="941" w:type="dxa"/>
          </w:tcPr>
          <w:p w14:paraId="0BB77B3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w:t>
            </w:r>
          </w:p>
        </w:tc>
        <w:tc>
          <w:tcPr>
            <w:tcW w:w="950" w:type="dxa"/>
          </w:tcPr>
          <w:p w14:paraId="18FF014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1104" w:type="dxa"/>
          </w:tcPr>
          <w:p w14:paraId="09E053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w:t>
            </w:r>
          </w:p>
        </w:tc>
        <w:tc>
          <w:tcPr>
            <w:tcW w:w="970" w:type="dxa"/>
          </w:tcPr>
          <w:p w14:paraId="7DE054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941" w:type="dxa"/>
          </w:tcPr>
          <w:p w14:paraId="22158BD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950" w:type="dxa"/>
          </w:tcPr>
          <w:p w14:paraId="2FA351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2083" w:type="dxa"/>
          </w:tcPr>
          <w:p w14:paraId="278C18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w:t>
            </w:r>
          </w:p>
        </w:tc>
      </w:tr>
      <w:tr w:rsidR="006F4095" w:rsidRPr="008127F8" w14:paraId="61BD4780" w14:textId="77777777">
        <w:trPr>
          <w:trHeight w:val="202"/>
        </w:trPr>
        <w:tc>
          <w:tcPr>
            <w:tcW w:w="2448" w:type="dxa"/>
          </w:tcPr>
          <w:p w14:paraId="44F42AA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Т-34-76</w:t>
            </w:r>
          </w:p>
        </w:tc>
        <w:tc>
          <w:tcPr>
            <w:tcW w:w="941" w:type="dxa"/>
          </w:tcPr>
          <w:p w14:paraId="661528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w:t>
            </w:r>
          </w:p>
        </w:tc>
        <w:tc>
          <w:tcPr>
            <w:tcW w:w="950" w:type="dxa"/>
          </w:tcPr>
          <w:p w14:paraId="54CB1C0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421</w:t>
            </w:r>
          </w:p>
        </w:tc>
        <w:tc>
          <w:tcPr>
            <w:tcW w:w="1104" w:type="dxa"/>
          </w:tcPr>
          <w:p w14:paraId="0EFF5D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w:t>
            </w:r>
          </w:p>
        </w:tc>
        <w:tc>
          <w:tcPr>
            <w:tcW w:w="970" w:type="dxa"/>
          </w:tcPr>
          <w:p w14:paraId="75BCC9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941" w:type="dxa"/>
          </w:tcPr>
          <w:p w14:paraId="667E73D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253</w:t>
            </w:r>
          </w:p>
        </w:tc>
        <w:tc>
          <w:tcPr>
            <w:tcW w:w="950" w:type="dxa"/>
          </w:tcPr>
          <w:p w14:paraId="1C2E53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w:t>
            </w:r>
          </w:p>
        </w:tc>
        <w:tc>
          <w:tcPr>
            <w:tcW w:w="2083" w:type="dxa"/>
          </w:tcPr>
          <w:p w14:paraId="3848F3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1886</w:t>
            </w:r>
          </w:p>
        </w:tc>
      </w:tr>
      <w:tr w:rsidR="006F4095" w:rsidRPr="008127F8" w14:paraId="1CBF1C7C" w14:textId="77777777">
        <w:trPr>
          <w:trHeight w:val="202"/>
        </w:trPr>
        <w:tc>
          <w:tcPr>
            <w:tcW w:w="2448" w:type="dxa"/>
          </w:tcPr>
          <w:p w14:paraId="356CDF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Т-60</w:t>
            </w:r>
          </w:p>
        </w:tc>
        <w:tc>
          <w:tcPr>
            <w:tcW w:w="941" w:type="dxa"/>
          </w:tcPr>
          <w:p w14:paraId="2CC34D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Pr>
          <w:p w14:paraId="5B7F4F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04" w:type="dxa"/>
          </w:tcPr>
          <w:p w14:paraId="3E1CC4F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70" w:type="dxa"/>
          </w:tcPr>
          <w:p w14:paraId="70BC4C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941" w:type="dxa"/>
          </w:tcPr>
          <w:p w14:paraId="02C194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950" w:type="dxa"/>
          </w:tcPr>
          <w:p w14:paraId="576A34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672</w:t>
            </w:r>
          </w:p>
        </w:tc>
        <w:tc>
          <w:tcPr>
            <w:tcW w:w="2083" w:type="dxa"/>
          </w:tcPr>
          <w:p w14:paraId="2073FD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1388</w:t>
            </w:r>
          </w:p>
        </w:tc>
      </w:tr>
      <w:tr w:rsidR="006F4095" w:rsidRPr="008127F8" w14:paraId="462B8082" w14:textId="77777777">
        <w:trPr>
          <w:trHeight w:val="202"/>
        </w:trPr>
        <w:tc>
          <w:tcPr>
            <w:tcW w:w="2448" w:type="dxa"/>
          </w:tcPr>
          <w:p w14:paraId="6AB48F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Т-50</w:t>
            </w:r>
          </w:p>
        </w:tc>
        <w:tc>
          <w:tcPr>
            <w:tcW w:w="941" w:type="dxa"/>
          </w:tcPr>
          <w:p w14:paraId="2BE65C5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950" w:type="dxa"/>
          </w:tcPr>
          <w:p w14:paraId="3F7039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104" w:type="dxa"/>
          </w:tcPr>
          <w:p w14:paraId="4F4DBA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70" w:type="dxa"/>
          </w:tcPr>
          <w:p w14:paraId="73F4D9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Pr>
          <w:p w14:paraId="134747C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Pr>
          <w:p w14:paraId="309880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083" w:type="dxa"/>
          </w:tcPr>
          <w:p w14:paraId="65854E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6F4095" w:rsidRPr="008127F8" w14:paraId="018CB086" w14:textId="77777777">
        <w:trPr>
          <w:trHeight w:val="202"/>
        </w:trPr>
        <w:tc>
          <w:tcPr>
            <w:tcW w:w="2448" w:type="dxa"/>
          </w:tcPr>
          <w:p w14:paraId="0DEDC3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Т-26</w:t>
            </w:r>
          </w:p>
        </w:tc>
        <w:tc>
          <w:tcPr>
            <w:tcW w:w="941" w:type="dxa"/>
          </w:tcPr>
          <w:p w14:paraId="757BBC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950" w:type="dxa"/>
          </w:tcPr>
          <w:p w14:paraId="2703D77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1104" w:type="dxa"/>
          </w:tcPr>
          <w:p w14:paraId="596E4E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70" w:type="dxa"/>
          </w:tcPr>
          <w:p w14:paraId="77BC82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Pr>
          <w:p w14:paraId="15D7262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Pr>
          <w:p w14:paraId="79DEE3B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083" w:type="dxa"/>
          </w:tcPr>
          <w:p w14:paraId="76D26C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r>
      <w:tr w:rsidR="006F4095" w:rsidRPr="008127F8" w14:paraId="5CBF7CC7" w14:textId="77777777">
        <w:trPr>
          <w:trHeight w:val="202"/>
        </w:trPr>
        <w:tc>
          <w:tcPr>
            <w:tcW w:w="2448" w:type="dxa"/>
          </w:tcPr>
          <w:p w14:paraId="0D5CC4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Т-40С, Т-30</w:t>
            </w:r>
          </w:p>
        </w:tc>
        <w:tc>
          <w:tcPr>
            <w:tcW w:w="941" w:type="dxa"/>
          </w:tcPr>
          <w:p w14:paraId="3AF492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950" w:type="dxa"/>
          </w:tcPr>
          <w:p w14:paraId="53A4356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c>
          <w:tcPr>
            <w:tcW w:w="1104" w:type="dxa"/>
          </w:tcPr>
          <w:p w14:paraId="5DA1F2A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w:t>
            </w:r>
          </w:p>
        </w:tc>
        <w:tc>
          <w:tcPr>
            <w:tcW w:w="970" w:type="dxa"/>
          </w:tcPr>
          <w:p w14:paraId="28E6038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941" w:type="dxa"/>
          </w:tcPr>
          <w:p w14:paraId="1B21066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Pr>
          <w:p w14:paraId="5CFEE9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2083" w:type="dxa"/>
          </w:tcPr>
          <w:p w14:paraId="3A4AA5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r>
      <w:tr w:rsidR="006F4095" w:rsidRPr="008127F8" w14:paraId="176FB6FC" w14:textId="77777777">
        <w:trPr>
          <w:trHeight w:val="230"/>
        </w:trPr>
        <w:tc>
          <w:tcPr>
            <w:tcW w:w="2448" w:type="dxa"/>
            <w:tcBorders>
              <w:bottom w:val="single" w:sz="12" w:space="0" w:color="auto"/>
            </w:tcBorders>
          </w:tcPr>
          <w:p w14:paraId="3922BFD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941" w:type="dxa"/>
            <w:tcBorders>
              <w:bottom w:val="single" w:sz="12" w:space="0" w:color="auto"/>
            </w:tcBorders>
          </w:tcPr>
          <w:p w14:paraId="0526D4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479</w:t>
            </w:r>
          </w:p>
        </w:tc>
        <w:tc>
          <w:tcPr>
            <w:tcW w:w="950" w:type="dxa"/>
            <w:tcBorders>
              <w:bottom w:val="single" w:sz="12" w:space="0" w:color="auto"/>
            </w:tcBorders>
          </w:tcPr>
          <w:p w14:paraId="3DBAD4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w:t>
            </w:r>
          </w:p>
        </w:tc>
        <w:tc>
          <w:tcPr>
            <w:tcW w:w="1104" w:type="dxa"/>
            <w:tcBorders>
              <w:bottom w:val="single" w:sz="12" w:space="0" w:color="auto"/>
            </w:tcBorders>
          </w:tcPr>
          <w:p w14:paraId="436FA92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716</w:t>
            </w:r>
          </w:p>
        </w:tc>
        <w:tc>
          <w:tcPr>
            <w:tcW w:w="970" w:type="dxa"/>
            <w:tcBorders>
              <w:bottom w:val="single" w:sz="12" w:space="0" w:color="auto"/>
            </w:tcBorders>
          </w:tcPr>
          <w:p w14:paraId="2DB8F7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637</w:t>
            </w:r>
          </w:p>
        </w:tc>
        <w:tc>
          <w:tcPr>
            <w:tcW w:w="941" w:type="dxa"/>
            <w:tcBorders>
              <w:bottom w:val="single" w:sz="12" w:space="0" w:color="auto"/>
            </w:tcBorders>
          </w:tcPr>
          <w:p w14:paraId="2BFA4FD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w:t>
            </w:r>
          </w:p>
        </w:tc>
        <w:tc>
          <w:tcPr>
            <w:tcW w:w="950" w:type="dxa"/>
            <w:tcBorders>
              <w:bottom w:val="single" w:sz="12" w:space="0" w:color="auto"/>
            </w:tcBorders>
          </w:tcPr>
          <w:p w14:paraId="3CD5F3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1219</w:t>
            </w:r>
          </w:p>
        </w:tc>
        <w:tc>
          <w:tcPr>
            <w:tcW w:w="2083" w:type="dxa"/>
            <w:tcBorders>
              <w:bottom w:val="single" w:sz="12" w:space="0" w:color="auto"/>
            </w:tcBorders>
          </w:tcPr>
          <w:p w14:paraId="76EA594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4867</w:t>
            </w:r>
          </w:p>
        </w:tc>
      </w:tr>
    </w:tbl>
    <w:p w14:paraId="33CBB26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танков в СССР в 1942 - 1943 гг.</w:t>
      </w:r>
    </w:p>
    <w:tbl>
      <w:tblPr>
        <w:tblW w:w="0" w:type="auto"/>
        <w:tblInd w:w="40" w:type="dxa"/>
        <w:tblLayout w:type="fixed"/>
        <w:tblCellMar>
          <w:left w:w="40" w:type="dxa"/>
          <w:right w:w="40" w:type="dxa"/>
        </w:tblCellMar>
        <w:tblLook w:val="0000" w:firstRow="0" w:lastRow="0" w:firstColumn="0" w:lastColumn="0" w:noHBand="0" w:noVBand="0"/>
      </w:tblPr>
      <w:tblGrid>
        <w:gridCol w:w="1594"/>
        <w:gridCol w:w="1459"/>
        <w:gridCol w:w="1440"/>
        <w:gridCol w:w="1469"/>
        <w:gridCol w:w="1440"/>
        <w:gridCol w:w="1469"/>
        <w:gridCol w:w="1872"/>
      </w:tblGrid>
      <w:tr w:rsidR="006F4095" w:rsidRPr="008127F8" w14:paraId="1E294DD2" w14:textId="77777777">
        <w:trPr>
          <w:trHeight w:val="403"/>
        </w:trPr>
        <w:tc>
          <w:tcPr>
            <w:tcW w:w="1594" w:type="dxa"/>
            <w:tcBorders>
              <w:top w:val="single" w:sz="6" w:space="0" w:color="auto"/>
              <w:left w:val="single" w:sz="6" w:space="0" w:color="auto"/>
              <w:bottom w:val="single" w:sz="6" w:space="0" w:color="auto"/>
              <w:right w:val="single" w:sz="6" w:space="0" w:color="auto"/>
            </w:tcBorders>
          </w:tcPr>
          <w:p w14:paraId="2887A6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танка</w:t>
            </w:r>
          </w:p>
        </w:tc>
        <w:tc>
          <w:tcPr>
            <w:tcW w:w="1459" w:type="dxa"/>
            <w:tcBorders>
              <w:top w:val="single" w:sz="6" w:space="0" w:color="auto"/>
              <w:left w:val="single" w:sz="6" w:space="0" w:color="auto"/>
              <w:bottom w:val="single" w:sz="6" w:space="0" w:color="auto"/>
              <w:right w:val="single" w:sz="6" w:space="0" w:color="auto"/>
            </w:tcBorders>
          </w:tcPr>
          <w:p w14:paraId="76FE21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1942г. 1 полугодие</w:t>
            </w:r>
          </w:p>
        </w:tc>
        <w:tc>
          <w:tcPr>
            <w:tcW w:w="1440" w:type="dxa"/>
            <w:tcBorders>
              <w:top w:val="single" w:sz="6" w:space="0" w:color="auto"/>
              <w:left w:val="single" w:sz="6" w:space="0" w:color="auto"/>
              <w:bottom w:val="single" w:sz="6" w:space="0" w:color="auto"/>
              <w:right w:val="single" w:sz="6" w:space="0" w:color="auto"/>
            </w:tcBorders>
          </w:tcPr>
          <w:p w14:paraId="0E60A4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1942г. 2 полугодие</w:t>
            </w:r>
          </w:p>
        </w:tc>
        <w:tc>
          <w:tcPr>
            <w:tcW w:w="1469" w:type="dxa"/>
            <w:tcBorders>
              <w:top w:val="single" w:sz="6" w:space="0" w:color="auto"/>
              <w:left w:val="single" w:sz="6" w:space="0" w:color="auto"/>
              <w:bottom w:val="single" w:sz="6" w:space="0" w:color="auto"/>
              <w:right w:val="single" w:sz="6" w:space="0" w:color="auto"/>
            </w:tcBorders>
          </w:tcPr>
          <w:p w14:paraId="2C882B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1942 г.</w:t>
            </w:r>
          </w:p>
        </w:tc>
        <w:tc>
          <w:tcPr>
            <w:tcW w:w="1440" w:type="dxa"/>
            <w:tcBorders>
              <w:top w:val="single" w:sz="6" w:space="0" w:color="auto"/>
              <w:left w:val="single" w:sz="6" w:space="0" w:color="auto"/>
              <w:bottom w:val="single" w:sz="6" w:space="0" w:color="auto"/>
              <w:right w:val="single" w:sz="6" w:space="0" w:color="auto"/>
            </w:tcBorders>
          </w:tcPr>
          <w:p w14:paraId="7EEFC6E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1943г. 1 полугодие</w:t>
            </w:r>
          </w:p>
        </w:tc>
        <w:tc>
          <w:tcPr>
            <w:tcW w:w="1469" w:type="dxa"/>
            <w:tcBorders>
              <w:top w:val="single" w:sz="6" w:space="0" w:color="auto"/>
              <w:left w:val="single" w:sz="6" w:space="0" w:color="auto"/>
              <w:bottom w:val="single" w:sz="6" w:space="0" w:color="auto"/>
              <w:right w:val="single" w:sz="6" w:space="0" w:color="auto"/>
            </w:tcBorders>
          </w:tcPr>
          <w:p w14:paraId="4FADB26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1943г. 2 полугодие</w:t>
            </w:r>
          </w:p>
        </w:tc>
        <w:tc>
          <w:tcPr>
            <w:tcW w:w="1872" w:type="dxa"/>
            <w:tcBorders>
              <w:top w:val="single" w:sz="6" w:space="0" w:color="auto"/>
              <w:left w:val="single" w:sz="6" w:space="0" w:color="auto"/>
              <w:bottom w:val="single" w:sz="6" w:space="0" w:color="auto"/>
              <w:right w:val="single" w:sz="6" w:space="0" w:color="auto"/>
            </w:tcBorders>
          </w:tcPr>
          <w:p w14:paraId="55A10A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1943 г.</w:t>
            </w:r>
          </w:p>
        </w:tc>
      </w:tr>
      <w:tr w:rsidR="006F4095" w:rsidRPr="008127F8" w14:paraId="3C9FA12E" w14:textId="77777777">
        <w:trPr>
          <w:trHeight w:val="192"/>
        </w:trPr>
        <w:tc>
          <w:tcPr>
            <w:tcW w:w="1594" w:type="dxa"/>
            <w:tcBorders>
              <w:top w:val="single" w:sz="6" w:space="0" w:color="auto"/>
              <w:left w:val="single" w:sz="6" w:space="0" w:color="auto"/>
              <w:bottom w:val="single" w:sz="6" w:space="0" w:color="auto"/>
              <w:right w:val="single" w:sz="6" w:space="0" w:color="auto"/>
            </w:tcBorders>
          </w:tcPr>
          <w:p w14:paraId="319B2C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КВ-1С.КВ-85</w:t>
            </w:r>
          </w:p>
        </w:tc>
        <w:tc>
          <w:tcPr>
            <w:tcW w:w="1459" w:type="dxa"/>
            <w:tcBorders>
              <w:top w:val="single" w:sz="6" w:space="0" w:color="auto"/>
              <w:left w:val="single" w:sz="6" w:space="0" w:color="auto"/>
              <w:bottom w:val="single" w:sz="6" w:space="0" w:color="auto"/>
              <w:right w:val="single" w:sz="6" w:space="0" w:color="auto"/>
            </w:tcBorders>
          </w:tcPr>
          <w:p w14:paraId="2914B6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1663</w:t>
            </w:r>
          </w:p>
        </w:tc>
        <w:tc>
          <w:tcPr>
            <w:tcW w:w="1440" w:type="dxa"/>
            <w:tcBorders>
              <w:top w:val="single" w:sz="6" w:space="0" w:color="auto"/>
              <w:left w:val="single" w:sz="6" w:space="0" w:color="auto"/>
              <w:bottom w:val="single" w:sz="6" w:space="0" w:color="auto"/>
              <w:right w:val="single" w:sz="6" w:space="0" w:color="auto"/>
            </w:tcBorders>
          </w:tcPr>
          <w:p w14:paraId="1AB9CAF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w:t>
            </w:r>
          </w:p>
        </w:tc>
        <w:tc>
          <w:tcPr>
            <w:tcW w:w="1469" w:type="dxa"/>
            <w:tcBorders>
              <w:top w:val="single" w:sz="6" w:space="0" w:color="auto"/>
              <w:left w:val="single" w:sz="6" w:space="0" w:color="auto"/>
              <w:bottom w:val="single" w:sz="6" w:space="0" w:color="auto"/>
              <w:right w:val="single" w:sz="6" w:space="0" w:color="auto"/>
            </w:tcBorders>
          </w:tcPr>
          <w:p w14:paraId="64ABE95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2553</w:t>
            </w:r>
          </w:p>
        </w:tc>
        <w:tc>
          <w:tcPr>
            <w:tcW w:w="1440" w:type="dxa"/>
            <w:tcBorders>
              <w:top w:val="single" w:sz="6" w:space="0" w:color="auto"/>
              <w:left w:val="single" w:sz="6" w:space="0" w:color="auto"/>
              <w:bottom w:val="single" w:sz="6" w:space="0" w:color="auto"/>
              <w:right w:val="single" w:sz="6" w:space="0" w:color="auto"/>
            </w:tcBorders>
          </w:tcPr>
          <w:p w14:paraId="32230A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w:t>
            </w:r>
          </w:p>
        </w:tc>
        <w:tc>
          <w:tcPr>
            <w:tcW w:w="1469" w:type="dxa"/>
            <w:tcBorders>
              <w:top w:val="single" w:sz="6" w:space="0" w:color="auto"/>
              <w:left w:val="single" w:sz="6" w:space="0" w:color="auto"/>
              <w:bottom w:val="single" w:sz="6" w:space="0" w:color="auto"/>
              <w:right w:val="single" w:sz="6" w:space="0" w:color="auto"/>
            </w:tcBorders>
          </w:tcPr>
          <w:p w14:paraId="0559285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239</w:t>
            </w:r>
          </w:p>
        </w:tc>
        <w:tc>
          <w:tcPr>
            <w:tcW w:w="1872" w:type="dxa"/>
            <w:tcBorders>
              <w:top w:val="single" w:sz="6" w:space="0" w:color="auto"/>
              <w:left w:val="single" w:sz="6" w:space="0" w:color="auto"/>
              <w:bottom w:val="single" w:sz="6" w:space="0" w:color="auto"/>
              <w:right w:val="single" w:sz="6" w:space="0" w:color="auto"/>
            </w:tcBorders>
          </w:tcPr>
          <w:p w14:paraId="486DF0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617</w:t>
            </w:r>
          </w:p>
        </w:tc>
      </w:tr>
      <w:tr w:rsidR="006F4095" w:rsidRPr="008127F8" w14:paraId="105E6477" w14:textId="77777777">
        <w:trPr>
          <w:trHeight w:val="202"/>
        </w:trPr>
        <w:tc>
          <w:tcPr>
            <w:tcW w:w="1594" w:type="dxa"/>
            <w:tcBorders>
              <w:top w:val="single" w:sz="6" w:space="0" w:color="auto"/>
              <w:left w:val="single" w:sz="6" w:space="0" w:color="auto"/>
              <w:bottom w:val="single" w:sz="6" w:space="0" w:color="auto"/>
              <w:right w:val="single" w:sz="6" w:space="0" w:color="auto"/>
            </w:tcBorders>
          </w:tcPr>
          <w:p w14:paraId="52F735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w:t>
            </w:r>
            <w:proofErr w:type="gramStart"/>
            <w:r w:rsidRPr="008127F8">
              <w:rPr>
                <w:rFonts w:ascii="Times New Roman" w:hAnsi="Times New Roman"/>
                <w:color w:val="000000" w:themeColor="text1"/>
                <w:sz w:val="16"/>
                <w:szCs w:val="16"/>
              </w:rPr>
              <w:t>1.ИС</w:t>
            </w:r>
            <w:proofErr w:type="gramEnd"/>
            <w:r w:rsidRPr="008127F8">
              <w:rPr>
                <w:rFonts w:ascii="Times New Roman" w:hAnsi="Times New Roman"/>
                <w:color w:val="000000" w:themeColor="text1"/>
                <w:sz w:val="16"/>
                <w:szCs w:val="16"/>
              </w:rPr>
              <w:t>-2</w:t>
            </w:r>
          </w:p>
        </w:tc>
        <w:tc>
          <w:tcPr>
            <w:tcW w:w="1459" w:type="dxa"/>
            <w:tcBorders>
              <w:top w:val="single" w:sz="6" w:space="0" w:color="auto"/>
              <w:left w:val="single" w:sz="6" w:space="0" w:color="auto"/>
              <w:bottom w:val="single" w:sz="6" w:space="0" w:color="auto"/>
              <w:right w:val="single" w:sz="6" w:space="0" w:color="auto"/>
            </w:tcBorders>
          </w:tcPr>
          <w:p w14:paraId="70D9EB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7334F7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5216BE0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4D8497B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72BD0F6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1872" w:type="dxa"/>
            <w:tcBorders>
              <w:top w:val="single" w:sz="6" w:space="0" w:color="auto"/>
              <w:left w:val="single" w:sz="6" w:space="0" w:color="auto"/>
              <w:bottom w:val="single" w:sz="6" w:space="0" w:color="auto"/>
              <w:right w:val="single" w:sz="6" w:space="0" w:color="auto"/>
            </w:tcBorders>
          </w:tcPr>
          <w:p w14:paraId="5A05175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r>
      <w:tr w:rsidR="006F4095" w:rsidRPr="008127F8" w14:paraId="58F398CC" w14:textId="77777777">
        <w:trPr>
          <w:trHeight w:val="202"/>
        </w:trPr>
        <w:tc>
          <w:tcPr>
            <w:tcW w:w="1594" w:type="dxa"/>
            <w:tcBorders>
              <w:top w:val="single" w:sz="6" w:space="0" w:color="auto"/>
              <w:left w:val="single" w:sz="6" w:space="0" w:color="auto"/>
              <w:bottom w:val="single" w:sz="6" w:space="0" w:color="auto"/>
              <w:right w:val="single" w:sz="6" w:space="0" w:color="auto"/>
            </w:tcBorders>
          </w:tcPr>
          <w:p w14:paraId="1040F19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Т-34-76</w:t>
            </w:r>
          </w:p>
        </w:tc>
        <w:tc>
          <w:tcPr>
            <w:tcW w:w="1459" w:type="dxa"/>
            <w:tcBorders>
              <w:top w:val="single" w:sz="6" w:space="0" w:color="auto"/>
              <w:left w:val="single" w:sz="6" w:space="0" w:color="auto"/>
              <w:bottom w:val="single" w:sz="6" w:space="0" w:color="auto"/>
              <w:right w:val="single" w:sz="6" w:space="0" w:color="auto"/>
            </w:tcBorders>
          </w:tcPr>
          <w:p w14:paraId="2681D9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4414</w:t>
            </w:r>
          </w:p>
        </w:tc>
        <w:tc>
          <w:tcPr>
            <w:tcW w:w="1440" w:type="dxa"/>
            <w:tcBorders>
              <w:top w:val="single" w:sz="6" w:space="0" w:color="auto"/>
              <w:left w:val="single" w:sz="6" w:space="0" w:color="auto"/>
              <w:bottom w:val="single" w:sz="6" w:space="0" w:color="auto"/>
              <w:right w:val="single" w:sz="6" w:space="0" w:color="auto"/>
            </w:tcBorders>
          </w:tcPr>
          <w:p w14:paraId="5E7BDF7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8247</w:t>
            </w:r>
          </w:p>
        </w:tc>
        <w:tc>
          <w:tcPr>
            <w:tcW w:w="1469" w:type="dxa"/>
            <w:tcBorders>
              <w:top w:val="single" w:sz="6" w:space="0" w:color="auto"/>
              <w:left w:val="single" w:sz="6" w:space="0" w:color="auto"/>
              <w:bottom w:val="single" w:sz="6" w:space="0" w:color="auto"/>
              <w:right w:val="single" w:sz="6" w:space="0" w:color="auto"/>
            </w:tcBorders>
          </w:tcPr>
          <w:p w14:paraId="51395B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12661</w:t>
            </w:r>
          </w:p>
        </w:tc>
        <w:tc>
          <w:tcPr>
            <w:tcW w:w="1440" w:type="dxa"/>
            <w:tcBorders>
              <w:top w:val="single" w:sz="6" w:space="0" w:color="auto"/>
              <w:left w:val="single" w:sz="6" w:space="0" w:color="auto"/>
              <w:bottom w:val="single" w:sz="6" w:space="0" w:color="auto"/>
              <w:right w:val="single" w:sz="6" w:space="0" w:color="auto"/>
            </w:tcBorders>
          </w:tcPr>
          <w:p w14:paraId="2080096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7248</w:t>
            </w:r>
          </w:p>
        </w:tc>
        <w:tc>
          <w:tcPr>
            <w:tcW w:w="1469" w:type="dxa"/>
            <w:tcBorders>
              <w:top w:val="single" w:sz="6" w:space="0" w:color="auto"/>
              <w:left w:val="single" w:sz="6" w:space="0" w:color="auto"/>
              <w:bottom w:val="single" w:sz="6" w:space="0" w:color="auto"/>
              <w:right w:val="single" w:sz="6" w:space="0" w:color="auto"/>
            </w:tcBorders>
          </w:tcPr>
          <w:p w14:paraId="6AF61F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8462</w:t>
            </w:r>
          </w:p>
        </w:tc>
        <w:tc>
          <w:tcPr>
            <w:tcW w:w="1872" w:type="dxa"/>
            <w:tcBorders>
              <w:top w:val="single" w:sz="6" w:space="0" w:color="auto"/>
              <w:left w:val="single" w:sz="6" w:space="0" w:color="auto"/>
              <w:bottom w:val="single" w:sz="6" w:space="0" w:color="auto"/>
              <w:right w:val="single" w:sz="6" w:space="0" w:color="auto"/>
            </w:tcBorders>
          </w:tcPr>
          <w:p w14:paraId="7F22110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15710</w:t>
            </w:r>
          </w:p>
        </w:tc>
      </w:tr>
      <w:tr w:rsidR="006F4095" w:rsidRPr="008127F8" w14:paraId="045AC4BD" w14:textId="77777777">
        <w:trPr>
          <w:trHeight w:val="202"/>
        </w:trPr>
        <w:tc>
          <w:tcPr>
            <w:tcW w:w="1594" w:type="dxa"/>
            <w:tcBorders>
              <w:top w:val="single" w:sz="6" w:space="0" w:color="auto"/>
              <w:left w:val="single" w:sz="6" w:space="0" w:color="auto"/>
              <w:bottom w:val="single" w:sz="6" w:space="0" w:color="auto"/>
              <w:right w:val="single" w:sz="6" w:space="0" w:color="auto"/>
            </w:tcBorders>
          </w:tcPr>
          <w:p w14:paraId="1439BBE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Т-60</w:t>
            </w:r>
          </w:p>
        </w:tc>
        <w:tc>
          <w:tcPr>
            <w:tcW w:w="1459" w:type="dxa"/>
            <w:tcBorders>
              <w:top w:val="single" w:sz="6" w:space="0" w:color="auto"/>
              <w:left w:val="single" w:sz="6" w:space="0" w:color="auto"/>
              <w:bottom w:val="single" w:sz="6" w:space="0" w:color="auto"/>
              <w:right w:val="single" w:sz="6" w:space="0" w:color="auto"/>
            </w:tcBorders>
          </w:tcPr>
          <w:p w14:paraId="05EB499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4254</w:t>
            </w:r>
          </w:p>
        </w:tc>
        <w:tc>
          <w:tcPr>
            <w:tcW w:w="1440" w:type="dxa"/>
            <w:tcBorders>
              <w:top w:val="single" w:sz="6" w:space="0" w:color="auto"/>
              <w:left w:val="single" w:sz="6" w:space="0" w:color="auto"/>
              <w:bottom w:val="single" w:sz="6" w:space="0" w:color="auto"/>
              <w:right w:val="single" w:sz="6" w:space="0" w:color="auto"/>
            </w:tcBorders>
          </w:tcPr>
          <w:p w14:paraId="2E720AA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223</w:t>
            </w:r>
          </w:p>
        </w:tc>
        <w:tc>
          <w:tcPr>
            <w:tcW w:w="1469" w:type="dxa"/>
            <w:tcBorders>
              <w:top w:val="single" w:sz="6" w:space="0" w:color="auto"/>
              <w:left w:val="single" w:sz="6" w:space="0" w:color="auto"/>
              <w:bottom w:val="single" w:sz="6" w:space="0" w:color="auto"/>
              <w:right w:val="single" w:sz="6" w:space="0" w:color="auto"/>
            </w:tcBorders>
          </w:tcPr>
          <w:p w14:paraId="6810883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4477</w:t>
            </w:r>
          </w:p>
        </w:tc>
        <w:tc>
          <w:tcPr>
            <w:tcW w:w="1440" w:type="dxa"/>
            <w:tcBorders>
              <w:top w:val="single" w:sz="6" w:space="0" w:color="auto"/>
              <w:left w:val="single" w:sz="6" w:space="0" w:color="auto"/>
              <w:bottom w:val="single" w:sz="6" w:space="0" w:color="auto"/>
              <w:right w:val="single" w:sz="6" w:space="0" w:color="auto"/>
            </w:tcBorders>
          </w:tcPr>
          <w:p w14:paraId="5D4723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1469" w:type="dxa"/>
            <w:tcBorders>
              <w:top w:val="single" w:sz="6" w:space="0" w:color="auto"/>
              <w:left w:val="single" w:sz="6" w:space="0" w:color="auto"/>
              <w:bottom w:val="single" w:sz="6" w:space="0" w:color="auto"/>
              <w:right w:val="single" w:sz="6" w:space="0" w:color="auto"/>
            </w:tcBorders>
          </w:tcPr>
          <w:p w14:paraId="0D1CD30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72" w:type="dxa"/>
            <w:tcBorders>
              <w:top w:val="single" w:sz="6" w:space="0" w:color="auto"/>
              <w:left w:val="single" w:sz="6" w:space="0" w:color="auto"/>
              <w:bottom w:val="single" w:sz="6" w:space="0" w:color="auto"/>
              <w:right w:val="single" w:sz="6" w:space="0" w:color="auto"/>
            </w:tcBorders>
          </w:tcPr>
          <w:p w14:paraId="25D8AC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r>
      <w:tr w:rsidR="006F4095" w:rsidRPr="008127F8" w14:paraId="173EA43E" w14:textId="77777777">
        <w:trPr>
          <w:trHeight w:val="202"/>
        </w:trPr>
        <w:tc>
          <w:tcPr>
            <w:tcW w:w="1594" w:type="dxa"/>
            <w:tcBorders>
              <w:top w:val="single" w:sz="6" w:space="0" w:color="auto"/>
              <w:left w:val="single" w:sz="6" w:space="0" w:color="auto"/>
              <w:bottom w:val="single" w:sz="6" w:space="0" w:color="auto"/>
              <w:right w:val="single" w:sz="6" w:space="0" w:color="auto"/>
            </w:tcBorders>
          </w:tcPr>
          <w:p w14:paraId="293A278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Т-50</w:t>
            </w:r>
          </w:p>
        </w:tc>
        <w:tc>
          <w:tcPr>
            <w:tcW w:w="1459" w:type="dxa"/>
            <w:tcBorders>
              <w:top w:val="single" w:sz="6" w:space="0" w:color="auto"/>
              <w:left w:val="single" w:sz="6" w:space="0" w:color="auto"/>
              <w:bottom w:val="single" w:sz="6" w:space="0" w:color="auto"/>
              <w:right w:val="single" w:sz="6" w:space="0" w:color="auto"/>
            </w:tcBorders>
          </w:tcPr>
          <w:p w14:paraId="370C427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440" w:type="dxa"/>
            <w:tcBorders>
              <w:top w:val="single" w:sz="6" w:space="0" w:color="auto"/>
              <w:left w:val="single" w:sz="6" w:space="0" w:color="auto"/>
              <w:bottom w:val="single" w:sz="6" w:space="0" w:color="auto"/>
              <w:right w:val="single" w:sz="6" w:space="0" w:color="auto"/>
            </w:tcBorders>
          </w:tcPr>
          <w:p w14:paraId="6C5E74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7EA703F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440" w:type="dxa"/>
            <w:tcBorders>
              <w:top w:val="single" w:sz="6" w:space="0" w:color="auto"/>
              <w:left w:val="single" w:sz="6" w:space="0" w:color="auto"/>
              <w:bottom w:val="single" w:sz="6" w:space="0" w:color="auto"/>
              <w:right w:val="single" w:sz="6" w:space="0" w:color="auto"/>
            </w:tcBorders>
          </w:tcPr>
          <w:p w14:paraId="685136C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0EAEAAB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72" w:type="dxa"/>
            <w:tcBorders>
              <w:top w:val="single" w:sz="6" w:space="0" w:color="auto"/>
              <w:left w:val="single" w:sz="6" w:space="0" w:color="auto"/>
              <w:bottom w:val="single" w:sz="6" w:space="0" w:color="auto"/>
              <w:right w:val="single" w:sz="6" w:space="0" w:color="auto"/>
            </w:tcBorders>
          </w:tcPr>
          <w:p w14:paraId="5DD6DF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D431BDD" w14:textId="77777777">
        <w:trPr>
          <w:trHeight w:val="202"/>
        </w:trPr>
        <w:tc>
          <w:tcPr>
            <w:tcW w:w="1594" w:type="dxa"/>
            <w:tcBorders>
              <w:top w:val="single" w:sz="6" w:space="0" w:color="auto"/>
              <w:left w:val="single" w:sz="6" w:space="0" w:color="auto"/>
              <w:bottom w:val="single" w:sz="6" w:space="0" w:color="auto"/>
              <w:right w:val="single" w:sz="6" w:space="0" w:color="auto"/>
            </w:tcBorders>
          </w:tcPr>
          <w:p w14:paraId="592F8E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Т-70</w:t>
            </w:r>
          </w:p>
        </w:tc>
        <w:tc>
          <w:tcPr>
            <w:tcW w:w="1459" w:type="dxa"/>
            <w:tcBorders>
              <w:top w:val="single" w:sz="6" w:space="0" w:color="auto"/>
              <w:left w:val="single" w:sz="6" w:space="0" w:color="auto"/>
              <w:bottom w:val="single" w:sz="6" w:space="0" w:color="auto"/>
              <w:right w:val="single" w:sz="6" w:space="0" w:color="auto"/>
            </w:tcBorders>
          </w:tcPr>
          <w:p w14:paraId="1085413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831</w:t>
            </w:r>
          </w:p>
        </w:tc>
        <w:tc>
          <w:tcPr>
            <w:tcW w:w="1440" w:type="dxa"/>
            <w:tcBorders>
              <w:top w:val="single" w:sz="6" w:space="0" w:color="auto"/>
              <w:left w:val="single" w:sz="6" w:space="0" w:color="auto"/>
              <w:bottom w:val="single" w:sz="6" w:space="0" w:color="auto"/>
              <w:right w:val="single" w:sz="6" w:space="0" w:color="auto"/>
            </w:tcBorders>
          </w:tcPr>
          <w:p w14:paraId="632465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4052</w:t>
            </w:r>
          </w:p>
        </w:tc>
        <w:tc>
          <w:tcPr>
            <w:tcW w:w="1469" w:type="dxa"/>
            <w:tcBorders>
              <w:top w:val="single" w:sz="6" w:space="0" w:color="auto"/>
              <w:left w:val="single" w:sz="6" w:space="0" w:color="auto"/>
              <w:bottom w:val="single" w:sz="6" w:space="0" w:color="auto"/>
              <w:right w:val="single" w:sz="6" w:space="0" w:color="auto"/>
            </w:tcBorders>
          </w:tcPr>
          <w:p w14:paraId="06599C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4883</w:t>
            </w:r>
          </w:p>
        </w:tc>
        <w:tc>
          <w:tcPr>
            <w:tcW w:w="1440" w:type="dxa"/>
            <w:tcBorders>
              <w:top w:val="single" w:sz="6" w:space="0" w:color="auto"/>
              <w:left w:val="single" w:sz="6" w:space="0" w:color="auto"/>
              <w:bottom w:val="single" w:sz="6" w:space="0" w:color="auto"/>
              <w:right w:val="single" w:sz="6" w:space="0" w:color="auto"/>
            </w:tcBorders>
          </w:tcPr>
          <w:p w14:paraId="36E453D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2153</w:t>
            </w:r>
          </w:p>
        </w:tc>
        <w:tc>
          <w:tcPr>
            <w:tcW w:w="1469" w:type="dxa"/>
            <w:tcBorders>
              <w:top w:val="single" w:sz="6" w:space="0" w:color="auto"/>
              <w:left w:val="single" w:sz="6" w:space="0" w:color="auto"/>
              <w:bottom w:val="single" w:sz="6" w:space="0" w:color="auto"/>
              <w:right w:val="single" w:sz="6" w:space="0" w:color="auto"/>
            </w:tcBorders>
          </w:tcPr>
          <w:p w14:paraId="7070E20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1872" w:type="dxa"/>
            <w:tcBorders>
              <w:top w:val="single" w:sz="6" w:space="0" w:color="auto"/>
              <w:left w:val="single" w:sz="6" w:space="0" w:color="auto"/>
              <w:bottom w:val="single" w:sz="6" w:space="0" w:color="auto"/>
              <w:right w:val="single" w:sz="6" w:space="0" w:color="auto"/>
            </w:tcBorders>
          </w:tcPr>
          <w:p w14:paraId="359C03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3348</w:t>
            </w:r>
          </w:p>
        </w:tc>
      </w:tr>
      <w:tr w:rsidR="006F4095" w:rsidRPr="008127F8" w14:paraId="51DFD891" w14:textId="77777777">
        <w:trPr>
          <w:trHeight w:val="202"/>
        </w:trPr>
        <w:tc>
          <w:tcPr>
            <w:tcW w:w="1594" w:type="dxa"/>
            <w:tcBorders>
              <w:top w:val="single" w:sz="6" w:space="0" w:color="auto"/>
              <w:left w:val="single" w:sz="6" w:space="0" w:color="auto"/>
              <w:bottom w:val="single" w:sz="6" w:space="0" w:color="auto"/>
              <w:right w:val="single" w:sz="6" w:space="0" w:color="auto"/>
            </w:tcBorders>
          </w:tcPr>
          <w:p w14:paraId="5290BC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Т-80</w:t>
            </w:r>
          </w:p>
        </w:tc>
        <w:tc>
          <w:tcPr>
            <w:tcW w:w="1459" w:type="dxa"/>
            <w:tcBorders>
              <w:top w:val="single" w:sz="6" w:space="0" w:color="auto"/>
              <w:left w:val="single" w:sz="6" w:space="0" w:color="auto"/>
              <w:bottom w:val="single" w:sz="6" w:space="0" w:color="auto"/>
              <w:right w:val="single" w:sz="6" w:space="0" w:color="auto"/>
            </w:tcBorders>
          </w:tcPr>
          <w:p w14:paraId="15AA1A0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39B4D9F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6A1B33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30917E4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58A5FF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1872" w:type="dxa"/>
            <w:tcBorders>
              <w:top w:val="single" w:sz="6" w:space="0" w:color="auto"/>
              <w:left w:val="single" w:sz="6" w:space="0" w:color="auto"/>
              <w:bottom w:val="single" w:sz="6" w:space="0" w:color="auto"/>
              <w:right w:val="single" w:sz="6" w:space="0" w:color="auto"/>
            </w:tcBorders>
          </w:tcPr>
          <w:p w14:paraId="7345A5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r>
      <w:tr w:rsidR="006F4095" w:rsidRPr="008127F8" w14:paraId="73C1179D" w14:textId="77777777">
        <w:trPr>
          <w:trHeight w:val="221"/>
        </w:trPr>
        <w:tc>
          <w:tcPr>
            <w:tcW w:w="1594" w:type="dxa"/>
            <w:tcBorders>
              <w:top w:val="single" w:sz="6" w:space="0" w:color="auto"/>
              <w:left w:val="single" w:sz="6" w:space="0" w:color="auto"/>
              <w:bottom w:val="single" w:sz="6" w:space="0" w:color="auto"/>
              <w:right w:val="single" w:sz="6" w:space="0" w:color="auto"/>
            </w:tcBorders>
          </w:tcPr>
          <w:p w14:paraId="1384055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танков</w:t>
            </w:r>
          </w:p>
        </w:tc>
        <w:tc>
          <w:tcPr>
            <w:tcW w:w="1459" w:type="dxa"/>
            <w:tcBorders>
              <w:top w:val="single" w:sz="6" w:space="0" w:color="auto"/>
              <w:left w:val="single" w:sz="6" w:space="0" w:color="auto"/>
              <w:bottom w:val="single" w:sz="6" w:space="0" w:color="auto"/>
              <w:right w:val="single" w:sz="6" w:space="0" w:color="auto"/>
            </w:tcBorders>
          </w:tcPr>
          <w:p w14:paraId="4ACD02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11177</w:t>
            </w:r>
          </w:p>
        </w:tc>
        <w:tc>
          <w:tcPr>
            <w:tcW w:w="1440" w:type="dxa"/>
            <w:tcBorders>
              <w:top w:val="single" w:sz="6" w:space="0" w:color="auto"/>
              <w:left w:val="single" w:sz="6" w:space="0" w:color="auto"/>
              <w:bottom w:val="single" w:sz="6" w:space="0" w:color="auto"/>
              <w:right w:val="single" w:sz="6" w:space="0" w:color="auto"/>
            </w:tcBorders>
          </w:tcPr>
          <w:p w14:paraId="35D41F0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13412</w:t>
            </w:r>
          </w:p>
        </w:tc>
        <w:tc>
          <w:tcPr>
            <w:tcW w:w="1469" w:type="dxa"/>
            <w:tcBorders>
              <w:top w:val="single" w:sz="6" w:space="0" w:color="auto"/>
              <w:left w:val="single" w:sz="6" w:space="0" w:color="auto"/>
              <w:bottom w:val="single" w:sz="6" w:space="0" w:color="auto"/>
              <w:right w:val="single" w:sz="6" w:space="0" w:color="auto"/>
            </w:tcBorders>
          </w:tcPr>
          <w:p w14:paraId="25B686B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24589</w:t>
            </w:r>
          </w:p>
        </w:tc>
        <w:tc>
          <w:tcPr>
            <w:tcW w:w="1440" w:type="dxa"/>
            <w:tcBorders>
              <w:top w:val="single" w:sz="6" w:space="0" w:color="auto"/>
              <w:left w:val="single" w:sz="6" w:space="0" w:color="auto"/>
              <w:bottom w:val="single" w:sz="6" w:space="0" w:color="auto"/>
              <w:right w:val="single" w:sz="6" w:space="0" w:color="auto"/>
            </w:tcBorders>
          </w:tcPr>
          <w:p w14:paraId="665ADF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9834</w:t>
            </w:r>
          </w:p>
        </w:tc>
        <w:tc>
          <w:tcPr>
            <w:tcW w:w="1469" w:type="dxa"/>
            <w:tcBorders>
              <w:top w:val="single" w:sz="6" w:space="0" w:color="auto"/>
              <w:left w:val="single" w:sz="6" w:space="0" w:color="auto"/>
              <w:bottom w:val="single" w:sz="6" w:space="0" w:color="auto"/>
              <w:right w:val="single" w:sz="6" w:space="0" w:color="auto"/>
            </w:tcBorders>
          </w:tcPr>
          <w:p w14:paraId="472B64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10073</w:t>
            </w:r>
          </w:p>
        </w:tc>
        <w:tc>
          <w:tcPr>
            <w:tcW w:w="1872" w:type="dxa"/>
            <w:tcBorders>
              <w:top w:val="single" w:sz="6" w:space="0" w:color="auto"/>
              <w:left w:val="single" w:sz="6" w:space="0" w:color="auto"/>
              <w:bottom w:val="single" w:sz="6" w:space="0" w:color="auto"/>
              <w:right w:val="single" w:sz="6" w:space="0" w:color="auto"/>
            </w:tcBorders>
          </w:tcPr>
          <w:p w14:paraId="66AF724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19907</w:t>
            </w:r>
          </w:p>
        </w:tc>
      </w:tr>
    </w:tbl>
    <w:p w14:paraId="51B3D6D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танков в СССР в 1944 - 1945 гг.</w:t>
      </w:r>
    </w:p>
    <w:tbl>
      <w:tblPr>
        <w:tblW w:w="0" w:type="auto"/>
        <w:tblInd w:w="40" w:type="dxa"/>
        <w:tblLayout w:type="fixed"/>
        <w:tblCellMar>
          <w:left w:w="40" w:type="dxa"/>
          <w:right w:w="40" w:type="dxa"/>
        </w:tblCellMar>
        <w:tblLook w:val="0000" w:firstRow="0" w:lastRow="0" w:firstColumn="0" w:lastColumn="0" w:noHBand="0" w:noVBand="0"/>
      </w:tblPr>
      <w:tblGrid>
        <w:gridCol w:w="1603"/>
        <w:gridCol w:w="2256"/>
        <w:gridCol w:w="2064"/>
        <w:gridCol w:w="2246"/>
        <w:gridCol w:w="2582"/>
      </w:tblGrid>
      <w:tr w:rsidR="006F4095" w:rsidRPr="008127F8" w14:paraId="2E937C0A" w14:textId="77777777">
        <w:trPr>
          <w:trHeight w:val="394"/>
        </w:trPr>
        <w:tc>
          <w:tcPr>
            <w:tcW w:w="1603" w:type="dxa"/>
            <w:tcBorders>
              <w:top w:val="single" w:sz="6" w:space="0" w:color="auto"/>
              <w:left w:val="single" w:sz="6" w:space="0" w:color="auto"/>
              <w:bottom w:val="single" w:sz="6" w:space="0" w:color="auto"/>
              <w:right w:val="single" w:sz="6" w:space="0" w:color="auto"/>
            </w:tcBorders>
          </w:tcPr>
          <w:p w14:paraId="7B4623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танка</w:t>
            </w:r>
          </w:p>
        </w:tc>
        <w:tc>
          <w:tcPr>
            <w:tcW w:w="2256" w:type="dxa"/>
            <w:tcBorders>
              <w:top w:val="single" w:sz="6" w:space="0" w:color="auto"/>
              <w:left w:val="single" w:sz="6" w:space="0" w:color="auto"/>
              <w:bottom w:val="single" w:sz="6" w:space="0" w:color="auto"/>
              <w:right w:val="single" w:sz="6" w:space="0" w:color="auto"/>
            </w:tcBorders>
          </w:tcPr>
          <w:p w14:paraId="4CCF38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1944г. 1 полугодие</w:t>
            </w:r>
          </w:p>
        </w:tc>
        <w:tc>
          <w:tcPr>
            <w:tcW w:w="2064" w:type="dxa"/>
            <w:tcBorders>
              <w:top w:val="single" w:sz="6" w:space="0" w:color="auto"/>
              <w:left w:val="single" w:sz="6" w:space="0" w:color="auto"/>
              <w:bottom w:val="single" w:sz="6" w:space="0" w:color="auto"/>
              <w:right w:val="single" w:sz="6" w:space="0" w:color="auto"/>
            </w:tcBorders>
          </w:tcPr>
          <w:p w14:paraId="44AE1A0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1944г. 2 полугодие</w:t>
            </w:r>
          </w:p>
        </w:tc>
        <w:tc>
          <w:tcPr>
            <w:tcW w:w="2246" w:type="dxa"/>
            <w:tcBorders>
              <w:top w:val="single" w:sz="6" w:space="0" w:color="auto"/>
              <w:left w:val="single" w:sz="6" w:space="0" w:color="auto"/>
              <w:bottom w:val="single" w:sz="6" w:space="0" w:color="auto"/>
              <w:right w:val="single" w:sz="6" w:space="0" w:color="auto"/>
            </w:tcBorders>
          </w:tcPr>
          <w:p w14:paraId="6628BD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1944 г.</w:t>
            </w:r>
          </w:p>
        </w:tc>
        <w:tc>
          <w:tcPr>
            <w:tcW w:w="2582" w:type="dxa"/>
            <w:tcBorders>
              <w:top w:val="single" w:sz="6" w:space="0" w:color="auto"/>
              <w:left w:val="single" w:sz="6" w:space="0" w:color="auto"/>
              <w:bottom w:val="single" w:sz="6" w:space="0" w:color="auto"/>
              <w:right w:val="single" w:sz="6" w:space="0" w:color="auto"/>
            </w:tcBorders>
          </w:tcPr>
          <w:p w14:paraId="43F524D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1945г. 1 полугодие</w:t>
            </w:r>
          </w:p>
        </w:tc>
      </w:tr>
      <w:tr w:rsidR="006F4095" w:rsidRPr="008127F8" w14:paraId="487B6EC2" w14:textId="77777777">
        <w:trPr>
          <w:trHeight w:val="202"/>
        </w:trPr>
        <w:tc>
          <w:tcPr>
            <w:tcW w:w="1603" w:type="dxa"/>
            <w:tcBorders>
              <w:top w:val="single" w:sz="6" w:space="0" w:color="auto"/>
              <w:left w:val="single" w:sz="6" w:space="0" w:color="auto"/>
              <w:bottom w:val="single" w:sz="6" w:space="0" w:color="auto"/>
              <w:right w:val="single" w:sz="6" w:space="0" w:color="auto"/>
            </w:tcBorders>
          </w:tcPr>
          <w:p w14:paraId="6B0A51F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w:t>
            </w:r>
            <w:proofErr w:type="gramStart"/>
            <w:r w:rsidRPr="008127F8">
              <w:rPr>
                <w:rFonts w:ascii="Times New Roman" w:hAnsi="Times New Roman"/>
                <w:color w:val="000000" w:themeColor="text1"/>
                <w:sz w:val="16"/>
                <w:szCs w:val="16"/>
              </w:rPr>
              <w:t>1.ИС</w:t>
            </w:r>
            <w:proofErr w:type="gramEnd"/>
            <w:r w:rsidRPr="008127F8">
              <w:rPr>
                <w:rFonts w:ascii="Times New Roman" w:hAnsi="Times New Roman"/>
                <w:color w:val="000000" w:themeColor="text1"/>
                <w:sz w:val="16"/>
                <w:szCs w:val="16"/>
              </w:rPr>
              <w:t>-2</w:t>
            </w:r>
          </w:p>
        </w:tc>
        <w:tc>
          <w:tcPr>
            <w:tcW w:w="2256" w:type="dxa"/>
            <w:tcBorders>
              <w:top w:val="single" w:sz="6" w:space="0" w:color="auto"/>
              <w:left w:val="single" w:sz="6" w:space="0" w:color="auto"/>
              <w:bottom w:val="single" w:sz="6" w:space="0" w:color="auto"/>
              <w:right w:val="single" w:sz="6" w:space="0" w:color="auto"/>
            </w:tcBorders>
          </w:tcPr>
          <w:p w14:paraId="05F846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775</w:t>
            </w:r>
          </w:p>
        </w:tc>
        <w:tc>
          <w:tcPr>
            <w:tcW w:w="2064" w:type="dxa"/>
            <w:tcBorders>
              <w:top w:val="single" w:sz="6" w:space="0" w:color="auto"/>
              <w:left w:val="single" w:sz="6" w:space="0" w:color="auto"/>
              <w:bottom w:val="single" w:sz="6" w:space="0" w:color="auto"/>
              <w:right w:val="single" w:sz="6" w:space="0" w:color="auto"/>
            </w:tcBorders>
          </w:tcPr>
          <w:p w14:paraId="20AC02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1475</w:t>
            </w:r>
          </w:p>
        </w:tc>
        <w:tc>
          <w:tcPr>
            <w:tcW w:w="2246" w:type="dxa"/>
            <w:tcBorders>
              <w:top w:val="single" w:sz="6" w:space="0" w:color="auto"/>
              <w:left w:val="single" w:sz="6" w:space="0" w:color="auto"/>
              <w:bottom w:val="single" w:sz="6" w:space="0" w:color="auto"/>
              <w:right w:val="single" w:sz="6" w:space="0" w:color="auto"/>
            </w:tcBorders>
          </w:tcPr>
          <w:p w14:paraId="01E709F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w:t>
            </w:r>
          </w:p>
        </w:tc>
        <w:tc>
          <w:tcPr>
            <w:tcW w:w="2582" w:type="dxa"/>
            <w:tcBorders>
              <w:top w:val="single" w:sz="6" w:space="0" w:color="auto"/>
              <w:left w:val="single" w:sz="6" w:space="0" w:color="auto"/>
              <w:bottom w:val="single" w:sz="6" w:space="0" w:color="auto"/>
              <w:right w:val="single" w:sz="6" w:space="0" w:color="auto"/>
            </w:tcBorders>
          </w:tcPr>
          <w:p w14:paraId="1776ED5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1515</w:t>
            </w:r>
          </w:p>
        </w:tc>
      </w:tr>
      <w:tr w:rsidR="006F4095" w:rsidRPr="008127F8" w14:paraId="24A02794" w14:textId="77777777">
        <w:trPr>
          <w:trHeight w:val="202"/>
        </w:trPr>
        <w:tc>
          <w:tcPr>
            <w:tcW w:w="1603" w:type="dxa"/>
            <w:tcBorders>
              <w:top w:val="single" w:sz="6" w:space="0" w:color="auto"/>
              <w:left w:val="single" w:sz="6" w:space="0" w:color="auto"/>
              <w:bottom w:val="single" w:sz="6" w:space="0" w:color="auto"/>
              <w:right w:val="single" w:sz="6" w:space="0" w:color="auto"/>
            </w:tcBorders>
          </w:tcPr>
          <w:p w14:paraId="4254DEA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Т-34-76</w:t>
            </w:r>
          </w:p>
        </w:tc>
        <w:tc>
          <w:tcPr>
            <w:tcW w:w="2256" w:type="dxa"/>
            <w:tcBorders>
              <w:top w:val="single" w:sz="6" w:space="0" w:color="auto"/>
              <w:left w:val="single" w:sz="6" w:space="0" w:color="auto"/>
              <w:bottom w:val="single" w:sz="6" w:space="0" w:color="auto"/>
              <w:right w:val="single" w:sz="6" w:space="0" w:color="auto"/>
            </w:tcBorders>
          </w:tcPr>
          <w:p w14:paraId="4CEE35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3828</w:t>
            </w:r>
          </w:p>
        </w:tc>
        <w:tc>
          <w:tcPr>
            <w:tcW w:w="2064" w:type="dxa"/>
            <w:tcBorders>
              <w:top w:val="single" w:sz="6" w:space="0" w:color="auto"/>
              <w:left w:val="single" w:sz="6" w:space="0" w:color="auto"/>
              <w:bottom w:val="single" w:sz="6" w:space="0" w:color="auto"/>
              <w:right w:val="single" w:sz="6" w:space="0" w:color="auto"/>
            </w:tcBorders>
          </w:tcPr>
          <w:p w14:paraId="6984C6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158</w:t>
            </w:r>
          </w:p>
        </w:tc>
        <w:tc>
          <w:tcPr>
            <w:tcW w:w="2246" w:type="dxa"/>
            <w:tcBorders>
              <w:top w:val="single" w:sz="6" w:space="0" w:color="auto"/>
              <w:left w:val="single" w:sz="6" w:space="0" w:color="auto"/>
              <w:bottom w:val="single" w:sz="6" w:space="0" w:color="auto"/>
              <w:right w:val="single" w:sz="6" w:space="0" w:color="auto"/>
            </w:tcBorders>
          </w:tcPr>
          <w:p w14:paraId="25CC954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3986</w:t>
            </w:r>
          </w:p>
        </w:tc>
        <w:tc>
          <w:tcPr>
            <w:tcW w:w="2582" w:type="dxa"/>
            <w:tcBorders>
              <w:top w:val="single" w:sz="6" w:space="0" w:color="auto"/>
              <w:left w:val="single" w:sz="6" w:space="0" w:color="auto"/>
              <w:bottom w:val="single" w:sz="6" w:space="0" w:color="auto"/>
              <w:right w:val="single" w:sz="6" w:space="0" w:color="auto"/>
            </w:tcBorders>
          </w:tcPr>
          <w:p w14:paraId="348670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04FAB82" w14:textId="77777777">
        <w:trPr>
          <w:trHeight w:val="202"/>
        </w:trPr>
        <w:tc>
          <w:tcPr>
            <w:tcW w:w="1603" w:type="dxa"/>
            <w:tcBorders>
              <w:top w:val="single" w:sz="6" w:space="0" w:color="auto"/>
              <w:left w:val="single" w:sz="6" w:space="0" w:color="auto"/>
              <w:bottom w:val="single" w:sz="6" w:space="0" w:color="auto"/>
              <w:right w:val="single" w:sz="6" w:space="0" w:color="auto"/>
            </w:tcBorders>
          </w:tcPr>
          <w:p w14:paraId="2F1B2A9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Т-34-85</w:t>
            </w:r>
          </w:p>
        </w:tc>
        <w:tc>
          <w:tcPr>
            <w:tcW w:w="2256" w:type="dxa"/>
            <w:tcBorders>
              <w:top w:val="single" w:sz="6" w:space="0" w:color="auto"/>
              <w:left w:val="single" w:sz="6" w:space="0" w:color="auto"/>
              <w:bottom w:val="single" w:sz="6" w:space="0" w:color="auto"/>
              <w:right w:val="single" w:sz="6" w:space="0" w:color="auto"/>
            </w:tcBorders>
          </w:tcPr>
          <w:p w14:paraId="403DA3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3455</w:t>
            </w:r>
          </w:p>
        </w:tc>
        <w:tc>
          <w:tcPr>
            <w:tcW w:w="2064" w:type="dxa"/>
            <w:tcBorders>
              <w:top w:val="single" w:sz="6" w:space="0" w:color="auto"/>
              <w:left w:val="single" w:sz="6" w:space="0" w:color="auto"/>
              <w:bottom w:val="single" w:sz="6" w:space="0" w:color="auto"/>
              <w:right w:val="single" w:sz="6" w:space="0" w:color="auto"/>
            </w:tcBorders>
          </w:tcPr>
          <w:p w14:paraId="17C2754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7207</w:t>
            </w:r>
          </w:p>
        </w:tc>
        <w:tc>
          <w:tcPr>
            <w:tcW w:w="2246" w:type="dxa"/>
            <w:tcBorders>
              <w:top w:val="single" w:sz="6" w:space="0" w:color="auto"/>
              <w:left w:val="single" w:sz="6" w:space="0" w:color="auto"/>
              <w:bottom w:val="single" w:sz="6" w:space="0" w:color="auto"/>
              <w:right w:val="single" w:sz="6" w:space="0" w:color="auto"/>
            </w:tcBorders>
          </w:tcPr>
          <w:p w14:paraId="1A19CAE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10662</w:t>
            </w:r>
          </w:p>
        </w:tc>
        <w:tc>
          <w:tcPr>
            <w:tcW w:w="2582" w:type="dxa"/>
            <w:tcBorders>
              <w:top w:val="single" w:sz="6" w:space="0" w:color="auto"/>
              <w:left w:val="single" w:sz="6" w:space="0" w:color="auto"/>
              <w:bottom w:val="single" w:sz="6" w:space="0" w:color="auto"/>
              <w:right w:val="single" w:sz="6" w:space="0" w:color="auto"/>
            </w:tcBorders>
          </w:tcPr>
          <w:p w14:paraId="6A8AF7C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6080</w:t>
            </w:r>
          </w:p>
        </w:tc>
      </w:tr>
      <w:tr w:rsidR="006F4095" w:rsidRPr="008127F8" w14:paraId="4E6CE68B" w14:textId="77777777">
        <w:trPr>
          <w:trHeight w:val="202"/>
        </w:trPr>
        <w:tc>
          <w:tcPr>
            <w:tcW w:w="1603" w:type="dxa"/>
            <w:tcBorders>
              <w:top w:val="single" w:sz="6" w:space="0" w:color="auto"/>
              <w:left w:val="single" w:sz="6" w:space="0" w:color="auto"/>
              <w:bottom w:val="single" w:sz="6" w:space="0" w:color="auto"/>
              <w:right w:val="single" w:sz="6" w:space="0" w:color="auto"/>
            </w:tcBorders>
          </w:tcPr>
          <w:p w14:paraId="3B7398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w:t>
            </w:r>
          </w:p>
        </w:tc>
        <w:tc>
          <w:tcPr>
            <w:tcW w:w="2256" w:type="dxa"/>
            <w:tcBorders>
              <w:top w:val="single" w:sz="6" w:space="0" w:color="auto"/>
              <w:left w:val="single" w:sz="6" w:space="0" w:color="auto"/>
              <w:bottom w:val="single" w:sz="6" w:space="0" w:color="auto"/>
              <w:right w:val="single" w:sz="6" w:space="0" w:color="auto"/>
            </w:tcBorders>
          </w:tcPr>
          <w:p w14:paraId="5CBBE27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064" w:type="dxa"/>
            <w:tcBorders>
              <w:top w:val="single" w:sz="6" w:space="0" w:color="auto"/>
              <w:left w:val="single" w:sz="6" w:space="0" w:color="auto"/>
              <w:bottom w:val="single" w:sz="6" w:space="0" w:color="auto"/>
              <w:right w:val="single" w:sz="6" w:space="0" w:color="auto"/>
            </w:tcBorders>
          </w:tcPr>
          <w:p w14:paraId="2EED13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2246" w:type="dxa"/>
            <w:tcBorders>
              <w:top w:val="single" w:sz="6" w:space="0" w:color="auto"/>
              <w:left w:val="single" w:sz="6" w:space="0" w:color="auto"/>
              <w:bottom w:val="single" w:sz="6" w:space="0" w:color="auto"/>
              <w:right w:val="single" w:sz="6" w:space="0" w:color="auto"/>
            </w:tcBorders>
          </w:tcPr>
          <w:p w14:paraId="58096F4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2582" w:type="dxa"/>
            <w:tcBorders>
              <w:top w:val="single" w:sz="6" w:space="0" w:color="auto"/>
              <w:left w:val="single" w:sz="6" w:space="0" w:color="auto"/>
              <w:bottom w:val="single" w:sz="6" w:space="0" w:color="auto"/>
              <w:right w:val="single" w:sz="6" w:space="0" w:color="auto"/>
            </w:tcBorders>
          </w:tcPr>
          <w:p w14:paraId="7CFE9A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r>
      <w:tr w:rsidR="006F4095" w:rsidRPr="008127F8" w14:paraId="1F1B7882" w14:textId="77777777">
        <w:trPr>
          <w:trHeight w:val="221"/>
        </w:trPr>
        <w:tc>
          <w:tcPr>
            <w:tcW w:w="1603" w:type="dxa"/>
            <w:tcBorders>
              <w:top w:val="single" w:sz="6" w:space="0" w:color="auto"/>
              <w:left w:val="single" w:sz="6" w:space="0" w:color="auto"/>
              <w:bottom w:val="single" w:sz="6" w:space="0" w:color="auto"/>
              <w:right w:val="single" w:sz="6" w:space="0" w:color="auto"/>
            </w:tcBorders>
          </w:tcPr>
          <w:p w14:paraId="42D53FA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танков</w:t>
            </w:r>
          </w:p>
        </w:tc>
        <w:tc>
          <w:tcPr>
            <w:tcW w:w="2256" w:type="dxa"/>
            <w:tcBorders>
              <w:top w:val="single" w:sz="6" w:space="0" w:color="auto"/>
              <w:left w:val="single" w:sz="6" w:space="0" w:color="auto"/>
              <w:bottom w:val="single" w:sz="6" w:space="0" w:color="auto"/>
              <w:right w:val="single" w:sz="6" w:space="0" w:color="auto"/>
            </w:tcBorders>
          </w:tcPr>
          <w:p w14:paraId="09F6FB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8058</w:t>
            </w:r>
          </w:p>
        </w:tc>
        <w:tc>
          <w:tcPr>
            <w:tcW w:w="2064" w:type="dxa"/>
            <w:tcBorders>
              <w:top w:val="single" w:sz="6" w:space="0" w:color="auto"/>
              <w:left w:val="single" w:sz="6" w:space="0" w:color="auto"/>
              <w:bottom w:val="single" w:sz="6" w:space="0" w:color="auto"/>
              <w:right w:val="single" w:sz="6" w:space="0" w:color="auto"/>
            </w:tcBorders>
          </w:tcPr>
          <w:p w14:paraId="63109D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8865</w:t>
            </w:r>
          </w:p>
        </w:tc>
        <w:tc>
          <w:tcPr>
            <w:tcW w:w="2246" w:type="dxa"/>
            <w:tcBorders>
              <w:top w:val="single" w:sz="6" w:space="0" w:color="auto"/>
              <w:left w:val="single" w:sz="6" w:space="0" w:color="auto"/>
              <w:bottom w:val="single" w:sz="6" w:space="0" w:color="auto"/>
              <w:right w:val="single" w:sz="6" w:space="0" w:color="auto"/>
            </w:tcBorders>
          </w:tcPr>
          <w:p w14:paraId="0F7A62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16923</w:t>
            </w:r>
          </w:p>
        </w:tc>
        <w:tc>
          <w:tcPr>
            <w:tcW w:w="2582" w:type="dxa"/>
            <w:tcBorders>
              <w:top w:val="single" w:sz="6" w:space="0" w:color="auto"/>
              <w:left w:val="single" w:sz="6" w:space="0" w:color="auto"/>
              <w:bottom w:val="single" w:sz="6" w:space="0" w:color="auto"/>
              <w:right w:val="single" w:sz="6" w:space="0" w:color="auto"/>
            </w:tcBorders>
          </w:tcPr>
          <w:p w14:paraId="65162F2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7835</w:t>
            </w:r>
          </w:p>
        </w:tc>
      </w:tr>
    </w:tbl>
    <w:p w14:paraId="7BEAD37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Качественный состав танкового парка Красной Армии в годы Великой Отечественной войны (в %)</w:t>
      </w:r>
    </w:p>
    <w:tbl>
      <w:tblPr>
        <w:tblW w:w="0" w:type="auto"/>
        <w:tblInd w:w="40" w:type="dxa"/>
        <w:tblLayout w:type="fixed"/>
        <w:tblCellMar>
          <w:left w:w="40" w:type="dxa"/>
          <w:right w:w="40" w:type="dxa"/>
        </w:tblCellMar>
        <w:tblLook w:val="0000" w:firstRow="0" w:lastRow="0" w:firstColumn="0" w:lastColumn="0" w:noHBand="0" w:noVBand="0"/>
      </w:tblPr>
      <w:tblGrid>
        <w:gridCol w:w="2381"/>
        <w:gridCol w:w="2650"/>
        <w:gridCol w:w="2630"/>
        <w:gridCol w:w="3082"/>
      </w:tblGrid>
      <w:tr w:rsidR="006F4095" w:rsidRPr="008127F8" w14:paraId="442BD180" w14:textId="77777777">
        <w:trPr>
          <w:trHeight w:val="221"/>
        </w:trPr>
        <w:tc>
          <w:tcPr>
            <w:tcW w:w="2381" w:type="dxa"/>
            <w:tcBorders>
              <w:top w:val="single" w:sz="6" w:space="0" w:color="auto"/>
              <w:left w:val="single" w:sz="6" w:space="0" w:color="auto"/>
              <w:bottom w:val="single" w:sz="6" w:space="0" w:color="auto"/>
              <w:right w:val="single" w:sz="6" w:space="0" w:color="auto"/>
            </w:tcBorders>
          </w:tcPr>
          <w:p w14:paraId="7ABE63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Годы</w:t>
            </w:r>
          </w:p>
        </w:tc>
        <w:tc>
          <w:tcPr>
            <w:tcW w:w="2650" w:type="dxa"/>
            <w:tcBorders>
              <w:top w:val="single" w:sz="6" w:space="0" w:color="auto"/>
              <w:left w:val="single" w:sz="6" w:space="0" w:color="auto"/>
              <w:bottom w:val="single" w:sz="6" w:space="0" w:color="auto"/>
              <w:right w:val="single" w:sz="6" w:space="0" w:color="auto"/>
            </w:tcBorders>
          </w:tcPr>
          <w:p w14:paraId="74EBC59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Легкие и малые танки</w:t>
            </w:r>
          </w:p>
        </w:tc>
        <w:tc>
          <w:tcPr>
            <w:tcW w:w="2630" w:type="dxa"/>
            <w:tcBorders>
              <w:top w:val="single" w:sz="6" w:space="0" w:color="auto"/>
              <w:left w:val="single" w:sz="6" w:space="0" w:color="auto"/>
              <w:bottom w:val="single" w:sz="6" w:space="0" w:color="auto"/>
              <w:right w:val="single" w:sz="6" w:space="0" w:color="auto"/>
            </w:tcBorders>
          </w:tcPr>
          <w:p w14:paraId="1408FFA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Средние танки</w:t>
            </w:r>
          </w:p>
        </w:tc>
        <w:tc>
          <w:tcPr>
            <w:tcW w:w="3082" w:type="dxa"/>
            <w:tcBorders>
              <w:top w:val="single" w:sz="6" w:space="0" w:color="auto"/>
              <w:left w:val="single" w:sz="6" w:space="0" w:color="auto"/>
              <w:bottom w:val="single" w:sz="6" w:space="0" w:color="auto"/>
              <w:right w:val="single" w:sz="6" w:space="0" w:color="auto"/>
            </w:tcBorders>
          </w:tcPr>
          <w:p w14:paraId="3844D85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Тяжелые танки</w:t>
            </w:r>
          </w:p>
        </w:tc>
      </w:tr>
      <w:tr w:rsidR="006F4095" w:rsidRPr="008127F8" w14:paraId="7FA92EC8" w14:textId="77777777">
        <w:trPr>
          <w:trHeight w:val="202"/>
        </w:trPr>
        <w:tc>
          <w:tcPr>
            <w:tcW w:w="2381" w:type="dxa"/>
            <w:tcBorders>
              <w:top w:val="single" w:sz="6" w:space="0" w:color="auto"/>
              <w:left w:val="single" w:sz="6" w:space="0" w:color="auto"/>
              <w:bottom w:val="single" w:sz="6" w:space="0" w:color="auto"/>
              <w:right w:val="single" w:sz="6" w:space="0" w:color="auto"/>
            </w:tcBorders>
          </w:tcPr>
          <w:p w14:paraId="6011042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2650" w:type="dxa"/>
            <w:tcBorders>
              <w:top w:val="single" w:sz="6" w:space="0" w:color="auto"/>
              <w:left w:val="single" w:sz="6" w:space="0" w:color="auto"/>
              <w:bottom w:val="single" w:sz="6" w:space="0" w:color="auto"/>
              <w:right w:val="single" w:sz="6" w:space="0" w:color="auto"/>
            </w:tcBorders>
          </w:tcPr>
          <w:p w14:paraId="07DA02A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42,1</w:t>
            </w:r>
          </w:p>
        </w:tc>
        <w:tc>
          <w:tcPr>
            <w:tcW w:w="2630" w:type="dxa"/>
            <w:tcBorders>
              <w:top w:val="single" w:sz="6" w:space="0" w:color="auto"/>
              <w:left w:val="single" w:sz="6" w:space="0" w:color="auto"/>
              <w:bottom w:val="single" w:sz="6" w:space="0" w:color="auto"/>
              <w:right w:val="single" w:sz="6" w:space="0" w:color="auto"/>
            </w:tcBorders>
          </w:tcPr>
          <w:p w14:paraId="51A54F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w:t>
            </w:r>
          </w:p>
        </w:tc>
        <w:tc>
          <w:tcPr>
            <w:tcW w:w="3082" w:type="dxa"/>
            <w:tcBorders>
              <w:top w:val="single" w:sz="6" w:space="0" w:color="auto"/>
              <w:left w:val="single" w:sz="6" w:space="0" w:color="auto"/>
              <w:bottom w:val="single" w:sz="6" w:space="0" w:color="auto"/>
              <w:right w:val="single" w:sz="6" w:space="0" w:color="auto"/>
            </w:tcBorders>
          </w:tcPr>
          <w:p w14:paraId="4DE906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4F0EEE49" w14:textId="77777777">
        <w:trPr>
          <w:trHeight w:val="192"/>
        </w:trPr>
        <w:tc>
          <w:tcPr>
            <w:tcW w:w="2381" w:type="dxa"/>
            <w:tcBorders>
              <w:top w:val="single" w:sz="6" w:space="0" w:color="auto"/>
              <w:left w:val="single" w:sz="6" w:space="0" w:color="auto"/>
              <w:bottom w:val="single" w:sz="6" w:space="0" w:color="auto"/>
              <w:right w:val="single" w:sz="6" w:space="0" w:color="auto"/>
            </w:tcBorders>
          </w:tcPr>
          <w:p w14:paraId="1874BA0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1942</w:t>
            </w:r>
          </w:p>
        </w:tc>
        <w:tc>
          <w:tcPr>
            <w:tcW w:w="2650" w:type="dxa"/>
            <w:tcBorders>
              <w:top w:val="single" w:sz="6" w:space="0" w:color="auto"/>
              <w:left w:val="single" w:sz="6" w:space="0" w:color="auto"/>
              <w:bottom w:val="single" w:sz="6" w:space="0" w:color="auto"/>
              <w:right w:val="single" w:sz="6" w:space="0" w:color="auto"/>
            </w:tcBorders>
          </w:tcPr>
          <w:p w14:paraId="51114C5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630" w:type="dxa"/>
            <w:tcBorders>
              <w:top w:val="single" w:sz="6" w:space="0" w:color="auto"/>
              <w:left w:val="single" w:sz="6" w:space="0" w:color="auto"/>
              <w:bottom w:val="single" w:sz="6" w:space="0" w:color="auto"/>
              <w:right w:val="single" w:sz="6" w:space="0" w:color="auto"/>
            </w:tcBorders>
          </w:tcPr>
          <w:p w14:paraId="1FA9E5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c>
          <w:tcPr>
            <w:tcW w:w="3082" w:type="dxa"/>
            <w:tcBorders>
              <w:top w:val="single" w:sz="6" w:space="0" w:color="auto"/>
              <w:left w:val="single" w:sz="6" w:space="0" w:color="auto"/>
              <w:bottom w:val="single" w:sz="6" w:space="0" w:color="auto"/>
              <w:right w:val="single" w:sz="6" w:space="0" w:color="auto"/>
            </w:tcBorders>
          </w:tcPr>
          <w:p w14:paraId="53CF341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r>
      <w:tr w:rsidR="006F4095" w:rsidRPr="008127F8" w14:paraId="6A4C58EE" w14:textId="77777777">
        <w:trPr>
          <w:trHeight w:val="202"/>
        </w:trPr>
        <w:tc>
          <w:tcPr>
            <w:tcW w:w="2381" w:type="dxa"/>
            <w:tcBorders>
              <w:top w:val="single" w:sz="6" w:space="0" w:color="auto"/>
              <w:left w:val="single" w:sz="6" w:space="0" w:color="auto"/>
              <w:bottom w:val="single" w:sz="6" w:space="0" w:color="auto"/>
              <w:right w:val="single" w:sz="6" w:space="0" w:color="auto"/>
            </w:tcBorders>
          </w:tcPr>
          <w:p w14:paraId="0AD857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w:t>
            </w:r>
          </w:p>
        </w:tc>
        <w:tc>
          <w:tcPr>
            <w:tcW w:w="2650" w:type="dxa"/>
            <w:tcBorders>
              <w:top w:val="single" w:sz="6" w:space="0" w:color="auto"/>
              <w:left w:val="single" w:sz="6" w:space="0" w:color="auto"/>
              <w:bottom w:val="single" w:sz="6" w:space="0" w:color="auto"/>
              <w:right w:val="single" w:sz="6" w:space="0" w:color="auto"/>
            </w:tcBorders>
          </w:tcPr>
          <w:p w14:paraId="28AAB2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w:t>
            </w:r>
          </w:p>
        </w:tc>
        <w:tc>
          <w:tcPr>
            <w:tcW w:w="2630" w:type="dxa"/>
            <w:tcBorders>
              <w:top w:val="single" w:sz="6" w:space="0" w:color="auto"/>
              <w:left w:val="single" w:sz="6" w:space="0" w:color="auto"/>
              <w:bottom w:val="single" w:sz="6" w:space="0" w:color="auto"/>
              <w:right w:val="single" w:sz="6" w:space="0" w:color="auto"/>
            </w:tcBorders>
          </w:tcPr>
          <w:p w14:paraId="37980EF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78,9</w:t>
            </w:r>
          </w:p>
        </w:tc>
        <w:tc>
          <w:tcPr>
            <w:tcW w:w="3082" w:type="dxa"/>
            <w:tcBorders>
              <w:top w:val="single" w:sz="6" w:space="0" w:color="auto"/>
              <w:left w:val="single" w:sz="6" w:space="0" w:color="auto"/>
              <w:bottom w:val="single" w:sz="6" w:space="0" w:color="auto"/>
              <w:right w:val="single" w:sz="6" w:space="0" w:color="auto"/>
            </w:tcBorders>
          </w:tcPr>
          <w:p w14:paraId="5F841CA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r>
      <w:tr w:rsidR="006F4095" w:rsidRPr="008127F8" w14:paraId="18C195EE" w14:textId="77777777">
        <w:trPr>
          <w:trHeight w:val="202"/>
        </w:trPr>
        <w:tc>
          <w:tcPr>
            <w:tcW w:w="2381" w:type="dxa"/>
            <w:tcBorders>
              <w:top w:val="single" w:sz="6" w:space="0" w:color="auto"/>
              <w:left w:val="single" w:sz="6" w:space="0" w:color="auto"/>
              <w:bottom w:val="single" w:sz="6" w:space="0" w:color="auto"/>
              <w:right w:val="single" w:sz="6" w:space="0" w:color="auto"/>
            </w:tcBorders>
          </w:tcPr>
          <w:p w14:paraId="0DFCA4F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w:t>
            </w:r>
          </w:p>
        </w:tc>
        <w:tc>
          <w:tcPr>
            <w:tcW w:w="2650" w:type="dxa"/>
            <w:tcBorders>
              <w:top w:val="single" w:sz="6" w:space="0" w:color="auto"/>
              <w:left w:val="single" w:sz="6" w:space="0" w:color="auto"/>
              <w:bottom w:val="single" w:sz="6" w:space="0" w:color="auto"/>
              <w:right w:val="single" w:sz="6" w:space="0" w:color="auto"/>
            </w:tcBorders>
          </w:tcPr>
          <w:p w14:paraId="3052416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630" w:type="dxa"/>
            <w:tcBorders>
              <w:top w:val="single" w:sz="6" w:space="0" w:color="auto"/>
              <w:left w:val="single" w:sz="6" w:space="0" w:color="auto"/>
              <w:bottom w:val="single" w:sz="6" w:space="0" w:color="auto"/>
              <w:right w:val="single" w:sz="6" w:space="0" w:color="auto"/>
            </w:tcBorders>
          </w:tcPr>
          <w:p w14:paraId="5EA498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86,7</w:t>
            </w:r>
          </w:p>
        </w:tc>
        <w:tc>
          <w:tcPr>
            <w:tcW w:w="3082" w:type="dxa"/>
            <w:tcBorders>
              <w:top w:val="single" w:sz="6" w:space="0" w:color="auto"/>
              <w:left w:val="single" w:sz="6" w:space="0" w:color="auto"/>
              <w:bottom w:val="single" w:sz="6" w:space="0" w:color="auto"/>
              <w:right w:val="single" w:sz="6" w:space="0" w:color="auto"/>
            </w:tcBorders>
          </w:tcPr>
          <w:p w14:paraId="6B8CEF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w:t>
            </w:r>
          </w:p>
        </w:tc>
      </w:tr>
      <w:tr w:rsidR="006F4095" w:rsidRPr="008127F8" w14:paraId="3EBC2329" w14:textId="77777777">
        <w:trPr>
          <w:trHeight w:val="230"/>
        </w:trPr>
        <w:tc>
          <w:tcPr>
            <w:tcW w:w="2381" w:type="dxa"/>
            <w:tcBorders>
              <w:top w:val="single" w:sz="6" w:space="0" w:color="auto"/>
              <w:left w:val="single" w:sz="6" w:space="0" w:color="auto"/>
              <w:bottom w:val="single" w:sz="6" w:space="0" w:color="auto"/>
              <w:right w:val="single" w:sz="6" w:space="0" w:color="auto"/>
            </w:tcBorders>
          </w:tcPr>
          <w:p w14:paraId="55A17E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w:t>
            </w:r>
          </w:p>
        </w:tc>
        <w:tc>
          <w:tcPr>
            <w:tcW w:w="2650" w:type="dxa"/>
            <w:tcBorders>
              <w:top w:val="single" w:sz="6" w:space="0" w:color="auto"/>
              <w:left w:val="single" w:sz="6" w:space="0" w:color="auto"/>
              <w:bottom w:val="single" w:sz="6" w:space="0" w:color="auto"/>
              <w:right w:val="single" w:sz="6" w:space="0" w:color="auto"/>
            </w:tcBorders>
          </w:tcPr>
          <w:p w14:paraId="2F840F6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630" w:type="dxa"/>
            <w:tcBorders>
              <w:top w:val="single" w:sz="6" w:space="0" w:color="auto"/>
              <w:left w:val="single" w:sz="6" w:space="0" w:color="auto"/>
              <w:bottom w:val="single" w:sz="6" w:space="0" w:color="auto"/>
              <w:right w:val="single" w:sz="6" w:space="0" w:color="auto"/>
            </w:tcBorders>
          </w:tcPr>
          <w:p w14:paraId="784EBF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83,3</w:t>
            </w:r>
          </w:p>
        </w:tc>
        <w:tc>
          <w:tcPr>
            <w:tcW w:w="3082" w:type="dxa"/>
            <w:tcBorders>
              <w:top w:val="single" w:sz="6" w:space="0" w:color="auto"/>
              <w:left w:val="single" w:sz="6" w:space="0" w:color="auto"/>
              <w:bottom w:val="single" w:sz="6" w:space="0" w:color="auto"/>
              <w:right w:val="single" w:sz="6" w:space="0" w:color="auto"/>
            </w:tcBorders>
          </w:tcPr>
          <w:p w14:paraId="001EF57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w:t>
            </w:r>
          </w:p>
        </w:tc>
      </w:tr>
    </w:tbl>
    <w:p w14:paraId="529DAD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(10703).</w:t>
      </w:r>
    </w:p>
    <w:p w14:paraId="06187B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4DA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главной проблемой была нехватка броне</w:t>
      </w:r>
      <w:r w:rsidRPr="008127F8">
        <w:rPr>
          <w:rFonts w:ascii="Times New Roman" w:hAnsi="Times New Roman"/>
          <w:color w:val="000000" w:themeColor="text1"/>
          <w:sz w:val="16"/>
          <w:szCs w:val="16"/>
        </w:rPr>
        <w:softHyphen/>
        <w:t>вой стали. В прежние годы широко гуляла легенда (которая и сегодня в ходу), что броневая защита отечественных тан</w:t>
      </w:r>
      <w:r w:rsidRPr="008127F8">
        <w:rPr>
          <w:rFonts w:ascii="Times New Roman" w:hAnsi="Times New Roman"/>
          <w:color w:val="000000" w:themeColor="text1"/>
          <w:sz w:val="16"/>
          <w:szCs w:val="16"/>
        </w:rPr>
        <w:softHyphen/>
        <w:t>ков первого периода войны была вполне адекватной задачам и чуть ли не абсолютно неуязвимой на поле боя. Распростра</w:t>
      </w:r>
      <w:r w:rsidRPr="008127F8">
        <w:rPr>
          <w:rFonts w:ascii="Times New Roman" w:hAnsi="Times New Roman"/>
          <w:color w:val="000000" w:themeColor="text1"/>
          <w:sz w:val="16"/>
          <w:szCs w:val="16"/>
        </w:rPr>
        <w:softHyphen/>
        <w:t>нялись истории, как некий танк (Т-34 или КВ) разгуливал словно слон в посудной лавке между немецкими «пигмея</w:t>
      </w:r>
      <w:r w:rsidRPr="008127F8">
        <w:rPr>
          <w:rFonts w:ascii="Times New Roman" w:hAnsi="Times New Roman"/>
          <w:color w:val="000000" w:themeColor="text1"/>
          <w:sz w:val="16"/>
          <w:szCs w:val="16"/>
        </w:rPr>
        <w:softHyphen/>
        <w:t>ми» (Рг II, Рг 38 (I), Рг III, Рг ГУ), которые вместе с «коло</w:t>
      </w:r>
      <w:r w:rsidRPr="008127F8">
        <w:rPr>
          <w:rFonts w:ascii="Times New Roman" w:hAnsi="Times New Roman"/>
          <w:color w:val="000000" w:themeColor="text1"/>
          <w:sz w:val="16"/>
          <w:szCs w:val="16"/>
        </w:rPr>
        <w:softHyphen/>
        <w:t>тушками» (так было принято пренебрежительно именовать немецкие противотанковые пушки РаК-35/36) ничего не могли с ним поделать. Что только появление в 1943 г. на по</w:t>
      </w:r>
      <w:r w:rsidRPr="008127F8">
        <w:rPr>
          <w:rFonts w:ascii="Times New Roman" w:hAnsi="Times New Roman"/>
          <w:color w:val="000000" w:themeColor="text1"/>
          <w:sz w:val="16"/>
          <w:szCs w:val="16"/>
        </w:rPr>
        <w:softHyphen/>
        <w:t>ле боя «тигров» с «пантерами» как-то сгладило ситуацию, а до того шансов у панцерваффе не было никаких. Сие, однако, далеко от истины. Уже в отчете НИИ-48, выполненном в апреле 1942 г., констатировалось, что бро</w:t>
      </w:r>
      <w:r w:rsidRPr="008127F8">
        <w:rPr>
          <w:rFonts w:ascii="Times New Roman" w:hAnsi="Times New Roman"/>
          <w:color w:val="000000" w:themeColor="text1"/>
          <w:sz w:val="16"/>
          <w:szCs w:val="16"/>
        </w:rPr>
        <w:softHyphen/>
        <w:t>невая защита отечественных танков, несмотря на выполне</w:t>
      </w:r>
      <w:r w:rsidRPr="008127F8">
        <w:rPr>
          <w:rFonts w:ascii="Times New Roman" w:hAnsi="Times New Roman"/>
          <w:color w:val="000000" w:themeColor="text1"/>
          <w:sz w:val="16"/>
          <w:szCs w:val="16"/>
        </w:rPr>
        <w:softHyphen/>
        <w:t>ние ТТТ Бронетанкового управления 1940 г., «не смогла значительно снизить потери танковых войск в летне-осенней кампании 1941 г., так как немецкая армия имеет набор бро</w:t>
      </w:r>
      <w:r w:rsidRPr="008127F8">
        <w:rPr>
          <w:rFonts w:ascii="Times New Roman" w:hAnsi="Times New Roman"/>
          <w:color w:val="000000" w:themeColor="text1"/>
          <w:sz w:val="16"/>
          <w:szCs w:val="16"/>
        </w:rPr>
        <w:softHyphen/>
        <w:t>небойных средств, способных противостоять нашим новей</w:t>
      </w:r>
      <w:r w:rsidRPr="008127F8">
        <w:rPr>
          <w:rFonts w:ascii="Times New Roman" w:hAnsi="Times New Roman"/>
          <w:color w:val="000000" w:themeColor="text1"/>
          <w:sz w:val="16"/>
          <w:szCs w:val="16"/>
        </w:rPr>
        <w:softHyphen/>
        <w:t>шим танкам Т-34 и КВ» (10782).</w:t>
      </w:r>
    </w:p>
    <w:p w14:paraId="1081ED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4C4F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представители ГБТУ и НКТП высказались о ленд-лизовских танках:</w:t>
      </w:r>
    </w:p>
    <w:p w14:paraId="11B52DF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Федоренко</w:t>
      </w:r>
    </w:p>
    <w:p w14:paraId="6EB14EB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ответ на исх № 421 от 21.01.1942 г. имеем сообщить следующее:</w:t>
      </w:r>
    </w:p>
    <w:p w14:paraId="2324E7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Пехотный танк Мк.П «Матильда» является образцом среднего танка тяжелого бронирования. По своим основным параметрам он в целом не уступает танку КВ и выгодно от</w:t>
      </w:r>
      <w:r w:rsidRPr="008127F8">
        <w:rPr>
          <w:rFonts w:ascii="Times New Roman" w:hAnsi="Times New Roman"/>
          <w:color w:val="000000" w:themeColor="text1"/>
          <w:sz w:val="16"/>
          <w:szCs w:val="16"/>
        </w:rPr>
        <w:softHyphen/>
        <w:t>личается от последнего меньшей массой и несколько лучшей безотказностью в работе трансмиссии... Особенностью кон</w:t>
      </w:r>
      <w:r w:rsidRPr="008127F8">
        <w:rPr>
          <w:rFonts w:ascii="Times New Roman" w:hAnsi="Times New Roman"/>
          <w:color w:val="000000" w:themeColor="text1"/>
          <w:sz w:val="16"/>
          <w:szCs w:val="16"/>
        </w:rPr>
        <w:softHyphen/>
        <w:t>струкции танка является наличие у него фальшбортов из ка</w:t>
      </w:r>
      <w:r w:rsidRPr="008127F8">
        <w:rPr>
          <w:rFonts w:ascii="Times New Roman" w:hAnsi="Times New Roman"/>
          <w:color w:val="000000" w:themeColor="text1"/>
          <w:sz w:val="16"/>
          <w:szCs w:val="16"/>
        </w:rPr>
        <w:softHyphen/>
        <w:t>таной брони толщиной 20-25мм, защищающих подвеску тан</w:t>
      </w:r>
      <w:r w:rsidRPr="008127F8">
        <w:rPr>
          <w:rFonts w:ascii="Times New Roman" w:hAnsi="Times New Roman"/>
          <w:color w:val="000000" w:themeColor="text1"/>
          <w:sz w:val="16"/>
          <w:szCs w:val="16"/>
        </w:rPr>
        <w:softHyphen/>
        <w:t>ка и усиливающих броневую защиту бортов... В условиях пло</w:t>
      </w:r>
      <w:r w:rsidRPr="008127F8">
        <w:rPr>
          <w:rFonts w:ascii="Times New Roman" w:hAnsi="Times New Roman"/>
          <w:color w:val="000000" w:themeColor="text1"/>
          <w:sz w:val="16"/>
          <w:szCs w:val="16"/>
        </w:rPr>
        <w:softHyphen/>
        <w:t>хих дорог Подмосковья эта особенность приводила к тому, что пространство за фальшбортом часто забивалось грязью и снегом... Это требовало частой очистки ходовой части, и ухудшало поворотливость машины. Также наличие фальш</w:t>
      </w:r>
      <w:r w:rsidRPr="008127F8">
        <w:rPr>
          <w:rFonts w:ascii="Times New Roman" w:hAnsi="Times New Roman"/>
          <w:color w:val="000000" w:themeColor="text1"/>
          <w:sz w:val="16"/>
          <w:szCs w:val="16"/>
        </w:rPr>
        <w:softHyphen/>
        <w:t>бортов затрудняет смену гусеницы в боевых условиях...</w:t>
      </w:r>
    </w:p>
    <w:p w14:paraId="59C1604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всех типов английских танков характерен малый объем сварочных работ при изготовлении корпуса. Основным отличием броневой защиты данного танка от аналогов явля-етсябольшое количество литых деталей: носовой и кормовой узлы корпуса, соединенные вставными бортами катаной бро</w:t>
      </w:r>
      <w:r w:rsidRPr="008127F8">
        <w:rPr>
          <w:rFonts w:ascii="Times New Roman" w:hAnsi="Times New Roman"/>
          <w:color w:val="000000" w:themeColor="text1"/>
          <w:sz w:val="16"/>
          <w:szCs w:val="16"/>
        </w:rPr>
        <w:softHyphen/>
        <w:t>ни. Подбашенная коробка крепится к корпусу гужонами...</w:t>
      </w:r>
    </w:p>
    <w:p w14:paraId="6A983D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изготовления корпуса Мк.Пприменена катаная и ли</w:t>
      </w:r>
      <w:r w:rsidRPr="008127F8">
        <w:rPr>
          <w:rFonts w:ascii="Times New Roman" w:hAnsi="Times New Roman"/>
          <w:color w:val="000000" w:themeColor="text1"/>
          <w:sz w:val="16"/>
          <w:szCs w:val="16"/>
        </w:rPr>
        <w:softHyphen/>
        <w:t>тая броня с высоким содержанием хрома, никеля и молибдена, отличающаяся хорошей однородностью, закаливаемостью и вязкостью. Замер твердости брони по методу Бриннеля пока</w:t>
      </w:r>
      <w:r w:rsidRPr="008127F8">
        <w:rPr>
          <w:rFonts w:ascii="Times New Roman" w:hAnsi="Times New Roman"/>
          <w:color w:val="000000" w:themeColor="text1"/>
          <w:sz w:val="16"/>
          <w:szCs w:val="16"/>
        </w:rPr>
        <w:softHyphen/>
        <w:t>зывает, что она относится к разряду гемогенной (однород</w:t>
      </w:r>
      <w:r w:rsidRPr="008127F8">
        <w:rPr>
          <w:rFonts w:ascii="Times New Roman" w:hAnsi="Times New Roman"/>
          <w:color w:val="000000" w:themeColor="text1"/>
          <w:sz w:val="16"/>
          <w:szCs w:val="16"/>
        </w:rPr>
        <w:softHyphen/>
        <w:t>ной) брони средней твердости. По химсоставу она близка на</w:t>
      </w:r>
      <w:r w:rsidRPr="008127F8">
        <w:rPr>
          <w:rFonts w:ascii="Times New Roman" w:hAnsi="Times New Roman"/>
          <w:color w:val="000000" w:themeColor="text1"/>
          <w:sz w:val="16"/>
          <w:szCs w:val="16"/>
        </w:rPr>
        <w:softHyphen/>
        <w:t xml:space="preserve">шей </w:t>
      </w:r>
      <w:proofErr w:type="gramStart"/>
      <w:r w:rsidRPr="008127F8">
        <w:rPr>
          <w:rFonts w:ascii="Times New Roman" w:hAnsi="Times New Roman"/>
          <w:color w:val="000000" w:themeColor="text1"/>
          <w:sz w:val="16"/>
          <w:szCs w:val="16"/>
        </w:rPr>
        <w:t>хромо-никель-молибденовой</w:t>
      </w:r>
      <w:proofErr w:type="gramEnd"/>
      <w:r w:rsidRPr="008127F8">
        <w:rPr>
          <w:rFonts w:ascii="Times New Roman" w:hAnsi="Times New Roman"/>
          <w:color w:val="000000" w:themeColor="text1"/>
          <w:sz w:val="16"/>
          <w:szCs w:val="16"/>
        </w:rPr>
        <w:t xml:space="preserve"> броне ФД-7924.</w:t>
      </w:r>
    </w:p>
    <w:p w14:paraId="6D857E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Толщина бортовой брони танка Мк.П «Матильда» со</w:t>
      </w:r>
      <w:r w:rsidRPr="008127F8">
        <w:rPr>
          <w:rFonts w:ascii="Times New Roman" w:hAnsi="Times New Roman"/>
          <w:color w:val="000000" w:themeColor="text1"/>
          <w:sz w:val="16"/>
          <w:szCs w:val="16"/>
        </w:rPr>
        <w:softHyphen/>
        <w:t>ставляет 70-78 мм и в целом равнозначна броневой защите танка КВ... Качество закалки брони хорошее. Опасных отко</w:t>
      </w:r>
      <w:r w:rsidRPr="008127F8">
        <w:rPr>
          <w:rFonts w:ascii="Times New Roman" w:hAnsi="Times New Roman"/>
          <w:color w:val="000000" w:themeColor="text1"/>
          <w:sz w:val="16"/>
          <w:szCs w:val="16"/>
        </w:rPr>
        <w:softHyphen/>
        <w:t>лов при поражениях, близких к ПТП, не обнаружено...</w:t>
      </w:r>
    </w:p>
    <w:p w14:paraId="355ADA0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Двигательная установка танка состоит из двух двига</w:t>
      </w:r>
      <w:r w:rsidRPr="008127F8">
        <w:rPr>
          <w:rFonts w:ascii="Times New Roman" w:hAnsi="Times New Roman"/>
          <w:color w:val="000000" w:themeColor="text1"/>
          <w:sz w:val="16"/>
          <w:szCs w:val="16"/>
        </w:rPr>
        <w:softHyphen/>
        <w:t xml:space="preserve">телей дизеля типа «Лейланд» суммарной мощностью 195л.с., что обеспечивает танку удельную мощность в районе 7,5 л.с. к 1 тонне веса. Этого, </w:t>
      </w:r>
      <w:proofErr w:type="gramStart"/>
      <w:r w:rsidRPr="008127F8">
        <w:rPr>
          <w:rFonts w:ascii="Times New Roman" w:hAnsi="Times New Roman"/>
          <w:color w:val="000000" w:themeColor="text1"/>
          <w:sz w:val="16"/>
          <w:szCs w:val="16"/>
        </w:rPr>
        <w:t>несомненно</w:t>
      </w:r>
      <w:proofErr w:type="gramEnd"/>
      <w:r w:rsidRPr="008127F8">
        <w:rPr>
          <w:rFonts w:ascii="Times New Roman" w:hAnsi="Times New Roman"/>
          <w:color w:val="000000" w:themeColor="text1"/>
          <w:sz w:val="16"/>
          <w:szCs w:val="16"/>
        </w:rPr>
        <w:t xml:space="preserve"> недостаточно для осущес</w:t>
      </w:r>
      <w:r w:rsidRPr="008127F8">
        <w:rPr>
          <w:rFonts w:ascii="Times New Roman" w:hAnsi="Times New Roman"/>
          <w:color w:val="000000" w:themeColor="text1"/>
          <w:sz w:val="16"/>
          <w:szCs w:val="16"/>
        </w:rPr>
        <w:softHyphen/>
        <w:t>твления быстрых маневров на пересеченной местности, одна</w:t>
      </w:r>
      <w:r w:rsidRPr="008127F8">
        <w:rPr>
          <w:rFonts w:ascii="Times New Roman" w:hAnsi="Times New Roman"/>
          <w:color w:val="000000" w:themeColor="text1"/>
          <w:sz w:val="16"/>
          <w:szCs w:val="16"/>
        </w:rPr>
        <w:softHyphen/>
        <w:t>ко танк КВ также имеет недостаточную уд. мощность 8,1 тонны к 1 л.с. веса танка..., при этом более удачная конст</w:t>
      </w:r>
      <w:r w:rsidRPr="008127F8">
        <w:rPr>
          <w:rFonts w:ascii="Times New Roman" w:hAnsi="Times New Roman"/>
          <w:color w:val="000000" w:themeColor="text1"/>
          <w:sz w:val="16"/>
          <w:szCs w:val="16"/>
        </w:rPr>
        <w:softHyphen/>
        <w:t>рукция КПП и бортовых редукторов танка Мк.П делает его легче управляемым на бездорожье...</w:t>
      </w:r>
    </w:p>
    <w:p w14:paraId="796BAE3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числу недостатков танка Мк.П «Матильда» следует отнести слабость его орудия при ведении огня по живой силе и огневым точкам. Бронепробиваемость орудия удовлетвори</w:t>
      </w:r>
      <w:r w:rsidRPr="008127F8">
        <w:rPr>
          <w:rFonts w:ascii="Times New Roman" w:hAnsi="Times New Roman"/>
          <w:color w:val="000000" w:themeColor="text1"/>
          <w:sz w:val="16"/>
          <w:szCs w:val="16"/>
        </w:rPr>
        <w:softHyphen/>
        <w:t>тельна и несколько превышает таковую у отечественной 45-мм танковой пушки обр. 1938г.</w:t>
      </w:r>
    </w:p>
    <w:p w14:paraId="330836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рассматривается вопрос по перевоо</w:t>
      </w:r>
      <w:r w:rsidRPr="008127F8">
        <w:rPr>
          <w:rFonts w:ascii="Times New Roman" w:hAnsi="Times New Roman"/>
          <w:color w:val="000000" w:themeColor="text1"/>
          <w:sz w:val="16"/>
          <w:szCs w:val="16"/>
        </w:rPr>
        <w:softHyphen/>
        <w:t>ружению танка Мк.П «Матильда» отечественной 76-мм танковой пушкой обр. 1941 г. для полного уравнивания его воз</w:t>
      </w:r>
      <w:r w:rsidRPr="008127F8">
        <w:rPr>
          <w:rFonts w:ascii="Times New Roman" w:hAnsi="Times New Roman"/>
          <w:color w:val="000000" w:themeColor="text1"/>
          <w:sz w:val="16"/>
          <w:szCs w:val="16"/>
        </w:rPr>
        <w:softHyphen/>
        <w:t>можностей с возможностями танка КВ.</w:t>
      </w:r>
    </w:p>
    <w:p w14:paraId="5D24514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 Практику очернения танков союзников и распро</w:t>
      </w:r>
      <w:r w:rsidRPr="008127F8">
        <w:rPr>
          <w:rFonts w:ascii="Times New Roman" w:hAnsi="Times New Roman"/>
          <w:color w:val="000000" w:themeColor="text1"/>
          <w:sz w:val="16"/>
          <w:szCs w:val="16"/>
        </w:rPr>
        <w:softHyphen/>
        <w:t>странения им обидных кличек «каракатица», «шарманка» пре</w:t>
      </w:r>
      <w:r w:rsidRPr="008127F8">
        <w:rPr>
          <w:rFonts w:ascii="Times New Roman" w:hAnsi="Times New Roman"/>
          <w:color w:val="000000" w:themeColor="text1"/>
          <w:sz w:val="16"/>
          <w:szCs w:val="16"/>
        </w:rPr>
        <w:softHyphen/>
        <w:t>кратить; заказ танков Мк.П «Матильда» продолжать...» (10782).</w:t>
      </w:r>
    </w:p>
    <w:p w14:paraId="554F9AC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F20A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нередки были случаи, когда танки отпускались на фронт без проведения испытаний пробегов. «Было не до жиру. Заказ</w:t>
      </w:r>
      <w:r w:rsidRPr="008127F8">
        <w:rPr>
          <w:rFonts w:ascii="Times New Roman" w:hAnsi="Times New Roman"/>
          <w:color w:val="000000" w:themeColor="text1"/>
          <w:sz w:val="16"/>
          <w:szCs w:val="16"/>
        </w:rPr>
        <w:softHyphen/>
        <w:t>чик порой принимал танки, даже если они не ломались при по</w:t>
      </w:r>
      <w:r w:rsidRPr="008127F8">
        <w:rPr>
          <w:rFonts w:ascii="Times New Roman" w:hAnsi="Times New Roman"/>
          <w:color w:val="000000" w:themeColor="text1"/>
          <w:sz w:val="16"/>
          <w:szCs w:val="16"/>
        </w:rPr>
        <w:softHyphen/>
        <w:t>беге вокруг завода и своим ходом въезжали на железнодорож</w:t>
      </w:r>
      <w:r w:rsidRPr="008127F8">
        <w:rPr>
          <w:rFonts w:ascii="Times New Roman" w:hAnsi="Times New Roman"/>
          <w:color w:val="000000" w:themeColor="text1"/>
          <w:sz w:val="16"/>
          <w:szCs w:val="16"/>
        </w:rPr>
        <w:softHyphen/>
        <w:t>ные платформы», — вспоминал Л. Горлицкий, — «это чаще всего не меша^го танку произвести одну-две танковые атаки, а в тех ус/ювиях танк редко жил дольше...» В 1942 г. в истории двигателестроения и механизмов отечественных танков на</w:t>
      </w:r>
      <w:r w:rsidRPr="008127F8">
        <w:rPr>
          <w:rFonts w:ascii="Times New Roman" w:hAnsi="Times New Roman"/>
          <w:color w:val="000000" w:themeColor="text1"/>
          <w:sz w:val="16"/>
          <w:szCs w:val="16"/>
        </w:rPr>
        <w:softHyphen/>
        <w:t>ступил если не острый сердечный приступ, то «предынфар</w:t>
      </w:r>
      <w:r w:rsidRPr="008127F8">
        <w:rPr>
          <w:rFonts w:ascii="Times New Roman" w:hAnsi="Times New Roman"/>
          <w:color w:val="000000" w:themeColor="text1"/>
          <w:sz w:val="16"/>
          <w:szCs w:val="16"/>
        </w:rPr>
        <w:softHyphen/>
        <w:t>ктное состояние» наверняка (11135).</w:t>
      </w:r>
    </w:p>
    <w:p w14:paraId="0588D50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9069D9"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Pz.Kpfw.35 S (f) впервые попали в руки Красной Армии. В ходе немецкого отступления Panzerzug 27 оказался брошен возле села Шушенское, что южнее Сухиничей, Калужская область. Захватили его в самом конце января, вместе со всеми тремя танками. Сами немцы пишут, что бронепоезд восстановили, но вызывает это только усмешку. Собрали Panzerzug 27 с нуля, используя трофейные бронеплощаки, причем в мае 1942 года наши партизаны его подорвали (22391).</w:t>
      </w:r>
    </w:p>
    <w:p w14:paraId="16398865" w14:textId="77777777" w:rsidR="00721DE1" w:rsidRPr="008127F8" w:rsidRDefault="00721DE1" w:rsidP="001E0A84">
      <w:pPr>
        <w:spacing w:after="0" w:line="240" w:lineRule="auto"/>
        <w:jc w:val="both"/>
        <w:rPr>
          <w:rFonts w:ascii="Times New Roman" w:hAnsi="Times New Roman"/>
          <w:color w:val="000000" w:themeColor="text1"/>
          <w:sz w:val="16"/>
          <w:szCs w:val="16"/>
        </w:rPr>
      </w:pPr>
    </w:p>
    <w:p w14:paraId="6D60ED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артиллерийское производство УЗТМ было выделено в самостоятельный артиллерийский завод № 9 НКВ. Однако часть коллектива объединенного КБ была оставлена на заводе для обеспечения производства корпусов танка KB (из этой группы летом 1942 года был образован конструкторский отдел по проектированию САУ). В течение февраля — апреля 1942 года эта оставшаяся часть КБ выполнила ряд проектных работ по созданию новых самоходных установок. В их число вошли и проекты тяжелых машин, получивших индексы У-18 и У-19 (11638).</w:t>
      </w:r>
    </w:p>
    <w:p w14:paraId="3A82E7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696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года на ЧКЗ была выполнена окончательная сборка машины, получившей обозначение КВ-7. Эта машина стала первой тяжелой самоходной артиллерийской установкой, созданной в СССР в годы Великой Отечественной войны. Впервые примененная на этой машине рамочная конструкция установки орудий впоследствии использовалась почти на всех советских самоходках. По сравнению с тумбовыми установками, она обеспечивала наиболее компактное размещение орудия внутри боевой рубки. </w:t>
      </w:r>
    </w:p>
    <w:p w14:paraId="70EBFC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нескольких заводских пробегов самоход КВ-7 в спешном порядке отправили в Москву. 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КВ-7 проектировался по заявкам военных как «штурмовой танк с массированным артогнем, способный наиболее успешно подавлять артбатареи и разрушать оборонительные сооружения противника», он не получил одобрения у представителей ГБТУ и командования Красной Армии. В качестве главных недостатков машины отмечались: </w:t>
      </w:r>
    </w:p>
    <w:p w14:paraId="28534C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наличие в одном блоке орудий различных калибров с различной баллистикой, что не позволяло вести прицельную стрельбу одновременно из трех орудий, так как в зависимости от дистанции до цели углы вертикального наведения орудий различны; </w:t>
      </w:r>
    </w:p>
    <w:p w14:paraId="1EB203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при стрельбе из крайних орудий, благодаря наличию значительного расстояния между осью вращения блока орудий и осью бокового орудия, происходила большая сбиваемость наводки в горизонтальной плоскости, постоянно увеличивавшаяся в процессе стрельбы. Своим постановлением № 1110сс от 6 января 1942 года ГКО «отставил представленный трехорудийный образец КВ-7 и постановил вооружить КВ-7 спаренной установкой 76-мм орудий». </w:t>
      </w:r>
    </w:p>
    <w:p w14:paraId="2E3C76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Спаренная установка вооружения (заводской индекс У-14) была разработана в КБ УЗТМ в январе 1942 года конструкторами Н.В.Куриным, Т.Ф.Ксюниным и др.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608AA2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8127F8">
        <w:rPr>
          <w:rFonts w:ascii="Times New Roman" w:hAnsi="Times New Roman"/>
          <w:color w:val="000000" w:themeColor="text1"/>
          <w:sz w:val="16"/>
          <w:szCs w:val="16"/>
        </w:rPr>
        <w:t>выстр./</w:t>
      </w:r>
      <w:proofErr w:type="gramEnd"/>
      <w:r w:rsidRPr="008127F8">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4185FC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816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на базе ГАЗ-64 был создан БА-64 (3018,26).</w:t>
      </w:r>
    </w:p>
    <w:p w14:paraId="38EA6F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776E7" w14:textId="30D7E20C"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в Сталинграде были выпущены рабочие чертежи установки Б-64-А. Головной образец был построен в середине 1942 г. </w:t>
      </w:r>
      <w:proofErr w:type="gramStart"/>
      <w:r w:rsidRPr="008127F8">
        <w:rPr>
          <w:rFonts w:ascii="Times New Roman" w:hAnsi="Times New Roman"/>
          <w:color w:val="000000" w:themeColor="text1"/>
          <w:sz w:val="16"/>
          <w:szCs w:val="16"/>
        </w:rPr>
        <w:t>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сразу</w:t>
      </w:r>
      <w:proofErr w:type="gramEnd"/>
      <w:r w:rsidRPr="008127F8">
        <w:rPr>
          <w:rFonts w:ascii="Times New Roman" w:hAnsi="Times New Roman"/>
          <w:color w:val="000000" w:themeColor="text1"/>
          <w:sz w:val="16"/>
          <w:szCs w:val="16"/>
        </w:rPr>
        <w:t xml:space="preserve"> же в июле месяце опробован в боях. В </w:t>
      </w:r>
      <w:proofErr w:type="gramStart"/>
      <w:r w:rsidRPr="008127F8">
        <w:rPr>
          <w:rFonts w:ascii="Times New Roman" w:hAnsi="Times New Roman"/>
          <w:color w:val="000000" w:themeColor="text1"/>
          <w:sz w:val="16"/>
          <w:szCs w:val="16"/>
        </w:rPr>
        <w:t>августе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было</w:t>
      </w:r>
      <w:proofErr w:type="gramEnd"/>
      <w:r w:rsidRPr="008127F8">
        <w:rPr>
          <w:rFonts w:ascii="Times New Roman" w:hAnsi="Times New Roman"/>
          <w:color w:val="000000" w:themeColor="text1"/>
          <w:sz w:val="16"/>
          <w:szCs w:val="16"/>
        </w:rPr>
        <w:t xml:space="preserve"> построено 8 установок Б-64-А, которые прямо на заводе «Баррикады» были укомплектованы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артиллерийскими расчётами из моряков, эвакуированных из Севастополя. При эвакуации в Сталинград с завода «Большевик» сотрудников КБ, было перевезено значительное количество палубных морских установок Б-38. Эвакуированные конструкторы КБ «</w:t>
      </w:r>
      <w:proofErr w:type="gramStart"/>
      <w:r w:rsidRPr="008127F8">
        <w:rPr>
          <w:rFonts w:ascii="Times New Roman" w:hAnsi="Times New Roman"/>
          <w:color w:val="000000" w:themeColor="text1"/>
          <w:sz w:val="16"/>
          <w:szCs w:val="16"/>
        </w:rPr>
        <w:t>Большевика»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под</w:t>
      </w:r>
      <w:proofErr w:type="gramEnd"/>
      <w:r w:rsidRPr="008127F8">
        <w:rPr>
          <w:rFonts w:ascii="Times New Roman" w:hAnsi="Times New Roman"/>
          <w:color w:val="000000" w:themeColor="text1"/>
          <w:sz w:val="16"/>
          <w:szCs w:val="16"/>
        </w:rPr>
        <w:t xml:space="preserve"> руководством Е. Г. Рудяка, Г. Н. Кузнецова, 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А. Флоренского разработали в Сталинграде </w:t>
      </w:r>
      <w:proofErr w:type="gramStart"/>
      <w:r w:rsidRPr="008127F8">
        <w:rPr>
          <w:rFonts w:ascii="Times New Roman" w:hAnsi="Times New Roman"/>
          <w:color w:val="000000" w:themeColor="text1"/>
          <w:sz w:val="16"/>
          <w:szCs w:val="16"/>
        </w:rPr>
        <w:t>свой</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проект</w:t>
      </w:r>
      <w:proofErr w:type="gramEnd"/>
      <w:r w:rsidRPr="008127F8">
        <w:rPr>
          <w:rFonts w:ascii="Times New Roman" w:hAnsi="Times New Roman"/>
          <w:color w:val="000000" w:themeColor="text1"/>
          <w:sz w:val="16"/>
          <w:szCs w:val="16"/>
        </w:rPr>
        <w:t xml:space="preserve">. Дальнейшую </w:t>
      </w:r>
      <w:proofErr w:type="gramStart"/>
      <w:r w:rsidRPr="008127F8">
        <w:rPr>
          <w:rFonts w:ascii="Times New Roman" w:hAnsi="Times New Roman"/>
          <w:color w:val="000000" w:themeColor="text1"/>
          <w:sz w:val="16"/>
          <w:szCs w:val="16"/>
        </w:rPr>
        <w:t>разработку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w:t>
      </w:r>
      <w:proofErr w:type="gramEnd"/>
      <w:r w:rsidRPr="008127F8">
        <w:rPr>
          <w:rFonts w:ascii="Times New Roman" w:hAnsi="Times New Roman"/>
          <w:color w:val="000000" w:themeColor="text1"/>
          <w:sz w:val="16"/>
          <w:szCs w:val="16"/>
        </w:rPr>
        <w:t xml:space="preserve"> Б-64-А вели в Сталинграде совместно конструкторы «Большевика», «Баррикад», ЛМЗ. Установки приняли активное участие в обороне Сталинграда, накрывая огнём технику и пехоту фашистов на дальних подступах к городу. В </w:t>
      </w:r>
      <w:proofErr w:type="gramStart"/>
      <w:r w:rsidRPr="008127F8">
        <w:rPr>
          <w:rFonts w:ascii="Times New Roman" w:hAnsi="Times New Roman"/>
          <w:color w:val="000000" w:themeColor="text1"/>
          <w:sz w:val="16"/>
          <w:szCs w:val="16"/>
        </w:rPr>
        <w:t>дни,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когда</w:t>
      </w:r>
      <w:proofErr w:type="gramEnd"/>
      <w:r w:rsidRPr="008127F8">
        <w:rPr>
          <w:rFonts w:ascii="Times New Roman" w:hAnsi="Times New Roman"/>
          <w:color w:val="000000" w:themeColor="text1"/>
          <w:sz w:val="16"/>
          <w:szCs w:val="16"/>
        </w:rPr>
        <w:t xml:space="preserve"> город подвергался жестоким </w:t>
      </w:r>
      <w:r w:rsidRPr="008127F8">
        <w:rPr>
          <w:rFonts w:ascii="Times New Roman" w:hAnsi="Times New Roman"/>
          <w:color w:val="000000" w:themeColor="text1"/>
          <w:sz w:val="16"/>
          <w:szCs w:val="16"/>
        </w:rPr>
        <w:lastRenderedPageBreak/>
        <w:t>артобстрелам 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бомбёжкам, батареи маневрировали между заводами «Баррикады» и тракторным. Когда бои </w:t>
      </w:r>
      <w:proofErr w:type="gramStart"/>
      <w:r w:rsidRPr="008127F8">
        <w:rPr>
          <w:rFonts w:ascii="Times New Roman" w:hAnsi="Times New Roman"/>
          <w:color w:val="000000" w:themeColor="text1"/>
          <w:sz w:val="16"/>
          <w:szCs w:val="16"/>
        </w:rPr>
        <w:t>начались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w:t>
      </w:r>
      <w:proofErr w:type="gramEnd"/>
      <w:r w:rsidRPr="008127F8">
        <w:rPr>
          <w:rFonts w:ascii="Times New Roman" w:hAnsi="Times New Roman"/>
          <w:color w:val="000000" w:themeColor="text1"/>
          <w:sz w:val="16"/>
          <w:szCs w:val="16"/>
        </w:rPr>
        <w:t xml:space="preserve"> городе, железнодорожные транспортёры Б-64-А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были направлены на другие участки фронтов (15132).</w:t>
      </w:r>
    </w:p>
    <w:p w14:paraId="5D592AD2" w14:textId="77777777" w:rsidR="00011043" w:rsidRPr="008127F8" w:rsidRDefault="00011043" w:rsidP="001E0A84">
      <w:pPr>
        <w:spacing w:after="0" w:line="240" w:lineRule="auto"/>
        <w:jc w:val="both"/>
        <w:rPr>
          <w:rFonts w:ascii="Times New Roman" w:hAnsi="Times New Roman"/>
          <w:color w:val="000000" w:themeColor="text1"/>
          <w:sz w:val="16"/>
          <w:szCs w:val="16"/>
        </w:rPr>
      </w:pPr>
    </w:p>
    <w:p w14:paraId="40CCAF4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ГАЗ был изготовлен опытный образец машины на базе ГАЗ-64. По своим боевым п техническим характеристикам и внешнему виду бронеавтомобиль, получивший наименование БА-6-1, отличался от ранее выпущенных машин. Несмотря на го</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на нем было установле</w:t>
      </w:r>
      <w:r w:rsidRPr="008127F8">
        <w:rPr>
          <w:rFonts w:ascii="Times New Roman" w:hAnsi="Times New Roman"/>
          <w:color w:val="000000" w:themeColor="text1"/>
          <w:sz w:val="16"/>
          <w:szCs w:val="16"/>
        </w:rPr>
        <w:softHyphen/>
        <w:t>но пулеметное вооружение он имел более падежную броневую защиту, чем бронеавтомобили БА-10М и БА-20М. 11осле полигонных и государ</w:t>
      </w:r>
      <w:r w:rsidRPr="008127F8">
        <w:rPr>
          <w:rFonts w:ascii="Times New Roman" w:hAnsi="Times New Roman"/>
          <w:color w:val="000000" w:themeColor="text1"/>
          <w:sz w:val="16"/>
          <w:szCs w:val="16"/>
        </w:rPr>
        <w:softHyphen/>
        <w:t>ственных испытаний бронеавтомобиль БА-64 был принят на вооруже</w:t>
      </w:r>
      <w:r w:rsidRPr="008127F8">
        <w:rPr>
          <w:rFonts w:ascii="Times New Roman" w:hAnsi="Times New Roman"/>
          <w:color w:val="000000" w:themeColor="text1"/>
          <w:sz w:val="16"/>
          <w:szCs w:val="16"/>
        </w:rPr>
        <w:softHyphen/>
        <w:t>ние РККА. С апреля 1942 г. он был поставлен па серийное производство (10703).</w:t>
      </w:r>
    </w:p>
    <w:p w14:paraId="076C18D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01F4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завод "Автозапчасть" в Оренбурге получил новое задание - освоить производство запасных частей для тракторного парка МТС и совхозов. Новый цех был смонтирован и сдан в эксплуатацию за 16 дней и 20 апреля 1942 года были выпущены первые 5 сердцевин радиаторов. Цех занимал небольшую площадь. Ни соответствующего оборудования, ни достаточной документации не было. В цехе стояли три автомата для изготовления трубки, два сборочных станка и два станка для испытания сердцевин. Один трубозакатный автомат прибыл с Горьковского автомобильного завода. Часть технической документации, необходимой для радиаторного цеха, поступила со Сталинградского тракторного завода. Первым начальником радиаторного цеха стал Н.В.Дударев, бывший директор Мариупольского радиаторного завода. Главным инженером назначили Дмухорского, который вместе с техническими службами завода проявил большую инициативу в разработке чертежей и изготовлении оборудования для нового производства (9686).</w:t>
      </w:r>
    </w:p>
    <w:p w14:paraId="3B0251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310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предполагалось, что ГМЗ потребунтся 1200 двигателей М-72. На ГМЗ планировалось изготовить 900 и получить со стороны 200 - сделанных на ИМЗ и 700 трофейных, снятых с мотоциала БМЫ, отремонтированных на ММЗ (5.26) (11429).</w:t>
      </w:r>
    </w:p>
    <w:p w14:paraId="0791EF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507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после быстрого проведения восстановительных работ на порщадке завода № 38, новый завод стал обеспечивать фронт боеприпасами. В этот период заводу был присвоен № 539 (10252).</w:t>
      </w:r>
    </w:p>
    <w:p w14:paraId="4A1909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5B7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на заводе (Завод № 632 НКЭП, МПСС, Московское объединение фабрик электроламп, Электроламповый завод Московского электрокомбината, Московский электроламповый завод (МЭЛЗ), В-2967, Московский завод электровакуумных приборов, ПО, ОАО «МЭЛЗ» /г. Москва ул. Мясницкая (1907 г.); ул. Генеральная (Электрозаводская)/ /105023  г. Москва ул. Электрозаводская, 23 тел. 963-71-11/) был организован цех радиоламп. Здесь же было освоено изготовление электронно-лучевых трубок (ЭЛТ) для </w:t>
      </w:r>
      <w:r w:rsidRPr="008127F8">
        <w:rPr>
          <w:rFonts w:ascii="Times New Roman" w:hAnsi="Times New Roman"/>
          <w:color w:val="000000" w:themeColor="text1"/>
          <w:sz w:val="16"/>
          <w:szCs w:val="16"/>
          <w:lang w:val="en-US"/>
        </w:rPr>
        <w:t>PJIC</w:t>
      </w:r>
      <w:r w:rsidRPr="008127F8">
        <w:rPr>
          <w:rFonts w:ascii="Times New Roman" w:hAnsi="Times New Roman"/>
          <w:color w:val="000000" w:themeColor="text1"/>
          <w:sz w:val="16"/>
          <w:szCs w:val="16"/>
        </w:rPr>
        <w:t xml:space="preserve">, восстановление генераторных ламп ИГ-8 для </w:t>
      </w:r>
      <w:r w:rsidRPr="008127F8">
        <w:rPr>
          <w:rFonts w:ascii="Times New Roman" w:hAnsi="Times New Roman"/>
          <w:color w:val="000000" w:themeColor="text1"/>
          <w:sz w:val="16"/>
          <w:szCs w:val="16"/>
          <w:lang w:val="en-US"/>
        </w:rPr>
        <w:t>PJIC</w:t>
      </w:r>
      <w:r w:rsidRPr="008127F8">
        <w:rPr>
          <w:rFonts w:ascii="Times New Roman" w:hAnsi="Times New Roman"/>
          <w:color w:val="000000" w:themeColor="text1"/>
          <w:sz w:val="16"/>
          <w:szCs w:val="16"/>
        </w:rPr>
        <w:t xml:space="preserve"> РУС-2 (Р.А. Нилендер). В 1943 г. возобновлены прерванные началом войны работы совместно с ФИ АН по организации первого отечественного производства люминесцентных ламп.</w:t>
      </w:r>
    </w:p>
    <w:p w14:paraId="4DF064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МЭЛЗ имел наименование «п/я В-2967». В состав ПО МЭЛЗ входил завод «Хроматрон».</w:t>
      </w:r>
    </w:p>
    <w:p w14:paraId="1A5B3B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 г. был Отдел медико-биологических проблем электротехники.</w:t>
      </w:r>
    </w:p>
    <w:p w14:paraId="390A1B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электронно-оптические и рентгеновские преобразователи, фотоэлектронные умножители (ФЭУ); телевизионные кинескопы, бортовые дисплеи для авиационных навигационных приборов, мониторы для ПЭВМ; фотоэлектронные приборы; лампы: накаливания, люминесцентные, инфракрасные, прожекторные, электронные.</w:t>
      </w:r>
    </w:p>
    <w:p w14:paraId="53DFEC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508300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(1945 г.)- Цветков. Гендиректор (-2000-02 г.-)- В. Г. Лапшин.</w:t>
      </w:r>
    </w:p>
    <w:p w14:paraId="4CAE14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С.Н. Поливин. Коммерческий директор (2002 г.)- Б.В. Бельцов. Финансовый директор (2002 г.)- В.М. Срыбник.</w:t>
      </w:r>
    </w:p>
    <w:p w14:paraId="4D4737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лампы: самолетные шаровые, плафонные (1937); люминесцентные (1945-); ЭЛТ: для </w:t>
      </w:r>
      <w:r w:rsidRPr="008127F8">
        <w:rPr>
          <w:rFonts w:ascii="Times New Roman" w:hAnsi="Times New Roman"/>
          <w:color w:val="000000" w:themeColor="text1"/>
          <w:sz w:val="16"/>
          <w:szCs w:val="16"/>
          <w:lang w:val="en-US"/>
        </w:rPr>
        <w:t>PJ</w:t>
      </w:r>
      <w:r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(ВОВ), первый отечественный кинескоп 18</w:t>
      </w:r>
      <w:r w:rsidRPr="008127F8">
        <w:rPr>
          <w:rFonts w:ascii="Times New Roman" w:hAnsi="Times New Roman"/>
          <w:color w:val="000000" w:themeColor="text1"/>
          <w:sz w:val="16"/>
          <w:szCs w:val="16"/>
          <w:lang w:val="en-US"/>
        </w:rPr>
        <w:t>JIK</w:t>
      </w:r>
      <w:r w:rsidRPr="008127F8">
        <w:rPr>
          <w:rFonts w:ascii="Times New Roman" w:hAnsi="Times New Roman"/>
          <w:color w:val="000000" w:themeColor="text1"/>
          <w:sz w:val="16"/>
          <w:szCs w:val="16"/>
        </w:rPr>
        <w:t>15 (1948-); ЦЭЛТ-25ЛКДЦ для самолетов и вертолетов (2002); 61ЛКЗЦ; реостаты (1956); телевизоры: «Электроника Ц-401, Ц-401М, 32ВТЦ-201, 32ВТЦ-202».</w:t>
      </w:r>
      <w:r w:rsidRPr="008127F8">
        <w:rPr>
          <w:rFonts w:ascii="Times New Roman" w:hAnsi="Times New Roman"/>
          <w:color w:val="000000" w:themeColor="text1"/>
          <w:sz w:val="16"/>
          <w:szCs w:val="16"/>
          <w:vertAlign w:val="superscript"/>
        </w:rPr>
        <w:t xml:space="preserve">69 </w:t>
      </w:r>
      <w:r w:rsidRPr="008127F8">
        <w:rPr>
          <w:rFonts w:ascii="Times New Roman" w:hAnsi="Times New Roman"/>
          <w:color w:val="000000" w:themeColor="text1"/>
          <w:sz w:val="16"/>
          <w:szCs w:val="16"/>
        </w:rPr>
        <w:t>Завод «Хроматрон», ОАО «Московский завод «Хроматрон» /105523  г. Москва Щелковское ш., 100/</w:t>
      </w:r>
    </w:p>
    <w:p w14:paraId="402D65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цветных кинескопов «Хроматрон» основан в 1969 г., вступил в эксплуатацию в 1971 г. Входил в состав ПО МЭЛЗ. В 2009 г. предприятие являлось банкротом.</w:t>
      </w:r>
    </w:p>
    <w:p w14:paraId="288922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(2000 г.)- В.Ю. Баринов. Конкурсный управляющий (-01.2009 г.)- В.Ю. Станчак, (02.2009 г.-)- А.В. Мягков.</w:t>
      </w:r>
    </w:p>
    <w:p w14:paraId="2FF486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телевизор «Электроника 32 ВТЦ-201» (11982).</w:t>
      </w:r>
    </w:p>
    <w:p w14:paraId="52D53FB6" w14:textId="77777777" w:rsidR="0005046D" w:rsidRPr="008127F8" w:rsidRDefault="0005046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A13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станция «Пегматит» была принята на вооружение войск ПВО, ВВС и ВМФ под названием РУС-2с (1126).</w:t>
      </w:r>
    </w:p>
    <w:p w14:paraId="69CE65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A93F7" w14:textId="717FC313"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 Москве на производственных площадях филиалов эвакуированных заводов-251 и -252 были организованы новые заводы – 706 и 703 соответственно. На территории завода </w:t>
      </w:r>
      <w:proofErr w:type="gramStart"/>
      <w:r w:rsidRPr="008127F8">
        <w:rPr>
          <w:rFonts w:ascii="Times New Roman" w:hAnsi="Times New Roman"/>
          <w:color w:val="000000" w:themeColor="text1"/>
          <w:sz w:val="16"/>
          <w:szCs w:val="16"/>
        </w:rPr>
        <w:t>205 («ЗАТЭМ»)</w:t>
      </w:r>
      <w:proofErr w:type="gramEnd"/>
      <w:r w:rsidRPr="008127F8">
        <w:rPr>
          <w:rFonts w:ascii="Times New Roman" w:hAnsi="Times New Roman"/>
          <w:color w:val="000000" w:themeColor="text1"/>
          <w:sz w:val="16"/>
          <w:szCs w:val="16"/>
        </w:rPr>
        <w:t xml:space="preserve"> эвакуированного в г. Саратов, был размещен реэвакуированный завод-192 (15736).</w:t>
      </w:r>
    </w:p>
    <w:p w14:paraId="327B3F67" w14:textId="77777777" w:rsidR="0005046D" w:rsidRPr="008127F8" w:rsidRDefault="0005046D" w:rsidP="001E0A84">
      <w:pPr>
        <w:spacing w:after="0" w:line="240" w:lineRule="auto"/>
        <w:jc w:val="both"/>
        <w:rPr>
          <w:rFonts w:ascii="Times New Roman" w:hAnsi="Times New Roman"/>
          <w:color w:val="000000" w:themeColor="text1"/>
          <w:sz w:val="16"/>
          <w:szCs w:val="16"/>
        </w:rPr>
      </w:pPr>
    </w:p>
    <w:p w14:paraId="5F7002CA"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рабочие и ИТР, бывшие сотрудники завода №81 в Москве по собственной инициативе собрали на территории эвакуированного завода № 22 в Филях 42 самолета Пе-2 из агрегатов, привезенных из Казани (эти самолеты, вероятно, вошли в план завода № 22). Еще 9 Пе-2 были собраны из агрегатов поврежденных машин и были зачтены как отремонтированные.</w:t>
      </w:r>
    </w:p>
    <w:p w14:paraId="6727F6D1"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1942-1943 гг. на заводе были спроектированы деревянные агрегаты для самолета Пе-2: мотогондолы, ХЧФ, люки и зализы. Опытные агрегаты были изготовлены на заводе и переданы для установки на самолет и летные испытания. Однако в серию они не внедрялись (23570).</w:t>
      </w:r>
    </w:p>
    <w:p w14:paraId="03349E4D" w14:textId="77777777" w:rsidR="00613E20" w:rsidRPr="008A2E5A" w:rsidRDefault="00613E20" w:rsidP="00613E20">
      <w:pPr>
        <w:spacing w:after="0" w:line="240" w:lineRule="auto"/>
        <w:jc w:val="both"/>
        <w:rPr>
          <w:rFonts w:ascii="Times New Roman" w:hAnsi="Times New Roman"/>
          <w:color w:val="0070C0"/>
          <w:sz w:val="16"/>
          <w:szCs w:val="16"/>
        </w:rPr>
      </w:pPr>
    </w:p>
    <w:p w14:paraId="3D3C0F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первый экспериментальный образец РЛС «Гнейс-2», работавший на волне 1,5 м с мощностью излучения до 10 кВт, был установлен на двухместный самолет Пе-2 для летных заводских испытаний. Эти испытания были организованы таким образом, чтобы в процессе их проведения определить не только работоспособность образца, но и, оценив возможности самолета-перехватчика, выработать методы его боевого применения. Подобная испытательная работа на войсковом аэродроме в отрыве от летно-испытательной базы НИИ ВВС и без отработанных методик испытаний значительно усложнила деятельность всех участников испытаний. Главная трудность в испытаниях легла на руководителя работ В. В. Тихомирова и инженера-испытателя НИИ ВВС Е. С. Штейна, которые выполняли роль инженеров-испытателей и операторов. Они же управляли поведением летчика, чтобы он с наиболее рациональными виражами самолета выводил его к обнаруженному самолету-мишени.</w:t>
      </w:r>
    </w:p>
    <w:p w14:paraId="4430A3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полетах сразу же выявилось подавление отраженных сигналов в ближайшей (мертвой) зоне помехами собственного передатчика. Тут же на аэродроме производилась круглосуточная доработка станции. Проблема состояла в том, чтобы снижением помех передатчика уменьшить до предела мертвую зону, зависящую от длительности импульса передатчика. Совместными усилиями участников испытаний удалось уменьшить влияние импульса передатчика на прием слабых сигналов в ближней зоне (11026).</w:t>
      </w:r>
    </w:p>
    <w:p w14:paraId="18EC04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22935" w14:textId="77777777" w:rsidR="00721DE1" w:rsidRPr="008127F8" w:rsidRDefault="00721DE1"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 самолете Пе-2 (пилот – летчик-испытатель ВВС майор Алексей Иванович Доброславский) установили первый экспериментальный образец РЛС «Гнейс-2», работавший на волне 1,5 метра с мощностью излучения до 10 кВт. После этого в сжатые сроки были проведены его летные заводские испытания, в ходе которых была не только определена работоспособность новой станции, но также и выработаны методы боевого применения созданного таким образом истребителя-перехватчика. Тут же на аэродроме производилась круглосуточная доработка станции, в том числе в направлении уменьшения ее мертвой зоны, где отраженные сигналы подавлялись помехами собственного передатчика. В конечном итоге разработчикам удалось добиться, чтобы радиолокационная станция позволяла обнаруживать и сопровождать вражеский самолет до сближения с ним на расстояние 300 метров, а в июле 1942 года она успешно прошла государственные испытания, продемонстрировав способность обнаруживать бомбардировщик на дальности 3500 метров и выполнять наведение по угловым координатам с точностью ±5°. При этом минимальная высота при поиске воздушных целей противника составляла 2000 метров. Впрочем, новая станция все же нуждалась в определенной доработке – в пяти из 25 выполненных в общей сложности полетов аппаратура самолетной РЛС отказывала (22709).</w:t>
      </w:r>
    </w:p>
    <w:p w14:paraId="6783B051" w14:textId="77777777" w:rsidR="00721DE1" w:rsidRPr="008127F8" w:rsidRDefault="00721DE1" w:rsidP="001E0A84">
      <w:pPr>
        <w:shd w:val="clear" w:color="auto" w:fill="FFFFFF"/>
        <w:spacing w:after="0" w:line="240" w:lineRule="auto"/>
        <w:jc w:val="both"/>
        <w:rPr>
          <w:rFonts w:ascii="Times New Roman" w:hAnsi="Times New Roman"/>
          <w:color w:val="000000" w:themeColor="text1"/>
          <w:sz w:val="16"/>
          <w:szCs w:val="16"/>
        </w:rPr>
      </w:pPr>
    </w:p>
    <w:p w14:paraId="3173FB6F"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года на заводе Карболит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49819FA0"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0CD58FD9"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77FC3FAF"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23242432"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3C8D6350"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1727C30A"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6B721B5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138FC81A"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0DFC4BB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22F15CC9"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w:t>
      </w:r>
      <w:proofErr w:type="gramStart"/>
      <w:r w:rsidRPr="008127F8">
        <w:rPr>
          <w:rFonts w:ascii="Times New Roman" w:hAnsi="Times New Roman"/>
          <w:color w:val="000000" w:themeColor="text1"/>
          <w:sz w:val="16"/>
          <w:szCs w:val="16"/>
        </w:rPr>
        <w:t>- все это</w:t>
      </w:r>
      <w:proofErr w:type="gramEnd"/>
      <w:r w:rsidRPr="008127F8">
        <w:rPr>
          <w:rFonts w:ascii="Times New Roman" w:hAnsi="Times New Roman"/>
          <w:color w:val="000000" w:themeColor="text1"/>
          <w:sz w:val="16"/>
          <w:szCs w:val="16"/>
        </w:rPr>
        <w:t xml:space="preserve"> позволяло коллективу справиться с работой в новых условиях планирования и экономического стимулирования.</w:t>
      </w:r>
    </w:p>
    <w:p w14:paraId="2081526E"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1C43FD69"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775D688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557F0204"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047D35B0"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5281596F"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4750CF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И.И. Гуревич, Я.Б. Зельдович и Ю.Б. Харитон выпустили работу о критических размерах, необходимых для осуществления цепной реакции. На основе решения интегрального уравнения Пайерлса и существовавших представлений о значениях основных нейтронных констант были оценены критические размеры систем для реакции на быстрых нейтронах, включая системы, в которых активное вещество было окружено отражателем нейтронов. Кроме того, были рассмотрены вопросы перехода через критическое состояние для различных типов систем (10549).</w:t>
      </w:r>
    </w:p>
    <w:p w14:paraId="0235CC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DAF4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Московский горком ВКП(б) обратился в СНК СССР с просьбой рассмотреть вопрос об использовании свободных производственных площадей предприятий, эвакуированных из Москвы. К тому времени в столице имелось в наличии 2500 тыс.кв.м. свободных производственных площадей, и МГК предлагал организовать на них выпуск различной промышленной продукции. В свою очередь, 16 наркоматов представили в Госплан СССР свои предложения по организации производства на свободных площадях 192 эвакуированных из Москвы заводов общем размером 1280 тыс. кв.м.</w:t>
      </w:r>
    </w:p>
    <w:p w14:paraId="73393CF6"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Разобраться в этом вопросе СНК поручил Госплану, который в феврале 1942 г. представил соответствующую докладную записку заместителю председателя СНК Н.А.Вознесенскому. Аналитики Госплана считали, что удовлетворение заявок наркоматов в полном объеме потребовало бы возвращения в Москву с Урала, из Западной Сибири, Казахстана и Поволжья большого количества оборудования (до 40 % станков, ушедших в эвакуацию и т.д.). По их мнению, целесообразно было организовать в Москве «на свободных мощностях заводов» производство отраслей, которые работали на нужды «Красной Армии Западного фронта», на развитие хозяйства г.Москвы 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w:t>
      </w:r>
    </w:p>
    <w:p w14:paraId="75E48CDE"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Госплан считал возможным восстановить производство только на 57 предприятиях (общая площадь 210 тыс. кв. м.). Прежде всего намечалось восстановление военных производств, в частности:</w:t>
      </w:r>
    </w:p>
    <w:p w14:paraId="5BFD293E"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НКАП планировалось восстановление на 4 предприятиях ремонта самолетов и моторов (к 1 сентября 1942 г. восстановить мощности ремонтных мастерских заводов № 84, 207, 301; к 1 октября – завода № 482 для ремонта самолетов, изготовления запчастей, агрегатов на сумму 20 млн. руб. в квартал);</w:t>
      </w:r>
    </w:p>
    <w:p w14:paraId="1A240E76"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НКБ – на 2 предприятиях производство порохов, взрывателей и снаряжения (к 1 апреля – на заводе № 358 – производство «снаряжения взрывателей», к 1 мая «на госзаводе НИИ-6 – производство пороха»);</w:t>
      </w:r>
    </w:p>
    <w:p w14:paraId="744B7DA9"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Наркомсудпрому – на 1 предприятии производство минных тралов («за счет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 заводе № 239»);</w:t>
      </w:r>
    </w:p>
    <w:p w14:paraId="0F20B076"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наркомату минометного вооружения – на заводе «Арматура» производство редукторов кислородных и другой продукции на 23 млн. руб.;</w:t>
      </w:r>
    </w:p>
    <w:p w14:paraId="741E604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по Наркомтяжмашу – на заводе «Стальмост» восстановить «мощности по производству кранов и боеприпасов в сумме 7,6 млн. руб.», при условии возвращения на завод неиспользованного эвакуированного оборудования;</w:t>
      </w:r>
    </w:p>
    <w:p w14:paraId="4C607396"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 Наркомэлектропрому – организовать производство боеприпасов, радиоаппаратуры и др. на 7 предприятиях, «продукция которых является наиболее дефицитной и восстановление этих заводов на востоке требует длительного времени»;</w:t>
      </w:r>
    </w:p>
    <w:p w14:paraId="2B3F1BA2"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по наркомату резиновой промышленности – на 2 предприятиях организовать производство средств химзащиты (в том числе на заводе «Красный богатырь» - лицевой части противогазов и других средств химзащиты в количестве 35 тыс. шт. в сутки, и на заводе № 145 – мощностей по производству изделий санитарии и гигиены);</w:t>
      </w:r>
    </w:p>
    <w:p w14:paraId="2F13DD09"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8) по Наркомстрою – на 7 предприятиях производство спецпродукции («в течение первого полугодия 1942 г. организовать за счет установки неиспользуемого оборудования производство боеприпасов и автобензоцистерн на заводе «Металлоконструкция» (Тюфелева роща), спецукупорки и прочей военной продукции на ДОЗ № 2, запчастей и спецпродукции на механическом заводе № 2 ОСМЧ «Строитель».</w:t>
      </w:r>
    </w:p>
    <w:p w14:paraId="28136B2D"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предприятий Наркомэлектропрома, Наркомлегпрома, Наркомчермета и др.</w:t>
      </w:r>
    </w:p>
    <w:p w14:paraId="0C036D13"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записке Госплана указывалось на необходимость использовать для восстановления производств только свободные производственные помещения без строительства новых цехов и подсобных помещений, а также «запретить всем наркоматам без специального распоряжения СНК завозить в Москву оборудование и рабочих эвакуированных заводов» (12291).</w:t>
      </w:r>
    </w:p>
    <w:p w14:paraId="7A7C2F91"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0939BA53"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начале 1942 г. Московский горком ВКП(б) обратился в СНК СССР с просьбой рассмотреть вопрос об использовании свободных производственных площадей предприятий, эвакуированных из Москвы. К тому времени в столице имелось в наличии 2500 тыс.кв.м. свободных производственных площадей, и МГК предлагал организовать на них выпуск различной промышленной продукции. В свою очередь, 16 наркоматов представили в Госплан СССР свои предложения по организации производства на свободных площадях 192 эвакуированных из Москвы заводов общем размером 1280 тыс. кв.м.</w:t>
      </w:r>
    </w:p>
    <w:p w14:paraId="06ADC451"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Разобраться в этом вопросе СНК поручил Госплану, который в феврале 1942 г. представил соответствующую докладную записку заместителю председателя СНК Н.А.Вознесенскому. Аналитики Госплана считали, что удовлетворение заявок наркоматов в полном объеме потребовало бы возвращения в Москву с Урала, из Западной Сибири, Казахстана и Поволжья большого количества оборудования (до 40 % станков, ушедших в эвакуацию и т.д.). По их мнению, целесообразно было организовать в Москве «на свободных мощностях заводов» производство отраслей, которые работали на нужды «Красной Армии Западного фронта», на развитие хозяйства г.Москвы 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w:t>
      </w:r>
    </w:p>
    <w:p w14:paraId="535119D0"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целом Госплан считал возможным восстановить производство только на 57 предприятиях (общая площадь 210 тыс. кв. м.). Прежде всего намечалось восстановление военных производств, в частности:</w:t>
      </w:r>
    </w:p>
    <w:p w14:paraId="695817DA"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1) по НКАП планировалось восстановление на 4 предприятиях ремонта самолетов и моторов (к 1 сентября 1942 г. восстановить мощности ремонтных мастерских заводов № 84, 207, 301; к 1 октября – завода № 482 для ремонта самолетов, изготовления запчастей, агрегатов на сумму 20 млн. руб. в квартал);</w:t>
      </w:r>
    </w:p>
    <w:p w14:paraId="7397F77C"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2) по НКБ – на 2 предприятиях производство порохов, взрывателей и снаряжения (к 1 апреля – на заводе № 358 – производство «снаряжения взрывателей», к 1 мая «на госзаводе НИИ-6 – производство пороха»);</w:t>
      </w:r>
    </w:p>
    <w:p w14:paraId="27FE4277"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3) по Наркомсудпрому – на 1 предприятии производство минных тралов («за счет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 заводе № 239»);</w:t>
      </w:r>
    </w:p>
    <w:p w14:paraId="604890CB"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4) по наркомату минометного вооружения – на заводе «Арматура» производство редукторов кислородных и другой продукции на 23 млн. руб.;</w:t>
      </w:r>
    </w:p>
    <w:p w14:paraId="5AE7931C"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5) по Наркомтяжмашу – на заводе «Стальмост» восстановить «мощности по производству кранов и боеприпасов в сумме 7,6 млн. руб.», при условии возвращения на завод неиспользованного эвакуированного оборудования;</w:t>
      </w:r>
    </w:p>
    <w:p w14:paraId="01039170"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6) по Наркомэлектропрому – организовать производство боеприпасов, радиоаппаратуры и др. на 7 предприятиях, «продукция которых является наиболее дефицитной и восстановление этих заводов на востоке требует длительного времени»;</w:t>
      </w:r>
    </w:p>
    <w:p w14:paraId="00EF1742"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7) по наркомату резиновой промышленности – на 2 предприятиях организовать производство средств химзащиты (в том числе на заводе «Красный богатырь» - лицевой части противогазов и других средств химзащиты в количестве 35 тыс. шт. в сутки, и на заводе № 145 – мощностей по производству изделий санитарии и гигиены);</w:t>
      </w:r>
    </w:p>
    <w:p w14:paraId="6F5C00D6"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8) по Наркомстрою – на 7 предприятиях производство спецпродукции («в течение первого полугодия 1942 г. организовать за счет установки неиспользуемого оборудования производство боеприпасов и автобензоцистерн на заводе «Металлоконструкция» (Тюфелева роща), спецукупорки и прочей военной продукции на ДОЗ № 2, запчастей и спецпродукции на механическом заводе № 2 ОСМЧ «Строитель».</w:t>
      </w:r>
    </w:p>
    <w:p w14:paraId="3799107B"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предприятий Наркомэлектропрома, Наркомлегпрома, Наркомчермета и др.</w:t>
      </w:r>
    </w:p>
    <w:p w14:paraId="061A1E39" w14:textId="77777777" w:rsidR="007C2AE4" w:rsidRPr="008127F8" w:rsidRDefault="007C2AE4"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записке Госплана указывалось на необходимость использовать для восстановления производств только свободные производственные помещения без строительства новых цехов и подсобных помещений, а также «запретить всем наркоматам без специального распоряжения СНК завозить в Москву оборудование и рабочих эвакуированных заводов» (19556).</w:t>
      </w:r>
    </w:p>
    <w:p w14:paraId="33061486" w14:textId="77777777" w:rsidR="007C2AE4" w:rsidRPr="008127F8" w:rsidRDefault="007C2AE4" w:rsidP="001E0A84">
      <w:pPr>
        <w:spacing w:after="0" w:line="240" w:lineRule="auto"/>
        <w:jc w:val="both"/>
        <w:rPr>
          <w:rFonts w:ascii="Times New Roman" w:hAnsi="Times New Roman"/>
          <w:color w:val="000000" w:themeColor="text1"/>
          <w:sz w:val="16"/>
          <w:szCs w:val="16"/>
        </w:rPr>
      </w:pPr>
    </w:p>
    <w:p w14:paraId="068003B2"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начало 1942 г. в документах Томского горкома ВКП(б) отложились следующие сведения об эвакуированных предприятиях по состоянию на начало 1942 г.</w:t>
      </w:r>
    </w:p>
    <w:p w14:paraId="781A84B3"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Список томских предприятий </w:t>
      </w:r>
    </w:p>
    <w:p w14:paraId="2C61BA58"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Сведения о эвакуированном предприятии </w:t>
      </w:r>
    </w:p>
    <w:p w14:paraId="3C368A6D"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Кооперация </w:t>
      </w:r>
    </w:p>
    <w:p w14:paraId="136943E1"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Место выбытия/дата прибытия в Томск </w:t>
      </w:r>
    </w:p>
    <w:p w14:paraId="485DBEC4"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Фамилия директора </w:t>
      </w:r>
    </w:p>
    <w:p w14:paraId="4F6C4F9A"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Почтовый адрес </w:t>
      </w:r>
    </w:p>
    <w:p w14:paraId="09369E17"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Направление и продукция </w:t>
      </w:r>
    </w:p>
    <w:p w14:paraId="0F5B955A"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Протокол заседания Томского горкома ВКП(б)</w:t>
      </w:r>
    </w:p>
    <w:p w14:paraId="477D4BA0"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“Радист” Наркомата электропромышленности (НКЭП) – № 625 1. Действовал самостоятельно 2. г. Ленинград, 7 августа 1941 г. 3. Войкова ул., 51 4. Сергей Алексеевич Мазиков, затем Николай Иванович Громов 5. Отдел промышленности вооружения. Миноискатели, телефонная гартитура для танков 6. ИЗ ПРОТОКОЛА № 115 заседания бюро Томского горкома ВКП(б) 25 августа 1941 г. О монтаже и пуске в действие Ленинградского завода «Радист».</w:t>
      </w:r>
    </w:p>
    <w:p w14:paraId="2CCB203A"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“Пневматика” Наркомата угольной промышленности (НКУП)</w:t>
      </w:r>
    </w:p>
    <w:p w14:paraId="07A02884"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Влился в Томский электромеханический завод (ТЭМЗ) 2. г. Ленинград, 8 августа 1941 г. 3. пр.Тимирязева, 30 4. Константин Иванович Лаврентьев 5. Отдел промышленности вооружения. Мины 37 мм, минометы (М-8), прицелы (П-1, П-8,КВМ) 6. ИЗ ПРОТОКОЛА № 243 заседания бюро Томского горкома ВКП(б) 11–12 августа 1942 г. О размещении оборудования Ленинградского завода «Пневматика» на территории Томского электромеханического завода. </w:t>
      </w:r>
    </w:p>
    <w:p w14:paraId="263F0275"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Фанерно-спичечный комбинат “Везувий” Наркомата леса (НКЛ) </w:t>
      </w:r>
    </w:p>
    <w:p w14:paraId="5A4E0650"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Влился в фабрику Карандашной дощечки 2. г. Новобылицы, Гомельская обл., 8 августа 1941 г. 3. Войкова ул., 86 4. […] Симанович 5. Отдел лесной промышленности. Тара для консервов и боеприпасов, шпон для аккумуляторов 6. ИЗ ПРОТОКОЛА № 116 заседания бюро Томского горкома ВКП(б) 2 сентября 1941 г. Об организации на фабрике Карандашной дощечки производства аккумуляторного шпона и обеспечения сырьем фабрики на 1941–1942 гг. </w:t>
      </w:r>
    </w:p>
    <w:p w14:paraId="7E5513A9"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“Электросила” им. С. М. Кирова Наркомата электропромышленности (цех № 4, 7) (НКЭП) </w:t>
      </w:r>
    </w:p>
    <w:p w14:paraId="20E02A1D"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Влился в Томский электромоторный завод (“Сибэлектромотор”) – № 653 2. г. Ленинград, 11 августа 1941 г. 3. Садовая ул., 100 4. […] Черняк 5. Отдел промышленности вооружения.Танковые стартеры, двигатели для танков, самолетов и подводных лодок 6. ИЗ ПРОТОКОЛА № 109 заседания бюро Томского горкома ВКП(б) 15 августа 1941 г. О размещении оборудования филиала завода “Электросила” им. С.М. Кирова и скоростном строительстве корпусов электромоторного завода.</w:t>
      </w:r>
    </w:p>
    <w:p w14:paraId="52BC6DC8"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Шпалопропиточный завод Наркомата путей сообщения НКПС </w:t>
      </w:r>
    </w:p>
    <w:p w14:paraId="21CC63EE"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ст. Злынка (Брянская обл.,). 12 августа 1941 г. 3. Трудовая ул., 22 4. […] Ядров; Моисей Семенович Липницкий 5. Пропитка ширококолейных шпал, переводной брус, мостовой брус, телеграфные столбы 6. – </w:t>
      </w:r>
    </w:p>
    <w:p w14:paraId="392265DF"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Спичечная фабрика “Везувий” Наркомата леса (НКЛ)</w:t>
      </w:r>
    </w:p>
    <w:p w14:paraId="77AAEFA1"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Влилась в спичечную фабрику “Сибирь” 2. г. Гомель, 27 августа 1941 г. 3. Окрестности д. Киргизки 4. И. Д. Гобачев 5. Отдел лесной промышленности 6. ИЗ ПРОТОКОЛА № 115 заседания бюро Томского горкома ВКП(б) 25 августа 1941 г. О размещении и пуске в действие Гомельской спичфабрики «Везувий». </w:t>
      </w:r>
    </w:p>
    <w:p w14:paraId="73B7E899"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Томский государственный завод измерительных приборов (ТомГЗИП) – “Манометр” – № 838 </w:t>
      </w:r>
    </w:p>
    <w:p w14:paraId="7163322F"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организован на базе трех ленинградских заводов: завода измерительных приборов (ЛенГЗИП), оптико-механического завода № 5 (ОМЗ-5), завода “Молодой ударник”; и московского завода “Манометр”. 2. г. Ленинград, 8 сентября 1941 г.; г. Москва, 1 декабря 1941 г. 3. Тимирязевский проспект, 68 4. Б. М. Пиль , с декабря 1941 г. […] Морковкин 5. Промышленность вооружения. манометры, миноискатели, глубиномеры, тахометры, запалы (Ф-1, РГД-41) 6. ИЗ ПРОТОКОЛА № 128 заседания бюро Томского горкома ВКП(б) 24 сентября 1941 г. О производстве монтажных работ и пуске в эксплуатацию завода № 5. ИЗ ПРОТОКОЛА № заседания бюро Томского горкома ВКП(б) № 163 заседания бюро Томского горкома ВКП(б) 23-24 декабря 1941 г. О развертывании производства минометов, манометров, боеприпасов и измерительных приборов на заводах Наркомата Минометного вооружения, эвакуированных в г. Томск.Размещение цехов и отделов завода.</w:t>
      </w:r>
    </w:p>
    <w:p w14:paraId="058937FA"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Государственный Союзный Томский электроламповый завод Наркомата электропромышленности (НКЭП) – № 660 </w:t>
      </w:r>
    </w:p>
    <w:p w14:paraId="7C3531E1"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Создан на базе Московского электролампового завода – № 266 (небольшой части) и Запрудненского стекольного завода 2. г. Москва. 24 сентября 1941 г. 3. […] Соколова, с апреля 1942 г. Алексей Тимофеевич Иванов 4. Кирова проспект, 5 – недостроенное здание бывшего биофизического корпуса Томского мединститута; </w:t>
      </w:r>
      <w:r w:rsidRPr="008127F8">
        <w:rPr>
          <w:rFonts w:ascii="Times New Roman" w:hAnsi="Times New Roman"/>
          <w:color w:val="000000" w:themeColor="text1"/>
          <w:sz w:val="16"/>
          <w:szCs w:val="16"/>
        </w:rPr>
        <w:lastRenderedPageBreak/>
        <w:t xml:space="preserve">Тимирязевский проспект, 5 5. Электропромышленность. Колбы, лампы 6. Из протокола №122 заседания Томского горкома ВКП(б) от 15 сентября 1941 г. “О подготовке к размещению Томского электролампового завода” </w:t>
      </w:r>
    </w:p>
    <w:p w14:paraId="1FC7908F"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Государственный Союзный Московский завод резиновых изделий “Красный богатырь” – № 765 </w:t>
      </w:r>
    </w:p>
    <w:p w14:paraId="46016F54"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г. Москва. Сентябрь 1941 г. 3. К. Н. Шанаев, […] Бардин 4. Кооперативный переулок, № 7-9 5. Химическая промышленность. Резинотехнические изделия: амортизаторы, противогазы, перчатки 6. ИЗ ПРОТОКОЛА № 167 заседания бюро Томского горкома ВКП(б) 3 января 1942 г. “О монтаже и пуске завода “Красный богатырь”. </w:t>
      </w:r>
    </w:p>
    <w:p w14:paraId="4018B7E4"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“Красный металлист” Наркомата угольной промышленности (НКУП) </w:t>
      </w:r>
    </w:p>
    <w:p w14:paraId="0F537F85"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Влился в Томский электромеханический завод (ТЭМЗ) 2. г. Конотоп (Украина), 4-5 октября 1941 г. 3.Тимирязевский проспект, 30 4. […] Мурашко 5. Отдел промышленности вооружения. Мины 37 мм, минометы (М-8), прицелы (П-1, П-</w:t>
      </w:r>
      <w:proofErr w:type="gramStart"/>
      <w:r w:rsidRPr="008127F8">
        <w:rPr>
          <w:rFonts w:ascii="Times New Roman" w:hAnsi="Times New Roman"/>
          <w:color w:val="000000" w:themeColor="text1"/>
          <w:sz w:val="16"/>
          <w:szCs w:val="16"/>
        </w:rPr>
        <w:t>8,КВМ</w:t>
      </w:r>
      <w:proofErr w:type="gramEnd"/>
      <w:r w:rsidRPr="008127F8">
        <w:rPr>
          <w:rFonts w:ascii="Times New Roman" w:hAnsi="Times New Roman"/>
          <w:color w:val="000000" w:themeColor="text1"/>
          <w:sz w:val="16"/>
          <w:szCs w:val="16"/>
        </w:rPr>
        <w:t xml:space="preserve">) 6. – </w:t>
      </w:r>
    </w:p>
    <w:p w14:paraId="114FD50E"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Московский завод шарикоподшипник им. Л. М. Кагановича Наркомата среднего машиностроения (НКСМ) – Государственный подшипниковый завод № 5 – ГПЗ-5 </w:t>
      </w:r>
    </w:p>
    <w:p w14:paraId="3EAD355B"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г. Москва, 5 октября 1941 г. 3. Северный военный городок, Томск-6 4. Михаил Израилевич Эдельштейн 5. Отдел промышленности вооружения. Подшипники для танков и авиации. 6. ИЗ ПРОТОКОЛА № 139 заседания бюро Томского горкома ВКП(б) 23 октября 1941 г. О ходе монтажа и запуска оборудования Томского подшипникового завода № 5. </w:t>
      </w:r>
    </w:p>
    <w:p w14:paraId="15E4B18A"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Государственный союзный завод маркшейдерских инструментов Наркомата угольной промышленности (НКУП) </w:t>
      </w:r>
    </w:p>
    <w:p w14:paraId="017BA792"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Влился в Томский электромеханический завод (ТЭМЗ) 2. г. Харьков (Украина), 16 октября 1941 г. 3. Тимирязевский проспект, 30 4. А. Л. Теплицкий 5. Отдел промышленности вооружения. Мины 37 мм, минометы (М-8), прицелы (П-1, П-</w:t>
      </w:r>
      <w:proofErr w:type="gramStart"/>
      <w:r w:rsidRPr="008127F8">
        <w:rPr>
          <w:rFonts w:ascii="Times New Roman" w:hAnsi="Times New Roman"/>
          <w:color w:val="000000" w:themeColor="text1"/>
          <w:sz w:val="16"/>
          <w:szCs w:val="16"/>
        </w:rPr>
        <w:t>8,КВМ</w:t>
      </w:r>
      <w:proofErr w:type="gramEnd"/>
      <w:r w:rsidRPr="008127F8">
        <w:rPr>
          <w:rFonts w:ascii="Times New Roman" w:hAnsi="Times New Roman"/>
          <w:color w:val="000000" w:themeColor="text1"/>
          <w:sz w:val="16"/>
          <w:szCs w:val="16"/>
        </w:rPr>
        <w:t xml:space="preserve">) 6. – </w:t>
      </w:r>
    </w:p>
    <w:p w14:paraId="7FD8347F"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Сумский механический завод Наркомата земледелия (НКЗ)</w:t>
      </w:r>
    </w:p>
    <w:p w14:paraId="2462EFA4"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Влился в томский завод “Республика” 2. г. Сумы (Украина). 22 октября 1941 г. 3. Белая ул., 3 4. […] Гарбузов 5. Отдел местной и легкой промышленности. Запчасти к тракторной и сельскохозяйственной технике 6. – </w:t>
      </w:r>
    </w:p>
    <w:p w14:paraId="02901D34"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им. Дзержинского Наркомата вооружения (НКВ) – № 353 </w:t>
      </w:r>
    </w:p>
    <w:p w14:paraId="6DBD1753"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г. Изюм, Харьковская обл., 5 ноября 1941 г. 3. Ленина проспект, 5; заводоуправление – Набережная р. Ушайки ул., 20 4. М. М. Дунаевский 5. Отдел промышленности вооружения. Детали для М-8, бинокли 6х30 (Б-6), 4х50 (б-4), прицел к пушкам 45 мм (ПП-9), призмы танковые 6. ИЗ ПРОТОКОЛА № 147 заседания бюро Томского горкома ВКП(б) 14 ноября 1941 г. О пуске завода № 353. </w:t>
      </w:r>
    </w:p>
    <w:p w14:paraId="0A34B748"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режущих инструментов им. М. И. Калинина “Фрезер” – Томский завод режущих инструментов (ТЗРИ) </w:t>
      </w:r>
    </w:p>
    <w:p w14:paraId="2367ED65"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г. Москва, 15-17 ноября 1941 г. 3. Южный городок – территория воинской части 4. Сергей Иванович Блохин 5. Металлургическая промышленность. Режущие инструменты, сверла 6. ИЗ ПРОТОКОЛА № 167 заседания бюро Томского горкома ВКП(б) 3 января 1942 г. О монтаже и пуске завода «Фрезер» им. М.И. Калинина. </w:t>
      </w:r>
    </w:p>
    <w:p w14:paraId="650B03EC"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боеприпасов УИТЛ НКВД </w:t>
      </w:r>
    </w:p>
    <w:p w14:paraId="72A25278"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г. Харьков (Украина), 17 ноября 1941 г. 3. п. Чекист (г. Северск) 4. Г. К. Вайнберг 5. Отдел промышленности вооружения. Прессы Бринелля. 6. ИЗ ПРОТОКОЛА № 207 заседания бюро Томского горкома ВКП(б) 22 апреля 1942 г. Об организации производства 120 мм мин на Томском заводе боеприпасов УИТЛ НКВД. </w:t>
      </w:r>
    </w:p>
    <w:p w14:paraId="5842A859"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Наркомата вооружения (НКВ) – № 355</w:t>
      </w:r>
    </w:p>
    <w:p w14:paraId="104147C2"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Действовал самостоятельно 2. г. Загорск, Московская обл., 23 ноября 1941 г. 3. ТГУ, Тимирязевский проспект, 3 4. А. И. Песков 5. Промышленность вооружения. Бинокли 6х30 (Б-6), стабилизаторы 6. ИЗ ПРОТОКОЛА № 151 заседания бюро Томского горкома ВКП(б) 26 ноября 1941 г. О монтаже оборудования и пуске завода № 355. </w:t>
      </w:r>
    </w:p>
    <w:p w14:paraId="336AA6C2"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Электромашиностроительный завод Наркомата электропромышленности (НКЭП) (цех № 23) </w:t>
      </w:r>
    </w:p>
    <w:p w14:paraId="1D8C2CAE"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Влился в Томский электромоторный завод (“Сибэлектромотор”) – № 653 2. г. Ярославль, 10 декабря 1941 г. 3. Садовая ул., 100 4. […] Черняк 5. Отдел промышленности вооружения.Танковые стартеры, двигатели для танков, самолетов и подводных лодок 6. Пояснение директора Томского электромоторного завода т. Черняка к протоколу технического совещания от 12 ноября 1941 г. </w:t>
      </w:r>
    </w:p>
    <w:p w14:paraId="259ADEA3"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“Сибкабель” – № 631</w:t>
      </w:r>
    </w:p>
    <w:p w14:paraId="415BDB5F"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 1941 г. в Томск прибыли московские заводы «Москабель» и «Электропровод». Здесь «Москабель» стал «Сибкабелем», а «Электропровод» – заводом «Томкабель». В июне 1942 г. заводы были объединены в единый – «Сибкабель» 2. г. Москва. Декабрь 1941 г. 3. Макушина переулок, 10 учебный корпус электромеханического техникума 4. Павел Георгиевич Королев 5. Отдел электропромышленности. Кабели силовые, телефонные 6. ИЗ ПРОТОКОЛА№ 266 заседания бюро Томского горкома ВКП(б) 23 октября 1942 г. О работе и монтаже завода № 631. </w:t>
      </w:r>
    </w:p>
    <w:p w14:paraId="7BFBA246"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завода радиомашин им. Лепсе – № 266 – № 690 </w:t>
      </w:r>
    </w:p>
    <w:p w14:paraId="7F8D64AA" w14:textId="77777777" w:rsidR="00721DE1" w:rsidRPr="008127F8" w:rsidRDefault="00721D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Влился в Томский завод радиомашин 2. г. Москва. [Декабрь] 1941 г. 3. Пересечение Кирова пр. – Киевская ул. 4. Андрей Филлипович Нечетный 5. Отдел электропромышленности. Электромашины РДС – 750, РУН – 45, РНУ – 120, РУК – 300 6. ИЗ ПРОТОКОЛА № 186 заседания бюро Томского горкома ВКП(б) 20–21 февраля 1942 г. О монтаже и пуске Томского завода № 266 (20105).</w:t>
      </w:r>
    </w:p>
    <w:p w14:paraId="6E5BDD18" w14:textId="77777777" w:rsidR="00721DE1" w:rsidRPr="008127F8" w:rsidRDefault="00721DE1" w:rsidP="001E0A84">
      <w:pPr>
        <w:spacing w:after="0" w:line="240" w:lineRule="auto"/>
        <w:jc w:val="both"/>
        <w:rPr>
          <w:rFonts w:ascii="Times New Roman" w:hAnsi="Times New Roman"/>
          <w:color w:val="000000" w:themeColor="text1"/>
          <w:sz w:val="16"/>
          <w:szCs w:val="16"/>
        </w:rPr>
      </w:pPr>
    </w:p>
    <w:p w14:paraId="0B4E2B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в ЦКБ-51 под руковод</w:t>
      </w:r>
      <w:r w:rsidRPr="008127F8">
        <w:rPr>
          <w:rFonts w:ascii="Times New Roman" w:hAnsi="Times New Roman"/>
          <w:color w:val="000000" w:themeColor="text1"/>
          <w:sz w:val="16"/>
          <w:szCs w:val="16"/>
        </w:rPr>
        <w:softHyphen/>
        <w:t>ством П. А. Балуева был разработан десан</w:t>
      </w:r>
      <w:r w:rsidRPr="008127F8">
        <w:rPr>
          <w:rFonts w:ascii="Times New Roman" w:hAnsi="Times New Roman"/>
          <w:color w:val="000000" w:themeColor="text1"/>
          <w:sz w:val="16"/>
          <w:szCs w:val="16"/>
        </w:rPr>
        <w:softHyphen/>
        <w:t>тный катер (или десантный мотобот), (проект номер 165) для речных и озерных переправ. При водоизмещении 15,5 т и осадке 0,6 м (длина 14,6, ширина 3,4 м) катер мог перевозить и высаживать на берег до 60 десантников с личным вооружением. Имея эки</w:t>
      </w:r>
      <w:r w:rsidRPr="008127F8">
        <w:rPr>
          <w:rFonts w:ascii="Times New Roman" w:hAnsi="Times New Roman"/>
          <w:color w:val="000000" w:themeColor="text1"/>
          <w:sz w:val="16"/>
          <w:szCs w:val="16"/>
        </w:rPr>
        <w:softHyphen/>
        <w:t>паж 3 чел., мореходность 4—5 баллов и радиус действия около 150 миль, он мог удаляться от берега на расстояние до 20 миль. Варианты двигательной установки предусматривали применение двух автомобильных бензиновьк моторов мощностью от 38 л. с. (ГАЗ-ММ) до 87 л. с. (ЗИС-5) каждый. Скорость полного хода на тихой воде ожидалась до 8,5 уз. (3898).</w:t>
      </w:r>
    </w:p>
    <w:p w14:paraId="50F235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02E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КБ завода 343 в Гороховце пору</w:t>
      </w:r>
      <w:r w:rsidRPr="008127F8">
        <w:rPr>
          <w:rFonts w:ascii="Times New Roman" w:hAnsi="Times New Roman"/>
          <w:color w:val="000000" w:themeColor="text1"/>
          <w:sz w:val="16"/>
          <w:szCs w:val="16"/>
        </w:rPr>
        <w:softHyphen/>
        <w:t>чили серийную постройку мотоботов и проект 165 был доработан - сделав двигательную установку одновальной (3898).</w:t>
      </w:r>
    </w:p>
    <w:p w14:paraId="5CF6ED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FEFEB" w14:textId="1FBDCB71" w:rsidR="000C3423" w:rsidRDefault="000C3423"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0D9F01A2" w14:textId="77777777" w:rsidR="000C3423" w:rsidRDefault="000C3423"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3F8FE52"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начале 1942 г. наркомату танковой промышленности в целом не хватало 45 тыс. рабочих, в том числе 27 тыс. </w:t>
      </w:r>
      <w:proofErr w:type="gramStart"/>
      <w:r w:rsidRPr="008A2E5A">
        <w:rPr>
          <w:rFonts w:ascii="Times New Roman" w:hAnsi="Times New Roman"/>
          <w:color w:val="0070C0"/>
          <w:sz w:val="16"/>
          <w:szCs w:val="16"/>
        </w:rPr>
        <w:t>квалифицированных[</w:t>
      </w:r>
      <w:proofErr w:type="gramEnd"/>
      <w:r w:rsidRPr="008A2E5A">
        <w:rPr>
          <w:rFonts w:ascii="Times New Roman" w:hAnsi="Times New Roman"/>
          <w:color w:val="0070C0"/>
          <w:sz w:val="16"/>
          <w:szCs w:val="16"/>
        </w:rPr>
        <w:t xml:space="preserve">806]. НКО 5 января 1942 г. передал Наркомтанкопрому для работы на танковых предприятиях 13 тыс. человек из числа военнообязанных. 13 мая 1942 г. НКО выделил для НКТП 14,5 тыс. военнослужащих, выписывающихся из </w:t>
      </w:r>
      <w:proofErr w:type="gramStart"/>
      <w:r w:rsidRPr="008A2E5A">
        <w:rPr>
          <w:rFonts w:ascii="Times New Roman" w:hAnsi="Times New Roman"/>
          <w:color w:val="0070C0"/>
          <w:sz w:val="16"/>
          <w:szCs w:val="16"/>
        </w:rPr>
        <w:t>госпиталей[</w:t>
      </w:r>
      <w:proofErr w:type="gramEnd"/>
      <w:r w:rsidRPr="008A2E5A">
        <w:rPr>
          <w:rFonts w:ascii="Times New Roman" w:hAnsi="Times New Roman"/>
          <w:color w:val="0070C0"/>
          <w:sz w:val="16"/>
          <w:szCs w:val="16"/>
        </w:rPr>
        <w:t>807]. Комитет по распределению рабочей силы направил в эту отрасль в 1942 г. 19,2 тыс. человек, а всего за годы войны около 60 тысяч [808] (23536).</w:t>
      </w:r>
    </w:p>
    <w:p w14:paraId="3241838E" w14:textId="77777777" w:rsidR="000C3423" w:rsidRPr="008A2E5A" w:rsidRDefault="000C3423" w:rsidP="000C3423">
      <w:pPr>
        <w:spacing w:after="0" w:line="240" w:lineRule="auto"/>
        <w:jc w:val="both"/>
        <w:rPr>
          <w:rFonts w:ascii="Times New Roman" w:hAnsi="Times New Roman"/>
          <w:color w:val="0070C0"/>
          <w:sz w:val="16"/>
          <w:szCs w:val="16"/>
        </w:rPr>
      </w:pPr>
    </w:p>
    <w:p w14:paraId="1660AA7E" w14:textId="43E42DCE"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советскому руководству пришлось пересмотреть свои планы по развитию танкового производства на Урале и в Западной Сибири. Уже 6 января 1942 г. ГКО решил полностью свернуть выпуск легкого танка Т-50 и перестроить заводы, занятые в его изготовлении. Одной из причин стало фактическое отсутствие двигателей В-4 для этого танка. В этих условиях чкаловский завод № 174 приступил к организации производства узлов и агрегатов танка КВ для Кировского завода. Омский завод № 173 начал подготовку выпуска Т-34, а саратовский завод должен был переориентироваться с выпуска корпусов Т-50 на броневые корпуса к другому легкому танку - Т-60 для сталинградского завода № 264. В марте 1942 г. закончилась недолгая история танкового производства в Чкалове. По решению советского руководства чкаловский завод переводился в Омск и объединялся с заводом № 173 для совместного производства Т-34. Так появился омский завод № 174 НКТП. В Чкалове оставался только выпуск боеприпасов (23536).</w:t>
      </w:r>
    </w:p>
    <w:p w14:paraId="15795754" w14:textId="77777777" w:rsidR="000C3423" w:rsidRPr="008A2E5A" w:rsidRDefault="000C3423" w:rsidP="000C3423">
      <w:pPr>
        <w:spacing w:after="0" w:line="240" w:lineRule="auto"/>
        <w:jc w:val="both"/>
        <w:rPr>
          <w:rFonts w:ascii="Times New Roman" w:hAnsi="Times New Roman"/>
          <w:color w:val="0070C0"/>
          <w:sz w:val="16"/>
          <w:szCs w:val="16"/>
        </w:rPr>
      </w:pPr>
    </w:p>
    <w:p w14:paraId="6B17E3CA" w14:textId="000608B9"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трудоемкость изготовления танка Т-60 на свердловском заводе № 37 составляла 2500 часов, а на заводе № 264 - 4700, т. е. почти в два раза больше. На изготовление дизельного мотора В-2 на заводе № 76 уходило 2700 часов, на челябинском Кировском заводе - 1800 часов; но известно, что до войны харьковский завод № 75 производил В-2 за 600 часов (ровно в 4,5 раза меньше, чем на заводе № 76) (23536).</w:t>
      </w:r>
    </w:p>
    <w:p w14:paraId="0E8AB805" w14:textId="77777777" w:rsidR="000C3423" w:rsidRPr="008A2E5A" w:rsidRDefault="000C3423" w:rsidP="000C3423">
      <w:pPr>
        <w:spacing w:after="0" w:line="240" w:lineRule="auto"/>
        <w:jc w:val="both"/>
        <w:rPr>
          <w:rFonts w:ascii="Times New Roman" w:hAnsi="Times New Roman"/>
          <w:color w:val="0070C0"/>
          <w:sz w:val="16"/>
          <w:szCs w:val="16"/>
        </w:rPr>
      </w:pPr>
    </w:p>
    <w:p w14:paraId="7AC24033"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года с фронтов стали поступать сообщения о недостаточной подвижности КВ-1. Попытка решить проблему форсированием мотора привела к тем же результатам, что и в случае с Т-150. Настоящие проблемы начались весной 1942 года, когда стали массово "сыпаться" коробки передач. Связано это оказалось не только с перегрузом КВ-1, но и снижением качества изготовления КПП. Не в последнюю очередь на это обратили внимание благодаря активности Л.З. Мехлиса. К его личности можно относиться по-разному, но именно деятельность Мехлиса, в тот момент представителя Ставки Верховного Главнокомандования на Крымском фронте, сделала своё дело. На массовый выход из строя коробок передач КВ-1 он не просто обратил внимание, а требовал выслать в Крым руководство НКТП и ЧКЗ (23356).</w:t>
      </w:r>
    </w:p>
    <w:p w14:paraId="0925E110" w14:textId="77777777" w:rsidR="000C3423" w:rsidRPr="008A2E5A" w:rsidRDefault="000C3423" w:rsidP="000C3423">
      <w:pPr>
        <w:spacing w:after="0" w:line="240" w:lineRule="auto"/>
        <w:jc w:val="both"/>
        <w:rPr>
          <w:rFonts w:ascii="Times New Roman" w:hAnsi="Times New Roman"/>
          <w:color w:val="0070C0"/>
          <w:sz w:val="16"/>
          <w:szCs w:val="16"/>
        </w:rPr>
      </w:pPr>
    </w:p>
    <w:p w14:paraId="0D37D218"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начала 1942 г. на Кировском заводе был относительно стабильный рост производства двигателей, но уже к середине года он фактически остановился. Приказом по НКТП от 15 марта 1942 г. отмечалось, что Кировский завод производил дизелей ровно в два раза меньше, чем харьковский завод № 75. И хотя у завода есть все производственные возможности расширить дизельное производство, он, полностью удовлетворяя свои потребности в двигателях, недопоставляет этот вид продукции прикрепленным по кооперации предприятиям (заводам № 112 и 183)[476] (23536).</w:t>
      </w:r>
    </w:p>
    <w:p w14:paraId="3183ADCC" w14:textId="77777777" w:rsidR="000C3423" w:rsidRPr="008A2E5A" w:rsidRDefault="000C3423" w:rsidP="000C3423">
      <w:pPr>
        <w:spacing w:after="0" w:line="240" w:lineRule="auto"/>
        <w:jc w:val="both"/>
        <w:rPr>
          <w:rFonts w:ascii="Times New Roman" w:hAnsi="Times New Roman"/>
          <w:color w:val="0070C0"/>
          <w:sz w:val="16"/>
          <w:szCs w:val="16"/>
        </w:rPr>
      </w:pPr>
    </w:p>
    <w:p w14:paraId="23AF451A"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в рамках работ п упрощению конструкции танка Т-34 конструкторским бюро КБ-520 были внесены многочисленные изменения в его чертежи. В частности, без замены другими деталями на танке была отменена 5641 деталь, изготовляемая заводом и 714 деталей, поступавших по кооперации. Сокращена номенклатура нормалей по типоразмерам на 21 %. По броневым деталям корпуса танка трудоемкость по механической обработке была снижена с 260 до 80 нормочасов. В результате этих мероприятий танк Т-34 по конструкции стал более технологичным, а в силу этого стал проще и дешевле в изготовлении (23450).</w:t>
      </w:r>
    </w:p>
    <w:p w14:paraId="15FAAFB2" w14:textId="77777777" w:rsidR="000C3423" w:rsidRPr="008A2E5A" w:rsidRDefault="000C3423" w:rsidP="000C3423">
      <w:pPr>
        <w:spacing w:after="0" w:line="240" w:lineRule="auto"/>
        <w:jc w:val="both"/>
        <w:rPr>
          <w:rFonts w:ascii="Times New Roman" w:hAnsi="Times New Roman"/>
          <w:color w:val="0070C0"/>
          <w:sz w:val="16"/>
          <w:szCs w:val="16"/>
        </w:rPr>
      </w:pPr>
    </w:p>
    <w:p w14:paraId="4D32EA73"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года завод №37 запустил работу по корпусам и башням Т-60 с утолщенной броней. При Попове эту работу довели до логического конца. Базировалась разработка на проекте модернизации Т-60, разработанном на ГАЗ им. Молотова в ноябре-декабре 1941 года. Впрочем, свердловская машина, в отличие от ГАЗ-овской, пошла в крупную серию. К тому же отдел "22" ориентировался на возможности собственного корпусного производства, а оно оказалось весьма специфичным. Например, большие проблемы наблюдались со штампованными деталями, поэтому от них было решено максимально отказаться (23355).</w:t>
      </w:r>
    </w:p>
    <w:p w14:paraId="35590CC1" w14:textId="77777777" w:rsidR="000C3423" w:rsidRPr="008A2E5A" w:rsidRDefault="000C3423" w:rsidP="000C3423">
      <w:pPr>
        <w:spacing w:after="0" w:line="240" w:lineRule="auto"/>
        <w:jc w:val="both"/>
        <w:rPr>
          <w:rFonts w:ascii="Times New Roman" w:hAnsi="Times New Roman"/>
          <w:color w:val="0070C0"/>
          <w:sz w:val="16"/>
          <w:szCs w:val="16"/>
        </w:rPr>
      </w:pPr>
    </w:p>
    <w:p w14:paraId="344B0CD3"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начале 1942 г. на УЗТМ было создано специальное конструкторское бюро для проектирования и обслуживания производства танковой </w:t>
      </w:r>
      <w:proofErr w:type="gramStart"/>
      <w:r w:rsidRPr="008A2E5A">
        <w:rPr>
          <w:rFonts w:ascii="Times New Roman" w:hAnsi="Times New Roman"/>
          <w:color w:val="0070C0"/>
          <w:sz w:val="16"/>
          <w:szCs w:val="16"/>
        </w:rPr>
        <w:t>артиллерии[</w:t>
      </w:r>
      <w:proofErr w:type="gramEnd"/>
      <w:r w:rsidRPr="008A2E5A">
        <w:rPr>
          <w:rFonts w:ascii="Times New Roman" w:hAnsi="Times New Roman"/>
          <w:color w:val="0070C0"/>
          <w:sz w:val="16"/>
          <w:szCs w:val="16"/>
        </w:rPr>
        <w:t xml:space="preserve">402]. В феврале 1942 г. артиллерийское производство Уральского завода тяжелого машиностроения по решению ГКО было выделено в самостоятельный завод № 9 Наркомата вооружений. Новый завод создавался на территории и заготовительной базе </w:t>
      </w:r>
      <w:proofErr w:type="gramStart"/>
      <w:r w:rsidRPr="008A2E5A">
        <w:rPr>
          <w:rFonts w:ascii="Times New Roman" w:hAnsi="Times New Roman"/>
          <w:color w:val="0070C0"/>
          <w:sz w:val="16"/>
          <w:szCs w:val="16"/>
        </w:rPr>
        <w:t>УЗТМ[</w:t>
      </w:r>
      <w:proofErr w:type="gramEnd"/>
      <w:r w:rsidRPr="008A2E5A">
        <w:rPr>
          <w:rFonts w:ascii="Times New Roman" w:hAnsi="Times New Roman"/>
          <w:color w:val="0070C0"/>
          <w:sz w:val="16"/>
          <w:szCs w:val="16"/>
        </w:rPr>
        <w:t>403] (23536).</w:t>
      </w:r>
    </w:p>
    <w:p w14:paraId="3E37C3C8" w14:textId="77777777" w:rsidR="000C3423" w:rsidRPr="008A2E5A" w:rsidRDefault="000C3423" w:rsidP="000C3423">
      <w:pPr>
        <w:spacing w:after="0" w:line="240" w:lineRule="auto"/>
        <w:jc w:val="both"/>
        <w:rPr>
          <w:rFonts w:ascii="Times New Roman" w:hAnsi="Times New Roman"/>
          <w:color w:val="0070C0"/>
          <w:sz w:val="16"/>
          <w:szCs w:val="16"/>
        </w:rPr>
      </w:pPr>
    </w:p>
    <w:p w14:paraId="7C5EB448"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ряд работ ЦНИИ-48 были выдвинуты на соискание Сталинской премии. Вот темы этих работ: «Разработка и внедрение в производство литых башен КВ», «Разработка марки стали-заменителя и процесса производства броневой стали для тяжелых танков КВ в основных мартеновских печах большой емкости», «Разработка и внедрение в производство процесса сварки тяжелых танков», «Новый тип противоснарядной танковой брони высокой твердости толщиной 20, 30, 35, 40, 45, 50 и 60 мм из кремне-хромо-никель-марганец-молибденовой стали марки МЗ-2»[407] (23536).</w:t>
      </w:r>
    </w:p>
    <w:p w14:paraId="58372C2F" w14:textId="77777777" w:rsidR="000C3423" w:rsidRPr="008A2E5A" w:rsidRDefault="000C3423" w:rsidP="000C3423">
      <w:pPr>
        <w:spacing w:after="0" w:line="240" w:lineRule="auto"/>
        <w:jc w:val="both"/>
        <w:rPr>
          <w:rFonts w:ascii="Times New Roman" w:hAnsi="Times New Roman"/>
          <w:color w:val="0070C0"/>
          <w:sz w:val="16"/>
          <w:szCs w:val="16"/>
        </w:rPr>
      </w:pPr>
    </w:p>
    <w:p w14:paraId="57A6F4FE"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начале 1942 </w:t>
      </w:r>
      <w:proofErr w:type="gramStart"/>
      <w:r w:rsidRPr="008A2E5A">
        <w:rPr>
          <w:rFonts w:ascii="Times New Roman" w:hAnsi="Times New Roman"/>
          <w:color w:val="0070C0"/>
          <w:sz w:val="16"/>
          <w:szCs w:val="16"/>
        </w:rPr>
        <w:t>года, после того, как</w:t>
      </w:r>
      <w:proofErr w:type="gramEnd"/>
      <w:r w:rsidRPr="008A2E5A">
        <w:rPr>
          <w:rFonts w:ascii="Times New Roman" w:hAnsi="Times New Roman"/>
          <w:color w:val="0070C0"/>
          <w:sz w:val="16"/>
          <w:szCs w:val="16"/>
        </w:rPr>
        <w:t xml:space="preserve"> начался массовый сбор трофейной немецкой матчасти и передаче ее в ремонт, число трофейных StuG III выросло. Прежде всего их направляли на территорию БТРЗ №82 (завод "Подъемник" в Москве), где проходил их ремонт. Следует отметить, что и войсках "Артштурмы" не вызывали, скажем так, энтузиазма. Причиной тому было то, что в глазах танкистов StuG III выглядел как танк без башни, с равноценным Pz.Kpfw.IV вооружением. Именно поэтому и возникла идея перевооружать "Артштурмы" на отечественные 122-мм гаубицы М-30. Далее эта идея трансформировалась в СУ-122. Если ранее советская средняя САУ мыслилась как истребитель танков с круговым сектором обстрела, то знакомство со StuG III изменило концепцию. Так что в советском танкостроении имеется и немецкий след.</w:t>
      </w:r>
    </w:p>
    <w:p w14:paraId="3B11A005"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весь 1942 год БТРЗ №82 отгрузил в войска всего 7 "Артштурмов", связано это оказалось, в том числе, и с программой СГ-122. Часть трофейных САУ миновало мимо ремзаводов. Как правило, речь шла о "свежих" трофеях, которыми замещали собственные потери. Например, "</w:t>
      </w:r>
      <w:proofErr w:type="gramStart"/>
      <w:r w:rsidRPr="008A2E5A">
        <w:rPr>
          <w:rFonts w:ascii="Times New Roman" w:hAnsi="Times New Roman"/>
          <w:color w:val="0070C0"/>
          <w:sz w:val="16"/>
          <w:szCs w:val="16"/>
        </w:rPr>
        <w:t>арт.танки</w:t>
      </w:r>
      <w:proofErr w:type="gramEnd"/>
      <w:r w:rsidRPr="008A2E5A">
        <w:rPr>
          <w:rFonts w:ascii="Times New Roman" w:hAnsi="Times New Roman"/>
          <w:color w:val="0070C0"/>
          <w:sz w:val="16"/>
          <w:szCs w:val="16"/>
        </w:rPr>
        <w:t>" имелись в составе 107-го отдельного танкового батальона Волховского фронта. Всего их имелось 3 штуки, из них 2 потеряли в ходе Синявинской операции.</w:t>
      </w:r>
    </w:p>
    <w:p w14:paraId="2E34C14D"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Точно можно говорить о том, что отремонтированные на БТРЗ №82 "Артштурмы" ушли в состав ООТБ (особый отдельный танковый батальон). Сформированный в июле 1942 года из трофейных танков батальон имел в своем составе 2 "Артштурма". Правда, воевали эти машины недолго. В ходе Ржевско-Сычевской наступательной операции ООТБ воевал в составе 20-й армии, во время боев за деревню Опокино обе САУ были потеряны. Случилось это 3 сентября 1942 года, а в начале октября 1 "Артштурм" снова появился в составе батальона (23371).</w:t>
      </w:r>
    </w:p>
    <w:p w14:paraId="38E86683" w14:textId="77777777" w:rsidR="000C3423" w:rsidRPr="008A2E5A" w:rsidRDefault="000C3423" w:rsidP="000C3423">
      <w:pPr>
        <w:spacing w:after="0" w:line="240" w:lineRule="auto"/>
        <w:jc w:val="both"/>
        <w:rPr>
          <w:rFonts w:ascii="Times New Roman" w:hAnsi="Times New Roman"/>
          <w:color w:val="0070C0"/>
          <w:sz w:val="16"/>
          <w:szCs w:val="16"/>
        </w:rPr>
      </w:pPr>
    </w:p>
    <w:p w14:paraId="280E5E13" w14:textId="77777777" w:rsidR="000C3423" w:rsidRPr="008A2E5A" w:rsidRDefault="000C3423" w:rsidP="000C34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года появился проект истребителя танков У-20. Спустя полтора года после появление требования на данную САУ ее, наконец, спроектировали. Проблема в том, что тактико-технические требования попросту не позволили ОКБ-3 УЗТМ создать советский аналог GMC M10. Во-первых, поистине ослиное упрямство ГАУ КА привело к тому, что У-20 получало качающиеся части буксируемых орудий. Нормально разместить их не получалось. Во-вторых, шасси оставалось без изменений. В результате башенная САУ не имело никаких перспектив. "Артиллеристы" решили, что проблема в чем угодно, кроме как в дурацких тактико-технических требованиях (23382).</w:t>
      </w:r>
    </w:p>
    <w:p w14:paraId="4A3BB78C" w14:textId="77777777" w:rsidR="000C3423" w:rsidRPr="008A2E5A" w:rsidRDefault="000C3423" w:rsidP="000C3423">
      <w:pPr>
        <w:spacing w:after="0" w:line="240" w:lineRule="auto"/>
        <w:jc w:val="both"/>
        <w:rPr>
          <w:rFonts w:ascii="Times New Roman" w:hAnsi="Times New Roman"/>
          <w:color w:val="0070C0"/>
          <w:sz w:val="16"/>
          <w:szCs w:val="16"/>
        </w:rPr>
      </w:pPr>
    </w:p>
    <w:p w14:paraId="08135939" w14:textId="7B33CF2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952A0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FDFE2"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Красная армия прорвала фронт к юсу от озера Ильмень и окружила 16-ю армию генерала фон Буша. В «котле» у Демянска оказалось около 100 000 немецких солдат и офицеров. На помощь рванулась группировка генерап-лейтенанта фон Зейдлица. Ей удалось пробить узенький, шириной 4 км, «Рамушевский коридор» (проходивший через деревню Рамушево). Он полностью простреливался советской артиллерией. Снабжать окруженных можно было только по воздуху. Немцы собрали годные самолеты по всему фронту, стянули их из тыла и даже перебросили со Средиземноморского театра группу KGrzbV 500. Но и этого не хватило. В Германии спешно укомплектовали пять групп, две из которых получили Ju 52/3m, а еще в двух они сочетались с устаревшими бомбардировщиками.</w:t>
      </w:r>
    </w:p>
    <w:p w14:paraId="531CB59F"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февраля 1942 г. четыре первых «юнкерса» сели в Демянске. Лишь перед приземлением интенсивный огонь зенитчиков отсек преследовавшие их советские истребители. Вся армада начала курсировать между Демянском и аэродромами за кольцом окружения. В районе Холма грузы сбрасывали на парашютах.</w:t>
      </w:r>
    </w:p>
    <w:p w14:paraId="0F706A68"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Первое время немецкие самолеты летали мелкими группами и поодиночке, все время меняя маршруты. Их поджидали засады зенитчиков и истребители, выдвинутые на передовые площадки. Только 161-й истребительный авиаполк за короткое время сбил 12 «юнкерсов», в том числе лейтенант Усенко уничтожил три машины за один вылет. За транспортниками охотились не только наши истребители, но также бомбардировщики и штурмовики. Ил-2 пушечным огнем вполне успешно расправлялись с неуклюжими трехмоторниками. Штурмовики отправлялись на охоту за «юнкерсами» по одному или небольшими группами. Защищенные мощной броней спереди, летчики, не обращая внимания на огонь вражеского стрелка, расстреливали транспортники из пушек в упор. Сержант Рябошапка за короткий период сбил четыре вражеских самолета. Рекорд поставил старший лейтенант В. Олейник, на счету которого было шесть «юнкерсов», уничтоженных в воздухе, и восемь – на земле. Немецкие машины, груженные боеприпасами или горючим, нередко взрывались в воздухе. Иногда штурмовики работали как «загонщики», направляя группы транспортников под удары наших истребителей.</w:t>
      </w:r>
    </w:p>
    <w:p w14:paraId="66AEE2DB"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Спасаясь от воздушной угрозы, немецкие пилоты стали летать у самой земли, снижаясь до 15-20 м. Но там самолеты попадали под интенсивный огонь стрелкового оружия. Пассажиры отстреливались из автоматов и бросали ручные гранаты. Но вскоре большие потери заставили немцев проложить обходной маршрут. Горючего на нем тратили больше, но трасса пролегала над заснеженными лесами, в обход населенных пунктов и дорог. В кольцо окружения вылетали уже под вечер и возвращались на рассвете. Советская 6-я воздушная армия сосредоточила усилия на ударах по аэродромам в районе Демянска. После обнаружения днем крупной группы транспортников на какой-нибудь площадке, ночью она становилась целью для бипланов У-2, забрасывавших ее зажигательными ампулами. По очагам пожаров ориентировались двухмоторные бомбардировщики, фугасными бомбами выводившие из строя летное поле. Когда утром немецкие аэродромные команды спешно засыпали воронки и убирали сгоревшие самолеты, появлялись наши штурмовики Ил-2 и разгоняли работающих пулеметным огнем и одновременно расстреливали находившуюся на поле технику. После такого комбинированного удара аэродром обычно несколько дней бездействовал. Такая тактика обеспечивала и значительные потери противника в технике. На аэродроме Глебовщина аэрофотосъемка показала до 70 разбитых самолетов.</w:t>
      </w:r>
    </w:p>
    <w:p w14:paraId="5E41EBE9"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одной стороны, к концу апреля немцам удалось доставить окруженным более 65 000 т различных грузов, перевезти 30 500 человек подкреплений и эвакуировать 35 400 раненых. С другой – они лишились 265 самолетов, в основном Ju 52/3m. Только штурмовики сбили с марта по ноябрь 1942 г., по советским данным, более 60 «юнкерсов». Тем не менее «воздушный мост» спас 16-ю армию. В марте 1943 г. ей удалось прорваться к своим. На аэродромах в районе Демянска противник бросил 78 поврежденных самолетов, в основном транспортных (24199).</w:t>
      </w:r>
    </w:p>
    <w:p w14:paraId="22042941" w14:textId="77777777" w:rsidR="00613E20" w:rsidRPr="008A2E5A" w:rsidRDefault="00613E20" w:rsidP="00613E20">
      <w:pPr>
        <w:spacing w:after="0" w:line="240" w:lineRule="auto"/>
        <w:jc w:val="both"/>
        <w:rPr>
          <w:rFonts w:ascii="Times New Roman" w:hAnsi="Times New Roman"/>
          <w:color w:val="0070C0"/>
          <w:sz w:val="16"/>
          <w:szCs w:val="16"/>
        </w:rPr>
      </w:pPr>
    </w:p>
    <w:p w14:paraId="21DC4D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один из радиоуправляемых ТБ-3 (АНТ-6) направили для уничтожение железнодорожного узла в Вязьме. Огнем была повреждена антенна и ТБ-3 (АНТ-6) ушел в глубокий тыл, где упал и взорвался. Другая взорвалась у нас на аэродроме от детонации от соседнего во время бомбежки (156,21).</w:t>
      </w:r>
    </w:p>
    <w:p w14:paraId="1B8732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EA7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командованием советских ВВС были подведены первые итоги применения Пе-2. К этому времени летный и технический состав уже неплохо освоили этот бомбардировщик, а материальная часть в бою работала безотказно и надежно как летом, так и зимой. Появились самолеты, у которых моторы М-105Р выработали положенный 100-часовой ресурс. В значительной мере это было связано с интенсивной боевой деятельностью. Так, в 43-й авиадивизии "пешки" совершали в день по 3-4 вылета, находясь в воздухе по 4-5,5 ч. Пе-2 нашли разнообразное применение, например, на них проводили ближнюю и дальнюю разведку. Но, конечно, основным назначением самолета была бомбардировка врага. Целями чаще всего были механизированные части, железнодорожные станции, мосты, эшелоны, скопления наземных войск, опорные пункты. При этом бомбометание с пикирования практически не применяли. Техники 603-го авиаполка первыми сняли тормозные решетки с самолетов. Этот шаг мотивировался не столько недостатком опыта у экипажей, сколько сложными метеорологическими условиями поздней осенью и зимой 1941 </w:t>
      </w:r>
      <w:r w:rsidRPr="008127F8">
        <w:rPr>
          <w:rFonts w:ascii="Times New Roman" w:hAnsi="Times New Roman"/>
          <w:color w:val="000000" w:themeColor="text1"/>
          <w:sz w:val="16"/>
          <w:szCs w:val="16"/>
        </w:rPr>
        <w:lastRenderedPageBreak/>
        <w:t>г., когда высота захода на цель "пешек" колебалась от 200 до 1000 м. С горизонтального полета растянутым колоннам фашистов наносились чувствительные удары мелкими осколочными бомбами АО-8, АО-15 и АО-25. Стандартная бомбовая нагрузка составляла 600-700 кг, а взлетный вес Пе-2 колебался в пределах 8100-8300 кг. Нехватка бомбардировщиков не позволяла осуществлять непрерывное воздействие на противника. В несколько лучшем положении, чем соседи, были соединения ВВС Западного фронта, насчитывавшие 44 Пе-2 в конце ноября 1941 г. и 67 - в начале декабря. Поскольку им помогали резервные авиагруппы Верховного Главнокомандования (ВГК), они могли более массированно и эффективно осуществлять поддержку наступающих войск на главных направлениях. В этот период экипажи Пе-2 действовали исключительно днем (3542).</w:t>
      </w:r>
    </w:p>
    <w:p w14:paraId="43499A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E78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командование советских ВВС подвело первые итоги применения Пе-2. К этому времени летный и технический составы уже неплохо освоили этот бомбардировщик, а материальная часть в бою работала вполне безотказно и надежно как летом, так и зимой. Появились самолеты, у которых моторы М-105Р выработали положенный 100-часовой ресурс. В значительной мере это было связано с интенсивной боевой деятельностью. Так, в 43-й авиадивизии "пешки" совершали в день по 3-4 вылета, находясь в воздухе по 4-5,5 ч.</w:t>
      </w:r>
    </w:p>
    <w:p w14:paraId="1B13F2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нашли разнообразное применение, например, на них проводили ближнюю и дальнюю разведку. Действовавшие на Северо-Западном фронте летчики 411-го бап отличились при штурмовке вражеских аэродромов Псков и Карамышево. Но, конечно, основным назначением самолета была бомбардировка врага. Целями чаще всего становились моторизованные части, железнодорожные станции, мосты, эшелоны, скопления наземных войск, опорные пункты, удаленные от линии фронта на 10-60 км. При этом бомбометание с пикирования практически не применяли. Техники 603-го авиаполка по приказу командования в числе первых сняли тормозные решетки с самолетов. Этот шаг мотивировался не столько недостатком опыта у экипажей, сколько сложными метеорологическими условиями поздней осенью и зимой 1941 г., когда высота захода на цель "пешек" колебалась от 200 до 1000 м. С горизонтального полета растянутым колоннам фашистов наносились чувствительные удары мелкими осколочными бомбами АО-8, АО-15 и АО-25. При этом бомбоотсск загружался не полностью (по массе) и на наружные замки подвешивали ФАБ-50 или ФАБ-100. Стандартная бомбовая нагрузка составляла 600-700 кг, а взлетный вес Пе-2 колебался в пределах 8100-8300 кг.</w:t>
      </w:r>
    </w:p>
    <w:p w14:paraId="6758F6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наиболее существенных недостатков отмечались низкое качество протектора образца 1937 г., который не предохранял от зажигательных пуль, уязвимость самолета при атаках сзади-сверху. По словам штурмана капитана Панченко немецкие истребители начинали вести огонь с дистанции 500 м с пологого пикирования и выходили из атаки на дистанции 250-300 м, когда ШKAC становился относительно эффективен. Стрелки-радисты полагали боекомплект пулемета Березина недостаточным: две сотни патронов не позволяли осуществлять попутный обстрел наземных целей при атаке с малых высот. Среди претензий надо отметить жалобы на трудоемкий процесс смены двигателя, на который уходило около 200 человеко-</w:t>
      </w:r>
      <w:proofErr w:type="gramStart"/>
      <w:r w:rsidRPr="008127F8">
        <w:rPr>
          <w:rFonts w:ascii="Times New Roman" w:hAnsi="Times New Roman"/>
          <w:color w:val="000000" w:themeColor="text1"/>
          <w:sz w:val="16"/>
          <w:szCs w:val="16"/>
        </w:rPr>
        <w:t>ча- сов</w:t>
      </w:r>
      <w:proofErr w:type="gramEnd"/>
      <w:r w:rsidRPr="008127F8">
        <w:rPr>
          <w:rFonts w:ascii="Times New Roman" w:hAnsi="Times New Roman"/>
          <w:color w:val="000000" w:themeColor="text1"/>
          <w:sz w:val="16"/>
          <w:szCs w:val="16"/>
        </w:rPr>
        <w:t>, а также сложность замены радиаторов, поврежденных при вынужденных посадках (12042).</w:t>
      </w:r>
    </w:p>
    <w:p w14:paraId="5B0113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9E1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советская фронтовая авиация имела немногим более двухсот самолетов И-153. За лето текущего года по причине потерь и износа материальной части количество этих истребителей сократилось более чем вдвое. По состоянию на 1 июля 1942 г. на фронте насчитывалось 83 "Чайки", из них 42 самолета - в 5-й воздушной армии. На самом деле установление точного количества воющих И-153 представляется затруднительным, ибо потери частично восполнялись ремонтом и поступлением из тыловых частей, многие подразделения "мигрировали". Так, в начале августа 1942 г. 662-й авиаполк ночных бомбардировщиков У-2, действующий в полосе 52-й армии в районе Мясного Бора, получил в качестве пополнения эскадрилью истребителей И-153 и И-16. Полк стал именоваться смешанным и действовал в таком составе до весны 1943 года. В апреле 662-й сап расформировали, а истребители передали другому авиаполку из состава 14-й воздушной армии (12014).</w:t>
      </w:r>
    </w:p>
    <w:p w14:paraId="3A391E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7FC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присутствие Р-5 в полосе боевых действий продолжает возрастать (5016).</w:t>
      </w:r>
    </w:p>
    <w:p w14:paraId="30B4EE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0F452"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1942 г. на Крайнем Севере Восточного фронта появился вновь сформированный ягдгешвадер — JG-5. Весьма необычным был тот факт, что группы этой эскадры воевали одновременно и на Западном, и на Восточном фронтах. Две группы, которые базировались в центральной и южной Норвегии, действовали против самолетов Королевских ВВС Великобритании, в то время как </w:t>
      </w:r>
      <w:proofErr w:type="gramStart"/>
      <w:r w:rsidRPr="008127F8">
        <w:rPr>
          <w:rFonts w:ascii="Times New Roman" w:hAnsi="Times New Roman"/>
          <w:color w:val="000000" w:themeColor="text1"/>
          <w:sz w:val="16"/>
          <w:szCs w:val="16"/>
        </w:rPr>
        <w:t>III./</w:t>
      </w:r>
      <w:proofErr w:type="gramEnd"/>
      <w:r w:rsidRPr="008127F8">
        <w:rPr>
          <w:rFonts w:ascii="Times New Roman" w:hAnsi="Times New Roman"/>
          <w:color w:val="000000" w:themeColor="text1"/>
          <w:sz w:val="16"/>
          <w:szCs w:val="16"/>
        </w:rPr>
        <w:t>JG-5, дислоцировавшаяся в северной Норвегии и Финляндии, противостояла ВВС РККА.</w:t>
      </w:r>
    </w:p>
    <w:p w14:paraId="29F9C861"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Основная задача, которую решали пилоты Люфтваффе, — бомбардировка незамерзающего русского порта Мурманск, через который шел основной поток грузов, поставляемых по ленд-лизу. Люфтваффе также пыталось нарушить движение поездов по стратегической Кировской железной дороге. Несмотря на подавляющее численное превосходство на этом участке фронта советской авиации, пилоты 5-й эскадры сумели добиться выдающихся успехов (22766).</w:t>
      </w:r>
    </w:p>
    <w:p w14:paraId="6E88FBDD" w14:textId="77777777" w:rsidR="00F63FC2" w:rsidRPr="008127F8" w:rsidRDefault="00F63FC2" w:rsidP="001E0A84">
      <w:pPr>
        <w:spacing w:after="0" w:line="240" w:lineRule="auto"/>
        <w:jc w:val="both"/>
        <w:rPr>
          <w:rFonts w:ascii="Times New Roman" w:hAnsi="Times New Roman"/>
          <w:color w:val="000000" w:themeColor="text1"/>
          <w:sz w:val="16"/>
          <w:szCs w:val="16"/>
        </w:rPr>
      </w:pPr>
    </w:p>
    <w:p w14:paraId="283A48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Северный флот располагал всего двумя, а Балтийский - одной исправной “пешкой”. Иначе ситуация складывалась на Черном море. Здесь “непотопляемый авианосец” Крым и главная база флота Севастополь долгое время обеспечивали возможность борьбы как с неприятельскими кораблями и судами, так и нанесение ударов по румыно-немецким войскам в приморских районах. Черноморские “пешки” участвовали в налетах на военно-морскую базу Констанца, нефтяные объекты Плоешти, они бомбили крупнейший в Румынии Чернаводский мост и активно способствовали оборонительным операциям на сухопутном фронте (4476).</w:t>
      </w:r>
    </w:p>
    <w:p w14:paraId="5EE908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3BA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первые Кертисс 0-52 в разобранном виде доставили в 6-ю запасную бригаду. Машины прибыли без документации, собирали их "но наитию под руководством инженера А.И.Смолярова. Самый первый 0-52 поднял в воздух подполковник Акуленко. На месте летпаба сидел Смоляров, решивший лично доказать правильность сборки. Там же, в Иванове, собрали все остальные "Совы" и подготовили для них экипажи. На фронт отправились в общей сложности 15 0-52. Девять самолетов перегнали на Ленинградский фронт, шесть на Калининский. Войсковые испытания проходили в 50-й корректировочной эскадрилье. Они шли фактически параллельно с освоением техники строевыми летчиками (3457,125).</w:t>
      </w:r>
    </w:p>
    <w:p w14:paraId="032031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90A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1942 года основной тактической единицей бронетанковых сил РККА стала танковая бригада. Поэтому тактические обозначения и было приказано ввести на бригадном уровне. Единой системы обозначений, универсальной для всех фронтов в Красной Армии не было, но рассматривая фотоматериалы, можно заметить некоторые закономерности в тактических знаках, характерных для определенных групп фронтов по регионам.</w:t>
      </w:r>
    </w:p>
    <w:p w14:paraId="7085B1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центральных фронтах в 1942 - 1943 годах был наиболее характерным ромбический знак (высота 400 мм), разделенный на два треугольных поля. В верхнем треугольнике цифрой или буквой алфавита указывался номер батальона (обычно в этот период бригада была двухбаталь- онного состава), в нижнем поле - закодированный цифровой номер части. Например, в 116-й танковой бригаде (KB, Т-34, Западный фронт, 1942 г.) тактическим обозначением являлся ромб, в верхнем иоле которого находились цифры "I" или "2" (1 -й или 2-й батальон соответственно), а в нижнем - "045" - код самой бригады. В 51-мот- дельном танковом полку (таких частей также было много в 1942-1943 гг.) первый батальон обозначался буквой "А", а второй - "Б", код самой части скрывался под цифрой "24".</w:t>
      </w:r>
    </w:p>
    <w:p w14:paraId="53ED15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Южном и Юго-Западном, а затем и Северо-Кавказском фронтах применялась другая система тактических обозначений из двух групп цифр, первая из которых кодировала номер батальона, а вторая номер машины. Так, лучшее соединение Северо-Кавказского фронта 5-я Отдельная гвардейская танковая бригада (время получения гвардейского звания - ноябрь 1941 года!) на август 1942 года имела на своих Т-34 и Т-60 номера (10-12,10-13дляТ-34и 10-38 для Т-60). Получив осенью 1942 года танки "Валентайн" и МЗ легкие, бригада уже имела другой цифровой код: 59-1, 58-2 и т.д. На некоторых танках (в частности Т-34) номер машины дублировался белой краской на лобовой броне корпуса.</w:t>
      </w:r>
    </w:p>
    <w:p w14:paraId="49532D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достаточно стройная система тактических обозначений в бронетанковых силах РККА стала складываться с середины 1942 года, когда стали создаваться механизированные корпуса 2-го формирования, а также с осени 1942 года, когда появились первые советские танковые корпуса (11993).</w:t>
      </w:r>
    </w:p>
    <w:p w14:paraId="170952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52AE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сформировали несколько отдельных огнеметных танковых батальонов штата № 010/366 - 21 машина, из них 10 КВ-8, 9 ТО-34 и 2 Т-34. Всего же на 1 января 1943 года в Красной Армии сформировали 87 отдельных танковых батальонов (12217).</w:t>
      </w:r>
    </w:p>
    <w:p w14:paraId="6A6BCEF6"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44EF948D"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В начале 1942:</w:t>
      </w:r>
    </w:p>
    <w:p w14:paraId="3622AF41"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«Сов. секретно Экз. №… копия</w:t>
      </w:r>
    </w:p>
    <w:p w14:paraId="6BAA15C5"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ПРЕДСЕДАТЕЛЮ СОВЕТА ОБОРОНЫ ПРИ СНК СССР копия — НКО ДОКЛАДНАЯ ЗАПИСКА (извлечения)</w:t>
      </w:r>
    </w:p>
    <w:p w14:paraId="77121981"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В соответствии с Вашим письмом от 11 января с.г. сообщаем Вам соображения по вопросу формирования Артиллерийских противотанковых бригад РГК…</w:t>
      </w:r>
    </w:p>
    <w:p w14:paraId="0C695C48"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Обсудив представленные в техническое управление НКВ материалы, а также проведя консультации с ведущими специалистами Наркомата Боеприпасов… комиссия пришла к следующим выводам:</w:t>
      </w:r>
    </w:p>
    <w:p w14:paraId="4105F7B8" w14:textId="33141E63"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1.</w:t>
      </w:r>
      <w:r w:rsidR="008127F8">
        <w:rPr>
          <w:color w:val="000000" w:themeColor="text1"/>
          <w:sz w:val="16"/>
          <w:szCs w:val="16"/>
        </w:rPr>
        <w:t xml:space="preserve">  </w:t>
      </w:r>
      <w:r w:rsidRPr="008127F8">
        <w:rPr>
          <w:color w:val="000000" w:themeColor="text1"/>
          <w:sz w:val="16"/>
          <w:szCs w:val="16"/>
        </w:rPr>
        <w:t>Предложенное укрупнение противотанковых артиллерийских подразделений для отражения массированных ударов танковых войск врага считаем своевременным и целесообразным…</w:t>
      </w:r>
    </w:p>
    <w:p w14:paraId="1CFD2536" w14:textId="66487B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2.</w:t>
      </w:r>
      <w:r w:rsidR="008127F8">
        <w:rPr>
          <w:color w:val="000000" w:themeColor="text1"/>
          <w:sz w:val="16"/>
          <w:szCs w:val="16"/>
        </w:rPr>
        <w:t xml:space="preserve">  </w:t>
      </w:r>
      <w:r w:rsidRPr="008127F8">
        <w:rPr>
          <w:color w:val="000000" w:themeColor="text1"/>
          <w:sz w:val="16"/>
          <w:szCs w:val="16"/>
        </w:rPr>
        <w:t>По вопросу количественного состава Артиллерийской противотанковой бригады РГК трехполкового состава по три дивизиона в каждом полку (всего — 36 четырехорудийных батарей) возражений не имеем.</w:t>
      </w:r>
    </w:p>
    <w:p w14:paraId="36895A84" w14:textId="1B64F903"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3.</w:t>
      </w:r>
      <w:r w:rsidR="008127F8">
        <w:rPr>
          <w:color w:val="000000" w:themeColor="text1"/>
          <w:sz w:val="16"/>
          <w:szCs w:val="16"/>
        </w:rPr>
        <w:t xml:space="preserve">  </w:t>
      </w:r>
      <w:r w:rsidRPr="008127F8">
        <w:rPr>
          <w:color w:val="000000" w:themeColor="text1"/>
          <w:sz w:val="16"/>
          <w:szCs w:val="16"/>
        </w:rPr>
        <w:t>Однако предложенный штат бригады в составе:</w:t>
      </w:r>
    </w:p>
    <w:p w14:paraId="4E6241E2" w14:textId="76B60639"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45-мм пушек обр </w:t>
      </w:r>
      <w:proofErr w:type="gramStart"/>
      <w:r w:rsidRPr="008127F8">
        <w:rPr>
          <w:color w:val="000000" w:themeColor="text1"/>
          <w:sz w:val="16"/>
          <w:szCs w:val="16"/>
        </w:rPr>
        <w:t>1937</w:t>
      </w:r>
      <w:r w:rsidR="008127F8">
        <w:rPr>
          <w:color w:val="000000" w:themeColor="text1"/>
          <w:sz w:val="16"/>
          <w:szCs w:val="16"/>
        </w:rPr>
        <w:t xml:space="preserve">  </w:t>
      </w:r>
      <w:r w:rsidRPr="008127F8">
        <w:rPr>
          <w:color w:val="000000" w:themeColor="text1"/>
          <w:sz w:val="16"/>
          <w:szCs w:val="16"/>
        </w:rPr>
        <w:t>г.</w:t>
      </w:r>
      <w:proofErr w:type="gramEnd"/>
      <w:r w:rsidR="008127F8">
        <w:rPr>
          <w:color w:val="000000" w:themeColor="text1"/>
          <w:sz w:val="16"/>
          <w:szCs w:val="16"/>
        </w:rPr>
        <w:t xml:space="preserve">  </w:t>
      </w:r>
      <w:r w:rsidRPr="008127F8">
        <w:rPr>
          <w:color w:val="000000" w:themeColor="text1"/>
          <w:sz w:val="16"/>
          <w:szCs w:val="16"/>
        </w:rPr>
        <w:t>— 48</w:t>
      </w:r>
    </w:p>
    <w:p w14:paraId="2A866354" w14:textId="3F8C027A"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lastRenderedPageBreak/>
        <w:t xml:space="preserve">76-мм пушек обр </w:t>
      </w:r>
      <w:proofErr w:type="gramStart"/>
      <w:r w:rsidRPr="008127F8">
        <w:rPr>
          <w:color w:val="000000" w:themeColor="text1"/>
          <w:sz w:val="16"/>
          <w:szCs w:val="16"/>
        </w:rPr>
        <w:t>1936</w:t>
      </w:r>
      <w:r w:rsidR="008127F8">
        <w:rPr>
          <w:color w:val="000000" w:themeColor="text1"/>
          <w:sz w:val="16"/>
          <w:szCs w:val="16"/>
        </w:rPr>
        <w:t xml:space="preserve">  </w:t>
      </w:r>
      <w:r w:rsidRPr="008127F8">
        <w:rPr>
          <w:color w:val="000000" w:themeColor="text1"/>
          <w:sz w:val="16"/>
          <w:szCs w:val="16"/>
        </w:rPr>
        <w:t>г.</w:t>
      </w:r>
      <w:proofErr w:type="gramEnd"/>
      <w:r w:rsidR="008127F8">
        <w:rPr>
          <w:color w:val="000000" w:themeColor="text1"/>
          <w:sz w:val="16"/>
          <w:szCs w:val="16"/>
        </w:rPr>
        <w:t xml:space="preserve">  </w:t>
      </w:r>
      <w:r w:rsidRPr="008127F8">
        <w:rPr>
          <w:color w:val="000000" w:themeColor="text1"/>
          <w:sz w:val="16"/>
          <w:szCs w:val="16"/>
        </w:rPr>
        <w:t>— 48</w:t>
      </w:r>
    </w:p>
    <w:p w14:paraId="009D5A65" w14:textId="66AE2B62"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76-мм зенитных пушек обр 1931/</w:t>
      </w:r>
      <w:proofErr w:type="gramStart"/>
      <w:r w:rsidRPr="008127F8">
        <w:rPr>
          <w:color w:val="000000" w:themeColor="text1"/>
          <w:sz w:val="16"/>
          <w:szCs w:val="16"/>
        </w:rPr>
        <w:t>38</w:t>
      </w:r>
      <w:r w:rsidR="008127F8">
        <w:rPr>
          <w:color w:val="000000" w:themeColor="text1"/>
          <w:sz w:val="16"/>
          <w:szCs w:val="16"/>
        </w:rPr>
        <w:t xml:space="preserve">  </w:t>
      </w:r>
      <w:r w:rsidRPr="008127F8">
        <w:rPr>
          <w:color w:val="000000" w:themeColor="text1"/>
          <w:sz w:val="16"/>
          <w:szCs w:val="16"/>
        </w:rPr>
        <w:t>гг.</w:t>
      </w:r>
      <w:proofErr w:type="gramEnd"/>
      <w:r w:rsidR="008127F8">
        <w:rPr>
          <w:color w:val="000000" w:themeColor="text1"/>
          <w:sz w:val="16"/>
          <w:szCs w:val="16"/>
        </w:rPr>
        <w:t xml:space="preserve">  </w:t>
      </w:r>
      <w:r w:rsidRPr="008127F8">
        <w:rPr>
          <w:color w:val="000000" w:themeColor="text1"/>
          <w:sz w:val="16"/>
          <w:szCs w:val="16"/>
        </w:rPr>
        <w:t>— 12</w:t>
      </w:r>
    </w:p>
    <w:p w14:paraId="2FA1961B" w14:textId="345D9399"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107-мм пушек обр </w:t>
      </w:r>
      <w:proofErr w:type="gramStart"/>
      <w:r w:rsidRPr="008127F8">
        <w:rPr>
          <w:color w:val="000000" w:themeColor="text1"/>
          <w:sz w:val="16"/>
          <w:szCs w:val="16"/>
        </w:rPr>
        <w:t>1939</w:t>
      </w:r>
      <w:r w:rsidR="008127F8">
        <w:rPr>
          <w:color w:val="000000" w:themeColor="text1"/>
          <w:sz w:val="16"/>
          <w:szCs w:val="16"/>
        </w:rPr>
        <w:t xml:space="preserve">  </w:t>
      </w:r>
      <w:r w:rsidRPr="008127F8">
        <w:rPr>
          <w:color w:val="000000" w:themeColor="text1"/>
          <w:sz w:val="16"/>
          <w:szCs w:val="16"/>
        </w:rPr>
        <w:t>г.</w:t>
      </w:r>
      <w:proofErr w:type="gramEnd"/>
      <w:r w:rsidR="008127F8">
        <w:rPr>
          <w:color w:val="000000" w:themeColor="text1"/>
          <w:sz w:val="16"/>
          <w:szCs w:val="16"/>
        </w:rPr>
        <w:t xml:space="preserve">  </w:t>
      </w:r>
      <w:r w:rsidRPr="008127F8">
        <w:rPr>
          <w:color w:val="000000" w:themeColor="text1"/>
          <w:sz w:val="16"/>
          <w:szCs w:val="16"/>
        </w:rPr>
        <w:t>— 36</w:t>
      </w:r>
    </w:p>
    <w:p w14:paraId="6508533D"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пулеметов зенитных —12</w:t>
      </w:r>
    </w:p>
    <w:p w14:paraId="0B6E30CE"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считаем не отвечающим требованиям и возможностям текущего момента…</w:t>
      </w:r>
    </w:p>
    <w:p w14:paraId="1D52FE58" w14:textId="43D6A852"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Как Вам должно быть известно, испытания обстрелом нового немецкого танка, проведенные осенью 1940</w:t>
      </w:r>
      <w:r w:rsidR="008127F8">
        <w:rPr>
          <w:color w:val="000000" w:themeColor="text1"/>
          <w:sz w:val="16"/>
          <w:szCs w:val="16"/>
        </w:rPr>
        <w:t xml:space="preserve">  </w:t>
      </w:r>
      <w:r w:rsidRPr="008127F8">
        <w:rPr>
          <w:color w:val="000000" w:themeColor="text1"/>
          <w:sz w:val="16"/>
          <w:szCs w:val="16"/>
        </w:rPr>
        <w:t>г., показали, что для борьбы с ним 45-мм противотанковая пушка обр. 1937</w:t>
      </w:r>
      <w:r w:rsidR="008127F8">
        <w:rPr>
          <w:color w:val="000000" w:themeColor="text1"/>
          <w:sz w:val="16"/>
          <w:szCs w:val="16"/>
        </w:rPr>
        <w:t xml:space="preserve">  </w:t>
      </w:r>
      <w:r w:rsidRPr="008127F8">
        <w:rPr>
          <w:color w:val="000000" w:themeColor="text1"/>
          <w:sz w:val="16"/>
          <w:szCs w:val="16"/>
        </w:rPr>
        <w:t>г. непригодна, так как способна пробить его броню на дистанции не далее 150–300</w:t>
      </w:r>
      <w:r w:rsidR="008127F8">
        <w:rPr>
          <w:color w:val="000000" w:themeColor="text1"/>
          <w:sz w:val="16"/>
          <w:szCs w:val="16"/>
        </w:rPr>
        <w:t xml:space="preserve">  </w:t>
      </w:r>
      <w:r w:rsidRPr="008127F8">
        <w:rPr>
          <w:color w:val="000000" w:themeColor="text1"/>
          <w:sz w:val="16"/>
          <w:szCs w:val="16"/>
        </w:rPr>
        <w:t>м…</w:t>
      </w:r>
    </w:p>
    <w:p w14:paraId="13F42F97"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Проверкой установлено, что для увеличения пробивной способности 45-мм пушки необходима разработка нового типа боеприпаса, но заказ НКО Наркомату Боеприпасов на проведение данной работы до настоящего времени не поступил…</w:t>
      </w:r>
    </w:p>
    <w:p w14:paraId="19D2817C" w14:textId="44554DCC"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Напоминаем Вам также, что решением СО при СНК СССР от 15 ноября </w:t>
      </w:r>
      <w:proofErr w:type="gramStart"/>
      <w:r w:rsidRPr="008127F8">
        <w:rPr>
          <w:color w:val="000000" w:themeColor="text1"/>
          <w:sz w:val="16"/>
          <w:szCs w:val="16"/>
        </w:rPr>
        <w:t>1940</w:t>
      </w:r>
      <w:r w:rsidR="008127F8">
        <w:rPr>
          <w:color w:val="000000" w:themeColor="text1"/>
          <w:sz w:val="16"/>
          <w:szCs w:val="16"/>
        </w:rPr>
        <w:t xml:space="preserve">  </w:t>
      </w:r>
      <w:r w:rsidRPr="008127F8">
        <w:rPr>
          <w:color w:val="000000" w:themeColor="text1"/>
          <w:sz w:val="16"/>
          <w:szCs w:val="16"/>
        </w:rPr>
        <w:t>г.</w:t>
      </w:r>
      <w:proofErr w:type="gramEnd"/>
      <w:r w:rsidRPr="008127F8">
        <w:rPr>
          <w:color w:val="000000" w:themeColor="text1"/>
          <w:sz w:val="16"/>
          <w:szCs w:val="16"/>
        </w:rPr>
        <w:t xml:space="preserve"> данный тип пушки был признан неперспективным и в соответствии с планами, валовый выпуск ее будет прекращен в тек. году. Предложенная на замену 45-мм противотанковой пушки новая 57-мм противотанковая пушка завода 92 испытаний в установленном порядке еще не прошла и в производстве не освоена… Планируется запуск ее в валовое производство, начиная с 3-го квартала сего года.</w:t>
      </w:r>
    </w:p>
    <w:p w14:paraId="3BBE2C6B"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В то же время на вооружении КА уже имеется удачное 37-мм противотанково-зенитное автоматическое орудие, обладающее хорошей способностью к пробитию брони, что подтвердили испытания обстрелом из него имеющихся образцов зарубежных и отечественных танков. Орудие имеет бронебойный снаряд с прочным корпусом, производство которого уже освоено. Кроме того, введение в состав Артиллерийской противотанковой бригады РГК таких орудий значительно улучшит возможности ее обороны с воздуха…</w:t>
      </w:r>
    </w:p>
    <w:p w14:paraId="09BACB75" w14:textId="2D1360A0"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76-мм дивизионная пушка обр </w:t>
      </w:r>
      <w:proofErr w:type="gramStart"/>
      <w:r w:rsidRPr="008127F8">
        <w:rPr>
          <w:color w:val="000000" w:themeColor="text1"/>
          <w:sz w:val="16"/>
          <w:szCs w:val="16"/>
        </w:rPr>
        <w:t>1936</w:t>
      </w:r>
      <w:r w:rsidR="008127F8">
        <w:rPr>
          <w:color w:val="000000" w:themeColor="text1"/>
          <w:sz w:val="16"/>
          <w:szCs w:val="16"/>
        </w:rPr>
        <w:t xml:space="preserve">  </w:t>
      </w:r>
      <w:r w:rsidRPr="008127F8">
        <w:rPr>
          <w:color w:val="000000" w:themeColor="text1"/>
          <w:sz w:val="16"/>
          <w:szCs w:val="16"/>
        </w:rPr>
        <w:t>г.</w:t>
      </w:r>
      <w:proofErr w:type="gramEnd"/>
      <w:r w:rsidRPr="008127F8">
        <w:rPr>
          <w:color w:val="000000" w:themeColor="text1"/>
          <w:sz w:val="16"/>
          <w:szCs w:val="16"/>
        </w:rPr>
        <w:t xml:space="preserve"> имеет повышенную пробивную способность, по сравнению с такой же пушкой обр. 1939</w:t>
      </w:r>
      <w:r w:rsidR="008127F8">
        <w:rPr>
          <w:color w:val="000000" w:themeColor="text1"/>
          <w:sz w:val="16"/>
          <w:szCs w:val="16"/>
        </w:rPr>
        <w:t xml:space="preserve">  </w:t>
      </w:r>
      <w:r w:rsidRPr="008127F8">
        <w:rPr>
          <w:color w:val="000000" w:themeColor="text1"/>
          <w:sz w:val="16"/>
          <w:szCs w:val="16"/>
        </w:rPr>
        <w:t>г. только при условии применения усиленного выстрела, конструкция которого еще не отработана…</w:t>
      </w:r>
    </w:p>
    <w:p w14:paraId="5E1BFF06" w14:textId="3F8F3CC3"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76-мм зенитная пушка с производства снимается и повсеместно заменяется более мощной 85-мм зенитной пушкой обр. </w:t>
      </w:r>
      <w:proofErr w:type="gramStart"/>
      <w:r w:rsidRPr="008127F8">
        <w:rPr>
          <w:color w:val="000000" w:themeColor="text1"/>
          <w:sz w:val="16"/>
          <w:szCs w:val="16"/>
        </w:rPr>
        <w:t>1939</w:t>
      </w:r>
      <w:r w:rsidR="008127F8">
        <w:rPr>
          <w:color w:val="000000" w:themeColor="text1"/>
          <w:sz w:val="16"/>
          <w:szCs w:val="16"/>
        </w:rPr>
        <w:t xml:space="preserve">  </w:t>
      </w:r>
      <w:r w:rsidRPr="008127F8">
        <w:rPr>
          <w:color w:val="000000" w:themeColor="text1"/>
          <w:sz w:val="16"/>
          <w:szCs w:val="16"/>
        </w:rPr>
        <w:t>г.</w:t>
      </w:r>
      <w:proofErr w:type="gramEnd"/>
    </w:p>
    <w:p w14:paraId="731379DE"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Кроме того, при формировании 20-ти противотанковых бригад, содержащих 1440 орудий калибра 76 мм, потребуется не менее 144 000 выстрелов с бронебойным снарядом, а в распоряжении артуправления в настоящее время имеется лишь немногим более 20 000 выстрелов, или по 2,6 на каждое орудие калибра 76 мм.</w:t>
      </w:r>
    </w:p>
    <w:p w14:paraId="4D37410B"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Наркомат Боеприпасов не в состоянии в настоящее время резко увеличить выпуск таких боеприпасов из-за ведущейся реорганизации производства…</w:t>
      </w:r>
    </w:p>
    <w:p w14:paraId="5BC72587"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Исходя из сказанного выше, предлагаем Вам пересмотреть штат Артиллерийской противотанковой бригады РГК, приняв во внимание следующие соображения:</w:t>
      </w:r>
    </w:p>
    <w:p w14:paraId="01F7806B" w14:textId="4FB89CC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…исключить из состава Артиллерийской противотанковой бригады РГК 45-мм пушки обр </w:t>
      </w:r>
      <w:proofErr w:type="gramStart"/>
      <w:r w:rsidRPr="008127F8">
        <w:rPr>
          <w:color w:val="000000" w:themeColor="text1"/>
          <w:sz w:val="16"/>
          <w:szCs w:val="16"/>
        </w:rPr>
        <w:t>1937</w:t>
      </w:r>
      <w:r w:rsidR="008127F8">
        <w:rPr>
          <w:color w:val="000000" w:themeColor="text1"/>
          <w:sz w:val="16"/>
          <w:szCs w:val="16"/>
        </w:rPr>
        <w:t xml:space="preserve">  </w:t>
      </w:r>
      <w:r w:rsidRPr="008127F8">
        <w:rPr>
          <w:color w:val="000000" w:themeColor="text1"/>
          <w:sz w:val="16"/>
          <w:szCs w:val="16"/>
        </w:rPr>
        <w:t>г.</w:t>
      </w:r>
      <w:proofErr w:type="gramEnd"/>
      <w:r w:rsidRPr="008127F8">
        <w:rPr>
          <w:color w:val="000000" w:themeColor="text1"/>
          <w:sz w:val="16"/>
          <w:szCs w:val="16"/>
        </w:rPr>
        <w:t>, заменив их 57-мм пушками обр 1941</w:t>
      </w:r>
      <w:r w:rsidR="008127F8">
        <w:rPr>
          <w:color w:val="000000" w:themeColor="text1"/>
          <w:sz w:val="16"/>
          <w:szCs w:val="16"/>
        </w:rPr>
        <w:t xml:space="preserve">  </w:t>
      </w:r>
      <w:r w:rsidRPr="008127F8">
        <w:rPr>
          <w:color w:val="000000" w:themeColor="text1"/>
          <w:sz w:val="16"/>
          <w:szCs w:val="16"/>
        </w:rPr>
        <w:t>г….</w:t>
      </w:r>
    </w:p>
    <w:p w14:paraId="0F062A38" w14:textId="15E865A6"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Вплоть до начала валового выпуска новой 57-мм противотанковой пушки считаем целесообразным ввести в состав бригады 37-мм противотанково-зенитные орудия обр </w:t>
      </w:r>
      <w:proofErr w:type="gramStart"/>
      <w:r w:rsidRPr="008127F8">
        <w:rPr>
          <w:color w:val="000000" w:themeColor="text1"/>
          <w:sz w:val="16"/>
          <w:szCs w:val="16"/>
        </w:rPr>
        <w:t>1940</w:t>
      </w:r>
      <w:r w:rsidR="008127F8">
        <w:rPr>
          <w:color w:val="000000" w:themeColor="text1"/>
          <w:sz w:val="16"/>
          <w:szCs w:val="16"/>
        </w:rPr>
        <w:t xml:space="preserve">  </w:t>
      </w:r>
      <w:r w:rsidRPr="008127F8">
        <w:rPr>
          <w:color w:val="000000" w:themeColor="text1"/>
          <w:sz w:val="16"/>
          <w:szCs w:val="16"/>
        </w:rPr>
        <w:t>г.</w:t>
      </w:r>
      <w:proofErr w:type="gramEnd"/>
    </w:p>
    <w:p w14:paraId="7A8E534D" w14:textId="2CAB7E54"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 xml:space="preserve">Количество 76-мм дивизионных орудий в составе Артиллерийской противотанковой бригады РГК уменьшить. Допустить на оснащение бригад 76-мм орудия обр. </w:t>
      </w:r>
      <w:proofErr w:type="gramStart"/>
      <w:r w:rsidRPr="008127F8">
        <w:rPr>
          <w:color w:val="000000" w:themeColor="text1"/>
          <w:sz w:val="16"/>
          <w:szCs w:val="16"/>
        </w:rPr>
        <w:t>1939</w:t>
      </w:r>
      <w:r w:rsidR="008127F8">
        <w:rPr>
          <w:color w:val="000000" w:themeColor="text1"/>
          <w:sz w:val="16"/>
          <w:szCs w:val="16"/>
        </w:rPr>
        <w:t xml:space="preserve">  </w:t>
      </w:r>
      <w:r w:rsidRPr="008127F8">
        <w:rPr>
          <w:color w:val="000000" w:themeColor="text1"/>
          <w:sz w:val="16"/>
          <w:szCs w:val="16"/>
        </w:rPr>
        <w:t>г.</w:t>
      </w:r>
      <w:proofErr w:type="gramEnd"/>
      <w:r w:rsidRPr="008127F8">
        <w:rPr>
          <w:color w:val="000000" w:themeColor="text1"/>
          <w:sz w:val="16"/>
          <w:szCs w:val="16"/>
        </w:rPr>
        <w:t>, как имеющие меньший вес.</w:t>
      </w:r>
    </w:p>
    <w:p w14:paraId="411EA137" w14:textId="405E8229"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Ввиду малой мобильности 76-мм зенитной пушки обр. 1931</w:t>
      </w:r>
      <w:r w:rsidR="008127F8">
        <w:rPr>
          <w:color w:val="000000" w:themeColor="text1"/>
          <w:sz w:val="16"/>
          <w:szCs w:val="16"/>
        </w:rPr>
        <w:t xml:space="preserve">  </w:t>
      </w:r>
      <w:r w:rsidRPr="008127F8">
        <w:rPr>
          <w:color w:val="000000" w:themeColor="text1"/>
          <w:sz w:val="16"/>
          <w:szCs w:val="16"/>
        </w:rPr>
        <w:t>г. и недостаточного количества 76-мм бронебойных боеприпасов считаем целесообразным заменить их в составе Артиллерийских противотанковых бригад 85-мм зенитными орудиями обр. 1939</w:t>
      </w:r>
      <w:r w:rsidR="008127F8">
        <w:rPr>
          <w:color w:val="000000" w:themeColor="text1"/>
          <w:sz w:val="16"/>
          <w:szCs w:val="16"/>
        </w:rPr>
        <w:t xml:space="preserve">  </w:t>
      </w:r>
      <w:r w:rsidRPr="008127F8">
        <w:rPr>
          <w:color w:val="000000" w:themeColor="text1"/>
          <w:sz w:val="16"/>
          <w:szCs w:val="16"/>
        </w:rPr>
        <w:t>г. на четырехколесном лафете, обладающими лучшей подвижностью и отработанным в производстве бронебойным выстрелом…</w:t>
      </w:r>
    </w:p>
    <w:p w14:paraId="4F1B98B7"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Обязать Наркомат Боеприпасов обеспечить программу оснащения Артиллерийских противотанковых бригад РГК необходимым количеством бронебойных боеприпасов…</w:t>
      </w:r>
    </w:p>
    <w:p w14:paraId="70BE873C" w14:textId="77777777" w:rsidR="00A867FD" w:rsidRPr="008127F8" w:rsidRDefault="00A867FD" w:rsidP="001E0A84">
      <w:pPr>
        <w:pStyle w:val="af"/>
        <w:spacing w:before="0" w:after="0"/>
        <w:jc w:val="both"/>
        <w:rPr>
          <w:color w:val="000000" w:themeColor="text1"/>
          <w:sz w:val="16"/>
          <w:szCs w:val="16"/>
        </w:rPr>
      </w:pPr>
      <w:r w:rsidRPr="008127F8">
        <w:rPr>
          <w:color w:val="000000" w:themeColor="text1"/>
          <w:sz w:val="16"/>
          <w:szCs w:val="16"/>
        </w:rPr>
        <w:t>Подписали:</w:t>
      </w:r>
    </w:p>
    <w:p w14:paraId="5856F212"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(Кулик, Ванников, Воронов, Грендаль» </w:t>
      </w:r>
      <w:hyperlink r:id="rId37" w:anchor="n_89" w:history="1">
        <w:r w:rsidRPr="008127F8">
          <w:rPr>
            <w:rStyle w:val="a6"/>
            <w:rFonts w:ascii="Times New Roman" w:hAnsi="Times New Roman"/>
            <w:color w:val="000000" w:themeColor="text1"/>
            <w:sz w:val="16"/>
            <w:szCs w:val="16"/>
          </w:rPr>
          <w:t>[89]</w:t>
        </w:r>
      </w:hyperlink>
      <w:r w:rsidRPr="008127F8">
        <w:rPr>
          <w:rFonts w:ascii="Times New Roman" w:hAnsi="Times New Roman"/>
          <w:color w:val="000000" w:themeColor="text1"/>
          <w:sz w:val="16"/>
          <w:szCs w:val="16"/>
        </w:rPr>
        <w:t>.) (12624).</w:t>
      </w:r>
    </w:p>
    <w:p w14:paraId="1A917E53"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5AA7EB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была переброшена еще одна польская группа (Гольдшлях, Грушинский, Стец, Красицкий, Хейман, Ковальский, Дронжкевич, радистка Форнальская) (8983).</w:t>
      </w:r>
    </w:p>
    <w:p w14:paraId="76F6F4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C88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в формирования и команды МПВО города Ленинграда начался призыв женщин. За короткий срок их было призвано 16,5 тыс. человек в возрасте от 18 до 35 лет (9453).</w:t>
      </w:r>
    </w:p>
    <w:p w14:paraId="2AF028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13C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Мехлисом был пущен в ход лозунг: "У нас нет пленных, есть только предатели" (4538).</w:t>
      </w:r>
    </w:p>
    <w:p w14:paraId="13C2AB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3768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D2634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C9C1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1942 г. флот Мурманского пароходства состоял из 30 судов, из них 17 участвовали в загранрейсах. Это пароходы "Старый большевик", "Севзаплес", "Клара Цеткин", "Циолковский", "Двинолес", "Кузнец Лесов", "Чернышевский", "Щорс", "Алма-Ата", "Ижора", "Ильмень", "Правда", "Пинега", "Щелонь", "Куйбышев", "Узбекистан", "Моссовет". В течение 1942 г. погибли 7 судов пароходства, людские потери на затонувших пароходах составили 124 человека погибшими и пропавшими без вести и 14 человек ранеными (11910).</w:t>
      </w:r>
    </w:p>
    <w:p w14:paraId="701589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B37F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1AE28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F13B7E"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Начало 1942 года состоялся первый полет Фокке-Вульф Fw 191 (20793).</w:t>
      </w:r>
    </w:p>
    <w:p w14:paraId="17843C39" w14:textId="77777777" w:rsidR="00F63FC2" w:rsidRPr="008127F8" w:rsidRDefault="00F63FC2" w:rsidP="001E0A84">
      <w:pPr>
        <w:spacing w:after="0" w:line="240" w:lineRule="auto"/>
        <w:jc w:val="both"/>
        <w:rPr>
          <w:rFonts w:ascii="Times New Roman" w:hAnsi="Times New Roman"/>
          <w:color w:val="000000" w:themeColor="text1"/>
          <w:sz w:val="16"/>
          <w:szCs w:val="16"/>
        </w:rPr>
      </w:pPr>
    </w:p>
    <w:p w14:paraId="7025F7A9"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фирма «Фокке Вульф» вывела FW191V1 на летные испытания. Это была по тем временам вполне современная машина с гермокабиной, дистанционно-управляемыми стрелковыми башнями и многочисленной автоматикой на борту, а силовую установку должны были составить два 24-цилиндровых мотора Jumo222 с мощностью по 2500 л.с. на взлете. Но они пока не были готовы, и на самолет поставили серийные 14-цилиндровые двигатели BMW801МА (взлетная мощность 1600 л.с. и 1380 л.с. на высоте 4600 м). Самолет FW191V1 оказался машиной «норовистой», в электросистеме было множество отказов, а выпуск закрылков сопровождался нарастаю - щей вибрацией, передававшейся крылу. На втором прототипе изжить эти проблемы не удалось, и после нескольких полетов FW191V2 «поставили на прикол». Чуть лучше получился третий самолет, который стал эталоном для серии, но сдвоенные моторы DB606А-1/В-1 все испортили. Как и на Не177, на FW191V3 и последующих двух прототипах эти моторы работали плохо. Но и с ними расчетных характеристик скорости и высоты полета достичь не удалось — их граница высотности была всего 3700 м, там два DB606 развивали боевую мощность по 2200 л.с. Только на шестом прототипе появились штатные двигатели Jumo222. Весной 1943 года шеф-пилот фирмы «Фокке Вульф» Ганс Зандер провел заводские испытания самолета FW191V6 и сдал бомбардировщик на государственные испытания. Однако это было уже в конце 1943 года, Технический комитет министерства авиации аннулировал заказ на серию бомбардировщиков FW191B-1 и не согласился с предложением главного конструктора фирмы «Фокке Вульф» Курта Танка заменить два ненадеж - ных мотора DB606 четырьмя менее мощными, зато хорошо себя зарекомендовавшими Jumo, DB601E, DB605 на самолете FW191C. Проект закрыли, зато вспомнили о «резервном» Do317 (22850).</w:t>
      </w:r>
    </w:p>
    <w:p w14:paraId="7B9AFF3C"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p>
    <w:p w14:paraId="0879003E"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«Дорнье» начала разработ</w:t>
      </w:r>
      <w:r w:rsidRPr="008A2E5A">
        <w:rPr>
          <w:rFonts w:ascii="Times New Roman" w:hAnsi="Times New Roman"/>
          <w:color w:val="0070C0"/>
          <w:sz w:val="16"/>
          <w:szCs w:val="16"/>
        </w:rPr>
        <w:softHyphen/>
        <w:t>ку очередного варианта тяжелого пикирую</w:t>
      </w:r>
      <w:r w:rsidRPr="008A2E5A">
        <w:rPr>
          <w:rFonts w:ascii="Times New Roman" w:hAnsi="Times New Roman"/>
          <w:color w:val="0070C0"/>
          <w:sz w:val="16"/>
          <w:szCs w:val="16"/>
        </w:rPr>
        <w:softHyphen/>
        <w:t>щего бомбардировщика, обозначенного Do 2I7R-I. При этом отказались от хвостового тормозного устройства, применив воздуш</w:t>
      </w:r>
      <w:r w:rsidRPr="008A2E5A">
        <w:rPr>
          <w:rFonts w:ascii="Times New Roman" w:hAnsi="Times New Roman"/>
          <w:color w:val="0070C0"/>
          <w:sz w:val="16"/>
          <w:szCs w:val="16"/>
        </w:rPr>
        <w:softHyphen/>
        <w:t>ные тормоза в виде отклоняемых щитков на верхней и нижней поверхности крыла. Богато остекленная кабина соответствова</w:t>
      </w:r>
      <w:r w:rsidRPr="008A2E5A">
        <w:rPr>
          <w:rFonts w:ascii="Times New Roman" w:hAnsi="Times New Roman"/>
          <w:color w:val="0070C0"/>
          <w:sz w:val="16"/>
          <w:szCs w:val="16"/>
        </w:rPr>
        <w:softHyphen/>
        <w:t>ла варианту Do 217К. Крыло площадью 62 кв. м было новым. В состав стрелкового во</w:t>
      </w:r>
      <w:r w:rsidRPr="008A2E5A">
        <w:rPr>
          <w:rFonts w:ascii="Times New Roman" w:hAnsi="Times New Roman"/>
          <w:color w:val="0070C0"/>
          <w:sz w:val="16"/>
          <w:szCs w:val="16"/>
        </w:rPr>
        <w:softHyphen/>
        <w:t>оружения предполагалось включить 20-мм пушку MG 151/20 в носовой установке и два 13,2-мм пулемета MG 131 в верхней башне и нижней установке. Предполагалось также установить четыре MG 811 в боковых окнах, но в конечном итоге от этих установок от</w:t>
      </w:r>
      <w:r w:rsidRPr="008A2E5A">
        <w:rPr>
          <w:rFonts w:ascii="Times New Roman" w:hAnsi="Times New Roman"/>
          <w:color w:val="0070C0"/>
          <w:sz w:val="16"/>
          <w:szCs w:val="16"/>
        </w:rPr>
        <w:softHyphen/>
        <w:t>казались в целях экономии веса.</w:t>
      </w:r>
    </w:p>
    <w:p w14:paraId="250AF011"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 Do 217R-1 должна была состоять из пары DB 603А-1, но пер</w:t>
      </w:r>
      <w:r w:rsidRPr="008A2E5A">
        <w:rPr>
          <w:rFonts w:ascii="Times New Roman" w:hAnsi="Times New Roman"/>
          <w:color w:val="0070C0"/>
          <w:sz w:val="16"/>
          <w:szCs w:val="16"/>
        </w:rPr>
        <w:softHyphen/>
        <w:t>вый прототип Do217RVl (W.Nr. 0029), впер</w:t>
      </w:r>
      <w:r w:rsidRPr="008A2E5A">
        <w:rPr>
          <w:rFonts w:ascii="Times New Roman" w:hAnsi="Times New Roman"/>
          <w:color w:val="0070C0"/>
          <w:sz w:val="16"/>
          <w:szCs w:val="16"/>
        </w:rPr>
        <w:softHyphen/>
        <w:t>вые поднявшийся в воздух 6 августа 1942 г., получил моторы BMW 801 ML (1580 л.с.). В ходе испытаний эта машина поднималась в воздух с максимальной нагрузкой из двух 1800-кг бомб, подвешенных на подкрылье</w:t>
      </w:r>
      <w:r w:rsidRPr="008A2E5A">
        <w:rPr>
          <w:rFonts w:ascii="Times New Roman" w:hAnsi="Times New Roman"/>
          <w:color w:val="0070C0"/>
          <w:sz w:val="16"/>
          <w:szCs w:val="16"/>
        </w:rPr>
        <w:softHyphen/>
        <w:t>вых узлах между мотогондолами и фюзеля</w:t>
      </w:r>
      <w:r w:rsidRPr="008A2E5A">
        <w:rPr>
          <w:rFonts w:ascii="Times New Roman" w:hAnsi="Times New Roman"/>
          <w:color w:val="0070C0"/>
          <w:sz w:val="16"/>
          <w:szCs w:val="16"/>
        </w:rPr>
        <w:softHyphen/>
        <w:t>жем. В такой конфигурации взлетная мас</w:t>
      </w:r>
      <w:r w:rsidRPr="008A2E5A">
        <w:rPr>
          <w:rFonts w:ascii="Times New Roman" w:hAnsi="Times New Roman"/>
          <w:color w:val="0070C0"/>
          <w:sz w:val="16"/>
          <w:szCs w:val="16"/>
        </w:rPr>
        <w:softHyphen/>
        <w:t>са достигала 16,5 т, и самолет мог развить скорость всего 395 км/ч, потолок состав</w:t>
      </w:r>
      <w:r w:rsidRPr="008A2E5A">
        <w:rPr>
          <w:rFonts w:ascii="Times New Roman" w:hAnsi="Times New Roman"/>
          <w:color w:val="0070C0"/>
          <w:sz w:val="16"/>
          <w:szCs w:val="16"/>
        </w:rPr>
        <w:softHyphen/>
        <w:t>лял 5600 м, а набор высоты 5000 м занимал 38 минут! Сочтя летные характеристики ма</w:t>
      </w:r>
      <w:r w:rsidRPr="008A2E5A">
        <w:rPr>
          <w:rFonts w:ascii="Times New Roman" w:hAnsi="Times New Roman"/>
          <w:color w:val="0070C0"/>
          <w:sz w:val="16"/>
          <w:szCs w:val="16"/>
        </w:rPr>
        <w:softHyphen/>
        <w:t>шины недостаточными, рейхсминистерс</w:t>
      </w:r>
      <w:r w:rsidRPr="008A2E5A">
        <w:rPr>
          <w:rFonts w:ascii="Times New Roman" w:hAnsi="Times New Roman"/>
          <w:color w:val="0070C0"/>
          <w:sz w:val="16"/>
          <w:szCs w:val="16"/>
        </w:rPr>
        <w:softHyphen/>
        <w:t>тво авиации в январе 1944 г. распорядилось утилизировать Do 217RV1, по возможности использовав его узлы в других самолетах.</w:t>
      </w:r>
    </w:p>
    <w:p w14:paraId="2FA86FBA"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прототип Do 217RV2 (W.Nr. 0030) первоначально имел моторы DB 603А-1, но в начале 1943 г. их заменили на BMW 801А- 2. Также и эта машина была списана в марте 1944 г. Существовали еще два прототипа Do 217R - V3 (W.Nr. 0032) и V4 (W.Nr. 0033), но об их испытаниях ничего не известно.</w:t>
      </w:r>
    </w:p>
    <w:p w14:paraId="6BD30B35"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Do 217R-1 так и не попал в серию. Анало</w:t>
      </w:r>
      <w:r w:rsidRPr="008A2E5A">
        <w:rPr>
          <w:rFonts w:ascii="Times New Roman" w:hAnsi="Times New Roman"/>
          <w:color w:val="0070C0"/>
          <w:sz w:val="16"/>
          <w:szCs w:val="16"/>
        </w:rPr>
        <w:softHyphen/>
        <w:t>гичной была и судьба разрабатывавшегося варианта Do 217R-2. На нем в верхней баш</w:t>
      </w:r>
      <w:r w:rsidRPr="008A2E5A">
        <w:rPr>
          <w:rFonts w:ascii="Times New Roman" w:hAnsi="Times New Roman"/>
          <w:color w:val="0070C0"/>
          <w:sz w:val="16"/>
          <w:szCs w:val="16"/>
        </w:rPr>
        <w:softHyphen/>
        <w:t>не предполагалось установить пулемет MG 151/15, а вместо нижней линзовой установ</w:t>
      </w:r>
      <w:r w:rsidRPr="008A2E5A">
        <w:rPr>
          <w:rFonts w:ascii="Times New Roman" w:hAnsi="Times New Roman"/>
          <w:color w:val="0070C0"/>
          <w:sz w:val="16"/>
          <w:szCs w:val="16"/>
        </w:rPr>
        <w:softHyphen/>
        <w:t>ки применить башню с MG 131, аналогич</w:t>
      </w:r>
      <w:r w:rsidRPr="008A2E5A">
        <w:rPr>
          <w:rFonts w:ascii="Times New Roman" w:hAnsi="Times New Roman"/>
          <w:color w:val="0070C0"/>
          <w:sz w:val="16"/>
          <w:szCs w:val="16"/>
        </w:rPr>
        <w:softHyphen/>
        <w:t>ную стоявшей на Ju 188. От «Юнкерса», только Ju 88А-4, взяли и воздушные тормо</w:t>
      </w:r>
      <w:r w:rsidRPr="008A2E5A">
        <w:rPr>
          <w:rFonts w:ascii="Times New Roman" w:hAnsi="Times New Roman"/>
          <w:color w:val="0070C0"/>
          <w:sz w:val="16"/>
          <w:szCs w:val="16"/>
        </w:rPr>
        <w:softHyphen/>
        <w:t>за. Самолет задумывался как машина двой</w:t>
      </w:r>
      <w:r w:rsidRPr="008A2E5A">
        <w:rPr>
          <w:rFonts w:ascii="Times New Roman" w:hAnsi="Times New Roman"/>
          <w:color w:val="0070C0"/>
          <w:sz w:val="16"/>
          <w:szCs w:val="16"/>
        </w:rPr>
        <w:softHyphen/>
        <w:t>ного назначения — пикирующий бомбар</w:t>
      </w:r>
      <w:r w:rsidRPr="008A2E5A">
        <w:rPr>
          <w:rFonts w:ascii="Times New Roman" w:hAnsi="Times New Roman"/>
          <w:color w:val="0070C0"/>
          <w:sz w:val="16"/>
          <w:szCs w:val="16"/>
        </w:rPr>
        <w:softHyphen/>
        <w:t>дировщик и торпедоносец. Но на рубеже 1942/1943 гг. программа создания Do 217R- 2 была закрыта по распоряжению Э. Миль- ха как требовавшая слишком много време</w:t>
      </w:r>
      <w:r w:rsidRPr="008A2E5A">
        <w:rPr>
          <w:rFonts w:ascii="Times New Roman" w:hAnsi="Times New Roman"/>
          <w:color w:val="0070C0"/>
          <w:sz w:val="16"/>
          <w:szCs w:val="16"/>
        </w:rPr>
        <w:softHyphen/>
        <w:t>ни для практической реализации (24192).</w:t>
      </w:r>
    </w:p>
    <w:p w14:paraId="1A61EBE3" w14:textId="77777777" w:rsidR="007753AE" w:rsidRPr="008A2E5A" w:rsidRDefault="007753AE" w:rsidP="007753AE">
      <w:pPr>
        <w:spacing w:after="0" w:line="240" w:lineRule="auto"/>
        <w:jc w:val="both"/>
        <w:rPr>
          <w:rFonts w:ascii="Times New Roman" w:hAnsi="Times New Roman"/>
          <w:color w:val="0070C0"/>
          <w:sz w:val="16"/>
          <w:szCs w:val="16"/>
        </w:rPr>
      </w:pPr>
    </w:p>
    <w:p w14:paraId="39A33237"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начале 1942 г. прототип SAL207 ММ442 фирмы «САИ Амброзини» с мо</w:t>
      </w:r>
      <w:r w:rsidRPr="008A2E5A">
        <w:rPr>
          <w:rFonts w:ascii="Times New Roman" w:hAnsi="Times New Roman"/>
          <w:color w:val="0070C0"/>
          <w:sz w:val="16"/>
          <w:szCs w:val="16"/>
        </w:rPr>
        <w:softHyphen/>
        <w:t>тором «Дельта» RC 35 (700 л.с.) «Изотта Фраскини» впервые поднялся в воздух. Вскоре к нему присоединилась и вто</w:t>
      </w:r>
      <w:r w:rsidRPr="008A2E5A">
        <w:rPr>
          <w:rFonts w:ascii="Times New Roman" w:hAnsi="Times New Roman"/>
          <w:color w:val="0070C0"/>
          <w:sz w:val="16"/>
          <w:szCs w:val="16"/>
        </w:rPr>
        <w:softHyphen/>
        <w:t>рая машина (ММ443), получившая ещё более мощный двигатель «Дельта» RC 40 (750 л.с.). На испытаниях SAL207 показал просто впечатляющие показатели - его максимальная скорость доходила до 630-640 км/ч, а потолок достигал 12000 м. По заявлению пило</w:t>
      </w:r>
      <w:r w:rsidRPr="008A2E5A">
        <w:rPr>
          <w:rFonts w:ascii="Times New Roman" w:hAnsi="Times New Roman"/>
          <w:color w:val="0070C0"/>
          <w:sz w:val="16"/>
          <w:szCs w:val="16"/>
        </w:rPr>
        <w:softHyphen/>
        <w:t>та, на пикировании скорость могла достигать почти 960 км/ч, хотя более реальным будет официально за</w:t>
      </w:r>
      <w:r w:rsidRPr="008A2E5A">
        <w:rPr>
          <w:rFonts w:ascii="Times New Roman" w:hAnsi="Times New Roman"/>
          <w:color w:val="0070C0"/>
          <w:sz w:val="16"/>
          <w:szCs w:val="16"/>
        </w:rPr>
        <w:softHyphen/>
        <w:t>фиксированный показатель 750 км/ч. Столь внуши</w:t>
      </w:r>
      <w:r w:rsidRPr="008A2E5A">
        <w:rPr>
          <w:rFonts w:ascii="Times New Roman" w:hAnsi="Times New Roman"/>
          <w:color w:val="0070C0"/>
          <w:sz w:val="16"/>
          <w:szCs w:val="16"/>
        </w:rPr>
        <w:softHyphen/>
        <w:t>тельные ТТХ произвели огромное впечетление на ко</w:t>
      </w:r>
      <w:r w:rsidRPr="008A2E5A">
        <w:rPr>
          <w:rFonts w:ascii="Times New Roman" w:hAnsi="Times New Roman"/>
          <w:color w:val="0070C0"/>
          <w:sz w:val="16"/>
          <w:szCs w:val="16"/>
        </w:rPr>
        <w:softHyphen/>
        <w:t>мандование «Реджиа Аэронаутика». Скоростной SAI.207 отлично подходил на роль скоростного пере</w:t>
      </w:r>
      <w:r w:rsidRPr="008A2E5A">
        <w:rPr>
          <w:rFonts w:ascii="Times New Roman" w:hAnsi="Times New Roman"/>
          <w:color w:val="0070C0"/>
          <w:sz w:val="16"/>
          <w:szCs w:val="16"/>
        </w:rPr>
        <w:softHyphen/>
        <w:t>хватчика, особенно если учитывать факт возрастаю</w:t>
      </w:r>
      <w:r w:rsidRPr="008A2E5A">
        <w:rPr>
          <w:rFonts w:ascii="Times New Roman" w:hAnsi="Times New Roman"/>
          <w:color w:val="0070C0"/>
          <w:sz w:val="16"/>
          <w:szCs w:val="16"/>
        </w:rPr>
        <w:softHyphen/>
        <w:t>щей мощи союзной авиации. Жизнь первого прототи</w:t>
      </w:r>
      <w:r w:rsidRPr="008A2E5A">
        <w:rPr>
          <w:rFonts w:ascii="Times New Roman" w:hAnsi="Times New Roman"/>
          <w:color w:val="0070C0"/>
          <w:sz w:val="16"/>
          <w:szCs w:val="16"/>
        </w:rPr>
        <w:softHyphen/>
        <w:t>па и его лётчика трагически оборвалась 5 декабря 1943 г. - самолёт был разбит в аварии и похоронил под обломками Марио Фаччиоли (Mario Faccioli).</w:t>
      </w:r>
    </w:p>
    <w:p w14:paraId="44CA3E26"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«Реджиа Аэронаутика» заказала предсерийную пар</w:t>
      </w:r>
      <w:r w:rsidRPr="008A2E5A">
        <w:rPr>
          <w:rFonts w:ascii="Times New Roman" w:hAnsi="Times New Roman"/>
          <w:color w:val="0070C0"/>
          <w:sz w:val="16"/>
          <w:szCs w:val="16"/>
        </w:rPr>
        <w:softHyphen/>
        <w:t>тию из 12 самолетов SAL207, а также сделала огром</w:t>
      </w:r>
      <w:r w:rsidRPr="008A2E5A">
        <w:rPr>
          <w:rFonts w:ascii="Times New Roman" w:hAnsi="Times New Roman"/>
          <w:color w:val="0070C0"/>
          <w:sz w:val="16"/>
          <w:szCs w:val="16"/>
        </w:rPr>
        <w:softHyphen/>
        <w:t>ный серийный заказ на 2000 истребителей. Но от мас</w:t>
      </w:r>
      <w:r w:rsidRPr="008A2E5A">
        <w:rPr>
          <w:rFonts w:ascii="Times New Roman" w:hAnsi="Times New Roman"/>
          <w:color w:val="0070C0"/>
          <w:sz w:val="16"/>
          <w:szCs w:val="16"/>
        </w:rPr>
        <w:softHyphen/>
        <w:t>сового производства SAL207 отказались в пользу бо</w:t>
      </w:r>
      <w:r w:rsidRPr="008A2E5A">
        <w:rPr>
          <w:rFonts w:ascii="Times New Roman" w:hAnsi="Times New Roman"/>
          <w:color w:val="0070C0"/>
          <w:sz w:val="16"/>
          <w:szCs w:val="16"/>
        </w:rPr>
        <w:softHyphen/>
        <w:t>лее совершенного SAL403. Предсерийные же самолеты (ММ8425-8436) были построены в течение марта-июня 1943 г. и даже успели попасть в некото</w:t>
      </w:r>
      <w:r w:rsidRPr="008A2E5A">
        <w:rPr>
          <w:rFonts w:ascii="Times New Roman" w:hAnsi="Times New Roman"/>
          <w:color w:val="0070C0"/>
          <w:sz w:val="16"/>
          <w:szCs w:val="16"/>
        </w:rPr>
        <w:softHyphen/>
        <w:t>рые строевые части.</w:t>
      </w:r>
    </w:p>
    <w:p w14:paraId="1DBF0D4D"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SAI.403 был представлен в начале 1942 г. Отличиями от SAL207 был несколько видоизмененный фюзеляж и хвостовое оперение, крыло большей пло</w:t>
      </w:r>
      <w:r w:rsidRPr="008A2E5A">
        <w:rPr>
          <w:rFonts w:ascii="Times New Roman" w:hAnsi="Times New Roman"/>
          <w:color w:val="0070C0"/>
          <w:sz w:val="16"/>
          <w:szCs w:val="16"/>
        </w:rPr>
        <w:softHyphen/>
        <w:t>щади, а также новый двигатель «Изотта Фраскини» «Дельта» RC 21/60 мощностью 750 л.с. с 3-лопастным винтом фирмы «Пьяджо». Конструкция самолёта была максимально адаптирована для серийного выпуска. Что касается ТТХ, то «САИ Амброзини» обещала ещё больший прирост в скорости при сохранении прежних маневренных качеств, что подтвердилось впоследст</w:t>
      </w:r>
      <w:r w:rsidRPr="008A2E5A">
        <w:rPr>
          <w:rFonts w:ascii="Times New Roman" w:hAnsi="Times New Roman"/>
          <w:color w:val="0070C0"/>
          <w:sz w:val="16"/>
          <w:szCs w:val="16"/>
        </w:rPr>
        <w:softHyphen/>
        <w:t>вии испытаниями прототипа. В январе 1943 г. было одобрено серийное производства 3000 SAL403. Зака</w:t>
      </w:r>
      <w:r w:rsidRPr="008A2E5A">
        <w:rPr>
          <w:rFonts w:ascii="Times New Roman" w:hAnsi="Times New Roman"/>
          <w:color w:val="0070C0"/>
          <w:sz w:val="16"/>
          <w:szCs w:val="16"/>
        </w:rPr>
        <w:softHyphen/>
        <w:t>зы распределились следующим образом: «САИ Амб</w:t>
      </w:r>
      <w:r w:rsidRPr="008A2E5A">
        <w:rPr>
          <w:rFonts w:ascii="Times New Roman" w:hAnsi="Times New Roman"/>
          <w:color w:val="0070C0"/>
          <w:sz w:val="16"/>
          <w:szCs w:val="16"/>
        </w:rPr>
        <w:softHyphen/>
        <w:t>розини» - 800, «Капрони» - 1000, СИАИ - 1200 само</w:t>
      </w:r>
      <w:r w:rsidRPr="008A2E5A">
        <w:rPr>
          <w:rFonts w:ascii="Times New Roman" w:hAnsi="Times New Roman"/>
          <w:color w:val="0070C0"/>
          <w:sz w:val="16"/>
          <w:szCs w:val="16"/>
        </w:rPr>
        <w:softHyphen/>
        <w:t>летов. Помимо номера, самолет получил и название «Дардо» (Dardo - «Стрела»).</w:t>
      </w:r>
    </w:p>
    <w:p w14:paraId="456E001D"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Конструкторы предложили несколько вариантов ис</w:t>
      </w:r>
      <w:r w:rsidRPr="008A2E5A">
        <w:rPr>
          <w:rFonts w:ascii="Times New Roman" w:hAnsi="Times New Roman"/>
          <w:color w:val="0070C0"/>
          <w:sz w:val="16"/>
          <w:szCs w:val="16"/>
        </w:rPr>
        <w:softHyphen/>
        <w:t>требителя. SAL403A представлял собой легкий пере</w:t>
      </w:r>
      <w:r w:rsidRPr="008A2E5A">
        <w:rPr>
          <w:rFonts w:ascii="Times New Roman" w:hAnsi="Times New Roman"/>
          <w:color w:val="0070C0"/>
          <w:sz w:val="16"/>
          <w:szCs w:val="16"/>
        </w:rPr>
        <w:softHyphen/>
        <w:t>хватчик с парой синхронных 12,7-мм пулеметов (бое</w:t>
      </w:r>
      <w:r w:rsidRPr="008A2E5A">
        <w:rPr>
          <w:rFonts w:ascii="Times New Roman" w:hAnsi="Times New Roman"/>
          <w:color w:val="0070C0"/>
          <w:sz w:val="16"/>
          <w:szCs w:val="16"/>
        </w:rPr>
        <w:softHyphen/>
        <w:t>комплект - 200 патронов на ствол) и взлетной массой 2478 кг. SAI.403B был фронтовым истребителем с во</w:t>
      </w:r>
      <w:r w:rsidRPr="008A2E5A">
        <w:rPr>
          <w:rFonts w:ascii="Times New Roman" w:hAnsi="Times New Roman"/>
          <w:color w:val="0070C0"/>
          <w:sz w:val="16"/>
          <w:szCs w:val="16"/>
        </w:rPr>
        <w:softHyphen/>
        <w:t>оружением, усиленным за счет двух крыльевых 15-мм пулеметов MG 151/15 или 20-мм пушек MG 151/20 (боекомплект 200 патронов на ствол). При этом взлет</w:t>
      </w:r>
      <w:r w:rsidRPr="008A2E5A">
        <w:rPr>
          <w:rFonts w:ascii="Times New Roman" w:hAnsi="Times New Roman"/>
          <w:color w:val="0070C0"/>
          <w:sz w:val="16"/>
          <w:szCs w:val="16"/>
        </w:rPr>
        <w:softHyphen/>
        <w:t>ная масса возрастала до 2643 кг. Наконец, SAI.403C задумывался как дальний истребитель с двумя 20-мм пушками (или 15-мм пулеметами) в крыле и парой подвесных 130-л топливных баков. Дальность полета, согласно рас</w:t>
      </w:r>
      <w:r w:rsidRPr="008A2E5A">
        <w:rPr>
          <w:rFonts w:ascii="Times New Roman" w:hAnsi="Times New Roman"/>
          <w:color w:val="0070C0"/>
          <w:sz w:val="16"/>
          <w:szCs w:val="16"/>
        </w:rPr>
        <w:softHyphen/>
        <w:t>четам, могла достигать 2230 км.</w:t>
      </w:r>
    </w:p>
    <w:p w14:paraId="28073AC5"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Прототип SAI.403 (ММ518), по</w:t>
      </w:r>
      <w:r w:rsidRPr="008A2E5A">
        <w:rPr>
          <w:rFonts w:ascii="Times New Roman" w:hAnsi="Times New Roman"/>
          <w:color w:val="0070C0"/>
          <w:sz w:val="16"/>
          <w:szCs w:val="16"/>
        </w:rPr>
        <w:softHyphen/>
        <w:t>строенный в варианте фронтового истребителя, облетали в январе 1943 г. Первые полеты показали, что новые крылья оказались недо</w:t>
      </w:r>
      <w:r w:rsidRPr="008A2E5A">
        <w:rPr>
          <w:rFonts w:ascii="Times New Roman" w:hAnsi="Times New Roman"/>
          <w:color w:val="0070C0"/>
          <w:sz w:val="16"/>
          <w:szCs w:val="16"/>
        </w:rPr>
        <w:softHyphen/>
        <w:t>работанными - благодаря им са</w:t>
      </w:r>
      <w:r w:rsidRPr="008A2E5A">
        <w:rPr>
          <w:rFonts w:ascii="Times New Roman" w:hAnsi="Times New Roman"/>
          <w:color w:val="0070C0"/>
          <w:sz w:val="16"/>
          <w:szCs w:val="16"/>
        </w:rPr>
        <w:softHyphen/>
        <w:t>молет стал более маневренный, однако они же создавали на боль</w:t>
      </w:r>
      <w:r w:rsidRPr="008A2E5A">
        <w:rPr>
          <w:rFonts w:ascii="Times New Roman" w:hAnsi="Times New Roman"/>
          <w:color w:val="0070C0"/>
          <w:sz w:val="16"/>
          <w:szCs w:val="16"/>
        </w:rPr>
        <w:softHyphen/>
        <w:t>ших скоростях неприятную вибра</w:t>
      </w:r>
      <w:r w:rsidRPr="008A2E5A">
        <w:rPr>
          <w:rFonts w:ascii="Times New Roman" w:hAnsi="Times New Roman"/>
          <w:color w:val="0070C0"/>
          <w:sz w:val="16"/>
          <w:szCs w:val="16"/>
        </w:rPr>
        <w:softHyphen/>
        <w:t>цию, ставшую причиной катастро</w:t>
      </w:r>
      <w:r w:rsidRPr="008A2E5A">
        <w:rPr>
          <w:rFonts w:ascii="Times New Roman" w:hAnsi="Times New Roman"/>
          <w:color w:val="0070C0"/>
          <w:sz w:val="16"/>
          <w:szCs w:val="16"/>
        </w:rPr>
        <w:softHyphen/>
        <w:t>фы самолета. Несмотря на это, как и в случае с SAL207 лётчики- испытатели были практически единодушны во мнении - истре</w:t>
      </w:r>
      <w:r w:rsidRPr="008A2E5A">
        <w:rPr>
          <w:rFonts w:ascii="Times New Roman" w:hAnsi="Times New Roman"/>
          <w:color w:val="0070C0"/>
          <w:sz w:val="16"/>
          <w:szCs w:val="16"/>
        </w:rPr>
        <w:softHyphen/>
        <w:t>битель нужно срочно запускать в серийное производство. Особен</w:t>
      </w:r>
      <w:r w:rsidRPr="008A2E5A">
        <w:rPr>
          <w:rFonts w:ascii="Times New Roman" w:hAnsi="Times New Roman"/>
          <w:color w:val="0070C0"/>
          <w:sz w:val="16"/>
          <w:szCs w:val="16"/>
        </w:rPr>
        <w:softHyphen/>
        <w:t>но важным был тот, факт, что при выпуске SAL403 не требовалось использование стратегических материалов, поскольку конструк</w:t>
      </w:r>
      <w:r w:rsidRPr="008A2E5A">
        <w:rPr>
          <w:rFonts w:ascii="Times New Roman" w:hAnsi="Times New Roman"/>
          <w:color w:val="0070C0"/>
          <w:sz w:val="16"/>
          <w:szCs w:val="16"/>
        </w:rPr>
        <w:softHyphen/>
        <w:t>ция истребителя была большей частью деревянной и могла при этом выдерживать значительные перегрузки. Были достигнуты со</w:t>
      </w:r>
      <w:r w:rsidRPr="008A2E5A">
        <w:rPr>
          <w:rFonts w:ascii="Times New Roman" w:hAnsi="Times New Roman"/>
          <w:color w:val="0070C0"/>
          <w:sz w:val="16"/>
          <w:szCs w:val="16"/>
        </w:rPr>
        <w:softHyphen/>
        <w:t>глашения о выпуске самолета в Германии на фирме «Хейнкель» и в Японии на «Мицубиси», но капи</w:t>
      </w:r>
      <w:r w:rsidRPr="008A2E5A">
        <w:rPr>
          <w:rFonts w:ascii="Times New Roman" w:hAnsi="Times New Roman"/>
          <w:color w:val="0070C0"/>
          <w:sz w:val="16"/>
          <w:szCs w:val="16"/>
        </w:rPr>
        <w:softHyphen/>
        <w:t>туляция Италии поставила крест на этих планах. Прототип оказался в руках немцев, испытывался в Германии, но с 1944 г. его следы теря</w:t>
      </w:r>
      <w:r w:rsidRPr="008A2E5A">
        <w:rPr>
          <w:rFonts w:ascii="Times New Roman" w:hAnsi="Times New Roman"/>
          <w:color w:val="0070C0"/>
          <w:sz w:val="16"/>
          <w:szCs w:val="16"/>
        </w:rPr>
        <w:softHyphen/>
        <w:t>ются.</w:t>
      </w:r>
    </w:p>
    <w:p w14:paraId="38665010" w14:textId="77777777" w:rsidR="007753AE" w:rsidRPr="008A2E5A" w:rsidRDefault="007753AE" w:rsidP="007753AE">
      <w:pPr>
        <w:spacing w:after="0" w:line="240" w:lineRule="auto"/>
        <w:jc w:val="both"/>
        <w:rPr>
          <w:rFonts w:ascii="Times New Roman" w:hAnsi="Times New Roman"/>
          <w:color w:val="0070C0"/>
          <w:sz w:val="16"/>
          <w:szCs w:val="16"/>
        </w:rPr>
      </w:pPr>
      <w:bookmarkStart w:id="17" w:name="bookmark77"/>
      <w:r w:rsidRPr="008A2E5A">
        <w:rPr>
          <w:rFonts w:ascii="Times New Roman" w:hAnsi="Times New Roman"/>
          <w:color w:val="0070C0"/>
          <w:sz w:val="16"/>
          <w:szCs w:val="16"/>
        </w:rPr>
        <w:t>Летно-тактические характеристики самолетов SAI.107, SAL207, SAL403</w:t>
      </w:r>
      <w:bookmarkEnd w:id="17"/>
    </w:p>
    <w:tbl>
      <w:tblPr>
        <w:tblOverlap w:val="never"/>
        <w:tblW w:w="0" w:type="auto"/>
        <w:tblLayout w:type="fixed"/>
        <w:tblCellMar>
          <w:left w:w="10" w:type="dxa"/>
          <w:right w:w="10" w:type="dxa"/>
        </w:tblCellMar>
        <w:tblLook w:val="04A0" w:firstRow="1" w:lastRow="0" w:firstColumn="1" w:lastColumn="0" w:noHBand="0" w:noVBand="1"/>
      </w:tblPr>
      <w:tblGrid>
        <w:gridCol w:w="2693"/>
        <w:gridCol w:w="1219"/>
        <w:gridCol w:w="1157"/>
        <w:gridCol w:w="1392"/>
      </w:tblGrid>
      <w:tr w:rsidR="007753AE" w:rsidRPr="008A2E5A" w14:paraId="726904EB" w14:textId="77777777" w:rsidTr="004C5D62">
        <w:trPr>
          <w:trHeight w:val="240"/>
        </w:trPr>
        <w:tc>
          <w:tcPr>
            <w:tcW w:w="2693" w:type="dxa"/>
            <w:tcBorders>
              <w:top w:val="single" w:sz="4" w:space="0" w:color="auto"/>
              <w:left w:val="single" w:sz="4" w:space="0" w:color="auto"/>
            </w:tcBorders>
            <w:shd w:val="clear" w:color="auto" w:fill="auto"/>
          </w:tcPr>
          <w:p w14:paraId="481A4E01" w14:textId="77777777" w:rsidR="007753AE" w:rsidRPr="008A2E5A" w:rsidRDefault="007753AE" w:rsidP="004C5D62">
            <w:pPr>
              <w:spacing w:after="0" w:line="240" w:lineRule="auto"/>
              <w:jc w:val="both"/>
              <w:rPr>
                <w:rFonts w:ascii="Times New Roman" w:hAnsi="Times New Roman"/>
                <w:color w:val="0070C0"/>
                <w:sz w:val="16"/>
                <w:szCs w:val="16"/>
              </w:rPr>
            </w:pPr>
          </w:p>
        </w:tc>
        <w:tc>
          <w:tcPr>
            <w:tcW w:w="1219" w:type="dxa"/>
            <w:tcBorders>
              <w:top w:val="single" w:sz="4" w:space="0" w:color="auto"/>
            </w:tcBorders>
            <w:shd w:val="clear" w:color="auto" w:fill="auto"/>
            <w:vAlign w:val="bottom"/>
          </w:tcPr>
          <w:p w14:paraId="342F4E30"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SAI.107</w:t>
            </w:r>
          </w:p>
        </w:tc>
        <w:tc>
          <w:tcPr>
            <w:tcW w:w="1157" w:type="dxa"/>
            <w:tcBorders>
              <w:top w:val="single" w:sz="4" w:space="0" w:color="auto"/>
            </w:tcBorders>
            <w:shd w:val="clear" w:color="auto" w:fill="auto"/>
            <w:vAlign w:val="bottom"/>
          </w:tcPr>
          <w:p w14:paraId="15D74867"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SAI.207</w:t>
            </w:r>
          </w:p>
        </w:tc>
        <w:tc>
          <w:tcPr>
            <w:tcW w:w="1392" w:type="dxa"/>
            <w:tcBorders>
              <w:top w:val="single" w:sz="4" w:space="0" w:color="auto"/>
              <w:right w:val="single" w:sz="4" w:space="0" w:color="auto"/>
            </w:tcBorders>
            <w:shd w:val="clear" w:color="auto" w:fill="auto"/>
            <w:vAlign w:val="bottom"/>
          </w:tcPr>
          <w:p w14:paraId="7F015D66"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SAI.403B</w:t>
            </w:r>
          </w:p>
        </w:tc>
      </w:tr>
      <w:tr w:rsidR="007753AE" w:rsidRPr="008A2E5A" w14:paraId="4FB8F668" w14:textId="77777777" w:rsidTr="004C5D62">
        <w:trPr>
          <w:trHeight w:val="230"/>
        </w:trPr>
        <w:tc>
          <w:tcPr>
            <w:tcW w:w="2693" w:type="dxa"/>
            <w:tcBorders>
              <w:top w:val="single" w:sz="4" w:space="0" w:color="auto"/>
              <w:left w:val="single" w:sz="4" w:space="0" w:color="auto"/>
            </w:tcBorders>
            <w:shd w:val="clear" w:color="auto" w:fill="auto"/>
            <w:vAlign w:val="bottom"/>
          </w:tcPr>
          <w:p w14:paraId="41EE96BE"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1219" w:type="dxa"/>
            <w:tcBorders>
              <w:top w:val="single" w:sz="4" w:space="0" w:color="auto"/>
            </w:tcBorders>
            <w:shd w:val="clear" w:color="auto" w:fill="auto"/>
            <w:vAlign w:val="bottom"/>
          </w:tcPr>
          <w:p w14:paraId="7919DC19"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w:t>
            </w:r>
          </w:p>
        </w:tc>
        <w:tc>
          <w:tcPr>
            <w:tcW w:w="1157" w:type="dxa"/>
            <w:tcBorders>
              <w:top w:val="single" w:sz="4" w:space="0" w:color="auto"/>
            </w:tcBorders>
            <w:shd w:val="clear" w:color="auto" w:fill="auto"/>
            <w:vAlign w:val="bottom"/>
          </w:tcPr>
          <w:p w14:paraId="701DAC8E"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w:t>
            </w:r>
          </w:p>
        </w:tc>
        <w:tc>
          <w:tcPr>
            <w:tcW w:w="1392" w:type="dxa"/>
            <w:tcBorders>
              <w:top w:val="single" w:sz="4" w:space="0" w:color="auto"/>
              <w:right w:val="single" w:sz="4" w:space="0" w:color="auto"/>
            </w:tcBorders>
            <w:shd w:val="clear" w:color="auto" w:fill="auto"/>
            <w:vAlign w:val="bottom"/>
          </w:tcPr>
          <w:p w14:paraId="3D71BEFE"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9,80</w:t>
            </w:r>
          </w:p>
        </w:tc>
      </w:tr>
      <w:tr w:rsidR="007753AE" w:rsidRPr="008A2E5A" w14:paraId="4E2B7FFE" w14:textId="77777777" w:rsidTr="004C5D62">
        <w:trPr>
          <w:trHeight w:val="173"/>
        </w:trPr>
        <w:tc>
          <w:tcPr>
            <w:tcW w:w="2693" w:type="dxa"/>
            <w:tcBorders>
              <w:left w:val="single" w:sz="4" w:space="0" w:color="auto"/>
            </w:tcBorders>
            <w:shd w:val="clear" w:color="auto" w:fill="auto"/>
            <w:vAlign w:val="bottom"/>
          </w:tcPr>
          <w:p w14:paraId="05D1CF59"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самолета, м</w:t>
            </w:r>
          </w:p>
        </w:tc>
        <w:tc>
          <w:tcPr>
            <w:tcW w:w="1219" w:type="dxa"/>
            <w:shd w:val="clear" w:color="auto" w:fill="auto"/>
            <w:vAlign w:val="bottom"/>
          </w:tcPr>
          <w:p w14:paraId="5D0C3B75"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w:t>
            </w:r>
          </w:p>
        </w:tc>
        <w:tc>
          <w:tcPr>
            <w:tcW w:w="1157" w:type="dxa"/>
            <w:shd w:val="clear" w:color="auto" w:fill="auto"/>
            <w:vAlign w:val="bottom"/>
          </w:tcPr>
          <w:p w14:paraId="3951E533"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8,02</w:t>
            </w:r>
          </w:p>
        </w:tc>
        <w:tc>
          <w:tcPr>
            <w:tcW w:w="1392" w:type="dxa"/>
            <w:tcBorders>
              <w:right w:val="single" w:sz="4" w:space="0" w:color="auto"/>
            </w:tcBorders>
            <w:shd w:val="clear" w:color="auto" w:fill="auto"/>
            <w:vAlign w:val="bottom"/>
          </w:tcPr>
          <w:p w14:paraId="15D2AC5F"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8,20</w:t>
            </w:r>
          </w:p>
        </w:tc>
      </w:tr>
      <w:tr w:rsidR="007753AE" w:rsidRPr="008A2E5A" w14:paraId="447A823F" w14:textId="77777777" w:rsidTr="004C5D62">
        <w:trPr>
          <w:trHeight w:val="178"/>
        </w:trPr>
        <w:tc>
          <w:tcPr>
            <w:tcW w:w="2693" w:type="dxa"/>
            <w:tcBorders>
              <w:left w:val="single" w:sz="4" w:space="0" w:color="auto"/>
            </w:tcBorders>
            <w:shd w:val="clear" w:color="auto" w:fill="auto"/>
            <w:vAlign w:val="bottom"/>
          </w:tcPr>
          <w:p w14:paraId="75DA180D"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самолета, м</w:t>
            </w:r>
          </w:p>
        </w:tc>
        <w:tc>
          <w:tcPr>
            <w:tcW w:w="1219" w:type="dxa"/>
            <w:shd w:val="clear" w:color="auto" w:fill="auto"/>
            <w:vAlign w:val="bottom"/>
          </w:tcPr>
          <w:p w14:paraId="4AD99053"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2,40</w:t>
            </w:r>
          </w:p>
        </w:tc>
        <w:tc>
          <w:tcPr>
            <w:tcW w:w="1157" w:type="dxa"/>
            <w:shd w:val="clear" w:color="auto" w:fill="auto"/>
            <w:vAlign w:val="bottom"/>
          </w:tcPr>
          <w:p w14:paraId="1782A5AF"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2,40</w:t>
            </w:r>
          </w:p>
        </w:tc>
        <w:tc>
          <w:tcPr>
            <w:tcW w:w="1392" w:type="dxa"/>
            <w:tcBorders>
              <w:right w:val="single" w:sz="4" w:space="0" w:color="auto"/>
            </w:tcBorders>
            <w:shd w:val="clear" w:color="auto" w:fill="auto"/>
            <w:vAlign w:val="bottom"/>
          </w:tcPr>
          <w:p w14:paraId="0A1AE2C6"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w:t>
            </w:r>
          </w:p>
        </w:tc>
      </w:tr>
      <w:tr w:rsidR="007753AE" w:rsidRPr="008A2E5A" w14:paraId="7FBF50FC" w14:textId="77777777" w:rsidTr="004C5D62">
        <w:trPr>
          <w:trHeight w:val="192"/>
        </w:trPr>
        <w:tc>
          <w:tcPr>
            <w:tcW w:w="2693" w:type="dxa"/>
            <w:tcBorders>
              <w:left w:val="single" w:sz="4" w:space="0" w:color="auto"/>
            </w:tcBorders>
            <w:shd w:val="clear" w:color="auto" w:fill="auto"/>
            <w:vAlign w:val="bottom"/>
          </w:tcPr>
          <w:p w14:paraId="2AE38D32"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кв. м</w:t>
            </w:r>
          </w:p>
        </w:tc>
        <w:tc>
          <w:tcPr>
            <w:tcW w:w="1219" w:type="dxa"/>
            <w:shd w:val="clear" w:color="auto" w:fill="auto"/>
            <w:vAlign w:val="bottom"/>
          </w:tcPr>
          <w:p w14:paraId="76AC76A0"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13,10</w:t>
            </w:r>
          </w:p>
        </w:tc>
        <w:tc>
          <w:tcPr>
            <w:tcW w:w="1157" w:type="dxa"/>
            <w:shd w:val="clear" w:color="auto" w:fill="auto"/>
            <w:vAlign w:val="bottom"/>
          </w:tcPr>
          <w:p w14:paraId="514FD28F"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13,90</w:t>
            </w:r>
          </w:p>
        </w:tc>
        <w:tc>
          <w:tcPr>
            <w:tcW w:w="1392" w:type="dxa"/>
            <w:tcBorders>
              <w:right w:val="single" w:sz="4" w:space="0" w:color="auto"/>
            </w:tcBorders>
            <w:shd w:val="clear" w:color="auto" w:fill="auto"/>
            <w:vAlign w:val="bottom"/>
          </w:tcPr>
          <w:p w14:paraId="7E4D8A4B"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14,42</w:t>
            </w:r>
          </w:p>
        </w:tc>
      </w:tr>
      <w:tr w:rsidR="007753AE" w:rsidRPr="008A2E5A" w14:paraId="3A3F5478" w14:textId="77777777" w:rsidTr="004C5D62">
        <w:trPr>
          <w:trHeight w:val="173"/>
        </w:trPr>
        <w:tc>
          <w:tcPr>
            <w:tcW w:w="2693" w:type="dxa"/>
            <w:tcBorders>
              <w:left w:val="single" w:sz="4" w:space="0" w:color="auto"/>
            </w:tcBorders>
            <w:shd w:val="clear" w:color="auto" w:fill="auto"/>
            <w:vAlign w:val="bottom"/>
          </w:tcPr>
          <w:p w14:paraId="6992C98F"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Масса, кг:</w:t>
            </w:r>
          </w:p>
        </w:tc>
        <w:tc>
          <w:tcPr>
            <w:tcW w:w="1219" w:type="dxa"/>
            <w:shd w:val="clear" w:color="auto" w:fill="auto"/>
          </w:tcPr>
          <w:p w14:paraId="3F4B5016" w14:textId="77777777" w:rsidR="007753AE" w:rsidRPr="008A2E5A" w:rsidRDefault="007753AE" w:rsidP="004C5D62">
            <w:pPr>
              <w:spacing w:after="0" w:line="240" w:lineRule="auto"/>
              <w:jc w:val="both"/>
              <w:rPr>
                <w:rFonts w:ascii="Times New Roman" w:hAnsi="Times New Roman"/>
                <w:color w:val="0070C0"/>
                <w:sz w:val="16"/>
                <w:szCs w:val="16"/>
              </w:rPr>
            </w:pPr>
          </w:p>
        </w:tc>
        <w:tc>
          <w:tcPr>
            <w:tcW w:w="1157" w:type="dxa"/>
            <w:shd w:val="clear" w:color="auto" w:fill="auto"/>
          </w:tcPr>
          <w:p w14:paraId="474C2D5D" w14:textId="77777777" w:rsidR="007753AE" w:rsidRPr="008A2E5A" w:rsidRDefault="007753AE" w:rsidP="004C5D62">
            <w:pPr>
              <w:spacing w:after="0" w:line="240" w:lineRule="auto"/>
              <w:jc w:val="both"/>
              <w:rPr>
                <w:rFonts w:ascii="Times New Roman" w:hAnsi="Times New Roman"/>
                <w:color w:val="0070C0"/>
                <w:sz w:val="16"/>
                <w:szCs w:val="16"/>
              </w:rPr>
            </w:pPr>
          </w:p>
        </w:tc>
        <w:tc>
          <w:tcPr>
            <w:tcW w:w="1392" w:type="dxa"/>
            <w:tcBorders>
              <w:right w:val="single" w:sz="4" w:space="0" w:color="auto"/>
            </w:tcBorders>
            <w:shd w:val="clear" w:color="auto" w:fill="auto"/>
          </w:tcPr>
          <w:p w14:paraId="50752CAA" w14:textId="77777777" w:rsidR="007753AE" w:rsidRPr="008A2E5A" w:rsidRDefault="007753AE" w:rsidP="004C5D62">
            <w:pPr>
              <w:spacing w:after="0" w:line="240" w:lineRule="auto"/>
              <w:jc w:val="both"/>
              <w:rPr>
                <w:rFonts w:ascii="Times New Roman" w:hAnsi="Times New Roman"/>
                <w:color w:val="0070C0"/>
                <w:sz w:val="16"/>
                <w:szCs w:val="16"/>
              </w:rPr>
            </w:pPr>
          </w:p>
        </w:tc>
      </w:tr>
      <w:tr w:rsidR="007753AE" w:rsidRPr="008A2E5A" w14:paraId="1D61FE92" w14:textId="77777777" w:rsidTr="004C5D62">
        <w:trPr>
          <w:trHeight w:val="182"/>
        </w:trPr>
        <w:tc>
          <w:tcPr>
            <w:tcW w:w="2693" w:type="dxa"/>
            <w:tcBorders>
              <w:left w:val="single" w:sz="4" w:space="0" w:color="auto"/>
            </w:tcBorders>
            <w:shd w:val="clear" w:color="auto" w:fill="auto"/>
            <w:vAlign w:val="bottom"/>
          </w:tcPr>
          <w:p w14:paraId="2A9849D9"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1219" w:type="dxa"/>
            <w:shd w:val="clear" w:color="auto" w:fill="auto"/>
            <w:vAlign w:val="bottom"/>
          </w:tcPr>
          <w:p w14:paraId="2F55E3E6"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1280</w:t>
            </w:r>
          </w:p>
        </w:tc>
        <w:tc>
          <w:tcPr>
            <w:tcW w:w="1157" w:type="dxa"/>
            <w:shd w:val="clear" w:color="auto" w:fill="auto"/>
            <w:vAlign w:val="bottom"/>
          </w:tcPr>
          <w:p w14:paraId="0D14AEC6"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w:t>
            </w:r>
          </w:p>
        </w:tc>
        <w:tc>
          <w:tcPr>
            <w:tcW w:w="1392" w:type="dxa"/>
            <w:tcBorders>
              <w:right w:val="single" w:sz="4" w:space="0" w:color="auto"/>
            </w:tcBorders>
            <w:shd w:val="clear" w:color="auto" w:fill="auto"/>
            <w:vAlign w:val="bottom"/>
          </w:tcPr>
          <w:p w14:paraId="6D818897"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1983</w:t>
            </w:r>
          </w:p>
        </w:tc>
      </w:tr>
      <w:tr w:rsidR="007753AE" w:rsidRPr="008A2E5A" w14:paraId="75AB9C5B" w14:textId="77777777" w:rsidTr="004C5D62">
        <w:trPr>
          <w:trHeight w:val="173"/>
        </w:trPr>
        <w:tc>
          <w:tcPr>
            <w:tcW w:w="2693" w:type="dxa"/>
            <w:tcBorders>
              <w:left w:val="single" w:sz="4" w:space="0" w:color="auto"/>
            </w:tcBorders>
            <w:shd w:val="clear" w:color="auto" w:fill="auto"/>
          </w:tcPr>
          <w:p w14:paraId="536FE84D"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1219" w:type="dxa"/>
            <w:shd w:val="clear" w:color="auto" w:fill="auto"/>
          </w:tcPr>
          <w:p w14:paraId="072FB3D5"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1600</w:t>
            </w:r>
          </w:p>
        </w:tc>
        <w:tc>
          <w:tcPr>
            <w:tcW w:w="1157" w:type="dxa"/>
            <w:shd w:val="clear" w:color="auto" w:fill="auto"/>
          </w:tcPr>
          <w:p w14:paraId="4C12AE65"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2415</w:t>
            </w:r>
          </w:p>
        </w:tc>
        <w:tc>
          <w:tcPr>
            <w:tcW w:w="1392" w:type="dxa"/>
            <w:tcBorders>
              <w:right w:val="single" w:sz="4" w:space="0" w:color="auto"/>
            </w:tcBorders>
            <w:shd w:val="clear" w:color="auto" w:fill="auto"/>
          </w:tcPr>
          <w:p w14:paraId="03B9457E"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2640</w:t>
            </w:r>
          </w:p>
        </w:tc>
      </w:tr>
      <w:tr w:rsidR="007753AE" w:rsidRPr="008A2E5A" w14:paraId="4CB9FF02" w14:textId="77777777" w:rsidTr="004C5D62">
        <w:trPr>
          <w:trHeight w:val="187"/>
        </w:trPr>
        <w:tc>
          <w:tcPr>
            <w:tcW w:w="2693" w:type="dxa"/>
            <w:tcBorders>
              <w:left w:val="single" w:sz="4" w:space="0" w:color="auto"/>
            </w:tcBorders>
            <w:shd w:val="clear" w:color="auto" w:fill="auto"/>
            <w:vAlign w:val="bottom"/>
          </w:tcPr>
          <w:p w14:paraId="539A47FE"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w:t>
            </w:r>
          </w:p>
        </w:tc>
        <w:tc>
          <w:tcPr>
            <w:tcW w:w="1219" w:type="dxa"/>
            <w:shd w:val="clear" w:color="auto" w:fill="auto"/>
            <w:vAlign w:val="bottom"/>
          </w:tcPr>
          <w:p w14:paraId="60C8BBB4"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c>
          <w:tcPr>
            <w:tcW w:w="1157" w:type="dxa"/>
            <w:shd w:val="clear" w:color="auto" w:fill="auto"/>
            <w:vAlign w:val="bottom"/>
          </w:tcPr>
          <w:p w14:paraId="0FD5DFD4"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w:t>
            </w:r>
          </w:p>
        </w:tc>
        <w:tc>
          <w:tcPr>
            <w:tcW w:w="1392" w:type="dxa"/>
            <w:tcBorders>
              <w:right w:val="single" w:sz="4" w:space="0" w:color="auto"/>
            </w:tcBorders>
            <w:shd w:val="clear" w:color="auto" w:fill="auto"/>
            <w:vAlign w:val="bottom"/>
          </w:tcPr>
          <w:p w14:paraId="1AF89006"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648</w:t>
            </w:r>
          </w:p>
        </w:tc>
      </w:tr>
      <w:tr w:rsidR="007753AE" w:rsidRPr="008A2E5A" w14:paraId="7F1921DE" w14:textId="77777777" w:rsidTr="004C5D62">
        <w:trPr>
          <w:trHeight w:val="182"/>
        </w:trPr>
        <w:tc>
          <w:tcPr>
            <w:tcW w:w="2693" w:type="dxa"/>
            <w:tcBorders>
              <w:left w:val="single" w:sz="4" w:space="0" w:color="auto"/>
            </w:tcBorders>
            <w:shd w:val="clear" w:color="auto" w:fill="auto"/>
            <w:vAlign w:val="bottom"/>
          </w:tcPr>
          <w:p w14:paraId="1678DED9"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Скороподъемность, м/с</w:t>
            </w:r>
          </w:p>
        </w:tc>
        <w:tc>
          <w:tcPr>
            <w:tcW w:w="1219" w:type="dxa"/>
            <w:shd w:val="clear" w:color="auto" w:fill="auto"/>
          </w:tcPr>
          <w:p w14:paraId="3609EC9F" w14:textId="77777777" w:rsidR="007753AE" w:rsidRPr="008A2E5A" w:rsidRDefault="007753AE" w:rsidP="004C5D62">
            <w:pPr>
              <w:spacing w:after="0" w:line="240" w:lineRule="auto"/>
              <w:jc w:val="both"/>
              <w:rPr>
                <w:rFonts w:ascii="Times New Roman" w:hAnsi="Times New Roman"/>
                <w:color w:val="0070C0"/>
                <w:sz w:val="16"/>
                <w:szCs w:val="16"/>
              </w:rPr>
            </w:pPr>
          </w:p>
        </w:tc>
        <w:tc>
          <w:tcPr>
            <w:tcW w:w="1157" w:type="dxa"/>
            <w:shd w:val="clear" w:color="auto" w:fill="auto"/>
            <w:vAlign w:val="bottom"/>
          </w:tcPr>
          <w:p w14:paraId="35C755AC"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13,3</w:t>
            </w:r>
          </w:p>
        </w:tc>
        <w:tc>
          <w:tcPr>
            <w:tcW w:w="1392" w:type="dxa"/>
            <w:tcBorders>
              <w:right w:val="single" w:sz="4" w:space="0" w:color="auto"/>
            </w:tcBorders>
            <w:shd w:val="clear" w:color="auto" w:fill="auto"/>
            <w:vAlign w:val="bottom"/>
          </w:tcPr>
          <w:p w14:paraId="3B2E6D05"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15,87</w:t>
            </w:r>
          </w:p>
        </w:tc>
      </w:tr>
      <w:tr w:rsidR="007753AE" w:rsidRPr="008A2E5A" w14:paraId="4FA3C832" w14:textId="77777777" w:rsidTr="004C5D62">
        <w:trPr>
          <w:trHeight w:val="178"/>
        </w:trPr>
        <w:tc>
          <w:tcPr>
            <w:tcW w:w="2693" w:type="dxa"/>
            <w:tcBorders>
              <w:left w:val="single" w:sz="4" w:space="0" w:color="auto"/>
            </w:tcBorders>
            <w:shd w:val="clear" w:color="auto" w:fill="auto"/>
          </w:tcPr>
          <w:p w14:paraId="023545AD"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219" w:type="dxa"/>
            <w:shd w:val="clear" w:color="auto" w:fill="auto"/>
          </w:tcPr>
          <w:p w14:paraId="50BEB36C" w14:textId="77777777" w:rsidR="007753AE" w:rsidRPr="008A2E5A" w:rsidRDefault="007753AE" w:rsidP="004C5D62">
            <w:pPr>
              <w:spacing w:after="0" w:line="240" w:lineRule="auto"/>
              <w:jc w:val="both"/>
              <w:rPr>
                <w:rFonts w:ascii="Times New Roman" w:hAnsi="Times New Roman"/>
                <w:color w:val="0070C0"/>
                <w:sz w:val="16"/>
                <w:szCs w:val="16"/>
              </w:rPr>
            </w:pPr>
          </w:p>
        </w:tc>
        <w:tc>
          <w:tcPr>
            <w:tcW w:w="1157" w:type="dxa"/>
            <w:shd w:val="clear" w:color="auto" w:fill="auto"/>
          </w:tcPr>
          <w:p w14:paraId="3EF60B35"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1392" w:type="dxa"/>
            <w:tcBorders>
              <w:right w:val="single" w:sz="4" w:space="0" w:color="auto"/>
            </w:tcBorders>
            <w:shd w:val="clear" w:color="auto" w:fill="auto"/>
          </w:tcPr>
          <w:p w14:paraId="0018B9FD"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9800</w:t>
            </w:r>
          </w:p>
        </w:tc>
      </w:tr>
      <w:tr w:rsidR="007753AE" w:rsidRPr="008A2E5A" w14:paraId="6ABDE848" w14:textId="77777777" w:rsidTr="004C5D62">
        <w:trPr>
          <w:trHeight w:val="245"/>
        </w:trPr>
        <w:tc>
          <w:tcPr>
            <w:tcW w:w="2693" w:type="dxa"/>
            <w:tcBorders>
              <w:left w:val="single" w:sz="4" w:space="0" w:color="auto"/>
              <w:bottom w:val="single" w:sz="4" w:space="0" w:color="auto"/>
            </w:tcBorders>
            <w:shd w:val="clear" w:color="auto" w:fill="auto"/>
          </w:tcPr>
          <w:p w14:paraId="5944033A"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219" w:type="dxa"/>
            <w:tcBorders>
              <w:bottom w:val="single" w:sz="4" w:space="0" w:color="auto"/>
            </w:tcBorders>
            <w:shd w:val="clear" w:color="auto" w:fill="auto"/>
          </w:tcPr>
          <w:p w14:paraId="213CA01D"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w:t>
            </w:r>
          </w:p>
        </w:tc>
        <w:tc>
          <w:tcPr>
            <w:tcW w:w="1157" w:type="dxa"/>
            <w:tcBorders>
              <w:bottom w:val="single" w:sz="4" w:space="0" w:color="auto"/>
            </w:tcBorders>
            <w:shd w:val="clear" w:color="auto" w:fill="auto"/>
          </w:tcPr>
          <w:p w14:paraId="2DD73C6C"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850</w:t>
            </w:r>
          </w:p>
        </w:tc>
        <w:tc>
          <w:tcPr>
            <w:tcW w:w="1392" w:type="dxa"/>
            <w:tcBorders>
              <w:bottom w:val="single" w:sz="4" w:space="0" w:color="auto"/>
              <w:right w:val="single" w:sz="4" w:space="0" w:color="auto"/>
            </w:tcBorders>
            <w:shd w:val="clear" w:color="auto" w:fill="auto"/>
          </w:tcPr>
          <w:p w14:paraId="3535C471" w14:textId="77777777" w:rsidR="007753AE" w:rsidRPr="008A2E5A" w:rsidRDefault="007753A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940</w:t>
            </w:r>
          </w:p>
        </w:tc>
      </w:tr>
    </w:tbl>
    <w:p w14:paraId="12850C11" w14:textId="77777777" w:rsidR="007753AE" w:rsidRPr="008A2E5A" w:rsidRDefault="007753AE" w:rsidP="007753A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(24178).</w:t>
      </w:r>
    </w:p>
    <w:p w14:paraId="152CAFF6" w14:textId="77777777" w:rsidR="007753AE" w:rsidRPr="008A2E5A" w:rsidRDefault="007753AE" w:rsidP="007753AE">
      <w:pPr>
        <w:spacing w:after="0" w:line="240" w:lineRule="auto"/>
        <w:jc w:val="both"/>
        <w:rPr>
          <w:rFonts w:ascii="Times New Roman" w:hAnsi="Times New Roman"/>
          <w:color w:val="0070C0"/>
          <w:sz w:val="16"/>
          <w:szCs w:val="16"/>
        </w:rPr>
      </w:pPr>
    </w:p>
    <w:p w14:paraId="323BCAC9" w14:textId="77777777" w:rsidR="00613E20" w:rsidRPr="008A2E5A" w:rsidRDefault="00613E20" w:rsidP="00613E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1942 г. параллельно с С-53 «Скайтруппер» с упрощенным интерье</w:t>
      </w:r>
      <w:r w:rsidRPr="008A2E5A">
        <w:rPr>
          <w:rFonts w:ascii="Times New Roman" w:hAnsi="Times New Roman"/>
          <w:color w:val="0070C0"/>
          <w:sz w:val="16"/>
          <w:szCs w:val="16"/>
        </w:rPr>
        <w:softHyphen/>
        <w:t>ром кабины и более мощными моторами R-1830-92 стали строить С-47 «Скайтрейн» с усиленным полом и распашными дверя</w:t>
      </w:r>
      <w:r w:rsidRPr="008A2E5A">
        <w:rPr>
          <w:rFonts w:ascii="Times New Roman" w:hAnsi="Times New Roman"/>
          <w:color w:val="0070C0"/>
          <w:sz w:val="16"/>
          <w:szCs w:val="16"/>
        </w:rPr>
        <w:softHyphen/>
        <w:t>ми, закрывающими большой загрузочный люк на левом борту. В Великобританию все военные варианты DC-3 шли под на</w:t>
      </w:r>
      <w:r w:rsidRPr="008A2E5A">
        <w:rPr>
          <w:rFonts w:ascii="Times New Roman" w:hAnsi="Times New Roman"/>
          <w:color w:val="0070C0"/>
          <w:sz w:val="16"/>
          <w:szCs w:val="16"/>
        </w:rPr>
        <w:softHyphen/>
        <w:t>званием «Дакота» (23513).</w:t>
      </w:r>
    </w:p>
    <w:p w14:paraId="3ADF4AE6" w14:textId="77777777" w:rsidR="00613E20" w:rsidRPr="008A2E5A" w:rsidRDefault="00613E20" w:rsidP="00613E20">
      <w:pPr>
        <w:spacing w:after="0" w:line="240" w:lineRule="auto"/>
        <w:jc w:val="both"/>
        <w:rPr>
          <w:rFonts w:ascii="Times New Roman" w:hAnsi="Times New Roman"/>
          <w:color w:val="0070C0"/>
          <w:sz w:val="16"/>
          <w:szCs w:val="16"/>
        </w:rPr>
      </w:pPr>
    </w:p>
    <w:p w14:paraId="5FBA8298" w14:textId="11FF89D1" w:rsidR="00F448B1" w:rsidRPr="008127F8" w:rsidRDefault="00F448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флот активно испытывал на Балтике Fl.282 V5, в том числе и в штормовых условиях. Для испытания на одной из башен крейсера Кельн была смонтирована вертолетная площадка. Было совершено несколько десятков посадок, причем по крайней мере один раз в тяжелых погодных условиях. К 1943 г были построены два десятка Fl.282, которые использовались для прикрытия конвоев в Средиземном и в Эгейском морях. Хотя о боевой карьере вертолета известно мало, точно установлено, что по крайней мере три Fl.282 вместе с тремя Fa.223 в апреле 1945 г состояли в 40-й авиатранспортной эскадрилье. Именно один из этих Fl.282 вывез из осажденного Бреслау гауляйтера Ханке незадолго до падения города.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Хотя успех Колибри позволил заказать 1000 вертолетов, бомбежки выделенных под производство заводов БМВ и Флеттнера в Йохаништале не позволили выпустить более 24 опытных машин. Из них союзники после войны нашли летными только три. Fl.282 V15 и V23 достались американцам, а третий - Советскому Союзу. В течении некоторого времени он использовался в качестве учебного пособия на кафедре вертолетостроения в МАИ (15139).</w:t>
      </w:r>
    </w:p>
    <w:p w14:paraId="1130DB36" w14:textId="77777777" w:rsidR="00F448B1" w:rsidRPr="008127F8" w:rsidRDefault="00F448B1" w:rsidP="001E0A84">
      <w:pPr>
        <w:spacing w:after="0" w:line="240" w:lineRule="auto"/>
        <w:jc w:val="both"/>
        <w:rPr>
          <w:rFonts w:ascii="Times New Roman" w:hAnsi="Times New Roman"/>
          <w:color w:val="000000" w:themeColor="text1"/>
          <w:sz w:val="16"/>
          <w:szCs w:val="16"/>
        </w:rPr>
      </w:pPr>
    </w:p>
    <w:p w14:paraId="043E8FEB"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фирме «Аити» под руководством главного конструктора Т. Гоаке была спроектирована модификация D3A2 Модель 12, Морской палубный бомбардировщик тип 99 как дальнейшее развитие самолета D3A1 Модель 12 с минимальными изменениями, связанными только с установкой более мощного мотора Мицибиси MK8E «Кинсей» 54 для улучшения взлетных качеств, что было необходимо для облегчения эксплуатации самолета с малых авианосцев (23122).</w:t>
      </w:r>
    </w:p>
    <w:p w14:paraId="6F23EC3B"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p>
    <w:p w14:paraId="4E448157"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по настоянию научного советника британского Военного Кабинета лорда Черуэлла в Англии с учетом того, что принятая на вооружение с началом войны 2000-фунтовая бронебойная бомба АР (Armor Piercing) срабатывала, не пробивая броню, была начата разработка новой бомбы для поражения крупных боевых кораблей — Capital Ship Bomb (CSB). Ее испытания начались в апреле 1942 года, но первые бомбы поступили в 106-ю эскадрилью RAF только в августе 1943 года. Ее командир Гай Гибсон получил задачу уничтожить строящийся в Гендере линейный крейсер «Граф Шпее». В ночь на 28 августа 1943 года для удара по верфи были посланы лучшие экипажи. В ужасную погоду той ночи они нашли цель, но ни одна из шести CSB не причинила кораблю вреда. Летчики объяснили неудачу недостаточной мощностью бомбы, еще год ее пытались улучшить, но без толку. Диаметр бомбы лимитировался шириной отсека, но длинный и тонкий заряд горел неравномерно и разваливался до полной детонации. Под бомбу диаметром 45 дюймов (1143 мм) для «ланкастера» были разработаны новые створки бомболюка (22887).</w:t>
      </w:r>
    </w:p>
    <w:p w14:paraId="3522CED5"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p>
    <w:p w14:paraId="13658E42"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начальник штаба ВВС Армии США генерал Генри Арнольд подписал директиву об организации Воздушных Армий (ВА). В американской терминологии они именовались «воздушными силами» (Air Force) и предназначались для решения комплексных стратегических задач в масштабе всего театра военных действий. Для бомбардировки Германии с баз на Британских островах 28 апреля 1942 года была сформирована 8-я ВА (8AF), командующим которой был назначен генерал Карл Спаатс. В нее вошли 3 авиагруппы, в каждой из которых было по 3 эскадрильи по 20 тяжелых бомбардировщиков. К лету все они были укомплектованы, экипажи прошли повышенную летнотактическую подготовку, курсы английского этикета и были готовы идти на войну. Однако, прибыв в Южную Англию, они более месяца ждали, когда же, наконец, им позволят начать. Всем казалось, что 25 вылетов, которые надо было сделать каждому, чтобы вернуться домой в Штаты — это пустяк, ведь у них такие мощные самолеты</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22838).</w:t>
      </w:r>
    </w:p>
    <w:p w14:paraId="3A0F3B64" w14:textId="77777777" w:rsidR="00F63FC2" w:rsidRPr="008127F8" w:rsidRDefault="00F63FC2" w:rsidP="001E0A84">
      <w:pPr>
        <w:spacing w:after="0" w:line="240" w:lineRule="auto"/>
        <w:jc w:val="both"/>
        <w:rPr>
          <w:rFonts w:ascii="Times New Roman" w:hAnsi="Times New Roman"/>
          <w:color w:val="000000" w:themeColor="text1"/>
          <w:sz w:val="16"/>
          <w:szCs w:val="16"/>
        </w:rPr>
      </w:pPr>
    </w:p>
    <w:p w14:paraId="1A960E93"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начале 1942 г. чиновники установили контакт с потенциальными производителями самолета-снаряда. В результате этого фирма «Физелер» получила заказ на проектирование крылатой ракеты с радиусом действия 250 км. Проект для обеспечения секретности получил наименование FZG76 (Flakzielgerat – самолет-мишень для зенитной артиллерии). Он был представлен руководству Министерства авиации, а в июне 1942 г. доложен руководителю авиационно-технической службы люфтваффе генерал-фельдмаршалу Эрхарду Мильху. Простота проекта и его сравнительно малая стоимость (стоимость самолета-снаряда была в пять раз меньше стоимости баллистической ракеты V2 и в 30 раз меньше стоимости бомбардировщика) произвели на Мильха большое впечатление. Кроме того, производство одного экземпляра КР Fi.103 занимало всего 280 рабочих часов. Фельдмаршал отдал приказ всемерно ускорить создание крылатой ракеты и предоставить проекту в рамках Министерства авиации «высший приоритет», чтобы к декабрю 1943 г. принять ее на вооружение.</w:t>
      </w:r>
    </w:p>
    <w:p w14:paraId="09B9DA19"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На этот раз чины министерства проявили не только заинтересованность, но и удивительную оперативность. От Министерства авиации координатором проекта стал штаб-инженер Брее. Для руководства разработкой из фирмы «Хейнкель» был переведен один из опытнейших немецких конструкторов Р. Луссер. Предварительный проект Госслау P55 был утвержден 5 июня 1942 г. и получил обозначение Fi.103. Всю дальнейшую работу по проектированию и испытаниям перевели в E-центр Карлсхаген и Пенемюнде-Вест (остров Узедом в Балтийском море).</w:t>
      </w:r>
    </w:p>
    <w:p w14:paraId="39F0A981"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Принятию решения фельдмаршалом Мильхом создать как можно скорее крылатую ракету Fi.103 способствовало несколько обстоятельств, основными из которых были следующие:</w:t>
      </w:r>
    </w:p>
    <w:p w14:paraId="60A38B15"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Геринг считал, что он должен руководить «всем, что летает». Руководство ВВС расценивало стремление командования сухопутных войск создать ракетное оружие дальнего действия как некомпетентное вмешательство в область авиации и требовало передачи проекта А4 в ведение ВВС и вывода его из-под контроля «проклятой пехоты».</w:t>
      </w:r>
    </w:p>
    <w:p w14:paraId="7D1BA0EE"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Одновременно руководство ВВС прилагало все усилия, чтобы создать свою ракету в качестве альтернативы А4.</w:t>
      </w:r>
    </w:p>
    <w:p w14:paraId="27F9D7C7"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К 1942 г. в Пенемюнде все заметнее стал проявляться антагонизм между ракетными научно-исследовательскими организациями сухопутных войск и ВВС. Идея научного сотрудничества, которая мыслилась при строительстве ракетного центра, потерпела фиаско.</w:t>
      </w:r>
    </w:p>
    <w:p w14:paraId="36D7B6F3"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 Командующий ВМС Германии адмирал Редер при подготовке к вторжению на Британские острова не смог обеспечить вермахт достаточным количеством переправочных средств. Он постоянно просил изменить сроки начала операции «Морской лев». Вермахт также опасался столкновения с ожесточенным сопротивлением англичан на первом этапе высадки десанта. Одни только самолеты Геринга наносили удары по Англии, подготавливая вторжение. Это дало повод Герингу заявить, что ВВС способны в одиночку покорить Великобританию. Командующие другими видами войск в присутствии Гитлера с облегчением поддержали Геринга. Геринг же таким заявлением преследовал политические цели. Результатом его амбициозных планов по увеличению влияния на Гитлера стало то, что германские военно-воздушные силы несли необоснованно большие потери, они были измотаны и обескровлены. Промышленность, насколько это было в ее силах, возмещала потери, но военным специалистам уже требовалось совершенно новое оружие. Кроме того, началась переброска авиации на Восточный фронт. Германия проиграла «Битву за Англию». Подходящим оружием для продолжения воздушной войны и достижения коренного перелома немецким военным специалистам стали представляться беспилотные боевые средства («самолеты-роботы») (11686).</w:t>
      </w:r>
    </w:p>
    <w:p w14:paraId="0C9250F6" w14:textId="77777777" w:rsidR="0088204B" w:rsidRPr="008127F8" w:rsidRDefault="0088204B" w:rsidP="001E0A84">
      <w:pPr>
        <w:pStyle w:val="affff0"/>
        <w:widowControl/>
        <w:jc w:val="both"/>
        <w:rPr>
          <w:rFonts w:ascii="Times New Roman" w:hAnsi="Times New Roman" w:cs="Times New Roman"/>
          <w:color w:val="000000" w:themeColor="text1"/>
          <w:sz w:val="16"/>
          <w:szCs w:val="16"/>
        </w:rPr>
      </w:pPr>
    </w:p>
    <w:p w14:paraId="3AADF9CE"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первая опытная партия из семи экземпляров ракеты А-4 была готова к летным испытаниям. Экземпляр №1 установили на испытатель</w:t>
      </w:r>
      <w:r w:rsidRPr="008127F8">
        <w:rPr>
          <w:rFonts w:ascii="Times New Roman" w:hAnsi="Times New Roman"/>
          <w:color w:val="000000" w:themeColor="text1"/>
          <w:sz w:val="16"/>
          <w:szCs w:val="16"/>
        </w:rPr>
        <w:softHyphen/>
        <w:t>ный стенд 25 февраля. При пробном пуске 18 марта первый прототип А-4 V-1 взорвался на пусковом столе во время пред</w:t>
      </w:r>
      <w:r w:rsidRPr="008127F8">
        <w:rPr>
          <w:rFonts w:ascii="Times New Roman" w:hAnsi="Times New Roman"/>
          <w:color w:val="000000" w:themeColor="text1"/>
          <w:sz w:val="16"/>
          <w:szCs w:val="16"/>
        </w:rPr>
        <w:softHyphen/>
        <w:t>варительного прогрева двигателя.</w:t>
      </w:r>
    </w:p>
    <w:p w14:paraId="3F5523A3"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Попытка запуска ракеты А-4 </w:t>
      </w:r>
      <w:r w:rsidRPr="008127F8">
        <w:rPr>
          <w:rFonts w:ascii="Times New Roman" w:hAnsi="Times New Roman"/>
          <w:color w:val="000000" w:themeColor="text1"/>
          <w:sz w:val="16"/>
          <w:szCs w:val="16"/>
          <w:lang w:val="en-US" w:bidi="en-US"/>
        </w:rPr>
        <w:t>V</w:t>
      </w:r>
      <w:r w:rsidRPr="008127F8">
        <w:rPr>
          <w:rFonts w:ascii="Times New Roman" w:hAnsi="Times New Roman"/>
          <w:color w:val="000000" w:themeColor="text1"/>
          <w:sz w:val="16"/>
          <w:szCs w:val="16"/>
          <w:lang w:bidi="en-US"/>
        </w:rPr>
        <w:t xml:space="preserve">-2, </w:t>
      </w:r>
      <w:r w:rsidRPr="008127F8">
        <w:rPr>
          <w:rFonts w:ascii="Times New Roman" w:hAnsi="Times New Roman"/>
          <w:color w:val="000000" w:themeColor="text1"/>
          <w:sz w:val="16"/>
          <w:szCs w:val="16"/>
        </w:rPr>
        <w:t>состоявшаяся 13 июня, на которой присутствовали министр вооружения и боеприпа</w:t>
      </w:r>
      <w:r w:rsidRPr="008127F8">
        <w:rPr>
          <w:rFonts w:ascii="Times New Roman" w:hAnsi="Times New Roman"/>
          <w:color w:val="000000" w:themeColor="text1"/>
          <w:sz w:val="16"/>
          <w:szCs w:val="16"/>
        </w:rPr>
        <w:softHyphen/>
        <w:t>сов Альберт Шпеер и генерал-инспектор Люфтваффе Эрхард Мильх, окончились неудачей.</w:t>
      </w:r>
    </w:p>
    <w:p w14:paraId="4044E8D9" w14:textId="77777777" w:rsidR="00F63FC2" w:rsidRPr="008127F8" w:rsidRDefault="00F63FC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Ракета, пожирая 125 кг спирта и кислорода в секунду, оторвалась от стартового стола, на какое- то мгновение застыла в воздухе, словно опираясь на огненный столб, и устремилась вверх... На 36 секунде наступила тишина, и из нависших над полигоном облаков появилась падающая ра</w:t>
      </w:r>
      <w:r w:rsidRPr="008127F8">
        <w:rPr>
          <w:rFonts w:ascii="Times New Roman" w:hAnsi="Times New Roman"/>
          <w:color w:val="000000" w:themeColor="text1"/>
          <w:sz w:val="16"/>
          <w:szCs w:val="16"/>
        </w:rPr>
        <w:softHyphen/>
        <w:t>кета. Она была без хвостового оперения, и, кувыркаясь, упала на расстоянии чуть больше километра от места старта. Выяс</w:t>
      </w:r>
      <w:r w:rsidRPr="008127F8">
        <w:rPr>
          <w:rFonts w:ascii="Times New Roman" w:hAnsi="Times New Roman"/>
          <w:color w:val="000000" w:themeColor="text1"/>
          <w:sz w:val="16"/>
          <w:szCs w:val="16"/>
        </w:rPr>
        <w:softHyphen/>
        <w:t>нилось, что на 94-й секунде полета отказала система управле</w:t>
      </w:r>
      <w:r w:rsidRPr="008127F8">
        <w:rPr>
          <w:rFonts w:ascii="Times New Roman" w:hAnsi="Times New Roman"/>
          <w:color w:val="000000" w:themeColor="text1"/>
          <w:sz w:val="16"/>
          <w:szCs w:val="16"/>
        </w:rPr>
        <w:softHyphen/>
        <w:t xml:space="preserve">ния. Через два месяца А-4 </w:t>
      </w:r>
      <w:r w:rsidRPr="008127F8">
        <w:rPr>
          <w:rFonts w:ascii="Times New Roman" w:hAnsi="Times New Roman"/>
          <w:color w:val="000000" w:themeColor="text1"/>
          <w:sz w:val="16"/>
          <w:szCs w:val="16"/>
          <w:lang w:val="en-US" w:bidi="en-US"/>
        </w:rPr>
        <w:t>V</w:t>
      </w:r>
      <w:r w:rsidRPr="008127F8">
        <w:rPr>
          <w:rFonts w:ascii="Times New Roman" w:hAnsi="Times New Roman"/>
          <w:color w:val="000000" w:themeColor="text1"/>
          <w:sz w:val="16"/>
          <w:szCs w:val="16"/>
          <w:lang w:bidi="en-US"/>
        </w:rPr>
        <w:t xml:space="preserve">-3 </w:t>
      </w:r>
      <w:r w:rsidRPr="008127F8">
        <w:rPr>
          <w:rFonts w:ascii="Times New Roman" w:hAnsi="Times New Roman"/>
          <w:color w:val="000000" w:themeColor="text1"/>
          <w:sz w:val="16"/>
          <w:szCs w:val="16"/>
        </w:rPr>
        <w:t xml:space="preserve">также не достигла необходимой дальности. И только 3 октября 1942-го четвертая ракета А-4 </w:t>
      </w:r>
      <w:r w:rsidRPr="008127F8">
        <w:rPr>
          <w:rFonts w:ascii="Times New Roman" w:hAnsi="Times New Roman"/>
          <w:color w:val="000000" w:themeColor="text1"/>
          <w:sz w:val="16"/>
          <w:szCs w:val="16"/>
          <w:lang w:val="en-US" w:bidi="en-US"/>
        </w:rPr>
        <w:t>V</w:t>
      </w:r>
      <w:r w:rsidRPr="008127F8">
        <w:rPr>
          <w:rFonts w:ascii="Times New Roman" w:hAnsi="Times New Roman"/>
          <w:color w:val="000000" w:themeColor="text1"/>
          <w:sz w:val="16"/>
          <w:szCs w:val="16"/>
          <w:lang w:bidi="en-US"/>
        </w:rPr>
        <w:t xml:space="preserve">-4 </w:t>
      </w:r>
      <w:r w:rsidRPr="008127F8">
        <w:rPr>
          <w:rFonts w:ascii="Times New Roman" w:hAnsi="Times New Roman"/>
          <w:color w:val="000000" w:themeColor="text1"/>
          <w:sz w:val="16"/>
          <w:szCs w:val="16"/>
        </w:rPr>
        <w:t>пролетела 192 км на высоте 96 км и разорвалась в 4 км от цели. С этого момента работы проходили все более удачно, и до июня 1943-го удалось осуществить 31 запуск. Пуск ракеты был снят на кинопленку. Результаты доложены Гитлеру. (22798).</w:t>
      </w:r>
    </w:p>
    <w:p w14:paraId="2EA5B55C" w14:textId="77777777" w:rsidR="00F63FC2" w:rsidRPr="008127F8" w:rsidRDefault="00F63FC2" w:rsidP="001E0A84">
      <w:pPr>
        <w:shd w:val="clear" w:color="auto" w:fill="FFFFFF"/>
        <w:spacing w:after="0" w:line="240" w:lineRule="auto"/>
        <w:jc w:val="both"/>
        <w:rPr>
          <w:rFonts w:ascii="Times New Roman" w:hAnsi="Times New Roman"/>
          <w:color w:val="000000" w:themeColor="text1"/>
          <w:sz w:val="16"/>
          <w:szCs w:val="16"/>
        </w:rPr>
      </w:pPr>
    </w:p>
    <w:p w14:paraId="3DF364FD" w14:textId="77777777" w:rsidR="00E32C87" w:rsidRPr="008127F8" w:rsidRDefault="00E32C8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убедившись в принципиальной возможности атак американского континента при помо</w:t>
      </w:r>
      <w:r w:rsidRPr="008127F8">
        <w:rPr>
          <w:rFonts w:ascii="Times New Roman" w:hAnsi="Times New Roman"/>
          <w:color w:val="000000" w:themeColor="text1"/>
          <w:sz w:val="16"/>
          <w:szCs w:val="16"/>
        </w:rPr>
        <w:softHyphen/>
        <w:t>щи авианесущих субмарин, морской генеральный штаб выдвинул предло</w:t>
      </w:r>
      <w:r w:rsidRPr="008127F8">
        <w:rPr>
          <w:rFonts w:ascii="Times New Roman" w:hAnsi="Times New Roman"/>
          <w:color w:val="000000" w:themeColor="text1"/>
          <w:sz w:val="16"/>
          <w:szCs w:val="16"/>
        </w:rPr>
        <w:softHyphen/>
        <w:t>жение о постройке подводных лодок, которые могли бы нести полноценные ударные бомбардировщики (один из вариантов их боевого использования предполагал даже атаку Нью-Йорка). В феврале 1942 года командующий Объединенным флотом адмирал Ямомото подписал план строитель</w:t>
      </w:r>
      <w:r w:rsidRPr="008127F8">
        <w:rPr>
          <w:rFonts w:ascii="Times New Roman" w:hAnsi="Times New Roman"/>
          <w:color w:val="000000" w:themeColor="text1"/>
          <w:sz w:val="16"/>
          <w:szCs w:val="16"/>
        </w:rPr>
        <w:softHyphen/>
        <w:t>ства подводной авианосной флоти</w:t>
      </w:r>
      <w:r w:rsidRPr="008127F8">
        <w:rPr>
          <w:rFonts w:ascii="Times New Roman" w:hAnsi="Times New Roman"/>
          <w:color w:val="000000" w:themeColor="text1"/>
          <w:sz w:val="16"/>
          <w:szCs w:val="16"/>
        </w:rPr>
        <w:softHyphen/>
        <w:t>лии особого назначения Sen Токи (Sensuican Токи — подводная лодка специального назначения), в составе 18 лодок типа STo или 1-400 (по назва</w:t>
      </w:r>
      <w:r w:rsidRPr="008127F8">
        <w:rPr>
          <w:rFonts w:ascii="Times New Roman" w:hAnsi="Times New Roman"/>
          <w:color w:val="000000" w:themeColor="text1"/>
          <w:sz w:val="16"/>
          <w:szCs w:val="16"/>
        </w:rPr>
        <w:softHyphen/>
        <w:t>нию головного корабля серии). Лодки этого типа должны были нести по 3-4 бомбардировщика-торпедоносца (с боевой нагрузкой до 1 т), обладать че</w:t>
      </w:r>
      <w:r w:rsidRPr="008127F8">
        <w:rPr>
          <w:rFonts w:ascii="Times New Roman" w:hAnsi="Times New Roman"/>
          <w:color w:val="000000" w:themeColor="text1"/>
          <w:sz w:val="16"/>
          <w:szCs w:val="16"/>
        </w:rPr>
        <w:softHyphen/>
        <w:t>тырехмесячной автономностью, и дальностью плавания до 40000 миль. Ямомото определил и ос</w:t>
      </w:r>
      <w:r w:rsidRPr="008127F8">
        <w:rPr>
          <w:rFonts w:ascii="Times New Roman" w:hAnsi="Times New Roman"/>
          <w:color w:val="000000" w:themeColor="text1"/>
          <w:sz w:val="16"/>
          <w:szCs w:val="16"/>
        </w:rPr>
        <w:softHyphen/>
        <w:t>новную цель для этих ударных подлодок — разрушение шлю</w:t>
      </w:r>
      <w:r w:rsidRPr="008127F8">
        <w:rPr>
          <w:rFonts w:ascii="Times New Roman" w:hAnsi="Times New Roman"/>
          <w:color w:val="000000" w:themeColor="text1"/>
          <w:sz w:val="16"/>
          <w:szCs w:val="16"/>
        </w:rPr>
        <w:softHyphen/>
        <w:t>зов Панамского канала. Если бы удалось блокировать этот крат</w:t>
      </w:r>
      <w:r w:rsidRPr="008127F8">
        <w:rPr>
          <w:rFonts w:ascii="Times New Roman" w:hAnsi="Times New Roman"/>
          <w:color w:val="000000" w:themeColor="text1"/>
          <w:sz w:val="16"/>
          <w:szCs w:val="16"/>
        </w:rPr>
        <w:softHyphen/>
        <w:t>чайший путь из Атлантическо</w:t>
      </w:r>
      <w:r w:rsidRPr="008127F8">
        <w:rPr>
          <w:rFonts w:ascii="Times New Roman" w:hAnsi="Times New Roman"/>
          <w:color w:val="000000" w:themeColor="text1"/>
          <w:sz w:val="16"/>
          <w:szCs w:val="16"/>
        </w:rPr>
        <w:softHyphen/>
        <w:t>го в Тихий океан, то японский флот имел бы шансы сохранить на более длительный период то превосходство, которого он до</w:t>
      </w:r>
      <w:r w:rsidRPr="008127F8">
        <w:rPr>
          <w:rFonts w:ascii="Times New Roman" w:hAnsi="Times New Roman"/>
          <w:color w:val="000000" w:themeColor="text1"/>
          <w:sz w:val="16"/>
          <w:szCs w:val="16"/>
        </w:rPr>
        <w:softHyphen/>
        <w:t>бился на тихоокеанском театре, нанеся неожиданный удар по Перл-Харбору (22807).</w:t>
      </w:r>
    </w:p>
    <w:p w14:paraId="3D761CB2" w14:textId="77777777" w:rsidR="00E32C87" w:rsidRPr="008127F8" w:rsidRDefault="00E32C87" w:rsidP="001E0A84">
      <w:pPr>
        <w:spacing w:after="0" w:line="240" w:lineRule="auto"/>
        <w:jc w:val="both"/>
        <w:rPr>
          <w:rFonts w:ascii="Times New Roman" w:hAnsi="Times New Roman"/>
          <w:color w:val="000000" w:themeColor="text1"/>
          <w:sz w:val="16"/>
          <w:szCs w:val="16"/>
        </w:rPr>
      </w:pPr>
    </w:p>
    <w:p w14:paraId="7737A9E2" w14:textId="77777777" w:rsidR="00E32C87" w:rsidRPr="008127F8" w:rsidRDefault="00E32C8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в Рочестере на одном серийном «стирлинге» Mk. I переделали силовую установку, сделав новые капоты моторов с лучшим обдувом цилиндров, увеличив воздухозаборники нагнетателей и переместив маслорадиаторы из передней кромки крыла под моторы, что решило проблему перегрева масла благодаря лучшему обдуву «сот» радиаторов и позволило избавиться от большинства течей благодаря сокращению длины трубопроводов и количества соединений в них. Моторы «Геркулес» VI имели увеличенную взлетную мощность (1635 л.с.) и лучшую высотность, что позволило увеличить скорость на высоте 4400 м до 434 км/ч. Скороподъемность у земли ухудшилась, но военные сочли это для бомбардировщика делом второстепенным. Испытания продолжались более полугода, пока в сентябре самолет не был потерян из-за пожара моторов. Отладка винтомоторной группы продолжилась на «дублере», и только в январе 1943 года первые два серийных «стирлинга» Mk. III были приняты 15-й эскадрильей Бомбардировочного Командования. Задержка была вызвана не только проблемами с двигателями, но и тем, что сборку самолетов передали автомобильному концерну «Остин Моторз». Он уже строил учебные и связные самолеты, но для выпуска тяжелых бомбардировщиков был вынужден капитально модернизировать производство, пришлось даже перестраивать цех окончательной сборки, сделав широкие ворота для выкатки бомбардировщиков. Также необходимым оказалось расширить аэродром (22823).</w:t>
      </w:r>
    </w:p>
    <w:p w14:paraId="2D7D3F69" w14:textId="77777777" w:rsidR="00E32C87" w:rsidRPr="008127F8" w:rsidRDefault="00E32C87" w:rsidP="001E0A84">
      <w:pPr>
        <w:spacing w:after="0" w:line="240" w:lineRule="auto"/>
        <w:jc w:val="both"/>
        <w:rPr>
          <w:rFonts w:ascii="Times New Roman" w:hAnsi="Times New Roman"/>
          <w:color w:val="000000" w:themeColor="text1"/>
          <w:sz w:val="16"/>
          <w:szCs w:val="16"/>
        </w:rPr>
      </w:pPr>
    </w:p>
    <w:p w14:paraId="38F65FCF" w14:textId="77777777" w:rsidR="00E32C87" w:rsidRPr="008127F8" w:rsidRDefault="00E32C8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был испытан опытный Ju88A-4/Torp с положительным результатом, и весной начался его выпуск в ходе общей серии Ju88A-4. Летом 1942 г. первые Ju88A-4/Torp приступили к боевой работе в группе III/KG26 — и выявился ряд крупных недостатков самолета. Совершенно неприемлемым оказалось отсутствие обороны передней полусферы — и на части самолетов восстановили ограниченно-подвижный пулемет MG81 в лобовом стекле кабины экипажа. Но затем вместо него стали ставить неподвижную пушку MG FF в остекленной носовой части либо в нижней гондоле на месте бомбардировочного прицела. На части самолетов появился локатор FuG200 «Хохентвиль», способный обнаружить транспорт с дистанции до 90 км. Но снижение скорости и дальности из-за громоздкой и тяжелой подвески было слишком велико, еще хуже дело обстояло со взлетом: Ju88A имел нагрузку на крыло почти 200 кг/</w:t>
      </w:r>
      <w:proofErr w:type="gramStart"/>
      <w:r w:rsidRPr="008127F8">
        <w:rPr>
          <w:rFonts w:ascii="Times New Roman" w:hAnsi="Times New Roman"/>
          <w:color w:val="000000" w:themeColor="text1"/>
          <w:sz w:val="16"/>
          <w:szCs w:val="16"/>
        </w:rPr>
        <w:t>кв.м</w:t>
      </w:r>
      <w:proofErr w:type="gramEnd"/>
      <w:r w:rsidRPr="008127F8">
        <w:rPr>
          <w:rFonts w:ascii="Times New Roman" w:hAnsi="Times New Roman"/>
          <w:color w:val="000000" w:themeColor="text1"/>
          <w:sz w:val="16"/>
          <w:szCs w:val="16"/>
        </w:rPr>
        <w:t xml:space="preserve"> против 160 кг/кв.м у Не111Н-6 и не мог базироваться на аэродромах севера Норвегии. Проблему пытались решить подвеской на внешние бомбодержатели стартовых ускорителей «Вальтер», которые сбрасывались после взлета и повторно использовались. Но жидкостные ракеты были капризными (окислителем была азотная кислота), и их применяли редко. Пришлось расширять аэродромы, хотя в скалах и вечной мерзлоте это было непросто (22902).</w:t>
      </w:r>
    </w:p>
    <w:p w14:paraId="7A449B78" w14:textId="77777777" w:rsidR="00E32C87" w:rsidRPr="008127F8" w:rsidRDefault="00E32C87" w:rsidP="001E0A84">
      <w:pPr>
        <w:spacing w:after="0" w:line="240" w:lineRule="auto"/>
        <w:jc w:val="both"/>
        <w:rPr>
          <w:rFonts w:ascii="Times New Roman" w:hAnsi="Times New Roman"/>
          <w:color w:val="000000" w:themeColor="text1"/>
          <w:sz w:val="16"/>
          <w:szCs w:val="16"/>
        </w:rPr>
      </w:pPr>
    </w:p>
    <w:p w14:paraId="002FEA5D" w14:textId="5EC658AC" w:rsidR="0005046D" w:rsidRPr="008127F8" w:rsidRDefault="000504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в аппаратуре Армии и ВМФ США использовались радиолампы 2300 типов, то к концу войны число типов ламп для аппаратуры военного назначения было снижено до 224 (15736).</w:t>
      </w:r>
    </w:p>
    <w:p w14:paraId="493E9108" w14:textId="77777777" w:rsidR="0005046D" w:rsidRPr="008127F8" w:rsidRDefault="0005046D" w:rsidP="001E0A84">
      <w:pPr>
        <w:spacing w:after="0" w:line="240" w:lineRule="auto"/>
        <w:jc w:val="both"/>
        <w:rPr>
          <w:rFonts w:ascii="Times New Roman" w:hAnsi="Times New Roman"/>
          <w:color w:val="000000" w:themeColor="text1"/>
          <w:sz w:val="16"/>
          <w:szCs w:val="16"/>
        </w:rPr>
      </w:pPr>
    </w:p>
    <w:p w14:paraId="004EAFEF" w14:textId="77777777" w:rsidR="00011043" w:rsidRPr="008127F8" w:rsidRDefault="0001104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на фирме «Хеншель» началась разработка очередного управляемого авиационного оружия – планирующей бомбы Hs295. В качестве прототипа была взята КР Hs293I. Однако Hs295 выгодно отличалась от прототипа. Бронебойная боевая часть Hs295 весила 1260 кг. Два ЖРД HWK109-507D (тяга 13 кН) работали в течение 10 секунд. В 1944 г., после изготовления 50 экземпляров с разными типами БЧ и различными способами наведения, проект был закрыт. Причина заключалась в острой нехватке носителей (11686).</w:t>
      </w:r>
    </w:p>
    <w:p w14:paraId="65C02562" w14:textId="77777777" w:rsidR="00011043" w:rsidRPr="008127F8" w:rsidRDefault="00011043" w:rsidP="001E0A84">
      <w:pPr>
        <w:autoSpaceDE w:val="0"/>
        <w:autoSpaceDN w:val="0"/>
        <w:adjustRightInd w:val="0"/>
        <w:spacing w:after="0" w:line="240" w:lineRule="auto"/>
        <w:jc w:val="both"/>
        <w:rPr>
          <w:rFonts w:ascii="Times New Roman" w:hAnsi="Times New Roman"/>
          <w:color w:val="000000" w:themeColor="text1"/>
          <w:sz w:val="16"/>
          <w:szCs w:val="16"/>
        </w:rPr>
      </w:pPr>
    </w:p>
    <w:p w14:paraId="17671E56"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параллельно с С-53 "Скайтрупнер" стали строить С-47 "Скайтрейн" с грузовой дверью с левого борта и усиленным полом кабины для перевозки грузов. С-47 стали самыми распространенными самолетами военно-транспортной авиации стран антигитлеровской коалиции. В рамках программы ленд-лиза они поставлялись и в Советский Союз (3457,134).</w:t>
      </w:r>
    </w:p>
    <w:p w14:paraId="6A038329"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BA565" w14:textId="77777777" w:rsidR="00011043" w:rsidRPr="008127F8" w:rsidRDefault="00011043" w:rsidP="001E0A84">
      <w:pPr>
        <w:pStyle w:val="95"/>
        <w:shd w:val="clear" w:color="auto" w:fill="auto"/>
        <w:spacing w:after="0" w:line="240" w:lineRule="auto"/>
        <w:ind w:firstLine="0"/>
        <w:jc w:val="both"/>
        <w:rPr>
          <w:color w:val="000000" w:themeColor="text1"/>
          <w:sz w:val="16"/>
          <w:szCs w:val="16"/>
        </w:rPr>
      </w:pPr>
      <w:r w:rsidRPr="008127F8">
        <w:rPr>
          <w:color w:val="000000" w:themeColor="text1"/>
          <w:sz w:val="16"/>
          <w:szCs w:val="16"/>
        </w:rPr>
        <w:t>В начале 1942 года увеличили заказ на Б-29 вдвое, а в марте и вовсе — до 1000 бомбардировщиков. Похоже, что военные были уверены в возможности фир</w:t>
      </w:r>
      <w:r w:rsidRPr="008127F8">
        <w:rPr>
          <w:color w:val="000000" w:themeColor="text1"/>
          <w:sz w:val="16"/>
          <w:szCs w:val="16"/>
        </w:rPr>
        <w:softHyphen/>
        <w:t>мы и полностью доверяли ее руководству, ведь бомбардировщики должны были войти в строй в конце 1943 года (12292).</w:t>
      </w:r>
    </w:p>
    <w:p w14:paraId="5694E3F0" w14:textId="77777777" w:rsidR="00011043" w:rsidRPr="008127F8" w:rsidRDefault="00011043" w:rsidP="001E0A84">
      <w:pPr>
        <w:pStyle w:val="95"/>
        <w:shd w:val="clear" w:color="auto" w:fill="auto"/>
        <w:spacing w:after="0" w:line="240" w:lineRule="auto"/>
        <w:ind w:firstLine="0"/>
        <w:jc w:val="both"/>
        <w:rPr>
          <w:color w:val="000000" w:themeColor="text1"/>
          <w:sz w:val="16"/>
          <w:szCs w:val="16"/>
        </w:rPr>
      </w:pPr>
    </w:p>
    <w:p w14:paraId="28F95CA2"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развернули серийное производство Харрикейнов с 40-мм пушкой. На первых самолетах в гондолах под крыльями закрепили две 40-мм пушки "Роллс-Ройс" BF с ленточным питанием. Машины этой серии попали в основном в 184-й Sqn. RAF [184-й дивизион Королевских ВВС Великобритании], базировавшийся на территории Великобритании. Последующие серии оснащались пушками "Виккерс" 8 того же калибра, с боезапасом по 15 снарядов на ствол. Для пристрелки имелись два пулемета "Браунинг" Мк.П калибра 7,69 мм с ленточным питанием и боезапасом на ствол по 338 патронов с трассирующими пулями. Такими машинами были вооружены 5 дивизионов в Северной Африке и не менее трех - на Дальнем Востоке. На этих театрах военных действий "Харрикейны"1Ш неплохо себя зарекомендовали, воюя либо при слабом противодействии ПВО, либо вовсе без такового (3187).</w:t>
      </w:r>
    </w:p>
    <w:p w14:paraId="016382A8"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8054D"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начале 1942-го. завод концерна SNCAC в Бурже и приступили к освоению "Зибелей". Оккупанты выдали фирме заказ на 450 самолетов модификаций “А” и “D”. Именно в Бурже выпустили установочную серию Si 204D-0 и стали собирать Si 204D-1, отличавшиеся по комплектации и размещению оборудования. Все серийные машины модификации “D” оснащались моторами Аргус As 411 ТА-1 взлетной мощностью по 580 л.с. Но производство во Франции разворачивалось вяло. Здесь сказывались нехватка комплектующих и квалифицированных кадров, да и работа французских подпольщиков, неоднократно совершавших акты саботажа. Всего к августу 1944-го, когда завод встал совсем, изготовили только 150 самолетов (5741,12).</w:t>
      </w:r>
    </w:p>
    <w:p w14:paraId="20104380" w14:textId="77777777" w:rsidR="00011043" w:rsidRPr="008127F8" w:rsidRDefault="0001104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A535A" w14:textId="73331C42" w:rsidR="00011043" w:rsidRPr="008127F8" w:rsidRDefault="0001104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планировались войсковые испытания вертолета Fa.223, но реально к июлю 1942 г из-за различных проблем были летными только два вертолета. Успешные испытания Fa.223 и особенно его транспортный потенциал для снабжения сухопутных войск позволили заказать еще 100 машин, но из них были испытаны только восемь, а шесть было разбито во время налета союзников на Лаупгейм в июле 1944 г.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w:t>
      </w:r>
      <w:proofErr w:type="gramStart"/>
      <w:r w:rsidRPr="008127F8">
        <w:rPr>
          <w:rFonts w:ascii="Times New Roman" w:hAnsi="Times New Roman"/>
          <w:color w:val="000000" w:themeColor="text1"/>
          <w:sz w:val="16"/>
          <w:szCs w:val="16"/>
        </w:rPr>
        <w:t>и</w:t>
      </w:r>
      <w:proofErr w:type="gramEnd"/>
      <w:r w:rsidRPr="008127F8">
        <w:rPr>
          <w:rFonts w:ascii="Times New Roman" w:hAnsi="Times New Roman"/>
          <w:color w:val="000000" w:themeColor="text1"/>
          <w:sz w:val="16"/>
          <w:szCs w:val="16"/>
        </w:rPr>
        <w:t xml:space="preserve"> хотя приземлилась на колеса, вертолет перевернуло и экипаж погиб.</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605C72F8" w14:textId="77777777" w:rsidR="00011043" w:rsidRPr="008127F8" w:rsidRDefault="00011043" w:rsidP="001E0A84">
      <w:pPr>
        <w:spacing w:after="0" w:line="240" w:lineRule="auto"/>
        <w:jc w:val="both"/>
        <w:rPr>
          <w:rFonts w:ascii="Times New Roman" w:hAnsi="Times New Roman"/>
          <w:color w:val="000000" w:themeColor="text1"/>
          <w:sz w:val="16"/>
          <w:szCs w:val="16"/>
        </w:rPr>
      </w:pPr>
    </w:p>
    <w:p w14:paraId="55B374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1943 г. 19 китайских СБ находились в составе 1-й авиагруппы, последние боевые вылеты этих самолетов отмечались в мае. Развернувшиеся в этот период поставки в Китай американской авиатехники значительно снизили интерес к оставшимся СБ - часть из них разобрали и законсервировали. Вспомнили об этих самолетах позднее. В 1946 г. несколько СБ приняли участие в разгроме гоминьдановской армии (12027).</w:t>
      </w:r>
    </w:p>
    <w:p w14:paraId="608FEF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18A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в Китае в строю оставалось не более двух десятков И-153. Базирующиеся в этот период в Куньмине 11 “Чаек” 17-го звена из состава 3-й эскадрильи в летний период перевели для несения вспомогательной службы на границу с Бирмой. О воздушных боях на И-1 53 с этого момента не сообщается (6592).</w:t>
      </w:r>
    </w:p>
    <w:p w14:paraId="29624B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7EF07"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в Берлине проведена выставка трофейной техники. Там были по крайней мере КВ-2 и И-153 (19202).</w:t>
      </w:r>
    </w:p>
    <w:p w14:paraId="5499C4D8" w14:textId="77777777" w:rsidR="007C2AE4" w:rsidRPr="008127F8" w:rsidRDefault="007C2AE4" w:rsidP="001E0A84">
      <w:pPr>
        <w:spacing w:after="0" w:line="240" w:lineRule="auto"/>
        <w:jc w:val="both"/>
        <w:rPr>
          <w:rFonts w:ascii="Times New Roman" w:hAnsi="Times New Roman"/>
          <w:color w:val="000000" w:themeColor="text1"/>
          <w:sz w:val="16"/>
          <w:szCs w:val="16"/>
        </w:rPr>
      </w:pPr>
    </w:p>
    <w:p w14:paraId="2A21827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297BE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DD17F" w14:textId="77777777" w:rsidR="00A47478" w:rsidRPr="008A2E5A" w:rsidRDefault="00A47478" w:rsidP="00A474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февралю 1942 г. Новосибирский авиазавод № 153 полно</w:t>
      </w:r>
      <w:r w:rsidRPr="008A2E5A">
        <w:rPr>
          <w:rFonts w:ascii="Times New Roman" w:hAnsi="Times New Roman"/>
          <w:color w:val="0070C0"/>
          <w:sz w:val="16"/>
          <w:szCs w:val="16"/>
        </w:rPr>
        <w:softHyphen/>
        <w:t>стью освоил выпуск истребителя Як-7, выйдя на темп сборки в три самолета в сутки (сдача самолетов ВВС в феврале была сорвана недопоставками моторов, винтов, радиаторов, бронеспинок и других готовых изделий). ОКБ А.С. Яковлева на заводе №153 провело работы по улуч</w:t>
      </w:r>
      <w:r w:rsidRPr="008A2E5A">
        <w:rPr>
          <w:rFonts w:ascii="Times New Roman" w:hAnsi="Times New Roman"/>
          <w:color w:val="0070C0"/>
          <w:sz w:val="16"/>
          <w:szCs w:val="16"/>
        </w:rPr>
        <w:softHyphen/>
        <w:t>шению своего истребителя в части аэродинамики, экс</w:t>
      </w:r>
      <w:r w:rsidRPr="008A2E5A">
        <w:rPr>
          <w:rFonts w:ascii="Times New Roman" w:hAnsi="Times New Roman"/>
          <w:color w:val="0070C0"/>
          <w:sz w:val="16"/>
          <w:szCs w:val="16"/>
        </w:rPr>
        <w:softHyphen/>
        <w:t>плуатационных качеств, вооружения, и к началу марта машина №1415313 (с мотор-пушкой ШВАК и двумя син</w:t>
      </w:r>
      <w:r w:rsidRPr="008A2E5A">
        <w:rPr>
          <w:rFonts w:ascii="Times New Roman" w:hAnsi="Times New Roman"/>
          <w:color w:val="0070C0"/>
          <w:sz w:val="16"/>
          <w:szCs w:val="16"/>
        </w:rPr>
        <w:softHyphen/>
        <w:t>хронными крупнокалиберными пулеметами БС) успешно прошла совместные заводские и государственные испы</w:t>
      </w:r>
      <w:r w:rsidRPr="008A2E5A">
        <w:rPr>
          <w:rFonts w:ascii="Times New Roman" w:hAnsi="Times New Roman"/>
          <w:color w:val="0070C0"/>
          <w:sz w:val="16"/>
          <w:szCs w:val="16"/>
        </w:rPr>
        <w:softHyphen/>
        <w:t>тания, как эталон серии 1942 г. Платформа конструкции Як-7 позволяла модифицировать ее в соответствии с ну</w:t>
      </w:r>
      <w:r w:rsidRPr="008A2E5A">
        <w:rPr>
          <w:rFonts w:ascii="Times New Roman" w:hAnsi="Times New Roman"/>
          <w:color w:val="0070C0"/>
          <w:sz w:val="16"/>
          <w:szCs w:val="16"/>
        </w:rPr>
        <w:softHyphen/>
        <w:t>ждами ВВС в широких пределах, в то время как с ЛаГГ-3, в процессе облегчения для улучшения скоростных и манев</w:t>
      </w:r>
      <w:r w:rsidRPr="008A2E5A">
        <w:rPr>
          <w:rFonts w:ascii="Times New Roman" w:hAnsi="Times New Roman"/>
          <w:color w:val="0070C0"/>
          <w:sz w:val="16"/>
          <w:szCs w:val="16"/>
        </w:rPr>
        <w:softHyphen/>
        <w:t>ренных качеств, последовательно сняли дополнительные бензобаки с горючим, установку подвесных бензобаков и радикально сократили состав вооружения, оставив толь</w:t>
      </w:r>
      <w:r w:rsidRPr="008A2E5A">
        <w:rPr>
          <w:rFonts w:ascii="Times New Roman" w:hAnsi="Times New Roman"/>
          <w:color w:val="0070C0"/>
          <w:sz w:val="16"/>
          <w:szCs w:val="16"/>
        </w:rPr>
        <w:softHyphen/>
        <w:t>ко мотор-пушку и один пулемет БС. То есть ЛаГГ-3 лишил</w:t>
      </w:r>
      <w:r w:rsidRPr="008A2E5A">
        <w:rPr>
          <w:rFonts w:ascii="Times New Roman" w:hAnsi="Times New Roman"/>
          <w:color w:val="0070C0"/>
          <w:sz w:val="16"/>
          <w:szCs w:val="16"/>
        </w:rPr>
        <w:softHyphen/>
        <w:t>ся того, что ранее выгодно отличало его от истребителей ОКБ А.С. Яковлева. Причем требуемого результата при</w:t>
      </w:r>
      <w:r w:rsidRPr="008A2E5A">
        <w:rPr>
          <w:rFonts w:ascii="Times New Roman" w:hAnsi="Times New Roman"/>
          <w:color w:val="0070C0"/>
          <w:sz w:val="16"/>
          <w:szCs w:val="16"/>
        </w:rPr>
        <w:softHyphen/>
        <w:t>нятыми для «лаггам» мерами получить, увы, не удалось. В условиях войны и эвакуации обострился дефицит фе</w:t>
      </w:r>
      <w:r w:rsidRPr="008A2E5A">
        <w:rPr>
          <w:rFonts w:ascii="Times New Roman" w:hAnsi="Times New Roman"/>
          <w:color w:val="0070C0"/>
          <w:sz w:val="16"/>
          <w:szCs w:val="16"/>
        </w:rPr>
        <w:softHyphen/>
        <w:t>нольных клеев и смол, использовавшихся для изготовле</w:t>
      </w:r>
      <w:r w:rsidRPr="008A2E5A">
        <w:rPr>
          <w:rFonts w:ascii="Times New Roman" w:hAnsi="Times New Roman"/>
          <w:color w:val="0070C0"/>
          <w:sz w:val="16"/>
          <w:szCs w:val="16"/>
        </w:rPr>
        <w:softHyphen/>
        <w:t>ния дельта-древесины - «изюминки» и основы деревян</w:t>
      </w:r>
      <w:r w:rsidRPr="008A2E5A">
        <w:rPr>
          <w:rFonts w:ascii="Times New Roman" w:hAnsi="Times New Roman"/>
          <w:color w:val="0070C0"/>
          <w:sz w:val="16"/>
          <w:szCs w:val="16"/>
        </w:rPr>
        <w:softHyphen/>
        <w:t>ных конструкций ЛаГГа. Дефицит моторов М-105П и вин</w:t>
      </w:r>
      <w:r w:rsidRPr="008A2E5A">
        <w:rPr>
          <w:rFonts w:ascii="Times New Roman" w:hAnsi="Times New Roman"/>
          <w:color w:val="0070C0"/>
          <w:sz w:val="16"/>
          <w:szCs w:val="16"/>
        </w:rPr>
        <w:softHyphen/>
        <w:t>тов ВИШ-61П, создавшийся в конце 1941 г. - начале 1942 г., обязывал руководство НКАП использовать имеющееся количество самым эффективным образом, а именно для установки в первую очередь на те машины, которые лучшим образом отвечают потребностям военной экономи</w:t>
      </w:r>
      <w:r w:rsidRPr="008A2E5A">
        <w:rPr>
          <w:rFonts w:ascii="Times New Roman" w:hAnsi="Times New Roman"/>
          <w:color w:val="0070C0"/>
          <w:sz w:val="16"/>
          <w:szCs w:val="16"/>
        </w:rPr>
        <w:softHyphen/>
        <w:t>ки (дешевле и проще в производстве, эксплуатации и ре</w:t>
      </w:r>
      <w:r w:rsidRPr="008A2E5A">
        <w:rPr>
          <w:rFonts w:ascii="Times New Roman" w:hAnsi="Times New Roman"/>
          <w:color w:val="0070C0"/>
          <w:sz w:val="16"/>
          <w:szCs w:val="16"/>
        </w:rPr>
        <w:softHyphen/>
        <w:t>монте, заслужили хорошую репутацию в боях и пользуют</w:t>
      </w:r>
      <w:r w:rsidRPr="008A2E5A">
        <w:rPr>
          <w:rFonts w:ascii="Times New Roman" w:hAnsi="Times New Roman"/>
          <w:color w:val="0070C0"/>
          <w:sz w:val="16"/>
          <w:szCs w:val="16"/>
        </w:rPr>
        <w:softHyphen/>
        <w:t>ся повышенным спросом у летчиков ВВС - в этой связи какую-то роль в принятии решения, вероятно, сыграл со</w:t>
      </w:r>
      <w:r w:rsidRPr="008A2E5A">
        <w:rPr>
          <w:rFonts w:ascii="Times New Roman" w:hAnsi="Times New Roman"/>
          <w:color w:val="0070C0"/>
          <w:sz w:val="16"/>
          <w:szCs w:val="16"/>
        </w:rPr>
        <w:softHyphen/>
        <w:t>стоявшийся 9 марта 1942 г. успешный бой семерки Як-1 296-го иап под командованием Б.Н. Еремина против 25 немецких самолетов) (23381).</w:t>
      </w:r>
    </w:p>
    <w:p w14:paraId="094AD772" w14:textId="77777777" w:rsidR="00A47478" w:rsidRPr="008A2E5A" w:rsidRDefault="00A47478" w:rsidP="00A47478">
      <w:pPr>
        <w:spacing w:after="0" w:line="240" w:lineRule="auto"/>
        <w:jc w:val="both"/>
        <w:rPr>
          <w:rFonts w:ascii="Times New Roman" w:hAnsi="Times New Roman"/>
          <w:color w:val="0070C0"/>
          <w:sz w:val="16"/>
          <w:szCs w:val="16"/>
        </w:rPr>
      </w:pPr>
    </w:p>
    <w:p w14:paraId="726459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февралю 1942 г. удалось постро</w:t>
      </w:r>
      <w:r w:rsidRPr="008127F8">
        <w:rPr>
          <w:rFonts w:ascii="Times New Roman" w:hAnsi="Times New Roman"/>
          <w:color w:val="000000" w:themeColor="text1"/>
          <w:sz w:val="16"/>
          <w:szCs w:val="16"/>
        </w:rPr>
        <w:softHyphen/>
        <w:t>ить планер «дублера» Гу-82, но для него не было ни мотора, ни вооружения. Наркомавиапром приказом № 145с от 21.02.42 г. обязал ОКБ-301 в кратчайшие сроки закончить работы по двум экземпля</w:t>
      </w:r>
      <w:r w:rsidRPr="008127F8">
        <w:rPr>
          <w:rFonts w:ascii="Times New Roman" w:hAnsi="Times New Roman"/>
          <w:color w:val="000000" w:themeColor="text1"/>
          <w:sz w:val="16"/>
          <w:szCs w:val="16"/>
        </w:rPr>
        <w:softHyphen/>
        <w:t>рам Гу-82 и передать их на ГСИ. Это давало возможность быстро получить недостающее, но успеху Гудкова помешали возникшие конкуренты, которыми стали бывшие коллеги (11123).</w:t>
      </w:r>
    </w:p>
    <w:p w14:paraId="0ECBCD2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55BF38" w14:textId="5768D8CD" w:rsidR="00B85B60" w:rsidRPr="008127F8" w:rsidRDefault="00B85B6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К февралю 1942-ого года был построен первый опытный </w:t>
      </w:r>
      <w:proofErr w:type="gramStart"/>
      <w:r w:rsidRPr="008127F8">
        <w:rPr>
          <w:color w:val="000000" w:themeColor="text1"/>
          <w:sz w:val="16"/>
          <w:szCs w:val="16"/>
        </w:rPr>
        <w:t>образец</w:t>
      </w:r>
      <w:r w:rsidR="008127F8">
        <w:rPr>
          <w:color w:val="000000" w:themeColor="text1"/>
          <w:sz w:val="16"/>
          <w:szCs w:val="16"/>
        </w:rPr>
        <w:t xml:space="preserve">  </w:t>
      </w:r>
      <w:r w:rsidRPr="008127F8">
        <w:rPr>
          <w:color w:val="000000" w:themeColor="text1"/>
          <w:sz w:val="16"/>
          <w:szCs w:val="16"/>
        </w:rPr>
        <w:t>ТС</w:t>
      </w:r>
      <w:proofErr w:type="gramEnd"/>
      <w:r w:rsidRPr="008127F8">
        <w:rPr>
          <w:color w:val="000000" w:themeColor="text1"/>
          <w:sz w:val="16"/>
          <w:szCs w:val="16"/>
        </w:rPr>
        <w:t>-1. Тогда же он и совершил свой первый полет. Прототип поднял в воздух летчик-</w:t>
      </w:r>
      <w:proofErr w:type="gramStart"/>
      <w:r w:rsidRPr="008127F8">
        <w:rPr>
          <w:color w:val="000000" w:themeColor="text1"/>
          <w:sz w:val="16"/>
          <w:szCs w:val="16"/>
        </w:rPr>
        <w:t>испытатель</w:t>
      </w:r>
      <w:r w:rsidR="008127F8">
        <w:rPr>
          <w:color w:val="000000" w:themeColor="text1"/>
          <w:sz w:val="16"/>
          <w:szCs w:val="16"/>
        </w:rPr>
        <w:t xml:space="preserve">  </w:t>
      </w:r>
      <w:r w:rsidRPr="008127F8">
        <w:rPr>
          <w:color w:val="000000" w:themeColor="text1"/>
          <w:sz w:val="16"/>
          <w:szCs w:val="16"/>
        </w:rPr>
        <w:t>В.</w:t>
      </w:r>
      <w:proofErr w:type="gramEnd"/>
      <w:r w:rsidRPr="008127F8">
        <w:rPr>
          <w:color w:val="000000" w:themeColor="text1"/>
          <w:sz w:val="16"/>
          <w:szCs w:val="16"/>
        </w:rPr>
        <w:t xml:space="preserve"> П. Федоров.</w:t>
      </w:r>
      <w:r w:rsidR="008127F8">
        <w:rPr>
          <w:color w:val="000000" w:themeColor="text1"/>
          <w:sz w:val="16"/>
          <w:szCs w:val="16"/>
        </w:rPr>
        <w:t xml:space="preserve">  </w:t>
      </w:r>
      <w:r w:rsidRPr="008127F8">
        <w:rPr>
          <w:color w:val="000000" w:themeColor="text1"/>
          <w:sz w:val="16"/>
          <w:szCs w:val="16"/>
        </w:rPr>
        <w:t xml:space="preserve">Предстоял этап заводских и государственных испытаний. Во время заводских испытаний первый прототип самолета под </w:t>
      </w:r>
      <w:proofErr w:type="gramStart"/>
      <w:r w:rsidRPr="008127F8">
        <w:rPr>
          <w:color w:val="000000" w:themeColor="text1"/>
          <w:sz w:val="16"/>
          <w:szCs w:val="16"/>
        </w:rPr>
        <w:t>индексом</w:t>
      </w:r>
      <w:r w:rsidR="008127F8">
        <w:rPr>
          <w:color w:val="000000" w:themeColor="text1"/>
          <w:sz w:val="16"/>
          <w:szCs w:val="16"/>
        </w:rPr>
        <w:t xml:space="preserve">  </w:t>
      </w:r>
      <w:r w:rsidRPr="008127F8">
        <w:rPr>
          <w:color w:val="000000" w:themeColor="text1"/>
          <w:sz w:val="16"/>
          <w:szCs w:val="16"/>
        </w:rPr>
        <w:t>ТС</w:t>
      </w:r>
      <w:proofErr w:type="gramEnd"/>
      <w:r w:rsidRPr="008127F8">
        <w:rPr>
          <w:color w:val="000000" w:themeColor="text1"/>
          <w:sz w:val="16"/>
          <w:szCs w:val="16"/>
        </w:rPr>
        <w:t>-1</w:t>
      </w:r>
      <w:r w:rsidR="008127F8">
        <w:rPr>
          <w:color w:val="000000" w:themeColor="text1"/>
          <w:sz w:val="16"/>
          <w:szCs w:val="16"/>
        </w:rPr>
        <w:t xml:space="preserve">  </w:t>
      </w:r>
      <w:r w:rsidRPr="008127F8">
        <w:rPr>
          <w:color w:val="000000" w:themeColor="text1"/>
          <w:sz w:val="16"/>
          <w:szCs w:val="16"/>
        </w:rPr>
        <w:t xml:space="preserve">показал неплохие результаты. Управляемость и устойчивость были в норме, </w:t>
      </w:r>
      <w:proofErr w:type="gramStart"/>
      <w:r w:rsidRPr="008127F8">
        <w:rPr>
          <w:color w:val="000000" w:themeColor="text1"/>
          <w:sz w:val="16"/>
          <w:szCs w:val="16"/>
        </w:rPr>
        <w:t>кроме того</w:t>
      </w:r>
      <w:proofErr w:type="gramEnd"/>
      <w:r w:rsidRPr="008127F8">
        <w:rPr>
          <w:color w:val="000000" w:themeColor="text1"/>
          <w:sz w:val="16"/>
          <w:szCs w:val="16"/>
        </w:rPr>
        <w:t xml:space="preserve"> отмечались хорошие посадочные характеристики. В июле того же года этот прототип был представлен в вариантах транспортного, десантно-транспортного и санитарного самолета. Он легко мог быть переоборудован из одной спецификации в другую</w:t>
      </w:r>
    </w:p>
    <w:p w14:paraId="1895BB7C" w14:textId="25F7677B" w:rsidR="00B85B60" w:rsidRPr="008127F8" w:rsidRDefault="00B85B6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Ще-</w:t>
      </w:r>
      <w:proofErr w:type="gramStart"/>
      <w:r w:rsidRPr="008127F8">
        <w:rPr>
          <w:color w:val="000000" w:themeColor="text1"/>
          <w:sz w:val="16"/>
          <w:szCs w:val="16"/>
        </w:rPr>
        <w:t>2</w:t>
      </w:r>
      <w:r w:rsidR="008127F8">
        <w:rPr>
          <w:color w:val="000000" w:themeColor="text1"/>
          <w:sz w:val="16"/>
          <w:szCs w:val="16"/>
        </w:rPr>
        <w:t xml:space="preserve">  </w:t>
      </w:r>
      <w:r w:rsidRPr="008127F8">
        <w:rPr>
          <w:color w:val="000000" w:themeColor="text1"/>
          <w:sz w:val="16"/>
          <w:szCs w:val="16"/>
        </w:rPr>
        <w:t>представлял</w:t>
      </w:r>
      <w:proofErr w:type="gramEnd"/>
      <w:r w:rsidRPr="008127F8">
        <w:rPr>
          <w:color w:val="000000" w:themeColor="text1"/>
          <w:sz w:val="16"/>
          <w:szCs w:val="16"/>
        </w:rPr>
        <w:t xml:space="preserve"> собой двухмоторный подкосный высокоплан. Фюзеляж деревянной конструкции типа монокок. Основными его элементами являлись силовые шпангоуты (30 штук) и стрингеры (25 штук). Фюзеляж был обшит фанерой и обтягивался сверху полотном. В передней части находилась кабина летчика и штурмана (или бортмеханика), которые сидели рядом. За ней, до 10-ого шпангоута размещался грузовой отсек. Его габариты 1500 х 1700 х 6500 мм.1 из 4</w:t>
      </w:r>
    </w:p>
    <w:p w14:paraId="43464C81" w14:textId="71FBF06C" w:rsidR="00B85B60" w:rsidRPr="008127F8" w:rsidRDefault="00B85B6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По левому борту находился специальный люк для погрузки крупногабаритных грузов. Также там можно было разместить 9 сидений для пассажиров или 9 санитарных носилок. Крыло самолета было трапециевидной формой, с прямоугольной частью на которой крепилась мотогондола двигателя. Состояло крыло из трех основных частей</w:t>
      </w:r>
      <w:proofErr w:type="gramStart"/>
      <w:r w:rsidRPr="008127F8">
        <w:rPr>
          <w:color w:val="000000" w:themeColor="text1"/>
          <w:sz w:val="16"/>
          <w:szCs w:val="16"/>
        </w:rPr>
        <w:t>- это</w:t>
      </w:r>
      <w:proofErr w:type="gramEnd"/>
      <w:r w:rsidRPr="008127F8">
        <w:rPr>
          <w:color w:val="000000" w:themeColor="text1"/>
          <w:sz w:val="16"/>
          <w:szCs w:val="16"/>
        </w:rPr>
        <w:t xml:space="preserve"> центроплан и две отъемные консоли. Оно имело один основной лонжерон и два вспомогательных, которые опирались на 36 нервюр, из них 7 были усиленные. Применялся профиль крыла </w:t>
      </w:r>
      <w:proofErr w:type="gramStart"/>
      <w:r w:rsidRPr="008127F8">
        <w:rPr>
          <w:color w:val="000000" w:themeColor="text1"/>
          <w:sz w:val="16"/>
          <w:szCs w:val="16"/>
        </w:rPr>
        <w:t>типа</w:t>
      </w:r>
      <w:r w:rsidR="008127F8">
        <w:rPr>
          <w:color w:val="000000" w:themeColor="text1"/>
          <w:sz w:val="16"/>
          <w:szCs w:val="16"/>
        </w:rPr>
        <w:t xml:space="preserve">  </w:t>
      </w:r>
      <w:r w:rsidRPr="008127F8">
        <w:rPr>
          <w:color w:val="000000" w:themeColor="text1"/>
          <w:sz w:val="16"/>
          <w:szCs w:val="16"/>
        </w:rPr>
        <w:t>Р</w:t>
      </w:r>
      <w:proofErr w:type="gramEnd"/>
      <w:r w:rsidRPr="008127F8">
        <w:rPr>
          <w:color w:val="000000" w:themeColor="text1"/>
          <w:sz w:val="16"/>
          <w:szCs w:val="16"/>
        </w:rPr>
        <w:t>-II</w:t>
      </w:r>
      <w:r w:rsidR="008127F8">
        <w:rPr>
          <w:color w:val="000000" w:themeColor="text1"/>
          <w:sz w:val="16"/>
          <w:szCs w:val="16"/>
        </w:rPr>
        <w:t xml:space="preserve">  </w:t>
      </w:r>
      <w:r w:rsidRPr="008127F8">
        <w:rPr>
          <w:color w:val="000000" w:themeColor="text1"/>
          <w:sz w:val="16"/>
          <w:szCs w:val="16"/>
        </w:rPr>
        <w:t>с относительной толщиной в центре 10%, а на конце- 6%. Фанерой крыло было обшито частично, а полотном обтягивалось полностью. Закрылки и элероны располагались на задней кромке консоли крыла.</w:t>
      </w:r>
    </w:p>
    <w:p w14:paraId="7AF1BD23" w14:textId="4DFD6915" w:rsidR="00B85B60" w:rsidRPr="008127F8" w:rsidRDefault="00B85B60"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Хвостовое оперение было двухкилевым, стабилизатор двухлонжеронный трапециевидной формы. Киль эллиптической формы, также был двухлонжеронным. Шасси было неубираемым, подкосным. Основные колеса размером 650 х 200 мм, размер хвостового колеса 300 х 125 мм. В качестве двигателей </w:t>
      </w:r>
      <w:proofErr w:type="gramStart"/>
      <w:r w:rsidRPr="008127F8">
        <w:rPr>
          <w:color w:val="000000" w:themeColor="text1"/>
          <w:sz w:val="16"/>
          <w:szCs w:val="16"/>
        </w:rPr>
        <w:t>использовали</w:t>
      </w:r>
      <w:r w:rsidR="008127F8">
        <w:rPr>
          <w:color w:val="000000" w:themeColor="text1"/>
          <w:sz w:val="16"/>
          <w:szCs w:val="16"/>
        </w:rPr>
        <w:t xml:space="preserve">  </w:t>
      </w:r>
      <w:r w:rsidRPr="008127F8">
        <w:rPr>
          <w:color w:val="000000" w:themeColor="text1"/>
          <w:sz w:val="16"/>
          <w:szCs w:val="16"/>
        </w:rPr>
        <w:t>М</w:t>
      </w:r>
      <w:proofErr w:type="gramEnd"/>
      <w:r w:rsidRPr="008127F8">
        <w:rPr>
          <w:color w:val="000000" w:themeColor="text1"/>
          <w:sz w:val="16"/>
          <w:szCs w:val="16"/>
        </w:rPr>
        <w:t xml:space="preserve">-11Д, мощностью в 125 л.с.. Они крепились к стальной сварной раме и к мотогондоле. Вал двигателя вращал воздушный винт изменяемого в полете </w:t>
      </w:r>
      <w:proofErr w:type="gramStart"/>
      <w:r w:rsidRPr="008127F8">
        <w:rPr>
          <w:color w:val="000000" w:themeColor="text1"/>
          <w:sz w:val="16"/>
          <w:szCs w:val="16"/>
        </w:rPr>
        <w:t>шага</w:t>
      </w:r>
      <w:r w:rsidR="008127F8">
        <w:rPr>
          <w:color w:val="000000" w:themeColor="text1"/>
          <w:sz w:val="16"/>
          <w:szCs w:val="16"/>
        </w:rPr>
        <w:t xml:space="preserve">  </w:t>
      </w:r>
      <w:r w:rsidRPr="008127F8">
        <w:rPr>
          <w:color w:val="000000" w:themeColor="text1"/>
          <w:sz w:val="16"/>
          <w:szCs w:val="16"/>
        </w:rPr>
        <w:t>ВИШ</w:t>
      </w:r>
      <w:proofErr w:type="gramEnd"/>
      <w:r w:rsidRPr="008127F8">
        <w:rPr>
          <w:color w:val="000000" w:themeColor="text1"/>
          <w:sz w:val="16"/>
          <w:szCs w:val="16"/>
        </w:rPr>
        <w:t>-327. Горючее (</w:t>
      </w:r>
      <w:proofErr w:type="gramStart"/>
      <w:r w:rsidRPr="008127F8">
        <w:rPr>
          <w:color w:val="000000" w:themeColor="text1"/>
          <w:sz w:val="16"/>
          <w:szCs w:val="16"/>
        </w:rPr>
        <w:t>бензин</w:t>
      </w:r>
      <w:r w:rsidR="008127F8">
        <w:rPr>
          <w:color w:val="000000" w:themeColor="text1"/>
          <w:sz w:val="16"/>
          <w:szCs w:val="16"/>
        </w:rPr>
        <w:t xml:space="preserve">  </w:t>
      </w:r>
      <w:r w:rsidRPr="008127F8">
        <w:rPr>
          <w:color w:val="000000" w:themeColor="text1"/>
          <w:sz w:val="16"/>
          <w:szCs w:val="16"/>
        </w:rPr>
        <w:t>Б</w:t>
      </w:r>
      <w:proofErr w:type="gramEnd"/>
      <w:r w:rsidRPr="008127F8">
        <w:rPr>
          <w:color w:val="000000" w:themeColor="text1"/>
          <w:sz w:val="16"/>
          <w:szCs w:val="16"/>
        </w:rPr>
        <w:t>-59</w:t>
      </w:r>
      <w:r w:rsidR="008127F8">
        <w:rPr>
          <w:color w:val="000000" w:themeColor="text1"/>
          <w:sz w:val="16"/>
          <w:szCs w:val="16"/>
        </w:rPr>
        <w:t xml:space="preserve">  </w:t>
      </w:r>
      <w:r w:rsidRPr="008127F8">
        <w:rPr>
          <w:color w:val="000000" w:themeColor="text1"/>
          <w:sz w:val="16"/>
          <w:szCs w:val="16"/>
        </w:rPr>
        <w:t>или</w:t>
      </w:r>
      <w:r w:rsidR="008127F8">
        <w:rPr>
          <w:color w:val="000000" w:themeColor="text1"/>
          <w:sz w:val="16"/>
          <w:szCs w:val="16"/>
        </w:rPr>
        <w:t xml:space="preserve">  </w:t>
      </w:r>
      <w:r w:rsidRPr="008127F8">
        <w:rPr>
          <w:color w:val="000000" w:themeColor="text1"/>
          <w:sz w:val="16"/>
          <w:szCs w:val="16"/>
        </w:rPr>
        <w:t>Б-70) располагалось в четырех непротектированных сварных (из сплава</w:t>
      </w:r>
      <w:r w:rsidR="008127F8">
        <w:rPr>
          <w:color w:val="000000" w:themeColor="text1"/>
          <w:sz w:val="16"/>
          <w:szCs w:val="16"/>
        </w:rPr>
        <w:t xml:space="preserve">  </w:t>
      </w:r>
      <w:r w:rsidRPr="008127F8">
        <w:rPr>
          <w:color w:val="000000" w:themeColor="text1"/>
          <w:sz w:val="16"/>
          <w:szCs w:val="16"/>
        </w:rPr>
        <w:t>АМц) бензобаков общей емкостью в 850 л. Топливо подавалось в мотор с помощью помпы</w:t>
      </w:r>
      <w:r w:rsidR="008127F8">
        <w:rPr>
          <w:color w:val="000000" w:themeColor="text1"/>
          <w:sz w:val="16"/>
          <w:szCs w:val="16"/>
        </w:rPr>
        <w:t xml:space="preserve">  </w:t>
      </w:r>
      <w:r w:rsidRPr="008127F8">
        <w:rPr>
          <w:color w:val="000000" w:themeColor="text1"/>
          <w:sz w:val="16"/>
          <w:szCs w:val="16"/>
        </w:rPr>
        <w:t xml:space="preserve">БНК-12. Бензопровод выполнялся из гибких шлангов типа суперфлекс. Маслобаки емкостью по 39 литров располагались за противопожарной перегородкой. Из них масло поступало в помпу, а потом подавалось в мотор. Затем сливалось в маслоотстойник. Управление самолетом было двойным, штурвальным. Также следует отметить </w:t>
      </w:r>
      <w:proofErr w:type="gramStart"/>
      <w:r w:rsidRPr="008127F8">
        <w:rPr>
          <w:color w:val="000000" w:themeColor="text1"/>
          <w:sz w:val="16"/>
          <w:szCs w:val="16"/>
        </w:rPr>
        <w:t>что</w:t>
      </w:r>
      <w:r w:rsidR="008127F8">
        <w:rPr>
          <w:color w:val="000000" w:themeColor="text1"/>
          <w:sz w:val="16"/>
          <w:szCs w:val="16"/>
        </w:rPr>
        <w:t xml:space="preserve">  </w:t>
      </w:r>
      <w:r w:rsidRPr="008127F8">
        <w:rPr>
          <w:color w:val="000000" w:themeColor="text1"/>
          <w:sz w:val="16"/>
          <w:szCs w:val="16"/>
        </w:rPr>
        <w:t>Ще</w:t>
      </w:r>
      <w:proofErr w:type="gramEnd"/>
      <w:r w:rsidRPr="008127F8">
        <w:rPr>
          <w:color w:val="000000" w:themeColor="text1"/>
          <w:sz w:val="16"/>
          <w:szCs w:val="16"/>
        </w:rPr>
        <w:t>-2</w:t>
      </w:r>
      <w:r w:rsidR="008127F8">
        <w:rPr>
          <w:color w:val="000000" w:themeColor="text1"/>
          <w:sz w:val="16"/>
          <w:szCs w:val="16"/>
        </w:rPr>
        <w:t xml:space="preserve">  </w:t>
      </w:r>
      <w:r w:rsidRPr="008127F8">
        <w:rPr>
          <w:color w:val="000000" w:themeColor="text1"/>
          <w:sz w:val="16"/>
          <w:szCs w:val="16"/>
        </w:rPr>
        <w:t xml:space="preserve">оснащался аэронавигационным оборудованием, которое позволяло летать ему при различных погодных условиях и в любое время суток. Для базового варианта можно отметить наличие </w:t>
      </w:r>
      <w:proofErr w:type="gramStart"/>
      <w:r w:rsidRPr="008127F8">
        <w:rPr>
          <w:color w:val="000000" w:themeColor="text1"/>
          <w:sz w:val="16"/>
          <w:szCs w:val="16"/>
        </w:rPr>
        <w:t>компаса</w:t>
      </w:r>
      <w:r w:rsidR="008127F8">
        <w:rPr>
          <w:color w:val="000000" w:themeColor="text1"/>
          <w:sz w:val="16"/>
          <w:szCs w:val="16"/>
        </w:rPr>
        <w:t xml:space="preserve">  </w:t>
      </w:r>
      <w:r w:rsidRPr="008127F8">
        <w:rPr>
          <w:color w:val="000000" w:themeColor="text1"/>
          <w:sz w:val="16"/>
          <w:szCs w:val="16"/>
        </w:rPr>
        <w:t>КИ</w:t>
      </w:r>
      <w:proofErr w:type="gramEnd"/>
      <w:r w:rsidRPr="008127F8">
        <w:rPr>
          <w:color w:val="000000" w:themeColor="text1"/>
          <w:sz w:val="16"/>
          <w:szCs w:val="16"/>
        </w:rPr>
        <w:t>-11, указателя скорости</w:t>
      </w:r>
      <w:r w:rsidR="008127F8">
        <w:rPr>
          <w:color w:val="000000" w:themeColor="text1"/>
          <w:sz w:val="16"/>
          <w:szCs w:val="16"/>
        </w:rPr>
        <w:t xml:space="preserve">  </w:t>
      </w:r>
      <w:r w:rsidRPr="008127F8">
        <w:rPr>
          <w:color w:val="000000" w:themeColor="text1"/>
          <w:sz w:val="16"/>
          <w:szCs w:val="16"/>
        </w:rPr>
        <w:t>УС-800, высотомер</w:t>
      </w:r>
      <w:r w:rsidR="008127F8">
        <w:rPr>
          <w:color w:val="000000" w:themeColor="text1"/>
          <w:sz w:val="16"/>
          <w:szCs w:val="16"/>
        </w:rPr>
        <w:t xml:space="preserve">  </w:t>
      </w:r>
      <w:r w:rsidRPr="008127F8">
        <w:rPr>
          <w:color w:val="000000" w:themeColor="text1"/>
          <w:sz w:val="16"/>
          <w:szCs w:val="16"/>
        </w:rPr>
        <w:t>В-12, авиагоризонт</w:t>
      </w:r>
      <w:r w:rsidR="008127F8">
        <w:rPr>
          <w:color w:val="000000" w:themeColor="text1"/>
          <w:sz w:val="16"/>
          <w:szCs w:val="16"/>
        </w:rPr>
        <w:t xml:space="preserve">  </w:t>
      </w:r>
      <w:r w:rsidRPr="008127F8">
        <w:rPr>
          <w:color w:val="000000" w:themeColor="text1"/>
          <w:sz w:val="16"/>
          <w:szCs w:val="16"/>
        </w:rPr>
        <w:t>АГ-1. Источником электроэнергии являлся аккумулятор</w:t>
      </w:r>
      <w:r w:rsidR="008127F8">
        <w:rPr>
          <w:color w:val="000000" w:themeColor="text1"/>
          <w:sz w:val="16"/>
          <w:szCs w:val="16"/>
        </w:rPr>
        <w:t xml:space="preserve">  </w:t>
      </w:r>
      <w:r w:rsidRPr="008127F8">
        <w:rPr>
          <w:color w:val="000000" w:themeColor="text1"/>
          <w:sz w:val="16"/>
          <w:szCs w:val="16"/>
        </w:rPr>
        <w:t>12А-10, который был установлен в носовой части фюзеляжа (19836).</w:t>
      </w:r>
    </w:p>
    <w:p w14:paraId="26F1E479" w14:textId="77777777" w:rsidR="00B85B60" w:rsidRPr="008127F8" w:rsidRDefault="00B85B60" w:rsidP="001E0A84">
      <w:pPr>
        <w:shd w:val="clear" w:color="auto" w:fill="FFFFFF"/>
        <w:spacing w:after="0" w:line="240" w:lineRule="auto"/>
        <w:jc w:val="both"/>
        <w:rPr>
          <w:rFonts w:ascii="Times New Roman" w:hAnsi="Times New Roman"/>
          <w:color w:val="000000" w:themeColor="text1"/>
          <w:sz w:val="16"/>
          <w:szCs w:val="16"/>
        </w:rPr>
      </w:pPr>
    </w:p>
    <w:p w14:paraId="3B8A896B"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CC69A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FF9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февралю 1942 года на заводе № 592 насчитывалось всего около 2000 рабочих и 278 станков, из которых 107 требовали капитального ремонта. Основной продукцией завода на тот момент было производство корпусов ручных гранат, авиабомб, литье опорных плит для минометов и постройка зенитных бронепоездов (9695).</w:t>
      </w:r>
    </w:p>
    <w:p w14:paraId="37BA62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33E45" w14:textId="7BA365F9"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февралю 1942 года на заводе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в подмосковных Мытищах (до войны Мытищинский вагоностроительный завод, ныне — Мытишинский машиностроительный завод), который ещё в октябре-ноябре 1941 года был эвакуирован, насчитывалось всего около 2000 рабочих и 278 станков, из которых 107 требовали капитального ремонта. Основной продукцией завода на тот момент было производство корпусов ручных гранат, авиабомб, литье опорных плит для 82-мм миномётов и постройка зенитных бронепоездов (12688).</w:t>
      </w:r>
    </w:p>
    <w:p w14:paraId="08888BFA"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796E9E0E" w14:textId="77777777" w:rsidR="0025012D" w:rsidRPr="008127F8" w:rsidRDefault="002501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К февралю 1942 на танк Т-60 вернулась значительная часть оборудо</w:t>
      </w:r>
      <w:r w:rsidRPr="008127F8">
        <w:rPr>
          <w:rFonts w:eastAsia="Calibri"/>
          <w:color w:val="000000" w:themeColor="text1"/>
          <w:sz w:val="16"/>
          <w:szCs w:val="16"/>
        </w:rPr>
        <w:softHyphen/>
        <w:t>вания, которого он лишился в ходе упрощений. Наиболее заметным отличием танков весеннего выпуска стала модернизация выхлопной системы с установкой глушителя, позаимствованного у легкого танка Т-70. Новая выхлопная система в сочетании со штампованными опор</w:t>
      </w:r>
      <w:r w:rsidRPr="008127F8">
        <w:rPr>
          <w:rFonts w:eastAsia="Calibri"/>
          <w:color w:val="000000" w:themeColor="text1"/>
          <w:sz w:val="16"/>
          <w:szCs w:val="16"/>
        </w:rPr>
        <w:softHyphen/>
        <w:t>ными катками стала визитной карточкой горьковских Т-60 крайне</w:t>
      </w:r>
      <w:r w:rsidRPr="008127F8">
        <w:rPr>
          <w:rFonts w:eastAsia="Calibri"/>
          <w:color w:val="000000" w:themeColor="text1"/>
          <w:sz w:val="16"/>
          <w:szCs w:val="16"/>
        </w:rPr>
        <w:softHyphen/>
        <w:t>го выпуска, по которой можно их легко отличить от танков выпуска других заводов. В марте ГАЗ изготовил 320 Т-60 (из них 20 без башен), в апреле еще 138 (14 без башен), после чего производство танков дан</w:t>
      </w:r>
      <w:r w:rsidRPr="008127F8">
        <w:rPr>
          <w:rFonts w:eastAsia="Calibri"/>
          <w:color w:val="000000" w:themeColor="text1"/>
          <w:sz w:val="16"/>
          <w:szCs w:val="16"/>
        </w:rPr>
        <w:softHyphen/>
        <w:t>ного типа прекратилось. По состоянию на 1 июля на заводе оставалось еще 13 Т-60, имевших серьезные производственные дефекты, послед</w:t>
      </w:r>
      <w:r w:rsidRPr="008127F8">
        <w:rPr>
          <w:rFonts w:eastAsia="Calibri"/>
          <w:color w:val="000000" w:themeColor="text1"/>
          <w:sz w:val="16"/>
          <w:szCs w:val="16"/>
        </w:rPr>
        <w:softHyphen/>
        <w:t>ние 5 танков были отправлены 15 августа в 1-е Горьковское танковое училище. Всего же за 8 месяцев Горьковский автозавод им. Молотова изготовил 2913 Т-60.</w:t>
      </w:r>
    </w:p>
    <w:p w14:paraId="23B26DAF" w14:textId="77777777" w:rsidR="0025012D" w:rsidRPr="008127F8" w:rsidRDefault="002501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lastRenderedPageBreak/>
        <w:t>Выход постановления ГКО № 1395 не остановил работы на заводе № 92 по установке в Т-60 пушки ЗИС-19. Поскольку к размещению командира орудия в башне было предъявлено немало претензий, за</w:t>
      </w:r>
      <w:r w:rsidRPr="008127F8">
        <w:rPr>
          <w:rFonts w:eastAsia="Calibri"/>
          <w:color w:val="000000" w:themeColor="text1"/>
          <w:sz w:val="16"/>
          <w:szCs w:val="16"/>
        </w:rPr>
        <w:softHyphen/>
        <w:t>водское КБ внесло в исходный проект значительное число изменений, что потребовало времени. В результате перевооруженный танк прибыл на Гороховецкий полигон лишь 27 марта, и его башня к тому момен</w:t>
      </w:r>
      <w:r w:rsidRPr="008127F8">
        <w:rPr>
          <w:rFonts w:eastAsia="Calibri"/>
          <w:color w:val="000000" w:themeColor="text1"/>
          <w:sz w:val="16"/>
          <w:szCs w:val="16"/>
        </w:rPr>
        <w:softHyphen/>
        <w:t>ту претерпела массу метаморфоз. Получившаяся в результате пере</w:t>
      </w:r>
      <w:r w:rsidRPr="008127F8">
        <w:rPr>
          <w:rFonts w:eastAsia="Calibri"/>
          <w:color w:val="000000" w:themeColor="text1"/>
          <w:sz w:val="16"/>
          <w:szCs w:val="16"/>
        </w:rPr>
        <w:softHyphen/>
        <w:t>делок конструкция имела не много общего со штатной башней Т-60, по сути, от нее осталась лишь нижняя часть. Башенный люк с крыши был перенесен на корму, вместо него установили смотровой прибор от Т-70. Сама башня получила весьма оригинальную, клиновидную фор</w:t>
      </w:r>
      <w:r w:rsidRPr="008127F8">
        <w:rPr>
          <w:rFonts w:eastAsia="Calibri"/>
          <w:color w:val="000000" w:themeColor="text1"/>
          <w:sz w:val="16"/>
          <w:szCs w:val="16"/>
        </w:rPr>
        <w:softHyphen/>
        <w:t>му, орудийная маска стала литой и по форме напоминала аналогичную деталь Т-70. С Т-70 башню роднило и размещение вооружения: при</w:t>
      </w:r>
      <w:r w:rsidRPr="008127F8">
        <w:rPr>
          <w:rFonts w:eastAsia="Calibri"/>
          <w:color w:val="000000" w:themeColor="text1"/>
          <w:sz w:val="16"/>
          <w:szCs w:val="16"/>
        </w:rPr>
        <w:softHyphen/>
        <w:t>цел сместили влево, а на его место установили пулемет ДТ. Благодаря подобным метаморфозам внутренний объем башни увеличился, но об идее использования штатной башни Т-60 можно было забыть. Что же касается ГАЗ, то завод прислал свой танк только 18 апреля, и не пере</w:t>
      </w:r>
      <w:r w:rsidRPr="008127F8">
        <w:rPr>
          <w:rFonts w:eastAsia="Calibri"/>
          <w:color w:val="000000" w:themeColor="text1"/>
          <w:sz w:val="16"/>
          <w:szCs w:val="16"/>
        </w:rPr>
        <w:softHyphen/>
        <w:t>вооруженный на 45-мм пушку Т-60, а Т-70.</w:t>
      </w:r>
    </w:p>
    <w:p w14:paraId="0F2689F3" w14:textId="77777777" w:rsidR="0025012D" w:rsidRPr="008127F8" w:rsidRDefault="002501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Испытания ЗИС-19 в новой башне были начаты 19 апреля, не до</w:t>
      </w:r>
      <w:r w:rsidRPr="008127F8">
        <w:rPr>
          <w:rFonts w:eastAsia="Calibri"/>
          <w:color w:val="000000" w:themeColor="text1"/>
          <w:sz w:val="16"/>
          <w:szCs w:val="16"/>
        </w:rPr>
        <w:softHyphen/>
        <w:t>жидаясь прибытия Т-70. По их результатам выяснилось, что живу</w:t>
      </w:r>
      <w:r w:rsidRPr="008127F8">
        <w:rPr>
          <w:rFonts w:eastAsia="Calibri"/>
          <w:color w:val="000000" w:themeColor="text1"/>
          <w:sz w:val="16"/>
          <w:szCs w:val="16"/>
        </w:rPr>
        <w:softHyphen/>
        <w:t>честь ствола ЗИС-19 оказалась ниже, чем у 45-мм танковой пушки, ввиду более высокой начальной скорости снаряда. Показатели бро- непробиваемости, скорострельности и кучности оказались практи</w:t>
      </w:r>
      <w:r w:rsidRPr="008127F8">
        <w:rPr>
          <w:rFonts w:eastAsia="Calibri"/>
          <w:color w:val="000000" w:themeColor="text1"/>
          <w:sz w:val="16"/>
          <w:szCs w:val="16"/>
        </w:rPr>
        <w:softHyphen/>
        <w:t>чески идентичными, зато по эффективности осколочно-фугасного боеприпаса ЗИС-19 осталась далеко позади. Ввиду того что одной из основных задач малых и легких танков являлась поддержка пехо</w:t>
      </w:r>
      <w:r w:rsidRPr="008127F8">
        <w:rPr>
          <w:rFonts w:eastAsia="Calibri"/>
          <w:color w:val="000000" w:themeColor="text1"/>
          <w:sz w:val="16"/>
          <w:szCs w:val="16"/>
        </w:rPr>
        <w:softHyphen/>
        <w:t>ты и борьба с живой силой противника, данный показатель являлся весьма важным. Тем не менее пушка показала себя перспективной, и в случае устранения обнаруженных конструктивных недостатков планировалась ее установка в Т-70. Не в последнюю очередь положи</w:t>
      </w:r>
      <w:r w:rsidRPr="008127F8">
        <w:rPr>
          <w:rFonts w:eastAsia="Calibri"/>
          <w:color w:val="000000" w:themeColor="text1"/>
          <w:sz w:val="16"/>
          <w:szCs w:val="16"/>
        </w:rPr>
        <w:softHyphen/>
        <w:t>тельные отзывы были вызваны гораздо большей простотой ЗИС-19 и почти в два раза меньшей массой системы. Проблема заключалась в том, что про Т-60 к окончанию испытаний (19 июля) можно было уже окончательно забыть: в начале июля 1942 года вышло постанов</w:t>
      </w:r>
      <w:r w:rsidRPr="008127F8">
        <w:rPr>
          <w:rFonts w:eastAsia="Calibri"/>
          <w:color w:val="000000" w:themeColor="text1"/>
          <w:sz w:val="16"/>
          <w:szCs w:val="16"/>
        </w:rPr>
        <w:softHyphen/>
        <w:t>ление ГКО о снятии танка с производства на заводах № 37, 38 и 264. ЗИС-19, впрочем, тоже опоздала: к тому моменту уже вовсю шла работа над танковой версией 45-мм танковой пушки с удлиненным стволом, более известной как ВТ-42. Она выглядела куда более пер</w:t>
      </w:r>
      <w:r w:rsidRPr="008127F8">
        <w:rPr>
          <w:rFonts w:eastAsia="Calibri"/>
          <w:color w:val="000000" w:themeColor="text1"/>
          <w:sz w:val="16"/>
          <w:szCs w:val="16"/>
        </w:rPr>
        <w:softHyphen/>
        <w:t>спективной (17485).</w:t>
      </w:r>
    </w:p>
    <w:p w14:paraId="5486EBAB" w14:textId="77777777" w:rsidR="0025012D" w:rsidRPr="008127F8" w:rsidRDefault="0025012D" w:rsidP="001E0A84">
      <w:pPr>
        <w:pStyle w:val="af"/>
        <w:spacing w:before="0" w:after="0"/>
        <w:jc w:val="both"/>
        <w:rPr>
          <w:color w:val="000000" w:themeColor="text1"/>
          <w:sz w:val="16"/>
          <w:szCs w:val="16"/>
        </w:rPr>
      </w:pPr>
    </w:p>
    <w:p w14:paraId="73C2D222" w14:textId="77777777" w:rsidR="00B85B60" w:rsidRPr="008127F8" w:rsidRDefault="00B85B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 xml:space="preserve">К февралю 1942 на корпуса Т-60 с экранированной броней перешли почти все корпусные завода, их производство освоил и сам ГАЗ им. Молотова. Сильнее всех переход на экранировку затянул завод №177 (Выксунский завод ДРО), который так и не сдал ни одного такого корпуса за январь 1942 </w:t>
      </w:r>
      <w:proofErr w:type="gramStart"/>
      <w:r w:rsidRPr="008127F8">
        <w:rPr>
          <w:rFonts w:ascii="Times New Roman" w:hAnsi="Times New Roman"/>
          <w:color w:val="000000" w:themeColor="text1"/>
          <w:sz w:val="16"/>
          <w:szCs w:val="16"/>
          <w:shd w:val="clear" w:color="auto" w:fill="FFFFFF"/>
        </w:rPr>
        <w:t>года</w:t>
      </w:r>
      <w:proofErr w:type="gramEnd"/>
      <w:r w:rsidRPr="008127F8">
        <w:rPr>
          <w:rFonts w:ascii="Times New Roman" w:hAnsi="Times New Roman"/>
          <w:color w:val="000000" w:themeColor="text1"/>
          <w:sz w:val="16"/>
          <w:szCs w:val="16"/>
          <w:shd w:val="clear" w:color="auto" w:fill="FFFFFF"/>
        </w:rPr>
        <w:t xml:space="preserve"> При этом, как и было прописано в постановлении ГКО №1062сс, к концу февраля 1942 года начался переход на утолщенные корпуса и башни. Например, первый утолщенный корпус ГАЗ сдал 29 февраля 1942 года. Вероятнее всего, это был не просто утолщенный корпус и башня, а та самая модернизация конца 1941 года. То есть с переносом воздуховода на створку башенного люка. Такой люк не так давно нашелся, так что это не "бумажный" проект, а серийное изделие (22726).</w:t>
      </w:r>
    </w:p>
    <w:p w14:paraId="14045CCA" w14:textId="77777777" w:rsidR="00B85B60" w:rsidRPr="008127F8" w:rsidRDefault="00B85B60" w:rsidP="001E0A84">
      <w:pPr>
        <w:spacing w:after="0" w:line="240" w:lineRule="auto"/>
        <w:jc w:val="both"/>
        <w:rPr>
          <w:rFonts w:ascii="Times New Roman" w:hAnsi="Times New Roman"/>
          <w:color w:val="000000" w:themeColor="text1"/>
          <w:sz w:val="16"/>
          <w:szCs w:val="16"/>
        </w:rPr>
      </w:pPr>
    </w:p>
    <w:p w14:paraId="570BE865" w14:textId="77777777" w:rsidR="00E9478D" w:rsidRPr="008127F8" w:rsidRDefault="00E9478D"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февралю 1942 на танк Т-60 вернулась значительная часть оборудования, которого он лишился в результате упрощений. Что же касается танков весеннего выпуска, то на их облик уже повлиял Т-70. Наиболее заметным отличием танков весеннего выпуска стала модернизация выхлопной системы с установкой глушителя, позаимствованного у нового танка. Новая выхлопная система в сочетании со штампованными опорными катками стала визитной карточкой горьковских Т-60 последнего выпуска, по которой их можно легко отличить от танков выпуска других заводов (17672).</w:t>
      </w:r>
    </w:p>
    <w:p w14:paraId="7EDF4C65" w14:textId="77777777" w:rsidR="00E9478D" w:rsidRPr="008127F8" w:rsidRDefault="00E9478D" w:rsidP="001E0A84">
      <w:pPr>
        <w:spacing w:after="0" w:line="240" w:lineRule="auto"/>
        <w:jc w:val="both"/>
        <w:rPr>
          <w:rFonts w:ascii="Times New Roman" w:eastAsia="Times New Roman" w:hAnsi="Times New Roman"/>
          <w:color w:val="000000" w:themeColor="text1"/>
          <w:sz w:val="16"/>
          <w:szCs w:val="16"/>
          <w:lang w:eastAsia="ru-RU"/>
        </w:rPr>
      </w:pPr>
    </w:p>
    <w:p w14:paraId="5782B97F" w14:textId="77777777" w:rsidR="00B3610A" w:rsidRPr="008127F8" w:rsidRDefault="00B3610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D133240" w14:textId="77777777" w:rsidR="00B3610A" w:rsidRPr="008127F8" w:rsidRDefault="00B3610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B976A" w14:textId="77777777" w:rsidR="00B3610A" w:rsidRPr="008127F8" w:rsidRDefault="00B3610A"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 февралю 1942 года в Фонд обороны от населения страны поступило 11 килограммов платины, 87 килограммов золота, 7151 килограмм серебра, много драгоценных вещей. Люди с невысоким достатком предлагали свою кровь. За годы войны доноры области отдали раненым бойцам Красной Армии 29 тысяч литров крови. Это тоже был весомый вклад в дело победы над врагом (19828).</w:t>
      </w:r>
    </w:p>
    <w:p w14:paraId="446CB95D" w14:textId="77777777" w:rsidR="00B3610A" w:rsidRPr="008127F8" w:rsidRDefault="00B3610A" w:rsidP="001E0A84">
      <w:pPr>
        <w:pStyle w:val="af"/>
        <w:shd w:val="clear" w:color="auto" w:fill="FFFFFF"/>
        <w:spacing w:before="0" w:after="0"/>
        <w:jc w:val="both"/>
        <w:rPr>
          <w:color w:val="000000" w:themeColor="text1"/>
          <w:sz w:val="16"/>
          <w:szCs w:val="16"/>
        </w:rPr>
      </w:pPr>
    </w:p>
    <w:p w14:paraId="1A10085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41DC0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15E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15 февраля 1942, согласно журналу оперативной справки по мотору 120 на заводе № 26, проходил монтаж испытательной установки для М-120ТК (998).</w:t>
      </w:r>
    </w:p>
    <w:p w14:paraId="620AEF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5CD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 с целью расширения производства колес по приказу № 91с филиал завода (Завод № 120 НКТП, НКОП, НКАП, Завод № 120/309 нкоп /Балашиха Московской обл.;  г. Нижний Тагил Свердловской обл.,  г. Каменск Челябинской обл) в Каменске преобразован в самостоятельный завод № 286 НКАП (11982).</w:t>
      </w:r>
    </w:p>
    <w:p w14:paraId="201C92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ACA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 с целью расширения производства колес по приказу № 91с филиал завода № 120 в Каменске преобразован в самостоятельный завод № 286 НКАП.</w:t>
      </w:r>
    </w:p>
    <w:p w14:paraId="016A17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92с от 12.02.1943 г. и № 735с от 8.12.1943 г. с завода № 286 НКАП в ОКБ завода № 219 НКАП переведена большая группа ИТР и рабочих, а также оборудование.</w:t>
      </w:r>
    </w:p>
    <w:p w14:paraId="5E23DB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ВОВ- производство колес для ЛаГГ-3, Як-3, ПС-84, ДБ-ЗФ, Пе-2, У-2. В начале 1945 г. пущено прокатное производство.</w:t>
      </w:r>
    </w:p>
    <w:p w14:paraId="20AF55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435с от 12.11.1945 г.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0179B9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35BB71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72F076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 г. КУЛЗ преобразован в ОАО. С 1998 г. - в ведении РАКА.</w:t>
      </w:r>
    </w:p>
    <w:p w14:paraId="0DEFAA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3E7454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Предприятие имеет производства (2004 г.): литейное, механическое, точной механики, сборочное, металлокерамическое, модельное, гальваническое, </w:t>
      </w:r>
      <w:proofErr w:type="gramStart"/>
      <w:r w:rsidRPr="008127F8">
        <w:rPr>
          <w:rFonts w:ascii="Times New Roman" w:hAnsi="Times New Roman"/>
          <w:color w:val="000000" w:themeColor="text1"/>
          <w:sz w:val="16"/>
          <w:szCs w:val="16"/>
        </w:rPr>
        <w:t>резино-техническое</w:t>
      </w:r>
      <w:proofErr w:type="gramEnd"/>
      <w:r w:rsidRPr="008127F8">
        <w:rPr>
          <w:rFonts w:ascii="Times New Roman" w:hAnsi="Times New Roman"/>
          <w:color w:val="000000" w:themeColor="text1"/>
          <w:sz w:val="16"/>
          <w:szCs w:val="16"/>
        </w:rPr>
        <w:t>, кузнечно-прессовое.</w:t>
      </w:r>
    </w:p>
    <w:p w14:paraId="0FCEBA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8D03E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Е.М. Гарницкий, (-07.1942-02.1943 г.-)- А.Ф. Клементьев, (-08-09.1943 г.-)- Черняев. Гендиректор (середина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М.И. Шляпников, (1996 г.)- Б.И. Пасынков, (2001 г.)- А.В. Барабанов.</w:t>
      </w:r>
    </w:p>
    <w:p w14:paraId="37EB4D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5912A494" w14:textId="77777777" w:rsidR="0025012D" w:rsidRPr="008127F8" w:rsidRDefault="0025012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095D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7C104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E74E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вышло Постановление ГКО № 1226 О передаче оборудования эвакуированного завода № 352 НКВ (г.Новочеркасск) заводу № 221 НКВ. РГАНИР, Фонд ГКО, д. 20, лл. 150 (11012).</w:t>
      </w:r>
    </w:p>
    <w:p w14:paraId="7ECE3E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DED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 вышло постановление ГКО № 1226 о передаче оборудования завода № 352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заводу № 221 НКВ. Во время оккупации завод был разрушен.</w:t>
      </w:r>
    </w:p>
    <w:p w14:paraId="0209CE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8127F8">
        <w:rPr>
          <w:rFonts w:ascii="Times New Roman" w:hAnsi="Times New Roman"/>
          <w:color w:val="000000" w:themeColor="text1"/>
          <w:sz w:val="16"/>
          <w:szCs w:val="16"/>
          <w:lang w:val="en-US"/>
        </w:rPr>
        <w:t>BJI</w:t>
      </w:r>
      <w:r w:rsidRPr="008127F8">
        <w:rPr>
          <w:rFonts w:ascii="Times New Roman" w:hAnsi="Times New Roman"/>
          <w:color w:val="000000" w:themeColor="text1"/>
          <w:sz w:val="16"/>
          <w:szCs w:val="16"/>
        </w:rPr>
        <w:t>22</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w:t>
      </w:r>
    </w:p>
    <w:p w14:paraId="4D4EB6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5FC229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02.2003 г. НПО НЭВЗ вошло в ЗАО «Трансмашхолдинг» (ТМХ)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Москва). В 10.2003 г. на базе обанкроченного НПО НЭВЗ создано ОАО «Производственное объединение (ПО) НЭВЗ».</w:t>
      </w:r>
    </w:p>
    <w:p w14:paraId="36B9DF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(26.05-08.1938 г.-)- Н.А. Максимов. Гендиректор (2007 г.)- С.Ф. Подуст.</w:t>
      </w:r>
    </w:p>
    <w:p w14:paraId="13D06C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(26.05.1938 г.-)- И.И. Хомяков.</w:t>
      </w:r>
      <w:r w:rsidRPr="008127F8">
        <w:rPr>
          <w:rFonts w:ascii="Times New Roman" w:hAnsi="Times New Roman"/>
          <w:color w:val="000000" w:themeColor="text1"/>
          <w:sz w:val="16"/>
          <w:szCs w:val="16"/>
          <w:vertAlign w:val="superscript"/>
        </w:rPr>
        <w:t>139</w:t>
      </w:r>
    </w:p>
    <w:p w14:paraId="3DE6F48E" w14:textId="77777777" w:rsidR="0025012D"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8127F8">
        <w:rPr>
          <w:rFonts w:ascii="Times New Roman" w:hAnsi="Times New Roman"/>
          <w:color w:val="000000" w:themeColor="text1"/>
          <w:sz w:val="16"/>
          <w:szCs w:val="16"/>
          <w:lang w:val="en-US"/>
        </w:rPr>
        <w:t>BJI</w:t>
      </w:r>
      <w:r w:rsidRPr="008127F8">
        <w:rPr>
          <w:rFonts w:ascii="Times New Roman" w:hAnsi="Times New Roman"/>
          <w:color w:val="000000" w:themeColor="text1"/>
          <w:sz w:val="16"/>
          <w:szCs w:val="16"/>
        </w:rPr>
        <w:t>22</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(1947-), </w:t>
      </w:r>
      <w:r w:rsidRPr="008127F8">
        <w:rPr>
          <w:rFonts w:ascii="Times New Roman" w:hAnsi="Times New Roman"/>
          <w:color w:val="000000" w:themeColor="text1"/>
          <w:sz w:val="16"/>
          <w:szCs w:val="16"/>
          <w:lang w:val="en-US"/>
        </w:rPr>
        <w:t>BJI</w:t>
      </w:r>
      <w:r w:rsidRPr="008127F8">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6040CA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3097D0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4B1817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w:t>
      </w:r>
      <w:proofErr w:type="gramStart"/>
      <w:r w:rsidRPr="008127F8">
        <w:rPr>
          <w:rFonts w:ascii="Times New Roman" w:hAnsi="Times New Roman"/>
          <w:color w:val="000000" w:themeColor="text1"/>
          <w:sz w:val="16"/>
          <w:szCs w:val="16"/>
        </w:rPr>
        <w:t>1958  г.</w:t>
      </w:r>
      <w:proofErr w:type="gramEnd"/>
      <w:r w:rsidRPr="008127F8">
        <w:rPr>
          <w:rFonts w:ascii="Times New Roman" w:hAnsi="Times New Roman"/>
          <w:color w:val="000000" w:themeColor="text1"/>
          <w:sz w:val="16"/>
          <w:szCs w:val="16"/>
        </w:rPr>
        <w:t xml:space="preserve"> на базе СКБ завода, ОГК и ЦЗЭЛ был создан ВЭлНИИ для проведения научных исследований и разработки схем и конструкций электровозов.</w:t>
      </w:r>
    </w:p>
    <w:p w14:paraId="764CFB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электровозы: 1</w:t>
      </w:r>
      <w:r w:rsidRPr="008127F8">
        <w:rPr>
          <w:rFonts w:ascii="Times New Roman" w:hAnsi="Times New Roman"/>
          <w:color w:val="000000" w:themeColor="text1"/>
          <w:sz w:val="16"/>
          <w:szCs w:val="16"/>
          <w:lang w:val="en-US"/>
        </w:rPr>
        <w:t>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-1. П-КП-4Б «Бурлаки» для буксировки судов через шлюзы Камской ГЭС (11982).</w:t>
      </w:r>
    </w:p>
    <w:p w14:paraId="025957F0" w14:textId="77777777" w:rsidR="0025012D" w:rsidRPr="008127F8" w:rsidRDefault="0025012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F3E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вышло Постановление ГКО № 1231 О ежесуточном выпуске в третьей декаде февраля 35 и в третьей декаде марта 45 танков Т-34. РГАНИР, Фонд ГКО, д. 20, лл. 166-176, 177-181 (11012).</w:t>
      </w:r>
    </w:p>
    <w:p w14:paraId="6A50E9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57B4A"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w:t>
      </w:r>
    </w:p>
    <w:p w14:paraId="7C278BF0"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82 лист 118 – 133</w:t>
      </w:r>
    </w:p>
    <w:p w14:paraId="14307006"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3.II-42 г. № 945</w:t>
      </w:r>
    </w:p>
    <w:p w14:paraId="21465725"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p>
    <w:p w14:paraId="2289EC6D"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03FDE1A"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4D385061"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150-Мсс</w:t>
      </w:r>
    </w:p>
    <w:p w14:paraId="04707747"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w:t>
      </w:r>
    </w:p>
    <w:p w14:paraId="699C90B1" w14:textId="0602CCB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своим постановлением от "1" февраля 1942 года № 1231сс установил, что Наркомтанкопром в январе 1942 года резко не выполнил задания по выпуску танков Т-34. Государственный Комитет Обороны особенно отметил, плохую работу завода № 183 (директор завода т. Максарев), выпустившего в январе с.г. 75 танков, вместо 430 танков по плану.</w:t>
      </w:r>
      <w:r w:rsidR="008127F8">
        <w:rPr>
          <w:rFonts w:ascii="Times New Roman" w:hAnsi="Times New Roman"/>
          <w:color w:val="000000" w:themeColor="text1"/>
          <w:sz w:val="16"/>
          <w:szCs w:val="16"/>
        </w:rPr>
        <w:t xml:space="preserve">  </w:t>
      </w:r>
    </w:p>
    <w:p w14:paraId="3667D574" w14:textId="02AFFD5D"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установил, что в Наркомтанкопроме неудовлетворительно организована кооперация танковых заводов между собой, в результате чего Кировский завод сорвал обеспечение штамповками завода № 183.</w:t>
      </w:r>
      <w:r w:rsidR="008127F8">
        <w:rPr>
          <w:rFonts w:ascii="Times New Roman" w:hAnsi="Times New Roman"/>
          <w:color w:val="000000" w:themeColor="text1"/>
          <w:sz w:val="16"/>
          <w:szCs w:val="16"/>
        </w:rPr>
        <w:t xml:space="preserve">  </w:t>
      </w:r>
    </w:p>
    <w:p w14:paraId="4874A658" w14:textId="31F8BA0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Придавая исключительное значение танкам Т-34 для вооружения Красной Армии, Государственный Комитет Обороны постановил главной задачей Наркомтанкопрома значительное увеличение в феврале и марте 1942 года выпуска танков Т-34.</w:t>
      </w:r>
      <w:r w:rsidR="008127F8">
        <w:rPr>
          <w:rFonts w:ascii="Times New Roman" w:hAnsi="Times New Roman"/>
          <w:color w:val="000000" w:themeColor="text1"/>
          <w:sz w:val="16"/>
          <w:szCs w:val="16"/>
        </w:rPr>
        <w:t xml:space="preserve">  </w:t>
      </w:r>
    </w:p>
    <w:p w14:paraId="3E1E6AB1" w14:textId="21FC63E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ПРИКАЗЫВАЮ:</w:t>
      </w:r>
      <w:r w:rsidR="008127F8">
        <w:rPr>
          <w:rFonts w:ascii="Times New Roman" w:hAnsi="Times New Roman"/>
          <w:color w:val="000000" w:themeColor="text1"/>
          <w:sz w:val="16"/>
          <w:szCs w:val="16"/>
        </w:rPr>
        <w:t xml:space="preserve">  </w:t>
      </w:r>
    </w:p>
    <w:p w14:paraId="2FEFD148" w14:textId="44A974E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Установить на февраль и март 1942 года следующий график ежесугочного выпуска танков Т-34 по заводам:</w:t>
      </w:r>
      <w:r w:rsidR="008127F8">
        <w:rPr>
          <w:rFonts w:ascii="Times New Roman" w:hAnsi="Times New Roman"/>
          <w:color w:val="000000" w:themeColor="text1"/>
          <w:sz w:val="16"/>
          <w:szCs w:val="16"/>
        </w:rPr>
        <w:t xml:space="preserve">  </w:t>
      </w:r>
    </w:p>
    <w:p w14:paraId="1E3C8DDA" w14:textId="00AEF16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на февраль и март 1942 года следующий график ежесуточного выпуска дизелей В-2 по заводам:</w:t>
      </w:r>
      <w:r w:rsidR="008127F8">
        <w:rPr>
          <w:rFonts w:ascii="Times New Roman" w:hAnsi="Times New Roman"/>
          <w:color w:val="000000" w:themeColor="text1"/>
          <w:sz w:val="16"/>
          <w:szCs w:val="16"/>
        </w:rPr>
        <w:t xml:space="preserve">  </w:t>
      </w:r>
    </w:p>
    <w:p w14:paraId="141A9DBE" w14:textId="2883E7C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на февраль и март 1942 года следующий график ежесуточного выпуска топливных насосов и форсунок для дизелей В-2:</w:t>
      </w:r>
      <w:r w:rsidR="008127F8">
        <w:rPr>
          <w:rFonts w:ascii="Times New Roman" w:hAnsi="Times New Roman"/>
          <w:color w:val="000000" w:themeColor="text1"/>
          <w:sz w:val="16"/>
          <w:szCs w:val="16"/>
        </w:rPr>
        <w:t xml:space="preserve">  </w:t>
      </w:r>
    </w:p>
    <w:p w14:paraId="5C2248AE" w14:textId="334A99C2"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на февраль и март 1942 года следующий график ежесуточного производства корпусов танка Т-34 по заводам:</w:t>
      </w:r>
      <w:r w:rsidR="008127F8">
        <w:rPr>
          <w:rFonts w:ascii="Times New Roman" w:hAnsi="Times New Roman"/>
          <w:color w:val="000000" w:themeColor="text1"/>
          <w:sz w:val="16"/>
          <w:szCs w:val="16"/>
        </w:rPr>
        <w:t xml:space="preserve">  </w:t>
      </w:r>
    </w:p>
    <w:p w14:paraId="2A4B2011" w14:textId="3075C28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соответствии с постановлением Государственного Комитета Обороны от 1 февраля 1942 г. № 1231сс установить следующий график выпуска танков КВ в феврале и марте 1942 года по Кировскому заводу:</w:t>
      </w:r>
      <w:r w:rsidR="008127F8">
        <w:rPr>
          <w:rFonts w:ascii="Times New Roman" w:hAnsi="Times New Roman"/>
          <w:color w:val="000000" w:themeColor="text1"/>
          <w:sz w:val="16"/>
          <w:szCs w:val="16"/>
        </w:rPr>
        <w:t xml:space="preserve">  </w:t>
      </w:r>
    </w:p>
    <w:p w14:paraId="1F19F263" w14:textId="11FB406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завода № 112 т. Михалеву и моему заместителю т. Степанову учесть, что означенным постановлением Государственного Комитета Обороны Наркомсредмаш т. Акопов и директор Горьковского автозавода т. Лоскутов, под их личную ответственность, обязаны изготовить и поставить в феврале и марте 1942 года заводу № 112 моторов М-17Т комплектно с электрооборудованием по следующему ежесуточному графику:</w:t>
      </w:r>
      <w:r w:rsidR="008127F8">
        <w:rPr>
          <w:rFonts w:ascii="Times New Roman" w:hAnsi="Times New Roman"/>
          <w:color w:val="000000" w:themeColor="text1"/>
          <w:sz w:val="16"/>
          <w:szCs w:val="16"/>
        </w:rPr>
        <w:t xml:space="preserve">  </w:t>
      </w:r>
    </w:p>
    <w:p w14:paraId="41747B02" w14:textId="2DA2F7E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Директору завода № 264 т. Зернову и Зам. Нач. 1-го отдела Наркомата т. Давтяну учесть, что означенным постановлением Государственного Комитета Обороны Наркомтяжмаш т. Казаков и директоры заводов Коломенского – т. Бебенин и Ворошиловградского паровозного – т. Веллер обязаны обеспечить отливку и поставку заводу № 264 в отожженном виде литых башен танка Т-34 по следующему ежесуточному графику:</w:t>
      </w:r>
      <w:r w:rsidR="008127F8">
        <w:rPr>
          <w:rFonts w:ascii="Times New Roman" w:hAnsi="Times New Roman"/>
          <w:color w:val="000000" w:themeColor="text1"/>
          <w:sz w:val="16"/>
          <w:szCs w:val="16"/>
        </w:rPr>
        <w:t xml:space="preserve">  </w:t>
      </w:r>
    </w:p>
    <w:p w14:paraId="2C9FDAAA" w14:textId="4D0BDEB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Директорам заводов № 183 т. Зальцману, № 112 т. Михалеву и № 178 т. Скиба на период освоения Коломенским и Ворошиловградским заводами обеспечить отливку и поставку заводу № 264 в отожженном виде литых башен танка Т-34 по следующему графику:</w:t>
      </w:r>
      <w:r w:rsidR="008127F8">
        <w:rPr>
          <w:rFonts w:ascii="Times New Roman" w:hAnsi="Times New Roman"/>
          <w:color w:val="000000" w:themeColor="text1"/>
          <w:sz w:val="16"/>
          <w:szCs w:val="16"/>
        </w:rPr>
        <w:t xml:space="preserve">  </w:t>
      </w:r>
    </w:p>
    <w:p w14:paraId="0B94648F" w14:textId="2D37710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Директорам заводов Сталинградского – т. Задорожному, № 112 – т. Михалеву, № 183 – т. Зальцман и моему заместителю т. Петросьянцу учесть, что означенным постановлением Государственного Комитета Обороны Наркомвооружения т. Устинов, ГАУ КА т. Яковлев и директор завода № 92 – т. Елян обязаны изготовить в феврале и марте 1942 года пушки по следующему графику:</w:t>
      </w:r>
      <w:r w:rsidR="008127F8">
        <w:rPr>
          <w:rFonts w:ascii="Times New Roman" w:hAnsi="Times New Roman"/>
          <w:color w:val="000000" w:themeColor="text1"/>
          <w:sz w:val="16"/>
          <w:szCs w:val="16"/>
        </w:rPr>
        <w:t xml:space="preserve">  </w:t>
      </w:r>
    </w:p>
    <w:p w14:paraId="56E26949" w14:textId="61DBA2A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также поставить равномерно по декадам в феврале и марте 4300 пулеметов ДТ и комплектно всю оптику.</w:t>
      </w:r>
      <w:r w:rsidR="008127F8">
        <w:rPr>
          <w:rFonts w:ascii="Times New Roman" w:hAnsi="Times New Roman"/>
          <w:color w:val="000000" w:themeColor="text1"/>
          <w:sz w:val="16"/>
          <w:szCs w:val="16"/>
        </w:rPr>
        <w:t xml:space="preserve">  </w:t>
      </w:r>
    </w:p>
    <w:p w14:paraId="46EDFD38" w14:textId="0CBCE189"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Директорам заводов № 264 – т. Зернову, № 183 – т. Зальцман и моему заместителю т. Щербакову учесть, что означенным постановлением Государственного Комитета Обороны Наркомчермет т. Тевосян и директоры завода "Красный Октябрь" – т. Матвеев, Магнитогорского завода – т. Носов, Кузнецкого завода – т. Белан и Ново-Тагильского завода – т. Рязанов обязаны изготовить и поставить в феврале и марте 1942 года отожженного полуобрезного бронелиста в следующих количествах:</w:t>
      </w:r>
      <w:r w:rsidR="008127F8">
        <w:rPr>
          <w:rFonts w:ascii="Times New Roman" w:hAnsi="Times New Roman"/>
          <w:color w:val="000000" w:themeColor="text1"/>
          <w:sz w:val="16"/>
          <w:szCs w:val="16"/>
        </w:rPr>
        <w:t xml:space="preserve">  </w:t>
      </w:r>
    </w:p>
    <w:p w14:paraId="3318362B" w14:textId="387C41B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Директору Сталинградского тракторного завода т. Задорожному учесть, что Государственный Комитет Обороны обязал НКО тт. Щаденко и Федоренко закрепить до конца 1942 года для работы на Сталинградском тракторном заводе 1100 человек военнослужащих из запасного полка и ремонтных батальонов.</w:t>
      </w:r>
      <w:r w:rsidR="008127F8">
        <w:rPr>
          <w:rFonts w:ascii="Times New Roman" w:hAnsi="Times New Roman"/>
          <w:color w:val="000000" w:themeColor="text1"/>
          <w:sz w:val="16"/>
          <w:szCs w:val="16"/>
        </w:rPr>
        <w:t xml:space="preserve">  </w:t>
      </w:r>
    </w:p>
    <w:p w14:paraId="42E2EDE2" w14:textId="1B0073C4"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Директору завода № 264 – т. Зернову и и.о. директора Кировского завода – т. Махонину учесть, что Государственный Комитет Обороны обязал НКО тт. Щаденко и Федоренко мобилизовать до 10 февраля 1942 года для завода № 264 1000 человек рабочих из местных мобилизационных контингентов и для Кировского завода 3000 человек (сверх ранее мобилизованных).</w:t>
      </w:r>
      <w:r w:rsidR="008127F8">
        <w:rPr>
          <w:rFonts w:ascii="Times New Roman" w:hAnsi="Times New Roman"/>
          <w:color w:val="000000" w:themeColor="text1"/>
          <w:sz w:val="16"/>
          <w:szCs w:val="16"/>
        </w:rPr>
        <w:t xml:space="preserve">  </w:t>
      </w:r>
    </w:p>
    <w:p w14:paraId="16CCBDE9" w14:textId="0D68395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Т.т. Зернову и Махонину подготовить общежития для всех рабочих, поступающих на завод по мобилизации НКО и обеспечить их необходимой для работы спецодеждой.</w:t>
      </w:r>
      <w:r w:rsidR="008127F8">
        <w:rPr>
          <w:rFonts w:ascii="Times New Roman" w:hAnsi="Times New Roman"/>
          <w:color w:val="000000" w:themeColor="text1"/>
          <w:sz w:val="16"/>
          <w:szCs w:val="16"/>
        </w:rPr>
        <w:t xml:space="preserve">  </w:t>
      </w:r>
    </w:p>
    <w:p w14:paraId="479E6012" w14:textId="70DB6C8C"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Директору завода № 264 т. Зернову, Зам. Нач. Отдела Главного Механика Наркомтанкопрома т. Белику и Начальнику транспортного отдела т. Косолапову учесть, что:</w:t>
      </w:r>
      <w:r w:rsidR="008127F8">
        <w:rPr>
          <w:rFonts w:ascii="Times New Roman" w:hAnsi="Times New Roman"/>
          <w:color w:val="000000" w:themeColor="text1"/>
          <w:sz w:val="16"/>
          <w:szCs w:val="16"/>
        </w:rPr>
        <w:t xml:space="preserve">  </w:t>
      </w:r>
    </w:p>
    <w:p w14:paraId="21D876DF" w14:textId="30FDAEF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Наркомтяжмаш т. Казаков обязан немедленно передать заводу № 264 два мостовых 10-тонных крана с Ворошиловградского завода, 2 штуки правильных вальцов для правки брони до 45 мм и 50 штук сварочных трансформаторов;</w:t>
      </w:r>
      <w:r w:rsidR="008127F8">
        <w:rPr>
          <w:rFonts w:ascii="Times New Roman" w:hAnsi="Times New Roman"/>
          <w:color w:val="000000" w:themeColor="text1"/>
          <w:sz w:val="16"/>
          <w:szCs w:val="16"/>
        </w:rPr>
        <w:t xml:space="preserve">  </w:t>
      </w:r>
    </w:p>
    <w:p w14:paraId="085504CF" w14:textId="4E61FE7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НКПС т. Арутюнов без задержки в декадный срок обязан перевезти эти вальцы, краны и сварочные трансформаторы в Сталинград.</w:t>
      </w:r>
      <w:r w:rsidR="008127F8">
        <w:rPr>
          <w:rFonts w:ascii="Times New Roman" w:hAnsi="Times New Roman"/>
          <w:color w:val="000000" w:themeColor="text1"/>
          <w:sz w:val="16"/>
          <w:szCs w:val="16"/>
        </w:rPr>
        <w:t xml:space="preserve">  </w:t>
      </w:r>
    </w:p>
    <w:p w14:paraId="40A62ABA" w14:textId="000ED792"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14.Директорам заводов им. Орджоникидзе – т. Люльченко, им. Ленина – т. Эльцину, ГЗФС – т. Рябову, "Станкоконструкция" – т. </w:t>
      </w:r>
      <w:proofErr w:type="gramStart"/>
      <w:r w:rsidRPr="008127F8">
        <w:rPr>
          <w:rFonts w:ascii="Times New Roman" w:hAnsi="Times New Roman"/>
          <w:color w:val="000000" w:themeColor="text1"/>
          <w:sz w:val="16"/>
          <w:szCs w:val="16"/>
        </w:rPr>
        <w:t>Масленникову ,</w:t>
      </w:r>
      <w:proofErr w:type="gramEnd"/>
      <w:r w:rsidRPr="008127F8">
        <w:rPr>
          <w:rFonts w:ascii="Times New Roman" w:hAnsi="Times New Roman"/>
          <w:color w:val="000000" w:themeColor="text1"/>
          <w:sz w:val="16"/>
          <w:szCs w:val="16"/>
        </w:rPr>
        <w:t xml:space="preserve"> им. Горького – т. Бершадскому изготовить для завода № 183 в феврале и марте 1942 года из имеющегося задела станки, согласно приложению № 1.</w:t>
      </w:r>
      <w:r w:rsidR="008127F8">
        <w:rPr>
          <w:rFonts w:ascii="Times New Roman" w:hAnsi="Times New Roman"/>
          <w:color w:val="000000" w:themeColor="text1"/>
          <w:sz w:val="16"/>
          <w:szCs w:val="16"/>
        </w:rPr>
        <w:t xml:space="preserve">  </w:t>
      </w:r>
    </w:p>
    <w:p w14:paraId="41C1FDE2" w14:textId="021E4BBA"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Начальнику ОКСа Наркомтанкопрома т. Корневу, директору завода № 183 т. Зальцман и директору завода № 76 т. Кочеткову учесть, что означенным постановлением Государственного Комитета Обороны Наркомстрой т. Юдин обязан под свою личную ответственность закончить на заводе № 183 следующие строительные работы:</w:t>
      </w:r>
      <w:r w:rsidR="008127F8">
        <w:rPr>
          <w:rFonts w:ascii="Times New Roman" w:hAnsi="Times New Roman"/>
          <w:color w:val="000000" w:themeColor="text1"/>
          <w:sz w:val="16"/>
          <w:szCs w:val="16"/>
        </w:rPr>
        <w:t xml:space="preserve">  </w:t>
      </w:r>
    </w:p>
    <w:p w14:paraId="4A35988C" w14:textId="786D230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15 февраля с.г. сдать под монтаж деревянный корпус инструментального цеха;</w:t>
      </w:r>
      <w:r w:rsidR="008127F8">
        <w:rPr>
          <w:rFonts w:ascii="Times New Roman" w:hAnsi="Times New Roman"/>
          <w:color w:val="000000" w:themeColor="text1"/>
          <w:sz w:val="16"/>
          <w:szCs w:val="16"/>
        </w:rPr>
        <w:t xml:space="preserve">  </w:t>
      </w:r>
    </w:p>
    <w:p w14:paraId="052A1DB6" w14:textId="70CAB3D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20 февраля с.г. деревянный корпус в 8500 кв. метров для размещения производства боеприпасов;</w:t>
      </w:r>
      <w:r w:rsidR="008127F8">
        <w:rPr>
          <w:rFonts w:ascii="Times New Roman" w:hAnsi="Times New Roman"/>
          <w:color w:val="000000" w:themeColor="text1"/>
          <w:sz w:val="16"/>
          <w:szCs w:val="16"/>
        </w:rPr>
        <w:t xml:space="preserve">  </w:t>
      </w:r>
    </w:p>
    <w:p w14:paraId="3BC28358" w14:textId="5C4432F5"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закончить и пустить в эксплоатацию 2 мартена – первый к 15 февраля и второй – к 1 марта 1942 года;</w:t>
      </w:r>
      <w:r w:rsidR="008127F8">
        <w:rPr>
          <w:rFonts w:ascii="Times New Roman" w:hAnsi="Times New Roman"/>
          <w:color w:val="000000" w:themeColor="text1"/>
          <w:sz w:val="16"/>
          <w:szCs w:val="16"/>
        </w:rPr>
        <w:t xml:space="preserve">  </w:t>
      </w:r>
    </w:p>
    <w:p w14:paraId="30359199" w14:textId="70FDD6E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 25 февраля с.г. построить земляное нефтехранилище на 200 тонн мазута;</w:t>
      </w:r>
      <w:r w:rsidR="008127F8">
        <w:rPr>
          <w:rFonts w:ascii="Times New Roman" w:hAnsi="Times New Roman"/>
          <w:color w:val="000000" w:themeColor="text1"/>
          <w:sz w:val="16"/>
          <w:szCs w:val="16"/>
        </w:rPr>
        <w:t xml:space="preserve">  </w:t>
      </w:r>
    </w:p>
    <w:p w14:paraId="121F7121" w14:textId="3C0FE37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к 10 февраля с.г. полностью закончить монтаж оборудования броневого участка;</w:t>
      </w:r>
      <w:r w:rsidR="008127F8">
        <w:rPr>
          <w:rFonts w:ascii="Times New Roman" w:hAnsi="Times New Roman"/>
          <w:color w:val="000000" w:themeColor="text1"/>
          <w:sz w:val="16"/>
          <w:szCs w:val="16"/>
        </w:rPr>
        <w:t xml:space="preserve">  </w:t>
      </w:r>
    </w:p>
    <w:p w14:paraId="5B43AA98" w14:textId="3B774BD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к 15 февраля с.г. закончить строительством и сдать под монтаж механический цех на заводе № 76.</w:t>
      </w:r>
      <w:r w:rsidR="008127F8">
        <w:rPr>
          <w:rFonts w:ascii="Times New Roman" w:hAnsi="Times New Roman"/>
          <w:color w:val="000000" w:themeColor="text1"/>
          <w:sz w:val="16"/>
          <w:szCs w:val="16"/>
        </w:rPr>
        <w:t xml:space="preserve">  </w:t>
      </w:r>
    </w:p>
    <w:p w14:paraId="4DF47E7B" w14:textId="5A1AED6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Юдин обязан немедленно выехать в Нижний Тагил и лично обеспечить выполнение строительства в установленные сроки.</w:t>
      </w:r>
      <w:r w:rsidR="008127F8">
        <w:rPr>
          <w:rFonts w:ascii="Times New Roman" w:hAnsi="Times New Roman"/>
          <w:color w:val="000000" w:themeColor="text1"/>
          <w:sz w:val="16"/>
          <w:szCs w:val="16"/>
        </w:rPr>
        <w:t xml:space="preserve">  </w:t>
      </w:r>
    </w:p>
    <w:p w14:paraId="37A518CA" w14:textId="49BB4D8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Директору завода № 183 т. Зальцман учесть, что он обязан принять и пустить в эксплоатацию в феврале месяце с.г., а Наркомсредмаш (т. Акопов) обязан передать следующее оборудование быв. Орджоникидзеградского сталелитейного завода: 2 мульдомагнитных крана, мульдошаржирный кран, электропечь 5 тн</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3 формовочных машины.</w:t>
      </w:r>
      <w:r w:rsidR="008127F8">
        <w:rPr>
          <w:rFonts w:ascii="Times New Roman" w:hAnsi="Times New Roman"/>
          <w:color w:val="000000" w:themeColor="text1"/>
          <w:sz w:val="16"/>
          <w:szCs w:val="16"/>
        </w:rPr>
        <w:t xml:space="preserve">  </w:t>
      </w:r>
    </w:p>
    <w:p w14:paraId="53B4CAA2" w14:textId="5D91BF2C"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Директору завода № 183 т. Зальцман и директору завода № 264 т. Зернову учесть, что Государственный Комитет Обороны отметил невыполнение Наркомтяжмашем (т. Казаков) постановления ГКО от 14 ноября 1941 г. № 69сс о пуске в декабре месяце с.г. 2 кислородных установок в Нижнем Тагиле и обязал Наркомтяжмаш т. Казакова и начальника Глававтогена т. Сукова:</w:t>
      </w:r>
      <w:r w:rsidR="008127F8">
        <w:rPr>
          <w:rFonts w:ascii="Times New Roman" w:hAnsi="Times New Roman"/>
          <w:color w:val="000000" w:themeColor="text1"/>
          <w:sz w:val="16"/>
          <w:szCs w:val="16"/>
        </w:rPr>
        <w:t xml:space="preserve">  </w:t>
      </w:r>
    </w:p>
    <w:p w14:paraId="59CE8D1B" w14:textId="664F160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15 февраля с.г. сдать в эксплоатацию в Нижнем Тагиле одну кислородную установку на 250 кбм., а к 1 марта с.г. вторую кислородную установку на ту же мощность;</w:t>
      </w:r>
      <w:r w:rsidR="008127F8">
        <w:rPr>
          <w:rFonts w:ascii="Times New Roman" w:hAnsi="Times New Roman"/>
          <w:color w:val="000000" w:themeColor="text1"/>
          <w:sz w:val="16"/>
          <w:szCs w:val="16"/>
        </w:rPr>
        <w:t xml:space="preserve">  </w:t>
      </w:r>
    </w:p>
    <w:p w14:paraId="64081FFF" w14:textId="005A291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отпуск заводу № 264 в г. Сталинграде ежедневно 1000 баллонов кислорода за счет любых потребителей кроме СТЗ и завода "Баррикады".</w:t>
      </w:r>
      <w:r w:rsidR="008127F8">
        <w:rPr>
          <w:rFonts w:ascii="Times New Roman" w:hAnsi="Times New Roman"/>
          <w:color w:val="000000" w:themeColor="text1"/>
          <w:sz w:val="16"/>
          <w:szCs w:val="16"/>
        </w:rPr>
        <w:t xml:space="preserve">  </w:t>
      </w:r>
    </w:p>
    <w:p w14:paraId="26C055A7" w14:textId="4297A18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Начальнику Главснаба т. Розину и директору завода № 183 т. Зальцман учесть, что Наркомсредмаш (т. Акопов) обязан поставить заводу № 183 до 25 февраля с.г. дополнительно к выделенным Наркомтанкопромом фондам на 1 квартал за счет отодвижки поставки другим потребителям кроме НКАП и НКБ следующий инструмент:</w:t>
      </w:r>
      <w:r w:rsidR="008127F8">
        <w:rPr>
          <w:rFonts w:ascii="Times New Roman" w:hAnsi="Times New Roman"/>
          <w:color w:val="000000" w:themeColor="text1"/>
          <w:sz w:val="16"/>
          <w:szCs w:val="16"/>
        </w:rPr>
        <w:t xml:space="preserve">  </w:t>
      </w:r>
    </w:p>
    <w:p w14:paraId="3BA29D3E" w14:textId="666F726D"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метчиков на 10 тыс. руб.</w:t>
      </w:r>
      <w:r w:rsidR="008127F8">
        <w:rPr>
          <w:rFonts w:ascii="Times New Roman" w:hAnsi="Times New Roman"/>
          <w:color w:val="000000" w:themeColor="text1"/>
          <w:sz w:val="16"/>
          <w:szCs w:val="16"/>
        </w:rPr>
        <w:t xml:space="preserve">  </w:t>
      </w:r>
    </w:p>
    <w:p w14:paraId="6877287D" w14:textId="0D0007F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плашек на 10 тыс. руб.</w:t>
      </w:r>
      <w:r w:rsidR="008127F8">
        <w:rPr>
          <w:rFonts w:ascii="Times New Roman" w:hAnsi="Times New Roman"/>
          <w:color w:val="000000" w:themeColor="text1"/>
          <w:sz w:val="16"/>
          <w:szCs w:val="16"/>
        </w:rPr>
        <w:t xml:space="preserve">  </w:t>
      </w:r>
    </w:p>
    <w:p w14:paraId="3E5942DD" w14:textId="77F6965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разверток на 8 тыс. руб.</w:t>
      </w:r>
      <w:r w:rsidR="008127F8">
        <w:rPr>
          <w:rFonts w:ascii="Times New Roman" w:hAnsi="Times New Roman"/>
          <w:color w:val="000000" w:themeColor="text1"/>
          <w:sz w:val="16"/>
          <w:szCs w:val="16"/>
        </w:rPr>
        <w:t xml:space="preserve">  </w:t>
      </w:r>
    </w:p>
    <w:p w14:paraId="0166F101" w14:textId="7A9E275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фрез на 60 тыс. руб.</w:t>
      </w:r>
      <w:r w:rsidR="008127F8">
        <w:rPr>
          <w:rFonts w:ascii="Times New Roman" w:hAnsi="Times New Roman"/>
          <w:color w:val="000000" w:themeColor="text1"/>
          <w:sz w:val="16"/>
          <w:szCs w:val="16"/>
        </w:rPr>
        <w:t xml:space="preserve">  </w:t>
      </w:r>
    </w:p>
    <w:p w14:paraId="6538693C" w14:textId="09BCD45D"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сверл из быстрорежущей стали на 60 тыс. руб.</w:t>
      </w:r>
      <w:r w:rsidR="008127F8">
        <w:rPr>
          <w:rFonts w:ascii="Times New Roman" w:hAnsi="Times New Roman"/>
          <w:color w:val="000000" w:themeColor="text1"/>
          <w:sz w:val="16"/>
          <w:szCs w:val="16"/>
        </w:rPr>
        <w:t xml:space="preserve">  </w:t>
      </w:r>
    </w:p>
    <w:p w14:paraId="402A13A4" w14:textId="22C21B3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напильников на 30 тыс. руб.</w:t>
      </w:r>
      <w:r w:rsidR="008127F8">
        <w:rPr>
          <w:rFonts w:ascii="Times New Roman" w:hAnsi="Times New Roman"/>
          <w:color w:val="000000" w:themeColor="text1"/>
          <w:sz w:val="16"/>
          <w:szCs w:val="16"/>
        </w:rPr>
        <w:t xml:space="preserve">  </w:t>
      </w:r>
    </w:p>
    <w:p w14:paraId="29404EA6" w14:textId="7A0D5A5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мерительного инструмента на 100 тыс. руб.</w:t>
      </w:r>
      <w:r w:rsidR="008127F8">
        <w:rPr>
          <w:rFonts w:ascii="Times New Roman" w:hAnsi="Times New Roman"/>
          <w:color w:val="000000" w:themeColor="text1"/>
          <w:sz w:val="16"/>
          <w:szCs w:val="16"/>
        </w:rPr>
        <w:t xml:space="preserve">  </w:t>
      </w:r>
    </w:p>
    <w:p w14:paraId="23160881"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Директору завода № 183 т. Зальцман и моему заместителю т. Щербакову учесть, что Государственный Комитет Обороны обязал Наркомчермет т. Тевосяна:</w:t>
      </w:r>
    </w:p>
    <w:p w14:paraId="1F50FA4F" w14:textId="3F7ECAA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отгрузить заводу № 183 до 20 февраля с.г. 1800 тонн шамотного кирпича, а НКСП т. Арутюнову обеспечить перевозку кирпича в установленные сроки;</w:t>
      </w:r>
      <w:r w:rsidR="008127F8">
        <w:rPr>
          <w:rFonts w:ascii="Times New Roman" w:hAnsi="Times New Roman"/>
          <w:color w:val="000000" w:themeColor="text1"/>
          <w:sz w:val="16"/>
          <w:szCs w:val="16"/>
        </w:rPr>
        <w:t xml:space="preserve">  </w:t>
      </w:r>
    </w:p>
    <w:p w14:paraId="009F5A15" w14:textId="59C4BE8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до 5 февраля с.г. отгрузить заводу № 183 все недогрузы металла по фондам января месяца и до 20 февраля с.г. отгрузить металл по фондам февраля месяца;</w:t>
      </w:r>
      <w:r w:rsidR="008127F8">
        <w:rPr>
          <w:rFonts w:ascii="Times New Roman" w:hAnsi="Times New Roman"/>
          <w:color w:val="000000" w:themeColor="text1"/>
          <w:sz w:val="16"/>
          <w:szCs w:val="16"/>
        </w:rPr>
        <w:t xml:space="preserve">  </w:t>
      </w:r>
    </w:p>
    <w:p w14:paraId="7C4F7FA3" w14:textId="0795365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впредь поставлять заводу № 183 с Кузнецкого и Н. Тагильского заводов полуобрезной отожженный бронелист;</w:t>
      </w:r>
      <w:r w:rsidR="008127F8">
        <w:rPr>
          <w:rFonts w:ascii="Times New Roman" w:hAnsi="Times New Roman"/>
          <w:color w:val="000000" w:themeColor="text1"/>
          <w:sz w:val="16"/>
          <w:szCs w:val="16"/>
        </w:rPr>
        <w:t xml:space="preserve">  </w:t>
      </w:r>
    </w:p>
    <w:p w14:paraId="10E09046" w14:textId="2B469445"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обеспечить к 10 февраля с.г. присоединение газопровода с завода № 183 к заводскому газопроводу Н. Тагильского завода.</w:t>
      </w:r>
      <w:r w:rsidR="008127F8">
        <w:rPr>
          <w:rFonts w:ascii="Times New Roman" w:hAnsi="Times New Roman"/>
          <w:color w:val="000000" w:themeColor="text1"/>
          <w:sz w:val="16"/>
          <w:szCs w:val="16"/>
        </w:rPr>
        <w:t xml:space="preserve">  </w:t>
      </w:r>
    </w:p>
    <w:p w14:paraId="120B766B" w14:textId="630EAC1D"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Моему заместителю т. Щербакову учесть, что Государственный Комитет Обороны означенным постановлением выделил на февраль и март 1942 г. Наркомтанкопрому:</w:t>
      </w:r>
      <w:r w:rsidR="008127F8">
        <w:rPr>
          <w:rFonts w:ascii="Times New Roman" w:hAnsi="Times New Roman"/>
          <w:color w:val="000000" w:themeColor="text1"/>
          <w:sz w:val="16"/>
          <w:szCs w:val="16"/>
        </w:rPr>
        <w:t xml:space="preserve">  </w:t>
      </w:r>
    </w:p>
    <w:p w14:paraId="5CCAA80F" w14:textId="6F1075F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угля челябинского на февраль 79 т. тн., на март 80 т. тн.</w:t>
      </w:r>
      <w:r w:rsidR="008127F8">
        <w:rPr>
          <w:rFonts w:ascii="Times New Roman" w:hAnsi="Times New Roman"/>
          <w:color w:val="000000" w:themeColor="text1"/>
          <w:sz w:val="16"/>
          <w:szCs w:val="16"/>
        </w:rPr>
        <w:t xml:space="preserve">  </w:t>
      </w:r>
    </w:p>
    <w:p w14:paraId="659E2256" w14:textId="249273B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угля богословского на февраль 37 т. тн., на март 38 т. тн.</w:t>
      </w:r>
      <w:r w:rsidR="008127F8">
        <w:rPr>
          <w:rFonts w:ascii="Times New Roman" w:hAnsi="Times New Roman"/>
          <w:color w:val="000000" w:themeColor="text1"/>
          <w:sz w:val="16"/>
          <w:szCs w:val="16"/>
        </w:rPr>
        <w:t xml:space="preserve">  </w:t>
      </w:r>
    </w:p>
    <w:p w14:paraId="7E9823BE" w14:textId="16387202"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угля кузнецкого на февраль 20 т. тн., на март 20 т. тн.</w:t>
      </w:r>
      <w:r w:rsidR="008127F8">
        <w:rPr>
          <w:rFonts w:ascii="Times New Roman" w:hAnsi="Times New Roman"/>
          <w:color w:val="000000" w:themeColor="text1"/>
          <w:sz w:val="16"/>
          <w:szCs w:val="16"/>
        </w:rPr>
        <w:t xml:space="preserve">  </w:t>
      </w:r>
    </w:p>
    <w:p w14:paraId="2DA01C72" w14:textId="08FB820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угля карагандинского на февраль 15 т. тн., на март 15 т. тн.</w:t>
      </w:r>
      <w:r w:rsidR="008127F8">
        <w:rPr>
          <w:rFonts w:ascii="Times New Roman" w:hAnsi="Times New Roman"/>
          <w:color w:val="000000" w:themeColor="text1"/>
          <w:sz w:val="16"/>
          <w:szCs w:val="16"/>
        </w:rPr>
        <w:t xml:space="preserve">  </w:t>
      </w:r>
    </w:p>
    <w:p w14:paraId="727014F5" w14:textId="61597924"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угля кизеловского на февраль 4 т. тн., на март 4,5 т. тн.</w:t>
      </w:r>
      <w:r w:rsidR="008127F8">
        <w:rPr>
          <w:rFonts w:ascii="Times New Roman" w:hAnsi="Times New Roman"/>
          <w:color w:val="000000" w:themeColor="text1"/>
          <w:sz w:val="16"/>
          <w:szCs w:val="16"/>
        </w:rPr>
        <w:t xml:space="preserve">  </w:t>
      </w:r>
    </w:p>
    <w:p w14:paraId="50E0E926" w14:textId="6B3D68A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угля донецкого на февраль 15 т. тн., на март 15 т. тн.</w:t>
      </w:r>
      <w:r w:rsidR="008127F8">
        <w:rPr>
          <w:rFonts w:ascii="Times New Roman" w:hAnsi="Times New Roman"/>
          <w:color w:val="000000" w:themeColor="text1"/>
          <w:sz w:val="16"/>
          <w:szCs w:val="16"/>
        </w:rPr>
        <w:t xml:space="preserve">  </w:t>
      </w:r>
    </w:p>
    <w:p w14:paraId="5F5D313E" w14:textId="5419B2E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торфа дополнительно к выделенному на 1 квартал фонду в марте 11 тыс. тонн;</w:t>
      </w:r>
      <w:r w:rsidR="008127F8">
        <w:rPr>
          <w:rFonts w:ascii="Times New Roman" w:hAnsi="Times New Roman"/>
          <w:color w:val="000000" w:themeColor="text1"/>
          <w:sz w:val="16"/>
          <w:szCs w:val="16"/>
        </w:rPr>
        <w:t xml:space="preserve">  </w:t>
      </w:r>
    </w:p>
    <w:p w14:paraId="1536FA95" w14:textId="4E8D530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принять к немедленной реализации установленный график ежесуточной отгрузки угля, торфа и нефтетоплива заводам согласно приложению № 2.</w:t>
      </w:r>
      <w:r w:rsidR="008127F8">
        <w:rPr>
          <w:rFonts w:ascii="Times New Roman" w:hAnsi="Times New Roman"/>
          <w:color w:val="000000" w:themeColor="text1"/>
          <w:sz w:val="16"/>
          <w:szCs w:val="16"/>
        </w:rPr>
        <w:t xml:space="preserve">  </w:t>
      </w:r>
    </w:p>
    <w:p w14:paraId="7937DE8C" w14:textId="587903E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Учесть, что означенным постановлением Наркомуголь (т. Вахрушев), Главнефтесбыт (т. Донченко) и Наркомэлектростанций (т. Жимерин) обязаны обеспечить безусловное выполнение графика погрузки и поставки топлива остальным заводам Наркомтанкопрома до конца первого квартала равномерно ежесуточно в пределах утвержденных фондов.</w:t>
      </w:r>
      <w:r w:rsidR="008127F8">
        <w:rPr>
          <w:rFonts w:ascii="Times New Roman" w:hAnsi="Times New Roman"/>
          <w:color w:val="000000" w:themeColor="text1"/>
          <w:sz w:val="16"/>
          <w:szCs w:val="16"/>
        </w:rPr>
        <w:t xml:space="preserve">  </w:t>
      </w:r>
    </w:p>
    <w:p w14:paraId="6F619871" w14:textId="1BAF8E09"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Директору завода № 178 в г. Кулебаках т. Скиба учесть, что Наркомсудпром (т. Носенко) и трест "Судолес" (т. Зайцев) обязаны поставить равномерными партиями ежесуточно:</w:t>
      </w:r>
      <w:r w:rsidR="008127F8">
        <w:rPr>
          <w:rFonts w:ascii="Times New Roman" w:hAnsi="Times New Roman"/>
          <w:color w:val="000000" w:themeColor="text1"/>
          <w:sz w:val="16"/>
          <w:szCs w:val="16"/>
        </w:rPr>
        <w:t xml:space="preserve">  </w:t>
      </w:r>
    </w:p>
    <w:p w14:paraId="0E22235C" w14:textId="50C67EE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дров в феврале 1942 г. 40 тыс. кбм., а в марте 1942 г. 45 т. кбм.</w:t>
      </w:r>
      <w:r w:rsidR="008127F8">
        <w:rPr>
          <w:rFonts w:ascii="Times New Roman" w:hAnsi="Times New Roman"/>
          <w:color w:val="000000" w:themeColor="text1"/>
          <w:sz w:val="16"/>
          <w:szCs w:val="16"/>
        </w:rPr>
        <w:t xml:space="preserve">  </w:t>
      </w:r>
    </w:p>
    <w:p w14:paraId="4EB34116" w14:textId="7F50146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торфа в феврале 1942 г. 12 тыс. тонн, а в марте 1942 г. 13 т. тонн.</w:t>
      </w:r>
      <w:r w:rsidR="008127F8">
        <w:rPr>
          <w:rFonts w:ascii="Times New Roman" w:hAnsi="Times New Roman"/>
          <w:color w:val="000000" w:themeColor="text1"/>
          <w:sz w:val="16"/>
          <w:szCs w:val="16"/>
        </w:rPr>
        <w:t xml:space="preserve">  </w:t>
      </w:r>
    </w:p>
    <w:p w14:paraId="4DD4B977" w14:textId="169D751D"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Начальнику транспортного отдела Наркомтанкопрома т. Косолапову и директору завода № 176 в г. Муроме т. Федотову учесть, что:</w:t>
      </w:r>
      <w:r w:rsidR="008127F8">
        <w:rPr>
          <w:rFonts w:ascii="Times New Roman" w:hAnsi="Times New Roman"/>
          <w:color w:val="000000" w:themeColor="text1"/>
          <w:sz w:val="16"/>
          <w:szCs w:val="16"/>
        </w:rPr>
        <w:t xml:space="preserve">  </w:t>
      </w:r>
    </w:p>
    <w:p w14:paraId="74DBE737" w14:textId="43C660BC"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НКСП т. Арутюнов и начальник Казанской ж.д. т. Пичугин обязаны обеспечить в феврале и марте перевозку для завода № 176 со ст. Пионер Геркли и Мыслец Казанской ж.д. ежесуточно по 10 вагонов дров, заготовляемых "Чувашлесом";</w:t>
      </w:r>
      <w:r w:rsidR="008127F8">
        <w:rPr>
          <w:rFonts w:ascii="Times New Roman" w:hAnsi="Times New Roman"/>
          <w:color w:val="000000" w:themeColor="text1"/>
          <w:sz w:val="16"/>
          <w:szCs w:val="16"/>
        </w:rPr>
        <w:t xml:space="preserve">  </w:t>
      </w:r>
    </w:p>
    <w:p w14:paraId="334212C8" w14:textId="5E221FF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НКПС т. Арутюнов обязан полностью обеспечить вагонами отгрузку топлива танковым заводам и продвижение маршрутов с топливом взять под особый контроль, докладывая Совнаркому СССР о выполнении каждые 5 дней.</w:t>
      </w:r>
      <w:r w:rsidR="008127F8">
        <w:rPr>
          <w:rFonts w:ascii="Times New Roman" w:hAnsi="Times New Roman"/>
          <w:color w:val="000000" w:themeColor="text1"/>
          <w:sz w:val="16"/>
          <w:szCs w:val="16"/>
        </w:rPr>
        <w:t xml:space="preserve">  </w:t>
      </w:r>
    </w:p>
    <w:p w14:paraId="08D7486B" w14:textId="4A40B1EF"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Начальнику Главснаба т. Розину, Зам. начальника отдела Главного Механика и энергетики т. Белику и директорам заводов учесть, что Государственный Комитет Обороны:</w:t>
      </w:r>
      <w:r w:rsidR="008127F8">
        <w:rPr>
          <w:rFonts w:ascii="Times New Roman" w:hAnsi="Times New Roman"/>
          <w:color w:val="000000" w:themeColor="text1"/>
          <w:sz w:val="16"/>
          <w:szCs w:val="16"/>
        </w:rPr>
        <w:t xml:space="preserve">  </w:t>
      </w:r>
    </w:p>
    <w:p w14:paraId="4601E878" w14:textId="53E1226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запретил переадресовывать топливо, идущее в адрес заводов Наркомата Танковой промышленности;</w:t>
      </w:r>
      <w:r w:rsidR="008127F8">
        <w:rPr>
          <w:rFonts w:ascii="Times New Roman" w:hAnsi="Times New Roman"/>
          <w:color w:val="000000" w:themeColor="text1"/>
          <w:sz w:val="16"/>
          <w:szCs w:val="16"/>
        </w:rPr>
        <w:t xml:space="preserve">  </w:t>
      </w:r>
    </w:p>
    <w:p w14:paraId="524014E4" w14:textId="79D10F5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разрешил Наркомтанкопрому </w:t>
      </w:r>
      <w:proofErr w:type="gramStart"/>
      <w:r w:rsidRPr="008127F8">
        <w:rPr>
          <w:rFonts w:ascii="Times New Roman" w:hAnsi="Times New Roman"/>
          <w:color w:val="000000" w:themeColor="text1"/>
          <w:sz w:val="16"/>
          <w:szCs w:val="16"/>
        </w:rPr>
        <w:t>разбронировать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угля</w:t>
      </w:r>
      <w:proofErr w:type="gramEnd"/>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p>
    <w:p w14:paraId="7F6E4BBC" w14:textId="13D2354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178 – 1 тыс. тонн</w:t>
      </w:r>
      <w:r w:rsidR="008127F8">
        <w:rPr>
          <w:rFonts w:ascii="Times New Roman" w:hAnsi="Times New Roman"/>
          <w:color w:val="000000" w:themeColor="text1"/>
          <w:sz w:val="16"/>
          <w:szCs w:val="16"/>
        </w:rPr>
        <w:t xml:space="preserve">  </w:t>
      </w:r>
    </w:p>
    <w:p w14:paraId="455C747E" w14:textId="0BDAA239"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Кировскому заводу – 1.500 тонн с возвратом 15 марта</w:t>
      </w:r>
      <w:r w:rsidR="008127F8">
        <w:rPr>
          <w:rFonts w:ascii="Times New Roman" w:hAnsi="Times New Roman"/>
          <w:color w:val="000000" w:themeColor="text1"/>
          <w:sz w:val="16"/>
          <w:szCs w:val="16"/>
        </w:rPr>
        <w:t xml:space="preserve">  </w:t>
      </w:r>
    </w:p>
    <w:p w14:paraId="06EDCFBB" w14:textId="2ECCD10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з-ду № 176 – 2.000 тонн</w:t>
      </w:r>
      <w:r w:rsidR="008127F8">
        <w:rPr>
          <w:rFonts w:ascii="Times New Roman" w:hAnsi="Times New Roman"/>
          <w:color w:val="000000" w:themeColor="text1"/>
          <w:sz w:val="16"/>
          <w:szCs w:val="16"/>
        </w:rPr>
        <w:t xml:space="preserve">  </w:t>
      </w:r>
    </w:p>
    <w:p w14:paraId="6C46F71F" w14:textId="3B0DC9A4" w:rsidR="007C2AE4" w:rsidRPr="008127F8" w:rsidRDefault="007C2AE4"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мазута: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заводу</w:t>
      </w:r>
      <w:proofErr w:type="gramEnd"/>
      <w:r w:rsidRPr="008127F8">
        <w:rPr>
          <w:rFonts w:ascii="Times New Roman" w:hAnsi="Times New Roman"/>
          <w:color w:val="000000" w:themeColor="text1"/>
          <w:sz w:val="16"/>
          <w:szCs w:val="16"/>
        </w:rPr>
        <w:t xml:space="preserve"> № 112 – 8.000 тонн</w:t>
      </w:r>
      <w:r w:rsidR="008127F8">
        <w:rPr>
          <w:rFonts w:ascii="Times New Roman" w:hAnsi="Times New Roman"/>
          <w:color w:val="000000" w:themeColor="text1"/>
          <w:sz w:val="16"/>
          <w:szCs w:val="16"/>
        </w:rPr>
        <w:t xml:space="preserve">  </w:t>
      </w:r>
    </w:p>
    <w:p w14:paraId="79835752" w14:textId="06D67329"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СТЗ – 5.000 тонн</w:t>
      </w:r>
      <w:r w:rsidR="008127F8">
        <w:rPr>
          <w:rFonts w:ascii="Times New Roman" w:hAnsi="Times New Roman"/>
          <w:color w:val="000000" w:themeColor="text1"/>
          <w:sz w:val="16"/>
          <w:szCs w:val="16"/>
        </w:rPr>
        <w:t xml:space="preserve">  </w:t>
      </w:r>
    </w:p>
    <w:p w14:paraId="3EB9D6C1" w14:textId="3C05A8C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178 – 2.000 тонн</w:t>
      </w:r>
      <w:r w:rsidR="008127F8">
        <w:rPr>
          <w:rFonts w:ascii="Times New Roman" w:hAnsi="Times New Roman"/>
          <w:color w:val="000000" w:themeColor="text1"/>
          <w:sz w:val="16"/>
          <w:szCs w:val="16"/>
        </w:rPr>
        <w:t xml:space="preserve">  </w:t>
      </w:r>
    </w:p>
    <w:p w14:paraId="7A708E97" w14:textId="749ECD8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обязал Наркомлегпром т. Лукина выделить Наркомтанкопрому для заводов № 183, № 264 и № 112 до 10/II-с.г. и отгрузить 10 тыс. комплектов стеганых брюк, телогреек и кожаных ботинок.</w:t>
      </w:r>
      <w:r w:rsidR="008127F8">
        <w:rPr>
          <w:rFonts w:ascii="Times New Roman" w:hAnsi="Times New Roman"/>
          <w:color w:val="000000" w:themeColor="text1"/>
          <w:sz w:val="16"/>
          <w:szCs w:val="16"/>
        </w:rPr>
        <w:t xml:space="preserve">  </w:t>
      </w:r>
    </w:p>
    <w:p w14:paraId="4B1B26F3" w14:textId="00EA912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Начальнику Главснабу т. Розину обеспечить получение, а т. Косолапову немедленную отправку стеганых брюк, телогреек и кожаных ботинок</w:t>
      </w:r>
      <w:r w:rsidR="008127F8">
        <w:rPr>
          <w:rFonts w:ascii="Times New Roman" w:hAnsi="Times New Roman"/>
          <w:color w:val="000000" w:themeColor="text1"/>
          <w:sz w:val="16"/>
          <w:szCs w:val="16"/>
        </w:rPr>
        <w:t xml:space="preserve">  </w:t>
      </w:r>
    </w:p>
    <w:p w14:paraId="6BB207EC" w14:textId="484F260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з-ду № 183 – 4.000 комплектов</w:t>
      </w:r>
      <w:r w:rsidR="008127F8">
        <w:rPr>
          <w:rFonts w:ascii="Times New Roman" w:hAnsi="Times New Roman"/>
          <w:color w:val="000000" w:themeColor="text1"/>
          <w:sz w:val="16"/>
          <w:szCs w:val="16"/>
        </w:rPr>
        <w:t xml:space="preserve">  </w:t>
      </w:r>
    </w:p>
    <w:p w14:paraId="27E6EC29" w14:textId="6474C97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з-ду № 264 – 3.000 комплектов</w:t>
      </w:r>
      <w:r w:rsidR="008127F8">
        <w:rPr>
          <w:rFonts w:ascii="Times New Roman" w:hAnsi="Times New Roman"/>
          <w:color w:val="000000" w:themeColor="text1"/>
          <w:sz w:val="16"/>
          <w:szCs w:val="16"/>
        </w:rPr>
        <w:t xml:space="preserve">  </w:t>
      </w:r>
    </w:p>
    <w:p w14:paraId="60FEAB72" w14:textId="19085A5C"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з-ду № 112 – 1.000 комплектов</w:t>
      </w:r>
      <w:r w:rsidR="008127F8">
        <w:rPr>
          <w:rFonts w:ascii="Times New Roman" w:hAnsi="Times New Roman"/>
          <w:color w:val="000000" w:themeColor="text1"/>
          <w:sz w:val="16"/>
          <w:szCs w:val="16"/>
        </w:rPr>
        <w:t xml:space="preserve">  </w:t>
      </w:r>
    </w:p>
    <w:p w14:paraId="25042A5A" w14:textId="5C0E6A04"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2000 комплектов зачислить в резерв наркома.</w:t>
      </w:r>
      <w:r w:rsidR="008127F8">
        <w:rPr>
          <w:rFonts w:ascii="Times New Roman" w:hAnsi="Times New Roman"/>
          <w:color w:val="000000" w:themeColor="text1"/>
          <w:sz w:val="16"/>
          <w:szCs w:val="16"/>
        </w:rPr>
        <w:t xml:space="preserve">  </w:t>
      </w:r>
    </w:p>
    <w:p w14:paraId="2BD994CA" w14:textId="71C7F71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Директорам заводов № 183 т. Зальцман, № 264 т. Зернову, № 112 т. Михалеву, № 76 т. Кочеткову, СТЗ т. Задорожному учесть, что Наркомторг т. Любимов обязан немедленно выделить в распоряжение директоров заводов сверх выделенных этим заводам фондов на 1 квартал: махорки 300 тыс. пачек, табака 20 тыс. 100 граммовых пачек, 1000 ящиков спичек и 150 тонн мыла.</w:t>
      </w:r>
      <w:r w:rsidR="008127F8">
        <w:rPr>
          <w:rFonts w:ascii="Times New Roman" w:hAnsi="Times New Roman"/>
          <w:color w:val="000000" w:themeColor="text1"/>
          <w:sz w:val="16"/>
          <w:szCs w:val="16"/>
        </w:rPr>
        <w:t xml:space="preserve">  </w:t>
      </w:r>
    </w:p>
    <w:p w14:paraId="552DD7E8" w14:textId="17FAC51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Начальнику Главснаба т. Розину и директорам указанных заводов обеспечить </w:t>
      </w:r>
      <w:proofErr w:type="gramStart"/>
      <w:r w:rsidRPr="008127F8">
        <w:rPr>
          <w:rFonts w:ascii="Times New Roman" w:hAnsi="Times New Roman"/>
          <w:color w:val="000000" w:themeColor="text1"/>
          <w:sz w:val="16"/>
          <w:szCs w:val="16"/>
        </w:rPr>
        <w:t>получение</w:t>
      </w:r>
      <w:proofErr w:type="gramEnd"/>
      <w:r w:rsidRPr="008127F8">
        <w:rPr>
          <w:rFonts w:ascii="Times New Roman" w:hAnsi="Times New Roman"/>
          <w:color w:val="000000" w:themeColor="text1"/>
          <w:sz w:val="16"/>
          <w:szCs w:val="16"/>
        </w:rPr>
        <w:t xml:space="preserve"> а т. Косолапову немедленную отправку табачных изделий и мыла в следующем количестве:</w:t>
      </w:r>
      <w:r w:rsidR="008127F8">
        <w:rPr>
          <w:rFonts w:ascii="Times New Roman" w:hAnsi="Times New Roman"/>
          <w:color w:val="000000" w:themeColor="text1"/>
          <w:sz w:val="16"/>
          <w:szCs w:val="16"/>
        </w:rPr>
        <w:t xml:space="preserve">  </w:t>
      </w:r>
    </w:p>
    <w:p w14:paraId="5AC0C6E8" w14:textId="31F5B75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Зачислить в резерв Наркома махорки 20 тысяч пачек, табака 20 тысяч пачек, спичек 300 ящиков и мыла 25 тонн.</w:t>
      </w:r>
      <w:r w:rsidR="008127F8">
        <w:rPr>
          <w:rFonts w:ascii="Times New Roman" w:hAnsi="Times New Roman"/>
          <w:color w:val="000000" w:themeColor="text1"/>
          <w:sz w:val="16"/>
          <w:szCs w:val="16"/>
        </w:rPr>
        <w:t xml:space="preserve">  </w:t>
      </w:r>
    </w:p>
    <w:p w14:paraId="309B9424" w14:textId="1C01FA2A"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В соответствии с решением ГКО и.о. директора Кировского завода т. Махонину выполнять все штамповки и литье для завода № 183 впереди поставок всем другим потребителям.</w:t>
      </w:r>
      <w:r w:rsidR="008127F8">
        <w:rPr>
          <w:rFonts w:ascii="Times New Roman" w:hAnsi="Times New Roman"/>
          <w:color w:val="000000" w:themeColor="text1"/>
          <w:sz w:val="16"/>
          <w:szCs w:val="16"/>
        </w:rPr>
        <w:t xml:space="preserve">  </w:t>
      </w:r>
    </w:p>
    <w:p w14:paraId="5B8EE518" w14:textId="4012BDB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Директорам заводов: № 183 т. Зальцман, № 76 – т. Кочеткову, Кировского – т. Махонину, Начальнику транспортного отдела Наркомтанкопрома – т. Косолапову учесть, что НКСП т. Каганович и начальники дорог: им. Кагановича т. Закорко и Южно-Уральской т. Малькевич обязаны обеспечить подачу заводу № 76 ежедневно 3 вагонов и Кировскому заводу 2 вагонов для перевозки двигателей заводу № 183, а продвижение вагонов с дизелями от завода № 76 до завода № 183 производить в течение 24 часов и от Кировского завода – в течение 2 суток.</w:t>
      </w:r>
      <w:r w:rsidR="008127F8">
        <w:rPr>
          <w:rFonts w:ascii="Times New Roman" w:hAnsi="Times New Roman"/>
          <w:color w:val="000000" w:themeColor="text1"/>
          <w:sz w:val="16"/>
          <w:szCs w:val="16"/>
        </w:rPr>
        <w:t xml:space="preserve">  </w:t>
      </w:r>
    </w:p>
    <w:p w14:paraId="13F7B685" w14:textId="30E70AE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Начальнику Главснаба т. Розину выделить специальных ответственных лиц, на которых возложить реализацию решения ГКО, по которому НКО (т. Хрулев) обязан в двухнедельный срок вывезти из г. Ленинграда своими транспортными средствами по заявке Наркомтанкопрома 1000 тонн цветного металла и проката и 25 тонн электро и радиооборудования, потребного для танковых заводов.</w:t>
      </w:r>
      <w:r w:rsidR="008127F8">
        <w:rPr>
          <w:rFonts w:ascii="Times New Roman" w:hAnsi="Times New Roman"/>
          <w:color w:val="000000" w:themeColor="text1"/>
          <w:sz w:val="16"/>
          <w:szCs w:val="16"/>
        </w:rPr>
        <w:t xml:space="preserve">  </w:t>
      </w:r>
    </w:p>
    <w:p w14:paraId="2121B5E7" w14:textId="771CBF2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Начальнику Главснаба т. Розину принять меры к немедленной реализации в указанные постановлением ГКО сроки получения из импортных поступлений 1000 карат технических алмазов и 2000 карат алмазного порошка, выделив заводам в следующих количествах:</w:t>
      </w:r>
      <w:r w:rsidR="008127F8">
        <w:rPr>
          <w:rFonts w:ascii="Times New Roman" w:hAnsi="Times New Roman"/>
          <w:color w:val="000000" w:themeColor="text1"/>
          <w:sz w:val="16"/>
          <w:szCs w:val="16"/>
        </w:rPr>
        <w:t xml:space="preserve">  </w:t>
      </w:r>
    </w:p>
    <w:p w14:paraId="254C317E" w14:textId="7920454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Директорам всех заводов и начальнику транспортного отдела наркомата т. Косолапову учесть и принять к руководству в своей повседневной работе, что постановлением ГКО от 1 февраля за № 1231сс НКПС (т. Каганович) обязан:</w:t>
      </w:r>
      <w:r w:rsidR="008127F8">
        <w:rPr>
          <w:rFonts w:ascii="Times New Roman" w:hAnsi="Times New Roman"/>
          <w:color w:val="000000" w:themeColor="text1"/>
          <w:sz w:val="16"/>
          <w:szCs w:val="16"/>
        </w:rPr>
        <w:t xml:space="preserve">  </w:t>
      </w:r>
    </w:p>
    <w:p w14:paraId="771368B1" w14:textId="71A3A1BB"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безусловное выполнение постановление ГКО от 3 января 1942 г. № 1092сс об организации специальных товаро-ускоренных поездов для перевозки грузов для танковых заводов;</w:t>
      </w:r>
      <w:r w:rsidR="008127F8">
        <w:rPr>
          <w:rFonts w:ascii="Times New Roman" w:hAnsi="Times New Roman"/>
          <w:color w:val="000000" w:themeColor="text1"/>
          <w:sz w:val="16"/>
          <w:szCs w:val="16"/>
        </w:rPr>
        <w:t xml:space="preserve">  </w:t>
      </w:r>
    </w:p>
    <w:p w14:paraId="3EA437CD" w14:textId="32A47089"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10 февраля 1942 г. разыскать и доставить заводам СТЗ, №№ 264, 183, 76, 112 и Кировскому заводу вагоны с материалами, изделиями и оборудованием, отгруженные в их адрес в октябре-ноябре и декабре 1942 г.;</w:t>
      </w:r>
      <w:r w:rsidR="008127F8">
        <w:rPr>
          <w:rFonts w:ascii="Times New Roman" w:hAnsi="Times New Roman"/>
          <w:color w:val="000000" w:themeColor="text1"/>
          <w:sz w:val="16"/>
          <w:szCs w:val="16"/>
        </w:rPr>
        <w:t xml:space="preserve">  </w:t>
      </w:r>
    </w:p>
    <w:p w14:paraId="3CFD83B9" w14:textId="2109A6CA"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учесть, что личная ответственность за своевременную доставку всех грузов, идущих в адрес танковых заводов Государственным Комитетом Обороны возложена на Зам. Наркома Путей Сообщения т. Арутюнова, обязав его раз в 5 дней представлять в ГКО отчет о доставке грузов на танковые заводы.</w:t>
      </w:r>
      <w:r w:rsidR="008127F8">
        <w:rPr>
          <w:rFonts w:ascii="Times New Roman" w:hAnsi="Times New Roman"/>
          <w:color w:val="000000" w:themeColor="text1"/>
          <w:sz w:val="16"/>
          <w:szCs w:val="16"/>
        </w:rPr>
        <w:t xml:space="preserve">  </w:t>
      </w:r>
    </w:p>
    <w:p w14:paraId="64B31849" w14:textId="490DE5CE"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НКО (т. Федоренко) и НКПС (т. Арутюнов) обязаны отправлять в адрес танковых заводов вооружение, пушки, пулеметы, оптику, танковые корпуса, танковые дизеля, подшипники, топливные насосы, бронелист, поковки и штамповки воинскими литерными эшелонами – транспортами.</w:t>
      </w:r>
      <w:r w:rsidR="008127F8">
        <w:rPr>
          <w:rFonts w:ascii="Times New Roman" w:hAnsi="Times New Roman"/>
          <w:color w:val="000000" w:themeColor="text1"/>
          <w:sz w:val="16"/>
          <w:szCs w:val="16"/>
        </w:rPr>
        <w:t xml:space="preserve">  </w:t>
      </w:r>
    </w:p>
    <w:p w14:paraId="45B79EAE" w14:textId="6E331BF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поручил НКСП т. Андрееву установить жесткий контроль за продвижением и своевременной доставкой вагонов, эшелонов и транспортов, идущих в адрес танковых заводов.</w:t>
      </w:r>
      <w:r w:rsidR="008127F8">
        <w:rPr>
          <w:rFonts w:ascii="Times New Roman" w:hAnsi="Times New Roman"/>
          <w:color w:val="000000" w:themeColor="text1"/>
          <w:sz w:val="16"/>
          <w:szCs w:val="16"/>
        </w:rPr>
        <w:t xml:space="preserve">  </w:t>
      </w:r>
    </w:p>
    <w:p w14:paraId="304F6436" w14:textId="4509BDA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Директорам всех заводов и Зам. начальника отдела Главного механика и энергетики Наркомата т. Белик учесть, что ГКО обязал Госплан т. Сабурова выделить заводам Наркомтанкопрома лимиты на электроэнергию по их полной потребности, запретив уменьшать фонды по электроэнергии танковым заводам, а Наркомэлектростанций (т. Жимерину) запретил производить ограничения или частичные отключения танковых заводов.</w:t>
      </w:r>
      <w:r w:rsidR="008127F8">
        <w:rPr>
          <w:rFonts w:ascii="Times New Roman" w:hAnsi="Times New Roman"/>
          <w:color w:val="000000" w:themeColor="text1"/>
          <w:sz w:val="16"/>
          <w:szCs w:val="16"/>
        </w:rPr>
        <w:t xml:space="preserve">  </w:t>
      </w:r>
    </w:p>
    <w:p w14:paraId="70C42DC7" w14:textId="04F6F0DA"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Белику установить жесткий контроль за выполнением настоящего пункта и о каждом случае срыва работы танковых заводов по причине электроэнергии докладывать мне для принятия мер.</w:t>
      </w:r>
      <w:r w:rsidR="008127F8">
        <w:rPr>
          <w:rFonts w:ascii="Times New Roman" w:hAnsi="Times New Roman"/>
          <w:color w:val="000000" w:themeColor="text1"/>
          <w:sz w:val="16"/>
          <w:szCs w:val="16"/>
        </w:rPr>
        <w:t xml:space="preserve">  </w:t>
      </w:r>
    </w:p>
    <w:p w14:paraId="311D140B" w14:textId="7B66112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 Директору завода № 183 т. Зальцман и Зам. начальника 1-го отдела т. Давтян учесть и принять к реализации обязательство Наркомсредмаша (т. Акопова) изготовить в феврале месяце заводу № 183 100 комплектов горячих штампов.</w:t>
      </w:r>
      <w:r w:rsidR="008127F8">
        <w:rPr>
          <w:rFonts w:ascii="Times New Roman" w:hAnsi="Times New Roman"/>
          <w:color w:val="000000" w:themeColor="text1"/>
          <w:sz w:val="16"/>
          <w:szCs w:val="16"/>
        </w:rPr>
        <w:t xml:space="preserve">  </w:t>
      </w:r>
    </w:p>
    <w:p w14:paraId="4396C170" w14:textId="0419307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 Государственный Комитет Обороны постановил: считать важнейшей задачей работы в феврале и марте месяцах Свердловского, Горьковского, Сталинградского и Челябинского обкомов ВКП(б) и их первых секретарей тт. Родинова, Андрианова, Чуянова и Патоличева – обеспечение выполнения плана по выпуску танков Т-34, корпусов к ним и дизелей В-2 на заводах: №№ 183, 76, 264, 112, СТЗ и Кировском.</w:t>
      </w:r>
      <w:r w:rsidR="008127F8">
        <w:rPr>
          <w:rFonts w:ascii="Times New Roman" w:hAnsi="Times New Roman"/>
          <w:color w:val="000000" w:themeColor="text1"/>
          <w:sz w:val="16"/>
          <w:szCs w:val="16"/>
        </w:rPr>
        <w:t xml:space="preserve">  </w:t>
      </w:r>
    </w:p>
    <w:p w14:paraId="0987BE8E" w14:textId="07452B2D"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ГКО обязал тт. Андрианова, Родионова, Чуянова и Патоличева лично оказывать всемерную помощь директорам этих заводов в выполнении возложенной на них задачи по увеличению выпуска танков Т-34, корпусов к ним и дизелей В-2.</w:t>
      </w:r>
      <w:r w:rsidR="008127F8">
        <w:rPr>
          <w:rFonts w:ascii="Times New Roman" w:hAnsi="Times New Roman"/>
          <w:color w:val="000000" w:themeColor="text1"/>
          <w:sz w:val="16"/>
          <w:szCs w:val="16"/>
        </w:rPr>
        <w:t xml:space="preserve">  </w:t>
      </w:r>
    </w:p>
    <w:p w14:paraId="37A61166" w14:textId="2F861B06"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 Государственный Комитет Обороны возложил на народных комиссаров и начальников главных управлений тт. Тевосяна, Акопова, Кабанова, Ломако, Устинова, Митрохина, Денисова, Донченко, Лопухова, Паршина и Вахрушева личную ответственность за бесперебойное снабжение танковых заводов материалами, топливом, полуфабрикатами и изделиями по кооперации; а контроль за снабжением танковых заводов возложил на Зам. Председателя Совнаркома Союза ССР т. Сабурова.</w:t>
      </w:r>
      <w:r w:rsidR="008127F8">
        <w:rPr>
          <w:rFonts w:ascii="Times New Roman" w:hAnsi="Times New Roman"/>
          <w:color w:val="000000" w:themeColor="text1"/>
          <w:sz w:val="16"/>
          <w:szCs w:val="16"/>
        </w:rPr>
        <w:t xml:space="preserve">  </w:t>
      </w:r>
    </w:p>
    <w:p w14:paraId="78F6384A" w14:textId="6E624008"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35. Контроль и ответственность по наркомату за выполнение отдельных пунктов настоящего приказа возлагаю:</w:t>
      </w:r>
      <w:r w:rsidR="008127F8">
        <w:rPr>
          <w:rFonts w:ascii="Times New Roman" w:hAnsi="Times New Roman"/>
          <w:color w:val="000000" w:themeColor="text1"/>
          <w:sz w:val="16"/>
          <w:szCs w:val="16"/>
        </w:rPr>
        <w:t xml:space="preserve">  </w:t>
      </w:r>
    </w:p>
    <w:p w14:paraId="18DA5E9B" w14:textId="7E6F338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части, относящейся к транспортным перевозкам, снабжению заводов электрооборудованием и подшипниками, вооружением и оптикой, на моего заместителя тов. Петросьянца;</w:t>
      </w:r>
      <w:r w:rsidR="008127F8">
        <w:rPr>
          <w:rFonts w:ascii="Times New Roman" w:hAnsi="Times New Roman"/>
          <w:color w:val="000000" w:themeColor="text1"/>
          <w:sz w:val="16"/>
          <w:szCs w:val="16"/>
        </w:rPr>
        <w:t xml:space="preserve">  </w:t>
      </w:r>
    </w:p>
    <w:p w14:paraId="0C6C0D32" w14:textId="2E735DB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части, касающейся снабжения заводов металлом, броней, топливом и электроэнергией, на моего заместителя т. Щербакова;</w:t>
      </w:r>
      <w:r w:rsidR="008127F8">
        <w:rPr>
          <w:rFonts w:ascii="Times New Roman" w:hAnsi="Times New Roman"/>
          <w:color w:val="000000" w:themeColor="text1"/>
          <w:sz w:val="16"/>
          <w:szCs w:val="16"/>
        </w:rPr>
        <w:t xml:space="preserve">  </w:t>
      </w:r>
    </w:p>
    <w:p w14:paraId="2842E313" w14:textId="757366F9"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вопросы производственной кооперации (штамповка, поковка, литье, форсунки, насосы), на моего заместителя т. Степанова.</w:t>
      </w:r>
      <w:r w:rsidR="008127F8">
        <w:rPr>
          <w:rFonts w:ascii="Times New Roman" w:hAnsi="Times New Roman"/>
          <w:color w:val="000000" w:themeColor="text1"/>
          <w:sz w:val="16"/>
          <w:szCs w:val="16"/>
        </w:rPr>
        <w:t xml:space="preserve">  </w:t>
      </w:r>
    </w:p>
    <w:p w14:paraId="290E1450" w14:textId="77D1AF9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Мои заместители, начальники главных управлений и начальники отделов наркомата должны понять, что выполнение главной задачи, поставленной Государственным Комитетом Обороны, – значительного увеличения в феврале и марте выпуска танков Т-34 – требует немедленного и коренного улучшения всей работы аппарата наркомата и каждого его работника в сторону оперативной и действенной помощи заводам по выполнению ими установленных правительством заданий по выпуску танков Т-34, корпусов к ним и дизелей В-2.</w:t>
      </w:r>
      <w:r w:rsidR="008127F8">
        <w:rPr>
          <w:rFonts w:ascii="Times New Roman" w:hAnsi="Times New Roman"/>
          <w:color w:val="000000" w:themeColor="text1"/>
          <w:sz w:val="16"/>
          <w:szCs w:val="16"/>
        </w:rPr>
        <w:t xml:space="preserve">  </w:t>
      </w:r>
    </w:p>
    <w:p w14:paraId="1C2E14AF" w14:textId="324925F5"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Уверен, что директора заводов, в особенности тт. Зальцман, Зернов, Задорожный, Михалев, Кочетков, а также начальники главных управлений и отделов наркомата мобилизуют все силы работников танковой промышленности на выполнение и перевыполнение важнейшего задания Партии и Правительства по выпуску танков Т-34, имеющих решающее значение для усиления боевой мощи нашей Красной Армии и удовлетворения требований фронта.</w:t>
      </w:r>
      <w:r w:rsidR="008127F8">
        <w:rPr>
          <w:rFonts w:ascii="Times New Roman" w:hAnsi="Times New Roman"/>
          <w:color w:val="000000" w:themeColor="text1"/>
          <w:sz w:val="16"/>
          <w:szCs w:val="16"/>
        </w:rPr>
        <w:t xml:space="preserve">  </w:t>
      </w:r>
    </w:p>
    <w:p w14:paraId="2EDC4C53"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Директорам заводов, моим заместителям и начальникам отделов наркомата (соответственно) ежедневно докладывать мне о ходе выполнения настоящего приказа.</w:t>
      </w:r>
    </w:p>
    <w:p w14:paraId="5468E252"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Комиссариат Танковой Промышленности</w:t>
      </w:r>
    </w:p>
    <w:p w14:paraId="56BF3948"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(18440).</w:t>
      </w:r>
    </w:p>
    <w:p w14:paraId="010562AA" w14:textId="77777777" w:rsidR="007C2AE4" w:rsidRPr="008127F8" w:rsidRDefault="007C2AE4" w:rsidP="001E0A84">
      <w:pPr>
        <w:spacing w:after="0" w:line="240" w:lineRule="auto"/>
        <w:jc w:val="both"/>
        <w:rPr>
          <w:rFonts w:ascii="Times New Roman" w:hAnsi="Times New Roman"/>
          <w:color w:val="000000" w:themeColor="text1"/>
          <w:sz w:val="16"/>
          <w:szCs w:val="16"/>
        </w:rPr>
      </w:pPr>
    </w:p>
    <w:p w14:paraId="5B61E0E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февраля 1942 г. Приказ № 150-Мсс наркома танковой промышленности СССР В. А. Малышева об увеличении выпуска танков Т-34 в феврале и марте 1942 г.</w:t>
      </w:r>
    </w:p>
    <w:p w14:paraId="54FDF55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2DBA6C1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своим постановлением от 1 февраля 1942 г. № 1231сс установил, что Наркомтанкопром в январе 1942 г. резко не выполнил задания по выпуску танков Т-3496. Государственный комитет обороны особенно отметил плохую работу завода № 183 (директор завода т. Максарев), выпустившего в январе с. Г. 75 танков вместо 430 танков по плану. Государственный комитет обороны установил, что в Наркомтанкопроме неудовлетворительно организована кооперация танковыа заводов между собой, в результате чего Кировский завод сорвал обеспечение штампов ками завод № 183. Придавая исключительное значение танкам Т-34 для вооружения Красной армии. Государственный комитет обороны поставил главной задачей Наркомтанкопрома значительное увеличение в феврале и марте 1942 г. выпуска танков Т-34.</w:t>
      </w:r>
    </w:p>
    <w:p w14:paraId="63D0910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приказывал</w:t>
      </w:r>
    </w:p>
    <w:p w14:paraId="5357C27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Установить на февраль и март 1942 г. следующий график ежесуточного выпуска танков Т-34 по заводам:</w:t>
      </w:r>
    </w:p>
    <w:p w14:paraId="68CCD0D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Завод-из- готови- тель</w:t>
      </w:r>
      <w:r w:rsidRPr="008A2E5A">
        <w:rPr>
          <w:rFonts w:ascii="Times New Roman" w:hAnsi="Times New Roman"/>
          <w:color w:val="0070C0"/>
          <w:sz w:val="16"/>
          <w:szCs w:val="16"/>
        </w:rPr>
        <w:tab/>
        <w:t>Ежесуточный выпуск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47467A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t>всего в марте 1</w:t>
      </w:r>
    </w:p>
    <w:p w14:paraId="50B9373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310</w:t>
      </w:r>
      <w:r w:rsidRPr="008A2E5A">
        <w:rPr>
          <w:rFonts w:ascii="Times New Roman" w:hAnsi="Times New Roman"/>
          <w:color w:val="0070C0"/>
          <w:sz w:val="16"/>
          <w:szCs w:val="16"/>
        </w:rPr>
        <w:tab/>
        <w:t>13</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430</w:t>
      </w:r>
    </w:p>
    <w:p w14:paraId="6C878EF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112</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10</w:t>
      </w:r>
      <w:r w:rsidRPr="008A2E5A">
        <w:rPr>
          <w:rFonts w:ascii="Times New Roman" w:hAnsi="Times New Roman"/>
          <w:color w:val="0070C0"/>
          <w:sz w:val="16"/>
          <w:szCs w:val="16"/>
        </w:rPr>
        <w:tab/>
        <w:t>210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300</w:t>
      </w:r>
    </w:p>
    <w:p w14:paraId="2783B79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№183</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12</w:t>
      </w:r>
      <w:r w:rsidRPr="008A2E5A">
        <w:rPr>
          <w:rFonts w:ascii="Times New Roman" w:hAnsi="Times New Roman"/>
          <w:color w:val="0070C0"/>
          <w:sz w:val="16"/>
          <w:szCs w:val="16"/>
        </w:rPr>
        <w:tab/>
        <w:t>224</w:t>
      </w:r>
      <w:r w:rsidRPr="008A2E5A">
        <w:rPr>
          <w:rFonts w:ascii="Times New Roman" w:hAnsi="Times New Roman"/>
          <w:color w:val="0070C0"/>
          <w:sz w:val="16"/>
          <w:szCs w:val="16"/>
        </w:rPr>
        <w:tab/>
        <w:t>15</w:t>
      </w:r>
      <w:r w:rsidRPr="008A2E5A">
        <w:rPr>
          <w:rFonts w:ascii="Times New Roman" w:hAnsi="Times New Roman"/>
          <w:color w:val="0070C0"/>
          <w:sz w:val="16"/>
          <w:szCs w:val="16"/>
        </w:rPr>
        <w:tab/>
        <w:t>18</w:t>
      </w:r>
      <w:r w:rsidRPr="008A2E5A">
        <w:rPr>
          <w:rFonts w:ascii="Times New Roman" w:hAnsi="Times New Roman"/>
          <w:color w:val="0070C0"/>
          <w:sz w:val="16"/>
          <w:szCs w:val="16"/>
        </w:rPr>
        <w:tab/>
        <w:t>20</w:t>
      </w:r>
      <w:r w:rsidRPr="008A2E5A">
        <w:rPr>
          <w:rFonts w:ascii="Times New Roman" w:hAnsi="Times New Roman"/>
          <w:color w:val="0070C0"/>
          <w:sz w:val="16"/>
          <w:szCs w:val="16"/>
        </w:rPr>
        <w:tab/>
        <w:t>530</w:t>
      </w:r>
    </w:p>
    <w:p w14:paraId="03265E5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22</w:t>
      </w:r>
      <w:r w:rsidRPr="008A2E5A">
        <w:rPr>
          <w:rFonts w:ascii="Times New Roman" w:hAnsi="Times New Roman"/>
          <w:color w:val="0070C0"/>
          <w:sz w:val="16"/>
          <w:szCs w:val="16"/>
        </w:rPr>
        <w:tab/>
        <w:t>28</w:t>
      </w:r>
      <w:r w:rsidRPr="008A2E5A">
        <w:rPr>
          <w:rFonts w:ascii="Times New Roman" w:hAnsi="Times New Roman"/>
          <w:color w:val="0070C0"/>
          <w:sz w:val="16"/>
          <w:szCs w:val="16"/>
        </w:rPr>
        <w:tab/>
        <w:t>35</w:t>
      </w:r>
      <w:r w:rsidRPr="008A2E5A">
        <w:rPr>
          <w:rFonts w:ascii="Times New Roman" w:hAnsi="Times New Roman"/>
          <w:color w:val="0070C0"/>
          <w:sz w:val="16"/>
          <w:szCs w:val="16"/>
        </w:rPr>
        <w:tab/>
        <w:t>744</w:t>
      </w:r>
      <w:r w:rsidRPr="008A2E5A">
        <w:rPr>
          <w:rFonts w:ascii="Times New Roman" w:hAnsi="Times New Roman"/>
          <w:color w:val="0070C0"/>
          <w:sz w:val="16"/>
          <w:szCs w:val="16"/>
        </w:rPr>
        <w:tab/>
        <w:t>38</w:t>
      </w:r>
      <w:r w:rsidRPr="008A2E5A">
        <w:rPr>
          <w:rFonts w:ascii="Times New Roman" w:hAnsi="Times New Roman"/>
          <w:color w:val="0070C0"/>
          <w:sz w:val="16"/>
          <w:szCs w:val="16"/>
        </w:rPr>
        <w:tab/>
        <w:t>43</w:t>
      </w:r>
      <w:r w:rsidRPr="008A2E5A">
        <w:rPr>
          <w:rFonts w:ascii="Times New Roman" w:hAnsi="Times New Roman"/>
          <w:color w:val="0070C0"/>
          <w:sz w:val="16"/>
          <w:szCs w:val="16"/>
        </w:rPr>
        <w:tab/>
        <w:t>45</w:t>
      </w:r>
      <w:r w:rsidRPr="008A2E5A">
        <w:rPr>
          <w:rFonts w:ascii="Times New Roman" w:hAnsi="Times New Roman"/>
          <w:color w:val="0070C0"/>
          <w:sz w:val="16"/>
          <w:szCs w:val="16"/>
        </w:rPr>
        <w:tab/>
        <w:t>1260</w:t>
      </w:r>
    </w:p>
    <w:p w14:paraId="71FE049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Установить на февраль и март 1942 г. следующий график ежесуточного выпуск дизелей В-2 по заводам:</w:t>
      </w:r>
    </w:p>
    <w:p w14:paraId="3902547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Ежесуточный выпуск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2970557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558C95F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w:t>
      </w:r>
      <w:r w:rsidRPr="008A2E5A">
        <w:rPr>
          <w:rFonts w:ascii="Times New Roman" w:hAnsi="Times New Roman"/>
          <w:color w:val="0070C0"/>
          <w:sz w:val="16"/>
          <w:szCs w:val="16"/>
        </w:rPr>
        <w:tab/>
        <w:t>13</w:t>
      </w:r>
      <w:r w:rsidRPr="008A2E5A">
        <w:rPr>
          <w:rFonts w:ascii="Times New Roman" w:hAnsi="Times New Roman"/>
          <w:color w:val="0070C0"/>
          <w:sz w:val="16"/>
          <w:szCs w:val="16"/>
        </w:rPr>
        <w:tab/>
        <w:t>19</w:t>
      </w:r>
      <w:r w:rsidRPr="008A2E5A">
        <w:rPr>
          <w:rFonts w:ascii="Times New Roman" w:hAnsi="Times New Roman"/>
          <w:color w:val="0070C0"/>
          <w:sz w:val="16"/>
          <w:szCs w:val="16"/>
        </w:rPr>
        <w:tab/>
        <w:t>22</w:t>
      </w:r>
      <w:r w:rsidRPr="008A2E5A">
        <w:rPr>
          <w:rFonts w:ascii="Times New Roman" w:hAnsi="Times New Roman"/>
          <w:color w:val="0070C0"/>
          <w:sz w:val="16"/>
          <w:szCs w:val="16"/>
        </w:rPr>
        <w:tab/>
        <w:t>470</w:t>
      </w:r>
      <w:r w:rsidRPr="008A2E5A">
        <w:rPr>
          <w:rFonts w:ascii="Times New Roman" w:hAnsi="Times New Roman"/>
          <w:color w:val="0070C0"/>
          <w:sz w:val="16"/>
          <w:szCs w:val="16"/>
        </w:rPr>
        <w:tab/>
        <w:t>25</w:t>
      </w:r>
      <w:r w:rsidRPr="008A2E5A">
        <w:rPr>
          <w:rFonts w:ascii="Times New Roman" w:hAnsi="Times New Roman"/>
          <w:color w:val="0070C0"/>
          <w:sz w:val="16"/>
          <w:szCs w:val="16"/>
        </w:rPr>
        <w:tab/>
        <w:t>25</w:t>
      </w:r>
      <w:r w:rsidRPr="008A2E5A">
        <w:rPr>
          <w:rFonts w:ascii="Times New Roman" w:hAnsi="Times New Roman"/>
          <w:color w:val="0070C0"/>
          <w:sz w:val="16"/>
          <w:szCs w:val="16"/>
        </w:rPr>
        <w:tab/>
        <w:t>30</w:t>
      </w:r>
      <w:r w:rsidRPr="008A2E5A">
        <w:rPr>
          <w:rFonts w:ascii="Times New Roman" w:hAnsi="Times New Roman"/>
          <w:color w:val="0070C0"/>
          <w:sz w:val="16"/>
          <w:szCs w:val="16"/>
        </w:rPr>
        <w:tab/>
        <w:t>800</w:t>
      </w:r>
    </w:p>
    <w:p w14:paraId="0D61303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 ля завода № 183</w:t>
      </w:r>
      <w:r w:rsidRPr="008A2E5A">
        <w:rPr>
          <w:rFonts w:ascii="Times New Roman" w:hAnsi="Times New Roman"/>
          <w:color w:val="0070C0"/>
          <w:sz w:val="16"/>
          <w:szCs w:val="16"/>
        </w:rPr>
        <w:tab/>
        <w:t>1</w:t>
      </w:r>
      <w:r w:rsidRPr="008A2E5A">
        <w:rPr>
          <w:rFonts w:ascii="Times New Roman" w:hAnsi="Times New Roman"/>
          <w:color w:val="0070C0"/>
          <w:sz w:val="16"/>
          <w:szCs w:val="16"/>
        </w:rPr>
        <w:tab/>
        <w:t>3</w:t>
      </w:r>
      <w:r w:rsidRPr="008A2E5A">
        <w:rPr>
          <w:rFonts w:ascii="Times New Roman" w:hAnsi="Times New Roman"/>
          <w:color w:val="0070C0"/>
          <w:sz w:val="16"/>
          <w:szCs w:val="16"/>
        </w:rPr>
        <w:tab/>
        <w:t>5</w:t>
      </w:r>
      <w:r w:rsidRPr="008A2E5A">
        <w:rPr>
          <w:rFonts w:ascii="Times New Roman" w:hAnsi="Times New Roman"/>
          <w:color w:val="0070C0"/>
          <w:sz w:val="16"/>
          <w:szCs w:val="16"/>
        </w:rPr>
        <w:tab/>
        <w:t>65</w:t>
      </w:r>
      <w:r w:rsidRPr="008A2E5A">
        <w:rPr>
          <w:rFonts w:ascii="Times New Roman" w:hAnsi="Times New Roman"/>
          <w:color w:val="0070C0"/>
          <w:sz w:val="16"/>
          <w:szCs w:val="16"/>
        </w:rPr>
        <w:tab/>
        <w:t>5</w:t>
      </w:r>
      <w:r w:rsidRPr="008A2E5A">
        <w:rPr>
          <w:rFonts w:ascii="Times New Roman" w:hAnsi="Times New Roman"/>
          <w:color w:val="0070C0"/>
          <w:sz w:val="16"/>
          <w:szCs w:val="16"/>
        </w:rPr>
        <w:tab/>
        <w:t>6</w:t>
      </w:r>
      <w:r w:rsidRPr="008A2E5A">
        <w:rPr>
          <w:rFonts w:ascii="Times New Roman" w:hAnsi="Times New Roman"/>
          <w:color w:val="0070C0"/>
          <w:sz w:val="16"/>
          <w:szCs w:val="16"/>
        </w:rPr>
        <w:tab/>
        <w:t>10</w:t>
      </w:r>
      <w:r w:rsidRPr="008A2E5A">
        <w:rPr>
          <w:rFonts w:ascii="Times New Roman" w:hAnsi="Times New Roman"/>
          <w:color w:val="0070C0"/>
          <w:sz w:val="16"/>
          <w:szCs w:val="16"/>
        </w:rPr>
        <w:tab/>
        <w:t>210 1</w:t>
      </w:r>
    </w:p>
    <w:p w14:paraId="64839CD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310</w:t>
      </w:r>
      <w:r w:rsidRPr="008A2E5A">
        <w:rPr>
          <w:rFonts w:ascii="Times New Roman" w:hAnsi="Times New Roman"/>
          <w:color w:val="0070C0"/>
          <w:sz w:val="16"/>
          <w:szCs w:val="16"/>
        </w:rPr>
        <w:tab/>
        <w:t>13</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430</w:t>
      </w:r>
    </w:p>
    <w:p w14:paraId="2826109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w:t>
      </w:r>
      <w:r w:rsidRPr="008A2E5A">
        <w:rPr>
          <w:rFonts w:ascii="Times New Roman" w:hAnsi="Times New Roman"/>
          <w:color w:val="0070C0"/>
          <w:sz w:val="16"/>
          <w:szCs w:val="16"/>
        </w:rPr>
        <w:tab/>
        <w:t>7</w:t>
      </w:r>
      <w:r w:rsidRPr="008A2E5A">
        <w:rPr>
          <w:rFonts w:ascii="Times New Roman" w:hAnsi="Times New Roman"/>
          <w:color w:val="0070C0"/>
          <w:sz w:val="16"/>
          <w:szCs w:val="16"/>
        </w:rPr>
        <w:tab/>
        <w:t>9</w:t>
      </w:r>
      <w:r w:rsidRPr="008A2E5A">
        <w:rPr>
          <w:rFonts w:ascii="Times New Roman" w:hAnsi="Times New Roman"/>
          <w:color w:val="0070C0"/>
          <w:sz w:val="16"/>
          <w:szCs w:val="16"/>
        </w:rPr>
        <w:tab/>
        <w:t>10</w:t>
      </w:r>
      <w:r w:rsidRPr="008A2E5A">
        <w:rPr>
          <w:rFonts w:ascii="Times New Roman" w:hAnsi="Times New Roman"/>
          <w:color w:val="0070C0"/>
          <w:sz w:val="16"/>
          <w:szCs w:val="16"/>
        </w:rPr>
        <w:tab/>
        <w:t>230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380</w:t>
      </w:r>
    </w:p>
    <w:p w14:paraId="5758760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30</w:t>
      </w:r>
      <w:r w:rsidRPr="008A2E5A">
        <w:rPr>
          <w:rFonts w:ascii="Times New Roman" w:hAnsi="Times New Roman"/>
          <w:color w:val="0070C0"/>
          <w:sz w:val="16"/>
          <w:szCs w:val="16"/>
        </w:rPr>
        <w:tab/>
        <w:t>40</w:t>
      </w:r>
      <w:r w:rsidRPr="008A2E5A">
        <w:rPr>
          <w:rFonts w:ascii="Times New Roman" w:hAnsi="Times New Roman"/>
          <w:color w:val="0070C0"/>
          <w:sz w:val="16"/>
          <w:szCs w:val="16"/>
        </w:rPr>
        <w:tab/>
        <w:t>45</w:t>
      </w:r>
      <w:r w:rsidRPr="008A2E5A">
        <w:rPr>
          <w:rFonts w:ascii="Times New Roman" w:hAnsi="Times New Roman"/>
          <w:color w:val="0070C0"/>
          <w:sz w:val="16"/>
          <w:szCs w:val="16"/>
        </w:rPr>
        <w:tab/>
        <w:t>1010</w:t>
      </w:r>
      <w:r w:rsidRPr="008A2E5A">
        <w:rPr>
          <w:rFonts w:ascii="Times New Roman" w:hAnsi="Times New Roman"/>
          <w:color w:val="0070C0"/>
          <w:sz w:val="16"/>
          <w:szCs w:val="16"/>
        </w:rPr>
        <w:tab/>
        <w:t>50</w:t>
      </w:r>
      <w:r w:rsidRPr="008A2E5A">
        <w:rPr>
          <w:rFonts w:ascii="Times New Roman" w:hAnsi="Times New Roman"/>
          <w:color w:val="0070C0"/>
          <w:sz w:val="16"/>
          <w:szCs w:val="16"/>
        </w:rPr>
        <w:tab/>
        <w:t>53</w:t>
      </w:r>
      <w:r w:rsidRPr="008A2E5A">
        <w:rPr>
          <w:rFonts w:ascii="Times New Roman" w:hAnsi="Times New Roman"/>
          <w:color w:val="0070C0"/>
          <w:sz w:val="16"/>
          <w:szCs w:val="16"/>
        </w:rPr>
        <w:tab/>
        <w:t>58</w:t>
      </w:r>
      <w:r w:rsidRPr="008A2E5A">
        <w:rPr>
          <w:rFonts w:ascii="Times New Roman" w:hAnsi="Times New Roman"/>
          <w:color w:val="0070C0"/>
          <w:sz w:val="16"/>
          <w:szCs w:val="16"/>
        </w:rPr>
        <w:tab/>
        <w:t>1610</w:t>
      </w:r>
    </w:p>
    <w:p w14:paraId="77B4FBA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Установить на февраль и март 1942 г. следующий график ежесуточного выпуска топливных насосов и форсунок для дизелей В-2:</w:t>
      </w:r>
    </w:p>
    <w:p w14:paraId="752815D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r w:rsidRPr="008A2E5A">
        <w:rPr>
          <w:rFonts w:ascii="Times New Roman" w:hAnsi="Times New Roman"/>
          <w:color w:val="0070C0"/>
          <w:sz w:val="16"/>
          <w:szCs w:val="16"/>
        </w:rPr>
        <w:tab/>
        <w:t>Ежесуточный выпуск</w:t>
      </w:r>
      <w:r w:rsidRPr="008A2E5A">
        <w:rPr>
          <w:rFonts w:ascii="Times New Roman" w:hAnsi="Times New Roman"/>
          <w:color w:val="0070C0"/>
          <w:sz w:val="16"/>
          <w:szCs w:val="16"/>
        </w:rPr>
        <w:tab/>
      </w:r>
      <w:r w:rsidRPr="008A2E5A">
        <w:rPr>
          <w:rFonts w:ascii="Times New Roman" w:hAnsi="Times New Roman"/>
          <w:color w:val="0070C0"/>
          <w:sz w:val="16"/>
          <w:szCs w:val="16"/>
        </w:rPr>
        <w:tab/>
        <w:t xml:space="preserve">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t>Всего в</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w:t>
      </w:r>
    </w:p>
    <w:p w14:paraId="1DDA5B2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изготовитель</w:t>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t>феврале</w:t>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t>марте</w:t>
      </w:r>
    </w:p>
    <w:p w14:paraId="5CE6D73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w:t>
      </w:r>
      <w:r w:rsidRPr="008A2E5A">
        <w:rPr>
          <w:rFonts w:ascii="Times New Roman" w:hAnsi="Times New Roman"/>
          <w:color w:val="0070C0"/>
          <w:sz w:val="16"/>
          <w:szCs w:val="16"/>
        </w:rPr>
        <w:tab/>
        <w:t>35</w:t>
      </w:r>
      <w:r w:rsidRPr="008A2E5A">
        <w:rPr>
          <w:rFonts w:ascii="Times New Roman" w:hAnsi="Times New Roman"/>
          <w:color w:val="0070C0"/>
          <w:sz w:val="16"/>
          <w:szCs w:val="16"/>
        </w:rPr>
        <w:tab/>
        <w:t>40</w:t>
      </w:r>
      <w:r w:rsidRPr="008A2E5A">
        <w:rPr>
          <w:rFonts w:ascii="Times New Roman" w:hAnsi="Times New Roman"/>
          <w:color w:val="0070C0"/>
          <w:sz w:val="16"/>
          <w:szCs w:val="16"/>
        </w:rPr>
        <w:tab/>
        <w:t>45</w:t>
      </w:r>
      <w:r w:rsidRPr="008A2E5A">
        <w:rPr>
          <w:rFonts w:ascii="Times New Roman" w:hAnsi="Times New Roman"/>
          <w:color w:val="0070C0"/>
          <w:sz w:val="16"/>
          <w:szCs w:val="16"/>
        </w:rPr>
        <w:tab/>
        <w:t>1065</w:t>
      </w:r>
      <w:r w:rsidRPr="008A2E5A">
        <w:rPr>
          <w:rFonts w:ascii="Times New Roman" w:hAnsi="Times New Roman"/>
          <w:color w:val="0070C0"/>
          <w:sz w:val="16"/>
          <w:szCs w:val="16"/>
        </w:rPr>
        <w:tab/>
        <w:t>45</w:t>
      </w:r>
      <w:r w:rsidRPr="008A2E5A">
        <w:rPr>
          <w:rFonts w:ascii="Times New Roman" w:hAnsi="Times New Roman"/>
          <w:color w:val="0070C0"/>
          <w:sz w:val="16"/>
          <w:szCs w:val="16"/>
        </w:rPr>
        <w:tab/>
        <w:t>50</w:t>
      </w:r>
      <w:r w:rsidRPr="008A2E5A">
        <w:rPr>
          <w:rFonts w:ascii="Times New Roman" w:hAnsi="Times New Roman"/>
          <w:color w:val="0070C0"/>
          <w:sz w:val="16"/>
          <w:szCs w:val="16"/>
        </w:rPr>
        <w:tab/>
        <w:t>55</w:t>
      </w:r>
      <w:r w:rsidRPr="008A2E5A">
        <w:rPr>
          <w:rFonts w:ascii="Times New Roman" w:hAnsi="Times New Roman"/>
          <w:color w:val="0070C0"/>
          <w:sz w:val="16"/>
          <w:szCs w:val="16"/>
        </w:rPr>
        <w:tab/>
        <w:t>1500</w:t>
      </w:r>
    </w:p>
    <w:p w14:paraId="1EDBCEE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для завода № 76</w:t>
      </w:r>
      <w:r w:rsidRPr="008A2E5A">
        <w:rPr>
          <w:rFonts w:ascii="Times New Roman" w:hAnsi="Times New Roman"/>
          <w:color w:val="0070C0"/>
          <w:sz w:val="16"/>
          <w:szCs w:val="16"/>
        </w:rPr>
        <w:tab/>
        <w:t>8</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250</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390</w:t>
      </w:r>
    </w:p>
    <w:p w14:paraId="719D069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СТЗ</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341</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360</w:t>
      </w:r>
    </w:p>
    <w:p w14:paraId="3012180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r>
      <w:r w:rsidRPr="008A2E5A">
        <w:rPr>
          <w:rFonts w:ascii="Times New Roman" w:hAnsi="Times New Roman"/>
          <w:color w:val="0070C0"/>
          <w:sz w:val="16"/>
          <w:szCs w:val="16"/>
        </w:rPr>
        <w:tab/>
        <w:t>—</w:t>
      </w:r>
      <w:r w:rsidRPr="008A2E5A">
        <w:rPr>
          <w:rFonts w:ascii="Times New Roman" w:hAnsi="Times New Roman"/>
          <w:color w:val="0070C0"/>
          <w:sz w:val="16"/>
          <w:szCs w:val="16"/>
        </w:rPr>
        <w:tab/>
        <w:t>4</w:t>
      </w:r>
      <w:r w:rsidRPr="008A2E5A">
        <w:rPr>
          <w:rFonts w:ascii="Times New Roman" w:hAnsi="Times New Roman"/>
          <w:color w:val="0070C0"/>
          <w:sz w:val="16"/>
          <w:szCs w:val="16"/>
        </w:rPr>
        <w:tab/>
        <w:t>28</w:t>
      </w:r>
      <w:r w:rsidRPr="008A2E5A">
        <w:rPr>
          <w:rFonts w:ascii="Times New Roman" w:hAnsi="Times New Roman"/>
          <w:color w:val="0070C0"/>
          <w:sz w:val="16"/>
          <w:szCs w:val="16"/>
        </w:rPr>
        <w:tab/>
        <w:t>4</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140</w:t>
      </w:r>
    </w:p>
    <w:p w14:paraId="412FE01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на февраль и март 1942 г. следующий график ежесуточного производства корпусов танков Т-34 по заводам:</w:t>
      </w:r>
    </w:p>
    <w:p w14:paraId="64B3AFC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Ежесуточный выпуск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5C6A9F8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0177207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183</w:t>
      </w:r>
      <w:r w:rsidRPr="008A2E5A">
        <w:rPr>
          <w:rFonts w:ascii="Times New Roman" w:hAnsi="Times New Roman"/>
          <w:color w:val="0070C0"/>
          <w:sz w:val="16"/>
          <w:szCs w:val="16"/>
        </w:rPr>
        <w:tab/>
        <w:t>7</w:t>
      </w:r>
      <w:r w:rsidRPr="008A2E5A">
        <w:rPr>
          <w:rFonts w:ascii="Times New Roman" w:hAnsi="Times New Roman"/>
          <w:color w:val="0070C0"/>
          <w:sz w:val="16"/>
          <w:szCs w:val="16"/>
        </w:rPr>
        <w:tab/>
        <w:t>10</w:t>
      </w:r>
      <w:r w:rsidRPr="008A2E5A">
        <w:rPr>
          <w:rFonts w:ascii="Times New Roman" w:hAnsi="Times New Roman"/>
          <w:color w:val="0070C0"/>
          <w:sz w:val="16"/>
          <w:szCs w:val="16"/>
        </w:rPr>
        <w:tab/>
        <w:t>14</w:t>
      </w:r>
      <w:r w:rsidRPr="008A2E5A">
        <w:rPr>
          <w:rFonts w:ascii="Times New Roman" w:hAnsi="Times New Roman"/>
          <w:color w:val="0070C0"/>
          <w:sz w:val="16"/>
          <w:szCs w:val="16"/>
        </w:rPr>
        <w:tab/>
        <w:t>270</w:t>
      </w:r>
      <w:r w:rsidRPr="008A2E5A">
        <w:rPr>
          <w:rFonts w:ascii="Times New Roman" w:hAnsi="Times New Roman"/>
          <w:color w:val="0070C0"/>
          <w:sz w:val="16"/>
          <w:szCs w:val="16"/>
        </w:rPr>
        <w:tab/>
        <w:t>15</w:t>
      </w:r>
      <w:r w:rsidRPr="008A2E5A">
        <w:rPr>
          <w:rFonts w:ascii="Times New Roman" w:hAnsi="Times New Roman"/>
          <w:color w:val="0070C0"/>
          <w:sz w:val="16"/>
          <w:szCs w:val="16"/>
        </w:rPr>
        <w:tab/>
        <w:t>18</w:t>
      </w:r>
      <w:r w:rsidRPr="008A2E5A">
        <w:rPr>
          <w:rFonts w:ascii="Times New Roman" w:hAnsi="Times New Roman"/>
          <w:color w:val="0070C0"/>
          <w:sz w:val="16"/>
          <w:szCs w:val="16"/>
        </w:rPr>
        <w:tab/>
        <w:t>20</w:t>
      </w:r>
      <w:r w:rsidRPr="008A2E5A">
        <w:rPr>
          <w:rFonts w:ascii="Times New Roman" w:hAnsi="Times New Roman"/>
          <w:color w:val="0070C0"/>
          <w:sz w:val="16"/>
          <w:szCs w:val="16"/>
        </w:rPr>
        <w:tab/>
        <w:t>530</w:t>
      </w:r>
    </w:p>
    <w:p w14:paraId="52262D7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для СТЗ</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45</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DAAB76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112</w:t>
      </w:r>
      <w:r w:rsidRPr="008A2E5A">
        <w:rPr>
          <w:rFonts w:ascii="Times New Roman" w:hAnsi="Times New Roman"/>
          <w:color w:val="0070C0"/>
          <w:sz w:val="16"/>
          <w:szCs w:val="16"/>
        </w:rPr>
        <w:tab/>
        <w:t>7</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255</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360</w:t>
      </w:r>
    </w:p>
    <w:p w14:paraId="3949A2F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для СТЗ</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45</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60</w:t>
      </w:r>
    </w:p>
    <w:p w14:paraId="58FD7CF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№264</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310</w:t>
      </w:r>
      <w:r w:rsidRPr="008A2E5A">
        <w:rPr>
          <w:rFonts w:ascii="Times New Roman" w:hAnsi="Times New Roman"/>
          <w:color w:val="0070C0"/>
          <w:sz w:val="16"/>
          <w:szCs w:val="16"/>
        </w:rPr>
        <w:tab/>
        <w:t>13</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430</w:t>
      </w:r>
    </w:p>
    <w:p w14:paraId="0FB052D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 соответствии с постановлением Государственного комитета обороны от февраля 1942 г. № 1231сс установить следующий график выпуска танков КВ в феврале и марте 1942 г. по Кировскому заводу:</w:t>
      </w:r>
    </w:p>
    <w:p w14:paraId="7A67020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Ежесуточный выпуск 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5CC4E2E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0841087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15</w:t>
      </w:r>
      <w:r w:rsidRPr="008A2E5A">
        <w:rPr>
          <w:rFonts w:ascii="Times New Roman" w:hAnsi="Times New Roman"/>
          <w:color w:val="0070C0"/>
          <w:sz w:val="16"/>
          <w:szCs w:val="16"/>
        </w:rPr>
        <w:tab/>
        <w:t>325</w:t>
      </w:r>
      <w:r w:rsidRPr="008A2E5A">
        <w:rPr>
          <w:rFonts w:ascii="Times New Roman" w:hAnsi="Times New Roman"/>
          <w:color w:val="0070C0"/>
          <w:sz w:val="16"/>
          <w:szCs w:val="16"/>
        </w:rPr>
        <w:tab/>
        <w:t>15</w:t>
      </w:r>
      <w:r w:rsidRPr="008A2E5A">
        <w:rPr>
          <w:rFonts w:ascii="Times New Roman" w:hAnsi="Times New Roman"/>
          <w:color w:val="0070C0"/>
          <w:sz w:val="16"/>
          <w:szCs w:val="16"/>
        </w:rPr>
        <w:tab/>
        <w:t>16</w:t>
      </w:r>
      <w:r w:rsidRPr="008A2E5A">
        <w:rPr>
          <w:rFonts w:ascii="Times New Roman" w:hAnsi="Times New Roman"/>
          <w:color w:val="0070C0"/>
          <w:sz w:val="16"/>
          <w:szCs w:val="16"/>
        </w:rPr>
        <w:tab/>
        <w:t>17</w:t>
      </w:r>
      <w:r w:rsidRPr="008A2E5A">
        <w:rPr>
          <w:rFonts w:ascii="Times New Roman" w:hAnsi="Times New Roman"/>
          <w:color w:val="0070C0"/>
          <w:sz w:val="16"/>
          <w:szCs w:val="16"/>
        </w:rPr>
        <w:tab/>
        <w:t>480</w:t>
      </w:r>
    </w:p>
    <w:p w14:paraId="41EF7E1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завода № 112 т. Михалеву и моему заместителю т. Степанову учесть, чго означенным постановлением Государственного комитета обороны нарком среднего машиностроения т. Акопов и директор Горьковского автозавода т. Лоскутов, под их личную ответственность, обязаны изготовить и поставить в феврале и марте 1942 г. заводу № 112 моторов М-17Т комплектно с электрооборудованием по следующему ежесуточному графику:</w:t>
      </w:r>
    </w:p>
    <w:p w14:paraId="1BC4708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Ежесуточная отгрузка 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5A1CB0E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19BC201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8</w:t>
      </w:r>
      <w:r w:rsidRPr="008A2E5A">
        <w:rPr>
          <w:rFonts w:ascii="Times New Roman" w:hAnsi="Times New Roman"/>
          <w:color w:val="0070C0"/>
          <w:sz w:val="16"/>
          <w:szCs w:val="16"/>
        </w:rPr>
        <w:tab/>
        <w:t>19</w:t>
      </w:r>
      <w:r w:rsidRPr="008A2E5A">
        <w:rPr>
          <w:rFonts w:ascii="Times New Roman" w:hAnsi="Times New Roman"/>
          <w:color w:val="0070C0"/>
          <w:sz w:val="16"/>
          <w:szCs w:val="16"/>
        </w:rPr>
        <w:tab/>
        <w:t>230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310</w:t>
      </w:r>
    </w:p>
    <w:p w14:paraId="6127910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завода № 264 т. Зернову и заместителю начальника 1-го отдела наркомата т. Давтяну учесть, что означенным постановлением Государственного комитета обороны нарком тяжелого машиностроения т. Казаков и директора заводов: Коломенского — т. Бебенин и Ворошиловградского паровозного — т. Веллер обязаны обеспечить отливку и поставку заводу № 264 в отожженном виде литых башен танка Т-34 по следующему ежесуточному графику:</w:t>
      </w:r>
    </w:p>
    <w:p w14:paraId="45F2C93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Ежесуточная отгрузка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0E1E853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28</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43E8A1C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Коломенский з[аво]д</w:t>
      </w:r>
      <w:r w:rsidRPr="008A2E5A">
        <w:rPr>
          <w:rFonts w:ascii="Times New Roman" w:hAnsi="Times New Roman"/>
          <w:color w:val="0070C0"/>
          <w:sz w:val="16"/>
          <w:szCs w:val="16"/>
        </w:rPr>
        <w:tab/>
      </w:r>
      <w:r w:rsidRPr="008A2E5A">
        <w:rPr>
          <w:rFonts w:ascii="Times New Roman" w:hAnsi="Times New Roman"/>
          <w:color w:val="0070C0"/>
          <w:sz w:val="16"/>
          <w:szCs w:val="16"/>
        </w:rPr>
        <w:tab/>
        <w:t>с 15 фев- раля по 2</w:t>
      </w:r>
      <w:r w:rsidRPr="008A2E5A">
        <w:rPr>
          <w:rFonts w:ascii="Times New Roman" w:hAnsi="Times New Roman"/>
          <w:color w:val="0070C0"/>
          <w:sz w:val="16"/>
          <w:szCs w:val="16"/>
        </w:rPr>
        <w:tab/>
        <w:t>5</w:t>
      </w:r>
      <w:r w:rsidRPr="008A2E5A">
        <w:rPr>
          <w:rFonts w:ascii="Times New Roman" w:hAnsi="Times New Roman"/>
          <w:color w:val="0070C0"/>
          <w:sz w:val="16"/>
          <w:szCs w:val="16"/>
        </w:rPr>
        <w:tab/>
        <w:t>50</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150</w:t>
      </w:r>
    </w:p>
    <w:p w14:paraId="4E94697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Ворошиловградский</w:t>
      </w:r>
      <w:r w:rsidRPr="008A2E5A">
        <w:rPr>
          <w:rFonts w:ascii="Times New Roman" w:hAnsi="Times New Roman"/>
          <w:color w:val="0070C0"/>
          <w:sz w:val="16"/>
          <w:szCs w:val="16"/>
        </w:rPr>
        <w:tab/>
      </w:r>
      <w:r w:rsidRPr="008A2E5A">
        <w:rPr>
          <w:rFonts w:ascii="Times New Roman" w:hAnsi="Times New Roman"/>
          <w:color w:val="0070C0"/>
          <w:sz w:val="16"/>
          <w:szCs w:val="16"/>
        </w:rPr>
        <w:tab/>
        <w:t>с 15 фев- раля по 2</w:t>
      </w:r>
      <w:r w:rsidRPr="008A2E5A">
        <w:rPr>
          <w:rFonts w:ascii="Times New Roman" w:hAnsi="Times New Roman"/>
          <w:color w:val="0070C0"/>
          <w:sz w:val="16"/>
          <w:szCs w:val="16"/>
        </w:rPr>
        <w:tab/>
        <w:t>5</w:t>
      </w:r>
      <w:r w:rsidRPr="008A2E5A">
        <w:rPr>
          <w:rFonts w:ascii="Times New Roman" w:hAnsi="Times New Roman"/>
          <w:color w:val="0070C0"/>
          <w:sz w:val="16"/>
          <w:szCs w:val="16"/>
        </w:rPr>
        <w:tab/>
        <w:t>50</w:t>
      </w:r>
      <w:r w:rsidRPr="008A2E5A">
        <w:rPr>
          <w:rFonts w:ascii="Times New Roman" w:hAnsi="Times New Roman"/>
          <w:color w:val="0070C0"/>
          <w:sz w:val="16"/>
          <w:szCs w:val="16"/>
        </w:rPr>
        <w:tab/>
        <w:t>5</w:t>
      </w:r>
      <w:r w:rsidRPr="008A2E5A">
        <w:rPr>
          <w:rFonts w:ascii="Times New Roman" w:hAnsi="Times New Roman"/>
          <w:color w:val="0070C0"/>
          <w:sz w:val="16"/>
          <w:szCs w:val="16"/>
        </w:rPr>
        <w:tab/>
        <w:t>7</w:t>
      </w:r>
      <w:r w:rsidRPr="008A2E5A">
        <w:rPr>
          <w:rFonts w:ascii="Times New Roman" w:hAnsi="Times New Roman"/>
          <w:color w:val="0070C0"/>
          <w:sz w:val="16"/>
          <w:szCs w:val="16"/>
        </w:rPr>
        <w:tab/>
        <w:t>7</w:t>
      </w:r>
      <w:r w:rsidRPr="008A2E5A">
        <w:rPr>
          <w:rFonts w:ascii="Times New Roman" w:hAnsi="Times New Roman"/>
          <w:color w:val="0070C0"/>
          <w:sz w:val="16"/>
          <w:szCs w:val="16"/>
        </w:rPr>
        <w:tab/>
        <w:t>190</w:t>
      </w:r>
    </w:p>
    <w:p w14:paraId="2E9E462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Всего:</w:t>
      </w:r>
      <w:r w:rsidRPr="008A2E5A">
        <w:rPr>
          <w:rFonts w:ascii="Times New Roman" w:hAnsi="Times New Roman"/>
          <w:color w:val="0070C0"/>
          <w:sz w:val="16"/>
          <w:szCs w:val="16"/>
        </w:rPr>
        <w:tab/>
        <w:t>[-]</w:t>
      </w:r>
      <w:r w:rsidRPr="008A2E5A">
        <w:rPr>
          <w:rFonts w:ascii="Times New Roman" w:hAnsi="Times New Roman"/>
          <w:color w:val="0070C0"/>
          <w:sz w:val="16"/>
          <w:szCs w:val="16"/>
        </w:rPr>
        <w:tab/>
        <w:t>20</w:t>
      </w:r>
      <w:r w:rsidRPr="008A2E5A">
        <w:rPr>
          <w:rFonts w:ascii="Times New Roman" w:hAnsi="Times New Roman"/>
          <w:color w:val="0070C0"/>
          <w:sz w:val="16"/>
          <w:szCs w:val="16"/>
        </w:rPr>
        <w:tab/>
        <w:t>80</w:t>
      </w:r>
      <w:r w:rsidRPr="008A2E5A">
        <w:rPr>
          <w:rFonts w:ascii="Times New Roman" w:hAnsi="Times New Roman"/>
          <w:color w:val="0070C0"/>
          <w:sz w:val="16"/>
          <w:szCs w:val="16"/>
        </w:rPr>
        <w:tab/>
        <w:t>100</w:t>
      </w:r>
      <w:r w:rsidRPr="008A2E5A">
        <w:rPr>
          <w:rFonts w:ascii="Times New Roman" w:hAnsi="Times New Roman"/>
          <w:color w:val="0070C0"/>
          <w:sz w:val="16"/>
          <w:szCs w:val="16"/>
        </w:rPr>
        <w:tab/>
        <w:t>100</w:t>
      </w:r>
      <w:r w:rsidRPr="008A2E5A">
        <w:rPr>
          <w:rFonts w:ascii="Times New Roman" w:hAnsi="Times New Roman"/>
          <w:color w:val="0070C0"/>
          <w:sz w:val="16"/>
          <w:szCs w:val="16"/>
        </w:rPr>
        <w:tab/>
        <w:t>120</w:t>
      </w:r>
      <w:r w:rsidRPr="008A2E5A">
        <w:rPr>
          <w:rFonts w:ascii="Times New Roman" w:hAnsi="Times New Roman"/>
          <w:color w:val="0070C0"/>
          <w:sz w:val="16"/>
          <w:szCs w:val="16"/>
        </w:rPr>
        <w:tab/>
        <w:t>120</w:t>
      </w:r>
      <w:r w:rsidRPr="008A2E5A">
        <w:rPr>
          <w:rFonts w:ascii="Times New Roman" w:hAnsi="Times New Roman"/>
          <w:color w:val="0070C0"/>
          <w:sz w:val="16"/>
          <w:szCs w:val="16"/>
        </w:rPr>
        <w:tab/>
        <w:t>340</w:t>
      </w:r>
    </w:p>
    <w:p w14:paraId="08F63D2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Директорам заводов: № 183 — т. Зальцману, № 112 — т. Михалеву и № 178 — т. Скибе на период освоения Коломенским и Ворошиловградским заводами обеспечить отливку и поставку заводу № 264 в отожженном виде литых башен Т-34 по следующему графику:</w:t>
      </w:r>
    </w:p>
    <w:p w14:paraId="6994EC1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Ежесуточная отгрузка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11320FE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28</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48994A8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183</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35</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40</w:t>
      </w:r>
    </w:p>
    <w:p w14:paraId="3BCC80D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35</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40</w:t>
      </w:r>
    </w:p>
    <w:p w14:paraId="2F78B97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178</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85</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90</w:t>
      </w:r>
    </w:p>
    <w:p w14:paraId="456FC48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9. Директорам заводов: Сталинградского — т. Задорожному, № 112 — т. Михалеву, № 183 — т. Зальцману и моему заместителю т. Петросьянцу учесть, что означенным постановлением Государственного комитета обороны нарком вооружения т. Устинов, ГАУ КА — т. Яковлев и директор завода № 92 т. Елян обязаны изготовить в феврале и марте 1942 г. пушки Ф-34 по следующему графику:</w:t>
      </w:r>
    </w:p>
    <w:p w14:paraId="6BD32EA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Завод-потребитель</w:t>
      </w:r>
      <w:r w:rsidRPr="008A2E5A">
        <w:rPr>
          <w:rFonts w:ascii="Times New Roman" w:hAnsi="Times New Roman"/>
          <w:color w:val="0070C0"/>
          <w:sz w:val="16"/>
          <w:szCs w:val="16"/>
        </w:rPr>
        <w:tab/>
        <w:t xml:space="preserve">Ежесуточная отгрузка 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I марте I</w:t>
      </w:r>
    </w:p>
    <w:p w14:paraId="1FB1C50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И по 20</w:t>
      </w:r>
      <w:r w:rsidRPr="008A2E5A">
        <w:rPr>
          <w:rFonts w:ascii="Times New Roman" w:hAnsi="Times New Roman"/>
          <w:color w:val="0070C0"/>
          <w:sz w:val="16"/>
          <w:szCs w:val="16"/>
        </w:rPr>
        <w:tab/>
        <w:t>с 21 по 28</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01E0DA9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11</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334</w:t>
      </w:r>
      <w:r w:rsidRPr="008A2E5A">
        <w:rPr>
          <w:rFonts w:ascii="Times New Roman" w:hAnsi="Times New Roman"/>
          <w:color w:val="0070C0"/>
          <w:sz w:val="16"/>
          <w:szCs w:val="16"/>
        </w:rPr>
        <w:tab/>
        <w:t>14</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455 1</w:t>
      </w:r>
    </w:p>
    <w:p w14:paraId="2A2E910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112</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10</w:t>
      </w:r>
      <w:r w:rsidRPr="008A2E5A">
        <w:rPr>
          <w:rFonts w:ascii="Times New Roman" w:hAnsi="Times New Roman"/>
          <w:color w:val="0070C0"/>
          <w:sz w:val="16"/>
          <w:szCs w:val="16"/>
        </w:rPr>
        <w:tab/>
        <w:t>220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310 1</w:t>
      </w:r>
    </w:p>
    <w:p w14:paraId="577F4A0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183</w:t>
      </w:r>
      <w:r w:rsidRPr="008A2E5A">
        <w:rPr>
          <w:rFonts w:ascii="Times New Roman" w:hAnsi="Times New Roman"/>
          <w:color w:val="0070C0"/>
          <w:sz w:val="16"/>
          <w:szCs w:val="16"/>
        </w:rPr>
        <w:tab/>
        <w:t>7</w:t>
      </w:r>
      <w:r w:rsidRPr="008A2E5A">
        <w:rPr>
          <w:rFonts w:ascii="Times New Roman" w:hAnsi="Times New Roman"/>
          <w:color w:val="0070C0"/>
          <w:sz w:val="16"/>
          <w:szCs w:val="16"/>
        </w:rPr>
        <w:tab/>
        <w:t>8</w:t>
      </w:r>
      <w:r w:rsidRPr="008A2E5A">
        <w:rPr>
          <w:rFonts w:ascii="Times New Roman" w:hAnsi="Times New Roman"/>
          <w:color w:val="0070C0"/>
          <w:sz w:val="16"/>
          <w:szCs w:val="16"/>
        </w:rPr>
        <w:tab/>
        <w:t>12</w:t>
      </w:r>
      <w:r w:rsidRPr="008A2E5A">
        <w:rPr>
          <w:rFonts w:ascii="Times New Roman" w:hAnsi="Times New Roman"/>
          <w:color w:val="0070C0"/>
          <w:sz w:val="16"/>
          <w:szCs w:val="16"/>
        </w:rPr>
        <w:tab/>
        <w:t>246</w:t>
      </w:r>
      <w:r w:rsidRPr="008A2E5A">
        <w:rPr>
          <w:rFonts w:ascii="Times New Roman" w:hAnsi="Times New Roman"/>
          <w:color w:val="0070C0"/>
          <w:sz w:val="16"/>
          <w:szCs w:val="16"/>
        </w:rPr>
        <w:tab/>
        <w:t>16</w:t>
      </w:r>
      <w:r w:rsidRPr="008A2E5A">
        <w:rPr>
          <w:rFonts w:ascii="Times New Roman" w:hAnsi="Times New Roman"/>
          <w:color w:val="0070C0"/>
          <w:sz w:val="16"/>
          <w:szCs w:val="16"/>
        </w:rPr>
        <w:tab/>
        <w:t>18</w:t>
      </w:r>
      <w:r w:rsidRPr="008A2E5A">
        <w:rPr>
          <w:rFonts w:ascii="Times New Roman" w:hAnsi="Times New Roman"/>
          <w:color w:val="0070C0"/>
          <w:sz w:val="16"/>
          <w:szCs w:val="16"/>
        </w:rPr>
        <w:tab/>
        <w:t>20</w:t>
      </w:r>
      <w:r w:rsidRPr="008A2E5A">
        <w:rPr>
          <w:rFonts w:ascii="Times New Roman" w:hAnsi="Times New Roman"/>
          <w:color w:val="0070C0"/>
          <w:sz w:val="16"/>
          <w:szCs w:val="16"/>
        </w:rPr>
        <w:tab/>
        <w:t>560 1</w:t>
      </w:r>
    </w:p>
    <w:p w14:paraId="494903F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24</w:t>
      </w:r>
      <w:r w:rsidRPr="008A2E5A">
        <w:rPr>
          <w:rFonts w:ascii="Times New Roman" w:hAnsi="Times New Roman"/>
          <w:color w:val="0070C0"/>
          <w:sz w:val="16"/>
          <w:szCs w:val="16"/>
        </w:rPr>
        <w:tab/>
        <w:t>28</w:t>
      </w:r>
      <w:r w:rsidRPr="008A2E5A">
        <w:rPr>
          <w:rFonts w:ascii="Times New Roman" w:hAnsi="Times New Roman"/>
          <w:color w:val="0070C0"/>
          <w:sz w:val="16"/>
          <w:szCs w:val="16"/>
        </w:rPr>
        <w:tab/>
        <w:t>35</w:t>
      </w:r>
      <w:r w:rsidRPr="008A2E5A">
        <w:rPr>
          <w:rFonts w:ascii="Times New Roman" w:hAnsi="Times New Roman"/>
          <w:color w:val="0070C0"/>
          <w:sz w:val="16"/>
          <w:szCs w:val="16"/>
        </w:rPr>
        <w:tab/>
        <w:t>800</w:t>
      </w:r>
      <w:r w:rsidRPr="008A2E5A">
        <w:rPr>
          <w:rFonts w:ascii="Times New Roman" w:hAnsi="Times New Roman"/>
          <w:color w:val="0070C0"/>
          <w:sz w:val="16"/>
          <w:szCs w:val="16"/>
        </w:rPr>
        <w:tab/>
        <w:t>40</w:t>
      </w:r>
      <w:r w:rsidRPr="008A2E5A">
        <w:rPr>
          <w:rFonts w:ascii="Times New Roman" w:hAnsi="Times New Roman"/>
          <w:color w:val="0070C0"/>
          <w:sz w:val="16"/>
          <w:szCs w:val="16"/>
        </w:rPr>
        <w:tab/>
        <w:t>43</w:t>
      </w:r>
      <w:r w:rsidRPr="008A2E5A">
        <w:rPr>
          <w:rFonts w:ascii="Times New Roman" w:hAnsi="Times New Roman"/>
          <w:color w:val="0070C0"/>
          <w:sz w:val="16"/>
          <w:szCs w:val="16"/>
        </w:rPr>
        <w:tab/>
        <w:t>45</w:t>
      </w: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1325 ]</w:t>
      </w:r>
      <w:proofErr w:type="gramEnd"/>
    </w:p>
    <w:p w14:paraId="112A888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также поставить равномерно по декадам в феврале и марте 4300 пулеметов ДТ и комплектно всю оптику.</w:t>
      </w:r>
    </w:p>
    <w:p w14:paraId="27C5774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Директорам заводов: № 264 — т. Зернову, № 183 — т. Зальцману и моему заместителю т. Щербакову учесть, что означенным постановлением Государственного комитета обороны нарком черной металлургии т. Тевосян и директора заводов: «Kpacный Октябрь» — т. Матвеев, Магнитогорского завода — т. Носов, Кузнецкого завода — т. Белан и Новотагильского завода — т. Рязанов обязаны изготовить и поставить в феврале и марте 1942 г. заводам № 183 и 264 отожженного полуобрезного бронелиста в следующих количествах:</w:t>
      </w:r>
    </w:p>
    <w:p w14:paraId="5D7E4B91" w14:textId="77777777" w:rsidR="00CE7AA2" w:rsidRPr="008A2E5A" w:rsidRDefault="00CE7AA2" w:rsidP="00CE7AA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Завод-потребитель</w:t>
      </w:r>
      <w:proofErr w:type="gramEnd"/>
      <w:r w:rsidRPr="008A2E5A">
        <w:rPr>
          <w:rFonts w:ascii="Times New Roman" w:hAnsi="Times New Roman"/>
          <w:color w:val="0070C0"/>
          <w:sz w:val="16"/>
          <w:szCs w:val="16"/>
        </w:rPr>
        <w:tab/>
        <w:t>По 10 февраля</w:t>
      </w:r>
      <w:r w:rsidRPr="008A2E5A">
        <w:rPr>
          <w:rFonts w:ascii="Times New Roman" w:hAnsi="Times New Roman"/>
          <w:color w:val="0070C0"/>
          <w:sz w:val="16"/>
          <w:szCs w:val="16"/>
        </w:rPr>
        <w:tab/>
        <w:t>По 20 февраля</w:t>
      </w:r>
      <w:r w:rsidRPr="008A2E5A">
        <w:rPr>
          <w:rFonts w:ascii="Times New Roman" w:hAnsi="Times New Roman"/>
          <w:color w:val="0070C0"/>
          <w:sz w:val="16"/>
          <w:szCs w:val="16"/>
        </w:rPr>
        <w:tab/>
        <w:t>По 20 марта</w:t>
      </w:r>
      <w:r w:rsidRPr="008A2E5A">
        <w:rPr>
          <w:rFonts w:ascii="Times New Roman" w:hAnsi="Times New Roman"/>
          <w:color w:val="0070C0"/>
          <w:sz w:val="16"/>
          <w:szCs w:val="16"/>
        </w:rPr>
        <w:tab/>
        <w:t>Всего</w:t>
      </w:r>
    </w:p>
    <w:p w14:paraId="5125D2E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264</w:t>
      </w:r>
      <w:r w:rsidRPr="008A2E5A">
        <w:rPr>
          <w:rFonts w:ascii="Times New Roman" w:hAnsi="Times New Roman"/>
          <w:color w:val="0070C0"/>
          <w:sz w:val="16"/>
          <w:szCs w:val="16"/>
        </w:rPr>
        <w:tab/>
        <w:t>4500</w:t>
      </w:r>
      <w:r w:rsidRPr="008A2E5A">
        <w:rPr>
          <w:rFonts w:ascii="Times New Roman" w:hAnsi="Times New Roman"/>
          <w:color w:val="0070C0"/>
          <w:sz w:val="16"/>
          <w:szCs w:val="16"/>
        </w:rPr>
        <w:tab/>
        <w:t>4500</w:t>
      </w:r>
      <w:r w:rsidRPr="008A2E5A">
        <w:rPr>
          <w:rFonts w:ascii="Times New Roman" w:hAnsi="Times New Roman"/>
          <w:color w:val="0070C0"/>
          <w:sz w:val="16"/>
          <w:szCs w:val="16"/>
        </w:rPr>
        <w:tab/>
        <w:t>10 500</w:t>
      </w:r>
      <w:r w:rsidRPr="008A2E5A">
        <w:rPr>
          <w:rFonts w:ascii="Times New Roman" w:hAnsi="Times New Roman"/>
          <w:color w:val="0070C0"/>
          <w:sz w:val="16"/>
          <w:szCs w:val="16"/>
        </w:rPr>
        <w:tab/>
        <w:t>19 500</w:t>
      </w:r>
    </w:p>
    <w:p w14:paraId="331941A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183</w:t>
      </w:r>
      <w:r w:rsidRPr="008A2E5A">
        <w:rPr>
          <w:rFonts w:ascii="Times New Roman" w:hAnsi="Times New Roman"/>
          <w:color w:val="0070C0"/>
          <w:sz w:val="16"/>
          <w:szCs w:val="16"/>
        </w:rPr>
        <w:tab/>
      </w:r>
      <w:r w:rsidRPr="008A2E5A">
        <w:rPr>
          <w:rFonts w:ascii="Times New Roman" w:hAnsi="Times New Roman"/>
          <w:color w:val="0070C0"/>
          <w:sz w:val="16"/>
          <w:szCs w:val="16"/>
        </w:rPr>
        <w:tab/>
        <w:t>10 500</w:t>
      </w:r>
      <w:r w:rsidRPr="008A2E5A">
        <w:rPr>
          <w:rFonts w:ascii="Times New Roman" w:hAnsi="Times New Roman"/>
          <w:color w:val="0070C0"/>
          <w:sz w:val="16"/>
          <w:szCs w:val="16"/>
        </w:rPr>
        <w:tab/>
        <w:t>12 350</w:t>
      </w:r>
      <w:r w:rsidRPr="008A2E5A">
        <w:rPr>
          <w:rFonts w:ascii="Times New Roman" w:hAnsi="Times New Roman"/>
          <w:color w:val="0070C0"/>
          <w:sz w:val="16"/>
          <w:szCs w:val="16"/>
        </w:rPr>
        <w:tab/>
        <w:t>22 850</w:t>
      </w:r>
    </w:p>
    <w:p w14:paraId="6AF8C46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Директору Сталинградского завода т. Задорожному учесть, что Государственный комитет обороны обязал НКО (т. Щаденко и Федоренко) закрепить до конца 1942 г. для работы на Сталинградском тракторном заводе 1100 чел. военнослужащих из запасного полка и ремонтных батальонов.</w:t>
      </w:r>
    </w:p>
    <w:p w14:paraId="6492FB8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Директору завода № 264 т. Зернову и и. о. директора Кировского завода т. Махонину учесть, что Государственный комитет обороны обязал НКО (т. Щаденко и Федоренко) мобилизовать до 10 февраля 1942 г. для завода № 264 1 тыс. чел. Рабочих из местных мобилизованных контингентов и для Кировского завода 3 тыс. чел. (сверх ранее мобилизованных). Тов. Зернову и Махонину подготовить общежития для всех рабочих, поступающих на заводы по мобилизации НКО, и обеспечить их необходимой для работы спецодеждой.</w:t>
      </w:r>
    </w:p>
    <w:p w14:paraId="75C95E8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Директору завода № 264 т. Зернову, заместителю начальника отдела главного механика Наркомтанкопрома т. Белику и начальнику транспортного отдела т. Косолапову учесть, что: а) нарком тяжелого машиностроения т. Казаков обязан немедленно передать заводу № 264 два мостовых 10-тонных крана с Ворошиловградского завода, 2 шт. правильных вальцов для правки брони до 45 мм и 50 шт. сварочных трансформаторов; б) нарком путей сообщений т. Арутюнов без задержки, в декадный срок, обязан вывезти эти вальцы, краны и сварочные трансформаторы в Сталинград.</w:t>
      </w:r>
    </w:p>
    <w:p w14:paraId="493B9EF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Директорам заводов: им. Орджоникидзе — т. Люльченко, им. Ленина — т. Эльцину, ГЗФС — т. Рябову, «Станкоконструкция» — т. Масленникову, им. Горького — т. Бершадскому изготовить для завода № 183 в феврале и марте 1942 г. из имеющегося задела станки согласно приложению № I1.</w:t>
      </w:r>
    </w:p>
    <w:p w14:paraId="0F4DEF0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Начальнику ОКСа Наркомтанкопрома т. Корневу, директору завода № 183 т. Зальцману и директору завода № 76 т. Кочеткову учесть, что означенным постановением Государственного комитета обороны нарком по строительству т. Юдин обязан под свою личную ответственность закончить на заводе № 183 следующие строительные работы: а) к 15 февраля с. г. сдать под монтаж деревянный корпус инструментального цеха; б) к 20 февраля с. г. — деревянный корпус в 8,5 тыс. кв. м для размещения произодства боеприпасов; в) закончить и пустить в эксплуатацию два мартена: первый — к 5 февраля и второй — к 1 марта 1942 г.; г) к 25 февраля с. г. построить земляное нефтехранилище на 200 т мазута; д) к 10 февраля с. г. полностью закончить монтаж оборудования броневого участка; е) к 15 февраля с. г. закончить строительством и сдать под монтаж механический цех на заводе № 76. Тов. Юдин обязан немедленно выехать в Нижний Тагил и лично обеспечить выполнение строительства в установленные сроки.</w:t>
      </w:r>
    </w:p>
    <w:p w14:paraId="3BD89B9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Директору завода № 183 т. Зальцману учесть, что он обязан принять и пустить в эксплуатацию в феврале месяце сего года, а Наркомсредмаш (т. Акопов) обязан передать следующее оборудование быв. Орджоникидзеградского сталелитейного завода: 2 мульдомагнитных крана, мульдошаржирный кран, электропечь 5 т и 3 формовочные машины.</w:t>
      </w:r>
    </w:p>
    <w:p w14:paraId="7FD5CFD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Директору завода № 183 т. Зальцману и директору завода № 264 т. Зернову учесть, что Государственный комитет обороны отметил невыполнение Наркомтяжманем (т. Казаков) постановления ГКО от 14 ноября 1941 г. № б9сс о пуске в декабре месяце с. г. двух кислородных установок в Нижнем Тагиле и обязал наркома тяжелого машиностроения т. Казакова и начальника Глававтогена т. Сукова: а) к 15 февраля с. г. сдать в эксплуатацию в Нижнем Тагиле одну кислородную установку на 250 куб. м, а к 1 марта с. г. — вторую кислородную установку на ту же мощность; б) обеспечить отпуск заводу № 264 в г. Сталинграде ежедневно 1 тыс. баллонов кислорода за счет любых потребителей, кроме СТЗ и завода «Баррикады».</w:t>
      </w:r>
    </w:p>
    <w:p w14:paraId="489338B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Начальнику Главснаба т. Розину и директору завода № 183 т. Зальцману учесть, что Наркомсредмаш (т. Акопов) обязан поставить заводу № 183 до 25 февраля с. г. дополнительно к выделенным Наркомтанкопромом фондам на I квартал за счет подвижки поставки другим потребителям, кроме НКАП и НКБ, следующий инструмент: метчиков — на 10 тыс. руб., плашек — на 10 тыс. руб., разверток — на 8 тыс. руб., фзрез — на 60 тыс. руб., сверл из быстрорежущей стали — на 60 тыс. руб., напильников — на 30 тыс. руб. и мерительного инструмента — на 100 тыс. руб.</w:t>
      </w:r>
    </w:p>
    <w:p w14:paraId="52F43EA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Директору завода № 183 т. Зальцману и моему заместителю т. Щербакову учесть, что Государственный комитет обороны обязал наркома черной металлургии г. Тевосяна: а) отгрузить заводу № 183 до 20 февраля с. г. 1800 т шамотного кирпича, наркому путей сообщения т. Арутюнову обеспечить перевозку кирпича в установленные сроки; б) до 5 февраля с. г. отгрузить заводу № 183 все недогрузы металла по фондам января месяца и до 20 февраля с. г. отгрузить металл по фондам февраля месяца; в) впредь поставлять заводу № 183 с Кузнецкого и Нижнетагильского заводов полуобрезной отожженный бронелист; г) обеспечить к 10 февраля с. г. присоединение газопровода с завода № 183 к заводскому газопроводу Нижнетагильского завода.</w:t>
      </w:r>
    </w:p>
    <w:p w14:paraId="7F14ECB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20. Моему заместителю т. Щербакову учесть, что Государственный комитет обороны означенным постановлением выделил на февраль и март 1942 г. Наркомганкопрому: </w:t>
      </w:r>
    </w:p>
    <w:p w14:paraId="60C9934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угля челябинского на февраль — 79 тыс. т, на март — 80 тыс. т; угля богословского — на февраль 37 тыс. т, на март — 38 тыс. т; угля кузнецкого — на февраль 20 тыс. т, на март — 20 тыс. т; угля карагандинского — на февраль 15 тыс. т, на март — 15 тыс. т; угля кизеловского — на февраль 4 тыс. т, на март — 4,5 тыс. т; угля донецкого — на февраль 15 тыс. т, на март — 15 тыс. т; б) торфа дополнительно к выделенному на I квартал фонду в марте — 11 тыс. т; в) принять к немедленной реализации установленный график ежесуточной отгрузки угля, торфа и нефтетоплива заводам согласно приложению № 2; г) учесть, что означенным постановлением Наркомуголь (т. Вахрушев), Главнефтесбыт (т. Донченко) и Наркомэлектростанций (т. Жимерин) обязаны обеспечить безусловное выполнение графика погрузки и поставки топлива остальным заводам Наркомтанкопрома до конца I квартала равномерно ежесуточно в пределах утвержденных фондов.</w:t>
      </w:r>
    </w:p>
    <w:p w14:paraId="3023D53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Директору завода № 178 в г. Кулебаках т. Скибе учесть, что Наркомсудпром (т. Носенко) и трест «Судолес» (т. Зайцев) обязаны поставить равномерными партиями ежесуточно: а) дров: в феврале 1942 г. — 40 тыс. куб. м, в марте 1942 г. — 45 тыс. куб. м; [б)] торфа: в феврале 1942 г. — 12 тыс. т, в марте 1942 г. — 13 тыс. т.</w:t>
      </w:r>
    </w:p>
    <w:p w14:paraId="69B6C72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Начальнику транспортного отдела Наркомтанкопрома т. Косолапову и директору завода № 176 в г. Муроме т. Федотову учесть, что: а) нарком путей сообщения т. Арутюнов и начальник Казанской ж. д. т. Пичугин обязаны обеспечить в феврале и марте перевозку для завода № 176 со ст[анций] Пинер, Геркли1* и Мыслец Казанской ж. д. ежесуточно по 10 вагонов дров, заготовленных «Чувашлесом»; б) нарком путей сообщения т. Арутюнов обязан полностью обеспечить вагонами отгрузку топлива танковым заводам и продвижение маршрутов с топливом взять под особый контроль, докладывая Совнаркому о выполнении каждые 5 дней.</w:t>
      </w:r>
    </w:p>
    <w:p w14:paraId="2403749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Начальнику Главснаба т. Розину, заместителю начальника отдела главного механика и энергетики т. Белику и директорам заводов учесть, что Государственный комитет обороны: а) запретил переадресовывать топливо, идущее в адрес заводов Наркомата танковой промышленности; б) разрешил Наркомтанкопрому разбронировать угля: заводу № 178 — 1 тыс. т, Кировскому заводу — 1,5 тыс. т с возвратом 15 марта з[аво]ду № 1761 2* — 2 тыс. т; угля: з[аво]ду № 112 — 8 тыс. т, СТЗ — 5 тыс. т, з[аво]ду № 178 — 2 тыс. т; в) обязал Наркомлегпром (т. Лукина) выделить Наркомтанкопрому для заводов № 183, № 264 и № 112 до 10 февраля с. г. и отгрузить 10 тыс. комплектов стеганых брюк, телогреек и кожаных ботинок.</w:t>
      </w:r>
    </w:p>
    <w:p w14:paraId="339CB8F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Начальнику Главснаба т. Розину обеспечить получение, а т. Косолапову немедленную отправку стеганых брюк, телогреек и кожаных ботинок: з[аво]ду № 183 — 4 тыс. комплектов, з[аво]ду № 264 — 3 тыс. комплектов, з[аво]ду № 112 — 1 тыс. комплектов и 2 тыс. комплектов зачислить в резерв наркома.</w:t>
      </w:r>
    </w:p>
    <w:p w14:paraId="1E71D6F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Директорам заводов: № 183 — т. Зальцману, № 264 — т. Зернову, № 112 - т. Михалеву, № 76 — т. Кочеткову, СТЗ — т. Задорожному учесть, что нарком торговли т. Любимов обязан немедленно выделить в распоряжение директоров сверх выделенных этим заводам фондов на I квартал: махорки — 300 тыс. пачек, табака — 20 тыс. 100-граммовых пачек, 1 тыс. ящиков спичек и 150 т мыла. Начальнику Главснаба т. Розину и директорам указанных заводов обеспечить получение, а т. Косолапову немедленную отправку табачных изделий и мыла в следующем количестве:</w:t>
      </w:r>
    </w:p>
    <w:p w14:paraId="104FC04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заводов</w:t>
      </w:r>
      <w:r w:rsidRPr="008A2E5A">
        <w:rPr>
          <w:rFonts w:ascii="Times New Roman" w:hAnsi="Times New Roman"/>
          <w:color w:val="0070C0"/>
          <w:sz w:val="16"/>
          <w:szCs w:val="16"/>
        </w:rPr>
        <w:tab/>
        <w:t>Махорки, в тыс. пачек</w:t>
      </w:r>
      <w:r w:rsidRPr="008A2E5A">
        <w:rPr>
          <w:rFonts w:ascii="Times New Roman" w:hAnsi="Times New Roman"/>
          <w:color w:val="0070C0"/>
          <w:sz w:val="16"/>
          <w:szCs w:val="16"/>
        </w:rPr>
        <w:tab/>
        <w:t>Табак, в тыс. пачек</w:t>
      </w:r>
      <w:r w:rsidRPr="008A2E5A">
        <w:rPr>
          <w:rFonts w:ascii="Times New Roman" w:hAnsi="Times New Roman"/>
          <w:color w:val="0070C0"/>
          <w:sz w:val="16"/>
          <w:szCs w:val="16"/>
        </w:rPr>
        <w:tab/>
        <w:t>Спичек, в ящиках</w:t>
      </w:r>
      <w:r w:rsidRPr="008A2E5A">
        <w:rPr>
          <w:rFonts w:ascii="Times New Roman" w:hAnsi="Times New Roman"/>
          <w:color w:val="0070C0"/>
          <w:sz w:val="16"/>
          <w:szCs w:val="16"/>
        </w:rPr>
        <w:tab/>
        <w:t>Мыла, в т</w:t>
      </w:r>
    </w:p>
    <w:p w14:paraId="5E8F5C3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завод № 183</w:t>
      </w:r>
      <w:r w:rsidRPr="008A2E5A">
        <w:rPr>
          <w:rFonts w:ascii="Times New Roman" w:hAnsi="Times New Roman"/>
          <w:color w:val="0070C0"/>
          <w:sz w:val="16"/>
          <w:szCs w:val="16"/>
        </w:rPr>
        <w:tab/>
        <w:t>75</w:t>
      </w:r>
      <w:r w:rsidRPr="008A2E5A">
        <w:rPr>
          <w:rFonts w:ascii="Times New Roman" w:hAnsi="Times New Roman"/>
          <w:color w:val="0070C0"/>
          <w:sz w:val="16"/>
          <w:szCs w:val="16"/>
        </w:rPr>
        <w:tab/>
        <w:t>60</w:t>
      </w:r>
      <w:r w:rsidRPr="008A2E5A">
        <w:rPr>
          <w:rFonts w:ascii="Times New Roman" w:hAnsi="Times New Roman"/>
          <w:color w:val="0070C0"/>
          <w:sz w:val="16"/>
          <w:szCs w:val="16"/>
        </w:rPr>
        <w:tab/>
        <w:t>300</w:t>
      </w:r>
      <w:r w:rsidRPr="008A2E5A">
        <w:rPr>
          <w:rFonts w:ascii="Times New Roman" w:hAnsi="Times New Roman"/>
          <w:color w:val="0070C0"/>
          <w:sz w:val="16"/>
          <w:szCs w:val="16"/>
        </w:rPr>
        <w:tab/>
        <w:t>40</w:t>
      </w:r>
    </w:p>
    <w:p w14:paraId="3CD2C68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li завод № 264</w:t>
      </w:r>
      <w:r w:rsidRPr="008A2E5A">
        <w:rPr>
          <w:rFonts w:ascii="Times New Roman" w:hAnsi="Times New Roman"/>
          <w:color w:val="0070C0"/>
          <w:sz w:val="16"/>
          <w:szCs w:val="16"/>
        </w:rPr>
        <w:tab/>
        <w:t>45</w:t>
      </w:r>
      <w:r w:rsidRPr="008A2E5A">
        <w:rPr>
          <w:rFonts w:ascii="Times New Roman" w:hAnsi="Times New Roman"/>
          <w:color w:val="0070C0"/>
          <w:sz w:val="16"/>
          <w:szCs w:val="16"/>
        </w:rPr>
        <w:tab/>
        <w:t>25</w:t>
      </w:r>
      <w:r w:rsidRPr="008A2E5A">
        <w:rPr>
          <w:rFonts w:ascii="Times New Roman" w:hAnsi="Times New Roman"/>
          <w:color w:val="0070C0"/>
          <w:sz w:val="16"/>
          <w:szCs w:val="16"/>
        </w:rPr>
        <w:tab/>
        <w:t>75</w:t>
      </w:r>
      <w:r w:rsidRPr="008A2E5A">
        <w:rPr>
          <w:rFonts w:ascii="Times New Roman" w:hAnsi="Times New Roman"/>
          <w:color w:val="0070C0"/>
          <w:sz w:val="16"/>
          <w:szCs w:val="16"/>
        </w:rPr>
        <w:tab/>
        <w:t>20</w:t>
      </w:r>
    </w:p>
    <w:p w14:paraId="7D1753F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w:t>
      </w:r>
      <w:r w:rsidRPr="008A2E5A">
        <w:rPr>
          <w:rFonts w:ascii="Times New Roman" w:hAnsi="Times New Roman"/>
          <w:color w:val="0070C0"/>
          <w:sz w:val="16"/>
          <w:szCs w:val="16"/>
        </w:rPr>
        <w:tab/>
        <w:t>45</w:t>
      </w:r>
      <w:r w:rsidRPr="008A2E5A">
        <w:rPr>
          <w:rFonts w:ascii="Times New Roman" w:hAnsi="Times New Roman"/>
          <w:color w:val="0070C0"/>
          <w:sz w:val="16"/>
          <w:szCs w:val="16"/>
        </w:rPr>
        <w:tab/>
        <w:t>30</w:t>
      </w:r>
      <w:r w:rsidRPr="008A2E5A">
        <w:rPr>
          <w:rFonts w:ascii="Times New Roman" w:hAnsi="Times New Roman"/>
          <w:color w:val="0070C0"/>
          <w:sz w:val="16"/>
          <w:szCs w:val="16"/>
        </w:rPr>
        <w:tab/>
        <w:t>100</w:t>
      </w:r>
      <w:r w:rsidRPr="008A2E5A">
        <w:rPr>
          <w:rFonts w:ascii="Times New Roman" w:hAnsi="Times New Roman"/>
          <w:color w:val="0070C0"/>
          <w:sz w:val="16"/>
          <w:szCs w:val="16"/>
        </w:rPr>
        <w:tab/>
        <w:t>25</w:t>
      </w:r>
    </w:p>
    <w:p w14:paraId="02FC9DD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завод № 76</w:t>
      </w:r>
      <w:r w:rsidRPr="008A2E5A">
        <w:rPr>
          <w:rFonts w:ascii="Times New Roman" w:hAnsi="Times New Roman"/>
          <w:color w:val="0070C0"/>
          <w:sz w:val="16"/>
          <w:szCs w:val="16"/>
        </w:rPr>
        <w:tab/>
        <w:t>45</w:t>
      </w:r>
      <w:r w:rsidRPr="008A2E5A">
        <w:rPr>
          <w:rFonts w:ascii="Times New Roman" w:hAnsi="Times New Roman"/>
          <w:color w:val="0070C0"/>
          <w:sz w:val="16"/>
          <w:szCs w:val="16"/>
        </w:rPr>
        <w:tab/>
        <w:t>25</w:t>
      </w:r>
      <w:r w:rsidRPr="008A2E5A">
        <w:rPr>
          <w:rFonts w:ascii="Times New Roman" w:hAnsi="Times New Roman"/>
          <w:color w:val="0070C0"/>
          <w:sz w:val="16"/>
          <w:szCs w:val="16"/>
        </w:rPr>
        <w:tab/>
        <w:t>75</w:t>
      </w:r>
      <w:r w:rsidRPr="008A2E5A">
        <w:rPr>
          <w:rFonts w:ascii="Times New Roman" w:hAnsi="Times New Roman"/>
          <w:color w:val="0070C0"/>
          <w:sz w:val="16"/>
          <w:szCs w:val="16"/>
        </w:rPr>
        <w:tab/>
        <w:t>15</w:t>
      </w:r>
    </w:p>
    <w:p w14:paraId="3040380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1стз</w:t>
      </w:r>
      <w:r w:rsidRPr="008A2E5A">
        <w:rPr>
          <w:rFonts w:ascii="Times New Roman" w:hAnsi="Times New Roman"/>
          <w:color w:val="0070C0"/>
          <w:sz w:val="16"/>
          <w:szCs w:val="16"/>
        </w:rPr>
        <w:tab/>
        <w:t>70</w:t>
      </w:r>
      <w:r w:rsidRPr="008A2E5A">
        <w:rPr>
          <w:rFonts w:ascii="Times New Roman" w:hAnsi="Times New Roman"/>
          <w:color w:val="0070C0"/>
          <w:sz w:val="16"/>
          <w:szCs w:val="16"/>
        </w:rPr>
        <w:tab/>
        <w:t>40</w:t>
      </w:r>
      <w:r w:rsidRPr="008A2E5A">
        <w:rPr>
          <w:rFonts w:ascii="Times New Roman" w:hAnsi="Times New Roman"/>
          <w:color w:val="0070C0"/>
          <w:sz w:val="16"/>
          <w:szCs w:val="16"/>
        </w:rPr>
        <w:tab/>
        <w:t>150</w:t>
      </w:r>
      <w:r w:rsidRPr="008A2E5A">
        <w:rPr>
          <w:rFonts w:ascii="Times New Roman" w:hAnsi="Times New Roman"/>
          <w:color w:val="0070C0"/>
          <w:sz w:val="16"/>
          <w:szCs w:val="16"/>
        </w:rPr>
        <w:tab/>
        <w:t>25</w:t>
      </w:r>
    </w:p>
    <w:p w14:paraId="2AB1D56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1того:</w:t>
      </w:r>
      <w:r w:rsidRPr="008A2E5A">
        <w:rPr>
          <w:rFonts w:ascii="Times New Roman" w:hAnsi="Times New Roman"/>
          <w:color w:val="0070C0"/>
          <w:sz w:val="16"/>
          <w:szCs w:val="16"/>
        </w:rPr>
        <w:tab/>
        <w:t>280</w:t>
      </w:r>
      <w:r w:rsidRPr="008A2E5A">
        <w:rPr>
          <w:rFonts w:ascii="Times New Roman" w:hAnsi="Times New Roman"/>
          <w:color w:val="0070C0"/>
          <w:sz w:val="16"/>
          <w:szCs w:val="16"/>
        </w:rPr>
        <w:tab/>
        <w:t>180</w:t>
      </w:r>
      <w:r w:rsidRPr="008A2E5A">
        <w:rPr>
          <w:rFonts w:ascii="Times New Roman" w:hAnsi="Times New Roman"/>
          <w:color w:val="0070C0"/>
          <w:sz w:val="16"/>
          <w:szCs w:val="16"/>
        </w:rPr>
        <w:tab/>
        <w:t>700</w:t>
      </w:r>
      <w:r w:rsidRPr="008A2E5A">
        <w:rPr>
          <w:rFonts w:ascii="Times New Roman" w:hAnsi="Times New Roman"/>
          <w:color w:val="0070C0"/>
          <w:sz w:val="16"/>
          <w:szCs w:val="16"/>
        </w:rPr>
        <w:tab/>
        <w:t>125</w:t>
      </w:r>
    </w:p>
    <w:p w14:paraId="0354F37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Зачислить в резерв наркома: махорки — 20 тыс. пачек, табака — 20 тыс. пачек, спичек — 300 ящиков и мыла — 25 т.</w:t>
      </w:r>
    </w:p>
    <w:p w14:paraId="6D0CD94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В соответствии с решением ГКО и. о. директора Кировского завода т. Махони выполнять все штамповки и литье для завода № 183 впереди поставок всем другим потребителям.</w:t>
      </w:r>
    </w:p>
    <w:p w14:paraId="20F913E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Директорам заводов: № 183 — т. Зальцману, № 76 г- т. Кочеткову, Кировскот, Махонину, начальнику транспортного отдела Наркомтанкопрома — Косолапову учестьт, что нарком путей сообщения т. Каганович и начальники дорог: им. Кагановича - т. Закорко и Южноуральской — т. Малькевич обязаны обеспечить подачу заводу 76 ежедневно трех вагонов и Кировскому заводу — двух вагонов для перевозки игателей заводу № 183, а продвижение вагонов с дизелями от завода № 76 до завода 183 производить в течение 24 часов и от Кировского завода — в течение двух суток.</w:t>
      </w:r>
    </w:p>
    <w:p w14:paraId="0E7C4C1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Начальнику Главснаба т. Розину выделить специальных ответственных лиц, на которых возложить реализацию решения ГКО, по которому НКО (т. Хрулев) обязав в двухдневный срок вывезти из г. Ленинграда своими транспортерными средстваии по заявке Наркомтанкопрома 1 тыс. т цветного металла и проката и 25 т электро-машинооборудования, потребного для танковых заводов.</w:t>
      </w:r>
    </w:p>
    <w:p w14:paraId="517F244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Начальнику Главснаба т. Розину принять меры к немедленной реализации в назаанные постановлением ГКО сроки получения из импортных поступлений 1 тыс. карат технических алмазов и 2 тыс. карат алмазного порошка, выделив заводам в следующих количествах (в каратах):</w:t>
      </w:r>
    </w:p>
    <w:p w14:paraId="159ECA0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заводов</w:t>
      </w:r>
      <w:r w:rsidRPr="008A2E5A">
        <w:rPr>
          <w:rFonts w:ascii="Times New Roman" w:hAnsi="Times New Roman"/>
          <w:color w:val="0070C0"/>
          <w:sz w:val="16"/>
          <w:szCs w:val="16"/>
        </w:rPr>
        <w:tab/>
        <w:t>Технический алмаз</w:t>
      </w:r>
      <w:r w:rsidRPr="008A2E5A">
        <w:rPr>
          <w:rFonts w:ascii="Times New Roman" w:hAnsi="Times New Roman"/>
          <w:color w:val="0070C0"/>
          <w:sz w:val="16"/>
          <w:szCs w:val="16"/>
        </w:rPr>
        <w:tab/>
        <w:t>Алмазный порошок) завод № 76</w:t>
      </w:r>
      <w:r w:rsidRPr="008A2E5A">
        <w:rPr>
          <w:rFonts w:ascii="Times New Roman" w:hAnsi="Times New Roman"/>
          <w:color w:val="0070C0"/>
          <w:sz w:val="16"/>
          <w:szCs w:val="16"/>
        </w:rPr>
        <w:tab/>
        <w:t>150</w:t>
      </w:r>
      <w:r w:rsidRPr="008A2E5A">
        <w:rPr>
          <w:rFonts w:ascii="Times New Roman" w:hAnsi="Times New Roman"/>
          <w:color w:val="0070C0"/>
          <w:sz w:val="16"/>
          <w:szCs w:val="16"/>
        </w:rPr>
        <w:tab/>
        <w:t>350</w:t>
      </w:r>
    </w:p>
    <w:p w14:paraId="07B91E0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СТЗ</w:t>
      </w:r>
      <w:r w:rsidRPr="008A2E5A">
        <w:rPr>
          <w:rFonts w:ascii="Times New Roman" w:hAnsi="Times New Roman"/>
          <w:color w:val="0070C0"/>
          <w:sz w:val="16"/>
          <w:szCs w:val="16"/>
        </w:rPr>
        <w:tab/>
        <w:t>150</w:t>
      </w:r>
      <w:r w:rsidRPr="008A2E5A">
        <w:rPr>
          <w:rFonts w:ascii="Times New Roman" w:hAnsi="Times New Roman"/>
          <w:color w:val="0070C0"/>
          <w:sz w:val="16"/>
          <w:szCs w:val="16"/>
        </w:rPr>
        <w:tab/>
        <w:t>350</w:t>
      </w:r>
    </w:p>
    <w:p w14:paraId="63C2925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Кировский завод</w:t>
      </w:r>
      <w:r w:rsidRPr="008A2E5A">
        <w:rPr>
          <w:rFonts w:ascii="Times New Roman" w:hAnsi="Times New Roman"/>
          <w:color w:val="0070C0"/>
          <w:sz w:val="16"/>
          <w:szCs w:val="16"/>
        </w:rPr>
        <w:tab/>
        <w:t>250</w:t>
      </w:r>
      <w:r w:rsidRPr="008A2E5A">
        <w:rPr>
          <w:rFonts w:ascii="Times New Roman" w:hAnsi="Times New Roman"/>
          <w:color w:val="0070C0"/>
          <w:sz w:val="16"/>
          <w:szCs w:val="16"/>
        </w:rPr>
        <w:tab/>
        <w:t>600</w:t>
      </w:r>
    </w:p>
    <w:p w14:paraId="3A75079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резерв наркома</w:t>
      </w:r>
      <w:r w:rsidRPr="008A2E5A">
        <w:rPr>
          <w:rFonts w:ascii="Times New Roman" w:hAnsi="Times New Roman"/>
          <w:color w:val="0070C0"/>
          <w:sz w:val="16"/>
          <w:szCs w:val="16"/>
        </w:rPr>
        <w:tab/>
        <w:t>450</w:t>
      </w:r>
      <w:r w:rsidRPr="008A2E5A">
        <w:rPr>
          <w:rFonts w:ascii="Times New Roman" w:hAnsi="Times New Roman"/>
          <w:color w:val="0070C0"/>
          <w:sz w:val="16"/>
          <w:szCs w:val="16"/>
        </w:rPr>
        <w:tab/>
        <w:t>700</w:t>
      </w:r>
    </w:p>
    <w:p w14:paraId="36B132F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Директорам всех заводов и начальнику транспортного отдела наркомата т. Косолапову учесть и принять к руководству в своей повседневной работе, что постановлением ГКО от 1 февраля за № 1231сс НКПС (т. Каганович) обязан: а) обеспечить безусловное выполнение постановления ГКО 3 января 1942 г. № 1092СС об организации специальных товаро-ускоренных поездов для перевозки грузов для танковых заводов; б) к 10 февраля 1942 г. разыскать и доставить заводам СТЗ, № 264,183,76,112 и Кировскому заводу вагоны с материалами, изделиями и оборудованием, отгруженные в их адрес в октябре и декабре 1942 г.; в) учесть, что личная ответственность за своевеменную доставку всех грузов, идущих в адрес танковых заводов, Государственным комитетом обороны возложена на замнаркома путей сообщения т. Арутюнова, обязав его раз в 5 дней представлять в ГКО отчет о доставке грузов на танковые заводы.</w:t>
      </w:r>
    </w:p>
    <w:p w14:paraId="46FC813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НКО (т. Федоренко) и НКПС (т. Арутюнов) обязаны отправлять в адрес танковых заводов вооружение, пушки, пулеметы, оптику, танковые корпуса, танковые детали, подшипники, топливные насосы, бронелист, поковки и штамповки воинскими литерными эшелонами — транспортами. ГКО поручил НКПС (т. Андрееву) установить жесткий контроль за продвижением и своевременной доставкой вагонов, эшелонов транспортов, идущих в адрес танковых заводов.</w:t>
      </w:r>
    </w:p>
    <w:p w14:paraId="5FF6459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Директорам всех заводов и замначальника отдела главного механика и энергетики наркомата т. Белику учесть, что ГКО обязал Госплан (т. Сабурова) выделить заводам Наркомтанкопрома лимиты на электроэнергию по их полной потребности, запретив уменьшать фонды по электроэнергии танковым заводам, а Наркомэлектростанций (т. Жимерину) запретил производить ограничения или частичные отключения танковых заводов. Тов. Белику установить жесткий контроль за выполнением настоящего пункта и о каждом случае срыва работы докладывать мне для принятия мер.</w:t>
      </w:r>
    </w:p>
    <w:p w14:paraId="05D8A28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 Директору завода № 183 т. Зальцману и замначальника 1-го отдела т. Давтяну учесть и принять к реализации обязательство Наркомсредмаша (т. Акопова) изготовить в феврале месяце заводу № 183 сто комплектов горячих штампов.</w:t>
      </w:r>
    </w:p>
    <w:p w14:paraId="62E0B5E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 Государственный комитет обороны постановил: считать важнейшей задачей работы в феврале и марте месяцах Свердловского, Горьковского, Сталинградского Челябинского обкомов ВКП(б) и их первых секретарей т. Родионова, Андрианова, Чуянова и Патоличева обеспечение выполнения плана по выпуску танков Т-34, корпусов к ним и дизелей В-2 на заводах № 183, 76, 264, 112, СТЗ и Кировском. Этим постановлением ГКО обязал т. Андрианова, Родионова, Чуянова и Патоличева лично оказывать всемерную помощь директорам этих заводов в выполнении возложенной на них задачи по увеличению выпуска танков Т-34, корпусов к ним и дизелей В-2.</w:t>
      </w:r>
    </w:p>
    <w:p w14:paraId="61AECE4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 Государственный комитет обороны возложил на народных комиссаров и начальников главных управлений т. Тевосяна, Акопова, Кабанова, Ломако, Устинова, Митрохина, Денисова, Донченко, Лопухова, Паршина и Вахрушева личную oтветственность за бесперебойное снабжение танковых заводов материалами, топливом, полуфабрикатами и изделиями по кооперации, а контроль за снабжением танковых заводов возложил на зампредседателя Совнаркома Союза ССР т. Сабурова.</w:t>
      </w:r>
    </w:p>
    <w:p w14:paraId="0A2C93E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 Контроль и ответственность по наркомату за выполнение отдельных пункта настоящего приказа возлагаю: а) в части, относящейся к транспортным перевозка снабжению заводов электрооборудованием и подшипниками, вооружением и оптике на моего заместителя т. Петросьянца; б) в части, касающейся снабжения заводов металом, броней, топливом и электроэнергией, на моего заместителя т. Щербакова; в) вопросы производственной кооперации (штамповка, поковка, литье, форсунки, насосы) на моего заместителя т. Степанова.</w:t>
      </w:r>
    </w:p>
    <w:p w14:paraId="6B33908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Мои заместители, начальники главных управлений и начальники отделов наркомата должны понять, что выполнение главной задачи, поставленной Государственным комитетом обороны — значительного увеличения в феврале и марте выпуска танков Т-34, — требует немедленного и коренного улучшения всей работы аппарата наркомата и каждого его работника в сторону оперативной и действенной помощи заводам в выполнению ими установленных правительством заданий по выпуску Т-34, корпусов к ним и дизелей В-2.</w:t>
      </w:r>
    </w:p>
    <w:p w14:paraId="343DB74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Уверен, что директора заводов, в особенности т. Зальцман, Зернов, Задорожный, Михалев, Кочетков, а также начальники главных управлений и отделов наркомата мобилизуют все силы работников танковой промышленности на выполнение и перыполнение важнейшего задания партии и правительства по выпуску танков Т-34, имеющих решающее значение для усиления боевой мощи нашей Красной армии и удовлетворения требований фронта.</w:t>
      </w:r>
    </w:p>
    <w:p w14:paraId="3EAC3BD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Директорам заводов, моим заместителям и начальникам отделов наркомата (соотуветственно) ежедневно докладывать мне о ходе выполнения настоящего приказа.</w:t>
      </w:r>
    </w:p>
    <w:p w14:paraId="707F766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В. Малышев</w:t>
      </w:r>
    </w:p>
    <w:p w14:paraId="64EF019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8752. Оп. 4. Д. 82. Л. 133-118. Подлинник (23999).</w:t>
      </w:r>
    </w:p>
    <w:p w14:paraId="401D27DE" w14:textId="77777777" w:rsidR="00CE7AA2" w:rsidRPr="008A2E5A" w:rsidRDefault="00CE7AA2" w:rsidP="00CE7AA2">
      <w:pPr>
        <w:spacing w:after="0" w:line="240" w:lineRule="auto"/>
        <w:jc w:val="both"/>
        <w:rPr>
          <w:rFonts w:ascii="Times New Roman" w:hAnsi="Times New Roman"/>
          <w:color w:val="0070C0"/>
          <w:sz w:val="16"/>
          <w:szCs w:val="16"/>
        </w:rPr>
      </w:pPr>
    </w:p>
    <w:p w14:paraId="37E0EBD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февраля 1942 г. ГКО своим постановлением № 1231сс установил, что Наркомат танковой промышленности СССР в январе 1942 г. «резко» не выполнил задания по выпуску </w:t>
      </w:r>
      <w:proofErr w:type="gramStart"/>
      <w:r w:rsidRPr="008A2E5A">
        <w:rPr>
          <w:rFonts w:ascii="Times New Roman" w:hAnsi="Times New Roman"/>
          <w:color w:val="0070C0"/>
          <w:sz w:val="16"/>
          <w:szCs w:val="16"/>
        </w:rPr>
        <w:t>танков[</w:t>
      </w:r>
      <w:proofErr w:type="gramEnd"/>
      <w:r w:rsidRPr="008A2E5A">
        <w:rPr>
          <w:rFonts w:ascii="Times New Roman" w:hAnsi="Times New Roman"/>
          <w:color w:val="0070C0"/>
          <w:sz w:val="16"/>
          <w:szCs w:val="16"/>
        </w:rPr>
        <w:t xml:space="preserve">442]. Поэтому довольно скоро ежемесячные и поквартальные графики стали значительно корректировать в сторону уменьшения. Так, согласно приказу наркома В.А. Малышева от 26 декабря 1941 г., план на I квартал 1942 г. для УЗТМ составил 1245 комплектов корпусов КВ (380 - в январе, 415 - в феврале и 450 - в марте), но впоследствии план на 1 квартал 1942 г. в целом был снижен до 900 комплектов[443]. Точно так же изменились планы и для других заводов. Например, для Кировского завода план с 435 танков в январе был снижен до 280 в марте 1942 г.; для завода № 200 - со 130 комплектов корпусов в январе до 65 в марте 1942 </w:t>
      </w:r>
      <w:proofErr w:type="gramStart"/>
      <w:r w:rsidRPr="008A2E5A">
        <w:rPr>
          <w:rFonts w:ascii="Times New Roman" w:hAnsi="Times New Roman"/>
          <w:color w:val="0070C0"/>
          <w:sz w:val="16"/>
          <w:szCs w:val="16"/>
        </w:rPr>
        <w:t>г.[</w:t>
      </w:r>
      <w:proofErr w:type="gramEnd"/>
      <w:r w:rsidRPr="008A2E5A">
        <w:rPr>
          <w:rFonts w:ascii="Times New Roman" w:hAnsi="Times New Roman"/>
          <w:color w:val="0070C0"/>
          <w:sz w:val="16"/>
          <w:szCs w:val="16"/>
        </w:rPr>
        <w:t>444].</w:t>
      </w:r>
    </w:p>
    <w:p w14:paraId="4AC5374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 заводами танкопрома встала непосильная задача - выполнить совершенно нереальные планы руководства страны. Сделать это без колоссального набора проблем, связанных с качеством продукции, было невозможно (23536).</w:t>
      </w:r>
    </w:p>
    <w:p w14:paraId="0AE68F44" w14:textId="77777777" w:rsidR="00CE7AA2" w:rsidRPr="008A2E5A" w:rsidRDefault="00CE7AA2" w:rsidP="00CE7AA2">
      <w:pPr>
        <w:spacing w:after="0" w:line="240" w:lineRule="auto"/>
        <w:jc w:val="both"/>
        <w:rPr>
          <w:rFonts w:ascii="Times New Roman" w:hAnsi="Times New Roman"/>
          <w:color w:val="0070C0"/>
          <w:sz w:val="16"/>
          <w:szCs w:val="16"/>
        </w:rPr>
      </w:pPr>
    </w:p>
    <w:p w14:paraId="4A12C97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февраля 1942 г. Приказ № 150-Мсс наркома танковой промышленности СССР В. А. Малышева об увеличении выпуска танков Т-34 в феврале и марте 1942 г.</w:t>
      </w:r>
    </w:p>
    <w:p w14:paraId="4DC7C90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0478C40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своим постановлением от 1 февраля 1942 г.</w:t>
      </w:r>
    </w:p>
    <w:p w14:paraId="28040A6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1231сс установил, что Наркомтанкопром в январе 1942 г. резко не выполнил задания по выпуску танков Т-3496. Государственный комитет обороны особенно отметил плохую работу завода № 183 (директор завода т. Максарев), выпустившего в январе с. г. 75 танков вместо 430 танков по плану. Государственный комитет обороны </w:t>
      </w:r>
      <w:proofErr w:type="gramStart"/>
      <w:r w:rsidRPr="008A2E5A">
        <w:rPr>
          <w:rFonts w:ascii="Times New Roman" w:hAnsi="Times New Roman"/>
          <w:color w:val="0070C0"/>
          <w:sz w:val="16"/>
          <w:szCs w:val="16"/>
        </w:rPr>
        <w:t>установил</w:t>
      </w:r>
      <w:proofErr w:type="gramEnd"/>
      <w:r w:rsidRPr="008A2E5A">
        <w:rPr>
          <w:rFonts w:ascii="Times New Roman" w:hAnsi="Times New Roman"/>
          <w:color w:val="0070C0"/>
          <w:sz w:val="16"/>
          <w:szCs w:val="16"/>
        </w:rPr>
        <w:t xml:space="preserve"> что в Наркомтанкопроме неудовлетворительно организована кооперация танковых заводов между собой, в результате чего Кировский завод сорвал обеспечение штамповками завод № 183. Придавая исключительное значение танкам Т-34 для вооружения Красной армии. Государственный комитет обороны поставил главной задачей Наркомтанкопрома значительное увеличение в феврале и марте 1942 г. выпуска танков Т-34.</w:t>
      </w:r>
    </w:p>
    <w:p w14:paraId="3E0F88B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приказываю</w:t>
      </w:r>
    </w:p>
    <w:p w14:paraId="74FD1EB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Установить на февраль и март 1942 г. следующий график ежесуточного выпуска танков Т-34 по заводам:</w:t>
      </w:r>
    </w:p>
    <w:p w14:paraId="2D900F7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Завод-из- готови- тель</w:t>
      </w:r>
      <w:r w:rsidRPr="008A2E5A">
        <w:rPr>
          <w:rFonts w:ascii="Times New Roman" w:hAnsi="Times New Roman"/>
          <w:color w:val="0070C0"/>
          <w:sz w:val="16"/>
          <w:szCs w:val="16"/>
        </w:rPr>
        <w:tab/>
        <w:t>Ежесуточный выпуск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AAE696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t>всего в марте 1</w:t>
      </w:r>
    </w:p>
    <w:p w14:paraId="600E631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310</w:t>
      </w:r>
      <w:r w:rsidRPr="008A2E5A">
        <w:rPr>
          <w:rFonts w:ascii="Times New Roman" w:hAnsi="Times New Roman"/>
          <w:color w:val="0070C0"/>
          <w:sz w:val="16"/>
          <w:szCs w:val="16"/>
        </w:rPr>
        <w:tab/>
        <w:t>13</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430</w:t>
      </w:r>
    </w:p>
    <w:p w14:paraId="22FC5EE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112</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10</w:t>
      </w:r>
      <w:r w:rsidRPr="008A2E5A">
        <w:rPr>
          <w:rFonts w:ascii="Times New Roman" w:hAnsi="Times New Roman"/>
          <w:color w:val="0070C0"/>
          <w:sz w:val="16"/>
          <w:szCs w:val="16"/>
        </w:rPr>
        <w:tab/>
        <w:t>210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300</w:t>
      </w:r>
    </w:p>
    <w:p w14:paraId="46D236F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№183</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12</w:t>
      </w:r>
      <w:r w:rsidRPr="008A2E5A">
        <w:rPr>
          <w:rFonts w:ascii="Times New Roman" w:hAnsi="Times New Roman"/>
          <w:color w:val="0070C0"/>
          <w:sz w:val="16"/>
          <w:szCs w:val="16"/>
        </w:rPr>
        <w:tab/>
        <w:t>224</w:t>
      </w:r>
      <w:r w:rsidRPr="008A2E5A">
        <w:rPr>
          <w:rFonts w:ascii="Times New Roman" w:hAnsi="Times New Roman"/>
          <w:color w:val="0070C0"/>
          <w:sz w:val="16"/>
          <w:szCs w:val="16"/>
        </w:rPr>
        <w:tab/>
        <w:t>15</w:t>
      </w:r>
      <w:r w:rsidRPr="008A2E5A">
        <w:rPr>
          <w:rFonts w:ascii="Times New Roman" w:hAnsi="Times New Roman"/>
          <w:color w:val="0070C0"/>
          <w:sz w:val="16"/>
          <w:szCs w:val="16"/>
        </w:rPr>
        <w:tab/>
        <w:t>18</w:t>
      </w:r>
      <w:r w:rsidRPr="008A2E5A">
        <w:rPr>
          <w:rFonts w:ascii="Times New Roman" w:hAnsi="Times New Roman"/>
          <w:color w:val="0070C0"/>
          <w:sz w:val="16"/>
          <w:szCs w:val="16"/>
        </w:rPr>
        <w:tab/>
        <w:t>20</w:t>
      </w:r>
      <w:r w:rsidRPr="008A2E5A">
        <w:rPr>
          <w:rFonts w:ascii="Times New Roman" w:hAnsi="Times New Roman"/>
          <w:color w:val="0070C0"/>
          <w:sz w:val="16"/>
          <w:szCs w:val="16"/>
        </w:rPr>
        <w:tab/>
        <w:t>530</w:t>
      </w:r>
    </w:p>
    <w:p w14:paraId="099444A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22</w:t>
      </w:r>
      <w:r w:rsidRPr="008A2E5A">
        <w:rPr>
          <w:rFonts w:ascii="Times New Roman" w:hAnsi="Times New Roman"/>
          <w:color w:val="0070C0"/>
          <w:sz w:val="16"/>
          <w:szCs w:val="16"/>
        </w:rPr>
        <w:tab/>
        <w:t>28</w:t>
      </w:r>
      <w:r w:rsidRPr="008A2E5A">
        <w:rPr>
          <w:rFonts w:ascii="Times New Roman" w:hAnsi="Times New Roman"/>
          <w:color w:val="0070C0"/>
          <w:sz w:val="16"/>
          <w:szCs w:val="16"/>
        </w:rPr>
        <w:tab/>
        <w:t>35</w:t>
      </w:r>
      <w:r w:rsidRPr="008A2E5A">
        <w:rPr>
          <w:rFonts w:ascii="Times New Roman" w:hAnsi="Times New Roman"/>
          <w:color w:val="0070C0"/>
          <w:sz w:val="16"/>
          <w:szCs w:val="16"/>
        </w:rPr>
        <w:tab/>
        <w:t>744</w:t>
      </w:r>
      <w:r w:rsidRPr="008A2E5A">
        <w:rPr>
          <w:rFonts w:ascii="Times New Roman" w:hAnsi="Times New Roman"/>
          <w:color w:val="0070C0"/>
          <w:sz w:val="16"/>
          <w:szCs w:val="16"/>
        </w:rPr>
        <w:tab/>
        <w:t>38</w:t>
      </w:r>
      <w:r w:rsidRPr="008A2E5A">
        <w:rPr>
          <w:rFonts w:ascii="Times New Roman" w:hAnsi="Times New Roman"/>
          <w:color w:val="0070C0"/>
          <w:sz w:val="16"/>
          <w:szCs w:val="16"/>
        </w:rPr>
        <w:tab/>
        <w:t>43</w:t>
      </w:r>
      <w:r w:rsidRPr="008A2E5A">
        <w:rPr>
          <w:rFonts w:ascii="Times New Roman" w:hAnsi="Times New Roman"/>
          <w:color w:val="0070C0"/>
          <w:sz w:val="16"/>
          <w:szCs w:val="16"/>
        </w:rPr>
        <w:tab/>
        <w:t>45</w:t>
      </w:r>
      <w:r w:rsidRPr="008A2E5A">
        <w:rPr>
          <w:rFonts w:ascii="Times New Roman" w:hAnsi="Times New Roman"/>
          <w:color w:val="0070C0"/>
          <w:sz w:val="16"/>
          <w:szCs w:val="16"/>
        </w:rPr>
        <w:tab/>
        <w:t>1260</w:t>
      </w:r>
    </w:p>
    <w:p w14:paraId="181B869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Установить на февраль и март 1942 г. следующий график ежесуточного выпуск дизелей В-2 по заводам:</w:t>
      </w:r>
    </w:p>
    <w:p w14:paraId="73078F0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Ежесуточный выпуск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040795A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3205F14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w:t>
      </w:r>
      <w:r w:rsidRPr="008A2E5A">
        <w:rPr>
          <w:rFonts w:ascii="Times New Roman" w:hAnsi="Times New Roman"/>
          <w:color w:val="0070C0"/>
          <w:sz w:val="16"/>
          <w:szCs w:val="16"/>
        </w:rPr>
        <w:tab/>
        <w:t>13</w:t>
      </w:r>
      <w:r w:rsidRPr="008A2E5A">
        <w:rPr>
          <w:rFonts w:ascii="Times New Roman" w:hAnsi="Times New Roman"/>
          <w:color w:val="0070C0"/>
          <w:sz w:val="16"/>
          <w:szCs w:val="16"/>
        </w:rPr>
        <w:tab/>
        <w:t>19</w:t>
      </w:r>
      <w:r w:rsidRPr="008A2E5A">
        <w:rPr>
          <w:rFonts w:ascii="Times New Roman" w:hAnsi="Times New Roman"/>
          <w:color w:val="0070C0"/>
          <w:sz w:val="16"/>
          <w:szCs w:val="16"/>
        </w:rPr>
        <w:tab/>
        <w:t>22</w:t>
      </w:r>
      <w:r w:rsidRPr="008A2E5A">
        <w:rPr>
          <w:rFonts w:ascii="Times New Roman" w:hAnsi="Times New Roman"/>
          <w:color w:val="0070C0"/>
          <w:sz w:val="16"/>
          <w:szCs w:val="16"/>
        </w:rPr>
        <w:tab/>
        <w:t>470</w:t>
      </w:r>
      <w:r w:rsidRPr="008A2E5A">
        <w:rPr>
          <w:rFonts w:ascii="Times New Roman" w:hAnsi="Times New Roman"/>
          <w:color w:val="0070C0"/>
          <w:sz w:val="16"/>
          <w:szCs w:val="16"/>
        </w:rPr>
        <w:tab/>
        <w:t>25</w:t>
      </w:r>
      <w:r w:rsidRPr="008A2E5A">
        <w:rPr>
          <w:rFonts w:ascii="Times New Roman" w:hAnsi="Times New Roman"/>
          <w:color w:val="0070C0"/>
          <w:sz w:val="16"/>
          <w:szCs w:val="16"/>
        </w:rPr>
        <w:tab/>
        <w:t>25</w:t>
      </w:r>
      <w:r w:rsidRPr="008A2E5A">
        <w:rPr>
          <w:rFonts w:ascii="Times New Roman" w:hAnsi="Times New Roman"/>
          <w:color w:val="0070C0"/>
          <w:sz w:val="16"/>
          <w:szCs w:val="16"/>
        </w:rPr>
        <w:tab/>
        <w:t>30</w:t>
      </w:r>
      <w:r w:rsidRPr="008A2E5A">
        <w:rPr>
          <w:rFonts w:ascii="Times New Roman" w:hAnsi="Times New Roman"/>
          <w:color w:val="0070C0"/>
          <w:sz w:val="16"/>
          <w:szCs w:val="16"/>
        </w:rPr>
        <w:tab/>
        <w:t>800</w:t>
      </w:r>
    </w:p>
    <w:p w14:paraId="29060C0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том числе д ля завода № 183</w:t>
      </w:r>
      <w:r w:rsidRPr="008A2E5A">
        <w:rPr>
          <w:rFonts w:ascii="Times New Roman" w:hAnsi="Times New Roman"/>
          <w:color w:val="0070C0"/>
          <w:sz w:val="16"/>
          <w:szCs w:val="16"/>
        </w:rPr>
        <w:tab/>
        <w:t>1</w:t>
      </w:r>
      <w:r w:rsidRPr="008A2E5A">
        <w:rPr>
          <w:rFonts w:ascii="Times New Roman" w:hAnsi="Times New Roman"/>
          <w:color w:val="0070C0"/>
          <w:sz w:val="16"/>
          <w:szCs w:val="16"/>
        </w:rPr>
        <w:tab/>
        <w:t>3</w:t>
      </w:r>
      <w:r w:rsidRPr="008A2E5A">
        <w:rPr>
          <w:rFonts w:ascii="Times New Roman" w:hAnsi="Times New Roman"/>
          <w:color w:val="0070C0"/>
          <w:sz w:val="16"/>
          <w:szCs w:val="16"/>
        </w:rPr>
        <w:tab/>
        <w:t>5</w:t>
      </w:r>
      <w:r w:rsidRPr="008A2E5A">
        <w:rPr>
          <w:rFonts w:ascii="Times New Roman" w:hAnsi="Times New Roman"/>
          <w:color w:val="0070C0"/>
          <w:sz w:val="16"/>
          <w:szCs w:val="16"/>
        </w:rPr>
        <w:tab/>
        <w:t>65</w:t>
      </w:r>
      <w:r w:rsidRPr="008A2E5A">
        <w:rPr>
          <w:rFonts w:ascii="Times New Roman" w:hAnsi="Times New Roman"/>
          <w:color w:val="0070C0"/>
          <w:sz w:val="16"/>
          <w:szCs w:val="16"/>
        </w:rPr>
        <w:tab/>
        <w:t>5</w:t>
      </w:r>
      <w:r w:rsidRPr="008A2E5A">
        <w:rPr>
          <w:rFonts w:ascii="Times New Roman" w:hAnsi="Times New Roman"/>
          <w:color w:val="0070C0"/>
          <w:sz w:val="16"/>
          <w:szCs w:val="16"/>
        </w:rPr>
        <w:tab/>
        <w:t>6</w:t>
      </w:r>
      <w:r w:rsidRPr="008A2E5A">
        <w:rPr>
          <w:rFonts w:ascii="Times New Roman" w:hAnsi="Times New Roman"/>
          <w:color w:val="0070C0"/>
          <w:sz w:val="16"/>
          <w:szCs w:val="16"/>
        </w:rPr>
        <w:tab/>
        <w:t>10</w:t>
      </w:r>
      <w:r w:rsidRPr="008A2E5A">
        <w:rPr>
          <w:rFonts w:ascii="Times New Roman" w:hAnsi="Times New Roman"/>
          <w:color w:val="0070C0"/>
          <w:sz w:val="16"/>
          <w:szCs w:val="16"/>
        </w:rPr>
        <w:tab/>
        <w:t>210 1</w:t>
      </w:r>
    </w:p>
    <w:p w14:paraId="6809581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310</w:t>
      </w:r>
      <w:r w:rsidRPr="008A2E5A">
        <w:rPr>
          <w:rFonts w:ascii="Times New Roman" w:hAnsi="Times New Roman"/>
          <w:color w:val="0070C0"/>
          <w:sz w:val="16"/>
          <w:szCs w:val="16"/>
        </w:rPr>
        <w:tab/>
        <w:t>13</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430</w:t>
      </w:r>
    </w:p>
    <w:p w14:paraId="49845BF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w:t>
      </w:r>
      <w:r w:rsidRPr="008A2E5A">
        <w:rPr>
          <w:rFonts w:ascii="Times New Roman" w:hAnsi="Times New Roman"/>
          <w:color w:val="0070C0"/>
          <w:sz w:val="16"/>
          <w:szCs w:val="16"/>
        </w:rPr>
        <w:tab/>
        <w:t>7</w:t>
      </w:r>
      <w:r w:rsidRPr="008A2E5A">
        <w:rPr>
          <w:rFonts w:ascii="Times New Roman" w:hAnsi="Times New Roman"/>
          <w:color w:val="0070C0"/>
          <w:sz w:val="16"/>
          <w:szCs w:val="16"/>
        </w:rPr>
        <w:tab/>
        <w:t>9</w:t>
      </w:r>
      <w:r w:rsidRPr="008A2E5A">
        <w:rPr>
          <w:rFonts w:ascii="Times New Roman" w:hAnsi="Times New Roman"/>
          <w:color w:val="0070C0"/>
          <w:sz w:val="16"/>
          <w:szCs w:val="16"/>
        </w:rPr>
        <w:tab/>
        <w:t>10</w:t>
      </w:r>
      <w:r w:rsidRPr="008A2E5A">
        <w:rPr>
          <w:rFonts w:ascii="Times New Roman" w:hAnsi="Times New Roman"/>
          <w:color w:val="0070C0"/>
          <w:sz w:val="16"/>
          <w:szCs w:val="16"/>
        </w:rPr>
        <w:tab/>
        <w:t>230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380</w:t>
      </w:r>
    </w:p>
    <w:p w14:paraId="75C9F49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30</w:t>
      </w:r>
      <w:r w:rsidRPr="008A2E5A">
        <w:rPr>
          <w:rFonts w:ascii="Times New Roman" w:hAnsi="Times New Roman"/>
          <w:color w:val="0070C0"/>
          <w:sz w:val="16"/>
          <w:szCs w:val="16"/>
        </w:rPr>
        <w:tab/>
        <w:t>40</w:t>
      </w:r>
      <w:r w:rsidRPr="008A2E5A">
        <w:rPr>
          <w:rFonts w:ascii="Times New Roman" w:hAnsi="Times New Roman"/>
          <w:color w:val="0070C0"/>
          <w:sz w:val="16"/>
          <w:szCs w:val="16"/>
        </w:rPr>
        <w:tab/>
        <w:t>45</w:t>
      </w:r>
      <w:r w:rsidRPr="008A2E5A">
        <w:rPr>
          <w:rFonts w:ascii="Times New Roman" w:hAnsi="Times New Roman"/>
          <w:color w:val="0070C0"/>
          <w:sz w:val="16"/>
          <w:szCs w:val="16"/>
        </w:rPr>
        <w:tab/>
        <w:t>1010</w:t>
      </w:r>
      <w:r w:rsidRPr="008A2E5A">
        <w:rPr>
          <w:rFonts w:ascii="Times New Roman" w:hAnsi="Times New Roman"/>
          <w:color w:val="0070C0"/>
          <w:sz w:val="16"/>
          <w:szCs w:val="16"/>
        </w:rPr>
        <w:tab/>
        <w:t>50</w:t>
      </w:r>
      <w:r w:rsidRPr="008A2E5A">
        <w:rPr>
          <w:rFonts w:ascii="Times New Roman" w:hAnsi="Times New Roman"/>
          <w:color w:val="0070C0"/>
          <w:sz w:val="16"/>
          <w:szCs w:val="16"/>
        </w:rPr>
        <w:tab/>
        <w:t>53</w:t>
      </w:r>
      <w:r w:rsidRPr="008A2E5A">
        <w:rPr>
          <w:rFonts w:ascii="Times New Roman" w:hAnsi="Times New Roman"/>
          <w:color w:val="0070C0"/>
          <w:sz w:val="16"/>
          <w:szCs w:val="16"/>
        </w:rPr>
        <w:tab/>
        <w:t>58</w:t>
      </w:r>
      <w:r w:rsidRPr="008A2E5A">
        <w:rPr>
          <w:rFonts w:ascii="Times New Roman" w:hAnsi="Times New Roman"/>
          <w:color w:val="0070C0"/>
          <w:sz w:val="16"/>
          <w:szCs w:val="16"/>
        </w:rPr>
        <w:tab/>
        <w:t>1610</w:t>
      </w:r>
    </w:p>
    <w:p w14:paraId="5FBA26F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Установить на февраль и март 1942 г. следующий график ежесуточного выпуска</w:t>
      </w:r>
    </w:p>
    <w:p w14:paraId="0375BC5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топливных насосов и форсунок для дизелей В-2:</w:t>
      </w:r>
    </w:p>
    <w:p w14:paraId="56C7B4B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r w:rsidRPr="008A2E5A">
        <w:rPr>
          <w:rFonts w:ascii="Times New Roman" w:hAnsi="Times New Roman"/>
          <w:color w:val="0070C0"/>
          <w:sz w:val="16"/>
          <w:szCs w:val="16"/>
        </w:rPr>
        <w:tab/>
        <w:t>Ежесуточный выпуск</w:t>
      </w:r>
      <w:r w:rsidRPr="008A2E5A">
        <w:rPr>
          <w:rFonts w:ascii="Times New Roman" w:hAnsi="Times New Roman"/>
          <w:color w:val="0070C0"/>
          <w:sz w:val="16"/>
          <w:szCs w:val="16"/>
        </w:rPr>
        <w:tab/>
      </w:r>
      <w:r w:rsidRPr="008A2E5A">
        <w:rPr>
          <w:rFonts w:ascii="Times New Roman" w:hAnsi="Times New Roman"/>
          <w:color w:val="0070C0"/>
          <w:sz w:val="16"/>
          <w:szCs w:val="16"/>
        </w:rPr>
        <w:tab/>
        <w:t xml:space="preserve">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t>Всего в</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w:t>
      </w:r>
    </w:p>
    <w:p w14:paraId="466DB40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изготовитель</w:t>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t>феврале</w:t>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t>марте</w:t>
      </w:r>
    </w:p>
    <w:p w14:paraId="799FD2D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w:t>
      </w:r>
      <w:r w:rsidRPr="008A2E5A">
        <w:rPr>
          <w:rFonts w:ascii="Times New Roman" w:hAnsi="Times New Roman"/>
          <w:color w:val="0070C0"/>
          <w:sz w:val="16"/>
          <w:szCs w:val="16"/>
        </w:rPr>
        <w:tab/>
        <w:t>35</w:t>
      </w:r>
      <w:r w:rsidRPr="008A2E5A">
        <w:rPr>
          <w:rFonts w:ascii="Times New Roman" w:hAnsi="Times New Roman"/>
          <w:color w:val="0070C0"/>
          <w:sz w:val="16"/>
          <w:szCs w:val="16"/>
        </w:rPr>
        <w:tab/>
        <w:t>40</w:t>
      </w:r>
      <w:r w:rsidRPr="008A2E5A">
        <w:rPr>
          <w:rFonts w:ascii="Times New Roman" w:hAnsi="Times New Roman"/>
          <w:color w:val="0070C0"/>
          <w:sz w:val="16"/>
          <w:szCs w:val="16"/>
        </w:rPr>
        <w:tab/>
        <w:t>45</w:t>
      </w:r>
      <w:r w:rsidRPr="008A2E5A">
        <w:rPr>
          <w:rFonts w:ascii="Times New Roman" w:hAnsi="Times New Roman"/>
          <w:color w:val="0070C0"/>
          <w:sz w:val="16"/>
          <w:szCs w:val="16"/>
        </w:rPr>
        <w:tab/>
        <w:t>1065</w:t>
      </w:r>
      <w:r w:rsidRPr="008A2E5A">
        <w:rPr>
          <w:rFonts w:ascii="Times New Roman" w:hAnsi="Times New Roman"/>
          <w:color w:val="0070C0"/>
          <w:sz w:val="16"/>
          <w:szCs w:val="16"/>
        </w:rPr>
        <w:tab/>
        <w:t>45</w:t>
      </w:r>
      <w:r w:rsidRPr="008A2E5A">
        <w:rPr>
          <w:rFonts w:ascii="Times New Roman" w:hAnsi="Times New Roman"/>
          <w:color w:val="0070C0"/>
          <w:sz w:val="16"/>
          <w:szCs w:val="16"/>
        </w:rPr>
        <w:tab/>
        <w:t>50</w:t>
      </w:r>
      <w:r w:rsidRPr="008A2E5A">
        <w:rPr>
          <w:rFonts w:ascii="Times New Roman" w:hAnsi="Times New Roman"/>
          <w:color w:val="0070C0"/>
          <w:sz w:val="16"/>
          <w:szCs w:val="16"/>
        </w:rPr>
        <w:tab/>
        <w:t>55</w:t>
      </w:r>
      <w:r w:rsidRPr="008A2E5A">
        <w:rPr>
          <w:rFonts w:ascii="Times New Roman" w:hAnsi="Times New Roman"/>
          <w:color w:val="0070C0"/>
          <w:sz w:val="16"/>
          <w:szCs w:val="16"/>
        </w:rPr>
        <w:tab/>
        <w:t>1500</w:t>
      </w:r>
    </w:p>
    <w:p w14:paraId="0369918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для завода № 76</w:t>
      </w:r>
      <w:r w:rsidRPr="008A2E5A">
        <w:rPr>
          <w:rFonts w:ascii="Times New Roman" w:hAnsi="Times New Roman"/>
          <w:color w:val="0070C0"/>
          <w:sz w:val="16"/>
          <w:szCs w:val="16"/>
        </w:rPr>
        <w:tab/>
        <w:t>8</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250</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390</w:t>
      </w:r>
    </w:p>
    <w:p w14:paraId="04018E4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СТЗ</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13</w:t>
      </w:r>
      <w:r w:rsidRPr="008A2E5A">
        <w:rPr>
          <w:rFonts w:ascii="Times New Roman" w:hAnsi="Times New Roman"/>
          <w:color w:val="0070C0"/>
          <w:sz w:val="16"/>
          <w:szCs w:val="16"/>
        </w:rPr>
        <w:tab/>
        <w:t>341</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360</w:t>
      </w:r>
    </w:p>
    <w:p w14:paraId="4ABC6BF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r>
      <w:r w:rsidRPr="008A2E5A">
        <w:rPr>
          <w:rFonts w:ascii="Times New Roman" w:hAnsi="Times New Roman"/>
          <w:color w:val="0070C0"/>
          <w:sz w:val="16"/>
          <w:szCs w:val="16"/>
        </w:rPr>
        <w:tab/>
        <w:t>—</w:t>
      </w:r>
      <w:r w:rsidRPr="008A2E5A">
        <w:rPr>
          <w:rFonts w:ascii="Times New Roman" w:hAnsi="Times New Roman"/>
          <w:color w:val="0070C0"/>
          <w:sz w:val="16"/>
          <w:szCs w:val="16"/>
        </w:rPr>
        <w:tab/>
        <w:t>4</w:t>
      </w:r>
      <w:r w:rsidRPr="008A2E5A">
        <w:rPr>
          <w:rFonts w:ascii="Times New Roman" w:hAnsi="Times New Roman"/>
          <w:color w:val="0070C0"/>
          <w:sz w:val="16"/>
          <w:szCs w:val="16"/>
        </w:rPr>
        <w:tab/>
        <w:t>28</w:t>
      </w:r>
      <w:r w:rsidRPr="008A2E5A">
        <w:rPr>
          <w:rFonts w:ascii="Times New Roman" w:hAnsi="Times New Roman"/>
          <w:color w:val="0070C0"/>
          <w:sz w:val="16"/>
          <w:szCs w:val="16"/>
        </w:rPr>
        <w:tab/>
        <w:t>4</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140</w:t>
      </w:r>
    </w:p>
    <w:p w14:paraId="3987070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на февраль и март 1942 г. следующий график ежесуточного производства корпусов танков Т-34 по заводам:</w:t>
      </w:r>
    </w:p>
    <w:p w14:paraId="0C263E2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Ежесуточный выпуск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322B8CD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4BC6640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183</w:t>
      </w:r>
      <w:r w:rsidRPr="008A2E5A">
        <w:rPr>
          <w:rFonts w:ascii="Times New Roman" w:hAnsi="Times New Roman"/>
          <w:color w:val="0070C0"/>
          <w:sz w:val="16"/>
          <w:szCs w:val="16"/>
        </w:rPr>
        <w:tab/>
        <w:t>7</w:t>
      </w:r>
      <w:r w:rsidRPr="008A2E5A">
        <w:rPr>
          <w:rFonts w:ascii="Times New Roman" w:hAnsi="Times New Roman"/>
          <w:color w:val="0070C0"/>
          <w:sz w:val="16"/>
          <w:szCs w:val="16"/>
        </w:rPr>
        <w:tab/>
        <w:t>10</w:t>
      </w:r>
      <w:r w:rsidRPr="008A2E5A">
        <w:rPr>
          <w:rFonts w:ascii="Times New Roman" w:hAnsi="Times New Roman"/>
          <w:color w:val="0070C0"/>
          <w:sz w:val="16"/>
          <w:szCs w:val="16"/>
        </w:rPr>
        <w:tab/>
        <w:t>14</w:t>
      </w:r>
      <w:r w:rsidRPr="008A2E5A">
        <w:rPr>
          <w:rFonts w:ascii="Times New Roman" w:hAnsi="Times New Roman"/>
          <w:color w:val="0070C0"/>
          <w:sz w:val="16"/>
          <w:szCs w:val="16"/>
        </w:rPr>
        <w:tab/>
        <w:t>270</w:t>
      </w:r>
      <w:r w:rsidRPr="008A2E5A">
        <w:rPr>
          <w:rFonts w:ascii="Times New Roman" w:hAnsi="Times New Roman"/>
          <w:color w:val="0070C0"/>
          <w:sz w:val="16"/>
          <w:szCs w:val="16"/>
        </w:rPr>
        <w:tab/>
        <w:t>15</w:t>
      </w:r>
      <w:r w:rsidRPr="008A2E5A">
        <w:rPr>
          <w:rFonts w:ascii="Times New Roman" w:hAnsi="Times New Roman"/>
          <w:color w:val="0070C0"/>
          <w:sz w:val="16"/>
          <w:szCs w:val="16"/>
        </w:rPr>
        <w:tab/>
        <w:t>18</w:t>
      </w:r>
      <w:r w:rsidRPr="008A2E5A">
        <w:rPr>
          <w:rFonts w:ascii="Times New Roman" w:hAnsi="Times New Roman"/>
          <w:color w:val="0070C0"/>
          <w:sz w:val="16"/>
          <w:szCs w:val="16"/>
        </w:rPr>
        <w:tab/>
        <w:t>20</w:t>
      </w:r>
      <w:r w:rsidRPr="008A2E5A">
        <w:rPr>
          <w:rFonts w:ascii="Times New Roman" w:hAnsi="Times New Roman"/>
          <w:color w:val="0070C0"/>
          <w:sz w:val="16"/>
          <w:szCs w:val="16"/>
        </w:rPr>
        <w:tab/>
        <w:t>530</w:t>
      </w:r>
    </w:p>
    <w:p w14:paraId="14F73CA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для СТЗ</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45</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BDF892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112</w:t>
      </w:r>
      <w:r w:rsidRPr="008A2E5A">
        <w:rPr>
          <w:rFonts w:ascii="Times New Roman" w:hAnsi="Times New Roman"/>
          <w:color w:val="0070C0"/>
          <w:sz w:val="16"/>
          <w:szCs w:val="16"/>
        </w:rPr>
        <w:tab/>
        <w:t>7</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255</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12</w:t>
      </w:r>
      <w:r w:rsidRPr="008A2E5A">
        <w:rPr>
          <w:rFonts w:ascii="Times New Roman" w:hAnsi="Times New Roman"/>
          <w:color w:val="0070C0"/>
          <w:sz w:val="16"/>
          <w:szCs w:val="16"/>
        </w:rPr>
        <w:tab/>
        <w:t>360</w:t>
      </w:r>
    </w:p>
    <w:p w14:paraId="799E2C0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для СТЗ</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45</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60</w:t>
      </w:r>
    </w:p>
    <w:p w14:paraId="440C210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№264</w:t>
      </w:r>
      <w:r w:rsidRPr="008A2E5A">
        <w:rPr>
          <w:rFonts w:ascii="Times New Roman" w:hAnsi="Times New Roman"/>
          <w:color w:val="0070C0"/>
          <w:sz w:val="16"/>
          <w:szCs w:val="16"/>
        </w:rPr>
        <w:tab/>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310</w:t>
      </w:r>
      <w:r w:rsidRPr="008A2E5A">
        <w:rPr>
          <w:rFonts w:ascii="Times New Roman" w:hAnsi="Times New Roman"/>
          <w:color w:val="0070C0"/>
          <w:sz w:val="16"/>
          <w:szCs w:val="16"/>
        </w:rPr>
        <w:tab/>
        <w:t>13</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430</w:t>
      </w:r>
    </w:p>
    <w:p w14:paraId="205BAF3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В соответствии с постановлением Государственного комитета обороны от февраля 1942 г. № 1231сс установить следующий график выпуска танков КВ в феврале и марте 1942 г. по Кировскому заводу:</w:t>
      </w:r>
    </w:p>
    <w:p w14:paraId="785E524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Ежесуточный выпуск 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Ежесуточный выпуск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55878AE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4BE92F7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r w:rsidRPr="008A2E5A">
        <w:rPr>
          <w:rFonts w:ascii="Times New Roman" w:hAnsi="Times New Roman"/>
          <w:color w:val="0070C0"/>
          <w:sz w:val="16"/>
          <w:szCs w:val="16"/>
        </w:rPr>
        <w:tab/>
        <w:t>12</w:t>
      </w:r>
      <w:r w:rsidRPr="008A2E5A">
        <w:rPr>
          <w:rFonts w:ascii="Times New Roman" w:hAnsi="Times New Roman"/>
          <w:color w:val="0070C0"/>
          <w:sz w:val="16"/>
          <w:szCs w:val="16"/>
        </w:rPr>
        <w:tab/>
        <w:t>15</w:t>
      </w:r>
      <w:r w:rsidRPr="008A2E5A">
        <w:rPr>
          <w:rFonts w:ascii="Times New Roman" w:hAnsi="Times New Roman"/>
          <w:color w:val="0070C0"/>
          <w:sz w:val="16"/>
          <w:szCs w:val="16"/>
        </w:rPr>
        <w:tab/>
        <w:t>325</w:t>
      </w:r>
      <w:r w:rsidRPr="008A2E5A">
        <w:rPr>
          <w:rFonts w:ascii="Times New Roman" w:hAnsi="Times New Roman"/>
          <w:color w:val="0070C0"/>
          <w:sz w:val="16"/>
          <w:szCs w:val="16"/>
        </w:rPr>
        <w:tab/>
        <w:t>15</w:t>
      </w:r>
      <w:r w:rsidRPr="008A2E5A">
        <w:rPr>
          <w:rFonts w:ascii="Times New Roman" w:hAnsi="Times New Roman"/>
          <w:color w:val="0070C0"/>
          <w:sz w:val="16"/>
          <w:szCs w:val="16"/>
        </w:rPr>
        <w:tab/>
        <w:t>16</w:t>
      </w:r>
      <w:r w:rsidRPr="008A2E5A">
        <w:rPr>
          <w:rFonts w:ascii="Times New Roman" w:hAnsi="Times New Roman"/>
          <w:color w:val="0070C0"/>
          <w:sz w:val="16"/>
          <w:szCs w:val="16"/>
        </w:rPr>
        <w:tab/>
        <w:t>17</w:t>
      </w:r>
      <w:r w:rsidRPr="008A2E5A">
        <w:rPr>
          <w:rFonts w:ascii="Times New Roman" w:hAnsi="Times New Roman"/>
          <w:color w:val="0070C0"/>
          <w:sz w:val="16"/>
          <w:szCs w:val="16"/>
        </w:rPr>
        <w:tab/>
        <w:t>480</w:t>
      </w:r>
    </w:p>
    <w:p w14:paraId="4BCEB6C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завода № 112 т. Михалеву и моему заместителю т. Степанову учесть, его означенным постановлением Государственного комитета обороны нарком среднего машиностроения т. Акопов и директор Горьковского автозавода т. Лоскутов, под их личную ответственность, обязаны изготовить и поставить в феврале и марте 1942 г. заводу № 112 моторов М-17Т комплектно с электрооборудованием по следующему ежесуточному графику:</w:t>
      </w:r>
    </w:p>
    <w:p w14:paraId="5445F1B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Ежесуточная отгрузка 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1A57C18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27</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33A7C75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8</w:t>
      </w:r>
      <w:r w:rsidRPr="008A2E5A">
        <w:rPr>
          <w:rFonts w:ascii="Times New Roman" w:hAnsi="Times New Roman"/>
          <w:color w:val="0070C0"/>
          <w:sz w:val="16"/>
          <w:szCs w:val="16"/>
        </w:rPr>
        <w:tab/>
        <w:t>19</w:t>
      </w:r>
      <w:r w:rsidRPr="008A2E5A">
        <w:rPr>
          <w:rFonts w:ascii="Times New Roman" w:hAnsi="Times New Roman"/>
          <w:color w:val="0070C0"/>
          <w:sz w:val="16"/>
          <w:szCs w:val="16"/>
        </w:rPr>
        <w:tab/>
        <w:t>230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310</w:t>
      </w:r>
    </w:p>
    <w:p w14:paraId="4696F4A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завода № 264 т. Зернову и заместителю начальника 1-го отдела наркомата т. Давтяну учесть, что означенным постановлением Государственного комитета обороны нарком тяжелого машиностроения т. Казаков и директора заводов: Коломенского — т. Бебенин и Ворошиловградского паровозного — т. Веллер обязаны обеспечить отливку и поставку заводу № 264 в отожженном виде литых башен танка</w:t>
      </w:r>
    </w:p>
    <w:p w14:paraId="283560C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Т-34 по следующему ежесуточному графику:</w:t>
      </w:r>
    </w:p>
    <w:p w14:paraId="22CF44A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Ежесуточная отгрузка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048AA77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28</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5648764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Коломенский з[аво]д</w:t>
      </w:r>
      <w:r w:rsidRPr="008A2E5A">
        <w:rPr>
          <w:rFonts w:ascii="Times New Roman" w:hAnsi="Times New Roman"/>
          <w:color w:val="0070C0"/>
          <w:sz w:val="16"/>
          <w:szCs w:val="16"/>
        </w:rPr>
        <w:tab/>
      </w:r>
      <w:r w:rsidRPr="008A2E5A">
        <w:rPr>
          <w:rFonts w:ascii="Times New Roman" w:hAnsi="Times New Roman"/>
          <w:color w:val="0070C0"/>
          <w:sz w:val="16"/>
          <w:szCs w:val="16"/>
        </w:rPr>
        <w:tab/>
        <w:t>с 15 февраля по 2</w:t>
      </w:r>
      <w:r w:rsidRPr="008A2E5A">
        <w:rPr>
          <w:rFonts w:ascii="Times New Roman" w:hAnsi="Times New Roman"/>
          <w:color w:val="0070C0"/>
          <w:sz w:val="16"/>
          <w:szCs w:val="16"/>
        </w:rPr>
        <w:tab/>
        <w:t>5</w:t>
      </w:r>
      <w:r w:rsidRPr="008A2E5A">
        <w:rPr>
          <w:rFonts w:ascii="Times New Roman" w:hAnsi="Times New Roman"/>
          <w:color w:val="0070C0"/>
          <w:sz w:val="16"/>
          <w:szCs w:val="16"/>
        </w:rPr>
        <w:tab/>
        <w:t>50</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150</w:t>
      </w:r>
    </w:p>
    <w:p w14:paraId="34EE2BA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Ворошилов- ll градский</w:t>
      </w:r>
      <w:r w:rsidRPr="008A2E5A">
        <w:rPr>
          <w:rFonts w:ascii="Times New Roman" w:hAnsi="Times New Roman"/>
          <w:color w:val="0070C0"/>
          <w:sz w:val="16"/>
          <w:szCs w:val="16"/>
        </w:rPr>
        <w:tab/>
      </w:r>
      <w:r w:rsidRPr="008A2E5A">
        <w:rPr>
          <w:rFonts w:ascii="Times New Roman" w:hAnsi="Times New Roman"/>
          <w:color w:val="0070C0"/>
          <w:sz w:val="16"/>
          <w:szCs w:val="16"/>
        </w:rPr>
        <w:tab/>
        <w:t>с 15 февраля по 2</w:t>
      </w:r>
      <w:r w:rsidRPr="008A2E5A">
        <w:rPr>
          <w:rFonts w:ascii="Times New Roman" w:hAnsi="Times New Roman"/>
          <w:color w:val="0070C0"/>
          <w:sz w:val="16"/>
          <w:szCs w:val="16"/>
        </w:rPr>
        <w:tab/>
        <w:t>5</w:t>
      </w:r>
      <w:r w:rsidRPr="008A2E5A">
        <w:rPr>
          <w:rFonts w:ascii="Times New Roman" w:hAnsi="Times New Roman"/>
          <w:color w:val="0070C0"/>
          <w:sz w:val="16"/>
          <w:szCs w:val="16"/>
        </w:rPr>
        <w:tab/>
        <w:t>50</w:t>
      </w:r>
      <w:r w:rsidRPr="008A2E5A">
        <w:rPr>
          <w:rFonts w:ascii="Times New Roman" w:hAnsi="Times New Roman"/>
          <w:color w:val="0070C0"/>
          <w:sz w:val="16"/>
          <w:szCs w:val="16"/>
        </w:rPr>
        <w:tab/>
        <w:t>5</w:t>
      </w:r>
      <w:r w:rsidRPr="008A2E5A">
        <w:rPr>
          <w:rFonts w:ascii="Times New Roman" w:hAnsi="Times New Roman"/>
          <w:color w:val="0070C0"/>
          <w:sz w:val="16"/>
          <w:szCs w:val="16"/>
        </w:rPr>
        <w:tab/>
        <w:t>7</w:t>
      </w:r>
      <w:r w:rsidRPr="008A2E5A">
        <w:rPr>
          <w:rFonts w:ascii="Times New Roman" w:hAnsi="Times New Roman"/>
          <w:color w:val="0070C0"/>
          <w:sz w:val="16"/>
          <w:szCs w:val="16"/>
        </w:rPr>
        <w:tab/>
        <w:t>7</w:t>
      </w:r>
      <w:r w:rsidRPr="008A2E5A">
        <w:rPr>
          <w:rFonts w:ascii="Times New Roman" w:hAnsi="Times New Roman"/>
          <w:color w:val="0070C0"/>
          <w:sz w:val="16"/>
          <w:szCs w:val="16"/>
        </w:rPr>
        <w:tab/>
        <w:t>190</w:t>
      </w:r>
    </w:p>
    <w:p w14:paraId="300E7A4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Всего:</w:t>
      </w:r>
      <w:r w:rsidRPr="008A2E5A">
        <w:rPr>
          <w:rFonts w:ascii="Times New Roman" w:hAnsi="Times New Roman"/>
          <w:color w:val="0070C0"/>
          <w:sz w:val="16"/>
          <w:szCs w:val="16"/>
        </w:rPr>
        <w:tab/>
        <w:t>[-]</w:t>
      </w:r>
      <w:r w:rsidRPr="008A2E5A">
        <w:rPr>
          <w:rFonts w:ascii="Times New Roman" w:hAnsi="Times New Roman"/>
          <w:color w:val="0070C0"/>
          <w:sz w:val="16"/>
          <w:szCs w:val="16"/>
        </w:rPr>
        <w:tab/>
        <w:t>20</w:t>
      </w:r>
      <w:r w:rsidRPr="008A2E5A">
        <w:rPr>
          <w:rFonts w:ascii="Times New Roman" w:hAnsi="Times New Roman"/>
          <w:color w:val="0070C0"/>
          <w:sz w:val="16"/>
          <w:szCs w:val="16"/>
        </w:rPr>
        <w:tab/>
        <w:t>80</w:t>
      </w:r>
      <w:r w:rsidRPr="008A2E5A">
        <w:rPr>
          <w:rFonts w:ascii="Times New Roman" w:hAnsi="Times New Roman"/>
          <w:color w:val="0070C0"/>
          <w:sz w:val="16"/>
          <w:szCs w:val="16"/>
        </w:rPr>
        <w:tab/>
        <w:t>100</w:t>
      </w:r>
      <w:r w:rsidRPr="008A2E5A">
        <w:rPr>
          <w:rFonts w:ascii="Times New Roman" w:hAnsi="Times New Roman"/>
          <w:color w:val="0070C0"/>
          <w:sz w:val="16"/>
          <w:szCs w:val="16"/>
        </w:rPr>
        <w:tab/>
        <w:t>100</w:t>
      </w:r>
      <w:r w:rsidRPr="008A2E5A">
        <w:rPr>
          <w:rFonts w:ascii="Times New Roman" w:hAnsi="Times New Roman"/>
          <w:color w:val="0070C0"/>
          <w:sz w:val="16"/>
          <w:szCs w:val="16"/>
        </w:rPr>
        <w:tab/>
        <w:t>120</w:t>
      </w:r>
      <w:r w:rsidRPr="008A2E5A">
        <w:rPr>
          <w:rFonts w:ascii="Times New Roman" w:hAnsi="Times New Roman"/>
          <w:color w:val="0070C0"/>
          <w:sz w:val="16"/>
          <w:szCs w:val="16"/>
        </w:rPr>
        <w:tab/>
        <w:t>120</w:t>
      </w:r>
      <w:r w:rsidRPr="008A2E5A">
        <w:rPr>
          <w:rFonts w:ascii="Times New Roman" w:hAnsi="Times New Roman"/>
          <w:color w:val="0070C0"/>
          <w:sz w:val="16"/>
          <w:szCs w:val="16"/>
        </w:rPr>
        <w:tab/>
        <w:t>340</w:t>
      </w:r>
    </w:p>
    <w:p w14:paraId="36765F0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Директорам заводов: № 183 — т. Зальцману, № 112 — т. Михалеву и № 178 — т. Скибе на период освоения Коломенским и Ворошиловградским заводами обеспечить отливку и поставку заводу № 264 в отожженном виде литых башен Т-34 по следующему графику:</w:t>
      </w:r>
    </w:p>
    <w:p w14:paraId="762913F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w:t>
      </w:r>
      <w:proofErr w:type="gramStart"/>
      <w:r w:rsidRPr="008A2E5A">
        <w:rPr>
          <w:rFonts w:ascii="Times New Roman" w:hAnsi="Times New Roman"/>
          <w:color w:val="0070C0"/>
          <w:sz w:val="16"/>
          <w:szCs w:val="16"/>
        </w:rPr>
        <w:t>-  изготовитель</w:t>
      </w:r>
      <w:proofErr w:type="gramEnd"/>
      <w:r w:rsidRPr="008A2E5A">
        <w:rPr>
          <w:rFonts w:ascii="Times New Roman" w:hAnsi="Times New Roman"/>
          <w:color w:val="0070C0"/>
          <w:sz w:val="16"/>
          <w:szCs w:val="16"/>
        </w:rPr>
        <w:tab/>
        <w:t>Ежесуточная отгрузка в феврале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марте</w:t>
      </w:r>
    </w:p>
    <w:p w14:paraId="20F0DFC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28</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53C67DE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183</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35</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40</w:t>
      </w:r>
    </w:p>
    <w:p w14:paraId="00DA181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35</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40</w:t>
      </w:r>
    </w:p>
    <w:p w14:paraId="49DACAC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178</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85</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r w:rsidRPr="008A2E5A">
        <w:rPr>
          <w:rFonts w:ascii="Times New Roman" w:hAnsi="Times New Roman"/>
          <w:color w:val="0070C0"/>
          <w:sz w:val="16"/>
          <w:szCs w:val="16"/>
        </w:rPr>
        <w:tab/>
        <w:t>90</w:t>
      </w:r>
    </w:p>
    <w:p w14:paraId="69A2E6E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Директорам заводов: Сталинградского — т. Задорожному, № 112 — т. Михалеву, № 183 — т. Зальцману и моему заместителю т. Петросьянцу учесть, что означенным I постановлением Государственного комитета обороны нарком вооружения т. Устинов, ГАУ КА — т. Яковлев и директор завода № 92 т. Елян обязаны изготовить в феврале и марте 1942 г. пушки Ф-34 по следующему графику:</w:t>
      </w:r>
    </w:p>
    <w:p w14:paraId="2980F55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Завод-потребитель</w:t>
      </w:r>
      <w:r w:rsidRPr="008A2E5A">
        <w:rPr>
          <w:rFonts w:ascii="Times New Roman" w:hAnsi="Times New Roman"/>
          <w:color w:val="0070C0"/>
          <w:sz w:val="16"/>
          <w:szCs w:val="16"/>
        </w:rPr>
        <w:tab/>
        <w:t xml:space="preserve">Ежесуточная отгрузка в </w:t>
      </w:r>
      <w:proofErr w:type="gramStart"/>
      <w:r w:rsidRPr="008A2E5A">
        <w:rPr>
          <w:rFonts w:ascii="Times New Roman" w:hAnsi="Times New Roman"/>
          <w:color w:val="0070C0"/>
          <w:sz w:val="16"/>
          <w:szCs w:val="16"/>
        </w:rPr>
        <w:t>феврале</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феврале</w:t>
      </w:r>
      <w:r w:rsidRPr="008A2E5A">
        <w:rPr>
          <w:rFonts w:ascii="Times New Roman" w:hAnsi="Times New Roman"/>
          <w:color w:val="0070C0"/>
          <w:sz w:val="16"/>
          <w:szCs w:val="16"/>
        </w:rPr>
        <w:tab/>
        <w:t>Ежесуточная отгрузка в марте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Всего в I марте I</w:t>
      </w:r>
    </w:p>
    <w:p w14:paraId="5351317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И по 20</w:t>
      </w:r>
      <w:r w:rsidRPr="008A2E5A">
        <w:rPr>
          <w:rFonts w:ascii="Times New Roman" w:hAnsi="Times New Roman"/>
          <w:color w:val="0070C0"/>
          <w:sz w:val="16"/>
          <w:szCs w:val="16"/>
        </w:rPr>
        <w:tab/>
        <w:t>с 21 по 28</w:t>
      </w:r>
      <w:r w:rsidRPr="008A2E5A">
        <w:rPr>
          <w:rFonts w:ascii="Times New Roman" w:hAnsi="Times New Roman"/>
          <w:color w:val="0070C0"/>
          <w:sz w:val="16"/>
          <w:szCs w:val="16"/>
        </w:rPr>
        <w:tab/>
      </w:r>
      <w:r w:rsidRPr="008A2E5A">
        <w:rPr>
          <w:rFonts w:ascii="Times New Roman" w:hAnsi="Times New Roman"/>
          <w:color w:val="0070C0"/>
          <w:sz w:val="16"/>
          <w:szCs w:val="16"/>
        </w:rPr>
        <w:tab/>
        <w:t>с 1 по 10</w:t>
      </w:r>
      <w:r w:rsidRPr="008A2E5A">
        <w:rPr>
          <w:rFonts w:ascii="Times New Roman" w:hAnsi="Times New Roman"/>
          <w:color w:val="0070C0"/>
          <w:sz w:val="16"/>
          <w:szCs w:val="16"/>
        </w:rPr>
        <w:tab/>
        <w:t>с 11 по 20</w:t>
      </w:r>
      <w:r w:rsidRPr="008A2E5A">
        <w:rPr>
          <w:rFonts w:ascii="Times New Roman" w:hAnsi="Times New Roman"/>
          <w:color w:val="0070C0"/>
          <w:sz w:val="16"/>
          <w:szCs w:val="16"/>
        </w:rPr>
        <w:tab/>
        <w:t>с 21 по 30</w:t>
      </w:r>
      <w:r w:rsidRPr="008A2E5A">
        <w:rPr>
          <w:rFonts w:ascii="Times New Roman" w:hAnsi="Times New Roman"/>
          <w:color w:val="0070C0"/>
          <w:sz w:val="16"/>
          <w:szCs w:val="16"/>
        </w:rPr>
        <w:tab/>
      </w:r>
    </w:p>
    <w:p w14:paraId="6CE3B62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11</w:t>
      </w:r>
      <w:r w:rsidRPr="008A2E5A">
        <w:rPr>
          <w:rFonts w:ascii="Times New Roman" w:hAnsi="Times New Roman"/>
          <w:color w:val="0070C0"/>
          <w:sz w:val="16"/>
          <w:szCs w:val="16"/>
        </w:rPr>
        <w:tab/>
        <w:t>12</w:t>
      </w:r>
      <w:r w:rsidRPr="008A2E5A">
        <w:rPr>
          <w:rFonts w:ascii="Times New Roman" w:hAnsi="Times New Roman"/>
          <w:color w:val="0070C0"/>
          <w:sz w:val="16"/>
          <w:szCs w:val="16"/>
        </w:rPr>
        <w:tab/>
        <w:t>13</w:t>
      </w:r>
      <w:r w:rsidRPr="008A2E5A">
        <w:rPr>
          <w:rFonts w:ascii="Times New Roman" w:hAnsi="Times New Roman"/>
          <w:color w:val="0070C0"/>
          <w:sz w:val="16"/>
          <w:szCs w:val="16"/>
        </w:rPr>
        <w:tab/>
        <w:t>334</w:t>
      </w:r>
      <w:r w:rsidRPr="008A2E5A">
        <w:rPr>
          <w:rFonts w:ascii="Times New Roman" w:hAnsi="Times New Roman"/>
          <w:color w:val="0070C0"/>
          <w:sz w:val="16"/>
          <w:szCs w:val="16"/>
        </w:rPr>
        <w:tab/>
        <w:t>14</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455 1</w:t>
      </w:r>
    </w:p>
    <w:p w14:paraId="76CF4BF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X» 112</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r w:rsidRPr="008A2E5A">
        <w:rPr>
          <w:rFonts w:ascii="Times New Roman" w:hAnsi="Times New Roman"/>
          <w:color w:val="0070C0"/>
          <w:sz w:val="16"/>
          <w:szCs w:val="16"/>
        </w:rPr>
        <w:tab/>
        <w:t>10</w:t>
      </w:r>
      <w:r w:rsidRPr="008A2E5A">
        <w:rPr>
          <w:rFonts w:ascii="Times New Roman" w:hAnsi="Times New Roman"/>
          <w:color w:val="0070C0"/>
          <w:sz w:val="16"/>
          <w:szCs w:val="16"/>
        </w:rPr>
        <w:tab/>
        <w:t>220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310 1</w:t>
      </w:r>
    </w:p>
    <w:p w14:paraId="09A2D25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183</w:t>
      </w:r>
      <w:r w:rsidRPr="008A2E5A">
        <w:rPr>
          <w:rFonts w:ascii="Times New Roman" w:hAnsi="Times New Roman"/>
          <w:color w:val="0070C0"/>
          <w:sz w:val="16"/>
          <w:szCs w:val="16"/>
        </w:rPr>
        <w:tab/>
        <w:t>7</w:t>
      </w:r>
      <w:r w:rsidRPr="008A2E5A">
        <w:rPr>
          <w:rFonts w:ascii="Times New Roman" w:hAnsi="Times New Roman"/>
          <w:color w:val="0070C0"/>
          <w:sz w:val="16"/>
          <w:szCs w:val="16"/>
        </w:rPr>
        <w:tab/>
        <w:t>8</w:t>
      </w:r>
      <w:r w:rsidRPr="008A2E5A">
        <w:rPr>
          <w:rFonts w:ascii="Times New Roman" w:hAnsi="Times New Roman"/>
          <w:color w:val="0070C0"/>
          <w:sz w:val="16"/>
          <w:szCs w:val="16"/>
        </w:rPr>
        <w:tab/>
        <w:t>12</w:t>
      </w:r>
      <w:r w:rsidRPr="008A2E5A">
        <w:rPr>
          <w:rFonts w:ascii="Times New Roman" w:hAnsi="Times New Roman"/>
          <w:color w:val="0070C0"/>
          <w:sz w:val="16"/>
          <w:szCs w:val="16"/>
        </w:rPr>
        <w:tab/>
        <w:t>246</w:t>
      </w:r>
      <w:r w:rsidRPr="008A2E5A">
        <w:rPr>
          <w:rFonts w:ascii="Times New Roman" w:hAnsi="Times New Roman"/>
          <w:color w:val="0070C0"/>
          <w:sz w:val="16"/>
          <w:szCs w:val="16"/>
        </w:rPr>
        <w:tab/>
        <w:t>16</w:t>
      </w:r>
      <w:r w:rsidRPr="008A2E5A">
        <w:rPr>
          <w:rFonts w:ascii="Times New Roman" w:hAnsi="Times New Roman"/>
          <w:color w:val="0070C0"/>
          <w:sz w:val="16"/>
          <w:szCs w:val="16"/>
        </w:rPr>
        <w:tab/>
        <w:t>18</w:t>
      </w:r>
      <w:r w:rsidRPr="008A2E5A">
        <w:rPr>
          <w:rFonts w:ascii="Times New Roman" w:hAnsi="Times New Roman"/>
          <w:color w:val="0070C0"/>
          <w:sz w:val="16"/>
          <w:szCs w:val="16"/>
        </w:rPr>
        <w:tab/>
        <w:t>20</w:t>
      </w:r>
      <w:r w:rsidRPr="008A2E5A">
        <w:rPr>
          <w:rFonts w:ascii="Times New Roman" w:hAnsi="Times New Roman"/>
          <w:color w:val="0070C0"/>
          <w:sz w:val="16"/>
          <w:szCs w:val="16"/>
        </w:rPr>
        <w:tab/>
        <w:t>560 1</w:t>
      </w:r>
    </w:p>
    <w:p w14:paraId="466C650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24</w:t>
      </w:r>
      <w:r w:rsidRPr="008A2E5A">
        <w:rPr>
          <w:rFonts w:ascii="Times New Roman" w:hAnsi="Times New Roman"/>
          <w:color w:val="0070C0"/>
          <w:sz w:val="16"/>
          <w:szCs w:val="16"/>
        </w:rPr>
        <w:tab/>
        <w:t>28</w:t>
      </w:r>
      <w:r w:rsidRPr="008A2E5A">
        <w:rPr>
          <w:rFonts w:ascii="Times New Roman" w:hAnsi="Times New Roman"/>
          <w:color w:val="0070C0"/>
          <w:sz w:val="16"/>
          <w:szCs w:val="16"/>
        </w:rPr>
        <w:tab/>
        <w:t>35</w:t>
      </w:r>
      <w:r w:rsidRPr="008A2E5A">
        <w:rPr>
          <w:rFonts w:ascii="Times New Roman" w:hAnsi="Times New Roman"/>
          <w:color w:val="0070C0"/>
          <w:sz w:val="16"/>
          <w:szCs w:val="16"/>
        </w:rPr>
        <w:tab/>
        <w:t>800</w:t>
      </w:r>
      <w:r w:rsidRPr="008A2E5A">
        <w:rPr>
          <w:rFonts w:ascii="Times New Roman" w:hAnsi="Times New Roman"/>
          <w:color w:val="0070C0"/>
          <w:sz w:val="16"/>
          <w:szCs w:val="16"/>
        </w:rPr>
        <w:tab/>
        <w:t>40</w:t>
      </w:r>
      <w:r w:rsidRPr="008A2E5A">
        <w:rPr>
          <w:rFonts w:ascii="Times New Roman" w:hAnsi="Times New Roman"/>
          <w:color w:val="0070C0"/>
          <w:sz w:val="16"/>
          <w:szCs w:val="16"/>
        </w:rPr>
        <w:tab/>
        <w:t>43</w:t>
      </w:r>
      <w:r w:rsidRPr="008A2E5A">
        <w:rPr>
          <w:rFonts w:ascii="Times New Roman" w:hAnsi="Times New Roman"/>
          <w:color w:val="0070C0"/>
          <w:sz w:val="16"/>
          <w:szCs w:val="16"/>
        </w:rPr>
        <w:tab/>
        <w:t>45</w:t>
      </w: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1325 ]</w:t>
      </w:r>
      <w:proofErr w:type="gramEnd"/>
    </w:p>
    <w:p w14:paraId="476D202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также поставить равномерно по декадам в феврале и марте 4300 пулеметов ДТ и комплектно всю оптику.</w:t>
      </w:r>
    </w:p>
    <w:p w14:paraId="40765041"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Директорам заводов: № 264 — т. Зернову, № 183 — т. Зальцману и моему заместителю т. Щербакову учесть, что означенным постановлением Государственного комитета обороны нарком черной металлургии т. Тевосян и директора заводов: «Kpacный Октябрь» — т. Матвеев, Магнитогорского завода — т. Носов, Кузнецкого завда — т. Белан и Новотагильского завода — т. Рязанов обязаны изготовить и поставить в феврале и марте 1942 г. заводам № 183 и 264 отожженного полуобрезного бронелиста в следующих количествах:</w:t>
      </w:r>
    </w:p>
    <w:p w14:paraId="15F1A548" w14:textId="77777777" w:rsidR="00CE7AA2" w:rsidRPr="008A2E5A" w:rsidRDefault="00CE7AA2" w:rsidP="00CE7AA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Завод-потребитель</w:t>
      </w:r>
      <w:proofErr w:type="gramEnd"/>
      <w:r w:rsidRPr="008A2E5A">
        <w:rPr>
          <w:rFonts w:ascii="Times New Roman" w:hAnsi="Times New Roman"/>
          <w:color w:val="0070C0"/>
          <w:sz w:val="16"/>
          <w:szCs w:val="16"/>
        </w:rPr>
        <w:tab/>
        <w:t>По 10 февраля</w:t>
      </w:r>
      <w:r w:rsidRPr="008A2E5A">
        <w:rPr>
          <w:rFonts w:ascii="Times New Roman" w:hAnsi="Times New Roman"/>
          <w:color w:val="0070C0"/>
          <w:sz w:val="16"/>
          <w:szCs w:val="16"/>
        </w:rPr>
        <w:tab/>
        <w:t>По 20 февраля</w:t>
      </w:r>
      <w:r w:rsidRPr="008A2E5A">
        <w:rPr>
          <w:rFonts w:ascii="Times New Roman" w:hAnsi="Times New Roman"/>
          <w:color w:val="0070C0"/>
          <w:sz w:val="16"/>
          <w:szCs w:val="16"/>
        </w:rPr>
        <w:tab/>
        <w:t>По 20 марта</w:t>
      </w:r>
      <w:r w:rsidRPr="008A2E5A">
        <w:rPr>
          <w:rFonts w:ascii="Times New Roman" w:hAnsi="Times New Roman"/>
          <w:color w:val="0070C0"/>
          <w:sz w:val="16"/>
          <w:szCs w:val="16"/>
        </w:rPr>
        <w:tab/>
        <w:t>Всего</w:t>
      </w:r>
    </w:p>
    <w:p w14:paraId="725E828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264</w:t>
      </w:r>
      <w:r w:rsidRPr="008A2E5A">
        <w:rPr>
          <w:rFonts w:ascii="Times New Roman" w:hAnsi="Times New Roman"/>
          <w:color w:val="0070C0"/>
          <w:sz w:val="16"/>
          <w:szCs w:val="16"/>
        </w:rPr>
        <w:tab/>
        <w:t>4500</w:t>
      </w:r>
      <w:r w:rsidRPr="008A2E5A">
        <w:rPr>
          <w:rFonts w:ascii="Times New Roman" w:hAnsi="Times New Roman"/>
          <w:color w:val="0070C0"/>
          <w:sz w:val="16"/>
          <w:szCs w:val="16"/>
        </w:rPr>
        <w:tab/>
        <w:t>4500</w:t>
      </w:r>
      <w:r w:rsidRPr="008A2E5A">
        <w:rPr>
          <w:rFonts w:ascii="Times New Roman" w:hAnsi="Times New Roman"/>
          <w:color w:val="0070C0"/>
          <w:sz w:val="16"/>
          <w:szCs w:val="16"/>
        </w:rPr>
        <w:tab/>
        <w:t>10 500</w:t>
      </w:r>
      <w:r w:rsidRPr="008A2E5A">
        <w:rPr>
          <w:rFonts w:ascii="Times New Roman" w:hAnsi="Times New Roman"/>
          <w:color w:val="0070C0"/>
          <w:sz w:val="16"/>
          <w:szCs w:val="16"/>
        </w:rPr>
        <w:tab/>
        <w:t>19 500</w:t>
      </w:r>
    </w:p>
    <w:p w14:paraId="2EC3AC2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183</w:t>
      </w:r>
      <w:r w:rsidRPr="008A2E5A">
        <w:rPr>
          <w:rFonts w:ascii="Times New Roman" w:hAnsi="Times New Roman"/>
          <w:color w:val="0070C0"/>
          <w:sz w:val="16"/>
          <w:szCs w:val="16"/>
        </w:rPr>
        <w:tab/>
      </w:r>
      <w:r w:rsidRPr="008A2E5A">
        <w:rPr>
          <w:rFonts w:ascii="Times New Roman" w:hAnsi="Times New Roman"/>
          <w:color w:val="0070C0"/>
          <w:sz w:val="16"/>
          <w:szCs w:val="16"/>
        </w:rPr>
        <w:tab/>
        <w:t>10 500</w:t>
      </w:r>
      <w:r w:rsidRPr="008A2E5A">
        <w:rPr>
          <w:rFonts w:ascii="Times New Roman" w:hAnsi="Times New Roman"/>
          <w:color w:val="0070C0"/>
          <w:sz w:val="16"/>
          <w:szCs w:val="16"/>
        </w:rPr>
        <w:tab/>
        <w:t>12 350</w:t>
      </w:r>
      <w:r w:rsidRPr="008A2E5A">
        <w:rPr>
          <w:rFonts w:ascii="Times New Roman" w:hAnsi="Times New Roman"/>
          <w:color w:val="0070C0"/>
          <w:sz w:val="16"/>
          <w:szCs w:val="16"/>
        </w:rPr>
        <w:tab/>
        <w:t>22 850</w:t>
      </w:r>
    </w:p>
    <w:p w14:paraId="23AF0AF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Директору Сталинградского завода т. Задорожному учесть, что Государственный комитет обороны обязал НКО (т. Щаденко и Федоренко) закрепить до конца 1942 г. для работы на Сталинградском тракторном заводе 1100 чел. военнослужащих из запасного полка и ремонтных батальонов.</w:t>
      </w:r>
    </w:p>
    <w:p w14:paraId="0D454AB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Директору завода № 264 т. Зернову и и. о. директора Кировского завода т. Махонину учесть, что Государственный комитет обороны обязал НКО (т. Щаденко и Федоренко) мобилизовать до 10 февраля 1942 г. для завода № 264 1 тыс. чел. Рабочих из местных мобилизованных контингентов и для Кировского завода 3 тыс. чел. (сверх ранее мобилизованных). Тов. Зернову и Махонину подготовить общежития для всех рабочих, поступающих на заводы по мобилизации НКО, и обеспечить их необходимой для работы спецодеждой.</w:t>
      </w:r>
    </w:p>
    <w:p w14:paraId="364F971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Директору завода № 264 т. Зернову, заместителю начальника отдела главного механика Наркомтанкопрома т. Белику и начальнику транспортного отдела т. Косолапову учесть, что: а) нарком тяжелого машиностроения т. Казаков обязан немедленно передать заводу № 264 два мостовых 10-тонных крана с Ворошиловградского завода, 2 шт. правильных вальцов для правки брони до 45 мм и 50 шт. сварочных трансформаторов; б) нарком путей сообщений т. Арутюнов без задержки, в декадный срок, обязан</w:t>
      </w:r>
    </w:p>
    <w:p w14:paraId="2664DE1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вывезти эти вальцы, краны и сварочные трансформаторы в Сталинград.</w:t>
      </w:r>
    </w:p>
    <w:p w14:paraId="06A91F2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Директорам заводов: им. Орджоникидзе — т. Люльченко, им. Ленина — т. Эльцину, ГЗФС — т. Рябову, «Станкоконструкция» — т. Масленникову, им. Горького — т. Бершадскому изготовить для завода № 183 в феврале и марте 1942 г. из имеющегося задела станки согласно приложению № I1.</w:t>
      </w:r>
    </w:p>
    <w:p w14:paraId="211CEC3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15. Начальнику ОКСа Наркомтанкопрома т. Корневу, директору завода № 183 т. Зальцману и директору завода № 76 т. Кочеткову учесть, что означенным постановением Государственного комитета обороны нарком по строительству т. Юдин обязан под свою личную ответственность закончить на заводе № 183 следующие строительные работы: а) к 15 февраля с. г. сдать под монтаж деревянный корпус инструментального цеха; б) к 20 февраля с. г. — деревянный корпус в 8,5 тыс. кв. м для размещения произодства боеприпасов; в) закончить и пустить в эксплуатацию два мартена: первый — к 5 февраля и второй — к 1 марта 1942 г.; г) к 25 </w:t>
      </w:r>
      <w:r w:rsidRPr="008A2E5A">
        <w:rPr>
          <w:rFonts w:ascii="Times New Roman" w:hAnsi="Times New Roman"/>
          <w:color w:val="0070C0"/>
          <w:sz w:val="16"/>
          <w:szCs w:val="16"/>
        </w:rPr>
        <w:lastRenderedPageBreak/>
        <w:t>февраля с. г. построить земляное нефтехранилище на 200 т мазута; д) к 10 февраля с. г. полностью закончить монтаж оборудования броневого участка; е) к 15 февраля с. г. закончить строительством и сдать под монтаж механический цех на заводе № 76. Тов. Юдин обязан немедленно выехать в Нижний Тагил и лично обеспечить выполнение строительства в установленные сроки.</w:t>
      </w:r>
    </w:p>
    <w:p w14:paraId="6D9FCE8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Директору завода № 183 т. Зальцману учесть, что он обязан принять и пустить в эксплуатацию в феврале месяце сего года, а Наркомсредмаш (т. Акопов) обязан передать следующее оборудование быв. Орджоникидзеградского сталелитейного завода: 2 мультомагнитных крана, мульдошарнирный кран, электропечь 5 т и 3 формовочные машины.</w:t>
      </w:r>
    </w:p>
    <w:p w14:paraId="26C3003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Директору завода № 183 т. Зальцману и директору завода № 264 т. Зернову учесть, что Государственный комитет обороны отметил невыполнение Наркомтяжманем (т. Казаков) постановления ГКО от 14 ноября 1941 г. № бЭсс о пуске в декабре месяце с. г. двух кислородных установок в Нижнем Тагиле и обязал наркома тяжелого машиностроения т. Казакова и начальника Глававтогена т. Сукова: а) к 15 февраля с. г. сдать в эксплуатацию в Нижнем Тагиле одну кислородную установку на 250 куб. м, а к 1 марта с. г. — вторую кислородную установку на ту же мощность; б) обеспечить отпуск заводу № 264 в г. Сталинграде ежедневно 1 тыс. баллонов кислорода за счет любых потребителей, кроме СТЗ и завода «Баррикады».</w:t>
      </w:r>
    </w:p>
    <w:p w14:paraId="21ECECE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Начальнику Главснаба т. Розину и директору завода № 183 т. Зальцману учесть, что Наркомсредмаш (т. Акопов) обязан поставить заводу № 183 до 25 февраля с. г. дополнительно к выделенным Наркомтанкопромом фондам на I квартал за счет подвижки поставки другим потребителям, кроме НКАП и НКБ, следующий инструмент: метчиков — на 10 тыс. руб., плашек — на 10 тыс. руб., разверток — на 8 тыс. руб., |зрез — на 60 тыс. руб., сверл из быстрорежущей стали — на 60 тыс. руб., напильников — га 30 тыс. руб. и мерительного инструмента — на 100 тыс. руб.</w:t>
      </w:r>
    </w:p>
    <w:p w14:paraId="1949B52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Директору завода № 183 т. Зальцману и моему заместителю т. Щербакову учесть, что Государственный комитет обороны обязал наркома черной металлургии г. Тевосяна: а) отгрузить заводу № 183 до 20 февраля с. г. 1800 т шамотного кирпича, 1 наркому путей сообщения т. Арутюнову обеспечить перевозку кирпича в установпенные сроки; б) до 5 февраля с. г. отгрузить заводу № 183 все недогрузы металла то фондам января месяца и до 20 февраля с. г. отгрузить металл по фондам февраля месяца; в) впредь поставлять заводу № 183 с Кузнецкого и Нижнетагильского заводов полуобрезной отожженный бронелист; г) обеспечить к 10 февраля с. г. присоединение газопровода с завода № 183 к заводскому газопроводу Нижнетагильского завода.</w:t>
      </w:r>
    </w:p>
    <w:p w14:paraId="3BB7ABC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Моему заместителю т. Щербакову учесть, что Государственный комитет обороны означенным постановлением выделил на февраль и март 1942 г. Наркомганкопрому: а) угля челябинского на февраль — 79 тыс. т, на март — 80 тыс. т; угля богословского — на февраль 37 тыс. т, на март — 38 тыс. т; угля кузнецкого — на февраль 20 тыс. т, на март — 20 тыс. т; угля карагандинского — на февраль 15 тыс. т, на март — 15 тыс. т; угля кизеловского — на февраль 4 тыс. т, на март — 4,5 тыс. т; угля донецкого — на февраль 15 тыс. т, на март — 15 тыс. т; б) торфа дополнительно к выдделенному на I квартал фонду в марте — 11 тыс. т; в) принять к немедленной реализации установленный график ежесуточной отгрузки угля, торфа и нефтетоплива заводам согласно приложению № 2; г) учесть, что означенным постановлением Наркомуголь (т. Вахрушев), Главнефтесбыт (т. Донченко) и Наркомэлектростанций (т. Жимерин) обязаны обеспечить безусловное выполнение графика погрузки и поставки топлива остальным заводам Наркомтанкопрома до конца I квартала равномерно ежесуточно в пределах утвержденных фондов.</w:t>
      </w:r>
    </w:p>
    <w:p w14:paraId="1046C35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Директору завода № 178 в г. Кулебаках т. Скибе учесть, что Наркомсудпром (т. Носенко) и трест «Судолес» (т. Зайцев) обязаны поставить равномерными партиями ежесуточно: а) дров: в феврале 1942 г. — 40 тыс. куб. м, в марте 1942 г. — 45 тыс. куб. м; [б)] торфа: в феврале 1942 г. — 12 тыс. т, в марте 1942 г. — 13 тыс. т.</w:t>
      </w:r>
    </w:p>
    <w:p w14:paraId="05C1DC9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Начальнику транспортного отдела Наркомтанкопрома т. Косолапову и директору завода № 176 в г. Муроме т. Федотову учесть, что: а) нарком путей сообщения т. Арутюнов и начальник Казанской ж. д. т. Пичугин обязаны обеспечить в феврале и марте перевозку для завода № 176 со ст[анций] Пинер, Геркли1* и Мыслец Казанской ж. д. ежесуточно по 10 вагонов дров, заготовленных «Чувашлесом»; б) нарком путей сообщения т. Арутюнов обязан полностью обеспечить вагонами отгрузку топлива танковым заводам и продвижение маршрутов с топливом взять под особый контроль, докладывая Совнаркому о выполнении каждые 5 дней.</w:t>
      </w:r>
    </w:p>
    <w:p w14:paraId="79378455"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Начальнику Главснаба т. Розину, заместителю начальника отдела главного механика и энергетики т. Белику и директорам заводов учесть, что Государственный комитет обороны: а) запретил переадресовывать топливо, идущее в адрес заводов Наркомата танковой промышленности; б) разрешил Наркомтанкопрому разбронировать угля: заводу № 178 — 1 тыс. т, Кировскому заводу — 1,5 тыс. т с возвратом 15 марта з[аво]ду № 1761 2* — 2 тыс. т; угля: з[аво]ду № 112 — 8 тыс. т, СТЗ — 5 тыс. т, з[аво]ду № 178 — 2 тыс. т; в) обязал Наркомлегпром (т. Лукина) выделить Наркомтанкопрому для заводов № 183, № 264 и № 112 до 10 февраля с. г. и отгрузить 10 тыс. комплектов стеганых брюк, телогреек и кожаных ботинок.</w:t>
      </w:r>
    </w:p>
    <w:p w14:paraId="61DCB30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Начальнику Главснаба т. Розину обеспечить получение, а т. Косолапову немедленную отправку стеганых брюк, телогреек и кожаных ботинок: з[аво]ду № 183 — 4 тыс. комплектов, з[аво]ду № 264 — 3 тыс. комплектов, з[аво]ду № 112 — 1 тыс. комплектов и 2 тыс. комплектов зачислить в резерв наркома.</w:t>
      </w:r>
    </w:p>
    <w:p w14:paraId="6ACD010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Директорам заводов: № 183 — т. Зальцману, № 264 — т. Зернову, № 112-4 т. Михалеву, № 76 — т. Кочеткову, СТЗ — т. Задорожному учесть, что нарком торговли т. Любимов обязан немедленно выделить в распоряжение директоров сверх выделенаных этим заводам фондов на I квартал: махорки — 300 тыс. пачек, табака — 20 тыс. 100-граммовых пачек, 1 тыс. ящиков спичек и 150 т мыла. Начальнику Главснаба т. Розину и директорам указанных заводов обеспечить получение, а т. Косолапову немедленную отправку табачных изделий и мыла в следующем количестве:</w:t>
      </w:r>
    </w:p>
    <w:p w14:paraId="55ACB86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заводов</w:t>
      </w:r>
      <w:r w:rsidRPr="008A2E5A">
        <w:rPr>
          <w:rFonts w:ascii="Times New Roman" w:hAnsi="Times New Roman"/>
          <w:color w:val="0070C0"/>
          <w:sz w:val="16"/>
          <w:szCs w:val="16"/>
        </w:rPr>
        <w:tab/>
        <w:t>Махорки, в тыс. пачек</w:t>
      </w:r>
      <w:r w:rsidRPr="008A2E5A">
        <w:rPr>
          <w:rFonts w:ascii="Times New Roman" w:hAnsi="Times New Roman"/>
          <w:color w:val="0070C0"/>
          <w:sz w:val="16"/>
          <w:szCs w:val="16"/>
        </w:rPr>
        <w:tab/>
        <w:t>Табак, в тыс. пачек</w:t>
      </w:r>
      <w:r w:rsidRPr="008A2E5A">
        <w:rPr>
          <w:rFonts w:ascii="Times New Roman" w:hAnsi="Times New Roman"/>
          <w:color w:val="0070C0"/>
          <w:sz w:val="16"/>
          <w:szCs w:val="16"/>
        </w:rPr>
        <w:tab/>
        <w:t>Спичек, в ящиках</w:t>
      </w:r>
      <w:r w:rsidRPr="008A2E5A">
        <w:rPr>
          <w:rFonts w:ascii="Times New Roman" w:hAnsi="Times New Roman"/>
          <w:color w:val="0070C0"/>
          <w:sz w:val="16"/>
          <w:szCs w:val="16"/>
        </w:rPr>
        <w:tab/>
        <w:t>Мыла, в т</w:t>
      </w:r>
    </w:p>
    <w:p w14:paraId="5E2AA82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183</w:t>
      </w:r>
      <w:r w:rsidRPr="008A2E5A">
        <w:rPr>
          <w:rFonts w:ascii="Times New Roman" w:hAnsi="Times New Roman"/>
          <w:color w:val="0070C0"/>
          <w:sz w:val="16"/>
          <w:szCs w:val="16"/>
        </w:rPr>
        <w:tab/>
        <w:t>75</w:t>
      </w:r>
      <w:r w:rsidRPr="008A2E5A">
        <w:rPr>
          <w:rFonts w:ascii="Times New Roman" w:hAnsi="Times New Roman"/>
          <w:color w:val="0070C0"/>
          <w:sz w:val="16"/>
          <w:szCs w:val="16"/>
        </w:rPr>
        <w:tab/>
        <w:t>60</w:t>
      </w:r>
      <w:r w:rsidRPr="008A2E5A">
        <w:rPr>
          <w:rFonts w:ascii="Times New Roman" w:hAnsi="Times New Roman"/>
          <w:color w:val="0070C0"/>
          <w:sz w:val="16"/>
          <w:szCs w:val="16"/>
        </w:rPr>
        <w:tab/>
        <w:t>300</w:t>
      </w:r>
      <w:r w:rsidRPr="008A2E5A">
        <w:rPr>
          <w:rFonts w:ascii="Times New Roman" w:hAnsi="Times New Roman"/>
          <w:color w:val="0070C0"/>
          <w:sz w:val="16"/>
          <w:szCs w:val="16"/>
        </w:rPr>
        <w:tab/>
        <w:t>40</w:t>
      </w:r>
    </w:p>
    <w:p w14:paraId="258283A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264</w:t>
      </w:r>
      <w:r w:rsidRPr="008A2E5A">
        <w:rPr>
          <w:rFonts w:ascii="Times New Roman" w:hAnsi="Times New Roman"/>
          <w:color w:val="0070C0"/>
          <w:sz w:val="16"/>
          <w:szCs w:val="16"/>
        </w:rPr>
        <w:tab/>
        <w:t>45</w:t>
      </w:r>
      <w:r w:rsidRPr="008A2E5A">
        <w:rPr>
          <w:rFonts w:ascii="Times New Roman" w:hAnsi="Times New Roman"/>
          <w:color w:val="0070C0"/>
          <w:sz w:val="16"/>
          <w:szCs w:val="16"/>
        </w:rPr>
        <w:tab/>
        <w:t>25</w:t>
      </w:r>
      <w:r w:rsidRPr="008A2E5A">
        <w:rPr>
          <w:rFonts w:ascii="Times New Roman" w:hAnsi="Times New Roman"/>
          <w:color w:val="0070C0"/>
          <w:sz w:val="16"/>
          <w:szCs w:val="16"/>
        </w:rPr>
        <w:tab/>
        <w:t>75</w:t>
      </w:r>
      <w:r w:rsidRPr="008A2E5A">
        <w:rPr>
          <w:rFonts w:ascii="Times New Roman" w:hAnsi="Times New Roman"/>
          <w:color w:val="0070C0"/>
          <w:sz w:val="16"/>
          <w:szCs w:val="16"/>
        </w:rPr>
        <w:tab/>
        <w:t>20</w:t>
      </w:r>
    </w:p>
    <w:p w14:paraId="1B00F463"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w:t>
      </w:r>
      <w:r w:rsidRPr="008A2E5A">
        <w:rPr>
          <w:rFonts w:ascii="Times New Roman" w:hAnsi="Times New Roman"/>
          <w:color w:val="0070C0"/>
          <w:sz w:val="16"/>
          <w:szCs w:val="16"/>
        </w:rPr>
        <w:tab/>
        <w:t>45</w:t>
      </w:r>
      <w:r w:rsidRPr="008A2E5A">
        <w:rPr>
          <w:rFonts w:ascii="Times New Roman" w:hAnsi="Times New Roman"/>
          <w:color w:val="0070C0"/>
          <w:sz w:val="16"/>
          <w:szCs w:val="16"/>
        </w:rPr>
        <w:tab/>
        <w:t>30</w:t>
      </w:r>
      <w:r w:rsidRPr="008A2E5A">
        <w:rPr>
          <w:rFonts w:ascii="Times New Roman" w:hAnsi="Times New Roman"/>
          <w:color w:val="0070C0"/>
          <w:sz w:val="16"/>
          <w:szCs w:val="16"/>
        </w:rPr>
        <w:tab/>
        <w:t>100</w:t>
      </w:r>
      <w:r w:rsidRPr="008A2E5A">
        <w:rPr>
          <w:rFonts w:ascii="Times New Roman" w:hAnsi="Times New Roman"/>
          <w:color w:val="0070C0"/>
          <w:sz w:val="16"/>
          <w:szCs w:val="16"/>
        </w:rPr>
        <w:tab/>
        <w:t>25</w:t>
      </w:r>
    </w:p>
    <w:p w14:paraId="0EAC2A3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76</w:t>
      </w:r>
      <w:r w:rsidRPr="008A2E5A">
        <w:rPr>
          <w:rFonts w:ascii="Times New Roman" w:hAnsi="Times New Roman"/>
          <w:color w:val="0070C0"/>
          <w:sz w:val="16"/>
          <w:szCs w:val="16"/>
        </w:rPr>
        <w:tab/>
        <w:t>45</w:t>
      </w:r>
      <w:r w:rsidRPr="008A2E5A">
        <w:rPr>
          <w:rFonts w:ascii="Times New Roman" w:hAnsi="Times New Roman"/>
          <w:color w:val="0070C0"/>
          <w:sz w:val="16"/>
          <w:szCs w:val="16"/>
        </w:rPr>
        <w:tab/>
        <w:t>25</w:t>
      </w:r>
      <w:r w:rsidRPr="008A2E5A">
        <w:rPr>
          <w:rFonts w:ascii="Times New Roman" w:hAnsi="Times New Roman"/>
          <w:color w:val="0070C0"/>
          <w:sz w:val="16"/>
          <w:szCs w:val="16"/>
        </w:rPr>
        <w:tab/>
        <w:t>75</w:t>
      </w:r>
      <w:r w:rsidRPr="008A2E5A">
        <w:rPr>
          <w:rFonts w:ascii="Times New Roman" w:hAnsi="Times New Roman"/>
          <w:color w:val="0070C0"/>
          <w:sz w:val="16"/>
          <w:szCs w:val="16"/>
        </w:rPr>
        <w:tab/>
        <w:t>15</w:t>
      </w:r>
    </w:p>
    <w:p w14:paraId="7DDC7F4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70</w:t>
      </w:r>
      <w:r w:rsidRPr="008A2E5A">
        <w:rPr>
          <w:rFonts w:ascii="Times New Roman" w:hAnsi="Times New Roman"/>
          <w:color w:val="0070C0"/>
          <w:sz w:val="16"/>
          <w:szCs w:val="16"/>
        </w:rPr>
        <w:tab/>
        <w:t>40</w:t>
      </w:r>
      <w:r w:rsidRPr="008A2E5A">
        <w:rPr>
          <w:rFonts w:ascii="Times New Roman" w:hAnsi="Times New Roman"/>
          <w:color w:val="0070C0"/>
          <w:sz w:val="16"/>
          <w:szCs w:val="16"/>
        </w:rPr>
        <w:tab/>
        <w:t>150</w:t>
      </w:r>
      <w:r w:rsidRPr="008A2E5A">
        <w:rPr>
          <w:rFonts w:ascii="Times New Roman" w:hAnsi="Times New Roman"/>
          <w:color w:val="0070C0"/>
          <w:sz w:val="16"/>
          <w:szCs w:val="16"/>
        </w:rPr>
        <w:tab/>
        <w:t>25</w:t>
      </w:r>
    </w:p>
    <w:p w14:paraId="0F0BDE4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r w:rsidRPr="008A2E5A">
        <w:rPr>
          <w:rFonts w:ascii="Times New Roman" w:hAnsi="Times New Roman"/>
          <w:color w:val="0070C0"/>
          <w:sz w:val="16"/>
          <w:szCs w:val="16"/>
        </w:rPr>
        <w:tab/>
        <w:t>280</w:t>
      </w:r>
      <w:r w:rsidRPr="008A2E5A">
        <w:rPr>
          <w:rFonts w:ascii="Times New Roman" w:hAnsi="Times New Roman"/>
          <w:color w:val="0070C0"/>
          <w:sz w:val="16"/>
          <w:szCs w:val="16"/>
        </w:rPr>
        <w:tab/>
        <w:t>180</w:t>
      </w:r>
      <w:r w:rsidRPr="008A2E5A">
        <w:rPr>
          <w:rFonts w:ascii="Times New Roman" w:hAnsi="Times New Roman"/>
          <w:color w:val="0070C0"/>
          <w:sz w:val="16"/>
          <w:szCs w:val="16"/>
        </w:rPr>
        <w:tab/>
        <w:t>700</w:t>
      </w:r>
      <w:r w:rsidRPr="008A2E5A">
        <w:rPr>
          <w:rFonts w:ascii="Times New Roman" w:hAnsi="Times New Roman"/>
          <w:color w:val="0070C0"/>
          <w:sz w:val="16"/>
          <w:szCs w:val="16"/>
        </w:rPr>
        <w:tab/>
        <w:t>125</w:t>
      </w:r>
    </w:p>
    <w:p w14:paraId="555BEE3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Зачислить в резерв наркома: махорки — 20 тыс. пачек, табака — 20 тыс. пачек, спичек — 300 ящиков и мыла — 25 т.</w:t>
      </w:r>
    </w:p>
    <w:p w14:paraId="42CF71D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В соответствии с решением ГКО и. о. директора Кировского завода т. Махонина выполнять все штамповки и литье для завода № 183 впереди поставок всем другим потребителям.</w:t>
      </w:r>
    </w:p>
    <w:p w14:paraId="2B4E996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Директорам заводов: № 183 — т. Зальцману, № 76 г- т. Кочеткову, Кировского  т. Махонину, начальнику транспортного отдела Наркомтанкопрома — Косолапову учесть, что нарком путей сообщения т. Каганович и начальники дорог: им. Кагановича — т. Закорко и Южноуральской — т. Малькевич обязаны обеспечить подачу заводу 76 ежедневно трех вагонов и Кировскому заводу — двух вагонов для перевозки двигателей заводу № 183, а продвижение вагонов с дизелями от завода № 76 до завода 183 производить в течение 24 часов и от Кировского завода — в течение двух суток.</w:t>
      </w:r>
    </w:p>
    <w:p w14:paraId="0160A20C"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Начальнику Главснаба т. Розину выделить специальных ответственных лиц, на которых возложить реализацию решения ГКО, по которому НКО (т. Хрулев) обязан в двухдневный срок вывезти из г. Ленинграда своими транспортерными средствами по заявке Наркомтанкопрома 1 тыс. т цветного металла и проката и 25 т электро- и машиооборудования, потребного для танковых заводов.</w:t>
      </w:r>
    </w:p>
    <w:p w14:paraId="733569B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Начальнику Главснаба т. Розину принять меры к немедленной реализации в названном постановлением ГКО сроки получения из импортных поступлений 1 тыс. карат технических алмазов и 2 тыс. карат алмазного порошка, выделив заводам в следующих количествах (в каратах):</w:t>
      </w:r>
    </w:p>
    <w:p w14:paraId="63259CF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заводов</w:t>
      </w:r>
      <w:r w:rsidRPr="008A2E5A">
        <w:rPr>
          <w:rFonts w:ascii="Times New Roman" w:hAnsi="Times New Roman"/>
          <w:color w:val="0070C0"/>
          <w:sz w:val="16"/>
          <w:szCs w:val="16"/>
        </w:rPr>
        <w:tab/>
        <w:t>Технический алмаз</w:t>
      </w:r>
      <w:r w:rsidRPr="008A2E5A">
        <w:rPr>
          <w:rFonts w:ascii="Times New Roman" w:hAnsi="Times New Roman"/>
          <w:color w:val="0070C0"/>
          <w:sz w:val="16"/>
          <w:szCs w:val="16"/>
        </w:rPr>
        <w:tab/>
        <w:t>Алмазный порошок</w:t>
      </w:r>
    </w:p>
    <w:p w14:paraId="3504D04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76</w:t>
      </w:r>
      <w:r w:rsidRPr="008A2E5A">
        <w:rPr>
          <w:rFonts w:ascii="Times New Roman" w:hAnsi="Times New Roman"/>
          <w:color w:val="0070C0"/>
          <w:sz w:val="16"/>
          <w:szCs w:val="16"/>
        </w:rPr>
        <w:tab/>
        <w:t>150</w:t>
      </w:r>
      <w:r w:rsidRPr="008A2E5A">
        <w:rPr>
          <w:rFonts w:ascii="Times New Roman" w:hAnsi="Times New Roman"/>
          <w:color w:val="0070C0"/>
          <w:sz w:val="16"/>
          <w:szCs w:val="16"/>
        </w:rPr>
        <w:tab/>
        <w:t>350</w:t>
      </w:r>
    </w:p>
    <w:p w14:paraId="14B643DA"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150</w:t>
      </w:r>
      <w:r w:rsidRPr="008A2E5A">
        <w:rPr>
          <w:rFonts w:ascii="Times New Roman" w:hAnsi="Times New Roman"/>
          <w:color w:val="0070C0"/>
          <w:sz w:val="16"/>
          <w:szCs w:val="16"/>
        </w:rPr>
        <w:tab/>
        <w:t>350</w:t>
      </w:r>
    </w:p>
    <w:p w14:paraId="2F55CDC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 завод</w:t>
      </w:r>
      <w:r w:rsidRPr="008A2E5A">
        <w:rPr>
          <w:rFonts w:ascii="Times New Roman" w:hAnsi="Times New Roman"/>
          <w:color w:val="0070C0"/>
          <w:sz w:val="16"/>
          <w:szCs w:val="16"/>
        </w:rPr>
        <w:tab/>
        <w:t>250</w:t>
      </w:r>
      <w:r w:rsidRPr="008A2E5A">
        <w:rPr>
          <w:rFonts w:ascii="Times New Roman" w:hAnsi="Times New Roman"/>
          <w:color w:val="0070C0"/>
          <w:sz w:val="16"/>
          <w:szCs w:val="16"/>
        </w:rPr>
        <w:tab/>
        <w:t>600</w:t>
      </w:r>
    </w:p>
    <w:p w14:paraId="09C4EF84"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Резерв наркома</w:t>
      </w:r>
      <w:r w:rsidRPr="008A2E5A">
        <w:rPr>
          <w:rFonts w:ascii="Times New Roman" w:hAnsi="Times New Roman"/>
          <w:color w:val="0070C0"/>
          <w:sz w:val="16"/>
          <w:szCs w:val="16"/>
        </w:rPr>
        <w:tab/>
        <w:t>450</w:t>
      </w:r>
      <w:r w:rsidRPr="008A2E5A">
        <w:rPr>
          <w:rFonts w:ascii="Times New Roman" w:hAnsi="Times New Roman"/>
          <w:color w:val="0070C0"/>
          <w:sz w:val="16"/>
          <w:szCs w:val="16"/>
        </w:rPr>
        <w:tab/>
        <w:t>700</w:t>
      </w:r>
    </w:p>
    <w:p w14:paraId="63255DB6"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Директорам всех заводов и начальнику транспортного отдела наркомата т. Косолапову учесть и принять к руководству в своей повседневной работе, что постановлением ГКО от 1 февраля за № 1231сс НКПС (т. Каганович) обязан: а) обеспечить безусловное выполнение постановления ГКО 3 января 1942 г. № 1092СС об организации специальных товароускоренных поездов для перевозки грузов для танковых заводов; б) к 10 февраля 1942 г. разыскать и доставить заводам СТЗ, № 264,183,76,112 и Кировскому заводу вагоны с материалами, изделиями и оборудованием, отгруженные в их адрес в октябре и декабре 1942 г.; в) учесть, что личная ответственность за своевеменную доставку всех грузов, идущих в адрес танковых заводов, Государственным комитетом обороны возложена на замнаркома путей сообщения т. Арутюнова, обязанность раз в 5 дней представлять в ГКО отчет о доставке грузов на танковые заводы.</w:t>
      </w:r>
    </w:p>
    <w:p w14:paraId="2B89094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НКО (т. Федоренко) и НКПС (т. Арутюнов) обязаны отправлять в адрес танковых заводов вооружение, пушки, пулеметы, оптику, танковые корпуса, танковые детали, подшипники, топливные насосы, бронелист, поковки и штамповки воинскими литерными эшелонами — транспортами. ГКО поручил НКПС (т. Андрееву) установить жесткий контроль за продвижением и своевременной доставкой вагонов, эшелонов</w:t>
      </w:r>
    </w:p>
    <w:p w14:paraId="4334B8F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транспортов, идущих в адрес танковых заводов.</w:t>
      </w:r>
    </w:p>
    <w:p w14:paraId="58A79D1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Директорам всех заводов и замначальника отдела главного механика и энергетики наркомата т. Белику учесть, что ГКО обязал Госплан (т. Сабурова) выделить заводам Наркомтанкопрома лимиты на электроэнергию по их полной потребности, запретить уменьшать фонды по электроэнергии танковым заводам, а Наркомэлектростанций (т. Жимерину) запретил производить ограничения или частичные отключения танковых заводов. Тов. Белику установить жесткий контроль за выполнением настоящего пункта и о каждом случае срыва работы докладывать мне для принятия мер.</w:t>
      </w:r>
    </w:p>
    <w:p w14:paraId="314337C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 Директору завода № 183 т. Зальцману и замначальника 1-го отдела т. Давтяну учесть и принять к реализации обязательство Наркомсредмаша (т. Акопова) изговить в феврале месяце заводу № 183 сто комплектов горячих штампов.</w:t>
      </w:r>
    </w:p>
    <w:p w14:paraId="7ABFA9C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33. Государственный комитет обороны постановил: считать важнейшей задачей работы в феврале и марте месяцах Свердловского, Горьковского, Сталинградского и Челябинского обкомов ВКП(б) и их первых секретарей т. Родионова, Андрианова, Чуянова и Патоличева обеспечение выполнения плана по выпуску танков Т-34, корпусов к ним и дизелей В-2 на заводах № 183, 76, 264, 112, СТЗ и Кировском. Этим постановлением ГКО обязал т. Андрианова, Родионова, Чуянова и Патоличева лично оказывать всемерную помощь директорам этих заводов в выполнении возложенной на них задачи по увеличению выпуска танков Т-34, корпусов к ним и дизелей В-2.</w:t>
      </w:r>
    </w:p>
    <w:p w14:paraId="25E03080"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 Государственный комитет обороны возложил на народных комиссаров и начальников главных управлений т. Тевосяна, Акопова, Кабанова, Ломако, Устинова, Митрохина, Денисова, Донченко, Лопухова, Паршина и Вахрушева личную oтветственность за бесперебойное снабжение танковых заводов материалами, топливом, полуфабрикатами и изделиями по кооперации, а контроль за снабжением танковых заводов возложил на зампредседателя Совнаркома Союза ССР т. Сабурова.</w:t>
      </w:r>
    </w:p>
    <w:p w14:paraId="24B15AD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 Контроль и ответственность по наркомату за выполнение отдельных пункта настоящего приказа возлагаю: а) в части, относящейся к транспортным перевозка снабжению заводов электрооборудованием и подшипниками, вооружением и оптике на моего заместителя т. Петросьянца; б) в части, касающейся снабжения заводов металлом, броней, топливом и электроэнергией, на моего заместителя т. Щербакова; в) вопросы производственной кооперации (штамповка, поковка, литье, форсунки, насосы на моего заместителя т. Степанова.</w:t>
      </w:r>
    </w:p>
    <w:p w14:paraId="42F5E63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Мои заместители, начальники главных управлений и начальники отделов наркомата должны понять, что выполнение главной задачи, поставленной Государственным комитетом обороны — значительного увеличения в феврале и марте выпуска танка Т-34, — требует немедленного и коренного улучшения всей работы аппарата наркомата и каждого его работника в сторону оперативной и действенной помощи заводам</w:t>
      </w:r>
    </w:p>
    <w:p w14:paraId="6E8E4B4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выполнению ими установленных правительством заданий по выпуску Т-34, корпусов к ним и дизелей В-2.</w:t>
      </w:r>
    </w:p>
    <w:p w14:paraId="63EA1D6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Уверен, что директора заводов, в особенности т. Зальцман, Зернов, Задорожный, Михалев, Кочетков, а также начальники главных управлений и отделов наркомата мобилизуют все силы работников танковой промышленности на выполнение и перевыполнение важнейшего задания партии и правительства по выпуску танков Т-34, имеющих решающее значение для усиления боевой мощи нашей Красной армии и удовлетворения требований фронта.</w:t>
      </w:r>
    </w:p>
    <w:p w14:paraId="2777177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Директорам заводов, моим заместителям и начальникам отделов наркомата (соответственно) ежедневно докладывать мне о ходе выполнения настоящего приказа.</w:t>
      </w:r>
    </w:p>
    <w:p w14:paraId="1ECD082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В. Малышев</w:t>
      </w:r>
    </w:p>
    <w:p w14:paraId="3ABE8FAB"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8752. Оп. 4. Д. 82. Л. 133-118. Подлинник (24095).</w:t>
      </w:r>
    </w:p>
    <w:p w14:paraId="3B9A623F" w14:textId="77777777" w:rsidR="00CE7AA2" w:rsidRPr="008A2E5A" w:rsidRDefault="00CE7AA2" w:rsidP="00CE7AA2">
      <w:pPr>
        <w:spacing w:after="0" w:line="240" w:lineRule="auto"/>
        <w:jc w:val="both"/>
        <w:rPr>
          <w:rFonts w:ascii="Times New Roman" w:hAnsi="Times New Roman"/>
          <w:color w:val="0070C0"/>
          <w:sz w:val="16"/>
          <w:szCs w:val="16"/>
        </w:rPr>
      </w:pPr>
    </w:p>
    <w:p w14:paraId="46A6CFA0"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1 февраля1942 завод №112 начал изготовлять экранированные корпуса и башни, а завод №264 — со 2 февраля. К 17 февраля на заводе №264 было готово примерно по 120 таких корпусов и башен. На заводе №112 выпуск шёл неоднородно — всего там изготовили 80 экранированных корпусов и 109 экранированных башен. Получается, что в феврале 1942 года Т-34 стали экранироваться сотнями, но… 23 февраля 1942 года Сталин подписал постановление ГКО №1333, согласно которому экранировка упразднялась. Правда, выпущенный задел по экранированным корпусам и башням использовался для постройки танков (18883).</w:t>
      </w:r>
    </w:p>
    <w:p w14:paraId="08780BFD" w14:textId="77777777" w:rsidR="002F6EB7" w:rsidRPr="008127F8" w:rsidRDefault="002F6EB7" w:rsidP="001E0A84">
      <w:pPr>
        <w:spacing w:after="0" w:line="240" w:lineRule="auto"/>
        <w:jc w:val="both"/>
        <w:rPr>
          <w:rFonts w:ascii="Times New Roman" w:eastAsia="Times New Roman" w:hAnsi="Times New Roman"/>
          <w:color w:val="000000" w:themeColor="text1"/>
          <w:sz w:val="16"/>
          <w:szCs w:val="16"/>
          <w:lang w:eastAsia="ru-RU"/>
        </w:rPr>
      </w:pPr>
    </w:p>
    <w:p w14:paraId="0070A635"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w:t>
      </w:r>
    </w:p>
    <w:p w14:paraId="7CA4E2B1" w14:textId="69C16184"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ГАЭ Фонд 8752 Опись 4 Дело 82 лист 137 – 139</w:t>
      </w:r>
      <w:r w:rsidR="008127F8">
        <w:rPr>
          <w:rFonts w:ascii="Times New Roman" w:hAnsi="Times New Roman"/>
          <w:color w:val="000000" w:themeColor="text1"/>
          <w:sz w:val="16"/>
          <w:szCs w:val="16"/>
        </w:rPr>
        <w:t xml:space="preserve">  </w:t>
      </w:r>
    </w:p>
    <w:p w14:paraId="5C999D48" w14:textId="7D3522B2"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0C33B7A3"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718B1F2"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496F6090"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151мс</w:t>
      </w:r>
    </w:p>
    <w:p w14:paraId="50D8515F"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15B69A48"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w:t>
      </w:r>
    </w:p>
    <w:p w14:paraId="19497DCC" w14:textId="41DA7104"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Заводы № 183, № 76 и № 37 в январе месяце работали крайне неудовлетворительно. Одной из основных причин плохой работы этих заводов, в особенности завода № 183 и завода № 76, являлась совершенно неудовлетворительная поставка Кировским заводом по своим обязательствам кооперированных поставок (поковок, штамповок, литья) заводам № 183, 76 и 37.</w:t>
      </w:r>
      <w:r w:rsidR="008127F8">
        <w:rPr>
          <w:rFonts w:ascii="Times New Roman" w:hAnsi="Times New Roman"/>
          <w:color w:val="000000" w:themeColor="text1"/>
          <w:sz w:val="16"/>
          <w:szCs w:val="16"/>
        </w:rPr>
        <w:t xml:space="preserve">  </w:t>
      </w:r>
    </w:p>
    <w:p w14:paraId="336BB315" w14:textId="35AF1DEC"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Кировский завод (Махонин, Злотник) не поставили заводу № 183 по своим обязательствам в январе месяце ни одного балансира, ни одного кривошипа, ни одного маховика, одной шестерни бортовой передачи, чем сорвал выпуск машин за последнюю пятидневку на 183 заводе. Такое же положение с выполнением кооперированных поставок заводу № 37 и заводу № 76.</w:t>
      </w:r>
      <w:r w:rsidR="008127F8">
        <w:rPr>
          <w:rFonts w:ascii="Times New Roman" w:hAnsi="Times New Roman"/>
          <w:color w:val="000000" w:themeColor="text1"/>
          <w:sz w:val="16"/>
          <w:szCs w:val="16"/>
        </w:rPr>
        <w:t xml:space="preserve">  </w:t>
      </w:r>
    </w:p>
    <w:p w14:paraId="45C1FA68" w14:textId="08DC1DB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обеспечения работы заводов № 183, 76 и </w:t>
      </w:r>
      <w:proofErr w:type="gramStart"/>
      <w:r w:rsidRPr="008127F8">
        <w:rPr>
          <w:rFonts w:ascii="Times New Roman" w:hAnsi="Times New Roman"/>
          <w:color w:val="000000" w:themeColor="text1"/>
          <w:sz w:val="16"/>
          <w:szCs w:val="16"/>
        </w:rPr>
        <w:t>37</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ПРИКАЗЫВАЮ</w:t>
      </w:r>
      <w:proofErr w:type="gramEnd"/>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p>
    <w:p w14:paraId="3DB03016" w14:textId="718A034A"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директору Кировского завода т. Махонину при всех условиях обеспечить в феврале месяце равномерную поставку заводам №№ 183, 76 и 37 деталей и узлов строго по следующему графику:</w:t>
      </w:r>
      <w:r w:rsidR="008127F8">
        <w:rPr>
          <w:rFonts w:ascii="Times New Roman" w:hAnsi="Times New Roman"/>
          <w:color w:val="000000" w:themeColor="text1"/>
          <w:sz w:val="16"/>
          <w:szCs w:val="16"/>
        </w:rPr>
        <w:t xml:space="preserve">  </w:t>
      </w:r>
    </w:p>
    <w:p w14:paraId="2B31A0B3" w14:textId="4A04F3D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Заводу № 183.</w:t>
      </w:r>
      <w:r w:rsidR="008127F8">
        <w:rPr>
          <w:rFonts w:ascii="Times New Roman" w:hAnsi="Times New Roman"/>
          <w:color w:val="000000" w:themeColor="text1"/>
          <w:sz w:val="16"/>
          <w:szCs w:val="16"/>
        </w:rPr>
        <w:t xml:space="preserve">  </w:t>
      </w:r>
    </w:p>
    <w:p w14:paraId="29EEAB4D" w14:textId="140B09A3"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Заводу № 37.</w:t>
      </w:r>
      <w:r w:rsidR="008127F8">
        <w:rPr>
          <w:rFonts w:ascii="Times New Roman" w:hAnsi="Times New Roman"/>
          <w:color w:val="000000" w:themeColor="text1"/>
          <w:sz w:val="16"/>
          <w:szCs w:val="16"/>
        </w:rPr>
        <w:t xml:space="preserve">  </w:t>
      </w:r>
    </w:p>
    <w:p w14:paraId="442E6C42" w14:textId="160BCDF2"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Заводу № 76.</w:t>
      </w:r>
      <w:r w:rsidR="008127F8">
        <w:rPr>
          <w:rFonts w:ascii="Times New Roman" w:hAnsi="Times New Roman"/>
          <w:color w:val="000000" w:themeColor="text1"/>
          <w:sz w:val="16"/>
          <w:szCs w:val="16"/>
        </w:rPr>
        <w:t xml:space="preserve">  </w:t>
      </w:r>
    </w:p>
    <w:p w14:paraId="43FBFE29" w14:textId="3C42FA70"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т. Махонина установить отчетность по утвержденным мною графикам по поковкам и литью в пятидневку один раз по аппарату ВЧ в 1 отдел для доклада мне, а по форсункам и насосам ежесуточно вместе со сводкой по выпуску машин.</w:t>
      </w:r>
      <w:r w:rsidR="008127F8">
        <w:rPr>
          <w:rFonts w:ascii="Times New Roman" w:hAnsi="Times New Roman"/>
          <w:color w:val="000000" w:themeColor="text1"/>
          <w:sz w:val="16"/>
          <w:szCs w:val="16"/>
        </w:rPr>
        <w:t xml:space="preserve">  </w:t>
      </w:r>
    </w:p>
    <w:p w14:paraId="35525119" w14:textId="20EBB551"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Персональную ответственность за отчетность по указанным поставкам по Кировскому заводу возлагаю на т. Золотника, а по 1-му отделу на ведущего инженера т. Середина, которым вменяю в обязанность представлять за своей подписью отчетные данные в сроки, указанные мною.</w:t>
      </w:r>
      <w:r w:rsidR="008127F8">
        <w:rPr>
          <w:rFonts w:ascii="Times New Roman" w:hAnsi="Times New Roman"/>
          <w:color w:val="000000" w:themeColor="text1"/>
          <w:sz w:val="16"/>
          <w:szCs w:val="16"/>
        </w:rPr>
        <w:t xml:space="preserve">  </w:t>
      </w:r>
    </w:p>
    <w:p w14:paraId="31FDFCA2" w14:textId="0DEA30BA"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Контроль за изготовлением и отгрузкой заводам №№ 183, 76 и 37 кооперированных поковок по Кировскому заводу возлагаю лично на т. Махонина и т. Канель.</w:t>
      </w:r>
      <w:r w:rsidR="008127F8">
        <w:rPr>
          <w:rFonts w:ascii="Times New Roman" w:hAnsi="Times New Roman"/>
          <w:color w:val="000000" w:themeColor="text1"/>
          <w:sz w:val="16"/>
          <w:szCs w:val="16"/>
        </w:rPr>
        <w:t xml:space="preserve">  </w:t>
      </w:r>
    </w:p>
    <w:p w14:paraId="77D19071"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Последний раз предупреждаю тт. Махонина, Злотника и Канель, что если ими не будут приняты решительные меры по безусловной поставке кооперированных деталей заводам №№ 183, 76 и 37, и хотя бы на один день на этих заводах будет сорван выпуск машин по вине поставок Кировского завода, мною будут приняты самые строгие меры наказания, не взирая на лица, вплоть до придания суду по законам военного времени.</w:t>
      </w:r>
    </w:p>
    <w:p w14:paraId="3D9F24BB"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1D50E025"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(18439).</w:t>
      </w:r>
    </w:p>
    <w:p w14:paraId="42B3A67C" w14:textId="77777777" w:rsidR="007C2AE4" w:rsidRPr="008127F8" w:rsidRDefault="007C2AE4" w:rsidP="001E0A84">
      <w:pPr>
        <w:pStyle w:val="Bodytext141"/>
        <w:shd w:val="clear" w:color="auto" w:fill="auto"/>
        <w:spacing w:line="240" w:lineRule="auto"/>
        <w:ind w:firstLine="0"/>
        <w:jc w:val="both"/>
        <w:rPr>
          <w:color w:val="000000" w:themeColor="text1"/>
          <w:sz w:val="16"/>
          <w:szCs w:val="16"/>
        </w:rPr>
      </w:pPr>
    </w:p>
    <w:p w14:paraId="0106C1FC" w14:textId="77777777" w:rsidR="004F729D" w:rsidRPr="008127F8" w:rsidRDefault="004F729D"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К 1 февраля 1942 года на заводе № 38 в Кирове имелось 50 двигателей, из них 30 не были укомплектованы электрооборудованием. Имелись серьезные пере</w:t>
      </w:r>
      <w:r w:rsidRPr="008127F8">
        <w:rPr>
          <w:i w:val="0"/>
          <w:color w:val="000000" w:themeColor="text1"/>
          <w:sz w:val="16"/>
          <w:szCs w:val="16"/>
        </w:rPr>
        <w:softHyphen/>
        <w:t>бои в поставках иного электрооборудования, не хватало радиаторов, шарикоподшипников и других деталей. В результате вместо 200 тан</w:t>
      </w:r>
      <w:r w:rsidRPr="008127F8">
        <w:rPr>
          <w:i w:val="0"/>
          <w:color w:val="000000" w:themeColor="text1"/>
          <w:sz w:val="16"/>
          <w:szCs w:val="16"/>
        </w:rPr>
        <w:softHyphen/>
        <w:t>ков удалось сдать лишь 4, причем это были не Т-60, а Т-30, собран</w:t>
      </w:r>
      <w:r w:rsidRPr="008127F8">
        <w:rPr>
          <w:i w:val="0"/>
          <w:color w:val="000000" w:themeColor="text1"/>
          <w:sz w:val="16"/>
          <w:szCs w:val="16"/>
        </w:rPr>
        <w:softHyphen/>
        <w:t>ные из задела по корпусам.</w:t>
      </w:r>
    </w:p>
    <w:p w14:paraId="7B4C9957" w14:textId="77777777" w:rsidR="004F729D" w:rsidRPr="008127F8" w:rsidRDefault="004F729D"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Дополнительные проблемы были связаны с тем, что в январе по указанию Малышева на завод № 38 было спущено задание на выпуск систем залпового огня М-13. По плану с 15 января по 2 марта завод должен был сдать 90 М-13, в результате около 30% всего оборудования было переведено на выполнение данной программы.</w:t>
      </w:r>
    </w:p>
    <w:p w14:paraId="44A392AC" w14:textId="77777777" w:rsidR="004F729D" w:rsidRPr="008127F8" w:rsidRDefault="004F729D"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В отчете завода № 38 за январь 1942 года танковое производство оценивалось следующим образом:</w:t>
      </w:r>
    </w:p>
    <w:p w14:paraId="523E9D6F"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«Степень готовности производства танков Т-60 характеризуется следующими данными: по основным цехам № 3, 5, 6, 10 и 30.</w:t>
      </w:r>
    </w:p>
    <w:tbl>
      <w:tblPr>
        <w:tblW w:w="0" w:type="auto"/>
        <w:tblLayout w:type="fixed"/>
        <w:tblCellMar>
          <w:left w:w="10" w:type="dxa"/>
          <w:right w:w="10" w:type="dxa"/>
        </w:tblCellMar>
        <w:tblLook w:val="04A0" w:firstRow="1" w:lastRow="0" w:firstColumn="1" w:lastColumn="0" w:noHBand="0" w:noVBand="1"/>
      </w:tblPr>
      <w:tblGrid>
        <w:gridCol w:w="3576"/>
        <w:gridCol w:w="1229"/>
        <w:gridCol w:w="1090"/>
        <w:gridCol w:w="1253"/>
      </w:tblGrid>
      <w:tr w:rsidR="006F4095" w:rsidRPr="008127F8" w14:paraId="3929A403" w14:textId="77777777" w:rsidTr="00CB6E72">
        <w:trPr>
          <w:trHeight w:val="571"/>
        </w:trPr>
        <w:tc>
          <w:tcPr>
            <w:tcW w:w="3576" w:type="dxa"/>
            <w:tcBorders>
              <w:top w:val="single" w:sz="4" w:space="0" w:color="auto"/>
              <w:bottom w:val="single" w:sz="4" w:space="0" w:color="auto"/>
            </w:tcBorders>
            <w:shd w:val="clear" w:color="auto" w:fill="FFFFFF"/>
          </w:tcPr>
          <w:p w14:paraId="472A9A11"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Основная оснастка</w:t>
            </w:r>
          </w:p>
        </w:tc>
        <w:tc>
          <w:tcPr>
            <w:tcW w:w="1229" w:type="dxa"/>
            <w:tcBorders>
              <w:top w:val="single" w:sz="4" w:space="0" w:color="auto"/>
              <w:bottom w:val="single" w:sz="4" w:space="0" w:color="auto"/>
            </w:tcBorders>
            <w:shd w:val="clear" w:color="auto" w:fill="FFFFFF"/>
          </w:tcPr>
          <w:p w14:paraId="486569D9"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Должно быть</w:t>
            </w:r>
          </w:p>
        </w:tc>
        <w:tc>
          <w:tcPr>
            <w:tcW w:w="1090" w:type="dxa"/>
            <w:tcBorders>
              <w:top w:val="single" w:sz="4" w:space="0" w:color="auto"/>
              <w:bottom w:val="single" w:sz="4" w:space="0" w:color="auto"/>
            </w:tcBorders>
            <w:shd w:val="clear" w:color="auto" w:fill="FFFFFF"/>
          </w:tcPr>
          <w:p w14:paraId="759A8458"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Изготов</w:t>
            </w:r>
            <w:r w:rsidRPr="008127F8">
              <w:rPr>
                <w:rStyle w:val="Bodytext3"/>
                <w:rFonts w:ascii="Times New Roman" w:hAnsi="Times New Roman"/>
                <w:color w:val="000000" w:themeColor="text1"/>
                <w:sz w:val="16"/>
                <w:szCs w:val="16"/>
              </w:rPr>
              <w:softHyphen/>
              <w:t>лено</w:t>
            </w:r>
          </w:p>
        </w:tc>
        <w:tc>
          <w:tcPr>
            <w:tcW w:w="1253" w:type="dxa"/>
            <w:tcBorders>
              <w:top w:val="single" w:sz="4" w:space="0" w:color="auto"/>
              <w:bottom w:val="single" w:sz="4" w:space="0" w:color="auto"/>
            </w:tcBorders>
            <w:shd w:val="clear" w:color="auto" w:fill="FFFFFF"/>
          </w:tcPr>
          <w:p w14:paraId="43D40DFE"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В работе</w:t>
            </w:r>
          </w:p>
        </w:tc>
      </w:tr>
      <w:tr w:rsidR="006F4095" w:rsidRPr="008127F8" w14:paraId="7C3265CD" w14:textId="77777777" w:rsidTr="00CB6E72">
        <w:trPr>
          <w:trHeight w:val="398"/>
        </w:trPr>
        <w:tc>
          <w:tcPr>
            <w:tcW w:w="3576" w:type="dxa"/>
            <w:tcBorders>
              <w:top w:val="single" w:sz="4" w:space="0" w:color="auto"/>
              <w:bottom w:val="single" w:sz="4" w:space="0" w:color="auto"/>
            </w:tcBorders>
            <w:shd w:val="clear" w:color="auto" w:fill="FFFFFF"/>
          </w:tcPr>
          <w:p w14:paraId="0D85DFA9"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Приспособления (в наименованиях)</w:t>
            </w:r>
          </w:p>
        </w:tc>
        <w:tc>
          <w:tcPr>
            <w:tcW w:w="1229" w:type="dxa"/>
            <w:tcBorders>
              <w:top w:val="single" w:sz="4" w:space="0" w:color="auto"/>
              <w:bottom w:val="single" w:sz="4" w:space="0" w:color="auto"/>
            </w:tcBorders>
            <w:shd w:val="clear" w:color="auto" w:fill="FFFFFF"/>
          </w:tcPr>
          <w:p w14:paraId="63E1FE54"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466</w:t>
            </w:r>
          </w:p>
        </w:tc>
        <w:tc>
          <w:tcPr>
            <w:tcW w:w="1090" w:type="dxa"/>
            <w:tcBorders>
              <w:top w:val="single" w:sz="4" w:space="0" w:color="auto"/>
              <w:bottom w:val="single" w:sz="4" w:space="0" w:color="auto"/>
            </w:tcBorders>
            <w:shd w:val="clear" w:color="auto" w:fill="FFFFFF"/>
          </w:tcPr>
          <w:p w14:paraId="6FE6D599"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346</w:t>
            </w:r>
          </w:p>
        </w:tc>
        <w:tc>
          <w:tcPr>
            <w:tcW w:w="1253" w:type="dxa"/>
            <w:tcBorders>
              <w:top w:val="single" w:sz="4" w:space="0" w:color="auto"/>
              <w:bottom w:val="single" w:sz="4" w:space="0" w:color="auto"/>
            </w:tcBorders>
            <w:shd w:val="clear" w:color="auto" w:fill="FFFFFF"/>
          </w:tcPr>
          <w:p w14:paraId="059D3CCE"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219</w:t>
            </w:r>
          </w:p>
        </w:tc>
      </w:tr>
      <w:tr w:rsidR="006F4095" w:rsidRPr="008127F8" w14:paraId="0E2AC81F" w14:textId="77777777" w:rsidTr="00CB6E72">
        <w:trPr>
          <w:trHeight w:val="394"/>
        </w:trPr>
        <w:tc>
          <w:tcPr>
            <w:tcW w:w="3576" w:type="dxa"/>
            <w:tcBorders>
              <w:top w:val="single" w:sz="4" w:space="0" w:color="auto"/>
              <w:bottom w:val="single" w:sz="4" w:space="0" w:color="auto"/>
            </w:tcBorders>
            <w:shd w:val="clear" w:color="auto" w:fill="FFFFFF"/>
          </w:tcPr>
          <w:p w14:paraId="347867CE"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Специнструмент (в наименованиях)</w:t>
            </w:r>
          </w:p>
        </w:tc>
        <w:tc>
          <w:tcPr>
            <w:tcW w:w="1229" w:type="dxa"/>
            <w:tcBorders>
              <w:top w:val="single" w:sz="4" w:space="0" w:color="auto"/>
              <w:bottom w:val="single" w:sz="4" w:space="0" w:color="auto"/>
            </w:tcBorders>
            <w:shd w:val="clear" w:color="auto" w:fill="FFFFFF"/>
          </w:tcPr>
          <w:p w14:paraId="0A3306E8"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133</w:t>
            </w:r>
          </w:p>
        </w:tc>
        <w:tc>
          <w:tcPr>
            <w:tcW w:w="1090" w:type="dxa"/>
            <w:tcBorders>
              <w:top w:val="single" w:sz="4" w:space="0" w:color="auto"/>
              <w:bottom w:val="single" w:sz="4" w:space="0" w:color="auto"/>
            </w:tcBorders>
            <w:shd w:val="clear" w:color="auto" w:fill="FFFFFF"/>
          </w:tcPr>
          <w:p w14:paraId="629CA72E"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45</w:t>
            </w:r>
          </w:p>
        </w:tc>
        <w:tc>
          <w:tcPr>
            <w:tcW w:w="1253" w:type="dxa"/>
            <w:tcBorders>
              <w:top w:val="single" w:sz="4" w:space="0" w:color="auto"/>
              <w:bottom w:val="single" w:sz="4" w:space="0" w:color="auto"/>
            </w:tcBorders>
            <w:shd w:val="clear" w:color="auto" w:fill="FFFFFF"/>
          </w:tcPr>
          <w:p w14:paraId="2EC672B1"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45</w:t>
            </w:r>
          </w:p>
        </w:tc>
      </w:tr>
      <w:tr w:rsidR="006F4095" w:rsidRPr="008127F8" w14:paraId="7018AC17" w14:textId="77777777" w:rsidTr="00CB6E72">
        <w:trPr>
          <w:trHeight w:val="394"/>
        </w:trPr>
        <w:tc>
          <w:tcPr>
            <w:tcW w:w="7148" w:type="dxa"/>
            <w:gridSpan w:val="4"/>
            <w:tcBorders>
              <w:top w:val="single" w:sz="4" w:space="0" w:color="auto"/>
              <w:bottom w:val="single" w:sz="4" w:space="0" w:color="auto"/>
            </w:tcBorders>
            <w:shd w:val="clear" w:color="auto" w:fill="FFFFFF"/>
          </w:tcPr>
          <w:p w14:paraId="1A4BFC3F"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Штампы</w:t>
            </w:r>
          </w:p>
        </w:tc>
      </w:tr>
      <w:tr w:rsidR="006F4095" w:rsidRPr="008127F8" w14:paraId="14C23B67" w14:textId="77777777" w:rsidTr="00CB6E72">
        <w:trPr>
          <w:trHeight w:val="408"/>
        </w:trPr>
        <w:tc>
          <w:tcPr>
            <w:tcW w:w="3576" w:type="dxa"/>
            <w:tcBorders>
              <w:top w:val="single" w:sz="4" w:space="0" w:color="auto"/>
              <w:bottom w:val="single" w:sz="4" w:space="0" w:color="auto"/>
            </w:tcBorders>
            <w:shd w:val="clear" w:color="auto" w:fill="FFFFFF"/>
          </w:tcPr>
          <w:p w14:paraId="7D8ED8D3"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Холодная штамповка</w:t>
            </w:r>
          </w:p>
        </w:tc>
        <w:tc>
          <w:tcPr>
            <w:tcW w:w="1229" w:type="dxa"/>
            <w:tcBorders>
              <w:top w:val="single" w:sz="4" w:space="0" w:color="auto"/>
              <w:bottom w:val="single" w:sz="4" w:space="0" w:color="auto"/>
            </w:tcBorders>
            <w:shd w:val="clear" w:color="auto" w:fill="FFFFFF"/>
          </w:tcPr>
          <w:p w14:paraId="6C211B33"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185</w:t>
            </w:r>
          </w:p>
        </w:tc>
        <w:tc>
          <w:tcPr>
            <w:tcW w:w="1090" w:type="dxa"/>
            <w:tcBorders>
              <w:top w:val="single" w:sz="4" w:space="0" w:color="auto"/>
              <w:bottom w:val="single" w:sz="4" w:space="0" w:color="auto"/>
            </w:tcBorders>
            <w:shd w:val="clear" w:color="auto" w:fill="FFFFFF"/>
          </w:tcPr>
          <w:p w14:paraId="4D1D59CE"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10%</w:t>
            </w:r>
          </w:p>
        </w:tc>
        <w:tc>
          <w:tcPr>
            <w:tcW w:w="1253" w:type="dxa"/>
            <w:tcBorders>
              <w:top w:val="single" w:sz="4" w:space="0" w:color="auto"/>
              <w:bottom w:val="single" w:sz="4" w:space="0" w:color="auto"/>
            </w:tcBorders>
            <w:shd w:val="clear" w:color="auto" w:fill="FFFFFF"/>
          </w:tcPr>
          <w:p w14:paraId="7A0B0B6D" w14:textId="77777777" w:rsidR="004F729D" w:rsidRPr="008127F8" w:rsidRDefault="004F729D" w:rsidP="001E0A84">
            <w:pPr>
              <w:pStyle w:val="Bodytext370"/>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w:t>
            </w:r>
          </w:p>
        </w:tc>
      </w:tr>
    </w:tbl>
    <w:p w14:paraId="7A6D99FC" w14:textId="77777777" w:rsidR="004F729D" w:rsidRPr="008127F8" w:rsidRDefault="004F729D" w:rsidP="001E0A84">
      <w:pPr>
        <w:tabs>
          <w:tab w:val="left" w:pos="3485"/>
          <w:tab w:val="left" w:pos="4536"/>
        </w:tabs>
        <w:spacing w:after="0" w:line="240" w:lineRule="auto"/>
        <w:jc w:val="both"/>
        <w:rPr>
          <w:rFonts w:ascii="Times New Roman" w:hAnsi="Times New Roman"/>
          <w:color w:val="000000" w:themeColor="text1"/>
          <w:sz w:val="16"/>
          <w:szCs w:val="16"/>
        </w:rPr>
      </w:pPr>
      <w:r w:rsidRPr="008127F8">
        <w:rPr>
          <w:rStyle w:val="Tablecaption3"/>
          <w:rFonts w:eastAsia="Calibri"/>
          <w:color w:val="000000" w:themeColor="text1"/>
          <w:sz w:val="16"/>
          <w:szCs w:val="16"/>
        </w:rPr>
        <w:t>Горячая штамповка</w:t>
      </w:r>
      <w:r w:rsidRPr="008127F8">
        <w:rPr>
          <w:rStyle w:val="Tablecaption3"/>
          <w:rFonts w:eastAsia="Calibri"/>
          <w:color w:val="000000" w:themeColor="text1"/>
          <w:sz w:val="16"/>
          <w:szCs w:val="16"/>
        </w:rPr>
        <w:tab/>
        <w:t>800</w:t>
      </w:r>
      <w:r w:rsidRPr="008127F8">
        <w:rPr>
          <w:rStyle w:val="Tablecaption3"/>
          <w:rFonts w:eastAsia="Calibri"/>
          <w:color w:val="000000" w:themeColor="text1"/>
          <w:sz w:val="16"/>
          <w:szCs w:val="16"/>
        </w:rPr>
        <w:tab/>
        <w:t>10%</w:t>
      </w:r>
    </w:p>
    <w:p w14:paraId="59B941E5" w14:textId="77777777" w:rsidR="004F729D" w:rsidRPr="008127F8" w:rsidRDefault="004F729D" w:rsidP="001E0A84">
      <w:pPr>
        <w:pStyle w:val="Bodytext380"/>
        <w:shd w:val="clear" w:color="auto" w:fill="auto"/>
        <w:spacing w:before="0"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&lt;...&gt;</w:t>
      </w:r>
    </w:p>
    <w:p w14:paraId="3321D704"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еще не имеет своего качественного стального литья и ковки чу</w:t>
      </w:r>
      <w:r w:rsidRPr="008127F8">
        <w:rPr>
          <w:rFonts w:ascii="Times New Roman" w:hAnsi="Times New Roman"/>
          <w:color w:val="000000" w:themeColor="text1"/>
          <w:sz w:val="16"/>
          <w:szCs w:val="16"/>
        </w:rPr>
        <w:softHyphen/>
        <w:t>гуна (не закончен мартен). Кузница не дает еще достаточного для заделов количества заготовок, в частности торсионов.</w:t>
      </w:r>
    </w:p>
    <w:p w14:paraId="344292B7"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производству бронекорпусов зависит от себя, так как металл на корпуса старого типа имеется.</w:t>
      </w:r>
    </w:p>
    <w:p w14:paraId="79033D49"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первое февраля принято корпусов: По Т-60 (Т-40 без плава) 16 штук По «060» 58 штук Принято башен 30 штук Заготовлено корпусов 150 комплектов Заготовлено башен 48 комплектов Заложенных и экранированных корпусов 35 комплектов К переходу на усиленные корпуса из цельной брони (передний лист 35мм и т.д.) завод </w:t>
      </w:r>
      <w:r w:rsidRPr="008127F8">
        <w:rPr>
          <w:rFonts w:ascii="Times New Roman" w:hAnsi="Times New Roman"/>
          <w:color w:val="000000" w:themeColor="text1"/>
          <w:sz w:val="16"/>
          <w:szCs w:val="16"/>
        </w:rPr>
        <w:lastRenderedPageBreak/>
        <w:t>еще не подготовился. Отсутствует полигон, пушка, сна</w:t>
      </w:r>
      <w:r w:rsidRPr="008127F8">
        <w:rPr>
          <w:rFonts w:ascii="Times New Roman" w:hAnsi="Times New Roman"/>
          <w:color w:val="000000" w:themeColor="text1"/>
          <w:sz w:val="16"/>
          <w:szCs w:val="16"/>
        </w:rPr>
        <w:softHyphen/>
        <w:t>ряжение и оборудование для приведенного боекомплекта. Отсутствует броневой лист, заказ на последний имеется.</w:t>
      </w:r>
    </w:p>
    <w:p w14:paraId="0C530C50"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не обеспечен бронебойными или баллистическими 20-мм снаряда</w:t>
      </w:r>
      <w:r w:rsidRPr="008127F8">
        <w:rPr>
          <w:rFonts w:ascii="Times New Roman" w:hAnsi="Times New Roman"/>
          <w:color w:val="000000" w:themeColor="text1"/>
          <w:sz w:val="16"/>
          <w:szCs w:val="16"/>
        </w:rPr>
        <w:softHyphen/>
        <w:t>ми и звеньями к ним, что срывает приемку и укомплектовку танков.</w:t>
      </w:r>
    </w:p>
    <w:p w14:paraId="690C1707"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вооружению — в наличии имеется: пушек ШВАК на 200 танков, пу</w:t>
      </w:r>
      <w:r w:rsidRPr="008127F8">
        <w:rPr>
          <w:rFonts w:ascii="Times New Roman" w:hAnsi="Times New Roman"/>
          <w:color w:val="000000" w:themeColor="text1"/>
          <w:sz w:val="16"/>
          <w:szCs w:val="16"/>
        </w:rPr>
        <w:softHyphen/>
        <w:t>леметов ДТ на 200 танков, прицелов ТМФП 70 штук, патронов 7,62 про</w:t>
      </w:r>
      <w:r w:rsidRPr="008127F8">
        <w:rPr>
          <w:rFonts w:ascii="Times New Roman" w:hAnsi="Times New Roman"/>
          <w:color w:val="000000" w:themeColor="text1"/>
          <w:sz w:val="16"/>
          <w:szCs w:val="16"/>
        </w:rPr>
        <w:softHyphen/>
        <w:t xml:space="preserve">стых — 105 600 штук, патронов Б-32 — 55 400 штук, трассирующих 7,62 — 40 480 штук, гранат Ф-1 — 1360 штук, дисков ДТ — 3000 штук. Пушки ШВАК доставляются с 8 коробками без </w:t>
      </w:r>
      <w:proofErr w:type="gramStart"/>
      <w:r w:rsidRPr="008127F8">
        <w:rPr>
          <w:rFonts w:ascii="Times New Roman" w:hAnsi="Times New Roman"/>
          <w:color w:val="000000" w:themeColor="text1"/>
          <w:sz w:val="16"/>
          <w:szCs w:val="16"/>
        </w:rPr>
        <w:t>звеньев</w:t>
      </w:r>
      <w:proofErr w:type="gramEnd"/>
      <w:r w:rsidRPr="008127F8">
        <w:rPr>
          <w:rFonts w:ascii="Times New Roman" w:hAnsi="Times New Roman"/>
          <w:color w:val="000000" w:themeColor="text1"/>
          <w:sz w:val="16"/>
          <w:szCs w:val="16"/>
        </w:rPr>
        <w:t xml:space="preserve"> Отсутствует необходимое для отправки ружейное зимнее масло «К. В.», бензин антифриз, масло любрикетинг для двигателя.</w:t>
      </w:r>
    </w:p>
    <w:p w14:paraId="0FDC49B4" w14:textId="77777777" w:rsidR="004F729D" w:rsidRPr="008127F8" w:rsidRDefault="004F72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настоящему времени прибывают «кооперированные» агрегаты и де</w:t>
      </w:r>
      <w:r w:rsidRPr="008127F8">
        <w:rPr>
          <w:rFonts w:ascii="Times New Roman" w:hAnsi="Times New Roman"/>
          <w:color w:val="000000" w:themeColor="text1"/>
          <w:sz w:val="16"/>
          <w:szCs w:val="16"/>
        </w:rPr>
        <w:softHyphen/>
        <w:t>тали. На заводе имеется 45радиаторов, 60 аккумуляторов и т.д.</w:t>
      </w:r>
    </w:p>
    <w:p w14:paraId="11042FEC" w14:textId="77777777" w:rsidR="004F729D" w:rsidRPr="008127F8" w:rsidRDefault="004F729D"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Сборку машин задерживает отсутствие регуляторов и амортизато</w:t>
      </w:r>
      <w:r w:rsidRPr="008127F8">
        <w:rPr>
          <w:i w:val="0"/>
          <w:color w:val="000000" w:themeColor="text1"/>
          <w:sz w:val="16"/>
          <w:szCs w:val="16"/>
        </w:rPr>
        <w:softHyphen/>
        <w:t>ров под мотор».</w:t>
      </w:r>
    </w:p>
    <w:p w14:paraId="68AF26AE" w14:textId="77777777" w:rsidR="004F729D" w:rsidRPr="008127F8" w:rsidRDefault="004F729D"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Понимая, что в сложившихся условиях заданный заводу темп явно не соответствовал производственным возможностям, ГАБТУ снизило объем заказа на февраль до 75 танков. Результат не заставил себя ждать: на второй месяц производства завод № 38 не только вписался в план, но и перевыполнил его, сдав на один танк больше. Не помешали вы</w:t>
      </w:r>
      <w:r w:rsidRPr="008127F8">
        <w:rPr>
          <w:i w:val="0"/>
          <w:color w:val="000000" w:themeColor="text1"/>
          <w:sz w:val="16"/>
          <w:szCs w:val="16"/>
        </w:rPr>
        <w:softHyphen/>
        <w:t>полнению плана и проблемы с поставкой Чусовским металлургиче</w:t>
      </w:r>
      <w:r w:rsidRPr="008127F8">
        <w:rPr>
          <w:i w:val="0"/>
          <w:color w:val="000000" w:themeColor="text1"/>
          <w:sz w:val="16"/>
          <w:szCs w:val="16"/>
        </w:rPr>
        <w:softHyphen/>
        <w:t>ским заводом бронелистов. Ввиду большого объема брака, вызванного расхождением химсостава брони, заводу № 38 приходилось проводить закалку деталей в воде, что приводило к их короблению (17485).</w:t>
      </w:r>
    </w:p>
    <w:p w14:paraId="226BD906" w14:textId="77777777" w:rsidR="004F729D" w:rsidRPr="008127F8" w:rsidRDefault="004F729D" w:rsidP="001E0A84">
      <w:pPr>
        <w:pStyle w:val="Bodytext141"/>
        <w:shd w:val="clear" w:color="auto" w:fill="auto"/>
        <w:spacing w:line="240" w:lineRule="auto"/>
        <w:ind w:firstLine="0"/>
        <w:jc w:val="both"/>
        <w:rPr>
          <w:i w:val="0"/>
          <w:color w:val="000000" w:themeColor="text1"/>
          <w:sz w:val="16"/>
          <w:szCs w:val="16"/>
        </w:rPr>
      </w:pPr>
    </w:p>
    <w:p w14:paraId="7BF6F392"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февраля 1942 года на заводе № 38 в Кирове было принято 58 корпусов Т-60 и 30 башен. Вместо 75 танков завод сдал 76, из них часть была Т-60, часть Т-30. В марте план снова перевыполнили: вместо 150 Т-60 было сдано 160 танков, а вместо 170 корпусов завод изготовил 174 штуки. При этом завод указывал, что сдает Т-60, подвох можно обнаружить только в отправках. Если видите четырехзначный номер, значит, перед вами Т-30. Всего таких танков сдали около 50 штук, точных данных нет. Расхождения могут быть на несколько танков (24888).</w:t>
      </w:r>
    </w:p>
    <w:p w14:paraId="4BEB113D"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года завод №38 освоил выпуск штампованных опорных катков самостоятельно, так что литые ленивцы стали едва ли не единственной отличительной чертой (24888).</w:t>
      </w:r>
    </w:p>
    <w:p w14:paraId="14012BE7"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1942 года И.В. Сталин подписал постановление ГКО №1417сс "Об организации производства танков Т-70 на заводах №37 и 38 Наркомтанкопрома". Согласно ему, выпуск Т-60 на заводе №38 прекращался с 1 мая 1942 года, вместо него осваивалось производство Т-70. Заводское КБ с той же энергией занялось ответственной задачей. При этом выпуск Т-60 шел своим чередом. За апрель 1942 года завод сдал 163 танка данного типа. Поскольку волшебная сила заделов никуда не девалась, за май 1942 года сдали еще 109 Т-60. Официально выпуск танков данного типа продолжалось и в июне. Согласно отчету военпреда завода №38, за июнь сверх плана было изготовлено 22 Т-60, из них 10 без башен (данные машины предназначались под монтаж систем залпового огня М-8) (24888).</w:t>
      </w:r>
    </w:p>
    <w:p w14:paraId="0BFDEF20" w14:textId="77777777" w:rsidR="00CE7AA2" w:rsidRPr="008A2E5A" w:rsidRDefault="00CE7AA2" w:rsidP="00CE7AA2">
      <w:pPr>
        <w:spacing w:after="0" w:line="240" w:lineRule="auto"/>
        <w:jc w:val="both"/>
        <w:rPr>
          <w:rFonts w:ascii="Times New Roman" w:hAnsi="Times New Roman"/>
          <w:color w:val="0070C0"/>
          <w:sz w:val="16"/>
          <w:szCs w:val="16"/>
        </w:rPr>
      </w:pPr>
    </w:p>
    <w:p w14:paraId="1E717FAB"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 февраля 1942 года на заводе №38 имелось 50 двигателей, из них 30 не были укомплектованы электрооборудованием. Имелись серьёзные перебои в поставках иного электрооборудования, не хватало радиаторов, шарикоподшипников и других деталей. В результате вместо 200 запланированных танков удалось сдать лишь 4, причём это были не Т-60, а Т-30, собранные из существовавшего задела по корпусам.</w:t>
      </w:r>
    </w:p>
    <w:p w14:paraId="033B775A"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Согласно отчёту военпреда завода №38, за июнь предприятием сверх плана было изготовлено 22 Т-60, из них 10 без башен (эти машины предназначались под монтаж </w:t>
      </w:r>
      <w:hyperlink r:id="rId38" w:history="1">
        <w:r w:rsidRPr="008127F8">
          <w:rPr>
            <w:rFonts w:ascii="Times New Roman" w:eastAsia="Times New Roman" w:hAnsi="Times New Roman"/>
            <w:color w:val="000000" w:themeColor="text1"/>
            <w:sz w:val="16"/>
            <w:szCs w:val="16"/>
            <w:lang w:eastAsia="ru-RU"/>
          </w:rPr>
          <w:t>РСЗО</w:t>
        </w:r>
      </w:hyperlink>
      <w:r w:rsidRPr="008127F8">
        <w:rPr>
          <w:rFonts w:ascii="Times New Roman" w:eastAsia="Times New Roman" w:hAnsi="Times New Roman"/>
          <w:color w:val="000000" w:themeColor="text1"/>
          <w:sz w:val="16"/>
          <w:szCs w:val="16"/>
          <w:lang w:eastAsia="ru-RU"/>
        </w:rPr>
        <w:t xml:space="preserve"> М-8). Согласно документам, завод продолжал отгрузку Т-60 и в июле. Например, 25 числа с эшелоном №15258 в 1-е Горьковское танковое училище отправилось 9 Т-60 и 1 Т-30 (серийный номер 2071). Кроме того, судя по серийным номерам, единичные экземпляры Т-60 попадались и в партиях Т-70. Последние Т-60, выпущенные на заводе №38, имели старую выхлопную систему, но при этом их катки были штампованными. Это стало возможным благодаря организации в Кирове производства опорных катков. Ленивцы при этом оставались литыми. До самого конца сборки на заводе №38 использовались корпуса и башни как с утолщённой броней, так и экранированные.</w:t>
      </w:r>
    </w:p>
    <w:p w14:paraId="1B5E5BF7"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Наглядная демонстрация того, какая каша творилась в отправках завода №38. Танк с четырёхзначным номером — это не Т-60, а Т-30 </w:t>
      </w:r>
    </w:p>
    <w:p w14:paraId="0DFAC2EA"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Напоследок стоит отметить, что с данными по производству танков на заводе №38 творился полный бардак. Например, военпред завода доложил о выпуске в январе 1941 года 4 танков, но по другим документам проходят 5 машин. В июне, по сводным документам ГАБТУ, проходят 2 принятых Т-60, а по краткому отчету военпреда — 22 штуки, из них 10 — без башен. С мая завод №38 поставлял заводу №113 шасси Т-60 для установки систем М-8, и данные поставки учитываются далеко не везде. Если добавить ко всему этому Т-30, проходящие по документам и как Т-60, и как Т-70, получается полная неразбериха.</w:t>
      </w:r>
    </w:p>
    <w:p w14:paraId="68144D9E"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Хоть какую-то ясность в вопросе того, сколько же было сделано Т-60, включая шасси, вносит число изготовленных корпусов. Всего в Кирове с января по июнь 1942 года было сварено 567 комплектов, из которых было изготовлено как минимум 524 Т-60 и как минимум 10 шасси под установку М-8 (17672).</w:t>
      </w:r>
    </w:p>
    <w:p w14:paraId="6DF29298" w14:textId="77777777" w:rsidR="004A2103" w:rsidRPr="008127F8" w:rsidRDefault="004A2103" w:rsidP="001E0A84">
      <w:pPr>
        <w:pStyle w:val="12a"/>
        <w:shd w:val="clear" w:color="auto" w:fill="auto"/>
        <w:tabs>
          <w:tab w:val="left" w:pos="596"/>
        </w:tabs>
        <w:spacing w:after="0" w:line="240" w:lineRule="auto"/>
        <w:jc w:val="both"/>
        <w:rPr>
          <w:color w:val="000000" w:themeColor="text1"/>
          <w:sz w:val="16"/>
          <w:szCs w:val="16"/>
        </w:rPr>
      </w:pPr>
    </w:p>
    <w:p w14:paraId="0DEEB627"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 февраля 1942 года, согласно плану по опытным работам, датированному этим днем, опытный образец САУ к этому времени был готов, но его испытаний еще не проводилось. Артком ГАУ КА только подготовил программу испытаний. На проектирование ЗИС-41 было потрачено 15 239 рублей, в 28 255 рублей обошлось изготовление опытного образца, а качающаяся часть пушки ЗИС-2 стоила 11 500 рублей (17671).</w:t>
      </w:r>
    </w:p>
    <w:p w14:paraId="19CE9D0F" w14:textId="77777777" w:rsidR="004A2103" w:rsidRPr="008127F8" w:rsidRDefault="004A210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34F7AE"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 раньше 1 февраля 1942 года (вопреки информации о том, что ЗИС-41 построили еще осенью 1941 года) построили ЗИС-42. По сути шасси ЗИС-22М было одно, а его осенью 1941 года пустили на изготовление опытного образца М-13 на данной базе. Только когда решили выпускать М-13 на шасси СТЗ-5, шасси ЗИС-22М стало вакантным. Интересно другое. В плане работ на начало 1942 года значилось, что завод №92 должен был изготовить 24 истребителя танков. Судя по цифрам, каждый обходился в 100000 рублей. Недешево, мягко говоря, это дороже легкого танка Т-70. В дальнейшей переписке, кстати говоря, указывается реальная стоимость изготовления опытного образца ЗИС-41. Проектирование (15239 рублей), переделка ЗИС-22М (28255 рублей), а также цена ЗИС-2 (11500 рублей)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никак не 100000 рублей.</w:t>
      </w:r>
    </w:p>
    <w:p w14:paraId="3B0EC87F"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Изготовленный в начале 1942 года опытный образец ЗИС-41 мало чем отличался от тактико-технических требований августа 1941 года. Внешне САУ выглядела высокой, но это впечатление обманчиво. Высота линии огня составила 2080 мм, что не сильно больше немецких гусеничных истребителей танков семейства Marder. При этому у них никакого кругового сектора обстрела не имелось. Полная высота ЗИС-41 составляла 2440 мм, что ниже Marder. Боевая масса составила 7,5 тонн, что на тонну больше ТТТ. Но тут следует отметить, что составители требований явно не учитывали массу базового шасси. Опыт создания ЗИС-31 говорил о том, что лишняя масса составит 2,5 тонны, при массе ЗИС-22М 5 тонн получить 6,5 не удалось бы никак.</w:t>
      </w:r>
    </w:p>
    <w:p w14:paraId="412E8B79"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Получившаяся у завода № 92 конструкция чем-то напоминала немецкие разработки, а именно истребитель танков 8.8 cm Flak 18 (Sfl.) auf Zugkraftwagen 12t (Sd.Kfz.8). Вряд ли его в Горьком видели, да и машина получилась более удачной. По крайней мере была она заметно ниже, легче, а расчет орудия более защищенным от вражеских пуль. Поскольку возможности разместить укладки на платформе не имелось, поступили несколько иначе. А именно сделали ограждения по периметру платформы, вдоль которого раскладывались снарядные ящики. Справедливости ради, иных вариантов удобно разместить боекомплект не имелось.</w:t>
      </w:r>
    </w:p>
    <w:p w14:paraId="31A98AE8" w14:textId="77777777" w:rsidR="00CE7AA2" w:rsidRPr="008A2E5A" w:rsidRDefault="00CE7AA2" w:rsidP="00CE7AA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Сама платформа была деревянной, по ее центру разместилась тумба, на которую установили качающуся часть ЗИС-2. Развитый орудийный щит имел довольно интересную конструкцию. Во-первых, на боковинах разместили откидные сиденья для наводчика и заряжающего. Во-вторых, верхняя часть могла приподниматься, что было актуально в ходе интенсивной стрельбы. Таким образом упрощалась работа заряжающего, если он вел свою работу стоя. В целом проект получился довольно удачным, за одним исключением. Звалось оно "шасси". Было бы странно ждать, что из полугусеничного грузовика можно просто так взять, и сделать истребитель танков. Кроме того, от заказчика завод №92 получил явно завышенные требования. Прыгнуть выше головы не представлялось возможным, так что полученные результаты оказались предсказуемыми (23521).</w:t>
      </w:r>
    </w:p>
    <w:p w14:paraId="5042B9FA" w14:textId="77777777" w:rsidR="00CE7AA2" w:rsidRPr="008A2E5A" w:rsidRDefault="00CE7AA2" w:rsidP="00CE7AA2">
      <w:pPr>
        <w:spacing w:after="0" w:line="240" w:lineRule="auto"/>
        <w:jc w:val="both"/>
        <w:rPr>
          <w:rFonts w:ascii="Times New Roman" w:hAnsi="Times New Roman"/>
          <w:color w:val="0070C0"/>
          <w:sz w:val="16"/>
          <w:szCs w:val="16"/>
        </w:rPr>
      </w:pPr>
    </w:p>
    <w:p w14:paraId="266C06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года</w:t>
      </w:r>
    </w:p>
    <w:p w14:paraId="193C12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Заводы №№ 198, 330 НКэлектропрома – Москва (9151).</w:t>
      </w:r>
    </w:p>
    <w:p w14:paraId="30A9D1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0DB6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года вышел приказ № 63сс НКВ</w:t>
      </w:r>
    </w:p>
    <w:p w14:paraId="364E467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 1222сс от 30 января 1942 года:</w:t>
      </w:r>
    </w:p>
    <w:p w14:paraId="73F28F8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2 Гл. управления Добровольскому приступить к восстановлению заводов бывшего № 217 в Москве и бывшего завода № 69 в Красногорске.</w:t>
      </w:r>
    </w:p>
    <w:p w14:paraId="3B7A479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Заводу</w:t>
      </w:r>
      <w:proofErr w:type="gramEnd"/>
      <w:r w:rsidRPr="008127F8">
        <w:rPr>
          <w:rFonts w:ascii="Times New Roman" w:hAnsi="Times New Roman"/>
          <w:color w:val="000000" w:themeColor="text1"/>
          <w:sz w:val="16"/>
          <w:szCs w:val="16"/>
        </w:rPr>
        <w:t xml:space="preserve"> восстанавливаемому на площадях бывшего завода № 217 присвоить № 589.</w:t>
      </w:r>
    </w:p>
    <w:p w14:paraId="5D19B31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Заводу</w:t>
      </w:r>
      <w:proofErr w:type="gramEnd"/>
      <w:r w:rsidRPr="008127F8">
        <w:rPr>
          <w:rFonts w:ascii="Times New Roman" w:hAnsi="Times New Roman"/>
          <w:color w:val="000000" w:themeColor="text1"/>
          <w:sz w:val="16"/>
          <w:szCs w:val="16"/>
        </w:rPr>
        <w:t xml:space="preserve"> восстанавливаемому на площадях бывшего завода № 69 присвоить № 393 (6320, 51).</w:t>
      </w:r>
    </w:p>
    <w:p w14:paraId="3DF8528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610F4" w14:textId="3C277F26" w:rsidR="00221F61" w:rsidRPr="008127F8" w:rsidRDefault="00221F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г. входит приказ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63 Народного комиссара вооружения СССР:</w:t>
      </w:r>
    </w:p>
    <w:p w14:paraId="70754CAF" w14:textId="5604C4B7" w:rsidR="00221F61" w:rsidRPr="008127F8" w:rsidRDefault="00221F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1222 от 30 января 1942 года, ПРИКАЗЫВАЮ:</w:t>
      </w:r>
    </w:p>
    <w:p w14:paraId="5F0BD314" w14:textId="03AF8A02" w:rsidR="00221F61" w:rsidRPr="008127F8" w:rsidRDefault="00221F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Начальнику 2-го Главного управления т. Добровольскому приступить к восстановлению бывшего завода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69</w:t>
      </w:r>
      <w:proofErr w:type="gramEnd"/>
      <w:r w:rsidRPr="008127F8">
        <w:rPr>
          <w:rFonts w:ascii="Times New Roman" w:hAnsi="Times New Roman"/>
          <w:color w:val="000000" w:themeColor="text1"/>
          <w:sz w:val="16"/>
          <w:szCs w:val="16"/>
        </w:rPr>
        <w:t xml:space="preserve">  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Красногорске.</w:t>
      </w:r>
    </w:p>
    <w:p w14:paraId="63AD89B2" w14:textId="17127639" w:rsidR="00221F61" w:rsidRPr="008127F8" w:rsidRDefault="00221F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 Заводу, восстанавливаемому на площадях бывшего завода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69, присвоить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393</w:t>
      </w:r>
      <w:proofErr w:type="gramEnd"/>
      <w:r w:rsidRPr="008127F8">
        <w:rPr>
          <w:rFonts w:ascii="Times New Roman" w:hAnsi="Times New Roman"/>
          <w:color w:val="000000" w:themeColor="text1"/>
          <w:sz w:val="16"/>
          <w:szCs w:val="16"/>
        </w:rPr>
        <w:t>».</w:t>
      </w:r>
    </w:p>
    <w:p w14:paraId="13884CEE" w14:textId="1286D094" w:rsidR="00221F61" w:rsidRPr="008127F8" w:rsidRDefault="00221F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первых порах завод должен был восстановить производство «минометных прицелов МПБ-80 и МП5К, панорам танковых командирских ПТК-5». В 1944 г. в Красногорске восстанавливается производство биноклей Б-6, которые маркируются клеймом СиМ над призмой Дове. В </w:t>
      </w:r>
      <w:proofErr w:type="gramStart"/>
      <w:r w:rsidRPr="008127F8">
        <w:rPr>
          <w:rFonts w:ascii="Times New Roman" w:hAnsi="Times New Roman"/>
          <w:color w:val="000000" w:themeColor="text1"/>
          <w:sz w:val="16"/>
          <w:szCs w:val="16"/>
        </w:rPr>
        <w:t>1944</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заводом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393 было выпущено около 32 тыс. биноклей, в 1945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еще 50 тыс. (22791).</w:t>
      </w:r>
    </w:p>
    <w:p w14:paraId="6EFC0313" w14:textId="77777777" w:rsidR="00221F61" w:rsidRPr="008127F8" w:rsidRDefault="00221F61" w:rsidP="001E0A84">
      <w:pPr>
        <w:spacing w:after="0" w:line="240" w:lineRule="auto"/>
        <w:jc w:val="both"/>
        <w:rPr>
          <w:rFonts w:ascii="Times New Roman" w:hAnsi="Times New Roman"/>
          <w:color w:val="000000" w:themeColor="text1"/>
          <w:sz w:val="16"/>
          <w:szCs w:val="16"/>
        </w:rPr>
      </w:pPr>
    </w:p>
    <w:p w14:paraId="7A8297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февраля 1942 г. в Красногорске на месте эвакуированного завода № 69 НКВ был создан Завод № 393 НКВ. Вначале был восстановлен ремонтно-инструментальный корпус, с весны 1942 г. начался выпуск продукции- оптических приборов. Летом 1942 г. заводу были переданы часть оборудования и кадров (800 чел.) эвакуированного завода № 356,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7F0E10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1946 г. по начало 1950-х г. на заводе работало более 100 немецких специалистов по оптике.</w:t>
      </w:r>
    </w:p>
    <w:p w14:paraId="598D19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создан цех объективов (начальник- Л.А. Стучинский) и КБ по разработке оптических систем.</w:t>
      </w:r>
    </w:p>
    <w:p w14:paraId="1521C6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при заводе создано КБ по разработке фотоаппаратуры. В 03.1949 г. пущен конвейер по производству фотоаппаратов. В 1951 г. пущен второй конвейер в сборочном цехе фотоаппаратов, в 1953 г.- третий конвейер. К концу 1954 г. дйствовало 11 конвейерных линий.</w:t>
      </w:r>
    </w:p>
    <w:p w14:paraId="4BC038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1986 г. введен в эксплуатацию инженерно-технологический корпус (с 06.2005 г. не принадлежит заводу). В начале 1990-х г. был корпус сборки и испытаний аэрокосмической аппаратуры, корпус комплексных механических испытаний; в 2000 г.- лабораторно-производственный корпус.</w:t>
      </w:r>
    </w:p>
    <w:p w14:paraId="283170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1979 г. ПО присвоено имя С.А. Зверева. В 1982 г. назывался Красногорский механический завод, в 1990 г.- в ведении МОП. По Указу Президента РФ № 1009 от 4.08.2004 г. вошло в число стратегических оборонных предприятий.</w:t>
      </w:r>
    </w:p>
    <w:p w14:paraId="0BBAAA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деятельности (2005 г.): научные исследования, разработка и производство: космической и авиационной фотосъемочной аппаратуры; оптико-электронных приборов для танковой и авиационной техники; наземных оптико-электронных систем измерения и контроля воздушного и космического пространства; наблюдательных приборов; медицинской и научной аппаратуры.</w:t>
      </w:r>
    </w:p>
    <w:p w14:paraId="13280A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(1942-46 г.)- В.А. Колычев, (1946-50 г.)- Д.Ф. Скаржинский, (1950-53 г.)- А.Ф. Соловьев, (1953-65 г.)- Н.М. Егоров, (1965-68 г.)- Л.А. Воронин, (1968-73 г.)- В.И. Креопалов, (1973-75 г.)- О.М. Устинов, (1975-86 г.)- В.Г. Трифонов. Гендиректор (1986-2005 г.-)- А.И. Гоев.</w:t>
      </w:r>
    </w:p>
    <w:p w14:paraId="0216B6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А.Н. Ширяев, (1945 г.)- С.А. Зверев.</w:t>
      </w:r>
    </w:p>
    <w:p w14:paraId="3C6C7F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(1970-е)- В.В. Некрасов. Гл. металлург- И.Е. Дунаев.</w:t>
      </w:r>
    </w:p>
    <w:p w14:paraId="296200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генерал Николаев (ГСН), Ю.В. Рябушкин («Фтор-2», СА-34).</w:t>
      </w:r>
    </w:p>
    <w:p w14:paraId="2FBFAE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(2004 г.)- В.К. Рыковский.</w:t>
      </w:r>
    </w:p>
    <w:p w14:paraId="679D22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(1947 г.)- Н.А. Гаврилов, Н.М. Маренков (ведущий конструктор фотоаппаратов), А. Падалко (ведущий конструктор фотоаппаратов), А. Юдин, А. Кузнецов, М. Русинов (объектив «Руссар»), (1941 г.)- Д. Максутов (объективы МТО), (1952 г.)- В. Родин (объектив «Родина»).</w:t>
      </w:r>
    </w:p>
    <w:p w14:paraId="1250BB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прицельные комплексы: "Радуга","Шквал"; АФА, фотоаппараты: «Фтор-2», СА-34 для КК «Восток», «Фтор-4» для КА «Зенит-4» (1965), СА-106 для «Зенит-4МТ», С-180 для съемки северного сияния; панорамный фотоаппарат «Топаз» для КА «Янтарь-1КФТ»; фотоаппаратура «Природа» для КА «Фрам» (1970-е);77 электронные микроскопы: ЭМ-5 (1950-), ЭМ-6, ЭМ-8, ЭМ-11М; фотоаппараты.</w:t>
      </w:r>
    </w:p>
    <w:p w14:paraId="3E3BD7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393 НКВ, МВ, Красногорский механический завод (КМЗ) МОП, ПО «Красногорский завод им. С.А. Зверева» (КЗ) МОП, ОАО КЗ</w:t>
      </w:r>
    </w:p>
    <w:p w14:paraId="18BF72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143400 г. Красногорск-7 Московской обл. ул. Речная, 8 тел. 561-89-26 www.zenit-foto.ru, www.zenit.istra.ru</w:t>
      </w:r>
    </w:p>
    <w:p w14:paraId="039678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393</w:t>
      </w:r>
    </w:p>
    <w:p w14:paraId="3E9C6E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1947 г. для разработки оптических систем.</w:t>
      </w:r>
    </w:p>
    <w:p w14:paraId="123D84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(1947 г.-)- М.Д. Мальцев.</w:t>
      </w:r>
    </w:p>
    <w:p w14:paraId="5D05B6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конструкторы: (1950-е)- В.К. Чудесова, Н.А. Шибаев, А.М. Юрщик.</w:t>
      </w:r>
    </w:p>
    <w:p w14:paraId="3F3BFC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фотообъективы: «Юпитер-8», «Индустар-22» (1948), «Мир-1», «Гелиос-44», «Таир-3», «Таир-11», «Юпитер-6» (1950-е), «Орион-15», «Вега-1», «Индустар-24М», «Юпитер-21», «Телемар-22», «Мир-5», «Мир-6», «Гелиос-65Ц», «Юпитер-25Ц», «Таир-38», «Рубин» (1960-е), «Мир-10», «Москва» (1968), «Индустар-60», «Гелиос-9», «Вариогоир-1», «Март-1», «Метеор-5, -8М», «Эра-6М» (1970-е).</w:t>
      </w:r>
    </w:p>
    <w:p w14:paraId="7B3F91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393</w:t>
      </w:r>
    </w:p>
    <w:p w14:paraId="50AD50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создано в 1948 г. при заводе для разработки фотоаппаратуры.</w:t>
      </w:r>
    </w:p>
    <w:p w14:paraId="23E8E8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(1948 г.-)- П.А. Денисов. Начальник (1960-е)- И.К. Юрусов.</w:t>
      </w:r>
    </w:p>
    <w:p w14:paraId="3932D5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(-1948-61 г.-)- П.Д. Деревянкин, (1960 г.)- Ф.Е. Соболев, (1970-е)- А.И. Акалупин.</w:t>
      </w:r>
    </w:p>
    <w:p w14:paraId="6E3BCA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конструкторы: (-1947-63 г.-)- Е.В. Соловьев, (1947 г.)- И.А. Корольков, (1948 г.)- С.И. Колганов, (1948 г.)-Ю.В. Рябушкин, (-1956-61 г.-)- Г.М. Дорский, А.М. Орлов, В.И. Плужников, Ч.И. Заманская, (-1956-57 г.-)- К.А. Гаврилова, (1960 г.)- А.И. Акалупин, С.Г. Кузнецов, В.Г. Токмаков, В.И. Штанников, (1961 г.)- М.А. Знаменская, И.С. Тимофеев, (1963 г.)- В.Г. Ремез.</w:t>
      </w:r>
    </w:p>
    <w:p w14:paraId="06C23E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фотоаппараты: «Москва-1», «Зоркий», «Зенит», «Астра», «Комета», ФТ-2, «Старт», «Нарцисс», «Искра».</w:t>
      </w:r>
    </w:p>
    <w:p w14:paraId="64DB9A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СКБ-4</w:t>
      </w:r>
    </w:p>
    <w:p w14:paraId="57CBE4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(2005 г.)- В. Колинько.</w:t>
      </w:r>
    </w:p>
    <w:p w14:paraId="440CEA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оптико-электронный комплекс контроля космического пространства «Окно».</w:t>
      </w:r>
    </w:p>
    <w:p w14:paraId="3E7F41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ЦКБ-393 МВ, ОКБ С.Н. Николаева</w:t>
      </w:r>
    </w:p>
    <w:p w14:paraId="330FA7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головка самонаводения ЮНО-2 для планирующей АБ (конец 1940-х), ИК ГСН для: УАБ СНАБ-3000, ракеты СНАРС-250, К-8М.</w:t>
      </w:r>
    </w:p>
    <w:p w14:paraId="7A9464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КБ С.М. Николаева </w:t>
      </w:r>
    </w:p>
    <w:p w14:paraId="29F22A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Действовало на заводе, где директор- А.С. Котляр. </w:t>
      </w:r>
    </w:p>
    <w:p w14:paraId="4A61CB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Созданы минометные (МП-41) и танковые прицелы во время ВОВ (10776).</w:t>
      </w:r>
    </w:p>
    <w:p w14:paraId="24C5E8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A7B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февраля 1942 г. приказом № 63 в соответствии с пост. ГКО № 1222 от 30.01.1942 г. в Красногорске на месте эвакуированного завода № 69 НКВ для возобновления производства оптических приборов был создан Завод № 393 НКВ,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МОП, Красногорский механический завод (КМЗ) МОП, ПО «Красногорский завод им. С.А. Зверева» (КЗ) МОП, ОАО ФНПЦ «КЗ им. С.А. Зверева» /143400  г. Красногорск-7 Московской обл. ул. Речная, 8 тел. 561-80-83/. Вначале был восстановлен ремонтно-инструментальный корпус, с весны 1942 г. начался выпуск продукции- оптических приборов. Летом 1942 г. заводу были переданы часть оборудования и кадров (800 чел.) эвакуированного завода № 356, завода № 106,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2B011D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1946 г. по начало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заводе работало более 100 немецких специалистов по оптике.</w:t>
      </w:r>
    </w:p>
    <w:p w14:paraId="64E462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создан цех объективов и КБ по разработке оптических систем.</w:t>
      </w:r>
    </w:p>
    <w:p w14:paraId="28B534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при заводе создано КБ по разработке фотоаппаратуры. В 03.1949 г. пущен конвейер по производству фотоаппаратов. В 1951 г. пущен второй конвейер в сборочном цехе фотоаппаратов, в 1953 г. - третий конвейер. К концу 1954 г. дйствовало 11 конвейерных линий.</w:t>
      </w:r>
    </w:p>
    <w:p w14:paraId="4AAC41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1950-52 г. разработан и запущен в производство первый отечественный кинофототеодолит (Ф.Е. Соболев). 25.06.1956 г. организовано КБ-4. В 1970 г. производство кинотеодолитов передано наБелОМО.</w:t>
      </w:r>
    </w:p>
    <w:p w14:paraId="4D5804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заводе организовано радиотехническое производство по выпуску комплектующих для ЗРК С-25, но затем оно было свернуто.</w:t>
      </w:r>
    </w:p>
    <w:p w14:paraId="44AC3B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ВПК от 8.01.1969 г. завод определен головным по созданию экспериментального образца ОЭС для комплекса «Окно», приказом МОП от 17.08.1970 г. КМЗ назначен головным по проекту комплекса в целом. В 1969-72 г. проведена НИР «Окно» (В.И. Креопалов). В начале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создан ОЭК «Окно», затем «Окно-С». В 1971-72 г. на Бюраканской обсерватории (Армения) построена экспериментальная база завода, на которой затем смонтирован экспериментальный образец ОЭК «Окно» для его отработки. 21.11.1974 г. вышло ПСМ о проведении ОКР по комплексу «Окно», в 07.1975 г. - решение ВПК «О порядке проведения работ по созданию головного образца комплекса «Окно». ПСМ от 04.1980 г. установлен срок сдачи комплекса «Окно»- 1986 г. </w:t>
      </w:r>
      <w:r w:rsidRPr="008127F8">
        <w:rPr>
          <w:rFonts w:ascii="Times New Roman" w:hAnsi="Times New Roman"/>
          <w:color w:val="000000" w:themeColor="text1"/>
          <w:sz w:val="16"/>
          <w:szCs w:val="16"/>
          <w:lang w:val="en-US"/>
        </w:rPr>
        <w:t>ITCM</w:t>
      </w:r>
      <w:r w:rsidRPr="008127F8">
        <w:rPr>
          <w:rFonts w:ascii="Times New Roman" w:hAnsi="Times New Roman"/>
          <w:color w:val="000000" w:themeColor="text1"/>
          <w:sz w:val="16"/>
          <w:szCs w:val="16"/>
        </w:rPr>
        <w:t xml:space="preserve"> от 24.04.1980 г. задана ОКР «Окно-С».</w:t>
      </w:r>
    </w:p>
    <w:p w14:paraId="1E85B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1986 г. введен в эксплуатацию инженерно-технологический корпус (с 06.2005 г. не принадлежит заводу). В начале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был корпус сборки и испытаний аэрокосмической аппаратуры, корпус комплексных механических испытаний; в 2000 г.- лабораторно-производственный корпус.</w:t>
      </w:r>
    </w:p>
    <w:p w14:paraId="0AE2F5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1979 г. ПО присвоено имя С.А. Зверева. В 1982 г. назывался Красногорский механический завод, в 1990 г. ПО «Красногорский завод»- в ведении МОП. По Указу Президента РФ № 1009 от 4.08.2004 г. вошло в число стратегических оборонных предприятий.</w:t>
      </w:r>
    </w:p>
    <w:p w14:paraId="40008B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деятельности (2005 г.): научные исследования; разработка и производство: космической и авиационной фотосъемочной аппаратуры (для панорамной съемки земной поверхности, панхроматической и многозональной для КА ДЗЗ, гиперспектральной съемки); оптико-электронных приборов для танковой и авиационной техники; систем управления огнем для танков и авиации; наземных оптико-электронных систем измерения и контроля воздушного и космического пространства (единственное предприятие в России); наблюдательных приборов (лазерных дальномеров и целеуказателей; снайперских панкратических прицелов; оптических прицелов для гранатометов); оптико-электронной ГСН; систем и комплексов РХБЗ; бортовых вертолетных комплексов: оптико-телевизионного для экологического мониторинга, оптико-электронного для инженерной разведки; систем мультипликации и совмещения фотолитографического комплекса для производства СБИС; медицинской и научной аппаратуры; рентгеновских и лазерных микроанализаторов.</w:t>
      </w:r>
    </w:p>
    <w:p w14:paraId="6FEB7C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2005 г. велось 78 НИОКР, из них 67- для МО.</w:t>
      </w:r>
    </w:p>
    <w:p w14:paraId="3808C2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завода (2004 г.)- НТЦ по разработке оптических средств бронетанковой и авиационной техники, приборов внешнетраекторных измерений, комплексов ККП, </w:t>
      </w:r>
      <w:r w:rsidRPr="008127F8">
        <w:rPr>
          <w:rFonts w:ascii="Times New Roman" w:hAnsi="Times New Roman"/>
          <w:color w:val="000000" w:themeColor="text1"/>
          <w:sz w:val="16"/>
          <w:szCs w:val="16"/>
        </w:rPr>
        <w:lastRenderedPageBreak/>
        <w:t>орбитальной космической аппаратуры и любительской фотоаппаратуры.</w:t>
      </w:r>
    </w:p>
    <w:p w14:paraId="430E89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(1942-46 г.)- В.А. Колычев, (1946-50 г.)- Д.Ф. Скаржинский, (1950-53 г.)- А.Ф. Соловьев, (1953-65 г.)- Н.М. Егоров, (1965-68 г.)- Л.А. Воронин, (1968-73 г.)- В.И. Креопалов, (1973-75 г.)- О.М. Устинов, (1975-86 г.)- В. Г. Трифонов. Гендиректор (1986-05.2006г&gt; А.И. Гоев, (2008 г.)- В.П. Жигулич.</w:t>
      </w:r>
    </w:p>
    <w:p w14:paraId="1FBCBF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А.Н. Ширяев, (1945 г.)- С.А. Зверев, (1979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Янпольский.</w:t>
      </w:r>
    </w:p>
    <w:p w14:paraId="2700C6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(1949-56 г.-)- Ф.Е. Соболев, (1970-е)- В.В. Некрасов. Гл. металлург- И.Е. Дунаев.</w:t>
      </w:r>
    </w:p>
    <w:p w14:paraId="63CBD9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 г.)- Ф.Е. Соболев.</w:t>
      </w:r>
    </w:p>
    <w:p w14:paraId="1E5DCB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архитертор (1970 г.)- О.Н. Умрихин.</w:t>
      </w:r>
    </w:p>
    <w:p w14:paraId="0F4E1E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г Николаев (ГСН), (1949-70 г.)- Ф.Е. Соболев (кинотеодолиты), Ю.В. Рябушкин («Фтор-2», СА-34); направлений (2004 г.)- В.И. Колинько, (2004 г.)- С.А. Архипов, (2004 г.)- Н.Д. Волобуев, (2004 г.)- П.А. Лапин, (2004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Слободянюк.</w:t>
      </w:r>
      <w:r w:rsidRPr="008127F8">
        <w:rPr>
          <w:rFonts w:ascii="Times New Roman" w:hAnsi="Times New Roman"/>
          <w:color w:val="000000" w:themeColor="text1"/>
          <w:sz w:val="16"/>
          <w:szCs w:val="16"/>
          <w:vertAlign w:val="superscript"/>
        </w:rPr>
        <w:t>104</w:t>
      </w:r>
    </w:p>
    <w:p w14:paraId="42F4C4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НТЦ (2004 г.)- А.П. Тарасов.</w:t>
      </w:r>
    </w:p>
    <w:p w14:paraId="432FD8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(-2002-04 г.-)- В.К. Рыковский.</w:t>
      </w:r>
      <w:r w:rsidRPr="008127F8">
        <w:rPr>
          <w:rFonts w:ascii="Times New Roman" w:hAnsi="Times New Roman"/>
          <w:color w:val="000000" w:themeColor="text1"/>
          <w:sz w:val="16"/>
          <w:szCs w:val="16"/>
          <w:vertAlign w:val="superscript"/>
        </w:rPr>
        <w:t>69</w:t>
      </w:r>
    </w:p>
    <w:p w14:paraId="1DA1C2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объективов (1947 г.-)- Л.А. Стучинский.</w:t>
      </w:r>
    </w:p>
    <w:p w14:paraId="61B94A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Н.М. Маренков (фотоаппараты), А. Падалко (фотоаппараты).</w:t>
      </w:r>
    </w:p>
    <w:p w14:paraId="1C7DD2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социально-психологической службы (-1985 г.)- С.В. Калашников.</w:t>
      </w:r>
    </w:p>
    <w:p w14:paraId="21F9B5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кинофототеодолит КФТ-10/20 (1952), кинотеодолит КТ-50 (1956); аэрофотоаппараты А-72, А-87, А- 10-10.</w:t>
      </w:r>
    </w:p>
    <w:p w14:paraId="03B029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винтовочный оптический прицел «ПУ» (1943-44)- 80.591;</w:t>
      </w:r>
      <w:r w:rsidRPr="008127F8">
        <w:rPr>
          <w:rFonts w:ascii="Times New Roman" w:hAnsi="Times New Roman"/>
          <w:color w:val="000000" w:themeColor="text1"/>
          <w:sz w:val="16"/>
          <w:szCs w:val="16"/>
          <w:vertAlign w:val="superscript"/>
        </w:rPr>
        <w:t>4</w:t>
      </w:r>
      <w:r w:rsidRPr="008127F8">
        <w:rPr>
          <w:rFonts w:ascii="Times New Roman" w:hAnsi="Times New Roman"/>
          <w:color w:val="000000" w:themeColor="text1"/>
          <w:sz w:val="16"/>
          <w:szCs w:val="16"/>
        </w:rPr>
        <w:t xml:space="preserve"> кинотеодолиты: КФТ-10/20, КТ-50, КТС (-1970)- всего около 300; измерительный комплекс контроля траекторий ракет «Кубань»; прицельные комплексы: «Радуга», «Шквал»; высокоточная астрономическая установка ВАУ (1965-71)- 6; ИКТ «Соболь» (1972)- 3; ОЭС передачи азимута для РК «Искандер»; тепловизионная обзорно-прицельная подсистема для Ми- 24, обзорно-прицельная станция для Ми-28 (2000-е); тепловизионный прицел для Т-90С (2000-е);</w:t>
      </w:r>
      <w:r w:rsidRPr="008127F8">
        <w:rPr>
          <w:rFonts w:ascii="Times New Roman" w:hAnsi="Times New Roman"/>
          <w:iCs/>
          <w:color w:val="000000" w:themeColor="text1"/>
          <w:sz w:val="16"/>
          <w:szCs w:val="16"/>
        </w:rPr>
        <w:t xml:space="preserve"> А ФА, фотоаппараты:</w:t>
      </w:r>
      <w:r w:rsidRPr="008127F8">
        <w:rPr>
          <w:rFonts w:ascii="Times New Roman" w:hAnsi="Times New Roman"/>
          <w:color w:val="000000" w:themeColor="text1"/>
          <w:sz w:val="16"/>
          <w:szCs w:val="16"/>
        </w:rPr>
        <w:t xml:space="preserve"> «Фтор-2», СА-34 для КК «Восток», «Фтор-4» для КА «Зенит-4» (1965), СА-106 для «Зенит- 4МТ», С-180 для съемки северного сияния; панорамный фотоаппарат «Топаз» для КА «Янтарь-1КФТ»; фотоаппаратура «Природа» для КА «Фрам» (1970-е);</w:t>
      </w:r>
      <w:r w:rsidRPr="008127F8">
        <w:rPr>
          <w:rFonts w:ascii="Times New Roman" w:hAnsi="Times New Roman"/>
          <w:color w:val="000000" w:themeColor="text1"/>
          <w:sz w:val="16"/>
          <w:szCs w:val="16"/>
          <w:vertAlign w:val="superscript"/>
        </w:rPr>
        <w:t>77</w:t>
      </w:r>
      <w:r w:rsidRPr="008127F8">
        <w:rPr>
          <w:rFonts w:ascii="Times New Roman" w:hAnsi="Times New Roman"/>
          <w:color w:val="000000" w:themeColor="text1"/>
          <w:sz w:val="16"/>
          <w:szCs w:val="16"/>
        </w:rPr>
        <w:t xml:space="preserve"> электронные микроскопы: ЭМ-5 (1950-), ЭМ-6, ЭМ-8, ЭМ- 11М;</w:t>
      </w:r>
    </w:p>
    <w:p w14:paraId="18285C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фотоаппараты:</w:t>
      </w:r>
      <w:r w:rsidRPr="008127F8">
        <w:rPr>
          <w:rFonts w:ascii="Times New Roman" w:hAnsi="Times New Roman"/>
          <w:color w:val="000000" w:themeColor="text1"/>
          <w:sz w:val="16"/>
          <w:szCs w:val="16"/>
        </w:rPr>
        <w:t xml:space="preserve"> «Москва-1» (1946-49)- 31.632, «Москва-2» (1947-56)- 197.640, «Зоркий» (1948-56)- 835.502, «Москва-3» (1950-51)- 11.385, «Зоркий-З» (1951-56)- 87.569, «Зенит» (1952-56)- 39.019, «Зоркий-2» (1954-56)- 10.310, «Москва-4» (1955-58)- 62.632, «Зоркий-С» (1955-58)- 472.702, «Зоркий-2С» (1955-60)- 214.903, «Зоркий- ЗС» (1955-56)- 45.572, «Зенит-С» (1955-61)- 232.949, «Москва-5» (1956-60)- 216.457, «Зоркий-4» (1956-73), «Зоркий-5» (1958-59)- 236.501, «Старт» (1958-64)- 76.503, ФТ-2 (1958-65)- 16.662, «Мир» (1959-61)- 156.229, «Зоркий-6» (1959-66)- 385.207, «Юнкор» (1959-62)- 168.836, «Друг» (1960-62)- 23.702, «Зенит-З» (1960-62)- 81.776, «Искра» (1960-63)- 38.722, «Кристалл» (1961-62)- 65.433, «Искра-2» (1961-64)- 6118, «Нарцисс» (1961-65)- 10.939, «Зенит-ЗМ» (1962-70)- 781.678, «Зенит-4» (1964-68)- 19.740, «Зенит-5» (1964-68)- 11.616, «Зенит-6» (1964- 68)- 8930, «Зоркий-10» (1964-78)- 332.144, «Зоркий-11» (1964-66)- 60.745, «Зенит-Е» (1965-82), «Фотоснайпер» (1965-82)- 97.938, «Горизонт» (1967-73)- 49.849, «Зоркий-12» (1967-68)- 7200, «Зенит-7» (1968-71)- 3024, «Зенит- В» (1968-73)- 889.617, «Зенит-Д» (1969-70)- 63, «Фотон» (1969-76)- 1839, «Зокий-4К» (1972-78)- 524.646, «Зенит- ЕМ» (1972-85)- 979.140, «Зенит-ВМ» (1972-73)- 1239, «Зенит-16» (1972-77)- 11.124, «Зенит-ВЭ» (1972-85)- 1506, ФС-3 (1974-82)- 64.945, «Зенит-</w:t>
      </w:r>
      <w:r w:rsidRPr="008127F8">
        <w:rPr>
          <w:rFonts w:ascii="Times New Roman" w:hAnsi="Times New Roman"/>
          <w:color w:val="000000" w:themeColor="text1"/>
          <w:sz w:val="16"/>
          <w:szCs w:val="16"/>
          <w:lang w:val="en-US"/>
        </w:rPr>
        <w:t>TTL</w:t>
      </w:r>
      <w:r w:rsidRPr="008127F8">
        <w:rPr>
          <w:rFonts w:ascii="Times New Roman" w:hAnsi="Times New Roman"/>
          <w:color w:val="000000" w:themeColor="text1"/>
          <w:sz w:val="16"/>
          <w:szCs w:val="16"/>
        </w:rPr>
        <w:t>» (1977-85), «Фотон-ОС» (1979-81)- 62, «Зенит-19» (1979-87)- 121.993, «ФК Зенит» (1979-83)- 292, «Зенит-18» (1980-870- 7001, «ФК Зенит-2» (1980-82)- 11, ФС-4 (1981)- 20, «Зенит-10» (1981-82)- 19.865, «Зенит-11» (1981-92), «Зенит-ЕТ» (1981-82)- 61.099, «ФК Зенит-З» (1981)- 10, ФС-12 (1982-90)- 118.486, «Зенит-12» (1983-94)- 94.489, «Зенит-12сд» (1983-94)- 468.956, «Зенит-12хр» (1983-2000), «Зенит-22» (1984-85)- 5, «Зенит-автомат» (1984-94)- 68.002, «ФК Зенит-4» (1984)- 1, «ФК Зенит-6» (1986)- 100, «Зенит-14» (1987-90)- 567, ФС-5 (1988)- 1, «Зенит-АМ» (1988-95)- 7348, ФС-ЗСМС (1989-95)- 28.139, «Зенит-122» (1989- 2003), ФК-7А (1990)- 10, ФК-8А (1990)- 20, ФС-12-2 (1990-95)- 33.354, «Горизонт-202» (1991-2003)- 23.303, ФС- 122-3 (1992-96)- 7236, «Зенит-АПК» (1992-98)- 6394, «Зенит-АМ2» (1992-97)- 27.240, ФС-122-2 (1994-2003)- 42.804, «Зенит-АМЗ» (1994-95)- 13, «Зенит-212к» (1994-2003)- 32.149, «Зенит-АПМ» (1994-95)- 15, ФС- сувенирный (1996)- 210, «Зенит-501» (1997)- 250, «Зенит-502» (1997)- 258, «3енит-503» (1997)- 250, «Зенит-504» (1997)- 251, «Зенит-З 12т» (1999-2003)- 71.834, «Зенит-4120Х» (2000-03)- 21.257, «Горизонт-205» (2000-03)- 18, «Зенит-510» (2000-01)- 12.821, «Зенит-520» (2000-01)- 11.782, «Зенит-610» (2000-01)- 8777, «Зенит-620» (2000- 01)- 9000, «Зенит-КМ» (2001-03)- 15.097, «3</w:t>
      </w:r>
      <w:r w:rsidRPr="008127F8">
        <w:rPr>
          <w:rFonts w:ascii="Times New Roman" w:hAnsi="Times New Roman"/>
          <w:color w:val="000000" w:themeColor="text1"/>
          <w:sz w:val="16"/>
          <w:szCs w:val="16"/>
          <w:lang w:val="en-US"/>
        </w:rPr>
        <w:t>eHHT</w:t>
      </w:r>
      <w:r w:rsidRPr="008127F8">
        <w:rPr>
          <w:rFonts w:ascii="Times New Roman" w:hAnsi="Times New Roman"/>
          <w:color w:val="000000" w:themeColor="text1"/>
          <w:sz w:val="16"/>
          <w:szCs w:val="16"/>
        </w:rPr>
        <w:t>-412</w:t>
      </w:r>
      <w:r w:rsidRPr="008127F8">
        <w:rPr>
          <w:rFonts w:ascii="Times New Roman" w:hAnsi="Times New Roman"/>
          <w:color w:val="000000" w:themeColor="text1"/>
          <w:sz w:val="16"/>
          <w:szCs w:val="16"/>
          <w:lang w:val="en-US"/>
        </w:rPr>
        <w:t>LS</w:t>
      </w:r>
      <w:r w:rsidRPr="008127F8">
        <w:rPr>
          <w:rFonts w:ascii="Times New Roman" w:hAnsi="Times New Roman"/>
          <w:color w:val="000000" w:themeColor="text1"/>
          <w:sz w:val="16"/>
          <w:szCs w:val="16"/>
        </w:rPr>
        <w:t xml:space="preserve"> (2002-03)- 13.076, ФС-412 (20030- 100; объективы «Юпитер», «Индустар» (! 948-). «Гелиос» (1950-е-), «Таир», МТО, «Мир», «Орион», «Вега», «Телемар», «Рубин» (1960-е); кинокамеры: КСР-1 («Конвас»), СФР и ФП-22 для научных исследований (1958), «Кварц-1» (1960-68)- 77.965, «Кварц-2» (1961-68)- 146.472, «Кварц-3» (1963-69)- 56.365, «Кварц-5» (1965-74)- 56.365, «Кварц-2М» (1966-74)- 120.834, «Кварц-2х8С» (1968-77)- 123.402, «Кварц-1х8С-1» (1969-75)- 16.092, «Кварц-2х8С-3» (1971- 83)- 211.374, «Кварц-1х8с-2» (1974-93)- 301.102, «Кварц-8ХЬ» (1981-89)- 30.075, «Красногорск-1» (1965-74)- 36.683, «Красногорск-2» (1966-77)- 15.081, «Красногорск-3» (1971-93)- 105.435, «Красногорск-4» (1974-75)- 27; киносъемочный аппарат: 16СП.</w:t>
      </w:r>
    </w:p>
    <w:p w14:paraId="5F63C5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393 Создано в 1947 г. для разработки оптических систем.</w:t>
      </w:r>
    </w:p>
    <w:p w14:paraId="118EDD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(1947 г.-)- М.Д. Мальцев.</w:t>
      </w:r>
    </w:p>
    <w:p w14:paraId="30DF04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фотообъективы: «Юпитер-8», «Индустар-22» (1948), «Мир-1», «Гелиос-44», «Таир-3», «Таир-11», «Юпитер-6» (1950-е), «Орион-15», «Вега-1», «Индустар-24М», «Юпитер-21», «Телемар-22», «Мир-5», «Мир-6», «Гелиос-65Ц», «Юиитер-25Ц», «Таир-38», «Рубин» (1960-е), «Мир-10», «Москва» (1968), «Индустар-60», «Гелиос-9», «Вариогоир-1», «Март-1», «Метеор-5, -8М», «Эра-бМ» (1970-е).</w:t>
      </w:r>
    </w:p>
    <w:p w14:paraId="76ADD1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393</w:t>
      </w:r>
    </w:p>
    <w:p w14:paraId="053DD8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создано в 1948 г. при заводе для разработки фотоаппаратуры.</w:t>
      </w:r>
    </w:p>
    <w:p w14:paraId="30AF3D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(1948 г.-)- П.А. Денисов. Начальник (1960-е)- И.К. Юрусов.</w:t>
      </w:r>
    </w:p>
    <w:p w14:paraId="4DE63F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(-1948-61 г.-)- П.Д. Деревянкин, (1960 г.)- Ф.Е. Соболев, (1970-е)- А.И. Акалупин.</w:t>
      </w:r>
    </w:p>
    <w:p w14:paraId="15108C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фотоаппараты: «Москва-1», «Зоркий», «Зенит», «Астра», «Комета», ФТ-2, «Старт», «Нарцисс», «Искра».</w:t>
      </w:r>
    </w:p>
    <w:p w14:paraId="36F107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КБ-4, СКБ-4</w:t>
      </w:r>
    </w:p>
    <w:p w14:paraId="57BFB7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Образовано приказом директора завода от 25.06.1956 г. для разработки кинотеодолитов, фотограмметрических приборов, киноаппаратуры для регистрации полетов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 ракет и авиабомб. В 1960 г. выдано задание на разработку высокоточной астрономической установки ВАУ для пунктов ККП. В 1968 г. поручена разработка первого в СССР мобильного ИК теодолита-радиометра (ИКТ) «Соболь».</w:t>
      </w:r>
    </w:p>
    <w:p w14:paraId="70E369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12.05.1969 г. КБ-4 вошло в состав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ro</w:t>
      </w:r>
      <w:r w:rsidRPr="008127F8">
        <w:rPr>
          <w:rFonts w:ascii="Times New Roman" w:hAnsi="Times New Roman"/>
          <w:color w:val="000000" w:themeColor="text1"/>
          <w:sz w:val="16"/>
          <w:szCs w:val="16"/>
        </w:rPr>
        <w:t xml:space="preserve"> тематического направления ЦКБ.</w:t>
      </w:r>
    </w:p>
    <w:p w14:paraId="5F4AB5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(1956-70 г.)- Ф.Е. Соболев, (2005 г.)- В. Колинько.</w:t>
      </w:r>
    </w:p>
    <w:p w14:paraId="502252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(1956 г.-)- Ф.Е. Соболев.</w:t>
      </w:r>
    </w:p>
    <w:p w14:paraId="4FB0F4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фоторегистрирующие установки: ФУР, ФРК (1950-е), скоростная ШСК (1950-е); кинотеодолиты КФТ, КТ-50, КТС (1960); ВАУ (1965); ИКТ «Соболь» (1972); оптико-электронный комплекс контроля космического пространства «Окно».</w:t>
      </w:r>
    </w:p>
    <w:p w14:paraId="529C55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ЦКБ-393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ОКБ С.Н. Николаева</w:t>
      </w:r>
    </w:p>
    <w:p w14:paraId="529294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1967 г. велись исследования по возможности обнаружения, распознавания и измерения координат космических объектов с помощью оптических средств.</w:t>
      </w:r>
    </w:p>
    <w:p w14:paraId="5C4A30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12.05.1969 г. для разработки автоматизированного ОЭК «Окно» системы ККП в составе ЦКБ образовано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 xml:space="preserve"> тематическое направление, в которое вошли КБ-4, специальный конструкторский отдел (СКО) и НИ отдел № 5 ЦКБ. В составе направления организованы: конструкторский отдел 4-1, лаборатория 4-1, макетная мастерская № 4.</w:t>
      </w:r>
    </w:p>
    <w:p w14:paraId="253DF3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(1974-76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 (1979 г.)- В.В. Некрасов.</w:t>
      </w:r>
    </w:p>
    <w:p w14:paraId="54C27B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начальника по IV-у направлению (1969-; 1976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44079E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(1974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73501B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конструктора по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y</w:t>
      </w:r>
      <w:r w:rsidRPr="008127F8">
        <w:rPr>
          <w:rFonts w:ascii="Times New Roman" w:hAnsi="Times New Roman"/>
          <w:color w:val="000000" w:themeColor="text1"/>
          <w:sz w:val="16"/>
          <w:szCs w:val="16"/>
        </w:rPr>
        <w:t xml:space="preserve"> направлению (1969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63372F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отделений: (1976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571E9F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СКО (1969 г.)- В.А. Баршев; НИО № 5 (1969 г.)- С.И. Козьмин; № 4-1 (1969 г.-)- Ф.Е. Соболев, (1970 г.-)- В.А. Баршев.</w:t>
      </w:r>
    </w:p>
    <w:p w14:paraId="4CE814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(1969-80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 («Окно», «Окно-С»).</w:t>
      </w:r>
    </w:p>
    <w:p w14:paraId="7E6212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 4-1 (1969 г.-)- В.В. Вацура, (1972 г.-)- Б.К. Раев; мастерской № 4 (1969 г.-)- В.И. Кирсанов.</w:t>
      </w:r>
    </w:p>
    <w:p w14:paraId="1363BC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ГСН: ЮНО-2 для планирующей АБ (конец 1940-х), Ж ГСН для: УАБ СНАБ-3000, для СНАРС-250, К-8М (11982).</w:t>
      </w:r>
    </w:p>
    <w:p w14:paraId="744E04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7EC4B"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февраля</w:t>
      </w:r>
      <w:r w:rsidRPr="008127F8">
        <w:rPr>
          <w:rFonts w:ascii="Times New Roman" w:hAnsi="Times New Roman"/>
          <w:color w:val="000000" w:themeColor="text1"/>
          <w:sz w:val="16"/>
          <w:szCs w:val="16"/>
        </w:rPr>
        <w:t xml:space="preserve"> в 1942 году приказом Наркома Вооружения СССР №63 на освободившихся площадях завода имени В.И.Ленина, эвакуированного в октябре 1941 года в город Новосибирск, было решено создать новое оптико-механическое предприятие - Государственный Союзный завод №393 Наркомата Вооружения, ныне ОАО "Красногорский завод имени С.А.Зверева". ОАО "Красногорский завод имени С.А.Зверева" - это универсальное многопрофильное предприятие с мощным научно-техническим и производственным потенциалом, специализирующееся на конструировании и производстве космической и авиационной топографической и спектрозональной фотосъемочной аппаратуры; приборов, снабженных лазерными, инфракрасными и тепловизионными каналами; оптико-электронных устройств для бронетанковой техники; прицелов стрелкового и охотничьего оружия; медицинской и научной аппаратуры; приборов для дневного и ночного наблюдения; фотоаппаратов и сменных объективов. Завод дважды был награжден высшими наградами: орденом Ленина (1966 г.) и орденом Трудового Красного Знамени (1976 г.) (15027).</w:t>
      </w:r>
    </w:p>
    <w:p w14:paraId="60D0F759" w14:textId="77777777" w:rsidR="0043313E" w:rsidRPr="008127F8" w:rsidRDefault="0043313E" w:rsidP="001E0A84">
      <w:pPr>
        <w:spacing w:after="0" w:line="240" w:lineRule="auto"/>
        <w:jc w:val="both"/>
        <w:rPr>
          <w:rFonts w:ascii="Times New Roman" w:hAnsi="Times New Roman"/>
          <w:color w:val="000000" w:themeColor="text1"/>
          <w:sz w:val="16"/>
          <w:szCs w:val="16"/>
        </w:rPr>
      </w:pPr>
    </w:p>
    <w:p w14:paraId="4BAE0625"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года заводу, организованному на площадях завода № 217 МВ, эвакуированного в начале ВОВ в Свердловск, согласно приказа НКВ за № 63сс, изданного во исполнение постановления ГКО за № 1222сс от 30 января 1942 года, был присвоен номер 589.</w:t>
      </w:r>
    </w:p>
    <w:p w14:paraId="6E2E9A19"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завод изготовлял в основном прицелы сухопутного вооружения – ротные (МПР) и батальонные (МПБ) минометные прицелы, а также прицелы и наблюдательные приборы танков и самоходной артиллерии.</w:t>
      </w:r>
    </w:p>
    <w:p w14:paraId="0CDA971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1943 года завод стал постепенно осваивать и выпускать авиационные приборы. 1943 год был последним годом изготовления прицелов сухопутного вооружения.</w:t>
      </w:r>
    </w:p>
    <w:p w14:paraId="38E1FC8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году основной продукцией завода являлись различные марки прицелов для пикирующих бомбардировщиков и ночной прицел для самолетов У-2. В этом же году завод освоил и поставил на производство передвижной кинопроектор К-25.</w:t>
      </w:r>
    </w:p>
    <w:p w14:paraId="50A1BE5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ул. Стромынка, д. 10, п/я 765</w:t>
      </w:r>
    </w:p>
    <w:p w14:paraId="680F7CF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 37сс МОП от 31 января 1956 года завод с ЦКБ провел перестройку работы в связи с новыми задачами и характером опытного производства (9568).</w:t>
      </w:r>
    </w:p>
    <w:p w14:paraId="3539475A"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71730FB3"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позднее 1 февраля 1942 г. О работе Стерлитамакского станкостроительного завода им. В. И. Ленина в 1941 г. (Из годового отчета завода).</w:t>
      </w:r>
    </w:p>
    <w:p w14:paraId="662E3538"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Работа завода в 1941 г. разделяется на два резко отличимых периода:</w:t>
      </w:r>
    </w:p>
    <w:p w14:paraId="15BC9477"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Первое полугодие: завод работает в г. Одессе как станкостроительный в соответствии с намеченным для него профилем.</w:t>
      </w:r>
    </w:p>
    <w:p w14:paraId="7E985B04"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Второе полугодие: эвакуация завода, организация завода в г. Стерлитамаке, переход завода в танковую промышленность </w:t>
      </w:r>
      <w:proofErr w:type="gramStart"/>
      <w:r w:rsidRPr="008127F8">
        <w:rPr>
          <w:rFonts w:ascii="Times New Roman" w:hAnsi="Times New Roman"/>
          <w:color w:val="000000" w:themeColor="text1"/>
          <w:sz w:val="16"/>
          <w:szCs w:val="16"/>
        </w:rPr>
        <w:t>и</w:t>
      </w:r>
      <w:proofErr w:type="gramEnd"/>
      <w:r w:rsidRPr="008127F8">
        <w:rPr>
          <w:rFonts w:ascii="Times New Roman" w:hAnsi="Times New Roman"/>
          <w:color w:val="000000" w:themeColor="text1"/>
          <w:sz w:val="16"/>
          <w:szCs w:val="16"/>
        </w:rPr>
        <w:t xml:space="preserve"> в связи с этим изменение профиля завода.</w:t>
      </w:r>
    </w:p>
    <w:p w14:paraId="35E894BA"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как эти два периода деятельности завода несопоставимы, то при даче показателей работы завода за весь год первое полугодие выделяется особо.</w:t>
      </w:r>
    </w:p>
    <w:p w14:paraId="369E692E"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...Приведенные данные** говорят о том, что работой в первом полугодии коллектив завода создал все предпосылки к тому, чтобы в 1941 г. не только выполнить, но и значительно перевыполнить план.</w:t>
      </w:r>
    </w:p>
    <w:p w14:paraId="7635D9BB"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июля было получено распоряжение эвакуироваться в г. Стерлитамак. Завод располагал небольшим тупиком пропускной способностью в 6—7 вагонов в сутки (17279). </w:t>
      </w:r>
    </w:p>
    <w:p w14:paraId="0AEEDAD7" w14:textId="77777777" w:rsidR="0043313E" w:rsidRPr="008127F8" w:rsidRDefault="0043313E" w:rsidP="001E0A84">
      <w:pPr>
        <w:spacing w:after="0" w:line="240" w:lineRule="auto"/>
        <w:jc w:val="both"/>
        <w:rPr>
          <w:rFonts w:ascii="Times New Roman" w:hAnsi="Times New Roman"/>
          <w:color w:val="000000" w:themeColor="text1"/>
          <w:sz w:val="16"/>
          <w:szCs w:val="16"/>
        </w:rPr>
      </w:pPr>
    </w:p>
    <w:p w14:paraId="084E1FFC"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г. по решению Государственного комитета обороны (ГКО) при Народном комиссариате связи СССР создано Военно-восстановительное управление для определения объема и характера разрушений систем связи по всему фронту, планирования восстановительных работ, первоочередной реконструкции и строительства линий телефонной и телеграфной связи Генерального штаба Красной Армии (9923).</w:t>
      </w:r>
    </w:p>
    <w:p w14:paraId="382DAAAA"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4AF9045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E293E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3C5427"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 февраля 1942 года Оперативная сводка Совинформбюро</w:t>
      </w:r>
    </w:p>
    <w:p w14:paraId="687520F3"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1 февраля</w:t>
      </w:r>
    </w:p>
    <w:p w14:paraId="707E00BD"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1 февраля наши войска продолжали вести активные действия против немецко-фашастских войск.</w:t>
      </w:r>
    </w:p>
    <w:p w14:paraId="2CEF332B"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1 февраля</w:t>
      </w:r>
    </w:p>
    <w:p w14:paraId="6F8AD0A9"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1 февраля наши войска, уничтожая узлы сопротивления противника, продолжали продвигаться вперёд.</w:t>
      </w:r>
    </w:p>
    <w:p w14:paraId="3B73CDA5"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31 января уничтожено 7 немецких самолётов. Наши потери 2 самолёта.</w:t>
      </w:r>
    </w:p>
    <w:p w14:paraId="64A4FC4B"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31 января частями нашей авиации уничтожено 17 танков, 210 автомашин с пехотой и грузами, 40 повозок со снарядами, 1 автоцистерна с горючим, 33 полевых и зенитных орудия, подавлено 9 зенитно-пулемётных точек, уничтожено и рассеяно до 2 батальонов пехоты (15024).</w:t>
      </w:r>
    </w:p>
    <w:p w14:paraId="286FC2C8"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p>
    <w:p w14:paraId="62903D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1 1942 Soviet counteroffensive begins to bog down in German hedgehog defense system (1037).</w:t>
      </w:r>
    </w:p>
    <w:p w14:paraId="52A5CE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FF20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 xml:space="preserve">1 </w:t>
      </w:r>
      <w:r w:rsidRPr="008127F8">
        <w:rPr>
          <w:rFonts w:ascii="Times New Roman" w:hAnsi="Times New Roman"/>
          <w:color w:val="000000" w:themeColor="text1"/>
          <w:sz w:val="16"/>
          <w:szCs w:val="16"/>
        </w:rPr>
        <w:t>февраля</w:t>
      </w:r>
      <w:r w:rsidRPr="008127F8">
        <w:rPr>
          <w:rFonts w:ascii="Times New Roman" w:hAnsi="Times New Roman"/>
          <w:color w:val="000000" w:themeColor="text1"/>
          <w:sz w:val="16"/>
          <w:szCs w:val="16"/>
          <w:lang w:val="en-US"/>
        </w:rPr>
        <w:t xml:space="preserve"> 1942 </w:t>
      </w:r>
      <w:r w:rsidRPr="008127F8">
        <w:rPr>
          <w:rFonts w:ascii="Times New Roman" w:hAnsi="Times New Roman"/>
          <w:color w:val="000000" w:themeColor="text1"/>
          <w:sz w:val="16"/>
          <w:szCs w:val="16"/>
        </w:rPr>
        <w:t>наступлениеКАвыдохлось</w:t>
      </w:r>
      <w:r w:rsidRPr="008127F8">
        <w:rPr>
          <w:rFonts w:ascii="Times New Roman" w:hAnsi="Times New Roman"/>
          <w:color w:val="000000" w:themeColor="text1"/>
          <w:sz w:val="16"/>
          <w:szCs w:val="16"/>
          <w:lang w:val="en-US"/>
        </w:rPr>
        <w:t xml:space="preserve"> (1037).</w:t>
      </w:r>
    </w:p>
    <w:p w14:paraId="7F9A2A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66A5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 xml:space="preserve">February 1, 1942: In the East, the </w:t>
      </w:r>
      <w:proofErr w:type="gramStart"/>
      <w:r w:rsidRPr="008127F8">
        <w:rPr>
          <w:rFonts w:ascii="Times New Roman" w:hAnsi="Times New Roman"/>
          <w:color w:val="000000" w:themeColor="text1"/>
          <w:sz w:val="16"/>
          <w:szCs w:val="16"/>
          <w:lang w:val="en-US"/>
        </w:rPr>
        <w:t>Red</w:t>
      </w:r>
      <w:proofErr w:type="gramEnd"/>
      <w:r w:rsidRPr="008127F8">
        <w:rPr>
          <w:rFonts w:ascii="Times New Roman" w:hAnsi="Times New Roman"/>
          <w:color w:val="000000" w:themeColor="text1"/>
          <w:sz w:val="16"/>
          <w:szCs w:val="16"/>
          <w:lang w:val="en-US"/>
        </w:rPr>
        <w:t xml:space="preserve"> army begins an offensive toward Vjasma (3819).</w:t>
      </w:r>
    </w:p>
    <w:p w14:paraId="74F356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55F2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КА начала наступление на Вязьму (3819).</w:t>
      </w:r>
    </w:p>
    <w:p w14:paraId="1A4703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333B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вышло Постановление ГКО № 1227 [Об отправке с февраля 1942 г. на фронт ежемесячно до 300 тыс. чел. маршевого пополнения.] (7021, 151).</w:t>
      </w:r>
    </w:p>
    <w:p w14:paraId="45C3F9D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540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вышло Постановление ГКО № 1228 О передаче дел на старший и средний начальствующий состав до командиров полков включительно из Главного управления кадров РККА в Главупраформ. РГАНИР, Фонд ГКО, д. 20, лл. 152 (11012).</w:t>
      </w:r>
    </w:p>
    <w:p w14:paraId="54B5FF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066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вышло Постановление ГКО № 1229 О формировании новых 50 стрелковых дивизий и 100 курсантских бригаРГАНИР, Фонд ГКО, д. РГАНИР, Фонд ГКО, д. 20, лл. 153-157, 158-159 (11012).</w:t>
      </w:r>
    </w:p>
    <w:p w14:paraId="413EA5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6C805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вышло Постановление ГКО № 1230 Об обеспечении дивизий и бригад автотранспортом и гужтранспортом. (7021, 160-161,162-165).</w:t>
      </w:r>
    </w:p>
    <w:p w14:paraId="2C84910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B8F74" w14:textId="77777777" w:rsidR="007C2AE4" w:rsidRPr="008127F8" w:rsidRDefault="007C2AE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A7B48E7" w14:textId="77777777" w:rsidR="007C2AE4" w:rsidRPr="008127F8" w:rsidRDefault="007C2AE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A8B82F" w14:textId="77777777" w:rsidR="007C2AE4" w:rsidRPr="008127F8" w:rsidRDefault="007C2A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Открылись рестораны по следующими адресам: Тверской бульвар, дом - 5; Житная улица, дом - 2; Столешников переулок, д. 20; улица Рождественка, дом - 2/5; ул. Арбат, дом - 43; проезд Художественного театра, дом - 5/7; улица Кирова, д 23. Открылись также рестораны при гостиницах "Центральная" и "Якорь". Открылись закусочные и кафе по следующими адресам: Крымский вал, дом 14; Малая Колхозная улица, дом - 3; улица Арбат, дом 36; проезд Серова, дом - 17; улица Горького, дома - 40 и 59. Открылись также столовые Неглинная улица, дом - 29; Таганская площадь, дом - 50; площадь Свердлова, дом - 1/6 и при Киевском вокзале. Завтраки, обеды и ужины в этих предприятиях общественного питания отпускались без карточек, по коммерческим ценам, установленным Наркомторгом СССР (18696).</w:t>
      </w:r>
    </w:p>
    <w:p w14:paraId="51AEBCFD" w14:textId="77777777" w:rsidR="007C2AE4" w:rsidRPr="008127F8" w:rsidRDefault="007C2AE4" w:rsidP="001E0A84">
      <w:pPr>
        <w:spacing w:after="0" w:line="240" w:lineRule="auto"/>
        <w:jc w:val="both"/>
        <w:rPr>
          <w:rFonts w:ascii="Times New Roman" w:hAnsi="Times New Roman"/>
          <w:color w:val="000000" w:themeColor="text1"/>
          <w:sz w:val="16"/>
          <w:szCs w:val="16"/>
        </w:rPr>
      </w:pPr>
    </w:p>
    <w:p w14:paraId="37950E8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C5C0C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80C60"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в Германии введены карточки на табачные изделия (4962).</w:t>
      </w:r>
    </w:p>
    <w:p w14:paraId="26DF872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51D46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немцы заменили свой секретный морской код “Энигма”, известный англичанам с начала войны, на новый - “Тритон” (4962).</w:t>
      </w:r>
    </w:p>
    <w:p w14:paraId="264EC52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DDFB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фашистами создано в Норвегии марионеточное правительство В. Квислинга (4962).</w:t>
      </w:r>
    </w:p>
    <w:p w14:paraId="5EACC0C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6B92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1941 флот США начал обстрел японских войск на Маршаловых и Гильбертовых островах (2100) и операция длилась до 4 марта (3907,235).</w:t>
      </w:r>
    </w:p>
    <w:p w14:paraId="4DD8FD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41D6A"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февраля</w:t>
      </w:r>
      <w:r w:rsidRPr="008127F8">
        <w:rPr>
          <w:rFonts w:ascii="Times New Roman" w:hAnsi="Times New Roman"/>
          <w:color w:val="000000" w:themeColor="text1"/>
          <w:sz w:val="16"/>
          <w:szCs w:val="16"/>
        </w:rPr>
        <w:t xml:space="preserve"> в 1942 году американский авианосец атакует японские военные базы на Маршалловых островах, а также на островах Уэйк, Маркус и Гилберта (операция завершится 4 марта) (15027).</w:t>
      </w:r>
    </w:p>
    <w:p w14:paraId="05392AD3" w14:textId="77777777" w:rsidR="0043313E" w:rsidRPr="008127F8" w:rsidRDefault="0043313E" w:rsidP="001E0A84">
      <w:pPr>
        <w:spacing w:after="0" w:line="240" w:lineRule="auto"/>
        <w:jc w:val="both"/>
        <w:rPr>
          <w:rFonts w:ascii="Times New Roman" w:hAnsi="Times New Roman"/>
          <w:color w:val="000000" w:themeColor="text1"/>
          <w:sz w:val="16"/>
          <w:szCs w:val="16"/>
        </w:rPr>
      </w:pPr>
    </w:p>
    <w:p w14:paraId="2F8AD607" w14:textId="77777777" w:rsidR="00221F61" w:rsidRPr="008127F8" w:rsidRDefault="00221F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авианосцы ВМС США USS Enterprise (CV-6) и USS Yorktown (CV-5) наносят авиаудары по японским базам на Маршалловых островах. Это первая наступательная операция американских войск во Второй мировой войне (20793).</w:t>
      </w:r>
    </w:p>
    <w:p w14:paraId="7C418EA6" w14:textId="77777777" w:rsidR="00221F61" w:rsidRPr="008127F8" w:rsidRDefault="00221F61" w:rsidP="001E0A84">
      <w:pPr>
        <w:spacing w:after="0" w:line="240" w:lineRule="auto"/>
        <w:jc w:val="both"/>
        <w:rPr>
          <w:rFonts w:ascii="Times New Roman" w:hAnsi="Times New Roman"/>
          <w:color w:val="000000" w:themeColor="text1"/>
          <w:sz w:val="16"/>
          <w:szCs w:val="16"/>
        </w:rPr>
      </w:pPr>
    </w:p>
    <w:p w14:paraId="7D2CA6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1942 британские войска отступили из Малайзии в Сингапур, главную ВМ базу в ЮВА (3907,235).</w:t>
      </w:r>
    </w:p>
    <w:p w14:paraId="350747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D36A2"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февраля</w:t>
      </w:r>
      <w:r w:rsidRPr="008127F8">
        <w:rPr>
          <w:rFonts w:ascii="Times New Roman" w:hAnsi="Times New Roman"/>
          <w:color w:val="000000" w:themeColor="text1"/>
          <w:sz w:val="16"/>
          <w:szCs w:val="16"/>
        </w:rPr>
        <w:t xml:space="preserve"> в 1942 году Британские войска отступают из Малайзии в Сингапур, главную британскую военно-морскую базу в Юго-Восточной Азии (15027).</w:t>
      </w:r>
    </w:p>
    <w:p w14:paraId="7435CA9A" w14:textId="77777777" w:rsidR="0043313E" w:rsidRPr="008127F8" w:rsidRDefault="0043313E" w:rsidP="001E0A84">
      <w:pPr>
        <w:spacing w:after="0" w:line="240" w:lineRule="auto"/>
        <w:jc w:val="both"/>
        <w:rPr>
          <w:rFonts w:ascii="Times New Roman" w:hAnsi="Times New Roman"/>
          <w:color w:val="000000" w:themeColor="text1"/>
          <w:sz w:val="16"/>
          <w:szCs w:val="16"/>
        </w:rPr>
      </w:pPr>
    </w:p>
    <w:p w14:paraId="4EAA698F"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Авиапромышленность:</w:t>
      </w:r>
    </w:p>
    <w:p w14:paraId="7AA077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16E298" w14:textId="77777777" w:rsidR="006646AF" w:rsidRPr="008A2E5A" w:rsidRDefault="006646AF" w:rsidP="006646AF">
      <w:pPr>
        <w:spacing w:after="0" w:line="240" w:lineRule="auto"/>
        <w:jc w:val="both"/>
        <w:rPr>
          <w:rFonts w:ascii="Times New Roman" w:hAnsi="Times New Roman"/>
          <w:color w:val="0070C0"/>
          <w:sz w:val="16"/>
          <w:szCs w:val="16"/>
        </w:rPr>
      </w:pPr>
      <w:bookmarkStart w:id="18" w:name="_Hlk144995129"/>
      <w:r w:rsidRPr="008A2E5A">
        <w:rPr>
          <w:rFonts w:ascii="Times New Roman" w:hAnsi="Times New Roman"/>
          <w:color w:val="0070C0"/>
          <w:sz w:val="16"/>
          <w:szCs w:val="16"/>
        </w:rPr>
        <w:t>2 февраля 1942 года головной из трех, взятых на испытания Ил-4 с М-82, пе</w:t>
      </w:r>
      <w:r w:rsidRPr="008A2E5A">
        <w:rPr>
          <w:rFonts w:ascii="Times New Roman" w:hAnsi="Times New Roman"/>
          <w:color w:val="0070C0"/>
          <w:sz w:val="16"/>
          <w:szCs w:val="16"/>
        </w:rPr>
        <w:softHyphen/>
        <w:t>реоборудованный на стадии сборки из серийного №7102, был облетан. Новые моторы сильно дымили и выбрасывали масло в суфлер. Менее чем за неделю сделали 17 полетов, однако 18-й едва не закончился гибелью машины из-за отказа обоих М-82. Испытания продолжились на Ил-4 № 6614, пока на одном М-82 не разрушилась крыльчатка ПЦН. Только Ил-4 2М-82 № 7103 смог пройти Госиспытания — хотя и с замечаниями, но до конца. Дальность упала до 2540 км, снизи</w:t>
      </w:r>
      <w:r w:rsidRPr="008A2E5A">
        <w:rPr>
          <w:rFonts w:ascii="Times New Roman" w:hAnsi="Times New Roman"/>
          <w:color w:val="0070C0"/>
          <w:sz w:val="16"/>
          <w:szCs w:val="16"/>
        </w:rPr>
        <w:softHyphen/>
        <w:t>лись потолок, вторая и особенно первая границы высотности, но скорость выросла на 33 км/ч, вернулась способность лететь на одном моторе, улучшились взлетные качества, причем Главный конструктор обещал, что при более подходящих воздуш</w:t>
      </w:r>
      <w:r w:rsidRPr="008A2E5A">
        <w:rPr>
          <w:rFonts w:ascii="Times New Roman" w:hAnsi="Times New Roman"/>
          <w:color w:val="0070C0"/>
          <w:sz w:val="16"/>
          <w:szCs w:val="16"/>
        </w:rPr>
        <w:softHyphen/>
        <w:t>ных винтах разбег можно будет сократить до 400 м, как у первых ДБ-3ф. Эти посулы, а также дефицит М-88Б и решили вопрос о серийном выпуске Ил-4 с двигателями М-82. Первым освоил новую силовую установку в серии завод №126 в Комсомольске- на-Амуре осенью 1942 года. С целью дальнейшего улучшения взлетных и скоростных характеристик Ил-4 были проведены расчеты вариантов си</w:t>
      </w:r>
      <w:r w:rsidRPr="008A2E5A">
        <w:rPr>
          <w:rFonts w:ascii="Times New Roman" w:hAnsi="Times New Roman"/>
          <w:color w:val="0070C0"/>
          <w:sz w:val="16"/>
          <w:szCs w:val="16"/>
        </w:rPr>
        <w:softHyphen/>
        <w:t>ловой установки с форсированными моторами М-82Ф или с М-82НВ с непосредственным впрыском топлива в цилиндры. Такой самолет можно было бы использовать днем без прикры</w:t>
      </w:r>
      <w:r w:rsidRPr="008A2E5A">
        <w:rPr>
          <w:rFonts w:ascii="Times New Roman" w:hAnsi="Times New Roman"/>
          <w:color w:val="0070C0"/>
          <w:sz w:val="16"/>
          <w:szCs w:val="16"/>
        </w:rPr>
        <w:softHyphen/>
        <w:t>тия истребителями, но дальность резко падала, что лишало такую модификацию смысла. Использование же американских двигателей 141830 или Р2600 без турбокомпрессоров не давало улучшения скорости и снижало высотность. Перспективными считались модификации под моторы М-90 выпуска 1942 г. и под дизели М-30 с турбокомпрессорами, но их работоспособные эк</w:t>
      </w:r>
      <w:r w:rsidRPr="008A2E5A">
        <w:rPr>
          <w:rFonts w:ascii="Times New Roman" w:hAnsi="Times New Roman"/>
          <w:color w:val="0070C0"/>
          <w:sz w:val="16"/>
          <w:szCs w:val="16"/>
        </w:rPr>
        <w:softHyphen/>
        <w:t xml:space="preserve">земпляры ОКБ Ильюшина получить пока не могло (24139). </w:t>
      </w:r>
    </w:p>
    <w:p w14:paraId="61FFA75A" w14:textId="77777777" w:rsidR="006646AF" w:rsidRPr="008A2E5A" w:rsidRDefault="006646AF" w:rsidP="006646AF">
      <w:pPr>
        <w:spacing w:after="0" w:line="240" w:lineRule="auto"/>
        <w:jc w:val="both"/>
        <w:rPr>
          <w:rFonts w:ascii="Times New Roman" w:hAnsi="Times New Roman"/>
          <w:color w:val="0070C0"/>
          <w:sz w:val="16"/>
          <w:szCs w:val="16"/>
        </w:rPr>
      </w:pPr>
    </w:p>
    <w:bookmarkEnd w:id="18"/>
    <w:p w14:paraId="790CC0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года. Агент госбезопасности "Шахов" в своем сообщении информировал старшего лейтенанта ГБ Баскакова о том, что на аэродроме 2 завода N 22 в последние дни было несколько случаев разъединения всасывающих патрубков при гонке. Перемонтаж этих патрубков производился на готовом моторе в сборочном цехе при установке моторчика привода нагнетателя. Эта работа из-за недобросовестной установки стягивающих хомутов приводила к разъединению патрубов. Были случаи, когда на стягивающие хомуты забывали ставить гайки. Во время испытаний или в полете хомуты слетали, и патрубок, идущий от нагнетателя к заднему карбюратору, соскакивал. В результате этого в цилиндрах двигателя происходило неполное сгорание смеси и ее выброс в выхлопной коллектор с последующим загоранием. Это предположение в дальнейшем подтвердилось мнением специалистов.</w:t>
      </w:r>
    </w:p>
    <w:p w14:paraId="795302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определенной долей уверенности можно сказать, что катастрофа самолета ПЕ-2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цепь нарушений технологической дисциплины, ослабления контроля, нарушений инструкций и правил. Роковое стечение обстоятельств предопределило гибель Петлякова на борту своего детища (11313).</w:t>
      </w:r>
    </w:p>
    <w:p w14:paraId="008CC7C1" w14:textId="77777777" w:rsidR="00D91C13" w:rsidRPr="008127F8" w:rsidRDefault="00D91C13" w:rsidP="001E0A84">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33D7E10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года после эвакуации на площадке завода 207, согласно приказу НКАП № 93с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w:t>
      </w:r>
    </w:p>
    <w:p w14:paraId="7BDF851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году на заводе было освоено изготовление запчастей самолета МИГ-3.</w:t>
      </w:r>
    </w:p>
    <w:p w14:paraId="490151EE"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52B0EAD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682EB3C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62B348B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12FA28A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21F6EFD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195B6B57"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63319B7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ст. Долгопрудная Московской области, п/я 1078</w:t>
      </w:r>
    </w:p>
    <w:p w14:paraId="0126A457"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427B4B3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0F022E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вышло Постановление ГКО № 1232 О плане производства самолетов и авиационных моторов в феврале месяце 1942 г. РГАНИР, Фонд ГКО, д. 20, лл. 182-183, 184-185 (11012).</w:t>
      </w:r>
    </w:p>
    <w:p w14:paraId="61BA7F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495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вышло Постановление ГКО № 1235 О строительстве Омского завода НКАП № 166. РГАНИР, Фонд ГКО, д. 20, лл. 199-203, 204-210 (11012).</w:t>
      </w:r>
    </w:p>
    <w:p w14:paraId="0CD49E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AFD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вышло постановление ГКО N 1235сс о производстве самолета 103 на 166 заводе (1543,60).</w:t>
      </w:r>
    </w:p>
    <w:p w14:paraId="2D762E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A9B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 по приказу № 94с на базе планерных мощностей завода № 241 (Завод № 241 ГВФ, НКАП /ст. Быково Московской обл.</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Тюмень/) был организован самостоятельный планерный ГС завод № 241 11ГУ НКАП.</w:t>
      </w:r>
    </w:p>
    <w:p w14:paraId="28684E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заводе действовало ОКБ </w:t>
      </w:r>
      <w:r w:rsidRPr="008127F8">
        <w:rPr>
          <w:rFonts w:ascii="Times New Roman" w:hAnsi="Times New Roman"/>
          <w:color w:val="000000" w:themeColor="text1"/>
          <w:sz w:val="16"/>
          <w:szCs w:val="16"/>
          <w:lang w:val="en-US"/>
        </w:rPr>
        <w:t>O</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Антонова.</w:t>
      </w:r>
    </w:p>
    <w:p w14:paraId="448670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707с от 16.09.1942 г. завод № 241 НКАП к 10.1942 г. переведен на площадку завода № 463 НКАП и влит в его состав.</w:t>
      </w:r>
    </w:p>
    <w:p w14:paraId="7486B4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в Москве действовал завод № 241.</w:t>
      </w:r>
      <w:r w:rsidRPr="008127F8">
        <w:rPr>
          <w:rFonts w:ascii="Times New Roman" w:hAnsi="Times New Roman"/>
          <w:color w:val="000000" w:themeColor="text1"/>
          <w:sz w:val="16"/>
          <w:szCs w:val="16"/>
          <w:vertAlign w:val="superscript"/>
        </w:rPr>
        <w:t>129</w:t>
      </w:r>
    </w:p>
    <w:p w14:paraId="6EB5B8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А.Н. Рафаэлянц.</w:t>
      </w:r>
    </w:p>
    <w:p w14:paraId="4C6F25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А.Н. Рафаэлянц.</w:t>
      </w:r>
    </w:p>
    <w:p w14:paraId="5EFE65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планеры: КЦ-2 (1941)- 2, А-7.</w:t>
      </w:r>
    </w:p>
    <w:p w14:paraId="607F72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гл. конструктора </w:t>
      </w:r>
      <w:r w:rsidRPr="008127F8">
        <w:rPr>
          <w:rFonts w:ascii="Times New Roman" w:hAnsi="Times New Roman"/>
          <w:color w:val="000000" w:themeColor="text1"/>
          <w:sz w:val="16"/>
          <w:szCs w:val="16"/>
          <w:lang w:val="en-US"/>
        </w:rPr>
        <w:t>O</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Антонова при заводе № 241 НКАП</w:t>
      </w:r>
    </w:p>
    <w:p w14:paraId="146932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модификации планеров А-7, А-2.</w:t>
      </w:r>
    </w:p>
    <w:p w14:paraId="22C29B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1EE5E8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223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 было письмо Начальнику отдела вооружений Управления эксплуатации и ремонта ВВС КА военинженеру 1 ранга Лопатину от начальника 2 отдела Управ</w:t>
      </w:r>
      <w:r w:rsidRPr="008127F8">
        <w:rPr>
          <w:rFonts w:ascii="Times New Roman" w:hAnsi="Times New Roman"/>
          <w:color w:val="000000" w:themeColor="text1"/>
          <w:sz w:val="16"/>
          <w:szCs w:val="16"/>
        </w:rPr>
        <w:softHyphen/>
        <w:t>ления заказов вооружения и боеприпасов ГУЗиТС ВВС КА военинженера 1 ранга Стрельникова от: «В части ВВС КА начина</w:t>
      </w:r>
      <w:r w:rsidRPr="008127F8">
        <w:rPr>
          <w:rFonts w:ascii="Times New Roman" w:hAnsi="Times New Roman"/>
          <w:color w:val="000000" w:themeColor="text1"/>
          <w:sz w:val="16"/>
          <w:szCs w:val="16"/>
        </w:rPr>
        <w:softHyphen/>
        <w:t>ют поступать РОФС-132. Между тем в частях до сих пор нет инструкции по назначению и боевому применению РОФС-132. Сообщаю для сведе</w:t>
      </w:r>
      <w:r w:rsidRPr="008127F8">
        <w:rPr>
          <w:rFonts w:ascii="Times New Roman" w:hAnsi="Times New Roman"/>
          <w:color w:val="000000" w:themeColor="text1"/>
          <w:sz w:val="16"/>
          <w:szCs w:val="16"/>
        </w:rPr>
        <w:softHyphen/>
        <w:t>ния назначение и метод боевого применения РОФС-132 и РО-132 на самолетах Ил-2. Эти сведения прошу сообщить частям ВВС для руководст</w:t>
      </w:r>
      <w:r w:rsidRPr="008127F8">
        <w:rPr>
          <w:rFonts w:ascii="Times New Roman" w:hAnsi="Times New Roman"/>
          <w:color w:val="000000" w:themeColor="text1"/>
          <w:sz w:val="16"/>
          <w:szCs w:val="16"/>
        </w:rPr>
        <w:softHyphen/>
        <w:t>ва Д° выхода из печати инструкции.</w:t>
      </w:r>
    </w:p>
    <w:p w14:paraId="39BD68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РОФС-132 предназначен для поражения следующих целей: танки, бронемашины, автомобильный, железнодорожный, речной и морской транспорт, суда специального назначения, временные и стационарные деревянные постройки, ангары и другие сооружения. Стрельба произво</w:t>
      </w:r>
      <w:r w:rsidRPr="008127F8">
        <w:rPr>
          <w:rFonts w:ascii="Times New Roman" w:hAnsi="Times New Roman"/>
          <w:color w:val="000000" w:themeColor="text1"/>
          <w:sz w:val="16"/>
          <w:szCs w:val="16"/>
        </w:rPr>
        <w:softHyphen/>
        <w:t>дится только прицельно с дистанций не менее 800 м.</w:t>
      </w:r>
    </w:p>
    <w:p w14:paraId="3258F3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Порядок подготовки РОФС-132 к стрельбе и зарядка орудий анало</w:t>
      </w:r>
      <w:r w:rsidRPr="008127F8">
        <w:rPr>
          <w:rFonts w:ascii="Times New Roman" w:hAnsi="Times New Roman"/>
          <w:color w:val="000000" w:themeColor="text1"/>
          <w:sz w:val="16"/>
          <w:szCs w:val="16"/>
        </w:rPr>
        <w:softHyphen/>
        <w:t>гичны подготовке к стрельбе РБС-132 с дополнениями:</w:t>
      </w:r>
    </w:p>
    <w:p w14:paraId="1977CA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Проверить наличие пиропатронов ПП-4 в гнездах пиросвечей на переднем пояске ракетной камеры, для чего необходимо отвернуть проб</w:t>
      </w:r>
      <w:r w:rsidRPr="008127F8">
        <w:rPr>
          <w:rFonts w:ascii="Times New Roman" w:hAnsi="Times New Roman"/>
          <w:color w:val="000000" w:themeColor="text1"/>
          <w:sz w:val="16"/>
          <w:szCs w:val="16"/>
        </w:rPr>
        <w:softHyphen/>
        <w:t>ку свечи с контактом и убедиться в наличии там пиропатронов. Ели пи</w:t>
      </w:r>
      <w:r w:rsidRPr="008127F8">
        <w:rPr>
          <w:rFonts w:ascii="Times New Roman" w:hAnsi="Times New Roman"/>
          <w:color w:val="000000" w:themeColor="text1"/>
          <w:sz w:val="16"/>
          <w:szCs w:val="16"/>
        </w:rPr>
        <w:softHyphen/>
        <w:t>ропатронов ПП-4 на месте не окажется, их надо поставить и завернуть контактную пробку пиросвечи. При этом необходимо строго соблюдать, чтобы контактная пробка создавала надежный контакт с пиропатроном и одновременно сама не утапливалась в корпус пиросвечи ниже поло</w:t>
      </w:r>
      <w:r w:rsidRPr="008127F8">
        <w:rPr>
          <w:rFonts w:ascii="Times New Roman" w:hAnsi="Times New Roman"/>
          <w:color w:val="000000" w:themeColor="text1"/>
          <w:sz w:val="16"/>
          <w:szCs w:val="16"/>
        </w:rPr>
        <w:softHyphen/>
        <w:t>женного уровня, обеспечивающего надежный контакт с латунными ко</w:t>
      </w:r>
      <w:r w:rsidRPr="008127F8">
        <w:rPr>
          <w:rFonts w:ascii="Times New Roman" w:hAnsi="Times New Roman"/>
          <w:color w:val="000000" w:themeColor="text1"/>
          <w:sz w:val="16"/>
          <w:szCs w:val="16"/>
        </w:rPr>
        <w:softHyphen/>
        <w:t>лодками на ракетном орудии.</w:t>
      </w:r>
    </w:p>
    <w:p w14:paraId="239496A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Если снаряды пришли в часть без переходных втулок под взрыва</w:t>
      </w:r>
      <w:r w:rsidRPr="008127F8">
        <w:rPr>
          <w:rFonts w:ascii="Times New Roman" w:hAnsi="Times New Roman"/>
          <w:color w:val="000000" w:themeColor="text1"/>
          <w:sz w:val="16"/>
          <w:szCs w:val="16"/>
        </w:rPr>
        <w:softHyphen/>
        <w:t>тели АМ-А, то последние необходимо получить, ввернуть в очко головки РОФС-132 и законтрить стопорным винтом.</w:t>
      </w:r>
    </w:p>
    <w:p w14:paraId="1663C7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головное очко вложить дополнительно тетриловую шашку дли</w:t>
      </w:r>
      <w:r w:rsidRPr="008127F8">
        <w:rPr>
          <w:rFonts w:ascii="Times New Roman" w:hAnsi="Times New Roman"/>
          <w:color w:val="000000" w:themeColor="text1"/>
          <w:sz w:val="16"/>
          <w:szCs w:val="16"/>
        </w:rPr>
        <w:softHyphen/>
        <w:t>ной 15 мм и ввернуть взрыватель АМ-А, после чего снаряд считается окончательно снаряженным и готовым к действию.</w:t>
      </w:r>
    </w:p>
    <w:p w14:paraId="0CD9184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Ввиду увеличенной длины снаряда, крыльчатка взрывателя АМ-А в РОФС-132 выходит за передний срез РО-132 и контровка ее к ракетно</w:t>
      </w:r>
      <w:r w:rsidRPr="008127F8">
        <w:rPr>
          <w:rFonts w:ascii="Times New Roman" w:hAnsi="Times New Roman"/>
          <w:color w:val="000000" w:themeColor="text1"/>
          <w:sz w:val="16"/>
          <w:szCs w:val="16"/>
        </w:rPr>
        <w:softHyphen/>
        <w:t>му орудию может производиться либо специально изготовленной прово</w:t>
      </w:r>
      <w:r w:rsidRPr="008127F8">
        <w:rPr>
          <w:rFonts w:ascii="Times New Roman" w:hAnsi="Times New Roman"/>
          <w:color w:val="000000" w:themeColor="text1"/>
          <w:sz w:val="16"/>
          <w:szCs w:val="16"/>
        </w:rPr>
        <w:softHyphen/>
        <w:t>лочной вилкой (из рояльной проволоки) или тонкой вязальной проволо</w:t>
      </w:r>
      <w:r w:rsidRPr="008127F8">
        <w:rPr>
          <w:rFonts w:ascii="Times New Roman" w:hAnsi="Times New Roman"/>
          <w:color w:val="000000" w:themeColor="text1"/>
          <w:sz w:val="16"/>
          <w:szCs w:val="16"/>
        </w:rPr>
        <w:softHyphen/>
        <w:t>кой. Для крепления контровочной вилки или вязальной проволоки, на вертикальных стенках переднего торца РО-132 необходимо просвер</w:t>
      </w:r>
      <w:r w:rsidRPr="008127F8">
        <w:rPr>
          <w:rFonts w:ascii="Times New Roman" w:hAnsi="Times New Roman"/>
          <w:color w:val="000000" w:themeColor="text1"/>
          <w:sz w:val="16"/>
          <w:szCs w:val="16"/>
        </w:rPr>
        <w:softHyphen/>
        <w:t>лить два отверстия диаметром 3-4 мм.</w:t>
      </w:r>
    </w:p>
    <w:p w14:paraId="7F84C5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Контровку крыльчатки АМ-А к РО-132 вязальной проволокой про</w:t>
      </w:r>
      <w:r w:rsidRPr="008127F8">
        <w:rPr>
          <w:rFonts w:ascii="Times New Roman" w:hAnsi="Times New Roman"/>
          <w:color w:val="000000" w:themeColor="text1"/>
          <w:sz w:val="16"/>
          <w:szCs w:val="16"/>
        </w:rPr>
        <w:softHyphen/>
        <w:t>изводить не более как двумя нитями проволоки, причем за противопо</w:t>
      </w:r>
      <w:r w:rsidRPr="008127F8">
        <w:rPr>
          <w:rFonts w:ascii="Times New Roman" w:hAnsi="Times New Roman"/>
          <w:color w:val="000000" w:themeColor="text1"/>
          <w:sz w:val="16"/>
          <w:szCs w:val="16"/>
        </w:rPr>
        <w:softHyphen/>
        <w:t>ложные лопасти крыльчатки. После зарядки РО-132 снарядами РОФС-132, каждый из них визуально проверяется на надежность соеди</w:t>
      </w:r>
      <w:r w:rsidRPr="008127F8">
        <w:rPr>
          <w:rFonts w:ascii="Times New Roman" w:hAnsi="Times New Roman"/>
          <w:color w:val="000000" w:themeColor="text1"/>
          <w:sz w:val="16"/>
          <w:szCs w:val="16"/>
        </w:rPr>
        <w:softHyphen/>
        <w:t xml:space="preserve">нения контакта пробки пиросвечей </w:t>
      </w:r>
      <w:proofErr w:type="gramStart"/>
      <w:r w:rsidRPr="008127F8">
        <w:rPr>
          <w:rFonts w:ascii="Times New Roman" w:hAnsi="Times New Roman"/>
          <w:color w:val="000000" w:themeColor="text1"/>
          <w:sz w:val="16"/>
          <w:szCs w:val="16"/>
        </w:rPr>
        <w:t>к контактной колодкой</w:t>
      </w:r>
      <w:proofErr w:type="gramEnd"/>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lastRenderedPageBreak/>
        <w:t>на РО-132. Если контакта между колодкой РО и пиросвечей нет, необходимо снаряд снять с РО, вывернуть контактные пробки пиросвечей, положить под за</w:t>
      </w:r>
      <w:r w:rsidRPr="008127F8">
        <w:rPr>
          <w:rFonts w:ascii="Times New Roman" w:hAnsi="Times New Roman"/>
          <w:color w:val="000000" w:themeColor="text1"/>
          <w:sz w:val="16"/>
          <w:szCs w:val="16"/>
        </w:rPr>
        <w:softHyphen/>
        <w:t>плечики пиропатрона кольцевые прокладки-шайбы из миллиметровой Проволоки и завернуть пробки обратно. Картонные тарели извлекать из выходного отверстия сопла категорически запрещается.</w:t>
      </w:r>
    </w:p>
    <w:p w14:paraId="23A97A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Стрельбу РОФС-132 с самолета необходимо вести как правило, оди</w:t>
      </w:r>
      <w:r w:rsidRPr="008127F8">
        <w:rPr>
          <w:rFonts w:ascii="Times New Roman" w:hAnsi="Times New Roman"/>
          <w:color w:val="000000" w:themeColor="text1"/>
          <w:sz w:val="16"/>
          <w:szCs w:val="16"/>
        </w:rPr>
        <w:softHyphen/>
        <w:t xml:space="preserve">ночно или залпами по два снаряда. Стрельбу залпами по четыре </w:t>
      </w:r>
      <w:proofErr w:type="gramStart"/>
      <w:r w:rsidRPr="008127F8">
        <w:rPr>
          <w:rFonts w:ascii="Times New Roman" w:hAnsi="Times New Roman"/>
          <w:color w:val="000000" w:themeColor="text1"/>
          <w:sz w:val="16"/>
          <w:szCs w:val="16"/>
        </w:rPr>
        <w:t>снаряда Разрешается</w:t>
      </w:r>
      <w:proofErr w:type="gramEnd"/>
      <w:r w:rsidRPr="008127F8">
        <w:rPr>
          <w:rFonts w:ascii="Times New Roman" w:hAnsi="Times New Roman"/>
          <w:color w:val="000000" w:themeColor="text1"/>
          <w:sz w:val="16"/>
          <w:szCs w:val="16"/>
        </w:rPr>
        <w:t xml:space="preserve"> вести как исключение, когда цель имеет весьма важное зна</w:t>
      </w:r>
      <w:r w:rsidRPr="008127F8">
        <w:rPr>
          <w:rFonts w:ascii="Times New Roman" w:hAnsi="Times New Roman"/>
          <w:color w:val="000000" w:themeColor="text1"/>
          <w:sz w:val="16"/>
          <w:szCs w:val="16"/>
        </w:rPr>
        <w:softHyphen/>
        <w:t>чение, и поражение ее более мощным залпом диктуется тактическими соображениями. Боевая дистанция стрельбы РОФС-132 должна быть не менее 800 м, так как ее уменьшение для самолетов-штурмовиков может повлечь за собой поражение осколками снаряда.</w:t>
      </w:r>
    </w:p>
    <w:p w14:paraId="37C788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стрельбы РОФС-132 самолетами, идущими в строю брею</w:t>
      </w:r>
      <w:r w:rsidRPr="008127F8">
        <w:rPr>
          <w:rFonts w:ascii="Times New Roman" w:hAnsi="Times New Roman"/>
          <w:color w:val="000000" w:themeColor="text1"/>
          <w:sz w:val="16"/>
          <w:szCs w:val="16"/>
        </w:rPr>
        <w:softHyphen/>
        <w:t>щим полетом, интервал между ведомым и ведущим по фронту должен быть не менее 60 м, а дистанция в глубину строя — не более 100 м. Ввиду отсутствия специальных баллистических таблиц, определение прицель</w:t>
      </w:r>
      <w:r w:rsidRPr="008127F8">
        <w:rPr>
          <w:rFonts w:ascii="Times New Roman" w:hAnsi="Times New Roman"/>
          <w:color w:val="000000" w:themeColor="text1"/>
          <w:sz w:val="16"/>
          <w:szCs w:val="16"/>
        </w:rPr>
        <w:softHyphen/>
        <w:t>ных данных при стрельбе РОФС-132 по наземных целям производится согласно баллистических таблиц стрельбы РБС-132» (11402).</w:t>
      </w:r>
    </w:p>
    <w:p w14:paraId="7CBF99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954A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CE236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5B760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года вышел приказ № 41с НКБ (Челябинск).</w:t>
      </w:r>
    </w:p>
    <w:p w14:paraId="38CB1A2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наращения мощностей по производству 23 мм авиавыстрела:</w:t>
      </w:r>
    </w:p>
    <w:p w14:paraId="62B6DB2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Возобновить строительство завода № 546 в Краснодаре (5754, 57-56).</w:t>
      </w:r>
    </w:p>
    <w:p w14:paraId="1C03301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593E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года, когда были закончены основные строительные монтажные работы, Завод № 513 НКБ, эвакуированный из Ростова и 187 из Тулы вступил в строй. Директор – Середин. Адрес: Омск-20, поселок Буденного, п/я № 7 (9993).</w:t>
      </w:r>
    </w:p>
    <w:p w14:paraId="17C7FA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3C7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г. на заводе № 513 (этот день стал днем рождения завода) (Завод № 513 НКБ, Ростовское паевое товарищество «Жесть», Советско-австрийский завод «Жесть-Вестерн», Ростовский завод стальной эмалированной посуды, Завод «Эмальпосуда», Завод «Штамповщик», Омский телевизионный завод МРП, МПСС, Р-6135, ПО «Иртыш» МПСС, ФГУП «Омское ПО (ОмПО) «Иртыш» /г. Ростов-на-Дону;  г. Омск/ /644060  г. Омск ул. Гурьева, 18 тел. 41-72-67/) была выпущена первая партия гильз и звеньев для авиапушек, производство которых продолжалось всю войну и в послевоенные годы. После войны освоен также выпуск комплектующих для сельхозтехники, газовых плит, медицинских приборов.</w:t>
      </w:r>
    </w:p>
    <w:p w14:paraId="566FB9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в Ростове на старом месте создан завод № 359.</w:t>
      </w:r>
    </w:p>
    <w:p w14:paraId="173796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1958 г. завод перепрофилирован на выпуск радиотехнических изделий. В 1960 г. освоено производство аппаратуры радиосвязи, телевизоров, затем- станций и мобильных комплексов радиосвязи военного и гражданского назначения СДВ, СВ,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и УКВ диапазонов. С 1974 г.- производство приводных аэродромных радиостанций автомобильного и стационарного исполнения. В 1977 г. освоен выпуск цветных телевизоров. В 1978 г. начат выпуск автоматизированных телерадиовещательных станций.</w:t>
      </w:r>
    </w:p>
    <w:p w14:paraId="4A93EE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МРП № 160 от 24.03.1966 г. переименован в Омский телевизионный завод. Имел наименование «п/я Р-6135». 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в ведении Управления радиотехнической и электронной промышленности Западно- Сибирского совнархоза. По приказу МПСС от 28.11.1988 г. на базе Омского телевизионного завода создано ПО «Иртыш». В него вошли также: Тарский завод «Кварц», Исилькульский завод «Экран» и Черлакское производство.</w:t>
      </w:r>
    </w:p>
    <w:p w14:paraId="282069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1996 г. был прекращен выпуск телевизоров, всего их к этому времени было выпущено более 5 млн.</w:t>
      </w:r>
    </w:p>
    <w:p w14:paraId="7E8E5B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66AB2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w:t>
      </w:r>
      <w:proofErr w:type="gramStart"/>
      <w:r w:rsidRPr="008127F8">
        <w:rPr>
          <w:rFonts w:ascii="Times New Roman" w:hAnsi="Times New Roman"/>
          <w:color w:val="000000" w:themeColor="text1"/>
          <w:sz w:val="16"/>
          <w:szCs w:val="16"/>
        </w:rPr>
        <w:t>( 2005</w:t>
      </w:r>
      <w:proofErr w:type="gramEnd"/>
      <w:r w:rsidRPr="008127F8">
        <w:rPr>
          <w:rFonts w:ascii="Times New Roman" w:hAnsi="Times New Roman"/>
          <w:color w:val="000000" w:themeColor="text1"/>
          <w:sz w:val="16"/>
          <w:szCs w:val="16"/>
        </w:rPr>
        <w:t xml:space="preserve"> г.): приводные аэродромные радиостанции; профессиональные всеволновые радиоприемники и возбудители; УКВ мобильные и портативные радиостанции; ТНП (телевизоры, радиоприемники, электроводонагреватели).</w:t>
      </w:r>
    </w:p>
    <w:p w14:paraId="364BD3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(09.1941 г.)- 3284 чел., (12.1942 г.)- 3090 чел.,</w:t>
      </w:r>
      <w:r w:rsidRPr="008127F8">
        <w:rPr>
          <w:rFonts w:ascii="Times New Roman" w:hAnsi="Times New Roman"/>
          <w:color w:val="000000" w:themeColor="text1"/>
          <w:sz w:val="16"/>
          <w:szCs w:val="16"/>
          <w:vertAlign w:val="superscript"/>
        </w:rPr>
        <w:t>132</w:t>
      </w:r>
      <w:r w:rsidRPr="008127F8">
        <w:rPr>
          <w:rFonts w:ascii="Times New Roman" w:hAnsi="Times New Roman"/>
          <w:color w:val="000000" w:themeColor="text1"/>
          <w:sz w:val="16"/>
          <w:szCs w:val="16"/>
        </w:rPr>
        <w:t xml:space="preserve"> (15.09.1964 г.)- 3444 чел.</w:t>
      </w:r>
      <w:r w:rsidRPr="008127F8">
        <w:rPr>
          <w:rFonts w:ascii="Times New Roman" w:hAnsi="Times New Roman"/>
          <w:color w:val="000000" w:themeColor="text1"/>
          <w:sz w:val="16"/>
          <w:szCs w:val="16"/>
          <w:vertAlign w:val="superscript"/>
        </w:rPr>
        <w:t>80</w:t>
      </w:r>
    </w:p>
    <w:p w14:paraId="15EFFA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(1941-42 г.)- военинженер 1р Е.И. Дремух, (1968-97 г.-)- А.И. Фальчевскии. Гендиректор (2002 г.)- А.С. Дацков, (2005 г.)- В.А. Березовский.</w:t>
      </w:r>
    </w:p>
    <w:p w14:paraId="325F36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производству и ВЭД (2002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Аршинин.</w:t>
      </w:r>
    </w:p>
    <w:p w14:paraId="09CDA9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(1941 г.-)- А.И. Некрасов, (2002 г.)- В.А. Березовский.</w:t>
      </w:r>
    </w:p>
    <w:p w14:paraId="31F638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автоматизированная приводная аэродромная радиостанция ПАР-10 (-2002-06-); оборудование для телевидения и радиовещания (автоматизированные телевизионные радиостанции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и ДМВ диапазона; всеволновые радиоприемники «Ольхо-Гелиос-215», «Ольхон-Гелиос-М» (2005); радиоприемник ДВ-СВ-КВ-УКВ диапазонов «Скаляр» (2005); судовая радиостанция «Бирюза»; портативная радиостанция «Охта»; приемно- передающие устройства ПТ-100, ПВ-100; «Артек-Сириус» Р-170В; изд. Р-788, прибор 1-ОМ; комплект диагностики электрического и спецоборудования танка для Т-72, Т-80 (2005); оборудование для пищевой промышленности; газовое отопительное оборудование; телевизоры: «Спутник» (1959-), «Спутник-61», «Снежок», «Снежок-301, -302», «Кварц», «Кварц-301, -302, -303, -306, 40ТБ-308, 40ТБ-401, Ц-202»; радиоприемники: «Блюз РП-201», «Кварц РП-201»; репродуктор «Кварц-301» (11982).</w:t>
      </w:r>
    </w:p>
    <w:p w14:paraId="4DD48D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73735"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 2 по 11 февраля 1942 года на Копейском полигоне проходили испытания «установки 122-мм гаубицы на танке КВ-9». Всего было произведено 210 выстрелов, из них 171 на заводском полигоне лафетопробными снарядами и усиленными зарядами. Откат системы в пределах 560–580 мм был признан нормальным. В пределах нормы оказались и пробы воздуха, которые брались для определения загазованности боевого отделения при стрельбе. Остальные выстрелы производились уже на Копейском полигоне. Стрельба по щиту размером 5×5 метров, находившемуся на километровом расстоянии, оказалась вполне успешной – все снаряды попали в цель. Удовлетворительными оказались и результаты при стрельбе, в ходе которой проверялась кучность при переносе огня. С дистанции 600 метров щиты размером 1,25×1,25 метров были поражены.</w:t>
      </w:r>
    </w:p>
    <w:p w14:paraId="3D1DD60E"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Кроме того, 10 февраля на заводе №200 были проведены испытания на бронепробиваемость. Поскольку у М-30 бронебойных снарядов не было, были взяты снаряды от 122-мм корпусной пушки А-19. С дистанции 100 метров было произведено 4 выстрела по литой башне КВ-1. Каждый раз последовательно увеличивался заряд пороха (с 2100 до 2400 грамм), а начальная скорость снаряда повышалась с 525 до 573 м/с. Первый и четвертый выстрелы пробили башню и оказались внутри нее, второй и третий срикошетировали, выбив при этом пробку.</w:t>
      </w:r>
    </w:p>
    <w:p w14:paraId="3CA99CD8"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Это были вполне впечатляюще результаты. Но к КВ-9 набралось и претензий. Помимо малого максимального угла склонения орудия, его скорострельность составила всего 2 выстрела в минуту. Имелись претензии и к условиям работы заряжающего. Комиссия потребовала доработать бронировку орудия, нашлись и другие недочеты.</w:t>
      </w:r>
    </w:p>
    <w:p w14:paraId="51F2E86E"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Несмотря на обнаруженные недостатки, общий вердикт комиссии оказался положительным:</w:t>
      </w:r>
    </w:p>
    <w:p w14:paraId="6ECB9541"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Танк КВ-9 с установкой 122 мм гаубицы М-30 испытания выдержал и может быть принят на вооружение Красной Армии.</w:t>
      </w:r>
    </w:p>
    <w:p w14:paraId="1329E1E4"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При изготовлении опытной серии танка КВ-9 необходимо внести все переделки по обнаруженным недостаткам испытанного образца, обратив особое внимание на бронезащиту системы, укладку боеприпасов.</w:t>
      </w:r>
    </w:p>
    <w:p w14:paraId="48CBA44C"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Так как на испытаниях танковый образец 122 мм гаубицы М-30 дал положительные результаты, комиссия считает необходимым ускорить серийный выпуск танка КВ-9».</w:t>
      </w:r>
    </w:p>
    <w:p w14:paraId="476AC17D"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 заводе №8, который в феврале 1942 года был выделен из УЗТМ, начала подготовка к выпуску установочной партии танковых гаубиц У-11. Между тем, в конце февраля начались серьезные разбирательства между ГАУ и </w:t>
      </w:r>
      <w:hyperlink r:id="rId39" w:history="1">
        <w:r w:rsidRPr="008127F8">
          <w:rPr>
            <w:rFonts w:ascii="Times New Roman" w:eastAsia="Times New Roman" w:hAnsi="Times New Roman"/>
            <w:color w:val="000000" w:themeColor="text1"/>
            <w:sz w:val="16"/>
            <w:szCs w:val="16"/>
            <w:lang w:eastAsia="ru-RU"/>
          </w:rPr>
          <w:t>Народным комиссариатом танковой промышленности</w:t>
        </w:r>
      </w:hyperlink>
      <w:r w:rsidRPr="008127F8">
        <w:rPr>
          <w:rFonts w:ascii="Times New Roman" w:eastAsia="Times New Roman" w:hAnsi="Times New Roman"/>
          <w:color w:val="000000" w:themeColor="text1"/>
          <w:sz w:val="16"/>
          <w:szCs w:val="16"/>
          <w:lang w:eastAsia="ru-RU"/>
        </w:rPr>
        <w:t xml:space="preserve"> (НКТП). Изучение результатов испытаний Арткомом ГАУ выявило щекотливый нюанс. При стрельбе бронебойными снарядами давление в канале ствола достигало 3500–4000 кг/см2 при штатном значении 2350 кг/см2. Это было совершенно недопустимо, интенсивная стрельба таким зарядом могла привести к разрушению поршневого затвора. А при использовании допустимого заряда начальная скорость бронебойного снаряда составила бы всего 432 м/с. В результате бронепробитие У-11 оказывалось хуже аналогичного показателя ЗИС-5. Единственным преимуществом У-11 становилось лишь большее фугасное действие осколочно-фугасного боеприпаса. Поэтому Артком ГАУ посчитал нецелесообразным установку У-11 в КВ-1, лишний раз напомнив, что эта система является инициативой НКТП (17680).</w:t>
      </w:r>
    </w:p>
    <w:p w14:paraId="658DB5FE"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1E69AA0" w14:textId="77777777" w:rsidR="00221F61" w:rsidRPr="008127F8" w:rsidRDefault="00221F6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 2 по 11 февраля 1942 на Корейском Полигоне проводились испытания КВ-9. В ходе изучения опытного образца КВ-9 выяснилось, что реальный угол снижения орудия составляет всего -2 градуса. За время испытаний было произведено 210 выстрелов, из них 171 на заводском полигоне лафетопробными снарядами и усиленными зарядами. Стрельба показала, что скорострельность составила 2 выстрела в минуту, что, откровенно говоря, маловато. Проблему можно было решить введением второго заряжающего, но девать его попросту оказалось некуда.</w:t>
      </w:r>
    </w:p>
    <w:p w14:paraId="26C6C31E" w14:textId="77777777" w:rsidR="00221F61" w:rsidRPr="008127F8" w:rsidRDefault="00221F6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Надо сказать, что сама система, в отличие от танка, куда ее поставили, получилась вполне удачной. Откат системы в пределах 560–580 мм был признан нормальным. В пределах нормы оказались и пробы воздуха, которые брались для определения загазованности боевого отделения при стрельбе. Вполне успешно были проведены стрельбы по щиту 5Х5 метров, с дистанции в километр все выстрелы попали в цель. Такие же результаты были получены при стрельбе по щиту размером 1,25Х1,25 метра на дистанции 600 метров. Самое интересное, что были проведены испытания и по бронепробиваемости. Отсутствие бронебойных снарядов компенсировали использованием боеприпасов от 122-мм корпусной пушки А-19. На дистанции в 300 метров была пробита цементированная плита толщиной 76 мм. Также с дистанции 100 метров было произведено 4 выстрела по литой башне КВ-1. Первый и четвертый выстрелы пробили башню и оказались внутри нее, второй и третий срикошетировали, выбив при этом пробку. Казалось бы, результаты вполне успешные, ГАБТУ КА и НКТП воспользовались результатами испытаний, дав заказ на выпуск установочной партии орудий. Но к в конце февраля своё веское слово высказало руководство ГАУ КА (Главное Артиллерийское Управление Красной Армии). </w:t>
      </w:r>
      <w:r w:rsidRPr="008127F8">
        <w:rPr>
          <w:rFonts w:ascii="Times New Roman" w:eastAsia="Times New Roman" w:hAnsi="Times New Roman"/>
          <w:color w:val="000000" w:themeColor="text1"/>
          <w:sz w:val="16"/>
          <w:szCs w:val="16"/>
          <w:lang w:eastAsia="ru-RU"/>
        </w:rPr>
        <w:lastRenderedPageBreak/>
        <w:t>Там изучили отчет, после чего оказались в легком недоумении. Мало того, что стрельба велась нештатным боеприпасом, так еще и усиленным зарядом. В результате при штатном значении давления в канале ствола 2350 кг/см2 оно достигало 3500–4000 кг/см2. Таких издевательств поршневой затвор долго бы не выдержал.</w:t>
      </w:r>
    </w:p>
    <w:p w14:paraId="32382B51" w14:textId="77777777" w:rsidR="00221F61" w:rsidRPr="008127F8" w:rsidRDefault="00221F6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Несмотря на спорные результаты испытаний, ГАБТУ КА и НКТП дали указание о выпуске установочной партии У-11 (20860).</w:t>
      </w:r>
    </w:p>
    <w:p w14:paraId="2FE29EF7" w14:textId="77777777" w:rsidR="00221F61" w:rsidRPr="008127F8" w:rsidRDefault="00221F61" w:rsidP="001E0A84">
      <w:pPr>
        <w:spacing w:after="0" w:line="240" w:lineRule="auto"/>
        <w:jc w:val="both"/>
        <w:rPr>
          <w:rFonts w:ascii="Times New Roman" w:eastAsia="Times New Roman" w:hAnsi="Times New Roman"/>
          <w:color w:val="000000" w:themeColor="text1"/>
          <w:sz w:val="16"/>
          <w:szCs w:val="16"/>
          <w:lang w:eastAsia="ru-RU"/>
        </w:rPr>
      </w:pPr>
    </w:p>
    <w:p w14:paraId="088BCC76"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 2 февраля 1942 года начался выпуск корпусов и башен Т-60 в Саратове. Завод №180 (Саратовский вагоноремонтный завод), куда в 1941 году был частично эвакуирован и Ижорский завод, стал последним предприятием, задействованным в производстве корпусов Т-60. Изначально в Саратове должны были обеспечивать корпусами выпуск Т-50, но после снятия этого танка с вооружения была получена команда готовиться к работам по Т-60.</w:t>
      </w:r>
    </w:p>
    <w:p w14:paraId="762F6FA7"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самого начала завод №180 производил корпуса и башни с утолщённой броней, за февраль удалось выпустить 50 комплектов. Примечательно, что февральская программа была выполнена из остатков брони, предназначенной для танка Т-50, причём кормовой лист Т-60, выпущенных в Саратове в это время, имел толщину 20 мм (вместо 25 мм), днище — 8 мм (вместо 6), а лобовые детали — 37 мм (вместо 35). Неприятной деталью стало то, что большинство бронекорпусов завода №180 оказалось с трещинами (68% от всех корпусов). Аналогичные нарекания имелись и относительно корпусов, изготовленных заводом №177.</w:t>
      </w:r>
    </w:p>
    <w:p w14:paraId="14DB60FE"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Как показали испытания, проведённые на заводе «Красный Октябрь», подобные мучения с организацией производства экранированных и утолщённых корпусов были оправданны. В лобовой проекции Т-60 стал «держать» пули крупнокалиберных пулеметов со всех дистанций. Резко снизились шансы поражения танка из противотанковых ружей. Более того, дальность эффективного огоня по Т-60 из противотанковой пушки 3.7 cm Pak уменьшилась до дистанции 650 метров. Хотя эта пушка к весне 1942 года в Вермахте активно заменялась более мощными орудиями, тем не менее вероятность встретить её на поле боя для Т-60 оставалась очень высокой. Кроме того, советский танк с лобовой проекции теперь оказался не по зубам и орудию танка </w:t>
      </w:r>
      <w:hyperlink r:id="rId40" w:history="1">
        <w:r w:rsidRPr="008127F8">
          <w:rPr>
            <w:rFonts w:ascii="Times New Roman" w:eastAsia="Times New Roman" w:hAnsi="Times New Roman"/>
            <w:color w:val="000000" w:themeColor="text1"/>
            <w:sz w:val="16"/>
            <w:szCs w:val="16"/>
            <w:lang w:eastAsia="ru-RU"/>
          </w:rPr>
          <w:t>Pz.Kpfw.II</w:t>
        </w:r>
      </w:hyperlink>
      <w:r w:rsidRPr="008127F8">
        <w:rPr>
          <w:rFonts w:ascii="Times New Roman" w:eastAsia="Times New Roman" w:hAnsi="Times New Roman"/>
          <w:color w:val="000000" w:themeColor="text1"/>
          <w:sz w:val="16"/>
          <w:szCs w:val="16"/>
          <w:lang w:eastAsia="ru-RU"/>
        </w:rPr>
        <w:t>. Одним словом, модернизированный Т-60 для немцев и их союзников стал гораздо более опасным противником (17672).</w:t>
      </w:r>
    </w:p>
    <w:p w14:paraId="3F24A58C" w14:textId="77777777" w:rsidR="006B6660" w:rsidRPr="008127F8" w:rsidRDefault="006B66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EFCB5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первые серийные тридцатьчетверки, вооруженные огнеметом АТО-41 и получившие обозначение ТО-34, которые были изготовлены на СТЗ в январе 1942, были отгружены на Юго-Западный фронт. Позже к выпуску ТО-34 подключились заводы № 112 и № 183, но объем производства огнеметных танков был невелик.</w:t>
      </w:r>
    </w:p>
    <w:p w14:paraId="3957CC00"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Огнеметный танк ТО-34 представлял собой обычный танк Т-34, у которого в передней части вместо пулемета в лобовом листе корпуса монтировался поршневой пороховой огнемет АТО-41 и резервуар емкостью 105 литров для огнесме- си. При этом на танке не предусматривалась установка радиостанции, так как для нее не оставалось места, а экипаж сокращался до трех человек. Углы обстрела огнемета по вертикали составляли от -2 до +10 градусов, по горизонтали в пределах 7,5 градусов. Управлял действиями огнемета механик-водитель, что значительно снижало эффективность действия, так как часто водитель не мог отвлечься для стрельбы из огнемета.</w:t>
      </w:r>
    </w:p>
    <w:p w14:paraId="7839F34A"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Выбрасывание струи, как уже говорилось, велось при помощи пороховых газов. Перезарядка огнемета и подача следующего патрона производилась автоматически, под давлением гидравлического напора огнесмеси, создаваемого в резервуаре. Воздух давлением 150 атмосфер из баллона попадал в понижающий редуктор, в котором давление падало до 4 атмосфер, после чего он поступал в резервуар с огнесмесью. При этом часть воздуха проходила через второй понижающий редуктор (давление снижалось до 7-8 атмосфер) и попадала в бензобак. Под давлением сжатого воздуха огнесмесь поступала в рабочий цилиндр огнемета. При нажатии на спусковую скобу на электродах запальных свечей зажигалки появлялась искра, которая воспламеняла бензин, выбрасываемый через форсунки. При воспламенении заряда пороховые газы под давлением примерно 30 атмосфер давили на поршень и выбрасывали огнесмесь через насадку. Проходя через горящий факел </w:t>
      </w:r>
      <w:proofErr w:type="gramStart"/>
      <w:r w:rsidRPr="008127F8">
        <w:rPr>
          <w:rFonts w:ascii="Times New Roman" w:hAnsi="Times New Roman"/>
          <w:color w:val="000000" w:themeColor="text1"/>
          <w:sz w:val="16"/>
          <w:szCs w:val="16"/>
        </w:rPr>
        <w:t>форсунки</w:t>
      </w:r>
      <w:proofErr w:type="gramEnd"/>
      <w:r w:rsidRPr="008127F8">
        <w:rPr>
          <w:rFonts w:ascii="Times New Roman" w:hAnsi="Times New Roman"/>
          <w:color w:val="000000" w:themeColor="text1"/>
          <w:sz w:val="16"/>
          <w:szCs w:val="16"/>
        </w:rPr>
        <w:t xml:space="preserve"> струя огнесме- си воспламенялась (12217).</w:t>
      </w:r>
    </w:p>
    <w:p w14:paraId="62374F2C"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7EE53D6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вышло Постановление ГКО № 1233 О производстве зарядных станций и зарядных агрегатов для НКО. (7021, 186-188,189-194).</w:t>
      </w:r>
    </w:p>
    <w:p w14:paraId="3B7159E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92E9D5" w14:textId="77777777" w:rsidR="0077406C" w:rsidRPr="008127F8" w:rsidRDefault="0077406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февраля</w:t>
      </w:r>
      <w:r w:rsidRPr="008127F8">
        <w:rPr>
          <w:rFonts w:ascii="Times New Roman" w:hAnsi="Times New Roman"/>
          <w:color w:val="000000" w:themeColor="text1"/>
          <w:sz w:val="16"/>
          <w:szCs w:val="16"/>
        </w:rPr>
        <w:t xml:space="preserve"> в 1942 году образовано ФГУП "Омское Производственное Объединение "Иртыш". Омский завод "Штамповщик" - так сначала называлось сегодняшнее ОмПО "Иртыш" - основан в 1942 году, когда в Омск были эвакуированы завод "Эмальпосуда" из Ростова-на-Дону и "Новая Тула" из Тулы. В годы войны завод выпускал гильзы и звенья для авиационных пушек. В послевоенный период был освоен выпуск мирной продукции: комплектующих для сельскохозяйственной техники, газовых плит, медицинских приборов, мебели для предприятий общественного питания, детских игрушек. В 1958 году постановлением Правительства предприятие переориентировано на выпуск радиотехнических изделий в том числе телевизионных приемников. Первая партия опытных телевизоров "Спутник" с диагональю 35см была собрана к 1 мая 1959 года. В этом же году предприятие переименовано в Омский телевизионный завод. С 1960 года начат серийный выпуск телевизоров. Сначала "Спутник", затем - "Снежок" трех модификаций, а с 1971 года - телевизоры "Кварц", отличающиеся высокой надежностью и пользовавшиеся популярностью и покупательским спросом по всей стране. Знаменитый телевизор "Кварц-40ТБ" на элементной базе третьего поколения был удостоен серебряной медали ВДНХ СССР. В том же 1960 году предприятием освоен и начат выпуск аппаратуры радиосвязи, а в дальнейшем станций и мобильных комплексов радиосвязи военного и гражданского назначения СДВ-СВ-КВ и УКВ диапазонов. С 1974 года предприятием начат выпуск приводных аэродромных радиостанций автомобильного и стационарного вариантов исполнения. В 1978 году предприятие осваивает выпуск автоматизированных телерадиовещательных станций, необходимых для организации </w:t>
      </w:r>
      <w:proofErr w:type="gramStart"/>
      <w:r w:rsidRPr="008127F8">
        <w:rPr>
          <w:rFonts w:ascii="Times New Roman" w:hAnsi="Times New Roman"/>
          <w:color w:val="000000" w:themeColor="text1"/>
          <w:sz w:val="16"/>
          <w:szCs w:val="16"/>
        </w:rPr>
        <w:t>высоко-качественного</w:t>
      </w:r>
      <w:proofErr w:type="gramEnd"/>
      <w:r w:rsidRPr="008127F8">
        <w:rPr>
          <w:rFonts w:ascii="Times New Roman" w:hAnsi="Times New Roman"/>
          <w:color w:val="000000" w:themeColor="text1"/>
          <w:sz w:val="16"/>
          <w:szCs w:val="16"/>
        </w:rPr>
        <w:t xml:space="preserve"> телевещания по всей территории СССР. В 1976г. предприятие по итогам пятилетки было награждено орденом "Знак Почета". В 1989 году заводу присвоен статус производственного объединения "Иртыш". В объединение входят: Омский телевизионный завод, Тарский завод "Кварц", Исилькульский завод "Экран" и Черлакское производство. Выпуск хлебопекарного оборудования начался в 1994 году совместно с французской фирмой "Бонгардт". Затем конструкторы ПО "Иртыш" доработали и усовершенствовали образцы изделий, и производство стало полностью самостоятельным. С 1998 года на предприятии производится газовое отопительное оборудование. В серийном производстве находятся котлы: газовый КОВГ-16-1 мощностью 16кВт и отопительный универсальный КОВУ-16-1, работающий на твердом топливе. С 1993 года налажен выпуск водонагревателей, номенклатура которых сегодня расширяется (15028).</w:t>
      </w:r>
    </w:p>
    <w:p w14:paraId="4D214DF8" w14:textId="77777777" w:rsidR="0077406C" w:rsidRPr="008127F8" w:rsidRDefault="0077406C" w:rsidP="001E0A84">
      <w:pPr>
        <w:spacing w:after="0" w:line="240" w:lineRule="auto"/>
        <w:jc w:val="both"/>
        <w:rPr>
          <w:rFonts w:ascii="Times New Roman" w:hAnsi="Times New Roman"/>
          <w:color w:val="000000" w:themeColor="text1"/>
          <w:sz w:val="16"/>
          <w:szCs w:val="16"/>
        </w:rPr>
      </w:pPr>
    </w:p>
    <w:p w14:paraId="11B908C6" w14:textId="2EBCF62A" w:rsidR="0077406C" w:rsidRPr="008127F8" w:rsidRDefault="0077406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февраля </w:t>
      </w:r>
      <w:proofErr w:type="gramStart"/>
      <w:r w:rsidRPr="008127F8">
        <w:rPr>
          <w:rFonts w:ascii="Times New Roman" w:hAnsi="Times New Roman"/>
          <w:color w:val="000000" w:themeColor="text1"/>
          <w:sz w:val="16"/>
          <w:szCs w:val="16"/>
        </w:rPr>
        <w:t>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на основании результатов испытаний нарком судостроительной промышленности И.И. Носенко и нарком ВМФ Н.Г. Кузнецов совместным приказом возложили на СКБ разработку и изготовление опытных образцов мины «ИА», объявив этот заказ «фронтовым». В целях ускорения разработки и проведения морских испытаний группа специалистов СКБ была командирована в г. Баку, где, собственно, и была разработана мина «ИА», и изготовлено 5 опытных образцов, полностью удовлетворяющих требованиям Минно-торпедного управления ВМФ. При прохождении над миной кораблей, в том числе размагниченных и даже деревянных, но с неразмагниченным двигателем, от акустических колебаний, излучаемых кораблем, срабатывал акустический канал, а от магнитного поля корабля срабатывал индукционный канал и замыкал цепь запала. Мины «ИА» весом 500 или 1000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(отличавшихся только зарядной камерой, содержащей 330–700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взрывчатого вещества соответственно), спускались на парашюте с самолета, устанавливались с торпедных катеров, или с подводных лодок, причем «ИА-1000» можно было устанавливать непосредственно из их торпедных аппаратов (15736).</w:t>
      </w:r>
    </w:p>
    <w:p w14:paraId="02925A11" w14:textId="77777777" w:rsidR="0077406C" w:rsidRPr="008127F8" w:rsidRDefault="0077406C" w:rsidP="001E0A84">
      <w:pPr>
        <w:spacing w:after="0" w:line="240" w:lineRule="auto"/>
        <w:jc w:val="both"/>
        <w:rPr>
          <w:rFonts w:ascii="Times New Roman" w:hAnsi="Times New Roman"/>
          <w:color w:val="000000" w:themeColor="text1"/>
          <w:sz w:val="16"/>
          <w:szCs w:val="16"/>
        </w:rPr>
      </w:pPr>
    </w:p>
    <w:p w14:paraId="4395F2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w:t>
      </w:r>
      <w:r w:rsidRPr="008127F8">
        <w:rPr>
          <w:rFonts w:ascii="Times New Roman" w:hAnsi="Times New Roman"/>
          <w:color w:val="000000" w:themeColor="text1"/>
          <w:sz w:val="16"/>
          <w:szCs w:val="16"/>
        </w:rPr>
        <w:softHyphen/>
        <w:t>ля 1942 г. по инициативе контр-адмирала И. И. Грена Военным со</w:t>
      </w:r>
      <w:r w:rsidRPr="008127F8">
        <w:rPr>
          <w:rFonts w:ascii="Times New Roman" w:hAnsi="Times New Roman"/>
          <w:color w:val="000000" w:themeColor="text1"/>
          <w:sz w:val="16"/>
          <w:szCs w:val="16"/>
        </w:rPr>
        <w:softHyphen/>
        <w:t>ветом КБФ было принято решение о постройке мор</w:t>
      </w:r>
      <w:r w:rsidRPr="008127F8">
        <w:rPr>
          <w:rFonts w:ascii="Times New Roman" w:hAnsi="Times New Roman"/>
          <w:color w:val="000000" w:themeColor="text1"/>
          <w:sz w:val="16"/>
          <w:szCs w:val="16"/>
        </w:rPr>
        <w:softHyphen/>
        <w:t>ских бронекатеров, самых крупных кораблей, спроек</w:t>
      </w:r>
      <w:r w:rsidRPr="008127F8">
        <w:rPr>
          <w:rFonts w:ascii="Times New Roman" w:hAnsi="Times New Roman"/>
          <w:color w:val="000000" w:themeColor="text1"/>
          <w:sz w:val="16"/>
          <w:szCs w:val="16"/>
        </w:rPr>
        <w:softHyphen/>
        <w:t>тированных и построенных заново в годы войны. Решение это предусматривало постройку десяти "ма</w:t>
      </w:r>
      <w:r w:rsidRPr="008127F8">
        <w:rPr>
          <w:rFonts w:ascii="Times New Roman" w:hAnsi="Times New Roman"/>
          <w:color w:val="000000" w:themeColor="text1"/>
          <w:sz w:val="16"/>
          <w:szCs w:val="16"/>
        </w:rPr>
        <w:softHyphen/>
        <w:t>лых морских мониторов", которые в дальнейшем именовались также "шхерными мониторами", а позднее — морскими бронекате</w:t>
      </w:r>
      <w:r w:rsidRPr="008127F8">
        <w:rPr>
          <w:rFonts w:ascii="Times New Roman" w:hAnsi="Times New Roman"/>
          <w:color w:val="000000" w:themeColor="text1"/>
          <w:sz w:val="16"/>
          <w:szCs w:val="16"/>
        </w:rPr>
        <w:softHyphen/>
        <w:t>рами (в отличие от речных бронекатеров пр. 1124 и 1125) (3898).</w:t>
      </w:r>
    </w:p>
    <w:p w14:paraId="6A7B64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3FA2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B5F65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0806C"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 февраля 1942 года Оперативная сводка Совинформбюро</w:t>
      </w:r>
    </w:p>
    <w:p w14:paraId="6ADB9642"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2 февраля</w:t>
      </w:r>
    </w:p>
    <w:p w14:paraId="052058D1"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2 февраля наши войска продолжали вести наступательные бои против немецко-фашистских войск.</w:t>
      </w:r>
    </w:p>
    <w:p w14:paraId="44FC00B3"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2 февраля</w:t>
      </w:r>
    </w:p>
    <w:p w14:paraId="12B3A467"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2 февраля наши войска на большинстве участков франта продолжали вести наступательные бои против немецко-фашистоких войск. На ряде участков фронта гитлеровцы переходили в контратаки, которые были отбиты. Противник понёс большие потери в технике и особенно в живой силе. Несколько дней назад наши войска оставили г. Феодосия.</w:t>
      </w:r>
    </w:p>
    <w:p w14:paraId="10B6C0F0"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1 февраля уничтожено 11 немецких самолётов. Наши потери 3 самолёта.</w:t>
      </w:r>
    </w:p>
    <w:p w14:paraId="4E146F88"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Наши корабли в Баревцовом море потопили три транспорта противника общим водоизмещением в 8.800 тонн.</w:t>
      </w:r>
    </w:p>
    <w:p w14:paraId="0107A507"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1 февраля частям нашей авиации уничтожено 6 немецких танков, 170 автомашин с пехотой и грузами, 35 повозок с боеприпасами, 22 орудия с прислугой, 9 зенитно-пулемётных точек, 3 миномёта, автоцистерна с горючим, уничтожено и до двух батальонов пехоты противника.</w:t>
      </w:r>
    </w:p>
    <w:p w14:paraId="1D52B13F" w14:textId="77777777" w:rsidR="00E82BA1" w:rsidRPr="008127F8" w:rsidRDefault="00E82BA1"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истекшую неделю с 25 по 31 января немецкая авиация потеряла 160 самолётов. Из них в воздушных боях сбито 58 самолётов, зенитным огнём  17, на аэродромах противника уничтожено 85 самолётов. Наши потеря за этот же период  39 самолётов (15024).</w:t>
      </w:r>
    </w:p>
    <w:p w14:paraId="08667E1B" w14:textId="77777777" w:rsidR="00E82BA1" w:rsidRPr="008127F8" w:rsidRDefault="00E82BA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083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 23-м полку начала формироваться эскадрилья легких штурмовиков на УТ1б. Ей командовал старший лейтенант В.А. Горячев (3955).</w:t>
      </w:r>
    </w:p>
    <w:p w14:paraId="31D3C5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ADB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ночь на 2 февраля 1942 к летному полю 54 сбап в районе Калуги неожиданно приблизились около двух десятков тяжелых истребителей Bf 110 с приглушенными моторами. Утром налет был повторен, а следующим вечером аэродром бомбили несколько Ju 88. В результате потери составили 7 самолетов, из которых 3 сгорели. После этого удара 54 сбап остался почти без самолетов. Уцелевшие машины в середине февраля передали в 511-й ббап, а личный состав 54-го авиаполка вывели в резерв. В мае 1942 г. оставшиеся экипажи отправились в 9-й запасной авиаполк, где прошли переподготовку и в дальнейшем летали на самолетах Пе-2 (4476).</w:t>
      </w:r>
    </w:p>
    <w:p w14:paraId="66C5D2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5FA48" w14:textId="77777777" w:rsidR="0043313E" w:rsidRPr="008127F8" w:rsidRDefault="004331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февраля</w:t>
      </w:r>
      <w:r w:rsidRPr="008127F8">
        <w:rPr>
          <w:rFonts w:ascii="Times New Roman" w:hAnsi="Times New Roman"/>
          <w:color w:val="000000" w:themeColor="text1"/>
          <w:sz w:val="16"/>
          <w:szCs w:val="16"/>
        </w:rPr>
        <w:t xml:space="preserve"> в 1942 году наши войска на большинстве участков фронта продолжали вести наступательные бои против немецко-фашистских войск. На ряде участков фронта гитлеровцы переходили в контратаки, которые были отбиты. Противник понес большие потери в технике и особенно в живой силе. Несколько дней назад наши войска оставили город Феодосия (15028).</w:t>
      </w:r>
    </w:p>
    <w:p w14:paraId="21FF8AD4" w14:textId="77777777" w:rsidR="0043313E" w:rsidRPr="008127F8" w:rsidRDefault="0043313E" w:rsidP="001E0A84">
      <w:pPr>
        <w:spacing w:after="0" w:line="240" w:lineRule="auto"/>
        <w:jc w:val="both"/>
        <w:rPr>
          <w:rFonts w:ascii="Times New Roman" w:hAnsi="Times New Roman"/>
          <w:color w:val="000000" w:themeColor="text1"/>
          <w:sz w:val="16"/>
          <w:szCs w:val="16"/>
        </w:rPr>
      </w:pPr>
    </w:p>
    <w:p w14:paraId="637DA55B"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63D72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5D9F3" w14:textId="77777777" w:rsidR="00AA0DF5" w:rsidRPr="008127F8" w:rsidRDefault="00AA0DF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Возобновились занятия в части высших учебных заведений столицы (18696).</w:t>
      </w:r>
    </w:p>
    <w:p w14:paraId="04671D77" w14:textId="77777777" w:rsidR="00AA0DF5" w:rsidRPr="008127F8" w:rsidRDefault="00AA0DF5" w:rsidP="001E0A84">
      <w:pPr>
        <w:spacing w:after="0" w:line="240" w:lineRule="auto"/>
        <w:jc w:val="both"/>
        <w:rPr>
          <w:rFonts w:ascii="Times New Roman" w:hAnsi="Times New Roman"/>
          <w:color w:val="000000" w:themeColor="text1"/>
          <w:sz w:val="16"/>
          <w:szCs w:val="16"/>
        </w:rPr>
      </w:pPr>
    </w:p>
    <w:p w14:paraId="02E21E1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вышло Постановление ГКО № 1234 О мероприятиях по предупреждению эпидемических заболеваний в стране и Красной Армии. (7021, 195-198).</w:t>
      </w:r>
    </w:p>
    <w:p w14:paraId="37A8691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454F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 сталинских лагерях погиб русский писатель и поэт Даниил Хармс (4962).</w:t>
      </w:r>
    </w:p>
    <w:p w14:paraId="36CBC49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30644C" w14:textId="0A4B3B8B" w:rsidR="006646AF" w:rsidRDefault="006646AF"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49298FDC" w14:textId="77777777" w:rsidR="006646AF" w:rsidRDefault="006646AF"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A80D25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февраля 1942 года из Москвы в Баку вылетел транспорт</w:t>
      </w:r>
      <w:r w:rsidRPr="008A2E5A">
        <w:rPr>
          <w:rFonts w:ascii="Times New Roman" w:hAnsi="Times New Roman"/>
          <w:color w:val="0070C0"/>
          <w:sz w:val="16"/>
          <w:szCs w:val="16"/>
        </w:rPr>
        <w:softHyphen/>
        <w:t>ный самолет с представителями Советской транспортной ко</w:t>
      </w:r>
      <w:r w:rsidRPr="008A2E5A">
        <w:rPr>
          <w:rFonts w:ascii="Times New Roman" w:hAnsi="Times New Roman"/>
          <w:color w:val="0070C0"/>
          <w:sz w:val="16"/>
          <w:szCs w:val="16"/>
        </w:rPr>
        <w:softHyphen/>
        <w:t>миссии в Иране. Сначала сели в Сталинграде, оттуда 3 февраля вылетели в Баку и уже оттуда — в Тегеран. Л. И. Зорин выехал в Бушир для организации работ по сборке, приемке и отправ</w:t>
      </w:r>
      <w:r w:rsidRPr="008A2E5A">
        <w:rPr>
          <w:rFonts w:ascii="Times New Roman" w:hAnsi="Times New Roman"/>
          <w:color w:val="0070C0"/>
          <w:sz w:val="16"/>
          <w:szCs w:val="16"/>
        </w:rPr>
        <w:softHyphen/>
        <w:t>ке в СССР грузовых автомашин. Авиаспециалисты во главе с И. С. Кормилицыным вылетели в Багдад (Ирак) для перегово</w:t>
      </w:r>
      <w:r w:rsidRPr="008A2E5A">
        <w:rPr>
          <w:rFonts w:ascii="Times New Roman" w:hAnsi="Times New Roman"/>
          <w:color w:val="0070C0"/>
          <w:sz w:val="16"/>
          <w:szCs w:val="16"/>
        </w:rPr>
        <w:softHyphen/>
        <w:t>ров о поставке вооружения и потом в Басру, где должна была начаться сборка самолетов (24342).</w:t>
      </w:r>
    </w:p>
    <w:p w14:paraId="1B11871B" w14:textId="77777777" w:rsidR="006646AF" w:rsidRPr="008A2E5A" w:rsidRDefault="006646AF" w:rsidP="006646AF">
      <w:pPr>
        <w:spacing w:after="0" w:line="240" w:lineRule="auto"/>
        <w:jc w:val="both"/>
        <w:rPr>
          <w:rFonts w:ascii="Times New Roman" w:hAnsi="Times New Roman"/>
          <w:color w:val="0070C0"/>
          <w:sz w:val="16"/>
          <w:szCs w:val="16"/>
        </w:rPr>
      </w:pPr>
    </w:p>
    <w:p w14:paraId="4241DEA6" w14:textId="59847280"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40761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6DA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был проведен эксперимент по взлету В-25 с авианосца (Хорнет) в рамках подготовки к операции Дулитла (2251).</w:t>
      </w:r>
    </w:p>
    <w:p w14:paraId="056F36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AD80D" w14:textId="77777777" w:rsidR="0077406C" w:rsidRPr="008127F8" w:rsidRDefault="0077406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февраля</w:t>
      </w:r>
      <w:r w:rsidRPr="008127F8">
        <w:rPr>
          <w:rFonts w:ascii="Times New Roman" w:hAnsi="Times New Roman"/>
          <w:color w:val="000000" w:themeColor="text1"/>
          <w:sz w:val="16"/>
          <w:szCs w:val="16"/>
        </w:rPr>
        <w:t xml:space="preserve"> в 1942 году был проведён пробный старт </w:t>
      </w:r>
      <w:hyperlink r:id="rId41" w:tgtFrame="_blank" w:history="1">
        <w:r w:rsidRPr="008127F8">
          <w:rPr>
            <w:rFonts w:ascii="Times New Roman" w:hAnsi="Times New Roman"/>
            <w:color w:val="000000" w:themeColor="text1"/>
            <w:sz w:val="16"/>
            <w:szCs w:val="16"/>
          </w:rPr>
          <w:t xml:space="preserve">«В-25В» </w:t>
        </w:r>
      </w:hyperlink>
      <w:r w:rsidRPr="008127F8">
        <w:rPr>
          <w:rFonts w:ascii="Times New Roman" w:hAnsi="Times New Roman"/>
          <w:color w:val="000000" w:themeColor="text1"/>
          <w:sz w:val="16"/>
          <w:szCs w:val="16"/>
        </w:rPr>
        <w:t>и подтверждена возможность взлёта бомбардировщика с палубы авианосца "Hornet" (15028).</w:t>
      </w:r>
    </w:p>
    <w:p w14:paraId="4D5F15CE" w14:textId="77777777" w:rsidR="0077406C" w:rsidRPr="008127F8" w:rsidRDefault="0077406C" w:rsidP="001E0A84">
      <w:pPr>
        <w:spacing w:after="0" w:line="240" w:lineRule="auto"/>
        <w:jc w:val="both"/>
        <w:rPr>
          <w:rFonts w:ascii="Times New Roman" w:hAnsi="Times New Roman"/>
          <w:color w:val="000000" w:themeColor="text1"/>
          <w:sz w:val="16"/>
          <w:szCs w:val="16"/>
        </w:rPr>
      </w:pPr>
    </w:p>
    <w:p w14:paraId="7F67321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февраля 1942 года чтобы проверить, возможен ли взлет B-25 с палубы авианосца, был осуществлен взлет двух B-25 с авианосца «Хорнет». Взлет прошел успешно, за штурвалами этих самолетов сидели летчики флота. Также в испытательных центрах были проведены расчеты и испытания на предмет того, сколько мог взять бомб и топлива B-25, при взлете с ограниченной площадки. Были проведены взлеты с коротких площадок и выработана методика таких взлетов.</w:t>
      </w:r>
    </w:p>
    <w:p w14:paraId="34F8CBE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Экипажи и самолеты для предстоящей операции на</w:t>
      </w:r>
      <w:r w:rsidRPr="008A2E5A">
        <w:rPr>
          <w:rFonts w:ascii="Times New Roman" w:hAnsi="Times New Roman"/>
          <w:color w:val="0070C0"/>
          <w:sz w:val="16"/>
          <w:szCs w:val="16"/>
        </w:rPr>
        <w:softHyphen/>
        <w:t>брали из 17-ой бомбардировочной группы. Эта группа была первой, полностью оснащенной бомбардировщи</w:t>
      </w:r>
      <w:r w:rsidRPr="008A2E5A">
        <w:rPr>
          <w:rFonts w:ascii="Times New Roman" w:hAnsi="Times New Roman"/>
          <w:color w:val="0070C0"/>
          <w:sz w:val="16"/>
          <w:szCs w:val="16"/>
        </w:rPr>
        <w:softHyphen/>
        <w:t>ками B-25, и ее летчики имели некоторый опыт полетов на них. Группа первоначально базировалась на базе Пен</w:t>
      </w:r>
      <w:r w:rsidRPr="008A2E5A">
        <w:rPr>
          <w:rFonts w:ascii="Times New Roman" w:hAnsi="Times New Roman"/>
          <w:color w:val="0070C0"/>
          <w:sz w:val="16"/>
          <w:szCs w:val="16"/>
        </w:rPr>
        <w:softHyphen/>
        <w:t>длтон (Орегон), а в начале войны ее перебазировали на базу Коламбию (Южная Каролина), где экипажи патрули</w:t>
      </w:r>
      <w:r w:rsidRPr="008A2E5A">
        <w:rPr>
          <w:rFonts w:ascii="Times New Roman" w:hAnsi="Times New Roman"/>
          <w:color w:val="0070C0"/>
          <w:sz w:val="16"/>
          <w:szCs w:val="16"/>
        </w:rPr>
        <w:softHyphen/>
        <w:t>ровали Атлантику в поисках немецких подводных лодок, правда, безуспешно.</w:t>
      </w:r>
    </w:p>
    <w:p w14:paraId="47B273F1"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операции брали только добровольцев, не рассказы</w:t>
      </w:r>
      <w:r w:rsidRPr="008A2E5A">
        <w:rPr>
          <w:rFonts w:ascii="Times New Roman" w:hAnsi="Times New Roman"/>
          <w:color w:val="0070C0"/>
          <w:sz w:val="16"/>
          <w:szCs w:val="16"/>
        </w:rPr>
        <w:softHyphen/>
        <w:t>вая цели и планов операции. Им объяснили, что операция будет рискованной и очень опасной. Для участия в опера</w:t>
      </w:r>
      <w:r w:rsidRPr="008A2E5A">
        <w:rPr>
          <w:rFonts w:ascii="Times New Roman" w:hAnsi="Times New Roman"/>
          <w:color w:val="0070C0"/>
          <w:sz w:val="16"/>
          <w:szCs w:val="16"/>
        </w:rPr>
        <w:softHyphen/>
        <w:t>ции добровольцев было больше, чем надо. Всего отобрали двадцать четыре экипажа и двадцать четыре самолета B-25 модификации B. В каждом экипаже было по пять человек: командир экипажа, второй пилот, бомбардир, штурман и бортинженер-стрелок. Четыре экипажа состояли из ко</w:t>
      </w:r>
      <w:r w:rsidRPr="008A2E5A">
        <w:rPr>
          <w:rFonts w:ascii="Times New Roman" w:hAnsi="Times New Roman"/>
          <w:color w:val="0070C0"/>
          <w:sz w:val="16"/>
          <w:szCs w:val="16"/>
        </w:rPr>
        <w:softHyphen/>
        <w:t>мандира экипажа, второго пилота, штурмана-бомбардира, бортинженера и стрелка. Также из 17-ой бомбардировоч</w:t>
      </w:r>
      <w:r w:rsidRPr="008A2E5A">
        <w:rPr>
          <w:rFonts w:ascii="Times New Roman" w:hAnsi="Times New Roman"/>
          <w:color w:val="0070C0"/>
          <w:sz w:val="16"/>
          <w:szCs w:val="16"/>
        </w:rPr>
        <w:softHyphen/>
        <w:t>ной группы взяли часть авиационных техников для обслу</w:t>
      </w:r>
      <w:r w:rsidRPr="008A2E5A">
        <w:rPr>
          <w:rFonts w:ascii="Times New Roman" w:hAnsi="Times New Roman"/>
          <w:color w:val="0070C0"/>
          <w:sz w:val="16"/>
          <w:szCs w:val="16"/>
        </w:rPr>
        <w:softHyphen/>
        <w:t>живания самолетов. Вначале не было еще понятно сколько самолетов примет участие в операции, это решили позже после проведения расчетов и пробных взлетов, но было ясно, что примут участие меньше 24-х самолетов. Однако набрав двадцать четыре экипажа и столько же самолетов, командование подстраховывалось на случай, если кто- то из основных экипажей заболеет перед вылетом (23348).</w:t>
      </w:r>
    </w:p>
    <w:p w14:paraId="2416D266" w14:textId="77777777" w:rsidR="006646AF" w:rsidRPr="008A2E5A" w:rsidRDefault="006646AF" w:rsidP="006646AF">
      <w:pPr>
        <w:spacing w:after="0" w:line="240" w:lineRule="auto"/>
        <w:jc w:val="both"/>
        <w:rPr>
          <w:rFonts w:ascii="Times New Roman" w:hAnsi="Times New Roman"/>
          <w:color w:val="0070C0"/>
          <w:sz w:val="16"/>
          <w:szCs w:val="16"/>
        </w:rPr>
      </w:pPr>
    </w:p>
    <w:p w14:paraId="53D46A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02 1942 Rationing of civilian cars begins in the US (1242).</w:t>
      </w:r>
    </w:p>
    <w:p w14:paraId="170D96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4693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в США были введены ограничения на продажу автомобилей (1242).</w:t>
      </w:r>
    </w:p>
    <w:p w14:paraId="51A442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518C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1942 правительство Канады начало интернирование канадских граждан японского происхождения (4962).</w:t>
      </w:r>
    </w:p>
    <w:p w14:paraId="7E1439C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A271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FBA91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699D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 в НИИ ВВС закончились.гос. испытания Ил-2 с убираемыми лыжами (ведущий летчик-испытатель - В.В.Лисицын, ведущий инженер - В.С.Холопов), которые проводились с 29 января 1941 и показали уменьшение скорости полета всего на 10-12 км/ч.</w:t>
      </w:r>
    </w:p>
    <w:p w14:paraId="55CED2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одноместный Ил-2 (зав. №181904) производства авиазавода № 18 на контрольных государственных ис</w:t>
      </w:r>
      <w:r w:rsidRPr="008127F8">
        <w:rPr>
          <w:rFonts w:ascii="Times New Roman" w:hAnsi="Times New Roman"/>
          <w:color w:val="000000" w:themeColor="text1"/>
          <w:sz w:val="16"/>
          <w:szCs w:val="16"/>
        </w:rPr>
        <w:softHyphen/>
        <w:t>пытаниях при полетном весе 5670 кг по</w:t>
      </w:r>
      <w:r w:rsidRPr="008127F8">
        <w:rPr>
          <w:rFonts w:ascii="Times New Roman" w:hAnsi="Times New Roman"/>
          <w:color w:val="000000" w:themeColor="text1"/>
          <w:sz w:val="16"/>
          <w:szCs w:val="16"/>
        </w:rPr>
        <w:softHyphen/>
        <w:t>казал максимальную скорость полета у земли 380 км/ч, на высоте 2300 м - 400 км/ч.</w:t>
      </w:r>
    </w:p>
    <w:p w14:paraId="7A7C46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этого же штурмовика на колесном шасси у зем</w:t>
      </w:r>
      <w:r w:rsidRPr="008127F8">
        <w:rPr>
          <w:rFonts w:ascii="Times New Roman" w:hAnsi="Times New Roman"/>
          <w:color w:val="000000" w:themeColor="text1"/>
          <w:sz w:val="16"/>
          <w:szCs w:val="16"/>
        </w:rPr>
        <w:softHyphen/>
        <w:t>ли составляла 391 км/ч, а на высоте 2300 м - 416 км/ч (6467).</w:t>
      </w:r>
    </w:p>
    <w:p w14:paraId="0CAB2F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07FA0"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 Из объяснительной записки к годовому отчету о работе завода № 387 за 1941 г. - о производственной деятельности и эвакуации завода в г. Казань</w:t>
      </w:r>
    </w:p>
    <w:p w14:paraId="113CE210"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387 был организован в Ленинграде в конце III квартала 1940 г. на базе двух заводов – завода им. Каракозова и завода Лентекстильмаш. […]</w:t>
      </w:r>
    </w:p>
    <w:p w14:paraId="67B9377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июле месяце 1941 г. завод по постановлению правительства был эвакуирован в г. Казань и размещен на территории бывшего завода № 169. Причем, за заводом № 387 была закреплена часть </w:t>
      </w:r>
      <w:proofErr w:type="gramStart"/>
      <w:r w:rsidRPr="008127F8">
        <w:rPr>
          <w:rFonts w:ascii="Times New Roman" w:hAnsi="Times New Roman"/>
          <w:color w:val="000000" w:themeColor="text1"/>
          <w:sz w:val="16"/>
          <w:szCs w:val="16"/>
        </w:rPr>
        <w:t>изделий</w:t>
      </w:r>
      <w:proofErr w:type="gramEnd"/>
      <w:r w:rsidRPr="008127F8">
        <w:rPr>
          <w:rFonts w:ascii="Times New Roman" w:hAnsi="Times New Roman"/>
          <w:color w:val="000000" w:themeColor="text1"/>
          <w:sz w:val="16"/>
          <w:szCs w:val="16"/>
        </w:rPr>
        <w:t xml:space="preserve"> ранее производимых заводом № 169 (нервюры к самолету ЛАГГ-3, запчасти к самолету И-15 бис).</w:t>
      </w:r>
    </w:p>
    <w:p w14:paraId="47926850"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Эвакуация завода была начата 23 июля. Первый эшелон вышел из Ленинграда 29 июля. Последний седьмой эшелон прибыл в Казань 22 августа.</w:t>
      </w:r>
    </w:p>
    <w:p w14:paraId="56B89DD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августа завод на новом месте начал выпуск продукции. Таким образом, весь эвакуационный период продолжался всего один месяц, а разрыв между прибытиями на новое место последнего эшелона и началом работы – 8 дней. […]</w:t>
      </w:r>
    </w:p>
    <w:p w14:paraId="038C976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эвакуации в г. Казань все основные материальные ценности были почти полностью вывезены. В Ленинграде из-за невозможности выехать остались: один эшелон с людьми и 5 с грузовыми машинами и 2-3 эшелона с лесоматериалами.</w:t>
      </w:r>
    </w:p>
    <w:p w14:paraId="439910C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восстановления эвакуированного завода база эвакуации (бывший завод № 169) обладала: всех площадей 25,964 кв. м, в том числе производственных 12091 кв. м, производственных площадей 20398 кв. м. Таким образом, производственных площадей на новом месте оказалось в два раза меньше. […]</w:t>
      </w:r>
    </w:p>
    <w:p w14:paraId="62256B4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части августа и сентября месяцев завод увеличил производственную площадь до 14580 кв. м, установил 661 единицу оборудования, в том числе металлорежущего 433 единицы, деревообрабатывающего 116 единиц. Все установленное оборудование завода № 169 перепланировано и переставлено в соответствии с новыми потребностями.</w:t>
      </w:r>
    </w:p>
    <w:p w14:paraId="5091331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эвакуации на заводе ощущался недостаток в квалифицированных кадрах, так как около 1200 человек квалифицированных рабочих и ИТР ушло в ряды Красной Армии и осталось в Ленинграде.</w:t>
      </w:r>
    </w:p>
    <w:p w14:paraId="6D630C2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положение заставило завод, одновременно с организационным периодом, ускоренными темпами готовить кадры из состава женщин, учеников ФЗО и РУ.</w:t>
      </w:r>
    </w:p>
    <w:p w14:paraId="0BD6BAA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эвакуации удельный вес женщин в производстве составлял 17 %, на 1 января 1942 г. удельный вес составлял 39 %. […]</w:t>
      </w:r>
    </w:p>
    <w:p w14:paraId="47C30A8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месяце было поручено задание на освоение и выпуск в IV квартале авиалыж к самолету У-2. На территории бывшего сагового завода был организован цех авиалыж, и в IV квартале задание по выпуску авиалыж было перевыполнено.</w:t>
      </w:r>
    </w:p>
    <w:p w14:paraId="2076EA6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изделий бывшего завода № 169 завод в IV квартале продолжал выпускать нервюр к самолету ЛАГГ-3 и заканчивал договорные обязательства по запчастям к самолету И-15 бис.</w:t>
      </w:r>
    </w:p>
    <w:p w14:paraId="0D0B4EB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за год выполнение основных видов продукции характеризуется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5"/>
        <w:gridCol w:w="1080"/>
        <w:gridCol w:w="900"/>
        <w:gridCol w:w="900"/>
        <w:gridCol w:w="720"/>
        <w:gridCol w:w="1080"/>
        <w:gridCol w:w="720"/>
        <w:gridCol w:w="840"/>
        <w:gridCol w:w="1200"/>
        <w:gridCol w:w="945"/>
      </w:tblGrid>
      <w:tr w:rsidR="008127F8" w:rsidRPr="008127F8" w14:paraId="27511ECE" w14:textId="77777777" w:rsidTr="00E82BA1">
        <w:trPr>
          <w:tblCellSpacing w:w="0" w:type="dxa"/>
        </w:trPr>
        <w:tc>
          <w:tcPr>
            <w:tcW w:w="1185" w:type="dxa"/>
            <w:vMerge w:val="restart"/>
            <w:tcBorders>
              <w:top w:val="outset" w:sz="6" w:space="0" w:color="auto"/>
              <w:left w:val="outset" w:sz="6" w:space="0" w:color="auto"/>
              <w:bottom w:val="outset" w:sz="6" w:space="0" w:color="auto"/>
              <w:right w:val="outset" w:sz="6" w:space="0" w:color="auto"/>
            </w:tcBorders>
            <w:hideMark/>
          </w:tcPr>
          <w:p w14:paraId="05D72EB4" w14:textId="77777777" w:rsidR="00FB01DD" w:rsidRPr="008127F8" w:rsidRDefault="00FB01DD" w:rsidP="001E0A84">
            <w:pPr>
              <w:spacing w:after="0" w:line="240" w:lineRule="auto"/>
              <w:jc w:val="both"/>
              <w:rPr>
                <w:rFonts w:ascii="Times New Roman" w:hAnsi="Times New Roman"/>
                <w:color w:val="000000" w:themeColor="text1"/>
                <w:sz w:val="16"/>
                <w:szCs w:val="16"/>
              </w:rPr>
            </w:pPr>
          </w:p>
        </w:tc>
        <w:tc>
          <w:tcPr>
            <w:tcW w:w="2880" w:type="dxa"/>
            <w:gridSpan w:val="3"/>
            <w:tcBorders>
              <w:top w:val="outset" w:sz="6" w:space="0" w:color="auto"/>
              <w:left w:val="outset" w:sz="6" w:space="0" w:color="auto"/>
              <w:bottom w:val="outset" w:sz="6" w:space="0" w:color="auto"/>
              <w:right w:val="outset" w:sz="6" w:space="0" w:color="auto"/>
            </w:tcBorders>
            <w:hideMark/>
          </w:tcPr>
          <w:p w14:paraId="2B2764A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У-2</w:t>
            </w:r>
          </w:p>
        </w:tc>
        <w:tc>
          <w:tcPr>
            <w:tcW w:w="2520" w:type="dxa"/>
            <w:gridSpan w:val="3"/>
            <w:tcBorders>
              <w:top w:val="outset" w:sz="6" w:space="0" w:color="auto"/>
              <w:left w:val="outset" w:sz="6" w:space="0" w:color="auto"/>
              <w:bottom w:val="outset" w:sz="6" w:space="0" w:color="auto"/>
              <w:right w:val="outset" w:sz="6" w:space="0" w:color="auto"/>
            </w:tcBorders>
            <w:hideMark/>
          </w:tcPr>
          <w:p w14:paraId="214DAD3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Авиалыжи 4-с</w:t>
            </w:r>
          </w:p>
        </w:tc>
        <w:tc>
          <w:tcPr>
            <w:tcW w:w="2985" w:type="dxa"/>
            <w:gridSpan w:val="3"/>
            <w:tcBorders>
              <w:top w:val="outset" w:sz="6" w:space="0" w:color="auto"/>
              <w:left w:val="outset" w:sz="6" w:space="0" w:color="auto"/>
              <w:bottom w:val="outset" w:sz="6" w:space="0" w:color="auto"/>
              <w:right w:val="outset" w:sz="6" w:space="0" w:color="auto"/>
            </w:tcBorders>
            <w:hideMark/>
          </w:tcPr>
          <w:p w14:paraId="3BFB008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Нервюры к самолету ЛАГГ-3</w:t>
            </w:r>
          </w:p>
        </w:tc>
      </w:tr>
      <w:tr w:rsidR="008127F8" w:rsidRPr="008127F8" w14:paraId="5F31A66D" w14:textId="77777777" w:rsidTr="00E82B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1788CB" w14:textId="77777777" w:rsidR="00FB01DD" w:rsidRPr="008127F8" w:rsidRDefault="00FB01DD" w:rsidP="001E0A84">
            <w:pPr>
              <w:spacing w:after="0" w:line="240" w:lineRule="auto"/>
              <w:jc w:val="both"/>
              <w:rPr>
                <w:rFonts w:ascii="Times New Roman" w:hAnsi="Times New Roman"/>
                <w:color w:val="000000" w:themeColor="text1"/>
                <w:sz w:val="16"/>
                <w:szCs w:val="16"/>
              </w:rPr>
            </w:pPr>
          </w:p>
        </w:tc>
        <w:tc>
          <w:tcPr>
            <w:tcW w:w="1080" w:type="dxa"/>
            <w:tcBorders>
              <w:top w:val="outset" w:sz="6" w:space="0" w:color="auto"/>
              <w:left w:val="outset" w:sz="6" w:space="0" w:color="auto"/>
              <w:bottom w:val="outset" w:sz="6" w:space="0" w:color="auto"/>
              <w:right w:val="outset" w:sz="6" w:space="0" w:color="auto"/>
            </w:tcBorders>
            <w:hideMark/>
          </w:tcPr>
          <w:p w14:paraId="17E7CA4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w:t>
            </w:r>
          </w:p>
          <w:p w14:paraId="324813C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w:t>
            </w:r>
          </w:p>
        </w:tc>
        <w:tc>
          <w:tcPr>
            <w:tcW w:w="900" w:type="dxa"/>
            <w:tcBorders>
              <w:top w:val="outset" w:sz="6" w:space="0" w:color="auto"/>
              <w:left w:val="outset" w:sz="6" w:space="0" w:color="auto"/>
              <w:bottom w:val="outset" w:sz="6" w:space="0" w:color="auto"/>
              <w:right w:val="outset" w:sz="6" w:space="0" w:color="auto"/>
            </w:tcBorders>
            <w:hideMark/>
          </w:tcPr>
          <w:p w14:paraId="122BC184"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w:t>
            </w:r>
          </w:p>
          <w:p w14:paraId="33ABA0F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w:t>
            </w:r>
          </w:p>
        </w:tc>
        <w:tc>
          <w:tcPr>
            <w:tcW w:w="900" w:type="dxa"/>
            <w:tcBorders>
              <w:top w:val="outset" w:sz="6" w:space="0" w:color="auto"/>
              <w:left w:val="outset" w:sz="6" w:space="0" w:color="auto"/>
              <w:bottom w:val="outset" w:sz="6" w:space="0" w:color="auto"/>
              <w:right w:val="outset" w:sz="6" w:space="0" w:color="auto"/>
            </w:tcBorders>
            <w:hideMark/>
          </w:tcPr>
          <w:p w14:paraId="5A4B36E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128598C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tc>
        <w:tc>
          <w:tcPr>
            <w:tcW w:w="1080" w:type="dxa"/>
            <w:tcBorders>
              <w:top w:val="outset" w:sz="6" w:space="0" w:color="auto"/>
              <w:left w:val="outset" w:sz="6" w:space="0" w:color="auto"/>
              <w:bottom w:val="outset" w:sz="6" w:space="0" w:color="auto"/>
              <w:right w:val="outset" w:sz="6" w:space="0" w:color="auto"/>
            </w:tcBorders>
            <w:hideMark/>
          </w:tcPr>
          <w:p w14:paraId="2A42DCD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w:t>
            </w:r>
          </w:p>
        </w:tc>
        <w:tc>
          <w:tcPr>
            <w:tcW w:w="720" w:type="dxa"/>
            <w:tcBorders>
              <w:top w:val="outset" w:sz="6" w:space="0" w:color="auto"/>
              <w:left w:val="outset" w:sz="6" w:space="0" w:color="auto"/>
              <w:bottom w:val="outset" w:sz="6" w:space="0" w:color="auto"/>
              <w:right w:val="outset" w:sz="6" w:space="0" w:color="auto"/>
            </w:tcBorders>
            <w:hideMark/>
          </w:tcPr>
          <w:p w14:paraId="621FEA91"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7D76A62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tc>
        <w:tc>
          <w:tcPr>
            <w:tcW w:w="1200" w:type="dxa"/>
            <w:tcBorders>
              <w:top w:val="outset" w:sz="6" w:space="0" w:color="auto"/>
              <w:left w:val="outset" w:sz="6" w:space="0" w:color="auto"/>
              <w:bottom w:val="outset" w:sz="6" w:space="0" w:color="auto"/>
              <w:right w:val="outset" w:sz="6" w:space="0" w:color="auto"/>
            </w:tcBorders>
            <w:hideMark/>
          </w:tcPr>
          <w:p w14:paraId="4BD1DC9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w:t>
            </w:r>
          </w:p>
        </w:tc>
        <w:tc>
          <w:tcPr>
            <w:tcW w:w="945" w:type="dxa"/>
            <w:tcBorders>
              <w:top w:val="outset" w:sz="6" w:space="0" w:color="auto"/>
              <w:left w:val="outset" w:sz="6" w:space="0" w:color="auto"/>
              <w:bottom w:val="outset" w:sz="6" w:space="0" w:color="auto"/>
              <w:right w:val="outset" w:sz="6" w:space="0" w:color="auto"/>
            </w:tcBorders>
            <w:hideMark/>
          </w:tcPr>
          <w:p w14:paraId="4D08A1B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52288CD8"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0ECA8A7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январь</w:t>
            </w:r>
          </w:p>
        </w:tc>
        <w:tc>
          <w:tcPr>
            <w:tcW w:w="1080" w:type="dxa"/>
            <w:tcBorders>
              <w:top w:val="outset" w:sz="6" w:space="0" w:color="auto"/>
              <w:left w:val="outset" w:sz="6" w:space="0" w:color="auto"/>
              <w:bottom w:val="outset" w:sz="6" w:space="0" w:color="auto"/>
              <w:right w:val="outset" w:sz="6" w:space="0" w:color="auto"/>
            </w:tcBorders>
            <w:hideMark/>
          </w:tcPr>
          <w:p w14:paraId="0B2F2CD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900" w:type="dxa"/>
            <w:tcBorders>
              <w:top w:val="outset" w:sz="6" w:space="0" w:color="auto"/>
              <w:left w:val="outset" w:sz="6" w:space="0" w:color="auto"/>
              <w:bottom w:val="outset" w:sz="6" w:space="0" w:color="auto"/>
              <w:right w:val="outset" w:sz="6" w:space="0" w:color="auto"/>
            </w:tcBorders>
            <w:hideMark/>
          </w:tcPr>
          <w:p w14:paraId="2BD8B2C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w:t>
            </w:r>
          </w:p>
        </w:tc>
        <w:tc>
          <w:tcPr>
            <w:tcW w:w="900" w:type="dxa"/>
            <w:tcBorders>
              <w:top w:val="outset" w:sz="6" w:space="0" w:color="auto"/>
              <w:left w:val="outset" w:sz="6" w:space="0" w:color="auto"/>
              <w:bottom w:val="outset" w:sz="6" w:space="0" w:color="auto"/>
              <w:right w:val="outset" w:sz="6" w:space="0" w:color="auto"/>
            </w:tcBorders>
            <w:hideMark/>
          </w:tcPr>
          <w:p w14:paraId="334FB21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w:t>
            </w:r>
          </w:p>
        </w:tc>
        <w:tc>
          <w:tcPr>
            <w:tcW w:w="720" w:type="dxa"/>
            <w:tcBorders>
              <w:top w:val="outset" w:sz="6" w:space="0" w:color="auto"/>
              <w:left w:val="outset" w:sz="6" w:space="0" w:color="auto"/>
              <w:bottom w:val="outset" w:sz="6" w:space="0" w:color="auto"/>
              <w:right w:val="outset" w:sz="6" w:space="0" w:color="auto"/>
            </w:tcBorders>
            <w:hideMark/>
          </w:tcPr>
          <w:p w14:paraId="136F295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2A91CF6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36CEE30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39E9903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504E58A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68AD0F1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091F7C2D"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78B009B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1080" w:type="dxa"/>
            <w:tcBorders>
              <w:top w:val="outset" w:sz="6" w:space="0" w:color="auto"/>
              <w:left w:val="outset" w:sz="6" w:space="0" w:color="auto"/>
              <w:bottom w:val="outset" w:sz="6" w:space="0" w:color="auto"/>
              <w:right w:val="outset" w:sz="6" w:space="0" w:color="auto"/>
            </w:tcBorders>
            <w:hideMark/>
          </w:tcPr>
          <w:p w14:paraId="14729E9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900" w:type="dxa"/>
            <w:tcBorders>
              <w:top w:val="outset" w:sz="6" w:space="0" w:color="auto"/>
              <w:left w:val="outset" w:sz="6" w:space="0" w:color="auto"/>
              <w:bottom w:val="outset" w:sz="6" w:space="0" w:color="auto"/>
              <w:right w:val="outset" w:sz="6" w:space="0" w:color="auto"/>
            </w:tcBorders>
            <w:hideMark/>
          </w:tcPr>
          <w:p w14:paraId="0C3B7F6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900" w:type="dxa"/>
            <w:tcBorders>
              <w:top w:val="outset" w:sz="6" w:space="0" w:color="auto"/>
              <w:left w:val="outset" w:sz="6" w:space="0" w:color="auto"/>
              <w:bottom w:val="outset" w:sz="6" w:space="0" w:color="auto"/>
              <w:right w:val="outset" w:sz="6" w:space="0" w:color="auto"/>
            </w:tcBorders>
            <w:hideMark/>
          </w:tcPr>
          <w:p w14:paraId="61930C6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720" w:type="dxa"/>
            <w:tcBorders>
              <w:top w:val="outset" w:sz="6" w:space="0" w:color="auto"/>
              <w:left w:val="outset" w:sz="6" w:space="0" w:color="auto"/>
              <w:bottom w:val="outset" w:sz="6" w:space="0" w:color="auto"/>
              <w:right w:val="outset" w:sz="6" w:space="0" w:color="auto"/>
            </w:tcBorders>
            <w:hideMark/>
          </w:tcPr>
          <w:p w14:paraId="6150770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66F43C8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42C3358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55EA3DA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164B60C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64CC352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6322B283"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7EB728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1080" w:type="dxa"/>
            <w:tcBorders>
              <w:top w:val="outset" w:sz="6" w:space="0" w:color="auto"/>
              <w:left w:val="outset" w:sz="6" w:space="0" w:color="auto"/>
              <w:bottom w:val="outset" w:sz="6" w:space="0" w:color="auto"/>
              <w:right w:val="outset" w:sz="6" w:space="0" w:color="auto"/>
            </w:tcBorders>
            <w:hideMark/>
          </w:tcPr>
          <w:p w14:paraId="3E94CCD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900" w:type="dxa"/>
            <w:tcBorders>
              <w:top w:val="outset" w:sz="6" w:space="0" w:color="auto"/>
              <w:left w:val="outset" w:sz="6" w:space="0" w:color="auto"/>
              <w:bottom w:val="outset" w:sz="6" w:space="0" w:color="auto"/>
              <w:right w:val="outset" w:sz="6" w:space="0" w:color="auto"/>
            </w:tcBorders>
            <w:hideMark/>
          </w:tcPr>
          <w:p w14:paraId="6D83A90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900" w:type="dxa"/>
            <w:tcBorders>
              <w:top w:val="outset" w:sz="6" w:space="0" w:color="auto"/>
              <w:left w:val="outset" w:sz="6" w:space="0" w:color="auto"/>
              <w:bottom w:val="outset" w:sz="6" w:space="0" w:color="auto"/>
              <w:right w:val="outset" w:sz="6" w:space="0" w:color="auto"/>
            </w:tcBorders>
            <w:hideMark/>
          </w:tcPr>
          <w:p w14:paraId="6EF93A1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720" w:type="dxa"/>
            <w:tcBorders>
              <w:top w:val="outset" w:sz="6" w:space="0" w:color="auto"/>
              <w:left w:val="outset" w:sz="6" w:space="0" w:color="auto"/>
              <w:bottom w:val="outset" w:sz="6" w:space="0" w:color="auto"/>
              <w:right w:val="outset" w:sz="6" w:space="0" w:color="auto"/>
            </w:tcBorders>
            <w:hideMark/>
          </w:tcPr>
          <w:p w14:paraId="6A36E450"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56E1CE6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2FB8B44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5BE9576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21CB8A3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18828B3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3FA1BAE4"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45273204"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1080" w:type="dxa"/>
            <w:tcBorders>
              <w:top w:val="outset" w:sz="6" w:space="0" w:color="auto"/>
              <w:left w:val="outset" w:sz="6" w:space="0" w:color="auto"/>
              <w:bottom w:val="outset" w:sz="6" w:space="0" w:color="auto"/>
              <w:right w:val="outset" w:sz="6" w:space="0" w:color="auto"/>
            </w:tcBorders>
            <w:hideMark/>
          </w:tcPr>
          <w:p w14:paraId="0BB6A8E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c>
          <w:tcPr>
            <w:tcW w:w="900" w:type="dxa"/>
            <w:tcBorders>
              <w:top w:val="outset" w:sz="6" w:space="0" w:color="auto"/>
              <w:left w:val="outset" w:sz="6" w:space="0" w:color="auto"/>
              <w:bottom w:val="outset" w:sz="6" w:space="0" w:color="auto"/>
              <w:right w:val="outset" w:sz="6" w:space="0" w:color="auto"/>
            </w:tcBorders>
            <w:hideMark/>
          </w:tcPr>
          <w:p w14:paraId="797AA3D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900" w:type="dxa"/>
            <w:tcBorders>
              <w:top w:val="outset" w:sz="6" w:space="0" w:color="auto"/>
              <w:left w:val="outset" w:sz="6" w:space="0" w:color="auto"/>
              <w:bottom w:val="outset" w:sz="6" w:space="0" w:color="auto"/>
              <w:right w:val="outset" w:sz="6" w:space="0" w:color="auto"/>
            </w:tcBorders>
            <w:hideMark/>
          </w:tcPr>
          <w:p w14:paraId="70ED88D0"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w:t>
            </w:r>
          </w:p>
        </w:tc>
        <w:tc>
          <w:tcPr>
            <w:tcW w:w="720" w:type="dxa"/>
            <w:tcBorders>
              <w:top w:val="outset" w:sz="6" w:space="0" w:color="auto"/>
              <w:left w:val="outset" w:sz="6" w:space="0" w:color="auto"/>
              <w:bottom w:val="outset" w:sz="6" w:space="0" w:color="auto"/>
              <w:right w:val="outset" w:sz="6" w:space="0" w:color="auto"/>
            </w:tcBorders>
            <w:hideMark/>
          </w:tcPr>
          <w:p w14:paraId="63A6757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03F64C34"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1AD609C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2043166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48BF3CD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6B8DF29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8127F8" w:rsidRPr="008127F8" w14:paraId="3E3FA636"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3A8BA3D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0" w:type="dxa"/>
            <w:tcBorders>
              <w:top w:val="outset" w:sz="6" w:space="0" w:color="auto"/>
              <w:left w:val="outset" w:sz="6" w:space="0" w:color="auto"/>
              <w:bottom w:val="outset" w:sz="6" w:space="0" w:color="auto"/>
              <w:right w:val="outset" w:sz="6" w:space="0" w:color="auto"/>
            </w:tcBorders>
            <w:hideMark/>
          </w:tcPr>
          <w:p w14:paraId="1A19D90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w:t>
            </w:r>
          </w:p>
        </w:tc>
        <w:tc>
          <w:tcPr>
            <w:tcW w:w="900" w:type="dxa"/>
            <w:tcBorders>
              <w:top w:val="outset" w:sz="6" w:space="0" w:color="auto"/>
              <w:left w:val="outset" w:sz="6" w:space="0" w:color="auto"/>
              <w:bottom w:val="outset" w:sz="6" w:space="0" w:color="auto"/>
              <w:right w:val="outset" w:sz="6" w:space="0" w:color="auto"/>
            </w:tcBorders>
            <w:hideMark/>
          </w:tcPr>
          <w:p w14:paraId="6CA7E4E4"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w:t>
            </w:r>
          </w:p>
        </w:tc>
        <w:tc>
          <w:tcPr>
            <w:tcW w:w="900" w:type="dxa"/>
            <w:tcBorders>
              <w:top w:val="outset" w:sz="6" w:space="0" w:color="auto"/>
              <w:left w:val="outset" w:sz="6" w:space="0" w:color="auto"/>
              <w:bottom w:val="outset" w:sz="6" w:space="0" w:color="auto"/>
              <w:right w:val="outset" w:sz="6" w:space="0" w:color="auto"/>
            </w:tcBorders>
            <w:hideMark/>
          </w:tcPr>
          <w:p w14:paraId="0004E8A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720" w:type="dxa"/>
            <w:tcBorders>
              <w:top w:val="outset" w:sz="6" w:space="0" w:color="auto"/>
              <w:left w:val="outset" w:sz="6" w:space="0" w:color="auto"/>
              <w:bottom w:val="outset" w:sz="6" w:space="0" w:color="auto"/>
              <w:right w:val="outset" w:sz="6" w:space="0" w:color="auto"/>
            </w:tcBorders>
            <w:hideMark/>
          </w:tcPr>
          <w:p w14:paraId="575D2E3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2CC404D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76FAD7F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103CF8F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200" w:type="dxa"/>
            <w:tcBorders>
              <w:top w:val="outset" w:sz="6" w:space="0" w:color="auto"/>
              <w:left w:val="outset" w:sz="6" w:space="0" w:color="auto"/>
              <w:bottom w:val="outset" w:sz="6" w:space="0" w:color="auto"/>
              <w:right w:val="outset" w:sz="6" w:space="0" w:color="auto"/>
            </w:tcBorders>
            <w:hideMark/>
          </w:tcPr>
          <w:p w14:paraId="0E28503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945" w:type="dxa"/>
            <w:tcBorders>
              <w:top w:val="outset" w:sz="6" w:space="0" w:color="auto"/>
              <w:left w:val="outset" w:sz="6" w:space="0" w:color="auto"/>
              <w:bottom w:val="outset" w:sz="6" w:space="0" w:color="auto"/>
              <w:right w:val="outset" w:sz="6" w:space="0" w:color="auto"/>
            </w:tcBorders>
            <w:hideMark/>
          </w:tcPr>
          <w:p w14:paraId="3B9AD73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r>
      <w:tr w:rsidR="008127F8" w:rsidRPr="008127F8" w14:paraId="5E2C8E73"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2AD82CC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1080" w:type="dxa"/>
            <w:tcBorders>
              <w:top w:val="outset" w:sz="6" w:space="0" w:color="auto"/>
              <w:left w:val="outset" w:sz="6" w:space="0" w:color="auto"/>
              <w:bottom w:val="outset" w:sz="6" w:space="0" w:color="auto"/>
              <w:right w:val="outset" w:sz="6" w:space="0" w:color="auto"/>
            </w:tcBorders>
            <w:hideMark/>
          </w:tcPr>
          <w:p w14:paraId="423B7D61"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900" w:type="dxa"/>
            <w:tcBorders>
              <w:top w:val="outset" w:sz="6" w:space="0" w:color="auto"/>
              <w:left w:val="outset" w:sz="6" w:space="0" w:color="auto"/>
              <w:bottom w:val="outset" w:sz="6" w:space="0" w:color="auto"/>
              <w:right w:val="outset" w:sz="6" w:space="0" w:color="auto"/>
            </w:tcBorders>
            <w:hideMark/>
          </w:tcPr>
          <w:p w14:paraId="7F45C1F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900" w:type="dxa"/>
            <w:tcBorders>
              <w:top w:val="outset" w:sz="6" w:space="0" w:color="auto"/>
              <w:left w:val="outset" w:sz="6" w:space="0" w:color="auto"/>
              <w:bottom w:val="outset" w:sz="6" w:space="0" w:color="auto"/>
              <w:right w:val="outset" w:sz="6" w:space="0" w:color="auto"/>
            </w:tcBorders>
            <w:hideMark/>
          </w:tcPr>
          <w:p w14:paraId="322EDE6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720" w:type="dxa"/>
            <w:tcBorders>
              <w:top w:val="outset" w:sz="6" w:space="0" w:color="auto"/>
              <w:left w:val="outset" w:sz="6" w:space="0" w:color="auto"/>
              <w:bottom w:val="outset" w:sz="6" w:space="0" w:color="auto"/>
              <w:right w:val="outset" w:sz="6" w:space="0" w:color="auto"/>
            </w:tcBorders>
            <w:hideMark/>
          </w:tcPr>
          <w:p w14:paraId="4B16B56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413A6C7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7960CE1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11CF9B5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200" w:type="dxa"/>
            <w:tcBorders>
              <w:top w:val="outset" w:sz="6" w:space="0" w:color="auto"/>
              <w:left w:val="outset" w:sz="6" w:space="0" w:color="auto"/>
              <w:bottom w:val="outset" w:sz="6" w:space="0" w:color="auto"/>
              <w:right w:val="outset" w:sz="6" w:space="0" w:color="auto"/>
            </w:tcBorders>
            <w:hideMark/>
          </w:tcPr>
          <w:p w14:paraId="6487B8B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w:t>
            </w:r>
          </w:p>
        </w:tc>
        <w:tc>
          <w:tcPr>
            <w:tcW w:w="945" w:type="dxa"/>
            <w:tcBorders>
              <w:top w:val="outset" w:sz="6" w:space="0" w:color="auto"/>
              <w:left w:val="outset" w:sz="6" w:space="0" w:color="auto"/>
              <w:bottom w:val="outset" w:sz="6" w:space="0" w:color="auto"/>
              <w:right w:val="outset" w:sz="6" w:space="0" w:color="auto"/>
            </w:tcBorders>
            <w:hideMark/>
          </w:tcPr>
          <w:p w14:paraId="45C6295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w:t>
            </w:r>
          </w:p>
        </w:tc>
      </w:tr>
      <w:tr w:rsidR="008127F8" w:rsidRPr="008127F8" w14:paraId="76B838B9"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6E61B32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1080" w:type="dxa"/>
            <w:tcBorders>
              <w:top w:val="outset" w:sz="6" w:space="0" w:color="auto"/>
              <w:left w:val="outset" w:sz="6" w:space="0" w:color="auto"/>
              <w:bottom w:val="outset" w:sz="6" w:space="0" w:color="auto"/>
              <w:right w:val="outset" w:sz="6" w:space="0" w:color="auto"/>
            </w:tcBorders>
            <w:hideMark/>
          </w:tcPr>
          <w:p w14:paraId="3523F10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w:t>
            </w:r>
          </w:p>
        </w:tc>
        <w:tc>
          <w:tcPr>
            <w:tcW w:w="900" w:type="dxa"/>
            <w:tcBorders>
              <w:top w:val="outset" w:sz="6" w:space="0" w:color="auto"/>
              <w:left w:val="outset" w:sz="6" w:space="0" w:color="auto"/>
              <w:bottom w:val="outset" w:sz="6" w:space="0" w:color="auto"/>
              <w:right w:val="outset" w:sz="6" w:space="0" w:color="auto"/>
            </w:tcBorders>
            <w:hideMark/>
          </w:tcPr>
          <w:p w14:paraId="3EE1B8F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900" w:type="dxa"/>
            <w:tcBorders>
              <w:top w:val="outset" w:sz="6" w:space="0" w:color="auto"/>
              <w:left w:val="outset" w:sz="6" w:space="0" w:color="auto"/>
              <w:bottom w:val="outset" w:sz="6" w:space="0" w:color="auto"/>
              <w:right w:val="outset" w:sz="6" w:space="0" w:color="auto"/>
            </w:tcBorders>
            <w:hideMark/>
          </w:tcPr>
          <w:p w14:paraId="74818A0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720" w:type="dxa"/>
            <w:tcBorders>
              <w:top w:val="outset" w:sz="6" w:space="0" w:color="auto"/>
              <w:left w:val="outset" w:sz="6" w:space="0" w:color="auto"/>
              <w:bottom w:val="outset" w:sz="6" w:space="0" w:color="auto"/>
              <w:right w:val="outset" w:sz="6" w:space="0" w:color="auto"/>
            </w:tcBorders>
            <w:hideMark/>
          </w:tcPr>
          <w:p w14:paraId="28995ED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1ED8941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75B6B18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7CC4E96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293ABCC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945" w:type="dxa"/>
            <w:tcBorders>
              <w:top w:val="outset" w:sz="6" w:space="0" w:color="auto"/>
              <w:left w:val="outset" w:sz="6" w:space="0" w:color="auto"/>
              <w:bottom w:val="outset" w:sz="6" w:space="0" w:color="auto"/>
              <w:right w:val="outset" w:sz="6" w:space="0" w:color="auto"/>
            </w:tcBorders>
            <w:hideMark/>
          </w:tcPr>
          <w:p w14:paraId="4D6A0114"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w:t>
            </w:r>
          </w:p>
        </w:tc>
      </w:tr>
      <w:tr w:rsidR="008127F8" w:rsidRPr="008127F8" w14:paraId="07A9A0D6"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46516F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1080" w:type="dxa"/>
            <w:tcBorders>
              <w:top w:val="outset" w:sz="6" w:space="0" w:color="auto"/>
              <w:left w:val="outset" w:sz="6" w:space="0" w:color="auto"/>
              <w:bottom w:val="outset" w:sz="6" w:space="0" w:color="auto"/>
              <w:right w:val="outset" w:sz="6" w:space="0" w:color="auto"/>
            </w:tcBorders>
            <w:hideMark/>
          </w:tcPr>
          <w:p w14:paraId="052E715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00" w:type="dxa"/>
            <w:tcBorders>
              <w:top w:val="outset" w:sz="6" w:space="0" w:color="auto"/>
              <w:left w:val="outset" w:sz="6" w:space="0" w:color="auto"/>
              <w:bottom w:val="outset" w:sz="6" w:space="0" w:color="auto"/>
              <w:right w:val="outset" w:sz="6" w:space="0" w:color="auto"/>
            </w:tcBorders>
            <w:hideMark/>
          </w:tcPr>
          <w:p w14:paraId="61BE391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900" w:type="dxa"/>
            <w:tcBorders>
              <w:top w:val="outset" w:sz="6" w:space="0" w:color="auto"/>
              <w:left w:val="outset" w:sz="6" w:space="0" w:color="auto"/>
              <w:bottom w:val="outset" w:sz="6" w:space="0" w:color="auto"/>
              <w:right w:val="outset" w:sz="6" w:space="0" w:color="auto"/>
            </w:tcBorders>
            <w:hideMark/>
          </w:tcPr>
          <w:p w14:paraId="59A1338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184355E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6A445DA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5BC9D9D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69B6BE7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22B6696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331</w:t>
            </w:r>
          </w:p>
        </w:tc>
        <w:tc>
          <w:tcPr>
            <w:tcW w:w="945" w:type="dxa"/>
            <w:tcBorders>
              <w:top w:val="outset" w:sz="6" w:space="0" w:color="auto"/>
              <w:left w:val="outset" w:sz="6" w:space="0" w:color="auto"/>
              <w:bottom w:val="outset" w:sz="6" w:space="0" w:color="auto"/>
              <w:right w:val="outset" w:sz="6" w:space="0" w:color="auto"/>
            </w:tcBorders>
            <w:hideMark/>
          </w:tcPr>
          <w:p w14:paraId="4AF72DE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r>
      <w:tr w:rsidR="008127F8" w:rsidRPr="008127F8" w14:paraId="74F64E2E"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18BED0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1080" w:type="dxa"/>
            <w:tcBorders>
              <w:top w:val="outset" w:sz="6" w:space="0" w:color="auto"/>
              <w:left w:val="outset" w:sz="6" w:space="0" w:color="auto"/>
              <w:bottom w:val="outset" w:sz="6" w:space="0" w:color="auto"/>
              <w:right w:val="outset" w:sz="6" w:space="0" w:color="auto"/>
            </w:tcBorders>
            <w:hideMark/>
          </w:tcPr>
          <w:p w14:paraId="40105991"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900" w:type="dxa"/>
            <w:tcBorders>
              <w:top w:val="outset" w:sz="6" w:space="0" w:color="auto"/>
              <w:left w:val="outset" w:sz="6" w:space="0" w:color="auto"/>
              <w:bottom w:val="outset" w:sz="6" w:space="0" w:color="auto"/>
              <w:right w:val="outset" w:sz="6" w:space="0" w:color="auto"/>
            </w:tcBorders>
            <w:hideMark/>
          </w:tcPr>
          <w:p w14:paraId="4E48E27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900" w:type="dxa"/>
            <w:tcBorders>
              <w:top w:val="outset" w:sz="6" w:space="0" w:color="auto"/>
              <w:left w:val="outset" w:sz="6" w:space="0" w:color="auto"/>
              <w:bottom w:val="outset" w:sz="6" w:space="0" w:color="auto"/>
              <w:right w:val="outset" w:sz="6" w:space="0" w:color="auto"/>
            </w:tcBorders>
            <w:hideMark/>
          </w:tcPr>
          <w:p w14:paraId="5D250AC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720" w:type="dxa"/>
            <w:tcBorders>
              <w:top w:val="outset" w:sz="6" w:space="0" w:color="auto"/>
              <w:left w:val="outset" w:sz="6" w:space="0" w:color="auto"/>
              <w:bottom w:val="outset" w:sz="6" w:space="0" w:color="auto"/>
              <w:right w:val="outset" w:sz="6" w:space="0" w:color="auto"/>
            </w:tcBorders>
            <w:hideMark/>
          </w:tcPr>
          <w:p w14:paraId="711B77C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45CF781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433FFAEE"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088A42B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200" w:type="dxa"/>
            <w:tcBorders>
              <w:top w:val="outset" w:sz="6" w:space="0" w:color="auto"/>
              <w:left w:val="outset" w:sz="6" w:space="0" w:color="auto"/>
              <w:bottom w:val="outset" w:sz="6" w:space="0" w:color="auto"/>
              <w:right w:val="outset" w:sz="6" w:space="0" w:color="auto"/>
            </w:tcBorders>
            <w:hideMark/>
          </w:tcPr>
          <w:p w14:paraId="3B2F5B6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945" w:type="dxa"/>
            <w:tcBorders>
              <w:top w:val="outset" w:sz="6" w:space="0" w:color="auto"/>
              <w:left w:val="outset" w:sz="6" w:space="0" w:color="auto"/>
              <w:bottom w:val="outset" w:sz="6" w:space="0" w:color="auto"/>
              <w:right w:val="outset" w:sz="6" w:space="0" w:color="auto"/>
            </w:tcBorders>
            <w:hideMark/>
          </w:tcPr>
          <w:p w14:paraId="22D232D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8127F8" w:rsidRPr="008127F8" w14:paraId="5855817B"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28222B41"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1080" w:type="dxa"/>
            <w:tcBorders>
              <w:top w:val="outset" w:sz="6" w:space="0" w:color="auto"/>
              <w:left w:val="outset" w:sz="6" w:space="0" w:color="auto"/>
              <w:bottom w:val="outset" w:sz="6" w:space="0" w:color="auto"/>
              <w:right w:val="outset" w:sz="6" w:space="0" w:color="auto"/>
            </w:tcBorders>
            <w:hideMark/>
          </w:tcPr>
          <w:p w14:paraId="41E22FD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900" w:type="dxa"/>
            <w:tcBorders>
              <w:top w:val="outset" w:sz="6" w:space="0" w:color="auto"/>
              <w:left w:val="outset" w:sz="6" w:space="0" w:color="auto"/>
              <w:bottom w:val="outset" w:sz="6" w:space="0" w:color="auto"/>
              <w:right w:val="outset" w:sz="6" w:space="0" w:color="auto"/>
            </w:tcBorders>
            <w:hideMark/>
          </w:tcPr>
          <w:p w14:paraId="1D52DD3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900" w:type="dxa"/>
            <w:tcBorders>
              <w:top w:val="outset" w:sz="6" w:space="0" w:color="auto"/>
              <w:left w:val="outset" w:sz="6" w:space="0" w:color="auto"/>
              <w:bottom w:val="outset" w:sz="6" w:space="0" w:color="auto"/>
              <w:right w:val="outset" w:sz="6" w:space="0" w:color="auto"/>
            </w:tcBorders>
            <w:hideMark/>
          </w:tcPr>
          <w:p w14:paraId="0EFC8B94"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w:t>
            </w:r>
          </w:p>
        </w:tc>
        <w:tc>
          <w:tcPr>
            <w:tcW w:w="720" w:type="dxa"/>
            <w:tcBorders>
              <w:top w:val="outset" w:sz="6" w:space="0" w:color="auto"/>
              <w:left w:val="outset" w:sz="6" w:space="0" w:color="auto"/>
              <w:bottom w:val="outset" w:sz="6" w:space="0" w:color="auto"/>
              <w:right w:val="outset" w:sz="6" w:space="0" w:color="auto"/>
            </w:tcBorders>
            <w:hideMark/>
          </w:tcPr>
          <w:p w14:paraId="09835A0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080" w:type="dxa"/>
            <w:tcBorders>
              <w:top w:val="outset" w:sz="6" w:space="0" w:color="auto"/>
              <w:left w:val="outset" w:sz="6" w:space="0" w:color="auto"/>
              <w:bottom w:val="outset" w:sz="6" w:space="0" w:color="auto"/>
              <w:right w:val="outset" w:sz="6" w:space="0" w:color="auto"/>
            </w:tcBorders>
            <w:hideMark/>
          </w:tcPr>
          <w:p w14:paraId="0F2166E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720" w:type="dxa"/>
            <w:tcBorders>
              <w:top w:val="outset" w:sz="6" w:space="0" w:color="auto"/>
              <w:left w:val="outset" w:sz="6" w:space="0" w:color="auto"/>
              <w:bottom w:val="outset" w:sz="6" w:space="0" w:color="auto"/>
              <w:right w:val="outset" w:sz="6" w:space="0" w:color="auto"/>
            </w:tcBorders>
            <w:hideMark/>
          </w:tcPr>
          <w:p w14:paraId="0F768EA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840" w:type="dxa"/>
            <w:tcBorders>
              <w:top w:val="outset" w:sz="6" w:space="0" w:color="auto"/>
              <w:left w:val="outset" w:sz="6" w:space="0" w:color="auto"/>
              <w:bottom w:val="outset" w:sz="6" w:space="0" w:color="auto"/>
              <w:right w:val="outset" w:sz="6" w:space="0" w:color="auto"/>
            </w:tcBorders>
            <w:hideMark/>
          </w:tcPr>
          <w:p w14:paraId="524A8BF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1200" w:type="dxa"/>
            <w:tcBorders>
              <w:top w:val="outset" w:sz="6" w:space="0" w:color="auto"/>
              <w:left w:val="outset" w:sz="6" w:space="0" w:color="auto"/>
              <w:bottom w:val="outset" w:sz="6" w:space="0" w:color="auto"/>
              <w:right w:val="outset" w:sz="6" w:space="0" w:color="auto"/>
            </w:tcBorders>
            <w:hideMark/>
          </w:tcPr>
          <w:p w14:paraId="10E8FFB1"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w:t>
            </w:r>
          </w:p>
        </w:tc>
        <w:tc>
          <w:tcPr>
            <w:tcW w:w="945" w:type="dxa"/>
            <w:tcBorders>
              <w:top w:val="outset" w:sz="6" w:space="0" w:color="auto"/>
              <w:left w:val="outset" w:sz="6" w:space="0" w:color="auto"/>
              <w:bottom w:val="outset" w:sz="6" w:space="0" w:color="auto"/>
              <w:right w:val="outset" w:sz="6" w:space="0" w:color="auto"/>
            </w:tcBorders>
            <w:hideMark/>
          </w:tcPr>
          <w:p w14:paraId="55A5E52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r>
      <w:tr w:rsidR="008127F8" w:rsidRPr="008127F8" w14:paraId="20543AAA"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635523D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1080" w:type="dxa"/>
            <w:tcBorders>
              <w:top w:val="outset" w:sz="6" w:space="0" w:color="auto"/>
              <w:left w:val="outset" w:sz="6" w:space="0" w:color="auto"/>
              <w:bottom w:val="outset" w:sz="6" w:space="0" w:color="auto"/>
              <w:right w:val="outset" w:sz="6" w:space="0" w:color="auto"/>
            </w:tcBorders>
            <w:hideMark/>
          </w:tcPr>
          <w:p w14:paraId="544E1A3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900" w:type="dxa"/>
            <w:tcBorders>
              <w:top w:val="outset" w:sz="6" w:space="0" w:color="auto"/>
              <w:left w:val="outset" w:sz="6" w:space="0" w:color="auto"/>
              <w:bottom w:val="outset" w:sz="6" w:space="0" w:color="auto"/>
              <w:right w:val="outset" w:sz="6" w:space="0" w:color="auto"/>
            </w:tcBorders>
            <w:hideMark/>
          </w:tcPr>
          <w:p w14:paraId="534FD77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w:t>
            </w:r>
          </w:p>
        </w:tc>
        <w:tc>
          <w:tcPr>
            <w:tcW w:w="900" w:type="dxa"/>
            <w:tcBorders>
              <w:top w:val="outset" w:sz="6" w:space="0" w:color="auto"/>
              <w:left w:val="outset" w:sz="6" w:space="0" w:color="auto"/>
              <w:bottom w:val="outset" w:sz="6" w:space="0" w:color="auto"/>
              <w:right w:val="outset" w:sz="6" w:space="0" w:color="auto"/>
            </w:tcBorders>
            <w:hideMark/>
          </w:tcPr>
          <w:p w14:paraId="390AC2C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720" w:type="dxa"/>
            <w:tcBorders>
              <w:top w:val="outset" w:sz="6" w:space="0" w:color="auto"/>
              <w:left w:val="outset" w:sz="6" w:space="0" w:color="auto"/>
              <w:bottom w:val="outset" w:sz="6" w:space="0" w:color="auto"/>
              <w:right w:val="outset" w:sz="6" w:space="0" w:color="auto"/>
            </w:tcBorders>
            <w:hideMark/>
          </w:tcPr>
          <w:p w14:paraId="6CDE58F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w:t>
            </w:r>
          </w:p>
        </w:tc>
        <w:tc>
          <w:tcPr>
            <w:tcW w:w="1080" w:type="dxa"/>
            <w:tcBorders>
              <w:top w:val="outset" w:sz="6" w:space="0" w:color="auto"/>
              <w:left w:val="outset" w:sz="6" w:space="0" w:color="auto"/>
              <w:bottom w:val="outset" w:sz="6" w:space="0" w:color="auto"/>
              <w:right w:val="outset" w:sz="6" w:space="0" w:color="auto"/>
            </w:tcBorders>
            <w:hideMark/>
          </w:tcPr>
          <w:p w14:paraId="29085A1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w:t>
            </w:r>
          </w:p>
        </w:tc>
        <w:tc>
          <w:tcPr>
            <w:tcW w:w="720" w:type="dxa"/>
            <w:tcBorders>
              <w:top w:val="outset" w:sz="6" w:space="0" w:color="auto"/>
              <w:left w:val="outset" w:sz="6" w:space="0" w:color="auto"/>
              <w:bottom w:val="outset" w:sz="6" w:space="0" w:color="auto"/>
              <w:right w:val="outset" w:sz="6" w:space="0" w:color="auto"/>
            </w:tcBorders>
            <w:hideMark/>
          </w:tcPr>
          <w:p w14:paraId="40760EE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w:t>
            </w:r>
          </w:p>
        </w:tc>
        <w:tc>
          <w:tcPr>
            <w:tcW w:w="840" w:type="dxa"/>
            <w:tcBorders>
              <w:top w:val="outset" w:sz="6" w:space="0" w:color="auto"/>
              <w:left w:val="outset" w:sz="6" w:space="0" w:color="auto"/>
              <w:bottom w:val="outset" w:sz="6" w:space="0" w:color="auto"/>
              <w:right w:val="outset" w:sz="6" w:space="0" w:color="auto"/>
            </w:tcBorders>
            <w:hideMark/>
          </w:tcPr>
          <w:p w14:paraId="0C27BF1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6BDAAE2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w:t>
            </w:r>
          </w:p>
        </w:tc>
        <w:tc>
          <w:tcPr>
            <w:tcW w:w="945" w:type="dxa"/>
            <w:tcBorders>
              <w:top w:val="outset" w:sz="6" w:space="0" w:color="auto"/>
              <w:left w:val="outset" w:sz="6" w:space="0" w:color="auto"/>
              <w:bottom w:val="outset" w:sz="6" w:space="0" w:color="auto"/>
              <w:right w:val="outset" w:sz="6" w:space="0" w:color="auto"/>
            </w:tcBorders>
            <w:hideMark/>
          </w:tcPr>
          <w:p w14:paraId="3F57A4A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r>
      <w:tr w:rsidR="008127F8" w:rsidRPr="008127F8" w14:paraId="6B46F735"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5A5B54B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1080" w:type="dxa"/>
            <w:tcBorders>
              <w:top w:val="outset" w:sz="6" w:space="0" w:color="auto"/>
              <w:left w:val="outset" w:sz="6" w:space="0" w:color="auto"/>
              <w:bottom w:val="outset" w:sz="6" w:space="0" w:color="auto"/>
              <w:right w:val="outset" w:sz="6" w:space="0" w:color="auto"/>
            </w:tcBorders>
            <w:hideMark/>
          </w:tcPr>
          <w:p w14:paraId="7CCEAD5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900" w:type="dxa"/>
            <w:tcBorders>
              <w:top w:val="outset" w:sz="6" w:space="0" w:color="auto"/>
              <w:left w:val="outset" w:sz="6" w:space="0" w:color="auto"/>
              <w:bottom w:val="outset" w:sz="6" w:space="0" w:color="auto"/>
              <w:right w:val="outset" w:sz="6" w:space="0" w:color="auto"/>
            </w:tcBorders>
            <w:hideMark/>
          </w:tcPr>
          <w:p w14:paraId="1FDD359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900" w:type="dxa"/>
            <w:tcBorders>
              <w:top w:val="outset" w:sz="6" w:space="0" w:color="auto"/>
              <w:left w:val="outset" w:sz="6" w:space="0" w:color="auto"/>
              <w:bottom w:val="outset" w:sz="6" w:space="0" w:color="auto"/>
              <w:right w:val="outset" w:sz="6" w:space="0" w:color="auto"/>
            </w:tcBorders>
            <w:hideMark/>
          </w:tcPr>
          <w:p w14:paraId="045E41F8"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720" w:type="dxa"/>
            <w:tcBorders>
              <w:top w:val="outset" w:sz="6" w:space="0" w:color="auto"/>
              <w:left w:val="outset" w:sz="6" w:space="0" w:color="auto"/>
              <w:bottom w:val="outset" w:sz="6" w:space="0" w:color="auto"/>
              <w:right w:val="outset" w:sz="6" w:space="0" w:color="auto"/>
            </w:tcBorders>
            <w:hideMark/>
          </w:tcPr>
          <w:p w14:paraId="2F15859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080" w:type="dxa"/>
            <w:tcBorders>
              <w:top w:val="outset" w:sz="6" w:space="0" w:color="auto"/>
              <w:left w:val="outset" w:sz="6" w:space="0" w:color="auto"/>
              <w:bottom w:val="outset" w:sz="6" w:space="0" w:color="auto"/>
              <w:right w:val="outset" w:sz="6" w:space="0" w:color="auto"/>
            </w:tcBorders>
            <w:hideMark/>
          </w:tcPr>
          <w:p w14:paraId="67B291B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w:t>
            </w:r>
          </w:p>
        </w:tc>
        <w:tc>
          <w:tcPr>
            <w:tcW w:w="720" w:type="dxa"/>
            <w:tcBorders>
              <w:top w:val="outset" w:sz="6" w:space="0" w:color="auto"/>
              <w:left w:val="outset" w:sz="6" w:space="0" w:color="auto"/>
              <w:bottom w:val="outset" w:sz="6" w:space="0" w:color="auto"/>
              <w:right w:val="outset" w:sz="6" w:space="0" w:color="auto"/>
            </w:tcBorders>
            <w:hideMark/>
          </w:tcPr>
          <w:p w14:paraId="488C616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c>
          <w:tcPr>
            <w:tcW w:w="840" w:type="dxa"/>
            <w:tcBorders>
              <w:top w:val="outset" w:sz="6" w:space="0" w:color="auto"/>
              <w:left w:val="outset" w:sz="6" w:space="0" w:color="auto"/>
              <w:bottom w:val="outset" w:sz="6" w:space="0" w:color="auto"/>
              <w:right w:val="outset" w:sz="6" w:space="0" w:color="auto"/>
            </w:tcBorders>
            <w:hideMark/>
          </w:tcPr>
          <w:p w14:paraId="4C82BE4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4EC9C92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c>
          <w:tcPr>
            <w:tcW w:w="945" w:type="dxa"/>
            <w:tcBorders>
              <w:top w:val="outset" w:sz="6" w:space="0" w:color="auto"/>
              <w:left w:val="outset" w:sz="6" w:space="0" w:color="auto"/>
              <w:bottom w:val="outset" w:sz="6" w:space="0" w:color="auto"/>
              <w:right w:val="outset" w:sz="6" w:space="0" w:color="auto"/>
            </w:tcBorders>
            <w:hideMark/>
          </w:tcPr>
          <w:p w14:paraId="2E36116B"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r>
      <w:tr w:rsidR="008127F8" w:rsidRPr="008127F8" w14:paraId="6171C23B"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C869515"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080" w:type="dxa"/>
            <w:tcBorders>
              <w:top w:val="outset" w:sz="6" w:space="0" w:color="auto"/>
              <w:left w:val="outset" w:sz="6" w:space="0" w:color="auto"/>
              <w:bottom w:val="outset" w:sz="6" w:space="0" w:color="auto"/>
              <w:right w:val="outset" w:sz="6" w:space="0" w:color="auto"/>
            </w:tcBorders>
            <w:hideMark/>
          </w:tcPr>
          <w:p w14:paraId="7211FE9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1327</w:t>
            </w:r>
          </w:p>
        </w:tc>
        <w:tc>
          <w:tcPr>
            <w:tcW w:w="900" w:type="dxa"/>
            <w:tcBorders>
              <w:top w:val="outset" w:sz="6" w:space="0" w:color="auto"/>
              <w:left w:val="outset" w:sz="6" w:space="0" w:color="auto"/>
              <w:bottom w:val="outset" w:sz="6" w:space="0" w:color="auto"/>
              <w:right w:val="outset" w:sz="6" w:space="0" w:color="auto"/>
            </w:tcBorders>
            <w:hideMark/>
          </w:tcPr>
          <w:p w14:paraId="376127B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1259</w:t>
            </w:r>
            <w:hyperlink r:id="rId42" w:anchor="_ftn1" w:history="1">
              <w:r w:rsidRPr="008127F8">
                <w:rPr>
                  <w:rFonts w:ascii="Times New Roman" w:hAnsi="Times New Roman"/>
                  <w:color w:val="000000" w:themeColor="text1"/>
                  <w:sz w:val="16"/>
                  <w:szCs w:val="16"/>
                </w:rPr>
                <w:t>[1]</w:t>
              </w:r>
            </w:hyperlink>
          </w:p>
        </w:tc>
        <w:tc>
          <w:tcPr>
            <w:tcW w:w="900" w:type="dxa"/>
            <w:tcBorders>
              <w:top w:val="outset" w:sz="6" w:space="0" w:color="auto"/>
              <w:left w:val="outset" w:sz="6" w:space="0" w:color="auto"/>
              <w:bottom w:val="outset" w:sz="6" w:space="0" w:color="auto"/>
              <w:right w:val="outset" w:sz="6" w:space="0" w:color="auto"/>
            </w:tcBorders>
            <w:hideMark/>
          </w:tcPr>
          <w:p w14:paraId="253DACA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720" w:type="dxa"/>
            <w:tcBorders>
              <w:top w:val="outset" w:sz="6" w:space="0" w:color="auto"/>
              <w:left w:val="outset" w:sz="6" w:space="0" w:color="auto"/>
              <w:bottom w:val="outset" w:sz="6" w:space="0" w:color="auto"/>
              <w:right w:val="outset" w:sz="6" w:space="0" w:color="auto"/>
            </w:tcBorders>
            <w:hideMark/>
          </w:tcPr>
          <w:p w14:paraId="4A15C209"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w:t>
            </w:r>
          </w:p>
        </w:tc>
        <w:tc>
          <w:tcPr>
            <w:tcW w:w="1080" w:type="dxa"/>
            <w:tcBorders>
              <w:top w:val="outset" w:sz="6" w:space="0" w:color="auto"/>
              <w:left w:val="outset" w:sz="6" w:space="0" w:color="auto"/>
              <w:bottom w:val="outset" w:sz="6" w:space="0" w:color="auto"/>
              <w:right w:val="outset" w:sz="6" w:space="0" w:color="auto"/>
            </w:tcBorders>
            <w:hideMark/>
          </w:tcPr>
          <w:p w14:paraId="3FC1A9AA"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687</w:t>
            </w:r>
          </w:p>
        </w:tc>
        <w:tc>
          <w:tcPr>
            <w:tcW w:w="720" w:type="dxa"/>
            <w:tcBorders>
              <w:top w:val="outset" w:sz="6" w:space="0" w:color="auto"/>
              <w:left w:val="outset" w:sz="6" w:space="0" w:color="auto"/>
              <w:bottom w:val="outset" w:sz="6" w:space="0" w:color="auto"/>
              <w:right w:val="outset" w:sz="6" w:space="0" w:color="auto"/>
            </w:tcBorders>
            <w:hideMark/>
          </w:tcPr>
          <w:p w14:paraId="0396A2CC"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w:t>
            </w:r>
          </w:p>
        </w:tc>
        <w:tc>
          <w:tcPr>
            <w:tcW w:w="840" w:type="dxa"/>
            <w:tcBorders>
              <w:top w:val="outset" w:sz="6" w:space="0" w:color="auto"/>
              <w:left w:val="outset" w:sz="6" w:space="0" w:color="auto"/>
              <w:bottom w:val="outset" w:sz="6" w:space="0" w:color="auto"/>
              <w:right w:val="outset" w:sz="6" w:space="0" w:color="auto"/>
            </w:tcBorders>
            <w:hideMark/>
          </w:tcPr>
          <w:p w14:paraId="44F01CE3"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200" w:type="dxa"/>
            <w:tcBorders>
              <w:top w:val="outset" w:sz="6" w:space="0" w:color="auto"/>
              <w:left w:val="outset" w:sz="6" w:space="0" w:color="auto"/>
              <w:bottom w:val="outset" w:sz="6" w:space="0" w:color="auto"/>
              <w:right w:val="outset" w:sz="6" w:space="0" w:color="auto"/>
            </w:tcBorders>
            <w:hideMark/>
          </w:tcPr>
          <w:p w14:paraId="4A9113D2"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2057</w:t>
            </w:r>
          </w:p>
        </w:tc>
        <w:tc>
          <w:tcPr>
            <w:tcW w:w="945" w:type="dxa"/>
            <w:tcBorders>
              <w:top w:val="outset" w:sz="6" w:space="0" w:color="auto"/>
              <w:left w:val="outset" w:sz="6" w:space="0" w:color="auto"/>
              <w:bottom w:val="outset" w:sz="6" w:space="0" w:color="auto"/>
              <w:right w:val="outset" w:sz="6" w:space="0" w:color="auto"/>
            </w:tcBorders>
            <w:hideMark/>
          </w:tcPr>
          <w:p w14:paraId="3AB23396"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r>
    </w:tbl>
    <w:p w14:paraId="643528DF"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387 Федин</w:t>
      </w:r>
    </w:p>
    <w:p w14:paraId="666DF23D"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бухгалтер Прудовский (15494).</w:t>
      </w:r>
    </w:p>
    <w:p w14:paraId="22F2F856" w14:textId="77777777" w:rsidR="00FB01DD" w:rsidRPr="008127F8" w:rsidRDefault="00FB01DD" w:rsidP="001E0A84">
      <w:pPr>
        <w:spacing w:after="0" w:line="240" w:lineRule="auto"/>
        <w:jc w:val="both"/>
        <w:rPr>
          <w:rFonts w:ascii="Times New Roman" w:hAnsi="Times New Roman"/>
          <w:color w:val="000000" w:themeColor="text1"/>
          <w:sz w:val="16"/>
          <w:szCs w:val="16"/>
        </w:rPr>
      </w:pPr>
    </w:p>
    <w:p w14:paraId="5E2DBD7A"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BCAE1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80FCD"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w:t>
      </w:r>
    </w:p>
    <w:p w14:paraId="08F31D24"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9 лист 181а</w:t>
      </w:r>
    </w:p>
    <w:p w14:paraId="71B1B69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 1.II.42 г. № 1094</w:t>
      </w:r>
    </w:p>
    <w:p w14:paraId="49B751E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p>
    <w:p w14:paraId="18CE76B8"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3AD3C3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СОЮЗА ССР</w:t>
      </w:r>
    </w:p>
    <w:p w14:paraId="67EC2634"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44сс</w:t>
      </w:r>
    </w:p>
    <w:p w14:paraId="69828E6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509CF1E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w:t>
      </w:r>
    </w:p>
    <w:p w14:paraId="2FF8525B" w14:textId="06056D30"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распоряжения СНК Союза ССР от 20.I-с.г. за № 1018-рс по вопросу обеспечения кислородом Сталинградских танковых заводов ПРИКАЗЫВАЮ:</w:t>
      </w:r>
      <w:r w:rsidR="008127F8">
        <w:rPr>
          <w:rFonts w:ascii="Times New Roman" w:hAnsi="Times New Roman"/>
          <w:color w:val="000000" w:themeColor="text1"/>
          <w:sz w:val="16"/>
          <w:szCs w:val="16"/>
        </w:rPr>
        <w:t xml:space="preserve">  </w:t>
      </w:r>
    </w:p>
    <w:p w14:paraId="647C2C12" w14:textId="76DD2A92"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173 тов. ШОР немедленно отгрузить одну кислородную установку производительностью 100 куб. м. в час в адрес завода № 264.</w:t>
      </w:r>
      <w:r w:rsidR="008127F8">
        <w:rPr>
          <w:rFonts w:ascii="Times New Roman" w:hAnsi="Times New Roman"/>
          <w:color w:val="000000" w:themeColor="text1"/>
          <w:sz w:val="16"/>
          <w:szCs w:val="16"/>
        </w:rPr>
        <w:t xml:space="preserve">  </w:t>
      </w:r>
    </w:p>
    <w:p w14:paraId="0AB3A587" w14:textId="12DEB528"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264 тов. ЗЕРНОВУ немедленно выслать своих представителей для приема указанной установки и учесть, что данным распоряжением СНК предусмотрено откомандирование двух специалистов по кислородному делу из Наркомтяжмаша для оказания помощи заводу № 264 по монтажу и пуску данной установки.</w:t>
      </w:r>
      <w:r w:rsidR="008127F8">
        <w:rPr>
          <w:rFonts w:ascii="Times New Roman" w:hAnsi="Times New Roman"/>
          <w:color w:val="000000" w:themeColor="text1"/>
          <w:sz w:val="16"/>
          <w:szCs w:val="16"/>
        </w:rPr>
        <w:t xml:space="preserve">  </w:t>
      </w:r>
    </w:p>
    <w:p w14:paraId="28E1F09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И.о. начальника Транспортного отдела НКТП тов. СМИРНОВУ обеспечить быстрое продвижение кислородной установки и учесть, что данное распоряжение обязывает НКСП (тов. ДУБРОВИНА) немедленно подать 5 вагонов на Омский з-д № 173 под перевозку кислородной установки и обеспечить беспрепятственное продвижение ее в адрес завода № 264 в гор. Сталинград.</w:t>
      </w:r>
    </w:p>
    <w:p w14:paraId="7ED8258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СССР</w:t>
      </w:r>
    </w:p>
    <w:p w14:paraId="45238C5F"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(КОТИН)</w:t>
      </w:r>
    </w:p>
    <w:p w14:paraId="7FCCEF80" w14:textId="008FB095"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Отпеч. 1 экз.</w:t>
      </w:r>
      <w:r w:rsidR="008127F8">
        <w:rPr>
          <w:rFonts w:ascii="Times New Roman" w:hAnsi="Times New Roman"/>
          <w:color w:val="000000" w:themeColor="text1"/>
          <w:sz w:val="16"/>
          <w:szCs w:val="16"/>
        </w:rPr>
        <w:t xml:space="preserve">  </w:t>
      </w:r>
    </w:p>
    <w:p w14:paraId="740CFD47"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Баженов (1843).</w:t>
      </w:r>
    </w:p>
    <w:p w14:paraId="315D8FB2" w14:textId="77777777" w:rsidR="00391210" w:rsidRPr="008127F8" w:rsidRDefault="00391210" w:rsidP="001E0A84">
      <w:pPr>
        <w:spacing w:after="0" w:line="240" w:lineRule="auto"/>
        <w:jc w:val="both"/>
        <w:rPr>
          <w:rFonts w:ascii="Times New Roman" w:hAnsi="Times New Roman"/>
          <w:color w:val="000000" w:themeColor="text1"/>
          <w:sz w:val="16"/>
          <w:szCs w:val="16"/>
        </w:rPr>
      </w:pPr>
    </w:p>
    <w:p w14:paraId="49F44C37" w14:textId="7DE57B48"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shd w:val="clear" w:color="auto" w:fill="FFFFFF"/>
        </w:rPr>
        <w:t xml:space="preserve">3 февраля 1942 года, согласно отчету военинженера 2-го ранга В.П. Окунева, старшего военпреда на </w:t>
      </w:r>
      <w:proofErr w:type="gramStart"/>
      <w:r w:rsidRPr="008127F8">
        <w:rPr>
          <w:color w:val="000000" w:themeColor="text1"/>
          <w:sz w:val="16"/>
          <w:szCs w:val="16"/>
          <w:shd w:val="clear" w:color="auto" w:fill="FFFFFF"/>
        </w:rPr>
        <w:t>ГАЗ,</w:t>
      </w:r>
      <w:r w:rsidR="008127F8">
        <w:rPr>
          <w:color w:val="000000" w:themeColor="text1"/>
          <w:sz w:val="16"/>
          <w:szCs w:val="16"/>
          <w:shd w:val="clear" w:color="auto" w:fill="FFFFFF"/>
        </w:rPr>
        <w:t xml:space="preserve">  </w:t>
      </w:r>
      <w:r w:rsidRPr="008127F8">
        <w:rPr>
          <w:color w:val="000000" w:themeColor="text1"/>
          <w:sz w:val="16"/>
          <w:szCs w:val="16"/>
          <w:shd w:val="clear" w:color="auto" w:fill="FFFFFF"/>
        </w:rPr>
        <w:t xml:space="preserve"> </w:t>
      </w:r>
      <w:proofErr w:type="gramEnd"/>
      <w:r w:rsidRPr="008127F8">
        <w:rPr>
          <w:color w:val="000000" w:themeColor="text1"/>
          <w:sz w:val="16"/>
          <w:szCs w:val="16"/>
          <w:shd w:val="clear" w:color="auto" w:fill="FFFFFF"/>
        </w:rPr>
        <w:t>опытный образец Т-70 был в основном собран, но не закончен из-за различных недоработок. Одним из основных факторов, которые тормозили работу, являлась загрузка СКБ КЭО по серийным заказам. По мнению военпреда, для достройки требовалось 10-15 дней. Так оно и случилось: работы по сборке опытного Т-70 закончились 14 февраля 1942 года, после чего начались заводские испытания. При этом боевая масса достигла 8,8 тонн, что лишний раз сыграло против желания усилить борта корпуса (23179).</w:t>
      </w:r>
    </w:p>
    <w:p w14:paraId="3C1CBBEA" w14:textId="77777777"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p>
    <w:p w14:paraId="0A238E9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февраля 1942 года, согласно отчету военинженера 2-го ранга В.П. Окунева, старшего военпреда на ГАЗ, опытный образец Т-70 был в основном собран, но не закончен из-за различных недоработок. Одним из основных факторов, которые тормозили работу, являлась загрузка СКБ КЭО по серийным заказам. По мнению военпреда, для достройки требовалось 10-15 дней. Так оно и случилось: работы по сборке опытного Т-70 закончились 14 февраля 1942 года, после чего начались заводские испытания. При этом боевая масса достигла 8,8 тонн, что лишний раз сыграло против желания усилить борта корпуса (24235).</w:t>
      </w:r>
    </w:p>
    <w:p w14:paraId="11222C1F" w14:textId="77777777" w:rsidR="006646AF" w:rsidRPr="008A2E5A" w:rsidRDefault="006646AF" w:rsidP="006646AF">
      <w:pPr>
        <w:spacing w:after="0" w:line="240" w:lineRule="auto"/>
        <w:jc w:val="both"/>
        <w:rPr>
          <w:rFonts w:ascii="Times New Roman" w:hAnsi="Times New Roman"/>
          <w:color w:val="0070C0"/>
          <w:sz w:val="16"/>
          <w:szCs w:val="16"/>
        </w:rPr>
      </w:pPr>
    </w:p>
    <w:p w14:paraId="6D5E5FB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нашей Военной миссии был продемонстрирован танк типа «Черчилль». Представители Министерства снабжения и Военного Министерства сделали предложение о поставке танков «Черчилль», причем в первый месяц предлагают поставить 25 штук, как бы для ис</w:t>
      </w:r>
      <w:r w:rsidRPr="008127F8">
        <w:rPr>
          <w:rFonts w:ascii="Times New Roman" w:hAnsi="Times New Roman"/>
          <w:color w:val="000000" w:themeColor="text1"/>
          <w:sz w:val="16"/>
          <w:szCs w:val="16"/>
        </w:rPr>
        <w:softHyphen/>
        <w:t>пытания, а после нашего согласия по 50 штук ежемесячно (11211).</w:t>
      </w:r>
    </w:p>
    <w:p w14:paraId="588B48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56E5EB" w14:textId="77777777" w:rsidR="00FB01DD" w:rsidRPr="008127F8" w:rsidRDefault="00FB01DD"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года военпред бронетанкового управления ГАБТУ КА на ГАЗе военинженер 1-го ранга Окунев докладывал: «По опытным работам. В настоящее время готовится к отправке в Москву броневик ГАЗ-64…» (15218).</w:t>
      </w:r>
    </w:p>
    <w:p w14:paraId="0ABF5D1D" w14:textId="77777777" w:rsidR="00FB01DD" w:rsidRPr="008127F8" w:rsidRDefault="00FB01DD" w:rsidP="001E0A84">
      <w:pPr>
        <w:widowControl w:val="0"/>
        <w:spacing w:after="0" w:line="240" w:lineRule="auto"/>
        <w:jc w:val="both"/>
        <w:rPr>
          <w:rFonts w:ascii="Times New Roman" w:hAnsi="Times New Roman"/>
          <w:color w:val="000000" w:themeColor="text1"/>
          <w:sz w:val="16"/>
          <w:szCs w:val="16"/>
        </w:rPr>
      </w:pPr>
    </w:p>
    <w:p w14:paraId="6A63D50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2EFA5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7033C"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 февраля 1942 года Оперативная сводка Совинформбюро</w:t>
      </w:r>
    </w:p>
    <w:p w14:paraId="1E03BCA9"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3 февраля</w:t>
      </w:r>
    </w:p>
    <w:p w14:paraId="10696B26" w14:textId="77777777" w:rsidR="001D6054" w:rsidRPr="008127F8" w:rsidRDefault="001D6054" w:rsidP="001E0A84">
      <w:pPr>
        <w:spacing w:after="0" w:line="240" w:lineRule="auto"/>
        <w:jc w:val="both"/>
        <w:rPr>
          <w:rFonts w:ascii="Times New Roman" w:eastAsia="Times New Roman" w:hAnsi="Times New Roman"/>
          <w:b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3 февраля наши войска продолжали вести активные действия против немецко-фашистских войск.</w:t>
      </w:r>
    </w:p>
    <w:p w14:paraId="37405CC8"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3 февраля</w:t>
      </w:r>
    </w:p>
    <w:p w14:paraId="3B34458A"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3 февраля наши войска на большинстве участков фронта продолжали вести наступательные бои. Противник вводил в бой новые резервы. На некоторых участках фронта вражеские войска переходили в контратаки, которые были отбиты с большими для немцев потерями. Наши войска вновь продвинулись вперёд.</w:t>
      </w:r>
    </w:p>
    <w:p w14:paraId="5F5C93A6"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2 февраля сбито в воздушных боях 5 и уничтожено на аэродромах 16 немецких самолётов. Всего за этот день уничтожен 21 самолёт противника. Наши потери 6 самолётов.</w:t>
      </w:r>
    </w:p>
    <w:p w14:paraId="7D99434F"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3 февраля под Москвой сбито 9 немецких самолётов.</w:t>
      </w:r>
    </w:p>
    <w:p w14:paraId="7BB81F23"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2 февраля частями нашей авиации уничтожено 2 немецких танка, 145 автомашин с войсками и грузами, 180 подвод с боеприпасами, 12 орудий с прислугой, 2 зенитно-пулемётные точки, разбито 7 железнодорожных вагонов, уничтожено и рассеяно до двух батальонов пехоты противника (15024).</w:t>
      </w:r>
    </w:p>
    <w:p w14:paraId="618F8237"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p>
    <w:p w14:paraId="598365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вышло Постановление ГКО № 1238 О первом и втором заместителях командующего ВВС Красной Армии. РГАНИР, Фонд ГКО, д. 20, лл. 214 (11012).</w:t>
      </w:r>
    </w:p>
    <w:p w14:paraId="20DD94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307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 А.А.Губанов на ЛаГГ-3 в одном бою сбил три Bf 109 (4707).</w:t>
      </w:r>
    </w:p>
    <w:p w14:paraId="5C729A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3B2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Группа Центр начала контрнаступление под Вязьмой, отрезав и окружив несколько советских дивизий (3819).</w:t>
      </w:r>
    </w:p>
    <w:p w14:paraId="4435EB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0CE87"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февраля</w:t>
      </w:r>
      <w:r w:rsidRPr="008127F8">
        <w:rPr>
          <w:rFonts w:ascii="Times New Roman" w:hAnsi="Times New Roman"/>
          <w:color w:val="000000" w:themeColor="text1"/>
          <w:sz w:val="16"/>
          <w:szCs w:val="16"/>
        </w:rPr>
        <w:t xml:space="preserve"> в 1942 году немецкие войска отрезали группировку советских войск под Вязьмой от основной массы советских войск (15029).</w:t>
      </w:r>
    </w:p>
    <w:p w14:paraId="2B200555" w14:textId="77777777" w:rsidR="00FB01DD" w:rsidRPr="008127F8" w:rsidRDefault="00FB01DD" w:rsidP="001E0A84">
      <w:pPr>
        <w:spacing w:after="0" w:line="240" w:lineRule="auto"/>
        <w:jc w:val="both"/>
        <w:rPr>
          <w:rFonts w:ascii="Times New Roman" w:hAnsi="Times New Roman"/>
          <w:color w:val="000000" w:themeColor="text1"/>
          <w:sz w:val="16"/>
          <w:szCs w:val="16"/>
        </w:rPr>
      </w:pPr>
    </w:p>
    <w:p w14:paraId="06796420" w14:textId="77777777" w:rsidR="00FB01DD" w:rsidRPr="008127F8" w:rsidRDefault="00FB01D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февраля</w:t>
      </w:r>
      <w:r w:rsidRPr="008127F8">
        <w:rPr>
          <w:rFonts w:ascii="Times New Roman" w:hAnsi="Times New Roman"/>
          <w:color w:val="000000" w:themeColor="text1"/>
          <w:sz w:val="16"/>
          <w:szCs w:val="16"/>
        </w:rPr>
        <w:t xml:space="preserve"> в 1942 году в Бузулуке начал создаваться 1-й отдельный. Чехословацкий пехотный батальон (во главе с подполковником Людвигом Свободой) (15029).</w:t>
      </w:r>
    </w:p>
    <w:p w14:paraId="7A02D5B8" w14:textId="77777777" w:rsidR="00FB01DD" w:rsidRPr="008127F8" w:rsidRDefault="00FB01DD" w:rsidP="001E0A84">
      <w:pPr>
        <w:spacing w:after="0" w:line="240" w:lineRule="auto"/>
        <w:jc w:val="both"/>
        <w:rPr>
          <w:rFonts w:ascii="Times New Roman" w:hAnsi="Times New Roman"/>
          <w:color w:val="000000" w:themeColor="text1"/>
          <w:sz w:val="16"/>
          <w:szCs w:val="16"/>
        </w:rPr>
      </w:pPr>
    </w:p>
    <w:p w14:paraId="59CDF99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вышло Постановление ГКО № 1236 О передислокации эвакогоспиталей [из САВО, СибВО, УрВО во фронтовой район и район ближнего тыла.] (7021, 211,212).</w:t>
      </w:r>
    </w:p>
    <w:p w14:paraId="4DECF88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0782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Ночь с 3 на 4 февраля 1941 в районе Москвы и восточнее ее была ясной и лунной. Около полуночи наблюдательный пост ВНОС, расположенный в районе поселка Вязники, заметил одиночный самолет, который с включенными габаритными огнями летел в направлении Горького. По внешним признакам наблюдатели опознали его как пассажирский или транспортный. Данные об этом были вскоре переданы в штаб Горьковского диврайона ПВО. Дежурный по району капитан Коробицкий счел информацию о приближающемся самолете не заслуживающей внимания и даже не доложил о ней своему командиру, находившемуся рядом на КП. Зенитные батареи молчали, спокойствие царило и на аэродромах 142-й ИАД, разбросанных вокруг Горького. На заводах в промерзших цехах уставшие рабочие ночной смены продолжали трудиться, изредка устраивая перекуры. На ГАЗе, несмотря на позднее время, тоже кипела работа, с конвейеров регулярно сходили грузовики, танки и бронемашины. Вдруг размеренный шум станков и агрегатов пронзил жуткий истошный вой, и вслед за этим прогремели два мощных взрыва. Вначале многим даже показалось, что произошла какая-то авария. В штабе диврайона также все были в смятении. Сразу после сообщения о взрывах на автозаводе, в 01.55, наспех был отдан приказ объявить воздушную тревогу, а зенитным батареям – открыть огонь. Но никто не знал, куда и в кого стрелять. Выбегавшие из своих землянок зенитчики сломя голову мчались к орудиям и с ходу начинали палить в небо, в котором, кроме полной луны и взлетающих из разных районов города сигнальных ракет, ничего не было видно. Бомбежка оказалась настолько неожиданной, что пожарные команды ГАЗа тоже оказались в полном замешательстве. Вскоре выяснилось, что одна фугасная бомба попала в моторный цех № 2, вторая – разорвалась в травильном отделении колесного цеха. Возникший очаг пожара не удалось своевременно локализовать, и он принял опасные размеры. Пришлось вызывать автонасосы ВПЧ № 20. Моторный цех № 2 горел в течение семи часов и получил серьезные повреждения. Погибли 17 рабочих ночной смены, оказавшихся в эпицентре взрывов, еще 40 человек получили ранения. Когда над Горьким начало всходить розовое февральское солнце, жители еще могли наблюдать большие клубы дыма и пара, поднимающиеся над заречной частью города. По улицам мгновенно поползли самые различные слухи. Одни рассказывали о сотнях сигнальных ракет, взмывавших в небо из нагорных и заречных районов, другие обсасывали подробности новой бомбардировки автозавода. Штаб диврайона ПВО пребывал в недоумении, почему вроде бы отлаженная за три месяца затишья система обнаружения вражеских самолетов дала сбой. Тем временем короткий февральский день быстро закончился, и над взбудораженным городом вновь опустилась темнота. Но и следующая морозная ночь не принесла покоя. В 02.35 жители сначала услышали протяжные гудки сигналов «Воздушная тревога», а затем надрывные хлопки зениток. И снова темное зимнее небо пронзили разноцветные сигнальные ракеты, то тут, то там освещавшие целые кварталы затаившегося в затемнении огромного города. Откуда именно их выстреливали, разглядеть было трудно, можно было лишь сделать вывод, что пуски производятся из разных районов, независимо друг от друга. У каждого, кто это видел, невольно возникала жуткая мысль, что в Горьком орудуют десятки и даже сотни вражеских шпионов. А между тем над городом вновь появился немецкий бомбардировщик, опять сбросивший две фугасных бомбы. Они взорвались рядом с новокузовным корпусом ГАЗа, в котором собирались танки Т-60. В здании были выбиты стекла и поврежден фидер № 104. На трамвайном кольце 8-го маршрута взрывной волной повредило три столба и оборвало провода. Один человек погиб, еще двое получили ранения. Еще три мощных взрыва сотрясли поселок Стахановский, расположенный неподалеку от автозавода. Позднее обнаружилось, что в жилом секторе пострадали три дома, погиб один человек и трое получили ранения. В 02.40 объектовые команды МПВО приступили к ликвидации очагов поражения и уже через 50 минут отчитались об исполнении. Зенитные батареи в течение ночи вели интенсивный заградительный огонь, выпустив около 3000 снарядов, но без каких-либо видимых результатов (11774).</w:t>
      </w:r>
    </w:p>
    <w:p w14:paraId="1615F8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3F20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097E2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B6BC0" w14:textId="77777777" w:rsidR="00AA0DF5" w:rsidRPr="008127F8" w:rsidRDefault="00AA0DF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Открылись рестораны первого класса во всех девяти железнодорожных вокзалах. Завтраки, обеды и ужины в них отпускались без карточек, по коммерческим ценам, установленным Наркомторгом СССР (18696).</w:t>
      </w:r>
    </w:p>
    <w:p w14:paraId="65C1A2DA" w14:textId="77777777" w:rsidR="00AA0DF5" w:rsidRPr="008127F8" w:rsidRDefault="00AA0DF5" w:rsidP="001E0A84">
      <w:pPr>
        <w:spacing w:after="0" w:line="240" w:lineRule="auto"/>
        <w:jc w:val="both"/>
        <w:rPr>
          <w:rFonts w:ascii="Times New Roman" w:hAnsi="Times New Roman"/>
          <w:color w:val="000000" w:themeColor="text1"/>
          <w:sz w:val="16"/>
          <w:szCs w:val="16"/>
        </w:rPr>
      </w:pPr>
    </w:p>
    <w:p w14:paraId="50917A0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3 февраля 1942 вышло Постановление ГКО № 1237 [Об очищении прокуратуры СЗФ от разложившихся работников.] </w:t>
      </w:r>
      <w:r w:rsidRPr="008127F8">
        <w:rPr>
          <w:rFonts w:ascii="Times New Roman" w:hAnsi="Times New Roman"/>
          <w:color w:val="000000" w:themeColor="text1"/>
          <w:sz w:val="16"/>
          <w:szCs w:val="16"/>
          <w:lang w:val="en-US"/>
        </w:rPr>
        <w:t>(7021, 213).</w:t>
      </w:r>
    </w:p>
    <w:p w14:paraId="78027F6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12DDB895"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5EFEE7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41140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3, 1942: German forces of Heeresgruppe Mitte launch a counterattack at Vjasma, cutting off and encircling several Soviet divisions (3819).</w:t>
      </w:r>
    </w:p>
    <w:p w14:paraId="54EE0C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B6428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г Роммель захватил Дерну (2261).</w:t>
      </w:r>
    </w:p>
    <w:p w14:paraId="5C5FA3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7F5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1942 японцы потребовали безоговорочной капитуляции Сингапура (2261).</w:t>
      </w:r>
    </w:p>
    <w:p w14:paraId="1E22AF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67F0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B342D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527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4 февраля по 27 марта 1942 прошли государственные испытания Ил-2 </w:t>
      </w:r>
      <w:proofErr w:type="gramStart"/>
      <w:r w:rsidRPr="008127F8">
        <w:rPr>
          <w:rFonts w:ascii="Times New Roman" w:hAnsi="Times New Roman"/>
          <w:color w:val="000000" w:themeColor="text1"/>
          <w:sz w:val="16"/>
          <w:szCs w:val="16"/>
        </w:rPr>
        <w:t>с М-82</w:t>
      </w:r>
      <w:proofErr w:type="gramEnd"/>
      <w:r w:rsidRPr="008127F8">
        <w:rPr>
          <w:rFonts w:ascii="Times New Roman" w:hAnsi="Times New Roman"/>
          <w:color w:val="000000" w:themeColor="text1"/>
          <w:sz w:val="16"/>
          <w:szCs w:val="16"/>
        </w:rPr>
        <w:t xml:space="preserve"> и машина была рекомендована в серию (3846,16).</w:t>
      </w:r>
    </w:p>
    <w:p w14:paraId="75950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A721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февраля 1942 был Доклад заместителя наркома государственного контроля СССР В. Ф. Попова председателю ГКО СССР И. В, Сталину «О работе завода № 153 Наркомавиапрома»</w:t>
      </w:r>
    </w:p>
    <w:p w14:paraId="14F8040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Наркоматом государственного контроля Союза ССР произведена проверка производственной деятельности самолетного завода № 153 Наркомавиапрома в г. Новосибирске. Проверкой установлено:</w:t>
      </w:r>
    </w:p>
    <w:p w14:paraId="09C0077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территорию завода № 153 НКАП эвакуированы и объединены с ним 5 самолетных заводов (№ 23, 43, 115, 301 и 388); прибывшее оборудование в основном смонтировано и пущено в эксплуатацию. Завод № 153 превратился в один из крупнейших самолетных заводов, имеющий в своем составе свыше 2,8 тыс. ед. оборудования, в том еле около 2 тыс. ед. металлорежущего, и более 13 тыс. рабочих.</w:t>
      </w:r>
    </w:p>
    <w:p w14:paraId="26EB488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Оснащенность завода оборудованием и удовлетворительное укомплектование рабочими кадрами создали условия для полного выполнения плана производства самолетов.</w:t>
      </w:r>
    </w:p>
    <w:p w14:paraId="2B4A5D41"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Однако завод систематически срывает задания Государственного комитета </w:t>
      </w:r>
      <w:proofErr w:type="gramStart"/>
      <w:r w:rsidRPr="008A2E5A">
        <w:rPr>
          <w:rFonts w:ascii="Times New Roman" w:hAnsi="Times New Roman"/>
          <w:color w:val="0070C0"/>
          <w:sz w:val="16"/>
          <w:szCs w:val="16"/>
        </w:rPr>
        <w:t>обороны[ по</w:t>
      </w:r>
      <w:proofErr w:type="gramEnd"/>
      <w:r w:rsidRPr="008A2E5A">
        <w:rPr>
          <w:rFonts w:ascii="Times New Roman" w:hAnsi="Times New Roman"/>
          <w:color w:val="0070C0"/>
          <w:sz w:val="16"/>
          <w:szCs w:val="16"/>
        </w:rPr>
        <w:t xml:space="preserve"> выпуску самолетов и недодает фронту значительное количество боевых машин.</w:t>
      </w:r>
    </w:p>
    <w:p w14:paraId="5EE843E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Государственного комитета обороны № 860сс от 2 ноября 1941 г. № 153 должен был выпустить в ноябре 1941 г. 130 самолетов ЛаГГ-3 и 10 самолетов Як-1; фактически завод сдал в ноябре только 54 самолета ЛаГГ-3 (41,5% плана) и не одной машины Як-1. В декабре 1941 г. постановлением Государственного комитета обороны № 872сс от 9 ноября 1941 г. завод обязан был выпустить 176 самолетов ЛаГГ-3 и 32 самолета Як-1; фактически сдано заводом в декабре лишь 76 самолетов ЛаГГ-3 и 24 самолета Як-1 (75%). Только за указанные два месяца недодано заводом фронту 194 боевых самолета. В январе 1942 г. завод также не выполнил установленного плана выпуска машин: сдано 65 самолетов ЛаГГ-3 вместо 100 шт. по плану и 7 самолетов Як-3 вместо 50 шт. При этом выпущенные из производства самолеты своевренно не отправляются фронту. В результате длительного облета машин, медленного устранения многочисленных дефектов, выявляемых при облете, несвоевременного комплектования лыжами и агрегатами (радиаторы, редукторы, винты) систематически накапливается на аэродроме завода большое количество самолетов, оформленных сдаными ВВС К А, но не готовых к отправке на фронт. Распущенность в организации произдства и беспечное отношение Наркомавиапрома к наведению должного порядка на заводе № 153 поставили этот завод в исключительно тяжелое положение.</w:t>
      </w:r>
    </w:p>
    <w:p w14:paraId="0F81E51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пороками в работе завода являются: плохая подготовка и организация производства, широко применяющиеся кустарные методы в работе и, как следствие этого, низкая производительность труда, большой брак в производстве, слабая трудовая и производственная дисциплина и частая смена руководящих работников цехов и заводоуправления.</w:t>
      </w:r>
    </w:p>
    <w:p w14:paraId="053E539D"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Руководящие работники завода свыклись с этими крупнейшими недостатками, охотно рассказывают о них, однако эффективных мер к улучшению работы завода не принимают. Директор завода Романов П. С. в своих объяснениях Наркомату тоскойтроля пишет: «Освоение самолета ЛаГГ-3 на заводе № 153 проходило крайне медленно, подготовка производства велась плохо, технология находилась на низком уровне, что наряду с большим количеством проведенных изменений, неудовлетворительной оснащенностью техпроцесса, значительными недостатками в организации производства, трудовой дисциплины и другими пороками в работе завода обусловило низкую производительность рабочих и оборудования». Начальник планового отдела завода т. Маслов П. А. также пишет: «Завод работает плохо, заделы имеет недостаточные, график почти систематически не выполняется».</w:t>
      </w:r>
    </w:p>
    <w:p w14:paraId="431A609D"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Освоение производства самолетов ЛаГГ-3 было начато на заводе № 153 в конце 1940 г., однако до сих пор не внедрена в цехах серийная технология. Производство крайне неудовлетворительно оснащено стапелями, приспособлениями и инструментом. Ручной труд в значительной мере преобладает над механическим. Подгонки по месту в сборочных и агрегатных цехах стали узаконенным явлением.</w:t>
      </w:r>
    </w:p>
    <w:p w14:paraId="65F931D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протяжении 1941 г. завод изготовил лишь 66% потребной по технологии оснастки для производства самолетов ЛаГГ-3. Недостающая оснастка падает главным образом на наиболее лимитирующие цехи завода. Так, цех № 2 (штамповочный), по вине которого простаивают агрегатные цехи завода, имеет лишь половину требуемой оснастки. Ручной труд в этом цехе в 3 раза превышает механический. Цех № 1 (арматурный</w:t>
      </w:r>
    </w:p>
    <w:p w14:paraId="23F8DD0B"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обеспечен приспособлениями на 60%, цех № 25 (шасси) — на 52%, цех № 4 (слесарно-сварочный) — на 61%, цех № 6 (фюзеляжный) — на 55%, цех № 43 (центропланный) — на 46% и, наконец, механический цех № 3 — только на 30%. Даже в легкодоступных случаях своевременно не внедряются простейшие усовершенствования технологии. Так, на сборке закрылков, щитков колес, профилей капота до сих пор применяется ручная клепка вместо пневматической. В ряде случаев детали, при наличии штампов, изготовляются вручную.</w:t>
      </w:r>
    </w:p>
    <w:p w14:paraId="1D44B8B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Сборочный цех завода загружен несвойственными ему работами. В этом цехе до последнего времени производилась подгонка необшитого крыла к центроплану; после наклейки обшивки крыло давало перекос и вторично подгонялось к центроплану. Часть клееных работ по центроплану производилась также в цехе № 9, где отсутствуют специальная оснастка, нормальная температура и необходимая влажность воздуха. Все это осложняло монтаж самолетов и приводило к длительным задержкам производства. Монтаж хвостового оперения передавался несколько раз из цеха № 9 в цех № 60 и обратно.</w:t>
      </w:r>
    </w:p>
    <w:p w14:paraId="706F873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ни тот, ни другой цех не изготовляли шаблонов для вырезов отверстий в рамах фюзеляжа под тяги ручного управления. Эти вырезы делались в цехе № 9 по месту, в тяжелых условиях. Моторамы также стыковались без оснастки, что приводило к деформации подкосов и в ряде случаев делало невозможным нормальную установку моторов.</w:t>
      </w:r>
    </w:p>
    <w:p w14:paraId="01A34C6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цехе № 17 (механический) 25 наименований деталей изготавливаются из целого куска металла вместо штамповки, в то же время кузнечный цех, располагающий свободными мощностями оборудования, не производит этих работ из-за отсутствия штампов.</w:t>
      </w:r>
    </w:p>
    <w:p w14:paraId="70B6FC5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цехе № 2 (штамповочный) большинство работ также производится вручную, тогда как имеющиеся на заводе пресс «Толледо» и молот «Чемберсбург» длительное время не вводятся в эксплуатацию.</w:t>
      </w:r>
    </w:p>
    <w:p w14:paraId="36FB3ED1"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Отсутствие на заводе продуманной серийной технологии привело к тому, что по большинству крупных агрегатов самолета нет взаимозаменяемости. Такие основные регаты, как крыло, моторама, капоты, шасси, хвостовое оперение, элероны до сих пор е взаимозаменяемы; это удлиняет цикл сборки машин и затрудняет их нормальную эесплуатацию.</w:t>
      </w:r>
    </w:p>
    <w:p w14:paraId="5FA5B98E"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неудовлетворительной организации технологического процесса отрицательо сказались также бесконечные изменения, вносимые в чертежи. Так, с 16 января по 10 декабря 1941 г. в чертежи самолета ЛаГГ-3 внесено около 12 тыс. изменений, реализация этих изменений в производстве проходит исключительно неоперативно, медленно. Прежде чем измененному чертежу попасть в производство, он должен пройти 11 инстанций, где длительное время маринуется. По этому поводу начальник СКО т. Демидов пишет: «Прежде чем попасть листку изменений на производство, проходят месяцы, в лучшем случае недели, а иногда в этом хождении лист погибает совсем. Если этой цепочке прохождений добавить разнообразие характеров и привычек различных людей: “киевских”, “ленинградских”, “горьковских”, желание людей делать так, как они делали на своем заводе, то получится хаос, в котором гибнет все живое».</w:t>
      </w:r>
    </w:p>
    <w:p w14:paraId="73CC706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Несовершенство технологического процесса, нарушения технологической дисцшлины и неудовлетворительная организация производства в цехах непосредственно отразились на качестве продукции. Большинство выпущенных сборочным цехом самолетов имеют серьезные дефекты, требующие длительных доработок.</w:t>
      </w:r>
    </w:p>
    <w:p w14:paraId="0501D866"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наличия большого количества дефектов значительная часть самолетов после облета отклоняется военпредом. Так, 1 декабря 1941 г. было облетано 3 самолета, и все они отклонены; 5 декабря облетано 6 самолетов, а принят из них только 1; 7 декабря стало 6 машин, и все отклонены; 17 декабря из 10 облетанных самолетов было принято 2. Из 68 самолетов, облетанных в период с 1 по 17 декабря 1941 г., приняты военпредом лишь 30, а остальные отклонены по дефектам. На всех отклоненных самолетах, как правило, одни и те же дефекты: отказ гидравлики (массовая течь во всех соединениях жидкостной и воздушной систем), не убираются шасси, не отработана система инертного газа, отказы в уборке закрылок.</w:t>
      </w:r>
    </w:p>
    <w:p w14:paraId="32D7699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цехе окончательной отделки (№ 12) на всех облетанных самолетах обнаруживаются сотни дефектов. Выборочной проверкой на самолете № 0615323 после облета было обнаружено 163 дефекта, на самолете № 0515349 — 139 дефектов, на самолете J10615330 — 147 дефектов. Начальник цеха № 12 Аванесов М. С. сообщает: «После полета по техническому осмотру на самолетах обнаруживаются от 100 до 270 дефектов, болыиое количество дефектов объясняется исключительно небрежной, скверной работой цеха № 9 (сборочного) и ЛИСа».</w:t>
      </w:r>
    </w:p>
    <w:p w14:paraId="0CFAA9F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длительное время простаивают на аэродроме в ожидании устранения выявленных в полете дефектов. Отдельные машины, принятые военпредом в сборочном цехе, задерживаются на заводе до месяца и более. Так, самолет № 0515338 был отправлен в воинские части через 25 дней после приемки его в сборочном цехе и выдачи военпредом удостоверения, самолет № 0515307 — через 30 дней, самолеты № 0515329,316,320 и 322 — только через 37 дней. Задержка в отправке этих самолетов вызвана наличием в них дефектов и несвоевременным облетом, так как все они были укомплектованы необходимыми агрегатами. Повторная сдача самолетов, доработки и доделки на летно-испытательной станции и в цехе окончательной отделки, а также несвоевременное обеспечение лыжами, радиаторами, редукторами (поставляют заводы НКАП) приводили к тому, что на заводе систематически накапливалось большое количество машин, принятых военпредом в сборочном цехе, но не готовых к отправке. Характерно, что количество этих самолетов почти не снижается. Так, 1 декабря 1941 г. на аэродроме было 111 самолетов ЛаГГ-3. На 17 декабря 1941 г. оставалось 102, хотя завод имел возможность 87 машин укомплектовать необходимыми агрегатами. Положение не изменилось и в январе сего года: к 21-му числу на заводе имелась еще 101 машина, сданная сборочным цехом, но не готовая к отправке. Только на 27 января 1942 г. колисество этих машин снизилось до 65 в результате того, что с 16 января выпуск машин сборочным цехом был прекращен из-за отсутствия моторов.</w:t>
      </w:r>
    </w:p>
    <w:p w14:paraId="07570F9F"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Несовершенство технологии на заводе, массовые ручные подгонки в агрегатных и сборочных цехах, слабая производственная дисциплина, небрежность в работе, а также грязь и захламленность в цехах завода привели к большому браку в производстве.</w:t>
      </w:r>
    </w:p>
    <w:p w14:paraId="31FF04A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основного сборочного цеха завода т. Бисноват М. Р. так характеризует положение своего цеха: «Повторная сдача машин после доработок показала много дефектов... Цех был захламлен грязью, бракованными деталями. Под верстаками и за ними была свалка. В цехе процветает кража деталей с одного самолета для установки на другой при получении брака. Поэтому процент брака низок, он скрыт вышесказанным... В цехе — вялость рабочих, отсутствие живости, ходят по цеху вразвалку, много бесцельного шатания. В ночную смену спит много рабочих...»</w:t>
      </w:r>
    </w:p>
    <w:p w14:paraId="1F6255D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официальным данным, брак по заводу составил в ноябре не более 1%. Однако это совершенно не отражает фактические потери от брака. Начальник производственного отдела завода т. Курош пишет по этому поводу: «Брак, фактически существующий, очень велик, но так называемый учитываемый брак в отчетные материалы входит значительно меньшей цифрой, так как существующая пока система выдачи материалов в листах и прутках (без предварительного раскроя) позволяет, начиная от начальника цеха и кончая рабочим, расходовать материал на восстановление брака без оформления брака-картами. Помимо этого, отсутствие карт эконом-раскроя и цеха раскроя привел завод к хищническому истреблению материалов».</w:t>
      </w:r>
    </w:p>
    <w:p w14:paraId="1A848E9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Скрытый брак на заводе достиг больших размеров. Безнаказанные утери большого количества деталей в цехах — обыденное явление. Проведенной на 1 октября 1941 г. инвентаризацией была выявлена в цехах недостача большого количества деталей и материалов. На покрытие этих недостач дополнительно израсходовано: сортовой стали (легированной и углеродистой) — около 100 т, алюминиевого листа — 36,5 т (на 106 самолетов), алюминиевых прутков и труб — 11,5 т (на 50 самолетов), более 5 т медг</w:t>
      </w:r>
    </w:p>
    <w:p w14:paraId="6A5E52F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ного проката и ряд других материалов.</w:t>
      </w:r>
    </w:p>
    <w:p w14:paraId="3FA215C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положение на заводе известно всем, однако достаточных мер к прекращению расточительного расходования дефицитных материалов не принято. Руководители отделов и цехов завода свыклись с этим и считают нормальным явлением. Начальник планово-экономического отдела завода т. Маслов по этому поводу пишет: «Заготовив тельные цехи почти наполовину впустую работают, бесцельно тратят материал, гоняют оборудование и расходуют фонды зарплаты. Если к этому добавить, что утеря деталей особенно в сборочных цехах, считается у нас каким-то неизбежным и даже “законным» влением, то мы поймем, почему десятки тонн металла вынужден отдел снабжения выдать на покрытие недостач, выявленных инвентаризацией на 1 октября 1941 г.».</w:t>
      </w:r>
    </w:p>
    <w:p w14:paraId="482ABF7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153 имеет достаточное количество рабочих для обеспечения выполнения программы, однако работа организована плохо. Соотношение между количеством рабочих основных производственных квалификаций и вспомогательными рабочими явно ненормальное. Из 13 090 чел. рабочих завода 6410 составляют вспомогательые рабочие. Руководство завода не принимает надлежащих мер к переквалификации и правильному использованию на производстве вспомогательных рабочих. Более того, созданы условия, при которых подсобные и вспомогательные рабочие во многих цехах имеют заработки выше, чем квалифицированные производственники. Так, в цexe № 9 средняя зарплата основных рабочих составляет 718 руб., а вспомогательных рабочих — 1118 руб., в цехе № 10 — соответственно 498 руб. и 679 руб., в цехе № 23 — также 307 руб. и 526 руб., в цехе № 43 — 530 руб. и 704 руб., в цехе № 60 — 684 руб. и 753 руб.</w:t>
      </w:r>
    </w:p>
    <w:p w14:paraId="2B005DA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Такое положение объясняется только крупными недостатками в техническом нормировании и организации зарплаты на заводе. Эта порочная практика в зарплате не стимулирует повышения производительности труда основных производственых рабочих. Начальник планового отдела завода т. Маслов пишет: «Сколько бы не сокращали, на деле вспомогательные рабочие будут расти, так как остальные нормы организации труда и зарплаты не способны поднять их производительность труда, тем более что заработки вспомогательных рабочих в ряде случаев выше, чем основных рабочих...» И далее: «...производительность труда этой группы низка потому, что работа организована по принципу: “хоть в пень колотить, лишь бы день проводить”».</w:t>
      </w:r>
    </w:p>
    <w:p w14:paraId="48166BB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работе завода крайне тяжело отразилась частая смена руководящих работников. Только за второе полугодие 1941 г. сменилось на заводе 5 начальников произодства. За этот же период в основных цехах сменилось: в цехах № 5 и 15 — по 2 начальника, в цехах № 1, 2 и 3 — по 3 начальника, в цехах № 13 и 14, а также в основном сборочном цехе № 9 — по 4 начальника. Директор завода к этому вопросу подходит как посторонний зритель. В своем объяснении Наркомату госконтроля он пишет: «На протяжении года руководящие кадры из-за неудачного подбора и неправильной их расстановки несколько раз менялись, что также отрицательно повлияло на общий ход производства». Наркомавиапром не уделял достаточного внимания подбору руководящих кадров завода и допустил самотек в этом деле. Сам наркомат сменил за 1940 г.</w:t>
      </w:r>
    </w:p>
    <w:p w14:paraId="1F2F62B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троих главных инженеров завода.</w:t>
      </w:r>
    </w:p>
    <w:p w14:paraId="77E9C28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Завод № 153 Наркомавиапрома является одним из крупнейших самолетных заводов страны. По своей мощности он не уступает таким заводам, например, как № 18, 21 и 292. Несмотря на это, завод № 153 выпускает крайне мало самолетов. Количественный выпуск машин явно не соответствует производственным возможностям завода. Это, прежде всего, объясняется тем, что в течение длительного времени завод № 153 был, по существу, заброшенным Наркомавиапромом периферийным заводом.</w:t>
      </w:r>
    </w:p>
    <w:p w14:paraId="5DD928B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 им практически руководил лишь от случая к случаю. Неудовлетворительно руководит заводом наркомат и в настоящее время. Назначенный в августе 1941 г. директор завода Романов П. С. оказался неспособным руководителем крупного авиационного предприятия.</w:t>
      </w:r>
    </w:p>
    <w:p w14:paraId="6EFB9C44"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Прошу указать т. Шахурину А. И. на неудовлетворительное руководство Наркомавиапрома </w:t>
      </w:r>
    </w:p>
    <w:p w14:paraId="45A6C7D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заводом № 153 и обязать его принять немедленные меры по решительному</w:t>
      </w:r>
    </w:p>
    <w:p w14:paraId="2A4DC67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улучшению положения на заводе1*. Соответствующие предложения, вытекающие из материалов проверки, Наркоматом государственного контроля т. Шахурину даны.</w:t>
      </w:r>
    </w:p>
    <w:p w14:paraId="04C2CB8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государственного контроля Союза ССР В. Попов</w:t>
      </w:r>
    </w:p>
    <w:p w14:paraId="400596F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«Послано т. Маленкову, Берия».</w:t>
      </w:r>
    </w:p>
    <w:p w14:paraId="317C39D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8-15. Подлинник (23669).</w:t>
      </w:r>
    </w:p>
    <w:p w14:paraId="05C315D1" w14:textId="77777777" w:rsidR="006646AF" w:rsidRPr="008A2E5A" w:rsidRDefault="006646AF" w:rsidP="006646AF">
      <w:pPr>
        <w:spacing w:after="0" w:line="240" w:lineRule="auto"/>
        <w:jc w:val="both"/>
        <w:rPr>
          <w:rFonts w:ascii="Times New Roman" w:hAnsi="Times New Roman"/>
          <w:color w:val="0070C0"/>
          <w:sz w:val="16"/>
          <w:szCs w:val="16"/>
        </w:rPr>
      </w:pPr>
    </w:p>
    <w:p w14:paraId="724A2C51"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29326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1F8E24"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февраля 1942 г. Справка Госплана СССР о восстановлении эвакуированных заводов Наркомата боеприпасов СССР на 20 января 1942 г.</w:t>
      </w:r>
    </w:p>
    <w:p w14:paraId="059CE76E"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F670D3F"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Наркомбоеприпасов подлежало эвакуации 45 заводов. Согласно графику востановления эвакуированных предприятий до 20 января 1942 г. Наркомбоеприпасов должен был полностью восстановить 27 заводов и частично — 10 заводов. На 20 января 1942 г. полностью смонтировано оборудование по 9 заводам и частично — по 25 зазодам.</w:t>
      </w:r>
    </w:p>
    <w:p w14:paraId="5F74231E"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всем заводам Наркомбоеприпасов эвакуировано оборудование по состоянию та 20 января 1942 г. 24 748 ед., из них: прибыло на заводы — 21 155 ед., смонтировано 1 681 ед., т. е. 56%, и введено в эксплуатацию — 9219 ед. — 37,2% от эвакуированного 44% от прибывшего на заводы оборудования. Кроме того, на заводы 4-го Главного управления НКБоеприпасов поступило эвакуированного оборудования с заводов других наркоматов в количестве 589 ед., из них: смонтировано — 439 ед. и введено в эксплуатацию — 305 единиц.</w:t>
      </w:r>
    </w:p>
    <w:p w14:paraId="0574323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отстающие от графика монтажа оборудования следующие заводы: 1-е Главное управление (снаряжательны[е заводы]) — № 55,144,64; 2-е Главное управление (взрывательны[е заводы]) — № 65, 510, 260; 3-е Главное управление — завод № 52, по другим заводам — ввод в следующие месяцы 1942 г.; 4-е Главное управление — № 61, 67, 70, 73, 567, 561; 5-е Главное управление — № 176, 187; 6-е Главное управление — № 11,308,401,58.</w:t>
      </w:r>
    </w:p>
    <w:p w14:paraId="55B6DBD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Состояние монтажа и ввода в действие эвакуированного оборудования характеризуется по главным управлениям следующей таблицей:</w:t>
      </w:r>
    </w:p>
    <w:p w14:paraId="631CB6F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главн[ого] управления]</w:t>
      </w: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Эвакуированное]  оборудование</w:t>
      </w:r>
      <w:proofErr w:type="gramEnd"/>
      <w:r w:rsidRPr="008A2E5A">
        <w:rPr>
          <w:rFonts w:ascii="Times New Roman" w:hAnsi="Times New Roman"/>
          <w:color w:val="0070C0"/>
          <w:sz w:val="16"/>
          <w:szCs w:val="16"/>
        </w:rPr>
        <w:tab/>
        <w:t>Прибыло на заводы</w:t>
      </w:r>
      <w:r w:rsidRPr="008A2E5A">
        <w:rPr>
          <w:rFonts w:ascii="Times New Roman" w:hAnsi="Times New Roman"/>
          <w:color w:val="0070C0"/>
          <w:sz w:val="16"/>
          <w:szCs w:val="16"/>
        </w:rPr>
        <w:tab/>
        <w:t>Смонтировано  оборудования</w:t>
      </w:r>
      <w:r w:rsidRPr="008A2E5A">
        <w:rPr>
          <w:rFonts w:ascii="Times New Roman" w:hAnsi="Times New Roman"/>
          <w:color w:val="0070C0"/>
          <w:sz w:val="16"/>
          <w:szCs w:val="16"/>
        </w:rPr>
        <w:tab/>
        <w:t>Введено в эксплуатацию</w:t>
      </w:r>
    </w:p>
    <w:p w14:paraId="5FA44F9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r w:rsidRPr="008A2E5A">
        <w:rPr>
          <w:rFonts w:ascii="Times New Roman" w:hAnsi="Times New Roman"/>
          <w:color w:val="0070C0"/>
          <w:sz w:val="16"/>
          <w:szCs w:val="16"/>
        </w:rPr>
        <w:tab/>
        <w:t>1464</w:t>
      </w:r>
      <w:r w:rsidRPr="008A2E5A">
        <w:rPr>
          <w:rFonts w:ascii="Times New Roman" w:hAnsi="Times New Roman"/>
          <w:color w:val="0070C0"/>
          <w:sz w:val="16"/>
          <w:szCs w:val="16"/>
        </w:rPr>
        <w:tab/>
        <w:t>1272</w:t>
      </w:r>
      <w:r w:rsidRPr="008A2E5A">
        <w:rPr>
          <w:rFonts w:ascii="Times New Roman" w:hAnsi="Times New Roman"/>
          <w:color w:val="0070C0"/>
          <w:sz w:val="16"/>
          <w:szCs w:val="16"/>
        </w:rPr>
        <w:tab/>
        <w:t>496</w:t>
      </w:r>
      <w:r w:rsidRPr="008A2E5A">
        <w:rPr>
          <w:rFonts w:ascii="Times New Roman" w:hAnsi="Times New Roman"/>
          <w:color w:val="0070C0"/>
          <w:sz w:val="16"/>
          <w:szCs w:val="16"/>
        </w:rPr>
        <w:tab/>
        <w:t>396</w:t>
      </w:r>
    </w:p>
    <w:p w14:paraId="3D8D30BD"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5334</w:t>
      </w:r>
      <w:r w:rsidRPr="008A2E5A">
        <w:rPr>
          <w:rFonts w:ascii="Times New Roman" w:hAnsi="Times New Roman"/>
          <w:color w:val="0070C0"/>
          <w:sz w:val="16"/>
          <w:szCs w:val="16"/>
        </w:rPr>
        <w:tab/>
        <w:t>4968</w:t>
      </w:r>
      <w:r w:rsidRPr="008A2E5A">
        <w:rPr>
          <w:rFonts w:ascii="Times New Roman" w:hAnsi="Times New Roman"/>
          <w:color w:val="0070C0"/>
          <w:sz w:val="16"/>
          <w:szCs w:val="16"/>
        </w:rPr>
        <w:tab/>
        <w:t>3360</w:t>
      </w:r>
      <w:r w:rsidRPr="008A2E5A">
        <w:rPr>
          <w:rFonts w:ascii="Times New Roman" w:hAnsi="Times New Roman"/>
          <w:color w:val="0070C0"/>
          <w:sz w:val="16"/>
          <w:szCs w:val="16"/>
        </w:rPr>
        <w:tab/>
        <w:t>3076</w:t>
      </w:r>
    </w:p>
    <w:p w14:paraId="6C938BF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 3</w:t>
      </w:r>
      <w:r w:rsidRPr="008A2E5A">
        <w:rPr>
          <w:rFonts w:ascii="Times New Roman" w:hAnsi="Times New Roman"/>
          <w:color w:val="0070C0"/>
          <w:sz w:val="16"/>
          <w:szCs w:val="16"/>
        </w:rPr>
        <w:tab/>
        <w:t>2967</w:t>
      </w:r>
      <w:r w:rsidRPr="008A2E5A">
        <w:rPr>
          <w:rFonts w:ascii="Times New Roman" w:hAnsi="Times New Roman"/>
          <w:color w:val="0070C0"/>
          <w:sz w:val="16"/>
          <w:szCs w:val="16"/>
        </w:rPr>
        <w:tab/>
        <w:t>2215</w:t>
      </w:r>
      <w:r w:rsidRPr="008A2E5A">
        <w:rPr>
          <w:rFonts w:ascii="Times New Roman" w:hAnsi="Times New Roman"/>
          <w:color w:val="0070C0"/>
          <w:sz w:val="16"/>
          <w:szCs w:val="16"/>
        </w:rPr>
        <w:tab/>
        <w:t>421</w:t>
      </w:r>
      <w:r w:rsidRPr="008A2E5A">
        <w:rPr>
          <w:rFonts w:ascii="Times New Roman" w:hAnsi="Times New Roman"/>
          <w:color w:val="0070C0"/>
          <w:sz w:val="16"/>
          <w:szCs w:val="16"/>
        </w:rPr>
        <w:tab/>
        <w:t>336</w:t>
      </w:r>
    </w:p>
    <w:p w14:paraId="736C68C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9104</w:t>
      </w:r>
      <w:r w:rsidRPr="008A2E5A">
        <w:rPr>
          <w:rFonts w:ascii="Times New Roman" w:hAnsi="Times New Roman"/>
          <w:color w:val="0070C0"/>
          <w:sz w:val="16"/>
          <w:szCs w:val="16"/>
        </w:rPr>
        <w:tab/>
        <w:t>7899</w:t>
      </w:r>
      <w:r w:rsidRPr="008A2E5A">
        <w:rPr>
          <w:rFonts w:ascii="Times New Roman" w:hAnsi="Times New Roman"/>
          <w:color w:val="0070C0"/>
          <w:sz w:val="16"/>
          <w:szCs w:val="16"/>
        </w:rPr>
        <w:tab/>
        <w:t>4654</w:t>
      </w:r>
      <w:r w:rsidRPr="008A2E5A">
        <w:rPr>
          <w:rFonts w:ascii="Times New Roman" w:hAnsi="Times New Roman"/>
          <w:color w:val="0070C0"/>
          <w:sz w:val="16"/>
          <w:szCs w:val="16"/>
        </w:rPr>
        <w:tab/>
        <w:t>3243</w:t>
      </w:r>
    </w:p>
    <w:p w14:paraId="20FB839D"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"ГГ 5</w:t>
      </w:r>
      <w:r w:rsidRPr="008A2E5A">
        <w:rPr>
          <w:rFonts w:ascii="Times New Roman" w:hAnsi="Times New Roman"/>
          <w:color w:val="0070C0"/>
          <w:sz w:val="16"/>
          <w:szCs w:val="16"/>
        </w:rPr>
        <w:tab/>
        <w:t>3626</w:t>
      </w:r>
      <w:r w:rsidRPr="008A2E5A">
        <w:rPr>
          <w:rFonts w:ascii="Times New Roman" w:hAnsi="Times New Roman"/>
          <w:color w:val="0070C0"/>
          <w:sz w:val="16"/>
          <w:szCs w:val="16"/>
        </w:rPr>
        <w:tab/>
        <w:t>2701</w:t>
      </w:r>
      <w:r w:rsidRPr="008A2E5A">
        <w:rPr>
          <w:rFonts w:ascii="Times New Roman" w:hAnsi="Times New Roman"/>
          <w:color w:val="0070C0"/>
          <w:sz w:val="16"/>
          <w:szCs w:val="16"/>
        </w:rPr>
        <w:tab/>
        <w:t>1658</w:t>
      </w:r>
      <w:r w:rsidRPr="008A2E5A">
        <w:rPr>
          <w:rFonts w:ascii="Times New Roman" w:hAnsi="Times New Roman"/>
          <w:color w:val="0070C0"/>
          <w:sz w:val="16"/>
          <w:szCs w:val="16"/>
        </w:rPr>
        <w:tab/>
        <w:t>1440</w:t>
      </w:r>
    </w:p>
    <w:p w14:paraId="6BF4ED3B"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2253</w:t>
      </w:r>
      <w:r w:rsidRPr="008A2E5A">
        <w:rPr>
          <w:rFonts w:ascii="Times New Roman" w:hAnsi="Times New Roman"/>
          <w:color w:val="0070C0"/>
          <w:sz w:val="16"/>
          <w:szCs w:val="16"/>
        </w:rPr>
        <w:tab/>
        <w:t>2100</w:t>
      </w:r>
      <w:r w:rsidRPr="008A2E5A">
        <w:rPr>
          <w:rFonts w:ascii="Times New Roman" w:hAnsi="Times New Roman"/>
          <w:color w:val="0070C0"/>
          <w:sz w:val="16"/>
          <w:szCs w:val="16"/>
        </w:rPr>
        <w:tab/>
        <w:t>1092</w:t>
      </w:r>
      <w:r w:rsidRPr="008A2E5A">
        <w:rPr>
          <w:rFonts w:ascii="Times New Roman" w:hAnsi="Times New Roman"/>
          <w:color w:val="0070C0"/>
          <w:sz w:val="16"/>
          <w:szCs w:val="16"/>
        </w:rPr>
        <w:tab/>
        <w:t>728</w:t>
      </w:r>
    </w:p>
    <w:p w14:paraId="2E3DF06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по НКБ:</w:t>
      </w:r>
      <w:r w:rsidRPr="008A2E5A">
        <w:rPr>
          <w:rFonts w:ascii="Times New Roman" w:hAnsi="Times New Roman"/>
          <w:color w:val="0070C0"/>
          <w:sz w:val="16"/>
          <w:szCs w:val="16"/>
        </w:rPr>
        <w:tab/>
        <w:t>24 748</w:t>
      </w:r>
      <w:r w:rsidRPr="008A2E5A">
        <w:rPr>
          <w:rFonts w:ascii="Times New Roman" w:hAnsi="Times New Roman"/>
          <w:color w:val="0070C0"/>
          <w:sz w:val="16"/>
          <w:szCs w:val="16"/>
        </w:rPr>
        <w:tab/>
        <w:t>21 155</w:t>
      </w:r>
      <w:r w:rsidRPr="008A2E5A">
        <w:rPr>
          <w:rFonts w:ascii="Times New Roman" w:hAnsi="Times New Roman"/>
          <w:color w:val="0070C0"/>
          <w:sz w:val="16"/>
          <w:szCs w:val="16"/>
        </w:rPr>
        <w:tab/>
        <w:t>11 681</w:t>
      </w:r>
      <w:r w:rsidRPr="008A2E5A">
        <w:rPr>
          <w:rFonts w:ascii="Times New Roman" w:hAnsi="Times New Roman"/>
          <w:color w:val="0070C0"/>
          <w:sz w:val="16"/>
          <w:szCs w:val="16"/>
        </w:rPr>
        <w:tab/>
        <w:t>9219</w:t>
      </w:r>
    </w:p>
    <w:p w14:paraId="193CCF4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с заводов других наркоматов</w:t>
      </w:r>
      <w:r w:rsidRPr="008A2E5A">
        <w:rPr>
          <w:rFonts w:ascii="Times New Roman" w:hAnsi="Times New Roman"/>
          <w:color w:val="0070C0"/>
          <w:sz w:val="16"/>
          <w:szCs w:val="16"/>
        </w:rPr>
        <w:tab/>
      </w:r>
      <w:r w:rsidRPr="008A2E5A">
        <w:rPr>
          <w:rFonts w:ascii="Times New Roman" w:hAnsi="Times New Roman"/>
          <w:color w:val="0070C0"/>
          <w:sz w:val="16"/>
          <w:szCs w:val="16"/>
        </w:rPr>
        <w:tab/>
        <w:t>589</w:t>
      </w:r>
      <w:r w:rsidRPr="008A2E5A">
        <w:rPr>
          <w:rFonts w:ascii="Times New Roman" w:hAnsi="Times New Roman"/>
          <w:color w:val="0070C0"/>
          <w:sz w:val="16"/>
          <w:szCs w:val="16"/>
        </w:rPr>
        <w:tab/>
        <w:t>439</w:t>
      </w:r>
      <w:r w:rsidRPr="008A2E5A">
        <w:rPr>
          <w:rFonts w:ascii="Times New Roman" w:hAnsi="Times New Roman"/>
          <w:color w:val="0070C0"/>
          <w:sz w:val="16"/>
          <w:szCs w:val="16"/>
        </w:rPr>
        <w:tab/>
        <w:t>305</w:t>
      </w:r>
    </w:p>
    <w:p w14:paraId="4CE8962F"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эвакуированного оборудования заводов НКБ не прибыло 3593 ед., и где оно находится, ни НКБ, ни НКПС не знают.</w:t>
      </w:r>
    </w:p>
    <w:p w14:paraId="11D6562E"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прибывшего на заводы № 635 и № 56 оборудования завода № 55 в количестве 321 ед. смонтировано 136 ед., завода № 144 — смонтировано 66 ед. из прибывшего оборудования 189 единиц. Из прибывшего оборудования 285 ед. завода № 64 смонтировано на заводе № 319 — 34 единицы. Из прибывшего эвакуированного оборудования завода № 65 в количестве 595 ед. на заводе № 564 2-го Гл[авного] управлении смонтировано только 46 ед., из эвакуированного оборудования завода № 510 и Харьковского завода пластмасс НКМП УССР в количестве 356 ед. прибыло на завод № 510 в г. Омск только 193 ед., из них смонтировано 157 ед., а введено в эксплуатацию только 61 ед., где находится остальное не прибывшее эвакуированное с завода № 510 (Ногинск) оборудование, Наркомбоеприпасов не знает. Из эвакуированного оборудования завода № 260 в количестве 1096 ед. прибыло на завод № 10 — 941 ед., смонтировано только 69 ед. Из 304 ед. эвакуированного и прибывшего оборудования завода № 52 3-го Главного управления на заводах № 98 и 676 смонтировано 169 ед. введено в эксплуатацию 157 ед.</w:t>
      </w:r>
    </w:p>
    <w:p w14:paraId="66B4D2A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Неудовлетворительно также проходит монтаж прибывшего оборудования заводов 3-го Главного управления № 9 и 59, комбинатов] № 100 и 101, ввод в действия которых установлен в феврале — марте месяцах. По 4-му Главному управлению плохо проходит монтаж оборудования завода № 61: прибыло — 806 ед., смонтировано — 245 ед., введено в эксплуатацию — 16 ед. завода № 67: прибыло — 278 ед., смонтировано — 161 ед., введено в действие — 4 ед. завода № 70: прибыло на заводы — 1459 ед., смонтировано — 699 ед., введено в эксплуатацию — 446 ед.; завода № 73: прибыло — 1128 ед., смонтировано — 542 ед., введено в эксплуатацию — 375 ед. С завода № 561 прибыло 281 ед., смонтировано 40 ед., введена в эксплуатацию 20 ед. По заводам 5-го Главного управления: № 176 — прибыло на завод № 257 581 ед., смонтировано 147 ед., введено в эксплуатацию 137 единицы. С завода № 187 прибыло 1243 ед., смонтировано 719 ед., введено в эксплуатацию 629 ед. По заводу № 58 6-го Главного управления из прибывшего на завод 609 оборудования в количестве 422 ед. смонтировано 148 ед. и введено в эксплуатацию 47 ед., а из оборудования заводов № 308 в количестве 125 ед. и завода № 401 в количестве 40 ед. не смонтировано ничего.</w:t>
      </w:r>
    </w:p>
    <w:p w14:paraId="4202A73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Наркомбоеприпасов не организовал проведение эвакуации заводов и слабо руководил этим делом. Эвакуация и восстановление заводов проводились главным образом самими заводами без руководства со стороны наркомата и главков. В большинстве случаев производственные площади и вспомогательные хозяйства, куда должно прибыть оборудование, не были подготовлены: на заводе № 78 (Челябинск), № 62 (Челябинск), № 254 (Копейск), № 114 (Копейск), № 676 (Куйбышев), № 68 (Невьянск) и др., а также многие заводы не знали, какое количество оборудования и людей к ним прибудет.</w:t>
      </w:r>
    </w:p>
    <w:p w14:paraId="7AD4B7B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Ввод в эксплуатацию мощностей эвакуированных заводов Наркомбоеприпасов не обеспечен также рабочей силой. Эвакуированные заводы в большей части не полностью эвакуировали рабочую силу. Так, завод № 62 (Ярославль) имел всего работающих 5700 чел., в том числе рабочих — 450 чел., эвакуировано всего 1980 чел., в том числе рабочих — 1600 чел., следовательно, недостает для обеспечения мощностей 20 человек. Для обеспечения мощностей эвакуированного завода № 73 (Сталине) завод № 72 (В[ерхняя] Тура) недостает рабочих 732 человека. Эвакуированным заводам № 70 (Москва) и № 567 (Рязань) на завод № 68 (Невьянск) не хватает рабсилы количестве 1100 человек. Заводу № 113 (Брянск), эвакуированному на завод № 114 (Копейск), не хватает рабочей силы в количестве 1200 чел., заводу № 254, эвакуированному с завода № 121 (ст. Электросталь), недостает 4 тыс. человек.</w:t>
      </w:r>
    </w:p>
    <w:p w14:paraId="4D98310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3-му Главному управлению эвакуировано полностью 7 заводов ([№] 6, 9, 14, ?, 59,100 и 101) и частично — 1 завод (№ 204), из них решениями ГКО от 27 декабря 1941 г. № 10711 и от 3 января 1942 г. № 10912 полностью возвращаются на прежние места заводы № 14 и 204 и частично комбинат № 100 (пироксилиновое производство и ЭЦ). Состояние работ по восстановлению эвакуированных и возвращаемых на прежние места пороховых заводов следующее.</w:t>
      </w:r>
    </w:p>
    <w:p w14:paraId="629CF19E"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6 — производство дымных порохов мощностью 1,8 тыс. т в год по графику подлежало вводу в действие к 1 января 1942 г., фактически во вновь выстроенных помещениях третьей линии дымных порохов завода № 98 к 1 октября 1941 г. смонтировано 5% эвакуированного оборудования и введена мощность 1350 т в год. Остальное оборудование заканчивается монтажом во вновь выстроенных зданиях четвертой линии дымных порохов завода № 98 и будет введено в действие 10 февраля 1942 г.</w:t>
      </w:r>
    </w:p>
    <w:p w14:paraId="39EE16B6"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52 — производство безгазового состава «МК» (порох) восстановлено на заводе № 98 в установленный срок к 15 августа 1941 г. на мощность 45 т в год вместо эвакуированных 5 т в год.</w:t>
      </w:r>
    </w:p>
    <w:p w14:paraId="7DEA159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Восстановление производства дымных порохов мощностью 1,8 тыс. т в год сорвано Наркомстроем. Это производство должно было быть восстановлено к 15 ноября 1941 г. на заводе № 676 (Куйбышев). Наркомстрой к 20 января 1942 г. еще не законил строительство зданий (деревянные каркасы, брезентовая обшивка), водопровода, дороги и электроснабжения. Производство может быть введено в действие не ранее -15 марта 1942 г. Производство бикфордова шнура мощностью 12 млн кругов в год, срок восстановления 15 ноября 1941 г. на заводе № 676. Монтаж оборудования законен своевременно, но производство начало работать с января месяца, так как не было дороги и затруднялся подвоз сырья и дымного пороха.</w:t>
      </w:r>
    </w:p>
    <w:p w14:paraId="184A202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Комбинат № 100. Эвакуировано пороховое производство мощностью 16 тыс. т в год на заводы № 40 и 392 со сроком восстановления к 1 декабря 1941 г. и 1 января 1942 г. (по 4 пресса). На комбинате № 392 Наркомстрой не построил своевременно зданий для второй линии порохового производства, кроме того, оборудование поступило на завод лишь 5 декабря 1941 г. По этим причинам монтаж эвакуированных прессов к 1 января 1942 г. не закончен. Прессы будут введены лишь в феврале 1942 г. На завод № 40 оборуование поступило лишь 2 декабря 1941 г. (а срок ввода в действие — 1 декабря). Кроме того, по вине Наркомбоеприпасов прессы прибыли на завод некомплектно — аккумуляторы засланы на 392-й комб[инат] (Кемерово). НКПС до сего времени вагонов на перевозку на завод № 40 не дал. Монтаж прессов будет закончен в феврале 1942 г., а аккумуляторы к ним — в декадный срок по прибытии их на завод. Коллоксилиновое производство и ТЭЦ комбината восстанавливаются на прежнем месте.</w:t>
      </w:r>
    </w:p>
    <w:p w14:paraId="6EC09FA1"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Завод № 59. Из оборудования завода 34 пороховых вальца должны были быть восстановлены на первой и второй линиях порохового производства завода № 98 к 1 декабря 1941 г. Однако вальцы на завод прибыли лишь в первых числах января 1942 г.</w:t>
      </w:r>
    </w:p>
    <w:p w14:paraId="6EB8E26A"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Наркомстрой также сорвал установленные правительством сроки строительства и монтажа. Поэтому вторая линия порохового производства до сего времени полностью не введена в действие. Остальное оборудование порохового производства должно быть восстановлено на заводе № 577 к 1 апреля 1942 г. Состояние строительства этого завела (осуществляет Главпромстрой НКВД) ставит под угрозу срыва установленных соков ввода в действие порохового производства. Производство коллоксилина, ксилола, олеума и азотной кислоты восстанавливается на заводе № 850 к 1 июня 1942 г.</w:t>
      </w:r>
    </w:p>
    <w:p w14:paraId="45D2F15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 № 9. Восстанавливается на базе строительства Красноярского бум[ажного] комбината и Красноярской ТЭЦ со сроками: пороховое и пироксилиновое производство — к 1 апреля 1942 г., олеум и азотная кислота — к 1 июня 1942 г. Оборудование завода № 9 прибыло в Красноярск от 30 до 50% и некомплектно. Остальное не </w:t>
      </w:r>
      <w:proofErr w:type="gramStart"/>
      <w:r w:rsidRPr="008A2E5A">
        <w:rPr>
          <w:rFonts w:ascii="Times New Roman" w:hAnsi="Times New Roman"/>
          <w:color w:val="0070C0"/>
          <w:sz w:val="16"/>
          <w:szCs w:val="16"/>
        </w:rPr>
        <w:t>вывезет</w:t>
      </w:r>
      <w:proofErr w:type="gramEnd"/>
      <w:r w:rsidRPr="008A2E5A">
        <w:rPr>
          <w:rFonts w:ascii="Times New Roman" w:hAnsi="Times New Roman"/>
          <w:color w:val="0070C0"/>
          <w:sz w:val="16"/>
          <w:szCs w:val="16"/>
        </w:rPr>
        <w:t xml:space="preserve"> Кроме того, Наркомстрой слабо развернул строительные работы (на площадке имеется всего 3,6 тыс. чел. рабочих вместо необходимых 10 тыс. чел.). Состояние строительства завода внушает опасение, что он не будет введен в действие не только в установленные сроки, но и в 1942 г.</w:t>
      </w:r>
    </w:p>
    <w:p w14:paraId="4880B78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Комбинат № 101. Пороховое производство — 16 тыс. т в год — должно быть восстановлено на комбинате № 392 (третья линия порохового производства) к 1 апреля 1942 г. Строительные работы Наркомстроем ведутся неудовлетворительно, к монтажу оборудования еще не приступлено. Установленные сроки стоят под угрозой.</w:t>
      </w:r>
    </w:p>
    <w:p w14:paraId="0D0D5644"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204. Оборудование завода № 204 демонтировано на 75% и, в значительной своей части вывезенное в г. Красноярск, в настоящее время возвращается обратно.</w:t>
      </w:r>
    </w:p>
    <w:p w14:paraId="53B32639"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постановлению ГКО НКПС обязан был доставить оборудование на завод № 204 к 15 января 1942 г. Фактически из 6 возвращенных эшелонов прибыл только один.</w:t>
      </w:r>
    </w:p>
    <w:p w14:paraId="1ACE496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Остальные застряли на Южноуральской дороге. Срок восстановления полной мощности завода — к 1 марта 1942 г. На 20 января с. г. завод восстановлен на 50% мощности.</w:t>
      </w:r>
    </w:p>
    <w:p w14:paraId="76E2AF1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14. Оборудование завода № 14, полностью эвакуированное в г. Реж Свердловской обл. и на завод № 98, отгружено полностью обратно. НКПС в срок, установленный ГКО (15 января 1942 г.), на место это оборудование не доставил. Из 16 эшелонов к 25 января 1942 г. на завод № 14 прибыло только 6 эшелонов. Это обстоятельство и медленный разворот Наркомстроем строительно-монтажных работ может сорвать восстановление завода в установленный ГКО срок — 15 апреля 1942 г.</w:t>
      </w:r>
    </w:p>
    <w:p w14:paraId="7163C17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ускорения ввода в действие эвакуированных пороховых заводов необходимо:</w:t>
      </w:r>
    </w:p>
    <w:p w14:paraId="1B01265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НКПС: а) в трехдневный срок обеспечить подачу 9 вагонов в Кемерово для отгрузки заводу № 40 аккумуляторов к пороховым прессам; б) обеспечить поставку на место оборудования заводов № 14 и 204 не позднее 5 июня 1942 г.</w:t>
      </w:r>
    </w:p>
    <w:p w14:paraId="16283E5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Наркомат минометного вооружения изготовить на восстановленном в Чирчике Сумском заводе 34 пары горизонтальных вальцев для завода № 577.</w:t>
      </w:r>
    </w:p>
    <w:p w14:paraId="20ECFAB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Наркомстрой СССР и Наркомэлектростанций в декадный срок направить на восстановление комбината № 100 и завода № 94 строительно-монтажные организации с количеством рабочих, обеспечивающих выполнение работ в установленные ГКО сроки.</w:t>
      </w:r>
    </w:p>
    <w:p w14:paraId="3E5BB15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Наркомстрой СССР закрепить за строительством № 580 в г. Красноярске 26-й стройтрест, передав его в ведение Главбоеприпасстроя, освободив его от выполнения других работ.</w:t>
      </w:r>
    </w:p>
    <w:p w14:paraId="5EAE8B6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Наркомат танковой промышленности и Наркомтяжмаш доделать к 1 мая 1942 г. имеющиеся в заделе 20 пороховых прессов ВИВ-М комплектно с насосами, арматурой и трубопроводами высокого давления.</w:t>
      </w:r>
    </w:p>
    <w:p w14:paraId="6925D3FD"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УГР передать с красноярских баз строительству завода № 580 металла</w:t>
      </w:r>
    </w:p>
    <w:p w14:paraId="6B42834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количестве 2 тыс. т для изготовления емкостей и оборудования.</w:t>
      </w:r>
    </w:p>
    <w:p w14:paraId="71B20F21"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Неудовлетворительно также проводил работы по восстановлению эвакуированных предприятий и Наркомстрой. Примеры срыва работ по восстановлению эвакуированных заводов НКБ, проводимых Наркомстроем:</w:t>
      </w:r>
    </w:p>
    <w:p w14:paraId="56FB5FF2"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заводу № 114, на котором восстанавливаются производства снаряжения снарядов средн[его] калибра и взрывчатых веществ с завода № 113, 8-й стройтрест сорвал строительСтво здания № 211 (на 21 шнекаппарат), которое на 1 января выложено только основание цоколя. Сильно отстает сантехника и энергетика. Пар и вода по второму зданию не подведены. Необходимо закончить одну подстанцию и </w:t>
      </w:r>
      <w:proofErr w:type="gramStart"/>
      <w:r w:rsidRPr="008A2E5A">
        <w:rPr>
          <w:rFonts w:ascii="Times New Roman" w:hAnsi="Times New Roman"/>
          <w:color w:val="0070C0"/>
          <w:sz w:val="16"/>
          <w:szCs w:val="16"/>
        </w:rPr>
        <w:t>заново построить</w:t>
      </w:r>
      <w:proofErr w:type="gramEnd"/>
      <w:r w:rsidRPr="008A2E5A">
        <w:rPr>
          <w:rFonts w:ascii="Times New Roman" w:hAnsi="Times New Roman"/>
          <w:color w:val="0070C0"/>
          <w:sz w:val="16"/>
          <w:szCs w:val="16"/>
        </w:rPr>
        <w:t xml:space="preserve"> и смонтировать вторую. Несмотря на специальное распоряжение т. Вознесенского об усилении треста, Наркомстрой это не выполнил. Трест продолжает влачить жалкое существование, не имеет транспорта и снимает рабсилу со стороны на стройку. Даже местных материалов трест заготовить не в состоянии. За август месяц обеспеченность стройки песком составляла 18%, а бутонным камнем — 29%. На 1 января 1942 г. это положение не улучшилось,</w:t>
      </w:r>
    </w:p>
    <w:p w14:paraId="049CA39B"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564, где восстанавливается производство 20-мм и 23-мм корпусов снарядов с завода № 512, приспособление зданий на 1 января 1942 г. трестом № 81 полностью не закончено. Три имеющихся на заводе трансформатора не смонтированы.</w:t>
      </w:r>
    </w:p>
    <w:p w14:paraId="083D18E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Должная организация труда на стройплощадке совсем отсутствует. Два имевшихся на стройке стройбатальона использовались очень слабо, и в значительной степени на чужих стройках.</w:t>
      </w:r>
    </w:p>
    <w:p w14:paraId="2AEFF941"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613, где должны быть восстановлены мощности завода № 61. Срок восстановления: начиная с 15 декабря и на полную мощность — 1 февраля 1942 г. Завод отстоит от железнодорожной линии (ст. Маук) на 25 км. Строительство железнодорожной ветки возложено на Наркомстрой. Несмотря на то, что НКБ в целях ускорения дела выделил Наркомстрою свои фонды на рельсы и шпалы, подрядчик требует передать им рабсиду, дать инструмент, спецодежду и пр. По-видимому, желая остаться на стройке лишь в качестве «дирижера», на 1 января 1942 г. работ не развернул. Несмотря на явную невозможность эксплуатировать завод без железнодорожной ветки, подрядчик обсуждает и дебатирует сроки работ.</w:t>
      </w:r>
    </w:p>
    <w:p w14:paraId="533A0F1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257, где восстанавливаются мощности завода № 176, трест Южуралтяжстрой работает очень слабо. До сих пор не закончены перекрытия корпусов № 4 и пристройки к корпусу № 5. Катастрофически отстает сантехника. Часть готовых з даний отапливается времянками и совсем не отапливается. Должная организация труда отсутствует.</w:t>
      </w:r>
    </w:p>
    <w:p w14:paraId="75612B4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62, где на базе холодных складов УГР восстанавливается эвакуированное оборудование из Ярославля. Постановлением ГКО записано: «Окончание проиводства завода возложить на Наркомстрой». Несмотря на это, Наркомстрой (трест № 8) решил ограничить свою деятельность на стройке только работой по подшивке потолков тесом. Окончив эту работу, трест снял рабочих. Центральное отопление до сих пор не сделано и цеха отапливаются времянками — железными печами. Несмотря на решение обкома немедленно приступить к строительству бараков для жилья рабочих, трест от этих работ отказывается. Эксплуатация цехов ведется в очень тяжелых условиях.</w:t>
      </w:r>
    </w:p>
    <w:p w14:paraId="2BC6722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850, куда эвакуировано оборудование комбината № 101. Установленный срок пуска первой нитки — 1 апреля 1942 г. Стройуправление № 50 Наркомстроя до последнего времени было слабо организовано и оснащено. На стройке было всего 20 автомашин. Систематически отсутствовал кирпич и цемент. На 1 декабря 1941 г. не было готово ни одного промздания. Отсутствовали вода и электроэнергия.</w:t>
      </w:r>
    </w:p>
    <w:p w14:paraId="771510F6"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месяце 1941 г. Наркомстроем сменено руководство строительством и приняты некоторые меры по усилению работ. Однако принятых мер явно недостаточно, и срок пуска первой нитки находится под угрозой срыва.</w:t>
      </w:r>
    </w:p>
    <w:p w14:paraId="7E38975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513. Несмотря на решение правительства в 1941 г. вести работы по восстановлению этого завода, Наркомстрой от выполнения работ и заключения договора уклонился, чем и вынудил дирекцию завода заключить договор с Военстроем.</w:t>
      </w:r>
    </w:p>
    <w:p w14:paraId="5C11D24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Задержка в оформлении договора значительно оттянула приступ к работам и повлияла на сроки пуска.</w:t>
      </w:r>
    </w:p>
    <w:p w14:paraId="32BC84C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Общие предложения по мероприятиям, необходимым для окончания восстановления заводов НКБ</w:t>
      </w:r>
    </w:p>
    <w:p w14:paraId="053F56E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Наркомстрой работы по восстановлению эвакуированных заводов НКБ считать внеочередными, в течение месяца сосредоточить на этих работах все необходимые людские и материально-технические ресурсы, особым приказом прикрепить к каждой стройке ответственного работника наркомата для оказания ей практической помощи и контроля за своевременным ходом работ.</w:t>
      </w:r>
    </w:p>
    <w:p w14:paraId="69F4EE9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Наркомстрой закончить строительство железнодорожной ветки Маук-Касли для завода № 613 с тем, чтобы пустить ее во временную эксплуатацию к 1 марта 1942 г.</w:t>
      </w:r>
    </w:p>
    <w:p w14:paraId="74723CE5"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Наркомстрой укрепить стройтресты № 8 и № 30: в Челябинске — по зав[одам] № 114, 254, 78, в Кемерово — по заводам № 319, 392, укомплектовав их в месячный срок людскими и материально-техническими ресурсами в объеме, необходимом для безусловного выполнения плана работ по заводам НКБ.</w:t>
      </w:r>
    </w:p>
    <w:p w14:paraId="5D970ACF"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Запретить Наркомстрою в 1942 г. загружать свои тресты и ОБМЧ занятых на стройках НКБ работой других ведомств.</w:t>
      </w:r>
    </w:p>
    <w:p w14:paraId="06869D84"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Наркомстрой, несмотря на решение правительства систематически уклоняющийся от производства монтажных работ на ряде предприятий НКБ, в месячный срок организовать монтажные конторы в трестах №'* и принять на себя производство монтажных работ по заводам № 254, 114.</w:t>
      </w:r>
    </w:p>
    <w:p w14:paraId="75557D2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НКПС выделить НКБ в I квартале 1942 г. 50 шт. неходовых паровозов для установки на восстанавливаемых заводах.</w:t>
      </w:r>
    </w:p>
    <w:p w14:paraId="6BAF6E2D"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7. Обязать НКПС в I квартале 1942 г. производить перевозку стройматериалов и оборудования на заводы НКБ внеочередно, наравне с военными грузами. В </w:t>
      </w:r>
      <w:proofErr w:type="gramStart"/>
      <w:r w:rsidRPr="008A2E5A">
        <w:rPr>
          <w:rFonts w:ascii="Times New Roman" w:hAnsi="Times New Roman"/>
          <w:color w:val="0070C0"/>
          <w:sz w:val="16"/>
          <w:szCs w:val="16"/>
        </w:rPr>
        <w:t>двух недельный</w:t>
      </w:r>
      <w:proofErr w:type="gramEnd"/>
      <w:r w:rsidRPr="008A2E5A">
        <w:rPr>
          <w:rFonts w:ascii="Times New Roman" w:hAnsi="Times New Roman"/>
          <w:color w:val="0070C0"/>
          <w:sz w:val="16"/>
          <w:szCs w:val="16"/>
        </w:rPr>
        <w:t xml:space="preserve"> срок проверить местонахождение отставшего и не прибывшего до сих пор оборудования НКБ, обеспечить его доставку по назначению.</w:t>
      </w:r>
    </w:p>
    <w:p w14:paraId="44229DE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председателей облисполкомов Урала и Западной Сибири и СНК автономных республик обеспечить в I квартале 1942 г. необходимую для восстановления эвакуированных заводов НКБ организацию гуж[евой] повинности, а также стопроцентное выделение местных стройматериалов.</w:t>
      </w:r>
    </w:p>
    <w:p w14:paraId="7F113E06"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4372. Оп. 93. Д. 488. Л. 27-19. Заверенная копия (24000).</w:t>
      </w:r>
    </w:p>
    <w:p w14:paraId="53855D78" w14:textId="77777777" w:rsidR="006646AF" w:rsidRPr="008A2E5A" w:rsidRDefault="006646AF" w:rsidP="006646AF">
      <w:pPr>
        <w:spacing w:after="0" w:line="240" w:lineRule="auto"/>
        <w:jc w:val="both"/>
        <w:rPr>
          <w:rFonts w:ascii="Times New Roman" w:hAnsi="Times New Roman"/>
          <w:color w:val="0070C0"/>
          <w:sz w:val="16"/>
          <w:szCs w:val="16"/>
        </w:rPr>
      </w:pPr>
    </w:p>
    <w:p w14:paraId="024528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вышло Постановление ГКО № 1239 Об изменении постановления ГКО № 1229 от 1 февраля 1942 г. РГАНИР, Фонд ГКО, д. 20, лл. 215 (11012).</w:t>
      </w:r>
    </w:p>
    <w:p w14:paraId="323BD4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A1F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 февраля 1942 вышло Постановление ГКО № 1240 О снаряжении боеприпасов взрывчатым веществом А-1Х-2. РГАНИР, Фонд ГКО, д. 20, лл. 216, 217 (11012).</w:t>
      </w:r>
    </w:p>
    <w:p w14:paraId="686812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4DFB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вышло Постановление ГКО № 1241 Распределение обязанностей между членами Государственного Комитета Обороны. (7021, 218-219).</w:t>
      </w:r>
    </w:p>
    <w:p w14:paraId="7F283D2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E3BB6"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2E05806C"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 ГКО-1241</w:t>
      </w:r>
    </w:p>
    <w:p w14:paraId="241C77C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4 февраля 1942 г.</w:t>
      </w:r>
    </w:p>
    <w:p w14:paraId="732B6D7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Распределение обязанностей между членами Государственного Комитета Обороны:</w:t>
      </w:r>
    </w:p>
    <w:p w14:paraId="6412A70C"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МОЛОТОВ В. М. Контроль за выполнением решений ГО КО по производству танков и подготовка соответствующих вопросов.</w:t>
      </w:r>
    </w:p>
    <w:p w14:paraId="3A9F624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тт. МАЛЕНКОВ Г. М. и БЕРИЯ Л. П. а) контроль за выполнением решений ГОКО по производству самолетов и моторов и подготовка соответствующих вопросов;</w:t>
      </w:r>
    </w:p>
    <w:p w14:paraId="0F8A45B7"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подготовка соответствующих вопросов.</w:t>
      </w:r>
    </w:p>
    <w:p w14:paraId="46A143F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МАЛЕНКОВ Г. М. Контроль за выполнением решений ГОКО по Штабу минометных частей Ставки Верховного Главнокомандования и подготовка соответствующих вопросов.</w:t>
      </w:r>
    </w:p>
    <w:p w14:paraId="33BA17D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БЕРИЯ Л. П. Контроль за выполнением решений ГОКО по производству вооружения и минометов и подготовка соответствующих вопросов.</w:t>
      </w:r>
    </w:p>
    <w:p w14:paraId="0530EE7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ВОЗНЕСЕНСКИЙ Н. А. а) контроль за выполнением решений ГОКО по производству боеприпасов и подготовка соответствующих вопросов;</w:t>
      </w:r>
    </w:p>
    <w:p w14:paraId="41392BE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контроль за выполнением решений ГОКО по черной металлургии и подготовка соответствующих вопросов.</w:t>
      </w:r>
    </w:p>
    <w:p w14:paraId="4955897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МИКОЯН А. И. Контроль за делом снабжения Красной Армии (вещевое, продовольственное, горючее, денежное и артиллерийское) и подготовка соответствующих вопросов.</w:t>
      </w:r>
    </w:p>
    <w:p w14:paraId="7186960E"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Подчинить контролю члена ГОКО т. Микояна все органы снабжения НКО по всем видам снабжения и транспортировки.</w:t>
      </w:r>
    </w:p>
    <w:p w14:paraId="53378767"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Утвердить заместителем члена ГОКО т. Микояна по артиллерийскому снабжению т. Яковлева.</w:t>
      </w:r>
    </w:p>
    <w:p w14:paraId="14525F0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Каждый член ГОКО должен иметь заместителя по контролю выполнения наркоматами решений ГОКО по порученной ему отрасли работы.</w:t>
      </w:r>
    </w:p>
    <w:p w14:paraId="37152707" w14:textId="77777777" w:rsidR="00D91C13" w:rsidRPr="008127F8" w:rsidRDefault="00D91C13" w:rsidP="001E0A84">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w:t>
      </w:r>
      <w:r w:rsidRPr="008127F8">
        <w:rPr>
          <w:rFonts w:ascii="Times New Roman" w:hAnsi="Times New Roman"/>
          <w:iCs/>
          <w:color w:val="000000" w:themeColor="text1"/>
          <w:sz w:val="16"/>
          <w:szCs w:val="16"/>
        </w:rPr>
        <w:t>И. Сталин (11455).</w:t>
      </w:r>
    </w:p>
    <w:p w14:paraId="4186FEF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72EF8E16" w14:textId="77777777" w:rsidR="00391210" w:rsidRPr="008127F8" w:rsidRDefault="00391210"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4 февраля 1942 г.</w:t>
      </w:r>
    </w:p>
    <w:p w14:paraId="6B2ACBB7"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«Секретно»</w:t>
      </w:r>
    </w:p>
    <w:p w14:paraId="63D610B5"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ПОСТАНОВЛЕНИЕ № ГКО-1241</w:t>
      </w:r>
    </w:p>
    <w:p w14:paraId="264BD8E1"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 4 февраля 1942 г.</w:t>
      </w:r>
    </w:p>
    <w:p w14:paraId="46CC038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Распределение обязанностей между членами Государственного Комитета Обороны:</w:t>
      </w:r>
    </w:p>
    <w:p w14:paraId="1BAF6EEA"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МОЛОТОВ В. М. Контроль за выполнением решений ГО КО по производству танков и подготовка соответствующих вопросов.</w:t>
      </w:r>
    </w:p>
    <w:p w14:paraId="343ED4EF"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тт. МАЛЕНКОВ Г. М. и БЕРИЯ Л. П. а) контроль за выполнением решений ГОКО по производству самолетов и моторов и подготовка соответствующих вопросов;</w:t>
      </w:r>
    </w:p>
    <w:p w14:paraId="697BAB11"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б) 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подготовка соответствующих вопросов.</w:t>
      </w:r>
    </w:p>
    <w:p w14:paraId="485E87A3"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МАЛЕНКОВ Г. М. Контроль за выполнением решений ГОКО по Штабу минометных частей Ставки Верховного Главнокомандования и подготовка соответствующих вопросов.</w:t>
      </w:r>
    </w:p>
    <w:p w14:paraId="6D86579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БЕРИЯ Л. П. Контроль за выполнением решений ГОКО по производству вооружения и минометов и подготовка соответствующих вопросов.</w:t>
      </w:r>
    </w:p>
    <w:p w14:paraId="55DB6B3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ВОЗНЕСЕНСКИЙ Н. А. а) контроль за выполнением решений ГОКО по производству боеприпасов и подготовка соответствующих вопросов;</w:t>
      </w:r>
    </w:p>
    <w:p w14:paraId="5DABEBC6"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б) контроль за выполнением решений ГОКО по черной металлургии и подготовка соответствующих вопросов.</w:t>
      </w:r>
    </w:p>
    <w:p w14:paraId="2780F4E1"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МИКОЯН А. И. Контроль за делом снабжения Красной Армии (вещевое, продовольственное, горючее, денежное и артиллерийское) и подготовка соответствующих вопросов.</w:t>
      </w:r>
    </w:p>
    <w:p w14:paraId="193F2F7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Подчинить контролю члена ГОКО т. Микояна все органы снабжения НКО по всем видам снабжения и транспортировки.</w:t>
      </w:r>
    </w:p>
    <w:p w14:paraId="280B8B0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Утвердить заместителем члена ГОКО т. Микояна по артиллерийскому снабжению т. Яковлева.</w:t>
      </w:r>
    </w:p>
    <w:p w14:paraId="5DE1F70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Каждый член ГОКО должен иметь заместителя по контролю выполнения наркоматами решений ГОКО по порученной ему отрасли работы.</w:t>
      </w:r>
    </w:p>
    <w:p w14:paraId="40CF36DD"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Председатель Государственного Комитета Обороны И. Сталин</w:t>
      </w:r>
    </w:p>
    <w:p w14:paraId="68789C44"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ПОСТАНОВЛЕНИЕ № ГКО-1271с 12 февраля 1942 г.</w:t>
      </w:r>
    </w:p>
    <w:p w14:paraId="760FD0B0" w14:textId="059935FC"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В частичное изменение постановления ГОКО от 4 февраля 1942 года поручить:</w:t>
      </w:r>
    </w:p>
    <w:p w14:paraId="57C5F708"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ВОЗНЕСЕНСКОМУ Н. А. Контроль за выполнением решений ГКО по производству черных и цветных металлов, нефти, угля и химикатов и подготовку соответствующих вопросов.</w:t>
      </w:r>
    </w:p>
    <w:p w14:paraId="60A2DAED"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 БЕРИЯ Л. П. Контроль за выполнением решений ГКО по производству вооружения и боеприпасов и подготовку соответствующих вопросов.</w:t>
      </w:r>
    </w:p>
    <w:p w14:paraId="62B59AF3" w14:textId="04704743"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Утвердить заместителем члена ГОКО т. Вознесенского Н. А. по химической и топливной промышленности т. Первухина М. Г.</w:t>
      </w:r>
    </w:p>
    <w:p w14:paraId="6C0648D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Председатель Государственного Комитета Обороны И. Сталин (19798).</w:t>
      </w:r>
    </w:p>
    <w:p w14:paraId="48258E3D" w14:textId="77777777" w:rsidR="00391210" w:rsidRPr="008127F8" w:rsidRDefault="00391210" w:rsidP="001E0A84">
      <w:pPr>
        <w:spacing w:after="0" w:line="240" w:lineRule="auto"/>
        <w:jc w:val="both"/>
        <w:rPr>
          <w:rFonts w:ascii="Times New Roman" w:hAnsi="Times New Roman"/>
          <w:color w:val="000000" w:themeColor="text1"/>
          <w:sz w:val="16"/>
          <w:szCs w:val="16"/>
          <w:shd w:val="clear" w:color="auto" w:fill="FFFFFF"/>
        </w:rPr>
      </w:pPr>
    </w:p>
    <w:p w14:paraId="63CE99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г. ГКО поручил Берии контроль над нар</w:t>
      </w:r>
      <w:r w:rsidRPr="008127F8">
        <w:rPr>
          <w:rFonts w:ascii="Times New Roman" w:hAnsi="Times New Roman"/>
          <w:color w:val="000000" w:themeColor="text1"/>
          <w:sz w:val="16"/>
          <w:szCs w:val="16"/>
        </w:rPr>
        <w:softHyphen/>
        <w:t>коматами вооружения и минометов (наркомы Устинов и Паршин), а еще через 8 дней Берии передают под контроль нарко</w:t>
      </w:r>
      <w:r w:rsidRPr="008127F8">
        <w:rPr>
          <w:rFonts w:ascii="Times New Roman" w:hAnsi="Times New Roman"/>
          <w:color w:val="000000" w:themeColor="text1"/>
          <w:sz w:val="16"/>
          <w:szCs w:val="16"/>
        </w:rPr>
        <w:softHyphen/>
        <w:t>мат боеприпасов (10675).</w:t>
      </w:r>
    </w:p>
    <w:p w14:paraId="07D40C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EE1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вышло Постановление ГКО № 1243 О наказании должностных лиц за нарушение технических условий производства ППШ. РГАНИР, Фонд ГКО, д. 20, лл. 222-223 (11012).</w:t>
      </w:r>
    </w:p>
    <w:p w14:paraId="091B6D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057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вышло Постановление ГКО № 1244 О плане производства и поставок артиллерийского и стрелкового вооружения и военных приборов на февраль месяц 1942 г. РГАНИР, Фонд ГКО, д. 20, лл. 224-230 (11012).</w:t>
      </w:r>
    </w:p>
    <w:p w14:paraId="4B74BE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286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вышло Постановление ГКО № 1245 О передаче артиллерийского производства Уралмашзавода в Наркомат вооружения. РГАНИР, Фонд ГКО, д. 20, лл. 231-232 (11012).</w:t>
      </w:r>
    </w:p>
    <w:p w14:paraId="39BDFF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FB6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г. в соответствии с пост. ГКО № 1245 артиллерийское производство Уралмашзавода выделено в самостоятельный завод № 9 НКВ (ГС завод № 9 НКВ, ОАО «Спецмаш», ГУП, ФГУП «Завод № 9» /620012 г. Свердловск, г. Екатеринбург пл. 1-й Пятилетки тел. 37-29-32/).</w:t>
      </w:r>
    </w:p>
    <w:p w14:paraId="7AD789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заводом в 1942г. было организовано ОКБ-9.</w:t>
      </w:r>
    </w:p>
    <w:p w14:paraId="39BF51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ГКО № 3289сс от 5.05.1943г. и приказом НКВ/НКТП № 233/260 от 8.05.1943г. заводу поручено изготовить опытные 85-мм пушки С-31 (ЦАКБ) для КВ-1С и ИС и к 1.07.1943г. представить их на испытания. С 05.1943г. начато строительство новых цехов, которые были оснащены импортным оборудованием. К конну 1943г. освоен выпуск пушки ЗИС-2. 12.06.1943г. вышло постановление ГКО № 3563 об изготовлении и испытании гаубицы Д-1. Пост. ГКО № 4479сс от 31.10.1943г. предписывалось начать серийный выпуск пушки Д-25. 3.07.1944г. вышло постановление ГКО № 6131 об организации на заводе производства пушек Д-10с.</w:t>
      </w:r>
    </w:p>
    <w:p w14:paraId="7BB956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6971 от 19.11.1944г. заводу был отведен земельный участок для артиллерийского полигона (возможно, это Гороховецкий полигон).</w:t>
      </w:r>
    </w:p>
    <w:p w14:paraId="104445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1958г. завод вновь вошел в состав Уралмашзавода как мелкосерийное производство. Далее вновь выделился в самостоятельный завод. Производство ствольной артиллерийской техники.</w:t>
      </w:r>
    </w:p>
    <w:p w14:paraId="2633B4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1992г. назывался «Спецмаш» и при акционировании вошел в состав «Уралмаша». 6.09.1995г. вновь образовано отдельное ГУП «Завод № 9», с 22.01.2002г.- ФГУП «Завод № 9». По Указу Президента РФ № 1009 от 4.08.2004г. вошел в число стратегических оборонных предприятий. На базе УВЗ в 2006г. планировалось создание холдинга, в который должны были войти ООО Завод № 9, «ЧТЗ-Уралтрак», Уралтрансмаш.</w:t>
      </w:r>
    </w:p>
    <w:p w14:paraId="289616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1995-2000 г. создано семейство 155-мм гаубиц: М-385 для САУ 2СЗМ «Акация», М-389 (на базе 2А61 «Пат-Б»), М-390 (модернизированная Д-71).</w:t>
      </w:r>
    </w:p>
    <w:p w14:paraId="20DA8E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(-05-10.1943г.-)-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 Гонор. Гендиректор (2005г.)- В. Козишкурта.</w:t>
      </w:r>
    </w:p>
    <w:p w14:paraId="7BA07B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(1943г.)- Ф.Ф. Петров, (2000 г.)- В. Наседкин.</w:t>
      </w:r>
    </w:p>
    <w:p w14:paraId="56B3C8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155-мм легкая гаубица М-389 (1999).</w:t>
      </w:r>
    </w:p>
    <w:p w14:paraId="4A1417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пушки: танковые: 76-мм ЗиС-5 (1943), ЗиС-6 (1941-43), 85-мм С-31 (1943)- 3, 85-мм Д-5Т (1943-)- 10 (1943), 122-мм Д-25 (1943-); 57-мм противотанковая ЗИС-2 (1943-), 100-мм Д-10с (1944), Д-11, Д-50 (1952-57); 152-мм гаубица Д-1 (1943-); САУ: 122-мм гаубица М-30 на шасси Т-34, гаубица 2С1 «Гвоздика», противотанковая пушка 2А45М (1990-е); орудийные стволы (2003г.); корабельные реактивные бомбометные установки РБУ-6000 (37УМ), РБУ-1000 (38УМ) (11982).</w:t>
      </w:r>
    </w:p>
    <w:p w14:paraId="7FE8CE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CA7AC"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г.</w:t>
      </w:r>
    </w:p>
    <w:p w14:paraId="14C94495"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1 Дело 4 лист 144 – 147</w:t>
      </w:r>
    </w:p>
    <w:p w14:paraId="0858CC78"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51A8BDE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518959F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41-М</w:t>
      </w:r>
    </w:p>
    <w:p w14:paraId="1D4D7B41"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07E1F44"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г.</w:t>
      </w:r>
    </w:p>
    <w:p w14:paraId="41824573" w14:textId="2E8ACF05"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Задача увеличения производства танков требует от всех рабочих и служащих полного использования установленного рабочего времени, строжайшей трудовой дисциплины и повышения производительности труда.</w:t>
      </w:r>
      <w:r w:rsidR="008127F8">
        <w:rPr>
          <w:rFonts w:ascii="Times New Roman" w:hAnsi="Times New Roman"/>
          <w:color w:val="000000" w:themeColor="text1"/>
          <w:sz w:val="16"/>
          <w:szCs w:val="16"/>
        </w:rPr>
        <w:t xml:space="preserve">  </w:t>
      </w:r>
    </w:p>
    <w:p w14:paraId="3DAF2D23" w14:textId="66496C7E"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на ряде заводов и, в особенности, на эвакуированных (заводы №№ 183, 37, 76 и др.), состояние трудовой дисциплины рабочих и служащих находится не на должной высоте, а со стороны директоров заводов и начальников цехов ослабло внимание к этому важнейшему вопросу. Еще не изжиты совершенно нетерпимые в военное время опоздания на работу, отлучки с работы, бесцельное хождение в рабочее время и невыходы на работу по неуважительным причинам.</w:t>
      </w:r>
      <w:r w:rsidR="008127F8">
        <w:rPr>
          <w:rFonts w:ascii="Times New Roman" w:hAnsi="Times New Roman"/>
          <w:color w:val="000000" w:themeColor="text1"/>
          <w:sz w:val="16"/>
          <w:szCs w:val="16"/>
        </w:rPr>
        <w:t xml:space="preserve">  </w:t>
      </w:r>
    </w:p>
    <w:p w14:paraId="046361D3" w14:textId="45CBDCD1"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начальники цехов и мастера проявляют либеральное отношение к лодырям, разгильдяям и нарушителям трудовой дисциплины, а причины и обстоятельства нарушения трудовой дисциплины выявляются несвоевременно и не тщательно. Табельный учет на многих заводах запущен.</w:t>
      </w:r>
      <w:r w:rsidR="008127F8">
        <w:rPr>
          <w:rFonts w:ascii="Times New Roman" w:hAnsi="Times New Roman"/>
          <w:color w:val="000000" w:themeColor="text1"/>
          <w:sz w:val="16"/>
          <w:szCs w:val="16"/>
        </w:rPr>
        <w:t xml:space="preserve">  </w:t>
      </w:r>
    </w:p>
    <w:p w14:paraId="73AC816A" w14:textId="7AEE2D8E"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 Президиума Верховного Совета Союза ССР от 26 декабря 1941 г. "Об ответственности рабочих и служащих предприятий в военной промышленности за самовольный уход с предприятий" на многих заводах не используется для наведения необходимого порядка в трудовой дисциплине на производстве.</w:t>
      </w:r>
      <w:r w:rsidR="008127F8">
        <w:rPr>
          <w:rFonts w:ascii="Times New Roman" w:hAnsi="Times New Roman"/>
          <w:color w:val="000000" w:themeColor="text1"/>
          <w:sz w:val="16"/>
          <w:szCs w:val="16"/>
        </w:rPr>
        <w:t xml:space="preserve">  </w:t>
      </w:r>
    </w:p>
    <w:p w14:paraId="3BEDAE54" w14:textId="78D9BFCA"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то, что рабочие и служащие, согласно Указу от 26 декабря 1941 г., мобилизованы и закреплены на период военного времени за предприятиями танковой промышленности, паспорта до сего времени продолжают оставаться на руках у рабочих и служащих, что в ряде случаев используется для самовольных уходов с предприятий.</w:t>
      </w:r>
      <w:r w:rsidR="008127F8">
        <w:rPr>
          <w:rFonts w:ascii="Times New Roman" w:hAnsi="Times New Roman"/>
          <w:color w:val="000000" w:themeColor="text1"/>
          <w:sz w:val="16"/>
          <w:szCs w:val="16"/>
        </w:rPr>
        <w:t xml:space="preserve">  </w:t>
      </w:r>
    </w:p>
    <w:p w14:paraId="284598DF" w14:textId="0B137FD4"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решительного укрепления трудовой дисциплины среди рабочих и служащих на заводах и учреждениях Наркомтанкопрома ПРИКАЗЫВАЮ директорам заводов и руководителям учреждений:</w:t>
      </w:r>
      <w:r w:rsidR="008127F8">
        <w:rPr>
          <w:rFonts w:ascii="Times New Roman" w:hAnsi="Times New Roman"/>
          <w:color w:val="000000" w:themeColor="text1"/>
          <w:sz w:val="16"/>
          <w:szCs w:val="16"/>
        </w:rPr>
        <w:t xml:space="preserve">  </w:t>
      </w:r>
    </w:p>
    <w:p w14:paraId="11065A03" w14:textId="6BA7A843"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 основании Указа Президиума Верховного Совета Союза ССР от 26 декабря 1941 г. ввести на всех заводах и во всех учреждениях Наркомтанкопрома с 15 февраля с.г. хранение паспортов всех рабочих и служащих в заводоуправлениях и управлениях делами учреждений. При взятии паспорта на хранение выдавать работнику соответствующее удостоверение.</w:t>
      </w:r>
      <w:r w:rsidR="008127F8">
        <w:rPr>
          <w:rFonts w:ascii="Times New Roman" w:hAnsi="Times New Roman"/>
          <w:color w:val="000000" w:themeColor="text1"/>
          <w:sz w:val="16"/>
          <w:szCs w:val="16"/>
        </w:rPr>
        <w:t xml:space="preserve">  </w:t>
      </w:r>
    </w:p>
    <w:p w14:paraId="3BB7E501" w14:textId="02A19BF1"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Выдавать паспорта на руки работнику только при предъявлении документов об уходе в Красную Армию, на учебу, при служебных командировках, а также при увольнении с завода или учреждения, в соответствии с действующим законодательством.</w:t>
      </w:r>
      <w:r w:rsidR="008127F8">
        <w:rPr>
          <w:rFonts w:ascii="Times New Roman" w:hAnsi="Times New Roman"/>
          <w:color w:val="000000" w:themeColor="text1"/>
          <w:sz w:val="16"/>
          <w:szCs w:val="16"/>
        </w:rPr>
        <w:t xml:space="preserve">  </w:t>
      </w:r>
    </w:p>
    <w:p w14:paraId="18D92EE2" w14:textId="3EC5ADDE"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на всех заводах и учреждениях систематическую проверку состояния труддисциплины в цехах и отделах. Начальников цехов, отделов и мастеров, не способствующих поднятию трудовой дисциплины, согласно требованиям военного времени, отстранять от работы и переводить на низшие должности.</w:t>
      </w:r>
      <w:r w:rsidR="008127F8">
        <w:rPr>
          <w:rFonts w:ascii="Times New Roman" w:hAnsi="Times New Roman"/>
          <w:color w:val="000000" w:themeColor="text1"/>
          <w:sz w:val="16"/>
          <w:szCs w:val="16"/>
        </w:rPr>
        <w:t xml:space="preserve">  </w:t>
      </w:r>
    </w:p>
    <w:p w14:paraId="5EE84D92" w14:textId="1DE0877D"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Тех руководителей производства и учреждений, неудовлетворительная работа которых вызывает массовые простои рабочих и оборудования (вследствие плохой организации рабочего места, работы инструментально-раздаточных кладовых и т.п.) и </w:t>
      </w:r>
      <w:proofErr w:type="gramStart"/>
      <w:r w:rsidRPr="008127F8">
        <w:rPr>
          <w:rFonts w:ascii="Times New Roman" w:hAnsi="Times New Roman"/>
          <w:color w:val="000000" w:themeColor="text1"/>
          <w:sz w:val="16"/>
          <w:szCs w:val="16"/>
        </w:rPr>
        <w:t>невыполнение</w:t>
      </w:r>
      <w:proofErr w:type="gramEnd"/>
      <w:r w:rsidRPr="008127F8">
        <w:rPr>
          <w:rFonts w:ascii="Times New Roman" w:hAnsi="Times New Roman"/>
          <w:color w:val="000000" w:themeColor="text1"/>
          <w:sz w:val="16"/>
          <w:szCs w:val="16"/>
        </w:rPr>
        <w:t xml:space="preserve"> в связи с этим производственных заданий – наказывать и привлекать к судебной ответственности.</w:t>
      </w:r>
      <w:r w:rsidR="008127F8">
        <w:rPr>
          <w:rFonts w:ascii="Times New Roman" w:hAnsi="Times New Roman"/>
          <w:color w:val="000000" w:themeColor="text1"/>
          <w:sz w:val="16"/>
          <w:szCs w:val="16"/>
        </w:rPr>
        <w:t xml:space="preserve">  </w:t>
      </w:r>
    </w:p>
    <w:p w14:paraId="10F4C018" w14:textId="15F35C53"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Директорам заводов и руководителям учреждений требовать от местных органов прокуратуры предания суду по законам военного времени лодырей, разгильдяев, прогульщиков и всех иных злостных нарушителей трудовой и производственной дисциплины.</w:t>
      </w:r>
      <w:r w:rsidR="008127F8">
        <w:rPr>
          <w:rFonts w:ascii="Times New Roman" w:hAnsi="Times New Roman"/>
          <w:color w:val="000000" w:themeColor="text1"/>
          <w:sz w:val="16"/>
          <w:szCs w:val="16"/>
        </w:rPr>
        <w:t xml:space="preserve">  </w:t>
      </w:r>
    </w:p>
    <w:p w14:paraId="187A1B55" w14:textId="3A0D5E70"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Передать табельный учет и табельщиков на заводах в ведение главных бухгалтеров. Главным бухгалтерам заводов организовать постоянный контроль и инструктаж постановки табельного учета, и тщательную проверку всех первичных документов о нарушениях трудовой дисциплины.</w:t>
      </w:r>
      <w:r w:rsidR="008127F8">
        <w:rPr>
          <w:rFonts w:ascii="Times New Roman" w:hAnsi="Times New Roman"/>
          <w:color w:val="000000" w:themeColor="text1"/>
          <w:sz w:val="16"/>
          <w:szCs w:val="16"/>
        </w:rPr>
        <w:t xml:space="preserve">  </w:t>
      </w:r>
    </w:p>
    <w:p w14:paraId="1F7751B7" w14:textId="6C661C49"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Установить с 15 февраля с.г. на всех заводах такой порядок, чтобы сведения о количестве явок и неявок, а также опозданий на работу рабочих и служащих по цехам и отделам представлялись директорам заводов не позднее, чем через 2 часа после начала каждой смены.</w:t>
      </w:r>
      <w:r w:rsidR="008127F8">
        <w:rPr>
          <w:rFonts w:ascii="Times New Roman" w:hAnsi="Times New Roman"/>
          <w:color w:val="000000" w:themeColor="text1"/>
          <w:sz w:val="16"/>
          <w:szCs w:val="16"/>
        </w:rPr>
        <w:t xml:space="preserve">  </w:t>
      </w:r>
    </w:p>
    <w:p w14:paraId="3F86980C" w14:textId="6283C043"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Установить срок выяснения причин невыхода на работу в каждом отдельном случае не более 2-х дней.</w:t>
      </w:r>
      <w:r w:rsidR="008127F8">
        <w:rPr>
          <w:rFonts w:ascii="Times New Roman" w:hAnsi="Times New Roman"/>
          <w:color w:val="000000" w:themeColor="text1"/>
          <w:sz w:val="16"/>
          <w:szCs w:val="16"/>
        </w:rPr>
        <w:t xml:space="preserve">  </w:t>
      </w:r>
    </w:p>
    <w:p w14:paraId="2983D18A" w14:textId="3BA12E81"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 сокрытие и задержку в представлении данных о нарушителях трудовой дисциплины, а также за представление неправильных сведений мастеров, начальников цехов и отделов привлекать к строгой ответственности вплоть до предания суду.</w:t>
      </w:r>
      <w:r w:rsidR="008127F8">
        <w:rPr>
          <w:rFonts w:ascii="Times New Roman" w:hAnsi="Times New Roman"/>
          <w:color w:val="000000" w:themeColor="text1"/>
          <w:sz w:val="16"/>
          <w:szCs w:val="16"/>
        </w:rPr>
        <w:t xml:space="preserve">  </w:t>
      </w:r>
    </w:p>
    <w:p w14:paraId="410A520E" w14:textId="60A54E40"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Решение о привлечении работников к судебной ответственности за нарушение трудовой дисциплины в порядке, установленном Указом Президиума Верховного Совета Союза ССР от 26 июня 1940 г. и от 26 декабря 1941 г. принимать только директорам заводов и руководителям учреждений, а в их отсутствие – их заместителям.</w:t>
      </w:r>
      <w:r w:rsidR="008127F8">
        <w:rPr>
          <w:rFonts w:ascii="Times New Roman" w:hAnsi="Times New Roman"/>
          <w:color w:val="000000" w:themeColor="text1"/>
          <w:sz w:val="16"/>
          <w:szCs w:val="16"/>
        </w:rPr>
        <w:t xml:space="preserve">  </w:t>
      </w:r>
    </w:p>
    <w:p w14:paraId="43FAC265" w14:textId="65800D79"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Оформление всех материалов о нарушителях трудовой дисциплины и ответственность за правильное оформление дел возложить на отделы кадров заводов.</w:t>
      </w:r>
      <w:r w:rsidR="008127F8">
        <w:rPr>
          <w:rFonts w:ascii="Times New Roman" w:hAnsi="Times New Roman"/>
          <w:color w:val="000000" w:themeColor="text1"/>
          <w:sz w:val="16"/>
          <w:szCs w:val="16"/>
        </w:rPr>
        <w:t xml:space="preserve">  </w:t>
      </w:r>
    </w:p>
    <w:p w14:paraId="06007855" w14:textId="00D6D97D"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Предоставление краткосрочных отлучек с работы по уважительным причинам допускать лишь в отдельных случаях и только с разрешения руководителей предприятий (учреждений).</w:t>
      </w:r>
      <w:r w:rsidR="008127F8">
        <w:rPr>
          <w:rFonts w:ascii="Times New Roman" w:hAnsi="Times New Roman"/>
          <w:color w:val="000000" w:themeColor="text1"/>
          <w:sz w:val="16"/>
          <w:szCs w:val="16"/>
        </w:rPr>
        <w:t xml:space="preserve">  </w:t>
      </w:r>
    </w:p>
    <w:p w14:paraId="5B150DF9" w14:textId="4B214C2D"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Директорам заводов в 3-дневный срок по получении приказа установить очередность обеденных перерывов для всех цехов и отделов с учетом пропускной способности заводских и цеховых столовых. На тех заводах, где еще до сих пор не введен табельный учет ухода и прихода с обеда, немедленно таковой ввести. За преждевременный уход и поздний приход с обеденного перерыва нарушителей привлекать к ответственности так же, как и за опоздание на работу.</w:t>
      </w:r>
      <w:r w:rsidR="008127F8">
        <w:rPr>
          <w:rFonts w:ascii="Times New Roman" w:hAnsi="Times New Roman"/>
          <w:color w:val="000000" w:themeColor="text1"/>
          <w:sz w:val="16"/>
          <w:szCs w:val="16"/>
        </w:rPr>
        <w:t xml:space="preserve">  </w:t>
      </w:r>
    </w:p>
    <w:p w14:paraId="51C5F308"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Отделу труда и зарплаты НКТП установить систематический контроль за выполнением настоящего приказа.</w:t>
      </w:r>
    </w:p>
    <w:p w14:paraId="3209512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2A79FC96"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(18437).</w:t>
      </w:r>
    </w:p>
    <w:p w14:paraId="24DBD6AB" w14:textId="77777777" w:rsidR="00391210" w:rsidRPr="008127F8" w:rsidRDefault="00391210" w:rsidP="001E0A84">
      <w:pPr>
        <w:spacing w:after="0" w:line="240" w:lineRule="auto"/>
        <w:jc w:val="both"/>
        <w:rPr>
          <w:rFonts w:ascii="Times New Roman" w:hAnsi="Times New Roman"/>
          <w:color w:val="000000" w:themeColor="text1"/>
          <w:sz w:val="16"/>
          <w:szCs w:val="16"/>
        </w:rPr>
      </w:pPr>
    </w:p>
    <w:p w14:paraId="20C71F3C" w14:textId="20678296"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приказ наркомата танковой промышленности разрешил предприятиям отрасли «брать на хранение» паспорта рабочих и служащих. [397 — ЦАНО, Ф. 15, Оп. 6, Д. 647, Л. 177.] Подобная практика нередко применялась и на других заводах. Этот вопиющий факт нарушений прав личности лишний раз демонстрирует, насколько сталинская Россия подражала царской (11741).</w:t>
      </w:r>
    </w:p>
    <w:p w14:paraId="120614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8A5FB"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февраля 1942 г. Письмо Автобронетанкового управления Брянского фронта в Мичуринский горком ВКП(б) об</w:t>
      </w:r>
    </w:p>
    <w:p w14:paraId="33F47F07"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организации производства цепей противоскольжения на промышленных предприятиях г. Мичуринска</w:t>
      </w:r>
    </w:p>
    <w:p w14:paraId="45B9F84C"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повышения проходимости машин действующих частей фронта в условиях бездорожья необходимы </w:t>
      </w:r>
    </w:p>
    <w:p w14:paraId="0A7763C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цепи противоскольжения.</w:t>
      </w:r>
    </w:p>
    <w:p w14:paraId="213AF5C0"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обязать директоров промышленных предприятий города Мичуринска немедленно организовать у себя производство цепей противоскольжения в количестве 1000 комплектов по указанию воентехника 1-[го] ранга106 тов. Тарасенко.</w:t>
      </w:r>
    </w:p>
    <w:p w14:paraId="6DF28C4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Срок готовности цепей — не позднее 1.3.42 г.</w:t>
      </w:r>
    </w:p>
    <w:p w14:paraId="0CFC9594"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командующего войсками</w:t>
      </w:r>
      <w:r w:rsidRPr="008A2E5A">
        <w:rPr>
          <w:rFonts w:ascii="Times New Roman" w:hAnsi="Times New Roman"/>
          <w:color w:val="0070C0"/>
          <w:sz w:val="16"/>
          <w:szCs w:val="16"/>
        </w:rPr>
        <w:tab/>
        <w:t>Военный комиссар АБТУ</w:t>
      </w:r>
    </w:p>
    <w:p w14:paraId="51030623"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Брянского фронта по АБТВ Брянского фронта</w:t>
      </w:r>
    </w:p>
    <w:p w14:paraId="7C0F4F78"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полковник Яркин батальонный комиссар Огнев</w:t>
      </w:r>
    </w:p>
    <w:p w14:paraId="726897DE" w14:textId="77777777" w:rsidR="006646AF" w:rsidRPr="008A2E5A" w:rsidRDefault="006646AF" w:rsidP="006646A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ЦДНИТО. Ф. 513. Оп. 1. Д. 3122. Л. 60. Подлинник (23656).</w:t>
      </w:r>
    </w:p>
    <w:p w14:paraId="3197016E" w14:textId="77777777" w:rsidR="006646AF" w:rsidRPr="008A2E5A" w:rsidRDefault="006646AF" w:rsidP="006646AF">
      <w:pPr>
        <w:spacing w:after="0" w:line="240" w:lineRule="auto"/>
        <w:jc w:val="both"/>
        <w:rPr>
          <w:rFonts w:ascii="Times New Roman" w:hAnsi="Times New Roman"/>
          <w:color w:val="0070C0"/>
          <w:sz w:val="16"/>
          <w:szCs w:val="16"/>
        </w:rPr>
      </w:pPr>
    </w:p>
    <w:p w14:paraId="0E559B1B"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52C20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758C5"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 февраля 1942 года Оперативная сводка Совинформбюро</w:t>
      </w:r>
    </w:p>
    <w:p w14:paraId="2E452C9F"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Гитлеровцы запугивают финский народ</w:t>
      </w:r>
    </w:p>
    <w:p w14:paraId="2ECDAC4D"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один и тот же день, 1 февраля, германское информационное бюро и римское агентство Стефанд передали очередную фальшивку, заимствованную на этот раз из финской печати. Берлин и Рим дружно цитируют передовую статью финской газеты «Аян Суунта» от 30 января, в которой говорится: «Москва намеревается в случае советской победы отправить финский народ в Сибирь… Речь идёт об уничтожении финского народа…».</w:t>
      </w:r>
    </w:p>
    <w:p w14:paraId="2357C5F7"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Как известно, продавшаяся немецким фашистам правящая клика Финляндии не впервые распространяет подобные провокационные выдумки. Так, например, в своей ноте правительству Соединённых Штатов Америки финские власти утверждали, будто бы газета «Правда» в номере от 23 июня 1941 года писала, что финны должны быть стёрты с лица земли. Финско-фашистские жулики и шулера тогда же были разоблачены советской прессой, так как газета «Правда» ничего подобного никогда не писала и не могла писать. Финские мошенники пера были пойманы с поличным. Тогда финское информационное бюро поспешило на выручку своего попавшего впросак правительства. Финское информационное бюро заявило, что не газета «Правда», а якобы московское радио 23 июня в 6 часов 45 минут призывало стереть финнов с лица земли. Однако и ссылка на московское радио была такой же бесчестной и лживой, как ссылка на газету «Правда». Теперь финские, немецкие и итальянские гитлеровцы снова пустили в обращение эту дважды разоблачённую ложь.</w:t>
      </w:r>
    </w:p>
    <w:p w14:paraId="79524CD9"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Причины, по которым финские выученики немецко-фашистских жуликов усердствуют в создании сказок об угрозе финскому народу со стороны СССР, вполне понятны. Финский народ не хотел и не хочет воевать против СССР. Он ненавидит поработившую его гитлеровскую Германию. Все попытки финских прихвостней </w:t>
      </w:r>
      <w:r w:rsidRPr="008127F8">
        <w:rPr>
          <w:rFonts w:ascii="Times New Roman" w:eastAsia="Times New Roman" w:hAnsi="Times New Roman"/>
          <w:color w:val="000000" w:themeColor="text1"/>
          <w:sz w:val="16"/>
          <w:szCs w:val="16"/>
          <w:lang w:eastAsia="ru-RU"/>
        </w:rPr>
        <w:lastRenderedPageBreak/>
        <w:t>фашистской Германии изобразить нынешнюю захватническую войну Финляндии против СССР, как войну оборонительную, национальную, потерпели полный крах. Рост недовольства в финском народе бессмысленной и разорительной войной вызвал беспокойство прежде всего среди гитлеровских заправил в Германии. И вот они потребовали от своих холопов из финской военщины, чтобы они пустили в ход фальшивку о том, что Советский Союз угрожает якобы жизни финского народа.</w:t>
      </w:r>
    </w:p>
    <w:p w14:paraId="655B22E8"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Новый приступ лжи финской военщины рассчитан, таким образом, на то, чтобы запугать финский народ мнимой угрозой со стороны СССР и задержать дальнейший рост недовольства финского населения ж антивоенных настроений в армии и народе.</w:t>
      </w:r>
    </w:p>
    <w:p w14:paraId="745704B5"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Однако мало найдётся теперь в Финляндии дураков, которые бы поверили этой, наглой брехне финских фашистов.</w:t>
      </w:r>
    </w:p>
    <w:p w14:paraId="495C7935"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СОВИНФОРМБЮРО.</w:t>
      </w:r>
    </w:p>
    <w:p w14:paraId="7BA2BDFE"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4 февраля</w:t>
      </w:r>
    </w:p>
    <w:p w14:paraId="2D5FAE03"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4 февраля наши войска продолжали вести активные действия против немецко-фашистских войск.</w:t>
      </w:r>
    </w:p>
    <w:p w14:paraId="4AA382EE"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4 февраля</w:t>
      </w:r>
    </w:p>
    <w:p w14:paraId="7DE2B621"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4 февраля наши войска продолжали вести наступательные бои и заняли несколько населённых пунктов.</w:t>
      </w:r>
    </w:p>
    <w:p w14:paraId="7D720FBD"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3 февраля сбито в воздушных боях 29 и уничтожено на аэродромах 16 немецких самолётов. Всего за этот день уничтожено 45 самолётов противника. Наши потери - 5 самолётов.</w:t>
      </w:r>
    </w:p>
    <w:p w14:paraId="1BD2BA53"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4 февраля под Москвой сбито 7 немецких самолётов.</w:t>
      </w:r>
    </w:p>
    <w:p w14:paraId="7E42D4F2"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3 февраля частями нашей авиации уничтожено 3 немецких танка, бронемашина, 230 автомашин с войсками и грузами, 150 повозок с боеприпасами, 14 орудий, 6 миномётов, 3 зенитно-пулемётные точки, подожжено 2 железнодорожных эшелона, разбито 15 вагонов, уничтожено и рассеяно до двух батальонов пехоты противника (15024).</w:t>
      </w:r>
    </w:p>
    <w:p w14:paraId="64F03D1A"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p>
    <w:p w14:paraId="6F64EB94" w14:textId="77777777" w:rsidR="00391210" w:rsidRPr="008127F8" w:rsidRDefault="00391210" w:rsidP="001E0A84">
      <w:pPr>
        <w:pStyle w:val="31b"/>
        <w:shd w:val="clear" w:color="auto" w:fill="auto"/>
        <w:tabs>
          <w:tab w:val="left" w:pos="457"/>
        </w:tabs>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4 февраля 1942 снова вылет на ж.д. узел Смоленск:</w:t>
      </w:r>
    </w:p>
    <w:p w14:paraId="0DAE8481"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командир корабля полковник Алексеев, штурман майор Лебедев в 22.33 4.2.42 г. стартовал с аэродрома Ковров на бомбардирование ж.д. узла Смоленск. В 01.18 5.2.42 г. с высоты 5600 м на цель сброшено двадцать четыре ФАБ-100 и четыре ФАБ-250. Бомбы сброшены в три захода прицельно.</w:t>
      </w:r>
    </w:p>
    <w:p w14:paraId="7B1E0687"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Экипаж наблюдал восемь прямых попаданий по путям жел. дор. узла. Остальные бомбы легли с перелетом и недолетом, в результате бомбометания в центральной части жел. дор узла возник большой пожар.</w:t>
      </w:r>
    </w:p>
    <w:p w14:paraId="49ED55B0"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Эшелонов на путях не установлено из-за большой высоты бомбардирования. В районе цели сброшены 24 тысячи листовок, из них 18 т. с докладом т. Сталина.</w:t>
      </w:r>
    </w:p>
    <w:p w14:paraId="30FD2977"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Противодействия ПВО</w:t>
      </w:r>
      <w:proofErr w:type="gramStart"/>
      <w:r w:rsidRPr="008127F8">
        <w:rPr>
          <w:color w:val="000000" w:themeColor="text1"/>
          <w:sz w:val="16"/>
          <w:szCs w:val="16"/>
        </w:rPr>
        <w:t>: Над</w:t>
      </w:r>
      <w:proofErr w:type="gramEnd"/>
      <w:r w:rsidRPr="008127F8">
        <w:rPr>
          <w:color w:val="000000" w:themeColor="text1"/>
          <w:sz w:val="16"/>
          <w:szCs w:val="16"/>
        </w:rPr>
        <w:t xml:space="preserve"> целью по самолетам велся интенсивный огонь ЗА всех калибров. Разрывы снарядов крупной ЗА наблюдали ниже и выше самолета. Огонь по самолету вели до 20 зенитных точек из окраин города и района, прилегающего к жел. дор. узлу. На маршруте по самолету вела огонь до батареи ЗА среднего калибра. Наблюдали несколько разрывов снарядов ниже самолета. Наблюдением экипажа установлено движение автотранспорта по шоссейной дороге Ярцево-Смоленск, преимущественно на запад. В районе, западнее Вязьмы арт. огонь наземной артиллерии и пожары. Движение жел. дор. эшелонов не наблюдали.</w:t>
      </w:r>
    </w:p>
    <w:p w14:paraId="7B2C7C9D"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w:t>
      </w:r>
      <w:proofErr w:type="gramStart"/>
      <w:r w:rsidRPr="008127F8">
        <w:rPr>
          <w:color w:val="000000" w:themeColor="text1"/>
          <w:sz w:val="16"/>
          <w:szCs w:val="16"/>
        </w:rPr>
        <w:t>: На</w:t>
      </w:r>
      <w:proofErr w:type="gramEnd"/>
      <w:r w:rsidRPr="008127F8">
        <w:rPr>
          <w:color w:val="000000" w:themeColor="text1"/>
          <w:sz w:val="16"/>
          <w:szCs w:val="16"/>
        </w:rPr>
        <w:t xml:space="preserve"> маршруте и над целью преимущественно ясно.</w:t>
      </w:r>
    </w:p>
    <w:p w14:paraId="74B590B0"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После выполнения задания экипаж произвел посадку на своем аэродроме Ковров в 3.58 5.2.42 г. Материальная часть исправна. Требует послеполетного осмотра. Потерь нет (19105).</w:t>
      </w:r>
    </w:p>
    <w:p w14:paraId="747CA14D" w14:textId="77777777" w:rsidR="00391210" w:rsidRPr="008127F8" w:rsidRDefault="00391210" w:rsidP="001E0A84">
      <w:pPr>
        <w:pStyle w:val="109"/>
        <w:shd w:val="clear" w:color="auto" w:fill="auto"/>
        <w:spacing w:line="240" w:lineRule="auto"/>
        <w:jc w:val="both"/>
        <w:rPr>
          <w:color w:val="000000" w:themeColor="text1"/>
          <w:sz w:val="16"/>
          <w:szCs w:val="16"/>
        </w:rPr>
      </w:pPr>
    </w:p>
    <w:p w14:paraId="6C4500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вышло Постановление ГКО № 1242 Об отпуске продовольственных пайков для Красной Армии в феврале 1942 г. РГАНИР, Фонд ГКО, д. 20, лл. 220-221 (11012).</w:t>
      </w:r>
    </w:p>
    <w:p w14:paraId="2E2E66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80D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НКВМФ Н.Г.Кузнецов выпустил директиву N 122/Ш о систематической постановке мин с самолета (2120).</w:t>
      </w:r>
    </w:p>
    <w:p w14:paraId="2CAD9E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9485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E1847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81D803"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февраля</w:t>
      </w:r>
      <w:r w:rsidRPr="008127F8">
        <w:rPr>
          <w:rFonts w:ascii="Times New Roman" w:hAnsi="Times New Roman"/>
          <w:color w:val="000000" w:themeColor="text1"/>
          <w:sz w:val="16"/>
          <w:szCs w:val="16"/>
        </w:rPr>
        <w:t xml:space="preserve"> в 1942 году работа германских авиастроителей, которая получила обозначение 8-234 (будущий Арадо-234), пережила второе рождение. Посетивший Брандербург, где тогда концентрировалось опытное строительство фирмы «Arado», генерал-фельдмаршал Мильх (после смерти Удета занявший пост начальника ВВС Германии) одобрил почти готовые высокопланы с чистыми аэродинамическими формами, которые ждали подходящих двигателей. После визита Мильха В.Блюм (W.Blume), директор фирмы «Arado», получил заказ на постройку шести прототипов машин под названием «Ar.234», а в конце 1942 г. этот заказ возрос до двадцати самолетов (15030).</w:t>
      </w:r>
    </w:p>
    <w:p w14:paraId="3448DF14"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6AA2E2F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англичане окружили танками дворец египетского короля Фарука в Каире, требуя назначения проанглийского правительства (4962).</w:t>
      </w:r>
    </w:p>
    <w:p w14:paraId="05EB3D9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65B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4, 1942: The Afrikakorps recaptures Derna in Libya (3819).</w:t>
      </w:r>
    </w:p>
    <w:p w14:paraId="04FE72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8643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1942 Африканский корпус захватил Дерну в Ливии (3819).</w:t>
      </w:r>
    </w:p>
    <w:p w14:paraId="29DF99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C851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55AB5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F38E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Нач. 10 ГУ НКАП Тарасевичем был подготовлен план обеспечения производства самолетов Ил-2 бронекорпусами на февраль-май: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8127F8" w14:paraId="2449BD07" w14:textId="77777777">
        <w:tc>
          <w:tcPr>
            <w:tcW w:w="2818" w:type="dxa"/>
            <w:tcBorders>
              <w:top w:val="single" w:sz="12" w:space="0" w:color="auto"/>
            </w:tcBorders>
          </w:tcPr>
          <w:p w14:paraId="61BA68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818" w:type="dxa"/>
            <w:tcBorders>
              <w:top w:val="single" w:sz="12" w:space="0" w:color="auto"/>
            </w:tcBorders>
          </w:tcPr>
          <w:p w14:paraId="474BA7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2818" w:type="dxa"/>
            <w:tcBorders>
              <w:top w:val="single" w:sz="12" w:space="0" w:color="auto"/>
            </w:tcBorders>
          </w:tcPr>
          <w:p w14:paraId="3C7309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r>
      <w:tr w:rsidR="006F4095" w:rsidRPr="008127F8" w14:paraId="56447C25" w14:textId="77777777">
        <w:tc>
          <w:tcPr>
            <w:tcW w:w="2818" w:type="dxa"/>
          </w:tcPr>
          <w:p w14:paraId="3BE58A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264</w:t>
            </w:r>
          </w:p>
        </w:tc>
        <w:tc>
          <w:tcPr>
            <w:tcW w:w="2818" w:type="dxa"/>
          </w:tcPr>
          <w:p w14:paraId="700B1C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2818" w:type="dxa"/>
          </w:tcPr>
          <w:p w14:paraId="75443F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6F4095" w:rsidRPr="008127F8" w14:paraId="1E944A6A" w14:textId="77777777">
        <w:tc>
          <w:tcPr>
            <w:tcW w:w="2818" w:type="dxa"/>
          </w:tcPr>
          <w:p w14:paraId="1C5B7A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2818" w:type="dxa"/>
          </w:tcPr>
          <w:p w14:paraId="7C6E99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18" w:type="dxa"/>
          </w:tcPr>
          <w:p w14:paraId="39FC49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6F4095" w:rsidRPr="008127F8" w14:paraId="475F9674" w14:textId="77777777">
        <w:tc>
          <w:tcPr>
            <w:tcW w:w="2818" w:type="dxa"/>
          </w:tcPr>
          <w:p w14:paraId="39F796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818" w:type="dxa"/>
          </w:tcPr>
          <w:p w14:paraId="6A5A7B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18" w:type="dxa"/>
          </w:tcPr>
          <w:p w14:paraId="2C39FB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r>
      <w:tr w:rsidR="006F4095" w:rsidRPr="008127F8" w14:paraId="3F4F0EC7" w14:textId="77777777">
        <w:tc>
          <w:tcPr>
            <w:tcW w:w="2818" w:type="dxa"/>
          </w:tcPr>
          <w:p w14:paraId="391BBD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183</w:t>
            </w:r>
          </w:p>
        </w:tc>
        <w:tc>
          <w:tcPr>
            <w:tcW w:w="2818" w:type="dxa"/>
          </w:tcPr>
          <w:p w14:paraId="783BFE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2818" w:type="dxa"/>
          </w:tcPr>
          <w:p w14:paraId="308D7F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r>
      <w:tr w:rsidR="00687FE2" w:rsidRPr="008127F8" w14:paraId="071DF847" w14:textId="77777777">
        <w:tc>
          <w:tcPr>
            <w:tcW w:w="2818" w:type="dxa"/>
            <w:tcBorders>
              <w:bottom w:val="single" w:sz="12" w:space="0" w:color="auto"/>
            </w:tcBorders>
          </w:tcPr>
          <w:p w14:paraId="56F6BC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2BC0C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2818" w:type="dxa"/>
            <w:tcBorders>
              <w:bottom w:val="single" w:sz="12" w:space="0" w:color="auto"/>
            </w:tcBorders>
          </w:tcPr>
          <w:p w14:paraId="134989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 (1685,22)</w:t>
            </w:r>
          </w:p>
        </w:tc>
      </w:tr>
    </w:tbl>
    <w:p w14:paraId="23CA6D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A9D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Нач. 10 ГУ НКАП Тарасевичем была подготовлена Справка по обеспечению самолетов Ил-2 заводов 1, 18, 30 и 381 (1685,24).</w:t>
      </w:r>
    </w:p>
    <w:p w14:paraId="6EB9D2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CFC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Зам. Нач. цеха № 75 завода № 18 Б.В.Подригальский в Докладной записке директору завода Шенкману, посланный проконсультировать л и техников по эксплуатации Ил-2 зимой описал бардак с отправкой Ил-2 на фронт из 1-го ЗАБ в Кряже. Машины портились прямо в ЗАБ (1635,113).</w:t>
      </w:r>
    </w:p>
    <w:p w14:paraId="5DCF9BD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в/распоряжения 3.</w:t>
      </w:r>
      <w:proofErr w:type="gramStart"/>
      <w:r w:rsidRPr="008127F8">
        <w:rPr>
          <w:rFonts w:ascii="Times New Roman" w:hAnsi="Times New Roman"/>
          <w:color w:val="000000" w:themeColor="text1"/>
          <w:sz w:val="16"/>
          <w:szCs w:val="16"/>
        </w:rPr>
        <w:t>П.с</w:t>
      </w:r>
      <w:proofErr w:type="gramEnd"/>
      <w:r w:rsidRPr="008127F8">
        <w:rPr>
          <w:rFonts w:ascii="Times New Roman" w:hAnsi="Times New Roman"/>
          <w:color w:val="000000" w:themeColor="text1"/>
          <w:sz w:val="16"/>
          <w:szCs w:val="16"/>
        </w:rPr>
        <w:t>-г. я с группой б/механиков и мотористов выехал в 1 ЗАБ - ст.Кряж с задачей:</w:t>
      </w:r>
    </w:p>
    <w:p w14:paraId="009A12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Произвести помощь в выпуске сформированных самолетов на фронт</w:t>
      </w:r>
    </w:p>
    <w:p w14:paraId="31BE9D4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\Выявить причины массового выхода из строя маслорадиаторов и оформить документально данный дефект и причины его возникновения.</w:t>
      </w:r>
    </w:p>
    <w:p w14:paraId="78A36D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Проконсультировать весь технический и летный состав о правилах эксплоатации самолетов ИЛ-2 в зимних условиях.</w:t>
      </w:r>
    </w:p>
    <w:p w14:paraId="30AF97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Передать и оформить документально переданные со мною 1-му ЗАБ 13 шт. водогрейных ламп АПЛ-1 и 4 комплекта труб, затребованные генерал-майором тов. ПАПИВИНЫМ.</w:t>
      </w:r>
    </w:p>
    <w:p w14:paraId="5B458C7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час. утра 4.П.с.г. я с брагадой был на аэродроме, но из руководятелей и инженеров до II час</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никого не было и не с кем было даже говорить.</w:t>
      </w:r>
    </w:p>
    <w:p w14:paraId="162A123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самостоятельном осмотре самолетов обнаружено:</w:t>
      </w:r>
    </w:p>
    <w:p w14:paraId="670973D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Машины все в крайне запущенной состоянии:</w:t>
      </w:r>
    </w:p>
    <w:p w14:paraId="70ACD6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залиты буквально все маслом;</w:t>
      </w:r>
    </w:p>
    <w:p w14:paraId="31A8AB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самолеты не имели закреплений за инженерами и полками;</w:t>
      </w:r>
    </w:p>
    <w:p w14:paraId="2ED718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задания никто не вмел и сколько я не добивался узнать- какие-же самолеты должны готовиться к отлету, так я не уавал.</w:t>
      </w:r>
    </w:p>
    <w:p w14:paraId="0CCB3C7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Ряд машин были с порванными маслорадяаторами и брошеаы в грязном состоянии.</w:t>
      </w:r>
    </w:p>
    <w:p w14:paraId="6BDAEDC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ряда машин не было слито масло из картеров моторов.</w:t>
      </w:r>
    </w:p>
    <w:p w14:paraId="48DFE7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Буквально у всех машин в развалы цилиндров налито масло в обильном количестве.</w:t>
      </w:r>
    </w:p>
    <w:p w14:paraId="50B25A3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На ряде машин обнаружено выбивание масла через </w:t>
      </w:r>
      <w:proofErr w:type="gramStart"/>
      <w:r w:rsidRPr="008127F8">
        <w:rPr>
          <w:rFonts w:ascii="Times New Roman" w:hAnsi="Times New Roman"/>
          <w:color w:val="000000" w:themeColor="text1"/>
          <w:sz w:val="16"/>
          <w:szCs w:val="16"/>
        </w:rPr>
        <w:t>суфлер,.</w:t>
      </w:r>
      <w:proofErr w:type="gramEnd"/>
      <w:r w:rsidRPr="008127F8">
        <w:rPr>
          <w:rFonts w:ascii="Times New Roman" w:hAnsi="Times New Roman"/>
          <w:color w:val="000000" w:themeColor="text1"/>
          <w:sz w:val="16"/>
          <w:szCs w:val="16"/>
        </w:rPr>
        <w:t>благодаря чрезмерной заливке маслом. Работу производили не летнем масле МДС, что противоречит инструкции.</w:t>
      </w:r>
    </w:p>
    <w:p w14:paraId="653BD4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Технический состав не полностью раскреплен по машинам, а самолеты 175 полка, улетевшего на фронт и оставившего много машин, техников не имели.</w:t>
      </w:r>
    </w:p>
    <w:p w14:paraId="43555C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Случайно познакомившись с летчиком 175 полка т. ЗВЯГИНЫМ, я узнал, что из таких отставших от своего полка четыре человека и что им выделены машины, но </w:t>
      </w:r>
      <w:r w:rsidRPr="008127F8">
        <w:rPr>
          <w:rFonts w:ascii="Times New Roman" w:hAnsi="Times New Roman"/>
          <w:color w:val="000000" w:themeColor="text1"/>
          <w:sz w:val="16"/>
          <w:szCs w:val="16"/>
        </w:rPr>
        <w:lastRenderedPageBreak/>
        <w:t>выпускать их никто не торопится. Я дал команду своим б /механикам приступить к подготовке к выпуску данныхе зкипажей самолеты №№ 3202, 8301, 9201, 2402.</w:t>
      </w:r>
    </w:p>
    <w:p w14:paraId="3CC933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 были подготовлена и выпущены аа исключением самолетов №№- 2402 и 9201, оставшихся из-за отказа мотора по причине з-да № 24. Но одна машина была заменена на подготовленной при помощи нашей консультации и 3 летчика улетели. В тоже время бригадой, посланной мною ранее, были заменена порванные маслорадиаторы на сл. самолетах №№ 9401, 8301, 3802, 7201, 102.</w:t>
      </w:r>
    </w:p>
    <w:p w14:paraId="0DBB09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12 час. прибыл генер-майор т. ПАПИВИН и В/инженер 1-го ранга т. КРАВЧЕНКО. Я доложил т. ПАПИВИНУ о всех ненормальностях, но тов. ПАПИВИН настроен был без всякого основания защищать недостатки в работе 1-го ЗАБ в эксплоатации самолетов, указывая на якобы имевшиеся случаи выпуска с з-да самолетов с порванными блоками радиатора и что данное явление есть результат работы нашего завода.</w:t>
      </w:r>
    </w:p>
    <w:p w14:paraId="5B6FDEE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 я ему указал о том, что в течении пяти часов не могли найти общего хозяина всех машин, то т. Папивин порекомендовал нам устранять несуществующие дефекта з-да.</w:t>
      </w:r>
    </w:p>
    <w:p w14:paraId="6DC764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этом разговор с т. Папивиным был закончен.</w:t>
      </w:r>
    </w:p>
    <w:p w14:paraId="1555B3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Проконсультжровор инженеров полков 198 ШАП и 571 ШАП о правилах эксплоатации и призведя практически подготовку, я заручился от инженера 108 ШАП т. ВОРОТИЛОВА заверением о том, что ему стали понятны причина внхода из строг м/радиаторов, т.е. он целиком и полностью признал свою вину.</w:t>
      </w:r>
    </w:p>
    <w:p w14:paraId="13E121A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всего, при перегонке самолетов с з-да, самолеты вринимались случайшми людьми и слив масла и воды производился небрежно и безответственно, в результате чего с картеров и системы не сливалось масло полностью, что правело к массовому выходу из строя радиаторов при запуске моторов. Данное объяснение о вышеизложенном произвел б/шехник 2-го ранга тов. ЧЕРНЯВСКИЙ.</w:t>
      </w:r>
    </w:p>
    <w:p w14:paraId="3ED43E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Поработав целый день, несмотря на ранее договоренное, нашей бригаде не дали в столовой обеда под </w:t>
      </w:r>
      <w:proofErr w:type="gramStart"/>
      <w:r w:rsidRPr="008127F8">
        <w:rPr>
          <w:rFonts w:ascii="Times New Roman" w:hAnsi="Times New Roman"/>
          <w:color w:val="000000" w:themeColor="text1"/>
          <w:sz w:val="16"/>
          <w:szCs w:val="16"/>
        </w:rPr>
        <w:t>предлогом,что</w:t>
      </w:r>
      <w:proofErr w:type="gramEnd"/>
      <w:r w:rsidRPr="008127F8">
        <w:rPr>
          <w:rFonts w:ascii="Times New Roman" w:hAnsi="Times New Roman"/>
          <w:color w:val="000000" w:themeColor="text1"/>
          <w:sz w:val="16"/>
          <w:szCs w:val="16"/>
        </w:rPr>
        <w:t xml:space="preserve"> мы должны карточки, которые мы не имели с собой, в силу того, что нас никто не предупредил и разговор ст. Папивиным на эту тему также ничего не дал, т.к. и он указал на такой же порядок и заявил, что он предупреждал Вас об этом. Добиваясь обеда для народа, я встретился с инженером т. Кравченко, который заявил, что я мог уехать с 4/механяками и мотористами, т.к. вопрос с запуском моторов стая ясным и просил оставить только бригаду по дефектам мастера тов. Бабакина. Я взял всех людей и приехал в з-д. Бригаду мотористов отправил в ЛИС, а бригаду т. Бабакива привез за продуктовыми карточками, которая сегодня 5.П. выесжает обратно в Кряж.</w:t>
      </w:r>
    </w:p>
    <w:p w14:paraId="6F71C83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7B1A1F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Несерьезность в работе и безответственность царит всюду на аэродроме. Машины брошена и не имеют хозяина. Прибьпшие по В/приказания бригады встречаются как ненужные люди, о бременяющие лишними заботами и не ипользуются как это положено.</w:t>
      </w:r>
    </w:p>
    <w:p w14:paraId="3444A1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Никакой комиссии по выявлению причин дефектов не назначалось, т.к. вина неправильной и безответственной эксплоатации на лицо.</w:t>
      </w:r>
    </w:p>
    <w:p w14:paraId="47E4164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Задержка в выпуске самолетов на Фронт во моему произошла по вине отсутстви и общего грамотного руководства и безответст</w:t>
      </w:r>
      <w:r w:rsidRPr="008127F8">
        <w:rPr>
          <w:rFonts w:ascii="Times New Roman" w:hAnsi="Times New Roman"/>
          <w:color w:val="000000" w:themeColor="text1"/>
          <w:sz w:val="16"/>
          <w:szCs w:val="16"/>
        </w:rPr>
        <w:softHyphen/>
        <w:t>венности инженерно-технического состава 1-й ЗАБ ((1635).</w:t>
      </w:r>
    </w:p>
    <w:p w14:paraId="143709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AAC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была подготовлена Докладная записка по организации в Воронеже на площади эвакуированного завода 18 самолетостроительного завода по производству Ил-2 (1685,25).</w:t>
      </w:r>
    </w:p>
    <w:p w14:paraId="632E15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6B1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закончились совместные заводские и гос. испытания Як-7Б с М-105ПФ, проводимые с 28 января 1942. От НИИ ВВС летал А.Г.Кочетков, от ЛИИ - Н.С.Рыбко. Ви А.Т.Степанец от НИИ ВВС, В.Н.Сагинов от ЛИИ, А.П.Рыбченков от завода, по вооружению - А.Г.Аронов от НИИ ВВС и Г.И.Гудименко от ОКБ. Сделали 27 полетов налетав 17 час. (65,84).</w:t>
      </w:r>
    </w:p>
    <w:p w14:paraId="07FED3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Як-7Б М-105ПФ был готов и испытывался в мае 1942 (1046,37).</w:t>
      </w:r>
    </w:p>
    <w:p w14:paraId="560CDD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7CFE1"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февраля</w:t>
      </w:r>
      <w:r w:rsidRPr="008127F8">
        <w:rPr>
          <w:rFonts w:ascii="Times New Roman" w:hAnsi="Times New Roman"/>
          <w:color w:val="000000" w:themeColor="text1"/>
          <w:sz w:val="16"/>
          <w:szCs w:val="16"/>
        </w:rPr>
        <w:t xml:space="preserve"> в 1942 году завершились совместные заводские и государственные испытания эталонного самолета </w:t>
      </w:r>
      <w:hyperlink r:id="rId43" w:tgtFrame="_blank" w:history="1">
        <w:r w:rsidRPr="008127F8">
          <w:rPr>
            <w:rFonts w:ascii="Times New Roman" w:hAnsi="Times New Roman"/>
            <w:color w:val="000000" w:themeColor="text1"/>
            <w:sz w:val="16"/>
            <w:szCs w:val="16"/>
          </w:rPr>
          <w:t xml:space="preserve">«Як-7Б М-105ПА» </w:t>
        </w:r>
      </w:hyperlink>
      <w:r w:rsidRPr="008127F8">
        <w:rPr>
          <w:rFonts w:ascii="Times New Roman" w:hAnsi="Times New Roman"/>
          <w:color w:val="000000" w:themeColor="text1"/>
          <w:sz w:val="16"/>
          <w:szCs w:val="16"/>
        </w:rPr>
        <w:t>(самолет N14-13), начавшиеся 28 января 1942 года на аэродроме новосибирского завода N153. В отчете по госиспытаниям «Як-7Б» отмечалось, что по сравнению с самолетом Як-1, хорошо зарекомендовавшим себя на фронте, самолет Як-7Б в конструктивном отношении является более совершенным и перспективным. Основные недостатки «Як-7Б»: 1. Тяжел, что затрудняет быстрый набор скорости. 2. Имеет большое сопротивление за счет водяного и масляного радиаторов. 3. Не имеет обзор назад. 4. Плохой целлулоид в фонаре, что затрудняет наблюдение и не дает возможности летать с закрытым колпаком. 5. Двигатель (особенно не форсированный) не соответствует по своей мощности массе самолета. 6. При стрельбе приходится снимать руку с сектора газа и переносить на гашетки, что ухудшает управление самолетом, а также сбивает точность прицела. 7. Длины пробега и разбега самолета велики, что требует хороших "площадок" по длине (15031).</w:t>
      </w:r>
    </w:p>
    <w:p w14:paraId="490EBB70"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5295FF37"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февраля 1942 г. летчики-испытатели Н.С. Рыбко (ЛИИ НКАП) и военинженер 2 ранга А.Г. Кочетков (НИИ ВВС КА) закончили совместные завод</w:t>
      </w:r>
      <w:r w:rsidRPr="008A2E5A">
        <w:rPr>
          <w:rFonts w:ascii="Times New Roman" w:hAnsi="Times New Roman"/>
          <w:color w:val="0070C0"/>
          <w:sz w:val="16"/>
          <w:szCs w:val="16"/>
        </w:rPr>
        <w:softHyphen/>
        <w:t>ские и государственные испытания Як-7Б, которые шли с 28 января. Итоги испытаний оказались ошеломляю</w:t>
      </w:r>
      <w:r w:rsidRPr="008A2E5A">
        <w:rPr>
          <w:rFonts w:ascii="Times New Roman" w:hAnsi="Times New Roman"/>
          <w:color w:val="0070C0"/>
          <w:sz w:val="16"/>
          <w:szCs w:val="16"/>
        </w:rPr>
        <w:softHyphen/>
        <w:t>щими: самолет с усиленным вооружением и расширен</w:t>
      </w:r>
      <w:r w:rsidRPr="008A2E5A">
        <w:rPr>
          <w:rFonts w:ascii="Times New Roman" w:hAnsi="Times New Roman"/>
          <w:color w:val="0070C0"/>
          <w:sz w:val="16"/>
          <w:szCs w:val="16"/>
        </w:rPr>
        <w:softHyphen/>
        <w:t>ным по требованиям ВВС КА составом оборудования по своим летным данным остался практически наравне с опытным УТИ-26-l и даже превзошел более легкий Як-1 (таблица 19).</w:t>
      </w:r>
    </w:p>
    <w:p w14:paraId="5F6CB90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№19. Сравнительные характеристики самолетов УТИ-26-l, Як-1 иЯк-7Б</w:t>
      </w:r>
    </w:p>
    <w:tbl>
      <w:tblPr>
        <w:tblOverlap w:val="never"/>
        <w:tblW w:w="0" w:type="auto"/>
        <w:tblLayout w:type="fixed"/>
        <w:tblCellMar>
          <w:left w:w="10" w:type="dxa"/>
          <w:right w:w="10" w:type="dxa"/>
        </w:tblCellMar>
        <w:tblLook w:val="04A0" w:firstRow="1" w:lastRow="0" w:firstColumn="1" w:lastColumn="0" w:noHBand="0" w:noVBand="1"/>
      </w:tblPr>
      <w:tblGrid>
        <w:gridCol w:w="4723"/>
        <w:gridCol w:w="2054"/>
        <w:gridCol w:w="1454"/>
        <w:gridCol w:w="1426"/>
      </w:tblGrid>
      <w:tr w:rsidR="009E31D1" w:rsidRPr="008A2E5A" w14:paraId="115CDBAB" w14:textId="77777777" w:rsidTr="004C5D62">
        <w:trPr>
          <w:trHeight w:val="437"/>
        </w:trPr>
        <w:tc>
          <w:tcPr>
            <w:tcW w:w="4723" w:type="dxa"/>
            <w:tcBorders>
              <w:top w:val="single" w:sz="4" w:space="0" w:color="auto"/>
              <w:left w:val="single" w:sz="4" w:space="0" w:color="auto"/>
            </w:tcBorders>
            <w:shd w:val="clear" w:color="auto" w:fill="auto"/>
            <w:vAlign w:val="center"/>
          </w:tcPr>
          <w:p w14:paraId="6902DF10"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w:t>
            </w:r>
          </w:p>
        </w:tc>
        <w:tc>
          <w:tcPr>
            <w:tcW w:w="2054" w:type="dxa"/>
            <w:tcBorders>
              <w:top w:val="single" w:sz="4" w:space="0" w:color="auto"/>
              <w:left w:val="single" w:sz="4" w:space="0" w:color="auto"/>
            </w:tcBorders>
            <w:shd w:val="clear" w:color="auto" w:fill="auto"/>
            <w:vAlign w:val="bottom"/>
          </w:tcPr>
          <w:p w14:paraId="2E34586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 (УТИ-26) опытный экземпляр № 1</w:t>
            </w:r>
          </w:p>
        </w:tc>
        <w:tc>
          <w:tcPr>
            <w:tcW w:w="1454" w:type="dxa"/>
            <w:tcBorders>
              <w:top w:val="single" w:sz="4" w:space="0" w:color="auto"/>
              <w:left w:val="single" w:sz="4" w:space="0" w:color="auto"/>
            </w:tcBorders>
            <w:shd w:val="clear" w:color="auto" w:fill="auto"/>
            <w:vAlign w:val="bottom"/>
          </w:tcPr>
          <w:p w14:paraId="292F6CD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Як-1 №2029</w:t>
            </w:r>
          </w:p>
        </w:tc>
        <w:tc>
          <w:tcPr>
            <w:tcW w:w="1426" w:type="dxa"/>
            <w:tcBorders>
              <w:top w:val="single" w:sz="4" w:space="0" w:color="auto"/>
              <w:left w:val="single" w:sz="4" w:space="0" w:color="auto"/>
              <w:right w:val="single" w:sz="4" w:space="0" w:color="auto"/>
            </w:tcBorders>
            <w:shd w:val="clear" w:color="auto" w:fill="auto"/>
            <w:vAlign w:val="bottom"/>
          </w:tcPr>
          <w:p w14:paraId="1B6F214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№1413</w:t>
            </w:r>
          </w:p>
        </w:tc>
      </w:tr>
      <w:tr w:rsidR="009E31D1" w:rsidRPr="008A2E5A" w14:paraId="1370E8D3" w14:textId="77777777" w:rsidTr="004C5D62">
        <w:trPr>
          <w:trHeight w:val="250"/>
        </w:trPr>
        <w:tc>
          <w:tcPr>
            <w:tcW w:w="4723" w:type="dxa"/>
            <w:tcBorders>
              <w:top w:val="single" w:sz="4" w:space="0" w:color="auto"/>
              <w:left w:val="single" w:sz="4" w:space="0" w:color="auto"/>
            </w:tcBorders>
            <w:shd w:val="clear" w:color="auto" w:fill="auto"/>
            <w:vAlign w:val="bottom"/>
          </w:tcPr>
          <w:p w14:paraId="3263E30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кг</w:t>
            </w:r>
          </w:p>
        </w:tc>
        <w:tc>
          <w:tcPr>
            <w:tcW w:w="2054" w:type="dxa"/>
            <w:tcBorders>
              <w:top w:val="single" w:sz="4" w:space="0" w:color="auto"/>
              <w:left w:val="single" w:sz="4" w:space="0" w:color="auto"/>
            </w:tcBorders>
            <w:shd w:val="clear" w:color="auto" w:fill="auto"/>
            <w:vAlign w:val="bottom"/>
          </w:tcPr>
          <w:p w14:paraId="3D0A187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2750</w:t>
            </w:r>
          </w:p>
        </w:tc>
        <w:tc>
          <w:tcPr>
            <w:tcW w:w="1454" w:type="dxa"/>
            <w:tcBorders>
              <w:top w:val="single" w:sz="4" w:space="0" w:color="auto"/>
              <w:left w:val="single" w:sz="4" w:space="0" w:color="auto"/>
            </w:tcBorders>
            <w:shd w:val="clear" w:color="auto" w:fill="auto"/>
            <w:vAlign w:val="bottom"/>
          </w:tcPr>
          <w:p w14:paraId="4759E75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2951</w:t>
            </w:r>
          </w:p>
        </w:tc>
        <w:tc>
          <w:tcPr>
            <w:tcW w:w="1426" w:type="dxa"/>
            <w:tcBorders>
              <w:top w:val="single" w:sz="4" w:space="0" w:color="auto"/>
              <w:left w:val="single" w:sz="4" w:space="0" w:color="auto"/>
              <w:right w:val="single" w:sz="4" w:space="0" w:color="auto"/>
            </w:tcBorders>
            <w:shd w:val="clear" w:color="auto" w:fill="auto"/>
            <w:vAlign w:val="bottom"/>
          </w:tcPr>
          <w:p w14:paraId="5F0D11C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3042</w:t>
            </w:r>
          </w:p>
        </w:tc>
      </w:tr>
      <w:tr w:rsidR="009E31D1" w:rsidRPr="008A2E5A" w14:paraId="1D2F0621" w14:textId="77777777" w:rsidTr="004C5D62">
        <w:trPr>
          <w:trHeight w:val="250"/>
        </w:trPr>
        <w:tc>
          <w:tcPr>
            <w:tcW w:w="4723" w:type="dxa"/>
            <w:tcBorders>
              <w:top w:val="single" w:sz="4" w:space="0" w:color="auto"/>
              <w:left w:val="single" w:sz="4" w:space="0" w:color="auto"/>
            </w:tcBorders>
            <w:shd w:val="clear" w:color="auto" w:fill="auto"/>
            <w:vAlign w:val="bottom"/>
          </w:tcPr>
          <w:p w14:paraId="6DA0AA1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Центровка, % САХ</w:t>
            </w:r>
          </w:p>
        </w:tc>
        <w:tc>
          <w:tcPr>
            <w:tcW w:w="2054" w:type="dxa"/>
            <w:tcBorders>
              <w:top w:val="single" w:sz="4" w:space="0" w:color="auto"/>
              <w:left w:val="single" w:sz="4" w:space="0" w:color="auto"/>
            </w:tcBorders>
            <w:shd w:val="clear" w:color="auto" w:fill="auto"/>
            <w:vAlign w:val="bottom"/>
          </w:tcPr>
          <w:p w14:paraId="47A9FA1D"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w:t>
            </w:r>
          </w:p>
        </w:tc>
        <w:tc>
          <w:tcPr>
            <w:tcW w:w="1454" w:type="dxa"/>
            <w:tcBorders>
              <w:top w:val="single" w:sz="4" w:space="0" w:color="auto"/>
              <w:left w:val="single" w:sz="4" w:space="0" w:color="auto"/>
            </w:tcBorders>
            <w:shd w:val="clear" w:color="auto" w:fill="auto"/>
            <w:vAlign w:val="bottom"/>
          </w:tcPr>
          <w:p w14:paraId="5EED089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25,5</w:t>
            </w:r>
          </w:p>
        </w:tc>
        <w:tc>
          <w:tcPr>
            <w:tcW w:w="1426" w:type="dxa"/>
            <w:tcBorders>
              <w:top w:val="single" w:sz="4" w:space="0" w:color="auto"/>
              <w:left w:val="single" w:sz="4" w:space="0" w:color="auto"/>
              <w:right w:val="single" w:sz="4" w:space="0" w:color="auto"/>
            </w:tcBorders>
            <w:shd w:val="clear" w:color="auto" w:fill="auto"/>
            <w:vAlign w:val="bottom"/>
          </w:tcPr>
          <w:p w14:paraId="466EA14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20,8</w:t>
            </w:r>
          </w:p>
        </w:tc>
      </w:tr>
      <w:tr w:rsidR="009E31D1" w:rsidRPr="008A2E5A" w14:paraId="4328FD0D" w14:textId="77777777" w:rsidTr="004C5D62">
        <w:trPr>
          <w:trHeight w:val="254"/>
        </w:trPr>
        <w:tc>
          <w:tcPr>
            <w:tcW w:w="4723" w:type="dxa"/>
            <w:tcBorders>
              <w:top w:val="single" w:sz="4" w:space="0" w:color="auto"/>
              <w:left w:val="single" w:sz="4" w:space="0" w:color="auto"/>
            </w:tcBorders>
            <w:shd w:val="clear" w:color="auto" w:fill="auto"/>
            <w:vAlign w:val="bottom"/>
          </w:tcPr>
          <w:p w14:paraId="300ADCD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Противокапотажный угол с учетом торможения</w:t>
            </w:r>
          </w:p>
        </w:tc>
        <w:tc>
          <w:tcPr>
            <w:tcW w:w="2054" w:type="dxa"/>
            <w:tcBorders>
              <w:top w:val="single" w:sz="4" w:space="0" w:color="auto"/>
              <w:left w:val="single" w:sz="4" w:space="0" w:color="auto"/>
            </w:tcBorders>
            <w:shd w:val="clear" w:color="auto" w:fill="auto"/>
            <w:vAlign w:val="bottom"/>
          </w:tcPr>
          <w:p w14:paraId="2BC69DBD"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1454" w:type="dxa"/>
            <w:tcBorders>
              <w:top w:val="single" w:sz="4" w:space="0" w:color="auto"/>
              <w:left w:val="single" w:sz="4" w:space="0" w:color="auto"/>
            </w:tcBorders>
            <w:shd w:val="clear" w:color="auto" w:fill="auto"/>
            <w:vAlign w:val="bottom"/>
          </w:tcPr>
          <w:p w14:paraId="7D9E24A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1426" w:type="dxa"/>
            <w:tcBorders>
              <w:top w:val="single" w:sz="4" w:space="0" w:color="auto"/>
              <w:left w:val="single" w:sz="4" w:space="0" w:color="auto"/>
              <w:right w:val="single" w:sz="4" w:space="0" w:color="auto"/>
            </w:tcBorders>
            <w:shd w:val="clear" w:color="auto" w:fill="auto"/>
            <w:vAlign w:val="bottom"/>
          </w:tcPr>
          <w:p w14:paraId="36F07E4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28,5"</w:t>
            </w:r>
          </w:p>
        </w:tc>
      </w:tr>
      <w:tr w:rsidR="009E31D1" w:rsidRPr="008A2E5A" w14:paraId="0A0C581E" w14:textId="77777777" w:rsidTr="004C5D62">
        <w:trPr>
          <w:trHeight w:val="250"/>
        </w:trPr>
        <w:tc>
          <w:tcPr>
            <w:tcW w:w="4723" w:type="dxa"/>
            <w:tcBorders>
              <w:top w:val="single" w:sz="4" w:space="0" w:color="auto"/>
              <w:left w:val="single" w:sz="4" w:space="0" w:color="auto"/>
            </w:tcBorders>
            <w:shd w:val="clear" w:color="auto" w:fill="auto"/>
            <w:vAlign w:val="bottom"/>
          </w:tcPr>
          <w:p w14:paraId="1680A95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км/ч</w:t>
            </w:r>
          </w:p>
        </w:tc>
        <w:tc>
          <w:tcPr>
            <w:tcW w:w="2054" w:type="dxa"/>
            <w:tcBorders>
              <w:top w:val="single" w:sz="4" w:space="0" w:color="auto"/>
              <w:left w:val="single" w:sz="4" w:space="0" w:color="auto"/>
            </w:tcBorders>
            <w:shd w:val="clear" w:color="auto" w:fill="auto"/>
            <w:vAlign w:val="bottom"/>
          </w:tcPr>
          <w:p w14:paraId="60ED9C10"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501</w:t>
            </w:r>
          </w:p>
        </w:tc>
        <w:tc>
          <w:tcPr>
            <w:tcW w:w="1454" w:type="dxa"/>
            <w:tcBorders>
              <w:top w:val="single" w:sz="4" w:space="0" w:color="auto"/>
              <w:left w:val="single" w:sz="4" w:space="0" w:color="auto"/>
            </w:tcBorders>
            <w:shd w:val="clear" w:color="auto" w:fill="auto"/>
            <w:vAlign w:val="bottom"/>
          </w:tcPr>
          <w:p w14:paraId="1688FEC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471</w:t>
            </w:r>
          </w:p>
        </w:tc>
        <w:tc>
          <w:tcPr>
            <w:tcW w:w="1426" w:type="dxa"/>
            <w:tcBorders>
              <w:top w:val="single" w:sz="4" w:space="0" w:color="auto"/>
              <w:left w:val="single" w:sz="4" w:space="0" w:color="auto"/>
              <w:right w:val="single" w:sz="4" w:space="0" w:color="auto"/>
            </w:tcBorders>
            <w:shd w:val="clear" w:color="auto" w:fill="auto"/>
            <w:vAlign w:val="bottom"/>
          </w:tcPr>
          <w:p w14:paraId="20A2365D"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r>
      <w:tr w:rsidR="009E31D1" w:rsidRPr="008A2E5A" w14:paraId="4B014A7F" w14:textId="77777777" w:rsidTr="004C5D62">
        <w:trPr>
          <w:trHeight w:val="250"/>
        </w:trPr>
        <w:tc>
          <w:tcPr>
            <w:tcW w:w="4723" w:type="dxa"/>
            <w:tcBorders>
              <w:top w:val="single" w:sz="4" w:space="0" w:color="auto"/>
              <w:left w:val="single" w:sz="4" w:space="0" w:color="auto"/>
            </w:tcBorders>
            <w:shd w:val="clear" w:color="auto" w:fill="auto"/>
            <w:vAlign w:val="bottom"/>
          </w:tcPr>
          <w:p w14:paraId="169D319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1-й границе высотности, км/ч/ высота, м</w:t>
            </w:r>
          </w:p>
        </w:tc>
        <w:tc>
          <w:tcPr>
            <w:tcW w:w="2054" w:type="dxa"/>
            <w:tcBorders>
              <w:top w:val="single" w:sz="4" w:space="0" w:color="auto"/>
              <w:left w:val="single" w:sz="4" w:space="0" w:color="auto"/>
            </w:tcBorders>
            <w:shd w:val="clear" w:color="auto" w:fill="auto"/>
            <w:vAlign w:val="bottom"/>
          </w:tcPr>
          <w:p w14:paraId="27836A2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560/2540</w:t>
            </w:r>
          </w:p>
        </w:tc>
        <w:tc>
          <w:tcPr>
            <w:tcW w:w="1454" w:type="dxa"/>
            <w:tcBorders>
              <w:top w:val="single" w:sz="4" w:space="0" w:color="auto"/>
              <w:left w:val="single" w:sz="4" w:space="0" w:color="auto"/>
            </w:tcBorders>
            <w:shd w:val="clear" w:color="auto" w:fill="auto"/>
            <w:vAlign w:val="bottom"/>
          </w:tcPr>
          <w:p w14:paraId="778B67C0"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546/3200</w:t>
            </w:r>
          </w:p>
        </w:tc>
        <w:tc>
          <w:tcPr>
            <w:tcW w:w="1426" w:type="dxa"/>
            <w:tcBorders>
              <w:top w:val="single" w:sz="4" w:space="0" w:color="auto"/>
              <w:left w:val="single" w:sz="4" w:space="0" w:color="auto"/>
              <w:right w:val="single" w:sz="4" w:space="0" w:color="auto"/>
            </w:tcBorders>
            <w:shd w:val="clear" w:color="auto" w:fill="auto"/>
            <w:vAlign w:val="bottom"/>
          </w:tcPr>
          <w:p w14:paraId="3A1822F1"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567/3000</w:t>
            </w:r>
          </w:p>
        </w:tc>
      </w:tr>
      <w:tr w:rsidR="009E31D1" w:rsidRPr="008A2E5A" w14:paraId="7691B343" w14:textId="77777777" w:rsidTr="004C5D62">
        <w:trPr>
          <w:trHeight w:val="254"/>
        </w:trPr>
        <w:tc>
          <w:tcPr>
            <w:tcW w:w="4723" w:type="dxa"/>
            <w:tcBorders>
              <w:top w:val="single" w:sz="4" w:space="0" w:color="auto"/>
              <w:left w:val="single" w:sz="4" w:space="0" w:color="auto"/>
            </w:tcBorders>
            <w:shd w:val="clear" w:color="auto" w:fill="auto"/>
            <w:vAlign w:val="bottom"/>
          </w:tcPr>
          <w:p w14:paraId="0B93C6E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2-й границе высотности, км/ч/ высота, м</w:t>
            </w:r>
          </w:p>
        </w:tc>
        <w:tc>
          <w:tcPr>
            <w:tcW w:w="2054" w:type="dxa"/>
            <w:tcBorders>
              <w:top w:val="single" w:sz="4" w:space="0" w:color="auto"/>
              <w:left w:val="single" w:sz="4" w:space="0" w:color="auto"/>
            </w:tcBorders>
            <w:shd w:val="clear" w:color="auto" w:fill="auto"/>
            <w:vAlign w:val="bottom"/>
          </w:tcPr>
          <w:p w14:paraId="3F423A7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586/4600</w:t>
            </w:r>
          </w:p>
        </w:tc>
        <w:tc>
          <w:tcPr>
            <w:tcW w:w="1454" w:type="dxa"/>
            <w:tcBorders>
              <w:top w:val="single" w:sz="4" w:space="0" w:color="auto"/>
              <w:left w:val="single" w:sz="4" w:space="0" w:color="auto"/>
            </w:tcBorders>
            <w:shd w:val="clear" w:color="auto" w:fill="auto"/>
            <w:vAlign w:val="bottom"/>
          </w:tcPr>
          <w:p w14:paraId="6AC91FE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560/4800</w:t>
            </w:r>
          </w:p>
        </w:tc>
        <w:tc>
          <w:tcPr>
            <w:tcW w:w="1426" w:type="dxa"/>
            <w:tcBorders>
              <w:top w:val="single" w:sz="4" w:space="0" w:color="auto"/>
              <w:left w:val="single" w:sz="4" w:space="0" w:color="auto"/>
              <w:right w:val="single" w:sz="4" w:space="0" w:color="auto"/>
            </w:tcBorders>
            <w:shd w:val="clear" w:color="auto" w:fill="auto"/>
            <w:vAlign w:val="bottom"/>
          </w:tcPr>
          <w:p w14:paraId="40D9976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580/4850</w:t>
            </w:r>
          </w:p>
        </w:tc>
      </w:tr>
      <w:tr w:rsidR="009E31D1" w:rsidRPr="008A2E5A" w14:paraId="685A7F99" w14:textId="77777777" w:rsidTr="004C5D62">
        <w:trPr>
          <w:trHeight w:val="259"/>
        </w:trPr>
        <w:tc>
          <w:tcPr>
            <w:tcW w:w="4723" w:type="dxa"/>
            <w:tcBorders>
              <w:top w:val="single" w:sz="4" w:space="0" w:color="auto"/>
              <w:left w:val="single" w:sz="4" w:space="0" w:color="auto"/>
              <w:bottom w:val="single" w:sz="4" w:space="0" w:color="auto"/>
            </w:tcBorders>
            <w:shd w:val="clear" w:color="auto" w:fill="auto"/>
            <w:vAlign w:val="bottom"/>
          </w:tcPr>
          <w:p w14:paraId="4E970CA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Скороподъемность до 5000 м, мин</w:t>
            </w:r>
          </w:p>
        </w:tc>
        <w:tc>
          <w:tcPr>
            <w:tcW w:w="2054" w:type="dxa"/>
            <w:tcBorders>
              <w:top w:val="single" w:sz="4" w:space="0" w:color="auto"/>
              <w:left w:val="single" w:sz="4" w:space="0" w:color="auto"/>
              <w:bottom w:val="single" w:sz="4" w:space="0" w:color="auto"/>
            </w:tcBorders>
            <w:shd w:val="clear" w:color="auto" w:fill="auto"/>
            <w:vAlign w:val="bottom"/>
          </w:tcPr>
          <w:p w14:paraId="13CDFBB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w:t>
            </w:r>
          </w:p>
        </w:tc>
        <w:tc>
          <w:tcPr>
            <w:tcW w:w="1454" w:type="dxa"/>
            <w:tcBorders>
              <w:top w:val="single" w:sz="4" w:space="0" w:color="auto"/>
              <w:left w:val="single" w:sz="4" w:space="0" w:color="auto"/>
              <w:bottom w:val="single" w:sz="4" w:space="0" w:color="auto"/>
            </w:tcBorders>
            <w:shd w:val="clear" w:color="auto" w:fill="auto"/>
            <w:vAlign w:val="bottom"/>
          </w:tcPr>
          <w:p w14:paraId="603ECEDB"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w:t>
            </w:r>
          </w:p>
        </w:tc>
        <w:tc>
          <w:tcPr>
            <w:tcW w:w="1426" w:type="dxa"/>
            <w:tcBorders>
              <w:top w:val="single" w:sz="4" w:space="0" w:color="auto"/>
              <w:left w:val="single" w:sz="4" w:space="0" w:color="auto"/>
              <w:bottom w:val="single" w:sz="4" w:space="0" w:color="auto"/>
              <w:right w:val="single" w:sz="4" w:space="0" w:color="auto"/>
            </w:tcBorders>
            <w:shd w:val="clear" w:color="auto" w:fill="auto"/>
            <w:vAlign w:val="bottom"/>
          </w:tcPr>
          <w:p w14:paraId="6492A1E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w:t>
            </w:r>
          </w:p>
        </w:tc>
      </w:tr>
    </w:tbl>
    <w:p w14:paraId="72DDF881"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особо отметить, что полученный результат, кроме введенных улучшений аэродинамики, во многом явился следствием тщательной внешней отделки Як-7Б №1413 в ОКБ. Однако, набор проведенных мероприятий (подгонка краёв и стыков капотов, лючков и щитков для обеспечения их плотного прилегания и выглаживание ка</w:t>
      </w:r>
      <w:r w:rsidRPr="008A2E5A">
        <w:rPr>
          <w:rFonts w:ascii="Times New Roman" w:hAnsi="Times New Roman"/>
          <w:color w:val="0070C0"/>
          <w:sz w:val="16"/>
          <w:szCs w:val="16"/>
        </w:rPr>
        <w:softHyphen/>
        <w:t>потов) был вполне по силам серийным заводам. На осно</w:t>
      </w:r>
      <w:r w:rsidRPr="008A2E5A">
        <w:rPr>
          <w:rFonts w:ascii="Times New Roman" w:hAnsi="Times New Roman"/>
          <w:color w:val="0070C0"/>
          <w:sz w:val="16"/>
          <w:szCs w:val="16"/>
        </w:rPr>
        <w:softHyphen/>
        <w:t>вании проведенных испытаний Як-7Б утвердили в качест</w:t>
      </w:r>
      <w:r w:rsidRPr="008A2E5A">
        <w:rPr>
          <w:rFonts w:ascii="Times New Roman" w:hAnsi="Times New Roman"/>
          <w:color w:val="0070C0"/>
          <w:sz w:val="16"/>
          <w:szCs w:val="16"/>
        </w:rPr>
        <w:softHyphen/>
        <w:t>ве эталона дневного истребителя на 1942 г. и рекомендо</w:t>
      </w:r>
      <w:r w:rsidRPr="008A2E5A">
        <w:rPr>
          <w:rFonts w:ascii="Times New Roman" w:hAnsi="Times New Roman"/>
          <w:color w:val="0070C0"/>
          <w:sz w:val="16"/>
          <w:szCs w:val="16"/>
        </w:rPr>
        <w:softHyphen/>
        <w:t>вали НКАП без промедления организовать выпуск таких машин на всех серийных заводах, выпускающих истре</w:t>
      </w:r>
      <w:r w:rsidRPr="008A2E5A">
        <w:rPr>
          <w:rFonts w:ascii="Times New Roman" w:hAnsi="Times New Roman"/>
          <w:color w:val="0070C0"/>
          <w:sz w:val="16"/>
          <w:szCs w:val="16"/>
        </w:rPr>
        <w:softHyphen/>
        <w:t>бители Як-7. В пункте 3 Выводов в отчете по испытаниям особо отметили работу ОКБ А.С. Яковлева:</w:t>
      </w:r>
    </w:p>
    <w:p w14:paraId="48936A98"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некоторых других истребительных само</w:t>
      </w:r>
      <w:r w:rsidRPr="008A2E5A">
        <w:rPr>
          <w:rFonts w:ascii="Times New Roman" w:hAnsi="Times New Roman"/>
          <w:color w:val="0070C0"/>
          <w:sz w:val="16"/>
          <w:szCs w:val="16"/>
        </w:rPr>
        <w:softHyphen/>
        <w:t>летов, состоящих на вооружении ВВС КА, самолет Як-7 за время нахождения в серийном производстве непрерывно улучшался конструктивно и оснащался новым бо</w:t>
      </w:r>
      <w:r w:rsidRPr="008A2E5A">
        <w:rPr>
          <w:rFonts w:ascii="Times New Roman" w:hAnsi="Times New Roman"/>
          <w:color w:val="0070C0"/>
          <w:sz w:val="16"/>
          <w:szCs w:val="16"/>
        </w:rPr>
        <w:softHyphen/>
        <w:t>лее мощным вооружением (РО, пулеметы УБС) и спецоборудованием (фара, приемопередающая радиостан</w:t>
      </w:r>
      <w:r w:rsidRPr="008A2E5A">
        <w:rPr>
          <w:rFonts w:ascii="Times New Roman" w:hAnsi="Times New Roman"/>
          <w:color w:val="0070C0"/>
          <w:sz w:val="16"/>
          <w:szCs w:val="16"/>
        </w:rPr>
        <w:softHyphen/>
        <w:t>ция, радиополукомпас и другое), не теряя при этом сво</w:t>
      </w:r>
      <w:r w:rsidRPr="008A2E5A">
        <w:rPr>
          <w:rFonts w:ascii="Times New Roman" w:hAnsi="Times New Roman"/>
          <w:color w:val="0070C0"/>
          <w:sz w:val="16"/>
          <w:szCs w:val="16"/>
        </w:rPr>
        <w:softHyphen/>
        <w:t>их боевых и летных данных. Это положительное явление имеет место благодаря умелому подходу к вопросу оснащения самолета новым вооружением и спецоборудованием и систематической работе ОКБ завода №115 по улучшению летных данных серийных самолетов».</w:t>
      </w:r>
    </w:p>
    <w:p w14:paraId="5A6D1B4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практически одновременное прохожде</w:t>
      </w:r>
      <w:r w:rsidRPr="008A2E5A">
        <w:rPr>
          <w:rFonts w:ascii="Times New Roman" w:hAnsi="Times New Roman"/>
          <w:color w:val="0070C0"/>
          <w:sz w:val="16"/>
          <w:szCs w:val="16"/>
        </w:rPr>
        <w:softHyphen/>
        <w:t>ние испытаний машинами Як-7А №1411 и Як-7Б №1413, внедрение последнего варианта в серию не стало еди</w:t>
      </w:r>
      <w:r w:rsidRPr="008A2E5A">
        <w:rPr>
          <w:rFonts w:ascii="Times New Roman" w:hAnsi="Times New Roman"/>
          <w:color w:val="0070C0"/>
          <w:sz w:val="16"/>
          <w:szCs w:val="16"/>
        </w:rPr>
        <w:softHyphen/>
        <w:t>номоментным из-за инерции производственных процес</w:t>
      </w:r>
      <w:r w:rsidRPr="008A2E5A">
        <w:rPr>
          <w:rFonts w:ascii="Times New Roman" w:hAnsi="Times New Roman"/>
          <w:color w:val="0070C0"/>
          <w:sz w:val="16"/>
          <w:szCs w:val="16"/>
        </w:rPr>
        <w:softHyphen/>
        <w:t>сов. Вначале на заводе №153 внедрили улучшенный ис</w:t>
      </w:r>
      <w:r w:rsidRPr="008A2E5A">
        <w:rPr>
          <w:rFonts w:ascii="Times New Roman" w:hAnsi="Times New Roman"/>
          <w:color w:val="0070C0"/>
          <w:sz w:val="16"/>
          <w:szCs w:val="16"/>
        </w:rPr>
        <w:softHyphen/>
        <w:t>требитель Як-7А (с 19-й серии) и лишь затем перешли на выпуск Як-7Б (с 22-й серии). На заводах №82 и №21, только приступавших к производству, сразу внедряли вариант Як-7 с двумя синхронными пулеметами УБС. Самолет №1413 оставили на заводе в качестве эталона. Работы по его модернизации продолжились в направле</w:t>
      </w:r>
      <w:r w:rsidRPr="008A2E5A">
        <w:rPr>
          <w:rFonts w:ascii="Times New Roman" w:hAnsi="Times New Roman"/>
          <w:color w:val="0070C0"/>
          <w:sz w:val="16"/>
          <w:szCs w:val="16"/>
        </w:rPr>
        <w:softHyphen/>
        <w:t>нии увеличения мощности мотора М-105П и увеличения дальности радиосвязи. В процессе испытаний на износ 12 мая 1942 г. в одном из полетов самолет потерпел ка</w:t>
      </w:r>
      <w:r w:rsidRPr="008A2E5A">
        <w:rPr>
          <w:rFonts w:ascii="Times New Roman" w:hAnsi="Times New Roman"/>
          <w:color w:val="0070C0"/>
          <w:sz w:val="16"/>
          <w:szCs w:val="16"/>
        </w:rPr>
        <w:softHyphen/>
        <w:t>тастрофу: из-за ошибки в технике пилотирования (срыв в штопор из-за потери скорости в развороте с большим креном на малой высоте) погиб летчик-испытатель заво</w:t>
      </w:r>
      <w:r w:rsidRPr="008A2E5A">
        <w:rPr>
          <w:rFonts w:ascii="Times New Roman" w:hAnsi="Times New Roman"/>
          <w:color w:val="0070C0"/>
          <w:sz w:val="16"/>
          <w:szCs w:val="16"/>
        </w:rPr>
        <w:softHyphen/>
        <w:t>да Н.А. Тихомиров.</w:t>
      </w:r>
    </w:p>
    <w:p w14:paraId="26BBD59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на износ продолжили на первом серийном Як-7Б №2215301, которые провели заводские летчики- испытатели Н.Я. Симонов и А.Е. Пашкевич в периоде 10 июня по 27 июля 1942 г. За время испытаний произвели 501 посадку (в том числе 52 с «плюхом», 18 на левую и 22 на правую опоры шасси), 1019 фигур высшего пилота</w:t>
      </w:r>
      <w:r w:rsidRPr="008A2E5A">
        <w:rPr>
          <w:rFonts w:ascii="Times New Roman" w:hAnsi="Times New Roman"/>
          <w:color w:val="0070C0"/>
          <w:sz w:val="16"/>
          <w:szCs w:val="16"/>
        </w:rPr>
        <w:softHyphen/>
        <w:t>жа и 165 подъемов шасси в воздухе. Машина налетала 48 часов 04 минуты, показав достаточную прочность сило</w:t>
      </w:r>
      <w:r w:rsidRPr="008A2E5A">
        <w:rPr>
          <w:rFonts w:ascii="Times New Roman" w:hAnsi="Times New Roman"/>
          <w:color w:val="0070C0"/>
          <w:sz w:val="16"/>
          <w:szCs w:val="16"/>
        </w:rPr>
        <w:softHyphen/>
        <w:t>вых элементов конструкции самолета, его надежность в работе и простоту в эксплуатации. Чего нельзя было ска</w:t>
      </w:r>
      <w:r w:rsidRPr="008A2E5A">
        <w:rPr>
          <w:rFonts w:ascii="Times New Roman" w:hAnsi="Times New Roman"/>
          <w:color w:val="0070C0"/>
          <w:sz w:val="16"/>
          <w:szCs w:val="16"/>
        </w:rPr>
        <w:softHyphen/>
        <w:t>зать о моторе М-105П - за время испытаний их смени</w:t>
      </w:r>
      <w:r w:rsidRPr="008A2E5A">
        <w:rPr>
          <w:rFonts w:ascii="Times New Roman" w:hAnsi="Times New Roman"/>
          <w:color w:val="0070C0"/>
          <w:sz w:val="16"/>
          <w:szCs w:val="16"/>
        </w:rPr>
        <w:softHyphen/>
        <w:t>лось три штуки.</w:t>
      </w:r>
    </w:p>
    <w:p w14:paraId="0EFD2207"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был наиболее массовой серийно выпускающей</w:t>
      </w:r>
      <w:r w:rsidRPr="008A2E5A">
        <w:rPr>
          <w:rFonts w:ascii="Times New Roman" w:hAnsi="Times New Roman"/>
          <w:color w:val="0070C0"/>
          <w:sz w:val="16"/>
          <w:szCs w:val="16"/>
        </w:rPr>
        <w:softHyphen/>
        <w:t>ся модификацией машины Як-7 (см. таблицу 13).</w:t>
      </w:r>
    </w:p>
    <w:p w14:paraId="200F0DCF"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9E31D1" w:rsidRPr="008A2E5A" w14:paraId="7A0223E2" w14:textId="77777777" w:rsidTr="004C5D62">
        <w:trPr>
          <w:trHeight w:val="437"/>
        </w:trPr>
        <w:tc>
          <w:tcPr>
            <w:tcW w:w="1354" w:type="dxa"/>
            <w:tcBorders>
              <w:top w:val="single" w:sz="4" w:space="0" w:color="auto"/>
              <w:left w:val="single" w:sz="4" w:space="0" w:color="auto"/>
            </w:tcBorders>
            <w:shd w:val="clear" w:color="auto" w:fill="auto"/>
            <w:vAlign w:val="center"/>
          </w:tcPr>
          <w:p w14:paraId="7C917891"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Модификация</w:t>
            </w:r>
          </w:p>
        </w:tc>
        <w:tc>
          <w:tcPr>
            <w:tcW w:w="1368" w:type="dxa"/>
            <w:tcBorders>
              <w:top w:val="single" w:sz="4" w:space="0" w:color="auto"/>
              <w:left w:val="single" w:sz="4" w:space="0" w:color="auto"/>
            </w:tcBorders>
            <w:shd w:val="clear" w:color="auto" w:fill="auto"/>
          </w:tcPr>
          <w:p w14:paraId="73CB3F9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изготовитель</w:t>
            </w:r>
          </w:p>
        </w:tc>
        <w:tc>
          <w:tcPr>
            <w:tcW w:w="984" w:type="dxa"/>
            <w:tcBorders>
              <w:top w:val="single" w:sz="4" w:space="0" w:color="auto"/>
              <w:left w:val="single" w:sz="4" w:space="0" w:color="auto"/>
            </w:tcBorders>
            <w:shd w:val="clear" w:color="auto" w:fill="auto"/>
            <w:vAlign w:val="center"/>
          </w:tcPr>
          <w:p w14:paraId="575494C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 г.</w:t>
            </w:r>
          </w:p>
        </w:tc>
        <w:tc>
          <w:tcPr>
            <w:tcW w:w="994" w:type="dxa"/>
            <w:tcBorders>
              <w:top w:val="single" w:sz="4" w:space="0" w:color="auto"/>
              <w:left w:val="single" w:sz="4" w:space="0" w:color="auto"/>
            </w:tcBorders>
            <w:shd w:val="clear" w:color="auto" w:fill="auto"/>
            <w:vAlign w:val="center"/>
          </w:tcPr>
          <w:p w14:paraId="62DD2E7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w:t>
            </w:r>
          </w:p>
        </w:tc>
        <w:tc>
          <w:tcPr>
            <w:tcW w:w="994" w:type="dxa"/>
            <w:tcBorders>
              <w:top w:val="single" w:sz="4" w:space="0" w:color="auto"/>
              <w:left w:val="single" w:sz="4" w:space="0" w:color="auto"/>
            </w:tcBorders>
            <w:shd w:val="clear" w:color="auto" w:fill="auto"/>
            <w:vAlign w:val="center"/>
          </w:tcPr>
          <w:p w14:paraId="5A4BD18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w:t>
            </w:r>
          </w:p>
        </w:tc>
        <w:tc>
          <w:tcPr>
            <w:tcW w:w="994" w:type="dxa"/>
            <w:tcBorders>
              <w:top w:val="single" w:sz="4" w:space="0" w:color="auto"/>
              <w:left w:val="single" w:sz="4" w:space="0" w:color="auto"/>
            </w:tcBorders>
            <w:shd w:val="clear" w:color="auto" w:fill="auto"/>
            <w:vAlign w:val="center"/>
          </w:tcPr>
          <w:p w14:paraId="29B253DB"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994" w:type="dxa"/>
            <w:tcBorders>
              <w:top w:val="single" w:sz="4" w:space="0" w:color="auto"/>
              <w:left w:val="single" w:sz="4" w:space="0" w:color="auto"/>
            </w:tcBorders>
            <w:shd w:val="clear" w:color="auto" w:fill="auto"/>
            <w:vAlign w:val="center"/>
          </w:tcPr>
          <w:p w14:paraId="3947BF4B"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c>
        <w:tc>
          <w:tcPr>
            <w:tcW w:w="994" w:type="dxa"/>
            <w:tcBorders>
              <w:top w:val="single" w:sz="4" w:space="0" w:color="auto"/>
              <w:left w:val="single" w:sz="4" w:space="0" w:color="auto"/>
            </w:tcBorders>
            <w:shd w:val="clear" w:color="auto" w:fill="auto"/>
            <w:vAlign w:val="center"/>
          </w:tcPr>
          <w:p w14:paraId="108265B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p>
        </w:tc>
        <w:tc>
          <w:tcPr>
            <w:tcW w:w="998" w:type="dxa"/>
            <w:tcBorders>
              <w:top w:val="single" w:sz="4" w:space="0" w:color="auto"/>
              <w:left w:val="single" w:sz="4" w:space="0" w:color="auto"/>
              <w:right w:val="single" w:sz="4" w:space="0" w:color="auto"/>
            </w:tcBorders>
            <w:shd w:val="clear" w:color="auto" w:fill="auto"/>
            <w:vAlign w:val="center"/>
          </w:tcPr>
          <w:p w14:paraId="758492D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9E31D1" w:rsidRPr="008A2E5A" w14:paraId="5F018689"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3F2796F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УТИ-26/Як-7</w:t>
            </w:r>
          </w:p>
        </w:tc>
        <w:tc>
          <w:tcPr>
            <w:tcW w:w="1368" w:type="dxa"/>
            <w:tcBorders>
              <w:top w:val="single" w:sz="4" w:space="0" w:color="auto"/>
              <w:left w:val="single" w:sz="4" w:space="0" w:color="auto"/>
            </w:tcBorders>
            <w:shd w:val="clear" w:color="auto" w:fill="auto"/>
            <w:vAlign w:val="center"/>
          </w:tcPr>
          <w:p w14:paraId="6CD6E03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w:t>
            </w:r>
          </w:p>
        </w:tc>
        <w:tc>
          <w:tcPr>
            <w:tcW w:w="984" w:type="dxa"/>
            <w:tcBorders>
              <w:top w:val="single" w:sz="4" w:space="0" w:color="auto"/>
              <w:left w:val="single" w:sz="4" w:space="0" w:color="auto"/>
            </w:tcBorders>
            <w:shd w:val="clear" w:color="auto" w:fill="auto"/>
            <w:vAlign w:val="center"/>
          </w:tcPr>
          <w:p w14:paraId="0A65569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4" w:type="dxa"/>
            <w:tcBorders>
              <w:top w:val="single" w:sz="4" w:space="0" w:color="auto"/>
              <w:left w:val="single" w:sz="4" w:space="0" w:color="auto"/>
            </w:tcBorders>
            <w:shd w:val="clear" w:color="auto" w:fill="auto"/>
            <w:vAlign w:val="center"/>
          </w:tcPr>
          <w:p w14:paraId="6CB7647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29667B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F150DA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5BA82E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F3CEF3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4FB1471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723</w:t>
            </w:r>
          </w:p>
        </w:tc>
      </w:tr>
      <w:tr w:rsidR="009E31D1" w:rsidRPr="008A2E5A" w14:paraId="6CD8EB78" w14:textId="77777777" w:rsidTr="004C5D62">
        <w:trPr>
          <w:trHeight w:val="250"/>
        </w:trPr>
        <w:tc>
          <w:tcPr>
            <w:tcW w:w="1354" w:type="dxa"/>
            <w:vMerge/>
            <w:tcBorders>
              <w:left w:val="single" w:sz="4" w:space="0" w:color="auto"/>
            </w:tcBorders>
            <w:shd w:val="clear" w:color="auto" w:fill="auto"/>
            <w:vAlign w:val="center"/>
          </w:tcPr>
          <w:p w14:paraId="58932AA8" w14:textId="77777777" w:rsidR="009E31D1" w:rsidRPr="008A2E5A" w:rsidRDefault="009E31D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20D856A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26814CE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96F82D8"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4" w:type="dxa"/>
            <w:tcBorders>
              <w:top w:val="single" w:sz="4" w:space="0" w:color="auto"/>
              <w:left w:val="single" w:sz="4" w:space="0" w:color="auto"/>
            </w:tcBorders>
            <w:shd w:val="clear" w:color="auto" w:fill="auto"/>
            <w:vAlign w:val="center"/>
          </w:tcPr>
          <w:p w14:paraId="55FB854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D3451A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B2D463D"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2EC727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8" w:type="dxa"/>
            <w:vMerge/>
            <w:tcBorders>
              <w:left w:val="single" w:sz="4" w:space="0" w:color="auto"/>
              <w:right w:val="single" w:sz="4" w:space="0" w:color="auto"/>
            </w:tcBorders>
            <w:shd w:val="clear" w:color="auto" w:fill="auto"/>
            <w:vAlign w:val="center"/>
          </w:tcPr>
          <w:p w14:paraId="63EF428C" w14:textId="77777777" w:rsidR="009E31D1" w:rsidRPr="008A2E5A" w:rsidRDefault="009E31D1" w:rsidP="004C5D62">
            <w:pPr>
              <w:spacing w:after="0" w:line="240" w:lineRule="auto"/>
              <w:jc w:val="both"/>
              <w:rPr>
                <w:rFonts w:ascii="Times New Roman" w:hAnsi="Times New Roman"/>
                <w:color w:val="0070C0"/>
                <w:sz w:val="16"/>
                <w:szCs w:val="16"/>
              </w:rPr>
            </w:pPr>
          </w:p>
        </w:tc>
      </w:tr>
      <w:tr w:rsidR="009E31D1" w:rsidRPr="008A2E5A" w14:paraId="7E367841" w14:textId="77777777" w:rsidTr="004C5D62">
        <w:trPr>
          <w:trHeight w:val="250"/>
        </w:trPr>
        <w:tc>
          <w:tcPr>
            <w:tcW w:w="1354" w:type="dxa"/>
            <w:tcBorders>
              <w:top w:val="single" w:sz="4" w:space="0" w:color="auto"/>
              <w:left w:val="single" w:sz="4" w:space="0" w:color="auto"/>
            </w:tcBorders>
            <w:shd w:val="clear" w:color="auto" w:fill="auto"/>
            <w:vAlign w:val="center"/>
          </w:tcPr>
          <w:p w14:paraId="58CE490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Як-7В</w:t>
            </w:r>
          </w:p>
        </w:tc>
        <w:tc>
          <w:tcPr>
            <w:tcW w:w="1368" w:type="dxa"/>
            <w:tcBorders>
              <w:top w:val="single" w:sz="4" w:space="0" w:color="auto"/>
              <w:left w:val="single" w:sz="4" w:space="0" w:color="auto"/>
            </w:tcBorders>
            <w:shd w:val="clear" w:color="auto" w:fill="auto"/>
            <w:vAlign w:val="center"/>
          </w:tcPr>
          <w:p w14:paraId="7CD4D49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0BEC2AB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E2EF57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994" w:type="dxa"/>
            <w:tcBorders>
              <w:top w:val="single" w:sz="4" w:space="0" w:color="auto"/>
              <w:left w:val="single" w:sz="4" w:space="0" w:color="auto"/>
            </w:tcBorders>
            <w:shd w:val="clear" w:color="auto" w:fill="auto"/>
            <w:vAlign w:val="center"/>
          </w:tcPr>
          <w:p w14:paraId="6A8B80F0"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201</w:t>
            </w:r>
          </w:p>
        </w:tc>
        <w:tc>
          <w:tcPr>
            <w:tcW w:w="994" w:type="dxa"/>
            <w:tcBorders>
              <w:top w:val="single" w:sz="4" w:space="0" w:color="auto"/>
              <w:left w:val="single" w:sz="4" w:space="0" w:color="auto"/>
            </w:tcBorders>
            <w:shd w:val="clear" w:color="auto" w:fill="auto"/>
            <w:vAlign w:val="center"/>
          </w:tcPr>
          <w:p w14:paraId="04DE65B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994" w:type="dxa"/>
            <w:tcBorders>
              <w:top w:val="single" w:sz="4" w:space="0" w:color="auto"/>
              <w:left w:val="single" w:sz="4" w:space="0" w:color="auto"/>
            </w:tcBorders>
            <w:shd w:val="clear" w:color="auto" w:fill="auto"/>
            <w:vAlign w:val="center"/>
          </w:tcPr>
          <w:p w14:paraId="62F0A78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5578031"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w:t>
            </w:r>
          </w:p>
        </w:tc>
        <w:tc>
          <w:tcPr>
            <w:tcW w:w="998" w:type="dxa"/>
            <w:vMerge/>
            <w:tcBorders>
              <w:left w:val="single" w:sz="4" w:space="0" w:color="auto"/>
              <w:right w:val="single" w:sz="4" w:space="0" w:color="auto"/>
            </w:tcBorders>
            <w:shd w:val="clear" w:color="auto" w:fill="auto"/>
            <w:vAlign w:val="center"/>
          </w:tcPr>
          <w:p w14:paraId="48DDC0B3" w14:textId="77777777" w:rsidR="009E31D1" w:rsidRPr="008A2E5A" w:rsidRDefault="009E31D1" w:rsidP="004C5D62">
            <w:pPr>
              <w:spacing w:after="0" w:line="240" w:lineRule="auto"/>
              <w:jc w:val="both"/>
              <w:rPr>
                <w:rFonts w:ascii="Times New Roman" w:hAnsi="Times New Roman"/>
                <w:color w:val="0070C0"/>
                <w:sz w:val="16"/>
                <w:szCs w:val="16"/>
              </w:rPr>
            </w:pPr>
          </w:p>
        </w:tc>
      </w:tr>
      <w:tr w:rsidR="009E31D1" w:rsidRPr="008A2E5A" w14:paraId="1753506C" w14:textId="77777777" w:rsidTr="004C5D62">
        <w:trPr>
          <w:trHeight w:val="250"/>
        </w:trPr>
        <w:tc>
          <w:tcPr>
            <w:tcW w:w="1354" w:type="dxa"/>
            <w:vMerge w:val="restart"/>
            <w:tcBorders>
              <w:top w:val="single" w:sz="4" w:space="0" w:color="auto"/>
              <w:left w:val="single" w:sz="4" w:space="0" w:color="auto"/>
            </w:tcBorders>
            <w:shd w:val="clear" w:color="auto" w:fill="auto"/>
            <w:vAlign w:val="center"/>
          </w:tcPr>
          <w:p w14:paraId="0AB03EAB"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Як-7А</w:t>
            </w:r>
          </w:p>
        </w:tc>
        <w:tc>
          <w:tcPr>
            <w:tcW w:w="1368" w:type="dxa"/>
            <w:tcBorders>
              <w:top w:val="single" w:sz="4" w:space="0" w:color="auto"/>
              <w:left w:val="single" w:sz="4" w:space="0" w:color="auto"/>
            </w:tcBorders>
            <w:shd w:val="clear" w:color="auto" w:fill="auto"/>
            <w:vAlign w:val="center"/>
          </w:tcPr>
          <w:p w14:paraId="2660CCB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6A9A2A7F"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75D35CF"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994" w:type="dxa"/>
            <w:tcBorders>
              <w:top w:val="single" w:sz="4" w:space="0" w:color="auto"/>
              <w:left w:val="single" w:sz="4" w:space="0" w:color="auto"/>
            </w:tcBorders>
            <w:shd w:val="clear" w:color="auto" w:fill="auto"/>
            <w:vAlign w:val="center"/>
          </w:tcPr>
          <w:p w14:paraId="0DE620B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w:t>
            </w:r>
          </w:p>
        </w:tc>
        <w:tc>
          <w:tcPr>
            <w:tcW w:w="994" w:type="dxa"/>
            <w:tcBorders>
              <w:top w:val="single" w:sz="4" w:space="0" w:color="auto"/>
              <w:left w:val="single" w:sz="4" w:space="0" w:color="auto"/>
            </w:tcBorders>
            <w:shd w:val="clear" w:color="auto" w:fill="auto"/>
            <w:vAlign w:val="center"/>
          </w:tcPr>
          <w:p w14:paraId="5081D02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F1ACFB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2A07D9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273</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42000F2F"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w:t>
            </w:r>
          </w:p>
        </w:tc>
      </w:tr>
      <w:tr w:rsidR="009E31D1" w:rsidRPr="008A2E5A" w14:paraId="082387B3" w14:textId="77777777" w:rsidTr="004C5D62">
        <w:trPr>
          <w:trHeight w:val="250"/>
        </w:trPr>
        <w:tc>
          <w:tcPr>
            <w:tcW w:w="1354" w:type="dxa"/>
            <w:vMerge/>
            <w:tcBorders>
              <w:left w:val="single" w:sz="4" w:space="0" w:color="auto"/>
            </w:tcBorders>
            <w:shd w:val="clear" w:color="auto" w:fill="auto"/>
            <w:vAlign w:val="center"/>
          </w:tcPr>
          <w:p w14:paraId="72410A9C" w14:textId="77777777" w:rsidR="009E31D1" w:rsidRPr="008A2E5A" w:rsidRDefault="009E31D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4440F88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0B8B6EF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F2CF9B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4" w:type="dxa"/>
            <w:tcBorders>
              <w:top w:val="single" w:sz="4" w:space="0" w:color="auto"/>
              <w:left w:val="single" w:sz="4" w:space="0" w:color="auto"/>
            </w:tcBorders>
            <w:shd w:val="clear" w:color="auto" w:fill="auto"/>
            <w:vAlign w:val="center"/>
          </w:tcPr>
          <w:p w14:paraId="7B7477E1"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E27FEE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F6BC49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462477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8" w:type="dxa"/>
            <w:vMerge/>
            <w:tcBorders>
              <w:left w:val="single" w:sz="4" w:space="0" w:color="auto"/>
              <w:right w:val="single" w:sz="4" w:space="0" w:color="auto"/>
            </w:tcBorders>
            <w:shd w:val="clear" w:color="auto" w:fill="auto"/>
            <w:vAlign w:val="center"/>
          </w:tcPr>
          <w:p w14:paraId="495CCCA4" w14:textId="77777777" w:rsidR="009E31D1" w:rsidRPr="008A2E5A" w:rsidRDefault="009E31D1" w:rsidP="004C5D62">
            <w:pPr>
              <w:spacing w:after="0" w:line="240" w:lineRule="auto"/>
              <w:jc w:val="both"/>
              <w:rPr>
                <w:rFonts w:ascii="Times New Roman" w:hAnsi="Times New Roman"/>
                <w:color w:val="0070C0"/>
                <w:sz w:val="16"/>
                <w:szCs w:val="16"/>
              </w:rPr>
            </w:pPr>
          </w:p>
        </w:tc>
      </w:tr>
      <w:tr w:rsidR="009E31D1" w:rsidRPr="008A2E5A" w14:paraId="6BD8A378"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5619828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w:t>
            </w:r>
          </w:p>
        </w:tc>
        <w:tc>
          <w:tcPr>
            <w:tcW w:w="1368" w:type="dxa"/>
            <w:tcBorders>
              <w:top w:val="single" w:sz="4" w:space="0" w:color="auto"/>
              <w:left w:val="single" w:sz="4" w:space="0" w:color="auto"/>
            </w:tcBorders>
            <w:shd w:val="clear" w:color="auto" w:fill="auto"/>
            <w:vAlign w:val="center"/>
          </w:tcPr>
          <w:p w14:paraId="2BB0ED6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984" w:type="dxa"/>
            <w:tcBorders>
              <w:top w:val="single" w:sz="4" w:space="0" w:color="auto"/>
              <w:left w:val="single" w:sz="4" w:space="0" w:color="auto"/>
            </w:tcBorders>
            <w:shd w:val="clear" w:color="auto" w:fill="auto"/>
            <w:vAlign w:val="center"/>
          </w:tcPr>
          <w:p w14:paraId="3D904E0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40E3291"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FB6BE38"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4" w:type="dxa"/>
            <w:tcBorders>
              <w:top w:val="single" w:sz="4" w:space="0" w:color="auto"/>
              <w:left w:val="single" w:sz="4" w:space="0" w:color="auto"/>
            </w:tcBorders>
            <w:shd w:val="clear" w:color="auto" w:fill="auto"/>
            <w:vAlign w:val="center"/>
          </w:tcPr>
          <w:p w14:paraId="70AC202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659EEF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330D37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532C76DB"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5358</w:t>
            </w:r>
          </w:p>
        </w:tc>
      </w:tr>
      <w:tr w:rsidR="009E31D1" w:rsidRPr="008A2E5A" w14:paraId="6705EE67" w14:textId="77777777" w:rsidTr="004C5D62">
        <w:trPr>
          <w:trHeight w:val="250"/>
        </w:trPr>
        <w:tc>
          <w:tcPr>
            <w:tcW w:w="1354" w:type="dxa"/>
            <w:vMerge/>
            <w:tcBorders>
              <w:left w:val="single" w:sz="4" w:space="0" w:color="auto"/>
            </w:tcBorders>
            <w:shd w:val="clear" w:color="auto" w:fill="auto"/>
            <w:vAlign w:val="center"/>
          </w:tcPr>
          <w:p w14:paraId="710432B8" w14:textId="77777777" w:rsidR="009E31D1" w:rsidRPr="008A2E5A" w:rsidRDefault="009E31D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491AAE0F"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w:t>
            </w:r>
          </w:p>
        </w:tc>
        <w:tc>
          <w:tcPr>
            <w:tcW w:w="984" w:type="dxa"/>
            <w:tcBorders>
              <w:top w:val="single" w:sz="4" w:space="0" w:color="auto"/>
              <w:left w:val="single" w:sz="4" w:space="0" w:color="auto"/>
            </w:tcBorders>
            <w:shd w:val="clear" w:color="auto" w:fill="auto"/>
            <w:vAlign w:val="center"/>
          </w:tcPr>
          <w:p w14:paraId="1F9460F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A58FD0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2F00E2C"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w:t>
            </w:r>
          </w:p>
        </w:tc>
        <w:tc>
          <w:tcPr>
            <w:tcW w:w="994" w:type="dxa"/>
            <w:tcBorders>
              <w:top w:val="single" w:sz="4" w:space="0" w:color="auto"/>
              <w:left w:val="single" w:sz="4" w:space="0" w:color="auto"/>
            </w:tcBorders>
            <w:shd w:val="clear" w:color="auto" w:fill="auto"/>
            <w:vAlign w:val="center"/>
          </w:tcPr>
          <w:p w14:paraId="2E5C87E6"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994" w:type="dxa"/>
            <w:tcBorders>
              <w:top w:val="single" w:sz="4" w:space="0" w:color="auto"/>
              <w:left w:val="single" w:sz="4" w:space="0" w:color="auto"/>
            </w:tcBorders>
            <w:shd w:val="clear" w:color="auto" w:fill="auto"/>
            <w:vAlign w:val="center"/>
          </w:tcPr>
          <w:p w14:paraId="2ED65B3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c>
          <w:tcPr>
            <w:tcW w:w="994" w:type="dxa"/>
            <w:tcBorders>
              <w:top w:val="single" w:sz="4" w:space="0" w:color="auto"/>
              <w:left w:val="single" w:sz="4" w:space="0" w:color="auto"/>
            </w:tcBorders>
            <w:shd w:val="clear" w:color="auto" w:fill="auto"/>
            <w:vAlign w:val="center"/>
          </w:tcPr>
          <w:p w14:paraId="7075626E"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c>
          <w:tcPr>
            <w:tcW w:w="998" w:type="dxa"/>
            <w:vMerge/>
            <w:tcBorders>
              <w:left w:val="single" w:sz="4" w:space="0" w:color="auto"/>
              <w:right w:val="single" w:sz="4" w:space="0" w:color="auto"/>
            </w:tcBorders>
            <w:shd w:val="clear" w:color="auto" w:fill="auto"/>
            <w:vAlign w:val="center"/>
          </w:tcPr>
          <w:p w14:paraId="624E0AEC" w14:textId="77777777" w:rsidR="009E31D1" w:rsidRPr="008A2E5A" w:rsidRDefault="009E31D1" w:rsidP="004C5D62">
            <w:pPr>
              <w:spacing w:after="0" w:line="240" w:lineRule="auto"/>
              <w:jc w:val="both"/>
              <w:rPr>
                <w:rFonts w:ascii="Times New Roman" w:hAnsi="Times New Roman"/>
                <w:color w:val="0070C0"/>
                <w:sz w:val="16"/>
                <w:szCs w:val="16"/>
              </w:rPr>
            </w:pPr>
          </w:p>
        </w:tc>
      </w:tr>
      <w:tr w:rsidR="009E31D1" w:rsidRPr="008A2E5A" w14:paraId="77C71903" w14:textId="77777777" w:rsidTr="004C5D62">
        <w:trPr>
          <w:trHeight w:val="250"/>
        </w:trPr>
        <w:tc>
          <w:tcPr>
            <w:tcW w:w="1354" w:type="dxa"/>
            <w:vMerge/>
            <w:tcBorders>
              <w:left w:val="single" w:sz="4" w:space="0" w:color="auto"/>
            </w:tcBorders>
            <w:shd w:val="clear" w:color="auto" w:fill="auto"/>
            <w:vAlign w:val="center"/>
          </w:tcPr>
          <w:p w14:paraId="6997CA1F" w14:textId="77777777" w:rsidR="009E31D1" w:rsidRPr="008A2E5A" w:rsidRDefault="009E31D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7F31E5E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384D6BD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D2EF57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D8ABDD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1701</w:t>
            </w:r>
          </w:p>
        </w:tc>
        <w:tc>
          <w:tcPr>
            <w:tcW w:w="994" w:type="dxa"/>
            <w:tcBorders>
              <w:top w:val="single" w:sz="4" w:space="0" w:color="auto"/>
              <w:left w:val="single" w:sz="4" w:space="0" w:color="auto"/>
            </w:tcBorders>
            <w:shd w:val="clear" w:color="auto" w:fill="auto"/>
            <w:vAlign w:val="center"/>
          </w:tcPr>
          <w:p w14:paraId="2EA1365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2332</w:t>
            </w:r>
          </w:p>
        </w:tc>
        <w:tc>
          <w:tcPr>
            <w:tcW w:w="994" w:type="dxa"/>
            <w:tcBorders>
              <w:top w:val="single" w:sz="4" w:space="0" w:color="auto"/>
              <w:left w:val="single" w:sz="4" w:space="0" w:color="auto"/>
            </w:tcBorders>
            <w:shd w:val="clear" w:color="auto" w:fill="auto"/>
            <w:vAlign w:val="center"/>
          </w:tcPr>
          <w:p w14:paraId="79ADCC7D"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B8ADC6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4033</w:t>
            </w:r>
          </w:p>
        </w:tc>
        <w:tc>
          <w:tcPr>
            <w:tcW w:w="998" w:type="dxa"/>
            <w:vMerge/>
            <w:tcBorders>
              <w:left w:val="single" w:sz="4" w:space="0" w:color="auto"/>
              <w:right w:val="single" w:sz="4" w:space="0" w:color="auto"/>
            </w:tcBorders>
            <w:shd w:val="clear" w:color="auto" w:fill="auto"/>
            <w:vAlign w:val="center"/>
          </w:tcPr>
          <w:p w14:paraId="39366B81" w14:textId="77777777" w:rsidR="009E31D1" w:rsidRPr="008A2E5A" w:rsidRDefault="009E31D1" w:rsidP="004C5D62">
            <w:pPr>
              <w:spacing w:after="0" w:line="240" w:lineRule="auto"/>
              <w:jc w:val="both"/>
              <w:rPr>
                <w:rFonts w:ascii="Times New Roman" w:hAnsi="Times New Roman"/>
                <w:color w:val="0070C0"/>
                <w:sz w:val="16"/>
                <w:szCs w:val="16"/>
              </w:rPr>
            </w:pPr>
          </w:p>
        </w:tc>
      </w:tr>
      <w:tr w:rsidR="009E31D1" w:rsidRPr="008A2E5A" w14:paraId="75D02B63" w14:textId="77777777" w:rsidTr="004C5D62">
        <w:trPr>
          <w:trHeight w:val="259"/>
        </w:trPr>
        <w:tc>
          <w:tcPr>
            <w:tcW w:w="1354" w:type="dxa"/>
            <w:tcBorders>
              <w:top w:val="single" w:sz="4" w:space="0" w:color="auto"/>
              <w:left w:val="single" w:sz="4" w:space="0" w:color="auto"/>
              <w:bottom w:val="single" w:sz="4" w:space="0" w:color="auto"/>
            </w:tcBorders>
            <w:shd w:val="clear" w:color="auto" w:fill="auto"/>
            <w:vAlign w:val="center"/>
          </w:tcPr>
          <w:p w14:paraId="2C17908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Як-7-37</w:t>
            </w:r>
          </w:p>
        </w:tc>
        <w:tc>
          <w:tcPr>
            <w:tcW w:w="1368" w:type="dxa"/>
            <w:tcBorders>
              <w:top w:val="single" w:sz="4" w:space="0" w:color="auto"/>
              <w:left w:val="single" w:sz="4" w:space="0" w:color="auto"/>
              <w:bottom w:val="single" w:sz="4" w:space="0" w:color="auto"/>
            </w:tcBorders>
            <w:shd w:val="clear" w:color="auto" w:fill="auto"/>
            <w:vAlign w:val="center"/>
          </w:tcPr>
          <w:p w14:paraId="1F10A8C5"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bottom w:val="single" w:sz="4" w:space="0" w:color="auto"/>
            </w:tcBorders>
            <w:shd w:val="clear" w:color="auto" w:fill="auto"/>
            <w:vAlign w:val="center"/>
          </w:tcPr>
          <w:p w14:paraId="5D274E9A"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47FF5D43"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2AA99BB9"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4" w:type="dxa"/>
            <w:tcBorders>
              <w:top w:val="single" w:sz="4" w:space="0" w:color="auto"/>
              <w:left w:val="single" w:sz="4" w:space="0" w:color="auto"/>
              <w:bottom w:val="single" w:sz="4" w:space="0" w:color="auto"/>
            </w:tcBorders>
            <w:shd w:val="clear" w:color="auto" w:fill="auto"/>
            <w:vAlign w:val="center"/>
          </w:tcPr>
          <w:p w14:paraId="47C7CD84"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57241B7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1F3E8E42"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3DE42E47" w14:textId="77777777" w:rsidR="009E31D1" w:rsidRPr="008A2E5A" w:rsidRDefault="009E31D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r>
    </w:tbl>
    <w:p w14:paraId="4E1D6DC0"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5A083118" w14:textId="77777777" w:rsidR="009E31D1" w:rsidRPr="008A2E5A" w:rsidRDefault="009E31D1" w:rsidP="009E31D1">
      <w:pPr>
        <w:spacing w:after="0" w:line="240" w:lineRule="auto"/>
        <w:jc w:val="both"/>
        <w:rPr>
          <w:rFonts w:ascii="Times New Roman" w:hAnsi="Times New Roman"/>
          <w:color w:val="0070C0"/>
          <w:sz w:val="16"/>
          <w:szCs w:val="16"/>
        </w:rPr>
      </w:pPr>
    </w:p>
    <w:p w14:paraId="553983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вышел приказ НКАП N 98с о постройке самолета 103 с М-82 на заводе 166 (1537,105).</w:t>
      </w:r>
    </w:p>
    <w:p w14:paraId="1A6BB2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879C1"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г. Докладная записка директора завода № 22 Ю. Н. Карпова о состоянии производства на заводе</w:t>
      </w:r>
    </w:p>
    <w:p w14:paraId="4A53B482"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Выполнение графика</w:t>
      </w:r>
    </w:p>
    <w:p w14:paraId="0840BF70"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22 начал работать самостоятельно с 18 ноября 1941 г., до этого числа все оборудование и рабсила работали на завод № 124.</w:t>
      </w:r>
    </w:p>
    <w:p w14:paraId="36FCE7DB"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день разделения заводов – 11 ноября – завод 124 имел максимальный выпуск за октябрь месяц – 38 машин, в ноябре месяце за 11 дней завод 124 выпустил 11 машин, имея в то же время очень незначительный задел, к тому же не комплектный. С 12 по 17 ноября выпуска машин не было, ввиду демонтажа и монтажа цехов.</w:t>
      </w:r>
    </w:p>
    <w:p w14:paraId="1F5790EE"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22 с 18 ноября по 1 декабря выпустил 15 машин, ведя одновременно организацию и монтаж оборудования цехов.</w:t>
      </w:r>
    </w:p>
    <w:p w14:paraId="7D5FC22A"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декабрь месяц завод № 22 выпустил 41 машину, при программе за декабрь месяц […]</w:t>
      </w:r>
      <w:hyperlink r:id="rId44" w:anchor="_ftn1" w:history="1">
        <w:r w:rsidRPr="008127F8">
          <w:rPr>
            <w:rFonts w:ascii="Times New Roman" w:hAnsi="Times New Roman"/>
            <w:color w:val="000000" w:themeColor="text1"/>
            <w:sz w:val="16"/>
            <w:szCs w:val="16"/>
          </w:rPr>
          <w:t>[1]</w:t>
        </w:r>
      </w:hyperlink>
      <w:r w:rsidRPr="008127F8">
        <w:rPr>
          <w:rFonts w:ascii="Times New Roman" w:hAnsi="Times New Roman"/>
          <w:color w:val="000000" w:themeColor="text1"/>
          <w:sz w:val="16"/>
          <w:szCs w:val="16"/>
        </w:rPr>
        <w:t xml:space="preserve"> машин, продолжая при этом заканчивание монтажа оборудования и пуск в эксплуатацию цехов.</w:t>
      </w:r>
    </w:p>
    <w:p w14:paraId="5DA8BEF1"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состоялось решение об объединении обоих заводов в один завод № 22.</w:t>
      </w:r>
    </w:p>
    <w:p w14:paraId="2DB1FCCB"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Объединение заводов было проведено в целях избежания больших потерь во времени, без перестановки оборудования и с сохранением цехов обоих заводов параллельно.</w:t>
      </w:r>
    </w:p>
    <w:p w14:paraId="203BB809"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прирост мощностей от объединения заводов на выпуск машин в декабре не мог влиять.</w:t>
      </w:r>
    </w:p>
    <w:p w14:paraId="2E100544"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завод № 22 вышел на выпуск 2-х машин в день, сдав всего в январе 65 машин.</w:t>
      </w:r>
    </w:p>
    <w:p w14:paraId="37A6CCEF"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завода № 22 в январе месяце в результате объединения двух заводов продолжала оставаться по агрегатным цехам узким местом из-за отсутствия площадей и комплектного задела. Некомплектность изделий имела место главным образом по штамповкам, ввиду позднего поступления на завод прессового оборудования и несоответствия оснастки завода № 124 с технологией завода № 22, так, например, трудоемкие процессы – глубокие штамповки - на заводе № 124 совсем не имели оснастки и выполнялись вручную и, естественно, заводу № 22 первое время пришлось работать по технологии завода № 124. Этим и объясняется большая разница между заводами в затратах рабочего времени на машину: завод № 124 – 28000 час, завод № 22 – 16000.</w:t>
      </w:r>
    </w:p>
    <w:p w14:paraId="1510AE64"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Подготовка производства к выполнению графика в феврале</w:t>
      </w:r>
    </w:p>
    <w:p w14:paraId="3BFEE355"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Узким местом на сегодня на заводе являются цеха центроплана и фюзеляжа, где наличие стапелей обеспечивает сборку агрегатов всего на 5 машин в сутки. Дальнейшее расширение пропускной способности за счет улучшения технологии, с одной стороны, и увеличение площадей за счет машины 42, с другой, позволяет заводу довести выпуск к началу марта до 6 машин в день. Однако этот график выпуска на февраль месяц для завода № 22 в нынешних условиях, безусловно, является напряженным, несмотря на сокращение цикла сборки с 29 до 8 дней, так как для обеспечения такого выпуска требуется накопление следующего комплектного задела: в окончательной сборке – не менее 25 машин, центропланов – 24, крыльев – 18, фюзеляжей – 35, оперения – 24, а в действительности завод имеет на 1 февраля в сборке – 22, центропланов […], крыльев […], фюзеляжей […], оперения […].</w:t>
      </w:r>
      <w:hyperlink r:id="rId45" w:anchor="_ftn2" w:history="1">
        <w:r w:rsidRPr="008127F8">
          <w:rPr>
            <w:rFonts w:ascii="Times New Roman" w:hAnsi="Times New Roman"/>
            <w:color w:val="000000" w:themeColor="text1"/>
            <w:sz w:val="16"/>
            <w:szCs w:val="16"/>
          </w:rPr>
          <w:t>[2]</w:t>
        </w:r>
      </w:hyperlink>
    </w:p>
    <w:p w14:paraId="3C6405C7"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Заготовительные цеха указанный выпуск обеспечивают, за исключением литейного цеха, который требуется немедленно расширить под номенклатуру деталей, ранее получаемых с других заводов.</w:t>
      </w:r>
    </w:p>
    <w:p w14:paraId="643E6B39"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февраля месяца по литью обеспечивается пока наличием запаса.</w:t>
      </w:r>
    </w:p>
    <w:p w14:paraId="49A451EF"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нормальной работы завода по выпуску в феврале и создания задела для выпуска в марте и последующих месяцах необходимо:</w:t>
      </w:r>
    </w:p>
    <w:p w14:paraId="3FE80AB3"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увеличить производственную площадь агрегатных цехов за счет пуска в эксплуатацию новых площадей – корпусов завода № 489 площадью 18000 кв. м и за счет площади от машины 42 – 5000-6000 кв. м;</w:t>
      </w:r>
    </w:p>
    <w:p w14:paraId="43EF5CCE"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литейного цеха – расширение за счет освобождения площади, занятой теперь складом химикатов;</w:t>
      </w:r>
    </w:p>
    <w:p w14:paraId="50C81444"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кузнечного цеха – расширение за счет пуска новой кузницы;</w:t>
      </w:r>
    </w:p>
    <w:p w14:paraId="26BE4ED8"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кислородной установки – за счет дополнительной установки, занаряженной заводу из Куйбышева;</w:t>
      </w:r>
    </w:p>
    <w:p w14:paraId="6DE37BA6"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сдача в эксплуатацию нового материального склада – до 9000 кв. м.</w:t>
      </w:r>
    </w:p>
    <w:p w14:paraId="4B0B7E93"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Рабсила</w:t>
      </w:r>
    </w:p>
    <w:p w14:paraId="13039D34"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рабсилы на 1 января 1942 г. удовлетворительно. Напряжение с рабочими имеет место по специальностям токаря и револьверщика – по 1000 чел.</w:t>
      </w:r>
    </w:p>
    <w:p w14:paraId="0CB29887"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недостаток в рабсиле будет в феврале покрыт за счет переквалификации рабочих низких разрядов.</w:t>
      </w:r>
    </w:p>
    <w:p w14:paraId="3A923535"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Жилплощадь</w:t>
      </w:r>
    </w:p>
    <w:p w14:paraId="160FF4A5"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Жильем рабочие завода обеспечены все, но рабочие живут скученно и большинство не обеспечены топливом; 60 % состава размещены в городе за 12 км от работы, что при неудовлетворительном городском и заводском транспорте дает большие потери в производстве, вызывая опоздания и падение трудовой дисциплины.</w:t>
      </w:r>
    </w:p>
    <w:p w14:paraId="7D290EDE"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предложить Моссовету полностью выполнить отгрузку 50 вагонов трамвая и выделить целевой фонд на 25000 куб. м дров.</w:t>
      </w:r>
    </w:p>
    <w:p w14:paraId="2B2C4BF1"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Общественное питание</w:t>
      </w:r>
    </w:p>
    <w:p w14:paraId="5D6A289A"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Общественное питание рабочих чрезвычайно плохое. На заводе нет фабрики-кухни и завод вынужден организовать временные столовые по цехам за счет уменьшения производственных площадей.</w:t>
      </w:r>
    </w:p>
    <w:p w14:paraId="4CA483CC"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Необходимо построить на заводе фабрику-кухню.</w:t>
      </w:r>
    </w:p>
    <w:p w14:paraId="5E60F982"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Выделить целевые фонды на продукты для общественного питания.</w:t>
      </w:r>
    </w:p>
    <w:p w14:paraId="4950C63E"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казанские организации в порядке гужповинности организовать доставку овощей с периферии из мест, где отсутствуют пути для автотранспорта, предоставив заводу право производить самозаготовку.</w:t>
      </w:r>
    </w:p>
    <w:p w14:paraId="3AD22672"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 Горючее для автотранспорта</w:t>
      </w:r>
    </w:p>
    <w:p w14:paraId="2B19A8CD"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имеется: автобусов – 115 и грузовых – 120.</w:t>
      </w:r>
    </w:p>
    <w:p w14:paraId="126D7B98"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нормальной их работы требуется ежедневно горючего 7000 кг. На заводе нет никаких запасов и отсутствует бензохранилище.</w:t>
      </w:r>
    </w:p>
    <w:p w14:paraId="0D2B35C3"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построить бензохранилище для авто емкостью в 350 тонн и для авиабензина емкостью пока в 500 тонн.</w:t>
      </w:r>
    </w:p>
    <w:p w14:paraId="4DBA2E84"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VII. Топливо</w:t>
      </w:r>
    </w:p>
    <w:p w14:paraId="7A974C06"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Топлива для ТЭЦ требуется в сутки до 1000 тонн угля. Запас имеется на 10-12 дней. Необходимо завезти для ТЭЦ и котельной завода ежедневно до 1 апреля 1942 г. по 2000 тонн для восстановления резервов и текущего расхода.</w:t>
      </w:r>
    </w:p>
    <w:p w14:paraId="194C8CBA"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Дров для отопления жилых помещений рабочих и заводских котельных требуется 25000 куб. м, годовой расход завода в дровах 100000 куб. м.</w:t>
      </w:r>
    </w:p>
    <w:p w14:paraId="28BF6981"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22 Карпов</w:t>
      </w:r>
    </w:p>
    <w:p w14:paraId="523F3A9A"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РТ. Ф. Р-2845. Оп. 3. Д. 163. Л. 20-24. Подлинник (15494).</w:t>
      </w:r>
    </w:p>
    <w:p w14:paraId="5EB7FD63"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7A87A638"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февраля 1942 г. Докладная записка директора завода № 22 Ю. Н. Карпова о состоянии производства на заводе</w:t>
      </w:r>
    </w:p>
    <w:p w14:paraId="4100B52B"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Выполнение графика</w:t>
      </w:r>
    </w:p>
    <w:p w14:paraId="53331227"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22 начал работать самостоятельно с 18 ноября 1941 г., до этого числа все оборудование и рабсила работали на завод № 124.</w:t>
      </w:r>
    </w:p>
    <w:p w14:paraId="694C52B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день разделения заводов — 11 ноября — завод 124 имел максимальный выпуск за октябрь месяц — 38 машин, в ноябре месяце за 11 дней завод 124 выпустил 11 машин, имея в то же время очень незначительный задел, к тому же не комплектный.</w:t>
      </w:r>
    </w:p>
    <w:p w14:paraId="300DE337"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12 по 17 ноября выпуска машин не было, ввиду демонтажа и монтажа цехов.</w:t>
      </w:r>
    </w:p>
    <w:p w14:paraId="1FD27951"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22 с 18 ноября по 1 декабря выпустил 15 машин, ведя одновременно организацию и монтаж оборудования цехов.</w:t>
      </w:r>
    </w:p>
    <w:p w14:paraId="6884E51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За декабрь месяц завод № 22 выпустил 41 машину, при программе за декабрь месяц </w:t>
      </w:r>
      <w:proofErr w:type="gramStart"/>
      <w:r w:rsidRPr="008A2E5A">
        <w:rPr>
          <w:rFonts w:ascii="Times New Roman" w:hAnsi="Times New Roman"/>
          <w:color w:val="0070C0"/>
          <w:sz w:val="16"/>
          <w:szCs w:val="16"/>
        </w:rPr>
        <w:t>I...</w:t>
      </w:r>
      <w:proofErr w:type="gramEnd"/>
      <w:r w:rsidRPr="008A2E5A">
        <w:rPr>
          <w:rFonts w:ascii="Times New Roman" w:hAnsi="Times New Roman"/>
          <w:color w:val="0070C0"/>
          <w:sz w:val="16"/>
          <w:szCs w:val="16"/>
        </w:rPr>
        <w:t>]1 машин, продолжая при этом заканчивание монтажа оборудования и пуск в эксплуатацию цехов.</w:t>
      </w:r>
    </w:p>
    <w:p w14:paraId="4D55032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состоялось решение об объединении обоих заводов в один завод № 22.</w:t>
      </w:r>
    </w:p>
    <w:p w14:paraId="51662B82"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Объединение заводов было проведено в целях избежания больших потерь во времени, без перестановки оборудования и с сохранением цехов обоих заводов параллельно.</w:t>
      </w:r>
    </w:p>
    <w:p w14:paraId="579FF33E"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прирост мощностей от объединения заводов на выпуск машин в декабре не мог влиять.</w:t>
      </w:r>
    </w:p>
    <w:p w14:paraId="2E436346"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завод № 22 вышел на выпуск 2-х машин в день, сдав всего в январе 65 машин.</w:t>
      </w:r>
    </w:p>
    <w:p w14:paraId="6A442E6C"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Работа завода № 22 в январе месяце в результате объединения двух заводов продолжала оставаться по агрегатным цехам узким местом из-за отсутствия площадей и комплектного задела. Некомплектность изделий имела место главным образом по штамповкам, ввиду позднего поступления на завод прессового оборудования и несоответствия оснастки завода № 124 с технологией завода № 22, так, например, трудоемкие процессы — глубокие штамповки - на заводе № 124 совсем не имели оснастки и выполнялись вручную и, </w:t>
      </w:r>
      <w:proofErr w:type="gramStart"/>
      <w:r w:rsidRPr="008A2E5A">
        <w:rPr>
          <w:rFonts w:ascii="Times New Roman" w:hAnsi="Times New Roman"/>
          <w:color w:val="0070C0"/>
          <w:sz w:val="16"/>
          <w:szCs w:val="16"/>
        </w:rPr>
        <w:t>естественно,,</w:t>
      </w:r>
      <w:proofErr w:type="gramEnd"/>
      <w:r w:rsidRPr="008A2E5A">
        <w:rPr>
          <w:rFonts w:ascii="Times New Roman" w:hAnsi="Times New Roman"/>
          <w:color w:val="0070C0"/>
          <w:sz w:val="16"/>
          <w:szCs w:val="16"/>
        </w:rPr>
        <w:t xml:space="preserve"> заводу № 22 первое время пришлось работать по технологии завода № 124. Этим и объясняется большая разница между заводами в затратах рабочего времени на машину: завод № 124 — 28000 час, завод № 22 — 16000.</w:t>
      </w:r>
    </w:p>
    <w:p w14:paraId="54B5D5B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Подготовка производства к выполнению графика в феврале</w:t>
      </w:r>
    </w:p>
    <w:p w14:paraId="5ED4268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Узким местом на сегодня на заводе являются цеха центроплана и фюзеляжа, где наличие стапелей обеспечивает сборку агрегатов всего на 5 машин в сутки. Дальнейшее расширение пропускной способности за счет улучшения технологии, с одной стороны, и увеличение площадей за счет машины 42, с другой, позволяет заводу довести выпуск к началу марта до 6 машин в день. Однако этот график выпуска на февраль месяц для завода № 22 в нынешних условиях, безусловно, является напряженным, несмотря на сокращение цикла сборки с 29 до 8 дней, так как для обеспечения такого выпуска требуется накопление следующего комплектного задела: в окончательной сборке — не менее 25 машин, центропланов — 24, крыльев — 18, фюзеляжей — 35, оперения — 24, а в действительности завод имеет на 1 февраля в сборке — 22, центропланов [...], крыльев [...], фюзеляжей [...], оперения [... ].</w:t>
      </w:r>
    </w:p>
    <w:p w14:paraId="0BD684C7"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Заготовительные цеха указанный выпуск обеспечивают, за исключением литейного цеха, который требуется немедленно расширить под номенклатуру деталей, ранее получаемых с других заводов.</w:t>
      </w:r>
    </w:p>
    <w:p w14:paraId="3FB06C3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февраля месяца по литью обеспечивается пока наличием запаса.</w:t>
      </w:r>
    </w:p>
    <w:p w14:paraId="6E3403A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нормальной работы завода по выпуску в феврале и создания задела для выпуска в марте и последующих месяцах необходимо:</w:t>
      </w:r>
    </w:p>
    <w:p w14:paraId="5C7CBB57"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 увеличить производственную площадь агрегатных цехов за счет пуска в эксплуатацию новых площадей — корпусов завода </w:t>
      </w:r>
      <w:r w:rsidRPr="008A2E5A">
        <w:rPr>
          <w:rFonts w:ascii="Tahoma" w:hAnsi="Tahoma" w:cs="Tahoma"/>
          <w:color w:val="0070C0"/>
          <w:sz w:val="16"/>
          <w:szCs w:val="16"/>
        </w:rPr>
        <w:t>﻿</w:t>
      </w:r>
      <w:r w:rsidRPr="008A2E5A">
        <w:rPr>
          <w:rFonts w:ascii="Times New Roman" w:hAnsi="Times New Roman"/>
          <w:color w:val="0070C0"/>
          <w:sz w:val="16"/>
          <w:szCs w:val="16"/>
        </w:rPr>
        <w:t>№ 489 площадью 18000 кв. м и за счет площади от машины 42 — 5000-6000 кв. м;</w:t>
      </w:r>
    </w:p>
    <w:p w14:paraId="382BCFBF"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литейного цеха — расширение за счет освобождения площади, занятой теперь складом химикатов;</w:t>
      </w:r>
    </w:p>
    <w:p w14:paraId="03CDB5BF"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кузнечного цеха — расширение за счет пуска новой кузницы;</w:t>
      </w:r>
    </w:p>
    <w:p w14:paraId="05C20E52"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кислородной установки — за счет дополнительной установки, занаряженной заводу из Куйбышева;</w:t>
      </w:r>
    </w:p>
    <w:p w14:paraId="00AC2088"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сдача в эксплуатацию нового материального склада — до 9000 кв. м.</w:t>
      </w:r>
    </w:p>
    <w:p w14:paraId="6668B27B"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w:t>
      </w:r>
      <w:r w:rsidRPr="008A2E5A">
        <w:rPr>
          <w:rFonts w:ascii="Times New Roman" w:hAnsi="Times New Roman"/>
          <w:color w:val="0070C0"/>
          <w:sz w:val="16"/>
          <w:szCs w:val="16"/>
        </w:rPr>
        <w:tab/>
        <w:t>Рабсила</w:t>
      </w:r>
    </w:p>
    <w:p w14:paraId="599417E9"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Состояние рабсилы на 1 января 1942 г. удовлетворительно.</w:t>
      </w:r>
    </w:p>
    <w:p w14:paraId="21663B49"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Напряжение с рабочими имеет место по специальностям токаря и револьверщика — по 1000 чел.</w:t>
      </w:r>
    </w:p>
    <w:p w14:paraId="69FD19BD"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недостаток в рабсиле будет в феврале покрыт за счет переквалификации рабочих низких разрядов.</w:t>
      </w:r>
    </w:p>
    <w:p w14:paraId="2DD146AC"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Жилплощадь</w:t>
      </w:r>
    </w:p>
    <w:p w14:paraId="5090F43F"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Жильем рабочие завода обеспечены все, но рабочие живут скученно и большинство не обеспечены топливом; 60 % состава размещены в городе за 12 км от работы, что при неудовлетворительном городском и заводском транспорте дает большие потери в производстве, вызывая опоздания и падение трудовой дисциплины.</w:t>
      </w:r>
    </w:p>
    <w:p w14:paraId="63F704D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предложить Моссовету полностью выполнить отгрузку 50 вагонов трамвая и выделить целевой фонд на 25000 куб. м дров.</w:t>
      </w:r>
    </w:p>
    <w:p w14:paraId="16812118"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 Общественное питание</w:t>
      </w:r>
    </w:p>
    <w:p w14:paraId="72DF54A8"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Общественное питание рабочих чрезвычайно плохое. На заводе нет фабрики-кухни и завод вынужден организовать временные столовые по цехам за счет уменьшения производственных площадей.</w:t>
      </w:r>
    </w:p>
    <w:p w14:paraId="7CBFA10C"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Необходимо построить на заводе фабрику-кухню.</w:t>
      </w:r>
    </w:p>
    <w:p w14:paraId="5E92387A"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Выделить целевые фонды на продукты для общественного питания.</w:t>
      </w:r>
    </w:p>
    <w:p w14:paraId="2A8D888C"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казанские организации в порядке гужповинности организовать доставку овощей с периферии из мест, где отсутствуют пути для автотранспорта, предоставив заводу право производить самозаготовку.</w:t>
      </w:r>
    </w:p>
    <w:p w14:paraId="12BC2FBD"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VI. Горючее для автотранспорта</w:t>
      </w:r>
    </w:p>
    <w:p w14:paraId="58802712"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имеется: автобусов — 115 и грузовых — 120.</w:t>
      </w:r>
    </w:p>
    <w:p w14:paraId="4767CD5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нормальной их работы требуется ежедневно горючего 7000 кг. На заводе нет никаких запасов и отсутствует бензохранилище.</w:t>
      </w:r>
    </w:p>
    <w:p w14:paraId="743D100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построить бензохранилище для авто емкостью в 350 тонн и для авиабензина емкостью пока в 500 тонн.</w:t>
      </w:r>
    </w:p>
    <w:p w14:paraId="659C56FF"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VII. Топливо</w:t>
      </w:r>
    </w:p>
    <w:p w14:paraId="39C2640E"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Топлива для ТЭЦ требуется в сутки до 1000 тонн угля. Запас имеется на 10-12 дней. Необходимо завезти для ТЭЦ и котельной завода ежедневно до 1 апреля 1942 г. по 2000 тонн для восстановления резервов и текущего расхода.</w:t>
      </w:r>
    </w:p>
    <w:p w14:paraId="71854ABE"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Дров для отопления жилых помещений рабочих и заводских котельных требуется 25000 куб. м, годовой расход завода в дровах 100000 куб. м.</w:t>
      </w:r>
    </w:p>
    <w:p w14:paraId="21915D2D"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Карпов</w:t>
      </w:r>
    </w:p>
    <w:p w14:paraId="60B04E7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163. Л. 20-24. Подлинник (23897).</w:t>
      </w:r>
    </w:p>
    <w:p w14:paraId="66BEA070" w14:textId="77777777" w:rsidR="009E31D1" w:rsidRPr="008A2E5A" w:rsidRDefault="009E31D1" w:rsidP="009E31D1">
      <w:pPr>
        <w:spacing w:after="0" w:line="240" w:lineRule="auto"/>
        <w:jc w:val="both"/>
        <w:rPr>
          <w:rFonts w:ascii="Times New Roman" w:hAnsi="Times New Roman"/>
          <w:color w:val="0070C0"/>
          <w:sz w:val="16"/>
          <w:szCs w:val="16"/>
        </w:rPr>
      </w:pPr>
    </w:p>
    <w:p w14:paraId="538097D4" w14:textId="2C03DB0E"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5 по 15 февраля 1942 на Центральном аэродроме. Летал В.А.Степанчонок из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НИИ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ВВС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а также пилоты из 10-го гв. иап и 736-го иап испытывали один из истребителей Харрикейн 736-го иап, доставленных в ремонт, которыый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№81оснастили лыжным шасси, убиравшимся в полете (15129).</w:t>
      </w:r>
    </w:p>
    <w:p w14:paraId="074D8A31"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44BB3C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А.И.Ш. писал письмо Г.М.М. (в 1944 N 4339):</w:t>
      </w:r>
    </w:p>
    <w:p w14:paraId="5DFB14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"Изложенные в докладной записке Чачикяна факты полностью соответствуют действительному положению дел с ТМС:</w:t>
      </w:r>
    </w:p>
    <w:p w14:paraId="046101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 о боевом использовании ТМС неоднократно обсуждался представителями НКАП с представителями НИИ и ГУ ВВС, где намечались практические мероприятия по применению ТМС, но ни одно из них не было реализовано.</w:t>
      </w:r>
    </w:p>
    <w:p w14:paraId="18734D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войны НКАП приступил к сдаче этих самолетов в летных условиях. В ходе испытаний ТМС были доведены по требованию ВВС, до состояния возможности их боевого применения.</w:t>
      </w:r>
    </w:p>
    <w:p w14:paraId="1A8192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ТМС, прошедшие летные испытания, полностью подготовлены для боевого применения.</w:t>
      </w:r>
    </w:p>
    <w:p w14:paraId="77D880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Дальнейшие работы по ТМС, возможны только после боевого использования существующих опытных ТМС, что позволит определить дальнейшее развитие этого нового вида вооружения.</w:t>
      </w:r>
    </w:p>
    <w:p w14:paraId="47BF02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сих пор ВВС не оформляет приемкой прошедшие испытание ТМС, не принимает решения о их боевом использовании и этим самым тормозит дальнейшее развитие работ по этому виду техники.</w:t>
      </w:r>
    </w:p>
    <w:p w14:paraId="05D3DF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НКАП</w:t>
      </w:r>
      <w:proofErr w:type="gramEnd"/>
      <w:r w:rsidRPr="008127F8">
        <w:rPr>
          <w:rFonts w:ascii="Times New Roman" w:hAnsi="Times New Roman"/>
          <w:color w:val="000000" w:themeColor="text1"/>
          <w:sz w:val="16"/>
          <w:szCs w:val="16"/>
        </w:rPr>
        <w:t xml:space="preserve"> не имея никаких перспектив, основанных на практическом применении созданных ТМС, находится в крайне затруднительном положении.</w:t>
      </w:r>
    </w:p>
    <w:p w14:paraId="2C27BB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ВВС в ближайшее время не сумеет внести ясность в этом вопросе НКАП будет вынужден загрузить конструкторскую группу, имеющую 5-ти летний опыт в области авиателемеханики другими работами.</w:t>
      </w:r>
    </w:p>
    <w:p w14:paraId="0B63C5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необходимым провести боевое использование отработанных ТМС и на основе их применения определить целесообразность дальнейших работ промышленности над этим видом боевой техники.</w:t>
      </w:r>
    </w:p>
    <w:p w14:paraId="0DA760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4-х комплектов изготовленной аппаратуры дает возможность провести всестороннее тактическое боевое изучение ТМС. В ходе боевого использования ТМС считаю необходимым широкое привлечение группы работников НКАП, работавших над созданием этой техники." (1977,220).</w:t>
      </w:r>
    </w:p>
    <w:p w14:paraId="6930B5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D4CDB"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53A2D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3D2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года инженер В.А. Попов писал письмо Шахурину.</w:t>
      </w:r>
    </w:p>
    <w:p w14:paraId="462224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1941 года я вместе с инженером И.И. Горевым предложил построить новый тип оружия - сухопутную торпеду (С.Т.). Это оружие предназначено для действия против танков, огневых точек, пулеметных, орудийных или минометных батарей и т.д. Состоит СТ из узлов и агрегатов, повсеместно применяемых у нас и изготовляемых серийно на многих заводах. Движение со скоростью 10 м/сек. сообщает СТ пневматический двигатель (пневмодрель), работающий от сжатого воздуха в баллоне. СТ несет заряд взрывчатого вещества весом (в первой модели) до 10 кг.</w:t>
      </w:r>
    </w:p>
    <w:p w14:paraId="26D4A9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декабре 1941 г. по распоряжению А.И. Кузнецова, признавшего наше предложение ценным, СТ построена на заводе N 306 и сейчас проходит испытания. Но </w:t>
      </w:r>
      <w:r w:rsidRPr="008127F8">
        <w:rPr>
          <w:rFonts w:ascii="Times New Roman" w:hAnsi="Times New Roman"/>
          <w:color w:val="000000" w:themeColor="text1"/>
          <w:sz w:val="16"/>
          <w:szCs w:val="16"/>
        </w:rPr>
        <w:lastRenderedPageBreak/>
        <w:t xml:space="preserve">осуществить машину в точности по нашему замыслу не удалось, так как для управления СТ на расстоянии до 500-800 м мы рассчитывали использовать радиоаппаратуру, разработанную и испытанную инж. В.А. Александровым на самолете. Оказалось же, что в тревожные октябрьские дни </w:t>
      </w:r>
      <w:proofErr w:type="gramStart"/>
      <w:r w:rsidRPr="008127F8">
        <w:rPr>
          <w:rFonts w:ascii="Times New Roman" w:hAnsi="Times New Roman"/>
          <w:color w:val="000000" w:themeColor="text1"/>
          <w:sz w:val="16"/>
          <w:szCs w:val="16"/>
        </w:rPr>
        <w:t>какая то</w:t>
      </w:r>
      <w:proofErr w:type="gramEnd"/>
      <w:r w:rsidRPr="008127F8">
        <w:rPr>
          <w:rFonts w:ascii="Times New Roman" w:hAnsi="Times New Roman"/>
          <w:color w:val="000000" w:themeColor="text1"/>
          <w:sz w:val="16"/>
          <w:szCs w:val="16"/>
        </w:rPr>
        <w:t xml:space="preserve"> комиссия в отсутствии Александрова уничтожила и самолет и приборы. пришлось испытывать СТ на проводе. Для завершения работ по СТ нужно построить новую аппаратуру, способную управлять на расстоянии 500-1000 м объектом, т.е. передавать 5 сигналов-команд. Это дело несложное, но Александров состоит в распоряжении Зап. фронта (нач. ремонтных мастерских ВВС Запфронта) и без распоряжения от командования не может заняться этой работой. От этого задерживается работа по СТ, завершении которого даст Красной Армии высоко эффективное оружие.</w:t>
      </w:r>
    </w:p>
    <w:p w14:paraId="477C2F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содействия (1666,159).</w:t>
      </w:r>
    </w:p>
    <w:p w14:paraId="02437D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62B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вышло Постановление ГКО № 1246 О плане производства минометов на февраль месяц 1942 года. РГАНИР, Фонд ГКО, д. 21, лл. 1-7 (11012).</w:t>
      </w:r>
    </w:p>
    <w:p w14:paraId="3D5217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B7BBB" w14:textId="77777777"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5 февраля 1942 года был подготовлен проект модернизации 45 мм пушки, получивший обозначение М-42. 13 февраля Артиллерийский Комитет ГАУ КА выдал тактико-технические требования на орудия, а 14 марта на заводе №172 построили опытный образец орудия (20344).</w:t>
      </w:r>
    </w:p>
    <w:p w14:paraId="0E466467" w14:textId="77777777"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p>
    <w:p w14:paraId="1163A56A"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года СНК дал право НКТП изымать используемые в производстве танков подшипники с предприятий любых наркоматов, кроме авиационной промышленности, боеприпасов и вооружений. Но руководители других предприятий не желали выполнять эти указания, задевавшие их интересы. Заместитель Наркома танковой промышленности А. М. Петросянц писал В. М. Молотову: «Начальник строительства Магнитогорского завода не допустил нашего представителя к выявлению нужных нам подшипников, несмотря на вмешательство местных партийных и советских организаций. По сообщению нашей Сталинградской конторы, замнаркомчермет т. Коробов запретил заводу «Красный Октябрь» отпуск выявленных нами на этом заводе подшипников. Передача нам подшипников, выявленных в Новосибирском тресте Строймеханизация, а также на Томском электромеханическом заводе Наркомугля была приостановлена в результате прямых запрещений соответственно замнаркомстроя т. Соколова и замнаркомугля т. Горшкова» (РГАЭ. Ф. 8752. Оп. 1. Д. 251. Л. 140). В марте ситуация с подшипниками продолжала оставаться напряженной. Руководство страны пыталось найти выход в заграничных заказах. В 1942 году для танковой промышленности было закуплено подшипников на сумму свыше 1 миллиона долларов. Но из-за транспортных проблем их доставка затянулась, и часть грузов продолжала прибывать ещё в 1944 году (РГАЭ. Ф. 8752. Оп. 1. Д. 620. Л. 26-35).</w:t>
      </w:r>
    </w:p>
    <w:p w14:paraId="36CD8B4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лучше обстояло дело со снабжением предприятий сырьём и материалами. В первом квартале 1942 года руководство НКТП постоянно сталкивалось с перебоями в снабжении заводов почти всеми видами ресурсов, особенно мазутом и углём. Руководство страны осознавало тяжесть ситуации и использовало чрезвычайные меры, привлекая к контролю над перевозками НКВД и прокуратуру. Но эти меры были неэффективны и приводили к совсем другим результатам, чем предполагалось. Например, в марте 1942 года прокуратуре было поручено обеспечить первоочередную отгрузку мазута для предприятий Наркомчермета. Для выполнения этого поручения представители прокуратуры СССР перенаправили эшелоны с мазутом, предназначенные НКТП, на предприятия НКЧМ (РГАЭ. Ф. 8752. Оп. 1. Д. 251. Л. 232). В результате на основных заводах НКТП сложилась критическая ситуация, так как они и до этого не получали всех положенных им поставок (12290).</w:t>
      </w:r>
    </w:p>
    <w:p w14:paraId="06641BDA"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498D288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7579A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EDA78" w14:textId="77777777" w:rsidR="001D6054" w:rsidRPr="008127F8" w:rsidRDefault="001D6054" w:rsidP="001E0A84">
      <w:pPr>
        <w:spacing w:after="0" w:line="240" w:lineRule="auto"/>
        <w:jc w:val="both"/>
        <w:rPr>
          <w:rFonts w:ascii="Times New Roman" w:eastAsia="Times New Roman" w:hAnsi="Times New Roman"/>
          <w:b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5 февраля 1942 года Оперативная сводка Совинформбюро</w:t>
      </w:r>
    </w:p>
    <w:p w14:paraId="62CFE1F8"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5 февраля</w:t>
      </w:r>
    </w:p>
    <w:p w14:paraId="5C1CBFA8"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5 февраля наши войска продолжали вести активные боевые действия против немецко-фашистских войск.</w:t>
      </w:r>
    </w:p>
    <w:p w14:paraId="55F184B2"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5 февраля</w:t>
      </w:r>
    </w:p>
    <w:p w14:paraId="2D7C7363"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5 февраля наши войска, преодолевая сопротивление и контратаки противника, продолжали продвигаться вперёд.</w:t>
      </w:r>
    </w:p>
    <w:p w14:paraId="1A6364D3"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4 февраля сбито в воздушных боях 22 и уничтожено на аэродромах 16 немецких самолётов. Всего за этот день уничтожено 38 самолётов противника. Наши потери - 20 самолётов.</w:t>
      </w:r>
    </w:p>
    <w:p w14:paraId="721FAD8B"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5 февраля под Москвой сбито 9 немецких самолётов.</w:t>
      </w:r>
    </w:p>
    <w:p w14:paraId="4451A4DB"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4 февраля частями нашей авиации уничтожено 7 немецких танков, 250 автомашин с войсками и грузами, 150 повозок с боеприпасами, 3 автоцистерны с горючим, 33 орудия с прислугой, 7 зенитно-пулемётных точек, взорвано два склада в боеприпасами и склад с горючим, рассеяно я частью уничтожено три батальона пехоты противника (15024).</w:t>
      </w:r>
    </w:p>
    <w:p w14:paraId="0B2E4D0A" w14:textId="77777777" w:rsidR="001D6054" w:rsidRPr="008127F8" w:rsidRDefault="001D6054" w:rsidP="001E0A84">
      <w:pPr>
        <w:spacing w:after="0" w:line="240" w:lineRule="auto"/>
        <w:jc w:val="both"/>
        <w:rPr>
          <w:rFonts w:ascii="Times New Roman" w:eastAsia="Times New Roman" w:hAnsi="Times New Roman"/>
          <w:color w:val="000000" w:themeColor="text1"/>
          <w:sz w:val="16"/>
          <w:szCs w:val="16"/>
          <w:lang w:eastAsia="ru-RU"/>
        </w:rPr>
      </w:pPr>
    </w:p>
    <w:p w14:paraId="0A4E263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семь И-15бис сбросили 14 ящиков с боеприпасами де</w:t>
      </w:r>
      <w:r w:rsidRPr="008127F8">
        <w:rPr>
          <w:rFonts w:ascii="Times New Roman" w:hAnsi="Times New Roman"/>
          <w:color w:val="000000" w:themeColor="text1"/>
          <w:sz w:val="16"/>
          <w:szCs w:val="16"/>
        </w:rPr>
        <w:softHyphen/>
        <w:t>санту под Новороссийском. 6 февраля ту</w:t>
      </w:r>
      <w:r w:rsidRPr="008127F8">
        <w:rPr>
          <w:rFonts w:ascii="Times New Roman" w:hAnsi="Times New Roman"/>
          <w:color w:val="000000" w:themeColor="text1"/>
          <w:sz w:val="16"/>
          <w:szCs w:val="16"/>
        </w:rPr>
        <w:softHyphen/>
        <w:t>да же с грузом летали четыре «биса». Два дня спустя три И-15бис совершили вылет на снабжение крымских партизан (12294).</w:t>
      </w:r>
    </w:p>
    <w:p w14:paraId="731BEA0F"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10EF2D80" w14:textId="77777777" w:rsidR="00391210" w:rsidRPr="008127F8" w:rsidRDefault="00391210" w:rsidP="001E0A84">
      <w:pPr>
        <w:pStyle w:val="31b"/>
        <w:shd w:val="clear" w:color="auto" w:fill="auto"/>
        <w:tabs>
          <w:tab w:val="left" w:pos="450"/>
        </w:tabs>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февраля 1942 снова бомбили ж.д. узел Смоленск:</w:t>
      </w:r>
    </w:p>
    <w:p w14:paraId="42B13847"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командир корабля полковник Алексеев, штурман майор Лебедев в 23.15 5.2.42 г. стартовал с аэродрома Ковров для бомбардирования ж.д. узла г. Смоленск. В 01.17-01.30 с высоты 5200 метров на цель сброшены двадцать четыре ФАБ- 100 и четыре ФАБ-250. Бомбы сброшены в два захода, две серии - прицельно.</w:t>
      </w:r>
    </w:p>
    <w:p w14:paraId="23C8DF26"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1-й заход с курсом 235° сброшена серия из двенадцать бомб. Серией перекрыта вся ширина ж.д. узла. Разрывы всех двенадцати бомб экипаж наблюдал на путях, на которых стояли эшелоны.</w:t>
      </w:r>
    </w:p>
    <w:p w14:paraId="6C258919"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Разрывами бомб на путях вызваны два сильных взрыва с кратковременными пожарами.</w:t>
      </w:r>
    </w:p>
    <w:p w14:paraId="77096B2E"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Второй заход с курсом 130° сброшена серия из шестнадцати бомб. Наблюдали разрывы четырех бомб на путях западной части узла, остальные двенадцать бомб легли в городе к югу от ж.д. узла и до центра. Наблюдали прямое попадание бомб в дома, в результате, в городе возникло два очага пожара, один пожар огромных размеров.</w:t>
      </w:r>
    </w:p>
    <w:p w14:paraId="3F61C184"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Степень разрушения путей и поражения эшелонов экипаж не смог установить ночью с большой высоты.</w:t>
      </w:r>
    </w:p>
    <w:p w14:paraId="2449BDE5"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районах Смоленск, Ярцево сброшено 50 тыс. листовок.</w:t>
      </w:r>
    </w:p>
    <w:p w14:paraId="3C06C4F8"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Противодействие ПВО</w:t>
      </w:r>
      <w:proofErr w:type="gramStart"/>
      <w:r w:rsidRPr="008127F8">
        <w:rPr>
          <w:color w:val="000000" w:themeColor="text1"/>
          <w:sz w:val="16"/>
          <w:szCs w:val="16"/>
        </w:rPr>
        <w:t>: Над</w:t>
      </w:r>
      <w:proofErr w:type="gramEnd"/>
      <w:r w:rsidRPr="008127F8">
        <w:rPr>
          <w:color w:val="000000" w:themeColor="text1"/>
          <w:sz w:val="16"/>
          <w:szCs w:val="16"/>
        </w:rPr>
        <w:t xml:space="preserve"> целью с-т был встречен огнем ЗА крупного и малого калибра, который вели до 25 огневых зенитных точек.</w:t>
      </w:r>
    </w:p>
    <w:p w14:paraId="6ABF4292"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ЗА малого калибра вела огонь трассирующими снарядами с территории, прилегающей к ж.д. узлу и из города. ЗА крупного калибра до батареи вела огонь со стороны северного аэродрома. Огонь был большой интенсивности. Разрывы снарядов наблюдали ниже самолета.</w:t>
      </w:r>
    </w:p>
    <w:p w14:paraId="4669CB22"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Во время бомбометания со стороны северного аэродрома со встречным с встречным курсом прошел истребитель с зажженными огнями.</w:t>
      </w:r>
    </w:p>
    <w:p w14:paraId="63A2A700"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Тип не установлен.</w:t>
      </w:r>
    </w:p>
    <w:p w14:paraId="71ED880F"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При полете к цели южнее Сычевка Н=4500 м по самолету вела огонь малокалиберная ЗА.</w:t>
      </w:r>
    </w:p>
    <w:p w14:paraId="40899837"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Наблюдением экипажа установлено: по дороге от Ярцево на запад движение автотранспорта большими группами. Западнее Вязьма интенсивный артогонь наземной артиллерии.</w:t>
      </w:r>
    </w:p>
    <w:p w14:paraId="79A15E0D"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w:t>
      </w:r>
      <w:proofErr w:type="gramStart"/>
      <w:r w:rsidRPr="008127F8">
        <w:rPr>
          <w:color w:val="000000" w:themeColor="text1"/>
          <w:sz w:val="16"/>
          <w:szCs w:val="16"/>
        </w:rPr>
        <w:t>: На</w:t>
      </w:r>
      <w:proofErr w:type="gramEnd"/>
      <w:r w:rsidRPr="008127F8">
        <w:rPr>
          <w:color w:val="000000" w:themeColor="text1"/>
          <w:sz w:val="16"/>
          <w:szCs w:val="16"/>
        </w:rPr>
        <w:t xml:space="preserve"> маршруте и над целью ясно, видимость хорошая. Прогноз погоды оправдался.</w:t>
      </w:r>
    </w:p>
    <w:p w14:paraId="3EA22464"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При обратном полете, не доходя линии фронта, четвертый мотор был выключен из-за падения давления масла до нуля. В 2ч 10 м началась тряска мотора, через 10 минут мотор начал гореть внутри.</w:t>
      </w:r>
    </w:p>
    <w:p w14:paraId="6D5AD9FB"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2 ч. 40 м командир принял решение садиться на аэродроме Монино, но постепенно пожар стал стихать и прекратился. Командир корабля решил идти на свой аэродром.</w:t>
      </w:r>
    </w:p>
    <w:p w14:paraId="5169613A"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4ч 30 м произведена посадка на своем аэродроме благополучно.</w:t>
      </w:r>
    </w:p>
    <w:p w14:paraId="52C3CF67" w14:textId="77777777" w:rsidR="00391210" w:rsidRPr="008127F8" w:rsidRDefault="0039121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Материальная часть неисправна. Мотор вышел из строя. Потерь нет (19105).</w:t>
      </w:r>
    </w:p>
    <w:p w14:paraId="3CF87A62" w14:textId="77777777" w:rsidR="00391210" w:rsidRPr="008127F8" w:rsidRDefault="00391210" w:rsidP="001E0A84">
      <w:pPr>
        <w:pStyle w:val="31b"/>
        <w:shd w:val="clear" w:color="auto" w:fill="auto"/>
        <w:spacing w:after="0" w:line="240" w:lineRule="auto"/>
        <w:jc w:val="both"/>
        <w:rPr>
          <w:rFonts w:ascii="Times New Roman" w:hAnsi="Times New Roman" w:cs="Times New Roman"/>
          <w:color w:val="000000" w:themeColor="text1"/>
          <w:sz w:val="16"/>
          <w:szCs w:val="16"/>
        </w:rPr>
      </w:pPr>
    </w:p>
    <w:p w14:paraId="237BE4E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в Бузлуке (СССР) создан 1-й Чехословацкий пехотный батальон под командованием Людвига Свободы (4962).</w:t>
      </w:r>
    </w:p>
    <w:p w14:paraId="63087F6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D63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1942 в Бузулуке был создан 1-й отдельный Чехословацкий пехотный батальон под командованием Людвига Свободы (3186).</w:t>
      </w:r>
    </w:p>
    <w:p w14:paraId="14BB46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6ED71"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февраля</w:t>
      </w:r>
      <w:r w:rsidRPr="008127F8">
        <w:rPr>
          <w:rFonts w:ascii="Times New Roman" w:hAnsi="Times New Roman"/>
          <w:color w:val="000000" w:themeColor="text1"/>
          <w:sz w:val="16"/>
          <w:szCs w:val="16"/>
        </w:rPr>
        <w:t xml:space="preserve"> в 1942 году в городе Бузулук началось формирование 1-го отдельного Чехословацкого пехотного батальона (подполковник Людвиг Свобода) (15031).</w:t>
      </w:r>
    </w:p>
    <w:p w14:paraId="265006D5"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6722D9BE"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февраля</w:t>
      </w:r>
      <w:r w:rsidRPr="008127F8">
        <w:rPr>
          <w:rFonts w:ascii="Times New Roman" w:hAnsi="Times New Roman"/>
          <w:color w:val="000000" w:themeColor="text1"/>
          <w:sz w:val="16"/>
          <w:szCs w:val="16"/>
        </w:rPr>
        <w:t xml:space="preserve"> в 1942 году немецкие войска контратаковали в районе Ржева и полуокружили 29 армию Западного фронта (15031).</w:t>
      </w:r>
    </w:p>
    <w:p w14:paraId="3F0828FD"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52A88639"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5 февраля 1941 г. (приказ НКО №049) в ВВС КА обучение летчиков- истребителей осуществляли военные авиационные шко</w:t>
      </w:r>
      <w:r w:rsidRPr="008A2E5A">
        <w:rPr>
          <w:rFonts w:ascii="Times New Roman" w:hAnsi="Times New Roman"/>
          <w:color w:val="0070C0"/>
          <w:sz w:val="16"/>
          <w:szCs w:val="16"/>
        </w:rPr>
        <w:softHyphen/>
        <w:t>лы пилотов (ВАШП): Качинская Краснознаменная име</w:t>
      </w:r>
      <w:r w:rsidRPr="008A2E5A">
        <w:rPr>
          <w:rFonts w:ascii="Times New Roman" w:hAnsi="Times New Roman"/>
          <w:color w:val="0070C0"/>
          <w:sz w:val="16"/>
          <w:szCs w:val="16"/>
        </w:rPr>
        <w:softHyphen/>
        <w:t>ни А.Ф. Мясникова, Чугуевская, Батайская имени Серо</w:t>
      </w:r>
      <w:r w:rsidRPr="008A2E5A">
        <w:rPr>
          <w:rFonts w:ascii="Times New Roman" w:hAnsi="Times New Roman"/>
          <w:color w:val="0070C0"/>
          <w:sz w:val="16"/>
          <w:szCs w:val="16"/>
        </w:rPr>
        <w:softHyphen/>
        <w:t>ва, Сталинградская имени Сталинградского Краснозна</w:t>
      </w:r>
      <w:r w:rsidRPr="008A2E5A">
        <w:rPr>
          <w:rFonts w:ascii="Times New Roman" w:hAnsi="Times New Roman"/>
          <w:color w:val="0070C0"/>
          <w:sz w:val="16"/>
          <w:szCs w:val="16"/>
        </w:rPr>
        <w:softHyphen/>
        <w:t>менного пролетариата, Борисоглебская Краснознамен</w:t>
      </w:r>
      <w:r w:rsidRPr="008A2E5A">
        <w:rPr>
          <w:rFonts w:ascii="Times New Roman" w:hAnsi="Times New Roman"/>
          <w:color w:val="0070C0"/>
          <w:sz w:val="16"/>
          <w:szCs w:val="16"/>
        </w:rPr>
        <w:softHyphen/>
        <w:t xml:space="preserve">ная имени В.П. Чкалова, Одесская, Конотопская имени П. Осипенко, Черниговская, Армавирская, Краснодарская, Фастовская, </w:t>
      </w:r>
      <w:r w:rsidRPr="008A2E5A">
        <w:rPr>
          <w:rFonts w:ascii="Times New Roman" w:hAnsi="Times New Roman"/>
          <w:color w:val="0070C0"/>
          <w:sz w:val="16"/>
          <w:szCs w:val="16"/>
        </w:rPr>
        <w:lastRenderedPageBreak/>
        <w:t>Херсонская, Егорьевская, Остафьевская, Ульяновская, Цнорис-Цхалинская, Забайкальская, Хорольская, Бирмская и Тбилисская. Из-за позднего посту</w:t>
      </w:r>
      <w:r w:rsidRPr="008A2E5A">
        <w:rPr>
          <w:rFonts w:ascii="Times New Roman" w:hAnsi="Times New Roman"/>
          <w:color w:val="0070C0"/>
          <w:sz w:val="16"/>
          <w:szCs w:val="16"/>
        </w:rPr>
        <w:softHyphen/>
        <w:t>пления в ВВС учебно-боевых Як-7 большая часть из этих школ новой материальной части не получила. Только Бо</w:t>
      </w:r>
      <w:r w:rsidRPr="008A2E5A">
        <w:rPr>
          <w:rFonts w:ascii="Times New Roman" w:hAnsi="Times New Roman"/>
          <w:color w:val="0070C0"/>
          <w:sz w:val="16"/>
          <w:szCs w:val="16"/>
        </w:rPr>
        <w:softHyphen/>
        <w:t>рисоглебская, Сталинградская и Чугуевская ВАШП при</w:t>
      </w:r>
      <w:r w:rsidRPr="008A2E5A">
        <w:rPr>
          <w:rFonts w:ascii="Times New Roman" w:hAnsi="Times New Roman"/>
          <w:color w:val="0070C0"/>
          <w:sz w:val="16"/>
          <w:szCs w:val="16"/>
        </w:rPr>
        <w:softHyphen/>
        <w:t>ступили к переучиванию курсантов с истребителей И-16 на истребители новых типов согласно разработанной и утвержденной в августе 1941 г. программе (23381).</w:t>
      </w:r>
    </w:p>
    <w:p w14:paraId="2632262E" w14:textId="77777777" w:rsidR="009E31D1" w:rsidRPr="008A2E5A" w:rsidRDefault="009E31D1" w:rsidP="009E31D1">
      <w:pPr>
        <w:spacing w:after="0" w:line="240" w:lineRule="auto"/>
        <w:jc w:val="both"/>
        <w:rPr>
          <w:rFonts w:ascii="Times New Roman" w:hAnsi="Times New Roman"/>
          <w:color w:val="0070C0"/>
          <w:sz w:val="16"/>
          <w:szCs w:val="16"/>
        </w:rPr>
      </w:pPr>
    </w:p>
    <w:p w14:paraId="371939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1941 собрался Горьковский комитет обороны. После длительного обсуждения и гневных выпадов в сторону противовоздушной обороны было принято специальное постановление № 165, в котором отмечалось, что  «в результате преступной беспечности и неоперативности дежурного по дивизионному району ПВО капитана Коробицкого и ослабления бдительности постов ВНОС в ночь с 3 на 4 февраля с. г. вражескому самолету удалось пробраться незамеченным к городу и сбросить бомбы на автозавод им. Молотова».  Однако этим дело не ограничилось, и подробности налета стали известны самому товарищу Сталину. Через два дня – 6 февраля – последовал приказ НКО № 129 «О безнаказанном пропуске бомбардировщика противника к г. Горький». Согласно ему командующий горьковским дивизионным районом ПВО В.М. Добрянский, а также военком батальонный комиссар Д.П. Егоров и начштаба подполковник В.В. Савко были арестованы на 10 суток с удержанием 50% довольствия за эти дни. Таким образом, наказание было приравнено к дебошу в ресторане, с дракой и битьем посуды. Серьезно пострадал лишь «стрелочник», оперативный дежурный на КП района капитан А.И. Коробицкий, который был отстранен от должности и предан суду военного трибунала. Командующий ПВО территории страны генерал-лейтенант Громадин получил предупреждение за недостаточный контроль боевой готовности средств ПВО Горького. Видимо, подобный «щелчок по носу», полученный от товарища Сталина, заставил Громадина уже тогда задуматься о замене полковника Добрянского на более опытного и надежного командира, но этот вопрос был решен им не сразу. Помимо наказания виновных, в упомянутом приказе отмечалось, что имели место многочисленные случаи, когда экипажи советских самолетов при полетах над своей территорией не соблюдали установленных маршрутов, особенно ночью. Хватало и полетов без каких-либо заявок и согласований, по принципу «где хочу, там и летаю». Все это затрудняло обнаружение самолетов противника, которые нередко принимались за свои, а свои – за немецкие с последующим обстрелом последних. Отныне недисциплинированных летунов было решено предавать суду военного трибунала. В приказе № 129 также оговаривались условия подачи заявок на пролет и устанавливалось право вылета без оных лишь для истребителей ПВО. К15 марта начальник связи Красной Армии должен был установить на каждый день единую радиоволну для взаимодействия между ВВС и ПВО. На ней потерявший ориентировку экипаж должен был донести о случившемся оперативному дежурному района ПВО, который по данным постов ВНОС должен был сообщить незадачливым пилотам их местонахождение. На этой же волне рекомендовалось выходить на связь летунам, попавшим под огонь зениток либо атакованным своими же истребителями. В свою очередь, истребители-перехватчики отныне должны были принуждать к посадке летящие неправильным маршрутом самолеты, а при неподчинении – открывать по ним огонь. Командующие районами ПВО получили приказ пересмотреть состав оперативных дежурных и назначать на этот пост знающих, распорядительных и ответственных командиров (11774).</w:t>
      </w:r>
    </w:p>
    <w:p w14:paraId="5DAD36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A5DF5" w14:textId="77777777" w:rsidR="00A867FD"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39363A8" w14:textId="77777777" w:rsidR="00A867FD" w:rsidRPr="008127F8" w:rsidRDefault="00A867FD"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31433"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февраля</w:t>
      </w:r>
      <w:r w:rsidRPr="008127F8">
        <w:rPr>
          <w:rFonts w:ascii="Times New Roman" w:hAnsi="Times New Roman"/>
          <w:color w:val="000000" w:themeColor="text1"/>
          <w:sz w:val="16"/>
          <w:szCs w:val="16"/>
        </w:rPr>
        <w:t xml:space="preserve"> в 1942 году состоялся второй и последний полет экспериментального самолета </w:t>
      </w:r>
      <w:hyperlink r:id="rId46" w:tgtFrame="_blank" w:history="1">
        <w:r w:rsidRPr="008127F8">
          <w:rPr>
            <w:rFonts w:ascii="Times New Roman" w:hAnsi="Times New Roman"/>
            <w:color w:val="000000" w:themeColor="text1"/>
            <w:sz w:val="16"/>
            <w:szCs w:val="16"/>
          </w:rPr>
          <w:t xml:space="preserve">«Lioré et Olivier» «LeO-48» </w:t>
        </w:r>
      </w:hyperlink>
      <w:r w:rsidRPr="008127F8">
        <w:rPr>
          <w:rFonts w:ascii="Times New Roman" w:hAnsi="Times New Roman"/>
          <w:color w:val="000000" w:themeColor="text1"/>
          <w:sz w:val="16"/>
          <w:szCs w:val="16"/>
        </w:rPr>
        <w:t>, после чего решили программу испытаний закрыть, а самолёт отправить на слом (15031).</w:t>
      </w:r>
    </w:p>
    <w:p w14:paraId="7C0ABF24"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4353C762" w14:textId="77777777" w:rsidR="00D50E3B" w:rsidRPr="008127F8" w:rsidRDefault="00D50E3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февраля</w:t>
      </w:r>
      <w:r w:rsidRPr="008127F8">
        <w:rPr>
          <w:rFonts w:ascii="Times New Roman" w:hAnsi="Times New Roman"/>
          <w:color w:val="000000" w:themeColor="text1"/>
          <w:sz w:val="16"/>
          <w:szCs w:val="16"/>
        </w:rPr>
        <w:t xml:space="preserve"> в 1942 году принята на вооружение летающая лодка разведчик </w:t>
      </w:r>
      <w:hyperlink r:id="rId47" w:tgtFrame="_blank" w:history="1">
        <w:r w:rsidRPr="008127F8">
          <w:rPr>
            <w:rFonts w:ascii="Times New Roman" w:hAnsi="Times New Roman"/>
            <w:color w:val="000000" w:themeColor="text1"/>
            <w:sz w:val="16"/>
            <w:szCs w:val="16"/>
          </w:rPr>
          <w:t xml:space="preserve">«Kawanishi» </w:t>
        </w:r>
      </w:hyperlink>
      <w:r w:rsidRPr="008127F8">
        <w:rPr>
          <w:rFonts w:ascii="Times New Roman" w:hAnsi="Times New Roman"/>
          <w:color w:val="000000" w:themeColor="text1"/>
          <w:sz w:val="16"/>
          <w:szCs w:val="16"/>
        </w:rPr>
        <w:t>H8K под обозначением Н8К1 тип 2 модель 11, конструктор доктор Шидзуо Кикухара (15031).</w:t>
      </w:r>
    </w:p>
    <w:p w14:paraId="0014C576" w14:textId="77777777" w:rsidR="00D50E3B" w:rsidRPr="008127F8" w:rsidRDefault="00D50E3B" w:rsidP="001E0A84">
      <w:pPr>
        <w:spacing w:after="0" w:line="240" w:lineRule="auto"/>
        <w:jc w:val="both"/>
        <w:rPr>
          <w:rFonts w:ascii="Times New Roman" w:hAnsi="Times New Roman"/>
          <w:color w:val="000000" w:themeColor="text1"/>
          <w:sz w:val="16"/>
          <w:szCs w:val="16"/>
        </w:rPr>
      </w:pPr>
    </w:p>
    <w:p w14:paraId="37E7DE9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(по другим данным - 4 марта) 1942 второй ХР-63, почти идентичный предшественнику, вывели на испытания. Он «прожил» немного дольше первого: 25 мая в полёте разрушился клапанный механизм двигателя. По другим сведениям - произошёл обрыв шатуна, что для «Аллисона» было довольно типично. Пилоту удалось спастись (12265).</w:t>
      </w:r>
    </w:p>
    <w:p w14:paraId="55530C77"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6E120EE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5D21C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0A0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Шенкман писал Дементьеву письмо N 191:</w:t>
      </w:r>
    </w:p>
    <w:p w14:paraId="353A5D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Вашим устным заявлением о возможной необходимости устанавливать на самолетах Ил-2 пушки ШВАК в крыле, подготовленном к установке пушек ВЯ, считаю необходимым ознакомить Вас с объемом связанных с этим работ:</w:t>
      </w:r>
    </w:p>
    <w:p w14:paraId="1B14E8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Изготовить и установить в крыле совершенно новых 11 узлов</w:t>
      </w:r>
    </w:p>
    <w:p w14:paraId="0C1911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Восстановить в изготовлении 73 узла и детали крепления пушек</w:t>
      </w:r>
    </w:p>
    <w:p w14:paraId="38B1DC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Освоить монтаж новой установки в крыльевом и сборочном цехах</w:t>
      </w:r>
    </w:p>
    <w:p w14:paraId="1A5B59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Организовать на заводе 1 Оргавиапрома производство лафетов для пушек</w:t>
      </w:r>
    </w:p>
    <w:p w14:paraId="3D9372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Изготавливать и прилагать к каждому изготавливаемому самолету Ил-2 узлы, детали, проводку и лафеты ВЯ для возможного перехода на ВЯ в в/ч</w:t>
      </w:r>
    </w:p>
    <w:p w14:paraId="5C9FD5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Перечисленные изменения нарушают нормальную работу и безусловно сорвут график выпуска изделий в цехах литейном, слесарно-сварочном, механическом и сборочном.</w:t>
      </w:r>
    </w:p>
    <w:p w14:paraId="7AD38C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как показал нам опыт, много времени уйдет на отладку питания пушек при опробовании их в тире ЛИС</w:t>
      </w:r>
    </w:p>
    <w:p w14:paraId="20BB62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вместе взятое не только ставит под угрозу нормальный рост завода по выпуску машин, но угрожает сорвать работу завода на продолжительное время.</w:t>
      </w:r>
    </w:p>
    <w:p w14:paraId="4FC2CA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вышеизложенного прошу Вашего распоряжения не вводить изменений в существующее вооружение на машине Ил-2, изготавливаемой на заводе 18 и закрепить за ним установку только ВЯ (1680,9).</w:t>
      </w:r>
    </w:p>
    <w:p w14:paraId="7ED888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6DD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Зам. НКАП М.В.Дементьев писали письмо N И-1/368 Нач. 1 и 10 ГУ НКАП А.Д.Шиц и Б.Н.Тарасевичу:</w:t>
      </w:r>
    </w:p>
    <w:p w14:paraId="26701E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от 20 января с.г. N 1178с и приказом по НКАП от 21 января с.г. N 55 предлагается считать товарным выпуском только самолеты после их облета и признания годными к бою для отправки на фронт.</w:t>
      </w:r>
    </w:p>
    <w:p w14:paraId="3654F8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выпущенные из сборки, но необлетанные самолеты, должны считаться незавершенным производством." (2493,35).</w:t>
      </w:r>
    </w:p>
    <w:p w14:paraId="74C7C4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974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второй экз. планёра БДП - БДП-2, достроенный в Новосибирске, куда был эвакуирован авиазавод № 51 и КБ Поликарпова, поступил для летных испытаний в филиал ЛИИ. Летал И. И. Шелест. Конструкция БДП-2 была усилена по сравнению с первым экземпляром, соответственно несколько возрос вес. Изменился и внешний облик. Фонарь пилота был теперь выполнен со ступенчатым козырьком, некоторые элементы были упрощены, в частности, задняя кромка рулей поворота и высоты была выполнена из стальной проволоки, как это делалось на заре авиастроения.</w:t>
      </w:r>
    </w:p>
    <w:p w14:paraId="674D03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БДП-2 проводились на лыжах и длились до 14 марта 1942 г. В этот период проводились мероприятия по уменьшению бафтинга хвостового оперения. В некоторой степени эту проблему удалось решить, прорезав в щитках ряд отверстий, которые уменьшали возмущенность потока. В Заключении по результатам испытаний в очередной раз отмечалась простота пилотирования БДП-2, большая полезная нагрузка, достаточная маневренность и устойчивость относительно всех осей при большом диапазоне центровок (27 - 41 %). Планёр рекомендовался к запуску в серийное производство (4540).</w:t>
      </w:r>
    </w:p>
    <w:p w14:paraId="107DE0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BD3EC" w14:textId="77777777" w:rsidR="000A22B4" w:rsidRPr="008127F8" w:rsidRDefault="000A22B4"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С 6 февраля по 14 марта 1942 года планер БДП проходил испытания, по окончании которых была выдана рекомендация строить такие планеры серийно. Выданный заказ на 100 БДП-2 выполнен не был. Производство посчитали слишком дорогим и в июле 1942 года планер передали для эксплуатации в рядах Аэрофлота. БДП-2 летал на буксире за самолётом ПС-40 по маршруту Новосибирск-Омск-Свердловск и обратно. Предполагалось построить серию таких аппаратов для гражданской авиации, но 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546DD20F" w14:textId="77777777" w:rsidR="000A22B4" w:rsidRPr="008127F8" w:rsidRDefault="000A22B4" w:rsidP="001E0A84">
      <w:pPr>
        <w:spacing w:after="0" w:line="240" w:lineRule="auto"/>
        <w:jc w:val="both"/>
        <w:rPr>
          <w:rFonts w:ascii="Times New Roman" w:hAnsi="Times New Roman"/>
          <w:color w:val="000000" w:themeColor="text1"/>
          <w:sz w:val="16"/>
          <w:szCs w:val="16"/>
          <w:shd w:val="clear" w:color="auto" w:fill="FFFFFF"/>
        </w:rPr>
      </w:pPr>
    </w:p>
    <w:p w14:paraId="142074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года вышел приказ НКАП № 100с, согласно которому завод № 266 стал базой для создания № 284 и должен был выделить оборудование, оснастку, рабсилу и ИТР (9488).</w:t>
      </w:r>
    </w:p>
    <w:p w14:paraId="3C28C1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61A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на заводе № 284 (Завод № 284 НКАП, МАП, Сарапульский электрогенераторный завод (СЭГЗ), Сарапульское электрогенераторное ПО, ОАО «СЭГЗ» /Удмуртия 427900  г. Сарапул ул. Электрозаводская, 15 тел. 34-415/ /Московское представительство:  г. Москва ул. Б. Новодмитровская, 12 тел. 285-94-06; ул. Бутырская, 86Б тел. 257-99-46/) было организовано дублирующее производство электроагрегатов, для чего в помощь заводу с завода № 266 и ОКБ-266 переведено необходимое оборудование, группа ИТР и рабочих.</w:t>
      </w:r>
    </w:p>
    <w:p w14:paraId="5387AB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годы войны выпущено 31.244 комплекта авиационных генераторов.</w:t>
      </w:r>
    </w:p>
    <w:p w14:paraId="16BB51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поставлено 505 трофейных металлорежущих станков.</w:t>
      </w:r>
    </w:p>
    <w:p w14:paraId="2B3AF1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7.05.1946 г. завод передан из 4ГУ во 2ГУ МАП. В соответствии с пост. СМ СССР № 713-342 от 26.06.1957 г. передан в ведение СНХ РСФСР.</w:t>
      </w:r>
    </w:p>
    <w:p w14:paraId="0F5B76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1958 г. предприятие выпускало только авиационные генераторы и пускорегулирующую аппаратуру, с 1959 г.- производство авиационных бортовых систем электроснабжения.</w:t>
      </w:r>
    </w:p>
    <w:p w14:paraId="42E1DB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D9E15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авиационные бортовые системы электроснабжения (генераторы: переменного тока с воздушным и жидкостным охлаждением, постоянного тока; электродвигатели, статические и электромашинные преобразователи, выпрямители, трансформаторы, риуляторы напряжения, фильтры радиопомех, двигательная автоматика, светотехнические приборы наружного и внутреннего освещения, аэронавигационные огни); гидравлические рулевые приводы для РКТ.</w:t>
      </w:r>
    </w:p>
    <w:p w14:paraId="64A454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дочерние предприятия (2002 г.)- ООО «Стимул», ЗАО «ЭГЗ-Механик», ЗАО «ЭГЗ-Тепломонтаж», ЗАО «ЭГЗ-Техприбор», АОЗТ «ЭГЗ-Авто», ЗАО «Инструментальное производство», ЗАО «Импульс», ОАО «Термакс», ЗАО «Санвент».</w:t>
      </w:r>
    </w:p>
    <w:p w14:paraId="0F4627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2004 г. входило в состав НПЦ «Технокомплекс». В 2005 г. входило в состав Научно-производственного холдинга «Аэроэлектромаш».</w:t>
      </w:r>
    </w:p>
    <w:p w14:paraId="11780B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около 10.000 чел.</w:t>
      </w:r>
    </w:p>
    <w:p w14:paraId="456EF4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Федоров, (05.1945 г.)- Чистяков, (1959-82 г.)- Ю. Г. Левиатов {21.01.1915-}, (1982 г.-)- Е.П. Сторонкин. Гендиректор (-1997-2005 г.)- Е.П. Сторонкин, (2005 г.-)- С.В. Мусинов.</w:t>
      </w:r>
    </w:p>
    <w:p w14:paraId="4CB5AE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С.В. Мусинов. Зам. гендиректора по маркетингу (2002 г.)- Н.А. Кощеев.</w:t>
      </w:r>
    </w:p>
    <w:p w14:paraId="70F78F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экономике (2002 г.)- А.В. Золотарев; технический (-2002-05 г.-)- В.Ю. Суров; по ВЭД (2005 г.)- А.В. Золотарев; коммерческий (2005 г.)- С.В. Домников; по персоналу (2002 г.)- А.К. Устюгов.</w:t>
      </w:r>
    </w:p>
    <w:p w14:paraId="644BE7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(-1960 г.)- И.А. Романенко.</w:t>
      </w:r>
    </w:p>
    <w:p w14:paraId="4EFCDE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И.А. Романенко.</w:t>
      </w:r>
    </w:p>
    <w:p w14:paraId="560245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И.А. Романенко.</w:t>
      </w:r>
    </w:p>
    <w:p w14:paraId="302F54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реализации (2005 г.)- В.А. Килин.</w:t>
      </w:r>
    </w:p>
    <w:p w14:paraId="22D9BD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электрогенераторы ГС-1000, ГС-32-1000 (1944); электрокары, сварочные агрегаты, автономные источники питания, водогрейные электрокотлы, теплосчетчики (2002) (11982).</w:t>
      </w:r>
    </w:p>
    <w:p w14:paraId="163A255C" w14:textId="77777777" w:rsidR="0087221D" w:rsidRPr="008127F8" w:rsidRDefault="0087221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809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вышел приказ НКАП № 102с:</w:t>
      </w:r>
    </w:p>
    <w:p w14:paraId="626451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прокладками группы уральских з-в НКАП:</w:t>
      </w:r>
    </w:p>
    <w:p w14:paraId="3DA041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 з-да 307 С.А.Глинкину организовать филиал з-да 307 в г. Уфе на базе складских помещений Башсоюза</w:t>
      </w:r>
    </w:p>
    <w:p w14:paraId="47FC0D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(1536, 3).</w:t>
      </w:r>
    </w:p>
    <w:p w14:paraId="2B908C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81C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по приказу № 102с от на площадке складов Башсоюза организован филиал завода № 307 2ГУ НКАП для производства прокладок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  г. Уфа ул. Володарского, 2 тел. 24-29-00/). Необходимое оборудование и кадры (30 чел.) были направлены с заводов № 307 и № 26 НКАП. 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(Уфимский штамповочный завод) в системе 4ГУ НКАП. Летом 1943 г. заводу в качестве производственного корпуса было выделено здание республиканской типографии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там размещался штамповочный цех). В 12.1944 г. завод был перепрофилирован и переименован в агрегатный завод «Гидравлика», начато освоение выпуска масляного фильтра МФМ-25.</w:t>
      </w:r>
    </w:p>
    <w:p w14:paraId="11F79D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1948 г. началось производство трубопроводов и металлорукавов, с 1951 г. началось освоение производства </w:t>
      </w:r>
      <w:proofErr w:type="gramStart"/>
      <w:r w:rsidRPr="008127F8">
        <w:rPr>
          <w:rFonts w:ascii="Times New Roman" w:hAnsi="Times New Roman"/>
          <w:color w:val="000000" w:themeColor="text1"/>
          <w:sz w:val="16"/>
          <w:szCs w:val="16"/>
        </w:rPr>
        <w:t>топливо-масляных</w:t>
      </w:r>
      <w:proofErr w:type="gramEnd"/>
      <w:r w:rsidRPr="008127F8">
        <w:rPr>
          <w:rFonts w:ascii="Times New Roman" w:hAnsi="Times New Roman"/>
          <w:color w:val="000000" w:themeColor="text1"/>
          <w:sz w:val="16"/>
          <w:szCs w:val="16"/>
        </w:rPr>
        <w:t xml:space="preserve"> агрегатов для авиадвигателей.</w:t>
      </w:r>
    </w:p>
    <w:p w14:paraId="6366F9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07.1956 г. при заводе основано ОКБ.</w:t>
      </w:r>
    </w:p>
    <w:p w14:paraId="007C10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328894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1966 г. начат выпуск ВСУ.</w:t>
      </w:r>
    </w:p>
    <w:p w14:paraId="3CAC91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4355D1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в ведении ФАП.</w:t>
      </w:r>
    </w:p>
    <w:p w14:paraId="4E4276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66C175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26BA81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г.)- 4350 чел.</w:t>
      </w:r>
    </w:p>
    <w:p w14:paraId="5C078A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(-08.1942-01.1943 г.-)- С.А. Глинкин, (03.1946 г.)- Гутцайт. Гендиректор (1998 г.)- И. Хузин, (2002- 05 г.)- Н.Б. Пучнин, (2008 г.)- В.А. Новиков.</w:t>
      </w:r>
    </w:p>
    <w:p w14:paraId="284CEF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Арбитражный управляющий (1999 г.-)- Н.Б. Пучнин.</w:t>
      </w:r>
    </w:p>
    <w:p w14:paraId="2A96D8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производству (2002 г.)- Н.П. Дубасов.</w:t>
      </w:r>
    </w:p>
    <w:p w14:paraId="7801EC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В.Н. Дрозденко.</w:t>
      </w:r>
      <w:r w:rsidRPr="008127F8">
        <w:rPr>
          <w:rFonts w:ascii="Times New Roman" w:hAnsi="Times New Roman"/>
          <w:color w:val="000000" w:themeColor="text1"/>
          <w:sz w:val="16"/>
          <w:szCs w:val="16"/>
          <w:vertAlign w:val="superscript"/>
        </w:rPr>
        <w:t>69</w:t>
      </w:r>
    </w:p>
    <w:p w14:paraId="7CD65F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отдела конъюнктуры рынка и рекламы (2006 г.)-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 Башаров.</w:t>
      </w:r>
    </w:p>
    <w:p w14:paraId="471B24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 (11982).</w:t>
      </w:r>
    </w:p>
    <w:p w14:paraId="775F517D" w14:textId="77777777" w:rsidR="0087221D" w:rsidRPr="008127F8" w:rsidRDefault="0087221D"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62F2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40AF5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7D1560"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ИЗ СПРАВКИ О СОСТОЯНИИ РАБОТЫ С РУКОВОДЯЩИМИ КАДРАМИ НА КОМБИНАТЕ № 179, НАПРАВЛЕННОЙ СЕКРЕТАРЮ НОВОСИБИРСКОГО ОБКОМА ВКП(б) М.В. КУЛАГИНУ</w:t>
      </w:r>
    </w:p>
    <w:p w14:paraId="10A9C41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последние месяцы комбинат № 179 значительно пополнился инженерно-техническими кадрами. Если в 1-м полугодии 1941 года здесь работало 94 человека ИТР, то в январе 1942 года на комбинате работает 530 инженеров с высшим законченным образованием, 302 техника и 773 ИТР — практиков. Однако, из всего состава инженеров и техников, половина осела в аппаратах заводоуправлений и отделах комбината. Так, из 530 инженеров - 265 работают в отделах и 265 непосредственно на производстве в цехах, на участках. Из 302 человек техников в цехах работает всего 172 человека. К тому же многие инженеры и техники, находящиеся на работе в аппарате заводоуправлений и отделов, являются молодыми специалистами, недавно окончившими учебные заведения и не прошедшими школу практической работы непосредственно на производстве. Всего по комбинату таких молодых специалистов, работающих в управлениях и отделах, насчитывается свыше 70 человек. Далее следует отметить, что на большинстве заводов в числе ИТР находится высокий процент практиков, которые зачастую имеют низкий общеобразовательный и технический уровень знаний. По заводу № 4-а из 60 мастеров нет ни одного техника и только один инженер. В цехе № 6 завода № 1 из 17 человек сменных мастеров и 3-х старших мастеров всего два человека с техническим образованием. Аналогичную картину можно наблюдать и по другим заводам и цехам комбината. Наряду с большим численным ростом состава ИТР и в целом по комбинату за последние месяцы все же в связи с увеличением объема производства, и по отдельным заводам комбината ощущается острый недостаток в руководящих кадрах (мастерах, начальниках смен и других). Так, заводу № 187 не хватает ИТР свыше 300 человек, главным образом мастеров. В то же время некоторые отделы управления комбината оказались перенасыщенными инженерно-техническими кадрами, в особенности это относится к управлению строительства. Так, за январь 1942 года по строительному управлению было уволено 25 инженеров и 7 техников, оказавшихся как излишними для строительства. В этом же строительном управлении под предлогом так называемого резерва нередко крупные специалисты-строители используются не по своей специальности или на второстепенных малозначащих работах. Например, инженер-архитектор с 15-летним производственным стажем т. Лобанов прибыл на строительство для помощи и укрепления проектных работ, </w:t>
      </w:r>
      <w:proofErr w:type="gramStart"/>
      <w:r w:rsidRPr="008127F8">
        <w:rPr>
          <w:rFonts w:ascii="Times New Roman" w:hAnsi="Times New Roman"/>
          <w:color w:val="000000" w:themeColor="text1"/>
          <w:sz w:val="16"/>
          <w:szCs w:val="16"/>
        </w:rPr>
        <w:t>согласно решения</w:t>
      </w:r>
      <w:proofErr w:type="gramEnd"/>
      <w:r w:rsidRPr="008127F8">
        <w:rPr>
          <w:rFonts w:ascii="Times New Roman" w:hAnsi="Times New Roman"/>
          <w:color w:val="000000" w:themeColor="text1"/>
          <w:sz w:val="16"/>
          <w:szCs w:val="16"/>
        </w:rPr>
        <w:t xml:space="preserve"> правительства. Однако приказом начальника строительства был назначен десятником по строительству землянок. На участке, где начальником т. Чирков (1-я стройконтора), имеется 10 инженеров и техников, совершенно не загруженных работой, так как по объему работ (174 тысячи рублей) положено иметь максимум четыре человека (одного прораба и трех мастеров). Девять высокооплачиваемых работников числятся занятыми в транспортном отделе при управлении строительства, хотя необходимости в этом аппарате нет ввиду того, что весь транспорт сосредоточен при комбинате № 179, где он полностью распределяется по заводам и участкам. Работа по подбору, изучению и расстановке кадров на комбинате поставлена явно неудовлетворительно. Благодаря отсутствию работы по изучению кадров на комбинате и по заводам зачастую к выдвижению на руководящую работу подходили без надлежащей проверки и знания особенностей людей, без учета деловых качеств того или иного работника. Так, например, начальником цеха № 6 завода М? 1 работал т. Жуков, с работой не справлялся, не имеет организаторских способностей, не волевой командир производства. За все это Жуков был снят с поста начальника цеха </w:t>
      </w:r>
      <w:r w:rsidRPr="008127F8">
        <w:rPr>
          <w:rFonts w:ascii="Times New Roman" w:hAnsi="Times New Roman"/>
          <w:color w:val="000000" w:themeColor="text1"/>
          <w:sz w:val="16"/>
          <w:szCs w:val="16"/>
        </w:rPr>
        <w:lastRenderedPageBreak/>
        <w:t>№ 6 и, однако, направлен был опять начальником в аналогичный по роду работы цех № 4 завода 4-а, где также не справился с работой, за что вторично снят с работы и получил взыскание по партийной линии. Неоднократно назначался начальником цеха и снимался т. Карманов (завод N? 1) и другие. Отсутствие системы постепенного изучения работников по их деловым качествам, проявленным на работе, и, как следствие, полное отсутствие резерва для выдвижения на руководящую работу приводило на деле к частой смене руководящего состава и нанесло недопустимо большой вред производству. В особенности эта частая смена руководства имелась за время войны. Так, на заводе № 1 сменилось три директора (Балуев, Хайновский, Какунин), четыре главных инженера (Беркин, Балуев, Соломон, Шевелев), пять главных технологов (Абанов, Нелюбин, Зуйков, Каплунов и Жадан). В цехе № 5 этого завода сменилось четыре начальника цеха и четыре заместителя, в цехе № 6 - четыре начальника цеха, три старших бухгалтера, причем почти все они снимались как «не справившиеся с работой» или «не обеспечивающие руководства». Такая текучесть руководящих кадров не могла не сказаться на работе завода № 1. Завод систематически не выполняет государственных заданий, имеет большие простои оборудования и рабочей силы, низкую трудовую дисциплину. По цеху № 14 завода № 2 за время войны сменилось три начальника цеха, девять мастеров из имеющихся четырнадцати. На заводе № 5 за последние пять месяцев сменилось три директора (Ивашинников, Губанов, Шарков), а за восемь месяцев 1941 года сменилось шесть, за это же время сменилось также три главных инженера, десять начальников цехов и пятнадцать начальников отделов. Мастера и начальники участков в цехах сменяются так часто, что ни на заводе, ни в отделе кадров комбината нет о них сведений. Этому способствует и то, что каждое новое назначение начальника цеха или начальника отдела влечет за собой целый ряд бесцельных перемещений внутри цеха или отдела. Назначенный в декабре 1941 года начальник цеха № 53 т. Филиппов, работник завода № 65, с первых же дней своей работы заменил ряд руководящих работников (начальника ПРБ Чумбарова, начальника отделения Царегородцева, заведующего инструментальной кладовой Ви-харева, механика цеха Негина), их места заняли работники, переведенные с завода № 65 и других, откуда пришел сам Филиппов. Эти переброски не вызваны необходимостью соблюдения производственных интересов, работники были неплохие, и сейчас они в других цехах хорошо справляются с порученной работой. Цех же т. Филиппова резко ухудшил работу, выпуск продукции снизился на 10%. Подобный принцип подбора кадров имеет место и на других заводах комбината. На заводе № 2 начальник цеха № 14 т. Чичков с боем взял из цеха № 21 себе старшего мастера т. Шевеленко, который там проработал около двух лет и был на своем месте. В то же время в цехе № 14 был освобожден от должности старшего мастера т. Казначеев, который вполне соответствовал этому назначению по своим деловым качествам. Начальником цеха № 14 завода № 2, в целях ликвидации создавшегося там прорыва, был назначен молодой, энергичный, растущий специалист-инженер тов. Костин. Однако, проработав около одного месяца, тов. Костин приказом директора по комбинату был снят за допущенный недостаток в своей работе — ослабление трудовой дисциплины среди работающих.-Приказ был издан на основании одной летучей проверки по заводу главным диспетчером комбината т. Дебовым. Причем до издания приказа с т. Костиным никто не говорил, никто его не вызывал и не указал на его недостатки в работе, которые, возможно, были бы им быстро устранены. Без достаточных доводов также был снят с заместителя начальника цеха № 14 в октябре 1941 года тов. Перельман, который впоследствии вновь был назначен на эту должность. Нетерпимое отношение проявляется на комбинате к вопросу подбора и выдвижения центральной фигуры на производстве — мастерам. Их группами назначают и пачками снимают без должного разбора дела, изучения деловых качеств того или иного мастера. В 52[-м] цехе завода № 5 в одном приказе по заводу было сразу снято четыре человека с мастеров, которые впоследствии все были восстановлены и работают начальниками участков и неплохо справляются с этой работой. Причем, из этих четырех человек, двое (Муромцев, Зверьков) являются хорошими рационализаторами. 5. В стройконторе № 1 (строительный завод № 65) сменилось три начальника конторы. Все это тяжело отразилось на темпах строительства, где сорваны все правительственные сроки по пуску ТЭЦ. Характерно, что с мнением низовой парторганизации совершенно не считаются при снятии или назначении руководителя. Так было, когда партбюро ТЭЦ резко протестовало против снятия Лосицкого и назначения Петрашкова (протокол № 2 партбюро ТЭЦ). Частая смена руководителей без учета их деловых качеств приводила также нередко к тому, что отдельные люди за короткий промежуток времени успевали побывать на многих местах работы: тов. Демин (завод № 1) за время войны сменил пять должностей: был заместителем начальника цеха, с работой справлялся. Затем выдвинут на должность начальника цеха, через три недели с этой должности был снят как не справившийся с работой, после чего направлен на работу технолога, а через месяц назначен старшим технологом. Наконец, через две недели опять назначен заместителем начальника цеха № 2. тов. Черных, мастера цеха № 3 завода № 1, за декабрь месяц 1941 года перебрасывали с одного участка на другой четыре раза. Он за это время был начальником смены, старшим и сменным мастером на различных участках работы завода. Наркомом был послан для укрепления финансово-счетного аппарата на строительстве т. Батенин, который, имея высшее образование, до этого в течение 10 лет работал главным бухгалтером завода № 58. Прибыв на строительство, т. Батенин сменил уже шесть второстепенных должностей, зарекомендовав себя как серьезный, знающий дело работник, но, несмотря и на то, что бухгалтерией руководят люди, не имеющие специального образования и достаточного опыта, Батенин используется неправильно. Негодная практика по работе с кадрами выражалась и в том, что отдельные руководители комбината № 179 вместо кропотливой воспитательной работы с кадрами, их обучения, выращивания (Шевелев, главный инженер завода № 1) действовали зачастую методами администрирования, запугивания, вынесением множества взысканий и т.д. Такое положение порождает у многих руководителей неуверенность в работе, сковывает их силы и способности, создает боязнь за то, что их завтра все равно снимут с того или иного поста. Подобное толкование высказывали товарищи Костин, Ивашинников, Постников, Агеев и многие другие. Начальник цеха № 52 завода № 5 т. Мышков за короткий промежуток времени, за 3-4 месяца, уже получил четыре взыскания, из них — три выговора и один строгий выговор. Одним из серьезных недостатков в работе с кадрами комбината № 179 следует отметить слабое выдвижение на руководящую работу женщин. На комбинате нет ни одной женщины, которая работала бы начальником цеха, а также весьма редким явлением можно встретить, когда женщина работает мастером, бригадиром. Однако на комбинате для выдвижения, выращивания командиров производства среди женщин имеются все возможности: есть резервы, есть кадры для обучения и воспитания. Секретарь Новосибирского обкома ВКП(б) Ф. Прасс</w:t>
      </w:r>
    </w:p>
    <w:p w14:paraId="5BD47361"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ГЛНО. Ф. П-4. Оп. 6. Д. 471. Л. 30-36. Подлинник.</w:t>
      </w:r>
    </w:p>
    <w:p w14:paraId="005B45F4"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Подпись-автограф. В верхнем углу слева резолюция: «Т. Семину. Подготовить проект решения к 4 марта» (12159).</w:t>
      </w:r>
    </w:p>
    <w:p w14:paraId="489762D4"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72B739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была подготовлена ДОКЛАДНАЯ ЗАПИСКА ВОЕННОГО КОМИССАРА ГАБТУ КА В НКТП В СВЯЗИ С ПОЛОМКОЙ КОРОБОК ПЕРЕДАЧ ТАНКОВ «КВ» В 80-й ТАНКОВОЙ БРИГАДЕ</w:t>
      </w:r>
    </w:p>
    <w:p w14:paraId="7A3547C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донесению Брянского фронта от 6.02.1942 г. в 80-й танковой бригаде вышло из строя шесть коробок перемены передач танков «КВ». 8.02.1942 г. на место была выслана комиссия ГАБТУ КА для установления причин поломок.</w:t>
      </w:r>
    </w:p>
    <w:p w14:paraId="6910917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донесла, что причиной поломок явилась недоброкачественная термическая обработ</w:t>
      </w:r>
      <w:r w:rsidRPr="008127F8">
        <w:rPr>
          <w:rFonts w:ascii="Times New Roman" w:hAnsi="Times New Roman"/>
          <w:color w:val="000000" w:themeColor="text1"/>
          <w:sz w:val="16"/>
          <w:szCs w:val="16"/>
        </w:rPr>
        <w:softHyphen/>
        <w:t>ка зубьев шестерен коробки перемены передач вследствие недостаточного контроля над технологи</w:t>
      </w:r>
      <w:r w:rsidRPr="008127F8">
        <w:rPr>
          <w:rFonts w:ascii="Times New Roman" w:hAnsi="Times New Roman"/>
          <w:color w:val="000000" w:themeColor="text1"/>
          <w:sz w:val="16"/>
          <w:szCs w:val="16"/>
        </w:rPr>
        <w:softHyphen/>
        <w:t>ческим процессом их изготовления.</w:t>
      </w:r>
    </w:p>
    <w:p w14:paraId="3BA93D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восстановления танков необходимо срочно выслать шесть коробок перемены передач в рас</w:t>
      </w:r>
      <w:r w:rsidRPr="008127F8">
        <w:rPr>
          <w:rFonts w:ascii="Times New Roman" w:hAnsi="Times New Roman"/>
          <w:color w:val="000000" w:themeColor="text1"/>
          <w:sz w:val="16"/>
          <w:szCs w:val="16"/>
        </w:rPr>
        <w:softHyphen/>
        <w:t>поряжение АБТУ Брянского фронта.</w:t>
      </w:r>
    </w:p>
    <w:p w14:paraId="66B4A4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распоряжений.</w:t>
      </w:r>
    </w:p>
    <w:p w14:paraId="3B16052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56D1860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I 1355. Д. 34. Л. 56. Копия (11211).</w:t>
      </w:r>
    </w:p>
    <w:p w14:paraId="3F0FD65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5D9DD377"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w:t>
      </w:r>
    </w:p>
    <w:p w14:paraId="0AC6679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39</w:t>
      </w:r>
    </w:p>
    <w:p w14:paraId="788163F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6.II.42 г. № 544</w:t>
      </w:r>
    </w:p>
    <w:p w14:paraId="16E4356D"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4BE2497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3298D9C"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СССР</w:t>
      </w:r>
    </w:p>
    <w:p w14:paraId="2C2A6DA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167-мс</w:t>
      </w:r>
    </w:p>
    <w:p w14:paraId="72BE045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7EB9B241"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w:t>
      </w:r>
    </w:p>
    <w:p w14:paraId="34F8656B" w14:textId="717FF274"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Организация и развертывание производства танкового электрооборудования на заводах ЗЭМ, № 238, № 237 и № 254 происходит недопустимо медленно. В свою очередь поставка стартеров СТ-700 Томским и Прокопьевским электромоторными заводами НКЭП срывается из-за неподачи этим заводам Кировским заводом и заводом № 6 хвостовиков.</w:t>
      </w:r>
      <w:r w:rsidR="008127F8">
        <w:rPr>
          <w:rFonts w:ascii="Times New Roman" w:hAnsi="Times New Roman"/>
          <w:color w:val="000000" w:themeColor="text1"/>
          <w:sz w:val="16"/>
          <w:szCs w:val="16"/>
        </w:rPr>
        <w:t xml:space="preserve">  </w:t>
      </w:r>
    </w:p>
    <w:p w14:paraId="385792D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12A80058" w14:textId="14D22B8E"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ЗЭМ, № 238, № 237 и № 254 обеспечить в феврале мес. выпуск танкового электрооборудования в соответствии с утвержденными и прилагаемыми при сем графиками. Обязываю поименованные заводы ежедневно сообщать в 1-й отдел и Главснаб НКТП выпуск и сдачу изделий за истекшие сутки. Начальнику Главснаба НКТП тов. РОЗИНУ устанавливать указанным заводам очередность отгрузки изделий для танковых заводов. Предупреждаю директоров поименованных заводов, что они несут личную ответственность за выполнение установленных графиков.</w:t>
      </w:r>
      <w:r w:rsidR="008127F8">
        <w:rPr>
          <w:rFonts w:ascii="Times New Roman" w:hAnsi="Times New Roman"/>
          <w:color w:val="000000" w:themeColor="text1"/>
          <w:sz w:val="16"/>
          <w:szCs w:val="16"/>
        </w:rPr>
        <w:t xml:space="preserve">  </w:t>
      </w:r>
    </w:p>
    <w:p w14:paraId="5221EE15" w14:textId="1A21415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И.о. директора Кировского завода тов. МАХОНИНУ и директору завода № 6 тов. ГОЛЬДШТЕЙНУ сдать до 20/II-42 г. равными партиями по пятидневкам: с Кировского завода 450 штук хвостовиков – Томскому электромоторному заводу и с завода № 6 550 штук хвостовиков – Прокопьевскому электромоторному заводу. В дальнейшем обеспечивать подачу хвостовиков указанным заводам НКЭП в количествах и сроки, необходимые для выполнения устанавливаемой этим заводам программы по стартерам.</w:t>
      </w:r>
      <w:r w:rsidR="008127F8">
        <w:rPr>
          <w:rFonts w:ascii="Times New Roman" w:hAnsi="Times New Roman"/>
          <w:color w:val="000000" w:themeColor="text1"/>
          <w:sz w:val="16"/>
          <w:szCs w:val="16"/>
        </w:rPr>
        <w:t xml:space="preserve">  </w:t>
      </w:r>
    </w:p>
    <w:p w14:paraId="7AB78BB8" w14:textId="56D57AB0"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директора завод № 37 тов. ФРЕЗЕРОВА, немедленно отгрузить заводу ЗЭМ (г. Челябинск) все оборудование, на котором производилось изготовление хвостовиков на заводе им. КИМ в Москве. Директору завода ЗЭМ, тов. МОРОЗ, ввести в эксплоатацию это оборудование не позднее 20/II-42 г.</w:t>
      </w:r>
      <w:r w:rsidR="008127F8">
        <w:rPr>
          <w:rFonts w:ascii="Times New Roman" w:hAnsi="Times New Roman"/>
          <w:color w:val="000000" w:themeColor="text1"/>
          <w:sz w:val="16"/>
          <w:szCs w:val="16"/>
        </w:rPr>
        <w:t xml:space="preserve">  </w:t>
      </w:r>
    </w:p>
    <w:p w14:paraId="6E7807DA" w14:textId="18B1CCED" w:rsidR="00391210" w:rsidRPr="008127F8" w:rsidRDefault="00391210"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lastRenderedPageBreak/>
        <w:t>ПРИЛОЖЕНИЕ: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Графики</w:t>
      </w:r>
      <w:proofErr w:type="gramEnd"/>
      <w:r w:rsidRPr="008127F8">
        <w:rPr>
          <w:rFonts w:ascii="Times New Roman" w:hAnsi="Times New Roman"/>
          <w:color w:val="000000" w:themeColor="text1"/>
          <w:sz w:val="16"/>
          <w:szCs w:val="16"/>
        </w:rPr>
        <w:t>.</w:t>
      </w:r>
    </w:p>
    <w:p w14:paraId="0DD239B3"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54FC331C"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(МАЛЫШЕВ В.А.)</w:t>
      </w:r>
    </w:p>
    <w:p w14:paraId="6A41A404" w14:textId="00844EE1"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38</w:t>
      </w:r>
      <w:r w:rsidR="008127F8">
        <w:rPr>
          <w:rFonts w:ascii="Times New Roman" w:hAnsi="Times New Roman"/>
          <w:color w:val="000000" w:themeColor="text1"/>
          <w:sz w:val="16"/>
          <w:szCs w:val="16"/>
        </w:rPr>
        <w:t xml:space="preserve">  </w:t>
      </w:r>
    </w:p>
    <w:p w14:paraId="733E2E67"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 приказу НКТП СССР</w:t>
      </w:r>
    </w:p>
    <w:p w14:paraId="3387166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167мс от "6" II 1942 г.</w:t>
      </w:r>
    </w:p>
    <w:p w14:paraId="607390AF"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w:t>
      </w:r>
    </w:p>
    <w:p w14:paraId="4C8281E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поставки электрооборудования заводом ЗЭМ заводам Наркомтанкопрома</w:t>
      </w:r>
    </w:p>
    <w:p w14:paraId="45BE968B" w14:textId="24964050"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февраль месяц 1942 года.</w:t>
      </w:r>
      <w:r w:rsidR="008127F8">
        <w:rPr>
          <w:rFonts w:ascii="Times New Roman" w:hAnsi="Times New Roman"/>
          <w:color w:val="000000" w:themeColor="text1"/>
          <w:sz w:val="16"/>
          <w:szCs w:val="16"/>
        </w:rPr>
        <w:t xml:space="preserve">  </w:t>
      </w:r>
    </w:p>
    <w:p w14:paraId="3BA2369A" w14:textId="07FE06F1"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37</w:t>
      </w:r>
      <w:r w:rsidR="008127F8">
        <w:rPr>
          <w:rFonts w:ascii="Times New Roman" w:hAnsi="Times New Roman"/>
          <w:color w:val="000000" w:themeColor="text1"/>
          <w:sz w:val="16"/>
          <w:szCs w:val="16"/>
        </w:rPr>
        <w:t xml:space="preserve">  </w:t>
      </w:r>
    </w:p>
    <w:p w14:paraId="59157F3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2 к приказу НКТП</w:t>
      </w:r>
    </w:p>
    <w:p w14:paraId="28BD856B"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167мс от 6/II 1942 г.</w:t>
      </w:r>
    </w:p>
    <w:p w14:paraId="09B43510"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w:t>
      </w:r>
    </w:p>
    <w:p w14:paraId="61645C76" w14:textId="05EFBE60"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поставки электроизделий заводом № 237 заводам Танкопрома на февраль мес. 1942 г.</w:t>
      </w:r>
      <w:r w:rsidR="008127F8">
        <w:rPr>
          <w:rFonts w:ascii="Times New Roman" w:hAnsi="Times New Roman"/>
          <w:color w:val="000000" w:themeColor="text1"/>
          <w:sz w:val="16"/>
          <w:szCs w:val="16"/>
        </w:rPr>
        <w:t xml:space="preserve">  </w:t>
      </w:r>
    </w:p>
    <w:p w14:paraId="623BF6CD" w14:textId="618F9332"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36</w:t>
      </w:r>
      <w:r w:rsidR="008127F8">
        <w:rPr>
          <w:rFonts w:ascii="Times New Roman" w:hAnsi="Times New Roman"/>
          <w:color w:val="000000" w:themeColor="text1"/>
          <w:sz w:val="16"/>
          <w:szCs w:val="16"/>
        </w:rPr>
        <w:t xml:space="preserve">  </w:t>
      </w:r>
    </w:p>
    <w:p w14:paraId="317811CE"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3 к приказу НКТП</w:t>
      </w:r>
    </w:p>
    <w:p w14:paraId="664FE4EC"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167мс от "6" II 1942 г.</w:t>
      </w:r>
    </w:p>
    <w:p w14:paraId="220E30D1"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w:t>
      </w:r>
    </w:p>
    <w:p w14:paraId="157377CD"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ПОСТАВКИ ЭЛЕКТРООБОРУДОВАНИЯ ЗАВОДОМ № 238 ЗАВОДАМ НАРКОМТАНКОПРОМА</w:t>
      </w:r>
    </w:p>
    <w:p w14:paraId="09C7BDF4" w14:textId="4048F26D"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февраль м-ц 1942 г.</w:t>
      </w:r>
      <w:r w:rsidR="008127F8">
        <w:rPr>
          <w:rFonts w:ascii="Times New Roman" w:hAnsi="Times New Roman"/>
          <w:color w:val="000000" w:themeColor="text1"/>
          <w:sz w:val="16"/>
          <w:szCs w:val="16"/>
        </w:rPr>
        <w:t xml:space="preserve">  </w:t>
      </w:r>
    </w:p>
    <w:p w14:paraId="4ECF023F" w14:textId="2D1D1E4A"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35</w:t>
      </w:r>
      <w:r w:rsidR="008127F8">
        <w:rPr>
          <w:rFonts w:ascii="Times New Roman" w:hAnsi="Times New Roman"/>
          <w:color w:val="000000" w:themeColor="text1"/>
          <w:sz w:val="16"/>
          <w:szCs w:val="16"/>
        </w:rPr>
        <w:t xml:space="preserve">  </w:t>
      </w:r>
    </w:p>
    <w:p w14:paraId="7696051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4 к приказу НКТП</w:t>
      </w:r>
    </w:p>
    <w:p w14:paraId="744E8498"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167мс от "6" II 1942 года.</w:t>
      </w:r>
    </w:p>
    <w:p w14:paraId="0341A67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w:t>
      </w:r>
    </w:p>
    <w:p w14:paraId="089B1432"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ПОСТАВКИ ЭЛЕКТРООБОРУДОВАНИЯ ЗАВОДОМ № 254 ЗАВОДАМ НАРКОМТАНКОПРОМА</w:t>
      </w:r>
    </w:p>
    <w:p w14:paraId="40627F29" w14:textId="77777777" w:rsidR="00391210" w:rsidRPr="008127F8" w:rsidRDefault="003912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ФЕВРАЛЬ мес. 1942 г. (18436).</w:t>
      </w:r>
    </w:p>
    <w:p w14:paraId="1DB50CD2" w14:textId="77777777" w:rsidR="00391210" w:rsidRPr="008127F8" w:rsidRDefault="00391210" w:rsidP="001E0A84">
      <w:pPr>
        <w:spacing w:after="0" w:line="240" w:lineRule="auto"/>
        <w:jc w:val="both"/>
        <w:rPr>
          <w:rFonts w:ascii="Times New Roman" w:hAnsi="Times New Roman"/>
          <w:color w:val="000000" w:themeColor="text1"/>
          <w:sz w:val="16"/>
          <w:szCs w:val="16"/>
        </w:rPr>
      </w:pPr>
    </w:p>
    <w:p w14:paraId="45B9A3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появился ЗАПРОС ЗАМЕСТИТЕЛЯ НАЧАЛЬНИКА ИНЖЕНЕРНОГО ОТДЕЛА НКВТ В БТУ ГАБТУ О ПОСТАВКЕ ТАНКОВ «ЧЕРЧИЛЛЬ»</w:t>
      </w:r>
    </w:p>
    <w:p w14:paraId="7DB08CC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Англии сообщили, что 3 февраля нашей Военной миссии был продемонстрирован танк типа «Черчилль».</w:t>
      </w:r>
    </w:p>
    <w:p w14:paraId="791669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Представители Министерства снабжения и Военного Министерства сделали нам предложение о поставке танков «Черчилль», причем в первый месяц предлагают поставить 25 штук, как бы для ис</w:t>
      </w:r>
      <w:r w:rsidRPr="008127F8">
        <w:rPr>
          <w:rFonts w:ascii="Times New Roman" w:hAnsi="Times New Roman"/>
          <w:color w:val="000000" w:themeColor="text1"/>
          <w:sz w:val="16"/>
          <w:szCs w:val="16"/>
        </w:rPr>
        <w:softHyphen/>
        <w:t>пытания, а после нашего согласия по 50 штук ежемесячно.</w:t>
      </w:r>
    </w:p>
    <w:p w14:paraId="6BEC0C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Понимается, что поставка «Черчилль» будет идти в счет 250.</w:t>
      </w:r>
    </w:p>
    <w:p w14:paraId="59A11BF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Характеристика </w:t>
      </w:r>
      <w:proofErr w:type="gramStart"/>
      <w:r w:rsidRPr="008127F8">
        <w:rPr>
          <w:rFonts w:ascii="Times New Roman" w:hAnsi="Times New Roman"/>
          <w:color w:val="000000" w:themeColor="text1"/>
          <w:sz w:val="16"/>
          <w:szCs w:val="16"/>
        </w:rPr>
        <w:t>танка</w:t>
      </w:r>
      <w:proofErr w:type="gramEnd"/>
      <w:r w:rsidRPr="008127F8">
        <w:rPr>
          <w:rFonts w:ascii="Times New Roman" w:hAnsi="Times New Roman"/>
          <w:color w:val="000000" w:themeColor="text1"/>
          <w:sz w:val="16"/>
          <w:szCs w:val="16"/>
        </w:rPr>
        <w:t xml:space="preserve"> следующая:</w:t>
      </w:r>
    </w:p>
    <w:p w14:paraId="14BB01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Боевой вес 40 тонн.</w:t>
      </w:r>
    </w:p>
    <w:p w14:paraId="652B5C9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Двигатель 12-ти цилиндровый, бензиновый мощностью 350 л.с. при 2700 об/минуту.</w:t>
      </w:r>
    </w:p>
    <w:p w14:paraId="4B8B3DF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Запас горючего 820 литров на 8-9 часов работы.</w:t>
      </w:r>
    </w:p>
    <w:p w14:paraId="37D4AF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Максимальная скорость 25 км/час. Вооружение:</w:t>
      </w:r>
    </w:p>
    <w:p w14:paraId="756096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40-мм пушка в башне спаренная с пулеметом «Виза».</w:t>
      </w:r>
    </w:p>
    <w:p w14:paraId="1588447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3-х дюймовая гаубица, слева от водителя в лобовом месте.</w:t>
      </w:r>
    </w:p>
    <w:p w14:paraId="27B6B10B"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3. Зенитный пулемет «Бреда».</w:t>
      </w:r>
    </w:p>
    <w:p w14:paraId="26B2AE7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Пистолет-пулемет «Томпсона» (в укладке). Комплект боезапаса:</w:t>
      </w:r>
    </w:p>
    <w:p w14:paraId="2FDCD3C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снарядов 40 мм - 120 штук;</w:t>
      </w:r>
    </w:p>
    <w:p w14:paraId="45B5D92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снарядов 3-х дюймовых - 60 штук;</w:t>
      </w:r>
    </w:p>
    <w:p w14:paraId="6C5989A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патрон для пулеметов- 6000 штук. Броня:</w:t>
      </w:r>
    </w:p>
    <w:p w14:paraId="4202EAF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башня литая 125 мм</w:t>
      </w:r>
      <w:proofErr w:type="gramStart"/>
      <w:r w:rsidRPr="008127F8">
        <w:rPr>
          <w:rFonts w:ascii="Times New Roman" w:hAnsi="Times New Roman"/>
          <w:color w:val="000000" w:themeColor="text1"/>
          <w:sz w:val="16"/>
          <w:szCs w:val="16"/>
        </w:rPr>
        <w:t>; »</w:t>
      </w:r>
      <w:proofErr w:type="gramEnd"/>
    </w:p>
    <w:p w14:paraId="04FCE6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крыша - 15 мм;</w:t>
      </w:r>
    </w:p>
    <w:p w14:paraId="7516AA5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днище - 15 мм;</w:t>
      </w:r>
    </w:p>
    <w:p w14:paraId="019146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корма - 75 мм;</w:t>
      </w:r>
    </w:p>
    <w:p w14:paraId="3D593B5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ведущие колеса — задние;</w:t>
      </w:r>
    </w:p>
    <w:p w14:paraId="23477B3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длина танка 7,5 метра;</w:t>
      </w:r>
    </w:p>
    <w:p w14:paraId="084F9C4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ширина танка 3,2 метра;</w:t>
      </w:r>
    </w:p>
    <w:p w14:paraId="712BA78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высота танка 2,5 метра;</w:t>
      </w:r>
    </w:p>
    <w:p w14:paraId="32C624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клиренс 0,5 метра;</w:t>
      </w:r>
    </w:p>
    <w:p w14:paraId="7669BF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преодолеваемый подъем до 25";</w:t>
      </w:r>
    </w:p>
    <w:p w14:paraId="51E5B0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бортовая броня катанная - 87 мм;</w:t>
      </w:r>
    </w:p>
    <w:p w14:paraId="73A3A9C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лобовая броня катанная - 150 мм.</w:t>
      </w:r>
    </w:p>
    <w:p w14:paraId="68B5EAF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месяца на «Черчилль» вместо 40-мм пушки в башне будет устанавливаться 57-мм пушка.</w:t>
      </w:r>
    </w:p>
    <w:p w14:paraId="26033F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срочно сообщить Ваше заключение и одновременно указать следует ли покупать этот танк</w:t>
      </w:r>
    </w:p>
    <w:p w14:paraId="659D4A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инженерного отдела Рябченко</w:t>
      </w:r>
    </w:p>
    <w:p w14:paraId="5E3EB27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647. Л. 21. Подлинник (11211).</w:t>
      </w:r>
    </w:p>
    <w:p w14:paraId="265237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939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вышло Постановление ГКО № 1248 О заместителях члена ГКО т.Вознесенского Н.А. РГАНИР, Фонд ГКО, д. 21, лл. 10 (11012).</w:t>
      </w:r>
    </w:p>
    <w:p w14:paraId="3785DB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E32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вышло Постановление ГКО № 1249 О плане производства танков Т-60 в феврале и марте месяцах 1942 года. РГАНИР, Фонд ГКО, д. 21, лл. 11 (11012).</w:t>
      </w:r>
    </w:p>
    <w:p w14:paraId="5E360A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E97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февраля 1942 вышло Постановление ГКО № 1250 О заместителе члена ГКО </w:t>
      </w:r>
      <w:proofErr w:type="gramStart"/>
      <w:r w:rsidRPr="008127F8">
        <w:rPr>
          <w:rFonts w:ascii="Times New Roman" w:hAnsi="Times New Roman"/>
          <w:color w:val="000000" w:themeColor="text1"/>
          <w:sz w:val="16"/>
          <w:szCs w:val="16"/>
        </w:rPr>
        <w:t>тов.Молотова</w:t>
      </w:r>
      <w:proofErr w:type="gramEnd"/>
      <w:r w:rsidRPr="008127F8">
        <w:rPr>
          <w:rFonts w:ascii="Times New Roman" w:hAnsi="Times New Roman"/>
          <w:color w:val="000000" w:themeColor="text1"/>
          <w:sz w:val="16"/>
          <w:szCs w:val="16"/>
        </w:rPr>
        <w:t xml:space="preserve"> В.М. по контролю за производством танков. РГАНИР, Фонд ГКО, д. 21, лл. 12 (11012).</w:t>
      </w:r>
    </w:p>
    <w:p w14:paraId="1425E5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E58A9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года вышел приказ № 75 НКБ</w:t>
      </w:r>
    </w:p>
    <w:p w14:paraId="5D02167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постановления СНК от 20 февраля 1942 года № 224-119с:</w:t>
      </w:r>
    </w:p>
    <w:p w14:paraId="3425F1F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в ведение Наркомпищепрома здание завода “Смычка” филиала завода № 513 эвакуированного из Ростова на Дону (5797, 2).</w:t>
      </w:r>
    </w:p>
    <w:p w14:paraId="2EC02C7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763FED" w14:textId="77777777" w:rsidR="0087221D" w:rsidRPr="008127F8" w:rsidRDefault="008722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февраля</w:t>
      </w:r>
      <w:r w:rsidRPr="008127F8">
        <w:rPr>
          <w:rFonts w:ascii="Times New Roman" w:hAnsi="Times New Roman"/>
          <w:color w:val="000000" w:themeColor="text1"/>
          <w:sz w:val="16"/>
          <w:szCs w:val="16"/>
        </w:rPr>
        <w:t xml:space="preserve"> в 1942 году была сдана в эксплуатацию первая электрическая печь литейного цеха Каменск-Уральского металлургического завода (ныне ОАО «КУМЗ», Свердловская область). КУМЗ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 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 Первое документальное понимание предназначения завода было обозначено следующим образом: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 Первая плавка металла была отлита 14 февраля 1942 года. В апреле 1942 года с завода в Верхнюю Салду отправляется первый вагон с первой продукцией — слитками. Осенью 1943 года первую продукцию выдали кузнечный </w:t>
      </w:r>
      <w:r w:rsidRPr="008127F8">
        <w:rPr>
          <w:rFonts w:ascii="Times New Roman" w:hAnsi="Times New Roman"/>
          <w:color w:val="000000" w:themeColor="text1"/>
          <w:sz w:val="16"/>
          <w:szCs w:val="16"/>
        </w:rPr>
        <w:lastRenderedPageBreak/>
        <w:t xml:space="preserve">и профильно-прессовый цехи. А в декабре завод стал самостоятельной хозяйственной единицей. Но свои годы КУМЗ отсчитывает от другой даты — 5 мая 1944 года, когда в газете «Правда» был опубликован рапорт об окончании строительства и введении в эксплуатацию первой очереди завода. 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 В 1960-е годы наращиваются объёмы производства, расширяется номенклатура продукции. Вводятся в эксплуатацию новые корпуса цехов, при сохранении старых: в 1951 — </w:t>
      </w:r>
      <w:proofErr w:type="gramStart"/>
      <w:r w:rsidRPr="008127F8">
        <w:rPr>
          <w:rFonts w:ascii="Times New Roman" w:hAnsi="Times New Roman"/>
          <w:color w:val="000000" w:themeColor="text1"/>
          <w:sz w:val="16"/>
          <w:szCs w:val="16"/>
        </w:rPr>
        <w:t>кузнечно-прессового</w:t>
      </w:r>
      <w:proofErr w:type="gramEnd"/>
      <w:r w:rsidRPr="008127F8">
        <w:rPr>
          <w:rFonts w:ascii="Times New Roman" w:hAnsi="Times New Roman"/>
          <w:color w:val="000000" w:themeColor="text1"/>
          <w:sz w:val="16"/>
          <w:szCs w:val="16"/>
        </w:rPr>
        <w:t>, в 1958 — литейного, в 1959 — прессового. В 1958 году КУМЗ впервые поставил продукцию (2952 тонны алюминиевого проката) на экспорт. В этом же году впервые было выпущено 585 тонн магниевого проката. 25 апреля 1964 года заводу присвоено звание «Коллектив коммунистического труда». 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 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 В 1975 году внедряется Автоматизированная система управления предприятием. Указом Президиума Верховного Совета СССР 8 июня 1978 года КУМЗ награждён орденом Трудового Красного Знамени. 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 В 1991 году активно осваиваются алюминиево-литиевые сплавы. Впервые для России из этих сплавов изготавливаются плакированные листы (15032).</w:t>
      </w:r>
    </w:p>
    <w:p w14:paraId="5C7F1C25" w14:textId="77777777" w:rsidR="0087221D" w:rsidRPr="008127F8" w:rsidRDefault="0087221D" w:rsidP="001E0A84">
      <w:pPr>
        <w:spacing w:after="0" w:line="240" w:lineRule="auto"/>
        <w:jc w:val="both"/>
        <w:rPr>
          <w:rFonts w:ascii="Times New Roman" w:hAnsi="Times New Roman"/>
          <w:color w:val="000000" w:themeColor="text1"/>
          <w:sz w:val="16"/>
          <w:szCs w:val="16"/>
        </w:rPr>
      </w:pPr>
    </w:p>
    <w:p w14:paraId="1367A85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AB2A1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D72CBC"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 февраля 1942 года Оперативная сводка Совинформбюро</w:t>
      </w:r>
    </w:p>
    <w:p w14:paraId="36DBD076"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6 февраля</w:t>
      </w:r>
    </w:p>
    <w:p w14:paraId="29D90022"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6 февраля наши войска продолжали вести активные боевые действия против немецко-фашистских войск.</w:t>
      </w:r>
    </w:p>
    <w:p w14:paraId="04E6EADA"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6 февраля</w:t>
      </w:r>
    </w:p>
    <w:p w14:paraId="29CC6026"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6 февраля наши войска вели упорные бои с немецко-фашистскими войсками. Противник несёт огромные потери в технике и особенно в живой силе. Наши части вновь продвинулись вперёд.</w:t>
      </w:r>
    </w:p>
    <w:p w14:paraId="20915910"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5 февраля уничтожено 34 самолёта противника. Наши потери - 6 самолётов.</w:t>
      </w:r>
    </w:p>
    <w:p w14:paraId="03128AB1"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6 февраля под Москвой сбито 7 немецких самолётов.</w:t>
      </w:r>
    </w:p>
    <w:p w14:paraId="795F4D89"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5 февраля частями нашей авиации уничтожено или повреждено 13 немецких танков, 200 автомашин с войсками и грузами, 180 повозок с боеприпасами, 35 орудий с прислугой, 7 автоцистерн с горючим, 6 зенитно-пулемётных точек, разрушено 36 железнодорожных вагонов, рассеяно и частью уничтожено 4 батальона пехоты противника (15024).</w:t>
      </w:r>
    </w:p>
    <w:p w14:paraId="582E8B8A" w14:textId="77777777" w:rsidR="0087221D" w:rsidRPr="008127F8" w:rsidRDefault="0087221D" w:rsidP="001E0A84">
      <w:pPr>
        <w:spacing w:after="0" w:line="240" w:lineRule="auto"/>
        <w:jc w:val="both"/>
        <w:rPr>
          <w:rFonts w:ascii="Times New Roman" w:eastAsia="Times New Roman" w:hAnsi="Times New Roman"/>
          <w:color w:val="000000" w:themeColor="text1"/>
          <w:sz w:val="16"/>
          <w:szCs w:val="16"/>
          <w:lang w:eastAsia="ru-RU"/>
        </w:rPr>
      </w:pPr>
    </w:p>
    <w:p w14:paraId="38AA27E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февраля 1942 года на лед Ладожского озера совершил вынужденную посадку ЛаГГ-3 3-й производственной серии «29» из 4-го ОАП. После ремонта на Государственном авиационном заводе в Тампере самолет включили в состав финских ВВС. Самолет получил бортовой номер LG-1. 20 февраля 1942 года финские солдаты нашли на льду Ладожского озера еще один ЛаГГ-3 «33». Самолет принадлежал 4-й производственной серии (№ 011072). 25 сентября 1942 года на аэродроме Ала-Седохса приземлился ЛаГГ-3 35-й производственной серии из 524-го ИАП («57»). После ремонта самолет также включили в состав финских ВВС.</w:t>
      </w:r>
    </w:p>
    <w:p w14:paraId="72C95E59"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финны получили ЛаГГ-3 «71» из 524-го ИАП, сбитый зенитным огнем в районе аэродрома Нурмойла 6 марта 1943 года. Но самолет оказался в плачевном состоянии, поэтому его разобрали на запчасти, которые использовали при ремонте машин LG-1 и LG-2.</w:t>
      </w:r>
    </w:p>
    <w:p w14:paraId="3235629C"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исправный финский ЛаГГ (LG-1) 11 марта 1943 года передали в состав LeLv 32/LeR 1, базировавшейся в Нурмойле. Командиром эскадрильи был майор Лаури Бремер.</w:t>
      </w:r>
    </w:p>
    <w:p w14:paraId="4514D24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 предполагалось использовать для перехвата советских скоростных разведчиков Пе-2. Начиная с 23 марта 1943 года предпринималось множество попыток перехвата, но все они закончились провалом. Самолет преследовали проблемы с двигателем и вооружением.</w:t>
      </w:r>
    </w:p>
    <w:p w14:paraId="4AD33B2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сентября 1943 года в эскадрилью прибыл второй ЛаГГ (LG-3). 27 октября пара финских ЛаГГов-3 завязала над рекой Свирь бой с Пе-2, который сопровождал одиночный МиГ-3. Бой закончился с нулевым счетом.</w:t>
      </w:r>
    </w:p>
    <w:p w14:paraId="2490B60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февраля 1944 года фельдфебель Эйно Коскинен поднялся в воздух на перехват Пе-2 в районе Кинкиева и устья Свири. В указанном районе он обнаружил Пе-2, сопровождаемый парой советских ЛаГГов-3. В завязавшемся бою был сбит один истребитель из 415-го ИАП.</w:t>
      </w:r>
    </w:p>
    <w:p w14:paraId="5EA35413"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Финские ЛаГГи-3 много раз пытались перехватить Пе-2, но всякий раз безрезультатно. Из-за многочисленных технических проблем самолеты часто находились в ремонте. Обычно в строю находился только один истребитель, который и вылетал на перехват (23548).</w:t>
      </w:r>
    </w:p>
    <w:p w14:paraId="3ADD4594" w14:textId="77777777" w:rsidR="009E31D1" w:rsidRPr="008A2E5A" w:rsidRDefault="009E31D1" w:rsidP="009E31D1">
      <w:pPr>
        <w:spacing w:after="0" w:line="240" w:lineRule="auto"/>
        <w:jc w:val="both"/>
        <w:rPr>
          <w:rFonts w:ascii="Times New Roman" w:hAnsi="Times New Roman"/>
          <w:color w:val="0070C0"/>
          <w:sz w:val="16"/>
          <w:szCs w:val="16"/>
        </w:rPr>
      </w:pPr>
    </w:p>
    <w:p w14:paraId="55C30F16"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февраля 1942 г. Докладная записка главнокомандующего войсками юго-западного направления С. К. Тимошенко и члена Военного совета юго-западного направления Н. С. Хрущева Верховному главнокомандующему И. В. Сталину &lt;Об использовании танков Т-60»</w:t>
      </w:r>
    </w:p>
    <w:p w14:paraId="3726B468"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2E3C57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Весьма срочно.</w:t>
      </w:r>
    </w:p>
    <w:p w14:paraId="571B04E0"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этом году на Украине выпал глубокий снег, который является большим препятгвием для применения танков. Особенно плохо себя показали в этих условиях танки -60. Большинство этих танков из-за глубокого снега не могли быть использованы в бою. Больше того, они останавливались, не дойдя до места назначения. Так, например, 167-й стрелковой дивизии из 6 танков Т-60, введенных в бой, ни один не вышел вперед пехоты, а еле двигались за ней. В первые же часы боя все эти танки вышли из строя, не оказав содействия наступающей пехоте. Таких примеров много.</w:t>
      </w:r>
    </w:p>
    <w:p w14:paraId="4296EA61"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опыт танков Т-60 в зимних условиях, мы вносим предложение: танки Т-60 зимой и в начале весны не применять, а накапливать их и держать в резерве. Такие резервы мы предлагаем создать в первую очередь в армиях Южного фронта. Здесь ранее всего наступит весна и, таким образом, создадутся условия для применения их.</w:t>
      </w:r>
    </w:p>
    <w:p w14:paraId="32AA5F62"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на этом участке нам потребуется вводить в бой большое количество танков, так как враг, видимо, скорее всего, попытается перейти [в] наступление именно на этом участке.</w:t>
      </w:r>
    </w:p>
    <w:p w14:paraId="4D1A0BC4"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Эффективное применение танков Т-60 и в летних условиях может быть только при условии обеспечения им проходов в оборонительной полосе противника танками КВ, поэтому наряду с созданием резервов танков Т-60 необходимо создание минимальнога резерва танков КВ.</w:t>
      </w:r>
    </w:p>
    <w:p w14:paraId="7B423DE2"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w:t>
      </w:r>
      <w:r w:rsidRPr="008A2E5A">
        <w:rPr>
          <w:rFonts w:ascii="Times New Roman" w:hAnsi="Times New Roman"/>
          <w:color w:val="0070C0"/>
          <w:sz w:val="16"/>
          <w:szCs w:val="16"/>
        </w:rPr>
        <w:tab/>
        <w:t>Тимошенко, Хрущеа</w:t>
      </w:r>
    </w:p>
    <w:p w14:paraId="374D059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388. Л. 102-103. Копия (24054).</w:t>
      </w:r>
    </w:p>
    <w:p w14:paraId="20DBEFFC" w14:textId="77777777" w:rsidR="009E31D1" w:rsidRPr="008A2E5A" w:rsidRDefault="009E31D1" w:rsidP="009E31D1">
      <w:pPr>
        <w:spacing w:after="0" w:line="240" w:lineRule="auto"/>
        <w:jc w:val="both"/>
        <w:rPr>
          <w:rFonts w:ascii="Times New Roman" w:hAnsi="Times New Roman"/>
          <w:color w:val="0070C0"/>
          <w:sz w:val="16"/>
          <w:szCs w:val="16"/>
        </w:rPr>
      </w:pPr>
    </w:p>
    <w:p w14:paraId="0CAC06FA" w14:textId="77777777" w:rsidR="001D6054" w:rsidRPr="008127F8" w:rsidRDefault="001D60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февраля</w:t>
      </w:r>
      <w:r w:rsidRPr="008127F8">
        <w:rPr>
          <w:rFonts w:ascii="Times New Roman" w:hAnsi="Times New Roman"/>
          <w:color w:val="000000" w:themeColor="text1"/>
          <w:sz w:val="16"/>
          <w:szCs w:val="16"/>
        </w:rPr>
        <w:t xml:space="preserve"> в 1942 году 9-я немецкая армия нанесла контрудар по войскам 29-й армии Калининского фронта с востока (со стороны Ржева) и с запада (из района Оленино), перерезала основные коммуникации 39-й армии и 11-го кавкопуса, а затем окружила войска 29-й армии (15032).</w:t>
      </w:r>
    </w:p>
    <w:p w14:paraId="3E945021" w14:textId="77777777" w:rsidR="001D6054" w:rsidRPr="008127F8" w:rsidRDefault="001D6054" w:rsidP="001E0A84">
      <w:pPr>
        <w:spacing w:after="0" w:line="240" w:lineRule="auto"/>
        <w:jc w:val="both"/>
        <w:rPr>
          <w:rFonts w:ascii="Times New Roman" w:hAnsi="Times New Roman"/>
          <w:color w:val="000000" w:themeColor="text1"/>
          <w:sz w:val="16"/>
          <w:szCs w:val="16"/>
        </w:rPr>
      </w:pPr>
    </w:p>
    <w:p w14:paraId="5AD2DB60" w14:textId="77777777" w:rsidR="001D6054" w:rsidRPr="008127F8" w:rsidRDefault="001D60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февраля</w:t>
      </w:r>
      <w:r w:rsidRPr="008127F8">
        <w:rPr>
          <w:rFonts w:ascii="Times New Roman" w:hAnsi="Times New Roman"/>
          <w:color w:val="000000" w:themeColor="text1"/>
          <w:sz w:val="16"/>
          <w:szCs w:val="16"/>
        </w:rPr>
        <w:t xml:space="preserve"> в 1942 году завершилась Торопецко-Холмская наступательная операция войск Северо-Западного и Калининского фронтов, ставшая важнейшей составной частью стратегического наступления советских войск с целью разгрома немецко-фашистской группы армий "Центр" под Москвой (15032).</w:t>
      </w:r>
    </w:p>
    <w:p w14:paraId="6636E676" w14:textId="77777777" w:rsidR="001D6054" w:rsidRPr="008127F8" w:rsidRDefault="001D6054" w:rsidP="001E0A84">
      <w:pPr>
        <w:spacing w:after="0" w:line="240" w:lineRule="auto"/>
        <w:jc w:val="both"/>
        <w:rPr>
          <w:rFonts w:ascii="Times New Roman" w:hAnsi="Times New Roman"/>
          <w:color w:val="000000" w:themeColor="text1"/>
          <w:sz w:val="16"/>
          <w:szCs w:val="16"/>
        </w:rPr>
      </w:pPr>
    </w:p>
    <w:p w14:paraId="63342E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 вышел ПРИКАЗ НКО № 082 О БЕЗНАКАЗАННОМ ПРОПУСКЕ БОМБАРДИРОВЩИКА ПРОТИВНИКА К г. ГОРЬКИЙ</w:t>
      </w:r>
    </w:p>
    <w:p w14:paraId="63FB45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3 на 4 февраля 1942 года к г. Горький был безнаказанно пропущен бомбардировщик противника.</w:t>
      </w:r>
    </w:p>
    <w:p w14:paraId="39A706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то, что бомбардировщик противника был обнаружен в 210 км от г. Горького, средства ПВО в боевую готовность приведены не были и ни одна зенитная батарея, находящаяся на обороне г. Горького, не сделала по противнику ни одного выстрела.</w:t>
      </w:r>
    </w:p>
    <w:p w14:paraId="57B396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 это произошло потому, что в работе командного пункта </w:t>
      </w:r>
      <w:proofErr w:type="gramStart"/>
      <w:r w:rsidRPr="008127F8">
        <w:rPr>
          <w:rFonts w:ascii="Times New Roman" w:hAnsi="Times New Roman"/>
          <w:color w:val="000000" w:themeColor="text1"/>
          <w:sz w:val="16"/>
          <w:szCs w:val="16"/>
        </w:rPr>
        <w:t>Горьков-ского</w:t>
      </w:r>
      <w:proofErr w:type="gramEnd"/>
      <w:r w:rsidRPr="008127F8">
        <w:rPr>
          <w:rFonts w:ascii="Times New Roman" w:hAnsi="Times New Roman"/>
          <w:color w:val="000000" w:themeColor="text1"/>
          <w:sz w:val="16"/>
          <w:szCs w:val="16"/>
        </w:rPr>
        <w:t xml:space="preserve"> дивизионного района ПВО имела место преступная самоуспокоенность, отсутствовала надлежащая бдительность и не было должной дисциплины.</w:t>
      </w:r>
    </w:p>
    <w:p w14:paraId="1FAE3F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Дежурный на КП ПВО капитан Карабицкий, получив донесения о приближающемся самолете, бездействовал и даже не доложил об этом командующему дивизионным районом ПВО, который находился тут же на командном пункте.</w:t>
      </w:r>
    </w:p>
    <w:p w14:paraId="7AB494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отданное приказание </w:t>
      </w:r>
      <w:r w:rsidRPr="008127F8">
        <w:rPr>
          <w:rFonts w:ascii="Times New Roman" w:hAnsi="Times New Roman"/>
          <w:bCs/>
          <w:color w:val="000000" w:themeColor="text1"/>
          <w:sz w:val="16"/>
          <w:szCs w:val="16"/>
        </w:rPr>
        <w:t xml:space="preserve">— </w:t>
      </w:r>
      <w:r w:rsidRPr="008127F8">
        <w:rPr>
          <w:rFonts w:ascii="Times New Roman" w:hAnsi="Times New Roman"/>
          <w:color w:val="000000" w:themeColor="text1"/>
          <w:sz w:val="16"/>
          <w:szCs w:val="16"/>
        </w:rPr>
        <w:t xml:space="preserve">все самолеты, подходящие к г. Горький ночью без предупреждения, считать самолетами противника </w:t>
      </w:r>
      <w:r w:rsidRPr="008127F8">
        <w:rPr>
          <w:rFonts w:ascii="Times New Roman" w:hAnsi="Times New Roman"/>
          <w:bCs/>
          <w:color w:val="000000" w:themeColor="text1"/>
          <w:sz w:val="16"/>
          <w:szCs w:val="16"/>
        </w:rPr>
        <w:t xml:space="preserve">— </w:t>
      </w:r>
      <w:r w:rsidRPr="008127F8">
        <w:rPr>
          <w:rFonts w:ascii="Times New Roman" w:hAnsi="Times New Roman"/>
          <w:color w:val="000000" w:themeColor="text1"/>
          <w:sz w:val="16"/>
          <w:szCs w:val="16"/>
        </w:rPr>
        <w:t xml:space="preserve">капитан Карабицкий принял подходящий самолет противника </w:t>
      </w:r>
      <w:r w:rsidRPr="008127F8">
        <w:rPr>
          <w:rFonts w:ascii="Times New Roman" w:hAnsi="Times New Roman"/>
          <w:bCs/>
          <w:color w:val="000000" w:themeColor="text1"/>
          <w:sz w:val="16"/>
          <w:szCs w:val="16"/>
        </w:rPr>
        <w:t xml:space="preserve">за </w:t>
      </w:r>
      <w:r w:rsidRPr="008127F8">
        <w:rPr>
          <w:rFonts w:ascii="Times New Roman" w:hAnsi="Times New Roman"/>
          <w:color w:val="000000" w:themeColor="text1"/>
          <w:sz w:val="16"/>
          <w:szCs w:val="16"/>
        </w:rPr>
        <w:t>свой.</w:t>
      </w:r>
    </w:p>
    <w:p w14:paraId="7CA881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 района ПВО не организовало бдительность и боевую работу своего командного пункта, в результате чего необходимые меры к приведению средств ПВО в боевую готовность не были приняты.</w:t>
      </w:r>
    </w:p>
    <w:p w14:paraId="678EC0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6A787A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Командующему войсками ПВО территории страны генерал-лейтенанту тов. Громадину М. С. за недостаточный контроль боевой готовности средств ПВО г. Горький делаю предупреждение.</w:t>
      </w:r>
    </w:p>
    <w:p w14:paraId="2B07F6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Командующего Горьковским дивизионным районом ПВО полковника Добрянского В. М., военного комиссара района ст. батальонного комиссара Егорова Д. П. и начальника штаба района подполковника Савко В. В. за безнаказанный пропуск самолета противника к г. Горький и за отсутствие дисциплины на командном пункте </w:t>
      </w:r>
      <w:r w:rsidRPr="008127F8">
        <w:rPr>
          <w:rFonts w:ascii="Times New Roman" w:hAnsi="Times New Roman"/>
          <w:color w:val="000000" w:themeColor="text1"/>
          <w:sz w:val="16"/>
          <w:szCs w:val="16"/>
        </w:rPr>
        <w:lastRenderedPageBreak/>
        <w:t>арестовать каждого на 10 суток домашним арестом с удержанием 50 % содержания за каждый день ареста.</w:t>
      </w:r>
    </w:p>
    <w:p w14:paraId="6B95CA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Помощника начальника штаба артиллерии Горьковского дивизионного района ПВО капитана Карабицкого А. И. за преступную бездеятельность при исполнении обязанностей оперативного дежурного на КП ПВО района от занимаемой должности отстранить и предать суду военного трибунала.</w:t>
      </w:r>
    </w:p>
    <w:p w14:paraId="6C794C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Командующему войсками ПВО территории страны принять необходимые меры по укреплению системы ПВО г. Горький и обеспечить постоянную бдительность и боеготовность всех средств ПВО Горьковского дивизионного района.</w:t>
      </w:r>
    </w:p>
    <w:p w14:paraId="048720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виновников безнаказанного пропуска 4 февраля 1942 года самолета противника к г. Горький наложить взыскания своей властью.</w:t>
      </w:r>
    </w:p>
    <w:p w14:paraId="4EF26F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Приказ прочесть во всех частях ПВО страны.</w:t>
      </w:r>
    </w:p>
    <w:p w14:paraId="45A3AD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Народный комиссар обороны И. СТАЛИН</w:t>
      </w:r>
      <w:r w:rsidRPr="008127F8">
        <w:rPr>
          <w:rFonts w:ascii="Times New Roman" w:hAnsi="Times New Roman"/>
          <w:color w:val="000000" w:themeColor="text1"/>
          <w:sz w:val="16"/>
          <w:szCs w:val="16"/>
        </w:rPr>
        <w:t xml:space="preserve"> (9840).</w:t>
      </w:r>
    </w:p>
    <w:p w14:paraId="333805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F4F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приказ НКО № 129 «О безнаказанном пропуске бомбардировщика противника к г. Горький». Согласно ему командующий горьковским дивизионным районом ПВО В.М. Добрянский, а также военком батальонный комиссар Д.П. Егоров и начштаба подполковник В.В. Савко были арестованы на 10 суток с удержанием 50% довольствия за эти дни. Таким образом, наказание было приравнено к дебошу в ресторане, с дракой и битьем посуды. Серьезно пострадал лишь «стрелочник», оперативный дежурный на КП района капитан А.И. Коробицкий, который был отстранен от должности и предан суду военного трибунала. Командующий ПВО территории страны генерал-лейтенант Громадин получил предупреждение за недостаточный контроль боевой готовности средств ПВО Горького. Видимо, подобный «щелчок по носу», полученный от товарища Сталина, заставил Громадина уже тогда задуматься о замене полковника Добрянского на более опытного и надежного командира, но этот вопрос был решен им не сразу. Помимо наказания виновных, в упомянутом приказе отмечалось, что имели место многочисленные случаи, когда экипажи советских самолетов при полетах над своей территорией не соблюдали установленных маршрутов, особенно ночью. Хватало и полетов без каких-либо заявок и согласований, по принципу «где хочу, там и летаю». Все это затрудняло обнаружение самолетов противника, которые нередко принимались за свои, а свои – за немецкие с последующим обстрелом последних. Отныне недисциплинированных летунов было решено предавать суду военного трибунала. В приказе № 129 также оговаривались условия подачи заявок на пролет и устанавливалось право вылета без оных лишь для истребителей ПВО. К15 марта начальник связи Красной Армии должен был установить на каждый день единую радиоволну для взаимодействия между ВВС и ПВО. На ней потерявший ориентировку экипаж должен был донести о случившемся оперативному дежурному района ПВО, который по данным постов ВНОС должен был сообщить незадачливым пилотам их местонахождение. На этой же волне рекомендовалось выходить на связь летунам, попавшим под огонь зениток либо атакованным своими же истребителями. В свою очередь, истребители-перехватчики отныне должны были принуждать к посадке летящие неправильным маршрутом самолеты, а при неподчинении – открывать по ним огонь. Командующие районами ПВО получили приказ пересмотреть состав оперативных дежурных и назначать на этот пост знающих, распорядительных и ответственных командиров (11774).</w:t>
      </w:r>
    </w:p>
    <w:p w14:paraId="22E4AE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4E36C" w14:textId="77777777" w:rsidR="0087221D"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вышло Постановление ГКО № 1247 [О привлечении к суду за санкционирование сдачи Керчи Кулика Г.И.] (7022, 8-9).</w:t>
      </w:r>
    </w:p>
    <w:p w14:paraId="4E65743C" w14:textId="77777777" w:rsidR="0087221D" w:rsidRPr="008127F8" w:rsidRDefault="0087221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28FF0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года Постановление Государственного Комитета Обороны о тов. Кулике</w:t>
      </w:r>
    </w:p>
    <w:p w14:paraId="30CBC8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14C713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Государственный Комитет Обороны устанавливает, что т. Кулик был обязан в своих действиях по обороне Керчи и Керченского района руководствоваться следующими приказами Ставки Верховного Главного Командования;</w:t>
      </w:r>
    </w:p>
    <w:p w14:paraId="345496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«Главной задачей Черноморского флота считать активную оборону Севастополя и Керченского полуострова всеми силами» (приказ Ставки за подписью тт. Сталина, Шапошникова и Кузнецова — наркомвоенмора — от 7 ноября 1941 года);</w:t>
      </w:r>
    </w:p>
    <w:p w14:paraId="2C2E2F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«Удержать Керчь во что бы то ни стало и не дать противнику занять этот район» (приказ от 14 ноября 1941 года за подписью т. Шапошникова, данный по распоряжению тов. Сталина).</w:t>
      </w:r>
    </w:p>
    <w:p w14:paraId="02DC61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Вместо честного и безусловного выполнения этих приказов Ставки и принятия на месте решительных мер против пораженческих настроений и пораженческого поведения командования крымских войск, тов. Кулик в нарушение приказа Ставки и своего воинского долга санкционировал сдачу Керчи противнику и своим паникерским поведением в Керчи только усилил пораженческие настроения и деморализацию в среде командования крымских войск.</w:t>
      </w:r>
    </w:p>
    <w:p w14:paraId="5B9CD2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Попытка т. Кулика оправдать самовольную сдачу Керчи необходимостью спасти находившиеся на Керченском полуострове вооружение и технику только подтверждают, что т. Кулик не ставил задачи обороны Керчи во что бы то ни стало, а сознательно шел на нарушение приказа Ставки и своим паникерским поведением облегчил врагу временный захват Керчи и Керченского полуострова.</w:t>
      </w:r>
    </w:p>
    <w:p w14:paraId="2A3584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Государственный Комитет Обороны считает, что такое поведение т. Кулика не случайно, так как такое пораженческое поведение имело место также при самовольной сдаче Ростова без санкции Ставки и вопреки приказу Ставки.</w:t>
      </w:r>
    </w:p>
    <w:p w14:paraId="622209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 основании всего сказанного, Государственный Комитет Обороны постановляет привлечь к суду маршала Кулика и передать его дело на рассмотрение прокурора СССР.</w:t>
      </w:r>
    </w:p>
    <w:p w14:paraId="4EE064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Состав суда определить особо.</w:t>
      </w:r>
    </w:p>
    <w:p w14:paraId="118DDB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w:t>
      </w:r>
    </w:p>
    <w:p w14:paraId="0A26D4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Государственного Комитета Обороны</w:t>
      </w:r>
    </w:p>
    <w:p w14:paraId="0EB094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2733FA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Известия ЦК КПСС. 1991. № 8. С. 203–204 (11652).</w:t>
      </w:r>
    </w:p>
    <w:p w14:paraId="10150A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282C4"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C9F4D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B7E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февраля 1942 года адмирал Кузнецов подготовил доклад И.В.С.: </w:t>
      </w:r>
    </w:p>
    <w:p w14:paraId="6ABCD5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случае выступления Японии против СССР огромное значение на ход войны будут иметь действия нашей авиации против политических и промышленных центров Японии. Судя по японской печати и разведывательным данным, этот вопрос сильно тревожит общественные круги и государственных деятелей Японии. </w:t>
      </w:r>
    </w:p>
    <w:p w14:paraId="6960AE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наших аэродромов, расположенных в районе Владивостока, используя метеорологические условия, темное время суток и т. д., возможно использовать наши дальние бомбардировщики (ДБ-3ф), радиус действия которых перекрывает основные политические и промышленные центры Японских островов (Токио, Иокосука, Нагоя, Осака, Кобе, Киото, Модзи). </w:t>
      </w:r>
    </w:p>
    <w:p w14:paraId="3D0960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Опыт бомбардировки Берлина с острова Эзель, через Балтийское море, показывает, что для выполнения таких специфических операций требуется специально подготовленная часть с отобранным личным составом и целеустремленной боевой подготовкой. </w:t>
      </w:r>
    </w:p>
    <w:p w14:paraId="2BCDE8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Характер операции при длительных перелетах над морем, необходимость метеообеспечения и связи с кораблями, а также наличие наиболее выдвинутых аэродромов в составе ТОФ требуют, чтобы операции возглавлялись Командованием Тихоокеанского флота. </w:t>
      </w:r>
    </w:p>
    <w:p w14:paraId="1560E7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чем считаю целесообразным: </w:t>
      </w:r>
    </w:p>
    <w:p w14:paraId="41A5F8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Выполнение задачи бомбардировки политических и промышленных центров Японии возложить на ВС ТОФ. </w:t>
      </w:r>
    </w:p>
    <w:p w14:paraId="17392A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Для выполнения этой задачи сформировать специальную авиационную бригаду, подчинив ее Военному совету Тихоокеанского флота" (12066). </w:t>
      </w:r>
    </w:p>
    <w:p w14:paraId="0724DD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8784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33C07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FB77EE" w14:textId="77777777" w:rsidR="0087221D" w:rsidRPr="008127F8" w:rsidRDefault="008722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февраля</w:t>
      </w:r>
      <w:r w:rsidRPr="008127F8">
        <w:rPr>
          <w:rFonts w:ascii="Times New Roman" w:hAnsi="Times New Roman"/>
          <w:color w:val="000000" w:themeColor="text1"/>
          <w:sz w:val="16"/>
          <w:szCs w:val="16"/>
        </w:rPr>
        <w:t xml:space="preserve"> в 1942 году из-за пожара в двигателе, перекинувшегося на весь самолет, сгорел второй экземпляр итальянской летающей лодки </w:t>
      </w:r>
      <w:hyperlink r:id="rId48" w:tgtFrame="_blank" w:history="1">
        <w:r w:rsidRPr="008127F8">
          <w:rPr>
            <w:rFonts w:ascii="Times New Roman" w:hAnsi="Times New Roman"/>
            <w:color w:val="000000" w:themeColor="text1"/>
            <w:sz w:val="16"/>
            <w:szCs w:val="16"/>
          </w:rPr>
          <w:t xml:space="preserve">«Macchi» «MC.100» («ММ.60420»). </w:t>
        </w:r>
      </w:hyperlink>
      <w:r w:rsidRPr="008127F8">
        <w:rPr>
          <w:rFonts w:ascii="Times New Roman" w:hAnsi="Times New Roman"/>
          <w:color w:val="000000" w:themeColor="text1"/>
          <w:sz w:val="16"/>
          <w:szCs w:val="16"/>
        </w:rPr>
        <w:t>«МС.100» имел смешанную конструкцию: фюзеляж, крыло и поплавки были в основном деревянными, с небольшой степенью использования металлических деталей для удешевления производства. Самолёт оснащался тремя радиальными моторами «Alfa Romeo» «126 RC.10» (800 л.с.) с трехлопастными винтами изменяемого в полёте шага, установленными над высокорасположенным крылом. Экипаж из трех человек размещался в носовой части фюзеляжа, а для радиста выделили отдельное место в носовой застекленной кабине. Внутренний салон вмещал 26 человек, каждое пассажирское место было оборудовано вентиляцией и освещением. Всего построено 3 экземпляра «Macchi» «MC.100» (15032).</w:t>
      </w:r>
    </w:p>
    <w:p w14:paraId="2A34C419" w14:textId="77777777" w:rsidR="0087221D" w:rsidRPr="008127F8" w:rsidRDefault="0087221D" w:rsidP="001E0A84">
      <w:pPr>
        <w:spacing w:after="0" w:line="240" w:lineRule="auto"/>
        <w:jc w:val="both"/>
        <w:rPr>
          <w:rFonts w:ascii="Times New Roman" w:hAnsi="Times New Roman"/>
          <w:color w:val="000000" w:themeColor="text1"/>
          <w:sz w:val="16"/>
          <w:szCs w:val="16"/>
        </w:rPr>
      </w:pPr>
    </w:p>
    <w:p w14:paraId="4553B6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японцы захватили нефтепромыслы на Борнео (2245,2).</w:t>
      </w:r>
    </w:p>
    <w:p w14:paraId="378812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42D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на Филиппинах был создан Национальный антияпонский фронт (3186).</w:t>
      </w:r>
    </w:p>
    <w:p w14:paraId="3EB24F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4556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A9C30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FE46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февраля 1942 И.В.С. говорил с С.В.И., что он был прав в отношении двухместного Ил-2. С.В.И. обещал первую двухместную машину к 1 марта, а вторую - </w:t>
      </w:r>
      <w:r w:rsidRPr="008127F8">
        <w:rPr>
          <w:rFonts w:ascii="Times New Roman" w:hAnsi="Times New Roman"/>
          <w:color w:val="000000" w:themeColor="text1"/>
          <w:sz w:val="16"/>
          <w:szCs w:val="16"/>
        </w:rPr>
        <w:lastRenderedPageBreak/>
        <w:t>к 10 марта 1942 (7,12).</w:t>
      </w:r>
    </w:p>
    <w:p w14:paraId="69EACF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86B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г. была подготовлена для ГКО Маленкова Докладная записка.</w:t>
      </w:r>
    </w:p>
    <w:p w14:paraId="73D05B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Представляю мероприятия по увеличению выпуска самолетов Ил-2 на заводах NN 1 и 18.</w:t>
      </w:r>
    </w:p>
    <w:p w14:paraId="1B5B75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Заводы NN 1, 18 и 24 при оказании им серьезной помощи могут обеспечить следующий выпуск:</w:t>
      </w:r>
    </w:p>
    <w:p w14:paraId="1EA7C5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18 к концу февраля выйдет на сдачу 10 машин в день</w:t>
      </w:r>
    </w:p>
    <w:p w14:paraId="255855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 к концу февраля выйдет на сдачу 3 машин в день</w:t>
      </w:r>
    </w:p>
    <w:p w14:paraId="48DF36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18 к концу марта выйдет на сдачу 13 машин в день</w:t>
      </w:r>
    </w:p>
    <w:p w14:paraId="3629F9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 к концу марта выйдет на сдачу 6-7 машин в день</w:t>
      </w:r>
    </w:p>
    <w:p w14:paraId="034DD1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18 к концу апреля выйдет на сдачу 15 машин в день</w:t>
      </w:r>
    </w:p>
    <w:p w14:paraId="5B6F81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 к концу апреля выйдет на сдачу 10-11 машин в день</w:t>
      </w:r>
    </w:p>
    <w:p w14:paraId="5FCDA2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мая завод N 1 может выйти на сдачу 13-14 машин в день.</w:t>
      </w:r>
    </w:p>
    <w:p w14:paraId="6EE6FB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выпуска указанного количества машин и обеспечения соответствующего количества моторов Ам-38 с завода N 24, необходимо проведение следующих мероприятий:</w:t>
      </w:r>
    </w:p>
    <w:p w14:paraId="2E3FB5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строительству.</w:t>
      </w:r>
    </w:p>
    <w:p w14:paraId="5D1E53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заводу N 24.</w:t>
      </w:r>
    </w:p>
    <w:p w14:paraId="6F6813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Закончить к 20 февраля полностью монтаж и строительные работы в цехах: литейном, кузнице, термическом и гальваническом.</w:t>
      </w:r>
    </w:p>
    <w:p w14:paraId="06C967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Обеспечить ввод в эксплуатацию сборочного и монтажного цехов в низкой зоне 4-го корпуса к 5.III-42 г.</w:t>
      </w:r>
    </w:p>
    <w:p w14:paraId="77A44F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Закончить строительство и монтаж испытательной станции на 24 кабины не позднее 25 февраля.</w:t>
      </w:r>
    </w:p>
    <w:p w14:paraId="758702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По готовым изделиям.</w:t>
      </w:r>
    </w:p>
    <w:p w14:paraId="577C96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самолетов Ил-2 бронекорпуса делает один Сталинградский завод. Он дает в день 8-10 корпусов. К середине марта заводы NN 18 и 1 не будут иметь корпусов для программы.</w:t>
      </w:r>
    </w:p>
    <w:p w14:paraId="61AC7F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Нужно обязать Наркомтанкпром увеличить выпуск бронекорпусов с Сталинградского завода, выдавая с 25 февраля по 15 шт. в день и с 10 марта по 25 штук в день.</w:t>
      </w:r>
    </w:p>
    <w:p w14:paraId="31A339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целях сокращения перевозок организовать в Куйбышеве:</w:t>
      </w:r>
    </w:p>
    <w:p w14:paraId="5DF4BA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производство самолетных колес на заводе N 1 Оргавиапрома. Производство колес на этом заводе можно развернуть, если его освободить от производства детали М-13.</w:t>
      </w:r>
    </w:p>
    <w:p w14:paraId="10B07D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Организовать в Куйбышеве производства водяных и масляных радиаторов для самолетов Ил-2. производство радиаторов можно организовать в помещении авторемонтной базы УОС НКВД. (Для этого забрать часть оборудования и кадров с завода N 34 в Троицке Челябинской области) (1623,74).</w:t>
      </w:r>
    </w:p>
    <w:p w14:paraId="5DC5EF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Потом появилась и подписанная версия</w:t>
      </w:r>
    </w:p>
    <w:p w14:paraId="0D75EA3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4A5C6"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февраля 1942 г. завод № 207 передал заводу № 18 первую партию комплектных бронекорпусов, собранных из задела, вывезенного из Подольска. Одновременно завод по</w:t>
      </w:r>
      <w:r w:rsidRPr="008A2E5A">
        <w:rPr>
          <w:rFonts w:ascii="Times New Roman" w:hAnsi="Times New Roman"/>
          <w:color w:val="0070C0"/>
          <w:sz w:val="16"/>
          <w:szCs w:val="16"/>
        </w:rPr>
        <w:softHyphen/>
        <w:t>лучил 60 комплектов бронекорпусов, изготовленных в Ленинграде на Ижорском заводе. До тех пор, пока за</w:t>
      </w:r>
      <w:r w:rsidRPr="008A2E5A">
        <w:rPr>
          <w:rFonts w:ascii="Times New Roman" w:hAnsi="Times New Roman"/>
          <w:color w:val="0070C0"/>
          <w:sz w:val="16"/>
          <w:szCs w:val="16"/>
        </w:rPr>
        <w:softHyphen/>
        <w:t>вод № 207 разворачивал свое производство, поставка бронекорпусов на заводы №№ 1 и 18 осуществлялась заводами № 183 и 264 НКТП (23346).</w:t>
      </w:r>
    </w:p>
    <w:p w14:paraId="6DE8A380" w14:textId="77777777" w:rsidR="009E31D1" w:rsidRPr="008A2E5A" w:rsidRDefault="009E31D1" w:rsidP="009E31D1">
      <w:pPr>
        <w:spacing w:after="0" w:line="240" w:lineRule="auto"/>
        <w:jc w:val="both"/>
        <w:rPr>
          <w:rFonts w:ascii="Times New Roman" w:hAnsi="Times New Roman"/>
          <w:color w:val="0070C0"/>
          <w:sz w:val="16"/>
          <w:szCs w:val="16"/>
        </w:rPr>
      </w:pPr>
    </w:p>
    <w:p w14:paraId="7FA626E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г. конструк</w:t>
      </w:r>
      <w:r w:rsidRPr="008127F8">
        <w:rPr>
          <w:rFonts w:ascii="Times New Roman" w:hAnsi="Times New Roman"/>
          <w:color w:val="000000" w:themeColor="text1"/>
          <w:sz w:val="16"/>
          <w:szCs w:val="16"/>
        </w:rPr>
        <w:softHyphen/>
        <w:t>тор бомбардировщика и штурмовика П.О. Сухой фигурировал в числе один</w:t>
      </w:r>
      <w:r w:rsidRPr="008127F8">
        <w:rPr>
          <w:rFonts w:ascii="Times New Roman" w:hAnsi="Times New Roman"/>
          <w:color w:val="000000" w:themeColor="text1"/>
          <w:sz w:val="16"/>
          <w:szCs w:val="16"/>
        </w:rPr>
        <w:softHyphen/>
        <w:t>надцати кандидатов, выдвигаемых Нар</w:t>
      </w:r>
      <w:r w:rsidRPr="008127F8">
        <w:rPr>
          <w:rFonts w:ascii="Times New Roman" w:hAnsi="Times New Roman"/>
          <w:color w:val="000000" w:themeColor="text1"/>
          <w:sz w:val="16"/>
          <w:szCs w:val="16"/>
        </w:rPr>
        <w:softHyphen/>
        <w:t>коматом авиационной промышленности на соискание Сталинской премии. Ровно через год нарком А.И. Шахурин направил председателю комитета по Сталинским премиям академику А.И. Баху следующее письмо:</w:t>
      </w:r>
    </w:p>
    <w:p w14:paraId="242F423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CDB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г. в НИИ ВВС закончились испытания Пе-2 № 16/11 с убирающимся лыжным шасси. Они показали, что техника пилотирования самолета изменилась мало. Надежность лыж и прочность замков для фиксации их в крайних положениях были вполне достаточны. Вызывала сожаление лишь очень большая потеря скорости - до 34 км/час. Поэтому лыжное шасси не нашло широкого применения (3542).</w:t>
      </w:r>
    </w:p>
    <w:p w14:paraId="3C431B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C6E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г. испытания Пе-2 № 16/11 с убирающимся лыжным шасси закончились в НИИ ВВС показали, что техника пилотирования самолета изменилась мало. Надежность лыж и прочность замков для фиксации их в крайних положениях оказались вполне достаточными. Вызывала сожаление лишь очень большая потеря скорости - до 34 км/ч. Поэтому лыжное шасси не нашло широкого применения. Вот что сообщали командованию из 603-го бап: "В полку лыжами оборудовали один Пе-2. Для остальных лыж нет, да они особо и не нужны. Проходимость и маневренность Пе-2 даже в глубоком снегу хорошая".</w:t>
      </w:r>
    </w:p>
    <w:p w14:paraId="41B5C5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эксплуатация самолета зимой особых затруднений не вызывала. Чтобы не разморозить водо- и маслорадиаторы, эти жидкости на ночь сливали, а перед вылетом на задание в рубашки остывших моторов заливали кипяток (причем эту операцию приходилось проделывать два-три раза в зависимости от температуры воздуха), а в маслобаки - разогретое масло. С учетом этих операций на подготовку одного самолета Пе-2 к вылету уходило до двух часов. В некоторых полках, где имелись в достаточном количестве лампы подогрева АПЛ-1, было организовано непрерывное дежурство технических экипажей, поддерживавших моторы в "теплом" состоянии. В ряде частей поступали менее разумно: на протяжении всей ночи моторы периодически запускали и прогревали 10-15 мин; в результате быстро расходовался ценный моторесурс. И хотя вышестоящие штабы отмечали недопустимость такой практики, она получила широкое распространение, особенно в полках истребителей - ведь иначе невозможно было обеспечить своевременный вылет на перехват самолетов противника (12042).</w:t>
      </w:r>
    </w:p>
    <w:p w14:paraId="756FB9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7A85F"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февраля 1942 г. в НИИ ВВС прошли госиспытания Пе-2 зав. № 16/11 головной, пикирующий бомбардировщик с возможностью установки лыжного шасси. На самолете были установлены лыжные шасси, предусмотренные в проекте самолета «100». При этом на МГ был установлены дополнительные панели, а створки ниш сняты (их закрывали сами ниши). Такая доработка была возможна на любом строевом самолете.</w:t>
      </w:r>
    </w:p>
    <w:p w14:paraId="78C32697"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показали падение максимальной скорости на 34 км/ч. Проходимость Пе-2 по снегу была хорошей.</w:t>
      </w:r>
    </w:p>
    <w:p w14:paraId="71AC6623"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Внедрение лыжных шасси началось еще в конце 1941 г. и к концу января 1942 г. было сдано 250 комплектов. Однако установка лыжного шасси вызывала потерю скорости до 34 км/ч, и в строевых частях были вынуждены принять меры по укатыванию аэродромов со снежным покрытием для полетов на колесном шасси (23565).</w:t>
      </w:r>
    </w:p>
    <w:p w14:paraId="7DD75382" w14:textId="77777777" w:rsidR="00DF5B7C" w:rsidRPr="008A2E5A" w:rsidRDefault="00DF5B7C" w:rsidP="00DF5B7C">
      <w:pPr>
        <w:spacing w:after="0" w:line="240" w:lineRule="auto"/>
        <w:jc w:val="both"/>
        <w:rPr>
          <w:rFonts w:ascii="Times New Roman" w:hAnsi="Times New Roman"/>
          <w:color w:val="0070C0"/>
          <w:sz w:val="16"/>
          <w:szCs w:val="16"/>
        </w:rPr>
      </w:pPr>
    </w:p>
    <w:p w14:paraId="78CDCF5D"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первых числах февраля 1942 г. начались пробежки по аэродрому ДВБ-102 2М-120 (ДВБ, «102», М-2, без б/№) 1-й опытный, дальний высотный бомбардировщик. На первой скоростной пробежке Жданов выявил шимми передней опоры шасси. Он успел прекратить разбег и аварии не произошло. Демпфер шимми был доработан, чем изжили дефект.</w:t>
      </w:r>
    </w:p>
    <w:p w14:paraId="0A99217E"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совершил первый полет 17.02.41 г. (командир экипажа В.И. Жданов) (23552).</w:t>
      </w:r>
    </w:p>
    <w:p w14:paraId="2FA6983F" w14:textId="77777777" w:rsidR="00DF5B7C" w:rsidRPr="008A2E5A" w:rsidRDefault="00DF5B7C" w:rsidP="00DF5B7C">
      <w:pPr>
        <w:spacing w:after="0" w:line="240" w:lineRule="auto"/>
        <w:jc w:val="both"/>
        <w:rPr>
          <w:rFonts w:ascii="Times New Roman" w:hAnsi="Times New Roman"/>
          <w:color w:val="0070C0"/>
          <w:sz w:val="16"/>
          <w:szCs w:val="16"/>
        </w:rPr>
      </w:pPr>
    </w:p>
    <w:p w14:paraId="5A1930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ЛаГГ-3 с пушкой 11-П добрался до полигона для проведения испытаний по стрельбе в полете, так как решили не проводить наземных государственных испытаний. Испытывал л-и С.К.Воробьев (263,44).</w:t>
      </w:r>
    </w:p>
    <w:p w14:paraId="137705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AE2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В.П.Федрови выполнил первый полет на ТС-1 А.Я.Щербакова (Ще-2) под Москвой (576,4).</w:t>
      </w:r>
    </w:p>
    <w:p w14:paraId="34A6DD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D42D9"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начале февраля 1942 г. построили </w:t>
      </w:r>
      <w:proofErr w:type="gramStart"/>
      <w:r w:rsidRPr="008A2E5A">
        <w:rPr>
          <w:rFonts w:ascii="Times New Roman" w:hAnsi="Times New Roman"/>
          <w:color w:val="0070C0"/>
          <w:sz w:val="16"/>
          <w:szCs w:val="16"/>
        </w:rPr>
        <w:t>опытный ТС-1</w:t>
      </w:r>
      <w:proofErr w:type="gramEnd"/>
      <w:r w:rsidRPr="008A2E5A">
        <w:rPr>
          <w:rFonts w:ascii="Times New Roman" w:hAnsi="Times New Roman"/>
          <w:color w:val="0070C0"/>
          <w:sz w:val="16"/>
          <w:szCs w:val="16"/>
        </w:rPr>
        <w:t xml:space="preserve"> и он совершил первый полет. Машина показала хорошие взлетно-посадочные качества, отличную устойчивость и управляемость.</w:t>
      </w:r>
    </w:p>
    <w:p w14:paraId="1BAA3CBA"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июля самолет был предъявлен ВВС как транспортный, десантно-транспортный и санитарный. В августе ТС-1 прошел государственные испытания и был рекомендован в серию.</w:t>
      </w:r>
    </w:p>
    <w:p w14:paraId="6CE86064" w14:textId="77777777" w:rsidR="00DF5B7C" w:rsidRPr="008A2E5A" w:rsidRDefault="00DF5B7C" w:rsidP="00DF5B7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1943 г. самолет был запущен в производство на заводе № 47 в городе Чкалове под названием Ще-2 (24202).</w:t>
      </w:r>
    </w:p>
    <w:p w14:paraId="29C6DEB4" w14:textId="77777777" w:rsidR="00DF5B7C" w:rsidRPr="008A2E5A" w:rsidRDefault="00DF5B7C" w:rsidP="00DF5B7C">
      <w:pPr>
        <w:spacing w:after="0" w:line="240" w:lineRule="auto"/>
        <w:jc w:val="both"/>
        <w:rPr>
          <w:rFonts w:ascii="Times New Roman" w:hAnsi="Times New Roman"/>
          <w:color w:val="0070C0"/>
          <w:sz w:val="16"/>
          <w:szCs w:val="16"/>
        </w:rPr>
      </w:pPr>
    </w:p>
    <w:p w14:paraId="0099568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5992F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B537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прошли испытания Т-70. Несмотря на ряд поломок трансмис</w:t>
      </w:r>
      <w:r w:rsidRPr="008127F8">
        <w:rPr>
          <w:rFonts w:ascii="Times New Roman" w:hAnsi="Times New Roman"/>
          <w:color w:val="000000" w:themeColor="text1"/>
          <w:sz w:val="16"/>
          <w:szCs w:val="16"/>
        </w:rPr>
        <w:softHyphen/>
        <w:t>сии (испытания велись'в глубоком снегу при температуре окружающего воздуха до минус 35°), они закончились успешно. Од</w:t>
      </w:r>
      <w:r w:rsidRPr="008127F8">
        <w:rPr>
          <w:rFonts w:ascii="Times New Roman" w:hAnsi="Times New Roman"/>
          <w:color w:val="000000" w:themeColor="text1"/>
          <w:sz w:val="16"/>
          <w:szCs w:val="16"/>
        </w:rPr>
        <w:softHyphen/>
        <w:t>нако прототип не оправдал ожиданий воен</w:t>
      </w:r>
      <w:r w:rsidRPr="008127F8">
        <w:rPr>
          <w:rFonts w:ascii="Times New Roman" w:hAnsi="Times New Roman"/>
          <w:color w:val="000000" w:themeColor="text1"/>
          <w:sz w:val="16"/>
          <w:szCs w:val="16"/>
        </w:rPr>
        <w:softHyphen/>
        <w:t>ных: его бронирование в основном соответ</w:t>
      </w:r>
      <w:r w:rsidRPr="008127F8">
        <w:rPr>
          <w:rFonts w:ascii="Times New Roman" w:hAnsi="Times New Roman"/>
          <w:color w:val="000000" w:themeColor="text1"/>
          <w:sz w:val="16"/>
          <w:szCs w:val="16"/>
        </w:rPr>
        <w:softHyphen/>
        <w:t>ствовало Т-60 и было лишь незначительно усилено в лобовой части. Литая башня Дедкова показала плохую стойкость к по</w:t>
      </w:r>
      <w:r w:rsidRPr="008127F8">
        <w:rPr>
          <w:rFonts w:ascii="Times New Roman" w:hAnsi="Times New Roman"/>
          <w:color w:val="000000" w:themeColor="text1"/>
          <w:sz w:val="16"/>
          <w:szCs w:val="16"/>
        </w:rPr>
        <w:softHyphen/>
        <w:t>паданию не только 37-мм, но и 20-мм сна</w:t>
      </w:r>
      <w:r w:rsidRPr="008127F8">
        <w:rPr>
          <w:rFonts w:ascii="Times New Roman" w:hAnsi="Times New Roman"/>
          <w:color w:val="000000" w:themeColor="text1"/>
          <w:sz w:val="16"/>
          <w:szCs w:val="16"/>
        </w:rPr>
        <w:softHyphen/>
        <w:t>рядов, а для утолщения ее стенок был необ</w:t>
      </w:r>
      <w:r w:rsidRPr="008127F8">
        <w:rPr>
          <w:rFonts w:ascii="Times New Roman" w:hAnsi="Times New Roman"/>
          <w:color w:val="000000" w:themeColor="text1"/>
          <w:sz w:val="16"/>
          <w:szCs w:val="16"/>
        </w:rPr>
        <w:softHyphen/>
        <w:t>ходим новый кокиль. Кроме того, в башне ГАЗ-70, как и Т-60, располагался один че</w:t>
      </w:r>
      <w:r w:rsidRPr="008127F8">
        <w:rPr>
          <w:rFonts w:ascii="Times New Roman" w:hAnsi="Times New Roman"/>
          <w:color w:val="000000" w:themeColor="text1"/>
          <w:sz w:val="16"/>
          <w:szCs w:val="16"/>
        </w:rPr>
        <w:softHyphen/>
        <w:t>ловек. Поэтому отношение военных к тан</w:t>
      </w:r>
      <w:r w:rsidRPr="008127F8">
        <w:rPr>
          <w:rFonts w:ascii="Times New Roman" w:hAnsi="Times New Roman"/>
          <w:color w:val="000000" w:themeColor="text1"/>
          <w:sz w:val="16"/>
          <w:szCs w:val="16"/>
        </w:rPr>
        <w:softHyphen/>
        <w:t>ку было, мягко говоря, неоднозначным...</w:t>
      </w:r>
    </w:p>
    <w:p w14:paraId="3318A1D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Тем не менее, главный </w:t>
      </w:r>
      <w:proofErr w:type="gramStart"/>
      <w:r w:rsidRPr="008127F8">
        <w:rPr>
          <w:rFonts w:ascii="Times New Roman" w:hAnsi="Times New Roman"/>
          <w:color w:val="000000" w:themeColor="text1"/>
          <w:sz w:val="16"/>
          <w:szCs w:val="16"/>
        </w:rPr>
        <w:t>конструктор</w:t>
      </w:r>
      <w:proofErr w:type="gramEnd"/>
      <w:r w:rsidRPr="008127F8">
        <w:rPr>
          <w:rFonts w:ascii="Times New Roman" w:hAnsi="Times New Roman"/>
          <w:color w:val="000000" w:themeColor="text1"/>
          <w:sz w:val="16"/>
          <w:szCs w:val="16"/>
        </w:rPr>
        <w:t xml:space="preserve"> но танковому производству ГАЗ Н. Астров обещал, что указанные недостатки будут уст</w:t>
      </w:r>
      <w:r w:rsidRPr="008127F8">
        <w:rPr>
          <w:rFonts w:ascii="Times New Roman" w:hAnsi="Times New Roman"/>
          <w:color w:val="000000" w:themeColor="text1"/>
          <w:sz w:val="16"/>
          <w:szCs w:val="16"/>
        </w:rPr>
        <w:softHyphen/>
        <w:t xml:space="preserve">ранены в кратчайший срок, для чего в </w:t>
      </w:r>
      <w:r w:rsidRPr="008127F8">
        <w:rPr>
          <w:rFonts w:ascii="Times New Roman" w:hAnsi="Times New Roman"/>
          <w:color w:val="000000" w:themeColor="text1"/>
          <w:sz w:val="16"/>
          <w:szCs w:val="16"/>
        </w:rPr>
        <w:lastRenderedPageBreak/>
        <w:t>план опытных работ I квартала 1942 г. было вклю</w:t>
      </w:r>
      <w:r w:rsidRPr="008127F8">
        <w:rPr>
          <w:rFonts w:ascii="Times New Roman" w:hAnsi="Times New Roman"/>
          <w:color w:val="000000" w:themeColor="text1"/>
          <w:sz w:val="16"/>
          <w:szCs w:val="16"/>
        </w:rPr>
        <w:softHyphen/>
        <w:t>чено «создание танка ГАЗ-70 с увеличенной башней». Используя резерв массы (при мощ</w:t>
      </w:r>
      <w:r w:rsidRPr="008127F8">
        <w:rPr>
          <w:rFonts w:ascii="Times New Roman" w:hAnsi="Times New Roman"/>
          <w:color w:val="000000" w:themeColor="text1"/>
          <w:sz w:val="16"/>
          <w:szCs w:val="16"/>
        </w:rPr>
        <w:softHyphen/>
        <w:t>ности двигателя 135-140 л.с. для танка мас</w:t>
      </w:r>
      <w:r w:rsidRPr="008127F8">
        <w:rPr>
          <w:rFonts w:ascii="Times New Roman" w:hAnsi="Times New Roman"/>
          <w:color w:val="000000" w:themeColor="text1"/>
          <w:sz w:val="16"/>
          <w:szCs w:val="16"/>
        </w:rPr>
        <w:softHyphen/>
        <w:t>сой 8,5-9 т), удалось усилить его броню. Средний лобовой лист был утолщен до 45 мм, верхний - до 30 мм, вместо литой башни Дедкова танк получил сварную - из катаной брони высокой твердости с толщиной стенок 35 мм. Масса машины при этом выросла до 9,2 т, и в таком виде танк был рекомендован для принятия на вооружение в ожидании разработки улучшенного образца. Последовавшее вскоре решение о запуске Т-70 в серию мало что изменило в танковых войсках РККА. Каждый Т-70 требовал вдвое больше двигательных агрегатов, аналогич</w:t>
      </w:r>
      <w:r w:rsidRPr="008127F8">
        <w:rPr>
          <w:rFonts w:ascii="Times New Roman" w:hAnsi="Times New Roman"/>
          <w:color w:val="000000" w:themeColor="text1"/>
          <w:sz w:val="16"/>
          <w:szCs w:val="16"/>
        </w:rPr>
        <w:softHyphen/>
        <w:t>ных установленным на Т-60; понятно, поче</w:t>
      </w:r>
      <w:r w:rsidRPr="008127F8">
        <w:rPr>
          <w:rFonts w:ascii="Times New Roman" w:hAnsi="Times New Roman"/>
          <w:color w:val="000000" w:themeColor="text1"/>
          <w:sz w:val="16"/>
          <w:szCs w:val="16"/>
        </w:rPr>
        <w:softHyphen/>
        <w:t>му на заводах с неохотой приступали к осво</w:t>
      </w:r>
      <w:r w:rsidRPr="008127F8">
        <w:rPr>
          <w:rFonts w:ascii="Times New Roman" w:hAnsi="Times New Roman"/>
          <w:color w:val="000000" w:themeColor="text1"/>
          <w:sz w:val="16"/>
          <w:szCs w:val="16"/>
        </w:rPr>
        <w:softHyphen/>
        <w:t>ению Т-70 и почему вскоре возникли затруд</w:t>
      </w:r>
      <w:r w:rsidRPr="008127F8">
        <w:rPr>
          <w:rFonts w:ascii="Times New Roman" w:hAnsi="Times New Roman"/>
          <w:color w:val="000000" w:themeColor="text1"/>
          <w:sz w:val="16"/>
          <w:szCs w:val="16"/>
        </w:rPr>
        <w:softHyphen/>
        <w:t>нения в выполнении суточного плана выпу</w:t>
      </w:r>
      <w:r w:rsidRPr="008127F8">
        <w:rPr>
          <w:rFonts w:ascii="Times New Roman" w:hAnsi="Times New Roman"/>
          <w:color w:val="000000" w:themeColor="text1"/>
          <w:sz w:val="16"/>
          <w:szCs w:val="16"/>
        </w:rPr>
        <w:softHyphen/>
        <w:t>ска легких танков. Несколько разрядило си</w:t>
      </w:r>
      <w:r w:rsidRPr="008127F8">
        <w:rPr>
          <w:rFonts w:ascii="Times New Roman" w:hAnsi="Times New Roman"/>
          <w:color w:val="000000" w:themeColor="text1"/>
          <w:sz w:val="16"/>
          <w:szCs w:val="16"/>
        </w:rPr>
        <w:softHyphen/>
        <w:t>туацию неожиданное решение нового нарко</w:t>
      </w:r>
      <w:r w:rsidRPr="008127F8">
        <w:rPr>
          <w:rFonts w:ascii="Times New Roman" w:hAnsi="Times New Roman"/>
          <w:color w:val="000000" w:themeColor="text1"/>
          <w:sz w:val="16"/>
          <w:szCs w:val="16"/>
        </w:rPr>
        <w:softHyphen/>
        <w:t>ма НКТП И. Зальцмана отодвинуть срок пе</w:t>
      </w:r>
      <w:r w:rsidRPr="008127F8">
        <w:rPr>
          <w:rFonts w:ascii="Times New Roman" w:hAnsi="Times New Roman"/>
          <w:color w:val="000000" w:themeColor="text1"/>
          <w:sz w:val="16"/>
          <w:szCs w:val="16"/>
        </w:rPr>
        <w:softHyphen/>
        <w:t>рехода на повсеместный выпуск Т-70 снача</w:t>
      </w:r>
      <w:r w:rsidRPr="008127F8">
        <w:rPr>
          <w:rFonts w:ascii="Times New Roman" w:hAnsi="Times New Roman"/>
          <w:color w:val="000000" w:themeColor="text1"/>
          <w:sz w:val="16"/>
          <w:szCs w:val="16"/>
        </w:rPr>
        <w:softHyphen/>
        <w:t>ла на 1 июля, а потом и на 1 октября 1942 г. Трудно сказать, что двигало его помыслами, но знающие люди уверяли, что такое реше</w:t>
      </w:r>
      <w:r w:rsidRPr="008127F8">
        <w:rPr>
          <w:rFonts w:ascii="Times New Roman" w:hAnsi="Times New Roman"/>
          <w:color w:val="000000" w:themeColor="text1"/>
          <w:sz w:val="16"/>
          <w:szCs w:val="16"/>
        </w:rPr>
        <w:softHyphen/>
        <w:t>ние дало ему возможность доложить о пере</w:t>
      </w:r>
      <w:r w:rsidRPr="008127F8">
        <w:rPr>
          <w:rFonts w:ascii="Times New Roman" w:hAnsi="Times New Roman"/>
          <w:color w:val="000000" w:themeColor="text1"/>
          <w:sz w:val="16"/>
          <w:szCs w:val="16"/>
        </w:rPr>
        <w:softHyphen/>
        <w:t>выполнении плана выпуска танков во 2-м полугодии 1942 г. (11084).</w:t>
      </w:r>
    </w:p>
    <w:p w14:paraId="530685A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407615" w14:textId="77777777"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shd w:val="clear" w:color="auto" w:fill="FFFFFF"/>
        </w:rPr>
        <w:t xml:space="preserve">С начала февраля 1942 года новый танк ГАЗ-70 сам же ГАЗ его в переписке обозначает как Т-70. Следует отметить, что иногда упоминающийся индекс 070 </w:t>
      </w:r>
      <w:proofErr w:type="gramStart"/>
      <w:r w:rsidRPr="008127F8">
        <w:rPr>
          <w:color w:val="000000" w:themeColor="text1"/>
          <w:sz w:val="16"/>
          <w:szCs w:val="16"/>
          <w:shd w:val="clear" w:color="auto" w:fill="FFFFFF"/>
        </w:rPr>
        <w:t>- это</w:t>
      </w:r>
      <w:proofErr w:type="gramEnd"/>
      <w:r w:rsidRPr="008127F8">
        <w:rPr>
          <w:color w:val="000000" w:themeColor="text1"/>
          <w:sz w:val="16"/>
          <w:szCs w:val="16"/>
          <w:shd w:val="clear" w:color="auto" w:fill="FFFFFF"/>
        </w:rPr>
        <w:t xml:space="preserve"> богатая фантазия отдельных исследователей. Такой же богатой фантазией являются и некоторые из фактов биографии танка. Включая и то, что якобы у него был конкурент в виде танка Т-45. Нет, конкурент был, только звался он "Т-60 с пушкой ЗИС-19". Темпы разработки обеих машин были примерно одинаковыми. Согласно отчету Окунева от 3 февраля 1942 года, опытный образец Т-70 был в основном собран, но не закончен из-за различных недоработок. Одним из основных факторов, которые тормозили работу, являлась загрузка СКБ КЭО по серийным заказам. По мнению военпреда, для достройки требовалось 10-15 дней. Так оно и случилось: работы по сборке опытного Т-70 закончились 14 февраля 1942 года, после чего начались заводские испытания. При этом боевая масса достигла 8,8 тонн, что лишний раз сыграло против желания усилить борта корпуса (23179).</w:t>
      </w:r>
    </w:p>
    <w:p w14:paraId="10FEC498" w14:textId="77777777"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p>
    <w:p w14:paraId="3C41F1C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 Н. Астров дал обещание ГКО не позднее второго полу</w:t>
      </w:r>
      <w:r w:rsidRPr="008127F8">
        <w:rPr>
          <w:rFonts w:ascii="Times New Roman" w:hAnsi="Times New Roman"/>
          <w:color w:val="000000" w:themeColor="text1"/>
          <w:sz w:val="16"/>
          <w:szCs w:val="16"/>
        </w:rPr>
        <w:softHyphen/>
        <w:t>годия 1942 г. перейти к выпуску трехместно</w:t>
      </w:r>
      <w:r w:rsidRPr="008127F8">
        <w:rPr>
          <w:rFonts w:ascii="Times New Roman" w:hAnsi="Times New Roman"/>
          <w:color w:val="000000" w:themeColor="text1"/>
          <w:sz w:val="16"/>
          <w:szCs w:val="16"/>
        </w:rPr>
        <w:softHyphen/>
        <w:t>го варианта Т-70 и все усилия «танкового КБ» ГАЗа были брошены на это. В апреле-мае 1942 г. проект усовершенствованного танка был утвержден ОГК НКТП, и в июне нача</w:t>
      </w:r>
      <w:r w:rsidRPr="008127F8">
        <w:rPr>
          <w:rFonts w:ascii="Times New Roman" w:hAnsi="Times New Roman"/>
          <w:color w:val="000000" w:themeColor="text1"/>
          <w:sz w:val="16"/>
          <w:szCs w:val="16"/>
        </w:rPr>
        <w:softHyphen/>
        <w:t>лась сборка опытного образца. Общая компоновка танка, вооружение, ходовая часть, корпус, МТО, рабочее место механика-водителя со всеми элементами уп</w:t>
      </w:r>
      <w:r w:rsidRPr="008127F8">
        <w:rPr>
          <w:rFonts w:ascii="Times New Roman" w:hAnsi="Times New Roman"/>
          <w:color w:val="000000" w:themeColor="text1"/>
          <w:sz w:val="16"/>
          <w:szCs w:val="16"/>
        </w:rPr>
        <w:softHyphen/>
        <w:t>равления были почти такими же, как и на Т-70. Главное внешнее отличие заключалось в замене подбашенного листа с увеличенным диаметром беговой дорожки, на которой ус</w:t>
      </w:r>
      <w:r w:rsidRPr="008127F8">
        <w:rPr>
          <w:rFonts w:ascii="Times New Roman" w:hAnsi="Times New Roman"/>
          <w:color w:val="000000" w:themeColor="text1"/>
          <w:sz w:val="16"/>
          <w:szCs w:val="16"/>
        </w:rPr>
        <w:softHyphen/>
        <w:t>танавливалась новая увеличенная башня с двумя рабочими местами командира танка и заряжающего, ставшего по совместитель</w:t>
      </w:r>
      <w:r w:rsidRPr="008127F8">
        <w:rPr>
          <w:rFonts w:ascii="Times New Roman" w:hAnsi="Times New Roman"/>
          <w:color w:val="000000" w:themeColor="text1"/>
          <w:sz w:val="16"/>
          <w:szCs w:val="16"/>
        </w:rPr>
        <w:softHyphen/>
        <w:t>ству радистом. Пулемет в двухместной баш</w:t>
      </w:r>
      <w:r w:rsidRPr="008127F8">
        <w:rPr>
          <w:rFonts w:ascii="Times New Roman" w:hAnsi="Times New Roman"/>
          <w:color w:val="000000" w:themeColor="text1"/>
          <w:sz w:val="16"/>
          <w:szCs w:val="16"/>
        </w:rPr>
        <w:softHyphen/>
        <w:t>не был перемещен слева направо (из-за чего изменили и конструкцию литой маски спа</w:t>
      </w:r>
      <w:r w:rsidRPr="008127F8">
        <w:rPr>
          <w:rFonts w:ascii="Times New Roman" w:hAnsi="Times New Roman"/>
          <w:color w:val="000000" w:themeColor="text1"/>
          <w:sz w:val="16"/>
          <w:szCs w:val="16"/>
        </w:rPr>
        <w:softHyphen/>
        <w:t>ренной установки), а его обслуживание бы</w:t>
      </w:r>
      <w:r w:rsidRPr="008127F8">
        <w:rPr>
          <w:rFonts w:ascii="Times New Roman" w:hAnsi="Times New Roman"/>
          <w:color w:val="000000" w:themeColor="text1"/>
          <w:sz w:val="16"/>
          <w:szCs w:val="16"/>
        </w:rPr>
        <w:softHyphen/>
        <w:t xml:space="preserve">ло передано заряжающему. Кроме того, планировалось установить командирскую башенку; но ввиду </w:t>
      </w:r>
      <w:proofErr w:type="gramStart"/>
      <w:r w:rsidRPr="008127F8">
        <w:rPr>
          <w:rFonts w:ascii="Times New Roman" w:hAnsi="Times New Roman"/>
          <w:color w:val="000000" w:themeColor="text1"/>
          <w:sz w:val="16"/>
          <w:szCs w:val="16"/>
        </w:rPr>
        <w:t>того</w:t>
      </w:r>
      <w:proofErr w:type="gramEnd"/>
      <w:r w:rsidRPr="008127F8">
        <w:rPr>
          <w:rFonts w:ascii="Times New Roman" w:hAnsi="Times New Roman"/>
          <w:color w:val="000000" w:themeColor="text1"/>
          <w:sz w:val="16"/>
          <w:szCs w:val="16"/>
        </w:rPr>
        <w:t xml:space="preserve"> что она требовала не менее 5 перископических приборов наблюдения, имела приличный вес, мешала открыванию и закрытию башен</w:t>
      </w:r>
      <w:r w:rsidRPr="008127F8">
        <w:rPr>
          <w:rFonts w:ascii="Times New Roman" w:hAnsi="Times New Roman"/>
          <w:color w:val="000000" w:themeColor="text1"/>
          <w:sz w:val="16"/>
          <w:szCs w:val="16"/>
        </w:rPr>
        <w:softHyphen/>
        <w:t>ного люка, было решено ограничиться уста</w:t>
      </w:r>
      <w:r w:rsidRPr="008127F8">
        <w:rPr>
          <w:rFonts w:ascii="Times New Roman" w:hAnsi="Times New Roman"/>
          <w:color w:val="000000" w:themeColor="text1"/>
          <w:sz w:val="16"/>
          <w:szCs w:val="16"/>
        </w:rPr>
        <w:softHyphen/>
        <w:t>новкой на опытном образце поворотной ко</w:t>
      </w:r>
      <w:r w:rsidRPr="008127F8">
        <w:rPr>
          <w:rFonts w:ascii="Times New Roman" w:hAnsi="Times New Roman"/>
          <w:color w:val="000000" w:themeColor="text1"/>
          <w:sz w:val="16"/>
          <w:szCs w:val="16"/>
        </w:rPr>
        <w:softHyphen/>
        <w:t>мандирской панорамы. Для ведения огня из личного оружия в обоих бортах башни были сделаны амбразуры, закрывавшиеся броне</w:t>
      </w:r>
      <w:r w:rsidRPr="008127F8">
        <w:rPr>
          <w:rFonts w:ascii="Times New Roman" w:hAnsi="Times New Roman"/>
          <w:color w:val="000000" w:themeColor="text1"/>
          <w:sz w:val="16"/>
          <w:szCs w:val="16"/>
        </w:rPr>
        <w:softHyphen/>
        <w:t>выми заслонками.</w:t>
      </w:r>
    </w:p>
    <w:p w14:paraId="48E557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Броневая защита корпуса была усилена за счет увеличения толщины бортовых лис</w:t>
      </w:r>
      <w:r w:rsidRPr="008127F8">
        <w:rPr>
          <w:rFonts w:ascii="Times New Roman" w:hAnsi="Times New Roman"/>
          <w:color w:val="000000" w:themeColor="text1"/>
          <w:sz w:val="16"/>
          <w:szCs w:val="16"/>
        </w:rPr>
        <w:softHyphen/>
        <w:t>тов до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8127F8">
        <w:rPr>
          <w:rFonts w:ascii="Times New Roman" w:hAnsi="Times New Roman"/>
          <w:color w:val="000000" w:themeColor="text1"/>
          <w:sz w:val="16"/>
          <w:szCs w:val="16"/>
        </w:rPr>
        <w:softHyphen/>
        <w:t>кали соответственно 60° и 30°. Башня была сварена из броневых листов высокой твердо</w:t>
      </w:r>
      <w:r w:rsidRPr="008127F8">
        <w:rPr>
          <w:rFonts w:ascii="Times New Roman" w:hAnsi="Times New Roman"/>
          <w:color w:val="000000" w:themeColor="text1"/>
          <w:sz w:val="16"/>
          <w:szCs w:val="16"/>
        </w:rPr>
        <w:softHyphen/>
        <w:t>сти толщиной 35 мм (11084).</w:t>
      </w:r>
    </w:p>
    <w:p w14:paraId="216B09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47A45"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начала февраля 1942 года сам же ГАЗ новый ГАЗ-70 в переписке обозначает как Т-70. Следует отметить, что иногда упоминающийся индекс 070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богатая фантазия отдельных исследователей. Такой же богатой фантазией являются и некоторые из фактов биографии танка. Включая и то, что якобы у него был конкурент в виде танка Т-45. Нет, конкурент был, только звался он "Т-60 с пушкой ЗИС-19". Темпы разработки обеих машин были примерно одинаковыми (24235).</w:t>
      </w:r>
    </w:p>
    <w:p w14:paraId="0D4376FF" w14:textId="77777777" w:rsidR="00E43DE7" w:rsidRPr="008A2E5A" w:rsidRDefault="00E43DE7" w:rsidP="00E43DE7">
      <w:pPr>
        <w:spacing w:after="0" w:line="240" w:lineRule="auto"/>
        <w:jc w:val="both"/>
        <w:rPr>
          <w:rFonts w:ascii="Times New Roman" w:hAnsi="Times New Roman"/>
          <w:color w:val="0070C0"/>
          <w:sz w:val="16"/>
          <w:szCs w:val="16"/>
        </w:rPr>
      </w:pPr>
    </w:p>
    <w:p w14:paraId="226683A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1D4AC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EE6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Постановление ГКО № 1254 Об обучении летчиков на новых типах самолетов в 1942 г. РГАНИР, Фонд ГКО, д. 21, лл. 17 (11012).</w:t>
      </w:r>
    </w:p>
    <w:p w14:paraId="62D03C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BBC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февраля 1942 г. вышло ПОСТАНОВЛЕНИЕ № ГКО-1254сс Москва, Кремль </w:t>
      </w:r>
    </w:p>
    <w:p w14:paraId="1689FA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некоторыми затруднениями получения новых типов самолетов и обеспечения ими в 1942 году всех военных авиационных школ пилотов ВВС КА, согласно приказа НКО № 00116 от 9.XII.41 г., Государственный Комитет Обороны постановляет: </w:t>
      </w:r>
    </w:p>
    <w:p w14:paraId="465F51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Обучение курсантов-пилотов в 1942 году на новых типах самолетов производить в следующих военных авиационных школах пилотов: </w:t>
      </w:r>
    </w:p>
    <w:p w14:paraId="51CEB1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Борисоглебской - 8 эскадрилий на ЛАГГ-3, </w:t>
      </w:r>
    </w:p>
    <w:p w14:paraId="0182E5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Сталинградской - 8 эскадрилий на ЯК-1, </w:t>
      </w:r>
    </w:p>
    <w:p w14:paraId="15A3C8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Энгельской - 8 эскадрилий на ПЕ-2, </w:t>
      </w:r>
    </w:p>
    <w:p w14:paraId="4755E7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 Чкаловской - 8 эскадрилий на ИЛ-2. </w:t>
      </w:r>
    </w:p>
    <w:p w14:paraId="45A83C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Подготовку курсантов-пилотов в остальных школах производить на имеющихся в этих школах типах самолетов с заменой самолета И-15 на И-16. </w:t>
      </w:r>
    </w:p>
    <w:p w14:paraId="6213AC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Для обеспечения подготовки курсантов-пилотов на новых типах самолетов Командующему ВВС КА обеспечить подачу самолетов в школы, согласно следующему расчету: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073"/>
        <w:gridCol w:w="1293"/>
        <w:gridCol w:w="1119"/>
        <w:gridCol w:w="946"/>
        <w:gridCol w:w="946"/>
      </w:tblGrid>
      <w:tr w:rsidR="006F4095" w:rsidRPr="008127F8" w14:paraId="1DDEC700" w14:textId="77777777">
        <w:trPr>
          <w:jc w:val="center"/>
        </w:trPr>
        <w:tc>
          <w:tcPr>
            <w:tcW w:w="4073" w:type="dxa"/>
            <w:tcBorders>
              <w:top w:val="single" w:sz="12" w:space="0" w:color="auto"/>
            </w:tcBorders>
          </w:tcPr>
          <w:p w14:paraId="27C096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93" w:type="dxa"/>
            <w:tcBorders>
              <w:top w:val="single" w:sz="12" w:space="0" w:color="auto"/>
            </w:tcBorders>
          </w:tcPr>
          <w:p w14:paraId="2247A0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1.III</w:t>
            </w:r>
          </w:p>
        </w:tc>
        <w:tc>
          <w:tcPr>
            <w:tcW w:w="1119" w:type="dxa"/>
            <w:tcBorders>
              <w:top w:val="single" w:sz="12" w:space="0" w:color="auto"/>
            </w:tcBorders>
          </w:tcPr>
          <w:p w14:paraId="30F446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w:t>
            </w:r>
            <w:proofErr w:type="gramStart"/>
            <w:r w:rsidRPr="008127F8">
              <w:rPr>
                <w:rFonts w:ascii="Times New Roman" w:hAnsi="Times New Roman"/>
                <w:color w:val="000000" w:themeColor="text1"/>
                <w:sz w:val="16"/>
                <w:szCs w:val="16"/>
              </w:rPr>
              <w:t>1.IV</w:t>
            </w:r>
            <w:proofErr w:type="gramEnd"/>
          </w:p>
        </w:tc>
        <w:tc>
          <w:tcPr>
            <w:tcW w:w="946" w:type="dxa"/>
            <w:tcBorders>
              <w:top w:val="single" w:sz="12" w:space="0" w:color="auto"/>
            </w:tcBorders>
          </w:tcPr>
          <w:p w14:paraId="26488B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w:t>
            </w:r>
            <w:proofErr w:type="gramStart"/>
            <w:r w:rsidRPr="008127F8">
              <w:rPr>
                <w:rFonts w:ascii="Times New Roman" w:hAnsi="Times New Roman"/>
                <w:color w:val="000000" w:themeColor="text1"/>
                <w:sz w:val="16"/>
                <w:szCs w:val="16"/>
              </w:rPr>
              <w:t>1.V</w:t>
            </w:r>
            <w:proofErr w:type="gramEnd"/>
          </w:p>
        </w:tc>
        <w:tc>
          <w:tcPr>
            <w:tcW w:w="946" w:type="dxa"/>
            <w:tcBorders>
              <w:top w:val="single" w:sz="12" w:space="0" w:color="auto"/>
            </w:tcBorders>
          </w:tcPr>
          <w:p w14:paraId="480C60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36E422D7" w14:textId="77777777" w:rsidTr="00D91C13">
        <w:trPr>
          <w:jc w:val="center"/>
        </w:trPr>
        <w:tc>
          <w:tcPr>
            <w:tcW w:w="4073" w:type="dxa"/>
            <w:gridSpan w:val="5"/>
          </w:tcPr>
          <w:p w14:paraId="0684FC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Борисоглебскую школу –</w:t>
            </w:r>
          </w:p>
        </w:tc>
      </w:tr>
      <w:tr w:rsidR="006F4095" w:rsidRPr="008127F8" w14:paraId="4107D71B" w14:textId="77777777">
        <w:trPr>
          <w:jc w:val="center"/>
        </w:trPr>
        <w:tc>
          <w:tcPr>
            <w:tcW w:w="4073" w:type="dxa"/>
          </w:tcPr>
          <w:p w14:paraId="691953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293" w:type="dxa"/>
          </w:tcPr>
          <w:p w14:paraId="0B949F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119" w:type="dxa"/>
          </w:tcPr>
          <w:p w14:paraId="5FB8A4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946" w:type="dxa"/>
          </w:tcPr>
          <w:p w14:paraId="497F64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6" w:type="dxa"/>
          </w:tcPr>
          <w:p w14:paraId="372C7E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r>
      <w:tr w:rsidR="006F4095" w:rsidRPr="008127F8" w14:paraId="0756CDFF" w14:textId="77777777">
        <w:trPr>
          <w:jc w:val="center"/>
        </w:trPr>
        <w:tc>
          <w:tcPr>
            <w:tcW w:w="4073" w:type="dxa"/>
          </w:tcPr>
          <w:p w14:paraId="64D3FF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ЯК-3</w:t>
            </w:r>
          </w:p>
        </w:tc>
        <w:tc>
          <w:tcPr>
            <w:tcW w:w="1293" w:type="dxa"/>
          </w:tcPr>
          <w:p w14:paraId="340173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119" w:type="dxa"/>
          </w:tcPr>
          <w:p w14:paraId="36C3D2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946" w:type="dxa"/>
          </w:tcPr>
          <w:p w14:paraId="11788C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6" w:type="dxa"/>
          </w:tcPr>
          <w:p w14:paraId="589FD9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r>
      <w:tr w:rsidR="006F4095" w:rsidRPr="008127F8" w14:paraId="59AC0019" w14:textId="77777777" w:rsidTr="00D91C13">
        <w:trPr>
          <w:jc w:val="center"/>
        </w:trPr>
        <w:tc>
          <w:tcPr>
            <w:tcW w:w="4073" w:type="dxa"/>
            <w:gridSpan w:val="5"/>
          </w:tcPr>
          <w:p w14:paraId="282976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DA20713" w14:textId="77777777" w:rsidTr="00D91C13">
        <w:trPr>
          <w:jc w:val="center"/>
        </w:trPr>
        <w:tc>
          <w:tcPr>
            <w:tcW w:w="4073" w:type="dxa"/>
            <w:gridSpan w:val="5"/>
          </w:tcPr>
          <w:p w14:paraId="368CAB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Сталинградскую школу –</w:t>
            </w:r>
          </w:p>
        </w:tc>
      </w:tr>
      <w:tr w:rsidR="006F4095" w:rsidRPr="008127F8" w14:paraId="45F86B8B" w14:textId="77777777">
        <w:trPr>
          <w:jc w:val="center"/>
        </w:trPr>
        <w:tc>
          <w:tcPr>
            <w:tcW w:w="4073" w:type="dxa"/>
          </w:tcPr>
          <w:p w14:paraId="5BF642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293" w:type="dxa"/>
          </w:tcPr>
          <w:p w14:paraId="116EEA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119" w:type="dxa"/>
          </w:tcPr>
          <w:p w14:paraId="67366D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946" w:type="dxa"/>
          </w:tcPr>
          <w:p w14:paraId="2E182E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6" w:type="dxa"/>
          </w:tcPr>
          <w:p w14:paraId="70AD5D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r>
      <w:tr w:rsidR="006F4095" w:rsidRPr="008127F8" w14:paraId="0A8E1934" w14:textId="77777777">
        <w:trPr>
          <w:jc w:val="center"/>
        </w:trPr>
        <w:tc>
          <w:tcPr>
            <w:tcW w:w="4073" w:type="dxa"/>
          </w:tcPr>
          <w:p w14:paraId="66427A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ЯК-3</w:t>
            </w:r>
          </w:p>
        </w:tc>
        <w:tc>
          <w:tcPr>
            <w:tcW w:w="1293" w:type="dxa"/>
          </w:tcPr>
          <w:p w14:paraId="1F608E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119" w:type="dxa"/>
          </w:tcPr>
          <w:p w14:paraId="5647C6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946" w:type="dxa"/>
          </w:tcPr>
          <w:p w14:paraId="1AA83B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6" w:type="dxa"/>
          </w:tcPr>
          <w:p w14:paraId="42F34A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r>
      <w:tr w:rsidR="006F4095" w:rsidRPr="008127F8" w14:paraId="549516D6" w14:textId="77777777" w:rsidTr="00D91C13">
        <w:trPr>
          <w:jc w:val="center"/>
        </w:trPr>
        <w:tc>
          <w:tcPr>
            <w:tcW w:w="4073" w:type="dxa"/>
            <w:gridSpan w:val="5"/>
          </w:tcPr>
          <w:p w14:paraId="08698E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E0054A" w14:textId="77777777">
        <w:trPr>
          <w:jc w:val="center"/>
        </w:trPr>
        <w:tc>
          <w:tcPr>
            <w:tcW w:w="4073" w:type="dxa"/>
          </w:tcPr>
          <w:p w14:paraId="769A02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Энгельскую школу ПЕ-2</w:t>
            </w:r>
          </w:p>
        </w:tc>
        <w:tc>
          <w:tcPr>
            <w:tcW w:w="1293" w:type="dxa"/>
          </w:tcPr>
          <w:p w14:paraId="0D5D1F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119" w:type="dxa"/>
          </w:tcPr>
          <w:p w14:paraId="489C47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946" w:type="dxa"/>
          </w:tcPr>
          <w:p w14:paraId="2E77F6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946" w:type="dxa"/>
          </w:tcPr>
          <w:p w14:paraId="4B3B16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r>
      <w:tr w:rsidR="006F4095" w:rsidRPr="008127F8" w14:paraId="244619EA" w14:textId="77777777" w:rsidTr="00D91C13">
        <w:trPr>
          <w:jc w:val="center"/>
        </w:trPr>
        <w:tc>
          <w:tcPr>
            <w:tcW w:w="4073" w:type="dxa"/>
            <w:gridSpan w:val="5"/>
          </w:tcPr>
          <w:p w14:paraId="1137C9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749621C" w14:textId="77777777" w:rsidTr="00D91C13">
        <w:trPr>
          <w:jc w:val="center"/>
        </w:trPr>
        <w:tc>
          <w:tcPr>
            <w:tcW w:w="4073" w:type="dxa"/>
            <w:gridSpan w:val="5"/>
          </w:tcPr>
          <w:p w14:paraId="305CE8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 Чкаловскую школу –</w:t>
            </w:r>
          </w:p>
        </w:tc>
      </w:tr>
      <w:tr w:rsidR="006F4095" w:rsidRPr="008127F8" w14:paraId="03F8B282" w14:textId="77777777">
        <w:trPr>
          <w:jc w:val="center"/>
        </w:trPr>
        <w:tc>
          <w:tcPr>
            <w:tcW w:w="4073" w:type="dxa"/>
          </w:tcPr>
          <w:p w14:paraId="5545C1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293" w:type="dxa"/>
          </w:tcPr>
          <w:p w14:paraId="702063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119" w:type="dxa"/>
          </w:tcPr>
          <w:p w14:paraId="258C33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946" w:type="dxa"/>
          </w:tcPr>
          <w:p w14:paraId="0EAE86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946" w:type="dxa"/>
          </w:tcPr>
          <w:p w14:paraId="5863B3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r>
      <w:tr w:rsidR="006F4095" w:rsidRPr="008127F8" w14:paraId="1D4E3459" w14:textId="77777777">
        <w:trPr>
          <w:jc w:val="center"/>
        </w:trPr>
        <w:tc>
          <w:tcPr>
            <w:tcW w:w="4073" w:type="dxa"/>
          </w:tcPr>
          <w:p w14:paraId="76E4CA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с двойным управл.</w:t>
            </w:r>
          </w:p>
        </w:tc>
        <w:tc>
          <w:tcPr>
            <w:tcW w:w="1293" w:type="dxa"/>
          </w:tcPr>
          <w:p w14:paraId="4240BB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19" w:type="dxa"/>
          </w:tcPr>
          <w:p w14:paraId="485C3C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946" w:type="dxa"/>
          </w:tcPr>
          <w:p w14:paraId="159261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946" w:type="dxa"/>
          </w:tcPr>
          <w:p w14:paraId="2BA2BD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r>
      <w:tr w:rsidR="006F4095" w:rsidRPr="008127F8" w14:paraId="5B887275" w14:textId="77777777" w:rsidTr="00D91C13">
        <w:trPr>
          <w:jc w:val="center"/>
        </w:trPr>
        <w:tc>
          <w:tcPr>
            <w:tcW w:w="4073" w:type="dxa"/>
            <w:gridSpan w:val="5"/>
            <w:tcBorders>
              <w:bottom w:val="single" w:sz="12" w:space="0" w:color="auto"/>
            </w:tcBorders>
          </w:tcPr>
          <w:p w14:paraId="5C3AEC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C9BD1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Обязать Народный Комиссариат Авиационной промышленности немедленно приступить к производству на заводе № 153 самолета ЯК-3 с двойным управлением из расчета 20 самолетов в месяц, начиная с 15 февраля с.г. и на заводе № 16 самолета ИЛ-2 с двойным управлением из расчета 20 самолетов в месяц, начиная с 15 февраля с.г. </w:t>
      </w:r>
    </w:p>
    <w:p w14:paraId="20C454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26EDEA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Новикову, Берия, Маленкову, Шахурину (11434).</w:t>
      </w:r>
    </w:p>
    <w:p w14:paraId="1042E7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FC869"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1942 г. вышло постановление ГКО №1254сс, которым завод №153 обязали начать с 15 февраля, для пополнения учебными машинами запасных авиаполков и авиационных школ, выпуск самолетов Як-3 с двойным управлением по 20 штук в месяц. То есть речь фактически шла о восстановлении производства учебно-боевых истребителей Як-7 (УТИ-26), в то время как завод нала</w:t>
      </w:r>
      <w:r w:rsidRPr="008A2E5A">
        <w:rPr>
          <w:rFonts w:ascii="Times New Roman" w:hAnsi="Times New Roman"/>
          <w:color w:val="0070C0"/>
          <w:sz w:val="16"/>
          <w:szCs w:val="16"/>
        </w:rPr>
        <w:softHyphen/>
        <w:t>живал сборку невооруженных и с неубирающимся шас</w:t>
      </w:r>
      <w:r w:rsidRPr="008A2E5A">
        <w:rPr>
          <w:rFonts w:ascii="Times New Roman" w:hAnsi="Times New Roman"/>
          <w:color w:val="0070C0"/>
          <w:sz w:val="16"/>
          <w:szCs w:val="16"/>
        </w:rPr>
        <w:softHyphen/>
        <w:t>си Як-7В (23381).</w:t>
      </w:r>
    </w:p>
    <w:p w14:paraId="20F85477" w14:textId="77777777" w:rsidR="009E31D1" w:rsidRPr="008A2E5A" w:rsidRDefault="009E31D1" w:rsidP="009E31D1">
      <w:pPr>
        <w:spacing w:after="0" w:line="240" w:lineRule="auto"/>
        <w:jc w:val="both"/>
        <w:rPr>
          <w:rFonts w:ascii="Times New Roman" w:hAnsi="Times New Roman"/>
          <w:color w:val="0070C0"/>
          <w:sz w:val="16"/>
          <w:szCs w:val="16"/>
        </w:rPr>
      </w:pPr>
    </w:p>
    <w:p w14:paraId="71CD176B"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1942 г., учитывая реальные возможности авиационной про</w:t>
      </w:r>
      <w:r w:rsidRPr="008A2E5A">
        <w:rPr>
          <w:rFonts w:ascii="Times New Roman" w:hAnsi="Times New Roman"/>
          <w:color w:val="0070C0"/>
          <w:sz w:val="16"/>
          <w:szCs w:val="16"/>
        </w:rPr>
        <w:softHyphen/>
        <w:t>мышленности и потребности ВВС, постановлением ГКО №1254сс количество школ, обучаю</w:t>
      </w:r>
      <w:r w:rsidRPr="008A2E5A">
        <w:rPr>
          <w:rFonts w:ascii="Times New Roman" w:hAnsi="Times New Roman"/>
          <w:color w:val="0070C0"/>
          <w:sz w:val="16"/>
          <w:szCs w:val="16"/>
        </w:rPr>
        <w:softHyphen/>
        <w:t>щих летчиков-истребителей на новой технике, сократи</w:t>
      </w:r>
      <w:r w:rsidRPr="008A2E5A">
        <w:rPr>
          <w:rFonts w:ascii="Times New Roman" w:hAnsi="Times New Roman"/>
          <w:color w:val="0070C0"/>
          <w:sz w:val="16"/>
          <w:szCs w:val="16"/>
        </w:rPr>
        <w:softHyphen/>
        <w:t>ли до двух: Сталинградской (обучение на ЛаГГ-3) и Бори</w:t>
      </w:r>
      <w:r w:rsidRPr="008A2E5A">
        <w:rPr>
          <w:rFonts w:ascii="Times New Roman" w:hAnsi="Times New Roman"/>
          <w:color w:val="0070C0"/>
          <w:sz w:val="16"/>
          <w:szCs w:val="16"/>
        </w:rPr>
        <w:softHyphen/>
        <w:t>соглебской (обучение на Як-1). Согласно постановлению для наполнения авиапарка этих школ НКАП (завод №153) должен был поставить по 64 самолета Як-7В в каждую из них (по 32 машины к апрелю и к маю 1942 г.). Таким обра</w:t>
      </w:r>
      <w:r w:rsidRPr="008A2E5A">
        <w:rPr>
          <w:rFonts w:ascii="Times New Roman" w:hAnsi="Times New Roman"/>
          <w:color w:val="0070C0"/>
          <w:sz w:val="16"/>
          <w:szCs w:val="16"/>
        </w:rPr>
        <w:softHyphen/>
        <w:t>зом, в 8 учебных эскадрильях школ планировалось иметь не по пять, как по довоенным планам, а по 8 учебно-тре</w:t>
      </w:r>
      <w:r w:rsidRPr="008A2E5A">
        <w:rPr>
          <w:rFonts w:ascii="Times New Roman" w:hAnsi="Times New Roman"/>
          <w:color w:val="0070C0"/>
          <w:sz w:val="16"/>
          <w:szCs w:val="16"/>
        </w:rPr>
        <w:softHyphen/>
        <w:t>нировочных истребителей нового типа. В дальнейшем заводу им. Чкалова предписывалось изготавливать по 20 Як-7В ежемесячно, начиная с 15 февраля. Однако в свя</w:t>
      </w:r>
      <w:r w:rsidRPr="008A2E5A">
        <w:rPr>
          <w:rFonts w:ascii="Times New Roman" w:hAnsi="Times New Roman"/>
          <w:color w:val="0070C0"/>
          <w:sz w:val="16"/>
          <w:szCs w:val="16"/>
        </w:rPr>
        <w:softHyphen/>
        <w:t>зи с полным переходом Новосибирского авиазавода на производство истребителей Як-7А до мая 1942 г. ни та, ни другая ВАШП не получили ни одного Як-7В (три машины отгрузили с завода в Краснодарскую и по две в Армавир</w:t>
      </w:r>
      <w:r w:rsidRPr="008A2E5A">
        <w:rPr>
          <w:rFonts w:ascii="Times New Roman" w:hAnsi="Times New Roman"/>
          <w:color w:val="0070C0"/>
          <w:sz w:val="16"/>
          <w:szCs w:val="16"/>
        </w:rPr>
        <w:softHyphen/>
        <w:t>скую и Бирмскую ВАШП). Всего за 1942 г. Сталинград</w:t>
      </w:r>
      <w:r w:rsidRPr="008A2E5A">
        <w:rPr>
          <w:rFonts w:ascii="Times New Roman" w:hAnsi="Times New Roman"/>
          <w:color w:val="0070C0"/>
          <w:sz w:val="16"/>
          <w:szCs w:val="16"/>
        </w:rPr>
        <w:softHyphen/>
        <w:t>ская ВАШП получила 12, а Борисоглебская - 10 Як-7В. По свидетельству С.П. Шпунякова, поступившего в Сталин</w:t>
      </w:r>
      <w:r w:rsidRPr="008A2E5A">
        <w:rPr>
          <w:rFonts w:ascii="Times New Roman" w:hAnsi="Times New Roman"/>
          <w:color w:val="0070C0"/>
          <w:sz w:val="16"/>
          <w:szCs w:val="16"/>
        </w:rPr>
        <w:softHyphen/>
        <w:t>градскую авиашколу в 1940 г., часть курсантов, досрочно и полностью закончивших двухгодичную программу об</w:t>
      </w:r>
      <w:r w:rsidRPr="008A2E5A">
        <w:rPr>
          <w:rFonts w:ascii="Times New Roman" w:hAnsi="Times New Roman"/>
          <w:color w:val="0070C0"/>
          <w:sz w:val="16"/>
          <w:szCs w:val="16"/>
        </w:rPr>
        <w:softHyphen/>
        <w:t xml:space="preserve">учения на </w:t>
      </w:r>
      <w:r w:rsidRPr="008A2E5A">
        <w:rPr>
          <w:rFonts w:ascii="Times New Roman" w:hAnsi="Times New Roman"/>
          <w:color w:val="0070C0"/>
          <w:sz w:val="16"/>
          <w:szCs w:val="16"/>
        </w:rPr>
        <w:lastRenderedPageBreak/>
        <w:t>истребителе И-16, в ноябре 1941 г. выпустили в авиационные полки ПВО Москвы. Оставшаяся половина продолжила обучение на самолетах Як-1. Первый выпуск освоивших новую технику курсантов из Сталинградской авиашколы произошел только в июле 1942 г. (23381).</w:t>
      </w:r>
    </w:p>
    <w:p w14:paraId="64085AEE" w14:textId="77777777" w:rsidR="009E31D1" w:rsidRPr="008A2E5A" w:rsidRDefault="009E31D1" w:rsidP="009E31D1">
      <w:pPr>
        <w:spacing w:after="0" w:line="240" w:lineRule="auto"/>
        <w:jc w:val="both"/>
        <w:rPr>
          <w:rFonts w:ascii="Times New Roman" w:hAnsi="Times New Roman"/>
          <w:color w:val="0070C0"/>
          <w:sz w:val="16"/>
          <w:szCs w:val="16"/>
        </w:rPr>
      </w:pPr>
    </w:p>
    <w:p w14:paraId="2F954E6E"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1942 г. в 22-й зап для пе</w:t>
      </w:r>
      <w:r w:rsidRPr="008A2E5A">
        <w:rPr>
          <w:rFonts w:ascii="Times New Roman" w:hAnsi="Times New Roman"/>
          <w:color w:val="0070C0"/>
          <w:sz w:val="16"/>
          <w:szCs w:val="16"/>
        </w:rPr>
        <w:softHyphen/>
        <w:t>реучивания прибыла 50-я окаэ майора И.А. Кочановского, успевшая повоевать на Ленинградском фронте. Майор и стал председателем комиссии по испытаниям 0-52, которые были оперативно, но слегка поверхностно проведены в конце февра</w:t>
      </w:r>
      <w:r w:rsidRPr="008A2E5A">
        <w:rPr>
          <w:rFonts w:ascii="Times New Roman" w:hAnsi="Times New Roman"/>
          <w:color w:val="0070C0"/>
          <w:sz w:val="16"/>
          <w:szCs w:val="16"/>
        </w:rPr>
        <w:softHyphen/>
        <w:t>ля — начале марта по заданию Отдела бое</w:t>
      </w:r>
      <w:r w:rsidRPr="008A2E5A">
        <w:rPr>
          <w:rFonts w:ascii="Times New Roman" w:hAnsi="Times New Roman"/>
          <w:color w:val="0070C0"/>
          <w:sz w:val="16"/>
          <w:szCs w:val="16"/>
        </w:rPr>
        <w:softHyphen/>
        <w:t>вой подготовки Главного артиллерийского управления.</w:t>
      </w:r>
    </w:p>
    <w:p w14:paraId="0DEE9001"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были вполне удовлетвори</w:t>
      </w:r>
      <w:r w:rsidRPr="008A2E5A">
        <w:rPr>
          <w:rFonts w:ascii="Times New Roman" w:hAnsi="Times New Roman"/>
          <w:color w:val="0070C0"/>
          <w:sz w:val="16"/>
          <w:szCs w:val="16"/>
        </w:rPr>
        <w:softHyphen/>
        <w:t>тельны. По своему оборудованию, обзору, удобству для экипажа «Кертис» разительно отличался от применявшихся в качестве корректировщиков старых отечественных бипланов Р-5, P-Z и ССС, но невысокая все же скорость, слабое вооружение и отсут</w:t>
      </w:r>
      <w:r w:rsidRPr="008A2E5A">
        <w:rPr>
          <w:rFonts w:ascii="Times New Roman" w:hAnsi="Times New Roman"/>
          <w:color w:val="0070C0"/>
          <w:sz w:val="16"/>
          <w:szCs w:val="16"/>
        </w:rPr>
        <w:softHyphen/>
        <w:t>ствие брони стали большой ложкой дег</w:t>
      </w:r>
      <w:r w:rsidRPr="008A2E5A">
        <w:rPr>
          <w:rFonts w:ascii="Times New Roman" w:hAnsi="Times New Roman"/>
          <w:color w:val="0070C0"/>
          <w:sz w:val="16"/>
          <w:szCs w:val="16"/>
        </w:rPr>
        <w:softHyphen/>
        <w:t>тя. Возможности использования машины предлагалось ограничить корректировкой без залета на территорию противника, в противном случае требовали усилить во</w:t>
      </w:r>
      <w:r w:rsidRPr="008A2E5A">
        <w:rPr>
          <w:rFonts w:ascii="Times New Roman" w:hAnsi="Times New Roman"/>
          <w:color w:val="0070C0"/>
          <w:sz w:val="16"/>
          <w:szCs w:val="16"/>
        </w:rPr>
        <w:softHyphen/>
        <w:t>оружение и установить броню.</w:t>
      </w:r>
    </w:p>
    <w:p w14:paraId="14173921"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числа полученных машин, планировалось вооружить 0-52 три эска</w:t>
      </w:r>
      <w:r w:rsidRPr="008A2E5A">
        <w:rPr>
          <w:rFonts w:ascii="Times New Roman" w:hAnsi="Times New Roman"/>
          <w:color w:val="0070C0"/>
          <w:sz w:val="16"/>
          <w:szCs w:val="16"/>
        </w:rPr>
        <w:softHyphen/>
        <w:t>дрильи. Поэтому в дополнение к имевшей</w:t>
      </w:r>
      <w:r w:rsidRPr="008A2E5A">
        <w:rPr>
          <w:rFonts w:ascii="Times New Roman" w:hAnsi="Times New Roman"/>
          <w:color w:val="0070C0"/>
          <w:sz w:val="16"/>
          <w:szCs w:val="16"/>
        </w:rPr>
        <w:softHyphen/>
        <w:t>ся 50-й эскадрилье в Кинешме были вновь сформированы две: 12-я окаэ (коман</w:t>
      </w:r>
      <w:r w:rsidRPr="008A2E5A">
        <w:rPr>
          <w:rFonts w:ascii="Times New Roman" w:hAnsi="Times New Roman"/>
          <w:color w:val="0070C0"/>
          <w:sz w:val="16"/>
          <w:szCs w:val="16"/>
        </w:rPr>
        <w:softHyphen/>
        <w:t>дир — старший лейтенант Ф.А. Пропп) на базе личного состава 19-й окаэ и 13-я окаэ (капитана К.М. Мясоедова) на основе 42-й окаэ. Первой 15 февраля начала летать на 0-52 50-я окаэ, две другие эскадрильи — с 27 февраля. Обучение шло довольно активно, и вскоре самолеты начали ло</w:t>
      </w:r>
      <w:r w:rsidRPr="008A2E5A">
        <w:rPr>
          <w:rFonts w:ascii="Times New Roman" w:hAnsi="Times New Roman"/>
          <w:color w:val="0070C0"/>
          <w:sz w:val="16"/>
          <w:szCs w:val="16"/>
        </w:rPr>
        <w:softHyphen/>
        <w:t>маться. Впервые это случилось в 12-й окаэ 12 марта. Экипаж командира звена млад</w:t>
      </w:r>
      <w:r w:rsidRPr="008A2E5A">
        <w:rPr>
          <w:rFonts w:ascii="Times New Roman" w:hAnsi="Times New Roman"/>
          <w:color w:val="0070C0"/>
          <w:sz w:val="16"/>
          <w:szCs w:val="16"/>
        </w:rPr>
        <w:softHyphen/>
        <w:t>шего лейтенанта Д.Д. Мухара на какое-то время потерял ориентировку в маршрут</w:t>
      </w:r>
      <w:r w:rsidRPr="008A2E5A">
        <w:rPr>
          <w:rFonts w:ascii="Times New Roman" w:hAnsi="Times New Roman"/>
          <w:color w:val="0070C0"/>
          <w:sz w:val="16"/>
          <w:szCs w:val="16"/>
        </w:rPr>
        <w:softHyphen/>
        <w:t>ном полете, и горючего до аэродрома не хватило. В результате — вынужденная посадка и 0-52, требующий капитального ремонта.</w:t>
      </w:r>
    </w:p>
    <w:p w14:paraId="59F75465"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освоения заокеанской тех</w:t>
      </w:r>
      <w:r w:rsidRPr="008A2E5A">
        <w:rPr>
          <w:rFonts w:ascii="Times New Roman" w:hAnsi="Times New Roman"/>
          <w:color w:val="0070C0"/>
          <w:sz w:val="16"/>
          <w:szCs w:val="16"/>
        </w:rPr>
        <w:softHyphen/>
        <w:t>ники вывели из строя еще три машины, все из 13-й окаэ. 3 мая на самолете сержан</w:t>
      </w:r>
      <w:r w:rsidRPr="008A2E5A">
        <w:rPr>
          <w:rFonts w:ascii="Times New Roman" w:hAnsi="Times New Roman"/>
          <w:color w:val="0070C0"/>
          <w:sz w:val="16"/>
          <w:szCs w:val="16"/>
        </w:rPr>
        <w:softHyphen/>
        <w:t>та П.И. Яковлева при рулежке сложилось шасси; повреждения заставили отправить самолет в мастерские. 30 мая и 2 июня произошли поломки у командиров звень</w:t>
      </w:r>
      <w:r w:rsidRPr="008A2E5A">
        <w:rPr>
          <w:rFonts w:ascii="Times New Roman" w:hAnsi="Times New Roman"/>
          <w:color w:val="0070C0"/>
          <w:sz w:val="16"/>
          <w:szCs w:val="16"/>
        </w:rPr>
        <w:softHyphen/>
        <w:t>ев В.С. Бережного и Ф.В. Рязанова. В итоге при окончательном распределении 50-й окаэ не хватило самолетов — ей достались только два вместо штатных шести (23513).</w:t>
      </w:r>
    </w:p>
    <w:p w14:paraId="006D8362" w14:textId="77777777" w:rsidR="009E31D1" w:rsidRPr="008A2E5A" w:rsidRDefault="009E31D1" w:rsidP="009E31D1">
      <w:pPr>
        <w:spacing w:after="0" w:line="240" w:lineRule="auto"/>
        <w:jc w:val="both"/>
        <w:rPr>
          <w:rFonts w:ascii="Times New Roman" w:hAnsi="Times New Roman"/>
          <w:color w:val="0070C0"/>
          <w:sz w:val="16"/>
          <w:szCs w:val="16"/>
        </w:rPr>
      </w:pPr>
    </w:p>
    <w:p w14:paraId="71B86E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Постановление ГКО № 1256 О дополнительном обеспечении рабочей силой авиационных заводов в г. Куйбышеве. РГАНИР, Фонд ГКО, д. 21, лл. 19-20 (11012).</w:t>
      </w:r>
    </w:p>
    <w:p w14:paraId="4B6F0D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607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решение ГКО о производстве Як-3 и Ил-2 с двойным управлением (1536,43).</w:t>
      </w:r>
    </w:p>
    <w:p w14:paraId="111061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F5D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С.В.И. писал А.И.Ш. письмо N 128с:</w:t>
      </w:r>
    </w:p>
    <w:p w14:paraId="176D04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экономии цветного металла - дюралюминия, вношу предложение перейти на самолете ДБ-3 с М-82 на деревянный фюзеляж и деревянную консоль. Попутно при разработке деревянной консоли, мною увеличена емкость консольных бензобаков на 800 кг.</w:t>
      </w:r>
    </w:p>
    <w:p w14:paraId="4C58CD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емкость бензобаков самолета ДБ-3Ф будет:</w:t>
      </w:r>
    </w:p>
    <w:p w14:paraId="05C2C0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вместо 2750 кг - 3350 кг, что увеличит дальность на 800 км.</w:t>
      </w:r>
    </w:p>
    <w:p w14:paraId="1B66D4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данный момент самолет ДБ-3Ф в связи с добавлением 4 человека экипажа, установку доп. брони имеет центровку в диапазоне 34-38%, что делает самолет утомительным и неприятным для пользования. Поэтому также при разработке деревянной консоли мною учтено это обстоятельство и центровка будет в пределах 30-32%.</w:t>
      </w:r>
    </w:p>
    <w:p w14:paraId="5302D8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улучшения взлетного качества самолета, профиль на консоли изменен вместо Кларк У-15 поставлен NACA-230.</w:t>
      </w:r>
    </w:p>
    <w:p w14:paraId="2F3C12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Чертежи деревянного фюзеляжа самолета ДБ-3Ф, который уже в свое время строился на заводе 39, а также чертежи деревянной консоли имеются полностью разработанными, находятся в Москве и могут быть в любой момент отправлены на завод 126.</w:t>
      </w:r>
    </w:p>
    <w:p w14:paraId="2EAE70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самолета ДБ-3Ф с деревянным фюзеляжем и консолями дает экономию цветного металла - главным образом листового дюралюминия толщиной 0.5 и 0.6 мм - 800 кг.</w:t>
      </w:r>
    </w:p>
    <w:p w14:paraId="752761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Переход на деревянный фюзеляж и консоль возможен лишь при установке М-82, а также колес 1100х400 мм (1679,58).</w:t>
      </w:r>
    </w:p>
    <w:p w14:paraId="02D8C0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4125D"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1942 года в письме №128с Ильюшин до</w:t>
      </w:r>
      <w:r w:rsidRPr="008A2E5A">
        <w:rPr>
          <w:rFonts w:ascii="Times New Roman" w:hAnsi="Times New Roman"/>
          <w:color w:val="0070C0"/>
          <w:sz w:val="16"/>
          <w:szCs w:val="16"/>
        </w:rPr>
        <w:softHyphen/>
        <w:t>кладывал Наркому Шахурину: «... В данный момент самолет ДБ-3Ф в связи с добавлением 4 человека экипажа, установку доп. брони имеет центровку в диапазоне 34-38%, что дела</w:t>
      </w:r>
      <w:r w:rsidRPr="008A2E5A">
        <w:rPr>
          <w:rFonts w:ascii="Times New Roman" w:hAnsi="Times New Roman"/>
          <w:color w:val="0070C0"/>
          <w:sz w:val="16"/>
          <w:szCs w:val="16"/>
        </w:rPr>
        <w:softHyphen/>
        <w:t xml:space="preserve">ет самолет утомительным и неприятным для пользования. Поэтому также при разработке деревянной консоли мною учтено это обстоятельство и центровка будет в пределах 30-32%...» (24139). </w:t>
      </w:r>
    </w:p>
    <w:p w14:paraId="46014F0E" w14:textId="77777777" w:rsidR="009E31D1" w:rsidRPr="008A2E5A" w:rsidRDefault="009E31D1" w:rsidP="009E31D1">
      <w:pPr>
        <w:spacing w:after="0" w:line="240" w:lineRule="auto"/>
        <w:jc w:val="both"/>
        <w:rPr>
          <w:rFonts w:ascii="Times New Roman" w:hAnsi="Times New Roman"/>
          <w:color w:val="0070C0"/>
          <w:sz w:val="16"/>
          <w:szCs w:val="16"/>
        </w:rPr>
      </w:pPr>
    </w:p>
    <w:p w14:paraId="5054D0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Постановление ГКО, в соответствии с которым в мае 1943 г. в ОКБ С. В. Ильюшина был построен тяжелый штурмовик Ил-АМ-42, получивший впоследствии обозначение Ил-8 АМ-42 (9649).</w:t>
      </w:r>
    </w:p>
    <w:p w14:paraId="60DC7D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008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Постановление ГКО № 1252 Об увеличении выпуска самолетов У-2. РГАНИР, Фонд ГКО, д. 21, лл. 15 (11012).</w:t>
      </w:r>
    </w:p>
    <w:p w14:paraId="331F91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33E9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Постановление ГКО № 1253 [О выделении фронтам от 30 до 50 % самолетов, поступающих от авиапромышленности.] (7022, 16).</w:t>
      </w:r>
    </w:p>
    <w:p w14:paraId="2C25AE1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413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года М.Багиров обратился к Л.П.Берия с просьбой передать выпуск самолетов УТИ-4 с завода № 458 ереванскому заводу и обещал техпомощ, чтобы направить освободившуюся производственную мощь на массовый выпуск истребителей “ЯК-3” (10684).</w:t>
      </w:r>
    </w:p>
    <w:p w14:paraId="17ACA9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4444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6EC39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5174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года вышел приказ № 45 НКБ</w:t>
      </w:r>
    </w:p>
    <w:p w14:paraId="4A0B9F0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выделением производства снаряжения взрывателей и средств воспламенения на территорию бывшего завода № 358, местечко Теплый Стан Московской обл. из состава завода № 398 выделить завод по снаряжению взрывателей и средств воспламенения, присвоив ему № 358 (5799, 231-232).</w:t>
      </w:r>
    </w:p>
    <w:p w14:paraId="3AE13A2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06C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года был утвержден Устав завода № 589 НКВ (9209).</w:t>
      </w:r>
    </w:p>
    <w:p w14:paraId="72CC09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862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года была подготовлена справка:</w:t>
      </w:r>
    </w:p>
    <w:p w14:paraId="290142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509 был объединен с заводом № 367 (9276).</w:t>
      </w:r>
    </w:p>
    <w:p w14:paraId="3062F5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D1110" w14:textId="77777777" w:rsidR="0081262A" w:rsidRPr="008127F8" w:rsidRDefault="0081262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К 7 февраля 1942 были готовы первые два серийных танка КВ-8, да и то, процесс их сдачи затянулся. Кроме того, даже если бы всё шло в установленные сроки, то возникала проблема под названием "АТО-41". Завод №222 прекратил выпуск огнеметов в октябре 1941 года и уехал в эвакуацию. По состоянию на февраль 1941 года ЧКЗ имел в наличии всего 8 огнеметов (22608).</w:t>
      </w:r>
    </w:p>
    <w:p w14:paraId="25649291" w14:textId="77777777" w:rsidR="0081262A" w:rsidRPr="008127F8" w:rsidRDefault="0081262A" w:rsidP="001E0A84">
      <w:pPr>
        <w:pStyle w:val="article-renderblock"/>
        <w:shd w:val="clear" w:color="auto" w:fill="FFFFFF"/>
        <w:spacing w:before="0" w:beforeAutospacing="0" w:after="0" w:afterAutospacing="0"/>
        <w:jc w:val="both"/>
        <w:rPr>
          <w:color w:val="000000" w:themeColor="text1"/>
          <w:sz w:val="16"/>
          <w:szCs w:val="16"/>
        </w:rPr>
      </w:pPr>
    </w:p>
    <w:p w14:paraId="5F7A17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февраля 1942 г. приказом № 50 заводам СТЗ и № 112 предписывалось «срочно (в срок 5 дней) унифицировать электрооборудование танка А-34, об исполнении доложить. 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совместная комиссия НИИ-48 и за</w:t>
      </w:r>
      <w:r w:rsidRPr="008127F8">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8127F8">
        <w:rPr>
          <w:rFonts w:ascii="Times New Roman" w:hAnsi="Times New Roman"/>
          <w:color w:val="000000" w:themeColor="text1"/>
          <w:sz w:val="16"/>
          <w:szCs w:val="16"/>
        </w:rPr>
        <w:softHyphen/>
        <w:t>ней толщиной 60 мм. А уже 28 декабря группа НИИ-48 на за</w:t>
      </w:r>
      <w:r w:rsidRPr="008127F8">
        <w:rPr>
          <w:rFonts w:ascii="Times New Roman" w:hAnsi="Times New Roman"/>
          <w:color w:val="000000" w:themeColor="text1"/>
          <w:sz w:val="16"/>
          <w:szCs w:val="16"/>
        </w:rPr>
        <w:softHyphen/>
        <w:t>воде № 264 под руководством Кофмана провела исследова</w:t>
      </w:r>
      <w:r w:rsidRPr="008127F8">
        <w:rPr>
          <w:rFonts w:ascii="Times New Roman" w:hAnsi="Times New Roman"/>
          <w:color w:val="000000" w:themeColor="text1"/>
          <w:sz w:val="16"/>
          <w:szCs w:val="16"/>
        </w:rPr>
        <w:softHyphen/>
        <w:t>ния броневых листов толщиной 45 мм, применявшихся заво</w:t>
      </w:r>
      <w:r w:rsidRPr="008127F8">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8127F8">
        <w:rPr>
          <w:rFonts w:ascii="Times New Roman" w:hAnsi="Times New Roman"/>
          <w:color w:val="000000" w:themeColor="text1"/>
          <w:sz w:val="16"/>
          <w:szCs w:val="16"/>
        </w:rPr>
        <w:softHyphen/>
        <w:t>ли весьма высокую стойкость к воздействию малокалибер</w:t>
      </w:r>
      <w:r w:rsidRPr="008127F8">
        <w:rPr>
          <w:rFonts w:ascii="Times New Roman" w:hAnsi="Times New Roman"/>
          <w:color w:val="000000" w:themeColor="text1"/>
          <w:sz w:val="16"/>
          <w:szCs w:val="16"/>
        </w:rPr>
        <w:softHyphen/>
        <w:t>ных бронебойных снарядов (37-мм, 45-мм), они недоста</w:t>
      </w:r>
      <w:r w:rsidRPr="008127F8">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8127F8">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8127F8">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69DD7F7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6F56BC"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г.</w:t>
      </w:r>
    </w:p>
    <w:p w14:paraId="575F6315"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1 Дело 7 лист 234 – 236</w:t>
      </w:r>
    </w:p>
    <w:p w14:paraId="0168EEFB"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1A4B833"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КОМИССАРИАТА ТАНКОВОЙ ПРОМЫШЛЕННОСТИ СОЮЗА ССР</w:t>
      </w:r>
    </w:p>
    <w:p w14:paraId="173B4C08"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50</w:t>
      </w:r>
    </w:p>
    <w:p w14:paraId="58E0832B"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3814E9EB"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"7" февраля 1942 г.</w:t>
      </w:r>
    </w:p>
    <w:p w14:paraId="155E9DB6" w14:textId="4C63958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целью проведения максимальной унификации электрооборудования машин, облегчающей снабжение, эксплоатацию и ремонт их, приказываю:</w:t>
      </w:r>
      <w:r w:rsidR="008127F8">
        <w:rPr>
          <w:rFonts w:ascii="Times New Roman" w:hAnsi="Times New Roman"/>
          <w:color w:val="000000" w:themeColor="text1"/>
          <w:sz w:val="16"/>
          <w:szCs w:val="16"/>
        </w:rPr>
        <w:t xml:space="preserve">  </w:t>
      </w:r>
    </w:p>
    <w:p w14:paraId="69D51194" w14:textId="2ED1415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Утвердить мероприятия, намеченные техническим совещанием при 2-м отделе НКТП от 4-го февраля 1942 года по вопросу унификации электрооборудования машин.</w:t>
      </w:r>
      <w:r w:rsidR="008127F8">
        <w:rPr>
          <w:rFonts w:ascii="Times New Roman" w:hAnsi="Times New Roman"/>
          <w:color w:val="000000" w:themeColor="text1"/>
          <w:sz w:val="16"/>
          <w:szCs w:val="16"/>
        </w:rPr>
        <w:t xml:space="preserve">  </w:t>
      </w:r>
    </w:p>
    <w:p w14:paraId="2E103907"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по машинам КВ и Т-34.</w:t>
      </w:r>
    </w:p>
    <w:p w14:paraId="3F68885A" w14:textId="0D1DFD72"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установить единое напряжение бортовой электросети в 24 вольта (сохранив питание от 12-ти вольт от середины последовательно включенных аккумуляторов только для связи);</w:t>
      </w:r>
      <w:r w:rsidR="008127F8">
        <w:rPr>
          <w:rFonts w:ascii="Times New Roman" w:hAnsi="Times New Roman"/>
          <w:color w:val="000000" w:themeColor="text1"/>
          <w:sz w:val="16"/>
          <w:szCs w:val="16"/>
        </w:rPr>
        <w:t xml:space="preserve">  </w:t>
      </w:r>
    </w:p>
    <w:p w14:paraId="2843B120" w14:textId="164FAF1F"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установить единый тип аккумуляторов 6-СТЭ-128;</w:t>
      </w:r>
      <w:r w:rsidR="008127F8">
        <w:rPr>
          <w:rFonts w:ascii="Times New Roman" w:hAnsi="Times New Roman"/>
          <w:color w:val="000000" w:themeColor="text1"/>
          <w:sz w:val="16"/>
          <w:szCs w:val="16"/>
        </w:rPr>
        <w:t xml:space="preserve">  </w:t>
      </w:r>
    </w:p>
    <w:p w14:paraId="47EED697" w14:textId="6DB6BE6A"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заменить реле-регулятор РРТ-4576 – упрощенным реле-регулятором РРА-24;</w:t>
      </w:r>
      <w:r w:rsidR="008127F8">
        <w:rPr>
          <w:rFonts w:ascii="Times New Roman" w:hAnsi="Times New Roman"/>
          <w:color w:val="000000" w:themeColor="text1"/>
          <w:sz w:val="16"/>
          <w:szCs w:val="16"/>
        </w:rPr>
        <w:t xml:space="preserve">  </w:t>
      </w:r>
    </w:p>
    <w:p w14:paraId="30AB4103" w14:textId="0E696613"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установить единый тип вращающегося контактного устройства ВКУ-136;</w:t>
      </w:r>
      <w:r w:rsidR="008127F8">
        <w:rPr>
          <w:rFonts w:ascii="Times New Roman" w:hAnsi="Times New Roman"/>
          <w:color w:val="000000" w:themeColor="text1"/>
          <w:sz w:val="16"/>
          <w:szCs w:val="16"/>
        </w:rPr>
        <w:t xml:space="preserve">  </w:t>
      </w:r>
    </w:p>
    <w:p w14:paraId="34E9E7FB" w14:textId="7B78574F"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установить единый тип выключателя массы – конструкции завода ЗЭМ;</w:t>
      </w:r>
      <w:r w:rsidR="008127F8">
        <w:rPr>
          <w:rFonts w:ascii="Times New Roman" w:hAnsi="Times New Roman"/>
          <w:color w:val="000000" w:themeColor="text1"/>
          <w:sz w:val="16"/>
          <w:szCs w:val="16"/>
        </w:rPr>
        <w:t xml:space="preserve">  </w:t>
      </w:r>
    </w:p>
    <w:p w14:paraId="0C756480" w14:textId="55FB394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разработать и установить единый тип мотора для вращения башни.</w:t>
      </w:r>
      <w:r w:rsidR="008127F8">
        <w:rPr>
          <w:rFonts w:ascii="Times New Roman" w:hAnsi="Times New Roman"/>
          <w:color w:val="000000" w:themeColor="text1"/>
          <w:sz w:val="16"/>
          <w:szCs w:val="16"/>
        </w:rPr>
        <w:t xml:space="preserve">  </w:t>
      </w:r>
    </w:p>
    <w:p w14:paraId="0E9D2D96"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по машинам КВ, Т-34 и Т-60.</w:t>
      </w:r>
    </w:p>
    <w:p w14:paraId="3EEA97FA" w14:textId="16397C4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установить единый тип фары со стандартной лампой на напряжение, соответствующее напряжению машины;</w:t>
      </w:r>
      <w:r w:rsidR="008127F8">
        <w:rPr>
          <w:rFonts w:ascii="Times New Roman" w:hAnsi="Times New Roman"/>
          <w:color w:val="000000" w:themeColor="text1"/>
          <w:sz w:val="16"/>
          <w:szCs w:val="16"/>
        </w:rPr>
        <w:t xml:space="preserve">  </w:t>
      </w:r>
    </w:p>
    <w:p w14:paraId="48D52C69" w14:textId="52A2AECC"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заменить блоки защиты типа БЗС на одиночные предохранители типа БЗ-30;</w:t>
      </w:r>
      <w:r w:rsidR="008127F8">
        <w:rPr>
          <w:rFonts w:ascii="Times New Roman" w:hAnsi="Times New Roman"/>
          <w:color w:val="000000" w:themeColor="text1"/>
          <w:sz w:val="16"/>
          <w:szCs w:val="16"/>
        </w:rPr>
        <w:t xml:space="preserve">  </w:t>
      </w:r>
    </w:p>
    <w:p w14:paraId="351582C6" w14:textId="398E1E83"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установить единый тип контрольно-измерительного прибора амперметр типа 4-МШ со шкалой 50–0–50 ампер, допуская замену его, в случае отсутствия, контрольной лампой типа ОСЛ-Т;</w:t>
      </w:r>
      <w:r w:rsidR="008127F8">
        <w:rPr>
          <w:rFonts w:ascii="Times New Roman" w:hAnsi="Times New Roman"/>
          <w:color w:val="000000" w:themeColor="text1"/>
          <w:sz w:val="16"/>
          <w:szCs w:val="16"/>
        </w:rPr>
        <w:t xml:space="preserve">  </w:t>
      </w:r>
    </w:p>
    <w:p w14:paraId="1546BC7A" w14:textId="44A5C4A1"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установить для гудка и сигнализации единые типы кнопок ЗИС, и присоединительных коробок типа 9-К;</w:t>
      </w:r>
      <w:r w:rsidR="008127F8">
        <w:rPr>
          <w:rFonts w:ascii="Times New Roman" w:hAnsi="Times New Roman"/>
          <w:color w:val="000000" w:themeColor="text1"/>
          <w:sz w:val="16"/>
          <w:szCs w:val="16"/>
        </w:rPr>
        <w:t xml:space="preserve">  </w:t>
      </w:r>
    </w:p>
    <w:p w14:paraId="55B93FED" w14:textId="761519F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сократить номенклатуру блокировочных конденсаторов до 3-х на 50 мф, 2 мф и 0,18 – 0,25 мф.</w:t>
      </w:r>
      <w:r w:rsidR="008127F8">
        <w:rPr>
          <w:rFonts w:ascii="Times New Roman" w:hAnsi="Times New Roman"/>
          <w:color w:val="000000" w:themeColor="text1"/>
          <w:sz w:val="16"/>
          <w:szCs w:val="16"/>
        </w:rPr>
        <w:t xml:space="preserve">  </w:t>
      </w:r>
    </w:p>
    <w:p w14:paraId="3ED65C5C" w14:textId="7CCD67CB"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что введение для всех машин унифицированного электрооборудования должно быть произведено со 2-го квартала 1942 года и вся необходимая подготовка производства по заводам Кировскому, СТЗ, № 183, № 37, № 38, № 112 и № 264 должна быть закончена в течение февраля-марта 1942 года.</w:t>
      </w:r>
      <w:r w:rsidR="008127F8">
        <w:rPr>
          <w:rFonts w:ascii="Times New Roman" w:hAnsi="Times New Roman"/>
          <w:color w:val="000000" w:themeColor="text1"/>
          <w:sz w:val="16"/>
          <w:szCs w:val="16"/>
        </w:rPr>
        <w:t xml:space="preserve">  </w:t>
      </w:r>
    </w:p>
    <w:p w14:paraId="40A21987" w14:textId="65A02BD1"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Кировского завода т. МАХОНИНУ, главным инженерам заводов № 183 т. МАКСАРЕВУ, № 37 т. МАРТИРОСОВУ, № 38 т. ЯКОВЛЕВУ, № 112 т. БОНДАРКО, № 264 т. ХАДОС и СТЗ т. ДЕМЬЯНОВИЧУ не позднее 1-го марта 1942 года представить во 2-й отдел НКТП чертежи, принципиальные схемы, а в Главснаб НКТП заявки на детали электрооборудования, измененные или уточненные в связи с проведением унификации, с учетом использования имеющегося задела деталей.</w:t>
      </w:r>
      <w:r w:rsidR="008127F8">
        <w:rPr>
          <w:rFonts w:ascii="Times New Roman" w:hAnsi="Times New Roman"/>
          <w:color w:val="000000" w:themeColor="text1"/>
          <w:sz w:val="16"/>
          <w:szCs w:val="16"/>
        </w:rPr>
        <w:t xml:space="preserve">  </w:t>
      </w:r>
    </w:p>
    <w:p w14:paraId="25BA1D4C" w14:textId="28800E39"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 112 т. МИХАЛЕВУ совместно с Главснабом (т. РОЗИН) проверить возможность получения 24 вольтового генератора типа ГС завода № 266 или ГТ завода "ЗЭМ", стартера СТ-64 с завода № 254, проработать установку их в танке с переводом схемы на 24 вольта и представить соображения во 2-й Отдел НКТП к 1 марта 194 года.</w:t>
      </w:r>
      <w:r w:rsidR="008127F8">
        <w:rPr>
          <w:rFonts w:ascii="Times New Roman" w:hAnsi="Times New Roman"/>
          <w:color w:val="000000" w:themeColor="text1"/>
          <w:sz w:val="16"/>
          <w:szCs w:val="16"/>
        </w:rPr>
        <w:t xml:space="preserve">  </w:t>
      </w:r>
    </w:p>
    <w:p w14:paraId="7002AA7F" w14:textId="629298BA"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Кировского завода тов. МАХОНИНУ обеспечить:</w:t>
      </w:r>
      <w:r w:rsidR="008127F8">
        <w:rPr>
          <w:rFonts w:ascii="Times New Roman" w:hAnsi="Times New Roman"/>
          <w:color w:val="000000" w:themeColor="text1"/>
          <w:sz w:val="16"/>
          <w:szCs w:val="16"/>
        </w:rPr>
        <w:t xml:space="preserve">  </w:t>
      </w:r>
    </w:p>
    <w:p w14:paraId="3153CBB0" w14:textId="0D92051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проверку ВКУ-136 на машине и разработку привода ВКУ-136 единого для машин КВ и Т-34;</w:t>
      </w:r>
      <w:r w:rsidR="008127F8">
        <w:rPr>
          <w:rFonts w:ascii="Times New Roman" w:hAnsi="Times New Roman"/>
          <w:color w:val="000000" w:themeColor="text1"/>
          <w:sz w:val="16"/>
          <w:szCs w:val="16"/>
        </w:rPr>
        <w:t xml:space="preserve">  </w:t>
      </w:r>
    </w:p>
    <w:p w14:paraId="76B9FB05" w14:textId="0B489CB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испытание мотора поворота башни с целью определения возможности исключения пускового приспособления и трехступенчатого регулятора скорости.</w:t>
      </w:r>
      <w:r w:rsidR="008127F8">
        <w:rPr>
          <w:rFonts w:ascii="Times New Roman" w:hAnsi="Times New Roman"/>
          <w:color w:val="000000" w:themeColor="text1"/>
          <w:sz w:val="16"/>
          <w:szCs w:val="16"/>
        </w:rPr>
        <w:t xml:space="preserve">  </w:t>
      </w:r>
    </w:p>
    <w:p w14:paraId="57DFF815" w14:textId="4F83777E"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 по обоим разделам представить во 2-й Отдел НКТП к 20 февраля 1942 г.</w:t>
      </w:r>
      <w:r w:rsidR="008127F8">
        <w:rPr>
          <w:rFonts w:ascii="Times New Roman" w:hAnsi="Times New Roman"/>
          <w:color w:val="000000" w:themeColor="text1"/>
          <w:sz w:val="16"/>
          <w:szCs w:val="16"/>
        </w:rPr>
        <w:t xml:space="preserve">  </w:t>
      </w:r>
    </w:p>
    <w:p w14:paraId="463D34D7" w14:textId="73BF9CD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Заместителю начальника 1-го отдела тов. ГНЕСИНУ обеспечить размещение и изготовление на заводах Наркомтанкопрома, в соответствии с программой выпуска танков и заявкам заводов по новым спецификациям, следующих приборов электрооборудования:</w:t>
      </w:r>
      <w:r w:rsidR="008127F8">
        <w:rPr>
          <w:rFonts w:ascii="Times New Roman" w:hAnsi="Times New Roman"/>
          <w:color w:val="000000" w:themeColor="text1"/>
          <w:sz w:val="16"/>
          <w:szCs w:val="16"/>
        </w:rPr>
        <w:t xml:space="preserve">  </w:t>
      </w:r>
    </w:p>
    <w:p w14:paraId="3520F592" w14:textId="699968D5"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генератор с реле-регулятором;</w:t>
      </w:r>
      <w:r w:rsidR="008127F8">
        <w:rPr>
          <w:rFonts w:ascii="Times New Roman" w:hAnsi="Times New Roman"/>
          <w:color w:val="000000" w:themeColor="text1"/>
          <w:sz w:val="16"/>
          <w:szCs w:val="16"/>
        </w:rPr>
        <w:t xml:space="preserve">  </w:t>
      </w:r>
    </w:p>
    <w:p w14:paraId="4C79B73B" w14:textId="6546F2B1"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стартеры с пусковым реле;</w:t>
      </w:r>
      <w:r w:rsidR="008127F8">
        <w:rPr>
          <w:rFonts w:ascii="Times New Roman" w:hAnsi="Times New Roman"/>
          <w:color w:val="000000" w:themeColor="text1"/>
          <w:sz w:val="16"/>
          <w:szCs w:val="16"/>
        </w:rPr>
        <w:t xml:space="preserve">  </w:t>
      </w:r>
    </w:p>
    <w:p w14:paraId="7477406D" w14:textId="46A75A1A"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вращающиеся контактные устройства;</w:t>
      </w:r>
      <w:r w:rsidR="008127F8">
        <w:rPr>
          <w:rFonts w:ascii="Times New Roman" w:hAnsi="Times New Roman"/>
          <w:color w:val="000000" w:themeColor="text1"/>
          <w:sz w:val="16"/>
          <w:szCs w:val="16"/>
        </w:rPr>
        <w:t xml:space="preserve">  </w:t>
      </w:r>
    </w:p>
    <w:p w14:paraId="1DEF8851" w14:textId="16ACEE3C"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выключатели массы;</w:t>
      </w:r>
      <w:r w:rsidR="008127F8">
        <w:rPr>
          <w:rFonts w:ascii="Times New Roman" w:hAnsi="Times New Roman"/>
          <w:color w:val="000000" w:themeColor="text1"/>
          <w:sz w:val="16"/>
          <w:szCs w:val="16"/>
        </w:rPr>
        <w:t xml:space="preserve">  </w:t>
      </w:r>
    </w:p>
    <w:p w14:paraId="094D4280" w14:textId="3468495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моторы вращения башен;</w:t>
      </w:r>
      <w:r w:rsidR="008127F8">
        <w:rPr>
          <w:rFonts w:ascii="Times New Roman" w:hAnsi="Times New Roman"/>
          <w:color w:val="000000" w:themeColor="text1"/>
          <w:sz w:val="16"/>
          <w:szCs w:val="16"/>
        </w:rPr>
        <w:t xml:space="preserve">  </w:t>
      </w:r>
    </w:p>
    <w:p w14:paraId="73FCEF61" w14:textId="068DCF0C"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штепсельные соединения, кнопки, выключатели, присоединительные коробки.</w:t>
      </w:r>
      <w:r w:rsidR="008127F8">
        <w:rPr>
          <w:rFonts w:ascii="Times New Roman" w:hAnsi="Times New Roman"/>
          <w:color w:val="000000" w:themeColor="text1"/>
          <w:sz w:val="16"/>
          <w:szCs w:val="16"/>
        </w:rPr>
        <w:t xml:space="preserve">  </w:t>
      </w:r>
    </w:p>
    <w:p w14:paraId="497855FF" w14:textId="5FC5DE4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Начальнику Главснаба НКТП т. РОЗИНУ обеспечить размещение заказов и снабжение танковых заводов всем электрооборудованием, не охваченным п. 6 настоящего приказа.</w:t>
      </w:r>
      <w:r w:rsidR="008127F8">
        <w:rPr>
          <w:rFonts w:ascii="Times New Roman" w:hAnsi="Times New Roman"/>
          <w:color w:val="000000" w:themeColor="text1"/>
          <w:sz w:val="16"/>
          <w:szCs w:val="16"/>
        </w:rPr>
        <w:t xml:space="preserve">  </w:t>
      </w:r>
    </w:p>
    <w:p w14:paraId="2887F7EC"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Установить, что после проведения унификации и утверждения 2-м отделом НКТП принципиальных схем электрооборудования заводам воспрещается вносить без утверждения какие-либо изменения (за исключением аварийных), причем заводы-дублеры должны все предполагаемые изменения согласовывать предварительно с основным ведущим заводом.</w:t>
      </w:r>
    </w:p>
    <w:p w14:paraId="033EDBE0"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1D85CA43"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ГЕНЕРАЛ-МАЙОР ТЕХНИЧЕСКИХ ВОЙСК подпись (КОТИН) (18435).</w:t>
      </w:r>
    </w:p>
    <w:p w14:paraId="30AD346D" w14:textId="77777777" w:rsidR="000A22B4" w:rsidRPr="008127F8" w:rsidRDefault="000A22B4" w:rsidP="001E0A84">
      <w:pPr>
        <w:spacing w:after="0" w:line="240" w:lineRule="auto"/>
        <w:jc w:val="both"/>
        <w:rPr>
          <w:rFonts w:ascii="Times New Roman" w:hAnsi="Times New Roman"/>
          <w:color w:val="000000" w:themeColor="text1"/>
          <w:sz w:val="16"/>
          <w:szCs w:val="16"/>
        </w:rPr>
      </w:pPr>
    </w:p>
    <w:p w14:paraId="6139C15B" w14:textId="77777777" w:rsidR="009E31D1" w:rsidRPr="008A2E5A" w:rsidRDefault="009E31D1" w:rsidP="009E31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1942 г приказ № 50 В.М. Малышева обязал заводы СТЗ и № 112 «срочно (в срок 5 дней) унифицировать электрооборудование танка А-34» (Свирин, М.Н. Броневой щит Сталина. История советского танка. 1937-1943. - С. 385.). Причинами данной ситуации, в частности, были низкая оснащенность производства танков приспособлениями, кондукторами, шаблонам и инструментом, поскольку завод не обладал должной базой для их изготовления (23540).</w:t>
      </w:r>
    </w:p>
    <w:p w14:paraId="7FBBA2CF" w14:textId="77777777" w:rsidR="009E31D1" w:rsidRPr="008A2E5A" w:rsidRDefault="009E31D1" w:rsidP="009E31D1">
      <w:pPr>
        <w:spacing w:after="0" w:line="240" w:lineRule="auto"/>
        <w:jc w:val="both"/>
        <w:rPr>
          <w:rFonts w:ascii="Times New Roman" w:hAnsi="Times New Roman"/>
          <w:color w:val="0070C0"/>
          <w:sz w:val="16"/>
          <w:szCs w:val="16"/>
        </w:rPr>
      </w:pPr>
    </w:p>
    <w:p w14:paraId="7FC0FA0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9450D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1846F3"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 февраля 1942 года Оперативная сводка Совинформбюро</w:t>
      </w:r>
    </w:p>
    <w:p w14:paraId="1366C7EC"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7 февраля</w:t>
      </w:r>
    </w:p>
    <w:p w14:paraId="691074EF"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7 февраля наши войска продолжали вести активные боевые действия против немецко-фашистских банд.</w:t>
      </w:r>
    </w:p>
    <w:p w14:paraId="3762EA9D"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7 февраля</w:t>
      </w:r>
    </w:p>
    <w:p w14:paraId="68CF5130"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 течение 7 февраля наши войска вели наступательные бои и заняли несколько населённых пунктов. Немецко-фашистские войска на отдельных участках переходили в контратаки, которые были отбиты.</w:t>
      </w:r>
    </w:p>
    <w:p w14:paraId="746A9B91"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6 февраля уничтожен 21 самолёт противника. Наши потери - 7 самолётов.</w:t>
      </w:r>
    </w:p>
    <w:p w14:paraId="38DEF08E"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5 февраля уничтожено не 34 немецких самолёта, как об этом сообщалось ранее, а 46 немецких самолётов.</w:t>
      </w:r>
    </w:p>
    <w:p w14:paraId="5BBF3A32"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6 февраля частями нашей авиации уничтожено и повреждено 270 автомашин с войсками и грузами, 226 повозок с боеприпасами, 11 орудий с прислугой, 10 зеиитно-пулемётных точек, взорван склад с горючим, рассеяно и частью уничтожено до полка пехоты противника (15024).</w:t>
      </w:r>
    </w:p>
    <w:p w14:paraId="52287C5C" w14:textId="77777777" w:rsidR="00406D8B" w:rsidRPr="008127F8" w:rsidRDefault="00406D8B" w:rsidP="001E0A84">
      <w:pPr>
        <w:spacing w:after="0" w:line="240" w:lineRule="auto"/>
        <w:jc w:val="both"/>
        <w:rPr>
          <w:rFonts w:ascii="Times New Roman" w:eastAsia="Times New Roman" w:hAnsi="Times New Roman"/>
          <w:color w:val="000000" w:themeColor="text1"/>
          <w:sz w:val="16"/>
          <w:szCs w:val="16"/>
          <w:lang w:eastAsia="ru-RU"/>
        </w:rPr>
      </w:pPr>
    </w:p>
    <w:p w14:paraId="7637BA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февраля 1942 г. вышло ПОСТАНОВЛЕНИЕ № ГКО-1251с Москва, Кремль </w:t>
      </w:r>
    </w:p>
    <w:p w14:paraId="52F4DB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делении летно-технического состава ВВС Красной Армии по категориям</w:t>
      </w:r>
    </w:p>
    <w:p w14:paraId="16A3D7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 целях поощрения летного и технического состава, регулярно выполняющего боевые задания Командования на фронте, ввести новую систему деления летно-технического состава ВВС Красной Армии на три категории, исходя из следующего: </w:t>
      </w:r>
    </w:p>
    <w:p w14:paraId="268D1D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1-ая категория - летный состав авиаполков, входящих в состав действующей армии, выполняющий регулярно боевые задания и обслуживающий эти авиаполки технический состав. </w:t>
      </w:r>
    </w:p>
    <w:p w14:paraId="0EB7AF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2-ая категория - летный состав авиаполков, входящих в состав действующей армии, но не имеющий постоянно закрепленных самолетов и обслуживающий эти авиаполки технический состав. </w:t>
      </w:r>
    </w:p>
    <w:p w14:paraId="37DFB8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3-ья категория - летный и технический состав авиачастей и школ, дислоцируемых в тылу. </w:t>
      </w:r>
    </w:p>
    <w:p w14:paraId="1CB95B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В соответствии с этим сохранить для всего летно-технического состава ВВС КА существующие ныне оклады денежного содержания и дополнительное вознаграждение на фронтах, предусмотренное приказом НКО № 0299-1941 года. </w:t>
      </w:r>
    </w:p>
    <w:p w14:paraId="0DF3B9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Обязать Начальника Тыла Красной Армии тов. Хрулева пересмотреть нормы продовольственного питания летно-технического состава ВВС в соответствии с настоящим постановлением. </w:t>
      </w:r>
    </w:p>
    <w:p w14:paraId="5A19DF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Установленные постановлением ГКО № 929 от 20.11.41 г. сокращенные сроки выслуги в воинских званиях сохранить только для летного состава первой категории. </w:t>
      </w:r>
    </w:p>
    <w:p w14:paraId="2DB140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летного состава второй категории сроки выслуги в воинских званиях установить увеличенные вдвое по сравнению с летным составом первой категории. </w:t>
      </w:r>
    </w:p>
    <w:p w14:paraId="040806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технического состава второй категории сохранить сроки выслуги в воинских званиях, установленные приказом НКО № 23-1942 г. </w:t>
      </w:r>
    </w:p>
    <w:p w14:paraId="42FA8C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летно-технического состава третьей категории сроки выслуги в воинских званиях оставить предусмотренные Положением о прохождении службы Красной Армии. </w:t>
      </w:r>
    </w:p>
    <w:p w14:paraId="20FDCD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Сроки выслуги по воинским званиям согласно приложению № 1. </w:t>
      </w:r>
    </w:p>
    <w:p w14:paraId="43C33F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345816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Выписки посланы: т.т. Новикову (ВВС), Хрулеву, Маленкову, Берия. </w:t>
      </w:r>
    </w:p>
    <w:p w14:paraId="32740C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Секретно </w:t>
      </w:r>
    </w:p>
    <w:p w14:paraId="291980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 1 </w:t>
      </w:r>
    </w:p>
    <w:p w14:paraId="5265B5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постановлению ГКО № 1251с от 7 февраля 1942 г. </w:t>
      </w:r>
    </w:p>
    <w:p w14:paraId="22FF60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ТАБЛИЦА </w:t>
      </w:r>
    </w:p>
    <w:p w14:paraId="3A37B0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сроков выслуги в воинских званиях для летно-технического состава военных воздушных сил Красной Армии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688"/>
        <w:gridCol w:w="1716"/>
        <w:gridCol w:w="1868"/>
        <w:gridCol w:w="1716"/>
      </w:tblGrid>
      <w:tr w:rsidR="006F4095" w:rsidRPr="008127F8" w14:paraId="3051563A" w14:textId="77777777">
        <w:trPr>
          <w:jc w:val="center"/>
        </w:trPr>
        <w:tc>
          <w:tcPr>
            <w:tcW w:w="3688" w:type="dxa"/>
            <w:tcBorders>
              <w:top w:val="single" w:sz="12" w:space="0" w:color="auto"/>
            </w:tcBorders>
          </w:tcPr>
          <w:p w14:paraId="057F12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6" w:type="dxa"/>
            <w:tcBorders>
              <w:top w:val="single" w:sz="12" w:space="0" w:color="auto"/>
            </w:tcBorders>
          </w:tcPr>
          <w:p w14:paraId="76E59F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категория</w:t>
            </w:r>
          </w:p>
        </w:tc>
        <w:tc>
          <w:tcPr>
            <w:tcW w:w="1868" w:type="dxa"/>
            <w:tcBorders>
              <w:top w:val="single" w:sz="12" w:space="0" w:color="auto"/>
            </w:tcBorders>
          </w:tcPr>
          <w:p w14:paraId="6221CC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категория</w:t>
            </w:r>
          </w:p>
        </w:tc>
        <w:tc>
          <w:tcPr>
            <w:tcW w:w="1716" w:type="dxa"/>
            <w:tcBorders>
              <w:top w:val="single" w:sz="12" w:space="0" w:color="auto"/>
            </w:tcBorders>
          </w:tcPr>
          <w:p w14:paraId="45AA46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категория</w:t>
            </w:r>
          </w:p>
        </w:tc>
      </w:tr>
      <w:tr w:rsidR="006F4095" w:rsidRPr="008127F8" w14:paraId="10833BD1" w14:textId="77777777">
        <w:trPr>
          <w:jc w:val="center"/>
        </w:trPr>
        <w:tc>
          <w:tcPr>
            <w:tcW w:w="3688" w:type="dxa"/>
          </w:tcPr>
          <w:p w14:paraId="3B65BA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w:t>
            </w:r>
          </w:p>
        </w:tc>
        <w:tc>
          <w:tcPr>
            <w:tcW w:w="1716" w:type="dxa"/>
          </w:tcPr>
          <w:p w14:paraId="48B73C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месяца</w:t>
            </w:r>
          </w:p>
        </w:tc>
        <w:tc>
          <w:tcPr>
            <w:tcW w:w="1868" w:type="dxa"/>
          </w:tcPr>
          <w:p w14:paraId="38A7B9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месяца</w:t>
            </w:r>
          </w:p>
        </w:tc>
        <w:tc>
          <w:tcPr>
            <w:tcW w:w="1716" w:type="dxa"/>
          </w:tcPr>
          <w:p w14:paraId="1587A9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года</w:t>
            </w:r>
          </w:p>
        </w:tc>
      </w:tr>
      <w:tr w:rsidR="006F4095" w:rsidRPr="008127F8" w14:paraId="32BD041E" w14:textId="77777777">
        <w:trPr>
          <w:jc w:val="center"/>
        </w:trPr>
        <w:tc>
          <w:tcPr>
            <w:tcW w:w="3688" w:type="dxa"/>
          </w:tcPr>
          <w:p w14:paraId="159A68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лейтенант</w:t>
            </w:r>
          </w:p>
        </w:tc>
        <w:tc>
          <w:tcPr>
            <w:tcW w:w="1716" w:type="dxa"/>
          </w:tcPr>
          <w:p w14:paraId="5FA759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месяца</w:t>
            </w:r>
          </w:p>
        </w:tc>
        <w:tc>
          <w:tcPr>
            <w:tcW w:w="1868" w:type="dxa"/>
          </w:tcPr>
          <w:p w14:paraId="322738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месяцев</w:t>
            </w:r>
          </w:p>
        </w:tc>
        <w:tc>
          <w:tcPr>
            <w:tcW w:w="1716" w:type="dxa"/>
          </w:tcPr>
          <w:p w14:paraId="25A129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года</w:t>
            </w:r>
          </w:p>
        </w:tc>
      </w:tr>
      <w:tr w:rsidR="006F4095" w:rsidRPr="008127F8" w14:paraId="66CF5360" w14:textId="77777777">
        <w:trPr>
          <w:jc w:val="center"/>
        </w:trPr>
        <w:tc>
          <w:tcPr>
            <w:tcW w:w="3688" w:type="dxa"/>
          </w:tcPr>
          <w:p w14:paraId="1853CE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w:t>
            </w:r>
          </w:p>
        </w:tc>
        <w:tc>
          <w:tcPr>
            <w:tcW w:w="1716" w:type="dxa"/>
          </w:tcPr>
          <w:p w14:paraId="621BBD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месяца</w:t>
            </w:r>
          </w:p>
        </w:tc>
        <w:tc>
          <w:tcPr>
            <w:tcW w:w="1868" w:type="dxa"/>
          </w:tcPr>
          <w:p w14:paraId="5D4B1C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месяцев</w:t>
            </w:r>
          </w:p>
        </w:tc>
        <w:tc>
          <w:tcPr>
            <w:tcW w:w="1716" w:type="dxa"/>
          </w:tcPr>
          <w:p w14:paraId="258127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года</w:t>
            </w:r>
          </w:p>
        </w:tc>
      </w:tr>
      <w:tr w:rsidR="006F4095" w:rsidRPr="008127F8" w14:paraId="0CA47E79" w14:textId="77777777">
        <w:trPr>
          <w:jc w:val="center"/>
        </w:trPr>
        <w:tc>
          <w:tcPr>
            <w:tcW w:w="3688" w:type="dxa"/>
          </w:tcPr>
          <w:p w14:paraId="3ABE86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w:t>
            </w:r>
          </w:p>
        </w:tc>
        <w:tc>
          <w:tcPr>
            <w:tcW w:w="1716" w:type="dxa"/>
          </w:tcPr>
          <w:p w14:paraId="3A2B99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месяца</w:t>
            </w:r>
          </w:p>
        </w:tc>
        <w:tc>
          <w:tcPr>
            <w:tcW w:w="1868" w:type="dxa"/>
          </w:tcPr>
          <w:p w14:paraId="35B7CE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месяцев</w:t>
            </w:r>
          </w:p>
        </w:tc>
        <w:tc>
          <w:tcPr>
            <w:tcW w:w="1716" w:type="dxa"/>
          </w:tcPr>
          <w:p w14:paraId="6774F3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года</w:t>
            </w:r>
          </w:p>
        </w:tc>
      </w:tr>
      <w:tr w:rsidR="006F4095" w:rsidRPr="008127F8" w14:paraId="047E4B40" w14:textId="77777777">
        <w:trPr>
          <w:jc w:val="center"/>
        </w:trPr>
        <w:tc>
          <w:tcPr>
            <w:tcW w:w="3688" w:type="dxa"/>
          </w:tcPr>
          <w:p w14:paraId="1D949F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Подполковник</w:t>
            </w:r>
          </w:p>
        </w:tc>
        <w:tc>
          <w:tcPr>
            <w:tcW w:w="1716" w:type="dxa"/>
          </w:tcPr>
          <w:p w14:paraId="69B6FC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месяцев</w:t>
            </w:r>
          </w:p>
        </w:tc>
        <w:tc>
          <w:tcPr>
            <w:tcW w:w="1868" w:type="dxa"/>
          </w:tcPr>
          <w:p w14:paraId="2BEEE0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месяцев</w:t>
            </w:r>
          </w:p>
        </w:tc>
        <w:tc>
          <w:tcPr>
            <w:tcW w:w="1716" w:type="dxa"/>
          </w:tcPr>
          <w:p w14:paraId="0618E7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года</w:t>
            </w:r>
          </w:p>
        </w:tc>
      </w:tr>
      <w:tr w:rsidR="006F4095" w:rsidRPr="008127F8" w14:paraId="52A38D62" w14:textId="77777777">
        <w:trPr>
          <w:jc w:val="center"/>
        </w:trPr>
        <w:tc>
          <w:tcPr>
            <w:tcW w:w="3688" w:type="dxa"/>
          </w:tcPr>
          <w:p w14:paraId="7C197B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Техник-лейтенант</w:t>
            </w:r>
          </w:p>
        </w:tc>
        <w:tc>
          <w:tcPr>
            <w:tcW w:w="1716" w:type="dxa"/>
          </w:tcPr>
          <w:p w14:paraId="78ABEE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месяца</w:t>
            </w:r>
          </w:p>
        </w:tc>
        <w:tc>
          <w:tcPr>
            <w:tcW w:w="1868" w:type="dxa"/>
          </w:tcPr>
          <w:p w14:paraId="76E6A8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месяцев</w:t>
            </w:r>
          </w:p>
        </w:tc>
        <w:tc>
          <w:tcPr>
            <w:tcW w:w="1716" w:type="dxa"/>
          </w:tcPr>
          <w:p w14:paraId="09D886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года</w:t>
            </w:r>
          </w:p>
        </w:tc>
      </w:tr>
      <w:tr w:rsidR="006F4095" w:rsidRPr="008127F8" w14:paraId="6DD75793" w14:textId="77777777">
        <w:trPr>
          <w:jc w:val="center"/>
        </w:trPr>
        <w:tc>
          <w:tcPr>
            <w:tcW w:w="3688" w:type="dxa"/>
          </w:tcPr>
          <w:p w14:paraId="6773C8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техник-лейтенант</w:t>
            </w:r>
          </w:p>
        </w:tc>
        <w:tc>
          <w:tcPr>
            <w:tcW w:w="1716" w:type="dxa"/>
          </w:tcPr>
          <w:p w14:paraId="5FE5CF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месяцев</w:t>
            </w:r>
          </w:p>
        </w:tc>
        <w:tc>
          <w:tcPr>
            <w:tcW w:w="1868" w:type="dxa"/>
          </w:tcPr>
          <w:p w14:paraId="0E68F9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год</w:t>
            </w:r>
          </w:p>
        </w:tc>
        <w:tc>
          <w:tcPr>
            <w:tcW w:w="1716" w:type="dxa"/>
          </w:tcPr>
          <w:p w14:paraId="6C3950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года</w:t>
            </w:r>
          </w:p>
        </w:tc>
      </w:tr>
      <w:tr w:rsidR="006F4095" w:rsidRPr="008127F8" w14:paraId="64CA1224" w14:textId="77777777">
        <w:trPr>
          <w:jc w:val="center"/>
        </w:trPr>
        <w:tc>
          <w:tcPr>
            <w:tcW w:w="3688" w:type="dxa"/>
          </w:tcPr>
          <w:p w14:paraId="7947A5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Инженер-капитан</w:t>
            </w:r>
          </w:p>
        </w:tc>
        <w:tc>
          <w:tcPr>
            <w:tcW w:w="1716" w:type="dxa"/>
          </w:tcPr>
          <w:p w14:paraId="4C91E1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месяцев</w:t>
            </w:r>
          </w:p>
        </w:tc>
        <w:tc>
          <w:tcPr>
            <w:tcW w:w="1868" w:type="dxa"/>
          </w:tcPr>
          <w:p w14:paraId="1394C4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год</w:t>
            </w:r>
          </w:p>
        </w:tc>
        <w:tc>
          <w:tcPr>
            <w:tcW w:w="1716" w:type="dxa"/>
          </w:tcPr>
          <w:p w14:paraId="4D30D0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года</w:t>
            </w:r>
          </w:p>
        </w:tc>
      </w:tr>
      <w:tr w:rsidR="006F4095" w:rsidRPr="008127F8" w14:paraId="4173E44B" w14:textId="77777777">
        <w:trPr>
          <w:jc w:val="center"/>
        </w:trPr>
        <w:tc>
          <w:tcPr>
            <w:tcW w:w="3688" w:type="dxa"/>
          </w:tcPr>
          <w:p w14:paraId="3726D7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Инженер-майор</w:t>
            </w:r>
          </w:p>
        </w:tc>
        <w:tc>
          <w:tcPr>
            <w:tcW w:w="1716" w:type="dxa"/>
          </w:tcPr>
          <w:p w14:paraId="6815F8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месяцев</w:t>
            </w:r>
          </w:p>
        </w:tc>
        <w:tc>
          <w:tcPr>
            <w:tcW w:w="1868" w:type="dxa"/>
          </w:tcPr>
          <w:p w14:paraId="2DEEF9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год 6 мес.</w:t>
            </w:r>
          </w:p>
        </w:tc>
        <w:tc>
          <w:tcPr>
            <w:tcW w:w="1716" w:type="dxa"/>
          </w:tcPr>
          <w:p w14:paraId="43EEF6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года</w:t>
            </w:r>
          </w:p>
        </w:tc>
      </w:tr>
      <w:tr w:rsidR="006F4095" w:rsidRPr="008127F8" w14:paraId="41F8ED46" w14:textId="77777777">
        <w:trPr>
          <w:jc w:val="center"/>
        </w:trPr>
        <w:tc>
          <w:tcPr>
            <w:tcW w:w="3688" w:type="dxa"/>
            <w:tcBorders>
              <w:bottom w:val="single" w:sz="12" w:space="0" w:color="auto"/>
            </w:tcBorders>
          </w:tcPr>
          <w:p w14:paraId="1609EF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Инженер-подполковник</w:t>
            </w:r>
          </w:p>
        </w:tc>
        <w:tc>
          <w:tcPr>
            <w:tcW w:w="1716" w:type="dxa"/>
            <w:tcBorders>
              <w:bottom w:val="single" w:sz="12" w:space="0" w:color="auto"/>
            </w:tcBorders>
          </w:tcPr>
          <w:p w14:paraId="164474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месяцев</w:t>
            </w:r>
          </w:p>
        </w:tc>
        <w:tc>
          <w:tcPr>
            <w:tcW w:w="1868" w:type="dxa"/>
            <w:tcBorders>
              <w:bottom w:val="single" w:sz="12" w:space="0" w:color="auto"/>
            </w:tcBorders>
          </w:tcPr>
          <w:p w14:paraId="5B31D8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года</w:t>
            </w:r>
          </w:p>
        </w:tc>
        <w:tc>
          <w:tcPr>
            <w:tcW w:w="1716" w:type="dxa"/>
            <w:tcBorders>
              <w:bottom w:val="single" w:sz="12" w:space="0" w:color="auto"/>
            </w:tcBorders>
          </w:tcPr>
          <w:p w14:paraId="223E10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года</w:t>
            </w:r>
          </w:p>
        </w:tc>
      </w:tr>
    </w:tbl>
    <w:p w14:paraId="05B37A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Верно: Хряпкина (11434).</w:t>
      </w:r>
    </w:p>
    <w:p w14:paraId="516AE7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377B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вышло Постановление ГКО № 1255 О т. Новикове А.А. РГАНИР, Фонд ГКО, д. 21, лл. 18 (11012).</w:t>
      </w:r>
    </w:p>
    <w:p w14:paraId="2481A0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04C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Кинешму в 22 зап, куда в январе 1942 в доставили в разобранном виде О-52 Кертисы Оул, которые поступили в СССР из США в конце 1941 (5) и начале 1942 (14), прибыла 50 окаэ. До этого самолеты собрали под руководством и А.И.Смолярова и один облетал м П.С.Акуленко. 50 окаэ до конца февраля оперативно провела войсковые испытания машин в Иваньково. Решили, что превосходят Р-5 ССС и Р-Зет.</w:t>
      </w:r>
    </w:p>
    <w:p w14:paraId="6CC0D9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w:t>
      </w:r>
    </w:p>
    <w:p w14:paraId="3D5B63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Кертис 0-52... может быть рекомендован для принятия на вооружение корректировочных эскадрилий (4622, 24).</w:t>
      </w:r>
    </w:p>
    <w:p w14:paraId="7611DE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8C6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февраля 1942 в районе Череповца совершил таран на МиГ-3 и при этом погиб комиссар эскадрильи 740-го ИАП ПВО ст. политрук Годовиков Николай Алексеевич. Посмертно ему присвоили звание Героя Советского Союза. Немцы в тот день отметили потерю Ju 88D-1 (w/n 1687, борт F6+EN) из </w:t>
      </w:r>
      <w:proofErr w:type="gramStart"/>
      <w:r w:rsidRPr="008127F8">
        <w:rPr>
          <w:rFonts w:ascii="Times New Roman" w:hAnsi="Times New Roman"/>
          <w:color w:val="000000" w:themeColor="text1"/>
          <w:sz w:val="16"/>
          <w:szCs w:val="16"/>
        </w:rPr>
        <w:t>5.(</w:t>
      </w:r>
      <w:proofErr w:type="gramEnd"/>
      <w:r w:rsidRPr="008127F8">
        <w:rPr>
          <w:rFonts w:ascii="Times New Roman" w:hAnsi="Times New Roman"/>
          <w:color w:val="000000" w:themeColor="text1"/>
          <w:sz w:val="16"/>
          <w:szCs w:val="16"/>
        </w:rPr>
        <w:t>F)/122, не вернувшегося из разведки района Вологда-Череповец (10205).</w:t>
      </w:r>
    </w:p>
    <w:p w14:paraId="4E04F2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F85B6" w14:textId="77777777" w:rsidR="000A22B4" w:rsidRPr="008127F8" w:rsidRDefault="000A22B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01951EF" w14:textId="77777777" w:rsidR="000A22B4" w:rsidRPr="008127F8" w:rsidRDefault="000A22B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692E37"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Из дневника врача Е. Сахаровой: "Питаемся мы теперь плохо. Цены рыночные прямо бешенные. Например, лук 40 руб. морковка 25 руб. молоко 15 руб. картофель 20 руб. а мяса нет, если появляется, то 160-180 руб. Выдача же продуктов по карточкам задерживается. Например, мясо за январь получили лишь сегодня, керосин за январь выдали недавно только по первому талону, также масло и пр. Есть только один хлеб каждый день" (18696).</w:t>
      </w:r>
    </w:p>
    <w:p w14:paraId="3C1EDF81" w14:textId="77777777" w:rsidR="000A22B4" w:rsidRPr="008127F8" w:rsidRDefault="000A22B4" w:rsidP="001E0A84">
      <w:pPr>
        <w:spacing w:after="0" w:line="240" w:lineRule="auto"/>
        <w:jc w:val="both"/>
        <w:rPr>
          <w:rFonts w:ascii="Times New Roman" w:hAnsi="Times New Roman"/>
          <w:color w:val="000000" w:themeColor="text1"/>
          <w:sz w:val="16"/>
          <w:szCs w:val="16"/>
        </w:rPr>
      </w:pPr>
    </w:p>
    <w:p w14:paraId="07712485"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A92AE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9AA7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в Восточной Пруссии в авиакатастрофе погиб министр вооружений Германии Фриц Тодт (4962).</w:t>
      </w:r>
    </w:p>
    <w:p w14:paraId="0D1CB06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93D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7, 1942: The drive of the Afrikakorps toward Egypt and the Suez Canal comes to a halt before Tobruk (3819).</w:t>
      </w:r>
    </w:p>
    <w:p w14:paraId="17B129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830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наступление Африканского корпуса на Египет и Суэцкий канал было остановлено у Тобрука (3819).</w:t>
      </w:r>
    </w:p>
    <w:p w14:paraId="77C8EA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0EA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1942 г Персиваль заявил, что будет защищать Сингапур до последнего солдата, а японцы высадились в Сингапуре (2261).</w:t>
      </w:r>
    </w:p>
    <w:p w14:paraId="5C85FC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3D0F5" w14:textId="77777777" w:rsidR="0087221D" w:rsidRPr="008127F8" w:rsidRDefault="008722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февраля</w:t>
      </w:r>
      <w:r w:rsidRPr="008127F8">
        <w:rPr>
          <w:rFonts w:ascii="Times New Roman" w:hAnsi="Times New Roman"/>
          <w:color w:val="000000" w:themeColor="text1"/>
          <w:sz w:val="16"/>
          <w:szCs w:val="16"/>
        </w:rPr>
        <w:t xml:space="preserve"> в 1942 году командующий британскими войсками в Сингапуре генерал Персиваль заявил, что город будет обороняться до последнего человека (15033).</w:t>
      </w:r>
    </w:p>
    <w:p w14:paraId="13B412D6" w14:textId="77777777" w:rsidR="0087221D" w:rsidRPr="008127F8" w:rsidRDefault="0087221D" w:rsidP="001E0A84">
      <w:pPr>
        <w:spacing w:after="0" w:line="240" w:lineRule="auto"/>
        <w:jc w:val="both"/>
        <w:rPr>
          <w:rFonts w:ascii="Times New Roman" w:hAnsi="Times New Roman"/>
          <w:color w:val="000000" w:themeColor="text1"/>
          <w:sz w:val="16"/>
          <w:szCs w:val="16"/>
        </w:rPr>
      </w:pPr>
    </w:p>
    <w:p w14:paraId="7E43485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63A74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A40A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при совместных испытаниях ДБ-3Ф 2М-82 оба мотора потерпели аварии. Первый вылет на ДБ-3Ф 2М-82 N 7102 был выполнен 10 января 1942. В первых полетах было обнаружено выбрасывание масла и при устранении дефекта сделали 17 полетов налетав 10:30, но на 18 полете. Продолжили с 9 марта 1942 на 7103. Вообще на испытания поступило 3 машины (+ N 6614 и 7103), но при наземных испытаниях на 6614 была повреждена крыльчатка нагнетателя левого мотора (2084).</w:t>
      </w:r>
    </w:p>
    <w:p w14:paraId="1F2274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9D1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на самолете ДБ-3Ф с 2 М-82 завода № 126 на высо</w:t>
      </w:r>
      <w:r w:rsidRPr="008127F8">
        <w:rPr>
          <w:rFonts w:ascii="Times New Roman" w:hAnsi="Times New Roman"/>
          <w:color w:val="000000" w:themeColor="text1"/>
          <w:sz w:val="16"/>
          <w:szCs w:val="16"/>
        </w:rPr>
        <w:softHyphen/>
        <w:t>те 6000 м на обоих моторах произо</w:t>
      </w:r>
      <w:r w:rsidRPr="008127F8">
        <w:rPr>
          <w:rFonts w:ascii="Times New Roman" w:hAnsi="Times New Roman"/>
          <w:color w:val="000000" w:themeColor="text1"/>
          <w:sz w:val="16"/>
          <w:szCs w:val="16"/>
        </w:rPr>
        <w:softHyphen/>
        <w:t>шел разрыв петрофлексов откачива</w:t>
      </w:r>
      <w:r w:rsidRPr="008127F8">
        <w:rPr>
          <w:rFonts w:ascii="Times New Roman" w:hAnsi="Times New Roman"/>
          <w:color w:val="000000" w:themeColor="text1"/>
          <w:sz w:val="16"/>
          <w:szCs w:val="16"/>
        </w:rPr>
        <w:softHyphen/>
        <w:t>ющей масломагистрали, идущей от маслопомпы к фетровому фильтру. Вследствие утечки масла оба мото</w:t>
      </w:r>
      <w:r w:rsidRPr="008127F8">
        <w:rPr>
          <w:rFonts w:ascii="Times New Roman" w:hAnsi="Times New Roman"/>
          <w:color w:val="000000" w:themeColor="text1"/>
          <w:sz w:val="16"/>
          <w:szCs w:val="16"/>
        </w:rPr>
        <w:softHyphen/>
        <w:t>ра вышли из строя. После замены моторов испытания продолжились. За исключением выбрасывания масла из суфлеров на высоте выше 4000 м и вышеуказанного разрыва петрофлек</w:t>
      </w:r>
      <w:r w:rsidRPr="008127F8">
        <w:rPr>
          <w:rFonts w:ascii="Times New Roman" w:hAnsi="Times New Roman"/>
          <w:color w:val="000000" w:themeColor="text1"/>
          <w:sz w:val="16"/>
          <w:szCs w:val="16"/>
        </w:rPr>
        <w:softHyphen/>
        <w:t>сов, других дефектов выявлено не было. Несмотря на большую мощность М-82, его лоб, вес и удельный расход горю</w:t>
      </w:r>
      <w:r w:rsidRPr="008127F8">
        <w:rPr>
          <w:rFonts w:ascii="Times New Roman" w:hAnsi="Times New Roman"/>
          <w:color w:val="000000" w:themeColor="text1"/>
          <w:sz w:val="16"/>
          <w:szCs w:val="16"/>
        </w:rPr>
        <w:softHyphen/>
        <w:t>чего были выше, чем у моторов М-88. В результате скорость самолета не возросла, а дальность полета умень</w:t>
      </w:r>
      <w:r w:rsidRPr="008127F8">
        <w:rPr>
          <w:rFonts w:ascii="Times New Roman" w:hAnsi="Times New Roman"/>
          <w:color w:val="000000" w:themeColor="text1"/>
          <w:sz w:val="16"/>
          <w:szCs w:val="16"/>
        </w:rPr>
        <w:softHyphen/>
        <w:t>шилась. В дальнейшем вопрос о за</w:t>
      </w:r>
      <w:r w:rsidRPr="008127F8">
        <w:rPr>
          <w:rFonts w:ascii="Times New Roman" w:hAnsi="Times New Roman"/>
          <w:color w:val="000000" w:themeColor="text1"/>
          <w:sz w:val="16"/>
          <w:szCs w:val="16"/>
        </w:rPr>
        <w:softHyphen/>
        <w:t>пуске в серию ДБ-3Ф с М-82 перио</w:t>
      </w:r>
      <w:r w:rsidRPr="008127F8">
        <w:rPr>
          <w:rFonts w:ascii="Times New Roman" w:hAnsi="Times New Roman"/>
          <w:color w:val="000000" w:themeColor="text1"/>
          <w:sz w:val="16"/>
          <w:szCs w:val="16"/>
        </w:rPr>
        <w:softHyphen/>
        <w:t>дически ставился до 1943 года, но се</w:t>
      </w:r>
      <w:r w:rsidRPr="008127F8">
        <w:rPr>
          <w:rFonts w:ascii="Times New Roman" w:hAnsi="Times New Roman"/>
          <w:color w:val="000000" w:themeColor="text1"/>
          <w:sz w:val="16"/>
          <w:szCs w:val="16"/>
        </w:rPr>
        <w:softHyphen/>
        <w:t>рийно он так и не строился (10686).</w:t>
      </w:r>
    </w:p>
    <w:p w14:paraId="30086A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43572" w14:textId="77777777" w:rsidR="00406D8B" w:rsidRPr="008127F8" w:rsidRDefault="00406D8B" w:rsidP="001E0A84">
      <w:pPr>
        <w:pStyle w:val="a4"/>
        <w:rPr>
          <w:color w:val="000000" w:themeColor="text1"/>
          <w:lang w:val="ru-RU"/>
        </w:rPr>
      </w:pPr>
      <w:r w:rsidRPr="008127F8">
        <w:rPr>
          <w:color w:val="000000" w:themeColor="text1"/>
          <w:lang w:val="ru-RU"/>
        </w:rPr>
        <w:t>8 февраля 1942 на высоте 6000 м на обоих моторах ДБ-ЗФ с 2 М-82 в полёте про</w:t>
      </w:r>
      <w:r w:rsidRPr="008127F8">
        <w:rPr>
          <w:color w:val="000000" w:themeColor="text1"/>
          <w:lang w:val="ru-RU"/>
        </w:rPr>
        <w:softHyphen/>
        <w:t>изошел разрыв петрофлексов откачивающей масломагистрали, идущей от маслопомпы к фетровому фильтру. Вследствие утечки масла оба мотора вышли из строя. После за</w:t>
      </w:r>
      <w:r w:rsidRPr="008127F8">
        <w:rPr>
          <w:color w:val="000000" w:themeColor="text1"/>
          <w:lang w:val="ru-RU"/>
        </w:rPr>
        <w:softHyphen/>
        <w:t>мены моторов испытания продолжили. За исключением выбрасывания масла из суфлё</w:t>
      </w:r>
      <w:r w:rsidRPr="008127F8">
        <w:rPr>
          <w:color w:val="000000" w:themeColor="text1"/>
          <w:lang w:val="ru-RU"/>
        </w:rPr>
        <w:softHyphen/>
        <w:t>ров на высоте выше 4000 м и вышеуказанного разрыва петрофлексов, других дефектов не выявили. Несмотря на большую мощность М-82, его лоб, вес и удельный расход го</w:t>
      </w:r>
      <w:r w:rsidRPr="008127F8">
        <w:rPr>
          <w:color w:val="000000" w:themeColor="text1"/>
          <w:lang w:val="ru-RU"/>
        </w:rPr>
        <w:softHyphen/>
        <w:t>рючего оказались выше, чем у моторов М-88. В результате скорость самолёта не воз</w:t>
      </w:r>
      <w:r w:rsidRPr="008127F8">
        <w:rPr>
          <w:color w:val="000000" w:themeColor="text1"/>
          <w:lang w:val="ru-RU"/>
        </w:rPr>
        <w:softHyphen/>
        <w:t>росла, а дальность полёта уменьшилась. В дальнейшем вопрос о запуске в серию ДБ-ЗФ с М-82 периодически ставился до 1943 г., но серийно он так и не строился (15788).</w:t>
      </w:r>
    </w:p>
    <w:p w14:paraId="2CB32D42" w14:textId="77777777" w:rsidR="00406D8B" w:rsidRPr="008127F8" w:rsidRDefault="00406D8B" w:rsidP="001E0A84">
      <w:pPr>
        <w:pStyle w:val="a4"/>
        <w:rPr>
          <w:color w:val="000000" w:themeColor="text1"/>
          <w:lang w:val="ru-RU"/>
        </w:rPr>
      </w:pPr>
    </w:p>
    <w:p w14:paraId="70DC04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вышли из строя сразу два двигателя М-82 в ходе испытаний Ил-4. Полеты приостановили. С перегревом моторов справились к началу апреля. В мае-июне испытания возобновили. Но выигрыш в скорости оказался куда меньше ожидавшегося. Скорость не превышала 437 км/ч, при этом даль</w:t>
      </w:r>
      <w:r w:rsidRPr="008127F8">
        <w:rPr>
          <w:rFonts w:ascii="Times New Roman" w:hAnsi="Times New Roman"/>
          <w:color w:val="000000" w:themeColor="text1"/>
          <w:sz w:val="16"/>
          <w:szCs w:val="16"/>
        </w:rPr>
        <w:softHyphen/>
        <w:t>ность упала до 2540 км. Вдобавок М-82 не отличался тогда высокой надежнос</w:t>
      </w:r>
      <w:r w:rsidRPr="008127F8">
        <w:rPr>
          <w:rFonts w:ascii="Times New Roman" w:hAnsi="Times New Roman"/>
          <w:color w:val="000000" w:themeColor="text1"/>
          <w:sz w:val="16"/>
          <w:szCs w:val="16"/>
        </w:rPr>
        <w:softHyphen/>
        <w:t>тью. Из-за недостаточной производи</w:t>
      </w:r>
      <w:r w:rsidRPr="008127F8">
        <w:rPr>
          <w:rFonts w:ascii="Times New Roman" w:hAnsi="Times New Roman"/>
          <w:color w:val="000000" w:themeColor="text1"/>
          <w:sz w:val="16"/>
          <w:szCs w:val="16"/>
        </w:rPr>
        <w:softHyphen/>
        <w:t>тельности маслорадиаторов двигатели грелись. Кроме того, шасси уже не со</w:t>
      </w:r>
      <w:r w:rsidRPr="008127F8">
        <w:rPr>
          <w:rFonts w:ascii="Times New Roman" w:hAnsi="Times New Roman"/>
          <w:color w:val="000000" w:themeColor="text1"/>
          <w:sz w:val="16"/>
          <w:szCs w:val="16"/>
        </w:rPr>
        <w:softHyphen/>
        <w:t>ответствовало возросшей массе бом</w:t>
      </w:r>
      <w:r w:rsidRPr="008127F8">
        <w:rPr>
          <w:rFonts w:ascii="Times New Roman" w:hAnsi="Times New Roman"/>
          <w:color w:val="000000" w:themeColor="text1"/>
          <w:sz w:val="16"/>
          <w:szCs w:val="16"/>
        </w:rPr>
        <w:softHyphen/>
        <w:t>бардировщика. Отчет об испытаниях завершался выводом: «При необходи</w:t>
      </w:r>
      <w:r w:rsidRPr="008127F8">
        <w:rPr>
          <w:rFonts w:ascii="Times New Roman" w:hAnsi="Times New Roman"/>
          <w:color w:val="000000" w:themeColor="text1"/>
          <w:sz w:val="16"/>
          <w:szCs w:val="16"/>
        </w:rPr>
        <w:softHyphen/>
        <w:t>мости срочного перехода на ДБ-3Ф с М-82 предъявленный самолет может быть временным эталоном с последую</w:t>
      </w:r>
      <w:r w:rsidRPr="008127F8">
        <w:rPr>
          <w:rFonts w:ascii="Times New Roman" w:hAnsi="Times New Roman"/>
          <w:color w:val="000000" w:themeColor="text1"/>
          <w:sz w:val="16"/>
          <w:szCs w:val="16"/>
        </w:rPr>
        <w:softHyphen/>
        <w:t>щим устранением дефектов» (10734,78).</w:t>
      </w:r>
    </w:p>
    <w:p w14:paraId="43A3E1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66C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Сталину. (ГКО N 1284 от 15 февраля 1942 г.).</w:t>
      </w:r>
    </w:p>
    <w:p w14:paraId="6E8A13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Посылаем на Ваше утверждение два проекта постановления ГКО:</w:t>
      </w:r>
    </w:p>
    <w:p w14:paraId="422952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 организации на площади эвакуированного завода N 24 в Москве производства моторов АМ-38;</w:t>
      </w:r>
    </w:p>
    <w:p w14:paraId="465AE4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 организации на площади эвакуированного завода N 26 в Рыбинске производства моторов М-105Р.</w:t>
      </w:r>
    </w:p>
    <w:p w14:paraId="27F290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первую очередь имеется ввиду организовать производство моторов АМ-38 в Москве, так как развитие производства штурмовиков Ил-2 потребует большого количества моторов </w:t>
      </w:r>
      <w:proofErr w:type="gramStart"/>
      <w:r w:rsidRPr="008127F8">
        <w:rPr>
          <w:rFonts w:ascii="Times New Roman" w:hAnsi="Times New Roman"/>
          <w:color w:val="000000" w:themeColor="text1"/>
          <w:sz w:val="16"/>
          <w:szCs w:val="16"/>
        </w:rPr>
        <w:t>АМ-38 с выпуском</w:t>
      </w:r>
      <w:proofErr w:type="gramEnd"/>
      <w:r w:rsidRPr="008127F8">
        <w:rPr>
          <w:rFonts w:ascii="Times New Roman" w:hAnsi="Times New Roman"/>
          <w:color w:val="000000" w:themeColor="text1"/>
          <w:sz w:val="16"/>
          <w:szCs w:val="16"/>
        </w:rPr>
        <w:t xml:space="preserve"> которого завод N 24 в Куйбышеве может не справится.</w:t>
      </w:r>
    </w:p>
    <w:p w14:paraId="1F906D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по производству моторов М-105Р в Рыбинске имеется ввиду организовать во вторую очередь, так как оборудования на организацию двух заводов не хватит, а сейчас начать его работу с ремонта моторов М-105П и М-105Р, производства запасных частей к этим моторам, начав выпуск новых моторов М-105Р с августа с.г. (2760,232).</w:t>
      </w:r>
    </w:p>
    <w:p w14:paraId="02BFD8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3F3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8 февраля 1942 года Шахурин писал письмо N Н-20/401 в ГКО Берия.</w:t>
      </w:r>
    </w:p>
    <w:p w14:paraId="6DCC43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Опытно-конструкторским отделом завода N 22 был спроектирован и построен, по постановлению Правительства, опытный образец модификации самолета Пе-2 с мотором М-105Ф.</w:t>
      </w:r>
    </w:p>
    <w:p w14:paraId="5040BB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М-105Ф, построенный заводом N 26 на базе серийного мотора М-105, имеет мощность: взлетную 1300 л.с. и 1350 л.с. на высоте 6000 метров, и прошел совместные 50-часовые испытания.</w:t>
      </w:r>
    </w:p>
    <w:p w14:paraId="5E5C3A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модифицированный самолет, призванный явиться новым этапом по усовершенствованию самолета Пе-2 и улучшению его летно-тактических и боевых качеств, вышел на аэродром в октябре 1941 года и находится в настоящий момент в стадии летных испытаний.</w:t>
      </w:r>
    </w:p>
    <w:p w14:paraId="134D64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Построенный опытный образец имеет, по сравнению с серийным самолетом Пе-2, следующие обязанности:</w:t>
      </w:r>
    </w:p>
    <w:p w14:paraId="1B08D0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бомбовой нагрузке модифицированный самолет допускает подвеску внутрь самолета 1 бомбы в 500 кг, или</w:t>
      </w:r>
    </w:p>
    <w:p w14:paraId="3C26AF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бомб по 250 кг, или</w:t>
      </w:r>
    </w:p>
    <w:p w14:paraId="3326BB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бомб по 100 кг,</w:t>
      </w:r>
    </w:p>
    <w:p w14:paraId="6FF22C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вместо 6-ти бомб по 100 кг, подвешиваемых внутрь серийного самолета Пе-2.</w:t>
      </w:r>
    </w:p>
    <w:p w14:paraId="38A9CD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внутренней подвески имеется возможность подвешивать на два наружных замка бомбы любого из перечисленных выше калибров.</w:t>
      </w:r>
    </w:p>
    <w:p w14:paraId="654C1E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стрелковому вооружению модификация не отличается от серийного самолета Пе-2, за исключением верхней стрелковой точки, где, вместо пулемета Шкас, установлен крупнокалиберный пулемет Березина.</w:t>
      </w:r>
    </w:p>
    <w:p w14:paraId="343B3F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модифицированного самолета, в сопоставлении с серийным самолетом Пе-2, приведена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6F4095" w:rsidRPr="008127F8" w14:paraId="1CBA652B" w14:textId="77777777">
        <w:tc>
          <w:tcPr>
            <w:tcW w:w="2254" w:type="dxa"/>
            <w:tcBorders>
              <w:top w:val="single" w:sz="12" w:space="0" w:color="auto"/>
            </w:tcBorders>
          </w:tcPr>
          <w:p w14:paraId="5FEE25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w:t>
            </w:r>
          </w:p>
        </w:tc>
        <w:tc>
          <w:tcPr>
            <w:tcW w:w="2254" w:type="dxa"/>
            <w:tcBorders>
              <w:top w:val="single" w:sz="12" w:space="0" w:color="auto"/>
            </w:tcBorders>
          </w:tcPr>
          <w:p w14:paraId="4E3466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Земля</w:t>
            </w:r>
          </w:p>
        </w:tc>
        <w:tc>
          <w:tcPr>
            <w:tcW w:w="2254" w:type="dxa"/>
            <w:tcBorders>
              <w:top w:val="single" w:sz="12" w:space="0" w:color="auto"/>
            </w:tcBorders>
          </w:tcPr>
          <w:p w14:paraId="4B4A45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w:t>
            </w:r>
          </w:p>
        </w:tc>
        <w:tc>
          <w:tcPr>
            <w:tcW w:w="2254" w:type="dxa"/>
            <w:tcBorders>
              <w:top w:val="single" w:sz="12" w:space="0" w:color="auto"/>
            </w:tcBorders>
          </w:tcPr>
          <w:p w14:paraId="7B5FF5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 м</w:t>
            </w:r>
          </w:p>
        </w:tc>
        <w:tc>
          <w:tcPr>
            <w:tcW w:w="2254" w:type="dxa"/>
            <w:tcBorders>
              <w:top w:val="single" w:sz="12" w:space="0" w:color="auto"/>
            </w:tcBorders>
          </w:tcPr>
          <w:p w14:paraId="2B4BF9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112F70D1" w14:textId="77777777">
        <w:tc>
          <w:tcPr>
            <w:tcW w:w="2254" w:type="dxa"/>
          </w:tcPr>
          <w:p w14:paraId="35C7F1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 Пе-2</w:t>
            </w:r>
          </w:p>
        </w:tc>
        <w:tc>
          <w:tcPr>
            <w:tcW w:w="2254" w:type="dxa"/>
          </w:tcPr>
          <w:p w14:paraId="528C3F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964E9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F59EC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7D2E8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1E46368" w14:textId="77777777">
        <w:tc>
          <w:tcPr>
            <w:tcW w:w="2254" w:type="dxa"/>
          </w:tcPr>
          <w:p w14:paraId="6407B9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внешней подвеской</w:t>
            </w:r>
          </w:p>
        </w:tc>
        <w:tc>
          <w:tcPr>
            <w:tcW w:w="2254" w:type="dxa"/>
          </w:tcPr>
          <w:p w14:paraId="175F5B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428 км/час</w:t>
            </w:r>
          </w:p>
        </w:tc>
        <w:tc>
          <w:tcPr>
            <w:tcW w:w="2254" w:type="dxa"/>
          </w:tcPr>
          <w:p w14:paraId="403BF1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 км/час</w:t>
            </w:r>
          </w:p>
        </w:tc>
        <w:tc>
          <w:tcPr>
            <w:tcW w:w="2254" w:type="dxa"/>
          </w:tcPr>
          <w:p w14:paraId="56BDD9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 км/час</w:t>
            </w:r>
          </w:p>
        </w:tc>
        <w:tc>
          <w:tcPr>
            <w:tcW w:w="2254" w:type="dxa"/>
          </w:tcPr>
          <w:p w14:paraId="4C486F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гос. испытаний.</w:t>
            </w:r>
          </w:p>
        </w:tc>
      </w:tr>
      <w:tr w:rsidR="006F4095" w:rsidRPr="008127F8" w14:paraId="2FAC123B" w14:textId="77777777">
        <w:tc>
          <w:tcPr>
            <w:tcW w:w="2254" w:type="dxa"/>
          </w:tcPr>
          <w:p w14:paraId="01C637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 Пе-2</w:t>
            </w:r>
          </w:p>
        </w:tc>
        <w:tc>
          <w:tcPr>
            <w:tcW w:w="2254" w:type="dxa"/>
          </w:tcPr>
          <w:p w14:paraId="2C4BA4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CFD55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DC57C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C395C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0A668C" w14:textId="77777777">
        <w:tc>
          <w:tcPr>
            <w:tcW w:w="2254" w:type="dxa"/>
          </w:tcPr>
          <w:p w14:paraId="77441E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 внешней подвески</w:t>
            </w:r>
          </w:p>
        </w:tc>
        <w:tc>
          <w:tcPr>
            <w:tcW w:w="2254" w:type="dxa"/>
          </w:tcPr>
          <w:p w14:paraId="0B58AF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 км/час</w:t>
            </w:r>
          </w:p>
        </w:tc>
        <w:tc>
          <w:tcPr>
            <w:tcW w:w="2254" w:type="dxa"/>
          </w:tcPr>
          <w:p w14:paraId="6451C2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 км/час</w:t>
            </w:r>
          </w:p>
        </w:tc>
        <w:tc>
          <w:tcPr>
            <w:tcW w:w="2254" w:type="dxa"/>
          </w:tcPr>
          <w:p w14:paraId="2FA366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 км/час</w:t>
            </w:r>
          </w:p>
        </w:tc>
        <w:tc>
          <w:tcPr>
            <w:tcW w:w="2254" w:type="dxa"/>
          </w:tcPr>
          <w:p w14:paraId="2AA07D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1165F47" w14:textId="77777777">
        <w:tc>
          <w:tcPr>
            <w:tcW w:w="2254" w:type="dxa"/>
          </w:tcPr>
          <w:p w14:paraId="2C0CF7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Модифицированный</w:t>
            </w:r>
          </w:p>
        </w:tc>
        <w:tc>
          <w:tcPr>
            <w:tcW w:w="2254" w:type="dxa"/>
          </w:tcPr>
          <w:p w14:paraId="086F9B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CAE34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227B8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8D43C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8252CB" w14:textId="77777777">
        <w:tc>
          <w:tcPr>
            <w:tcW w:w="2254" w:type="dxa"/>
            <w:tcBorders>
              <w:bottom w:val="single" w:sz="12" w:space="0" w:color="auto"/>
            </w:tcBorders>
          </w:tcPr>
          <w:p w14:paraId="2251DC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Пе-2</w:t>
            </w:r>
          </w:p>
        </w:tc>
        <w:tc>
          <w:tcPr>
            <w:tcW w:w="2254" w:type="dxa"/>
            <w:tcBorders>
              <w:bottom w:val="single" w:sz="12" w:space="0" w:color="auto"/>
            </w:tcBorders>
          </w:tcPr>
          <w:p w14:paraId="398E36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488 км/час</w:t>
            </w:r>
          </w:p>
        </w:tc>
        <w:tc>
          <w:tcPr>
            <w:tcW w:w="2254" w:type="dxa"/>
            <w:tcBorders>
              <w:bottom w:val="single" w:sz="12" w:space="0" w:color="auto"/>
            </w:tcBorders>
          </w:tcPr>
          <w:p w14:paraId="1FCC84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 км/час</w:t>
            </w:r>
          </w:p>
        </w:tc>
        <w:tc>
          <w:tcPr>
            <w:tcW w:w="2254" w:type="dxa"/>
            <w:tcBorders>
              <w:bottom w:val="single" w:sz="12" w:space="0" w:color="auto"/>
            </w:tcBorders>
          </w:tcPr>
          <w:p w14:paraId="0401BD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км/час</w:t>
            </w:r>
          </w:p>
        </w:tc>
        <w:tc>
          <w:tcPr>
            <w:tcW w:w="2254" w:type="dxa"/>
            <w:tcBorders>
              <w:bottom w:val="single" w:sz="12" w:space="0" w:color="auto"/>
            </w:tcBorders>
          </w:tcPr>
          <w:p w14:paraId="51D507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Расчетные данные.</w:t>
            </w:r>
          </w:p>
        </w:tc>
      </w:tr>
    </w:tbl>
    <w:p w14:paraId="46AF2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создана на базе серийного самолета Пе-2. примерно, 50% деталей, отдельных узлов и агрегатов модификации остаются неизменными с серийного самолета Пе-2. Точно также полностью используется с серийного самолета технология, значительная часть стапелей, оснастки и приспособлений. Кроме того, основная масса готовых изделий, освоенных и поставляемых заводами-смежниками для серийного самолета Пе-2, полностью используется на модифицированный самолет.</w:t>
      </w:r>
    </w:p>
    <w:p w14:paraId="4987AA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должно облегчить внедрение его в серию и постепенный переход на серийный выпуск, вместо самолета Пе-2, его более усовершенствованной модификации с моторами М-105Ф на заводах, выпускающих в данное время самолет Пе-2.</w:t>
      </w:r>
    </w:p>
    <w:p w14:paraId="74ABA0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Имея в виду все эти обстоятельства, представляется необходимым, не ожидая конца летных испытаний машины, немедленно приступить к постройке войсковой серии модифицированного самолета в количестве 10 штук.</w:t>
      </w:r>
    </w:p>
    <w:p w14:paraId="77480F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даст возможность на протяжении 5-7 месяцев получить полную оценку модифицированного самолета на основе опыта применения его в боевой обстановке на фронте и в начале второго полугодия иметь ясность в вопросе о целесообразности постепенного перехода на серийный выпуск, вместо Пе-2, его улучшенной модификации.</w:t>
      </w:r>
    </w:p>
    <w:p w14:paraId="229469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Имея в виду загрузку завода N 22, помимо выпуска серии самолетов Пе-2, заданием по внедрению самолета 103, и считая невозможным отвлекать силы и внимание завода N 39 (Иркутск) от набирания темпов по серийному выпуску Пе-2, является целесообразным осуществить постройку войсковой серии модификации самолета Пе-2 на заводе N 81 (на территории бывшего завода N 39), занятом на сегодня лишь выполнением ремонтной программы.</w:t>
      </w:r>
    </w:p>
    <w:p w14:paraId="32AC78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Представляя на ваше рассмотрение указанные выше соображения, прошу разрешения ГКО на постройку на заводе N 81 НКАП войсковой серии модификации самолета Пе-2 и утверждения мероприятий, перечисленных в прилагаемом проекте постановления ГКО (2757,106).</w:t>
      </w:r>
    </w:p>
    <w:p w14:paraId="1D96BC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3E4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ТАСС писал в ЦК ВКП(б) письмо (вх. N 1118оп) о немецком изобретении бесшумного мотора и это письмо в дальнейшем было передано в НКАП А.И.Ш. (2728,142).</w:t>
      </w:r>
    </w:p>
    <w:p w14:paraId="082DFA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EFC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НКАП писал в ЦК ВКП(б) письмо (вх. N 1117оп) о заглушении шума самолетов и это письмо в дальнейшем было передано в НКАП А.И.Ш. (2728,142).</w:t>
      </w:r>
    </w:p>
    <w:p w14:paraId="5F212E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FFD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вышел приказ Зам. наркома N 10/42:</w:t>
      </w:r>
    </w:p>
    <w:p w14:paraId="5B734A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1941 - январе 1942 на заводе им. Чкалова вследствие ненадежности работы и полного отказа уборки шасси в воздухе пришлось возвратить обратно в сборочный цех 136 ЛаГГ-3 для полного демонтажа, устранения дефектов и вновь сборки шасси...(2530,16).</w:t>
      </w:r>
    </w:p>
    <w:p w14:paraId="7106B0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F78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НИИ Связи и особой техники писал в ЦК ВКП(б) письмо (вх. N 1119оп) об обнаружении и пеленгации самолетов и это письмо в дальнейшем было передано в НКАП А.И.Ш. (2728,142).</w:t>
      </w:r>
    </w:p>
    <w:p w14:paraId="6EA8BC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3A5D4"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60DAC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464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г. вышло РАСПОРЯЖЕНИЕ ЗАМЕСТИТЕЛЯ НАЧАЛЬНИКА ГАБТУ КА ПО ВОПРОСУ АВАРИЙНОСТИ В ТАНКОВЫХ ЧАСТЯХ</w:t>
      </w:r>
    </w:p>
    <w:p w14:paraId="6EB304D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в войсковых частях увеличился выход из строя танков по вине экипажей. Наиболее характерными повреждениями являются:</w:t>
      </w:r>
    </w:p>
    <w:p w14:paraId="64CD70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танку «КВ»:</w:t>
      </w:r>
    </w:p>
    <w:p w14:paraId="386AEB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сгорание ферродо тормозных лент;</w:t>
      </w:r>
    </w:p>
    <w:p w14:paraId="78CD52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коробление стальных дисков главного фрикциона;</w:t>
      </w:r>
    </w:p>
    <w:p w14:paraId="77EF3FF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заедание клапанов дизелей В-2. 2. По танку Т-34:</w:t>
      </w:r>
    </w:p>
    <w:p w14:paraId="3074F1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раздувание масляных баков;</w:t>
      </w:r>
    </w:p>
    <w:p w14:paraId="117197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коробление дисков главного фрикциона;</w:t>
      </w:r>
    </w:p>
    <w:p w14:paraId="4DCC9AE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пожары моторов М-17. 3. По танку Т-60:</w:t>
      </w:r>
    </w:p>
    <w:p w14:paraId="3D6069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выплавление подшипников двигателей;</w:t>
      </w:r>
    </w:p>
    <w:p w14:paraId="36AD506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пробивание прокладок головок блока.</w:t>
      </w:r>
    </w:p>
    <w:p w14:paraId="31F27B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Проверкой установлено, что парковая служба и периодическое обслуживание машин во время военных действий войсковыми частями забыта и не выполняется.</w:t>
      </w:r>
    </w:p>
    <w:p w14:paraId="3E7B8F6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Смазка машин, регулировка механизмов своевременно не производится, вследствие чего повы</w:t>
      </w:r>
      <w:r w:rsidRPr="008127F8">
        <w:rPr>
          <w:rFonts w:ascii="Times New Roman" w:hAnsi="Times New Roman"/>
          <w:color w:val="000000" w:themeColor="text1"/>
          <w:sz w:val="16"/>
          <w:szCs w:val="16"/>
        </w:rPr>
        <w:softHyphen/>
        <w:t>шается износ деталей и происходят частые отказы в работе механизмов.</w:t>
      </w:r>
    </w:p>
    <w:p w14:paraId="2539CD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заправке двигателей не обращается внимание на сорт </w:t>
      </w:r>
      <w:proofErr w:type="gramStart"/>
      <w:r w:rsidRPr="008127F8">
        <w:rPr>
          <w:rFonts w:ascii="Times New Roman" w:hAnsi="Times New Roman"/>
          <w:color w:val="000000" w:themeColor="text1"/>
          <w:sz w:val="16"/>
          <w:szCs w:val="16"/>
        </w:rPr>
        <w:t>масла, несмотря на то, что</w:t>
      </w:r>
      <w:proofErr w:type="gramEnd"/>
      <w:r w:rsidRPr="008127F8">
        <w:rPr>
          <w:rFonts w:ascii="Times New Roman" w:hAnsi="Times New Roman"/>
          <w:color w:val="000000" w:themeColor="text1"/>
          <w:sz w:val="16"/>
          <w:szCs w:val="16"/>
        </w:rPr>
        <w:t xml:space="preserve"> требуемо</w:t>
      </w:r>
      <w:r w:rsidRPr="008127F8">
        <w:rPr>
          <w:rFonts w:ascii="Times New Roman" w:hAnsi="Times New Roman"/>
          <w:color w:val="000000" w:themeColor="text1"/>
          <w:sz w:val="16"/>
          <w:szCs w:val="16"/>
        </w:rPr>
        <w:softHyphen/>
        <w:t>го масла или заменителей его, составленных по определенным рецептам, вполне достаточно.</w:t>
      </w:r>
    </w:p>
    <w:p w14:paraId="359206C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системой охлаждения также нет должного ухода и наблюдения. Концентрация низкозамер</w:t>
      </w:r>
      <w:r w:rsidRPr="008127F8">
        <w:rPr>
          <w:rFonts w:ascii="Times New Roman" w:hAnsi="Times New Roman"/>
          <w:color w:val="000000" w:themeColor="text1"/>
          <w:sz w:val="16"/>
          <w:szCs w:val="16"/>
        </w:rPr>
        <w:softHyphen/>
        <w:t>зающих жидкостей не проверяется, вследствие чего при низкой температуре происходят позорные случаи размораживания систем охлаждения двигателей.</w:t>
      </w:r>
    </w:p>
    <w:p w14:paraId="3E1A0A9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запуска сразу же переводят еще непрогретый двигатель на большие обороты, в результа</w:t>
      </w:r>
      <w:r w:rsidRPr="008127F8">
        <w:rPr>
          <w:rFonts w:ascii="Times New Roman" w:hAnsi="Times New Roman"/>
          <w:color w:val="000000" w:themeColor="text1"/>
          <w:sz w:val="16"/>
          <w:szCs w:val="16"/>
        </w:rPr>
        <w:softHyphen/>
        <w:t>те чего выплавляются коренные подшипники.</w:t>
      </w:r>
    </w:p>
    <w:p w14:paraId="0814C24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Средства подогрева, имеющиеся в достаточном количестве в войсковых частях, не используют</w:t>
      </w:r>
      <w:r w:rsidRPr="008127F8">
        <w:rPr>
          <w:rFonts w:ascii="Times New Roman" w:hAnsi="Times New Roman"/>
          <w:color w:val="000000" w:themeColor="text1"/>
          <w:sz w:val="16"/>
          <w:szCs w:val="16"/>
        </w:rPr>
        <w:softHyphen/>
        <w:t>ся, а укрепившийся неразумный периодический прогрев двигателя приводит к направленному рас</w:t>
      </w:r>
      <w:r w:rsidRPr="008127F8">
        <w:rPr>
          <w:rFonts w:ascii="Times New Roman" w:hAnsi="Times New Roman"/>
          <w:color w:val="000000" w:themeColor="text1"/>
          <w:sz w:val="16"/>
          <w:szCs w:val="16"/>
        </w:rPr>
        <w:softHyphen/>
        <w:t>ходу моторесурсов.</w:t>
      </w:r>
    </w:p>
    <w:p w14:paraId="1F6D26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Переключение передач производится небрежно, что приводит к заеданию кареток на шлицах валов и быстрому износу зубьев шестерен коробок перемены передач и выжимной муфты главного фрикциона. При поворотах танка механики-водители часто производят торможение наружных ба</w:t>
      </w:r>
      <w:r w:rsidRPr="008127F8">
        <w:rPr>
          <w:rFonts w:ascii="Times New Roman" w:hAnsi="Times New Roman"/>
          <w:color w:val="000000" w:themeColor="text1"/>
          <w:sz w:val="16"/>
          <w:szCs w:val="16"/>
        </w:rPr>
        <w:softHyphen/>
        <w:t>рабанов бортовых фрикционов с пробуксовкой, вследствие чего ферродо тормозных лент сгорает.</w:t>
      </w:r>
    </w:p>
    <w:p w14:paraId="39683C9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Подобным ненормальным явлениям положить конец.</w:t>
      </w:r>
    </w:p>
    <w:p w14:paraId="6EE9B6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ликвидации указанных безобразий потребуйте от командиров танковых частей:</w:t>
      </w:r>
    </w:p>
    <w:p w14:paraId="1704EBA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Проверить знание и практические навыки помощников командиров рот по технической час</w:t>
      </w:r>
      <w:r w:rsidRPr="008127F8">
        <w:rPr>
          <w:rFonts w:ascii="Times New Roman" w:hAnsi="Times New Roman"/>
          <w:color w:val="000000" w:themeColor="text1"/>
          <w:sz w:val="16"/>
          <w:szCs w:val="16"/>
        </w:rPr>
        <w:softHyphen/>
        <w:t>ти в обслуживании танков; показавших неудовлетворительные результаты — заменить.</w:t>
      </w:r>
    </w:p>
    <w:p w14:paraId="32D0C9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Тщательно готовить танки к бою; выявленные в процессе осмотра неисправности устранять в кратчайший срок, привлекая для этой работы всех специалистов ремонтных подразделений.</w:t>
      </w:r>
    </w:p>
    <w:p w14:paraId="0ED77B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Систематически проверять выполнение экипажами заводских инструкций по регулировке и смазке механизмов танков. Работы проводить обязательно под </w:t>
      </w:r>
      <w:r w:rsidRPr="008127F8">
        <w:rPr>
          <w:rFonts w:ascii="Times New Roman" w:hAnsi="Times New Roman"/>
          <w:color w:val="000000" w:themeColor="text1"/>
          <w:sz w:val="16"/>
          <w:szCs w:val="16"/>
        </w:rPr>
        <w:lastRenderedPageBreak/>
        <w:t>руководством помощников команди</w:t>
      </w:r>
      <w:r w:rsidRPr="008127F8">
        <w:rPr>
          <w:rFonts w:ascii="Times New Roman" w:hAnsi="Times New Roman"/>
          <w:color w:val="000000" w:themeColor="text1"/>
          <w:sz w:val="16"/>
          <w:szCs w:val="16"/>
        </w:rPr>
        <w:softHyphen/>
        <w:t>ров рот по технической части.</w:t>
      </w:r>
    </w:p>
    <w:p w14:paraId="7B9E27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Максимально использовать имеющиеся в войсковых частях средства подогрева и низкозамер</w:t>
      </w:r>
      <w:r w:rsidRPr="008127F8">
        <w:rPr>
          <w:rFonts w:ascii="Times New Roman" w:hAnsi="Times New Roman"/>
          <w:color w:val="000000" w:themeColor="text1"/>
          <w:sz w:val="16"/>
          <w:szCs w:val="16"/>
        </w:rPr>
        <w:softHyphen/>
        <w:t>зающие жидкости для поддержания танков в постоянной боевой готовности.</w:t>
      </w:r>
    </w:p>
    <w:p w14:paraId="7D6A8A6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5. Ни один случай аварии танков не оставлять без расследования и виновных в преступно-халат</w:t>
      </w:r>
      <w:r w:rsidRPr="008127F8">
        <w:rPr>
          <w:rFonts w:ascii="Times New Roman" w:hAnsi="Times New Roman"/>
          <w:color w:val="000000" w:themeColor="text1"/>
          <w:kern w:val="65535"/>
          <w:sz w:val="16"/>
          <w:szCs w:val="16"/>
        </w:rPr>
        <w:softHyphen/>
        <w:t>ном отношении к машине предавать суду трибунала.</w:t>
      </w:r>
    </w:p>
    <w:p w14:paraId="7B4BF5C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авариях танков немедленно доносить шифровками в ГАБТУ Красной Армии, с указанием ма</w:t>
      </w:r>
      <w:r w:rsidRPr="008127F8">
        <w:rPr>
          <w:rFonts w:ascii="Times New Roman" w:hAnsi="Times New Roman"/>
          <w:color w:val="000000" w:themeColor="text1"/>
          <w:sz w:val="16"/>
          <w:szCs w:val="16"/>
        </w:rPr>
        <w:softHyphen/>
        <w:t>рок, № танков и причин, приведших к аварии.</w:t>
      </w:r>
    </w:p>
    <w:p w14:paraId="2C205F8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ГАБТУ КА генерал-майор технических войск Лебедев</w:t>
      </w:r>
    </w:p>
    <w:p w14:paraId="70FCC9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2CBAEFB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634. Л. 39 соб.-40. Подлинник (11211).</w:t>
      </w:r>
    </w:p>
    <w:p w14:paraId="1A8B05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54D3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вышло Постановление ГКО № 1261 О возвращении на 1-й ГПЗ в Москву оборудования и инструментов для производства подшипников. РГАНИР, Фонд ГКО, д. 21, лл. 25 (11012).</w:t>
      </w:r>
    </w:p>
    <w:p w14:paraId="6B341D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ED3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вышло Постановление ГКО № 1262 О перераспределении специальных металлорежущих станков между заводами НКВ. РГАНИР, Фонд ГКО, д. 21, лл. 26 (11012).</w:t>
      </w:r>
    </w:p>
    <w:p w14:paraId="55F281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92FE"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DDBF7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C087BE"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8 февраля 1942 года Оперативная сводка Совинформбюро</w:t>
      </w:r>
    </w:p>
    <w:p w14:paraId="37244F2D"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8 февраля</w:t>
      </w:r>
    </w:p>
    <w:p w14:paraId="06FE524F"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8 февраля наши войска продолжали вести активные боевые действий против немецко-фашистских войск.</w:t>
      </w:r>
    </w:p>
    <w:p w14:paraId="65A855D2"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8 февраля</w:t>
      </w:r>
    </w:p>
    <w:p w14:paraId="05F1512E"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8 февраля наши войска, преодолевая сопротивление и контратаки противника, вели наступательные бои и заняли несколько населённых пунктов.</w:t>
      </w:r>
    </w:p>
    <w:p w14:paraId="15C3F6CE"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7 февраля уничтожено 17 немецких самолётов. Наши потери  12 самолётов.</w:t>
      </w:r>
    </w:p>
    <w:p w14:paraId="19DFECF1"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7 февраля частями нашей авиации уничтожено и повреждено 6 немецких танков, 211 автомашин с войсками и грузами, 225 повозок с боеприпасами, 31 орудие, 9 зенитно-пулемётных точек, 2 миномётные батареи, рассеяно и частью уничтожено 4 батальона пехоты противника (15024).</w:t>
      </w:r>
    </w:p>
    <w:p w14:paraId="3E91A48E"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p>
    <w:p w14:paraId="7462AE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г. вышел ПРИКАЗ НКО № 085 О ВВЕДЕНИИ В ДЕЙСТВИЕ ПОЛОЖЕНИЙ О КОМАНДУЮЩЕМ ВОЕННЫМИ ВОЗДУШНЫМИ СИЛАМИ ФРОНТА И АРМИИ</w:t>
      </w:r>
    </w:p>
    <w:p w14:paraId="08D154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Ввести в действие объявляемые при сем положения о командующем Военными воздушными силами фронта и армии.</w:t>
      </w:r>
    </w:p>
    <w:p w14:paraId="6191D4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СССР И. СТАЛИН </w:t>
      </w:r>
      <w:r w:rsidRPr="008127F8">
        <w:rPr>
          <w:rFonts w:ascii="Times New Roman" w:hAnsi="Times New Roman"/>
          <w:color w:val="000000" w:themeColor="text1"/>
          <w:sz w:val="16"/>
          <w:szCs w:val="16"/>
        </w:rPr>
        <w:t>(9844).</w:t>
      </w:r>
    </w:p>
    <w:p w14:paraId="32914C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323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февраля 1942 Народный комиссар обороны СССР </w:t>
      </w:r>
      <w:r w:rsidRPr="008127F8">
        <w:rPr>
          <w:rFonts w:ascii="Times New Roman" w:hAnsi="Times New Roman"/>
          <w:iCs/>
          <w:color w:val="000000" w:themeColor="text1"/>
          <w:sz w:val="16"/>
          <w:szCs w:val="16"/>
        </w:rPr>
        <w:t xml:space="preserve">И. СТАЛИН </w:t>
      </w:r>
      <w:proofErr w:type="gramStart"/>
      <w:r w:rsidRPr="008127F8">
        <w:rPr>
          <w:rFonts w:ascii="Times New Roman" w:hAnsi="Times New Roman"/>
          <w:color w:val="000000" w:themeColor="text1"/>
          <w:sz w:val="16"/>
          <w:szCs w:val="16"/>
        </w:rPr>
        <w:t>утвердил:.</w:t>
      </w:r>
      <w:proofErr w:type="gramEnd"/>
    </w:p>
    <w:p w14:paraId="5E027E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О КОМАНДУЮЩЕМ ВОЕННЫМИ ВОЗДУШНЫМИ СИЛАМИ ФРОНТА</w:t>
      </w:r>
    </w:p>
    <w:p w14:paraId="20C0D9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Командующий Военными воздушными силами фронта пользуется правами командующего армией по отношению к подчиненной ему авиации и одновременно является заместителем командующего фронтом по авиации и членом Военного совета фронта.</w:t>
      </w:r>
    </w:p>
    <w:p w14:paraId="21597D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Командующему ВВС ерронта подчиняется вся боевая и разведывательная авиация, приданная фронту по директиве Ставки, а также наземные авиационные части (районы авиационного базирования).</w:t>
      </w:r>
    </w:p>
    <w:p w14:paraId="0126E6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Командующий ВВС фронта подчиняется командующему фронтом во всех отношениях и одновременно командующему ВВС Красной Армии в специальном отношении.</w:t>
      </w:r>
    </w:p>
    <w:p w14:paraId="4C66A0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Командующий ВВС фронта несет ответственность:</w:t>
      </w:r>
    </w:p>
    <w:p w14:paraId="182A6D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 состояние и боевую готовность авиаполков, входящих в состав фронта и армий;</w:t>
      </w:r>
    </w:p>
    <w:p w14:paraId="2EC283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 разработку по директиве командующего фронтом планов боевого применения авиационных полков фронта;</w:t>
      </w:r>
    </w:p>
    <w:p w14:paraId="772F0F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 тактическую выучку командного состава непосредственно подчиненной авиации в разрезе опыта настоящей войны.</w:t>
      </w:r>
    </w:p>
    <w:p w14:paraId="63836C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Командующий ВВС фронта руководит и контролирует:</w:t>
      </w:r>
    </w:p>
    <w:p w14:paraId="43D48D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работу штаба ВВС фронта, особенно в вопросах организации взаимодействия с наземными войсками и воздушной разведки;</w:t>
      </w:r>
    </w:p>
    <w:p w14:paraId="4C3AE2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боевую деятельность ВВС армий;</w:t>
      </w:r>
    </w:p>
    <w:p w14:paraId="0A1DBD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службу авиационного тыла фронта, особенно снабжение авиации фронта и армий горючим и боеприпасами и подготовку аэродромной сети;</w:t>
      </w:r>
    </w:p>
    <w:p w14:paraId="320B38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службу эксплуатации и ремонта, особенно восстановление материальной части неисправных самолетов.</w:t>
      </w:r>
    </w:p>
    <w:p w14:paraId="73897A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Командующий ВВС фронта издает приказы, обязательные для исполнения всей авиацией и тыловыми органами ВВС фронта по различным вопросам, относящимся к кругу его обязанностей.</w:t>
      </w:r>
    </w:p>
    <w:p w14:paraId="7C3C72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Авиаполки фронта и штаб ВВС фронта всеми видами общевойскового снабжения обеспечивается довольствующими управлениями и отделами фронта.</w:t>
      </w:r>
    </w:p>
    <w:p w14:paraId="35FA60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Зам. командующего ВВС КА НОВИКОВ</w:t>
      </w:r>
    </w:p>
    <w:p w14:paraId="614479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 члена Военного совета ВВС генерал-лейтенант авиации бригадный комиссар ГАЛИЧЕВЗам. начальника штаба ВВС КА генерал-майор авиации БЕЛЯЕВ</w:t>
      </w:r>
    </w:p>
    <w:p w14:paraId="1B03FF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февраля 1942 г. Народный комиссар оборонЫ СССР </w:t>
      </w:r>
      <w:r w:rsidRPr="008127F8">
        <w:rPr>
          <w:rFonts w:ascii="Times New Roman" w:hAnsi="Times New Roman"/>
          <w:iCs/>
          <w:color w:val="000000" w:themeColor="text1"/>
          <w:sz w:val="16"/>
          <w:szCs w:val="16"/>
        </w:rPr>
        <w:t xml:space="preserve">И. СТАЛИН </w:t>
      </w:r>
      <w:r w:rsidRPr="008127F8">
        <w:rPr>
          <w:rFonts w:ascii="Times New Roman" w:hAnsi="Times New Roman"/>
          <w:color w:val="000000" w:themeColor="text1"/>
          <w:sz w:val="16"/>
          <w:szCs w:val="16"/>
        </w:rPr>
        <w:t>утвердил:</w:t>
      </w:r>
    </w:p>
    <w:p w14:paraId="0372B6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О КОМАНДУЮЩЕМ ВОЕННЫМИ ВОЗДУШНЫМИ СИЛАМИ АРМИИ</w:t>
      </w:r>
    </w:p>
    <w:p w14:paraId="62CA85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Командующий Военными воздушными силами армии пользуется правами командира дивизии по отношению подчиненных полков и одновременно является заместителем командующего армией по авиации и членом военного совета армии.</w:t>
      </w:r>
    </w:p>
    <w:p w14:paraId="0E833F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Командующему ВВС армии подчиняется вся боевая и разведывательная авиация, приданная армии по решению Военного совета фронта.</w:t>
      </w:r>
    </w:p>
    <w:p w14:paraId="5C2091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Командующий ВВС армии подчиняется командующему армией во всех отношениях и одновременно командующему ВВС фронта в специальном отношении.</w:t>
      </w:r>
    </w:p>
    <w:p w14:paraId="688C89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Командующий ВВС армии несет ответственность:</w:t>
      </w:r>
    </w:p>
    <w:p w14:paraId="728496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 состояние и боевую готовность авиационных полков, входящих в состав ВВС армий;</w:t>
      </w:r>
    </w:p>
    <w:p w14:paraId="638F59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 разработку по директиве командующего армией планов боевого применения авиационных полков;</w:t>
      </w:r>
    </w:p>
    <w:p w14:paraId="0D579D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 постановку авиационным полкам боевых задач и их выполнение;</w:t>
      </w:r>
    </w:p>
    <w:p w14:paraId="754946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 подготовку аэродромов базирования авиации армии и особенно за подготовку передовых аэродромов в наступательной операции;</w:t>
      </w:r>
    </w:p>
    <w:p w14:paraId="172637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за тактическую выучку командного состава в разрезе опыта настоящей войны.</w:t>
      </w:r>
    </w:p>
    <w:p w14:paraId="3026FE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Командующий ВВС армии руководит и контролирует:</w:t>
      </w:r>
    </w:p>
    <w:p w14:paraId="6302DB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деятельность штаба ВВС армии, особенно взаимодействие авиации с наземными войсками армии и работу воздушной разведки;</w:t>
      </w:r>
    </w:p>
    <w:p w14:paraId="7FB335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деятельность тыловых органов ВВС фронта, обслуживающих авиацию армии, особенно снабжение авиационных полков горючим и боеприпасами, развитие аэродромной сети и охрану, оборону и маскировку занятых авиацией армии аэродромов;</w:t>
      </w:r>
    </w:p>
    <w:p w14:paraId="19268F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службу эксплуатации и ремонта, особенно быстрый ввод в строй неисправных самолетов.</w:t>
      </w:r>
    </w:p>
    <w:p w14:paraId="77625D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Командующий ВВС армии издает приказы подчиненным ему авиаполкам по боевой деятельности, специальной подготовке и другим вопросам, относящимся к кругу его обязанностей.</w:t>
      </w:r>
    </w:p>
    <w:p w14:paraId="139986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Части ВВС армии всеми видами общевойскового снабжения обеспечиваются довольствующими отделами армии.</w:t>
      </w:r>
    </w:p>
    <w:p w14:paraId="03C807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Зам. командующего ВВС КА НОВИКОВ</w:t>
      </w:r>
    </w:p>
    <w:p w14:paraId="2BCEE1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 члена Военного совета ВВС КА генерал-лейтенант авиации бригадный комиссар ГАЛИЧЕВ</w:t>
      </w:r>
    </w:p>
    <w:p w14:paraId="3AA0B7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 начальника штаба ВВС КА генерал-майор авиации БЕЛЯЕВ </w:t>
      </w:r>
      <w:r w:rsidRPr="008127F8">
        <w:rPr>
          <w:rFonts w:ascii="Times New Roman" w:hAnsi="Times New Roman"/>
          <w:color w:val="000000" w:themeColor="text1"/>
          <w:sz w:val="16"/>
          <w:szCs w:val="16"/>
        </w:rPr>
        <w:t>(9844).</w:t>
      </w:r>
    </w:p>
    <w:p w14:paraId="429CB4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81A44"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гона утверждается штат № 010/343 танковой бригады для усиления полных армий и стрелковых дивизий, имевших по 27 тяжелых и средних танков. из них 22 Т-34. Эти бригады не имели мотострелковых подразделений и частей обеспечения, а их снабжение должно было производиться с армейских баз (12217).</w:t>
      </w:r>
    </w:p>
    <w:p w14:paraId="4D7459B3"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03A20E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войска СЗФ окружили крупную группировку немцев в районе Демянска (3186).</w:t>
      </w:r>
    </w:p>
    <w:p w14:paraId="7B0B9D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39408"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февраля</w:t>
      </w:r>
      <w:r w:rsidRPr="008127F8">
        <w:rPr>
          <w:rFonts w:ascii="Times New Roman" w:hAnsi="Times New Roman"/>
          <w:color w:val="000000" w:themeColor="text1"/>
          <w:sz w:val="16"/>
          <w:szCs w:val="16"/>
        </w:rPr>
        <w:t xml:space="preserve"> в 1942 году МК и МГК ВКП (б) направили письмо в ГКО, в котором подвели итоги борьбы в тылу немецких войск: во всех районах Московской области организованы и подготовлены к боевой деятельности партизанский отряды; На оккупированной территории оставлен 41 партизанский отряд (1800 человек); партизаны Московской области уничтожили (по неполным данным) 3700 солдат, 215 офицеров, 4 самолета, 26 танков и бронемашин, 30 орудий, 53 легковых и </w:t>
      </w:r>
      <w:r w:rsidRPr="008127F8">
        <w:rPr>
          <w:rFonts w:ascii="Times New Roman" w:hAnsi="Times New Roman"/>
          <w:color w:val="000000" w:themeColor="text1"/>
          <w:sz w:val="16"/>
          <w:szCs w:val="16"/>
        </w:rPr>
        <w:lastRenderedPageBreak/>
        <w:t>штабных автомашины, 520 грузовых автомашин (со снаряжением и солдатами), 32 автоцистерны с горючим, 170 повозок с боеприпасами и продовольствием, 29 складов с боеприпасами и горючим, пустили под откос 3 поезда, взорвали 25 мостов, перерезали 570 линий связи, уничтожили и захватили 180 пулеметов и автоматов, 915 винтовок и др. военное имущество (15034).</w:t>
      </w:r>
    </w:p>
    <w:p w14:paraId="0F42B6AC"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0D66AE11"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февраля</w:t>
      </w:r>
      <w:r w:rsidRPr="008127F8">
        <w:rPr>
          <w:rFonts w:ascii="Times New Roman" w:hAnsi="Times New Roman"/>
          <w:color w:val="000000" w:themeColor="text1"/>
          <w:sz w:val="16"/>
          <w:szCs w:val="16"/>
        </w:rPr>
        <w:t xml:space="preserve"> в 1941 году в соответствии с Постановлением ЦК ВКП(б) и СНК СССР ликвидирован Особый отдел ГУГБ НКВД. В составе Народного комиссариата обороны (НКО) и НК ВМФ созданы органы военной контрразведки: 3-е Управление НКО возглавил А.Н.Михеев, а НК ВМФ — А.И.Петров. Аналогичное подразделение в НКВД возглавил А.М.Белянов (15034).</w:t>
      </w:r>
    </w:p>
    <w:p w14:paraId="373083E4"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5B4080C4"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февраля</w:t>
      </w:r>
      <w:r w:rsidRPr="008127F8">
        <w:rPr>
          <w:rFonts w:ascii="Times New Roman" w:hAnsi="Times New Roman"/>
          <w:color w:val="000000" w:themeColor="text1"/>
          <w:sz w:val="16"/>
          <w:szCs w:val="16"/>
        </w:rPr>
        <w:t xml:space="preserve"> в 1942 году в ходе наступления войска Северо-Западного фронта взяли в окружение крупную группировку немецко-фашистских войск: 6 немецких дивизий общей численностью до 100 тыс. человек в районе Демянска (Новгородская область). Бои за Демянск стали одним из самых ожесточенных сражений начального периода Великой Отечественной войны</w:t>
      </w:r>
    </w:p>
    <w:p w14:paraId="5498CF38"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05528664"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9FA65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072CD6"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Из дневника врача "Скорой помощи" А. Г. Дрейцера: "Масса возвращающихся из эвакуации. Затруднена прописка, но это никого не удерживает. Исчезла водка. Даже вытрезвители закрылись, остался лишь один на весь город. Много снега. Буксуют шины. В домах ящики с песком стоят для тушения зажигалок. Песок спасает теперь буксующие машины" (18696).</w:t>
      </w:r>
    </w:p>
    <w:p w14:paraId="7C4FD2E6" w14:textId="77777777" w:rsidR="000A22B4" w:rsidRPr="008127F8" w:rsidRDefault="000A22B4" w:rsidP="001E0A84">
      <w:pPr>
        <w:spacing w:after="0" w:line="240" w:lineRule="auto"/>
        <w:jc w:val="both"/>
        <w:rPr>
          <w:rFonts w:ascii="Times New Roman" w:hAnsi="Times New Roman"/>
          <w:color w:val="000000" w:themeColor="text1"/>
          <w:sz w:val="16"/>
          <w:szCs w:val="16"/>
        </w:rPr>
      </w:pPr>
    </w:p>
    <w:p w14:paraId="1D5AB47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вышло Постановление ГКО № 1257 [О назначении Зотова В.П. Зам. чл. ГКО Микояна А.И. по продовольственному снабжению.] (7022, 21).</w:t>
      </w:r>
    </w:p>
    <w:p w14:paraId="3BCB383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7714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вышло Постановление ГКО № 1258 [Об освобождении от мобилизации рабочих и ИТР Подмосковного угольного бассейна.] (7022, 22).</w:t>
      </w:r>
    </w:p>
    <w:p w14:paraId="3001F44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5443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вышло Постановление ГКО № 1259 [О переводе в Москву из Казани НКПП, НКФ и Госбанка СССР]. (7022, 23).</w:t>
      </w:r>
    </w:p>
    <w:p w14:paraId="231819C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1A88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вышло Распоряжение ГКО № 1260 [Об увеличении на 40 % развернутой коечной сети эвакогоспиталей.] (7022, 24).</w:t>
      </w:r>
    </w:p>
    <w:p w14:paraId="4ACC317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919E9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B7D8E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27B318" w14:textId="77777777" w:rsidR="0081262A" w:rsidRPr="008127F8" w:rsidRDefault="0081262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доктор Фриц Тодт, рейхсминистр Германии по вооружениям и боеприпасам, погибает в результате крушения Junkers Ju 52 вскоре после взлета из Растенбурга, Восточная Пруссия (20793).</w:t>
      </w:r>
    </w:p>
    <w:p w14:paraId="450E6B52" w14:textId="77777777" w:rsidR="0081262A" w:rsidRPr="008127F8" w:rsidRDefault="0081262A" w:rsidP="001E0A84">
      <w:pPr>
        <w:spacing w:after="0" w:line="240" w:lineRule="auto"/>
        <w:jc w:val="both"/>
        <w:rPr>
          <w:rFonts w:ascii="Times New Roman" w:hAnsi="Times New Roman"/>
          <w:color w:val="000000" w:themeColor="text1"/>
          <w:sz w:val="16"/>
          <w:szCs w:val="16"/>
        </w:rPr>
      </w:pPr>
    </w:p>
    <w:p w14:paraId="551D3056"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8 февраля 1942 г. на </w:t>
      </w:r>
      <w:proofErr w:type="gramStart"/>
      <w:r w:rsidRPr="008A2E5A">
        <w:rPr>
          <w:rFonts w:ascii="Times New Roman" w:hAnsi="Times New Roman"/>
          <w:color w:val="0070C0"/>
          <w:sz w:val="16"/>
          <w:szCs w:val="16"/>
        </w:rPr>
        <w:t>штабном</w:t>
      </w:r>
      <w:proofErr w:type="gramEnd"/>
      <w:r w:rsidRPr="008A2E5A">
        <w:rPr>
          <w:rFonts w:ascii="Times New Roman" w:hAnsi="Times New Roman"/>
          <w:color w:val="0070C0"/>
          <w:sz w:val="16"/>
          <w:szCs w:val="16"/>
        </w:rPr>
        <w:t xml:space="preserve"> Не 111 при полете в Мюнхен разбился главный во</w:t>
      </w:r>
      <w:r w:rsidRPr="008A2E5A">
        <w:rPr>
          <w:rFonts w:ascii="Times New Roman" w:hAnsi="Times New Roman"/>
          <w:color w:val="0070C0"/>
          <w:sz w:val="16"/>
          <w:szCs w:val="16"/>
        </w:rPr>
        <w:softHyphen/>
        <w:t>енный строитель Рейха — доктор Тодт (24186).</w:t>
      </w:r>
    </w:p>
    <w:p w14:paraId="5BD43612" w14:textId="77777777" w:rsidR="00E43DE7" w:rsidRPr="008A2E5A" w:rsidRDefault="00E43DE7" w:rsidP="00E43DE7">
      <w:pPr>
        <w:spacing w:after="0" w:line="240" w:lineRule="auto"/>
        <w:jc w:val="both"/>
        <w:rPr>
          <w:rFonts w:ascii="Times New Roman" w:hAnsi="Times New Roman"/>
          <w:color w:val="0070C0"/>
          <w:sz w:val="16"/>
          <w:szCs w:val="16"/>
        </w:rPr>
      </w:pPr>
    </w:p>
    <w:p w14:paraId="4AD08C3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Рузвельт отверг план немедленного провозглашения независимости Филиппин (4962).</w:t>
      </w:r>
    </w:p>
    <w:p w14:paraId="3D9FA0A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2E08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японские войска приостановили наступление в Индонезии в связи с эпидемией малярии в армии (4962).</w:t>
      </w:r>
    </w:p>
    <w:p w14:paraId="2DCBE41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FB4D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1942 японцы высадились в Сингапуре (2100).</w:t>
      </w:r>
    </w:p>
    <w:p w14:paraId="20DE07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4CC47"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февраля</w:t>
      </w:r>
      <w:r w:rsidRPr="008127F8">
        <w:rPr>
          <w:rFonts w:ascii="Times New Roman" w:hAnsi="Times New Roman"/>
          <w:color w:val="000000" w:themeColor="text1"/>
          <w:sz w:val="16"/>
          <w:szCs w:val="16"/>
        </w:rPr>
        <w:t xml:space="preserve"> в 1942 году японские войска высадились на остров Сингапур и вступили в бой с британским гарнизоном (15034).</w:t>
      </w:r>
    </w:p>
    <w:p w14:paraId="7EAD634E"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5CC7AB4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302EF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C34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Дементьев писал командующему ВВС Жигареву письмо N 393:</w:t>
      </w:r>
    </w:p>
    <w:p w14:paraId="193F18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отправка самолетов Ил-2 и ДБ-3Ф в разобранном виде по ж/д в Москву отменена.</w:t>
      </w:r>
    </w:p>
    <w:p w14:paraId="24A0FB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момент выхода постановления в пути находилось 2 эшелона из Комсомольска - один с 9-ю, а другой с 5-ю самолетами ДБ-3Ф.</w:t>
      </w:r>
    </w:p>
    <w:p w14:paraId="4EEFB3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81 заводу надлежит собрать в своих цехах 14 самолетов ДБ-3Ф" (1635,15).</w:t>
      </w:r>
    </w:p>
    <w:p w14:paraId="5CB52F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64E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директор завода 18 Шенкман писал А.И.Ш. и С.В.И. письмо N 104/3-8:</w:t>
      </w:r>
    </w:p>
    <w:p w14:paraId="7760AC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"Нами в августе 1941 поднимался вопрос о замене жесткого управления РВ дублированным тросовым, с целью повышения безопасности машины, т.к. устранялась возможность прострела тяг в хвостовой части фюзеляжа. своим письмом N 20/1232 от 21 августа ГК С.В.И. утвердил предложенный вариант с некоторыми поправками и с производством гос. испытаний. Нами было смонтировано тросовое управление РВ на машине N 0-0 с учетом этих замечаний и проведены летные испытания по специальной программе.</w:t>
      </w:r>
    </w:p>
    <w:p w14:paraId="52D9A5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Но после этого тросовое управление запущено в серию не было, так как при обследовании фронтовых машин ГК, случаев отказа машин из-за прострела труб зарегистрировано не было.</w:t>
      </w:r>
    </w:p>
    <w:p w14:paraId="02BA8A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этот вопрос приходится поднимать вновь из-за отсутствия на заводе труб.</w:t>
      </w:r>
    </w:p>
    <w:p w14:paraId="495A99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считая возможным изменить управление на тросовое без ущерба для качества самолета, просим разрешить запуск в серию указанного варианта</w:t>
      </w:r>
    </w:p>
    <w:p w14:paraId="33C298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(Резолюция С.В.И. с разрешением) (1679,64).</w:t>
      </w:r>
    </w:p>
    <w:p w14:paraId="4B5DD6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03F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вышло Постановление ГКО № 1263 О переводе завода № 29 в г. Омске на производство моторов М-82 и о развитии производства моторов М-62 ИР на заводе № 19. РГАНИР, Фонд ГКО, д. 21, лл. 27-28 (11012).</w:t>
      </w:r>
    </w:p>
    <w:p w14:paraId="40D3D3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D97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года ГКО по</w:t>
      </w:r>
      <w:r w:rsidRPr="008127F8">
        <w:rPr>
          <w:rFonts w:ascii="Times New Roman" w:hAnsi="Times New Roman"/>
          <w:color w:val="000000" w:themeColor="text1"/>
          <w:sz w:val="16"/>
          <w:szCs w:val="16"/>
        </w:rPr>
        <w:softHyphen/>
        <w:t>становлением № 1263 принял решение «О пере</w:t>
      </w:r>
      <w:r w:rsidRPr="008127F8">
        <w:rPr>
          <w:rFonts w:ascii="Times New Roman" w:hAnsi="Times New Roman"/>
          <w:color w:val="000000" w:themeColor="text1"/>
          <w:sz w:val="16"/>
          <w:szCs w:val="16"/>
        </w:rPr>
        <w:softHyphen/>
        <w:t>воде завода №29 в Омске на про</w:t>
      </w:r>
      <w:r w:rsidRPr="008127F8">
        <w:rPr>
          <w:rFonts w:ascii="Times New Roman" w:hAnsi="Times New Roman"/>
          <w:color w:val="000000" w:themeColor="text1"/>
          <w:sz w:val="16"/>
          <w:szCs w:val="16"/>
        </w:rPr>
        <w:softHyphen/>
        <w:t>изводство моторов М-82 и о разви</w:t>
      </w:r>
      <w:r w:rsidRPr="008127F8">
        <w:rPr>
          <w:rFonts w:ascii="Times New Roman" w:hAnsi="Times New Roman"/>
          <w:color w:val="000000" w:themeColor="text1"/>
          <w:sz w:val="16"/>
          <w:szCs w:val="16"/>
        </w:rPr>
        <w:softHyphen/>
        <w:t>тии производства моторов М-62ИР на заводе № 19», которым предусмат</w:t>
      </w:r>
      <w:r w:rsidRPr="008127F8">
        <w:rPr>
          <w:rFonts w:ascii="Times New Roman" w:hAnsi="Times New Roman"/>
          <w:color w:val="000000" w:themeColor="text1"/>
          <w:sz w:val="16"/>
          <w:szCs w:val="16"/>
        </w:rPr>
        <w:softHyphen/>
        <w:t>ривалось окончить выпуск моторов М-88 на заводе № 29 к маю 1942 года и с этого же месяца начать вы</w:t>
      </w:r>
      <w:r w:rsidRPr="008127F8">
        <w:rPr>
          <w:rFonts w:ascii="Times New Roman" w:hAnsi="Times New Roman"/>
          <w:color w:val="000000" w:themeColor="text1"/>
          <w:sz w:val="16"/>
          <w:szCs w:val="16"/>
        </w:rPr>
        <w:softHyphen/>
        <w:t>пуск моторов М-82 (10686).</w:t>
      </w:r>
    </w:p>
    <w:p w14:paraId="1C6668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177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февраля 1942 г. вышло Постановление ГКО N </w:t>
      </w:r>
      <w:proofErr w:type="gramStart"/>
      <w:r w:rsidRPr="008127F8">
        <w:rPr>
          <w:rFonts w:ascii="Times New Roman" w:hAnsi="Times New Roman"/>
          <w:color w:val="000000" w:themeColor="text1"/>
          <w:sz w:val="16"/>
          <w:szCs w:val="16"/>
        </w:rPr>
        <w:t>1263сс О</w:t>
      </w:r>
      <w:proofErr w:type="gramEnd"/>
      <w:r w:rsidRPr="008127F8">
        <w:rPr>
          <w:rFonts w:ascii="Times New Roman" w:hAnsi="Times New Roman"/>
          <w:color w:val="000000" w:themeColor="text1"/>
          <w:sz w:val="16"/>
          <w:szCs w:val="16"/>
        </w:rPr>
        <w:t xml:space="preserve"> переводе завода N 29 в г. Омске на производство моторов М-82.</w:t>
      </w:r>
    </w:p>
    <w:p w14:paraId="762F76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постановкой моторов М-82 на самолеты 103 на заводах NN 166 и 22, а также в связи с возможностью перевода на моторы М-82 самолета ДБ-3Ф на заводе N 126 и самолетов Ил-2 на заводе N 381, потребность в моторах М-82 резко увеличится и завод N 19 во втором полугодии уже не сможет удовлетворить потребности в этих моторах.</w:t>
      </w:r>
    </w:p>
    <w:p w14:paraId="15EF24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же время потребность в моторах М-88 со снятием с производства самолета Су-2 и переводом самолета ДБ-3Ф на моторы М-82 сокращается.</w:t>
      </w:r>
    </w:p>
    <w:p w14:paraId="125CAD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покрытия потребности в моторах М-82 и расширения выпуска моторов М-62ИР на заводе N 19 _ ГКО постановляет:</w:t>
      </w:r>
    </w:p>
    <w:p w14:paraId="088524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 Шахурина и директора завода N 29 - Лукина перевести завод N 29 в г. Омске на производство моторов М-82.</w:t>
      </w:r>
    </w:p>
    <w:p w14:paraId="76E00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заводу N 29 программу по выпуску в 1942 году моторов М-82 в количестве 1250 штук и М-88 в количестве 950 штук,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4338"/>
      </w:tblGrid>
      <w:tr w:rsidR="006F4095" w:rsidRPr="008127F8" w14:paraId="1041E7AA" w14:textId="77777777">
        <w:tc>
          <w:tcPr>
            <w:tcW w:w="1252" w:type="dxa"/>
            <w:tcBorders>
              <w:top w:val="single" w:sz="12" w:space="0" w:color="auto"/>
            </w:tcBorders>
          </w:tcPr>
          <w:p w14:paraId="0C789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Borders>
              <w:top w:val="single" w:sz="12" w:space="0" w:color="auto"/>
            </w:tcBorders>
          </w:tcPr>
          <w:p w14:paraId="0A553A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252" w:type="dxa"/>
            <w:tcBorders>
              <w:top w:val="single" w:sz="12" w:space="0" w:color="auto"/>
            </w:tcBorders>
          </w:tcPr>
          <w:p w14:paraId="029F49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252" w:type="dxa"/>
            <w:tcBorders>
              <w:top w:val="single" w:sz="12" w:space="0" w:color="auto"/>
            </w:tcBorders>
          </w:tcPr>
          <w:p w14:paraId="33CAE7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Borders>
              <w:top w:val="single" w:sz="12" w:space="0" w:color="auto"/>
            </w:tcBorders>
          </w:tcPr>
          <w:p w14:paraId="0A2041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4338" w:type="dxa"/>
            <w:tcBorders>
              <w:top w:val="single" w:sz="12" w:space="0" w:color="auto"/>
            </w:tcBorders>
          </w:tcPr>
          <w:p w14:paraId="127792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r>
      <w:tr w:rsidR="006F4095" w:rsidRPr="008127F8" w14:paraId="7562DD10" w14:textId="77777777">
        <w:tc>
          <w:tcPr>
            <w:tcW w:w="1252" w:type="dxa"/>
          </w:tcPr>
          <w:p w14:paraId="4B6113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tc>
        <w:tc>
          <w:tcPr>
            <w:tcW w:w="1252" w:type="dxa"/>
          </w:tcPr>
          <w:p w14:paraId="6641EF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 шт.</w:t>
            </w:r>
          </w:p>
        </w:tc>
        <w:tc>
          <w:tcPr>
            <w:tcW w:w="1252" w:type="dxa"/>
          </w:tcPr>
          <w:p w14:paraId="0A7E78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52" w:type="dxa"/>
          </w:tcPr>
          <w:p w14:paraId="30DF18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1252" w:type="dxa"/>
          </w:tcPr>
          <w:p w14:paraId="79C798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338" w:type="dxa"/>
          </w:tcPr>
          <w:p w14:paraId="794209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 шт.</w:t>
            </w:r>
          </w:p>
        </w:tc>
      </w:tr>
      <w:tr w:rsidR="006F4095" w:rsidRPr="008127F8" w14:paraId="3AD183CC" w14:textId="77777777">
        <w:tc>
          <w:tcPr>
            <w:tcW w:w="1252" w:type="dxa"/>
          </w:tcPr>
          <w:p w14:paraId="6CC7B3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1252" w:type="dxa"/>
          </w:tcPr>
          <w:p w14:paraId="4449F5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 шт.</w:t>
            </w:r>
          </w:p>
        </w:tc>
        <w:tc>
          <w:tcPr>
            <w:tcW w:w="1252" w:type="dxa"/>
          </w:tcPr>
          <w:p w14:paraId="646C43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52" w:type="dxa"/>
          </w:tcPr>
          <w:p w14:paraId="28781D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1252" w:type="dxa"/>
          </w:tcPr>
          <w:p w14:paraId="230D5E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338" w:type="dxa"/>
          </w:tcPr>
          <w:p w14:paraId="52F5CD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 шт.</w:t>
            </w:r>
          </w:p>
        </w:tc>
      </w:tr>
      <w:tr w:rsidR="006F4095" w:rsidRPr="008127F8" w14:paraId="538D01D2" w14:textId="77777777">
        <w:tc>
          <w:tcPr>
            <w:tcW w:w="1252" w:type="dxa"/>
          </w:tcPr>
          <w:p w14:paraId="12BA02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1252" w:type="dxa"/>
          </w:tcPr>
          <w:p w14:paraId="050D16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шт.</w:t>
            </w:r>
          </w:p>
        </w:tc>
        <w:tc>
          <w:tcPr>
            <w:tcW w:w="1252" w:type="dxa"/>
          </w:tcPr>
          <w:p w14:paraId="6214DA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52" w:type="dxa"/>
          </w:tcPr>
          <w:p w14:paraId="5519D2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1252" w:type="dxa"/>
          </w:tcPr>
          <w:p w14:paraId="5A9FA4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338" w:type="dxa"/>
          </w:tcPr>
          <w:p w14:paraId="397EE1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 шт.</w:t>
            </w:r>
          </w:p>
        </w:tc>
      </w:tr>
      <w:tr w:rsidR="006F4095" w:rsidRPr="008127F8" w14:paraId="42A3083C" w14:textId="77777777">
        <w:tc>
          <w:tcPr>
            <w:tcW w:w="1252" w:type="dxa"/>
          </w:tcPr>
          <w:p w14:paraId="638BBB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1252" w:type="dxa"/>
          </w:tcPr>
          <w:p w14:paraId="02A1C1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шт.</w:t>
            </w:r>
          </w:p>
        </w:tc>
        <w:tc>
          <w:tcPr>
            <w:tcW w:w="1252" w:type="dxa"/>
          </w:tcPr>
          <w:p w14:paraId="128740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52" w:type="dxa"/>
          </w:tcPr>
          <w:p w14:paraId="69CFD0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1252" w:type="dxa"/>
          </w:tcPr>
          <w:p w14:paraId="647E9F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338" w:type="dxa"/>
          </w:tcPr>
          <w:p w14:paraId="68ACA7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 шт.</w:t>
            </w:r>
          </w:p>
        </w:tc>
      </w:tr>
      <w:tr w:rsidR="006F4095" w:rsidRPr="008127F8" w14:paraId="55810E91" w14:textId="77777777">
        <w:tc>
          <w:tcPr>
            <w:tcW w:w="1252" w:type="dxa"/>
          </w:tcPr>
          <w:p w14:paraId="037FAF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252" w:type="dxa"/>
          </w:tcPr>
          <w:p w14:paraId="54863D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шт.</w:t>
            </w:r>
          </w:p>
        </w:tc>
        <w:tc>
          <w:tcPr>
            <w:tcW w:w="1252" w:type="dxa"/>
          </w:tcPr>
          <w:p w14:paraId="3CEAAA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шт.</w:t>
            </w:r>
          </w:p>
        </w:tc>
        <w:tc>
          <w:tcPr>
            <w:tcW w:w="1252" w:type="dxa"/>
          </w:tcPr>
          <w:p w14:paraId="1189E6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1252" w:type="dxa"/>
          </w:tcPr>
          <w:p w14:paraId="7267FD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338" w:type="dxa"/>
          </w:tcPr>
          <w:p w14:paraId="1A76AA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275 шт.</w:t>
            </w:r>
          </w:p>
        </w:tc>
      </w:tr>
      <w:tr w:rsidR="00687FE2" w:rsidRPr="008127F8" w14:paraId="655818BC" w14:textId="77777777">
        <w:tc>
          <w:tcPr>
            <w:tcW w:w="1252" w:type="dxa"/>
            <w:tcBorders>
              <w:bottom w:val="single" w:sz="12" w:space="0" w:color="auto"/>
            </w:tcBorders>
          </w:tcPr>
          <w:p w14:paraId="5318BE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1252" w:type="dxa"/>
            <w:tcBorders>
              <w:bottom w:val="single" w:sz="12" w:space="0" w:color="auto"/>
            </w:tcBorders>
          </w:tcPr>
          <w:p w14:paraId="775D58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52" w:type="dxa"/>
            <w:tcBorders>
              <w:bottom w:val="single" w:sz="12" w:space="0" w:color="auto"/>
            </w:tcBorders>
          </w:tcPr>
          <w:p w14:paraId="531BFA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шт.</w:t>
            </w:r>
          </w:p>
        </w:tc>
        <w:tc>
          <w:tcPr>
            <w:tcW w:w="1252" w:type="dxa"/>
            <w:tcBorders>
              <w:bottom w:val="single" w:sz="12" w:space="0" w:color="auto"/>
            </w:tcBorders>
          </w:tcPr>
          <w:p w14:paraId="737497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1252" w:type="dxa"/>
            <w:tcBorders>
              <w:bottom w:val="single" w:sz="12" w:space="0" w:color="auto"/>
            </w:tcBorders>
          </w:tcPr>
          <w:p w14:paraId="5AD69D7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338" w:type="dxa"/>
            <w:tcBorders>
              <w:bottom w:val="single" w:sz="12" w:space="0" w:color="auto"/>
            </w:tcBorders>
          </w:tcPr>
          <w:p w14:paraId="766395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 шт. (2760,154)</w:t>
            </w:r>
          </w:p>
        </w:tc>
      </w:tr>
    </w:tbl>
    <w:p w14:paraId="7FB9C8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704CD" w14:textId="77777777" w:rsidR="00B01D6D" w:rsidRPr="008127F8" w:rsidRDefault="00B01D6D" w:rsidP="001E0A84">
      <w:pPr>
        <w:pStyle w:val="a4"/>
        <w:rPr>
          <w:color w:val="000000" w:themeColor="text1"/>
          <w:lang w:val="ru-RU"/>
        </w:rPr>
      </w:pPr>
      <w:r w:rsidRPr="008127F8">
        <w:rPr>
          <w:color w:val="000000" w:themeColor="text1"/>
          <w:lang w:val="ru-RU"/>
        </w:rPr>
        <w:t>9 февраля 1942 г. в ожидании скорого начала выпуска бомбардировщиков «103», ДБ-ЗФ и ТБ-7 с мо</w:t>
      </w:r>
      <w:r w:rsidRPr="008127F8">
        <w:rPr>
          <w:color w:val="000000" w:themeColor="text1"/>
          <w:lang w:val="ru-RU"/>
        </w:rPr>
        <w:softHyphen/>
        <w:t>торами М-82, ГКО постановлением № 1263 принял решение «О пе</w:t>
      </w:r>
      <w:r w:rsidRPr="008127F8">
        <w:rPr>
          <w:color w:val="000000" w:themeColor="text1"/>
          <w:lang w:val="ru-RU"/>
        </w:rPr>
        <w:softHyphen/>
        <w:t xml:space="preserve">реводе завода № 29 в Омске на производство моторов М-82 и о развитии производства моторов М-62ИР на заводе № 19». Этим предусматривалось окончить выпуск </w:t>
      </w:r>
      <w:r w:rsidRPr="008127F8">
        <w:rPr>
          <w:color w:val="000000" w:themeColor="text1"/>
          <w:lang w:val="ru-RU"/>
        </w:rPr>
        <w:lastRenderedPageBreak/>
        <w:t>моторов М-88 на заводе № 29 к маю 1942 г. и с этого же месяца начать выпуск М-82.</w:t>
      </w:r>
    </w:p>
    <w:p w14:paraId="608FEEA2" w14:textId="77777777" w:rsidR="00B01D6D" w:rsidRPr="008127F8" w:rsidRDefault="00B01D6D" w:rsidP="001E0A84">
      <w:pPr>
        <w:pStyle w:val="a4"/>
        <w:rPr>
          <w:color w:val="000000" w:themeColor="text1"/>
          <w:lang w:val="ru-RU"/>
        </w:rPr>
      </w:pPr>
      <w:r w:rsidRPr="008127F8">
        <w:rPr>
          <w:color w:val="000000" w:themeColor="text1"/>
          <w:lang w:val="ru-RU"/>
        </w:rPr>
        <w:t>Однако начавшиеся лётные испытания бомбардировщиков с М-82 показали, что этот мотор и на них работает пока неудовлетворительно. Поэтому бюрократический «маят</w:t>
      </w:r>
      <w:r w:rsidRPr="008127F8">
        <w:rPr>
          <w:color w:val="000000" w:themeColor="text1"/>
          <w:lang w:val="ru-RU"/>
        </w:rPr>
        <w:softHyphen/>
        <w:t>ник» качнулся в другую сторону. Постановление ГКО № 1397 от 6 марта 1942 г. «О со</w:t>
      </w:r>
      <w:r w:rsidRPr="008127F8">
        <w:rPr>
          <w:color w:val="000000" w:themeColor="text1"/>
          <w:lang w:val="ru-RU"/>
        </w:rPr>
        <w:softHyphen/>
        <w:t>хранении производства моторов М-88 на заводе № 29 в Омске» отменяло постановле</w:t>
      </w:r>
      <w:r w:rsidRPr="008127F8">
        <w:rPr>
          <w:color w:val="000000" w:themeColor="text1"/>
          <w:lang w:val="ru-RU"/>
        </w:rPr>
        <w:softHyphen/>
        <w:t>ние от 9 февраля и постановило производство моторов М-88 на заводе № 29 не сокращать, а развивать его с тем, чтобы в мае 1942 г. достигнуть выпуска 14 моторов в нь и прочно закрепить этот выпуск. Программа заводу № 29 на 1942 г. по выпуску торов М-82 должна была составить всего 85 штук, в том числе в октябре — 10, в ноябре — 25, декабре — 50 (15788).</w:t>
      </w:r>
    </w:p>
    <w:p w14:paraId="0CC2A59B" w14:textId="77777777" w:rsidR="00B01D6D" w:rsidRPr="008127F8" w:rsidRDefault="00B01D6D" w:rsidP="001E0A84">
      <w:pPr>
        <w:pStyle w:val="a4"/>
        <w:rPr>
          <w:color w:val="000000" w:themeColor="text1"/>
          <w:lang w:val="ru-RU"/>
        </w:rPr>
      </w:pPr>
    </w:p>
    <w:p w14:paraId="2257DC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вышел приказ НКАП N 108сс в исполнение решения ГКО от 7 февраля 1942:</w:t>
      </w:r>
    </w:p>
    <w:p w14:paraId="1FA8DB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директору завода 153 Романову немедленно приступить к производству самолетов Як-3 с двойным управлением из расчета 20 самолетов в месяц, начиная с 15 февраля с.г.</w:t>
      </w:r>
    </w:p>
    <w:p w14:paraId="2BE9CD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 10 ГУ Тарасевичу и директору завода 18 Шенкману немедленно приступить к производству самолетов Ил-2 с двойным управлением из расчета 20 самолетов в месяц, начиная с 15 февраля 1942 (1336,43).</w:t>
      </w:r>
    </w:p>
    <w:p w14:paraId="4379F6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775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вышел приказ НКАП N 109сс</w:t>
      </w:r>
    </w:p>
    <w:p w14:paraId="0859EE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своим постановлением от 7 февраля 1942 отметил, что применение самолетов У-2 на всех фронтах как ББ дало хорошие результаты. В исполнение постановления ГКО:</w:t>
      </w:r>
    </w:p>
    <w:p w14:paraId="7D1694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директору завода 387 Федину:</w:t>
      </w:r>
    </w:p>
    <w:p w14:paraId="665083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увеличить выпуск самолетов У-2, доведя их количество в феврале - 180, в марте - 225, в апреле - 225</w:t>
      </w:r>
    </w:p>
    <w:p w14:paraId="39D1F3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выпускаемых самолетах ставить 6 усиленных бомбодержателей, могущих выдержать две 100 кг и 4 50 кг бомб (1536,50).</w:t>
      </w:r>
    </w:p>
    <w:p w14:paraId="46850C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70E4EE16" w14:textId="77777777">
        <w:tc>
          <w:tcPr>
            <w:tcW w:w="675" w:type="dxa"/>
            <w:tcBorders>
              <w:top w:val="single" w:sz="12" w:space="0" w:color="auto"/>
            </w:tcBorders>
          </w:tcPr>
          <w:p w14:paraId="793977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2CB7B5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1EA85D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3C292B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1263F5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1FE009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54D7CF4B" w14:textId="77777777">
        <w:tc>
          <w:tcPr>
            <w:tcW w:w="675" w:type="dxa"/>
            <w:tcBorders>
              <w:bottom w:val="single" w:sz="12" w:space="0" w:color="auto"/>
            </w:tcBorders>
          </w:tcPr>
          <w:p w14:paraId="198EC2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993" w:type="dxa"/>
            <w:tcBorders>
              <w:bottom w:val="single" w:sz="12" w:space="0" w:color="auto"/>
            </w:tcBorders>
          </w:tcPr>
          <w:p w14:paraId="14C569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w:t>
            </w:r>
          </w:p>
        </w:tc>
        <w:tc>
          <w:tcPr>
            <w:tcW w:w="708" w:type="dxa"/>
            <w:tcBorders>
              <w:bottom w:val="single" w:sz="12" w:space="0" w:color="auto"/>
            </w:tcBorders>
          </w:tcPr>
          <w:p w14:paraId="7470ED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1418" w:type="dxa"/>
            <w:tcBorders>
              <w:bottom w:val="single" w:sz="12" w:space="0" w:color="auto"/>
            </w:tcBorders>
          </w:tcPr>
          <w:p w14:paraId="2B55DA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А.Е.Фатьянов</w:t>
            </w:r>
          </w:p>
        </w:tc>
        <w:tc>
          <w:tcPr>
            <w:tcW w:w="2364" w:type="dxa"/>
            <w:tcBorders>
              <w:bottom w:val="single" w:sz="12" w:space="0" w:color="auto"/>
            </w:tcBorders>
          </w:tcPr>
          <w:p w14:paraId="17BE1E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ПС-84 транспортного</w:t>
            </w:r>
          </w:p>
        </w:tc>
        <w:tc>
          <w:tcPr>
            <w:tcW w:w="4440" w:type="dxa"/>
            <w:tcBorders>
              <w:bottom w:val="single" w:sz="12" w:space="0" w:color="auto"/>
            </w:tcBorders>
          </w:tcPr>
          <w:p w14:paraId="7395CC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Ошибка л Фатьянова, взлетевшего с 3-х точек и отрыв с-та на малой скорости при полной загрузке</w:t>
            </w:r>
          </w:p>
        </w:tc>
      </w:tr>
    </w:tbl>
    <w:p w14:paraId="763860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6BE8D8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C0B50F"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1EEDB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CE792A"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9 февраля 1942 г. Письмо первого секретаря Тамбовского обкома ВКП(б) Н.А. Логинова наркому минометного вооружения </w:t>
      </w:r>
    </w:p>
    <w:p w14:paraId="3B0B4242"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СССР П.И. Паршину107 об изготовлении ротных минометов заводом «Комсомолец»</w:t>
      </w:r>
    </w:p>
    <w:p w14:paraId="39F9BD83"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3CE814C5"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Тамбовский завод «Комсомолец» по причине необеспеченности его шасси для БЗ-39 и АС-2 Горьковским автозаводом за последнее время не имеет полной загрузки оборудования механического цеха. Тамбовский городской комитет обороны обязал завод изготовить для Юго-Западного фронта ротных минометов в количестве 125 штук, которые будут готовы 12-15 февраля с/г.</w:t>
      </w:r>
    </w:p>
    <w:p w14:paraId="2E719CAA"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что завод при изготовлении указанного количества минометов изготовил приспособления, инструмент и разработал технологию, Тамбовский обком ВКП(б) просит Вас, т. Паршин, включить в программу завода «Комсомолец», начиная с марта м-ца, изготовление ротных минометов. Руководство завода по данному вопросу также обратилось к Вам с просьбой.</w:t>
      </w:r>
    </w:p>
    <w:p w14:paraId="5793EA17"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Вашем решении просьба сообщить.</w:t>
      </w:r>
    </w:p>
    <w:p w14:paraId="6088675E"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обкома ВКП(б) Логинов</w:t>
      </w:r>
    </w:p>
    <w:p w14:paraId="6BF27A61"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ЦДНИТО. Ф. 1045. Оп. 1. Д. 2675. Л. 8. Отпуск (23656).</w:t>
      </w:r>
    </w:p>
    <w:p w14:paraId="504DD765" w14:textId="77777777" w:rsidR="00E43DE7" w:rsidRPr="008A2E5A" w:rsidRDefault="00E43DE7" w:rsidP="00E43DE7">
      <w:pPr>
        <w:spacing w:after="0" w:line="240" w:lineRule="auto"/>
        <w:jc w:val="both"/>
        <w:rPr>
          <w:rFonts w:ascii="Times New Roman" w:hAnsi="Times New Roman"/>
          <w:color w:val="0070C0"/>
          <w:sz w:val="16"/>
          <w:szCs w:val="16"/>
        </w:rPr>
      </w:pPr>
    </w:p>
    <w:p w14:paraId="6367187C"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w:t>
      </w:r>
    </w:p>
    <w:p w14:paraId="0523313B"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99 – 101</w:t>
      </w:r>
    </w:p>
    <w:p w14:paraId="3224524A"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9.II-1942 г. № 1084</w:t>
      </w:r>
    </w:p>
    <w:p w14:paraId="3675C104" w14:textId="60A69180"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5E7A9204"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F407BF2"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СССР</w:t>
      </w:r>
    </w:p>
    <w:p w14:paraId="07DFBA40"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182-мс</w:t>
      </w:r>
    </w:p>
    <w:p w14:paraId="2CF8D9BB"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1C5A26A"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w:t>
      </w:r>
    </w:p>
    <w:p w14:paraId="75F4A149" w14:textId="46E3412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Совнаркома Союза ССР за № 158-85с от 8-го февраля с.г. о переводе в Москву аппарата Наркомата танковой промышленности, ПРИКАЗЫВАЮ:</w:t>
      </w:r>
      <w:r w:rsidR="008127F8">
        <w:rPr>
          <w:rFonts w:ascii="Times New Roman" w:hAnsi="Times New Roman"/>
          <w:color w:val="000000" w:themeColor="text1"/>
          <w:sz w:val="16"/>
          <w:szCs w:val="16"/>
        </w:rPr>
        <w:t xml:space="preserve">  </w:t>
      </w:r>
    </w:p>
    <w:p w14:paraId="44DC531F" w14:textId="4797CAD6"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Перевести на работу в Москву работников аппарата Наркомтанкопрома без семей, оставив в г. Челябинске оперативную группу в количестве 100 человек.</w:t>
      </w:r>
      <w:r w:rsidR="008127F8">
        <w:rPr>
          <w:rFonts w:ascii="Times New Roman" w:hAnsi="Times New Roman"/>
          <w:color w:val="000000" w:themeColor="text1"/>
          <w:sz w:val="16"/>
          <w:szCs w:val="16"/>
        </w:rPr>
        <w:t xml:space="preserve">  </w:t>
      </w:r>
    </w:p>
    <w:p w14:paraId="536DB1CA" w14:textId="1F337AFF"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Возложить руководство оперативной группой Наркомтанкопрома в г. Челябинске на моего заместителя т. КОТИНА Жозефа Яковлевича.</w:t>
      </w:r>
      <w:r w:rsidR="008127F8">
        <w:rPr>
          <w:rFonts w:ascii="Times New Roman" w:hAnsi="Times New Roman"/>
          <w:color w:val="000000" w:themeColor="text1"/>
          <w:sz w:val="16"/>
          <w:szCs w:val="16"/>
        </w:rPr>
        <w:t xml:space="preserve">  </w:t>
      </w:r>
    </w:p>
    <w:p w14:paraId="324A70F2" w14:textId="141EDB4F"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Оперативную группу работников аппарата Наркомата танковой промышленности в г. Челябинске распределить по отделам следующим образом:</w:t>
      </w:r>
      <w:r w:rsidR="008127F8">
        <w:rPr>
          <w:rFonts w:ascii="Times New Roman" w:hAnsi="Times New Roman"/>
          <w:color w:val="000000" w:themeColor="text1"/>
          <w:sz w:val="16"/>
          <w:szCs w:val="16"/>
        </w:rPr>
        <w:t xml:space="preserve">  </w:t>
      </w:r>
    </w:p>
    <w:p w14:paraId="6CDBB03B" w14:textId="14173A5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Руководство по организации переезда работников аппарата Наркомтанкопрома из гор. Челябинска возложить на моего заместителя тов. Жидкова П.Н., начальником эшелона назначить тов. Логинова.</w:t>
      </w:r>
      <w:r w:rsidR="008127F8">
        <w:rPr>
          <w:rFonts w:ascii="Times New Roman" w:hAnsi="Times New Roman"/>
          <w:color w:val="000000" w:themeColor="text1"/>
          <w:sz w:val="16"/>
          <w:szCs w:val="16"/>
        </w:rPr>
        <w:t xml:space="preserve">  </w:t>
      </w:r>
    </w:p>
    <w:p w14:paraId="4304A9BD" w14:textId="005F4465"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Начальнику 2-го Главного управления тов. Вяткину организовать в Москве оперативную группу 2-го Гл. управления в количестве 8 чел.</w:t>
      </w:r>
      <w:r w:rsidR="008127F8">
        <w:rPr>
          <w:rFonts w:ascii="Times New Roman" w:hAnsi="Times New Roman"/>
          <w:color w:val="000000" w:themeColor="text1"/>
          <w:sz w:val="16"/>
          <w:szCs w:val="16"/>
        </w:rPr>
        <w:t xml:space="preserve">  </w:t>
      </w:r>
    </w:p>
    <w:p w14:paraId="24F09D7D" w14:textId="73E88ECA"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Учесть, что Совет Народных Комиссаров Союза ССР обязал НКСП (тов. Арутюнова) выделить до 15 февраля с.г. для перевозки работников аппарата и имущества Наркомтанкопрома 10 классных вагонов, 10 крытых и 8 платформ. Начальнику Транспортного отдела тов. Косолапову договориться с НКСП о времени выделения вагонов, а также о диспетчерском наблюдении за продвижением вагонов с работниками аппарата и имуществом Наркомтанкопрома.</w:t>
      </w:r>
      <w:r w:rsidR="008127F8">
        <w:rPr>
          <w:rFonts w:ascii="Times New Roman" w:hAnsi="Times New Roman"/>
          <w:color w:val="000000" w:themeColor="text1"/>
          <w:sz w:val="16"/>
          <w:szCs w:val="16"/>
        </w:rPr>
        <w:t xml:space="preserve">  </w:t>
      </w:r>
    </w:p>
    <w:p w14:paraId="3DD6987B" w14:textId="08A3F0F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Учесть, что Совет Народных Комиссаров Союза ССР обязал Наркомторг (т. Любимова) обеспечить на время пути продуктами питания возвращаемых в Москву работников аппарата Наркомтанкопрома. Заместителю управляющего делами НКТП тов. Мазуркевичу согласовать с Наркомторгом количество продуктов, необходимых для питания работников во время пути. Управляющему делами НКТП т. Лизунову реализовать в Челябинске выделенные продукты и организовать питание в пути работников, возвращаемых в Москву.</w:t>
      </w:r>
      <w:r w:rsidR="008127F8">
        <w:rPr>
          <w:rFonts w:ascii="Times New Roman" w:hAnsi="Times New Roman"/>
          <w:color w:val="000000" w:themeColor="text1"/>
          <w:sz w:val="16"/>
          <w:szCs w:val="16"/>
        </w:rPr>
        <w:t xml:space="preserve">  </w:t>
      </w:r>
    </w:p>
    <w:p w14:paraId="6CA478E1" w14:textId="45347D5B"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Учесть, что Совет Народных Комиссаров Союза ССР обязал Моссовет (т. Пронина) обеспечить жилплощадью работников Наркомтанкопрома, квартиры которых заселены или разрушены. Зам. управляющего делами НКТП тов. Мазуркевичу выявить из числа работников аппарата Наркомтанкопрома, возвращаемых в Москву, лиц, которых необходимо обеспечить жилплощадью и получить соответствующее распоряжение в Моссовете.</w:t>
      </w:r>
      <w:r w:rsidR="008127F8">
        <w:rPr>
          <w:rFonts w:ascii="Times New Roman" w:hAnsi="Times New Roman"/>
          <w:color w:val="000000" w:themeColor="text1"/>
          <w:sz w:val="16"/>
          <w:szCs w:val="16"/>
        </w:rPr>
        <w:t xml:space="preserve">  </w:t>
      </w:r>
    </w:p>
    <w:p w14:paraId="7CBE338A" w14:textId="3C1455F6"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Учесть, что Совет Народных Комиссаров Союза ССР обязал Дзержинский Райком ВКП(б), Райком ВЛКСМ и Райисполком к 16 февраля с.г. полностью освободить помещение Наркомата танковой промышленности (дом 11 по Садово-Сухаревской улице). Зам. управляющего делами НКТП тов. Мазуркевичу привести в порядок здание Наркомата танковой промышленности (дом 11 по Садово-Сухаревской) и организовать переезд Наркомата к 20 февраля с.г.</w:t>
      </w:r>
      <w:r w:rsidR="008127F8">
        <w:rPr>
          <w:rFonts w:ascii="Times New Roman" w:hAnsi="Times New Roman"/>
          <w:color w:val="000000" w:themeColor="text1"/>
          <w:sz w:val="16"/>
          <w:szCs w:val="16"/>
        </w:rPr>
        <w:t xml:space="preserve">  </w:t>
      </w:r>
    </w:p>
    <w:p w14:paraId="27CC333D" w14:textId="73D2BFC8"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Управляющему делами НКТП тов. Лизунову отобрать и отправить в Москву необходимое имущество Наркомтанкопрома и автомашины, оставив в Челябинске только часть, необходимую для оперативной группы.</w:t>
      </w:r>
      <w:r w:rsidR="008127F8">
        <w:rPr>
          <w:rFonts w:ascii="Times New Roman" w:hAnsi="Times New Roman"/>
          <w:color w:val="000000" w:themeColor="text1"/>
          <w:sz w:val="16"/>
          <w:szCs w:val="16"/>
        </w:rPr>
        <w:t xml:space="preserve">  </w:t>
      </w:r>
    </w:p>
    <w:p w14:paraId="5FD6799C" w14:textId="60D032CA"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Учесть, что Совет Народных Комиссаров Союза ССР обязал Наркомсвязь т. Пересыпкина отвести с 10 февраля с.г. определенное время по расписанию для ежедневных переговоров Наркомтанкопрома с важнейшими предприятиями по 15 – 18 минут для каждого предприятия по междугородним линиям. Зам. начальника 1-го отдела т. Давтян составить график междугородних переговоров, согласовать его с Наркомсвязью, а зам. управляющего делами НКТП т. Мазуркевичу заключить с Наркомсвязью договор на предоставление обусловленных переговоров.</w:t>
      </w:r>
      <w:r w:rsidR="008127F8">
        <w:rPr>
          <w:rFonts w:ascii="Times New Roman" w:hAnsi="Times New Roman"/>
          <w:color w:val="000000" w:themeColor="text1"/>
          <w:sz w:val="16"/>
          <w:szCs w:val="16"/>
        </w:rPr>
        <w:t xml:space="preserve">  </w:t>
      </w:r>
    </w:p>
    <w:p w14:paraId="42043654" w14:textId="6BBCE7B2"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Главснаб и ЦУ ВОХР НКТП все материальные ценности, предназначенные для заводов Наркомата оставить в Челябинске.</w:t>
      </w:r>
      <w:r w:rsidR="008127F8">
        <w:rPr>
          <w:rFonts w:ascii="Times New Roman" w:hAnsi="Times New Roman"/>
          <w:color w:val="000000" w:themeColor="text1"/>
          <w:sz w:val="16"/>
          <w:szCs w:val="16"/>
        </w:rPr>
        <w:t xml:space="preserve">  </w:t>
      </w:r>
    </w:p>
    <w:p w14:paraId="36A51A7E" w14:textId="436EEC39"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Учесть, что решением Государственного Комитета Обороны от 10.I-42 г. № 1121с за семьями лиц, вызываемых на работу в Москву, сохраняется занимаемая ими жилищная площадь по месту эвакуации. Моему заместителю тов. Жидкову П.Н. оформить с местными организациями в г. Челябинске закрепление площади.</w:t>
      </w:r>
      <w:r w:rsidR="008127F8">
        <w:rPr>
          <w:rFonts w:ascii="Times New Roman" w:hAnsi="Times New Roman"/>
          <w:color w:val="000000" w:themeColor="text1"/>
          <w:sz w:val="16"/>
          <w:szCs w:val="16"/>
        </w:rPr>
        <w:t xml:space="preserve">  </w:t>
      </w:r>
    </w:p>
    <w:p w14:paraId="76F635C7"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Зам. управляющего делами тов. Мазуркевичу организовать в Наркомате танковой промышленности столовую закрытого типа.</w:t>
      </w:r>
    </w:p>
    <w:p w14:paraId="5E7A039C"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09E95C4E"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5886CDA3" w14:textId="085794F1"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Отп. 1 экз.</w:t>
      </w:r>
      <w:r w:rsidR="008127F8">
        <w:rPr>
          <w:rFonts w:ascii="Times New Roman" w:hAnsi="Times New Roman"/>
          <w:color w:val="000000" w:themeColor="text1"/>
          <w:sz w:val="16"/>
          <w:szCs w:val="16"/>
        </w:rPr>
        <w:t xml:space="preserve">  </w:t>
      </w:r>
    </w:p>
    <w:p w14:paraId="468BD3FC"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Сиротин (18434).</w:t>
      </w:r>
    </w:p>
    <w:p w14:paraId="7D50485B" w14:textId="77777777" w:rsidR="000A22B4" w:rsidRPr="008127F8" w:rsidRDefault="000A22B4" w:rsidP="001E0A84">
      <w:pPr>
        <w:spacing w:after="0" w:line="240" w:lineRule="auto"/>
        <w:jc w:val="both"/>
        <w:rPr>
          <w:rFonts w:ascii="Times New Roman" w:hAnsi="Times New Roman"/>
          <w:color w:val="000000" w:themeColor="text1"/>
          <w:sz w:val="16"/>
          <w:szCs w:val="16"/>
        </w:rPr>
      </w:pPr>
    </w:p>
    <w:p w14:paraId="0BF4B4C9"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w:t>
      </w:r>
    </w:p>
    <w:p w14:paraId="45C841E2" w14:textId="5BABE12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104 – 105</w:t>
      </w:r>
      <w:r w:rsidR="008127F8">
        <w:rPr>
          <w:rFonts w:ascii="Times New Roman" w:hAnsi="Times New Roman"/>
          <w:color w:val="000000" w:themeColor="text1"/>
          <w:sz w:val="16"/>
          <w:szCs w:val="16"/>
        </w:rPr>
        <w:t xml:space="preserve">  </w:t>
      </w:r>
    </w:p>
    <w:p w14:paraId="2E946427" w14:textId="78C6E9B1"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0DD2F8F9"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71A622E6"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0D95C579"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183-Мс</w:t>
      </w:r>
    </w:p>
    <w:p w14:paraId="45C5666F"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0F781FF"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w:t>
      </w:r>
    </w:p>
    <w:p w14:paraId="7242ED06" w14:textId="5BA304D5"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неоднократные указания Наркомата директорам заводов № 112 и № 183 о форсировании подготовки производства и выпуска траков, положение до сегодняшнего дня остается совершенно неудовлетворительным. Приказ от 2.XII за № 53/69-с по обеспечению траками завода № 37, руководством завода № 183 (т. Максарев) не выполнен; приказ № 76-мс от 27.XII о производстве траков на заводе № 112, обеспечивающий полностью выпускаемые заводом машины, тов. Михалевым также не выполнен.</w:t>
      </w:r>
      <w:r w:rsidR="008127F8">
        <w:rPr>
          <w:rFonts w:ascii="Times New Roman" w:hAnsi="Times New Roman"/>
          <w:color w:val="000000" w:themeColor="text1"/>
          <w:sz w:val="16"/>
          <w:szCs w:val="16"/>
        </w:rPr>
        <w:t xml:space="preserve">  </w:t>
      </w:r>
    </w:p>
    <w:p w14:paraId="0C8BF3C6" w14:textId="6B8E3F3A"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немедленного обеспечения заводов траками на февраль и март месяцы ПРИКАЗЫВАЮ:</w:t>
      </w:r>
      <w:r w:rsidR="008127F8">
        <w:rPr>
          <w:rFonts w:ascii="Times New Roman" w:hAnsi="Times New Roman"/>
          <w:color w:val="000000" w:themeColor="text1"/>
          <w:sz w:val="16"/>
          <w:szCs w:val="16"/>
        </w:rPr>
        <w:t xml:space="preserve">  </w:t>
      </w:r>
    </w:p>
    <w:p w14:paraId="70139851" w14:textId="219C5CC0"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машине Т-34:</w:t>
      </w:r>
      <w:r w:rsidR="008127F8">
        <w:rPr>
          <w:rFonts w:ascii="Times New Roman" w:hAnsi="Times New Roman"/>
          <w:color w:val="000000" w:themeColor="text1"/>
          <w:sz w:val="16"/>
          <w:szCs w:val="16"/>
        </w:rPr>
        <w:t xml:space="preserve">  </w:t>
      </w:r>
    </w:p>
    <w:p w14:paraId="3AC74DC4" w14:textId="197C0BDB"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СТЗ тов. ЗАДОРОЖНОМУ немедленно отгрузить заводу № 112 100 комплектов траков в феврале месяце и 150 комплектов в марте месяце, подавая по 50 комплектов каждую декаду.</w:t>
      </w:r>
      <w:r w:rsidR="008127F8">
        <w:rPr>
          <w:rFonts w:ascii="Times New Roman" w:hAnsi="Times New Roman"/>
          <w:color w:val="000000" w:themeColor="text1"/>
          <w:sz w:val="16"/>
          <w:szCs w:val="16"/>
        </w:rPr>
        <w:t xml:space="preserve">  </w:t>
      </w:r>
    </w:p>
    <w:p w14:paraId="0AFF393D" w14:textId="0A5A221B"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112 т. Михалеву под личную ответственность обеспечить производство траками у себя на заводе с 15 февраля по 1 марта по 3 комплекта в сутки и в марте месяце в первой декаде по 3 комплекта в сутки, во второй декаде – 5 и в третьей декаде 6 комплектов в сутки.</w:t>
      </w:r>
      <w:r w:rsidR="008127F8">
        <w:rPr>
          <w:rFonts w:ascii="Times New Roman" w:hAnsi="Times New Roman"/>
          <w:color w:val="000000" w:themeColor="text1"/>
          <w:sz w:val="16"/>
          <w:szCs w:val="16"/>
        </w:rPr>
        <w:t xml:space="preserve">  </w:t>
      </w:r>
    </w:p>
    <w:p w14:paraId="7C439540" w14:textId="7696B4F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завода № 112 т. Михалеву с 1 апреля обеспечить полностью выполнение программы по выпуску машин производством траков на своем заводе, освободив с 1 апреля Сталинградский тракторный завод от поставки траков к машине Т-34 заводу № 112.</w:t>
      </w:r>
      <w:r w:rsidR="008127F8">
        <w:rPr>
          <w:rFonts w:ascii="Times New Roman" w:hAnsi="Times New Roman"/>
          <w:color w:val="000000" w:themeColor="text1"/>
          <w:sz w:val="16"/>
          <w:szCs w:val="16"/>
        </w:rPr>
        <w:t xml:space="preserve">  </w:t>
      </w:r>
    </w:p>
    <w:p w14:paraId="47C1AC04" w14:textId="377215A0"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СТЗ тов. Задорожному командировать на завод № 112 для налаживания производства траков одного мастера и одного технолога.</w:t>
      </w:r>
      <w:r w:rsidR="008127F8">
        <w:rPr>
          <w:rFonts w:ascii="Times New Roman" w:hAnsi="Times New Roman"/>
          <w:color w:val="000000" w:themeColor="text1"/>
          <w:sz w:val="16"/>
          <w:szCs w:val="16"/>
        </w:rPr>
        <w:t xml:space="preserve">  </w:t>
      </w:r>
    </w:p>
    <w:p w14:paraId="6BF0E15A" w14:textId="58B93EC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Начальнику Главснаба тов. Розину и Зам. главного механика и энергетика Наркомата т. Белику в течение пяти дней подыскать для завода № 112 5-тонную электропечь.</w:t>
      </w:r>
      <w:r w:rsidR="008127F8">
        <w:rPr>
          <w:rFonts w:ascii="Times New Roman" w:hAnsi="Times New Roman"/>
          <w:color w:val="000000" w:themeColor="text1"/>
          <w:sz w:val="16"/>
          <w:szCs w:val="16"/>
        </w:rPr>
        <w:t xml:space="preserve">  </w:t>
      </w:r>
    </w:p>
    <w:p w14:paraId="130239FA" w14:textId="7D82F1D2"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машине Т-60:</w:t>
      </w:r>
      <w:r w:rsidR="008127F8">
        <w:rPr>
          <w:rFonts w:ascii="Times New Roman" w:hAnsi="Times New Roman"/>
          <w:color w:val="000000" w:themeColor="text1"/>
          <w:sz w:val="16"/>
          <w:szCs w:val="16"/>
        </w:rPr>
        <w:t xml:space="preserve">  </w:t>
      </w:r>
    </w:p>
    <w:p w14:paraId="5776DE19" w14:textId="1BC219D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директора СТЗ тов. Задорожного обеспечить поставку траков заводам:</w:t>
      </w:r>
      <w:r w:rsidR="008127F8">
        <w:rPr>
          <w:rFonts w:ascii="Times New Roman" w:hAnsi="Times New Roman"/>
          <w:color w:val="000000" w:themeColor="text1"/>
          <w:sz w:val="16"/>
          <w:szCs w:val="16"/>
        </w:rPr>
        <w:t xml:space="preserve">  </w:t>
      </w:r>
    </w:p>
    <w:p w14:paraId="06333A5B" w14:textId="09309BAD"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183 тов. Зальцману обеспечить поставку траков заводу № 37 в феврале 75 комплектов и в марте 275 комплектов.</w:t>
      </w:r>
      <w:r w:rsidR="008127F8">
        <w:rPr>
          <w:rFonts w:ascii="Times New Roman" w:hAnsi="Times New Roman"/>
          <w:color w:val="000000" w:themeColor="text1"/>
          <w:sz w:val="16"/>
          <w:szCs w:val="16"/>
        </w:rPr>
        <w:t xml:space="preserve">  </w:t>
      </w:r>
    </w:p>
    <w:p w14:paraId="76525D4B" w14:textId="72AB0100"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Моему заместителю тов. СТЕПАНОВУ к 15 февраля представить мне план мероприятий по обеспечению траками всех заводов на II квартал с.г.</w:t>
      </w:r>
      <w:r w:rsidR="008127F8">
        <w:rPr>
          <w:rFonts w:ascii="Times New Roman" w:hAnsi="Times New Roman"/>
          <w:color w:val="000000" w:themeColor="text1"/>
          <w:sz w:val="16"/>
          <w:szCs w:val="16"/>
        </w:rPr>
        <w:t xml:space="preserve">  </w:t>
      </w:r>
    </w:p>
    <w:p w14:paraId="50D1F4D7"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Настоящим приказом по обеспечению траками все предыдущие приказы считать аннулированными.</w:t>
      </w:r>
    </w:p>
    <w:p w14:paraId="21AAB9D8"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2DA84FDD" w14:textId="77777777" w:rsidR="000A22B4" w:rsidRPr="008127F8" w:rsidRDefault="000A22B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(18433).</w:t>
      </w:r>
    </w:p>
    <w:p w14:paraId="2D0C9433" w14:textId="77777777" w:rsidR="000A22B4" w:rsidRPr="008127F8" w:rsidRDefault="000A22B4" w:rsidP="001E0A84">
      <w:pPr>
        <w:spacing w:after="0" w:line="240" w:lineRule="auto"/>
        <w:jc w:val="both"/>
        <w:rPr>
          <w:rFonts w:ascii="Times New Roman" w:hAnsi="Times New Roman"/>
          <w:color w:val="000000" w:themeColor="text1"/>
          <w:sz w:val="16"/>
          <w:szCs w:val="16"/>
        </w:rPr>
      </w:pPr>
    </w:p>
    <w:p w14:paraId="569E23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 была подготовлена СПРАВКА О ПОСТАВКЕ И ЗАВОЗЕ ИМПОРТНЫХ МАШИН ПО СОСТОЯНИЮ НА 1 ФЕВРАЛЯ 1942 г.</w:t>
      </w:r>
    </w:p>
    <w:tbl>
      <w:tblPr>
        <w:tblW w:w="0" w:type="auto"/>
        <w:tblInd w:w="40" w:type="dxa"/>
        <w:tblLayout w:type="fixed"/>
        <w:tblCellMar>
          <w:left w:w="40" w:type="dxa"/>
          <w:right w:w="40" w:type="dxa"/>
        </w:tblCellMar>
        <w:tblLook w:val="0000" w:firstRow="0" w:lastRow="0" w:firstColumn="0" w:lastColumn="0" w:noHBand="0" w:noVBand="0"/>
      </w:tblPr>
      <w:tblGrid>
        <w:gridCol w:w="442"/>
        <w:gridCol w:w="2314"/>
        <w:gridCol w:w="720"/>
        <w:gridCol w:w="960"/>
        <w:gridCol w:w="1142"/>
        <w:gridCol w:w="950"/>
        <w:gridCol w:w="950"/>
        <w:gridCol w:w="941"/>
        <w:gridCol w:w="1171"/>
      </w:tblGrid>
      <w:tr w:rsidR="006F4095" w:rsidRPr="008127F8" w14:paraId="327AB56A" w14:textId="77777777">
        <w:trPr>
          <w:trHeight w:val="173"/>
        </w:trPr>
        <w:tc>
          <w:tcPr>
            <w:tcW w:w="442" w:type="dxa"/>
            <w:tcBorders>
              <w:top w:val="single" w:sz="6" w:space="0" w:color="auto"/>
              <w:left w:val="single" w:sz="6" w:space="0" w:color="auto"/>
              <w:bottom w:val="nil"/>
              <w:right w:val="single" w:sz="6" w:space="0" w:color="auto"/>
            </w:tcBorders>
          </w:tcPr>
          <w:p w14:paraId="0BD2F67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314" w:type="dxa"/>
            <w:tcBorders>
              <w:top w:val="single" w:sz="6" w:space="0" w:color="auto"/>
              <w:left w:val="single" w:sz="6" w:space="0" w:color="auto"/>
              <w:bottom w:val="nil"/>
              <w:right w:val="single" w:sz="6" w:space="0" w:color="auto"/>
            </w:tcBorders>
          </w:tcPr>
          <w:p w14:paraId="3745B52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машин</w:t>
            </w:r>
          </w:p>
        </w:tc>
        <w:tc>
          <w:tcPr>
            <w:tcW w:w="720" w:type="dxa"/>
            <w:tcBorders>
              <w:top w:val="single" w:sz="6" w:space="0" w:color="auto"/>
              <w:left w:val="single" w:sz="6" w:space="0" w:color="auto"/>
              <w:bottom w:val="nil"/>
              <w:right w:val="single" w:sz="6" w:space="0" w:color="auto"/>
            </w:tcBorders>
          </w:tcPr>
          <w:p w14:paraId="084474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Тоннаж в тоннах</w:t>
            </w:r>
          </w:p>
        </w:tc>
        <w:tc>
          <w:tcPr>
            <w:tcW w:w="960" w:type="dxa"/>
            <w:tcBorders>
              <w:top w:val="single" w:sz="6" w:space="0" w:color="auto"/>
              <w:left w:val="single" w:sz="6" w:space="0" w:color="auto"/>
              <w:bottom w:val="nil"/>
              <w:right w:val="single" w:sz="6" w:space="0" w:color="auto"/>
            </w:tcBorders>
          </w:tcPr>
          <w:p w14:paraId="4545E8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Поставлено</w:t>
            </w:r>
          </w:p>
        </w:tc>
        <w:tc>
          <w:tcPr>
            <w:tcW w:w="3983" w:type="dxa"/>
            <w:gridSpan w:val="4"/>
            <w:tcBorders>
              <w:top w:val="single" w:sz="6" w:space="0" w:color="auto"/>
              <w:left w:val="single" w:sz="6" w:space="0" w:color="auto"/>
              <w:bottom w:val="single" w:sz="6" w:space="0" w:color="auto"/>
              <w:right w:val="single" w:sz="6" w:space="0" w:color="auto"/>
            </w:tcBorders>
          </w:tcPr>
          <w:p w14:paraId="25EC0F1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1171" w:type="dxa"/>
            <w:tcBorders>
              <w:top w:val="single" w:sz="6" w:space="0" w:color="auto"/>
              <w:left w:val="single" w:sz="6" w:space="0" w:color="auto"/>
              <w:bottom w:val="nil"/>
              <w:right w:val="single" w:sz="6" w:space="0" w:color="auto"/>
            </w:tcBorders>
          </w:tcPr>
          <w:p w14:paraId="6C0C64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порту отправления</w:t>
            </w:r>
          </w:p>
        </w:tc>
      </w:tr>
      <w:tr w:rsidR="006F4095" w:rsidRPr="008127F8" w14:paraId="1D9EB19E" w14:textId="77777777">
        <w:trPr>
          <w:trHeight w:val="173"/>
        </w:trPr>
        <w:tc>
          <w:tcPr>
            <w:tcW w:w="442" w:type="dxa"/>
            <w:tcBorders>
              <w:top w:val="nil"/>
              <w:left w:val="single" w:sz="6" w:space="0" w:color="auto"/>
              <w:bottom w:val="nil"/>
              <w:right w:val="single" w:sz="6" w:space="0" w:color="auto"/>
            </w:tcBorders>
          </w:tcPr>
          <w:p w14:paraId="288E79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nil"/>
              <w:left w:val="single" w:sz="6" w:space="0" w:color="auto"/>
              <w:bottom w:val="nil"/>
              <w:right w:val="single" w:sz="6" w:space="0" w:color="auto"/>
            </w:tcBorders>
          </w:tcPr>
          <w:p w14:paraId="7CE756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51FFA5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5787CD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nil"/>
              <w:right w:val="single" w:sz="6" w:space="0" w:color="auto"/>
            </w:tcBorders>
          </w:tcPr>
          <w:p w14:paraId="0FD3A0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Завезено в СССР в Север, порты</w:t>
            </w:r>
          </w:p>
        </w:tc>
        <w:tc>
          <w:tcPr>
            <w:tcW w:w="2841" w:type="dxa"/>
            <w:gridSpan w:val="3"/>
            <w:tcBorders>
              <w:top w:val="single" w:sz="6" w:space="0" w:color="auto"/>
              <w:left w:val="single" w:sz="6" w:space="0" w:color="auto"/>
              <w:bottom w:val="single" w:sz="6" w:space="0" w:color="auto"/>
              <w:right w:val="single" w:sz="6" w:space="0" w:color="auto"/>
            </w:tcBorders>
          </w:tcPr>
          <w:p w14:paraId="44B7C0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пути:</w:t>
            </w:r>
          </w:p>
        </w:tc>
        <w:tc>
          <w:tcPr>
            <w:tcW w:w="1171" w:type="dxa"/>
            <w:tcBorders>
              <w:top w:val="nil"/>
              <w:left w:val="single" w:sz="6" w:space="0" w:color="auto"/>
              <w:bottom w:val="nil"/>
              <w:right w:val="single" w:sz="6" w:space="0" w:color="auto"/>
            </w:tcBorders>
          </w:tcPr>
          <w:p w14:paraId="58645F0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3F60E0" w14:textId="77777777">
        <w:trPr>
          <w:trHeight w:val="326"/>
        </w:trPr>
        <w:tc>
          <w:tcPr>
            <w:tcW w:w="442" w:type="dxa"/>
            <w:tcBorders>
              <w:top w:val="nil"/>
              <w:left w:val="single" w:sz="6" w:space="0" w:color="auto"/>
              <w:bottom w:val="single" w:sz="6" w:space="0" w:color="auto"/>
              <w:right w:val="single" w:sz="6" w:space="0" w:color="auto"/>
            </w:tcBorders>
          </w:tcPr>
          <w:p w14:paraId="6C10A9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nil"/>
              <w:left w:val="single" w:sz="6" w:space="0" w:color="auto"/>
              <w:bottom w:val="single" w:sz="6" w:space="0" w:color="auto"/>
              <w:right w:val="single" w:sz="6" w:space="0" w:color="auto"/>
            </w:tcBorders>
          </w:tcPr>
          <w:p w14:paraId="564763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BBDDE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0DFCA5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nil"/>
              <w:left w:val="single" w:sz="6" w:space="0" w:color="auto"/>
              <w:bottom w:val="single" w:sz="6" w:space="0" w:color="auto"/>
              <w:right w:val="single" w:sz="6" w:space="0" w:color="auto"/>
            </w:tcBorders>
          </w:tcPr>
          <w:p w14:paraId="305DD8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44D7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Северные порт.</w:t>
            </w:r>
          </w:p>
        </w:tc>
        <w:tc>
          <w:tcPr>
            <w:tcW w:w="950" w:type="dxa"/>
            <w:tcBorders>
              <w:top w:val="single" w:sz="6" w:space="0" w:color="auto"/>
              <w:left w:val="single" w:sz="6" w:space="0" w:color="auto"/>
              <w:bottom w:val="single" w:sz="6" w:space="0" w:color="auto"/>
              <w:right w:val="single" w:sz="6" w:space="0" w:color="auto"/>
            </w:tcBorders>
          </w:tcPr>
          <w:p w14:paraId="3B1C11B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Южные порт.</w:t>
            </w:r>
          </w:p>
        </w:tc>
        <w:tc>
          <w:tcPr>
            <w:tcW w:w="941" w:type="dxa"/>
            <w:tcBorders>
              <w:top w:val="single" w:sz="6" w:space="0" w:color="auto"/>
              <w:left w:val="single" w:sz="6" w:space="0" w:color="auto"/>
              <w:bottom w:val="single" w:sz="6" w:space="0" w:color="auto"/>
              <w:right w:val="single" w:sz="6" w:space="0" w:color="auto"/>
            </w:tcBorders>
          </w:tcPr>
          <w:p w14:paraId="3EDF53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171" w:type="dxa"/>
            <w:tcBorders>
              <w:top w:val="nil"/>
              <w:left w:val="single" w:sz="6" w:space="0" w:color="auto"/>
              <w:bottom w:val="single" w:sz="6" w:space="0" w:color="auto"/>
              <w:right w:val="single" w:sz="6" w:space="0" w:color="auto"/>
            </w:tcBorders>
          </w:tcPr>
          <w:p w14:paraId="1882B3F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EC3987"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3F7450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314" w:type="dxa"/>
            <w:tcBorders>
              <w:top w:val="single" w:sz="6" w:space="0" w:color="auto"/>
              <w:left w:val="single" w:sz="6" w:space="0" w:color="auto"/>
              <w:bottom w:val="single" w:sz="6" w:space="0" w:color="auto"/>
              <w:right w:val="single" w:sz="6" w:space="0" w:color="auto"/>
            </w:tcBorders>
          </w:tcPr>
          <w:p w14:paraId="6C3406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Студебекер</w:t>
            </w:r>
          </w:p>
        </w:tc>
        <w:tc>
          <w:tcPr>
            <w:tcW w:w="720" w:type="dxa"/>
            <w:tcBorders>
              <w:top w:val="single" w:sz="6" w:space="0" w:color="auto"/>
              <w:left w:val="single" w:sz="6" w:space="0" w:color="auto"/>
              <w:bottom w:val="single" w:sz="6" w:space="0" w:color="auto"/>
              <w:right w:val="single" w:sz="6" w:space="0" w:color="auto"/>
            </w:tcBorders>
          </w:tcPr>
          <w:p w14:paraId="22DB82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5A3759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982</w:t>
            </w:r>
          </w:p>
        </w:tc>
        <w:tc>
          <w:tcPr>
            <w:tcW w:w="1142" w:type="dxa"/>
            <w:tcBorders>
              <w:top w:val="single" w:sz="6" w:space="0" w:color="auto"/>
              <w:left w:val="single" w:sz="6" w:space="0" w:color="auto"/>
              <w:bottom w:val="single" w:sz="6" w:space="0" w:color="auto"/>
              <w:right w:val="single" w:sz="6" w:space="0" w:color="auto"/>
            </w:tcBorders>
          </w:tcPr>
          <w:p w14:paraId="18633D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522</w:t>
            </w:r>
          </w:p>
        </w:tc>
        <w:tc>
          <w:tcPr>
            <w:tcW w:w="950" w:type="dxa"/>
            <w:tcBorders>
              <w:top w:val="single" w:sz="6" w:space="0" w:color="auto"/>
              <w:left w:val="single" w:sz="6" w:space="0" w:color="auto"/>
              <w:bottom w:val="single" w:sz="6" w:space="0" w:color="auto"/>
              <w:right w:val="single" w:sz="6" w:space="0" w:color="auto"/>
            </w:tcBorders>
          </w:tcPr>
          <w:p w14:paraId="3247A4A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950" w:type="dxa"/>
            <w:tcBorders>
              <w:top w:val="single" w:sz="6" w:space="0" w:color="auto"/>
              <w:left w:val="single" w:sz="6" w:space="0" w:color="auto"/>
              <w:bottom w:val="single" w:sz="6" w:space="0" w:color="auto"/>
              <w:right w:val="single" w:sz="6" w:space="0" w:color="auto"/>
            </w:tcBorders>
          </w:tcPr>
          <w:p w14:paraId="0183EB0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941" w:type="dxa"/>
            <w:tcBorders>
              <w:top w:val="single" w:sz="6" w:space="0" w:color="auto"/>
              <w:left w:val="single" w:sz="6" w:space="0" w:color="auto"/>
              <w:bottom w:val="single" w:sz="6" w:space="0" w:color="auto"/>
              <w:right w:val="single" w:sz="6" w:space="0" w:color="auto"/>
            </w:tcBorders>
          </w:tcPr>
          <w:p w14:paraId="3CDBBE3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w:t>
            </w:r>
          </w:p>
        </w:tc>
        <w:tc>
          <w:tcPr>
            <w:tcW w:w="1171" w:type="dxa"/>
            <w:tcBorders>
              <w:top w:val="single" w:sz="6" w:space="0" w:color="auto"/>
              <w:left w:val="single" w:sz="6" w:space="0" w:color="auto"/>
              <w:bottom w:val="single" w:sz="6" w:space="0" w:color="auto"/>
              <w:right w:val="single" w:sz="6" w:space="0" w:color="auto"/>
            </w:tcBorders>
          </w:tcPr>
          <w:p w14:paraId="551CFB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207BCAB1"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2867C4F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2314" w:type="dxa"/>
            <w:tcBorders>
              <w:top w:val="single" w:sz="6" w:space="0" w:color="auto"/>
              <w:left w:val="single" w:sz="6" w:space="0" w:color="auto"/>
              <w:bottom w:val="single" w:sz="6" w:space="0" w:color="auto"/>
              <w:right w:val="single" w:sz="6" w:space="0" w:color="auto"/>
            </w:tcBorders>
          </w:tcPr>
          <w:p w14:paraId="2FFAFD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Интернейшенал-Харверстер</w:t>
            </w:r>
          </w:p>
        </w:tc>
        <w:tc>
          <w:tcPr>
            <w:tcW w:w="720" w:type="dxa"/>
            <w:tcBorders>
              <w:top w:val="single" w:sz="6" w:space="0" w:color="auto"/>
              <w:left w:val="single" w:sz="6" w:space="0" w:color="auto"/>
              <w:bottom w:val="single" w:sz="6" w:space="0" w:color="auto"/>
              <w:right w:val="single" w:sz="6" w:space="0" w:color="auto"/>
            </w:tcBorders>
          </w:tcPr>
          <w:p w14:paraId="4AD49C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59860FA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142" w:type="dxa"/>
            <w:tcBorders>
              <w:top w:val="single" w:sz="6" w:space="0" w:color="auto"/>
              <w:left w:val="single" w:sz="6" w:space="0" w:color="auto"/>
              <w:bottom w:val="single" w:sz="6" w:space="0" w:color="auto"/>
              <w:right w:val="single" w:sz="6" w:space="0" w:color="auto"/>
            </w:tcBorders>
          </w:tcPr>
          <w:p w14:paraId="071287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c>
          <w:tcPr>
            <w:tcW w:w="950" w:type="dxa"/>
            <w:tcBorders>
              <w:top w:val="single" w:sz="6" w:space="0" w:color="auto"/>
              <w:left w:val="single" w:sz="6" w:space="0" w:color="auto"/>
              <w:bottom w:val="single" w:sz="6" w:space="0" w:color="auto"/>
              <w:right w:val="single" w:sz="6" w:space="0" w:color="auto"/>
            </w:tcBorders>
          </w:tcPr>
          <w:p w14:paraId="6CF293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950" w:type="dxa"/>
            <w:tcBorders>
              <w:top w:val="single" w:sz="6" w:space="0" w:color="auto"/>
              <w:left w:val="single" w:sz="6" w:space="0" w:color="auto"/>
              <w:bottom w:val="single" w:sz="6" w:space="0" w:color="auto"/>
              <w:right w:val="single" w:sz="6" w:space="0" w:color="auto"/>
            </w:tcBorders>
          </w:tcPr>
          <w:p w14:paraId="310DD5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AB5E6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1171" w:type="dxa"/>
            <w:tcBorders>
              <w:top w:val="single" w:sz="6" w:space="0" w:color="auto"/>
              <w:left w:val="single" w:sz="6" w:space="0" w:color="auto"/>
              <w:bottom w:val="single" w:sz="6" w:space="0" w:color="auto"/>
              <w:right w:val="single" w:sz="6" w:space="0" w:color="auto"/>
            </w:tcBorders>
          </w:tcPr>
          <w:p w14:paraId="2F490CC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7CF1CDE4"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481BBC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2314" w:type="dxa"/>
            <w:tcBorders>
              <w:top w:val="single" w:sz="6" w:space="0" w:color="auto"/>
              <w:left w:val="single" w:sz="6" w:space="0" w:color="auto"/>
              <w:bottom w:val="single" w:sz="6" w:space="0" w:color="auto"/>
              <w:right w:val="single" w:sz="6" w:space="0" w:color="auto"/>
            </w:tcBorders>
          </w:tcPr>
          <w:p w14:paraId="6B0ADB3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Дженерал-Моторс</w:t>
            </w:r>
          </w:p>
        </w:tc>
        <w:tc>
          <w:tcPr>
            <w:tcW w:w="720" w:type="dxa"/>
            <w:tcBorders>
              <w:top w:val="single" w:sz="6" w:space="0" w:color="auto"/>
              <w:left w:val="single" w:sz="6" w:space="0" w:color="auto"/>
              <w:bottom w:val="single" w:sz="6" w:space="0" w:color="auto"/>
              <w:right w:val="single" w:sz="6" w:space="0" w:color="auto"/>
            </w:tcBorders>
          </w:tcPr>
          <w:p w14:paraId="1A890E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16EAC5E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874</w:t>
            </w:r>
          </w:p>
        </w:tc>
        <w:tc>
          <w:tcPr>
            <w:tcW w:w="1142" w:type="dxa"/>
            <w:tcBorders>
              <w:top w:val="single" w:sz="6" w:space="0" w:color="auto"/>
              <w:left w:val="single" w:sz="6" w:space="0" w:color="auto"/>
              <w:bottom w:val="single" w:sz="6" w:space="0" w:color="auto"/>
              <w:right w:val="single" w:sz="6" w:space="0" w:color="auto"/>
            </w:tcBorders>
          </w:tcPr>
          <w:p w14:paraId="47B6253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31BDF4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w:t>
            </w:r>
          </w:p>
        </w:tc>
        <w:tc>
          <w:tcPr>
            <w:tcW w:w="950" w:type="dxa"/>
            <w:tcBorders>
              <w:top w:val="single" w:sz="6" w:space="0" w:color="auto"/>
              <w:left w:val="single" w:sz="6" w:space="0" w:color="auto"/>
              <w:bottom w:val="single" w:sz="6" w:space="0" w:color="auto"/>
              <w:right w:val="single" w:sz="6" w:space="0" w:color="auto"/>
            </w:tcBorders>
          </w:tcPr>
          <w:p w14:paraId="5F69714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6B2A7F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w:t>
            </w:r>
          </w:p>
        </w:tc>
        <w:tc>
          <w:tcPr>
            <w:tcW w:w="1171" w:type="dxa"/>
            <w:tcBorders>
              <w:top w:val="single" w:sz="6" w:space="0" w:color="auto"/>
              <w:left w:val="single" w:sz="6" w:space="0" w:color="auto"/>
              <w:bottom w:val="single" w:sz="6" w:space="0" w:color="auto"/>
              <w:right w:val="single" w:sz="6" w:space="0" w:color="auto"/>
            </w:tcBorders>
          </w:tcPr>
          <w:p w14:paraId="586D877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698</w:t>
            </w:r>
          </w:p>
        </w:tc>
      </w:tr>
      <w:tr w:rsidR="006F4095" w:rsidRPr="008127F8" w14:paraId="226635E7" w14:textId="77777777">
        <w:trPr>
          <w:trHeight w:val="182"/>
        </w:trPr>
        <w:tc>
          <w:tcPr>
            <w:tcW w:w="442" w:type="dxa"/>
            <w:tcBorders>
              <w:top w:val="single" w:sz="6" w:space="0" w:color="auto"/>
              <w:left w:val="single" w:sz="6" w:space="0" w:color="auto"/>
              <w:bottom w:val="single" w:sz="6" w:space="0" w:color="auto"/>
              <w:right w:val="single" w:sz="6" w:space="0" w:color="auto"/>
            </w:tcBorders>
          </w:tcPr>
          <w:p w14:paraId="6374AD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0E3E27C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2,5 тонных</w:t>
            </w:r>
          </w:p>
        </w:tc>
        <w:tc>
          <w:tcPr>
            <w:tcW w:w="720" w:type="dxa"/>
            <w:tcBorders>
              <w:top w:val="single" w:sz="6" w:space="0" w:color="auto"/>
              <w:left w:val="single" w:sz="6" w:space="0" w:color="auto"/>
              <w:bottom w:val="single" w:sz="6" w:space="0" w:color="auto"/>
              <w:right w:val="single" w:sz="6" w:space="0" w:color="auto"/>
            </w:tcBorders>
          </w:tcPr>
          <w:p w14:paraId="01892E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CC8E1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2356</w:t>
            </w:r>
          </w:p>
        </w:tc>
        <w:tc>
          <w:tcPr>
            <w:tcW w:w="1142" w:type="dxa"/>
            <w:tcBorders>
              <w:top w:val="single" w:sz="6" w:space="0" w:color="auto"/>
              <w:left w:val="single" w:sz="6" w:space="0" w:color="auto"/>
              <w:bottom w:val="single" w:sz="6" w:space="0" w:color="auto"/>
              <w:right w:val="single" w:sz="6" w:space="0" w:color="auto"/>
            </w:tcBorders>
          </w:tcPr>
          <w:p w14:paraId="707446F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713</w:t>
            </w:r>
          </w:p>
        </w:tc>
        <w:tc>
          <w:tcPr>
            <w:tcW w:w="950" w:type="dxa"/>
            <w:tcBorders>
              <w:top w:val="single" w:sz="6" w:space="0" w:color="auto"/>
              <w:left w:val="single" w:sz="6" w:space="0" w:color="auto"/>
              <w:bottom w:val="single" w:sz="6" w:space="0" w:color="auto"/>
              <w:right w:val="single" w:sz="6" w:space="0" w:color="auto"/>
            </w:tcBorders>
          </w:tcPr>
          <w:p w14:paraId="37D3A76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763</w:t>
            </w:r>
          </w:p>
        </w:tc>
        <w:tc>
          <w:tcPr>
            <w:tcW w:w="950" w:type="dxa"/>
            <w:tcBorders>
              <w:top w:val="single" w:sz="6" w:space="0" w:color="auto"/>
              <w:left w:val="single" w:sz="6" w:space="0" w:color="auto"/>
              <w:bottom w:val="single" w:sz="6" w:space="0" w:color="auto"/>
              <w:right w:val="single" w:sz="6" w:space="0" w:color="auto"/>
            </w:tcBorders>
          </w:tcPr>
          <w:p w14:paraId="4DC9A35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941" w:type="dxa"/>
            <w:tcBorders>
              <w:top w:val="single" w:sz="6" w:space="0" w:color="auto"/>
              <w:left w:val="single" w:sz="6" w:space="0" w:color="auto"/>
              <w:bottom w:val="single" w:sz="6" w:space="0" w:color="auto"/>
              <w:right w:val="single" w:sz="6" w:space="0" w:color="auto"/>
            </w:tcBorders>
          </w:tcPr>
          <w:p w14:paraId="4B8BE5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943</w:t>
            </w:r>
          </w:p>
        </w:tc>
        <w:tc>
          <w:tcPr>
            <w:tcW w:w="1171" w:type="dxa"/>
            <w:tcBorders>
              <w:top w:val="single" w:sz="6" w:space="0" w:color="auto"/>
              <w:left w:val="single" w:sz="6" w:space="0" w:color="auto"/>
              <w:bottom w:val="single" w:sz="6" w:space="0" w:color="auto"/>
              <w:right w:val="single" w:sz="6" w:space="0" w:color="auto"/>
            </w:tcBorders>
          </w:tcPr>
          <w:p w14:paraId="50E954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r>
      <w:tr w:rsidR="006F4095" w:rsidRPr="008127F8" w14:paraId="24DF1455"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462EB0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2314" w:type="dxa"/>
            <w:tcBorders>
              <w:top w:val="single" w:sz="6" w:space="0" w:color="auto"/>
              <w:left w:val="single" w:sz="6" w:space="0" w:color="auto"/>
              <w:bottom w:val="single" w:sz="6" w:space="0" w:color="auto"/>
              <w:right w:val="single" w:sz="6" w:space="0" w:color="auto"/>
            </w:tcBorders>
          </w:tcPr>
          <w:p w14:paraId="08254B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Форд</w:t>
            </w:r>
          </w:p>
        </w:tc>
        <w:tc>
          <w:tcPr>
            <w:tcW w:w="720" w:type="dxa"/>
            <w:tcBorders>
              <w:top w:val="single" w:sz="6" w:space="0" w:color="auto"/>
              <w:left w:val="single" w:sz="6" w:space="0" w:color="auto"/>
              <w:bottom w:val="single" w:sz="6" w:space="0" w:color="auto"/>
              <w:right w:val="single" w:sz="6" w:space="0" w:color="auto"/>
            </w:tcBorders>
          </w:tcPr>
          <w:p w14:paraId="19C0DBE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16C00F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5474</w:t>
            </w:r>
          </w:p>
        </w:tc>
        <w:tc>
          <w:tcPr>
            <w:tcW w:w="1142" w:type="dxa"/>
            <w:tcBorders>
              <w:top w:val="single" w:sz="6" w:space="0" w:color="auto"/>
              <w:left w:val="single" w:sz="6" w:space="0" w:color="auto"/>
              <w:bottom w:val="single" w:sz="6" w:space="0" w:color="auto"/>
              <w:right w:val="single" w:sz="6" w:space="0" w:color="auto"/>
            </w:tcBorders>
          </w:tcPr>
          <w:p w14:paraId="612D9C4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c>
          <w:tcPr>
            <w:tcW w:w="950" w:type="dxa"/>
            <w:tcBorders>
              <w:top w:val="single" w:sz="6" w:space="0" w:color="auto"/>
              <w:left w:val="single" w:sz="6" w:space="0" w:color="auto"/>
              <w:bottom w:val="single" w:sz="6" w:space="0" w:color="auto"/>
              <w:right w:val="single" w:sz="6" w:space="0" w:color="auto"/>
            </w:tcBorders>
          </w:tcPr>
          <w:p w14:paraId="2DD1277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2854</w:t>
            </w:r>
          </w:p>
        </w:tc>
        <w:tc>
          <w:tcPr>
            <w:tcW w:w="950" w:type="dxa"/>
            <w:tcBorders>
              <w:top w:val="single" w:sz="6" w:space="0" w:color="auto"/>
              <w:left w:val="single" w:sz="6" w:space="0" w:color="auto"/>
              <w:bottom w:val="single" w:sz="6" w:space="0" w:color="auto"/>
              <w:right w:val="single" w:sz="6" w:space="0" w:color="auto"/>
            </w:tcBorders>
          </w:tcPr>
          <w:p w14:paraId="4BE3A14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1318</w:t>
            </w:r>
          </w:p>
        </w:tc>
        <w:tc>
          <w:tcPr>
            <w:tcW w:w="941" w:type="dxa"/>
            <w:tcBorders>
              <w:top w:val="single" w:sz="6" w:space="0" w:color="auto"/>
              <w:left w:val="single" w:sz="6" w:space="0" w:color="auto"/>
              <w:bottom w:val="single" w:sz="6" w:space="0" w:color="auto"/>
              <w:right w:val="single" w:sz="6" w:space="0" w:color="auto"/>
            </w:tcBorders>
          </w:tcPr>
          <w:p w14:paraId="76AED83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4172</w:t>
            </w:r>
          </w:p>
        </w:tc>
        <w:tc>
          <w:tcPr>
            <w:tcW w:w="1171" w:type="dxa"/>
            <w:tcBorders>
              <w:top w:val="single" w:sz="6" w:space="0" w:color="auto"/>
              <w:left w:val="single" w:sz="6" w:space="0" w:color="auto"/>
              <w:bottom w:val="single" w:sz="6" w:space="0" w:color="auto"/>
              <w:right w:val="single" w:sz="6" w:space="0" w:color="auto"/>
            </w:tcBorders>
          </w:tcPr>
          <w:p w14:paraId="2CAA85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5695D486"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1D1BC3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314" w:type="dxa"/>
            <w:tcBorders>
              <w:top w:val="single" w:sz="6" w:space="0" w:color="auto"/>
              <w:left w:val="single" w:sz="6" w:space="0" w:color="auto"/>
              <w:bottom w:val="single" w:sz="6" w:space="0" w:color="auto"/>
              <w:right w:val="single" w:sz="6" w:space="0" w:color="auto"/>
            </w:tcBorders>
          </w:tcPr>
          <w:p w14:paraId="4D2A5E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Додж</w:t>
            </w:r>
          </w:p>
        </w:tc>
        <w:tc>
          <w:tcPr>
            <w:tcW w:w="720" w:type="dxa"/>
            <w:tcBorders>
              <w:top w:val="single" w:sz="6" w:space="0" w:color="auto"/>
              <w:left w:val="single" w:sz="6" w:space="0" w:color="auto"/>
              <w:bottom w:val="single" w:sz="6" w:space="0" w:color="auto"/>
              <w:right w:val="single" w:sz="6" w:space="0" w:color="auto"/>
            </w:tcBorders>
          </w:tcPr>
          <w:p w14:paraId="6D774F2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1523728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3570</w:t>
            </w:r>
          </w:p>
        </w:tc>
        <w:tc>
          <w:tcPr>
            <w:tcW w:w="1142" w:type="dxa"/>
            <w:tcBorders>
              <w:top w:val="single" w:sz="6" w:space="0" w:color="auto"/>
              <w:left w:val="single" w:sz="6" w:space="0" w:color="auto"/>
              <w:bottom w:val="single" w:sz="6" w:space="0" w:color="auto"/>
              <w:right w:val="single" w:sz="6" w:space="0" w:color="auto"/>
            </w:tcBorders>
          </w:tcPr>
          <w:p w14:paraId="0BEDF1F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950" w:type="dxa"/>
            <w:tcBorders>
              <w:top w:val="single" w:sz="6" w:space="0" w:color="auto"/>
              <w:left w:val="single" w:sz="6" w:space="0" w:color="auto"/>
              <w:bottom w:val="single" w:sz="6" w:space="0" w:color="auto"/>
              <w:right w:val="single" w:sz="6" w:space="0" w:color="auto"/>
            </w:tcBorders>
          </w:tcPr>
          <w:p w14:paraId="4268AF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1404</w:t>
            </w:r>
          </w:p>
        </w:tc>
        <w:tc>
          <w:tcPr>
            <w:tcW w:w="950" w:type="dxa"/>
            <w:tcBorders>
              <w:top w:val="single" w:sz="6" w:space="0" w:color="auto"/>
              <w:left w:val="single" w:sz="6" w:space="0" w:color="auto"/>
              <w:bottom w:val="single" w:sz="6" w:space="0" w:color="auto"/>
              <w:right w:val="single" w:sz="6" w:space="0" w:color="auto"/>
            </w:tcBorders>
          </w:tcPr>
          <w:p w14:paraId="45135E6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862</w:t>
            </w:r>
          </w:p>
        </w:tc>
        <w:tc>
          <w:tcPr>
            <w:tcW w:w="941" w:type="dxa"/>
            <w:tcBorders>
              <w:top w:val="single" w:sz="6" w:space="0" w:color="auto"/>
              <w:left w:val="single" w:sz="6" w:space="0" w:color="auto"/>
              <w:bottom w:val="single" w:sz="6" w:space="0" w:color="auto"/>
              <w:right w:val="single" w:sz="6" w:space="0" w:color="auto"/>
            </w:tcBorders>
          </w:tcPr>
          <w:p w14:paraId="13187D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2266</w:t>
            </w:r>
          </w:p>
        </w:tc>
        <w:tc>
          <w:tcPr>
            <w:tcW w:w="1171" w:type="dxa"/>
            <w:tcBorders>
              <w:top w:val="single" w:sz="6" w:space="0" w:color="auto"/>
              <w:left w:val="single" w:sz="6" w:space="0" w:color="auto"/>
              <w:bottom w:val="single" w:sz="6" w:space="0" w:color="auto"/>
              <w:right w:val="single" w:sz="6" w:space="0" w:color="auto"/>
            </w:tcBorders>
          </w:tcPr>
          <w:p w14:paraId="2D9209F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892</w:t>
            </w:r>
          </w:p>
        </w:tc>
      </w:tr>
      <w:tr w:rsidR="006F4095" w:rsidRPr="008127F8" w14:paraId="00C0BC03"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4D06F9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2314" w:type="dxa"/>
            <w:tcBorders>
              <w:top w:val="single" w:sz="6" w:space="0" w:color="auto"/>
              <w:left w:val="single" w:sz="6" w:space="0" w:color="auto"/>
              <w:bottom w:val="single" w:sz="6" w:space="0" w:color="auto"/>
              <w:right w:val="single" w:sz="6" w:space="0" w:color="auto"/>
            </w:tcBorders>
          </w:tcPr>
          <w:p w14:paraId="1FA0DDD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Шевроле</w:t>
            </w:r>
          </w:p>
        </w:tc>
        <w:tc>
          <w:tcPr>
            <w:tcW w:w="720" w:type="dxa"/>
            <w:tcBorders>
              <w:top w:val="single" w:sz="6" w:space="0" w:color="auto"/>
              <w:left w:val="single" w:sz="6" w:space="0" w:color="auto"/>
              <w:bottom w:val="single" w:sz="6" w:space="0" w:color="auto"/>
              <w:right w:val="single" w:sz="6" w:space="0" w:color="auto"/>
            </w:tcBorders>
          </w:tcPr>
          <w:p w14:paraId="796B0A0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1A6C534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1712</w:t>
            </w:r>
          </w:p>
        </w:tc>
        <w:tc>
          <w:tcPr>
            <w:tcW w:w="1142" w:type="dxa"/>
            <w:tcBorders>
              <w:top w:val="single" w:sz="6" w:space="0" w:color="auto"/>
              <w:left w:val="single" w:sz="6" w:space="0" w:color="auto"/>
              <w:bottom w:val="single" w:sz="6" w:space="0" w:color="auto"/>
              <w:right w:val="single" w:sz="6" w:space="0" w:color="auto"/>
            </w:tcBorders>
          </w:tcPr>
          <w:p w14:paraId="48C2E5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950" w:type="dxa"/>
            <w:tcBorders>
              <w:top w:val="single" w:sz="6" w:space="0" w:color="auto"/>
              <w:left w:val="single" w:sz="6" w:space="0" w:color="auto"/>
              <w:bottom w:val="single" w:sz="6" w:space="0" w:color="auto"/>
              <w:right w:val="single" w:sz="6" w:space="0" w:color="auto"/>
            </w:tcBorders>
          </w:tcPr>
          <w:p w14:paraId="77DC77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950" w:type="dxa"/>
            <w:tcBorders>
              <w:top w:val="single" w:sz="6" w:space="0" w:color="auto"/>
              <w:left w:val="single" w:sz="6" w:space="0" w:color="auto"/>
              <w:bottom w:val="single" w:sz="6" w:space="0" w:color="auto"/>
              <w:right w:val="single" w:sz="6" w:space="0" w:color="auto"/>
            </w:tcBorders>
          </w:tcPr>
          <w:p w14:paraId="5FD129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6333C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171" w:type="dxa"/>
            <w:tcBorders>
              <w:top w:val="single" w:sz="6" w:space="0" w:color="auto"/>
              <w:left w:val="single" w:sz="6" w:space="0" w:color="auto"/>
              <w:bottom w:val="single" w:sz="6" w:space="0" w:color="auto"/>
              <w:right w:val="single" w:sz="6" w:space="0" w:color="auto"/>
            </w:tcBorders>
          </w:tcPr>
          <w:p w14:paraId="26A771A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1612</w:t>
            </w:r>
          </w:p>
        </w:tc>
      </w:tr>
      <w:tr w:rsidR="006F4095" w:rsidRPr="008127F8" w14:paraId="4AE6DA88"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7CF9817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0AE8FC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1,5 тонных</w:t>
            </w:r>
          </w:p>
        </w:tc>
        <w:tc>
          <w:tcPr>
            <w:tcW w:w="720" w:type="dxa"/>
            <w:tcBorders>
              <w:top w:val="single" w:sz="6" w:space="0" w:color="auto"/>
              <w:left w:val="single" w:sz="6" w:space="0" w:color="auto"/>
              <w:bottom w:val="single" w:sz="6" w:space="0" w:color="auto"/>
              <w:right w:val="single" w:sz="6" w:space="0" w:color="auto"/>
            </w:tcBorders>
          </w:tcPr>
          <w:p w14:paraId="272FE99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20A4B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10756</w:t>
            </w:r>
          </w:p>
        </w:tc>
        <w:tc>
          <w:tcPr>
            <w:tcW w:w="1142" w:type="dxa"/>
            <w:tcBorders>
              <w:top w:val="single" w:sz="6" w:space="0" w:color="auto"/>
              <w:left w:val="single" w:sz="6" w:space="0" w:color="auto"/>
              <w:bottom w:val="single" w:sz="6" w:space="0" w:color="auto"/>
              <w:right w:val="single" w:sz="6" w:space="0" w:color="auto"/>
            </w:tcBorders>
          </w:tcPr>
          <w:p w14:paraId="235CB5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1712</w:t>
            </w:r>
          </w:p>
        </w:tc>
        <w:tc>
          <w:tcPr>
            <w:tcW w:w="950" w:type="dxa"/>
            <w:tcBorders>
              <w:top w:val="single" w:sz="6" w:space="0" w:color="auto"/>
              <w:left w:val="single" w:sz="6" w:space="0" w:color="auto"/>
              <w:bottom w:val="single" w:sz="6" w:space="0" w:color="auto"/>
              <w:right w:val="single" w:sz="6" w:space="0" w:color="auto"/>
            </w:tcBorders>
          </w:tcPr>
          <w:p w14:paraId="36AE132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4358</w:t>
            </w:r>
          </w:p>
        </w:tc>
        <w:tc>
          <w:tcPr>
            <w:tcW w:w="950" w:type="dxa"/>
            <w:tcBorders>
              <w:top w:val="single" w:sz="6" w:space="0" w:color="auto"/>
              <w:left w:val="single" w:sz="6" w:space="0" w:color="auto"/>
              <w:bottom w:val="single" w:sz="6" w:space="0" w:color="auto"/>
              <w:right w:val="single" w:sz="6" w:space="0" w:color="auto"/>
            </w:tcBorders>
          </w:tcPr>
          <w:p w14:paraId="4F20AD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2180</w:t>
            </w:r>
          </w:p>
        </w:tc>
        <w:tc>
          <w:tcPr>
            <w:tcW w:w="941" w:type="dxa"/>
            <w:tcBorders>
              <w:top w:val="single" w:sz="6" w:space="0" w:color="auto"/>
              <w:left w:val="single" w:sz="6" w:space="0" w:color="auto"/>
              <w:bottom w:val="single" w:sz="6" w:space="0" w:color="auto"/>
              <w:right w:val="single" w:sz="6" w:space="0" w:color="auto"/>
            </w:tcBorders>
          </w:tcPr>
          <w:p w14:paraId="33A1AA6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6538</w:t>
            </w:r>
          </w:p>
        </w:tc>
        <w:tc>
          <w:tcPr>
            <w:tcW w:w="1171" w:type="dxa"/>
            <w:tcBorders>
              <w:top w:val="single" w:sz="6" w:space="0" w:color="auto"/>
              <w:left w:val="single" w:sz="6" w:space="0" w:color="auto"/>
              <w:bottom w:val="single" w:sz="6" w:space="0" w:color="auto"/>
              <w:right w:val="single" w:sz="6" w:space="0" w:color="auto"/>
            </w:tcBorders>
          </w:tcPr>
          <w:p w14:paraId="5C12738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2506</w:t>
            </w:r>
          </w:p>
        </w:tc>
      </w:tr>
      <w:tr w:rsidR="006F4095" w:rsidRPr="008127F8" w14:paraId="15EB0EB4"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155A811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4C17994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грузовиков</w:t>
            </w:r>
          </w:p>
        </w:tc>
        <w:tc>
          <w:tcPr>
            <w:tcW w:w="720" w:type="dxa"/>
            <w:tcBorders>
              <w:top w:val="single" w:sz="6" w:space="0" w:color="auto"/>
              <w:left w:val="single" w:sz="6" w:space="0" w:color="auto"/>
              <w:bottom w:val="single" w:sz="6" w:space="0" w:color="auto"/>
              <w:right w:val="single" w:sz="6" w:space="0" w:color="auto"/>
            </w:tcBorders>
          </w:tcPr>
          <w:p w14:paraId="406073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369B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13112</w:t>
            </w:r>
          </w:p>
        </w:tc>
        <w:tc>
          <w:tcPr>
            <w:tcW w:w="1142" w:type="dxa"/>
            <w:tcBorders>
              <w:top w:val="single" w:sz="6" w:space="0" w:color="auto"/>
              <w:left w:val="single" w:sz="6" w:space="0" w:color="auto"/>
              <w:bottom w:val="single" w:sz="6" w:space="0" w:color="auto"/>
              <w:right w:val="single" w:sz="6" w:space="0" w:color="auto"/>
            </w:tcBorders>
          </w:tcPr>
          <w:p w14:paraId="7CFAC8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2425</w:t>
            </w:r>
          </w:p>
        </w:tc>
        <w:tc>
          <w:tcPr>
            <w:tcW w:w="950" w:type="dxa"/>
            <w:tcBorders>
              <w:top w:val="single" w:sz="6" w:space="0" w:color="auto"/>
              <w:left w:val="single" w:sz="6" w:space="0" w:color="auto"/>
              <w:bottom w:val="single" w:sz="6" w:space="0" w:color="auto"/>
              <w:right w:val="single" w:sz="6" w:space="0" w:color="auto"/>
            </w:tcBorders>
          </w:tcPr>
          <w:p w14:paraId="3BFA9E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5121</w:t>
            </w:r>
          </w:p>
        </w:tc>
        <w:tc>
          <w:tcPr>
            <w:tcW w:w="950" w:type="dxa"/>
            <w:tcBorders>
              <w:top w:val="single" w:sz="6" w:space="0" w:color="auto"/>
              <w:left w:val="single" w:sz="6" w:space="0" w:color="auto"/>
              <w:bottom w:val="single" w:sz="6" w:space="0" w:color="auto"/>
              <w:right w:val="single" w:sz="6" w:space="0" w:color="auto"/>
            </w:tcBorders>
          </w:tcPr>
          <w:p w14:paraId="18A0CC6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2360</w:t>
            </w:r>
          </w:p>
        </w:tc>
        <w:tc>
          <w:tcPr>
            <w:tcW w:w="941" w:type="dxa"/>
            <w:tcBorders>
              <w:top w:val="single" w:sz="6" w:space="0" w:color="auto"/>
              <w:left w:val="single" w:sz="6" w:space="0" w:color="auto"/>
              <w:bottom w:val="single" w:sz="6" w:space="0" w:color="auto"/>
              <w:right w:val="single" w:sz="6" w:space="0" w:color="auto"/>
            </w:tcBorders>
          </w:tcPr>
          <w:p w14:paraId="6BCE75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7481</w:t>
            </w:r>
          </w:p>
        </w:tc>
        <w:tc>
          <w:tcPr>
            <w:tcW w:w="1171" w:type="dxa"/>
            <w:tcBorders>
              <w:top w:val="single" w:sz="6" w:space="0" w:color="auto"/>
              <w:left w:val="single" w:sz="6" w:space="0" w:color="auto"/>
              <w:bottom w:val="single" w:sz="6" w:space="0" w:color="auto"/>
              <w:right w:val="single" w:sz="6" w:space="0" w:color="auto"/>
            </w:tcBorders>
          </w:tcPr>
          <w:p w14:paraId="6A6DEB5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3206</w:t>
            </w:r>
          </w:p>
        </w:tc>
      </w:tr>
      <w:tr w:rsidR="006F4095" w:rsidRPr="008127F8" w14:paraId="53327B8A"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759FC08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2314" w:type="dxa"/>
            <w:tcBorders>
              <w:top w:val="single" w:sz="6" w:space="0" w:color="auto"/>
              <w:left w:val="single" w:sz="6" w:space="0" w:color="auto"/>
              <w:bottom w:val="single" w:sz="6" w:space="0" w:color="auto"/>
              <w:right w:val="single" w:sz="6" w:space="0" w:color="auto"/>
            </w:tcBorders>
          </w:tcPr>
          <w:p w14:paraId="0CAA745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Бантам легкое.</w:t>
            </w:r>
          </w:p>
        </w:tc>
        <w:tc>
          <w:tcPr>
            <w:tcW w:w="720" w:type="dxa"/>
            <w:tcBorders>
              <w:top w:val="single" w:sz="6" w:space="0" w:color="auto"/>
              <w:left w:val="single" w:sz="6" w:space="0" w:color="auto"/>
              <w:bottom w:val="single" w:sz="6" w:space="0" w:color="auto"/>
              <w:right w:val="single" w:sz="6" w:space="0" w:color="auto"/>
            </w:tcBorders>
          </w:tcPr>
          <w:p w14:paraId="023DA0A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48A38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808</w:t>
            </w:r>
          </w:p>
        </w:tc>
        <w:tc>
          <w:tcPr>
            <w:tcW w:w="1142" w:type="dxa"/>
            <w:tcBorders>
              <w:top w:val="single" w:sz="6" w:space="0" w:color="auto"/>
              <w:left w:val="single" w:sz="6" w:space="0" w:color="auto"/>
              <w:bottom w:val="single" w:sz="6" w:space="0" w:color="auto"/>
              <w:right w:val="single" w:sz="6" w:space="0" w:color="auto"/>
            </w:tcBorders>
          </w:tcPr>
          <w:p w14:paraId="2AB60D6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w:t>
            </w:r>
          </w:p>
        </w:tc>
        <w:tc>
          <w:tcPr>
            <w:tcW w:w="950" w:type="dxa"/>
            <w:tcBorders>
              <w:top w:val="single" w:sz="6" w:space="0" w:color="auto"/>
              <w:left w:val="single" w:sz="6" w:space="0" w:color="auto"/>
              <w:bottom w:val="single" w:sz="6" w:space="0" w:color="auto"/>
              <w:right w:val="single" w:sz="6" w:space="0" w:color="auto"/>
            </w:tcBorders>
          </w:tcPr>
          <w:p w14:paraId="252CB1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456</w:t>
            </w:r>
          </w:p>
        </w:tc>
        <w:tc>
          <w:tcPr>
            <w:tcW w:w="950" w:type="dxa"/>
            <w:tcBorders>
              <w:top w:val="single" w:sz="6" w:space="0" w:color="auto"/>
              <w:left w:val="single" w:sz="6" w:space="0" w:color="auto"/>
              <w:bottom w:val="single" w:sz="6" w:space="0" w:color="auto"/>
              <w:right w:val="single" w:sz="6" w:space="0" w:color="auto"/>
            </w:tcBorders>
          </w:tcPr>
          <w:p w14:paraId="3EA77AC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3A1EFA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456</w:t>
            </w:r>
          </w:p>
        </w:tc>
        <w:tc>
          <w:tcPr>
            <w:tcW w:w="1171" w:type="dxa"/>
            <w:tcBorders>
              <w:top w:val="single" w:sz="6" w:space="0" w:color="auto"/>
              <w:left w:val="single" w:sz="6" w:space="0" w:color="auto"/>
              <w:bottom w:val="single" w:sz="6" w:space="0" w:color="auto"/>
              <w:right w:val="single" w:sz="6" w:space="0" w:color="auto"/>
            </w:tcBorders>
          </w:tcPr>
          <w:p w14:paraId="5176BCB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3761B582"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52BA4CC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50203A7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автомашин из США</w:t>
            </w:r>
          </w:p>
        </w:tc>
        <w:tc>
          <w:tcPr>
            <w:tcW w:w="720" w:type="dxa"/>
            <w:tcBorders>
              <w:top w:val="single" w:sz="6" w:space="0" w:color="auto"/>
              <w:left w:val="single" w:sz="6" w:space="0" w:color="auto"/>
              <w:bottom w:val="single" w:sz="6" w:space="0" w:color="auto"/>
              <w:right w:val="single" w:sz="6" w:space="0" w:color="auto"/>
            </w:tcBorders>
          </w:tcPr>
          <w:p w14:paraId="7F70E9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9BD017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13920</w:t>
            </w:r>
          </w:p>
        </w:tc>
        <w:tc>
          <w:tcPr>
            <w:tcW w:w="1142" w:type="dxa"/>
            <w:tcBorders>
              <w:top w:val="single" w:sz="6" w:space="0" w:color="auto"/>
              <w:left w:val="single" w:sz="6" w:space="0" w:color="auto"/>
              <w:bottom w:val="single" w:sz="6" w:space="0" w:color="auto"/>
              <w:right w:val="single" w:sz="6" w:space="0" w:color="auto"/>
            </w:tcBorders>
          </w:tcPr>
          <w:p w14:paraId="52EE2F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2777</w:t>
            </w:r>
          </w:p>
        </w:tc>
        <w:tc>
          <w:tcPr>
            <w:tcW w:w="950" w:type="dxa"/>
            <w:tcBorders>
              <w:top w:val="single" w:sz="6" w:space="0" w:color="auto"/>
              <w:left w:val="single" w:sz="6" w:space="0" w:color="auto"/>
              <w:bottom w:val="single" w:sz="6" w:space="0" w:color="auto"/>
              <w:right w:val="single" w:sz="6" w:space="0" w:color="auto"/>
            </w:tcBorders>
          </w:tcPr>
          <w:p w14:paraId="169EA32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5577</w:t>
            </w:r>
          </w:p>
        </w:tc>
        <w:tc>
          <w:tcPr>
            <w:tcW w:w="950" w:type="dxa"/>
            <w:tcBorders>
              <w:top w:val="single" w:sz="6" w:space="0" w:color="auto"/>
              <w:left w:val="single" w:sz="6" w:space="0" w:color="auto"/>
              <w:bottom w:val="single" w:sz="6" w:space="0" w:color="auto"/>
              <w:right w:val="single" w:sz="6" w:space="0" w:color="auto"/>
            </w:tcBorders>
          </w:tcPr>
          <w:p w14:paraId="5EE68D6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2360</w:t>
            </w:r>
          </w:p>
        </w:tc>
        <w:tc>
          <w:tcPr>
            <w:tcW w:w="941" w:type="dxa"/>
            <w:tcBorders>
              <w:top w:val="single" w:sz="6" w:space="0" w:color="auto"/>
              <w:left w:val="single" w:sz="6" w:space="0" w:color="auto"/>
              <w:bottom w:val="single" w:sz="6" w:space="0" w:color="auto"/>
              <w:right w:val="single" w:sz="6" w:space="0" w:color="auto"/>
            </w:tcBorders>
          </w:tcPr>
          <w:p w14:paraId="4DCB67A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7937</w:t>
            </w:r>
          </w:p>
        </w:tc>
        <w:tc>
          <w:tcPr>
            <w:tcW w:w="1171" w:type="dxa"/>
            <w:tcBorders>
              <w:top w:val="single" w:sz="6" w:space="0" w:color="auto"/>
              <w:left w:val="single" w:sz="6" w:space="0" w:color="auto"/>
              <w:bottom w:val="single" w:sz="6" w:space="0" w:color="auto"/>
              <w:right w:val="single" w:sz="6" w:space="0" w:color="auto"/>
            </w:tcBorders>
          </w:tcPr>
          <w:p w14:paraId="0F547D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3206</w:t>
            </w:r>
          </w:p>
        </w:tc>
      </w:tr>
      <w:tr w:rsidR="006F4095" w:rsidRPr="008127F8" w14:paraId="4D2C333B"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3A7D1EE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2314" w:type="dxa"/>
            <w:tcBorders>
              <w:top w:val="single" w:sz="6" w:space="0" w:color="auto"/>
              <w:left w:val="single" w:sz="6" w:space="0" w:color="auto"/>
              <w:bottom w:val="single" w:sz="6" w:space="0" w:color="auto"/>
              <w:right w:val="single" w:sz="6" w:space="0" w:color="auto"/>
            </w:tcBorders>
          </w:tcPr>
          <w:p w14:paraId="6D178C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Остин</w:t>
            </w:r>
          </w:p>
        </w:tc>
        <w:tc>
          <w:tcPr>
            <w:tcW w:w="720" w:type="dxa"/>
            <w:tcBorders>
              <w:top w:val="single" w:sz="6" w:space="0" w:color="auto"/>
              <w:left w:val="single" w:sz="6" w:space="0" w:color="auto"/>
              <w:bottom w:val="single" w:sz="6" w:space="0" w:color="auto"/>
              <w:right w:val="single" w:sz="6" w:space="0" w:color="auto"/>
            </w:tcBorders>
          </w:tcPr>
          <w:p w14:paraId="3B793C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960" w:type="dxa"/>
            <w:tcBorders>
              <w:top w:val="single" w:sz="6" w:space="0" w:color="auto"/>
              <w:left w:val="single" w:sz="6" w:space="0" w:color="auto"/>
              <w:bottom w:val="single" w:sz="6" w:space="0" w:color="auto"/>
              <w:right w:val="single" w:sz="6" w:space="0" w:color="auto"/>
            </w:tcBorders>
          </w:tcPr>
          <w:p w14:paraId="350BE9E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51A4EF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7D551F9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45A9E2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215CC81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F752C2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1A7A4936" w14:textId="77777777">
        <w:trPr>
          <w:trHeight w:val="182"/>
        </w:trPr>
        <w:tc>
          <w:tcPr>
            <w:tcW w:w="442" w:type="dxa"/>
            <w:tcBorders>
              <w:top w:val="single" w:sz="6" w:space="0" w:color="auto"/>
              <w:left w:val="single" w:sz="6" w:space="0" w:color="auto"/>
              <w:bottom w:val="single" w:sz="6" w:space="0" w:color="auto"/>
              <w:right w:val="single" w:sz="6" w:space="0" w:color="auto"/>
            </w:tcBorders>
          </w:tcPr>
          <w:p w14:paraId="33B62E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2314" w:type="dxa"/>
            <w:tcBorders>
              <w:top w:val="single" w:sz="6" w:space="0" w:color="auto"/>
              <w:left w:val="single" w:sz="6" w:space="0" w:color="auto"/>
              <w:bottom w:val="single" w:sz="6" w:space="0" w:color="auto"/>
              <w:right w:val="single" w:sz="6" w:space="0" w:color="auto"/>
            </w:tcBorders>
          </w:tcPr>
          <w:p w14:paraId="6F23F7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Остин</w:t>
            </w:r>
          </w:p>
        </w:tc>
        <w:tc>
          <w:tcPr>
            <w:tcW w:w="720" w:type="dxa"/>
            <w:tcBorders>
              <w:top w:val="single" w:sz="6" w:space="0" w:color="auto"/>
              <w:left w:val="single" w:sz="6" w:space="0" w:color="auto"/>
              <w:bottom w:val="single" w:sz="6" w:space="0" w:color="auto"/>
              <w:right w:val="single" w:sz="6" w:space="0" w:color="auto"/>
            </w:tcBorders>
          </w:tcPr>
          <w:p w14:paraId="51EAA4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31A44A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916</w:t>
            </w:r>
          </w:p>
        </w:tc>
        <w:tc>
          <w:tcPr>
            <w:tcW w:w="1142" w:type="dxa"/>
            <w:tcBorders>
              <w:top w:val="single" w:sz="6" w:space="0" w:color="auto"/>
              <w:left w:val="single" w:sz="6" w:space="0" w:color="auto"/>
              <w:bottom w:val="single" w:sz="6" w:space="0" w:color="auto"/>
              <w:right w:val="single" w:sz="6" w:space="0" w:color="auto"/>
            </w:tcBorders>
          </w:tcPr>
          <w:p w14:paraId="06D1EB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916</w:t>
            </w:r>
          </w:p>
        </w:tc>
        <w:tc>
          <w:tcPr>
            <w:tcW w:w="950" w:type="dxa"/>
            <w:tcBorders>
              <w:top w:val="single" w:sz="6" w:space="0" w:color="auto"/>
              <w:left w:val="single" w:sz="6" w:space="0" w:color="auto"/>
              <w:bottom w:val="single" w:sz="6" w:space="0" w:color="auto"/>
              <w:right w:val="single" w:sz="6" w:space="0" w:color="auto"/>
            </w:tcBorders>
          </w:tcPr>
          <w:p w14:paraId="3E4DE5D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4D7823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4EB6C8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26AEC9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27AE9059"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60574BA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314" w:type="dxa"/>
            <w:tcBorders>
              <w:top w:val="single" w:sz="6" w:space="0" w:color="auto"/>
              <w:left w:val="single" w:sz="6" w:space="0" w:color="auto"/>
              <w:bottom w:val="single" w:sz="6" w:space="0" w:color="auto"/>
              <w:right w:val="single" w:sz="6" w:space="0" w:color="auto"/>
            </w:tcBorders>
          </w:tcPr>
          <w:p w14:paraId="0FFEE20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Бедфорд</w:t>
            </w:r>
          </w:p>
        </w:tc>
        <w:tc>
          <w:tcPr>
            <w:tcW w:w="720" w:type="dxa"/>
            <w:tcBorders>
              <w:top w:val="single" w:sz="6" w:space="0" w:color="auto"/>
              <w:left w:val="single" w:sz="6" w:space="0" w:color="auto"/>
              <w:bottom w:val="single" w:sz="6" w:space="0" w:color="auto"/>
              <w:right w:val="single" w:sz="6" w:space="0" w:color="auto"/>
            </w:tcBorders>
          </w:tcPr>
          <w:p w14:paraId="4031C0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4FA6101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30C4B78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05C14F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641D117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4A344CE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53776D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r>
      <w:tr w:rsidR="006F4095" w:rsidRPr="008127F8" w14:paraId="00E01A2A"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6EE4695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2314" w:type="dxa"/>
            <w:tcBorders>
              <w:top w:val="single" w:sz="6" w:space="0" w:color="auto"/>
              <w:left w:val="single" w:sz="6" w:space="0" w:color="auto"/>
              <w:bottom w:val="single" w:sz="6" w:space="0" w:color="auto"/>
              <w:right w:val="single" w:sz="6" w:space="0" w:color="auto"/>
            </w:tcBorders>
          </w:tcPr>
          <w:p w14:paraId="4BA931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Мармон-Харрингтон</w:t>
            </w:r>
          </w:p>
        </w:tc>
        <w:tc>
          <w:tcPr>
            <w:tcW w:w="720" w:type="dxa"/>
            <w:tcBorders>
              <w:top w:val="single" w:sz="6" w:space="0" w:color="auto"/>
              <w:left w:val="single" w:sz="6" w:space="0" w:color="auto"/>
              <w:bottom w:val="single" w:sz="6" w:space="0" w:color="auto"/>
              <w:right w:val="single" w:sz="6" w:space="0" w:color="auto"/>
            </w:tcBorders>
          </w:tcPr>
          <w:p w14:paraId="34CD82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4B216E7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142" w:type="dxa"/>
            <w:tcBorders>
              <w:top w:val="single" w:sz="6" w:space="0" w:color="auto"/>
              <w:left w:val="single" w:sz="6" w:space="0" w:color="auto"/>
              <w:bottom w:val="single" w:sz="6" w:space="0" w:color="auto"/>
              <w:right w:val="single" w:sz="6" w:space="0" w:color="auto"/>
            </w:tcBorders>
          </w:tcPr>
          <w:p w14:paraId="5C9878F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950" w:type="dxa"/>
            <w:tcBorders>
              <w:top w:val="single" w:sz="6" w:space="0" w:color="auto"/>
              <w:left w:val="single" w:sz="6" w:space="0" w:color="auto"/>
              <w:bottom w:val="single" w:sz="6" w:space="0" w:color="auto"/>
              <w:right w:val="single" w:sz="6" w:space="0" w:color="auto"/>
            </w:tcBorders>
          </w:tcPr>
          <w:p w14:paraId="606587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320B34C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2F5825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4F9777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C0A35DF" w14:textId="77777777">
        <w:trPr>
          <w:trHeight w:val="182"/>
        </w:trPr>
        <w:tc>
          <w:tcPr>
            <w:tcW w:w="442" w:type="dxa"/>
            <w:tcBorders>
              <w:top w:val="single" w:sz="6" w:space="0" w:color="auto"/>
              <w:left w:val="single" w:sz="6" w:space="0" w:color="auto"/>
              <w:bottom w:val="single" w:sz="6" w:space="0" w:color="auto"/>
              <w:right w:val="single" w:sz="6" w:space="0" w:color="auto"/>
            </w:tcBorders>
          </w:tcPr>
          <w:p w14:paraId="30585BA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2314" w:type="dxa"/>
            <w:tcBorders>
              <w:top w:val="single" w:sz="6" w:space="0" w:color="auto"/>
              <w:left w:val="single" w:sz="6" w:space="0" w:color="auto"/>
              <w:bottom w:val="single" w:sz="6" w:space="0" w:color="auto"/>
              <w:right w:val="single" w:sz="6" w:space="0" w:color="auto"/>
            </w:tcBorders>
          </w:tcPr>
          <w:p w14:paraId="48C1F2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Виллис легкое.</w:t>
            </w:r>
          </w:p>
        </w:tc>
        <w:tc>
          <w:tcPr>
            <w:tcW w:w="720" w:type="dxa"/>
            <w:tcBorders>
              <w:top w:val="single" w:sz="6" w:space="0" w:color="auto"/>
              <w:left w:val="single" w:sz="6" w:space="0" w:color="auto"/>
              <w:bottom w:val="single" w:sz="6" w:space="0" w:color="auto"/>
              <w:right w:val="single" w:sz="6" w:space="0" w:color="auto"/>
            </w:tcBorders>
          </w:tcPr>
          <w:p w14:paraId="5379AC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60" w:type="dxa"/>
            <w:tcBorders>
              <w:top w:val="single" w:sz="6" w:space="0" w:color="auto"/>
              <w:left w:val="single" w:sz="6" w:space="0" w:color="auto"/>
              <w:bottom w:val="single" w:sz="6" w:space="0" w:color="auto"/>
              <w:right w:val="single" w:sz="6" w:space="0" w:color="auto"/>
            </w:tcBorders>
          </w:tcPr>
          <w:p w14:paraId="7DE382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1C0EA3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78ADD4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3FC1BA1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060DBD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583673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2702175" w14:textId="77777777">
        <w:trPr>
          <w:trHeight w:val="211"/>
        </w:trPr>
        <w:tc>
          <w:tcPr>
            <w:tcW w:w="2756" w:type="dxa"/>
            <w:gridSpan w:val="2"/>
            <w:tcBorders>
              <w:top w:val="single" w:sz="6" w:space="0" w:color="auto"/>
              <w:left w:val="single" w:sz="6" w:space="0" w:color="auto"/>
              <w:bottom w:val="single" w:sz="6" w:space="0" w:color="auto"/>
              <w:right w:val="single" w:sz="6" w:space="0" w:color="auto"/>
            </w:tcBorders>
          </w:tcPr>
          <w:p w14:paraId="6EC17FA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всех машин</w:t>
            </w:r>
          </w:p>
        </w:tc>
        <w:tc>
          <w:tcPr>
            <w:tcW w:w="720" w:type="dxa"/>
            <w:tcBorders>
              <w:top w:val="single" w:sz="6" w:space="0" w:color="auto"/>
              <w:left w:val="single" w:sz="6" w:space="0" w:color="auto"/>
              <w:bottom w:val="single" w:sz="6" w:space="0" w:color="auto"/>
              <w:right w:val="single" w:sz="6" w:space="0" w:color="auto"/>
            </w:tcBorders>
          </w:tcPr>
          <w:p w14:paraId="104A38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A6A42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15336</w:t>
            </w:r>
          </w:p>
        </w:tc>
        <w:tc>
          <w:tcPr>
            <w:tcW w:w="1142" w:type="dxa"/>
            <w:tcBorders>
              <w:top w:val="single" w:sz="6" w:space="0" w:color="auto"/>
              <w:left w:val="single" w:sz="6" w:space="0" w:color="auto"/>
              <w:bottom w:val="single" w:sz="6" w:space="0" w:color="auto"/>
              <w:right w:val="single" w:sz="6" w:space="0" w:color="auto"/>
            </w:tcBorders>
          </w:tcPr>
          <w:p w14:paraId="297A07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4193</w:t>
            </w:r>
          </w:p>
        </w:tc>
        <w:tc>
          <w:tcPr>
            <w:tcW w:w="950" w:type="dxa"/>
            <w:tcBorders>
              <w:top w:val="single" w:sz="6" w:space="0" w:color="auto"/>
              <w:left w:val="single" w:sz="6" w:space="0" w:color="auto"/>
              <w:bottom w:val="single" w:sz="6" w:space="0" w:color="auto"/>
              <w:right w:val="single" w:sz="6" w:space="0" w:color="auto"/>
            </w:tcBorders>
          </w:tcPr>
          <w:p w14:paraId="498DE1F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5777</w:t>
            </w:r>
          </w:p>
        </w:tc>
        <w:tc>
          <w:tcPr>
            <w:tcW w:w="950" w:type="dxa"/>
            <w:tcBorders>
              <w:top w:val="single" w:sz="6" w:space="0" w:color="auto"/>
              <w:left w:val="single" w:sz="6" w:space="0" w:color="auto"/>
              <w:bottom w:val="single" w:sz="6" w:space="0" w:color="auto"/>
              <w:right w:val="single" w:sz="6" w:space="0" w:color="auto"/>
            </w:tcBorders>
          </w:tcPr>
          <w:p w14:paraId="632196C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2360</w:t>
            </w:r>
          </w:p>
        </w:tc>
        <w:tc>
          <w:tcPr>
            <w:tcW w:w="941" w:type="dxa"/>
            <w:tcBorders>
              <w:top w:val="single" w:sz="6" w:space="0" w:color="auto"/>
              <w:left w:val="single" w:sz="6" w:space="0" w:color="auto"/>
              <w:bottom w:val="single" w:sz="6" w:space="0" w:color="auto"/>
              <w:right w:val="single" w:sz="6" w:space="0" w:color="auto"/>
            </w:tcBorders>
          </w:tcPr>
          <w:p w14:paraId="1AA2C51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7937</w:t>
            </w:r>
          </w:p>
        </w:tc>
        <w:tc>
          <w:tcPr>
            <w:tcW w:w="1171" w:type="dxa"/>
            <w:tcBorders>
              <w:top w:val="single" w:sz="6" w:space="0" w:color="auto"/>
              <w:left w:val="single" w:sz="6" w:space="0" w:color="auto"/>
              <w:bottom w:val="single" w:sz="6" w:space="0" w:color="auto"/>
              <w:right w:val="single" w:sz="6" w:space="0" w:color="auto"/>
            </w:tcBorders>
          </w:tcPr>
          <w:p w14:paraId="716FA0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3206</w:t>
            </w:r>
          </w:p>
        </w:tc>
      </w:tr>
    </w:tbl>
    <w:p w14:paraId="02C081A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По позициям 8, 9 и 10 машины завезены из Англии; По позиции 11 куплены ранее в США вне Соглашения.</w:t>
      </w:r>
    </w:p>
    <w:p w14:paraId="2E3B0969"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в/о «Технопромимпорт» Владимиров</w:t>
      </w:r>
    </w:p>
    <w:p w14:paraId="29E4D2E5"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123. Л. 19. Подлинник (11211).</w:t>
      </w:r>
    </w:p>
    <w:p w14:paraId="4A7B6C3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7BF254D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г. Главмотовелопром приказом № 11 назначил КБ ИМЗ головным по М-72, а А.М. Фёдорова -ответственным за унификацию М-72 на ИМЗ и ГМЗ. Только он мог утверждать изменения в чертежах М-72 [5.31], что способст</w:t>
      </w:r>
      <w:r w:rsidRPr="008127F8">
        <w:rPr>
          <w:rFonts w:ascii="Times New Roman" w:hAnsi="Times New Roman"/>
          <w:color w:val="000000" w:themeColor="text1"/>
          <w:sz w:val="16"/>
          <w:szCs w:val="16"/>
        </w:rPr>
        <w:softHyphen/>
        <w:t>вовало успехам сборки мотоциклов на ИМЗ, коллектив которого работал в практически необогреваемых цехах, с трудом изготав</w:t>
      </w:r>
      <w:r w:rsidRPr="008127F8">
        <w:rPr>
          <w:rFonts w:ascii="Times New Roman" w:hAnsi="Times New Roman"/>
          <w:color w:val="000000" w:themeColor="text1"/>
          <w:sz w:val="16"/>
          <w:szCs w:val="16"/>
        </w:rPr>
        <w:softHyphen/>
        <w:t>ливал недостающие детали из-за нехватки материалов, инстру</w:t>
      </w:r>
      <w:r w:rsidRPr="008127F8">
        <w:rPr>
          <w:rFonts w:ascii="Times New Roman" w:hAnsi="Times New Roman"/>
          <w:color w:val="000000" w:themeColor="text1"/>
          <w:sz w:val="16"/>
          <w:szCs w:val="16"/>
        </w:rPr>
        <w:softHyphen/>
        <w:t>мента и квалифицированных рабочих. К середине февраля 1942 г. собрали десятки мотоциклов М-72. Их погрузили в двухосные ва</w:t>
      </w:r>
      <w:r w:rsidRPr="008127F8">
        <w:rPr>
          <w:rFonts w:ascii="Times New Roman" w:hAnsi="Times New Roman"/>
          <w:color w:val="000000" w:themeColor="text1"/>
          <w:sz w:val="16"/>
          <w:szCs w:val="16"/>
        </w:rPr>
        <w:softHyphen/>
        <w:t>гоны, называемые теплушками, и 25 февраля 1942 г. отправили на фронт. Это мероприятие вылилось в небольшой праздник для сотрудников завода и дало уверенность в скором пуске ИМЗ в эксплуатацию [5.32]. Руководство Главмотовелопрома настаивало на скорейшем освоении выпуска М-72 на ИМЗ, вникало в заводские проблемы, руководило выполнением наибо</w:t>
      </w:r>
      <w:r w:rsidRPr="008127F8">
        <w:rPr>
          <w:rFonts w:ascii="Times New Roman" w:hAnsi="Times New Roman"/>
          <w:color w:val="000000" w:themeColor="text1"/>
          <w:sz w:val="16"/>
          <w:szCs w:val="16"/>
        </w:rPr>
        <w:softHyphen/>
        <w:t>лее важных из них. Чтобы начать сборку мотоциклов из достав</w:t>
      </w:r>
      <w:r w:rsidRPr="008127F8">
        <w:rPr>
          <w:rFonts w:ascii="Times New Roman" w:hAnsi="Times New Roman"/>
          <w:color w:val="000000" w:themeColor="text1"/>
          <w:sz w:val="16"/>
          <w:szCs w:val="16"/>
        </w:rPr>
        <w:softHyphen/>
        <w:t>ленной с ММЗ «незавершенки», требовалось обеспечить завод хо</w:t>
      </w:r>
      <w:r w:rsidRPr="008127F8">
        <w:rPr>
          <w:rFonts w:ascii="Times New Roman" w:hAnsi="Times New Roman"/>
          <w:color w:val="000000" w:themeColor="text1"/>
          <w:sz w:val="16"/>
          <w:szCs w:val="16"/>
        </w:rPr>
        <w:softHyphen/>
        <w:t>тя бы небольшими мощностями электроэнергии. Сначала ИМЗ обеспечивал электроэнергией генератор на 127 В, оставшийся от бывшего пивзавода и развивавший мощность всего 30 кВт. Потом заводчане добавили к нему самодельную установку, сочленив ге</w:t>
      </w:r>
      <w:r w:rsidRPr="008127F8">
        <w:rPr>
          <w:rFonts w:ascii="Times New Roman" w:hAnsi="Times New Roman"/>
          <w:color w:val="000000" w:themeColor="text1"/>
          <w:sz w:val="16"/>
          <w:szCs w:val="16"/>
        </w:rPr>
        <w:softHyphen/>
        <w:t>нератор мощностью 10 кВт с мотоциклетным двигателем. Позже запустили полученный из Челябинска локомобиль «Вольф» с двумя турбогенераторами мощностью по 180 кВт, а затем вве</w:t>
      </w:r>
      <w:r w:rsidRPr="008127F8">
        <w:rPr>
          <w:rFonts w:ascii="Times New Roman" w:hAnsi="Times New Roman"/>
          <w:color w:val="000000" w:themeColor="text1"/>
          <w:sz w:val="16"/>
          <w:szCs w:val="16"/>
        </w:rPr>
        <w:softHyphen/>
        <w:t>ли в эксплуатацию паровую турбину с электрогенератором мощностью 2500 кВт, полученными из Москвы [5.30]. Главным конструктором КБ на ИМЗ назначили А.М. Фёдо</w:t>
      </w:r>
      <w:r w:rsidRPr="008127F8">
        <w:rPr>
          <w:rFonts w:ascii="Times New Roman" w:hAnsi="Times New Roman"/>
          <w:color w:val="000000" w:themeColor="text1"/>
          <w:sz w:val="16"/>
          <w:szCs w:val="16"/>
        </w:rPr>
        <w:softHyphen/>
        <w:t>рова, участвовавшего в создании мотоциклов, начиная с НАТИ-А-750 [4.53] (11429).</w:t>
      </w:r>
    </w:p>
    <w:p w14:paraId="1AAD890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FCC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вышло Постановление Военного совета КБФ о постройке на Адмиралтейском заводе первых десяти малых мониторов водоизмещением по 160 т (в дальнейшем их называли шхерными мониторами, а также морскими бронекатерами - МБК) с двумя танковыми башнями с пушками калибра 76,2 мм, одним 37-мм зенитным автоматом, пулеметами и двумя минометами; скорость хода 13 узлов (10671).</w:t>
      </w:r>
    </w:p>
    <w:p w14:paraId="7214AC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CC05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5DBB4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84160"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9 февраля 1942 года Оперативная сводка Совинформбюро</w:t>
      </w:r>
    </w:p>
    <w:p w14:paraId="1410DF1D"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9 февраля</w:t>
      </w:r>
    </w:p>
    <w:p w14:paraId="664C09D7"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9 февраля происходили наступательные бои наших войск против немецко-фашистских войск.</w:t>
      </w:r>
    </w:p>
    <w:p w14:paraId="0E2260B0"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9 февраля</w:t>
      </w:r>
    </w:p>
    <w:p w14:paraId="57E402C6"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9 февраля наши войска вели наступательные бои, продвинулись вперёд и заняли несколько населённых пунктов.</w:t>
      </w:r>
    </w:p>
    <w:p w14:paraId="614B40AB"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8 февраля сбито в воздушных боях 5 немецких самолётов. Наши потери - 3 самолёта.</w:t>
      </w:r>
    </w:p>
    <w:p w14:paraId="1EFCB8B0"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8 февраля частями нашей авиации уничтожено и повреждено 8 немецких танков, около 100 автомашин с пехотой и грузами, 80 повозок с боеприпасами, 1 миномётная батарея, взорвано 9 железнодорожных вагонов, рассеяно и частью уничтожено два батальона пехоты противника.</w:t>
      </w:r>
    </w:p>
    <w:p w14:paraId="6046063C" w14:textId="77777777" w:rsidR="00B01D6D" w:rsidRPr="008127F8" w:rsidRDefault="00B01D6D" w:rsidP="001E0A84">
      <w:pPr>
        <w:spacing w:after="0" w:line="240" w:lineRule="auto"/>
        <w:jc w:val="both"/>
        <w:rPr>
          <w:rFonts w:ascii="Times New Roman" w:eastAsia="Times New Roman" w:hAnsi="Times New Roman"/>
          <w:b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истекшую неделю с 1 по 7 февраля немецкая авиация потеряла 199 самолётов. Из них в воздушных боях обит 101 самолёт, зенитным огнём - 25, на аэродромах противника уничтожено 73 самолёта. Наши потери за этот же период - 49 самолётов (15024).</w:t>
      </w:r>
    </w:p>
    <w:p w14:paraId="796A24E1" w14:textId="77777777" w:rsidR="00B01D6D" w:rsidRPr="008127F8" w:rsidRDefault="00B01D6D" w:rsidP="001E0A84">
      <w:pPr>
        <w:spacing w:after="0" w:line="240" w:lineRule="auto"/>
        <w:jc w:val="both"/>
        <w:rPr>
          <w:rFonts w:ascii="Times New Roman" w:eastAsia="Times New Roman" w:hAnsi="Times New Roman"/>
          <w:color w:val="000000" w:themeColor="text1"/>
          <w:sz w:val="16"/>
          <w:szCs w:val="16"/>
          <w:lang w:eastAsia="ru-RU"/>
        </w:rPr>
      </w:pPr>
    </w:p>
    <w:p w14:paraId="7815B9F4"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748BCD55"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9 февраля происходили наступательные бои наших войск против немецко-фашистских войск.</w:t>
      </w:r>
    </w:p>
    <w:p w14:paraId="32513449"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 командованием тов. Боброва (Западный фронт), нанося удары противнику, в первой половине дня 7 февраля овладели 4 населёнными пунктами. Преследуя отходящего противника, наши бойцы в тот же день заняли ещё 3 населённых пункта. На другом участке фронта наши войска за один день освободили от немецких захватчиков 11 населённых пунктов.</w:t>
      </w:r>
    </w:p>
    <w:p w14:paraId="704F987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тов. Селезнёва (Западный фронт) мощным огневым налётом на аэродром противника уничтожили 10 немецких самолётов.</w:t>
      </w:r>
    </w:p>
    <w:p w14:paraId="389976DC"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продолжают теснить противника и овладели за день тремя населёнными пунктами. Немецко-фашистские войска, пытаясь задержать наступление советских войск, создают огромные минные поля и другие оборонительные заграждения. Сапёрное подразделение старшего лейтенанта Семенюка обнаружило минное поле протяжением в два с половиной километра. Под огнём противника сапёры быстро проделали в минном поле пять проходов и тем самым обеспечили дальнейшее продвижение наших частей. Только в одном пункте отважные сапёры извлекли из-под снега 2.600 противотанковых мин.</w:t>
      </w:r>
    </w:p>
    <w:p w14:paraId="7271972F"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в 30 человек под руководством старшего лейтенанта Шипунова в одном бою захватила у противника 2 миномёта, 5 пулемётов, 8 автоматов и перебила 20 вражеских солдат.</w:t>
      </w:r>
    </w:p>
    <w:p w14:paraId="0AC1C7EF"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Отважно действует в тылу немецких оккупантов отряд калининских партизан под командованием тов. «Деда». За последнее время партизаны отряда уничтожили 179 немецких солдат и офицеров, захватили 5 противотанковых пушек, 10 пулемётов, 30 автоматов, 87 винтовок, 50 пистолетов, 10 лошадей с сёдлами и разгромили штаб немецкой части.</w:t>
      </w:r>
    </w:p>
    <w:p w14:paraId="471FD7FE"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захватили приказ командира 290 немецкого пехотного полка, изданный 28 января. В приказе говорится: «За последнее время увеличивается число случаев, свидетельствующих о разложении дисциплины и ухудшении морального состояния части: 1) во время боя позиция сдаётся преждевременно без основания. При этом бросается оружие и не убираются раненые; 2) во время марша солдаты поодиночке и даже группами оставляют маршевую колонну без разрешения, бросая своё оружие». Командир полка приказывает офицерам «всеми средствами, имеющимися в их распоряжении, положить конец такому положению».</w:t>
      </w:r>
    </w:p>
    <w:p w14:paraId="2BADFFA5"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нашу сторону солдат 6 роты 143 немецкого горноегерского полка Алоиз Маттерсбергер сообщил: «Две недели тому назад, простояв час на посту, я обморозил ноги и присел, хотя мне полагалось стоять на посту ещё целый час. Узнав об этом, командир роты лейтенант Цаунер заявил, что я буду предан военно-полевому суду. Мне были известны случаи, когда провинившиеся солдаты бесследно исчезали. Так было с солдатом 8 роты Зоцек. У него были обморожены ноги, и он отказался принести воду для кухни, несмотря на приказание унтер-офицера. Так же было и с ефрейтором из 9 роты, фамилия которого, кажется, Зегер. Он отказался выполнить приказ об установке миномёта на скатах высоты, ссылаясь на сильный мороз. Поэтому, когда меня вызвал второй раз командир роты, я пошёл не на ротный командный пункт, а по направлению к русским. Увидев ваших бойцов, я сразу же поднял руки вверх и сдал свою винтовку.</w:t>
      </w:r>
    </w:p>
    <w:p w14:paraId="4D3524A6"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Военно-полевой суд в городе Хамина (Финляндия) приговорил к расстрелу за дезертирство та финской армии 17 солдат. Приговор приведён в исполнение.</w:t>
      </w:r>
    </w:p>
    <w:p w14:paraId="0ACBC7A1"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железнодорожной линии Кастельветрано — Алькамо (Италия) произошло крушение воинского эшелона с немецкими солдатами. Разбито 15 вагонов, убито и ранено до 135 гитлеровцев.» (15035).</w:t>
      </w:r>
    </w:p>
    <w:p w14:paraId="46B61E5D"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53B7BC70"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4AC4E8AF"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февраля наши войска вели наступательные бои, продвинулись вперёд и заняли несколько населённых пунктов.</w:t>
      </w:r>
    </w:p>
    <w:p w14:paraId="7F1F4CCC"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февраля сбито в воздушных боях 5 немецких самолётов. Наши потери — 3 самолёта.</w:t>
      </w:r>
    </w:p>
    <w:p w14:paraId="6ED23C65"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февраля частями нашей авиации уничтожено и повреждено 8 немецких танков, около 100 автомашин с пехотой и грузами, 80 повозок с боеприпасами, 1 миномётная батарея, взорвано 9 железнодорожных вагонов, рассеяно и частью уничтожено два батальона пехоты противника.</w:t>
      </w:r>
    </w:p>
    <w:p w14:paraId="1263EC80"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 по 7 февраля немецкая авиация потеряла 199 самолётов. Из них в воздушных боях сбит 101 самолёт, зенитным огнём — 25, на аэродромах противника уничтожено 73 самолёта. Наши потери за этот же период — 49 самолётов.</w:t>
      </w:r>
    </w:p>
    <w:p w14:paraId="1E749D14"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кавалерийские части во взаимодействии с пехотой (Западный фронт) в ночном бою выбили противника из трёх населённых пунктов и захватили противотанковое орудие и несколько пулемётов. На поле боя осталось 620 трупов немецких солдат и офицеров. На другом участке наши бойцы, преодолевая оборонительные рубежи противника, овладели 5 населёнными пунктами. В бою уничтожено 3 немецких танка, 2 орудия и захвачено 2 орудия, 2 пулемёта и большое количество боеприпасов.</w:t>
      </w:r>
    </w:p>
    <w:p w14:paraId="7ABAD30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наших бойцов под командой тов. Тихомирова в бою за деревню А. атаковал вдвое превосходящие силы немцев. Не выдержав штыкового удара, гитлеровцы бежали, потеряв 150 человек. Преследуя противника, наши бойцы взяли в плен 7 немецких солдат и одного офицера, захватили 8 пулемётов, 56 винтовок, 2 радиостанция и другое военное имущество.</w:t>
      </w:r>
    </w:p>
    <w:p w14:paraId="6C3F3179"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П., действующий на Украине, совершил ночной налёт на группу немецких солдат, истребил 24 гитлеровца и захватил 3 пулемёта.</w:t>
      </w:r>
    </w:p>
    <w:p w14:paraId="4F59DF20"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публикуется акт о чудовищном преступлении гитлеровских бандитов, совершённом близ колхоза «Рекинцы», Солнечногорского района, Московской области.».</w:t>
      </w:r>
    </w:p>
    <w:p w14:paraId="45D1A551"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w:t>
      </w:r>
    </w:p>
    <w:p w14:paraId="16BFF456"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нижеподписавшиеся, военный прокурор стрелковой дивизии военный юрист 3 ранга Кровяков, военный следователь техник-интендант 2 ранга Лоцманенко, старший политрук Кучминский, представитель НКВД Мальев, военный врач 3 ранга Винокурова, военный врач 3 ранга Настаскина и красноармейцы Плаченов и Ларешнев, составили настоящий акт о нижеследующем:</w:t>
      </w:r>
    </w:p>
    <w:p w14:paraId="5D0D4DE6"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осмотре землянки, которая расположена близ колхоза «Рекинцы», Солнечногорского района, Московской области, найдены 16 трупов советских бойцов, зверски замученных немцами.</w:t>
      </w:r>
    </w:p>
    <w:p w14:paraId="62725568"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осмотре трупов установлено:</w:t>
      </w:r>
    </w:p>
    <w:p w14:paraId="5743635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труп. В форме летчика. Фамилия неизвестна. Имеется сквозное пулевое ранение грудной клетки. На лице рубленая рана в области надбровной дуги. Нос отрезан холодным оружием. Открытый перелом в области правого голеностопного сустава. Нога вывернута. На черепе следы побоев ногами, череп сдавлен.</w:t>
      </w:r>
    </w:p>
    <w:p w14:paraId="4F47551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труп. Фамилия не установлена. Обнаружено сквозное пулевое (разрывное) ранение правой голени. Пулевое ранение брюшной полости (разрывное), ранение в грудь в упор.</w:t>
      </w:r>
    </w:p>
    <w:p w14:paraId="7E98A560"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труп. Трубин Пётр Васильевич, санитар, уроженец Куйбышевской области, Кузоватовского района, Никольского сельсовета. При наружном осмотре трупа обнаружено: рубленая рана в области левой щеки с повреждением кости, в рану вбит деревянный клин. Сквозное пулевое ранение черепа.</w:t>
      </w:r>
    </w:p>
    <w:p w14:paraId="410D5966"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труп. Резник Александр Романович, красноармеец, уроженец УССР, Черниговской области, Батуринского района, Краснянского сельсовета, деревни Красное. Обнаружен пролом черепа всей теменной и затылочной области. Ранения холодным оружием.</w:t>
      </w:r>
    </w:p>
    <w:p w14:paraId="382B6BE8"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труп. Раздет. Труп находился в таком положении, по которому можно предполагать, что красноармеец пытался сползти с нар на груди, упираясь руками, но был расстрелян в лоб, в упор.</w:t>
      </w:r>
    </w:p>
    <w:p w14:paraId="74D7728D"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труп. Фамилия неизвестна. При наружном осмотре обнаружена рубленая рана, нанесённая холодным оружием в теменной области с повреждением кости. Пулевое ранение в грудную клетку.</w:t>
      </w:r>
    </w:p>
    <w:p w14:paraId="0852922C"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труп. Фамилия неизвестна. Под левой ключицей имеется сквозное пулевое ранение от разрывной пули. В области груди нанесено штыковое ранение.</w:t>
      </w:r>
    </w:p>
    <w:p w14:paraId="62BE5AB4"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труп. Фамилия неизвестна. В области скуловой кости справа имеется рваная рана, нанесённая холодным оружием. Ранение правой голени.</w:t>
      </w:r>
    </w:p>
    <w:p w14:paraId="3BAA987D"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труп. Фамилия неизвестна. Половые органы вырваны без применения огнестрельного или холодного оружия. Имеется разможжённая рана черепа с повреждением костей.</w:t>
      </w:r>
    </w:p>
    <w:p w14:paraId="1AA8B8DF"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труп. По знакам различия — сержант-артиллерист. В области поясницы имеются две поверхностных раны. На трупе—кровоподтёки, образовавшиеся от нанесения тяжёлых побоев ногами. Смерть, как видно, последовала от внутреннего кровотечения.</w:t>
      </w:r>
    </w:p>
    <w:p w14:paraId="55C90519"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труп. Фамилия неизвестна. Обнаружено пулевое ранение в области левой ягодицы, на лице, в области переносицы, рубленая рана.</w:t>
      </w:r>
    </w:p>
    <w:p w14:paraId="1BD571DE"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труп. Фамилия неизвестна. Обнаружено пулевое ранение в области левого виска. Выстрел в упор, следы ожога.</w:t>
      </w:r>
    </w:p>
    <w:p w14:paraId="667E06B2"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труп. Фамилия неизвестна. Обнаружено ранение правого бедра. Второе ранение огнестрельное, в грудь, в упор. Следы ожога на шинели.</w:t>
      </w:r>
    </w:p>
    <w:p w14:paraId="0BD3CB96"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14 труп. Фамилия неизвестна. Обнаружено пулевое сквозное ранение бедра, рубленая рана полового члена.</w:t>
      </w:r>
    </w:p>
    <w:p w14:paraId="5735E2B4"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труп. Фамилия неизвестна. Обнаружено пулевое сплошное ранение верхней трети правого бедра и слепое ранение — пулевое в области печени. На лице следы тяжёлых побоев сапогами.</w:t>
      </w:r>
    </w:p>
    <w:p w14:paraId="4946E97C"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труп. Фамилия неизвестна. По одежде — лётчик. Часть одежды сожжена. Правая нога выкручена и вырвана, судя по рваным краям раны, без применения огнестрельного и холодного оружия. Живот вскрыт холодным оружием. Череп сдавлен.</w:t>
      </w:r>
    </w:p>
    <w:p w14:paraId="40780892"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57EDB0A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Полученными данными и медицинским осмотром трупов установлено:</w:t>
      </w:r>
    </w:p>
    <w:p w14:paraId="549F4B9D"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землянке находилась группа красноармейцев, среди которых было 12 раненых и 4 здоровых.</w:t>
      </w:r>
    </w:p>
    <w:p w14:paraId="7E24A86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Все находившиеся в землянке — фашистском застенке — красноармейцы были подвергнуты гитлеровцами зверским пыткам, а затем умерщвлены.</w:t>
      </w:r>
    </w:p>
    <w:p w14:paraId="5F5DD74D"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Твёрдо установлено, что в землянке производился допрос пленных бойцов с применением чудовищных издевательств и пыток. Есть также полная уверенность в том, что 16 героев, несмотря на неслыханные издевательства фашистов-людоедов, до последнего дыхания остались верными сынами нашей великой родины и погибли смертью храбрых».</w:t>
      </w:r>
    </w:p>
    <w:p w14:paraId="2E199B49"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 подписали: военный прокурор воен-юрист 3 ранта Кровяков, военный следователь техник-интендант 2 ранта Лоц-маненко, старший политрук Кучминский, представитель НКВД Мальев, военврачи 3 ранга Винокурова, Настаскина, красноармейцы: Плаченов, Ларешнев.» (15035).</w:t>
      </w:r>
    </w:p>
    <w:p w14:paraId="27671218"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382DDC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в ходе Любанской операции ВВС общевойсковых армий на участке прорыва усилили дополнительно 181 самолетом Р-5, P-Z и У-2. 2-я ударная армия получила из этого пополнения три полка, два полка получила 54-я армия Ленинградского фронта, по два полка получили 4-я и 52-я армии. Все девять перечисленных авиаполков - 657, 658, 660, 662, 667, 673, 689, 696, 697 - приняли участие в поддержке наступления советских войск. С марта по июнь, в связи с частым нарушением противником коммуникаций 2-й ударной армии и введенного в прорыв 13-го кавалерийского корпуса, а также из-за весенней распутицы, ночные бомбардировочные полки выполняли задачи по снабжению войск и эвакуации тяжелораненых. При этом боевые задачи с этих соединений не снимались. Лишь 658 авиаполк за означенный период совершил 1606 боевых вылетов, сбросив 642 т бомб (5016).</w:t>
      </w:r>
    </w:p>
    <w:p w14:paraId="527642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A36BB"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D426C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36A541"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февраля</w:t>
      </w:r>
      <w:r w:rsidRPr="008127F8">
        <w:rPr>
          <w:rFonts w:ascii="Times New Roman" w:hAnsi="Times New Roman"/>
          <w:color w:val="000000" w:themeColor="text1"/>
          <w:sz w:val="16"/>
          <w:szCs w:val="16"/>
        </w:rPr>
        <w:t xml:space="preserve"> в 1942 году первый полёт первого прототипа дальнего бомбардировщика </w:t>
      </w:r>
      <w:hyperlink r:id="rId49" w:tgtFrame="_blank" w:history="1">
        <w:r w:rsidRPr="008127F8">
          <w:rPr>
            <w:rFonts w:ascii="Times New Roman" w:hAnsi="Times New Roman"/>
            <w:color w:val="000000" w:themeColor="text1"/>
            <w:sz w:val="16"/>
            <w:szCs w:val="16"/>
          </w:rPr>
          <w:t xml:space="preserve">«G4M2» </w:t>
        </w:r>
      </w:hyperlink>
      <w:r w:rsidRPr="008127F8">
        <w:rPr>
          <w:rFonts w:ascii="Times New Roman" w:hAnsi="Times New Roman"/>
          <w:color w:val="000000" w:themeColor="text1"/>
          <w:sz w:val="16"/>
          <w:szCs w:val="16"/>
        </w:rPr>
        <w:t>(компания «Mitsubishi», Япония), но лишь 9 февраля 1943 года он был передан флоту для официальных испытаний (15035).</w:t>
      </w:r>
    </w:p>
    <w:p w14:paraId="236E7340"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5F482069"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февраля</w:t>
      </w:r>
      <w:r w:rsidRPr="008127F8">
        <w:rPr>
          <w:rFonts w:ascii="Times New Roman" w:hAnsi="Times New Roman"/>
          <w:color w:val="000000" w:themeColor="text1"/>
          <w:sz w:val="16"/>
          <w:szCs w:val="16"/>
        </w:rPr>
        <w:t xml:space="preserve"> в 1942 году после гибели Тодта в авиакатастрофе А.Шпеер назначается имперским министром вооружений и боеприпасов (15035).</w:t>
      </w:r>
    </w:p>
    <w:p w14:paraId="6D1044E4"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242FDC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(12 - 3481) февраля 1942 п/л Сюркуф Свободной Франции вышла в последний поход (3481).</w:t>
      </w:r>
    </w:p>
    <w:p w14:paraId="5B2A4C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461BF"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февраля</w:t>
      </w:r>
      <w:r w:rsidRPr="008127F8">
        <w:rPr>
          <w:rFonts w:ascii="Times New Roman" w:hAnsi="Times New Roman"/>
          <w:color w:val="000000" w:themeColor="text1"/>
          <w:sz w:val="16"/>
          <w:szCs w:val="16"/>
        </w:rPr>
        <w:t xml:space="preserve"> в 1942 году подводная лодка "Сюркуф" входит в состав военно-морских сил "Свободной Франции" и выходит в свой последний поход (15035).</w:t>
      </w:r>
    </w:p>
    <w:p w14:paraId="231699C1"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351551E3" w14:textId="77777777" w:rsidR="00B01D6D" w:rsidRPr="008127F8" w:rsidRDefault="00B01D6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было введено нормирование мыла в Англии (3481).</w:t>
      </w:r>
    </w:p>
    <w:p w14:paraId="0DF34F77" w14:textId="77777777" w:rsidR="00B01D6D" w:rsidRPr="008127F8" w:rsidRDefault="00B01D6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C49D4" w14:textId="77777777" w:rsidR="00B01D6D" w:rsidRPr="008127F8" w:rsidRDefault="00B01D6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в Англии введены ограничения на торговлю мылом (4962).</w:t>
      </w:r>
    </w:p>
    <w:p w14:paraId="05E9380D" w14:textId="77777777" w:rsidR="00B01D6D" w:rsidRPr="008127F8" w:rsidRDefault="00B01D6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8076A" w14:textId="77777777" w:rsidR="00B01D6D" w:rsidRPr="008127F8" w:rsidRDefault="00B01D6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февраля</w:t>
      </w:r>
      <w:r w:rsidRPr="008127F8">
        <w:rPr>
          <w:rFonts w:ascii="Times New Roman" w:hAnsi="Times New Roman"/>
          <w:color w:val="000000" w:themeColor="text1"/>
          <w:sz w:val="16"/>
          <w:szCs w:val="16"/>
        </w:rPr>
        <w:t xml:space="preserve"> в 1942 году от пожара в гавани Нью-Йорка погибает "Лафайет" (бывшая "Нормандия"), корабль длиной 314 м, шириной 36 м (15035).</w:t>
      </w:r>
    </w:p>
    <w:p w14:paraId="37E14C4B" w14:textId="77777777" w:rsidR="00B01D6D" w:rsidRPr="008127F8" w:rsidRDefault="00B01D6D" w:rsidP="001E0A84">
      <w:pPr>
        <w:spacing w:after="0" w:line="240" w:lineRule="auto"/>
        <w:jc w:val="both"/>
        <w:rPr>
          <w:rFonts w:ascii="Times New Roman" w:hAnsi="Times New Roman"/>
          <w:color w:val="000000" w:themeColor="text1"/>
          <w:sz w:val="16"/>
          <w:szCs w:val="16"/>
        </w:rPr>
      </w:pPr>
    </w:p>
    <w:p w14:paraId="5938AA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1942 Чан Кай Ши встретился с Крипсом, вицекоролем Индии (2100).</w:t>
      </w:r>
    </w:p>
    <w:p w14:paraId="6DF093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8D5B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80BE3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315DF7" w14:textId="77777777" w:rsidR="00DC4871" w:rsidRPr="008127F8" w:rsidRDefault="00DC4871"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10 февраля 1942 бригинженер Г.П. Лешуков дал указание заме</w:t>
      </w:r>
      <w:r w:rsidRPr="008127F8">
        <w:rPr>
          <w:rFonts w:ascii="Times New Roman" w:cs="Times New Roman"/>
          <w:color w:val="000000" w:themeColor="text1"/>
          <w:spacing w:val="0"/>
          <w:sz w:val="16"/>
          <w:szCs w:val="16"/>
        </w:rPr>
        <w:softHyphen/>
        <w:t>стителю начальника Управления опытного строительства ГУ ВВС бригинженеру А.И. Гребеневу под</w:t>
      </w:r>
      <w:r w:rsidRPr="008127F8">
        <w:rPr>
          <w:rFonts w:ascii="Times New Roman" w:cs="Times New Roman"/>
          <w:color w:val="000000" w:themeColor="text1"/>
          <w:spacing w:val="0"/>
          <w:sz w:val="16"/>
          <w:szCs w:val="16"/>
        </w:rPr>
        <w:softHyphen/>
        <w:t>готовить проект решения Государ</w:t>
      </w:r>
      <w:r w:rsidRPr="008127F8">
        <w:rPr>
          <w:rFonts w:ascii="Times New Roman" w:cs="Times New Roman"/>
          <w:color w:val="000000" w:themeColor="text1"/>
          <w:spacing w:val="0"/>
          <w:sz w:val="16"/>
          <w:szCs w:val="16"/>
        </w:rPr>
        <w:softHyphen/>
        <w:t>ственного комитета обороны об усилении бронирования отечест</w:t>
      </w:r>
      <w:r w:rsidRPr="008127F8">
        <w:rPr>
          <w:rFonts w:ascii="Times New Roman" w:cs="Times New Roman"/>
          <w:color w:val="000000" w:themeColor="text1"/>
          <w:spacing w:val="0"/>
          <w:sz w:val="16"/>
          <w:szCs w:val="16"/>
        </w:rPr>
        <w:softHyphen/>
        <w:t>венных самолетов. В ходе подготовки проекта постановления были получены дополнитель</w:t>
      </w:r>
      <w:r w:rsidRPr="008127F8">
        <w:rPr>
          <w:rFonts w:ascii="Times New Roman" w:cs="Times New Roman"/>
          <w:color w:val="000000" w:themeColor="text1"/>
          <w:spacing w:val="0"/>
          <w:sz w:val="16"/>
          <w:szCs w:val="16"/>
        </w:rPr>
        <w:softHyphen/>
        <w:t>ные материалы по испытаниям гомогенной и цементованной брони валового производства толщиной от 15 до 40 мм, проведенных в НИП АВ ВВС и НИИ-48 (15774).</w:t>
      </w:r>
    </w:p>
    <w:p w14:paraId="3FEEADEA" w14:textId="77777777" w:rsidR="00DC4871" w:rsidRPr="008127F8" w:rsidRDefault="00DC4871" w:rsidP="001E0A84">
      <w:pPr>
        <w:pStyle w:val="36"/>
        <w:shd w:val="clear" w:color="auto" w:fill="auto"/>
        <w:spacing w:after="0" w:line="240" w:lineRule="auto"/>
        <w:jc w:val="both"/>
        <w:rPr>
          <w:rFonts w:ascii="Times New Roman" w:cs="Times New Roman"/>
          <w:color w:val="000000" w:themeColor="text1"/>
          <w:spacing w:val="0"/>
          <w:sz w:val="16"/>
          <w:szCs w:val="16"/>
        </w:rPr>
      </w:pPr>
    </w:p>
    <w:p w14:paraId="6D8540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С.В.И. писал А.И.Ш. письмо N 61:</w:t>
      </w:r>
    </w:p>
    <w:p w14:paraId="2C017C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самолет Ил-2 на основе опыта войны внесен ряд изменений, что повлекло за собой значительное увеличение веса самолета:</w:t>
      </w:r>
    </w:p>
    <w:p w14:paraId="5000FF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ШВАК заменена на ВЯ</w:t>
      </w:r>
    </w:p>
    <w:p w14:paraId="51465B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Установлена доп. броня</w:t>
      </w:r>
    </w:p>
    <w:p w14:paraId="133181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Проведена замена дюралю мина на дерево</w:t>
      </w:r>
    </w:p>
    <w:p w14:paraId="6D4AFE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Проведена замена прессованных деталей на гнутые</w:t>
      </w:r>
    </w:p>
    <w:p w14:paraId="711777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Установлен РПК</w:t>
      </w:r>
    </w:p>
    <w:p w14:paraId="2C6088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Установлена универсальная кассета КМБ-2</w:t>
      </w:r>
    </w:p>
    <w:p w14:paraId="0E59D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изменения увеличили вес самолета на 310 кг. Это увеличение веса увеличивает разбег и ухудшает его взлетные свойства, что весьма нежелательно.</w:t>
      </w:r>
    </w:p>
    <w:p w14:paraId="2898DD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взлетные качества самолета не ухудшились необходимо увеличить мощность мотора на форсаже на 200 нр, то есть вместо 1650 нр необходимо 1850 нр. Если это увеличение мощности мотора потребует снижение его высотности до 9, то против этого у меня нет возражений, поскольку Ил-2 летает не выше 300-400 м.</w:t>
      </w:r>
    </w:p>
    <w:p w14:paraId="0B7495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указаний директору завода 24 Жезлову об увеличении мощности АМ-38 (1679,65).</w:t>
      </w:r>
    </w:p>
    <w:p w14:paraId="128B46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C9D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 на заводе № 126 в Комсомольске под управлением заводского летчика-испытателя Галицкого состоялся первый полет Ил-4 с двигателем М-82. В этом полете обнаружился сильный выброс масла и только после длительной отработки маслосистемы 5 апреля 1942 г. самолет начал выполнять новые испытательные полеты (9528).</w:t>
      </w:r>
    </w:p>
    <w:p w14:paraId="3E9C98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A21DE" w14:textId="77777777" w:rsidR="00C614C6" w:rsidRPr="008127F8" w:rsidRDefault="00C614C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состоялся первый вылет Ил-4 с М-82, но испытания прервали из-за сильного выброса масла. Доводки заняли 2 месяца и испытания по программе начались лишь 5 апреля 1942. Участвовали ви НИИ ВВС Г.В.Грибакин и Н.Н.Фингеров, а от ЛИИ - С.С.Юданов (2467,7).</w:t>
      </w:r>
    </w:p>
    <w:p w14:paraId="28420037" w14:textId="77777777" w:rsidR="00C614C6" w:rsidRPr="008127F8" w:rsidRDefault="00C614C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0B29"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в пер</w:t>
      </w:r>
      <w:r w:rsidRPr="008127F8">
        <w:rPr>
          <w:rFonts w:ascii="Times New Roman" w:hAnsi="Times New Roman"/>
          <w:color w:val="000000" w:themeColor="text1"/>
          <w:sz w:val="16"/>
          <w:szCs w:val="16"/>
        </w:rPr>
        <w:softHyphen/>
        <w:t>вом же вылете Ил-4 М-82 обнаружился сильный выброс моторного масла. Доводки затянулись почти на два месяца, и лишь 5 апреля начались испытания по программе.</w:t>
      </w:r>
    </w:p>
    <w:p w14:paraId="672BDAD1"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проводились на трех машинах при участии ведущих инженеров НИИ ВВС Г. В. Гри</w:t>
      </w:r>
      <w:r w:rsidRPr="008127F8">
        <w:rPr>
          <w:rFonts w:ascii="Times New Roman" w:hAnsi="Times New Roman"/>
          <w:color w:val="000000" w:themeColor="text1"/>
          <w:sz w:val="16"/>
          <w:szCs w:val="16"/>
        </w:rPr>
        <w:softHyphen/>
        <w:t>бакина и Н. Н. Фингерова, ЛИИ — С.С. Юданова и заводского летчика-испытателя Галицкого.</w:t>
      </w:r>
    </w:p>
    <w:p w14:paraId="1876633D"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проведенные при участии ведущих инженера Н.М. Кокори</w:t>
      </w:r>
      <w:r w:rsidRPr="008127F8">
        <w:rPr>
          <w:rFonts w:ascii="Times New Roman" w:hAnsi="Times New Roman"/>
          <w:color w:val="000000" w:themeColor="text1"/>
          <w:sz w:val="16"/>
          <w:szCs w:val="16"/>
        </w:rPr>
        <w:softHyphen/>
        <w:t>на, летчика А. П. Сыроегина и штурмана Л. М. Гоптарева (самолет облетали лет</w:t>
      </w:r>
      <w:r w:rsidRPr="008127F8">
        <w:rPr>
          <w:rFonts w:ascii="Times New Roman" w:hAnsi="Times New Roman"/>
          <w:color w:val="000000" w:themeColor="text1"/>
          <w:sz w:val="16"/>
          <w:szCs w:val="16"/>
        </w:rPr>
        <w:softHyphen/>
        <w:t>чик Л.П. Лупкин и штурман Н.П. Цвет</w:t>
      </w:r>
      <w:r w:rsidRPr="008127F8">
        <w:rPr>
          <w:rFonts w:ascii="Times New Roman" w:hAnsi="Times New Roman"/>
          <w:color w:val="000000" w:themeColor="text1"/>
          <w:sz w:val="16"/>
          <w:szCs w:val="16"/>
        </w:rPr>
        <w:softHyphen/>
        <w:t>ков), показали, что пилотажные харак</w:t>
      </w:r>
      <w:r w:rsidRPr="008127F8">
        <w:rPr>
          <w:rFonts w:ascii="Times New Roman" w:hAnsi="Times New Roman"/>
          <w:color w:val="000000" w:themeColor="text1"/>
          <w:sz w:val="16"/>
          <w:szCs w:val="16"/>
        </w:rPr>
        <w:softHyphen/>
        <w:t>теристики остались неизменными. Од</w:t>
      </w:r>
      <w:r w:rsidRPr="008127F8">
        <w:rPr>
          <w:rFonts w:ascii="Times New Roman" w:hAnsi="Times New Roman"/>
          <w:color w:val="000000" w:themeColor="text1"/>
          <w:sz w:val="16"/>
          <w:szCs w:val="16"/>
        </w:rPr>
        <w:softHyphen/>
        <w:t>нако при повороте пулемета верхней установки МВ-3 в стороны самолет на</w:t>
      </w:r>
      <w:r w:rsidRPr="008127F8">
        <w:rPr>
          <w:rFonts w:ascii="Times New Roman" w:hAnsi="Times New Roman"/>
          <w:color w:val="000000" w:themeColor="text1"/>
          <w:sz w:val="16"/>
          <w:szCs w:val="16"/>
        </w:rPr>
        <w:softHyphen/>
        <w:t>чинал «гулять» по курсу, создавая крен до трех градусов, правда, легко пари</w:t>
      </w:r>
      <w:r w:rsidRPr="008127F8">
        <w:rPr>
          <w:rFonts w:ascii="Times New Roman" w:hAnsi="Times New Roman"/>
          <w:color w:val="000000" w:themeColor="text1"/>
          <w:sz w:val="16"/>
          <w:szCs w:val="16"/>
        </w:rPr>
        <w:softHyphen/>
        <w:t>ровавшийся рулем поворота.</w:t>
      </w:r>
    </w:p>
    <w:p w14:paraId="10C9D070"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двигателей не нашлось штатных винтов АВ-5, и вместо них пришлось ставить втулки винтов ВИШ-22 с лопастями ВИШ-21 диаметром 3,4 м. Ско</w:t>
      </w:r>
      <w:r w:rsidRPr="008127F8">
        <w:rPr>
          <w:rFonts w:ascii="Times New Roman" w:hAnsi="Times New Roman"/>
          <w:color w:val="000000" w:themeColor="text1"/>
          <w:sz w:val="16"/>
          <w:szCs w:val="16"/>
        </w:rPr>
        <w:softHyphen/>
        <w:t>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w:t>
      </w:r>
      <w:r w:rsidRPr="008127F8">
        <w:rPr>
          <w:rFonts w:ascii="Times New Roman" w:hAnsi="Times New Roman"/>
          <w:color w:val="000000" w:themeColor="text1"/>
          <w:sz w:val="16"/>
          <w:szCs w:val="16"/>
        </w:rPr>
        <w:softHyphen/>
        <w:t>ным образом за счет топлива) дальность увеличи</w:t>
      </w:r>
      <w:r w:rsidRPr="008127F8">
        <w:rPr>
          <w:rFonts w:ascii="Times New Roman" w:hAnsi="Times New Roman"/>
          <w:color w:val="000000" w:themeColor="text1"/>
          <w:sz w:val="16"/>
          <w:szCs w:val="16"/>
        </w:rPr>
        <w:softHyphen/>
        <w:t>лась на 900 км, максимальная скорость — на 45 км/ч. Улучшились взлетные характеристики и скороподъ</w:t>
      </w:r>
      <w:r w:rsidRPr="008127F8">
        <w:rPr>
          <w:rFonts w:ascii="Times New Roman" w:hAnsi="Times New Roman"/>
          <w:color w:val="000000" w:themeColor="text1"/>
          <w:sz w:val="16"/>
          <w:szCs w:val="16"/>
        </w:rPr>
        <w:softHyphen/>
        <w:t>емность.</w:t>
      </w:r>
    </w:p>
    <w:p w14:paraId="294E11C9"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отчета отмечалась целесообраз</w:t>
      </w:r>
      <w:r w:rsidRPr="008127F8">
        <w:rPr>
          <w:rFonts w:ascii="Times New Roman" w:hAnsi="Times New Roman"/>
          <w:color w:val="000000" w:themeColor="text1"/>
          <w:sz w:val="16"/>
          <w:szCs w:val="16"/>
        </w:rPr>
        <w:softHyphen/>
        <w:t>ность установки М-82 на серийные самолеты. Но из- за неудовлетворительной работы системы охлаж</w:t>
      </w:r>
      <w:r w:rsidRPr="008127F8">
        <w:rPr>
          <w:rFonts w:ascii="Times New Roman" w:hAnsi="Times New Roman"/>
          <w:color w:val="000000" w:themeColor="text1"/>
          <w:sz w:val="16"/>
          <w:szCs w:val="16"/>
        </w:rPr>
        <w:softHyphen/>
        <w:t>дения масла, несоответствия колес шасси возрос</w:t>
      </w:r>
      <w:r w:rsidRPr="008127F8">
        <w:rPr>
          <w:rFonts w:ascii="Times New Roman" w:hAnsi="Times New Roman"/>
          <w:color w:val="000000" w:themeColor="text1"/>
          <w:sz w:val="16"/>
          <w:szCs w:val="16"/>
        </w:rPr>
        <w:softHyphen/>
        <w:t>шим нагрузкам, отсутствия амортизации двигателей и неудобного расположения его агрегатов самолет не рекомендовался к серийному производству (23188).</w:t>
      </w:r>
    </w:p>
    <w:p w14:paraId="330D0F3B"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188B94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февраля по 28 марта 1942 года в Новосибирске бригадой НИИ ВВС и завода № 51 были проведены совместные за</w:t>
      </w:r>
      <w:r w:rsidRPr="008127F8">
        <w:rPr>
          <w:rFonts w:ascii="Times New Roman" w:hAnsi="Times New Roman"/>
          <w:color w:val="000000" w:themeColor="text1"/>
          <w:sz w:val="16"/>
          <w:szCs w:val="16"/>
        </w:rPr>
        <w:softHyphen/>
        <w:t>водские и государственные испыта</w:t>
      </w:r>
      <w:r w:rsidRPr="008127F8">
        <w:rPr>
          <w:rFonts w:ascii="Times New Roman" w:hAnsi="Times New Roman"/>
          <w:color w:val="000000" w:themeColor="text1"/>
          <w:sz w:val="16"/>
          <w:szCs w:val="16"/>
        </w:rPr>
        <w:softHyphen/>
        <w:t>ния И-185. Было проведено 16 полетов И-185 с М-71 и 9 полетов И-185 с М-82, причем летные характеристики сни</w:t>
      </w:r>
      <w:r w:rsidRPr="008127F8">
        <w:rPr>
          <w:rFonts w:ascii="Times New Roman" w:hAnsi="Times New Roman"/>
          <w:color w:val="000000" w:themeColor="text1"/>
          <w:sz w:val="16"/>
          <w:szCs w:val="16"/>
        </w:rPr>
        <w:softHyphen/>
        <w:t xml:space="preserve">мались опять только на первом, а на втором испытывалось </w:t>
      </w:r>
      <w:r w:rsidRPr="008127F8">
        <w:rPr>
          <w:rFonts w:ascii="Times New Roman" w:hAnsi="Times New Roman"/>
          <w:color w:val="000000" w:themeColor="text1"/>
          <w:sz w:val="16"/>
          <w:szCs w:val="16"/>
        </w:rPr>
        <w:lastRenderedPageBreak/>
        <w:t>синхронное пу</w:t>
      </w:r>
      <w:r w:rsidRPr="008127F8">
        <w:rPr>
          <w:rFonts w:ascii="Times New Roman" w:hAnsi="Times New Roman"/>
          <w:color w:val="000000" w:themeColor="text1"/>
          <w:sz w:val="16"/>
          <w:szCs w:val="16"/>
        </w:rPr>
        <w:softHyphen/>
        <w:t>шечное вооружение. Максимальная скорость И-185 с М-71 составила: у земли - 521 км/ч на номинале и 556 км/ч на форсаже (Н=500 м), на 1-й границе высотности 3400 м -604 км/ч, на 2-й границе высотности 6170 м - 630 км/ч. Время набора высоты 5000 м составило 5,2 мин. Эти данные были выше всех известных тогда отечественных и иностранных истребителей, но всё же заметно ниже расчетных, что указывало на недове-денность ВМГ. Трехпушечное синхрон</w:t>
      </w:r>
      <w:r w:rsidRPr="008127F8">
        <w:rPr>
          <w:rFonts w:ascii="Times New Roman" w:hAnsi="Times New Roman"/>
          <w:color w:val="000000" w:themeColor="text1"/>
          <w:sz w:val="16"/>
          <w:szCs w:val="16"/>
        </w:rPr>
        <w:softHyphen/>
        <w:t>ное вооружение испытания на И-185 с М-82 также выдержало успешно, но летные данные последнего по-прежне</w:t>
      </w:r>
      <w:r w:rsidRPr="008127F8">
        <w:rPr>
          <w:rFonts w:ascii="Times New Roman" w:hAnsi="Times New Roman"/>
          <w:color w:val="000000" w:themeColor="text1"/>
          <w:sz w:val="16"/>
          <w:szCs w:val="16"/>
        </w:rPr>
        <w:softHyphen/>
        <w:t>му были неизвестны. Комиссия по испытаниям рекомендовала постро</w:t>
      </w:r>
      <w:r w:rsidRPr="008127F8">
        <w:rPr>
          <w:rFonts w:ascii="Times New Roman" w:hAnsi="Times New Roman"/>
          <w:color w:val="000000" w:themeColor="text1"/>
          <w:sz w:val="16"/>
          <w:szCs w:val="16"/>
        </w:rPr>
        <w:softHyphen/>
        <w:t>ить войсковую серию самолетов И-185 с М-71 и трехпушечным вооружени</w:t>
      </w:r>
      <w:r w:rsidRPr="008127F8">
        <w:rPr>
          <w:rFonts w:ascii="Times New Roman" w:hAnsi="Times New Roman"/>
          <w:color w:val="000000" w:themeColor="text1"/>
          <w:sz w:val="16"/>
          <w:szCs w:val="16"/>
        </w:rPr>
        <w:softHyphen/>
        <w:t>ем, но нарком А.И. Шахурин опять не согласился с таким предложением, считая, что этот вопрос следует «ре</w:t>
      </w:r>
      <w:r w:rsidRPr="008127F8">
        <w:rPr>
          <w:rFonts w:ascii="Times New Roman" w:hAnsi="Times New Roman"/>
          <w:color w:val="000000" w:themeColor="text1"/>
          <w:sz w:val="16"/>
          <w:szCs w:val="16"/>
        </w:rPr>
        <w:softHyphen/>
        <w:t>шить после сопоставления данных по результатам испытаний аналогичных самолетов». Дело заключалось в том, что на вооружение был принят и на</w:t>
      </w:r>
      <w:r w:rsidRPr="008127F8">
        <w:rPr>
          <w:rFonts w:ascii="Times New Roman" w:hAnsi="Times New Roman"/>
          <w:color w:val="000000" w:themeColor="text1"/>
          <w:sz w:val="16"/>
          <w:szCs w:val="16"/>
        </w:rPr>
        <w:softHyphen/>
        <w:t>ходился в производстве мотор М-82, а не М-71, поэтому Шахурину были нужны положительные результаты именно с первым, а не со вторым мо</w:t>
      </w:r>
      <w:r w:rsidRPr="008127F8">
        <w:rPr>
          <w:rFonts w:ascii="Times New Roman" w:hAnsi="Times New Roman"/>
          <w:color w:val="000000" w:themeColor="text1"/>
          <w:sz w:val="16"/>
          <w:szCs w:val="16"/>
        </w:rPr>
        <w:softHyphen/>
        <w:t>тором. Как вскоре выяснилось, нарком тя</w:t>
      </w:r>
      <w:r w:rsidRPr="008127F8">
        <w:rPr>
          <w:rFonts w:ascii="Times New Roman" w:hAnsi="Times New Roman"/>
          <w:color w:val="000000" w:themeColor="text1"/>
          <w:sz w:val="16"/>
          <w:szCs w:val="16"/>
        </w:rPr>
        <w:softHyphen/>
        <w:t>нул время не зря. В это время нача</w:t>
      </w:r>
      <w:r w:rsidRPr="008127F8">
        <w:rPr>
          <w:rFonts w:ascii="Times New Roman" w:hAnsi="Times New Roman"/>
          <w:color w:val="000000" w:themeColor="text1"/>
          <w:sz w:val="16"/>
          <w:szCs w:val="16"/>
        </w:rPr>
        <w:softHyphen/>
        <w:t>лись испытания очередного самолета с М-82, на этот раз конструкции С.А. Лавочкина (10686).</w:t>
      </w:r>
    </w:p>
    <w:p w14:paraId="3DC5D9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9161E" w14:textId="77777777" w:rsidR="00DC4871" w:rsidRPr="008127F8" w:rsidRDefault="00DC4871" w:rsidP="001E0A84">
      <w:pPr>
        <w:pStyle w:val="a4"/>
        <w:rPr>
          <w:color w:val="000000" w:themeColor="text1"/>
          <w:lang w:val="ru-RU"/>
        </w:rPr>
      </w:pPr>
      <w:r w:rsidRPr="008127F8">
        <w:rPr>
          <w:color w:val="000000" w:themeColor="text1"/>
          <w:lang w:val="ru-RU"/>
        </w:rPr>
        <w:t>С 10 февраля по 28 марта 1942 г. в Новосибирск силами командированной испытательной бригады НИИ ВВС провели совместные заводские и государственные испытания И-185 М-71. Со</w:t>
      </w:r>
      <w:r w:rsidRPr="008127F8">
        <w:rPr>
          <w:color w:val="000000" w:themeColor="text1"/>
          <w:lang w:val="ru-RU"/>
        </w:rPr>
        <w:softHyphen/>
        <w:t xml:space="preserve">вершили 16 полётов на И-185 с М-71 и 9 полётов на И-185 с М-82, причем лётные харистики снимали опять только на первом, а на втором испытывали синхронное пушечное вооружение. Максимальная скорость И-185 с М-71 составила: у земли — 521 км/ч номинале и 556 км/ч на форсаже (Н=500 м), на 1-й границе высотности 3400 м — км/ч, на 2-й границе высотности 6170 м — 630 км/ч. Время набора высоты 5000 м авило 5,2 мин. Эти данные оказались выше всех известных тогда отечественных и транных истребителей, но всё же заметно ниже расчётных, что указывало на недоведенность ВМГ. Трёхпушечное синхронное вооружение на И-185 с М-82 также испытано успешно, но лётные данные последнего по-прежнему были неизвестны. Комиссия по испытаниям рекомендовала построить войсковую серию И-185 с М-71 и трёхпушечным вооружением, но нарком Шахурин опять не согласился с таким предложением, считая, этот вопрос следует «решить после сопоставления данных по результатам испытаний аналогичных самолётов». Дело заключалось в том, что на вооружение приняли и запустили в производство мотор М-82, а не М-71, поэтому Шахурину были нужны положительные результаты именно с первым, а не со вторым мотором. </w:t>
      </w:r>
      <w:r w:rsidRPr="008127F8">
        <w:rPr>
          <w:rStyle w:val="914"/>
          <w:rFonts w:ascii="Times New Roman" w:hAnsi="Times New Roman" w:cs="Times New Roman"/>
          <w:b w:val="0"/>
          <w:color w:val="000000" w:themeColor="text1"/>
          <w:spacing w:val="0"/>
          <w:sz w:val="16"/>
          <w:szCs w:val="16"/>
          <w:lang w:val="ru-RU"/>
        </w:rPr>
        <w:t>Как</w:t>
      </w:r>
      <w:r w:rsidRPr="008127F8">
        <w:rPr>
          <w:color w:val="000000" w:themeColor="text1"/>
          <w:lang w:val="ru-RU"/>
        </w:rPr>
        <w:t xml:space="preserve"> вскоре выяснилось, нарком тянул время не зря. В это время начались испытания еще одного самолёта с М-82, на этот раз конструкции С.А. Лавочкина. Из всех конструкторов истребителей Лавочкин был, пожалуй, единственным, кто в 1941 г. не стал пробовать свои силы в установке М-82 на свой самолёт. Наряду с доводкой серийного ЛаГГ-3 он имел приказы на создание двух его модификаций с моторами М-105НТ (с натателем С.А. Трескина) и М-107, чем и занимался практически до конца года. Оба ора имели лучшую мощность и высотность, чем серийный М-105, и почти те же габариты и веса. Казалось, это наиболее простой способ повысить лётные характеристи- перетяжеленного ЛаГГа. Но оба мотора также оказались недоведенными и, несмотря потраченные усилия и имевшийся прогресс в доводке теплового режима ВМГ, в конце года стало ясно, что ожидать их скорого запуска в серию не приходится. Серийный же ЛаГГ-3, несмотря на проведенные в 1941 г. конструктивные изменения облегчения, уступал как основному истребителю противника </w:t>
      </w:r>
      <w:r w:rsidRPr="008127F8">
        <w:rPr>
          <w:color w:val="000000" w:themeColor="text1"/>
        </w:rPr>
        <w:t>Bf</w:t>
      </w:r>
      <w:r w:rsidRPr="008127F8">
        <w:rPr>
          <w:color w:val="000000" w:themeColor="text1"/>
          <w:lang w:val="ru-RU"/>
        </w:rPr>
        <w:t xml:space="preserve"> 109</w:t>
      </w:r>
      <w:r w:rsidRPr="008127F8">
        <w:rPr>
          <w:color w:val="000000" w:themeColor="text1"/>
        </w:rPr>
        <w:t>F</w:t>
      </w:r>
      <w:r w:rsidRPr="008127F8">
        <w:rPr>
          <w:color w:val="000000" w:themeColor="text1"/>
          <w:lang w:val="ru-RU"/>
        </w:rPr>
        <w:t>, так и отечественные Як-1 с тем же мотором М-105. А.С. Яковлев еще с августа 1941 г. начал посте- но вытеснять истребитель Лавочкина из серии — сначала на заводе № 153. После куации ОКБ Яковлева в Новосибирск, стало ясно, что выпуск ЛаГГа там обречен. Постановление ГКО о полном переходе завода № 153 с выпуска ЛаГГ-3 на производство -7 вышло 23 декабря 1941 г.</w:t>
      </w:r>
    </w:p>
    <w:p w14:paraId="45427263" w14:textId="77777777" w:rsidR="00DC4871" w:rsidRPr="008127F8" w:rsidRDefault="00DC4871" w:rsidP="001E0A84">
      <w:pPr>
        <w:pStyle w:val="a4"/>
        <w:rPr>
          <w:color w:val="000000" w:themeColor="text1"/>
          <w:lang w:val="ru-RU"/>
        </w:rPr>
      </w:pPr>
      <w:r w:rsidRPr="008127F8">
        <w:rPr>
          <w:color w:val="000000" w:themeColor="text1"/>
          <w:lang w:val="ru-RU"/>
        </w:rPr>
        <w:t>Одновременно Яковлев поставил вопрос и о прекращении выпуска ЛаГГа на заводе 21 в Горьком, но Шахурину удалось оттянуть принятие этого решения под предлогом о, что в такое тяжёлое время нельзя перестраивать производство сразу на двух за- одновременно. По свидетельству заместителя Лавочкина С.М. Алексеева первый наркома П.В. Дементьев в середине декабря вызвал конструктора в Москву и пре- редил его, что у него есть максимум 2-3 месяца, чтобы улучшить лётные характерн</w:t>
      </w:r>
      <w:r w:rsidRPr="008127F8">
        <w:rPr>
          <w:color w:val="000000" w:themeColor="text1"/>
          <w:lang w:val="ru-RU"/>
        </w:rPr>
        <w:softHyphen/>
        <w:t xml:space="preserve">ей ЛаГГа и спасти производство на 21-м заводе. Там же и в то же самое время ока- </w:t>
      </w:r>
      <w:r w:rsidRPr="008127F8">
        <w:rPr>
          <w:color w:val="000000" w:themeColor="text1"/>
          <w:vertAlign w:val="superscript"/>
          <w:lang w:val="ru-RU"/>
        </w:rPr>
        <w:t>_</w:t>
      </w:r>
      <w:r w:rsidRPr="008127F8">
        <w:rPr>
          <w:color w:val="000000" w:themeColor="text1"/>
          <w:lang w:val="ru-RU"/>
        </w:rPr>
        <w:t>ся конструктор А.Д. Швецов — похоже, целью Дементьева и было свести их «в одну ряжку». Швецов быстро прислал в Горький лётный мотор М-82 и своего помощника И. Валединского, чтобы тот оперативно помогал Лавочкину в работе. По свидетельству С.М. Алексеева, никаких чертежей Поликарпова у них не было. Его воспоминания о том, как создавался Ла-5, уже публиковались, и повторять их нет не</w:t>
      </w:r>
      <w:r w:rsidRPr="008127F8">
        <w:rPr>
          <w:color w:val="000000" w:themeColor="text1"/>
          <w:lang w:val="ru-RU"/>
        </w:rPr>
        <w:softHyphen/>
        <w:t xml:space="preserve">обходимости. Впрочем, есть несколько иная версия другого участника тех событий — Н.Н. Федорова, работавшего до войны в ОКБ Боровкова и Флорова на заводе № 207, </w:t>
      </w:r>
      <w:r w:rsidRPr="008127F8">
        <w:rPr>
          <w:rStyle w:val="914"/>
          <w:rFonts w:ascii="Times New Roman" w:hAnsi="Times New Roman" w:cs="Times New Roman"/>
          <w:b w:val="0"/>
          <w:color w:val="000000" w:themeColor="text1"/>
          <w:spacing w:val="0"/>
          <w:sz w:val="16"/>
          <w:szCs w:val="16"/>
          <w:lang w:val="ru-RU"/>
        </w:rPr>
        <w:t>а</w:t>
      </w:r>
      <w:r w:rsidRPr="008127F8">
        <w:rPr>
          <w:color w:val="000000" w:themeColor="text1"/>
          <w:lang w:val="ru-RU"/>
        </w:rPr>
        <w:t xml:space="preserve"> после войны — начальником бригады общих видов в ОКБ Лавочкина:</w:t>
      </w:r>
    </w:p>
    <w:p w14:paraId="212B129D" w14:textId="77777777" w:rsidR="00DC4871" w:rsidRPr="008127F8" w:rsidRDefault="00DC4871" w:rsidP="001E0A84">
      <w:pPr>
        <w:pStyle w:val="a4"/>
        <w:rPr>
          <w:color w:val="000000" w:themeColor="text1"/>
          <w:lang w:val="ru-RU"/>
        </w:rPr>
      </w:pPr>
      <w:r w:rsidRPr="008127F8">
        <w:rPr>
          <w:color w:val="000000" w:themeColor="text1"/>
          <w:lang w:val="ru-RU"/>
        </w:rPr>
        <w:t>«По распоряжению Наркомата в июле 1941 года нашу группу (21-го конструктора) отправили в г. Горький на завод 21 для усиления СКБ и ОКБ С.А. Лавочкина...</w:t>
      </w:r>
    </w:p>
    <w:p w14:paraId="0C75D1ED" w14:textId="77777777" w:rsidR="00DC4871" w:rsidRPr="008127F8" w:rsidRDefault="00DC4871" w:rsidP="001E0A84">
      <w:pPr>
        <w:pStyle w:val="a4"/>
        <w:rPr>
          <w:color w:val="000000" w:themeColor="text1"/>
          <w:lang w:val="ru-RU"/>
        </w:rPr>
      </w:pPr>
      <w:r w:rsidRPr="008127F8">
        <w:rPr>
          <w:color w:val="000000" w:themeColor="text1"/>
          <w:lang w:val="ru-RU"/>
        </w:rPr>
        <w:t>Улучшить характеристики истребителя ЛаГГ-3 хотели установкой нового мотора М-107. Мотор М-107 был опытный, ещё не доработанный. Во время войны запуск в се</w:t>
      </w:r>
      <w:r w:rsidRPr="008127F8">
        <w:rPr>
          <w:color w:val="000000" w:themeColor="text1"/>
          <w:lang w:val="ru-RU"/>
        </w:rPr>
        <w:softHyphen/>
        <w:t>рию и отработка нового опытного мотора — занятие просто несерьёзное. А немцы уже подходили к Москве. В ОКБ разработали несколько проектов установки мотора воздуш</w:t>
      </w:r>
      <w:r w:rsidRPr="008127F8">
        <w:rPr>
          <w:color w:val="000000" w:themeColor="text1"/>
          <w:lang w:val="ru-RU"/>
        </w:rPr>
        <w:softHyphen/>
        <w:t>ного охлаждения М-82 на ЛаГГ-3. Было принято наше предложение по установке М-82 на ЛаГГ-3, как единственно возможное, не требующее переделок по серийному плане</w:t>
      </w:r>
      <w:r w:rsidRPr="008127F8">
        <w:rPr>
          <w:color w:val="000000" w:themeColor="text1"/>
          <w:lang w:val="ru-RU"/>
        </w:rPr>
        <w:softHyphen/>
        <w:t>ру. Это предложение по замене М-105 на М-82 на ЛаГГ-3 было построено на основе но</w:t>
      </w:r>
      <w:r w:rsidRPr="008127F8">
        <w:rPr>
          <w:color w:val="000000" w:themeColor="text1"/>
          <w:lang w:val="ru-RU"/>
        </w:rPr>
        <w:softHyphen/>
        <w:t>вой схемы охлаждения двигателя М-82, разработанной и испытанной ранее на заводе 207... Охлаждающий воздух выходил над крылом в боковые выходы и давал возможность сильно сместить назад двигатель, что сохраняло серийный планер.</w:t>
      </w:r>
    </w:p>
    <w:p w14:paraId="1F03301D" w14:textId="77777777" w:rsidR="00DC4871" w:rsidRPr="008127F8" w:rsidRDefault="00DC4871" w:rsidP="001E0A84">
      <w:pPr>
        <w:pStyle w:val="a4"/>
        <w:rPr>
          <w:color w:val="000000" w:themeColor="text1"/>
          <w:lang w:val="ru-RU"/>
        </w:rPr>
      </w:pPr>
      <w:r w:rsidRPr="008127F8">
        <w:rPr>
          <w:color w:val="000000" w:themeColor="text1"/>
          <w:lang w:val="ru-RU"/>
        </w:rPr>
        <w:t>По рекомендации главного инженера завода Е.И. Миндрова вся работа по замене М-105 на М-82 на опытной машине была поручена нашей группе. Все предваритель</w:t>
      </w:r>
      <w:r w:rsidRPr="008127F8">
        <w:rPr>
          <w:color w:val="000000" w:themeColor="text1"/>
          <w:lang w:val="ru-RU"/>
        </w:rPr>
        <w:softHyphen/>
        <w:t>ные расчеты по управляемости истребителя, по балансировке, центровке и по систе</w:t>
      </w:r>
      <w:r w:rsidRPr="008127F8">
        <w:rPr>
          <w:color w:val="000000" w:themeColor="text1"/>
          <w:lang w:val="ru-RU"/>
        </w:rPr>
        <w:softHyphen/>
        <w:t>ме охлаждения нами уже были проделаны. В ОКБ было много противников данной схемы. Некоторые ожидали какой-то защиты, чтоб разнести наше предложение. Но С.А. Лавочкин принял смелое решение — перенести работу прямо в цех. По теоретическим обводам сразу стали делать болванки, размечать профиля, строгать переходы носа на планер. Всё делалось по эскизам. Чертежи часто изготовляли параллельно или даже задним числом. Условия работы были очень тяжелыми: холодно, голодно, электриче</w:t>
      </w:r>
      <w:r w:rsidRPr="008127F8">
        <w:rPr>
          <w:color w:val="000000" w:themeColor="text1"/>
          <w:lang w:val="ru-RU"/>
        </w:rPr>
        <w:softHyphen/>
        <w:t>ство часто выключали. Но наше поколение привыкло к трудностям, и никто не падал ду</w:t>
      </w:r>
      <w:r w:rsidRPr="008127F8">
        <w:rPr>
          <w:color w:val="000000" w:themeColor="text1"/>
          <w:lang w:val="ru-RU"/>
        </w:rPr>
        <w:softHyphen/>
        <w:t>хом. Работали много. Вся работа по опытной машине была выполнена очень быстро...»</w:t>
      </w:r>
    </w:p>
    <w:p w14:paraId="58599928" w14:textId="77777777" w:rsidR="00DC4871" w:rsidRPr="008127F8" w:rsidRDefault="00DC4871" w:rsidP="001E0A84">
      <w:pPr>
        <w:pStyle w:val="a4"/>
        <w:rPr>
          <w:color w:val="000000" w:themeColor="text1"/>
          <w:lang w:val="ru-RU"/>
        </w:rPr>
      </w:pPr>
      <w:r w:rsidRPr="008127F8">
        <w:rPr>
          <w:color w:val="000000" w:themeColor="text1"/>
          <w:lang w:val="ru-RU"/>
        </w:rPr>
        <w:t>Итак, капотировку мотора на ЛаГГ-3 выполнили с боковыми выходными створками. За капотом по бокам серийного фюзеляжа сделали накладные «ложные» борта для обес</w:t>
      </w:r>
      <w:r w:rsidRPr="008127F8">
        <w:rPr>
          <w:color w:val="000000" w:themeColor="text1"/>
          <w:lang w:val="ru-RU"/>
        </w:rPr>
        <w:softHyphen/>
        <w:t>печения плавности перехода. Трехсекционный всасывающий патрубок проходил внутри капота, выхлоп осуществлялся по бокам фюзеляжа двумя коллекторами, объединяющи</w:t>
      </w:r>
      <w:r w:rsidRPr="008127F8">
        <w:rPr>
          <w:color w:val="000000" w:themeColor="text1"/>
          <w:lang w:val="ru-RU"/>
        </w:rPr>
        <w:softHyphen/>
        <w:t>ми по 7 цилиндров каждый. Маслорадиатор установили под мотором. Благодаря нали</w:t>
      </w:r>
      <w:r w:rsidRPr="008127F8">
        <w:rPr>
          <w:color w:val="000000" w:themeColor="text1"/>
          <w:lang w:val="ru-RU"/>
        </w:rPr>
        <w:softHyphen/>
        <w:t>чию на заводе в Горьком опытных синхронизаторов от И-16, самолёт вооружили двумя синхронными пушками ШВАК, установленными на места пулемётов БС ЛаГГа, с исполь</w:t>
      </w:r>
      <w:r w:rsidRPr="008127F8">
        <w:rPr>
          <w:color w:val="000000" w:themeColor="text1"/>
          <w:lang w:val="ru-RU"/>
        </w:rPr>
        <w:softHyphen/>
        <w:t>зованием их же патронных коробок. Винт установили диаметром 3,1 м.</w:t>
      </w:r>
    </w:p>
    <w:p w14:paraId="00557E75" w14:textId="77777777" w:rsidR="00DC4871" w:rsidRPr="008127F8" w:rsidRDefault="00DC4871" w:rsidP="001E0A84">
      <w:pPr>
        <w:pStyle w:val="a4"/>
        <w:rPr>
          <w:color w:val="000000" w:themeColor="text1"/>
          <w:lang w:val="ru-RU"/>
        </w:rPr>
      </w:pPr>
      <w:r w:rsidRPr="008127F8">
        <w:rPr>
          <w:color w:val="000000" w:themeColor="text1"/>
          <w:lang w:val="ru-RU"/>
        </w:rPr>
        <w:t>При выполнении переделок ОКБ Лавочкина было озабочено, главным образом, тем, чтобы сохранить максимальное число деталей с серийного ЛаГГ-3 (15788).</w:t>
      </w:r>
    </w:p>
    <w:p w14:paraId="6AE109B2" w14:textId="77777777" w:rsidR="00DC4871" w:rsidRPr="008127F8" w:rsidRDefault="00DC4871" w:rsidP="001E0A84">
      <w:pPr>
        <w:pStyle w:val="a4"/>
        <w:rPr>
          <w:color w:val="000000" w:themeColor="text1"/>
          <w:lang w:val="ru-RU"/>
        </w:rPr>
      </w:pPr>
    </w:p>
    <w:p w14:paraId="563DDE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февраля по 28 марта 1942 состоялись совместные заводские и государственные испытания И-185 с М-71 и М-82А. Рекомендован на вооружение с 71-м (130,35) и испытания шли до 28 марта 1942 (2495,24).</w:t>
      </w:r>
    </w:p>
    <w:p w14:paraId="1E8F13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Летали от НИИ ВВС А.И.Никашин, Л.Г.Кубышкин, Л.М.Кувшинов, а ви был И.Г.Лазарев (1204,133).</w:t>
      </w:r>
    </w:p>
    <w:p w14:paraId="71DE696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первый полет И-185 М-71 был только 10 марта (664,255).</w:t>
      </w:r>
    </w:p>
    <w:p w14:paraId="7C7F65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C116C"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февраля 1942 г. начальник Управления опытного строительства ГУ ВВС утвердил программу испытаний ЛаГГ-3 № 3132197 с 37 мм пушкой 11П, которая была рас</w:t>
      </w:r>
      <w:r w:rsidRPr="008A2E5A">
        <w:rPr>
          <w:rFonts w:ascii="Times New Roman" w:hAnsi="Times New Roman"/>
          <w:color w:val="0070C0"/>
          <w:sz w:val="16"/>
          <w:szCs w:val="16"/>
        </w:rPr>
        <w:softHyphen/>
        <w:t>считана на 972 выстрела, включая отладоч</w:t>
      </w:r>
      <w:r w:rsidRPr="008A2E5A">
        <w:rPr>
          <w:rFonts w:ascii="Times New Roman" w:hAnsi="Times New Roman"/>
          <w:color w:val="0070C0"/>
          <w:sz w:val="16"/>
          <w:szCs w:val="16"/>
        </w:rPr>
        <w:softHyphen/>
        <w:t>ные стрельбы. Перед началом полигонных испытаний общий настрел пушки № 1 соста</w:t>
      </w:r>
      <w:r w:rsidRPr="008A2E5A">
        <w:rPr>
          <w:rFonts w:ascii="Times New Roman" w:hAnsi="Times New Roman"/>
          <w:color w:val="0070C0"/>
          <w:sz w:val="16"/>
          <w:szCs w:val="16"/>
        </w:rPr>
        <w:softHyphen/>
        <w:t>вил 1321 выстрел, в том числе на земле - 771 и в воздухе – 550 (23380).</w:t>
      </w:r>
    </w:p>
    <w:p w14:paraId="00252D29" w14:textId="77777777" w:rsidR="00E43DE7" w:rsidRPr="008A2E5A" w:rsidRDefault="00E43DE7" w:rsidP="00E43DE7">
      <w:pPr>
        <w:spacing w:after="0" w:line="240" w:lineRule="auto"/>
        <w:jc w:val="both"/>
        <w:rPr>
          <w:rFonts w:ascii="Times New Roman" w:hAnsi="Times New Roman"/>
          <w:color w:val="0070C0"/>
          <w:sz w:val="16"/>
          <w:szCs w:val="16"/>
        </w:rPr>
      </w:pPr>
    </w:p>
    <w:p w14:paraId="3E6680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февраля по 11 марта 1942 в Новосибирске также испытывали БДП-2 Н.Н.П. и летал И.И.Шелест. В заключении отмечалось, что планер мог быть запущен в серию при условии доработок. пытались организовать производство в Сталинграде, где работал Курбала над КГ, но из-за эвакуации работы прервались (94,59).</w:t>
      </w:r>
    </w:p>
    <w:p w14:paraId="7D6DB7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219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февраля по 11 марта 1942 г. в Новосибирске (куда удалось вывезти и поврежденный около Каширы первый эк</w:t>
      </w:r>
      <w:r w:rsidRPr="008127F8">
        <w:rPr>
          <w:rFonts w:ascii="Times New Roman" w:hAnsi="Times New Roman"/>
          <w:color w:val="000000" w:themeColor="text1"/>
          <w:sz w:val="16"/>
          <w:szCs w:val="16"/>
        </w:rPr>
        <w:softHyphen/>
        <w:t>земпляр, и недостроенный второй) восстановленный первый БДП (С) проходил совместные испы</w:t>
      </w:r>
      <w:r w:rsidRPr="008127F8">
        <w:rPr>
          <w:rFonts w:ascii="Times New Roman" w:hAnsi="Times New Roman"/>
          <w:color w:val="000000" w:themeColor="text1"/>
          <w:sz w:val="16"/>
          <w:szCs w:val="16"/>
        </w:rPr>
        <w:softHyphen/>
        <w:t>тания (летчик И.И.Шелест). Отмечалось, что планер «...в технике пилоти</w:t>
      </w:r>
      <w:r w:rsidRPr="008127F8">
        <w:rPr>
          <w:rFonts w:ascii="Times New Roman" w:hAnsi="Times New Roman"/>
          <w:color w:val="000000" w:themeColor="text1"/>
          <w:sz w:val="16"/>
          <w:szCs w:val="16"/>
        </w:rPr>
        <w:softHyphen/>
        <w:t>рования очень прост и приятен, не требует от летчика высокой квалификации. Доступен летчику, прошедше</w:t>
      </w:r>
      <w:r w:rsidRPr="008127F8">
        <w:rPr>
          <w:rFonts w:ascii="Times New Roman" w:hAnsi="Times New Roman"/>
          <w:color w:val="000000" w:themeColor="text1"/>
          <w:sz w:val="16"/>
          <w:szCs w:val="16"/>
        </w:rPr>
        <w:softHyphen/>
        <w:t>му тренировку на учебных планерах». Выявленные недостатки (тряска хвостового оперения при выпуске щитков и др.) удалось устранить с минимальными пере</w:t>
      </w:r>
      <w:r w:rsidRPr="008127F8">
        <w:rPr>
          <w:rFonts w:ascii="Times New Roman" w:hAnsi="Times New Roman"/>
          <w:color w:val="000000" w:themeColor="text1"/>
          <w:sz w:val="16"/>
          <w:szCs w:val="16"/>
        </w:rPr>
        <w:softHyphen/>
        <w:t>делками конструкции. Испытания прошли успешно, и в мае 1942 г. чертежи планера передали на завод № 490 в Сталинграде для се</w:t>
      </w:r>
      <w:r w:rsidRPr="008127F8">
        <w:rPr>
          <w:rFonts w:ascii="Times New Roman" w:hAnsi="Times New Roman"/>
          <w:color w:val="000000" w:themeColor="text1"/>
          <w:sz w:val="16"/>
          <w:szCs w:val="16"/>
        </w:rPr>
        <w:softHyphen/>
        <w:t>рийного производства. Одновременно туда направили бригаду конструкторов и рабочих во главе с М.О.Фасолькиным. Наркомат назначил В.С.Вахмистрова главным конструктором завода. В связи с приближением линии фронта к городу бомбежки Сталинграда с возду</w:t>
      </w:r>
      <w:r w:rsidRPr="008127F8">
        <w:rPr>
          <w:rFonts w:ascii="Times New Roman" w:hAnsi="Times New Roman"/>
          <w:color w:val="000000" w:themeColor="text1"/>
          <w:sz w:val="16"/>
          <w:szCs w:val="16"/>
        </w:rPr>
        <w:softHyphen/>
        <w:t>ха усилились, и во время одной из них завод был прак</w:t>
      </w:r>
      <w:r w:rsidRPr="008127F8">
        <w:rPr>
          <w:rFonts w:ascii="Times New Roman" w:hAnsi="Times New Roman"/>
          <w:color w:val="000000" w:themeColor="text1"/>
          <w:sz w:val="16"/>
          <w:szCs w:val="16"/>
        </w:rPr>
        <w:softHyphen/>
        <w:t>тически уничтожен. Второй экземпляр отличался от прототипа немного удлиненной носовой частью и формой остекления ка</w:t>
      </w:r>
      <w:r w:rsidRPr="008127F8">
        <w:rPr>
          <w:rFonts w:ascii="Times New Roman" w:hAnsi="Times New Roman"/>
          <w:color w:val="000000" w:themeColor="text1"/>
          <w:sz w:val="16"/>
          <w:szCs w:val="16"/>
        </w:rPr>
        <w:softHyphen/>
        <w:t>бины, удлиненными посадочными полозьями, более широкими дверями. Он обозначался как БДП-2. У первого экземпляра также переделали носовую часть по типу БДП-2. 30 апреля 1942 г. его передали ВВС для летных испытаний, во время которых он разбился по независящим от конструкции причинам. В июле-ав</w:t>
      </w:r>
      <w:r w:rsidRPr="008127F8">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8127F8">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8127F8">
        <w:rPr>
          <w:rFonts w:ascii="Times New Roman" w:hAnsi="Times New Roman"/>
          <w:color w:val="000000" w:themeColor="text1"/>
          <w:sz w:val="16"/>
          <w:szCs w:val="16"/>
        </w:rPr>
        <w:softHyphen/>
        <w:t>раниченные мощности не позволили развернуть широ</w:t>
      </w:r>
      <w:r w:rsidRPr="008127F8">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1E13D88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5DEBF"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10 февраля по 11 марта (по другим данным, с 06.02 по 14.03) 1942 г. проводились детные испытания БДП-2 под Новосибир</w:t>
      </w:r>
      <w:r w:rsidRPr="008127F8">
        <w:rPr>
          <w:rFonts w:ascii="Times New Roman" w:hAnsi="Times New Roman"/>
          <w:color w:val="000000" w:themeColor="text1"/>
          <w:sz w:val="16"/>
          <w:szCs w:val="16"/>
        </w:rPr>
        <w:softHyphen/>
        <w:t>ском. Летал испытатель И.И. Шелест. Опять были отмечены хорошие устойчи</w:t>
      </w:r>
      <w:r w:rsidRPr="008127F8">
        <w:rPr>
          <w:rFonts w:ascii="Times New Roman" w:hAnsi="Times New Roman"/>
          <w:color w:val="000000" w:themeColor="text1"/>
          <w:sz w:val="16"/>
          <w:szCs w:val="16"/>
        </w:rPr>
        <w:softHyphen/>
        <w:t>вость и управляемость планера, значительная полез</w:t>
      </w:r>
      <w:r w:rsidRPr="008127F8">
        <w:rPr>
          <w:rFonts w:ascii="Times New Roman" w:hAnsi="Times New Roman"/>
          <w:color w:val="000000" w:themeColor="text1"/>
          <w:sz w:val="16"/>
          <w:szCs w:val="16"/>
        </w:rPr>
        <w:softHyphen/>
        <w:t>ная нагрузка и широкий диапазон эксплуатационных центровок — 27—41%. Параллельно искали площади для серийного выпуска планера.</w:t>
      </w:r>
    </w:p>
    <w:p w14:paraId="311F3854"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доработанный, планер БДП-2 построили в Новосибирске, куда эвакуировались КБ Поликарпо</w:t>
      </w:r>
      <w:r w:rsidRPr="008127F8">
        <w:rPr>
          <w:rFonts w:ascii="Times New Roman" w:hAnsi="Times New Roman"/>
          <w:color w:val="000000" w:themeColor="text1"/>
          <w:sz w:val="16"/>
          <w:szCs w:val="16"/>
        </w:rPr>
        <w:softHyphen/>
        <w:t>ва и опытный завод № 51. В новом планере сделали классический граненый фонарь, что улучшило об</w:t>
      </w:r>
      <w:r w:rsidRPr="008127F8">
        <w:rPr>
          <w:rFonts w:ascii="Times New Roman" w:hAnsi="Times New Roman"/>
          <w:color w:val="000000" w:themeColor="text1"/>
          <w:sz w:val="16"/>
          <w:szCs w:val="16"/>
        </w:rPr>
        <w:softHyphen/>
        <w:t>зор, вместо четырех дверей сделали два люка уве</w:t>
      </w:r>
      <w:r w:rsidRPr="008127F8">
        <w:rPr>
          <w:rFonts w:ascii="Times New Roman" w:hAnsi="Times New Roman"/>
          <w:color w:val="000000" w:themeColor="text1"/>
          <w:sz w:val="16"/>
          <w:szCs w:val="16"/>
        </w:rPr>
        <w:softHyphen/>
        <w:t xml:space="preserve">личенного размера (спереди — по правому борту — 0,86 х 0,95 м, </w:t>
      </w:r>
      <w:r w:rsidRPr="008127F8">
        <w:rPr>
          <w:rFonts w:ascii="Times New Roman" w:hAnsi="Times New Roman"/>
          <w:color w:val="000000" w:themeColor="text1"/>
          <w:sz w:val="16"/>
          <w:szCs w:val="16"/>
        </w:rPr>
        <w:lastRenderedPageBreak/>
        <w:t>сзади — по левому борту— 0,85 х 0,9 м). Из одной взлетной тележки сделали две, с теми же колесами. Вес тележки стал меньше, следовательно, они стали меньше повреждаться при сбросе. В хво</w:t>
      </w:r>
      <w:r w:rsidRPr="008127F8">
        <w:rPr>
          <w:rFonts w:ascii="Times New Roman" w:hAnsi="Times New Roman"/>
          <w:color w:val="000000" w:themeColor="text1"/>
          <w:sz w:val="16"/>
          <w:szCs w:val="16"/>
        </w:rPr>
        <w:softHyphen/>
        <w:t>стовой части грузовой кабины прорезали дополни</w:t>
      </w:r>
      <w:r w:rsidRPr="008127F8">
        <w:rPr>
          <w:rFonts w:ascii="Times New Roman" w:hAnsi="Times New Roman"/>
          <w:color w:val="000000" w:themeColor="text1"/>
          <w:sz w:val="16"/>
          <w:szCs w:val="16"/>
        </w:rPr>
        <w:softHyphen/>
        <w:t>тельный люк для парашютного сброса мелких грузов. Планер сохранил семь точек для установки пулеметов и съемную броневую защиту.</w:t>
      </w:r>
    </w:p>
    <w:p w14:paraId="15C0BA92"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испытаниях выявились серьезные недостат</w:t>
      </w:r>
      <w:r w:rsidRPr="008127F8">
        <w:rPr>
          <w:rFonts w:ascii="Times New Roman" w:hAnsi="Times New Roman"/>
          <w:color w:val="000000" w:themeColor="text1"/>
          <w:sz w:val="16"/>
          <w:szCs w:val="16"/>
        </w:rPr>
        <w:softHyphen/>
        <w:t>ки. Для массового выпуска планер был дороговат. Пустой планер, с одним пилотом, имел недопустимо заднюю центровку, что требовало применения балан</w:t>
      </w:r>
      <w:r w:rsidRPr="008127F8">
        <w:rPr>
          <w:rFonts w:ascii="Times New Roman" w:hAnsi="Times New Roman"/>
          <w:color w:val="000000" w:themeColor="text1"/>
          <w:sz w:val="16"/>
          <w:szCs w:val="16"/>
        </w:rPr>
        <w:softHyphen/>
        <w:t>сировочного груза. При выпуске щитков наблюдался бафтинг хвостового оперения. Для его устранения перебрали три варианта отверстий в щитках, пока колебания не удалось снизить до приемлемых значе</w:t>
      </w:r>
      <w:r w:rsidRPr="008127F8">
        <w:rPr>
          <w:rFonts w:ascii="Times New Roman" w:hAnsi="Times New Roman"/>
          <w:color w:val="000000" w:themeColor="text1"/>
          <w:sz w:val="16"/>
          <w:szCs w:val="16"/>
        </w:rPr>
        <w:softHyphen/>
        <w:t>ний. Велика была нагрузка на штурвале от руля высо</w:t>
      </w:r>
      <w:r w:rsidRPr="008127F8">
        <w:rPr>
          <w:rFonts w:ascii="Times New Roman" w:hAnsi="Times New Roman"/>
          <w:color w:val="000000" w:themeColor="text1"/>
          <w:sz w:val="16"/>
          <w:szCs w:val="16"/>
        </w:rPr>
        <w:softHyphen/>
        <w:t>ты. Отмечались теснота грузовой кабины и недоста</w:t>
      </w:r>
      <w:r w:rsidRPr="008127F8">
        <w:rPr>
          <w:rFonts w:ascii="Times New Roman" w:hAnsi="Times New Roman"/>
          <w:color w:val="000000" w:themeColor="text1"/>
          <w:sz w:val="16"/>
          <w:szCs w:val="16"/>
        </w:rPr>
        <w:softHyphen/>
        <w:t>точный размер входных люков. После устранения не</w:t>
      </w:r>
      <w:r w:rsidRPr="008127F8">
        <w:rPr>
          <w:rFonts w:ascii="Times New Roman" w:hAnsi="Times New Roman"/>
          <w:color w:val="000000" w:themeColor="text1"/>
          <w:sz w:val="16"/>
          <w:szCs w:val="16"/>
        </w:rPr>
        <w:softHyphen/>
        <w:t>достатков планер БДП-2 рекомендовали к серийному производству.</w:t>
      </w:r>
    </w:p>
    <w:p w14:paraId="1DC23487" w14:textId="77777777" w:rsidR="00A867FD" w:rsidRPr="008127F8" w:rsidRDefault="00A867F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рассмотрения ряда предприятий и ма</w:t>
      </w:r>
      <w:r w:rsidRPr="008127F8">
        <w:rPr>
          <w:rFonts w:ascii="Times New Roman" w:hAnsi="Times New Roman"/>
          <w:color w:val="000000" w:themeColor="text1"/>
          <w:sz w:val="16"/>
          <w:szCs w:val="16"/>
        </w:rPr>
        <w:softHyphen/>
        <w:t>стерских для выпуска БДП-2 выбрали завод № 490 в Сталинграде. Там в это время строился планер КГ конструктора Курбалы, но успехи были невелики. Два конструктора на одном заводе — ситуация для того времени не совсем нормальная (12300).</w:t>
      </w:r>
    </w:p>
    <w:p w14:paraId="3E65EF71" w14:textId="77777777" w:rsidR="00A867FD" w:rsidRPr="008127F8" w:rsidRDefault="00A867FD" w:rsidP="001E0A84">
      <w:pPr>
        <w:spacing w:after="0" w:line="240" w:lineRule="auto"/>
        <w:jc w:val="both"/>
        <w:rPr>
          <w:rFonts w:ascii="Times New Roman" w:hAnsi="Times New Roman"/>
          <w:color w:val="000000" w:themeColor="text1"/>
          <w:sz w:val="16"/>
          <w:szCs w:val="16"/>
        </w:rPr>
      </w:pPr>
    </w:p>
    <w:p w14:paraId="2F71563D"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10 февраля по 11 марта (по другим данным с 06.02 по 14.03) 1942 г. под Новоси</w:t>
      </w:r>
      <w:r w:rsidRPr="008A2E5A">
        <w:rPr>
          <w:rFonts w:ascii="Times New Roman" w:hAnsi="Times New Roman"/>
          <w:color w:val="0070C0"/>
          <w:sz w:val="16"/>
          <w:szCs w:val="16"/>
        </w:rPr>
        <w:softHyphen/>
        <w:t xml:space="preserve">бирском проходили летные испытания второго БДП Н.Н.П. </w:t>
      </w:r>
    </w:p>
    <w:p w14:paraId="2A0641C5"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доработанный планер БДП-2 построили в Новосибирске, куда эвакуировалось КБ Поликарпова и опытный завод № 51. В новом планере сделали: Классический гранёный фонарь, что улучшило обзор, вместо четырёх дверей сделали два люка увели</w:t>
      </w:r>
      <w:r w:rsidRPr="008A2E5A">
        <w:rPr>
          <w:rFonts w:ascii="Times New Roman" w:hAnsi="Times New Roman"/>
          <w:color w:val="0070C0"/>
          <w:sz w:val="16"/>
          <w:szCs w:val="16"/>
        </w:rPr>
        <w:softHyphen/>
        <w:t>ченного размера (спереди - по правому борту - 0,8б х 0,95 м, сзади - по левому борту - 0,85 х 0,9 м). Из одной взлётной тележки сделали две, с теми же колёсами. В низу носовой части сделан иллюминатор для обзора земли пилотом. Грузовая дверь в левом борту открывалась вверх. Размеры посадочных лыж увеличились. Места их сочленения с фюзеляжем закрыты полотняным обтекателем. На правом крыле видна трубка ПВД. Вес тележек стал меньше, следовательно, они стали меньше повреждаться при сбросе. В хвостовой части грузовой кабины прорезали дополнительный люк для парашютного сброса мелких грузов. Планер сохранил семь точек для установки пулемётов и съёмную броневую защиту.</w:t>
      </w:r>
    </w:p>
    <w:p w14:paraId="4D15F3B7"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Летал испытатель И.И. Шелест. Опять были отмечены хорошие устойчи</w:t>
      </w:r>
      <w:r w:rsidRPr="008A2E5A">
        <w:rPr>
          <w:rFonts w:ascii="Times New Roman" w:hAnsi="Times New Roman"/>
          <w:color w:val="0070C0"/>
          <w:sz w:val="16"/>
          <w:szCs w:val="16"/>
        </w:rPr>
        <w:softHyphen/>
        <w:t>вость и управляемость планера, значительная полезная нагрузка и широкий диапазон эксплуатационных центровок - 27%...41%. Параллельно искали произ</w:t>
      </w:r>
      <w:r w:rsidRPr="008A2E5A">
        <w:rPr>
          <w:rFonts w:ascii="Times New Roman" w:hAnsi="Times New Roman"/>
          <w:color w:val="0070C0"/>
          <w:sz w:val="16"/>
          <w:szCs w:val="16"/>
        </w:rPr>
        <w:softHyphen/>
        <w:t>водственные площади для серийного выпуска планера.</w:t>
      </w:r>
    </w:p>
    <w:p w14:paraId="5E338274" w14:textId="77777777" w:rsidR="00E43DE7" w:rsidRPr="008A2E5A" w:rsidRDefault="00E43DE7" w:rsidP="00E43DE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испытаниях выявились серьёзные недостатки</w:t>
      </w:r>
      <w:proofErr w:type="gramStart"/>
      <w:r w:rsidRPr="008A2E5A">
        <w:rPr>
          <w:rFonts w:ascii="Times New Roman" w:hAnsi="Times New Roman"/>
          <w:color w:val="0070C0"/>
          <w:sz w:val="16"/>
          <w:szCs w:val="16"/>
        </w:rPr>
        <w:t>: Для</w:t>
      </w:r>
      <w:proofErr w:type="gramEnd"/>
      <w:r w:rsidRPr="008A2E5A">
        <w:rPr>
          <w:rFonts w:ascii="Times New Roman" w:hAnsi="Times New Roman"/>
          <w:color w:val="0070C0"/>
          <w:sz w:val="16"/>
          <w:szCs w:val="16"/>
        </w:rPr>
        <w:t xml:space="preserve"> массового выпуска планер был дороговат. Пустой планер, с одним пилотом, имел недопустимо заднюю центровку, что требовало применения балан</w:t>
      </w:r>
      <w:r w:rsidRPr="008A2E5A">
        <w:rPr>
          <w:rFonts w:ascii="Times New Roman" w:hAnsi="Times New Roman"/>
          <w:color w:val="0070C0"/>
          <w:sz w:val="16"/>
          <w:szCs w:val="16"/>
        </w:rPr>
        <w:softHyphen/>
        <w:t>сировочного груза. При выпуске щитков наблю</w:t>
      </w:r>
      <w:r w:rsidRPr="008A2E5A">
        <w:rPr>
          <w:rFonts w:ascii="Times New Roman" w:hAnsi="Times New Roman"/>
          <w:color w:val="0070C0"/>
          <w:sz w:val="16"/>
          <w:szCs w:val="16"/>
        </w:rPr>
        <w:softHyphen/>
        <w:t>дался бафтинг хвостового оперения. Для его устра</w:t>
      </w:r>
      <w:r w:rsidRPr="008A2E5A">
        <w:rPr>
          <w:rFonts w:ascii="Times New Roman" w:hAnsi="Times New Roman"/>
          <w:color w:val="0070C0"/>
          <w:sz w:val="16"/>
          <w:szCs w:val="16"/>
        </w:rPr>
        <w:softHyphen/>
        <w:t>нения перебрали три варианта отверстий в щитках, пока колебания не удалось снизить до приемлемых значений. Велика была нагрузка на штурвале от руля высоты. Отмечалась теснота грузовой кабины и недостаточный размер входных люков. После устра</w:t>
      </w:r>
      <w:r w:rsidRPr="008A2E5A">
        <w:rPr>
          <w:rFonts w:ascii="Times New Roman" w:hAnsi="Times New Roman"/>
          <w:color w:val="0070C0"/>
          <w:sz w:val="16"/>
          <w:szCs w:val="16"/>
        </w:rPr>
        <w:softHyphen/>
        <w:t>нения недостатков планер БДП-2 рекомендовали к серийному производству (23909).</w:t>
      </w:r>
    </w:p>
    <w:p w14:paraId="79208736" w14:textId="77777777" w:rsidR="00E43DE7" w:rsidRPr="008A2E5A" w:rsidRDefault="00E43DE7" w:rsidP="00E43DE7">
      <w:pPr>
        <w:spacing w:after="0" w:line="240" w:lineRule="auto"/>
        <w:jc w:val="both"/>
        <w:rPr>
          <w:rFonts w:ascii="Times New Roman" w:hAnsi="Times New Roman"/>
          <w:color w:val="0070C0"/>
          <w:sz w:val="16"/>
          <w:szCs w:val="16"/>
        </w:rPr>
      </w:pPr>
    </w:p>
    <w:p w14:paraId="679F98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Зам. НКАП Завитаев писал письмо № Н-37/425 Дир. Завода № 135 Марочкину:</w:t>
      </w:r>
    </w:p>
    <w:p w14:paraId="7099B21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Примите к исполнению поставки винтов в резерв ВВС КА на 1942 г.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8"/>
        <w:gridCol w:w="810"/>
        <w:gridCol w:w="2030"/>
        <w:gridCol w:w="2030"/>
        <w:gridCol w:w="2030"/>
        <w:gridCol w:w="2030"/>
      </w:tblGrid>
      <w:tr w:rsidR="006F4095" w:rsidRPr="008127F8" w14:paraId="27FCDA1E" w14:textId="77777777">
        <w:tc>
          <w:tcPr>
            <w:tcW w:w="648" w:type="dxa"/>
            <w:tcBorders>
              <w:top w:val="single" w:sz="12" w:space="0" w:color="auto"/>
            </w:tcBorders>
          </w:tcPr>
          <w:p w14:paraId="53522E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2840" w:type="dxa"/>
            <w:gridSpan w:val="2"/>
            <w:tcBorders>
              <w:top w:val="single" w:sz="12" w:space="0" w:color="auto"/>
            </w:tcBorders>
          </w:tcPr>
          <w:p w14:paraId="12CD6C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w:t>
            </w:r>
          </w:p>
        </w:tc>
        <w:tc>
          <w:tcPr>
            <w:tcW w:w="2030" w:type="dxa"/>
            <w:tcBorders>
              <w:top w:val="single" w:sz="12" w:space="0" w:color="auto"/>
            </w:tcBorders>
          </w:tcPr>
          <w:p w14:paraId="6DD627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Единиц изм.</w:t>
            </w:r>
          </w:p>
        </w:tc>
        <w:tc>
          <w:tcPr>
            <w:tcW w:w="4060" w:type="dxa"/>
            <w:gridSpan w:val="2"/>
            <w:tcBorders>
              <w:top w:val="single" w:sz="12" w:space="0" w:color="auto"/>
            </w:tcBorders>
          </w:tcPr>
          <w:p w14:paraId="4BC036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Подлежит поставке</w:t>
            </w:r>
          </w:p>
        </w:tc>
      </w:tr>
      <w:tr w:rsidR="006F4095" w:rsidRPr="008127F8" w14:paraId="226DAAC9" w14:textId="77777777">
        <w:tc>
          <w:tcPr>
            <w:tcW w:w="648" w:type="dxa"/>
          </w:tcPr>
          <w:p w14:paraId="2A486E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7C956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214E7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36F91D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0DE422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w:t>
            </w:r>
          </w:p>
        </w:tc>
        <w:tc>
          <w:tcPr>
            <w:tcW w:w="2030" w:type="dxa"/>
          </w:tcPr>
          <w:p w14:paraId="041130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т.ч. в 1 кв.</w:t>
            </w:r>
          </w:p>
        </w:tc>
      </w:tr>
      <w:tr w:rsidR="006F4095" w:rsidRPr="008127F8" w14:paraId="66360AE2" w14:textId="77777777">
        <w:tc>
          <w:tcPr>
            <w:tcW w:w="648" w:type="dxa"/>
          </w:tcPr>
          <w:p w14:paraId="643D93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10" w:type="dxa"/>
          </w:tcPr>
          <w:p w14:paraId="2959DF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w:t>
            </w:r>
          </w:p>
        </w:tc>
        <w:tc>
          <w:tcPr>
            <w:tcW w:w="2030" w:type="dxa"/>
          </w:tcPr>
          <w:p w14:paraId="77D0C4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ВИШ-22</w:t>
            </w:r>
          </w:p>
        </w:tc>
        <w:tc>
          <w:tcPr>
            <w:tcW w:w="2030" w:type="dxa"/>
          </w:tcPr>
          <w:p w14:paraId="1F1638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w:t>
            </w:r>
          </w:p>
        </w:tc>
        <w:tc>
          <w:tcPr>
            <w:tcW w:w="2030" w:type="dxa"/>
          </w:tcPr>
          <w:p w14:paraId="327139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2030" w:type="dxa"/>
          </w:tcPr>
          <w:p w14:paraId="3CC4D5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6F4095" w:rsidRPr="008127F8" w14:paraId="53198601" w14:textId="77777777">
        <w:tc>
          <w:tcPr>
            <w:tcW w:w="648" w:type="dxa"/>
          </w:tcPr>
          <w:p w14:paraId="424C6C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10" w:type="dxa"/>
          </w:tcPr>
          <w:p w14:paraId="08D805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6246C7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ВИШ-22Е</w:t>
            </w:r>
          </w:p>
        </w:tc>
        <w:tc>
          <w:tcPr>
            <w:tcW w:w="2030" w:type="dxa"/>
          </w:tcPr>
          <w:p w14:paraId="5069C6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04E473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2030" w:type="dxa"/>
          </w:tcPr>
          <w:p w14:paraId="4B2B31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6F4095" w:rsidRPr="008127F8" w14:paraId="343B2F10" w14:textId="77777777">
        <w:tc>
          <w:tcPr>
            <w:tcW w:w="648" w:type="dxa"/>
          </w:tcPr>
          <w:p w14:paraId="1536B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810" w:type="dxa"/>
          </w:tcPr>
          <w:p w14:paraId="6F3002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FD3D5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ВИШ-22Т</w:t>
            </w:r>
          </w:p>
        </w:tc>
        <w:tc>
          <w:tcPr>
            <w:tcW w:w="2030" w:type="dxa"/>
          </w:tcPr>
          <w:p w14:paraId="1CC2BC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75BC53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2030" w:type="dxa"/>
          </w:tcPr>
          <w:p w14:paraId="54DCC3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6F4095" w:rsidRPr="008127F8" w14:paraId="40B13462" w14:textId="77777777">
        <w:tc>
          <w:tcPr>
            <w:tcW w:w="648" w:type="dxa"/>
          </w:tcPr>
          <w:p w14:paraId="5D8957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810" w:type="dxa"/>
          </w:tcPr>
          <w:p w14:paraId="78E3FA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D0BF8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ВИШ-23</w:t>
            </w:r>
          </w:p>
        </w:tc>
        <w:tc>
          <w:tcPr>
            <w:tcW w:w="2030" w:type="dxa"/>
          </w:tcPr>
          <w:p w14:paraId="2F426D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226B0B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2030" w:type="dxa"/>
          </w:tcPr>
          <w:p w14:paraId="7F9CE2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6F4095" w:rsidRPr="008127F8" w14:paraId="4C7ABF3A" w14:textId="77777777">
        <w:tc>
          <w:tcPr>
            <w:tcW w:w="648" w:type="dxa"/>
          </w:tcPr>
          <w:p w14:paraId="693361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10" w:type="dxa"/>
          </w:tcPr>
          <w:p w14:paraId="7322EE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E3511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АВ-5Л-123</w:t>
            </w:r>
          </w:p>
        </w:tc>
        <w:tc>
          <w:tcPr>
            <w:tcW w:w="2030" w:type="dxa"/>
          </w:tcPr>
          <w:p w14:paraId="74EE45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73F206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2030" w:type="dxa"/>
          </w:tcPr>
          <w:p w14:paraId="26E8CF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r>
      <w:tr w:rsidR="006F4095" w:rsidRPr="008127F8" w14:paraId="1A2CE5C4" w14:textId="77777777">
        <w:tc>
          <w:tcPr>
            <w:tcW w:w="648" w:type="dxa"/>
          </w:tcPr>
          <w:p w14:paraId="1C06F6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810" w:type="dxa"/>
          </w:tcPr>
          <w:p w14:paraId="522C66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0C62EF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АВ-5Л-139</w:t>
            </w:r>
          </w:p>
        </w:tc>
        <w:tc>
          <w:tcPr>
            <w:tcW w:w="2030" w:type="dxa"/>
          </w:tcPr>
          <w:p w14:paraId="4A80F0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F9608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2030" w:type="dxa"/>
          </w:tcPr>
          <w:p w14:paraId="49CB5F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6F4095" w:rsidRPr="008127F8" w14:paraId="1A1A0A6B" w14:textId="77777777">
        <w:tc>
          <w:tcPr>
            <w:tcW w:w="648" w:type="dxa"/>
          </w:tcPr>
          <w:p w14:paraId="477746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5DF36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F42B2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винтов:</w:t>
            </w:r>
          </w:p>
        </w:tc>
        <w:tc>
          <w:tcPr>
            <w:tcW w:w="2030" w:type="dxa"/>
          </w:tcPr>
          <w:p w14:paraId="5CB80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ACF38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1750</w:t>
            </w:r>
          </w:p>
        </w:tc>
        <w:tc>
          <w:tcPr>
            <w:tcW w:w="2030" w:type="dxa"/>
          </w:tcPr>
          <w:p w14:paraId="1AB7D9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r>
      <w:tr w:rsidR="006F4095" w:rsidRPr="008127F8" w14:paraId="34954E01" w14:textId="77777777">
        <w:tc>
          <w:tcPr>
            <w:tcW w:w="648" w:type="dxa"/>
          </w:tcPr>
          <w:p w14:paraId="740E71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810" w:type="dxa"/>
          </w:tcPr>
          <w:p w14:paraId="69290C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Лопасти</w:t>
            </w:r>
          </w:p>
        </w:tc>
        <w:tc>
          <w:tcPr>
            <w:tcW w:w="2030" w:type="dxa"/>
          </w:tcPr>
          <w:p w14:paraId="66DBA3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ВИШ-22Е</w:t>
            </w:r>
          </w:p>
        </w:tc>
        <w:tc>
          <w:tcPr>
            <w:tcW w:w="2030" w:type="dxa"/>
          </w:tcPr>
          <w:p w14:paraId="1324FF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w:t>
            </w:r>
          </w:p>
        </w:tc>
        <w:tc>
          <w:tcPr>
            <w:tcW w:w="2030" w:type="dxa"/>
          </w:tcPr>
          <w:p w14:paraId="0D63C4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2030" w:type="dxa"/>
          </w:tcPr>
          <w:p w14:paraId="476624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D3FC121" w14:textId="77777777">
        <w:tc>
          <w:tcPr>
            <w:tcW w:w="648" w:type="dxa"/>
          </w:tcPr>
          <w:p w14:paraId="5EDE3D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EF7A4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D7231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 3, 22 и 23</w:t>
            </w:r>
          </w:p>
        </w:tc>
        <w:tc>
          <w:tcPr>
            <w:tcW w:w="2030" w:type="dxa"/>
          </w:tcPr>
          <w:p w14:paraId="30D7B8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ED630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2030" w:type="dxa"/>
          </w:tcPr>
          <w:p w14:paraId="5A0502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5E5B856" w14:textId="77777777">
        <w:tc>
          <w:tcPr>
            <w:tcW w:w="648" w:type="dxa"/>
          </w:tcPr>
          <w:p w14:paraId="61E0C3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6BF1E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6D0EB5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ВИШ-22Т</w:t>
            </w:r>
          </w:p>
        </w:tc>
        <w:tc>
          <w:tcPr>
            <w:tcW w:w="2030" w:type="dxa"/>
          </w:tcPr>
          <w:p w14:paraId="685803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37E68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2030" w:type="dxa"/>
          </w:tcPr>
          <w:p w14:paraId="73858F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6105062" w14:textId="77777777">
        <w:tc>
          <w:tcPr>
            <w:tcW w:w="648" w:type="dxa"/>
          </w:tcPr>
          <w:p w14:paraId="38DDA9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AA9B5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BB422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АВ-5Л-123</w:t>
            </w:r>
          </w:p>
        </w:tc>
        <w:tc>
          <w:tcPr>
            <w:tcW w:w="2030" w:type="dxa"/>
          </w:tcPr>
          <w:p w14:paraId="5893E2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3C763F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2030" w:type="dxa"/>
          </w:tcPr>
          <w:p w14:paraId="1F81EA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C6F0235" w14:textId="77777777">
        <w:tc>
          <w:tcPr>
            <w:tcW w:w="648" w:type="dxa"/>
          </w:tcPr>
          <w:p w14:paraId="4AE890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70304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29DE0E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АВ-5Л-139</w:t>
            </w:r>
          </w:p>
        </w:tc>
        <w:tc>
          <w:tcPr>
            <w:tcW w:w="2030" w:type="dxa"/>
          </w:tcPr>
          <w:p w14:paraId="46DADB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5139C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2030" w:type="dxa"/>
          </w:tcPr>
          <w:p w14:paraId="6C726A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FCDF6FC" w14:textId="77777777">
        <w:tc>
          <w:tcPr>
            <w:tcW w:w="648" w:type="dxa"/>
          </w:tcPr>
          <w:p w14:paraId="49B49A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9E96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EF5C5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В-25</w:t>
            </w:r>
          </w:p>
        </w:tc>
        <w:tc>
          <w:tcPr>
            <w:tcW w:w="2030" w:type="dxa"/>
          </w:tcPr>
          <w:p w14:paraId="459739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58039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2030" w:type="dxa"/>
          </w:tcPr>
          <w:p w14:paraId="3334E8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0B2C702E" w14:textId="77777777">
        <w:tc>
          <w:tcPr>
            <w:tcW w:w="648" w:type="dxa"/>
          </w:tcPr>
          <w:p w14:paraId="6B88CA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9C8EB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2BF480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ВИШ-21</w:t>
            </w:r>
          </w:p>
        </w:tc>
        <w:tc>
          <w:tcPr>
            <w:tcW w:w="2030" w:type="dxa"/>
          </w:tcPr>
          <w:p w14:paraId="5DE397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7F4B0C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2030" w:type="dxa"/>
          </w:tcPr>
          <w:p w14:paraId="7D1AE0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D2EEF54" w14:textId="77777777">
        <w:tc>
          <w:tcPr>
            <w:tcW w:w="648" w:type="dxa"/>
            <w:tcBorders>
              <w:bottom w:val="single" w:sz="12" w:space="0" w:color="auto"/>
            </w:tcBorders>
          </w:tcPr>
          <w:p w14:paraId="42D84D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7F13E2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Borders>
              <w:bottom w:val="single" w:sz="12" w:space="0" w:color="auto"/>
            </w:tcBorders>
          </w:tcPr>
          <w:p w14:paraId="38E7F7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лопастей</w:t>
            </w:r>
          </w:p>
        </w:tc>
        <w:tc>
          <w:tcPr>
            <w:tcW w:w="2030" w:type="dxa"/>
            <w:tcBorders>
              <w:bottom w:val="single" w:sz="12" w:space="0" w:color="auto"/>
            </w:tcBorders>
          </w:tcPr>
          <w:p w14:paraId="3608D1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Borders>
              <w:bottom w:val="single" w:sz="12" w:space="0" w:color="auto"/>
            </w:tcBorders>
          </w:tcPr>
          <w:p w14:paraId="0B6CF4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w:t>
            </w:r>
          </w:p>
        </w:tc>
        <w:tc>
          <w:tcPr>
            <w:tcW w:w="2030" w:type="dxa"/>
            <w:tcBorders>
              <w:bottom w:val="single" w:sz="12" w:space="0" w:color="auto"/>
            </w:tcBorders>
          </w:tcPr>
          <w:p w14:paraId="6DDDB3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bl>
    <w:p w14:paraId="3CA055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Поставку оформите договором, копию которого по подписании вышлите в 3ГУ (1648,91)</w:t>
      </w:r>
    </w:p>
    <w:p w14:paraId="6E022C3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686B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10 февраля 1942 г. самолет "Авиа” Ва-122 Московского авиаотряда Главсевморпути с бортовым номером “Н-261”, использовавшаяся для тренировок, числился как "аварийный подлежащий списанию”. Возможно. это был последний самолет данного типа в СССР (5010).</w:t>
      </w:r>
    </w:p>
    <w:p w14:paraId="14F17F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43EF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6B094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409521"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10 февраля 1942 проектирование ГАЗ-70, который вскоре получил официальное обозначение Т-70, которое продолжалось весь январь, вышло на финальную стадию. Уже к десятым числам месяца началась постройка опытного образца, которую закончили 14 февраля. К 19 февраля была подготовлена программа испытаний Т-70 пробегом, а также испытания установленного в танке вооружения (17664).</w:t>
      </w:r>
    </w:p>
    <w:p w14:paraId="1BA60901"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B422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 были подготовлены ПОЛОЖЕНИЕ О РАБОТЕ ОТДЕЛА ВОЕННОЙ ПРИЕМКИ ИНОСТРАННЫХ МАШИН БТУ ГАБТУ КА В г. АРХАНГЕЛЬСКЕ</w:t>
      </w:r>
    </w:p>
    <w:p w14:paraId="588E6A1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 отвечает за:</w:t>
      </w:r>
    </w:p>
    <w:p w14:paraId="6A88B1DF"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1. Качественную и количественную приемку танков, автомашин, танкового вооружения, бое</w:t>
      </w:r>
      <w:r w:rsidRPr="008127F8">
        <w:rPr>
          <w:rFonts w:ascii="Times New Roman" w:hAnsi="Times New Roman"/>
          <w:color w:val="000000" w:themeColor="text1"/>
          <w:kern w:val="65535"/>
          <w:sz w:val="16"/>
          <w:szCs w:val="16"/>
        </w:rPr>
        <w:softHyphen/>
        <w:t xml:space="preserve">припасов, запасных частей и </w:t>
      </w:r>
      <w:proofErr w:type="gramStart"/>
      <w:r w:rsidRPr="008127F8">
        <w:rPr>
          <w:rFonts w:ascii="Times New Roman" w:hAnsi="Times New Roman"/>
          <w:color w:val="000000" w:themeColor="text1"/>
          <w:kern w:val="65535"/>
          <w:sz w:val="16"/>
          <w:szCs w:val="16"/>
        </w:rPr>
        <w:t>прочего автобронетанкового имущества</w:t>
      </w:r>
      <w:proofErr w:type="gramEnd"/>
      <w:r w:rsidRPr="008127F8">
        <w:rPr>
          <w:rFonts w:ascii="Times New Roman" w:hAnsi="Times New Roman"/>
          <w:color w:val="000000" w:themeColor="text1"/>
          <w:kern w:val="65535"/>
          <w:sz w:val="16"/>
          <w:szCs w:val="16"/>
        </w:rPr>
        <w:t xml:space="preserve"> прибывающего из-за границы.</w:t>
      </w:r>
    </w:p>
    <w:p w14:paraId="191C96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Отправку этого имущества </w:t>
      </w:r>
      <w:proofErr w:type="gramStart"/>
      <w:r w:rsidRPr="008127F8">
        <w:rPr>
          <w:rFonts w:ascii="Times New Roman" w:hAnsi="Times New Roman"/>
          <w:color w:val="000000" w:themeColor="text1"/>
          <w:sz w:val="16"/>
          <w:szCs w:val="16"/>
        </w:rPr>
        <w:t>согласно указаний</w:t>
      </w:r>
      <w:proofErr w:type="gramEnd"/>
      <w:r w:rsidRPr="008127F8">
        <w:rPr>
          <w:rFonts w:ascii="Times New Roman" w:hAnsi="Times New Roman"/>
          <w:color w:val="000000" w:themeColor="text1"/>
          <w:sz w:val="16"/>
          <w:szCs w:val="16"/>
        </w:rPr>
        <w:t xml:space="preserve"> соответствующих управлений ГАБТУ КА.</w:t>
      </w:r>
    </w:p>
    <w:p w14:paraId="78CF01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Сверку наличия имущества с документами, прибывшими из-за границы и перевод на русский язык этих документов.</w:t>
      </w:r>
    </w:p>
    <w:p w14:paraId="3877E5E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Устранение в необходимых случаях неисправностей, обнаруженных при приемке, средства</w:t>
      </w:r>
      <w:r w:rsidRPr="008127F8">
        <w:rPr>
          <w:rFonts w:ascii="Times New Roman" w:hAnsi="Times New Roman"/>
          <w:color w:val="000000" w:themeColor="text1"/>
          <w:sz w:val="16"/>
          <w:szCs w:val="16"/>
        </w:rPr>
        <w:softHyphen/>
        <w:t>ми выделенными для этой цели.</w:t>
      </w:r>
    </w:p>
    <w:p w14:paraId="6ABCC22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Полный учет всего прибывшего и отправленного имущества. Для обеспечения указанного, отдел обязан:</w:t>
      </w:r>
    </w:p>
    <w:p w14:paraId="6672866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Знать о прибывающих караванах с автобронетанковым имуществом.</w:t>
      </w:r>
    </w:p>
    <w:p w14:paraId="529AE48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Провести все необходимые мероприятия, обеспечивающие быстрейшую выгрузку.</w:t>
      </w:r>
    </w:p>
    <w:p w14:paraId="1B3DD0F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Организовать выгрузку, обеспечение соблюдения необходимых мер для сохранения от порчи имущества в момент выгрузки.</w:t>
      </w:r>
    </w:p>
    <w:p w14:paraId="2D87010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прибытии транспорта сверить по документам соответствие наличия имущества количест</w:t>
      </w:r>
      <w:r w:rsidRPr="008127F8">
        <w:rPr>
          <w:rFonts w:ascii="Times New Roman" w:hAnsi="Times New Roman"/>
          <w:color w:val="000000" w:themeColor="text1"/>
          <w:sz w:val="16"/>
          <w:szCs w:val="16"/>
        </w:rPr>
        <w:softHyphen/>
        <w:t>ву, указанному в документах.</w:t>
      </w:r>
    </w:p>
    <w:p w14:paraId="2F3F4D3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Произвести техническую приемку машин наружным осмотром, а в необходимых случаях с за</w:t>
      </w:r>
      <w:r w:rsidRPr="008127F8">
        <w:rPr>
          <w:rFonts w:ascii="Times New Roman" w:hAnsi="Times New Roman"/>
          <w:color w:val="000000" w:themeColor="text1"/>
          <w:sz w:val="16"/>
          <w:szCs w:val="16"/>
        </w:rPr>
        <w:softHyphen/>
        <w:t>водкой мотора и опробованием на ходу. При осмотре проверить заправку машин маслом, горючим, в зимних условиях антифризом и пр.</w:t>
      </w:r>
    </w:p>
    <w:p w14:paraId="2A81675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Проверять комплектацию машин положенным инструментом, запчастями и принадлежностя</w:t>
      </w:r>
      <w:r w:rsidRPr="008127F8">
        <w:rPr>
          <w:rFonts w:ascii="Times New Roman" w:hAnsi="Times New Roman"/>
          <w:color w:val="000000" w:themeColor="text1"/>
          <w:sz w:val="16"/>
          <w:szCs w:val="16"/>
        </w:rPr>
        <w:softHyphen/>
        <w:t>ми, соблюдать указанную комплектность при отправке эшелонов (включая боеприпасы для танков), а по автомашинам сохранять комплектность по маркам.</w:t>
      </w:r>
    </w:p>
    <w:p w14:paraId="4165FE7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Проверять запасные части наружным осмотром, а при упаковке в специальной таре, по коли</w:t>
      </w:r>
      <w:r w:rsidRPr="008127F8">
        <w:rPr>
          <w:rFonts w:ascii="Times New Roman" w:hAnsi="Times New Roman"/>
          <w:color w:val="000000" w:themeColor="text1"/>
          <w:sz w:val="16"/>
          <w:szCs w:val="16"/>
        </w:rPr>
        <w:softHyphen/>
        <w:t>честву мест.</w:t>
      </w:r>
    </w:p>
    <w:p w14:paraId="00E1271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все обнаруженные дефекты составлять акт за подписью начальника отдела, </w:t>
      </w:r>
      <w:proofErr w:type="gramStart"/>
      <w:r w:rsidRPr="008127F8">
        <w:rPr>
          <w:rFonts w:ascii="Times New Roman" w:hAnsi="Times New Roman"/>
          <w:color w:val="000000" w:themeColor="text1"/>
          <w:sz w:val="16"/>
          <w:szCs w:val="16"/>
        </w:rPr>
        <w:t>представителя отправителя и лица</w:t>
      </w:r>
      <w:proofErr w:type="gramEnd"/>
      <w:r w:rsidRPr="008127F8">
        <w:rPr>
          <w:rFonts w:ascii="Times New Roman" w:hAnsi="Times New Roman"/>
          <w:color w:val="000000" w:themeColor="text1"/>
          <w:sz w:val="16"/>
          <w:szCs w:val="16"/>
        </w:rPr>
        <w:t xml:space="preserve"> производившего приемку и произвести необходимый ремонт.</w:t>
      </w:r>
    </w:p>
    <w:p w14:paraId="58A4F50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Заказывать подвижной состав, не допуская задержек в отправке имущества.</w:t>
      </w:r>
    </w:p>
    <w:p w14:paraId="4B598B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Назначать начальников эшелона, которым погруженное имущество сдать по актам. Один эк</w:t>
      </w:r>
      <w:r w:rsidRPr="008127F8">
        <w:rPr>
          <w:rFonts w:ascii="Times New Roman" w:hAnsi="Times New Roman"/>
          <w:color w:val="000000" w:themeColor="text1"/>
          <w:sz w:val="16"/>
          <w:szCs w:val="16"/>
        </w:rPr>
        <w:softHyphen/>
        <w:t>земпляр акта отправлять по танкам и бронемашинам БТУ КА и по автомашинам, мото и тракторам АТУ КА, а один экземпляр начальник эшелона предъявляет начальнику соответствующего отделе</w:t>
      </w:r>
      <w:r w:rsidRPr="008127F8">
        <w:rPr>
          <w:rFonts w:ascii="Times New Roman" w:hAnsi="Times New Roman"/>
          <w:color w:val="000000" w:themeColor="text1"/>
          <w:sz w:val="16"/>
          <w:szCs w:val="16"/>
        </w:rPr>
        <w:softHyphen/>
        <w:t>ния отдела иностранных приемок в г. Горьком при сдаче груза.</w:t>
      </w:r>
    </w:p>
    <w:p w14:paraId="45489C8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Проверять крепление машин перед отправкой и правильность погрузки имущества и при</w:t>
      </w:r>
      <w:r w:rsidRPr="008127F8">
        <w:rPr>
          <w:rFonts w:ascii="Times New Roman" w:hAnsi="Times New Roman"/>
          <w:color w:val="000000" w:themeColor="text1"/>
          <w:sz w:val="16"/>
          <w:szCs w:val="16"/>
        </w:rPr>
        <w:softHyphen/>
        <w:t>нять меры, обеспечивающие имущество от порчи и расхищения в пути. Люки танков и инструмен</w:t>
      </w:r>
      <w:r w:rsidRPr="008127F8">
        <w:rPr>
          <w:rFonts w:ascii="Times New Roman" w:hAnsi="Times New Roman"/>
          <w:color w:val="000000" w:themeColor="text1"/>
          <w:sz w:val="16"/>
          <w:szCs w:val="16"/>
        </w:rPr>
        <w:softHyphen/>
        <w:t>тальные ящики должны быть опломбированы.</w:t>
      </w:r>
    </w:p>
    <w:p w14:paraId="0DA93B9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Завести учет прибывшего и отправляемого имущества.</w:t>
      </w:r>
    </w:p>
    <w:p w14:paraId="305FB5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Немедленно доносить в соответствующие управления ГАБТУ КА о прибывшем и отправ</w:t>
      </w:r>
      <w:r w:rsidRPr="008127F8">
        <w:rPr>
          <w:rFonts w:ascii="Times New Roman" w:hAnsi="Times New Roman"/>
          <w:color w:val="000000" w:themeColor="text1"/>
          <w:sz w:val="16"/>
          <w:szCs w:val="16"/>
        </w:rPr>
        <w:softHyphen/>
        <w:t>ленном имуществе раздельно по автоимуществу АТУ КА, танковому имуществу, вооружению и боеприпасам БТУ КА, а также сообщать телеграфно начальнику отдела приемки иностранных ма</w:t>
      </w:r>
      <w:r w:rsidRPr="008127F8">
        <w:rPr>
          <w:rFonts w:ascii="Times New Roman" w:hAnsi="Times New Roman"/>
          <w:color w:val="000000" w:themeColor="text1"/>
          <w:sz w:val="16"/>
          <w:szCs w:val="16"/>
        </w:rPr>
        <w:softHyphen/>
        <w:t xml:space="preserve">шин в г. Горький об отправке в его адрес </w:t>
      </w:r>
      <w:r w:rsidRPr="008127F8">
        <w:rPr>
          <w:rFonts w:ascii="Times New Roman" w:hAnsi="Times New Roman"/>
          <w:color w:val="000000" w:themeColor="text1"/>
          <w:sz w:val="16"/>
          <w:szCs w:val="16"/>
        </w:rPr>
        <w:lastRenderedPageBreak/>
        <w:t>груза с указанием номера транспорта и фамилии началь</w:t>
      </w:r>
      <w:r w:rsidRPr="008127F8">
        <w:rPr>
          <w:rFonts w:ascii="Times New Roman" w:hAnsi="Times New Roman"/>
          <w:color w:val="000000" w:themeColor="text1"/>
          <w:sz w:val="16"/>
          <w:szCs w:val="16"/>
        </w:rPr>
        <w:softHyphen/>
        <w:t>ника эшелона.</w:t>
      </w:r>
    </w:p>
    <w:p w14:paraId="62CFFC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На основе опыта приемки и разгрузки подготавливать необходимые предложения и замеча</w:t>
      </w:r>
      <w:r w:rsidRPr="008127F8">
        <w:rPr>
          <w:rFonts w:ascii="Times New Roman" w:hAnsi="Times New Roman"/>
          <w:color w:val="000000" w:themeColor="text1"/>
          <w:sz w:val="16"/>
          <w:szCs w:val="16"/>
        </w:rPr>
        <w:softHyphen/>
        <w:t>ния по улучшению отправок и направлять их в БТУ КА и АТУ КА.</w:t>
      </w:r>
    </w:p>
    <w:p w14:paraId="6023374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БТУ ГАБТУ КА военинженер 1 ранга Алымов</w:t>
      </w:r>
    </w:p>
    <w:p w14:paraId="420D0F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БТУ ГАБТУ КА полковой комиссар Воробьев</w:t>
      </w:r>
    </w:p>
    <w:p w14:paraId="0A228BA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174. Л. 38-39. Подлинник (11211).</w:t>
      </w:r>
    </w:p>
    <w:p w14:paraId="6A552B89"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60740FB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года вышел приказ № 50с НКБ (Челябинск).</w:t>
      </w:r>
    </w:p>
    <w:p w14:paraId="5F8CD83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восстановлении эвакуированного завода № 20 НКБ</w:t>
      </w:r>
    </w:p>
    <w:p w14:paraId="394FC14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Эвакуированному в Уфу заводу № 20 1 Гл. управления НКБ присвоить номер 20-а (5754, 89).</w:t>
      </w:r>
    </w:p>
    <w:p w14:paraId="43B6679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B1829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года приказ № 48сс НКБ (Челябинск).</w:t>
      </w:r>
    </w:p>
    <w:p w14:paraId="7FEBE08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проверки и выявления фактического наличия мощностей …</w:t>
      </w:r>
    </w:p>
    <w:p w14:paraId="171176A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Гл. управление</w:t>
      </w:r>
    </w:p>
    <w:p w14:paraId="1402D0B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 – Чапаевск</w:t>
      </w:r>
    </w:p>
    <w:p w14:paraId="4B0EF99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80 – Дзержинск</w:t>
      </w:r>
    </w:p>
    <w:p w14:paraId="188902C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Гл. управление</w:t>
      </w:r>
    </w:p>
    <w:p w14:paraId="5B3C2A4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50 – Пенза</w:t>
      </w:r>
    </w:p>
    <w:p w14:paraId="2E2E3F5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Заводы №№ 42 и 530 – Куйбышев</w:t>
      </w:r>
    </w:p>
    <w:p w14:paraId="3F4158E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Заводы №№ 10 и 260 – Молотов</w:t>
      </w:r>
    </w:p>
    <w:p w14:paraId="48FD784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 – Казань</w:t>
      </w:r>
    </w:p>
    <w:p w14:paraId="3EFB2EA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 управление</w:t>
      </w:r>
    </w:p>
    <w:p w14:paraId="4538A83C"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40 – Казань</w:t>
      </w:r>
    </w:p>
    <w:p w14:paraId="299AE62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392 – Кемерово</w:t>
      </w:r>
    </w:p>
    <w:p w14:paraId="367C56A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Гл. управление</w:t>
      </w:r>
    </w:p>
    <w:p w14:paraId="5B14775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259 – Златоуст</w:t>
      </w:r>
    </w:p>
    <w:p w14:paraId="3B33336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605 – Киселевск</w:t>
      </w:r>
    </w:p>
    <w:p w14:paraId="3648A8E0"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63 - Н. Тагил</w:t>
      </w:r>
    </w:p>
    <w:p w14:paraId="1C836FC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613 – Касли</w:t>
      </w:r>
    </w:p>
    <w:p w14:paraId="79639C9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62 – Челябинск</w:t>
      </w:r>
    </w:p>
    <w:p w14:paraId="7D7B971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258 – Копейск</w:t>
      </w:r>
    </w:p>
    <w:p w14:paraId="09600A6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Комбинат № 179 – Новосибирск</w:t>
      </w:r>
    </w:p>
    <w:p w14:paraId="447CAC9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Гл. управление</w:t>
      </w:r>
    </w:p>
    <w:p w14:paraId="7DF546FC"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257 – Орск</w:t>
      </w:r>
    </w:p>
    <w:p w14:paraId="45B12B9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184 – Зеленодольск</w:t>
      </w:r>
    </w:p>
    <w:p w14:paraId="38E2AF1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187А – Новосибирск</w:t>
      </w:r>
    </w:p>
    <w:p w14:paraId="6B64517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606 – Кемерово</w:t>
      </w:r>
    </w:p>
    <w:p w14:paraId="0295ED9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513А – Омск</w:t>
      </w:r>
    </w:p>
    <w:p w14:paraId="4CC9807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Гл. управление</w:t>
      </w:r>
    </w:p>
    <w:p w14:paraId="69524CA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309 – Чапаевск</w:t>
      </w:r>
    </w:p>
    <w:p w14:paraId="15541B2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253 – Муром</w:t>
      </w:r>
    </w:p>
    <w:p w14:paraId="56A1A71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320 – Чебоксары</w:t>
      </w:r>
    </w:p>
    <w:p w14:paraId="1294F37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255 – Н. Ломов (5754, 85-83).</w:t>
      </w:r>
    </w:p>
    <w:p w14:paraId="774D776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A42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февраля 1942 года Челябинское УНКВД сообщало: </w:t>
      </w:r>
    </w:p>
    <w:p w14:paraId="4318FA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"Решением Государственного комитета обороны СССР на площадке бывшего завода 'Стройсемь' намечено строительство танкового завода, рассчитанного на выпуск 6000 легких танков в год. Завод должен быть построен в две очереди... Стоимость строительства первой очереди завода #С-70 составляет 45 млн руб. и должна быть освоена к 1 июля 1942 года. </w:t>
      </w:r>
    </w:p>
    <w:p w14:paraId="3046D8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Строительство завода #С-70 поручено особой строительно-монтажной части #22 НКС, возглавляемой директором Шориным и главным инженером Филипповым. Начиная с марта 1942 года ОСМЧ #22 должна будет осваивать строительную программу ежемесячно в размере 12 млн руб. </w:t>
      </w:r>
    </w:p>
    <w:p w14:paraId="28D960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важность быстрейшего разворота строительства завода #С-70, ОСМЧ #22 в лице Шорина и Филиппова фактически к строительству его еще не приступила. В середине января 1942 года в кабинете главного инженера Филиппова с представителями Наркомата танковой промышленности хотя и рассматривался график строительства первой очереди завода, но Филиппов подписать график к исполнению отказался, мотивируя свой отказ тем, что ОСМЧ #22 не располагает такими ресурсами, чтобы осваивать ежемесячно по 12 млн руб... </w:t>
      </w:r>
    </w:p>
    <w:p w14:paraId="364A7E1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Начало строительных работ на стройплощадке завода #С-70 задерживается также и из-за отсутствия рабочей силы. Еще в январе 1942 года из УралВО должны были прибыть четыре строительные колонны, но до сих пор колонны на строительство не прибыли. На стройплощадке на сегодня еще нет ни одного рабочего-строителя, за исключением инженерно-технического персонала" (11299).</w:t>
      </w:r>
    </w:p>
    <w:p w14:paraId="62D38AC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0A387"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февраля 1942 года вышло постановление ГКО об организации в Москве предприятия, способного вести и </w:t>
      </w:r>
      <w:proofErr w:type="gramStart"/>
      <w:r w:rsidRPr="008127F8">
        <w:rPr>
          <w:rFonts w:ascii="Times New Roman" w:hAnsi="Times New Roman"/>
          <w:color w:val="000000" w:themeColor="text1"/>
          <w:sz w:val="16"/>
          <w:szCs w:val="16"/>
        </w:rPr>
        <w:t>разработку</w:t>
      </w:r>
      <w:proofErr w:type="gramEnd"/>
      <w:r w:rsidRPr="008127F8">
        <w:rPr>
          <w:rFonts w:ascii="Times New Roman" w:hAnsi="Times New Roman"/>
          <w:color w:val="000000" w:themeColor="text1"/>
          <w:sz w:val="16"/>
          <w:szCs w:val="16"/>
        </w:rPr>
        <w:t xml:space="preserve"> и выпуск станций орудийной наводки. Сроки в этом постановлении не могли быть не жесткими. Сделать опытный образец станции орудийной наводки и подготовиться к ее серийному производству предписывалось до конца года. Новое предприятие укомплектовали кадрами завода им. Коминтерна и НИИ-9, вызванными из эвакуации в Москву. Руководить новым предприятием поручили А. А. Форштеру. Его помощниками стали М. Л. Слиозберг и А. М. Кугушев - выходцы из НИИ-9. В 12 разрабатывающих лабораториях нового предприятия работали профессора (впоследствии академики) М. А. Леонтович и Н. Д. Девятков, профессор С. Э. Хайкин. Большую помощь в организации нового предприятия последующем обеспечении его производственной деятельности оказал бывший директор завода "Светлана", ставший заместителем наркома электропромышленности В. А. Восканян. Неимоверными усилиями разработка и изготовление двух опытных образцов отечественных станций орудийной наводки СОН-2а были закончены досрочно, и в канун 25-й годовщины Великой Октябрьской социалистической революции коллектив предприятия доложил ГКО о выполнении задания и с начала 1943 года начался серийный выпуск станций орудийной наводки (9921).</w:t>
      </w:r>
    </w:p>
    <w:p w14:paraId="2A0E4FB4"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021488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 ГКО принял постановление об организации в системе НКЭП СССР специализированного радиозавода для разработки в кратчайший срок станции орудийной наводки и подготовки ее к серийному выпуску. Новое предприятие стало не только разрабатывать и серийно выпускать СОН, но и вести научные исследования по радиолокации для зенитной артиллерии. По существу, был создан завод-институт. В нем было 12 научных лабораторий, в которых работали наиболее квалифицированные инженеры НИИ-9, а также известные ученые проф. С. Э. Хайкин, проф. М. А. Леонтович и много способной молодежи. Организация завода-института, комплектование его кадрами, оснащение производственно-технологическим оборудованием и последующая деятельность предприятия были возложены на А. А. Форштера, работавшего перед войной директором старейшего в стране радиозавода, на котором выпускались первые системы радиообнаружения РУС-1 и РЛС РУС-2. Научно-техническую деятельность возглавил М. Л. Слиозберг, которому боевой опыт на экспериментальной батарее под Москвой очень пригодился. Его заместитель по науке и технике стал проф. А. М. Кугушев, по производственной части – бывший главный инженер одного из радиозаводов Н. А. Аухтун. Партийный комитет возглавил А. М. Бузлов, а в конце 1972 г. Е. М. Дубровский. Благодаря помощи ЦК ВКП(б) и ГКО, в 1942 год коллектив завода-института в восьмимесячный срок создал два экземпляра опытной станции орудийной наводки СОН-2. Это задание Родины потребовало от партийной организации завода, дирекции, инженерно-технического состава и рабочих (в основном учащихся школ трудовых резервов) подлинного трудового героизма. В создании станции, явившейся подарком к 25-й годовщине Великой Октябрьской революции, ведущая роль принадлежала А. А. Форштеру, А. М. Кугушеву, А. Я. Брейтбарту, Н. Д. Девяткову, В. И. Егиазарову, Н. И. Аухтуну, В. В. Типаеву. Партия и правительство высоко оценили трудовой героизм коллектива завода, и за образцовое выполнение задания 113 человек инженерно-технического, рабочего и служащего состава были награждены орденами и медалями Советского Союза. Первую проверку созданная станция прошла в боевых порядках зенитной артиллерии Московской зоны ПВО в конце 1942 г. Второй образец станции был направлен на НИЗАП ГАУ и под руководством инженеров-испытателей Г. И. Кожевникова и С. Н. Олейниченко проходил полигонные испытания, показав на волне 4 м и мощности излучения в импульсе 250 кВт следующие характеристики: дальность обнаружения самолета от 20 до 40 км (при высоте полета от 1000 до 4000 м); точность определения угловых координат: азимута – 12 – 27, угла места – 7–12 делений угломера; точность определения расстояний до самолета – от 25 до 70 м (11026).</w:t>
      </w:r>
    </w:p>
    <w:p w14:paraId="68B913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741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вышло Постановление ГКО О№ 1264 мероприятиях по обеспечению работы на строительстве № 7. РГАНИР, Фонд ГКО, д. 21, лл. 29 (11012).</w:t>
      </w:r>
    </w:p>
    <w:p w14:paraId="25D32F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FF9C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года вышло Постановления ГКО № 1255 "О промышленной базе для производства приборов радиообнаружения и пеленгации самолетов" (9921).</w:t>
      </w:r>
    </w:p>
    <w:p w14:paraId="2CDD55A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422AC6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вышло Постановление ГКО № 1266 О принятии на вооружение войск ПВО Красной Армии и Военно-Морского Флота станций орудийной наводки (СОН-2) и организации отечественного производства СОН-2. РГАНИР, Фонд ГКО, д. 21, лл. 31-32, 33-34 (11012).</w:t>
      </w:r>
    </w:p>
    <w:p w14:paraId="7E053B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98A8D"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вышло Постановление ГКО СССР № 1255 о создании в нашей стране нового типа РЛС – станций орудийной наводки (СОН) и их серийного выпуска (15036).</w:t>
      </w:r>
    </w:p>
    <w:p w14:paraId="33D51B44"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1183C397" w14:textId="2247DE98"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вышло Постановление ГКО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1266сс. Заместитель наркома электропромышленности И.Г. Кабанова И.Г. Зубович подготовили проект постановления ГКО «О принятии на вооружение войск ПВО Красной Армии и ВМФ станций орудийной наводки (СОН-2) и организации отечественного производства СОН-2». Проект, согласованный с заведующим отделом электропромышленности ЦК ВКП(б) А.А. Турчаниным и заместителем Председателя Совнаркома, председателем Госплана СССР М.З. Сабуровым, 15 февраля И.Г. Кабанов подписал приказ о создании в Москве первого в СССР специализированного радиолокационного предприятия – завода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465 с конструкторским бюро и лабораториями,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способного вести в комплексе и их разработку, и выпуск, включая основные электронные компоненты (15736).</w:t>
      </w:r>
    </w:p>
    <w:p w14:paraId="06F34110"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3D13C80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AEE47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9571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329DDB1A"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10 февраля наши войска продолжали вести активные боевые действия против немецко-фашистских войск.</w:t>
      </w:r>
    </w:p>
    <w:p w14:paraId="6CEB499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бойцы, сломив сопротивление противника, заняли 7 населённых пунктов. Немцы понесли большие потери в людях. Отряд наших лыжников перерезал дорогу между двумя важными населёнными пунктами, занятыми противником.</w:t>
      </w:r>
    </w:p>
    <w:p w14:paraId="19720057"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встретив колонну противника, фланговым огнём из пулемёта уничтожила до 100 немецких солдат. Миномётное подразделение части командира Сазонова, поддерживая наступление наших бойцов, уничтожило до 300 немецких солдат и офицеров.</w:t>
      </w:r>
    </w:p>
    <w:p w14:paraId="4583DA27"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прикрытием миномётного и пулемётного огня гитлеровцы пытались контратаковать наш батальон. 10 красноармейцев под командованием лейтенанта Яковлева зашли во фланг наступавшим немецким частям. Открыв огонь из ручного пулемёта и автоматов, бойцы вывели из строя вражескую миномётную батарею и пулемёт, затем забросали врага гранатами. Немцы бежали, бросая оружие. Контратака противника была сорвана.</w:t>
      </w:r>
    </w:p>
    <w:p w14:paraId="6E54EE1F"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немцев напала на пункт связи одной из наших частей. Советские связисты во главе со старшим лейтенантом Федотовым отбили нападение немцев. Потеряв 8 человек убитыми, гитлеровцы отступили. Преследуя врага, связисты захватили ручной пулемёт и 4 лошадей.</w:t>
      </w:r>
    </w:p>
    <w:p w14:paraId="4B4000F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Теперь стало известно о героическом подвиге, который совершил 62-летний колхозник Иванов Иван Петрович в дни, когда немецкие бандиты захватили село Лишняги, Серебряно-Прудского района, Тульской области. Гитлеровцы предложили тов. Иванову проводить их в соседнее село Подхожее. Колхозник Иванов отказался выполнить приказ. Избив старика, немцы силой заставили его показывать дорогу. Тогда Иванов завёл немцев в глухой лес. 30 немецких автомашин, гружённых оружием, завязли в глубоком овраге. Взбешённые гитлеровцы расстреляли славного патриота. Однако сами немцы из леса выйти не могли. Большинство немецких солдат и офицеров заблудилось в лесу и замёрзло.</w:t>
      </w:r>
    </w:p>
    <w:p w14:paraId="7170E3C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Б., действующий в одном из районов Калининской области, оккупированных немцами, за последние дни перебил 67 немецких солдат и офицеров, уничтожил вражескую противотанковую пушку, 3 автомашины, захватил 4 пулемёта, 22 винтовки, 2 автомата и 4.000 патронов.</w:t>
      </w:r>
    </w:p>
    <w:p w14:paraId="12DE6AE3"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письма ефрейтора 489 полка 269 немецкой пехотной дивизии, убитого на Ленинградском фронте. Фамилию ефрейтора установить не удалось.</w:t>
      </w:r>
    </w:p>
    <w:p w14:paraId="79B73F08"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января 1942 года... Ты не можешь себе представить, что нам пришлось пережить за последние шесть недель. Об этом даже писать нельзя: ты просто скажешь, что я лгу. Всё время обитали в лесах, не имея крыши над головой, а русские постоянно сидели у нас на шее. К тому же этот отчаянный холод, ежедневно столько-то и столько-то полузамёрзших покидают нас. У меня тоже обморожена рука и ноги, и я ожидаю лишь того дня, когда со мной также будет покончено. Нас, радистов, осталось только двое, а все остальные находятся в госпитале. Этой жизни не может выдержать ни один человек. Уже 6 недель мы не получали ни чистого белья, ни порядочной еды. В дни рождества мы были в окружении у русских, и лишь при помощи танков удалось удрать. В отношении России мы тяжело просчитались. Однако эти жалобы не имеют смысла: долго мы теперь всё равно не сможем выдержать. В кино показывают всё не то — действительность выглядит гораздо трагичнее. Но всё это было бы не так страшно, если бы лишь знать, что когда-то наступит конец. Но кто знает, сколько ещё времени будет длиться эта война в кустарнике. Во всяком случае русские никогда не капитулируют... На наши обозы постоянно нападают партизаны... Тело дьявольски чешется. Немецкого солдата без вшей теперь в России определённо нет...» (15036).</w:t>
      </w:r>
    </w:p>
    <w:p w14:paraId="05FA1B6F"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66FB18CF"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49F3B2D6"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февраля наши войска продолжали с боями продвигаться вперёд и заняли несколько населённых пунктов.</w:t>
      </w:r>
    </w:p>
    <w:p w14:paraId="25209C54"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февраля уничтожено 4 самолёта противника.</w:t>
      </w:r>
    </w:p>
    <w:p w14:paraId="6F19FB29"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февраля частями нашей авиации уничтожено и повреждено 110 немецких автомашин с пехотой и грузами, 35 повозок с боеприпасами, 3 зенитно-пулемётные точки, взорвано 10 железнодорожных вагонов с грузами, 20 железнодорожных цистерн с горючим, рассеяно и частью уничтожено свыше батальона пехоты противника.</w:t>
      </w:r>
    </w:p>
    <w:p w14:paraId="52C53A05"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Заняв за один день 4 населённых пункта, бойцы части, которой командует тов. Беззубов (Западный фронт), захватили 18 вражеских орудий, 5 автомашин, 72 велосипеда, 6 пулемётов, 3 противотанковых ружья, 27 повозок с различным воинским снаряжением, 150.000 винтовочных патронов, 2.382 мины, 1.849 ручных гранат, 2.100 ракет и 426 винтовок, брошенных отступившими с поля боя немецкими солдатами. На другом участке бойцы под командованием тов. Соловьёва, выбив противника из села В., уничтожили 200 солдат и офицеров 41 немецкого артиллерийского полка, входящего в резерв главного командования немецкой армии, и захватили 28 грузовых и 11 легковых автомашин, 13 мотоциклов, 8 орудий различного калибра, 8 автоцистерн, 2 тягача и большой склад боеприпасов.</w:t>
      </w:r>
    </w:p>
    <w:p w14:paraId="734FC1D5"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Геройский подвиг совершил красноармеец Кучкар Ахмет Дурдиев</w:t>
      </w:r>
      <w:proofErr w:type="gramStart"/>
      <w:r w:rsidRPr="008127F8">
        <w:rPr>
          <w:rFonts w:ascii="Times New Roman" w:hAnsi="Times New Roman"/>
          <w:color w:val="000000" w:themeColor="text1"/>
          <w:sz w:val="16"/>
          <w:szCs w:val="16"/>
        </w:rPr>
        <w:t>, Во время</w:t>
      </w:r>
      <w:proofErr w:type="gramEnd"/>
      <w:r w:rsidRPr="008127F8">
        <w:rPr>
          <w:rFonts w:ascii="Times New Roman" w:hAnsi="Times New Roman"/>
          <w:color w:val="000000" w:themeColor="text1"/>
          <w:sz w:val="16"/>
          <w:szCs w:val="16"/>
        </w:rPr>
        <w:t xml:space="preserve"> атаки немецких позиций он первым ворвался в ДЗОТ противника и очутился один среди группы вражеских солдат. Бесстрашный боец не растерялся. Свалив с ног ударом приклада одного гитлеровца, Дурдиев устремился к немецким пулемётчикам, которые вели огонь по нашим войскам, не давая им продвигаться вперёд. В жестокой схватке Дурдиев лишился винтовки. Тогда он выхватил винтовку из рук гитлеровца и поразил насмерть немецких пулемётчиков. Накинувшегося на него немецкого офицера боец убил лопатой. Одного унтер-офицера и двух немецких солдат Дурдиев захватил в плен и доставил вместе с трофеями в свою часть.</w:t>
      </w:r>
    </w:p>
    <w:p w14:paraId="55CBF76C"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офицера, фамилию которого установить не удалось, найден дневник. В начале декабря прошлого года автор дневника ещё находился в Германии, в городе Вельсе, и обучал новобранцев. 11 декабря он получил приказ выехать в Варшаву в «резерв офицеров центральной войсковой группы», а затем прибыл на советско-германский фронт. Ниже публикуются выписки из дневника немецкого офицера:</w:t>
      </w:r>
    </w:p>
    <w:p w14:paraId="0CDFCB9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декабря. В полдень бродил по Варшаве. Здесь больше больных, чем здоровых, но и здоровые идут навстречу своему уничтожению.</w:t>
      </w:r>
    </w:p>
    <w:p w14:paraId="009151A5"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декабря. Отъезд. Доехали до Малазевитце. Ночевали в холодных бараках. Некоторые ругались, рассуждали о политике.</w:t>
      </w:r>
    </w:p>
    <w:p w14:paraId="61F5E3DB"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декабря. Санитарный поезд дальше не пойдёт. Я на почтовом поезде добрался до Минска. Поезд дальше не может идти, так как впереди было железнодорожное крушение.</w:t>
      </w:r>
    </w:p>
    <w:p w14:paraId="31333C4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декабря: Целый день ждём, когда, наконец, поезд пойдёт дальше. Какая неорганизованность... Все печальны...</w:t>
      </w:r>
    </w:p>
    <w:p w14:paraId="159B3393"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декабря. Ночью был в офицерских бараках. Здесь очень много раненых офицеров. Настроение угнетённое. Планомерный захват русскими позиции у Калинина, Калуги, чрезвычайные холода, отставка Браухича, Бока, Рундштедта, затруднения в снабжении и питании — всё это действует очень сильно на войска.</w:t>
      </w:r>
    </w:p>
    <w:p w14:paraId="7E165D73"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декабря. Из различных высказываний можно заключить, что моральное настроение войск пострадало... Тыловая служба не в порядке; следовательно, мы не можем здесь оставаться. Организованность не на высоте...</w:t>
      </w:r>
    </w:p>
    <w:p w14:paraId="3B0BF6D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Представился в 6 армейском корпусе. Меня направили к полковнику Гут. Он приказал мне вести вперёд роту, которую пригнала сюда полевая жандармерия. Вид маршевой роты показывает плохое положение на фронте.</w:t>
      </w:r>
    </w:p>
    <w:p w14:paraId="55089B7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января. Получил приказ отправиться в 161 пехотную дивизию. Целый день наблюдал отступление частей. Это выглядит плачевно.</w:t>
      </w:r>
    </w:p>
    <w:p w14:paraId="4640575B"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Весь день на ногах без отдыха... Большой беспорядок... Ничего нельзя сделать...».</w:t>
      </w:r>
    </w:p>
    <w:p w14:paraId="2D6409F6"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Бакинские нефтяники непрерывна увеличивают добычу нефти. На днях бакинцы отправили в Действующую армию третий эшелон с бензином, добытым сверх плана.» (15036).</w:t>
      </w:r>
    </w:p>
    <w:p w14:paraId="71DEFC47"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12812E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10 февраля 1942 вышло Постановление ГКО № 1265 О создании Главного управления формирований и комплектований ВВС Красной Армии. РГАНИР, Фонд ГКО, д. 21, лл. 30 (11012).</w:t>
      </w:r>
    </w:p>
    <w:p w14:paraId="00ED1D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FC0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 гор. Москва</w:t>
      </w:r>
    </w:p>
    <w:p w14:paraId="5CE0CA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Совершенно секретно.</w:t>
      </w:r>
    </w:p>
    <w:p w14:paraId="36BAFC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ВОЙСК НКВД СССР ГЕНЕРАЛ-МАЙОРУ товарищу АПОЛЛОНОВУ</w:t>
      </w:r>
    </w:p>
    <w:p w14:paraId="3E7C8D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10192</w:t>
      </w:r>
    </w:p>
    <w:p w14:paraId="4B3C36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Охрану особо важных предприятий промышленности гор. Ленинграда и Области несут части 72 бригады войск НКВД: 95, 104, 151, 166, 167, 168 отдельные батальоны, сформированные по сокращенным штатам.</w:t>
      </w:r>
    </w:p>
    <w:p w14:paraId="6011A1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Штатная численность всех батальонов установлена из расчета 3 человека на пост при несменяемости караулов в 2.843 человека.</w:t>
      </w:r>
    </w:p>
    <w:p w14:paraId="1F7C66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вследствие недостаточности питания, большой служебной нагрузки бойцов, доходящей до 12-15 часов в сутки, в батальонах имеются массовые заболевания, а также случаи смерти личного состава на почве истощения. Так, на 1 февраля 1942 г. батальоны имеют:</w:t>
      </w:r>
    </w:p>
    <w:p w14:paraId="0287FC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Больных в госпиталях 912 чел., умерших на почве истощения 152 чел., находится на излечении при санчасти 168 чел. В результате численность батальонов, с прочими убылями личного состава, сократилась на 1/II-1942 г. до 1.604 человек. Из этого количества ежедневно освобождается по состоянию здоровья от несения службы до 100 человек.</w:t>
      </w:r>
    </w:p>
    <w:p w14:paraId="35FB5A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Дальнейшая заболеваемость личного состава не прекращается, контингент могущих нести службу сокращается, служба несется 2 человеками на пост бессменно. Резервов для пополнения частей 72 бригады в условиях Ленфронта нет.</w:t>
      </w:r>
    </w:p>
    <w:p w14:paraId="06BAD3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частей 72 бригады по охране особо важных предприятий при численности в данной момент не обеспечивает полного выполнения задач охраны предприятий.</w:t>
      </w:r>
    </w:p>
    <w:p w14:paraId="485A8F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прошу о срочном выделении для частей 72 бригады 1.000 человек рядового состава, что является минимально необходимым для несения службы по охране и обороне предприятий г. Ленинграда и Области.</w:t>
      </w:r>
    </w:p>
    <w:p w14:paraId="555101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НКВД ЛО</w:t>
      </w:r>
    </w:p>
    <w:p w14:paraId="1FC367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Комиссар Государственной Безопасности 3-го ранга /КУБАТКИН/</w:t>
      </w:r>
    </w:p>
    <w:p w14:paraId="26624B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Архив УФСБ ЛО. Ф.21/12. Оп.2. П.н.19. Д.1. Л.21 (11814).</w:t>
      </w:r>
    </w:p>
    <w:p w14:paraId="23E64F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A1034" w14:textId="77777777" w:rsidR="006E7458"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6CC7434"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2DC83"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сдана в эксплуатацию железнодорожная ветка от станции Войбокало до Кобоны, связавшая восточный берег Ладожского озера с сетью железных дорог страны. Это увеличило поступление важных для Ленинграда грузов (15036).</w:t>
      </w:r>
    </w:p>
    <w:p w14:paraId="19225D77"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566869D5"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EB0F4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B85C7"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первый полет совершил с аэродрома в Райт-Филд транспортно-десантный планер </w:t>
      </w:r>
      <w:hyperlink r:id="rId50" w:tgtFrame="_blank" w:history="1">
        <w:r w:rsidRPr="008127F8">
          <w:rPr>
            <w:rFonts w:ascii="Times New Roman" w:hAnsi="Times New Roman"/>
            <w:color w:val="000000" w:themeColor="text1"/>
            <w:sz w:val="16"/>
            <w:szCs w:val="16"/>
          </w:rPr>
          <w:t xml:space="preserve">«XCG-7» </w:t>
        </w:r>
      </w:hyperlink>
    </w:p>
    <w:p w14:paraId="00381D81"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(41-29621) (15036).</w:t>
      </w:r>
    </w:p>
    <w:p w14:paraId="03D09B29"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100DA9E0" w14:textId="578B320D"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Первый полет совершил с аэродрома в Райт-Филд транспортно-десантный планер XCG-7 (41-29621).</w:t>
      </w:r>
    </w:p>
    <w:p w14:paraId="773AA3EE" w14:textId="6EBFB256"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Специалисты из ВВС остались не слишком довольны планером, поскольку тот не обладал должными характеристиками. Было выдано задание улучшить ТТХ планера, но сделать это без существенной переработки не представлялось возможным.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 ответ на это требование был построен планер XCG-8 (41-29622), больший по размерам, который мог брать на борт 15 человек. Его испытания также проводились в Райт-Филд, но до серийного производства дело так и не дошло. Фирма Bowlus в 1944 году перестала существовать, так и не одолев более сильных соперников в лице фирм Waco и Laister-Kauffmann, у которых уже имелись планеры CG-4 и TG-4, выпускавшиеся крупными сериями. В итоге программу XCG-8 закрыли, а прототип отправили на слом (22628).</w:t>
      </w:r>
    </w:p>
    <w:p w14:paraId="1FAFCC16"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74DD175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в бухте Нью-Йорка неизвестными (скорее всего немецкими диверсантами) подожжен французский лайнер “Нормандия” (4962).</w:t>
      </w:r>
    </w:p>
    <w:p w14:paraId="60D5233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5722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греческие коммунисты создали Народную армию национального освобождения для борьбы с фашистами (4962).</w:t>
      </w:r>
    </w:p>
    <w:p w14:paraId="2AE9860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C7B38D"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Форд прекратил производство гражданских машин (2100).</w:t>
      </w:r>
    </w:p>
    <w:p w14:paraId="17400F7A"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E7A5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фирма звукозаписи “Виктор” (США) выпустила первый в мире золотой диск (4962).</w:t>
      </w:r>
    </w:p>
    <w:p w14:paraId="4DC805D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5DA36"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первый золотой диск вручается Олтону Гленну Миллеру за "Chattanooga Choo Choo", запись Гленна Миллера разошлась тиражом в один миллион экземпляров (15036).</w:t>
      </w:r>
    </w:p>
    <w:p w14:paraId="48E104CF"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7B826611"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американские войска отбили попытку японцев захватить стратегический важный атолл Мидуэй (15036).</w:t>
      </w:r>
    </w:p>
    <w:p w14:paraId="54929774"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16C931F5"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февраля</w:t>
      </w:r>
      <w:r w:rsidRPr="008127F8">
        <w:rPr>
          <w:rFonts w:ascii="Times New Roman" w:hAnsi="Times New Roman"/>
          <w:color w:val="000000" w:themeColor="text1"/>
          <w:sz w:val="16"/>
          <w:szCs w:val="16"/>
        </w:rPr>
        <w:t xml:space="preserve"> в 1942 году в Великобритании подоходный налог начинает взиматься по принципу "заработал - плати" (15036).</w:t>
      </w:r>
    </w:p>
    <w:p w14:paraId="3F8E3E4C"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4EF8CF9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A408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CDEB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вышел приказ НКАП N 116 а/с (г. Куйбышев).</w:t>
      </w:r>
    </w:p>
    <w:p w14:paraId="4BCEA5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выпускаемых самолетов Ил-2 колесами:</w:t>
      </w:r>
    </w:p>
    <w:p w14:paraId="51B76E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1 Оргавиапром Мизюрову приступить немедленно к организации, подготовке производства и выпуску колес на самолет Ил-2" (1535,44).</w:t>
      </w:r>
    </w:p>
    <w:p w14:paraId="0511B1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C27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ст. ОЭР завода 18 и А.С.Руденко направил докладную записку М.Б.Шенкману об исключительной неорганизованности в подготовке Ил-2 на фронт и неподготовленности техники к их эксплуатации в 1-й ЗАБ в Кряже, которые он наблюдал с 8 по 10 февраля 1942. Машины были на лыжах (1635,115).</w:t>
      </w:r>
    </w:p>
    <w:p w14:paraId="3D14206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время пребывания на аэродроме КРЯЖ с </w:t>
      </w:r>
      <w:proofErr w:type="gramStart"/>
      <w:r w:rsidRPr="008127F8">
        <w:rPr>
          <w:rFonts w:ascii="Times New Roman" w:hAnsi="Times New Roman"/>
          <w:color w:val="000000" w:themeColor="text1"/>
          <w:sz w:val="16"/>
          <w:szCs w:val="16"/>
        </w:rPr>
        <w:t>8</w:t>
      </w:r>
      <w:proofErr w:type="gramEnd"/>
      <w:r w:rsidRPr="008127F8">
        <w:rPr>
          <w:rFonts w:ascii="Times New Roman" w:hAnsi="Times New Roman"/>
          <w:color w:val="000000" w:themeColor="text1"/>
          <w:sz w:val="16"/>
          <w:szCs w:val="16"/>
        </w:rPr>
        <w:t xml:space="preserve"> но 10 Февраля, я неодно</w:t>
      </w:r>
      <w:r w:rsidRPr="008127F8">
        <w:rPr>
          <w:rFonts w:ascii="Times New Roman" w:hAnsi="Times New Roman"/>
          <w:color w:val="000000" w:themeColor="text1"/>
          <w:sz w:val="16"/>
          <w:szCs w:val="16"/>
        </w:rPr>
        <w:softHyphen/>
        <w:t xml:space="preserve">кратно указывал командованию на исключительную неорганизованность в подготовке к отправке машин на фронт в на неподготовленность техсостава к эксплоатации самолетов ИЛ-2. Это явилось основной и почтя единственной причиной выхода материальной части из строя. Даже пресловутые трещиныг головок блоков цилиндров мотора АМ-38 в большей частя явилась следствием неграмотной эксплоатации винтомоторной группы самолета ИЛ-2. Например 9/П-42 г. на самолете 7401 залили горячую воду </w:t>
      </w:r>
      <w:proofErr w:type="gramStart"/>
      <w:r w:rsidRPr="008127F8">
        <w:rPr>
          <w:rFonts w:ascii="Times New Roman" w:hAnsi="Times New Roman"/>
          <w:color w:val="000000" w:themeColor="text1"/>
          <w:sz w:val="16"/>
          <w:szCs w:val="16"/>
        </w:rPr>
        <w:t>в совершению</w:t>
      </w:r>
      <w:proofErr w:type="gramEnd"/>
      <w:r w:rsidRPr="008127F8">
        <w:rPr>
          <w:rFonts w:ascii="Times New Roman" w:hAnsi="Times New Roman"/>
          <w:color w:val="000000" w:themeColor="text1"/>
          <w:sz w:val="16"/>
          <w:szCs w:val="16"/>
        </w:rPr>
        <w:t xml:space="preserve"> холодный мотор для проверки герметичности водосистем.</w:t>
      </w:r>
    </w:p>
    <w:p w14:paraId="482B22F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нескольких самолетах сорвана резьба пробок маслорадиатора из-за незнания техсоставом устройства пробок.</w:t>
      </w:r>
    </w:p>
    <w:p w14:paraId="39EA70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Лампы АПЛ-1, переданные ааводом 1-й ЗАВ раабросаны, трубы растеряны и ими не пользуется, иаблюдались случаи подогрева </w:t>
      </w:r>
      <w:proofErr w:type="gramStart"/>
      <w:r w:rsidRPr="008127F8">
        <w:rPr>
          <w:rFonts w:ascii="Times New Roman" w:hAnsi="Times New Roman"/>
          <w:color w:val="000000" w:themeColor="text1"/>
          <w:sz w:val="16"/>
          <w:szCs w:val="16"/>
        </w:rPr>
        <w:t>масло-радиатора</w:t>
      </w:r>
      <w:proofErr w:type="gramEnd"/>
      <w:r w:rsidRPr="008127F8">
        <w:rPr>
          <w:rFonts w:ascii="Times New Roman" w:hAnsi="Times New Roman"/>
          <w:color w:val="000000" w:themeColor="text1"/>
          <w:sz w:val="16"/>
          <w:szCs w:val="16"/>
        </w:rPr>
        <w:t xml:space="preserve"> паяльной лампой. Колодок под лыжи на аэродроме нет /имеющиеся подобие колодок ползут вместе с лыжами/, что не дает возможности прогреть и опробовать мотор.</w:t>
      </w:r>
    </w:p>
    <w:p w14:paraId="71F7F0F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 это подтвердилось на совещании командного состава гарнизона КРЯЖ, созванном полковником </w:t>
      </w:r>
      <w:proofErr w:type="gramStart"/>
      <w:r w:rsidRPr="008127F8">
        <w:rPr>
          <w:rFonts w:ascii="Times New Roman" w:hAnsi="Times New Roman"/>
          <w:color w:val="000000" w:themeColor="text1"/>
          <w:sz w:val="16"/>
          <w:szCs w:val="16"/>
        </w:rPr>
        <w:t>тов .СУДЕЦ</w:t>
      </w:r>
      <w:proofErr w:type="gramEnd"/>
      <w:r w:rsidRPr="008127F8">
        <w:rPr>
          <w:rFonts w:ascii="Times New Roman" w:hAnsi="Times New Roman"/>
          <w:color w:val="000000" w:themeColor="text1"/>
          <w:sz w:val="16"/>
          <w:szCs w:val="16"/>
        </w:rPr>
        <w:t>. Несмотря на попытки главного яияенара ВВС ПриВО тов. ГУРКОВИЧ "выудить" материалы, компроментирующие самолет и аавод, командование всех полков и ст. инженер 1-й ЗАБ тов. КРАВЧЕНКО все неполадки объяснили исключительно наорганиаованностью и недостаточной подготовкой техсостава.</w:t>
      </w:r>
    </w:p>
    <w:p w14:paraId="4FE5615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что в/инженер 1-го ранга тов. ГУРКОВИЧ в частной беседе обрушился на инженера тов. КРАВЧЕНКО, обвиняя его в семейсвенности сзаводом и в замазывании якобы имевшихся дефектов на машине.</w:t>
      </w:r>
    </w:p>
    <w:p w14:paraId="2DD5415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категорическое указание командующего полковника тов. СУДЕЦ об обеспечении заводскях бригад питанием и жильвм, это сделано не </w:t>
      </w:r>
      <w:proofErr w:type="gramStart"/>
      <w:r w:rsidRPr="008127F8">
        <w:rPr>
          <w:rFonts w:ascii="Times New Roman" w:hAnsi="Times New Roman"/>
          <w:color w:val="000000" w:themeColor="text1"/>
          <w:sz w:val="16"/>
          <w:szCs w:val="16"/>
        </w:rPr>
        <w:t>бало</w:t>
      </w:r>
      <w:proofErr w:type="gramEnd"/>
      <w:r w:rsidRPr="008127F8">
        <w:rPr>
          <w:rFonts w:ascii="Times New Roman" w:hAnsi="Times New Roman"/>
          <w:color w:val="000000" w:themeColor="text1"/>
          <w:sz w:val="16"/>
          <w:szCs w:val="16"/>
        </w:rPr>
        <w:t xml:space="preserve"> и я принужден был дать разрешение на возвращение в завод двум бригадам.</w:t>
      </w:r>
    </w:p>
    <w:p w14:paraId="693994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аэродроме КРЯЖ сейчас осталась только одна бригада.</w:t>
      </w:r>
    </w:p>
    <w:p w14:paraId="60FF2A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вопросах питания и жилья интересно и характерно то, что военачальяики согласны с укаванием т. СУДЕЦ, но когда дело доходит до непосредственных исполнителей /комендант, официантки/, то они заявляют, что мол приехали устрааять своя дефекты и мы не обязаны Вас обеспечивать </w:t>
      </w:r>
      <w:proofErr w:type="gramStart"/>
      <w:r w:rsidRPr="008127F8">
        <w:rPr>
          <w:rFonts w:ascii="Times New Roman" w:hAnsi="Times New Roman"/>
          <w:color w:val="000000" w:themeColor="text1"/>
          <w:sz w:val="16"/>
          <w:szCs w:val="16"/>
        </w:rPr>
        <w:t>ни чем</w:t>
      </w:r>
      <w:proofErr w:type="gramEnd"/>
      <w:r w:rsidRPr="008127F8">
        <w:rPr>
          <w:rFonts w:ascii="Times New Roman" w:hAnsi="Times New Roman"/>
          <w:color w:val="000000" w:themeColor="text1"/>
          <w:sz w:val="16"/>
          <w:szCs w:val="16"/>
        </w:rPr>
        <w:t>.</w:t>
      </w:r>
    </w:p>
    <w:p w14:paraId="3818FBB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Такая “осведомленность” лиц, не имеющих отношеняя к самолетам, и их качеству, говорит о том, что по этому вопросу “раздуди пожар на всеь мир”, дабы скрыть свои ошибки и недостатки в работе. (1635,115).</w:t>
      </w:r>
    </w:p>
    <w:p w14:paraId="317CA8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D7DC8"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11 февраля 1942 состоялся первый полет УТ-1б. Испытания легкого штурмовика прово</w:t>
      </w:r>
      <w:r w:rsidRPr="008127F8">
        <w:rPr>
          <w:rFonts w:ascii="Times New Roman" w:hAnsi="Times New Roman"/>
          <w:color w:val="000000" w:themeColor="text1"/>
          <w:sz w:val="16"/>
          <w:szCs w:val="16"/>
        </w:rPr>
        <w:softHyphen/>
        <w:t>дил капитан С.М. Шевченко из Ейского училища. Уже после завершения испы</w:t>
      </w:r>
      <w:r w:rsidRPr="008127F8">
        <w:rPr>
          <w:rFonts w:ascii="Times New Roman" w:hAnsi="Times New Roman"/>
          <w:color w:val="000000" w:themeColor="text1"/>
          <w:sz w:val="16"/>
          <w:szCs w:val="16"/>
        </w:rPr>
        <w:softHyphen/>
        <w:t>таний из Москвы пришло указание уси</w:t>
      </w:r>
      <w:r w:rsidRPr="008127F8">
        <w:rPr>
          <w:rFonts w:ascii="Times New Roman" w:hAnsi="Times New Roman"/>
          <w:color w:val="000000" w:themeColor="text1"/>
          <w:sz w:val="16"/>
          <w:szCs w:val="16"/>
        </w:rPr>
        <w:softHyphen/>
        <w:t>лить вооружение, добавив еще пару PC-82. Пусковые балки для них крепи</w:t>
      </w:r>
      <w:r w:rsidRPr="008127F8">
        <w:rPr>
          <w:rFonts w:ascii="Times New Roman" w:hAnsi="Times New Roman"/>
          <w:color w:val="000000" w:themeColor="text1"/>
          <w:sz w:val="16"/>
          <w:szCs w:val="16"/>
        </w:rPr>
        <w:softHyphen/>
        <w:t>лись к специальным башмакам, закреп</w:t>
      </w:r>
      <w:r w:rsidRPr="008127F8">
        <w:rPr>
          <w:rFonts w:ascii="Times New Roman" w:hAnsi="Times New Roman"/>
          <w:color w:val="000000" w:themeColor="text1"/>
          <w:sz w:val="16"/>
          <w:szCs w:val="16"/>
        </w:rPr>
        <w:softHyphen/>
        <w:t>ленным на лонжероне. После внесли еще ряд небольших изменений - доба</w:t>
      </w:r>
      <w:r w:rsidRPr="008127F8">
        <w:rPr>
          <w:rFonts w:ascii="Times New Roman" w:hAnsi="Times New Roman"/>
          <w:color w:val="000000" w:themeColor="text1"/>
          <w:sz w:val="16"/>
          <w:szCs w:val="16"/>
        </w:rPr>
        <w:softHyphen/>
        <w:t>вили верхние навигационные огни, пе</w:t>
      </w:r>
      <w:r w:rsidRPr="008127F8">
        <w:rPr>
          <w:rFonts w:ascii="Times New Roman" w:hAnsi="Times New Roman"/>
          <w:color w:val="000000" w:themeColor="text1"/>
          <w:sz w:val="16"/>
          <w:szCs w:val="16"/>
        </w:rPr>
        <w:softHyphen/>
        <w:t>реместили аккумулятор на мотораму, разделив его на два блока. Официальные испытания УТ-1 б про</w:t>
      </w:r>
      <w:r w:rsidRPr="008127F8">
        <w:rPr>
          <w:rFonts w:ascii="Times New Roman" w:hAnsi="Times New Roman"/>
          <w:color w:val="000000" w:themeColor="text1"/>
          <w:sz w:val="16"/>
          <w:szCs w:val="16"/>
        </w:rPr>
        <w:softHyphen/>
        <w:t>водились по программе, разработанной ЛИИ ВВС. Их завершили в апреле 1942 г. (3955).</w:t>
      </w:r>
    </w:p>
    <w:p w14:paraId="1BAF26F8"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6AC3F"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февраля</w:t>
      </w:r>
      <w:r w:rsidRPr="008127F8">
        <w:rPr>
          <w:rFonts w:ascii="Times New Roman" w:hAnsi="Times New Roman"/>
          <w:color w:val="000000" w:themeColor="text1"/>
          <w:sz w:val="16"/>
          <w:szCs w:val="16"/>
        </w:rPr>
        <w:t xml:space="preserve"> в 1942 году поднялась в воздух модификация </w:t>
      </w:r>
      <w:hyperlink r:id="rId51" w:tgtFrame="_blank" w:history="1">
        <w:r w:rsidRPr="008127F8">
          <w:rPr>
            <w:rFonts w:ascii="Times New Roman" w:hAnsi="Times New Roman"/>
            <w:color w:val="000000" w:themeColor="text1"/>
            <w:sz w:val="16"/>
            <w:szCs w:val="16"/>
          </w:rPr>
          <w:t xml:space="preserve">«УТ-1б» </w:t>
        </w:r>
      </w:hyperlink>
      <w:r w:rsidRPr="008127F8">
        <w:rPr>
          <w:rFonts w:ascii="Times New Roman" w:hAnsi="Times New Roman"/>
          <w:color w:val="000000" w:themeColor="text1"/>
          <w:sz w:val="16"/>
          <w:szCs w:val="16"/>
        </w:rPr>
        <w:t>легкого штурмовика «УТ-1». Вооружение УТ-1б состояло из двух ШКАСов, укрепленных на специальной ферме в межлонжеронном пространстве между нервюрами № 4 и № 5. Для монтажа фермы и патронных ящиков (по 420 патронов на ствол) обшивка крыла вскрывалась, а по окончании работ - восстанавливалась. В нижней части фермы крепились передний и задний упоры РО-82. Для защиты плоскости от газовой струи PC пространство за задним лонжероном между нервюрами № 4 и № 5 снизу обшивалась дюралем. Вместо штатной ручки управления монтировалась ручка ("баранка") с гашетками для пулеметов и PC. Перезарядка пулеметов производилась вручную от рукояток в кабине летчика посредством системы блоков и тросов. Прицел КП-5 устанавливался справа параллельно оси самолета между цилиндрами № 1 и № 5 мотора. Пулеметы пристреливались сходящимся веером на дистанцию 200 метров. Самолеты закамуфлировали черными пятнами по основному фону. Как утверждают ветераны полка, бортовой номер наносился белой краской (15037).</w:t>
      </w:r>
    </w:p>
    <w:p w14:paraId="48BAB08C"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3D13C5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А.И.Ш. писал письмо N-20/444. Сталину.</w:t>
      </w:r>
    </w:p>
    <w:p w14:paraId="3A8D77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Представляем на Ваше утверждение проект постановления ГКО обороны "Об организации производства самолетов Як-3 на заводе N 23 г. Москва". (ГКО N 1285 от 15 февраля 1942 г.) (2760,232).</w:t>
      </w:r>
    </w:p>
    <w:p w14:paraId="6025B1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C5D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Зам. Нач. ГУ ВВС Лешуков и Военком Руденко писали письмо N 372588с НКАП А.И.Ш.:</w:t>
      </w:r>
    </w:p>
    <w:p w14:paraId="72652A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ОКБ 301 (ГК Гудков) закончило производство 2-х Гу-82 с М-82.</w:t>
      </w:r>
    </w:p>
    <w:p w14:paraId="2E2B62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имеет 2 варианта вооружения:</w:t>
      </w:r>
    </w:p>
    <w:p w14:paraId="5175E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- 2БС+2ШКАС</w:t>
      </w:r>
    </w:p>
    <w:p w14:paraId="3471DB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2-й - 2ШВАК+2ШКАС</w:t>
      </w:r>
    </w:p>
    <w:p w14:paraId="0EEFCA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экз. проходил летные испытания, на которых были сняты летные характеристики. Вооружение испытано не было.</w:t>
      </w:r>
    </w:p>
    <w:p w14:paraId="203EC1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еще не летал и оружие на нем не испытывалось. Поскольку 2-й с т.з. вооружения представляет для ВВС интерес, подача его на испытания крайне необходима.</w:t>
      </w:r>
    </w:p>
    <w:p w14:paraId="22928B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Сообщая </w:t>
      </w:r>
      <w:proofErr w:type="gramStart"/>
      <w:r w:rsidRPr="008127F8">
        <w:rPr>
          <w:rFonts w:ascii="Times New Roman" w:hAnsi="Times New Roman"/>
          <w:color w:val="000000" w:themeColor="text1"/>
          <w:sz w:val="16"/>
          <w:szCs w:val="16"/>
        </w:rPr>
        <w:t>об этом</w:t>
      </w:r>
      <w:proofErr w:type="gramEnd"/>
      <w:r w:rsidRPr="008127F8">
        <w:rPr>
          <w:rFonts w:ascii="Times New Roman" w:hAnsi="Times New Roman"/>
          <w:color w:val="000000" w:themeColor="text1"/>
          <w:sz w:val="16"/>
          <w:szCs w:val="16"/>
        </w:rPr>
        <w:t xml:space="preserve"> прошу Вашего распоряжения о скорейшей подаче Гу-82 на испытания в НИИ АВ ВВС КА." (1635,213).</w:t>
      </w:r>
    </w:p>
    <w:p w14:paraId="6B05DB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71F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11 февраля 1942 года, как следует из письма заместителя начальника Главного управления ВВС Лешукова в Н КАП, второй Гу-82 так и не поднялся в воздух, хотя заказчик настаивал на передаче его на Научно-испытательный полигон авиационного вооружения ВВС (НИ ПАВ ВВС) для испытания вооружения. Но у Гудкова не было серийного завода, не было и таких связей, как у Лавочкина. Видимо, эти обстоятельства послужили причиной того, что дальнейшая работа по Гу-82 прекратилась (12032).</w:t>
      </w:r>
    </w:p>
    <w:p w14:paraId="241CE3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AD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года была подготовлена справка:</w:t>
      </w:r>
    </w:p>
    <w:p w14:paraId="6A25D6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Рабочие и ИТР с Ленинградского завода № 349 переводятся на завод № 237 (Казань) (9213).</w:t>
      </w:r>
    </w:p>
    <w:p w14:paraId="48A800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8B9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 по приказу № 112с на площадке эвакуированного завода № 469 в Солнечногорске был образован филиал завода № 469 по ремонту радиаторов. Начальник филиала - С.И. Михайлов. По приказу № 464с от 24.06.1942 г. филиал преобразован в самостоятельный радиаторный завод, получивший по приказу № 505с от 10.07.1942 г. наименование ГС завод № 459 при 2ГУ НКАП (ГС Завод № 459 НКАП, Завод № 10 НКЛП, Солнечногорский механический завод (СМЗ) Минлегпрома, МАП, ОАО «СМЗ» /</w:t>
      </w:r>
      <w:proofErr w:type="gramStart"/>
      <w:r w:rsidRPr="008127F8">
        <w:rPr>
          <w:rFonts w:ascii="Times New Roman" w:hAnsi="Times New Roman"/>
          <w:color w:val="000000" w:themeColor="text1"/>
          <w:sz w:val="16"/>
          <w:szCs w:val="16"/>
        </w:rPr>
        <w:t>141500  г.</w:t>
      </w:r>
      <w:proofErr w:type="gramEnd"/>
      <w:r w:rsidRPr="008127F8">
        <w:rPr>
          <w:rFonts w:ascii="Times New Roman" w:hAnsi="Times New Roman"/>
          <w:color w:val="000000" w:themeColor="text1"/>
          <w:sz w:val="16"/>
          <w:szCs w:val="16"/>
        </w:rPr>
        <w:t xml:space="preserve">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4B3F93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60FE06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1968 г. налажен выпуск туристического снаряжения- палаток и рюкзаков.</w:t>
      </w:r>
    </w:p>
    <w:p w14:paraId="0C41D9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55533B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75162A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(2004 г.)- 646 чел.</w:t>
      </w:r>
    </w:p>
    <w:p w14:paraId="6E6D09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(1942 г.-)- </w:t>
      </w:r>
      <w:proofErr w:type="gramStart"/>
      <w:r w:rsidRPr="008127F8">
        <w:rPr>
          <w:rFonts w:ascii="Times New Roman" w:hAnsi="Times New Roman"/>
          <w:color w:val="000000" w:themeColor="text1"/>
          <w:sz w:val="16"/>
          <w:szCs w:val="16"/>
        </w:rPr>
        <w:t>Денисов(</w:t>
      </w:r>
      <w:proofErr w:type="gramEnd"/>
      <w:r w:rsidRPr="008127F8">
        <w:rPr>
          <w:rFonts w:ascii="Times New Roman" w:hAnsi="Times New Roman"/>
          <w:color w:val="000000" w:themeColor="text1"/>
          <w:sz w:val="16"/>
          <w:szCs w:val="16"/>
        </w:rPr>
        <w:t>Данилов). Начальник- Ткачев. Гендиректор (2002 г.)- Ю.В. Торбахов, (2007 г.)- А.А. Королев.</w:t>
      </w:r>
    </w:p>
    <w:p w14:paraId="681505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(2002 г.)- М.М. Пахомов (11982).</w:t>
      </w:r>
    </w:p>
    <w:p w14:paraId="098962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0B4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февраля 1942 г. по приказу № 112с на площадке эвакуированного завода (ГС Завод № 469 ИМ. М.М. Громова НКАП, Фабрика «Волокно», Парашютная фабрика № 2 им. М.М. Громова НКЛП, Солнечногорский механический завод, Горьковский агрегатный завод, НПО «Теплообменник», ОАО «Производственно-конструкторское объединение (ПКО) «Теплообменник» ФАП /г. Солнечногорск Московской обл. ст. Подсолнечная;  г. Горький Сталинский р-н, 24-я линия/ /603950  г. Нижний Новгород ГСП-1376, пр. Ленина, 93 тел. (8312) 55-01-62, 58-99-68/)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w:t>
      </w:r>
      <w:proofErr w:type="gramStart"/>
      <w:r w:rsidRPr="008127F8">
        <w:rPr>
          <w:rFonts w:ascii="Times New Roman" w:hAnsi="Times New Roman"/>
          <w:color w:val="000000" w:themeColor="text1"/>
          <w:sz w:val="16"/>
          <w:szCs w:val="16"/>
        </w:rPr>
        <w:t>вр,-</w:t>
      </w:r>
      <w:proofErr w:type="gramEnd"/>
      <w:r w:rsidRPr="008127F8">
        <w:rPr>
          <w:rFonts w:ascii="Times New Roman" w:hAnsi="Times New Roman"/>
          <w:color w:val="000000" w:themeColor="text1"/>
          <w:sz w:val="16"/>
          <w:szCs w:val="16"/>
        </w:rPr>
        <w:t xml:space="preserve"> ОАО СМЗ).</w:t>
      </w:r>
    </w:p>
    <w:p w14:paraId="2877DC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w:t>
      </w:r>
      <w:proofErr w:type="gramStart"/>
      <w:r w:rsidRPr="008127F8">
        <w:rPr>
          <w:rFonts w:ascii="Times New Roman" w:hAnsi="Times New Roman"/>
          <w:color w:val="000000" w:themeColor="text1"/>
          <w:sz w:val="16"/>
          <w:szCs w:val="16"/>
        </w:rPr>
        <w:t>СКО  Г.А.</w:t>
      </w:r>
      <w:proofErr w:type="gramEnd"/>
      <w:r w:rsidRPr="008127F8">
        <w:rPr>
          <w:rFonts w:ascii="Times New Roman" w:hAnsi="Times New Roman"/>
          <w:color w:val="000000" w:themeColor="text1"/>
          <w:sz w:val="16"/>
          <w:szCs w:val="16"/>
        </w:rPr>
        <w:t xml:space="preserve">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195AAB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46702E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58AB0E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35475A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0D5D11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67353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1965 г. выпускался </w:t>
      </w:r>
      <w:proofErr w:type="gramStart"/>
      <w:r w:rsidRPr="008127F8">
        <w:rPr>
          <w:rFonts w:ascii="Times New Roman" w:hAnsi="Times New Roman"/>
          <w:color w:val="000000" w:themeColor="text1"/>
          <w:sz w:val="16"/>
          <w:szCs w:val="16"/>
        </w:rPr>
        <w:t>топливо-воздушный</w:t>
      </w:r>
      <w:proofErr w:type="gramEnd"/>
      <w:r w:rsidRPr="008127F8">
        <w:rPr>
          <w:rFonts w:ascii="Times New Roman" w:hAnsi="Times New Roman"/>
          <w:color w:val="000000" w:themeColor="text1"/>
          <w:sz w:val="16"/>
          <w:szCs w:val="16"/>
        </w:rPr>
        <w:t xml:space="preserve"> радиатор для КР П-6.</w:t>
      </w:r>
    </w:p>
    <w:p w14:paraId="51507C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8127F8">
        <w:rPr>
          <w:rFonts w:ascii="Times New Roman" w:hAnsi="Times New Roman"/>
          <w:color w:val="000000" w:themeColor="text1"/>
          <w:sz w:val="16"/>
          <w:szCs w:val="16"/>
          <w:lang w:val="en-US"/>
        </w:rPr>
        <w:t>RRJ</w:t>
      </w:r>
      <w:r w:rsidRPr="008127F8">
        <w:rPr>
          <w:rFonts w:ascii="Times New Roman" w:hAnsi="Times New Roman"/>
          <w:color w:val="000000" w:themeColor="text1"/>
          <w:sz w:val="16"/>
          <w:szCs w:val="16"/>
        </w:rPr>
        <w:t xml:space="preserve"> (2003 г.).</w:t>
      </w:r>
    </w:p>
    <w:p w14:paraId="17BABE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722CD5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(1.01.2001 г.)- 2620 чел.</w:t>
      </w:r>
    </w:p>
    <w:p w14:paraId="3D16DE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(12.1940-11.1944 г.-)- В.Н. Смирнов,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Васильев. Гендиректор (1986-2006 г.-)- В.В. Тятинькин.</w:t>
      </w:r>
    </w:p>
    <w:p w14:paraId="3174F1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экономике (2005 г.)</w:t>
      </w:r>
      <w:proofErr w:type="gramStart"/>
      <w:r w:rsidRPr="008127F8">
        <w:rPr>
          <w:rFonts w:ascii="Times New Roman" w:hAnsi="Times New Roman"/>
          <w:color w:val="000000" w:themeColor="text1"/>
          <w:sz w:val="16"/>
          <w:szCs w:val="16"/>
        </w:rPr>
        <w:t>-  Г.М.</w:t>
      </w:r>
      <w:proofErr w:type="gramEnd"/>
      <w:r w:rsidRPr="008127F8">
        <w:rPr>
          <w:rFonts w:ascii="Times New Roman" w:hAnsi="Times New Roman"/>
          <w:color w:val="000000" w:themeColor="text1"/>
          <w:sz w:val="16"/>
          <w:szCs w:val="16"/>
        </w:rPr>
        <w:t xml:space="preserve"> Воронина; по маркетингу (2005 г.)- И.Ю. Батраков.</w:t>
      </w:r>
    </w:p>
    <w:p w14:paraId="6E640B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(10.1941 г.)- В.В. Сычев.</w:t>
      </w:r>
    </w:p>
    <w:p w14:paraId="0F27DC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(12.1941-05.1942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Мосолов, (2003 г.-)- В.В. Тятинькин. Ген. конструктор (-2005-06 г.-)- В.В. Тятинькин {14.12.1945-} (11982).</w:t>
      </w:r>
    </w:p>
    <w:p w14:paraId="072FC7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958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 площадка завода № 478 6ГУ НКАП (ГС Завод № 478 ИМ. Тельмана НКАП, Завод «Сельмаш», Завод «Металлист», Калужский весовой завод, Весовой завод им. Тельмана НКОМ /г. Калуга/)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 (11982).</w:t>
      </w:r>
    </w:p>
    <w:p w14:paraId="4EC30F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EB4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февраля 1942 г. по приказу № 116с на площадке эвакуированного завода № 487 НКАП был создан филиал завода № 481 НКАП /г. Москва/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-132, подкрыльевых кассет АБКП-500 для Ил-4, ампулометов.</w:t>
      </w:r>
    </w:p>
    <w:p w14:paraId="7C9D78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4032B5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02.1943 г. филиал был преобразован в самостоятельный завод с прежним наименованием- завод № 487 НКАП.</w:t>
      </w:r>
    </w:p>
    <w:p w14:paraId="74648D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5082E9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494AC1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53E0B6F4"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D79AE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05EC8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045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 на заводе № 562 произошла крупная авария на фазе прессования. Пресс Круппа был выведен из строя. Не обошлось и без человеческих жертв. Однако уже в марте 1942 г. начался выпуск зарядов, в начале минометных.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 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 (11209).</w:t>
      </w:r>
    </w:p>
    <w:p w14:paraId="4FB90F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5B17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февраля 1942 г. Докладная записка члена ГКО СССР Л. П. Берии председателю ГКО СССР И. В. Сталину о принятии на вооружение пистолетов</w:t>
      </w:r>
      <w:r>
        <w:rPr>
          <w:rFonts w:ascii="Times New Roman" w:hAnsi="Times New Roman"/>
          <w:color w:val="0070C0"/>
          <w:sz w:val="16"/>
          <w:szCs w:val="16"/>
        </w:rPr>
        <w:t>-</w:t>
      </w:r>
      <w:r w:rsidRPr="008A2E5A">
        <w:rPr>
          <w:rFonts w:ascii="Times New Roman" w:hAnsi="Times New Roman"/>
          <w:color w:val="0070C0"/>
          <w:sz w:val="16"/>
          <w:szCs w:val="16"/>
        </w:rPr>
        <w:t>пулеметов Шпагина с измененной конструкцией магазина</w:t>
      </w:r>
    </w:p>
    <w:p w14:paraId="52259591"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06E7C12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представляю на Ваше рассмотрение проект постановления Государственного комитета обороны о принятии на вооружение Красной армии к пулеметупистолету Шпагина (ППШ), наряду с дисковым магазином емкостью в 71 патрон, коробчатого магазина емкостью в 35 патронов.</w:t>
      </w:r>
    </w:p>
    <w:p w14:paraId="03E8E69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Проектом постановления предусматривается изготовление в феврале месяце 1942 г. на Ковровском заводе [№] 2 НКВ 10 тыс. шт. ППШ, укомплектованных шестью коробчатыми магазинами каждый. Пулеметы-пистолеты с коробчатыми магазинами могут быть укомплектованы и дисковыми магазинами в силу их взаимозаменяемости.</w:t>
      </w:r>
    </w:p>
    <w:p w14:paraId="18E2A29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того, что в настоящее время более 30 тыс. шт. готовых ППШ лежат на заводах и не могут быть укомплектованы магазинами из-за отсутствия таковых, проектом постановления предлагается снизить норму комплектации ППШ с трех дисковых магазинов до двух.</w:t>
      </w:r>
    </w:p>
    <w:p w14:paraId="4983769B"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постановления разработан совместно с НКО (т. Воронов, Яковлев), НКВ (т. Ванников), конструктором т. Шпагиным и согласован с НКСМ (т. Акоповым), Наркомчерметом (т. Бычковым) и МК ВКП(б) (т. Поповым).</w:t>
      </w:r>
    </w:p>
    <w:p w14:paraId="536A01A8"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Вашего решения.</w:t>
      </w:r>
    </w:p>
    <w:p w14:paraId="24CE72B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1F135A14"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красным карандашом: «И. Сталин».</w:t>
      </w:r>
    </w:p>
    <w:p w14:paraId="44738051"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36. Л. 153-154. Подлинник (24150).</w:t>
      </w:r>
    </w:p>
    <w:p w14:paraId="1E0E6F1B" w14:textId="77777777" w:rsidR="00917E4B" w:rsidRPr="008A2E5A" w:rsidRDefault="00917E4B" w:rsidP="00917E4B">
      <w:pPr>
        <w:spacing w:after="0" w:line="240" w:lineRule="auto"/>
        <w:jc w:val="both"/>
        <w:rPr>
          <w:rFonts w:ascii="Times New Roman" w:hAnsi="Times New Roman"/>
          <w:color w:val="0070C0"/>
          <w:sz w:val="16"/>
          <w:szCs w:val="16"/>
        </w:rPr>
      </w:pPr>
    </w:p>
    <w:p w14:paraId="09A32C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 была подготовлена ВЫПИСКА ИЗ БЕСЕДЫ ЗАМЕСТИТЕЛЯ НАРКОМА ВНЕШНЕЙ ТОРГОВЛИ СССР т. КРУТИКОВА С АМЕРИКАНСКИМ ГЕНЕРАЛОМ ФАЙМОНВИЛЛ</w:t>
      </w:r>
    </w:p>
    <w:p w14:paraId="53FDED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октановом числе бензина для танков.</w:t>
      </w:r>
    </w:p>
    <w:p w14:paraId="4F9AF24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Г-н Файмонвилл сообщил ответ для генерала Федоренко, который интересовался возможностью использования 70-октанового бензина для легких и средних танков, для которых по инструкции не</w:t>
      </w:r>
      <w:r w:rsidRPr="008127F8">
        <w:rPr>
          <w:rFonts w:ascii="Times New Roman" w:hAnsi="Times New Roman"/>
          <w:color w:val="000000" w:themeColor="text1"/>
          <w:sz w:val="16"/>
          <w:szCs w:val="16"/>
        </w:rPr>
        <w:softHyphen/>
        <w:t>обходим:</w:t>
      </w:r>
    </w:p>
    <w:p w14:paraId="064C7F9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легких танков — 80-октановый бензин,</w:t>
      </w:r>
    </w:p>
    <w:p w14:paraId="3FC734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средних танков - 91 -октановый бензин.</w:t>
      </w:r>
    </w:p>
    <w:p w14:paraId="58247D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Вашингтон сообщает по этому вопросу следующее:</w:t>
      </w:r>
    </w:p>
    <w:p w14:paraId="0AF68D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удовлетворительной работы моторов необходимо, чтобы легкие танки обеспе</w:t>
      </w:r>
      <w:r w:rsidRPr="008127F8">
        <w:rPr>
          <w:rFonts w:ascii="Times New Roman" w:hAnsi="Times New Roman"/>
          <w:color w:val="000000" w:themeColor="text1"/>
          <w:sz w:val="16"/>
          <w:szCs w:val="16"/>
        </w:rPr>
        <w:softHyphen/>
        <w:t>чивались 80-октановым бензином и средние — 91-октановым бензином. Допускается и меньшее ок</w:t>
      </w:r>
      <w:r w:rsidRPr="008127F8">
        <w:rPr>
          <w:rFonts w:ascii="Times New Roman" w:hAnsi="Times New Roman"/>
          <w:color w:val="000000" w:themeColor="text1"/>
          <w:sz w:val="16"/>
          <w:szCs w:val="16"/>
        </w:rPr>
        <w:softHyphen/>
        <w:t>тановое число, однако, это нежелательно. При применении бензина с более низким октановым чис</w:t>
      </w:r>
      <w:r w:rsidRPr="008127F8">
        <w:rPr>
          <w:rFonts w:ascii="Times New Roman" w:hAnsi="Times New Roman"/>
          <w:color w:val="000000" w:themeColor="text1"/>
          <w:sz w:val="16"/>
          <w:szCs w:val="16"/>
        </w:rPr>
        <w:softHyphen/>
        <w:t>лом необходимо замедлять вспышку и обогащать карбюраторы. Легкий танк может работать и с 70-октановьм бензином, однако, в этом случае мотор не должен работать с открытым дроссельным клапаном. Средний танк при работе с 70-октановым бензином может получить серьезные повреж</w:t>
      </w:r>
      <w:r w:rsidRPr="008127F8">
        <w:rPr>
          <w:rFonts w:ascii="Times New Roman" w:hAnsi="Times New Roman"/>
          <w:color w:val="000000" w:themeColor="text1"/>
          <w:sz w:val="16"/>
          <w:szCs w:val="16"/>
        </w:rPr>
        <w:softHyphen/>
        <w:t>дения. Вашингтон подчеркивает, что при этом мотор будет работать с перебоями и слышимым сту-чанием, которое, однако, в кабине водителя не будет слышно.</w:t>
      </w:r>
    </w:p>
    <w:p w14:paraId="2FAAA22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г-н Файмонвилл сообщил в ответ на запрос т. Федоренко, что упоминаемые октановые числа 80 и 91 соответствуют стандартам АSТМ (American Society of Test of Materials) — Американ</w:t>
      </w:r>
      <w:r w:rsidRPr="008127F8">
        <w:rPr>
          <w:rFonts w:ascii="Times New Roman" w:hAnsi="Times New Roman"/>
          <w:color w:val="000000" w:themeColor="text1"/>
          <w:sz w:val="16"/>
          <w:szCs w:val="16"/>
        </w:rPr>
        <w:softHyphen/>
        <w:t>ское общество по испытанию материалов). Октановое число 91 по армейскому стандарту будет со</w:t>
      </w:r>
      <w:r w:rsidRPr="008127F8">
        <w:rPr>
          <w:rFonts w:ascii="Times New Roman" w:hAnsi="Times New Roman"/>
          <w:color w:val="000000" w:themeColor="text1"/>
          <w:sz w:val="16"/>
          <w:szCs w:val="16"/>
        </w:rPr>
        <w:softHyphen/>
        <w:t>ответствовать октановому числу 87 по стандарту А5ТМ.</w:t>
      </w:r>
    </w:p>
    <w:p w14:paraId="401C74B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647. Л. 28-29. Копия (11211).</w:t>
      </w:r>
    </w:p>
    <w:p w14:paraId="1EB728B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1B4D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 [5.42] директором ТМЗ был назначен Г.Р. Ударов приказом № 13 Главмотовелопрома и от него потребовали к 15 мая 1942 г. изготовить опытный об</w:t>
      </w:r>
      <w:r w:rsidRPr="008127F8">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1DA39D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8127F8">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28DB729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Великой Отечественной войны изготовленные мото</w:t>
      </w:r>
      <w:r w:rsidRPr="008127F8">
        <w:rPr>
          <w:rFonts w:ascii="Times New Roman" w:hAnsi="Times New Roman"/>
          <w:color w:val="000000" w:themeColor="text1"/>
          <w:sz w:val="16"/>
          <w:szCs w:val="16"/>
        </w:rPr>
        <w:softHyphen/>
        <w:t>циклы поступали на ММЗ, где к ним крепили мотоколяски, воо</w:t>
      </w:r>
      <w:r w:rsidRPr="008127F8">
        <w:rPr>
          <w:rFonts w:ascii="Times New Roman" w:hAnsi="Times New Roman"/>
          <w:color w:val="000000" w:themeColor="text1"/>
          <w:sz w:val="16"/>
          <w:szCs w:val="16"/>
        </w:rPr>
        <w:softHyphen/>
        <w:t>ружали и передавали представителям ГБТУ Красной Армии, ко</w:t>
      </w:r>
      <w:r w:rsidRPr="008127F8">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8127F8">
        <w:rPr>
          <w:rFonts w:ascii="Times New Roman" w:hAnsi="Times New Roman"/>
          <w:color w:val="000000" w:themeColor="text1"/>
          <w:sz w:val="16"/>
          <w:szCs w:val="16"/>
        </w:rPr>
        <w:softHyphen/>
        <w:t>товленной на заводах, не совпадали. Сведения ГБТУ, отража</w:t>
      </w:r>
      <w:r w:rsidRPr="008127F8">
        <w:rPr>
          <w:rFonts w:ascii="Times New Roman" w:hAnsi="Times New Roman"/>
          <w:color w:val="000000" w:themeColor="text1"/>
          <w:sz w:val="16"/>
          <w:szCs w:val="16"/>
        </w:rPr>
        <w:softHyphen/>
        <w:t>вшие оснащение вооруженных сил мотоциклами в 1942 г., приве</w:t>
      </w:r>
      <w:r w:rsidRPr="008127F8">
        <w:rPr>
          <w:rFonts w:ascii="Times New Roman" w:hAnsi="Times New Roman"/>
          <w:color w:val="000000" w:themeColor="text1"/>
          <w:sz w:val="16"/>
          <w:szCs w:val="16"/>
        </w:rPr>
        <w:softHyphen/>
        <w:t>дены в табл. 18 [5.45]</w:t>
      </w:r>
    </w:p>
    <w:p w14:paraId="05C78E0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причинам обнаруженного несоответствия изготовленных и поставленных в Красную Армию мотоциклов можно отнести сдачу в 1942 г. части продукции, сделанной в 1941 г., и передачу некоторых изготовленных мотоциклов не ГБТУ, а другим ве</w:t>
      </w:r>
      <w:r w:rsidRPr="008127F8">
        <w:rPr>
          <w:rFonts w:ascii="Times New Roman" w:hAnsi="Times New Roman"/>
          <w:color w:val="000000" w:themeColor="text1"/>
          <w:sz w:val="16"/>
          <w:szCs w:val="16"/>
        </w:rPr>
        <w:softHyphen/>
        <w:t>домствам и пр. Потери на фронтах мотоциклов в 1941 г. оказа</w:t>
      </w:r>
      <w:r w:rsidRPr="008127F8">
        <w:rPr>
          <w:rFonts w:ascii="Times New Roman" w:hAnsi="Times New Roman"/>
          <w:color w:val="000000" w:themeColor="text1"/>
          <w:sz w:val="16"/>
          <w:szCs w:val="16"/>
        </w:rPr>
        <w:softHyphen/>
        <w:t>лись столь значительными, что потребовалось организовать вос</w:t>
      </w:r>
      <w:r w:rsidRPr="008127F8">
        <w:rPr>
          <w:rFonts w:ascii="Times New Roman" w:hAnsi="Times New Roman"/>
          <w:color w:val="000000" w:themeColor="text1"/>
          <w:sz w:val="16"/>
          <w:szCs w:val="16"/>
        </w:rPr>
        <w:softHyphen/>
        <w:t>становление отечественной мототехники, поврежденной в бое</w:t>
      </w:r>
      <w:r w:rsidRPr="008127F8">
        <w:rPr>
          <w:rFonts w:ascii="Times New Roman" w:hAnsi="Times New Roman"/>
          <w:color w:val="000000" w:themeColor="text1"/>
          <w:sz w:val="16"/>
          <w:szCs w:val="16"/>
        </w:rPr>
        <w:softHyphen/>
        <w:t>вых действиях.</w:t>
      </w:r>
    </w:p>
    <w:p w14:paraId="539F87F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18 Поставки мотоциклов с эвакуированных заводов в Красную Армию,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9"/>
        <w:gridCol w:w="1210"/>
        <w:gridCol w:w="1190"/>
        <w:gridCol w:w="1200"/>
        <w:gridCol w:w="1114"/>
      </w:tblGrid>
      <w:tr w:rsidR="006F4095" w:rsidRPr="008127F8" w14:paraId="6040F14F" w14:textId="77777777">
        <w:trPr>
          <w:trHeight w:val="394"/>
        </w:trPr>
        <w:tc>
          <w:tcPr>
            <w:tcW w:w="1699" w:type="dxa"/>
            <w:tcBorders>
              <w:top w:val="single" w:sz="12" w:space="0" w:color="auto"/>
            </w:tcBorders>
          </w:tcPr>
          <w:p w14:paraId="2A2FF32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w:t>
            </w:r>
          </w:p>
          <w:p w14:paraId="0C8F487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0" w:type="dxa"/>
            <w:gridSpan w:val="2"/>
            <w:tcBorders>
              <w:top w:val="single" w:sz="12" w:space="0" w:color="auto"/>
            </w:tcBorders>
          </w:tcPr>
          <w:p w14:paraId="6FDC441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М-72</w:t>
            </w:r>
          </w:p>
          <w:p w14:paraId="702D03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9DA8B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АМ-600</w:t>
            </w:r>
          </w:p>
          <w:p w14:paraId="201335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12" w:space="0" w:color="auto"/>
            </w:tcBorders>
          </w:tcPr>
          <w:p w14:paraId="1C087E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p w14:paraId="0CD847A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01A58C" w14:textId="77777777">
        <w:trPr>
          <w:trHeight w:val="365"/>
        </w:trPr>
        <w:tc>
          <w:tcPr>
            <w:tcW w:w="1699" w:type="dxa"/>
          </w:tcPr>
          <w:p w14:paraId="36764D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F4D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75D29D4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ИМЗ</w:t>
            </w:r>
          </w:p>
          <w:p w14:paraId="2BE809F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FD29DC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ГМЗ</w:t>
            </w:r>
          </w:p>
          <w:p w14:paraId="4DFC71E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8A9856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ТМЗ</w:t>
            </w:r>
          </w:p>
          <w:p w14:paraId="4A6F90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351657D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3B0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465628" w14:textId="77777777">
        <w:trPr>
          <w:trHeight w:val="384"/>
        </w:trPr>
        <w:tc>
          <w:tcPr>
            <w:tcW w:w="1699" w:type="dxa"/>
          </w:tcPr>
          <w:p w14:paraId="2938A3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p w14:paraId="7CE390C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4136E56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20AC36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1F843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C36FFA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4F97FE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2ABC40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328B88D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E0EAE6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2DBF8F" w14:textId="77777777">
        <w:trPr>
          <w:trHeight w:val="221"/>
        </w:trPr>
        <w:tc>
          <w:tcPr>
            <w:tcW w:w="1699" w:type="dxa"/>
          </w:tcPr>
          <w:p w14:paraId="1963E5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p w14:paraId="2871801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54CCD6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p w14:paraId="0E718FD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5A8CC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p w14:paraId="27C4D0A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48643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DCFF1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5D616B6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p w14:paraId="7D6148A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4B083D" w14:textId="77777777">
        <w:trPr>
          <w:trHeight w:val="221"/>
        </w:trPr>
        <w:tc>
          <w:tcPr>
            <w:tcW w:w="1699" w:type="dxa"/>
          </w:tcPr>
          <w:p w14:paraId="2E1A991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p w14:paraId="4D7077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EA8294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p w14:paraId="444471B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0CA788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p w14:paraId="427EBC1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302B18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9611C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4D80C52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w:t>
            </w:r>
          </w:p>
          <w:p w14:paraId="6019291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E7BA7E" w14:textId="77777777">
        <w:trPr>
          <w:trHeight w:val="230"/>
        </w:trPr>
        <w:tc>
          <w:tcPr>
            <w:tcW w:w="1699" w:type="dxa"/>
          </w:tcPr>
          <w:p w14:paraId="1987E9A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p w14:paraId="0E1C39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BD0678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p w14:paraId="352013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A9A4DD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344</w:t>
            </w:r>
          </w:p>
          <w:p w14:paraId="7CA9914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037AFB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35C74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4CFE1DC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w:t>
            </w:r>
          </w:p>
          <w:p w14:paraId="4BC872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C7ADE2B" w14:textId="77777777">
        <w:trPr>
          <w:trHeight w:val="202"/>
        </w:trPr>
        <w:tc>
          <w:tcPr>
            <w:tcW w:w="1699" w:type="dxa"/>
          </w:tcPr>
          <w:p w14:paraId="4BEA663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p w14:paraId="7A5F274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F7312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p w14:paraId="6C912A3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80EA7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p w14:paraId="05473E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37AF7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85264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5BE3BCC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p w14:paraId="4ACD2E6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6710B3" w14:textId="77777777">
        <w:trPr>
          <w:trHeight w:val="221"/>
        </w:trPr>
        <w:tc>
          <w:tcPr>
            <w:tcW w:w="1699" w:type="dxa"/>
          </w:tcPr>
          <w:p w14:paraId="50A9F7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p w14:paraId="2398426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338D3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p w14:paraId="560814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F0143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p w14:paraId="3E91A13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3E20A0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41A87D7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77E2626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239</w:t>
            </w:r>
          </w:p>
          <w:p w14:paraId="42E5BB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2135CC" w14:textId="77777777">
        <w:trPr>
          <w:trHeight w:val="221"/>
        </w:trPr>
        <w:tc>
          <w:tcPr>
            <w:tcW w:w="1699" w:type="dxa"/>
          </w:tcPr>
          <w:p w14:paraId="46F84CD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p w14:paraId="3EA8953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471704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p w14:paraId="6EECC2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BE54AD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p w14:paraId="76753DD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AD19D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68398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216DF7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w:t>
            </w:r>
          </w:p>
          <w:p w14:paraId="12B357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FADF651" w14:textId="77777777">
        <w:trPr>
          <w:trHeight w:val="240"/>
        </w:trPr>
        <w:tc>
          <w:tcPr>
            <w:tcW w:w="1699" w:type="dxa"/>
          </w:tcPr>
          <w:p w14:paraId="6619932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p w14:paraId="7E2FE46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0E5B744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p w14:paraId="6588AEA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7A1BF0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p w14:paraId="232A08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E8377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47AD42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672A09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p w14:paraId="52C30BF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3CB769" w14:textId="77777777">
        <w:trPr>
          <w:trHeight w:val="211"/>
        </w:trPr>
        <w:tc>
          <w:tcPr>
            <w:tcW w:w="1699" w:type="dxa"/>
          </w:tcPr>
          <w:p w14:paraId="6FCF4C2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Сентябрь</w:t>
            </w:r>
          </w:p>
          <w:p w14:paraId="7EA86B7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E30DB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p w14:paraId="535BDB0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5EF1C8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p w14:paraId="412701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07AE2E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p w14:paraId="555F0A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3A3179F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306</w:t>
            </w:r>
          </w:p>
          <w:p w14:paraId="171FAD0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CAED1F" w14:textId="77777777">
        <w:trPr>
          <w:trHeight w:val="211"/>
        </w:trPr>
        <w:tc>
          <w:tcPr>
            <w:tcW w:w="1699" w:type="dxa"/>
          </w:tcPr>
          <w:p w14:paraId="75550BE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p w14:paraId="5AB5EE0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078CE5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p w14:paraId="058FE27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BF02F1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1200" w:type="dxa"/>
          </w:tcPr>
          <w:p w14:paraId="484C99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1114" w:type="dxa"/>
          </w:tcPr>
          <w:p w14:paraId="3D9915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435</w:t>
            </w:r>
          </w:p>
        </w:tc>
      </w:tr>
      <w:tr w:rsidR="006F4095" w:rsidRPr="008127F8" w14:paraId="7D7D2042" w14:textId="77777777">
        <w:trPr>
          <w:trHeight w:val="211"/>
        </w:trPr>
        <w:tc>
          <w:tcPr>
            <w:tcW w:w="1699" w:type="dxa"/>
          </w:tcPr>
          <w:p w14:paraId="67F788F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p w14:paraId="1E4E493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3C5C9D6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p w14:paraId="480E3B2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500016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p w14:paraId="4C4211F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DB863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45D13B1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06D4099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304</w:t>
            </w:r>
          </w:p>
          <w:p w14:paraId="0F81B1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137F92" w14:textId="77777777">
        <w:trPr>
          <w:trHeight w:val="211"/>
        </w:trPr>
        <w:tc>
          <w:tcPr>
            <w:tcW w:w="1699" w:type="dxa"/>
          </w:tcPr>
          <w:p w14:paraId="444B730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p w14:paraId="1D8868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51051C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E1DD5D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9A1B32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5B62F0C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DBAF32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114" w:type="dxa"/>
          </w:tcPr>
          <w:p w14:paraId="081008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r>
      <w:tr w:rsidR="006F4095" w:rsidRPr="008127F8" w14:paraId="43A0DC83" w14:textId="77777777">
        <w:trPr>
          <w:trHeight w:val="211"/>
        </w:trPr>
        <w:tc>
          <w:tcPr>
            <w:tcW w:w="1699" w:type="dxa"/>
            <w:tcBorders>
              <w:bottom w:val="single" w:sz="12" w:space="0" w:color="auto"/>
            </w:tcBorders>
          </w:tcPr>
          <w:p w14:paraId="0911F1B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210" w:type="dxa"/>
            <w:tcBorders>
              <w:bottom w:val="single" w:sz="12" w:space="0" w:color="auto"/>
            </w:tcBorders>
          </w:tcPr>
          <w:p w14:paraId="1073902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1573</w:t>
            </w:r>
          </w:p>
        </w:tc>
        <w:tc>
          <w:tcPr>
            <w:tcW w:w="1190" w:type="dxa"/>
            <w:tcBorders>
              <w:bottom w:val="single" w:sz="12" w:space="0" w:color="auto"/>
            </w:tcBorders>
          </w:tcPr>
          <w:p w14:paraId="3C6D7C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1268</w:t>
            </w:r>
          </w:p>
        </w:tc>
        <w:tc>
          <w:tcPr>
            <w:tcW w:w="1200" w:type="dxa"/>
            <w:tcBorders>
              <w:bottom w:val="single" w:sz="12" w:space="0" w:color="auto"/>
            </w:tcBorders>
          </w:tcPr>
          <w:p w14:paraId="4F505EB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w:t>
            </w:r>
          </w:p>
        </w:tc>
        <w:tc>
          <w:tcPr>
            <w:tcW w:w="1114" w:type="dxa"/>
            <w:tcBorders>
              <w:bottom w:val="single" w:sz="12" w:space="0" w:color="auto"/>
            </w:tcBorders>
          </w:tcPr>
          <w:p w14:paraId="594EEB2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3028</w:t>
            </w:r>
          </w:p>
        </w:tc>
      </w:tr>
    </w:tbl>
    <w:p w14:paraId="0D386C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(11429).</w:t>
      </w:r>
    </w:p>
    <w:p w14:paraId="4899D07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007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вышло Постановление ГКО № 1267 О т. Булатове В.С. РГАНИР, Фонд ГКО, д. 21, лл. 35 (11012).</w:t>
      </w:r>
    </w:p>
    <w:p w14:paraId="6086ED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301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вышло Постановление ГКО № 1268 О т.т. Кочеткове П.В. и Зеленкове М.Н. РГАНИР, Фонд ГКО, д. 21, лл. 36 (11012).</w:t>
      </w:r>
    </w:p>
    <w:p w14:paraId="1276F4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FCB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февраля 1942 вышло Постановление ГКО № 1269 О т.т. Серюкове А.РГАНИР, Фонд ГКО, </w:t>
      </w:r>
      <w:proofErr w:type="gramStart"/>
      <w:r w:rsidRPr="008127F8">
        <w:rPr>
          <w:rFonts w:ascii="Times New Roman" w:hAnsi="Times New Roman"/>
          <w:color w:val="000000" w:themeColor="text1"/>
          <w:sz w:val="16"/>
          <w:szCs w:val="16"/>
        </w:rPr>
        <w:t>д. ,</w:t>
      </w:r>
      <w:proofErr w:type="gramEnd"/>
      <w:r w:rsidRPr="008127F8">
        <w:rPr>
          <w:rFonts w:ascii="Times New Roman" w:hAnsi="Times New Roman"/>
          <w:color w:val="000000" w:themeColor="text1"/>
          <w:sz w:val="16"/>
          <w:szCs w:val="16"/>
        </w:rPr>
        <w:t xml:space="preserve"> Ткаченко И.С., Кобозеве К.А., Гришине С.Я., Карпенкове. РГАНИР, Фонд ГКО, д. А. и Тележкине H.З. РГАНИР, Фонд ГКО, д. 21, лл. 37 (11012).</w:t>
      </w:r>
    </w:p>
    <w:p w14:paraId="255729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32DF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года вышел приказ № 52с НКБ (Челябинск).</w:t>
      </w:r>
    </w:p>
    <w:p w14:paraId="7566573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 9с от 8 января 1942 года о передаче 5-му Гл. управлению НКБ Тарного завода комбината № 392 НКБ для организации 45 мм гильз – отменить (5754, 93).</w:t>
      </w:r>
    </w:p>
    <w:p w14:paraId="722C723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723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 вышел приказ народного комиссара химической промышленности СССР о финансировании отделения НКВД СССР, работающего при ГСНИИ-42 (нынешний ГСНИИОХТ). В отделении работали ученые-заключенные, участвовавшие в работах по созданию химического оружия (9067).</w:t>
      </w:r>
    </w:p>
    <w:p w14:paraId="2E8A4F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A04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года была подготовлена справка:</w:t>
      </w:r>
    </w:p>
    <w:p w14:paraId="660254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Вновь организованный завод № 297 НКВ изготовляет танковые оптические прицелы (9213).</w:t>
      </w:r>
    </w:p>
    <w:p w14:paraId="02639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D33E3" w14:textId="77777777" w:rsidR="006E7458" w:rsidRPr="008127F8" w:rsidRDefault="006E7458"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bCs/>
          <w:iCs/>
          <w:color w:val="000000" w:themeColor="text1"/>
          <w:sz w:val="16"/>
          <w:szCs w:val="16"/>
        </w:rPr>
        <w:t>11 февраля 1942 г</w:t>
      </w:r>
      <w:r w:rsidRPr="008127F8">
        <w:rPr>
          <w:rFonts w:ascii="Times New Roman" w:hAnsi="Times New Roman"/>
          <w:color w:val="000000" w:themeColor="text1"/>
          <w:sz w:val="16"/>
          <w:szCs w:val="16"/>
        </w:rPr>
        <w:t>. Приказ наркома НКХП СССР М.Ф.Денисова о финансировании отделения НКВД СССР при ГСНИИ-42 (ныне ГСНИИОХТ) — промышленном институте химической войны. В отделении работали ученые-заключенные над отдельными темами создания химического оружия. Институту было поручено выделить отделению НКВД СССР помещения, оборудование, материалы, а также обслуживающий персонал. Распоряжался всеми средствами, выделявшимися НКХП СССР, начальник отделения НКВД (17133).</w:t>
      </w:r>
    </w:p>
    <w:p w14:paraId="127C65FC" w14:textId="77777777" w:rsidR="006E7458" w:rsidRPr="008127F8" w:rsidRDefault="006E7458" w:rsidP="001E0A84">
      <w:pPr>
        <w:shd w:val="clear" w:color="auto" w:fill="FFFFFF"/>
        <w:spacing w:after="0" w:line="240" w:lineRule="auto"/>
        <w:jc w:val="both"/>
        <w:rPr>
          <w:rFonts w:ascii="Times New Roman" w:hAnsi="Times New Roman"/>
          <w:color w:val="000000" w:themeColor="text1"/>
          <w:sz w:val="16"/>
          <w:szCs w:val="16"/>
        </w:rPr>
      </w:pPr>
    </w:p>
    <w:p w14:paraId="496128D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F68DE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29F461"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159125F3"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11 февраля происходили наступательные бои наших войск против немецко-фашистских войск.</w:t>
      </w:r>
    </w:p>
    <w:p w14:paraId="7C69A6A7"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тов. Эрастова (Западный фронт), освободив от немцев два населённых пункта, захватили у противника 60 автомашин, 6 орудий, 14 пулемётов, 33 мотоцикла и 11.400 винтовочных патронов. На другом участке фронта наша стрелковая часть в ожесточённых боях уничтожила 4 немецких танка и 4 орудия, захватила 13 пулемётов, 2 противотанковых орудия, 2 автомашины, 50 велосипедов, 12 повозок с боеприпасами и другим военным имуществом. Немцы потеряли убитыми 400 солдат и офицеров.</w:t>
      </w:r>
    </w:p>
    <w:p w14:paraId="7C2B4A87"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один день боёв уничтожили 1.500 солдат и офицеров противника. Советские артиллеристы и разведывательные группы уничтожили 3 немецких танка, 6 орудий, 5 станковых пулемётов, 3 миномёта и разрушили 46 ДЗОТов и блиндажей противника.</w:t>
      </w:r>
    </w:p>
    <w:p w14:paraId="23D7129C"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противник, получив значительные подкрепления, пытался контратаковать наши части. Встретив немцев метким огнём, наши бойцы отбросили врага с большими для него потерями. На поле боя осталось 850 трупов немецких солдат и офицеров. Взято в плен 20 немцев, среди которых майор, командир первого батальона 85 пехотного полка.</w:t>
      </w:r>
    </w:p>
    <w:p w14:paraId="0CF19E0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Сапёры-красноармейцы тт. Зотов, Егоров, Козлов и Епифанов в боях за деревню П. умело расставленными минами уничтожили три немецких танка.</w:t>
      </w:r>
    </w:p>
    <w:p w14:paraId="2C4729BD"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К., действующий в одном из районов Смоленской области, оккупированных немцами, ведёт успешную борьбу с немецко-фашистскими захватчиками. Партизаны сожгли мост на дороге, по которой немцы подвозили боеприпасы к фронту. В результате движение было прервано на два дня. Через несколько дней отважные патриоты взорвали железнодорожный мост. На тракте бойцы уничтожили вражескую легковую машину и убили немецкого генерала. Группа партизан напала на колонну, расчищавшую дорогу от снега. Уничтожив 4 немецких унтер-офицеров, партизаны освободили 25 пленных красноармейцев, работавших в этой колонне.</w:t>
      </w:r>
    </w:p>
    <w:p w14:paraId="4118F2EE"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9 роты 485 полка 262 немецкой дивизии Адам Рейнбардт рассказал: «Только в последнем бою наша рота потеряла 36 солдат убитыми и ранеными. В роте осталось не больше 20 человек. В числе выбывших из строя, кроме убитых и раненых, много обмороженных. Питание скверное. В особенности остро чувствуется недостаток хлеба. За последнее время мы получали его не больше 100—150 граммов в день... Из нашей роты дезертировало 6 человек, которых сейчас разыскивают. Двух из них — Рихарда Гана и Трайда — я знаю лично. Остальные лишь недавно прибыли из резерва, и фамилий их я не помню».</w:t>
      </w:r>
    </w:p>
    <w:p w14:paraId="752C61EF"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Приуральном районе, Западно-Казахстанской области, за дни Великой Отечественной войны 209 женщин изучили трактор и получили звание трактористок. Сейчас на курсах по подготовке трактористов обучается ещё 231 женщина.» (15037).</w:t>
      </w:r>
    </w:p>
    <w:p w14:paraId="42B606FC"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5C36C07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3B81B985"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февраля наши войска, отбивая контратаки противника, продолжали наступательные бои и вновь продвинулись вперёд.</w:t>
      </w:r>
    </w:p>
    <w:p w14:paraId="7AB6F09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февраля уничтожено 12 самолётов противника. Наши потери — 8 самолётов.</w:t>
      </w:r>
    </w:p>
    <w:p w14:paraId="5737CEEE"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февраля под Москвой сбито 2 немецких самолёта.</w:t>
      </w:r>
    </w:p>
    <w:p w14:paraId="130A5BCD"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февраля частями нашей авиации уничтожено и повреждено 6 немецких танков, 20 орудий, 9 бронемашин, 200 автомашин с войсками и грузами, 60 повозок с боеприпасами, 15 зенитно-пулемётных точек, рассеяно и частью уничтожено до трёх батальонов пехоты противника.</w:t>
      </w:r>
    </w:p>
    <w:p w14:paraId="0F708B10"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 одного из подразделений гвардейской части, которой командует тов. Сиязов (Западный фронт), отрезав пути отхода отступающей вражеской части, захватили 2 немецких танка, 4 орудия, 3 миномёта, 2 противотанковых ружья, 6 автомашин, 100 повозок с продовольствием и военным имуществом и много других трофеев. Противник потерял убитыми свыше 100 солдат и офицеров.</w:t>
      </w:r>
    </w:p>
    <w:p w14:paraId="6B939224"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кавалерийская часть, действующая на одном из участков Юго-Западного фронта, обратила в бегство противника и захватила 7 автомашин, 3 миномёта, 5 пулемётов, много автоматов и винтовок.</w:t>
      </w:r>
    </w:p>
    <w:p w14:paraId="175A6B2A"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гвардейцев под командованием старшего лейтенанта Савченко блокировала 7 вражеских ДЗОТов и взорвала их связками гранат. Все находившиеся в ДЗОТах гитлеровцы погибли. Смелые действия гвардейцев обеспечили успешное продвижение вперёд нашей стрелковой части.</w:t>
      </w:r>
    </w:p>
    <w:p w14:paraId="02CDD5F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сержанта Якова Земзюлина ночью выкатил своё орудие на открытую огневую позицию и прямой наводкой уничтожил несколько вражеских ДЗОТов, подавил 16 огневых точек и взорвал склад с боеприпасами.</w:t>
      </w:r>
    </w:p>
    <w:p w14:paraId="2D95546C"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Ленинградской области в течение января, по неполным данным, уничтожили 1.400 гитлеровских солдат и 62 офицера. Советские патриоты взорвали в тылу у противника 8 складов с боеприпасами, несколько поездов, уничтожили один немецкий самолёт, 8 танков и танкеток, 2 зенитных орудия, 147 автомашин, гружённых боеприпасами, 2 тягача с прицепами, две радиостанции, нарушили в ряде мест линии полевой связи.</w:t>
      </w:r>
    </w:p>
    <w:p w14:paraId="54D46CDB"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351 полка 183 пехотной дивизии Эдуард Герберт, член фашистской партии, рассказал: «Настроение у солдат подавленное. Немецкая армия несёт большие потери. За последние 3 - 4 дня наша рота потеряла убитыми, ранеными и пленными 110 человек. Сейчас в роте осталось не более 40 солдат. Тёплого обмундирования до сих пор не выдали. Нам говорили, что в Германии идёт сбор тёплых вещей. Но пока что никто из нас не получил ничего, даже перчаток».</w:t>
      </w:r>
    </w:p>
    <w:p w14:paraId="7460F22F"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посёлка Ямы, Сталинской области, немецкое зверьё расстреляло и замучило многих советских граждан. Представители местных организаций и жители посёлка составили акт, в котором говорится, что во дворе гражданки Шепотько М. С. обнаружены трупы зверски замученных немцами Дьяченко В. П., Кравченко Ф. Д., Иваненко Я. Ф., Олейник И. Е., Кравченко Н. П. У жертв гитлеровцев изуродованы лица, глаза выколоты, нижние челюсти раздроблены. У одного трупа проломлен череп, на груди видны следы ранения ножом.</w:t>
      </w:r>
    </w:p>
    <w:p w14:paraId="4637F31B"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Один из заводов текстильного машиностроения, эвакуированный в глубокий тыл, перешёл на выпуск миномётов. Освоив новое производство, рабочие и инженерно-технические работники значительно перевыполняют задание. Кузнец Гортанов даёт в смену 5 норм, тт. Колосов, Шпырёв, Коренёвкин — по две с половиной нормы. Красная Армия получила от завода дополнительно сверх программы миномёты для двух дивизий.» (15037).</w:t>
      </w:r>
    </w:p>
    <w:p w14:paraId="6B761A5D"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2CDE4D8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7513C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7919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в результате третьего увеличения норм выдачи продовольствия населению Ленинграда рабочие и ИТР стали получать по 500 г хлеба в день, служащие - по 400 г, иждивенцы и дети - по 300 г. В магазинах стали отоваривать талоны на крупу, мясо, масло и другие продукты питания (10671).</w:t>
      </w:r>
    </w:p>
    <w:p w14:paraId="6AC519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20DEC"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Из дневника журналиста Н. К. Вержбицкого: "Мороз 5°. Снег. Со 2 февраля начал работать Московский университет. Открыты почти все факультеты. Памятник Ломоносову на месте, только постамент новый. Не видно никаких следов от падения тонновой бомбы. Среди студентов много побывавших на фронте в боях... На кладбище приходится ждать предания земле по 10-12 дней. Ничего, сейчас мороз, не провоняет!" (18696).</w:t>
      </w:r>
    </w:p>
    <w:p w14:paraId="665CCD81" w14:textId="77777777" w:rsidR="00CB3DA7" w:rsidRPr="008127F8" w:rsidRDefault="00CB3DA7" w:rsidP="001E0A84">
      <w:pPr>
        <w:spacing w:after="0" w:line="240" w:lineRule="auto"/>
        <w:jc w:val="both"/>
        <w:rPr>
          <w:rFonts w:ascii="Times New Roman" w:hAnsi="Times New Roman"/>
          <w:color w:val="000000" w:themeColor="text1"/>
          <w:sz w:val="16"/>
          <w:szCs w:val="16"/>
        </w:rPr>
      </w:pPr>
    </w:p>
    <w:p w14:paraId="1144C59A"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65D62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9727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года было получено:</w:t>
      </w:r>
    </w:p>
    <w:p w14:paraId="1CD623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СЕКРЕТНОЕ И ЛИЧНОЕ ПОСЛАНИЕ ПРЕЗИДЕНТА РУЗВЕЛЬТА г-ну СТАЛИНУ</w:t>
      </w:r>
    </w:p>
    <w:p w14:paraId="5E0A50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и феврале нами было или будет отгружено 449 легких танков, 408 средних танков, 244 истребителя, 24 Б-25 и 233 А-20.</w:t>
      </w:r>
    </w:p>
    <w:p w14:paraId="4CCDAE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сознаю всю важность доставки Вам нашего вооружения в возможно более короткий срок, и все усилия прилагаются к тому, чтобы отправить эти грузы.</w:t>
      </w:r>
    </w:p>
    <w:p w14:paraId="09A526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Имеющиеся здесь сообщения указывают на то, что Вы успешно отгоняете нацистов.</w:t>
      </w:r>
    </w:p>
    <w:p w14:paraId="1FC0FF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(7430).</w:t>
      </w:r>
    </w:p>
    <w:p w14:paraId="4A1645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F0FB4C"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был получен положительный ответ президента США: «В январе и феврале нами было или будет отгружено 449 легких танков, 408 средних танков, 244 истребителя, 24 В-25 и 233 А-20. Я сознаю всю важность доставки Вам нашего вооружения в возможно более короткий срок, и все усилия прилагаются к тому, чтобы отправить эти грузы. Имеющиеся здесь сообщения указывают на то, что Вы успешно отгоняете нацистов. 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(22856).</w:t>
      </w:r>
    </w:p>
    <w:p w14:paraId="71E53AEB"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5386C941"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4E3A9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735CCD"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11-13 февраля 1942 250 истребителей Messerschmitt Bf 109 и Focke-Wulf Fw 190 и 30 ночных истребителей Messerschmitt Bf 110 участвуют в операции Thunderbolt для обороны немецкиех крейсеров Шарнхорст и Гнейзенау а также тяжелого крейсера Prinz Eugen в ходе операции «Channel Dash» (операция « Цербер ») по переходу из Бреста, Франция, в Вильгельмсхафен и Брунсбюттель, Германия, через Ла-Манш и Дуврский пролив (20793).</w:t>
      </w:r>
    </w:p>
    <w:p w14:paraId="2EBC073B"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5CDBA9F4"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финны попытались перегнать один из двух захваченных 19 января 1942 Р-5 на авиазавод в Тампере, однако по дороге разбили (5016).</w:t>
      </w:r>
    </w:p>
    <w:p w14:paraId="7213EF8C"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9BC02"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февраля</w:t>
      </w:r>
      <w:r w:rsidRPr="008127F8">
        <w:rPr>
          <w:rFonts w:ascii="Times New Roman" w:hAnsi="Times New Roman"/>
          <w:color w:val="000000" w:themeColor="text1"/>
          <w:sz w:val="16"/>
          <w:szCs w:val="16"/>
        </w:rPr>
        <w:t xml:space="preserve"> в 1942 году крайний из 15-ти подаренных Гитлером Финляндии бомбардировщиков </w:t>
      </w:r>
      <w:hyperlink r:id="rId52" w:tgtFrame="_blank" w:history="1">
        <w:r w:rsidRPr="008127F8">
          <w:rPr>
            <w:rFonts w:ascii="Times New Roman" w:hAnsi="Times New Roman"/>
            <w:color w:val="000000" w:themeColor="text1"/>
            <w:sz w:val="16"/>
            <w:szCs w:val="16"/>
          </w:rPr>
          <w:t xml:space="preserve">«До-17» </w:t>
        </w:r>
      </w:hyperlink>
      <w:r w:rsidRPr="008127F8">
        <w:rPr>
          <w:rFonts w:ascii="Times New Roman" w:hAnsi="Times New Roman"/>
          <w:color w:val="000000" w:themeColor="text1"/>
          <w:sz w:val="16"/>
          <w:szCs w:val="16"/>
        </w:rPr>
        <w:t xml:space="preserve">прибыл в Финляндию. Все подаренные «Do 17» </w:t>
      </w:r>
      <w:hyperlink r:id="rId53" w:tgtFrame="_blank" w:history="1">
        <w:r w:rsidRPr="008127F8">
          <w:rPr>
            <w:rFonts w:ascii="Times New Roman" w:hAnsi="Times New Roman"/>
            <w:color w:val="000000" w:themeColor="text1"/>
            <w:sz w:val="16"/>
            <w:szCs w:val="16"/>
          </w:rPr>
          <w:t>www.airwar.ru/enc/bww2/do17z.html</w:t>
        </w:r>
      </w:hyperlink>
      <w:r w:rsidRPr="008127F8">
        <w:rPr>
          <w:rFonts w:ascii="Times New Roman" w:hAnsi="Times New Roman"/>
          <w:color w:val="000000" w:themeColor="text1"/>
          <w:sz w:val="16"/>
          <w:szCs w:val="16"/>
        </w:rPr>
        <w:t xml:space="preserve"> доставлялись из Германии по морю, на грузовых судах в частично разобранном виде. Три первых прибыли в Финляндию 5 января 1942 года. Остальные одиннадцать - до конца января. И последний, после установки на него фотооборудования, был доставлен 11 февраля 1942 года. Самолеты имели следующие серийные номера (Werk.Nr): 1155, 1175, 1218, 2608, 2622, 2818, 2856, 2873, 2905, 3228, 3323, 3425, 3498, 4187 и 4242. Из пятнадцати финских "дорнье" пять самолетов были модификацией бомбардировщика: три – «Do 17Z-1» и два – «Do 17Z-2»; девять - разведчика-бомбардировщика «Do 17Z-3», и модификация еще одного неизвестна. Самолеты были перекрашены в цвета финского камуфляжа, получили финские опознавательные знаки (голубая свастика в белом круге), бортовые номера (от «DN-51» до «DN-65») и поступили на вооружение 46 Lentolaivue (эскадрильи - LeLv) 4 Lentorykmentti (авиаполка - LeR) (15037).</w:t>
      </w:r>
    </w:p>
    <w:p w14:paraId="190E4CCE"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54A53787"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12 (11 - 2261) 1942 German warships Scharnhorst, Gneisenau, and Prinz Eugen escape from Brest and run up English Channel to German ports (1037).</w:t>
      </w:r>
    </w:p>
    <w:p w14:paraId="61502BD4"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AE5289"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февраля</w:t>
      </w:r>
      <w:r w:rsidRPr="008127F8">
        <w:rPr>
          <w:rFonts w:ascii="Times New Roman" w:hAnsi="Times New Roman"/>
          <w:color w:val="000000" w:themeColor="text1"/>
          <w:sz w:val="16"/>
          <w:szCs w:val="16"/>
        </w:rPr>
        <w:t xml:space="preserve"> в 1942 году в ночь на 11 февраля из французского порта Брест в направлении германских портов вышли немецкие линкоры "Гнейзенау", "Шарнхорст" и тяжёлый крейсер "Принц Ойген</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сопровождаемые 6 эсминцами и 21 торпедным катером. Под прикрытим около 200 самолётов Люфтваффе немецким кораблям удаётся прорваться через Ла Манш. 13 февраля эскадра прибыла в порт Киль. В ходе прорыва немцы потеряли торпедный </w:t>
      </w:r>
      <w:proofErr w:type="gramStart"/>
      <w:r w:rsidRPr="008127F8">
        <w:rPr>
          <w:rFonts w:ascii="Times New Roman" w:hAnsi="Times New Roman"/>
          <w:color w:val="000000" w:themeColor="text1"/>
          <w:sz w:val="16"/>
          <w:szCs w:val="16"/>
        </w:rPr>
        <w:t>катер ,</w:t>
      </w:r>
      <w:proofErr w:type="gramEnd"/>
      <w:r w:rsidRPr="008127F8">
        <w:rPr>
          <w:rFonts w:ascii="Times New Roman" w:hAnsi="Times New Roman"/>
          <w:color w:val="000000" w:themeColor="text1"/>
          <w:sz w:val="16"/>
          <w:szCs w:val="16"/>
        </w:rPr>
        <w:t xml:space="preserve"> а оба линкора получили повреждения от британских мин. Потери люфтваффе составили 17 самолётов. При попытке воспрепятствовать переходу, королевские ВВС потеряли 40 самолётов (15037).</w:t>
      </w:r>
    </w:p>
    <w:p w14:paraId="49A12889"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469CF6A5" w14:textId="77777777" w:rsidR="006E7458" w:rsidRPr="008127F8" w:rsidRDefault="006E74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февраля</w:t>
      </w:r>
      <w:r w:rsidRPr="008127F8">
        <w:rPr>
          <w:rFonts w:ascii="Times New Roman" w:hAnsi="Times New Roman"/>
          <w:color w:val="000000" w:themeColor="text1"/>
          <w:sz w:val="16"/>
          <w:szCs w:val="16"/>
        </w:rPr>
        <w:t xml:space="preserve"> в 1942 году американской мафией в гавани Нью-Йорка сожжен американский военный корабль «Нормандия». По версии журналистов главарь американской мафии Лаки Лчано, находившийся в тюрьме города Олбани, предупредил контрразведку ВМФ США о готовящихся диверсиях и предложил свои услуги по их предотвращению, чтобы этим уменьшить срок своего заключения. Военные моряки не вняли тогда предложению гангстера, и Лучано организовал поджог «Нормандии» (15037).</w:t>
      </w:r>
    </w:p>
    <w:p w14:paraId="0EAF00D8" w14:textId="77777777" w:rsidR="006E7458" w:rsidRPr="008127F8" w:rsidRDefault="006E7458" w:rsidP="001E0A84">
      <w:pPr>
        <w:spacing w:after="0" w:line="240" w:lineRule="auto"/>
        <w:jc w:val="both"/>
        <w:rPr>
          <w:rFonts w:ascii="Times New Roman" w:hAnsi="Times New Roman"/>
          <w:color w:val="000000" w:themeColor="text1"/>
          <w:sz w:val="16"/>
          <w:szCs w:val="16"/>
        </w:rPr>
      </w:pPr>
    </w:p>
    <w:p w14:paraId="6AC01D5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февраля 1942 американской мафией в гавани Нью-Йорка сожжен американский военный корабль “Нормандия” (4962).</w:t>
      </w:r>
    </w:p>
    <w:p w14:paraId="67322EE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F2D44"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1B844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1B33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года гл. конструктор самолета ИЛ-2 писал письмо N 185с Шахурину и директору завода N 24 Жезлову М.С.</w:t>
      </w:r>
    </w:p>
    <w:p w14:paraId="5F8E03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самолет ИЛ-2 на основе опыта войны внесен ряд изменений, что повлекло за собой значительное увеличение веса самолета:</w:t>
      </w:r>
    </w:p>
    <w:p w14:paraId="663580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ШВАК заменена на пушку Волкова-Ярцева.</w:t>
      </w:r>
    </w:p>
    <w:p w14:paraId="2D8A00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Установлена дополнительная броня.</w:t>
      </w:r>
    </w:p>
    <w:p w14:paraId="2244AE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Проведена замена дюралюминия на дерево.</w:t>
      </w:r>
    </w:p>
    <w:p w14:paraId="3FF630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Проведена замена прессованных профилей на гнутые.</w:t>
      </w:r>
    </w:p>
    <w:p w14:paraId="62A036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Установлен РПК.</w:t>
      </w:r>
    </w:p>
    <w:p w14:paraId="374589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Установлена универсальная кассета КМ Б-2.</w:t>
      </w:r>
    </w:p>
    <w:p w14:paraId="01BACC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изменения увеличили вес самолета на 310 кг. Это увеличение веса - увеличивает разбег самолета и ухудшает его взлетные свойства, что весьма нежелательно.</w:t>
      </w:r>
    </w:p>
    <w:p w14:paraId="763E62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взлетные качества самолета не ухудшались, необходимо увеличить мощность мотора на форсаже ан 200 НР, т.е. вместо 1650 сил необходимо 1850 сил. Если это увеличение мощности потребует снижения высотности мотора до нуля, то против этого у меня нет возражений, поскольку самолет ИЛ-2 летает не выше 300-400 метров.</w:t>
      </w:r>
    </w:p>
    <w:p w14:paraId="524CFF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указаний директору завода N 24 Жезлову М.С. об увеличении взлетной мощности мотора АМ-38 (1679,66).</w:t>
      </w:r>
    </w:p>
    <w:p w14:paraId="6EF2F42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DFC9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 на имя народного комиссара авиационной про</w:t>
      </w:r>
      <w:r w:rsidRPr="008127F8">
        <w:rPr>
          <w:rFonts w:ascii="Times New Roman" w:hAnsi="Times New Roman"/>
          <w:color w:val="000000" w:themeColor="text1"/>
          <w:sz w:val="16"/>
          <w:szCs w:val="16"/>
        </w:rPr>
        <w:softHyphen/>
        <w:t>мышленности А.И.Шахурина поступил ответ от С.В.Ильюшина: «По предложениям капитана Фомина и капитана Заноздро: как производить прицельную стрельбу РС, точно указано в техописании самолета. Управление бомбами и РС на 18-м заводе уже делается от двух сбрасывателей. Поставка ЭСБР-Зп заводом №32 в первом квартале сего года полностью удовлетворяет. Ил-2 и ЛаГГ-3 комплектуют двумя ЭСБР-3 каждый. Учи</w:t>
      </w:r>
      <w:r w:rsidRPr="008127F8">
        <w:rPr>
          <w:rFonts w:ascii="Times New Roman" w:hAnsi="Times New Roman"/>
          <w:color w:val="000000" w:themeColor="text1"/>
          <w:sz w:val="16"/>
          <w:szCs w:val="16"/>
        </w:rPr>
        <w:softHyphen/>
        <w:t>тывая потребности в ЭСБР-Зп, ГУЗиТС ВВС КА находит возможным временно, до разворота производства ЭСБР в потребном количестве от</w:t>
      </w:r>
      <w:r w:rsidRPr="008127F8">
        <w:rPr>
          <w:rFonts w:ascii="Times New Roman" w:hAnsi="Times New Roman"/>
          <w:color w:val="000000" w:themeColor="text1"/>
          <w:sz w:val="16"/>
          <w:szCs w:val="16"/>
        </w:rPr>
        <w:softHyphen/>
        <w:t>казаться от постановки их на самолетах Як-1, сохранив зарекомендовав-щую себя систему кнопочного управления стрельбой РС» (11402).</w:t>
      </w:r>
    </w:p>
    <w:p w14:paraId="571F5D0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1D1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С.В.И. писал А.И.Ш. письмо N 188с:</w:t>
      </w:r>
    </w:p>
    <w:p w14:paraId="1D03A0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тем, что опытный цех, на который базировалось ОКБ, которым я руковожу, был передан серийному заводу 39, я 20 сентября 1941 обратился к Вам с просьбой передать для опытной базы нашего ОКБ цех оперения завода 1 в Авиационном проезде.</w:t>
      </w:r>
    </w:p>
    <w:p w14:paraId="2F1F8B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 тогда дали принципиальное согласие и передали практическое разрешение вопроса Третьякову, но в связи с эвакуацией этот вопрос разрешен не был.</w:t>
      </w:r>
    </w:p>
    <w:p w14:paraId="684708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Вследствие того, что наше ОКБ не имеет ни опытного производства, ни помещения для КБ и лаборатории, прошу Вас о передаче цеха оперения завода 30 для опытной базы (1679,63).</w:t>
      </w:r>
    </w:p>
    <w:p w14:paraId="082A02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134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С.В.И. писал А.И.Ш. письмо N 187с:</w:t>
      </w:r>
    </w:p>
    <w:p w14:paraId="65151E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ознакомлении с работой Ил-2 в 61 и 65 шап, командованием и тех. составом этих полков были заявлены серьезные претензии к качеству АМ-38. В 65 шап в течение декабря и января выбыло из строя 5-% моторов, в 61-м - 45% (1679,66).</w:t>
      </w:r>
    </w:p>
    <w:p w14:paraId="763691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5DB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С.В.И. писал А.И.Ш. письмо N 190с:</w:t>
      </w:r>
    </w:p>
    <w:p w14:paraId="2C91A6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 на крейсерском режиме, на котором совершаются боевые полеты, расходует много горючего до 400 гр на силу в час.</w:t>
      </w:r>
    </w:p>
    <w:p w14:paraId="6AACF3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свое время по Вашему заданию завод 24 провел испытание АМ-38 на станке </w:t>
      </w:r>
      <w:proofErr w:type="gramStart"/>
      <w:r w:rsidRPr="008127F8">
        <w:rPr>
          <w:rFonts w:ascii="Times New Roman" w:hAnsi="Times New Roman"/>
          <w:color w:val="000000" w:themeColor="text1"/>
          <w:sz w:val="16"/>
          <w:szCs w:val="16"/>
        </w:rPr>
        <w:t>( с</w:t>
      </w:r>
      <w:proofErr w:type="gramEnd"/>
      <w:r w:rsidRPr="008127F8">
        <w:rPr>
          <w:rFonts w:ascii="Times New Roman" w:hAnsi="Times New Roman"/>
          <w:color w:val="000000" w:themeColor="text1"/>
          <w:sz w:val="16"/>
          <w:szCs w:val="16"/>
        </w:rPr>
        <w:t xml:space="preserve"> целью снижения расхода горючего), но не дал указаний о регулировке высотного корректора.</w:t>
      </w:r>
    </w:p>
    <w:p w14:paraId="080C63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указаний директору завода 24 о практической реализации в строевых частях снижения расхода горючего" (1679,77).</w:t>
      </w:r>
    </w:p>
    <w:p w14:paraId="5E55D0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048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 С.В.Ильюшин направил Наркому авиа</w:t>
      </w:r>
      <w:r w:rsidRPr="008127F8">
        <w:rPr>
          <w:rFonts w:ascii="Times New Roman" w:hAnsi="Times New Roman"/>
          <w:color w:val="000000" w:themeColor="text1"/>
          <w:sz w:val="16"/>
          <w:szCs w:val="16"/>
        </w:rPr>
        <w:softHyphen/>
        <w:t>промышленности А.И.Шахурину письмо № 186 (копия письма была направлена Лешукову), в котором указывалось, что:</w:t>
      </w:r>
    </w:p>
    <w:p w14:paraId="7A80D3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"...3)... Скорость с-та Ил-2 на сегодня вполне достаточная, об этом свидетель</w:t>
      </w:r>
      <w:r w:rsidRPr="008127F8">
        <w:rPr>
          <w:rFonts w:ascii="Times New Roman" w:hAnsi="Times New Roman"/>
          <w:iCs/>
          <w:color w:val="000000" w:themeColor="text1"/>
          <w:sz w:val="16"/>
          <w:szCs w:val="16"/>
        </w:rPr>
        <w:softHyphen/>
        <w:t>ствует отсутствие потерь от воздушно</w:t>
      </w:r>
      <w:r w:rsidRPr="008127F8">
        <w:rPr>
          <w:rFonts w:ascii="Times New Roman" w:hAnsi="Times New Roman"/>
          <w:iCs/>
          <w:color w:val="000000" w:themeColor="text1"/>
          <w:sz w:val="16"/>
          <w:szCs w:val="16"/>
        </w:rPr>
        <w:softHyphen/>
        <w:t>го противника....5) В отношении увели</w:t>
      </w:r>
      <w:r w:rsidRPr="008127F8">
        <w:rPr>
          <w:rFonts w:ascii="Times New Roman" w:hAnsi="Times New Roman"/>
          <w:iCs/>
          <w:color w:val="000000" w:themeColor="text1"/>
          <w:sz w:val="16"/>
          <w:szCs w:val="16"/>
        </w:rPr>
        <w:softHyphen/>
        <w:t>чения экипажа самолета Ил-2 до 2-х человек, особенно для самолета с мото</w:t>
      </w:r>
      <w:r w:rsidRPr="008127F8">
        <w:rPr>
          <w:rFonts w:ascii="Times New Roman" w:hAnsi="Times New Roman"/>
          <w:iCs/>
          <w:color w:val="000000" w:themeColor="text1"/>
          <w:sz w:val="16"/>
          <w:szCs w:val="16"/>
        </w:rPr>
        <w:softHyphen/>
        <w:t>ром АМ-38, считаем нецелесообразным и ненужным, так как при посещении ча</w:t>
      </w:r>
      <w:r w:rsidRPr="008127F8">
        <w:rPr>
          <w:rFonts w:ascii="Times New Roman" w:hAnsi="Times New Roman"/>
          <w:iCs/>
          <w:color w:val="000000" w:themeColor="text1"/>
          <w:sz w:val="16"/>
          <w:szCs w:val="16"/>
        </w:rPr>
        <w:softHyphen/>
        <w:t>стей видно, что потерь от воздушного противника Ил-2 не имеет. Целесооб</w:t>
      </w:r>
      <w:r w:rsidRPr="008127F8">
        <w:rPr>
          <w:rFonts w:ascii="Times New Roman" w:hAnsi="Times New Roman"/>
          <w:iCs/>
          <w:color w:val="000000" w:themeColor="text1"/>
          <w:sz w:val="16"/>
          <w:szCs w:val="16"/>
        </w:rPr>
        <w:softHyphen/>
        <w:t>разно на 9 штук самолетов выпускать один двухместный самолет с мотором М-82, который будет выполнять роль лидера девятки... "</w:t>
      </w:r>
      <w:r w:rsidRPr="008127F8">
        <w:rPr>
          <w:rFonts w:ascii="Times New Roman" w:hAnsi="Times New Roman"/>
          <w:color w:val="000000" w:themeColor="text1"/>
          <w:sz w:val="16"/>
          <w:szCs w:val="16"/>
        </w:rPr>
        <w:t xml:space="preserve"> (6467).</w:t>
      </w:r>
    </w:p>
    <w:p w14:paraId="3B4893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599B6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 С.В.И. направил наркому авиационной промышленно</w:t>
      </w:r>
      <w:r w:rsidRPr="008127F8">
        <w:rPr>
          <w:rFonts w:ascii="Times New Roman" w:hAnsi="Times New Roman"/>
          <w:color w:val="000000" w:themeColor="text1"/>
          <w:sz w:val="16"/>
          <w:szCs w:val="16"/>
        </w:rPr>
        <w:softHyphen/>
        <w:t>сти А.И. Шахурину письмо № 186, в котором указывалось, что «скорость самолета Ил-2 на сегодня вполне достаточная, об этом свидетельствует отсутствие потерь от воздушного противника... В отношении увеличения экипажа самолета Ил-2 до 2-х человек, особенно для самолета с мотором АМ-38, считаем нецелесообраз-I ным и ненужным, так как при посещении частей видно, что потерь от воздушного противника Ил-2 не имеет. Целесообразно на 9 штук самолетов выпускать один двухместный самолет с мотором М-82, который будет выполнять роль лидера девятки...» (10695).</w:t>
      </w:r>
    </w:p>
    <w:p w14:paraId="0AAB5FB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2AF49" w14:textId="77777777" w:rsidR="00CB3DA7" w:rsidRPr="008127F8" w:rsidRDefault="00CB3DA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12 февраля 1942 г. в письме наркому Шахурину Ильюшин указывал (копия письма направлена бригинженеру Лешукову): «В отношении увеличения экипажа самолета Ил-2 до 2-х человек, особенно для самолета с мотором АМ-38, считаем нецелесообразным и ненужным, т.к. при посещении частей видно, что потерь от воздушного противника Ил-2 не имеет. Целесообразно на 9 шт. самолетов выпускать один 2-местный самолет с мотором М82, который будет выполнять роль лидера девятки» (19111).</w:t>
      </w:r>
    </w:p>
    <w:p w14:paraId="0F8B873F" w14:textId="77777777" w:rsidR="00CB3DA7" w:rsidRPr="008127F8" w:rsidRDefault="00CB3DA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6D03B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года Шахурин писал письмо N Н-20/447 Маленкову и Берия.</w:t>
      </w:r>
    </w:p>
    <w:p w14:paraId="2D98BE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Посылаю Вам для ознакомления копию докладной записки гл. конструктора Сухого о постройке, предлагаемого им одноместного бронированного штурмовика Су-6 с мотором М-71 (2759,91).</w:t>
      </w:r>
    </w:p>
    <w:p w14:paraId="57D9E3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декабря 1941 года директор-гл. конструктор завода N 289 Сухой писал письмо N 35/1768с Шахурину.</w:t>
      </w:r>
    </w:p>
    <w:p w14:paraId="5D0032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 бронированный штурмовик Су-6 М-71, проходивший заводские испытания в ЛИИ НКАП, имеет следующие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8127F8" w14:paraId="3E37C3EE" w14:textId="77777777">
        <w:tc>
          <w:tcPr>
            <w:tcW w:w="2818" w:type="dxa"/>
            <w:tcBorders>
              <w:top w:val="single" w:sz="12" w:space="0" w:color="auto"/>
            </w:tcBorders>
          </w:tcPr>
          <w:p w14:paraId="6B938E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Максимальная скорость </w:t>
            </w:r>
          </w:p>
        </w:tc>
        <w:tc>
          <w:tcPr>
            <w:tcW w:w="2818" w:type="dxa"/>
            <w:tcBorders>
              <w:top w:val="single" w:sz="12" w:space="0" w:color="auto"/>
            </w:tcBorders>
          </w:tcPr>
          <w:p w14:paraId="16CAA2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 на номинальной мощности равна</w:t>
            </w:r>
          </w:p>
        </w:tc>
        <w:tc>
          <w:tcPr>
            <w:tcW w:w="2818" w:type="dxa"/>
            <w:tcBorders>
              <w:top w:val="single" w:sz="12" w:space="0" w:color="auto"/>
            </w:tcBorders>
          </w:tcPr>
          <w:p w14:paraId="76D401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 км/час</w:t>
            </w:r>
          </w:p>
        </w:tc>
      </w:tr>
      <w:tr w:rsidR="006F4095" w:rsidRPr="008127F8" w14:paraId="58871931" w14:textId="77777777">
        <w:tc>
          <w:tcPr>
            <w:tcW w:w="2818" w:type="dxa"/>
          </w:tcPr>
          <w:p w14:paraId="7C6454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006F6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5 минутном форсаже равна</w:t>
            </w:r>
          </w:p>
        </w:tc>
        <w:tc>
          <w:tcPr>
            <w:tcW w:w="2818" w:type="dxa"/>
          </w:tcPr>
          <w:p w14:paraId="162D07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 км/час</w:t>
            </w:r>
          </w:p>
        </w:tc>
      </w:tr>
      <w:tr w:rsidR="006F4095" w:rsidRPr="008127F8" w14:paraId="1902CE9D" w14:textId="77777777">
        <w:tc>
          <w:tcPr>
            <w:tcW w:w="2818" w:type="dxa"/>
            <w:tcBorders>
              <w:bottom w:val="single" w:sz="12" w:space="0" w:color="auto"/>
            </w:tcBorders>
          </w:tcPr>
          <w:p w14:paraId="51DE41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67F9C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5700</w:t>
            </w:r>
          </w:p>
        </w:tc>
        <w:tc>
          <w:tcPr>
            <w:tcW w:w="2818" w:type="dxa"/>
            <w:tcBorders>
              <w:bottom w:val="single" w:sz="12" w:space="0" w:color="auto"/>
            </w:tcBorders>
          </w:tcPr>
          <w:p w14:paraId="789C23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 км/час</w:t>
            </w:r>
          </w:p>
        </w:tc>
      </w:tr>
    </w:tbl>
    <w:p w14:paraId="1BBD12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Скорости даны при наличии 8 балок РО-82.</w:t>
      </w:r>
    </w:p>
    <w:p w14:paraId="3F8B3F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2000 м равно 2,5 минуты.</w:t>
      </w:r>
    </w:p>
    <w:p w14:paraId="5C0177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 - 10000 м.</w:t>
      </w:r>
    </w:p>
    <w:p w14:paraId="3F47EC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на высоте 500 м при средней скорости 440 км/час - равна 700 км</w:t>
      </w:r>
    </w:p>
    <w:p w14:paraId="454E6A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на высоте 500 м при скорости 375 км равна 900 км.</w:t>
      </w:r>
    </w:p>
    <w:p w14:paraId="6C56CF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летчика и расположенного под ним бензобака выполнено с учетом защиты от пули крупнокалиберного пулемета - снизу 6 мм, сбоку 6 и 8 мм, сзади 13 мм; спереди пилота прозрачная броня 65 мм.</w:t>
      </w:r>
    </w:p>
    <w:p w14:paraId="595B19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самолета состоит из 10 штук РО калибром 132 или 82, 2-х пушек Волкова-Ярцева калибром 23 мм, установленных в крыльях совместно с 4 пулеметами Шкас; предусмотрена установка 2-х синхронных пулеметов Шкас.</w:t>
      </w:r>
    </w:p>
    <w:p w14:paraId="170092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 бомбовая нагрузка 150 кг; емкость грузового отсека позволяет вместить до 400 кг бомб калибром от 1,5 до 100 кг.</w:t>
      </w:r>
    </w:p>
    <w:p w14:paraId="0C0B48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отчета ЛИИ НКАП самолет Су-6 обладает путевой и поперечной устойчивостью, а так же продольной устойчивостью с зажатой и брошенной ручкой; приемистость самолета и эффективность рулей хорошая; тенденций к развороту на разбеге и пробеге нет; бафтинг отсутствует; самолет прост и приятен в пилотировании и доступен для летчиков средней квалификации.</w:t>
      </w:r>
    </w:p>
    <w:p w14:paraId="27DE25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облете летчиками ЛИИ были даны следующие отзывы о самолете Су-6.</w:t>
      </w:r>
    </w:p>
    <w:p w14:paraId="105AD9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Гринчик А.Н.</w:t>
      </w:r>
    </w:p>
    <w:p w14:paraId="0868C0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"Обладая нормальным запасом устойчивости, самолет легок в управлении и не требует от летчика особого внимания. Самолет обладает хорошей маневренностью. Характерна легкость работы всей конструкции машины; летчик не ощущает напряжения или тряски самолета ни при эволюциях, ни при полете на больших скоростях".</w:t>
      </w:r>
    </w:p>
    <w:p w14:paraId="35B984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Федоров В.П. подтверждает те же моменты и пишет: "Более простого и приятного самолета по технике пилотирования я в своей практике не встречал".</w:t>
      </w:r>
    </w:p>
    <w:p w14:paraId="290F22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Шиянов Г.М.</w:t>
      </w:r>
    </w:p>
    <w:p w14:paraId="44B44E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очень прост и приятен в пилотировании. Имеет хороший обзор при хорошем бронировании. В пилотаже напоминает американские самолеты Северский и Нортроп. Необычайно "плотен" в воздухе и хорошо ведет себя на больших скоростях.</w:t>
      </w:r>
    </w:p>
    <w:p w14:paraId="5446AE0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скоростях по прибору 500-550 км/час летчик совершенно не чувствует напряжения самолета.</w:t>
      </w:r>
    </w:p>
    <w:p w14:paraId="368E26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имеет хорошую скороподъемность и маневренность. Мотор работает хорошо, приемистость самолета отличная.</w:t>
      </w:r>
    </w:p>
    <w:p w14:paraId="0663B5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простоте самолет допускает вылет на нем летчика ниже средней квалификации".</w:t>
      </w:r>
    </w:p>
    <w:p w14:paraId="3A4438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Галлай И.Л.</w:t>
      </w:r>
    </w:p>
    <w:p w14:paraId="6642CF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"Гармоничность всех рулей между собой, а также между отклонениями и эффективностью каждого руля - очень хорошая, что делает самолет весьма приятным и пилотировании.</w:t>
      </w:r>
    </w:p>
    <w:p w14:paraId="2C2BF8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всех известных мне самолетов по приятности в пилотировании Су-6 занимает второе место (первое принадлежит Нортропу, с которым Су-6 имеет много общего).</w:t>
      </w:r>
    </w:p>
    <w:p w14:paraId="2DE12D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самолет производит отличное впечатление - приятный в пилотировании, доступный по своей простоте для летчика средней квалификации, неутомительный в полете".</w:t>
      </w:r>
    </w:p>
    <w:p w14:paraId="32AA32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самолет Су-6, имея хорошее вооружение и бронирование, показал хорошую маневренность и управляемость при максимальной скорости у земли 500 км/час.</w:t>
      </w:r>
    </w:p>
    <w:p w14:paraId="466924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такими данными самолет не только может с успехом выполнять противотанковые действия, но и полностью противостоять атакам немецких истребителей, скорость которых у земли порядка 500 км/час.</w:t>
      </w:r>
    </w:p>
    <w:p w14:paraId="4AB953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значение приобретает простота управления самолетом, что должно сказаться на увеличении количества боевых вылетов летчика в день, тем самым как бы увеличивая количество самолетов, участвующих в бою.</w:t>
      </w:r>
    </w:p>
    <w:p w14:paraId="42D023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технологической обработки и тактической проверки самолета я считал бы целесообразным построить несколько экземпляров Су-6. Завод N 19 имеет 6 свободных моторов М-71 и опытный цех Швецова может свободно изготовить еще столько же моторов и помочь механическими работами при изготовлении самолетов.</w:t>
      </w:r>
    </w:p>
    <w:p w14:paraId="45F885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распоряжения о постройке заводом N 289 девяти экземпляров Су-6 М-71 в первой половине 1942 года (2759,92).</w:t>
      </w:r>
    </w:p>
    <w:p w14:paraId="6A347E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7808D"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февраля 1942 г. Приказ № 39 народного комиссара авиационной промышленности СССР.</w:t>
      </w:r>
    </w:p>
    <w:p w14:paraId="075B815C"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5C7E5B9F"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 организации в Москве филиала ВИАМ НКАП по материалам и заменителям</w:t>
      </w:r>
    </w:p>
    <w:p w14:paraId="768DBB4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ВИАМ т. Туманову А. Т. Организовать в г. Москве филиал института, поставив перед ним следующие основные задачи:</w:t>
      </w:r>
    </w:p>
    <w:p w14:paraId="365573F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оперативное разрешение вопросов по внедрению материалов-заменителей в авиапромышленности и установление их основных характеристик;</w:t>
      </w:r>
    </w:p>
    <w:p w14:paraId="074DE1C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 техническая помощь развертывающимся производствам и ремонтным базам НКАП и ГУ ВВС КА;</w:t>
      </w:r>
    </w:p>
    <w:p w14:paraId="51DA96F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пересмотр и составление технических условий на заменители и новые материалы.</w:t>
      </w:r>
    </w:p>
    <w:p w14:paraId="49DE19C8"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Разрешить начальнику ВИАМ т. Туманову:</w:t>
      </w:r>
    </w:p>
    <w:p w14:paraId="688FF34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вызвать из г. Куйбышева 50 специалистов из числа сотрудников института. Комплектование штата вспомогательными работниками (техниками, лаборантами, препаратами) провести в основном за счет бывших работников ВИАМ, находящихся в Москве;</w:t>
      </w:r>
    </w:p>
    <w:p w14:paraId="7574108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перевести из г. Куйбышева необходимое количество лабораторного оборудования для Московского филиала.</w:t>
      </w:r>
    </w:p>
    <w:p w14:paraId="00AA036D"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Транспортного управления НКАП т. Супрун С. Н. оформить получение для ВИАМа 10 вагонов для перевозки вышеуказанного оборудования из г. Куйбышева в Москву, обеспечив доставку их не позднее 25 февраля 1942 г.</w:t>
      </w:r>
    </w:p>
    <w:p w14:paraId="15522911"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Утвердить Положение о Московском филиале Всесоюзного научно-исследовательского института авиационных материалов в прилагаемой редакции.</w:t>
      </w:r>
    </w:p>
    <w:p w14:paraId="0BFE3B0F"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 А. И. Шахурин (23911).</w:t>
      </w:r>
    </w:p>
    <w:p w14:paraId="332C712D" w14:textId="77777777" w:rsidR="00917E4B" w:rsidRPr="008A2E5A" w:rsidRDefault="00917E4B" w:rsidP="00917E4B">
      <w:pPr>
        <w:spacing w:after="0" w:line="240" w:lineRule="auto"/>
        <w:jc w:val="both"/>
        <w:rPr>
          <w:rFonts w:ascii="Times New Roman" w:hAnsi="Times New Roman"/>
          <w:color w:val="0070C0"/>
          <w:sz w:val="16"/>
          <w:szCs w:val="16"/>
        </w:rPr>
      </w:pPr>
    </w:p>
    <w:p w14:paraId="7AF6057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B3B94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BC9AE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 ГКО-1271с 12 февраля 1942 г.</w:t>
      </w:r>
    </w:p>
    <w:p w14:paraId="298ECCA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частичное изменение постановления ГОКО от 4 февраля 1942 года поручить:</w:t>
      </w:r>
    </w:p>
    <w:p w14:paraId="664D385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ВОЗНЕСЕНСКОМУ Н. А. Контроль за выполнением решений ГКО по производству черных и цветных металлов, нефти, угля и химикатов и подготовку соответствующих вопросов.</w:t>
      </w:r>
    </w:p>
    <w:p w14:paraId="3B776B79"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БЕРИЯ Л. П. Контроль за выполнением решений ГКО по производству вооружения и боеприпасов и подготовку соответствующих вопросов.</w:t>
      </w:r>
    </w:p>
    <w:p w14:paraId="6F62E32F"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заместителем члена ГОКО т. Вознесенского Н. А. по химической и топливной промышленности т. Первухина М. Г.</w:t>
      </w:r>
    </w:p>
    <w:p w14:paraId="3FB2874C"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w:t>
      </w:r>
      <w:r w:rsidRPr="008127F8">
        <w:rPr>
          <w:rFonts w:ascii="Times New Roman" w:hAnsi="Times New Roman"/>
          <w:iCs/>
          <w:color w:val="000000" w:themeColor="text1"/>
          <w:sz w:val="16"/>
          <w:szCs w:val="16"/>
        </w:rPr>
        <w:t>И. Сталин (11455).</w:t>
      </w:r>
    </w:p>
    <w:p w14:paraId="3EFD46F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1597B8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Постановление ГКО № 1272 О принятии на вооружение коробчатых магазинов для пистолетов-пулеметов Шпагина ППШ. РГАНИР, Фонд ГКО, д. 21, лл. 40 (11012).</w:t>
      </w:r>
    </w:p>
    <w:p w14:paraId="787C10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C39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Постановление ГКО № 1273 О производстве 76 мм танковых и 45 мм противотанковых пушек. РГАНИР, Фонд ГКО, д. 21, лл. 41 (11012).</w:t>
      </w:r>
    </w:p>
    <w:p w14:paraId="0091E63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941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Постановление ГКО № 1274 О результатах полигонных испытаний и о принятии на вооружение Красной Армии 76 мм дивизионной пушки ЗИС-3 конструкции завода N92 НКВ. РГАНИР, Фонд ГКО, д. 21, лл. 42-43 (11012).</w:t>
      </w:r>
    </w:p>
    <w:p w14:paraId="478C88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924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постановление ГКО о принятии на вооружение пушки ЗИС-3, созданной В.Г.Грабиным (1068,65) взамен 76-мм образца 1939 (1073,73).</w:t>
      </w:r>
    </w:p>
    <w:p w14:paraId="77ECF4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6208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февраля</w:t>
      </w:r>
      <w:r w:rsidRPr="008127F8">
        <w:rPr>
          <w:rFonts w:ascii="Times New Roman" w:hAnsi="Times New Roman"/>
          <w:color w:val="000000" w:themeColor="text1"/>
          <w:sz w:val="16"/>
          <w:szCs w:val="16"/>
        </w:rPr>
        <w:t xml:space="preserve"> в 1942 году Постановлением ГКО на вооружение принята 76-мм дивизионная пушка ЗИС-3, разработанная коллективом под руководством В. г. Грабина. Эта пушка стала самым массовым орудием Второй мировой войны и первым в мире орудием, поставленным на конвейерную сборку. К концу года лишь один завод выпускал в день по 120 пушек ЗИС-3 (15038).</w:t>
      </w:r>
    </w:p>
    <w:p w14:paraId="46CA8620"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628864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 76-мм дивизионная пушка ЗИС-3 была официально принята на вооружение под наименованием "76-мм дивизионная пушка обр. 1942 г.". К этому времени на фронте воевало не менее 1000 ЗИС-3. Валовое производство ЗИС-3 велось на двух заводах. Кроме того, завод № 7 в 1944 году изготовил 14 орудий ЗИС-3. В войска поступало три разновидности 76-мм пушек обр. 1942 г. (ЗИС-3):</w:t>
      </w:r>
    </w:p>
    <w:p w14:paraId="258350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с клепаными (коробчатыми) или круглыми станинами и затвором от 57-мм противотанковой пушки, с кнопочным спуском (кнопка была расположена в маховике поворотного механизма).</w:t>
      </w:r>
    </w:p>
    <w:p w14:paraId="39B5D5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Пушка с упрощенным затвором и рычажным спуском. Угол возвышения +27.</w:t>
      </w:r>
    </w:p>
    <w:p w14:paraId="0FCBF2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Пушка второго типа, но с углом возвышения +37, вместо +27.</w:t>
      </w:r>
    </w:p>
    <w:p w14:paraId="1E344C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 связи с увеличением угла ВН от +27 до +37, пушки последнего изготовления (на 1944 год) имели следующие отличия от пушек, указанных в первых двух пунктах:</w:t>
      </w:r>
    </w:p>
    <w:p w14:paraId="576BF1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Удлинен сектор подъемного механизма;</w:t>
      </w:r>
    </w:p>
    <w:p w14:paraId="632D41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Изменена длина отката: нормальная длина отката была 9001060 мм, а стала 680750 мм;</w:t>
      </w:r>
    </w:p>
    <w:p w14:paraId="5A4714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Увеличено начальное давление в накатнике;</w:t>
      </w:r>
    </w:p>
    <w:p w14:paraId="73F26E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Увеличен объем жидкости в тормозе отката на 0,4 л.</w:t>
      </w:r>
    </w:p>
    <w:p w14:paraId="36810D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высокой технологичности ЗИС-3 стала первым в мире артиллерийским орудием, поставленным на поточное производство и конвейерную сборку (3861).</w:t>
      </w:r>
    </w:p>
    <w:p w14:paraId="0FF768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D781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февраля 1942 г. Докладная записка Л.П. Берии И.В. Сталину о результатах испытаний 76—миллиметровой дивизионной пушки ЗИС—3 конструкции завода № 92, с предложением о принятии ее на вооружение Красной армии. (Утверждено 12 февраля 1942 г.)</w:t>
      </w:r>
    </w:p>
    <w:p w14:paraId="3B74A81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февраля 1942 г</w:t>
      </w:r>
    </w:p>
    <w:p w14:paraId="0561CBA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13CDC5B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w:t>
      </w:r>
    </w:p>
    <w:p w14:paraId="5825E7D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413C53C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Согласно Ваших указаний проведены полигонные испытания 76 мм дивизионной пушки ЗИС-З конструкции завода </w:t>
      </w:r>
      <w:proofErr w:type="gramStart"/>
      <w:r w:rsidRPr="008A2E5A">
        <w:rPr>
          <w:rFonts w:ascii="Times New Roman" w:hAnsi="Times New Roman"/>
          <w:color w:val="0070C0"/>
          <w:sz w:val="16"/>
          <w:szCs w:val="16"/>
        </w:rPr>
        <w:t>Н§</w:t>
      </w:r>
      <w:proofErr w:type="gramEnd"/>
      <w:r w:rsidRPr="008A2E5A">
        <w:rPr>
          <w:rFonts w:ascii="Times New Roman" w:hAnsi="Times New Roman"/>
          <w:color w:val="0070C0"/>
          <w:sz w:val="16"/>
          <w:szCs w:val="16"/>
        </w:rPr>
        <w:t xml:space="preserve"> 92 на полигоне ГАУ КА (АНИОП) с 15 января по 5 февраля 1942 года.</w:t>
      </w:r>
    </w:p>
    <w:p w14:paraId="42672BB3"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Комиссия, проводившая испытания, дала следующее заключение:</w:t>
      </w:r>
    </w:p>
    <w:p w14:paraId="0B04382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76 мм дивизионная пушка ЗИС-З, изготовленная заводом N 92, по своим тактико-техническим характеристикам не уступает 76 мм дивизионной пушке образца 1939 года (УСВ), а по некоторым показателям имеет преимущества:</w:t>
      </w:r>
    </w:p>
    <w:p w14:paraId="3BEB575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76 мм дивизионная пушка по весу легче 76 мм пушки образца 1939 года УСВ на 420 кг;</w:t>
      </w:r>
    </w:p>
    <w:p w14:paraId="4E823AEF"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клиренс ЗИС-З 360 мм, УСВ - 330 мм;</w:t>
      </w:r>
    </w:p>
    <w:p w14:paraId="751BC19B"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общий вид пушки ЗИС—3 более «приземистый», и, следовательно, маскировка ее проще, чем пушки УСВ;</w:t>
      </w:r>
    </w:p>
    <w:p w14:paraId="44DF4EE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стрельба по танкам прямой наводкой из пушки ЗИС-З должна быть более удобной, так как механизмы наведения расположены на одной стороне;</w:t>
      </w:r>
    </w:p>
    <w:p w14:paraId="45E27D2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пушка ЗИС-З состоит из меньшего количества деталей и более простых в изготовлении.</w:t>
      </w:r>
    </w:p>
    <w:p w14:paraId="1CE7684E"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76 мм дивизионная пушка ЗИС—3, изготовленная заводом № 92, испытания выдержала и может быть рекомендована к принятию на вооружение взамен 76 мм дивизионной пушки образца 1939 года УСВ после:</w:t>
      </w:r>
    </w:p>
    <w:p w14:paraId="749941D6"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устранения течи в накатнике;</w:t>
      </w:r>
    </w:p>
    <w:p w14:paraId="367FB637"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обеспечения длины отката 750 мм - 50 мм;</w:t>
      </w:r>
    </w:p>
    <w:p w14:paraId="5C7E1F0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упрочнения кронштейна прицела на верхнем станке, усиления бокового уровня и поперечного качания прицела.</w:t>
      </w:r>
    </w:p>
    <w:p w14:paraId="6D79B246"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p w14:paraId="70B919FE"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пушка ЗИС-З имеет также значительные преимущества перед пушкой УСВ и в производственно—экономическом отношении:</w:t>
      </w:r>
    </w:p>
    <w:p w14:paraId="08271B24"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Расход черного металла</w:t>
      </w:r>
    </w:p>
    <w:p w14:paraId="5F48DCE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Расход цветного металла</w:t>
      </w:r>
    </w:p>
    <w:p w14:paraId="094FD6A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Расход станкочасов</w:t>
      </w:r>
    </w:p>
    <w:p w14:paraId="56E974E4"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результатов полигонных испытаний и сравнительных показателей, представляю проект постановления Государственного Комитета Обороны о принятии на вооружение 76 мм дивизионной пушки ЗИС-З конструкции завода № 92.</w:t>
      </w:r>
    </w:p>
    <w:p w14:paraId="55363494"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постановления разработан совместно с НКО (т.т. ВОРОНОВЫМ, ЯКОВЛЕВЫМ), НКВ (тов. ВАННИКОВЫМ) и директором завода Ш 92 НКВ - тов. ЕЛЯН.</w:t>
      </w:r>
    </w:p>
    <w:p w14:paraId="1B8C053C"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Вашего решения.</w:t>
      </w:r>
    </w:p>
    <w:p w14:paraId="65B17EC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февраля 1942 г.</w:t>
      </w:r>
    </w:p>
    <w:p w14:paraId="65586F2E"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И. Сталин.</w:t>
      </w:r>
    </w:p>
    <w:p w14:paraId="0CAE12F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0D1ABD71"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РГАСПИ. Ф. </w:t>
      </w:r>
      <w:proofErr w:type="gramStart"/>
      <w:r w:rsidRPr="008A2E5A">
        <w:rPr>
          <w:rFonts w:ascii="Times New Roman" w:hAnsi="Times New Roman"/>
          <w:color w:val="0070C0"/>
          <w:sz w:val="16"/>
          <w:szCs w:val="16"/>
        </w:rPr>
        <w:t>644« On</w:t>
      </w:r>
      <w:proofErr w:type="gramEnd"/>
      <w:r w:rsidRPr="008A2E5A">
        <w:rPr>
          <w:rFonts w:ascii="Times New Roman" w:hAnsi="Times New Roman"/>
          <w:color w:val="0070C0"/>
          <w:sz w:val="16"/>
          <w:szCs w:val="16"/>
        </w:rPr>
        <w:t>. 2, Д. 36, Л. 162—</w:t>
      </w:r>
      <w:proofErr w:type="gramStart"/>
      <w:r w:rsidRPr="008A2E5A">
        <w:rPr>
          <w:rFonts w:ascii="Times New Roman" w:hAnsi="Times New Roman"/>
          <w:color w:val="0070C0"/>
          <w:sz w:val="16"/>
          <w:szCs w:val="16"/>
        </w:rPr>
        <w:t>164« Подлинник</w:t>
      </w:r>
      <w:proofErr w:type="gramEnd"/>
      <w:r w:rsidRPr="008A2E5A">
        <w:rPr>
          <w:rFonts w:ascii="Times New Roman" w:hAnsi="Times New Roman"/>
          <w:color w:val="0070C0"/>
          <w:sz w:val="16"/>
          <w:szCs w:val="16"/>
        </w:rPr>
        <w:t>, Машинописный текст, Подписи — автографы И.В. Сталина и Л.П. Берии (23724).</w:t>
      </w:r>
    </w:p>
    <w:p w14:paraId="55E24981" w14:textId="77777777" w:rsidR="00917E4B" w:rsidRPr="008A2E5A" w:rsidRDefault="00917E4B" w:rsidP="00917E4B">
      <w:pPr>
        <w:spacing w:after="0" w:line="240" w:lineRule="auto"/>
        <w:jc w:val="both"/>
        <w:rPr>
          <w:rFonts w:ascii="Times New Roman" w:hAnsi="Times New Roman"/>
          <w:color w:val="0070C0"/>
          <w:sz w:val="16"/>
          <w:szCs w:val="16"/>
        </w:rPr>
      </w:pPr>
    </w:p>
    <w:p w14:paraId="652AAF34"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12-16 февраля 1942 г. Сводка Управления стрелкового вооружения Главного артиллерийского управления Красной армии о выполнении плана заказов по стрелковому вооружению за 1941 г. (направлена начальнику организационно-планового управления Главного артиллерийского управления Красной армии)</w:t>
      </w:r>
    </w:p>
    <w:p w14:paraId="319059D3"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tbl>
      <w:tblPr>
        <w:tblStyle w:val="afffff5"/>
        <w:tblW w:w="0" w:type="auto"/>
        <w:tblLook w:val="04A0" w:firstRow="1" w:lastRow="0" w:firstColumn="1" w:lastColumn="0" w:noHBand="0" w:noVBand="1"/>
      </w:tblPr>
      <w:tblGrid>
        <w:gridCol w:w="1354"/>
        <w:gridCol w:w="926"/>
        <w:gridCol w:w="1097"/>
        <w:gridCol w:w="729"/>
        <w:gridCol w:w="1083"/>
        <w:gridCol w:w="765"/>
        <w:gridCol w:w="1044"/>
        <w:gridCol w:w="858"/>
        <w:gridCol w:w="1044"/>
        <w:gridCol w:w="659"/>
        <w:gridCol w:w="659"/>
        <w:gridCol w:w="555"/>
        <w:gridCol w:w="555"/>
      </w:tblGrid>
      <w:tr w:rsidR="00917E4B" w:rsidRPr="008A2E5A" w14:paraId="1D65CA7E" w14:textId="77777777" w:rsidTr="004C5D62">
        <w:tc>
          <w:tcPr>
            <w:tcW w:w="821" w:type="dxa"/>
          </w:tcPr>
          <w:p w14:paraId="09D2B7C4" w14:textId="77777777" w:rsidR="00917E4B" w:rsidRPr="008A2E5A" w:rsidRDefault="00917E4B" w:rsidP="004C5D62">
            <w:pPr>
              <w:spacing w:after="0" w:line="240" w:lineRule="auto"/>
              <w:jc w:val="both"/>
              <w:rPr>
                <w:color w:val="0070C0"/>
                <w:sz w:val="16"/>
                <w:szCs w:val="16"/>
              </w:rPr>
            </w:pPr>
            <w:r w:rsidRPr="008A2E5A">
              <w:rPr>
                <w:color w:val="0070C0"/>
                <w:sz w:val="16"/>
                <w:szCs w:val="16"/>
              </w:rPr>
              <w:t>Наименование</w:t>
            </w:r>
          </w:p>
        </w:tc>
        <w:tc>
          <w:tcPr>
            <w:tcW w:w="821" w:type="dxa"/>
          </w:tcPr>
          <w:p w14:paraId="73E091F2" w14:textId="77777777" w:rsidR="00917E4B" w:rsidRPr="008A2E5A" w:rsidRDefault="00917E4B" w:rsidP="004C5D62">
            <w:pPr>
              <w:spacing w:after="0" w:line="240" w:lineRule="auto"/>
              <w:jc w:val="both"/>
              <w:rPr>
                <w:color w:val="0070C0"/>
                <w:sz w:val="16"/>
                <w:szCs w:val="16"/>
              </w:rPr>
            </w:pPr>
            <w:r w:rsidRPr="008A2E5A">
              <w:rPr>
                <w:color w:val="0070C0"/>
                <w:sz w:val="16"/>
                <w:szCs w:val="16"/>
              </w:rPr>
              <w:t>I полугодие</w:t>
            </w:r>
          </w:p>
        </w:tc>
        <w:tc>
          <w:tcPr>
            <w:tcW w:w="821" w:type="dxa"/>
          </w:tcPr>
          <w:p w14:paraId="094BF684" w14:textId="77777777" w:rsidR="00917E4B" w:rsidRPr="008A2E5A" w:rsidRDefault="00917E4B" w:rsidP="004C5D62">
            <w:pPr>
              <w:spacing w:after="0" w:line="240" w:lineRule="auto"/>
              <w:jc w:val="both"/>
              <w:rPr>
                <w:color w:val="0070C0"/>
                <w:sz w:val="16"/>
                <w:szCs w:val="16"/>
              </w:rPr>
            </w:pPr>
          </w:p>
        </w:tc>
        <w:tc>
          <w:tcPr>
            <w:tcW w:w="821" w:type="dxa"/>
          </w:tcPr>
          <w:p w14:paraId="423CD455" w14:textId="77777777" w:rsidR="00917E4B" w:rsidRPr="008A2E5A" w:rsidRDefault="00917E4B" w:rsidP="004C5D62">
            <w:pPr>
              <w:spacing w:after="0" w:line="240" w:lineRule="auto"/>
              <w:jc w:val="both"/>
              <w:rPr>
                <w:color w:val="0070C0"/>
                <w:sz w:val="16"/>
                <w:szCs w:val="16"/>
              </w:rPr>
            </w:pPr>
            <w:r w:rsidRPr="008A2E5A">
              <w:rPr>
                <w:color w:val="0070C0"/>
                <w:sz w:val="16"/>
                <w:szCs w:val="16"/>
              </w:rPr>
              <w:t>Июль</w:t>
            </w:r>
          </w:p>
        </w:tc>
        <w:tc>
          <w:tcPr>
            <w:tcW w:w="822" w:type="dxa"/>
          </w:tcPr>
          <w:p w14:paraId="32AAAB6E" w14:textId="77777777" w:rsidR="00917E4B" w:rsidRPr="008A2E5A" w:rsidRDefault="00917E4B" w:rsidP="004C5D62">
            <w:pPr>
              <w:spacing w:after="0" w:line="240" w:lineRule="auto"/>
              <w:jc w:val="both"/>
              <w:rPr>
                <w:color w:val="0070C0"/>
                <w:sz w:val="16"/>
                <w:szCs w:val="16"/>
              </w:rPr>
            </w:pPr>
          </w:p>
        </w:tc>
        <w:tc>
          <w:tcPr>
            <w:tcW w:w="822" w:type="dxa"/>
          </w:tcPr>
          <w:p w14:paraId="587F59AD" w14:textId="77777777" w:rsidR="00917E4B" w:rsidRPr="008A2E5A" w:rsidRDefault="00917E4B" w:rsidP="004C5D62">
            <w:pPr>
              <w:spacing w:after="0" w:line="240" w:lineRule="auto"/>
              <w:jc w:val="both"/>
              <w:rPr>
                <w:color w:val="0070C0"/>
                <w:sz w:val="16"/>
                <w:szCs w:val="16"/>
              </w:rPr>
            </w:pPr>
            <w:r w:rsidRPr="008A2E5A">
              <w:rPr>
                <w:color w:val="0070C0"/>
                <w:sz w:val="16"/>
                <w:szCs w:val="16"/>
              </w:rPr>
              <w:t>Август</w:t>
            </w:r>
          </w:p>
        </w:tc>
        <w:tc>
          <w:tcPr>
            <w:tcW w:w="822" w:type="dxa"/>
          </w:tcPr>
          <w:p w14:paraId="28A01CF6" w14:textId="77777777" w:rsidR="00917E4B" w:rsidRPr="008A2E5A" w:rsidRDefault="00917E4B" w:rsidP="004C5D62">
            <w:pPr>
              <w:spacing w:after="0" w:line="240" w:lineRule="auto"/>
              <w:jc w:val="both"/>
              <w:rPr>
                <w:color w:val="0070C0"/>
                <w:sz w:val="16"/>
                <w:szCs w:val="16"/>
              </w:rPr>
            </w:pPr>
          </w:p>
        </w:tc>
        <w:tc>
          <w:tcPr>
            <w:tcW w:w="822" w:type="dxa"/>
          </w:tcPr>
          <w:p w14:paraId="2183DE6A" w14:textId="77777777" w:rsidR="00917E4B" w:rsidRPr="008A2E5A" w:rsidRDefault="00917E4B" w:rsidP="004C5D62">
            <w:pPr>
              <w:spacing w:after="0" w:line="240" w:lineRule="auto"/>
              <w:jc w:val="both"/>
              <w:rPr>
                <w:color w:val="0070C0"/>
                <w:sz w:val="16"/>
                <w:szCs w:val="16"/>
              </w:rPr>
            </w:pPr>
            <w:r w:rsidRPr="008A2E5A">
              <w:rPr>
                <w:color w:val="0070C0"/>
                <w:sz w:val="16"/>
                <w:szCs w:val="16"/>
              </w:rPr>
              <w:t>Сентябрь</w:t>
            </w:r>
          </w:p>
        </w:tc>
        <w:tc>
          <w:tcPr>
            <w:tcW w:w="822" w:type="dxa"/>
          </w:tcPr>
          <w:p w14:paraId="5AF84234" w14:textId="77777777" w:rsidR="00917E4B" w:rsidRPr="008A2E5A" w:rsidRDefault="00917E4B" w:rsidP="004C5D62">
            <w:pPr>
              <w:spacing w:after="0" w:line="240" w:lineRule="auto"/>
              <w:jc w:val="both"/>
              <w:rPr>
                <w:color w:val="0070C0"/>
                <w:sz w:val="16"/>
                <w:szCs w:val="16"/>
              </w:rPr>
            </w:pPr>
          </w:p>
        </w:tc>
        <w:tc>
          <w:tcPr>
            <w:tcW w:w="822" w:type="dxa"/>
          </w:tcPr>
          <w:p w14:paraId="0110997D" w14:textId="77777777" w:rsidR="00917E4B" w:rsidRPr="008A2E5A" w:rsidRDefault="00917E4B" w:rsidP="004C5D62">
            <w:pPr>
              <w:spacing w:after="0" w:line="240" w:lineRule="auto"/>
              <w:jc w:val="both"/>
              <w:rPr>
                <w:color w:val="0070C0"/>
                <w:sz w:val="16"/>
                <w:szCs w:val="16"/>
              </w:rPr>
            </w:pPr>
          </w:p>
        </w:tc>
        <w:tc>
          <w:tcPr>
            <w:tcW w:w="822" w:type="dxa"/>
          </w:tcPr>
          <w:p w14:paraId="74DD06A8" w14:textId="77777777" w:rsidR="00917E4B" w:rsidRPr="008A2E5A" w:rsidRDefault="00917E4B" w:rsidP="004C5D62">
            <w:pPr>
              <w:spacing w:after="0" w:line="240" w:lineRule="auto"/>
              <w:jc w:val="both"/>
              <w:rPr>
                <w:color w:val="0070C0"/>
                <w:sz w:val="16"/>
                <w:szCs w:val="16"/>
              </w:rPr>
            </w:pPr>
          </w:p>
        </w:tc>
        <w:tc>
          <w:tcPr>
            <w:tcW w:w="822" w:type="dxa"/>
          </w:tcPr>
          <w:p w14:paraId="5E55485A" w14:textId="77777777" w:rsidR="00917E4B" w:rsidRPr="008A2E5A" w:rsidRDefault="00917E4B" w:rsidP="004C5D62">
            <w:pPr>
              <w:spacing w:after="0" w:line="240" w:lineRule="auto"/>
              <w:jc w:val="both"/>
              <w:rPr>
                <w:color w:val="0070C0"/>
                <w:sz w:val="16"/>
                <w:szCs w:val="16"/>
              </w:rPr>
            </w:pPr>
          </w:p>
        </w:tc>
        <w:tc>
          <w:tcPr>
            <w:tcW w:w="822" w:type="dxa"/>
          </w:tcPr>
          <w:p w14:paraId="08C58AAD" w14:textId="77777777" w:rsidR="00917E4B" w:rsidRPr="008A2E5A" w:rsidRDefault="00917E4B" w:rsidP="004C5D62">
            <w:pPr>
              <w:spacing w:after="0" w:line="240" w:lineRule="auto"/>
              <w:jc w:val="both"/>
              <w:rPr>
                <w:color w:val="0070C0"/>
                <w:sz w:val="16"/>
                <w:szCs w:val="16"/>
              </w:rPr>
            </w:pPr>
          </w:p>
        </w:tc>
      </w:tr>
      <w:tr w:rsidR="00917E4B" w:rsidRPr="008A2E5A" w14:paraId="13790ED9" w14:textId="77777777" w:rsidTr="004C5D62">
        <w:tc>
          <w:tcPr>
            <w:tcW w:w="821" w:type="dxa"/>
          </w:tcPr>
          <w:p w14:paraId="65160DBA" w14:textId="77777777" w:rsidR="00917E4B" w:rsidRPr="008A2E5A" w:rsidRDefault="00917E4B" w:rsidP="004C5D62">
            <w:pPr>
              <w:spacing w:after="0" w:line="240" w:lineRule="auto"/>
              <w:jc w:val="both"/>
              <w:rPr>
                <w:color w:val="0070C0"/>
                <w:sz w:val="16"/>
                <w:szCs w:val="16"/>
              </w:rPr>
            </w:pPr>
          </w:p>
        </w:tc>
        <w:tc>
          <w:tcPr>
            <w:tcW w:w="821" w:type="dxa"/>
          </w:tcPr>
          <w:p w14:paraId="1A197D20" w14:textId="77777777" w:rsidR="00917E4B" w:rsidRPr="008A2E5A" w:rsidRDefault="00917E4B" w:rsidP="004C5D62">
            <w:pPr>
              <w:spacing w:after="0" w:line="240" w:lineRule="auto"/>
              <w:jc w:val="both"/>
              <w:rPr>
                <w:color w:val="0070C0"/>
                <w:sz w:val="16"/>
                <w:szCs w:val="16"/>
              </w:rPr>
            </w:pPr>
            <w:r w:rsidRPr="008A2E5A">
              <w:rPr>
                <w:color w:val="0070C0"/>
                <w:sz w:val="16"/>
                <w:szCs w:val="16"/>
              </w:rPr>
              <w:t>план</w:t>
            </w:r>
          </w:p>
        </w:tc>
        <w:tc>
          <w:tcPr>
            <w:tcW w:w="821" w:type="dxa"/>
          </w:tcPr>
          <w:p w14:paraId="5EE20552" w14:textId="77777777" w:rsidR="00917E4B" w:rsidRPr="008A2E5A" w:rsidRDefault="00917E4B" w:rsidP="004C5D62">
            <w:pPr>
              <w:spacing w:after="0" w:line="240" w:lineRule="auto"/>
              <w:jc w:val="both"/>
              <w:rPr>
                <w:color w:val="0070C0"/>
                <w:sz w:val="16"/>
                <w:szCs w:val="16"/>
              </w:rPr>
            </w:pPr>
            <w:r w:rsidRPr="008A2E5A">
              <w:rPr>
                <w:color w:val="0070C0"/>
                <w:sz w:val="16"/>
                <w:szCs w:val="16"/>
              </w:rPr>
              <w:t>выполнение!</w:t>
            </w:r>
          </w:p>
        </w:tc>
        <w:tc>
          <w:tcPr>
            <w:tcW w:w="821" w:type="dxa"/>
          </w:tcPr>
          <w:p w14:paraId="1FF30CAF" w14:textId="77777777" w:rsidR="00917E4B" w:rsidRPr="008A2E5A" w:rsidRDefault="00917E4B" w:rsidP="004C5D62">
            <w:pPr>
              <w:spacing w:after="0" w:line="240" w:lineRule="auto"/>
              <w:jc w:val="both"/>
              <w:rPr>
                <w:color w:val="0070C0"/>
                <w:sz w:val="16"/>
                <w:szCs w:val="16"/>
              </w:rPr>
            </w:pPr>
            <w:r w:rsidRPr="008A2E5A">
              <w:rPr>
                <w:color w:val="0070C0"/>
                <w:sz w:val="16"/>
                <w:szCs w:val="16"/>
              </w:rPr>
              <w:t>план</w:t>
            </w:r>
          </w:p>
        </w:tc>
        <w:tc>
          <w:tcPr>
            <w:tcW w:w="822" w:type="dxa"/>
          </w:tcPr>
          <w:p w14:paraId="4A3A4CA5" w14:textId="77777777" w:rsidR="00917E4B" w:rsidRPr="008A2E5A" w:rsidRDefault="00917E4B" w:rsidP="004C5D62">
            <w:pPr>
              <w:spacing w:after="0" w:line="240" w:lineRule="auto"/>
              <w:jc w:val="both"/>
              <w:rPr>
                <w:color w:val="0070C0"/>
                <w:sz w:val="16"/>
                <w:szCs w:val="16"/>
              </w:rPr>
            </w:pPr>
            <w:r w:rsidRPr="008A2E5A">
              <w:rPr>
                <w:color w:val="0070C0"/>
                <w:sz w:val="16"/>
                <w:szCs w:val="16"/>
              </w:rPr>
              <w:t>выполеение!</w:t>
            </w:r>
          </w:p>
        </w:tc>
        <w:tc>
          <w:tcPr>
            <w:tcW w:w="822" w:type="dxa"/>
          </w:tcPr>
          <w:p w14:paraId="399B4330" w14:textId="77777777" w:rsidR="00917E4B" w:rsidRPr="008A2E5A" w:rsidRDefault="00917E4B" w:rsidP="004C5D62">
            <w:pPr>
              <w:spacing w:after="0" w:line="240" w:lineRule="auto"/>
              <w:jc w:val="both"/>
              <w:rPr>
                <w:color w:val="0070C0"/>
                <w:sz w:val="16"/>
                <w:szCs w:val="16"/>
              </w:rPr>
            </w:pPr>
            <w:r w:rsidRPr="008A2E5A">
              <w:rPr>
                <w:color w:val="0070C0"/>
                <w:sz w:val="16"/>
                <w:szCs w:val="16"/>
              </w:rPr>
              <w:t>план</w:t>
            </w:r>
          </w:p>
        </w:tc>
        <w:tc>
          <w:tcPr>
            <w:tcW w:w="822" w:type="dxa"/>
          </w:tcPr>
          <w:p w14:paraId="146D5BD6" w14:textId="77777777" w:rsidR="00917E4B" w:rsidRPr="008A2E5A" w:rsidRDefault="00917E4B" w:rsidP="004C5D62">
            <w:pPr>
              <w:spacing w:after="0" w:line="240" w:lineRule="auto"/>
              <w:jc w:val="both"/>
              <w:rPr>
                <w:color w:val="0070C0"/>
                <w:sz w:val="16"/>
                <w:szCs w:val="16"/>
              </w:rPr>
            </w:pPr>
            <w:r w:rsidRPr="008A2E5A">
              <w:rPr>
                <w:color w:val="0070C0"/>
                <w:sz w:val="16"/>
                <w:szCs w:val="16"/>
              </w:rPr>
              <w:t>выполнение</w:t>
            </w:r>
          </w:p>
        </w:tc>
        <w:tc>
          <w:tcPr>
            <w:tcW w:w="822" w:type="dxa"/>
          </w:tcPr>
          <w:p w14:paraId="4268DA96" w14:textId="77777777" w:rsidR="00917E4B" w:rsidRPr="008A2E5A" w:rsidRDefault="00917E4B" w:rsidP="004C5D62">
            <w:pPr>
              <w:spacing w:after="0" w:line="240" w:lineRule="auto"/>
              <w:jc w:val="both"/>
              <w:rPr>
                <w:color w:val="0070C0"/>
                <w:sz w:val="16"/>
                <w:szCs w:val="16"/>
              </w:rPr>
            </w:pPr>
            <w:r w:rsidRPr="008A2E5A">
              <w:rPr>
                <w:color w:val="0070C0"/>
                <w:sz w:val="16"/>
                <w:szCs w:val="16"/>
              </w:rPr>
              <w:t>план</w:t>
            </w:r>
          </w:p>
        </w:tc>
        <w:tc>
          <w:tcPr>
            <w:tcW w:w="822" w:type="dxa"/>
          </w:tcPr>
          <w:p w14:paraId="4B968F06" w14:textId="77777777" w:rsidR="00917E4B" w:rsidRPr="008A2E5A" w:rsidRDefault="00917E4B" w:rsidP="004C5D62">
            <w:pPr>
              <w:spacing w:after="0" w:line="240" w:lineRule="auto"/>
              <w:jc w:val="both"/>
              <w:rPr>
                <w:color w:val="0070C0"/>
                <w:sz w:val="16"/>
                <w:szCs w:val="16"/>
              </w:rPr>
            </w:pPr>
            <w:r w:rsidRPr="008A2E5A">
              <w:rPr>
                <w:color w:val="0070C0"/>
                <w:sz w:val="16"/>
                <w:szCs w:val="16"/>
              </w:rPr>
              <w:t>выполнение</w:t>
            </w:r>
          </w:p>
        </w:tc>
        <w:tc>
          <w:tcPr>
            <w:tcW w:w="822" w:type="dxa"/>
          </w:tcPr>
          <w:p w14:paraId="69F9AD8C" w14:textId="77777777" w:rsidR="00917E4B" w:rsidRPr="008A2E5A" w:rsidRDefault="00917E4B" w:rsidP="004C5D62">
            <w:pPr>
              <w:spacing w:after="0" w:line="240" w:lineRule="auto"/>
              <w:jc w:val="both"/>
              <w:rPr>
                <w:color w:val="0070C0"/>
                <w:sz w:val="16"/>
                <w:szCs w:val="16"/>
              </w:rPr>
            </w:pPr>
          </w:p>
        </w:tc>
        <w:tc>
          <w:tcPr>
            <w:tcW w:w="822" w:type="dxa"/>
          </w:tcPr>
          <w:p w14:paraId="2A83C1EE" w14:textId="77777777" w:rsidR="00917E4B" w:rsidRPr="008A2E5A" w:rsidRDefault="00917E4B" w:rsidP="004C5D62">
            <w:pPr>
              <w:spacing w:after="0" w:line="240" w:lineRule="auto"/>
              <w:jc w:val="both"/>
              <w:rPr>
                <w:color w:val="0070C0"/>
                <w:sz w:val="16"/>
                <w:szCs w:val="16"/>
              </w:rPr>
            </w:pPr>
          </w:p>
        </w:tc>
        <w:tc>
          <w:tcPr>
            <w:tcW w:w="822" w:type="dxa"/>
          </w:tcPr>
          <w:p w14:paraId="1BB39AC9" w14:textId="77777777" w:rsidR="00917E4B" w:rsidRPr="008A2E5A" w:rsidRDefault="00917E4B" w:rsidP="004C5D62">
            <w:pPr>
              <w:spacing w:after="0" w:line="240" w:lineRule="auto"/>
              <w:jc w:val="both"/>
              <w:rPr>
                <w:color w:val="0070C0"/>
                <w:sz w:val="16"/>
                <w:szCs w:val="16"/>
              </w:rPr>
            </w:pPr>
          </w:p>
        </w:tc>
        <w:tc>
          <w:tcPr>
            <w:tcW w:w="822" w:type="dxa"/>
          </w:tcPr>
          <w:p w14:paraId="5445C3E5" w14:textId="77777777" w:rsidR="00917E4B" w:rsidRPr="008A2E5A" w:rsidRDefault="00917E4B" w:rsidP="004C5D62">
            <w:pPr>
              <w:spacing w:after="0" w:line="240" w:lineRule="auto"/>
              <w:jc w:val="both"/>
              <w:rPr>
                <w:color w:val="0070C0"/>
                <w:sz w:val="16"/>
                <w:szCs w:val="16"/>
              </w:rPr>
            </w:pPr>
          </w:p>
        </w:tc>
      </w:tr>
      <w:tr w:rsidR="00917E4B" w:rsidRPr="008A2E5A" w14:paraId="7FA3A5A5" w14:textId="77777777" w:rsidTr="004C5D62">
        <w:tc>
          <w:tcPr>
            <w:tcW w:w="821" w:type="dxa"/>
          </w:tcPr>
          <w:p w14:paraId="263B4877" w14:textId="77777777" w:rsidR="00917E4B" w:rsidRPr="008A2E5A" w:rsidRDefault="00917E4B" w:rsidP="004C5D62">
            <w:pPr>
              <w:spacing w:after="0" w:line="240" w:lineRule="auto"/>
              <w:jc w:val="both"/>
              <w:rPr>
                <w:color w:val="0070C0"/>
                <w:sz w:val="16"/>
                <w:szCs w:val="16"/>
              </w:rPr>
            </w:pPr>
            <w:r w:rsidRPr="008A2E5A">
              <w:rPr>
                <w:color w:val="0070C0"/>
                <w:sz w:val="16"/>
                <w:szCs w:val="16"/>
              </w:rPr>
              <w:t>Матчасть стрелкового вооружения</w:t>
            </w:r>
          </w:p>
        </w:tc>
        <w:tc>
          <w:tcPr>
            <w:tcW w:w="821" w:type="dxa"/>
          </w:tcPr>
          <w:p w14:paraId="4B57C875" w14:textId="77777777" w:rsidR="00917E4B" w:rsidRPr="008A2E5A" w:rsidRDefault="00917E4B" w:rsidP="004C5D62">
            <w:pPr>
              <w:spacing w:after="0" w:line="240" w:lineRule="auto"/>
              <w:jc w:val="both"/>
              <w:rPr>
                <w:color w:val="0070C0"/>
                <w:sz w:val="16"/>
                <w:szCs w:val="16"/>
              </w:rPr>
            </w:pPr>
          </w:p>
        </w:tc>
        <w:tc>
          <w:tcPr>
            <w:tcW w:w="821" w:type="dxa"/>
          </w:tcPr>
          <w:p w14:paraId="01B2186F" w14:textId="77777777" w:rsidR="00917E4B" w:rsidRPr="008A2E5A" w:rsidRDefault="00917E4B" w:rsidP="004C5D62">
            <w:pPr>
              <w:spacing w:after="0" w:line="240" w:lineRule="auto"/>
              <w:jc w:val="both"/>
              <w:rPr>
                <w:color w:val="0070C0"/>
                <w:sz w:val="16"/>
                <w:szCs w:val="16"/>
              </w:rPr>
            </w:pPr>
          </w:p>
        </w:tc>
        <w:tc>
          <w:tcPr>
            <w:tcW w:w="821" w:type="dxa"/>
          </w:tcPr>
          <w:p w14:paraId="28600B54" w14:textId="77777777" w:rsidR="00917E4B" w:rsidRPr="008A2E5A" w:rsidRDefault="00917E4B" w:rsidP="004C5D62">
            <w:pPr>
              <w:spacing w:after="0" w:line="240" w:lineRule="auto"/>
              <w:jc w:val="both"/>
              <w:rPr>
                <w:color w:val="0070C0"/>
                <w:sz w:val="16"/>
                <w:szCs w:val="16"/>
              </w:rPr>
            </w:pPr>
          </w:p>
        </w:tc>
        <w:tc>
          <w:tcPr>
            <w:tcW w:w="822" w:type="dxa"/>
          </w:tcPr>
          <w:p w14:paraId="079F676B" w14:textId="77777777" w:rsidR="00917E4B" w:rsidRPr="008A2E5A" w:rsidRDefault="00917E4B" w:rsidP="004C5D62">
            <w:pPr>
              <w:spacing w:after="0" w:line="240" w:lineRule="auto"/>
              <w:jc w:val="both"/>
              <w:rPr>
                <w:color w:val="0070C0"/>
                <w:sz w:val="16"/>
                <w:szCs w:val="16"/>
              </w:rPr>
            </w:pPr>
          </w:p>
        </w:tc>
        <w:tc>
          <w:tcPr>
            <w:tcW w:w="822" w:type="dxa"/>
          </w:tcPr>
          <w:p w14:paraId="094F2C72" w14:textId="77777777" w:rsidR="00917E4B" w:rsidRPr="008A2E5A" w:rsidRDefault="00917E4B" w:rsidP="004C5D62">
            <w:pPr>
              <w:spacing w:after="0" w:line="240" w:lineRule="auto"/>
              <w:jc w:val="both"/>
              <w:rPr>
                <w:color w:val="0070C0"/>
                <w:sz w:val="16"/>
                <w:szCs w:val="16"/>
              </w:rPr>
            </w:pPr>
          </w:p>
        </w:tc>
        <w:tc>
          <w:tcPr>
            <w:tcW w:w="822" w:type="dxa"/>
          </w:tcPr>
          <w:p w14:paraId="3D68CA36" w14:textId="77777777" w:rsidR="00917E4B" w:rsidRPr="008A2E5A" w:rsidRDefault="00917E4B" w:rsidP="004C5D62">
            <w:pPr>
              <w:spacing w:after="0" w:line="240" w:lineRule="auto"/>
              <w:jc w:val="both"/>
              <w:rPr>
                <w:color w:val="0070C0"/>
                <w:sz w:val="16"/>
                <w:szCs w:val="16"/>
              </w:rPr>
            </w:pPr>
          </w:p>
        </w:tc>
        <w:tc>
          <w:tcPr>
            <w:tcW w:w="822" w:type="dxa"/>
          </w:tcPr>
          <w:p w14:paraId="78224751" w14:textId="77777777" w:rsidR="00917E4B" w:rsidRPr="008A2E5A" w:rsidRDefault="00917E4B" w:rsidP="004C5D62">
            <w:pPr>
              <w:spacing w:after="0" w:line="240" w:lineRule="auto"/>
              <w:jc w:val="both"/>
              <w:rPr>
                <w:color w:val="0070C0"/>
                <w:sz w:val="16"/>
                <w:szCs w:val="16"/>
              </w:rPr>
            </w:pPr>
          </w:p>
        </w:tc>
        <w:tc>
          <w:tcPr>
            <w:tcW w:w="822" w:type="dxa"/>
          </w:tcPr>
          <w:p w14:paraId="5616D620" w14:textId="77777777" w:rsidR="00917E4B" w:rsidRPr="008A2E5A" w:rsidRDefault="00917E4B" w:rsidP="004C5D62">
            <w:pPr>
              <w:spacing w:after="0" w:line="240" w:lineRule="auto"/>
              <w:jc w:val="both"/>
              <w:rPr>
                <w:color w:val="0070C0"/>
                <w:sz w:val="16"/>
                <w:szCs w:val="16"/>
              </w:rPr>
            </w:pPr>
          </w:p>
        </w:tc>
        <w:tc>
          <w:tcPr>
            <w:tcW w:w="822" w:type="dxa"/>
          </w:tcPr>
          <w:p w14:paraId="45217273" w14:textId="77777777" w:rsidR="00917E4B" w:rsidRPr="008A2E5A" w:rsidRDefault="00917E4B" w:rsidP="004C5D62">
            <w:pPr>
              <w:spacing w:after="0" w:line="240" w:lineRule="auto"/>
              <w:jc w:val="both"/>
              <w:rPr>
                <w:color w:val="0070C0"/>
                <w:sz w:val="16"/>
                <w:szCs w:val="16"/>
              </w:rPr>
            </w:pPr>
          </w:p>
        </w:tc>
        <w:tc>
          <w:tcPr>
            <w:tcW w:w="822" w:type="dxa"/>
          </w:tcPr>
          <w:p w14:paraId="2F30840A" w14:textId="77777777" w:rsidR="00917E4B" w:rsidRPr="008A2E5A" w:rsidRDefault="00917E4B" w:rsidP="004C5D62">
            <w:pPr>
              <w:spacing w:after="0" w:line="240" w:lineRule="auto"/>
              <w:jc w:val="both"/>
              <w:rPr>
                <w:color w:val="0070C0"/>
                <w:sz w:val="16"/>
                <w:szCs w:val="16"/>
              </w:rPr>
            </w:pPr>
          </w:p>
        </w:tc>
        <w:tc>
          <w:tcPr>
            <w:tcW w:w="822" w:type="dxa"/>
          </w:tcPr>
          <w:p w14:paraId="73463A70" w14:textId="77777777" w:rsidR="00917E4B" w:rsidRPr="008A2E5A" w:rsidRDefault="00917E4B" w:rsidP="004C5D62">
            <w:pPr>
              <w:spacing w:after="0" w:line="240" w:lineRule="auto"/>
              <w:jc w:val="both"/>
              <w:rPr>
                <w:color w:val="0070C0"/>
                <w:sz w:val="16"/>
                <w:szCs w:val="16"/>
              </w:rPr>
            </w:pPr>
          </w:p>
        </w:tc>
        <w:tc>
          <w:tcPr>
            <w:tcW w:w="822" w:type="dxa"/>
          </w:tcPr>
          <w:p w14:paraId="683CCD7A" w14:textId="77777777" w:rsidR="00917E4B" w:rsidRPr="008A2E5A" w:rsidRDefault="00917E4B" w:rsidP="004C5D62">
            <w:pPr>
              <w:spacing w:after="0" w:line="240" w:lineRule="auto"/>
              <w:jc w:val="both"/>
              <w:rPr>
                <w:color w:val="0070C0"/>
                <w:sz w:val="16"/>
                <w:szCs w:val="16"/>
              </w:rPr>
            </w:pPr>
          </w:p>
        </w:tc>
      </w:tr>
      <w:tr w:rsidR="00917E4B" w:rsidRPr="008A2E5A" w14:paraId="17B894D3" w14:textId="77777777" w:rsidTr="004C5D62">
        <w:tc>
          <w:tcPr>
            <w:tcW w:w="821" w:type="dxa"/>
          </w:tcPr>
          <w:p w14:paraId="4416B376"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винтовки обр. 1891/30 г.</w:t>
            </w:r>
          </w:p>
        </w:tc>
        <w:tc>
          <w:tcPr>
            <w:tcW w:w="821" w:type="dxa"/>
          </w:tcPr>
          <w:p w14:paraId="35EF8DE9" w14:textId="77777777" w:rsidR="00917E4B" w:rsidRPr="008A2E5A" w:rsidRDefault="00917E4B" w:rsidP="004C5D62">
            <w:pPr>
              <w:spacing w:after="0" w:line="240" w:lineRule="auto"/>
              <w:jc w:val="both"/>
              <w:rPr>
                <w:color w:val="0070C0"/>
                <w:sz w:val="16"/>
                <w:szCs w:val="16"/>
              </w:rPr>
            </w:pPr>
            <w:r w:rsidRPr="008A2E5A">
              <w:rPr>
                <w:color w:val="0070C0"/>
                <w:sz w:val="16"/>
                <w:szCs w:val="16"/>
              </w:rPr>
              <w:t>166 000</w:t>
            </w:r>
          </w:p>
        </w:tc>
        <w:tc>
          <w:tcPr>
            <w:tcW w:w="821" w:type="dxa"/>
          </w:tcPr>
          <w:p w14:paraId="4223E788" w14:textId="77777777" w:rsidR="00917E4B" w:rsidRPr="008A2E5A" w:rsidRDefault="00917E4B" w:rsidP="004C5D62">
            <w:pPr>
              <w:spacing w:after="0" w:line="240" w:lineRule="auto"/>
              <w:jc w:val="both"/>
              <w:rPr>
                <w:color w:val="0070C0"/>
                <w:sz w:val="16"/>
                <w:szCs w:val="16"/>
              </w:rPr>
            </w:pPr>
            <w:r w:rsidRPr="008A2E5A">
              <w:rPr>
                <w:color w:val="0070C0"/>
                <w:sz w:val="16"/>
                <w:szCs w:val="16"/>
              </w:rPr>
              <w:t>167 646</w:t>
            </w:r>
          </w:p>
        </w:tc>
        <w:tc>
          <w:tcPr>
            <w:tcW w:w="821" w:type="dxa"/>
          </w:tcPr>
          <w:p w14:paraId="7676159C"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50 000</w:t>
            </w:r>
          </w:p>
        </w:tc>
        <w:tc>
          <w:tcPr>
            <w:tcW w:w="822" w:type="dxa"/>
          </w:tcPr>
          <w:p w14:paraId="2B27ED45" w14:textId="77777777" w:rsidR="00917E4B" w:rsidRPr="008A2E5A" w:rsidRDefault="00917E4B" w:rsidP="004C5D62">
            <w:pPr>
              <w:spacing w:after="0" w:line="240" w:lineRule="auto"/>
              <w:jc w:val="both"/>
              <w:rPr>
                <w:color w:val="0070C0"/>
                <w:sz w:val="16"/>
                <w:szCs w:val="16"/>
              </w:rPr>
            </w:pPr>
            <w:r w:rsidRPr="008A2E5A">
              <w:rPr>
                <w:color w:val="0070C0"/>
                <w:sz w:val="16"/>
                <w:szCs w:val="16"/>
              </w:rPr>
              <w:t>44 570</w:t>
            </w:r>
          </w:p>
        </w:tc>
        <w:tc>
          <w:tcPr>
            <w:tcW w:w="822" w:type="dxa"/>
          </w:tcPr>
          <w:p w14:paraId="35C6439D" w14:textId="77777777" w:rsidR="00917E4B" w:rsidRPr="008A2E5A" w:rsidRDefault="00917E4B" w:rsidP="004C5D62">
            <w:pPr>
              <w:spacing w:after="0" w:line="240" w:lineRule="auto"/>
              <w:jc w:val="both"/>
              <w:rPr>
                <w:color w:val="0070C0"/>
                <w:sz w:val="16"/>
                <w:szCs w:val="16"/>
              </w:rPr>
            </w:pPr>
            <w:r w:rsidRPr="008A2E5A">
              <w:rPr>
                <w:color w:val="0070C0"/>
                <w:sz w:val="16"/>
                <w:szCs w:val="16"/>
              </w:rPr>
              <w:t>65 000</w:t>
            </w:r>
          </w:p>
        </w:tc>
        <w:tc>
          <w:tcPr>
            <w:tcW w:w="822" w:type="dxa"/>
          </w:tcPr>
          <w:p w14:paraId="121CA5D2"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50 580</w:t>
            </w:r>
          </w:p>
        </w:tc>
        <w:tc>
          <w:tcPr>
            <w:tcW w:w="822" w:type="dxa"/>
          </w:tcPr>
          <w:p w14:paraId="70121D36" w14:textId="77777777" w:rsidR="00917E4B" w:rsidRPr="008A2E5A" w:rsidRDefault="00917E4B" w:rsidP="004C5D62">
            <w:pPr>
              <w:spacing w:after="0" w:line="240" w:lineRule="auto"/>
              <w:jc w:val="both"/>
              <w:rPr>
                <w:color w:val="0070C0"/>
                <w:sz w:val="16"/>
                <w:szCs w:val="16"/>
              </w:rPr>
            </w:pPr>
            <w:r w:rsidRPr="008A2E5A">
              <w:rPr>
                <w:color w:val="0070C0"/>
                <w:sz w:val="16"/>
                <w:szCs w:val="16"/>
              </w:rPr>
              <w:t>85 000</w:t>
            </w:r>
          </w:p>
        </w:tc>
        <w:tc>
          <w:tcPr>
            <w:tcW w:w="822" w:type="dxa"/>
          </w:tcPr>
          <w:p w14:paraId="01F79C1A" w14:textId="77777777" w:rsidR="00917E4B" w:rsidRPr="008A2E5A" w:rsidRDefault="00917E4B" w:rsidP="004C5D62">
            <w:pPr>
              <w:spacing w:after="0" w:line="240" w:lineRule="auto"/>
              <w:jc w:val="both"/>
              <w:rPr>
                <w:color w:val="0070C0"/>
                <w:sz w:val="16"/>
                <w:szCs w:val="16"/>
              </w:rPr>
            </w:pPr>
            <w:r w:rsidRPr="008A2E5A">
              <w:rPr>
                <w:color w:val="0070C0"/>
                <w:sz w:val="16"/>
                <w:szCs w:val="16"/>
              </w:rPr>
              <w:t>68 677</w:t>
            </w:r>
          </w:p>
        </w:tc>
        <w:tc>
          <w:tcPr>
            <w:tcW w:w="822" w:type="dxa"/>
          </w:tcPr>
          <w:p w14:paraId="132C521D" w14:textId="77777777" w:rsidR="00917E4B" w:rsidRPr="008A2E5A" w:rsidRDefault="00917E4B" w:rsidP="004C5D62">
            <w:pPr>
              <w:spacing w:after="0" w:line="240" w:lineRule="auto"/>
              <w:jc w:val="both"/>
              <w:rPr>
                <w:color w:val="0070C0"/>
                <w:sz w:val="16"/>
                <w:szCs w:val="16"/>
              </w:rPr>
            </w:pPr>
          </w:p>
        </w:tc>
        <w:tc>
          <w:tcPr>
            <w:tcW w:w="822" w:type="dxa"/>
          </w:tcPr>
          <w:p w14:paraId="2656CCA6" w14:textId="77777777" w:rsidR="00917E4B" w:rsidRPr="008A2E5A" w:rsidRDefault="00917E4B" w:rsidP="004C5D62">
            <w:pPr>
              <w:spacing w:after="0" w:line="240" w:lineRule="auto"/>
              <w:jc w:val="both"/>
              <w:rPr>
                <w:color w:val="0070C0"/>
                <w:sz w:val="16"/>
                <w:szCs w:val="16"/>
              </w:rPr>
            </w:pPr>
          </w:p>
        </w:tc>
        <w:tc>
          <w:tcPr>
            <w:tcW w:w="822" w:type="dxa"/>
          </w:tcPr>
          <w:p w14:paraId="6AF5C9EE" w14:textId="77777777" w:rsidR="00917E4B" w:rsidRPr="008A2E5A" w:rsidRDefault="00917E4B" w:rsidP="004C5D62">
            <w:pPr>
              <w:spacing w:after="0" w:line="240" w:lineRule="auto"/>
              <w:jc w:val="both"/>
              <w:rPr>
                <w:color w:val="0070C0"/>
                <w:sz w:val="16"/>
                <w:szCs w:val="16"/>
              </w:rPr>
            </w:pPr>
          </w:p>
        </w:tc>
        <w:tc>
          <w:tcPr>
            <w:tcW w:w="822" w:type="dxa"/>
          </w:tcPr>
          <w:p w14:paraId="72509031" w14:textId="77777777" w:rsidR="00917E4B" w:rsidRPr="008A2E5A" w:rsidRDefault="00917E4B" w:rsidP="004C5D62">
            <w:pPr>
              <w:spacing w:after="0" w:line="240" w:lineRule="auto"/>
              <w:jc w:val="both"/>
              <w:rPr>
                <w:color w:val="0070C0"/>
                <w:sz w:val="16"/>
                <w:szCs w:val="16"/>
              </w:rPr>
            </w:pPr>
          </w:p>
        </w:tc>
      </w:tr>
      <w:tr w:rsidR="00917E4B" w:rsidRPr="008A2E5A" w14:paraId="4A687B5C" w14:textId="77777777" w:rsidTr="004C5D62">
        <w:tc>
          <w:tcPr>
            <w:tcW w:w="821" w:type="dxa"/>
          </w:tcPr>
          <w:p w14:paraId="1F322138"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карабины обр. 1938 г.</w:t>
            </w:r>
          </w:p>
        </w:tc>
        <w:tc>
          <w:tcPr>
            <w:tcW w:w="821" w:type="dxa"/>
          </w:tcPr>
          <w:p w14:paraId="61312E85" w14:textId="77777777" w:rsidR="00917E4B" w:rsidRPr="008A2E5A" w:rsidRDefault="00917E4B" w:rsidP="004C5D62">
            <w:pPr>
              <w:spacing w:after="0" w:line="240" w:lineRule="auto"/>
              <w:jc w:val="both"/>
              <w:rPr>
                <w:color w:val="0070C0"/>
                <w:sz w:val="16"/>
                <w:szCs w:val="16"/>
              </w:rPr>
            </w:pPr>
            <w:r w:rsidRPr="008A2E5A">
              <w:rPr>
                <w:color w:val="0070C0"/>
                <w:sz w:val="16"/>
                <w:szCs w:val="16"/>
              </w:rPr>
              <w:t>140 000</w:t>
            </w:r>
          </w:p>
        </w:tc>
        <w:tc>
          <w:tcPr>
            <w:tcW w:w="821" w:type="dxa"/>
          </w:tcPr>
          <w:p w14:paraId="36D2819A" w14:textId="77777777" w:rsidR="00917E4B" w:rsidRPr="008A2E5A" w:rsidRDefault="00917E4B" w:rsidP="004C5D62">
            <w:pPr>
              <w:spacing w:after="0" w:line="240" w:lineRule="auto"/>
              <w:jc w:val="both"/>
              <w:rPr>
                <w:color w:val="0070C0"/>
                <w:sz w:val="16"/>
                <w:szCs w:val="16"/>
              </w:rPr>
            </w:pPr>
            <w:r w:rsidRPr="008A2E5A">
              <w:rPr>
                <w:color w:val="0070C0"/>
                <w:sz w:val="16"/>
                <w:szCs w:val="16"/>
              </w:rPr>
              <w:t>143 153</w:t>
            </w:r>
          </w:p>
        </w:tc>
        <w:tc>
          <w:tcPr>
            <w:tcW w:w="821" w:type="dxa"/>
          </w:tcPr>
          <w:p w14:paraId="44C2D041"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50 000</w:t>
            </w:r>
          </w:p>
        </w:tc>
        <w:tc>
          <w:tcPr>
            <w:tcW w:w="822" w:type="dxa"/>
          </w:tcPr>
          <w:p w14:paraId="00BC2941" w14:textId="77777777" w:rsidR="00917E4B" w:rsidRPr="008A2E5A" w:rsidRDefault="00917E4B" w:rsidP="004C5D62">
            <w:pPr>
              <w:spacing w:after="0" w:line="240" w:lineRule="auto"/>
              <w:jc w:val="both"/>
              <w:rPr>
                <w:color w:val="0070C0"/>
                <w:sz w:val="16"/>
                <w:szCs w:val="16"/>
              </w:rPr>
            </w:pPr>
            <w:r w:rsidRPr="008A2E5A">
              <w:rPr>
                <w:color w:val="0070C0"/>
                <w:sz w:val="16"/>
                <w:szCs w:val="16"/>
              </w:rPr>
              <w:t>33 348</w:t>
            </w:r>
          </w:p>
        </w:tc>
        <w:tc>
          <w:tcPr>
            <w:tcW w:w="822" w:type="dxa"/>
          </w:tcPr>
          <w:p w14:paraId="4D875BB5" w14:textId="77777777" w:rsidR="00917E4B" w:rsidRPr="008A2E5A" w:rsidRDefault="00917E4B" w:rsidP="004C5D62">
            <w:pPr>
              <w:spacing w:after="0" w:line="240" w:lineRule="auto"/>
              <w:jc w:val="both"/>
              <w:rPr>
                <w:color w:val="0070C0"/>
                <w:sz w:val="16"/>
                <w:szCs w:val="16"/>
              </w:rPr>
            </w:pPr>
            <w:r w:rsidRPr="008A2E5A">
              <w:rPr>
                <w:color w:val="0070C0"/>
                <w:sz w:val="16"/>
                <w:szCs w:val="16"/>
              </w:rPr>
              <w:t>60 000</w:t>
            </w:r>
          </w:p>
        </w:tc>
        <w:tc>
          <w:tcPr>
            <w:tcW w:w="822" w:type="dxa"/>
          </w:tcPr>
          <w:p w14:paraId="5CD61854" w14:textId="77777777" w:rsidR="00917E4B" w:rsidRPr="008A2E5A" w:rsidRDefault="00917E4B" w:rsidP="004C5D62">
            <w:pPr>
              <w:spacing w:after="0" w:line="240" w:lineRule="auto"/>
              <w:jc w:val="both"/>
              <w:rPr>
                <w:color w:val="0070C0"/>
                <w:sz w:val="16"/>
                <w:szCs w:val="16"/>
              </w:rPr>
            </w:pPr>
            <w:r w:rsidRPr="008A2E5A">
              <w:rPr>
                <w:color w:val="0070C0"/>
                <w:sz w:val="16"/>
                <w:szCs w:val="16"/>
              </w:rPr>
              <w:t>41559</w:t>
            </w:r>
          </w:p>
        </w:tc>
        <w:tc>
          <w:tcPr>
            <w:tcW w:w="822" w:type="dxa"/>
          </w:tcPr>
          <w:p w14:paraId="1C703133"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50 000</w:t>
            </w:r>
          </w:p>
        </w:tc>
        <w:tc>
          <w:tcPr>
            <w:tcW w:w="822" w:type="dxa"/>
          </w:tcPr>
          <w:p w14:paraId="171C2D79"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50 990</w:t>
            </w:r>
          </w:p>
        </w:tc>
        <w:tc>
          <w:tcPr>
            <w:tcW w:w="822" w:type="dxa"/>
          </w:tcPr>
          <w:p w14:paraId="2F093A6C" w14:textId="77777777" w:rsidR="00917E4B" w:rsidRPr="008A2E5A" w:rsidRDefault="00917E4B" w:rsidP="004C5D62">
            <w:pPr>
              <w:spacing w:after="0" w:line="240" w:lineRule="auto"/>
              <w:jc w:val="both"/>
              <w:rPr>
                <w:color w:val="0070C0"/>
                <w:sz w:val="16"/>
                <w:szCs w:val="16"/>
              </w:rPr>
            </w:pPr>
          </w:p>
        </w:tc>
        <w:tc>
          <w:tcPr>
            <w:tcW w:w="822" w:type="dxa"/>
          </w:tcPr>
          <w:p w14:paraId="1013154F" w14:textId="77777777" w:rsidR="00917E4B" w:rsidRPr="008A2E5A" w:rsidRDefault="00917E4B" w:rsidP="004C5D62">
            <w:pPr>
              <w:spacing w:after="0" w:line="240" w:lineRule="auto"/>
              <w:jc w:val="both"/>
              <w:rPr>
                <w:color w:val="0070C0"/>
                <w:sz w:val="16"/>
                <w:szCs w:val="16"/>
              </w:rPr>
            </w:pPr>
          </w:p>
        </w:tc>
        <w:tc>
          <w:tcPr>
            <w:tcW w:w="822" w:type="dxa"/>
          </w:tcPr>
          <w:p w14:paraId="47252388" w14:textId="77777777" w:rsidR="00917E4B" w:rsidRPr="008A2E5A" w:rsidRDefault="00917E4B" w:rsidP="004C5D62">
            <w:pPr>
              <w:spacing w:after="0" w:line="240" w:lineRule="auto"/>
              <w:jc w:val="both"/>
              <w:rPr>
                <w:color w:val="0070C0"/>
                <w:sz w:val="16"/>
                <w:szCs w:val="16"/>
              </w:rPr>
            </w:pPr>
          </w:p>
        </w:tc>
        <w:tc>
          <w:tcPr>
            <w:tcW w:w="822" w:type="dxa"/>
          </w:tcPr>
          <w:p w14:paraId="76D0FC35" w14:textId="77777777" w:rsidR="00917E4B" w:rsidRPr="008A2E5A" w:rsidRDefault="00917E4B" w:rsidP="004C5D62">
            <w:pPr>
              <w:spacing w:after="0" w:line="240" w:lineRule="auto"/>
              <w:jc w:val="both"/>
              <w:rPr>
                <w:color w:val="0070C0"/>
                <w:sz w:val="16"/>
                <w:szCs w:val="16"/>
              </w:rPr>
            </w:pPr>
          </w:p>
        </w:tc>
      </w:tr>
      <w:tr w:rsidR="00917E4B" w:rsidRPr="008A2E5A" w14:paraId="50B5F44D" w14:textId="77777777" w:rsidTr="004C5D62">
        <w:tc>
          <w:tcPr>
            <w:tcW w:w="821" w:type="dxa"/>
          </w:tcPr>
          <w:p w14:paraId="255146E0"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самозарядные ВСТ-40</w:t>
            </w:r>
          </w:p>
        </w:tc>
        <w:tc>
          <w:tcPr>
            <w:tcW w:w="821" w:type="dxa"/>
          </w:tcPr>
          <w:p w14:paraId="3A18B9AB" w14:textId="77777777" w:rsidR="00917E4B" w:rsidRPr="008A2E5A" w:rsidRDefault="00917E4B" w:rsidP="004C5D62">
            <w:pPr>
              <w:spacing w:after="0" w:line="240" w:lineRule="auto"/>
              <w:jc w:val="both"/>
              <w:rPr>
                <w:color w:val="0070C0"/>
                <w:sz w:val="16"/>
                <w:szCs w:val="16"/>
              </w:rPr>
            </w:pPr>
            <w:r w:rsidRPr="008A2E5A">
              <w:rPr>
                <w:color w:val="0070C0"/>
                <w:sz w:val="16"/>
                <w:szCs w:val="16"/>
              </w:rPr>
              <w:t>456 000</w:t>
            </w:r>
          </w:p>
        </w:tc>
        <w:tc>
          <w:tcPr>
            <w:tcW w:w="821" w:type="dxa"/>
          </w:tcPr>
          <w:p w14:paraId="6197BB19" w14:textId="77777777" w:rsidR="00917E4B" w:rsidRPr="008A2E5A" w:rsidRDefault="00917E4B" w:rsidP="004C5D62">
            <w:pPr>
              <w:spacing w:after="0" w:line="240" w:lineRule="auto"/>
              <w:jc w:val="both"/>
              <w:rPr>
                <w:color w:val="0070C0"/>
                <w:sz w:val="16"/>
                <w:szCs w:val="16"/>
              </w:rPr>
            </w:pPr>
            <w:r w:rsidRPr="008A2E5A">
              <w:rPr>
                <w:color w:val="0070C0"/>
                <w:sz w:val="16"/>
                <w:szCs w:val="16"/>
              </w:rPr>
              <w:t>470 118</w:t>
            </w:r>
          </w:p>
        </w:tc>
        <w:tc>
          <w:tcPr>
            <w:tcW w:w="821" w:type="dxa"/>
          </w:tcPr>
          <w:p w14:paraId="14F19017" w14:textId="77777777" w:rsidR="00917E4B" w:rsidRPr="008A2E5A" w:rsidRDefault="00917E4B" w:rsidP="004C5D62">
            <w:pPr>
              <w:spacing w:after="0" w:line="240" w:lineRule="auto"/>
              <w:jc w:val="both"/>
              <w:rPr>
                <w:color w:val="0070C0"/>
                <w:sz w:val="16"/>
                <w:szCs w:val="16"/>
              </w:rPr>
            </w:pPr>
            <w:r w:rsidRPr="008A2E5A">
              <w:rPr>
                <w:color w:val="0070C0"/>
                <w:sz w:val="16"/>
                <w:szCs w:val="16"/>
              </w:rPr>
              <w:t>142 000</w:t>
            </w:r>
          </w:p>
        </w:tc>
        <w:tc>
          <w:tcPr>
            <w:tcW w:w="822" w:type="dxa"/>
          </w:tcPr>
          <w:p w14:paraId="12318C50" w14:textId="77777777" w:rsidR="00917E4B" w:rsidRPr="008A2E5A" w:rsidRDefault="00917E4B" w:rsidP="004C5D62">
            <w:pPr>
              <w:spacing w:after="0" w:line="240" w:lineRule="auto"/>
              <w:jc w:val="both"/>
              <w:rPr>
                <w:color w:val="0070C0"/>
                <w:sz w:val="16"/>
                <w:szCs w:val="16"/>
              </w:rPr>
            </w:pPr>
            <w:r w:rsidRPr="008A2E5A">
              <w:rPr>
                <w:color w:val="0070C0"/>
                <w:sz w:val="16"/>
                <w:szCs w:val="16"/>
              </w:rPr>
              <w:t>137 626</w:t>
            </w:r>
          </w:p>
        </w:tc>
        <w:tc>
          <w:tcPr>
            <w:tcW w:w="822" w:type="dxa"/>
          </w:tcPr>
          <w:p w14:paraId="11E09742" w14:textId="77777777" w:rsidR="00917E4B" w:rsidRPr="008A2E5A" w:rsidRDefault="00917E4B" w:rsidP="004C5D62">
            <w:pPr>
              <w:spacing w:after="0" w:line="240" w:lineRule="auto"/>
              <w:jc w:val="both"/>
              <w:rPr>
                <w:color w:val="0070C0"/>
                <w:sz w:val="16"/>
                <w:szCs w:val="16"/>
              </w:rPr>
            </w:pPr>
            <w:r w:rsidRPr="008A2E5A">
              <w:rPr>
                <w:color w:val="0070C0"/>
                <w:sz w:val="16"/>
                <w:szCs w:val="16"/>
              </w:rPr>
              <w:t>188 500</w:t>
            </w:r>
          </w:p>
        </w:tc>
        <w:tc>
          <w:tcPr>
            <w:tcW w:w="822" w:type="dxa"/>
          </w:tcPr>
          <w:p w14:paraId="7017694F" w14:textId="77777777" w:rsidR="00917E4B" w:rsidRPr="008A2E5A" w:rsidRDefault="00917E4B" w:rsidP="004C5D62">
            <w:pPr>
              <w:spacing w:after="0" w:line="240" w:lineRule="auto"/>
              <w:jc w:val="both"/>
              <w:rPr>
                <w:color w:val="0070C0"/>
                <w:sz w:val="16"/>
                <w:szCs w:val="16"/>
              </w:rPr>
            </w:pPr>
            <w:r w:rsidRPr="008A2E5A">
              <w:rPr>
                <w:color w:val="0070C0"/>
                <w:sz w:val="16"/>
                <w:szCs w:val="16"/>
              </w:rPr>
              <w:t>172 707</w:t>
            </w:r>
          </w:p>
        </w:tc>
        <w:tc>
          <w:tcPr>
            <w:tcW w:w="822" w:type="dxa"/>
          </w:tcPr>
          <w:p w14:paraId="4D2FED97" w14:textId="77777777" w:rsidR="00917E4B" w:rsidRPr="008A2E5A" w:rsidRDefault="00917E4B" w:rsidP="004C5D62">
            <w:pPr>
              <w:spacing w:after="0" w:line="240" w:lineRule="auto"/>
              <w:jc w:val="both"/>
              <w:rPr>
                <w:color w:val="0070C0"/>
                <w:sz w:val="16"/>
                <w:szCs w:val="16"/>
              </w:rPr>
            </w:pPr>
            <w:r w:rsidRPr="008A2E5A">
              <w:rPr>
                <w:color w:val="0070C0"/>
                <w:sz w:val="16"/>
                <w:szCs w:val="16"/>
              </w:rPr>
              <w:t>196 000</w:t>
            </w:r>
          </w:p>
        </w:tc>
        <w:tc>
          <w:tcPr>
            <w:tcW w:w="822" w:type="dxa"/>
          </w:tcPr>
          <w:p w14:paraId="42BA974B" w14:textId="77777777" w:rsidR="00917E4B" w:rsidRPr="008A2E5A" w:rsidRDefault="00917E4B" w:rsidP="004C5D62">
            <w:pPr>
              <w:spacing w:after="0" w:line="240" w:lineRule="auto"/>
              <w:jc w:val="both"/>
              <w:rPr>
                <w:color w:val="0070C0"/>
                <w:sz w:val="16"/>
                <w:szCs w:val="16"/>
              </w:rPr>
            </w:pPr>
            <w:r w:rsidRPr="008A2E5A">
              <w:rPr>
                <w:color w:val="0070C0"/>
                <w:sz w:val="16"/>
                <w:szCs w:val="16"/>
              </w:rPr>
              <w:t>190010</w:t>
            </w:r>
          </w:p>
        </w:tc>
        <w:tc>
          <w:tcPr>
            <w:tcW w:w="822" w:type="dxa"/>
          </w:tcPr>
          <w:p w14:paraId="0B4ADF22" w14:textId="77777777" w:rsidR="00917E4B" w:rsidRPr="008A2E5A" w:rsidRDefault="00917E4B" w:rsidP="004C5D62">
            <w:pPr>
              <w:spacing w:after="0" w:line="240" w:lineRule="auto"/>
              <w:jc w:val="both"/>
              <w:rPr>
                <w:color w:val="0070C0"/>
                <w:sz w:val="16"/>
                <w:szCs w:val="16"/>
              </w:rPr>
            </w:pPr>
          </w:p>
        </w:tc>
        <w:tc>
          <w:tcPr>
            <w:tcW w:w="822" w:type="dxa"/>
          </w:tcPr>
          <w:p w14:paraId="525EC862" w14:textId="77777777" w:rsidR="00917E4B" w:rsidRPr="008A2E5A" w:rsidRDefault="00917E4B" w:rsidP="004C5D62">
            <w:pPr>
              <w:spacing w:after="0" w:line="240" w:lineRule="auto"/>
              <w:jc w:val="both"/>
              <w:rPr>
                <w:color w:val="0070C0"/>
                <w:sz w:val="16"/>
                <w:szCs w:val="16"/>
              </w:rPr>
            </w:pPr>
          </w:p>
        </w:tc>
        <w:tc>
          <w:tcPr>
            <w:tcW w:w="822" w:type="dxa"/>
          </w:tcPr>
          <w:p w14:paraId="193A37D0" w14:textId="77777777" w:rsidR="00917E4B" w:rsidRPr="008A2E5A" w:rsidRDefault="00917E4B" w:rsidP="004C5D62">
            <w:pPr>
              <w:spacing w:after="0" w:line="240" w:lineRule="auto"/>
              <w:jc w:val="both"/>
              <w:rPr>
                <w:color w:val="0070C0"/>
                <w:sz w:val="16"/>
                <w:szCs w:val="16"/>
              </w:rPr>
            </w:pPr>
          </w:p>
        </w:tc>
        <w:tc>
          <w:tcPr>
            <w:tcW w:w="822" w:type="dxa"/>
          </w:tcPr>
          <w:p w14:paraId="697BE2BA" w14:textId="77777777" w:rsidR="00917E4B" w:rsidRPr="008A2E5A" w:rsidRDefault="00917E4B" w:rsidP="004C5D62">
            <w:pPr>
              <w:spacing w:after="0" w:line="240" w:lineRule="auto"/>
              <w:jc w:val="both"/>
              <w:rPr>
                <w:color w:val="0070C0"/>
                <w:sz w:val="16"/>
                <w:szCs w:val="16"/>
              </w:rPr>
            </w:pPr>
          </w:p>
        </w:tc>
      </w:tr>
      <w:tr w:rsidR="00917E4B" w:rsidRPr="008A2E5A" w14:paraId="7FBF84A3" w14:textId="77777777" w:rsidTr="004C5D62">
        <w:tc>
          <w:tcPr>
            <w:tcW w:w="821" w:type="dxa"/>
          </w:tcPr>
          <w:p w14:paraId="6F6A1C0A"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снайперские</w:t>
            </w:r>
          </w:p>
        </w:tc>
        <w:tc>
          <w:tcPr>
            <w:tcW w:w="821" w:type="dxa"/>
          </w:tcPr>
          <w:p w14:paraId="54C2A551"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1" w:type="dxa"/>
          </w:tcPr>
          <w:p w14:paraId="4A4CEDAA" w14:textId="77777777" w:rsidR="00917E4B" w:rsidRPr="008A2E5A" w:rsidRDefault="00917E4B" w:rsidP="004C5D62">
            <w:pPr>
              <w:spacing w:after="0" w:line="240" w:lineRule="auto"/>
              <w:jc w:val="both"/>
              <w:rPr>
                <w:color w:val="0070C0"/>
                <w:sz w:val="16"/>
                <w:szCs w:val="16"/>
              </w:rPr>
            </w:pPr>
            <w:r w:rsidRPr="008A2E5A">
              <w:rPr>
                <w:color w:val="0070C0"/>
                <w:sz w:val="16"/>
                <w:szCs w:val="16"/>
              </w:rPr>
              <w:t>11 060</w:t>
            </w:r>
          </w:p>
        </w:tc>
        <w:tc>
          <w:tcPr>
            <w:tcW w:w="821" w:type="dxa"/>
          </w:tcPr>
          <w:p w14:paraId="0446796A"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7000</w:t>
            </w:r>
          </w:p>
        </w:tc>
        <w:tc>
          <w:tcPr>
            <w:tcW w:w="822" w:type="dxa"/>
          </w:tcPr>
          <w:p w14:paraId="1EAC8524" w14:textId="77777777" w:rsidR="00917E4B" w:rsidRPr="008A2E5A" w:rsidRDefault="00917E4B" w:rsidP="004C5D62">
            <w:pPr>
              <w:spacing w:after="0" w:line="240" w:lineRule="auto"/>
              <w:jc w:val="both"/>
              <w:rPr>
                <w:color w:val="0070C0"/>
                <w:sz w:val="16"/>
                <w:szCs w:val="16"/>
              </w:rPr>
            </w:pPr>
            <w:r w:rsidRPr="008A2E5A">
              <w:rPr>
                <w:color w:val="0070C0"/>
                <w:sz w:val="16"/>
                <w:szCs w:val="16"/>
              </w:rPr>
              <w:t>6800</w:t>
            </w:r>
          </w:p>
        </w:tc>
        <w:tc>
          <w:tcPr>
            <w:tcW w:w="822" w:type="dxa"/>
          </w:tcPr>
          <w:p w14:paraId="5B7C814E" w14:textId="77777777" w:rsidR="00917E4B" w:rsidRPr="008A2E5A" w:rsidRDefault="00917E4B" w:rsidP="004C5D62">
            <w:pPr>
              <w:spacing w:after="0" w:line="240" w:lineRule="auto"/>
              <w:jc w:val="both"/>
              <w:rPr>
                <w:color w:val="0070C0"/>
                <w:sz w:val="16"/>
                <w:szCs w:val="16"/>
              </w:rPr>
            </w:pPr>
            <w:r w:rsidRPr="008A2E5A">
              <w:rPr>
                <w:color w:val="0070C0"/>
                <w:sz w:val="16"/>
                <w:szCs w:val="16"/>
              </w:rPr>
              <w:t>7500</w:t>
            </w:r>
          </w:p>
        </w:tc>
        <w:tc>
          <w:tcPr>
            <w:tcW w:w="822" w:type="dxa"/>
          </w:tcPr>
          <w:p w14:paraId="52797543" w14:textId="77777777" w:rsidR="00917E4B" w:rsidRPr="008A2E5A" w:rsidRDefault="00917E4B" w:rsidP="004C5D62">
            <w:pPr>
              <w:spacing w:after="0" w:line="240" w:lineRule="auto"/>
              <w:jc w:val="both"/>
              <w:rPr>
                <w:color w:val="0070C0"/>
                <w:sz w:val="16"/>
                <w:szCs w:val="16"/>
              </w:rPr>
            </w:pPr>
            <w:r w:rsidRPr="008A2E5A">
              <w:rPr>
                <w:color w:val="0070C0"/>
                <w:sz w:val="16"/>
                <w:szCs w:val="16"/>
              </w:rPr>
              <w:t>7500</w:t>
            </w:r>
          </w:p>
        </w:tc>
        <w:tc>
          <w:tcPr>
            <w:tcW w:w="822" w:type="dxa"/>
          </w:tcPr>
          <w:p w14:paraId="189462B5"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2" w:type="dxa"/>
          </w:tcPr>
          <w:p w14:paraId="0F9B8BA7"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8004</w:t>
            </w:r>
          </w:p>
        </w:tc>
        <w:tc>
          <w:tcPr>
            <w:tcW w:w="822" w:type="dxa"/>
          </w:tcPr>
          <w:p w14:paraId="5D494D99" w14:textId="77777777" w:rsidR="00917E4B" w:rsidRPr="008A2E5A" w:rsidRDefault="00917E4B" w:rsidP="004C5D62">
            <w:pPr>
              <w:spacing w:after="0" w:line="240" w:lineRule="auto"/>
              <w:jc w:val="both"/>
              <w:rPr>
                <w:color w:val="0070C0"/>
                <w:sz w:val="16"/>
                <w:szCs w:val="16"/>
              </w:rPr>
            </w:pPr>
          </w:p>
        </w:tc>
        <w:tc>
          <w:tcPr>
            <w:tcW w:w="822" w:type="dxa"/>
          </w:tcPr>
          <w:p w14:paraId="6032CECE" w14:textId="77777777" w:rsidR="00917E4B" w:rsidRPr="008A2E5A" w:rsidRDefault="00917E4B" w:rsidP="004C5D62">
            <w:pPr>
              <w:spacing w:after="0" w:line="240" w:lineRule="auto"/>
              <w:jc w:val="both"/>
              <w:rPr>
                <w:color w:val="0070C0"/>
                <w:sz w:val="16"/>
                <w:szCs w:val="16"/>
              </w:rPr>
            </w:pPr>
          </w:p>
        </w:tc>
        <w:tc>
          <w:tcPr>
            <w:tcW w:w="822" w:type="dxa"/>
          </w:tcPr>
          <w:p w14:paraId="1834A814" w14:textId="77777777" w:rsidR="00917E4B" w:rsidRPr="008A2E5A" w:rsidRDefault="00917E4B" w:rsidP="004C5D62">
            <w:pPr>
              <w:spacing w:after="0" w:line="240" w:lineRule="auto"/>
              <w:jc w:val="both"/>
              <w:rPr>
                <w:color w:val="0070C0"/>
                <w:sz w:val="16"/>
                <w:szCs w:val="16"/>
              </w:rPr>
            </w:pPr>
          </w:p>
        </w:tc>
        <w:tc>
          <w:tcPr>
            <w:tcW w:w="822" w:type="dxa"/>
          </w:tcPr>
          <w:p w14:paraId="3720C8AE" w14:textId="77777777" w:rsidR="00917E4B" w:rsidRPr="008A2E5A" w:rsidRDefault="00917E4B" w:rsidP="004C5D62">
            <w:pPr>
              <w:spacing w:after="0" w:line="240" w:lineRule="auto"/>
              <w:jc w:val="both"/>
              <w:rPr>
                <w:color w:val="0070C0"/>
                <w:sz w:val="16"/>
                <w:szCs w:val="16"/>
              </w:rPr>
            </w:pPr>
          </w:p>
        </w:tc>
      </w:tr>
      <w:tr w:rsidR="00917E4B" w:rsidRPr="008A2E5A" w14:paraId="37A90D19" w14:textId="77777777" w:rsidTr="004C5D62">
        <w:tc>
          <w:tcPr>
            <w:tcW w:w="821" w:type="dxa"/>
          </w:tcPr>
          <w:p w14:paraId="715061B7" w14:textId="77777777" w:rsidR="00917E4B" w:rsidRPr="008A2E5A" w:rsidRDefault="00917E4B" w:rsidP="004C5D62">
            <w:pPr>
              <w:spacing w:after="0" w:line="240" w:lineRule="auto"/>
              <w:jc w:val="both"/>
              <w:rPr>
                <w:color w:val="0070C0"/>
                <w:sz w:val="16"/>
                <w:szCs w:val="16"/>
              </w:rPr>
            </w:pPr>
            <w:r w:rsidRPr="008A2E5A">
              <w:rPr>
                <w:color w:val="0070C0"/>
                <w:sz w:val="16"/>
                <w:szCs w:val="16"/>
              </w:rPr>
              <w:t>Итого винтовок и карабинов</w:t>
            </w:r>
          </w:p>
        </w:tc>
        <w:tc>
          <w:tcPr>
            <w:tcW w:w="821" w:type="dxa"/>
          </w:tcPr>
          <w:p w14:paraId="33C1971A" w14:textId="77777777" w:rsidR="00917E4B" w:rsidRPr="008A2E5A" w:rsidRDefault="00917E4B" w:rsidP="004C5D62">
            <w:pPr>
              <w:spacing w:after="0" w:line="240" w:lineRule="auto"/>
              <w:jc w:val="both"/>
              <w:rPr>
                <w:color w:val="0070C0"/>
                <w:sz w:val="16"/>
                <w:szCs w:val="16"/>
              </w:rPr>
            </w:pPr>
            <w:r w:rsidRPr="008A2E5A">
              <w:rPr>
                <w:color w:val="0070C0"/>
                <w:sz w:val="16"/>
                <w:szCs w:val="16"/>
              </w:rPr>
              <w:t>772 000</w:t>
            </w:r>
          </w:p>
        </w:tc>
        <w:tc>
          <w:tcPr>
            <w:tcW w:w="821" w:type="dxa"/>
          </w:tcPr>
          <w:p w14:paraId="24CE9065" w14:textId="77777777" w:rsidR="00917E4B" w:rsidRPr="008A2E5A" w:rsidRDefault="00917E4B" w:rsidP="004C5D62">
            <w:pPr>
              <w:spacing w:after="0" w:line="240" w:lineRule="auto"/>
              <w:jc w:val="both"/>
              <w:rPr>
                <w:color w:val="0070C0"/>
                <w:sz w:val="16"/>
                <w:szCs w:val="16"/>
              </w:rPr>
            </w:pPr>
            <w:r w:rsidRPr="008A2E5A">
              <w:rPr>
                <w:color w:val="0070C0"/>
                <w:sz w:val="16"/>
                <w:szCs w:val="16"/>
              </w:rPr>
              <w:t>791 977</w:t>
            </w:r>
          </w:p>
        </w:tc>
        <w:tc>
          <w:tcPr>
            <w:tcW w:w="821" w:type="dxa"/>
          </w:tcPr>
          <w:p w14:paraId="23864544" w14:textId="77777777" w:rsidR="00917E4B" w:rsidRPr="008A2E5A" w:rsidRDefault="00917E4B" w:rsidP="004C5D62">
            <w:pPr>
              <w:spacing w:after="0" w:line="240" w:lineRule="auto"/>
              <w:jc w:val="both"/>
              <w:rPr>
                <w:color w:val="0070C0"/>
                <w:sz w:val="16"/>
                <w:szCs w:val="16"/>
              </w:rPr>
            </w:pPr>
            <w:r w:rsidRPr="008A2E5A">
              <w:rPr>
                <w:color w:val="0070C0"/>
                <w:sz w:val="16"/>
                <w:szCs w:val="16"/>
              </w:rPr>
              <w:t>242 000</w:t>
            </w:r>
          </w:p>
        </w:tc>
        <w:tc>
          <w:tcPr>
            <w:tcW w:w="822" w:type="dxa"/>
          </w:tcPr>
          <w:p w14:paraId="711BFB9F" w14:textId="77777777" w:rsidR="00917E4B" w:rsidRPr="008A2E5A" w:rsidRDefault="00917E4B" w:rsidP="004C5D62">
            <w:pPr>
              <w:spacing w:after="0" w:line="240" w:lineRule="auto"/>
              <w:jc w:val="both"/>
              <w:rPr>
                <w:color w:val="0070C0"/>
                <w:sz w:val="16"/>
                <w:szCs w:val="16"/>
              </w:rPr>
            </w:pPr>
            <w:r w:rsidRPr="008A2E5A">
              <w:rPr>
                <w:color w:val="0070C0"/>
                <w:sz w:val="16"/>
                <w:szCs w:val="16"/>
              </w:rPr>
              <w:t>222 344</w:t>
            </w:r>
          </w:p>
        </w:tc>
        <w:tc>
          <w:tcPr>
            <w:tcW w:w="822" w:type="dxa"/>
          </w:tcPr>
          <w:p w14:paraId="5990EC42" w14:textId="77777777" w:rsidR="00917E4B" w:rsidRPr="008A2E5A" w:rsidRDefault="00917E4B" w:rsidP="004C5D62">
            <w:pPr>
              <w:spacing w:after="0" w:line="240" w:lineRule="auto"/>
              <w:jc w:val="both"/>
              <w:rPr>
                <w:color w:val="0070C0"/>
                <w:sz w:val="16"/>
                <w:szCs w:val="16"/>
              </w:rPr>
            </w:pPr>
            <w:r w:rsidRPr="008A2E5A">
              <w:rPr>
                <w:color w:val="0070C0"/>
                <w:sz w:val="16"/>
                <w:szCs w:val="16"/>
              </w:rPr>
              <w:t>321 000</w:t>
            </w:r>
          </w:p>
        </w:tc>
        <w:tc>
          <w:tcPr>
            <w:tcW w:w="822" w:type="dxa"/>
          </w:tcPr>
          <w:p w14:paraId="27C49697" w14:textId="77777777" w:rsidR="00917E4B" w:rsidRPr="008A2E5A" w:rsidRDefault="00917E4B" w:rsidP="004C5D62">
            <w:pPr>
              <w:spacing w:after="0" w:line="240" w:lineRule="auto"/>
              <w:jc w:val="both"/>
              <w:rPr>
                <w:color w:val="0070C0"/>
                <w:sz w:val="16"/>
                <w:szCs w:val="16"/>
              </w:rPr>
            </w:pPr>
            <w:r w:rsidRPr="008A2E5A">
              <w:rPr>
                <w:color w:val="0070C0"/>
                <w:sz w:val="16"/>
                <w:szCs w:val="16"/>
              </w:rPr>
              <w:t>272 346</w:t>
            </w:r>
          </w:p>
        </w:tc>
        <w:tc>
          <w:tcPr>
            <w:tcW w:w="822" w:type="dxa"/>
          </w:tcPr>
          <w:p w14:paraId="3BD1E6F0" w14:textId="77777777" w:rsidR="00917E4B" w:rsidRPr="008A2E5A" w:rsidRDefault="00917E4B" w:rsidP="004C5D62">
            <w:pPr>
              <w:spacing w:after="0" w:line="240" w:lineRule="auto"/>
              <w:jc w:val="both"/>
              <w:rPr>
                <w:color w:val="0070C0"/>
                <w:sz w:val="16"/>
                <w:szCs w:val="16"/>
              </w:rPr>
            </w:pPr>
            <w:r w:rsidRPr="008A2E5A">
              <w:rPr>
                <w:color w:val="0070C0"/>
                <w:sz w:val="16"/>
                <w:szCs w:val="16"/>
              </w:rPr>
              <w:t>339 000</w:t>
            </w:r>
          </w:p>
        </w:tc>
        <w:tc>
          <w:tcPr>
            <w:tcW w:w="822" w:type="dxa"/>
          </w:tcPr>
          <w:p w14:paraId="7E9554FC" w14:textId="77777777" w:rsidR="00917E4B" w:rsidRPr="008A2E5A" w:rsidRDefault="00917E4B" w:rsidP="004C5D62">
            <w:pPr>
              <w:spacing w:after="0" w:line="240" w:lineRule="auto"/>
              <w:jc w:val="both"/>
              <w:rPr>
                <w:color w:val="0070C0"/>
                <w:sz w:val="16"/>
                <w:szCs w:val="16"/>
              </w:rPr>
            </w:pPr>
            <w:r w:rsidRPr="008A2E5A">
              <w:rPr>
                <w:color w:val="0070C0"/>
                <w:sz w:val="16"/>
                <w:szCs w:val="16"/>
              </w:rPr>
              <w:t>317 681</w:t>
            </w:r>
          </w:p>
        </w:tc>
        <w:tc>
          <w:tcPr>
            <w:tcW w:w="822" w:type="dxa"/>
          </w:tcPr>
          <w:p w14:paraId="41EA328B" w14:textId="77777777" w:rsidR="00917E4B" w:rsidRPr="008A2E5A" w:rsidRDefault="00917E4B" w:rsidP="004C5D62">
            <w:pPr>
              <w:spacing w:after="0" w:line="240" w:lineRule="auto"/>
              <w:jc w:val="both"/>
              <w:rPr>
                <w:color w:val="0070C0"/>
                <w:sz w:val="16"/>
                <w:szCs w:val="16"/>
              </w:rPr>
            </w:pPr>
          </w:p>
        </w:tc>
        <w:tc>
          <w:tcPr>
            <w:tcW w:w="822" w:type="dxa"/>
          </w:tcPr>
          <w:p w14:paraId="50A1E705" w14:textId="77777777" w:rsidR="00917E4B" w:rsidRPr="008A2E5A" w:rsidRDefault="00917E4B" w:rsidP="004C5D62">
            <w:pPr>
              <w:spacing w:after="0" w:line="240" w:lineRule="auto"/>
              <w:jc w:val="both"/>
              <w:rPr>
                <w:color w:val="0070C0"/>
                <w:sz w:val="16"/>
                <w:szCs w:val="16"/>
              </w:rPr>
            </w:pPr>
          </w:p>
        </w:tc>
        <w:tc>
          <w:tcPr>
            <w:tcW w:w="822" w:type="dxa"/>
          </w:tcPr>
          <w:p w14:paraId="6E289390" w14:textId="77777777" w:rsidR="00917E4B" w:rsidRPr="008A2E5A" w:rsidRDefault="00917E4B" w:rsidP="004C5D62">
            <w:pPr>
              <w:spacing w:after="0" w:line="240" w:lineRule="auto"/>
              <w:jc w:val="both"/>
              <w:rPr>
                <w:color w:val="0070C0"/>
                <w:sz w:val="16"/>
                <w:szCs w:val="16"/>
              </w:rPr>
            </w:pPr>
          </w:p>
        </w:tc>
        <w:tc>
          <w:tcPr>
            <w:tcW w:w="822" w:type="dxa"/>
          </w:tcPr>
          <w:p w14:paraId="25B1F8F8" w14:textId="77777777" w:rsidR="00917E4B" w:rsidRPr="008A2E5A" w:rsidRDefault="00917E4B" w:rsidP="004C5D62">
            <w:pPr>
              <w:spacing w:after="0" w:line="240" w:lineRule="auto"/>
              <w:jc w:val="both"/>
              <w:rPr>
                <w:color w:val="0070C0"/>
                <w:sz w:val="16"/>
                <w:szCs w:val="16"/>
              </w:rPr>
            </w:pPr>
          </w:p>
        </w:tc>
      </w:tr>
      <w:tr w:rsidR="00917E4B" w:rsidRPr="008A2E5A" w14:paraId="036B8BF6" w14:textId="77777777" w:rsidTr="004C5D62">
        <w:tc>
          <w:tcPr>
            <w:tcW w:w="821" w:type="dxa"/>
          </w:tcPr>
          <w:p w14:paraId="6B684B1A"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пистолет ТТ</w:t>
            </w:r>
          </w:p>
        </w:tc>
        <w:tc>
          <w:tcPr>
            <w:tcW w:w="821" w:type="dxa"/>
          </w:tcPr>
          <w:p w14:paraId="1B16082D" w14:textId="77777777" w:rsidR="00917E4B" w:rsidRPr="008A2E5A" w:rsidRDefault="00917E4B" w:rsidP="004C5D62">
            <w:pPr>
              <w:spacing w:after="0" w:line="240" w:lineRule="auto"/>
              <w:jc w:val="both"/>
              <w:rPr>
                <w:color w:val="0070C0"/>
                <w:sz w:val="16"/>
                <w:szCs w:val="16"/>
              </w:rPr>
            </w:pPr>
            <w:r w:rsidRPr="008A2E5A">
              <w:rPr>
                <w:color w:val="0070C0"/>
                <w:sz w:val="16"/>
                <w:szCs w:val="16"/>
              </w:rPr>
              <w:t>44 000</w:t>
            </w:r>
          </w:p>
        </w:tc>
        <w:tc>
          <w:tcPr>
            <w:tcW w:w="821" w:type="dxa"/>
          </w:tcPr>
          <w:p w14:paraId="37447732" w14:textId="77777777" w:rsidR="00917E4B" w:rsidRPr="008A2E5A" w:rsidRDefault="00917E4B" w:rsidP="004C5D62">
            <w:pPr>
              <w:spacing w:after="0" w:line="240" w:lineRule="auto"/>
              <w:jc w:val="both"/>
              <w:rPr>
                <w:color w:val="0070C0"/>
                <w:sz w:val="16"/>
                <w:szCs w:val="16"/>
              </w:rPr>
            </w:pPr>
            <w:r w:rsidRPr="008A2E5A">
              <w:rPr>
                <w:color w:val="0070C0"/>
                <w:sz w:val="16"/>
                <w:szCs w:val="16"/>
              </w:rPr>
              <w:t>51 111</w:t>
            </w:r>
          </w:p>
        </w:tc>
        <w:tc>
          <w:tcPr>
            <w:tcW w:w="821" w:type="dxa"/>
          </w:tcPr>
          <w:p w14:paraId="589D92A1" w14:textId="77777777" w:rsidR="00917E4B" w:rsidRPr="008A2E5A" w:rsidRDefault="00917E4B" w:rsidP="004C5D62">
            <w:pPr>
              <w:spacing w:after="0" w:line="240" w:lineRule="auto"/>
              <w:jc w:val="both"/>
              <w:rPr>
                <w:color w:val="0070C0"/>
                <w:sz w:val="16"/>
                <w:szCs w:val="16"/>
              </w:rPr>
            </w:pPr>
            <w:r w:rsidRPr="008A2E5A">
              <w:rPr>
                <w:color w:val="0070C0"/>
                <w:sz w:val="16"/>
                <w:szCs w:val="16"/>
              </w:rPr>
              <w:t>16 000</w:t>
            </w:r>
          </w:p>
        </w:tc>
        <w:tc>
          <w:tcPr>
            <w:tcW w:w="822" w:type="dxa"/>
          </w:tcPr>
          <w:p w14:paraId="300EFFAF" w14:textId="77777777" w:rsidR="00917E4B" w:rsidRPr="008A2E5A" w:rsidRDefault="00917E4B" w:rsidP="004C5D62">
            <w:pPr>
              <w:spacing w:after="0" w:line="240" w:lineRule="auto"/>
              <w:jc w:val="both"/>
              <w:rPr>
                <w:color w:val="0070C0"/>
                <w:sz w:val="16"/>
                <w:szCs w:val="16"/>
              </w:rPr>
            </w:pPr>
            <w:r w:rsidRPr="008A2E5A">
              <w:rPr>
                <w:color w:val="0070C0"/>
                <w:sz w:val="16"/>
                <w:szCs w:val="16"/>
              </w:rPr>
              <w:t>15 702</w:t>
            </w:r>
          </w:p>
        </w:tc>
        <w:tc>
          <w:tcPr>
            <w:tcW w:w="822" w:type="dxa"/>
          </w:tcPr>
          <w:p w14:paraId="4A73A435" w14:textId="77777777" w:rsidR="00917E4B" w:rsidRPr="008A2E5A" w:rsidRDefault="00917E4B" w:rsidP="004C5D62">
            <w:pPr>
              <w:spacing w:after="0" w:line="240" w:lineRule="auto"/>
              <w:jc w:val="both"/>
              <w:rPr>
                <w:color w:val="0070C0"/>
                <w:sz w:val="16"/>
                <w:szCs w:val="16"/>
              </w:rPr>
            </w:pPr>
            <w:r w:rsidRPr="008A2E5A">
              <w:rPr>
                <w:color w:val="0070C0"/>
                <w:sz w:val="16"/>
                <w:szCs w:val="16"/>
              </w:rPr>
              <w:t>17 500</w:t>
            </w:r>
          </w:p>
        </w:tc>
        <w:tc>
          <w:tcPr>
            <w:tcW w:w="822" w:type="dxa"/>
          </w:tcPr>
          <w:p w14:paraId="516F519B" w14:textId="77777777" w:rsidR="00917E4B" w:rsidRPr="008A2E5A" w:rsidRDefault="00917E4B" w:rsidP="004C5D62">
            <w:pPr>
              <w:spacing w:after="0" w:line="240" w:lineRule="auto"/>
              <w:jc w:val="both"/>
              <w:rPr>
                <w:color w:val="0070C0"/>
                <w:sz w:val="16"/>
                <w:szCs w:val="16"/>
              </w:rPr>
            </w:pPr>
            <w:r w:rsidRPr="008A2E5A">
              <w:rPr>
                <w:color w:val="0070C0"/>
                <w:sz w:val="16"/>
                <w:szCs w:val="16"/>
              </w:rPr>
              <w:t>20 000</w:t>
            </w:r>
          </w:p>
        </w:tc>
        <w:tc>
          <w:tcPr>
            <w:tcW w:w="822" w:type="dxa"/>
          </w:tcPr>
          <w:p w14:paraId="369A84AC" w14:textId="77777777" w:rsidR="00917E4B" w:rsidRPr="008A2E5A" w:rsidRDefault="00917E4B" w:rsidP="004C5D62">
            <w:pPr>
              <w:spacing w:after="0" w:line="240" w:lineRule="auto"/>
              <w:jc w:val="both"/>
              <w:rPr>
                <w:color w:val="0070C0"/>
                <w:sz w:val="16"/>
                <w:szCs w:val="16"/>
              </w:rPr>
            </w:pPr>
            <w:r w:rsidRPr="008A2E5A">
              <w:rPr>
                <w:color w:val="0070C0"/>
                <w:sz w:val="16"/>
                <w:szCs w:val="16"/>
              </w:rPr>
              <w:t>20 000</w:t>
            </w:r>
          </w:p>
        </w:tc>
        <w:tc>
          <w:tcPr>
            <w:tcW w:w="822" w:type="dxa"/>
          </w:tcPr>
          <w:p w14:paraId="60E07A66" w14:textId="77777777" w:rsidR="00917E4B" w:rsidRPr="008A2E5A" w:rsidRDefault="00917E4B" w:rsidP="004C5D62">
            <w:pPr>
              <w:spacing w:after="0" w:line="240" w:lineRule="auto"/>
              <w:jc w:val="both"/>
              <w:rPr>
                <w:color w:val="0070C0"/>
                <w:sz w:val="16"/>
                <w:szCs w:val="16"/>
              </w:rPr>
            </w:pPr>
            <w:r w:rsidRPr="008A2E5A">
              <w:rPr>
                <w:color w:val="0070C0"/>
                <w:sz w:val="16"/>
                <w:szCs w:val="16"/>
              </w:rPr>
              <w:t>22 000</w:t>
            </w:r>
          </w:p>
        </w:tc>
        <w:tc>
          <w:tcPr>
            <w:tcW w:w="822" w:type="dxa"/>
          </w:tcPr>
          <w:p w14:paraId="1EC47293" w14:textId="77777777" w:rsidR="00917E4B" w:rsidRPr="008A2E5A" w:rsidRDefault="00917E4B" w:rsidP="004C5D62">
            <w:pPr>
              <w:spacing w:after="0" w:line="240" w:lineRule="auto"/>
              <w:jc w:val="both"/>
              <w:rPr>
                <w:color w:val="0070C0"/>
                <w:sz w:val="16"/>
                <w:szCs w:val="16"/>
              </w:rPr>
            </w:pPr>
          </w:p>
        </w:tc>
        <w:tc>
          <w:tcPr>
            <w:tcW w:w="822" w:type="dxa"/>
          </w:tcPr>
          <w:p w14:paraId="716C2ADF" w14:textId="77777777" w:rsidR="00917E4B" w:rsidRPr="008A2E5A" w:rsidRDefault="00917E4B" w:rsidP="004C5D62">
            <w:pPr>
              <w:spacing w:after="0" w:line="240" w:lineRule="auto"/>
              <w:jc w:val="both"/>
              <w:rPr>
                <w:color w:val="0070C0"/>
                <w:sz w:val="16"/>
                <w:szCs w:val="16"/>
              </w:rPr>
            </w:pPr>
          </w:p>
        </w:tc>
        <w:tc>
          <w:tcPr>
            <w:tcW w:w="822" w:type="dxa"/>
          </w:tcPr>
          <w:p w14:paraId="5DB59310" w14:textId="77777777" w:rsidR="00917E4B" w:rsidRPr="008A2E5A" w:rsidRDefault="00917E4B" w:rsidP="004C5D62">
            <w:pPr>
              <w:spacing w:after="0" w:line="240" w:lineRule="auto"/>
              <w:jc w:val="both"/>
              <w:rPr>
                <w:color w:val="0070C0"/>
                <w:sz w:val="16"/>
                <w:szCs w:val="16"/>
              </w:rPr>
            </w:pPr>
          </w:p>
        </w:tc>
        <w:tc>
          <w:tcPr>
            <w:tcW w:w="822" w:type="dxa"/>
          </w:tcPr>
          <w:p w14:paraId="19D7B5F1" w14:textId="77777777" w:rsidR="00917E4B" w:rsidRPr="008A2E5A" w:rsidRDefault="00917E4B" w:rsidP="004C5D62">
            <w:pPr>
              <w:spacing w:after="0" w:line="240" w:lineRule="auto"/>
              <w:jc w:val="both"/>
              <w:rPr>
                <w:color w:val="0070C0"/>
                <w:sz w:val="16"/>
                <w:szCs w:val="16"/>
              </w:rPr>
            </w:pPr>
          </w:p>
        </w:tc>
      </w:tr>
      <w:tr w:rsidR="00917E4B" w:rsidRPr="008A2E5A" w14:paraId="0FF760CD" w14:textId="77777777" w:rsidTr="004C5D62">
        <w:tc>
          <w:tcPr>
            <w:tcW w:w="821" w:type="dxa"/>
          </w:tcPr>
          <w:p w14:paraId="4FE512B1"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револьвер «Наган»</w:t>
            </w:r>
          </w:p>
        </w:tc>
        <w:tc>
          <w:tcPr>
            <w:tcW w:w="821" w:type="dxa"/>
          </w:tcPr>
          <w:p w14:paraId="220ADE3A" w14:textId="77777777" w:rsidR="00917E4B" w:rsidRPr="008A2E5A" w:rsidRDefault="00917E4B" w:rsidP="004C5D62">
            <w:pPr>
              <w:spacing w:after="0" w:line="240" w:lineRule="auto"/>
              <w:jc w:val="both"/>
              <w:rPr>
                <w:color w:val="0070C0"/>
                <w:sz w:val="16"/>
                <w:szCs w:val="16"/>
              </w:rPr>
            </w:pPr>
            <w:r w:rsidRPr="008A2E5A">
              <w:rPr>
                <w:color w:val="0070C0"/>
                <w:sz w:val="16"/>
                <w:szCs w:val="16"/>
              </w:rPr>
              <w:t>55 000</w:t>
            </w:r>
          </w:p>
        </w:tc>
        <w:tc>
          <w:tcPr>
            <w:tcW w:w="821" w:type="dxa"/>
          </w:tcPr>
          <w:p w14:paraId="15FC2D51" w14:textId="77777777" w:rsidR="00917E4B" w:rsidRPr="008A2E5A" w:rsidRDefault="00917E4B" w:rsidP="004C5D62">
            <w:pPr>
              <w:spacing w:after="0" w:line="240" w:lineRule="auto"/>
              <w:jc w:val="both"/>
              <w:rPr>
                <w:color w:val="0070C0"/>
                <w:sz w:val="16"/>
                <w:szCs w:val="16"/>
              </w:rPr>
            </w:pPr>
            <w:r w:rsidRPr="008A2E5A">
              <w:rPr>
                <w:color w:val="0070C0"/>
                <w:sz w:val="16"/>
                <w:szCs w:val="16"/>
              </w:rPr>
              <w:t>55 680</w:t>
            </w:r>
          </w:p>
        </w:tc>
        <w:tc>
          <w:tcPr>
            <w:tcW w:w="821" w:type="dxa"/>
          </w:tcPr>
          <w:p w14:paraId="06633287" w14:textId="77777777" w:rsidR="00917E4B" w:rsidRPr="008A2E5A" w:rsidRDefault="00917E4B" w:rsidP="004C5D62">
            <w:pPr>
              <w:spacing w:after="0" w:line="240" w:lineRule="auto"/>
              <w:jc w:val="both"/>
              <w:rPr>
                <w:color w:val="0070C0"/>
                <w:sz w:val="16"/>
                <w:szCs w:val="16"/>
              </w:rPr>
            </w:pPr>
            <w:r w:rsidRPr="008A2E5A">
              <w:rPr>
                <w:color w:val="0070C0"/>
                <w:sz w:val="16"/>
                <w:szCs w:val="16"/>
              </w:rPr>
              <w:t>17 000</w:t>
            </w:r>
          </w:p>
        </w:tc>
        <w:tc>
          <w:tcPr>
            <w:tcW w:w="822" w:type="dxa"/>
          </w:tcPr>
          <w:p w14:paraId="26961E11" w14:textId="77777777" w:rsidR="00917E4B" w:rsidRPr="008A2E5A" w:rsidRDefault="00917E4B" w:rsidP="004C5D62">
            <w:pPr>
              <w:spacing w:after="0" w:line="240" w:lineRule="auto"/>
              <w:jc w:val="both"/>
              <w:rPr>
                <w:color w:val="0070C0"/>
                <w:sz w:val="16"/>
                <w:szCs w:val="16"/>
              </w:rPr>
            </w:pPr>
            <w:r w:rsidRPr="008A2E5A">
              <w:rPr>
                <w:color w:val="0070C0"/>
                <w:sz w:val="16"/>
                <w:szCs w:val="16"/>
              </w:rPr>
              <w:t>17 300</w:t>
            </w:r>
          </w:p>
        </w:tc>
        <w:tc>
          <w:tcPr>
            <w:tcW w:w="822" w:type="dxa"/>
          </w:tcPr>
          <w:p w14:paraId="680C2E6A" w14:textId="77777777" w:rsidR="00917E4B" w:rsidRPr="008A2E5A" w:rsidRDefault="00917E4B" w:rsidP="004C5D62">
            <w:pPr>
              <w:spacing w:after="0" w:line="240" w:lineRule="auto"/>
              <w:jc w:val="both"/>
              <w:rPr>
                <w:color w:val="0070C0"/>
                <w:sz w:val="16"/>
                <w:szCs w:val="16"/>
              </w:rPr>
            </w:pPr>
            <w:r w:rsidRPr="008A2E5A">
              <w:rPr>
                <w:color w:val="0070C0"/>
                <w:sz w:val="16"/>
                <w:szCs w:val="16"/>
              </w:rPr>
              <w:t>18 500</w:t>
            </w:r>
          </w:p>
        </w:tc>
        <w:tc>
          <w:tcPr>
            <w:tcW w:w="822" w:type="dxa"/>
          </w:tcPr>
          <w:p w14:paraId="365D9A36" w14:textId="77777777" w:rsidR="00917E4B" w:rsidRPr="008A2E5A" w:rsidRDefault="00917E4B" w:rsidP="004C5D62">
            <w:pPr>
              <w:spacing w:after="0" w:line="240" w:lineRule="auto"/>
              <w:jc w:val="both"/>
              <w:rPr>
                <w:color w:val="0070C0"/>
                <w:sz w:val="16"/>
                <w:szCs w:val="16"/>
              </w:rPr>
            </w:pPr>
            <w:r w:rsidRPr="008A2E5A">
              <w:rPr>
                <w:color w:val="0070C0"/>
                <w:sz w:val="16"/>
                <w:szCs w:val="16"/>
              </w:rPr>
              <w:t>19 500</w:t>
            </w:r>
          </w:p>
        </w:tc>
        <w:tc>
          <w:tcPr>
            <w:tcW w:w="822" w:type="dxa"/>
          </w:tcPr>
          <w:p w14:paraId="3FF1CD34" w14:textId="77777777" w:rsidR="00917E4B" w:rsidRPr="008A2E5A" w:rsidRDefault="00917E4B" w:rsidP="004C5D62">
            <w:pPr>
              <w:spacing w:after="0" w:line="240" w:lineRule="auto"/>
              <w:jc w:val="both"/>
              <w:rPr>
                <w:color w:val="0070C0"/>
                <w:sz w:val="16"/>
                <w:szCs w:val="16"/>
              </w:rPr>
            </w:pPr>
            <w:r w:rsidRPr="008A2E5A">
              <w:rPr>
                <w:color w:val="0070C0"/>
                <w:sz w:val="16"/>
                <w:szCs w:val="16"/>
              </w:rPr>
              <w:t>22 000</w:t>
            </w:r>
          </w:p>
        </w:tc>
        <w:tc>
          <w:tcPr>
            <w:tcW w:w="822" w:type="dxa"/>
          </w:tcPr>
          <w:p w14:paraId="3A5A1796" w14:textId="77777777" w:rsidR="00917E4B" w:rsidRPr="008A2E5A" w:rsidRDefault="00917E4B" w:rsidP="004C5D62">
            <w:pPr>
              <w:spacing w:after="0" w:line="240" w:lineRule="auto"/>
              <w:jc w:val="both"/>
              <w:rPr>
                <w:color w:val="0070C0"/>
                <w:sz w:val="16"/>
                <w:szCs w:val="16"/>
              </w:rPr>
            </w:pPr>
            <w:r w:rsidRPr="008A2E5A">
              <w:rPr>
                <w:color w:val="0070C0"/>
                <w:sz w:val="16"/>
                <w:szCs w:val="16"/>
              </w:rPr>
              <w:t>21400</w:t>
            </w:r>
          </w:p>
        </w:tc>
        <w:tc>
          <w:tcPr>
            <w:tcW w:w="822" w:type="dxa"/>
          </w:tcPr>
          <w:p w14:paraId="2D47AB36" w14:textId="77777777" w:rsidR="00917E4B" w:rsidRPr="008A2E5A" w:rsidRDefault="00917E4B" w:rsidP="004C5D62">
            <w:pPr>
              <w:spacing w:after="0" w:line="240" w:lineRule="auto"/>
              <w:jc w:val="both"/>
              <w:rPr>
                <w:color w:val="0070C0"/>
                <w:sz w:val="16"/>
                <w:szCs w:val="16"/>
              </w:rPr>
            </w:pPr>
          </w:p>
        </w:tc>
        <w:tc>
          <w:tcPr>
            <w:tcW w:w="822" w:type="dxa"/>
          </w:tcPr>
          <w:p w14:paraId="318008AA" w14:textId="77777777" w:rsidR="00917E4B" w:rsidRPr="008A2E5A" w:rsidRDefault="00917E4B" w:rsidP="004C5D62">
            <w:pPr>
              <w:spacing w:after="0" w:line="240" w:lineRule="auto"/>
              <w:jc w:val="both"/>
              <w:rPr>
                <w:color w:val="0070C0"/>
                <w:sz w:val="16"/>
                <w:szCs w:val="16"/>
              </w:rPr>
            </w:pPr>
          </w:p>
        </w:tc>
        <w:tc>
          <w:tcPr>
            <w:tcW w:w="822" w:type="dxa"/>
          </w:tcPr>
          <w:p w14:paraId="17D937A1" w14:textId="77777777" w:rsidR="00917E4B" w:rsidRPr="008A2E5A" w:rsidRDefault="00917E4B" w:rsidP="004C5D62">
            <w:pPr>
              <w:spacing w:after="0" w:line="240" w:lineRule="auto"/>
              <w:jc w:val="both"/>
              <w:rPr>
                <w:color w:val="0070C0"/>
                <w:sz w:val="16"/>
                <w:szCs w:val="16"/>
              </w:rPr>
            </w:pPr>
          </w:p>
        </w:tc>
        <w:tc>
          <w:tcPr>
            <w:tcW w:w="822" w:type="dxa"/>
          </w:tcPr>
          <w:p w14:paraId="0337D51D" w14:textId="77777777" w:rsidR="00917E4B" w:rsidRPr="008A2E5A" w:rsidRDefault="00917E4B" w:rsidP="004C5D62">
            <w:pPr>
              <w:spacing w:after="0" w:line="240" w:lineRule="auto"/>
              <w:jc w:val="both"/>
              <w:rPr>
                <w:color w:val="0070C0"/>
                <w:sz w:val="16"/>
                <w:szCs w:val="16"/>
              </w:rPr>
            </w:pPr>
          </w:p>
        </w:tc>
      </w:tr>
      <w:tr w:rsidR="00917E4B" w:rsidRPr="008A2E5A" w14:paraId="1C54545A" w14:textId="77777777" w:rsidTr="004C5D62">
        <w:tc>
          <w:tcPr>
            <w:tcW w:w="821" w:type="dxa"/>
          </w:tcPr>
          <w:p w14:paraId="204952D9" w14:textId="77777777" w:rsidR="00917E4B" w:rsidRPr="008A2E5A" w:rsidRDefault="00917E4B" w:rsidP="004C5D62">
            <w:pPr>
              <w:spacing w:after="0" w:line="240" w:lineRule="auto"/>
              <w:jc w:val="both"/>
              <w:rPr>
                <w:color w:val="0070C0"/>
                <w:sz w:val="16"/>
                <w:szCs w:val="16"/>
              </w:rPr>
            </w:pPr>
            <w:r w:rsidRPr="008A2E5A">
              <w:rPr>
                <w:color w:val="0070C0"/>
                <w:sz w:val="16"/>
                <w:szCs w:val="16"/>
              </w:rPr>
              <w:t>Итого револьверов и пистолетов</w:t>
            </w:r>
          </w:p>
        </w:tc>
        <w:tc>
          <w:tcPr>
            <w:tcW w:w="821" w:type="dxa"/>
          </w:tcPr>
          <w:p w14:paraId="37FC060E" w14:textId="77777777" w:rsidR="00917E4B" w:rsidRPr="008A2E5A" w:rsidRDefault="00917E4B" w:rsidP="004C5D62">
            <w:pPr>
              <w:spacing w:after="0" w:line="240" w:lineRule="auto"/>
              <w:jc w:val="both"/>
              <w:rPr>
                <w:color w:val="0070C0"/>
                <w:sz w:val="16"/>
                <w:szCs w:val="16"/>
              </w:rPr>
            </w:pPr>
            <w:r w:rsidRPr="008A2E5A">
              <w:rPr>
                <w:color w:val="0070C0"/>
                <w:sz w:val="16"/>
                <w:szCs w:val="16"/>
              </w:rPr>
              <w:t>99 000</w:t>
            </w:r>
          </w:p>
        </w:tc>
        <w:tc>
          <w:tcPr>
            <w:tcW w:w="821" w:type="dxa"/>
          </w:tcPr>
          <w:p w14:paraId="5A811BE7" w14:textId="77777777" w:rsidR="00917E4B" w:rsidRPr="008A2E5A" w:rsidRDefault="00917E4B" w:rsidP="004C5D62">
            <w:pPr>
              <w:spacing w:after="0" w:line="240" w:lineRule="auto"/>
              <w:jc w:val="both"/>
              <w:rPr>
                <w:color w:val="0070C0"/>
                <w:sz w:val="16"/>
                <w:szCs w:val="16"/>
              </w:rPr>
            </w:pPr>
            <w:r w:rsidRPr="008A2E5A">
              <w:rPr>
                <w:color w:val="0070C0"/>
                <w:sz w:val="16"/>
                <w:szCs w:val="16"/>
              </w:rPr>
              <w:t>106 791</w:t>
            </w:r>
          </w:p>
        </w:tc>
        <w:tc>
          <w:tcPr>
            <w:tcW w:w="821" w:type="dxa"/>
          </w:tcPr>
          <w:p w14:paraId="26185E70" w14:textId="77777777" w:rsidR="00917E4B" w:rsidRPr="008A2E5A" w:rsidRDefault="00917E4B" w:rsidP="004C5D62">
            <w:pPr>
              <w:spacing w:after="0" w:line="240" w:lineRule="auto"/>
              <w:jc w:val="both"/>
              <w:rPr>
                <w:color w:val="0070C0"/>
                <w:sz w:val="16"/>
                <w:szCs w:val="16"/>
              </w:rPr>
            </w:pPr>
            <w:r w:rsidRPr="008A2E5A">
              <w:rPr>
                <w:color w:val="0070C0"/>
                <w:sz w:val="16"/>
                <w:szCs w:val="16"/>
              </w:rPr>
              <w:t>33 000</w:t>
            </w:r>
          </w:p>
        </w:tc>
        <w:tc>
          <w:tcPr>
            <w:tcW w:w="822" w:type="dxa"/>
          </w:tcPr>
          <w:p w14:paraId="0FEBA949" w14:textId="77777777" w:rsidR="00917E4B" w:rsidRPr="008A2E5A" w:rsidRDefault="00917E4B" w:rsidP="004C5D62">
            <w:pPr>
              <w:spacing w:after="0" w:line="240" w:lineRule="auto"/>
              <w:jc w:val="both"/>
              <w:rPr>
                <w:color w:val="0070C0"/>
                <w:sz w:val="16"/>
                <w:szCs w:val="16"/>
              </w:rPr>
            </w:pPr>
            <w:r w:rsidRPr="008A2E5A">
              <w:rPr>
                <w:color w:val="0070C0"/>
                <w:sz w:val="16"/>
                <w:szCs w:val="16"/>
              </w:rPr>
              <w:t>33 002</w:t>
            </w:r>
          </w:p>
        </w:tc>
        <w:tc>
          <w:tcPr>
            <w:tcW w:w="822" w:type="dxa"/>
          </w:tcPr>
          <w:p w14:paraId="5ECA0AA4" w14:textId="77777777" w:rsidR="00917E4B" w:rsidRPr="008A2E5A" w:rsidRDefault="00917E4B" w:rsidP="004C5D62">
            <w:pPr>
              <w:spacing w:after="0" w:line="240" w:lineRule="auto"/>
              <w:jc w:val="both"/>
              <w:rPr>
                <w:color w:val="0070C0"/>
                <w:sz w:val="16"/>
                <w:szCs w:val="16"/>
              </w:rPr>
            </w:pPr>
            <w:r w:rsidRPr="008A2E5A">
              <w:rPr>
                <w:color w:val="0070C0"/>
                <w:sz w:val="16"/>
                <w:szCs w:val="16"/>
              </w:rPr>
              <w:t>36 000</w:t>
            </w:r>
          </w:p>
        </w:tc>
        <w:tc>
          <w:tcPr>
            <w:tcW w:w="822" w:type="dxa"/>
          </w:tcPr>
          <w:p w14:paraId="08072D78" w14:textId="77777777" w:rsidR="00917E4B" w:rsidRPr="008A2E5A" w:rsidRDefault="00917E4B" w:rsidP="004C5D62">
            <w:pPr>
              <w:spacing w:after="0" w:line="240" w:lineRule="auto"/>
              <w:jc w:val="both"/>
              <w:rPr>
                <w:color w:val="0070C0"/>
                <w:sz w:val="16"/>
                <w:szCs w:val="16"/>
              </w:rPr>
            </w:pPr>
            <w:r w:rsidRPr="008A2E5A">
              <w:rPr>
                <w:color w:val="0070C0"/>
                <w:sz w:val="16"/>
                <w:szCs w:val="16"/>
              </w:rPr>
              <w:t>39 500</w:t>
            </w:r>
          </w:p>
        </w:tc>
        <w:tc>
          <w:tcPr>
            <w:tcW w:w="822" w:type="dxa"/>
          </w:tcPr>
          <w:p w14:paraId="1667F9B0" w14:textId="77777777" w:rsidR="00917E4B" w:rsidRPr="008A2E5A" w:rsidRDefault="00917E4B" w:rsidP="004C5D62">
            <w:pPr>
              <w:spacing w:after="0" w:line="240" w:lineRule="auto"/>
              <w:jc w:val="both"/>
              <w:rPr>
                <w:color w:val="0070C0"/>
                <w:sz w:val="16"/>
                <w:szCs w:val="16"/>
              </w:rPr>
            </w:pPr>
            <w:r w:rsidRPr="008A2E5A">
              <w:rPr>
                <w:color w:val="0070C0"/>
                <w:sz w:val="16"/>
                <w:szCs w:val="16"/>
              </w:rPr>
              <w:t>42 000</w:t>
            </w:r>
          </w:p>
        </w:tc>
        <w:tc>
          <w:tcPr>
            <w:tcW w:w="822" w:type="dxa"/>
          </w:tcPr>
          <w:p w14:paraId="2DE2850B" w14:textId="77777777" w:rsidR="00917E4B" w:rsidRPr="008A2E5A" w:rsidRDefault="00917E4B" w:rsidP="004C5D62">
            <w:pPr>
              <w:spacing w:after="0" w:line="240" w:lineRule="auto"/>
              <w:jc w:val="both"/>
              <w:rPr>
                <w:color w:val="0070C0"/>
                <w:sz w:val="16"/>
                <w:szCs w:val="16"/>
              </w:rPr>
            </w:pPr>
            <w:r w:rsidRPr="008A2E5A">
              <w:rPr>
                <w:color w:val="0070C0"/>
                <w:sz w:val="16"/>
                <w:szCs w:val="16"/>
              </w:rPr>
              <w:t>43 400</w:t>
            </w:r>
          </w:p>
        </w:tc>
        <w:tc>
          <w:tcPr>
            <w:tcW w:w="822" w:type="dxa"/>
          </w:tcPr>
          <w:p w14:paraId="6616C1FF" w14:textId="77777777" w:rsidR="00917E4B" w:rsidRPr="008A2E5A" w:rsidRDefault="00917E4B" w:rsidP="004C5D62">
            <w:pPr>
              <w:spacing w:after="0" w:line="240" w:lineRule="auto"/>
              <w:jc w:val="both"/>
              <w:rPr>
                <w:color w:val="0070C0"/>
                <w:sz w:val="16"/>
                <w:szCs w:val="16"/>
              </w:rPr>
            </w:pPr>
          </w:p>
        </w:tc>
        <w:tc>
          <w:tcPr>
            <w:tcW w:w="822" w:type="dxa"/>
          </w:tcPr>
          <w:p w14:paraId="121D4D06" w14:textId="77777777" w:rsidR="00917E4B" w:rsidRPr="008A2E5A" w:rsidRDefault="00917E4B" w:rsidP="004C5D62">
            <w:pPr>
              <w:spacing w:after="0" w:line="240" w:lineRule="auto"/>
              <w:jc w:val="both"/>
              <w:rPr>
                <w:color w:val="0070C0"/>
                <w:sz w:val="16"/>
                <w:szCs w:val="16"/>
              </w:rPr>
            </w:pPr>
          </w:p>
        </w:tc>
        <w:tc>
          <w:tcPr>
            <w:tcW w:w="822" w:type="dxa"/>
          </w:tcPr>
          <w:p w14:paraId="09209C8D" w14:textId="77777777" w:rsidR="00917E4B" w:rsidRPr="008A2E5A" w:rsidRDefault="00917E4B" w:rsidP="004C5D62">
            <w:pPr>
              <w:spacing w:after="0" w:line="240" w:lineRule="auto"/>
              <w:jc w:val="both"/>
              <w:rPr>
                <w:color w:val="0070C0"/>
                <w:sz w:val="16"/>
                <w:szCs w:val="16"/>
              </w:rPr>
            </w:pPr>
          </w:p>
        </w:tc>
        <w:tc>
          <w:tcPr>
            <w:tcW w:w="822" w:type="dxa"/>
          </w:tcPr>
          <w:p w14:paraId="432277A2" w14:textId="77777777" w:rsidR="00917E4B" w:rsidRPr="008A2E5A" w:rsidRDefault="00917E4B" w:rsidP="004C5D62">
            <w:pPr>
              <w:spacing w:after="0" w:line="240" w:lineRule="auto"/>
              <w:jc w:val="both"/>
              <w:rPr>
                <w:color w:val="0070C0"/>
                <w:sz w:val="16"/>
                <w:szCs w:val="16"/>
              </w:rPr>
            </w:pPr>
          </w:p>
        </w:tc>
      </w:tr>
      <w:tr w:rsidR="00917E4B" w:rsidRPr="008A2E5A" w14:paraId="41745926" w14:textId="77777777" w:rsidTr="004C5D62">
        <w:tc>
          <w:tcPr>
            <w:tcW w:w="821" w:type="dxa"/>
          </w:tcPr>
          <w:p w14:paraId="6A34B3A5"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пистолет- пулемет ППШ</w:t>
            </w:r>
          </w:p>
        </w:tc>
        <w:tc>
          <w:tcPr>
            <w:tcW w:w="821" w:type="dxa"/>
          </w:tcPr>
          <w:p w14:paraId="02DCAE91" w14:textId="77777777" w:rsidR="00917E4B" w:rsidRPr="008A2E5A" w:rsidRDefault="00917E4B" w:rsidP="004C5D62">
            <w:pPr>
              <w:spacing w:after="0" w:line="240" w:lineRule="auto"/>
              <w:jc w:val="both"/>
              <w:rPr>
                <w:color w:val="0070C0"/>
                <w:sz w:val="16"/>
                <w:szCs w:val="16"/>
              </w:rPr>
            </w:pPr>
            <w:r w:rsidRPr="008A2E5A">
              <w:rPr>
                <w:color w:val="0070C0"/>
                <w:sz w:val="16"/>
                <w:szCs w:val="16"/>
              </w:rPr>
              <w:t>52 000</w:t>
            </w:r>
          </w:p>
        </w:tc>
        <w:tc>
          <w:tcPr>
            <w:tcW w:w="821" w:type="dxa"/>
          </w:tcPr>
          <w:p w14:paraId="67219A2F" w14:textId="77777777" w:rsidR="00917E4B" w:rsidRPr="008A2E5A" w:rsidRDefault="00917E4B" w:rsidP="004C5D62">
            <w:pPr>
              <w:spacing w:after="0" w:line="240" w:lineRule="auto"/>
              <w:jc w:val="both"/>
              <w:rPr>
                <w:color w:val="0070C0"/>
                <w:sz w:val="16"/>
                <w:szCs w:val="16"/>
              </w:rPr>
            </w:pPr>
            <w:r w:rsidRPr="008A2E5A">
              <w:rPr>
                <w:color w:val="0070C0"/>
                <w:sz w:val="16"/>
                <w:szCs w:val="16"/>
              </w:rPr>
              <w:t>3111</w:t>
            </w:r>
          </w:p>
        </w:tc>
        <w:tc>
          <w:tcPr>
            <w:tcW w:w="821" w:type="dxa"/>
          </w:tcPr>
          <w:p w14:paraId="0F24EF0C" w14:textId="77777777" w:rsidR="00917E4B" w:rsidRPr="008A2E5A" w:rsidRDefault="00917E4B" w:rsidP="004C5D62">
            <w:pPr>
              <w:spacing w:after="0" w:line="240" w:lineRule="auto"/>
              <w:jc w:val="both"/>
              <w:rPr>
                <w:color w:val="0070C0"/>
                <w:sz w:val="16"/>
                <w:szCs w:val="16"/>
              </w:rPr>
            </w:pPr>
            <w:r w:rsidRPr="008A2E5A">
              <w:rPr>
                <w:color w:val="0070C0"/>
                <w:sz w:val="16"/>
                <w:szCs w:val="16"/>
              </w:rPr>
              <w:t>9000</w:t>
            </w:r>
          </w:p>
        </w:tc>
        <w:tc>
          <w:tcPr>
            <w:tcW w:w="822" w:type="dxa"/>
          </w:tcPr>
          <w:p w14:paraId="16F34E0B"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10 715</w:t>
            </w:r>
          </w:p>
        </w:tc>
        <w:tc>
          <w:tcPr>
            <w:tcW w:w="822" w:type="dxa"/>
          </w:tcPr>
          <w:p w14:paraId="0F05B5B2" w14:textId="77777777" w:rsidR="00917E4B" w:rsidRPr="008A2E5A" w:rsidRDefault="00917E4B" w:rsidP="004C5D62">
            <w:pPr>
              <w:spacing w:after="0" w:line="240" w:lineRule="auto"/>
              <w:jc w:val="both"/>
              <w:rPr>
                <w:color w:val="0070C0"/>
                <w:sz w:val="16"/>
                <w:szCs w:val="16"/>
              </w:rPr>
            </w:pPr>
            <w:r w:rsidRPr="008A2E5A">
              <w:rPr>
                <w:color w:val="0070C0"/>
                <w:sz w:val="16"/>
                <w:szCs w:val="16"/>
              </w:rPr>
              <w:t>15 000</w:t>
            </w:r>
          </w:p>
        </w:tc>
        <w:tc>
          <w:tcPr>
            <w:tcW w:w="822" w:type="dxa"/>
          </w:tcPr>
          <w:p w14:paraId="69181BE5" w14:textId="77777777" w:rsidR="00917E4B" w:rsidRPr="008A2E5A" w:rsidRDefault="00917E4B" w:rsidP="004C5D62">
            <w:pPr>
              <w:spacing w:after="0" w:line="240" w:lineRule="auto"/>
              <w:jc w:val="both"/>
              <w:rPr>
                <w:color w:val="0070C0"/>
                <w:sz w:val="16"/>
                <w:szCs w:val="16"/>
              </w:rPr>
            </w:pPr>
            <w:r w:rsidRPr="008A2E5A">
              <w:rPr>
                <w:color w:val="0070C0"/>
                <w:sz w:val="16"/>
                <w:szCs w:val="16"/>
              </w:rPr>
              <w:t>15 200</w:t>
            </w:r>
          </w:p>
        </w:tc>
        <w:tc>
          <w:tcPr>
            <w:tcW w:w="822" w:type="dxa"/>
          </w:tcPr>
          <w:p w14:paraId="5CF2FCCD" w14:textId="77777777" w:rsidR="00917E4B" w:rsidRPr="008A2E5A" w:rsidRDefault="00917E4B" w:rsidP="004C5D62">
            <w:pPr>
              <w:spacing w:after="0" w:line="240" w:lineRule="auto"/>
              <w:jc w:val="both"/>
              <w:rPr>
                <w:color w:val="0070C0"/>
                <w:sz w:val="16"/>
                <w:szCs w:val="16"/>
              </w:rPr>
            </w:pPr>
            <w:r w:rsidRPr="008A2E5A">
              <w:rPr>
                <w:color w:val="0070C0"/>
                <w:sz w:val="16"/>
                <w:szCs w:val="16"/>
              </w:rPr>
              <w:t>22 000</w:t>
            </w:r>
          </w:p>
        </w:tc>
        <w:tc>
          <w:tcPr>
            <w:tcW w:w="822" w:type="dxa"/>
          </w:tcPr>
          <w:p w14:paraId="70D931CA" w14:textId="77777777" w:rsidR="00917E4B" w:rsidRPr="008A2E5A" w:rsidRDefault="00917E4B" w:rsidP="004C5D62">
            <w:pPr>
              <w:spacing w:after="0" w:line="240" w:lineRule="auto"/>
              <w:jc w:val="both"/>
              <w:rPr>
                <w:color w:val="0070C0"/>
                <w:sz w:val="16"/>
                <w:szCs w:val="16"/>
              </w:rPr>
            </w:pPr>
            <w:r w:rsidRPr="008A2E5A">
              <w:rPr>
                <w:color w:val="0070C0"/>
                <w:sz w:val="16"/>
                <w:szCs w:val="16"/>
              </w:rPr>
              <w:t>22 100</w:t>
            </w:r>
          </w:p>
        </w:tc>
        <w:tc>
          <w:tcPr>
            <w:tcW w:w="822" w:type="dxa"/>
          </w:tcPr>
          <w:p w14:paraId="5758131C" w14:textId="77777777" w:rsidR="00917E4B" w:rsidRPr="008A2E5A" w:rsidRDefault="00917E4B" w:rsidP="004C5D62">
            <w:pPr>
              <w:spacing w:after="0" w:line="240" w:lineRule="auto"/>
              <w:jc w:val="both"/>
              <w:rPr>
                <w:color w:val="0070C0"/>
                <w:sz w:val="16"/>
                <w:szCs w:val="16"/>
              </w:rPr>
            </w:pPr>
          </w:p>
        </w:tc>
        <w:tc>
          <w:tcPr>
            <w:tcW w:w="822" w:type="dxa"/>
          </w:tcPr>
          <w:p w14:paraId="68E1F568" w14:textId="77777777" w:rsidR="00917E4B" w:rsidRPr="008A2E5A" w:rsidRDefault="00917E4B" w:rsidP="004C5D62">
            <w:pPr>
              <w:spacing w:after="0" w:line="240" w:lineRule="auto"/>
              <w:jc w:val="both"/>
              <w:rPr>
                <w:color w:val="0070C0"/>
                <w:sz w:val="16"/>
                <w:szCs w:val="16"/>
              </w:rPr>
            </w:pPr>
          </w:p>
        </w:tc>
        <w:tc>
          <w:tcPr>
            <w:tcW w:w="822" w:type="dxa"/>
          </w:tcPr>
          <w:p w14:paraId="3F9087A0" w14:textId="77777777" w:rsidR="00917E4B" w:rsidRPr="008A2E5A" w:rsidRDefault="00917E4B" w:rsidP="004C5D62">
            <w:pPr>
              <w:spacing w:after="0" w:line="240" w:lineRule="auto"/>
              <w:jc w:val="both"/>
              <w:rPr>
                <w:color w:val="0070C0"/>
                <w:sz w:val="16"/>
                <w:szCs w:val="16"/>
              </w:rPr>
            </w:pPr>
          </w:p>
        </w:tc>
        <w:tc>
          <w:tcPr>
            <w:tcW w:w="822" w:type="dxa"/>
          </w:tcPr>
          <w:p w14:paraId="26AFCDBB" w14:textId="77777777" w:rsidR="00917E4B" w:rsidRPr="008A2E5A" w:rsidRDefault="00917E4B" w:rsidP="004C5D62">
            <w:pPr>
              <w:spacing w:after="0" w:line="240" w:lineRule="auto"/>
              <w:jc w:val="both"/>
              <w:rPr>
                <w:color w:val="0070C0"/>
                <w:sz w:val="16"/>
                <w:szCs w:val="16"/>
              </w:rPr>
            </w:pPr>
          </w:p>
        </w:tc>
      </w:tr>
      <w:tr w:rsidR="00917E4B" w:rsidRPr="008A2E5A" w14:paraId="16999F31" w14:textId="77777777" w:rsidTr="004C5D62">
        <w:tc>
          <w:tcPr>
            <w:tcW w:w="821" w:type="dxa"/>
          </w:tcPr>
          <w:p w14:paraId="278CD4F5" w14:textId="77777777" w:rsidR="00917E4B" w:rsidRPr="008A2E5A" w:rsidRDefault="00917E4B" w:rsidP="004C5D62">
            <w:pPr>
              <w:spacing w:after="0" w:line="240" w:lineRule="auto"/>
              <w:jc w:val="both"/>
              <w:rPr>
                <w:color w:val="0070C0"/>
                <w:sz w:val="16"/>
                <w:szCs w:val="16"/>
              </w:rPr>
            </w:pPr>
            <w:r w:rsidRPr="008A2E5A">
              <w:rPr>
                <w:color w:val="0070C0"/>
                <w:sz w:val="16"/>
                <w:szCs w:val="16"/>
              </w:rPr>
              <w:t xml:space="preserve">7,62-мм </w:t>
            </w:r>
            <w:proofErr w:type="gramStart"/>
            <w:r w:rsidRPr="008A2E5A">
              <w:rPr>
                <w:color w:val="0070C0"/>
                <w:sz w:val="16"/>
                <w:szCs w:val="16"/>
              </w:rPr>
              <w:t>пулемет  дп</w:t>
            </w:r>
            <w:proofErr w:type="gramEnd"/>
          </w:p>
        </w:tc>
        <w:tc>
          <w:tcPr>
            <w:tcW w:w="821" w:type="dxa"/>
          </w:tcPr>
          <w:p w14:paraId="60D27FC9" w14:textId="77777777" w:rsidR="00917E4B" w:rsidRPr="008A2E5A" w:rsidRDefault="00917E4B" w:rsidP="004C5D62">
            <w:pPr>
              <w:spacing w:after="0" w:line="240" w:lineRule="auto"/>
              <w:jc w:val="both"/>
              <w:rPr>
                <w:color w:val="0070C0"/>
                <w:sz w:val="16"/>
                <w:szCs w:val="16"/>
              </w:rPr>
            </w:pPr>
            <w:r w:rsidRPr="008A2E5A">
              <w:rPr>
                <w:color w:val="0070C0"/>
                <w:sz w:val="16"/>
                <w:szCs w:val="16"/>
              </w:rPr>
              <w:t>2400</w:t>
            </w:r>
          </w:p>
        </w:tc>
        <w:tc>
          <w:tcPr>
            <w:tcW w:w="821" w:type="dxa"/>
          </w:tcPr>
          <w:p w14:paraId="067D387C" w14:textId="77777777" w:rsidR="00917E4B" w:rsidRPr="008A2E5A" w:rsidRDefault="00917E4B" w:rsidP="004C5D62">
            <w:pPr>
              <w:spacing w:after="0" w:line="240" w:lineRule="auto"/>
              <w:jc w:val="both"/>
              <w:rPr>
                <w:color w:val="0070C0"/>
                <w:sz w:val="16"/>
                <w:szCs w:val="16"/>
              </w:rPr>
            </w:pPr>
            <w:r w:rsidRPr="008A2E5A">
              <w:rPr>
                <w:color w:val="0070C0"/>
                <w:sz w:val="16"/>
                <w:szCs w:val="16"/>
              </w:rPr>
              <w:t>2844</w:t>
            </w:r>
          </w:p>
        </w:tc>
        <w:tc>
          <w:tcPr>
            <w:tcW w:w="821" w:type="dxa"/>
          </w:tcPr>
          <w:p w14:paraId="0CECA732"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4000</w:t>
            </w:r>
          </w:p>
        </w:tc>
        <w:tc>
          <w:tcPr>
            <w:tcW w:w="822" w:type="dxa"/>
          </w:tcPr>
          <w:p w14:paraId="6DD6DAD7" w14:textId="77777777" w:rsidR="00917E4B" w:rsidRPr="008A2E5A" w:rsidRDefault="00917E4B" w:rsidP="004C5D62">
            <w:pPr>
              <w:spacing w:after="0" w:line="240" w:lineRule="auto"/>
              <w:jc w:val="both"/>
              <w:rPr>
                <w:color w:val="0070C0"/>
                <w:sz w:val="16"/>
                <w:szCs w:val="16"/>
              </w:rPr>
            </w:pPr>
            <w:r w:rsidRPr="008A2E5A">
              <w:rPr>
                <w:color w:val="0070C0"/>
                <w:sz w:val="16"/>
                <w:szCs w:val="16"/>
              </w:rPr>
              <w:t>3221</w:t>
            </w:r>
          </w:p>
        </w:tc>
        <w:tc>
          <w:tcPr>
            <w:tcW w:w="822" w:type="dxa"/>
          </w:tcPr>
          <w:p w14:paraId="6696545A" w14:textId="77777777" w:rsidR="00917E4B" w:rsidRPr="008A2E5A" w:rsidRDefault="00917E4B" w:rsidP="004C5D62">
            <w:pPr>
              <w:spacing w:after="0" w:line="240" w:lineRule="auto"/>
              <w:jc w:val="both"/>
              <w:rPr>
                <w:color w:val="0070C0"/>
                <w:sz w:val="16"/>
                <w:szCs w:val="16"/>
              </w:rPr>
            </w:pPr>
            <w:r w:rsidRPr="008A2E5A">
              <w:rPr>
                <w:color w:val="0070C0"/>
                <w:sz w:val="16"/>
                <w:szCs w:val="16"/>
              </w:rPr>
              <w:t>5700</w:t>
            </w:r>
          </w:p>
        </w:tc>
        <w:tc>
          <w:tcPr>
            <w:tcW w:w="822" w:type="dxa"/>
          </w:tcPr>
          <w:p w14:paraId="302EF06A" w14:textId="77777777" w:rsidR="00917E4B" w:rsidRPr="008A2E5A" w:rsidRDefault="00917E4B" w:rsidP="004C5D62">
            <w:pPr>
              <w:spacing w:after="0" w:line="240" w:lineRule="auto"/>
              <w:jc w:val="both"/>
              <w:rPr>
                <w:color w:val="0070C0"/>
                <w:sz w:val="16"/>
                <w:szCs w:val="16"/>
              </w:rPr>
            </w:pPr>
            <w:r w:rsidRPr="008A2E5A">
              <w:rPr>
                <w:color w:val="0070C0"/>
                <w:sz w:val="16"/>
                <w:szCs w:val="16"/>
              </w:rPr>
              <w:t>5784</w:t>
            </w:r>
          </w:p>
        </w:tc>
        <w:tc>
          <w:tcPr>
            <w:tcW w:w="822" w:type="dxa"/>
          </w:tcPr>
          <w:p w14:paraId="13C9E5AE"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6000</w:t>
            </w:r>
          </w:p>
        </w:tc>
        <w:tc>
          <w:tcPr>
            <w:tcW w:w="822" w:type="dxa"/>
          </w:tcPr>
          <w:p w14:paraId="437D0F84" w14:textId="77777777" w:rsidR="00917E4B" w:rsidRPr="008A2E5A" w:rsidRDefault="00917E4B" w:rsidP="004C5D62">
            <w:pPr>
              <w:spacing w:after="0" w:line="240" w:lineRule="auto"/>
              <w:jc w:val="both"/>
              <w:rPr>
                <w:color w:val="0070C0"/>
                <w:sz w:val="16"/>
                <w:szCs w:val="16"/>
              </w:rPr>
            </w:pPr>
            <w:proofErr w:type="gramStart"/>
            <w:r w:rsidRPr="008A2E5A">
              <w:rPr>
                <w:color w:val="0070C0"/>
                <w:sz w:val="16"/>
                <w:szCs w:val="16"/>
              </w:rPr>
              <w:t>ч.тэн</w:t>
            </w:r>
            <w:proofErr w:type="gramEnd"/>
            <w:r w:rsidRPr="008A2E5A">
              <w:rPr>
                <w:color w:val="0070C0"/>
                <w:sz w:val="16"/>
                <w:szCs w:val="16"/>
              </w:rPr>
              <w:t xml:space="preserve">  6455</w:t>
            </w:r>
          </w:p>
        </w:tc>
        <w:tc>
          <w:tcPr>
            <w:tcW w:w="822" w:type="dxa"/>
          </w:tcPr>
          <w:p w14:paraId="2FC9037C" w14:textId="77777777" w:rsidR="00917E4B" w:rsidRPr="008A2E5A" w:rsidRDefault="00917E4B" w:rsidP="004C5D62">
            <w:pPr>
              <w:spacing w:after="0" w:line="240" w:lineRule="auto"/>
              <w:jc w:val="both"/>
              <w:rPr>
                <w:color w:val="0070C0"/>
                <w:sz w:val="16"/>
                <w:szCs w:val="16"/>
              </w:rPr>
            </w:pPr>
          </w:p>
        </w:tc>
        <w:tc>
          <w:tcPr>
            <w:tcW w:w="822" w:type="dxa"/>
          </w:tcPr>
          <w:p w14:paraId="4D977F4B" w14:textId="77777777" w:rsidR="00917E4B" w:rsidRPr="008A2E5A" w:rsidRDefault="00917E4B" w:rsidP="004C5D62">
            <w:pPr>
              <w:spacing w:after="0" w:line="240" w:lineRule="auto"/>
              <w:jc w:val="both"/>
              <w:rPr>
                <w:color w:val="0070C0"/>
                <w:sz w:val="16"/>
                <w:szCs w:val="16"/>
              </w:rPr>
            </w:pPr>
          </w:p>
        </w:tc>
        <w:tc>
          <w:tcPr>
            <w:tcW w:w="822" w:type="dxa"/>
          </w:tcPr>
          <w:p w14:paraId="47FB3284" w14:textId="77777777" w:rsidR="00917E4B" w:rsidRPr="008A2E5A" w:rsidRDefault="00917E4B" w:rsidP="004C5D62">
            <w:pPr>
              <w:spacing w:after="0" w:line="240" w:lineRule="auto"/>
              <w:jc w:val="both"/>
              <w:rPr>
                <w:color w:val="0070C0"/>
                <w:sz w:val="16"/>
                <w:szCs w:val="16"/>
              </w:rPr>
            </w:pPr>
          </w:p>
        </w:tc>
        <w:tc>
          <w:tcPr>
            <w:tcW w:w="822" w:type="dxa"/>
          </w:tcPr>
          <w:p w14:paraId="0ACDDCBB" w14:textId="77777777" w:rsidR="00917E4B" w:rsidRPr="008A2E5A" w:rsidRDefault="00917E4B" w:rsidP="004C5D62">
            <w:pPr>
              <w:spacing w:after="0" w:line="240" w:lineRule="auto"/>
              <w:jc w:val="both"/>
              <w:rPr>
                <w:color w:val="0070C0"/>
                <w:sz w:val="16"/>
                <w:szCs w:val="16"/>
              </w:rPr>
            </w:pPr>
          </w:p>
        </w:tc>
      </w:tr>
      <w:tr w:rsidR="00917E4B" w:rsidRPr="008A2E5A" w14:paraId="127DF79B" w14:textId="77777777" w:rsidTr="004C5D62">
        <w:tc>
          <w:tcPr>
            <w:tcW w:w="821" w:type="dxa"/>
          </w:tcPr>
          <w:p w14:paraId="1E7CE98E"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 ДТ</w:t>
            </w:r>
          </w:p>
        </w:tc>
        <w:tc>
          <w:tcPr>
            <w:tcW w:w="821" w:type="dxa"/>
          </w:tcPr>
          <w:p w14:paraId="39189C64"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3000</w:t>
            </w:r>
          </w:p>
        </w:tc>
        <w:tc>
          <w:tcPr>
            <w:tcW w:w="821" w:type="dxa"/>
          </w:tcPr>
          <w:p w14:paraId="00347DD3" w14:textId="77777777" w:rsidR="00917E4B" w:rsidRPr="008A2E5A" w:rsidRDefault="00917E4B" w:rsidP="004C5D62">
            <w:pPr>
              <w:spacing w:after="0" w:line="240" w:lineRule="auto"/>
              <w:jc w:val="both"/>
              <w:rPr>
                <w:color w:val="0070C0"/>
                <w:sz w:val="16"/>
                <w:szCs w:val="16"/>
              </w:rPr>
            </w:pPr>
            <w:r w:rsidRPr="008A2E5A">
              <w:rPr>
                <w:color w:val="0070C0"/>
                <w:sz w:val="16"/>
                <w:szCs w:val="16"/>
              </w:rPr>
              <w:t>1912</w:t>
            </w:r>
          </w:p>
        </w:tc>
        <w:tc>
          <w:tcPr>
            <w:tcW w:w="821" w:type="dxa"/>
          </w:tcPr>
          <w:p w14:paraId="78CBC4CA" w14:textId="77777777" w:rsidR="00917E4B" w:rsidRPr="008A2E5A" w:rsidRDefault="00917E4B" w:rsidP="004C5D62">
            <w:pPr>
              <w:spacing w:after="0" w:line="240" w:lineRule="auto"/>
              <w:jc w:val="both"/>
              <w:rPr>
                <w:color w:val="0070C0"/>
                <w:sz w:val="16"/>
                <w:szCs w:val="16"/>
              </w:rPr>
            </w:pPr>
            <w:r w:rsidRPr="008A2E5A">
              <w:rPr>
                <w:color w:val="0070C0"/>
                <w:sz w:val="16"/>
                <w:szCs w:val="16"/>
              </w:rPr>
              <w:t>3500</w:t>
            </w:r>
          </w:p>
        </w:tc>
        <w:tc>
          <w:tcPr>
            <w:tcW w:w="822" w:type="dxa"/>
          </w:tcPr>
          <w:p w14:paraId="3C4981FB" w14:textId="77777777" w:rsidR="00917E4B" w:rsidRPr="008A2E5A" w:rsidRDefault="00917E4B" w:rsidP="004C5D62">
            <w:pPr>
              <w:spacing w:after="0" w:line="240" w:lineRule="auto"/>
              <w:jc w:val="both"/>
              <w:rPr>
                <w:color w:val="0070C0"/>
                <w:sz w:val="16"/>
                <w:szCs w:val="16"/>
              </w:rPr>
            </w:pPr>
            <w:r w:rsidRPr="008A2E5A">
              <w:rPr>
                <w:color w:val="0070C0"/>
                <w:sz w:val="16"/>
                <w:szCs w:val="16"/>
              </w:rPr>
              <w:t>2885</w:t>
            </w:r>
          </w:p>
        </w:tc>
        <w:tc>
          <w:tcPr>
            <w:tcW w:w="822" w:type="dxa"/>
          </w:tcPr>
          <w:p w14:paraId="6B0C4123" w14:textId="77777777" w:rsidR="00917E4B" w:rsidRPr="008A2E5A" w:rsidRDefault="00917E4B" w:rsidP="004C5D62">
            <w:pPr>
              <w:spacing w:after="0" w:line="240" w:lineRule="auto"/>
              <w:jc w:val="both"/>
              <w:rPr>
                <w:color w:val="0070C0"/>
                <w:sz w:val="16"/>
                <w:szCs w:val="16"/>
              </w:rPr>
            </w:pPr>
            <w:r w:rsidRPr="008A2E5A">
              <w:rPr>
                <w:color w:val="0070C0"/>
                <w:sz w:val="16"/>
                <w:szCs w:val="16"/>
              </w:rPr>
              <w:t>3500</w:t>
            </w:r>
          </w:p>
        </w:tc>
        <w:tc>
          <w:tcPr>
            <w:tcW w:w="822" w:type="dxa"/>
          </w:tcPr>
          <w:p w14:paraId="502BDC71"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2502</w:t>
            </w:r>
          </w:p>
        </w:tc>
        <w:tc>
          <w:tcPr>
            <w:tcW w:w="822" w:type="dxa"/>
          </w:tcPr>
          <w:p w14:paraId="3DB4B74A"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7000</w:t>
            </w:r>
          </w:p>
        </w:tc>
        <w:tc>
          <w:tcPr>
            <w:tcW w:w="822" w:type="dxa"/>
          </w:tcPr>
          <w:p w14:paraId="58E85C5C" w14:textId="77777777" w:rsidR="00917E4B" w:rsidRPr="008A2E5A" w:rsidRDefault="00917E4B" w:rsidP="004C5D62">
            <w:pPr>
              <w:spacing w:after="0" w:line="240" w:lineRule="auto"/>
              <w:jc w:val="both"/>
              <w:rPr>
                <w:color w:val="0070C0"/>
                <w:sz w:val="16"/>
                <w:szCs w:val="16"/>
              </w:rPr>
            </w:pPr>
            <w:r w:rsidRPr="008A2E5A">
              <w:rPr>
                <w:color w:val="0070C0"/>
                <w:sz w:val="16"/>
                <w:szCs w:val="16"/>
              </w:rPr>
              <w:t>3872</w:t>
            </w:r>
          </w:p>
        </w:tc>
        <w:tc>
          <w:tcPr>
            <w:tcW w:w="822" w:type="dxa"/>
          </w:tcPr>
          <w:p w14:paraId="652C2464" w14:textId="77777777" w:rsidR="00917E4B" w:rsidRPr="008A2E5A" w:rsidRDefault="00917E4B" w:rsidP="004C5D62">
            <w:pPr>
              <w:spacing w:after="0" w:line="240" w:lineRule="auto"/>
              <w:jc w:val="both"/>
              <w:rPr>
                <w:color w:val="0070C0"/>
                <w:sz w:val="16"/>
                <w:szCs w:val="16"/>
              </w:rPr>
            </w:pPr>
          </w:p>
        </w:tc>
        <w:tc>
          <w:tcPr>
            <w:tcW w:w="822" w:type="dxa"/>
          </w:tcPr>
          <w:p w14:paraId="697CEA8A" w14:textId="77777777" w:rsidR="00917E4B" w:rsidRPr="008A2E5A" w:rsidRDefault="00917E4B" w:rsidP="004C5D62">
            <w:pPr>
              <w:spacing w:after="0" w:line="240" w:lineRule="auto"/>
              <w:jc w:val="both"/>
              <w:rPr>
                <w:color w:val="0070C0"/>
                <w:sz w:val="16"/>
                <w:szCs w:val="16"/>
              </w:rPr>
            </w:pPr>
          </w:p>
        </w:tc>
        <w:tc>
          <w:tcPr>
            <w:tcW w:w="822" w:type="dxa"/>
          </w:tcPr>
          <w:p w14:paraId="783EA4A5" w14:textId="77777777" w:rsidR="00917E4B" w:rsidRPr="008A2E5A" w:rsidRDefault="00917E4B" w:rsidP="004C5D62">
            <w:pPr>
              <w:spacing w:after="0" w:line="240" w:lineRule="auto"/>
              <w:jc w:val="both"/>
              <w:rPr>
                <w:color w:val="0070C0"/>
                <w:sz w:val="16"/>
                <w:szCs w:val="16"/>
              </w:rPr>
            </w:pPr>
          </w:p>
        </w:tc>
        <w:tc>
          <w:tcPr>
            <w:tcW w:w="822" w:type="dxa"/>
          </w:tcPr>
          <w:p w14:paraId="163F3917" w14:textId="77777777" w:rsidR="00917E4B" w:rsidRPr="008A2E5A" w:rsidRDefault="00917E4B" w:rsidP="004C5D62">
            <w:pPr>
              <w:spacing w:after="0" w:line="240" w:lineRule="auto"/>
              <w:jc w:val="both"/>
              <w:rPr>
                <w:color w:val="0070C0"/>
                <w:sz w:val="16"/>
                <w:szCs w:val="16"/>
              </w:rPr>
            </w:pPr>
          </w:p>
        </w:tc>
      </w:tr>
      <w:tr w:rsidR="00917E4B" w:rsidRPr="008A2E5A" w14:paraId="6707A513" w14:textId="77777777" w:rsidTr="004C5D62">
        <w:tc>
          <w:tcPr>
            <w:tcW w:w="821" w:type="dxa"/>
          </w:tcPr>
          <w:p w14:paraId="0590BD65"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 «Максим»</w:t>
            </w:r>
          </w:p>
        </w:tc>
        <w:tc>
          <w:tcPr>
            <w:tcW w:w="821" w:type="dxa"/>
          </w:tcPr>
          <w:p w14:paraId="1CBE7521"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1" w:type="dxa"/>
          </w:tcPr>
          <w:p w14:paraId="51A0379F" w14:textId="77777777" w:rsidR="00917E4B" w:rsidRPr="008A2E5A" w:rsidRDefault="00917E4B" w:rsidP="004C5D62">
            <w:pPr>
              <w:spacing w:after="0" w:line="240" w:lineRule="auto"/>
              <w:jc w:val="both"/>
              <w:rPr>
                <w:color w:val="0070C0"/>
                <w:sz w:val="16"/>
                <w:szCs w:val="16"/>
              </w:rPr>
            </w:pPr>
            <w:r w:rsidRPr="008A2E5A">
              <w:rPr>
                <w:color w:val="0070C0"/>
                <w:sz w:val="16"/>
                <w:szCs w:val="16"/>
              </w:rPr>
              <w:t>1941</w:t>
            </w:r>
          </w:p>
        </w:tc>
        <w:tc>
          <w:tcPr>
            <w:tcW w:w="821" w:type="dxa"/>
          </w:tcPr>
          <w:p w14:paraId="0A82B74A"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2" w:type="dxa"/>
          </w:tcPr>
          <w:p w14:paraId="53BE5445" w14:textId="77777777" w:rsidR="00917E4B" w:rsidRPr="008A2E5A" w:rsidRDefault="00917E4B" w:rsidP="004C5D62">
            <w:pPr>
              <w:spacing w:after="0" w:line="240" w:lineRule="auto"/>
              <w:jc w:val="both"/>
              <w:rPr>
                <w:color w:val="0070C0"/>
                <w:sz w:val="16"/>
                <w:szCs w:val="16"/>
              </w:rPr>
            </w:pPr>
            <w:r w:rsidRPr="008A2E5A">
              <w:rPr>
                <w:color w:val="0070C0"/>
                <w:sz w:val="16"/>
                <w:szCs w:val="16"/>
              </w:rPr>
              <w:t>923</w:t>
            </w:r>
          </w:p>
        </w:tc>
        <w:tc>
          <w:tcPr>
            <w:tcW w:w="822" w:type="dxa"/>
          </w:tcPr>
          <w:p w14:paraId="47B3B25C"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2500</w:t>
            </w:r>
          </w:p>
        </w:tc>
        <w:tc>
          <w:tcPr>
            <w:tcW w:w="822" w:type="dxa"/>
          </w:tcPr>
          <w:p w14:paraId="53CE3E59" w14:textId="77777777" w:rsidR="00917E4B" w:rsidRPr="008A2E5A" w:rsidRDefault="00917E4B" w:rsidP="004C5D62">
            <w:pPr>
              <w:spacing w:after="0" w:line="240" w:lineRule="auto"/>
              <w:jc w:val="both"/>
              <w:rPr>
                <w:color w:val="0070C0"/>
                <w:sz w:val="16"/>
                <w:szCs w:val="16"/>
              </w:rPr>
            </w:pPr>
            <w:r w:rsidRPr="008A2E5A">
              <w:rPr>
                <w:color w:val="0070C0"/>
                <w:sz w:val="16"/>
                <w:szCs w:val="16"/>
              </w:rPr>
              <w:t>2160</w:t>
            </w:r>
          </w:p>
        </w:tc>
        <w:tc>
          <w:tcPr>
            <w:tcW w:w="822" w:type="dxa"/>
          </w:tcPr>
          <w:p w14:paraId="2A3ACEC0" w14:textId="77777777" w:rsidR="00917E4B" w:rsidRPr="008A2E5A" w:rsidRDefault="00917E4B" w:rsidP="004C5D62">
            <w:pPr>
              <w:spacing w:after="0" w:line="240" w:lineRule="auto"/>
              <w:jc w:val="both"/>
              <w:rPr>
                <w:color w:val="0070C0"/>
                <w:sz w:val="16"/>
                <w:szCs w:val="16"/>
              </w:rPr>
            </w:pPr>
            <w:r w:rsidRPr="008A2E5A">
              <w:rPr>
                <w:color w:val="0070C0"/>
                <w:sz w:val="16"/>
                <w:szCs w:val="16"/>
              </w:rPr>
              <w:t>3500</w:t>
            </w:r>
          </w:p>
        </w:tc>
        <w:tc>
          <w:tcPr>
            <w:tcW w:w="822" w:type="dxa"/>
          </w:tcPr>
          <w:p w14:paraId="2D1A5D3D" w14:textId="77777777" w:rsidR="00917E4B" w:rsidRPr="008A2E5A" w:rsidRDefault="00917E4B" w:rsidP="004C5D62">
            <w:pPr>
              <w:spacing w:after="0" w:line="240" w:lineRule="auto"/>
              <w:jc w:val="both"/>
              <w:rPr>
                <w:color w:val="0070C0"/>
                <w:sz w:val="16"/>
                <w:szCs w:val="16"/>
              </w:rPr>
            </w:pPr>
            <w:r w:rsidRPr="008A2E5A">
              <w:rPr>
                <w:color w:val="0070C0"/>
                <w:sz w:val="16"/>
                <w:szCs w:val="16"/>
              </w:rPr>
              <w:t>3510</w:t>
            </w:r>
          </w:p>
        </w:tc>
        <w:tc>
          <w:tcPr>
            <w:tcW w:w="822" w:type="dxa"/>
          </w:tcPr>
          <w:p w14:paraId="6777BD8E" w14:textId="77777777" w:rsidR="00917E4B" w:rsidRPr="008A2E5A" w:rsidRDefault="00917E4B" w:rsidP="004C5D62">
            <w:pPr>
              <w:spacing w:after="0" w:line="240" w:lineRule="auto"/>
              <w:jc w:val="both"/>
              <w:rPr>
                <w:color w:val="0070C0"/>
                <w:sz w:val="16"/>
                <w:szCs w:val="16"/>
              </w:rPr>
            </w:pPr>
          </w:p>
        </w:tc>
        <w:tc>
          <w:tcPr>
            <w:tcW w:w="822" w:type="dxa"/>
          </w:tcPr>
          <w:p w14:paraId="77AFECF7" w14:textId="77777777" w:rsidR="00917E4B" w:rsidRPr="008A2E5A" w:rsidRDefault="00917E4B" w:rsidP="004C5D62">
            <w:pPr>
              <w:spacing w:after="0" w:line="240" w:lineRule="auto"/>
              <w:jc w:val="both"/>
              <w:rPr>
                <w:color w:val="0070C0"/>
                <w:sz w:val="16"/>
                <w:szCs w:val="16"/>
              </w:rPr>
            </w:pPr>
          </w:p>
        </w:tc>
        <w:tc>
          <w:tcPr>
            <w:tcW w:w="822" w:type="dxa"/>
          </w:tcPr>
          <w:p w14:paraId="3322ADA7" w14:textId="77777777" w:rsidR="00917E4B" w:rsidRPr="008A2E5A" w:rsidRDefault="00917E4B" w:rsidP="004C5D62">
            <w:pPr>
              <w:spacing w:after="0" w:line="240" w:lineRule="auto"/>
              <w:jc w:val="both"/>
              <w:rPr>
                <w:color w:val="0070C0"/>
                <w:sz w:val="16"/>
                <w:szCs w:val="16"/>
              </w:rPr>
            </w:pPr>
          </w:p>
        </w:tc>
        <w:tc>
          <w:tcPr>
            <w:tcW w:w="822" w:type="dxa"/>
          </w:tcPr>
          <w:p w14:paraId="546CA520" w14:textId="77777777" w:rsidR="00917E4B" w:rsidRPr="008A2E5A" w:rsidRDefault="00917E4B" w:rsidP="004C5D62">
            <w:pPr>
              <w:spacing w:after="0" w:line="240" w:lineRule="auto"/>
              <w:jc w:val="both"/>
              <w:rPr>
                <w:color w:val="0070C0"/>
                <w:sz w:val="16"/>
                <w:szCs w:val="16"/>
              </w:rPr>
            </w:pPr>
          </w:p>
        </w:tc>
      </w:tr>
      <w:tr w:rsidR="00917E4B" w:rsidRPr="008A2E5A" w14:paraId="68841460" w14:textId="77777777" w:rsidTr="004C5D62">
        <w:tc>
          <w:tcPr>
            <w:tcW w:w="821" w:type="dxa"/>
          </w:tcPr>
          <w:p w14:paraId="2B54ABAF"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 ДС обр. 1939 г.</w:t>
            </w:r>
          </w:p>
        </w:tc>
        <w:tc>
          <w:tcPr>
            <w:tcW w:w="821" w:type="dxa"/>
          </w:tcPr>
          <w:p w14:paraId="6A4B33FC" w14:textId="77777777" w:rsidR="00917E4B" w:rsidRPr="008A2E5A" w:rsidRDefault="00917E4B" w:rsidP="004C5D62">
            <w:pPr>
              <w:spacing w:after="0" w:line="240" w:lineRule="auto"/>
              <w:jc w:val="both"/>
              <w:rPr>
                <w:color w:val="0070C0"/>
                <w:sz w:val="16"/>
                <w:szCs w:val="16"/>
              </w:rPr>
            </w:pPr>
          </w:p>
        </w:tc>
        <w:tc>
          <w:tcPr>
            <w:tcW w:w="821" w:type="dxa"/>
          </w:tcPr>
          <w:p w14:paraId="62163B76" w14:textId="77777777" w:rsidR="00917E4B" w:rsidRPr="008A2E5A" w:rsidRDefault="00917E4B" w:rsidP="004C5D62">
            <w:pPr>
              <w:spacing w:after="0" w:line="240" w:lineRule="auto"/>
              <w:jc w:val="both"/>
              <w:rPr>
                <w:color w:val="0070C0"/>
                <w:sz w:val="16"/>
                <w:szCs w:val="16"/>
              </w:rPr>
            </w:pPr>
            <w:r w:rsidRPr="008A2E5A">
              <w:rPr>
                <w:color w:val="0070C0"/>
                <w:sz w:val="16"/>
                <w:szCs w:val="16"/>
              </w:rPr>
              <w:t>2917</w:t>
            </w:r>
          </w:p>
        </w:tc>
        <w:tc>
          <w:tcPr>
            <w:tcW w:w="821" w:type="dxa"/>
          </w:tcPr>
          <w:p w14:paraId="09F413CF"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2" w:type="dxa"/>
          </w:tcPr>
          <w:p w14:paraId="73A89BED"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2" w:type="dxa"/>
          </w:tcPr>
          <w:p w14:paraId="2672C7FD" w14:textId="77777777" w:rsidR="00917E4B" w:rsidRPr="008A2E5A" w:rsidRDefault="00917E4B" w:rsidP="004C5D62">
            <w:pPr>
              <w:spacing w:after="0" w:line="240" w:lineRule="auto"/>
              <w:jc w:val="both"/>
              <w:rPr>
                <w:color w:val="0070C0"/>
                <w:sz w:val="16"/>
                <w:szCs w:val="16"/>
              </w:rPr>
            </w:pPr>
          </w:p>
        </w:tc>
        <w:tc>
          <w:tcPr>
            <w:tcW w:w="822" w:type="dxa"/>
          </w:tcPr>
          <w:p w14:paraId="1C6EF62D" w14:textId="77777777" w:rsidR="00917E4B" w:rsidRPr="008A2E5A" w:rsidRDefault="00917E4B" w:rsidP="004C5D62">
            <w:pPr>
              <w:spacing w:after="0" w:line="240" w:lineRule="auto"/>
              <w:jc w:val="both"/>
              <w:rPr>
                <w:color w:val="0070C0"/>
                <w:sz w:val="16"/>
                <w:szCs w:val="16"/>
              </w:rPr>
            </w:pPr>
          </w:p>
        </w:tc>
        <w:tc>
          <w:tcPr>
            <w:tcW w:w="822" w:type="dxa"/>
          </w:tcPr>
          <w:p w14:paraId="67E6D7D7" w14:textId="77777777" w:rsidR="00917E4B" w:rsidRPr="008A2E5A" w:rsidRDefault="00917E4B" w:rsidP="004C5D62">
            <w:pPr>
              <w:spacing w:after="0" w:line="240" w:lineRule="auto"/>
              <w:jc w:val="both"/>
              <w:rPr>
                <w:color w:val="0070C0"/>
                <w:sz w:val="16"/>
                <w:szCs w:val="16"/>
              </w:rPr>
            </w:pPr>
          </w:p>
        </w:tc>
        <w:tc>
          <w:tcPr>
            <w:tcW w:w="822" w:type="dxa"/>
          </w:tcPr>
          <w:p w14:paraId="1DF3357D" w14:textId="77777777" w:rsidR="00917E4B" w:rsidRPr="008A2E5A" w:rsidRDefault="00917E4B" w:rsidP="004C5D62">
            <w:pPr>
              <w:spacing w:after="0" w:line="240" w:lineRule="auto"/>
              <w:jc w:val="both"/>
              <w:rPr>
                <w:color w:val="0070C0"/>
                <w:sz w:val="16"/>
                <w:szCs w:val="16"/>
              </w:rPr>
            </w:pPr>
          </w:p>
        </w:tc>
        <w:tc>
          <w:tcPr>
            <w:tcW w:w="822" w:type="dxa"/>
          </w:tcPr>
          <w:p w14:paraId="1657C2D8" w14:textId="77777777" w:rsidR="00917E4B" w:rsidRPr="008A2E5A" w:rsidRDefault="00917E4B" w:rsidP="004C5D62">
            <w:pPr>
              <w:spacing w:after="0" w:line="240" w:lineRule="auto"/>
              <w:jc w:val="both"/>
              <w:rPr>
                <w:color w:val="0070C0"/>
                <w:sz w:val="16"/>
                <w:szCs w:val="16"/>
              </w:rPr>
            </w:pPr>
          </w:p>
        </w:tc>
        <w:tc>
          <w:tcPr>
            <w:tcW w:w="822" w:type="dxa"/>
          </w:tcPr>
          <w:p w14:paraId="3FDAA86B" w14:textId="77777777" w:rsidR="00917E4B" w:rsidRPr="008A2E5A" w:rsidRDefault="00917E4B" w:rsidP="004C5D62">
            <w:pPr>
              <w:spacing w:after="0" w:line="240" w:lineRule="auto"/>
              <w:jc w:val="both"/>
              <w:rPr>
                <w:color w:val="0070C0"/>
                <w:sz w:val="16"/>
                <w:szCs w:val="16"/>
              </w:rPr>
            </w:pPr>
          </w:p>
        </w:tc>
        <w:tc>
          <w:tcPr>
            <w:tcW w:w="822" w:type="dxa"/>
          </w:tcPr>
          <w:p w14:paraId="427BE371" w14:textId="77777777" w:rsidR="00917E4B" w:rsidRPr="008A2E5A" w:rsidRDefault="00917E4B" w:rsidP="004C5D62">
            <w:pPr>
              <w:spacing w:after="0" w:line="240" w:lineRule="auto"/>
              <w:jc w:val="both"/>
              <w:rPr>
                <w:color w:val="0070C0"/>
                <w:sz w:val="16"/>
                <w:szCs w:val="16"/>
              </w:rPr>
            </w:pPr>
          </w:p>
        </w:tc>
        <w:tc>
          <w:tcPr>
            <w:tcW w:w="822" w:type="dxa"/>
          </w:tcPr>
          <w:p w14:paraId="25D14656" w14:textId="77777777" w:rsidR="00917E4B" w:rsidRPr="008A2E5A" w:rsidRDefault="00917E4B" w:rsidP="004C5D62">
            <w:pPr>
              <w:spacing w:after="0" w:line="240" w:lineRule="auto"/>
              <w:jc w:val="both"/>
              <w:rPr>
                <w:color w:val="0070C0"/>
                <w:sz w:val="16"/>
                <w:szCs w:val="16"/>
              </w:rPr>
            </w:pPr>
          </w:p>
        </w:tc>
      </w:tr>
      <w:tr w:rsidR="00917E4B" w:rsidRPr="008A2E5A" w14:paraId="5CDBB97A" w14:textId="77777777" w:rsidTr="004C5D62">
        <w:tc>
          <w:tcPr>
            <w:tcW w:w="821" w:type="dxa"/>
          </w:tcPr>
          <w:p w14:paraId="2E0E9D7D" w14:textId="77777777" w:rsidR="00917E4B" w:rsidRPr="008A2E5A" w:rsidRDefault="00917E4B" w:rsidP="004C5D62">
            <w:pPr>
              <w:spacing w:after="0" w:line="240" w:lineRule="auto"/>
              <w:jc w:val="both"/>
              <w:rPr>
                <w:color w:val="0070C0"/>
                <w:sz w:val="16"/>
                <w:szCs w:val="16"/>
              </w:rPr>
            </w:pPr>
            <w:r w:rsidRPr="008A2E5A">
              <w:rPr>
                <w:color w:val="0070C0"/>
                <w:sz w:val="16"/>
                <w:szCs w:val="16"/>
              </w:rPr>
              <w:t xml:space="preserve">112,7-мм пулемет ДШК </w:t>
            </w:r>
            <w:proofErr w:type="gramStart"/>
            <w:r w:rsidRPr="008A2E5A">
              <w:rPr>
                <w:color w:val="0070C0"/>
                <w:sz w:val="16"/>
                <w:szCs w:val="16"/>
              </w:rPr>
              <w:t>н[</w:t>
            </w:r>
            <w:proofErr w:type="gramEnd"/>
            <w:r w:rsidRPr="008A2E5A">
              <w:rPr>
                <w:color w:val="0070C0"/>
                <w:sz w:val="16"/>
                <w:szCs w:val="16"/>
              </w:rPr>
              <w:t>а1 ст|анке]</w:t>
            </w:r>
          </w:p>
        </w:tc>
        <w:tc>
          <w:tcPr>
            <w:tcW w:w="821" w:type="dxa"/>
          </w:tcPr>
          <w:p w14:paraId="01BC8C7F" w14:textId="77777777" w:rsidR="00917E4B" w:rsidRPr="008A2E5A" w:rsidRDefault="00917E4B" w:rsidP="004C5D62">
            <w:pPr>
              <w:spacing w:after="0" w:line="240" w:lineRule="auto"/>
              <w:jc w:val="both"/>
              <w:rPr>
                <w:color w:val="0070C0"/>
                <w:sz w:val="16"/>
                <w:szCs w:val="16"/>
              </w:rPr>
            </w:pPr>
            <w:r w:rsidRPr="008A2E5A">
              <w:rPr>
                <w:color w:val="0070C0"/>
                <w:sz w:val="16"/>
                <w:szCs w:val="16"/>
              </w:rPr>
              <w:t>470</w:t>
            </w:r>
          </w:p>
        </w:tc>
        <w:tc>
          <w:tcPr>
            <w:tcW w:w="821" w:type="dxa"/>
          </w:tcPr>
          <w:p w14:paraId="39668D93" w14:textId="77777777" w:rsidR="00917E4B" w:rsidRPr="008A2E5A" w:rsidRDefault="00917E4B" w:rsidP="004C5D62">
            <w:pPr>
              <w:spacing w:after="0" w:line="240" w:lineRule="auto"/>
              <w:jc w:val="both"/>
              <w:rPr>
                <w:color w:val="0070C0"/>
                <w:sz w:val="16"/>
                <w:szCs w:val="16"/>
              </w:rPr>
            </w:pPr>
            <w:r w:rsidRPr="008A2E5A">
              <w:rPr>
                <w:color w:val="0070C0"/>
                <w:sz w:val="16"/>
                <w:szCs w:val="16"/>
              </w:rPr>
              <w:t>85</w:t>
            </w:r>
          </w:p>
        </w:tc>
        <w:tc>
          <w:tcPr>
            <w:tcW w:w="821" w:type="dxa"/>
          </w:tcPr>
          <w:p w14:paraId="2E52050A"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w:t>
            </w:r>
          </w:p>
        </w:tc>
        <w:tc>
          <w:tcPr>
            <w:tcW w:w="822" w:type="dxa"/>
          </w:tcPr>
          <w:p w14:paraId="1B9829CD" w14:textId="77777777" w:rsidR="00917E4B" w:rsidRPr="008A2E5A" w:rsidRDefault="00917E4B" w:rsidP="004C5D62">
            <w:pPr>
              <w:spacing w:after="0" w:line="240" w:lineRule="auto"/>
              <w:jc w:val="both"/>
              <w:rPr>
                <w:color w:val="0070C0"/>
                <w:sz w:val="16"/>
                <w:szCs w:val="16"/>
              </w:rPr>
            </w:pPr>
            <w:r w:rsidRPr="008A2E5A">
              <w:rPr>
                <w:color w:val="0070C0"/>
                <w:sz w:val="16"/>
                <w:szCs w:val="16"/>
              </w:rPr>
              <w:t>118</w:t>
            </w:r>
          </w:p>
        </w:tc>
        <w:tc>
          <w:tcPr>
            <w:tcW w:w="822" w:type="dxa"/>
          </w:tcPr>
          <w:p w14:paraId="378856CB"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w:t>
            </w:r>
          </w:p>
        </w:tc>
        <w:tc>
          <w:tcPr>
            <w:tcW w:w="822" w:type="dxa"/>
          </w:tcPr>
          <w:p w14:paraId="047681DE" w14:textId="77777777" w:rsidR="00917E4B" w:rsidRPr="008A2E5A" w:rsidRDefault="00917E4B" w:rsidP="004C5D62">
            <w:pPr>
              <w:spacing w:after="0" w:line="240" w:lineRule="auto"/>
              <w:jc w:val="both"/>
              <w:rPr>
                <w:color w:val="0070C0"/>
                <w:sz w:val="16"/>
                <w:szCs w:val="16"/>
              </w:rPr>
            </w:pPr>
            <w:r w:rsidRPr="008A2E5A">
              <w:rPr>
                <w:color w:val="0070C0"/>
                <w:sz w:val="16"/>
                <w:szCs w:val="16"/>
              </w:rPr>
              <w:t>167</w:t>
            </w:r>
          </w:p>
        </w:tc>
        <w:tc>
          <w:tcPr>
            <w:tcW w:w="822" w:type="dxa"/>
          </w:tcPr>
          <w:p w14:paraId="5160C623" w14:textId="77777777" w:rsidR="00917E4B" w:rsidRPr="008A2E5A" w:rsidRDefault="00917E4B" w:rsidP="004C5D62">
            <w:pPr>
              <w:spacing w:after="0" w:line="240" w:lineRule="auto"/>
              <w:jc w:val="both"/>
              <w:rPr>
                <w:color w:val="0070C0"/>
                <w:sz w:val="16"/>
                <w:szCs w:val="16"/>
              </w:rPr>
            </w:pPr>
            <w:r w:rsidRPr="008A2E5A">
              <w:rPr>
                <w:color w:val="0070C0"/>
                <w:sz w:val="16"/>
                <w:szCs w:val="16"/>
              </w:rPr>
              <w:t>500</w:t>
            </w:r>
          </w:p>
        </w:tc>
        <w:tc>
          <w:tcPr>
            <w:tcW w:w="822" w:type="dxa"/>
          </w:tcPr>
          <w:p w14:paraId="089E182A" w14:textId="77777777" w:rsidR="00917E4B" w:rsidRPr="008A2E5A" w:rsidRDefault="00917E4B" w:rsidP="004C5D62">
            <w:pPr>
              <w:spacing w:after="0" w:line="240" w:lineRule="auto"/>
              <w:jc w:val="both"/>
              <w:rPr>
                <w:color w:val="0070C0"/>
                <w:sz w:val="16"/>
                <w:szCs w:val="16"/>
              </w:rPr>
            </w:pPr>
            <w:r w:rsidRPr="008A2E5A">
              <w:rPr>
                <w:color w:val="0070C0"/>
                <w:sz w:val="16"/>
                <w:szCs w:val="16"/>
              </w:rPr>
              <w:t>164</w:t>
            </w:r>
          </w:p>
        </w:tc>
        <w:tc>
          <w:tcPr>
            <w:tcW w:w="822" w:type="dxa"/>
          </w:tcPr>
          <w:p w14:paraId="3411C8DE" w14:textId="77777777" w:rsidR="00917E4B" w:rsidRPr="008A2E5A" w:rsidRDefault="00917E4B" w:rsidP="004C5D62">
            <w:pPr>
              <w:spacing w:after="0" w:line="240" w:lineRule="auto"/>
              <w:jc w:val="both"/>
              <w:rPr>
                <w:color w:val="0070C0"/>
                <w:sz w:val="16"/>
                <w:szCs w:val="16"/>
              </w:rPr>
            </w:pPr>
          </w:p>
        </w:tc>
        <w:tc>
          <w:tcPr>
            <w:tcW w:w="822" w:type="dxa"/>
          </w:tcPr>
          <w:p w14:paraId="2953BCAC" w14:textId="77777777" w:rsidR="00917E4B" w:rsidRPr="008A2E5A" w:rsidRDefault="00917E4B" w:rsidP="004C5D62">
            <w:pPr>
              <w:spacing w:after="0" w:line="240" w:lineRule="auto"/>
              <w:jc w:val="both"/>
              <w:rPr>
                <w:color w:val="0070C0"/>
                <w:sz w:val="16"/>
                <w:szCs w:val="16"/>
              </w:rPr>
            </w:pPr>
          </w:p>
        </w:tc>
        <w:tc>
          <w:tcPr>
            <w:tcW w:w="822" w:type="dxa"/>
          </w:tcPr>
          <w:p w14:paraId="0C79EC07" w14:textId="77777777" w:rsidR="00917E4B" w:rsidRPr="008A2E5A" w:rsidRDefault="00917E4B" w:rsidP="004C5D62">
            <w:pPr>
              <w:spacing w:after="0" w:line="240" w:lineRule="auto"/>
              <w:jc w:val="both"/>
              <w:rPr>
                <w:color w:val="0070C0"/>
                <w:sz w:val="16"/>
                <w:szCs w:val="16"/>
              </w:rPr>
            </w:pPr>
          </w:p>
        </w:tc>
        <w:tc>
          <w:tcPr>
            <w:tcW w:w="822" w:type="dxa"/>
          </w:tcPr>
          <w:p w14:paraId="3C607E58" w14:textId="77777777" w:rsidR="00917E4B" w:rsidRPr="008A2E5A" w:rsidRDefault="00917E4B" w:rsidP="004C5D62">
            <w:pPr>
              <w:spacing w:after="0" w:line="240" w:lineRule="auto"/>
              <w:jc w:val="both"/>
              <w:rPr>
                <w:color w:val="0070C0"/>
                <w:sz w:val="16"/>
                <w:szCs w:val="16"/>
              </w:rPr>
            </w:pPr>
          </w:p>
        </w:tc>
      </w:tr>
      <w:tr w:rsidR="00917E4B" w:rsidRPr="008A2E5A" w14:paraId="32F8E5D8" w14:textId="77777777" w:rsidTr="004C5D62">
        <w:tc>
          <w:tcPr>
            <w:tcW w:w="821" w:type="dxa"/>
          </w:tcPr>
          <w:p w14:paraId="74677068"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12,7-мм танковые</w:t>
            </w:r>
          </w:p>
        </w:tc>
        <w:tc>
          <w:tcPr>
            <w:tcW w:w="821" w:type="dxa"/>
          </w:tcPr>
          <w:p w14:paraId="3F5045FC"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w:t>
            </w:r>
          </w:p>
        </w:tc>
        <w:tc>
          <w:tcPr>
            <w:tcW w:w="821" w:type="dxa"/>
          </w:tcPr>
          <w:p w14:paraId="0599A64C" w14:textId="77777777" w:rsidR="00917E4B" w:rsidRPr="008A2E5A" w:rsidRDefault="00917E4B" w:rsidP="004C5D62">
            <w:pPr>
              <w:spacing w:after="0" w:line="240" w:lineRule="auto"/>
              <w:jc w:val="both"/>
              <w:rPr>
                <w:color w:val="0070C0"/>
                <w:sz w:val="16"/>
                <w:szCs w:val="16"/>
              </w:rPr>
            </w:pPr>
            <w:r w:rsidRPr="008A2E5A">
              <w:rPr>
                <w:color w:val="0070C0"/>
                <w:sz w:val="16"/>
                <w:szCs w:val="16"/>
              </w:rPr>
              <w:t>140</w:t>
            </w:r>
          </w:p>
        </w:tc>
        <w:tc>
          <w:tcPr>
            <w:tcW w:w="821" w:type="dxa"/>
          </w:tcPr>
          <w:p w14:paraId="728D6B9A"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w:t>
            </w:r>
          </w:p>
        </w:tc>
        <w:tc>
          <w:tcPr>
            <w:tcW w:w="822" w:type="dxa"/>
          </w:tcPr>
          <w:p w14:paraId="3665E36A" w14:textId="77777777" w:rsidR="00917E4B" w:rsidRPr="008A2E5A" w:rsidRDefault="00917E4B" w:rsidP="004C5D62">
            <w:pPr>
              <w:spacing w:after="0" w:line="240" w:lineRule="auto"/>
              <w:jc w:val="both"/>
              <w:rPr>
                <w:color w:val="0070C0"/>
                <w:sz w:val="16"/>
                <w:szCs w:val="16"/>
              </w:rPr>
            </w:pPr>
            <w:r w:rsidRPr="008A2E5A">
              <w:rPr>
                <w:color w:val="0070C0"/>
                <w:sz w:val="16"/>
                <w:szCs w:val="16"/>
              </w:rPr>
              <w:t>80</w:t>
            </w:r>
          </w:p>
        </w:tc>
        <w:tc>
          <w:tcPr>
            <w:tcW w:w="822" w:type="dxa"/>
          </w:tcPr>
          <w:p w14:paraId="7DD225B5"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w:t>
            </w:r>
          </w:p>
        </w:tc>
        <w:tc>
          <w:tcPr>
            <w:tcW w:w="822" w:type="dxa"/>
          </w:tcPr>
          <w:p w14:paraId="01FD868C" w14:textId="77777777" w:rsidR="00917E4B" w:rsidRPr="008A2E5A" w:rsidRDefault="00917E4B" w:rsidP="004C5D62">
            <w:pPr>
              <w:spacing w:after="0" w:line="240" w:lineRule="auto"/>
              <w:jc w:val="both"/>
              <w:rPr>
                <w:color w:val="0070C0"/>
                <w:sz w:val="16"/>
                <w:szCs w:val="16"/>
              </w:rPr>
            </w:pPr>
            <w:r w:rsidRPr="008A2E5A">
              <w:rPr>
                <w:color w:val="0070C0"/>
                <w:sz w:val="16"/>
                <w:szCs w:val="16"/>
              </w:rPr>
              <w:t>278</w:t>
            </w:r>
          </w:p>
        </w:tc>
        <w:tc>
          <w:tcPr>
            <w:tcW w:w="822" w:type="dxa"/>
          </w:tcPr>
          <w:p w14:paraId="761F4AA6"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w:t>
            </w:r>
          </w:p>
        </w:tc>
        <w:tc>
          <w:tcPr>
            <w:tcW w:w="822" w:type="dxa"/>
          </w:tcPr>
          <w:p w14:paraId="297FBF70" w14:textId="77777777" w:rsidR="00917E4B" w:rsidRPr="008A2E5A" w:rsidRDefault="00917E4B" w:rsidP="004C5D62">
            <w:pPr>
              <w:spacing w:after="0" w:line="240" w:lineRule="auto"/>
              <w:jc w:val="both"/>
              <w:rPr>
                <w:color w:val="0070C0"/>
                <w:sz w:val="16"/>
                <w:szCs w:val="16"/>
              </w:rPr>
            </w:pPr>
            <w:r w:rsidRPr="008A2E5A">
              <w:rPr>
                <w:color w:val="0070C0"/>
                <w:sz w:val="16"/>
                <w:szCs w:val="16"/>
              </w:rPr>
              <w:t>20</w:t>
            </w:r>
          </w:p>
        </w:tc>
        <w:tc>
          <w:tcPr>
            <w:tcW w:w="822" w:type="dxa"/>
          </w:tcPr>
          <w:p w14:paraId="24E00348" w14:textId="77777777" w:rsidR="00917E4B" w:rsidRPr="008A2E5A" w:rsidRDefault="00917E4B" w:rsidP="004C5D62">
            <w:pPr>
              <w:spacing w:after="0" w:line="240" w:lineRule="auto"/>
              <w:jc w:val="both"/>
              <w:rPr>
                <w:color w:val="0070C0"/>
                <w:sz w:val="16"/>
                <w:szCs w:val="16"/>
              </w:rPr>
            </w:pPr>
          </w:p>
        </w:tc>
        <w:tc>
          <w:tcPr>
            <w:tcW w:w="822" w:type="dxa"/>
          </w:tcPr>
          <w:p w14:paraId="40EAA198" w14:textId="77777777" w:rsidR="00917E4B" w:rsidRPr="008A2E5A" w:rsidRDefault="00917E4B" w:rsidP="004C5D62">
            <w:pPr>
              <w:spacing w:after="0" w:line="240" w:lineRule="auto"/>
              <w:jc w:val="both"/>
              <w:rPr>
                <w:color w:val="0070C0"/>
                <w:sz w:val="16"/>
                <w:szCs w:val="16"/>
              </w:rPr>
            </w:pPr>
          </w:p>
        </w:tc>
        <w:tc>
          <w:tcPr>
            <w:tcW w:w="822" w:type="dxa"/>
          </w:tcPr>
          <w:p w14:paraId="04462627" w14:textId="77777777" w:rsidR="00917E4B" w:rsidRPr="008A2E5A" w:rsidRDefault="00917E4B" w:rsidP="004C5D62">
            <w:pPr>
              <w:spacing w:after="0" w:line="240" w:lineRule="auto"/>
              <w:jc w:val="both"/>
              <w:rPr>
                <w:color w:val="0070C0"/>
                <w:sz w:val="16"/>
                <w:szCs w:val="16"/>
              </w:rPr>
            </w:pPr>
          </w:p>
        </w:tc>
        <w:tc>
          <w:tcPr>
            <w:tcW w:w="822" w:type="dxa"/>
          </w:tcPr>
          <w:p w14:paraId="12326928" w14:textId="77777777" w:rsidR="00917E4B" w:rsidRPr="008A2E5A" w:rsidRDefault="00917E4B" w:rsidP="004C5D62">
            <w:pPr>
              <w:spacing w:after="0" w:line="240" w:lineRule="auto"/>
              <w:jc w:val="both"/>
              <w:rPr>
                <w:color w:val="0070C0"/>
                <w:sz w:val="16"/>
                <w:szCs w:val="16"/>
              </w:rPr>
            </w:pPr>
          </w:p>
        </w:tc>
      </w:tr>
      <w:tr w:rsidR="00917E4B" w:rsidRPr="008A2E5A" w14:paraId="3C7ED72C" w14:textId="77777777" w:rsidTr="004C5D62">
        <w:tc>
          <w:tcPr>
            <w:tcW w:w="821" w:type="dxa"/>
          </w:tcPr>
          <w:p w14:paraId="11965FCC" w14:textId="77777777" w:rsidR="00917E4B" w:rsidRPr="008A2E5A" w:rsidRDefault="00917E4B" w:rsidP="004C5D62">
            <w:pPr>
              <w:spacing w:after="0" w:line="240" w:lineRule="auto"/>
              <w:jc w:val="both"/>
              <w:rPr>
                <w:color w:val="0070C0"/>
                <w:sz w:val="16"/>
                <w:szCs w:val="16"/>
              </w:rPr>
            </w:pPr>
            <w:r w:rsidRPr="008A2E5A">
              <w:rPr>
                <w:color w:val="0070C0"/>
                <w:sz w:val="16"/>
                <w:szCs w:val="16"/>
              </w:rPr>
              <w:t>20-мм пушки ШВАК</w:t>
            </w:r>
          </w:p>
        </w:tc>
        <w:tc>
          <w:tcPr>
            <w:tcW w:w="821" w:type="dxa"/>
          </w:tcPr>
          <w:p w14:paraId="50E5BDCB" w14:textId="77777777" w:rsidR="00917E4B" w:rsidRPr="008A2E5A" w:rsidRDefault="00917E4B" w:rsidP="004C5D62">
            <w:pPr>
              <w:spacing w:after="0" w:line="240" w:lineRule="auto"/>
              <w:jc w:val="both"/>
              <w:rPr>
                <w:color w:val="0070C0"/>
                <w:sz w:val="16"/>
                <w:szCs w:val="16"/>
              </w:rPr>
            </w:pPr>
          </w:p>
        </w:tc>
        <w:tc>
          <w:tcPr>
            <w:tcW w:w="821" w:type="dxa"/>
          </w:tcPr>
          <w:p w14:paraId="18AF06CA" w14:textId="77777777" w:rsidR="00917E4B" w:rsidRPr="008A2E5A" w:rsidRDefault="00917E4B" w:rsidP="004C5D62">
            <w:pPr>
              <w:spacing w:after="0" w:line="240" w:lineRule="auto"/>
              <w:jc w:val="both"/>
              <w:rPr>
                <w:color w:val="0070C0"/>
                <w:sz w:val="16"/>
                <w:szCs w:val="16"/>
              </w:rPr>
            </w:pPr>
          </w:p>
        </w:tc>
        <w:tc>
          <w:tcPr>
            <w:tcW w:w="821" w:type="dxa"/>
          </w:tcPr>
          <w:p w14:paraId="0DA43865" w14:textId="77777777" w:rsidR="00917E4B" w:rsidRPr="008A2E5A" w:rsidRDefault="00917E4B" w:rsidP="004C5D62">
            <w:pPr>
              <w:spacing w:after="0" w:line="240" w:lineRule="auto"/>
              <w:jc w:val="both"/>
              <w:rPr>
                <w:color w:val="0070C0"/>
                <w:sz w:val="16"/>
                <w:szCs w:val="16"/>
              </w:rPr>
            </w:pPr>
          </w:p>
        </w:tc>
        <w:tc>
          <w:tcPr>
            <w:tcW w:w="822" w:type="dxa"/>
          </w:tcPr>
          <w:p w14:paraId="70143954" w14:textId="77777777" w:rsidR="00917E4B" w:rsidRPr="008A2E5A" w:rsidRDefault="00917E4B" w:rsidP="004C5D62">
            <w:pPr>
              <w:spacing w:after="0" w:line="240" w:lineRule="auto"/>
              <w:jc w:val="both"/>
              <w:rPr>
                <w:color w:val="0070C0"/>
                <w:sz w:val="16"/>
                <w:szCs w:val="16"/>
              </w:rPr>
            </w:pPr>
          </w:p>
        </w:tc>
        <w:tc>
          <w:tcPr>
            <w:tcW w:w="822" w:type="dxa"/>
          </w:tcPr>
          <w:p w14:paraId="52E84606" w14:textId="77777777" w:rsidR="00917E4B" w:rsidRPr="008A2E5A" w:rsidRDefault="00917E4B" w:rsidP="004C5D62">
            <w:pPr>
              <w:spacing w:after="0" w:line="240" w:lineRule="auto"/>
              <w:jc w:val="both"/>
              <w:rPr>
                <w:color w:val="0070C0"/>
                <w:sz w:val="16"/>
                <w:szCs w:val="16"/>
              </w:rPr>
            </w:pPr>
            <w:r w:rsidRPr="008A2E5A">
              <w:rPr>
                <w:color w:val="0070C0"/>
                <w:sz w:val="16"/>
                <w:szCs w:val="16"/>
              </w:rPr>
              <w:t>650</w:t>
            </w:r>
          </w:p>
        </w:tc>
        <w:tc>
          <w:tcPr>
            <w:tcW w:w="822" w:type="dxa"/>
          </w:tcPr>
          <w:p w14:paraId="33D32D6C" w14:textId="77777777" w:rsidR="00917E4B" w:rsidRPr="008A2E5A" w:rsidRDefault="00917E4B" w:rsidP="004C5D62">
            <w:pPr>
              <w:spacing w:after="0" w:line="240" w:lineRule="auto"/>
              <w:jc w:val="both"/>
              <w:rPr>
                <w:color w:val="0070C0"/>
                <w:sz w:val="16"/>
                <w:szCs w:val="16"/>
              </w:rPr>
            </w:pPr>
            <w:r w:rsidRPr="008A2E5A">
              <w:rPr>
                <w:color w:val="0070C0"/>
                <w:sz w:val="16"/>
                <w:szCs w:val="16"/>
              </w:rPr>
              <w:t>95</w:t>
            </w:r>
          </w:p>
        </w:tc>
        <w:tc>
          <w:tcPr>
            <w:tcW w:w="822" w:type="dxa"/>
          </w:tcPr>
          <w:p w14:paraId="47824886"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1500</w:t>
            </w:r>
          </w:p>
        </w:tc>
        <w:tc>
          <w:tcPr>
            <w:tcW w:w="822" w:type="dxa"/>
          </w:tcPr>
          <w:p w14:paraId="6C2510AC"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1277</w:t>
            </w:r>
          </w:p>
        </w:tc>
        <w:tc>
          <w:tcPr>
            <w:tcW w:w="822" w:type="dxa"/>
          </w:tcPr>
          <w:p w14:paraId="64FD8813" w14:textId="77777777" w:rsidR="00917E4B" w:rsidRPr="008A2E5A" w:rsidRDefault="00917E4B" w:rsidP="004C5D62">
            <w:pPr>
              <w:spacing w:after="0" w:line="240" w:lineRule="auto"/>
              <w:jc w:val="both"/>
              <w:rPr>
                <w:color w:val="0070C0"/>
                <w:sz w:val="16"/>
                <w:szCs w:val="16"/>
              </w:rPr>
            </w:pPr>
          </w:p>
        </w:tc>
        <w:tc>
          <w:tcPr>
            <w:tcW w:w="822" w:type="dxa"/>
          </w:tcPr>
          <w:p w14:paraId="6D5A28D3" w14:textId="77777777" w:rsidR="00917E4B" w:rsidRPr="008A2E5A" w:rsidRDefault="00917E4B" w:rsidP="004C5D62">
            <w:pPr>
              <w:spacing w:after="0" w:line="240" w:lineRule="auto"/>
              <w:jc w:val="both"/>
              <w:rPr>
                <w:color w:val="0070C0"/>
                <w:sz w:val="16"/>
                <w:szCs w:val="16"/>
              </w:rPr>
            </w:pPr>
          </w:p>
        </w:tc>
        <w:tc>
          <w:tcPr>
            <w:tcW w:w="822" w:type="dxa"/>
          </w:tcPr>
          <w:p w14:paraId="36DD2462" w14:textId="77777777" w:rsidR="00917E4B" w:rsidRPr="008A2E5A" w:rsidRDefault="00917E4B" w:rsidP="004C5D62">
            <w:pPr>
              <w:spacing w:after="0" w:line="240" w:lineRule="auto"/>
              <w:jc w:val="both"/>
              <w:rPr>
                <w:color w:val="0070C0"/>
                <w:sz w:val="16"/>
                <w:szCs w:val="16"/>
              </w:rPr>
            </w:pPr>
          </w:p>
        </w:tc>
        <w:tc>
          <w:tcPr>
            <w:tcW w:w="822" w:type="dxa"/>
          </w:tcPr>
          <w:p w14:paraId="5CC995A6" w14:textId="77777777" w:rsidR="00917E4B" w:rsidRPr="008A2E5A" w:rsidRDefault="00917E4B" w:rsidP="004C5D62">
            <w:pPr>
              <w:spacing w:after="0" w:line="240" w:lineRule="auto"/>
              <w:jc w:val="both"/>
              <w:rPr>
                <w:color w:val="0070C0"/>
                <w:sz w:val="16"/>
                <w:szCs w:val="16"/>
              </w:rPr>
            </w:pPr>
          </w:p>
        </w:tc>
      </w:tr>
      <w:tr w:rsidR="00917E4B" w:rsidRPr="008A2E5A" w14:paraId="1F4D7F6D" w14:textId="77777777" w:rsidTr="004C5D62">
        <w:tc>
          <w:tcPr>
            <w:tcW w:w="821" w:type="dxa"/>
          </w:tcPr>
          <w:p w14:paraId="691192F7" w14:textId="77777777" w:rsidR="00917E4B" w:rsidRPr="008A2E5A" w:rsidRDefault="00917E4B" w:rsidP="004C5D62">
            <w:pPr>
              <w:spacing w:after="0" w:line="240" w:lineRule="auto"/>
              <w:jc w:val="both"/>
              <w:rPr>
                <w:color w:val="0070C0"/>
                <w:sz w:val="16"/>
                <w:szCs w:val="16"/>
              </w:rPr>
            </w:pPr>
            <w:r w:rsidRPr="008A2E5A">
              <w:rPr>
                <w:color w:val="0070C0"/>
                <w:sz w:val="16"/>
                <w:szCs w:val="16"/>
              </w:rPr>
              <w:t>26-мм осветительные пистолеты</w:t>
            </w:r>
          </w:p>
        </w:tc>
        <w:tc>
          <w:tcPr>
            <w:tcW w:w="821" w:type="dxa"/>
          </w:tcPr>
          <w:p w14:paraId="624001B8"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1" w:type="dxa"/>
          </w:tcPr>
          <w:p w14:paraId="4C8ED093" w14:textId="77777777" w:rsidR="00917E4B" w:rsidRPr="008A2E5A" w:rsidRDefault="00917E4B" w:rsidP="004C5D62">
            <w:pPr>
              <w:spacing w:after="0" w:line="240" w:lineRule="auto"/>
              <w:jc w:val="both"/>
              <w:rPr>
                <w:color w:val="0070C0"/>
                <w:sz w:val="16"/>
                <w:szCs w:val="16"/>
              </w:rPr>
            </w:pPr>
            <w:r w:rsidRPr="008A2E5A">
              <w:rPr>
                <w:color w:val="0070C0"/>
                <w:sz w:val="16"/>
                <w:szCs w:val="16"/>
              </w:rPr>
              <w:t>8080</w:t>
            </w:r>
          </w:p>
        </w:tc>
        <w:tc>
          <w:tcPr>
            <w:tcW w:w="821" w:type="dxa"/>
          </w:tcPr>
          <w:p w14:paraId="1DE4845A"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2000</w:t>
            </w:r>
          </w:p>
        </w:tc>
        <w:tc>
          <w:tcPr>
            <w:tcW w:w="822" w:type="dxa"/>
          </w:tcPr>
          <w:p w14:paraId="62B62837" w14:textId="77777777" w:rsidR="00917E4B" w:rsidRPr="008A2E5A" w:rsidRDefault="00917E4B" w:rsidP="004C5D62">
            <w:pPr>
              <w:spacing w:after="0" w:line="240" w:lineRule="auto"/>
              <w:jc w:val="both"/>
              <w:rPr>
                <w:color w:val="0070C0"/>
                <w:sz w:val="16"/>
                <w:szCs w:val="16"/>
              </w:rPr>
            </w:pPr>
            <w:r w:rsidRPr="008A2E5A">
              <w:rPr>
                <w:color w:val="0070C0"/>
                <w:sz w:val="16"/>
                <w:szCs w:val="16"/>
              </w:rPr>
              <w:t>2946</w:t>
            </w:r>
          </w:p>
        </w:tc>
        <w:tc>
          <w:tcPr>
            <w:tcW w:w="822" w:type="dxa"/>
          </w:tcPr>
          <w:p w14:paraId="0131B6AD" w14:textId="77777777" w:rsidR="00917E4B" w:rsidRPr="008A2E5A" w:rsidRDefault="00917E4B" w:rsidP="004C5D62">
            <w:pPr>
              <w:spacing w:after="0" w:line="240" w:lineRule="auto"/>
              <w:jc w:val="both"/>
              <w:rPr>
                <w:color w:val="0070C0"/>
                <w:sz w:val="16"/>
                <w:szCs w:val="16"/>
              </w:rPr>
            </w:pPr>
            <w:r w:rsidRPr="008A2E5A">
              <w:rPr>
                <w:color w:val="0070C0"/>
                <w:sz w:val="16"/>
                <w:szCs w:val="16"/>
              </w:rPr>
              <w:t>5000</w:t>
            </w:r>
          </w:p>
        </w:tc>
        <w:tc>
          <w:tcPr>
            <w:tcW w:w="822" w:type="dxa"/>
          </w:tcPr>
          <w:p w14:paraId="6B39C584" w14:textId="77777777" w:rsidR="00917E4B" w:rsidRPr="008A2E5A" w:rsidRDefault="00917E4B" w:rsidP="004C5D62">
            <w:pPr>
              <w:spacing w:after="0" w:line="240" w:lineRule="auto"/>
              <w:jc w:val="both"/>
              <w:rPr>
                <w:color w:val="0070C0"/>
                <w:sz w:val="16"/>
                <w:szCs w:val="16"/>
              </w:rPr>
            </w:pPr>
            <w:r w:rsidRPr="008A2E5A">
              <w:rPr>
                <w:color w:val="0070C0"/>
                <w:sz w:val="16"/>
                <w:szCs w:val="16"/>
              </w:rPr>
              <w:t>1730</w:t>
            </w:r>
          </w:p>
        </w:tc>
        <w:tc>
          <w:tcPr>
            <w:tcW w:w="822" w:type="dxa"/>
          </w:tcPr>
          <w:p w14:paraId="225B3B6A" w14:textId="77777777" w:rsidR="00917E4B" w:rsidRPr="008A2E5A" w:rsidRDefault="00917E4B" w:rsidP="004C5D62">
            <w:pPr>
              <w:spacing w:after="0" w:line="240" w:lineRule="auto"/>
              <w:jc w:val="both"/>
              <w:rPr>
                <w:color w:val="0070C0"/>
                <w:sz w:val="16"/>
                <w:szCs w:val="16"/>
              </w:rPr>
            </w:pPr>
            <w:r w:rsidRPr="008A2E5A">
              <w:rPr>
                <w:color w:val="0070C0"/>
                <w:sz w:val="16"/>
                <w:szCs w:val="16"/>
              </w:rPr>
              <w:t>4500</w:t>
            </w:r>
          </w:p>
        </w:tc>
        <w:tc>
          <w:tcPr>
            <w:tcW w:w="822" w:type="dxa"/>
          </w:tcPr>
          <w:p w14:paraId="21030416" w14:textId="77777777" w:rsidR="00917E4B" w:rsidRPr="008A2E5A" w:rsidRDefault="00917E4B" w:rsidP="004C5D62">
            <w:pPr>
              <w:spacing w:after="0" w:line="240" w:lineRule="auto"/>
              <w:jc w:val="both"/>
              <w:rPr>
                <w:color w:val="0070C0"/>
                <w:sz w:val="16"/>
                <w:szCs w:val="16"/>
              </w:rPr>
            </w:pPr>
            <w:r w:rsidRPr="008A2E5A">
              <w:rPr>
                <w:color w:val="0070C0"/>
                <w:sz w:val="16"/>
                <w:szCs w:val="16"/>
              </w:rPr>
              <w:t>2960</w:t>
            </w:r>
          </w:p>
        </w:tc>
        <w:tc>
          <w:tcPr>
            <w:tcW w:w="822" w:type="dxa"/>
          </w:tcPr>
          <w:p w14:paraId="0BC08AC6" w14:textId="77777777" w:rsidR="00917E4B" w:rsidRPr="008A2E5A" w:rsidRDefault="00917E4B" w:rsidP="004C5D62">
            <w:pPr>
              <w:spacing w:after="0" w:line="240" w:lineRule="auto"/>
              <w:jc w:val="both"/>
              <w:rPr>
                <w:color w:val="0070C0"/>
                <w:sz w:val="16"/>
                <w:szCs w:val="16"/>
              </w:rPr>
            </w:pPr>
          </w:p>
        </w:tc>
        <w:tc>
          <w:tcPr>
            <w:tcW w:w="822" w:type="dxa"/>
          </w:tcPr>
          <w:p w14:paraId="74988C0B" w14:textId="77777777" w:rsidR="00917E4B" w:rsidRPr="008A2E5A" w:rsidRDefault="00917E4B" w:rsidP="004C5D62">
            <w:pPr>
              <w:spacing w:after="0" w:line="240" w:lineRule="auto"/>
              <w:jc w:val="both"/>
              <w:rPr>
                <w:color w:val="0070C0"/>
                <w:sz w:val="16"/>
                <w:szCs w:val="16"/>
              </w:rPr>
            </w:pPr>
          </w:p>
        </w:tc>
        <w:tc>
          <w:tcPr>
            <w:tcW w:w="822" w:type="dxa"/>
          </w:tcPr>
          <w:p w14:paraId="1B417217" w14:textId="77777777" w:rsidR="00917E4B" w:rsidRPr="008A2E5A" w:rsidRDefault="00917E4B" w:rsidP="004C5D62">
            <w:pPr>
              <w:spacing w:after="0" w:line="240" w:lineRule="auto"/>
              <w:jc w:val="both"/>
              <w:rPr>
                <w:color w:val="0070C0"/>
                <w:sz w:val="16"/>
                <w:szCs w:val="16"/>
              </w:rPr>
            </w:pPr>
          </w:p>
        </w:tc>
        <w:tc>
          <w:tcPr>
            <w:tcW w:w="822" w:type="dxa"/>
          </w:tcPr>
          <w:p w14:paraId="38C2AC01" w14:textId="77777777" w:rsidR="00917E4B" w:rsidRPr="008A2E5A" w:rsidRDefault="00917E4B" w:rsidP="004C5D62">
            <w:pPr>
              <w:spacing w:after="0" w:line="240" w:lineRule="auto"/>
              <w:jc w:val="both"/>
              <w:rPr>
                <w:color w:val="0070C0"/>
                <w:sz w:val="16"/>
                <w:szCs w:val="16"/>
              </w:rPr>
            </w:pPr>
          </w:p>
        </w:tc>
      </w:tr>
      <w:tr w:rsidR="00917E4B" w:rsidRPr="008A2E5A" w14:paraId="5B9546FF" w14:textId="77777777" w:rsidTr="004C5D62">
        <w:tc>
          <w:tcPr>
            <w:tcW w:w="821" w:type="dxa"/>
          </w:tcPr>
          <w:p w14:paraId="7B1E4300" w14:textId="77777777" w:rsidR="00917E4B" w:rsidRPr="008A2E5A" w:rsidRDefault="00917E4B" w:rsidP="004C5D62">
            <w:pPr>
              <w:spacing w:after="0" w:line="240" w:lineRule="auto"/>
              <w:jc w:val="both"/>
              <w:rPr>
                <w:color w:val="0070C0"/>
                <w:sz w:val="16"/>
                <w:szCs w:val="16"/>
              </w:rPr>
            </w:pPr>
            <w:r w:rsidRPr="008A2E5A">
              <w:rPr>
                <w:color w:val="0070C0"/>
                <w:sz w:val="16"/>
                <w:szCs w:val="16"/>
              </w:rPr>
              <w:t>Шашки обр. 1927 г. е гн|ездом1</w:t>
            </w:r>
          </w:p>
        </w:tc>
        <w:tc>
          <w:tcPr>
            <w:tcW w:w="821" w:type="dxa"/>
          </w:tcPr>
          <w:p w14:paraId="52FD3F00" w14:textId="77777777" w:rsidR="00917E4B" w:rsidRPr="008A2E5A" w:rsidRDefault="00917E4B" w:rsidP="004C5D62">
            <w:pPr>
              <w:spacing w:after="0" w:line="240" w:lineRule="auto"/>
              <w:jc w:val="both"/>
              <w:rPr>
                <w:color w:val="0070C0"/>
                <w:sz w:val="16"/>
                <w:szCs w:val="16"/>
              </w:rPr>
            </w:pPr>
            <w:r w:rsidRPr="008A2E5A">
              <w:rPr>
                <w:color w:val="0070C0"/>
                <w:sz w:val="16"/>
                <w:szCs w:val="16"/>
              </w:rPr>
              <w:t>13 000</w:t>
            </w:r>
          </w:p>
        </w:tc>
        <w:tc>
          <w:tcPr>
            <w:tcW w:w="821" w:type="dxa"/>
          </w:tcPr>
          <w:p w14:paraId="5866C155" w14:textId="77777777" w:rsidR="00917E4B" w:rsidRPr="008A2E5A" w:rsidRDefault="00917E4B" w:rsidP="004C5D62">
            <w:pPr>
              <w:spacing w:after="0" w:line="240" w:lineRule="auto"/>
              <w:jc w:val="both"/>
              <w:rPr>
                <w:color w:val="0070C0"/>
                <w:sz w:val="16"/>
                <w:szCs w:val="16"/>
              </w:rPr>
            </w:pPr>
            <w:r w:rsidRPr="008A2E5A">
              <w:rPr>
                <w:color w:val="0070C0"/>
                <w:sz w:val="16"/>
                <w:szCs w:val="16"/>
              </w:rPr>
              <w:t>4500</w:t>
            </w:r>
          </w:p>
        </w:tc>
        <w:tc>
          <w:tcPr>
            <w:tcW w:w="821" w:type="dxa"/>
          </w:tcPr>
          <w:p w14:paraId="7913CE04"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2" w:type="dxa"/>
          </w:tcPr>
          <w:p w14:paraId="07D35E20" w14:textId="77777777" w:rsidR="00917E4B" w:rsidRPr="008A2E5A" w:rsidRDefault="00917E4B" w:rsidP="004C5D62">
            <w:pPr>
              <w:spacing w:after="0" w:line="240" w:lineRule="auto"/>
              <w:jc w:val="both"/>
              <w:rPr>
                <w:color w:val="0070C0"/>
                <w:sz w:val="16"/>
                <w:szCs w:val="16"/>
              </w:rPr>
            </w:pPr>
            <w:r w:rsidRPr="008A2E5A">
              <w:rPr>
                <w:color w:val="0070C0"/>
                <w:sz w:val="16"/>
                <w:szCs w:val="16"/>
              </w:rPr>
              <w:t>1480</w:t>
            </w:r>
          </w:p>
        </w:tc>
        <w:tc>
          <w:tcPr>
            <w:tcW w:w="822" w:type="dxa"/>
          </w:tcPr>
          <w:p w14:paraId="52CEB00A" w14:textId="77777777" w:rsidR="00917E4B" w:rsidRPr="008A2E5A" w:rsidRDefault="00917E4B" w:rsidP="004C5D62">
            <w:pPr>
              <w:spacing w:after="0" w:line="240" w:lineRule="auto"/>
              <w:jc w:val="both"/>
              <w:rPr>
                <w:color w:val="0070C0"/>
                <w:sz w:val="16"/>
                <w:szCs w:val="16"/>
              </w:rPr>
            </w:pPr>
            <w:r w:rsidRPr="008A2E5A">
              <w:rPr>
                <w:color w:val="0070C0"/>
                <w:sz w:val="16"/>
                <w:szCs w:val="16"/>
              </w:rPr>
              <w:t>12 000</w:t>
            </w:r>
          </w:p>
        </w:tc>
        <w:tc>
          <w:tcPr>
            <w:tcW w:w="822" w:type="dxa"/>
          </w:tcPr>
          <w:p w14:paraId="5E44553C" w14:textId="77777777" w:rsidR="00917E4B" w:rsidRPr="008A2E5A" w:rsidRDefault="00917E4B" w:rsidP="004C5D62">
            <w:pPr>
              <w:spacing w:after="0" w:line="240" w:lineRule="auto"/>
              <w:jc w:val="both"/>
              <w:rPr>
                <w:color w:val="0070C0"/>
                <w:sz w:val="16"/>
                <w:szCs w:val="16"/>
              </w:rPr>
            </w:pPr>
            <w:r w:rsidRPr="008A2E5A">
              <w:rPr>
                <w:color w:val="0070C0"/>
                <w:sz w:val="16"/>
                <w:szCs w:val="16"/>
              </w:rPr>
              <w:t>5784</w:t>
            </w:r>
          </w:p>
        </w:tc>
        <w:tc>
          <w:tcPr>
            <w:tcW w:w="822" w:type="dxa"/>
          </w:tcPr>
          <w:p w14:paraId="7E86C452" w14:textId="77777777" w:rsidR="00917E4B" w:rsidRPr="008A2E5A" w:rsidRDefault="00917E4B" w:rsidP="004C5D62">
            <w:pPr>
              <w:spacing w:after="0" w:line="240" w:lineRule="auto"/>
              <w:jc w:val="both"/>
              <w:rPr>
                <w:color w:val="0070C0"/>
                <w:sz w:val="16"/>
                <w:szCs w:val="16"/>
              </w:rPr>
            </w:pPr>
            <w:r w:rsidRPr="008A2E5A">
              <w:rPr>
                <w:color w:val="0070C0"/>
                <w:sz w:val="16"/>
                <w:szCs w:val="16"/>
              </w:rPr>
              <w:t>30 000</w:t>
            </w:r>
          </w:p>
        </w:tc>
        <w:tc>
          <w:tcPr>
            <w:tcW w:w="822" w:type="dxa"/>
          </w:tcPr>
          <w:p w14:paraId="132682B7" w14:textId="77777777" w:rsidR="00917E4B" w:rsidRPr="008A2E5A" w:rsidRDefault="00917E4B" w:rsidP="004C5D62">
            <w:pPr>
              <w:spacing w:after="0" w:line="240" w:lineRule="auto"/>
              <w:jc w:val="both"/>
              <w:rPr>
                <w:color w:val="0070C0"/>
                <w:sz w:val="16"/>
                <w:szCs w:val="16"/>
              </w:rPr>
            </w:pPr>
            <w:r w:rsidRPr="008A2E5A">
              <w:rPr>
                <w:color w:val="0070C0"/>
                <w:sz w:val="16"/>
                <w:szCs w:val="16"/>
              </w:rPr>
              <w:t>14 404</w:t>
            </w:r>
          </w:p>
        </w:tc>
        <w:tc>
          <w:tcPr>
            <w:tcW w:w="822" w:type="dxa"/>
          </w:tcPr>
          <w:p w14:paraId="477162F3" w14:textId="77777777" w:rsidR="00917E4B" w:rsidRPr="008A2E5A" w:rsidRDefault="00917E4B" w:rsidP="004C5D62">
            <w:pPr>
              <w:spacing w:after="0" w:line="240" w:lineRule="auto"/>
              <w:jc w:val="both"/>
              <w:rPr>
                <w:color w:val="0070C0"/>
                <w:sz w:val="16"/>
                <w:szCs w:val="16"/>
              </w:rPr>
            </w:pPr>
          </w:p>
        </w:tc>
        <w:tc>
          <w:tcPr>
            <w:tcW w:w="822" w:type="dxa"/>
          </w:tcPr>
          <w:p w14:paraId="63EDCE28" w14:textId="77777777" w:rsidR="00917E4B" w:rsidRPr="008A2E5A" w:rsidRDefault="00917E4B" w:rsidP="004C5D62">
            <w:pPr>
              <w:spacing w:after="0" w:line="240" w:lineRule="auto"/>
              <w:jc w:val="both"/>
              <w:rPr>
                <w:color w:val="0070C0"/>
                <w:sz w:val="16"/>
                <w:szCs w:val="16"/>
              </w:rPr>
            </w:pPr>
          </w:p>
        </w:tc>
        <w:tc>
          <w:tcPr>
            <w:tcW w:w="822" w:type="dxa"/>
          </w:tcPr>
          <w:p w14:paraId="350AB21E" w14:textId="77777777" w:rsidR="00917E4B" w:rsidRPr="008A2E5A" w:rsidRDefault="00917E4B" w:rsidP="004C5D62">
            <w:pPr>
              <w:spacing w:after="0" w:line="240" w:lineRule="auto"/>
              <w:jc w:val="both"/>
              <w:rPr>
                <w:color w:val="0070C0"/>
                <w:sz w:val="16"/>
                <w:szCs w:val="16"/>
              </w:rPr>
            </w:pPr>
          </w:p>
        </w:tc>
        <w:tc>
          <w:tcPr>
            <w:tcW w:w="822" w:type="dxa"/>
          </w:tcPr>
          <w:p w14:paraId="765FFDB7" w14:textId="77777777" w:rsidR="00917E4B" w:rsidRPr="008A2E5A" w:rsidRDefault="00917E4B" w:rsidP="004C5D62">
            <w:pPr>
              <w:spacing w:after="0" w:line="240" w:lineRule="auto"/>
              <w:jc w:val="both"/>
              <w:rPr>
                <w:color w:val="0070C0"/>
                <w:sz w:val="16"/>
                <w:szCs w:val="16"/>
              </w:rPr>
            </w:pPr>
          </w:p>
        </w:tc>
      </w:tr>
      <w:tr w:rsidR="00917E4B" w:rsidRPr="008A2E5A" w14:paraId="2B24663E" w14:textId="77777777" w:rsidTr="004C5D62">
        <w:tc>
          <w:tcPr>
            <w:tcW w:w="821" w:type="dxa"/>
          </w:tcPr>
          <w:p w14:paraId="08D185AC"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14,5-мм ПТРГД</w:t>
            </w:r>
          </w:p>
        </w:tc>
        <w:tc>
          <w:tcPr>
            <w:tcW w:w="821" w:type="dxa"/>
          </w:tcPr>
          <w:p w14:paraId="6901D393"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1" w:type="dxa"/>
          </w:tcPr>
          <w:p w14:paraId="061EA22C"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1" w:type="dxa"/>
          </w:tcPr>
          <w:p w14:paraId="60401772"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15D069BA"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7774BAF7" w14:textId="77777777" w:rsidR="00917E4B" w:rsidRPr="008A2E5A" w:rsidRDefault="00917E4B" w:rsidP="004C5D62">
            <w:pPr>
              <w:spacing w:after="0" w:line="240" w:lineRule="auto"/>
              <w:jc w:val="both"/>
              <w:rPr>
                <w:color w:val="0070C0"/>
                <w:sz w:val="16"/>
                <w:szCs w:val="16"/>
              </w:rPr>
            </w:pPr>
          </w:p>
        </w:tc>
        <w:tc>
          <w:tcPr>
            <w:tcW w:w="822" w:type="dxa"/>
          </w:tcPr>
          <w:p w14:paraId="543590FD"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26080C1C"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1DC54B9E" w14:textId="77777777" w:rsidR="00917E4B" w:rsidRPr="008A2E5A" w:rsidRDefault="00917E4B" w:rsidP="004C5D62">
            <w:pPr>
              <w:spacing w:after="0" w:line="240" w:lineRule="auto"/>
              <w:jc w:val="both"/>
              <w:rPr>
                <w:color w:val="0070C0"/>
                <w:sz w:val="16"/>
                <w:szCs w:val="16"/>
              </w:rPr>
            </w:pPr>
          </w:p>
        </w:tc>
        <w:tc>
          <w:tcPr>
            <w:tcW w:w="822" w:type="dxa"/>
          </w:tcPr>
          <w:p w14:paraId="34F29DC7" w14:textId="77777777" w:rsidR="00917E4B" w:rsidRPr="008A2E5A" w:rsidRDefault="00917E4B" w:rsidP="004C5D62">
            <w:pPr>
              <w:spacing w:after="0" w:line="240" w:lineRule="auto"/>
              <w:jc w:val="both"/>
              <w:rPr>
                <w:color w:val="0070C0"/>
                <w:sz w:val="16"/>
                <w:szCs w:val="16"/>
              </w:rPr>
            </w:pPr>
          </w:p>
        </w:tc>
        <w:tc>
          <w:tcPr>
            <w:tcW w:w="822" w:type="dxa"/>
          </w:tcPr>
          <w:p w14:paraId="5A9BA9AB" w14:textId="77777777" w:rsidR="00917E4B" w:rsidRPr="008A2E5A" w:rsidRDefault="00917E4B" w:rsidP="004C5D62">
            <w:pPr>
              <w:spacing w:after="0" w:line="240" w:lineRule="auto"/>
              <w:jc w:val="both"/>
              <w:rPr>
                <w:color w:val="0070C0"/>
                <w:sz w:val="16"/>
                <w:szCs w:val="16"/>
              </w:rPr>
            </w:pPr>
          </w:p>
        </w:tc>
        <w:tc>
          <w:tcPr>
            <w:tcW w:w="822" w:type="dxa"/>
          </w:tcPr>
          <w:p w14:paraId="20C8DED0" w14:textId="77777777" w:rsidR="00917E4B" w:rsidRPr="008A2E5A" w:rsidRDefault="00917E4B" w:rsidP="004C5D62">
            <w:pPr>
              <w:spacing w:after="0" w:line="240" w:lineRule="auto"/>
              <w:jc w:val="both"/>
              <w:rPr>
                <w:color w:val="0070C0"/>
                <w:sz w:val="16"/>
                <w:szCs w:val="16"/>
              </w:rPr>
            </w:pPr>
          </w:p>
        </w:tc>
        <w:tc>
          <w:tcPr>
            <w:tcW w:w="822" w:type="dxa"/>
          </w:tcPr>
          <w:p w14:paraId="5518954C" w14:textId="77777777" w:rsidR="00917E4B" w:rsidRPr="008A2E5A" w:rsidRDefault="00917E4B" w:rsidP="004C5D62">
            <w:pPr>
              <w:spacing w:after="0" w:line="240" w:lineRule="auto"/>
              <w:jc w:val="both"/>
              <w:rPr>
                <w:color w:val="0070C0"/>
                <w:sz w:val="16"/>
                <w:szCs w:val="16"/>
              </w:rPr>
            </w:pPr>
          </w:p>
        </w:tc>
      </w:tr>
      <w:tr w:rsidR="00917E4B" w:rsidRPr="008A2E5A" w14:paraId="2D085060" w14:textId="77777777" w:rsidTr="004C5D62">
        <w:tc>
          <w:tcPr>
            <w:tcW w:w="821" w:type="dxa"/>
          </w:tcPr>
          <w:p w14:paraId="2E732600"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14,5-мм ПТРС</w:t>
            </w:r>
          </w:p>
        </w:tc>
        <w:tc>
          <w:tcPr>
            <w:tcW w:w="821" w:type="dxa"/>
          </w:tcPr>
          <w:p w14:paraId="1285A0CD"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1" w:type="dxa"/>
          </w:tcPr>
          <w:p w14:paraId="2B7680EF"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1" w:type="dxa"/>
          </w:tcPr>
          <w:p w14:paraId="7C3D2DF5" w14:textId="77777777" w:rsidR="00917E4B" w:rsidRPr="008A2E5A" w:rsidRDefault="00917E4B" w:rsidP="004C5D62">
            <w:pPr>
              <w:spacing w:after="0" w:line="240" w:lineRule="auto"/>
              <w:jc w:val="both"/>
              <w:rPr>
                <w:color w:val="0070C0"/>
                <w:sz w:val="16"/>
                <w:szCs w:val="16"/>
              </w:rPr>
            </w:pPr>
          </w:p>
        </w:tc>
        <w:tc>
          <w:tcPr>
            <w:tcW w:w="822" w:type="dxa"/>
          </w:tcPr>
          <w:p w14:paraId="521907BD"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254AC1B1"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3FF56995"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44E06181"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6F096CAC" w14:textId="77777777" w:rsidR="00917E4B" w:rsidRPr="008A2E5A" w:rsidRDefault="00917E4B" w:rsidP="004C5D62">
            <w:pPr>
              <w:spacing w:after="0" w:line="240" w:lineRule="auto"/>
              <w:jc w:val="both"/>
              <w:rPr>
                <w:color w:val="0070C0"/>
                <w:sz w:val="16"/>
                <w:szCs w:val="16"/>
              </w:rPr>
            </w:pPr>
          </w:p>
        </w:tc>
        <w:tc>
          <w:tcPr>
            <w:tcW w:w="822" w:type="dxa"/>
          </w:tcPr>
          <w:p w14:paraId="579B0861" w14:textId="77777777" w:rsidR="00917E4B" w:rsidRPr="008A2E5A" w:rsidRDefault="00917E4B" w:rsidP="004C5D62">
            <w:pPr>
              <w:spacing w:after="0" w:line="240" w:lineRule="auto"/>
              <w:jc w:val="both"/>
              <w:rPr>
                <w:color w:val="0070C0"/>
                <w:sz w:val="16"/>
                <w:szCs w:val="16"/>
              </w:rPr>
            </w:pPr>
          </w:p>
        </w:tc>
        <w:tc>
          <w:tcPr>
            <w:tcW w:w="822" w:type="dxa"/>
          </w:tcPr>
          <w:p w14:paraId="719D61DA" w14:textId="77777777" w:rsidR="00917E4B" w:rsidRPr="008A2E5A" w:rsidRDefault="00917E4B" w:rsidP="004C5D62">
            <w:pPr>
              <w:spacing w:after="0" w:line="240" w:lineRule="auto"/>
              <w:jc w:val="both"/>
              <w:rPr>
                <w:color w:val="0070C0"/>
                <w:sz w:val="16"/>
                <w:szCs w:val="16"/>
              </w:rPr>
            </w:pPr>
          </w:p>
        </w:tc>
        <w:tc>
          <w:tcPr>
            <w:tcW w:w="822" w:type="dxa"/>
          </w:tcPr>
          <w:p w14:paraId="3DBFE89F" w14:textId="77777777" w:rsidR="00917E4B" w:rsidRPr="008A2E5A" w:rsidRDefault="00917E4B" w:rsidP="004C5D62">
            <w:pPr>
              <w:spacing w:after="0" w:line="240" w:lineRule="auto"/>
              <w:jc w:val="both"/>
              <w:rPr>
                <w:color w:val="0070C0"/>
                <w:sz w:val="16"/>
                <w:szCs w:val="16"/>
              </w:rPr>
            </w:pPr>
          </w:p>
        </w:tc>
        <w:tc>
          <w:tcPr>
            <w:tcW w:w="822" w:type="dxa"/>
          </w:tcPr>
          <w:p w14:paraId="064C027E" w14:textId="77777777" w:rsidR="00917E4B" w:rsidRPr="008A2E5A" w:rsidRDefault="00917E4B" w:rsidP="004C5D62">
            <w:pPr>
              <w:spacing w:after="0" w:line="240" w:lineRule="auto"/>
              <w:jc w:val="both"/>
              <w:rPr>
                <w:color w:val="0070C0"/>
                <w:sz w:val="16"/>
                <w:szCs w:val="16"/>
              </w:rPr>
            </w:pPr>
          </w:p>
        </w:tc>
      </w:tr>
      <w:tr w:rsidR="00917E4B" w:rsidRPr="008A2E5A" w14:paraId="26C68B26" w14:textId="77777777" w:rsidTr="004C5D62">
        <w:tc>
          <w:tcPr>
            <w:tcW w:w="821" w:type="dxa"/>
          </w:tcPr>
          <w:p w14:paraId="330039FC" w14:textId="77777777" w:rsidR="00917E4B" w:rsidRPr="008A2E5A" w:rsidRDefault="00917E4B" w:rsidP="004C5D62">
            <w:pPr>
              <w:spacing w:after="0" w:line="240" w:lineRule="auto"/>
              <w:jc w:val="both"/>
              <w:rPr>
                <w:color w:val="0070C0"/>
                <w:sz w:val="16"/>
                <w:szCs w:val="16"/>
              </w:rPr>
            </w:pPr>
            <w:r w:rsidRPr="008A2E5A">
              <w:rPr>
                <w:color w:val="0070C0"/>
                <w:sz w:val="16"/>
                <w:szCs w:val="16"/>
              </w:rPr>
              <w:t>Оптический прицел к пулемету «Максим»</w:t>
            </w:r>
          </w:p>
        </w:tc>
        <w:tc>
          <w:tcPr>
            <w:tcW w:w="821" w:type="dxa"/>
          </w:tcPr>
          <w:p w14:paraId="2ABD3A7C" w14:textId="77777777" w:rsidR="00917E4B" w:rsidRPr="008A2E5A" w:rsidRDefault="00917E4B" w:rsidP="004C5D62">
            <w:pPr>
              <w:spacing w:after="0" w:line="240" w:lineRule="auto"/>
              <w:jc w:val="both"/>
              <w:rPr>
                <w:color w:val="0070C0"/>
                <w:sz w:val="16"/>
                <w:szCs w:val="16"/>
              </w:rPr>
            </w:pPr>
            <w:r w:rsidRPr="008A2E5A">
              <w:rPr>
                <w:color w:val="0070C0"/>
                <w:sz w:val="16"/>
                <w:szCs w:val="16"/>
              </w:rPr>
              <w:t>1750</w:t>
            </w:r>
          </w:p>
        </w:tc>
        <w:tc>
          <w:tcPr>
            <w:tcW w:w="821" w:type="dxa"/>
          </w:tcPr>
          <w:p w14:paraId="38797AE4" w14:textId="77777777" w:rsidR="00917E4B" w:rsidRPr="008A2E5A" w:rsidRDefault="00917E4B" w:rsidP="004C5D62">
            <w:pPr>
              <w:spacing w:after="0" w:line="240" w:lineRule="auto"/>
              <w:jc w:val="both"/>
              <w:rPr>
                <w:color w:val="0070C0"/>
                <w:sz w:val="16"/>
                <w:szCs w:val="16"/>
              </w:rPr>
            </w:pPr>
            <w:r w:rsidRPr="008A2E5A">
              <w:rPr>
                <w:color w:val="0070C0"/>
                <w:sz w:val="16"/>
                <w:szCs w:val="16"/>
              </w:rPr>
              <w:t>945</w:t>
            </w:r>
          </w:p>
        </w:tc>
        <w:tc>
          <w:tcPr>
            <w:tcW w:w="821" w:type="dxa"/>
          </w:tcPr>
          <w:p w14:paraId="276C607C"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2" w:type="dxa"/>
          </w:tcPr>
          <w:p w14:paraId="03BE3EDB" w14:textId="77777777" w:rsidR="00917E4B" w:rsidRPr="008A2E5A" w:rsidRDefault="00917E4B" w:rsidP="004C5D62">
            <w:pPr>
              <w:spacing w:after="0" w:line="240" w:lineRule="auto"/>
              <w:jc w:val="both"/>
              <w:rPr>
                <w:color w:val="0070C0"/>
                <w:sz w:val="16"/>
                <w:szCs w:val="16"/>
              </w:rPr>
            </w:pPr>
            <w:r w:rsidRPr="008A2E5A">
              <w:rPr>
                <w:color w:val="0070C0"/>
                <w:sz w:val="16"/>
                <w:szCs w:val="16"/>
              </w:rPr>
              <w:t>301</w:t>
            </w:r>
          </w:p>
        </w:tc>
        <w:tc>
          <w:tcPr>
            <w:tcW w:w="822" w:type="dxa"/>
          </w:tcPr>
          <w:p w14:paraId="347E07D0" w14:textId="77777777" w:rsidR="00917E4B" w:rsidRPr="008A2E5A" w:rsidRDefault="00917E4B" w:rsidP="004C5D62">
            <w:pPr>
              <w:spacing w:after="0" w:line="240" w:lineRule="auto"/>
              <w:jc w:val="both"/>
              <w:rPr>
                <w:color w:val="0070C0"/>
                <w:sz w:val="16"/>
                <w:szCs w:val="16"/>
              </w:rPr>
            </w:pPr>
            <w:r w:rsidRPr="008A2E5A">
              <w:rPr>
                <w:color w:val="0070C0"/>
                <w:sz w:val="16"/>
                <w:szCs w:val="16"/>
              </w:rPr>
              <w:t>450</w:t>
            </w:r>
          </w:p>
        </w:tc>
        <w:tc>
          <w:tcPr>
            <w:tcW w:w="822" w:type="dxa"/>
          </w:tcPr>
          <w:p w14:paraId="61FE8F80" w14:textId="77777777" w:rsidR="00917E4B" w:rsidRPr="008A2E5A" w:rsidRDefault="00917E4B" w:rsidP="004C5D62">
            <w:pPr>
              <w:spacing w:after="0" w:line="240" w:lineRule="auto"/>
              <w:jc w:val="both"/>
              <w:rPr>
                <w:color w:val="0070C0"/>
                <w:sz w:val="16"/>
                <w:szCs w:val="16"/>
              </w:rPr>
            </w:pPr>
            <w:r w:rsidRPr="008A2E5A">
              <w:rPr>
                <w:color w:val="0070C0"/>
                <w:sz w:val="16"/>
                <w:szCs w:val="16"/>
              </w:rPr>
              <w:t>82</w:t>
            </w:r>
          </w:p>
        </w:tc>
        <w:tc>
          <w:tcPr>
            <w:tcW w:w="822" w:type="dxa"/>
          </w:tcPr>
          <w:p w14:paraId="7DD412A3" w14:textId="77777777" w:rsidR="00917E4B" w:rsidRPr="008A2E5A" w:rsidRDefault="00917E4B" w:rsidP="004C5D62">
            <w:pPr>
              <w:spacing w:after="0" w:line="240" w:lineRule="auto"/>
              <w:jc w:val="both"/>
              <w:rPr>
                <w:color w:val="0070C0"/>
                <w:sz w:val="16"/>
                <w:szCs w:val="16"/>
              </w:rPr>
            </w:pPr>
          </w:p>
        </w:tc>
        <w:tc>
          <w:tcPr>
            <w:tcW w:w="822" w:type="dxa"/>
          </w:tcPr>
          <w:p w14:paraId="4BDC020E" w14:textId="77777777" w:rsidR="00917E4B" w:rsidRPr="008A2E5A" w:rsidRDefault="00917E4B" w:rsidP="004C5D62">
            <w:pPr>
              <w:spacing w:after="0" w:line="240" w:lineRule="auto"/>
              <w:jc w:val="both"/>
              <w:rPr>
                <w:color w:val="0070C0"/>
                <w:sz w:val="16"/>
                <w:szCs w:val="16"/>
              </w:rPr>
            </w:pPr>
          </w:p>
        </w:tc>
        <w:tc>
          <w:tcPr>
            <w:tcW w:w="822" w:type="dxa"/>
          </w:tcPr>
          <w:p w14:paraId="5247C341" w14:textId="77777777" w:rsidR="00917E4B" w:rsidRPr="008A2E5A" w:rsidRDefault="00917E4B" w:rsidP="004C5D62">
            <w:pPr>
              <w:spacing w:after="0" w:line="240" w:lineRule="auto"/>
              <w:jc w:val="both"/>
              <w:rPr>
                <w:color w:val="0070C0"/>
                <w:sz w:val="16"/>
                <w:szCs w:val="16"/>
              </w:rPr>
            </w:pPr>
          </w:p>
        </w:tc>
        <w:tc>
          <w:tcPr>
            <w:tcW w:w="822" w:type="dxa"/>
          </w:tcPr>
          <w:p w14:paraId="261A6B3B" w14:textId="77777777" w:rsidR="00917E4B" w:rsidRPr="008A2E5A" w:rsidRDefault="00917E4B" w:rsidP="004C5D62">
            <w:pPr>
              <w:spacing w:after="0" w:line="240" w:lineRule="auto"/>
              <w:jc w:val="both"/>
              <w:rPr>
                <w:color w:val="0070C0"/>
                <w:sz w:val="16"/>
                <w:szCs w:val="16"/>
              </w:rPr>
            </w:pPr>
          </w:p>
        </w:tc>
        <w:tc>
          <w:tcPr>
            <w:tcW w:w="822" w:type="dxa"/>
          </w:tcPr>
          <w:p w14:paraId="5E908F5F" w14:textId="77777777" w:rsidR="00917E4B" w:rsidRPr="008A2E5A" w:rsidRDefault="00917E4B" w:rsidP="004C5D62">
            <w:pPr>
              <w:spacing w:after="0" w:line="240" w:lineRule="auto"/>
              <w:jc w:val="both"/>
              <w:rPr>
                <w:color w:val="0070C0"/>
                <w:sz w:val="16"/>
                <w:szCs w:val="16"/>
              </w:rPr>
            </w:pPr>
          </w:p>
        </w:tc>
        <w:tc>
          <w:tcPr>
            <w:tcW w:w="822" w:type="dxa"/>
          </w:tcPr>
          <w:p w14:paraId="6AD920A7" w14:textId="77777777" w:rsidR="00917E4B" w:rsidRPr="008A2E5A" w:rsidRDefault="00917E4B" w:rsidP="004C5D62">
            <w:pPr>
              <w:spacing w:after="0" w:line="240" w:lineRule="auto"/>
              <w:jc w:val="both"/>
              <w:rPr>
                <w:color w:val="0070C0"/>
                <w:sz w:val="16"/>
                <w:szCs w:val="16"/>
              </w:rPr>
            </w:pPr>
          </w:p>
        </w:tc>
      </w:tr>
      <w:tr w:rsidR="00917E4B" w:rsidRPr="008A2E5A" w14:paraId="1B9E8B3C" w14:textId="77777777" w:rsidTr="004C5D62">
        <w:tc>
          <w:tcPr>
            <w:tcW w:w="821" w:type="dxa"/>
          </w:tcPr>
          <w:p w14:paraId="29D4FA9C" w14:textId="77777777" w:rsidR="00917E4B" w:rsidRPr="008A2E5A" w:rsidRDefault="00917E4B" w:rsidP="004C5D62">
            <w:pPr>
              <w:spacing w:after="0" w:line="240" w:lineRule="auto"/>
              <w:jc w:val="both"/>
              <w:rPr>
                <w:color w:val="0070C0"/>
                <w:sz w:val="16"/>
                <w:szCs w:val="16"/>
              </w:rPr>
            </w:pPr>
            <w:r w:rsidRPr="008A2E5A">
              <w:rPr>
                <w:color w:val="0070C0"/>
                <w:sz w:val="16"/>
                <w:szCs w:val="16"/>
              </w:rPr>
              <w:t>ТМФПкДШК</w:t>
            </w:r>
          </w:p>
        </w:tc>
        <w:tc>
          <w:tcPr>
            <w:tcW w:w="821" w:type="dxa"/>
          </w:tcPr>
          <w:p w14:paraId="6A9F0949" w14:textId="77777777" w:rsidR="00917E4B" w:rsidRPr="008A2E5A" w:rsidRDefault="00917E4B" w:rsidP="004C5D62">
            <w:pPr>
              <w:spacing w:after="0" w:line="240" w:lineRule="auto"/>
              <w:jc w:val="both"/>
              <w:rPr>
                <w:color w:val="0070C0"/>
                <w:sz w:val="16"/>
                <w:szCs w:val="16"/>
              </w:rPr>
            </w:pPr>
            <w:r w:rsidRPr="008A2E5A">
              <w:rPr>
                <w:color w:val="0070C0"/>
                <w:sz w:val="16"/>
                <w:szCs w:val="16"/>
              </w:rPr>
              <w:t>455</w:t>
            </w:r>
          </w:p>
        </w:tc>
        <w:tc>
          <w:tcPr>
            <w:tcW w:w="821" w:type="dxa"/>
          </w:tcPr>
          <w:p w14:paraId="723434D2" w14:textId="77777777" w:rsidR="00917E4B" w:rsidRPr="008A2E5A" w:rsidRDefault="00917E4B" w:rsidP="004C5D62">
            <w:pPr>
              <w:spacing w:after="0" w:line="240" w:lineRule="auto"/>
              <w:jc w:val="both"/>
              <w:rPr>
                <w:color w:val="0070C0"/>
                <w:sz w:val="16"/>
                <w:szCs w:val="16"/>
              </w:rPr>
            </w:pPr>
            <w:r w:rsidRPr="008A2E5A">
              <w:rPr>
                <w:color w:val="0070C0"/>
                <w:sz w:val="16"/>
                <w:szCs w:val="16"/>
              </w:rPr>
              <w:t>329</w:t>
            </w:r>
          </w:p>
        </w:tc>
        <w:tc>
          <w:tcPr>
            <w:tcW w:w="821" w:type="dxa"/>
          </w:tcPr>
          <w:p w14:paraId="57DB4D6E" w14:textId="77777777" w:rsidR="00917E4B" w:rsidRPr="008A2E5A" w:rsidRDefault="00917E4B" w:rsidP="004C5D62">
            <w:pPr>
              <w:spacing w:after="0" w:line="240" w:lineRule="auto"/>
              <w:jc w:val="both"/>
              <w:rPr>
                <w:color w:val="0070C0"/>
                <w:sz w:val="16"/>
                <w:szCs w:val="16"/>
              </w:rPr>
            </w:pPr>
            <w:r w:rsidRPr="008A2E5A">
              <w:rPr>
                <w:color w:val="0070C0"/>
                <w:sz w:val="16"/>
                <w:szCs w:val="16"/>
              </w:rPr>
              <w:t>131</w:t>
            </w:r>
          </w:p>
        </w:tc>
        <w:tc>
          <w:tcPr>
            <w:tcW w:w="822" w:type="dxa"/>
          </w:tcPr>
          <w:p w14:paraId="13365998" w14:textId="77777777" w:rsidR="00917E4B" w:rsidRPr="008A2E5A" w:rsidRDefault="00917E4B" w:rsidP="004C5D62">
            <w:pPr>
              <w:spacing w:after="0" w:line="240" w:lineRule="auto"/>
              <w:jc w:val="both"/>
              <w:rPr>
                <w:color w:val="0070C0"/>
                <w:sz w:val="16"/>
                <w:szCs w:val="16"/>
              </w:rPr>
            </w:pPr>
            <w:r w:rsidRPr="008A2E5A">
              <w:rPr>
                <w:color w:val="0070C0"/>
                <w:sz w:val="16"/>
                <w:szCs w:val="16"/>
              </w:rPr>
              <w:t>131</w:t>
            </w:r>
          </w:p>
        </w:tc>
        <w:tc>
          <w:tcPr>
            <w:tcW w:w="822" w:type="dxa"/>
          </w:tcPr>
          <w:p w14:paraId="2717CD86" w14:textId="77777777" w:rsidR="00917E4B" w:rsidRPr="008A2E5A" w:rsidRDefault="00917E4B" w:rsidP="004C5D62">
            <w:pPr>
              <w:spacing w:after="0" w:line="240" w:lineRule="auto"/>
              <w:jc w:val="both"/>
              <w:rPr>
                <w:color w:val="0070C0"/>
                <w:sz w:val="16"/>
                <w:szCs w:val="16"/>
              </w:rPr>
            </w:pPr>
            <w:r w:rsidRPr="008A2E5A">
              <w:rPr>
                <w:color w:val="0070C0"/>
                <w:sz w:val="16"/>
                <w:szCs w:val="16"/>
              </w:rPr>
              <w:t>119</w:t>
            </w:r>
          </w:p>
        </w:tc>
        <w:tc>
          <w:tcPr>
            <w:tcW w:w="822" w:type="dxa"/>
          </w:tcPr>
          <w:p w14:paraId="57345516" w14:textId="77777777" w:rsidR="00917E4B" w:rsidRPr="008A2E5A" w:rsidRDefault="00917E4B" w:rsidP="004C5D62">
            <w:pPr>
              <w:spacing w:after="0" w:line="240" w:lineRule="auto"/>
              <w:jc w:val="both"/>
              <w:rPr>
                <w:color w:val="0070C0"/>
                <w:sz w:val="16"/>
                <w:szCs w:val="16"/>
              </w:rPr>
            </w:pPr>
            <w:r w:rsidRPr="008A2E5A">
              <w:rPr>
                <w:color w:val="0070C0"/>
                <w:sz w:val="16"/>
                <w:szCs w:val="16"/>
              </w:rPr>
              <w:t>282</w:t>
            </w:r>
          </w:p>
        </w:tc>
        <w:tc>
          <w:tcPr>
            <w:tcW w:w="822" w:type="dxa"/>
          </w:tcPr>
          <w:p w14:paraId="0DB10ACE" w14:textId="77777777" w:rsidR="00917E4B" w:rsidRPr="008A2E5A" w:rsidRDefault="00917E4B" w:rsidP="004C5D62">
            <w:pPr>
              <w:spacing w:after="0" w:line="240" w:lineRule="auto"/>
              <w:jc w:val="both"/>
              <w:rPr>
                <w:color w:val="0070C0"/>
                <w:sz w:val="16"/>
                <w:szCs w:val="16"/>
              </w:rPr>
            </w:pPr>
          </w:p>
        </w:tc>
        <w:tc>
          <w:tcPr>
            <w:tcW w:w="822" w:type="dxa"/>
          </w:tcPr>
          <w:p w14:paraId="5BF84432" w14:textId="77777777" w:rsidR="00917E4B" w:rsidRPr="008A2E5A" w:rsidRDefault="00917E4B" w:rsidP="004C5D62">
            <w:pPr>
              <w:spacing w:after="0" w:line="240" w:lineRule="auto"/>
              <w:jc w:val="both"/>
              <w:rPr>
                <w:color w:val="0070C0"/>
                <w:sz w:val="16"/>
                <w:szCs w:val="16"/>
              </w:rPr>
            </w:pPr>
            <w:r w:rsidRPr="008A2E5A">
              <w:rPr>
                <w:color w:val="0070C0"/>
                <w:sz w:val="16"/>
                <w:szCs w:val="16"/>
              </w:rPr>
              <w:t>26</w:t>
            </w:r>
          </w:p>
        </w:tc>
        <w:tc>
          <w:tcPr>
            <w:tcW w:w="822" w:type="dxa"/>
          </w:tcPr>
          <w:p w14:paraId="5E5D1751" w14:textId="77777777" w:rsidR="00917E4B" w:rsidRPr="008A2E5A" w:rsidRDefault="00917E4B" w:rsidP="004C5D62">
            <w:pPr>
              <w:spacing w:after="0" w:line="240" w:lineRule="auto"/>
              <w:jc w:val="both"/>
              <w:rPr>
                <w:color w:val="0070C0"/>
                <w:sz w:val="16"/>
                <w:szCs w:val="16"/>
              </w:rPr>
            </w:pPr>
          </w:p>
        </w:tc>
        <w:tc>
          <w:tcPr>
            <w:tcW w:w="822" w:type="dxa"/>
          </w:tcPr>
          <w:p w14:paraId="34546082" w14:textId="77777777" w:rsidR="00917E4B" w:rsidRPr="008A2E5A" w:rsidRDefault="00917E4B" w:rsidP="004C5D62">
            <w:pPr>
              <w:spacing w:after="0" w:line="240" w:lineRule="auto"/>
              <w:jc w:val="both"/>
              <w:rPr>
                <w:color w:val="0070C0"/>
                <w:sz w:val="16"/>
                <w:szCs w:val="16"/>
              </w:rPr>
            </w:pPr>
          </w:p>
        </w:tc>
        <w:tc>
          <w:tcPr>
            <w:tcW w:w="822" w:type="dxa"/>
          </w:tcPr>
          <w:p w14:paraId="24072C27" w14:textId="77777777" w:rsidR="00917E4B" w:rsidRPr="008A2E5A" w:rsidRDefault="00917E4B" w:rsidP="004C5D62">
            <w:pPr>
              <w:spacing w:after="0" w:line="240" w:lineRule="auto"/>
              <w:jc w:val="both"/>
              <w:rPr>
                <w:color w:val="0070C0"/>
                <w:sz w:val="16"/>
                <w:szCs w:val="16"/>
              </w:rPr>
            </w:pPr>
          </w:p>
        </w:tc>
        <w:tc>
          <w:tcPr>
            <w:tcW w:w="822" w:type="dxa"/>
          </w:tcPr>
          <w:p w14:paraId="42358E3D" w14:textId="77777777" w:rsidR="00917E4B" w:rsidRPr="008A2E5A" w:rsidRDefault="00917E4B" w:rsidP="004C5D62">
            <w:pPr>
              <w:spacing w:after="0" w:line="240" w:lineRule="auto"/>
              <w:jc w:val="both"/>
              <w:rPr>
                <w:color w:val="0070C0"/>
                <w:sz w:val="16"/>
                <w:szCs w:val="16"/>
              </w:rPr>
            </w:pPr>
          </w:p>
        </w:tc>
      </w:tr>
      <w:tr w:rsidR="00917E4B" w:rsidRPr="008A2E5A" w14:paraId="28F5FA5E" w14:textId="77777777" w:rsidTr="004C5D62">
        <w:tc>
          <w:tcPr>
            <w:tcW w:w="821" w:type="dxa"/>
          </w:tcPr>
          <w:p w14:paraId="2C5044CE" w14:textId="77777777" w:rsidR="00917E4B" w:rsidRPr="008A2E5A" w:rsidRDefault="00917E4B" w:rsidP="004C5D62">
            <w:pPr>
              <w:spacing w:after="0" w:line="240" w:lineRule="auto"/>
              <w:jc w:val="both"/>
              <w:rPr>
                <w:color w:val="0070C0"/>
                <w:sz w:val="16"/>
                <w:szCs w:val="16"/>
              </w:rPr>
            </w:pPr>
            <w:r w:rsidRPr="008A2E5A">
              <w:rPr>
                <w:color w:val="0070C0"/>
                <w:sz w:val="16"/>
                <w:szCs w:val="16"/>
              </w:rPr>
              <w:t>ТМФП к ШВАК</w:t>
            </w:r>
          </w:p>
        </w:tc>
        <w:tc>
          <w:tcPr>
            <w:tcW w:w="821" w:type="dxa"/>
          </w:tcPr>
          <w:p w14:paraId="1E6C5BAB" w14:textId="77777777" w:rsidR="00917E4B" w:rsidRPr="008A2E5A" w:rsidRDefault="00917E4B" w:rsidP="004C5D62">
            <w:pPr>
              <w:spacing w:after="0" w:line="240" w:lineRule="auto"/>
              <w:jc w:val="both"/>
              <w:rPr>
                <w:color w:val="0070C0"/>
                <w:sz w:val="16"/>
                <w:szCs w:val="16"/>
              </w:rPr>
            </w:pPr>
            <w:r w:rsidRPr="008A2E5A">
              <w:rPr>
                <w:color w:val="0070C0"/>
                <w:sz w:val="16"/>
                <w:szCs w:val="16"/>
              </w:rPr>
              <w:t>.. - .</w:t>
            </w:r>
          </w:p>
        </w:tc>
        <w:tc>
          <w:tcPr>
            <w:tcW w:w="821" w:type="dxa"/>
          </w:tcPr>
          <w:p w14:paraId="3E0577E0" w14:textId="77777777" w:rsidR="00917E4B" w:rsidRPr="008A2E5A" w:rsidRDefault="00917E4B" w:rsidP="004C5D62">
            <w:pPr>
              <w:spacing w:after="0" w:line="240" w:lineRule="auto"/>
              <w:jc w:val="both"/>
              <w:rPr>
                <w:color w:val="0070C0"/>
                <w:sz w:val="16"/>
                <w:szCs w:val="16"/>
              </w:rPr>
            </w:pPr>
          </w:p>
        </w:tc>
        <w:tc>
          <w:tcPr>
            <w:tcW w:w="821" w:type="dxa"/>
          </w:tcPr>
          <w:p w14:paraId="72D4B486" w14:textId="77777777" w:rsidR="00917E4B" w:rsidRPr="008A2E5A" w:rsidRDefault="00917E4B" w:rsidP="004C5D62">
            <w:pPr>
              <w:spacing w:after="0" w:line="240" w:lineRule="auto"/>
              <w:jc w:val="both"/>
              <w:rPr>
                <w:color w:val="0070C0"/>
                <w:sz w:val="16"/>
                <w:szCs w:val="16"/>
              </w:rPr>
            </w:pPr>
          </w:p>
        </w:tc>
        <w:tc>
          <w:tcPr>
            <w:tcW w:w="822" w:type="dxa"/>
          </w:tcPr>
          <w:p w14:paraId="651E64F3" w14:textId="77777777" w:rsidR="00917E4B" w:rsidRPr="008A2E5A" w:rsidRDefault="00917E4B" w:rsidP="004C5D62">
            <w:pPr>
              <w:spacing w:after="0" w:line="240" w:lineRule="auto"/>
              <w:jc w:val="both"/>
              <w:rPr>
                <w:color w:val="0070C0"/>
                <w:sz w:val="16"/>
                <w:szCs w:val="16"/>
              </w:rPr>
            </w:pPr>
          </w:p>
        </w:tc>
        <w:tc>
          <w:tcPr>
            <w:tcW w:w="822" w:type="dxa"/>
          </w:tcPr>
          <w:p w14:paraId="5A13AA3F"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w:t>
            </w:r>
          </w:p>
        </w:tc>
        <w:tc>
          <w:tcPr>
            <w:tcW w:w="822" w:type="dxa"/>
          </w:tcPr>
          <w:p w14:paraId="3F772946" w14:textId="77777777" w:rsidR="00917E4B" w:rsidRPr="008A2E5A" w:rsidRDefault="00917E4B" w:rsidP="004C5D62">
            <w:pPr>
              <w:spacing w:after="0" w:line="240" w:lineRule="auto"/>
              <w:jc w:val="both"/>
              <w:rPr>
                <w:color w:val="0070C0"/>
                <w:sz w:val="16"/>
                <w:szCs w:val="16"/>
              </w:rPr>
            </w:pPr>
            <w:r w:rsidRPr="008A2E5A">
              <w:rPr>
                <w:color w:val="0070C0"/>
                <w:sz w:val="16"/>
                <w:szCs w:val="16"/>
              </w:rPr>
              <w:t>297</w:t>
            </w:r>
          </w:p>
        </w:tc>
        <w:tc>
          <w:tcPr>
            <w:tcW w:w="822" w:type="dxa"/>
          </w:tcPr>
          <w:p w14:paraId="59773BF8"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1450</w:t>
            </w:r>
          </w:p>
        </w:tc>
        <w:tc>
          <w:tcPr>
            <w:tcW w:w="822" w:type="dxa"/>
          </w:tcPr>
          <w:p w14:paraId="4E447541" w14:textId="77777777" w:rsidR="00917E4B" w:rsidRPr="008A2E5A" w:rsidRDefault="00917E4B" w:rsidP="004C5D62">
            <w:pPr>
              <w:spacing w:after="0" w:line="240" w:lineRule="auto"/>
              <w:jc w:val="both"/>
              <w:rPr>
                <w:color w:val="0070C0"/>
                <w:sz w:val="16"/>
                <w:szCs w:val="16"/>
              </w:rPr>
            </w:pPr>
            <w:r w:rsidRPr="008A2E5A">
              <w:rPr>
                <w:color w:val="0070C0"/>
                <w:sz w:val="16"/>
                <w:szCs w:val="16"/>
              </w:rPr>
              <w:t>874</w:t>
            </w:r>
          </w:p>
        </w:tc>
        <w:tc>
          <w:tcPr>
            <w:tcW w:w="822" w:type="dxa"/>
          </w:tcPr>
          <w:p w14:paraId="3353287D" w14:textId="77777777" w:rsidR="00917E4B" w:rsidRPr="008A2E5A" w:rsidRDefault="00917E4B" w:rsidP="004C5D62">
            <w:pPr>
              <w:spacing w:after="0" w:line="240" w:lineRule="auto"/>
              <w:jc w:val="both"/>
              <w:rPr>
                <w:color w:val="0070C0"/>
                <w:sz w:val="16"/>
                <w:szCs w:val="16"/>
              </w:rPr>
            </w:pPr>
          </w:p>
        </w:tc>
        <w:tc>
          <w:tcPr>
            <w:tcW w:w="822" w:type="dxa"/>
          </w:tcPr>
          <w:p w14:paraId="18451024" w14:textId="77777777" w:rsidR="00917E4B" w:rsidRPr="008A2E5A" w:rsidRDefault="00917E4B" w:rsidP="004C5D62">
            <w:pPr>
              <w:spacing w:after="0" w:line="240" w:lineRule="auto"/>
              <w:jc w:val="both"/>
              <w:rPr>
                <w:color w:val="0070C0"/>
                <w:sz w:val="16"/>
                <w:szCs w:val="16"/>
              </w:rPr>
            </w:pPr>
          </w:p>
        </w:tc>
        <w:tc>
          <w:tcPr>
            <w:tcW w:w="822" w:type="dxa"/>
          </w:tcPr>
          <w:p w14:paraId="2C88E88E" w14:textId="77777777" w:rsidR="00917E4B" w:rsidRPr="008A2E5A" w:rsidRDefault="00917E4B" w:rsidP="004C5D62">
            <w:pPr>
              <w:spacing w:after="0" w:line="240" w:lineRule="auto"/>
              <w:jc w:val="both"/>
              <w:rPr>
                <w:color w:val="0070C0"/>
                <w:sz w:val="16"/>
                <w:szCs w:val="16"/>
              </w:rPr>
            </w:pPr>
          </w:p>
        </w:tc>
        <w:tc>
          <w:tcPr>
            <w:tcW w:w="822" w:type="dxa"/>
          </w:tcPr>
          <w:p w14:paraId="1B4E6143" w14:textId="77777777" w:rsidR="00917E4B" w:rsidRPr="008A2E5A" w:rsidRDefault="00917E4B" w:rsidP="004C5D62">
            <w:pPr>
              <w:spacing w:after="0" w:line="240" w:lineRule="auto"/>
              <w:jc w:val="both"/>
              <w:rPr>
                <w:color w:val="0070C0"/>
                <w:sz w:val="16"/>
                <w:szCs w:val="16"/>
              </w:rPr>
            </w:pPr>
          </w:p>
        </w:tc>
      </w:tr>
      <w:tr w:rsidR="00917E4B" w:rsidRPr="008A2E5A" w14:paraId="3C005364" w14:textId="77777777" w:rsidTr="004C5D62">
        <w:tc>
          <w:tcPr>
            <w:tcW w:w="821" w:type="dxa"/>
          </w:tcPr>
          <w:p w14:paraId="7F92B65F" w14:textId="77777777" w:rsidR="00917E4B" w:rsidRPr="008A2E5A" w:rsidRDefault="00917E4B" w:rsidP="004C5D62">
            <w:pPr>
              <w:spacing w:after="0" w:line="240" w:lineRule="auto"/>
              <w:jc w:val="both"/>
              <w:rPr>
                <w:color w:val="0070C0"/>
                <w:sz w:val="16"/>
                <w:szCs w:val="16"/>
              </w:rPr>
            </w:pPr>
            <w:r w:rsidRPr="008A2E5A">
              <w:rPr>
                <w:color w:val="0070C0"/>
                <w:sz w:val="16"/>
                <w:szCs w:val="16"/>
              </w:rPr>
              <w:t>Трубка холодной пристрелки к ШВАК</w:t>
            </w:r>
          </w:p>
        </w:tc>
        <w:tc>
          <w:tcPr>
            <w:tcW w:w="821" w:type="dxa"/>
          </w:tcPr>
          <w:p w14:paraId="3A6B4CA1" w14:textId="77777777" w:rsidR="00917E4B" w:rsidRPr="008A2E5A" w:rsidRDefault="00917E4B" w:rsidP="004C5D62">
            <w:pPr>
              <w:spacing w:after="0" w:line="240" w:lineRule="auto"/>
              <w:jc w:val="both"/>
              <w:rPr>
                <w:color w:val="0070C0"/>
                <w:sz w:val="16"/>
                <w:szCs w:val="16"/>
              </w:rPr>
            </w:pPr>
          </w:p>
        </w:tc>
        <w:tc>
          <w:tcPr>
            <w:tcW w:w="821" w:type="dxa"/>
          </w:tcPr>
          <w:p w14:paraId="4167888A" w14:textId="77777777" w:rsidR="00917E4B" w:rsidRPr="008A2E5A" w:rsidRDefault="00917E4B" w:rsidP="004C5D62">
            <w:pPr>
              <w:spacing w:after="0" w:line="240" w:lineRule="auto"/>
              <w:jc w:val="both"/>
              <w:rPr>
                <w:color w:val="0070C0"/>
                <w:sz w:val="16"/>
                <w:szCs w:val="16"/>
              </w:rPr>
            </w:pPr>
          </w:p>
        </w:tc>
        <w:tc>
          <w:tcPr>
            <w:tcW w:w="821" w:type="dxa"/>
          </w:tcPr>
          <w:p w14:paraId="3BEDFDFC" w14:textId="77777777" w:rsidR="00917E4B" w:rsidRPr="008A2E5A" w:rsidRDefault="00917E4B" w:rsidP="004C5D62">
            <w:pPr>
              <w:spacing w:after="0" w:line="240" w:lineRule="auto"/>
              <w:jc w:val="both"/>
              <w:rPr>
                <w:color w:val="0070C0"/>
                <w:sz w:val="16"/>
                <w:szCs w:val="16"/>
              </w:rPr>
            </w:pPr>
          </w:p>
        </w:tc>
        <w:tc>
          <w:tcPr>
            <w:tcW w:w="822" w:type="dxa"/>
          </w:tcPr>
          <w:p w14:paraId="34357CF2" w14:textId="77777777" w:rsidR="00917E4B" w:rsidRPr="008A2E5A" w:rsidRDefault="00917E4B" w:rsidP="004C5D62">
            <w:pPr>
              <w:spacing w:after="0" w:line="240" w:lineRule="auto"/>
              <w:jc w:val="both"/>
              <w:rPr>
                <w:color w:val="0070C0"/>
                <w:sz w:val="16"/>
                <w:szCs w:val="16"/>
              </w:rPr>
            </w:pPr>
          </w:p>
        </w:tc>
        <w:tc>
          <w:tcPr>
            <w:tcW w:w="822" w:type="dxa"/>
          </w:tcPr>
          <w:p w14:paraId="030725F0" w14:textId="77777777" w:rsidR="00917E4B" w:rsidRPr="008A2E5A" w:rsidRDefault="00917E4B" w:rsidP="004C5D62">
            <w:pPr>
              <w:spacing w:after="0" w:line="240" w:lineRule="auto"/>
              <w:jc w:val="both"/>
              <w:rPr>
                <w:color w:val="0070C0"/>
                <w:sz w:val="16"/>
                <w:szCs w:val="16"/>
              </w:rPr>
            </w:pPr>
          </w:p>
        </w:tc>
        <w:tc>
          <w:tcPr>
            <w:tcW w:w="822" w:type="dxa"/>
          </w:tcPr>
          <w:p w14:paraId="44470961" w14:textId="77777777" w:rsidR="00917E4B" w:rsidRPr="008A2E5A" w:rsidRDefault="00917E4B" w:rsidP="004C5D62">
            <w:pPr>
              <w:spacing w:after="0" w:line="240" w:lineRule="auto"/>
              <w:jc w:val="both"/>
              <w:rPr>
                <w:color w:val="0070C0"/>
                <w:sz w:val="16"/>
                <w:szCs w:val="16"/>
              </w:rPr>
            </w:pPr>
          </w:p>
        </w:tc>
        <w:tc>
          <w:tcPr>
            <w:tcW w:w="822" w:type="dxa"/>
          </w:tcPr>
          <w:p w14:paraId="743FB9FC"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w:t>
            </w:r>
          </w:p>
        </w:tc>
        <w:tc>
          <w:tcPr>
            <w:tcW w:w="822" w:type="dxa"/>
          </w:tcPr>
          <w:p w14:paraId="4BCEF108" w14:textId="77777777" w:rsidR="00917E4B" w:rsidRPr="008A2E5A" w:rsidRDefault="00917E4B" w:rsidP="004C5D62">
            <w:pPr>
              <w:spacing w:after="0" w:line="240" w:lineRule="auto"/>
              <w:jc w:val="both"/>
              <w:rPr>
                <w:color w:val="0070C0"/>
                <w:sz w:val="16"/>
                <w:szCs w:val="16"/>
              </w:rPr>
            </w:pPr>
            <w:r w:rsidRPr="008A2E5A">
              <w:rPr>
                <w:color w:val="0070C0"/>
                <w:sz w:val="16"/>
                <w:szCs w:val="16"/>
              </w:rPr>
              <w:t>290</w:t>
            </w:r>
          </w:p>
        </w:tc>
        <w:tc>
          <w:tcPr>
            <w:tcW w:w="822" w:type="dxa"/>
          </w:tcPr>
          <w:p w14:paraId="5D019CBE" w14:textId="77777777" w:rsidR="00917E4B" w:rsidRPr="008A2E5A" w:rsidRDefault="00917E4B" w:rsidP="004C5D62">
            <w:pPr>
              <w:spacing w:after="0" w:line="240" w:lineRule="auto"/>
              <w:jc w:val="both"/>
              <w:rPr>
                <w:color w:val="0070C0"/>
                <w:sz w:val="16"/>
                <w:szCs w:val="16"/>
              </w:rPr>
            </w:pPr>
          </w:p>
        </w:tc>
        <w:tc>
          <w:tcPr>
            <w:tcW w:w="822" w:type="dxa"/>
          </w:tcPr>
          <w:p w14:paraId="21E700E3" w14:textId="77777777" w:rsidR="00917E4B" w:rsidRPr="008A2E5A" w:rsidRDefault="00917E4B" w:rsidP="004C5D62">
            <w:pPr>
              <w:spacing w:after="0" w:line="240" w:lineRule="auto"/>
              <w:jc w:val="both"/>
              <w:rPr>
                <w:color w:val="0070C0"/>
                <w:sz w:val="16"/>
                <w:szCs w:val="16"/>
              </w:rPr>
            </w:pPr>
          </w:p>
        </w:tc>
        <w:tc>
          <w:tcPr>
            <w:tcW w:w="822" w:type="dxa"/>
          </w:tcPr>
          <w:p w14:paraId="3619D277" w14:textId="77777777" w:rsidR="00917E4B" w:rsidRPr="008A2E5A" w:rsidRDefault="00917E4B" w:rsidP="004C5D62">
            <w:pPr>
              <w:spacing w:after="0" w:line="240" w:lineRule="auto"/>
              <w:jc w:val="both"/>
              <w:rPr>
                <w:color w:val="0070C0"/>
                <w:sz w:val="16"/>
                <w:szCs w:val="16"/>
              </w:rPr>
            </w:pPr>
          </w:p>
        </w:tc>
        <w:tc>
          <w:tcPr>
            <w:tcW w:w="822" w:type="dxa"/>
          </w:tcPr>
          <w:p w14:paraId="17ABFC72" w14:textId="77777777" w:rsidR="00917E4B" w:rsidRPr="008A2E5A" w:rsidRDefault="00917E4B" w:rsidP="004C5D62">
            <w:pPr>
              <w:spacing w:after="0" w:line="240" w:lineRule="auto"/>
              <w:jc w:val="both"/>
              <w:rPr>
                <w:color w:val="0070C0"/>
                <w:sz w:val="16"/>
                <w:szCs w:val="16"/>
              </w:rPr>
            </w:pPr>
          </w:p>
        </w:tc>
      </w:tr>
      <w:tr w:rsidR="00917E4B" w:rsidRPr="008A2E5A" w14:paraId="3B78A34D" w14:textId="77777777" w:rsidTr="004C5D62">
        <w:tc>
          <w:tcPr>
            <w:tcW w:w="821" w:type="dxa"/>
          </w:tcPr>
          <w:p w14:paraId="738C0315" w14:textId="77777777" w:rsidR="00917E4B" w:rsidRPr="008A2E5A" w:rsidRDefault="00917E4B" w:rsidP="004C5D62">
            <w:pPr>
              <w:spacing w:after="0" w:line="240" w:lineRule="auto"/>
              <w:jc w:val="both"/>
              <w:rPr>
                <w:color w:val="0070C0"/>
                <w:sz w:val="16"/>
                <w:szCs w:val="16"/>
              </w:rPr>
            </w:pPr>
            <w:r w:rsidRPr="008A2E5A">
              <w:rPr>
                <w:color w:val="0070C0"/>
                <w:sz w:val="16"/>
                <w:szCs w:val="16"/>
              </w:rPr>
              <w:t>Трубка холодной пристрелки к ДТ</w:t>
            </w:r>
          </w:p>
        </w:tc>
        <w:tc>
          <w:tcPr>
            <w:tcW w:w="821" w:type="dxa"/>
          </w:tcPr>
          <w:p w14:paraId="5D5F4213" w14:textId="77777777" w:rsidR="00917E4B" w:rsidRPr="008A2E5A" w:rsidRDefault="00917E4B" w:rsidP="004C5D62">
            <w:pPr>
              <w:spacing w:after="0" w:line="240" w:lineRule="auto"/>
              <w:jc w:val="both"/>
              <w:rPr>
                <w:color w:val="0070C0"/>
                <w:sz w:val="16"/>
                <w:szCs w:val="16"/>
              </w:rPr>
            </w:pPr>
          </w:p>
        </w:tc>
        <w:tc>
          <w:tcPr>
            <w:tcW w:w="821" w:type="dxa"/>
          </w:tcPr>
          <w:p w14:paraId="2A76C013" w14:textId="77777777" w:rsidR="00917E4B" w:rsidRPr="008A2E5A" w:rsidRDefault="00917E4B" w:rsidP="004C5D62">
            <w:pPr>
              <w:spacing w:after="0" w:line="240" w:lineRule="auto"/>
              <w:jc w:val="both"/>
              <w:rPr>
                <w:color w:val="0070C0"/>
                <w:sz w:val="16"/>
                <w:szCs w:val="16"/>
              </w:rPr>
            </w:pPr>
          </w:p>
        </w:tc>
        <w:tc>
          <w:tcPr>
            <w:tcW w:w="821" w:type="dxa"/>
          </w:tcPr>
          <w:p w14:paraId="28B36555" w14:textId="77777777" w:rsidR="00917E4B" w:rsidRPr="008A2E5A" w:rsidRDefault="00917E4B" w:rsidP="004C5D62">
            <w:pPr>
              <w:spacing w:after="0" w:line="240" w:lineRule="auto"/>
              <w:jc w:val="both"/>
              <w:rPr>
                <w:color w:val="0070C0"/>
                <w:sz w:val="16"/>
                <w:szCs w:val="16"/>
              </w:rPr>
            </w:pPr>
          </w:p>
        </w:tc>
        <w:tc>
          <w:tcPr>
            <w:tcW w:w="822" w:type="dxa"/>
          </w:tcPr>
          <w:p w14:paraId="05432BD9" w14:textId="77777777" w:rsidR="00917E4B" w:rsidRPr="008A2E5A" w:rsidRDefault="00917E4B" w:rsidP="004C5D62">
            <w:pPr>
              <w:spacing w:after="0" w:line="240" w:lineRule="auto"/>
              <w:jc w:val="both"/>
              <w:rPr>
                <w:color w:val="0070C0"/>
                <w:sz w:val="16"/>
                <w:szCs w:val="16"/>
              </w:rPr>
            </w:pPr>
          </w:p>
        </w:tc>
        <w:tc>
          <w:tcPr>
            <w:tcW w:w="822" w:type="dxa"/>
          </w:tcPr>
          <w:p w14:paraId="7CF5DF9F" w14:textId="77777777" w:rsidR="00917E4B" w:rsidRPr="008A2E5A" w:rsidRDefault="00917E4B" w:rsidP="004C5D62">
            <w:pPr>
              <w:spacing w:after="0" w:line="240" w:lineRule="auto"/>
              <w:jc w:val="both"/>
              <w:rPr>
                <w:color w:val="0070C0"/>
                <w:sz w:val="16"/>
                <w:szCs w:val="16"/>
              </w:rPr>
            </w:pPr>
          </w:p>
        </w:tc>
        <w:tc>
          <w:tcPr>
            <w:tcW w:w="822" w:type="dxa"/>
          </w:tcPr>
          <w:p w14:paraId="7F90D503" w14:textId="77777777" w:rsidR="00917E4B" w:rsidRPr="008A2E5A" w:rsidRDefault="00917E4B" w:rsidP="004C5D62">
            <w:pPr>
              <w:spacing w:after="0" w:line="240" w:lineRule="auto"/>
              <w:jc w:val="both"/>
              <w:rPr>
                <w:color w:val="0070C0"/>
                <w:sz w:val="16"/>
                <w:szCs w:val="16"/>
              </w:rPr>
            </w:pPr>
          </w:p>
        </w:tc>
        <w:tc>
          <w:tcPr>
            <w:tcW w:w="822" w:type="dxa"/>
          </w:tcPr>
          <w:p w14:paraId="7248D6D6" w14:textId="77777777" w:rsidR="00917E4B" w:rsidRPr="008A2E5A" w:rsidRDefault="00917E4B" w:rsidP="004C5D62">
            <w:pPr>
              <w:spacing w:after="0" w:line="240" w:lineRule="auto"/>
              <w:jc w:val="both"/>
              <w:rPr>
                <w:color w:val="0070C0"/>
                <w:sz w:val="16"/>
                <w:szCs w:val="16"/>
              </w:rPr>
            </w:pPr>
          </w:p>
        </w:tc>
        <w:tc>
          <w:tcPr>
            <w:tcW w:w="822" w:type="dxa"/>
          </w:tcPr>
          <w:p w14:paraId="6F66CE98" w14:textId="77777777" w:rsidR="00917E4B" w:rsidRPr="008A2E5A" w:rsidRDefault="00917E4B" w:rsidP="004C5D62">
            <w:pPr>
              <w:spacing w:after="0" w:line="240" w:lineRule="auto"/>
              <w:jc w:val="both"/>
              <w:rPr>
                <w:color w:val="0070C0"/>
                <w:sz w:val="16"/>
                <w:szCs w:val="16"/>
              </w:rPr>
            </w:pPr>
          </w:p>
        </w:tc>
        <w:tc>
          <w:tcPr>
            <w:tcW w:w="822" w:type="dxa"/>
          </w:tcPr>
          <w:p w14:paraId="56108AFD"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w:t>
            </w:r>
          </w:p>
        </w:tc>
        <w:tc>
          <w:tcPr>
            <w:tcW w:w="822" w:type="dxa"/>
          </w:tcPr>
          <w:p w14:paraId="53B0E9CB" w14:textId="77777777" w:rsidR="00917E4B" w:rsidRPr="008A2E5A" w:rsidRDefault="00917E4B" w:rsidP="004C5D62">
            <w:pPr>
              <w:spacing w:after="0" w:line="240" w:lineRule="auto"/>
              <w:jc w:val="both"/>
              <w:rPr>
                <w:color w:val="0070C0"/>
                <w:sz w:val="16"/>
                <w:szCs w:val="16"/>
              </w:rPr>
            </w:pPr>
            <w:r w:rsidRPr="008A2E5A">
              <w:rPr>
                <w:color w:val="0070C0"/>
                <w:sz w:val="16"/>
                <w:szCs w:val="16"/>
              </w:rPr>
              <w:t>15'</w:t>
            </w:r>
          </w:p>
        </w:tc>
        <w:tc>
          <w:tcPr>
            <w:tcW w:w="822" w:type="dxa"/>
          </w:tcPr>
          <w:p w14:paraId="45060170" w14:textId="77777777" w:rsidR="00917E4B" w:rsidRPr="008A2E5A" w:rsidRDefault="00917E4B" w:rsidP="004C5D62">
            <w:pPr>
              <w:spacing w:after="0" w:line="240" w:lineRule="auto"/>
              <w:jc w:val="both"/>
              <w:rPr>
                <w:color w:val="0070C0"/>
                <w:sz w:val="16"/>
                <w:szCs w:val="16"/>
              </w:rPr>
            </w:pPr>
          </w:p>
        </w:tc>
        <w:tc>
          <w:tcPr>
            <w:tcW w:w="822" w:type="dxa"/>
          </w:tcPr>
          <w:p w14:paraId="127206B9" w14:textId="77777777" w:rsidR="00917E4B" w:rsidRPr="008A2E5A" w:rsidRDefault="00917E4B" w:rsidP="004C5D62">
            <w:pPr>
              <w:spacing w:after="0" w:line="240" w:lineRule="auto"/>
              <w:jc w:val="both"/>
              <w:rPr>
                <w:color w:val="0070C0"/>
                <w:sz w:val="16"/>
                <w:szCs w:val="16"/>
              </w:rPr>
            </w:pPr>
          </w:p>
        </w:tc>
      </w:tr>
      <w:tr w:rsidR="00917E4B" w:rsidRPr="008A2E5A" w14:paraId="366A8D82" w14:textId="77777777" w:rsidTr="004C5D62">
        <w:tc>
          <w:tcPr>
            <w:tcW w:w="821" w:type="dxa"/>
          </w:tcPr>
          <w:p w14:paraId="1E1D8E60" w14:textId="77777777" w:rsidR="00917E4B" w:rsidRPr="008A2E5A" w:rsidRDefault="00917E4B" w:rsidP="004C5D62">
            <w:pPr>
              <w:spacing w:after="0" w:line="240" w:lineRule="auto"/>
              <w:jc w:val="both"/>
              <w:rPr>
                <w:color w:val="0070C0"/>
                <w:sz w:val="16"/>
                <w:szCs w:val="16"/>
              </w:rPr>
            </w:pPr>
            <w:r w:rsidRPr="008A2E5A">
              <w:rPr>
                <w:color w:val="0070C0"/>
                <w:sz w:val="16"/>
                <w:szCs w:val="16"/>
              </w:rPr>
              <w:t>Зен[итный] прицел обр. 1936 г.</w:t>
            </w:r>
          </w:p>
        </w:tc>
        <w:tc>
          <w:tcPr>
            <w:tcW w:w="821" w:type="dxa"/>
          </w:tcPr>
          <w:p w14:paraId="6EEBC4B3" w14:textId="77777777" w:rsidR="00917E4B" w:rsidRPr="008A2E5A" w:rsidRDefault="00917E4B" w:rsidP="004C5D62">
            <w:pPr>
              <w:spacing w:after="0" w:line="240" w:lineRule="auto"/>
              <w:jc w:val="both"/>
              <w:rPr>
                <w:color w:val="0070C0"/>
                <w:sz w:val="16"/>
                <w:szCs w:val="16"/>
              </w:rPr>
            </w:pPr>
            <w:r w:rsidRPr="008A2E5A">
              <w:rPr>
                <w:color w:val="0070C0"/>
                <w:sz w:val="16"/>
                <w:szCs w:val="16"/>
              </w:rPr>
              <w:t>3900</w:t>
            </w:r>
          </w:p>
        </w:tc>
        <w:tc>
          <w:tcPr>
            <w:tcW w:w="821" w:type="dxa"/>
          </w:tcPr>
          <w:p w14:paraId="65E60056" w14:textId="77777777" w:rsidR="00917E4B" w:rsidRPr="008A2E5A" w:rsidRDefault="00917E4B" w:rsidP="004C5D62">
            <w:pPr>
              <w:spacing w:after="0" w:line="240" w:lineRule="auto"/>
              <w:jc w:val="both"/>
              <w:rPr>
                <w:color w:val="0070C0"/>
                <w:sz w:val="16"/>
                <w:szCs w:val="16"/>
              </w:rPr>
            </w:pPr>
            <w:r w:rsidRPr="008A2E5A">
              <w:rPr>
                <w:color w:val="0070C0"/>
                <w:sz w:val="16"/>
                <w:szCs w:val="16"/>
              </w:rPr>
              <w:t>5697</w:t>
            </w:r>
          </w:p>
        </w:tc>
        <w:tc>
          <w:tcPr>
            <w:tcW w:w="821" w:type="dxa"/>
          </w:tcPr>
          <w:p w14:paraId="43A7C014" w14:textId="77777777" w:rsidR="00917E4B" w:rsidRPr="008A2E5A" w:rsidRDefault="00917E4B" w:rsidP="004C5D62">
            <w:pPr>
              <w:spacing w:after="0" w:line="240" w:lineRule="auto"/>
              <w:jc w:val="both"/>
              <w:rPr>
                <w:color w:val="0070C0"/>
                <w:sz w:val="16"/>
                <w:szCs w:val="16"/>
              </w:rPr>
            </w:pPr>
            <w:r w:rsidRPr="008A2E5A">
              <w:rPr>
                <w:color w:val="0070C0"/>
                <w:sz w:val="16"/>
                <w:szCs w:val="16"/>
              </w:rPr>
              <w:t>500</w:t>
            </w:r>
          </w:p>
        </w:tc>
        <w:tc>
          <w:tcPr>
            <w:tcW w:w="822" w:type="dxa"/>
          </w:tcPr>
          <w:p w14:paraId="15809B21" w14:textId="77777777" w:rsidR="00917E4B" w:rsidRPr="008A2E5A" w:rsidRDefault="00917E4B" w:rsidP="004C5D62">
            <w:pPr>
              <w:spacing w:after="0" w:line="240" w:lineRule="auto"/>
              <w:jc w:val="both"/>
              <w:rPr>
                <w:color w:val="0070C0"/>
                <w:sz w:val="16"/>
                <w:szCs w:val="16"/>
              </w:rPr>
            </w:pPr>
            <w:r w:rsidRPr="008A2E5A">
              <w:rPr>
                <w:color w:val="0070C0"/>
                <w:sz w:val="16"/>
                <w:szCs w:val="16"/>
              </w:rPr>
              <w:t>820</w:t>
            </w:r>
          </w:p>
        </w:tc>
        <w:tc>
          <w:tcPr>
            <w:tcW w:w="822" w:type="dxa"/>
          </w:tcPr>
          <w:p w14:paraId="01CC0EFE"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0C67DD20" w14:textId="77777777" w:rsidR="00917E4B" w:rsidRPr="008A2E5A" w:rsidRDefault="00917E4B" w:rsidP="004C5D62">
            <w:pPr>
              <w:spacing w:after="0" w:line="240" w:lineRule="auto"/>
              <w:jc w:val="both"/>
              <w:rPr>
                <w:color w:val="0070C0"/>
                <w:sz w:val="16"/>
                <w:szCs w:val="16"/>
              </w:rPr>
            </w:pPr>
          </w:p>
        </w:tc>
        <w:tc>
          <w:tcPr>
            <w:tcW w:w="822" w:type="dxa"/>
          </w:tcPr>
          <w:p w14:paraId="079AC69C" w14:textId="77777777" w:rsidR="00917E4B" w:rsidRPr="008A2E5A" w:rsidRDefault="00917E4B" w:rsidP="004C5D62">
            <w:pPr>
              <w:spacing w:after="0" w:line="240" w:lineRule="auto"/>
              <w:jc w:val="both"/>
              <w:rPr>
                <w:color w:val="0070C0"/>
                <w:sz w:val="16"/>
                <w:szCs w:val="16"/>
              </w:rPr>
            </w:pPr>
            <w:r w:rsidRPr="008A2E5A">
              <w:rPr>
                <w:color w:val="0070C0"/>
                <w:sz w:val="16"/>
                <w:szCs w:val="16"/>
              </w:rPr>
              <w:t xml:space="preserve"> 1</w:t>
            </w:r>
          </w:p>
        </w:tc>
        <w:tc>
          <w:tcPr>
            <w:tcW w:w="822" w:type="dxa"/>
          </w:tcPr>
          <w:p w14:paraId="57C1F8B2"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476EB1CA" w14:textId="77777777" w:rsidR="00917E4B" w:rsidRPr="008A2E5A" w:rsidRDefault="00917E4B" w:rsidP="004C5D62">
            <w:pPr>
              <w:spacing w:after="0" w:line="240" w:lineRule="auto"/>
              <w:jc w:val="both"/>
              <w:rPr>
                <w:color w:val="0070C0"/>
                <w:sz w:val="16"/>
                <w:szCs w:val="16"/>
              </w:rPr>
            </w:pPr>
          </w:p>
        </w:tc>
        <w:tc>
          <w:tcPr>
            <w:tcW w:w="822" w:type="dxa"/>
          </w:tcPr>
          <w:p w14:paraId="7CA75F42" w14:textId="77777777" w:rsidR="00917E4B" w:rsidRPr="008A2E5A" w:rsidRDefault="00917E4B" w:rsidP="004C5D62">
            <w:pPr>
              <w:spacing w:after="0" w:line="240" w:lineRule="auto"/>
              <w:jc w:val="both"/>
              <w:rPr>
                <w:color w:val="0070C0"/>
                <w:sz w:val="16"/>
                <w:szCs w:val="16"/>
              </w:rPr>
            </w:pPr>
          </w:p>
        </w:tc>
        <w:tc>
          <w:tcPr>
            <w:tcW w:w="822" w:type="dxa"/>
          </w:tcPr>
          <w:p w14:paraId="3BFE4EC1" w14:textId="77777777" w:rsidR="00917E4B" w:rsidRPr="008A2E5A" w:rsidRDefault="00917E4B" w:rsidP="004C5D62">
            <w:pPr>
              <w:spacing w:after="0" w:line="240" w:lineRule="auto"/>
              <w:jc w:val="both"/>
              <w:rPr>
                <w:color w:val="0070C0"/>
                <w:sz w:val="16"/>
                <w:szCs w:val="16"/>
              </w:rPr>
            </w:pPr>
          </w:p>
        </w:tc>
        <w:tc>
          <w:tcPr>
            <w:tcW w:w="822" w:type="dxa"/>
          </w:tcPr>
          <w:p w14:paraId="26200B9F" w14:textId="77777777" w:rsidR="00917E4B" w:rsidRPr="008A2E5A" w:rsidRDefault="00917E4B" w:rsidP="004C5D62">
            <w:pPr>
              <w:spacing w:after="0" w:line="240" w:lineRule="auto"/>
              <w:jc w:val="both"/>
              <w:rPr>
                <w:color w:val="0070C0"/>
                <w:sz w:val="16"/>
                <w:szCs w:val="16"/>
              </w:rPr>
            </w:pPr>
          </w:p>
        </w:tc>
      </w:tr>
      <w:tr w:rsidR="00917E4B" w:rsidRPr="008A2E5A" w14:paraId="577A5FFB" w14:textId="77777777" w:rsidTr="004C5D62">
        <w:tc>
          <w:tcPr>
            <w:tcW w:w="821" w:type="dxa"/>
          </w:tcPr>
          <w:p w14:paraId="30C3774A" w14:textId="77777777" w:rsidR="00917E4B" w:rsidRPr="008A2E5A" w:rsidRDefault="00917E4B" w:rsidP="004C5D62">
            <w:pPr>
              <w:spacing w:after="0" w:line="240" w:lineRule="auto"/>
              <w:jc w:val="both"/>
              <w:rPr>
                <w:color w:val="0070C0"/>
                <w:sz w:val="16"/>
                <w:szCs w:val="16"/>
              </w:rPr>
            </w:pPr>
            <w:r w:rsidRPr="008A2E5A">
              <w:rPr>
                <w:color w:val="0070C0"/>
                <w:sz w:val="16"/>
                <w:szCs w:val="16"/>
              </w:rPr>
              <w:t>Зен[итный] прицел обр. 1941 г.</w:t>
            </w:r>
          </w:p>
        </w:tc>
        <w:tc>
          <w:tcPr>
            <w:tcW w:w="821" w:type="dxa"/>
          </w:tcPr>
          <w:p w14:paraId="55C41B29" w14:textId="77777777" w:rsidR="00917E4B" w:rsidRPr="008A2E5A" w:rsidRDefault="00917E4B" w:rsidP="004C5D62">
            <w:pPr>
              <w:spacing w:after="0" w:line="240" w:lineRule="auto"/>
              <w:jc w:val="both"/>
              <w:rPr>
                <w:color w:val="0070C0"/>
                <w:sz w:val="16"/>
                <w:szCs w:val="16"/>
              </w:rPr>
            </w:pPr>
          </w:p>
        </w:tc>
        <w:tc>
          <w:tcPr>
            <w:tcW w:w="821" w:type="dxa"/>
          </w:tcPr>
          <w:p w14:paraId="5F52E675" w14:textId="77777777" w:rsidR="00917E4B" w:rsidRPr="008A2E5A" w:rsidRDefault="00917E4B" w:rsidP="004C5D62">
            <w:pPr>
              <w:spacing w:after="0" w:line="240" w:lineRule="auto"/>
              <w:jc w:val="both"/>
              <w:rPr>
                <w:color w:val="0070C0"/>
                <w:sz w:val="16"/>
                <w:szCs w:val="16"/>
              </w:rPr>
            </w:pPr>
          </w:p>
        </w:tc>
        <w:tc>
          <w:tcPr>
            <w:tcW w:w="821" w:type="dxa"/>
          </w:tcPr>
          <w:p w14:paraId="0A600C4B" w14:textId="77777777" w:rsidR="00917E4B" w:rsidRPr="008A2E5A" w:rsidRDefault="00917E4B" w:rsidP="004C5D62">
            <w:pPr>
              <w:spacing w:after="0" w:line="240" w:lineRule="auto"/>
              <w:jc w:val="both"/>
              <w:rPr>
                <w:color w:val="0070C0"/>
                <w:sz w:val="16"/>
                <w:szCs w:val="16"/>
              </w:rPr>
            </w:pPr>
          </w:p>
        </w:tc>
        <w:tc>
          <w:tcPr>
            <w:tcW w:w="822" w:type="dxa"/>
          </w:tcPr>
          <w:p w14:paraId="21C46167" w14:textId="77777777" w:rsidR="00917E4B" w:rsidRPr="008A2E5A" w:rsidRDefault="00917E4B" w:rsidP="004C5D62">
            <w:pPr>
              <w:spacing w:after="0" w:line="240" w:lineRule="auto"/>
              <w:jc w:val="both"/>
              <w:rPr>
                <w:color w:val="0070C0"/>
                <w:sz w:val="16"/>
                <w:szCs w:val="16"/>
              </w:rPr>
            </w:pPr>
          </w:p>
        </w:tc>
        <w:tc>
          <w:tcPr>
            <w:tcW w:w="822" w:type="dxa"/>
          </w:tcPr>
          <w:p w14:paraId="05D98330" w14:textId="77777777" w:rsidR="00917E4B" w:rsidRPr="008A2E5A" w:rsidRDefault="00917E4B" w:rsidP="004C5D62">
            <w:pPr>
              <w:spacing w:after="0" w:line="240" w:lineRule="auto"/>
              <w:jc w:val="both"/>
              <w:rPr>
                <w:color w:val="0070C0"/>
                <w:sz w:val="16"/>
                <w:szCs w:val="16"/>
              </w:rPr>
            </w:pPr>
          </w:p>
        </w:tc>
        <w:tc>
          <w:tcPr>
            <w:tcW w:w="822" w:type="dxa"/>
          </w:tcPr>
          <w:p w14:paraId="048A88F4" w14:textId="77777777" w:rsidR="00917E4B" w:rsidRPr="008A2E5A" w:rsidRDefault="00917E4B" w:rsidP="004C5D62">
            <w:pPr>
              <w:spacing w:after="0" w:line="240" w:lineRule="auto"/>
              <w:jc w:val="both"/>
              <w:rPr>
                <w:color w:val="0070C0"/>
                <w:sz w:val="16"/>
                <w:szCs w:val="16"/>
              </w:rPr>
            </w:pPr>
          </w:p>
        </w:tc>
        <w:tc>
          <w:tcPr>
            <w:tcW w:w="822" w:type="dxa"/>
          </w:tcPr>
          <w:p w14:paraId="51B4BB2D" w14:textId="77777777" w:rsidR="00917E4B" w:rsidRPr="008A2E5A" w:rsidRDefault="00917E4B" w:rsidP="004C5D62">
            <w:pPr>
              <w:spacing w:after="0" w:line="240" w:lineRule="auto"/>
              <w:jc w:val="both"/>
              <w:rPr>
                <w:color w:val="0070C0"/>
                <w:sz w:val="16"/>
                <w:szCs w:val="16"/>
              </w:rPr>
            </w:pPr>
          </w:p>
        </w:tc>
        <w:tc>
          <w:tcPr>
            <w:tcW w:w="822" w:type="dxa"/>
          </w:tcPr>
          <w:p w14:paraId="1D7D9294" w14:textId="77777777" w:rsidR="00917E4B" w:rsidRPr="008A2E5A" w:rsidRDefault="00917E4B" w:rsidP="004C5D62">
            <w:pPr>
              <w:spacing w:after="0" w:line="240" w:lineRule="auto"/>
              <w:jc w:val="both"/>
              <w:rPr>
                <w:color w:val="0070C0"/>
                <w:sz w:val="16"/>
                <w:szCs w:val="16"/>
              </w:rPr>
            </w:pPr>
          </w:p>
        </w:tc>
        <w:tc>
          <w:tcPr>
            <w:tcW w:w="822" w:type="dxa"/>
          </w:tcPr>
          <w:p w14:paraId="756CFA73" w14:textId="77777777" w:rsidR="00917E4B" w:rsidRPr="008A2E5A" w:rsidRDefault="00917E4B" w:rsidP="004C5D62">
            <w:pPr>
              <w:spacing w:after="0" w:line="240" w:lineRule="auto"/>
              <w:jc w:val="both"/>
              <w:rPr>
                <w:color w:val="0070C0"/>
                <w:sz w:val="16"/>
                <w:szCs w:val="16"/>
              </w:rPr>
            </w:pPr>
          </w:p>
        </w:tc>
        <w:tc>
          <w:tcPr>
            <w:tcW w:w="822" w:type="dxa"/>
          </w:tcPr>
          <w:p w14:paraId="70D100F1" w14:textId="77777777" w:rsidR="00917E4B" w:rsidRPr="008A2E5A" w:rsidRDefault="00917E4B" w:rsidP="004C5D62">
            <w:pPr>
              <w:spacing w:after="0" w:line="240" w:lineRule="auto"/>
              <w:jc w:val="both"/>
              <w:rPr>
                <w:color w:val="0070C0"/>
                <w:sz w:val="16"/>
                <w:szCs w:val="16"/>
              </w:rPr>
            </w:pPr>
          </w:p>
        </w:tc>
        <w:tc>
          <w:tcPr>
            <w:tcW w:w="822" w:type="dxa"/>
          </w:tcPr>
          <w:p w14:paraId="1D1DFE6F" w14:textId="77777777" w:rsidR="00917E4B" w:rsidRPr="008A2E5A" w:rsidRDefault="00917E4B" w:rsidP="004C5D62">
            <w:pPr>
              <w:spacing w:after="0" w:line="240" w:lineRule="auto"/>
              <w:jc w:val="both"/>
              <w:rPr>
                <w:color w:val="0070C0"/>
                <w:sz w:val="16"/>
                <w:szCs w:val="16"/>
              </w:rPr>
            </w:pPr>
          </w:p>
        </w:tc>
        <w:tc>
          <w:tcPr>
            <w:tcW w:w="822" w:type="dxa"/>
          </w:tcPr>
          <w:p w14:paraId="22B6BCEC" w14:textId="77777777" w:rsidR="00917E4B" w:rsidRPr="008A2E5A" w:rsidRDefault="00917E4B" w:rsidP="004C5D62">
            <w:pPr>
              <w:spacing w:after="0" w:line="240" w:lineRule="auto"/>
              <w:jc w:val="both"/>
              <w:rPr>
                <w:color w:val="0070C0"/>
                <w:sz w:val="16"/>
                <w:szCs w:val="16"/>
              </w:rPr>
            </w:pPr>
          </w:p>
        </w:tc>
      </w:tr>
      <w:tr w:rsidR="00917E4B" w:rsidRPr="008A2E5A" w14:paraId="44DEDDC2" w14:textId="77777777" w:rsidTr="004C5D62">
        <w:tc>
          <w:tcPr>
            <w:tcW w:w="821" w:type="dxa"/>
          </w:tcPr>
          <w:p w14:paraId="0CC10D82" w14:textId="77777777" w:rsidR="00917E4B" w:rsidRPr="008A2E5A" w:rsidRDefault="00917E4B" w:rsidP="004C5D62">
            <w:pPr>
              <w:spacing w:after="0" w:line="240" w:lineRule="auto"/>
              <w:jc w:val="both"/>
              <w:rPr>
                <w:color w:val="0070C0"/>
                <w:sz w:val="16"/>
                <w:szCs w:val="16"/>
              </w:rPr>
            </w:pPr>
            <w:r w:rsidRPr="008A2E5A">
              <w:rPr>
                <w:color w:val="0070C0"/>
                <w:sz w:val="16"/>
                <w:szCs w:val="16"/>
              </w:rPr>
              <w:t>Универсальный] станок обр. 1931 г.</w:t>
            </w:r>
          </w:p>
        </w:tc>
        <w:tc>
          <w:tcPr>
            <w:tcW w:w="821" w:type="dxa"/>
          </w:tcPr>
          <w:p w14:paraId="652FE83A"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w:t>
            </w:r>
          </w:p>
        </w:tc>
        <w:tc>
          <w:tcPr>
            <w:tcW w:w="821" w:type="dxa"/>
          </w:tcPr>
          <w:p w14:paraId="79ECD527" w14:textId="77777777" w:rsidR="00917E4B" w:rsidRPr="008A2E5A" w:rsidRDefault="00917E4B" w:rsidP="004C5D62">
            <w:pPr>
              <w:spacing w:after="0" w:line="240" w:lineRule="auto"/>
              <w:jc w:val="both"/>
              <w:rPr>
                <w:color w:val="0070C0"/>
                <w:sz w:val="16"/>
                <w:szCs w:val="16"/>
              </w:rPr>
            </w:pPr>
            <w:r w:rsidRPr="008A2E5A">
              <w:rPr>
                <w:color w:val="0070C0"/>
                <w:sz w:val="16"/>
                <w:szCs w:val="16"/>
              </w:rPr>
              <w:t>71</w:t>
            </w:r>
          </w:p>
        </w:tc>
        <w:tc>
          <w:tcPr>
            <w:tcW w:w="821" w:type="dxa"/>
          </w:tcPr>
          <w:p w14:paraId="0DBA4271" w14:textId="77777777" w:rsidR="00917E4B" w:rsidRPr="008A2E5A" w:rsidRDefault="00917E4B" w:rsidP="004C5D62">
            <w:pPr>
              <w:spacing w:after="0" w:line="240" w:lineRule="auto"/>
              <w:jc w:val="both"/>
              <w:rPr>
                <w:color w:val="0070C0"/>
                <w:sz w:val="16"/>
                <w:szCs w:val="16"/>
              </w:rPr>
            </w:pPr>
          </w:p>
        </w:tc>
        <w:tc>
          <w:tcPr>
            <w:tcW w:w="822" w:type="dxa"/>
          </w:tcPr>
          <w:p w14:paraId="3D939389" w14:textId="77777777" w:rsidR="00917E4B" w:rsidRPr="008A2E5A" w:rsidRDefault="00917E4B" w:rsidP="004C5D62">
            <w:pPr>
              <w:spacing w:after="0" w:line="240" w:lineRule="auto"/>
              <w:jc w:val="both"/>
              <w:rPr>
                <w:color w:val="0070C0"/>
                <w:sz w:val="16"/>
                <w:szCs w:val="16"/>
              </w:rPr>
            </w:pPr>
            <w:r w:rsidRPr="008A2E5A">
              <w:rPr>
                <w:color w:val="0070C0"/>
                <w:sz w:val="16"/>
                <w:szCs w:val="16"/>
              </w:rPr>
              <w:t>34</w:t>
            </w:r>
          </w:p>
        </w:tc>
        <w:tc>
          <w:tcPr>
            <w:tcW w:w="822" w:type="dxa"/>
          </w:tcPr>
          <w:p w14:paraId="618FC83B" w14:textId="77777777" w:rsidR="00917E4B" w:rsidRPr="008A2E5A" w:rsidRDefault="00917E4B" w:rsidP="004C5D62">
            <w:pPr>
              <w:spacing w:after="0" w:line="240" w:lineRule="auto"/>
              <w:jc w:val="both"/>
              <w:rPr>
                <w:color w:val="0070C0"/>
                <w:sz w:val="16"/>
                <w:szCs w:val="16"/>
              </w:rPr>
            </w:pPr>
            <w:r w:rsidRPr="008A2E5A">
              <w:rPr>
                <w:color w:val="0070C0"/>
                <w:sz w:val="16"/>
                <w:szCs w:val="16"/>
              </w:rPr>
              <w:t>L_:</w:t>
            </w:r>
          </w:p>
        </w:tc>
        <w:tc>
          <w:tcPr>
            <w:tcW w:w="822" w:type="dxa"/>
          </w:tcPr>
          <w:p w14:paraId="64017AFD"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w:t>
            </w:r>
          </w:p>
        </w:tc>
        <w:tc>
          <w:tcPr>
            <w:tcW w:w="822" w:type="dxa"/>
          </w:tcPr>
          <w:p w14:paraId="27D829E8" w14:textId="77777777" w:rsidR="00917E4B" w:rsidRPr="008A2E5A" w:rsidRDefault="00917E4B" w:rsidP="004C5D62">
            <w:pPr>
              <w:spacing w:after="0" w:line="240" w:lineRule="auto"/>
              <w:jc w:val="both"/>
              <w:rPr>
                <w:color w:val="0070C0"/>
                <w:sz w:val="16"/>
                <w:szCs w:val="16"/>
              </w:rPr>
            </w:pPr>
            <w:r w:rsidRPr="008A2E5A">
              <w:rPr>
                <w:color w:val="0070C0"/>
                <w:sz w:val="16"/>
                <w:szCs w:val="16"/>
              </w:rPr>
              <w:t>50</w:t>
            </w:r>
          </w:p>
        </w:tc>
        <w:tc>
          <w:tcPr>
            <w:tcW w:w="822" w:type="dxa"/>
          </w:tcPr>
          <w:p w14:paraId="2ACC75A3" w14:textId="77777777" w:rsidR="00917E4B" w:rsidRPr="008A2E5A" w:rsidRDefault="00917E4B" w:rsidP="004C5D62">
            <w:pPr>
              <w:spacing w:after="0" w:line="240" w:lineRule="auto"/>
              <w:jc w:val="both"/>
              <w:rPr>
                <w:color w:val="0070C0"/>
                <w:sz w:val="16"/>
                <w:szCs w:val="16"/>
              </w:rPr>
            </w:pPr>
            <w:r w:rsidRPr="008A2E5A">
              <w:rPr>
                <w:color w:val="0070C0"/>
                <w:sz w:val="16"/>
                <w:szCs w:val="16"/>
              </w:rPr>
              <w:t>50</w:t>
            </w:r>
          </w:p>
        </w:tc>
        <w:tc>
          <w:tcPr>
            <w:tcW w:w="822" w:type="dxa"/>
          </w:tcPr>
          <w:p w14:paraId="00C9A537" w14:textId="77777777" w:rsidR="00917E4B" w:rsidRPr="008A2E5A" w:rsidRDefault="00917E4B" w:rsidP="004C5D62">
            <w:pPr>
              <w:spacing w:after="0" w:line="240" w:lineRule="auto"/>
              <w:jc w:val="both"/>
              <w:rPr>
                <w:color w:val="0070C0"/>
                <w:sz w:val="16"/>
                <w:szCs w:val="16"/>
              </w:rPr>
            </w:pPr>
          </w:p>
        </w:tc>
        <w:tc>
          <w:tcPr>
            <w:tcW w:w="822" w:type="dxa"/>
          </w:tcPr>
          <w:p w14:paraId="52D3EEE5" w14:textId="77777777" w:rsidR="00917E4B" w:rsidRPr="008A2E5A" w:rsidRDefault="00917E4B" w:rsidP="004C5D62">
            <w:pPr>
              <w:spacing w:after="0" w:line="240" w:lineRule="auto"/>
              <w:jc w:val="both"/>
              <w:rPr>
                <w:color w:val="0070C0"/>
                <w:sz w:val="16"/>
                <w:szCs w:val="16"/>
              </w:rPr>
            </w:pPr>
          </w:p>
        </w:tc>
        <w:tc>
          <w:tcPr>
            <w:tcW w:w="822" w:type="dxa"/>
          </w:tcPr>
          <w:p w14:paraId="27809EB6" w14:textId="77777777" w:rsidR="00917E4B" w:rsidRPr="008A2E5A" w:rsidRDefault="00917E4B" w:rsidP="004C5D62">
            <w:pPr>
              <w:spacing w:after="0" w:line="240" w:lineRule="auto"/>
              <w:jc w:val="both"/>
              <w:rPr>
                <w:color w:val="0070C0"/>
                <w:sz w:val="16"/>
                <w:szCs w:val="16"/>
              </w:rPr>
            </w:pPr>
          </w:p>
        </w:tc>
        <w:tc>
          <w:tcPr>
            <w:tcW w:w="822" w:type="dxa"/>
          </w:tcPr>
          <w:p w14:paraId="0C55710E" w14:textId="77777777" w:rsidR="00917E4B" w:rsidRPr="008A2E5A" w:rsidRDefault="00917E4B" w:rsidP="004C5D62">
            <w:pPr>
              <w:spacing w:after="0" w:line="240" w:lineRule="auto"/>
              <w:jc w:val="both"/>
              <w:rPr>
                <w:color w:val="0070C0"/>
                <w:sz w:val="16"/>
                <w:szCs w:val="16"/>
              </w:rPr>
            </w:pPr>
          </w:p>
        </w:tc>
      </w:tr>
      <w:tr w:rsidR="00917E4B" w:rsidRPr="008A2E5A" w14:paraId="2311E87E" w14:textId="77777777" w:rsidTr="004C5D62">
        <w:tc>
          <w:tcPr>
            <w:tcW w:w="821" w:type="dxa"/>
          </w:tcPr>
          <w:p w14:paraId="34EE33BE" w14:textId="77777777" w:rsidR="00917E4B" w:rsidRPr="008A2E5A" w:rsidRDefault="00917E4B" w:rsidP="004C5D62">
            <w:pPr>
              <w:spacing w:after="0" w:line="240" w:lineRule="auto"/>
              <w:jc w:val="both"/>
              <w:rPr>
                <w:color w:val="0070C0"/>
                <w:sz w:val="16"/>
                <w:szCs w:val="16"/>
              </w:rPr>
            </w:pPr>
            <w:r w:rsidRPr="008A2E5A">
              <w:rPr>
                <w:color w:val="0070C0"/>
                <w:sz w:val="16"/>
                <w:szCs w:val="16"/>
              </w:rPr>
              <w:t>Боеприпасы i</w:t>
            </w:r>
          </w:p>
        </w:tc>
        <w:tc>
          <w:tcPr>
            <w:tcW w:w="821" w:type="dxa"/>
          </w:tcPr>
          <w:p w14:paraId="3143D8D1" w14:textId="77777777" w:rsidR="00917E4B" w:rsidRPr="008A2E5A" w:rsidRDefault="00917E4B" w:rsidP="004C5D62">
            <w:pPr>
              <w:spacing w:after="0" w:line="240" w:lineRule="auto"/>
              <w:jc w:val="both"/>
              <w:rPr>
                <w:color w:val="0070C0"/>
                <w:sz w:val="16"/>
                <w:szCs w:val="16"/>
              </w:rPr>
            </w:pPr>
          </w:p>
        </w:tc>
        <w:tc>
          <w:tcPr>
            <w:tcW w:w="821" w:type="dxa"/>
          </w:tcPr>
          <w:p w14:paraId="12E186C5" w14:textId="77777777" w:rsidR="00917E4B" w:rsidRPr="008A2E5A" w:rsidRDefault="00917E4B" w:rsidP="004C5D62">
            <w:pPr>
              <w:spacing w:after="0" w:line="240" w:lineRule="auto"/>
              <w:jc w:val="both"/>
              <w:rPr>
                <w:color w:val="0070C0"/>
                <w:sz w:val="16"/>
                <w:szCs w:val="16"/>
              </w:rPr>
            </w:pPr>
          </w:p>
        </w:tc>
        <w:tc>
          <w:tcPr>
            <w:tcW w:w="821" w:type="dxa"/>
          </w:tcPr>
          <w:p w14:paraId="70FBF9EC" w14:textId="77777777" w:rsidR="00917E4B" w:rsidRPr="008A2E5A" w:rsidRDefault="00917E4B" w:rsidP="004C5D62">
            <w:pPr>
              <w:spacing w:after="0" w:line="240" w:lineRule="auto"/>
              <w:jc w:val="both"/>
              <w:rPr>
                <w:color w:val="0070C0"/>
                <w:sz w:val="16"/>
                <w:szCs w:val="16"/>
              </w:rPr>
            </w:pPr>
          </w:p>
        </w:tc>
        <w:tc>
          <w:tcPr>
            <w:tcW w:w="822" w:type="dxa"/>
          </w:tcPr>
          <w:p w14:paraId="0DAFC215" w14:textId="77777777" w:rsidR="00917E4B" w:rsidRPr="008A2E5A" w:rsidRDefault="00917E4B" w:rsidP="004C5D62">
            <w:pPr>
              <w:spacing w:after="0" w:line="240" w:lineRule="auto"/>
              <w:jc w:val="both"/>
              <w:rPr>
                <w:color w:val="0070C0"/>
                <w:sz w:val="16"/>
                <w:szCs w:val="16"/>
              </w:rPr>
            </w:pPr>
            <w:r w:rsidRPr="008A2E5A">
              <w:rPr>
                <w:color w:val="0070C0"/>
                <w:sz w:val="16"/>
                <w:szCs w:val="16"/>
              </w:rPr>
              <w:t>'в тыс. шт.)</w:t>
            </w:r>
          </w:p>
        </w:tc>
        <w:tc>
          <w:tcPr>
            <w:tcW w:w="822" w:type="dxa"/>
          </w:tcPr>
          <w:p w14:paraId="2AB5501C" w14:textId="77777777" w:rsidR="00917E4B" w:rsidRPr="008A2E5A" w:rsidRDefault="00917E4B" w:rsidP="004C5D62">
            <w:pPr>
              <w:spacing w:after="0" w:line="240" w:lineRule="auto"/>
              <w:jc w:val="both"/>
              <w:rPr>
                <w:color w:val="0070C0"/>
                <w:sz w:val="16"/>
                <w:szCs w:val="16"/>
              </w:rPr>
            </w:pPr>
          </w:p>
        </w:tc>
        <w:tc>
          <w:tcPr>
            <w:tcW w:w="822" w:type="dxa"/>
          </w:tcPr>
          <w:p w14:paraId="08CF09A8" w14:textId="77777777" w:rsidR="00917E4B" w:rsidRPr="008A2E5A" w:rsidRDefault="00917E4B" w:rsidP="004C5D62">
            <w:pPr>
              <w:spacing w:after="0" w:line="240" w:lineRule="auto"/>
              <w:jc w:val="both"/>
              <w:rPr>
                <w:color w:val="0070C0"/>
                <w:sz w:val="16"/>
                <w:szCs w:val="16"/>
              </w:rPr>
            </w:pPr>
          </w:p>
        </w:tc>
        <w:tc>
          <w:tcPr>
            <w:tcW w:w="822" w:type="dxa"/>
          </w:tcPr>
          <w:p w14:paraId="09B23073" w14:textId="77777777" w:rsidR="00917E4B" w:rsidRPr="008A2E5A" w:rsidRDefault="00917E4B" w:rsidP="004C5D62">
            <w:pPr>
              <w:spacing w:after="0" w:line="240" w:lineRule="auto"/>
              <w:jc w:val="both"/>
              <w:rPr>
                <w:color w:val="0070C0"/>
                <w:sz w:val="16"/>
                <w:szCs w:val="16"/>
              </w:rPr>
            </w:pPr>
          </w:p>
        </w:tc>
        <w:tc>
          <w:tcPr>
            <w:tcW w:w="822" w:type="dxa"/>
          </w:tcPr>
          <w:p w14:paraId="13F96B05" w14:textId="77777777" w:rsidR="00917E4B" w:rsidRPr="008A2E5A" w:rsidRDefault="00917E4B" w:rsidP="004C5D62">
            <w:pPr>
              <w:spacing w:after="0" w:line="240" w:lineRule="auto"/>
              <w:jc w:val="both"/>
              <w:rPr>
                <w:color w:val="0070C0"/>
                <w:sz w:val="16"/>
                <w:szCs w:val="16"/>
              </w:rPr>
            </w:pPr>
          </w:p>
        </w:tc>
        <w:tc>
          <w:tcPr>
            <w:tcW w:w="822" w:type="dxa"/>
          </w:tcPr>
          <w:p w14:paraId="628B5DFB" w14:textId="77777777" w:rsidR="00917E4B" w:rsidRPr="008A2E5A" w:rsidRDefault="00917E4B" w:rsidP="004C5D62">
            <w:pPr>
              <w:spacing w:after="0" w:line="240" w:lineRule="auto"/>
              <w:jc w:val="both"/>
              <w:rPr>
                <w:color w:val="0070C0"/>
                <w:sz w:val="16"/>
                <w:szCs w:val="16"/>
              </w:rPr>
            </w:pPr>
          </w:p>
        </w:tc>
        <w:tc>
          <w:tcPr>
            <w:tcW w:w="822" w:type="dxa"/>
          </w:tcPr>
          <w:p w14:paraId="17A144BF" w14:textId="77777777" w:rsidR="00917E4B" w:rsidRPr="008A2E5A" w:rsidRDefault="00917E4B" w:rsidP="004C5D62">
            <w:pPr>
              <w:spacing w:after="0" w:line="240" w:lineRule="auto"/>
              <w:jc w:val="both"/>
              <w:rPr>
                <w:color w:val="0070C0"/>
                <w:sz w:val="16"/>
                <w:szCs w:val="16"/>
              </w:rPr>
            </w:pPr>
          </w:p>
        </w:tc>
        <w:tc>
          <w:tcPr>
            <w:tcW w:w="822" w:type="dxa"/>
          </w:tcPr>
          <w:p w14:paraId="20D70FB5" w14:textId="77777777" w:rsidR="00917E4B" w:rsidRPr="008A2E5A" w:rsidRDefault="00917E4B" w:rsidP="004C5D62">
            <w:pPr>
              <w:spacing w:after="0" w:line="240" w:lineRule="auto"/>
              <w:jc w:val="both"/>
              <w:rPr>
                <w:color w:val="0070C0"/>
                <w:sz w:val="16"/>
                <w:szCs w:val="16"/>
              </w:rPr>
            </w:pPr>
          </w:p>
        </w:tc>
        <w:tc>
          <w:tcPr>
            <w:tcW w:w="822" w:type="dxa"/>
          </w:tcPr>
          <w:p w14:paraId="75824EB2" w14:textId="77777777" w:rsidR="00917E4B" w:rsidRPr="008A2E5A" w:rsidRDefault="00917E4B" w:rsidP="004C5D62">
            <w:pPr>
              <w:spacing w:after="0" w:line="240" w:lineRule="auto"/>
              <w:jc w:val="both"/>
              <w:rPr>
                <w:color w:val="0070C0"/>
                <w:sz w:val="16"/>
                <w:szCs w:val="16"/>
              </w:rPr>
            </w:pPr>
          </w:p>
        </w:tc>
      </w:tr>
      <w:tr w:rsidR="00917E4B" w:rsidRPr="008A2E5A" w14:paraId="4BC21188" w14:textId="77777777" w:rsidTr="004C5D62">
        <w:tc>
          <w:tcPr>
            <w:tcW w:w="821" w:type="dxa"/>
          </w:tcPr>
          <w:p w14:paraId="0110FDEC"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л. п. в обоймах</w:t>
            </w:r>
          </w:p>
        </w:tc>
        <w:tc>
          <w:tcPr>
            <w:tcW w:w="821" w:type="dxa"/>
          </w:tcPr>
          <w:p w14:paraId="03E9F98A" w14:textId="77777777" w:rsidR="00917E4B" w:rsidRPr="008A2E5A" w:rsidRDefault="00917E4B" w:rsidP="004C5D62">
            <w:pPr>
              <w:spacing w:after="0" w:line="240" w:lineRule="auto"/>
              <w:jc w:val="both"/>
              <w:rPr>
                <w:color w:val="0070C0"/>
                <w:sz w:val="16"/>
                <w:szCs w:val="16"/>
              </w:rPr>
            </w:pPr>
            <w:r w:rsidRPr="008A2E5A">
              <w:rPr>
                <w:color w:val="0070C0"/>
                <w:sz w:val="16"/>
                <w:szCs w:val="16"/>
              </w:rPr>
              <w:t>258 000</w:t>
            </w:r>
          </w:p>
        </w:tc>
        <w:tc>
          <w:tcPr>
            <w:tcW w:w="821" w:type="dxa"/>
          </w:tcPr>
          <w:p w14:paraId="4216DC74" w14:textId="77777777" w:rsidR="00917E4B" w:rsidRPr="008A2E5A" w:rsidRDefault="00917E4B" w:rsidP="004C5D62">
            <w:pPr>
              <w:spacing w:after="0" w:line="240" w:lineRule="auto"/>
              <w:jc w:val="both"/>
              <w:rPr>
                <w:color w:val="0070C0"/>
                <w:sz w:val="16"/>
                <w:szCs w:val="16"/>
              </w:rPr>
            </w:pPr>
            <w:r w:rsidRPr="008A2E5A">
              <w:rPr>
                <w:color w:val="0070C0"/>
                <w:sz w:val="16"/>
                <w:szCs w:val="16"/>
              </w:rPr>
              <w:t>267 255</w:t>
            </w:r>
          </w:p>
        </w:tc>
        <w:tc>
          <w:tcPr>
            <w:tcW w:w="821" w:type="dxa"/>
          </w:tcPr>
          <w:p w14:paraId="021431C2"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50 000</w:t>
            </w:r>
          </w:p>
        </w:tc>
        <w:tc>
          <w:tcPr>
            <w:tcW w:w="822" w:type="dxa"/>
          </w:tcPr>
          <w:p w14:paraId="5BC58B02" w14:textId="77777777" w:rsidR="00917E4B" w:rsidRPr="008A2E5A" w:rsidRDefault="00917E4B" w:rsidP="004C5D62">
            <w:pPr>
              <w:spacing w:after="0" w:line="240" w:lineRule="auto"/>
              <w:jc w:val="both"/>
              <w:rPr>
                <w:color w:val="0070C0"/>
                <w:sz w:val="16"/>
                <w:szCs w:val="16"/>
              </w:rPr>
            </w:pPr>
            <w:r w:rsidRPr="008A2E5A">
              <w:rPr>
                <w:color w:val="0070C0"/>
                <w:sz w:val="16"/>
                <w:szCs w:val="16"/>
              </w:rPr>
              <w:t>84 238</w:t>
            </w:r>
          </w:p>
        </w:tc>
        <w:tc>
          <w:tcPr>
            <w:tcW w:w="822" w:type="dxa"/>
          </w:tcPr>
          <w:p w14:paraId="4472BA06" w14:textId="77777777" w:rsidR="00917E4B" w:rsidRPr="008A2E5A" w:rsidRDefault="00917E4B" w:rsidP="004C5D62">
            <w:pPr>
              <w:spacing w:after="0" w:line="240" w:lineRule="auto"/>
              <w:jc w:val="both"/>
              <w:rPr>
                <w:color w:val="0070C0"/>
                <w:sz w:val="16"/>
                <w:szCs w:val="16"/>
              </w:rPr>
            </w:pPr>
            <w:r w:rsidRPr="008A2E5A">
              <w:rPr>
                <w:color w:val="0070C0"/>
                <w:sz w:val="16"/>
                <w:szCs w:val="16"/>
              </w:rPr>
              <w:t>95 500</w:t>
            </w:r>
          </w:p>
        </w:tc>
        <w:tc>
          <w:tcPr>
            <w:tcW w:w="822" w:type="dxa"/>
          </w:tcPr>
          <w:p w14:paraId="0057510D" w14:textId="77777777" w:rsidR="00917E4B" w:rsidRPr="008A2E5A" w:rsidRDefault="00917E4B" w:rsidP="004C5D62">
            <w:pPr>
              <w:spacing w:after="0" w:line="240" w:lineRule="auto"/>
              <w:jc w:val="both"/>
              <w:rPr>
                <w:color w:val="0070C0"/>
                <w:sz w:val="16"/>
                <w:szCs w:val="16"/>
              </w:rPr>
            </w:pPr>
            <w:r w:rsidRPr="008A2E5A">
              <w:rPr>
                <w:color w:val="0070C0"/>
                <w:sz w:val="16"/>
                <w:szCs w:val="16"/>
              </w:rPr>
              <w:t>78 694</w:t>
            </w:r>
          </w:p>
        </w:tc>
        <w:tc>
          <w:tcPr>
            <w:tcW w:w="822" w:type="dxa"/>
          </w:tcPr>
          <w:p w14:paraId="30CCFD2C" w14:textId="77777777" w:rsidR="00917E4B" w:rsidRPr="008A2E5A" w:rsidRDefault="00917E4B" w:rsidP="004C5D62">
            <w:pPr>
              <w:spacing w:after="0" w:line="240" w:lineRule="auto"/>
              <w:jc w:val="both"/>
              <w:rPr>
                <w:color w:val="0070C0"/>
                <w:sz w:val="16"/>
                <w:szCs w:val="16"/>
              </w:rPr>
            </w:pPr>
            <w:r w:rsidRPr="008A2E5A">
              <w:rPr>
                <w:color w:val="0070C0"/>
                <w:sz w:val="16"/>
                <w:szCs w:val="16"/>
              </w:rPr>
              <w:t>103 000</w:t>
            </w:r>
          </w:p>
        </w:tc>
        <w:tc>
          <w:tcPr>
            <w:tcW w:w="822" w:type="dxa"/>
          </w:tcPr>
          <w:p w14:paraId="43194339" w14:textId="77777777" w:rsidR="00917E4B" w:rsidRPr="008A2E5A" w:rsidRDefault="00917E4B" w:rsidP="004C5D62">
            <w:pPr>
              <w:spacing w:after="0" w:line="240" w:lineRule="auto"/>
              <w:jc w:val="both"/>
              <w:rPr>
                <w:color w:val="0070C0"/>
                <w:sz w:val="16"/>
                <w:szCs w:val="16"/>
              </w:rPr>
            </w:pPr>
            <w:r w:rsidRPr="008A2E5A">
              <w:rPr>
                <w:color w:val="0070C0"/>
                <w:sz w:val="16"/>
                <w:szCs w:val="16"/>
              </w:rPr>
              <w:t>74 907</w:t>
            </w:r>
          </w:p>
        </w:tc>
        <w:tc>
          <w:tcPr>
            <w:tcW w:w="822" w:type="dxa"/>
          </w:tcPr>
          <w:p w14:paraId="3B34B973" w14:textId="77777777" w:rsidR="00917E4B" w:rsidRPr="008A2E5A" w:rsidRDefault="00917E4B" w:rsidP="004C5D62">
            <w:pPr>
              <w:spacing w:after="0" w:line="240" w:lineRule="auto"/>
              <w:jc w:val="both"/>
              <w:rPr>
                <w:color w:val="0070C0"/>
                <w:sz w:val="16"/>
                <w:szCs w:val="16"/>
              </w:rPr>
            </w:pPr>
          </w:p>
        </w:tc>
        <w:tc>
          <w:tcPr>
            <w:tcW w:w="822" w:type="dxa"/>
          </w:tcPr>
          <w:p w14:paraId="70BB3F26" w14:textId="77777777" w:rsidR="00917E4B" w:rsidRPr="008A2E5A" w:rsidRDefault="00917E4B" w:rsidP="004C5D62">
            <w:pPr>
              <w:spacing w:after="0" w:line="240" w:lineRule="auto"/>
              <w:jc w:val="both"/>
              <w:rPr>
                <w:color w:val="0070C0"/>
                <w:sz w:val="16"/>
                <w:szCs w:val="16"/>
              </w:rPr>
            </w:pPr>
          </w:p>
        </w:tc>
        <w:tc>
          <w:tcPr>
            <w:tcW w:w="822" w:type="dxa"/>
          </w:tcPr>
          <w:p w14:paraId="5A7294DB" w14:textId="77777777" w:rsidR="00917E4B" w:rsidRPr="008A2E5A" w:rsidRDefault="00917E4B" w:rsidP="004C5D62">
            <w:pPr>
              <w:spacing w:after="0" w:line="240" w:lineRule="auto"/>
              <w:jc w:val="both"/>
              <w:rPr>
                <w:color w:val="0070C0"/>
                <w:sz w:val="16"/>
                <w:szCs w:val="16"/>
              </w:rPr>
            </w:pPr>
          </w:p>
        </w:tc>
        <w:tc>
          <w:tcPr>
            <w:tcW w:w="822" w:type="dxa"/>
          </w:tcPr>
          <w:p w14:paraId="78C57FBB" w14:textId="77777777" w:rsidR="00917E4B" w:rsidRPr="008A2E5A" w:rsidRDefault="00917E4B" w:rsidP="004C5D62">
            <w:pPr>
              <w:spacing w:after="0" w:line="240" w:lineRule="auto"/>
              <w:jc w:val="both"/>
              <w:rPr>
                <w:color w:val="0070C0"/>
                <w:sz w:val="16"/>
                <w:szCs w:val="16"/>
              </w:rPr>
            </w:pPr>
          </w:p>
        </w:tc>
      </w:tr>
      <w:tr w:rsidR="00917E4B" w:rsidRPr="008A2E5A" w14:paraId="6397CC2C" w14:textId="77777777" w:rsidTr="004C5D62">
        <w:tc>
          <w:tcPr>
            <w:tcW w:w="821" w:type="dxa"/>
          </w:tcPr>
          <w:p w14:paraId="6F277E1F"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л. п. без обойм</w:t>
            </w:r>
          </w:p>
        </w:tc>
        <w:tc>
          <w:tcPr>
            <w:tcW w:w="821" w:type="dxa"/>
          </w:tcPr>
          <w:p w14:paraId="591E64CB" w14:textId="77777777" w:rsidR="00917E4B" w:rsidRPr="008A2E5A" w:rsidRDefault="00917E4B" w:rsidP="004C5D62">
            <w:pPr>
              <w:spacing w:after="0" w:line="240" w:lineRule="auto"/>
              <w:jc w:val="both"/>
              <w:rPr>
                <w:color w:val="0070C0"/>
                <w:sz w:val="16"/>
                <w:szCs w:val="16"/>
              </w:rPr>
            </w:pPr>
            <w:r w:rsidRPr="008A2E5A">
              <w:rPr>
                <w:color w:val="0070C0"/>
                <w:sz w:val="16"/>
                <w:szCs w:val="16"/>
              </w:rPr>
              <w:t>268 500</w:t>
            </w:r>
          </w:p>
        </w:tc>
        <w:tc>
          <w:tcPr>
            <w:tcW w:w="821" w:type="dxa"/>
          </w:tcPr>
          <w:p w14:paraId="7E0DB18F" w14:textId="77777777" w:rsidR="00917E4B" w:rsidRPr="008A2E5A" w:rsidRDefault="00917E4B" w:rsidP="004C5D62">
            <w:pPr>
              <w:spacing w:after="0" w:line="240" w:lineRule="auto"/>
              <w:jc w:val="both"/>
              <w:rPr>
                <w:color w:val="0070C0"/>
                <w:sz w:val="16"/>
                <w:szCs w:val="16"/>
              </w:rPr>
            </w:pPr>
            <w:r w:rsidRPr="008A2E5A">
              <w:rPr>
                <w:color w:val="0070C0"/>
                <w:sz w:val="16"/>
                <w:szCs w:val="16"/>
              </w:rPr>
              <w:t>315 531</w:t>
            </w:r>
          </w:p>
        </w:tc>
        <w:tc>
          <w:tcPr>
            <w:tcW w:w="821" w:type="dxa"/>
          </w:tcPr>
          <w:p w14:paraId="6E61B7C7" w14:textId="77777777" w:rsidR="00917E4B" w:rsidRPr="008A2E5A" w:rsidRDefault="00917E4B" w:rsidP="004C5D62">
            <w:pPr>
              <w:spacing w:after="0" w:line="240" w:lineRule="auto"/>
              <w:jc w:val="both"/>
              <w:rPr>
                <w:color w:val="0070C0"/>
                <w:sz w:val="16"/>
                <w:szCs w:val="16"/>
              </w:rPr>
            </w:pPr>
            <w:r w:rsidRPr="008A2E5A">
              <w:rPr>
                <w:color w:val="0070C0"/>
                <w:sz w:val="16"/>
                <w:szCs w:val="16"/>
              </w:rPr>
              <w:t>73 500</w:t>
            </w:r>
          </w:p>
        </w:tc>
        <w:tc>
          <w:tcPr>
            <w:tcW w:w="822" w:type="dxa"/>
          </w:tcPr>
          <w:p w14:paraId="35D43ECF" w14:textId="77777777" w:rsidR="00917E4B" w:rsidRPr="008A2E5A" w:rsidRDefault="00917E4B" w:rsidP="004C5D62">
            <w:pPr>
              <w:spacing w:after="0" w:line="240" w:lineRule="auto"/>
              <w:jc w:val="both"/>
              <w:rPr>
                <w:color w:val="0070C0"/>
                <w:sz w:val="16"/>
                <w:szCs w:val="16"/>
              </w:rPr>
            </w:pPr>
            <w:r w:rsidRPr="008A2E5A">
              <w:rPr>
                <w:color w:val="0070C0"/>
                <w:sz w:val="16"/>
                <w:szCs w:val="16"/>
              </w:rPr>
              <w:t>87 066</w:t>
            </w:r>
          </w:p>
        </w:tc>
        <w:tc>
          <w:tcPr>
            <w:tcW w:w="822" w:type="dxa"/>
          </w:tcPr>
          <w:p w14:paraId="2A7A6C3C"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127 000</w:t>
            </w:r>
          </w:p>
        </w:tc>
        <w:tc>
          <w:tcPr>
            <w:tcW w:w="822" w:type="dxa"/>
          </w:tcPr>
          <w:p w14:paraId="3596F5E4" w14:textId="77777777" w:rsidR="00917E4B" w:rsidRPr="008A2E5A" w:rsidRDefault="00917E4B" w:rsidP="004C5D62">
            <w:pPr>
              <w:spacing w:after="0" w:line="240" w:lineRule="auto"/>
              <w:jc w:val="both"/>
              <w:rPr>
                <w:color w:val="0070C0"/>
                <w:sz w:val="16"/>
                <w:szCs w:val="16"/>
              </w:rPr>
            </w:pPr>
            <w:r w:rsidRPr="008A2E5A">
              <w:rPr>
                <w:color w:val="0070C0"/>
                <w:sz w:val="16"/>
                <w:szCs w:val="16"/>
              </w:rPr>
              <w:t>120 781</w:t>
            </w:r>
          </w:p>
        </w:tc>
        <w:tc>
          <w:tcPr>
            <w:tcW w:w="822" w:type="dxa"/>
          </w:tcPr>
          <w:p w14:paraId="7B63F93A" w14:textId="77777777" w:rsidR="00917E4B" w:rsidRPr="008A2E5A" w:rsidRDefault="00917E4B" w:rsidP="004C5D62">
            <w:pPr>
              <w:spacing w:after="0" w:line="240" w:lineRule="auto"/>
              <w:jc w:val="both"/>
              <w:rPr>
                <w:color w:val="0070C0"/>
                <w:sz w:val="16"/>
                <w:szCs w:val="16"/>
              </w:rPr>
            </w:pPr>
            <w:r w:rsidRPr="008A2E5A">
              <w:rPr>
                <w:color w:val="0070C0"/>
                <w:sz w:val="16"/>
                <w:szCs w:val="16"/>
              </w:rPr>
              <w:t>175 000</w:t>
            </w:r>
          </w:p>
        </w:tc>
        <w:tc>
          <w:tcPr>
            <w:tcW w:w="822" w:type="dxa"/>
          </w:tcPr>
          <w:p w14:paraId="455D1843" w14:textId="77777777" w:rsidR="00917E4B" w:rsidRPr="008A2E5A" w:rsidRDefault="00917E4B" w:rsidP="004C5D62">
            <w:pPr>
              <w:spacing w:after="0" w:line="240" w:lineRule="auto"/>
              <w:jc w:val="both"/>
              <w:rPr>
                <w:color w:val="0070C0"/>
                <w:sz w:val="16"/>
                <w:szCs w:val="16"/>
              </w:rPr>
            </w:pPr>
            <w:r w:rsidRPr="008A2E5A">
              <w:rPr>
                <w:color w:val="0070C0"/>
                <w:sz w:val="16"/>
                <w:szCs w:val="16"/>
              </w:rPr>
              <w:t>133 558</w:t>
            </w:r>
          </w:p>
        </w:tc>
        <w:tc>
          <w:tcPr>
            <w:tcW w:w="822" w:type="dxa"/>
          </w:tcPr>
          <w:p w14:paraId="1F78954A" w14:textId="77777777" w:rsidR="00917E4B" w:rsidRPr="008A2E5A" w:rsidRDefault="00917E4B" w:rsidP="004C5D62">
            <w:pPr>
              <w:spacing w:after="0" w:line="240" w:lineRule="auto"/>
              <w:jc w:val="both"/>
              <w:rPr>
                <w:color w:val="0070C0"/>
                <w:sz w:val="16"/>
                <w:szCs w:val="16"/>
              </w:rPr>
            </w:pPr>
          </w:p>
        </w:tc>
        <w:tc>
          <w:tcPr>
            <w:tcW w:w="822" w:type="dxa"/>
          </w:tcPr>
          <w:p w14:paraId="7003EE47" w14:textId="77777777" w:rsidR="00917E4B" w:rsidRPr="008A2E5A" w:rsidRDefault="00917E4B" w:rsidP="004C5D62">
            <w:pPr>
              <w:spacing w:after="0" w:line="240" w:lineRule="auto"/>
              <w:jc w:val="both"/>
              <w:rPr>
                <w:color w:val="0070C0"/>
                <w:sz w:val="16"/>
                <w:szCs w:val="16"/>
              </w:rPr>
            </w:pPr>
          </w:p>
        </w:tc>
        <w:tc>
          <w:tcPr>
            <w:tcW w:w="822" w:type="dxa"/>
          </w:tcPr>
          <w:p w14:paraId="61D9150C" w14:textId="77777777" w:rsidR="00917E4B" w:rsidRPr="008A2E5A" w:rsidRDefault="00917E4B" w:rsidP="004C5D62">
            <w:pPr>
              <w:spacing w:after="0" w:line="240" w:lineRule="auto"/>
              <w:jc w:val="both"/>
              <w:rPr>
                <w:color w:val="0070C0"/>
                <w:sz w:val="16"/>
                <w:szCs w:val="16"/>
              </w:rPr>
            </w:pPr>
          </w:p>
        </w:tc>
        <w:tc>
          <w:tcPr>
            <w:tcW w:w="822" w:type="dxa"/>
          </w:tcPr>
          <w:p w14:paraId="600965EB" w14:textId="77777777" w:rsidR="00917E4B" w:rsidRPr="008A2E5A" w:rsidRDefault="00917E4B" w:rsidP="004C5D62">
            <w:pPr>
              <w:spacing w:after="0" w:line="240" w:lineRule="auto"/>
              <w:jc w:val="both"/>
              <w:rPr>
                <w:color w:val="0070C0"/>
                <w:sz w:val="16"/>
                <w:szCs w:val="16"/>
              </w:rPr>
            </w:pPr>
          </w:p>
        </w:tc>
      </w:tr>
      <w:tr w:rsidR="00917E4B" w:rsidRPr="008A2E5A" w14:paraId="24EAA456" w14:textId="77777777" w:rsidTr="004C5D62">
        <w:tc>
          <w:tcPr>
            <w:tcW w:w="821" w:type="dxa"/>
          </w:tcPr>
          <w:p w14:paraId="5180B217" w14:textId="77777777" w:rsidR="00917E4B" w:rsidRPr="008A2E5A" w:rsidRDefault="00917E4B" w:rsidP="004C5D62">
            <w:pPr>
              <w:spacing w:after="0" w:line="240" w:lineRule="auto"/>
              <w:jc w:val="both"/>
              <w:rPr>
                <w:color w:val="0070C0"/>
                <w:sz w:val="16"/>
                <w:szCs w:val="16"/>
              </w:rPr>
            </w:pPr>
            <w:r w:rsidRPr="008A2E5A">
              <w:rPr>
                <w:color w:val="0070C0"/>
                <w:sz w:val="16"/>
                <w:szCs w:val="16"/>
              </w:rPr>
              <w:lastRenderedPageBreak/>
              <w:t>7,62-мм тяжелые</w:t>
            </w:r>
          </w:p>
        </w:tc>
        <w:tc>
          <w:tcPr>
            <w:tcW w:w="821" w:type="dxa"/>
          </w:tcPr>
          <w:p w14:paraId="513CEABB" w14:textId="77777777" w:rsidR="00917E4B" w:rsidRPr="008A2E5A" w:rsidRDefault="00917E4B" w:rsidP="004C5D62">
            <w:pPr>
              <w:spacing w:after="0" w:line="240" w:lineRule="auto"/>
              <w:jc w:val="both"/>
              <w:rPr>
                <w:color w:val="0070C0"/>
                <w:sz w:val="16"/>
                <w:szCs w:val="16"/>
              </w:rPr>
            </w:pPr>
            <w:r w:rsidRPr="008A2E5A">
              <w:rPr>
                <w:color w:val="0070C0"/>
                <w:sz w:val="16"/>
                <w:szCs w:val="16"/>
              </w:rPr>
              <w:t>261 000</w:t>
            </w:r>
          </w:p>
        </w:tc>
        <w:tc>
          <w:tcPr>
            <w:tcW w:w="821" w:type="dxa"/>
          </w:tcPr>
          <w:p w14:paraId="2905E1A0" w14:textId="77777777" w:rsidR="00917E4B" w:rsidRPr="008A2E5A" w:rsidRDefault="00917E4B" w:rsidP="004C5D62">
            <w:pPr>
              <w:spacing w:after="0" w:line="240" w:lineRule="auto"/>
              <w:jc w:val="both"/>
              <w:rPr>
                <w:color w:val="0070C0"/>
                <w:sz w:val="16"/>
                <w:szCs w:val="16"/>
              </w:rPr>
            </w:pPr>
            <w:r w:rsidRPr="008A2E5A">
              <w:rPr>
                <w:color w:val="0070C0"/>
                <w:sz w:val="16"/>
                <w:szCs w:val="16"/>
              </w:rPr>
              <w:t>221970</w:t>
            </w:r>
          </w:p>
        </w:tc>
        <w:tc>
          <w:tcPr>
            <w:tcW w:w="821" w:type="dxa"/>
          </w:tcPr>
          <w:p w14:paraId="61AD7ADC" w14:textId="77777777" w:rsidR="00917E4B" w:rsidRPr="008A2E5A" w:rsidRDefault="00917E4B" w:rsidP="004C5D62">
            <w:pPr>
              <w:spacing w:after="0" w:line="240" w:lineRule="auto"/>
              <w:jc w:val="both"/>
              <w:rPr>
                <w:color w:val="0070C0"/>
                <w:sz w:val="16"/>
                <w:szCs w:val="16"/>
              </w:rPr>
            </w:pPr>
            <w:r w:rsidRPr="008A2E5A">
              <w:rPr>
                <w:color w:val="0070C0"/>
                <w:sz w:val="16"/>
                <w:szCs w:val="16"/>
              </w:rPr>
              <w:t>51000</w:t>
            </w:r>
          </w:p>
        </w:tc>
        <w:tc>
          <w:tcPr>
            <w:tcW w:w="822" w:type="dxa"/>
          </w:tcPr>
          <w:p w14:paraId="574F2B8D" w14:textId="77777777" w:rsidR="00917E4B" w:rsidRPr="008A2E5A" w:rsidRDefault="00917E4B" w:rsidP="004C5D62">
            <w:pPr>
              <w:spacing w:after="0" w:line="240" w:lineRule="auto"/>
              <w:jc w:val="both"/>
              <w:rPr>
                <w:color w:val="0070C0"/>
                <w:sz w:val="16"/>
                <w:szCs w:val="16"/>
              </w:rPr>
            </w:pPr>
            <w:r w:rsidRPr="008A2E5A">
              <w:rPr>
                <w:color w:val="0070C0"/>
                <w:sz w:val="16"/>
                <w:szCs w:val="16"/>
              </w:rPr>
              <w:t>71224</w:t>
            </w:r>
          </w:p>
        </w:tc>
        <w:tc>
          <w:tcPr>
            <w:tcW w:w="822" w:type="dxa"/>
          </w:tcPr>
          <w:p w14:paraId="1346B411" w14:textId="77777777" w:rsidR="00917E4B" w:rsidRPr="008A2E5A" w:rsidRDefault="00917E4B" w:rsidP="004C5D62">
            <w:pPr>
              <w:spacing w:after="0" w:line="240" w:lineRule="auto"/>
              <w:jc w:val="both"/>
              <w:rPr>
                <w:color w:val="0070C0"/>
                <w:sz w:val="16"/>
                <w:szCs w:val="16"/>
              </w:rPr>
            </w:pPr>
            <w:r w:rsidRPr="008A2E5A">
              <w:rPr>
                <w:color w:val="0070C0"/>
                <w:sz w:val="16"/>
                <w:szCs w:val="16"/>
              </w:rPr>
              <w:t>65 000</w:t>
            </w:r>
          </w:p>
        </w:tc>
        <w:tc>
          <w:tcPr>
            <w:tcW w:w="822" w:type="dxa"/>
          </w:tcPr>
          <w:p w14:paraId="1A769C9C" w14:textId="77777777" w:rsidR="00917E4B" w:rsidRPr="008A2E5A" w:rsidRDefault="00917E4B" w:rsidP="004C5D62">
            <w:pPr>
              <w:spacing w:after="0" w:line="240" w:lineRule="auto"/>
              <w:jc w:val="both"/>
              <w:rPr>
                <w:color w:val="0070C0"/>
                <w:sz w:val="16"/>
                <w:szCs w:val="16"/>
              </w:rPr>
            </w:pPr>
            <w:r w:rsidRPr="008A2E5A">
              <w:rPr>
                <w:color w:val="0070C0"/>
                <w:sz w:val="16"/>
                <w:szCs w:val="16"/>
              </w:rPr>
              <w:t>68 813</w:t>
            </w:r>
          </w:p>
        </w:tc>
        <w:tc>
          <w:tcPr>
            <w:tcW w:w="822" w:type="dxa"/>
          </w:tcPr>
          <w:p w14:paraId="5362DB7F" w14:textId="77777777" w:rsidR="00917E4B" w:rsidRPr="008A2E5A" w:rsidRDefault="00917E4B" w:rsidP="004C5D62">
            <w:pPr>
              <w:spacing w:after="0" w:line="240" w:lineRule="auto"/>
              <w:jc w:val="both"/>
              <w:rPr>
                <w:color w:val="0070C0"/>
                <w:sz w:val="16"/>
                <w:szCs w:val="16"/>
              </w:rPr>
            </w:pPr>
            <w:r w:rsidRPr="008A2E5A">
              <w:rPr>
                <w:color w:val="0070C0"/>
                <w:sz w:val="16"/>
                <w:szCs w:val="16"/>
              </w:rPr>
              <w:t>75 000</w:t>
            </w:r>
          </w:p>
        </w:tc>
        <w:tc>
          <w:tcPr>
            <w:tcW w:w="822" w:type="dxa"/>
          </w:tcPr>
          <w:p w14:paraId="128B7447" w14:textId="77777777" w:rsidR="00917E4B" w:rsidRPr="008A2E5A" w:rsidRDefault="00917E4B" w:rsidP="004C5D62">
            <w:pPr>
              <w:spacing w:after="0" w:line="240" w:lineRule="auto"/>
              <w:jc w:val="both"/>
              <w:rPr>
                <w:color w:val="0070C0"/>
                <w:sz w:val="16"/>
                <w:szCs w:val="16"/>
              </w:rPr>
            </w:pPr>
            <w:r w:rsidRPr="008A2E5A">
              <w:rPr>
                <w:color w:val="0070C0"/>
                <w:sz w:val="16"/>
                <w:szCs w:val="16"/>
              </w:rPr>
              <w:t>58 713</w:t>
            </w:r>
          </w:p>
        </w:tc>
        <w:tc>
          <w:tcPr>
            <w:tcW w:w="822" w:type="dxa"/>
          </w:tcPr>
          <w:p w14:paraId="0AF872CE" w14:textId="77777777" w:rsidR="00917E4B" w:rsidRPr="008A2E5A" w:rsidRDefault="00917E4B" w:rsidP="004C5D62">
            <w:pPr>
              <w:spacing w:after="0" w:line="240" w:lineRule="auto"/>
              <w:jc w:val="both"/>
              <w:rPr>
                <w:color w:val="0070C0"/>
                <w:sz w:val="16"/>
                <w:szCs w:val="16"/>
              </w:rPr>
            </w:pPr>
          </w:p>
        </w:tc>
        <w:tc>
          <w:tcPr>
            <w:tcW w:w="822" w:type="dxa"/>
          </w:tcPr>
          <w:p w14:paraId="78590659" w14:textId="77777777" w:rsidR="00917E4B" w:rsidRPr="008A2E5A" w:rsidRDefault="00917E4B" w:rsidP="004C5D62">
            <w:pPr>
              <w:spacing w:after="0" w:line="240" w:lineRule="auto"/>
              <w:jc w:val="both"/>
              <w:rPr>
                <w:color w:val="0070C0"/>
                <w:sz w:val="16"/>
                <w:szCs w:val="16"/>
              </w:rPr>
            </w:pPr>
          </w:p>
        </w:tc>
        <w:tc>
          <w:tcPr>
            <w:tcW w:w="822" w:type="dxa"/>
          </w:tcPr>
          <w:p w14:paraId="0A558969" w14:textId="77777777" w:rsidR="00917E4B" w:rsidRPr="008A2E5A" w:rsidRDefault="00917E4B" w:rsidP="004C5D62">
            <w:pPr>
              <w:spacing w:after="0" w:line="240" w:lineRule="auto"/>
              <w:jc w:val="both"/>
              <w:rPr>
                <w:color w:val="0070C0"/>
                <w:sz w:val="16"/>
                <w:szCs w:val="16"/>
              </w:rPr>
            </w:pPr>
          </w:p>
        </w:tc>
        <w:tc>
          <w:tcPr>
            <w:tcW w:w="822" w:type="dxa"/>
          </w:tcPr>
          <w:p w14:paraId="0E85250A" w14:textId="77777777" w:rsidR="00917E4B" w:rsidRPr="008A2E5A" w:rsidRDefault="00917E4B" w:rsidP="004C5D62">
            <w:pPr>
              <w:spacing w:after="0" w:line="240" w:lineRule="auto"/>
              <w:jc w:val="both"/>
              <w:rPr>
                <w:color w:val="0070C0"/>
                <w:sz w:val="16"/>
                <w:szCs w:val="16"/>
              </w:rPr>
            </w:pPr>
          </w:p>
        </w:tc>
      </w:tr>
      <w:tr w:rsidR="00917E4B" w:rsidRPr="008A2E5A" w14:paraId="361CF719" w14:textId="77777777" w:rsidTr="004C5D62">
        <w:tc>
          <w:tcPr>
            <w:tcW w:w="821" w:type="dxa"/>
          </w:tcPr>
          <w:p w14:paraId="58AF3774"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w:t>
            </w:r>
            <w:proofErr w:type="gramStart"/>
            <w:r w:rsidRPr="008A2E5A">
              <w:rPr>
                <w:color w:val="0070C0"/>
                <w:sz w:val="16"/>
                <w:szCs w:val="16"/>
              </w:rPr>
              <w:t>мм  Б</w:t>
            </w:r>
            <w:proofErr w:type="gramEnd"/>
            <w:r w:rsidRPr="008A2E5A">
              <w:rPr>
                <w:color w:val="0070C0"/>
                <w:sz w:val="16"/>
                <w:szCs w:val="16"/>
              </w:rPr>
              <w:t>-32</w:t>
            </w:r>
          </w:p>
        </w:tc>
        <w:tc>
          <w:tcPr>
            <w:tcW w:w="821" w:type="dxa"/>
          </w:tcPr>
          <w:p w14:paraId="54EF5087" w14:textId="77777777" w:rsidR="00917E4B" w:rsidRPr="008A2E5A" w:rsidRDefault="00917E4B" w:rsidP="004C5D62">
            <w:pPr>
              <w:spacing w:after="0" w:line="240" w:lineRule="auto"/>
              <w:jc w:val="both"/>
              <w:rPr>
                <w:color w:val="0070C0"/>
                <w:sz w:val="16"/>
                <w:szCs w:val="16"/>
              </w:rPr>
            </w:pPr>
            <w:r w:rsidRPr="008A2E5A">
              <w:rPr>
                <w:color w:val="0070C0"/>
                <w:sz w:val="16"/>
                <w:szCs w:val="16"/>
              </w:rPr>
              <w:t>56 000</w:t>
            </w:r>
          </w:p>
        </w:tc>
        <w:tc>
          <w:tcPr>
            <w:tcW w:w="821" w:type="dxa"/>
          </w:tcPr>
          <w:p w14:paraId="7BF140C1" w14:textId="77777777" w:rsidR="00917E4B" w:rsidRPr="008A2E5A" w:rsidRDefault="00917E4B" w:rsidP="004C5D62">
            <w:pPr>
              <w:spacing w:after="0" w:line="240" w:lineRule="auto"/>
              <w:jc w:val="both"/>
              <w:rPr>
                <w:color w:val="0070C0"/>
                <w:sz w:val="16"/>
                <w:szCs w:val="16"/>
              </w:rPr>
            </w:pPr>
            <w:r w:rsidRPr="008A2E5A">
              <w:rPr>
                <w:color w:val="0070C0"/>
                <w:sz w:val="16"/>
                <w:szCs w:val="16"/>
              </w:rPr>
              <w:t>53 913</w:t>
            </w:r>
          </w:p>
        </w:tc>
        <w:tc>
          <w:tcPr>
            <w:tcW w:w="821" w:type="dxa"/>
          </w:tcPr>
          <w:p w14:paraId="714E13A9"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2" w:type="dxa"/>
          </w:tcPr>
          <w:p w14:paraId="5B553BCB"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10 074</w:t>
            </w:r>
          </w:p>
        </w:tc>
        <w:tc>
          <w:tcPr>
            <w:tcW w:w="822" w:type="dxa"/>
          </w:tcPr>
          <w:p w14:paraId="6FE3CF42" w14:textId="77777777" w:rsidR="00917E4B" w:rsidRPr="008A2E5A" w:rsidRDefault="00917E4B" w:rsidP="004C5D62">
            <w:pPr>
              <w:spacing w:after="0" w:line="240" w:lineRule="auto"/>
              <w:jc w:val="both"/>
              <w:rPr>
                <w:color w:val="0070C0"/>
                <w:sz w:val="16"/>
                <w:szCs w:val="16"/>
              </w:rPr>
            </w:pPr>
            <w:r w:rsidRPr="008A2E5A">
              <w:rPr>
                <w:color w:val="0070C0"/>
                <w:sz w:val="16"/>
                <w:szCs w:val="16"/>
              </w:rPr>
              <w:t>9000</w:t>
            </w:r>
          </w:p>
        </w:tc>
        <w:tc>
          <w:tcPr>
            <w:tcW w:w="822" w:type="dxa"/>
          </w:tcPr>
          <w:p w14:paraId="11930221" w14:textId="77777777" w:rsidR="00917E4B" w:rsidRPr="008A2E5A" w:rsidRDefault="00917E4B" w:rsidP="004C5D62">
            <w:pPr>
              <w:spacing w:after="0" w:line="240" w:lineRule="auto"/>
              <w:jc w:val="both"/>
              <w:rPr>
                <w:color w:val="0070C0"/>
                <w:sz w:val="16"/>
                <w:szCs w:val="16"/>
              </w:rPr>
            </w:pPr>
            <w:r w:rsidRPr="008A2E5A">
              <w:rPr>
                <w:color w:val="0070C0"/>
                <w:sz w:val="16"/>
                <w:szCs w:val="16"/>
              </w:rPr>
              <w:t>12 384</w:t>
            </w:r>
          </w:p>
        </w:tc>
        <w:tc>
          <w:tcPr>
            <w:tcW w:w="822" w:type="dxa"/>
          </w:tcPr>
          <w:p w14:paraId="4FC555DF" w14:textId="77777777" w:rsidR="00917E4B" w:rsidRPr="008A2E5A" w:rsidRDefault="00917E4B" w:rsidP="004C5D62">
            <w:pPr>
              <w:spacing w:after="0" w:line="240" w:lineRule="auto"/>
              <w:jc w:val="both"/>
              <w:rPr>
                <w:color w:val="0070C0"/>
                <w:sz w:val="16"/>
                <w:szCs w:val="16"/>
              </w:rPr>
            </w:pPr>
            <w:r w:rsidRPr="008A2E5A">
              <w:rPr>
                <w:color w:val="0070C0"/>
                <w:sz w:val="16"/>
                <w:szCs w:val="16"/>
              </w:rPr>
              <w:t>12 600</w:t>
            </w:r>
          </w:p>
        </w:tc>
        <w:tc>
          <w:tcPr>
            <w:tcW w:w="822" w:type="dxa"/>
          </w:tcPr>
          <w:p w14:paraId="607C3A74" w14:textId="77777777" w:rsidR="00917E4B" w:rsidRPr="008A2E5A" w:rsidRDefault="00917E4B" w:rsidP="004C5D62">
            <w:pPr>
              <w:spacing w:after="0" w:line="240" w:lineRule="auto"/>
              <w:jc w:val="both"/>
              <w:rPr>
                <w:color w:val="0070C0"/>
                <w:sz w:val="16"/>
                <w:szCs w:val="16"/>
              </w:rPr>
            </w:pPr>
            <w:r w:rsidRPr="008A2E5A">
              <w:rPr>
                <w:color w:val="0070C0"/>
                <w:sz w:val="16"/>
                <w:szCs w:val="16"/>
              </w:rPr>
              <w:t xml:space="preserve">12 </w:t>
            </w:r>
            <w:proofErr w:type="gramStart"/>
            <w:r w:rsidRPr="008A2E5A">
              <w:rPr>
                <w:color w:val="0070C0"/>
                <w:sz w:val="16"/>
                <w:szCs w:val="16"/>
              </w:rPr>
              <w:t>817 ,</w:t>
            </w:r>
            <w:proofErr w:type="gramEnd"/>
          </w:p>
        </w:tc>
        <w:tc>
          <w:tcPr>
            <w:tcW w:w="822" w:type="dxa"/>
          </w:tcPr>
          <w:p w14:paraId="18DB6A4E" w14:textId="77777777" w:rsidR="00917E4B" w:rsidRPr="008A2E5A" w:rsidRDefault="00917E4B" w:rsidP="004C5D62">
            <w:pPr>
              <w:spacing w:after="0" w:line="240" w:lineRule="auto"/>
              <w:jc w:val="both"/>
              <w:rPr>
                <w:color w:val="0070C0"/>
                <w:sz w:val="16"/>
                <w:szCs w:val="16"/>
              </w:rPr>
            </w:pPr>
          </w:p>
        </w:tc>
        <w:tc>
          <w:tcPr>
            <w:tcW w:w="822" w:type="dxa"/>
          </w:tcPr>
          <w:p w14:paraId="3489F6F9" w14:textId="77777777" w:rsidR="00917E4B" w:rsidRPr="008A2E5A" w:rsidRDefault="00917E4B" w:rsidP="004C5D62">
            <w:pPr>
              <w:spacing w:after="0" w:line="240" w:lineRule="auto"/>
              <w:jc w:val="both"/>
              <w:rPr>
                <w:color w:val="0070C0"/>
                <w:sz w:val="16"/>
                <w:szCs w:val="16"/>
              </w:rPr>
            </w:pPr>
          </w:p>
        </w:tc>
        <w:tc>
          <w:tcPr>
            <w:tcW w:w="822" w:type="dxa"/>
          </w:tcPr>
          <w:p w14:paraId="2BD4709F" w14:textId="77777777" w:rsidR="00917E4B" w:rsidRPr="008A2E5A" w:rsidRDefault="00917E4B" w:rsidP="004C5D62">
            <w:pPr>
              <w:spacing w:after="0" w:line="240" w:lineRule="auto"/>
              <w:jc w:val="both"/>
              <w:rPr>
                <w:color w:val="0070C0"/>
                <w:sz w:val="16"/>
                <w:szCs w:val="16"/>
              </w:rPr>
            </w:pPr>
          </w:p>
        </w:tc>
        <w:tc>
          <w:tcPr>
            <w:tcW w:w="822" w:type="dxa"/>
          </w:tcPr>
          <w:p w14:paraId="0FF14627" w14:textId="77777777" w:rsidR="00917E4B" w:rsidRPr="008A2E5A" w:rsidRDefault="00917E4B" w:rsidP="004C5D62">
            <w:pPr>
              <w:spacing w:after="0" w:line="240" w:lineRule="auto"/>
              <w:jc w:val="both"/>
              <w:rPr>
                <w:color w:val="0070C0"/>
                <w:sz w:val="16"/>
                <w:szCs w:val="16"/>
              </w:rPr>
            </w:pPr>
          </w:p>
        </w:tc>
      </w:tr>
      <w:tr w:rsidR="00917E4B" w:rsidRPr="008A2E5A" w14:paraId="7FC4404B" w14:textId="77777777" w:rsidTr="004C5D62">
        <w:tc>
          <w:tcPr>
            <w:tcW w:w="821" w:type="dxa"/>
          </w:tcPr>
          <w:p w14:paraId="10404503"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Т-30, Т-46</w:t>
            </w:r>
          </w:p>
        </w:tc>
        <w:tc>
          <w:tcPr>
            <w:tcW w:w="821" w:type="dxa"/>
          </w:tcPr>
          <w:p w14:paraId="0CA45025" w14:textId="77777777" w:rsidR="00917E4B" w:rsidRPr="008A2E5A" w:rsidRDefault="00917E4B" w:rsidP="004C5D62">
            <w:pPr>
              <w:spacing w:after="0" w:line="240" w:lineRule="auto"/>
              <w:jc w:val="both"/>
              <w:rPr>
                <w:color w:val="0070C0"/>
                <w:sz w:val="16"/>
                <w:szCs w:val="16"/>
              </w:rPr>
            </w:pPr>
            <w:r w:rsidRPr="008A2E5A">
              <w:rPr>
                <w:color w:val="0070C0"/>
                <w:sz w:val="16"/>
                <w:szCs w:val="16"/>
              </w:rPr>
              <w:t>24 000</w:t>
            </w:r>
          </w:p>
        </w:tc>
        <w:tc>
          <w:tcPr>
            <w:tcW w:w="821" w:type="dxa"/>
          </w:tcPr>
          <w:p w14:paraId="16A35CEE" w14:textId="77777777" w:rsidR="00917E4B" w:rsidRPr="008A2E5A" w:rsidRDefault="00917E4B" w:rsidP="004C5D62">
            <w:pPr>
              <w:spacing w:after="0" w:line="240" w:lineRule="auto"/>
              <w:jc w:val="both"/>
              <w:rPr>
                <w:color w:val="0070C0"/>
                <w:sz w:val="16"/>
                <w:szCs w:val="16"/>
              </w:rPr>
            </w:pPr>
            <w:r w:rsidRPr="008A2E5A">
              <w:rPr>
                <w:color w:val="0070C0"/>
                <w:sz w:val="16"/>
                <w:szCs w:val="16"/>
              </w:rPr>
              <w:t>13 099</w:t>
            </w:r>
          </w:p>
        </w:tc>
        <w:tc>
          <w:tcPr>
            <w:tcW w:w="821" w:type="dxa"/>
          </w:tcPr>
          <w:p w14:paraId="1430E6DD"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7000</w:t>
            </w:r>
          </w:p>
        </w:tc>
        <w:tc>
          <w:tcPr>
            <w:tcW w:w="822" w:type="dxa"/>
          </w:tcPr>
          <w:p w14:paraId="33155BF1" w14:textId="77777777" w:rsidR="00917E4B" w:rsidRPr="008A2E5A" w:rsidRDefault="00917E4B" w:rsidP="004C5D62">
            <w:pPr>
              <w:spacing w:after="0" w:line="240" w:lineRule="auto"/>
              <w:jc w:val="both"/>
              <w:rPr>
                <w:color w:val="0070C0"/>
                <w:sz w:val="16"/>
                <w:szCs w:val="16"/>
              </w:rPr>
            </w:pPr>
            <w:r w:rsidRPr="008A2E5A">
              <w:rPr>
                <w:color w:val="0070C0"/>
                <w:sz w:val="16"/>
                <w:szCs w:val="16"/>
              </w:rPr>
              <w:t>7358</w:t>
            </w:r>
          </w:p>
        </w:tc>
        <w:tc>
          <w:tcPr>
            <w:tcW w:w="822" w:type="dxa"/>
          </w:tcPr>
          <w:p w14:paraId="5574F41B"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6000</w:t>
            </w:r>
          </w:p>
        </w:tc>
        <w:tc>
          <w:tcPr>
            <w:tcW w:w="822" w:type="dxa"/>
          </w:tcPr>
          <w:p w14:paraId="02C59B8F" w14:textId="77777777" w:rsidR="00917E4B" w:rsidRPr="008A2E5A" w:rsidRDefault="00917E4B" w:rsidP="004C5D62">
            <w:pPr>
              <w:spacing w:after="0" w:line="240" w:lineRule="auto"/>
              <w:jc w:val="both"/>
              <w:rPr>
                <w:color w:val="0070C0"/>
                <w:sz w:val="16"/>
                <w:szCs w:val="16"/>
              </w:rPr>
            </w:pPr>
            <w:r w:rsidRPr="008A2E5A">
              <w:rPr>
                <w:color w:val="0070C0"/>
                <w:sz w:val="16"/>
                <w:szCs w:val="16"/>
              </w:rPr>
              <w:t>12 746</w:t>
            </w:r>
          </w:p>
        </w:tc>
        <w:tc>
          <w:tcPr>
            <w:tcW w:w="822" w:type="dxa"/>
          </w:tcPr>
          <w:p w14:paraId="71ED7811"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7000</w:t>
            </w:r>
          </w:p>
        </w:tc>
        <w:tc>
          <w:tcPr>
            <w:tcW w:w="822" w:type="dxa"/>
          </w:tcPr>
          <w:p w14:paraId="3E240A15" w14:textId="77777777" w:rsidR="00917E4B" w:rsidRPr="008A2E5A" w:rsidRDefault="00917E4B" w:rsidP="004C5D62">
            <w:pPr>
              <w:spacing w:after="0" w:line="240" w:lineRule="auto"/>
              <w:jc w:val="both"/>
              <w:rPr>
                <w:color w:val="0070C0"/>
                <w:sz w:val="16"/>
                <w:szCs w:val="16"/>
              </w:rPr>
            </w:pPr>
            <w:r w:rsidRPr="008A2E5A">
              <w:rPr>
                <w:color w:val="0070C0"/>
                <w:sz w:val="16"/>
                <w:szCs w:val="16"/>
              </w:rPr>
              <w:t>8235</w:t>
            </w:r>
          </w:p>
        </w:tc>
        <w:tc>
          <w:tcPr>
            <w:tcW w:w="822" w:type="dxa"/>
          </w:tcPr>
          <w:p w14:paraId="07A39363" w14:textId="77777777" w:rsidR="00917E4B" w:rsidRPr="008A2E5A" w:rsidRDefault="00917E4B" w:rsidP="004C5D62">
            <w:pPr>
              <w:spacing w:after="0" w:line="240" w:lineRule="auto"/>
              <w:jc w:val="both"/>
              <w:rPr>
                <w:color w:val="0070C0"/>
                <w:sz w:val="16"/>
                <w:szCs w:val="16"/>
              </w:rPr>
            </w:pPr>
          </w:p>
        </w:tc>
        <w:tc>
          <w:tcPr>
            <w:tcW w:w="822" w:type="dxa"/>
          </w:tcPr>
          <w:p w14:paraId="2959E295" w14:textId="77777777" w:rsidR="00917E4B" w:rsidRPr="008A2E5A" w:rsidRDefault="00917E4B" w:rsidP="004C5D62">
            <w:pPr>
              <w:spacing w:after="0" w:line="240" w:lineRule="auto"/>
              <w:jc w:val="both"/>
              <w:rPr>
                <w:color w:val="0070C0"/>
                <w:sz w:val="16"/>
                <w:szCs w:val="16"/>
              </w:rPr>
            </w:pPr>
          </w:p>
        </w:tc>
        <w:tc>
          <w:tcPr>
            <w:tcW w:w="822" w:type="dxa"/>
          </w:tcPr>
          <w:p w14:paraId="785628A5" w14:textId="77777777" w:rsidR="00917E4B" w:rsidRPr="008A2E5A" w:rsidRDefault="00917E4B" w:rsidP="004C5D62">
            <w:pPr>
              <w:spacing w:after="0" w:line="240" w:lineRule="auto"/>
              <w:jc w:val="both"/>
              <w:rPr>
                <w:color w:val="0070C0"/>
                <w:sz w:val="16"/>
                <w:szCs w:val="16"/>
              </w:rPr>
            </w:pPr>
          </w:p>
        </w:tc>
        <w:tc>
          <w:tcPr>
            <w:tcW w:w="822" w:type="dxa"/>
          </w:tcPr>
          <w:p w14:paraId="1C623CD4" w14:textId="77777777" w:rsidR="00917E4B" w:rsidRPr="008A2E5A" w:rsidRDefault="00917E4B" w:rsidP="004C5D62">
            <w:pPr>
              <w:spacing w:after="0" w:line="240" w:lineRule="auto"/>
              <w:jc w:val="both"/>
              <w:rPr>
                <w:color w:val="0070C0"/>
                <w:sz w:val="16"/>
                <w:szCs w:val="16"/>
              </w:rPr>
            </w:pPr>
          </w:p>
        </w:tc>
      </w:tr>
      <w:tr w:rsidR="00917E4B" w:rsidRPr="008A2E5A" w14:paraId="65AAF522" w14:textId="77777777" w:rsidTr="004C5D62">
        <w:tc>
          <w:tcPr>
            <w:tcW w:w="821" w:type="dxa"/>
          </w:tcPr>
          <w:p w14:paraId="26E36EB0"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БС-40</w:t>
            </w:r>
          </w:p>
        </w:tc>
        <w:tc>
          <w:tcPr>
            <w:tcW w:w="821" w:type="dxa"/>
          </w:tcPr>
          <w:p w14:paraId="7E1A3013" w14:textId="77777777" w:rsidR="00917E4B" w:rsidRPr="008A2E5A" w:rsidRDefault="00917E4B" w:rsidP="004C5D62">
            <w:pPr>
              <w:spacing w:after="0" w:line="240" w:lineRule="auto"/>
              <w:jc w:val="both"/>
              <w:rPr>
                <w:color w:val="0070C0"/>
                <w:sz w:val="16"/>
                <w:szCs w:val="16"/>
              </w:rPr>
            </w:pPr>
          </w:p>
        </w:tc>
        <w:tc>
          <w:tcPr>
            <w:tcW w:w="821" w:type="dxa"/>
          </w:tcPr>
          <w:p w14:paraId="4DB33672" w14:textId="77777777" w:rsidR="00917E4B" w:rsidRPr="008A2E5A" w:rsidRDefault="00917E4B" w:rsidP="004C5D62">
            <w:pPr>
              <w:spacing w:after="0" w:line="240" w:lineRule="auto"/>
              <w:jc w:val="both"/>
              <w:rPr>
                <w:color w:val="0070C0"/>
                <w:sz w:val="16"/>
                <w:szCs w:val="16"/>
              </w:rPr>
            </w:pPr>
          </w:p>
        </w:tc>
        <w:tc>
          <w:tcPr>
            <w:tcW w:w="821" w:type="dxa"/>
          </w:tcPr>
          <w:p w14:paraId="6F3CA2D4" w14:textId="77777777" w:rsidR="00917E4B" w:rsidRPr="008A2E5A" w:rsidRDefault="00917E4B" w:rsidP="004C5D62">
            <w:pPr>
              <w:spacing w:after="0" w:line="240" w:lineRule="auto"/>
              <w:jc w:val="both"/>
              <w:rPr>
                <w:color w:val="0070C0"/>
                <w:sz w:val="16"/>
                <w:szCs w:val="16"/>
              </w:rPr>
            </w:pPr>
            <w:r w:rsidRPr="008A2E5A">
              <w:rPr>
                <w:color w:val="0070C0"/>
                <w:sz w:val="16"/>
                <w:szCs w:val="16"/>
              </w:rPr>
              <w:t>40</w:t>
            </w:r>
          </w:p>
        </w:tc>
        <w:tc>
          <w:tcPr>
            <w:tcW w:w="822" w:type="dxa"/>
          </w:tcPr>
          <w:p w14:paraId="043FA30B" w14:textId="77777777" w:rsidR="00917E4B" w:rsidRPr="008A2E5A" w:rsidRDefault="00917E4B" w:rsidP="004C5D62">
            <w:pPr>
              <w:spacing w:after="0" w:line="240" w:lineRule="auto"/>
              <w:jc w:val="both"/>
              <w:rPr>
                <w:color w:val="0070C0"/>
                <w:sz w:val="16"/>
                <w:szCs w:val="16"/>
              </w:rPr>
            </w:pPr>
            <w:r w:rsidRPr="008A2E5A">
              <w:rPr>
                <w:color w:val="0070C0"/>
                <w:sz w:val="16"/>
                <w:szCs w:val="16"/>
              </w:rPr>
              <w:t>10</w:t>
            </w:r>
          </w:p>
        </w:tc>
        <w:tc>
          <w:tcPr>
            <w:tcW w:w="822" w:type="dxa"/>
          </w:tcPr>
          <w:p w14:paraId="185E9293"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w:t>
            </w:r>
          </w:p>
        </w:tc>
        <w:tc>
          <w:tcPr>
            <w:tcW w:w="822" w:type="dxa"/>
          </w:tcPr>
          <w:p w14:paraId="7F29C001" w14:textId="77777777" w:rsidR="00917E4B" w:rsidRPr="008A2E5A" w:rsidRDefault="00917E4B" w:rsidP="004C5D62">
            <w:pPr>
              <w:spacing w:after="0" w:line="240" w:lineRule="auto"/>
              <w:jc w:val="both"/>
              <w:rPr>
                <w:color w:val="0070C0"/>
                <w:sz w:val="16"/>
                <w:szCs w:val="16"/>
              </w:rPr>
            </w:pPr>
            <w:r w:rsidRPr="008A2E5A">
              <w:rPr>
                <w:color w:val="0070C0"/>
                <w:sz w:val="16"/>
                <w:szCs w:val="16"/>
              </w:rPr>
              <w:t>301</w:t>
            </w:r>
          </w:p>
        </w:tc>
        <w:tc>
          <w:tcPr>
            <w:tcW w:w="822" w:type="dxa"/>
          </w:tcPr>
          <w:p w14:paraId="7FB7E5D0"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w:t>
            </w:r>
          </w:p>
        </w:tc>
        <w:tc>
          <w:tcPr>
            <w:tcW w:w="822" w:type="dxa"/>
          </w:tcPr>
          <w:p w14:paraId="4CF85BB7" w14:textId="77777777" w:rsidR="00917E4B" w:rsidRPr="008A2E5A" w:rsidRDefault="00917E4B" w:rsidP="004C5D62">
            <w:pPr>
              <w:spacing w:after="0" w:line="240" w:lineRule="auto"/>
              <w:jc w:val="both"/>
              <w:rPr>
                <w:color w:val="0070C0"/>
                <w:sz w:val="16"/>
                <w:szCs w:val="16"/>
              </w:rPr>
            </w:pPr>
            <w:r w:rsidRPr="008A2E5A">
              <w:rPr>
                <w:color w:val="0070C0"/>
                <w:sz w:val="16"/>
                <w:szCs w:val="16"/>
              </w:rPr>
              <w:t>512</w:t>
            </w:r>
          </w:p>
        </w:tc>
        <w:tc>
          <w:tcPr>
            <w:tcW w:w="822" w:type="dxa"/>
          </w:tcPr>
          <w:p w14:paraId="6EE35EC2" w14:textId="77777777" w:rsidR="00917E4B" w:rsidRPr="008A2E5A" w:rsidRDefault="00917E4B" w:rsidP="004C5D62">
            <w:pPr>
              <w:spacing w:after="0" w:line="240" w:lineRule="auto"/>
              <w:jc w:val="both"/>
              <w:rPr>
                <w:color w:val="0070C0"/>
                <w:sz w:val="16"/>
                <w:szCs w:val="16"/>
              </w:rPr>
            </w:pPr>
          </w:p>
        </w:tc>
        <w:tc>
          <w:tcPr>
            <w:tcW w:w="822" w:type="dxa"/>
          </w:tcPr>
          <w:p w14:paraId="23B72C2B" w14:textId="77777777" w:rsidR="00917E4B" w:rsidRPr="008A2E5A" w:rsidRDefault="00917E4B" w:rsidP="004C5D62">
            <w:pPr>
              <w:spacing w:after="0" w:line="240" w:lineRule="auto"/>
              <w:jc w:val="both"/>
              <w:rPr>
                <w:color w:val="0070C0"/>
                <w:sz w:val="16"/>
                <w:szCs w:val="16"/>
              </w:rPr>
            </w:pPr>
          </w:p>
        </w:tc>
        <w:tc>
          <w:tcPr>
            <w:tcW w:w="822" w:type="dxa"/>
          </w:tcPr>
          <w:p w14:paraId="4526327B" w14:textId="77777777" w:rsidR="00917E4B" w:rsidRPr="008A2E5A" w:rsidRDefault="00917E4B" w:rsidP="004C5D62">
            <w:pPr>
              <w:spacing w:after="0" w:line="240" w:lineRule="auto"/>
              <w:jc w:val="both"/>
              <w:rPr>
                <w:color w:val="0070C0"/>
                <w:sz w:val="16"/>
                <w:szCs w:val="16"/>
              </w:rPr>
            </w:pPr>
          </w:p>
        </w:tc>
        <w:tc>
          <w:tcPr>
            <w:tcW w:w="822" w:type="dxa"/>
          </w:tcPr>
          <w:p w14:paraId="656B6FC0" w14:textId="77777777" w:rsidR="00917E4B" w:rsidRPr="008A2E5A" w:rsidRDefault="00917E4B" w:rsidP="004C5D62">
            <w:pPr>
              <w:spacing w:after="0" w:line="240" w:lineRule="auto"/>
              <w:jc w:val="both"/>
              <w:rPr>
                <w:color w:val="0070C0"/>
                <w:sz w:val="16"/>
                <w:szCs w:val="16"/>
              </w:rPr>
            </w:pPr>
          </w:p>
        </w:tc>
      </w:tr>
      <w:tr w:rsidR="00917E4B" w:rsidRPr="008A2E5A" w14:paraId="10AB65C6" w14:textId="77777777" w:rsidTr="004C5D62">
        <w:tc>
          <w:tcPr>
            <w:tcW w:w="821" w:type="dxa"/>
          </w:tcPr>
          <w:p w14:paraId="6A8B1821"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w:t>
            </w:r>
            <w:proofErr w:type="gramStart"/>
            <w:r w:rsidRPr="008A2E5A">
              <w:rPr>
                <w:color w:val="0070C0"/>
                <w:sz w:val="16"/>
                <w:szCs w:val="16"/>
              </w:rPr>
              <w:t>мм  пистолетные</w:t>
            </w:r>
            <w:proofErr w:type="gramEnd"/>
          </w:p>
        </w:tc>
        <w:tc>
          <w:tcPr>
            <w:tcW w:w="821" w:type="dxa"/>
          </w:tcPr>
          <w:p w14:paraId="752990B6" w14:textId="77777777" w:rsidR="00917E4B" w:rsidRPr="008A2E5A" w:rsidRDefault="00917E4B" w:rsidP="004C5D62">
            <w:pPr>
              <w:spacing w:after="0" w:line="240" w:lineRule="auto"/>
              <w:jc w:val="both"/>
              <w:rPr>
                <w:color w:val="0070C0"/>
                <w:sz w:val="16"/>
                <w:szCs w:val="16"/>
              </w:rPr>
            </w:pPr>
            <w:r w:rsidRPr="008A2E5A">
              <w:rPr>
                <w:color w:val="0070C0"/>
                <w:sz w:val="16"/>
                <w:szCs w:val="16"/>
              </w:rPr>
              <w:t>254 000</w:t>
            </w:r>
          </w:p>
        </w:tc>
        <w:tc>
          <w:tcPr>
            <w:tcW w:w="821" w:type="dxa"/>
          </w:tcPr>
          <w:p w14:paraId="56A19771" w14:textId="77777777" w:rsidR="00917E4B" w:rsidRPr="008A2E5A" w:rsidRDefault="00917E4B" w:rsidP="004C5D62">
            <w:pPr>
              <w:spacing w:after="0" w:line="240" w:lineRule="auto"/>
              <w:jc w:val="both"/>
              <w:rPr>
                <w:color w:val="0070C0"/>
                <w:sz w:val="16"/>
                <w:szCs w:val="16"/>
              </w:rPr>
            </w:pPr>
            <w:r w:rsidRPr="008A2E5A">
              <w:rPr>
                <w:color w:val="0070C0"/>
                <w:sz w:val="16"/>
                <w:szCs w:val="16"/>
              </w:rPr>
              <w:t>253 505</w:t>
            </w:r>
          </w:p>
        </w:tc>
        <w:tc>
          <w:tcPr>
            <w:tcW w:w="821" w:type="dxa"/>
          </w:tcPr>
          <w:p w14:paraId="103BB7AD" w14:textId="77777777" w:rsidR="00917E4B" w:rsidRPr="008A2E5A" w:rsidRDefault="00917E4B" w:rsidP="004C5D62">
            <w:pPr>
              <w:spacing w:after="0" w:line="240" w:lineRule="auto"/>
              <w:jc w:val="both"/>
              <w:rPr>
                <w:color w:val="0070C0"/>
                <w:sz w:val="16"/>
                <w:szCs w:val="16"/>
              </w:rPr>
            </w:pPr>
            <w:r w:rsidRPr="008A2E5A">
              <w:rPr>
                <w:color w:val="0070C0"/>
                <w:sz w:val="16"/>
                <w:szCs w:val="16"/>
              </w:rPr>
              <w:t>90 000</w:t>
            </w:r>
          </w:p>
        </w:tc>
        <w:tc>
          <w:tcPr>
            <w:tcW w:w="822" w:type="dxa"/>
          </w:tcPr>
          <w:p w14:paraId="5E02115B" w14:textId="77777777" w:rsidR="00917E4B" w:rsidRPr="008A2E5A" w:rsidRDefault="00917E4B" w:rsidP="004C5D62">
            <w:pPr>
              <w:spacing w:after="0" w:line="240" w:lineRule="auto"/>
              <w:jc w:val="both"/>
              <w:rPr>
                <w:color w:val="0070C0"/>
                <w:sz w:val="16"/>
                <w:szCs w:val="16"/>
              </w:rPr>
            </w:pPr>
            <w:r w:rsidRPr="008A2E5A">
              <w:rPr>
                <w:color w:val="0070C0"/>
                <w:sz w:val="16"/>
                <w:szCs w:val="16"/>
              </w:rPr>
              <w:t>96 057</w:t>
            </w:r>
          </w:p>
        </w:tc>
        <w:tc>
          <w:tcPr>
            <w:tcW w:w="822" w:type="dxa"/>
          </w:tcPr>
          <w:p w14:paraId="1060C207" w14:textId="77777777" w:rsidR="00917E4B" w:rsidRPr="008A2E5A" w:rsidRDefault="00917E4B" w:rsidP="004C5D62">
            <w:pPr>
              <w:spacing w:after="0" w:line="240" w:lineRule="auto"/>
              <w:jc w:val="both"/>
              <w:rPr>
                <w:color w:val="0070C0"/>
                <w:sz w:val="16"/>
                <w:szCs w:val="16"/>
              </w:rPr>
            </w:pPr>
            <w:r w:rsidRPr="008A2E5A">
              <w:rPr>
                <w:color w:val="0070C0"/>
                <w:sz w:val="16"/>
                <w:szCs w:val="16"/>
              </w:rPr>
              <w:t>121 500</w:t>
            </w:r>
          </w:p>
        </w:tc>
        <w:tc>
          <w:tcPr>
            <w:tcW w:w="822" w:type="dxa"/>
          </w:tcPr>
          <w:p w14:paraId="6B004495" w14:textId="77777777" w:rsidR="00917E4B" w:rsidRPr="008A2E5A" w:rsidRDefault="00917E4B" w:rsidP="004C5D62">
            <w:pPr>
              <w:spacing w:after="0" w:line="240" w:lineRule="auto"/>
              <w:jc w:val="both"/>
              <w:rPr>
                <w:color w:val="0070C0"/>
                <w:sz w:val="16"/>
                <w:szCs w:val="16"/>
              </w:rPr>
            </w:pPr>
            <w:r w:rsidRPr="008A2E5A">
              <w:rPr>
                <w:color w:val="0070C0"/>
                <w:sz w:val="16"/>
                <w:szCs w:val="16"/>
              </w:rPr>
              <w:t>110 168</w:t>
            </w:r>
          </w:p>
        </w:tc>
        <w:tc>
          <w:tcPr>
            <w:tcW w:w="822" w:type="dxa"/>
          </w:tcPr>
          <w:p w14:paraId="0453F142"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150 000</w:t>
            </w:r>
          </w:p>
        </w:tc>
        <w:tc>
          <w:tcPr>
            <w:tcW w:w="822" w:type="dxa"/>
          </w:tcPr>
          <w:p w14:paraId="235B1E76" w14:textId="77777777" w:rsidR="00917E4B" w:rsidRPr="008A2E5A" w:rsidRDefault="00917E4B" w:rsidP="004C5D62">
            <w:pPr>
              <w:spacing w:after="0" w:line="240" w:lineRule="auto"/>
              <w:jc w:val="both"/>
              <w:rPr>
                <w:color w:val="0070C0"/>
                <w:sz w:val="16"/>
                <w:szCs w:val="16"/>
              </w:rPr>
            </w:pPr>
            <w:r w:rsidRPr="008A2E5A">
              <w:rPr>
                <w:color w:val="0070C0"/>
                <w:sz w:val="16"/>
                <w:szCs w:val="16"/>
              </w:rPr>
              <w:t>99177</w:t>
            </w:r>
          </w:p>
        </w:tc>
        <w:tc>
          <w:tcPr>
            <w:tcW w:w="822" w:type="dxa"/>
          </w:tcPr>
          <w:p w14:paraId="79AC5228" w14:textId="77777777" w:rsidR="00917E4B" w:rsidRPr="008A2E5A" w:rsidRDefault="00917E4B" w:rsidP="004C5D62">
            <w:pPr>
              <w:spacing w:after="0" w:line="240" w:lineRule="auto"/>
              <w:jc w:val="both"/>
              <w:rPr>
                <w:color w:val="0070C0"/>
                <w:sz w:val="16"/>
                <w:szCs w:val="16"/>
              </w:rPr>
            </w:pPr>
          </w:p>
        </w:tc>
        <w:tc>
          <w:tcPr>
            <w:tcW w:w="822" w:type="dxa"/>
          </w:tcPr>
          <w:p w14:paraId="62D8B8B2" w14:textId="77777777" w:rsidR="00917E4B" w:rsidRPr="008A2E5A" w:rsidRDefault="00917E4B" w:rsidP="004C5D62">
            <w:pPr>
              <w:spacing w:after="0" w:line="240" w:lineRule="auto"/>
              <w:jc w:val="both"/>
              <w:rPr>
                <w:color w:val="0070C0"/>
                <w:sz w:val="16"/>
                <w:szCs w:val="16"/>
              </w:rPr>
            </w:pPr>
          </w:p>
        </w:tc>
        <w:tc>
          <w:tcPr>
            <w:tcW w:w="822" w:type="dxa"/>
          </w:tcPr>
          <w:p w14:paraId="2F3281B9" w14:textId="77777777" w:rsidR="00917E4B" w:rsidRPr="008A2E5A" w:rsidRDefault="00917E4B" w:rsidP="004C5D62">
            <w:pPr>
              <w:spacing w:after="0" w:line="240" w:lineRule="auto"/>
              <w:jc w:val="both"/>
              <w:rPr>
                <w:color w:val="0070C0"/>
                <w:sz w:val="16"/>
                <w:szCs w:val="16"/>
              </w:rPr>
            </w:pPr>
          </w:p>
        </w:tc>
        <w:tc>
          <w:tcPr>
            <w:tcW w:w="822" w:type="dxa"/>
          </w:tcPr>
          <w:p w14:paraId="3FA74FC1" w14:textId="77777777" w:rsidR="00917E4B" w:rsidRPr="008A2E5A" w:rsidRDefault="00917E4B" w:rsidP="004C5D62">
            <w:pPr>
              <w:spacing w:after="0" w:line="240" w:lineRule="auto"/>
              <w:jc w:val="both"/>
              <w:rPr>
                <w:color w:val="0070C0"/>
                <w:sz w:val="16"/>
                <w:szCs w:val="16"/>
              </w:rPr>
            </w:pPr>
          </w:p>
        </w:tc>
      </w:tr>
      <w:tr w:rsidR="00917E4B" w:rsidRPr="008A2E5A" w14:paraId="609387AB" w14:textId="77777777" w:rsidTr="004C5D62">
        <w:tc>
          <w:tcPr>
            <w:tcW w:w="821" w:type="dxa"/>
          </w:tcPr>
          <w:p w14:paraId="1A6C1B6C"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w:t>
            </w:r>
            <w:proofErr w:type="gramStart"/>
            <w:r w:rsidRPr="008A2E5A">
              <w:rPr>
                <w:color w:val="0070C0"/>
                <w:sz w:val="16"/>
                <w:szCs w:val="16"/>
              </w:rPr>
              <w:t>мм  револьверные</w:t>
            </w:r>
            <w:proofErr w:type="gramEnd"/>
          </w:p>
        </w:tc>
        <w:tc>
          <w:tcPr>
            <w:tcW w:w="821" w:type="dxa"/>
          </w:tcPr>
          <w:p w14:paraId="4064C471"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1" w:type="dxa"/>
          </w:tcPr>
          <w:p w14:paraId="74D10474" w14:textId="77777777" w:rsidR="00917E4B" w:rsidRPr="008A2E5A" w:rsidRDefault="00917E4B" w:rsidP="004C5D62">
            <w:pPr>
              <w:spacing w:after="0" w:line="240" w:lineRule="auto"/>
              <w:jc w:val="both"/>
              <w:rPr>
                <w:color w:val="0070C0"/>
                <w:sz w:val="16"/>
                <w:szCs w:val="16"/>
              </w:rPr>
            </w:pPr>
            <w:r w:rsidRPr="008A2E5A">
              <w:rPr>
                <w:color w:val="0070C0"/>
                <w:sz w:val="16"/>
                <w:szCs w:val="16"/>
              </w:rPr>
              <w:t>12 962</w:t>
            </w:r>
          </w:p>
        </w:tc>
        <w:tc>
          <w:tcPr>
            <w:tcW w:w="821" w:type="dxa"/>
          </w:tcPr>
          <w:p w14:paraId="11A4DB71"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3000</w:t>
            </w:r>
          </w:p>
        </w:tc>
        <w:tc>
          <w:tcPr>
            <w:tcW w:w="822" w:type="dxa"/>
          </w:tcPr>
          <w:p w14:paraId="7C8336EB" w14:textId="77777777" w:rsidR="00917E4B" w:rsidRPr="008A2E5A" w:rsidRDefault="00917E4B" w:rsidP="004C5D62">
            <w:pPr>
              <w:spacing w:after="0" w:line="240" w:lineRule="auto"/>
              <w:jc w:val="both"/>
              <w:rPr>
                <w:color w:val="0070C0"/>
                <w:sz w:val="16"/>
                <w:szCs w:val="16"/>
              </w:rPr>
            </w:pPr>
            <w:r w:rsidRPr="008A2E5A">
              <w:rPr>
                <w:color w:val="0070C0"/>
                <w:sz w:val="16"/>
                <w:szCs w:val="16"/>
              </w:rPr>
              <w:t>3729</w:t>
            </w:r>
          </w:p>
        </w:tc>
        <w:tc>
          <w:tcPr>
            <w:tcW w:w="822" w:type="dxa"/>
          </w:tcPr>
          <w:p w14:paraId="50DED067" w14:textId="77777777" w:rsidR="00917E4B" w:rsidRPr="008A2E5A" w:rsidRDefault="00917E4B" w:rsidP="004C5D62">
            <w:pPr>
              <w:spacing w:after="0" w:line="240" w:lineRule="auto"/>
              <w:jc w:val="both"/>
              <w:rPr>
                <w:color w:val="0070C0"/>
                <w:sz w:val="16"/>
                <w:szCs w:val="16"/>
              </w:rPr>
            </w:pPr>
            <w:r w:rsidRPr="008A2E5A">
              <w:rPr>
                <w:color w:val="0070C0"/>
                <w:sz w:val="16"/>
                <w:szCs w:val="16"/>
              </w:rPr>
              <w:t>4500</w:t>
            </w:r>
          </w:p>
        </w:tc>
        <w:tc>
          <w:tcPr>
            <w:tcW w:w="822" w:type="dxa"/>
          </w:tcPr>
          <w:p w14:paraId="0EEDE327" w14:textId="77777777" w:rsidR="00917E4B" w:rsidRPr="008A2E5A" w:rsidRDefault="00917E4B" w:rsidP="004C5D62">
            <w:pPr>
              <w:spacing w:after="0" w:line="240" w:lineRule="auto"/>
              <w:jc w:val="both"/>
              <w:rPr>
                <w:color w:val="0070C0"/>
                <w:sz w:val="16"/>
                <w:szCs w:val="16"/>
              </w:rPr>
            </w:pPr>
            <w:r w:rsidRPr="008A2E5A">
              <w:rPr>
                <w:color w:val="0070C0"/>
                <w:sz w:val="16"/>
                <w:szCs w:val="16"/>
              </w:rPr>
              <w:t>4761</w:t>
            </w:r>
          </w:p>
        </w:tc>
        <w:tc>
          <w:tcPr>
            <w:tcW w:w="822" w:type="dxa"/>
          </w:tcPr>
          <w:p w14:paraId="572FF994" w14:textId="77777777" w:rsidR="00917E4B" w:rsidRPr="008A2E5A" w:rsidRDefault="00917E4B" w:rsidP="004C5D62">
            <w:pPr>
              <w:spacing w:after="0" w:line="240" w:lineRule="auto"/>
              <w:jc w:val="both"/>
              <w:rPr>
                <w:color w:val="0070C0"/>
                <w:sz w:val="16"/>
                <w:szCs w:val="16"/>
              </w:rPr>
            </w:pPr>
            <w:r w:rsidRPr="008A2E5A">
              <w:rPr>
                <w:color w:val="0070C0"/>
                <w:sz w:val="16"/>
                <w:szCs w:val="16"/>
              </w:rPr>
              <w:t>5500</w:t>
            </w:r>
          </w:p>
        </w:tc>
        <w:tc>
          <w:tcPr>
            <w:tcW w:w="822" w:type="dxa"/>
          </w:tcPr>
          <w:p w14:paraId="66867542" w14:textId="77777777" w:rsidR="00917E4B" w:rsidRPr="008A2E5A" w:rsidRDefault="00917E4B" w:rsidP="004C5D62">
            <w:pPr>
              <w:spacing w:after="0" w:line="240" w:lineRule="auto"/>
              <w:jc w:val="both"/>
              <w:rPr>
                <w:color w:val="0070C0"/>
                <w:sz w:val="16"/>
                <w:szCs w:val="16"/>
              </w:rPr>
            </w:pPr>
            <w:r w:rsidRPr="008A2E5A">
              <w:rPr>
                <w:color w:val="0070C0"/>
                <w:sz w:val="16"/>
                <w:szCs w:val="16"/>
              </w:rPr>
              <w:t>5263</w:t>
            </w:r>
          </w:p>
        </w:tc>
        <w:tc>
          <w:tcPr>
            <w:tcW w:w="822" w:type="dxa"/>
          </w:tcPr>
          <w:p w14:paraId="4F4D64A7" w14:textId="77777777" w:rsidR="00917E4B" w:rsidRPr="008A2E5A" w:rsidRDefault="00917E4B" w:rsidP="004C5D62">
            <w:pPr>
              <w:spacing w:after="0" w:line="240" w:lineRule="auto"/>
              <w:jc w:val="both"/>
              <w:rPr>
                <w:color w:val="0070C0"/>
                <w:sz w:val="16"/>
                <w:szCs w:val="16"/>
              </w:rPr>
            </w:pPr>
          </w:p>
        </w:tc>
        <w:tc>
          <w:tcPr>
            <w:tcW w:w="822" w:type="dxa"/>
          </w:tcPr>
          <w:p w14:paraId="671B4849" w14:textId="77777777" w:rsidR="00917E4B" w:rsidRPr="008A2E5A" w:rsidRDefault="00917E4B" w:rsidP="004C5D62">
            <w:pPr>
              <w:spacing w:after="0" w:line="240" w:lineRule="auto"/>
              <w:jc w:val="both"/>
              <w:rPr>
                <w:color w:val="0070C0"/>
                <w:sz w:val="16"/>
                <w:szCs w:val="16"/>
              </w:rPr>
            </w:pPr>
          </w:p>
        </w:tc>
        <w:tc>
          <w:tcPr>
            <w:tcW w:w="822" w:type="dxa"/>
          </w:tcPr>
          <w:p w14:paraId="1CB10EC2" w14:textId="77777777" w:rsidR="00917E4B" w:rsidRPr="008A2E5A" w:rsidRDefault="00917E4B" w:rsidP="004C5D62">
            <w:pPr>
              <w:spacing w:after="0" w:line="240" w:lineRule="auto"/>
              <w:jc w:val="both"/>
              <w:rPr>
                <w:color w:val="0070C0"/>
                <w:sz w:val="16"/>
                <w:szCs w:val="16"/>
              </w:rPr>
            </w:pPr>
          </w:p>
        </w:tc>
        <w:tc>
          <w:tcPr>
            <w:tcW w:w="822" w:type="dxa"/>
          </w:tcPr>
          <w:p w14:paraId="4F8FF414" w14:textId="77777777" w:rsidR="00917E4B" w:rsidRPr="008A2E5A" w:rsidRDefault="00917E4B" w:rsidP="004C5D62">
            <w:pPr>
              <w:spacing w:after="0" w:line="240" w:lineRule="auto"/>
              <w:jc w:val="both"/>
              <w:rPr>
                <w:color w:val="0070C0"/>
                <w:sz w:val="16"/>
                <w:szCs w:val="16"/>
              </w:rPr>
            </w:pPr>
          </w:p>
        </w:tc>
      </w:tr>
      <w:tr w:rsidR="00917E4B" w:rsidRPr="008A2E5A" w14:paraId="4721CEEB" w14:textId="77777777" w:rsidTr="004C5D62">
        <w:tc>
          <w:tcPr>
            <w:tcW w:w="821" w:type="dxa"/>
          </w:tcPr>
          <w:p w14:paraId="16C89440"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12,7-мм патроны</w:t>
            </w:r>
          </w:p>
        </w:tc>
        <w:tc>
          <w:tcPr>
            <w:tcW w:w="821" w:type="dxa"/>
          </w:tcPr>
          <w:p w14:paraId="27EC08A9" w14:textId="77777777" w:rsidR="00917E4B" w:rsidRPr="008A2E5A" w:rsidRDefault="00917E4B" w:rsidP="004C5D62">
            <w:pPr>
              <w:spacing w:after="0" w:line="240" w:lineRule="auto"/>
              <w:jc w:val="both"/>
              <w:rPr>
                <w:color w:val="0070C0"/>
                <w:sz w:val="16"/>
                <w:szCs w:val="16"/>
              </w:rPr>
            </w:pPr>
            <w:r w:rsidRPr="008A2E5A">
              <w:rPr>
                <w:color w:val="0070C0"/>
                <w:sz w:val="16"/>
                <w:szCs w:val="16"/>
              </w:rPr>
              <w:t>1100</w:t>
            </w:r>
          </w:p>
        </w:tc>
        <w:tc>
          <w:tcPr>
            <w:tcW w:w="821" w:type="dxa"/>
          </w:tcPr>
          <w:p w14:paraId="2514F1B8" w14:textId="77777777" w:rsidR="00917E4B" w:rsidRPr="008A2E5A" w:rsidRDefault="00917E4B" w:rsidP="004C5D62">
            <w:pPr>
              <w:spacing w:after="0" w:line="240" w:lineRule="auto"/>
              <w:jc w:val="both"/>
              <w:rPr>
                <w:color w:val="0070C0"/>
                <w:sz w:val="16"/>
                <w:szCs w:val="16"/>
              </w:rPr>
            </w:pPr>
            <w:r w:rsidRPr="008A2E5A">
              <w:rPr>
                <w:color w:val="0070C0"/>
                <w:sz w:val="16"/>
                <w:szCs w:val="16"/>
              </w:rPr>
              <w:t>771</w:t>
            </w:r>
          </w:p>
        </w:tc>
        <w:tc>
          <w:tcPr>
            <w:tcW w:w="821" w:type="dxa"/>
          </w:tcPr>
          <w:p w14:paraId="2F89EDC5" w14:textId="77777777" w:rsidR="00917E4B" w:rsidRPr="008A2E5A" w:rsidRDefault="00917E4B" w:rsidP="004C5D62">
            <w:pPr>
              <w:spacing w:after="0" w:line="240" w:lineRule="auto"/>
              <w:jc w:val="both"/>
              <w:rPr>
                <w:color w:val="0070C0"/>
                <w:sz w:val="16"/>
                <w:szCs w:val="16"/>
              </w:rPr>
            </w:pPr>
            <w:r w:rsidRPr="008A2E5A">
              <w:rPr>
                <w:color w:val="0070C0"/>
                <w:sz w:val="16"/>
                <w:szCs w:val="16"/>
              </w:rPr>
              <w:t>816</w:t>
            </w:r>
          </w:p>
        </w:tc>
        <w:tc>
          <w:tcPr>
            <w:tcW w:w="822" w:type="dxa"/>
          </w:tcPr>
          <w:p w14:paraId="597374CF" w14:textId="77777777" w:rsidR="00917E4B" w:rsidRPr="008A2E5A" w:rsidRDefault="00917E4B" w:rsidP="004C5D62">
            <w:pPr>
              <w:spacing w:after="0" w:line="240" w:lineRule="auto"/>
              <w:jc w:val="both"/>
              <w:rPr>
                <w:color w:val="0070C0"/>
                <w:sz w:val="16"/>
                <w:szCs w:val="16"/>
              </w:rPr>
            </w:pPr>
            <w:r w:rsidRPr="008A2E5A">
              <w:rPr>
                <w:color w:val="0070C0"/>
                <w:sz w:val="16"/>
                <w:szCs w:val="16"/>
              </w:rPr>
              <w:t>2403</w:t>
            </w:r>
          </w:p>
        </w:tc>
        <w:tc>
          <w:tcPr>
            <w:tcW w:w="822" w:type="dxa"/>
          </w:tcPr>
          <w:p w14:paraId="3D5505A9" w14:textId="77777777" w:rsidR="00917E4B" w:rsidRPr="008A2E5A" w:rsidRDefault="00917E4B" w:rsidP="004C5D62">
            <w:pPr>
              <w:spacing w:after="0" w:line="240" w:lineRule="auto"/>
              <w:jc w:val="both"/>
              <w:rPr>
                <w:color w:val="0070C0"/>
                <w:sz w:val="16"/>
                <w:szCs w:val="16"/>
              </w:rPr>
            </w:pPr>
            <w:r w:rsidRPr="008A2E5A">
              <w:rPr>
                <w:color w:val="0070C0"/>
                <w:sz w:val="16"/>
                <w:szCs w:val="16"/>
              </w:rPr>
              <w:t>4400</w:t>
            </w:r>
          </w:p>
        </w:tc>
        <w:tc>
          <w:tcPr>
            <w:tcW w:w="822" w:type="dxa"/>
          </w:tcPr>
          <w:p w14:paraId="01C703C8" w14:textId="77777777" w:rsidR="00917E4B" w:rsidRPr="008A2E5A" w:rsidRDefault="00917E4B" w:rsidP="004C5D62">
            <w:pPr>
              <w:spacing w:after="0" w:line="240" w:lineRule="auto"/>
              <w:jc w:val="both"/>
              <w:rPr>
                <w:color w:val="0070C0"/>
                <w:sz w:val="16"/>
                <w:szCs w:val="16"/>
              </w:rPr>
            </w:pPr>
            <w:r w:rsidRPr="008A2E5A">
              <w:rPr>
                <w:color w:val="0070C0"/>
                <w:sz w:val="16"/>
                <w:szCs w:val="16"/>
              </w:rPr>
              <w:t>3223</w:t>
            </w:r>
          </w:p>
        </w:tc>
        <w:tc>
          <w:tcPr>
            <w:tcW w:w="822" w:type="dxa"/>
          </w:tcPr>
          <w:p w14:paraId="4AE8CBE6" w14:textId="77777777" w:rsidR="00917E4B" w:rsidRPr="008A2E5A" w:rsidRDefault="00917E4B" w:rsidP="004C5D62">
            <w:pPr>
              <w:spacing w:after="0" w:line="240" w:lineRule="auto"/>
              <w:jc w:val="both"/>
              <w:rPr>
                <w:color w:val="0070C0"/>
                <w:sz w:val="16"/>
                <w:szCs w:val="16"/>
              </w:rPr>
            </w:pPr>
            <w:r w:rsidRPr="008A2E5A">
              <w:rPr>
                <w:color w:val="0070C0"/>
                <w:sz w:val="16"/>
                <w:szCs w:val="16"/>
              </w:rPr>
              <w:t>4550</w:t>
            </w:r>
          </w:p>
        </w:tc>
        <w:tc>
          <w:tcPr>
            <w:tcW w:w="822" w:type="dxa"/>
          </w:tcPr>
          <w:p w14:paraId="5FE311E5" w14:textId="77777777" w:rsidR="00917E4B" w:rsidRPr="008A2E5A" w:rsidRDefault="00917E4B" w:rsidP="004C5D62">
            <w:pPr>
              <w:spacing w:after="0" w:line="240" w:lineRule="auto"/>
              <w:jc w:val="both"/>
              <w:rPr>
                <w:color w:val="0070C0"/>
                <w:sz w:val="16"/>
                <w:szCs w:val="16"/>
              </w:rPr>
            </w:pPr>
            <w:r w:rsidRPr="008A2E5A">
              <w:rPr>
                <w:color w:val="0070C0"/>
                <w:sz w:val="16"/>
                <w:szCs w:val="16"/>
              </w:rPr>
              <w:t>4426</w:t>
            </w:r>
          </w:p>
        </w:tc>
        <w:tc>
          <w:tcPr>
            <w:tcW w:w="822" w:type="dxa"/>
          </w:tcPr>
          <w:p w14:paraId="253258C8" w14:textId="77777777" w:rsidR="00917E4B" w:rsidRPr="008A2E5A" w:rsidRDefault="00917E4B" w:rsidP="004C5D62">
            <w:pPr>
              <w:spacing w:after="0" w:line="240" w:lineRule="auto"/>
              <w:jc w:val="both"/>
              <w:rPr>
                <w:color w:val="0070C0"/>
                <w:sz w:val="16"/>
                <w:szCs w:val="16"/>
              </w:rPr>
            </w:pPr>
          </w:p>
        </w:tc>
        <w:tc>
          <w:tcPr>
            <w:tcW w:w="822" w:type="dxa"/>
          </w:tcPr>
          <w:p w14:paraId="1784BB4A" w14:textId="77777777" w:rsidR="00917E4B" w:rsidRPr="008A2E5A" w:rsidRDefault="00917E4B" w:rsidP="004C5D62">
            <w:pPr>
              <w:spacing w:after="0" w:line="240" w:lineRule="auto"/>
              <w:jc w:val="both"/>
              <w:rPr>
                <w:color w:val="0070C0"/>
                <w:sz w:val="16"/>
                <w:szCs w:val="16"/>
              </w:rPr>
            </w:pPr>
          </w:p>
        </w:tc>
        <w:tc>
          <w:tcPr>
            <w:tcW w:w="822" w:type="dxa"/>
          </w:tcPr>
          <w:p w14:paraId="5A11B60F" w14:textId="77777777" w:rsidR="00917E4B" w:rsidRPr="008A2E5A" w:rsidRDefault="00917E4B" w:rsidP="004C5D62">
            <w:pPr>
              <w:spacing w:after="0" w:line="240" w:lineRule="auto"/>
              <w:jc w:val="both"/>
              <w:rPr>
                <w:color w:val="0070C0"/>
                <w:sz w:val="16"/>
                <w:szCs w:val="16"/>
              </w:rPr>
            </w:pPr>
          </w:p>
        </w:tc>
        <w:tc>
          <w:tcPr>
            <w:tcW w:w="822" w:type="dxa"/>
          </w:tcPr>
          <w:p w14:paraId="748255C8" w14:textId="77777777" w:rsidR="00917E4B" w:rsidRPr="008A2E5A" w:rsidRDefault="00917E4B" w:rsidP="004C5D62">
            <w:pPr>
              <w:spacing w:after="0" w:line="240" w:lineRule="auto"/>
              <w:jc w:val="both"/>
              <w:rPr>
                <w:color w:val="0070C0"/>
                <w:sz w:val="16"/>
                <w:szCs w:val="16"/>
              </w:rPr>
            </w:pPr>
          </w:p>
        </w:tc>
      </w:tr>
      <w:tr w:rsidR="00917E4B" w:rsidRPr="008A2E5A" w14:paraId="568B4D04" w14:textId="77777777" w:rsidTr="004C5D62">
        <w:tc>
          <w:tcPr>
            <w:tcW w:w="821" w:type="dxa"/>
          </w:tcPr>
          <w:p w14:paraId="770BF18C" w14:textId="77777777" w:rsidR="00917E4B" w:rsidRPr="008A2E5A" w:rsidRDefault="00917E4B" w:rsidP="004C5D62">
            <w:pPr>
              <w:spacing w:after="0" w:line="240" w:lineRule="auto"/>
              <w:jc w:val="both"/>
              <w:rPr>
                <w:color w:val="0070C0"/>
                <w:sz w:val="16"/>
                <w:szCs w:val="16"/>
              </w:rPr>
            </w:pPr>
            <w:r w:rsidRPr="008A2E5A">
              <w:rPr>
                <w:color w:val="0070C0"/>
                <w:sz w:val="16"/>
                <w:szCs w:val="16"/>
              </w:rPr>
              <w:t>14,7-мм патроны</w:t>
            </w:r>
          </w:p>
        </w:tc>
        <w:tc>
          <w:tcPr>
            <w:tcW w:w="821" w:type="dxa"/>
          </w:tcPr>
          <w:p w14:paraId="203E8272" w14:textId="77777777" w:rsidR="00917E4B" w:rsidRPr="008A2E5A" w:rsidRDefault="00917E4B" w:rsidP="004C5D62">
            <w:pPr>
              <w:spacing w:after="0" w:line="240" w:lineRule="auto"/>
              <w:jc w:val="both"/>
              <w:rPr>
                <w:color w:val="0070C0"/>
                <w:sz w:val="16"/>
                <w:szCs w:val="16"/>
              </w:rPr>
            </w:pPr>
          </w:p>
        </w:tc>
        <w:tc>
          <w:tcPr>
            <w:tcW w:w="821" w:type="dxa"/>
          </w:tcPr>
          <w:p w14:paraId="191F0930" w14:textId="77777777" w:rsidR="00917E4B" w:rsidRPr="008A2E5A" w:rsidRDefault="00917E4B" w:rsidP="004C5D62">
            <w:pPr>
              <w:spacing w:after="0" w:line="240" w:lineRule="auto"/>
              <w:jc w:val="both"/>
              <w:rPr>
                <w:color w:val="0070C0"/>
                <w:sz w:val="16"/>
                <w:szCs w:val="16"/>
              </w:rPr>
            </w:pPr>
          </w:p>
        </w:tc>
        <w:tc>
          <w:tcPr>
            <w:tcW w:w="821" w:type="dxa"/>
          </w:tcPr>
          <w:p w14:paraId="56B02BA3" w14:textId="77777777" w:rsidR="00917E4B" w:rsidRPr="008A2E5A" w:rsidRDefault="00917E4B" w:rsidP="004C5D62">
            <w:pPr>
              <w:spacing w:after="0" w:line="240" w:lineRule="auto"/>
              <w:jc w:val="both"/>
              <w:rPr>
                <w:color w:val="0070C0"/>
                <w:sz w:val="16"/>
                <w:szCs w:val="16"/>
              </w:rPr>
            </w:pPr>
          </w:p>
        </w:tc>
        <w:tc>
          <w:tcPr>
            <w:tcW w:w="822" w:type="dxa"/>
          </w:tcPr>
          <w:p w14:paraId="3F86E4B5" w14:textId="77777777" w:rsidR="00917E4B" w:rsidRPr="008A2E5A" w:rsidRDefault="00917E4B" w:rsidP="004C5D62">
            <w:pPr>
              <w:spacing w:after="0" w:line="240" w:lineRule="auto"/>
              <w:jc w:val="both"/>
              <w:rPr>
                <w:color w:val="0070C0"/>
                <w:sz w:val="16"/>
                <w:szCs w:val="16"/>
              </w:rPr>
            </w:pPr>
            <w:r w:rsidRPr="008A2E5A">
              <w:rPr>
                <w:color w:val="0070C0"/>
                <w:sz w:val="16"/>
                <w:szCs w:val="16"/>
              </w:rPr>
              <w:t>23</w:t>
            </w:r>
          </w:p>
        </w:tc>
        <w:tc>
          <w:tcPr>
            <w:tcW w:w="822" w:type="dxa"/>
          </w:tcPr>
          <w:p w14:paraId="3500BB16" w14:textId="77777777" w:rsidR="00917E4B" w:rsidRPr="008A2E5A" w:rsidRDefault="00917E4B" w:rsidP="004C5D62">
            <w:pPr>
              <w:spacing w:after="0" w:line="240" w:lineRule="auto"/>
              <w:jc w:val="both"/>
              <w:rPr>
                <w:color w:val="0070C0"/>
                <w:sz w:val="16"/>
                <w:szCs w:val="16"/>
              </w:rPr>
            </w:pPr>
          </w:p>
        </w:tc>
        <w:tc>
          <w:tcPr>
            <w:tcW w:w="822" w:type="dxa"/>
          </w:tcPr>
          <w:p w14:paraId="781611D5" w14:textId="77777777" w:rsidR="00917E4B" w:rsidRPr="008A2E5A" w:rsidRDefault="00917E4B" w:rsidP="004C5D62">
            <w:pPr>
              <w:spacing w:after="0" w:line="240" w:lineRule="auto"/>
              <w:jc w:val="both"/>
              <w:rPr>
                <w:color w:val="0070C0"/>
                <w:sz w:val="16"/>
                <w:szCs w:val="16"/>
              </w:rPr>
            </w:pPr>
            <w:r w:rsidRPr="008A2E5A">
              <w:rPr>
                <w:color w:val="0070C0"/>
                <w:sz w:val="16"/>
                <w:szCs w:val="16"/>
              </w:rPr>
              <w:t>23</w:t>
            </w:r>
          </w:p>
        </w:tc>
        <w:tc>
          <w:tcPr>
            <w:tcW w:w="822" w:type="dxa"/>
          </w:tcPr>
          <w:p w14:paraId="01B7063A" w14:textId="77777777" w:rsidR="00917E4B" w:rsidRPr="008A2E5A" w:rsidRDefault="00917E4B" w:rsidP="004C5D62">
            <w:pPr>
              <w:spacing w:after="0" w:line="240" w:lineRule="auto"/>
              <w:jc w:val="both"/>
              <w:rPr>
                <w:color w:val="0070C0"/>
                <w:sz w:val="16"/>
                <w:szCs w:val="16"/>
              </w:rPr>
            </w:pPr>
          </w:p>
        </w:tc>
        <w:tc>
          <w:tcPr>
            <w:tcW w:w="822" w:type="dxa"/>
          </w:tcPr>
          <w:p w14:paraId="65769DA2" w14:textId="77777777" w:rsidR="00917E4B" w:rsidRPr="008A2E5A" w:rsidRDefault="00917E4B" w:rsidP="004C5D62">
            <w:pPr>
              <w:spacing w:after="0" w:line="240" w:lineRule="auto"/>
              <w:jc w:val="both"/>
              <w:rPr>
                <w:color w:val="0070C0"/>
                <w:sz w:val="16"/>
                <w:szCs w:val="16"/>
              </w:rPr>
            </w:pPr>
            <w:r w:rsidRPr="008A2E5A">
              <w:rPr>
                <w:color w:val="0070C0"/>
                <w:sz w:val="16"/>
                <w:szCs w:val="16"/>
              </w:rPr>
              <w:t>14</w:t>
            </w:r>
          </w:p>
        </w:tc>
        <w:tc>
          <w:tcPr>
            <w:tcW w:w="822" w:type="dxa"/>
          </w:tcPr>
          <w:p w14:paraId="128A4365" w14:textId="77777777" w:rsidR="00917E4B" w:rsidRPr="008A2E5A" w:rsidRDefault="00917E4B" w:rsidP="004C5D62">
            <w:pPr>
              <w:spacing w:after="0" w:line="240" w:lineRule="auto"/>
              <w:jc w:val="both"/>
              <w:rPr>
                <w:color w:val="0070C0"/>
                <w:sz w:val="16"/>
                <w:szCs w:val="16"/>
              </w:rPr>
            </w:pPr>
          </w:p>
        </w:tc>
        <w:tc>
          <w:tcPr>
            <w:tcW w:w="822" w:type="dxa"/>
          </w:tcPr>
          <w:p w14:paraId="5D48479E" w14:textId="77777777" w:rsidR="00917E4B" w:rsidRPr="008A2E5A" w:rsidRDefault="00917E4B" w:rsidP="004C5D62">
            <w:pPr>
              <w:spacing w:after="0" w:line="240" w:lineRule="auto"/>
              <w:jc w:val="both"/>
              <w:rPr>
                <w:color w:val="0070C0"/>
                <w:sz w:val="16"/>
                <w:szCs w:val="16"/>
              </w:rPr>
            </w:pPr>
          </w:p>
        </w:tc>
        <w:tc>
          <w:tcPr>
            <w:tcW w:w="822" w:type="dxa"/>
          </w:tcPr>
          <w:p w14:paraId="38F04EA4" w14:textId="77777777" w:rsidR="00917E4B" w:rsidRPr="008A2E5A" w:rsidRDefault="00917E4B" w:rsidP="004C5D62">
            <w:pPr>
              <w:spacing w:after="0" w:line="240" w:lineRule="auto"/>
              <w:jc w:val="both"/>
              <w:rPr>
                <w:color w:val="0070C0"/>
                <w:sz w:val="16"/>
                <w:szCs w:val="16"/>
              </w:rPr>
            </w:pPr>
          </w:p>
        </w:tc>
        <w:tc>
          <w:tcPr>
            <w:tcW w:w="822" w:type="dxa"/>
          </w:tcPr>
          <w:p w14:paraId="7605C609" w14:textId="77777777" w:rsidR="00917E4B" w:rsidRPr="008A2E5A" w:rsidRDefault="00917E4B" w:rsidP="004C5D62">
            <w:pPr>
              <w:spacing w:after="0" w:line="240" w:lineRule="auto"/>
              <w:jc w:val="both"/>
              <w:rPr>
                <w:color w:val="0070C0"/>
                <w:sz w:val="16"/>
                <w:szCs w:val="16"/>
              </w:rPr>
            </w:pPr>
          </w:p>
        </w:tc>
      </w:tr>
      <w:tr w:rsidR="00917E4B" w:rsidRPr="008A2E5A" w14:paraId="6C01F662" w14:textId="77777777" w:rsidTr="004C5D62">
        <w:tc>
          <w:tcPr>
            <w:tcW w:w="821" w:type="dxa"/>
          </w:tcPr>
          <w:p w14:paraId="39167522"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патроны с пулей ДД</w:t>
            </w:r>
          </w:p>
        </w:tc>
        <w:tc>
          <w:tcPr>
            <w:tcW w:w="821" w:type="dxa"/>
          </w:tcPr>
          <w:p w14:paraId="2D987BA9"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1500</w:t>
            </w:r>
          </w:p>
        </w:tc>
        <w:tc>
          <w:tcPr>
            <w:tcW w:w="821" w:type="dxa"/>
          </w:tcPr>
          <w:p w14:paraId="4DCCC1DC" w14:textId="77777777" w:rsidR="00917E4B" w:rsidRPr="008A2E5A" w:rsidRDefault="00917E4B" w:rsidP="004C5D62">
            <w:pPr>
              <w:spacing w:after="0" w:line="240" w:lineRule="auto"/>
              <w:jc w:val="both"/>
              <w:rPr>
                <w:color w:val="0070C0"/>
                <w:sz w:val="16"/>
                <w:szCs w:val="16"/>
              </w:rPr>
            </w:pPr>
            <w:r w:rsidRPr="008A2E5A">
              <w:rPr>
                <w:color w:val="0070C0"/>
                <w:sz w:val="16"/>
                <w:szCs w:val="16"/>
              </w:rPr>
              <w:t>348</w:t>
            </w:r>
          </w:p>
        </w:tc>
        <w:tc>
          <w:tcPr>
            <w:tcW w:w="821" w:type="dxa"/>
          </w:tcPr>
          <w:p w14:paraId="4335E8FE"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06382A79" w14:textId="77777777" w:rsidR="00917E4B" w:rsidRPr="008A2E5A" w:rsidRDefault="00917E4B" w:rsidP="004C5D62">
            <w:pPr>
              <w:spacing w:after="0" w:line="240" w:lineRule="auto"/>
              <w:jc w:val="both"/>
              <w:rPr>
                <w:color w:val="0070C0"/>
                <w:sz w:val="16"/>
                <w:szCs w:val="16"/>
              </w:rPr>
            </w:pPr>
            <w:r w:rsidRPr="008A2E5A">
              <w:rPr>
                <w:color w:val="0070C0"/>
                <w:sz w:val="16"/>
                <w:szCs w:val="16"/>
              </w:rPr>
              <w:t>977</w:t>
            </w:r>
          </w:p>
        </w:tc>
        <w:tc>
          <w:tcPr>
            <w:tcW w:w="822" w:type="dxa"/>
          </w:tcPr>
          <w:p w14:paraId="33C22166"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1500</w:t>
            </w:r>
          </w:p>
        </w:tc>
        <w:tc>
          <w:tcPr>
            <w:tcW w:w="822" w:type="dxa"/>
          </w:tcPr>
          <w:p w14:paraId="39881DCC" w14:textId="77777777" w:rsidR="00917E4B" w:rsidRPr="008A2E5A" w:rsidRDefault="00917E4B" w:rsidP="004C5D62">
            <w:pPr>
              <w:spacing w:after="0" w:line="240" w:lineRule="auto"/>
              <w:jc w:val="both"/>
              <w:rPr>
                <w:color w:val="0070C0"/>
                <w:sz w:val="16"/>
                <w:szCs w:val="16"/>
              </w:rPr>
            </w:pPr>
            <w:r w:rsidRPr="008A2E5A">
              <w:rPr>
                <w:color w:val="0070C0"/>
                <w:sz w:val="16"/>
                <w:szCs w:val="16"/>
              </w:rPr>
              <w:t>288</w:t>
            </w:r>
          </w:p>
        </w:tc>
        <w:tc>
          <w:tcPr>
            <w:tcW w:w="822" w:type="dxa"/>
          </w:tcPr>
          <w:p w14:paraId="35EBE97C"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366913BD" w14:textId="77777777" w:rsidR="00917E4B" w:rsidRPr="008A2E5A" w:rsidRDefault="00917E4B" w:rsidP="004C5D62">
            <w:pPr>
              <w:spacing w:after="0" w:line="240" w:lineRule="auto"/>
              <w:jc w:val="both"/>
              <w:rPr>
                <w:color w:val="0070C0"/>
                <w:sz w:val="16"/>
                <w:szCs w:val="16"/>
              </w:rPr>
            </w:pPr>
            <w:r w:rsidRPr="008A2E5A">
              <w:rPr>
                <w:color w:val="0070C0"/>
                <w:sz w:val="16"/>
                <w:szCs w:val="16"/>
              </w:rPr>
              <w:t>572</w:t>
            </w:r>
          </w:p>
        </w:tc>
        <w:tc>
          <w:tcPr>
            <w:tcW w:w="822" w:type="dxa"/>
          </w:tcPr>
          <w:p w14:paraId="7826FD64" w14:textId="77777777" w:rsidR="00917E4B" w:rsidRPr="008A2E5A" w:rsidRDefault="00917E4B" w:rsidP="004C5D62">
            <w:pPr>
              <w:spacing w:after="0" w:line="240" w:lineRule="auto"/>
              <w:jc w:val="both"/>
              <w:rPr>
                <w:color w:val="0070C0"/>
                <w:sz w:val="16"/>
                <w:szCs w:val="16"/>
              </w:rPr>
            </w:pPr>
          </w:p>
        </w:tc>
        <w:tc>
          <w:tcPr>
            <w:tcW w:w="822" w:type="dxa"/>
          </w:tcPr>
          <w:p w14:paraId="0AD3ED54" w14:textId="77777777" w:rsidR="00917E4B" w:rsidRPr="008A2E5A" w:rsidRDefault="00917E4B" w:rsidP="004C5D62">
            <w:pPr>
              <w:spacing w:after="0" w:line="240" w:lineRule="auto"/>
              <w:jc w:val="both"/>
              <w:rPr>
                <w:color w:val="0070C0"/>
                <w:sz w:val="16"/>
                <w:szCs w:val="16"/>
              </w:rPr>
            </w:pPr>
          </w:p>
        </w:tc>
        <w:tc>
          <w:tcPr>
            <w:tcW w:w="822" w:type="dxa"/>
          </w:tcPr>
          <w:p w14:paraId="7F4456B3" w14:textId="77777777" w:rsidR="00917E4B" w:rsidRPr="008A2E5A" w:rsidRDefault="00917E4B" w:rsidP="004C5D62">
            <w:pPr>
              <w:spacing w:after="0" w:line="240" w:lineRule="auto"/>
              <w:jc w:val="both"/>
              <w:rPr>
                <w:color w:val="0070C0"/>
                <w:sz w:val="16"/>
                <w:szCs w:val="16"/>
              </w:rPr>
            </w:pPr>
          </w:p>
        </w:tc>
        <w:tc>
          <w:tcPr>
            <w:tcW w:w="822" w:type="dxa"/>
          </w:tcPr>
          <w:p w14:paraId="7BBF1127" w14:textId="77777777" w:rsidR="00917E4B" w:rsidRPr="008A2E5A" w:rsidRDefault="00917E4B" w:rsidP="004C5D62">
            <w:pPr>
              <w:spacing w:after="0" w:line="240" w:lineRule="auto"/>
              <w:jc w:val="both"/>
              <w:rPr>
                <w:color w:val="0070C0"/>
                <w:sz w:val="16"/>
                <w:szCs w:val="16"/>
              </w:rPr>
            </w:pPr>
          </w:p>
        </w:tc>
      </w:tr>
      <w:tr w:rsidR="00917E4B" w:rsidRPr="008A2E5A" w14:paraId="4C6FD0F2" w14:textId="77777777" w:rsidTr="004C5D62">
        <w:tc>
          <w:tcPr>
            <w:tcW w:w="821" w:type="dxa"/>
          </w:tcPr>
          <w:p w14:paraId="2255F920" w14:textId="77777777" w:rsidR="00917E4B" w:rsidRPr="008A2E5A" w:rsidRDefault="00917E4B" w:rsidP="004C5D62">
            <w:pPr>
              <w:spacing w:after="0" w:line="240" w:lineRule="auto"/>
              <w:jc w:val="both"/>
              <w:rPr>
                <w:color w:val="0070C0"/>
                <w:sz w:val="16"/>
                <w:szCs w:val="16"/>
              </w:rPr>
            </w:pPr>
            <w:r w:rsidRPr="008A2E5A">
              <w:rPr>
                <w:color w:val="0070C0"/>
                <w:sz w:val="16"/>
                <w:szCs w:val="16"/>
              </w:rPr>
              <w:t>Гранаты</w:t>
            </w:r>
          </w:p>
        </w:tc>
        <w:tc>
          <w:tcPr>
            <w:tcW w:w="821" w:type="dxa"/>
          </w:tcPr>
          <w:p w14:paraId="57430D47" w14:textId="77777777" w:rsidR="00917E4B" w:rsidRPr="008A2E5A" w:rsidRDefault="00917E4B" w:rsidP="004C5D62">
            <w:pPr>
              <w:spacing w:after="0" w:line="240" w:lineRule="auto"/>
              <w:jc w:val="both"/>
              <w:rPr>
                <w:color w:val="0070C0"/>
                <w:sz w:val="16"/>
                <w:szCs w:val="16"/>
              </w:rPr>
            </w:pPr>
          </w:p>
        </w:tc>
        <w:tc>
          <w:tcPr>
            <w:tcW w:w="821" w:type="dxa"/>
          </w:tcPr>
          <w:p w14:paraId="42612FAA" w14:textId="77777777" w:rsidR="00917E4B" w:rsidRPr="008A2E5A" w:rsidRDefault="00917E4B" w:rsidP="004C5D62">
            <w:pPr>
              <w:spacing w:after="0" w:line="240" w:lineRule="auto"/>
              <w:jc w:val="both"/>
              <w:rPr>
                <w:color w:val="0070C0"/>
                <w:sz w:val="16"/>
                <w:szCs w:val="16"/>
              </w:rPr>
            </w:pPr>
          </w:p>
        </w:tc>
        <w:tc>
          <w:tcPr>
            <w:tcW w:w="821" w:type="dxa"/>
          </w:tcPr>
          <w:p w14:paraId="256E628D" w14:textId="77777777" w:rsidR="00917E4B" w:rsidRPr="008A2E5A" w:rsidRDefault="00917E4B" w:rsidP="004C5D62">
            <w:pPr>
              <w:spacing w:after="0" w:line="240" w:lineRule="auto"/>
              <w:jc w:val="both"/>
              <w:rPr>
                <w:color w:val="0070C0"/>
                <w:sz w:val="16"/>
                <w:szCs w:val="16"/>
              </w:rPr>
            </w:pPr>
          </w:p>
        </w:tc>
        <w:tc>
          <w:tcPr>
            <w:tcW w:w="822" w:type="dxa"/>
          </w:tcPr>
          <w:p w14:paraId="16C7943E" w14:textId="77777777" w:rsidR="00917E4B" w:rsidRPr="008A2E5A" w:rsidRDefault="00917E4B" w:rsidP="004C5D62">
            <w:pPr>
              <w:spacing w:after="0" w:line="240" w:lineRule="auto"/>
              <w:jc w:val="both"/>
              <w:rPr>
                <w:color w:val="0070C0"/>
                <w:sz w:val="16"/>
                <w:szCs w:val="16"/>
              </w:rPr>
            </w:pPr>
          </w:p>
        </w:tc>
        <w:tc>
          <w:tcPr>
            <w:tcW w:w="822" w:type="dxa"/>
          </w:tcPr>
          <w:p w14:paraId="018EB9E9" w14:textId="77777777" w:rsidR="00917E4B" w:rsidRPr="008A2E5A" w:rsidRDefault="00917E4B" w:rsidP="004C5D62">
            <w:pPr>
              <w:spacing w:after="0" w:line="240" w:lineRule="auto"/>
              <w:jc w:val="both"/>
              <w:rPr>
                <w:color w:val="0070C0"/>
                <w:sz w:val="16"/>
                <w:szCs w:val="16"/>
              </w:rPr>
            </w:pPr>
          </w:p>
        </w:tc>
        <w:tc>
          <w:tcPr>
            <w:tcW w:w="822" w:type="dxa"/>
          </w:tcPr>
          <w:p w14:paraId="5B7ED9A3" w14:textId="77777777" w:rsidR="00917E4B" w:rsidRPr="008A2E5A" w:rsidRDefault="00917E4B" w:rsidP="004C5D62">
            <w:pPr>
              <w:spacing w:after="0" w:line="240" w:lineRule="auto"/>
              <w:jc w:val="both"/>
              <w:rPr>
                <w:color w:val="0070C0"/>
                <w:sz w:val="16"/>
                <w:szCs w:val="16"/>
              </w:rPr>
            </w:pPr>
          </w:p>
        </w:tc>
        <w:tc>
          <w:tcPr>
            <w:tcW w:w="822" w:type="dxa"/>
          </w:tcPr>
          <w:p w14:paraId="2C7032AF" w14:textId="77777777" w:rsidR="00917E4B" w:rsidRPr="008A2E5A" w:rsidRDefault="00917E4B" w:rsidP="004C5D62">
            <w:pPr>
              <w:spacing w:after="0" w:line="240" w:lineRule="auto"/>
              <w:jc w:val="both"/>
              <w:rPr>
                <w:color w:val="0070C0"/>
                <w:sz w:val="16"/>
                <w:szCs w:val="16"/>
              </w:rPr>
            </w:pPr>
          </w:p>
        </w:tc>
        <w:tc>
          <w:tcPr>
            <w:tcW w:w="822" w:type="dxa"/>
          </w:tcPr>
          <w:p w14:paraId="67553B2A" w14:textId="77777777" w:rsidR="00917E4B" w:rsidRPr="008A2E5A" w:rsidRDefault="00917E4B" w:rsidP="004C5D62">
            <w:pPr>
              <w:spacing w:after="0" w:line="240" w:lineRule="auto"/>
              <w:jc w:val="both"/>
              <w:rPr>
                <w:color w:val="0070C0"/>
                <w:sz w:val="16"/>
                <w:szCs w:val="16"/>
              </w:rPr>
            </w:pPr>
          </w:p>
        </w:tc>
        <w:tc>
          <w:tcPr>
            <w:tcW w:w="822" w:type="dxa"/>
          </w:tcPr>
          <w:p w14:paraId="4BCBA10F" w14:textId="77777777" w:rsidR="00917E4B" w:rsidRPr="008A2E5A" w:rsidRDefault="00917E4B" w:rsidP="004C5D62">
            <w:pPr>
              <w:spacing w:after="0" w:line="240" w:lineRule="auto"/>
              <w:jc w:val="both"/>
              <w:rPr>
                <w:color w:val="0070C0"/>
                <w:sz w:val="16"/>
                <w:szCs w:val="16"/>
              </w:rPr>
            </w:pPr>
          </w:p>
        </w:tc>
        <w:tc>
          <w:tcPr>
            <w:tcW w:w="822" w:type="dxa"/>
          </w:tcPr>
          <w:p w14:paraId="5DEE9E61" w14:textId="77777777" w:rsidR="00917E4B" w:rsidRPr="008A2E5A" w:rsidRDefault="00917E4B" w:rsidP="004C5D62">
            <w:pPr>
              <w:spacing w:after="0" w:line="240" w:lineRule="auto"/>
              <w:jc w:val="both"/>
              <w:rPr>
                <w:color w:val="0070C0"/>
                <w:sz w:val="16"/>
                <w:szCs w:val="16"/>
              </w:rPr>
            </w:pPr>
          </w:p>
        </w:tc>
        <w:tc>
          <w:tcPr>
            <w:tcW w:w="822" w:type="dxa"/>
          </w:tcPr>
          <w:p w14:paraId="263ED897" w14:textId="77777777" w:rsidR="00917E4B" w:rsidRPr="008A2E5A" w:rsidRDefault="00917E4B" w:rsidP="004C5D62">
            <w:pPr>
              <w:spacing w:after="0" w:line="240" w:lineRule="auto"/>
              <w:jc w:val="both"/>
              <w:rPr>
                <w:color w:val="0070C0"/>
                <w:sz w:val="16"/>
                <w:szCs w:val="16"/>
              </w:rPr>
            </w:pPr>
          </w:p>
        </w:tc>
        <w:tc>
          <w:tcPr>
            <w:tcW w:w="822" w:type="dxa"/>
          </w:tcPr>
          <w:p w14:paraId="5407DB2B" w14:textId="77777777" w:rsidR="00917E4B" w:rsidRPr="008A2E5A" w:rsidRDefault="00917E4B" w:rsidP="004C5D62">
            <w:pPr>
              <w:spacing w:after="0" w:line="240" w:lineRule="auto"/>
              <w:jc w:val="both"/>
              <w:rPr>
                <w:color w:val="0070C0"/>
                <w:sz w:val="16"/>
                <w:szCs w:val="16"/>
              </w:rPr>
            </w:pPr>
          </w:p>
        </w:tc>
      </w:tr>
      <w:tr w:rsidR="00917E4B" w:rsidRPr="008A2E5A" w14:paraId="326F9E7C" w14:textId="77777777" w:rsidTr="004C5D62">
        <w:tc>
          <w:tcPr>
            <w:tcW w:w="821" w:type="dxa"/>
          </w:tcPr>
          <w:p w14:paraId="78AFA2F6" w14:textId="77777777" w:rsidR="00917E4B" w:rsidRPr="008A2E5A" w:rsidRDefault="00917E4B" w:rsidP="004C5D62">
            <w:pPr>
              <w:spacing w:after="0" w:line="240" w:lineRule="auto"/>
              <w:jc w:val="both"/>
              <w:rPr>
                <w:color w:val="0070C0"/>
                <w:sz w:val="16"/>
                <w:szCs w:val="16"/>
              </w:rPr>
            </w:pPr>
            <w:r w:rsidRPr="008A2E5A">
              <w:rPr>
                <w:color w:val="0070C0"/>
                <w:sz w:val="16"/>
                <w:szCs w:val="16"/>
              </w:rPr>
              <w:t>РГД-33 г.</w:t>
            </w:r>
          </w:p>
        </w:tc>
        <w:tc>
          <w:tcPr>
            <w:tcW w:w="821" w:type="dxa"/>
          </w:tcPr>
          <w:p w14:paraId="050BA969" w14:textId="77777777" w:rsidR="00917E4B" w:rsidRPr="008A2E5A" w:rsidRDefault="00917E4B" w:rsidP="004C5D62">
            <w:pPr>
              <w:spacing w:after="0" w:line="240" w:lineRule="auto"/>
              <w:jc w:val="both"/>
              <w:rPr>
                <w:color w:val="0070C0"/>
                <w:sz w:val="16"/>
                <w:szCs w:val="16"/>
              </w:rPr>
            </w:pPr>
            <w:r w:rsidRPr="008A2E5A">
              <w:rPr>
                <w:color w:val="0070C0"/>
                <w:sz w:val="16"/>
                <w:szCs w:val="16"/>
              </w:rPr>
              <w:t>5940</w:t>
            </w:r>
          </w:p>
        </w:tc>
        <w:tc>
          <w:tcPr>
            <w:tcW w:w="821" w:type="dxa"/>
          </w:tcPr>
          <w:p w14:paraId="2B6EE64E" w14:textId="77777777" w:rsidR="00917E4B" w:rsidRPr="008A2E5A" w:rsidRDefault="00917E4B" w:rsidP="004C5D62">
            <w:pPr>
              <w:spacing w:after="0" w:line="240" w:lineRule="auto"/>
              <w:jc w:val="both"/>
              <w:rPr>
                <w:color w:val="0070C0"/>
                <w:sz w:val="16"/>
                <w:szCs w:val="16"/>
              </w:rPr>
            </w:pPr>
            <w:r w:rsidRPr="008A2E5A">
              <w:rPr>
                <w:color w:val="0070C0"/>
                <w:sz w:val="16"/>
                <w:szCs w:val="16"/>
              </w:rPr>
              <w:t>5415</w:t>
            </w:r>
          </w:p>
        </w:tc>
        <w:tc>
          <w:tcPr>
            <w:tcW w:w="821" w:type="dxa"/>
          </w:tcPr>
          <w:p w14:paraId="58860AE9" w14:textId="77777777" w:rsidR="00917E4B" w:rsidRPr="008A2E5A" w:rsidRDefault="00917E4B" w:rsidP="004C5D62">
            <w:pPr>
              <w:spacing w:after="0" w:line="240" w:lineRule="auto"/>
              <w:jc w:val="both"/>
              <w:rPr>
                <w:color w:val="0070C0"/>
                <w:sz w:val="16"/>
                <w:szCs w:val="16"/>
              </w:rPr>
            </w:pPr>
            <w:r w:rsidRPr="008A2E5A">
              <w:rPr>
                <w:color w:val="0070C0"/>
                <w:sz w:val="16"/>
                <w:szCs w:val="16"/>
              </w:rPr>
              <w:t>2600</w:t>
            </w:r>
          </w:p>
        </w:tc>
        <w:tc>
          <w:tcPr>
            <w:tcW w:w="822" w:type="dxa"/>
          </w:tcPr>
          <w:p w14:paraId="295D7EE9" w14:textId="77777777" w:rsidR="00917E4B" w:rsidRPr="008A2E5A" w:rsidRDefault="00917E4B" w:rsidP="004C5D62">
            <w:pPr>
              <w:spacing w:after="0" w:line="240" w:lineRule="auto"/>
              <w:jc w:val="both"/>
              <w:rPr>
                <w:color w:val="0070C0"/>
                <w:sz w:val="16"/>
                <w:szCs w:val="16"/>
              </w:rPr>
            </w:pPr>
            <w:r w:rsidRPr="008A2E5A">
              <w:rPr>
                <w:color w:val="0070C0"/>
                <w:sz w:val="16"/>
                <w:szCs w:val="16"/>
              </w:rPr>
              <w:t>1643</w:t>
            </w:r>
          </w:p>
        </w:tc>
        <w:tc>
          <w:tcPr>
            <w:tcW w:w="822" w:type="dxa"/>
          </w:tcPr>
          <w:p w14:paraId="02DA8A90" w14:textId="77777777" w:rsidR="00917E4B" w:rsidRPr="008A2E5A" w:rsidRDefault="00917E4B" w:rsidP="004C5D62">
            <w:pPr>
              <w:spacing w:after="0" w:line="240" w:lineRule="auto"/>
              <w:jc w:val="both"/>
              <w:rPr>
                <w:color w:val="0070C0"/>
                <w:sz w:val="16"/>
                <w:szCs w:val="16"/>
              </w:rPr>
            </w:pPr>
            <w:r w:rsidRPr="008A2E5A">
              <w:rPr>
                <w:color w:val="0070C0"/>
                <w:sz w:val="16"/>
                <w:szCs w:val="16"/>
              </w:rPr>
              <w:t>7500</w:t>
            </w:r>
          </w:p>
        </w:tc>
        <w:tc>
          <w:tcPr>
            <w:tcW w:w="822" w:type="dxa"/>
          </w:tcPr>
          <w:p w14:paraId="15026898" w14:textId="77777777" w:rsidR="00917E4B" w:rsidRPr="008A2E5A" w:rsidRDefault="00917E4B" w:rsidP="004C5D62">
            <w:pPr>
              <w:spacing w:after="0" w:line="240" w:lineRule="auto"/>
              <w:jc w:val="both"/>
              <w:rPr>
                <w:color w:val="0070C0"/>
                <w:sz w:val="16"/>
                <w:szCs w:val="16"/>
              </w:rPr>
            </w:pPr>
            <w:r w:rsidRPr="008A2E5A">
              <w:rPr>
                <w:color w:val="0070C0"/>
                <w:sz w:val="16"/>
                <w:szCs w:val="16"/>
              </w:rPr>
              <w:t>2646</w:t>
            </w:r>
          </w:p>
        </w:tc>
        <w:tc>
          <w:tcPr>
            <w:tcW w:w="822" w:type="dxa"/>
          </w:tcPr>
          <w:p w14:paraId="18733E21"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2" w:type="dxa"/>
          </w:tcPr>
          <w:p w14:paraId="1823373B" w14:textId="77777777" w:rsidR="00917E4B" w:rsidRPr="008A2E5A" w:rsidRDefault="00917E4B" w:rsidP="004C5D62">
            <w:pPr>
              <w:spacing w:after="0" w:line="240" w:lineRule="auto"/>
              <w:jc w:val="both"/>
              <w:rPr>
                <w:color w:val="0070C0"/>
                <w:sz w:val="16"/>
                <w:szCs w:val="16"/>
              </w:rPr>
            </w:pPr>
            <w:r w:rsidRPr="008A2E5A">
              <w:rPr>
                <w:color w:val="0070C0"/>
                <w:sz w:val="16"/>
                <w:szCs w:val="16"/>
              </w:rPr>
              <w:t>2881</w:t>
            </w:r>
          </w:p>
        </w:tc>
        <w:tc>
          <w:tcPr>
            <w:tcW w:w="822" w:type="dxa"/>
          </w:tcPr>
          <w:p w14:paraId="1A0A919A" w14:textId="77777777" w:rsidR="00917E4B" w:rsidRPr="008A2E5A" w:rsidRDefault="00917E4B" w:rsidP="004C5D62">
            <w:pPr>
              <w:spacing w:after="0" w:line="240" w:lineRule="auto"/>
              <w:jc w:val="both"/>
              <w:rPr>
                <w:color w:val="0070C0"/>
                <w:sz w:val="16"/>
                <w:szCs w:val="16"/>
              </w:rPr>
            </w:pPr>
          </w:p>
        </w:tc>
        <w:tc>
          <w:tcPr>
            <w:tcW w:w="822" w:type="dxa"/>
          </w:tcPr>
          <w:p w14:paraId="22807925" w14:textId="77777777" w:rsidR="00917E4B" w:rsidRPr="008A2E5A" w:rsidRDefault="00917E4B" w:rsidP="004C5D62">
            <w:pPr>
              <w:spacing w:after="0" w:line="240" w:lineRule="auto"/>
              <w:jc w:val="both"/>
              <w:rPr>
                <w:color w:val="0070C0"/>
                <w:sz w:val="16"/>
                <w:szCs w:val="16"/>
              </w:rPr>
            </w:pPr>
          </w:p>
        </w:tc>
        <w:tc>
          <w:tcPr>
            <w:tcW w:w="822" w:type="dxa"/>
          </w:tcPr>
          <w:p w14:paraId="35B43CC2" w14:textId="77777777" w:rsidR="00917E4B" w:rsidRPr="008A2E5A" w:rsidRDefault="00917E4B" w:rsidP="004C5D62">
            <w:pPr>
              <w:spacing w:after="0" w:line="240" w:lineRule="auto"/>
              <w:jc w:val="both"/>
              <w:rPr>
                <w:color w:val="0070C0"/>
                <w:sz w:val="16"/>
                <w:szCs w:val="16"/>
              </w:rPr>
            </w:pPr>
          </w:p>
        </w:tc>
        <w:tc>
          <w:tcPr>
            <w:tcW w:w="822" w:type="dxa"/>
          </w:tcPr>
          <w:p w14:paraId="5E8BC0C8" w14:textId="77777777" w:rsidR="00917E4B" w:rsidRPr="008A2E5A" w:rsidRDefault="00917E4B" w:rsidP="004C5D62">
            <w:pPr>
              <w:spacing w:after="0" w:line="240" w:lineRule="auto"/>
              <w:jc w:val="both"/>
              <w:rPr>
                <w:color w:val="0070C0"/>
                <w:sz w:val="16"/>
                <w:szCs w:val="16"/>
              </w:rPr>
            </w:pPr>
          </w:p>
        </w:tc>
      </w:tr>
      <w:tr w:rsidR="00917E4B" w:rsidRPr="008A2E5A" w14:paraId="5A4C4668" w14:textId="77777777" w:rsidTr="004C5D62">
        <w:tc>
          <w:tcPr>
            <w:tcW w:w="821" w:type="dxa"/>
          </w:tcPr>
          <w:p w14:paraId="7F1FCF1D" w14:textId="77777777" w:rsidR="00917E4B" w:rsidRPr="008A2E5A" w:rsidRDefault="00917E4B" w:rsidP="004C5D62">
            <w:pPr>
              <w:spacing w:after="0" w:line="240" w:lineRule="auto"/>
              <w:jc w:val="both"/>
              <w:rPr>
                <w:color w:val="0070C0"/>
                <w:sz w:val="16"/>
                <w:szCs w:val="16"/>
              </w:rPr>
            </w:pPr>
            <w:r w:rsidRPr="008A2E5A">
              <w:rPr>
                <w:color w:val="0070C0"/>
                <w:sz w:val="16"/>
                <w:szCs w:val="16"/>
              </w:rPr>
              <w:t>Ф-1</w:t>
            </w:r>
          </w:p>
        </w:tc>
        <w:tc>
          <w:tcPr>
            <w:tcW w:w="821" w:type="dxa"/>
          </w:tcPr>
          <w:p w14:paraId="02598419" w14:textId="77777777" w:rsidR="00917E4B" w:rsidRPr="008A2E5A" w:rsidRDefault="00917E4B" w:rsidP="004C5D62">
            <w:pPr>
              <w:spacing w:after="0" w:line="240" w:lineRule="auto"/>
              <w:jc w:val="both"/>
              <w:rPr>
                <w:color w:val="0070C0"/>
                <w:sz w:val="16"/>
                <w:szCs w:val="16"/>
              </w:rPr>
            </w:pPr>
            <w:r w:rsidRPr="008A2E5A">
              <w:rPr>
                <w:color w:val="0070C0"/>
                <w:sz w:val="16"/>
                <w:szCs w:val="16"/>
              </w:rPr>
              <w:t>0</w:t>
            </w:r>
          </w:p>
        </w:tc>
        <w:tc>
          <w:tcPr>
            <w:tcW w:w="821" w:type="dxa"/>
          </w:tcPr>
          <w:p w14:paraId="3F2D7099" w14:textId="77777777" w:rsidR="00917E4B" w:rsidRPr="008A2E5A" w:rsidRDefault="00917E4B" w:rsidP="004C5D62">
            <w:pPr>
              <w:spacing w:after="0" w:line="240" w:lineRule="auto"/>
              <w:jc w:val="both"/>
              <w:rPr>
                <w:color w:val="0070C0"/>
                <w:sz w:val="16"/>
                <w:szCs w:val="16"/>
              </w:rPr>
            </w:pPr>
            <w:r w:rsidRPr="008A2E5A">
              <w:rPr>
                <w:color w:val="0070C0"/>
                <w:sz w:val="16"/>
                <w:szCs w:val="16"/>
              </w:rPr>
              <w:t>140</w:t>
            </w:r>
          </w:p>
        </w:tc>
        <w:tc>
          <w:tcPr>
            <w:tcW w:w="821" w:type="dxa"/>
          </w:tcPr>
          <w:p w14:paraId="4D457C4B"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w:t>
            </w:r>
          </w:p>
        </w:tc>
        <w:tc>
          <w:tcPr>
            <w:tcW w:w="822" w:type="dxa"/>
          </w:tcPr>
          <w:p w14:paraId="7DBE2A80" w14:textId="77777777" w:rsidR="00917E4B" w:rsidRPr="008A2E5A" w:rsidRDefault="00917E4B" w:rsidP="004C5D62">
            <w:pPr>
              <w:spacing w:after="0" w:line="240" w:lineRule="auto"/>
              <w:jc w:val="both"/>
              <w:rPr>
                <w:color w:val="0070C0"/>
                <w:sz w:val="16"/>
                <w:szCs w:val="16"/>
              </w:rPr>
            </w:pPr>
            <w:r w:rsidRPr="008A2E5A">
              <w:rPr>
                <w:color w:val="0070C0"/>
                <w:sz w:val="16"/>
                <w:szCs w:val="16"/>
              </w:rPr>
              <w:t>123</w:t>
            </w:r>
          </w:p>
        </w:tc>
        <w:tc>
          <w:tcPr>
            <w:tcW w:w="822" w:type="dxa"/>
          </w:tcPr>
          <w:p w14:paraId="037167DD"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2" w:type="dxa"/>
          </w:tcPr>
          <w:p w14:paraId="30AA4A66" w14:textId="77777777" w:rsidR="00917E4B" w:rsidRPr="008A2E5A" w:rsidRDefault="00917E4B" w:rsidP="004C5D62">
            <w:pPr>
              <w:spacing w:after="0" w:line="240" w:lineRule="auto"/>
              <w:jc w:val="both"/>
              <w:rPr>
                <w:color w:val="0070C0"/>
                <w:sz w:val="16"/>
                <w:szCs w:val="16"/>
              </w:rPr>
            </w:pPr>
            <w:r w:rsidRPr="008A2E5A">
              <w:rPr>
                <w:color w:val="0070C0"/>
                <w:sz w:val="16"/>
                <w:szCs w:val="16"/>
              </w:rPr>
              <w:t>177</w:t>
            </w:r>
          </w:p>
        </w:tc>
        <w:tc>
          <w:tcPr>
            <w:tcW w:w="822" w:type="dxa"/>
          </w:tcPr>
          <w:p w14:paraId="0FF4FEFA" w14:textId="77777777" w:rsidR="00917E4B" w:rsidRPr="008A2E5A" w:rsidRDefault="00917E4B" w:rsidP="004C5D62">
            <w:pPr>
              <w:spacing w:after="0" w:line="240" w:lineRule="auto"/>
              <w:jc w:val="both"/>
              <w:rPr>
                <w:color w:val="0070C0"/>
                <w:sz w:val="16"/>
                <w:szCs w:val="16"/>
              </w:rPr>
            </w:pPr>
            <w:r w:rsidRPr="008A2E5A">
              <w:rPr>
                <w:color w:val="0070C0"/>
                <w:sz w:val="16"/>
                <w:szCs w:val="16"/>
              </w:rPr>
              <w:t>1200</w:t>
            </w:r>
          </w:p>
        </w:tc>
        <w:tc>
          <w:tcPr>
            <w:tcW w:w="822" w:type="dxa"/>
          </w:tcPr>
          <w:p w14:paraId="44E68114" w14:textId="77777777" w:rsidR="00917E4B" w:rsidRPr="008A2E5A" w:rsidRDefault="00917E4B" w:rsidP="004C5D62">
            <w:pPr>
              <w:spacing w:after="0" w:line="240" w:lineRule="auto"/>
              <w:jc w:val="both"/>
              <w:rPr>
                <w:color w:val="0070C0"/>
                <w:sz w:val="16"/>
                <w:szCs w:val="16"/>
              </w:rPr>
            </w:pPr>
            <w:r w:rsidRPr="008A2E5A">
              <w:rPr>
                <w:color w:val="0070C0"/>
                <w:sz w:val="16"/>
                <w:szCs w:val="16"/>
              </w:rPr>
              <w:t>172</w:t>
            </w:r>
          </w:p>
        </w:tc>
        <w:tc>
          <w:tcPr>
            <w:tcW w:w="822" w:type="dxa"/>
          </w:tcPr>
          <w:p w14:paraId="59F2C850" w14:textId="77777777" w:rsidR="00917E4B" w:rsidRPr="008A2E5A" w:rsidRDefault="00917E4B" w:rsidP="004C5D62">
            <w:pPr>
              <w:spacing w:after="0" w:line="240" w:lineRule="auto"/>
              <w:jc w:val="both"/>
              <w:rPr>
                <w:color w:val="0070C0"/>
                <w:sz w:val="16"/>
                <w:szCs w:val="16"/>
              </w:rPr>
            </w:pPr>
          </w:p>
        </w:tc>
        <w:tc>
          <w:tcPr>
            <w:tcW w:w="822" w:type="dxa"/>
          </w:tcPr>
          <w:p w14:paraId="51FB7C0E" w14:textId="77777777" w:rsidR="00917E4B" w:rsidRPr="008A2E5A" w:rsidRDefault="00917E4B" w:rsidP="004C5D62">
            <w:pPr>
              <w:spacing w:after="0" w:line="240" w:lineRule="auto"/>
              <w:jc w:val="both"/>
              <w:rPr>
                <w:color w:val="0070C0"/>
                <w:sz w:val="16"/>
                <w:szCs w:val="16"/>
              </w:rPr>
            </w:pPr>
          </w:p>
        </w:tc>
        <w:tc>
          <w:tcPr>
            <w:tcW w:w="822" w:type="dxa"/>
          </w:tcPr>
          <w:p w14:paraId="37D2FA81" w14:textId="77777777" w:rsidR="00917E4B" w:rsidRPr="008A2E5A" w:rsidRDefault="00917E4B" w:rsidP="004C5D62">
            <w:pPr>
              <w:spacing w:after="0" w:line="240" w:lineRule="auto"/>
              <w:jc w:val="both"/>
              <w:rPr>
                <w:color w:val="0070C0"/>
                <w:sz w:val="16"/>
                <w:szCs w:val="16"/>
              </w:rPr>
            </w:pPr>
          </w:p>
        </w:tc>
        <w:tc>
          <w:tcPr>
            <w:tcW w:w="822" w:type="dxa"/>
          </w:tcPr>
          <w:p w14:paraId="33E10367" w14:textId="77777777" w:rsidR="00917E4B" w:rsidRPr="008A2E5A" w:rsidRDefault="00917E4B" w:rsidP="004C5D62">
            <w:pPr>
              <w:spacing w:after="0" w:line="240" w:lineRule="auto"/>
              <w:jc w:val="both"/>
              <w:rPr>
                <w:color w:val="0070C0"/>
                <w:sz w:val="16"/>
                <w:szCs w:val="16"/>
              </w:rPr>
            </w:pPr>
          </w:p>
        </w:tc>
      </w:tr>
      <w:tr w:rsidR="00917E4B" w:rsidRPr="008A2E5A" w14:paraId="6B702050" w14:textId="77777777" w:rsidTr="004C5D62">
        <w:tc>
          <w:tcPr>
            <w:tcW w:w="821" w:type="dxa"/>
          </w:tcPr>
          <w:p w14:paraId="3B35E244" w14:textId="77777777" w:rsidR="00917E4B" w:rsidRPr="008A2E5A" w:rsidRDefault="00917E4B" w:rsidP="004C5D62">
            <w:pPr>
              <w:spacing w:after="0" w:line="240" w:lineRule="auto"/>
              <w:jc w:val="both"/>
              <w:rPr>
                <w:color w:val="0070C0"/>
                <w:sz w:val="16"/>
                <w:szCs w:val="16"/>
              </w:rPr>
            </w:pPr>
            <w:r w:rsidRPr="008A2E5A">
              <w:rPr>
                <w:color w:val="0070C0"/>
                <w:sz w:val="16"/>
                <w:szCs w:val="16"/>
              </w:rPr>
              <w:t>26-</w:t>
            </w:r>
            <w:proofErr w:type="gramStart"/>
            <w:r w:rsidRPr="008A2E5A">
              <w:rPr>
                <w:color w:val="0070C0"/>
                <w:sz w:val="16"/>
                <w:szCs w:val="16"/>
              </w:rPr>
              <w:t>мм  освет</w:t>
            </w:r>
            <w:proofErr w:type="gramEnd"/>
            <w:r w:rsidRPr="008A2E5A">
              <w:rPr>
                <w:color w:val="0070C0"/>
                <w:sz w:val="16"/>
                <w:szCs w:val="16"/>
              </w:rPr>
              <w:t>[ ительные]</w:t>
            </w:r>
          </w:p>
        </w:tc>
        <w:tc>
          <w:tcPr>
            <w:tcW w:w="821" w:type="dxa"/>
          </w:tcPr>
          <w:p w14:paraId="1D36266B" w14:textId="77777777" w:rsidR="00917E4B" w:rsidRPr="008A2E5A" w:rsidRDefault="00917E4B" w:rsidP="004C5D62">
            <w:pPr>
              <w:spacing w:after="0" w:line="240" w:lineRule="auto"/>
              <w:jc w:val="both"/>
              <w:rPr>
                <w:color w:val="0070C0"/>
                <w:sz w:val="16"/>
                <w:szCs w:val="16"/>
              </w:rPr>
            </w:pPr>
            <w:r w:rsidRPr="008A2E5A">
              <w:rPr>
                <w:color w:val="0070C0"/>
                <w:sz w:val="16"/>
                <w:szCs w:val="16"/>
              </w:rPr>
              <w:t>3445</w:t>
            </w:r>
          </w:p>
        </w:tc>
        <w:tc>
          <w:tcPr>
            <w:tcW w:w="821" w:type="dxa"/>
          </w:tcPr>
          <w:p w14:paraId="416C96EF" w14:textId="77777777" w:rsidR="00917E4B" w:rsidRPr="008A2E5A" w:rsidRDefault="00917E4B" w:rsidP="004C5D62">
            <w:pPr>
              <w:spacing w:after="0" w:line="240" w:lineRule="auto"/>
              <w:jc w:val="both"/>
              <w:rPr>
                <w:color w:val="0070C0"/>
                <w:sz w:val="16"/>
                <w:szCs w:val="16"/>
              </w:rPr>
            </w:pPr>
            <w:r w:rsidRPr="008A2E5A">
              <w:rPr>
                <w:color w:val="0070C0"/>
                <w:sz w:val="16"/>
                <w:szCs w:val="16"/>
              </w:rPr>
              <w:t>4480</w:t>
            </w:r>
          </w:p>
        </w:tc>
        <w:tc>
          <w:tcPr>
            <w:tcW w:w="821" w:type="dxa"/>
          </w:tcPr>
          <w:p w14:paraId="7DE73446"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3000</w:t>
            </w:r>
          </w:p>
        </w:tc>
        <w:tc>
          <w:tcPr>
            <w:tcW w:w="822" w:type="dxa"/>
          </w:tcPr>
          <w:p w14:paraId="29CD5F63" w14:textId="77777777" w:rsidR="00917E4B" w:rsidRPr="008A2E5A" w:rsidRDefault="00917E4B" w:rsidP="004C5D62">
            <w:pPr>
              <w:spacing w:after="0" w:line="240" w:lineRule="auto"/>
              <w:jc w:val="both"/>
              <w:rPr>
                <w:color w:val="0070C0"/>
                <w:sz w:val="16"/>
                <w:szCs w:val="16"/>
              </w:rPr>
            </w:pPr>
            <w:r w:rsidRPr="008A2E5A">
              <w:rPr>
                <w:color w:val="0070C0"/>
                <w:sz w:val="16"/>
                <w:szCs w:val="16"/>
              </w:rPr>
              <w:t>870</w:t>
            </w:r>
          </w:p>
        </w:tc>
        <w:tc>
          <w:tcPr>
            <w:tcW w:w="822" w:type="dxa"/>
          </w:tcPr>
          <w:p w14:paraId="46D1197A"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3000</w:t>
            </w:r>
          </w:p>
        </w:tc>
        <w:tc>
          <w:tcPr>
            <w:tcW w:w="822" w:type="dxa"/>
          </w:tcPr>
          <w:p w14:paraId="5ECB4638" w14:textId="77777777" w:rsidR="00917E4B" w:rsidRPr="008A2E5A" w:rsidRDefault="00917E4B" w:rsidP="004C5D62">
            <w:pPr>
              <w:spacing w:after="0" w:line="240" w:lineRule="auto"/>
              <w:jc w:val="both"/>
              <w:rPr>
                <w:color w:val="0070C0"/>
                <w:sz w:val="16"/>
                <w:szCs w:val="16"/>
              </w:rPr>
            </w:pPr>
            <w:r w:rsidRPr="008A2E5A">
              <w:rPr>
                <w:color w:val="0070C0"/>
                <w:sz w:val="16"/>
                <w:szCs w:val="16"/>
              </w:rPr>
              <w:t>920</w:t>
            </w:r>
          </w:p>
        </w:tc>
        <w:tc>
          <w:tcPr>
            <w:tcW w:w="822" w:type="dxa"/>
          </w:tcPr>
          <w:p w14:paraId="3751B793" w14:textId="77777777" w:rsidR="00917E4B" w:rsidRPr="008A2E5A" w:rsidRDefault="00917E4B" w:rsidP="004C5D62">
            <w:pPr>
              <w:spacing w:after="0" w:line="240" w:lineRule="auto"/>
              <w:jc w:val="both"/>
              <w:rPr>
                <w:color w:val="0070C0"/>
                <w:sz w:val="16"/>
                <w:szCs w:val="16"/>
              </w:rPr>
            </w:pPr>
            <w:r w:rsidRPr="008A2E5A">
              <w:rPr>
                <w:color w:val="0070C0"/>
                <w:sz w:val="16"/>
                <w:szCs w:val="16"/>
              </w:rPr>
              <w:t>1800</w:t>
            </w:r>
          </w:p>
        </w:tc>
        <w:tc>
          <w:tcPr>
            <w:tcW w:w="822" w:type="dxa"/>
          </w:tcPr>
          <w:p w14:paraId="54FC4516" w14:textId="77777777" w:rsidR="00917E4B" w:rsidRPr="008A2E5A" w:rsidRDefault="00917E4B" w:rsidP="004C5D62">
            <w:pPr>
              <w:spacing w:after="0" w:line="240" w:lineRule="auto"/>
              <w:jc w:val="both"/>
              <w:rPr>
                <w:color w:val="0070C0"/>
                <w:sz w:val="16"/>
                <w:szCs w:val="16"/>
              </w:rPr>
            </w:pPr>
            <w:r w:rsidRPr="008A2E5A">
              <w:rPr>
                <w:color w:val="0070C0"/>
                <w:sz w:val="16"/>
                <w:szCs w:val="16"/>
              </w:rPr>
              <w:t>20</w:t>
            </w:r>
          </w:p>
        </w:tc>
        <w:tc>
          <w:tcPr>
            <w:tcW w:w="822" w:type="dxa"/>
          </w:tcPr>
          <w:p w14:paraId="6CF35028" w14:textId="77777777" w:rsidR="00917E4B" w:rsidRPr="008A2E5A" w:rsidRDefault="00917E4B" w:rsidP="004C5D62">
            <w:pPr>
              <w:spacing w:after="0" w:line="240" w:lineRule="auto"/>
              <w:jc w:val="both"/>
              <w:rPr>
                <w:color w:val="0070C0"/>
                <w:sz w:val="16"/>
                <w:szCs w:val="16"/>
              </w:rPr>
            </w:pPr>
          </w:p>
        </w:tc>
        <w:tc>
          <w:tcPr>
            <w:tcW w:w="822" w:type="dxa"/>
          </w:tcPr>
          <w:p w14:paraId="4D56EF57" w14:textId="77777777" w:rsidR="00917E4B" w:rsidRPr="008A2E5A" w:rsidRDefault="00917E4B" w:rsidP="004C5D62">
            <w:pPr>
              <w:spacing w:after="0" w:line="240" w:lineRule="auto"/>
              <w:jc w:val="both"/>
              <w:rPr>
                <w:color w:val="0070C0"/>
                <w:sz w:val="16"/>
                <w:szCs w:val="16"/>
              </w:rPr>
            </w:pPr>
          </w:p>
        </w:tc>
        <w:tc>
          <w:tcPr>
            <w:tcW w:w="822" w:type="dxa"/>
          </w:tcPr>
          <w:p w14:paraId="1B28AA29" w14:textId="77777777" w:rsidR="00917E4B" w:rsidRPr="008A2E5A" w:rsidRDefault="00917E4B" w:rsidP="004C5D62">
            <w:pPr>
              <w:spacing w:after="0" w:line="240" w:lineRule="auto"/>
              <w:jc w:val="both"/>
              <w:rPr>
                <w:color w:val="0070C0"/>
                <w:sz w:val="16"/>
                <w:szCs w:val="16"/>
              </w:rPr>
            </w:pPr>
          </w:p>
        </w:tc>
        <w:tc>
          <w:tcPr>
            <w:tcW w:w="822" w:type="dxa"/>
          </w:tcPr>
          <w:p w14:paraId="02149A4D" w14:textId="77777777" w:rsidR="00917E4B" w:rsidRPr="008A2E5A" w:rsidRDefault="00917E4B" w:rsidP="004C5D62">
            <w:pPr>
              <w:spacing w:after="0" w:line="240" w:lineRule="auto"/>
              <w:jc w:val="both"/>
              <w:rPr>
                <w:color w:val="0070C0"/>
                <w:sz w:val="16"/>
                <w:szCs w:val="16"/>
              </w:rPr>
            </w:pPr>
          </w:p>
        </w:tc>
      </w:tr>
      <w:tr w:rsidR="00917E4B" w:rsidRPr="008A2E5A" w14:paraId="2A22379D" w14:textId="77777777" w:rsidTr="004C5D62">
        <w:tc>
          <w:tcPr>
            <w:tcW w:w="821" w:type="dxa"/>
          </w:tcPr>
          <w:p w14:paraId="47947A93" w14:textId="77777777" w:rsidR="00917E4B" w:rsidRPr="008A2E5A" w:rsidRDefault="00917E4B" w:rsidP="004C5D62">
            <w:pPr>
              <w:spacing w:after="0" w:line="240" w:lineRule="auto"/>
              <w:jc w:val="both"/>
              <w:rPr>
                <w:color w:val="0070C0"/>
                <w:sz w:val="16"/>
                <w:szCs w:val="16"/>
              </w:rPr>
            </w:pPr>
            <w:r w:rsidRPr="008A2E5A">
              <w:rPr>
                <w:color w:val="0070C0"/>
                <w:sz w:val="16"/>
                <w:szCs w:val="16"/>
              </w:rPr>
              <w:t>26-мм красного огня</w:t>
            </w:r>
          </w:p>
        </w:tc>
        <w:tc>
          <w:tcPr>
            <w:tcW w:w="821" w:type="dxa"/>
          </w:tcPr>
          <w:p w14:paraId="262F3E55"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1" w:type="dxa"/>
          </w:tcPr>
          <w:p w14:paraId="7D77100D" w14:textId="77777777" w:rsidR="00917E4B" w:rsidRPr="008A2E5A" w:rsidRDefault="00917E4B" w:rsidP="004C5D62">
            <w:pPr>
              <w:spacing w:after="0" w:line="240" w:lineRule="auto"/>
              <w:jc w:val="both"/>
              <w:rPr>
                <w:color w:val="0070C0"/>
                <w:sz w:val="16"/>
                <w:szCs w:val="16"/>
              </w:rPr>
            </w:pPr>
            <w:r w:rsidRPr="008A2E5A">
              <w:rPr>
                <w:color w:val="0070C0"/>
                <w:sz w:val="16"/>
                <w:szCs w:val="16"/>
              </w:rPr>
              <w:t>1920</w:t>
            </w:r>
          </w:p>
        </w:tc>
        <w:tc>
          <w:tcPr>
            <w:tcW w:w="821" w:type="dxa"/>
          </w:tcPr>
          <w:p w14:paraId="5BAFC65F" w14:textId="77777777" w:rsidR="00917E4B" w:rsidRPr="008A2E5A" w:rsidRDefault="00917E4B" w:rsidP="004C5D62">
            <w:pPr>
              <w:spacing w:after="0" w:line="240" w:lineRule="auto"/>
              <w:jc w:val="both"/>
              <w:rPr>
                <w:color w:val="0070C0"/>
                <w:sz w:val="16"/>
                <w:szCs w:val="16"/>
              </w:rPr>
            </w:pPr>
            <w:r w:rsidRPr="008A2E5A">
              <w:rPr>
                <w:color w:val="0070C0"/>
                <w:sz w:val="16"/>
                <w:szCs w:val="16"/>
              </w:rPr>
              <w:t>1600</w:t>
            </w:r>
          </w:p>
        </w:tc>
        <w:tc>
          <w:tcPr>
            <w:tcW w:w="822" w:type="dxa"/>
          </w:tcPr>
          <w:p w14:paraId="015A09E6" w14:textId="77777777" w:rsidR="00917E4B" w:rsidRPr="008A2E5A" w:rsidRDefault="00917E4B" w:rsidP="004C5D62">
            <w:pPr>
              <w:spacing w:after="0" w:line="240" w:lineRule="auto"/>
              <w:jc w:val="both"/>
              <w:rPr>
                <w:color w:val="0070C0"/>
                <w:sz w:val="16"/>
                <w:szCs w:val="16"/>
              </w:rPr>
            </w:pPr>
            <w:r w:rsidRPr="008A2E5A">
              <w:rPr>
                <w:color w:val="0070C0"/>
                <w:sz w:val="16"/>
                <w:szCs w:val="16"/>
              </w:rPr>
              <w:t>410</w:t>
            </w:r>
          </w:p>
        </w:tc>
        <w:tc>
          <w:tcPr>
            <w:tcW w:w="822" w:type="dxa"/>
          </w:tcPr>
          <w:p w14:paraId="763A78CB" w14:textId="77777777" w:rsidR="00917E4B" w:rsidRPr="008A2E5A" w:rsidRDefault="00917E4B" w:rsidP="004C5D62">
            <w:pPr>
              <w:spacing w:after="0" w:line="240" w:lineRule="auto"/>
              <w:jc w:val="both"/>
              <w:rPr>
                <w:color w:val="0070C0"/>
                <w:sz w:val="16"/>
                <w:szCs w:val="16"/>
              </w:rPr>
            </w:pPr>
            <w:r w:rsidRPr="008A2E5A">
              <w:rPr>
                <w:color w:val="0070C0"/>
                <w:sz w:val="16"/>
                <w:szCs w:val="16"/>
              </w:rPr>
              <w:t>1700</w:t>
            </w:r>
          </w:p>
        </w:tc>
        <w:tc>
          <w:tcPr>
            <w:tcW w:w="822" w:type="dxa"/>
          </w:tcPr>
          <w:p w14:paraId="3C390573" w14:textId="77777777" w:rsidR="00917E4B" w:rsidRPr="008A2E5A" w:rsidRDefault="00917E4B" w:rsidP="004C5D62">
            <w:pPr>
              <w:spacing w:after="0" w:line="240" w:lineRule="auto"/>
              <w:jc w:val="both"/>
              <w:rPr>
                <w:color w:val="0070C0"/>
                <w:sz w:val="16"/>
                <w:szCs w:val="16"/>
              </w:rPr>
            </w:pPr>
            <w:r w:rsidRPr="008A2E5A">
              <w:rPr>
                <w:color w:val="0070C0"/>
                <w:sz w:val="16"/>
                <w:szCs w:val="16"/>
              </w:rPr>
              <w:t>390</w:t>
            </w:r>
          </w:p>
        </w:tc>
        <w:tc>
          <w:tcPr>
            <w:tcW w:w="822" w:type="dxa"/>
          </w:tcPr>
          <w:p w14:paraId="7292DBF9"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1500</w:t>
            </w:r>
          </w:p>
        </w:tc>
        <w:tc>
          <w:tcPr>
            <w:tcW w:w="822" w:type="dxa"/>
          </w:tcPr>
          <w:p w14:paraId="070DDF70" w14:textId="77777777" w:rsidR="00917E4B" w:rsidRPr="008A2E5A" w:rsidRDefault="00917E4B" w:rsidP="004C5D62">
            <w:pPr>
              <w:spacing w:after="0" w:line="240" w:lineRule="auto"/>
              <w:jc w:val="both"/>
              <w:rPr>
                <w:color w:val="0070C0"/>
                <w:sz w:val="16"/>
                <w:szCs w:val="16"/>
              </w:rPr>
            </w:pPr>
            <w:r w:rsidRPr="008A2E5A">
              <w:rPr>
                <w:color w:val="0070C0"/>
                <w:sz w:val="16"/>
                <w:szCs w:val="16"/>
              </w:rPr>
              <w:t>916</w:t>
            </w:r>
          </w:p>
        </w:tc>
        <w:tc>
          <w:tcPr>
            <w:tcW w:w="822" w:type="dxa"/>
          </w:tcPr>
          <w:p w14:paraId="3A418874" w14:textId="77777777" w:rsidR="00917E4B" w:rsidRPr="008A2E5A" w:rsidRDefault="00917E4B" w:rsidP="004C5D62">
            <w:pPr>
              <w:spacing w:after="0" w:line="240" w:lineRule="auto"/>
              <w:jc w:val="both"/>
              <w:rPr>
                <w:color w:val="0070C0"/>
                <w:sz w:val="16"/>
                <w:szCs w:val="16"/>
              </w:rPr>
            </w:pPr>
          </w:p>
        </w:tc>
        <w:tc>
          <w:tcPr>
            <w:tcW w:w="822" w:type="dxa"/>
          </w:tcPr>
          <w:p w14:paraId="7F1CAFE4" w14:textId="77777777" w:rsidR="00917E4B" w:rsidRPr="008A2E5A" w:rsidRDefault="00917E4B" w:rsidP="004C5D62">
            <w:pPr>
              <w:spacing w:after="0" w:line="240" w:lineRule="auto"/>
              <w:jc w:val="both"/>
              <w:rPr>
                <w:color w:val="0070C0"/>
                <w:sz w:val="16"/>
                <w:szCs w:val="16"/>
              </w:rPr>
            </w:pPr>
          </w:p>
        </w:tc>
        <w:tc>
          <w:tcPr>
            <w:tcW w:w="822" w:type="dxa"/>
          </w:tcPr>
          <w:p w14:paraId="0A94B14C" w14:textId="77777777" w:rsidR="00917E4B" w:rsidRPr="008A2E5A" w:rsidRDefault="00917E4B" w:rsidP="004C5D62">
            <w:pPr>
              <w:spacing w:after="0" w:line="240" w:lineRule="auto"/>
              <w:jc w:val="both"/>
              <w:rPr>
                <w:color w:val="0070C0"/>
                <w:sz w:val="16"/>
                <w:szCs w:val="16"/>
              </w:rPr>
            </w:pPr>
          </w:p>
        </w:tc>
        <w:tc>
          <w:tcPr>
            <w:tcW w:w="822" w:type="dxa"/>
          </w:tcPr>
          <w:p w14:paraId="056260A4" w14:textId="77777777" w:rsidR="00917E4B" w:rsidRPr="008A2E5A" w:rsidRDefault="00917E4B" w:rsidP="004C5D62">
            <w:pPr>
              <w:spacing w:after="0" w:line="240" w:lineRule="auto"/>
              <w:jc w:val="both"/>
              <w:rPr>
                <w:color w:val="0070C0"/>
                <w:sz w:val="16"/>
                <w:szCs w:val="16"/>
              </w:rPr>
            </w:pPr>
          </w:p>
        </w:tc>
      </w:tr>
      <w:tr w:rsidR="00917E4B" w:rsidRPr="008A2E5A" w14:paraId="463548D9" w14:textId="77777777" w:rsidTr="004C5D62">
        <w:tc>
          <w:tcPr>
            <w:tcW w:w="821" w:type="dxa"/>
          </w:tcPr>
          <w:p w14:paraId="7DBC592C" w14:textId="77777777" w:rsidR="00917E4B" w:rsidRPr="008A2E5A" w:rsidRDefault="00917E4B" w:rsidP="004C5D62">
            <w:pPr>
              <w:spacing w:after="0" w:line="240" w:lineRule="auto"/>
              <w:jc w:val="both"/>
              <w:rPr>
                <w:color w:val="0070C0"/>
                <w:sz w:val="16"/>
                <w:szCs w:val="16"/>
              </w:rPr>
            </w:pPr>
            <w:r w:rsidRPr="008A2E5A">
              <w:rPr>
                <w:color w:val="0070C0"/>
                <w:sz w:val="16"/>
                <w:szCs w:val="16"/>
              </w:rPr>
              <w:t>26-мм зеленого огня</w:t>
            </w:r>
          </w:p>
        </w:tc>
        <w:tc>
          <w:tcPr>
            <w:tcW w:w="821" w:type="dxa"/>
          </w:tcPr>
          <w:p w14:paraId="3DB5F6B4"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w:t>
            </w:r>
          </w:p>
        </w:tc>
        <w:tc>
          <w:tcPr>
            <w:tcW w:w="821" w:type="dxa"/>
          </w:tcPr>
          <w:p w14:paraId="08C62BD7" w14:textId="77777777" w:rsidR="00917E4B" w:rsidRPr="008A2E5A" w:rsidRDefault="00917E4B" w:rsidP="004C5D62">
            <w:pPr>
              <w:spacing w:after="0" w:line="240" w:lineRule="auto"/>
              <w:jc w:val="both"/>
              <w:rPr>
                <w:color w:val="0070C0"/>
                <w:sz w:val="16"/>
                <w:szCs w:val="16"/>
              </w:rPr>
            </w:pPr>
          </w:p>
        </w:tc>
        <w:tc>
          <w:tcPr>
            <w:tcW w:w="821" w:type="dxa"/>
          </w:tcPr>
          <w:p w14:paraId="358C7F6B"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w:t>
            </w:r>
          </w:p>
        </w:tc>
        <w:tc>
          <w:tcPr>
            <w:tcW w:w="822" w:type="dxa"/>
          </w:tcPr>
          <w:p w14:paraId="6A00FB11"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w:t>
            </w:r>
          </w:p>
        </w:tc>
        <w:tc>
          <w:tcPr>
            <w:tcW w:w="822" w:type="dxa"/>
          </w:tcPr>
          <w:p w14:paraId="42ACBB27" w14:textId="77777777" w:rsidR="00917E4B" w:rsidRPr="008A2E5A" w:rsidRDefault="00917E4B" w:rsidP="004C5D62">
            <w:pPr>
              <w:spacing w:after="0" w:line="240" w:lineRule="auto"/>
              <w:jc w:val="both"/>
              <w:rPr>
                <w:color w:val="0070C0"/>
                <w:sz w:val="16"/>
                <w:szCs w:val="16"/>
              </w:rPr>
            </w:pPr>
            <w:r w:rsidRPr="008A2E5A">
              <w:rPr>
                <w:color w:val="0070C0"/>
                <w:sz w:val="16"/>
                <w:szCs w:val="16"/>
              </w:rPr>
              <w:t>350</w:t>
            </w:r>
          </w:p>
        </w:tc>
        <w:tc>
          <w:tcPr>
            <w:tcW w:w="822" w:type="dxa"/>
          </w:tcPr>
          <w:p w14:paraId="7794AA4C" w14:textId="77777777" w:rsidR="00917E4B" w:rsidRPr="008A2E5A" w:rsidRDefault="00917E4B" w:rsidP="004C5D62">
            <w:pPr>
              <w:spacing w:after="0" w:line="240" w:lineRule="auto"/>
              <w:jc w:val="both"/>
              <w:rPr>
                <w:color w:val="0070C0"/>
                <w:sz w:val="16"/>
                <w:szCs w:val="16"/>
              </w:rPr>
            </w:pPr>
            <w:r w:rsidRPr="008A2E5A">
              <w:rPr>
                <w:color w:val="0070C0"/>
                <w:sz w:val="16"/>
                <w:szCs w:val="16"/>
              </w:rPr>
              <w:t>180</w:t>
            </w:r>
          </w:p>
        </w:tc>
        <w:tc>
          <w:tcPr>
            <w:tcW w:w="822" w:type="dxa"/>
          </w:tcPr>
          <w:p w14:paraId="1D560B5D" w14:textId="77777777" w:rsidR="00917E4B" w:rsidRPr="008A2E5A" w:rsidRDefault="00917E4B" w:rsidP="004C5D62">
            <w:pPr>
              <w:spacing w:after="0" w:line="240" w:lineRule="auto"/>
              <w:jc w:val="both"/>
              <w:rPr>
                <w:color w:val="0070C0"/>
                <w:sz w:val="16"/>
                <w:szCs w:val="16"/>
              </w:rPr>
            </w:pPr>
            <w:r w:rsidRPr="008A2E5A">
              <w:rPr>
                <w:color w:val="0070C0"/>
                <w:sz w:val="16"/>
                <w:szCs w:val="16"/>
              </w:rPr>
              <w:t>500</w:t>
            </w:r>
          </w:p>
        </w:tc>
        <w:tc>
          <w:tcPr>
            <w:tcW w:w="822" w:type="dxa"/>
          </w:tcPr>
          <w:p w14:paraId="08FEBC0A" w14:textId="77777777" w:rsidR="00917E4B" w:rsidRPr="008A2E5A" w:rsidRDefault="00917E4B" w:rsidP="004C5D62">
            <w:pPr>
              <w:spacing w:after="0" w:line="240" w:lineRule="auto"/>
              <w:jc w:val="both"/>
              <w:rPr>
                <w:color w:val="0070C0"/>
                <w:sz w:val="16"/>
                <w:szCs w:val="16"/>
              </w:rPr>
            </w:pPr>
            <w:r w:rsidRPr="008A2E5A">
              <w:rPr>
                <w:color w:val="0070C0"/>
                <w:sz w:val="16"/>
                <w:szCs w:val="16"/>
              </w:rPr>
              <w:t>597</w:t>
            </w:r>
          </w:p>
        </w:tc>
        <w:tc>
          <w:tcPr>
            <w:tcW w:w="822" w:type="dxa"/>
          </w:tcPr>
          <w:p w14:paraId="2F808986" w14:textId="77777777" w:rsidR="00917E4B" w:rsidRPr="008A2E5A" w:rsidRDefault="00917E4B" w:rsidP="004C5D62">
            <w:pPr>
              <w:spacing w:after="0" w:line="240" w:lineRule="auto"/>
              <w:jc w:val="both"/>
              <w:rPr>
                <w:color w:val="0070C0"/>
                <w:sz w:val="16"/>
                <w:szCs w:val="16"/>
              </w:rPr>
            </w:pPr>
          </w:p>
        </w:tc>
        <w:tc>
          <w:tcPr>
            <w:tcW w:w="822" w:type="dxa"/>
          </w:tcPr>
          <w:p w14:paraId="7128B4DD" w14:textId="77777777" w:rsidR="00917E4B" w:rsidRPr="008A2E5A" w:rsidRDefault="00917E4B" w:rsidP="004C5D62">
            <w:pPr>
              <w:spacing w:after="0" w:line="240" w:lineRule="auto"/>
              <w:jc w:val="both"/>
              <w:rPr>
                <w:color w:val="0070C0"/>
                <w:sz w:val="16"/>
                <w:szCs w:val="16"/>
              </w:rPr>
            </w:pPr>
          </w:p>
        </w:tc>
        <w:tc>
          <w:tcPr>
            <w:tcW w:w="822" w:type="dxa"/>
          </w:tcPr>
          <w:p w14:paraId="41AF84A9" w14:textId="77777777" w:rsidR="00917E4B" w:rsidRPr="008A2E5A" w:rsidRDefault="00917E4B" w:rsidP="004C5D62">
            <w:pPr>
              <w:spacing w:after="0" w:line="240" w:lineRule="auto"/>
              <w:jc w:val="both"/>
              <w:rPr>
                <w:color w:val="0070C0"/>
                <w:sz w:val="16"/>
                <w:szCs w:val="16"/>
              </w:rPr>
            </w:pPr>
          </w:p>
        </w:tc>
        <w:tc>
          <w:tcPr>
            <w:tcW w:w="822" w:type="dxa"/>
          </w:tcPr>
          <w:p w14:paraId="05812356" w14:textId="77777777" w:rsidR="00917E4B" w:rsidRPr="008A2E5A" w:rsidRDefault="00917E4B" w:rsidP="004C5D62">
            <w:pPr>
              <w:spacing w:after="0" w:line="240" w:lineRule="auto"/>
              <w:jc w:val="both"/>
              <w:rPr>
                <w:color w:val="0070C0"/>
                <w:sz w:val="16"/>
                <w:szCs w:val="16"/>
              </w:rPr>
            </w:pPr>
          </w:p>
        </w:tc>
      </w:tr>
      <w:tr w:rsidR="00917E4B" w:rsidRPr="008A2E5A" w14:paraId="12A8F862" w14:textId="77777777" w:rsidTr="004C5D62">
        <w:tc>
          <w:tcPr>
            <w:tcW w:w="821" w:type="dxa"/>
          </w:tcPr>
          <w:p w14:paraId="053885ED" w14:textId="77777777" w:rsidR="00917E4B" w:rsidRPr="008A2E5A" w:rsidRDefault="00917E4B" w:rsidP="004C5D62">
            <w:pPr>
              <w:spacing w:after="0" w:line="240" w:lineRule="auto"/>
              <w:jc w:val="both"/>
              <w:rPr>
                <w:color w:val="0070C0"/>
                <w:sz w:val="16"/>
                <w:szCs w:val="16"/>
              </w:rPr>
            </w:pPr>
            <w:r w:rsidRPr="008A2E5A">
              <w:rPr>
                <w:color w:val="0070C0"/>
                <w:sz w:val="16"/>
                <w:szCs w:val="16"/>
              </w:rPr>
              <w:t>РПГ-40</w:t>
            </w:r>
          </w:p>
        </w:tc>
        <w:tc>
          <w:tcPr>
            <w:tcW w:w="821" w:type="dxa"/>
          </w:tcPr>
          <w:p w14:paraId="64768773" w14:textId="77777777" w:rsidR="00917E4B" w:rsidRPr="008A2E5A" w:rsidRDefault="00917E4B" w:rsidP="004C5D62">
            <w:pPr>
              <w:spacing w:after="0" w:line="240" w:lineRule="auto"/>
              <w:jc w:val="both"/>
              <w:rPr>
                <w:color w:val="0070C0"/>
                <w:sz w:val="16"/>
                <w:szCs w:val="16"/>
              </w:rPr>
            </w:pPr>
          </w:p>
        </w:tc>
        <w:tc>
          <w:tcPr>
            <w:tcW w:w="821" w:type="dxa"/>
          </w:tcPr>
          <w:p w14:paraId="32372304" w14:textId="77777777" w:rsidR="00917E4B" w:rsidRPr="008A2E5A" w:rsidRDefault="00917E4B" w:rsidP="004C5D62">
            <w:pPr>
              <w:spacing w:after="0" w:line="240" w:lineRule="auto"/>
              <w:jc w:val="both"/>
              <w:rPr>
                <w:color w:val="0070C0"/>
                <w:sz w:val="16"/>
                <w:szCs w:val="16"/>
              </w:rPr>
            </w:pPr>
            <w:r w:rsidRPr="008A2E5A">
              <w:rPr>
                <w:color w:val="0070C0"/>
                <w:sz w:val="16"/>
                <w:szCs w:val="16"/>
              </w:rPr>
              <w:t>- -</w:t>
            </w:r>
          </w:p>
        </w:tc>
        <w:tc>
          <w:tcPr>
            <w:tcW w:w="821" w:type="dxa"/>
          </w:tcPr>
          <w:p w14:paraId="08471AF0"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2AE10B6E" w14:textId="77777777" w:rsidR="00917E4B" w:rsidRPr="008A2E5A" w:rsidRDefault="00917E4B" w:rsidP="004C5D62">
            <w:pPr>
              <w:spacing w:after="0" w:line="240" w:lineRule="auto"/>
              <w:jc w:val="both"/>
              <w:rPr>
                <w:color w:val="0070C0"/>
                <w:sz w:val="16"/>
                <w:szCs w:val="16"/>
              </w:rPr>
            </w:pPr>
            <w:r w:rsidRPr="008A2E5A">
              <w:rPr>
                <w:color w:val="0070C0"/>
                <w:sz w:val="16"/>
                <w:szCs w:val="16"/>
              </w:rPr>
              <w:t>27</w:t>
            </w:r>
          </w:p>
        </w:tc>
        <w:tc>
          <w:tcPr>
            <w:tcW w:w="822" w:type="dxa"/>
          </w:tcPr>
          <w:p w14:paraId="1680552D"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54506D7F" w14:textId="77777777" w:rsidR="00917E4B" w:rsidRPr="008A2E5A" w:rsidRDefault="00917E4B" w:rsidP="004C5D62">
            <w:pPr>
              <w:spacing w:after="0" w:line="240" w:lineRule="auto"/>
              <w:jc w:val="both"/>
              <w:rPr>
                <w:color w:val="0070C0"/>
                <w:sz w:val="16"/>
                <w:szCs w:val="16"/>
              </w:rPr>
            </w:pPr>
            <w:r w:rsidRPr="008A2E5A">
              <w:rPr>
                <w:color w:val="0070C0"/>
                <w:sz w:val="16"/>
                <w:szCs w:val="16"/>
              </w:rPr>
              <w:t>539</w:t>
            </w:r>
          </w:p>
        </w:tc>
        <w:tc>
          <w:tcPr>
            <w:tcW w:w="822" w:type="dxa"/>
          </w:tcPr>
          <w:p w14:paraId="2C858C49"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1500</w:t>
            </w:r>
          </w:p>
        </w:tc>
        <w:tc>
          <w:tcPr>
            <w:tcW w:w="822" w:type="dxa"/>
          </w:tcPr>
          <w:p w14:paraId="1A639C9F" w14:textId="77777777" w:rsidR="00917E4B" w:rsidRPr="008A2E5A" w:rsidRDefault="00917E4B" w:rsidP="004C5D62">
            <w:pPr>
              <w:spacing w:after="0" w:line="240" w:lineRule="auto"/>
              <w:jc w:val="both"/>
              <w:rPr>
                <w:color w:val="0070C0"/>
                <w:sz w:val="16"/>
                <w:szCs w:val="16"/>
              </w:rPr>
            </w:pPr>
            <w:r w:rsidRPr="008A2E5A">
              <w:rPr>
                <w:color w:val="0070C0"/>
                <w:sz w:val="16"/>
                <w:szCs w:val="16"/>
              </w:rPr>
              <w:t>1059</w:t>
            </w:r>
          </w:p>
        </w:tc>
        <w:tc>
          <w:tcPr>
            <w:tcW w:w="822" w:type="dxa"/>
          </w:tcPr>
          <w:p w14:paraId="7A7C39E7" w14:textId="77777777" w:rsidR="00917E4B" w:rsidRPr="008A2E5A" w:rsidRDefault="00917E4B" w:rsidP="004C5D62">
            <w:pPr>
              <w:spacing w:after="0" w:line="240" w:lineRule="auto"/>
              <w:jc w:val="both"/>
              <w:rPr>
                <w:color w:val="0070C0"/>
                <w:sz w:val="16"/>
                <w:szCs w:val="16"/>
              </w:rPr>
            </w:pPr>
          </w:p>
        </w:tc>
        <w:tc>
          <w:tcPr>
            <w:tcW w:w="822" w:type="dxa"/>
          </w:tcPr>
          <w:p w14:paraId="0AC65153" w14:textId="77777777" w:rsidR="00917E4B" w:rsidRPr="008A2E5A" w:rsidRDefault="00917E4B" w:rsidP="004C5D62">
            <w:pPr>
              <w:spacing w:after="0" w:line="240" w:lineRule="auto"/>
              <w:jc w:val="both"/>
              <w:rPr>
                <w:color w:val="0070C0"/>
                <w:sz w:val="16"/>
                <w:szCs w:val="16"/>
              </w:rPr>
            </w:pPr>
          </w:p>
        </w:tc>
        <w:tc>
          <w:tcPr>
            <w:tcW w:w="822" w:type="dxa"/>
          </w:tcPr>
          <w:p w14:paraId="752AA11C" w14:textId="77777777" w:rsidR="00917E4B" w:rsidRPr="008A2E5A" w:rsidRDefault="00917E4B" w:rsidP="004C5D62">
            <w:pPr>
              <w:spacing w:after="0" w:line="240" w:lineRule="auto"/>
              <w:jc w:val="both"/>
              <w:rPr>
                <w:color w:val="0070C0"/>
                <w:sz w:val="16"/>
                <w:szCs w:val="16"/>
              </w:rPr>
            </w:pPr>
          </w:p>
        </w:tc>
        <w:tc>
          <w:tcPr>
            <w:tcW w:w="822" w:type="dxa"/>
          </w:tcPr>
          <w:p w14:paraId="7F73A5B4" w14:textId="77777777" w:rsidR="00917E4B" w:rsidRPr="008A2E5A" w:rsidRDefault="00917E4B" w:rsidP="004C5D62">
            <w:pPr>
              <w:spacing w:after="0" w:line="240" w:lineRule="auto"/>
              <w:jc w:val="both"/>
              <w:rPr>
                <w:color w:val="0070C0"/>
                <w:sz w:val="16"/>
                <w:szCs w:val="16"/>
              </w:rPr>
            </w:pPr>
          </w:p>
        </w:tc>
      </w:tr>
      <w:tr w:rsidR="00917E4B" w:rsidRPr="008A2E5A" w14:paraId="122954AD" w14:textId="77777777" w:rsidTr="004C5D62">
        <w:tc>
          <w:tcPr>
            <w:tcW w:w="821" w:type="dxa"/>
          </w:tcPr>
          <w:p w14:paraId="774D832B" w14:textId="77777777" w:rsidR="00917E4B" w:rsidRPr="008A2E5A" w:rsidRDefault="00917E4B" w:rsidP="004C5D62">
            <w:pPr>
              <w:spacing w:after="0" w:line="240" w:lineRule="auto"/>
              <w:jc w:val="both"/>
              <w:rPr>
                <w:color w:val="0070C0"/>
                <w:sz w:val="16"/>
                <w:szCs w:val="16"/>
              </w:rPr>
            </w:pPr>
            <w:r w:rsidRPr="008A2E5A">
              <w:rPr>
                <w:color w:val="0070C0"/>
                <w:sz w:val="16"/>
                <w:szCs w:val="16"/>
              </w:rPr>
              <w:t>ВПГС-41</w:t>
            </w:r>
          </w:p>
        </w:tc>
        <w:tc>
          <w:tcPr>
            <w:tcW w:w="821" w:type="dxa"/>
          </w:tcPr>
          <w:p w14:paraId="73ADF1F8" w14:textId="77777777" w:rsidR="00917E4B" w:rsidRPr="008A2E5A" w:rsidRDefault="00917E4B" w:rsidP="004C5D62">
            <w:pPr>
              <w:spacing w:after="0" w:line="240" w:lineRule="auto"/>
              <w:jc w:val="both"/>
              <w:rPr>
                <w:color w:val="0070C0"/>
                <w:sz w:val="16"/>
                <w:szCs w:val="16"/>
              </w:rPr>
            </w:pPr>
          </w:p>
        </w:tc>
        <w:tc>
          <w:tcPr>
            <w:tcW w:w="821" w:type="dxa"/>
          </w:tcPr>
          <w:p w14:paraId="73289FEA" w14:textId="77777777" w:rsidR="00917E4B" w:rsidRPr="008A2E5A" w:rsidRDefault="00917E4B" w:rsidP="004C5D62">
            <w:pPr>
              <w:spacing w:after="0" w:line="240" w:lineRule="auto"/>
              <w:jc w:val="both"/>
              <w:rPr>
                <w:color w:val="0070C0"/>
                <w:sz w:val="16"/>
                <w:szCs w:val="16"/>
              </w:rPr>
            </w:pPr>
          </w:p>
        </w:tc>
        <w:tc>
          <w:tcPr>
            <w:tcW w:w="821" w:type="dxa"/>
          </w:tcPr>
          <w:p w14:paraId="788BD8B4" w14:textId="77777777" w:rsidR="00917E4B" w:rsidRPr="008A2E5A" w:rsidRDefault="00917E4B" w:rsidP="004C5D62">
            <w:pPr>
              <w:spacing w:after="0" w:line="240" w:lineRule="auto"/>
              <w:jc w:val="both"/>
              <w:rPr>
                <w:color w:val="0070C0"/>
                <w:sz w:val="16"/>
                <w:szCs w:val="16"/>
              </w:rPr>
            </w:pPr>
          </w:p>
        </w:tc>
        <w:tc>
          <w:tcPr>
            <w:tcW w:w="822" w:type="dxa"/>
          </w:tcPr>
          <w:p w14:paraId="2805659B" w14:textId="77777777" w:rsidR="00917E4B" w:rsidRPr="008A2E5A" w:rsidRDefault="00917E4B" w:rsidP="004C5D62">
            <w:pPr>
              <w:spacing w:after="0" w:line="240" w:lineRule="auto"/>
              <w:jc w:val="both"/>
              <w:rPr>
                <w:color w:val="0070C0"/>
                <w:sz w:val="16"/>
                <w:szCs w:val="16"/>
              </w:rPr>
            </w:pPr>
          </w:p>
        </w:tc>
        <w:tc>
          <w:tcPr>
            <w:tcW w:w="822" w:type="dxa"/>
          </w:tcPr>
          <w:p w14:paraId="7217BAA8" w14:textId="77777777" w:rsidR="00917E4B" w:rsidRPr="008A2E5A" w:rsidRDefault="00917E4B" w:rsidP="004C5D62">
            <w:pPr>
              <w:spacing w:after="0" w:line="240" w:lineRule="auto"/>
              <w:jc w:val="both"/>
              <w:rPr>
                <w:color w:val="0070C0"/>
                <w:sz w:val="16"/>
                <w:szCs w:val="16"/>
              </w:rPr>
            </w:pPr>
            <w:r w:rsidRPr="008A2E5A">
              <w:rPr>
                <w:color w:val="0070C0"/>
                <w:sz w:val="16"/>
                <w:szCs w:val="16"/>
              </w:rPr>
              <w:t>- -</w:t>
            </w:r>
          </w:p>
        </w:tc>
        <w:tc>
          <w:tcPr>
            <w:tcW w:w="822" w:type="dxa"/>
          </w:tcPr>
          <w:p w14:paraId="1360A696"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7DE37D2A"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1B45A8B3" w14:textId="77777777" w:rsidR="00917E4B" w:rsidRPr="008A2E5A" w:rsidRDefault="00917E4B" w:rsidP="004C5D62">
            <w:pPr>
              <w:spacing w:after="0" w:line="240" w:lineRule="auto"/>
              <w:jc w:val="both"/>
              <w:rPr>
                <w:color w:val="0070C0"/>
                <w:sz w:val="16"/>
                <w:szCs w:val="16"/>
              </w:rPr>
            </w:pPr>
          </w:p>
        </w:tc>
        <w:tc>
          <w:tcPr>
            <w:tcW w:w="822" w:type="dxa"/>
          </w:tcPr>
          <w:p w14:paraId="5A6598FE" w14:textId="77777777" w:rsidR="00917E4B" w:rsidRPr="008A2E5A" w:rsidRDefault="00917E4B" w:rsidP="004C5D62">
            <w:pPr>
              <w:spacing w:after="0" w:line="240" w:lineRule="auto"/>
              <w:jc w:val="both"/>
              <w:rPr>
                <w:color w:val="0070C0"/>
                <w:sz w:val="16"/>
                <w:szCs w:val="16"/>
              </w:rPr>
            </w:pPr>
          </w:p>
        </w:tc>
        <w:tc>
          <w:tcPr>
            <w:tcW w:w="822" w:type="dxa"/>
          </w:tcPr>
          <w:p w14:paraId="06AB2A6F" w14:textId="77777777" w:rsidR="00917E4B" w:rsidRPr="008A2E5A" w:rsidRDefault="00917E4B" w:rsidP="004C5D62">
            <w:pPr>
              <w:spacing w:after="0" w:line="240" w:lineRule="auto"/>
              <w:jc w:val="both"/>
              <w:rPr>
                <w:color w:val="0070C0"/>
                <w:sz w:val="16"/>
                <w:szCs w:val="16"/>
              </w:rPr>
            </w:pPr>
          </w:p>
        </w:tc>
        <w:tc>
          <w:tcPr>
            <w:tcW w:w="822" w:type="dxa"/>
          </w:tcPr>
          <w:p w14:paraId="6F8795D9" w14:textId="77777777" w:rsidR="00917E4B" w:rsidRPr="008A2E5A" w:rsidRDefault="00917E4B" w:rsidP="004C5D62">
            <w:pPr>
              <w:spacing w:after="0" w:line="240" w:lineRule="auto"/>
              <w:jc w:val="both"/>
              <w:rPr>
                <w:color w:val="0070C0"/>
                <w:sz w:val="16"/>
                <w:szCs w:val="16"/>
              </w:rPr>
            </w:pPr>
          </w:p>
        </w:tc>
        <w:tc>
          <w:tcPr>
            <w:tcW w:w="822" w:type="dxa"/>
          </w:tcPr>
          <w:p w14:paraId="3F8CA882" w14:textId="77777777" w:rsidR="00917E4B" w:rsidRPr="008A2E5A" w:rsidRDefault="00917E4B" w:rsidP="004C5D62">
            <w:pPr>
              <w:spacing w:after="0" w:line="240" w:lineRule="auto"/>
              <w:jc w:val="both"/>
              <w:rPr>
                <w:color w:val="0070C0"/>
                <w:sz w:val="16"/>
                <w:szCs w:val="16"/>
              </w:rPr>
            </w:pPr>
          </w:p>
        </w:tc>
      </w:tr>
      <w:tr w:rsidR="00917E4B" w:rsidRPr="008A2E5A" w14:paraId="5D688E81" w14:textId="77777777" w:rsidTr="004C5D62">
        <w:tc>
          <w:tcPr>
            <w:tcW w:w="821" w:type="dxa"/>
          </w:tcPr>
          <w:p w14:paraId="56A23555" w14:textId="77777777" w:rsidR="00917E4B" w:rsidRPr="008A2E5A" w:rsidRDefault="00917E4B" w:rsidP="004C5D62">
            <w:pPr>
              <w:spacing w:after="0" w:line="240" w:lineRule="auto"/>
              <w:jc w:val="both"/>
              <w:rPr>
                <w:color w:val="0070C0"/>
                <w:sz w:val="16"/>
                <w:szCs w:val="16"/>
              </w:rPr>
            </w:pPr>
            <w:r w:rsidRPr="008A2E5A">
              <w:rPr>
                <w:color w:val="0070C0"/>
                <w:sz w:val="16"/>
                <w:szCs w:val="16"/>
              </w:rPr>
              <w:t>Матчасть стрелкового вооружения</w:t>
            </w:r>
          </w:p>
        </w:tc>
        <w:tc>
          <w:tcPr>
            <w:tcW w:w="821" w:type="dxa"/>
          </w:tcPr>
          <w:p w14:paraId="27E4D878" w14:textId="77777777" w:rsidR="00917E4B" w:rsidRPr="008A2E5A" w:rsidRDefault="00917E4B" w:rsidP="004C5D62">
            <w:pPr>
              <w:spacing w:after="0" w:line="240" w:lineRule="auto"/>
              <w:jc w:val="both"/>
              <w:rPr>
                <w:color w:val="0070C0"/>
                <w:sz w:val="16"/>
                <w:szCs w:val="16"/>
              </w:rPr>
            </w:pPr>
          </w:p>
        </w:tc>
        <w:tc>
          <w:tcPr>
            <w:tcW w:w="821" w:type="dxa"/>
          </w:tcPr>
          <w:p w14:paraId="11513E3A" w14:textId="77777777" w:rsidR="00917E4B" w:rsidRPr="008A2E5A" w:rsidRDefault="00917E4B" w:rsidP="004C5D62">
            <w:pPr>
              <w:spacing w:after="0" w:line="240" w:lineRule="auto"/>
              <w:jc w:val="both"/>
              <w:rPr>
                <w:color w:val="0070C0"/>
                <w:sz w:val="16"/>
                <w:szCs w:val="16"/>
              </w:rPr>
            </w:pPr>
          </w:p>
        </w:tc>
        <w:tc>
          <w:tcPr>
            <w:tcW w:w="821" w:type="dxa"/>
          </w:tcPr>
          <w:p w14:paraId="74CCE73F" w14:textId="77777777" w:rsidR="00917E4B" w:rsidRPr="008A2E5A" w:rsidRDefault="00917E4B" w:rsidP="004C5D62">
            <w:pPr>
              <w:spacing w:after="0" w:line="240" w:lineRule="auto"/>
              <w:jc w:val="both"/>
              <w:rPr>
                <w:color w:val="0070C0"/>
                <w:sz w:val="16"/>
                <w:szCs w:val="16"/>
              </w:rPr>
            </w:pPr>
          </w:p>
        </w:tc>
        <w:tc>
          <w:tcPr>
            <w:tcW w:w="822" w:type="dxa"/>
          </w:tcPr>
          <w:p w14:paraId="73D05438" w14:textId="77777777" w:rsidR="00917E4B" w:rsidRPr="008A2E5A" w:rsidRDefault="00917E4B" w:rsidP="004C5D62">
            <w:pPr>
              <w:spacing w:after="0" w:line="240" w:lineRule="auto"/>
              <w:jc w:val="both"/>
              <w:rPr>
                <w:color w:val="0070C0"/>
                <w:sz w:val="16"/>
                <w:szCs w:val="16"/>
              </w:rPr>
            </w:pPr>
          </w:p>
        </w:tc>
        <w:tc>
          <w:tcPr>
            <w:tcW w:w="822" w:type="dxa"/>
          </w:tcPr>
          <w:p w14:paraId="1A3BDDC2" w14:textId="77777777" w:rsidR="00917E4B" w:rsidRPr="008A2E5A" w:rsidRDefault="00917E4B" w:rsidP="004C5D62">
            <w:pPr>
              <w:spacing w:after="0" w:line="240" w:lineRule="auto"/>
              <w:jc w:val="both"/>
              <w:rPr>
                <w:color w:val="0070C0"/>
                <w:sz w:val="16"/>
                <w:szCs w:val="16"/>
              </w:rPr>
            </w:pPr>
          </w:p>
        </w:tc>
        <w:tc>
          <w:tcPr>
            <w:tcW w:w="822" w:type="dxa"/>
          </w:tcPr>
          <w:p w14:paraId="05B7273C" w14:textId="77777777" w:rsidR="00917E4B" w:rsidRPr="008A2E5A" w:rsidRDefault="00917E4B" w:rsidP="004C5D62">
            <w:pPr>
              <w:spacing w:after="0" w:line="240" w:lineRule="auto"/>
              <w:jc w:val="both"/>
              <w:rPr>
                <w:color w:val="0070C0"/>
                <w:sz w:val="16"/>
                <w:szCs w:val="16"/>
              </w:rPr>
            </w:pPr>
          </w:p>
        </w:tc>
        <w:tc>
          <w:tcPr>
            <w:tcW w:w="822" w:type="dxa"/>
          </w:tcPr>
          <w:p w14:paraId="5E68CE69" w14:textId="77777777" w:rsidR="00917E4B" w:rsidRPr="008A2E5A" w:rsidRDefault="00917E4B" w:rsidP="004C5D62">
            <w:pPr>
              <w:spacing w:after="0" w:line="240" w:lineRule="auto"/>
              <w:jc w:val="both"/>
              <w:rPr>
                <w:color w:val="0070C0"/>
                <w:sz w:val="16"/>
                <w:szCs w:val="16"/>
              </w:rPr>
            </w:pPr>
          </w:p>
        </w:tc>
        <w:tc>
          <w:tcPr>
            <w:tcW w:w="822" w:type="dxa"/>
          </w:tcPr>
          <w:p w14:paraId="75C37306" w14:textId="77777777" w:rsidR="00917E4B" w:rsidRPr="008A2E5A" w:rsidRDefault="00917E4B" w:rsidP="004C5D62">
            <w:pPr>
              <w:spacing w:after="0" w:line="240" w:lineRule="auto"/>
              <w:jc w:val="both"/>
              <w:rPr>
                <w:color w:val="0070C0"/>
                <w:sz w:val="16"/>
                <w:szCs w:val="16"/>
              </w:rPr>
            </w:pPr>
          </w:p>
        </w:tc>
        <w:tc>
          <w:tcPr>
            <w:tcW w:w="822" w:type="dxa"/>
          </w:tcPr>
          <w:p w14:paraId="6620A80F" w14:textId="77777777" w:rsidR="00917E4B" w:rsidRPr="008A2E5A" w:rsidRDefault="00917E4B" w:rsidP="004C5D62">
            <w:pPr>
              <w:spacing w:after="0" w:line="240" w:lineRule="auto"/>
              <w:jc w:val="both"/>
              <w:rPr>
                <w:color w:val="0070C0"/>
                <w:sz w:val="16"/>
                <w:szCs w:val="16"/>
              </w:rPr>
            </w:pPr>
          </w:p>
        </w:tc>
        <w:tc>
          <w:tcPr>
            <w:tcW w:w="822" w:type="dxa"/>
          </w:tcPr>
          <w:p w14:paraId="0DDC4375" w14:textId="77777777" w:rsidR="00917E4B" w:rsidRPr="008A2E5A" w:rsidRDefault="00917E4B" w:rsidP="004C5D62">
            <w:pPr>
              <w:spacing w:after="0" w:line="240" w:lineRule="auto"/>
              <w:jc w:val="both"/>
              <w:rPr>
                <w:color w:val="0070C0"/>
                <w:sz w:val="16"/>
                <w:szCs w:val="16"/>
              </w:rPr>
            </w:pPr>
          </w:p>
        </w:tc>
        <w:tc>
          <w:tcPr>
            <w:tcW w:w="822" w:type="dxa"/>
          </w:tcPr>
          <w:p w14:paraId="5614AA95" w14:textId="77777777" w:rsidR="00917E4B" w:rsidRPr="008A2E5A" w:rsidRDefault="00917E4B" w:rsidP="004C5D62">
            <w:pPr>
              <w:spacing w:after="0" w:line="240" w:lineRule="auto"/>
              <w:jc w:val="both"/>
              <w:rPr>
                <w:color w:val="0070C0"/>
                <w:sz w:val="16"/>
                <w:szCs w:val="16"/>
              </w:rPr>
            </w:pPr>
          </w:p>
        </w:tc>
        <w:tc>
          <w:tcPr>
            <w:tcW w:w="822" w:type="dxa"/>
          </w:tcPr>
          <w:p w14:paraId="71E0F01D" w14:textId="77777777" w:rsidR="00917E4B" w:rsidRPr="008A2E5A" w:rsidRDefault="00917E4B" w:rsidP="004C5D62">
            <w:pPr>
              <w:spacing w:after="0" w:line="240" w:lineRule="auto"/>
              <w:jc w:val="both"/>
              <w:rPr>
                <w:color w:val="0070C0"/>
                <w:sz w:val="16"/>
                <w:szCs w:val="16"/>
              </w:rPr>
            </w:pPr>
          </w:p>
        </w:tc>
      </w:tr>
      <w:tr w:rsidR="00917E4B" w:rsidRPr="008A2E5A" w14:paraId="7BF79A12" w14:textId="77777777" w:rsidTr="004C5D62">
        <w:tc>
          <w:tcPr>
            <w:tcW w:w="821" w:type="dxa"/>
          </w:tcPr>
          <w:p w14:paraId="0F2FE261"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винтовки обр. 1891/30 г.</w:t>
            </w:r>
          </w:p>
        </w:tc>
        <w:tc>
          <w:tcPr>
            <w:tcW w:w="821" w:type="dxa"/>
          </w:tcPr>
          <w:p w14:paraId="3B0C4BDA" w14:textId="77777777" w:rsidR="00917E4B" w:rsidRPr="008A2E5A" w:rsidRDefault="00917E4B" w:rsidP="004C5D62">
            <w:pPr>
              <w:spacing w:after="0" w:line="240" w:lineRule="auto"/>
              <w:jc w:val="both"/>
              <w:rPr>
                <w:color w:val="0070C0"/>
                <w:sz w:val="16"/>
                <w:szCs w:val="16"/>
              </w:rPr>
            </w:pPr>
            <w:r w:rsidRPr="008A2E5A">
              <w:rPr>
                <w:color w:val="0070C0"/>
                <w:sz w:val="16"/>
                <w:szCs w:val="16"/>
              </w:rPr>
              <w:t>155 000</w:t>
            </w:r>
          </w:p>
        </w:tc>
        <w:tc>
          <w:tcPr>
            <w:tcW w:w="821" w:type="dxa"/>
          </w:tcPr>
          <w:p w14:paraId="61C6AEE7"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145 788</w:t>
            </w:r>
          </w:p>
        </w:tc>
        <w:tc>
          <w:tcPr>
            <w:tcW w:w="821" w:type="dxa"/>
          </w:tcPr>
          <w:p w14:paraId="1E30C36A"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250 000</w:t>
            </w:r>
          </w:p>
        </w:tc>
        <w:tc>
          <w:tcPr>
            <w:tcW w:w="822" w:type="dxa"/>
          </w:tcPr>
          <w:p w14:paraId="4FC577C6" w14:textId="77777777" w:rsidR="00917E4B" w:rsidRPr="008A2E5A" w:rsidRDefault="00917E4B" w:rsidP="004C5D62">
            <w:pPr>
              <w:spacing w:after="0" w:line="240" w:lineRule="auto"/>
              <w:jc w:val="both"/>
              <w:rPr>
                <w:color w:val="0070C0"/>
                <w:sz w:val="16"/>
                <w:szCs w:val="16"/>
              </w:rPr>
            </w:pPr>
            <w:r w:rsidRPr="008A2E5A">
              <w:rPr>
                <w:color w:val="0070C0"/>
                <w:sz w:val="16"/>
                <w:szCs w:val="16"/>
              </w:rPr>
              <w:t>172 452</w:t>
            </w:r>
          </w:p>
        </w:tc>
        <w:tc>
          <w:tcPr>
            <w:tcW w:w="822" w:type="dxa"/>
          </w:tcPr>
          <w:p w14:paraId="6590BE98" w14:textId="77777777" w:rsidR="00917E4B" w:rsidRPr="008A2E5A" w:rsidRDefault="00917E4B" w:rsidP="004C5D62">
            <w:pPr>
              <w:spacing w:after="0" w:line="240" w:lineRule="auto"/>
              <w:jc w:val="both"/>
              <w:rPr>
                <w:color w:val="0070C0"/>
                <w:sz w:val="16"/>
                <w:szCs w:val="16"/>
              </w:rPr>
            </w:pPr>
            <w:r w:rsidRPr="008A2E5A">
              <w:rPr>
                <w:color w:val="0070C0"/>
                <w:sz w:val="16"/>
                <w:szCs w:val="16"/>
              </w:rPr>
              <w:t>235 000</w:t>
            </w:r>
          </w:p>
        </w:tc>
        <w:tc>
          <w:tcPr>
            <w:tcW w:w="822" w:type="dxa"/>
          </w:tcPr>
          <w:p w14:paraId="7CECBAFC" w14:textId="77777777" w:rsidR="00917E4B" w:rsidRPr="008A2E5A" w:rsidRDefault="00917E4B" w:rsidP="004C5D62">
            <w:pPr>
              <w:spacing w:after="0" w:line="240" w:lineRule="auto"/>
              <w:jc w:val="both"/>
              <w:rPr>
                <w:color w:val="0070C0"/>
                <w:sz w:val="16"/>
                <w:szCs w:val="16"/>
              </w:rPr>
            </w:pPr>
            <w:r w:rsidRPr="008A2E5A">
              <w:rPr>
                <w:color w:val="0070C0"/>
                <w:sz w:val="16"/>
                <w:szCs w:val="16"/>
              </w:rPr>
              <w:t>223 678</w:t>
            </w:r>
          </w:p>
        </w:tc>
        <w:tc>
          <w:tcPr>
            <w:tcW w:w="822" w:type="dxa"/>
          </w:tcPr>
          <w:p w14:paraId="20CE59B9" w14:textId="77777777" w:rsidR="00917E4B" w:rsidRPr="008A2E5A" w:rsidRDefault="00917E4B" w:rsidP="004C5D62">
            <w:pPr>
              <w:spacing w:after="0" w:line="240" w:lineRule="auto"/>
              <w:jc w:val="both"/>
              <w:rPr>
                <w:color w:val="0070C0"/>
                <w:sz w:val="16"/>
                <w:szCs w:val="16"/>
              </w:rPr>
            </w:pPr>
            <w:r w:rsidRPr="008A2E5A">
              <w:rPr>
                <w:color w:val="0070C0"/>
                <w:sz w:val="16"/>
                <w:szCs w:val="16"/>
              </w:rPr>
              <w:t>840 000</w:t>
            </w:r>
          </w:p>
        </w:tc>
        <w:tc>
          <w:tcPr>
            <w:tcW w:w="822" w:type="dxa"/>
          </w:tcPr>
          <w:p w14:paraId="2754D192" w14:textId="77777777" w:rsidR="00917E4B" w:rsidRPr="008A2E5A" w:rsidRDefault="00917E4B" w:rsidP="004C5D62">
            <w:pPr>
              <w:spacing w:after="0" w:line="240" w:lineRule="auto"/>
              <w:jc w:val="both"/>
              <w:rPr>
                <w:color w:val="0070C0"/>
                <w:sz w:val="16"/>
                <w:szCs w:val="16"/>
              </w:rPr>
            </w:pPr>
            <w:r w:rsidRPr="008A2E5A">
              <w:rPr>
                <w:color w:val="0070C0"/>
                <w:sz w:val="16"/>
                <w:szCs w:val="16"/>
              </w:rPr>
              <w:t>705 745</w:t>
            </w:r>
          </w:p>
        </w:tc>
        <w:tc>
          <w:tcPr>
            <w:tcW w:w="822" w:type="dxa"/>
          </w:tcPr>
          <w:p w14:paraId="7BF88CD3" w14:textId="77777777" w:rsidR="00917E4B" w:rsidRPr="008A2E5A" w:rsidRDefault="00917E4B" w:rsidP="004C5D62">
            <w:pPr>
              <w:spacing w:after="0" w:line="240" w:lineRule="auto"/>
              <w:jc w:val="both"/>
              <w:rPr>
                <w:color w:val="0070C0"/>
                <w:sz w:val="16"/>
                <w:szCs w:val="16"/>
              </w:rPr>
            </w:pPr>
          </w:p>
        </w:tc>
        <w:tc>
          <w:tcPr>
            <w:tcW w:w="822" w:type="dxa"/>
          </w:tcPr>
          <w:p w14:paraId="093F831A" w14:textId="77777777" w:rsidR="00917E4B" w:rsidRPr="008A2E5A" w:rsidRDefault="00917E4B" w:rsidP="004C5D62">
            <w:pPr>
              <w:spacing w:after="0" w:line="240" w:lineRule="auto"/>
              <w:jc w:val="both"/>
              <w:rPr>
                <w:color w:val="0070C0"/>
                <w:sz w:val="16"/>
                <w:szCs w:val="16"/>
              </w:rPr>
            </w:pPr>
          </w:p>
        </w:tc>
        <w:tc>
          <w:tcPr>
            <w:tcW w:w="822" w:type="dxa"/>
          </w:tcPr>
          <w:p w14:paraId="64952714" w14:textId="77777777" w:rsidR="00917E4B" w:rsidRPr="008A2E5A" w:rsidRDefault="00917E4B" w:rsidP="004C5D62">
            <w:pPr>
              <w:spacing w:after="0" w:line="240" w:lineRule="auto"/>
              <w:jc w:val="both"/>
              <w:rPr>
                <w:color w:val="0070C0"/>
                <w:sz w:val="16"/>
                <w:szCs w:val="16"/>
              </w:rPr>
            </w:pPr>
          </w:p>
        </w:tc>
        <w:tc>
          <w:tcPr>
            <w:tcW w:w="822" w:type="dxa"/>
          </w:tcPr>
          <w:p w14:paraId="490911AB" w14:textId="77777777" w:rsidR="00917E4B" w:rsidRPr="008A2E5A" w:rsidRDefault="00917E4B" w:rsidP="004C5D62">
            <w:pPr>
              <w:spacing w:after="0" w:line="240" w:lineRule="auto"/>
              <w:jc w:val="both"/>
              <w:rPr>
                <w:color w:val="0070C0"/>
                <w:sz w:val="16"/>
                <w:szCs w:val="16"/>
              </w:rPr>
            </w:pPr>
          </w:p>
        </w:tc>
      </w:tr>
      <w:tr w:rsidR="00917E4B" w:rsidRPr="008A2E5A" w14:paraId="7919C68C" w14:textId="77777777" w:rsidTr="004C5D62">
        <w:tc>
          <w:tcPr>
            <w:tcW w:w="821" w:type="dxa"/>
          </w:tcPr>
          <w:p w14:paraId="64DE9348"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карабины обр. 1938 г.</w:t>
            </w:r>
          </w:p>
        </w:tc>
        <w:tc>
          <w:tcPr>
            <w:tcW w:w="821" w:type="dxa"/>
          </w:tcPr>
          <w:p w14:paraId="49C51CFA" w14:textId="77777777" w:rsidR="00917E4B" w:rsidRPr="008A2E5A" w:rsidRDefault="00917E4B" w:rsidP="004C5D62">
            <w:pPr>
              <w:spacing w:after="0" w:line="240" w:lineRule="auto"/>
              <w:jc w:val="both"/>
              <w:rPr>
                <w:color w:val="0070C0"/>
                <w:sz w:val="16"/>
                <w:szCs w:val="16"/>
              </w:rPr>
            </w:pPr>
            <w:r w:rsidRPr="008A2E5A">
              <w:rPr>
                <w:color w:val="0070C0"/>
                <w:sz w:val="16"/>
                <w:szCs w:val="16"/>
              </w:rPr>
              <w:t>45 000</w:t>
            </w:r>
          </w:p>
        </w:tc>
        <w:tc>
          <w:tcPr>
            <w:tcW w:w="821" w:type="dxa"/>
          </w:tcPr>
          <w:p w14:paraId="29F58B46" w14:textId="77777777" w:rsidR="00917E4B" w:rsidRPr="008A2E5A" w:rsidRDefault="00917E4B" w:rsidP="004C5D62">
            <w:pPr>
              <w:spacing w:after="0" w:line="240" w:lineRule="auto"/>
              <w:jc w:val="both"/>
              <w:rPr>
                <w:color w:val="0070C0"/>
                <w:sz w:val="16"/>
                <w:szCs w:val="16"/>
              </w:rPr>
            </w:pPr>
            <w:r w:rsidRPr="008A2E5A">
              <w:rPr>
                <w:color w:val="0070C0"/>
                <w:sz w:val="16"/>
                <w:szCs w:val="16"/>
              </w:rPr>
              <w:t>54 231</w:t>
            </w:r>
          </w:p>
        </w:tc>
        <w:tc>
          <w:tcPr>
            <w:tcW w:w="821" w:type="dxa"/>
          </w:tcPr>
          <w:p w14:paraId="4BECB7D9"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50 000</w:t>
            </w:r>
          </w:p>
        </w:tc>
        <w:tc>
          <w:tcPr>
            <w:tcW w:w="822" w:type="dxa"/>
          </w:tcPr>
          <w:p w14:paraId="5355DB3E" w14:textId="77777777" w:rsidR="00917E4B" w:rsidRPr="008A2E5A" w:rsidRDefault="00917E4B" w:rsidP="004C5D62">
            <w:pPr>
              <w:spacing w:after="0" w:line="240" w:lineRule="auto"/>
              <w:jc w:val="both"/>
              <w:rPr>
                <w:color w:val="0070C0"/>
                <w:sz w:val="16"/>
                <w:szCs w:val="16"/>
              </w:rPr>
            </w:pPr>
            <w:r w:rsidRPr="008A2E5A">
              <w:rPr>
                <w:color w:val="0070C0"/>
                <w:sz w:val="16"/>
                <w:szCs w:val="16"/>
              </w:rPr>
              <w:t>47 333</w:t>
            </w:r>
          </w:p>
        </w:tc>
        <w:tc>
          <w:tcPr>
            <w:tcW w:w="822" w:type="dxa"/>
          </w:tcPr>
          <w:p w14:paraId="1FC8CA71" w14:textId="77777777" w:rsidR="00917E4B" w:rsidRPr="008A2E5A" w:rsidRDefault="00917E4B" w:rsidP="004C5D62">
            <w:pPr>
              <w:spacing w:after="0" w:line="240" w:lineRule="auto"/>
              <w:jc w:val="both"/>
              <w:rPr>
                <w:color w:val="0070C0"/>
                <w:sz w:val="16"/>
                <w:szCs w:val="16"/>
              </w:rPr>
            </w:pPr>
            <w:r w:rsidRPr="008A2E5A">
              <w:rPr>
                <w:color w:val="0070C0"/>
                <w:sz w:val="16"/>
                <w:szCs w:val="16"/>
              </w:rPr>
              <w:t>40 000</w:t>
            </w:r>
          </w:p>
        </w:tc>
        <w:tc>
          <w:tcPr>
            <w:tcW w:w="822" w:type="dxa"/>
          </w:tcPr>
          <w:p w14:paraId="750B209F" w14:textId="77777777" w:rsidR="00917E4B" w:rsidRPr="008A2E5A" w:rsidRDefault="00917E4B" w:rsidP="004C5D62">
            <w:pPr>
              <w:spacing w:after="0" w:line="240" w:lineRule="auto"/>
              <w:jc w:val="both"/>
              <w:rPr>
                <w:color w:val="0070C0"/>
                <w:sz w:val="16"/>
                <w:szCs w:val="16"/>
              </w:rPr>
            </w:pPr>
            <w:r w:rsidRPr="008A2E5A">
              <w:rPr>
                <w:color w:val="0070C0"/>
                <w:sz w:val="16"/>
                <w:szCs w:val="16"/>
              </w:rPr>
              <w:t>48470</w:t>
            </w:r>
          </w:p>
        </w:tc>
        <w:tc>
          <w:tcPr>
            <w:tcW w:w="822" w:type="dxa"/>
          </w:tcPr>
          <w:p w14:paraId="46EF7038" w14:textId="77777777" w:rsidR="00917E4B" w:rsidRPr="008A2E5A" w:rsidRDefault="00917E4B" w:rsidP="004C5D62">
            <w:pPr>
              <w:spacing w:after="0" w:line="240" w:lineRule="auto"/>
              <w:jc w:val="both"/>
              <w:rPr>
                <w:color w:val="0070C0"/>
                <w:sz w:val="16"/>
                <w:szCs w:val="16"/>
              </w:rPr>
            </w:pPr>
            <w:r w:rsidRPr="008A2E5A">
              <w:rPr>
                <w:color w:val="0070C0"/>
                <w:sz w:val="16"/>
                <w:szCs w:val="16"/>
              </w:rPr>
              <w:t>295 000</w:t>
            </w:r>
          </w:p>
        </w:tc>
        <w:tc>
          <w:tcPr>
            <w:tcW w:w="822" w:type="dxa"/>
          </w:tcPr>
          <w:p w14:paraId="6AB0E2F1" w14:textId="77777777" w:rsidR="00917E4B" w:rsidRPr="008A2E5A" w:rsidRDefault="00917E4B" w:rsidP="004C5D62">
            <w:pPr>
              <w:spacing w:after="0" w:line="240" w:lineRule="auto"/>
              <w:jc w:val="both"/>
              <w:rPr>
                <w:color w:val="0070C0"/>
                <w:sz w:val="16"/>
                <w:szCs w:val="16"/>
              </w:rPr>
            </w:pPr>
            <w:r w:rsidRPr="008A2E5A">
              <w:rPr>
                <w:color w:val="0070C0"/>
                <w:sz w:val="16"/>
                <w:szCs w:val="16"/>
              </w:rPr>
              <w:t>275931</w:t>
            </w:r>
          </w:p>
        </w:tc>
        <w:tc>
          <w:tcPr>
            <w:tcW w:w="822" w:type="dxa"/>
          </w:tcPr>
          <w:p w14:paraId="1EFF2626" w14:textId="77777777" w:rsidR="00917E4B" w:rsidRPr="008A2E5A" w:rsidRDefault="00917E4B" w:rsidP="004C5D62">
            <w:pPr>
              <w:spacing w:after="0" w:line="240" w:lineRule="auto"/>
              <w:jc w:val="both"/>
              <w:rPr>
                <w:color w:val="0070C0"/>
                <w:sz w:val="16"/>
                <w:szCs w:val="16"/>
              </w:rPr>
            </w:pPr>
          </w:p>
        </w:tc>
        <w:tc>
          <w:tcPr>
            <w:tcW w:w="822" w:type="dxa"/>
          </w:tcPr>
          <w:p w14:paraId="3D67372D" w14:textId="77777777" w:rsidR="00917E4B" w:rsidRPr="008A2E5A" w:rsidRDefault="00917E4B" w:rsidP="004C5D62">
            <w:pPr>
              <w:spacing w:after="0" w:line="240" w:lineRule="auto"/>
              <w:jc w:val="both"/>
              <w:rPr>
                <w:color w:val="0070C0"/>
                <w:sz w:val="16"/>
                <w:szCs w:val="16"/>
              </w:rPr>
            </w:pPr>
          </w:p>
        </w:tc>
        <w:tc>
          <w:tcPr>
            <w:tcW w:w="822" w:type="dxa"/>
          </w:tcPr>
          <w:p w14:paraId="3BBC9C1B" w14:textId="77777777" w:rsidR="00917E4B" w:rsidRPr="008A2E5A" w:rsidRDefault="00917E4B" w:rsidP="004C5D62">
            <w:pPr>
              <w:spacing w:after="0" w:line="240" w:lineRule="auto"/>
              <w:jc w:val="both"/>
              <w:rPr>
                <w:color w:val="0070C0"/>
                <w:sz w:val="16"/>
                <w:szCs w:val="16"/>
              </w:rPr>
            </w:pPr>
          </w:p>
        </w:tc>
        <w:tc>
          <w:tcPr>
            <w:tcW w:w="822" w:type="dxa"/>
          </w:tcPr>
          <w:p w14:paraId="4DBD7AB8" w14:textId="77777777" w:rsidR="00917E4B" w:rsidRPr="008A2E5A" w:rsidRDefault="00917E4B" w:rsidP="004C5D62">
            <w:pPr>
              <w:spacing w:after="0" w:line="240" w:lineRule="auto"/>
              <w:jc w:val="both"/>
              <w:rPr>
                <w:color w:val="0070C0"/>
                <w:sz w:val="16"/>
                <w:szCs w:val="16"/>
              </w:rPr>
            </w:pPr>
          </w:p>
        </w:tc>
      </w:tr>
      <w:tr w:rsidR="00917E4B" w:rsidRPr="008A2E5A" w14:paraId="4D6CCAA7" w14:textId="77777777" w:rsidTr="004C5D62">
        <w:tc>
          <w:tcPr>
            <w:tcW w:w="821" w:type="dxa"/>
          </w:tcPr>
          <w:p w14:paraId="6CE2E3AA"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самозарядные ВСТ-40</w:t>
            </w:r>
          </w:p>
        </w:tc>
        <w:tc>
          <w:tcPr>
            <w:tcW w:w="821" w:type="dxa"/>
          </w:tcPr>
          <w:p w14:paraId="5744E5DF" w14:textId="77777777" w:rsidR="00917E4B" w:rsidRPr="008A2E5A" w:rsidRDefault="00917E4B" w:rsidP="004C5D62">
            <w:pPr>
              <w:spacing w:after="0" w:line="240" w:lineRule="auto"/>
              <w:jc w:val="both"/>
              <w:rPr>
                <w:color w:val="0070C0"/>
                <w:sz w:val="16"/>
                <w:szCs w:val="16"/>
              </w:rPr>
            </w:pPr>
            <w:r w:rsidRPr="008A2E5A">
              <w:rPr>
                <w:color w:val="0070C0"/>
                <w:sz w:val="16"/>
                <w:szCs w:val="16"/>
              </w:rPr>
              <w:t>162 000</w:t>
            </w:r>
          </w:p>
        </w:tc>
        <w:tc>
          <w:tcPr>
            <w:tcW w:w="821" w:type="dxa"/>
          </w:tcPr>
          <w:p w14:paraId="09337242" w14:textId="77777777" w:rsidR="00917E4B" w:rsidRPr="008A2E5A" w:rsidRDefault="00917E4B" w:rsidP="004C5D62">
            <w:pPr>
              <w:spacing w:after="0" w:line="240" w:lineRule="auto"/>
              <w:jc w:val="both"/>
              <w:rPr>
                <w:color w:val="0070C0"/>
                <w:sz w:val="16"/>
                <w:szCs w:val="16"/>
              </w:rPr>
            </w:pPr>
            <w:r w:rsidRPr="008A2E5A">
              <w:rPr>
                <w:color w:val="0070C0"/>
                <w:sz w:val="16"/>
                <w:szCs w:val="16"/>
              </w:rPr>
              <w:t>50 460</w:t>
            </w:r>
          </w:p>
        </w:tc>
        <w:tc>
          <w:tcPr>
            <w:tcW w:w="821" w:type="dxa"/>
          </w:tcPr>
          <w:p w14:paraId="15B30414"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2" w:type="dxa"/>
          </w:tcPr>
          <w:p w14:paraId="0FB02C4A" w14:textId="77777777" w:rsidR="00917E4B" w:rsidRPr="008A2E5A" w:rsidRDefault="00917E4B" w:rsidP="004C5D62">
            <w:pPr>
              <w:spacing w:after="0" w:line="240" w:lineRule="auto"/>
              <w:jc w:val="both"/>
              <w:rPr>
                <w:color w:val="0070C0"/>
                <w:sz w:val="16"/>
                <w:szCs w:val="16"/>
              </w:rPr>
            </w:pPr>
            <w:r w:rsidRPr="008A2E5A">
              <w:rPr>
                <w:color w:val="0070C0"/>
                <w:sz w:val="16"/>
                <w:szCs w:val="16"/>
              </w:rPr>
              <w:t>1940</w:t>
            </w:r>
          </w:p>
        </w:tc>
        <w:tc>
          <w:tcPr>
            <w:tcW w:w="822" w:type="dxa"/>
          </w:tcPr>
          <w:p w14:paraId="749FCF1F" w14:textId="77777777" w:rsidR="00917E4B" w:rsidRPr="008A2E5A" w:rsidRDefault="00917E4B" w:rsidP="004C5D62">
            <w:pPr>
              <w:spacing w:after="0" w:line="240" w:lineRule="auto"/>
              <w:jc w:val="both"/>
              <w:rPr>
                <w:color w:val="0070C0"/>
                <w:sz w:val="16"/>
                <w:szCs w:val="16"/>
              </w:rPr>
            </w:pPr>
            <w:r w:rsidRPr="008A2E5A">
              <w:rPr>
                <w:color w:val="0070C0"/>
                <w:sz w:val="16"/>
                <w:szCs w:val="16"/>
              </w:rPr>
              <w:t>21500</w:t>
            </w:r>
          </w:p>
        </w:tc>
        <w:tc>
          <w:tcPr>
            <w:tcW w:w="822" w:type="dxa"/>
          </w:tcPr>
          <w:p w14:paraId="31D9D9F7" w14:textId="77777777" w:rsidR="00917E4B" w:rsidRPr="008A2E5A" w:rsidRDefault="00917E4B" w:rsidP="004C5D62">
            <w:pPr>
              <w:spacing w:after="0" w:line="240" w:lineRule="auto"/>
              <w:jc w:val="both"/>
              <w:rPr>
                <w:color w:val="0070C0"/>
                <w:sz w:val="16"/>
                <w:szCs w:val="16"/>
              </w:rPr>
            </w:pPr>
            <w:r w:rsidRPr="008A2E5A">
              <w:rPr>
                <w:color w:val="0070C0"/>
                <w:sz w:val="16"/>
                <w:szCs w:val="16"/>
              </w:rPr>
              <w:t>9000</w:t>
            </w:r>
          </w:p>
        </w:tc>
        <w:tc>
          <w:tcPr>
            <w:tcW w:w="822" w:type="dxa"/>
          </w:tcPr>
          <w:p w14:paraId="0D8B9C65" w14:textId="77777777" w:rsidR="00917E4B" w:rsidRPr="008A2E5A" w:rsidRDefault="00917E4B" w:rsidP="004C5D62">
            <w:pPr>
              <w:spacing w:after="0" w:line="240" w:lineRule="auto"/>
              <w:jc w:val="both"/>
              <w:rPr>
                <w:color w:val="0070C0"/>
                <w:sz w:val="16"/>
                <w:szCs w:val="16"/>
              </w:rPr>
            </w:pPr>
            <w:r w:rsidRPr="008A2E5A">
              <w:rPr>
                <w:color w:val="0070C0"/>
                <w:sz w:val="16"/>
                <w:szCs w:val="16"/>
              </w:rPr>
              <w:t>720 000</w:t>
            </w:r>
          </w:p>
        </w:tc>
        <w:tc>
          <w:tcPr>
            <w:tcW w:w="822" w:type="dxa"/>
          </w:tcPr>
          <w:p w14:paraId="3FFB82FE" w14:textId="77777777" w:rsidR="00917E4B" w:rsidRPr="008A2E5A" w:rsidRDefault="00917E4B" w:rsidP="004C5D62">
            <w:pPr>
              <w:spacing w:after="0" w:line="240" w:lineRule="auto"/>
              <w:jc w:val="both"/>
              <w:rPr>
                <w:color w:val="0070C0"/>
                <w:sz w:val="16"/>
                <w:szCs w:val="16"/>
              </w:rPr>
            </w:pPr>
            <w:r w:rsidRPr="008A2E5A">
              <w:rPr>
                <w:color w:val="0070C0"/>
                <w:sz w:val="16"/>
                <w:szCs w:val="16"/>
              </w:rPr>
              <w:t>561 743</w:t>
            </w:r>
          </w:p>
        </w:tc>
        <w:tc>
          <w:tcPr>
            <w:tcW w:w="822" w:type="dxa"/>
          </w:tcPr>
          <w:p w14:paraId="2EDD1BDF" w14:textId="77777777" w:rsidR="00917E4B" w:rsidRPr="008A2E5A" w:rsidRDefault="00917E4B" w:rsidP="004C5D62">
            <w:pPr>
              <w:spacing w:after="0" w:line="240" w:lineRule="auto"/>
              <w:jc w:val="both"/>
              <w:rPr>
                <w:color w:val="0070C0"/>
                <w:sz w:val="16"/>
                <w:szCs w:val="16"/>
              </w:rPr>
            </w:pPr>
          </w:p>
        </w:tc>
        <w:tc>
          <w:tcPr>
            <w:tcW w:w="822" w:type="dxa"/>
          </w:tcPr>
          <w:p w14:paraId="73830C6E" w14:textId="77777777" w:rsidR="00917E4B" w:rsidRPr="008A2E5A" w:rsidRDefault="00917E4B" w:rsidP="004C5D62">
            <w:pPr>
              <w:spacing w:after="0" w:line="240" w:lineRule="auto"/>
              <w:jc w:val="both"/>
              <w:rPr>
                <w:color w:val="0070C0"/>
                <w:sz w:val="16"/>
                <w:szCs w:val="16"/>
              </w:rPr>
            </w:pPr>
          </w:p>
        </w:tc>
        <w:tc>
          <w:tcPr>
            <w:tcW w:w="822" w:type="dxa"/>
          </w:tcPr>
          <w:p w14:paraId="0580D0AD" w14:textId="77777777" w:rsidR="00917E4B" w:rsidRPr="008A2E5A" w:rsidRDefault="00917E4B" w:rsidP="004C5D62">
            <w:pPr>
              <w:spacing w:after="0" w:line="240" w:lineRule="auto"/>
              <w:jc w:val="both"/>
              <w:rPr>
                <w:color w:val="0070C0"/>
                <w:sz w:val="16"/>
                <w:szCs w:val="16"/>
              </w:rPr>
            </w:pPr>
          </w:p>
        </w:tc>
        <w:tc>
          <w:tcPr>
            <w:tcW w:w="822" w:type="dxa"/>
          </w:tcPr>
          <w:p w14:paraId="39D221F0" w14:textId="77777777" w:rsidR="00917E4B" w:rsidRPr="008A2E5A" w:rsidRDefault="00917E4B" w:rsidP="004C5D62">
            <w:pPr>
              <w:spacing w:after="0" w:line="240" w:lineRule="auto"/>
              <w:jc w:val="both"/>
              <w:rPr>
                <w:color w:val="0070C0"/>
                <w:sz w:val="16"/>
                <w:szCs w:val="16"/>
              </w:rPr>
            </w:pPr>
          </w:p>
        </w:tc>
      </w:tr>
      <w:tr w:rsidR="00917E4B" w:rsidRPr="008A2E5A" w14:paraId="2B665E2E" w14:textId="77777777" w:rsidTr="004C5D62">
        <w:tc>
          <w:tcPr>
            <w:tcW w:w="821" w:type="dxa"/>
          </w:tcPr>
          <w:p w14:paraId="61A75A08"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снайперские</w:t>
            </w:r>
          </w:p>
        </w:tc>
        <w:tc>
          <w:tcPr>
            <w:tcW w:w="821" w:type="dxa"/>
          </w:tcPr>
          <w:p w14:paraId="6C35DE4A" w14:textId="77777777" w:rsidR="00917E4B" w:rsidRPr="008A2E5A" w:rsidRDefault="00917E4B" w:rsidP="004C5D62">
            <w:pPr>
              <w:spacing w:after="0" w:line="240" w:lineRule="auto"/>
              <w:jc w:val="both"/>
              <w:rPr>
                <w:color w:val="0070C0"/>
                <w:sz w:val="16"/>
                <w:szCs w:val="16"/>
              </w:rPr>
            </w:pPr>
            <w:r w:rsidRPr="008A2E5A">
              <w:rPr>
                <w:color w:val="0070C0"/>
                <w:sz w:val="16"/>
                <w:szCs w:val="16"/>
              </w:rPr>
              <w:t>5000</w:t>
            </w:r>
          </w:p>
        </w:tc>
        <w:tc>
          <w:tcPr>
            <w:tcW w:w="821" w:type="dxa"/>
          </w:tcPr>
          <w:p w14:paraId="699DA09C" w14:textId="77777777" w:rsidR="00917E4B" w:rsidRPr="008A2E5A" w:rsidRDefault="00917E4B" w:rsidP="004C5D62">
            <w:pPr>
              <w:spacing w:after="0" w:line="240" w:lineRule="auto"/>
              <w:jc w:val="both"/>
              <w:rPr>
                <w:color w:val="0070C0"/>
                <w:sz w:val="16"/>
                <w:szCs w:val="16"/>
              </w:rPr>
            </w:pPr>
            <w:r w:rsidRPr="008A2E5A">
              <w:rPr>
                <w:color w:val="0070C0"/>
                <w:sz w:val="16"/>
                <w:szCs w:val="16"/>
              </w:rPr>
              <w:t>1418</w:t>
            </w:r>
          </w:p>
        </w:tc>
        <w:tc>
          <w:tcPr>
            <w:tcW w:w="821" w:type="dxa"/>
          </w:tcPr>
          <w:p w14:paraId="5F2777E2" w14:textId="77777777" w:rsidR="00917E4B" w:rsidRPr="008A2E5A" w:rsidRDefault="00917E4B" w:rsidP="004C5D62">
            <w:pPr>
              <w:spacing w:after="0" w:line="240" w:lineRule="auto"/>
              <w:jc w:val="both"/>
              <w:rPr>
                <w:color w:val="0070C0"/>
                <w:sz w:val="16"/>
                <w:szCs w:val="16"/>
              </w:rPr>
            </w:pPr>
          </w:p>
        </w:tc>
        <w:tc>
          <w:tcPr>
            <w:tcW w:w="822" w:type="dxa"/>
          </w:tcPr>
          <w:p w14:paraId="082EF292" w14:textId="77777777" w:rsidR="00917E4B" w:rsidRPr="008A2E5A" w:rsidRDefault="00917E4B" w:rsidP="004C5D62">
            <w:pPr>
              <w:spacing w:after="0" w:line="240" w:lineRule="auto"/>
              <w:jc w:val="both"/>
              <w:rPr>
                <w:color w:val="0070C0"/>
                <w:sz w:val="16"/>
                <w:szCs w:val="16"/>
              </w:rPr>
            </w:pPr>
          </w:p>
        </w:tc>
        <w:tc>
          <w:tcPr>
            <w:tcW w:w="822" w:type="dxa"/>
          </w:tcPr>
          <w:p w14:paraId="0C1C79DF" w14:textId="77777777" w:rsidR="00917E4B" w:rsidRPr="008A2E5A" w:rsidRDefault="00917E4B" w:rsidP="004C5D62">
            <w:pPr>
              <w:spacing w:after="0" w:line="240" w:lineRule="auto"/>
              <w:jc w:val="both"/>
              <w:rPr>
                <w:color w:val="0070C0"/>
                <w:sz w:val="16"/>
                <w:szCs w:val="16"/>
              </w:rPr>
            </w:pPr>
          </w:p>
        </w:tc>
        <w:tc>
          <w:tcPr>
            <w:tcW w:w="822" w:type="dxa"/>
          </w:tcPr>
          <w:p w14:paraId="3B7C27A5" w14:textId="77777777" w:rsidR="00917E4B" w:rsidRPr="008A2E5A" w:rsidRDefault="00917E4B" w:rsidP="004C5D62">
            <w:pPr>
              <w:spacing w:after="0" w:line="240" w:lineRule="auto"/>
              <w:jc w:val="both"/>
              <w:rPr>
                <w:color w:val="0070C0"/>
                <w:sz w:val="16"/>
                <w:szCs w:val="16"/>
              </w:rPr>
            </w:pPr>
          </w:p>
        </w:tc>
        <w:tc>
          <w:tcPr>
            <w:tcW w:w="822" w:type="dxa"/>
          </w:tcPr>
          <w:p w14:paraId="2509B14C" w14:textId="77777777" w:rsidR="00917E4B" w:rsidRPr="008A2E5A" w:rsidRDefault="00917E4B" w:rsidP="004C5D62">
            <w:pPr>
              <w:spacing w:after="0" w:line="240" w:lineRule="auto"/>
              <w:jc w:val="both"/>
              <w:rPr>
                <w:color w:val="0070C0"/>
                <w:sz w:val="16"/>
                <w:szCs w:val="16"/>
              </w:rPr>
            </w:pPr>
            <w:r w:rsidRPr="008A2E5A">
              <w:rPr>
                <w:color w:val="0070C0"/>
                <w:sz w:val="16"/>
                <w:szCs w:val="16"/>
              </w:rPr>
              <w:t>27 500</w:t>
            </w:r>
          </w:p>
        </w:tc>
        <w:tc>
          <w:tcPr>
            <w:tcW w:w="822" w:type="dxa"/>
          </w:tcPr>
          <w:p w14:paraId="7FE3679A" w14:textId="77777777" w:rsidR="00917E4B" w:rsidRPr="008A2E5A" w:rsidRDefault="00917E4B" w:rsidP="004C5D62">
            <w:pPr>
              <w:spacing w:after="0" w:line="240" w:lineRule="auto"/>
              <w:jc w:val="both"/>
              <w:rPr>
                <w:color w:val="0070C0"/>
                <w:sz w:val="16"/>
                <w:szCs w:val="16"/>
              </w:rPr>
            </w:pPr>
            <w:r w:rsidRPr="008A2E5A">
              <w:rPr>
                <w:color w:val="0070C0"/>
                <w:sz w:val="16"/>
                <w:szCs w:val="16"/>
              </w:rPr>
              <w:t>23 722</w:t>
            </w:r>
          </w:p>
        </w:tc>
        <w:tc>
          <w:tcPr>
            <w:tcW w:w="822" w:type="dxa"/>
          </w:tcPr>
          <w:p w14:paraId="520A8B96" w14:textId="77777777" w:rsidR="00917E4B" w:rsidRPr="008A2E5A" w:rsidRDefault="00917E4B" w:rsidP="004C5D62">
            <w:pPr>
              <w:spacing w:after="0" w:line="240" w:lineRule="auto"/>
              <w:jc w:val="both"/>
              <w:rPr>
                <w:color w:val="0070C0"/>
                <w:sz w:val="16"/>
                <w:szCs w:val="16"/>
              </w:rPr>
            </w:pPr>
          </w:p>
        </w:tc>
        <w:tc>
          <w:tcPr>
            <w:tcW w:w="822" w:type="dxa"/>
          </w:tcPr>
          <w:p w14:paraId="7999D115" w14:textId="77777777" w:rsidR="00917E4B" w:rsidRPr="008A2E5A" w:rsidRDefault="00917E4B" w:rsidP="004C5D62">
            <w:pPr>
              <w:spacing w:after="0" w:line="240" w:lineRule="auto"/>
              <w:jc w:val="both"/>
              <w:rPr>
                <w:color w:val="0070C0"/>
                <w:sz w:val="16"/>
                <w:szCs w:val="16"/>
              </w:rPr>
            </w:pPr>
          </w:p>
        </w:tc>
        <w:tc>
          <w:tcPr>
            <w:tcW w:w="822" w:type="dxa"/>
          </w:tcPr>
          <w:p w14:paraId="1CF6F96F" w14:textId="77777777" w:rsidR="00917E4B" w:rsidRPr="008A2E5A" w:rsidRDefault="00917E4B" w:rsidP="004C5D62">
            <w:pPr>
              <w:spacing w:after="0" w:line="240" w:lineRule="auto"/>
              <w:jc w:val="both"/>
              <w:rPr>
                <w:color w:val="0070C0"/>
                <w:sz w:val="16"/>
                <w:szCs w:val="16"/>
              </w:rPr>
            </w:pPr>
          </w:p>
        </w:tc>
        <w:tc>
          <w:tcPr>
            <w:tcW w:w="822" w:type="dxa"/>
          </w:tcPr>
          <w:p w14:paraId="49CBD2E4" w14:textId="77777777" w:rsidR="00917E4B" w:rsidRPr="008A2E5A" w:rsidRDefault="00917E4B" w:rsidP="004C5D62">
            <w:pPr>
              <w:spacing w:after="0" w:line="240" w:lineRule="auto"/>
              <w:jc w:val="both"/>
              <w:rPr>
                <w:color w:val="0070C0"/>
                <w:sz w:val="16"/>
                <w:szCs w:val="16"/>
              </w:rPr>
            </w:pPr>
          </w:p>
        </w:tc>
      </w:tr>
      <w:tr w:rsidR="00917E4B" w:rsidRPr="008A2E5A" w14:paraId="657E1A92" w14:textId="77777777" w:rsidTr="004C5D62">
        <w:tc>
          <w:tcPr>
            <w:tcW w:w="821" w:type="dxa"/>
          </w:tcPr>
          <w:p w14:paraId="1137CD07" w14:textId="77777777" w:rsidR="00917E4B" w:rsidRPr="008A2E5A" w:rsidRDefault="00917E4B" w:rsidP="004C5D62">
            <w:pPr>
              <w:spacing w:after="0" w:line="240" w:lineRule="auto"/>
              <w:jc w:val="both"/>
              <w:rPr>
                <w:color w:val="0070C0"/>
                <w:sz w:val="16"/>
                <w:szCs w:val="16"/>
              </w:rPr>
            </w:pPr>
            <w:r w:rsidRPr="008A2E5A">
              <w:rPr>
                <w:color w:val="0070C0"/>
                <w:sz w:val="16"/>
                <w:szCs w:val="16"/>
              </w:rPr>
              <w:t>Итого винтовок и карабинов</w:t>
            </w:r>
          </w:p>
        </w:tc>
        <w:tc>
          <w:tcPr>
            <w:tcW w:w="821" w:type="dxa"/>
          </w:tcPr>
          <w:p w14:paraId="24C12F81" w14:textId="77777777" w:rsidR="00917E4B" w:rsidRPr="008A2E5A" w:rsidRDefault="00917E4B" w:rsidP="004C5D62">
            <w:pPr>
              <w:spacing w:after="0" w:line="240" w:lineRule="auto"/>
              <w:jc w:val="both"/>
              <w:rPr>
                <w:color w:val="0070C0"/>
                <w:sz w:val="16"/>
                <w:szCs w:val="16"/>
              </w:rPr>
            </w:pPr>
            <w:r w:rsidRPr="008A2E5A">
              <w:rPr>
                <w:color w:val="0070C0"/>
                <w:sz w:val="16"/>
                <w:szCs w:val="16"/>
              </w:rPr>
              <w:t>367 000</w:t>
            </w:r>
          </w:p>
        </w:tc>
        <w:tc>
          <w:tcPr>
            <w:tcW w:w="821" w:type="dxa"/>
          </w:tcPr>
          <w:p w14:paraId="224836EA" w14:textId="77777777" w:rsidR="00917E4B" w:rsidRPr="008A2E5A" w:rsidRDefault="00917E4B" w:rsidP="004C5D62">
            <w:pPr>
              <w:spacing w:after="0" w:line="240" w:lineRule="auto"/>
              <w:jc w:val="both"/>
              <w:rPr>
                <w:color w:val="0070C0"/>
                <w:sz w:val="16"/>
                <w:szCs w:val="16"/>
              </w:rPr>
            </w:pPr>
            <w:r w:rsidRPr="008A2E5A">
              <w:rPr>
                <w:color w:val="0070C0"/>
                <w:sz w:val="16"/>
                <w:szCs w:val="16"/>
              </w:rPr>
              <w:t>251 897</w:t>
            </w:r>
          </w:p>
        </w:tc>
        <w:tc>
          <w:tcPr>
            <w:tcW w:w="821" w:type="dxa"/>
          </w:tcPr>
          <w:p w14:paraId="476F7AAF" w14:textId="77777777" w:rsidR="00917E4B" w:rsidRPr="008A2E5A" w:rsidRDefault="00917E4B" w:rsidP="004C5D62">
            <w:pPr>
              <w:spacing w:after="0" w:line="240" w:lineRule="auto"/>
              <w:jc w:val="both"/>
              <w:rPr>
                <w:color w:val="0070C0"/>
                <w:sz w:val="16"/>
                <w:szCs w:val="16"/>
              </w:rPr>
            </w:pPr>
            <w:r w:rsidRPr="008A2E5A">
              <w:rPr>
                <w:color w:val="0070C0"/>
                <w:sz w:val="16"/>
                <w:szCs w:val="16"/>
              </w:rPr>
              <w:t>310 000</w:t>
            </w:r>
          </w:p>
        </w:tc>
        <w:tc>
          <w:tcPr>
            <w:tcW w:w="822" w:type="dxa"/>
          </w:tcPr>
          <w:p w14:paraId="1AC276F3" w14:textId="77777777" w:rsidR="00917E4B" w:rsidRPr="008A2E5A" w:rsidRDefault="00917E4B" w:rsidP="004C5D62">
            <w:pPr>
              <w:spacing w:after="0" w:line="240" w:lineRule="auto"/>
              <w:jc w:val="both"/>
              <w:rPr>
                <w:color w:val="0070C0"/>
                <w:sz w:val="16"/>
                <w:szCs w:val="16"/>
              </w:rPr>
            </w:pPr>
            <w:r w:rsidRPr="008A2E5A">
              <w:rPr>
                <w:color w:val="0070C0"/>
                <w:sz w:val="16"/>
                <w:szCs w:val="16"/>
              </w:rPr>
              <w:t>221 725</w:t>
            </w:r>
          </w:p>
        </w:tc>
        <w:tc>
          <w:tcPr>
            <w:tcW w:w="822" w:type="dxa"/>
          </w:tcPr>
          <w:p w14:paraId="315A06EB" w14:textId="77777777" w:rsidR="00917E4B" w:rsidRPr="008A2E5A" w:rsidRDefault="00917E4B" w:rsidP="004C5D62">
            <w:pPr>
              <w:spacing w:after="0" w:line="240" w:lineRule="auto"/>
              <w:jc w:val="both"/>
              <w:rPr>
                <w:color w:val="0070C0"/>
                <w:sz w:val="16"/>
                <w:szCs w:val="16"/>
              </w:rPr>
            </w:pPr>
            <w:r w:rsidRPr="008A2E5A">
              <w:rPr>
                <w:color w:val="0070C0"/>
                <w:sz w:val="16"/>
                <w:szCs w:val="16"/>
              </w:rPr>
              <w:t>296 500</w:t>
            </w:r>
          </w:p>
        </w:tc>
        <w:tc>
          <w:tcPr>
            <w:tcW w:w="822" w:type="dxa"/>
          </w:tcPr>
          <w:p w14:paraId="65C83983" w14:textId="77777777" w:rsidR="00917E4B" w:rsidRPr="008A2E5A" w:rsidRDefault="00917E4B" w:rsidP="004C5D62">
            <w:pPr>
              <w:spacing w:after="0" w:line="240" w:lineRule="auto"/>
              <w:jc w:val="both"/>
              <w:rPr>
                <w:color w:val="0070C0"/>
                <w:sz w:val="16"/>
                <w:szCs w:val="16"/>
              </w:rPr>
            </w:pPr>
            <w:r w:rsidRPr="008A2E5A">
              <w:rPr>
                <w:color w:val="0070C0"/>
                <w:sz w:val="16"/>
                <w:szCs w:val="16"/>
              </w:rPr>
              <w:t>281 148</w:t>
            </w:r>
          </w:p>
        </w:tc>
        <w:tc>
          <w:tcPr>
            <w:tcW w:w="822" w:type="dxa"/>
          </w:tcPr>
          <w:p w14:paraId="4D53561E" w14:textId="77777777" w:rsidR="00917E4B" w:rsidRPr="008A2E5A" w:rsidRDefault="00917E4B" w:rsidP="004C5D62">
            <w:pPr>
              <w:spacing w:after="0" w:line="240" w:lineRule="auto"/>
              <w:jc w:val="both"/>
              <w:rPr>
                <w:color w:val="0070C0"/>
                <w:sz w:val="16"/>
                <w:szCs w:val="16"/>
              </w:rPr>
            </w:pPr>
            <w:r w:rsidRPr="008A2E5A">
              <w:rPr>
                <w:color w:val="0070C0"/>
                <w:sz w:val="16"/>
                <w:szCs w:val="16"/>
              </w:rPr>
              <w:t>1 882 500</w:t>
            </w:r>
          </w:p>
        </w:tc>
        <w:tc>
          <w:tcPr>
            <w:tcW w:w="822" w:type="dxa"/>
          </w:tcPr>
          <w:p w14:paraId="111B9C96" w14:textId="77777777" w:rsidR="00917E4B" w:rsidRPr="008A2E5A" w:rsidRDefault="00917E4B" w:rsidP="004C5D62">
            <w:pPr>
              <w:spacing w:after="0" w:line="240" w:lineRule="auto"/>
              <w:jc w:val="both"/>
              <w:rPr>
                <w:color w:val="0070C0"/>
                <w:sz w:val="16"/>
                <w:szCs w:val="16"/>
              </w:rPr>
            </w:pPr>
            <w:r w:rsidRPr="008A2E5A">
              <w:rPr>
                <w:color w:val="0070C0"/>
                <w:sz w:val="16"/>
                <w:szCs w:val="16"/>
              </w:rPr>
              <w:t>1 567 141</w:t>
            </w:r>
          </w:p>
        </w:tc>
        <w:tc>
          <w:tcPr>
            <w:tcW w:w="822" w:type="dxa"/>
          </w:tcPr>
          <w:p w14:paraId="6B52D83E" w14:textId="77777777" w:rsidR="00917E4B" w:rsidRPr="008A2E5A" w:rsidRDefault="00917E4B" w:rsidP="004C5D62">
            <w:pPr>
              <w:spacing w:after="0" w:line="240" w:lineRule="auto"/>
              <w:jc w:val="both"/>
              <w:rPr>
                <w:color w:val="0070C0"/>
                <w:sz w:val="16"/>
                <w:szCs w:val="16"/>
              </w:rPr>
            </w:pPr>
          </w:p>
        </w:tc>
        <w:tc>
          <w:tcPr>
            <w:tcW w:w="822" w:type="dxa"/>
          </w:tcPr>
          <w:p w14:paraId="643EB3BD" w14:textId="77777777" w:rsidR="00917E4B" w:rsidRPr="008A2E5A" w:rsidRDefault="00917E4B" w:rsidP="004C5D62">
            <w:pPr>
              <w:spacing w:after="0" w:line="240" w:lineRule="auto"/>
              <w:jc w:val="both"/>
              <w:rPr>
                <w:color w:val="0070C0"/>
                <w:sz w:val="16"/>
                <w:szCs w:val="16"/>
              </w:rPr>
            </w:pPr>
          </w:p>
        </w:tc>
        <w:tc>
          <w:tcPr>
            <w:tcW w:w="822" w:type="dxa"/>
          </w:tcPr>
          <w:p w14:paraId="5482452E" w14:textId="77777777" w:rsidR="00917E4B" w:rsidRPr="008A2E5A" w:rsidRDefault="00917E4B" w:rsidP="004C5D62">
            <w:pPr>
              <w:spacing w:after="0" w:line="240" w:lineRule="auto"/>
              <w:jc w:val="both"/>
              <w:rPr>
                <w:color w:val="0070C0"/>
                <w:sz w:val="16"/>
                <w:szCs w:val="16"/>
              </w:rPr>
            </w:pPr>
          </w:p>
        </w:tc>
        <w:tc>
          <w:tcPr>
            <w:tcW w:w="822" w:type="dxa"/>
          </w:tcPr>
          <w:p w14:paraId="24A4E8A7" w14:textId="77777777" w:rsidR="00917E4B" w:rsidRPr="008A2E5A" w:rsidRDefault="00917E4B" w:rsidP="004C5D62">
            <w:pPr>
              <w:spacing w:after="0" w:line="240" w:lineRule="auto"/>
              <w:jc w:val="both"/>
              <w:rPr>
                <w:color w:val="0070C0"/>
                <w:sz w:val="16"/>
                <w:szCs w:val="16"/>
              </w:rPr>
            </w:pPr>
          </w:p>
        </w:tc>
      </w:tr>
      <w:tr w:rsidR="00917E4B" w:rsidRPr="008A2E5A" w14:paraId="78D22B1F" w14:textId="77777777" w:rsidTr="004C5D62">
        <w:tc>
          <w:tcPr>
            <w:tcW w:w="821" w:type="dxa"/>
          </w:tcPr>
          <w:p w14:paraId="31CE2CF4"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пистолетов ТТ</w:t>
            </w:r>
          </w:p>
        </w:tc>
        <w:tc>
          <w:tcPr>
            <w:tcW w:w="821" w:type="dxa"/>
          </w:tcPr>
          <w:p w14:paraId="4D9F6548" w14:textId="77777777" w:rsidR="00917E4B" w:rsidRPr="008A2E5A" w:rsidRDefault="00917E4B" w:rsidP="004C5D62">
            <w:pPr>
              <w:spacing w:after="0" w:line="240" w:lineRule="auto"/>
              <w:jc w:val="both"/>
              <w:rPr>
                <w:color w:val="0070C0"/>
                <w:sz w:val="16"/>
                <w:szCs w:val="16"/>
              </w:rPr>
            </w:pPr>
            <w:r w:rsidRPr="008A2E5A">
              <w:rPr>
                <w:color w:val="0070C0"/>
                <w:sz w:val="16"/>
                <w:szCs w:val="16"/>
              </w:rPr>
              <w:t>19 000</w:t>
            </w:r>
          </w:p>
        </w:tc>
        <w:tc>
          <w:tcPr>
            <w:tcW w:w="821" w:type="dxa"/>
          </w:tcPr>
          <w:p w14:paraId="76FD506C" w14:textId="77777777" w:rsidR="00917E4B" w:rsidRPr="008A2E5A" w:rsidRDefault="00917E4B" w:rsidP="004C5D62">
            <w:pPr>
              <w:spacing w:after="0" w:line="240" w:lineRule="auto"/>
              <w:jc w:val="both"/>
              <w:rPr>
                <w:color w:val="0070C0"/>
                <w:sz w:val="16"/>
                <w:szCs w:val="16"/>
              </w:rPr>
            </w:pPr>
            <w:r w:rsidRPr="008A2E5A">
              <w:rPr>
                <w:color w:val="0070C0"/>
                <w:sz w:val="16"/>
                <w:szCs w:val="16"/>
              </w:rPr>
              <w:t>2470</w:t>
            </w:r>
          </w:p>
        </w:tc>
        <w:tc>
          <w:tcPr>
            <w:tcW w:w="821" w:type="dxa"/>
          </w:tcPr>
          <w:p w14:paraId="6F033432"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4000</w:t>
            </w:r>
          </w:p>
        </w:tc>
        <w:tc>
          <w:tcPr>
            <w:tcW w:w="822" w:type="dxa"/>
          </w:tcPr>
          <w:p w14:paraId="68F650D5" w14:textId="77777777" w:rsidR="00917E4B" w:rsidRPr="008A2E5A" w:rsidRDefault="00917E4B" w:rsidP="004C5D62">
            <w:pPr>
              <w:spacing w:after="0" w:line="240" w:lineRule="auto"/>
              <w:jc w:val="both"/>
              <w:rPr>
                <w:color w:val="0070C0"/>
                <w:sz w:val="16"/>
                <w:szCs w:val="16"/>
              </w:rPr>
            </w:pPr>
            <w:r w:rsidRPr="008A2E5A">
              <w:rPr>
                <w:color w:val="0070C0"/>
                <w:sz w:val="16"/>
                <w:szCs w:val="16"/>
              </w:rPr>
              <w:t>1600</w:t>
            </w:r>
          </w:p>
        </w:tc>
        <w:tc>
          <w:tcPr>
            <w:tcW w:w="822" w:type="dxa"/>
          </w:tcPr>
          <w:p w14:paraId="4C87E028" w14:textId="77777777" w:rsidR="00917E4B" w:rsidRPr="008A2E5A" w:rsidRDefault="00917E4B" w:rsidP="004C5D62">
            <w:pPr>
              <w:spacing w:after="0" w:line="240" w:lineRule="auto"/>
              <w:jc w:val="both"/>
              <w:rPr>
                <w:color w:val="0070C0"/>
                <w:sz w:val="16"/>
                <w:szCs w:val="16"/>
              </w:rPr>
            </w:pPr>
            <w:r w:rsidRPr="008A2E5A">
              <w:rPr>
                <w:color w:val="0070C0"/>
                <w:sz w:val="16"/>
                <w:szCs w:val="16"/>
              </w:rPr>
              <w:t>13 000</w:t>
            </w:r>
          </w:p>
        </w:tc>
        <w:tc>
          <w:tcPr>
            <w:tcW w:w="822" w:type="dxa"/>
          </w:tcPr>
          <w:p w14:paraId="13AF4423" w14:textId="77777777" w:rsidR="00917E4B" w:rsidRPr="008A2E5A" w:rsidRDefault="00917E4B" w:rsidP="004C5D62">
            <w:pPr>
              <w:spacing w:after="0" w:line="240" w:lineRule="auto"/>
              <w:jc w:val="both"/>
              <w:rPr>
                <w:color w:val="0070C0"/>
                <w:sz w:val="16"/>
                <w:szCs w:val="16"/>
              </w:rPr>
            </w:pPr>
            <w:r w:rsidRPr="008A2E5A">
              <w:rPr>
                <w:color w:val="0070C0"/>
                <w:sz w:val="16"/>
                <w:szCs w:val="16"/>
              </w:rPr>
              <w:t>8020</w:t>
            </w:r>
          </w:p>
        </w:tc>
        <w:tc>
          <w:tcPr>
            <w:tcW w:w="822" w:type="dxa"/>
          </w:tcPr>
          <w:p w14:paraId="45D5B1E1" w14:textId="77777777" w:rsidR="00917E4B" w:rsidRPr="008A2E5A" w:rsidRDefault="00917E4B" w:rsidP="004C5D62">
            <w:pPr>
              <w:spacing w:after="0" w:line="240" w:lineRule="auto"/>
              <w:jc w:val="both"/>
              <w:rPr>
                <w:color w:val="0070C0"/>
                <w:sz w:val="16"/>
                <w:szCs w:val="16"/>
              </w:rPr>
            </w:pPr>
            <w:r w:rsidRPr="008A2E5A">
              <w:rPr>
                <w:color w:val="0070C0"/>
                <w:sz w:val="16"/>
                <w:szCs w:val="16"/>
              </w:rPr>
              <w:t>89 500</w:t>
            </w:r>
          </w:p>
        </w:tc>
        <w:tc>
          <w:tcPr>
            <w:tcW w:w="822" w:type="dxa"/>
          </w:tcPr>
          <w:p w14:paraId="3215E34D" w14:textId="77777777" w:rsidR="00917E4B" w:rsidRPr="008A2E5A" w:rsidRDefault="00917E4B" w:rsidP="004C5D62">
            <w:pPr>
              <w:spacing w:after="0" w:line="240" w:lineRule="auto"/>
              <w:jc w:val="both"/>
              <w:rPr>
                <w:color w:val="0070C0"/>
                <w:sz w:val="16"/>
                <w:szCs w:val="16"/>
              </w:rPr>
            </w:pPr>
            <w:r w:rsidRPr="008A2E5A">
              <w:rPr>
                <w:color w:val="0070C0"/>
                <w:sz w:val="16"/>
                <w:szCs w:val="16"/>
              </w:rPr>
              <w:t>69 792</w:t>
            </w:r>
          </w:p>
        </w:tc>
        <w:tc>
          <w:tcPr>
            <w:tcW w:w="822" w:type="dxa"/>
          </w:tcPr>
          <w:p w14:paraId="0CBDBD4B" w14:textId="77777777" w:rsidR="00917E4B" w:rsidRPr="008A2E5A" w:rsidRDefault="00917E4B" w:rsidP="004C5D62">
            <w:pPr>
              <w:spacing w:after="0" w:line="240" w:lineRule="auto"/>
              <w:jc w:val="both"/>
              <w:rPr>
                <w:color w:val="0070C0"/>
                <w:sz w:val="16"/>
                <w:szCs w:val="16"/>
              </w:rPr>
            </w:pPr>
          </w:p>
        </w:tc>
        <w:tc>
          <w:tcPr>
            <w:tcW w:w="822" w:type="dxa"/>
          </w:tcPr>
          <w:p w14:paraId="6613A230" w14:textId="77777777" w:rsidR="00917E4B" w:rsidRPr="008A2E5A" w:rsidRDefault="00917E4B" w:rsidP="004C5D62">
            <w:pPr>
              <w:spacing w:after="0" w:line="240" w:lineRule="auto"/>
              <w:jc w:val="both"/>
              <w:rPr>
                <w:color w:val="0070C0"/>
                <w:sz w:val="16"/>
                <w:szCs w:val="16"/>
              </w:rPr>
            </w:pPr>
          </w:p>
        </w:tc>
        <w:tc>
          <w:tcPr>
            <w:tcW w:w="822" w:type="dxa"/>
          </w:tcPr>
          <w:p w14:paraId="1A41F145" w14:textId="77777777" w:rsidR="00917E4B" w:rsidRPr="008A2E5A" w:rsidRDefault="00917E4B" w:rsidP="004C5D62">
            <w:pPr>
              <w:spacing w:after="0" w:line="240" w:lineRule="auto"/>
              <w:jc w:val="both"/>
              <w:rPr>
                <w:color w:val="0070C0"/>
                <w:sz w:val="16"/>
                <w:szCs w:val="16"/>
              </w:rPr>
            </w:pPr>
          </w:p>
        </w:tc>
        <w:tc>
          <w:tcPr>
            <w:tcW w:w="822" w:type="dxa"/>
          </w:tcPr>
          <w:p w14:paraId="6ED191C5" w14:textId="77777777" w:rsidR="00917E4B" w:rsidRPr="008A2E5A" w:rsidRDefault="00917E4B" w:rsidP="004C5D62">
            <w:pPr>
              <w:spacing w:after="0" w:line="240" w:lineRule="auto"/>
              <w:jc w:val="both"/>
              <w:rPr>
                <w:color w:val="0070C0"/>
                <w:sz w:val="16"/>
                <w:szCs w:val="16"/>
              </w:rPr>
            </w:pPr>
          </w:p>
        </w:tc>
      </w:tr>
      <w:tr w:rsidR="00917E4B" w:rsidRPr="008A2E5A" w14:paraId="60DC9E1E" w14:textId="77777777" w:rsidTr="004C5D62">
        <w:tc>
          <w:tcPr>
            <w:tcW w:w="821" w:type="dxa"/>
          </w:tcPr>
          <w:p w14:paraId="31CD4E81" w14:textId="77777777" w:rsidR="00917E4B" w:rsidRPr="008A2E5A" w:rsidRDefault="00917E4B" w:rsidP="004C5D62">
            <w:pPr>
              <w:spacing w:after="0" w:line="240" w:lineRule="auto"/>
              <w:jc w:val="both"/>
              <w:rPr>
                <w:color w:val="0070C0"/>
                <w:sz w:val="16"/>
                <w:szCs w:val="16"/>
              </w:rPr>
            </w:pPr>
            <w:r w:rsidRPr="008A2E5A">
              <w:rPr>
                <w:color w:val="0070C0"/>
                <w:sz w:val="16"/>
                <w:szCs w:val="16"/>
              </w:rPr>
              <w:t>1 7,62-мм револьверов «Наган»</w:t>
            </w:r>
          </w:p>
        </w:tc>
        <w:tc>
          <w:tcPr>
            <w:tcW w:w="821" w:type="dxa"/>
          </w:tcPr>
          <w:p w14:paraId="2C4989A6" w14:textId="77777777" w:rsidR="00917E4B" w:rsidRPr="008A2E5A" w:rsidRDefault="00917E4B" w:rsidP="004C5D62">
            <w:pPr>
              <w:spacing w:after="0" w:line="240" w:lineRule="auto"/>
              <w:jc w:val="both"/>
              <w:rPr>
                <w:color w:val="0070C0"/>
                <w:sz w:val="16"/>
                <w:szCs w:val="16"/>
              </w:rPr>
            </w:pPr>
            <w:r w:rsidRPr="008A2E5A">
              <w:rPr>
                <w:color w:val="0070C0"/>
                <w:sz w:val="16"/>
                <w:szCs w:val="16"/>
              </w:rPr>
              <w:t>23 000</w:t>
            </w:r>
          </w:p>
        </w:tc>
        <w:tc>
          <w:tcPr>
            <w:tcW w:w="821" w:type="dxa"/>
          </w:tcPr>
          <w:p w14:paraId="1C327688" w14:textId="77777777" w:rsidR="00917E4B" w:rsidRPr="008A2E5A" w:rsidRDefault="00917E4B" w:rsidP="004C5D62">
            <w:pPr>
              <w:spacing w:after="0" w:line="240" w:lineRule="auto"/>
              <w:jc w:val="both"/>
              <w:rPr>
                <w:color w:val="0070C0"/>
                <w:sz w:val="16"/>
                <w:szCs w:val="16"/>
              </w:rPr>
            </w:pPr>
            <w:r w:rsidRPr="008A2E5A">
              <w:rPr>
                <w:color w:val="0070C0"/>
                <w:sz w:val="16"/>
                <w:szCs w:val="16"/>
              </w:rPr>
              <w:t>4573</w:t>
            </w:r>
          </w:p>
        </w:tc>
        <w:tc>
          <w:tcPr>
            <w:tcW w:w="821" w:type="dxa"/>
          </w:tcPr>
          <w:p w14:paraId="56F9EEFC" w14:textId="77777777" w:rsidR="00917E4B" w:rsidRPr="008A2E5A" w:rsidRDefault="00917E4B" w:rsidP="004C5D62">
            <w:pPr>
              <w:spacing w:after="0" w:line="240" w:lineRule="auto"/>
              <w:jc w:val="both"/>
              <w:rPr>
                <w:color w:val="0070C0"/>
                <w:sz w:val="16"/>
                <w:szCs w:val="16"/>
              </w:rPr>
            </w:pPr>
          </w:p>
        </w:tc>
        <w:tc>
          <w:tcPr>
            <w:tcW w:w="822" w:type="dxa"/>
          </w:tcPr>
          <w:p w14:paraId="4D52207F" w14:textId="77777777" w:rsidR="00917E4B" w:rsidRPr="008A2E5A" w:rsidRDefault="00917E4B" w:rsidP="004C5D62">
            <w:pPr>
              <w:spacing w:after="0" w:line="240" w:lineRule="auto"/>
              <w:jc w:val="both"/>
              <w:rPr>
                <w:color w:val="0070C0"/>
                <w:sz w:val="16"/>
                <w:szCs w:val="16"/>
              </w:rPr>
            </w:pPr>
            <w:r w:rsidRPr="008A2E5A">
              <w:rPr>
                <w:color w:val="0070C0"/>
                <w:sz w:val="16"/>
                <w:szCs w:val="16"/>
              </w:rPr>
              <w:t>_</w:t>
            </w:r>
          </w:p>
        </w:tc>
        <w:tc>
          <w:tcPr>
            <w:tcW w:w="822" w:type="dxa"/>
          </w:tcPr>
          <w:p w14:paraId="62B59801" w14:textId="77777777" w:rsidR="00917E4B" w:rsidRPr="008A2E5A" w:rsidRDefault="00917E4B" w:rsidP="004C5D62">
            <w:pPr>
              <w:spacing w:after="0" w:line="240" w:lineRule="auto"/>
              <w:jc w:val="both"/>
              <w:rPr>
                <w:color w:val="0070C0"/>
                <w:sz w:val="16"/>
                <w:szCs w:val="16"/>
              </w:rPr>
            </w:pPr>
          </w:p>
        </w:tc>
        <w:tc>
          <w:tcPr>
            <w:tcW w:w="822" w:type="dxa"/>
          </w:tcPr>
          <w:p w14:paraId="6B953F78"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57B0C804" w14:textId="77777777" w:rsidR="00917E4B" w:rsidRPr="008A2E5A" w:rsidRDefault="00917E4B" w:rsidP="004C5D62">
            <w:pPr>
              <w:spacing w:after="0" w:line="240" w:lineRule="auto"/>
              <w:jc w:val="both"/>
              <w:rPr>
                <w:color w:val="0070C0"/>
                <w:sz w:val="16"/>
                <w:szCs w:val="16"/>
              </w:rPr>
            </w:pPr>
          </w:p>
        </w:tc>
        <w:tc>
          <w:tcPr>
            <w:tcW w:w="822" w:type="dxa"/>
          </w:tcPr>
          <w:p w14:paraId="33F6312C" w14:textId="77777777" w:rsidR="00917E4B" w:rsidRPr="008A2E5A" w:rsidRDefault="00917E4B" w:rsidP="004C5D62">
            <w:pPr>
              <w:spacing w:after="0" w:line="240" w:lineRule="auto"/>
              <w:jc w:val="both"/>
              <w:rPr>
                <w:color w:val="0070C0"/>
                <w:sz w:val="16"/>
                <w:szCs w:val="16"/>
              </w:rPr>
            </w:pPr>
            <w:r w:rsidRPr="008A2E5A">
              <w:rPr>
                <w:color w:val="0070C0"/>
                <w:sz w:val="16"/>
                <w:szCs w:val="16"/>
              </w:rPr>
              <w:t>80 500</w:t>
            </w:r>
          </w:p>
        </w:tc>
        <w:tc>
          <w:tcPr>
            <w:tcW w:w="822" w:type="dxa"/>
          </w:tcPr>
          <w:p w14:paraId="06C93829" w14:textId="77777777" w:rsidR="00917E4B" w:rsidRPr="008A2E5A" w:rsidRDefault="00917E4B" w:rsidP="004C5D62">
            <w:pPr>
              <w:spacing w:after="0" w:line="240" w:lineRule="auto"/>
              <w:jc w:val="both"/>
              <w:rPr>
                <w:color w:val="0070C0"/>
                <w:sz w:val="16"/>
                <w:szCs w:val="16"/>
              </w:rPr>
            </w:pPr>
            <w:r w:rsidRPr="008A2E5A">
              <w:rPr>
                <w:color w:val="0070C0"/>
                <w:sz w:val="16"/>
                <w:szCs w:val="16"/>
              </w:rPr>
              <w:t>62 773</w:t>
            </w:r>
          </w:p>
        </w:tc>
        <w:tc>
          <w:tcPr>
            <w:tcW w:w="822" w:type="dxa"/>
          </w:tcPr>
          <w:p w14:paraId="707C21D5" w14:textId="77777777" w:rsidR="00917E4B" w:rsidRPr="008A2E5A" w:rsidRDefault="00917E4B" w:rsidP="004C5D62">
            <w:pPr>
              <w:spacing w:after="0" w:line="240" w:lineRule="auto"/>
              <w:jc w:val="both"/>
              <w:rPr>
                <w:color w:val="0070C0"/>
                <w:sz w:val="16"/>
                <w:szCs w:val="16"/>
              </w:rPr>
            </w:pPr>
          </w:p>
        </w:tc>
        <w:tc>
          <w:tcPr>
            <w:tcW w:w="822" w:type="dxa"/>
          </w:tcPr>
          <w:p w14:paraId="652AD745" w14:textId="77777777" w:rsidR="00917E4B" w:rsidRPr="008A2E5A" w:rsidRDefault="00917E4B" w:rsidP="004C5D62">
            <w:pPr>
              <w:spacing w:after="0" w:line="240" w:lineRule="auto"/>
              <w:jc w:val="both"/>
              <w:rPr>
                <w:color w:val="0070C0"/>
                <w:sz w:val="16"/>
                <w:szCs w:val="16"/>
              </w:rPr>
            </w:pPr>
          </w:p>
        </w:tc>
        <w:tc>
          <w:tcPr>
            <w:tcW w:w="822" w:type="dxa"/>
          </w:tcPr>
          <w:p w14:paraId="37916BAD" w14:textId="77777777" w:rsidR="00917E4B" w:rsidRPr="008A2E5A" w:rsidRDefault="00917E4B" w:rsidP="004C5D62">
            <w:pPr>
              <w:spacing w:after="0" w:line="240" w:lineRule="auto"/>
              <w:jc w:val="both"/>
              <w:rPr>
                <w:color w:val="0070C0"/>
                <w:sz w:val="16"/>
                <w:szCs w:val="16"/>
              </w:rPr>
            </w:pPr>
          </w:p>
        </w:tc>
      </w:tr>
      <w:tr w:rsidR="00917E4B" w:rsidRPr="008A2E5A" w14:paraId="7C4BA676" w14:textId="77777777" w:rsidTr="004C5D62">
        <w:tc>
          <w:tcPr>
            <w:tcW w:w="821" w:type="dxa"/>
          </w:tcPr>
          <w:p w14:paraId="0AAACFAD" w14:textId="77777777" w:rsidR="00917E4B" w:rsidRPr="008A2E5A" w:rsidRDefault="00917E4B" w:rsidP="004C5D62">
            <w:pPr>
              <w:spacing w:after="0" w:line="240" w:lineRule="auto"/>
              <w:jc w:val="both"/>
              <w:rPr>
                <w:color w:val="0070C0"/>
                <w:sz w:val="16"/>
                <w:szCs w:val="16"/>
              </w:rPr>
            </w:pPr>
            <w:r w:rsidRPr="008A2E5A">
              <w:rPr>
                <w:color w:val="0070C0"/>
                <w:sz w:val="16"/>
                <w:szCs w:val="16"/>
              </w:rPr>
              <w:t>Итого револьверов и пистолетов</w:t>
            </w:r>
          </w:p>
        </w:tc>
        <w:tc>
          <w:tcPr>
            <w:tcW w:w="821" w:type="dxa"/>
          </w:tcPr>
          <w:p w14:paraId="55EDCD1A" w14:textId="77777777" w:rsidR="00917E4B" w:rsidRPr="008A2E5A" w:rsidRDefault="00917E4B" w:rsidP="004C5D62">
            <w:pPr>
              <w:spacing w:after="0" w:line="240" w:lineRule="auto"/>
              <w:jc w:val="both"/>
              <w:rPr>
                <w:color w:val="0070C0"/>
                <w:sz w:val="16"/>
                <w:szCs w:val="16"/>
              </w:rPr>
            </w:pPr>
            <w:r w:rsidRPr="008A2E5A">
              <w:rPr>
                <w:color w:val="0070C0"/>
                <w:sz w:val="16"/>
                <w:szCs w:val="16"/>
              </w:rPr>
              <w:t>42 000</w:t>
            </w:r>
          </w:p>
        </w:tc>
        <w:tc>
          <w:tcPr>
            <w:tcW w:w="821" w:type="dxa"/>
          </w:tcPr>
          <w:p w14:paraId="1EE25390" w14:textId="77777777" w:rsidR="00917E4B" w:rsidRPr="008A2E5A" w:rsidRDefault="00917E4B" w:rsidP="004C5D62">
            <w:pPr>
              <w:spacing w:after="0" w:line="240" w:lineRule="auto"/>
              <w:jc w:val="both"/>
              <w:rPr>
                <w:color w:val="0070C0"/>
                <w:sz w:val="16"/>
                <w:szCs w:val="16"/>
              </w:rPr>
            </w:pPr>
            <w:r w:rsidRPr="008A2E5A">
              <w:rPr>
                <w:color w:val="0070C0"/>
                <w:sz w:val="16"/>
                <w:szCs w:val="16"/>
              </w:rPr>
              <w:t>7043</w:t>
            </w:r>
          </w:p>
        </w:tc>
        <w:tc>
          <w:tcPr>
            <w:tcW w:w="821" w:type="dxa"/>
          </w:tcPr>
          <w:p w14:paraId="6BAC6B1D"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4000</w:t>
            </w:r>
          </w:p>
        </w:tc>
        <w:tc>
          <w:tcPr>
            <w:tcW w:w="822" w:type="dxa"/>
          </w:tcPr>
          <w:p w14:paraId="50963364" w14:textId="77777777" w:rsidR="00917E4B" w:rsidRPr="008A2E5A" w:rsidRDefault="00917E4B" w:rsidP="004C5D62">
            <w:pPr>
              <w:spacing w:after="0" w:line="240" w:lineRule="auto"/>
              <w:jc w:val="both"/>
              <w:rPr>
                <w:color w:val="0070C0"/>
                <w:sz w:val="16"/>
                <w:szCs w:val="16"/>
              </w:rPr>
            </w:pPr>
            <w:r w:rsidRPr="008A2E5A">
              <w:rPr>
                <w:color w:val="0070C0"/>
                <w:sz w:val="16"/>
                <w:szCs w:val="16"/>
              </w:rPr>
              <w:t>1600</w:t>
            </w:r>
          </w:p>
        </w:tc>
        <w:tc>
          <w:tcPr>
            <w:tcW w:w="822" w:type="dxa"/>
          </w:tcPr>
          <w:p w14:paraId="2D3E66E9" w14:textId="77777777" w:rsidR="00917E4B" w:rsidRPr="008A2E5A" w:rsidRDefault="00917E4B" w:rsidP="004C5D62">
            <w:pPr>
              <w:spacing w:after="0" w:line="240" w:lineRule="auto"/>
              <w:jc w:val="both"/>
              <w:rPr>
                <w:color w:val="0070C0"/>
                <w:sz w:val="16"/>
                <w:szCs w:val="16"/>
              </w:rPr>
            </w:pPr>
            <w:r w:rsidRPr="008A2E5A">
              <w:rPr>
                <w:color w:val="0070C0"/>
                <w:sz w:val="16"/>
                <w:szCs w:val="16"/>
              </w:rPr>
              <w:t>13 000</w:t>
            </w:r>
          </w:p>
        </w:tc>
        <w:tc>
          <w:tcPr>
            <w:tcW w:w="822" w:type="dxa"/>
          </w:tcPr>
          <w:p w14:paraId="4DFEBB7B" w14:textId="77777777" w:rsidR="00917E4B" w:rsidRPr="008A2E5A" w:rsidRDefault="00917E4B" w:rsidP="004C5D62">
            <w:pPr>
              <w:spacing w:after="0" w:line="240" w:lineRule="auto"/>
              <w:jc w:val="both"/>
              <w:rPr>
                <w:color w:val="0070C0"/>
                <w:sz w:val="16"/>
                <w:szCs w:val="16"/>
              </w:rPr>
            </w:pPr>
            <w:r w:rsidRPr="008A2E5A">
              <w:rPr>
                <w:color w:val="0070C0"/>
                <w:sz w:val="16"/>
                <w:szCs w:val="16"/>
              </w:rPr>
              <w:t>8020</w:t>
            </w:r>
          </w:p>
        </w:tc>
        <w:tc>
          <w:tcPr>
            <w:tcW w:w="822" w:type="dxa"/>
          </w:tcPr>
          <w:p w14:paraId="406B386C" w14:textId="77777777" w:rsidR="00917E4B" w:rsidRPr="008A2E5A" w:rsidRDefault="00917E4B" w:rsidP="004C5D62">
            <w:pPr>
              <w:spacing w:after="0" w:line="240" w:lineRule="auto"/>
              <w:jc w:val="both"/>
              <w:rPr>
                <w:color w:val="0070C0"/>
                <w:sz w:val="16"/>
                <w:szCs w:val="16"/>
              </w:rPr>
            </w:pPr>
            <w:r w:rsidRPr="008A2E5A">
              <w:rPr>
                <w:color w:val="0070C0"/>
                <w:sz w:val="16"/>
                <w:szCs w:val="16"/>
              </w:rPr>
              <w:t>170 000</w:t>
            </w:r>
          </w:p>
        </w:tc>
        <w:tc>
          <w:tcPr>
            <w:tcW w:w="822" w:type="dxa"/>
          </w:tcPr>
          <w:p w14:paraId="6C605FCC" w14:textId="77777777" w:rsidR="00917E4B" w:rsidRPr="008A2E5A" w:rsidRDefault="00917E4B" w:rsidP="004C5D62">
            <w:pPr>
              <w:spacing w:after="0" w:line="240" w:lineRule="auto"/>
              <w:jc w:val="both"/>
              <w:rPr>
                <w:color w:val="0070C0"/>
                <w:sz w:val="16"/>
                <w:szCs w:val="16"/>
              </w:rPr>
            </w:pPr>
            <w:r w:rsidRPr="008A2E5A">
              <w:rPr>
                <w:color w:val="0070C0"/>
                <w:sz w:val="16"/>
                <w:szCs w:val="16"/>
              </w:rPr>
              <w:t>132 565</w:t>
            </w:r>
          </w:p>
        </w:tc>
        <w:tc>
          <w:tcPr>
            <w:tcW w:w="822" w:type="dxa"/>
          </w:tcPr>
          <w:p w14:paraId="484809C6" w14:textId="77777777" w:rsidR="00917E4B" w:rsidRPr="008A2E5A" w:rsidRDefault="00917E4B" w:rsidP="004C5D62">
            <w:pPr>
              <w:spacing w:after="0" w:line="240" w:lineRule="auto"/>
              <w:jc w:val="both"/>
              <w:rPr>
                <w:color w:val="0070C0"/>
                <w:sz w:val="16"/>
                <w:szCs w:val="16"/>
              </w:rPr>
            </w:pPr>
          </w:p>
        </w:tc>
        <w:tc>
          <w:tcPr>
            <w:tcW w:w="822" w:type="dxa"/>
          </w:tcPr>
          <w:p w14:paraId="0EABC3BB" w14:textId="77777777" w:rsidR="00917E4B" w:rsidRPr="008A2E5A" w:rsidRDefault="00917E4B" w:rsidP="004C5D62">
            <w:pPr>
              <w:spacing w:after="0" w:line="240" w:lineRule="auto"/>
              <w:jc w:val="both"/>
              <w:rPr>
                <w:color w:val="0070C0"/>
                <w:sz w:val="16"/>
                <w:szCs w:val="16"/>
              </w:rPr>
            </w:pPr>
          </w:p>
        </w:tc>
        <w:tc>
          <w:tcPr>
            <w:tcW w:w="822" w:type="dxa"/>
          </w:tcPr>
          <w:p w14:paraId="6E808564" w14:textId="77777777" w:rsidR="00917E4B" w:rsidRPr="008A2E5A" w:rsidRDefault="00917E4B" w:rsidP="004C5D62">
            <w:pPr>
              <w:spacing w:after="0" w:line="240" w:lineRule="auto"/>
              <w:jc w:val="both"/>
              <w:rPr>
                <w:color w:val="0070C0"/>
                <w:sz w:val="16"/>
                <w:szCs w:val="16"/>
              </w:rPr>
            </w:pPr>
          </w:p>
        </w:tc>
        <w:tc>
          <w:tcPr>
            <w:tcW w:w="822" w:type="dxa"/>
          </w:tcPr>
          <w:p w14:paraId="538A50D4" w14:textId="77777777" w:rsidR="00917E4B" w:rsidRPr="008A2E5A" w:rsidRDefault="00917E4B" w:rsidP="004C5D62">
            <w:pPr>
              <w:spacing w:after="0" w:line="240" w:lineRule="auto"/>
              <w:jc w:val="both"/>
              <w:rPr>
                <w:color w:val="0070C0"/>
                <w:sz w:val="16"/>
                <w:szCs w:val="16"/>
              </w:rPr>
            </w:pPr>
          </w:p>
        </w:tc>
      </w:tr>
      <w:tr w:rsidR="00917E4B" w:rsidRPr="008A2E5A" w14:paraId="675B19CE" w14:textId="77777777" w:rsidTr="004C5D62">
        <w:tc>
          <w:tcPr>
            <w:tcW w:w="821" w:type="dxa"/>
          </w:tcPr>
          <w:p w14:paraId="7D3DE7B6"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пистолет-пулеметов ппш</w:t>
            </w:r>
          </w:p>
        </w:tc>
        <w:tc>
          <w:tcPr>
            <w:tcW w:w="821" w:type="dxa"/>
          </w:tcPr>
          <w:p w14:paraId="4AEF3238" w14:textId="77777777" w:rsidR="00917E4B" w:rsidRPr="008A2E5A" w:rsidRDefault="00917E4B" w:rsidP="004C5D62">
            <w:pPr>
              <w:spacing w:after="0" w:line="240" w:lineRule="auto"/>
              <w:jc w:val="both"/>
              <w:rPr>
                <w:color w:val="0070C0"/>
                <w:sz w:val="16"/>
                <w:szCs w:val="16"/>
              </w:rPr>
            </w:pPr>
            <w:r w:rsidRPr="008A2E5A">
              <w:rPr>
                <w:color w:val="0070C0"/>
                <w:sz w:val="16"/>
                <w:szCs w:val="16"/>
              </w:rPr>
              <w:t>29 000</w:t>
            </w:r>
          </w:p>
        </w:tc>
        <w:tc>
          <w:tcPr>
            <w:tcW w:w="821" w:type="dxa"/>
          </w:tcPr>
          <w:p w14:paraId="556666FC" w14:textId="77777777" w:rsidR="00917E4B" w:rsidRPr="008A2E5A" w:rsidRDefault="00917E4B" w:rsidP="004C5D62">
            <w:pPr>
              <w:spacing w:after="0" w:line="240" w:lineRule="auto"/>
              <w:jc w:val="both"/>
              <w:rPr>
                <w:color w:val="0070C0"/>
                <w:sz w:val="16"/>
                <w:szCs w:val="16"/>
              </w:rPr>
            </w:pPr>
            <w:r w:rsidRPr="008A2E5A">
              <w:rPr>
                <w:color w:val="0070C0"/>
                <w:sz w:val="16"/>
                <w:szCs w:val="16"/>
              </w:rPr>
              <w:t>9075</w:t>
            </w:r>
          </w:p>
        </w:tc>
        <w:tc>
          <w:tcPr>
            <w:tcW w:w="821" w:type="dxa"/>
          </w:tcPr>
          <w:p w14:paraId="5489A6D0"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2" w:type="dxa"/>
          </w:tcPr>
          <w:p w14:paraId="3FD16E87" w14:textId="77777777" w:rsidR="00917E4B" w:rsidRPr="008A2E5A" w:rsidRDefault="00917E4B" w:rsidP="004C5D62">
            <w:pPr>
              <w:spacing w:after="0" w:line="240" w:lineRule="auto"/>
              <w:jc w:val="both"/>
              <w:rPr>
                <w:color w:val="0070C0"/>
                <w:sz w:val="16"/>
                <w:szCs w:val="16"/>
              </w:rPr>
            </w:pPr>
            <w:r w:rsidRPr="008A2E5A">
              <w:rPr>
                <w:color w:val="0070C0"/>
                <w:sz w:val="16"/>
                <w:szCs w:val="16"/>
              </w:rPr>
              <w:t>3345</w:t>
            </w:r>
          </w:p>
        </w:tc>
        <w:tc>
          <w:tcPr>
            <w:tcW w:w="822" w:type="dxa"/>
          </w:tcPr>
          <w:p w14:paraId="6089F946" w14:textId="77777777" w:rsidR="00917E4B" w:rsidRPr="008A2E5A" w:rsidRDefault="00917E4B" w:rsidP="004C5D62">
            <w:pPr>
              <w:spacing w:after="0" w:line="240" w:lineRule="auto"/>
              <w:jc w:val="both"/>
              <w:rPr>
                <w:color w:val="0070C0"/>
                <w:sz w:val="16"/>
                <w:szCs w:val="16"/>
              </w:rPr>
            </w:pPr>
            <w:r w:rsidRPr="008A2E5A">
              <w:rPr>
                <w:color w:val="0070C0"/>
                <w:sz w:val="16"/>
                <w:szCs w:val="16"/>
              </w:rPr>
              <w:t>34 600</w:t>
            </w:r>
          </w:p>
        </w:tc>
        <w:tc>
          <w:tcPr>
            <w:tcW w:w="822" w:type="dxa"/>
          </w:tcPr>
          <w:p w14:paraId="282CD02B" w14:textId="77777777" w:rsidR="00917E4B" w:rsidRPr="008A2E5A" w:rsidRDefault="00917E4B" w:rsidP="004C5D62">
            <w:pPr>
              <w:spacing w:after="0" w:line="240" w:lineRule="auto"/>
              <w:jc w:val="both"/>
              <w:rPr>
                <w:color w:val="0070C0"/>
                <w:sz w:val="16"/>
                <w:szCs w:val="16"/>
              </w:rPr>
            </w:pPr>
            <w:r w:rsidRPr="008A2E5A">
              <w:rPr>
                <w:color w:val="0070C0"/>
                <w:sz w:val="16"/>
                <w:szCs w:val="16"/>
              </w:rPr>
              <w:t>29 230</w:t>
            </w:r>
          </w:p>
        </w:tc>
        <w:tc>
          <w:tcPr>
            <w:tcW w:w="822" w:type="dxa"/>
          </w:tcPr>
          <w:p w14:paraId="5A3ABE03" w14:textId="77777777" w:rsidR="00917E4B" w:rsidRPr="008A2E5A" w:rsidRDefault="00917E4B" w:rsidP="004C5D62">
            <w:pPr>
              <w:spacing w:after="0" w:line="240" w:lineRule="auto"/>
              <w:jc w:val="both"/>
              <w:rPr>
                <w:color w:val="0070C0"/>
                <w:sz w:val="16"/>
                <w:szCs w:val="16"/>
              </w:rPr>
            </w:pPr>
            <w:r w:rsidRPr="008A2E5A">
              <w:rPr>
                <w:color w:val="0070C0"/>
                <w:sz w:val="16"/>
                <w:szCs w:val="16"/>
              </w:rPr>
              <w:t>119 600</w:t>
            </w:r>
          </w:p>
        </w:tc>
        <w:tc>
          <w:tcPr>
            <w:tcW w:w="822" w:type="dxa"/>
          </w:tcPr>
          <w:p w14:paraId="1A98625E" w14:textId="77777777" w:rsidR="00917E4B" w:rsidRPr="008A2E5A" w:rsidRDefault="00917E4B" w:rsidP="004C5D62">
            <w:pPr>
              <w:spacing w:after="0" w:line="240" w:lineRule="auto"/>
              <w:jc w:val="both"/>
              <w:rPr>
                <w:color w:val="0070C0"/>
                <w:sz w:val="16"/>
                <w:szCs w:val="16"/>
              </w:rPr>
            </w:pPr>
            <w:r w:rsidRPr="008A2E5A">
              <w:rPr>
                <w:color w:val="0070C0"/>
                <w:sz w:val="16"/>
                <w:szCs w:val="16"/>
              </w:rPr>
              <w:t>89 665</w:t>
            </w:r>
          </w:p>
        </w:tc>
        <w:tc>
          <w:tcPr>
            <w:tcW w:w="822" w:type="dxa"/>
          </w:tcPr>
          <w:p w14:paraId="63026B7D" w14:textId="77777777" w:rsidR="00917E4B" w:rsidRPr="008A2E5A" w:rsidRDefault="00917E4B" w:rsidP="004C5D62">
            <w:pPr>
              <w:spacing w:after="0" w:line="240" w:lineRule="auto"/>
              <w:jc w:val="both"/>
              <w:rPr>
                <w:color w:val="0070C0"/>
                <w:sz w:val="16"/>
                <w:szCs w:val="16"/>
              </w:rPr>
            </w:pPr>
          </w:p>
        </w:tc>
        <w:tc>
          <w:tcPr>
            <w:tcW w:w="822" w:type="dxa"/>
          </w:tcPr>
          <w:p w14:paraId="6EE29537" w14:textId="77777777" w:rsidR="00917E4B" w:rsidRPr="008A2E5A" w:rsidRDefault="00917E4B" w:rsidP="004C5D62">
            <w:pPr>
              <w:spacing w:after="0" w:line="240" w:lineRule="auto"/>
              <w:jc w:val="both"/>
              <w:rPr>
                <w:color w:val="0070C0"/>
                <w:sz w:val="16"/>
                <w:szCs w:val="16"/>
              </w:rPr>
            </w:pPr>
          </w:p>
        </w:tc>
        <w:tc>
          <w:tcPr>
            <w:tcW w:w="822" w:type="dxa"/>
          </w:tcPr>
          <w:p w14:paraId="05835406" w14:textId="77777777" w:rsidR="00917E4B" w:rsidRPr="008A2E5A" w:rsidRDefault="00917E4B" w:rsidP="004C5D62">
            <w:pPr>
              <w:spacing w:after="0" w:line="240" w:lineRule="auto"/>
              <w:jc w:val="both"/>
              <w:rPr>
                <w:color w:val="0070C0"/>
                <w:sz w:val="16"/>
                <w:szCs w:val="16"/>
              </w:rPr>
            </w:pPr>
          </w:p>
        </w:tc>
        <w:tc>
          <w:tcPr>
            <w:tcW w:w="822" w:type="dxa"/>
          </w:tcPr>
          <w:p w14:paraId="1A3B132B" w14:textId="77777777" w:rsidR="00917E4B" w:rsidRPr="008A2E5A" w:rsidRDefault="00917E4B" w:rsidP="004C5D62">
            <w:pPr>
              <w:spacing w:after="0" w:line="240" w:lineRule="auto"/>
              <w:jc w:val="both"/>
              <w:rPr>
                <w:color w:val="0070C0"/>
                <w:sz w:val="16"/>
                <w:szCs w:val="16"/>
              </w:rPr>
            </w:pPr>
          </w:p>
        </w:tc>
      </w:tr>
      <w:tr w:rsidR="00917E4B" w:rsidRPr="008A2E5A" w14:paraId="18BE851C" w14:textId="77777777" w:rsidTr="004C5D62">
        <w:tc>
          <w:tcPr>
            <w:tcW w:w="821" w:type="dxa"/>
          </w:tcPr>
          <w:p w14:paraId="2CF9F517"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пулеметов дп</w:t>
            </w:r>
          </w:p>
        </w:tc>
        <w:tc>
          <w:tcPr>
            <w:tcW w:w="821" w:type="dxa"/>
          </w:tcPr>
          <w:p w14:paraId="0C3C337F" w14:textId="77777777" w:rsidR="00917E4B" w:rsidRPr="008A2E5A" w:rsidRDefault="00917E4B" w:rsidP="004C5D62">
            <w:pPr>
              <w:spacing w:after="0" w:line="240" w:lineRule="auto"/>
              <w:jc w:val="both"/>
              <w:rPr>
                <w:color w:val="0070C0"/>
                <w:sz w:val="16"/>
                <w:szCs w:val="16"/>
              </w:rPr>
            </w:pPr>
            <w:r w:rsidRPr="008A2E5A">
              <w:rPr>
                <w:color w:val="0070C0"/>
                <w:sz w:val="16"/>
                <w:szCs w:val="16"/>
              </w:rPr>
              <w:t>7500</w:t>
            </w:r>
          </w:p>
        </w:tc>
        <w:tc>
          <w:tcPr>
            <w:tcW w:w="821" w:type="dxa"/>
          </w:tcPr>
          <w:p w14:paraId="7C905531" w14:textId="77777777" w:rsidR="00917E4B" w:rsidRPr="008A2E5A" w:rsidRDefault="00917E4B" w:rsidP="004C5D62">
            <w:pPr>
              <w:spacing w:after="0" w:line="240" w:lineRule="auto"/>
              <w:jc w:val="both"/>
              <w:rPr>
                <w:color w:val="0070C0"/>
                <w:sz w:val="16"/>
                <w:szCs w:val="16"/>
              </w:rPr>
            </w:pPr>
            <w:r w:rsidRPr="008A2E5A">
              <w:rPr>
                <w:color w:val="0070C0"/>
                <w:sz w:val="16"/>
                <w:szCs w:val="16"/>
              </w:rPr>
              <w:t>6666</w:t>
            </w:r>
          </w:p>
        </w:tc>
        <w:tc>
          <w:tcPr>
            <w:tcW w:w="821" w:type="dxa"/>
          </w:tcPr>
          <w:p w14:paraId="482132A2"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2" w:type="dxa"/>
          </w:tcPr>
          <w:p w14:paraId="3CA0582E" w14:textId="77777777" w:rsidR="00917E4B" w:rsidRPr="008A2E5A" w:rsidRDefault="00917E4B" w:rsidP="004C5D62">
            <w:pPr>
              <w:spacing w:after="0" w:line="240" w:lineRule="auto"/>
              <w:jc w:val="both"/>
              <w:rPr>
                <w:color w:val="0070C0"/>
                <w:sz w:val="16"/>
                <w:szCs w:val="16"/>
              </w:rPr>
            </w:pPr>
            <w:r w:rsidRPr="008A2E5A">
              <w:rPr>
                <w:color w:val="0070C0"/>
                <w:sz w:val="16"/>
                <w:szCs w:val="16"/>
              </w:rPr>
              <w:t>9158</w:t>
            </w:r>
          </w:p>
        </w:tc>
        <w:tc>
          <w:tcPr>
            <w:tcW w:w="822" w:type="dxa"/>
          </w:tcPr>
          <w:p w14:paraId="6E63A2B1"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2" w:type="dxa"/>
          </w:tcPr>
          <w:p w14:paraId="7F65532A" w14:textId="77777777" w:rsidR="00917E4B" w:rsidRPr="008A2E5A" w:rsidRDefault="00917E4B" w:rsidP="004C5D62">
            <w:pPr>
              <w:spacing w:after="0" w:line="240" w:lineRule="auto"/>
              <w:jc w:val="both"/>
              <w:rPr>
                <w:color w:val="0070C0"/>
                <w:sz w:val="16"/>
                <w:szCs w:val="16"/>
              </w:rPr>
            </w:pPr>
            <w:r w:rsidRPr="008A2E5A">
              <w:rPr>
                <w:color w:val="0070C0"/>
                <w:sz w:val="16"/>
                <w:szCs w:val="16"/>
              </w:rPr>
              <w:t>13 964</w:t>
            </w:r>
          </w:p>
        </w:tc>
        <w:tc>
          <w:tcPr>
            <w:tcW w:w="822" w:type="dxa"/>
          </w:tcPr>
          <w:p w14:paraId="6D345DA1" w14:textId="77777777" w:rsidR="00917E4B" w:rsidRPr="008A2E5A" w:rsidRDefault="00917E4B" w:rsidP="004C5D62">
            <w:pPr>
              <w:spacing w:after="0" w:line="240" w:lineRule="auto"/>
              <w:jc w:val="both"/>
              <w:rPr>
                <w:color w:val="0070C0"/>
                <w:sz w:val="16"/>
                <w:szCs w:val="16"/>
              </w:rPr>
            </w:pPr>
            <w:r w:rsidRPr="008A2E5A">
              <w:rPr>
                <w:color w:val="0070C0"/>
                <w:sz w:val="16"/>
                <w:szCs w:val="16"/>
              </w:rPr>
              <w:t>43 200</w:t>
            </w:r>
          </w:p>
        </w:tc>
        <w:tc>
          <w:tcPr>
            <w:tcW w:w="822" w:type="dxa"/>
          </w:tcPr>
          <w:p w14:paraId="0CF8CE92" w14:textId="77777777" w:rsidR="00917E4B" w:rsidRPr="008A2E5A" w:rsidRDefault="00917E4B" w:rsidP="004C5D62">
            <w:pPr>
              <w:spacing w:after="0" w:line="240" w:lineRule="auto"/>
              <w:jc w:val="both"/>
              <w:rPr>
                <w:color w:val="0070C0"/>
                <w:sz w:val="16"/>
                <w:szCs w:val="16"/>
              </w:rPr>
            </w:pPr>
            <w:r w:rsidRPr="008A2E5A">
              <w:rPr>
                <w:color w:val="0070C0"/>
                <w:sz w:val="16"/>
                <w:szCs w:val="16"/>
              </w:rPr>
              <w:t>45 248</w:t>
            </w:r>
          </w:p>
        </w:tc>
        <w:tc>
          <w:tcPr>
            <w:tcW w:w="822" w:type="dxa"/>
          </w:tcPr>
          <w:p w14:paraId="40196BDD" w14:textId="77777777" w:rsidR="00917E4B" w:rsidRPr="008A2E5A" w:rsidRDefault="00917E4B" w:rsidP="004C5D62">
            <w:pPr>
              <w:spacing w:after="0" w:line="240" w:lineRule="auto"/>
              <w:jc w:val="both"/>
              <w:rPr>
                <w:color w:val="0070C0"/>
                <w:sz w:val="16"/>
                <w:szCs w:val="16"/>
              </w:rPr>
            </w:pPr>
          </w:p>
        </w:tc>
        <w:tc>
          <w:tcPr>
            <w:tcW w:w="822" w:type="dxa"/>
          </w:tcPr>
          <w:p w14:paraId="2A4BD94C" w14:textId="77777777" w:rsidR="00917E4B" w:rsidRPr="008A2E5A" w:rsidRDefault="00917E4B" w:rsidP="004C5D62">
            <w:pPr>
              <w:spacing w:after="0" w:line="240" w:lineRule="auto"/>
              <w:jc w:val="both"/>
              <w:rPr>
                <w:color w:val="0070C0"/>
                <w:sz w:val="16"/>
                <w:szCs w:val="16"/>
              </w:rPr>
            </w:pPr>
          </w:p>
        </w:tc>
        <w:tc>
          <w:tcPr>
            <w:tcW w:w="822" w:type="dxa"/>
          </w:tcPr>
          <w:p w14:paraId="3ADC148C" w14:textId="77777777" w:rsidR="00917E4B" w:rsidRPr="008A2E5A" w:rsidRDefault="00917E4B" w:rsidP="004C5D62">
            <w:pPr>
              <w:spacing w:after="0" w:line="240" w:lineRule="auto"/>
              <w:jc w:val="both"/>
              <w:rPr>
                <w:color w:val="0070C0"/>
                <w:sz w:val="16"/>
                <w:szCs w:val="16"/>
              </w:rPr>
            </w:pPr>
          </w:p>
        </w:tc>
        <w:tc>
          <w:tcPr>
            <w:tcW w:w="822" w:type="dxa"/>
          </w:tcPr>
          <w:p w14:paraId="280D13D4" w14:textId="77777777" w:rsidR="00917E4B" w:rsidRPr="008A2E5A" w:rsidRDefault="00917E4B" w:rsidP="004C5D62">
            <w:pPr>
              <w:spacing w:after="0" w:line="240" w:lineRule="auto"/>
              <w:jc w:val="both"/>
              <w:rPr>
                <w:color w:val="0070C0"/>
                <w:sz w:val="16"/>
                <w:szCs w:val="16"/>
              </w:rPr>
            </w:pPr>
          </w:p>
        </w:tc>
      </w:tr>
      <w:tr w:rsidR="00917E4B" w:rsidRPr="008A2E5A" w14:paraId="3419E20A" w14:textId="77777777" w:rsidTr="004C5D62">
        <w:tc>
          <w:tcPr>
            <w:tcW w:w="821" w:type="dxa"/>
          </w:tcPr>
          <w:p w14:paraId="60053586"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пулеметов ДТ</w:t>
            </w:r>
          </w:p>
        </w:tc>
        <w:tc>
          <w:tcPr>
            <w:tcW w:w="821" w:type="dxa"/>
          </w:tcPr>
          <w:p w14:paraId="42E331EB"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4000</w:t>
            </w:r>
          </w:p>
        </w:tc>
        <w:tc>
          <w:tcPr>
            <w:tcW w:w="821" w:type="dxa"/>
          </w:tcPr>
          <w:p w14:paraId="20FECEDA"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4007</w:t>
            </w:r>
          </w:p>
        </w:tc>
        <w:tc>
          <w:tcPr>
            <w:tcW w:w="821" w:type="dxa"/>
          </w:tcPr>
          <w:p w14:paraId="6A5249CC"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2500</w:t>
            </w:r>
          </w:p>
        </w:tc>
        <w:tc>
          <w:tcPr>
            <w:tcW w:w="822" w:type="dxa"/>
          </w:tcPr>
          <w:p w14:paraId="71E617AF" w14:textId="77777777" w:rsidR="00917E4B" w:rsidRPr="008A2E5A" w:rsidRDefault="00917E4B" w:rsidP="004C5D62">
            <w:pPr>
              <w:spacing w:after="0" w:line="240" w:lineRule="auto"/>
              <w:jc w:val="both"/>
              <w:rPr>
                <w:color w:val="0070C0"/>
                <w:sz w:val="16"/>
                <w:szCs w:val="16"/>
              </w:rPr>
            </w:pPr>
            <w:r w:rsidRPr="008A2E5A">
              <w:rPr>
                <w:color w:val="0070C0"/>
                <w:sz w:val="16"/>
                <w:szCs w:val="16"/>
              </w:rPr>
              <w:t>2858</w:t>
            </w:r>
          </w:p>
        </w:tc>
        <w:tc>
          <w:tcPr>
            <w:tcW w:w="822" w:type="dxa"/>
          </w:tcPr>
          <w:p w14:paraId="23278917"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3000</w:t>
            </w:r>
          </w:p>
        </w:tc>
        <w:tc>
          <w:tcPr>
            <w:tcW w:w="822" w:type="dxa"/>
          </w:tcPr>
          <w:p w14:paraId="3EC2FC37" w14:textId="77777777" w:rsidR="00917E4B" w:rsidRPr="008A2E5A" w:rsidRDefault="00917E4B" w:rsidP="004C5D62">
            <w:pPr>
              <w:spacing w:after="0" w:line="240" w:lineRule="auto"/>
              <w:jc w:val="both"/>
              <w:rPr>
                <w:color w:val="0070C0"/>
                <w:sz w:val="16"/>
                <w:szCs w:val="16"/>
              </w:rPr>
            </w:pPr>
            <w:r w:rsidRPr="008A2E5A">
              <w:rPr>
                <w:color w:val="0070C0"/>
                <w:sz w:val="16"/>
                <w:szCs w:val="16"/>
              </w:rPr>
              <w:t>3020</w:t>
            </w:r>
          </w:p>
        </w:tc>
        <w:tc>
          <w:tcPr>
            <w:tcW w:w="822" w:type="dxa"/>
          </w:tcPr>
          <w:p w14:paraId="5952A10C" w14:textId="77777777" w:rsidR="00917E4B" w:rsidRPr="008A2E5A" w:rsidRDefault="00917E4B" w:rsidP="004C5D62">
            <w:pPr>
              <w:spacing w:after="0" w:line="240" w:lineRule="auto"/>
              <w:jc w:val="both"/>
              <w:rPr>
                <w:color w:val="0070C0"/>
                <w:sz w:val="16"/>
                <w:szCs w:val="16"/>
              </w:rPr>
            </w:pPr>
            <w:r w:rsidRPr="008A2E5A">
              <w:rPr>
                <w:color w:val="0070C0"/>
                <w:sz w:val="16"/>
                <w:szCs w:val="16"/>
              </w:rPr>
              <w:t>23 500</w:t>
            </w:r>
          </w:p>
        </w:tc>
        <w:tc>
          <w:tcPr>
            <w:tcW w:w="822" w:type="dxa"/>
          </w:tcPr>
          <w:p w14:paraId="51F925BF" w14:textId="77777777" w:rsidR="00917E4B" w:rsidRPr="008A2E5A" w:rsidRDefault="00917E4B" w:rsidP="004C5D62">
            <w:pPr>
              <w:spacing w:after="0" w:line="240" w:lineRule="auto"/>
              <w:jc w:val="both"/>
              <w:rPr>
                <w:color w:val="0070C0"/>
                <w:sz w:val="16"/>
                <w:szCs w:val="16"/>
              </w:rPr>
            </w:pPr>
            <w:r w:rsidRPr="008A2E5A">
              <w:rPr>
                <w:color w:val="0070C0"/>
                <w:sz w:val="16"/>
                <w:szCs w:val="16"/>
              </w:rPr>
              <w:t>19 144</w:t>
            </w:r>
          </w:p>
        </w:tc>
        <w:tc>
          <w:tcPr>
            <w:tcW w:w="822" w:type="dxa"/>
          </w:tcPr>
          <w:p w14:paraId="5E29E8CD" w14:textId="77777777" w:rsidR="00917E4B" w:rsidRPr="008A2E5A" w:rsidRDefault="00917E4B" w:rsidP="004C5D62">
            <w:pPr>
              <w:spacing w:after="0" w:line="240" w:lineRule="auto"/>
              <w:jc w:val="both"/>
              <w:rPr>
                <w:color w:val="0070C0"/>
                <w:sz w:val="16"/>
                <w:szCs w:val="16"/>
              </w:rPr>
            </w:pPr>
          </w:p>
        </w:tc>
        <w:tc>
          <w:tcPr>
            <w:tcW w:w="822" w:type="dxa"/>
          </w:tcPr>
          <w:p w14:paraId="08D4E734" w14:textId="77777777" w:rsidR="00917E4B" w:rsidRPr="008A2E5A" w:rsidRDefault="00917E4B" w:rsidP="004C5D62">
            <w:pPr>
              <w:spacing w:after="0" w:line="240" w:lineRule="auto"/>
              <w:jc w:val="both"/>
              <w:rPr>
                <w:color w:val="0070C0"/>
                <w:sz w:val="16"/>
                <w:szCs w:val="16"/>
              </w:rPr>
            </w:pPr>
          </w:p>
        </w:tc>
        <w:tc>
          <w:tcPr>
            <w:tcW w:w="822" w:type="dxa"/>
          </w:tcPr>
          <w:p w14:paraId="6AB66A7D" w14:textId="77777777" w:rsidR="00917E4B" w:rsidRPr="008A2E5A" w:rsidRDefault="00917E4B" w:rsidP="004C5D62">
            <w:pPr>
              <w:spacing w:after="0" w:line="240" w:lineRule="auto"/>
              <w:jc w:val="both"/>
              <w:rPr>
                <w:color w:val="0070C0"/>
                <w:sz w:val="16"/>
                <w:szCs w:val="16"/>
              </w:rPr>
            </w:pPr>
          </w:p>
        </w:tc>
        <w:tc>
          <w:tcPr>
            <w:tcW w:w="822" w:type="dxa"/>
          </w:tcPr>
          <w:p w14:paraId="73202AE1" w14:textId="77777777" w:rsidR="00917E4B" w:rsidRPr="008A2E5A" w:rsidRDefault="00917E4B" w:rsidP="004C5D62">
            <w:pPr>
              <w:spacing w:after="0" w:line="240" w:lineRule="auto"/>
              <w:jc w:val="both"/>
              <w:rPr>
                <w:color w:val="0070C0"/>
                <w:sz w:val="16"/>
                <w:szCs w:val="16"/>
              </w:rPr>
            </w:pPr>
          </w:p>
        </w:tc>
      </w:tr>
      <w:tr w:rsidR="00917E4B" w:rsidRPr="008A2E5A" w14:paraId="129C80E2" w14:textId="77777777" w:rsidTr="004C5D62">
        <w:tc>
          <w:tcPr>
            <w:tcW w:w="821" w:type="dxa"/>
          </w:tcPr>
          <w:p w14:paraId="60016D7A"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пулеметов «Максим»</w:t>
            </w:r>
          </w:p>
        </w:tc>
        <w:tc>
          <w:tcPr>
            <w:tcW w:w="821" w:type="dxa"/>
          </w:tcPr>
          <w:p w14:paraId="31D1C4FA"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6000</w:t>
            </w:r>
          </w:p>
        </w:tc>
        <w:tc>
          <w:tcPr>
            <w:tcW w:w="821" w:type="dxa"/>
          </w:tcPr>
          <w:p w14:paraId="577E74A0" w14:textId="77777777" w:rsidR="00917E4B" w:rsidRPr="008A2E5A" w:rsidRDefault="00917E4B" w:rsidP="004C5D62">
            <w:pPr>
              <w:spacing w:after="0" w:line="240" w:lineRule="auto"/>
              <w:jc w:val="both"/>
              <w:rPr>
                <w:color w:val="0070C0"/>
                <w:sz w:val="16"/>
                <w:szCs w:val="16"/>
              </w:rPr>
            </w:pPr>
            <w:r w:rsidRPr="008A2E5A">
              <w:rPr>
                <w:color w:val="0070C0"/>
                <w:sz w:val="16"/>
                <w:szCs w:val="16"/>
              </w:rPr>
              <w:t>855</w:t>
            </w:r>
          </w:p>
        </w:tc>
        <w:tc>
          <w:tcPr>
            <w:tcW w:w="821" w:type="dxa"/>
          </w:tcPr>
          <w:p w14:paraId="294CF4BE"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0855F5F8" w14:textId="77777777" w:rsidR="00917E4B" w:rsidRPr="008A2E5A" w:rsidRDefault="00917E4B" w:rsidP="004C5D62">
            <w:pPr>
              <w:spacing w:after="0" w:line="240" w:lineRule="auto"/>
              <w:jc w:val="both"/>
              <w:rPr>
                <w:color w:val="0070C0"/>
                <w:sz w:val="16"/>
                <w:szCs w:val="16"/>
              </w:rPr>
            </w:pPr>
            <w:r w:rsidRPr="008A2E5A">
              <w:rPr>
                <w:color w:val="0070C0"/>
                <w:sz w:val="16"/>
                <w:szCs w:val="16"/>
              </w:rPr>
              <w:t>• __ j</w:t>
            </w:r>
          </w:p>
        </w:tc>
        <w:tc>
          <w:tcPr>
            <w:tcW w:w="822" w:type="dxa"/>
          </w:tcPr>
          <w:p w14:paraId="64C9CF82"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2000</w:t>
            </w:r>
          </w:p>
        </w:tc>
        <w:tc>
          <w:tcPr>
            <w:tcW w:w="822" w:type="dxa"/>
          </w:tcPr>
          <w:p w14:paraId="2D2A92B5" w14:textId="77777777" w:rsidR="00917E4B" w:rsidRPr="008A2E5A" w:rsidRDefault="00917E4B" w:rsidP="004C5D62">
            <w:pPr>
              <w:spacing w:after="0" w:line="240" w:lineRule="auto"/>
              <w:jc w:val="both"/>
              <w:rPr>
                <w:color w:val="0070C0"/>
                <w:sz w:val="16"/>
                <w:szCs w:val="16"/>
              </w:rPr>
            </w:pPr>
            <w:r w:rsidRPr="008A2E5A">
              <w:rPr>
                <w:color w:val="0070C0"/>
                <w:sz w:val="16"/>
                <w:szCs w:val="16"/>
              </w:rPr>
              <w:t>102</w:t>
            </w:r>
          </w:p>
        </w:tc>
        <w:tc>
          <w:tcPr>
            <w:tcW w:w="822" w:type="dxa"/>
          </w:tcPr>
          <w:p w14:paraId="554AF37B" w14:textId="77777777" w:rsidR="00917E4B" w:rsidRPr="008A2E5A" w:rsidRDefault="00917E4B" w:rsidP="004C5D62">
            <w:pPr>
              <w:spacing w:after="0" w:line="240" w:lineRule="auto"/>
              <w:jc w:val="both"/>
              <w:rPr>
                <w:color w:val="0070C0"/>
                <w:sz w:val="16"/>
                <w:szCs w:val="16"/>
              </w:rPr>
            </w:pPr>
            <w:r w:rsidRPr="008A2E5A">
              <w:rPr>
                <w:color w:val="0070C0"/>
                <w:sz w:val="16"/>
                <w:szCs w:val="16"/>
              </w:rPr>
              <w:t>15 800</w:t>
            </w:r>
          </w:p>
        </w:tc>
        <w:tc>
          <w:tcPr>
            <w:tcW w:w="822" w:type="dxa"/>
          </w:tcPr>
          <w:p w14:paraId="376BABB2" w14:textId="77777777" w:rsidR="00917E4B" w:rsidRPr="008A2E5A" w:rsidRDefault="00917E4B" w:rsidP="004C5D62">
            <w:pPr>
              <w:spacing w:after="0" w:line="240" w:lineRule="auto"/>
              <w:jc w:val="both"/>
              <w:rPr>
                <w:color w:val="0070C0"/>
                <w:sz w:val="16"/>
                <w:szCs w:val="16"/>
              </w:rPr>
            </w:pPr>
            <w:r w:rsidRPr="008A2E5A">
              <w:rPr>
                <w:color w:val="0070C0"/>
                <w:sz w:val="16"/>
                <w:szCs w:val="16"/>
              </w:rPr>
              <w:t>7559</w:t>
            </w:r>
          </w:p>
        </w:tc>
        <w:tc>
          <w:tcPr>
            <w:tcW w:w="822" w:type="dxa"/>
          </w:tcPr>
          <w:p w14:paraId="38A6A8BA" w14:textId="77777777" w:rsidR="00917E4B" w:rsidRPr="008A2E5A" w:rsidRDefault="00917E4B" w:rsidP="004C5D62">
            <w:pPr>
              <w:spacing w:after="0" w:line="240" w:lineRule="auto"/>
              <w:jc w:val="both"/>
              <w:rPr>
                <w:color w:val="0070C0"/>
                <w:sz w:val="16"/>
                <w:szCs w:val="16"/>
              </w:rPr>
            </w:pPr>
          </w:p>
        </w:tc>
        <w:tc>
          <w:tcPr>
            <w:tcW w:w="822" w:type="dxa"/>
          </w:tcPr>
          <w:p w14:paraId="6CA3B1F9" w14:textId="77777777" w:rsidR="00917E4B" w:rsidRPr="008A2E5A" w:rsidRDefault="00917E4B" w:rsidP="004C5D62">
            <w:pPr>
              <w:spacing w:after="0" w:line="240" w:lineRule="auto"/>
              <w:jc w:val="both"/>
              <w:rPr>
                <w:color w:val="0070C0"/>
                <w:sz w:val="16"/>
                <w:szCs w:val="16"/>
              </w:rPr>
            </w:pPr>
          </w:p>
        </w:tc>
        <w:tc>
          <w:tcPr>
            <w:tcW w:w="822" w:type="dxa"/>
          </w:tcPr>
          <w:p w14:paraId="5EEF8575" w14:textId="77777777" w:rsidR="00917E4B" w:rsidRPr="008A2E5A" w:rsidRDefault="00917E4B" w:rsidP="004C5D62">
            <w:pPr>
              <w:spacing w:after="0" w:line="240" w:lineRule="auto"/>
              <w:jc w:val="both"/>
              <w:rPr>
                <w:color w:val="0070C0"/>
                <w:sz w:val="16"/>
                <w:szCs w:val="16"/>
              </w:rPr>
            </w:pPr>
          </w:p>
        </w:tc>
        <w:tc>
          <w:tcPr>
            <w:tcW w:w="822" w:type="dxa"/>
          </w:tcPr>
          <w:p w14:paraId="25DFB7D7" w14:textId="77777777" w:rsidR="00917E4B" w:rsidRPr="008A2E5A" w:rsidRDefault="00917E4B" w:rsidP="004C5D62">
            <w:pPr>
              <w:spacing w:after="0" w:line="240" w:lineRule="auto"/>
              <w:jc w:val="both"/>
              <w:rPr>
                <w:color w:val="0070C0"/>
                <w:sz w:val="16"/>
                <w:szCs w:val="16"/>
              </w:rPr>
            </w:pPr>
          </w:p>
        </w:tc>
      </w:tr>
      <w:tr w:rsidR="00917E4B" w:rsidRPr="008A2E5A" w14:paraId="57B41E36" w14:textId="77777777" w:rsidTr="004C5D62">
        <w:tc>
          <w:tcPr>
            <w:tcW w:w="821" w:type="dxa"/>
          </w:tcPr>
          <w:p w14:paraId="19092669"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пулеметов ДС обр. 1939 г.</w:t>
            </w:r>
          </w:p>
        </w:tc>
        <w:tc>
          <w:tcPr>
            <w:tcW w:w="821" w:type="dxa"/>
          </w:tcPr>
          <w:p w14:paraId="0F13487D" w14:textId="77777777" w:rsidR="00917E4B" w:rsidRPr="008A2E5A" w:rsidRDefault="00917E4B" w:rsidP="004C5D62">
            <w:pPr>
              <w:spacing w:after="0" w:line="240" w:lineRule="auto"/>
              <w:jc w:val="both"/>
              <w:rPr>
                <w:color w:val="0070C0"/>
                <w:sz w:val="16"/>
                <w:szCs w:val="16"/>
              </w:rPr>
            </w:pPr>
          </w:p>
        </w:tc>
        <w:tc>
          <w:tcPr>
            <w:tcW w:w="821" w:type="dxa"/>
          </w:tcPr>
          <w:p w14:paraId="71D09BAE" w14:textId="77777777" w:rsidR="00917E4B" w:rsidRPr="008A2E5A" w:rsidRDefault="00917E4B" w:rsidP="004C5D62">
            <w:pPr>
              <w:spacing w:after="0" w:line="240" w:lineRule="auto"/>
              <w:jc w:val="both"/>
              <w:rPr>
                <w:color w:val="0070C0"/>
                <w:sz w:val="16"/>
                <w:szCs w:val="16"/>
              </w:rPr>
            </w:pPr>
          </w:p>
        </w:tc>
        <w:tc>
          <w:tcPr>
            <w:tcW w:w="821" w:type="dxa"/>
          </w:tcPr>
          <w:p w14:paraId="6AF14BDC" w14:textId="77777777" w:rsidR="00917E4B" w:rsidRPr="008A2E5A" w:rsidRDefault="00917E4B" w:rsidP="004C5D62">
            <w:pPr>
              <w:spacing w:after="0" w:line="240" w:lineRule="auto"/>
              <w:jc w:val="both"/>
              <w:rPr>
                <w:color w:val="0070C0"/>
                <w:sz w:val="16"/>
                <w:szCs w:val="16"/>
              </w:rPr>
            </w:pPr>
          </w:p>
        </w:tc>
        <w:tc>
          <w:tcPr>
            <w:tcW w:w="822" w:type="dxa"/>
          </w:tcPr>
          <w:p w14:paraId="45F81542" w14:textId="77777777" w:rsidR="00917E4B" w:rsidRPr="008A2E5A" w:rsidRDefault="00917E4B" w:rsidP="004C5D62">
            <w:pPr>
              <w:spacing w:after="0" w:line="240" w:lineRule="auto"/>
              <w:jc w:val="both"/>
              <w:rPr>
                <w:color w:val="0070C0"/>
                <w:sz w:val="16"/>
                <w:szCs w:val="16"/>
              </w:rPr>
            </w:pPr>
          </w:p>
        </w:tc>
        <w:tc>
          <w:tcPr>
            <w:tcW w:w="822" w:type="dxa"/>
          </w:tcPr>
          <w:p w14:paraId="595452D3" w14:textId="77777777" w:rsidR="00917E4B" w:rsidRPr="008A2E5A" w:rsidRDefault="00917E4B" w:rsidP="004C5D62">
            <w:pPr>
              <w:spacing w:after="0" w:line="240" w:lineRule="auto"/>
              <w:jc w:val="both"/>
              <w:rPr>
                <w:color w:val="0070C0"/>
                <w:sz w:val="16"/>
                <w:szCs w:val="16"/>
              </w:rPr>
            </w:pPr>
          </w:p>
        </w:tc>
        <w:tc>
          <w:tcPr>
            <w:tcW w:w="822" w:type="dxa"/>
          </w:tcPr>
          <w:p w14:paraId="12FA5E4B" w14:textId="77777777" w:rsidR="00917E4B" w:rsidRPr="008A2E5A" w:rsidRDefault="00917E4B" w:rsidP="004C5D62">
            <w:pPr>
              <w:spacing w:after="0" w:line="240" w:lineRule="auto"/>
              <w:jc w:val="both"/>
              <w:rPr>
                <w:color w:val="0070C0"/>
                <w:sz w:val="16"/>
                <w:szCs w:val="16"/>
              </w:rPr>
            </w:pPr>
          </w:p>
        </w:tc>
        <w:tc>
          <w:tcPr>
            <w:tcW w:w="822" w:type="dxa"/>
          </w:tcPr>
          <w:p w14:paraId="2A001D78" w14:textId="77777777" w:rsidR="00917E4B" w:rsidRPr="008A2E5A" w:rsidRDefault="00917E4B" w:rsidP="004C5D62">
            <w:pPr>
              <w:spacing w:after="0" w:line="240" w:lineRule="auto"/>
              <w:jc w:val="both"/>
              <w:rPr>
                <w:color w:val="0070C0"/>
                <w:sz w:val="16"/>
                <w:szCs w:val="16"/>
              </w:rPr>
            </w:pPr>
          </w:p>
        </w:tc>
        <w:tc>
          <w:tcPr>
            <w:tcW w:w="822" w:type="dxa"/>
          </w:tcPr>
          <w:p w14:paraId="61773D3D" w14:textId="77777777" w:rsidR="00917E4B" w:rsidRPr="008A2E5A" w:rsidRDefault="00917E4B" w:rsidP="004C5D62">
            <w:pPr>
              <w:spacing w:after="0" w:line="240" w:lineRule="auto"/>
              <w:jc w:val="both"/>
              <w:rPr>
                <w:color w:val="0070C0"/>
                <w:sz w:val="16"/>
                <w:szCs w:val="16"/>
              </w:rPr>
            </w:pPr>
          </w:p>
        </w:tc>
        <w:tc>
          <w:tcPr>
            <w:tcW w:w="822" w:type="dxa"/>
          </w:tcPr>
          <w:p w14:paraId="3675334A"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2" w:type="dxa"/>
          </w:tcPr>
          <w:p w14:paraId="493D6776"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2" w:type="dxa"/>
          </w:tcPr>
          <w:p w14:paraId="53B701F1" w14:textId="77777777" w:rsidR="00917E4B" w:rsidRPr="008A2E5A" w:rsidRDefault="00917E4B" w:rsidP="004C5D62">
            <w:pPr>
              <w:spacing w:after="0" w:line="240" w:lineRule="auto"/>
              <w:jc w:val="both"/>
              <w:rPr>
                <w:color w:val="0070C0"/>
                <w:sz w:val="16"/>
                <w:szCs w:val="16"/>
              </w:rPr>
            </w:pPr>
          </w:p>
        </w:tc>
        <w:tc>
          <w:tcPr>
            <w:tcW w:w="822" w:type="dxa"/>
          </w:tcPr>
          <w:p w14:paraId="2ED25FDB" w14:textId="77777777" w:rsidR="00917E4B" w:rsidRPr="008A2E5A" w:rsidRDefault="00917E4B" w:rsidP="004C5D62">
            <w:pPr>
              <w:spacing w:after="0" w:line="240" w:lineRule="auto"/>
              <w:jc w:val="both"/>
              <w:rPr>
                <w:color w:val="0070C0"/>
                <w:sz w:val="16"/>
                <w:szCs w:val="16"/>
              </w:rPr>
            </w:pPr>
          </w:p>
        </w:tc>
      </w:tr>
      <w:tr w:rsidR="00917E4B" w:rsidRPr="008A2E5A" w14:paraId="5E70E7CF" w14:textId="77777777" w:rsidTr="004C5D62">
        <w:tc>
          <w:tcPr>
            <w:tcW w:w="821" w:type="dxa"/>
          </w:tcPr>
          <w:p w14:paraId="33F7ECA9"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12,7-мм пулеметов ДШК н/ст.</w:t>
            </w:r>
          </w:p>
        </w:tc>
        <w:tc>
          <w:tcPr>
            <w:tcW w:w="821" w:type="dxa"/>
          </w:tcPr>
          <w:p w14:paraId="493EF094" w14:textId="77777777" w:rsidR="00917E4B" w:rsidRPr="008A2E5A" w:rsidRDefault="00917E4B" w:rsidP="004C5D62">
            <w:pPr>
              <w:spacing w:after="0" w:line="240" w:lineRule="auto"/>
              <w:jc w:val="both"/>
              <w:rPr>
                <w:color w:val="0070C0"/>
                <w:sz w:val="16"/>
                <w:szCs w:val="16"/>
              </w:rPr>
            </w:pPr>
            <w:r w:rsidRPr="008A2E5A">
              <w:rPr>
                <w:color w:val="0070C0"/>
                <w:sz w:val="16"/>
                <w:szCs w:val="16"/>
              </w:rPr>
              <w:t>500</w:t>
            </w:r>
          </w:p>
        </w:tc>
        <w:tc>
          <w:tcPr>
            <w:tcW w:w="821" w:type="dxa"/>
          </w:tcPr>
          <w:p w14:paraId="0EA027CC" w14:textId="77777777" w:rsidR="00917E4B" w:rsidRPr="008A2E5A" w:rsidRDefault="00917E4B" w:rsidP="004C5D62">
            <w:pPr>
              <w:spacing w:after="0" w:line="240" w:lineRule="auto"/>
              <w:jc w:val="both"/>
              <w:rPr>
                <w:color w:val="0070C0"/>
                <w:sz w:val="16"/>
                <w:szCs w:val="16"/>
              </w:rPr>
            </w:pPr>
            <w:r w:rsidRPr="008A2E5A">
              <w:rPr>
                <w:color w:val="0070C0"/>
                <w:sz w:val="16"/>
                <w:szCs w:val="16"/>
              </w:rPr>
              <w:t>77</w:t>
            </w:r>
          </w:p>
        </w:tc>
        <w:tc>
          <w:tcPr>
            <w:tcW w:w="821" w:type="dxa"/>
          </w:tcPr>
          <w:p w14:paraId="31238245" w14:textId="77777777" w:rsidR="00917E4B" w:rsidRPr="008A2E5A" w:rsidRDefault="00917E4B" w:rsidP="004C5D62">
            <w:pPr>
              <w:spacing w:after="0" w:line="240" w:lineRule="auto"/>
              <w:jc w:val="both"/>
              <w:rPr>
                <w:color w:val="0070C0"/>
                <w:sz w:val="16"/>
                <w:szCs w:val="16"/>
              </w:rPr>
            </w:pPr>
            <w:r w:rsidRPr="008A2E5A">
              <w:rPr>
                <w:color w:val="0070C0"/>
                <w:sz w:val="16"/>
                <w:szCs w:val="16"/>
              </w:rPr>
              <w:t>50</w:t>
            </w:r>
          </w:p>
        </w:tc>
        <w:tc>
          <w:tcPr>
            <w:tcW w:w="822" w:type="dxa"/>
          </w:tcPr>
          <w:p w14:paraId="3A495DA5" w14:textId="77777777" w:rsidR="00917E4B" w:rsidRPr="008A2E5A" w:rsidRDefault="00917E4B" w:rsidP="004C5D62">
            <w:pPr>
              <w:spacing w:after="0" w:line="240" w:lineRule="auto"/>
              <w:jc w:val="both"/>
              <w:rPr>
                <w:color w:val="0070C0"/>
                <w:sz w:val="16"/>
                <w:szCs w:val="16"/>
              </w:rPr>
            </w:pPr>
            <w:r w:rsidRPr="008A2E5A">
              <w:rPr>
                <w:color w:val="0070C0"/>
                <w:sz w:val="16"/>
                <w:szCs w:val="16"/>
              </w:rPr>
              <w:t>10</w:t>
            </w:r>
          </w:p>
        </w:tc>
        <w:tc>
          <w:tcPr>
            <w:tcW w:w="822" w:type="dxa"/>
          </w:tcPr>
          <w:p w14:paraId="2B9A4ED8" w14:textId="77777777" w:rsidR="00917E4B" w:rsidRPr="008A2E5A" w:rsidRDefault="00917E4B" w:rsidP="004C5D62">
            <w:pPr>
              <w:spacing w:after="0" w:line="240" w:lineRule="auto"/>
              <w:jc w:val="both"/>
              <w:rPr>
                <w:color w:val="0070C0"/>
                <w:sz w:val="16"/>
                <w:szCs w:val="16"/>
              </w:rPr>
            </w:pPr>
            <w:r w:rsidRPr="008A2E5A">
              <w:rPr>
                <w:color w:val="0070C0"/>
                <w:sz w:val="16"/>
                <w:szCs w:val="16"/>
              </w:rPr>
              <w:t>160</w:t>
            </w:r>
          </w:p>
        </w:tc>
        <w:tc>
          <w:tcPr>
            <w:tcW w:w="822" w:type="dxa"/>
          </w:tcPr>
          <w:p w14:paraId="59CF8E62" w14:textId="77777777" w:rsidR="00917E4B" w:rsidRPr="008A2E5A" w:rsidRDefault="00917E4B" w:rsidP="004C5D62">
            <w:pPr>
              <w:spacing w:after="0" w:line="240" w:lineRule="auto"/>
              <w:jc w:val="both"/>
              <w:rPr>
                <w:color w:val="0070C0"/>
                <w:sz w:val="16"/>
                <w:szCs w:val="16"/>
              </w:rPr>
            </w:pPr>
            <w:r w:rsidRPr="008A2E5A">
              <w:rPr>
                <w:color w:val="0070C0"/>
                <w:sz w:val="16"/>
                <w:szCs w:val="16"/>
              </w:rPr>
              <w:t>30</w:t>
            </w:r>
          </w:p>
        </w:tc>
        <w:tc>
          <w:tcPr>
            <w:tcW w:w="822" w:type="dxa"/>
          </w:tcPr>
          <w:p w14:paraId="0A961E3F" w14:textId="77777777" w:rsidR="00917E4B" w:rsidRPr="008A2E5A" w:rsidRDefault="00917E4B" w:rsidP="004C5D62">
            <w:pPr>
              <w:spacing w:after="0" w:line="240" w:lineRule="auto"/>
              <w:jc w:val="both"/>
              <w:rPr>
                <w:color w:val="0070C0"/>
                <w:sz w:val="16"/>
                <w:szCs w:val="16"/>
              </w:rPr>
            </w:pPr>
            <w:r w:rsidRPr="008A2E5A">
              <w:rPr>
                <w:color w:val="0070C0"/>
                <w:sz w:val="16"/>
                <w:szCs w:val="16"/>
              </w:rPr>
              <w:t>1560</w:t>
            </w:r>
          </w:p>
        </w:tc>
        <w:tc>
          <w:tcPr>
            <w:tcW w:w="822" w:type="dxa"/>
          </w:tcPr>
          <w:p w14:paraId="3C1305CB" w14:textId="77777777" w:rsidR="00917E4B" w:rsidRPr="008A2E5A" w:rsidRDefault="00917E4B" w:rsidP="004C5D62">
            <w:pPr>
              <w:spacing w:after="0" w:line="240" w:lineRule="auto"/>
              <w:jc w:val="both"/>
              <w:rPr>
                <w:color w:val="0070C0"/>
                <w:sz w:val="16"/>
                <w:szCs w:val="16"/>
              </w:rPr>
            </w:pPr>
            <w:r w:rsidRPr="008A2E5A">
              <w:rPr>
                <w:color w:val="0070C0"/>
                <w:sz w:val="16"/>
                <w:szCs w:val="16"/>
              </w:rPr>
              <w:t>566</w:t>
            </w:r>
          </w:p>
        </w:tc>
        <w:tc>
          <w:tcPr>
            <w:tcW w:w="822" w:type="dxa"/>
          </w:tcPr>
          <w:p w14:paraId="40D20B59" w14:textId="77777777" w:rsidR="00917E4B" w:rsidRPr="008A2E5A" w:rsidRDefault="00917E4B" w:rsidP="004C5D62">
            <w:pPr>
              <w:spacing w:after="0" w:line="240" w:lineRule="auto"/>
              <w:jc w:val="both"/>
              <w:rPr>
                <w:color w:val="0070C0"/>
                <w:sz w:val="16"/>
                <w:szCs w:val="16"/>
              </w:rPr>
            </w:pPr>
          </w:p>
        </w:tc>
        <w:tc>
          <w:tcPr>
            <w:tcW w:w="822" w:type="dxa"/>
          </w:tcPr>
          <w:p w14:paraId="550A1D90" w14:textId="77777777" w:rsidR="00917E4B" w:rsidRPr="008A2E5A" w:rsidRDefault="00917E4B" w:rsidP="004C5D62">
            <w:pPr>
              <w:spacing w:after="0" w:line="240" w:lineRule="auto"/>
              <w:jc w:val="both"/>
              <w:rPr>
                <w:color w:val="0070C0"/>
                <w:sz w:val="16"/>
                <w:szCs w:val="16"/>
              </w:rPr>
            </w:pPr>
          </w:p>
        </w:tc>
        <w:tc>
          <w:tcPr>
            <w:tcW w:w="822" w:type="dxa"/>
          </w:tcPr>
          <w:p w14:paraId="001CFB0D" w14:textId="77777777" w:rsidR="00917E4B" w:rsidRPr="008A2E5A" w:rsidRDefault="00917E4B" w:rsidP="004C5D62">
            <w:pPr>
              <w:spacing w:after="0" w:line="240" w:lineRule="auto"/>
              <w:jc w:val="both"/>
              <w:rPr>
                <w:color w:val="0070C0"/>
                <w:sz w:val="16"/>
                <w:szCs w:val="16"/>
              </w:rPr>
            </w:pPr>
          </w:p>
        </w:tc>
        <w:tc>
          <w:tcPr>
            <w:tcW w:w="822" w:type="dxa"/>
          </w:tcPr>
          <w:p w14:paraId="72D7DE1D" w14:textId="77777777" w:rsidR="00917E4B" w:rsidRPr="008A2E5A" w:rsidRDefault="00917E4B" w:rsidP="004C5D62">
            <w:pPr>
              <w:spacing w:after="0" w:line="240" w:lineRule="auto"/>
              <w:jc w:val="both"/>
              <w:rPr>
                <w:color w:val="0070C0"/>
                <w:sz w:val="16"/>
                <w:szCs w:val="16"/>
              </w:rPr>
            </w:pPr>
          </w:p>
        </w:tc>
      </w:tr>
      <w:tr w:rsidR="00917E4B" w:rsidRPr="008A2E5A" w14:paraId="7DCBF1F9" w14:textId="77777777" w:rsidTr="004C5D62">
        <w:tc>
          <w:tcPr>
            <w:tcW w:w="821" w:type="dxa"/>
          </w:tcPr>
          <w:p w14:paraId="2C79E05E"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12,7-мм танковые</w:t>
            </w:r>
          </w:p>
        </w:tc>
        <w:tc>
          <w:tcPr>
            <w:tcW w:w="821" w:type="dxa"/>
          </w:tcPr>
          <w:p w14:paraId="5AA14CC4"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w:t>
            </w:r>
          </w:p>
        </w:tc>
        <w:tc>
          <w:tcPr>
            <w:tcW w:w="821" w:type="dxa"/>
          </w:tcPr>
          <w:p w14:paraId="790AD424" w14:textId="77777777" w:rsidR="00917E4B" w:rsidRPr="008A2E5A" w:rsidRDefault="00917E4B" w:rsidP="004C5D62">
            <w:pPr>
              <w:spacing w:after="0" w:line="240" w:lineRule="auto"/>
              <w:jc w:val="both"/>
              <w:rPr>
                <w:color w:val="0070C0"/>
                <w:sz w:val="16"/>
                <w:szCs w:val="16"/>
              </w:rPr>
            </w:pPr>
          </w:p>
        </w:tc>
        <w:tc>
          <w:tcPr>
            <w:tcW w:w="821" w:type="dxa"/>
          </w:tcPr>
          <w:p w14:paraId="2F795A39" w14:textId="77777777" w:rsidR="00917E4B" w:rsidRPr="008A2E5A" w:rsidRDefault="00917E4B" w:rsidP="004C5D62">
            <w:pPr>
              <w:spacing w:after="0" w:line="240" w:lineRule="auto"/>
              <w:jc w:val="both"/>
              <w:rPr>
                <w:color w:val="0070C0"/>
                <w:sz w:val="16"/>
                <w:szCs w:val="16"/>
              </w:rPr>
            </w:pPr>
          </w:p>
        </w:tc>
        <w:tc>
          <w:tcPr>
            <w:tcW w:w="822" w:type="dxa"/>
          </w:tcPr>
          <w:p w14:paraId="5D86FAF9" w14:textId="77777777" w:rsidR="00917E4B" w:rsidRPr="008A2E5A" w:rsidRDefault="00917E4B" w:rsidP="004C5D62">
            <w:pPr>
              <w:spacing w:after="0" w:line="240" w:lineRule="auto"/>
              <w:jc w:val="both"/>
              <w:rPr>
                <w:color w:val="0070C0"/>
                <w:sz w:val="16"/>
                <w:szCs w:val="16"/>
              </w:rPr>
            </w:pPr>
          </w:p>
        </w:tc>
        <w:tc>
          <w:tcPr>
            <w:tcW w:w="822" w:type="dxa"/>
          </w:tcPr>
          <w:p w14:paraId="1E56FA20" w14:textId="77777777" w:rsidR="00917E4B" w:rsidRPr="008A2E5A" w:rsidRDefault="00917E4B" w:rsidP="004C5D62">
            <w:pPr>
              <w:spacing w:after="0" w:line="240" w:lineRule="auto"/>
              <w:jc w:val="both"/>
              <w:rPr>
                <w:color w:val="0070C0"/>
                <w:sz w:val="16"/>
                <w:szCs w:val="16"/>
              </w:rPr>
            </w:pPr>
          </w:p>
        </w:tc>
        <w:tc>
          <w:tcPr>
            <w:tcW w:w="822" w:type="dxa"/>
          </w:tcPr>
          <w:p w14:paraId="09C66509" w14:textId="77777777" w:rsidR="00917E4B" w:rsidRPr="008A2E5A" w:rsidRDefault="00917E4B" w:rsidP="004C5D62">
            <w:pPr>
              <w:spacing w:after="0" w:line="240" w:lineRule="auto"/>
              <w:jc w:val="both"/>
              <w:rPr>
                <w:color w:val="0070C0"/>
                <w:sz w:val="16"/>
                <w:szCs w:val="16"/>
              </w:rPr>
            </w:pPr>
            <w:r w:rsidRPr="008A2E5A">
              <w:rPr>
                <w:color w:val="0070C0"/>
                <w:sz w:val="16"/>
                <w:szCs w:val="16"/>
              </w:rPr>
              <w:t>71</w:t>
            </w:r>
          </w:p>
        </w:tc>
        <w:tc>
          <w:tcPr>
            <w:tcW w:w="822" w:type="dxa"/>
          </w:tcPr>
          <w:p w14:paraId="1B1EC1B8"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2" w:type="dxa"/>
          </w:tcPr>
          <w:p w14:paraId="05FA7335" w14:textId="77777777" w:rsidR="00917E4B" w:rsidRPr="008A2E5A" w:rsidRDefault="00917E4B" w:rsidP="004C5D62">
            <w:pPr>
              <w:spacing w:after="0" w:line="240" w:lineRule="auto"/>
              <w:jc w:val="both"/>
              <w:rPr>
                <w:color w:val="0070C0"/>
                <w:sz w:val="16"/>
                <w:szCs w:val="16"/>
              </w:rPr>
            </w:pPr>
            <w:r w:rsidRPr="008A2E5A">
              <w:rPr>
                <w:color w:val="0070C0"/>
                <w:sz w:val="16"/>
                <w:szCs w:val="16"/>
              </w:rPr>
              <w:t>449</w:t>
            </w:r>
          </w:p>
        </w:tc>
        <w:tc>
          <w:tcPr>
            <w:tcW w:w="822" w:type="dxa"/>
          </w:tcPr>
          <w:p w14:paraId="7422770A" w14:textId="77777777" w:rsidR="00917E4B" w:rsidRPr="008A2E5A" w:rsidRDefault="00917E4B" w:rsidP="004C5D62">
            <w:pPr>
              <w:spacing w:after="0" w:line="240" w:lineRule="auto"/>
              <w:jc w:val="both"/>
              <w:rPr>
                <w:color w:val="0070C0"/>
                <w:sz w:val="16"/>
                <w:szCs w:val="16"/>
              </w:rPr>
            </w:pPr>
          </w:p>
        </w:tc>
        <w:tc>
          <w:tcPr>
            <w:tcW w:w="822" w:type="dxa"/>
          </w:tcPr>
          <w:p w14:paraId="693DC313" w14:textId="77777777" w:rsidR="00917E4B" w:rsidRPr="008A2E5A" w:rsidRDefault="00917E4B" w:rsidP="004C5D62">
            <w:pPr>
              <w:spacing w:after="0" w:line="240" w:lineRule="auto"/>
              <w:jc w:val="both"/>
              <w:rPr>
                <w:color w:val="0070C0"/>
                <w:sz w:val="16"/>
                <w:szCs w:val="16"/>
              </w:rPr>
            </w:pPr>
          </w:p>
        </w:tc>
        <w:tc>
          <w:tcPr>
            <w:tcW w:w="822" w:type="dxa"/>
          </w:tcPr>
          <w:p w14:paraId="0171A744" w14:textId="77777777" w:rsidR="00917E4B" w:rsidRPr="008A2E5A" w:rsidRDefault="00917E4B" w:rsidP="004C5D62">
            <w:pPr>
              <w:spacing w:after="0" w:line="240" w:lineRule="auto"/>
              <w:jc w:val="both"/>
              <w:rPr>
                <w:color w:val="0070C0"/>
                <w:sz w:val="16"/>
                <w:szCs w:val="16"/>
              </w:rPr>
            </w:pPr>
          </w:p>
        </w:tc>
        <w:tc>
          <w:tcPr>
            <w:tcW w:w="822" w:type="dxa"/>
          </w:tcPr>
          <w:p w14:paraId="002A9CBF" w14:textId="77777777" w:rsidR="00917E4B" w:rsidRPr="008A2E5A" w:rsidRDefault="00917E4B" w:rsidP="004C5D62">
            <w:pPr>
              <w:spacing w:after="0" w:line="240" w:lineRule="auto"/>
              <w:jc w:val="both"/>
              <w:rPr>
                <w:color w:val="0070C0"/>
                <w:sz w:val="16"/>
                <w:szCs w:val="16"/>
              </w:rPr>
            </w:pPr>
          </w:p>
        </w:tc>
      </w:tr>
      <w:tr w:rsidR="00917E4B" w:rsidRPr="008A2E5A" w14:paraId="09203C93" w14:textId="77777777" w:rsidTr="004C5D62">
        <w:tc>
          <w:tcPr>
            <w:tcW w:w="821" w:type="dxa"/>
          </w:tcPr>
          <w:p w14:paraId="140ED7B4" w14:textId="77777777" w:rsidR="00917E4B" w:rsidRPr="008A2E5A" w:rsidRDefault="00917E4B" w:rsidP="004C5D62">
            <w:pPr>
              <w:spacing w:after="0" w:line="240" w:lineRule="auto"/>
              <w:jc w:val="both"/>
              <w:rPr>
                <w:color w:val="0070C0"/>
                <w:sz w:val="16"/>
                <w:szCs w:val="16"/>
              </w:rPr>
            </w:pPr>
            <w:r w:rsidRPr="008A2E5A">
              <w:rPr>
                <w:color w:val="0070C0"/>
                <w:sz w:val="16"/>
                <w:szCs w:val="16"/>
              </w:rPr>
              <w:t>20-мм пушки ШВАК</w:t>
            </w:r>
          </w:p>
        </w:tc>
        <w:tc>
          <w:tcPr>
            <w:tcW w:w="821" w:type="dxa"/>
          </w:tcPr>
          <w:p w14:paraId="1875D44F" w14:textId="77777777" w:rsidR="00917E4B" w:rsidRPr="008A2E5A" w:rsidRDefault="00917E4B" w:rsidP="004C5D62">
            <w:pPr>
              <w:spacing w:after="0" w:line="240" w:lineRule="auto"/>
              <w:jc w:val="both"/>
              <w:rPr>
                <w:color w:val="0070C0"/>
                <w:sz w:val="16"/>
                <w:szCs w:val="16"/>
              </w:rPr>
            </w:pPr>
            <w:r w:rsidRPr="008A2E5A">
              <w:rPr>
                <w:color w:val="0070C0"/>
                <w:sz w:val="16"/>
                <w:szCs w:val="16"/>
              </w:rPr>
              <w:t>2650</w:t>
            </w:r>
          </w:p>
        </w:tc>
        <w:tc>
          <w:tcPr>
            <w:tcW w:w="821" w:type="dxa"/>
          </w:tcPr>
          <w:p w14:paraId="7B5E8BD9" w14:textId="77777777" w:rsidR="00917E4B" w:rsidRPr="008A2E5A" w:rsidRDefault="00917E4B" w:rsidP="004C5D62">
            <w:pPr>
              <w:spacing w:after="0" w:line="240" w:lineRule="auto"/>
              <w:jc w:val="both"/>
              <w:rPr>
                <w:color w:val="0070C0"/>
                <w:sz w:val="16"/>
                <w:szCs w:val="16"/>
              </w:rPr>
            </w:pPr>
            <w:r w:rsidRPr="008A2E5A">
              <w:rPr>
                <w:color w:val="0070C0"/>
                <w:sz w:val="16"/>
                <w:szCs w:val="16"/>
              </w:rPr>
              <w:t>1467</w:t>
            </w:r>
          </w:p>
        </w:tc>
        <w:tc>
          <w:tcPr>
            <w:tcW w:w="821" w:type="dxa"/>
          </w:tcPr>
          <w:p w14:paraId="75280A07"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2500</w:t>
            </w:r>
          </w:p>
        </w:tc>
        <w:tc>
          <w:tcPr>
            <w:tcW w:w="822" w:type="dxa"/>
          </w:tcPr>
          <w:p w14:paraId="1C1594AC" w14:textId="77777777" w:rsidR="00917E4B" w:rsidRPr="008A2E5A" w:rsidRDefault="00917E4B" w:rsidP="004C5D62">
            <w:pPr>
              <w:spacing w:after="0" w:line="240" w:lineRule="auto"/>
              <w:jc w:val="both"/>
              <w:rPr>
                <w:color w:val="0070C0"/>
                <w:sz w:val="16"/>
                <w:szCs w:val="16"/>
              </w:rPr>
            </w:pPr>
            <w:r w:rsidRPr="008A2E5A">
              <w:rPr>
                <w:color w:val="0070C0"/>
                <w:sz w:val="16"/>
                <w:szCs w:val="16"/>
              </w:rPr>
              <w:t>855</w:t>
            </w:r>
          </w:p>
        </w:tc>
        <w:tc>
          <w:tcPr>
            <w:tcW w:w="822" w:type="dxa"/>
          </w:tcPr>
          <w:p w14:paraId="02F55425" w14:textId="77777777" w:rsidR="00917E4B" w:rsidRPr="008A2E5A" w:rsidRDefault="00917E4B" w:rsidP="004C5D62">
            <w:pPr>
              <w:spacing w:after="0" w:line="240" w:lineRule="auto"/>
              <w:jc w:val="both"/>
              <w:rPr>
                <w:color w:val="0070C0"/>
                <w:sz w:val="16"/>
                <w:szCs w:val="16"/>
              </w:rPr>
            </w:pPr>
            <w:r w:rsidRPr="008A2E5A">
              <w:rPr>
                <w:color w:val="0070C0"/>
                <w:sz w:val="16"/>
                <w:szCs w:val="16"/>
              </w:rPr>
              <w:t>1180</w:t>
            </w:r>
          </w:p>
        </w:tc>
        <w:tc>
          <w:tcPr>
            <w:tcW w:w="822" w:type="dxa"/>
          </w:tcPr>
          <w:p w14:paraId="18A9B1C3" w14:textId="77777777" w:rsidR="00917E4B" w:rsidRPr="008A2E5A" w:rsidRDefault="00917E4B" w:rsidP="004C5D62">
            <w:pPr>
              <w:spacing w:after="0" w:line="240" w:lineRule="auto"/>
              <w:jc w:val="both"/>
              <w:rPr>
                <w:color w:val="0070C0"/>
                <w:sz w:val="16"/>
                <w:szCs w:val="16"/>
              </w:rPr>
            </w:pPr>
            <w:r w:rsidRPr="008A2E5A">
              <w:rPr>
                <w:color w:val="0070C0"/>
                <w:sz w:val="16"/>
                <w:szCs w:val="16"/>
              </w:rPr>
              <w:t>1241</w:t>
            </w:r>
          </w:p>
        </w:tc>
        <w:tc>
          <w:tcPr>
            <w:tcW w:w="822" w:type="dxa"/>
          </w:tcPr>
          <w:p w14:paraId="411540A9" w14:textId="77777777" w:rsidR="00917E4B" w:rsidRPr="008A2E5A" w:rsidRDefault="00917E4B" w:rsidP="004C5D62">
            <w:pPr>
              <w:spacing w:after="0" w:line="240" w:lineRule="auto"/>
              <w:jc w:val="both"/>
              <w:rPr>
                <w:color w:val="0070C0"/>
                <w:sz w:val="16"/>
                <w:szCs w:val="16"/>
              </w:rPr>
            </w:pPr>
            <w:r w:rsidRPr="008A2E5A">
              <w:rPr>
                <w:color w:val="0070C0"/>
                <w:sz w:val="16"/>
                <w:szCs w:val="16"/>
              </w:rPr>
              <w:t>8480</w:t>
            </w:r>
          </w:p>
        </w:tc>
        <w:tc>
          <w:tcPr>
            <w:tcW w:w="822" w:type="dxa"/>
          </w:tcPr>
          <w:p w14:paraId="675E746D" w14:textId="77777777" w:rsidR="00917E4B" w:rsidRPr="008A2E5A" w:rsidRDefault="00917E4B" w:rsidP="004C5D62">
            <w:pPr>
              <w:spacing w:after="0" w:line="240" w:lineRule="auto"/>
              <w:jc w:val="both"/>
              <w:rPr>
                <w:color w:val="0070C0"/>
                <w:sz w:val="16"/>
                <w:szCs w:val="16"/>
              </w:rPr>
            </w:pPr>
            <w:r w:rsidRPr="008A2E5A">
              <w:rPr>
                <w:color w:val="0070C0"/>
                <w:sz w:val="16"/>
                <w:szCs w:val="16"/>
              </w:rPr>
              <w:t>4935</w:t>
            </w:r>
          </w:p>
        </w:tc>
        <w:tc>
          <w:tcPr>
            <w:tcW w:w="822" w:type="dxa"/>
          </w:tcPr>
          <w:p w14:paraId="2DA55C0E" w14:textId="77777777" w:rsidR="00917E4B" w:rsidRPr="008A2E5A" w:rsidRDefault="00917E4B" w:rsidP="004C5D62">
            <w:pPr>
              <w:spacing w:after="0" w:line="240" w:lineRule="auto"/>
              <w:jc w:val="both"/>
              <w:rPr>
                <w:color w:val="0070C0"/>
                <w:sz w:val="16"/>
                <w:szCs w:val="16"/>
              </w:rPr>
            </w:pPr>
          </w:p>
        </w:tc>
        <w:tc>
          <w:tcPr>
            <w:tcW w:w="822" w:type="dxa"/>
          </w:tcPr>
          <w:p w14:paraId="3BC9527D" w14:textId="77777777" w:rsidR="00917E4B" w:rsidRPr="008A2E5A" w:rsidRDefault="00917E4B" w:rsidP="004C5D62">
            <w:pPr>
              <w:spacing w:after="0" w:line="240" w:lineRule="auto"/>
              <w:jc w:val="both"/>
              <w:rPr>
                <w:color w:val="0070C0"/>
                <w:sz w:val="16"/>
                <w:szCs w:val="16"/>
              </w:rPr>
            </w:pPr>
          </w:p>
        </w:tc>
        <w:tc>
          <w:tcPr>
            <w:tcW w:w="822" w:type="dxa"/>
          </w:tcPr>
          <w:p w14:paraId="356E513D" w14:textId="77777777" w:rsidR="00917E4B" w:rsidRPr="008A2E5A" w:rsidRDefault="00917E4B" w:rsidP="004C5D62">
            <w:pPr>
              <w:spacing w:after="0" w:line="240" w:lineRule="auto"/>
              <w:jc w:val="both"/>
              <w:rPr>
                <w:color w:val="0070C0"/>
                <w:sz w:val="16"/>
                <w:szCs w:val="16"/>
              </w:rPr>
            </w:pPr>
          </w:p>
        </w:tc>
        <w:tc>
          <w:tcPr>
            <w:tcW w:w="822" w:type="dxa"/>
          </w:tcPr>
          <w:p w14:paraId="642F641B" w14:textId="77777777" w:rsidR="00917E4B" w:rsidRPr="008A2E5A" w:rsidRDefault="00917E4B" w:rsidP="004C5D62">
            <w:pPr>
              <w:spacing w:after="0" w:line="240" w:lineRule="auto"/>
              <w:jc w:val="both"/>
              <w:rPr>
                <w:color w:val="0070C0"/>
                <w:sz w:val="16"/>
                <w:szCs w:val="16"/>
              </w:rPr>
            </w:pPr>
          </w:p>
        </w:tc>
      </w:tr>
      <w:tr w:rsidR="00917E4B" w:rsidRPr="008A2E5A" w14:paraId="3719605E" w14:textId="77777777" w:rsidTr="004C5D62">
        <w:tc>
          <w:tcPr>
            <w:tcW w:w="821" w:type="dxa"/>
          </w:tcPr>
          <w:p w14:paraId="34C081EF" w14:textId="77777777" w:rsidR="00917E4B" w:rsidRPr="008A2E5A" w:rsidRDefault="00917E4B" w:rsidP="004C5D62">
            <w:pPr>
              <w:spacing w:after="0" w:line="240" w:lineRule="auto"/>
              <w:jc w:val="both"/>
              <w:rPr>
                <w:color w:val="0070C0"/>
                <w:sz w:val="16"/>
                <w:szCs w:val="16"/>
              </w:rPr>
            </w:pPr>
            <w:r w:rsidRPr="008A2E5A">
              <w:rPr>
                <w:color w:val="0070C0"/>
                <w:sz w:val="16"/>
                <w:szCs w:val="16"/>
              </w:rPr>
              <w:t>26-мм осветительные пистолеты</w:t>
            </w:r>
          </w:p>
        </w:tc>
        <w:tc>
          <w:tcPr>
            <w:tcW w:w="821" w:type="dxa"/>
          </w:tcPr>
          <w:p w14:paraId="58457FF2" w14:textId="77777777" w:rsidR="00917E4B" w:rsidRPr="008A2E5A" w:rsidRDefault="00917E4B" w:rsidP="004C5D62">
            <w:pPr>
              <w:spacing w:after="0" w:line="240" w:lineRule="auto"/>
              <w:jc w:val="both"/>
              <w:rPr>
                <w:color w:val="0070C0"/>
                <w:sz w:val="16"/>
                <w:szCs w:val="16"/>
              </w:rPr>
            </w:pPr>
            <w:r w:rsidRPr="008A2E5A">
              <w:rPr>
                <w:color w:val="0070C0"/>
                <w:sz w:val="16"/>
                <w:szCs w:val="16"/>
              </w:rPr>
              <w:t>3260</w:t>
            </w:r>
          </w:p>
        </w:tc>
        <w:tc>
          <w:tcPr>
            <w:tcW w:w="821" w:type="dxa"/>
          </w:tcPr>
          <w:p w14:paraId="7D4A43BF" w14:textId="77777777" w:rsidR="00917E4B" w:rsidRPr="008A2E5A" w:rsidRDefault="00917E4B" w:rsidP="004C5D62">
            <w:pPr>
              <w:spacing w:after="0" w:line="240" w:lineRule="auto"/>
              <w:jc w:val="both"/>
              <w:rPr>
                <w:color w:val="0070C0"/>
                <w:sz w:val="16"/>
                <w:szCs w:val="16"/>
              </w:rPr>
            </w:pPr>
            <w:r w:rsidRPr="008A2E5A">
              <w:rPr>
                <w:color w:val="0070C0"/>
                <w:sz w:val="16"/>
                <w:szCs w:val="16"/>
              </w:rPr>
              <w:t>5500</w:t>
            </w:r>
          </w:p>
        </w:tc>
        <w:tc>
          <w:tcPr>
            <w:tcW w:w="821" w:type="dxa"/>
          </w:tcPr>
          <w:p w14:paraId="2515F89D"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2" w:type="dxa"/>
          </w:tcPr>
          <w:p w14:paraId="56EF6D2F" w14:textId="77777777" w:rsidR="00917E4B" w:rsidRPr="008A2E5A" w:rsidRDefault="00917E4B" w:rsidP="004C5D62">
            <w:pPr>
              <w:spacing w:after="0" w:line="240" w:lineRule="auto"/>
              <w:jc w:val="both"/>
              <w:rPr>
                <w:color w:val="0070C0"/>
                <w:sz w:val="16"/>
                <w:szCs w:val="16"/>
              </w:rPr>
            </w:pPr>
            <w:r w:rsidRPr="008A2E5A">
              <w:rPr>
                <w:color w:val="0070C0"/>
                <w:sz w:val="16"/>
                <w:szCs w:val="16"/>
              </w:rPr>
              <w:t>9220</w:t>
            </w:r>
          </w:p>
        </w:tc>
        <w:tc>
          <w:tcPr>
            <w:tcW w:w="822" w:type="dxa"/>
          </w:tcPr>
          <w:p w14:paraId="3A3C8F39"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2" w:type="dxa"/>
          </w:tcPr>
          <w:p w14:paraId="404F4DCE"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10 361</w:t>
            </w:r>
          </w:p>
        </w:tc>
        <w:tc>
          <w:tcPr>
            <w:tcW w:w="822" w:type="dxa"/>
          </w:tcPr>
          <w:p w14:paraId="3D68B858" w14:textId="77777777" w:rsidR="00917E4B" w:rsidRPr="008A2E5A" w:rsidRDefault="00917E4B" w:rsidP="004C5D62">
            <w:pPr>
              <w:spacing w:after="0" w:line="240" w:lineRule="auto"/>
              <w:jc w:val="both"/>
              <w:rPr>
                <w:color w:val="0070C0"/>
                <w:sz w:val="16"/>
                <w:szCs w:val="16"/>
              </w:rPr>
            </w:pPr>
            <w:r w:rsidRPr="008A2E5A">
              <w:rPr>
                <w:color w:val="0070C0"/>
                <w:sz w:val="16"/>
                <w:szCs w:val="16"/>
              </w:rPr>
              <w:t>32 700</w:t>
            </w:r>
          </w:p>
        </w:tc>
        <w:tc>
          <w:tcPr>
            <w:tcW w:w="822" w:type="dxa"/>
          </w:tcPr>
          <w:p w14:paraId="7574E002" w14:textId="77777777" w:rsidR="00917E4B" w:rsidRPr="008A2E5A" w:rsidRDefault="00917E4B" w:rsidP="004C5D62">
            <w:pPr>
              <w:spacing w:after="0" w:line="240" w:lineRule="auto"/>
              <w:jc w:val="both"/>
              <w:rPr>
                <w:color w:val="0070C0"/>
                <w:sz w:val="16"/>
                <w:szCs w:val="16"/>
              </w:rPr>
            </w:pPr>
            <w:r w:rsidRPr="008A2E5A">
              <w:rPr>
                <w:color w:val="0070C0"/>
                <w:sz w:val="16"/>
                <w:szCs w:val="16"/>
              </w:rPr>
              <w:t>32 717</w:t>
            </w:r>
          </w:p>
        </w:tc>
        <w:tc>
          <w:tcPr>
            <w:tcW w:w="822" w:type="dxa"/>
          </w:tcPr>
          <w:p w14:paraId="1FC296FA" w14:textId="77777777" w:rsidR="00917E4B" w:rsidRPr="008A2E5A" w:rsidRDefault="00917E4B" w:rsidP="004C5D62">
            <w:pPr>
              <w:spacing w:after="0" w:line="240" w:lineRule="auto"/>
              <w:jc w:val="both"/>
              <w:rPr>
                <w:color w:val="0070C0"/>
                <w:sz w:val="16"/>
                <w:szCs w:val="16"/>
              </w:rPr>
            </w:pPr>
          </w:p>
        </w:tc>
        <w:tc>
          <w:tcPr>
            <w:tcW w:w="822" w:type="dxa"/>
          </w:tcPr>
          <w:p w14:paraId="0726BE2E" w14:textId="77777777" w:rsidR="00917E4B" w:rsidRPr="008A2E5A" w:rsidRDefault="00917E4B" w:rsidP="004C5D62">
            <w:pPr>
              <w:spacing w:after="0" w:line="240" w:lineRule="auto"/>
              <w:jc w:val="both"/>
              <w:rPr>
                <w:color w:val="0070C0"/>
                <w:sz w:val="16"/>
                <w:szCs w:val="16"/>
              </w:rPr>
            </w:pPr>
          </w:p>
        </w:tc>
        <w:tc>
          <w:tcPr>
            <w:tcW w:w="822" w:type="dxa"/>
          </w:tcPr>
          <w:p w14:paraId="745A9784" w14:textId="77777777" w:rsidR="00917E4B" w:rsidRPr="008A2E5A" w:rsidRDefault="00917E4B" w:rsidP="004C5D62">
            <w:pPr>
              <w:spacing w:after="0" w:line="240" w:lineRule="auto"/>
              <w:jc w:val="both"/>
              <w:rPr>
                <w:color w:val="0070C0"/>
                <w:sz w:val="16"/>
                <w:szCs w:val="16"/>
              </w:rPr>
            </w:pPr>
          </w:p>
        </w:tc>
        <w:tc>
          <w:tcPr>
            <w:tcW w:w="822" w:type="dxa"/>
          </w:tcPr>
          <w:p w14:paraId="5273949E" w14:textId="77777777" w:rsidR="00917E4B" w:rsidRPr="008A2E5A" w:rsidRDefault="00917E4B" w:rsidP="004C5D62">
            <w:pPr>
              <w:spacing w:after="0" w:line="240" w:lineRule="auto"/>
              <w:jc w:val="both"/>
              <w:rPr>
                <w:color w:val="0070C0"/>
                <w:sz w:val="16"/>
                <w:szCs w:val="16"/>
              </w:rPr>
            </w:pPr>
          </w:p>
        </w:tc>
      </w:tr>
      <w:tr w:rsidR="00917E4B" w:rsidRPr="008A2E5A" w14:paraId="2E5E6CFE" w14:textId="77777777" w:rsidTr="004C5D62">
        <w:tc>
          <w:tcPr>
            <w:tcW w:w="821" w:type="dxa"/>
          </w:tcPr>
          <w:p w14:paraId="6392D05C" w14:textId="77777777" w:rsidR="00917E4B" w:rsidRPr="008A2E5A" w:rsidRDefault="00917E4B" w:rsidP="004C5D62">
            <w:pPr>
              <w:spacing w:after="0" w:line="240" w:lineRule="auto"/>
              <w:jc w:val="both"/>
              <w:rPr>
                <w:color w:val="0070C0"/>
                <w:sz w:val="16"/>
                <w:szCs w:val="16"/>
              </w:rPr>
            </w:pPr>
            <w:r w:rsidRPr="008A2E5A">
              <w:rPr>
                <w:color w:val="0070C0"/>
                <w:sz w:val="16"/>
                <w:szCs w:val="16"/>
              </w:rPr>
              <w:t>Шашки обр. 1 1927 г. с/гн.</w:t>
            </w:r>
          </w:p>
        </w:tc>
        <w:tc>
          <w:tcPr>
            <w:tcW w:w="821" w:type="dxa"/>
          </w:tcPr>
          <w:p w14:paraId="12504DF0" w14:textId="77777777" w:rsidR="00917E4B" w:rsidRPr="008A2E5A" w:rsidRDefault="00917E4B" w:rsidP="004C5D62">
            <w:pPr>
              <w:spacing w:after="0" w:line="240" w:lineRule="auto"/>
              <w:jc w:val="both"/>
              <w:rPr>
                <w:color w:val="0070C0"/>
                <w:sz w:val="16"/>
                <w:szCs w:val="16"/>
              </w:rPr>
            </w:pPr>
            <w:r w:rsidRPr="008A2E5A">
              <w:rPr>
                <w:color w:val="0070C0"/>
                <w:sz w:val="16"/>
                <w:szCs w:val="16"/>
              </w:rPr>
              <w:t>27 000</w:t>
            </w:r>
          </w:p>
        </w:tc>
        <w:tc>
          <w:tcPr>
            <w:tcW w:w="821" w:type="dxa"/>
          </w:tcPr>
          <w:p w14:paraId="2DCAB4F9" w14:textId="77777777" w:rsidR="00917E4B" w:rsidRPr="008A2E5A" w:rsidRDefault="00917E4B" w:rsidP="004C5D62">
            <w:pPr>
              <w:spacing w:after="0" w:line="240" w:lineRule="auto"/>
              <w:jc w:val="both"/>
              <w:rPr>
                <w:color w:val="0070C0"/>
                <w:sz w:val="16"/>
                <w:szCs w:val="16"/>
              </w:rPr>
            </w:pPr>
            <w:r w:rsidRPr="008A2E5A">
              <w:rPr>
                <w:color w:val="0070C0"/>
                <w:sz w:val="16"/>
                <w:szCs w:val="16"/>
              </w:rPr>
              <w:t>32 500</w:t>
            </w:r>
          </w:p>
        </w:tc>
        <w:tc>
          <w:tcPr>
            <w:tcW w:w="821" w:type="dxa"/>
          </w:tcPr>
          <w:p w14:paraId="548D848E" w14:textId="77777777" w:rsidR="00917E4B" w:rsidRPr="008A2E5A" w:rsidRDefault="00917E4B" w:rsidP="004C5D62">
            <w:pPr>
              <w:spacing w:after="0" w:line="240" w:lineRule="auto"/>
              <w:jc w:val="both"/>
              <w:rPr>
                <w:color w:val="0070C0"/>
                <w:sz w:val="16"/>
                <w:szCs w:val="16"/>
              </w:rPr>
            </w:pPr>
            <w:r w:rsidRPr="008A2E5A">
              <w:rPr>
                <w:color w:val="0070C0"/>
                <w:sz w:val="16"/>
                <w:szCs w:val="16"/>
              </w:rPr>
              <w:t>52 000</w:t>
            </w:r>
          </w:p>
        </w:tc>
        <w:tc>
          <w:tcPr>
            <w:tcW w:w="822" w:type="dxa"/>
          </w:tcPr>
          <w:p w14:paraId="54231C18" w14:textId="77777777" w:rsidR="00917E4B" w:rsidRPr="008A2E5A" w:rsidRDefault="00917E4B" w:rsidP="004C5D62">
            <w:pPr>
              <w:spacing w:after="0" w:line="240" w:lineRule="auto"/>
              <w:jc w:val="both"/>
              <w:rPr>
                <w:color w:val="0070C0"/>
                <w:sz w:val="16"/>
                <w:szCs w:val="16"/>
              </w:rPr>
            </w:pPr>
            <w:r w:rsidRPr="008A2E5A">
              <w:rPr>
                <w:color w:val="0070C0"/>
                <w:sz w:val="16"/>
                <w:szCs w:val="16"/>
              </w:rPr>
              <w:t>44 906</w:t>
            </w:r>
          </w:p>
        </w:tc>
        <w:tc>
          <w:tcPr>
            <w:tcW w:w="822" w:type="dxa"/>
          </w:tcPr>
          <w:p w14:paraId="61F99CC2" w14:textId="77777777" w:rsidR="00917E4B" w:rsidRPr="008A2E5A" w:rsidRDefault="00917E4B" w:rsidP="004C5D62">
            <w:pPr>
              <w:spacing w:after="0" w:line="240" w:lineRule="auto"/>
              <w:jc w:val="both"/>
              <w:rPr>
                <w:color w:val="0070C0"/>
                <w:sz w:val="16"/>
                <w:szCs w:val="16"/>
              </w:rPr>
            </w:pPr>
            <w:r w:rsidRPr="008A2E5A">
              <w:rPr>
                <w:color w:val="0070C0"/>
                <w:sz w:val="16"/>
                <w:szCs w:val="16"/>
              </w:rPr>
              <w:t>47 000</w:t>
            </w:r>
          </w:p>
        </w:tc>
        <w:tc>
          <w:tcPr>
            <w:tcW w:w="822" w:type="dxa"/>
          </w:tcPr>
          <w:p w14:paraId="3FFFA8BA" w14:textId="77777777" w:rsidR="00917E4B" w:rsidRPr="008A2E5A" w:rsidRDefault="00917E4B" w:rsidP="004C5D62">
            <w:pPr>
              <w:spacing w:after="0" w:line="240" w:lineRule="auto"/>
              <w:jc w:val="both"/>
              <w:rPr>
                <w:color w:val="0070C0"/>
                <w:sz w:val="16"/>
                <w:szCs w:val="16"/>
              </w:rPr>
            </w:pPr>
            <w:r w:rsidRPr="008A2E5A">
              <w:rPr>
                <w:color w:val="0070C0"/>
                <w:sz w:val="16"/>
                <w:szCs w:val="16"/>
              </w:rPr>
              <w:t>49 881</w:t>
            </w:r>
          </w:p>
        </w:tc>
        <w:tc>
          <w:tcPr>
            <w:tcW w:w="822" w:type="dxa"/>
          </w:tcPr>
          <w:p w14:paraId="4DF8B0C6" w14:textId="77777777" w:rsidR="00917E4B" w:rsidRPr="008A2E5A" w:rsidRDefault="00917E4B" w:rsidP="004C5D62">
            <w:pPr>
              <w:spacing w:after="0" w:line="240" w:lineRule="auto"/>
              <w:jc w:val="both"/>
              <w:rPr>
                <w:color w:val="0070C0"/>
                <w:sz w:val="16"/>
                <w:szCs w:val="16"/>
              </w:rPr>
            </w:pPr>
            <w:r w:rsidRPr="008A2E5A">
              <w:rPr>
                <w:color w:val="0070C0"/>
                <w:sz w:val="16"/>
                <w:szCs w:val="16"/>
              </w:rPr>
              <w:t>176 000</w:t>
            </w:r>
          </w:p>
        </w:tc>
        <w:tc>
          <w:tcPr>
            <w:tcW w:w="822" w:type="dxa"/>
          </w:tcPr>
          <w:p w14:paraId="58A28787" w14:textId="77777777" w:rsidR="00917E4B" w:rsidRPr="008A2E5A" w:rsidRDefault="00917E4B" w:rsidP="004C5D62">
            <w:pPr>
              <w:spacing w:after="0" w:line="240" w:lineRule="auto"/>
              <w:jc w:val="both"/>
              <w:rPr>
                <w:color w:val="0070C0"/>
                <w:sz w:val="16"/>
                <w:szCs w:val="16"/>
              </w:rPr>
            </w:pPr>
            <w:r w:rsidRPr="008A2E5A">
              <w:rPr>
                <w:color w:val="0070C0"/>
                <w:sz w:val="16"/>
                <w:szCs w:val="16"/>
              </w:rPr>
              <w:t>148955</w:t>
            </w:r>
          </w:p>
        </w:tc>
        <w:tc>
          <w:tcPr>
            <w:tcW w:w="822" w:type="dxa"/>
          </w:tcPr>
          <w:p w14:paraId="6E361996" w14:textId="77777777" w:rsidR="00917E4B" w:rsidRPr="008A2E5A" w:rsidRDefault="00917E4B" w:rsidP="004C5D62">
            <w:pPr>
              <w:spacing w:after="0" w:line="240" w:lineRule="auto"/>
              <w:jc w:val="both"/>
              <w:rPr>
                <w:color w:val="0070C0"/>
                <w:sz w:val="16"/>
                <w:szCs w:val="16"/>
              </w:rPr>
            </w:pPr>
          </w:p>
        </w:tc>
        <w:tc>
          <w:tcPr>
            <w:tcW w:w="822" w:type="dxa"/>
          </w:tcPr>
          <w:p w14:paraId="2C807DA3" w14:textId="77777777" w:rsidR="00917E4B" w:rsidRPr="008A2E5A" w:rsidRDefault="00917E4B" w:rsidP="004C5D62">
            <w:pPr>
              <w:spacing w:after="0" w:line="240" w:lineRule="auto"/>
              <w:jc w:val="both"/>
              <w:rPr>
                <w:color w:val="0070C0"/>
                <w:sz w:val="16"/>
                <w:szCs w:val="16"/>
              </w:rPr>
            </w:pPr>
          </w:p>
        </w:tc>
        <w:tc>
          <w:tcPr>
            <w:tcW w:w="822" w:type="dxa"/>
          </w:tcPr>
          <w:p w14:paraId="5860B0A7" w14:textId="77777777" w:rsidR="00917E4B" w:rsidRPr="008A2E5A" w:rsidRDefault="00917E4B" w:rsidP="004C5D62">
            <w:pPr>
              <w:spacing w:after="0" w:line="240" w:lineRule="auto"/>
              <w:jc w:val="both"/>
              <w:rPr>
                <w:color w:val="0070C0"/>
                <w:sz w:val="16"/>
                <w:szCs w:val="16"/>
              </w:rPr>
            </w:pPr>
          </w:p>
        </w:tc>
        <w:tc>
          <w:tcPr>
            <w:tcW w:w="822" w:type="dxa"/>
          </w:tcPr>
          <w:p w14:paraId="1065D9BA" w14:textId="77777777" w:rsidR="00917E4B" w:rsidRPr="008A2E5A" w:rsidRDefault="00917E4B" w:rsidP="004C5D62">
            <w:pPr>
              <w:spacing w:after="0" w:line="240" w:lineRule="auto"/>
              <w:jc w:val="both"/>
              <w:rPr>
                <w:color w:val="0070C0"/>
                <w:sz w:val="16"/>
                <w:szCs w:val="16"/>
              </w:rPr>
            </w:pPr>
          </w:p>
        </w:tc>
      </w:tr>
      <w:tr w:rsidR="00917E4B" w:rsidRPr="008A2E5A" w14:paraId="4B499B55" w14:textId="77777777" w:rsidTr="004C5D62">
        <w:tc>
          <w:tcPr>
            <w:tcW w:w="821" w:type="dxa"/>
          </w:tcPr>
          <w:p w14:paraId="77881D7E"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14,5-мм ПТРД</w:t>
            </w:r>
          </w:p>
        </w:tc>
        <w:tc>
          <w:tcPr>
            <w:tcW w:w="821" w:type="dxa"/>
          </w:tcPr>
          <w:p w14:paraId="3BE06714"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w:t>
            </w:r>
          </w:p>
        </w:tc>
        <w:tc>
          <w:tcPr>
            <w:tcW w:w="821" w:type="dxa"/>
          </w:tcPr>
          <w:p w14:paraId="2ADF514B" w14:textId="77777777" w:rsidR="00917E4B" w:rsidRPr="008A2E5A" w:rsidRDefault="00917E4B" w:rsidP="004C5D62">
            <w:pPr>
              <w:spacing w:after="0" w:line="240" w:lineRule="auto"/>
              <w:jc w:val="both"/>
              <w:rPr>
                <w:color w:val="0070C0"/>
                <w:sz w:val="16"/>
                <w:szCs w:val="16"/>
              </w:rPr>
            </w:pPr>
            <w:r w:rsidRPr="008A2E5A">
              <w:rPr>
                <w:color w:val="0070C0"/>
                <w:sz w:val="16"/>
                <w:szCs w:val="16"/>
              </w:rPr>
              <w:t>515</w:t>
            </w:r>
          </w:p>
        </w:tc>
        <w:tc>
          <w:tcPr>
            <w:tcW w:w="821" w:type="dxa"/>
          </w:tcPr>
          <w:p w14:paraId="543E7AB8" w14:textId="77777777" w:rsidR="00917E4B" w:rsidRPr="008A2E5A" w:rsidRDefault="00917E4B" w:rsidP="004C5D62">
            <w:pPr>
              <w:spacing w:after="0" w:line="240" w:lineRule="auto"/>
              <w:jc w:val="both"/>
              <w:rPr>
                <w:color w:val="0070C0"/>
                <w:sz w:val="16"/>
                <w:szCs w:val="16"/>
              </w:rPr>
            </w:pPr>
            <w:r w:rsidRPr="008A2E5A">
              <w:rPr>
                <w:color w:val="0070C0"/>
                <w:sz w:val="16"/>
                <w:szCs w:val="16"/>
              </w:rPr>
              <w:t>7100</w:t>
            </w:r>
          </w:p>
        </w:tc>
        <w:tc>
          <w:tcPr>
            <w:tcW w:w="822" w:type="dxa"/>
          </w:tcPr>
          <w:p w14:paraId="7BF6C1D4" w14:textId="77777777" w:rsidR="00917E4B" w:rsidRPr="008A2E5A" w:rsidRDefault="00917E4B" w:rsidP="004C5D62">
            <w:pPr>
              <w:spacing w:after="0" w:line="240" w:lineRule="auto"/>
              <w:jc w:val="both"/>
              <w:rPr>
                <w:color w:val="0070C0"/>
                <w:sz w:val="16"/>
                <w:szCs w:val="16"/>
              </w:rPr>
            </w:pPr>
            <w:r w:rsidRPr="008A2E5A">
              <w:rPr>
                <w:color w:val="0070C0"/>
                <w:sz w:val="16"/>
                <w:szCs w:val="16"/>
              </w:rPr>
              <w:t>5046</w:t>
            </w:r>
          </w:p>
        </w:tc>
        <w:tc>
          <w:tcPr>
            <w:tcW w:w="822" w:type="dxa"/>
          </w:tcPr>
          <w:p w14:paraId="4476CBD0" w14:textId="77777777" w:rsidR="00917E4B" w:rsidRPr="008A2E5A" w:rsidRDefault="00917E4B" w:rsidP="004C5D62">
            <w:pPr>
              <w:spacing w:after="0" w:line="240" w:lineRule="auto"/>
              <w:jc w:val="both"/>
              <w:rPr>
                <w:color w:val="0070C0"/>
                <w:sz w:val="16"/>
                <w:szCs w:val="16"/>
              </w:rPr>
            </w:pPr>
            <w:r w:rsidRPr="008A2E5A">
              <w:rPr>
                <w:color w:val="0070C0"/>
                <w:sz w:val="16"/>
                <w:szCs w:val="16"/>
              </w:rPr>
              <w:t>16 000</w:t>
            </w:r>
          </w:p>
        </w:tc>
        <w:tc>
          <w:tcPr>
            <w:tcW w:w="822" w:type="dxa"/>
          </w:tcPr>
          <w:p w14:paraId="1C75D6B0" w14:textId="77777777" w:rsidR="00917E4B" w:rsidRPr="008A2E5A" w:rsidRDefault="00917E4B" w:rsidP="004C5D62">
            <w:pPr>
              <w:spacing w:after="0" w:line="240" w:lineRule="auto"/>
              <w:jc w:val="both"/>
              <w:rPr>
                <w:color w:val="0070C0"/>
                <w:sz w:val="16"/>
                <w:szCs w:val="16"/>
              </w:rPr>
            </w:pPr>
            <w:r w:rsidRPr="008A2E5A">
              <w:rPr>
                <w:color w:val="0070C0"/>
                <w:sz w:val="16"/>
                <w:szCs w:val="16"/>
              </w:rPr>
              <w:t>12 077</w:t>
            </w:r>
          </w:p>
        </w:tc>
        <w:tc>
          <w:tcPr>
            <w:tcW w:w="822" w:type="dxa"/>
          </w:tcPr>
          <w:p w14:paraId="6FB9D588" w14:textId="77777777" w:rsidR="00917E4B" w:rsidRPr="008A2E5A" w:rsidRDefault="00917E4B" w:rsidP="004C5D62">
            <w:pPr>
              <w:spacing w:after="0" w:line="240" w:lineRule="auto"/>
              <w:jc w:val="both"/>
              <w:rPr>
                <w:color w:val="0070C0"/>
                <w:sz w:val="16"/>
                <w:szCs w:val="16"/>
              </w:rPr>
            </w:pPr>
            <w:r w:rsidRPr="008A2E5A">
              <w:rPr>
                <w:color w:val="0070C0"/>
                <w:sz w:val="16"/>
                <w:szCs w:val="16"/>
              </w:rPr>
              <w:t>23 400</w:t>
            </w:r>
          </w:p>
        </w:tc>
        <w:tc>
          <w:tcPr>
            <w:tcW w:w="822" w:type="dxa"/>
          </w:tcPr>
          <w:p w14:paraId="4741BA11" w14:textId="77777777" w:rsidR="00917E4B" w:rsidRPr="008A2E5A" w:rsidRDefault="00917E4B" w:rsidP="004C5D62">
            <w:pPr>
              <w:spacing w:after="0" w:line="240" w:lineRule="auto"/>
              <w:jc w:val="both"/>
              <w:rPr>
                <w:color w:val="0070C0"/>
                <w:sz w:val="16"/>
                <w:szCs w:val="16"/>
              </w:rPr>
            </w:pPr>
            <w:r w:rsidRPr="008A2E5A">
              <w:rPr>
                <w:color w:val="0070C0"/>
                <w:sz w:val="16"/>
                <w:szCs w:val="16"/>
              </w:rPr>
              <w:t>17 638</w:t>
            </w:r>
          </w:p>
        </w:tc>
        <w:tc>
          <w:tcPr>
            <w:tcW w:w="822" w:type="dxa"/>
          </w:tcPr>
          <w:p w14:paraId="3F8BFB2A" w14:textId="77777777" w:rsidR="00917E4B" w:rsidRPr="008A2E5A" w:rsidRDefault="00917E4B" w:rsidP="004C5D62">
            <w:pPr>
              <w:spacing w:after="0" w:line="240" w:lineRule="auto"/>
              <w:jc w:val="both"/>
              <w:rPr>
                <w:color w:val="0070C0"/>
                <w:sz w:val="16"/>
                <w:szCs w:val="16"/>
              </w:rPr>
            </w:pPr>
          </w:p>
        </w:tc>
        <w:tc>
          <w:tcPr>
            <w:tcW w:w="822" w:type="dxa"/>
          </w:tcPr>
          <w:p w14:paraId="782F3DB1" w14:textId="77777777" w:rsidR="00917E4B" w:rsidRPr="008A2E5A" w:rsidRDefault="00917E4B" w:rsidP="004C5D62">
            <w:pPr>
              <w:spacing w:after="0" w:line="240" w:lineRule="auto"/>
              <w:jc w:val="both"/>
              <w:rPr>
                <w:color w:val="0070C0"/>
                <w:sz w:val="16"/>
                <w:szCs w:val="16"/>
              </w:rPr>
            </w:pPr>
          </w:p>
        </w:tc>
        <w:tc>
          <w:tcPr>
            <w:tcW w:w="822" w:type="dxa"/>
          </w:tcPr>
          <w:p w14:paraId="475E9B6C" w14:textId="77777777" w:rsidR="00917E4B" w:rsidRPr="008A2E5A" w:rsidRDefault="00917E4B" w:rsidP="004C5D62">
            <w:pPr>
              <w:spacing w:after="0" w:line="240" w:lineRule="auto"/>
              <w:jc w:val="both"/>
              <w:rPr>
                <w:color w:val="0070C0"/>
                <w:sz w:val="16"/>
                <w:szCs w:val="16"/>
              </w:rPr>
            </w:pPr>
          </w:p>
        </w:tc>
        <w:tc>
          <w:tcPr>
            <w:tcW w:w="822" w:type="dxa"/>
          </w:tcPr>
          <w:p w14:paraId="137D5C46" w14:textId="77777777" w:rsidR="00917E4B" w:rsidRPr="008A2E5A" w:rsidRDefault="00917E4B" w:rsidP="004C5D62">
            <w:pPr>
              <w:spacing w:after="0" w:line="240" w:lineRule="auto"/>
              <w:jc w:val="both"/>
              <w:rPr>
                <w:color w:val="0070C0"/>
                <w:sz w:val="16"/>
                <w:szCs w:val="16"/>
              </w:rPr>
            </w:pPr>
          </w:p>
        </w:tc>
      </w:tr>
      <w:tr w:rsidR="00917E4B" w:rsidRPr="008A2E5A" w14:paraId="70D33A46" w14:textId="77777777" w:rsidTr="004C5D62">
        <w:tc>
          <w:tcPr>
            <w:tcW w:w="821" w:type="dxa"/>
          </w:tcPr>
          <w:p w14:paraId="61D8E4AB" w14:textId="77777777" w:rsidR="00917E4B" w:rsidRPr="008A2E5A" w:rsidRDefault="00917E4B" w:rsidP="004C5D62">
            <w:pPr>
              <w:spacing w:after="0" w:line="240" w:lineRule="auto"/>
              <w:jc w:val="both"/>
              <w:rPr>
                <w:color w:val="0070C0"/>
                <w:sz w:val="16"/>
                <w:szCs w:val="16"/>
              </w:rPr>
            </w:pPr>
            <w:r w:rsidRPr="008A2E5A">
              <w:rPr>
                <w:color w:val="0070C0"/>
                <w:sz w:val="16"/>
                <w:szCs w:val="16"/>
              </w:rPr>
              <w:t>14,5-мм ПТРС</w:t>
            </w:r>
          </w:p>
        </w:tc>
        <w:tc>
          <w:tcPr>
            <w:tcW w:w="821" w:type="dxa"/>
          </w:tcPr>
          <w:p w14:paraId="58C95753"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1" w:type="dxa"/>
          </w:tcPr>
          <w:p w14:paraId="3F27F7E0" w14:textId="77777777" w:rsidR="00917E4B" w:rsidRPr="008A2E5A" w:rsidRDefault="00917E4B" w:rsidP="004C5D62">
            <w:pPr>
              <w:spacing w:after="0" w:line="240" w:lineRule="auto"/>
              <w:jc w:val="both"/>
              <w:rPr>
                <w:color w:val="0070C0"/>
                <w:sz w:val="16"/>
                <w:szCs w:val="16"/>
              </w:rPr>
            </w:pPr>
          </w:p>
        </w:tc>
        <w:tc>
          <w:tcPr>
            <w:tcW w:w="821" w:type="dxa"/>
          </w:tcPr>
          <w:p w14:paraId="7B5D155A"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3D091AC0" w14:textId="77777777" w:rsidR="00917E4B" w:rsidRPr="008A2E5A" w:rsidRDefault="00917E4B" w:rsidP="004C5D62">
            <w:pPr>
              <w:spacing w:after="0" w:line="240" w:lineRule="auto"/>
              <w:jc w:val="both"/>
              <w:rPr>
                <w:color w:val="0070C0"/>
                <w:sz w:val="16"/>
                <w:szCs w:val="16"/>
              </w:rPr>
            </w:pPr>
          </w:p>
        </w:tc>
        <w:tc>
          <w:tcPr>
            <w:tcW w:w="822" w:type="dxa"/>
          </w:tcPr>
          <w:p w14:paraId="215417BC"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6000</w:t>
            </w:r>
          </w:p>
        </w:tc>
        <w:tc>
          <w:tcPr>
            <w:tcW w:w="822" w:type="dxa"/>
          </w:tcPr>
          <w:p w14:paraId="321F54EC" w14:textId="77777777" w:rsidR="00917E4B" w:rsidRPr="008A2E5A" w:rsidRDefault="00917E4B" w:rsidP="004C5D62">
            <w:pPr>
              <w:spacing w:after="0" w:line="240" w:lineRule="auto"/>
              <w:jc w:val="both"/>
              <w:rPr>
                <w:color w:val="0070C0"/>
                <w:sz w:val="16"/>
                <w:szCs w:val="16"/>
              </w:rPr>
            </w:pPr>
            <w:r w:rsidRPr="008A2E5A">
              <w:rPr>
                <w:color w:val="0070C0"/>
                <w:sz w:val="16"/>
                <w:szCs w:val="16"/>
              </w:rPr>
              <w:t>77</w:t>
            </w:r>
          </w:p>
        </w:tc>
        <w:tc>
          <w:tcPr>
            <w:tcW w:w="822" w:type="dxa"/>
          </w:tcPr>
          <w:p w14:paraId="7709C277"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7000</w:t>
            </w:r>
          </w:p>
        </w:tc>
        <w:tc>
          <w:tcPr>
            <w:tcW w:w="822" w:type="dxa"/>
          </w:tcPr>
          <w:p w14:paraId="4C763C2D" w14:textId="77777777" w:rsidR="00917E4B" w:rsidRPr="008A2E5A" w:rsidRDefault="00917E4B" w:rsidP="004C5D62">
            <w:pPr>
              <w:spacing w:after="0" w:line="240" w:lineRule="auto"/>
              <w:jc w:val="both"/>
              <w:rPr>
                <w:color w:val="0070C0"/>
                <w:sz w:val="16"/>
                <w:szCs w:val="16"/>
              </w:rPr>
            </w:pPr>
            <w:r w:rsidRPr="008A2E5A">
              <w:rPr>
                <w:color w:val="0070C0"/>
                <w:sz w:val="16"/>
                <w:szCs w:val="16"/>
              </w:rPr>
              <w:t>77</w:t>
            </w:r>
          </w:p>
        </w:tc>
        <w:tc>
          <w:tcPr>
            <w:tcW w:w="822" w:type="dxa"/>
          </w:tcPr>
          <w:p w14:paraId="6EEF6861" w14:textId="77777777" w:rsidR="00917E4B" w:rsidRPr="008A2E5A" w:rsidRDefault="00917E4B" w:rsidP="004C5D62">
            <w:pPr>
              <w:spacing w:after="0" w:line="240" w:lineRule="auto"/>
              <w:jc w:val="both"/>
              <w:rPr>
                <w:color w:val="0070C0"/>
                <w:sz w:val="16"/>
                <w:szCs w:val="16"/>
              </w:rPr>
            </w:pPr>
          </w:p>
        </w:tc>
        <w:tc>
          <w:tcPr>
            <w:tcW w:w="822" w:type="dxa"/>
          </w:tcPr>
          <w:p w14:paraId="71844FDD" w14:textId="77777777" w:rsidR="00917E4B" w:rsidRPr="008A2E5A" w:rsidRDefault="00917E4B" w:rsidP="004C5D62">
            <w:pPr>
              <w:spacing w:after="0" w:line="240" w:lineRule="auto"/>
              <w:jc w:val="both"/>
              <w:rPr>
                <w:color w:val="0070C0"/>
                <w:sz w:val="16"/>
                <w:szCs w:val="16"/>
              </w:rPr>
            </w:pPr>
          </w:p>
        </w:tc>
        <w:tc>
          <w:tcPr>
            <w:tcW w:w="822" w:type="dxa"/>
          </w:tcPr>
          <w:p w14:paraId="7BF8D096" w14:textId="77777777" w:rsidR="00917E4B" w:rsidRPr="008A2E5A" w:rsidRDefault="00917E4B" w:rsidP="004C5D62">
            <w:pPr>
              <w:spacing w:after="0" w:line="240" w:lineRule="auto"/>
              <w:jc w:val="both"/>
              <w:rPr>
                <w:color w:val="0070C0"/>
                <w:sz w:val="16"/>
                <w:szCs w:val="16"/>
              </w:rPr>
            </w:pPr>
          </w:p>
        </w:tc>
        <w:tc>
          <w:tcPr>
            <w:tcW w:w="822" w:type="dxa"/>
          </w:tcPr>
          <w:p w14:paraId="1366FBB6" w14:textId="77777777" w:rsidR="00917E4B" w:rsidRPr="008A2E5A" w:rsidRDefault="00917E4B" w:rsidP="004C5D62">
            <w:pPr>
              <w:spacing w:after="0" w:line="240" w:lineRule="auto"/>
              <w:jc w:val="both"/>
              <w:rPr>
                <w:color w:val="0070C0"/>
                <w:sz w:val="16"/>
                <w:szCs w:val="16"/>
              </w:rPr>
            </w:pPr>
          </w:p>
        </w:tc>
      </w:tr>
      <w:tr w:rsidR="00917E4B" w:rsidRPr="008A2E5A" w14:paraId="6E4AE85D" w14:textId="77777777" w:rsidTr="004C5D62">
        <w:tc>
          <w:tcPr>
            <w:tcW w:w="821" w:type="dxa"/>
          </w:tcPr>
          <w:p w14:paraId="726F825E" w14:textId="77777777" w:rsidR="00917E4B" w:rsidRPr="008A2E5A" w:rsidRDefault="00917E4B" w:rsidP="004C5D62">
            <w:pPr>
              <w:spacing w:after="0" w:line="240" w:lineRule="auto"/>
              <w:jc w:val="both"/>
              <w:rPr>
                <w:color w:val="0070C0"/>
                <w:sz w:val="16"/>
                <w:szCs w:val="16"/>
              </w:rPr>
            </w:pPr>
            <w:r w:rsidRPr="008A2E5A">
              <w:rPr>
                <w:color w:val="0070C0"/>
                <w:sz w:val="16"/>
                <w:szCs w:val="16"/>
              </w:rPr>
              <w:t>Оптический прицел к пулемету «Максим»</w:t>
            </w:r>
          </w:p>
        </w:tc>
        <w:tc>
          <w:tcPr>
            <w:tcW w:w="821" w:type="dxa"/>
          </w:tcPr>
          <w:p w14:paraId="3AE94291" w14:textId="77777777" w:rsidR="00917E4B" w:rsidRPr="008A2E5A" w:rsidRDefault="00917E4B" w:rsidP="004C5D62">
            <w:pPr>
              <w:spacing w:after="0" w:line="240" w:lineRule="auto"/>
              <w:jc w:val="both"/>
              <w:rPr>
                <w:color w:val="0070C0"/>
                <w:sz w:val="16"/>
                <w:szCs w:val="16"/>
              </w:rPr>
            </w:pPr>
          </w:p>
        </w:tc>
        <w:tc>
          <w:tcPr>
            <w:tcW w:w="821" w:type="dxa"/>
          </w:tcPr>
          <w:p w14:paraId="21AB763D" w14:textId="77777777" w:rsidR="00917E4B" w:rsidRPr="008A2E5A" w:rsidRDefault="00917E4B" w:rsidP="004C5D62">
            <w:pPr>
              <w:spacing w:after="0" w:line="240" w:lineRule="auto"/>
              <w:jc w:val="both"/>
              <w:rPr>
                <w:color w:val="0070C0"/>
                <w:sz w:val="16"/>
                <w:szCs w:val="16"/>
              </w:rPr>
            </w:pPr>
          </w:p>
        </w:tc>
        <w:tc>
          <w:tcPr>
            <w:tcW w:w="821" w:type="dxa"/>
          </w:tcPr>
          <w:p w14:paraId="49E3D987" w14:textId="77777777" w:rsidR="00917E4B" w:rsidRPr="008A2E5A" w:rsidRDefault="00917E4B" w:rsidP="004C5D62">
            <w:pPr>
              <w:spacing w:after="0" w:line="240" w:lineRule="auto"/>
              <w:jc w:val="both"/>
              <w:rPr>
                <w:color w:val="0070C0"/>
                <w:sz w:val="16"/>
                <w:szCs w:val="16"/>
              </w:rPr>
            </w:pPr>
          </w:p>
        </w:tc>
        <w:tc>
          <w:tcPr>
            <w:tcW w:w="822" w:type="dxa"/>
          </w:tcPr>
          <w:p w14:paraId="451CE1F1" w14:textId="77777777" w:rsidR="00917E4B" w:rsidRPr="008A2E5A" w:rsidRDefault="00917E4B" w:rsidP="004C5D62">
            <w:pPr>
              <w:spacing w:after="0" w:line="240" w:lineRule="auto"/>
              <w:jc w:val="both"/>
              <w:rPr>
                <w:color w:val="0070C0"/>
                <w:sz w:val="16"/>
                <w:szCs w:val="16"/>
              </w:rPr>
            </w:pPr>
          </w:p>
        </w:tc>
        <w:tc>
          <w:tcPr>
            <w:tcW w:w="822" w:type="dxa"/>
          </w:tcPr>
          <w:p w14:paraId="0014A27C" w14:textId="77777777" w:rsidR="00917E4B" w:rsidRPr="008A2E5A" w:rsidRDefault="00917E4B" w:rsidP="004C5D62">
            <w:pPr>
              <w:spacing w:after="0" w:line="240" w:lineRule="auto"/>
              <w:jc w:val="both"/>
              <w:rPr>
                <w:color w:val="0070C0"/>
                <w:sz w:val="16"/>
                <w:szCs w:val="16"/>
              </w:rPr>
            </w:pPr>
          </w:p>
        </w:tc>
        <w:tc>
          <w:tcPr>
            <w:tcW w:w="822" w:type="dxa"/>
          </w:tcPr>
          <w:p w14:paraId="32AA30E9" w14:textId="77777777" w:rsidR="00917E4B" w:rsidRPr="008A2E5A" w:rsidRDefault="00917E4B" w:rsidP="004C5D62">
            <w:pPr>
              <w:spacing w:after="0" w:line="240" w:lineRule="auto"/>
              <w:jc w:val="both"/>
              <w:rPr>
                <w:color w:val="0070C0"/>
                <w:sz w:val="16"/>
                <w:szCs w:val="16"/>
              </w:rPr>
            </w:pPr>
          </w:p>
        </w:tc>
        <w:tc>
          <w:tcPr>
            <w:tcW w:w="822" w:type="dxa"/>
          </w:tcPr>
          <w:p w14:paraId="46232786" w14:textId="77777777" w:rsidR="00917E4B" w:rsidRPr="008A2E5A" w:rsidRDefault="00917E4B" w:rsidP="004C5D62">
            <w:pPr>
              <w:spacing w:after="0" w:line="240" w:lineRule="auto"/>
              <w:jc w:val="both"/>
              <w:rPr>
                <w:color w:val="0070C0"/>
                <w:sz w:val="16"/>
                <w:szCs w:val="16"/>
              </w:rPr>
            </w:pPr>
            <w:r w:rsidRPr="008A2E5A">
              <w:rPr>
                <w:color w:val="0070C0"/>
                <w:sz w:val="16"/>
                <w:szCs w:val="16"/>
              </w:rPr>
              <w:t>1150</w:t>
            </w:r>
          </w:p>
        </w:tc>
        <w:tc>
          <w:tcPr>
            <w:tcW w:w="822" w:type="dxa"/>
          </w:tcPr>
          <w:p w14:paraId="4DB00EBB" w14:textId="77777777" w:rsidR="00917E4B" w:rsidRPr="008A2E5A" w:rsidRDefault="00917E4B" w:rsidP="004C5D62">
            <w:pPr>
              <w:spacing w:after="0" w:line="240" w:lineRule="auto"/>
              <w:jc w:val="both"/>
              <w:rPr>
                <w:color w:val="0070C0"/>
                <w:sz w:val="16"/>
                <w:szCs w:val="16"/>
              </w:rPr>
            </w:pPr>
            <w:r w:rsidRPr="008A2E5A">
              <w:rPr>
                <w:color w:val="0070C0"/>
                <w:sz w:val="16"/>
                <w:szCs w:val="16"/>
              </w:rPr>
              <w:t>383</w:t>
            </w:r>
          </w:p>
        </w:tc>
        <w:tc>
          <w:tcPr>
            <w:tcW w:w="822" w:type="dxa"/>
          </w:tcPr>
          <w:p w14:paraId="7631E79C" w14:textId="77777777" w:rsidR="00917E4B" w:rsidRPr="008A2E5A" w:rsidRDefault="00917E4B" w:rsidP="004C5D62">
            <w:pPr>
              <w:spacing w:after="0" w:line="240" w:lineRule="auto"/>
              <w:jc w:val="both"/>
              <w:rPr>
                <w:color w:val="0070C0"/>
                <w:sz w:val="16"/>
                <w:szCs w:val="16"/>
              </w:rPr>
            </w:pPr>
          </w:p>
        </w:tc>
        <w:tc>
          <w:tcPr>
            <w:tcW w:w="822" w:type="dxa"/>
          </w:tcPr>
          <w:p w14:paraId="738F370B" w14:textId="77777777" w:rsidR="00917E4B" w:rsidRPr="008A2E5A" w:rsidRDefault="00917E4B" w:rsidP="004C5D62">
            <w:pPr>
              <w:spacing w:after="0" w:line="240" w:lineRule="auto"/>
              <w:jc w:val="both"/>
              <w:rPr>
                <w:color w:val="0070C0"/>
                <w:sz w:val="16"/>
                <w:szCs w:val="16"/>
              </w:rPr>
            </w:pPr>
          </w:p>
        </w:tc>
        <w:tc>
          <w:tcPr>
            <w:tcW w:w="822" w:type="dxa"/>
          </w:tcPr>
          <w:p w14:paraId="583F8613" w14:textId="77777777" w:rsidR="00917E4B" w:rsidRPr="008A2E5A" w:rsidRDefault="00917E4B" w:rsidP="004C5D62">
            <w:pPr>
              <w:spacing w:after="0" w:line="240" w:lineRule="auto"/>
              <w:jc w:val="both"/>
              <w:rPr>
                <w:color w:val="0070C0"/>
                <w:sz w:val="16"/>
                <w:szCs w:val="16"/>
              </w:rPr>
            </w:pPr>
          </w:p>
        </w:tc>
        <w:tc>
          <w:tcPr>
            <w:tcW w:w="822" w:type="dxa"/>
          </w:tcPr>
          <w:p w14:paraId="18076218" w14:textId="77777777" w:rsidR="00917E4B" w:rsidRPr="008A2E5A" w:rsidRDefault="00917E4B" w:rsidP="004C5D62">
            <w:pPr>
              <w:spacing w:after="0" w:line="240" w:lineRule="auto"/>
              <w:jc w:val="both"/>
              <w:rPr>
                <w:color w:val="0070C0"/>
                <w:sz w:val="16"/>
                <w:szCs w:val="16"/>
              </w:rPr>
            </w:pPr>
          </w:p>
        </w:tc>
      </w:tr>
      <w:tr w:rsidR="00917E4B" w:rsidRPr="008A2E5A" w14:paraId="780CA937" w14:textId="77777777" w:rsidTr="004C5D62">
        <w:tc>
          <w:tcPr>
            <w:tcW w:w="821" w:type="dxa"/>
          </w:tcPr>
          <w:p w14:paraId="4AC13A16" w14:textId="77777777" w:rsidR="00917E4B" w:rsidRPr="008A2E5A" w:rsidRDefault="00917E4B" w:rsidP="004C5D62">
            <w:pPr>
              <w:spacing w:after="0" w:line="240" w:lineRule="auto"/>
              <w:jc w:val="both"/>
              <w:rPr>
                <w:color w:val="0070C0"/>
                <w:sz w:val="16"/>
                <w:szCs w:val="16"/>
              </w:rPr>
            </w:pPr>
            <w:r w:rsidRPr="008A2E5A">
              <w:rPr>
                <w:color w:val="0070C0"/>
                <w:sz w:val="16"/>
                <w:szCs w:val="16"/>
              </w:rPr>
              <w:lastRenderedPageBreak/>
              <w:t>ТМФПкДШК</w:t>
            </w:r>
          </w:p>
        </w:tc>
        <w:tc>
          <w:tcPr>
            <w:tcW w:w="821" w:type="dxa"/>
          </w:tcPr>
          <w:p w14:paraId="71DE3308" w14:textId="77777777" w:rsidR="00917E4B" w:rsidRPr="008A2E5A" w:rsidRDefault="00917E4B" w:rsidP="004C5D62">
            <w:pPr>
              <w:spacing w:after="0" w:line="240" w:lineRule="auto"/>
              <w:jc w:val="both"/>
              <w:rPr>
                <w:color w:val="0070C0"/>
                <w:sz w:val="16"/>
                <w:szCs w:val="16"/>
              </w:rPr>
            </w:pPr>
          </w:p>
        </w:tc>
        <w:tc>
          <w:tcPr>
            <w:tcW w:w="821" w:type="dxa"/>
          </w:tcPr>
          <w:p w14:paraId="7458C053" w14:textId="77777777" w:rsidR="00917E4B" w:rsidRPr="008A2E5A" w:rsidRDefault="00917E4B" w:rsidP="004C5D62">
            <w:pPr>
              <w:spacing w:after="0" w:line="240" w:lineRule="auto"/>
              <w:jc w:val="both"/>
              <w:rPr>
                <w:color w:val="0070C0"/>
                <w:sz w:val="16"/>
                <w:szCs w:val="16"/>
              </w:rPr>
            </w:pPr>
          </w:p>
        </w:tc>
        <w:tc>
          <w:tcPr>
            <w:tcW w:w="821" w:type="dxa"/>
          </w:tcPr>
          <w:p w14:paraId="0BD72B43"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58A36D99" w14:textId="77777777" w:rsidR="00917E4B" w:rsidRPr="008A2E5A" w:rsidRDefault="00917E4B" w:rsidP="004C5D62">
            <w:pPr>
              <w:spacing w:after="0" w:line="240" w:lineRule="auto"/>
              <w:jc w:val="both"/>
              <w:rPr>
                <w:color w:val="0070C0"/>
                <w:sz w:val="16"/>
                <w:szCs w:val="16"/>
              </w:rPr>
            </w:pPr>
          </w:p>
        </w:tc>
        <w:tc>
          <w:tcPr>
            <w:tcW w:w="822" w:type="dxa"/>
          </w:tcPr>
          <w:p w14:paraId="10B072A2" w14:textId="77777777" w:rsidR="00917E4B" w:rsidRPr="008A2E5A" w:rsidRDefault="00917E4B" w:rsidP="004C5D62">
            <w:pPr>
              <w:spacing w:after="0" w:line="240" w:lineRule="auto"/>
              <w:jc w:val="both"/>
              <w:rPr>
                <w:color w:val="0070C0"/>
                <w:sz w:val="16"/>
                <w:szCs w:val="16"/>
              </w:rPr>
            </w:pPr>
          </w:p>
        </w:tc>
        <w:tc>
          <w:tcPr>
            <w:tcW w:w="822" w:type="dxa"/>
          </w:tcPr>
          <w:p w14:paraId="5C2A617B" w14:textId="77777777" w:rsidR="00917E4B" w:rsidRPr="008A2E5A" w:rsidRDefault="00917E4B" w:rsidP="004C5D62">
            <w:pPr>
              <w:spacing w:after="0" w:line="240" w:lineRule="auto"/>
              <w:jc w:val="both"/>
              <w:rPr>
                <w:color w:val="0070C0"/>
                <w:sz w:val="16"/>
                <w:szCs w:val="16"/>
              </w:rPr>
            </w:pPr>
          </w:p>
        </w:tc>
        <w:tc>
          <w:tcPr>
            <w:tcW w:w="822" w:type="dxa"/>
          </w:tcPr>
          <w:p w14:paraId="60EA811A"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w:t>
            </w:r>
          </w:p>
        </w:tc>
        <w:tc>
          <w:tcPr>
            <w:tcW w:w="822" w:type="dxa"/>
          </w:tcPr>
          <w:p w14:paraId="1F679EFC" w14:textId="77777777" w:rsidR="00917E4B" w:rsidRPr="008A2E5A" w:rsidRDefault="00917E4B" w:rsidP="004C5D62">
            <w:pPr>
              <w:spacing w:after="0" w:line="240" w:lineRule="auto"/>
              <w:jc w:val="both"/>
              <w:rPr>
                <w:color w:val="0070C0"/>
                <w:sz w:val="16"/>
                <w:szCs w:val="16"/>
              </w:rPr>
            </w:pPr>
            <w:r w:rsidRPr="008A2E5A">
              <w:rPr>
                <w:color w:val="0070C0"/>
                <w:sz w:val="16"/>
                <w:szCs w:val="16"/>
              </w:rPr>
              <w:t>439</w:t>
            </w:r>
          </w:p>
        </w:tc>
        <w:tc>
          <w:tcPr>
            <w:tcW w:w="822" w:type="dxa"/>
          </w:tcPr>
          <w:p w14:paraId="654AE989" w14:textId="77777777" w:rsidR="00917E4B" w:rsidRPr="008A2E5A" w:rsidRDefault="00917E4B" w:rsidP="004C5D62">
            <w:pPr>
              <w:spacing w:after="0" w:line="240" w:lineRule="auto"/>
              <w:jc w:val="both"/>
              <w:rPr>
                <w:color w:val="0070C0"/>
                <w:sz w:val="16"/>
                <w:szCs w:val="16"/>
              </w:rPr>
            </w:pPr>
          </w:p>
        </w:tc>
        <w:tc>
          <w:tcPr>
            <w:tcW w:w="822" w:type="dxa"/>
          </w:tcPr>
          <w:p w14:paraId="05EE0B42" w14:textId="77777777" w:rsidR="00917E4B" w:rsidRPr="008A2E5A" w:rsidRDefault="00917E4B" w:rsidP="004C5D62">
            <w:pPr>
              <w:spacing w:after="0" w:line="240" w:lineRule="auto"/>
              <w:jc w:val="both"/>
              <w:rPr>
                <w:color w:val="0070C0"/>
                <w:sz w:val="16"/>
                <w:szCs w:val="16"/>
              </w:rPr>
            </w:pPr>
          </w:p>
        </w:tc>
        <w:tc>
          <w:tcPr>
            <w:tcW w:w="822" w:type="dxa"/>
          </w:tcPr>
          <w:p w14:paraId="18329854" w14:textId="77777777" w:rsidR="00917E4B" w:rsidRPr="008A2E5A" w:rsidRDefault="00917E4B" w:rsidP="004C5D62">
            <w:pPr>
              <w:spacing w:after="0" w:line="240" w:lineRule="auto"/>
              <w:jc w:val="both"/>
              <w:rPr>
                <w:color w:val="0070C0"/>
                <w:sz w:val="16"/>
                <w:szCs w:val="16"/>
              </w:rPr>
            </w:pPr>
          </w:p>
        </w:tc>
        <w:tc>
          <w:tcPr>
            <w:tcW w:w="822" w:type="dxa"/>
          </w:tcPr>
          <w:p w14:paraId="680A8E94" w14:textId="77777777" w:rsidR="00917E4B" w:rsidRPr="008A2E5A" w:rsidRDefault="00917E4B" w:rsidP="004C5D62">
            <w:pPr>
              <w:spacing w:after="0" w:line="240" w:lineRule="auto"/>
              <w:jc w:val="both"/>
              <w:rPr>
                <w:color w:val="0070C0"/>
                <w:sz w:val="16"/>
                <w:szCs w:val="16"/>
              </w:rPr>
            </w:pPr>
          </w:p>
        </w:tc>
      </w:tr>
      <w:tr w:rsidR="00917E4B" w:rsidRPr="008A2E5A" w14:paraId="21E1AC1E" w14:textId="77777777" w:rsidTr="004C5D62">
        <w:tc>
          <w:tcPr>
            <w:tcW w:w="821" w:type="dxa"/>
          </w:tcPr>
          <w:p w14:paraId="18C4A0F0" w14:textId="77777777" w:rsidR="00917E4B" w:rsidRPr="008A2E5A" w:rsidRDefault="00917E4B" w:rsidP="004C5D62">
            <w:pPr>
              <w:spacing w:after="0" w:line="240" w:lineRule="auto"/>
              <w:jc w:val="both"/>
              <w:rPr>
                <w:color w:val="0070C0"/>
                <w:sz w:val="16"/>
                <w:szCs w:val="16"/>
              </w:rPr>
            </w:pPr>
            <w:r w:rsidRPr="008A2E5A">
              <w:rPr>
                <w:color w:val="0070C0"/>
                <w:sz w:val="16"/>
                <w:szCs w:val="16"/>
              </w:rPr>
              <w:t>ТМФПк ШВАК</w:t>
            </w:r>
          </w:p>
        </w:tc>
        <w:tc>
          <w:tcPr>
            <w:tcW w:w="821" w:type="dxa"/>
          </w:tcPr>
          <w:p w14:paraId="4A5ED7B3" w14:textId="77777777" w:rsidR="00917E4B" w:rsidRPr="008A2E5A" w:rsidRDefault="00917E4B" w:rsidP="004C5D62">
            <w:pPr>
              <w:spacing w:after="0" w:line="240" w:lineRule="auto"/>
              <w:jc w:val="both"/>
              <w:rPr>
                <w:color w:val="0070C0"/>
                <w:sz w:val="16"/>
                <w:szCs w:val="16"/>
              </w:rPr>
            </w:pPr>
            <w:r w:rsidRPr="008A2E5A">
              <w:rPr>
                <w:color w:val="0070C0"/>
                <w:sz w:val="16"/>
                <w:szCs w:val="16"/>
              </w:rPr>
              <w:t>2450</w:t>
            </w:r>
          </w:p>
        </w:tc>
        <w:tc>
          <w:tcPr>
            <w:tcW w:w="821" w:type="dxa"/>
          </w:tcPr>
          <w:p w14:paraId="3385D6EE" w14:textId="77777777" w:rsidR="00917E4B" w:rsidRPr="008A2E5A" w:rsidRDefault="00917E4B" w:rsidP="004C5D62">
            <w:pPr>
              <w:spacing w:after="0" w:line="240" w:lineRule="auto"/>
              <w:jc w:val="both"/>
              <w:rPr>
                <w:color w:val="0070C0"/>
                <w:sz w:val="16"/>
                <w:szCs w:val="16"/>
              </w:rPr>
            </w:pPr>
          </w:p>
        </w:tc>
        <w:tc>
          <w:tcPr>
            <w:tcW w:w="821" w:type="dxa"/>
          </w:tcPr>
          <w:p w14:paraId="30932754" w14:textId="77777777" w:rsidR="00917E4B" w:rsidRPr="008A2E5A" w:rsidRDefault="00917E4B" w:rsidP="004C5D62">
            <w:pPr>
              <w:spacing w:after="0" w:line="240" w:lineRule="auto"/>
              <w:jc w:val="both"/>
              <w:rPr>
                <w:color w:val="0070C0"/>
                <w:sz w:val="16"/>
                <w:szCs w:val="16"/>
              </w:rPr>
            </w:pPr>
            <w:r w:rsidRPr="008A2E5A">
              <w:rPr>
                <w:color w:val="0070C0"/>
                <w:sz w:val="16"/>
                <w:szCs w:val="16"/>
              </w:rPr>
              <w:t>2400</w:t>
            </w:r>
          </w:p>
        </w:tc>
        <w:tc>
          <w:tcPr>
            <w:tcW w:w="822" w:type="dxa"/>
          </w:tcPr>
          <w:p w14:paraId="18588434" w14:textId="77777777" w:rsidR="00917E4B" w:rsidRPr="008A2E5A" w:rsidRDefault="00917E4B" w:rsidP="004C5D62">
            <w:pPr>
              <w:spacing w:after="0" w:line="240" w:lineRule="auto"/>
              <w:jc w:val="both"/>
              <w:rPr>
                <w:color w:val="0070C0"/>
                <w:sz w:val="16"/>
                <w:szCs w:val="16"/>
              </w:rPr>
            </w:pPr>
          </w:p>
        </w:tc>
        <w:tc>
          <w:tcPr>
            <w:tcW w:w="822" w:type="dxa"/>
          </w:tcPr>
          <w:p w14:paraId="16D48BB2" w14:textId="77777777" w:rsidR="00917E4B" w:rsidRPr="008A2E5A" w:rsidRDefault="00917E4B" w:rsidP="004C5D62">
            <w:pPr>
              <w:spacing w:after="0" w:line="240" w:lineRule="auto"/>
              <w:jc w:val="both"/>
              <w:rPr>
                <w:color w:val="0070C0"/>
                <w:sz w:val="16"/>
                <w:szCs w:val="16"/>
              </w:rPr>
            </w:pPr>
            <w:r w:rsidRPr="008A2E5A">
              <w:rPr>
                <w:color w:val="0070C0"/>
                <w:sz w:val="16"/>
                <w:szCs w:val="16"/>
              </w:rPr>
              <w:t>2900</w:t>
            </w:r>
          </w:p>
        </w:tc>
        <w:tc>
          <w:tcPr>
            <w:tcW w:w="822" w:type="dxa"/>
          </w:tcPr>
          <w:p w14:paraId="72FFE61B" w14:textId="77777777" w:rsidR="00917E4B" w:rsidRPr="008A2E5A" w:rsidRDefault="00917E4B" w:rsidP="004C5D62">
            <w:pPr>
              <w:spacing w:after="0" w:line="240" w:lineRule="auto"/>
              <w:jc w:val="both"/>
              <w:rPr>
                <w:color w:val="0070C0"/>
                <w:sz w:val="16"/>
                <w:szCs w:val="16"/>
              </w:rPr>
            </w:pPr>
            <w:r w:rsidRPr="008A2E5A">
              <w:rPr>
                <w:color w:val="0070C0"/>
                <w:sz w:val="16"/>
                <w:szCs w:val="16"/>
              </w:rPr>
              <w:t>667</w:t>
            </w:r>
          </w:p>
        </w:tc>
        <w:tc>
          <w:tcPr>
            <w:tcW w:w="822" w:type="dxa"/>
          </w:tcPr>
          <w:p w14:paraId="5E2B8DB9" w14:textId="77777777" w:rsidR="00917E4B" w:rsidRPr="008A2E5A" w:rsidRDefault="00917E4B" w:rsidP="004C5D62">
            <w:pPr>
              <w:spacing w:after="0" w:line="240" w:lineRule="auto"/>
              <w:jc w:val="both"/>
              <w:rPr>
                <w:color w:val="0070C0"/>
                <w:sz w:val="16"/>
                <w:szCs w:val="16"/>
              </w:rPr>
            </w:pPr>
            <w:r w:rsidRPr="008A2E5A">
              <w:rPr>
                <w:color w:val="0070C0"/>
                <w:sz w:val="16"/>
                <w:szCs w:val="16"/>
              </w:rPr>
              <w:t>9500</w:t>
            </w:r>
          </w:p>
        </w:tc>
        <w:tc>
          <w:tcPr>
            <w:tcW w:w="822" w:type="dxa"/>
          </w:tcPr>
          <w:p w14:paraId="47E8CC0C" w14:textId="77777777" w:rsidR="00917E4B" w:rsidRPr="008A2E5A" w:rsidRDefault="00917E4B" w:rsidP="004C5D62">
            <w:pPr>
              <w:spacing w:after="0" w:line="240" w:lineRule="auto"/>
              <w:jc w:val="both"/>
              <w:rPr>
                <w:color w:val="0070C0"/>
                <w:sz w:val="16"/>
                <w:szCs w:val="16"/>
              </w:rPr>
            </w:pPr>
            <w:r w:rsidRPr="008A2E5A">
              <w:rPr>
                <w:color w:val="0070C0"/>
                <w:sz w:val="16"/>
                <w:szCs w:val="16"/>
              </w:rPr>
              <w:t>1838</w:t>
            </w:r>
          </w:p>
        </w:tc>
        <w:tc>
          <w:tcPr>
            <w:tcW w:w="822" w:type="dxa"/>
          </w:tcPr>
          <w:p w14:paraId="48E8BA08" w14:textId="77777777" w:rsidR="00917E4B" w:rsidRPr="008A2E5A" w:rsidRDefault="00917E4B" w:rsidP="004C5D62">
            <w:pPr>
              <w:spacing w:after="0" w:line="240" w:lineRule="auto"/>
              <w:jc w:val="both"/>
              <w:rPr>
                <w:color w:val="0070C0"/>
                <w:sz w:val="16"/>
                <w:szCs w:val="16"/>
              </w:rPr>
            </w:pPr>
          </w:p>
        </w:tc>
        <w:tc>
          <w:tcPr>
            <w:tcW w:w="822" w:type="dxa"/>
          </w:tcPr>
          <w:p w14:paraId="23359E4C" w14:textId="77777777" w:rsidR="00917E4B" w:rsidRPr="008A2E5A" w:rsidRDefault="00917E4B" w:rsidP="004C5D62">
            <w:pPr>
              <w:spacing w:after="0" w:line="240" w:lineRule="auto"/>
              <w:jc w:val="both"/>
              <w:rPr>
                <w:color w:val="0070C0"/>
                <w:sz w:val="16"/>
                <w:szCs w:val="16"/>
              </w:rPr>
            </w:pPr>
          </w:p>
        </w:tc>
        <w:tc>
          <w:tcPr>
            <w:tcW w:w="822" w:type="dxa"/>
          </w:tcPr>
          <w:p w14:paraId="5B0697D5" w14:textId="77777777" w:rsidR="00917E4B" w:rsidRPr="008A2E5A" w:rsidRDefault="00917E4B" w:rsidP="004C5D62">
            <w:pPr>
              <w:spacing w:after="0" w:line="240" w:lineRule="auto"/>
              <w:jc w:val="both"/>
              <w:rPr>
                <w:color w:val="0070C0"/>
                <w:sz w:val="16"/>
                <w:szCs w:val="16"/>
              </w:rPr>
            </w:pPr>
          </w:p>
        </w:tc>
        <w:tc>
          <w:tcPr>
            <w:tcW w:w="822" w:type="dxa"/>
          </w:tcPr>
          <w:p w14:paraId="26FBB87F" w14:textId="77777777" w:rsidR="00917E4B" w:rsidRPr="008A2E5A" w:rsidRDefault="00917E4B" w:rsidP="004C5D62">
            <w:pPr>
              <w:spacing w:after="0" w:line="240" w:lineRule="auto"/>
              <w:jc w:val="both"/>
              <w:rPr>
                <w:color w:val="0070C0"/>
                <w:sz w:val="16"/>
                <w:szCs w:val="16"/>
              </w:rPr>
            </w:pPr>
          </w:p>
        </w:tc>
      </w:tr>
      <w:tr w:rsidR="00917E4B" w:rsidRPr="008A2E5A" w14:paraId="01CED5D4" w14:textId="77777777" w:rsidTr="004C5D62">
        <w:tc>
          <w:tcPr>
            <w:tcW w:w="821" w:type="dxa"/>
          </w:tcPr>
          <w:p w14:paraId="6994B56A" w14:textId="77777777" w:rsidR="00917E4B" w:rsidRPr="008A2E5A" w:rsidRDefault="00917E4B" w:rsidP="004C5D62">
            <w:pPr>
              <w:spacing w:after="0" w:line="240" w:lineRule="auto"/>
              <w:jc w:val="both"/>
              <w:rPr>
                <w:color w:val="0070C0"/>
                <w:sz w:val="16"/>
                <w:szCs w:val="16"/>
              </w:rPr>
            </w:pPr>
            <w:r w:rsidRPr="008A2E5A">
              <w:rPr>
                <w:color w:val="0070C0"/>
                <w:sz w:val="16"/>
                <w:szCs w:val="16"/>
              </w:rPr>
              <w:t>Трубка холодной пристрелки к ШВАК</w:t>
            </w:r>
          </w:p>
        </w:tc>
        <w:tc>
          <w:tcPr>
            <w:tcW w:w="821" w:type="dxa"/>
          </w:tcPr>
          <w:p w14:paraId="09009E65"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w:t>
            </w:r>
          </w:p>
        </w:tc>
        <w:tc>
          <w:tcPr>
            <w:tcW w:w="821" w:type="dxa"/>
          </w:tcPr>
          <w:p w14:paraId="77C937F8" w14:textId="77777777" w:rsidR="00917E4B" w:rsidRPr="008A2E5A" w:rsidRDefault="00917E4B" w:rsidP="004C5D62">
            <w:pPr>
              <w:spacing w:after="0" w:line="240" w:lineRule="auto"/>
              <w:jc w:val="both"/>
              <w:rPr>
                <w:color w:val="0070C0"/>
                <w:sz w:val="16"/>
                <w:szCs w:val="16"/>
              </w:rPr>
            </w:pPr>
          </w:p>
        </w:tc>
        <w:tc>
          <w:tcPr>
            <w:tcW w:w="821" w:type="dxa"/>
          </w:tcPr>
          <w:p w14:paraId="7D751688"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w:t>
            </w:r>
          </w:p>
        </w:tc>
        <w:tc>
          <w:tcPr>
            <w:tcW w:w="822" w:type="dxa"/>
          </w:tcPr>
          <w:p w14:paraId="0FEE5FE9" w14:textId="77777777" w:rsidR="00917E4B" w:rsidRPr="008A2E5A" w:rsidRDefault="00917E4B" w:rsidP="004C5D62">
            <w:pPr>
              <w:spacing w:after="0" w:line="240" w:lineRule="auto"/>
              <w:jc w:val="both"/>
              <w:rPr>
                <w:color w:val="0070C0"/>
                <w:sz w:val="16"/>
                <w:szCs w:val="16"/>
              </w:rPr>
            </w:pPr>
          </w:p>
        </w:tc>
        <w:tc>
          <w:tcPr>
            <w:tcW w:w="822" w:type="dxa"/>
          </w:tcPr>
          <w:p w14:paraId="46E234E7"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w:t>
            </w:r>
          </w:p>
        </w:tc>
        <w:tc>
          <w:tcPr>
            <w:tcW w:w="822" w:type="dxa"/>
          </w:tcPr>
          <w:p w14:paraId="6F1451CA" w14:textId="77777777" w:rsidR="00917E4B" w:rsidRPr="008A2E5A" w:rsidRDefault="00917E4B" w:rsidP="004C5D62">
            <w:pPr>
              <w:spacing w:after="0" w:line="240" w:lineRule="auto"/>
              <w:jc w:val="both"/>
              <w:rPr>
                <w:color w:val="0070C0"/>
                <w:sz w:val="16"/>
                <w:szCs w:val="16"/>
              </w:rPr>
            </w:pPr>
          </w:p>
        </w:tc>
        <w:tc>
          <w:tcPr>
            <w:tcW w:w="822" w:type="dxa"/>
          </w:tcPr>
          <w:p w14:paraId="7992A458"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2" w:type="dxa"/>
          </w:tcPr>
          <w:p w14:paraId="09B7CED1" w14:textId="77777777" w:rsidR="00917E4B" w:rsidRPr="008A2E5A" w:rsidRDefault="00917E4B" w:rsidP="004C5D62">
            <w:pPr>
              <w:spacing w:after="0" w:line="240" w:lineRule="auto"/>
              <w:jc w:val="both"/>
              <w:rPr>
                <w:color w:val="0070C0"/>
                <w:sz w:val="16"/>
                <w:szCs w:val="16"/>
              </w:rPr>
            </w:pPr>
            <w:r w:rsidRPr="008A2E5A">
              <w:rPr>
                <w:color w:val="0070C0"/>
                <w:sz w:val="16"/>
                <w:szCs w:val="16"/>
              </w:rPr>
              <w:t>290</w:t>
            </w:r>
          </w:p>
        </w:tc>
        <w:tc>
          <w:tcPr>
            <w:tcW w:w="822" w:type="dxa"/>
          </w:tcPr>
          <w:p w14:paraId="6B85CB5D" w14:textId="77777777" w:rsidR="00917E4B" w:rsidRPr="008A2E5A" w:rsidRDefault="00917E4B" w:rsidP="004C5D62">
            <w:pPr>
              <w:spacing w:after="0" w:line="240" w:lineRule="auto"/>
              <w:jc w:val="both"/>
              <w:rPr>
                <w:color w:val="0070C0"/>
                <w:sz w:val="16"/>
                <w:szCs w:val="16"/>
              </w:rPr>
            </w:pPr>
          </w:p>
        </w:tc>
        <w:tc>
          <w:tcPr>
            <w:tcW w:w="822" w:type="dxa"/>
          </w:tcPr>
          <w:p w14:paraId="06D7ABC5" w14:textId="77777777" w:rsidR="00917E4B" w:rsidRPr="008A2E5A" w:rsidRDefault="00917E4B" w:rsidP="004C5D62">
            <w:pPr>
              <w:spacing w:after="0" w:line="240" w:lineRule="auto"/>
              <w:jc w:val="both"/>
              <w:rPr>
                <w:color w:val="0070C0"/>
                <w:sz w:val="16"/>
                <w:szCs w:val="16"/>
              </w:rPr>
            </w:pPr>
          </w:p>
        </w:tc>
        <w:tc>
          <w:tcPr>
            <w:tcW w:w="822" w:type="dxa"/>
          </w:tcPr>
          <w:p w14:paraId="1AE55725" w14:textId="77777777" w:rsidR="00917E4B" w:rsidRPr="008A2E5A" w:rsidRDefault="00917E4B" w:rsidP="004C5D62">
            <w:pPr>
              <w:spacing w:after="0" w:line="240" w:lineRule="auto"/>
              <w:jc w:val="both"/>
              <w:rPr>
                <w:color w:val="0070C0"/>
                <w:sz w:val="16"/>
                <w:szCs w:val="16"/>
              </w:rPr>
            </w:pPr>
          </w:p>
        </w:tc>
        <w:tc>
          <w:tcPr>
            <w:tcW w:w="822" w:type="dxa"/>
          </w:tcPr>
          <w:p w14:paraId="6B4CF138" w14:textId="77777777" w:rsidR="00917E4B" w:rsidRPr="008A2E5A" w:rsidRDefault="00917E4B" w:rsidP="004C5D62">
            <w:pPr>
              <w:spacing w:after="0" w:line="240" w:lineRule="auto"/>
              <w:jc w:val="both"/>
              <w:rPr>
                <w:color w:val="0070C0"/>
                <w:sz w:val="16"/>
                <w:szCs w:val="16"/>
              </w:rPr>
            </w:pPr>
          </w:p>
        </w:tc>
      </w:tr>
      <w:tr w:rsidR="00917E4B" w:rsidRPr="008A2E5A" w14:paraId="3E2DAA05" w14:textId="77777777" w:rsidTr="004C5D62">
        <w:tc>
          <w:tcPr>
            <w:tcW w:w="821" w:type="dxa"/>
          </w:tcPr>
          <w:p w14:paraId="76EDC974" w14:textId="77777777" w:rsidR="00917E4B" w:rsidRPr="008A2E5A" w:rsidRDefault="00917E4B" w:rsidP="004C5D62">
            <w:pPr>
              <w:spacing w:after="0" w:line="240" w:lineRule="auto"/>
              <w:jc w:val="both"/>
              <w:rPr>
                <w:color w:val="0070C0"/>
                <w:sz w:val="16"/>
                <w:szCs w:val="16"/>
              </w:rPr>
            </w:pPr>
            <w:r w:rsidRPr="008A2E5A">
              <w:rPr>
                <w:color w:val="0070C0"/>
                <w:sz w:val="16"/>
                <w:szCs w:val="16"/>
              </w:rPr>
              <w:t>Трубка холодной пристрелки к ДТ</w:t>
            </w:r>
          </w:p>
        </w:tc>
        <w:tc>
          <w:tcPr>
            <w:tcW w:w="821" w:type="dxa"/>
          </w:tcPr>
          <w:p w14:paraId="1B566420"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w:t>
            </w:r>
          </w:p>
        </w:tc>
        <w:tc>
          <w:tcPr>
            <w:tcW w:w="821" w:type="dxa"/>
          </w:tcPr>
          <w:p w14:paraId="5C4BE947" w14:textId="77777777" w:rsidR="00917E4B" w:rsidRPr="008A2E5A" w:rsidRDefault="00917E4B" w:rsidP="004C5D62">
            <w:pPr>
              <w:spacing w:after="0" w:line="240" w:lineRule="auto"/>
              <w:jc w:val="both"/>
              <w:rPr>
                <w:color w:val="0070C0"/>
                <w:sz w:val="16"/>
                <w:szCs w:val="16"/>
              </w:rPr>
            </w:pPr>
            <w:r w:rsidRPr="008A2E5A">
              <w:rPr>
                <w:color w:val="0070C0"/>
                <w:sz w:val="16"/>
                <w:szCs w:val="16"/>
              </w:rPr>
              <w:t>33</w:t>
            </w:r>
          </w:p>
        </w:tc>
        <w:tc>
          <w:tcPr>
            <w:tcW w:w="821" w:type="dxa"/>
          </w:tcPr>
          <w:p w14:paraId="674137D6"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w:t>
            </w:r>
          </w:p>
        </w:tc>
        <w:tc>
          <w:tcPr>
            <w:tcW w:w="822" w:type="dxa"/>
          </w:tcPr>
          <w:p w14:paraId="4C07EDEC" w14:textId="77777777" w:rsidR="00917E4B" w:rsidRPr="008A2E5A" w:rsidRDefault="00917E4B" w:rsidP="004C5D62">
            <w:pPr>
              <w:spacing w:after="0" w:line="240" w:lineRule="auto"/>
              <w:jc w:val="both"/>
              <w:rPr>
                <w:color w:val="0070C0"/>
                <w:sz w:val="16"/>
                <w:szCs w:val="16"/>
              </w:rPr>
            </w:pPr>
          </w:p>
        </w:tc>
        <w:tc>
          <w:tcPr>
            <w:tcW w:w="822" w:type="dxa"/>
          </w:tcPr>
          <w:p w14:paraId="673F6720"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w:t>
            </w:r>
          </w:p>
        </w:tc>
        <w:tc>
          <w:tcPr>
            <w:tcW w:w="822" w:type="dxa"/>
          </w:tcPr>
          <w:p w14:paraId="06642227" w14:textId="77777777" w:rsidR="00917E4B" w:rsidRPr="008A2E5A" w:rsidRDefault="00917E4B" w:rsidP="004C5D62">
            <w:pPr>
              <w:spacing w:after="0" w:line="240" w:lineRule="auto"/>
              <w:jc w:val="both"/>
              <w:rPr>
                <w:color w:val="0070C0"/>
                <w:sz w:val="16"/>
                <w:szCs w:val="16"/>
              </w:rPr>
            </w:pPr>
            <w:r w:rsidRPr="008A2E5A">
              <w:rPr>
                <w:color w:val="0070C0"/>
                <w:sz w:val="16"/>
                <w:szCs w:val="16"/>
              </w:rPr>
              <w:t>120</w:t>
            </w:r>
          </w:p>
        </w:tc>
        <w:tc>
          <w:tcPr>
            <w:tcW w:w="822" w:type="dxa"/>
          </w:tcPr>
          <w:p w14:paraId="4A7ED862"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w:t>
            </w:r>
          </w:p>
        </w:tc>
        <w:tc>
          <w:tcPr>
            <w:tcW w:w="822" w:type="dxa"/>
          </w:tcPr>
          <w:p w14:paraId="7F3FF380" w14:textId="77777777" w:rsidR="00917E4B" w:rsidRPr="008A2E5A" w:rsidRDefault="00917E4B" w:rsidP="004C5D62">
            <w:pPr>
              <w:spacing w:after="0" w:line="240" w:lineRule="auto"/>
              <w:jc w:val="both"/>
              <w:rPr>
                <w:color w:val="0070C0"/>
                <w:sz w:val="16"/>
                <w:szCs w:val="16"/>
              </w:rPr>
            </w:pPr>
            <w:r w:rsidRPr="008A2E5A">
              <w:rPr>
                <w:color w:val="0070C0"/>
                <w:sz w:val="16"/>
                <w:szCs w:val="16"/>
              </w:rPr>
              <w:t>168</w:t>
            </w:r>
          </w:p>
        </w:tc>
        <w:tc>
          <w:tcPr>
            <w:tcW w:w="822" w:type="dxa"/>
          </w:tcPr>
          <w:p w14:paraId="536D75C7" w14:textId="77777777" w:rsidR="00917E4B" w:rsidRPr="008A2E5A" w:rsidRDefault="00917E4B" w:rsidP="004C5D62">
            <w:pPr>
              <w:spacing w:after="0" w:line="240" w:lineRule="auto"/>
              <w:jc w:val="both"/>
              <w:rPr>
                <w:color w:val="0070C0"/>
                <w:sz w:val="16"/>
                <w:szCs w:val="16"/>
              </w:rPr>
            </w:pPr>
          </w:p>
        </w:tc>
        <w:tc>
          <w:tcPr>
            <w:tcW w:w="822" w:type="dxa"/>
          </w:tcPr>
          <w:p w14:paraId="294C2BEF" w14:textId="77777777" w:rsidR="00917E4B" w:rsidRPr="008A2E5A" w:rsidRDefault="00917E4B" w:rsidP="004C5D62">
            <w:pPr>
              <w:spacing w:after="0" w:line="240" w:lineRule="auto"/>
              <w:jc w:val="both"/>
              <w:rPr>
                <w:color w:val="0070C0"/>
                <w:sz w:val="16"/>
                <w:szCs w:val="16"/>
              </w:rPr>
            </w:pPr>
          </w:p>
        </w:tc>
        <w:tc>
          <w:tcPr>
            <w:tcW w:w="822" w:type="dxa"/>
          </w:tcPr>
          <w:p w14:paraId="6A3E4517" w14:textId="77777777" w:rsidR="00917E4B" w:rsidRPr="008A2E5A" w:rsidRDefault="00917E4B" w:rsidP="004C5D62">
            <w:pPr>
              <w:spacing w:after="0" w:line="240" w:lineRule="auto"/>
              <w:jc w:val="both"/>
              <w:rPr>
                <w:color w:val="0070C0"/>
                <w:sz w:val="16"/>
                <w:szCs w:val="16"/>
              </w:rPr>
            </w:pPr>
          </w:p>
        </w:tc>
        <w:tc>
          <w:tcPr>
            <w:tcW w:w="822" w:type="dxa"/>
          </w:tcPr>
          <w:p w14:paraId="71ED7851" w14:textId="77777777" w:rsidR="00917E4B" w:rsidRPr="008A2E5A" w:rsidRDefault="00917E4B" w:rsidP="004C5D62">
            <w:pPr>
              <w:spacing w:after="0" w:line="240" w:lineRule="auto"/>
              <w:jc w:val="both"/>
              <w:rPr>
                <w:color w:val="0070C0"/>
                <w:sz w:val="16"/>
                <w:szCs w:val="16"/>
              </w:rPr>
            </w:pPr>
          </w:p>
        </w:tc>
      </w:tr>
      <w:tr w:rsidR="00917E4B" w:rsidRPr="008A2E5A" w14:paraId="03B6522B" w14:textId="77777777" w:rsidTr="004C5D62">
        <w:tc>
          <w:tcPr>
            <w:tcW w:w="821" w:type="dxa"/>
          </w:tcPr>
          <w:p w14:paraId="78E05F8C" w14:textId="77777777" w:rsidR="00917E4B" w:rsidRPr="008A2E5A" w:rsidRDefault="00917E4B" w:rsidP="004C5D62">
            <w:pPr>
              <w:spacing w:after="0" w:line="240" w:lineRule="auto"/>
              <w:jc w:val="both"/>
              <w:rPr>
                <w:color w:val="0070C0"/>
                <w:sz w:val="16"/>
                <w:szCs w:val="16"/>
              </w:rPr>
            </w:pPr>
            <w:r w:rsidRPr="008A2E5A">
              <w:rPr>
                <w:color w:val="0070C0"/>
                <w:sz w:val="16"/>
                <w:szCs w:val="16"/>
              </w:rPr>
              <w:t>Зен[итный] прицел обр. 1936 г.</w:t>
            </w:r>
          </w:p>
        </w:tc>
        <w:tc>
          <w:tcPr>
            <w:tcW w:w="821" w:type="dxa"/>
          </w:tcPr>
          <w:p w14:paraId="52BE86FA"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1" w:type="dxa"/>
          </w:tcPr>
          <w:p w14:paraId="724D0E3E" w14:textId="77777777" w:rsidR="00917E4B" w:rsidRPr="008A2E5A" w:rsidRDefault="00917E4B" w:rsidP="004C5D62">
            <w:pPr>
              <w:spacing w:after="0" w:line="240" w:lineRule="auto"/>
              <w:jc w:val="both"/>
              <w:rPr>
                <w:color w:val="0070C0"/>
                <w:sz w:val="16"/>
                <w:szCs w:val="16"/>
              </w:rPr>
            </w:pPr>
          </w:p>
        </w:tc>
        <w:tc>
          <w:tcPr>
            <w:tcW w:w="821" w:type="dxa"/>
          </w:tcPr>
          <w:p w14:paraId="1128502B"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2" w:type="dxa"/>
          </w:tcPr>
          <w:p w14:paraId="52984DF9" w14:textId="77777777" w:rsidR="00917E4B" w:rsidRPr="008A2E5A" w:rsidRDefault="00917E4B" w:rsidP="004C5D62">
            <w:pPr>
              <w:spacing w:after="0" w:line="240" w:lineRule="auto"/>
              <w:jc w:val="both"/>
              <w:rPr>
                <w:color w:val="0070C0"/>
                <w:sz w:val="16"/>
                <w:szCs w:val="16"/>
              </w:rPr>
            </w:pPr>
            <w:r w:rsidRPr="008A2E5A">
              <w:rPr>
                <w:color w:val="0070C0"/>
                <w:sz w:val="16"/>
                <w:szCs w:val="16"/>
              </w:rPr>
              <w:t>152</w:t>
            </w:r>
          </w:p>
        </w:tc>
        <w:tc>
          <w:tcPr>
            <w:tcW w:w="822" w:type="dxa"/>
          </w:tcPr>
          <w:p w14:paraId="37F426D2"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w:t>
            </w:r>
          </w:p>
        </w:tc>
        <w:tc>
          <w:tcPr>
            <w:tcW w:w="822" w:type="dxa"/>
          </w:tcPr>
          <w:p w14:paraId="2C820634" w14:textId="77777777" w:rsidR="00917E4B" w:rsidRPr="008A2E5A" w:rsidRDefault="00917E4B" w:rsidP="004C5D62">
            <w:pPr>
              <w:spacing w:after="0" w:line="240" w:lineRule="auto"/>
              <w:jc w:val="both"/>
              <w:rPr>
                <w:color w:val="0070C0"/>
                <w:sz w:val="16"/>
                <w:szCs w:val="16"/>
              </w:rPr>
            </w:pPr>
          </w:p>
        </w:tc>
        <w:tc>
          <w:tcPr>
            <w:tcW w:w="822" w:type="dxa"/>
          </w:tcPr>
          <w:p w14:paraId="1334D069" w14:textId="77777777" w:rsidR="00917E4B" w:rsidRPr="008A2E5A" w:rsidRDefault="00917E4B" w:rsidP="004C5D62">
            <w:pPr>
              <w:spacing w:after="0" w:line="240" w:lineRule="auto"/>
              <w:jc w:val="both"/>
              <w:rPr>
                <w:color w:val="0070C0"/>
                <w:sz w:val="16"/>
                <w:szCs w:val="16"/>
              </w:rPr>
            </w:pPr>
            <w:r w:rsidRPr="008A2E5A">
              <w:rPr>
                <w:color w:val="0070C0"/>
                <w:sz w:val="16"/>
                <w:szCs w:val="16"/>
              </w:rPr>
              <w:t>4500</w:t>
            </w:r>
          </w:p>
        </w:tc>
        <w:tc>
          <w:tcPr>
            <w:tcW w:w="822" w:type="dxa"/>
          </w:tcPr>
          <w:p w14:paraId="6C2C059D" w14:textId="77777777" w:rsidR="00917E4B" w:rsidRPr="008A2E5A" w:rsidRDefault="00917E4B" w:rsidP="004C5D62">
            <w:pPr>
              <w:spacing w:after="0" w:line="240" w:lineRule="auto"/>
              <w:jc w:val="both"/>
              <w:rPr>
                <w:color w:val="0070C0"/>
                <w:sz w:val="16"/>
                <w:szCs w:val="16"/>
              </w:rPr>
            </w:pPr>
            <w:r w:rsidRPr="008A2E5A">
              <w:rPr>
                <w:color w:val="0070C0"/>
                <w:sz w:val="16"/>
                <w:szCs w:val="16"/>
              </w:rPr>
              <w:t>972</w:t>
            </w:r>
          </w:p>
        </w:tc>
        <w:tc>
          <w:tcPr>
            <w:tcW w:w="822" w:type="dxa"/>
          </w:tcPr>
          <w:p w14:paraId="6FE03E16" w14:textId="77777777" w:rsidR="00917E4B" w:rsidRPr="008A2E5A" w:rsidRDefault="00917E4B" w:rsidP="004C5D62">
            <w:pPr>
              <w:spacing w:after="0" w:line="240" w:lineRule="auto"/>
              <w:jc w:val="both"/>
              <w:rPr>
                <w:color w:val="0070C0"/>
                <w:sz w:val="16"/>
                <w:szCs w:val="16"/>
              </w:rPr>
            </w:pPr>
          </w:p>
        </w:tc>
        <w:tc>
          <w:tcPr>
            <w:tcW w:w="822" w:type="dxa"/>
          </w:tcPr>
          <w:p w14:paraId="08BABB1F" w14:textId="77777777" w:rsidR="00917E4B" w:rsidRPr="008A2E5A" w:rsidRDefault="00917E4B" w:rsidP="004C5D62">
            <w:pPr>
              <w:spacing w:after="0" w:line="240" w:lineRule="auto"/>
              <w:jc w:val="both"/>
              <w:rPr>
                <w:color w:val="0070C0"/>
                <w:sz w:val="16"/>
                <w:szCs w:val="16"/>
              </w:rPr>
            </w:pPr>
          </w:p>
        </w:tc>
        <w:tc>
          <w:tcPr>
            <w:tcW w:w="822" w:type="dxa"/>
          </w:tcPr>
          <w:p w14:paraId="7EA941BD" w14:textId="77777777" w:rsidR="00917E4B" w:rsidRPr="008A2E5A" w:rsidRDefault="00917E4B" w:rsidP="004C5D62">
            <w:pPr>
              <w:spacing w:after="0" w:line="240" w:lineRule="auto"/>
              <w:jc w:val="both"/>
              <w:rPr>
                <w:color w:val="0070C0"/>
                <w:sz w:val="16"/>
                <w:szCs w:val="16"/>
              </w:rPr>
            </w:pPr>
          </w:p>
        </w:tc>
        <w:tc>
          <w:tcPr>
            <w:tcW w:w="822" w:type="dxa"/>
          </w:tcPr>
          <w:p w14:paraId="3E4BF9AE" w14:textId="77777777" w:rsidR="00917E4B" w:rsidRPr="008A2E5A" w:rsidRDefault="00917E4B" w:rsidP="004C5D62">
            <w:pPr>
              <w:spacing w:after="0" w:line="240" w:lineRule="auto"/>
              <w:jc w:val="both"/>
              <w:rPr>
                <w:color w:val="0070C0"/>
                <w:sz w:val="16"/>
                <w:szCs w:val="16"/>
              </w:rPr>
            </w:pPr>
          </w:p>
        </w:tc>
      </w:tr>
      <w:tr w:rsidR="00917E4B" w:rsidRPr="008A2E5A" w14:paraId="1DC4CD67" w14:textId="77777777" w:rsidTr="004C5D62">
        <w:tc>
          <w:tcPr>
            <w:tcW w:w="821" w:type="dxa"/>
          </w:tcPr>
          <w:p w14:paraId="047AF9D1" w14:textId="77777777" w:rsidR="00917E4B" w:rsidRPr="008A2E5A" w:rsidRDefault="00917E4B" w:rsidP="004C5D62">
            <w:pPr>
              <w:spacing w:after="0" w:line="240" w:lineRule="auto"/>
              <w:jc w:val="both"/>
              <w:rPr>
                <w:color w:val="0070C0"/>
                <w:sz w:val="16"/>
                <w:szCs w:val="16"/>
              </w:rPr>
            </w:pPr>
            <w:r w:rsidRPr="008A2E5A">
              <w:rPr>
                <w:color w:val="0070C0"/>
                <w:sz w:val="16"/>
                <w:szCs w:val="16"/>
              </w:rPr>
              <w:t>Зен[итный] прицел обр. 1941 г.</w:t>
            </w:r>
          </w:p>
        </w:tc>
        <w:tc>
          <w:tcPr>
            <w:tcW w:w="821" w:type="dxa"/>
          </w:tcPr>
          <w:p w14:paraId="7CCE7142" w14:textId="77777777" w:rsidR="00917E4B" w:rsidRPr="008A2E5A" w:rsidRDefault="00917E4B" w:rsidP="004C5D62">
            <w:pPr>
              <w:spacing w:after="0" w:line="240" w:lineRule="auto"/>
              <w:jc w:val="both"/>
              <w:rPr>
                <w:color w:val="0070C0"/>
                <w:sz w:val="16"/>
                <w:szCs w:val="16"/>
              </w:rPr>
            </w:pPr>
          </w:p>
        </w:tc>
        <w:tc>
          <w:tcPr>
            <w:tcW w:w="821" w:type="dxa"/>
          </w:tcPr>
          <w:p w14:paraId="16DBE2DF" w14:textId="77777777" w:rsidR="00917E4B" w:rsidRPr="008A2E5A" w:rsidRDefault="00917E4B" w:rsidP="004C5D62">
            <w:pPr>
              <w:spacing w:after="0" w:line="240" w:lineRule="auto"/>
              <w:jc w:val="both"/>
              <w:rPr>
                <w:color w:val="0070C0"/>
                <w:sz w:val="16"/>
                <w:szCs w:val="16"/>
              </w:rPr>
            </w:pPr>
          </w:p>
        </w:tc>
        <w:tc>
          <w:tcPr>
            <w:tcW w:w="821" w:type="dxa"/>
          </w:tcPr>
          <w:p w14:paraId="0C9B3C16" w14:textId="77777777" w:rsidR="00917E4B" w:rsidRPr="008A2E5A" w:rsidRDefault="00917E4B" w:rsidP="004C5D62">
            <w:pPr>
              <w:spacing w:after="0" w:line="240" w:lineRule="auto"/>
              <w:jc w:val="both"/>
              <w:rPr>
                <w:color w:val="0070C0"/>
                <w:sz w:val="16"/>
                <w:szCs w:val="16"/>
              </w:rPr>
            </w:pPr>
          </w:p>
        </w:tc>
        <w:tc>
          <w:tcPr>
            <w:tcW w:w="822" w:type="dxa"/>
          </w:tcPr>
          <w:p w14:paraId="3A5CDEE0" w14:textId="77777777" w:rsidR="00917E4B" w:rsidRPr="008A2E5A" w:rsidRDefault="00917E4B" w:rsidP="004C5D62">
            <w:pPr>
              <w:spacing w:after="0" w:line="240" w:lineRule="auto"/>
              <w:jc w:val="both"/>
              <w:rPr>
                <w:color w:val="0070C0"/>
                <w:sz w:val="16"/>
                <w:szCs w:val="16"/>
              </w:rPr>
            </w:pPr>
          </w:p>
        </w:tc>
        <w:tc>
          <w:tcPr>
            <w:tcW w:w="822" w:type="dxa"/>
          </w:tcPr>
          <w:p w14:paraId="17DF0AC6"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w:t>
            </w:r>
          </w:p>
        </w:tc>
        <w:tc>
          <w:tcPr>
            <w:tcW w:w="822" w:type="dxa"/>
          </w:tcPr>
          <w:p w14:paraId="62AD07C6" w14:textId="77777777" w:rsidR="00917E4B" w:rsidRPr="008A2E5A" w:rsidRDefault="00917E4B" w:rsidP="004C5D62">
            <w:pPr>
              <w:spacing w:after="0" w:line="240" w:lineRule="auto"/>
              <w:jc w:val="both"/>
              <w:rPr>
                <w:color w:val="0070C0"/>
                <w:sz w:val="16"/>
                <w:szCs w:val="16"/>
              </w:rPr>
            </w:pPr>
            <w:r w:rsidRPr="008A2E5A">
              <w:rPr>
                <w:color w:val="0070C0"/>
                <w:sz w:val="16"/>
                <w:szCs w:val="16"/>
              </w:rPr>
              <w:t>1202</w:t>
            </w:r>
          </w:p>
        </w:tc>
        <w:tc>
          <w:tcPr>
            <w:tcW w:w="822" w:type="dxa"/>
          </w:tcPr>
          <w:p w14:paraId="23101976"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w:t>
            </w:r>
          </w:p>
        </w:tc>
        <w:tc>
          <w:tcPr>
            <w:tcW w:w="822" w:type="dxa"/>
          </w:tcPr>
          <w:p w14:paraId="3BAD983D" w14:textId="77777777" w:rsidR="00917E4B" w:rsidRPr="008A2E5A" w:rsidRDefault="00917E4B" w:rsidP="004C5D62">
            <w:pPr>
              <w:spacing w:after="0" w:line="240" w:lineRule="auto"/>
              <w:jc w:val="both"/>
              <w:rPr>
                <w:color w:val="0070C0"/>
                <w:sz w:val="16"/>
                <w:szCs w:val="16"/>
              </w:rPr>
            </w:pPr>
            <w:r w:rsidRPr="008A2E5A">
              <w:rPr>
                <w:color w:val="0070C0"/>
                <w:sz w:val="16"/>
                <w:szCs w:val="16"/>
              </w:rPr>
              <w:t>1202</w:t>
            </w:r>
          </w:p>
        </w:tc>
        <w:tc>
          <w:tcPr>
            <w:tcW w:w="822" w:type="dxa"/>
          </w:tcPr>
          <w:p w14:paraId="0DB623DF" w14:textId="77777777" w:rsidR="00917E4B" w:rsidRPr="008A2E5A" w:rsidRDefault="00917E4B" w:rsidP="004C5D62">
            <w:pPr>
              <w:spacing w:after="0" w:line="240" w:lineRule="auto"/>
              <w:jc w:val="both"/>
              <w:rPr>
                <w:color w:val="0070C0"/>
                <w:sz w:val="16"/>
                <w:szCs w:val="16"/>
              </w:rPr>
            </w:pPr>
          </w:p>
        </w:tc>
        <w:tc>
          <w:tcPr>
            <w:tcW w:w="822" w:type="dxa"/>
          </w:tcPr>
          <w:p w14:paraId="1F8ACEF9" w14:textId="77777777" w:rsidR="00917E4B" w:rsidRPr="008A2E5A" w:rsidRDefault="00917E4B" w:rsidP="004C5D62">
            <w:pPr>
              <w:spacing w:after="0" w:line="240" w:lineRule="auto"/>
              <w:jc w:val="both"/>
              <w:rPr>
                <w:color w:val="0070C0"/>
                <w:sz w:val="16"/>
                <w:szCs w:val="16"/>
              </w:rPr>
            </w:pPr>
          </w:p>
        </w:tc>
        <w:tc>
          <w:tcPr>
            <w:tcW w:w="822" w:type="dxa"/>
          </w:tcPr>
          <w:p w14:paraId="2B32D956" w14:textId="77777777" w:rsidR="00917E4B" w:rsidRPr="008A2E5A" w:rsidRDefault="00917E4B" w:rsidP="004C5D62">
            <w:pPr>
              <w:spacing w:after="0" w:line="240" w:lineRule="auto"/>
              <w:jc w:val="both"/>
              <w:rPr>
                <w:color w:val="0070C0"/>
                <w:sz w:val="16"/>
                <w:szCs w:val="16"/>
              </w:rPr>
            </w:pPr>
          </w:p>
        </w:tc>
        <w:tc>
          <w:tcPr>
            <w:tcW w:w="822" w:type="dxa"/>
          </w:tcPr>
          <w:p w14:paraId="58C87888" w14:textId="77777777" w:rsidR="00917E4B" w:rsidRPr="008A2E5A" w:rsidRDefault="00917E4B" w:rsidP="004C5D62">
            <w:pPr>
              <w:spacing w:after="0" w:line="240" w:lineRule="auto"/>
              <w:jc w:val="both"/>
              <w:rPr>
                <w:color w:val="0070C0"/>
                <w:sz w:val="16"/>
                <w:szCs w:val="16"/>
              </w:rPr>
            </w:pPr>
          </w:p>
        </w:tc>
      </w:tr>
      <w:tr w:rsidR="00917E4B" w:rsidRPr="008A2E5A" w14:paraId="45798C2D" w14:textId="77777777" w:rsidTr="004C5D62">
        <w:tc>
          <w:tcPr>
            <w:tcW w:w="821" w:type="dxa"/>
          </w:tcPr>
          <w:p w14:paraId="2208B3A6" w14:textId="77777777" w:rsidR="00917E4B" w:rsidRPr="008A2E5A" w:rsidRDefault="00917E4B" w:rsidP="004C5D62">
            <w:pPr>
              <w:spacing w:after="0" w:line="240" w:lineRule="auto"/>
              <w:jc w:val="both"/>
              <w:rPr>
                <w:color w:val="0070C0"/>
                <w:sz w:val="16"/>
                <w:szCs w:val="16"/>
              </w:rPr>
            </w:pPr>
            <w:r w:rsidRPr="008A2E5A">
              <w:rPr>
                <w:color w:val="0070C0"/>
                <w:sz w:val="16"/>
                <w:szCs w:val="16"/>
              </w:rPr>
              <w:t>Ун. станок обр. 1931 г.</w:t>
            </w:r>
          </w:p>
        </w:tc>
        <w:tc>
          <w:tcPr>
            <w:tcW w:w="821" w:type="dxa"/>
          </w:tcPr>
          <w:p w14:paraId="42E0A8DE" w14:textId="77777777" w:rsidR="00917E4B" w:rsidRPr="008A2E5A" w:rsidRDefault="00917E4B" w:rsidP="004C5D62">
            <w:pPr>
              <w:spacing w:after="0" w:line="240" w:lineRule="auto"/>
              <w:jc w:val="both"/>
              <w:rPr>
                <w:color w:val="0070C0"/>
                <w:sz w:val="16"/>
                <w:szCs w:val="16"/>
              </w:rPr>
            </w:pPr>
          </w:p>
        </w:tc>
        <w:tc>
          <w:tcPr>
            <w:tcW w:w="821" w:type="dxa"/>
          </w:tcPr>
          <w:p w14:paraId="3FBB2404" w14:textId="77777777" w:rsidR="00917E4B" w:rsidRPr="008A2E5A" w:rsidRDefault="00917E4B" w:rsidP="004C5D62">
            <w:pPr>
              <w:spacing w:after="0" w:line="240" w:lineRule="auto"/>
              <w:jc w:val="both"/>
              <w:rPr>
                <w:color w:val="0070C0"/>
                <w:sz w:val="16"/>
                <w:szCs w:val="16"/>
              </w:rPr>
            </w:pPr>
          </w:p>
        </w:tc>
        <w:tc>
          <w:tcPr>
            <w:tcW w:w="821" w:type="dxa"/>
          </w:tcPr>
          <w:p w14:paraId="09617F5A" w14:textId="77777777" w:rsidR="00917E4B" w:rsidRPr="008A2E5A" w:rsidRDefault="00917E4B" w:rsidP="004C5D62">
            <w:pPr>
              <w:spacing w:after="0" w:line="240" w:lineRule="auto"/>
              <w:jc w:val="both"/>
              <w:rPr>
                <w:color w:val="0070C0"/>
                <w:sz w:val="16"/>
                <w:szCs w:val="16"/>
              </w:rPr>
            </w:pPr>
          </w:p>
        </w:tc>
        <w:tc>
          <w:tcPr>
            <w:tcW w:w="822" w:type="dxa"/>
          </w:tcPr>
          <w:p w14:paraId="7C5F67A0" w14:textId="77777777" w:rsidR="00917E4B" w:rsidRPr="008A2E5A" w:rsidRDefault="00917E4B" w:rsidP="004C5D62">
            <w:pPr>
              <w:spacing w:after="0" w:line="240" w:lineRule="auto"/>
              <w:jc w:val="both"/>
              <w:rPr>
                <w:color w:val="0070C0"/>
                <w:sz w:val="16"/>
                <w:szCs w:val="16"/>
              </w:rPr>
            </w:pPr>
            <w:r w:rsidRPr="008A2E5A">
              <w:rPr>
                <w:color w:val="0070C0"/>
                <w:sz w:val="16"/>
                <w:szCs w:val="16"/>
              </w:rPr>
              <w:t>110.</w:t>
            </w:r>
          </w:p>
        </w:tc>
        <w:tc>
          <w:tcPr>
            <w:tcW w:w="822" w:type="dxa"/>
          </w:tcPr>
          <w:p w14:paraId="73174D59"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w:t>
            </w:r>
          </w:p>
        </w:tc>
        <w:tc>
          <w:tcPr>
            <w:tcW w:w="822" w:type="dxa"/>
          </w:tcPr>
          <w:p w14:paraId="5FFF42A5"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w:t>
            </w:r>
          </w:p>
        </w:tc>
        <w:tc>
          <w:tcPr>
            <w:tcW w:w="822" w:type="dxa"/>
          </w:tcPr>
          <w:p w14:paraId="5EACA2C2" w14:textId="77777777" w:rsidR="00917E4B" w:rsidRPr="008A2E5A" w:rsidRDefault="00917E4B" w:rsidP="004C5D62">
            <w:pPr>
              <w:spacing w:after="0" w:line="240" w:lineRule="auto"/>
              <w:jc w:val="both"/>
              <w:rPr>
                <w:color w:val="0070C0"/>
                <w:sz w:val="16"/>
                <w:szCs w:val="16"/>
              </w:rPr>
            </w:pPr>
            <w:r w:rsidRPr="008A2E5A">
              <w:rPr>
                <w:color w:val="0070C0"/>
                <w:sz w:val="16"/>
                <w:szCs w:val="16"/>
              </w:rPr>
              <w:t>250</w:t>
            </w:r>
          </w:p>
        </w:tc>
        <w:tc>
          <w:tcPr>
            <w:tcW w:w="822" w:type="dxa"/>
          </w:tcPr>
          <w:p w14:paraId="1FECDF1E" w14:textId="77777777" w:rsidR="00917E4B" w:rsidRPr="008A2E5A" w:rsidRDefault="00917E4B" w:rsidP="004C5D62">
            <w:pPr>
              <w:spacing w:after="0" w:line="240" w:lineRule="auto"/>
              <w:jc w:val="both"/>
              <w:rPr>
                <w:color w:val="0070C0"/>
                <w:sz w:val="16"/>
                <w:szCs w:val="16"/>
              </w:rPr>
            </w:pPr>
            <w:r w:rsidRPr="008A2E5A">
              <w:rPr>
                <w:color w:val="0070C0"/>
                <w:sz w:val="16"/>
                <w:szCs w:val="16"/>
              </w:rPr>
              <w:t>394 |</w:t>
            </w:r>
          </w:p>
        </w:tc>
        <w:tc>
          <w:tcPr>
            <w:tcW w:w="822" w:type="dxa"/>
          </w:tcPr>
          <w:p w14:paraId="5D38584A" w14:textId="77777777" w:rsidR="00917E4B" w:rsidRPr="008A2E5A" w:rsidRDefault="00917E4B" w:rsidP="004C5D62">
            <w:pPr>
              <w:spacing w:after="0" w:line="240" w:lineRule="auto"/>
              <w:jc w:val="both"/>
              <w:rPr>
                <w:color w:val="0070C0"/>
                <w:sz w:val="16"/>
                <w:szCs w:val="16"/>
              </w:rPr>
            </w:pPr>
          </w:p>
        </w:tc>
        <w:tc>
          <w:tcPr>
            <w:tcW w:w="822" w:type="dxa"/>
          </w:tcPr>
          <w:p w14:paraId="559FF948" w14:textId="77777777" w:rsidR="00917E4B" w:rsidRPr="008A2E5A" w:rsidRDefault="00917E4B" w:rsidP="004C5D62">
            <w:pPr>
              <w:spacing w:after="0" w:line="240" w:lineRule="auto"/>
              <w:jc w:val="both"/>
              <w:rPr>
                <w:color w:val="0070C0"/>
                <w:sz w:val="16"/>
                <w:szCs w:val="16"/>
              </w:rPr>
            </w:pPr>
          </w:p>
        </w:tc>
        <w:tc>
          <w:tcPr>
            <w:tcW w:w="822" w:type="dxa"/>
          </w:tcPr>
          <w:p w14:paraId="752B164C" w14:textId="77777777" w:rsidR="00917E4B" w:rsidRPr="008A2E5A" w:rsidRDefault="00917E4B" w:rsidP="004C5D62">
            <w:pPr>
              <w:spacing w:after="0" w:line="240" w:lineRule="auto"/>
              <w:jc w:val="both"/>
              <w:rPr>
                <w:color w:val="0070C0"/>
                <w:sz w:val="16"/>
                <w:szCs w:val="16"/>
              </w:rPr>
            </w:pPr>
          </w:p>
        </w:tc>
        <w:tc>
          <w:tcPr>
            <w:tcW w:w="822" w:type="dxa"/>
          </w:tcPr>
          <w:p w14:paraId="110344F8" w14:textId="77777777" w:rsidR="00917E4B" w:rsidRPr="008A2E5A" w:rsidRDefault="00917E4B" w:rsidP="004C5D62">
            <w:pPr>
              <w:spacing w:after="0" w:line="240" w:lineRule="auto"/>
              <w:jc w:val="both"/>
              <w:rPr>
                <w:color w:val="0070C0"/>
                <w:sz w:val="16"/>
                <w:szCs w:val="16"/>
              </w:rPr>
            </w:pPr>
          </w:p>
        </w:tc>
      </w:tr>
      <w:tr w:rsidR="00917E4B" w:rsidRPr="008A2E5A" w14:paraId="771CE749" w14:textId="77777777" w:rsidTr="004C5D62">
        <w:tc>
          <w:tcPr>
            <w:tcW w:w="821" w:type="dxa"/>
          </w:tcPr>
          <w:p w14:paraId="63036905" w14:textId="77777777" w:rsidR="00917E4B" w:rsidRPr="008A2E5A" w:rsidRDefault="00917E4B" w:rsidP="004C5D62">
            <w:pPr>
              <w:spacing w:after="0" w:line="240" w:lineRule="auto"/>
              <w:jc w:val="both"/>
              <w:rPr>
                <w:color w:val="0070C0"/>
                <w:sz w:val="16"/>
                <w:szCs w:val="16"/>
              </w:rPr>
            </w:pPr>
            <w:r w:rsidRPr="008A2E5A">
              <w:rPr>
                <w:color w:val="0070C0"/>
                <w:sz w:val="16"/>
                <w:szCs w:val="16"/>
              </w:rPr>
              <w:t>Боеприпасы (в тыс. шт.)</w:t>
            </w:r>
          </w:p>
        </w:tc>
        <w:tc>
          <w:tcPr>
            <w:tcW w:w="821" w:type="dxa"/>
          </w:tcPr>
          <w:p w14:paraId="14E0DA62" w14:textId="77777777" w:rsidR="00917E4B" w:rsidRPr="008A2E5A" w:rsidRDefault="00917E4B" w:rsidP="004C5D62">
            <w:pPr>
              <w:spacing w:after="0" w:line="240" w:lineRule="auto"/>
              <w:jc w:val="both"/>
              <w:rPr>
                <w:color w:val="0070C0"/>
                <w:sz w:val="16"/>
                <w:szCs w:val="16"/>
              </w:rPr>
            </w:pPr>
          </w:p>
        </w:tc>
        <w:tc>
          <w:tcPr>
            <w:tcW w:w="821" w:type="dxa"/>
          </w:tcPr>
          <w:p w14:paraId="112694DB" w14:textId="77777777" w:rsidR="00917E4B" w:rsidRPr="008A2E5A" w:rsidRDefault="00917E4B" w:rsidP="004C5D62">
            <w:pPr>
              <w:spacing w:after="0" w:line="240" w:lineRule="auto"/>
              <w:jc w:val="both"/>
              <w:rPr>
                <w:color w:val="0070C0"/>
                <w:sz w:val="16"/>
                <w:szCs w:val="16"/>
              </w:rPr>
            </w:pPr>
          </w:p>
        </w:tc>
        <w:tc>
          <w:tcPr>
            <w:tcW w:w="821" w:type="dxa"/>
          </w:tcPr>
          <w:p w14:paraId="10295254" w14:textId="77777777" w:rsidR="00917E4B" w:rsidRPr="008A2E5A" w:rsidRDefault="00917E4B" w:rsidP="004C5D62">
            <w:pPr>
              <w:spacing w:after="0" w:line="240" w:lineRule="auto"/>
              <w:jc w:val="both"/>
              <w:rPr>
                <w:color w:val="0070C0"/>
                <w:sz w:val="16"/>
                <w:szCs w:val="16"/>
              </w:rPr>
            </w:pPr>
          </w:p>
        </w:tc>
        <w:tc>
          <w:tcPr>
            <w:tcW w:w="822" w:type="dxa"/>
          </w:tcPr>
          <w:p w14:paraId="1C481FE8" w14:textId="77777777" w:rsidR="00917E4B" w:rsidRPr="008A2E5A" w:rsidRDefault="00917E4B" w:rsidP="004C5D62">
            <w:pPr>
              <w:spacing w:after="0" w:line="240" w:lineRule="auto"/>
              <w:jc w:val="both"/>
              <w:rPr>
                <w:color w:val="0070C0"/>
                <w:sz w:val="16"/>
                <w:szCs w:val="16"/>
              </w:rPr>
            </w:pPr>
          </w:p>
        </w:tc>
        <w:tc>
          <w:tcPr>
            <w:tcW w:w="822" w:type="dxa"/>
          </w:tcPr>
          <w:p w14:paraId="15FCD463" w14:textId="77777777" w:rsidR="00917E4B" w:rsidRPr="008A2E5A" w:rsidRDefault="00917E4B" w:rsidP="004C5D62">
            <w:pPr>
              <w:spacing w:after="0" w:line="240" w:lineRule="auto"/>
              <w:jc w:val="both"/>
              <w:rPr>
                <w:color w:val="0070C0"/>
                <w:sz w:val="16"/>
                <w:szCs w:val="16"/>
              </w:rPr>
            </w:pPr>
          </w:p>
        </w:tc>
        <w:tc>
          <w:tcPr>
            <w:tcW w:w="822" w:type="dxa"/>
          </w:tcPr>
          <w:p w14:paraId="1F6C89EC" w14:textId="77777777" w:rsidR="00917E4B" w:rsidRPr="008A2E5A" w:rsidRDefault="00917E4B" w:rsidP="004C5D62">
            <w:pPr>
              <w:spacing w:after="0" w:line="240" w:lineRule="auto"/>
              <w:jc w:val="both"/>
              <w:rPr>
                <w:color w:val="0070C0"/>
                <w:sz w:val="16"/>
                <w:szCs w:val="16"/>
              </w:rPr>
            </w:pPr>
          </w:p>
        </w:tc>
        <w:tc>
          <w:tcPr>
            <w:tcW w:w="822" w:type="dxa"/>
          </w:tcPr>
          <w:p w14:paraId="21F3DFCE" w14:textId="77777777" w:rsidR="00917E4B" w:rsidRPr="008A2E5A" w:rsidRDefault="00917E4B" w:rsidP="004C5D62">
            <w:pPr>
              <w:spacing w:after="0" w:line="240" w:lineRule="auto"/>
              <w:jc w:val="both"/>
              <w:rPr>
                <w:color w:val="0070C0"/>
                <w:sz w:val="16"/>
                <w:szCs w:val="16"/>
              </w:rPr>
            </w:pPr>
          </w:p>
        </w:tc>
        <w:tc>
          <w:tcPr>
            <w:tcW w:w="822" w:type="dxa"/>
          </w:tcPr>
          <w:p w14:paraId="23DD96BD" w14:textId="77777777" w:rsidR="00917E4B" w:rsidRPr="008A2E5A" w:rsidRDefault="00917E4B" w:rsidP="004C5D62">
            <w:pPr>
              <w:spacing w:after="0" w:line="240" w:lineRule="auto"/>
              <w:jc w:val="both"/>
              <w:rPr>
                <w:color w:val="0070C0"/>
                <w:sz w:val="16"/>
                <w:szCs w:val="16"/>
              </w:rPr>
            </w:pPr>
          </w:p>
        </w:tc>
        <w:tc>
          <w:tcPr>
            <w:tcW w:w="822" w:type="dxa"/>
          </w:tcPr>
          <w:p w14:paraId="06EC8D48" w14:textId="77777777" w:rsidR="00917E4B" w:rsidRPr="008A2E5A" w:rsidRDefault="00917E4B" w:rsidP="004C5D62">
            <w:pPr>
              <w:spacing w:after="0" w:line="240" w:lineRule="auto"/>
              <w:jc w:val="both"/>
              <w:rPr>
                <w:color w:val="0070C0"/>
                <w:sz w:val="16"/>
                <w:szCs w:val="16"/>
              </w:rPr>
            </w:pPr>
          </w:p>
        </w:tc>
        <w:tc>
          <w:tcPr>
            <w:tcW w:w="822" w:type="dxa"/>
          </w:tcPr>
          <w:p w14:paraId="3BF4B49C" w14:textId="77777777" w:rsidR="00917E4B" w:rsidRPr="008A2E5A" w:rsidRDefault="00917E4B" w:rsidP="004C5D62">
            <w:pPr>
              <w:spacing w:after="0" w:line="240" w:lineRule="auto"/>
              <w:jc w:val="both"/>
              <w:rPr>
                <w:color w:val="0070C0"/>
                <w:sz w:val="16"/>
                <w:szCs w:val="16"/>
              </w:rPr>
            </w:pPr>
          </w:p>
        </w:tc>
        <w:tc>
          <w:tcPr>
            <w:tcW w:w="822" w:type="dxa"/>
          </w:tcPr>
          <w:p w14:paraId="35C19A04" w14:textId="77777777" w:rsidR="00917E4B" w:rsidRPr="008A2E5A" w:rsidRDefault="00917E4B" w:rsidP="004C5D62">
            <w:pPr>
              <w:spacing w:after="0" w:line="240" w:lineRule="auto"/>
              <w:jc w:val="both"/>
              <w:rPr>
                <w:color w:val="0070C0"/>
                <w:sz w:val="16"/>
                <w:szCs w:val="16"/>
              </w:rPr>
            </w:pPr>
          </w:p>
        </w:tc>
        <w:tc>
          <w:tcPr>
            <w:tcW w:w="822" w:type="dxa"/>
          </w:tcPr>
          <w:p w14:paraId="5F3E6105" w14:textId="77777777" w:rsidR="00917E4B" w:rsidRPr="008A2E5A" w:rsidRDefault="00917E4B" w:rsidP="004C5D62">
            <w:pPr>
              <w:spacing w:after="0" w:line="240" w:lineRule="auto"/>
              <w:jc w:val="both"/>
              <w:rPr>
                <w:color w:val="0070C0"/>
                <w:sz w:val="16"/>
                <w:szCs w:val="16"/>
              </w:rPr>
            </w:pPr>
          </w:p>
        </w:tc>
      </w:tr>
      <w:tr w:rsidR="00917E4B" w:rsidRPr="008A2E5A" w14:paraId="5F88F8EA" w14:textId="77777777" w:rsidTr="004C5D62">
        <w:tc>
          <w:tcPr>
            <w:tcW w:w="821" w:type="dxa"/>
          </w:tcPr>
          <w:p w14:paraId="2AE1DFFF"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л. п. в обоймах</w:t>
            </w:r>
          </w:p>
        </w:tc>
        <w:tc>
          <w:tcPr>
            <w:tcW w:w="821" w:type="dxa"/>
          </w:tcPr>
          <w:p w14:paraId="365AF282" w14:textId="77777777" w:rsidR="00917E4B" w:rsidRPr="008A2E5A" w:rsidRDefault="00917E4B" w:rsidP="004C5D62">
            <w:pPr>
              <w:spacing w:after="0" w:line="240" w:lineRule="auto"/>
              <w:jc w:val="both"/>
              <w:rPr>
                <w:color w:val="0070C0"/>
                <w:sz w:val="16"/>
                <w:szCs w:val="16"/>
              </w:rPr>
            </w:pPr>
            <w:r w:rsidRPr="008A2E5A">
              <w:rPr>
                <w:color w:val="0070C0"/>
                <w:sz w:val="16"/>
                <w:szCs w:val="16"/>
              </w:rPr>
              <w:t>107 000</w:t>
            </w:r>
          </w:p>
        </w:tc>
        <w:tc>
          <w:tcPr>
            <w:tcW w:w="821" w:type="dxa"/>
          </w:tcPr>
          <w:p w14:paraId="5A1639E5" w14:textId="77777777" w:rsidR="00917E4B" w:rsidRPr="008A2E5A" w:rsidRDefault="00917E4B" w:rsidP="004C5D62">
            <w:pPr>
              <w:spacing w:after="0" w:line="240" w:lineRule="auto"/>
              <w:jc w:val="both"/>
              <w:rPr>
                <w:color w:val="0070C0"/>
                <w:sz w:val="16"/>
                <w:szCs w:val="16"/>
              </w:rPr>
            </w:pPr>
            <w:r w:rsidRPr="008A2E5A">
              <w:rPr>
                <w:color w:val="0070C0"/>
                <w:sz w:val="16"/>
                <w:szCs w:val="16"/>
              </w:rPr>
              <w:t>61901</w:t>
            </w:r>
          </w:p>
        </w:tc>
        <w:tc>
          <w:tcPr>
            <w:tcW w:w="821" w:type="dxa"/>
          </w:tcPr>
          <w:p w14:paraId="21B7E9C6" w14:textId="77777777" w:rsidR="00917E4B" w:rsidRPr="008A2E5A" w:rsidRDefault="00917E4B" w:rsidP="004C5D62">
            <w:pPr>
              <w:spacing w:after="0" w:line="240" w:lineRule="auto"/>
              <w:jc w:val="both"/>
              <w:rPr>
                <w:color w:val="0070C0"/>
                <w:sz w:val="16"/>
                <w:szCs w:val="16"/>
              </w:rPr>
            </w:pPr>
            <w:r w:rsidRPr="008A2E5A">
              <w:rPr>
                <w:color w:val="0070C0"/>
                <w:sz w:val="16"/>
                <w:szCs w:val="16"/>
              </w:rPr>
              <w:t>75 000</w:t>
            </w:r>
          </w:p>
        </w:tc>
        <w:tc>
          <w:tcPr>
            <w:tcW w:w="822" w:type="dxa"/>
          </w:tcPr>
          <w:p w14:paraId="279013C4" w14:textId="77777777" w:rsidR="00917E4B" w:rsidRPr="008A2E5A" w:rsidRDefault="00917E4B" w:rsidP="004C5D62">
            <w:pPr>
              <w:spacing w:after="0" w:line="240" w:lineRule="auto"/>
              <w:jc w:val="both"/>
              <w:rPr>
                <w:color w:val="0070C0"/>
                <w:sz w:val="16"/>
                <w:szCs w:val="16"/>
              </w:rPr>
            </w:pPr>
            <w:r w:rsidRPr="008A2E5A">
              <w:rPr>
                <w:color w:val="0070C0"/>
                <w:sz w:val="16"/>
                <w:szCs w:val="16"/>
              </w:rPr>
              <w:t>42 664</w:t>
            </w:r>
          </w:p>
        </w:tc>
        <w:tc>
          <w:tcPr>
            <w:tcW w:w="822" w:type="dxa"/>
          </w:tcPr>
          <w:p w14:paraId="5D5320F1" w14:textId="77777777" w:rsidR="00917E4B" w:rsidRPr="008A2E5A" w:rsidRDefault="00917E4B" w:rsidP="004C5D62">
            <w:pPr>
              <w:spacing w:after="0" w:line="240" w:lineRule="auto"/>
              <w:jc w:val="both"/>
              <w:rPr>
                <w:color w:val="0070C0"/>
                <w:sz w:val="16"/>
                <w:szCs w:val="16"/>
              </w:rPr>
            </w:pPr>
            <w:r w:rsidRPr="008A2E5A">
              <w:rPr>
                <w:color w:val="0070C0"/>
                <w:sz w:val="16"/>
                <w:szCs w:val="16"/>
              </w:rPr>
              <w:t>66 000</w:t>
            </w:r>
          </w:p>
        </w:tc>
        <w:tc>
          <w:tcPr>
            <w:tcW w:w="822" w:type="dxa"/>
          </w:tcPr>
          <w:p w14:paraId="5923961D" w14:textId="77777777" w:rsidR="00917E4B" w:rsidRPr="008A2E5A" w:rsidRDefault="00917E4B" w:rsidP="004C5D62">
            <w:pPr>
              <w:spacing w:after="0" w:line="240" w:lineRule="auto"/>
              <w:jc w:val="both"/>
              <w:rPr>
                <w:color w:val="0070C0"/>
                <w:sz w:val="16"/>
                <w:szCs w:val="16"/>
              </w:rPr>
            </w:pPr>
            <w:r w:rsidRPr="008A2E5A">
              <w:rPr>
                <w:color w:val="0070C0"/>
                <w:sz w:val="16"/>
                <w:szCs w:val="16"/>
              </w:rPr>
              <w:t>45 766</w:t>
            </w:r>
          </w:p>
        </w:tc>
        <w:tc>
          <w:tcPr>
            <w:tcW w:w="822" w:type="dxa"/>
          </w:tcPr>
          <w:p w14:paraId="4542CB33" w14:textId="77777777" w:rsidR="00917E4B" w:rsidRPr="008A2E5A" w:rsidRDefault="00917E4B" w:rsidP="004C5D62">
            <w:pPr>
              <w:spacing w:after="0" w:line="240" w:lineRule="auto"/>
              <w:jc w:val="both"/>
              <w:rPr>
                <w:color w:val="0070C0"/>
                <w:sz w:val="16"/>
                <w:szCs w:val="16"/>
              </w:rPr>
            </w:pPr>
            <w:r w:rsidRPr="008A2E5A">
              <w:rPr>
                <w:color w:val="0070C0"/>
                <w:sz w:val="16"/>
                <w:szCs w:val="16"/>
              </w:rPr>
              <w:t>496 500</w:t>
            </w:r>
          </w:p>
        </w:tc>
        <w:tc>
          <w:tcPr>
            <w:tcW w:w="822" w:type="dxa"/>
          </w:tcPr>
          <w:p w14:paraId="2E7A3640" w14:textId="77777777" w:rsidR="00917E4B" w:rsidRPr="008A2E5A" w:rsidRDefault="00917E4B" w:rsidP="004C5D62">
            <w:pPr>
              <w:spacing w:after="0" w:line="240" w:lineRule="auto"/>
              <w:jc w:val="both"/>
              <w:rPr>
                <w:color w:val="0070C0"/>
                <w:sz w:val="16"/>
                <w:szCs w:val="16"/>
              </w:rPr>
            </w:pPr>
            <w:proofErr w:type="gramStart"/>
            <w:r w:rsidRPr="008A2E5A">
              <w:rPr>
                <w:color w:val="0070C0"/>
                <w:sz w:val="16"/>
                <w:szCs w:val="16"/>
              </w:rPr>
              <w:t>1  388</w:t>
            </w:r>
            <w:proofErr w:type="gramEnd"/>
            <w:r w:rsidRPr="008A2E5A">
              <w:rPr>
                <w:color w:val="0070C0"/>
                <w:sz w:val="16"/>
                <w:szCs w:val="16"/>
              </w:rPr>
              <w:t xml:space="preserve"> 170</w:t>
            </w:r>
          </w:p>
        </w:tc>
        <w:tc>
          <w:tcPr>
            <w:tcW w:w="822" w:type="dxa"/>
          </w:tcPr>
          <w:p w14:paraId="217FFD1C" w14:textId="77777777" w:rsidR="00917E4B" w:rsidRPr="008A2E5A" w:rsidRDefault="00917E4B" w:rsidP="004C5D62">
            <w:pPr>
              <w:spacing w:after="0" w:line="240" w:lineRule="auto"/>
              <w:jc w:val="both"/>
              <w:rPr>
                <w:color w:val="0070C0"/>
                <w:sz w:val="16"/>
                <w:szCs w:val="16"/>
              </w:rPr>
            </w:pPr>
          </w:p>
        </w:tc>
        <w:tc>
          <w:tcPr>
            <w:tcW w:w="822" w:type="dxa"/>
          </w:tcPr>
          <w:p w14:paraId="461DD611" w14:textId="77777777" w:rsidR="00917E4B" w:rsidRPr="008A2E5A" w:rsidRDefault="00917E4B" w:rsidP="004C5D62">
            <w:pPr>
              <w:spacing w:after="0" w:line="240" w:lineRule="auto"/>
              <w:jc w:val="both"/>
              <w:rPr>
                <w:color w:val="0070C0"/>
                <w:sz w:val="16"/>
                <w:szCs w:val="16"/>
              </w:rPr>
            </w:pPr>
          </w:p>
        </w:tc>
        <w:tc>
          <w:tcPr>
            <w:tcW w:w="822" w:type="dxa"/>
          </w:tcPr>
          <w:p w14:paraId="01AA1B2D" w14:textId="77777777" w:rsidR="00917E4B" w:rsidRPr="008A2E5A" w:rsidRDefault="00917E4B" w:rsidP="004C5D62">
            <w:pPr>
              <w:spacing w:after="0" w:line="240" w:lineRule="auto"/>
              <w:jc w:val="both"/>
              <w:rPr>
                <w:color w:val="0070C0"/>
                <w:sz w:val="16"/>
                <w:szCs w:val="16"/>
              </w:rPr>
            </w:pPr>
          </w:p>
        </w:tc>
        <w:tc>
          <w:tcPr>
            <w:tcW w:w="822" w:type="dxa"/>
          </w:tcPr>
          <w:p w14:paraId="75E14E62" w14:textId="77777777" w:rsidR="00917E4B" w:rsidRPr="008A2E5A" w:rsidRDefault="00917E4B" w:rsidP="004C5D62">
            <w:pPr>
              <w:spacing w:after="0" w:line="240" w:lineRule="auto"/>
              <w:jc w:val="both"/>
              <w:rPr>
                <w:color w:val="0070C0"/>
                <w:sz w:val="16"/>
                <w:szCs w:val="16"/>
              </w:rPr>
            </w:pPr>
          </w:p>
        </w:tc>
      </w:tr>
      <w:tr w:rsidR="00917E4B" w:rsidRPr="008A2E5A" w14:paraId="7A781455" w14:textId="77777777" w:rsidTr="004C5D62">
        <w:tc>
          <w:tcPr>
            <w:tcW w:w="821" w:type="dxa"/>
          </w:tcPr>
          <w:p w14:paraId="24C2235E"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л. п. без обойм</w:t>
            </w:r>
          </w:p>
        </w:tc>
        <w:tc>
          <w:tcPr>
            <w:tcW w:w="821" w:type="dxa"/>
          </w:tcPr>
          <w:p w14:paraId="46D39860" w14:textId="77777777" w:rsidR="00917E4B" w:rsidRPr="008A2E5A" w:rsidRDefault="00917E4B" w:rsidP="004C5D62">
            <w:pPr>
              <w:spacing w:after="0" w:line="240" w:lineRule="auto"/>
              <w:jc w:val="both"/>
              <w:rPr>
                <w:color w:val="0070C0"/>
                <w:sz w:val="16"/>
                <w:szCs w:val="16"/>
              </w:rPr>
            </w:pPr>
            <w:r w:rsidRPr="008A2E5A">
              <w:rPr>
                <w:color w:val="0070C0"/>
                <w:sz w:val="16"/>
                <w:szCs w:val="16"/>
              </w:rPr>
              <w:t>167 800</w:t>
            </w:r>
          </w:p>
        </w:tc>
        <w:tc>
          <w:tcPr>
            <w:tcW w:w="821" w:type="dxa"/>
          </w:tcPr>
          <w:p w14:paraId="3E8982CD" w14:textId="77777777" w:rsidR="00917E4B" w:rsidRPr="008A2E5A" w:rsidRDefault="00917E4B" w:rsidP="004C5D62">
            <w:pPr>
              <w:spacing w:after="0" w:line="240" w:lineRule="auto"/>
              <w:jc w:val="both"/>
              <w:rPr>
                <w:color w:val="0070C0"/>
                <w:sz w:val="16"/>
                <w:szCs w:val="16"/>
              </w:rPr>
            </w:pPr>
            <w:r w:rsidRPr="008A2E5A">
              <w:rPr>
                <w:color w:val="0070C0"/>
                <w:sz w:val="16"/>
                <w:szCs w:val="16"/>
              </w:rPr>
              <w:t>110 005</w:t>
            </w:r>
          </w:p>
        </w:tc>
        <w:tc>
          <w:tcPr>
            <w:tcW w:w="821" w:type="dxa"/>
          </w:tcPr>
          <w:p w14:paraId="3C6BC9D7" w14:textId="77777777" w:rsidR="00917E4B" w:rsidRPr="008A2E5A" w:rsidRDefault="00917E4B" w:rsidP="004C5D62">
            <w:pPr>
              <w:spacing w:after="0" w:line="240" w:lineRule="auto"/>
              <w:jc w:val="both"/>
              <w:rPr>
                <w:color w:val="0070C0"/>
                <w:sz w:val="16"/>
                <w:szCs w:val="16"/>
              </w:rPr>
            </w:pPr>
            <w:r w:rsidRPr="008A2E5A">
              <w:rPr>
                <w:color w:val="0070C0"/>
                <w:sz w:val="16"/>
                <w:szCs w:val="16"/>
              </w:rPr>
              <w:t>140 000</w:t>
            </w:r>
          </w:p>
        </w:tc>
        <w:tc>
          <w:tcPr>
            <w:tcW w:w="822" w:type="dxa"/>
          </w:tcPr>
          <w:p w14:paraId="0E2B0F01" w14:textId="77777777" w:rsidR="00917E4B" w:rsidRPr="008A2E5A" w:rsidRDefault="00917E4B" w:rsidP="004C5D62">
            <w:pPr>
              <w:spacing w:after="0" w:line="240" w:lineRule="auto"/>
              <w:jc w:val="both"/>
              <w:rPr>
                <w:color w:val="0070C0"/>
                <w:sz w:val="16"/>
                <w:szCs w:val="16"/>
              </w:rPr>
            </w:pPr>
            <w:r w:rsidRPr="008A2E5A">
              <w:rPr>
                <w:color w:val="0070C0"/>
                <w:sz w:val="16"/>
                <w:szCs w:val="16"/>
              </w:rPr>
              <w:t>59 418</w:t>
            </w:r>
          </w:p>
        </w:tc>
        <w:tc>
          <w:tcPr>
            <w:tcW w:w="822" w:type="dxa"/>
          </w:tcPr>
          <w:p w14:paraId="24EB614C" w14:textId="77777777" w:rsidR="00917E4B" w:rsidRPr="008A2E5A" w:rsidRDefault="00917E4B" w:rsidP="004C5D62">
            <w:pPr>
              <w:spacing w:after="0" w:line="240" w:lineRule="auto"/>
              <w:jc w:val="both"/>
              <w:rPr>
                <w:color w:val="0070C0"/>
                <w:sz w:val="16"/>
                <w:szCs w:val="16"/>
              </w:rPr>
            </w:pPr>
            <w:r w:rsidRPr="008A2E5A">
              <w:rPr>
                <w:color w:val="0070C0"/>
                <w:sz w:val="16"/>
                <w:szCs w:val="16"/>
              </w:rPr>
              <w:t>159 940</w:t>
            </w:r>
          </w:p>
        </w:tc>
        <w:tc>
          <w:tcPr>
            <w:tcW w:w="822" w:type="dxa"/>
          </w:tcPr>
          <w:p w14:paraId="75006278" w14:textId="77777777" w:rsidR="00917E4B" w:rsidRPr="008A2E5A" w:rsidRDefault="00917E4B" w:rsidP="004C5D62">
            <w:pPr>
              <w:spacing w:after="0" w:line="240" w:lineRule="auto"/>
              <w:jc w:val="both"/>
              <w:rPr>
                <w:color w:val="0070C0"/>
                <w:sz w:val="16"/>
                <w:szCs w:val="16"/>
              </w:rPr>
            </w:pPr>
            <w:r w:rsidRPr="008A2E5A">
              <w:rPr>
                <w:color w:val="0070C0"/>
                <w:sz w:val="16"/>
                <w:szCs w:val="16"/>
              </w:rPr>
              <w:t>62 642</w:t>
            </w:r>
          </w:p>
        </w:tc>
        <w:tc>
          <w:tcPr>
            <w:tcW w:w="822" w:type="dxa"/>
          </w:tcPr>
          <w:p w14:paraId="2ACE88D6" w14:textId="77777777" w:rsidR="00917E4B" w:rsidRPr="008A2E5A" w:rsidRDefault="00917E4B" w:rsidP="004C5D62">
            <w:pPr>
              <w:spacing w:after="0" w:line="240" w:lineRule="auto"/>
              <w:jc w:val="both"/>
              <w:rPr>
                <w:color w:val="0070C0"/>
                <w:sz w:val="16"/>
                <w:szCs w:val="16"/>
              </w:rPr>
            </w:pPr>
            <w:r w:rsidRPr="008A2E5A">
              <w:rPr>
                <w:color w:val="0070C0"/>
                <w:sz w:val="16"/>
                <w:szCs w:val="16"/>
              </w:rPr>
              <w:t>843 240</w:t>
            </w:r>
          </w:p>
        </w:tc>
        <w:tc>
          <w:tcPr>
            <w:tcW w:w="822" w:type="dxa"/>
          </w:tcPr>
          <w:p w14:paraId="50643B4E" w14:textId="77777777" w:rsidR="00917E4B" w:rsidRPr="008A2E5A" w:rsidRDefault="00917E4B" w:rsidP="004C5D62">
            <w:pPr>
              <w:spacing w:after="0" w:line="240" w:lineRule="auto"/>
              <w:jc w:val="both"/>
              <w:rPr>
                <w:color w:val="0070C0"/>
                <w:sz w:val="16"/>
                <w:szCs w:val="16"/>
              </w:rPr>
            </w:pPr>
            <w:r w:rsidRPr="008A2E5A">
              <w:rPr>
                <w:color w:val="0070C0"/>
                <w:sz w:val="16"/>
                <w:szCs w:val="16"/>
              </w:rPr>
              <w:t>573 470</w:t>
            </w:r>
          </w:p>
        </w:tc>
        <w:tc>
          <w:tcPr>
            <w:tcW w:w="822" w:type="dxa"/>
          </w:tcPr>
          <w:p w14:paraId="3043F6B4" w14:textId="77777777" w:rsidR="00917E4B" w:rsidRPr="008A2E5A" w:rsidRDefault="00917E4B" w:rsidP="004C5D62">
            <w:pPr>
              <w:spacing w:after="0" w:line="240" w:lineRule="auto"/>
              <w:jc w:val="both"/>
              <w:rPr>
                <w:color w:val="0070C0"/>
                <w:sz w:val="16"/>
                <w:szCs w:val="16"/>
              </w:rPr>
            </w:pPr>
          </w:p>
        </w:tc>
        <w:tc>
          <w:tcPr>
            <w:tcW w:w="822" w:type="dxa"/>
          </w:tcPr>
          <w:p w14:paraId="3A5C294A" w14:textId="77777777" w:rsidR="00917E4B" w:rsidRPr="008A2E5A" w:rsidRDefault="00917E4B" w:rsidP="004C5D62">
            <w:pPr>
              <w:spacing w:after="0" w:line="240" w:lineRule="auto"/>
              <w:jc w:val="both"/>
              <w:rPr>
                <w:color w:val="0070C0"/>
                <w:sz w:val="16"/>
                <w:szCs w:val="16"/>
              </w:rPr>
            </w:pPr>
          </w:p>
        </w:tc>
        <w:tc>
          <w:tcPr>
            <w:tcW w:w="822" w:type="dxa"/>
          </w:tcPr>
          <w:p w14:paraId="7CA8C3D0" w14:textId="77777777" w:rsidR="00917E4B" w:rsidRPr="008A2E5A" w:rsidRDefault="00917E4B" w:rsidP="004C5D62">
            <w:pPr>
              <w:spacing w:after="0" w:line="240" w:lineRule="auto"/>
              <w:jc w:val="both"/>
              <w:rPr>
                <w:color w:val="0070C0"/>
                <w:sz w:val="16"/>
                <w:szCs w:val="16"/>
              </w:rPr>
            </w:pPr>
          </w:p>
        </w:tc>
        <w:tc>
          <w:tcPr>
            <w:tcW w:w="822" w:type="dxa"/>
          </w:tcPr>
          <w:p w14:paraId="716CEAC9" w14:textId="77777777" w:rsidR="00917E4B" w:rsidRPr="008A2E5A" w:rsidRDefault="00917E4B" w:rsidP="004C5D62">
            <w:pPr>
              <w:spacing w:after="0" w:line="240" w:lineRule="auto"/>
              <w:jc w:val="both"/>
              <w:rPr>
                <w:color w:val="0070C0"/>
                <w:sz w:val="16"/>
                <w:szCs w:val="16"/>
              </w:rPr>
            </w:pPr>
          </w:p>
        </w:tc>
      </w:tr>
      <w:tr w:rsidR="00917E4B" w:rsidRPr="008A2E5A" w14:paraId="063FFA38" w14:textId="77777777" w:rsidTr="004C5D62">
        <w:tc>
          <w:tcPr>
            <w:tcW w:w="821" w:type="dxa"/>
          </w:tcPr>
          <w:p w14:paraId="6BB0EFB2"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тяжелые</w:t>
            </w:r>
          </w:p>
        </w:tc>
        <w:tc>
          <w:tcPr>
            <w:tcW w:w="821" w:type="dxa"/>
          </w:tcPr>
          <w:p w14:paraId="7DE87260" w14:textId="77777777" w:rsidR="00917E4B" w:rsidRPr="008A2E5A" w:rsidRDefault="00917E4B" w:rsidP="004C5D62">
            <w:pPr>
              <w:spacing w:after="0" w:line="240" w:lineRule="auto"/>
              <w:jc w:val="both"/>
              <w:rPr>
                <w:color w:val="0070C0"/>
                <w:sz w:val="16"/>
                <w:szCs w:val="16"/>
              </w:rPr>
            </w:pPr>
            <w:r w:rsidRPr="008A2E5A">
              <w:rPr>
                <w:color w:val="0070C0"/>
                <w:sz w:val="16"/>
                <w:szCs w:val="16"/>
              </w:rPr>
              <w:t>49 600</w:t>
            </w:r>
          </w:p>
        </w:tc>
        <w:tc>
          <w:tcPr>
            <w:tcW w:w="821" w:type="dxa"/>
          </w:tcPr>
          <w:p w14:paraId="5978D0AC" w14:textId="77777777" w:rsidR="00917E4B" w:rsidRPr="008A2E5A" w:rsidRDefault="00917E4B" w:rsidP="004C5D62">
            <w:pPr>
              <w:spacing w:after="0" w:line="240" w:lineRule="auto"/>
              <w:jc w:val="both"/>
              <w:rPr>
                <w:color w:val="0070C0"/>
                <w:sz w:val="16"/>
                <w:szCs w:val="16"/>
              </w:rPr>
            </w:pPr>
            <w:r w:rsidRPr="008A2E5A">
              <w:rPr>
                <w:color w:val="0070C0"/>
                <w:sz w:val="16"/>
                <w:szCs w:val="16"/>
              </w:rPr>
              <w:t>14 292</w:t>
            </w:r>
          </w:p>
        </w:tc>
        <w:tc>
          <w:tcPr>
            <w:tcW w:w="821" w:type="dxa"/>
          </w:tcPr>
          <w:p w14:paraId="0AEA43CF" w14:textId="77777777" w:rsidR="00917E4B" w:rsidRPr="008A2E5A" w:rsidRDefault="00917E4B" w:rsidP="004C5D62">
            <w:pPr>
              <w:spacing w:after="0" w:line="240" w:lineRule="auto"/>
              <w:jc w:val="both"/>
              <w:rPr>
                <w:color w:val="0070C0"/>
                <w:sz w:val="16"/>
                <w:szCs w:val="16"/>
              </w:rPr>
            </w:pPr>
            <w:r w:rsidRPr="008A2E5A">
              <w:rPr>
                <w:color w:val="0070C0"/>
                <w:sz w:val="16"/>
                <w:szCs w:val="16"/>
              </w:rPr>
              <w:t>10 000</w:t>
            </w:r>
          </w:p>
        </w:tc>
        <w:tc>
          <w:tcPr>
            <w:tcW w:w="822" w:type="dxa"/>
          </w:tcPr>
          <w:p w14:paraId="58381033" w14:textId="77777777" w:rsidR="00917E4B" w:rsidRPr="008A2E5A" w:rsidRDefault="00917E4B" w:rsidP="004C5D62">
            <w:pPr>
              <w:spacing w:after="0" w:line="240" w:lineRule="auto"/>
              <w:jc w:val="both"/>
              <w:rPr>
                <w:color w:val="0070C0"/>
                <w:sz w:val="16"/>
                <w:szCs w:val="16"/>
              </w:rPr>
            </w:pPr>
          </w:p>
        </w:tc>
        <w:tc>
          <w:tcPr>
            <w:tcW w:w="822" w:type="dxa"/>
          </w:tcPr>
          <w:p w14:paraId="79D2509C" w14:textId="77777777" w:rsidR="00917E4B" w:rsidRPr="008A2E5A" w:rsidRDefault="00917E4B" w:rsidP="004C5D62">
            <w:pPr>
              <w:spacing w:after="0" w:line="240" w:lineRule="auto"/>
              <w:jc w:val="both"/>
              <w:rPr>
                <w:color w:val="0070C0"/>
                <w:sz w:val="16"/>
                <w:szCs w:val="16"/>
              </w:rPr>
            </w:pPr>
            <w:r w:rsidRPr="008A2E5A">
              <w:rPr>
                <w:color w:val="0070C0"/>
                <w:sz w:val="16"/>
                <w:szCs w:val="16"/>
              </w:rPr>
              <w:t>14 694</w:t>
            </w:r>
          </w:p>
        </w:tc>
        <w:tc>
          <w:tcPr>
            <w:tcW w:w="822" w:type="dxa"/>
          </w:tcPr>
          <w:p w14:paraId="146B79F2" w14:textId="77777777" w:rsidR="00917E4B" w:rsidRPr="008A2E5A" w:rsidRDefault="00917E4B" w:rsidP="004C5D62">
            <w:pPr>
              <w:spacing w:after="0" w:line="240" w:lineRule="auto"/>
              <w:jc w:val="both"/>
              <w:rPr>
                <w:color w:val="0070C0"/>
                <w:sz w:val="16"/>
                <w:szCs w:val="16"/>
              </w:rPr>
            </w:pPr>
            <w:r w:rsidRPr="008A2E5A">
              <w:rPr>
                <w:color w:val="0070C0"/>
                <w:sz w:val="16"/>
                <w:szCs w:val="16"/>
              </w:rPr>
              <w:t>594</w:t>
            </w:r>
          </w:p>
        </w:tc>
        <w:tc>
          <w:tcPr>
            <w:tcW w:w="822" w:type="dxa"/>
          </w:tcPr>
          <w:p w14:paraId="7A31E365" w14:textId="77777777" w:rsidR="00917E4B" w:rsidRPr="008A2E5A" w:rsidRDefault="00917E4B" w:rsidP="004C5D62">
            <w:pPr>
              <w:spacing w:after="0" w:line="240" w:lineRule="auto"/>
              <w:jc w:val="both"/>
              <w:rPr>
                <w:color w:val="0070C0"/>
                <w:sz w:val="16"/>
                <w:szCs w:val="16"/>
              </w:rPr>
            </w:pPr>
            <w:r w:rsidRPr="008A2E5A">
              <w:rPr>
                <w:color w:val="0070C0"/>
                <w:sz w:val="16"/>
                <w:szCs w:val="16"/>
              </w:rPr>
              <w:t>265 294</w:t>
            </w:r>
          </w:p>
        </w:tc>
        <w:tc>
          <w:tcPr>
            <w:tcW w:w="822" w:type="dxa"/>
          </w:tcPr>
          <w:p w14:paraId="66ED9984" w14:textId="77777777" w:rsidR="00917E4B" w:rsidRPr="008A2E5A" w:rsidRDefault="00917E4B" w:rsidP="004C5D62">
            <w:pPr>
              <w:spacing w:after="0" w:line="240" w:lineRule="auto"/>
              <w:jc w:val="both"/>
              <w:rPr>
                <w:color w:val="0070C0"/>
                <w:sz w:val="16"/>
                <w:szCs w:val="16"/>
              </w:rPr>
            </w:pPr>
            <w:r w:rsidRPr="008A2E5A">
              <w:rPr>
                <w:color w:val="0070C0"/>
                <w:sz w:val="16"/>
                <w:szCs w:val="16"/>
              </w:rPr>
              <w:t>213 626</w:t>
            </w:r>
          </w:p>
        </w:tc>
        <w:tc>
          <w:tcPr>
            <w:tcW w:w="822" w:type="dxa"/>
          </w:tcPr>
          <w:p w14:paraId="442758A9" w14:textId="77777777" w:rsidR="00917E4B" w:rsidRPr="008A2E5A" w:rsidRDefault="00917E4B" w:rsidP="004C5D62">
            <w:pPr>
              <w:spacing w:after="0" w:line="240" w:lineRule="auto"/>
              <w:jc w:val="both"/>
              <w:rPr>
                <w:color w:val="0070C0"/>
                <w:sz w:val="16"/>
                <w:szCs w:val="16"/>
              </w:rPr>
            </w:pPr>
          </w:p>
        </w:tc>
        <w:tc>
          <w:tcPr>
            <w:tcW w:w="822" w:type="dxa"/>
          </w:tcPr>
          <w:p w14:paraId="348120F7" w14:textId="77777777" w:rsidR="00917E4B" w:rsidRPr="008A2E5A" w:rsidRDefault="00917E4B" w:rsidP="004C5D62">
            <w:pPr>
              <w:spacing w:after="0" w:line="240" w:lineRule="auto"/>
              <w:jc w:val="both"/>
              <w:rPr>
                <w:color w:val="0070C0"/>
                <w:sz w:val="16"/>
                <w:szCs w:val="16"/>
              </w:rPr>
            </w:pPr>
          </w:p>
        </w:tc>
        <w:tc>
          <w:tcPr>
            <w:tcW w:w="822" w:type="dxa"/>
          </w:tcPr>
          <w:p w14:paraId="58DA67D7" w14:textId="77777777" w:rsidR="00917E4B" w:rsidRPr="008A2E5A" w:rsidRDefault="00917E4B" w:rsidP="004C5D62">
            <w:pPr>
              <w:spacing w:after="0" w:line="240" w:lineRule="auto"/>
              <w:jc w:val="both"/>
              <w:rPr>
                <w:color w:val="0070C0"/>
                <w:sz w:val="16"/>
                <w:szCs w:val="16"/>
              </w:rPr>
            </w:pPr>
          </w:p>
        </w:tc>
        <w:tc>
          <w:tcPr>
            <w:tcW w:w="822" w:type="dxa"/>
          </w:tcPr>
          <w:p w14:paraId="4DCE8137" w14:textId="77777777" w:rsidR="00917E4B" w:rsidRPr="008A2E5A" w:rsidRDefault="00917E4B" w:rsidP="004C5D62">
            <w:pPr>
              <w:spacing w:after="0" w:line="240" w:lineRule="auto"/>
              <w:jc w:val="both"/>
              <w:rPr>
                <w:color w:val="0070C0"/>
                <w:sz w:val="16"/>
                <w:szCs w:val="16"/>
              </w:rPr>
            </w:pPr>
          </w:p>
        </w:tc>
      </w:tr>
      <w:tr w:rsidR="00917E4B" w:rsidRPr="008A2E5A" w14:paraId="293B7797" w14:textId="77777777" w:rsidTr="004C5D62">
        <w:tc>
          <w:tcPr>
            <w:tcW w:w="821" w:type="dxa"/>
          </w:tcPr>
          <w:p w14:paraId="5F6EE4A6"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Б-32</w:t>
            </w:r>
          </w:p>
        </w:tc>
        <w:tc>
          <w:tcPr>
            <w:tcW w:w="821" w:type="dxa"/>
          </w:tcPr>
          <w:p w14:paraId="3C4697E3" w14:textId="77777777" w:rsidR="00917E4B" w:rsidRPr="008A2E5A" w:rsidRDefault="00917E4B" w:rsidP="004C5D62">
            <w:pPr>
              <w:spacing w:after="0" w:line="240" w:lineRule="auto"/>
              <w:jc w:val="both"/>
              <w:rPr>
                <w:color w:val="0070C0"/>
                <w:sz w:val="16"/>
                <w:szCs w:val="16"/>
              </w:rPr>
            </w:pPr>
            <w:r w:rsidRPr="008A2E5A">
              <w:rPr>
                <w:color w:val="0070C0"/>
                <w:sz w:val="16"/>
                <w:szCs w:val="16"/>
              </w:rPr>
              <w:t>19 200</w:t>
            </w:r>
          </w:p>
        </w:tc>
        <w:tc>
          <w:tcPr>
            <w:tcW w:w="821" w:type="dxa"/>
          </w:tcPr>
          <w:p w14:paraId="7B3DA24C" w14:textId="77777777" w:rsidR="00917E4B" w:rsidRPr="008A2E5A" w:rsidRDefault="00917E4B" w:rsidP="004C5D62">
            <w:pPr>
              <w:spacing w:after="0" w:line="240" w:lineRule="auto"/>
              <w:jc w:val="both"/>
              <w:rPr>
                <w:color w:val="0070C0"/>
                <w:sz w:val="16"/>
                <w:szCs w:val="16"/>
              </w:rPr>
            </w:pPr>
            <w:r w:rsidRPr="008A2E5A">
              <w:rPr>
                <w:color w:val="0070C0"/>
                <w:sz w:val="16"/>
                <w:szCs w:val="16"/>
              </w:rPr>
              <w:t>16318</w:t>
            </w:r>
          </w:p>
        </w:tc>
        <w:tc>
          <w:tcPr>
            <w:tcW w:w="821" w:type="dxa"/>
          </w:tcPr>
          <w:p w14:paraId="06883EB7"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4000</w:t>
            </w:r>
          </w:p>
        </w:tc>
        <w:tc>
          <w:tcPr>
            <w:tcW w:w="822" w:type="dxa"/>
          </w:tcPr>
          <w:p w14:paraId="33DAA4C2" w14:textId="77777777" w:rsidR="00917E4B" w:rsidRPr="008A2E5A" w:rsidRDefault="00917E4B" w:rsidP="004C5D62">
            <w:pPr>
              <w:spacing w:after="0" w:line="240" w:lineRule="auto"/>
              <w:jc w:val="both"/>
              <w:rPr>
                <w:color w:val="0070C0"/>
                <w:sz w:val="16"/>
                <w:szCs w:val="16"/>
              </w:rPr>
            </w:pPr>
            <w:r w:rsidRPr="008A2E5A">
              <w:rPr>
                <w:color w:val="0070C0"/>
                <w:sz w:val="16"/>
                <w:szCs w:val="16"/>
              </w:rPr>
              <w:t>6496</w:t>
            </w:r>
          </w:p>
        </w:tc>
        <w:tc>
          <w:tcPr>
            <w:tcW w:w="822" w:type="dxa"/>
          </w:tcPr>
          <w:p w14:paraId="65EF7BBE"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2" w:type="dxa"/>
          </w:tcPr>
          <w:p w14:paraId="2F6B1CFD" w14:textId="77777777" w:rsidR="00917E4B" w:rsidRPr="008A2E5A" w:rsidRDefault="00917E4B" w:rsidP="004C5D62">
            <w:pPr>
              <w:spacing w:after="0" w:line="240" w:lineRule="auto"/>
              <w:jc w:val="both"/>
              <w:rPr>
                <w:color w:val="0070C0"/>
                <w:sz w:val="16"/>
                <w:szCs w:val="16"/>
              </w:rPr>
            </w:pPr>
            <w:r w:rsidRPr="008A2E5A">
              <w:rPr>
                <w:color w:val="0070C0"/>
                <w:sz w:val="16"/>
                <w:szCs w:val="16"/>
              </w:rPr>
              <w:t>7389</w:t>
            </w:r>
          </w:p>
        </w:tc>
        <w:tc>
          <w:tcPr>
            <w:tcW w:w="822" w:type="dxa"/>
          </w:tcPr>
          <w:p w14:paraId="3B43DE24" w14:textId="77777777" w:rsidR="00917E4B" w:rsidRPr="008A2E5A" w:rsidRDefault="00917E4B" w:rsidP="004C5D62">
            <w:pPr>
              <w:spacing w:after="0" w:line="240" w:lineRule="auto"/>
              <w:jc w:val="both"/>
              <w:rPr>
                <w:color w:val="0070C0"/>
                <w:sz w:val="16"/>
                <w:szCs w:val="16"/>
              </w:rPr>
            </w:pPr>
            <w:r w:rsidRPr="008A2E5A">
              <w:rPr>
                <w:color w:val="0070C0"/>
                <w:sz w:val="16"/>
                <w:szCs w:val="16"/>
              </w:rPr>
              <w:t>60 800</w:t>
            </w:r>
          </w:p>
        </w:tc>
        <w:tc>
          <w:tcPr>
            <w:tcW w:w="822" w:type="dxa"/>
          </w:tcPr>
          <w:p w14:paraId="35ADE8D0" w14:textId="77777777" w:rsidR="00917E4B" w:rsidRPr="008A2E5A" w:rsidRDefault="00917E4B" w:rsidP="004C5D62">
            <w:pPr>
              <w:spacing w:after="0" w:line="240" w:lineRule="auto"/>
              <w:jc w:val="both"/>
              <w:rPr>
                <w:color w:val="0070C0"/>
                <w:sz w:val="16"/>
                <w:szCs w:val="16"/>
              </w:rPr>
            </w:pPr>
            <w:r w:rsidRPr="008A2E5A">
              <w:rPr>
                <w:color w:val="0070C0"/>
                <w:sz w:val="16"/>
                <w:szCs w:val="16"/>
              </w:rPr>
              <w:t>65 483 [</w:t>
            </w:r>
          </w:p>
        </w:tc>
        <w:tc>
          <w:tcPr>
            <w:tcW w:w="822" w:type="dxa"/>
          </w:tcPr>
          <w:p w14:paraId="6BC95651" w14:textId="77777777" w:rsidR="00917E4B" w:rsidRPr="008A2E5A" w:rsidRDefault="00917E4B" w:rsidP="004C5D62">
            <w:pPr>
              <w:spacing w:after="0" w:line="240" w:lineRule="auto"/>
              <w:jc w:val="both"/>
              <w:rPr>
                <w:color w:val="0070C0"/>
                <w:sz w:val="16"/>
                <w:szCs w:val="16"/>
              </w:rPr>
            </w:pPr>
          </w:p>
        </w:tc>
        <w:tc>
          <w:tcPr>
            <w:tcW w:w="822" w:type="dxa"/>
          </w:tcPr>
          <w:p w14:paraId="26014AB4" w14:textId="77777777" w:rsidR="00917E4B" w:rsidRPr="008A2E5A" w:rsidRDefault="00917E4B" w:rsidP="004C5D62">
            <w:pPr>
              <w:spacing w:after="0" w:line="240" w:lineRule="auto"/>
              <w:jc w:val="both"/>
              <w:rPr>
                <w:color w:val="0070C0"/>
                <w:sz w:val="16"/>
                <w:szCs w:val="16"/>
              </w:rPr>
            </w:pPr>
          </w:p>
        </w:tc>
        <w:tc>
          <w:tcPr>
            <w:tcW w:w="822" w:type="dxa"/>
          </w:tcPr>
          <w:p w14:paraId="1A9B96D0" w14:textId="77777777" w:rsidR="00917E4B" w:rsidRPr="008A2E5A" w:rsidRDefault="00917E4B" w:rsidP="004C5D62">
            <w:pPr>
              <w:spacing w:after="0" w:line="240" w:lineRule="auto"/>
              <w:jc w:val="both"/>
              <w:rPr>
                <w:color w:val="0070C0"/>
                <w:sz w:val="16"/>
                <w:szCs w:val="16"/>
              </w:rPr>
            </w:pPr>
          </w:p>
        </w:tc>
        <w:tc>
          <w:tcPr>
            <w:tcW w:w="822" w:type="dxa"/>
          </w:tcPr>
          <w:p w14:paraId="5DF55E9C" w14:textId="77777777" w:rsidR="00917E4B" w:rsidRPr="008A2E5A" w:rsidRDefault="00917E4B" w:rsidP="004C5D62">
            <w:pPr>
              <w:spacing w:after="0" w:line="240" w:lineRule="auto"/>
              <w:jc w:val="both"/>
              <w:rPr>
                <w:color w:val="0070C0"/>
                <w:sz w:val="16"/>
                <w:szCs w:val="16"/>
              </w:rPr>
            </w:pPr>
          </w:p>
        </w:tc>
      </w:tr>
      <w:tr w:rsidR="00917E4B" w:rsidRPr="008A2E5A" w14:paraId="09F1E0B4" w14:textId="77777777" w:rsidTr="004C5D62">
        <w:tc>
          <w:tcPr>
            <w:tcW w:w="821" w:type="dxa"/>
          </w:tcPr>
          <w:p w14:paraId="6967AB6D"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Т-30, Т-46</w:t>
            </w:r>
          </w:p>
        </w:tc>
        <w:tc>
          <w:tcPr>
            <w:tcW w:w="821" w:type="dxa"/>
          </w:tcPr>
          <w:p w14:paraId="4928710E"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8000</w:t>
            </w:r>
          </w:p>
        </w:tc>
        <w:tc>
          <w:tcPr>
            <w:tcW w:w="821" w:type="dxa"/>
          </w:tcPr>
          <w:p w14:paraId="2F85F49D" w14:textId="77777777" w:rsidR="00917E4B" w:rsidRPr="008A2E5A" w:rsidRDefault="00917E4B" w:rsidP="004C5D62">
            <w:pPr>
              <w:spacing w:after="0" w:line="240" w:lineRule="auto"/>
              <w:jc w:val="both"/>
              <w:rPr>
                <w:color w:val="0070C0"/>
                <w:sz w:val="16"/>
                <w:szCs w:val="16"/>
              </w:rPr>
            </w:pPr>
            <w:r w:rsidRPr="008A2E5A">
              <w:rPr>
                <w:color w:val="0070C0"/>
                <w:sz w:val="16"/>
                <w:szCs w:val="16"/>
              </w:rPr>
              <w:t>4624</w:t>
            </w:r>
          </w:p>
        </w:tc>
        <w:tc>
          <w:tcPr>
            <w:tcW w:w="821" w:type="dxa"/>
          </w:tcPr>
          <w:p w14:paraId="4105EC4C" w14:textId="77777777" w:rsidR="00917E4B" w:rsidRPr="008A2E5A" w:rsidRDefault="00917E4B" w:rsidP="004C5D62">
            <w:pPr>
              <w:spacing w:after="0" w:line="240" w:lineRule="auto"/>
              <w:jc w:val="both"/>
              <w:rPr>
                <w:color w:val="0070C0"/>
                <w:sz w:val="16"/>
                <w:szCs w:val="16"/>
              </w:rPr>
            </w:pPr>
          </w:p>
        </w:tc>
        <w:tc>
          <w:tcPr>
            <w:tcW w:w="822" w:type="dxa"/>
          </w:tcPr>
          <w:p w14:paraId="1B470178" w14:textId="77777777" w:rsidR="00917E4B" w:rsidRPr="008A2E5A" w:rsidRDefault="00917E4B" w:rsidP="004C5D62">
            <w:pPr>
              <w:spacing w:after="0" w:line="240" w:lineRule="auto"/>
              <w:jc w:val="both"/>
              <w:rPr>
                <w:color w:val="0070C0"/>
                <w:sz w:val="16"/>
                <w:szCs w:val="16"/>
              </w:rPr>
            </w:pPr>
          </w:p>
        </w:tc>
        <w:tc>
          <w:tcPr>
            <w:tcW w:w="822" w:type="dxa"/>
          </w:tcPr>
          <w:p w14:paraId="0E10149D" w14:textId="77777777" w:rsidR="00917E4B" w:rsidRPr="008A2E5A" w:rsidRDefault="00917E4B" w:rsidP="004C5D62">
            <w:pPr>
              <w:spacing w:after="0" w:line="240" w:lineRule="auto"/>
              <w:jc w:val="both"/>
              <w:rPr>
                <w:color w:val="0070C0"/>
                <w:sz w:val="16"/>
                <w:szCs w:val="16"/>
              </w:rPr>
            </w:pPr>
            <w:r w:rsidRPr="008A2E5A">
              <w:rPr>
                <w:color w:val="0070C0"/>
                <w:sz w:val="16"/>
                <w:szCs w:val="16"/>
              </w:rPr>
              <w:t>3000</w:t>
            </w:r>
          </w:p>
        </w:tc>
        <w:tc>
          <w:tcPr>
            <w:tcW w:w="822" w:type="dxa"/>
          </w:tcPr>
          <w:p w14:paraId="19F39178" w14:textId="77777777" w:rsidR="00917E4B" w:rsidRPr="008A2E5A" w:rsidRDefault="00917E4B" w:rsidP="004C5D62">
            <w:pPr>
              <w:spacing w:after="0" w:line="240" w:lineRule="auto"/>
              <w:jc w:val="both"/>
              <w:rPr>
                <w:color w:val="0070C0"/>
                <w:sz w:val="16"/>
                <w:szCs w:val="16"/>
              </w:rPr>
            </w:pPr>
          </w:p>
        </w:tc>
        <w:tc>
          <w:tcPr>
            <w:tcW w:w="822" w:type="dxa"/>
          </w:tcPr>
          <w:p w14:paraId="3020788B" w14:textId="77777777" w:rsidR="00917E4B" w:rsidRPr="008A2E5A" w:rsidRDefault="00917E4B" w:rsidP="004C5D62">
            <w:pPr>
              <w:spacing w:after="0" w:line="240" w:lineRule="auto"/>
              <w:jc w:val="both"/>
              <w:rPr>
                <w:color w:val="0070C0"/>
                <w:sz w:val="16"/>
                <w:szCs w:val="16"/>
              </w:rPr>
            </w:pPr>
            <w:r w:rsidRPr="008A2E5A">
              <w:rPr>
                <w:color w:val="0070C0"/>
                <w:sz w:val="16"/>
                <w:szCs w:val="16"/>
              </w:rPr>
              <w:t>31000</w:t>
            </w:r>
          </w:p>
        </w:tc>
        <w:tc>
          <w:tcPr>
            <w:tcW w:w="822" w:type="dxa"/>
          </w:tcPr>
          <w:p w14:paraId="68BD3F11" w14:textId="77777777" w:rsidR="00917E4B" w:rsidRPr="008A2E5A" w:rsidRDefault="00917E4B" w:rsidP="004C5D62">
            <w:pPr>
              <w:spacing w:after="0" w:line="240" w:lineRule="auto"/>
              <w:jc w:val="both"/>
              <w:rPr>
                <w:color w:val="0070C0"/>
                <w:sz w:val="16"/>
                <w:szCs w:val="16"/>
              </w:rPr>
            </w:pPr>
            <w:r w:rsidRPr="008A2E5A">
              <w:rPr>
                <w:color w:val="0070C0"/>
                <w:sz w:val="16"/>
                <w:szCs w:val="16"/>
              </w:rPr>
              <w:t>32 963 1</w:t>
            </w:r>
          </w:p>
        </w:tc>
        <w:tc>
          <w:tcPr>
            <w:tcW w:w="822" w:type="dxa"/>
          </w:tcPr>
          <w:p w14:paraId="3F294F76" w14:textId="77777777" w:rsidR="00917E4B" w:rsidRPr="008A2E5A" w:rsidRDefault="00917E4B" w:rsidP="004C5D62">
            <w:pPr>
              <w:spacing w:after="0" w:line="240" w:lineRule="auto"/>
              <w:jc w:val="both"/>
              <w:rPr>
                <w:color w:val="0070C0"/>
                <w:sz w:val="16"/>
                <w:szCs w:val="16"/>
              </w:rPr>
            </w:pPr>
          </w:p>
        </w:tc>
        <w:tc>
          <w:tcPr>
            <w:tcW w:w="822" w:type="dxa"/>
          </w:tcPr>
          <w:p w14:paraId="2EDA2501" w14:textId="77777777" w:rsidR="00917E4B" w:rsidRPr="008A2E5A" w:rsidRDefault="00917E4B" w:rsidP="004C5D62">
            <w:pPr>
              <w:spacing w:after="0" w:line="240" w:lineRule="auto"/>
              <w:jc w:val="both"/>
              <w:rPr>
                <w:color w:val="0070C0"/>
                <w:sz w:val="16"/>
                <w:szCs w:val="16"/>
              </w:rPr>
            </w:pPr>
          </w:p>
        </w:tc>
        <w:tc>
          <w:tcPr>
            <w:tcW w:w="822" w:type="dxa"/>
          </w:tcPr>
          <w:p w14:paraId="01CA679E" w14:textId="77777777" w:rsidR="00917E4B" w:rsidRPr="008A2E5A" w:rsidRDefault="00917E4B" w:rsidP="004C5D62">
            <w:pPr>
              <w:spacing w:after="0" w:line="240" w:lineRule="auto"/>
              <w:jc w:val="both"/>
              <w:rPr>
                <w:color w:val="0070C0"/>
                <w:sz w:val="16"/>
                <w:szCs w:val="16"/>
              </w:rPr>
            </w:pPr>
          </w:p>
        </w:tc>
        <w:tc>
          <w:tcPr>
            <w:tcW w:w="822" w:type="dxa"/>
          </w:tcPr>
          <w:p w14:paraId="4CF5BA1E" w14:textId="77777777" w:rsidR="00917E4B" w:rsidRPr="008A2E5A" w:rsidRDefault="00917E4B" w:rsidP="004C5D62">
            <w:pPr>
              <w:spacing w:after="0" w:line="240" w:lineRule="auto"/>
              <w:jc w:val="both"/>
              <w:rPr>
                <w:color w:val="0070C0"/>
                <w:sz w:val="16"/>
                <w:szCs w:val="16"/>
              </w:rPr>
            </w:pPr>
          </w:p>
        </w:tc>
      </w:tr>
      <w:tr w:rsidR="00917E4B" w:rsidRPr="008A2E5A" w14:paraId="02BFB413" w14:textId="77777777" w:rsidTr="004C5D62">
        <w:tc>
          <w:tcPr>
            <w:tcW w:w="821" w:type="dxa"/>
          </w:tcPr>
          <w:p w14:paraId="1F460EAB"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БС-40</w:t>
            </w:r>
          </w:p>
        </w:tc>
        <w:tc>
          <w:tcPr>
            <w:tcW w:w="821" w:type="dxa"/>
          </w:tcPr>
          <w:p w14:paraId="5DAD6F37"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1" w:type="dxa"/>
          </w:tcPr>
          <w:p w14:paraId="61907A8D" w14:textId="77777777" w:rsidR="00917E4B" w:rsidRPr="008A2E5A" w:rsidRDefault="00917E4B" w:rsidP="004C5D62">
            <w:pPr>
              <w:spacing w:after="0" w:line="240" w:lineRule="auto"/>
              <w:jc w:val="both"/>
              <w:rPr>
                <w:color w:val="0070C0"/>
                <w:sz w:val="16"/>
                <w:szCs w:val="16"/>
              </w:rPr>
            </w:pPr>
            <w:r w:rsidRPr="008A2E5A">
              <w:rPr>
                <w:color w:val="0070C0"/>
                <w:sz w:val="16"/>
                <w:szCs w:val="16"/>
              </w:rPr>
              <w:t>185</w:t>
            </w:r>
          </w:p>
        </w:tc>
        <w:tc>
          <w:tcPr>
            <w:tcW w:w="821" w:type="dxa"/>
          </w:tcPr>
          <w:p w14:paraId="7EBA70CD" w14:textId="77777777" w:rsidR="00917E4B" w:rsidRPr="008A2E5A" w:rsidRDefault="00917E4B" w:rsidP="004C5D62">
            <w:pPr>
              <w:spacing w:after="0" w:line="240" w:lineRule="auto"/>
              <w:jc w:val="both"/>
              <w:rPr>
                <w:color w:val="0070C0"/>
                <w:sz w:val="16"/>
                <w:szCs w:val="16"/>
              </w:rPr>
            </w:pPr>
          </w:p>
        </w:tc>
        <w:tc>
          <w:tcPr>
            <w:tcW w:w="822" w:type="dxa"/>
          </w:tcPr>
          <w:p w14:paraId="518652CC"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29232C5C" w14:textId="77777777" w:rsidR="00917E4B" w:rsidRPr="008A2E5A" w:rsidRDefault="00917E4B" w:rsidP="004C5D62">
            <w:pPr>
              <w:spacing w:after="0" w:line="240" w:lineRule="auto"/>
              <w:jc w:val="both"/>
              <w:rPr>
                <w:color w:val="0070C0"/>
                <w:sz w:val="16"/>
                <w:szCs w:val="16"/>
              </w:rPr>
            </w:pPr>
          </w:p>
        </w:tc>
        <w:tc>
          <w:tcPr>
            <w:tcW w:w="822" w:type="dxa"/>
          </w:tcPr>
          <w:p w14:paraId="45698D81" w14:textId="77777777" w:rsidR="00917E4B" w:rsidRPr="008A2E5A" w:rsidRDefault="00917E4B" w:rsidP="004C5D62">
            <w:pPr>
              <w:spacing w:after="0" w:line="240" w:lineRule="auto"/>
              <w:jc w:val="both"/>
              <w:rPr>
                <w:color w:val="0070C0"/>
                <w:sz w:val="16"/>
                <w:szCs w:val="16"/>
              </w:rPr>
            </w:pPr>
            <w:r w:rsidRPr="008A2E5A">
              <w:rPr>
                <w:color w:val="0070C0"/>
                <w:sz w:val="16"/>
                <w:szCs w:val="16"/>
              </w:rPr>
              <w:t>-</w:t>
            </w:r>
          </w:p>
        </w:tc>
        <w:tc>
          <w:tcPr>
            <w:tcW w:w="822" w:type="dxa"/>
          </w:tcPr>
          <w:p w14:paraId="7D665DA9" w14:textId="77777777" w:rsidR="00917E4B" w:rsidRPr="008A2E5A" w:rsidRDefault="00917E4B" w:rsidP="004C5D62">
            <w:pPr>
              <w:spacing w:after="0" w:line="240" w:lineRule="auto"/>
              <w:jc w:val="both"/>
              <w:rPr>
                <w:color w:val="0070C0"/>
                <w:sz w:val="16"/>
                <w:szCs w:val="16"/>
              </w:rPr>
            </w:pPr>
            <w:r w:rsidRPr="008A2E5A">
              <w:rPr>
                <w:color w:val="0070C0"/>
                <w:sz w:val="16"/>
                <w:szCs w:val="16"/>
              </w:rPr>
              <w:t>1640</w:t>
            </w:r>
          </w:p>
        </w:tc>
        <w:tc>
          <w:tcPr>
            <w:tcW w:w="822" w:type="dxa"/>
          </w:tcPr>
          <w:p w14:paraId="5B240764"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1008‘Т</w:t>
            </w:r>
          </w:p>
        </w:tc>
        <w:tc>
          <w:tcPr>
            <w:tcW w:w="822" w:type="dxa"/>
          </w:tcPr>
          <w:p w14:paraId="103C6FDB" w14:textId="77777777" w:rsidR="00917E4B" w:rsidRPr="008A2E5A" w:rsidRDefault="00917E4B" w:rsidP="004C5D62">
            <w:pPr>
              <w:spacing w:after="0" w:line="240" w:lineRule="auto"/>
              <w:jc w:val="both"/>
              <w:rPr>
                <w:color w:val="0070C0"/>
                <w:sz w:val="16"/>
                <w:szCs w:val="16"/>
              </w:rPr>
            </w:pPr>
          </w:p>
        </w:tc>
        <w:tc>
          <w:tcPr>
            <w:tcW w:w="822" w:type="dxa"/>
          </w:tcPr>
          <w:p w14:paraId="799BE6F1" w14:textId="77777777" w:rsidR="00917E4B" w:rsidRPr="008A2E5A" w:rsidRDefault="00917E4B" w:rsidP="004C5D62">
            <w:pPr>
              <w:spacing w:after="0" w:line="240" w:lineRule="auto"/>
              <w:jc w:val="both"/>
              <w:rPr>
                <w:color w:val="0070C0"/>
                <w:sz w:val="16"/>
                <w:szCs w:val="16"/>
              </w:rPr>
            </w:pPr>
          </w:p>
        </w:tc>
        <w:tc>
          <w:tcPr>
            <w:tcW w:w="822" w:type="dxa"/>
          </w:tcPr>
          <w:p w14:paraId="6CF7A934" w14:textId="77777777" w:rsidR="00917E4B" w:rsidRPr="008A2E5A" w:rsidRDefault="00917E4B" w:rsidP="004C5D62">
            <w:pPr>
              <w:spacing w:after="0" w:line="240" w:lineRule="auto"/>
              <w:jc w:val="both"/>
              <w:rPr>
                <w:color w:val="0070C0"/>
                <w:sz w:val="16"/>
                <w:szCs w:val="16"/>
              </w:rPr>
            </w:pPr>
          </w:p>
        </w:tc>
        <w:tc>
          <w:tcPr>
            <w:tcW w:w="822" w:type="dxa"/>
          </w:tcPr>
          <w:p w14:paraId="74232141" w14:textId="77777777" w:rsidR="00917E4B" w:rsidRPr="008A2E5A" w:rsidRDefault="00917E4B" w:rsidP="004C5D62">
            <w:pPr>
              <w:spacing w:after="0" w:line="240" w:lineRule="auto"/>
              <w:jc w:val="both"/>
              <w:rPr>
                <w:color w:val="0070C0"/>
                <w:sz w:val="16"/>
                <w:szCs w:val="16"/>
              </w:rPr>
            </w:pPr>
          </w:p>
        </w:tc>
      </w:tr>
      <w:tr w:rsidR="00917E4B" w:rsidRPr="008A2E5A" w14:paraId="5A84FE1E" w14:textId="77777777" w:rsidTr="004C5D62">
        <w:tc>
          <w:tcPr>
            <w:tcW w:w="821" w:type="dxa"/>
          </w:tcPr>
          <w:p w14:paraId="0F6C0151"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пистолетные</w:t>
            </w:r>
          </w:p>
        </w:tc>
        <w:tc>
          <w:tcPr>
            <w:tcW w:w="821" w:type="dxa"/>
          </w:tcPr>
          <w:p w14:paraId="3D7B2DAF" w14:textId="77777777" w:rsidR="00917E4B" w:rsidRPr="008A2E5A" w:rsidRDefault="00917E4B" w:rsidP="004C5D62">
            <w:pPr>
              <w:spacing w:after="0" w:line="240" w:lineRule="auto"/>
              <w:jc w:val="both"/>
              <w:rPr>
                <w:color w:val="0070C0"/>
                <w:sz w:val="16"/>
                <w:szCs w:val="16"/>
              </w:rPr>
            </w:pPr>
            <w:r w:rsidRPr="008A2E5A">
              <w:rPr>
                <w:color w:val="0070C0"/>
                <w:sz w:val="16"/>
                <w:szCs w:val="16"/>
              </w:rPr>
              <w:t>109 100</w:t>
            </w:r>
          </w:p>
        </w:tc>
        <w:tc>
          <w:tcPr>
            <w:tcW w:w="821" w:type="dxa"/>
          </w:tcPr>
          <w:p w14:paraId="39947854" w14:textId="77777777" w:rsidR="00917E4B" w:rsidRPr="008A2E5A" w:rsidRDefault="00917E4B" w:rsidP="004C5D62">
            <w:pPr>
              <w:spacing w:after="0" w:line="240" w:lineRule="auto"/>
              <w:jc w:val="both"/>
              <w:rPr>
                <w:color w:val="0070C0"/>
                <w:sz w:val="16"/>
                <w:szCs w:val="16"/>
              </w:rPr>
            </w:pPr>
            <w:r w:rsidRPr="008A2E5A">
              <w:rPr>
                <w:color w:val="0070C0"/>
                <w:sz w:val="16"/>
                <w:szCs w:val="16"/>
              </w:rPr>
              <w:t>26 748</w:t>
            </w:r>
          </w:p>
        </w:tc>
        <w:tc>
          <w:tcPr>
            <w:tcW w:w="821" w:type="dxa"/>
          </w:tcPr>
          <w:p w14:paraId="0FD8FB9F" w14:textId="77777777" w:rsidR="00917E4B" w:rsidRPr="008A2E5A" w:rsidRDefault="00917E4B" w:rsidP="004C5D62">
            <w:pPr>
              <w:spacing w:after="0" w:line="240" w:lineRule="auto"/>
              <w:jc w:val="both"/>
              <w:rPr>
                <w:color w:val="0070C0"/>
                <w:sz w:val="16"/>
                <w:szCs w:val="16"/>
              </w:rPr>
            </w:pPr>
            <w:r w:rsidRPr="008A2E5A">
              <w:rPr>
                <w:color w:val="0070C0"/>
                <w:sz w:val="16"/>
                <w:szCs w:val="16"/>
              </w:rPr>
              <w:t>60 800</w:t>
            </w:r>
          </w:p>
        </w:tc>
        <w:tc>
          <w:tcPr>
            <w:tcW w:w="822" w:type="dxa"/>
          </w:tcPr>
          <w:p w14:paraId="1239B2B8" w14:textId="77777777" w:rsidR="00917E4B" w:rsidRPr="008A2E5A" w:rsidRDefault="00917E4B" w:rsidP="004C5D62">
            <w:pPr>
              <w:spacing w:after="0" w:line="240" w:lineRule="auto"/>
              <w:jc w:val="both"/>
              <w:rPr>
                <w:color w:val="0070C0"/>
                <w:sz w:val="16"/>
                <w:szCs w:val="16"/>
              </w:rPr>
            </w:pPr>
            <w:r w:rsidRPr="008A2E5A">
              <w:rPr>
                <w:color w:val="0070C0"/>
                <w:sz w:val="16"/>
                <w:szCs w:val="16"/>
              </w:rPr>
              <w:t>53 697</w:t>
            </w:r>
          </w:p>
        </w:tc>
        <w:tc>
          <w:tcPr>
            <w:tcW w:w="822" w:type="dxa"/>
          </w:tcPr>
          <w:p w14:paraId="4A89F9E9" w14:textId="77777777" w:rsidR="00917E4B" w:rsidRPr="008A2E5A" w:rsidRDefault="00917E4B" w:rsidP="004C5D62">
            <w:pPr>
              <w:spacing w:after="0" w:line="240" w:lineRule="auto"/>
              <w:jc w:val="both"/>
              <w:rPr>
                <w:color w:val="0070C0"/>
                <w:sz w:val="16"/>
                <w:szCs w:val="16"/>
              </w:rPr>
            </w:pPr>
            <w:r w:rsidRPr="008A2E5A">
              <w:rPr>
                <w:color w:val="0070C0"/>
                <w:sz w:val="16"/>
                <w:szCs w:val="16"/>
              </w:rPr>
              <w:t>78 985</w:t>
            </w:r>
          </w:p>
        </w:tc>
        <w:tc>
          <w:tcPr>
            <w:tcW w:w="822" w:type="dxa"/>
          </w:tcPr>
          <w:p w14:paraId="2A453AE9" w14:textId="77777777" w:rsidR="00917E4B" w:rsidRPr="008A2E5A" w:rsidRDefault="00917E4B" w:rsidP="004C5D62">
            <w:pPr>
              <w:spacing w:after="0" w:line="240" w:lineRule="auto"/>
              <w:jc w:val="both"/>
              <w:rPr>
                <w:color w:val="0070C0"/>
                <w:sz w:val="16"/>
                <w:szCs w:val="16"/>
              </w:rPr>
            </w:pPr>
            <w:r w:rsidRPr="008A2E5A">
              <w:rPr>
                <w:color w:val="0070C0"/>
                <w:sz w:val="16"/>
                <w:szCs w:val="16"/>
              </w:rPr>
              <w:t>71 167</w:t>
            </w:r>
          </w:p>
        </w:tc>
        <w:tc>
          <w:tcPr>
            <w:tcW w:w="822" w:type="dxa"/>
          </w:tcPr>
          <w:p w14:paraId="3CF1B943" w14:textId="77777777" w:rsidR="00917E4B" w:rsidRPr="008A2E5A" w:rsidRDefault="00917E4B" w:rsidP="004C5D62">
            <w:pPr>
              <w:spacing w:after="0" w:line="240" w:lineRule="auto"/>
              <w:jc w:val="both"/>
              <w:rPr>
                <w:color w:val="0070C0"/>
                <w:sz w:val="16"/>
                <w:szCs w:val="16"/>
              </w:rPr>
            </w:pPr>
            <w:r w:rsidRPr="008A2E5A">
              <w:rPr>
                <w:color w:val="0070C0"/>
                <w:sz w:val="16"/>
                <w:szCs w:val="16"/>
              </w:rPr>
              <w:t>610 645</w:t>
            </w:r>
          </w:p>
        </w:tc>
        <w:tc>
          <w:tcPr>
            <w:tcW w:w="822" w:type="dxa"/>
          </w:tcPr>
          <w:p w14:paraId="205D1728" w14:textId="77777777" w:rsidR="00917E4B" w:rsidRPr="008A2E5A" w:rsidRDefault="00917E4B" w:rsidP="004C5D62">
            <w:pPr>
              <w:spacing w:after="0" w:line="240" w:lineRule="auto"/>
              <w:jc w:val="both"/>
              <w:rPr>
                <w:color w:val="0070C0"/>
                <w:sz w:val="16"/>
                <w:szCs w:val="16"/>
              </w:rPr>
            </w:pPr>
            <w:r w:rsidRPr="008A2E5A">
              <w:rPr>
                <w:color w:val="0070C0"/>
                <w:sz w:val="16"/>
                <w:szCs w:val="16"/>
              </w:rPr>
              <w:t>457 014</w:t>
            </w:r>
          </w:p>
        </w:tc>
        <w:tc>
          <w:tcPr>
            <w:tcW w:w="822" w:type="dxa"/>
          </w:tcPr>
          <w:p w14:paraId="2E4E2EE0" w14:textId="77777777" w:rsidR="00917E4B" w:rsidRPr="008A2E5A" w:rsidRDefault="00917E4B" w:rsidP="004C5D62">
            <w:pPr>
              <w:spacing w:after="0" w:line="240" w:lineRule="auto"/>
              <w:jc w:val="both"/>
              <w:rPr>
                <w:color w:val="0070C0"/>
                <w:sz w:val="16"/>
                <w:szCs w:val="16"/>
              </w:rPr>
            </w:pPr>
          </w:p>
        </w:tc>
        <w:tc>
          <w:tcPr>
            <w:tcW w:w="822" w:type="dxa"/>
          </w:tcPr>
          <w:p w14:paraId="08691CF2" w14:textId="77777777" w:rsidR="00917E4B" w:rsidRPr="008A2E5A" w:rsidRDefault="00917E4B" w:rsidP="004C5D62">
            <w:pPr>
              <w:spacing w:after="0" w:line="240" w:lineRule="auto"/>
              <w:jc w:val="both"/>
              <w:rPr>
                <w:color w:val="0070C0"/>
                <w:sz w:val="16"/>
                <w:szCs w:val="16"/>
              </w:rPr>
            </w:pPr>
          </w:p>
        </w:tc>
        <w:tc>
          <w:tcPr>
            <w:tcW w:w="822" w:type="dxa"/>
          </w:tcPr>
          <w:p w14:paraId="43883406" w14:textId="77777777" w:rsidR="00917E4B" w:rsidRPr="008A2E5A" w:rsidRDefault="00917E4B" w:rsidP="004C5D62">
            <w:pPr>
              <w:spacing w:after="0" w:line="240" w:lineRule="auto"/>
              <w:jc w:val="both"/>
              <w:rPr>
                <w:color w:val="0070C0"/>
                <w:sz w:val="16"/>
                <w:szCs w:val="16"/>
              </w:rPr>
            </w:pPr>
          </w:p>
        </w:tc>
        <w:tc>
          <w:tcPr>
            <w:tcW w:w="822" w:type="dxa"/>
          </w:tcPr>
          <w:p w14:paraId="5B40A84A" w14:textId="77777777" w:rsidR="00917E4B" w:rsidRPr="008A2E5A" w:rsidRDefault="00917E4B" w:rsidP="004C5D62">
            <w:pPr>
              <w:spacing w:after="0" w:line="240" w:lineRule="auto"/>
              <w:jc w:val="both"/>
              <w:rPr>
                <w:color w:val="0070C0"/>
                <w:sz w:val="16"/>
                <w:szCs w:val="16"/>
              </w:rPr>
            </w:pPr>
          </w:p>
        </w:tc>
      </w:tr>
      <w:tr w:rsidR="00917E4B" w:rsidRPr="008A2E5A" w14:paraId="2E17F44F" w14:textId="77777777" w:rsidTr="004C5D62">
        <w:tc>
          <w:tcPr>
            <w:tcW w:w="821" w:type="dxa"/>
          </w:tcPr>
          <w:p w14:paraId="3B159991"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7,62-MKi револьверные</w:t>
            </w:r>
          </w:p>
        </w:tc>
        <w:tc>
          <w:tcPr>
            <w:tcW w:w="821" w:type="dxa"/>
          </w:tcPr>
          <w:p w14:paraId="46B13341" w14:textId="77777777" w:rsidR="00917E4B" w:rsidRPr="008A2E5A" w:rsidRDefault="00917E4B" w:rsidP="004C5D62">
            <w:pPr>
              <w:spacing w:after="0" w:line="240" w:lineRule="auto"/>
              <w:jc w:val="both"/>
              <w:rPr>
                <w:color w:val="0070C0"/>
                <w:sz w:val="16"/>
                <w:szCs w:val="16"/>
              </w:rPr>
            </w:pPr>
            <w:r w:rsidRPr="008A2E5A">
              <w:rPr>
                <w:color w:val="0070C0"/>
                <w:sz w:val="16"/>
                <w:szCs w:val="16"/>
              </w:rPr>
              <w:t>5700</w:t>
            </w:r>
          </w:p>
        </w:tc>
        <w:tc>
          <w:tcPr>
            <w:tcW w:w="821" w:type="dxa"/>
          </w:tcPr>
          <w:p w14:paraId="17082DD1" w14:textId="77777777" w:rsidR="00917E4B" w:rsidRPr="008A2E5A" w:rsidRDefault="00917E4B" w:rsidP="004C5D62">
            <w:pPr>
              <w:spacing w:after="0" w:line="240" w:lineRule="auto"/>
              <w:jc w:val="both"/>
              <w:rPr>
                <w:color w:val="0070C0"/>
                <w:sz w:val="16"/>
                <w:szCs w:val="16"/>
              </w:rPr>
            </w:pPr>
          </w:p>
        </w:tc>
        <w:tc>
          <w:tcPr>
            <w:tcW w:w="821" w:type="dxa"/>
          </w:tcPr>
          <w:p w14:paraId="2FD25F4D"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349EE58A" w14:textId="77777777" w:rsidR="00917E4B" w:rsidRPr="008A2E5A" w:rsidRDefault="00917E4B" w:rsidP="004C5D62">
            <w:pPr>
              <w:spacing w:after="0" w:line="240" w:lineRule="auto"/>
              <w:jc w:val="both"/>
              <w:rPr>
                <w:color w:val="0070C0"/>
                <w:sz w:val="16"/>
                <w:szCs w:val="16"/>
              </w:rPr>
            </w:pPr>
            <w:r w:rsidRPr="008A2E5A">
              <w:rPr>
                <w:color w:val="0070C0"/>
                <w:sz w:val="16"/>
                <w:szCs w:val="16"/>
              </w:rPr>
              <w:t>144</w:t>
            </w:r>
          </w:p>
        </w:tc>
        <w:tc>
          <w:tcPr>
            <w:tcW w:w="822" w:type="dxa"/>
          </w:tcPr>
          <w:p w14:paraId="4ED8AD6F" w14:textId="77777777" w:rsidR="00917E4B" w:rsidRPr="008A2E5A" w:rsidRDefault="00917E4B" w:rsidP="004C5D62">
            <w:pPr>
              <w:spacing w:after="0" w:line="240" w:lineRule="auto"/>
              <w:jc w:val="both"/>
              <w:rPr>
                <w:color w:val="0070C0"/>
                <w:sz w:val="16"/>
                <w:szCs w:val="16"/>
              </w:rPr>
            </w:pPr>
            <w:r w:rsidRPr="008A2E5A">
              <w:rPr>
                <w:color w:val="0070C0"/>
                <w:sz w:val="16"/>
                <w:szCs w:val="16"/>
              </w:rPr>
              <w:t>5945</w:t>
            </w:r>
          </w:p>
        </w:tc>
        <w:tc>
          <w:tcPr>
            <w:tcW w:w="822" w:type="dxa"/>
          </w:tcPr>
          <w:p w14:paraId="69824E0B" w14:textId="77777777" w:rsidR="00917E4B" w:rsidRPr="008A2E5A" w:rsidRDefault="00917E4B" w:rsidP="004C5D62">
            <w:pPr>
              <w:spacing w:after="0" w:line="240" w:lineRule="auto"/>
              <w:jc w:val="both"/>
              <w:rPr>
                <w:color w:val="0070C0"/>
                <w:sz w:val="16"/>
                <w:szCs w:val="16"/>
              </w:rPr>
            </w:pPr>
            <w:r w:rsidRPr="008A2E5A">
              <w:rPr>
                <w:color w:val="0070C0"/>
                <w:sz w:val="16"/>
                <w:szCs w:val="16"/>
              </w:rPr>
              <w:t>258</w:t>
            </w:r>
          </w:p>
        </w:tc>
        <w:tc>
          <w:tcPr>
            <w:tcW w:w="822" w:type="dxa"/>
          </w:tcPr>
          <w:p w14:paraId="46F8EA37" w14:textId="77777777" w:rsidR="00917E4B" w:rsidRPr="008A2E5A" w:rsidRDefault="00917E4B" w:rsidP="004C5D62">
            <w:pPr>
              <w:spacing w:after="0" w:line="240" w:lineRule="auto"/>
              <w:jc w:val="both"/>
              <w:rPr>
                <w:color w:val="0070C0"/>
                <w:sz w:val="16"/>
                <w:szCs w:val="16"/>
              </w:rPr>
            </w:pPr>
            <w:r w:rsidRPr="008A2E5A">
              <w:rPr>
                <w:color w:val="0070C0"/>
                <w:sz w:val="16"/>
                <w:szCs w:val="16"/>
              </w:rPr>
              <w:t>25 645</w:t>
            </w:r>
          </w:p>
        </w:tc>
        <w:tc>
          <w:tcPr>
            <w:tcW w:w="822" w:type="dxa"/>
          </w:tcPr>
          <w:p w14:paraId="563E213D" w14:textId="77777777" w:rsidR="00917E4B" w:rsidRPr="008A2E5A" w:rsidRDefault="00917E4B" w:rsidP="004C5D62">
            <w:pPr>
              <w:spacing w:after="0" w:line="240" w:lineRule="auto"/>
              <w:jc w:val="both"/>
              <w:rPr>
                <w:color w:val="0070C0"/>
                <w:sz w:val="16"/>
                <w:szCs w:val="16"/>
              </w:rPr>
            </w:pPr>
            <w:r w:rsidRPr="008A2E5A">
              <w:rPr>
                <w:color w:val="0070C0"/>
                <w:sz w:val="16"/>
                <w:szCs w:val="16"/>
              </w:rPr>
              <w:t>14 145</w:t>
            </w:r>
          </w:p>
        </w:tc>
        <w:tc>
          <w:tcPr>
            <w:tcW w:w="822" w:type="dxa"/>
          </w:tcPr>
          <w:p w14:paraId="288DF229" w14:textId="77777777" w:rsidR="00917E4B" w:rsidRPr="008A2E5A" w:rsidRDefault="00917E4B" w:rsidP="004C5D62">
            <w:pPr>
              <w:spacing w:after="0" w:line="240" w:lineRule="auto"/>
              <w:jc w:val="both"/>
              <w:rPr>
                <w:color w:val="0070C0"/>
                <w:sz w:val="16"/>
                <w:szCs w:val="16"/>
              </w:rPr>
            </w:pPr>
          </w:p>
        </w:tc>
        <w:tc>
          <w:tcPr>
            <w:tcW w:w="822" w:type="dxa"/>
          </w:tcPr>
          <w:p w14:paraId="688FCFEE" w14:textId="77777777" w:rsidR="00917E4B" w:rsidRPr="008A2E5A" w:rsidRDefault="00917E4B" w:rsidP="004C5D62">
            <w:pPr>
              <w:spacing w:after="0" w:line="240" w:lineRule="auto"/>
              <w:jc w:val="both"/>
              <w:rPr>
                <w:color w:val="0070C0"/>
                <w:sz w:val="16"/>
                <w:szCs w:val="16"/>
              </w:rPr>
            </w:pPr>
          </w:p>
        </w:tc>
        <w:tc>
          <w:tcPr>
            <w:tcW w:w="822" w:type="dxa"/>
          </w:tcPr>
          <w:p w14:paraId="7028D0C6" w14:textId="77777777" w:rsidR="00917E4B" w:rsidRPr="008A2E5A" w:rsidRDefault="00917E4B" w:rsidP="004C5D62">
            <w:pPr>
              <w:spacing w:after="0" w:line="240" w:lineRule="auto"/>
              <w:jc w:val="both"/>
              <w:rPr>
                <w:color w:val="0070C0"/>
                <w:sz w:val="16"/>
                <w:szCs w:val="16"/>
              </w:rPr>
            </w:pPr>
          </w:p>
        </w:tc>
        <w:tc>
          <w:tcPr>
            <w:tcW w:w="822" w:type="dxa"/>
          </w:tcPr>
          <w:p w14:paraId="68DE2AAC" w14:textId="77777777" w:rsidR="00917E4B" w:rsidRPr="008A2E5A" w:rsidRDefault="00917E4B" w:rsidP="004C5D62">
            <w:pPr>
              <w:spacing w:after="0" w:line="240" w:lineRule="auto"/>
              <w:jc w:val="both"/>
              <w:rPr>
                <w:color w:val="0070C0"/>
                <w:sz w:val="16"/>
                <w:szCs w:val="16"/>
              </w:rPr>
            </w:pPr>
          </w:p>
        </w:tc>
      </w:tr>
      <w:tr w:rsidR="00917E4B" w:rsidRPr="008A2E5A" w14:paraId="1F130D33" w14:textId="77777777" w:rsidTr="004C5D62">
        <w:tc>
          <w:tcPr>
            <w:tcW w:w="821" w:type="dxa"/>
          </w:tcPr>
          <w:p w14:paraId="68043CC9" w14:textId="77777777" w:rsidR="00917E4B" w:rsidRPr="008A2E5A" w:rsidRDefault="00917E4B" w:rsidP="004C5D62">
            <w:pPr>
              <w:spacing w:after="0" w:line="240" w:lineRule="auto"/>
              <w:jc w:val="both"/>
              <w:rPr>
                <w:color w:val="0070C0"/>
                <w:sz w:val="16"/>
                <w:szCs w:val="16"/>
              </w:rPr>
            </w:pPr>
            <w:r w:rsidRPr="008A2E5A">
              <w:rPr>
                <w:color w:val="0070C0"/>
                <w:sz w:val="16"/>
                <w:szCs w:val="16"/>
              </w:rPr>
              <w:t>12,7-мм патроны</w:t>
            </w:r>
          </w:p>
        </w:tc>
        <w:tc>
          <w:tcPr>
            <w:tcW w:w="821" w:type="dxa"/>
          </w:tcPr>
          <w:p w14:paraId="059CCCCE" w14:textId="77777777" w:rsidR="00917E4B" w:rsidRPr="008A2E5A" w:rsidRDefault="00917E4B" w:rsidP="004C5D62">
            <w:pPr>
              <w:spacing w:after="0" w:line="240" w:lineRule="auto"/>
              <w:jc w:val="both"/>
              <w:rPr>
                <w:color w:val="0070C0"/>
                <w:sz w:val="16"/>
                <w:szCs w:val="16"/>
              </w:rPr>
            </w:pPr>
            <w:r w:rsidRPr="008A2E5A">
              <w:rPr>
                <w:color w:val="0070C0"/>
                <w:sz w:val="16"/>
                <w:szCs w:val="16"/>
              </w:rPr>
              <w:t>3500</w:t>
            </w:r>
          </w:p>
        </w:tc>
        <w:tc>
          <w:tcPr>
            <w:tcW w:w="821" w:type="dxa"/>
          </w:tcPr>
          <w:p w14:paraId="6B69AFE2" w14:textId="77777777" w:rsidR="00917E4B" w:rsidRPr="008A2E5A" w:rsidRDefault="00917E4B" w:rsidP="004C5D62">
            <w:pPr>
              <w:spacing w:after="0" w:line="240" w:lineRule="auto"/>
              <w:jc w:val="both"/>
              <w:rPr>
                <w:color w:val="0070C0"/>
                <w:sz w:val="16"/>
                <w:szCs w:val="16"/>
              </w:rPr>
            </w:pPr>
            <w:r w:rsidRPr="008A2E5A">
              <w:rPr>
                <w:color w:val="0070C0"/>
                <w:sz w:val="16"/>
                <w:szCs w:val="16"/>
              </w:rPr>
              <w:t>2981</w:t>
            </w:r>
          </w:p>
        </w:tc>
        <w:tc>
          <w:tcPr>
            <w:tcW w:w="821" w:type="dxa"/>
          </w:tcPr>
          <w:p w14:paraId="508D6205"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2000</w:t>
            </w:r>
          </w:p>
        </w:tc>
        <w:tc>
          <w:tcPr>
            <w:tcW w:w="822" w:type="dxa"/>
          </w:tcPr>
          <w:p w14:paraId="5AF62977" w14:textId="77777777" w:rsidR="00917E4B" w:rsidRPr="008A2E5A" w:rsidRDefault="00917E4B" w:rsidP="004C5D62">
            <w:pPr>
              <w:spacing w:after="0" w:line="240" w:lineRule="auto"/>
              <w:jc w:val="both"/>
              <w:rPr>
                <w:color w:val="0070C0"/>
                <w:sz w:val="16"/>
                <w:szCs w:val="16"/>
              </w:rPr>
            </w:pPr>
            <w:r w:rsidRPr="008A2E5A">
              <w:rPr>
                <w:color w:val="0070C0"/>
                <w:sz w:val="16"/>
                <w:szCs w:val="16"/>
              </w:rPr>
              <w:t>1307</w:t>
            </w:r>
          </w:p>
        </w:tc>
        <w:tc>
          <w:tcPr>
            <w:tcW w:w="822" w:type="dxa"/>
          </w:tcPr>
          <w:p w14:paraId="30A1974B" w14:textId="77777777" w:rsidR="00917E4B" w:rsidRPr="008A2E5A" w:rsidRDefault="00917E4B" w:rsidP="004C5D62">
            <w:pPr>
              <w:spacing w:after="0" w:line="240" w:lineRule="auto"/>
              <w:jc w:val="both"/>
              <w:rPr>
                <w:color w:val="0070C0"/>
                <w:sz w:val="16"/>
                <w:szCs w:val="16"/>
              </w:rPr>
            </w:pPr>
            <w:r w:rsidRPr="008A2E5A">
              <w:rPr>
                <w:color w:val="0070C0"/>
                <w:sz w:val="16"/>
                <w:szCs w:val="16"/>
              </w:rPr>
              <w:t>3500</w:t>
            </w:r>
          </w:p>
        </w:tc>
        <w:tc>
          <w:tcPr>
            <w:tcW w:w="822" w:type="dxa"/>
          </w:tcPr>
          <w:p w14:paraId="4235E2A6" w14:textId="77777777" w:rsidR="00917E4B" w:rsidRPr="008A2E5A" w:rsidRDefault="00917E4B" w:rsidP="004C5D62">
            <w:pPr>
              <w:spacing w:after="0" w:line="240" w:lineRule="auto"/>
              <w:jc w:val="both"/>
              <w:rPr>
                <w:color w:val="0070C0"/>
                <w:sz w:val="16"/>
                <w:szCs w:val="16"/>
              </w:rPr>
            </w:pPr>
            <w:r w:rsidRPr="008A2E5A">
              <w:rPr>
                <w:color w:val="0070C0"/>
                <w:sz w:val="16"/>
                <w:szCs w:val="16"/>
              </w:rPr>
              <w:t>2471</w:t>
            </w:r>
          </w:p>
        </w:tc>
        <w:tc>
          <w:tcPr>
            <w:tcW w:w="822" w:type="dxa"/>
          </w:tcPr>
          <w:p w14:paraId="2844E24F" w14:textId="77777777" w:rsidR="00917E4B" w:rsidRPr="008A2E5A" w:rsidRDefault="00917E4B" w:rsidP="004C5D62">
            <w:pPr>
              <w:spacing w:after="0" w:line="240" w:lineRule="auto"/>
              <w:jc w:val="both"/>
              <w:rPr>
                <w:color w:val="0070C0"/>
                <w:sz w:val="16"/>
                <w:szCs w:val="16"/>
              </w:rPr>
            </w:pPr>
            <w:r w:rsidRPr="008A2E5A">
              <w:rPr>
                <w:color w:val="0070C0"/>
                <w:sz w:val="16"/>
                <w:szCs w:val="16"/>
              </w:rPr>
              <w:t>18 776</w:t>
            </w:r>
          </w:p>
        </w:tc>
        <w:tc>
          <w:tcPr>
            <w:tcW w:w="822" w:type="dxa"/>
          </w:tcPr>
          <w:p w14:paraId="75AAA8AB" w14:textId="77777777" w:rsidR="00917E4B" w:rsidRPr="008A2E5A" w:rsidRDefault="00917E4B" w:rsidP="004C5D62">
            <w:pPr>
              <w:spacing w:after="0" w:line="240" w:lineRule="auto"/>
              <w:jc w:val="both"/>
              <w:rPr>
                <w:color w:val="0070C0"/>
                <w:sz w:val="16"/>
                <w:szCs w:val="16"/>
              </w:rPr>
            </w:pPr>
            <w:r w:rsidRPr="008A2E5A">
              <w:rPr>
                <w:color w:val="0070C0"/>
                <w:sz w:val="16"/>
                <w:szCs w:val="16"/>
              </w:rPr>
              <w:t>16 714</w:t>
            </w:r>
          </w:p>
        </w:tc>
        <w:tc>
          <w:tcPr>
            <w:tcW w:w="822" w:type="dxa"/>
          </w:tcPr>
          <w:p w14:paraId="2F159C43" w14:textId="77777777" w:rsidR="00917E4B" w:rsidRPr="008A2E5A" w:rsidRDefault="00917E4B" w:rsidP="004C5D62">
            <w:pPr>
              <w:spacing w:after="0" w:line="240" w:lineRule="auto"/>
              <w:jc w:val="both"/>
              <w:rPr>
                <w:color w:val="0070C0"/>
                <w:sz w:val="16"/>
                <w:szCs w:val="16"/>
              </w:rPr>
            </w:pPr>
          </w:p>
        </w:tc>
        <w:tc>
          <w:tcPr>
            <w:tcW w:w="822" w:type="dxa"/>
          </w:tcPr>
          <w:p w14:paraId="6B187ECB" w14:textId="77777777" w:rsidR="00917E4B" w:rsidRPr="008A2E5A" w:rsidRDefault="00917E4B" w:rsidP="004C5D62">
            <w:pPr>
              <w:spacing w:after="0" w:line="240" w:lineRule="auto"/>
              <w:jc w:val="both"/>
              <w:rPr>
                <w:color w:val="0070C0"/>
                <w:sz w:val="16"/>
                <w:szCs w:val="16"/>
              </w:rPr>
            </w:pPr>
          </w:p>
        </w:tc>
        <w:tc>
          <w:tcPr>
            <w:tcW w:w="822" w:type="dxa"/>
          </w:tcPr>
          <w:p w14:paraId="25C52463" w14:textId="77777777" w:rsidR="00917E4B" w:rsidRPr="008A2E5A" w:rsidRDefault="00917E4B" w:rsidP="004C5D62">
            <w:pPr>
              <w:spacing w:after="0" w:line="240" w:lineRule="auto"/>
              <w:jc w:val="both"/>
              <w:rPr>
                <w:color w:val="0070C0"/>
                <w:sz w:val="16"/>
                <w:szCs w:val="16"/>
              </w:rPr>
            </w:pPr>
          </w:p>
        </w:tc>
        <w:tc>
          <w:tcPr>
            <w:tcW w:w="822" w:type="dxa"/>
          </w:tcPr>
          <w:p w14:paraId="1711C083" w14:textId="77777777" w:rsidR="00917E4B" w:rsidRPr="008A2E5A" w:rsidRDefault="00917E4B" w:rsidP="004C5D62">
            <w:pPr>
              <w:spacing w:after="0" w:line="240" w:lineRule="auto"/>
              <w:jc w:val="both"/>
              <w:rPr>
                <w:color w:val="0070C0"/>
                <w:sz w:val="16"/>
                <w:szCs w:val="16"/>
              </w:rPr>
            </w:pPr>
          </w:p>
        </w:tc>
      </w:tr>
      <w:tr w:rsidR="00917E4B" w:rsidRPr="008A2E5A" w14:paraId="35DE3B39" w14:textId="77777777" w:rsidTr="004C5D62">
        <w:tc>
          <w:tcPr>
            <w:tcW w:w="821" w:type="dxa"/>
          </w:tcPr>
          <w:p w14:paraId="38EE2C6D" w14:textId="77777777" w:rsidR="00917E4B" w:rsidRPr="008A2E5A" w:rsidRDefault="00917E4B" w:rsidP="004C5D62">
            <w:pPr>
              <w:spacing w:after="0" w:line="240" w:lineRule="auto"/>
              <w:jc w:val="both"/>
              <w:rPr>
                <w:color w:val="0070C0"/>
                <w:sz w:val="16"/>
                <w:szCs w:val="16"/>
              </w:rPr>
            </w:pPr>
            <w:r w:rsidRPr="008A2E5A">
              <w:rPr>
                <w:color w:val="0070C0"/>
                <w:sz w:val="16"/>
                <w:szCs w:val="16"/>
              </w:rPr>
              <w:t>14,7-мм патроны</w:t>
            </w:r>
          </w:p>
        </w:tc>
        <w:tc>
          <w:tcPr>
            <w:tcW w:w="821" w:type="dxa"/>
          </w:tcPr>
          <w:p w14:paraId="242B35B4" w14:textId="77777777" w:rsidR="00917E4B" w:rsidRPr="008A2E5A" w:rsidRDefault="00917E4B" w:rsidP="004C5D62">
            <w:pPr>
              <w:spacing w:after="0" w:line="240" w:lineRule="auto"/>
              <w:jc w:val="both"/>
              <w:rPr>
                <w:color w:val="0070C0"/>
                <w:sz w:val="16"/>
                <w:szCs w:val="16"/>
              </w:rPr>
            </w:pPr>
          </w:p>
        </w:tc>
        <w:tc>
          <w:tcPr>
            <w:tcW w:w="821" w:type="dxa"/>
          </w:tcPr>
          <w:p w14:paraId="28B807A5" w14:textId="77777777" w:rsidR="00917E4B" w:rsidRPr="008A2E5A" w:rsidRDefault="00917E4B" w:rsidP="004C5D62">
            <w:pPr>
              <w:spacing w:after="0" w:line="240" w:lineRule="auto"/>
              <w:jc w:val="both"/>
              <w:rPr>
                <w:color w:val="0070C0"/>
                <w:sz w:val="16"/>
                <w:szCs w:val="16"/>
              </w:rPr>
            </w:pPr>
          </w:p>
        </w:tc>
        <w:tc>
          <w:tcPr>
            <w:tcW w:w="821" w:type="dxa"/>
          </w:tcPr>
          <w:p w14:paraId="370A02D5"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161B8092" w14:textId="77777777" w:rsidR="00917E4B" w:rsidRPr="008A2E5A" w:rsidRDefault="00917E4B" w:rsidP="004C5D62">
            <w:pPr>
              <w:spacing w:after="0" w:line="240" w:lineRule="auto"/>
              <w:jc w:val="both"/>
              <w:rPr>
                <w:color w:val="0070C0"/>
                <w:sz w:val="16"/>
                <w:szCs w:val="16"/>
              </w:rPr>
            </w:pPr>
            <w:r w:rsidRPr="008A2E5A">
              <w:rPr>
                <w:color w:val="0070C0"/>
                <w:sz w:val="16"/>
                <w:szCs w:val="16"/>
              </w:rPr>
              <w:t>40</w:t>
            </w:r>
          </w:p>
        </w:tc>
        <w:tc>
          <w:tcPr>
            <w:tcW w:w="822" w:type="dxa"/>
          </w:tcPr>
          <w:p w14:paraId="382016B0" w14:textId="77777777" w:rsidR="00917E4B" w:rsidRPr="008A2E5A" w:rsidRDefault="00917E4B" w:rsidP="004C5D62">
            <w:pPr>
              <w:spacing w:after="0" w:line="240" w:lineRule="auto"/>
              <w:jc w:val="both"/>
              <w:rPr>
                <w:color w:val="0070C0"/>
                <w:sz w:val="16"/>
                <w:szCs w:val="16"/>
              </w:rPr>
            </w:pPr>
            <w:r w:rsidRPr="008A2E5A">
              <w:rPr>
                <w:color w:val="0070C0"/>
                <w:sz w:val="16"/>
                <w:szCs w:val="16"/>
              </w:rPr>
              <w:t>1896</w:t>
            </w:r>
          </w:p>
        </w:tc>
        <w:tc>
          <w:tcPr>
            <w:tcW w:w="822" w:type="dxa"/>
          </w:tcPr>
          <w:p w14:paraId="421339E0" w14:textId="77777777" w:rsidR="00917E4B" w:rsidRPr="008A2E5A" w:rsidRDefault="00917E4B" w:rsidP="004C5D62">
            <w:pPr>
              <w:spacing w:after="0" w:line="240" w:lineRule="auto"/>
              <w:jc w:val="both"/>
              <w:rPr>
                <w:color w:val="0070C0"/>
                <w:sz w:val="16"/>
                <w:szCs w:val="16"/>
              </w:rPr>
            </w:pPr>
          </w:p>
        </w:tc>
        <w:tc>
          <w:tcPr>
            <w:tcW w:w="822" w:type="dxa"/>
          </w:tcPr>
          <w:p w14:paraId="76A01B57" w14:textId="77777777" w:rsidR="00917E4B" w:rsidRPr="008A2E5A" w:rsidRDefault="00917E4B" w:rsidP="004C5D62">
            <w:pPr>
              <w:spacing w:after="0" w:line="240" w:lineRule="auto"/>
              <w:jc w:val="both"/>
              <w:rPr>
                <w:color w:val="0070C0"/>
                <w:sz w:val="16"/>
                <w:szCs w:val="16"/>
              </w:rPr>
            </w:pPr>
            <w:r w:rsidRPr="008A2E5A">
              <w:rPr>
                <w:color w:val="0070C0"/>
                <w:sz w:val="16"/>
                <w:szCs w:val="16"/>
              </w:rPr>
              <w:t>2896</w:t>
            </w:r>
          </w:p>
        </w:tc>
        <w:tc>
          <w:tcPr>
            <w:tcW w:w="822" w:type="dxa"/>
          </w:tcPr>
          <w:p w14:paraId="7745D80E" w14:textId="77777777" w:rsidR="00917E4B" w:rsidRPr="008A2E5A" w:rsidRDefault="00917E4B" w:rsidP="004C5D62">
            <w:pPr>
              <w:spacing w:after="0" w:line="240" w:lineRule="auto"/>
              <w:jc w:val="both"/>
              <w:rPr>
                <w:color w:val="0070C0"/>
                <w:sz w:val="16"/>
                <w:szCs w:val="16"/>
              </w:rPr>
            </w:pPr>
            <w:r w:rsidRPr="008A2E5A">
              <w:rPr>
                <w:color w:val="0070C0"/>
                <w:sz w:val="16"/>
                <w:szCs w:val="16"/>
              </w:rPr>
              <w:t>7201</w:t>
            </w:r>
          </w:p>
        </w:tc>
        <w:tc>
          <w:tcPr>
            <w:tcW w:w="822" w:type="dxa"/>
          </w:tcPr>
          <w:p w14:paraId="4D7E903D" w14:textId="77777777" w:rsidR="00917E4B" w:rsidRPr="008A2E5A" w:rsidRDefault="00917E4B" w:rsidP="004C5D62">
            <w:pPr>
              <w:spacing w:after="0" w:line="240" w:lineRule="auto"/>
              <w:jc w:val="both"/>
              <w:rPr>
                <w:color w:val="0070C0"/>
                <w:sz w:val="16"/>
                <w:szCs w:val="16"/>
              </w:rPr>
            </w:pPr>
          </w:p>
        </w:tc>
        <w:tc>
          <w:tcPr>
            <w:tcW w:w="822" w:type="dxa"/>
          </w:tcPr>
          <w:p w14:paraId="0B705772" w14:textId="77777777" w:rsidR="00917E4B" w:rsidRPr="008A2E5A" w:rsidRDefault="00917E4B" w:rsidP="004C5D62">
            <w:pPr>
              <w:spacing w:after="0" w:line="240" w:lineRule="auto"/>
              <w:jc w:val="both"/>
              <w:rPr>
                <w:color w:val="0070C0"/>
                <w:sz w:val="16"/>
                <w:szCs w:val="16"/>
              </w:rPr>
            </w:pPr>
          </w:p>
        </w:tc>
        <w:tc>
          <w:tcPr>
            <w:tcW w:w="822" w:type="dxa"/>
          </w:tcPr>
          <w:p w14:paraId="6FD75760" w14:textId="77777777" w:rsidR="00917E4B" w:rsidRPr="008A2E5A" w:rsidRDefault="00917E4B" w:rsidP="004C5D62">
            <w:pPr>
              <w:spacing w:after="0" w:line="240" w:lineRule="auto"/>
              <w:jc w:val="both"/>
              <w:rPr>
                <w:color w:val="0070C0"/>
                <w:sz w:val="16"/>
                <w:szCs w:val="16"/>
              </w:rPr>
            </w:pPr>
          </w:p>
        </w:tc>
        <w:tc>
          <w:tcPr>
            <w:tcW w:w="822" w:type="dxa"/>
          </w:tcPr>
          <w:p w14:paraId="333FE919" w14:textId="77777777" w:rsidR="00917E4B" w:rsidRPr="008A2E5A" w:rsidRDefault="00917E4B" w:rsidP="004C5D62">
            <w:pPr>
              <w:spacing w:after="0" w:line="240" w:lineRule="auto"/>
              <w:jc w:val="both"/>
              <w:rPr>
                <w:color w:val="0070C0"/>
                <w:sz w:val="16"/>
                <w:szCs w:val="16"/>
              </w:rPr>
            </w:pPr>
          </w:p>
        </w:tc>
      </w:tr>
      <w:tr w:rsidR="00917E4B" w:rsidRPr="008A2E5A" w14:paraId="2FDA378C" w14:textId="77777777" w:rsidTr="004C5D62">
        <w:tc>
          <w:tcPr>
            <w:tcW w:w="821" w:type="dxa"/>
          </w:tcPr>
          <w:p w14:paraId="2992DD10" w14:textId="77777777" w:rsidR="00917E4B" w:rsidRPr="008A2E5A" w:rsidRDefault="00917E4B" w:rsidP="004C5D62">
            <w:pPr>
              <w:spacing w:after="0" w:line="240" w:lineRule="auto"/>
              <w:jc w:val="both"/>
              <w:rPr>
                <w:color w:val="0070C0"/>
                <w:sz w:val="16"/>
                <w:szCs w:val="16"/>
              </w:rPr>
            </w:pPr>
            <w:r w:rsidRPr="008A2E5A">
              <w:rPr>
                <w:color w:val="0070C0"/>
                <w:sz w:val="16"/>
                <w:szCs w:val="16"/>
              </w:rPr>
              <w:t>7,62-мм патроны с пулей ДД</w:t>
            </w:r>
          </w:p>
        </w:tc>
        <w:tc>
          <w:tcPr>
            <w:tcW w:w="821" w:type="dxa"/>
          </w:tcPr>
          <w:p w14:paraId="0237831C"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2000</w:t>
            </w:r>
          </w:p>
        </w:tc>
        <w:tc>
          <w:tcPr>
            <w:tcW w:w="821" w:type="dxa"/>
          </w:tcPr>
          <w:p w14:paraId="26AD89E9" w14:textId="77777777" w:rsidR="00917E4B" w:rsidRPr="008A2E5A" w:rsidRDefault="00917E4B" w:rsidP="004C5D62">
            <w:pPr>
              <w:spacing w:after="0" w:line="240" w:lineRule="auto"/>
              <w:jc w:val="both"/>
              <w:rPr>
                <w:color w:val="0070C0"/>
                <w:sz w:val="16"/>
                <w:szCs w:val="16"/>
              </w:rPr>
            </w:pPr>
          </w:p>
        </w:tc>
        <w:tc>
          <w:tcPr>
            <w:tcW w:w="821" w:type="dxa"/>
          </w:tcPr>
          <w:p w14:paraId="6A908716" w14:textId="77777777" w:rsidR="00917E4B" w:rsidRPr="008A2E5A" w:rsidRDefault="00917E4B" w:rsidP="004C5D62">
            <w:pPr>
              <w:spacing w:after="0" w:line="240" w:lineRule="auto"/>
              <w:jc w:val="both"/>
              <w:rPr>
                <w:color w:val="0070C0"/>
                <w:sz w:val="16"/>
                <w:szCs w:val="16"/>
              </w:rPr>
            </w:pPr>
          </w:p>
        </w:tc>
        <w:tc>
          <w:tcPr>
            <w:tcW w:w="822" w:type="dxa"/>
          </w:tcPr>
          <w:p w14:paraId="459B46DC" w14:textId="77777777" w:rsidR="00917E4B" w:rsidRPr="008A2E5A" w:rsidRDefault="00917E4B" w:rsidP="004C5D62">
            <w:pPr>
              <w:spacing w:after="0" w:line="240" w:lineRule="auto"/>
              <w:jc w:val="both"/>
              <w:rPr>
                <w:color w:val="0070C0"/>
                <w:sz w:val="16"/>
                <w:szCs w:val="16"/>
              </w:rPr>
            </w:pPr>
          </w:p>
        </w:tc>
        <w:tc>
          <w:tcPr>
            <w:tcW w:w="822" w:type="dxa"/>
          </w:tcPr>
          <w:p w14:paraId="70FA4707" w14:textId="77777777" w:rsidR="00917E4B" w:rsidRPr="008A2E5A" w:rsidRDefault="00917E4B" w:rsidP="004C5D62">
            <w:pPr>
              <w:spacing w:after="0" w:line="240" w:lineRule="auto"/>
              <w:jc w:val="both"/>
              <w:rPr>
                <w:color w:val="0070C0"/>
                <w:sz w:val="16"/>
                <w:szCs w:val="16"/>
              </w:rPr>
            </w:pPr>
          </w:p>
        </w:tc>
        <w:tc>
          <w:tcPr>
            <w:tcW w:w="822" w:type="dxa"/>
          </w:tcPr>
          <w:p w14:paraId="4C83C0F7" w14:textId="77777777" w:rsidR="00917E4B" w:rsidRPr="008A2E5A" w:rsidRDefault="00917E4B" w:rsidP="004C5D62">
            <w:pPr>
              <w:spacing w:after="0" w:line="240" w:lineRule="auto"/>
              <w:jc w:val="both"/>
              <w:rPr>
                <w:color w:val="0070C0"/>
                <w:sz w:val="16"/>
                <w:szCs w:val="16"/>
              </w:rPr>
            </w:pPr>
          </w:p>
        </w:tc>
        <w:tc>
          <w:tcPr>
            <w:tcW w:w="822" w:type="dxa"/>
          </w:tcPr>
          <w:p w14:paraId="758EB372" w14:textId="77777777" w:rsidR="00917E4B" w:rsidRPr="008A2E5A" w:rsidRDefault="00917E4B" w:rsidP="004C5D62">
            <w:pPr>
              <w:spacing w:after="0" w:line="240" w:lineRule="auto"/>
              <w:jc w:val="both"/>
              <w:rPr>
                <w:color w:val="0070C0"/>
                <w:sz w:val="16"/>
                <w:szCs w:val="16"/>
              </w:rPr>
            </w:pPr>
            <w:r w:rsidRPr="008A2E5A">
              <w:rPr>
                <w:color w:val="0070C0"/>
                <w:sz w:val="16"/>
                <w:szCs w:val="16"/>
              </w:rPr>
              <w:t>5500</w:t>
            </w:r>
          </w:p>
        </w:tc>
        <w:tc>
          <w:tcPr>
            <w:tcW w:w="822" w:type="dxa"/>
          </w:tcPr>
          <w:p w14:paraId="7E8715F2" w14:textId="77777777" w:rsidR="00917E4B" w:rsidRPr="008A2E5A" w:rsidRDefault="00917E4B" w:rsidP="004C5D62">
            <w:pPr>
              <w:spacing w:after="0" w:line="240" w:lineRule="auto"/>
              <w:jc w:val="both"/>
              <w:rPr>
                <w:color w:val="0070C0"/>
                <w:sz w:val="16"/>
                <w:szCs w:val="16"/>
              </w:rPr>
            </w:pPr>
            <w:r w:rsidRPr="008A2E5A">
              <w:rPr>
                <w:color w:val="0070C0"/>
                <w:sz w:val="16"/>
                <w:szCs w:val="16"/>
              </w:rPr>
              <w:t>1837</w:t>
            </w:r>
          </w:p>
        </w:tc>
        <w:tc>
          <w:tcPr>
            <w:tcW w:w="822" w:type="dxa"/>
          </w:tcPr>
          <w:p w14:paraId="1F61D6BC" w14:textId="77777777" w:rsidR="00917E4B" w:rsidRPr="008A2E5A" w:rsidRDefault="00917E4B" w:rsidP="004C5D62">
            <w:pPr>
              <w:spacing w:after="0" w:line="240" w:lineRule="auto"/>
              <w:jc w:val="both"/>
              <w:rPr>
                <w:color w:val="0070C0"/>
                <w:sz w:val="16"/>
                <w:szCs w:val="16"/>
              </w:rPr>
            </w:pPr>
          </w:p>
        </w:tc>
        <w:tc>
          <w:tcPr>
            <w:tcW w:w="822" w:type="dxa"/>
          </w:tcPr>
          <w:p w14:paraId="07779A7B" w14:textId="77777777" w:rsidR="00917E4B" w:rsidRPr="008A2E5A" w:rsidRDefault="00917E4B" w:rsidP="004C5D62">
            <w:pPr>
              <w:spacing w:after="0" w:line="240" w:lineRule="auto"/>
              <w:jc w:val="both"/>
              <w:rPr>
                <w:color w:val="0070C0"/>
                <w:sz w:val="16"/>
                <w:szCs w:val="16"/>
              </w:rPr>
            </w:pPr>
          </w:p>
        </w:tc>
        <w:tc>
          <w:tcPr>
            <w:tcW w:w="822" w:type="dxa"/>
          </w:tcPr>
          <w:p w14:paraId="126E0C4C" w14:textId="77777777" w:rsidR="00917E4B" w:rsidRPr="008A2E5A" w:rsidRDefault="00917E4B" w:rsidP="004C5D62">
            <w:pPr>
              <w:spacing w:after="0" w:line="240" w:lineRule="auto"/>
              <w:jc w:val="both"/>
              <w:rPr>
                <w:color w:val="0070C0"/>
                <w:sz w:val="16"/>
                <w:szCs w:val="16"/>
              </w:rPr>
            </w:pPr>
          </w:p>
        </w:tc>
        <w:tc>
          <w:tcPr>
            <w:tcW w:w="822" w:type="dxa"/>
          </w:tcPr>
          <w:p w14:paraId="22DA6826" w14:textId="77777777" w:rsidR="00917E4B" w:rsidRPr="008A2E5A" w:rsidRDefault="00917E4B" w:rsidP="004C5D62">
            <w:pPr>
              <w:spacing w:after="0" w:line="240" w:lineRule="auto"/>
              <w:jc w:val="both"/>
              <w:rPr>
                <w:color w:val="0070C0"/>
                <w:sz w:val="16"/>
                <w:szCs w:val="16"/>
              </w:rPr>
            </w:pPr>
          </w:p>
        </w:tc>
      </w:tr>
      <w:tr w:rsidR="00917E4B" w:rsidRPr="008A2E5A" w14:paraId="3BF43D24" w14:textId="77777777" w:rsidTr="004C5D62">
        <w:tc>
          <w:tcPr>
            <w:tcW w:w="821" w:type="dxa"/>
          </w:tcPr>
          <w:p w14:paraId="6191C31C" w14:textId="77777777" w:rsidR="00917E4B" w:rsidRPr="008A2E5A" w:rsidRDefault="00917E4B" w:rsidP="004C5D62">
            <w:pPr>
              <w:spacing w:after="0" w:line="240" w:lineRule="auto"/>
              <w:jc w:val="both"/>
              <w:rPr>
                <w:color w:val="0070C0"/>
                <w:sz w:val="16"/>
                <w:szCs w:val="16"/>
              </w:rPr>
            </w:pPr>
            <w:r w:rsidRPr="008A2E5A">
              <w:rPr>
                <w:color w:val="0070C0"/>
                <w:sz w:val="16"/>
                <w:szCs w:val="16"/>
              </w:rPr>
              <w:t>Гранаты</w:t>
            </w:r>
          </w:p>
        </w:tc>
        <w:tc>
          <w:tcPr>
            <w:tcW w:w="821" w:type="dxa"/>
          </w:tcPr>
          <w:p w14:paraId="2FF6ED6D" w14:textId="77777777" w:rsidR="00917E4B" w:rsidRPr="008A2E5A" w:rsidRDefault="00917E4B" w:rsidP="004C5D62">
            <w:pPr>
              <w:spacing w:after="0" w:line="240" w:lineRule="auto"/>
              <w:jc w:val="both"/>
              <w:rPr>
                <w:color w:val="0070C0"/>
                <w:sz w:val="16"/>
                <w:szCs w:val="16"/>
              </w:rPr>
            </w:pPr>
          </w:p>
        </w:tc>
        <w:tc>
          <w:tcPr>
            <w:tcW w:w="821" w:type="dxa"/>
          </w:tcPr>
          <w:p w14:paraId="2EFF49C9" w14:textId="77777777" w:rsidR="00917E4B" w:rsidRPr="008A2E5A" w:rsidRDefault="00917E4B" w:rsidP="004C5D62">
            <w:pPr>
              <w:spacing w:after="0" w:line="240" w:lineRule="auto"/>
              <w:jc w:val="both"/>
              <w:rPr>
                <w:color w:val="0070C0"/>
                <w:sz w:val="16"/>
                <w:szCs w:val="16"/>
              </w:rPr>
            </w:pPr>
          </w:p>
        </w:tc>
        <w:tc>
          <w:tcPr>
            <w:tcW w:w="821" w:type="dxa"/>
          </w:tcPr>
          <w:p w14:paraId="12BE8009" w14:textId="77777777" w:rsidR="00917E4B" w:rsidRPr="008A2E5A" w:rsidRDefault="00917E4B" w:rsidP="004C5D62">
            <w:pPr>
              <w:spacing w:after="0" w:line="240" w:lineRule="auto"/>
              <w:jc w:val="both"/>
              <w:rPr>
                <w:color w:val="0070C0"/>
                <w:sz w:val="16"/>
                <w:szCs w:val="16"/>
              </w:rPr>
            </w:pPr>
          </w:p>
        </w:tc>
        <w:tc>
          <w:tcPr>
            <w:tcW w:w="822" w:type="dxa"/>
          </w:tcPr>
          <w:p w14:paraId="31428ED8" w14:textId="77777777" w:rsidR="00917E4B" w:rsidRPr="008A2E5A" w:rsidRDefault="00917E4B" w:rsidP="004C5D62">
            <w:pPr>
              <w:spacing w:after="0" w:line="240" w:lineRule="auto"/>
              <w:jc w:val="both"/>
              <w:rPr>
                <w:color w:val="0070C0"/>
                <w:sz w:val="16"/>
                <w:szCs w:val="16"/>
              </w:rPr>
            </w:pPr>
          </w:p>
        </w:tc>
        <w:tc>
          <w:tcPr>
            <w:tcW w:w="822" w:type="dxa"/>
          </w:tcPr>
          <w:p w14:paraId="616EC970" w14:textId="77777777" w:rsidR="00917E4B" w:rsidRPr="008A2E5A" w:rsidRDefault="00917E4B" w:rsidP="004C5D62">
            <w:pPr>
              <w:spacing w:after="0" w:line="240" w:lineRule="auto"/>
              <w:jc w:val="both"/>
              <w:rPr>
                <w:color w:val="0070C0"/>
                <w:sz w:val="16"/>
                <w:szCs w:val="16"/>
              </w:rPr>
            </w:pPr>
          </w:p>
        </w:tc>
        <w:tc>
          <w:tcPr>
            <w:tcW w:w="822" w:type="dxa"/>
          </w:tcPr>
          <w:p w14:paraId="7232A6C6" w14:textId="77777777" w:rsidR="00917E4B" w:rsidRPr="008A2E5A" w:rsidRDefault="00917E4B" w:rsidP="004C5D62">
            <w:pPr>
              <w:spacing w:after="0" w:line="240" w:lineRule="auto"/>
              <w:jc w:val="both"/>
              <w:rPr>
                <w:color w:val="0070C0"/>
                <w:sz w:val="16"/>
                <w:szCs w:val="16"/>
              </w:rPr>
            </w:pPr>
          </w:p>
        </w:tc>
        <w:tc>
          <w:tcPr>
            <w:tcW w:w="822" w:type="dxa"/>
          </w:tcPr>
          <w:p w14:paraId="1C34F903" w14:textId="77777777" w:rsidR="00917E4B" w:rsidRPr="008A2E5A" w:rsidRDefault="00917E4B" w:rsidP="004C5D62">
            <w:pPr>
              <w:spacing w:after="0" w:line="240" w:lineRule="auto"/>
              <w:jc w:val="both"/>
              <w:rPr>
                <w:color w:val="0070C0"/>
                <w:sz w:val="16"/>
                <w:szCs w:val="16"/>
              </w:rPr>
            </w:pPr>
          </w:p>
        </w:tc>
        <w:tc>
          <w:tcPr>
            <w:tcW w:w="822" w:type="dxa"/>
          </w:tcPr>
          <w:p w14:paraId="37419DF7" w14:textId="77777777" w:rsidR="00917E4B" w:rsidRPr="008A2E5A" w:rsidRDefault="00917E4B" w:rsidP="004C5D62">
            <w:pPr>
              <w:spacing w:after="0" w:line="240" w:lineRule="auto"/>
              <w:jc w:val="both"/>
              <w:rPr>
                <w:color w:val="0070C0"/>
                <w:sz w:val="16"/>
                <w:szCs w:val="16"/>
              </w:rPr>
            </w:pPr>
          </w:p>
        </w:tc>
        <w:tc>
          <w:tcPr>
            <w:tcW w:w="822" w:type="dxa"/>
          </w:tcPr>
          <w:p w14:paraId="6B55D735" w14:textId="77777777" w:rsidR="00917E4B" w:rsidRPr="008A2E5A" w:rsidRDefault="00917E4B" w:rsidP="004C5D62">
            <w:pPr>
              <w:spacing w:after="0" w:line="240" w:lineRule="auto"/>
              <w:jc w:val="both"/>
              <w:rPr>
                <w:color w:val="0070C0"/>
                <w:sz w:val="16"/>
                <w:szCs w:val="16"/>
              </w:rPr>
            </w:pPr>
          </w:p>
        </w:tc>
        <w:tc>
          <w:tcPr>
            <w:tcW w:w="822" w:type="dxa"/>
          </w:tcPr>
          <w:p w14:paraId="572DFB39" w14:textId="77777777" w:rsidR="00917E4B" w:rsidRPr="008A2E5A" w:rsidRDefault="00917E4B" w:rsidP="004C5D62">
            <w:pPr>
              <w:spacing w:after="0" w:line="240" w:lineRule="auto"/>
              <w:jc w:val="both"/>
              <w:rPr>
                <w:color w:val="0070C0"/>
                <w:sz w:val="16"/>
                <w:szCs w:val="16"/>
              </w:rPr>
            </w:pPr>
          </w:p>
        </w:tc>
        <w:tc>
          <w:tcPr>
            <w:tcW w:w="822" w:type="dxa"/>
          </w:tcPr>
          <w:p w14:paraId="1A0B9400" w14:textId="77777777" w:rsidR="00917E4B" w:rsidRPr="008A2E5A" w:rsidRDefault="00917E4B" w:rsidP="004C5D62">
            <w:pPr>
              <w:spacing w:after="0" w:line="240" w:lineRule="auto"/>
              <w:jc w:val="both"/>
              <w:rPr>
                <w:color w:val="0070C0"/>
                <w:sz w:val="16"/>
                <w:szCs w:val="16"/>
              </w:rPr>
            </w:pPr>
          </w:p>
        </w:tc>
        <w:tc>
          <w:tcPr>
            <w:tcW w:w="822" w:type="dxa"/>
          </w:tcPr>
          <w:p w14:paraId="493972C1" w14:textId="77777777" w:rsidR="00917E4B" w:rsidRPr="008A2E5A" w:rsidRDefault="00917E4B" w:rsidP="004C5D62">
            <w:pPr>
              <w:spacing w:after="0" w:line="240" w:lineRule="auto"/>
              <w:jc w:val="both"/>
              <w:rPr>
                <w:color w:val="0070C0"/>
                <w:sz w:val="16"/>
                <w:szCs w:val="16"/>
              </w:rPr>
            </w:pPr>
          </w:p>
        </w:tc>
      </w:tr>
      <w:tr w:rsidR="00917E4B" w:rsidRPr="008A2E5A" w14:paraId="66F0D654" w14:textId="77777777" w:rsidTr="004C5D62">
        <w:tc>
          <w:tcPr>
            <w:tcW w:w="821" w:type="dxa"/>
          </w:tcPr>
          <w:p w14:paraId="23DA5E8E" w14:textId="77777777" w:rsidR="00917E4B" w:rsidRPr="008A2E5A" w:rsidRDefault="00917E4B" w:rsidP="004C5D62">
            <w:pPr>
              <w:spacing w:after="0" w:line="240" w:lineRule="auto"/>
              <w:jc w:val="both"/>
              <w:rPr>
                <w:color w:val="0070C0"/>
                <w:sz w:val="16"/>
                <w:szCs w:val="16"/>
              </w:rPr>
            </w:pPr>
            <w:r w:rsidRPr="008A2E5A">
              <w:rPr>
                <w:color w:val="0070C0"/>
                <w:sz w:val="16"/>
                <w:szCs w:val="16"/>
              </w:rPr>
              <w:t>РГД-33 г.</w:t>
            </w:r>
          </w:p>
        </w:tc>
        <w:tc>
          <w:tcPr>
            <w:tcW w:w="821" w:type="dxa"/>
          </w:tcPr>
          <w:p w14:paraId="0B6A2436" w14:textId="77777777" w:rsidR="00917E4B" w:rsidRPr="008A2E5A" w:rsidRDefault="00917E4B" w:rsidP="004C5D62">
            <w:pPr>
              <w:spacing w:after="0" w:line="240" w:lineRule="auto"/>
              <w:jc w:val="both"/>
              <w:rPr>
                <w:color w:val="0070C0"/>
                <w:sz w:val="16"/>
                <w:szCs w:val="16"/>
              </w:rPr>
            </w:pPr>
            <w:r w:rsidRPr="008A2E5A">
              <w:rPr>
                <w:color w:val="0070C0"/>
                <w:sz w:val="16"/>
                <w:szCs w:val="16"/>
              </w:rPr>
              <w:t>3850</w:t>
            </w:r>
          </w:p>
        </w:tc>
        <w:tc>
          <w:tcPr>
            <w:tcW w:w="821" w:type="dxa"/>
          </w:tcPr>
          <w:p w14:paraId="01FBEF0F" w14:textId="77777777" w:rsidR="00917E4B" w:rsidRPr="008A2E5A" w:rsidRDefault="00917E4B" w:rsidP="004C5D62">
            <w:pPr>
              <w:spacing w:after="0" w:line="240" w:lineRule="auto"/>
              <w:jc w:val="both"/>
              <w:rPr>
                <w:color w:val="0070C0"/>
                <w:sz w:val="16"/>
                <w:szCs w:val="16"/>
              </w:rPr>
            </w:pPr>
            <w:r w:rsidRPr="008A2E5A">
              <w:rPr>
                <w:color w:val="0070C0"/>
                <w:sz w:val="16"/>
                <w:szCs w:val="16"/>
              </w:rPr>
              <w:t>1720</w:t>
            </w:r>
          </w:p>
        </w:tc>
        <w:tc>
          <w:tcPr>
            <w:tcW w:w="821" w:type="dxa"/>
          </w:tcPr>
          <w:p w14:paraId="390EB1D8" w14:textId="77777777" w:rsidR="00917E4B" w:rsidRPr="008A2E5A" w:rsidRDefault="00917E4B" w:rsidP="004C5D62">
            <w:pPr>
              <w:spacing w:after="0" w:line="240" w:lineRule="auto"/>
              <w:jc w:val="both"/>
              <w:rPr>
                <w:color w:val="0070C0"/>
                <w:sz w:val="16"/>
                <w:szCs w:val="16"/>
              </w:rPr>
            </w:pPr>
            <w:r w:rsidRPr="008A2E5A">
              <w:rPr>
                <w:color w:val="0070C0"/>
                <w:sz w:val="16"/>
                <w:szCs w:val="16"/>
              </w:rPr>
              <w:t>900</w:t>
            </w:r>
          </w:p>
        </w:tc>
        <w:tc>
          <w:tcPr>
            <w:tcW w:w="822" w:type="dxa"/>
          </w:tcPr>
          <w:p w14:paraId="03C9896F" w14:textId="77777777" w:rsidR="00917E4B" w:rsidRPr="008A2E5A" w:rsidRDefault="00917E4B" w:rsidP="004C5D62">
            <w:pPr>
              <w:spacing w:after="0" w:line="240" w:lineRule="auto"/>
              <w:jc w:val="both"/>
              <w:rPr>
                <w:color w:val="0070C0"/>
                <w:sz w:val="16"/>
                <w:szCs w:val="16"/>
              </w:rPr>
            </w:pPr>
            <w:r w:rsidRPr="008A2E5A">
              <w:rPr>
                <w:color w:val="0070C0"/>
                <w:sz w:val="16"/>
                <w:szCs w:val="16"/>
              </w:rPr>
              <w:t>1518</w:t>
            </w:r>
          </w:p>
        </w:tc>
        <w:tc>
          <w:tcPr>
            <w:tcW w:w="822" w:type="dxa"/>
          </w:tcPr>
          <w:p w14:paraId="65AA2942" w14:textId="77777777" w:rsidR="00917E4B" w:rsidRPr="008A2E5A" w:rsidRDefault="00917E4B" w:rsidP="004C5D62">
            <w:pPr>
              <w:spacing w:after="0" w:line="240" w:lineRule="auto"/>
              <w:jc w:val="both"/>
              <w:rPr>
                <w:color w:val="0070C0"/>
                <w:sz w:val="16"/>
                <w:szCs w:val="16"/>
              </w:rPr>
            </w:pPr>
            <w:r w:rsidRPr="008A2E5A">
              <w:rPr>
                <w:color w:val="0070C0"/>
                <w:sz w:val="16"/>
                <w:szCs w:val="16"/>
              </w:rPr>
              <w:t>2100</w:t>
            </w:r>
          </w:p>
        </w:tc>
        <w:tc>
          <w:tcPr>
            <w:tcW w:w="822" w:type="dxa"/>
          </w:tcPr>
          <w:p w14:paraId="4BFDC32F" w14:textId="77777777" w:rsidR="00917E4B" w:rsidRPr="008A2E5A" w:rsidRDefault="00917E4B" w:rsidP="004C5D62">
            <w:pPr>
              <w:spacing w:after="0" w:line="240" w:lineRule="auto"/>
              <w:jc w:val="both"/>
              <w:rPr>
                <w:color w:val="0070C0"/>
                <w:sz w:val="16"/>
                <w:szCs w:val="16"/>
              </w:rPr>
            </w:pPr>
            <w:r w:rsidRPr="008A2E5A">
              <w:rPr>
                <w:color w:val="0070C0"/>
                <w:sz w:val="16"/>
                <w:szCs w:val="16"/>
              </w:rPr>
              <w:t>1542</w:t>
            </w:r>
          </w:p>
        </w:tc>
        <w:tc>
          <w:tcPr>
            <w:tcW w:w="822" w:type="dxa"/>
          </w:tcPr>
          <w:p w14:paraId="6135C5BA" w14:textId="77777777" w:rsidR="00917E4B" w:rsidRPr="008A2E5A" w:rsidRDefault="00917E4B" w:rsidP="004C5D62">
            <w:pPr>
              <w:spacing w:after="0" w:line="240" w:lineRule="auto"/>
              <w:jc w:val="both"/>
              <w:rPr>
                <w:color w:val="0070C0"/>
                <w:sz w:val="16"/>
                <w:szCs w:val="16"/>
              </w:rPr>
            </w:pPr>
            <w:r w:rsidRPr="008A2E5A">
              <w:rPr>
                <w:color w:val="0070C0"/>
                <w:sz w:val="16"/>
                <w:szCs w:val="16"/>
              </w:rPr>
              <w:t>24 950</w:t>
            </w:r>
          </w:p>
        </w:tc>
        <w:tc>
          <w:tcPr>
            <w:tcW w:w="822" w:type="dxa"/>
          </w:tcPr>
          <w:p w14:paraId="66EF60BC" w14:textId="77777777" w:rsidR="00917E4B" w:rsidRPr="008A2E5A" w:rsidRDefault="00917E4B" w:rsidP="004C5D62">
            <w:pPr>
              <w:spacing w:after="0" w:line="240" w:lineRule="auto"/>
              <w:jc w:val="both"/>
              <w:rPr>
                <w:color w:val="0070C0"/>
                <w:sz w:val="16"/>
                <w:szCs w:val="16"/>
              </w:rPr>
            </w:pPr>
            <w:r w:rsidRPr="008A2E5A">
              <w:rPr>
                <w:color w:val="0070C0"/>
                <w:sz w:val="16"/>
                <w:szCs w:val="16"/>
              </w:rPr>
              <w:t>11951</w:t>
            </w:r>
          </w:p>
        </w:tc>
        <w:tc>
          <w:tcPr>
            <w:tcW w:w="822" w:type="dxa"/>
          </w:tcPr>
          <w:p w14:paraId="085F0948" w14:textId="77777777" w:rsidR="00917E4B" w:rsidRPr="008A2E5A" w:rsidRDefault="00917E4B" w:rsidP="004C5D62">
            <w:pPr>
              <w:spacing w:after="0" w:line="240" w:lineRule="auto"/>
              <w:jc w:val="both"/>
              <w:rPr>
                <w:color w:val="0070C0"/>
                <w:sz w:val="16"/>
                <w:szCs w:val="16"/>
              </w:rPr>
            </w:pPr>
          </w:p>
        </w:tc>
        <w:tc>
          <w:tcPr>
            <w:tcW w:w="822" w:type="dxa"/>
          </w:tcPr>
          <w:p w14:paraId="40F3C1BC" w14:textId="77777777" w:rsidR="00917E4B" w:rsidRPr="008A2E5A" w:rsidRDefault="00917E4B" w:rsidP="004C5D62">
            <w:pPr>
              <w:spacing w:after="0" w:line="240" w:lineRule="auto"/>
              <w:jc w:val="both"/>
              <w:rPr>
                <w:color w:val="0070C0"/>
                <w:sz w:val="16"/>
                <w:szCs w:val="16"/>
              </w:rPr>
            </w:pPr>
          </w:p>
        </w:tc>
        <w:tc>
          <w:tcPr>
            <w:tcW w:w="822" w:type="dxa"/>
          </w:tcPr>
          <w:p w14:paraId="625C1413" w14:textId="77777777" w:rsidR="00917E4B" w:rsidRPr="008A2E5A" w:rsidRDefault="00917E4B" w:rsidP="004C5D62">
            <w:pPr>
              <w:spacing w:after="0" w:line="240" w:lineRule="auto"/>
              <w:jc w:val="both"/>
              <w:rPr>
                <w:color w:val="0070C0"/>
                <w:sz w:val="16"/>
                <w:szCs w:val="16"/>
              </w:rPr>
            </w:pPr>
          </w:p>
        </w:tc>
        <w:tc>
          <w:tcPr>
            <w:tcW w:w="822" w:type="dxa"/>
          </w:tcPr>
          <w:p w14:paraId="017B0163" w14:textId="77777777" w:rsidR="00917E4B" w:rsidRPr="008A2E5A" w:rsidRDefault="00917E4B" w:rsidP="004C5D62">
            <w:pPr>
              <w:spacing w:after="0" w:line="240" w:lineRule="auto"/>
              <w:jc w:val="both"/>
              <w:rPr>
                <w:color w:val="0070C0"/>
                <w:sz w:val="16"/>
                <w:szCs w:val="16"/>
              </w:rPr>
            </w:pPr>
          </w:p>
        </w:tc>
      </w:tr>
      <w:tr w:rsidR="00917E4B" w:rsidRPr="008A2E5A" w14:paraId="6F4BD558" w14:textId="77777777" w:rsidTr="004C5D62">
        <w:tc>
          <w:tcPr>
            <w:tcW w:w="821" w:type="dxa"/>
          </w:tcPr>
          <w:p w14:paraId="405B4A87" w14:textId="77777777" w:rsidR="00917E4B" w:rsidRPr="008A2E5A" w:rsidRDefault="00917E4B" w:rsidP="004C5D62">
            <w:pPr>
              <w:spacing w:after="0" w:line="240" w:lineRule="auto"/>
              <w:jc w:val="both"/>
              <w:rPr>
                <w:color w:val="0070C0"/>
                <w:sz w:val="16"/>
                <w:szCs w:val="16"/>
              </w:rPr>
            </w:pPr>
            <w:r w:rsidRPr="008A2E5A">
              <w:rPr>
                <w:color w:val="0070C0"/>
                <w:sz w:val="16"/>
                <w:szCs w:val="16"/>
              </w:rPr>
              <w:t>Ф-1</w:t>
            </w:r>
          </w:p>
        </w:tc>
        <w:tc>
          <w:tcPr>
            <w:tcW w:w="821" w:type="dxa"/>
          </w:tcPr>
          <w:p w14:paraId="09470592" w14:textId="77777777" w:rsidR="00917E4B" w:rsidRPr="008A2E5A" w:rsidRDefault="00917E4B" w:rsidP="004C5D62">
            <w:pPr>
              <w:spacing w:after="0" w:line="240" w:lineRule="auto"/>
              <w:jc w:val="both"/>
              <w:rPr>
                <w:color w:val="0070C0"/>
                <w:sz w:val="16"/>
                <w:szCs w:val="16"/>
              </w:rPr>
            </w:pPr>
            <w:r w:rsidRPr="008A2E5A">
              <w:rPr>
                <w:color w:val="0070C0"/>
                <w:sz w:val="16"/>
                <w:szCs w:val="16"/>
              </w:rPr>
              <w:t>1600</w:t>
            </w:r>
          </w:p>
        </w:tc>
        <w:tc>
          <w:tcPr>
            <w:tcW w:w="821" w:type="dxa"/>
          </w:tcPr>
          <w:p w14:paraId="04AD746E" w14:textId="77777777" w:rsidR="00917E4B" w:rsidRPr="008A2E5A" w:rsidRDefault="00917E4B" w:rsidP="004C5D62">
            <w:pPr>
              <w:spacing w:after="0" w:line="240" w:lineRule="auto"/>
              <w:jc w:val="both"/>
              <w:rPr>
                <w:color w:val="0070C0"/>
                <w:sz w:val="16"/>
                <w:szCs w:val="16"/>
              </w:rPr>
            </w:pPr>
            <w:r w:rsidRPr="008A2E5A">
              <w:rPr>
                <w:color w:val="0070C0"/>
                <w:sz w:val="16"/>
                <w:szCs w:val="16"/>
              </w:rPr>
              <w:t>137</w:t>
            </w:r>
          </w:p>
        </w:tc>
        <w:tc>
          <w:tcPr>
            <w:tcW w:w="821" w:type="dxa"/>
          </w:tcPr>
          <w:p w14:paraId="0D5850E4" w14:textId="77777777" w:rsidR="00917E4B" w:rsidRPr="008A2E5A" w:rsidRDefault="00917E4B" w:rsidP="004C5D62">
            <w:pPr>
              <w:spacing w:after="0" w:line="240" w:lineRule="auto"/>
              <w:jc w:val="both"/>
              <w:rPr>
                <w:color w:val="0070C0"/>
                <w:sz w:val="16"/>
                <w:szCs w:val="16"/>
              </w:rPr>
            </w:pPr>
            <w:r w:rsidRPr="008A2E5A">
              <w:rPr>
                <w:color w:val="0070C0"/>
                <w:sz w:val="16"/>
                <w:szCs w:val="16"/>
              </w:rPr>
              <w:t>360</w:t>
            </w:r>
          </w:p>
        </w:tc>
        <w:tc>
          <w:tcPr>
            <w:tcW w:w="822" w:type="dxa"/>
          </w:tcPr>
          <w:p w14:paraId="102405C2" w14:textId="77777777" w:rsidR="00917E4B" w:rsidRPr="008A2E5A" w:rsidRDefault="00917E4B" w:rsidP="004C5D62">
            <w:pPr>
              <w:spacing w:after="0" w:line="240" w:lineRule="auto"/>
              <w:jc w:val="both"/>
              <w:rPr>
                <w:color w:val="0070C0"/>
                <w:sz w:val="16"/>
                <w:szCs w:val="16"/>
              </w:rPr>
            </w:pPr>
            <w:r w:rsidRPr="008A2E5A">
              <w:rPr>
                <w:color w:val="0070C0"/>
                <w:sz w:val="16"/>
                <w:szCs w:val="16"/>
              </w:rPr>
              <w:t>30</w:t>
            </w:r>
          </w:p>
        </w:tc>
        <w:tc>
          <w:tcPr>
            <w:tcW w:w="822" w:type="dxa"/>
          </w:tcPr>
          <w:p w14:paraId="50FDAF87" w14:textId="77777777" w:rsidR="00917E4B" w:rsidRPr="008A2E5A" w:rsidRDefault="00917E4B" w:rsidP="004C5D62">
            <w:pPr>
              <w:spacing w:after="0" w:line="240" w:lineRule="auto"/>
              <w:jc w:val="both"/>
              <w:rPr>
                <w:color w:val="0070C0"/>
                <w:sz w:val="16"/>
                <w:szCs w:val="16"/>
              </w:rPr>
            </w:pPr>
            <w:r w:rsidRPr="008A2E5A">
              <w:rPr>
                <w:color w:val="0070C0"/>
                <w:sz w:val="16"/>
                <w:szCs w:val="16"/>
              </w:rPr>
              <w:t>600</w:t>
            </w:r>
          </w:p>
        </w:tc>
        <w:tc>
          <w:tcPr>
            <w:tcW w:w="822" w:type="dxa"/>
          </w:tcPr>
          <w:p w14:paraId="2F43B5E5" w14:textId="77777777" w:rsidR="00917E4B" w:rsidRPr="008A2E5A" w:rsidRDefault="00917E4B" w:rsidP="004C5D62">
            <w:pPr>
              <w:spacing w:after="0" w:line="240" w:lineRule="auto"/>
              <w:jc w:val="both"/>
              <w:rPr>
                <w:color w:val="0070C0"/>
                <w:sz w:val="16"/>
                <w:szCs w:val="16"/>
              </w:rPr>
            </w:pPr>
            <w:r w:rsidRPr="008A2E5A">
              <w:rPr>
                <w:color w:val="0070C0"/>
                <w:sz w:val="16"/>
                <w:szCs w:val="16"/>
              </w:rPr>
              <w:t>313</w:t>
            </w:r>
          </w:p>
        </w:tc>
        <w:tc>
          <w:tcPr>
            <w:tcW w:w="822" w:type="dxa"/>
          </w:tcPr>
          <w:p w14:paraId="53A5E297" w14:textId="77777777" w:rsidR="00917E4B" w:rsidRPr="008A2E5A" w:rsidRDefault="00917E4B" w:rsidP="004C5D62">
            <w:pPr>
              <w:spacing w:after="0" w:line="240" w:lineRule="auto"/>
              <w:jc w:val="both"/>
              <w:rPr>
                <w:color w:val="0070C0"/>
                <w:sz w:val="16"/>
                <w:szCs w:val="16"/>
              </w:rPr>
            </w:pPr>
            <w:r w:rsidRPr="008A2E5A">
              <w:rPr>
                <w:color w:val="0070C0"/>
                <w:sz w:val="16"/>
                <w:szCs w:val="16"/>
              </w:rPr>
              <w:t>4260</w:t>
            </w:r>
          </w:p>
        </w:tc>
        <w:tc>
          <w:tcPr>
            <w:tcW w:w="822" w:type="dxa"/>
          </w:tcPr>
          <w:p w14:paraId="1DF290E0" w14:textId="77777777" w:rsidR="00917E4B" w:rsidRPr="008A2E5A" w:rsidRDefault="00917E4B" w:rsidP="004C5D62">
            <w:pPr>
              <w:spacing w:after="0" w:line="240" w:lineRule="auto"/>
              <w:jc w:val="both"/>
              <w:rPr>
                <w:color w:val="0070C0"/>
                <w:sz w:val="16"/>
                <w:szCs w:val="16"/>
              </w:rPr>
            </w:pPr>
            <w:r w:rsidRPr="008A2E5A">
              <w:rPr>
                <w:color w:val="0070C0"/>
                <w:sz w:val="16"/>
                <w:szCs w:val="16"/>
              </w:rPr>
              <w:t>1222</w:t>
            </w:r>
          </w:p>
        </w:tc>
        <w:tc>
          <w:tcPr>
            <w:tcW w:w="822" w:type="dxa"/>
          </w:tcPr>
          <w:p w14:paraId="7DACA8EE" w14:textId="77777777" w:rsidR="00917E4B" w:rsidRPr="008A2E5A" w:rsidRDefault="00917E4B" w:rsidP="004C5D62">
            <w:pPr>
              <w:spacing w:after="0" w:line="240" w:lineRule="auto"/>
              <w:jc w:val="both"/>
              <w:rPr>
                <w:color w:val="0070C0"/>
                <w:sz w:val="16"/>
                <w:szCs w:val="16"/>
              </w:rPr>
            </w:pPr>
          </w:p>
        </w:tc>
        <w:tc>
          <w:tcPr>
            <w:tcW w:w="822" w:type="dxa"/>
          </w:tcPr>
          <w:p w14:paraId="63D99E35" w14:textId="77777777" w:rsidR="00917E4B" w:rsidRPr="008A2E5A" w:rsidRDefault="00917E4B" w:rsidP="004C5D62">
            <w:pPr>
              <w:spacing w:after="0" w:line="240" w:lineRule="auto"/>
              <w:jc w:val="both"/>
              <w:rPr>
                <w:color w:val="0070C0"/>
                <w:sz w:val="16"/>
                <w:szCs w:val="16"/>
              </w:rPr>
            </w:pPr>
          </w:p>
        </w:tc>
        <w:tc>
          <w:tcPr>
            <w:tcW w:w="822" w:type="dxa"/>
          </w:tcPr>
          <w:p w14:paraId="2E9738E3" w14:textId="77777777" w:rsidR="00917E4B" w:rsidRPr="008A2E5A" w:rsidRDefault="00917E4B" w:rsidP="004C5D62">
            <w:pPr>
              <w:spacing w:after="0" w:line="240" w:lineRule="auto"/>
              <w:jc w:val="both"/>
              <w:rPr>
                <w:color w:val="0070C0"/>
                <w:sz w:val="16"/>
                <w:szCs w:val="16"/>
              </w:rPr>
            </w:pPr>
          </w:p>
        </w:tc>
        <w:tc>
          <w:tcPr>
            <w:tcW w:w="822" w:type="dxa"/>
          </w:tcPr>
          <w:p w14:paraId="7A6E29F0" w14:textId="77777777" w:rsidR="00917E4B" w:rsidRPr="008A2E5A" w:rsidRDefault="00917E4B" w:rsidP="004C5D62">
            <w:pPr>
              <w:spacing w:after="0" w:line="240" w:lineRule="auto"/>
              <w:jc w:val="both"/>
              <w:rPr>
                <w:color w:val="0070C0"/>
                <w:sz w:val="16"/>
                <w:szCs w:val="16"/>
              </w:rPr>
            </w:pPr>
          </w:p>
        </w:tc>
      </w:tr>
      <w:tr w:rsidR="00917E4B" w:rsidRPr="008A2E5A" w14:paraId="1D95E8AC" w14:textId="77777777" w:rsidTr="004C5D62">
        <w:tc>
          <w:tcPr>
            <w:tcW w:w="821" w:type="dxa"/>
          </w:tcPr>
          <w:p w14:paraId="4B44863B" w14:textId="77777777" w:rsidR="00917E4B" w:rsidRPr="008A2E5A" w:rsidRDefault="00917E4B" w:rsidP="004C5D62">
            <w:pPr>
              <w:spacing w:after="0" w:line="240" w:lineRule="auto"/>
              <w:jc w:val="both"/>
              <w:rPr>
                <w:color w:val="0070C0"/>
                <w:sz w:val="16"/>
                <w:szCs w:val="16"/>
              </w:rPr>
            </w:pPr>
            <w:r w:rsidRPr="008A2E5A">
              <w:rPr>
                <w:color w:val="0070C0"/>
                <w:sz w:val="16"/>
                <w:szCs w:val="16"/>
              </w:rPr>
              <w:t>26-</w:t>
            </w:r>
            <w:proofErr w:type="gramStart"/>
            <w:r w:rsidRPr="008A2E5A">
              <w:rPr>
                <w:color w:val="0070C0"/>
                <w:sz w:val="16"/>
                <w:szCs w:val="16"/>
              </w:rPr>
              <w:t>мм  осветительные</w:t>
            </w:r>
            <w:proofErr w:type="gramEnd"/>
          </w:p>
        </w:tc>
        <w:tc>
          <w:tcPr>
            <w:tcW w:w="821" w:type="dxa"/>
          </w:tcPr>
          <w:p w14:paraId="1EDE699D"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1" w:type="dxa"/>
          </w:tcPr>
          <w:p w14:paraId="55868041" w14:textId="77777777" w:rsidR="00917E4B" w:rsidRPr="008A2E5A" w:rsidRDefault="00917E4B" w:rsidP="004C5D62">
            <w:pPr>
              <w:spacing w:after="0" w:line="240" w:lineRule="auto"/>
              <w:jc w:val="both"/>
              <w:rPr>
                <w:color w:val="0070C0"/>
                <w:sz w:val="16"/>
                <w:szCs w:val="16"/>
              </w:rPr>
            </w:pPr>
            <w:r w:rsidRPr="008A2E5A">
              <w:rPr>
                <w:color w:val="0070C0"/>
                <w:sz w:val="16"/>
                <w:szCs w:val="16"/>
              </w:rPr>
              <w:t>180</w:t>
            </w:r>
          </w:p>
        </w:tc>
        <w:tc>
          <w:tcPr>
            <w:tcW w:w="821" w:type="dxa"/>
          </w:tcPr>
          <w:p w14:paraId="23F31DC0" w14:textId="77777777" w:rsidR="00917E4B" w:rsidRPr="008A2E5A" w:rsidRDefault="00917E4B" w:rsidP="004C5D62">
            <w:pPr>
              <w:spacing w:after="0" w:line="240" w:lineRule="auto"/>
              <w:jc w:val="both"/>
              <w:rPr>
                <w:color w:val="0070C0"/>
                <w:sz w:val="16"/>
                <w:szCs w:val="16"/>
              </w:rPr>
            </w:pPr>
          </w:p>
        </w:tc>
        <w:tc>
          <w:tcPr>
            <w:tcW w:w="822" w:type="dxa"/>
          </w:tcPr>
          <w:p w14:paraId="40C903F3" w14:textId="77777777" w:rsidR="00917E4B" w:rsidRPr="008A2E5A" w:rsidRDefault="00917E4B" w:rsidP="004C5D62">
            <w:pPr>
              <w:spacing w:after="0" w:line="240" w:lineRule="auto"/>
              <w:jc w:val="both"/>
              <w:rPr>
                <w:color w:val="0070C0"/>
                <w:sz w:val="16"/>
                <w:szCs w:val="16"/>
              </w:rPr>
            </w:pPr>
          </w:p>
        </w:tc>
        <w:tc>
          <w:tcPr>
            <w:tcW w:w="822" w:type="dxa"/>
          </w:tcPr>
          <w:p w14:paraId="7AA959C4" w14:textId="77777777" w:rsidR="00917E4B" w:rsidRPr="008A2E5A" w:rsidRDefault="00917E4B" w:rsidP="004C5D62">
            <w:pPr>
              <w:spacing w:after="0" w:line="240" w:lineRule="auto"/>
              <w:jc w:val="both"/>
              <w:rPr>
                <w:color w:val="0070C0"/>
                <w:sz w:val="16"/>
                <w:szCs w:val="16"/>
              </w:rPr>
            </w:pPr>
          </w:p>
        </w:tc>
        <w:tc>
          <w:tcPr>
            <w:tcW w:w="822" w:type="dxa"/>
          </w:tcPr>
          <w:p w14:paraId="4DE5A1E6" w14:textId="77777777" w:rsidR="00917E4B" w:rsidRPr="008A2E5A" w:rsidRDefault="00917E4B" w:rsidP="004C5D62">
            <w:pPr>
              <w:spacing w:after="0" w:line="240" w:lineRule="auto"/>
              <w:jc w:val="both"/>
              <w:rPr>
                <w:color w:val="0070C0"/>
                <w:sz w:val="16"/>
                <w:szCs w:val="16"/>
              </w:rPr>
            </w:pPr>
          </w:p>
        </w:tc>
        <w:tc>
          <w:tcPr>
            <w:tcW w:w="822" w:type="dxa"/>
          </w:tcPr>
          <w:p w14:paraId="7D80CB65" w14:textId="77777777" w:rsidR="00917E4B" w:rsidRPr="008A2E5A" w:rsidRDefault="00917E4B" w:rsidP="004C5D62">
            <w:pPr>
              <w:spacing w:after="0" w:line="240" w:lineRule="auto"/>
              <w:jc w:val="both"/>
              <w:rPr>
                <w:color w:val="0070C0"/>
                <w:sz w:val="16"/>
                <w:szCs w:val="16"/>
              </w:rPr>
            </w:pPr>
          </w:p>
        </w:tc>
        <w:tc>
          <w:tcPr>
            <w:tcW w:w="822" w:type="dxa"/>
          </w:tcPr>
          <w:p w14:paraId="5107CF89" w14:textId="77777777" w:rsidR="00917E4B" w:rsidRPr="008A2E5A" w:rsidRDefault="00917E4B" w:rsidP="004C5D62">
            <w:pPr>
              <w:spacing w:after="0" w:line="240" w:lineRule="auto"/>
              <w:jc w:val="both"/>
              <w:rPr>
                <w:color w:val="0070C0"/>
                <w:sz w:val="16"/>
                <w:szCs w:val="16"/>
              </w:rPr>
            </w:pPr>
          </w:p>
        </w:tc>
        <w:tc>
          <w:tcPr>
            <w:tcW w:w="822" w:type="dxa"/>
          </w:tcPr>
          <w:p w14:paraId="33B19FB3" w14:textId="77777777" w:rsidR="00917E4B" w:rsidRPr="008A2E5A" w:rsidRDefault="00917E4B" w:rsidP="004C5D62">
            <w:pPr>
              <w:spacing w:after="0" w:line="240" w:lineRule="auto"/>
              <w:jc w:val="both"/>
              <w:rPr>
                <w:color w:val="0070C0"/>
                <w:sz w:val="16"/>
                <w:szCs w:val="16"/>
              </w:rPr>
            </w:pPr>
          </w:p>
        </w:tc>
        <w:tc>
          <w:tcPr>
            <w:tcW w:w="822" w:type="dxa"/>
          </w:tcPr>
          <w:p w14:paraId="40486334" w14:textId="77777777" w:rsidR="00917E4B" w:rsidRPr="008A2E5A" w:rsidRDefault="00917E4B" w:rsidP="004C5D62">
            <w:pPr>
              <w:spacing w:after="0" w:line="240" w:lineRule="auto"/>
              <w:jc w:val="both"/>
              <w:rPr>
                <w:color w:val="0070C0"/>
                <w:sz w:val="16"/>
                <w:szCs w:val="16"/>
              </w:rPr>
            </w:pPr>
          </w:p>
        </w:tc>
        <w:tc>
          <w:tcPr>
            <w:tcW w:w="822" w:type="dxa"/>
          </w:tcPr>
          <w:p w14:paraId="34129F2D" w14:textId="77777777" w:rsidR="00917E4B" w:rsidRPr="008A2E5A" w:rsidRDefault="00917E4B" w:rsidP="004C5D62">
            <w:pPr>
              <w:spacing w:after="0" w:line="240" w:lineRule="auto"/>
              <w:jc w:val="both"/>
              <w:rPr>
                <w:color w:val="0070C0"/>
                <w:sz w:val="16"/>
                <w:szCs w:val="16"/>
              </w:rPr>
            </w:pPr>
          </w:p>
        </w:tc>
        <w:tc>
          <w:tcPr>
            <w:tcW w:w="822" w:type="dxa"/>
          </w:tcPr>
          <w:p w14:paraId="497160A8" w14:textId="77777777" w:rsidR="00917E4B" w:rsidRPr="008A2E5A" w:rsidRDefault="00917E4B" w:rsidP="004C5D62">
            <w:pPr>
              <w:spacing w:after="0" w:line="240" w:lineRule="auto"/>
              <w:jc w:val="both"/>
              <w:rPr>
                <w:color w:val="0070C0"/>
                <w:sz w:val="16"/>
                <w:szCs w:val="16"/>
              </w:rPr>
            </w:pPr>
          </w:p>
        </w:tc>
      </w:tr>
      <w:tr w:rsidR="00917E4B" w:rsidRPr="008A2E5A" w14:paraId="09BF6CBA" w14:textId="77777777" w:rsidTr="004C5D62">
        <w:tc>
          <w:tcPr>
            <w:tcW w:w="821" w:type="dxa"/>
          </w:tcPr>
          <w:p w14:paraId="1B0BC795" w14:textId="77777777" w:rsidR="00917E4B" w:rsidRPr="008A2E5A" w:rsidRDefault="00917E4B" w:rsidP="004C5D62">
            <w:pPr>
              <w:spacing w:after="0" w:line="240" w:lineRule="auto"/>
              <w:jc w:val="both"/>
              <w:rPr>
                <w:color w:val="0070C0"/>
                <w:sz w:val="16"/>
                <w:szCs w:val="16"/>
              </w:rPr>
            </w:pPr>
            <w:r w:rsidRPr="008A2E5A">
              <w:rPr>
                <w:color w:val="0070C0"/>
                <w:sz w:val="16"/>
                <w:szCs w:val="16"/>
              </w:rPr>
              <w:t>26-мм красного огня</w:t>
            </w:r>
          </w:p>
        </w:tc>
        <w:tc>
          <w:tcPr>
            <w:tcW w:w="821" w:type="dxa"/>
          </w:tcPr>
          <w:p w14:paraId="2DF46257" w14:textId="77777777" w:rsidR="00917E4B" w:rsidRPr="008A2E5A" w:rsidRDefault="00917E4B" w:rsidP="004C5D62">
            <w:pPr>
              <w:spacing w:after="0" w:line="240" w:lineRule="auto"/>
              <w:jc w:val="both"/>
              <w:rPr>
                <w:color w:val="0070C0"/>
                <w:sz w:val="16"/>
                <w:szCs w:val="16"/>
              </w:rPr>
            </w:pPr>
            <w:r w:rsidRPr="008A2E5A">
              <w:rPr>
                <w:color w:val="0070C0"/>
                <w:sz w:val="16"/>
                <w:szCs w:val="16"/>
              </w:rPr>
              <w:t>700</w:t>
            </w:r>
          </w:p>
        </w:tc>
        <w:tc>
          <w:tcPr>
            <w:tcW w:w="821" w:type="dxa"/>
          </w:tcPr>
          <w:p w14:paraId="136D7AD3" w14:textId="77777777" w:rsidR="00917E4B" w:rsidRPr="008A2E5A" w:rsidRDefault="00917E4B" w:rsidP="004C5D62">
            <w:pPr>
              <w:spacing w:after="0" w:line="240" w:lineRule="auto"/>
              <w:jc w:val="both"/>
              <w:rPr>
                <w:color w:val="0070C0"/>
                <w:sz w:val="16"/>
                <w:szCs w:val="16"/>
              </w:rPr>
            </w:pPr>
            <w:r w:rsidRPr="008A2E5A">
              <w:rPr>
                <w:color w:val="0070C0"/>
                <w:sz w:val="16"/>
                <w:szCs w:val="16"/>
              </w:rPr>
              <w:t>240</w:t>
            </w:r>
          </w:p>
        </w:tc>
        <w:tc>
          <w:tcPr>
            <w:tcW w:w="821" w:type="dxa"/>
          </w:tcPr>
          <w:p w14:paraId="6A0DB49C" w14:textId="77777777" w:rsidR="00917E4B" w:rsidRPr="008A2E5A" w:rsidRDefault="00917E4B" w:rsidP="004C5D62">
            <w:pPr>
              <w:spacing w:after="0" w:line="240" w:lineRule="auto"/>
              <w:jc w:val="both"/>
              <w:rPr>
                <w:color w:val="0070C0"/>
                <w:sz w:val="16"/>
                <w:szCs w:val="16"/>
              </w:rPr>
            </w:pPr>
          </w:p>
        </w:tc>
        <w:tc>
          <w:tcPr>
            <w:tcW w:w="822" w:type="dxa"/>
          </w:tcPr>
          <w:p w14:paraId="2AD6BB36"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w:t>
            </w:r>
          </w:p>
        </w:tc>
        <w:tc>
          <w:tcPr>
            <w:tcW w:w="822" w:type="dxa"/>
          </w:tcPr>
          <w:p w14:paraId="0AD8C7BC" w14:textId="77777777" w:rsidR="00917E4B" w:rsidRPr="008A2E5A" w:rsidRDefault="00917E4B" w:rsidP="004C5D62">
            <w:pPr>
              <w:spacing w:after="0" w:line="240" w:lineRule="auto"/>
              <w:jc w:val="both"/>
              <w:rPr>
                <w:color w:val="0070C0"/>
                <w:sz w:val="16"/>
                <w:szCs w:val="16"/>
              </w:rPr>
            </w:pPr>
            <w:r w:rsidRPr="008A2E5A">
              <w:rPr>
                <w:color w:val="0070C0"/>
                <w:sz w:val="16"/>
                <w:szCs w:val="16"/>
              </w:rPr>
              <w:t>1000</w:t>
            </w:r>
          </w:p>
        </w:tc>
        <w:tc>
          <w:tcPr>
            <w:tcW w:w="822" w:type="dxa"/>
          </w:tcPr>
          <w:p w14:paraId="397324DB" w14:textId="77777777" w:rsidR="00917E4B" w:rsidRPr="008A2E5A" w:rsidRDefault="00917E4B" w:rsidP="004C5D62">
            <w:pPr>
              <w:spacing w:after="0" w:line="240" w:lineRule="auto"/>
              <w:jc w:val="both"/>
              <w:rPr>
                <w:color w:val="0070C0"/>
                <w:sz w:val="16"/>
                <w:szCs w:val="16"/>
              </w:rPr>
            </w:pPr>
            <w:r w:rsidRPr="008A2E5A">
              <w:rPr>
                <w:color w:val="0070C0"/>
                <w:sz w:val="16"/>
                <w:szCs w:val="16"/>
              </w:rPr>
              <w:t>155</w:t>
            </w:r>
          </w:p>
        </w:tc>
        <w:tc>
          <w:tcPr>
            <w:tcW w:w="822" w:type="dxa"/>
          </w:tcPr>
          <w:p w14:paraId="1159A9D2" w14:textId="77777777" w:rsidR="00917E4B" w:rsidRPr="008A2E5A" w:rsidRDefault="00917E4B" w:rsidP="004C5D62">
            <w:pPr>
              <w:spacing w:after="0" w:line="240" w:lineRule="auto"/>
              <w:jc w:val="both"/>
              <w:rPr>
                <w:color w:val="0070C0"/>
                <w:sz w:val="16"/>
                <w:szCs w:val="16"/>
              </w:rPr>
            </w:pPr>
            <w:r w:rsidRPr="008A2E5A">
              <w:rPr>
                <w:color w:val="0070C0"/>
                <w:sz w:val="16"/>
                <w:szCs w:val="16"/>
              </w:rPr>
              <w:t>18 250</w:t>
            </w:r>
          </w:p>
        </w:tc>
        <w:tc>
          <w:tcPr>
            <w:tcW w:w="822" w:type="dxa"/>
          </w:tcPr>
          <w:p w14:paraId="37D4A2F9" w14:textId="77777777" w:rsidR="00917E4B" w:rsidRPr="008A2E5A" w:rsidRDefault="00917E4B" w:rsidP="004C5D62">
            <w:pPr>
              <w:spacing w:after="0" w:line="240" w:lineRule="auto"/>
              <w:jc w:val="both"/>
              <w:rPr>
                <w:color w:val="0070C0"/>
                <w:sz w:val="16"/>
                <w:szCs w:val="16"/>
              </w:rPr>
            </w:pPr>
            <w:r w:rsidRPr="008A2E5A">
              <w:rPr>
                <w:color w:val="0070C0"/>
                <w:sz w:val="16"/>
                <w:szCs w:val="16"/>
              </w:rPr>
              <w:t>5347</w:t>
            </w:r>
          </w:p>
        </w:tc>
        <w:tc>
          <w:tcPr>
            <w:tcW w:w="822" w:type="dxa"/>
          </w:tcPr>
          <w:p w14:paraId="737D0172" w14:textId="77777777" w:rsidR="00917E4B" w:rsidRPr="008A2E5A" w:rsidRDefault="00917E4B" w:rsidP="004C5D62">
            <w:pPr>
              <w:spacing w:after="0" w:line="240" w:lineRule="auto"/>
              <w:jc w:val="both"/>
              <w:rPr>
                <w:color w:val="0070C0"/>
                <w:sz w:val="16"/>
                <w:szCs w:val="16"/>
              </w:rPr>
            </w:pPr>
          </w:p>
        </w:tc>
        <w:tc>
          <w:tcPr>
            <w:tcW w:w="822" w:type="dxa"/>
          </w:tcPr>
          <w:p w14:paraId="1DAD6E33" w14:textId="77777777" w:rsidR="00917E4B" w:rsidRPr="008A2E5A" w:rsidRDefault="00917E4B" w:rsidP="004C5D62">
            <w:pPr>
              <w:spacing w:after="0" w:line="240" w:lineRule="auto"/>
              <w:jc w:val="both"/>
              <w:rPr>
                <w:color w:val="0070C0"/>
                <w:sz w:val="16"/>
                <w:szCs w:val="16"/>
              </w:rPr>
            </w:pPr>
          </w:p>
        </w:tc>
        <w:tc>
          <w:tcPr>
            <w:tcW w:w="822" w:type="dxa"/>
          </w:tcPr>
          <w:p w14:paraId="216950B4" w14:textId="77777777" w:rsidR="00917E4B" w:rsidRPr="008A2E5A" w:rsidRDefault="00917E4B" w:rsidP="004C5D62">
            <w:pPr>
              <w:spacing w:after="0" w:line="240" w:lineRule="auto"/>
              <w:jc w:val="both"/>
              <w:rPr>
                <w:color w:val="0070C0"/>
                <w:sz w:val="16"/>
                <w:szCs w:val="16"/>
              </w:rPr>
            </w:pPr>
          </w:p>
        </w:tc>
        <w:tc>
          <w:tcPr>
            <w:tcW w:w="822" w:type="dxa"/>
          </w:tcPr>
          <w:p w14:paraId="6049C961" w14:textId="77777777" w:rsidR="00917E4B" w:rsidRPr="008A2E5A" w:rsidRDefault="00917E4B" w:rsidP="004C5D62">
            <w:pPr>
              <w:spacing w:after="0" w:line="240" w:lineRule="auto"/>
              <w:jc w:val="both"/>
              <w:rPr>
                <w:color w:val="0070C0"/>
                <w:sz w:val="16"/>
                <w:szCs w:val="16"/>
              </w:rPr>
            </w:pPr>
          </w:p>
        </w:tc>
      </w:tr>
      <w:tr w:rsidR="00917E4B" w:rsidRPr="008A2E5A" w14:paraId="16AF2B6D" w14:textId="77777777" w:rsidTr="004C5D62">
        <w:tc>
          <w:tcPr>
            <w:tcW w:w="821" w:type="dxa"/>
          </w:tcPr>
          <w:p w14:paraId="0FBAD0EC" w14:textId="77777777" w:rsidR="00917E4B" w:rsidRPr="008A2E5A" w:rsidRDefault="00917E4B" w:rsidP="004C5D62">
            <w:pPr>
              <w:spacing w:after="0" w:line="240" w:lineRule="auto"/>
              <w:jc w:val="both"/>
              <w:rPr>
                <w:color w:val="0070C0"/>
                <w:sz w:val="16"/>
                <w:szCs w:val="16"/>
              </w:rPr>
            </w:pPr>
            <w:r w:rsidRPr="008A2E5A">
              <w:rPr>
                <w:color w:val="0070C0"/>
                <w:sz w:val="16"/>
                <w:szCs w:val="16"/>
              </w:rPr>
              <w:t>26-мм зеленого огня</w:t>
            </w:r>
          </w:p>
        </w:tc>
        <w:tc>
          <w:tcPr>
            <w:tcW w:w="821" w:type="dxa"/>
          </w:tcPr>
          <w:p w14:paraId="0CEDADCD" w14:textId="77777777" w:rsidR="00917E4B" w:rsidRPr="008A2E5A" w:rsidRDefault="00917E4B" w:rsidP="004C5D62">
            <w:pPr>
              <w:spacing w:after="0" w:line="240" w:lineRule="auto"/>
              <w:jc w:val="both"/>
              <w:rPr>
                <w:color w:val="0070C0"/>
                <w:sz w:val="16"/>
                <w:szCs w:val="16"/>
              </w:rPr>
            </w:pPr>
            <w:r w:rsidRPr="008A2E5A">
              <w:rPr>
                <w:color w:val="0070C0"/>
                <w:sz w:val="16"/>
                <w:szCs w:val="16"/>
              </w:rPr>
              <w:t>2000</w:t>
            </w:r>
          </w:p>
        </w:tc>
        <w:tc>
          <w:tcPr>
            <w:tcW w:w="821" w:type="dxa"/>
          </w:tcPr>
          <w:p w14:paraId="15315091" w14:textId="77777777" w:rsidR="00917E4B" w:rsidRPr="008A2E5A" w:rsidRDefault="00917E4B" w:rsidP="004C5D62">
            <w:pPr>
              <w:spacing w:after="0" w:line="240" w:lineRule="auto"/>
              <w:jc w:val="both"/>
              <w:rPr>
                <w:color w:val="0070C0"/>
                <w:sz w:val="16"/>
                <w:szCs w:val="16"/>
              </w:rPr>
            </w:pPr>
            <w:r w:rsidRPr="008A2E5A">
              <w:rPr>
                <w:color w:val="0070C0"/>
                <w:sz w:val="16"/>
                <w:szCs w:val="16"/>
              </w:rPr>
              <w:t>319</w:t>
            </w:r>
          </w:p>
        </w:tc>
        <w:tc>
          <w:tcPr>
            <w:tcW w:w="821" w:type="dxa"/>
          </w:tcPr>
          <w:p w14:paraId="1FEC7BE8" w14:textId="77777777" w:rsidR="00917E4B" w:rsidRPr="008A2E5A" w:rsidRDefault="00917E4B" w:rsidP="004C5D62">
            <w:pPr>
              <w:spacing w:after="0" w:line="240" w:lineRule="auto"/>
              <w:jc w:val="both"/>
              <w:rPr>
                <w:color w:val="0070C0"/>
                <w:sz w:val="16"/>
                <w:szCs w:val="16"/>
              </w:rPr>
            </w:pPr>
          </w:p>
        </w:tc>
        <w:tc>
          <w:tcPr>
            <w:tcW w:w="822" w:type="dxa"/>
          </w:tcPr>
          <w:p w14:paraId="4E5A33B8" w14:textId="77777777" w:rsidR="00917E4B" w:rsidRPr="008A2E5A" w:rsidRDefault="00917E4B" w:rsidP="004C5D62">
            <w:pPr>
              <w:spacing w:after="0" w:line="240" w:lineRule="auto"/>
              <w:jc w:val="both"/>
              <w:rPr>
                <w:color w:val="0070C0"/>
                <w:sz w:val="16"/>
                <w:szCs w:val="16"/>
              </w:rPr>
            </w:pPr>
          </w:p>
        </w:tc>
        <w:tc>
          <w:tcPr>
            <w:tcW w:w="822" w:type="dxa"/>
          </w:tcPr>
          <w:p w14:paraId="757EFBC6" w14:textId="77777777" w:rsidR="00917E4B" w:rsidRPr="008A2E5A" w:rsidRDefault="00917E4B" w:rsidP="004C5D62">
            <w:pPr>
              <w:spacing w:after="0" w:line="240" w:lineRule="auto"/>
              <w:jc w:val="both"/>
              <w:rPr>
                <w:color w:val="0070C0"/>
                <w:sz w:val="16"/>
                <w:szCs w:val="16"/>
              </w:rPr>
            </w:pPr>
          </w:p>
        </w:tc>
        <w:tc>
          <w:tcPr>
            <w:tcW w:w="822" w:type="dxa"/>
          </w:tcPr>
          <w:p w14:paraId="238DC448" w14:textId="77777777" w:rsidR="00917E4B" w:rsidRPr="008A2E5A" w:rsidRDefault="00917E4B" w:rsidP="004C5D62">
            <w:pPr>
              <w:spacing w:after="0" w:line="240" w:lineRule="auto"/>
              <w:jc w:val="both"/>
              <w:rPr>
                <w:color w:val="0070C0"/>
                <w:sz w:val="16"/>
                <w:szCs w:val="16"/>
              </w:rPr>
            </w:pPr>
          </w:p>
        </w:tc>
        <w:tc>
          <w:tcPr>
            <w:tcW w:w="822" w:type="dxa"/>
          </w:tcPr>
          <w:p w14:paraId="10AFC09F" w14:textId="77777777" w:rsidR="00917E4B" w:rsidRPr="008A2E5A" w:rsidRDefault="00917E4B" w:rsidP="004C5D62">
            <w:pPr>
              <w:spacing w:after="0" w:line="240" w:lineRule="auto"/>
              <w:jc w:val="both"/>
              <w:rPr>
                <w:color w:val="0070C0"/>
                <w:sz w:val="16"/>
                <w:szCs w:val="16"/>
              </w:rPr>
            </w:pPr>
          </w:p>
        </w:tc>
        <w:tc>
          <w:tcPr>
            <w:tcW w:w="822" w:type="dxa"/>
          </w:tcPr>
          <w:p w14:paraId="417D4BA9" w14:textId="77777777" w:rsidR="00917E4B" w:rsidRPr="008A2E5A" w:rsidRDefault="00917E4B" w:rsidP="004C5D62">
            <w:pPr>
              <w:spacing w:after="0" w:line="240" w:lineRule="auto"/>
              <w:jc w:val="both"/>
              <w:rPr>
                <w:color w:val="0070C0"/>
                <w:sz w:val="16"/>
                <w:szCs w:val="16"/>
              </w:rPr>
            </w:pPr>
          </w:p>
        </w:tc>
        <w:tc>
          <w:tcPr>
            <w:tcW w:w="822" w:type="dxa"/>
          </w:tcPr>
          <w:p w14:paraId="7ECC5933" w14:textId="77777777" w:rsidR="00917E4B" w:rsidRPr="008A2E5A" w:rsidRDefault="00917E4B" w:rsidP="004C5D62">
            <w:pPr>
              <w:spacing w:after="0" w:line="240" w:lineRule="auto"/>
              <w:jc w:val="both"/>
              <w:rPr>
                <w:color w:val="0070C0"/>
                <w:sz w:val="16"/>
                <w:szCs w:val="16"/>
              </w:rPr>
            </w:pPr>
          </w:p>
        </w:tc>
        <w:tc>
          <w:tcPr>
            <w:tcW w:w="822" w:type="dxa"/>
          </w:tcPr>
          <w:p w14:paraId="0086EC52" w14:textId="77777777" w:rsidR="00917E4B" w:rsidRPr="008A2E5A" w:rsidRDefault="00917E4B" w:rsidP="004C5D62">
            <w:pPr>
              <w:spacing w:after="0" w:line="240" w:lineRule="auto"/>
              <w:jc w:val="both"/>
              <w:rPr>
                <w:color w:val="0070C0"/>
                <w:sz w:val="16"/>
                <w:szCs w:val="16"/>
              </w:rPr>
            </w:pPr>
          </w:p>
        </w:tc>
        <w:tc>
          <w:tcPr>
            <w:tcW w:w="822" w:type="dxa"/>
          </w:tcPr>
          <w:p w14:paraId="5324C3C1" w14:textId="77777777" w:rsidR="00917E4B" w:rsidRPr="008A2E5A" w:rsidRDefault="00917E4B" w:rsidP="004C5D62">
            <w:pPr>
              <w:spacing w:after="0" w:line="240" w:lineRule="auto"/>
              <w:jc w:val="both"/>
              <w:rPr>
                <w:color w:val="0070C0"/>
                <w:sz w:val="16"/>
                <w:szCs w:val="16"/>
              </w:rPr>
            </w:pPr>
          </w:p>
        </w:tc>
        <w:tc>
          <w:tcPr>
            <w:tcW w:w="822" w:type="dxa"/>
          </w:tcPr>
          <w:p w14:paraId="4476A545" w14:textId="77777777" w:rsidR="00917E4B" w:rsidRPr="008A2E5A" w:rsidRDefault="00917E4B" w:rsidP="004C5D62">
            <w:pPr>
              <w:spacing w:after="0" w:line="240" w:lineRule="auto"/>
              <w:jc w:val="both"/>
              <w:rPr>
                <w:color w:val="0070C0"/>
                <w:sz w:val="16"/>
                <w:szCs w:val="16"/>
              </w:rPr>
            </w:pPr>
          </w:p>
        </w:tc>
      </w:tr>
      <w:tr w:rsidR="00917E4B" w:rsidRPr="008A2E5A" w14:paraId="3B316859" w14:textId="77777777" w:rsidTr="004C5D62">
        <w:tc>
          <w:tcPr>
            <w:tcW w:w="821" w:type="dxa"/>
          </w:tcPr>
          <w:p w14:paraId="5921A287" w14:textId="77777777" w:rsidR="00917E4B" w:rsidRPr="008A2E5A" w:rsidRDefault="00917E4B" w:rsidP="004C5D62">
            <w:pPr>
              <w:spacing w:after="0" w:line="240" w:lineRule="auto"/>
              <w:jc w:val="both"/>
              <w:rPr>
                <w:color w:val="0070C0"/>
                <w:sz w:val="16"/>
                <w:szCs w:val="16"/>
              </w:rPr>
            </w:pPr>
            <w:r w:rsidRPr="008A2E5A">
              <w:rPr>
                <w:color w:val="0070C0"/>
                <w:sz w:val="16"/>
                <w:szCs w:val="16"/>
              </w:rPr>
              <w:t>РПГ-40</w:t>
            </w:r>
          </w:p>
        </w:tc>
        <w:tc>
          <w:tcPr>
            <w:tcW w:w="821" w:type="dxa"/>
          </w:tcPr>
          <w:p w14:paraId="7A64FC24" w14:textId="77777777" w:rsidR="00917E4B" w:rsidRPr="008A2E5A" w:rsidRDefault="00917E4B" w:rsidP="004C5D62">
            <w:pPr>
              <w:spacing w:after="0" w:line="240" w:lineRule="auto"/>
              <w:jc w:val="both"/>
              <w:rPr>
                <w:color w:val="0070C0"/>
                <w:sz w:val="16"/>
                <w:szCs w:val="16"/>
              </w:rPr>
            </w:pPr>
            <w:r w:rsidRPr="008A2E5A">
              <w:rPr>
                <w:color w:val="0070C0"/>
                <w:sz w:val="16"/>
                <w:szCs w:val="16"/>
              </w:rPr>
              <w:t>1500</w:t>
            </w:r>
          </w:p>
        </w:tc>
        <w:tc>
          <w:tcPr>
            <w:tcW w:w="821" w:type="dxa"/>
          </w:tcPr>
          <w:p w14:paraId="0F29EEE3" w14:textId="77777777" w:rsidR="00917E4B" w:rsidRPr="008A2E5A" w:rsidRDefault="00917E4B" w:rsidP="004C5D62">
            <w:pPr>
              <w:spacing w:after="0" w:line="240" w:lineRule="auto"/>
              <w:jc w:val="both"/>
              <w:rPr>
                <w:color w:val="0070C0"/>
                <w:sz w:val="16"/>
                <w:szCs w:val="16"/>
              </w:rPr>
            </w:pPr>
            <w:r w:rsidRPr="008A2E5A">
              <w:rPr>
                <w:color w:val="0070C0"/>
                <w:sz w:val="16"/>
                <w:szCs w:val="16"/>
              </w:rPr>
              <w:t>524</w:t>
            </w:r>
          </w:p>
        </w:tc>
        <w:tc>
          <w:tcPr>
            <w:tcW w:w="821" w:type="dxa"/>
          </w:tcPr>
          <w:p w14:paraId="56BE2D0A" w14:textId="77777777" w:rsidR="00917E4B" w:rsidRPr="008A2E5A" w:rsidRDefault="00917E4B" w:rsidP="004C5D62">
            <w:pPr>
              <w:spacing w:after="0" w:line="240" w:lineRule="auto"/>
              <w:jc w:val="both"/>
              <w:rPr>
                <w:color w:val="0070C0"/>
                <w:sz w:val="16"/>
                <w:szCs w:val="16"/>
              </w:rPr>
            </w:pPr>
            <w:r w:rsidRPr="008A2E5A">
              <w:rPr>
                <w:color w:val="0070C0"/>
                <w:sz w:val="16"/>
                <w:szCs w:val="16"/>
              </w:rPr>
              <w:t>1383</w:t>
            </w:r>
          </w:p>
        </w:tc>
        <w:tc>
          <w:tcPr>
            <w:tcW w:w="822" w:type="dxa"/>
          </w:tcPr>
          <w:p w14:paraId="58D2C9C6" w14:textId="77777777" w:rsidR="00917E4B" w:rsidRPr="008A2E5A" w:rsidRDefault="00917E4B" w:rsidP="004C5D62">
            <w:pPr>
              <w:spacing w:after="0" w:line="240" w:lineRule="auto"/>
              <w:jc w:val="both"/>
              <w:rPr>
                <w:color w:val="0070C0"/>
                <w:sz w:val="16"/>
                <w:szCs w:val="16"/>
              </w:rPr>
            </w:pPr>
            <w:r w:rsidRPr="008A2E5A">
              <w:rPr>
                <w:color w:val="0070C0"/>
                <w:sz w:val="16"/>
                <w:szCs w:val="16"/>
              </w:rPr>
              <w:t>653</w:t>
            </w:r>
          </w:p>
        </w:tc>
        <w:tc>
          <w:tcPr>
            <w:tcW w:w="822" w:type="dxa"/>
          </w:tcPr>
          <w:p w14:paraId="29939569" w14:textId="77777777" w:rsidR="00917E4B" w:rsidRPr="008A2E5A" w:rsidRDefault="00917E4B" w:rsidP="004C5D62">
            <w:pPr>
              <w:spacing w:after="0" w:line="240" w:lineRule="auto"/>
              <w:jc w:val="both"/>
              <w:rPr>
                <w:color w:val="0070C0"/>
                <w:sz w:val="16"/>
                <w:szCs w:val="16"/>
              </w:rPr>
            </w:pPr>
            <w:r w:rsidRPr="008A2E5A">
              <w:rPr>
                <w:color w:val="0070C0"/>
                <w:sz w:val="16"/>
                <w:szCs w:val="16"/>
              </w:rPr>
              <w:t>1200</w:t>
            </w:r>
          </w:p>
        </w:tc>
        <w:tc>
          <w:tcPr>
            <w:tcW w:w="822" w:type="dxa"/>
          </w:tcPr>
          <w:p w14:paraId="1DD7A6E0" w14:textId="77777777" w:rsidR="00917E4B" w:rsidRPr="008A2E5A" w:rsidRDefault="00917E4B" w:rsidP="004C5D62">
            <w:pPr>
              <w:spacing w:after="0" w:line="240" w:lineRule="auto"/>
              <w:jc w:val="both"/>
              <w:rPr>
                <w:color w:val="0070C0"/>
                <w:sz w:val="16"/>
                <w:szCs w:val="16"/>
              </w:rPr>
            </w:pPr>
            <w:r w:rsidRPr="008A2E5A">
              <w:rPr>
                <w:color w:val="0070C0"/>
                <w:sz w:val="16"/>
                <w:szCs w:val="16"/>
              </w:rPr>
              <w:t>730</w:t>
            </w:r>
          </w:p>
        </w:tc>
        <w:tc>
          <w:tcPr>
            <w:tcW w:w="822" w:type="dxa"/>
          </w:tcPr>
          <w:p w14:paraId="7529AF05" w14:textId="77777777" w:rsidR="00917E4B" w:rsidRPr="008A2E5A" w:rsidRDefault="00917E4B" w:rsidP="004C5D62">
            <w:pPr>
              <w:spacing w:after="0" w:line="240" w:lineRule="auto"/>
              <w:jc w:val="both"/>
              <w:rPr>
                <w:color w:val="0070C0"/>
                <w:sz w:val="16"/>
                <w:szCs w:val="16"/>
              </w:rPr>
            </w:pPr>
            <w:r w:rsidRPr="008A2E5A">
              <w:rPr>
                <w:color w:val="0070C0"/>
                <w:sz w:val="16"/>
                <w:szCs w:val="16"/>
              </w:rPr>
              <w:t>7583</w:t>
            </w:r>
          </w:p>
        </w:tc>
        <w:tc>
          <w:tcPr>
            <w:tcW w:w="822" w:type="dxa"/>
          </w:tcPr>
          <w:p w14:paraId="5B2C563D" w14:textId="77777777" w:rsidR="00917E4B" w:rsidRPr="008A2E5A" w:rsidRDefault="00917E4B" w:rsidP="004C5D62">
            <w:pPr>
              <w:spacing w:after="0" w:line="240" w:lineRule="auto"/>
              <w:jc w:val="both"/>
              <w:rPr>
                <w:color w:val="0070C0"/>
                <w:sz w:val="16"/>
                <w:szCs w:val="16"/>
              </w:rPr>
            </w:pPr>
            <w:r w:rsidRPr="008A2E5A">
              <w:rPr>
                <w:color w:val="0070C0"/>
                <w:sz w:val="16"/>
                <w:szCs w:val="16"/>
              </w:rPr>
              <w:t>3532</w:t>
            </w:r>
          </w:p>
        </w:tc>
        <w:tc>
          <w:tcPr>
            <w:tcW w:w="822" w:type="dxa"/>
          </w:tcPr>
          <w:p w14:paraId="4EF55314" w14:textId="77777777" w:rsidR="00917E4B" w:rsidRPr="008A2E5A" w:rsidRDefault="00917E4B" w:rsidP="004C5D62">
            <w:pPr>
              <w:spacing w:after="0" w:line="240" w:lineRule="auto"/>
              <w:jc w:val="both"/>
              <w:rPr>
                <w:color w:val="0070C0"/>
                <w:sz w:val="16"/>
                <w:szCs w:val="16"/>
              </w:rPr>
            </w:pPr>
          </w:p>
        </w:tc>
        <w:tc>
          <w:tcPr>
            <w:tcW w:w="822" w:type="dxa"/>
          </w:tcPr>
          <w:p w14:paraId="3480F5D7" w14:textId="77777777" w:rsidR="00917E4B" w:rsidRPr="008A2E5A" w:rsidRDefault="00917E4B" w:rsidP="004C5D62">
            <w:pPr>
              <w:spacing w:after="0" w:line="240" w:lineRule="auto"/>
              <w:jc w:val="both"/>
              <w:rPr>
                <w:color w:val="0070C0"/>
                <w:sz w:val="16"/>
                <w:szCs w:val="16"/>
              </w:rPr>
            </w:pPr>
          </w:p>
        </w:tc>
        <w:tc>
          <w:tcPr>
            <w:tcW w:w="822" w:type="dxa"/>
          </w:tcPr>
          <w:p w14:paraId="52640F33" w14:textId="77777777" w:rsidR="00917E4B" w:rsidRPr="008A2E5A" w:rsidRDefault="00917E4B" w:rsidP="004C5D62">
            <w:pPr>
              <w:spacing w:after="0" w:line="240" w:lineRule="auto"/>
              <w:jc w:val="both"/>
              <w:rPr>
                <w:color w:val="0070C0"/>
                <w:sz w:val="16"/>
                <w:szCs w:val="16"/>
              </w:rPr>
            </w:pPr>
          </w:p>
        </w:tc>
        <w:tc>
          <w:tcPr>
            <w:tcW w:w="822" w:type="dxa"/>
          </w:tcPr>
          <w:p w14:paraId="63A7E60D" w14:textId="77777777" w:rsidR="00917E4B" w:rsidRPr="008A2E5A" w:rsidRDefault="00917E4B" w:rsidP="004C5D62">
            <w:pPr>
              <w:spacing w:after="0" w:line="240" w:lineRule="auto"/>
              <w:jc w:val="both"/>
              <w:rPr>
                <w:color w:val="0070C0"/>
                <w:sz w:val="16"/>
                <w:szCs w:val="16"/>
              </w:rPr>
            </w:pPr>
          </w:p>
        </w:tc>
      </w:tr>
      <w:tr w:rsidR="00917E4B" w:rsidRPr="008A2E5A" w14:paraId="47D95E30" w14:textId="77777777" w:rsidTr="004C5D62">
        <w:tc>
          <w:tcPr>
            <w:tcW w:w="821" w:type="dxa"/>
          </w:tcPr>
          <w:p w14:paraId="717D0030" w14:textId="77777777" w:rsidR="00917E4B" w:rsidRPr="008A2E5A" w:rsidRDefault="00917E4B" w:rsidP="004C5D62">
            <w:pPr>
              <w:spacing w:after="0" w:line="240" w:lineRule="auto"/>
              <w:jc w:val="both"/>
              <w:rPr>
                <w:color w:val="0070C0"/>
                <w:sz w:val="16"/>
                <w:szCs w:val="16"/>
              </w:rPr>
            </w:pPr>
            <w:r w:rsidRPr="008A2E5A">
              <w:rPr>
                <w:color w:val="0070C0"/>
                <w:sz w:val="16"/>
                <w:szCs w:val="16"/>
              </w:rPr>
              <w:t>ВПГС-41</w:t>
            </w:r>
          </w:p>
        </w:tc>
        <w:tc>
          <w:tcPr>
            <w:tcW w:w="821" w:type="dxa"/>
          </w:tcPr>
          <w:p w14:paraId="637D13D1" w14:textId="77777777" w:rsidR="00917E4B" w:rsidRPr="008A2E5A" w:rsidRDefault="00917E4B" w:rsidP="004C5D62">
            <w:pPr>
              <w:spacing w:after="0" w:line="240" w:lineRule="auto"/>
              <w:jc w:val="both"/>
              <w:rPr>
                <w:color w:val="0070C0"/>
                <w:sz w:val="16"/>
                <w:szCs w:val="16"/>
              </w:rPr>
            </w:pPr>
          </w:p>
        </w:tc>
        <w:tc>
          <w:tcPr>
            <w:tcW w:w="821" w:type="dxa"/>
          </w:tcPr>
          <w:p w14:paraId="506E25CC" w14:textId="77777777" w:rsidR="00917E4B" w:rsidRPr="008A2E5A" w:rsidRDefault="00917E4B" w:rsidP="004C5D62">
            <w:pPr>
              <w:spacing w:after="0" w:line="240" w:lineRule="auto"/>
              <w:jc w:val="both"/>
              <w:rPr>
                <w:color w:val="0070C0"/>
                <w:sz w:val="16"/>
                <w:szCs w:val="16"/>
              </w:rPr>
            </w:pPr>
          </w:p>
        </w:tc>
        <w:tc>
          <w:tcPr>
            <w:tcW w:w="821" w:type="dxa"/>
          </w:tcPr>
          <w:p w14:paraId="2CACDA07"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w:t>
            </w:r>
          </w:p>
        </w:tc>
        <w:tc>
          <w:tcPr>
            <w:tcW w:w="822" w:type="dxa"/>
          </w:tcPr>
          <w:p w14:paraId="7E350CFD" w14:textId="77777777" w:rsidR="00917E4B" w:rsidRPr="008A2E5A" w:rsidRDefault="00917E4B" w:rsidP="004C5D62">
            <w:pPr>
              <w:spacing w:after="0" w:line="240" w:lineRule="auto"/>
              <w:jc w:val="both"/>
              <w:rPr>
                <w:color w:val="0070C0"/>
                <w:sz w:val="16"/>
                <w:szCs w:val="16"/>
              </w:rPr>
            </w:pPr>
            <w:r w:rsidRPr="008A2E5A">
              <w:rPr>
                <w:color w:val="0070C0"/>
                <w:sz w:val="16"/>
                <w:szCs w:val="16"/>
              </w:rPr>
              <w:t>135</w:t>
            </w:r>
          </w:p>
        </w:tc>
        <w:tc>
          <w:tcPr>
            <w:tcW w:w="822" w:type="dxa"/>
          </w:tcPr>
          <w:p w14:paraId="54404CEE" w14:textId="77777777" w:rsidR="00917E4B" w:rsidRPr="008A2E5A" w:rsidRDefault="00917E4B" w:rsidP="004C5D62">
            <w:pPr>
              <w:spacing w:after="0" w:line="240" w:lineRule="auto"/>
              <w:jc w:val="both"/>
              <w:rPr>
                <w:color w:val="0070C0"/>
                <w:sz w:val="16"/>
                <w:szCs w:val="16"/>
              </w:rPr>
            </w:pPr>
            <w:r w:rsidRPr="008A2E5A">
              <w:rPr>
                <w:color w:val="0070C0"/>
                <w:sz w:val="16"/>
                <w:szCs w:val="16"/>
              </w:rPr>
              <w:t>400</w:t>
            </w:r>
          </w:p>
        </w:tc>
        <w:tc>
          <w:tcPr>
            <w:tcW w:w="822" w:type="dxa"/>
          </w:tcPr>
          <w:p w14:paraId="41D42C97" w14:textId="77777777" w:rsidR="00917E4B" w:rsidRPr="008A2E5A" w:rsidRDefault="00917E4B" w:rsidP="004C5D62">
            <w:pPr>
              <w:spacing w:after="0" w:line="240" w:lineRule="auto"/>
              <w:jc w:val="both"/>
              <w:rPr>
                <w:color w:val="0070C0"/>
                <w:sz w:val="16"/>
                <w:szCs w:val="16"/>
              </w:rPr>
            </w:pPr>
            <w:r w:rsidRPr="008A2E5A">
              <w:rPr>
                <w:color w:val="0070C0"/>
                <w:sz w:val="16"/>
                <w:szCs w:val="16"/>
              </w:rPr>
              <w:t>205</w:t>
            </w:r>
          </w:p>
        </w:tc>
        <w:tc>
          <w:tcPr>
            <w:tcW w:w="822" w:type="dxa"/>
          </w:tcPr>
          <w:p w14:paraId="03BF6670" w14:textId="77777777" w:rsidR="00917E4B" w:rsidRPr="008A2E5A" w:rsidRDefault="00917E4B" w:rsidP="004C5D62">
            <w:pPr>
              <w:spacing w:after="0" w:line="240" w:lineRule="auto"/>
              <w:jc w:val="both"/>
              <w:rPr>
                <w:color w:val="0070C0"/>
                <w:sz w:val="16"/>
                <w:szCs w:val="16"/>
              </w:rPr>
            </w:pPr>
            <w:r w:rsidRPr="008A2E5A">
              <w:rPr>
                <w:color w:val="0070C0"/>
                <w:sz w:val="16"/>
                <w:szCs w:val="16"/>
              </w:rPr>
              <w:t>800</w:t>
            </w:r>
          </w:p>
        </w:tc>
        <w:tc>
          <w:tcPr>
            <w:tcW w:w="822" w:type="dxa"/>
          </w:tcPr>
          <w:p w14:paraId="60C99866" w14:textId="77777777" w:rsidR="00917E4B" w:rsidRPr="008A2E5A" w:rsidRDefault="00917E4B" w:rsidP="004C5D62">
            <w:pPr>
              <w:spacing w:after="0" w:line="240" w:lineRule="auto"/>
              <w:jc w:val="both"/>
              <w:rPr>
                <w:color w:val="0070C0"/>
                <w:sz w:val="16"/>
                <w:szCs w:val="16"/>
              </w:rPr>
            </w:pPr>
            <w:r w:rsidRPr="008A2E5A">
              <w:rPr>
                <w:color w:val="0070C0"/>
                <w:sz w:val="16"/>
                <w:szCs w:val="16"/>
              </w:rPr>
              <w:t>3402</w:t>
            </w:r>
          </w:p>
        </w:tc>
        <w:tc>
          <w:tcPr>
            <w:tcW w:w="822" w:type="dxa"/>
          </w:tcPr>
          <w:p w14:paraId="30E8665C" w14:textId="77777777" w:rsidR="00917E4B" w:rsidRPr="008A2E5A" w:rsidRDefault="00917E4B" w:rsidP="004C5D62">
            <w:pPr>
              <w:spacing w:after="0" w:line="240" w:lineRule="auto"/>
              <w:jc w:val="both"/>
              <w:rPr>
                <w:color w:val="0070C0"/>
                <w:sz w:val="16"/>
                <w:szCs w:val="16"/>
              </w:rPr>
            </w:pPr>
          </w:p>
        </w:tc>
        <w:tc>
          <w:tcPr>
            <w:tcW w:w="822" w:type="dxa"/>
          </w:tcPr>
          <w:p w14:paraId="5EABA113" w14:textId="77777777" w:rsidR="00917E4B" w:rsidRPr="008A2E5A" w:rsidRDefault="00917E4B" w:rsidP="004C5D62">
            <w:pPr>
              <w:spacing w:after="0" w:line="240" w:lineRule="auto"/>
              <w:jc w:val="both"/>
              <w:rPr>
                <w:color w:val="0070C0"/>
                <w:sz w:val="16"/>
                <w:szCs w:val="16"/>
              </w:rPr>
            </w:pPr>
          </w:p>
        </w:tc>
        <w:tc>
          <w:tcPr>
            <w:tcW w:w="822" w:type="dxa"/>
          </w:tcPr>
          <w:p w14:paraId="794F44F1" w14:textId="77777777" w:rsidR="00917E4B" w:rsidRPr="008A2E5A" w:rsidRDefault="00917E4B" w:rsidP="004C5D62">
            <w:pPr>
              <w:spacing w:after="0" w:line="240" w:lineRule="auto"/>
              <w:jc w:val="both"/>
              <w:rPr>
                <w:color w:val="0070C0"/>
                <w:sz w:val="16"/>
                <w:szCs w:val="16"/>
              </w:rPr>
            </w:pPr>
          </w:p>
        </w:tc>
        <w:tc>
          <w:tcPr>
            <w:tcW w:w="822" w:type="dxa"/>
          </w:tcPr>
          <w:p w14:paraId="7114D918" w14:textId="77777777" w:rsidR="00917E4B" w:rsidRPr="008A2E5A" w:rsidRDefault="00917E4B" w:rsidP="004C5D62">
            <w:pPr>
              <w:spacing w:after="0" w:line="240" w:lineRule="auto"/>
              <w:jc w:val="both"/>
              <w:rPr>
                <w:color w:val="0070C0"/>
                <w:sz w:val="16"/>
                <w:szCs w:val="16"/>
              </w:rPr>
            </w:pPr>
          </w:p>
        </w:tc>
      </w:tr>
    </w:tbl>
    <w:p w14:paraId="78FF23A3"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Врид начальника У СВ ГАУ КА еоенинженер 2-го ранга Гавриков</w:t>
      </w:r>
    </w:p>
    <w:p w14:paraId="6F071A0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Военный комиссар У СВ ГАУ КА бригадный комиссар Малышев</w:t>
      </w:r>
    </w:p>
    <w:p w14:paraId="7E7D6084"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 МО РФ. Ф. 81. Оп. 12106. Д. 301. Л. 73-75. Заверенная копия (24098).</w:t>
      </w:r>
    </w:p>
    <w:p w14:paraId="2AECA529" w14:textId="77777777" w:rsidR="00917E4B" w:rsidRPr="008A2E5A" w:rsidRDefault="00917E4B" w:rsidP="00917E4B">
      <w:pPr>
        <w:spacing w:after="0" w:line="240" w:lineRule="auto"/>
        <w:jc w:val="both"/>
        <w:rPr>
          <w:rFonts w:ascii="Times New Roman" w:hAnsi="Times New Roman"/>
          <w:color w:val="0070C0"/>
          <w:sz w:val="16"/>
          <w:szCs w:val="16"/>
        </w:rPr>
      </w:pPr>
    </w:p>
    <w:p w14:paraId="21620371"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года.</w:t>
      </w:r>
    </w:p>
    <w:p w14:paraId="482AD6E6"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135 – 138</w:t>
      </w:r>
    </w:p>
    <w:p w14:paraId="2E830F05"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12.II-42 г. № 1187</w:t>
      </w:r>
    </w:p>
    <w:p w14:paraId="74E40802"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p>
    <w:p w14:paraId="6B1422B8"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Срочно.</w:t>
      </w:r>
    </w:p>
    <w:p w14:paraId="7E84DF8E"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A814E62"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НАРКОМАТУ ТАНКОВОЙ ПРОМЫШЛЕННОСТИ</w:t>
      </w:r>
    </w:p>
    <w:p w14:paraId="5DA8F2EC"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192-мсс</w:t>
      </w:r>
    </w:p>
    <w:p w14:paraId="357C2219"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года.</w:t>
      </w:r>
    </w:p>
    <w:p w14:paraId="7634F52A" w14:textId="13A2C60F"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месяце из армии поступило в Наркомат довольно большое количество сигналов и сообщений о наличии в танках крупных и мелких дефектов.</w:t>
      </w:r>
      <w:r w:rsidR="008127F8">
        <w:rPr>
          <w:rFonts w:ascii="Times New Roman" w:hAnsi="Times New Roman"/>
          <w:color w:val="000000" w:themeColor="text1"/>
          <w:sz w:val="16"/>
          <w:szCs w:val="16"/>
        </w:rPr>
        <w:t xml:space="preserve">  </w:t>
      </w:r>
    </w:p>
    <w:p w14:paraId="68AE5586" w14:textId="7996C97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важными дефектами у танков КВ являются: разрыв картера коробки перемены передач, износ зубьев паразитной шестерни, коробление дисков главного фрикциона, сгорание дисков ферродо, течь масляных радиаторов, постановка вместо дюритовых обычных резиновых шлангов, и как следствие – их разрыв, выход из строя дизелей вследствие: выпадения седел клапанов, проворачивания втулок нижнего вертикального валика, течь межцилиндровых уплотнений и проч.</w:t>
      </w:r>
      <w:r w:rsidR="008127F8">
        <w:rPr>
          <w:rFonts w:ascii="Times New Roman" w:hAnsi="Times New Roman"/>
          <w:color w:val="000000" w:themeColor="text1"/>
          <w:sz w:val="16"/>
          <w:szCs w:val="16"/>
        </w:rPr>
        <w:t xml:space="preserve">  </w:t>
      </w:r>
    </w:p>
    <w:p w14:paraId="0313ECE5" w14:textId="5F778B7E"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дефекты по танкам Т-34: разрушение картеров коробок перемены передач (главным образом по танкам производства завода № 183), течь радиаторов, раздутие маслобаков, выход из строя моторов М-17 из-за течи воды в межцилиндровых уплотнениях, переливание бензина в карбюраторах моторов М-17.</w:t>
      </w:r>
      <w:r w:rsidR="008127F8">
        <w:rPr>
          <w:rFonts w:ascii="Times New Roman" w:hAnsi="Times New Roman"/>
          <w:color w:val="000000" w:themeColor="text1"/>
          <w:sz w:val="16"/>
          <w:szCs w:val="16"/>
        </w:rPr>
        <w:t xml:space="preserve">  </w:t>
      </w:r>
    </w:p>
    <w:p w14:paraId="2E73C04B" w14:textId="16671088"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все дефекты говорят о том, что директора и главные инженеры заводов: Кировского, СТЗ, № 183 и № 112 ослабили внимание к качеству изготовления танков, вводят в производство заменители без должной проверки их и не обеспечивают жесткого контроля при сборке и выпуске танков.</w:t>
      </w:r>
      <w:r w:rsidR="008127F8">
        <w:rPr>
          <w:rFonts w:ascii="Times New Roman" w:hAnsi="Times New Roman"/>
          <w:color w:val="000000" w:themeColor="text1"/>
          <w:sz w:val="16"/>
          <w:szCs w:val="16"/>
        </w:rPr>
        <w:t xml:space="preserve">  </w:t>
      </w:r>
    </w:p>
    <w:p w14:paraId="29A4D272" w14:textId="7BE0EF8A"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быстрейшего устранения указанных дефектов, улучшения качества танков и усиления контроля ПРИКАЗЫВАЮ:</w:t>
      </w:r>
      <w:r w:rsidR="008127F8">
        <w:rPr>
          <w:rFonts w:ascii="Times New Roman" w:hAnsi="Times New Roman"/>
          <w:color w:val="000000" w:themeColor="text1"/>
          <w:sz w:val="16"/>
          <w:szCs w:val="16"/>
        </w:rPr>
        <w:t xml:space="preserve">  </w:t>
      </w:r>
    </w:p>
    <w:p w14:paraId="332A17B0" w14:textId="19DCC1B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Кировского – т. Махонину, № 183 – т. Зальцману, СТЗ – т. Задорожному и № 112 – т. Михалеву немедленно по получении настоящего приказа совместно с главными инженерами и главными конструкторами разработать конкретные мероприятия по устранению в кратчайшие сроки всех дефектов, указанных в приложениях №№ 1 и 2. Одновременно установить виновников указанных дефектов и серьезно их наказать, вплоть до придания суду. Копии своих приказов выслать мне без задержки.</w:t>
      </w:r>
      <w:r w:rsidR="008127F8">
        <w:rPr>
          <w:rFonts w:ascii="Times New Roman" w:hAnsi="Times New Roman"/>
          <w:color w:val="000000" w:themeColor="text1"/>
          <w:sz w:val="16"/>
          <w:szCs w:val="16"/>
        </w:rPr>
        <w:t xml:space="preserve">  </w:t>
      </w:r>
    </w:p>
    <w:p w14:paraId="70DB7E38" w14:textId="3734BD66"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Директорам заводов: Кировского, №№ 183, 112, 76 и СТЗ немедленно пересмотреть состав работников ОТК на всех важнейших операциях по изготовлению танков (приемка готовых узлов, приемка моторов, приемка радиаторов, сборка танков, обкатка танков, сдача танков), всех негодных работников удалить и заменить лучшими инженерами и техниками. </w:t>
      </w:r>
      <w:proofErr w:type="gramStart"/>
      <w:r w:rsidRPr="008127F8">
        <w:rPr>
          <w:rFonts w:ascii="Times New Roman" w:hAnsi="Times New Roman"/>
          <w:color w:val="000000" w:themeColor="text1"/>
          <w:sz w:val="16"/>
          <w:szCs w:val="16"/>
        </w:rPr>
        <w:t>В частности</w:t>
      </w:r>
      <w:proofErr w:type="gramEnd"/>
      <w:r w:rsidRPr="008127F8">
        <w:rPr>
          <w:rFonts w:ascii="Times New Roman" w:hAnsi="Times New Roman"/>
          <w:color w:val="000000" w:themeColor="text1"/>
          <w:sz w:val="16"/>
          <w:szCs w:val="16"/>
        </w:rPr>
        <w:t xml:space="preserve"> на февраль и март месяцы направить в помощь ОТК конструкторов и технологов-танкистов.</w:t>
      </w:r>
      <w:r w:rsidR="008127F8">
        <w:rPr>
          <w:rFonts w:ascii="Times New Roman" w:hAnsi="Times New Roman"/>
          <w:color w:val="000000" w:themeColor="text1"/>
          <w:sz w:val="16"/>
          <w:szCs w:val="16"/>
        </w:rPr>
        <w:t xml:space="preserve">  </w:t>
      </w:r>
    </w:p>
    <w:p w14:paraId="2F862EE5" w14:textId="6A6538E2"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Кировского завода – т. Махонину:</w:t>
      </w:r>
      <w:r w:rsidR="008127F8">
        <w:rPr>
          <w:rFonts w:ascii="Times New Roman" w:hAnsi="Times New Roman"/>
          <w:color w:val="000000" w:themeColor="text1"/>
          <w:sz w:val="16"/>
          <w:szCs w:val="16"/>
        </w:rPr>
        <w:t xml:space="preserve">  </w:t>
      </w:r>
    </w:p>
    <w:p w14:paraId="49C1C71B" w14:textId="76C55AFA"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 20 февраля с.г. выпускать танки с картером коробки перемены передач, усиленным ребрами;</w:t>
      </w:r>
      <w:r w:rsidR="008127F8">
        <w:rPr>
          <w:rFonts w:ascii="Times New Roman" w:hAnsi="Times New Roman"/>
          <w:color w:val="000000" w:themeColor="text1"/>
          <w:sz w:val="16"/>
          <w:szCs w:val="16"/>
        </w:rPr>
        <w:t xml:space="preserve">  </w:t>
      </w:r>
    </w:p>
    <w:p w14:paraId="2A002E54" w14:textId="144A5EBD"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ввести с 15 февраля с.г. предварительный контроль качества дисков ферродо, не допуская попадания на сборку недоброкачественных дисков;</w:t>
      </w:r>
      <w:r w:rsidR="008127F8">
        <w:rPr>
          <w:rFonts w:ascii="Times New Roman" w:hAnsi="Times New Roman"/>
          <w:color w:val="000000" w:themeColor="text1"/>
          <w:sz w:val="16"/>
          <w:szCs w:val="16"/>
        </w:rPr>
        <w:t xml:space="preserve">  </w:t>
      </w:r>
    </w:p>
    <w:p w14:paraId="63FE05FC" w14:textId="0B86BFC6"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проверить всю технологию изготовления радиаторов (водяных и масляных) и ужесточить условия испытания и приемки радиаторов на всех важнейших операциях;</w:t>
      </w:r>
      <w:r w:rsidR="008127F8">
        <w:rPr>
          <w:rFonts w:ascii="Times New Roman" w:hAnsi="Times New Roman"/>
          <w:color w:val="000000" w:themeColor="text1"/>
          <w:sz w:val="16"/>
          <w:szCs w:val="16"/>
        </w:rPr>
        <w:t xml:space="preserve">  </w:t>
      </w:r>
    </w:p>
    <w:p w14:paraId="23387A9A" w14:textId="4BFF863D"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выслать, по указанию ГАБТУ, до 25 февраля с.г., 160 комплектов дисков ферродо для замены на танках, находящихся в армии с недоброкачественными и стальными дисками;</w:t>
      </w:r>
      <w:r w:rsidR="008127F8">
        <w:rPr>
          <w:rFonts w:ascii="Times New Roman" w:hAnsi="Times New Roman"/>
          <w:color w:val="000000" w:themeColor="text1"/>
          <w:sz w:val="16"/>
          <w:szCs w:val="16"/>
        </w:rPr>
        <w:t xml:space="preserve">  </w:t>
      </w:r>
    </w:p>
    <w:p w14:paraId="48C4288E" w14:textId="0115B022"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установить более жесткий контроль за качеством прокладок у двигателя и качеством затяжки шпилек;</w:t>
      </w:r>
      <w:r w:rsidR="008127F8">
        <w:rPr>
          <w:rFonts w:ascii="Times New Roman" w:hAnsi="Times New Roman"/>
          <w:color w:val="000000" w:themeColor="text1"/>
          <w:sz w:val="16"/>
          <w:szCs w:val="16"/>
        </w:rPr>
        <w:t xml:space="preserve">  </w:t>
      </w:r>
    </w:p>
    <w:p w14:paraId="2854BBC9" w14:textId="41E7A3C0"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не допускать постановки резиновых однослойных шлангов вместо дюритовых;</w:t>
      </w:r>
      <w:r w:rsidR="008127F8">
        <w:rPr>
          <w:rFonts w:ascii="Times New Roman" w:hAnsi="Times New Roman"/>
          <w:color w:val="000000" w:themeColor="text1"/>
          <w:sz w:val="16"/>
          <w:szCs w:val="16"/>
        </w:rPr>
        <w:t xml:space="preserve">  </w:t>
      </w:r>
    </w:p>
    <w:p w14:paraId="55B4CC95" w14:textId="04350600"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выслать в армию, по указанию ГАБТУ, взамен выбывших из строя, до 20.II-с.г. 10 дизелей В-2, 23 коробки скоростей и 8 комплектов водяных радиаторов;</w:t>
      </w:r>
      <w:r w:rsidR="008127F8">
        <w:rPr>
          <w:rFonts w:ascii="Times New Roman" w:hAnsi="Times New Roman"/>
          <w:color w:val="000000" w:themeColor="text1"/>
          <w:sz w:val="16"/>
          <w:szCs w:val="16"/>
        </w:rPr>
        <w:t xml:space="preserve">  </w:t>
      </w:r>
    </w:p>
    <w:p w14:paraId="141963AC" w14:textId="3D5562E4"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установить и привлечь к ответственности вплоть до отдачи под суд, виновных в следующих дефектах, обнаруженных в танках: у танков №№ 7031, 7010, 7012, 7017 – установка вместо дюритовых однослойных резиновых шлангов, у танка № 43627 – мотор был не закреплен, у танка № 43736 – течь масла через сальник пробки масляного бака, у танка № 43775 – не приварена аккумуляторная стойка, у танка № 0716 – уровень патрубков опущен ниже уровня сливного отверстия, у танков №№ 6996, 43617, 43674, 43677 – проворачивание втулок нижнего вертикального валика и выпадение седел клапанов у дизелей.</w:t>
      </w:r>
      <w:r w:rsidR="008127F8">
        <w:rPr>
          <w:rFonts w:ascii="Times New Roman" w:hAnsi="Times New Roman"/>
          <w:color w:val="000000" w:themeColor="text1"/>
          <w:sz w:val="16"/>
          <w:szCs w:val="16"/>
        </w:rPr>
        <w:t xml:space="preserve">  </w:t>
      </w:r>
    </w:p>
    <w:p w14:paraId="2D117469" w14:textId="44792BC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Директору завода № 183 – т. Зальцман установить строгий контроль за качеством изготовления коробок перемены передач и привлечь к ответственности виновных в постановке недоброкачественных картеров на танки №№ 585-6, 585-5, 6098-5. Немедленно выслать в армию, по указанию ГАБТУ, 4 коробки перемены передач </w:t>
      </w:r>
      <w:proofErr w:type="gramStart"/>
      <w:r w:rsidRPr="008127F8">
        <w:rPr>
          <w:rFonts w:ascii="Times New Roman" w:hAnsi="Times New Roman"/>
          <w:color w:val="000000" w:themeColor="text1"/>
          <w:sz w:val="16"/>
          <w:szCs w:val="16"/>
        </w:rPr>
        <w:t>для замены</w:t>
      </w:r>
      <w:proofErr w:type="gramEnd"/>
      <w:r w:rsidRPr="008127F8">
        <w:rPr>
          <w:rFonts w:ascii="Times New Roman" w:hAnsi="Times New Roman"/>
          <w:color w:val="000000" w:themeColor="text1"/>
          <w:sz w:val="16"/>
          <w:szCs w:val="16"/>
        </w:rPr>
        <w:t xml:space="preserve"> вышедших из строя.</w:t>
      </w:r>
      <w:r w:rsidR="008127F8">
        <w:rPr>
          <w:rFonts w:ascii="Times New Roman" w:hAnsi="Times New Roman"/>
          <w:color w:val="000000" w:themeColor="text1"/>
          <w:sz w:val="16"/>
          <w:szCs w:val="16"/>
        </w:rPr>
        <w:t xml:space="preserve">  </w:t>
      </w:r>
    </w:p>
    <w:p w14:paraId="11AB9918" w14:textId="323A88D4"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СТЗ – т. Задорожному:</w:t>
      </w:r>
      <w:r w:rsidR="008127F8">
        <w:rPr>
          <w:rFonts w:ascii="Times New Roman" w:hAnsi="Times New Roman"/>
          <w:color w:val="000000" w:themeColor="text1"/>
          <w:sz w:val="16"/>
          <w:szCs w:val="16"/>
        </w:rPr>
        <w:t xml:space="preserve">  </w:t>
      </w:r>
    </w:p>
    <w:p w14:paraId="7F1CE2FD" w14:textId="3947C4D1"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пересмотреть технологию изготовления радиаторов и ужесточить контроль по их приемке на всех важнейших операциях. Немедленно выслать в армию, по указанию ГАБТУ, 7 комплектов водяных радиаторов </w:t>
      </w:r>
      <w:proofErr w:type="gramStart"/>
      <w:r w:rsidRPr="008127F8">
        <w:rPr>
          <w:rFonts w:ascii="Times New Roman" w:hAnsi="Times New Roman"/>
          <w:color w:val="000000" w:themeColor="text1"/>
          <w:sz w:val="16"/>
          <w:szCs w:val="16"/>
        </w:rPr>
        <w:t>для замены</w:t>
      </w:r>
      <w:proofErr w:type="gramEnd"/>
      <w:r w:rsidRPr="008127F8">
        <w:rPr>
          <w:rFonts w:ascii="Times New Roman" w:hAnsi="Times New Roman"/>
          <w:color w:val="000000" w:themeColor="text1"/>
          <w:sz w:val="16"/>
          <w:szCs w:val="16"/>
        </w:rPr>
        <w:t xml:space="preserve"> вышедших из строя;</w:t>
      </w:r>
      <w:r w:rsidR="008127F8">
        <w:rPr>
          <w:rFonts w:ascii="Times New Roman" w:hAnsi="Times New Roman"/>
          <w:color w:val="000000" w:themeColor="text1"/>
          <w:sz w:val="16"/>
          <w:szCs w:val="16"/>
        </w:rPr>
        <w:t xml:space="preserve">  </w:t>
      </w:r>
    </w:p>
    <w:p w14:paraId="123D09BC" w14:textId="37C78958"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усилить контроль за качеством монтажа трубопроводов всей системы охлаждения двигателя;</w:t>
      </w:r>
      <w:r w:rsidR="008127F8">
        <w:rPr>
          <w:rFonts w:ascii="Times New Roman" w:hAnsi="Times New Roman"/>
          <w:color w:val="000000" w:themeColor="text1"/>
          <w:sz w:val="16"/>
          <w:szCs w:val="16"/>
        </w:rPr>
        <w:t xml:space="preserve">  </w:t>
      </w:r>
    </w:p>
    <w:p w14:paraId="4AAB34A8" w14:textId="22BE38C5"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 25 февраля с.г. отгрузить в армию, по указанию ГАБТУ, взамен выбывших 15 моторов М-17, 2 топливных насоса В-2, 6 масляных баков, 4 дизеля В-2 и 7 комплектов тормозных лент;</w:t>
      </w:r>
      <w:r w:rsidR="008127F8">
        <w:rPr>
          <w:rFonts w:ascii="Times New Roman" w:hAnsi="Times New Roman"/>
          <w:color w:val="000000" w:themeColor="text1"/>
          <w:sz w:val="16"/>
          <w:szCs w:val="16"/>
        </w:rPr>
        <w:t xml:space="preserve">  </w:t>
      </w:r>
    </w:p>
    <w:p w14:paraId="250FF630" w14:textId="4194EAB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установить и привлечь к ответственности виновных в отправке на фронт танков со следующими дефектами: у танков №№ 015, 120, 142, 148, 116, 143, 145, 195, 198, 030, 511, 151, 126 – утечка воды из системы охлаждения вследствие неплотностей и небрежного монтажа, у танков №№ 151 и 097 – течь маслобака, у танка № 136 – тяга привода топливного насоса поставлена с сорванной резьбой, у танка № 614 – не было сделано проводки аварийного света, у танка № 620 – не проворачивалась башня из-за сильной загрязненности погона, у танков № 155 и 027 – течь радиаторов, у танка № 083 – отломан кронштейн люка водителя, у танка № 093 – неисправный масляный манометр и у танка № 286 – течь бензокраников.</w:t>
      </w:r>
      <w:r w:rsidR="008127F8">
        <w:rPr>
          <w:rFonts w:ascii="Times New Roman" w:hAnsi="Times New Roman"/>
          <w:color w:val="000000" w:themeColor="text1"/>
          <w:sz w:val="16"/>
          <w:szCs w:val="16"/>
        </w:rPr>
        <w:t xml:space="preserve">  </w:t>
      </w:r>
    </w:p>
    <w:p w14:paraId="70644B27" w14:textId="0E07C366"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Моему заместителю – т. Котину в 3-х дневный срок внести в инструкции по обслуживанию танков необходимые дополнения и уточнения по обслуживанию и эксплоатации танков в зимнее время и разослать их по частям.</w:t>
      </w:r>
      <w:r w:rsidR="008127F8">
        <w:rPr>
          <w:rFonts w:ascii="Times New Roman" w:hAnsi="Times New Roman"/>
          <w:color w:val="000000" w:themeColor="text1"/>
          <w:sz w:val="16"/>
          <w:szCs w:val="16"/>
        </w:rPr>
        <w:t xml:space="preserve">  </w:t>
      </w:r>
    </w:p>
    <w:p w14:paraId="52A40E74"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Контроль за выполнением настоящего приказа возлагаю на моего заместителя – т. Котина.</w:t>
      </w:r>
    </w:p>
    <w:p w14:paraId="7ACB5892"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6611D079"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5477A07A" w14:textId="597206AE"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133 – 134</w:t>
      </w:r>
      <w:r w:rsidR="008127F8">
        <w:rPr>
          <w:rFonts w:ascii="Times New Roman" w:hAnsi="Times New Roman"/>
          <w:color w:val="000000" w:themeColor="text1"/>
          <w:sz w:val="16"/>
          <w:szCs w:val="16"/>
        </w:rPr>
        <w:t xml:space="preserve">  </w:t>
      </w:r>
    </w:p>
    <w:p w14:paraId="0C543F17" w14:textId="219D9BAC"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1</w:t>
      </w:r>
      <w:r w:rsidR="008127F8">
        <w:rPr>
          <w:rFonts w:ascii="Times New Roman" w:hAnsi="Times New Roman"/>
          <w:color w:val="000000" w:themeColor="text1"/>
          <w:sz w:val="16"/>
          <w:szCs w:val="16"/>
        </w:rPr>
        <w:t xml:space="preserve">  </w:t>
      </w:r>
    </w:p>
    <w:p w14:paraId="170515DF" w14:textId="1845DDE1"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Наркомата Танковой промышленности</w:t>
      </w:r>
      <w:r w:rsidR="008127F8">
        <w:rPr>
          <w:rFonts w:ascii="Times New Roman" w:hAnsi="Times New Roman"/>
          <w:color w:val="000000" w:themeColor="text1"/>
          <w:sz w:val="16"/>
          <w:szCs w:val="16"/>
        </w:rPr>
        <w:t xml:space="preserve">  </w:t>
      </w:r>
    </w:p>
    <w:p w14:paraId="3924CE8C"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___ от "___" _________ 1942 г.</w:t>
      </w:r>
    </w:p>
    <w:p w14:paraId="5414B616"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Танки КВ – Кировский завод.</w:t>
      </w:r>
    </w:p>
    <w:p w14:paraId="399A530B" w14:textId="67C2D20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192 танков, выпущенных в декабре месяце – 11 танков пришли с завода со следующими неисправностями:</w:t>
      </w:r>
      <w:r w:rsidR="008127F8">
        <w:rPr>
          <w:rFonts w:ascii="Times New Roman" w:hAnsi="Times New Roman"/>
          <w:color w:val="000000" w:themeColor="text1"/>
          <w:sz w:val="16"/>
          <w:szCs w:val="16"/>
        </w:rPr>
        <w:t xml:space="preserve">  </w:t>
      </w:r>
    </w:p>
    <w:p w14:paraId="707099CC" w14:textId="7AA32D64"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 танков №№ 7031, 7010, 7012, 7017 лопнули дюритовые шланги маслопровода вследствие того, что шланги были поставлены не маслостойкие, а водяные однослойные;</w:t>
      </w:r>
      <w:r w:rsidR="008127F8">
        <w:rPr>
          <w:rFonts w:ascii="Times New Roman" w:hAnsi="Times New Roman"/>
          <w:color w:val="000000" w:themeColor="text1"/>
          <w:sz w:val="16"/>
          <w:szCs w:val="16"/>
        </w:rPr>
        <w:t xml:space="preserve">  </w:t>
      </w:r>
    </w:p>
    <w:p w14:paraId="2AC907EB" w14:textId="6FB223A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танках №№ 6978, 6941 течь масляных радиаторов;</w:t>
      </w:r>
      <w:r w:rsidR="008127F8">
        <w:rPr>
          <w:rFonts w:ascii="Times New Roman" w:hAnsi="Times New Roman"/>
          <w:color w:val="000000" w:themeColor="text1"/>
          <w:sz w:val="16"/>
          <w:szCs w:val="16"/>
        </w:rPr>
        <w:t xml:space="preserve">  </w:t>
      </w:r>
    </w:p>
    <w:p w14:paraId="7D418FEB" w14:textId="07EEF8F8"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танке 6885 – подтекание спускного краника;</w:t>
      </w:r>
      <w:r w:rsidR="008127F8">
        <w:rPr>
          <w:rFonts w:ascii="Times New Roman" w:hAnsi="Times New Roman"/>
          <w:color w:val="000000" w:themeColor="text1"/>
          <w:sz w:val="16"/>
          <w:szCs w:val="16"/>
        </w:rPr>
        <w:t xml:space="preserve">  </w:t>
      </w:r>
    </w:p>
    <w:p w14:paraId="573B2A7F" w14:textId="12E6524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 танке № 0716 – замерзание воды в нижних патрубках радиатора. Уровень патрубков опущен ниже уровня сливного отверстия;</w:t>
      </w:r>
      <w:r w:rsidR="008127F8">
        <w:rPr>
          <w:rFonts w:ascii="Times New Roman" w:hAnsi="Times New Roman"/>
          <w:color w:val="000000" w:themeColor="text1"/>
          <w:sz w:val="16"/>
          <w:szCs w:val="16"/>
        </w:rPr>
        <w:t xml:space="preserve">  </w:t>
      </w:r>
    </w:p>
    <w:p w14:paraId="13DA3B5B" w14:textId="0EC1698E"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у трех танков №№ 7032, 7034, 6941 – течь межцилиндровых уплотнений.</w:t>
      </w:r>
      <w:r w:rsidR="008127F8">
        <w:rPr>
          <w:rFonts w:ascii="Times New Roman" w:hAnsi="Times New Roman"/>
          <w:color w:val="000000" w:themeColor="text1"/>
          <w:sz w:val="16"/>
          <w:szCs w:val="16"/>
        </w:rPr>
        <w:t xml:space="preserve">  </w:t>
      </w:r>
    </w:p>
    <w:p w14:paraId="3623D725" w14:textId="3C00B558"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w:t>
      </w:r>
      <w:r w:rsidR="008127F8">
        <w:rPr>
          <w:rFonts w:ascii="Times New Roman" w:hAnsi="Times New Roman"/>
          <w:color w:val="000000" w:themeColor="text1"/>
          <w:sz w:val="16"/>
          <w:szCs w:val="16"/>
        </w:rPr>
        <w:t xml:space="preserve">  </w:t>
      </w:r>
    </w:p>
    <w:p w14:paraId="18016C0D" w14:textId="7C041171"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 танков №№ 43633 и 43650 погнулись бандажи опорных катков;</w:t>
      </w:r>
      <w:r w:rsidR="008127F8">
        <w:rPr>
          <w:rFonts w:ascii="Times New Roman" w:hAnsi="Times New Roman"/>
          <w:color w:val="000000" w:themeColor="text1"/>
          <w:sz w:val="16"/>
          <w:szCs w:val="16"/>
        </w:rPr>
        <w:t xml:space="preserve">  </w:t>
      </w:r>
    </w:p>
    <w:p w14:paraId="099AFEC0" w14:textId="71B97A1E"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танк № 43627 пришел с незакрепленным мотором;</w:t>
      </w:r>
      <w:r w:rsidR="008127F8">
        <w:rPr>
          <w:rFonts w:ascii="Times New Roman" w:hAnsi="Times New Roman"/>
          <w:color w:val="000000" w:themeColor="text1"/>
          <w:sz w:val="16"/>
          <w:szCs w:val="16"/>
        </w:rPr>
        <w:t xml:space="preserve">  </w:t>
      </w:r>
    </w:p>
    <w:p w14:paraId="1A2BBEEE" w14:textId="480A0EDA"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 танка № 43736 – течь масла через сальник пробки масляного бака;</w:t>
      </w:r>
      <w:r w:rsidR="008127F8">
        <w:rPr>
          <w:rFonts w:ascii="Times New Roman" w:hAnsi="Times New Roman"/>
          <w:color w:val="000000" w:themeColor="text1"/>
          <w:sz w:val="16"/>
          <w:szCs w:val="16"/>
        </w:rPr>
        <w:t xml:space="preserve">  </w:t>
      </w:r>
    </w:p>
    <w:p w14:paraId="1B486643" w14:textId="2A06802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 танке № 43775 не приварена аккумуляторная стойка;</w:t>
      </w:r>
      <w:r w:rsidR="008127F8">
        <w:rPr>
          <w:rFonts w:ascii="Times New Roman" w:hAnsi="Times New Roman"/>
          <w:color w:val="000000" w:themeColor="text1"/>
          <w:sz w:val="16"/>
          <w:szCs w:val="16"/>
        </w:rPr>
        <w:t xml:space="preserve">  </w:t>
      </w:r>
    </w:p>
    <w:p w14:paraId="4387DBDA" w14:textId="7DF3410A"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 танках №№ 6996, 43617, 43674, 43677 вышли из строя дизельмоторы вследствие проворачивания втулок нижнего вертикального валика, выпадания седел клапанов.</w:t>
      </w:r>
      <w:r w:rsidR="008127F8">
        <w:rPr>
          <w:rFonts w:ascii="Times New Roman" w:hAnsi="Times New Roman"/>
          <w:color w:val="000000" w:themeColor="text1"/>
          <w:sz w:val="16"/>
          <w:szCs w:val="16"/>
        </w:rPr>
        <w:t xml:space="preserve">  </w:t>
      </w:r>
    </w:p>
    <w:p w14:paraId="4E0A06EC" w14:textId="107F8CE8" w:rsidR="00CB3DA7" w:rsidRPr="008127F8" w:rsidRDefault="00CB3DA7"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на 22 рембазу НКО за октябрь 1941 г. – январь 1942 г. поступило 75 танков КВ со следующими дефектами:</w:t>
      </w:r>
      <w:r w:rsidR="008127F8">
        <w:rPr>
          <w:rFonts w:ascii="Times New Roman" w:hAnsi="Times New Roman"/>
          <w:color w:val="000000" w:themeColor="text1"/>
          <w:sz w:val="16"/>
          <w:szCs w:val="16"/>
        </w:rPr>
        <w:t xml:space="preserve">  </w:t>
      </w:r>
    </w:p>
    <w:p w14:paraId="71B86592" w14:textId="19B58999"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16 танков №№ 6772, 6791, 6721, 6770, 6701, 7000, 0793, 6788, 6777, 6798, 6929, 6744, 4931, 6779 6960, 6768 с короблением, сгоранием и задирами дисков главного фрикциона;</w:t>
      </w:r>
      <w:r w:rsidR="008127F8">
        <w:rPr>
          <w:rFonts w:ascii="Times New Roman" w:hAnsi="Times New Roman"/>
          <w:color w:val="000000" w:themeColor="text1"/>
          <w:sz w:val="16"/>
          <w:szCs w:val="16"/>
        </w:rPr>
        <w:t xml:space="preserve">  </w:t>
      </w:r>
    </w:p>
    <w:p w14:paraId="4A1D8A13" w14:textId="319930D3"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12 танков №№ 6908, 6750, 6938, 6752, 6905, 6911, 6932, 6984, 6904, 6927, 6954, 6950 с дефектами коробки перемены передач (разрыв картера, износ зубьев паразитной шестерни и скручивание вала);</w:t>
      </w:r>
      <w:r w:rsidR="008127F8">
        <w:rPr>
          <w:rFonts w:ascii="Times New Roman" w:hAnsi="Times New Roman"/>
          <w:color w:val="000000" w:themeColor="text1"/>
          <w:sz w:val="16"/>
          <w:szCs w:val="16"/>
        </w:rPr>
        <w:t xml:space="preserve">  </w:t>
      </w:r>
    </w:p>
    <w:p w14:paraId="6A46D470" w14:textId="6B1C1A7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7 танков №№ 4821, 6689, 6928, 6750, 6799, 6927, 6779 с короблением дисков, скручиванием вала внутрь барабана, срез ведущего валика бортового фрикциона;</w:t>
      </w:r>
      <w:r w:rsidR="008127F8">
        <w:rPr>
          <w:rFonts w:ascii="Times New Roman" w:hAnsi="Times New Roman"/>
          <w:color w:val="000000" w:themeColor="text1"/>
          <w:sz w:val="16"/>
          <w:szCs w:val="16"/>
        </w:rPr>
        <w:t xml:space="preserve">  </w:t>
      </w:r>
    </w:p>
    <w:p w14:paraId="3A50CF37" w14:textId="5CDD0578"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11 танков №№ 5004, 6922, 41917, 6701, 6912, 6958, 6744, 5006, 6925, 6761, 6746 с неисправными моторами (разрыв шатуна и верхнего картера, расплавление подшипников, выпадение гнезд клапанов, не проворачивается коленчатый вал);</w:t>
      </w:r>
      <w:r w:rsidR="008127F8">
        <w:rPr>
          <w:rFonts w:ascii="Times New Roman" w:hAnsi="Times New Roman"/>
          <w:color w:val="000000" w:themeColor="text1"/>
          <w:sz w:val="16"/>
          <w:szCs w:val="16"/>
        </w:rPr>
        <w:t xml:space="preserve">  </w:t>
      </w:r>
    </w:p>
    <w:p w14:paraId="492A347E" w14:textId="5F0569FF"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29 танков №№ 6754, 6799, 5775, 6901, 6689, 6749, 6730, 6956, 4498, 43606, 4939, 6735, 5001, 4933, 6749, 6931, 5000, 6745, 6746, 6929, 6799, 6919, 6777, 7024, 6763, 6775, 6768, 7006, 6749 с боевыми поражениями (пробоины корпуса и башни, разбита гусеница, сбиты ведущие колеса, ленивцы, верхние и нижние катки, пробит ствол пушки, маски пушки).</w:t>
      </w:r>
      <w:r w:rsidR="008127F8">
        <w:rPr>
          <w:rFonts w:ascii="Times New Roman" w:hAnsi="Times New Roman"/>
          <w:color w:val="000000" w:themeColor="text1"/>
          <w:sz w:val="16"/>
          <w:szCs w:val="16"/>
        </w:rPr>
        <w:t xml:space="preserve">  </w:t>
      </w:r>
    </w:p>
    <w:p w14:paraId="732C927F" w14:textId="048ADB92"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29 танков, имеющие боевые повреждения, составляют лишь 38,6% по отношению к общему числу машин, поступивших в ремонт. Остальные машины вышли из строя вследствие недоброкачественного их изготовления.</w:t>
      </w:r>
      <w:r w:rsidR="008127F8">
        <w:rPr>
          <w:rFonts w:ascii="Times New Roman" w:hAnsi="Times New Roman"/>
          <w:color w:val="000000" w:themeColor="text1"/>
          <w:sz w:val="16"/>
          <w:szCs w:val="16"/>
        </w:rPr>
        <w:t xml:space="preserve">  </w:t>
      </w:r>
    </w:p>
    <w:p w14:paraId="0FFD1258" w14:textId="11B69821"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132</w:t>
      </w:r>
      <w:r w:rsidR="008127F8">
        <w:rPr>
          <w:rFonts w:ascii="Times New Roman" w:hAnsi="Times New Roman"/>
          <w:color w:val="000000" w:themeColor="text1"/>
          <w:sz w:val="16"/>
          <w:szCs w:val="16"/>
        </w:rPr>
        <w:t xml:space="preserve">  </w:t>
      </w:r>
    </w:p>
    <w:p w14:paraId="7AB56559" w14:textId="2EDCE16B"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2</w:t>
      </w:r>
      <w:r w:rsidR="008127F8">
        <w:rPr>
          <w:rFonts w:ascii="Times New Roman" w:hAnsi="Times New Roman"/>
          <w:color w:val="000000" w:themeColor="text1"/>
          <w:sz w:val="16"/>
          <w:szCs w:val="16"/>
        </w:rPr>
        <w:t xml:space="preserve">  </w:t>
      </w:r>
    </w:p>
    <w:p w14:paraId="1BFE0E0E" w14:textId="7A7C9DA2"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Наркомата Танковой промышленности</w:t>
      </w:r>
      <w:r w:rsidR="008127F8">
        <w:rPr>
          <w:rFonts w:ascii="Times New Roman" w:hAnsi="Times New Roman"/>
          <w:color w:val="000000" w:themeColor="text1"/>
          <w:sz w:val="16"/>
          <w:szCs w:val="16"/>
        </w:rPr>
        <w:t xml:space="preserve">  </w:t>
      </w:r>
    </w:p>
    <w:p w14:paraId="7C6DF956"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___ от "___" _________ 1942 г.</w:t>
      </w:r>
    </w:p>
    <w:p w14:paraId="220358AC"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Танки Т-34 – СТЗ.</w:t>
      </w:r>
    </w:p>
    <w:p w14:paraId="756D7ED8" w14:textId="4B29A5C5"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пришедших на формирование в ноябре и декабре месяцах 1941 г. танков с завода СТЗ имели дефекты следующие машины:</w:t>
      </w:r>
      <w:r w:rsidR="008127F8">
        <w:rPr>
          <w:rFonts w:ascii="Times New Roman" w:hAnsi="Times New Roman"/>
          <w:color w:val="000000" w:themeColor="text1"/>
          <w:sz w:val="16"/>
          <w:szCs w:val="16"/>
        </w:rPr>
        <w:t xml:space="preserve">  </w:t>
      </w:r>
    </w:p>
    <w:p w14:paraId="04A825CD" w14:textId="202A2273"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танков №№ 015, 120, 142, 148, 116, 015, 143, 145, 195, 198, 030, 511, 120, 126 – утечка воды из системы охлаждения вследствие не герметичности системы и перегрева двигателя (двигатели все пришлось вынимать и пускать в переборку).</w:t>
      </w:r>
      <w:r w:rsidR="008127F8">
        <w:rPr>
          <w:rFonts w:ascii="Times New Roman" w:hAnsi="Times New Roman"/>
          <w:color w:val="000000" w:themeColor="text1"/>
          <w:sz w:val="16"/>
          <w:szCs w:val="16"/>
        </w:rPr>
        <w:t xml:space="preserve">  </w:t>
      </w:r>
    </w:p>
    <w:p w14:paraId="41BECA5E" w14:textId="214E6C66"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танка №№ 151, 097 – течь маслобака.</w:t>
      </w:r>
      <w:r w:rsidR="008127F8">
        <w:rPr>
          <w:rFonts w:ascii="Times New Roman" w:hAnsi="Times New Roman"/>
          <w:color w:val="000000" w:themeColor="text1"/>
          <w:sz w:val="16"/>
          <w:szCs w:val="16"/>
        </w:rPr>
        <w:t xml:space="preserve">  </w:t>
      </w:r>
    </w:p>
    <w:p w14:paraId="4F664805" w14:textId="3E838E3D"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 № 136 – тяга привода топливного насоса поставлена с сорванной резьбой – мотор при заводке пошел в разнос.</w:t>
      </w:r>
      <w:r w:rsidR="008127F8">
        <w:rPr>
          <w:rFonts w:ascii="Times New Roman" w:hAnsi="Times New Roman"/>
          <w:color w:val="000000" w:themeColor="text1"/>
          <w:sz w:val="16"/>
          <w:szCs w:val="16"/>
        </w:rPr>
        <w:t xml:space="preserve">  </w:t>
      </w:r>
    </w:p>
    <w:p w14:paraId="21E5D9C9" w14:textId="5D0F7379"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 № 614 не имел проводки аварийного света.</w:t>
      </w:r>
      <w:r w:rsidR="008127F8">
        <w:rPr>
          <w:rFonts w:ascii="Times New Roman" w:hAnsi="Times New Roman"/>
          <w:color w:val="000000" w:themeColor="text1"/>
          <w:sz w:val="16"/>
          <w:szCs w:val="16"/>
        </w:rPr>
        <w:t xml:space="preserve">  </w:t>
      </w:r>
    </w:p>
    <w:p w14:paraId="09E0B210" w14:textId="55A5730C"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 № 620 – не проворачивалась башня из-за сильной загрязненности погона.</w:t>
      </w:r>
      <w:r w:rsidR="008127F8">
        <w:rPr>
          <w:rFonts w:ascii="Times New Roman" w:hAnsi="Times New Roman"/>
          <w:color w:val="000000" w:themeColor="text1"/>
          <w:sz w:val="16"/>
          <w:szCs w:val="16"/>
        </w:rPr>
        <w:t xml:space="preserve">  </w:t>
      </w:r>
    </w:p>
    <w:p w14:paraId="0C1BD294" w14:textId="4E436A6A"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месяце 1942 г. – 2 танка Т-34 №№ 155 и 027 пришли с течью радиаторов.</w:t>
      </w:r>
      <w:r w:rsidR="008127F8">
        <w:rPr>
          <w:rFonts w:ascii="Times New Roman" w:hAnsi="Times New Roman"/>
          <w:color w:val="000000" w:themeColor="text1"/>
          <w:sz w:val="16"/>
          <w:szCs w:val="16"/>
        </w:rPr>
        <w:t xml:space="preserve">  </w:t>
      </w:r>
    </w:p>
    <w:p w14:paraId="226A252D" w14:textId="06B6CD1A"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 № 12-134 – течь межцилиндровых уплотнений.</w:t>
      </w:r>
      <w:r w:rsidR="008127F8">
        <w:rPr>
          <w:rFonts w:ascii="Times New Roman" w:hAnsi="Times New Roman"/>
          <w:color w:val="000000" w:themeColor="text1"/>
          <w:sz w:val="16"/>
          <w:szCs w:val="16"/>
        </w:rPr>
        <w:t xml:space="preserve">  </w:t>
      </w:r>
    </w:p>
    <w:p w14:paraId="5D20E5AB" w14:textId="16032CC3"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танка Т-34, выпуска завода № 183 №№ 585-6, 585-5, 6098-5 имеют дефектные коробки перемены передач (трещины в картере и заклинивание шестерен).</w:t>
      </w:r>
      <w:r w:rsidR="008127F8">
        <w:rPr>
          <w:rFonts w:ascii="Times New Roman" w:hAnsi="Times New Roman"/>
          <w:color w:val="000000" w:themeColor="text1"/>
          <w:sz w:val="16"/>
          <w:szCs w:val="16"/>
        </w:rPr>
        <w:t xml:space="preserve">  </w:t>
      </w:r>
    </w:p>
    <w:p w14:paraId="5217C569" w14:textId="77777777" w:rsidR="00CB3DA7" w:rsidRPr="008127F8" w:rsidRDefault="00CB3DA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 Т-34 (СТЗ) № 099 – отказав в работе топливный насос, 1 танк № 083 – отломан кронштейн люка водителя, 1 танк № 093 – отказал в работе манометр масляный, танк № 286 загорелся вследствие течи бензокраников (18432).</w:t>
      </w:r>
    </w:p>
    <w:p w14:paraId="74FD2362" w14:textId="77777777" w:rsidR="00CB3DA7" w:rsidRPr="008127F8" w:rsidRDefault="00CB3DA7" w:rsidP="001E0A84">
      <w:pPr>
        <w:spacing w:after="0" w:line="240" w:lineRule="auto"/>
        <w:jc w:val="both"/>
        <w:rPr>
          <w:rFonts w:ascii="Times New Roman" w:hAnsi="Times New Roman"/>
          <w:color w:val="000000" w:themeColor="text1"/>
          <w:sz w:val="16"/>
          <w:szCs w:val="16"/>
        </w:rPr>
      </w:pPr>
    </w:p>
    <w:p w14:paraId="341AB93F"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февраля 1942 г. Приказ № 192-Мсс наркома танковой промышленности СССР В. А. Малышева об устранении дефектов в танках</w:t>
      </w:r>
    </w:p>
    <w:p w14:paraId="004177F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AA2E1B1"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Срочно.</w:t>
      </w:r>
    </w:p>
    <w:p w14:paraId="05B9234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месяце из армии поступило в наркомат довольно большое количество сигналов и сообщений о наличии в танках крупных и мелких дефектов.</w:t>
      </w:r>
    </w:p>
    <w:p w14:paraId="2A8B8388"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Наиболее важными дефектами у танков КВ являются: разрыв картера коробки перемены передач, износ зубьев паразитной шестерни, коробление дисков главного фрикциона, сгорание дисков феродо, течь масляных радиаторов, постановка вместо дюритовых обычных резиновых шлангов и, как следствие, их разрыв, выход из строя дизелей вследствие выпадания седел клапанов, проворачивания втулок нижнего вертикального валика, течи межцилиндровых уплотнений и прочего.</w:t>
      </w:r>
    </w:p>
    <w:p w14:paraId="4541D458"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дефекты по танкам Т-34: разрушение картеров коробок перемены (главным образом, по танкам производства завода № 183), течь радиаторов, раздутие маслобаков, выход из строя моторов М-17 из-за течи воды в межцилиндровых уплотнениях, переливание бензина в карбюраторах моторов М-17.</w:t>
      </w:r>
    </w:p>
    <w:p w14:paraId="097C08F1"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дефекты говорят о том, что директора и главные инженеры заводов: Кировского, СТЗ, № 183 и № 112 ослабили внимание к качеству изготовления танков, вводят в производство заменители без должной проверки их и не обеспечивают жесткого контроля при сборке и выпуске танков.</w:t>
      </w:r>
    </w:p>
    <w:p w14:paraId="766FB846"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быстрейшего устранения указанных дефектов, улучшения качества танков и усиления контроля приказываю:</w:t>
      </w:r>
    </w:p>
    <w:p w14:paraId="36FD548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заводов: Кировского — т. Махонину, № 183 — т. Зальцману, СТЗ — т. Задорожному и № 112 — т. Михалеву немедленно по получении настоящего приказа совместно с главными инженерами и главными конструкторами разработать конкретные мероприятия по устранению в кратчайшие сроки всех дефектов, указанных в приложениях № 1 и 2. Одновременно установить виновников указанных дефектов и серьезно их наказать, вплоть до предания суду. Копии своих приказов выслать мне без задержки.</w:t>
      </w:r>
    </w:p>
    <w:p w14:paraId="2F9FDB77"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Директорам заводов: Кировского, № 183, 112, 76 и СТЗ немедленно пересмотреть состав работников ОТК на всех важнейших операциях по изготовлению танков (приемка готовых узлов, приемка моторов, приемка радиаторов, сборка танков, обкатка танков, сдача танков), всех негодных6* работников удалить и заменить лучшими инженерами и техниками. В частности, на февраль и март месяцы направить в помощь ОТК конструкторов и технологов-танкистов.</w:t>
      </w:r>
    </w:p>
    <w:p w14:paraId="22B32EB6"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Кировского завода — т. Махонину: а) с 20 февраля с. г. выпускать танки с картером коробки перемены передач, усиленным ребрами; б) ввести с 15 февраля с. г. предварительный контроль качества дисков феродо, не допуская попадания на сборку недоброкачественных дисков; в) проверить всю технологию изготовления радиаторов (водяных и масляных) и ужесточить условия испытания и приемки радиаторов на всех важнейших операциях; г) выслать, по указанию ГАБТУ, до 25 февраля с. г. 160 комплектов дисков феродо для замены на танках, находящихся в армии с недоброкачественными и стальными дисками; д) установить более жесткий контроль за качеством прокладок у двигателя и качеством затяжки шпилек; е) не допускать постановки резиновых однослойных шлангов вместо дюритовых; ж) выслать в армию, по указанию ГАБТУ КА, взамен выбывших из строя, до 20 февраля с. г. 10 дизелей В-2, 23 коробки скоростей и 8 комплектов водяных радиаторов; з) установить и привлечь к ответственности, вплоть до отдачи под суд, виновных в следующих дефектах, обнаруженных в танках: у танков № 7031, 7010, 7012, 7017 — установка вместо дюритовых однослойных резиновых шлангов, у танка № 43627 мотор был не закреплен, у танка № 43736 — течь масла через сальник пробки масляного бака, у танка № 43775 не приварена аккумуляторная стойка, у танка № 0716 уровень патрубков опущен ниже уровня сливного отверстия, у танков № 6996, 43617, 43674, 43677 — проворачивание втулок нижнего вертикального валика и выпадание седел клапанов у дизелей.</w:t>
      </w:r>
    </w:p>
    <w:p w14:paraId="4F13C4B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завода № 183 — т. Зальцману установить строгий контроль за качеством изготовления коробок перемены передач и привлечь к ответственности виновных в постановке недоброкачественных картеров на танки № 585-6, 585-5, 6098-5.</w:t>
      </w:r>
    </w:p>
    <w:p w14:paraId="446EC76C"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Немедленно выслать в армию по указанию ГАБТУ КА 4 коробки перемены передач </w:t>
      </w:r>
      <w:proofErr w:type="gramStart"/>
      <w:r w:rsidRPr="008A2E5A">
        <w:rPr>
          <w:rFonts w:ascii="Times New Roman" w:hAnsi="Times New Roman"/>
          <w:color w:val="0070C0"/>
          <w:sz w:val="16"/>
          <w:szCs w:val="16"/>
        </w:rPr>
        <w:t>для замены</w:t>
      </w:r>
      <w:proofErr w:type="gramEnd"/>
      <w:r w:rsidRPr="008A2E5A">
        <w:rPr>
          <w:rFonts w:ascii="Times New Roman" w:hAnsi="Times New Roman"/>
          <w:color w:val="0070C0"/>
          <w:sz w:val="16"/>
          <w:szCs w:val="16"/>
        </w:rPr>
        <w:t xml:space="preserve"> вышедших из строя.</w:t>
      </w:r>
    </w:p>
    <w:p w14:paraId="68E54862"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СТЗ — т. Задорожному: а) пересмотреть технологию изготовления радиаторов и ужесточить контроль по их приемке на всех важнейших операциях. Немедленно выслать в армию по указанию ГАБТУ 7 комплектов водяных радиаторов для замены вышедших из строя; б) усилить контроль за качеством монтажа трубопроводов всей системы охлаждения двигателя; в) до 25 февраля с. г. отгрузить в армию по указанию ГАБТУ взамен выбывших 15 моторов М-17, 2 топливных насоса В-2, 6 масляных баков, 4 дизеля В-2 и 7 комплектов тормозных лент; г) установить и привлечь к ответственности виновных в отправке на фронт танков со следующими дефектами: у танков № 015, 120, 142, 148, 116, 143, 145, 195, 198, 030, 511, 151, 126 — утечка воды из системы охлаждения вследствие неплотностей и небрежного монтажа, у танков № 151 и 097 — течь маслобака, у танка № 136 — тяга привода топливного насоса поставлена с сорванной резьбой, у танка № 614 — не было сделано проводки аварийного света, у танка № 620 — не проворачивалась башня из-за сильной загрязненности погона, у танков № 155 и 027 — течь радиаторов, у танка № 083 — отломан кронштейн люка водителя, у танка № 093 — неисправный масляный манометр и у танка № 286 — течь бензокраников.</w:t>
      </w:r>
    </w:p>
    <w:p w14:paraId="3F16C2C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Моему заместителю т. Котину в трехдневный срок внести в инструкции по обслуживанию танков необходимые дополнения и уточнения по обслуживанию и эксплуатации танков в зимнее время и разослать их по частям.</w:t>
      </w:r>
    </w:p>
    <w:p w14:paraId="673A0FD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Контроль за выполнением настоящего приказа возлагаю на моего заместителя — т. Котина.</w:t>
      </w:r>
    </w:p>
    <w:p w14:paraId="397ED857"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В. Малышев</w:t>
      </w:r>
    </w:p>
    <w:p w14:paraId="523E59A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8752. Оп. 4. Д. 83. Л. 138-135. Подлинник (24096).</w:t>
      </w:r>
    </w:p>
    <w:p w14:paraId="3D01F931" w14:textId="77777777" w:rsidR="00917E4B" w:rsidRPr="008A2E5A" w:rsidRDefault="00917E4B" w:rsidP="00917E4B">
      <w:pPr>
        <w:spacing w:after="0" w:line="240" w:lineRule="auto"/>
        <w:jc w:val="both"/>
        <w:rPr>
          <w:rFonts w:ascii="Times New Roman" w:hAnsi="Times New Roman"/>
          <w:color w:val="0070C0"/>
          <w:sz w:val="16"/>
          <w:szCs w:val="16"/>
        </w:rPr>
      </w:pPr>
    </w:p>
    <w:p w14:paraId="4B1724E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февраля 1942 года начальник бронетан</w:t>
      </w:r>
      <w:r w:rsidRPr="008A2E5A">
        <w:rPr>
          <w:rFonts w:ascii="Times New Roman" w:hAnsi="Times New Roman"/>
          <w:color w:val="0070C0"/>
          <w:sz w:val="16"/>
          <w:szCs w:val="16"/>
        </w:rPr>
        <w:softHyphen/>
        <w:t>кового управления ГАБТУ КА генерал-май</w:t>
      </w:r>
      <w:r w:rsidRPr="008A2E5A">
        <w:rPr>
          <w:rFonts w:ascii="Times New Roman" w:hAnsi="Times New Roman"/>
          <w:color w:val="0070C0"/>
          <w:sz w:val="16"/>
          <w:szCs w:val="16"/>
        </w:rPr>
        <w:softHyphen/>
        <w:t>ор Б. М. Коробков докладывал своему руко</w:t>
      </w:r>
      <w:r w:rsidRPr="008A2E5A">
        <w:rPr>
          <w:rFonts w:ascii="Times New Roman" w:hAnsi="Times New Roman"/>
          <w:color w:val="0070C0"/>
          <w:sz w:val="16"/>
          <w:szCs w:val="16"/>
        </w:rPr>
        <w:softHyphen/>
        <w:t>водству:</w:t>
      </w:r>
    </w:p>
    <w:p w14:paraId="51EFDF00"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«Группа работников завода № 174 (г. Чка</w:t>
      </w:r>
      <w:r w:rsidRPr="008A2E5A">
        <w:rPr>
          <w:rFonts w:ascii="Times New Roman" w:hAnsi="Times New Roman"/>
          <w:color w:val="0070C0"/>
          <w:sz w:val="16"/>
          <w:szCs w:val="16"/>
        </w:rPr>
        <w:softHyphen/>
        <w:t>лов) подала ряд писем на имя членов Пра</w:t>
      </w:r>
      <w:r w:rsidRPr="008A2E5A">
        <w:rPr>
          <w:rFonts w:ascii="Times New Roman" w:hAnsi="Times New Roman"/>
          <w:color w:val="0070C0"/>
          <w:sz w:val="16"/>
          <w:szCs w:val="16"/>
        </w:rPr>
        <w:softHyphen/>
        <w:t>вительства о том, чтобы пересмотреть По</w:t>
      </w:r>
      <w:r w:rsidRPr="008A2E5A">
        <w:rPr>
          <w:rFonts w:ascii="Times New Roman" w:hAnsi="Times New Roman"/>
          <w:color w:val="0070C0"/>
          <w:sz w:val="16"/>
          <w:szCs w:val="16"/>
        </w:rPr>
        <w:softHyphen/>
        <w:t>становление ГКО от 6.1.42 г. За № 1114сс о прекращении производства заводом маши</w:t>
      </w:r>
      <w:r w:rsidRPr="008A2E5A">
        <w:rPr>
          <w:rFonts w:ascii="Times New Roman" w:hAnsi="Times New Roman"/>
          <w:color w:val="0070C0"/>
          <w:sz w:val="16"/>
          <w:szCs w:val="16"/>
        </w:rPr>
        <w:softHyphen/>
        <w:t>ны Т-50.</w:t>
      </w:r>
    </w:p>
    <w:p w14:paraId="7A4AF377"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Они просят оставить на заводе произ</w:t>
      </w:r>
      <w:r w:rsidRPr="008A2E5A">
        <w:rPr>
          <w:rFonts w:ascii="Times New Roman" w:hAnsi="Times New Roman"/>
          <w:color w:val="0070C0"/>
          <w:sz w:val="16"/>
          <w:szCs w:val="16"/>
        </w:rPr>
        <w:softHyphen/>
        <w:t>водство танка Т-50, сохранив таким обра</w:t>
      </w:r>
      <w:r w:rsidRPr="008A2E5A">
        <w:rPr>
          <w:rFonts w:ascii="Times New Roman" w:hAnsi="Times New Roman"/>
          <w:color w:val="0070C0"/>
          <w:sz w:val="16"/>
          <w:szCs w:val="16"/>
        </w:rPr>
        <w:softHyphen/>
        <w:t>зом машину и соответствующие кадры ра</w:t>
      </w:r>
      <w:r w:rsidRPr="008A2E5A">
        <w:rPr>
          <w:rFonts w:ascii="Times New Roman" w:hAnsi="Times New Roman"/>
          <w:color w:val="0070C0"/>
          <w:sz w:val="16"/>
          <w:szCs w:val="16"/>
        </w:rPr>
        <w:softHyphen/>
        <w:t>ботников.</w:t>
      </w:r>
    </w:p>
    <w:p w14:paraId="286B0EB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Докладываю, что Горьковский Автозавод им. Тов. Молотова изготовил опытный обра</w:t>
      </w:r>
      <w:r w:rsidRPr="008A2E5A">
        <w:rPr>
          <w:rFonts w:ascii="Times New Roman" w:hAnsi="Times New Roman"/>
          <w:color w:val="0070C0"/>
          <w:sz w:val="16"/>
          <w:szCs w:val="16"/>
        </w:rPr>
        <w:softHyphen/>
        <w:t>зец машины Т-70 на базе танка Т-60 с брони</w:t>
      </w:r>
      <w:r w:rsidRPr="008A2E5A">
        <w:rPr>
          <w:rFonts w:ascii="Times New Roman" w:hAnsi="Times New Roman"/>
          <w:color w:val="0070C0"/>
          <w:sz w:val="16"/>
          <w:szCs w:val="16"/>
        </w:rPr>
        <w:softHyphen/>
        <w:t>рованием лобовой части танка и башни тол</w:t>
      </w:r>
      <w:r w:rsidRPr="008A2E5A">
        <w:rPr>
          <w:rFonts w:ascii="Times New Roman" w:hAnsi="Times New Roman"/>
          <w:color w:val="0070C0"/>
          <w:sz w:val="16"/>
          <w:szCs w:val="16"/>
        </w:rPr>
        <w:softHyphen/>
        <w:t>щиной брони в 40-45 мм и вооружением его 45-мм пушкой...</w:t>
      </w:r>
    </w:p>
    <w:p w14:paraId="2E2097A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 Т-50 имеет вооружение 45-мм пуш</w:t>
      </w:r>
      <w:r w:rsidRPr="008A2E5A">
        <w:rPr>
          <w:rFonts w:ascii="Times New Roman" w:hAnsi="Times New Roman"/>
          <w:color w:val="0070C0"/>
          <w:sz w:val="16"/>
          <w:szCs w:val="16"/>
        </w:rPr>
        <w:softHyphen/>
        <w:t>ку и максимальную толщину брони 37 мм. Этих танков изготовлена небольшая партия (50 шт.). Обеспечение этого танка моторами и др. предметами кооперации очень затруд</w:t>
      </w:r>
      <w:r w:rsidRPr="008A2E5A">
        <w:rPr>
          <w:rFonts w:ascii="Times New Roman" w:hAnsi="Times New Roman"/>
          <w:color w:val="0070C0"/>
          <w:sz w:val="16"/>
          <w:szCs w:val="16"/>
        </w:rPr>
        <w:softHyphen/>
        <w:t>нительно. Для массового выпуска этого тан</w:t>
      </w:r>
      <w:r w:rsidRPr="008A2E5A">
        <w:rPr>
          <w:rFonts w:ascii="Times New Roman" w:hAnsi="Times New Roman"/>
          <w:color w:val="0070C0"/>
          <w:sz w:val="16"/>
          <w:szCs w:val="16"/>
        </w:rPr>
        <w:softHyphen/>
        <w:t>ка завод № 174 в гор. Чкалове полностью еще не оснащен.</w:t>
      </w:r>
    </w:p>
    <w:p w14:paraId="33672109"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полагать, что Горьковский Автозавод им. Тов. Молотова, имеющий большие про</w:t>
      </w:r>
      <w:r w:rsidRPr="008A2E5A">
        <w:rPr>
          <w:rFonts w:ascii="Times New Roman" w:hAnsi="Times New Roman"/>
          <w:color w:val="0070C0"/>
          <w:sz w:val="16"/>
          <w:szCs w:val="16"/>
        </w:rPr>
        <w:softHyphen/>
        <w:t>изводственные мощности, сумеет довести машину Т-70 до массового серийного произ</w:t>
      </w:r>
      <w:r w:rsidRPr="008A2E5A">
        <w:rPr>
          <w:rFonts w:ascii="Times New Roman" w:hAnsi="Times New Roman"/>
          <w:color w:val="0070C0"/>
          <w:sz w:val="16"/>
          <w:szCs w:val="16"/>
        </w:rPr>
        <w:softHyphen/>
        <w:t>водства, доработав окончательно машину по</w:t>
      </w:r>
      <w:r w:rsidRPr="008A2E5A">
        <w:rPr>
          <w:rFonts w:ascii="Times New Roman" w:hAnsi="Times New Roman"/>
          <w:color w:val="0070C0"/>
          <w:sz w:val="16"/>
          <w:szCs w:val="16"/>
        </w:rPr>
        <w:softHyphen/>
        <w:t>сле ее испытаний.</w:t>
      </w:r>
    </w:p>
    <w:p w14:paraId="166B2CAA"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таком положении оставлять на произ</w:t>
      </w:r>
      <w:r w:rsidRPr="008A2E5A">
        <w:rPr>
          <w:rFonts w:ascii="Times New Roman" w:hAnsi="Times New Roman"/>
          <w:color w:val="0070C0"/>
          <w:sz w:val="16"/>
          <w:szCs w:val="16"/>
        </w:rPr>
        <w:softHyphen/>
        <w:t>водстве Т-50 и вводить одновременно на во</w:t>
      </w:r>
      <w:r w:rsidRPr="008A2E5A">
        <w:rPr>
          <w:rFonts w:ascii="Times New Roman" w:hAnsi="Times New Roman"/>
          <w:color w:val="0070C0"/>
          <w:sz w:val="16"/>
          <w:szCs w:val="16"/>
        </w:rPr>
        <w:softHyphen/>
        <w:t>оружение танк Т-70 не рационально».</w:t>
      </w:r>
    </w:p>
    <w:p w14:paraId="289D39CB"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вопрос о производстве танка Т-50 был закрыт окончательно.</w:t>
      </w:r>
    </w:p>
    <w:tbl>
      <w:tblPr>
        <w:tblOverlap w:val="never"/>
        <w:tblW w:w="0" w:type="auto"/>
        <w:tblLayout w:type="fixed"/>
        <w:tblCellMar>
          <w:left w:w="10" w:type="dxa"/>
          <w:right w:w="10" w:type="dxa"/>
        </w:tblCellMar>
        <w:tblLook w:val="04A0" w:firstRow="1" w:lastRow="0" w:firstColumn="1" w:lastColumn="0" w:noHBand="0" w:noVBand="1"/>
      </w:tblPr>
      <w:tblGrid>
        <w:gridCol w:w="1843"/>
        <w:gridCol w:w="1848"/>
      </w:tblGrid>
      <w:tr w:rsidR="00917E4B" w:rsidRPr="008A2E5A" w14:paraId="6338A2D1" w14:textId="77777777" w:rsidTr="004C5D62">
        <w:trPr>
          <w:trHeight w:val="754"/>
        </w:trPr>
        <w:tc>
          <w:tcPr>
            <w:tcW w:w="3691" w:type="dxa"/>
            <w:gridSpan w:val="2"/>
            <w:tcBorders>
              <w:top w:val="single" w:sz="4" w:space="0" w:color="auto"/>
              <w:left w:val="single" w:sz="4" w:space="0" w:color="auto"/>
              <w:right w:val="single" w:sz="4" w:space="0" w:color="auto"/>
            </w:tcBorders>
            <w:shd w:val="clear" w:color="auto" w:fill="auto"/>
            <w:vAlign w:val="bottom"/>
          </w:tcPr>
          <w:p w14:paraId="32BEF7E4"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танков Т-50 на заводе № 174 в Ленинграде и Омске (по данным военной приемки).</w:t>
            </w:r>
          </w:p>
        </w:tc>
      </w:tr>
      <w:tr w:rsidR="00917E4B" w:rsidRPr="008A2E5A" w14:paraId="2294093B" w14:textId="77777777" w:rsidTr="004C5D62">
        <w:trPr>
          <w:trHeight w:val="312"/>
        </w:trPr>
        <w:tc>
          <w:tcPr>
            <w:tcW w:w="3691" w:type="dxa"/>
            <w:gridSpan w:val="2"/>
            <w:tcBorders>
              <w:top w:val="single" w:sz="4" w:space="0" w:color="auto"/>
              <w:left w:val="single" w:sz="4" w:space="0" w:color="auto"/>
              <w:right w:val="single" w:sz="4" w:space="0" w:color="auto"/>
            </w:tcBorders>
            <w:shd w:val="clear" w:color="auto" w:fill="auto"/>
            <w:vAlign w:val="bottom"/>
          </w:tcPr>
          <w:p w14:paraId="0ECB2696"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год</w:t>
            </w:r>
          </w:p>
        </w:tc>
      </w:tr>
      <w:tr w:rsidR="00917E4B" w:rsidRPr="008A2E5A" w14:paraId="35165B56" w14:textId="77777777" w:rsidTr="004C5D62">
        <w:trPr>
          <w:trHeight w:val="312"/>
        </w:trPr>
        <w:tc>
          <w:tcPr>
            <w:tcW w:w="1843" w:type="dxa"/>
            <w:tcBorders>
              <w:top w:val="single" w:sz="4" w:space="0" w:color="auto"/>
              <w:left w:val="single" w:sz="4" w:space="0" w:color="auto"/>
            </w:tcBorders>
            <w:shd w:val="clear" w:color="auto" w:fill="auto"/>
            <w:vAlign w:val="bottom"/>
          </w:tcPr>
          <w:p w14:paraId="2432F3E0"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p>
        </w:tc>
        <w:tc>
          <w:tcPr>
            <w:tcW w:w="1848" w:type="dxa"/>
            <w:tcBorders>
              <w:top w:val="single" w:sz="4" w:space="0" w:color="auto"/>
              <w:left w:val="single" w:sz="4" w:space="0" w:color="auto"/>
              <w:right w:val="single" w:sz="4" w:space="0" w:color="auto"/>
            </w:tcBorders>
            <w:shd w:val="clear" w:color="auto" w:fill="auto"/>
            <w:vAlign w:val="bottom"/>
          </w:tcPr>
          <w:p w14:paraId="51C2B13D"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r>
      <w:tr w:rsidR="00917E4B" w:rsidRPr="008A2E5A" w14:paraId="6A30FECD" w14:textId="77777777" w:rsidTr="004C5D62">
        <w:trPr>
          <w:trHeight w:val="312"/>
        </w:trPr>
        <w:tc>
          <w:tcPr>
            <w:tcW w:w="1843" w:type="dxa"/>
            <w:tcBorders>
              <w:top w:val="single" w:sz="4" w:space="0" w:color="auto"/>
              <w:left w:val="single" w:sz="4" w:space="0" w:color="auto"/>
            </w:tcBorders>
            <w:shd w:val="clear" w:color="auto" w:fill="auto"/>
            <w:vAlign w:val="bottom"/>
          </w:tcPr>
          <w:p w14:paraId="35BAB47B"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p>
        </w:tc>
        <w:tc>
          <w:tcPr>
            <w:tcW w:w="1848" w:type="dxa"/>
            <w:tcBorders>
              <w:top w:val="single" w:sz="4" w:space="0" w:color="auto"/>
              <w:left w:val="single" w:sz="4" w:space="0" w:color="auto"/>
              <w:right w:val="single" w:sz="4" w:space="0" w:color="auto"/>
            </w:tcBorders>
            <w:shd w:val="clear" w:color="auto" w:fill="auto"/>
            <w:vAlign w:val="bottom"/>
          </w:tcPr>
          <w:p w14:paraId="56AA9C0A"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r>
      <w:tr w:rsidR="00917E4B" w:rsidRPr="008A2E5A" w14:paraId="3E9BFCEB" w14:textId="77777777" w:rsidTr="004C5D62">
        <w:trPr>
          <w:trHeight w:val="312"/>
        </w:trPr>
        <w:tc>
          <w:tcPr>
            <w:tcW w:w="1843" w:type="dxa"/>
            <w:tcBorders>
              <w:top w:val="single" w:sz="4" w:space="0" w:color="auto"/>
              <w:left w:val="single" w:sz="4" w:space="0" w:color="auto"/>
            </w:tcBorders>
            <w:shd w:val="clear" w:color="auto" w:fill="auto"/>
            <w:vAlign w:val="bottom"/>
          </w:tcPr>
          <w:p w14:paraId="74ABF023"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p>
        </w:tc>
        <w:tc>
          <w:tcPr>
            <w:tcW w:w="1848" w:type="dxa"/>
            <w:tcBorders>
              <w:top w:val="single" w:sz="4" w:space="0" w:color="auto"/>
              <w:left w:val="single" w:sz="4" w:space="0" w:color="auto"/>
              <w:right w:val="single" w:sz="4" w:space="0" w:color="auto"/>
            </w:tcBorders>
            <w:shd w:val="clear" w:color="auto" w:fill="auto"/>
            <w:vAlign w:val="bottom"/>
          </w:tcPr>
          <w:p w14:paraId="03285D9D"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r>
      <w:tr w:rsidR="00917E4B" w:rsidRPr="008A2E5A" w14:paraId="5C278B9D" w14:textId="77777777" w:rsidTr="004C5D62">
        <w:trPr>
          <w:trHeight w:val="312"/>
        </w:trPr>
        <w:tc>
          <w:tcPr>
            <w:tcW w:w="1843" w:type="dxa"/>
            <w:tcBorders>
              <w:top w:val="single" w:sz="4" w:space="0" w:color="auto"/>
              <w:left w:val="single" w:sz="4" w:space="0" w:color="auto"/>
            </w:tcBorders>
            <w:shd w:val="clear" w:color="auto" w:fill="auto"/>
            <w:vAlign w:val="bottom"/>
          </w:tcPr>
          <w:p w14:paraId="014295A6"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Октябрь</w:t>
            </w:r>
          </w:p>
        </w:tc>
        <w:tc>
          <w:tcPr>
            <w:tcW w:w="1848" w:type="dxa"/>
            <w:tcBorders>
              <w:top w:val="single" w:sz="4" w:space="0" w:color="auto"/>
              <w:left w:val="single" w:sz="4" w:space="0" w:color="auto"/>
              <w:right w:val="single" w:sz="4" w:space="0" w:color="auto"/>
            </w:tcBorders>
            <w:shd w:val="clear" w:color="auto" w:fill="auto"/>
            <w:vAlign w:val="bottom"/>
          </w:tcPr>
          <w:p w14:paraId="7273B65A"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917E4B" w:rsidRPr="008A2E5A" w14:paraId="2B5B25C8" w14:textId="77777777" w:rsidTr="004C5D62">
        <w:trPr>
          <w:trHeight w:val="312"/>
        </w:trPr>
        <w:tc>
          <w:tcPr>
            <w:tcW w:w="1843" w:type="dxa"/>
            <w:tcBorders>
              <w:top w:val="single" w:sz="4" w:space="0" w:color="auto"/>
              <w:left w:val="single" w:sz="4" w:space="0" w:color="auto"/>
            </w:tcBorders>
            <w:shd w:val="clear" w:color="auto" w:fill="auto"/>
            <w:vAlign w:val="bottom"/>
          </w:tcPr>
          <w:p w14:paraId="7423E138"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p>
        </w:tc>
        <w:tc>
          <w:tcPr>
            <w:tcW w:w="1848" w:type="dxa"/>
            <w:tcBorders>
              <w:top w:val="single" w:sz="4" w:space="0" w:color="auto"/>
              <w:left w:val="single" w:sz="4" w:space="0" w:color="auto"/>
              <w:right w:val="single" w:sz="4" w:space="0" w:color="auto"/>
            </w:tcBorders>
            <w:shd w:val="clear" w:color="auto" w:fill="auto"/>
            <w:vAlign w:val="bottom"/>
          </w:tcPr>
          <w:p w14:paraId="1F8423B9"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917E4B" w:rsidRPr="008A2E5A" w14:paraId="5C6B6BB2" w14:textId="77777777" w:rsidTr="004C5D62">
        <w:trPr>
          <w:trHeight w:val="312"/>
        </w:trPr>
        <w:tc>
          <w:tcPr>
            <w:tcW w:w="1843" w:type="dxa"/>
            <w:tcBorders>
              <w:top w:val="single" w:sz="4" w:space="0" w:color="auto"/>
              <w:left w:val="single" w:sz="4" w:space="0" w:color="auto"/>
            </w:tcBorders>
            <w:shd w:val="clear" w:color="auto" w:fill="auto"/>
            <w:vAlign w:val="bottom"/>
          </w:tcPr>
          <w:p w14:paraId="62C53EA0"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p>
        </w:tc>
        <w:tc>
          <w:tcPr>
            <w:tcW w:w="1848" w:type="dxa"/>
            <w:tcBorders>
              <w:top w:val="single" w:sz="4" w:space="0" w:color="auto"/>
              <w:left w:val="single" w:sz="4" w:space="0" w:color="auto"/>
              <w:right w:val="single" w:sz="4" w:space="0" w:color="auto"/>
            </w:tcBorders>
            <w:shd w:val="clear" w:color="auto" w:fill="auto"/>
            <w:vAlign w:val="bottom"/>
          </w:tcPr>
          <w:p w14:paraId="44005937"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r>
      <w:tr w:rsidR="00917E4B" w:rsidRPr="008A2E5A" w14:paraId="0A11D366" w14:textId="77777777" w:rsidTr="004C5D62">
        <w:trPr>
          <w:trHeight w:val="312"/>
        </w:trPr>
        <w:tc>
          <w:tcPr>
            <w:tcW w:w="3691" w:type="dxa"/>
            <w:gridSpan w:val="2"/>
            <w:tcBorders>
              <w:top w:val="single" w:sz="4" w:space="0" w:color="auto"/>
              <w:left w:val="single" w:sz="4" w:space="0" w:color="auto"/>
              <w:right w:val="single" w:sz="4" w:space="0" w:color="auto"/>
            </w:tcBorders>
            <w:shd w:val="clear" w:color="auto" w:fill="auto"/>
            <w:vAlign w:val="bottom"/>
          </w:tcPr>
          <w:p w14:paraId="200F67E7"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год</w:t>
            </w:r>
          </w:p>
        </w:tc>
      </w:tr>
      <w:tr w:rsidR="00917E4B" w:rsidRPr="008A2E5A" w14:paraId="5B77FFD2" w14:textId="77777777" w:rsidTr="004C5D62">
        <w:trPr>
          <w:trHeight w:val="312"/>
        </w:trPr>
        <w:tc>
          <w:tcPr>
            <w:tcW w:w="1843" w:type="dxa"/>
            <w:tcBorders>
              <w:top w:val="single" w:sz="4" w:space="0" w:color="auto"/>
              <w:left w:val="single" w:sz="4" w:space="0" w:color="auto"/>
            </w:tcBorders>
            <w:shd w:val="clear" w:color="auto" w:fill="auto"/>
            <w:vAlign w:val="bottom"/>
          </w:tcPr>
          <w:p w14:paraId="68E7B8A8"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Январь</w:t>
            </w:r>
          </w:p>
        </w:tc>
        <w:tc>
          <w:tcPr>
            <w:tcW w:w="1848" w:type="dxa"/>
            <w:tcBorders>
              <w:top w:val="single" w:sz="4" w:space="0" w:color="auto"/>
              <w:left w:val="single" w:sz="4" w:space="0" w:color="auto"/>
              <w:right w:val="single" w:sz="4" w:space="0" w:color="auto"/>
            </w:tcBorders>
            <w:shd w:val="clear" w:color="auto" w:fill="auto"/>
            <w:vAlign w:val="bottom"/>
          </w:tcPr>
          <w:p w14:paraId="1CA4059C"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r>
      <w:tr w:rsidR="00917E4B" w:rsidRPr="008A2E5A" w14:paraId="06FBED88" w14:textId="77777777" w:rsidTr="004C5D62">
        <w:trPr>
          <w:trHeight w:val="312"/>
        </w:trPr>
        <w:tc>
          <w:tcPr>
            <w:tcW w:w="1843" w:type="dxa"/>
            <w:tcBorders>
              <w:top w:val="single" w:sz="4" w:space="0" w:color="auto"/>
              <w:left w:val="single" w:sz="4" w:space="0" w:color="auto"/>
            </w:tcBorders>
            <w:shd w:val="clear" w:color="auto" w:fill="auto"/>
            <w:vAlign w:val="bottom"/>
          </w:tcPr>
          <w:p w14:paraId="259E0670"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w:t>
            </w:r>
          </w:p>
        </w:tc>
        <w:tc>
          <w:tcPr>
            <w:tcW w:w="1848" w:type="dxa"/>
            <w:tcBorders>
              <w:top w:val="single" w:sz="4" w:space="0" w:color="auto"/>
              <w:left w:val="single" w:sz="4" w:space="0" w:color="auto"/>
              <w:right w:val="single" w:sz="4" w:space="0" w:color="auto"/>
            </w:tcBorders>
            <w:shd w:val="clear" w:color="auto" w:fill="auto"/>
            <w:vAlign w:val="bottom"/>
          </w:tcPr>
          <w:p w14:paraId="3A69C6C9"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r>
      <w:tr w:rsidR="00917E4B" w:rsidRPr="008A2E5A" w14:paraId="02507FF3" w14:textId="77777777" w:rsidTr="004C5D62">
        <w:trPr>
          <w:trHeight w:val="322"/>
        </w:trPr>
        <w:tc>
          <w:tcPr>
            <w:tcW w:w="1843" w:type="dxa"/>
            <w:tcBorders>
              <w:top w:val="single" w:sz="4" w:space="0" w:color="auto"/>
              <w:left w:val="single" w:sz="4" w:space="0" w:color="auto"/>
              <w:bottom w:val="single" w:sz="4" w:space="0" w:color="auto"/>
            </w:tcBorders>
            <w:shd w:val="clear" w:color="auto" w:fill="auto"/>
            <w:vAlign w:val="center"/>
          </w:tcPr>
          <w:p w14:paraId="09D42C16"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c>
          <w:tcPr>
            <w:tcW w:w="1848" w:type="dxa"/>
            <w:tcBorders>
              <w:top w:val="single" w:sz="4" w:space="0" w:color="auto"/>
              <w:left w:val="single" w:sz="4" w:space="0" w:color="auto"/>
              <w:bottom w:val="single" w:sz="4" w:space="0" w:color="auto"/>
              <w:right w:val="single" w:sz="4" w:space="0" w:color="auto"/>
            </w:tcBorders>
            <w:shd w:val="clear" w:color="auto" w:fill="auto"/>
            <w:vAlign w:val="center"/>
          </w:tcPr>
          <w:p w14:paraId="2BAC0BE1" w14:textId="77777777" w:rsidR="00917E4B" w:rsidRPr="008A2E5A" w:rsidRDefault="00917E4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w:t>
            </w:r>
          </w:p>
        </w:tc>
      </w:tr>
    </w:tbl>
    <w:p w14:paraId="65492C25" w14:textId="77777777" w:rsidR="00917E4B" w:rsidRPr="008A2E5A" w:rsidRDefault="00917E4B" w:rsidP="00917E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(23380).</w:t>
      </w:r>
    </w:p>
    <w:p w14:paraId="432F815A" w14:textId="77777777" w:rsidR="00917E4B" w:rsidRPr="008A2E5A" w:rsidRDefault="00917E4B" w:rsidP="00917E4B">
      <w:pPr>
        <w:spacing w:after="0" w:line="240" w:lineRule="auto"/>
        <w:jc w:val="both"/>
        <w:rPr>
          <w:rFonts w:ascii="Times New Roman" w:hAnsi="Times New Roman"/>
          <w:color w:val="0070C0"/>
          <w:sz w:val="16"/>
          <w:szCs w:val="16"/>
        </w:rPr>
      </w:pPr>
    </w:p>
    <w:p w14:paraId="2E43696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Постановление ГКО № 1270 [О назначении Володина Н.В. уполномоченным ГКО по Саратовскому подшипниковому заводу, Лимно Ф.К. - по Куйбышевскому подшипниковому заводу.] (7022, 38).</w:t>
      </w:r>
    </w:p>
    <w:p w14:paraId="6B305A21"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FE948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Постановление ГКО № 1271 [О возложении контроля за выполнением решений ГКО по производству черных и цветных металлов, нефти, угля и химикатов на Вознесенского Н.А., по производству вооружений и боеприпасов - на Берия л. П.] (7022, 39).</w:t>
      </w:r>
    </w:p>
    <w:p w14:paraId="1994F8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 ВОЗЛОЖЕНИИ КОНТРОЛЯ ЗА ВЫПОЛНЕНИЕМ РЕШЕНИЙ ГКО ПО ПРОИЗВОДСТВУ ЧЕРНЫХ И ЦВЕТНЫХ МЕТАЛЛОВ, НЕФТИ, УГЛЯ И ХИМИКАТОВ НА ВОЗНЕСЕНСКОГО Н.А., ПО ПРОИЗВОДСТВУ ВООРУЖЕНИЙ И БОЕПРИПАСОВ - НА БЕРИЯ Л.П.]</w:t>
      </w:r>
    </w:p>
    <w:p w14:paraId="0313F0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частичное изменение постановления ГОКО от 4 февраля 1942 года поручить:</w:t>
      </w:r>
    </w:p>
    <w:p w14:paraId="2F0F11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ВОЗНЕСЕНСКОМУ Н. А. Контроль за выполнением решений ГКО по производству черных и цветных металлов, нефти, угля и химикатов и подготовку соответствующих вопросов.</w:t>
      </w:r>
    </w:p>
    <w:p w14:paraId="7030DDF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БЕРИЯ Л. П. Контроль за выполнением решений ГКО по производству вооружения и боеприпасов и подготовку соответствующих вопросов.</w:t>
      </w:r>
    </w:p>
    <w:p w14:paraId="1DC118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заместителем члена ГОКО т. Вознесенского Н. А. по химической и топливной промышленности т. Первухина М. Г.</w:t>
      </w:r>
    </w:p>
    <w:p w14:paraId="13DBFF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w:t>
      </w:r>
    </w:p>
    <w:p w14:paraId="79D2D3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Комитета Обороны</w:t>
      </w:r>
    </w:p>
    <w:p w14:paraId="281B1F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338F5B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РГАСПИ Ф. 644 Оп. 1 Д.21, л.39 (12013)</w:t>
      </w:r>
    </w:p>
    <w:p w14:paraId="1DB9DF7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BF8F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февраля 1942г. по приказу НКЭП от в Подольске на месте эвакуированного завода «Винилпровод» организован филиал московского завода «Электропровод» (Завод № 198 НКЭП, Завод «Электропровод» НКЭП /г. Москва Николоямской </w:t>
      </w:r>
      <w:proofErr w:type="gramStart"/>
      <w:r w:rsidRPr="008127F8">
        <w:rPr>
          <w:rFonts w:ascii="Times New Roman" w:hAnsi="Times New Roman"/>
          <w:color w:val="000000" w:themeColor="text1"/>
          <w:sz w:val="16"/>
          <w:szCs w:val="16"/>
        </w:rPr>
        <w:t>туп./</w:t>
      </w:r>
      <w:proofErr w:type="gramEnd"/>
      <w:r w:rsidRPr="008127F8">
        <w:rPr>
          <w:rFonts w:ascii="Times New Roman" w:hAnsi="Times New Roman"/>
          <w:color w:val="000000" w:themeColor="text1"/>
          <w:sz w:val="16"/>
          <w:szCs w:val="16"/>
        </w:rPr>
        <w:t>) (с 1947г. - самостоятельный завод № 683).</w:t>
      </w:r>
    </w:p>
    <w:p w14:paraId="15E7B0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«Электропровод» был в 1975г.</w:t>
      </w:r>
    </w:p>
    <w:p w14:paraId="7468B4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(12.1941г.)- Л.И. Бершадский.</w:t>
      </w:r>
    </w:p>
    <w:p w14:paraId="6FDD5C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(12.1941г.)- Г.К. Русецкий.</w:t>
      </w:r>
    </w:p>
    <w:p w14:paraId="1A293A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(12.1941г.)- Г.К. Русецкий (11982).</w:t>
      </w:r>
    </w:p>
    <w:p w14:paraId="3AB9EBB4" w14:textId="77777777" w:rsidR="006E7458" w:rsidRPr="008127F8" w:rsidRDefault="006E74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436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г. по приказу НКЭП в Подольске на месте эвакуированного завода «Винилпровод» организован филиал московского завода «Электропровод», которому поставлена задача в кратчайшие сроки освоить выпуск проводов в пластмассовой изоляции.</w:t>
      </w:r>
    </w:p>
    <w:p w14:paraId="15F5EB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12.1947 г. преобразован в ГС завод № 683, в 1949 г. получил наименование «п/я 60». В 06.1954 г. переименован в ГС завод «Подольсккабель», в 1971 г.- в ведении МЭТП. В соответствии с ПСМ РСФСР № 618 от 22.11.1971 г. завод переименован в «Подольский кабельный завод им. Клемента Готвальда».</w:t>
      </w:r>
    </w:p>
    <w:p w14:paraId="166B4C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Указом Президента № 1115 осенью 1992 г. завод был акционирован и преобразован в АООТ, затем- ОАО. 29.05.2000 г. ОАО было преобразовано в ЗАО «НП «Подольсккабель».</w:t>
      </w:r>
    </w:p>
    <w:p w14:paraId="2D5689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(1941-42 г.)- Н.В. Горелкин, (1942-51 г.)- Л.Я. Фарбер, (1951-52 г.)- Б.В. Хохлов, (1952-54 г.)- В.И. Кушевский, (1954-57 г.)- В.Д. Кузнецов, (1957-70 г.)- И.П. Алешин, (1970-99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Товмасян. Гендиректор (1999- 2005 г.-)- Н.И. Громов.</w:t>
      </w:r>
    </w:p>
    <w:p w14:paraId="6BF553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«Винилпровод» НКЭП /г. Подольск Московской обл./</w:t>
      </w:r>
    </w:p>
    <w:p w14:paraId="3D8429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на месте будущего кабельного завода начало строиться в 1915 г.</w:t>
      </w:r>
    </w:p>
    <w:p w14:paraId="123828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НКЭП № 132 от 9.07.1941 г. на базе бывшей артели «Технохимжирработник» образован завод «Винилпровод» в ведении Главкабеля НКЭП. На небольшом участке площадью около 100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был установлен шприц-пресс с охладительной ванной и приемоотдающим устройством, и начато изготовление проводов.</w:t>
      </w:r>
    </w:p>
    <w:p w14:paraId="0F7987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Совета по эвакуации № 5436 от 14.08.1941 г. завод «Винилпровод» НКЭП эвакуирован в Уфу, размещен в здании универмага по ул. Ленина и на стадионе «Динамо» и влит в состав Уфимского кабельного завода (11982).</w:t>
      </w:r>
    </w:p>
    <w:p w14:paraId="445EEC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C21D7" w14:textId="77777777" w:rsidR="00ED7D77"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8CADCBE" w14:textId="77777777" w:rsidR="00ED7D77" w:rsidRPr="008127F8" w:rsidRDefault="00ED7D77"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3423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4B90D02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12 февраля наши войска продолжали вести активные боевые действия против немецко-фашистских войск.</w:t>
      </w:r>
    </w:p>
    <w:p w14:paraId="0D8DAE7A"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командой тов. Кученева (Западный фронт) захватила вражеский обоз, состоявший из 400 подвод, гружённых различным воинским имуществом. Несколько десятков солдат и офицеров, сопровождавших обоз, взято в плен. На другом участке фронта бойцы части, которой командует тов. Исаков, выбили немцев из деревни Л. и захватила 5 противотанковых орудий, 8 пулемётов и 4 миномёта.</w:t>
      </w:r>
    </w:p>
    <w:p w14:paraId="0F6B370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сапёр под командованием лейтенанта А.Чернявского, обеспечивая наступательные операции нашей стрелковой части, за несколько дней обнаружило и обезвредило около 1.000 немецких мин и 56 фугасов.</w:t>
      </w:r>
    </w:p>
    <w:p w14:paraId="1F2B67B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политрука Крючков первым ворвался в деревню Воиново и уничтожил огнём ручного пулемёта и гранатами 17 вражеских солдат.</w:t>
      </w:r>
    </w:p>
    <w:p w14:paraId="5F37366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разведывательная группа в составе трёх бойцов во главе с лейтенантом Носовым встретилась с разведкой противника. Советские разведчики перебили 17 белофиннов и захватили трофеи.</w:t>
      </w:r>
    </w:p>
    <w:p w14:paraId="642E82C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Г., действующий в одном из районов Смоленской области, занятых немцами, напав на продвигавшуюся к линии фронта вражескую колонну, уничтожил 40 солдат, 3 офицеров и 8 жандармов. Партизаны захватили 20 грузовых автомашин с винтовками и боеприпасами, зенитную установку и расположенный в соседнем населённом пункте немецкий продовольственный склад.</w:t>
      </w:r>
    </w:p>
    <w:p w14:paraId="675BEE1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Гельмута Мершера найдено неотправленное письмо к родителям. Вот что он писал: «Партизаны, скрывающиеся в лесах, наносят нам большие потери. Много солдат, стоящих на посту, погибло от рук партизан. Некоторые ранены. Среди них и наш командир отделения... У нас за последнее время повелось так: едва только мы успеваем закончить строительство укреплений и блиндажей — уже приходится отступать».</w:t>
      </w:r>
    </w:p>
    <w:p w14:paraId="4CC92A5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371 полка 161 немецкой пехотной дивизии Ульрих Вернер рассказал: «В нашей роте осталось только 16 человек. От всего состава 2 батальона уцелели 43 человека. Наш полк потерял свыше 90 процентов личного состава».</w:t>
      </w:r>
    </w:p>
    <w:p w14:paraId="5C692FFA"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ныне освобождённого от немцев села Богородское, Можайского района, М.И.Ушакова, В.Е.Егорова и И.И.Ушаков рассказали: «В нашем селе гитлеровские бандиты захватили 7 раненых красноармейцев, много часов избивали их шомполами, а потом расстреляли».</w:t>
      </w:r>
    </w:p>
    <w:p w14:paraId="4A627FC2"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предприятиях Бельгии, работающих на немецких оккупантов, в результате голода, а также рабских условий труда с каждым днём увеличивается количество несчастных случаев. На машиностроительном заводе в Брюсселе в январе было 157 несчастных случаев, из них 25 со смертельным исходом. Производительность труда на этом заводе, вырабатывающем вооружение для немецкой армии, в январе текущего года снизилась по сравнению с декабрём 1941 года на 12 процентов.</w:t>
      </w:r>
    </w:p>
    <w:p w14:paraId="3FCC0B92"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Машинисты Бакинского железнодорожного узла тт. Аббасов и Агаев сэкономили за один месяц 21.000 килограммов горючего.» (15038).</w:t>
      </w:r>
    </w:p>
    <w:p w14:paraId="11E4AE91"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0D09B1F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47FC260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февраля наши войска вели упорные бои с противником, продвинулись вперёд и заняли несколько населённых пунктов. Немецкие войска несут тяжёлые потери в технике и особенно в живой силе.</w:t>
      </w:r>
    </w:p>
    <w:p w14:paraId="2F4C566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февраля сбито в воздушных боях 13 и уничтожено на аэродромах 4 немецких самолёта. Всего за этот день уничтожено 17 самолётов противника. Наши потери — 8 самолётов.</w:t>
      </w:r>
    </w:p>
    <w:p w14:paraId="1E9A8DA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февраля частями нашей авиации уничтожено и повреждено 6 немецких танков, 3 полевых орудия, 260 автомашин с войсками и грузами, 225 повозок с боеприпасами, 2 зенитно-пулемётные точки, подожжён один железнодорожный эшелон, разбито 13 железнодорожных вагонов и две цистерны, рассеяно и частью уничтожено три батальона пехоты противника.</w:t>
      </w:r>
    </w:p>
    <w:p w14:paraId="2A39CF6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Кавалеристы-гвардейцы части, которой командует тов. Плиев (Западный фронт), ворвавшись в сильно укреплённый район противника, овладели рядом вражеских блиндажей и захватили немецкое орудие и 4 пулемёта. На другом участке фронта бойцы подразделения тов. Степанова выбили немцев из двух населённых пунктов. Противник потерял убитыми 130 солдат и офицеров.</w:t>
      </w:r>
    </w:p>
    <w:p w14:paraId="06D7A7E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Наши части, действующие на одном из участков Южного фронта, заняли два </w:t>
      </w:r>
      <w:proofErr w:type="gramStart"/>
      <w:r w:rsidRPr="008127F8">
        <w:rPr>
          <w:rFonts w:ascii="Times New Roman" w:hAnsi="Times New Roman"/>
          <w:color w:val="000000" w:themeColor="text1"/>
          <w:sz w:val="16"/>
          <w:szCs w:val="16"/>
        </w:rPr>
        <w:t>на- селённых</w:t>
      </w:r>
      <w:proofErr w:type="gramEnd"/>
      <w:r w:rsidRPr="008127F8">
        <w:rPr>
          <w:rFonts w:ascii="Times New Roman" w:hAnsi="Times New Roman"/>
          <w:color w:val="000000" w:themeColor="text1"/>
          <w:sz w:val="16"/>
          <w:szCs w:val="16"/>
        </w:rPr>
        <w:t xml:space="preserve"> пункта. В бою за один населённый пункт противник силой до двух батальонов пехоты при поддержке 20 танков пытался контратаковать наши части, но был отброшен с большими для него потерями. Нашими войсками захвачены 12 орудий, 12 миномётов, 59 автомашин, 43 повозки с боеприпасами и уничтожено 3 танка. На поле боя осталось около 1.000 трупов немецких солдат и офицеров.</w:t>
      </w:r>
    </w:p>
    <w:p w14:paraId="1A50DC7A"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Красноармейцы-лыжники подразделения лейтенанта Погонина зашли в тыл отступающей вражеской части и отрезали ей пути отхода. Все попытки немцев выйти из окружения были отбиты. Отважные лыжники уничтожили более 100 вражеских солдат и офицеров. Большая группа немцев сдалась в плен.</w:t>
      </w:r>
    </w:p>
    <w:p w14:paraId="2B26F77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М., действующий в одном из районов Сталинской области, обстрелял из засады итальянское пехотное подразделение. Оставив на поле боя 20 убитых, оккупанты бежали. Партизаны подобрали 15 винтовок, пулемёт и более 1.000 патронов. Через несколько дней бойцы этого же отряда забросали гранатами итальянский обоз и уничтожили 6 подвод с боеприпасами. Потери итальянцев - 12 убитых солдат.</w:t>
      </w:r>
    </w:p>
    <w:p w14:paraId="10F013C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5 роты 506 полка 291 немецкой пехотной дивизии Альфред Фортанц рассказал: «В связи, с отступлением немецких войск всюду чувствуется растерянность, царит неразбериха. Приказы поступают самые противоречивые, командиры не знают, что делать. Наш полк всё время в боях. Мы истекаем кровью. С октября месяца наша рота, получавшая неоднократно подкрепления, потеряла 250 человек. Солдаты мечтают получить так называемый «хейматшусс» — «выстрел на родину», т. е. лёгкое ранение. Солдаты передают друг другу следующее заявление командира 6 роты лейтенанта Кау, сделанное им майору: «Бессмысленно продолжать войну, имея такие потери».</w:t>
      </w:r>
    </w:p>
    <w:p w14:paraId="65329B3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Захваченный в плен на Южном фронте фельдфебель 4 роты 369 полка 100 пехотной немецкой дивизии Иоганн Маленица показал: «369 полк состоит из молодых хорватов, насильно мобилизованных немецкими и хорватскими гитлеровцами. Численный состав полка сильно сократился ещё до того, как он был введён в бой. Многие солдаты обморозили себе руки и ноги. В 4 роте из 202 человек осталось только 110. Хорваты не желают проливать кровь за немцев. Из нашей роты уже дезертировало 20 человек».</w:t>
      </w:r>
    </w:p>
    <w:p w14:paraId="61789CF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ныне освобождённого от немцев села Борисова, Можайского района, составили акт о чудовищных преступлениях фашистских оккупантов. Гитлеровцы расстреляли 23 колхозника и 58-летнего сельского врача С.А.Припускова. В числе расстрелянных: 60-летний председатель колхоза Н.П.Перфильев и его 15-летний сын Виктор, 62-летний почтальон И.Д.Шурупов, 70-летний колхозник С.К.Потков, 60-летний инвалид Н.И.Новосёлов и другие престарелые граждане.</w:t>
      </w:r>
    </w:p>
    <w:p w14:paraId="6B2A745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текстильных фабриках в городе и районе Хемница (Германия) в связи с нехваткой рабочей силы стал широко применяться детский труд. 11 — 13-летних подростков предприниматели заставляют работать по 12 часов в день.» (15038).</w:t>
      </w:r>
    </w:p>
    <w:p w14:paraId="56BEFC4F"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77E24B85" w14:textId="77777777" w:rsidR="00ED7D77" w:rsidRPr="008127F8" w:rsidRDefault="00ED7D77"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12 февраля</w:t>
      </w:r>
      <w:r w:rsidRPr="008127F8">
        <w:rPr>
          <w:rFonts w:ascii="Times New Roman" w:hAnsi="Times New Roman"/>
          <w:color w:val="000000" w:themeColor="text1"/>
          <w:sz w:val="16"/>
          <w:szCs w:val="16"/>
        </w:rPr>
        <w:t xml:space="preserve"> в 1942 году в Улемисте организовано эстонское авиационное подразделение </w:t>
      </w:r>
      <w:hyperlink r:id="rId54" w:tgtFrame="_blank" w:history="1">
        <w:r w:rsidRPr="008127F8">
          <w:rPr>
            <w:rFonts w:ascii="Times New Roman" w:hAnsi="Times New Roman"/>
            <w:color w:val="000000" w:themeColor="text1"/>
            <w:sz w:val="16"/>
            <w:szCs w:val="16"/>
          </w:rPr>
          <w:t xml:space="preserve">«Sonderstaffel Buschmann», </w:t>
        </w:r>
      </w:hyperlink>
      <w:r w:rsidRPr="008127F8">
        <w:rPr>
          <w:rFonts w:ascii="Times New Roman" w:hAnsi="Times New Roman"/>
          <w:color w:val="000000" w:themeColor="text1"/>
          <w:sz w:val="16"/>
          <w:szCs w:val="16"/>
        </w:rPr>
        <w:t>входившее в состав Luftwaffe. Однако после создания степень подчинения оказалась весьма своеобразной: подразделение было частью Кригсмарине, но оперативно подчинялось командованию 1-го Воздушного флота Люфтваффе, а довольствие личный состав получал из фондов СС (как "специальное полицейское подразделение")!!! Часть получила код SB+_ и первые вылеты совершило на патрулирование Финского залива. На вооружении состояли весьма пестрые машины:</w:t>
      </w:r>
    </w:p>
    <w:p w14:paraId="3F7831F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«SV-5» (из партии из 10 машин, построенных в Латвии до войны по бельгийской лицензии);</w:t>
      </w:r>
    </w:p>
    <w:p w14:paraId="0120B18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носили форму старой эстонской армии или гражданскую одежду с эстонскими нашивками, а обозначение самолетов никак не отличалось от принятых в Люфтваффе (единственно, что было позволено, так как это раскрасить коки в цвета эстонского флага) (15038).</w:t>
      </w:r>
    </w:p>
    <w:p w14:paraId="5E46A297"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56D856F1"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состоянию на 12 февраля 1942 года еще два «арт-танка СУ» имелось в составе 1-го батальона 122-й танковой бригады. На следующий день батальон штурмовал южную окраину Погостья, в ходе боя одна самоходная установка оказалась потеряна. Оставшаяся машина активно использовалась в боевых операциях батальона.</w:t>
      </w:r>
    </w:p>
    <w:p w14:paraId="448C49EC"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 марта, согласно распоряжению командующего 54-й армии, танковый батальон получил пополнение, в том числе еще одну самоходную установку. Судя по всему, машина прибыла из 124-й танковой бригады. Сама 124-я тбр в ходе боев под Виняголово потеряла две самоходных установки на базе Т-26, в том числе одну ЗСУ. В ходе атаки 122-й танковой бригады 9 марта одна САУ оказалась подбитой, ее оттащили на сборный пункт аварийных машин (СПАМ).</w:t>
      </w:r>
    </w:p>
    <w:p w14:paraId="54FCAB90"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Оставшаяся в строю машина активно участвовала в боях в районе урочище Кондуя и деревни Смердыня. Согласно журналу боевых действий, 30 марта в боевой группе находилось уже две «СУ», то есть подбитую 9 марта машину вернули в строй. 2 апреля обе самоходные установки отправились в ремонт, который осуществлялся на СПАМе силами бригады. Повреждения оказались незначительными — к концу следующего дня машины снова находились в строю. 7 апреля 122-я танковая бригада поддерживала наступление 115-й стрелковой дивизии, а 17 числа ее вывели из района боевых действий (17674).</w:t>
      </w:r>
    </w:p>
    <w:p w14:paraId="7C4EA26E"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BA3E1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6EDA4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D02EC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вышло Распоряжение ГКО № 1275 [О плане размещения эвакогоспиталей в Куйбышевской обл. во изменение постановления ГКО № 1236 от 3 февраля 1942 г.] (7022, 44).</w:t>
      </w:r>
    </w:p>
    <w:p w14:paraId="4E9EDCFC"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9089F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70A6B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67C33"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было сбито шесть флотских самолетов Fairey Swordfish; их командир, лейтенант-коммандер Юджин Эсмонд получает посмертный Крест Виктории за атаку (20793).</w:t>
      </w:r>
    </w:p>
    <w:p w14:paraId="68B75E15"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5DA13640"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Военно-воздушные силы армии США задействуют десятые воздушные силы для службы в Китае, Бирме и Индии (20793).</w:t>
      </w:r>
    </w:p>
    <w:p w14:paraId="0CAB214D"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1C29379B"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немецкие пикирующие бомбардировщики топят британский эсминец HMS Maori на Мальте (20793).</w:t>
      </w:r>
    </w:p>
    <w:p w14:paraId="7446E45C"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55CED1B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февраля</w:t>
      </w:r>
      <w:r w:rsidRPr="008127F8">
        <w:rPr>
          <w:rFonts w:ascii="Times New Roman" w:hAnsi="Times New Roman"/>
          <w:color w:val="000000" w:themeColor="text1"/>
          <w:sz w:val="16"/>
          <w:szCs w:val="16"/>
        </w:rPr>
        <w:t xml:space="preserve"> в 1942 году подводная лодка "Сюркуф" выходит в море (с одним неисправным двигателем) под командой Луи Безона, и с этого момента сообщений от нее не поступит (15038).</w:t>
      </w:r>
    </w:p>
    <w:p w14:paraId="7A50C427"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078208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12 1942 German is declared the official language in all occupied eastern territories (1224).</w:t>
      </w:r>
    </w:p>
    <w:p w14:paraId="228BF0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A8C4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1942 немецкий был объявлен официальным языком на всех оккупированных территориях (2245,2).</w:t>
      </w:r>
    </w:p>
    <w:p w14:paraId="7E74D0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B32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12, 1942: Protected by a constant umbrella of Luftwaffe fighters and smaller naval units, the battleships Scharnhorst and Gneisenau and the cruiser Prinz Eugen make a dash from Brest up the English Channel, passing the Straits of Dover and and reaching ports in Germany (Unternehmen Cerberus). Taken by complete surprise, the British Navy and Air force are unable to stop the operation, losing a considerable number of planes and naval vessels in the attempt (3819).</w:t>
      </w:r>
    </w:p>
    <w:p w14:paraId="2B474D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66F2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(11 - 2261) февраля 1942 2 немецких линкора Scharnhorst и Gneisenau, тяжелый крейсер Prinz Eugen, 6 эсминцев и 3 миноносца смогли вырваться из Бреста и по Ла-Маншу перешли в Германию (1037). Операция шла с 11 до 13 февраля и успех был вызван плохой разведкой (2443,56).</w:t>
      </w:r>
    </w:p>
    <w:p w14:paraId="2D64DC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9DB2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февраля</w:t>
      </w:r>
      <w:r w:rsidRPr="008127F8">
        <w:rPr>
          <w:rFonts w:ascii="Times New Roman" w:hAnsi="Times New Roman"/>
          <w:color w:val="000000" w:themeColor="text1"/>
          <w:sz w:val="16"/>
          <w:szCs w:val="16"/>
        </w:rPr>
        <w:t xml:space="preserve"> в 1942 году немецкие линкоры прошли в Северное море из Бреста (15038).</w:t>
      </w:r>
    </w:p>
    <w:p w14:paraId="250A3E6B"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15094605"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FCFFB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69E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был подготовлен и направлен с письмом N 1736 Ориентировочный расчет дальности Ил-2 с АМ-38:</w:t>
      </w:r>
    </w:p>
    <w:p w14:paraId="782769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на высоте 100 м</w:t>
      </w:r>
    </w:p>
    <w:p w14:paraId="1AFE81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- 1500 нр</w:t>
      </w:r>
    </w:p>
    <w:p w14:paraId="30B88B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Удельный расход на номинале - 315 г/л.с./час</w:t>
      </w:r>
    </w:p>
    <w:p w14:paraId="32D89A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горючего - 530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6F4095" w:rsidRPr="008127F8" w14:paraId="2F3E7DC3" w14:textId="77777777">
        <w:tc>
          <w:tcPr>
            <w:tcW w:w="1878" w:type="dxa"/>
            <w:tcBorders>
              <w:top w:val="single" w:sz="12" w:space="0" w:color="auto"/>
            </w:tcBorders>
          </w:tcPr>
          <w:p w14:paraId="3AAC2E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Borders>
              <w:top w:val="single" w:sz="12" w:space="0" w:color="auto"/>
            </w:tcBorders>
          </w:tcPr>
          <w:p w14:paraId="7A9192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w:t>
            </w:r>
          </w:p>
        </w:tc>
        <w:tc>
          <w:tcPr>
            <w:tcW w:w="1878" w:type="dxa"/>
            <w:tcBorders>
              <w:top w:val="single" w:sz="12" w:space="0" w:color="auto"/>
            </w:tcBorders>
          </w:tcPr>
          <w:p w14:paraId="3DADB5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w:t>
            </w:r>
          </w:p>
        </w:tc>
        <w:tc>
          <w:tcPr>
            <w:tcW w:w="1878" w:type="dxa"/>
            <w:tcBorders>
              <w:top w:val="single" w:sz="12" w:space="0" w:color="auto"/>
            </w:tcBorders>
          </w:tcPr>
          <w:p w14:paraId="4C1605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0.75</w:t>
            </w:r>
          </w:p>
        </w:tc>
        <w:tc>
          <w:tcPr>
            <w:tcW w:w="1878" w:type="dxa"/>
            <w:tcBorders>
              <w:top w:val="single" w:sz="12" w:space="0" w:color="auto"/>
            </w:tcBorders>
          </w:tcPr>
          <w:p w14:paraId="03E625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0.67</w:t>
            </w:r>
          </w:p>
        </w:tc>
      </w:tr>
      <w:tr w:rsidR="006F4095" w:rsidRPr="008127F8" w14:paraId="78B46971" w14:textId="77777777">
        <w:tc>
          <w:tcPr>
            <w:tcW w:w="1878" w:type="dxa"/>
          </w:tcPr>
          <w:p w14:paraId="0B6B67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(кг/ч)</w:t>
            </w:r>
          </w:p>
        </w:tc>
        <w:tc>
          <w:tcPr>
            <w:tcW w:w="1878" w:type="dxa"/>
          </w:tcPr>
          <w:p w14:paraId="326996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317</w:t>
            </w:r>
          </w:p>
        </w:tc>
        <w:tc>
          <w:tcPr>
            <w:tcW w:w="1878" w:type="dxa"/>
          </w:tcPr>
          <w:p w14:paraId="17D006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878" w:type="dxa"/>
          </w:tcPr>
          <w:p w14:paraId="2287AF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205</w:t>
            </w:r>
          </w:p>
        </w:tc>
        <w:tc>
          <w:tcPr>
            <w:tcW w:w="1878" w:type="dxa"/>
          </w:tcPr>
          <w:p w14:paraId="4A534C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158</w:t>
            </w:r>
          </w:p>
        </w:tc>
      </w:tr>
      <w:tr w:rsidR="006F4095" w:rsidRPr="008127F8" w14:paraId="7A279741" w14:textId="77777777">
        <w:tc>
          <w:tcPr>
            <w:tcW w:w="1878" w:type="dxa"/>
          </w:tcPr>
          <w:p w14:paraId="3C3E12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Продолжительн.</w:t>
            </w:r>
          </w:p>
        </w:tc>
        <w:tc>
          <w:tcPr>
            <w:tcW w:w="1878" w:type="dxa"/>
          </w:tcPr>
          <w:p w14:paraId="3453F6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w:t>
            </w:r>
          </w:p>
        </w:tc>
        <w:tc>
          <w:tcPr>
            <w:tcW w:w="1878" w:type="dxa"/>
          </w:tcPr>
          <w:p w14:paraId="142AD9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878" w:type="dxa"/>
          </w:tcPr>
          <w:p w14:paraId="4AE267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1878" w:type="dxa"/>
          </w:tcPr>
          <w:p w14:paraId="6AAC96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3.35</w:t>
            </w:r>
          </w:p>
        </w:tc>
      </w:tr>
      <w:tr w:rsidR="006F4095" w:rsidRPr="008127F8" w14:paraId="33E7B391" w14:textId="77777777">
        <w:tc>
          <w:tcPr>
            <w:tcW w:w="1878" w:type="dxa"/>
          </w:tcPr>
          <w:p w14:paraId="5BE294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w:t>
            </w:r>
          </w:p>
        </w:tc>
        <w:tc>
          <w:tcPr>
            <w:tcW w:w="1878" w:type="dxa"/>
          </w:tcPr>
          <w:p w14:paraId="1E6983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349</w:t>
            </w:r>
          </w:p>
        </w:tc>
        <w:tc>
          <w:tcPr>
            <w:tcW w:w="1878" w:type="dxa"/>
          </w:tcPr>
          <w:p w14:paraId="50D801F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1878" w:type="dxa"/>
          </w:tcPr>
          <w:p w14:paraId="09CF77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c>
          <w:tcPr>
            <w:tcW w:w="1878" w:type="dxa"/>
          </w:tcPr>
          <w:p w14:paraId="7737D4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w:t>
            </w:r>
          </w:p>
        </w:tc>
      </w:tr>
      <w:tr w:rsidR="00687FE2" w:rsidRPr="008127F8" w14:paraId="4E184027" w14:textId="77777777">
        <w:tc>
          <w:tcPr>
            <w:tcW w:w="1878" w:type="dxa"/>
            <w:tcBorders>
              <w:bottom w:val="single" w:sz="12" w:space="0" w:color="auto"/>
            </w:tcBorders>
          </w:tcPr>
          <w:p w14:paraId="5AE081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c>
          <w:tcPr>
            <w:tcW w:w="1878" w:type="dxa"/>
            <w:tcBorders>
              <w:bottom w:val="single" w:sz="12" w:space="0" w:color="auto"/>
            </w:tcBorders>
          </w:tcPr>
          <w:p w14:paraId="71DE15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583</w:t>
            </w:r>
          </w:p>
        </w:tc>
        <w:tc>
          <w:tcPr>
            <w:tcW w:w="1878" w:type="dxa"/>
            <w:tcBorders>
              <w:bottom w:val="single" w:sz="12" w:space="0" w:color="auto"/>
            </w:tcBorders>
          </w:tcPr>
          <w:p w14:paraId="6FDCD1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710</w:t>
            </w:r>
          </w:p>
        </w:tc>
        <w:tc>
          <w:tcPr>
            <w:tcW w:w="1878" w:type="dxa"/>
            <w:tcBorders>
              <w:bottom w:val="single" w:sz="12" w:space="0" w:color="auto"/>
            </w:tcBorders>
          </w:tcPr>
          <w:p w14:paraId="054F9F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1878" w:type="dxa"/>
            <w:tcBorders>
              <w:bottom w:val="single" w:sz="12" w:space="0" w:color="auto"/>
            </w:tcBorders>
          </w:tcPr>
          <w:p w14:paraId="5AA6DA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870 (1684,3)</w:t>
            </w:r>
          </w:p>
        </w:tc>
      </w:tr>
    </w:tbl>
    <w:p w14:paraId="1361FD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7754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w:t>
      </w:r>
      <w:r w:rsidRPr="008127F8">
        <w:rPr>
          <w:rFonts w:ascii="Times New Roman" w:hAnsi="Times New Roman"/>
          <w:color w:val="000000" w:themeColor="text1"/>
          <w:sz w:val="16"/>
          <w:szCs w:val="16"/>
        </w:rPr>
        <w:softHyphen/>
        <w:t>ля 1942 г. в связи с острейшим недостатком рабочих кадров был принят Указ Президиума Верховного Совета СССР «О мобилизации трудоспособного городского населения для работы на предприятиях оборонной промыш</w:t>
      </w:r>
      <w:r w:rsidRPr="008127F8">
        <w:rPr>
          <w:rFonts w:ascii="Times New Roman" w:hAnsi="Times New Roman"/>
          <w:color w:val="000000" w:themeColor="text1"/>
          <w:sz w:val="16"/>
          <w:szCs w:val="16"/>
        </w:rPr>
        <w:softHyphen/>
        <w:t>ленности и их стройках», в соответствии с которым на авиационные пред</w:t>
      </w:r>
      <w:r w:rsidRPr="008127F8">
        <w:rPr>
          <w:rFonts w:ascii="Times New Roman" w:hAnsi="Times New Roman"/>
          <w:color w:val="000000" w:themeColor="text1"/>
          <w:sz w:val="16"/>
          <w:szCs w:val="16"/>
        </w:rPr>
        <w:softHyphen/>
        <w:t>приятия призывались не занятые общественно-полезным трудом мужчины в возрасте от 16 до 58 лет и женщины – от 16 до 45 лет. Также в нача</w:t>
      </w:r>
      <w:r w:rsidRPr="008127F8">
        <w:rPr>
          <w:rFonts w:ascii="Times New Roman" w:hAnsi="Times New Roman"/>
          <w:color w:val="000000" w:themeColor="text1"/>
          <w:sz w:val="16"/>
          <w:szCs w:val="16"/>
        </w:rPr>
        <w:softHyphen/>
        <w:t xml:space="preserve">ле войны были мобилизованы учащиеся 8–10 классов средних школ, ремесленных училищ и школ ФЗО. </w:t>
      </w: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привлекались до</w:t>
      </w:r>
      <w:r w:rsidRPr="008127F8">
        <w:rPr>
          <w:rFonts w:ascii="Times New Roman" w:hAnsi="Times New Roman"/>
          <w:color w:val="000000" w:themeColor="text1"/>
          <w:sz w:val="16"/>
          <w:szCs w:val="16"/>
        </w:rPr>
        <w:softHyphen/>
        <w:t>мохозяйки, женщины, сельское население, пенсионеры, демобилизованные из рядов Красной Армии, рабочие колонны, инвали</w:t>
      </w:r>
      <w:r w:rsidRPr="008127F8">
        <w:rPr>
          <w:rFonts w:ascii="Times New Roman" w:hAnsi="Times New Roman"/>
          <w:color w:val="000000" w:themeColor="text1"/>
          <w:sz w:val="16"/>
          <w:szCs w:val="16"/>
        </w:rPr>
        <w:softHyphen/>
        <w:t>ды войны, спецпереселенцы и заключенные. Так, например, количество работающих на заводе № 499 (Заводоуковск), включая ОРС и ОКС, было 1300–1400 чел., из них – рабочих основного производства 800–950 чел.. что со</w:t>
      </w:r>
      <w:r w:rsidRPr="008127F8">
        <w:rPr>
          <w:rFonts w:ascii="Times New Roman" w:hAnsi="Times New Roman"/>
          <w:color w:val="000000" w:themeColor="text1"/>
          <w:sz w:val="16"/>
          <w:szCs w:val="16"/>
        </w:rPr>
        <w:softHyphen/>
        <w:t>ставляло 93–96 % плана. Количество женщин – 55 %. На 1 января 1945 г. рабочая сила по возрасту характеризуется: от 14 до 17 лет – 239 чел.; от 17 до 25 лет – 498 чел.; от 26 до 40 лет – 402 чел.; от 41 до 50 лет – 188 чел. и от 51 и выше – 90 чел. По стажу работы: до одного года – 494 чел., до двух лет – 705 чел., до трех лет и выше – 208 чел. (Государственный архив социально-</w:t>
      </w:r>
      <w:proofErr w:type="gramStart"/>
      <w:r w:rsidRPr="008127F8">
        <w:rPr>
          <w:rFonts w:ascii="Times New Roman" w:hAnsi="Times New Roman"/>
          <w:color w:val="000000" w:themeColor="text1"/>
          <w:sz w:val="16"/>
          <w:szCs w:val="16"/>
        </w:rPr>
        <w:t>полити-ческой</w:t>
      </w:r>
      <w:proofErr w:type="gramEnd"/>
      <w:r w:rsidRPr="008127F8">
        <w:rPr>
          <w:rFonts w:ascii="Times New Roman" w:hAnsi="Times New Roman"/>
          <w:color w:val="000000" w:themeColor="text1"/>
          <w:sz w:val="16"/>
          <w:szCs w:val="16"/>
        </w:rPr>
        <w:t xml:space="preserve"> истории Тюменской области (ГАСПИ</w:t>
      </w:r>
      <w:r w:rsidRPr="008127F8">
        <w:rPr>
          <w:rFonts w:ascii="Times New Roman" w:hAnsi="Times New Roman"/>
          <w:color w:val="000000" w:themeColor="text1"/>
          <w:sz w:val="16"/>
          <w:szCs w:val="16"/>
        </w:rPr>
        <w:softHyphen/>
        <w:t>ТО). Ф. 124. Оп. 1. Д. 86. Л. 7, 8.) (11896).</w:t>
      </w:r>
    </w:p>
    <w:p w14:paraId="379A424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p>
    <w:p w14:paraId="33ECE3A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года Особое совещание НКВД СССР оформило постановление о казни генерал-лейтенантов авиа</w:t>
      </w:r>
      <w:r w:rsidRPr="008127F8">
        <w:rPr>
          <w:rFonts w:ascii="Times New Roman" w:hAnsi="Times New Roman"/>
          <w:color w:val="000000" w:themeColor="text1"/>
          <w:sz w:val="16"/>
          <w:szCs w:val="16"/>
        </w:rPr>
        <w:softHyphen/>
        <w:t>ции П.А. Алексеева, К.М. Гусева, Е.С. Птухина, П.И. Пум-пура, генерал-майоров авиации А.П. Ионова, Н.А. Ласки-на, А.А. Левина, А.И. Филина, Э.Г. Шахта, П.П. Юсупова, помощника генерал-инспектора ВВС комдива Н.Н. Васильченко (10745,21).</w:t>
      </w:r>
    </w:p>
    <w:p w14:paraId="21E632F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D270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00E61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89053"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февраля 1942 года была подписана программа испытаний ЗИС-41, но, по ряду причин, работы задержались. В качестве места испытаний был выбран филиал АНИОП, он же Гороховецкий АНИОП (район поселка Мулино). Туда программа испытаний и предписание Артиллерийского Комитета ГАУ КА прибыли 24 февраля, а ЗИС-41 поступила 13 марта. Подготовительные работы, в том числе и по вине полигона, закончились только 10 апреля, а испытания стрельбой начались 11 числа. Впрочем, они очень быстро завершились, паузу взяли до 25 мая.</w:t>
      </w:r>
    </w:p>
    <w:p w14:paraId="0D75C4C7" w14:textId="77777777" w:rsidR="00FB48BF" w:rsidRPr="008A2E5A" w:rsidRDefault="00FB48BF" w:rsidP="00FB48BF">
      <w:pPr>
        <w:spacing w:after="0" w:line="240" w:lineRule="auto"/>
        <w:jc w:val="both"/>
        <w:rPr>
          <w:rFonts w:ascii="Times New Roman" w:hAnsi="Times New Roman"/>
          <w:color w:val="0070C0"/>
          <w:sz w:val="16"/>
          <w:szCs w:val="16"/>
        </w:rPr>
      </w:pPr>
    </w:p>
    <w:p w14:paraId="08843370" w14:textId="77777777" w:rsidR="00C614C6" w:rsidRPr="008127F8" w:rsidRDefault="00C614C6"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13 февраля 1942 Артиллерийский Комитет ГАУ КА выдал тактико-технические требования на орудия м-42, а 14 марта на заводе №172 построили опытный образец орудия (20344).</w:t>
      </w:r>
    </w:p>
    <w:p w14:paraId="52B600EA" w14:textId="77777777" w:rsidR="00C614C6" w:rsidRPr="008127F8" w:rsidRDefault="00C614C6" w:rsidP="001E0A84">
      <w:pPr>
        <w:pStyle w:val="article-renderblock"/>
        <w:shd w:val="clear" w:color="auto" w:fill="FFFFFF"/>
        <w:spacing w:before="0" w:beforeAutospacing="0" w:after="0" w:afterAutospacing="0"/>
        <w:jc w:val="both"/>
        <w:rPr>
          <w:color w:val="000000" w:themeColor="text1"/>
          <w:sz w:val="16"/>
          <w:szCs w:val="16"/>
        </w:rPr>
      </w:pPr>
    </w:p>
    <w:p w14:paraId="62B79E3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вышло Постановление ГКО № 1277 О т.т. Колесове Я.С. и Гаршине В.П. РГАНИР, Фонд ГКО, д. 21, лл. 46 (11012).</w:t>
      </w:r>
    </w:p>
    <w:p w14:paraId="393C81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AE60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вышло Постановление ГКО № 1278 О возвращении из г. Баку в г.г. Ростов-на-Дону и Азов части эвакуируемого оборудования НКЛП и НКПСМ СССР. (7022, 47,48).</w:t>
      </w:r>
    </w:p>
    <w:p w14:paraId="1166E89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4D6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 Берия вошел в состав транспортной группы, вместе с Маленковым и Кагановичем (10675).</w:t>
      </w:r>
    </w:p>
    <w:p w14:paraId="52D96F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4772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года вышел приказ № 52с НКБ</w:t>
      </w:r>
    </w:p>
    <w:p w14:paraId="127BEA2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распоряжения СНК от 28 января 1942 года № 1466-рс: передать в ведение Наркомата промышленно-строительных материалов РСФСР все строения ……</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завода № 574 НКБ заводу стройдеталей № 5 (5799, 275-276).</w:t>
      </w:r>
    </w:p>
    <w:p w14:paraId="36D2FC6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29457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55AEE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88F382"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ФЕВРАЛЯ 1942 УТРЕННЕЕ СООБЩЕНИЕ Совинформбюро:</w:t>
      </w:r>
    </w:p>
    <w:p w14:paraId="5CF2C0C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13 февраля происходили наступательные бои наших войск против немецко-фашистских войск.</w:t>
      </w:r>
    </w:p>
    <w:p w14:paraId="67DA8A8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кавалерийская часть, действующая на одном из участков Западного фронта, выбила немцев из укреплённого района и захватила 6 пулемётов, 8 автоматов и большое количество другого оружия и снаряжения. На другом участке фронта часть под командованием тов. Кузнецова отбила контратаку вражеского полка и уничтожила немецкий тяжёлый танк. На поле боя осталось свыше 200 убитых солдат и офицеров противника.</w:t>
      </w:r>
    </w:p>
    <w:p w14:paraId="4602318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Калининского фронта наши части за один день заняли несколько населённых пунктов, захватили 280 автомашин, большое количество боеприпасов, уничтожили 10 немецких пулемётов и несколько орудий. Противник потерял свыше 1.000 солдат и офицеров.</w:t>
      </w:r>
    </w:p>
    <w:p w14:paraId="5D327D2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частями, действующими на отдельных участках Ленинградского фронта, за один день уничтожено до 1.200 немецких солдат и офицеров. Части командира Свиридова, атаковав немцев, разрушили 26 ДЗОТов, 3 наблюдательных пункта, 5 укрытий для миномётных батарей, свыше 30 блиндажей, уничтожили 18 орудий, 26 пулемётов и захватили большие трофеи.</w:t>
      </w:r>
    </w:p>
    <w:p w14:paraId="74F91A9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Миномётный расчёт красноармейца тов. Хромченко, открыв огонь по отступающей вражеской автоколонне, уничтожил 6 грузовиков с боеприпасами и продовольствием и штабную автомашину.</w:t>
      </w:r>
    </w:p>
    <w:p w14:paraId="137DD44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С, действующий в одном из районов Харьковской области, оккупированных немцами, совершил налёт на село, занятое противником. Нападение партизан было настолько неожиданным для гитлеровцев, что они не успели взяться за оружие. Партизаны перебили до 40 солдат и офицеров. Этот же отряд разрушил во многих местах связь между частями противника и его штабом, взорвал две немецкие автомашины с солдатами.</w:t>
      </w:r>
    </w:p>
    <w:p w14:paraId="5D452492"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526 полка 298 немецкой пехотной дивизии Герберт Ганс рассказал: «Уже в декабре весь личный состав 526 полка был сведён в два батальона. Во время последнего наступления русских на Южном фронте полк потерял 11 орудий полковой артиллерии, 11 противотанковых орудий, много пулемётов и миномётов».</w:t>
      </w:r>
    </w:p>
    <w:p w14:paraId="4098D62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9 роты 21 танкового полка 20 танковой дивизии Эммануил Шмидт рассказал: «По дороге между Волоколамском и Рузой я видел, как немецкие солдаты убили 15 красноармейцев. Эти красноармейцы были ранены в последних боях. Они шли очень медленно. Тогда солдаты, сопровождавшие пленных, расстреляли их».</w:t>
      </w:r>
    </w:p>
    <w:p w14:paraId="425C32D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городах Гадяч и Зеньково, Полтавской области, немцы замучили 280 советских граждан. Трупы замученных гитлеровцы свалили в ямы, туда же бросили живых детей и зарыли их вместе с убитыми родителями.</w:t>
      </w:r>
    </w:p>
    <w:p w14:paraId="661837E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Бурщик Сокольного рудника (Восточный Казахстан) В. И. Дементюк выполнил сменное задание на 4.714 процентов (15039).</w:t>
      </w:r>
    </w:p>
    <w:p w14:paraId="4A2671AA"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FE3562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ФЕВРАЛЯ 1942 ВЕЧЕРНЕЕ СООБЩЕНИЕ Совинформбюро:</w:t>
      </w:r>
    </w:p>
    <w:p w14:paraId="0F6E113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февраля наши войска с боями продвигались вперёд. Контратаки, предпринятые противником на отдельных участках фронта, были отбиты с большими для немецких войск потерями.</w:t>
      </w:r>
    </w:p>
    <w:p w14:paraId="0C97DB3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февраля уничтожено 16 немецких самолётов. Наши потери — 7 самолётов.</w:t>
      </w:r>
    </w:p>
    <w:p w14:paraId="38C11A68"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февраля частями нашей авиации уничтожено и повреждено более 100 немецких автомашин с войсками и грузами, 70 повозок с боеприпасами, 12 полевых орудий, взорвано 3 склада с боеприпасами, рассеяно и частью уничтожено 5 рот пехоты противника.</w:t>
      </w:r>
    </w:p>
    <w:p w14:paraId="631ECA5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которой командует тов. Давыдовский (Западный фронт), отбила несколько ожесточённых контратак противника. На поле боя осталось 300 трупов вражеских солдат и офицеров. На другом участке артиллеристы нашей стрелковой части отразили контратаку вражеского полка, поддержанного 4 танками. Два немецких танка подбиты.</w:t>
      </w:r>
    </w:p>
    <w:p w14:paraId="2F446AA8"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Наша часть, действующая на одном из участков Юго-Западного фронта, отразила две контратаки немцев и, преследуя противника, захватила 15 вражеских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точек, 2 орудия, 7 пулемётов, 2 радиостанции, много снарядов и винтовочных патронов. Противник потерял убитыми 150 солдат и офицеров.</w:t>
      </w:r>
    </w:p>
    <w:p w14:paraId="6EBC71B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взвода тов. Алиев с группой разведчиков совершил ночное нападение на деревню, занятую противником. В результате боя наши разведчики истребили 20 немецких солдат, захватили два пулемёта, важные оперативные документы и разное снаряжение.</w:t>
      </w:r>
    </w:p>
    <w:p w14:paraId="4E636CA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 убитого немецкого обер-ефрейтора Эрнста Кротцингера найдено неотправленное письмо на родину. Приводим выдержки из письма: «...Наш полк почти уничтожен. Прошлой ночью в селе одна рота вашего полка подверглась нападению. Только 6 человек из всей роты спаслись и добрались до своей части. Сегодня утром мы ходили в разведку и видели, как русские разъезжали по этому селу на машинах нашей разгромленной роты... Долгое пребывание </w:t>
      </w:r>
      <w:proofErr w:type="gramStart"/>
      <w:r w:rsidRPr="008127F8">
        <w:rPr>
          <w:rFonts w:ascii="Times New Roman" w:hAnsi="Times New Roman"/>
          <w:color w:val="000000" w:themeColor="text1"/>
          <w:sz w:val="16"/>
          <w:szCs w:val="16"/>
        </w:rPr>
        <w:t>вблизи противника</w:t>
      </w:r>
      <w:proofErr w:type="gramEnd"/>
      <w:r w:rsidRPr="008127F8">
        <w:rPr>
          <w:rFonts w:ascii="Times New Roman" w:hAnsi="Times New Roman"/>
          <w:color w:val="000000" w:themeColor="text1"/>
          <w:sz w:val="16"/>
          <w:szCs w:val="16"/>
        </w:rPr>
        <w:t xml:space="preserve"> изматывает нервы. Мы уже не можем дальше оставаться в таком положении. Две роты полка полностью разбиты... Наиболее сильные роты насчитывают по 50—60 солдат... Всё время стрельба, всё время отступление, всё время потери. Жечь сёла, гнать мирных людей, женщин, детей, голых и босых, в снежные пустыни. Война! Что означает это слово — вы, на родине, никогда не поймёте. Невероятные бедствия, смерть. За что?..».</w:t>
      </w:r>
    </w:p>
    <w:p w14:paraId="574BD6D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Агарыш, Смоленской области, гитлеровцы расстреляли 37 колхозников и колхозниц. В деревне Ломаново немцы зверски замучили 70 пленных красноармейцев и 12 колхозников.</w:t>
      </w:r>
    </w:p>
    <w:p w14:paraId="137D312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Екатериновский сельский совет, Кагановичского района, Ворошиловградской области, подсчитал, что за время пребывания немецких грабителей и убийц на территории Екатериновского сельского совета гитлеровцы разграбили у колхозников только личного имущества на сумму 362.109 рублей.</w:t>
      </w:r>
    </w:p>
    <w:p w14:paraId="44D43AA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Забойщик шахты «Центральная» в Кемерово Никифор Систеров, став на стахановскую вахту в честь XXIV годовщины Красной Армии, добился выдающегося успеха. Работая отбойным молотком, он перевыполнил норму в 10 раз, дав стране около шести вагонов угля (15039).</w:t>
      </w:r>
    </w:p>
    <w:p w14:paraId="1CD9FD92"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71E17DA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 вышел ПРИКАЗ НКО СССР О ВВЕДЕНИИ НОМЕРНЫХ ЗНАКОВ НА АВТОМОБИЛЯХ И МОТОЦИКЛАХ КРАСНОЙ АРМИИ №44</w:t>
      </w:r>
    </w:p>
    <w:p w14:paraId="729EC2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к Приказу НКО № 11 от 14 января 1942 г. о введении опознавательных знаков на автомобилях Красной Армии ПРИКАЗЫВАЮ:</w:t>
      </w:r>
    </w:p>
    <w:p w14:paraId="4F93614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 всех автомобилях и мотоциклах войсковых частей и соединений действующей Красной Армии к 15 марта 1942 г. нанести номерные знаки согласно приложению № 1.</w:t>
      </w:r>
    </w:p>
    <w:p w14:paraId="64086FA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Закрепить за фронтами и отдельными армиями номерные знаки согласно инструкции и пе</w:t>
      </w:r>
      <w:r w:rsidRPr="008127F8">
        <w:rPr>
          <w:rFonts w:ascii="Times New Roman" w:hAnsi="Times New Roman"/>
          <w:color w:val="000000" w:themeColor="text1"/>
          <w:sz w:val="16"/>
          <w:szCs w:val="16"/>
        </w:rPr>
        <w:softHyphen/>
        <w:t>речня номерных знаков (см. приложение № 2).</w:t>
      </w:r>
    </w:p>
    <w:p w14:paraId="32B07213"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3. На всех воинских автомобилях и мотоциклах, не входящих в состав действующей Крас</w:t>
      </w:r>
      <w:r w:rsidRPr="008127F8">
        <w:rPr>
          <w:rFonts w:ascii="Times New Roman" w:hAnsi="Times New Roman"/>
          <w:color w:val="000000" w:themeColor="text1"/>
          <w:kern w:val="65535"/>
          <w:sz w:val="16"/>
          <w:szCs w:val="16"/>
        </w:rPr>
        <w:softHyphen/>
        <w:t>ной Армии, иметь номерные знаки, установленные государственной автоинспекцией НКВД Со</w:t>
      </w:r>
      <w:r w:rsidRPr="008127F8">
        <w:rPr>
          <w:rFonts w:ascii="Times New Roman" w:hAnsi="Times New Roman"/>
          <w:color w:val="000000" w:themeColor="text1"/>
          <w:kern w:val="65535"/>
          <w:sz w:val="16"/>
          <w:szCs w:val="16"/>
        </w:rPr>
        <w:softHyphen/>
        <w:t>юза ССР.</w:t>
      </w:r>
    </w:p>
    <w:p w14:paraId="361507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 15 марта 1942 г. все автомобили и мотоциклы, не имеющие установленных номерных знаков и справок о закреплении, отбирать и направлять на сборные пункты в распоряжение комендантов городов и начальников управлений военно-автомобильных дорог.</w:t>
      </w:r>
    </w:p>
    <w:p w14:paraId="5FDD5AA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обороны СССР генерал-лейтенант интендантской службы Хрулев</w:t>
      </w:r>
    </w:p>
    <w:p w14:paraId="49EB667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1</w:t>
      </w:r>
    </w:p>
    <w:p w14:paraId="66C622F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ОПИСАНИЕ НОМЕРНОГО ЗНАКА НА АВТОМОБИЛЯХ И МОТОЦИКЛАХ КРАСНОЙ АРМИИ</w:t>
      </w:r>
    </w:p>
    <w:p w14:paraId="5A37573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Номерной знак на автомобилях и мотоциклах Красной Армии состоит из одной буквы и пяти</w:t>
      </w:r>
      <w:r w:rsidRPr="008127F8">
        <w:rPr>
          <w:rFonts w:ascii="Times New Roman" w:hAnsi="Times New Roman"/>
          <w:color w:val="000000" w:themeColor="text1"/>
          <w:sz w:val="16"/>
          <w:szCs w:val="16"/>
        </w:rPr>
        <w:softHyphen/>
        <w:t>значного числа, присвоенных данной машине или мотоциклу.</w:t>
      </w:r>
    </w:p>
    <w:p w14:paraId="181A70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Каждая буква перечня номерных знаков обозначает серию номеров в пределах до 10000, а ка</w:t>
      </w:r>
      <w:r w:rsidRPr="008127F8">
        <w:rPr>
          <w:rFonts w:ascii="Times New Roman" w:hAnsi="Times New Roman"/>
          <w:color w:val="000000" w:themeColor="text1"/>
          <w:sz w:val="16"/>
          <w:szCs w:val="16"/>
        </w:rPr>
        <w:softHyphen/>
        <w:t>ждый номер буквы соответствует определенной одной автомашине или мотоциклу.</w:t>
      </w:r>
    </w:p>
    <w:p w14:paraId="496A8B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Номерной знак на различных типах автомашин наносится по-разному, а именно:</w:t>
      </w:r>
    </w:p>
    <w:p w14:paraId="1784625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легковых автомобилях номерные знаки наносятся на щитках из жести или фанеры, укреп</w:t>
      </w:r>
      <w:r w:rsidRPr="008127F8">
        <w:rPr>
          <w:rFonts w:ascii="Times New Roman" w:hAnsi="Times New Roman"/>
          <w:color w:val="000000" w:themeColor="text1"/>
          <w:sz w:val="16"/>
          <w:szCs w:val="16"/>
        </w:rPr>
        <w:softHyphen/>
        <w:t>ленных на кронштейне светосигнального фонаря.</w:t>
      </w:r>
    </w:p>
    <w:p w14:paraId="4CBE9C1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щитка: 380x110 мм. Буква и цифры на нем наносятся по всей длине с тремя разделитель</w:t>
      </w:r>
      <w:r w:rsidRPr="008127F8">
        <w:rPr>
          <w:rFonts w:ascii="Times New Roman" w:hAnsi="Times New Roman"/>
          <w:color w:val="000000" w:themeColor="text1"/>
          <w:sz w:val="16"/>
          <w:szCs w:val="16"/>
        </w:rPr>
        <w:softHyphen/>
        <w:t>ными знаками: тире между буквой и первой цифрой, первой и второй, третьей и четвертой цифрами.</w:t>
      </w:r>
    </w:p>
    <w:p w14:paraId="4778214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буквы: высота 80 мм, ширина 40 мм и ширина линии буквы 12 мм.</w:t>
      </w:r>
    </w:p>
    <w:p w14:paraId="66A1C70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цифр: высота 80 мм, ширина 40 мм и ширина линии цифры 12 мм.</w:t>
      </w:r>
    </w:p>
    <w:p w14:paraId="675E669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разделительного знака тире: 24x12 мм.</w:t>
      </w:r>
    </w:p>
    <w:p w14:paraId="2B93588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Буква и цифры номерного знака наносятся черной краской на белом фоне (зимой) или белой краской на черном фоне (летом).</w:t>
      </w:r>
    </w:p>
    <w:p w14:paraId="4EB8BF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Пример: легковому автомобилю 75 сп 25 сд Карельского фронта присвоен номерной знак: серия «А» и № 0-01-36. Тогда на щитке будет написано: А-0-01-36.</w:t>
      </w:r>
    </w:p>
    <w:p w14:paraId="209AB75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мотоциклах номерные знаки наносятся так же, как и на легковых автомобилях — на жес</w:t>
      </w:r>
      <w:r w:rsidRPr="008127F8">
        <w:rPr>
          <w:rFonts w:ascii="Times New Roman" w:hAnsi="Times New Roman"/>
          <w:color w:val="000000" w:themeColor="text1"/>
          <w:sz w:val="16"/>
          <w:szCs w:val="16"/>
        </w:rPr>
        <w:softHyphen/>
        <w:t>тяных или фанерных щитках, укрепленных над светосигнальным фонарем.</w:t>
      </w:r>
    </w:p>
    <w:p w14:paraId="6A78098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щитка: 310x80 мм. Буква и цифры на нем наносятся по всей длине с тремя разделительны</w:t>
      </w:r>
      <w:r w:rsidRPr="008127F8">
        <w:rPr>
          <w:rFonts w:ascii="Times New Roman" w:hAnsi="Times New Roman"/>
          <w:color w:val="000000" w:themeColor="text1"/>
          <w:sz w:val="16"/>
          <w:szCs w:val="16"/>
        </w:rPr>
        <w:softHyphen/>
        <w:t>ми знаками — тире между буквой и первой цифрой, первой и второй, третьей и четвертой цифрами.</w:t>
      </w:r>
    </w:p>
    <w:p w14:paraId="1A133F9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буквы: высота 45 мм, ширина 30 мм, ширина линии буквы 8 мм.</w:t>
      </w:r>
    </w:p>
    <w:p w14:paraId="6F7C38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цифр: высота 45 мм, ширина 30 мм, ширина линии цифры 8 мм.</w:t>
      </w:r>
    </w:p>
    <w:p w14:paraId="0B872E1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разделительного знака тире: 16x8 мм.</w:t>
      </w:r>
    </w:p>
    <w:p w14:paraId="5C001A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Буква и цифры наносятся такими же красками, как и у легковых автомобилей.</w:t>
      </w:r>
    </w:p>
    <w:p w14:paraId="0B0FDF6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Пример: мотоциклу 105-го мотоциклетного батальона 7-ой отдельной армии присвоен номерной знак: серия «П» и № 2-45-31. На щитке будет написано: П-2-45-31.</w:t>
      </w:r>
    </w:p>
    <w:p w14:paraId="7AFADC4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 грузовых автомобилях номерные знаки наносятся на середине заднего борта кузова и на панелях правой и левой дверцы кабины.</w:t>
      </w:r>
    </w:p>
    <w:p w14:paraId="04E119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заднем борту буква и цифры наносятся на одной линии с тремя разделительными знаками — тире между буквой и первой цифрой, первой и второй, третьей и четвертой цифрами.</w:t>
      </w:r>
    </w:p>
    <w:p w14:paraId="4A8C288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буквы и цифр: высота 150 мм, ширина 70 мм, ширина линии буквы и цифр 20 мм.</w:t>
      </w:r>
    </w:p>
    <w:p w14:paraId="7DFC6E9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разделительного знака тире: 40x20 мм.</w:t>
      </w:r>
    </w:p>
    <w:p w14:paraId="582C11C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Буква и цифры номерного знака наносятся черной краской на белом фоне (зимой) и белой — на зеленом (летом).</w:t>
      </w:r>
    </w:p>
    <w:p w14:paraId="2DB3585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панелях дверц кабины в верхних частях их под выштампованной каймой буква и цифры на</w:t>
      </w:r>
      <w:r w:rsidRPr="008127F8">
        <w:rPr>
          <w:rFonts w:ascii="Times New Roman" w:hAnsi="Times New Roman"/>
          <w:color w:val="000000" w:themeColor="text1"/>
          <w:sz w:val="16"/>
          <w:szCs w:val="16"/>
        </w:rPr>
        <w:softHyphen/>
        <w:t>носятся на одной линии по всей ее длине с тремя разделительными знаками — тире между буквой и первой цифрой, первой и второй, третьей и четвертой цифрами. Ниже номерного знака на левой дверце кабины машин резерва фронта и Резерва Верховного Главнокомандования наносятся соот</w:t>
      </w:r>
      <w:r w:rsidRPr="008127F8">
        <w:rPr>
          <w:rFonts w:ascii="Times New Roman" w:hAnsi="Times New Roman"/>
          <w:color w:val="000000" w:themeColor="text1"/>
          <w:sz w:val="16"/>
          <w:szCs w:val="16"/>
        </w:rPr>
        <w:softHyphen/>
        <w:t>ветствующие опознавательные знаки (ромбы) согласно приказу НКО № 11 1942 г.</w:t>
      </w:r>
    </w:p>
    <w:p w14:paraId="5451A36D"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Размер буквы и цифр: высота 100 мм, ширина 50 мм и ширина линии цифры 15 мм.</w:t>
      </w:r>
    </w:p>
    <w:p w14:paraId="5AF77CE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разделительного знака тире: 30x15 мм.</w:t>
      </w:r>
    </w:p>
    <w:p w14:paraId="638001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Буква и цифры номерного знака наносятся черной краской на белом фоне (зимой) или белой краской на зеленом фоне (летом).</w:t>
      </w:r>
    </w:p>
    <w:p w14:paraId="40C8C20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Пример: грузовому автомобилю 243-го отдельного автотранспортного батальона Западного фронта присвоен номерной знак: серия «Г» и № 1-93-26.</w:t>
      </w:r>
    </w:p>
    <w:p w14:paraId="70C7B89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Тогда на заднем борту кузова и на панелях дверц кабины будет написано: Г- 1-93-26.</w:t>
      </w:r>
    </w:p>
    <w:p w14:paraId="390262D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 специальных автомобилях номерные знаки наносятся на задней стенке их в местах лучшей видимости и на панелях правой и левой дверц кабины так же, как и на грузовых автомобилях.</w:t>
      </w:r>
    </w:p>
    <w:p w14:paraId="2B9672B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по условиям оборудования специального автомобиля невозможно нанести номерной знак на его задней стенке, знак наносится на фанерном щитке размером 700x200 мм, который укрепляет</w:t>
      </w:r>
      <w:r w:rsidRPr="008127F8">
        <w:rPr>
          <w:rFonts w:ascii="Times New Roman" w:hAnsi="Times New Roman"/>
          <w:color w:val="000000" w:themeColor="text1"/>
          <w:sz w:val="16"/>
          <w:szCs w:val="16"/>
        </w:rPr>
        <w:softHyphen/>
        <w:t>ся в задней части машины.</w:t>
      </w:r>
    </w:p>
    <w:p w14:paraId="45BB176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Размеры номерного знака, буквы и цифры такие же, как у номерных знаков на грузовых авто</w:t>
      </w:r>
      <w:r w:rsidRPr="008127F8">
        <w:rPr>
          <w:rFonts w:ascii="Times New Roman" w:hAnsi="Times New Roman"/>
          <w:color w:val="000000" w:themeColor="text1"/>
          <w:sz w:val="16"/>
          <w:szCs w:val="16"/>
        </w:rPr>
        <w:softHyphen/>
        <w:t>мобилях.</w:t>
      </w:r>
    </w:p>
    <w:p w14:paraId="357D336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Пример: бензоцистерне 102-го авиационного полка Юго-Западного фронта присвоен номерной знак: серия «Г» и № 2-48-37. Тогда на задней стенке машины или на щитке и на панелях дверц будет написано: Г-2-48-37.</w:t>
      </w:r>
    </w:p>
    <w:p w14:paraId="1F2A4C6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однообразия номерных знаков изготавливается силами воинской части трафарет из карто</w:t>
      </w:r>
      <w:r w:rsidRPr="008127F8">
        <w:rPr>
          <w:rFonts w:ascii="Times New Roman" w:hAnsi="Times New Roman"/>
          <w:color w:val="000000" w:themeColor="text1"/>
          <w:sz w:val="16"/>
          <w:szCs w:val="16"/>
        </w:rPr>
        <w:softHyphen/>
        <w:t>на, фанеры или жести согласно указанным размерам. Буквы и цифры писать прямым шрифтом ли</w:t>
      </w:r>
      <w:r w:rsidRPr="008127F8">
        <w:rPr>
          <w:rFonts w:ascii="Times New Roman" w:hAnsi="Times New Roman"/>
          <w:color w:val="000000" w:themeColor="text1"/>
          <w:sz w:val="16"/>
          <w:szCs w:val="16"/>
        </w:rPr>
        <w:softHyphen/>
        <w:t>ниями одинаковой толщины.</w:t>
      </w:r>
    </w:p>
    <w:p w14:paraId="34C24F5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автомобильно-дорожного управления КА генерал-майор технических войск Кондратьев</w:t>
      </w:r>
    </w:p>
    <w:p w14:paraId="1D6B2F8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автомобильно-дорожного управления КА</w:t>
      </w:r>
    </w:p>
    <w:p w14:paraId="340AFCE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полковой комиссар Мамаев</w:t>
      </w:r>
    </w:p>
    <w:p w14:paraId="2493E50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2</w:t>
      </w:r>
    </w:p>
    <w:p w14:paraId="58C54A1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ИНСТРУКЦИЯ</w:t>
      </w:r>
    </w:p>
    <w:p w14:paraId="23B7BEA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УЧЕТУ И ПРИМЕНЕНИЮ НОМЕРНЫХ ЗНАКОВ В ВОИНСКИХ ЧАСТЯХ И СОЕДИНЕНИЯХ ДЕЙСТВУЮЩЕЙ КРАСНОЙ АРМИИ</w:t>
      </w:r>
    </w:p>
    <w:p w14:paraId="5B18E6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Перечень номерных знаков для фронтов и отдельных армий хранится в Автомобильно-дорож</w:t>
      </w:r>
      <w:r w:rsidRPr="008127F8">
        <w:rPr>
          <w:rFonts w:ascii="Times New Roman" w:hAnsi="Times New Roman"/>
          <w:color w:val="000000" w:themeColor="text1"/>
          <w:sz w:val="16"/>
          <w:szCs w:val="16"/>
        </w:rPr>
        <w:softHyphen/>
        <w:t>ном управлении Красной Армии.</w:t>
      </w:r>
    </w:p>
    <w:p w14:paraId="654BD4E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 Автомобильно-дорожного управления Красной Армии организует через автодо</w:t>
      </w:r>
      <w:r w:rsidRPr="008127F8">
        <w:rPr>
          <w:rFonts w:ascii="Times New Roman" w:hAnsi="Times New Roman"/>
          <w:color w:val="000000" w:themeColor="text1"/>
          <w:sz w:val="16"/>
          <w:szCs w:val="16"/>
        </w:rPr>
        <w:softHyphen/>
        <w:t>рожные отделы фронтов и отдельных армий учет распределения и движения номерных знаков по войсковым частям и соединениям действующей Красной Армии.</w:t>
      </w:r>
    </w:p>
    <w:p w14:paraId="2934B4A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Автодорожный отдел штаба тыла фронта закрепляет номерные знаки за армиями в соответст</w:t>
      </w:r>
      <w:r w:rsidRPr="008127F8">
        <w:rPr>
          <w:rFonts w:ascii="Times New Roman" w:hAnsi="Times New Roman"/>
          <w:color w:val="000000" w:themeColor="text1"/>
          <w:sz w:val="16"/>
          <w:szCs w:val="16"/>
        </w:rPr>
        <w:softHyphen/>
        <w:t>вии с количеством автопарка в ней. Как правило, за одной армией закрепляются номера одной или двух серий (букв) фронта. В некоторых случаях допускается закрепление номеров одной серии (бу</w:t>
      </w:r>
      <w:r w:rsidRPr="008127F8">
        <w:rPr>
          <w:rFonts w:ascii="Times New Roman" w:hAnsi="Times New Roman"/>
          <w:color w:val="000000" w:themeColor="text1"/>
          <w:sz w:val="16"/>
          <w:szCs w:val="16"/>
        </w:rPr>
        <w:softHyphen/>
        <w:t>квы) за двумя армиями. По израсходовании номерных знаков всех серий (букв), выделенных для фронта или отдельной армии, Автомобильно-дорожное управление Красной Армии по заявкам фронта или армии дополнительно выделяет номера.</w:t>
      </w:r>
    </w:p>
    <w:p w14:paraId="6603771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Автодорожные отделы штабов армий выделяют номерные знаки войсковым частям и соеди</w:t>
      </w:r>
      <w:r w:rsidRPr="008127F8">
        <w:rPr>
          <w:rFonts w:ascii="Times New Roman" w:hAnsi="Times New Roman"/>
          <w:color w:val="000000" w:themeColor="text1"/>
          <w:sz w:val="16"/>
          <w:szCs w:val="16"/>
        </w:rPr>
        <w:softHyphen/>
        <w:t>нениям из расчета численного состава автопарка у них плюс резерв в количестве 5—10%.</w:t>
      </w:r>
    </w:p>
    <w:p w14:paraId="2DFC49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Номерной знак закрепляется за автомобилем или мотоциклом приказом по части в соответст</w:t>
      </w:r>
      <w:r w:rsidRPr="008127F8">
        <w:rPr>
          <w:rFonts w:ascii="Times New Roman" w:hAnsi="Times New Roman"/>
          <w:color w:val="000000" w:themeColor="text1"/>
          <w:sz w:val="16"/>
          <w:szCs w:val="16"/>
        </w:rPr>
        <w:softHyphen/>
        <w:t>вии с выделенным диапазоном знаков для данной части.</w:t>
      </w:r>
    </w:p>
    <w:p w14:paraId="42A0852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 случае утери номерного знака последний утрачивает свою силу с момента отдачи в приказе по части об утере и его замены новым.</w:t>
      </w:r>
    </w:p>
    <w:p w14:paraId="23209B02"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7. В каждом отдельном случае утери знаков производится расследование для установления ви</w:t>
      </w:r>
      <w:r w:rsidRPr="008127F8">
        <w:rPr>
          <w:rFonts w:ascii="Times New Roman" w:hAnsi="Times New Roman"/>
          <w:color w:val="000000" w:themeColor="text1"/>
          <w:kern w:val="65535"/>
          <w:sz w:val="16"/>
          <w:szCs w:val="16"/>
        </w:rPr>
        <w:softHyphen/>
        <w:t>новных, о чем и принятых мерах командир части доносит по команде.</w:t>
      </w:r>
    </w:p>
    <w:p w14:paraId="34E768E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Перечень номерных знаков хранится в штабах соответствующих войсковых частей, соедине</w:t>
      </w:r>
      <w:r w:rsidRPr="008127F8">
        <w:rPr>
          <w:rFonts w:ascii="Times New Roman" w:hAnsi="Times New Roman"/>
          <w:color w:val="000000" w:themeColor="text1"/>
          <w:sz w:val="16"/>
          <w:szCs w:val="16"/>
        </w:rPr>
        <w:softHyphen/>
        <w:t>ний и учреждений Красной Армии на правах секретных документов.</w:t>
      </w:r>
    </w:p>
    <w:p w14:paraId="2CB043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При передаче автомобилей или мотоциклов и при передислоцировании войсковых частей и соединений из одного фронта (отдельной армии) в другой, старые номерные знаки заменяются на новые по прибытии на место назначения.</w:t>
      </w:r>
    </w:p>
    <w:p w14:paraId="010F013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При передислоцировании или передаче армии в целом из одного фронта в другой номерные знаки автомашин сохраняются старые.</w:t>
      </w:r>
    </w:p>
    <w:p w14:paraId="37ADDD2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При формировании новых фронтов и отдельных армий начальник Автомобильно-дорожного управления Красной Армии устанавливает для них перечень номерных знаков.</w:t>
      </w:r>
    </w:p>
    <w:p w14:paraId="240A73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Вновь формируемые войсковые части и соединения Красной Армии получают положенные им автомашины и мотоциклы из народного хозяйства с номерными знаками государственной авто</w:t>
      </w:r>
      <w:r w:rsidRPr="008127F8">
        <w:rPr>
          <w:rFonts w:ascii="Times New Roman" w:hAnsi="Times New Roman"/>
          <w:color w:val="000000" w:themeColor="text1"/>
          <w:sz w:val="16"/>
          <w:szCs w:val="16"/>
        </w:rPr>
        <w:softHyphen/>
        <w:t>инспекции, которые заменяются на армейские знаки по прибытии машины в действующую армию.</w:t>
      </w:r>
    </w:p>
    <w:p w14:paraId="4006288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На автомобилях и мотоциклах, выходящих из ремонта с заводов, ремонтных баз и мастер</w:t>
      </w:r>
      <w:r w:rsidRPr="008127F8">
        <w:rPr>
          <w:rFonts w:ascii="Times New Roman" w:hAnsi="Times New Roman"/>
          <w:color w:val="000000" w:themeColor="text1"/>
          <w:sz w:val="16"/>
          <w:szCs w:val="16"/>
        </w:rPr>
        <w:softHyphen/>
        <w:t>ских, наносятся номерные знаки, присвоенные им войсковыми частями до поступления в ремонт.</w:t>
      </w:r>
    </w:p>
    <w:p w14:paraId="474D458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Новые автомобили и мотоциклы с заводов промышленности и складов войсковые части и со</w:t>
      </w:r>
      <w:r w:rsidRPr="008127F8">
        <w:rPr>
          <w:rFonts w:ascii="Times New Roman" w:hAnsi="Times New Roman"/>
          <w:color w:val="000000" w:themeColor="text1"/>
          <w:sz w:val="16"/>
          <w:szCs w:val="16"/>
        </w:rPr>
        <w:softHyphen/>
        <w:t>единения Красной Армии получают с бумажными транзитными номерами, которые заменяются по прибытии в часть машин на постоянные армейские знаки (если войсковая часть входит в состав дей</w:t>
      </w:r>
      <w:r w:rsidRPr="008127F8">
        <w:rPr>
          <w:rFonts w:ascii="Times New Roman" w:hAnsi="Times New Roman"/>
          <w:color w:val="000000" w:themeColor="text1"/>
          <w:sz w:val="16"/>
          <w:szCs w:val="16"/>
        </w:rPr>
        <w:softHyphen/>
        <w:t>ствующей армии) или на знаки государственной автоинспекции (если войсковая часть формирует</w:t>
      </w:r>
      <w:r w:rsidRPr="008127F8">
        <w:rPr>
          <w:rFonts w:ascii="Times New Roman" w:hAnsi="Times New Roman"/>
          <w:color w:val="000000" w:themeColor="text1"/>
          <w:sz w:val="16"/>
          <w:szCs w:val="16"/>
        </w:rPr>
        <w:softHyphen/>
        <w:t>ся или дислоцирована в тылу).</w:t>
      </w:r>
    </w:p>
    <w:p w14:paraId="7A70B29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Каждый водитель автомобиля или мотоцикла имеет при себе справку о закреплении по уста</w:t>
      </w:r>
      <w:r w:rsidRPr="008127F8">
        <w:rPr>
          <w:rFonts w:ascii="Times New Roman" w:hAnsi="Times New Roman"/>
          <w:color w:val="000000" w:themeColor="text1"/>
          <w:sz w:val="16"/>
          <w:szCs w:val="16"/>
        </w:rPr>
        <w:softHyphen/>
        <w:t>новленной форме.</w:t>
      </w:r>
    </w:p>
    <w:p w14:paraId="507F47C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Справка представляет собою плотный картон, сложенный вдвое, размером в развернутом виде 146x102 мм со следующим содержанием:</w:t>
      </w:r>
    </w:p>
    <w:p w14:paraId="3DF28FA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w:t>
      </w:r>
    </w:p>
    <w:p w14:paraId="1D7E40D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(номер машины)</w:t>
      </w:r>
    </w:p>
    <w:p w14:paraId="0F89D73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Выдана водителю т. войсковой </w:t>
      </w:r>
      <w:proofErr w:type="gramStart"/>
      <w:r w:rsidRPr="008127F8">
        <w:rPr>
          <w:rFonts w:ascii="Times New Roman" w:hAnsi="Times New Roman"/>
          <w:color w:val="000000" w:themeColor="text1"/>
          <w:sz w:val="16"/>
          <w:szCs w:val="16"/>
        </w:rPr>
        <w:t>частью....</w:t>
      </w:r>
      <w:proofErr w:type="gramEnd"/>
      <w:r w:rsidRPr="008127F8">
        <w:rPr>
          <w:rFonts w:ascii="Times New Roman" w:hAnsi="Times New Roman"/>
          <w:color w:val="000000" w:themeColor="text1"/>
          <w:sz w:val="16"/>
          <w:szCs w:val="16"/>
        </w:rPr>
        <w:t>в том, что за</w:t>
      </w:r>
    </w:p>
    <w:p w14:paraId="3612166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ним закреплен автомобиль марки</w:t>
      </w:r>
    </w:p>
    <w:p w14:paraId="6EF304F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двигатель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шасси №......</w:t>
      </w:r>
    </w:p>
    <w:p w14:paraId="7C12B9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Наружная сторона: НКО СССР</w:t>
      </w:r>
    </w:p>
    <w:p w14:paraId="75578D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 ЗАКРЕПЛЕНИИ МАШИНЫ</w:t>
      </w:r>
    </w:p>
    <w:p w14:paraId="3AC9311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(номер машины)</w:t>
      </w:r>
    </w:p>
    <w:p w14:paraId="536DDF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Внутренняя сторона:</w:t>
      </w:r>
    </w:p>
    <w:p w14:paraId="39280E6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совершение аварии, катастрофы (по вине водителя) и оставление машины водитель привлекается к судебной ответственности, как за оставление и порчу оружия. Подпись водителя ..............................</w:t>
      </w:r>
    </w:p>
    <w:p w14:paraId="50BC8D9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Комиссар части части</w:t>
      </w:r>
    </w:p>
    <w:p w14:paraId="6C91628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п.</w:t>
      </w:r>
    </w:p>
    <w:p w14:paraId="207CB7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B9D109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194 .. г.</w:t>
      </w:r>
    </w:p>
    <w:p w14:paraId="0393970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Основание: приказ НКО № 0260 1941 г.</w:t>
      </w:r>
    </w:p>
    <w:p w14:paraId="5014C2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В случае, если за водителем закрепляется другой автомобиль или мотоцикл, меняется и справка соответственно вновь закрепленной машине.</w:t>
      </w:r>
    </w:p>
    <w:p w14:paraId="4786D5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При утере справки о закреплении машины последняя утрачивает свою силу с момента отда</w:t>
      </w:r>
      <w:r w:rsidRPr="008127F8">
        <w:rPr>
          <w:rFonts w:ascii="Times New Roman" w:hAnsi="Times New Roman"/>
          <w:color w:val="000000" w:themeColor="text1"/>
          <w:sz w:val="16"/>
          <w:szCs w:val="16"/>
        </w:rPr>
        <w:softHyphen/>
        <w:t>чи в приказе об утере и замене новой.</w:t>
      </w:r>
    </w:p>
    <w:p w14:paraId="1AB8082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19. Во всех случаях утери справки о закреплении машины производится расследование; о при</w:t>
      </w:r>
      <w:r w:rsidRPr="008127F8">
        <w:rPr>
          <w:rFonts w:ascii="Times New Roman" w:hAnsi="Times New Roman"/>
          <w:color w:val="000000" w:themeColor="text1"/>
          <w:kern w:val="65535"/>
          <w:sz w:val="16"/>
          <w:szCs w:val="16"/>
        </w:rPr>
        <w:softHyphen/>
        <w:t>нятых мерах командир части доносит по команде.</w:t>
      </w:r>
    </w:p>
    <w:p w14:paraId="211CA1E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При сдаче автомобиля или мотоцикла в ремонт вне части (на заводы промышленности, ре</w:t>
      </w:r>
      <w:r w:rsidRPr="008127F8">
        <w:rPr>
          <w:rFonts w:ascii="Times New Roman" w:hAnsi="Times New Roman"/>
          <w:color w:val="000000" w:themeColor="text1"/>
          <w:sz w:val="16"/>
          <w:szCs w:val="16"/>
        </w:rPr>
        <w:softHyphen/>
        <w:t>монтные базы или мастерские) справка о закреплении машины сдается водителем в штаб своей ча</w:t>
      </w:r>
      <w:r w:rsidRPr="008127F8">
        <w:rPr>
          <w:rFonts w:ascii="Times New Roman" w:hAnsi="Times New Roman"/>
          <w:color w:val="000000" w:themeColor="text1"/>
          <w:sz w:val="16"/>
          <w:szCs w:val="16"/>
        </w:rPr>
        <w:softHyphen/>
        <w:t>сти и возвращается ему по получении машины из ремонта.</w:t>
      </w:r>
    </w:p>
    <w:p w14:paraId="627C9C9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Автомобильно-дорожного управления КА генерал-майор технических войск Кондратьев</w:t>
      </w:r>
    </w:p>
    <w:p w14:paraId="6190667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Автомобильно-дорожного управления КА полковой комиссар Мамаев</w:t>
      </w:r>
    </w:p>
    <w:p w14:paraId="7BB77E4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920266. Д. 3. Л. 123-126. Типографский экз. (11211).</w:t>
      </w:r>
    </w:p>
    <w:p w14:paraId="497459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DA9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НКВМФ Н.Г.Кузнецов выпустил директиву N НШ/58 об использовании минно-торпедной авиации (2120).</w:t>
      </w:r>
    </w:p>
    <w:p w14:paraId="2E8173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6E92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вышло Постановление ГКО № 1276 О составе суда для рассмотрения дела по обвинению маршала Советского Союза Кулика Г.И. (7022, 45).</w:t>
      </w:r>
    </w:p>
    <w:p w14:paraId="6ACC331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01D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немецкое сопротивление усилилось, так как передовые части КА вышли к границе Белоруссии (2261).</w:t>
      </w:r>
    </w:p>
    <w:p w14:paraId="690B30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C8208"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B2569F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5EE25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в СССР вышел указ о мобилизации городского населения для работы на предприятиях и в строительстве (4962).</w:t>
      </w:r>
    </w:p>
    <w:p w14:paraId="341E645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B7E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вышел указ Президиума ВС "О мобилизации на период военного времени трудоспособного городского населения для работы на производстве и строительстве" (173,216).</w:t>
      </w:r>
    </w:p>
    <w:p w14:paraId="2731A1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465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 указ «Об ответственности рабочих..,» от 26 декабря 1941 г., о котором говорилось выше, был дополнен указом «О мобили</w:t>
      </w:r>
      <w:r w:rsidRPr="008127F8">
        <w:rPr>
          <w:rFonts w:ascii="Times New Roman" w:hAnsi="Times New Roman"/>
          <w:color w:val="000000" w:themeColor="text1"/>
          <w:sz w:val="16"/>
          <w:szCs w:val="16"/>
        </w:rPr>
        <w:softHyphen/>
        <w:t>зации на период военного времени трудоспособного городско</w:t>
      </w:r>
      <w:r w:rsidRPr="008127F8">
        <w:rPr>
          <w:rFonts w:ascii="Times New Roman" w:hAnsi="Times New Roman"/>
          <w:color w:val="000000" w:themeColor="text1"/>
          <w:sz w:val="16"/>
          <w:szCs w:val="16"/>
        </w:rPr>
        <w:softHyphen/>
        <w:t>го населения для работы на производстве и строительстве» (</w:t>
      </w:r>
      <w:r w:rsidRPr="008127F8">
        <w:rPr>
          <w:rFonts w:ascii="Times New Roman" w:hAnsi="Times New Roman"/>
          <w:iCs/>
          <w:color w:val="000000" w:themeColor="text1"/>
          <w:sz w:val="16"/>
          <w:szCs w:val="16"/>
        </w:rPr>
        <w:t>Кравченко Г.С.</w:t>
      </w:r>
      <w:r w:rsidRPr="008127F8">
        <w:rPr>
          <w:rFonts w:ascii="Times New Roman" w:hAnsi="Times New Roman"/>
          <w:color w:val="000000" w:themeColor="text1"/>
          <w:sz w:val="16"/>
          <w:szCs w:val="16"/>
        </w:rPr>
        <w:t xml:space="preserve"> Указ. соч. С. 110). Этот второй указ дал возможность руководству НКАП раз</w:t>
      </w:r>
      <w:r w:rsidRPr="008127F8">
        <w:rPr>
          <w:rFonts w:ascii="Times New Roman" w:hAnsi="Times New Roman"/>
          <w:color w:val="000000" w:themeColor="text1"/>
          <w:sz w:val="16"/>
          <w:szCs w:val="16"/>
        </w:rPr>
        <w:softHyphen/>
        <w:t>вернуть широкомасштабный набор рабочей силы на авиаза</w:t>
      </w:r>
      <w:r w:rsidRPr="008127F8">
        <w:rPr>
          <w:rFonts w:ascii="Times New Roman" w:hAnsi="Times New Roman"/>
          <w:color w:val="000000" w:themeColor="text1"/>
          <w:sz w:val="16"/>
          <w:szCs w:val="16"/>
        </w:rPr>
        <w:softHyphen/>
        <w:t>воды в районах размещения эвакуированных предприятий, что в известной мере снимало остроту жилищной пробле</w:t>
      </w:r>
      <w:r w:rsidRPr="008127F8">
        <w:rPr>
          <w:rFonts w:ascii="Times New Roman" w:hAnsi="Times New Roman"/>
          <w:color w:val="000000" w:themeColor="text1"/>
          <w:sz w:val="16"/>
          <w:szCs w:val="16"/>
        </w:rPr>
        <w:softHyphen/>
        <w:t>мы. Уже в феврале 1942 г. только на авиазаводы Куйбышева были направлены 5 тыс. старшеклассников, 500 студентов, 6 тыс. рабочих с гражданских производств, 5 тыс. служащих и 1500 выпускников ремесленных училищ. Видимо, это не привело к кардинальному улучшению дел, во всяком случае, ещё 20 февраля 1942 г. НКАП докладывал, что «куйбышев</w:t>
      </w:r>
      <w:r w:rsidRPr="008127F8">
        <w:rPr>
          <w:rFonts w:ascii="Times New Roman" w:hAnsi="Times New Roman"/>
          <w:color w:val="000000" w:themeColor="text1"/>
          <w:sz w:val="16"/>
          <w:szCs w:val="16"/>
        </w:rPr>
        <w:softHyphen/>
        <w:t>ская группа заводов испытывает острый недостаток в рабо</w:t>
      </w:r>
      <w:r w:rsidRPr="008127F8">
        <w:rPr>
          <w:rFonts w:ascii="Times New Roman" w:hAnsi="Times New Roman"/>
          <w:color w:val="000000" w:themeColor="text1"/>
          <w:sz w:val="16"/>
          <w:szCs w:val="16"/>
        </w:rPr>
        <w:softHyphen/>
        <w:t xml:space="preserve">чей силе, даже при наличии рабочих колон </w:t>
      </w:r>
      <w:proofErr w:type="gramStart"/>
      <w:r w:rsidRPr="008127F8">
        <w:rPr>
          <w:rFonts w:ascii="Times New Roman" w:hAnsi="Times New Roman"/>
          <w:color w:val="000000" w:themeColor="text1"/>
          <w:sz w:val="16"/>
          <w:szCs w:val="16"/>
        </w:rPr>
        <w:t>НКО..</w:t>
      </w:r>
      <w:proofErr w:type="gramEnd"/>
      <w:r w:rsidRPr="008127F8">
        <w:rPr>
          <w:rFonts w:ascii="Times New Roman" w:hAnsi="Times New Roman"/>
          <w:color w:val="000000" w:themeColor="text1"/>
          <w:sz w:val="16"/>
          <w:szCs w:val="16"/>
        </w:rPr>
        <w:t xml:space="preserve"> .»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1). Весной 1942 г. к ним прибавились 14 тыс. чел., мобилизованных в Чкаловской, Пензенской и Куйбышевской областях и 40 тыс. рабочих и учащихся ремесленных училищ, эвакуирован</w:t>
      </w:r>
      <w:r w:rsidRPr="008127F8">
        <w:rPr>
          <w:rFonts w:ascii="Times New Roman" w:hAnsi="Times New Roman"/>
          <w:color w:val="000000" w:themeColor="text1"/>
          <w:sz w:val="16"/>
          <w:szCs w:val="16"/>
        </w:rPr>
        <w:softHyphen/>
        <w:t>ных из Ленинграда. Всего из блокадного Ленинграда весной 1942 г. было вывезено 25 тыс. рабочих, которым, ввиду их из</w:t>
      </w:r>
      <w:r w:rsidRPr="008127F8">
        <w:rPr>
          <w:rFonts w:ascii="Times New Roman" w:hAnsi="Times New Roman"/>
          <w:color w:val="000000" w:themeColor="text1"/>
          <w:sz w:val="16"/>
          <w:szCs w:val="16"/>
        </w:rPr>
        <w:softHyphen/>
        <w:t xml:space="preserve">мождённости, обеспечивали усиленное питание в пути и ещё в течение месяца на новом месте. Наибольшая компактная группа ленинградских рабочих (4500 чел.) была распределена в Куйбышев, на завод № 24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147-148) (12011).</w:t>
      </w:r>
    </w:p>
    <w:p w14:paraId="61AC2C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0261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331FC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E95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года было получено:</w:t>
      </w:r>
    </w:p>
    <w:p w14:paraId="179DD1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РУЗВЕЛЬТ И. В. СТАЛИНУ *</w:t>
      </w:r>
    </w:p>
    <w:p w14:paraId="1C7C6E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очень доволен тем, что Ваше Правительство дало свое согласие принять моего старого и верного друга адмирала Стэндли в качестве посла Соединенных Штатов. В течение многих лет мы были близкими коллегами, и он пользуется моим полным доверием. Я рекомендую его Вам не только как честного и энергичного человека, но также и как человека, который высоко ценит достижения Советского Союза и восхищается ими. Он, как Вы помните, посетил Советский Союз в прошлом году вместе с г-ном Гарриманом. Со времени возвращения из Москвы адмирал Стэндли уже многое сделал для того, чтобы в Соединенных Штатах лучше понимали положение в Советском Союзе. Я уверен, что с его богатым опытом и знанием тех проблем, которые стоят перед нашими странами, и при Вашем сотрудничестве его усилия еще больше сблизить наши страны увенчаются успехом.</w:t>
      </w:r>
    </w:p>
    <w:p w14:paraId="6C97D2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Мое внимание только что было обращено на тот факт, что Советское Правительство разместило у нас заказы на товары и вооружение на сумму, превышающую миллиард долларов, который был предоставлен в распоряжение Советского Правительства прошлой осенью согласно закону о передаче вооружения взаймы или в аренду и на основании обмена </w:t>
      </w:r>
      <w:proofErr w:type="gramStart"/>
      <w:r w:rsidRPr="008127F8">
        <w:rPr>
          <w:rFonts w:ascii="Times New Roman" w:hAnsi="Times New Roman"/>
          <w:color w:val="000000" w:themeColor="text1"/>
          <w:sz w:val="16"/>
          <w:szCs w:val="16"/>
        </w:rPr>
        <w:t>письмами</w:t>
      </w:r>
      <w:proofErr w:type="gramEnd"/>
      <w:r w:rsidRPr="008127F8">
        <w:rPr>
          <w:rFonts w:ascii="Times New Roman" w:hAnsi="Times New Roman"/>
          <w:color w:val="000000" w:themeColor="text1"/>
          <w:sz w:val="16"/>
          <w:szCs w:val="16"/>
        </w:rPr>
        <w:t xml:space="preserve"> между нами. В связи с этим я предлагаю, чтобы по этому же закону второй миллиард долларов был предоставлен в распоряжение Вашего Правительства на тех же самых условиях, на которых был предоставлен и первый миллиард. Если у Вас будут какие-либо другие предложения в отношении условий, на которых второй миллиард долларов должен быть Вам предоставлен, Вы можете быть уверены в том, что эти предложения будут тщательно и благожелательно рассмотрены. Может быть, позднее окажется взаимно желательным пересмотреть финансовые соглашения, которые мы заключаем сейчас, с тем чтобы учесть изменившиеся условия (7430).</w:t>
      </w:r>
    </w:p>
    <w:p w14:paraId="17612B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C39E3"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6D576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F44F69"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w:t>
      </w:r>
      <w:r w:rsidRPr="008127F8">
        <w:rPr>
          <w:rFonts w:ascii="Times New Roman" w:hAnsi="Times New Roman"/>
          <w:color w:val="000000" w:themeColor="text1"/>
          <w:sz w:val="16"/>
          <w:szCs w:val="16"/>
        </w:rPr>
        <w:softHyphen/>
        <w:t>раля 1942 года подлодка 1-17 (капитан Нисино) получила приказ следовать к берегам США. 20 февраля бортовой самолет дважды поднимался в воздух в поисках кораблей противника, а 23 февраля — для выбора объекта на по</w:t>
      </w:r>
      <w:r w:rsidRPr="008127F8">
        <w:rPr>
          <w:rFonts w:ascii="Times New Roman" w:hAnsi="Times New Roman"/>
          <w:color w:val="000000" w:themeColor="text1"/>
          <w:sz w:val="16"/>
          <w:szCs w:val="16"/>
        </w:rPr>
        <w:softHyphen/>
        <w:t>бережье США для артиллерийского обстрела (командир 1-17 принял ре</w:t>
      </w:r>
      <w:r w:rsidRPr="008127F8">
        <w:rPr>
          <w:rFonts w:ascii="Times New Roman" w:hAnsi="Times New Roman"/>
          <w:color w:val="000000" w:themeColor="text1"/>
          <w:sz w:val="16"/>
          <w:szCs w:val="16"/>
        </w:rPr>
        <w:softHyphen/>
        <w:t>шение провести “акцию устрашения врага”). В результате разведыватель</w:t>
      </w:r>
      <w:r w:rsidRPr="008127F8">
        <w:rPr>
          <w:rFonts w:ascii="Times New Roman" w:hAnsi="Times New Roman"/>
          <w:color w:val="000000" w:themeColor="text1"/>
          <w:sz w:val="16"/>
          <w:szCs w:val="16"/>
        </w:rPr>
        <w:softHyphen/>
        <w:t>ных полетов бортового E14Y1, была определена подходящая цель — не</w:t>
      </w:r>
      <w:r w:rsidRPr="008127F8">
        <w:rPr>
          <w:rFonts w:ascii="Times New Roman" w:hAnsi="Times New Roman"/>
          <w:color w:val="000000" w:themeColor="text1"/>
          <w:sz w:val="16"/>
          <w:szCs w:val="16"/>
        </w:rPr>
        <w:softHyphen/>
        <w:t>фтеперерабатывающий завод неда</w:t>
      </w:r>
      <w:r w:rsidRPr="008127F8">
        <w:rPr>
          <w:rFonts w:ascii="Times New Roman" w:hAnsi="Times New Roman"/>
          <w:color w:val="000000" w:themeColor="text1"/>
          <w:sz w:val="16"/>
          <w:szCs w:val="16"/>
        </w:rPr>
        <w:softHyphen/>
        <w:t>леко от Санта-Барбары и в ночь на 24 февраля японские снаряды обруши</w:t>
      </w:r>
      <w:r w:rsidRPr="008127F8">
        <w:rPr>
          <w:rFonts w:ascii="Times New Roman" w:hAnsi="Times New Roman"/>
          <w:color w:val="000000" w:themeColor="text1"/>
          <w:sz w:val="16"/>
          <w:szCs w:val="16"/>
        </w:rPr>
        <w:softHyphen/>
        <w:t>лись на американскую землю. На бе</w:t>
      </w:r>
      <w:r w:rsidRPr="008127F8">
        <w:rPr>
          <w:rFonts w:ascii="Times New Roman" w:hAnsi="Times New Roman"/>
          <w:color w:val="000000" w:themeColor="text1"/>
          <w:sz w:val="16"/>
          <w:szCs w:val="16"/>
        </w:rPr>
        <w:softHyphen/>
        <w:t>регу были отмечены пожары, а амери</w:t>
      </w:r>
      <w:r w:rsidRPr="008127F8">
        <w:rPr>
          <w:rFonts w:ascii="Times New Roman" w:hAnsi="Times New Roman"/>
          <w:color w:val="000000" w:themeColor="text1"/>
          <w:sz w:val="16"/>
          <w:szCs w:val="16"/>
        </w:rPr>
        <w:softHyphen/>
        <w:t>канская служба ПВО даже объявила воздушную тревогу. Справедливости ради нужно отметить, что 1-15 была не первой японской подлодкой обстре</w:t>
      </w:r>
      <w:r w:rsidRPr="008127F8">
        <w:rPr>
          <w:rFonts w:ascii="Times New Roman" w:hAnsi="Times New Roman"/>
          <w:color w:val="000000" w:themeColor="text1"/>
          <w:sz w:val="16"/>
          <w:szCs w:val="16"/>
        </w:rPr>
        <w:softHyphen/>
        <w:t>ливавшей Америку, месяцем рань</w:t>
      </w:r>
      <w:r w:rsidRPr="008127F8">
        <w:rPr>
          <w:rFonts w:ascii="Times New Roman" w:hAnsi="Times New Roman"/>
          <w:color w:val="000000" w:themeColor="text1"/>
          <w:sz w:val="16"/>
          <w:szCs w:val="16"/>
        </w:rPr>
        <w:softHyphen/>
        <w:t>ше район Сан-Франциско из своей единственной 76-мм пушки обстре</w:t>
      </w:r>
      <w:r w:rsidRPr="008127F8">
        <w:rPr>
          <w:rFonts w:ascii="Times New Roman" w:hAnsi="Times New Roman"/>
          <w:color w:val="000000" w:themeColor="text1"/>
          <w:sz w:val="16"/>
          <w:szCs w:val="16"/>
        </w:rPr>
        <w:softHyphen/>
        <w:t>ляла японская подлодка Ro-64. После этих успешных рейдов командование флота приказало всем японским суб</w:t>
      </w:r>
      <w:r w:rsidRPr="008127F8">
        <w:rPr>
          <w:rFonts w:ascii="Times New Roman" w:hAnsi="Times New Roman"/>
          <w:color w:val="000000" w:themeColor="text1"/>
          <w:sz w:val="16"/>
          <w:szCs w:val="16"/>
        </w:rPr>
        <w:softHyphen/>
        <w:t>маринам наносить артиллерийские удары по береговым объектам (не в ущерб основному заданию), чтобы вызвать панику и оказать психологи</w:t>
      </w:r>
      <w:r w:rsidRPr="008127F8">
        <w:rPr>
          <w:rFonts w:ascii="Times New Roman" w:hAnsi="Times New Roman"/>
          <w:color w:val="000000" w:themeColor="text1"/>
          <w:sz w:val="16"/>
          <w:szCs w:val="16"/>
        </w:rPr>
        <w:softHyphen/>
        <w:t>ческое воздействие на противника (22807).</w:t>
      </w:r>
    </w:p>
    <w:p w14:paraId="57973520"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4ADB82CA" w14:textId="77777777" w:rsidR="00C614C6" w:rsidRPr="008127F8" w:rsidRDefault="00C614C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100 японских самолетов сбрасывают 700 японских десантников на Палембанг на Суматре (20793).</w:t>
      </w:r>
    </w:p>
    <w:p w14:paraId="623557A6" w14:textId="77777777" w:rsidR="00C614C6" w:rsidRPr="008127F8" w:rsidRDefault="00C614C6" w:rsidP="001E0A84">
      <w:pPr>
        <w:spacing w:after="0" w:line="240" w:lineRule="auto"/>
        <w:jc w:val="both"/>
        <w:rPr>
          <w:rFonts w:ascii="Times New Roman" w:hAnsi="Times New Roman"/>
          <w:color w:val="000000" w:themeColor="text1"/>
          <w:sz w:val="16"/>
          <w:szCs w:val="16"/>
        </w:rPr>
      </w:pPr>
    </w:p>
    <w:p w14:paraId="463F7A0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1942 Гитлер окончательно отменил операцию “Морской лев” (план вторжения в Британию) (4962).</w:t>
      </w:r>
    </w:p>
    <w:p w14:paraId="0C39068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BD4F4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3971A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E18E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года Шахурин писал письмо зам. председателя СНК Вознесенскому Н.А.</w:t>
      </w:r>
    </w:p>
    <w:p w14:paraId="562B67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с.г. в систему НКАП вновь принят Подольский механический завод, который будет изготовлять бронекорпуса для самолетов Ил-2.</w:t>
      </w:r>
    </w:p>
    <w:p w14:paraId="5A27CB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1-й квартал 1942 года для изготовления бронекорпусов требуется листовая броневая сталь марок "АБ-2" и "ХД" в количестве 4270 тонн.</w:t>
      </w:r>
    </w:p>
    <w:p w14:paraId="43ACFF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ранее этой стали не потреблял и не заявлял Госплану.</w:t>
      </w:r>
    </w:p>
    <w:p w14:paraId="5ED407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распоряжения Госплану о выделении фондов НКАП на 1-й квартал вышеуказанной стали в количестве 4270 тонн (2193,111).</w:t>
      </w:r>
    </w:p>
    <w:p w14:paraId="073D40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B20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года секретарь Горьковского обкома ВКП(б) Родионов.</w:t>
      </w:r>
    </w:p>
    <w:p w14:paraId="7E50AB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Выписка</w:t>
      </w:r>
    </w:p>
    <w:p w14:paraId="77CB02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 протокола N 158, л. 14</w:t>
      </w:r>
    </w:p>
    <w:p w14:paraId="423C06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заседания бюро Горьковского обкома ВКП(б) от 10 февраля 1942 года.</w:t>
      </w:r>
    </w:p>
    <w:p w14:paraId="13D441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Выписки посланы: ЦК </w:t>
      </w:r>
      <w:proofErr w:type="gramStart"/>
      <w:r w:rsidRPr="008127F8">
        <w:rPr>
          <w:rFonts w:ascii="Times New Roman" w:hAnsi="Times New Roman"/>
          <w:color w:val="000000" w:themeColor="text1"/>
          <w:sz w:val="16"/>
          <w:szCs w:val="16"/>
        </w:rPr>
        <w:t>ВКП(</w:t>
      </w:r>
      <w:proofErr w:type="gramEnd"/>
      <w:r w:rsidRPr="008127F8">
        <w:rPr>
          <w:rFonts w:ascii="Times New Roman" w:hAnsi="Times New Roman"/>
          <w:color w:val="000000" w:themeColor="text1"/>
          <w:sz w:val="16"/>
          <w:szCs w:val="16"/>
        </w:rPr>
        <w:t>б(, ГКО, Шахурину.</w:t>
      </w:r>
    </w:p>
    <w:p w14:paraId="50F271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Слушали: Вопрос завода N 21 им. Орджоникидзе.</w:t>
      </w:r>
    </w:p>
    <w:p w14:paraId="7FFAEE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Выпускаемые заводом N 21 самолеты серийного производства имеют максимальную горизонтальную скорость в среднем на 15-20 км/час ниже скорости самолета-эталона 1941 года. Основными причинами снижения горизонтальной скорости являются - введение дополнительных площадей лобового сопротивления на выпускаемых самолетах, отступление при изготовлении от заданного профиля и неровная отделка основных агрегатов, поверхность которых находится в потоке воздуха, фюзеляж, крылья, центроплан, оперение и др.</w:t>
      </w:r>
    </w:p>
    <w:p w14:paraId="588E8C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Увеличенный на 150-200 кг полетный вес выпускаемых самолетов дает снижение скороподъемности и потолка, увеличение пробега при взлете и посадке.</w:t>
      </w:r>
    </w:p>
    <w:p w14:paraId="6FA693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Опытные работы, утвержденные правительством, направленные на повышение летно-тактических качеств выпускаемых самолетов, проводятся крайне медленно. Не выдержаны сроки и до сих пор не закончено изготовление и испытание самолетов с нагнетателем Трескина, с моторами М-107 и М-82.</w:t>
      </w:r>
    </w:p>
    <w:p w14:paraId="646C7D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повышения боевых качеств самолетов, выпускаемых заводом N 21, бюро обкома ВКП(б).</w:t>
      </w:r>
    </w:p>
    <w:p w14:paraId="31213E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постановляет:</w:t>
      </w:r>
    </w:p>
    <w:p w14:paraId="635D7D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Одобрить представленные директором завода N 21 Гостинцевым и главным конструктором Лавочкиным мероприятия по повышению боевых качеств выпускаемых заводом самолетов (приложение N 1).</w:t>
      </w:r>
    </w:p>
    <w:p w14:paraId="14B4F0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директора завода N 21 Гостинцева ликвидировать в производстве отступления от заданного наивыгоднейшего профиля и улучшить отделку поверхностей фюзеляжа, крыльев, оперения, обтекателей. Повысить технологическую дисциплину и контроль в производстве, строго соблюдая технические условия.</w:t>
      </w:r>
    </w:p>
    <w:p w14:paraId="7C6DAF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Принять к сведению заявление главного конструктора завода Лавочкина, что работа по самолету с мотором М-82 будет закончена к 20 февраля с.г.</w:t>
      </w:r>
    </w:p>
    <w:p w14:paraId="16FB6F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Просить ГКО разрешить заводу N 21 производить установку 2-х консольных бензобаков на самолетах ЛАГГ-3 для увеличения дальности полета на 30%.</w:t>
      </w:r>
    </w:p>
    <w:p w14:paraId="46E4ED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Просить народного комиссара авиационного промышленности СССР Шахурина для ускорения проведения модификаций самолетов ЛАГГ-3:</w:t>
      </w:r>
    </w:p>
    <w:p w14:paraId="5786DD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направить из работников ЛИИ на постоянную работу в летно-экспериментальную станцию ОКБ завода N 21 инженера-летчика Станкевича, инженера по обработке материалов испытаний Малочаева, инженера-экспериментатора и группу работников ЦИАМ во главе с Литвиновым для временной работы по доводке и испытанию нагнетателей Трескина;</w:t>
      </w:r>
    </w:p>
    <w:p w14:paraId="6BEA89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оказать помощь опытному конструкторскому бюро завода N 21 в получении приборов, согласно приложению N 2.</w:t>
      </w:r>
    </w:p>
    <w:p w14:paraId="1FAE9A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директора автозавода им. Молотова Лоскутова предоставить возможность экспериментальной группе ОКБ завода N 21 в 7-8 человек производить в отделе N 10 работу по доводке нагнетателя Трескина на моторах М-105 и М-107. Оказать помощь экспериментальной группе квалифицированными рабочими, инструментом и деталями с тем, чтобы указанную работу закончить не позднее 15.IV.1942 года.</w:t>
      </w:r>
    </w:p>
    <w:p w14:paraId="0876EA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директора завода N 467 Авербах изготовить и поставить ОКБ завода N 21 к 20.II.с.г. два иксообразных винта и к 15.III.с.г. - реверсивный винт.</w:t>
      </w:r>
    </w:p>
    <w:p w14:paraId="550259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директора Кулебакского металлургического завода им. Кирова Скиба изготовить для ОКБ завода N 21 из бронированной стали 4 наименования деталей по первому варианту в количестве 40 комплектов, срок 25.IIс.г. и 7 наименований деталей по второму варианту в количестве 10 комплектов, срок - 1.III.1942 года (2160,149).</w:t>
      </w:r>
    </w:p>
    <w:p w14:paraId="562005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F99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инспектор ОЭР Хорошин и Нач. ПДБ ОЭР Винник писали Нач. ОЭР завода 18 Боброву докладную записку о пребывании на аэродроме Кряж в 1-й ЗАП, которая направляла Ил-2 на фронт (1635,116).</w:t>
      </w:r>
    </w:p>
    <w:p w14:paraId="2B337E5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ао в/заданию мы с бригадой в 13 человек направились на аэродром КРЯЖ для оказания технической помощи 1-му ЗАБ в дополнение к бригаде т. БАБИНА Л. А, работавшей в этой части.</w:t>
      </w:r>
    </w:p>
    <w:p w14:paraId="71826C3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того, что автобус, на котором мы отправились на аэродром оказался непригодным для поездки, часть пути пришлось пройти пешком и в Кряж мы прибыли в 13 часов.</w:t>
      </w:r>
    </w:p>
    <w:p w14:paraId="337ED5B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Несмотрь на тщательные поиски нам не удадось найти ни одного командира, могущего принять бригаду. После многократных попыток, на</w:t>
      </w:r>
      <w:r w:rsidRPr="008127F8">
        <w:rPr>
          <w:rFonts w:ascii="Times New Roman" w:hAnsi="Times New Roman"/>
          <w:color w:val="000000" w:themeColor="text1"/>
          <w:sz w:val="16"/>
          <w:szCs w:val="16"/>
        </w:rPr>
        <w:softHyphen/>
        <w:t xml:space="preserve">конец смогли дозвониться в город </w:t>
      </w:r>
      <w:proofErr w:type="gramStart"/>
      <w:r w:rsidRPr="008127F8">
        <w:rPr>
          <w:rFonts w:ascii="Times New Roman" w:hAnsi="Times New Roman"/>
          <w:color w:val="000000" w:themeColor="text1"/>
          <w:sz w:val="16"/>
          <w:szCs w:val="16"/>
        </w:rPr>
        <w:t>к инженер</w:t>
      </w:r>
      <w:proofErr w:type="gramEnd"/>
      <w:r w:rsidRPr="008127F8">
        <w:rPr>
          <w:rFonts w:ascii="Times New Roman" w:hAnsi="Times New Roman"/>
          <w:color w:val="000000" w:themeColor="text1"/>
          <w:sz w:val="16"/>
          <w:szCs w:val="16"/>
        </w:rPr>
        <w:t xml:space="preserve"> 1 ЗАБ в/инженеру 1го ранга т. КРАВЧЕНКО, который и прибыл по нашей просьбе в часть к 17 часам. Узнав о приезде дополнительной бригады, т. КРАВЧЕНКО был "неприятно удивлен" этим и </w:t>
      </w:r>
      <w:proofErr w:type="gramStart"/>
      <w:r w:rsidRPr="008127F8">
        <w:rPr>
          <w:rFonts w:ascii="Times New Roman" w:hAnsi="Times New Roman"/>
          <w:color w:val="000000" w:themeColor="text1"/>
          <w:sz w:val="16"/>
          <w:szCs w:val="16"/>
        </w:rPr>
        <w:t>заявил,что</w:t>
      </w:r>
      <w:proofErr w:type="gramEnd"/>
      <w:r w:rsidRPr="008127F8">
        <w:rPr>
          <w:rFonts w:ascii="Times New Roman" w:hAnsi="Times New Roman"/>
          <w:color w:val="000000" w:themeColor="text1"/>
          <w:sz w:val="16"/>
          <w:szCs w:val="16"/>
        </w:rPr>
        <w:t xml:space="preserve"> "бригаду я не просил, бригада мне не нужна, мне достаточно бригада Бабанина” и т.д.</w:t>
      </w:r>
    </w:p>
    <w:p w14:paraId="23DAD0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просьбу написать об этом официально, т. Кравченко ответил отказом.</w:t>
      </w:r>
    </w:p>
    <w:p w14:paraId="1C88850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длительных разговоров с командиром БАО и после заявле</w:t>
      </w:r>
      <w:r w:rsidRPr="008127F8">
        <w:rPr>
          <w:rFonts w:ascii="Times New Roman" w:hAnsi="Times New Roman"/>
          <w:color w:val="000000" w:themeColor="text1"/>
          <w:sz w:val="16"/>
          <w:szCs w:val="16"/>
        </w:rPr>
        <w:softHyphen/>
        <w:t>ния о том, что бригада пробудет только до окончания замены моторов, т.е. 4—4 дней, т. Кравченко удалось уговорить командира БАО разместить бригаду в бараке гаража. Постельными приаадлежностьми бригада полностью не обеспечена.</w:t>
      </w:r>
    </w:p>
    <w:p w14:paraId="3C64983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осмотре материальной части выяснилось следующее:</w:t>
      </w:r>
    </w:p>
    <w:p w14:paraId="7A2F552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На машинах 2702, 6502, 0102, 7501 произведена замена головок блоков и производится окончательный монтаж ВМГ</w:t>
      </w:r>
    </w:p>
    <w:p w14:paraId="04E3CD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машнах 9701, 8801, 9801, 8501, 8201, б901, 6301, 9101 ироизводится замена моторов. На 3-х самолетах моторы уже установлены, производится монтаж. На этих машинах работает техкоманда 1 ЗАВ в количестве 60 человек и бригада з-да 24. По указанию т. Кравченко наша бригада будет "следить за правильностью монтажа”.</w:t>
      </w:r>
    </w:p>
    <w:p w14:paraId="3251A69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машине 202 - замена правой плоскости. Работы не могут производится из-за отсутствия козелков, необходимых для нивеллировки. Несмотря не неоднократное заявления т. Вабанина, козелков до сих пор нет.\</w:t>
      </w:r>
    </w:p>
    <w:p w14:paraId="016FC45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машине 7401 бригадой Бабанина производится: замена масло-водо-радиаторор и троссов управления заслонками /порваны в/частью/.</w:t>
      </w:r>
    </w:p>
    <w:p w14:paraId="37CB47B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течении 3-х дней никто из техсостава части к самолету не подходил, работой бригады </w:t>
      </w:r>
      <w:proofErr w:type="gramStart"/>
      <w:r w:rsidRPr="008127F8">
        <w:rPr>
          <w:rFonts w:ascii="Times New Roman" w:hAnsi="Times New Roman"/>
          <w:color w:val="000000" w:themeColor="text1"/>
          <w:sz w:val="16"/>
          <w:szCs w:val="16"/>
        </w:rPr>
        <w:t>не интересуется</w:t>
      </w:r>
      <w:proofErr w:type="gramEnd"/>
      <w:r w:rsidRPr="008127F8">
        <w:rPr>
          <w:rFonts w:ascii="Times New Roman" w:hAnsi="Times New Roman"/>
          <w:color w:val="000000" w:themeColor="text1"/>
          <w:sz w:val="16"/>
          <w:szCs w:val="16"/>
        </w:rPr>
        <w:t xml:space="preserve"> и машина брошена на произвол судьбы.</w:t>
      </w:r>
    </w:p>
    <w:p w14:paraId="0C8C289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Машина 5202- летчик нарулил на самолет ПЕ-2, ремонт производит ПАРМ.</w:t>
      </w:r>
    </w:p>
    <w:p w14:paraId="77FD91E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машин осмотреть не удалось, т.к. на самолетах никто не работал, машина стояли зачехленные.</w:t>
      </w:r>
    </w:p>
    <w:p w14:paraId="55D41AF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остальных машин сообщено в сводке.</w:t>
      </w:r>
    </w:p>
    <w:p w14:paraId="451B8F4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Считаем, что присутствие в Кряже большой заводской является нецелесообразной. Вполне обеспечит устранение заводских дефектов бригада т. Бабанина.</w:t>
      </w:r>
    </w:p>
    <w:p w14:paraId="4D53B7C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Присутствие-же большой брнгады, работающей за техоостав приводит только к расхолаживанию последнего и отлыниванию его от работы.</w:t>
      </w:r>
    </w:p>
    <w:p w14:paraId="1FBE67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Дополнительно с общаем, что лампы АПЛ-1 и трубы к ним, присланные в 1-й ЗАБ нашим з-дом - разбросаны по аэродрому - валяются в снегу, что свидетельствует о небрежном отношении к этому имуществу </w:t>
      </w:r>
      <w:proofErr w:type="gramStart"/>
      <w:r w:rsidRPr="008127F8">
        <w:rPr>
          <w:rFonts w:ascii="Times New Roman" w:hAnsi="Times New Roman"/>
          <w:color w:val="000000" w:themeColor="text1"/>
          <w:sz w:val="16"/>
          <w:szCs w:val="16"/>
        </w:rPr>
        <w:t>со сторона</w:t>
      </w:r>
      <w:proofErr w:type="gramEnd"/>
      <w:r w:rsidRPr="008127F8">
        <w:rPr>
          <w:rFonts w:ascii="Times New Roman" w:hAnsi="Times New Roman"/>
          <w:color w:val="000000" w:themeColor="text1"/>
          <w:sz w:val="16"/>
          <w:szCs w:val="16"/>
        </w:rPr>
        <w:t xml:space="preserve"> техсостава.</w:t>
      </w:r>
    </w:p>
    <w:p w14:paraId="669825C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 ЗАБ существует положение, когда вместо того, чтобы выявить истинного виновника дефектов, которой является в большинстве своем неподготовленность и незнание материальной части, технический состав, - все относить на счет завода и даже Начпрод БАО, в ответ на законное требование бригады об обеспечении пищей и тот заявил, что “если-бы на заводе работали лучше, вас бы сюда не прислали.”</w:t>
      </w:r>
    </w:p>
    <w:p w14:paraId="75EF1A8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 выделяем вопрос о связи брагады с заводом. Иногда серьезная работа задерживается и из-за отсутстви мелочей, которые чрезвычайно трудно доставить с з-да. Встречается необходммость разрешения ряда вопросов с руководством ОЭР и завода.</w:t>
      </w:r>
    </w:p>
    <w:p w14:paraId="70D9FDA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Считаем, что для оператавной связи е аэродромом в распоряжение ОЭР должен быть самолет У-2 (1635).</w:t>
      </w:r>
    </w:p>
    <w:p w14:paraId="75E470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7EB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С.В.И. писал А.И.Ш. письмо N 205 с:</w:t>
      </w:r>
    </w:p>
    <w:p w14:paraId="2B92DF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"По имеющимся сведениям</w:t>
      </w:r>
      <w:proofErr w:type="gramEnd"/>
      <w:r w:rsidRPr="008127F8">
        <w:rPr>
          <w:rFonts w:ascii="Times New Roman" w:hAnsi="Times New Roman"/>
          <w:color w:val="000000" w:themeColor="text1"/>
          <w:sz w:val="16"/>
          <w:szCs w:val="16"/>
        </w:rPr>
        <w:t xml:space="preserve"> во всех главнейших в техническом отношении странах, в Америке, в Англии, в Германии, несмотря на войну ведется усиленная работа по водяным моторам с нормальной мощностью 2000 нр и выше.</w:t>
      </w:r>
    </w:p>
    <w:p w14:paraId="3C8F14D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системе НКАП эти работы до войны проводились усиленными темпами.</w:t>
      </w:r>
    </w:p>
    <w:p w14:paraId="581EC5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данный момент эти работы приостановлены или ведутся слабыми темпами.</w:t>
      </w:r>
    </w:p>
    <w:p w14:paraId="2F79B0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24 работает над увеличением мощности АМ-38, но для того, чтобы иметь номинальную мощность 2000 нр, необходимо АМ-38 переконструировать заново, без коренной переделки получить номинальную мощность 2000 нр нельзя.</w:t>
      </w:r>
    </w:p>
    <w:p w14:paraId="6A7CB9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16 построил новый мотор М-250 конструкции Добрынина с номинальной мощностью 2300 нр, превосходство этого мотора по отношению к АМ-38 в смысле схемы и дальнейшего развития мощности мотора по этой схеме - очевидно.</w:t>
      </w:r>
    </w:p>
    <w:p w14:paraId="4DDF11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Мотор М250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мотор будущего. Поэтому вношу предложение ускорить испытания и доводки М-250, передав его на завод, который его создал, т.е. на завод 16.</w:t>
      </w:r>
    </w:p>
    <w:p w14:paraId="01A2CB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скорейшей отработки М-250 в воздухе принимаю на себя обязательства поставить М-250 на Ил-2 и провести испытания.</w:t>
      </w:r>
    </w:p>
    <w:p w14:paraId="5D6AC8F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М-250 на Ил-2 может быть произведена через 1.5 месяца после получения мотора (1679,81).</w:t>
      </w:r>
    </w:p>
    <w:p w14:paraId="64AD62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B92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л 21 завода Ю.К.Станкевич разбил при испытаниях ЛаГГ-3 вследствие отрыва предкрылка. Машина вошла в штопор и врезалась в землю. Л погиб (2108).</w:t>
      </w:r>
    </w:p>
    <w:p w14:paraId="6D4DC0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B85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февраля 1942 г. ИТП М-1 начали готовить к проведению летных испытаний. В последующие дни самолет вывезли на аэродром, рулил и разбегался летчик Попельнушенко. Далее к продолжению тестирования готовился Петр Логинов. Первый полет 13 марта 1942 г. с аэродрома в Новосибирске выполнил летчик А.И.Никашин. Уже при заходе на посадку произошло повреждение масляной магистрали, с последующим выбросом масла. До 3 апреля удалось выполнить всего 5 </w:t>
      </w:r>
      <w:r w:rsidRPr="008127F8">
        <w:rPr>
          <w:rFonts w:ascii="Times New Roman" w:hAnsi="Times New Roman"/>
          <w:color w:val="000000" w:themeColor="text1"/>
          <w:sz w:val="16"/>
          <w:szCs w:val="16"/>
        </w:rPr>
        <w:lastRenderedPageBreak/>
        <w:t>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1873C6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2C8BD9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0C12E0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4B46F5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7C51D2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8127F8" w14:paraId="752351AB" w14:textId="77777777">
        <w:tc>
          <w:tcPr>
            <w:tcW w:w="3736" w:type="dxa"/>
            <w:tcBorders>
              <w:top w:val="single" w:sz="12" w:space="0" w:color="auto"/>
            </w:tcBorders>
          </w:tcPr>
          <w:p w14:paraId="6A0B4E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4ED130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w:t>
            </w:r>
          </w:p>
        </w:tc>
        <w:tc>
          <w:tcPr>
            <w:tcW w:w="3736" w:type="dxa"/>
            <w:tcBorders>
              <w:top w:val="single" w:sz="12" w:space="0" w:color="auto"/>
            </w:tcBorders>
          </w:tcPr>
          <w:p w14:paraId="4A45DC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w:t>
            </w:r>
          </w:p>
        </w:tc>
      </w:tr>
      <w:tr w:rsidR="006F4095" w:rsidRPr="008127F8" w14:paraId="1A6CB016" w14:textId="77777777">
        <w:tc>
          <w:tcPr>
            <w:tcW w:w="3736" w:type="dxa"/>
          </w:tcPr>
          <w:p w14:paraId="6700F9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w:t>
            </w:r>
          </w:p>
        </w:tc>
        <w:tc>
          <w:tcPr>
            <w:tcW w:w="3736" w:type="dxa"/>
          </w:tcPr>
          <w:p w14:paraId="2B697D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3736" w:type="dxa"/>
          </w:tcPr>
          <w:p w14:paraId="08FAD9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4B4987BF" w14:textId="77777777">
        <w:tc>
          <w:tcPr>
            <w:tcW w:w="3736" w:type="dxa"/>
          </w:tcPr>
          <w:p w14:paraId="56ABF4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в линии полета (м)</w:t>
            </w:r>
          </w:p>
        </w:tc>
        <w:tc>
          <w:tcPr>
            <w:tcW w:w="3736" w:type="dxa"/>
          </w:tcPr>
          <w:p w14:paraId="1DE076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c>
          <w:tcPr>
            <w:tcW w:w="3736" w:type="dxa"/>
          </w:tcPr>
          <w:p w14:paraId="473B5C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r>
      <w:tr w:rsidR="006F4095" w:rsidRPr="008127F8" w14:paraId="606929A2" w14:textId="77777777">
        <w:tc>
          <w:tcPr>
            <w:tcW w:w="3736" w:type="dxa"/>
          </w:tcPr>
          <w:p w14:paraId="5EE981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(м2)</w:t>
            </w:r>
          </w:p>
        </w:tc>
        <w:tc>
          <w:tcPr>
            <w:tcW w:w="3736" w:type="dxa"/>
          </w:tcPr>
          <w:p w14:paraId="3F1DDB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c>
          <w:tcPr>
            <w:tcW w:w="3736" w:type="dxa"/>
          </w:tcPr>
          <w:p w14:paraId="7771B6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r>
      <w:tr w:rsidR="006F4095" w:rsidRPr="008127F8" w14:paraId="5A0D9822" w14:textId="77777777">
        <w:tc>
          <w:tcPr>
            <w:tcW w:w="3736" w:type="dxa"/>
          </w:tcPr>
          <w:p w14:paraId="3D6F26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(кг)</w:t>
            </w:r>
          </w:p>
        </w:tc>
        <w:tc>
          <w:tcPr>
            <w:tcW w:w="3736" w:type="dxa"/>
          </w:tcPr>
          <w:p w14:paraId="6C19B0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2598</w:t>
            </w:r>
          </w:p>
        </w:tc>
        <w:tc>
          <w:tcPr>
            <w:tcW w:w="3736" w:type="dxa"/>
          </w:tcPr>
          <w:p w14:paraId="30A236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3095</w:t>
            </w:r>
          </w:p>
        </w:tc>
      </w:tr>
      <w:tr w:rsidR="006F4095" w:rsidRPr="008127F8" w14:paraId="1F8143EC" w14:textId="77777777">
        <w:tc>
          <w:tcPr>
            <w:tcW w:w="3736" w:type="dxa"/>
          </w:tcPr>
          <w:p w14:paraId="569229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3736" w:type="dxa"/>
          </w:tcPr>
          <w:p w14:paraId="40440D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3750 (3366)</w:t>
            </w:r>
          </w:p>
        </w:tc>
        <w:tc>
          <w:tcPr>
            <w:tcW w:w="3736" w:type="dxa"/>
          </w:tcPr>
          <w:p w14:paraId="0DB979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3820</w:t>
            </w:r>
          </w:p>
        </w:tc>
      </w:tr>
      <w:tr w:rsidR="006F4095" w:rsidRPr="008127F8" w14:paraId="30A6FA6D" w14:textId="77777777">
        <w:tc>
          <w:tcPr>
            <w:tcW w:w="3736" w:type="dxa"/>
          </w:tcPr>
          <w:p w14:paraId="3D1787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крыло (кг/м2)</w:t>
            </w:r>
          </w:p>
        </w:tc>
        <w:tc>
          <w:tcPr>
            <w:tcW w:w="3736" w:type="dxa"/>
          </w:tcPr>
          <w:p w14:paraId="4AC59A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3736" w:type="dxa"/>
          </w:tcPr>
          <w:p w14:paraId="19C835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w:t>
            </w:r>
          </w:p>
        </w:tc>
      </w:tr>
      <w:tr w:rsidR="006F4095" w:rsidRPr="008127F8" w14:paraId="5DEB1E4F" w14:textId="77777777">
        <w:tc>
          <w:tcPr>
            <w:tcW w:w="3736" w:type="dxa"/>
          </w:tcPr>
          <w:p w14:paraId="10E1F9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(км/ч)</w:t>
            </w:r>
          </w:p>
        </w:tc>
        <w:tc>
          <w:tcPr>
            <w:tcW w:w="3736" w:type="dxa"/>
          </w:tcPr>
          <w:p w14:paraId="483BA4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541</w:t>
            </w:r>
          </w:p>
        </w:tc>
        <w:tc>
          <w:tcPr>
            <w:tcW w:w="3736" w:type="dxa"/>
          </w:tcPr>
          <w:p w14:paraId="331F96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r>
      <w:tr w:rsidR="006F4095" w:rsidRPr="008127F8" w14:paraId="05BCA25D" w14:textId="77777777">
        <w:tc>
          <w:tcPr>
            <w:tcW w:w="3736" w:type="dxa"/>
          </w:tcPr>
          <w:p w14:paraId="1FF692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 скорость у земли на форсаже (км/ч)</w:t>
            </w:r>
          </w:p>
        </w:tc>
        <w:tc>
          <w:tcPr>
            <w:tcW w:w="3736" w:type="dxa"/>
          </w:tcPr>
          <w:p w14:paraId="516D24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w:t>
            </w:r>
          </w:p>
        </w:tc>
        <w:tc>
          <w:tcPr>
            <w:tcW w:w="3736" w:type="dxa"/>
          </w:tcPr>
          <w:p w14:paraId="63105C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129F037F" w14:textId="77777777">
        <w:tc>
          <w:tcPr>
            <w:tcW w:w="3736" w:type="dxa"/>
          </w:tcPr>
          <w:p w14:paraId="30AD82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5000 м (км/ч)</w:t>
            </w:r>
          </w:p>
        </w:tc>
        <w:tc>
          <w:tcPr>
            <w:tcW w:w="3736" w:type="dxa"/>
          </w:tcPr>
          <w:p w14:paraId="0B6BDC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645*</w:t>
            </w:r>
          </w:p>
        </w:tc>
        <w:tc>
          <w:tcPr>
            <w:tcW w:w="3736" w:type="dxa"/>
          </w:tcPr>
          <w:p w14:paraId="43F114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r>
      <w:tr w:rsidR="006F4095" w:rsidRPr="008127F8" w14:paraId="637042B2" w14:textId="77777777">
        <w:tc>
          <w:tcPr>
            <w:tcW w:w="3736" w:type="dxa"/>
          </w:tcPr>
          <w:p w14:paraId="7955E5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3736" w:type="dxa"/>
          </w:tcPr>
          <w:p w14:paraId="6F43A2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3736" w:type="dxa"/>
          </w:tcPr>
          <w:p w14:paraId="10C7FE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6F4095" w:rsidRPr="008127F8" w14:paraId="789FD990" w14:textId="77777777">
        <w:tc>
          <w:tcPr>
            <w:tcW w:w="3736" w:type="dxa"/>
            <w:tcBorders>
              <w:bottom w:val="single" w:sz="12" w:space="0" w:color="auto"/>
            </w:tcBorders>
          </w:tcPr>
          <w:p w14:paraId="64BB81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(м)</w:t>
            </w:r>
          </w:p>
        </w:tc>
        <w:tc>
          <w:tcPr>
            <w:tcW w:w="3736" w:type="dxa"/>
            <w:tcBorders>
              <w:bottom w:val="single" w:sz="12" w:space="0" w:color="auto"/>
            </w:tcBorders>
          </w:tcPr>
          <w:p w14:paraId="086E84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736" w:type="dxa"/>
            <w:tcBorders>
              <w:bottom w:val="single" w:sz="12" w:space="0" w:color="auto"/>
            </w:tcBorders>
          </w:tcPr>
          <w:p w14:paraId="12D7B7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11500</w:t>
            </w:r>
          </w:p>
        </w:tc>
      </w:tr>
    </w:tbl>
    <w:p w14:paraId="276A6C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Скорость на высоте 6200 м</w:t>
      </w:r>
    </w:p>
    <w:p w14:paraId="38C919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на 2500 м. на форсаже 650 км/ч</w:t>
      </w:r>
    </w:p>
    <w:p w14:paraId="15F127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Время набора высоты (12016).</w:t>
      </w:r>
    </w:p>
    <w:p w14:paraId="5F8402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13D14"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февраля 1942 г. самолет ИТП-1 нача</w:t>
      </w:r>
      <w:r w:rsidRPr="008A2E5A">
        <w:rPr>
          <w:rFonts w:ascii="Times New Roman" w:hAnsi="Times New Roman"/>
          <w:color w:val="0070C0"/>
          <w:sz w:val="16"/>
          <w:szCs w:val="16"/>
        </w:rPr>
        <w:softHyphen/>
        <w:t>ли готовить к проведению за</w:t>
      </w:r>
      <w:r w:rsidRPr="008A2E5A">
        <w:rPr>
          <w:rFonts w:ascii="Times New Roman" w:hAnsi="Times New Roman"/>
          <w:color w:val="0070C0"/>
          <w:sz w:val="16"/>
          <w:szCs w:val="16"/>
        </w:rPr>
        <w:softHyphen/>
        <w:t>водских летных испытаний. От НИИ ВВС ведущим летчи</w:t>
      </w:r>
      <w:r w:rsidRPr="008A2E5A">
        <w:rPr>
          <w:rFonts w:ascii="Times New Roman" w:hAnsi="Times New Roman"/>
          <w:color w:val="0070C0"/>
          <w:sz w:val="16"/>
          <w:szCs w:val="16"/>
        </w:rPr>
        <w:softHyphen/>
        <w:t>ком-испытателем был назна</w:t>
      </w:r>
      <w:r w:rsidRPr="008A2E5A">
        <w:rPr>
          <w:rFonts w:ascii="Times New Roman" w:hAnsi="Times New Roman"/>
          <w:color w:val="0070C0"/>
          <w:sz w:val="16"/>
          <w:szCs w:val="16"/>
        </w:rPr>
        <w:softHyphen/>
        <w:t xml:space="preserve">чен военинженер 1-го ранга А.И. Никашин, ведущим инженером - военинженер 1-го ранга </w:t>
      </w:r>
      <w:proofErr w:type="gramStart"/>
      <w:r w:rsidRPr="008A2E5A">
        <w:rPr>
          <w:rFonts w:ascii="Times New Roman" w:hAnsi="Times New Roman"/>
          <w:color w:val="0070C0"/>
          <w:sz w:val="16"/>
          <w:szCs w:val="16"/>
        </w:rPr>
        <w:t>И.Г</w:t>
      </w:r>
      <w:proofErr w:type="gramEnd"/>
      <w:r w:rsidRPr="008A2E5A">
        <w:rPr>
          <w:rFonts w:ascii="Times New Roman" w:hAnsi="Times New Roman"/>
          <w:color w:val="0070C0"/>
          <w:sz w:val="16"/>
          <w:szCs w:val="16"/>
        </w:rPr>
        <w:t xml:space="preserve"> Лазарев. Летчиком-ис</w:t>
      </w:r>
      <w:r w:rsidRPr="008A2E5A">
        <w:rPr>
          <w:rFonts w:ascii="Times New Roman" w:hAnsi="Times New Roman"/>
          <w:color w:val="0070C0"/>
          <w:sz w:val="16"/>
          <w:szCs w:val="16"/>
        </w:rPr>
        <w:softHyphen/>
        <w:t>пытателем от ЛИИ НКАП был капитан П.М. Попельнушенко (24297).</w:t>
      </w:r>
    </w:p>
    <w:p w14:paraId="0720F7D8" w14:textId="77777777" w:rsidR="00FB48BF" w:rsidRPr="008A2E5A" w:rsidRDefault="00FB48BF" w:rsidP="00FB48BF">
      <w:pPr>
        <w:spacing w:after="0" w:line="240" w:lineRule="auto"/>
        <w:jc w:val="both"/>
        <w:rPr>
          <w:rFonts w:ascii="Times New Roman" w:hAnsi="Times New Roman"/>
          <w:color w:val="0070C0"/>
          <w:sz w:val="16"/>
          <w:szCs w:val="16"/>
        </w:rPr>
      </w:pPr>
    </w:p>
    <w:p w14:paraId="6667B01D" w14:textId="77777777" w:rsidR="00422298" w:rsidRPr="008127F8" w:rsidRDefault="0042229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14 февраля 1942 самолет ИТП (М-1) начали готовить к прове</w:t>
      </w:r>
      <w:r w:rsidRPr="008127F8">
        <w:rPr>
          <w:color w:val="000000" w:themeColor="text1"/>
          <w:sz w:val="16"/>
          <w:szCs w:val="16"/>
        </w:rPr>
        <w:softHyphen/>
        <w:t>дению заводских летных испытаний. От НИИ ВВС ведущим летчиком-испытателем был назначен во</w:t>
      </w:r>
      <w:r w:rsidRPr="008127F8">
        <w:rPr>
          <w:color w:val="000000" w:themeColor="text1"/>
          <w:sz w:val="16"/>
          <w:szCs w:val="16"/>
        </w:rPr>
        <w:softHyphen/>
        <w:t>енинженер 1-го ранга А. И. Никашин, ведущим ин</w:t>
      </w:r>
      <w:r w:rsidRPr="008127F8">
        <w:rPr>
          <w:color w:val="000000" w:themeColor="text1"/>
          <w:sz w:val="16"/>
          <w:szCs w:val="16"/>
        </w:rPr>
        <w:softHyphen/>
        <w:t>женером — военинженер 1-го ранга И. Г. Лазарев. Летчиком-испытателем от ЛИИ НКАП был капитан П. М. Попельнушенко.</w:t>
      </w:r>
    </w:p>
    <w:p w14:paraId="32DC3FBF" w14:textId="77777777" w:rsidR="00422298" w:rsidRPr="008127F8" w:rsidRDefault="0042229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течение месяца было выполнено несколь</w:t>
      </w:r>
      <w:r w:rsidRPr="008127F8">
        <w:rPr>
          <w:color w:val="000000" w:themeColor="text1"/>
          <w:sz w:val="16"/>
          <w:szCs w:val="16"/>
        </w:rPr>
        <w:softHyphen/>
        <w:t>ко рулежек и подлетов. Машина вела себя вполне нормально. По состоянию на 10 марта 1942 г. на ИТП (М-1) продолжала доводиться винтомоторная группа. Первый вылет самолета намечался на 12— 13 марта (17500).</w:t>
      </w:r>
    </w:p>
    <w:p w14:paraId="46865BDA" w14:textId="77777777" w:rsidR="00422298" w:rsidRPr="008127F8" w:rsidRDefault="00422298" w:rsidP="001E0A84">
      <w:pPr>
        <w:spacing w:after="0" w:line="240" w:lineRule="auto"/>
        <w:jc w:val="both"/>
        <w:rPr>
          <w:rFonts w:ascii="Times New Roman" w:eastAsia="Times New Roman" w:hAnsi="Times New Roman"/>
          <w:color w:val="000000" w:themeColor="text1"/>
          <w:sz w:val="16"/>
          <w:szCs w:val="16"/>
          <w:lang w:eastAsia="ru-RU"/>
        </w:rPr>
      </w:pPr>
    </w:p>
    <w:p w14:paraId="46C3A2B2"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февраля 1942 г. был подписан отчет Начальника истребительного отдела НИИ ВВС военинженера 1 ранга А.Н. Фролов, который внимательно про</w:t>
      </w:r>
      <w:r w:rsidRPr="008A2E5A">
        <w:rPr>
          <w:rFonts w:ascii="Times New Roman" w:hAnsi="Times New Roman"/>
          <w:color w:val="0070C0"/>
          <w:sz w:val="16"/>
          <w:szCs w:val="16"/>
        </w:rPr>
        <w:softHyphen/>
        <w:t>анализировал всю имевшуюся информацию по Bf I09F, сравнив «мессер» с новыми типа</w:t>
      </w:r>
      <w:r w:rsidRPr="008A2E5A">
        <w:rPr>
          <w:rFonts w:ascii="Times New Roman" w:hAnsi="Times New Roman"/>
          <w:color w:val="0070C0"/>
          <w:sz w:val="16"/>
          <w:szCs w:val="16"/>
        </w:rPr>
        <w:softHyphen/>
        <w:t>ми советских истребителей. Фролов отмечалось, что для боя с Bf 109F лучше других наших истребите</w:t>
      </w:r>
      <w:r w:rsidRPr="008A2E5A">
        <w:rPr>
          <w:rFonts w:ascii="Times New Roman" w:hAnsi="Times New Roman"/>
          <w:color w:val="0070C0"/>
          <w:sz w:val="16"/>
          <w:szCs w:val="16"/>
        </w:rPr>
        <w:softHyphen/>
        <w:t>лей подходил Як-1, хотя и он уступал «Фрид</w:t>
      </w:r>
      <w:r w:rsidRPr="008A2E5A">
        <w:rPr>
          <w:rFonts w:ascii="Times New Roman" w:hAnsi="Times New Roman"/>
          <w:color w:val="0070C0"/>
          <w:sz w:val="16"/>
          <w:szCs w:val="16"/>
        </w:rPr>
        <w:softHyphen/>
        <w:t>риху» в скорости и скороподъемности на ма</w:t>
      </w:r>
      <w:r w:rsidRPr="008A2E5A">
        <w:rPr>
          <w:rFonts w:ascii="Times New Roman" w:hAnsi="Times New Roman"/>
          <w:color w:val="0070C0"/>
          <w:sz w:val="16"/>
          <w:szCs w:val="16"/>
        </w:rPr>
        <w:softHyphen/>
        <w:t>лых высотах.</w:t>
      </w:r>
    </w:p>
    <w:p w14:paraId="5A45618D"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Труднее было вести борьбу с «мессершмит</w:t>
      </w:r>
      <w:r w:rsidRPr="008A2E5A">
        <w:rPr>
          <w:rFonts w:ascii="Times New Roman" w:hAnsi="Times New Roman"/>
          <w:color w:val="0070C0"/>
          <w:sz w:val="16"/>
          <w:szCs w:val="16"/>
        </w:rPr>
        <w:softHyphen/>
        <w:t>том» советскому истребителю ЛаГГ-3, по</w:t>
      </w:r>
      <w:r w:rsidRPr="008A2E5A">
        <w:rPr>
          <w:rFonts w:ascii="Times New Roman" w:hAnsi="Times New Roman"/>
          <w:color w:val="0070C0"/>
          <w:sz w:val="16"/>
          <w:szCs w:val="16"/>
        </w:rPr>
        <w:softHyphen/>
        <w:t>скольку он сильно отставал по основным лет</w:t>
      </w:r>
      <w:r w:rsidRPr="008A2E5A">
        <w:rPr>
          <w:rFonts w:ascii="Times New Roman" w:hAnsi="Times New Roman"/>
          <w:color w:val="0070C0"/>
          <w:sz w:val="16"/>
          <w:szCs w:val="16"/>
        </w:rPr>
        <w:softHyphen/>
        <w:t>ным данным, за исключением мощности стрелково-пушечного вооружения. К тому же ЛаГГ-3 отличался «тяжелым» управлением, особенно при переходе из одной фигуры в другую. Что касается МиГ-3, то этот истреби</w:t>
      </w:r>
      <w:r w:rsidRPr="008A2E5A">
        <w:rPr>
          <w:rFonts w:ascii="Times New Roman" w:hAnsi="Times New Roman"/>
          <w:color w:val="0070C0"/>
          <w:sz w:val="16"/>
          <w:szCs w:val="16"/>
        </w:rPr>
        <w:softHyphen/>
        <w:t>тель обладал хорошими характеристиками на высотах 5000 м и более, где бои происходили относительно редко, а вблизи земли он проиг</w:t>
      </w:r>
      <w:r w:rsidRPr="008A2E5A">
        <w:rPr>
          <w:rFonts w:ascii="Times New Roman" w:hAnsi="Times New Roman"/>
          <w:color w:val="0070C0"/>
          <w:sz w:val="16"/>
          <w:szCs w:val="16"/>
        </w:rPr>
        <w:softHyphen/>
        <w:t>рывал в маневренности более легким Bf I09F. Важным недостатком МиГ-3 оказалось весь</w:t>
      </w:r>
      <w:r w:rsidRPr="008A2E5A">
        <w:rPr>
          <w:rFonts w:ascii="Times New Roman" w:hAnsi="Times New Roman"/>
          <w:color w:val="0070C0"/>
          <w:sz w:val="16"/>
          <w:szCs w:val="16"/>
        </w:rPr>
        <w:softHyphen/>
        <w:t>ма слабое вооружение, состоявшее из одного крупнокалиберного пулемета БС и двух пуле</w:t>
      </w:r>
      <w:r w:rsidRPr="008A2E5A">
        <w:rPr>
          <w:rFonts w:ascii="Times New Roman" w:hAnsi="Times New Roman"/>
          <w:color w:val="0070C0"/>
          <w:sz w:val="16"/>
          <w:szCs w:val="16"/>
        </w:rPr>
        <w:softHyphen/>
        <w:t>метов ШКАС винтовочного калибра.</w:t>
      </w:r>
    </w:p>
    <w:p w14:paraId="32BC44BA"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 Фролов констатировал: «Противник имеет преимущество по основным летно-так</w:t>
      </w:r>
      <w:r w:rsidRPr="008A2E5A">
        <w:rPr>
          <w:rFonts w:ascii="Times New Roman" w:hAnsi="Times New Roman"/>
          <w:color w:val="0070C0"/>
          <w:sz w:val="16"/>
          <w:szCs w:val="16"/>
        </w:rPr>
        <w:softHyphen/>
        <w:t>тическим данным перед всеми типами наших новых истребителей до высоты 2000 м... Взлетно-посадочные свойства наших машин неудовлетворительны (они особенно плохие у ЛаГГ-3). Длина разбега велика, а имеющаяся тенденция разворота вправо усложняет про</w:t>
      </w:r>
      <w:r w:rsidRPr="008A2E5A">
        <w:rPr>
          <w:rFonts w:ascii="Times New Roman" w:hAnsi="Times New Roman"/>
          <w:color w:val="0070C0"/>
          <w:sz w:val="16"/>
          <w:szCs w:val="16"/>
        </w:rPr>
        <w:softHyphen/>
        <w:t>изводство взлета в строю и требует особого внимания при вылете с ограниченных поле</w:t>
      </w:r>
      <w:r w:rsidRPr="008A2E5A">
        <w:rPr>
          <w:rFonts w:ascii="Times New Roman" w:hAnsi="Times New Roman"/>
          <w:color w:val="0070C0"/>
          <w:sz w:val="16"/>
          <w:szCs w:val="16"/>
        </w:rPr>
        <w:softHyphen/>
        <w:t>вых площадок. Большие посадочная скорость и длина пробега также требуют исключитель</w:t>
      </w:r>
      <w:r w:rsidRPr="008A2E5A">
        <w:rPr>
          <w:rFonts w:ascii="Times New Roman" w:hAnsi="Times New Roman"/>
          <w:color w:val="0070C0"/>
          <w:sz w:val="16"/>
          <w:szCs w:val="16"/>
        </w:rPr>
        <w:softHyphen/>
        <w:t>ного внимания и достаточного опыта при точ</w:t>
      </w:r>
      <w:r w:rsidRPr="008A2E5A">
        <w:rPr>
          <w:rFonts w:ascii="Times New Roman" w:hAnsi="Times New Roman"/>
          <w:color w:val="0070C0"/>
          <w:sz w:val="16"/>
          <w:szCs w:val="16"/>
        </w:rPr>
        <w:softHyphen/>
        <w:t>ном расчете захода на посадку...».</w:t>
      </w:r>
    </w:p>
    <w:p w14:paraId="7BA559A0"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более детальной и тщательной оценки Bf 109F руководство НИИ ВВС КА считало необходимым провести его испытания.  (23195).</w:t>
      </w:r>
    </w:p>
    <w:p w14:paraId="116C48F6" w14:textId="77777777" w:rsidR="00FB48BF" w:rsidRPr="008A2E5A" w:rsidRDefault="00FB48BF" w:rsidP="00FB48BF">
      <w:pPr>
        <w:spacing w:after="0" w:line="240" w:lineRule="auto"/>
        <w:jc w:val="both"/>
        <w:rPr>
          <w:rFonts w:ascii="Times New Roman" w:hAnsi="Times New Roman"/>
          <w:color w:val="0070C0"/>
          <w:sz w:val="16"/>
          <w:szCs w:val="16"/>
        </w:rPr>
      </w:pPr>
    </w:p>
    <w:p w14:paraId="2B7E8F64"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14FB6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2AC7B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г. вышел ПРИКАЗ ПО АТУ ГАБТУ КА О ЗАКЛЮЧЕНИИ ХОЗЯЙСТВЕННЫХ ДОГОВОРОВ НА 1942 ГОД №15</w:t>
      </w:r>
    </w:p>
    <w:p w14:paraId="363CBB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52E6A02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Объявляю для руководства и исполнения Постановления СНК Союза ССР от 8 февраля с.г. № 155 «О заключении хозяйственных договоров на 1942 год». Совет народных комиссаров Союза ССР ПОСТАНОВЛЯЕТ:</w:t>
      </w:r>
    </w:p>
    <w:p w14:paraId="749B692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Разрешить наркоматам и центральным учреждениям Союза ССР продлить на 1942 год основ</w:t>
      </w:r>
      <w:r w:rsidRPr="008127F8">
        <w:rPr>
          <w:rFonts w:ascii="Times New Roman" w:hAnsi="Times New Roman"/>
          <w:color w:val="000000" w:themeColor="text1"/>
          <w:sz w:val="16"/>
          <w:szCs w:val="16"/>
        </w:rPr>
        <w:softHyphen/>
        <w:t>ные (общие) условия поставки продукции, действовавшие в 1941 году.</w:t>
      </w:r>
    </w:p>
    <w:p w14:paraId="091D438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Представить наркоматам и центральным учреждениям право в случае необходимости внести по соглашению наркомата - поставщика с наркоматами - потребителями в основные условия постав</w:t>
      </w:r>
      <w:r w:rsidRPr="008127F8">
        <w:rPr>
          <w:rFonts w:ascii="Times New Roman" w:hAnsi="Times New Roman"/>
          <w:color w:val="000000" w:themeColor="text1"/>
          <w:sz w:val="16"/>
          <w:szCs w:val="16"/>
        </w:rPr>
        <w:softHyphen/>
        <w:t>ки товаров на 1942 год, изменения, вытекающие из условий военного времени, кроме военных зака</w:t>
      </w:r>
      <w:r w:rsidRPr="008127F8">
        <w:rPr>
          <w:rFonts w:ascii="Times New Roman" w:hAnsi="Times New Roman"/>
          <w:color w:val="000000" w:themeColor="text1"/>
          <w:sz w:val="16"/>
          <w:szCs w:val="16"/>
        </w:rPr>
        <w:softHyphen/>
        <w:t>зов, изменения условий, по которым утверждаются Правительством.</w:t>
      </w:r>
    </w:p>
    <w:p w14:paraId="42B537F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Заключение договоров произвести на базе основных условий поставки продукции и закон</w:t>
      </w:r>
      <w:r w:rsidRPr="008127F8">
        <w:rPr>
          <w:rFonts w:ascii="Times New Roman" w:hAnsi="Times New Roman"/>
          <w:color w:val="000000" w:themeColor="text1"/>
          <w:sz w:val="16"/>
          <w:szCs w:val="16"/>
        </w:rPr>
        <w:softHyphen/>
        <w:t>чить не позднее 1 марта 1942 года.</w:t>
      </w:r>
    </w:p>
    <w:p w14:paraId="3D31AE7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35FFD9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Начальникам отделов 2, 3, 4 и 5 приступить к немедленному оформлению поставки автотрактор</w:t>
      </w:r>
      <w:r w:rsidRPr="008127F8">
        <w:rPr>
          <w:rFonts w:ascii="Times New Roman" w:hAnsi="Times New Roman"/>
          <w:color w:val="000000" w:themeColor="text1"/>
          <w:sz w:val="16"/>
          <w:szCs w:val="16"/>
        </w:rPr>
        <w:softHyphen/>
        <w:t>ного имущества на 1942 год — договорами.</w:t>
      </w:r>
    </w:p>
    <w:p w14:paraId="33474F5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заключения договоров по управлению устанавливаю — 26 февраля.</w:t>
      </w:r>
    </w:p>
    <w:p w14:paraId="51BBF9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3359BA6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Ежедневно к 20.00 представлять в 1 отдел управления сведения о ходе заключения договоров по отдельным видам имущества.</w:t>
      </w:r>
    </w:p>
    <w:p w14:paraId="144FD60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1 отдела ежедневно в 13.00 докладывать мне сводку о заключенных отделами дого</w:t>
      </w:r>
      <w:r w:rsidRPr="008127F8">
        <w:rPr>
          <w:rFonts w:ascii="Times New Roman" w:hAnsi="Times New Roman"/>
          <w:color w:val="000000" w:themeColor="text1"/>
          <w:sz w:val="16"/>
          <w:szCs w:val="16"/>
        </w:rPr>
        <w:softHyphen/>
        <w:t>ворах за прошедший день.</w:t>
      </w:r>
    </w:p>
    <w:p w14:paraId="55D3C77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Председателя СНК СССР Н. Вознесенский</w:t>
      </w:r>
    </w:p>
    <w:p w14:paraId="38987ED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Управляющий делами Совнаркома СССР Я. Чадаев</w:t>
      </w:r>
    </w:p>
    <w:p w14:paraId="4D46F1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АТУ ГАБТУ КА бригинженер Тягунов</w:t>
      </w:r>
    </w:p>
    <w:p w14:paraId="359A254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Врид военкома АТУ ГАБТУ КА военинженер 2 ранга Церетлишвили</w:t>
      </w:r>
    </w:p>
    <w:p w14:paraId="7594554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140. Л. 28-29. Подлинник (11211).</w:t>
      </w:r>
    </w:p>
    <w:p w14:paraId="5697774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0BC6CDF6"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февраля 1942 на ГАЗ закончили постройку опытного образца Т-70. К 19 февраля была подготовлена программа испытаний Т-70 пробегом, а также испытания установленного в танке вооружения.</w:t>
      </w:r>
    </w:p>
    <w:p w14:paraId="64D80592"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Вышедшая на испытания машина практически по всем характеристикам превосходила Т-60. При равной ширине её длина выросла почти на 20 см, а высота корпуса – почти на 15 см. Боевая масса нового танка выросла до 9 тонн.</w:t>
      </w:r>
    </w:p>
    <w:p w14:paraId="4E5A9C83"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Увеличилась и бронезащита, и на этом моменте стоит остановиться поподробнее. Дело в том, что стараниями некоторых отечественных историков родилась легенда о том, что ГАЗ-70 якобы имел бронирование на уровне Т-60, которое по итогам испытаний было усилено. Но с отчётом об испытаниях опытного образца Т-70 эта легенда не стыкуется никак. Согласно этому документу, толщина центрального лобового листа опытного танка составляла 45 мм, а верхнего лобового листа — 35 мм, как и у пошедшей в серийное производство машины. «Практически равноценным» бронированию Т-60 такая бронезащита не может считаться никак: у танка-предшественника толщина центрального лобового листа корпуса составляла 35 мм, а верхнего – 15 мм (17664).</w:t>
      </w:r>
    </w:p>
    <w:p w14:paraId="05332BB4"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7205144"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14 февраля 1942 создание опытного образца танка лёгкого танка ГАЗ-70 закончили, так что Гинзбург немного опоздал. Между тем, к требованиям по созданию 76-мм САУ набралось немало вопросов:</w:t>
      </w:r>
    </w:p>
    <w:p w14:paraId="4DDA4C02"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Орудие предназначается для совместных действий с мотомехчастями против танков, ДЗОТов, укреплённых точек в населённых пунктах, а также против живой силы противника (стрельба шрапнелью).</w:t>
      </w:r>
    </w:p>
    <w:p w14:paraId="4AA2CC4E"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Вес машины в походном положении 7,5–8 тонн, спец. прицепки 3,5–4 тонны.</w:t>
      </w:r>
    </w:p>
    <w:p w14:paraId="6284B589"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Система имеет противопульную и противоосколочную защиту расчета со лба и частично с боков. Экипаж, двигатель, топливные баки и боекомплект бронируется аналогично Т-60.</w:t>
      </w:r>
    </w:p>
    <w:p w14:paraId="18352383"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 Возимый боекомплект не менее 20 штук унитарных патронов. Основой боекомплект должен транспортироваться на прицепке к Т-60.</w:t>
      </w:r>
    </w:p>
    <w:p w14:paraId="49A00ACB"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5. Система должна иметь как минимум горизонтальный обстрел +/</w:t>
      </w:r>
      <w:r w:rsidRPr="008127F8">
        <w:rPr>
          <w:rFonts w:ascii="Times New Roman" w:eastAsia="Times New Roman" w:hAnsi="Times New Roman"/>
          <w:color w:val="000000" w:themeColor="text1"/>
          <w:sz w:val="16"/>
          <w:szCs w:val="16"/>
          <w:lang w:eastAsia="ru-RU"/>
        </w:rPr>
        <w:t>−</w:t>
      </w:r>
      <w:r w:rsidRPr="008127F8">
        <w:rPr>
          <w:rFonts w:ascii="Times New Roman" w:eastAsia="Times New Roman" w:hAnsi="Times New Roman"/>
          <w:iCs/>
          <w:color w:val="000000" w:themeColor="text1"/>
          <w:sz w:val="16"/>
          <w:szCs w:val="16"/>
          <w:lang w:eastAsia="ru-RU"/>
        </w:rPr>
        <w:t>7 градусов (желательно возможно больший), вертикальный обстрел от –5 до +30 градусов.</w:t>
      </w:r>
    </w:p>
    <w:p w14:paraId="1BCADC0C"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6. Конструкция системы должны обеспечивать возможность ведения огня без специальных упоров (сошников).</w:t>
      </w:r>
    </w:p>
    <w:p w14:paraId="50688B14"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7. Команда (вместе с водителем) 4–5 человек».</w:t>
      </w:r>
    </w:p>
    <w:p w14:paraId="55AC6C7C"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заявленная боевая масса, что боекомплект вызывают некоторое недоумение. Однозначно можно говорить о том, что с таким набором тактико-технических требований нормальную самоходную установку спроектировать было невозможно. Увеличение числа опорных катков до пяти на борт, конечно, подразумевало увеличение длины корпуса, но, как показали дальнейшие работы, этого оказалось недостаточно.</w:t>
      </w:r>
    </w:p>
    <w:p w14:paraId="52CAB24E"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Тем не менее первый шаг к созданию новой лёгкой САУ был сделан (17668).</w:t>
      </w:r>
    </w:p>
    <w:p w14:paraId="45272B55" w14:textId="77777777" w:rsidR="00422298" w:rsidRPr="008127F8" w:rsidRDefault="0042229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A4ED74" w14:textId="77777777" w:rsidR="00C614C6" w:rsidRPr="008127F8" w:rsidRDefault="00C614C6"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shd w:val="clear" w:color="auto" w:fill="FFFFFF"/>
        </w:rPr>
        <w:t>14 февраля 1942 года работы по сборке опытного Т-70 на ГАЗ закончились, после чего начались заводские испытания. При этом боевая масса достигла 8,8 тонн, что лишний раз сыграло против желания усилить борта корпуса (23179).</w:t>
      </w:r>
    </w:p>
    <w:p w14:paraId="55366A8F" w14:textId="77777777" w:rsidR="00C614C6" w:rsidRPr="008127F8" w:rsidRDefault="00C614C6" w:rsidP="001E0A84">
      <w:pPr>
        <w:pStyle w:val="article-renderblock"/>
        <w:shd w:val="clear" w:color="auto" w:fill="FFFFFF"/>
        <w:spacing w:before="0" w:beforeAutospacing="0" w:after="0" w:afterAutospacing="0"/>
        <w:jc w:val="both"/>
        <w:rPr>
          <w:color w:val="000000" w:themeColor="text1"/>
          <w:sz w:val="16"/>
          <w:szCs w:val="16"/>
        </w:rPr>
      </w:pPr>
    </w:p>
    <w:p w14:paraId="49CADEB0"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февраля 1942 года на ГАЗ закончились работы по сборке опытного Т-70, после чего начались заводские испытания. При этом боевая масса достигла 8,8 тонн, что лишний раз сыграло против желания усилить борта корпуса.</w:t>
      </w:r>
    </w:p>
    <w:p w14:paraId="06CDD66A" w14:textId="77777777" w:rsidR="00FB48BF" w:rsidRPr="008A2E5A" w:rsidRDefault="00FB48BF" w:rsidP="00FB48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срочном порядке опытный образец танка доставили в Москву, а уже 19 февраля начались его испытания. В них участвовал и Т-60 с утолщенной броней. По поводу этих самых испытаний есть немалое число мифов, связанных, прежде всего, с вооружением. Часто упоминается тема того, что башня, мол, с самого начала была забракована, а Астров что-то обещал переделать. Вот только отчет по испытаниям говорит совсем о другом. 20 февраля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 (24235).</w:t>
      </w:r>
    </w:p>
    <w:p w14:paraId="21A75722" w14:textId="77777777" w:rsidR="00FB48BF" w:rsidRPr="008A2E5A" w:rsidRDefault="00FB48BF" w:rsidP="00FB48BF">
      <w:pPr>
        <w:spacing w:after="0" w:line="240" w:lineRule="auto"/>
        <w:jc w:val="both"/>
        <w:rPr>
          <w:rFonts w:ascii="Times New Roman" w:hAnsi="Times New Roman"/>
          <w:color w:val="0070C0"/>
          <w:sz w:val="16"/>
          <w:szCs w:val="16"/>
        </w:rPr>
      </w:pPr>
    </w:p>
    <w:p w14:paraId="0AB6434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вышло Постановление ГКО № 1279 Об образовании Транспортного комитета при Государственном Комитете Обороны. (7022, 49).</w:t>
      </w:r>
    </w:p>
    <w:p w14:paraId="0D3FEE1C"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9E70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при ГКО был создан Транспортный комитет во главе с И.В.С. для планирования и координации перевозок всеми видами транспорта (512,267).</w:t>
      </w:r>
    </w:p>
    <w:p w14:paraId="2150BC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B77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вышло Постановление ГКО № 1280 О проработке мер по коренному улучшению положения черной металлургии. РГАНИР, Фонд ГКО, д. 21, лл. 50 (11012).</w:t>
      </w:r>
    </w:p>
    <w:p w14:paraId="02DC1E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7A32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отлита первая плавка металла в электрической печи литейного цеха Каменск-Уральского металлургического завода (ныне ОАО «КУМЗ», Свердловская область). «КУМЗ»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w:t>
      </w:r>
    </w:p>
    <w:p w14:paraId="5B8BA09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w:t>
      </w:r>
    </w:p>
    <w:p w14:paraId="169C5D8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Первое документальное понимание предназначения завода было обозначено следующим </w:t>
      </w:r>
      <w:proofErr w:type="gramStart"/>
      <w:r w:rsidRPr="008127F8">
        <w:rPr>
          <w:rFonts w:ascii="Times New Roman" w:hAnsi="Times New Roman"/>
          <w:color w:val="000000" w:themeColor="text1"/>
          <w:sz w:val="16"/>
          <w:szCs w:val="16"/>
        </w:rPr>
        <w:t>образом[</w:t>
      </w:r>
      <w:proofErr w:type="gramEnd"/>
      <w:r w:rsidRPr="008127F8">
        <w:rPr>
          <w:rFonts w:ascii="Times New Roman" w:hAnsi="Times New Roman"/>
          <w:color w:val="000000" w:themeColor="text1"/>
          <w:sz w:val="16"/>
          <w:szCs w:val="16"/>
        </w:rPr>
        <w:t>3][4]: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w:t>
      </w:r>
    </w:p>
    <w:p w14:paraId="07BDD9D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1942 года была сдана в эксплуатацию первая электрическая печь литейного цеха. В апреле 1942 года с завода в Верхнюю Салду отправляется первый вагон с первой продукцией — слитками.</w:t>
      </w:r>
    </w:p>
    <w:p w14:paraId="195BE5DA"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Осенью 1943 года первую продукцию выдали кузнечный и профильно-прессовый цехи. А в декабре завод стал самостоятельной хозяйственной единицей. Но свои годы КУМЗ отсчитывает от другой даты — 5 мая 1944 года, когда в газете «Правда» был опубликован рапорт об окончании строительства и введении в эксплуатацию первой очереди завода.</w:t>
      </w:r>
    </w:p>
    <w:p w14:paraId="758DAB9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w:t>
      </w:r>
    </w:p>
    <w:p w14:paraId="56FDBAE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60-е годы наращиваются объёмы производства, расширяется номенклатура продукции. Вводятся в эксплуатацию новые корпуса цехов, при сохранении старых: в 1951 — </w:t>
      </w:r>
      <w:proofErr w:type="gramStart"/>
      <w:r w:rsidRPr="008127F8">
        <w:rPr>
          <w:rFonts w:ascii="Times New Roman" w:hAnsi="Times New Roman"/>
          <w:color w:val="000000" w:themeColor="text1"/>
          <w:sz w:val="16"/>
          <w:szCs w:val="16"/>
        </w:rPr>
        <w:t>кузнечно-прессового</w:t>
      </w:r>
      <w:proofErr w:type="gramEnd"/>
      <w:r w:rsidRPr="008127F8">
        <w:rPr>
          <w:rFonts w:ascii="Times New Roman" w:hAnsi="Times New Roman"/>
          <w:color w:val="000000" w:themeColor="text1"/>
          <w:sz w:val="16"/>
          <w:szCs w:val="16"/>
        </w:rPr>
        <w:t>, в 1958 — литейного, в 1959 — прессового.</w:t>
      </w:r>
    </w:p>
    <w:p w14:paraId="5EF8A03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1958 году КУМЗ впервые поставил продукцию (2952 тонны алюминиевого проката) на экспорт. В этом же году впервые было выпущено 585 тонн магниевого </w:t>
      </w:r>
      <w:proofErr w:type="gramStart"/>
      <w:r w:rsidRPr="008127F8">
        <w:rPr>
          <w:rFonts w:ascii="Times New Roman" w:hAnsi="Times New Roman"/>
          <w:color w:val="000000" w:themeColor="text1"/>
          <w:sz w:val="16"/>
          <w:szCs w:val="16"/>
        </w:rPr>
        <w:t>проката[</w:t>
      </w:r>
      <w:proofErr w:type="gramEnd"/>
      <w:r w:rsidRPr="008127F8">
        <w:rPr>
          <w:rFonts w:ascii="Times New Roman" w:hAnsi="Times New Roman"/>
          <w:color w:val="000000" w:themeColor="text1"/>
          <w:sz w:val="16"/>
          <w:szCs w:val="16"/>
        </w:rPr>
        <w:t>3][4].</w:t>
      </w:r>
    </w:p>
    <w:p w14:paraId="0327257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1964 года заводу присвоено звание «Коллектив коммунистического труда».</w:t>
      </w:r>
    </w:p>
    <w:p w14:paraId="0FD504A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w:t>
      </w:r>
    </w:p>
    <w:p w14:paraId="7A20138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w:t>
      </w:r>
    </w:p>
    <w:p w14:paraId="3B9AB80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 году внедряется Автоматизированная система управления предприятием.</w:t>
      </w:r>
    </w:p>
    <w:p w14:paraId="3992BA3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Указом Президиума Верховного Совета СССР 8 июня 1978 года КУМЗ награждён орденом Трудового Красного Знамени.</w:t>
      </w:r>
    </w:p>
    <w:p w14:paraId="4CFD8E8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w:t>
      </w:r>
    </w:p>
    <w:p w14:paraId="365137F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году активно осваиваются алюминиево-литиевые сплавы. Впервые для России из этих сплавов изготавливаются плакированные листы (15040).</w:t>
      </w:r>
    </w:p>
    <w:p w14:paraId="64DBF828"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65CC0E0A"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0438A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37372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14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534C35C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14 февраля наши войска продолжали вести активные боевые действия против немецко-фашистских войск.</w:t>
      </w:r>
    </w:p>
    <w:p w14:paraId="2DB6EB6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наша стрелковая часть рассеяла и частично уничтожила группу противника. Немцы отступили, оставив на поле боя около 300 трупов, 2 подбитых танка и 2 орудия. На другом участке фронта наши бойцы захватили 2 немецких пулемёта, орудие, 2.000 снарядов, 1.670 мин, 1.000 ручных гранат и 60.400 патронов. Противник потерял убитыми 200 солдат и офицеров.</w:t>
      </w:r>
    </w:p>
    <w:p w14:paraId="5D70BFE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Танковое подразделение под командой тов. Абрамова (Калининский фронт) захватило сильно укреплённый населённый пункт и уничтожило 9 вражеских ДЗОТов, 10 пулемётных точек, 2 миномётных батареи, 6 противотанковых пушек и одно полевое орудие. Враг понёс большие потери в живой силе.</w:t>
      </w:r>
    </w:p>
    <w:p w14:paraId="497EEEB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батарея, где командиром лейтенант Шумилкин, была атакована немецкой частью, усиленной танками. Мужественные артиллеристы три часа отражали танковые и штыковые атаки немцев. На поле боя остались несколько подбитых немецких танков, орудий и много трупов гитлеровских солдат.</w:t>
      </w:r>
    </w:p>
    <w:p w14:paraId="2597B3C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под командованием тов. М. за несколько дней боевых действий взорвал на минах 3 немецкие грузовые автомашины с боеприпасами, одну легковую машину и автоцистерну, уничтожил вражеское пулемётное гнездо вместе с 3 немецкими солдатами и в ряде мест нарушил телефонную связь противника.</w:t>
      </w:r>
    </w:p>
    <w:p w14:paraId="47D7901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солдата 168 артиллерийского полка 68 немецкой пехотной дивизии Георга (фамилия не установлена) найдено неотправленное письмо к родителям. В нём сообщалось: «Первая батарея из нашего дивизиона была атакована на огневой позиции и потеряла все 4 орудия. Наша вторая батарея может стрелять только из двух пушек. Остальные выведены из строя. Одно из оставшихся орудий стреляет не в цель, а в божий свет, как в копейку. В 3 батарее осталось всего лишь 3 орудия, а четвёртому капут. В пехоте дела обстоят следующим образом: роты состоят из 5 солдат, из 8 солдат, из 16 солдат и самое большое — из 20 солдат. В нашей батарее нет ни одного лейтенанта. Командир батареи — единственный офицер. Он прибыл несколько дней тому назад. Так что всё выглядит по-сумасшедшему. Старый генерал нам как-то говорил: «Скоро вся дивизия будет довольствоваться в одной ротной кухне». Его слова сбываются».</w:t>
      </w:r>
    </w:p>
    <w:p w14:paraId="33C0675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ныне освобождённой от немцев деревне Подборовье, Ленинградской области, из 82 домов осталось всего лишь 6, остальные сожгли и взорвали гитлеровские бандиты. Ограбив колхозников, немцы учинили кровавую расправу над жителями деревни. Среди убитых и замученных насмерть: колхозницы Серова Е.Д., Демичева Н.Ф., Сергухина А.Т., Захарова С.Я., колхозник Кушнарёв Н.В. и учащаяся Иванова В.Н.</w:t>
      </w:r>
    </w:p>
    <w:p w14:paraId="7748BD3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Выдающийся производственный рекорд установил проходчик шахты имени Сталина треста «Ткварчелуголь» Н. Д. Хунтуа. Работая в ночной смене, он выполнил норму на 2.060 процентов. Весь заработок за эту смену — 345 рублей — тов. Хунтуа внёс в фонд обороны родины.» (15040).</w:t>
      </w:r>
    </w:p>
    <w:p w14:paraId="3C9077B8"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0D4DAE48"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7823AAD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февраля наши войска, преодолевая сопротивление противника, продолжали продвигаться вперёд.</w:t>
      </w:r>
    </w:p>
    <w:p w14:paraId="0B5ECEA8"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февраля сбито в воздушных боях 11 немецких самолётов. Наши потери — 8 самолётов.</w:t>
      </w:r>
    </w:p>
    <w:p w14:paraId="4F2ACBF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февраля частями нашей авиации уничтожено и повреждено 3 немецких танка, 200 автомашин с войсками и грузами, около 150 повозок с боеприпасами, 9 орудий, 4 трактора, 3 зенитно-пулемётные точки, взорван склад с боеприпасами, рассеяно и частью уничтожено два батальона пехоты противника.</w:t>
      </w:r>
    </w:p>
    <w:p w14:paraId="37DE85E9"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Авдеенко (Западный фронт), ведя упорные бои с противником, уничтожила за один день 400 вражеских солдат и офицеров. На другом участке артиллеристы мотострелковой части, которой командует тов. Орлов, разгромили 6 немецких блиндажей, уничтожив при этом около 100 вражеских солдат и офицеров.</w:t>
      </w:r>
    </w:p>
    <w:p w14:paraId="6EC41FA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Калининского фронта, за один день боёв освободили 6 населённых пунктов, уничтожили 6 немецких танков, 5 орудий, 2 миномётные батареи, разрушили 10 блиндажей и захватили 3 орудия, 15 пулемётов, много снарядов и винтовочных патронов. Противник потерял убитыми 1.600 солдат и офицеров.</w:t>
      </w:r>
    </w:p>
    <w:p w14:paraId="74FFF62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лыжников-красноармейцев под командованием сержанта Сахарова ночью атаковала противника, засевшего в. деревне А. Забросав гранатами дома, в которых находились гитлеровцы, красноармейцы выбили их из деревни. На всех путях отхода из деревни немцев встретили умело расставленные тов. Сахаровым лыжники-автоматчики. В результате успешно проведённой операции убито около 100 немецких солдат, захвачены вражеский обоз и продовольственный склад.</w:t>
      </w:r>
    </w:p>
    <w:p w14:paraId="1A92388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удачных налёта на немецкую часть совершили партизаны Донбасса. Советские патриоты во главе с тов. С. пробрались в расположение гитлеровских солдат и забросали вражеские блиндажи гранатами. Перебив свыше 40 немецких оккупантов, партизаны захватили два пулемёта, один автомат и трёх пленных.</w:t>
      </w:r>
    </w:p>
    <w:p w14:paraId="768EE269"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7 февраля в плен ефрейтор 458 полка 258 немецкой пехотной дивизии Юзеф Беккерс рассказал: «Наша 258 дивизия насчитывала 12.000 солдат и офицеров. За последнее время дивизия понесла огромные потери и имеет теперь всего 600 солдат и офицеров. Эти данные я знаю точно, потому что был поваром 7 роты и хорошо знаком со списками личного состава. С продовольствием дело обстоит очень плохо. Продукты доставляют транспортными самолётами, но в очень небольшом количестве. За последнее время на 8 солдат выдавался всего 1 килограмм хлеба на сутки. Дисциплина в армии расшатывается. Случаев невыполнения приказов очень много. Неисправимых солдат, отправляют в штрафные роты. В этих ротах фельдфебели и унтер-офицеры жестоко расправляются с солдатами. Штрафные роты посылаются на самые опасные работы: испытание взрывчатых веществ, разрядку снарядов, снятие и закладывание мин. Штрафных рот, находящихся в распоряжении гестапо, солдаты боятся больше всего».</w:t>
      </w:r>
    </w:p>
    <w:p w14:paraId="6290DAC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Бригада забойщиков Турьинских рудников на Урале во главе с тов. Медведенко ежедневно выполняет по три нормы.» (15040).</w:t>
      </w:r>
    </w:p>
    <w:p w14:paraId="6A257E85"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B73B50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партизаны освободили Дядьково в Орловской области и образовали на большей части своего района «Дядьковскую Советскую республику» (15040).</w:t>
      </w:r>
    </w:p>
    <w:p w14:paraId="60F54315"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C1B5F89"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центральные газеты СССР печатают портрет генерала Власова как наиболее отличившегося офицера (15040).</w:t>
      </w:r>
    </w:p>
    <w:p w14:paraId="012CDB9F"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0F215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г Зам. Наркома Внутренних Дел Союза ССР Генерал-майор Аполлонов писал письмо Зам.Начальника 6 отдела Упр. ОО НКВД СССР</w:t>
      </w:r>
    </w:p>
    <w:p w14:paraId="523D94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Капитану госбезопасности Юхимович</w:t>
      </w:r>
    </w:p>
    <w:p w14:paraId="1F7605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ответ на Ваше письмо №55120 от 30 декабря 1941 г.</w:t>
      </w:r>
    </w:p>
    <w:p w14:paraId="0DC9FD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Сообщаю, что командование 1-й авиаэскадрильи истребительного авиаполка НКВД, летчика –</w:t>
      </w:r>
      <w:proofErr w:type="gramStart"/>
      <w:r w:rsidRPr="008127F8">
        <w:rPr>
          <w:rFonts w:ascii="Times New Roman" w:hAnsi="Times New Roman"/>
          <w:color w:val="000000" w:themeColor="text1"/>
          <w:sz w:val="16"/>
          <w:szCs w:val="16"/>
        </w:rPr>
        <w:t>ст.л</w:t>
      </w:r>
      <w:proofErr w:type="gramEnd"/>
      <w:r w:rsidRPr="008127F8">
        <w:rPr>
          <w:rFonts w:ascii="Times New Roman" w:hAnsi="Times New Roman"/>
          <w:color w:val="000000" w:themeColor="text1"/>
          <w:sz w:val="16"/>
          <w:szCs w:val="16"/>
        </w:rPr>
        <w:t>-та Старченко Владимира Петровича, характеризует идеологически устойчивым, хорошо знающим новую материальную часть и грамотно ее эксплуатирующим. На самолете МИГ-3 летает хорошо. Его просьбу –перевести на самолет ПР-5, командование полка не удовлетворило. Оставив работать на самолете МИГ-3 (11704).</w:t>
      </w:r>
    </w:p>
    <w:p w14:paraId="191DDA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4EB20"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1F9CFE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DB253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вышло Постановление ГКО № 1281 О мобилизации немцев мужчин призывного возраста от 17 до 50 лет, постоянно проживающих в областях, краях, автономных и союзных республиках. (7022, 51,52).</w:t>
      </w:r>
    </w:p>
    <w:p w14:paraId="4630D20E"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739B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центральные газеты СССР напечатали портрет генерала Власова как наиболее отличившегося офицера (4962).</w:t>
      </w:r>
    </w:p>
    <w:p w14:paraId="7C6D8754"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ED92A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5201B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1FA1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в небо поднялся первый удачный 4-х моторный авиалайнер Дональда Дугласа - 50-местный </w:t>
      </w:r>
      <w:hyperlink r:id="rId55" w:tgtFrame="_blank" w:history="1">
        <w:r w:rsidRPr="008127F8">
          <w:rPr>
            <w:rFonts w:ascii="Times New Roman" w:hAnsi="Times New Roman"/>
            <w:color w:val="000000" w:themeColor="text1"/>
            <w:sz w:val="16"/>
            <w:szCs w:val="16"/>
          </w:rPr>
          <w:t xml:space="preserve">«C-54» («DC-4») «Skymaster». </w:t>
        </w:r>
      </w:hyperlink>
      <w:r w:rsidRPr="008127F8">
        <w:rPr>
          <w:rFonts w:ascii="Times New Roman" w:hAnsi="Times New Roman"/>
          <w:color w:val="000000" w:themeColor="text1"/>
          <w:sz w:val="16"/>
          <w:szCs w:val="16"/>
        </w:rPr>
        <w:t>Во время войны он выполнял армейские транспортные операции, затем стал основным лайнером на дальних линиях авиакомпаний мира. Модификация лайнера выпускалась и в Канаде под названием «Canadair» «CL-44» «Argonaut» (15040).</w:t>
      </w:r>
    </w:p>
    <w:p w14:paraId="0172FF39"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23AB5675" w14:textId="77777777"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года состоялся первый полет Douglas C-54 Skymaster, первой версии Douglas DC-4 (20793).</w:t>
      </w:r>
    </w:p>
    <w:p w14:paraId="7F2087EA" w14:textId="77777777" w:rsidR="00E50E4F" w:rsidRPr="008127F8" w:rsidRDefault="00E50E4F" w:rsidP="001E0A84">
      <w:pPr>
        <w:spacing w:after="0" w:line="240" w:lineRule="auto"/>
        <w:jc w:val="both"/>
        <w:rPr>
          <w:rFonts w:ascii="Times New Roman" w:hAnsi="Times New Roman"/>
          <w:color w:val="000000" w:themeColor="text1"/>
          <w:sz w:val="16"/>
          <w:szCs w:val="16"/>
        </w:rPr>
      </w:pPr>
    </w:p>
    <w:p w14:paraId="1E0B0BCE" w14:textId="2646DDBF"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Состоялся первый полет 4-моторного 50-местного Douglas DC-4.</w:t>
      </w:r>
    </w:p>
    <w:p w14:paraId="28D0919D" w14:textId="77777777"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Американский четырёхмоторный поршневой авиалайнер. Разработан и серийно производился предприятием Douglas Aircraft Company с 1938 по 1947 годы в пассажирских и транспортных модификациях. Произведено 79 самолётов DC-4 в гражданском исполнении и 1163 самолётов C-54/R5D (22598).</w:t>
      </w:r>
    </w:p>
    <w:p w14:paraId="646EFB37" w14:textId="77777777" w:rsidR="00E50E4F" w:rsidRPr="008127F8" w:rsidRDefault="00E50E4F" w:rsidP="001E0A84">
      <w:pPr>
        <w:spacing w:after="0" w:line="240" w:lineRule="auto"/>
        <w:jc w:val="both"/>
        <w:rPr>
          <w:rFonts w:ascii="Times New Roman" w:hAnsi="Times New Roman"/>
          <w:color w:val="000000" w:themeColor="text1"/>
          <w:sz w:val="16"/>
          <w:szCs w:val="16"/>
        </w:rPr>
      </w:pPr>
    </w:p>
    <w:p w14:paraId="10A85C41" w14:textId="602E7C2B"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февраля 1942 года — первый полёт поршневого </w:t>
      </w:r>
      <w:proofErr w:type="gramStart"/>
      <w:r w:rsidRPr="008127F8">
        <w:rPr>
          <w:rFonts w:ascii="Times New Roman" w:hAnsi="Times New Roman"/>
          <w:color w:val="000000" w:themeColor="text1"/>
          <w:sz w:val="16"/>
          <w:szCs w:val="16"/>
        </w:rPr>
        <w:t>авиалайнера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Douglas</w:t>
      </w:r>
      <w:proofErr w:type="gramEnd"/>
      <w:r w:rsidRPr="008127F8">
        <w:rPr>
          <w:rFonts w:ascii="Times New Roman" w:hAnsi="Times New Roman"/>
          <w:color w:val="000000" w:themeColor="text1"/>
          <w:sz w:val="16"/>
          <w:szCs w:val="16"/>
        </w:rPr>
        <w:t xml:space="preserve"> DC-4. /США/</w:t>
      </w:r>
    </w:p>
    <w:p w14:paraId="25E7D2FA" w14:textId="2464F7CB"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неудачи с </w:t>
      </w:r>
      <w:proofErr w:type="gramStart"/>
      <w:r w:rsidRPr="008127F8">
        <w:rPr>
          <w:rFonts w:ascii="Times New Roman" w:hAnsi="Times New Roman"/>
          <w:color w:val="000000" w:themeColor="text1"/>
          <w:sz w:val="16"/>
          <w:szCs w:val="16"/>
        </w:rPr>
        <w:t>авиалайнером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DC</w:t>
      </w:r>
      <w:proofErr w:type="gramEnd"/>
      <w:r w:rsidRPr="008127F8">
        <w:rPr>
          <w:rFonts w:ascii="Times New Roman" w:hAnsi="Times New Roman"/>
          <w:color w:val="000000" w:themeColor="text1"/>
          <w:sz w:val="16"/>
          <w:szCs w:val="16"/>
        </w:rPr>
        <w:t>-4E</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компания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Douglas Aircraft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решила доработать проект под обозначением DC-4A — сделать его менее сложным в производстве, более дешёвым и экономичным. Когда США вступили во Вторую мировую </w:t>
      </w:r>
      <w:proofErr w:type="gramStart"/>
      <w:r w:rsidRPr="008127F8">
        <w:rPr>
          <w:rFonts w:ascii="Times New Roman" w:hAnsi="Times New Roman"/>
          <w:color w:val="000000" w:themeColor="text1"/>
          <w:sz w:val="16"/>
          <w:szCs w:val="16"/>
        </w:rPr>
        <w:t>войну,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самолёт</w:t>
      </w:r>
      <w:proofErr w:type="gramEnd"/>
      <w:r w:rsidRPr="008127F8">
        <w:rPr>
          <w:rFonts w:ascii="Times New Roman" w:hAnsi="Times New Roman"/>
          <w:color w:val="000000" w:themeColor="text1"/>
          <w:sz w:val="16"/>
          <w:szCs w:val="16"/>
        </w:rPr>
        <w:t xml:space="preserve"> переориентировали в военно-транспортный</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назвали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C-54 Skymaster. Под этим именем он и совершил первый полёт.</w:t>
      </w:r>
    </w:p>
    <w:p w14:paraId="49957E7C" w14:textId="77777777"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Это был цельнометаллический низкоплан с убираемым шасси. Вариант DC-4-1009 оснащался 4 × двигателями Pratt &amp; Whitney R-2000-2SD13-G Twin Wasp (1450 л.с.). Крейсерская скорость — 365 км/ч, дальность полёта — 5300 км. Брал на борт до 86 пассажиров (C-54 перевозил 50 солдат или 14,7 тонн груза).</w:t>
      </w:r>
    </w:p>
    <w:p w14:paraId="072247B2" w14:textId="28CD76F7"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Всего </w:t>
      </w:r>
      <w:proofErr w:type="gramStart"/>
      <w:r w:rsidRPr="008127F8">
        <w:rPr>
          <w:rFonts w:ascii="Times New Roman" w:hAnsi="Times New Roman"/>
          <w:color w:val="000000" w:themeColor="text1"/>
          <w:sz w:val="16"/>
          <w:szCs w:val="16"/>
        </w:rPr>
        <w:t>построили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80</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самолётов DC-4 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1163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единиц C-54. После войны многие вчерашние транспортники конвертировали в авиалайнеры. Кроме американских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American</w:t>
      </w:r>
      <w:proofErr w:type="gramEnd"/>
      <w:r w:rsidRPr="008127F8">
        <w:rPr>
          <w:rFonts w:ascii="Times New Roman" w:hAnsi="Times New Roman"/>
          <w:color w:val="000000" w:themeColor="text1"/>
          <w:sz w:val="16"/>
          <w:szCs w:val="16"/>
        </w:rPr>
        <w:t xml:space="preserve"> Airlines,</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Pan Am</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др. —, самолёты приобретались и зарубежными авиакомпаниями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KLM,</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Sabena,</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SAS,</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Avianca</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др. (22300).</w:t>
      </w:r>
    </w:p>
    <w:p w14:paraId="492539AD" w14:textId="77777777" w:rsidR="00E50E4F" w:rsidRPr="008127F8" w:rsidRDefault="00E50E4F" w:rsidP="001E0A84">
      <w:pPr>
        <w:spacing w:after="0" w:line="240" w:lineRule="auto"/>
        <w:jc w:val="both"/>
        <w:rPr>
          <w:rFonts w:ascii="Times New Roman" w:hAnsi="Times New Roman"/>
          <w:color w:val="000000" w:themeColor="text1"/>
          <w:sz w:val="16"/>
          <w:szCs w:val="16"/>
        </w:rPr>
      </w:pPr>
    </w:p>
    <w:p w14:paraId="6931B9E2" w14:textId="77777777" w:rsidR="00E50E4F" w:rsidRPr="008127F8" w:rsidRDefault="00E50E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г. британский Военный кабинет принял решение начать интенсивные бомбардировки Германии, а 21 февраля того же года новым командующим английской бомбардировочной авиации стал маршал авиации сэр Артур Харрис, предложивший при налетах на крупные города Германии не стремиться уничтожить одну или несколько конкретных целей, а выполнить так называемое бомбометание по площадям. Основной целью подобных массированных налетов было разрушение жилых кварталов и, как правило, подрыв морального духа гражданского населения, прежде всего рабочих промышленных предприятий (22760).</w:t>
      </w:r>
    </w:p>
    <w:p w14:paraId="33B50DD6" w14:textId="77777777" w:rsidR="00E50E4F" w:rsidRPr="008127F8" w:rsidRDefault="00E50E4F" w:rsidP="001E0A84">
      <w:pPr>
        <w:spacing w:after="0" w:line="240" w:lineRule="auto"/>
        <w:jc w:val="both"/>
        <w:rPr>
          <w:rFonts w:ascii="Times New Roman" w:hAnsi="Times New Roman"/>
          <w:color w:val="000000" w:themeColor="text1"/>
          <w:sz w:val="16"/>
          <w:szCs w:val="16"/>
        </w:rPr>
      </w:pPr>
    </w:p>
    <w:p w14:paraId="33B5E528" w14:textId="77777777" w:rsidR="00ED7D77" w:rsidRPr="008127F8" w:rsidRDefault="00ED7D77" w:rsidP="001E0A84">
      <w:pPr>
        <w:pStyle w:val="a4"/>
        <w:rPr>
          <w:color w:val="000000" w:themeColor="text1"/>
          <w:lang w:val="ru-RU"/>
        </w:rPr>
      </w:pPr>
      <w:r w:rsidRPr="008127F8">
        <w:rPr>
          <w:color w:val="000000" w:themeColor="text1"/>
          <w:lang w:val="ru-RU"/>
        </w:rPr>
        <w:t>14 февраля 1942 г. британский военный кабинет принял решение начать интенсивные бомбардировки городов Германии. В ночь с 28 на 29 марта 234 английских бомбарди</w:t>
      </w:r>
      <w:r w:rsidRPr="008127F8">
        <w:rPr>
          <w:color w:val="000000" w:themeColor="text1"/>
          <w:lang w:val="ru-RU"/>
        </w:rPr>
        <w:softHyphen/>
        <w:t>ровщика разрушили центр Любека. С 24 по 29 апреля 520 бомбардировщиков бомбили центр Ростока, а в ночь с 30 на 31 мая 1942 г. 1047 самолётов вылетели на Кёльн. Цели достигло около 900 машин, они сбросили 1350 тонн фугасных и 460 000 штук зажигатель</w:t>
      </w:r>
      <w:r w:rsidRPr="008127F8">
        <w:rPr>
          <w:color w:val="000000" w:themeColor="text1"/>
          <w:lang w:val="ru-RU"/>
        </w:rPr>
        <w:softHyphen/>
        <w:t>ных бомб. Вскоре к разрушению городов подключились и ВВС США - в отличие от Королевских ВВС янки летали днём. С каждым месяцем интенсивность налётов возрастала (15841).</w:t>
      </w:r>
    </w:p>
    <w:p w14:paraId="6424F2E4" w14:textId="77777777" w:rsidR="00ED7D77" w:rsidRPr="008127F8" w:rsidRDefault="00ED7D77" w:rsidP="001E0A84">
      <w:pPr>
        <w:pStyle w:val="a4"/>
        <w:rPr>
          <w:color w:val="000000" w:themeColor="text1"/>
          <w:lang w:val="ru-RU"/>
        </w:rPr>
      </w:pPr>
    </w:p>
    <w:p w14:paraId="7887057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английской авиации приказано бомбить в Германии не только военные, но и гражданские объекты (4962).</w:t>
      </w:r>
    </w:p>
    <w:p w14:paraId="6EEA3060"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4EB3E9"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руководство британских ВВС включает в число оправданных целей немецкое гражданское население (15040).</w:t>
      </w:r>
    </w:p>
    <w:p w14:paraId="4B58ADD0"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2410D8E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английской авиации приказывается бомбить в Германии не только военные, но и гражданские объекты (15040).</w:t>
      </w:r>
    </w:p>
    <w:p w14:paraId="355F1088"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1B0A04B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японцы закололи штыками 150 пациентов военного госпиталя в Сингапуре (4962).</w:t>
      </w:r>
    </w:p>
    <w:p w14:paraId="6A642CC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17E7DA" w14:textId="77777777" w:rsidR="00ED7D77" w:rsidRPr="008127F8" w:rsidRDefault="00ED7D7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14 февраля по 15 марта 1942 была Яванская операция японцев и начали с воздушных и морских десантов на Суматре, а 19 февраля - на Бали и т.п. (2443,286).</w:t>
      </w:r>
    </w:p>
    <w:p w14:paraId="50266A30" w14:textId="77777777" w:rsidR="00ED7D77" w:rsidRPr="008127F8" w:rsidRDefault="00ED7D7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4A50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высадка около 450 армейских парашютистов с самолетов </w:t>
      </w:r>
      <w:hyperlink r:id="rId56" w:tgtFrame="_blank" w:history="1">
        <w:r w:rsidRPr="008127F8">
          <w:rPr>
            <w:rFonts w:ascii="Times New Roman" w:hAnsi="Times New Roman"/>
            <w:color w:val="000000" w:themeColor="text1"/>
            <w:sz w:val="16"/>
            <w:szCs w:val="16"/>
          </w:rPr>
          <w:t xml:space="preserve">«Ki.56» </w:t>
        </w:r>
      </w:hyperlink>
      <w:r w:rsidRPr="008127F8">
        <w:rPr>
          <w:rFonts w:ascii="Times New Roman" w:hAnsi="Times New Roman"/>
          <w:color w:val="000000" w:themeColor="text1"/>
          <w:sz w:val="16"/>
          <w:szCs w:val="16"/>
        </w:rPr>
        <w:t>на аэродром и нефтеперегонный завод в окрестностях Палембанга. Стартовав с территории Малайи, высадились на комплекс нефтеперегонных заводов у Палембанга (о. Суматра), расположенный в глубине острова. Высаженный отряд принадлежал к парашютной бригаде подполковника Кума (Кита). В то время, как первая группа десантировалась прямо на аэродромные постройки, второй отряд (160 человек) высадился на территорию нефтеперерабатывающего комплекса. Сломив сопротивление местного гарнизона (около 1000 солдат и офицеров с несколькими бронеавтомобилями), японцы захватили все намеченные цели. 15 февраля по воздуху переброшены подкрепления - 100 парашютистов (15040).</w:t>
      </w:r>
    </w:p>
    <w:p w14:paraId="4EFBE578"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09F04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1942 японцы атаковали Суматру (2100).</w:t>
      </w:r>
    </w:p>
    <w:p w14:paraId="5F6AA6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45087"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февраля</w:t>
      </w:r>
      <w:r w:rsidRPr="008127F8">
        <w:rPr>
          <w:rFonts w:ascii="Times New Roman" w:hAnsi="Times New Roman"/>
          <w:color w:val="000000" w:themeColor="text1"/>
          <w:sz w:val="16"/>
          <w:szCs w:val="16"/>
        </w:rPr>
        <w:t xml:space="preserve"> в 1942 году высадка японских войск на Суматре (15040).</w:t>
      </w:r>
    </w:p>
    <w:p w14:paraId="1E420D48"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67044C82"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AF810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A7D4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Воронин писал нач. ВВС ВМФ Жаворонкову письмо N 2126:</w:t>
      </w:r>
    </w:p>
    <w:p w14:paraId="068257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ответ на письмо о переделке 50 самолетов ДБ-3 2М-87 на пикирующий вариант для ВВС ТФ и в соответствии с решением ГК С.В.И. о невозможности гарантировать прочность самолета ДБ-3 как пикирующего бомбардировщика, сообщаю, что НКАП не может заключить договор с УВВС на производство указанных работ" (1675,12).</w:t>
      </w:r>
    </w:p>
    <w:p w14:paraId="5175BE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1D1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Постановление ГКО № 1285 Об организации производства самолетов Як-3 на заводе № 23 г.Москва. РГАНИР, Фонд ГКО, д. 21, лл. 58 (11012).</w:t>
      </w:r>
    </w:p>
    <w:p w14:paraId="05752B2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5E4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15 февраля 1942:</w:t>
      </w:r>
    </w:p>
    <w:p w14:paraId="2C11ED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материальной части самолетов ВВС К А по опыту Отечественной войны (на 15 февраля 1942 г.). ЦАМОф.НИИ ВВСоп.485655д.21 л.1-22.</w:t>
      </w:r>
    </w:p>
    <w:p w14:paraId="46C86C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восемь месяцев Великой Отечественной войны ВВС КА получили огромный боевой опыт, требующий тщательного изучения и использования. Одновременно с этим получен и накоплен опыт по использованию и эксплуатации материальной части ВВС К А в боевых условиях. Возникает необходимость на основе этого опыта сделать некоторые выводы, как по боевым, так и по их эксплуатационным свойствам в целях использования его в частях ВВС КА, а также в авиационной промышленности.</w:t>
      </w:r>
    </w:p>
    <w:p w14:paraId="11FDDE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авиация по КАЧЕСТВУ превосходит немецкую авиацию" (Сталин). Однако материальная часть ее имеет свои специфические особенности и наряду с превосходными боевыми свойствами имеет ряд конструктивных и эксплуатационных недостатков, выявленных в боевой обстановке, требующих немедленного изучения и устранения в целях еще большего улучшения общих боевых качеств наших самолетов.</w:t>
      </w:r>
    </w:p>
    <w:p w14:paraId="535EC9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ВВС К А на основе располагаемых материалов дает некоторое обобщение эксплуатационному и боевому опыту работы материальной части самолетов Як, МиГ, ЛаГГ, Пе-2 и Пе-3, Ил-2 и самолетов дальних бомбардировщиков. Оценка работы самолетов и выводы по их боевым и эксплуатационным качествам производится в разрезе тех боевых задач, кои выполняются данными самолетами.</w:t>
      </w:r>
    </w:p>
    <w:p w14:paraId="765D4B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Работа самолетов истребительной авиации ВВС КА</w:t>
      </w:r>
    </w:p>
    <w:p w14:paraId="741B58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Опыт Отечественной войны показаi достаточно разнообразное использование истребительной авиации в боевых операциях. Истребители, помимо своих основных задач, выполняют задачи по содействию наступающим частям КА авиационной подготовкой наступления, взаимодействия с другими родами авиации, подавляя огневые точки в узлах сопротивления противника и препятствуя подходу тактических и оперативных резервов. Одновременно с этим истребители штурмуют отступающие колонны и боевые порядки врага в период развития успеха. Наконец, истребители выполняют штурмовые атаки аэродромов, железнодорожных эшелонов, мотомехколонн и переднего края обороны противника. Так, генерал-майор авиации Герой Советского Союза А.Осипенко говорит, что истребители, участвующие в Ростовской операции, выполняя свою основную задачу - АКТИВНО ТАКЖЕ ВЕЛИ ШТУРМОВЫЕ ДЕЙСТВИЯ. "Летчикам приходилось не только штурмовать колонны и скопления войск противника, но непосредственно действовать по переднему краю вражеской обороны, по артиллерийским и минометным </w:t>
      </w:r>
      <w:proofErr w:type="gramStart"/>
      <w:r w:rsidRPr="008127F8">
        <w:rPr>
          <w:rFonts w:ascii="Times New Roman" w:hAnsi="Times New Roman"/>
          <w:color w:val="000000" w:themeColor="text1"/>
          <w:sz w:val="16"/>
          <w:szCs w:val="16"/>
        </w:rPr>
        <w:t>позициям..</w:t>
      </w:r>
      <w:proofErr w:type="gramEnd"/>
      <w:r w:rsidRPr="008127F8">
        <w:rPr>
          <w:rFonts w:ascii="Times New Roman" w:hAnsi="Times New Roman"/>
          <w:color w:val="000000" w:themeColor="text1"/>
          <w:sz w:val="16"/>
          <w:szCs w:val="16"/>
        </w:rPr>
        <w:t xml:space="preserve"> Например, 27 и 28ноября 1941 г., когда части </w:t>
      </w:r>
      <w:proofErr w:type="gramStart"/>
      <w:r w:rsidRPr="008127F8">
        <w:rPr>
          <w:rFonts w:ascii="Times New Roman" w:hAnsi="Times New Roman"/>
          <w:color w:val="000000" w:themeColor="text1"/>
          <w:sz w:val="16"/>
          <w:szCs w:val="16"/>
        </w:rPr>
        <w:t>генера.i</w:t>
      </w:r>
      <w:proofErr w:type="gramEnd"/>
      <w:r w:rsidRPr="008127F8">
        <w:rPr>
          <w:rFonts w:ascii="Times New Roman" w:hAnsi="Times New Roman"/>
          <w:color w:val="000000" w:themeColor="text1"/>
          <w:sz w:val="16"/>
          <w:szCs w:val="16"/>
        </w:rPr>
        <w:t>-майора Харитонова дрались на подступах к городу, наши истребители подавляй/ немецкую артиллерию, штурмовали пулеметным и пушечным огнем пехоту, сковы- вали врага и обращали его в бегство, прокюдывая путь нашим частям".</w:t>
      </w:r>
    </w:p>
    <w:p w14:paraId="581805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Подобного же характера боевые задачи выполнялись и в боях за Каширу. "Работу истребительной группы можно разбить на два больших этапа, тесно переплетенных между собой - ШТУРМОВЫЕ ДЕЙСТВИЯ по подходящему, находящемуся на позициях и отступающему противнику и БОРЬБА ИСТРЕБИТЕЛЕЙ ЗА ТАКТИЧЕСКОЕ ГОСПОДСТВО В ВОЗДУХЕ НАД ПОЛЕМ БОЯ ПРОРЫВА"... "Истребители бьют мехколонны на подступах к Веневу, одновременно парируя интенсивные начеты немецкой авиации на Каширу и ее подступы, где накапливались наши части, прикрывают объекты государственного значения" (майор А. Сидоров).</w:t>
      </w:r>
    </w:p>
    <w:p w14:paraId="2C95E7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 характер боевой деятельности истребительной авиации и на других фронтах.</w:t>
      </w:r>
    </w:p>
    <w:p w14:paraId="0DDF8B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выполнением боевых задач истребители выполняют и разведывательные задачи, особенно при плохой погоде. "Разведку самолетами- истребителями мы вели в радиусе до 150 км при видимости не более 500-800 м. Для более дальней разведки был использован самолет типа МиГ-3, пишет генерал-майор авиации Осипенко.</w:t>
      </w:r>
    </w:p>
    <w:p w14:paraId="53F83B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uзлoжeннoгo оценка работы материальной части самолетов-истребителей, их вооружения и оборудования производится исходя из конкретных условий их боевой деятельности, а именно:</w:t>
      </w:r>
    </w:p>
    <w:p w14:paraId="7513EF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условиях ведения воздушного боя;</w:t>
      </w:r>
    </w:p>
    <w:p w14:paraId="18C940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условиях взаимодействия с другими родами боевой авиации непосредственным прикрытием и сопровождением;</w:t>
      </w:r>
    </w:p>
    <w:p w14:paraId="7BADA0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условиях выполнения штурмовых действий по наземным целям.</w:t>
      </w:r>
    </w:p>
    <w:p w14:paraId="4EE8CF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 а ГГ-3 с мотором М105 П</w:t>
      </w:r>
    </w:p>
    <w:p w14:paraId="54695F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Боевые качества самолета</w:t>
      </w:r>
    </w:p>
    <w:p w14:paraId="6980F3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ЛаГТ-3 применяется на фронте для борьбы с истребителями противника, для штурмовых действий по наземным целям, для сопровождения своих бомбардировщиков и штурмовиков. В системе ПВО он применяется как перехватчик неприятельских бомбардировщиков, как патрульный самолет и как ночной истребитель.</w:t>
      </w:r>
    </w:p>
    <w:p w14:paraId="130300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воздушном бою за Да Г Том сохраняется преимущество на вираже по отношению вражеских истребителей. С основным серийным истребителем противника В</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lastRenderedPageBreak/>
        <w:t>109 с мотором ДБ-601А самолет ЛаГГ-3 может с успехом вести воздушный бой на виражах и путем лобовых атак, несколько уступая ему в вертикальном маневре. Самолет ЛаГГ-3 как скоростной истребитель хорошо "показал себя на поле боя". Вооруженный реактивными снарядами успешно применяется для штурмовых действий по переднему краю неприятельской обороны, по вражеским колоннам, скоплениям войск и по зенитным батареям. Также успешно ЛаГГ-3 применяется и по вражеским аэродромам.</w:t>
      </w:r>
    </w:p>
    <w:p w14:paraId="753DEB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лейтенант М. Чепыженко: " Чаще всего мы штурмован/ вражеские колонны, скопления войск и передний край обороны. При этих действиях самолет оказа1ся вполне эффективным".</w:t>
      </w:r>
    </w:p>
    <w:p w14:paraId="636E40E2" w14:textId="0F626B6C"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2-й аэ 291-го иап капитан Хвостовский дает следующую оценку: "Самолет ЛаГГ-3хороший. К нему мы привыкли. Кабина удовлетворительная. Вооружение при наличии PC - достаточное".</w:t>
      </w:r>
    </w:p>
    <w:p w14:paraId="17BC1A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Недостатком истребителя ЛаТТ-3, как самолета воздушного боя, является сравнительно невысокая скороподъемность и большая потеря высоты при выполнении крутых виражей и переворотов. При выводе из переворота самолет теряет до 700 м высоты. Эти недостатки затрудняют ведение воздушного боя на высотах ниже 800м.</w:t>
      </w:r>
    </w:p>
    <w:p w14:paraId="26426F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1-й аэ 291-го иап капитан Комаров: "Машина ЛаГГ-3хороша, послушна в управлении, но маневренность на низких высотах недостаточна".</w:t>
      </w:r>
    </w:p>
    <w:p w14:paraId="5DB2C4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Комиссар 291-го иап капитан Фурсов: "Я считаю, что самолет ЛаГГ-3 имеет достаточное вооружение. </w:t>
      </w:r>
      <w:proofErr w:type="gramStart"/>
      <w:r w:rsidRPr="008127F8">
        <w:rPr>
          <w:rFonts w:ascii="Times New Roman" w:hAnsi="Times New Roman"/>
          <w:color w:val="000000" w:themeColor="text1"/>
          <w:sz w:val="16"/>
          <w:szCs w:val="16"/>
        </w:rPr>
        <w:t>Основной недостаток машины это то</w:t>
      </w:r>
      <w:proofErr w:type="gramEnd"/>
      <w:r w:rsidRPr="008127F8">
        <w:rPr>
          <w:rFonts w:ascii="Times New Roman" w:hAnsi="Times New Roman"/>
          <w:color w:val="000000" w:themeColor="text1"/>
          <w:sz w:val="16"/>
          <w:szCs w:val="16"/>
        </w:rPr>
        <w:t>. что на низких высотах бой вести трудно. Пикирование и перевороты на высотах ниже 700-800 м вести нельзя".</w:t>
      </w:r>
    </w:p>
    <w:p w14:paraId="2E1F37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ЛаГГ-3 первых серий бьи сильно перетяжелен (полетный вес до 3346 кг при вооружении три пулемета кашбра 12,7 мм и два пулемета 7,62 мм) вследствие чего его пилотаЯсные свойства резко ухудшились. Самолет при этом бьиi подвержен непроизвольному срыву в штопор из-за обратных нагрузок на ручку при выполнении виражей. Самолет ЛаГГ-3 последних серий облегчен, его полетный вес равен 3080 кг с пушкой калибром 20мм, одним пулеметом кап/бром 12,7 мм и запасом горючего 250 кг (без консольных бензобаков). В связи с уменьшением полетного веса его пилотажные и взлетные качества улучшились. Этот самолет более отвечает требованиям истребителя воздушного боя и им летчики Ленинградского фронта (сведения из Череповца) довольны. С постановкой контрбалансиров обратные нагрузки на ручку исчезли, что в значительной степени устранило возможность самопроизвольного срыва самолета в штопор.</w:t>
      </w:r>
    </w:p>
    <w:p w14:paraId="7EAB51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Штурмовые действия на ЛаГГ-3 летом 1941 г. затруднялись из-за перегрева воды и масла во время полетов на Низких высотах при высокой температуре воздуха у зелии.</w:t>
      </w:r>
    </w:p>
    <w:p w14:paraId="0D6AA8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Капитан Скупченко: "При выполнении боевого задания на низких высотах и на больших скоростях (действие по аэродромам или колоннам противника) температурные режимы мотора высокие, вода доходит до 110-115° и масла - до 95-100°. Иногда температурные режимы становятся выше всякого предела (за август месяц в воздухе имело место за- клинение 7моторов из 30 самолетов)".</w:t>
      </w:r>
    </w:p>
    <w:p w14:paraId="4FCD55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Проведенное совещание с летчиками 291-го полка, несущим службы ПВО, выявлено, что главным пожеланием летчиков является увеличить запас горючего на ЛаГГ-3 до двух часов полета. В остальном считаю, что самолет ЛаГГ-3 подходит для целей дневного патрулирования и перехвата бомбардировщиков противника. В прифронтовой полосе (район Череповца) на самолетах ЛаГГ-3 с подвесными бензобаками не летают, и ни лежат на складе. Применение самолета ЛаГГ-3 ночью, как подтверждается опытом полков ПВО, затрудняется его взлетно- посадочными свойствами (большой разбег и большая посадочная скорость), отсутствие РГ1К и авиагоризонта, а также тем, что посадочная фара самолета не регулируется на земле. При стрельбе летчик ослепляется пламенем пороховых газов. В полете пламя из выхлопных патрубков демаскирует самолет.</w:t>
      </w:r>
    </w:p>
    <w:p w14:paraId="1350A7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Вооружение самолета.</w:t>
      </w:r>
    </w:p>
    <w:p w14:paraId="184432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ЛаГГ-3 выпускался с разными вариантами стрелково-артиллерийского вооружения:</w:t>
      </w:r>
    </w:p>
    <w:p w14:paraId="0B5556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вариант: три пулемета калибра 12,7 мм и два пулемета калибром 7,62 мм;</w:t>
      </w:r>
    </w:p>
    <w:p w14:paraId="63E5F9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вариант: одна пушка калибром 20мм и один пулемет калибром 12,7 мм и два пулемета калибром 7,62 мм;</w:t>
      </w:r>
    </w:p>
    <w:p w14:paraId="0896DA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вариант: одна пушка калибром 20мм и один пулемет калибром 12,7мм.</w:t>
      </w:r>
    </w:p>
    <w:p w14:paraId="1E4FBF9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отзыву большинства летчиков вооружения на двухточечном варианте самолета ЛаГГ-3 достаточно. Часть летчиков высказывает пожелание поставить на ЛаГГ-3 еще один пулемет кап/бра 12,7мм, что не является, однако, по их мнению, абсолютно необходимым. Реактивным оружием на ЛаГГ-3 летчики довольны и весьма одобрительно отзываются об его эффективности, особенно при штурмовых действиях. Летчики при наличии PC не высказывают пожеланий иметь бомбы на ЛаГГ-3 для штурмовых действий.</w:t>
      </w:r>
    </w:p>
    <w:p w14:paraId="7475EC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Бронирование</w:t>
      </w:r>
    </w:p>
    <w:p w14:paraId="6AF18E6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Стандартная бронеспинка не защищала от поражения левую руку и ноги летчика. Бронезащиты спереди летчик на самолете ЛаГГ-3 не имеет. При наличии на немецких самолетах пулеметов калибром 15 мм и пушки калибра 20 мм вопрос о бронировании летчика на самолете ЛаГГ-3 требует пересмотра.</w:t>
      </w:r>
    </w:p>
    <w:p w14:paraId="4FEFDC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Протектор на бензобаках самолета ЛаГГ-3 ставится устаревший, образца 1937 года и не обеспечивает от вытекания горючего, что даже при наличии установки для нейтральных газов дает возможность противнику поджечь самолет ЛаГГ-3.</w:t>
      </w:r>
    </w:p>
    <w:p w14:paraId="3FEEF7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Радиосвязь</w:t>
      </w:r>
    </w:p>
    <w:p w14:paraId="4D8C92F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действия радиостанции PC И-4 на самолете ЛаГГ-3 вместо 120-150 км, бывшей на опытном самолете, составляет в настоящее время 50-60км, вследствие неудовлетворительной металлизации самолета и отсутствия экранировки электросети и фильтрующих устройств. Большой уровень электрических помех радиоприему вызывает жалобы летчиков на треск и шумы. Кислородное оборудование надо делать легкосъемным, так как до сих пор, как правило, полеты выше 4000м не производятся.</w:t>
      </w:r>
    </w:p>
    <w:p w14:paraId="24F015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Основные дефекты</w:t>
      </w:r>
    </w:p>
    <w:p w14:paraId="298254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Негерметичность гидросистемы шасси и щитков, что вызывает частые случаи аварийного выпуска шасси, и отход щитков в полете. Командир 291-го иап Шаболтас:" На самолете уборка лыж не отработана. Из одиннадцати моих полетов на лыжах только в трех случаях лыжи удалось убрать, а в остальных случаях лыжи на замки не ставшись. Поэтому от лыж мы отказались до окончательной доводки их заводом № 21".</w:t>
      </w:r>
    </w:p>
    <w:p w14:paraId="07DDC3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 волнистости цилиндра подъемника, загрязнении штока поршня подъемника и негерметичности системы лыжи не убираются, не становятся на замки, вызывают даже в убранном положении сравнительно большую потерю скорости и утяжеление самолета по сравнению с колесным шасси. Поэтому там, где укатываются аэродромы, на лыжах не летают.</w:t>
      </w:r>
    </w:p>
    <w:p w14:paraId="619FA3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Замерзание воды в сливной трубке, идущей из колена трубы водосистемы, расположенной полевому борту самолета. Это замерзание происходит потому, что при сливе воды из системы она из этой трубки не сливается.</w:t>
      </w:r>
    </w:p>
    <w:p w14:paraId="444CD9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Большая трудность аварийной перезарядки пушки ШВА К из-за больших усилий.</w:t>
      </w:r>
    </w:p>
    <w:p w14:paraId="533DDB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Весьма неудобный подход к винтомоторной группе, что затрудняет эксплуатацию самолета.</w:t>
      </w:r>
    </w:p>
    <w:p w14:paraId="072434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Плохой обзор для летчика назад, что вызывает необходимость установки зеркала.</w:t>
      </w:r>
    </w:p>
    <w:p w14:paraId="13021E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ж) Негерметичность системы запуска и частый отказ возвратного </w:t>
      </w:r>
      <w:proofErr w:type="gramStart"/>
      <w:r w:rsidRPr="008127F8">
        <w:rPr>
          <w:rFonts w:ascii="Times New Roman" w:hAnsi="Times New Roman"/>
          <w:color w:val="000000" w:themeColor="text1"/>
          <w:sz w:val="16"/>
          <w:szCs w:val="16"/>
        </w:rPr>
        <w:t>к.юпана</w:t>
      </w:r>
      <w:proofErr w:type="gramEnd"/>
      <w:r w:rsidRPr="008127F8">
        <w:rPr>
          <w:rFonts w:ascii="Times New Roman" w:hAnsi="Times New Roman"/>
          <w:color w:val="000000" w:themeColor="text1"/>
          <w:sz w:val="16"/>
          <w:szCs w:val="16"/>
        </w:rPr>
        <w:t xml:space="preserve"> заправки системы воздухом из-за низкого качества изготовления и монтажа системы. </w:t>
      </w:r>
    </w:p>
    <w:p w14:paraId="534CB3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 по самолету ЛаГГ-3</w:t>
      </w:r>
    </w:p>
    <w:p w14:paraId="40962C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 ЛаГГ-3 последних серий успешно может вести воздушный бой с немецкими истребителями, эффективно поражать своим пушечно-</w:t>
      </w:r>
      <w:proofErr w:type="gramStart"/>
      <w:r w:rsidRPr="008127F8">
        <w:rPr>
          <w:rFonts w:ascii="Times New Roman" w:hAnsi="Times New Roman"/>
          <w:color w:val="000000" w:themeColor="text1"/>
          <w:sz w:val="16"/>
          <w:szCs w:val="16"/>
        </w:rPr>
        <w:t>пуле- метным</w:t>
      </w:r>
      <w:proofErr w:type="gramEnd"/>
      <w:r w:rsidRPr="008127F8">
        <w:rPr>
          <w:rFonts w:ascii="Times New Roman" w:hAnsi="Times New Roman"/>
          <w:color w:val="000000" w:themeColor="text1"/>
          <w:sz w:val="16"/>
          <w:szCs w:val="16"/>
        </w:rPr>
        <w:t xml:space="preserve"> огнем бомбардировщиков противника и применяться для штурмовых действий, имея установку реактивного оружия.</w:t>
      </w:r>
    </w:p>
    <w:p w14:paraId="5C40667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Дляуспешной борьбы с новыми (модифицированными) немецкими самолетами Me-109 и Me-115 на строящемся серийном самолете ЛаГГ-3 необходимо повысить максимальную горизонтальную скорость путем усовершенствования его аэродинамики и срочной отработки новой винтомоторной группы с моторами М-82.</w:t>
      </w:r>
    </w:p>
    <w:p w14:paraId="2DA8E3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улучшения вертикального маневра самолета ЛаГГ-3 и его взлетно-посадочных свойств необходимо поставить перед главным конструктором самолета т. Лавочкиным задачу по облегчению самолета (например удаления контрбалансиров, удаления остатков клея на стенках фюзеляжа, вес которых доходит до нескольких десятков килограммов и т.д.).</w:t>
      </w:r>
    </w:p>
    <w:p w14:paraId="432551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Как фронтовой истребитель самолет ЛаГГ-3 целесообразно выпускать с облегченным вариантом вооружения (двумя точками), повысив запас патронов, и без подвесных бензобаков. Для выполнения задач, требующих более продолжительного полета, на самолете ЛаГГ-3 восстановить консольные бензобаки, которые должны заполняться в зависимости от характера боевого задания по усмотрению командира части.</w:t>
      </w:r>
    </w:p>
    <w:p w14:paraId="09AEA2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целей ПВО и ночных действий самолет ЛаГГ-3 целесообразно выпускать с предкрылками, с повышенным запасом горючего, с установленными РПК-10 "Чаенок" и авиагоризонтом и со съемными пламягасителями на стрелковых установках.</w:t>
      </w:r>
    </w:p>
    <w:p w14:paraId="0BA249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Бронирование и протектирование самолета ЛаГГ-3 необходимо пересмотреть с учетом наличия крупнокалиберного пулеметного и пушечного вооружения на немецких самолетах.</w:t>
      </w:r>
    </w:p>
    <w:p w14:paraId="6BDFA2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Окончательно, в срочном порядке, доработать образец самолета ЛаГГ-3 с бомбардировочными установками, обеспечив возможность подвески на эти установки химического вооружения.</w:t>
      </w:r>
    </w:p>
    <w:p w14:paraId="7D678C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Як-1 с мотором М- 105П</w:t>
      </w:r>
    </w:p>
    <w:p w14:paraId="087CBDA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Боевые и летные качества самолета</w:t>
      </w:r>
    </w:p>
    <w:p w14:paraId="3483BA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Як-1 на фронте с успехом применяется для борьбы с истребителями и бомбардировщиками противника, успешно ведя с ними воздушный бой.</w:t>
      </w:r>
    </w:p>
    <w:p w14:paraId="3CA436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236-м иап (командир полка т. Антонец, комиссар т. Рогожников, командир эскадрильи т. Розен- ков) дают самолету Як-1 такую оценку: "...Самолет Як-1 с самолетом Me-109 может драться свободно. Самолет прост в управлении, "ходит за ручкой", прощает ошибки пилотирования. Самолет Як-1, как истребитель, в полной мере </w:t>
      </w:r>
      <w:r w:rsidRPr="008127F8">
        <w:rPr>
          <w:rFonts w:ascii="Times New Roman" w:hAnsi="Times New Roman"/>
          <w:color w:val="000000" w:themeColor="text1"/>
          <w:sz w:val="16"/>
          <w:szCs w:val="16"/>
        </w:rPr>
        <w:lastRenderedPageBreak/>
        <w:t>удовлетворяет боевым требованиям".</w:t>
      </w:r>
    </w:p>
    <w:p w14:paraId="02CEA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Летные данные самолета Як-1 позволят ему легко догонять все немецкие бомбардировщики, а наличие пушки - с успехом их поражать. Однако установка на самолет лыж ухудшила летные данные самолета. С РО и лыжами самолет стал тяжелым и вялым на фигурах. Командир 236-го иап т.Антонец говорит, что "в настоящее время самолет Як-1 заметно ухудшился благодаря лыжам и РО. Стал тяжелым и вялым на фигурах". Максимальная скорость у земли 445 км/ч по прибору недостаточна, надо иметь не меньше 500-520 км/ч. Установка же на самолете реактивного оружия (с октября 1941 г. заводом № 292) позволила с успехом применять его для действия по наземным войскам противника. В системе ПВО самолет Як-/ бьи использован широко днем и частично ночью как перехватчик и для патрулирования. Применение самолета в ночных условиях затрудняюсь отсутствием фары (на первых сериях), вариометра, РПК, авиагоризонта, а также из-за большого пробега самолета при посадке. В целях улучшения маневренности самолета летный состав считает целесообразным применить установку на самолете предкрылков. Так лейтенант т. Ла- почкин говорит, что "на Як-1 нужно поставить предкрылки, тогда на вираже он не уступит Me-109". Младший лейтенант Константинов (11-й иап) считает, что для самолета "обязательно нужны </w:t>
      </w:r>
      <w:proofErr w:type="gramStart"/>
      <w:r w:rsidRPr="008127F8">
        <w:rPr>
          <w:rFonts w:ascii="Times New Roman" w:hAnsi="Times New Roman"/>
          <w:color w:val="000000" w:themeColor="text1"/>
          <w:sz w:val="16"/>
          <w:szCs w:val="16"/>
        </w:rPr>
        <w:t>предкры!ки</w:t>
      </w:r>
      <w:proofErr w:type="gramEnd"/>
      <w:r w:rsidRPr="008127F8">
        <w:rPr>
          <w:rFonts w:ascii="Times New Roman" w:hAnsi="Times New Roman"/>
          <w:color w:val="000000" w:themeColor="text1"/>
          <w:sz w:val="16"/>
          <w:szCs w:val="16"/>
        </w:rPr>
        <w:t>, и все с этим согласны".</w:t>
      </w:r>
    </w:p>
    <w:p w14:paraId="4E2F6B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Вооружение самолета</w:t>
      </w:r>
    </w:p>
    <w:p w14:paraId="0C4B9C2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течение 1941 года самолет Як-1 выпускался с одним вариантом вооружения: одна пушка калибром 20 мм и два синхронных пулемета калибром 7,62 мм. Нейтральная мотор-пушка работает, как правило, безотказно, синхронные пулеметы ШКАС - ненадежно. По отзыву большинства летчиков стрельба из пулеметов ШКАС является малоэффективной и выгоднее иметь один крупнокалиберный пулемет вместо двух ШКАСов. Замена малоэффективных мелкокалиберных пулеметов на самолете Як-1 на крупнокалиберные даст возможность поражать самолеты противника при меньшем числе атак. Т. Антонец (236-й иап): "Стрельба из пулеметов ШКАС не эффективна даже при дистанциях 25-50м. Нужно установить одну пушку ВЯ и два БС синхронно и предусмотреть подвеску шести РО". Лейтенант Липочкин (11-й иап): "ШКАСы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иголка, надо их заменить".</w:t>
      </w:r>
    </w:p>
    <w:p w14:paraId="4BB201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октября 1941 г. установка реактивного оружия на самолетах Як-1 отсутствовала, и применение Як-1 по наземным целям было недостаточно эффективным. Бомбардировочное вооружение на самолете Як-1 отсутствует. Особой необходимости в нем нет при шиичии РО, но поскольку на бомбардировочные установки подвешивается, как правило, химвооружение, то на одном из самолетов Як-1 необходимо в срочном порядке отработать полностью бомбовооружение, как образец и эталон.</w:t>
      </w:r>
    </w:p>
    <w:p w14:paraId="06EC64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ночью длинными очередями летчик ослепляется пламенем пороховых газов от пулеметов ШКАС.</w:t>
      </w:r>
    </w:p>
    <w:p w14:paraId="35CE9596" w14:textId="574F24A0"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летчика на самолете Як-</w:t>
      </w:r>
      <w:r w:rsidR="00963AF0"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rPr>
        <w:t xml:space="preserve"> осуществлено стандартной бронеспинкой, дающей защиту только от пуль калибра 7,62 мм на дистанции действительного пулеметного огня. Бронезащиты спереди летчик на самолете Як-1 не имеет. Бронирование летчика на самолете Як-1 требует пересмотра (также как и на остальных отечественных самолетах) в связи с наличием на истребителях противника пулеметов калибра 15 мм. На бензобаках самолета Як-1 ставится устаревший протектор образца 1937г.</w:t>
      </w:r>
    </w:p>
    <w:p w14:paraId="514D67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Дефекты самолета.</w:t>
      </w:r>
    </w:p>
    <w:p w14:paraId="217608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Негерметичность пневмосистемы.</w:t>
      </w:r>
    </w:p>
    <w:p w14:paraId="48276C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Недостаточная прочность хвостового колеса.</w:t>
      </w:r>
    </w:p>
    <w:p w14:paraId="2B7A17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Невозможность уборки шасси после их аварийного выпуска без разьединения системы аварийного выпуска на земле (для стравливания воздуха).</w:t>
      </w:r>
    </w:p>
    <w:p w14:paraId="05E59C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Течь бензобаков в местах точечной сварки.</w:t>
      </w:r>
    </w:p>
    <w:p w14:paraId="54B615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Неравномерная выработка горючего из бензобаков.</w:t>
      </w:r>
    </w:p>
    <w:p w14:paraId="686630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Заклинивание радиатора в направляющих узлах.</w:t>
      </w:r>
    </w:p>
    <w:p w14:paraId="334E04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Неудовлетворительный монтаж звенье- и гильзоотводов.</w:t>
      </w:r>
    </w:p>
    <w:p w14:paraId="52FED3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Прицеливание при стрельбе в ночных условиях невозможно из-за ослепительного пламени от пулеметов.</w:t>
      </w:r>
    </w:p>
    <w:p w14:paraId="150488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Гибкий рукав патронной ленты правого пулемета ШКАС ломается вместе соединения с гайкой.</w:t>
      </w:r>
    </w:p>
    <w:p w14:paraId="69F0B1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Неудобно управление регулятором оборотов винта Р- 7, что отнимает много внимания у летного состава.</w:t>
      </w:r>
    </w:p>
    <w:p w14:paraId="51D75C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 Трубки, подводящие бензин </w:t>
      </w:r>
      <w:proofErr w:type="gramStart"/>
      <w:r w:rsidRPr="008127F8">
        <w:rPr>
          <w:rFonts w:ascii="Times New Roman" w:hAnsi="Times New Roman"/>
          <w:color w:val="000000" w:themeColor="text1"/>
          <w:sz w:val="16"/>
          <w:szCs w:val="16"/>
        </w:rPr>
        <w:t>к карбюратору</w:t>
      </w:r>
      <w:proofErr w:type="gramEnd"/>
      <w:r w:rsidRPr="008127F8">
        <w:rPr>
          <w:rFonts w:ascii="Times New Roman" w:hAnsi="Times New Roman"/>
          <w:color w:val="000000" w:themeColor="text1"/>
          <w:sz w:val="16"/>
          <w:szCs w:val="16"/>
        </w:rPr>
        <w:t xml:space="preserve"> дают течь, что приводит к пожарам.</w:t>
      </w:r>
    </w:p>
    <w:p w14:paraId="4DF2B6D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Эксплуатация самолета на лыжах.</w:t>
      </w:r>
    </w:p>
    <w:p w14:paraId="735DFD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частях имеются жалобы на дефекты в лыжной установке самолетов Як-1: маю давление в пневмосистеме уборки шасси, бывают случаи, когда лыжи плохо убираются. Военинженер 2-го ранга Сидоров (11-й иап): "...При низких температурах амортизационные стойки не амортизируют. Комплект весит 130 кг, и шасси убирается при 45-50 атмосферах. Необходимо сделать запас давления, чтобы обеспечить безотказность".</w:t>
      </w:r>
    </w:p>
    <w:p w14:paraId="77E045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Спецоборудование</w:t>
      </w:r>
    </w:p>
    <w:p w14:paraId="71CB87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Из-за большого уровня электрических помех радиоприему дальность радиосвязи на самолете Як-1 70-80 км. Большой уровень электрических помех утомляет летный состав. Дегкосьемность приемника не обеспечена.</w:t>
      </w:r>
    </w:p>
    <w:p w14:paraId="281CE8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Освещение компаса, кабинное освещение и освещение прицела связаны в один реостат. Это приводит к тому, что если в целях маскировки кабинное освещение будет в/ы/ключено, то вместе с ним, будет в/ы/ключено освещение прицела и компаса, что не позволит самолет вести по курсу и прицельный огонь.</w:t>
      </w:r>
    </w:p>
    <w:p w14:paraId="780A5E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Для чтения шкал компаса летчику каждый раз приходится нагибаться.</w:t>
      </w:r>
    </w:p>
    <w:p w14:paraId="40EB2D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Установочные углы фары не позволяют производство посадок ночью без аэродромных осветительных средств из-за того, что наличие большого застекленного выреза обуславливает попадание лучей на винт, ослепляющий летчика.</w:t>
      </w:r>
    </w:p>
    <w:p w14:paraId="192E68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246470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 Як-1 М- 105П по своим летно-тактическим данным является пригодным для воздушного боя с истребителями противника.</w:t>
      </w:r>
    </w:p>
    <w:p w14:paraId="3C2C46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Дзя более успешной борьбы с новыми (модифицированными) немецкими истребителями необходимо повысить максимальную горизонтальную скорость самолета Як-1 путем усовершенствования его аэродинамики, форсирования стоящего на нем мотора М-105П и срочной отработки новой винтомоторной группы с моторами М-82.</w:t>
      </w:r>
    </w:p>
    <w:p w14:paraId="099655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более успешного поражения бомбардировщиков противника на самолете Як-1 целесообразно заменить мелкокалиберные пулеметы крупнокалиберными.</w:t>
      </w:r>
    </w:p>
    <w:p w14:paraId="675DFF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сохранения положительных качеств самолета Як-1 как самолета воздушного боя необходимо рассмотреть все меры по его облегчению и не допускать ни в коем случае утяжеления самолета.</w:t>
      </w:r>
    </w:p>
    <w:p w14:paraId="1C1B2C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целей ПВО целесообразно выпускать самолет Як-1 (или Як-7) в ночном варианте - с предкрылками, с повышенным запасом горючего, с вариометром, радиополукомпасом "Чаенок", авиагоризонтом и со съемными пламягасителями на стрелковых установках.</w:t>
      </w:r>
    </w:p>
    <w:p w14:paraId="598D5C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Пересмотреть бронирование самолета Як-1 с учетом наличия на немецких самолетах пушечного вооружения.</w:t>
      </w:r>
    </w:p>
    <w:p w14:paraId="1F1C1C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МиТ-3 с мотором АМ-35А</w:t>
      </w:r>
    </w:p>
    <w:p w14:paraId="147552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Боевые и летные качества самолета МиГ-3.</w:t>
      </w:r>
    </w:p>
    <w:p w14:paraId="73E7940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МиГ-3 Применяется как для ведения воздушного боя с самолетами противника, так и для действия по наземным целям. Также применяется для сопровождения своих штурмовиков и бомбардировщиков и используется /в/ системе ПВО днем и частично ночью.</w:t>
      </w:r>
    </w:p>
    <w:p w14:paraId="1627DE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Самолет МиГ-3, рассчитанный для ведения воздушного боя на больших высотах сложен в бою у земли. Однако он применяется для штурмовых действий, для борьбы с наземным противником, танками и мотомехколоннами. Как показала практика, самолет МиТ-3 в большинстве случаев применялся на высотах ниже 4000 м, поэтому не представилось возможным использовать преимущества этого самолета как высотного истребителя. В воздушных боях на высотах 8000-11000 м самолет МиГ-3 оказался по своим летным данным пригодным для этой цели. По скорости на высотах ниже 4000 м МиГ-3 уступает Bf. 109F (с форсированным мотором), но не уступает самолету Bf. 109Е с мотором DВ-601А. Оценка летных и боевых качеств самолета МиГ-3, данная командованием различных частей противоречива, поэтому на основе такого материала дать исчерпывающую оценку является весьма трудным, и приведенные выводы нужно </w:t>
      </w:r>
      <w:proofErr w:type="gramStart"/>
      <w:r w:rsidRPr="008127F8">
        <w:rPr>
          <w:rFonts w:ascii="Times New Roman" w:hAnsi="Times New Roman"/>
          <w:color w:val="000000" w:themeColor="text1"/>
          <w:sz w:val="16"/>
          <w:szCs w:val="16"/>
        </w:rPr>
        <w:t>считать</w:t>
      </w:r>
      <w:proofErr w:type="gramEnd"/>
      <w:r w:rsidRPr="008127F8">
        <w:rPr>
          <w:rFonts w:ascii="Times New Roman" w:hAnsi="Times New Roman"/>
          <w:color w:val="000000" w:themeColor="text1"/>
          <w:sz w:val="16"/>
          <w:szCs w:val="16"/>
        </w:rPr>
        <w:t xml:space="preserve"> как предварительные и требующие в дальнейшем уточнения на основе новых материалов по применению этой машины.</w:t>
      </w:r>
    </w:p>
    <w:p w14:paraId="12896F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Например, командир 519 иап Рязанов и командир эскадрильи этого же полка Никифоров дают следующую оценку: "По скорости самолет МиГ-3 вполне приличная машина. Часто применяется в качестве штурмовика и самолета сопровождения истребителей. МиГ-3 красивая машина. Нельзя снимать его с вооружения. Нужно самолет улучшать и добиться повышения скорости у земли".</w:t>
      </w:r>
    </w:p>
    <w:p w14:paraId="3D9398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487 иап майор Куреш и помощник командира этого полка майор Ледовский дали следующую оценку:" Два главных недостатка МиГ-3 - плохая маневренность и слабое вооружение. Для штурмовых действий по войскам противника самолет совершенно не пригоден, несет большие потери. За все время войны наш полк ни разу не сел воздушного боя на высотах выше 3000 м. На больших высотах скорость увеличивается, но поведение машины в смысле маневренности не улучшается. В системе ПВО более или менее пригоден, но при условии вооружения".</w:t>
      </w:r>
    </w:p>
    <w:p w14:paraId="62472AC6" w14:textId="48FFD958"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действий по наземным войскам применение самолета МиГ-3 недостаточно эффективно из-за слабого вооружения (2 ШКАС и I ВС), а также затруднено плохой маневренностью у земли, что увеличивает время пребывания над целью. Самолет МиГ-3 применялся в ночных условиях. Взлетно-посадочные свойства самолета МиГ-3 при наитии предкрылков не являются более сложными, чем у самолетов Як-1 и </w:t>
      </w:r>
      <w:r w:rsidR="00963AF0" w:rsidRPr="008127F8">
        <w:rPr>
          <w:rFonts w:ascii="Times New Roman" w:hAnsi="Times New Roman"/>
          <w:color w:val="000000" w:themeColor="text1"/>
          <w:sz w:val="16"/>
          <w:szCs w:val="16"/>
        </w:rPr>
        <w:t>Л</w:t>
      </w:r>
      <w:r w:rsidRPr="008127F8">
        <w:rPr>
          <w:rFonts w:ascii="Times New Roman" w:hAnsi="Times New Roman"/>
          <w:color w:val="000000" w:themeColor="text1"/>
          <w:sz w:val="16"/>
          <w:szCs w:val="16"/>
        </w:rPr>
        <w:t xml:space="preserve">аГГ-3. Применение самолета в ночных условиях затруднено отсутствием специального оборудования - РПК, авиагоризонта, гиромагнитного компаса, а также установкой фары, не имеющей регулировки на земле. Вследствие отсутствия аварийного сброса и трудности открытия фонаря на пикировании летчики при боевой работе не закрывают фонаря. Также часто закрепляется в выпущенном положении костыль, так как были случаи складывания костылей при посадке из-за забивания в хвостовую часть снега ли грязи. При открытом фонаре и выпущенном </w:t>
      </w:r>
      <w:r w:rsidRPr="008127F8">
        <w:rPr>
          <w:rFonts w:ascii="Times New Roman" w:hAnsi="Times New Roman"/>
          <w:color w:val="000000" w:themeColor="text1"/>
          <w:sz w:val="16"/>
          <w:szCs w:val="16"/>
        </w:rPr>
        <w:lastRenderedPageBreak/>
        <w:t>костыле максимальная скорость снижается. Как показан/ летные испытания в НИИ ВВС КА максимальная скорость самолета МиГ-3 при открытом фонаре снижается на 18 км/ч у земли и 27 км/ч на границе высотности (7800 м).</w:t>
      </w:r>
    </w:p>
    <w:p w14:paraId="5F40D5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Вооружение самолета</w:t>
      </w:r>
    </w:p>
    <w:p w14:paraId="554AAA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МиГ-3устанавливались следующие варианты стрелкового вооружения: 2 ШКАС и / ВС. 2 ШКАС. 2 Б К и 1 БС. 2 БС.</w:t>
      </w:r>
    </w:p>
    <w:p w14:paraId="2C7E89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вариант: два пулемета ШКАС и один пулемет БС установлены на основной массе самолетов МиГ-3. Такое вооружение является слабым для истребителя и не удовлетворяет строевые части фронта.</w:t>
      </w:r>
    </w:p>
    <w:p w14:paraId="0D6F5F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вариант вооружения: два пулемета ШКАС, два пулемета Б К и один пулемет БС устанавливался с целью увеличения мощности огня, но это не оправдаю себя из-за значительного увеличения полетного веса (полетный вес достиг 3500 кг) и ухудшения аэродинамики (внешняя подвеска), поэтому крыльевые пулеметы были сняты.</w:t>
      </w:r>
    </w:p>
    <w:p w14:paraId="04B19E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Третий вариант: два пулемета БС является наиболее приемлемым, но этот вариант был установлен только на последних 200 самолетах, после чего производство самолетов МиГ-3 было прекращено.</w:t>
      </w:r>
    </w:p>
    <w:p w14:paraId="2D0966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Большим успехом в строевых частях фронта, как пи проведении воздушных боев, так и при штурмовках наземных войск противника, пользуется установка шести РО. 519 иап подполковник Рязанов заявляет: "Вооружение самолета МиГ-3 будет удовлетворять при установке на самолете двух БС и шести РО". РО поражает не только при прямом попадании, но и при разрыве вблизи самолета противника. При атаках воздушного противника PC выпускают с дистанции 600- 700м, максимум 800м. При штурмовке наземных войск PC выпускают с высоты 1500-1600м при угле пикирования 60°. Балки для подвески бомб в строевых частях, как правило, не используются.</w:t>
      </w:r>
    </w:p>
    <w:p w14:paraId="5CA4F6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Бронирование</w:t>
      </w:r>
    </w:p>
    <w:p w14:paraId="3F9AF8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Бронирование самолета, осуществленное установкой стандартной спинки из </w:t>
      </w:r>
      <w:proofErr w:type="gramStart"/>
      <w:r w:rsidRPr="008127F8">
        <w:rPr>
          <w:rFonts w:ascii="Times New Roman" w:hAnsi="Times New Roman"/>
          <w:color w:val="000000" w:themeColor="text1"/>
          <w:sz w:val="16"/>
          <w:szCs w:val="16"/>
        </w:rPr>
        <w:t>цемент[</w:t>
      </w:r>
      <w:proofErr w:type="gramEnd"/>
      <w:r w:rsidRPr="008127F8">
        <w:rPr>
          <w:rFonts w:ascii="Times New Roman" w:hAnsi="Times New Roman"/>
          <w:color w:val="000000" w:themeColor="text1"/>
          <w:sz w:val="16"/>
          <w:szCs w:val="16"/>
        </w:rPr>
        <w:t>ир/ованной стали, имеющей толщину 8,5 мм, предохраняет летчика только от поражения сзади от пуль калиб- ра 7,62 мм. Во время воздушных боев имелись случаи поражения летного состава от лобовых атак. Кроме того, имелись частые ранения левой руки при атаках сзади под ракурсами. С применением немцами пулемета калибра 15 мм стандартная спинка не обеспечивает защиты летчика даже сзади.</w:t>
      </w:r>
    </w:p>
    <w:p w14:paraId="373BE4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Спецоборудование</w:t>
      </w:r>
    </w:p>
    <w:p w14:paraId="0FB302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Объем контрольных приборов обеспечивает самолетовождение в простых условиях и не обеспечивает самолетовождение в трудных метеоусловиях и ночью. Чтобы обеспечить самолетовождение в трудных метеоусловиях и ночью следует установить на самолете РПК, авиагоризонт, гиромагнитный компас и регулирующуюся фару на земле.</w:t>
      </w:r>
    </w:p>
    <w:p w14:paraId="6181D9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Средства связи</w:t>
      </w:r>
    </w:p>
    <w:p w14:paraId="4D8BE2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Установленная на самолете МиГ-3 радиостанция РСИ-4 не обеспечивает надежной связи с землей из-за большого количества электрических помех и, поэтому, не имеет широкого применения в условиях работы фронтовых частей.</w:t>
      </w:r>
    </w:p>
    <w:p w14:paraId="0A8BD8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Основные дефекты</w:t>
      </w:r>
    </w:p>
    <w:p w14:paraId="31F071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Течь маслорадиаторов по сотам, обечайке и в местах крепления штуцеров, что объясняется повреждениями, вызываемыми тряской мотора вследствие плохой амортизации подвески радиаторов.</w:t>
      </w:r>
    </w:p>
    <w:p w14:paraId="703EA50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Отказ термостатов маслорадиаторов вследствие поломки мембраны, что приводит к перегреву масла в полете.</w:t>
      </w:r>
    </w:p>
    <w:p w14:paraId="2E4D9E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Выбивание масла из носка редуктора мотора МА-35А, что приводит к забрызгиванию козырька маслом. Установка маслоотражателей устранила этот дефект только частично.</w:t>
      </w:r>
    </w:p>
    <w:p w14:paraId="72B87F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Травление воздуха из системы управления шасси и щитков из-за негерметичности золотников пневмосистемы.</w:t>
      </w:r>
    </w:p>
    <w:p w14:paraId="2AF2DE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Травление воздуха из ног шасси и костыля из- за низкого качества манжет.</w:t>
      </w:r>
    </w:p>
    <w:p w14:paraId="42440F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Задержка ног шасси в убранном положении при выпуске шасси из-за замерзания смазки в цилиндре верхнего замка шасси.</w:t>
      </w:r>
    </w:p>
    <w:p w14:paraId="4818E5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Поломка узлов крепления ног шасси из-за выпуска без противодавления.</w:t>
      </w:r>
    </w:p>
    <w:p w14:paraId="7E3251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Плохая подгонка заднего замка фонаря, в результате чего фонарь не фиксируется в убранном положении и при посадке сползает на голову летчика.</w:t>
      </w:r>
    </w:p>
    <w:p w14:paraId="6B681E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Срыв гусматиков с роликов костыля, особенно при резких разворотах на рулении из-за ограниченного поворота костыля.</w:t>
      </w:r>
    </w:p>
    <w:p w14:paraId="145874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Разрыв тормозных камер при резком торможении.</w:t>
      </w:r>
    </w:p>
    <w:p w14:paraId="206A4E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Перебои мотора при взлете с форсажом. Свечи С В-19 плохо держат форсированный режим. Часто отказывают свечи С В-19.</w:t>
      </w:r>
    </w:p>
    <w:p w14:paraId="294BBA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Перебои мотора при выводе из пикирования из-за интенсивного охлаждения водорадиатора при пикировании.</w:t>
      </w:r>
    </w:p>
    <w:p w14:paraId="593697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Разрушаются выхлопные патрубки.</w:t>
      </w:r>
    </w:p>
    <w:p w14:paraId="1E60E0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Складывание костыля при посадке из-за забивания снега в хвостовую часть фюзеляжа.</w:t>
      </w:r>
    </w:p>
    <w:p w14:paraId="05A1C2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29B8699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На самолете МиГ-3 АМ-35А, как правило, не используется его основное преимущество высотного </w:t>
      </w:r>
      <w:proofErr w:type="gramStart"/>
      <w:r w:rsidRPr="008127F8">
        <w:rPr>
          <w:rFonts w:ascii="Times New Roman" w:hAnsi="Times New Roman"/>
          <w:color w:val="000000" w:themeColor="text1"/>
          <w:sz w:val="16"/>
          <w:szCs w:val="16"/>
        </w:rPr>
        <w:t>истребителя, ввиду того, что</w:t>
      </w:r>
      <w:proofErr w:type="gramEnd"/>
      <w:r w:rsidRPr="008127F8">
        <w:rPr>
          <w:rFonts w:ascii="Times New Roman" w:hAnsi="Times New Roman"/>
          <w:color w:val="000000" w:themeColor="text1"/>
          <w:sz w:val="16"/>
          <w:szCs w:val="16"/>
        </w:rPr>
        <w:t xml:space="preserve"> воздушная война в основном проходит на высотах ниже 4000 м.</w:t>
      </w:r>
    </w:p>
    <w:p w14:paraId="22B757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Боевое применение самолета МиГ-3 АМ-35А на фронте по штурмовке наземных войск сложно из- за недостаточно мощного огня, плохой маневренности у зелии, а также значительной уязвимости винтомоторной группы.</w:t>
      </w:r>
    </w:p>
    <w:p w14:paraId="6E9D7E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Самолет МиГ-3 целесообразно использовать в системе ПВО для обороны крупных промышленных центров против высотных бомбардировщиков противника. Для этой цели на самолете МиГ-3 должно стоять следующее оружие: два пулемета калибром 12,7 мм и реактивное оружие с возможностью стрелять одиночными снарядами (12048).</w:t>
      </w:r>
    </w:p>
    <w:p w14:paraId="2B01C7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5C6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февраля 1942 г. Пост. ГКО № 1285 заводу (Завод № 23 НКАП, МАП, ГКАТ, Машиностроительный завод им. М.В. Хруничева (ЗИХ) СНХ,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поручено освоение производства Як-3. В соответствии с пост. ГКО № 1388 от 4.03.1942 г. на заводе начато освоение производства самолета Як-7 (11982).</w:t>
      </w:r>
    </w:p>
    <w:p w14:paraId="55D47E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37736" w14:textId="77777777" w:rsidR="00B3610A" w:rsidRPr="008127F8" w:rsidRDefault="00B3610A" w:rsidP="001E0A84">
      <w:pPr>
        <w:pStyle w:val="af"/>
        <w:shd w:val="clear" w:color="auto" w:fill="FFFFFF"/>
        <w:spacing w:before="0" w:after="0"/>
        <w:jc w:val="both"/>
        <w:rPr>
          <w:color w:val="000000" w:themeColor="text1"/>
          <w:sz w:val="16"/>
          <w:szCs w:val="16"/>
        </w:rPr>
      </w:pPr>
      <w:r w:rsidRPr="008127F8">
        <w:rPr>
          <w:color w:val="000000" w:themeColor="text1"/>
          <w:sz w:val="16"/>
          <w:szCs w:val="16"/>
        </w:rPr>
        <w:t>15 февраля 1942 года завод имени Фрунзе объединился с безымянским заводом № 337 и вернул себе московский № 24. Весной 1942 года этот завод превысил довоенный (московский) уровень производства мощных авиадвигателей. В Куйбышеве завод имени Фрунзе разработал и освоил выпуск самого мощного в то время (2000 л.с.) авиационного двигателя "АМ-42" для «летающего танка» - штурмовика Ил-10. Таких машин было выпущено около 5 тысяч, на всех стояли моторы завода №24. А всего за годы войны он выпустил более 36 тысяч моторов к штурмовикам Ил-2. За самоотверженный труд в годы войны завод был награжден орденом Красного Знамени (19828).</w:t>
      </w:r>
    </w:p>
    <w:p w14:paraId="24013B5E" w14:textId="77777777" w:rsidR="00B3610A" w:rsidRPr="008127F8" w:rsidRDefault="00B3610A" w:rsidP="001E0A84">
      <w:pPr>
        <w:pStyle w:val="af"/>
        <w:shd w:val="clear" w:color="auto" w:fill="FFFFFF"/>
        <w:spacing w:before="0" w:after="0"/>
        <w:jc w:val="both"/>
        <w:rPr>
          <w:color w:val="000000" w:themeColor="text1"/>
          <w:sz w:val="16"/>
          <w:szCs w:val="16"/>
        </w:rPr>
      </w:pPr>
    </w:p>
    <w:p w14:paraId="083A070B"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февраля 1942 г. решением ГКО №1285сс мастерские, созданные в конце октября 1941 на базе эвакуированного завода № 301, организационно передали заводу №23, как филиал для изготовления кры</w:t>
      </w:r>
      <w:r w:rsidRPr="008A2E5A">
        <w:rPr>
          <w:rFonts w:ascii="Times New Roman" w:hAnsi="Times New Roman"/>
          <w:color w:val="0070C0"/>
          <w:sz w:val="16"/>
          <w:szCs w:val="16"/>
        </w:rPr>
        <w:softHyphen/>
        <w:t>льев для самолетов Як-3 (Як-7А), оставив за ним также за</w:t>
      </w:r>
      <w:r w:rsidRPr="008A2E5A">
        <w:rPr>
          <w:rFonts w:ascii="Times New Roman" w:hAnsi="Times New Roman"/>
          <w:color w:val="0070C0"/>
          <w:sz w:val="16"/>
          <w:szCs w:val="16"/>
        </w:rPr>
        <w:softHyphen/>
        <w:t>дачу по ремонту истребителей. 30 марта 1942 г. приказом наркома авиапромышленности №239с мастерские, при</w:t>
      </w:r>
      <w:r w:rsidRPr="008A2E5A">
        <w:rPr>
          <w:rFonts w:ascii="Times New Roman" w:hAnsi="Times New Roman"/>
          <w:color w:val="0070C0"/>
          <w:sz w:val="16"/>
          <w:szCs w:val="16"/>
        </w:rPr>
        <w:softHyphen/>
        <w:t>дав им статус завода, перевели в подчинение 6-му (авиа</w:t>
      </w:r>
      <w:r w:rsidRPr="008A2E5A">
        <w:rPr>
          <w:rFonts w:ascii="Times New Roman" w:hAnsi="Times New Roman"/>
          <w:color w:val="0070C0"/>
          <w:sz w:val="16"/>
          <w:szCs w:val="16"/>
        </w:rPr>
        <w:softHyphen/>
        <w:t>ремонтному) Главному управлению (ГУ) НКАП, а 16 апре</w:t>
      </w:r>
      <w:r w:rsidRPr="008A2E5A">
        <w:rPr>
          <w:rFonts w:ascii="Times New Roman" w:hAnsi="Times New Roman"/>
          <w:color w:val="0070C0"/>
          <w:sz w:val="16"/>
          <w:szCs w:val="16"/>
        </w:rPr>
        <w:softHyphen/>
        <w:t>ля (приказ НКАП №287с) присвоили наименование - «Го</w:t>
      </w:r>
      <w:r w:rsidRPr="008A2E5A">
        <w:rPr>
          <w:rFonts w:ascii="Times New Roman" w:hAnsi="Times New Roman"/>
          <w:color w:val="0070C0"/>
          <w:sz w:val="16"/>
          <w:szCs w:val="16"/>
        </w:rPr>
        <w:softHyphen/>
        <w:t>сударственный Союзный завод №301». В связи с отменой задания заводу №23 по выпуску истребителей Як-7А за</w:t>
      </w:r>
      <w:r w:rsidRPr="008A2E5A">
        <w:rPr>
          <w:rFonts w:ascii="Times New Roman" w:hAnsi="Times New Roman"/>
          <w:color w:val="0070C0"/>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 (23381).</w:t>
      </w:r>
    </w:p>
    <w:p w14:paraId="352CDFD4" w14:textId="77777777" w:rsidR="000E42A4" w:rsidRPr="008A2E5A" w:rsidRDefault="000E42A4" w:rsidP="000E42A4">
      <w:pPr>
        <w:spacing w:after="0" w:line="240" w:lineRule="auto"/>
        <w:jc w:val="both"/>
        <w:rPr>
          <w:rFonts w:ascii="Times New Roman" w:hAnsi="Times New Roman"/>
          <w:color w:val="0070C0"/>
          <w:sz w:val="16"/>
          <w:szCs w:val="16"/>
        </w:rPr>
      </w:pPr>
    </w:p>
    <w:p w14:paraId="5E4F5C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Постановление ГКО № 1283 Об организации на площади эвакуированного завода № 24 в г.Москве производства моторов АМ-38. РГАНИР, Фонд ГКО, д. 21, лл. 54-55 (11012).</w:t>
      </w:r>
    </w:p>
    <w:p w14:paraId="259A25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FDA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Постановление ГКО № 1284 Об организации на площади эвакуированного завода № 26 в г.Рыбинске производства моторов М-105Р. РГАНИР, Фонд ГКО, д. 21, лл. 56-57 (11012).</w:t>
      </w:r>
    </w:p>
    <w:p w14:paraId="66541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C0B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согласно журналу оперативной справки по мотору 120 на заводе № 26, закончен монтаж испытательной установки для М-120ТК, который шел с 1 февраля. С 15 февраля по 1 марта 1942, согласно журналу оперативной справки по мотору 120 на заводе № 26, мотор М-120ТК установлен на станок для снятия характеристик (998).</w:t>
      </w:r>
    </w:p>
    <w:p w14:paraId="25F9CE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059B3"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был восстановлен на площадке завода №24 серийный выпуск авиадвигателей и образован завод №45 (6395).</w:t>
      </w:r>
    </w:p>
    <w:p w14:paraId="202E13C7"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9749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15 февраля 1942 на территории эвакуированного 24 завода восстановили завод под номером 45 (2668).</w:t>
      </w:r>
    </w:p>
    <w:p w14:paraId="3FB985C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E69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завод имени Фрунзе объединился с безымянским заводом № 337 и вернул себе московский № 24. Весной 1942 года этот завод превысил довоенный (московский) уровень производства мощных авиадвигателей. В Куйбышеве завод имени Фрунзе разработал и освоил выпуск самого мощного в то время (2000 л.с.) авиационного двигателя "АМ-42" для «летающего танка» - штурмовика Ил-10. Таких машин было выпущено около 5 тысяч, на всех стояли моторы завода № 24. А всего за годы войны он выпустил более 36 тысяч моторов к штурмовикам Ил-2. За самоотверженный труд в годы войны завод был награжден орденом Красного Знамени (11878).</w:t>
      </w:r>
    </w:p>
    <w:p w14:paraId="1A25D8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0DC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вышло Постановление ГКО № ГКО-1288сс, в соответствии с которым на Московской площадке эвакуированного завода № 24 им. Фрунзе и вновь созданного завода № 337 был организован завод № 45 с выпуском авиамоторов водяного охлаждения серии АМ-38.</w:t>
      </w:r>
    </w:p>
    <w:p w14:paraId="0B5781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моторов АМ-38 в серийное производство, производство минометов было снято и оставлен дополнительно к выпуску моторов АМ-38, ремонт моторов серии АМ-35 и АМ-38.</w:t>
      </w:r>
    </w:p>
    <w:p w14:paraId="3715C78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от 10 апреля 1943 года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599524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Мейеровский пр., 14 (территория Б, В), территория А – Ткацкая ул.</w:t>
      </w:r>
    </w:p>
    <w:p w14:paraId="49A8BF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моторный (9829).</w:t>
      </w:r>
    </w:p>
    <w:p w14:paraId="69BF7A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40F4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со</w:t>
      </w:r>
      <w:r w:rsidRPr="008127F8">
        <w:rPr>
          <w:rFonts w:ascii="Times New Roman" w:hAnsi="Times New Roman"/>
          <w:color w:val="000000" w:themeColor="text1"/>
          <w:sz w:val="16"/>
          <w:szCs w:val="16"/>
        </w:rPr>
        <w:softHyphen/>
        <w:t>стоялось решение ГКО, а 24 февраля вышел приказ наркомата авиапромыш</w:t>
      </w:r>
      <w:r w:rsidRPr="008127F8">
        <w:rPr>
          <w:rFonts w:ascii="Times New Roman" w:hAnsi="Times New Roman"/>
          <w:color w:val="000000" w:themeColor="text1"/>
          <w:sz w:val="16"/>
          <w:szCs w:val="16"/>
        </w:rPr>
        <w:softHyphen/>
        <w:t>ленности об организации на бывшей площадке завода имени Фрунзе нового Государственного союзного авиамо</w:t>
      </w:r>
      <w:r w:rsidRPr="008127F8">
        <w:rPr>
          <w:rFonts w:ascii="Times New Roman" w:hAnsi="Times New Roman"/>
          <w:color w:val="000000" w:themeColor="text1"/>
          <w:sz w:val="16"/>
          <w:szCs w:val="16"/>
        </w:rPr>
        <w:softHyphen/>
        <w:t>торного завода № 45. Его директором был назначен М.С. Комаров, а главным инженером - М.Л. Кононенко.</w:t>
      </w:r>
    </w:p>
    <w:p w14:paraId="098AE3D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минометов переда</w:t>
      </w:r>
      <w:r w:rsidRPr="008127F8">
        <w:rPr>
          <w:rFonts w:ascii="Times New Roman" w:hAnsi="Times New Roman"/>
          <w:color w:val="000000" w:themeColor="text1"/>
          <w:sz w:val="16"/>
          <w:szCs w:val="16"/>
        </w:rPr>
        <w:softHyphen/>
        <w:t>валось на другое предприятие, но оборудование и кадры оставались в распоряжении завода. Если в конце декабря 1941 г. численность персо</w:t>
      </w:r>
      <w:r w:rsidRPr="008127F8">
        <w:rPr>
          <w:rFonts w:ascii="Times New Roman" w:hAnsi="Times New Roman"/>
          <w:color w:val="000000" w:themeColor="text1"/>
          <w:sz w:val="16"/>
          <w:szCs w:val="16"/>
        </w:rPr>
        <w:softHyphen/>
        <w:t>нала завода № 337 составляла 2880 человек, то в конце февраля 1942 г. она достигла 5337 человек. Для раз</w:t>
      </w:r>
      <w:r w:rsidRPr="008127F8">
        <w:rPr>
          <w:rFonts w:ascii="Times New Roman" w:hAnsi="Times New Roman"/>
          <w:color w:val="000000" w:themeColor="text1"/>
          <w:sz w:val="16"/>
          <w:szCs w:val="16"/>
        </w:rPr>
        <w:softHyphen/>
        <w:t>вертывания производства АМ-38 тре</w:t>
      </w:r>
      <w:r w:rsidRPr="008127F8">
        <w:rPr>
          <w:rFonts w:ascii="Times New Roman" w:hAnsi="Times New Roman"/>
          <w:color w:val="000000" w:themeColor="text1"/>
          <w:sz w:val="16"/>
          <w:szCs w:val="16"/>
        </w:rPr>
        <w:softHyphen/>
        <w:t>бовалось пополнить завод станками (в составленной заявке потребность в них оценивалась в 2762 единицы), а количество работников увеличить приблизительно вдвое. Первоначаль</w:t>
      </w:r>
      <w:r w:rsidRPr="008127F8">
        <w:rPr>
          <w:rFonts w:ascii="Times New Roman" w:hAnsi="Times New Roman"/>
          <w:color w:val="000000" w:themeColor="text1"/>
          <w:sz w:val="16"/>
          <w:szCs w:val="16"/>
        </w:rPr>
        <w:softHyphen/>
        <w:t>ные планы предусматривали выпуск до конца года 800 двигателей АМ-38.</w:t>
      </w:r>
    </w:p>
    <w:p w14:paraId="3052BEA4"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проекту завод № 45 включал в себя 20 цехов основного производ</w:t>
      </w:r>
      <w:r w:rsidRPr="008127F8">
        <w:rPr>
          <w:rFonts w:ascii="Times New Roman" w:hAnsi="Times New Roman"/>
          <w:color w:val="000000" w:themeColor="text1"/>
          <w:sz w:val="16"/>
          <w:szCs w:val="16"/>
        </w:rPr>
        <w:softHyphen/>
        <w:t>ства и 12 вспомогательных и обслу</w:t>
      </w:r>
      <w:r w:rsidRPr="008127F8">
        <w:rPr>
          <w:rFonts w:ascii="Times New Roman" w:hAnsi="Times New Roman"/>
          <w:color w:val="000000" w:themeColor="text1"/>
          <w:sz w:val="16"/>
          <w:szCs w:val="16"/>
        </w:rPr>
        <w:softHyphen/>
        <w:t>живающих цехов, развернутых на пло</w:t>
      </w:r>
      <w:r w:rsidRPr="008127F8">
        <w:rPr>
          <w:rFonts w:ascii="Times New Roman" w:hAnsi="Times New Roman"/>
          <w:color w:val="000000" w:themeColor="text1"/>
          <w:sz w:val="16"/>
          <w:szCs w:val="16"/>
        </w:rPr>
        <w:softHyphen/>
        <w:t>щади 25 гектаров. Полезная площадь всех зданий превышала 110 000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Объем строительно-монтажных работ по восстановлению завода оценивал</w:t>
      </w:r>
      <w:r w:rsidRPr="008127F8">
        <w:rPr>
          <w:rFonts w:ascii="Times New Roman" w:hAnsi="Times New Roman"/>
          <w:color w:val="000000" w:themeColor="text1"/>
          <w:sz w:val="16"/>
          <w:szCs w:val="16"/>
        </w:rPr>
        <w:softHyphen/>
        <w:t>ся в 40 млн руб., требовались 2500 строительных рабочих, 3000 т метал</w:t>
      </w:r>
      <w:r w:rsidRPr="008127F8">
        <w:rPr>
          <w:rFonts w:ascii="Times New Roman" w:hAnsi="Times New Roman"/>
          <w:color w:val="000000" w:themeColor="text1"/>
          <w:sz w:val="16"/>
          <w:szCs w:val="16"/>
        </w:rPr>
        <w:softHyphen/>
        <w:t>ла, 700 т цемента... Необходимо было завезти, смонтировать и сдать в эксп</w:t>
      </w:r>
      <w:r w:rsidRPr="008127F8">
        <w:rPr>
          <w:rFonts w:ascii="Times New Roman" w:hAnsi="Times New Roman"/>
          <w:color w:val="000000" w:themeColor="text1"/>
          <w:sz w:val="16"/>
          <w:szCs w:val="16"/>
        </w:rPr>
        <w:softHyphen/>
        <w:t>луатацию около 3000 единиц метал</w:t>
      </w:r>
      <w:r w:rsidRPr="008127F8">
        <w:rPr>
          <w:rFonts w:ascii="Times New Roman" w:hAnsi="Times New Roman"/>
          <w:color w:val="000000" w:themeColor="text1"/>
          <w:sz w:val="16"/>
          <w:szCs w:val="16"/>
        </w:rPr>
        <w:softHyphen/>
        <w:t>лорежущего и кузнечно-прессового оборудования, откорректировать и частично разработать заново техно</w:t>
      </w:r>
      <w:r w:rsidRPr="008127F8">
        <w:rPr>
          <w:rFonts w:ascii="Times New Roman" w:hAnsi="Times New Roman"/>
          <w:color w:val="000000" w:themeColor="text1"/>
          <w:sz w:val="16"/>
          <w:szCs w:val="16"/>
        </w:rPr>
        <w:softHyphen/>
        <w:t>логические процессы, изготовить по</w:t>
      </w:r>
      <w:r w:rsidRPr="008127F8">
        <w:rPr>
          <w:rFonts w:ascii="Times New Roman" w:hAnsi="Times New Roman"/>
          <w:color w:val="000000" w:themeColor="text1"/>
          <w:sz w:val="16"/>
          <w:szCs w:val="16"/>
        </w:rPr>
        <w:softHyphen/>
        <w:t>чти 11 тысяч приспособлений, штам</w:t>
      </w:r>
      <w:r w:rsidRPr="008127F8">
        <w:rPr>
          <w:rFonts w:ascii="Times New Roman" w:hAnsi="Times New Roman"/>
          <w:color w:val="000000" w:themeColor="text1"/>
          <w:sz w:val="16"/>
          <w:szCs w:val="16"/>
        </w:rPr>
        <w:softHyphen/>
        <w:t>пов и образцов инструмента.</w:t>
      </w:r>
    </w:p>
    <w:p w14:paraId="71685AC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Организация производства отдель</w:t>
      </w:r>
      <w:r w:rsidRPr="008127F8">
        <w:rPr>
          <w:rFonts w:ascii="Times New Roman" w:hAnsi="Times New Roman"/>
          <w:color w:val="000000" w:themeColor="text1"/>
          <w:sz w:val="16"/>
          <w:szCs w:val="16"/>
        </w:rPr>
        <w:softHyphen/>
        <w:t>ных узлов и агрегатов двигателя велась в специальных механосборочных це</w:t>
      </w:r>
      <w:r w:rsidRPr="008127F8">
        <w:rPr>
          <w:rFonts w:ascii="Times New Roman" w:hAnsi="Times New Roman"/>
          <w:color w:val="000000" w:themeColor="text1"/>
          <w:sz w:val="16"/>
          <w:szCs w:val="16"/>
        </w:rPr>
        <w:softHyphen/>
        <w:t>хах по замкнутому циклу. Были орга</w:t>
      </w:r>
      <w:r w:rsidRPr="008127F8">
        <w:rPr>
          <w:rFonts w:ascii="Times New Roman" w:hAnsi="Times New Roman"/>
          <w:color w:val="000000" w:themeColor="text1"/>
          <w:sz w:val="16"/>
          <w:szCs w:val="16"/>
        </w:rPr>
        <w:softHyphen/>
        <w:t xml:space="preserve">низованы цех нагнетателей, цех </w:t>
      </w:r>
      <w:proofErr w:type="gramStart"/>
      <w:r w:rsidRPr="008127F8">
        <w:rPr>
          <w:rFonts w:ascii="Times New Roman" w:hAnsi="Times New Roman"/>
          <w:color w:val="000000" w:themeColor="text1"/>
          <w:sz w:val="16"/>
          <w:szCs w:val="16"/>
        </w:rPr>
        <w:t>водо-масляных</w:t>
      </w:r>
      <w:proofErr w:type="gramEnd"/>
      <w:r w:rsidRPr="008127F8">
        <w:rPr>
          <w:rFonts w:ascii="Times New Roman" w:hAnsi="Times New Roman"/>
          <w:color w:val="000000" w:themeColor="text1"/>
          <w:sz w:val="16"/>
          <w:szCs w:val="16"/>
        </w:rPr>
        <w:t xml:space="preserve"> агрегатов и регуляторов по</w:t>
      </w:r>
      <w:r w:rsidRPr="008127F8">
        <w:rPr>
          <w:rFonts w:ascii="Times New Roman" w:hAnsi="Times New Roman"/>
          <w:color w:val="000000" w:themeColor="text1"/>
          <w:sz w:val="16"/>
          <w:szCs w:val="16"/>
        </w:rPr>
        <w:softHyphen/>
        <w:t>стоянства давления, цех коленчатых валов, цех редукторов, цех распреде</w:t>
      </w:r>
      <w:r w:rsidRPr="008127F8">
        <w:rPr>
          <w:rFonts w:ascii="Times New Roman" w:hAnsi="Times New Roman"/>
          <w:color w:val="000000" w:themeColor="text1"/>
          <w:sz w:val="16"/>
          <w:szCs w:val="16"/>
        </w:rPr>
        <w:softHyphen/>
        <w:t>лительных валиков и другие. Цехи с замкнутым технологическим циклом выполняли не только механическую обработку, но и отдельные операции термической, гальванической обра</w:t>
      </w:r>
      <w:r w:rsidRPr="008127F8">
        <w:rPr>
          <w:rFonts w:ascii="Times New Roman" w:hAnsi="Times New Roman"/>
          <w:color w:val="000000" w:themeColor="text1"/>
          <w:sz w:val="16"/>
          <w:szCs w:val="16"/>
        </w:rPr>
        <w:softHyphen/>
        <w:t>ботки деталей, чем достигалась необ</w:t>
      </w:r>
      <w:r w:rsidRPr="008127F8">
        <w:rPr>
          <w:rFonts w:ascii="Times New Roman" w:hAnsi="Times New Roman"/>
          <w:color w:val="000000" w:themeColor="text1"/>
          <w:sz w:val="16"/>
          <w:szCs w:val="16"/>
        </w:rPr>
        <w:softHyphen/>
        <w:t>ходимая концентрация производства, экономия производственных площа</w:t>
      </w:r>
      <w:r w:rsidRPr="008127F8">
        <w:rPr>
          <w:rFonts w:ascii="Times New Roman" w:hAnsi="Times New Roman"/>
          <w:color w:val="000000" w:themeColor="text1"/>
          <w:sz w:val="16"/>
          <w:szCs w:val="16"/>
        </w:rPr>
        <w:softHyphen/>
        <w:t>дей, а также отпадала необходимость в операциях по транспортировке де</w:t>
      </w:r>
      <w:r w:rsidRPr="008127F8">
        <w:rPr>
          <w:rFonts w:ascii="Times New Roman" w:hAnsi="Times New Roman"/>
          <w:color w:val="000000" w:themeColor="text1"/>
          <w:sz w:val="16"/>
          <w:szCs w:val="16"/>
        </w:rPr>
        <w:softHyphen/>
        <w:t>талей из цеха в цех.</w:t>
      </w:r>
    </w:p>
    <w:p w14:paraId="4B6EEC1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Оставалась не до конца решенной задача подготовки квалифицирован</w:t>
      </w:r>
      <w:r w:rsidRPr="008127F8">
        <w:rPr>
          <w:rFonts w:ascii="Times New Roman" w:hAnsi="Times New Roman"/>
          <w:color w:val="000000" w:themeColor="text1"/>
          <w:sz w:val="16"/>
          <w:szCs w:val="16"/>
        </w:rPr>
        <w:softHyphen/>
        <w:t>ных кадров всех основных рабочих профессий. Первоначальный костяк коллектива составили работники ФАРМ-24 и минометного цеха, а также кадры приданного подмосковного завода. В состав коллектива влились также кад</w:t>
      </w:r>
      <w:r w:rsidRPr="008127F8">
        <w:rPr>
          <w:rFonts w:ascii="Times New Roman" w:hAnsi="Times New Roman"/>
          <w:color w:val="000000" w:themeColor="text1"/>
          <w:sz w:val="16"/>
          <w:szCs w:val="16"/>
        </w:rPr>
        <w:softHyphen/>
        <w:t>ровые рабочие завода № 24, по тем или иным причинам не уехавшие в эвакуа</w:t>
      </w:r>
      <w:r w:rsidRPr="008127F8">
        <w:rPr>
          <w:rFonts w:ascii="Times New Roman" w:hAnsi="Times New Roman"/>
          <w:color w:val="000000" w:themeColor="text1"/>
          <w:sz w:val="16"/>
          <w:szCs w:val="16"/>
        </w:rPr>
        <w:softHyphen/>
        <w:t>цию. Удалось пополнить коллектив за</w:t>
      </w:r>
      <w:r w:rsidRPr="008127F8">
        <w:rPr>
          <w:rFonts w:ascii="Times New Roman" w:hAnsi="Times New Roman"/>
          <w:color w:val="000000" w:themeColor="text1"/>
          <w:sz w:val="16"/>
          <w:szCs w:val="16"/>
        </w:rPr>
        <w:softHyphen/>
        <w:t>вода на 600 человек, и все же этого было недостаточно. Пришлось привлекать женщин и подростков, не обладавших необходимой квалификацией (11159).</w:t>
      </w:r>
    </w:p>
    <w:p w14:paraId="796414E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3E1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вышло Постановление ГКО за № 1284сс и 21 февраля 1942 года вышел приказ НКАП за № 144сс, в соответствиии с которыми было приступлено к организации завода № 36. В мае 1942 года завод приступил к ремонту моторов водяного охлаждения М-100, М-103 и М-105.</w:t>
      </w:r>
    </w:p>
    <w:p w14:paraId="517C37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256BB7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305A22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0CE0B1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23020F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21151C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Сова С.М. – с 1942 года по 1944 год</w:t>
      </w:r>
    </w:p>
    <w:p w14:paraId="41F0B5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Григорьев Г.М. – с 1944 года по 1947 год</w:t>
      </w:r>
    </w:p>
    <w:p w14:paraId="4A6FCD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Петров А.П. – с 1947 года по 1949 год</w:t>
      </w:r>
    </w:p>
    <w:p w14:paraId="3E3B38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Субботин М.И. – с 1949 года по 1956 год</w:t>
      </w:r>
    </w:p>
    <w:p w14:paraId="00EF18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Смирнов А.Д. – с 1956 года</w:t>
      </w:r>
    </w:p>
    <w:p w14:paraId="6F8C3E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Должность гл. конструктора с 1943 года занимает Добрынин В.А.</w:t>
      </w:r>
    </w:p>
    <w:p w14:paraId="724D013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Смирнов</w:t>
      </w:r>
    </w:p>
    <w:p w14:paraId="0F353B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Рыбинск, п/я 20</w:t>
      </w:r>
    </w:p>
    <w:p w14:paraId="0833D7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авиационный моторостроительный завод (9825).</w:t>
      </w:r>
    </w:p>
    <w:p w14:paraId="47D851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A36E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на площадке эвакуированного завода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В 04-05.1942 г. из Уфы на новый завод переведена группа 130 чел. ИТР и рабочих, а также оборудование.</w:t>
      </w:r>
    </w:p>
    <w:p w14:paraId="78A9E4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90/96с от 12.02.1943 г. завод подлежал передаче в НКТП для организации производства танковых дизелей, однако приказом № 175сс/161сс от 20.03.1943 г. передача была отменена.</w:t>
      </w:r>
    </w:p>
    <w:p w14:paraId="28A3C0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Сначала занимался ремонтом авиамоторов М-100, М-103, М-105. В соответствии с пост. ГКО № 4555 от 12.11.1943 г. на заводе организован выпуск мотора М-62ИР. С 1944 г.- серийный моторостроительный завод. В 1944 г. на завод завезено оборудование с заводов Перми, Куйбышева, Горького, Новосибирска. В 1946 г. заводу выделено 2117 трофейных станков (в т.ч. 1621 металлорежущий) из Германии.</w:t>
      </w:r>
    </w:p>
    <w:p w14:paraId="2D2A6D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1943 г. на заводе работало ОКБ-36-1 В.А. Добрынина, а в 1946-48 г. еще и ОКБ-36-2.</w:t>
      </w:r>
    </w:p>
    <w:p w14:paraId="4FA636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10.1946 г. получил название Щербаковский ГС завод п/я 20, с 10.1957 г.- Рыбинский ГС завод п/я 20 МАП. В соответствии с пост. СМ СССР № 713-342 от 26.06.1957 г. передан в ведение Управления приборостроения и ОП Ярославского СНХ РСФСР. С 19.01.1960 г.- Рыбинское предприятие п/я 20 Управления приборостроения Ярославского СНХ, с 03.1963 г.- в подчинении Управления агрегатостроения Верхне-Волжского СНХ, с 1965 г.- в ЗГУ МАП. С 1966 г.- Рыбинский моторостроительный завод.</w:t>
      </w:r>
    </w:p>
    <w:p w14:paraId="369447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08.1964 г. на заводе создан ИВЦ- информационно-вычислительный центр. К 1965 г. построены 4 новых производственных корпуса площадью </w:t>
      </w:r>
      <w:proofErr w:type="gramStart"/>
      <w:r w:rsidRPr="008127F8">
        <w:rPr>
          <w:rFonts w:ascii="Times New Roman" w:hAnsi="Times New Roman"/>
          <w:color w:val="000000" w:themeColor="text1"/>
          <w:sz w:val="16"/>
          <w:szCs w:val="16"/>
        </w:rPr>
        <w:t>44.000м ,</w:t>
      </w:r>
      <w:proofErr w:type="gramEnd"/>
      <w:r w:rsidRPr="008127F8">
        <w:rPr>
          <w:rFonts w:ascii="Times New Roman" w:hAnsi="Times New Roman"/>
          <w:color w:val="000000" w:themeColor="text1"/>
          <w:sz w:val="16"/>
          <w:szCs w:val="16"/>
        </w:rPr>
        <w:t xml:space="preserve"> новая компрессорная, испытательная станция.</w:t>
      </w:r>
    </w:p>
    <w:p w14:paraId="7189E9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1977 г. в серийном КБ завода создана опытная модификация двигателя Д-30КП-30 («Дебош-17»: Дерунов, Бондарев, Шляхтенко).</w:t>
      </w:r>
      <w:r w:rsidRPr="008127F8">
        <w:rPr>
          <w:rFonts w:ascii="Times New Roman" w:hAnsi="Times New Roman"/>
          <w:color w:val="000000" w:themeColor="text1"/>
          <w:sz w:val="16"/>
          <w:szCs w:val="16"/>
          <w:vertAlign w:val="superscript"/>
        </w:rPr>
        <w:t>68</w:t>
      </w:r>
      <w:r w:rsidRPr="008127F8">
        <w:rPr>
          <w:rFonts w:ascii="Times New Roman" w:hAnsi="Times New Roman"/>
          <w:color w:val="000000" w:themeColor="text1"/>
          <w:sz w:val="16"/>
          <w:szCs w:val="16"/>
        </w:rPr>
        <w:t xml:space="preserve">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модификация Д-30КП-3 «Бурлак».</w:t>
      </w:r>
    </w:p>
    <w:p w14:paraId="52BE89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авиационных двигателей; дизелей (с 1954 г.); снегоходов (с 1972 г.); наземных ГТУ (с 1993 г.). В 2001 г. велась реконструкция литейного цеха № 49 под крупногабаритное литье, в корпусе № 12 велась организация участка ионно-плазменных покрытий. В цехе № 4 планировалось разместить установку жаропрочных покрытий МАП-1М. В корпусе № 102 создавались аналитические лаборатории по механическим испытаниям, контролю топлива, химсостава. В 2004 г. велось освоение производства ТВД-1500.</w:t>
      </w:r>
    </w:p>
    <w:p w14:paraId="729E0A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12.1974 г. получило статус Рыбинского ПКО (производственно-конструкторского объединения) моторостроения, с 1976 г.- ПО, с 03.1984 г.- Андроповское ПО моторостроения. С 1989 г.- Рыбинское МПО (моторостроительное) МАП. С 16.12.1991 г.- Рыбинский моторостроительный завод МАП. С 27.11.07.1992 г.- АООТ «Рыбинские моторы», с 2.09.1996 г.- ОАО. В 1997 г. состав ОАО вошло РКБМ. С 1998 г. в состав «Рыбинских моторов» входит ОАО ВМЗ Минатома. 5.07.2001 г. «Рыбинские моторы» вошли во вновь образованное ОАО «НПО «Сатурн» вместе с ОКБ «Люлька- Сатурн». По Указу Президента РФ № 1009 от 4.08.2004 г. ОАО «НПО «Сатурн» вошло в число стратегических оборонных предприятий.</w:t>
      </w:r>
    </w:p>
    <w:p w14:paraId="3403C87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 г. в составе ПО образован Житковичский моторостроительный завод.</w:t>
      </w:r>
    </w:p>
    <w:p w14:paraId="102EBC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ОАО РМ входили (2001 г.): КБ и моторостроительный завод, который включает в себя дизельный завод, завод ГТД, инструментальный завод, завод нестадартизированного оборудования, цех № 25. Летом 1999 г. ОАО РМ приобрело обанкротившееся ОАО «Волжский машиностроительный завод» (ВМЗ). После этого созданы новые производства (промплощадка № 2): завод парогазовых установок (ПГУ) и завод по изготовлению снегоходов.</w:t>
      </w:r>
    </w:p>
    <w:p w14:paraId="6C146F5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1998 г. начато освоение производства АЛ-41Ф. К 2007 г. построено 6 двигателей.</w:t>
      </w:r>
    </w:p>
    <w:p w14:paraId="66FFBF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2006 г. под программу двигателя </w:t>
      </w:r>
      <w:r w:rsidRPr="008127F8">
        <w:rPr>
          <w:rFonts w:ascii="Times New Roman" w:hAnsi="Times New Roman"/>
          <w:color w:val="000000" w:themeColor="text1"/>
          <w:sz w:val="16"/>
          <w:szCs w:val="16"/>
          <w:lang w:val="en-US"/>
        </w:rPr>
        <w:t>SaM</w:t>
      </w:r>
      <w:r w:rsidRPr="008127F8">
        <w:rPr>
          <w:rFonts w:ascii="Times New Roman" w:hAnsi="Times New Roman"/>
          <w:color w:val="000000" w:themeColor="text1"/>
          <w:sz w:val="16"/>
          <w:szCs w:val="16"/>
        </w:rPr>
        <w:t xml:space="preserve"> 146 для </w:t>
      </w:r>
      <w:r w:rsidRPr="008127F8">
        <w:rPr>
          <w:rFonts w:ascii="Times New Roman" w:hAnsi="Times New Roman"/>
          <w:color w:val="000000" w:themeColor="text1"/>
          <w:sz w:val="16"/>
          <w:szCs w:val="16"/>
          <w:lang w:val="en-US"/>
        </w:rPr>
        <w:t>RRJ</w:t>
      </w:r>
      <w:r w:rsidRPr="008127F8">
        <w:rPr>
          <w:rFonts w:ascii="Times New Roman" w:hAnsi="Times New Roman"/>
          <w:color w:val="000000" w:themeColor="text1"/>
          <w:sz w:val="16"/>
          <w:szCs w:val="16"/>
        </w:rPr>
        <w:t>.20 создается испытательный комплекс, состоящий из открытого стенда «Полуево» и трех закрытых стендов.</w:t>
      </w:r>
    </w:p>
    <w:p w14:paraId="7C5B12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(на 1.04.2001 г.)- 22.083 чел.</w:t>
      </w:r>
    </w:p>
    <w:p w14:paraId="4CECA8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(1942-44 г.)- С.М. Сова, (06.1944-47 г.)</w:t>
      </w:r>
      <w:proofErr w:type="gramStart"/>
      <w:r w:rsidRPr="008127F8">
        <w:rPr>
          <w:rFonts w:ascii="Times New Roman" w:hAnsi="Times New Roman"/>
          <w:color w:val="000000" w:themeColor="text1"/>
          <w:sz w:val="16"/>
          <w:szCs w:val="16"/>
        </w:rPr>
        <w:t>-  Г.М.</w:t>
      </w:r>
      <w:proofErr w:type="gramEnd"/>
      <w:r w:rsidRPr="008127F8">
        <w:rPr>
          <w:rFonts w:ascii="Times New Roman" w:hAnsi="Times New Roman"/>
          <w:color w:val="000000" w:themeColor="text1"/>
          <w:sz w:val="16"/>
          <w:szCs w:val="16"/>
        </w:rPr>
        <w:t xml:space="preserve"> Григорьев, (03.1947-49 г.)- А.П. Петров, (1949-56 г.)- М.И. Субботин, (1956-60 г.)- А.Д. Смирнов, (03.1960-72; 1974-86 г.)- П.Ф. Дерунов, (1972-74 г.)- П.В. Кузнецов. Гендиректор (1974-86 г.)- П.Ф. Дерунов, (1986-87 г.)- Б.Н. Леонов, (1987-95 г.)- В.Н. Аникин, (1995-97 г.)- В.И. Шелгунов, (10.1997-2004 г.-)- Ю.В. Ласточкин. Зам. гендиректора (2001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Юдин..</w:t>
      </w:r>
    </w:p>
    <w:p w14:paraId="2DF9A3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(1997-2000 г.)- А.С. Новиков, (2000-03 г.-)- М.Л. Кузменко.</w:t>
      </w:r>
    </w:p>
    <w:p w14:paraId="5CFB4B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технический (1997-2000 г.)- А.С. Новиков, (2000-03 г.-)- М.Л. Кузменко; (2001 г.)- В.М. Межибовский; коммерческий (-2000-01 г.-)- В.Ю. Данилов; по качеству (1994 г.-)- А.С. Новиков; по ресурсам, экономике и финансам (1997 г.)- Ю.В. Ласточкин, (2001 г.)- В.Н. Жигалов; по капстроительству, реконструкции и социально-бытовым вопросам (2001 г.)- А.А. Вишняков.</w:t>
      </w:r>
    </w:p>
    <w:p w14:paraId="2F835E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(-1976 г.)- В.М. </w:t>
      </w:r>
      <w:proofErr w:type="gramStart"/>
      <w:r w:rsidRPr="008127F8">
        <w:rPr>
          <w:rFonts w:ascii="Times New Roman" w:hAnsi="Times New Roman"/>
          <w:color w:val="000000" w:themeColor="text1"/>
          <w:sz w:val="16"/>
          <w:szCs w:val="16"/>
        </w:rPr>
        <w:t>Толоконников,  Г.И.</w:t>
      </w:r>
      <w:proofErr w:type="gramEnd"/>
      <w:r w:rsidRPr="008127F8">
        <w:rPr>
          <w:rFonts w:ascii="Times New Roman" w:hAnsi="Times New Roman"/>
          <w:color w:val="000000" w:themeColor="text1"/>
          <w:sz w:val="16"/>
          <w:szCs w:val="16"/>
        </w:rPr>
        <w:t xml:space="preserve"> Телегин, (-1995 г.)- В.И. Шелгунов, (2000 г.)- В.Н. Крылов.</w:t>
      </w:r>
      <w:r w:rsidRPr="008127F8">
        <w:rPr>
          <w:rFonts w:ascii="Times New Roman" w:hAnsi="Times New Roman"/>
          <w:color w:val="000000" w:themeColor="text1"/>
          <w:sz w:val="16"/>
          <w:szCs w:val="16"/>
          <w:vertAlign w:val="superscript"/>
        </w:rPr>
        <w:t xml:space="preserve">50 </w:t>
      </w:r>
      <w:r w:rsidRPr="008127F8">
        <w:rPr>
          <w:rFonts w:ascii="Times New Roman" w:hAnsi="Times New Roman"/>
          <w:color w:val="000000" w:themeColor="text1"/>
          <w:sz w:val="16"/>
          <w:szCs w:val="16"/>
        </w:rPr>
        <w:t xml:space="preserve">Гл. технолог (-1986 г.)- Б.Н. Леонов. Руководитель московского представительства (2001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Картавенко. Начальник КО (1942 г.-)- Н.А. Шубин.</w:t>
      </w:r>
    </w:p>
    <w:p w14:paraId="5DD3C6B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двигатели авиационные: поршневые: АШ-62ИР (1944-49)- 1109, АШ-73ТК (1947-57)- 1968; ГТД: ВД-7Б (1958-67), ВД-7М (1960-65)- 510, ВД-19 (-1963)- 16, АЛ-7Ф-1 (1960-74)- более 2000, РД-7М2 (1964-77), РД36-41 (1967-68)- 12, РД36-35ФВ (1969-83)- 575, РД36-35ФВР (1981-89), ТС-21 (1970-), РД36-51А (1968-78)-</w:t>
      </w:r>
      <w:r w:rsidRPr="008127F8">
        <w:rPr>
          <w:rFonts w:ascii="Times New Roman" w:hAnsi="Times New Roman"/>
          <w:color w:val="000000" w:themeColor="text1"/>
          <w:sz w:val="16"/>
          <w:szCs w:val="16"/>
        </w:rPr>
        <w:tab/>
        <w:t xml:space="preserve">86, РД36-51В- 20, Д-30КУ (1971-2004-)- 1584, Д-30КП (1972-2004-)- 4763, Д-ЗОКУ-154 (1983-2004-)- 1384, РД-38 (1985-89)- 400, РД-41(РД-48) (1982)- 30, РМЗ-640 (2004), ПС-90А12 (1990-е), СТ-7 (-2001-04-), РД-600В (2004), </w:t>
      </w:r>
      <w:r w:rsidRPr="008127F8">
        <w:rPr>
          <w:rFonts w:ascii="Times New Roman" w:hAnsi="Times New Roman"/>
          <w:color w:val="000000" w:themeColor="text1"/>
          <w:sz w:val="16"/>
          <w:szCs w:val="16"/>
          <w:lang w:val="en-US"/>
        </w:rPr>
        <w:t>PM</w:t>
      </w:r>
      <w:r w:rsidRPr="008127F8">
        <w:rPr>
          <w:rFonts w:ascii="Times New Roman" w:hAnsi="Times New Roman"/>
          <w:color w:val="000000" w:themeColor="text1"/>
          <w:sz w:val="16"/>
          <w:szCs w:val="16"/>
        </w:rPr>
        <w:t>3-320 (2004), ДН-200 (2004);</w:t>
      </w:r>
    </w:p>
    <w:p w14:paraId="207A8F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ГТД для газоперекачивающих станций ДН-70; судовые ГТД М75РУ, М70ФРУ (2000-е); снегоходы «Буран», «Икар», «Тайга»; тракторные дизели Д-48 (1954-), Д-65 (2001), Д-75 (2001); дизели для буровых установок, судов РМ-80 (2001);</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68</w:t>
      </w:r>
      <w:r w:rsidRPr="008127F8">
        <w:rPr>
          <w:rFonts w:ascii="Times New Roman" w:hAnsi="Times New Roman"/>
          <w:color w:val="000000" w:themeColor="text1"/>
          <w:sz w:val="16"/>
          <w:szCs w:val="16"/>
        </w:rPr>
        <w:t xml:space="preserve"> аварийно-спасательная машина АСМ 41-07-43101; спасательное оборудование; нестандартное оборудование и арматура для АЭС (2001) (11982).</w:t>
      </w:r>
    </w:p>
    <w:p w14:paraId="18D39C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784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 февраля 1942 года завод № 213, эвакуированный в Энгельс,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w:t>
      </w:r>
    </w:p>
    <w:p w14:paraId="4C08D2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0978D2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B2B97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213 должен был специализироваться на выпуске авиационных приборов, </w:t>
      </w:r>
      <w:proofErr w:type="gramStart"/>
      <w:r w:rsidRPr="008127F8">
        <w:rPr>
          <w:rFonts w:ascii="Times New Roman" w:hAnsi="Times New Roman"/>
          <w:color w:val="000000" w:themeColor="text1"/>
          <w:sz w:val="16"/>
          <w:szCs w:val="16"/>
        </w:rPr>
        <w:t>согласно проектного задания</w:t>
      </w:r>
      <w:proofErr w:type="gramEnd"/>
      <w:r w:rsidRPr="008127F8">
        <w:rPr>
          <w:rFonts w:ascii="Times New Roman" w:hAnsi="Times New Roman"/>
          <w:color w:val="000000" w:themeColor="text1"/>
          <w:sz w:val="16"/>
          <w:szCs w:val="16"/>
        </w:rPr>
        <w:t>, гироскопических и манометрических приборов.</w:t>
      </w:r>
    </w:p>
    <w:p w14:paraId="52516F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193C03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E66517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Смирнов</w:t>
      </w:r>
    </w:p>
    <w:p w14:paraId="264F92C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Саратов 5, п/я 176, Б. Садовая, д. 239</w:t>
      </w:r>
    </w:p>
    <w:p w14:paraId="55BF9D2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32FC19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3E47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F413B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205B59"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февраля 1942 г. Приказ № МК-40 наркома электропромышленности СССР И. Г. Кабанова об организации завода N2 465 по производству станций орудийной наводки</w:t>
      </w:r>
    </w:p>
    <w:p w14:paraId="1D5D349C"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1BB7FEE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7CBA4FD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от 10 февраля с. г. № ГКО-1266сс «О принятии на вооружение войск ПВО Красной армии и Военно-морского флота станций орудийной наводки (СОН-2) и организации отечественного производства СОН-2»</w:t>
      </w:r>
    </w:p>
    <w:p w14:paraId="1295AADF"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12C8F6AB"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Организовать в г. Москве завод № 465 по производству станций орудийной наводки с конструкторским бюро и лабораториями, подчинив завод № 465 непосредственно Наркомэлектропрому.</w:t>
      </w:r>
    </w:p>
    <w:p w14:paraId="42ABC6CD"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w:t>
      </w:r>
      <w:r w:rsidRPr="008A2E5A">
        <w:rPr>
          <w:rFonts w:ascii="Times New Roman" w:hAnsi="Times New Roman"/>
          <w:color w:val="0070C0"/>
          <w:sz w:val="16"/>
          <w:szCs w:val="16"/>
        </w:rPr>
        <w:tab/>
        <w:t xml:space="preserve">Назначить исполняющим обязанности директора завода </w:t>
      </w:r>
    </w:p>
    <w:p w14:paraId="52F687A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465 т. Слиозберга.</w:t>
      </w:r>
    </w:p>
    <w:p w14:paraId="56BF020F"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III. Зам. наркома т. Новикову в 2-дневный срок представить мне на утверждение кандидатуры гл. инженера </w:t>
      </w:r>
      <w:proofErr w:type="gramStart"/>
      <w:r w:rsidRPr="008A2E5A">
        <w:rPr>
          <w:rFonts w:ascii="Times New Roman" w:hAnsi="Times New Roman"/>
          <w:color w:val="0070C0"/>
          <w:sz w:val="16"/>
          <w:szCs w:val="16"/>
        </w:rPr>
        <w:t>завода,гл.</w:t>
      </w:r>
      <w:proofErr w:type="gramEnd"/>
      <w:r w:rsidRPr="008A2E5A">
        <w:rPr>
          <w:rFonts w:ascii="Times New Roman" w:hAnsi="Times New Roman"/>
          <w:color w:val="0070C0"/>
          <w:sz w:val="16"/>
          <w:szCs w:val="16"/>
        </w:rPr>
        <w:t xml:space="preserve"> технолога, гл. конструктора, зам. директора, помощника] директора по СНУ и гл. бухгалтера завода № 465.</w:t>
      </w:r>
    </w:p>
    <w:p w14:paraId="78BEE4F8"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IV. Возложить в соответствии с постановлением ГКО на зам. наркома т. Восканяна повседневное руководство производством станций орудийной наводки, отозвав </w:t>
      </w:r>
      <w:proofErr w:type="gramStart"/>
      <w:r w:rsidRPr="008A2E5A">
        <w:rPr>
          <w:rFonts w:ascii="Times New Roman" w:hAnsi="Times New Roman"/>
          <w:color w:val="0070C0"/>
          <w:sz w:val="16"/>
          <w:szCs w:val="16"/>
        </w:rPr>
        <w:t>его</w:t>
      </w:r>
      <w:proofErr w:type="gramEnd"/>
      <w:r w:rsidRPr="008A2E5A">
        <w:rPr>
          <w:rFonts w:ascii="Times New Roman" w:hAnsi="Times New Roman"/>
          <w:color w:val="0070C0"/>
          <w:sz w:val="16"/>
          <w:szCs w:val="16"/>
        </w:rPr>
        <w:t xml:space="preserve"> в связи с этим из Ленинграда и освободив от исполнения других обязанностей по Наркомэлектропрому.</w:t>
      </w:r>
    </w:p>
    <w:p w14:paraId="4E62F109"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 И. о. директора завода № 465 т. Слиозбергу:</w:t>
      </w:r>
    </w:p>
    <w:p w14:paraId="44C5B252"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организовать производство станций орудийной наводки (СОН-2) и обеспечить выпуск первых двух установок к 1 сентября 1942 г.;</w:t>
      </w:r>
    </w:p>
    <w:p w14:paraId="6F56DBA3"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 10-дневный срок принять по акту лабораторию Академии наук, возглавляемую профессором Хайкиным, вместе с кадрами и оборудованием;</w:t>
      </w:r>
    </w:p>
    <w:p w14:paraId="7234F2F9"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принять в декадный срок от Всесоюзного радиокомитета (т. Поликарпова) измерительную аппаратуру Московского телевизионного центра как оставшуюся в Москве, так и эвакуированную в г. Свердловск.</w:t>
      </w:r>
    </w:p>
    <w:p w14:paraId="745A36E9"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VI. Директору завода № 208 т. Гуданису организовать, начиная с сентября 1942 г., серийное производство станций орудийной наводки.</w:t>
      </w:r>
    </w:p>
    <w:p w14:paraId="43F97D9C"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изучения образца и подготовки технической документации командировать к 25 февраля с. г. бригаду квалифицированных технологов и конструкторов на завод № 465 (г. Москва) для непосредственного участия в разработке и изготовлении первых образцов.</w:t>
      </w:r>
    </w:p>
    <w:p w14:paraId="555491FA"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VII. Зам. наркома т. Новикову в 3-декадный срок отобрать и обеспечить переброску до 25 февраля с. г. из Новосибирска, Свердловска и других городов конструкторов и инженеров в количестве 50 чел. для работ на заводе № 465 в Москве.</w:t>
      </w:r>
    </w:p>
    <w:p w14:paraId="2871088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VIII. Начальнику планово-производственного отдела т. Полосухину подготовить к 25 февраля 1942 г. программу производства станций орудийной наводки и мероприятия по обеспечению этой программы для представления в ГКО в установленный постановлением срок (не позднее 10 марта с. г.).</w:t>
      </w:r>
    </w:p>
    <w:p w14:paraId="1360DB51"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IX. Государственный комитет обороны:</w:t>
      </w:r>
    </w:p>
    <w:p w14:paraId="05CA75B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Обязал Наркомвнешторг (т. Микояна):</w:t>
      </w:r>
    </w:p>
    <w:p w14:paraId="4312A54D"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выделить из первых 50 шт. установок СОН-2, прибывающих из Англии 5 марта 1942 г., одну станцию Наркомэлектропрому для освоения.</w:t>
      </w:r>
    </w:p>
    <w:p w14:paraId="3D5C612D"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Слиозбергу обеспечить получение указанной установки СОН-2 в срок;</w:t>
      </w:r>
    </w:p>
    <w:p w14:paraId="1C08CBE6"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закупить и завезти по импорту радиолампы, высокочастотные кабели и другие остродефицитные материалы</w:t>
      </w:r>
    </w:p>
    <w:p w14:paraId="1882F426"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полуфабрикаты по спецификации НКЭП, необходимые для выпуска первых серий СОН-2.</w:t>
      </w:r>
    </w:p>
    <w:p w14:paraId="72DD151E"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Спецову в декадный срок сдать все импортные заявки в Наркомвнешторг и обеспечить реализацию заказов на импорт.</w:t>
      </w:r>
    </w:p>
    <w:p w14:paraId="26800C6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 Разрешил зам. председателя] Совнаркома СССР т. Сабурову и зам. Наркомвнешторга т. Крутикову выделить из импортных поступлений 100 шт. металлорежущих станков, а также инструментального цеха на заводе № 208 НКЭП.</w:t>
      </w:r>
    </w:p>
    <w:p w14:paraId="19685922"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Спецову в декадный срок представить импортные заявки в Наркомвнешторг и обеспечить получение выделяемого оборудования, инструмента и стали.</w:t>
      </w:r>
    </w:p>
    <w:p w14:paraId="53302A0B"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Разрешил Наркомату электропромышленности командировать в Англию группу инженеров в количестве 8 чел. сроком на один месяц, не считая времени нахождения в пути, для детального ознакомления с производством станций орудийной наводки, закупки чертежей и необходимых деталей.</w:t>
      </w:r>
    </w:p>
    <w:p w14:paraId="79C9C6C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наркома т. Новикову в пятидневный срок представить мне на утверждение список работников, командируемых в Англию.</w:t>
      </w:r>
    </w:p>
    <w:p w14:paraId="4CDBB7E1"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Поручил Управлению кадров ЦК ВКП[(б)] совместно с Наркомэлектропромом отобрать для работы на заводе № 465 НКЭП 50 специалистов, ранее работавших и работающих в настоящее время на производстве приборов управления стрельбой ЦУС и ПУАЗО: конструкторов - 15, технологов - 10, мастеров-сборщиков - 5, приемщиков ОТК - 5, инструментальщиков - 5, лекальщиков - 5, станочников для работы на станках СИП - 5 чел.; обеспечение выполнения данного пункта постановления ГКО возложить на зам. наркома т. Новикова.</w:t>
      </w:r>
    </w:p>
    <w:p w14:paraId="242A08AF"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Разрешил Наркомату электропромышленности (т. Восканяну) отобрать с Ленинградских заводов и институтов НКЭП и других наркоматов для работы на заводе № 465 в Москве 250 чел. квалифицированных рабочих и ИТР, а также вывезти измерительную аппаратуру, инструмент, дефицитные материалы и полуфабрикаты общим тоннажем 30 тонн и станочное оборудование в количестве 200 единиц.</w:t>
      </w:r>
    </w:p>
    <w:p w14:paraId="7B9BE229"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Обязал секретаря Ленинградского горкома </w:t>
      </w:r>
      <w:proofErr w:type="gramStart"/>
      <w:r w:rsidRPr="008A2E5A">
        <w:rPr>
          <w:rFonts w:ascii="Times New Roman" w:hAnsi="Times New Roman"/>
          <w:color w:val="0070C0"/>
          <w:sz w:val="16"/>
          <w:szCs w:val="16"/>
        </w:rPr>
        <w:t>ВКП(</w:t>
      </w:r>
      <w:proofErr w:type="gramEnd"/>
      <w:r w:rsidRPr="008A2E5A">
        <w:rPr>
          <w:rFonts w:ascii="Times New Roman" w:hAnsi="Times New Roman"/>
          <w:color w:val="0070C0"/>
          <w:sz w:val="16"/>
          <w:szCs w:val="16"/>
        </w:rPr>
        <w:t>6) т. Кузнецова и Хрулева (НКО) обеспечить в течение февраля перевозку из Ленинграда в Москву отобранных для завода № 465 оборудования, материалов, а также рабочих и ИТР с семьями.</w:t>
      </w:r>
    </w:p>
    <w:p w14:paraId="26402EC4"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Тт. Тартаковскому, Спецову, Верба и Слиозбергу обеспечить отправку из Ленинграда и получение оборудования, инструмента и материалов, а также прием и размещение переводимых из Ленинграда на завод № 465 рабочих и ИТР с их семьями в установленный постановлением ГКО срок.</w:t>
      </w:r>
    </w:p>
    <w:p w14:paraId="074ED00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Обязал исполком Московского совета (т. Пронина):</w:t>
      </w:r>
    </w:p>
    <w:p w14:paraId="758F403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жильем в г. Москве рабочих и ИТР с их семьями, переводимых из Ленинграда и других городов для работы на заводе № 465 (по списку Наркомэлектропрома).</w:t>
      </w:r>
    </w:p>
    <w:p w14:paraId="139F1CC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наркома т. Новикову и и. о. директора завода № 465 т. Слиозбергу не позднее 1 марта с. г. представить в Моссовет список переводимых на завод № 465 рабочих и обеспечить получение для них жилплощади;</w:t>
      </w:r>
    </w:p>
    <w:p w14:paraId="5A1FCAF1"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 месячный срок мобилизовать и направить на завод № 465 НКЭП 300 чел. квалифицированных рабочих по заявкам Наркомата электропромышленности.</w:t>
      </w:r>
    </w:p>
    <w:p w14:paraId="10B978CA"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наркома т. Новикову и т. Слиозбергу представить в Моссовет до 20 февраля заявку на 300 чел. квалифицированных рабочих и обеспечить получение указанного количества рабочих для завода № 465.</w:t>
      </w:r>
    </w:p>
    <w:p w14:paraId="365B8CD0"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Разрешил зам. председателя СНК СССР т. Сабурову изъять из промышленности 5 станков типа «СИП» и направить их на заводы № 465 и № 208 НКЭП.</w:t>
      </w:r>
    </w:p>
    <w:p w14:paraId="7135E093"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Спецову получить 5 станков типа «СИП», в том числе 2 станка для завода № 465 и 3 станка для завода № 208.</w:t>
      </w:r>
    </w:p>
    <w:p w14:paraId="3AF55F83"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Обязал Наркомсредмаш (т. Акопова) к 10 февраля с. г. выделить для заводов № 465 и № 208 15 автомашин ГАЗ-АА и Наркомат автомобильного транспорта РСФСР (т. Куршева) выделить Наркомэлектропрому для заводов № 465 и № 208 из числа отремонтированных машин ЗИС-5, ЗИС-6 5 автомашин.</w:t>
      </w:r>
    </w:p>
    <w:p w14:paraId="725E050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Спецову в установленный срок получить выделенные НКЭПу 20 автомашин и занарядить 11 автомашин заводу № 208 и 9 - заводу № 465.</w:t>
      </w:r>
    </w:p>
    <w:p w14:paraId="1BF38841"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Обязал Наркомторг СССР (т. Любимова) обеспечить рабочим снабжением заводы № 465 и № 208 НКЭП, а также организовать при этих заводах закрытые столовые для рабочих и ИТР.</w:t>
      </w:r>
    </w:p>
    <w:p w14:paraId="68BEEDC4"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Реализацию данного пункта постановления ГКО возложить на тт. Слиозберга и Гуданиса.</w:t>
      </w:r>
    </w:p>
    <w:p w14:paraId="7FB47554"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Освободить рабочих, начиная с 4 разряда и выше, ИТР, работающих на заводах № 465 и № 208 НКЭП, от призыва в Красную армию.</w:t>
      </w:r>
    </w:p>
    <w:p w14:paraId="490624C1"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наркома т. Новикову оформить освобождение от призыва в Красную армию указанных рабочих и ИТР заводов № 465 и № 208.</w:t>
      </w:r>
    </w:p>
    <w:p w14:paraId="0BBCE91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X. Придавая особо важное значение выполнению указанного постановления Государственного комитета обороны об организации отечественного производства станций орудийной наводки (СОН-2), создать при зам. наркома т. Восканяне группу ведущих инженеров в количестве 3-х чел. по обеспечению выпуска установок СОН-2.</w:t>
      </w:r>
    </w:p>
    <w:p w14:paraId="6946DD30"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электропромышленности СССР</w:t>
      </w:r>
      <w:r w:rsidRPr="008A2E5A">
        <w:rPr>
          <w:rFonts w:ascii="Times New Roman" w:hAnsi="Times New Roman"/>
          <w:color w:val="0070C0"/>
          <w:sz w:val="16"/>
          <w:szCs w:val="16"/>
        </w:rPr>
        <w:tab/>
        <w:t>И. Г. Кабанов</w:t>
      </w:r>
    </w:p>
    <w:p w14:paraId="5EA05F5D"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 в г. Самаре. Ф. P-233. On. 1-6. Д. 3. Л. 93-96. Копия. Машинопись (24024).</w:t>
      </w:r>
    </w:p>
    <w:p w14:paraId="49776653" w14:textId="77777777" w:rsidR="000E42A4" w:rsidRPr="008A2E5A" w:rsidRDefault="000E42A4" w:rsidP="000E42A4">
      <w:pPr>
        <w:spacing w:after="0" w:line="240" w:lineRule="auto"/>
        <w:jc w:val="both"/>
        <w:rPr>
          <w:rFonts w:ascii="Times New Roman" w:hAnsi="Times New Roman"/>
          <w:color w:val="0070C0"/>
          <w:sz w:val="16"/>
          <w:szCs w:val="16"/>
        </w:rPr>
      </w:pPr>
    </w:p>
    <w:p w14:paraId="34905D12"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214F4B31" w14:textId="259BCDDC"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152</w:t>
      </w:r>
      <w:r w:rsidR="008127F8">
        <w:rPr>
          <w:rFonts w:ascii="Times New Roman" w:hAnsi="Times New Roman"/>
          <w:color w:val="000000" w:themeColor="text1"/>
          <w:sz w:val="16"/>
          <w:szCs w:val="16"/>
        </w:rPr>
        <w:t xml:space="preserve">  </w:t>
      </w:r>
    </w:p>
    <w:p w14:paraId="7A044D7F" w14:textId="4506D49A"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121DF1E8"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1D612FF"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КОМИССАРИАТА ТАНКОВОЙ ПРОМЫШЛЕННОСТИ СССР</w:t>
      </w:r>
    </w:p>
    <w:p w14:paraId="2CA37F94"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197-Мс</w:t>
      </w:r>
    </w:p>
    <w:p w14:paraId="17621A6C"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299C69EB"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70981730" w14:textId="36EFEA8D"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распоряжения Совета Народных Комиссаров Союза ССР от 12 февраля с.г. за № 2294-рс ПРИКАЗЫВАЮ:</w:t>
      </w:r>
      <w:r w:rsidR="008127F8">
        <w:rPr>
          <w:rFonts w:ascii="Times New Roman" w:hAnsi="Times New Roman"/>
          <w:color w:val="000000" w:themeColor="text1"/>
          <w:sz w:val="16"/>
          <w:szCs w:val="16"/>
        </w:rPr>
        <w:t xml:space="preserve">  </w:t>
      </w:r>
    </w:p>
    <w:p w14:paraId="15BE7CD5" w14:textId="5A4E5A89"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112 т. МИХАЛЕВУ немедленно передать одну модель Ворошиловградскому заводу Наркомтяжмаша для организации производства литых башен танка Т-34.</w:t>
      </w:r>
      <w:r w:rsidR="008127F8">
        <w:rPr>
          <w:rFonts w:ascii="Times New Roman" w:hAnsi="Times New Roman"/>
          <w:color w:val="000000" w:themeColor="text1"/>
          <w:sz w:val="16"/>
          <w:szCs w:val="16"/>
        </w:rPr>
        <w:t xml:space="preserve">  </w:t>
      </w:r>
    </w:p>
    <w:p w14:paraId="47C7BC8A"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Учесть, что означенным распоряжением Наркомтяжмашу выделяется один вагон для перевозки указанной модели с прицепкой его к воинскому эшелону.</w:t>
      </w:r>
    </w:p>
    <w:p w14:paraId="5498C6B5"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040C0006"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СТЕПАНОВ</w:t>
      </w:r>
    </w:p>
    <w:p w14:paraId="5B6999BB" w14:textId="50E6163D"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лг/1244</w:t>
      </w:r>
      <w:r w:rsidR="008127F8">
        <w:rPr>
          <w:rFonts w:ascii="Times New Roman" w:hAnsi="Times New Roman"/>
          <w:color w:val="000000" w:themeColor="text1"/>
          <w:sz w:val="16"/>
          <w:szCs w:val="16"/>
        </w:rPr>
        <w:t xml:space="preserve">  </w:t>
      </w:r>
    </w:p>
    <w:p w14:paraId="7D3B7392" w14:textId="04FF0284"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экз.</w:t>
      </w:r>
      <w:r w:rsidR="008127F8">
        <w:rPr>
          <w:rFonts w:ascii="Times New Roman" w:hAnsi="Times New Roman"/>
          <w:color w:val="000000" w:themeColor="text1"/>
          <w:sz w:val="16"/>
          <w:szCs w:val="16"/>
        </w:rPr>
        <w:t xml:space="preserve">  </w:t>
      </w:r>
    </w:p>
    <w:p w14:paraId="6CCDA3AB"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15.II-42 г. (18431).</w:t>
      </w:r>
    </w:p>
    <w:p w14:paraId="280CCC3C" w14:textId="77777777" w:rsidR="00D723C0" w:rsidRPr="008127F8" w:rsidRDefault="00D723C0" w:rsidP="001E0A84">
      <w:pPr>
        <w:spacing w:after="0" w:line="240" w:lineRule="auto"/>
        <w:jc w:val="both"/>
        <w:rPr>
          <w:rFonts w:ascii="Times New Roman" w:hAnsi="Times New Roman"/>
          <w:color w:val="000000" w:themeColor="text1"/>
          <w:sz w:val="16"/>
          <w:szCs w:val="16"/>
        </w:rPr>
      </w:pPr>
    </w:p>
    <w:p w14:paraId="0E03F00B"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481C8C18"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154</w:t>
      </w:r>
    </w:p>
    <w:p w14:paraId="0A37541B"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14.II-42 г. № 1239</w:t>
      </w:r>
    </w:p>
    <w:p w14:paraId="07A24C0E" w14:textId="7956F22E"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784C6A0F"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68DAB66"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23F53BE7"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198-мс</w:t>
      </w:r>
    </w:p>
    <w:p w14:paraId="1207CA36"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FE5436C"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29585CDA" w14:textId="657B236E"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обеспечение выпуска корпусов танков Т-34 заводом № 264 – ПРИКАЗЫВАЮ:</w:t>
      </w:r>
      <w:r w:rsidR="008127F8">
        <w:rPr>
          <w:rFonts w:ascii="Times New Roman" w:hAnsi="Times New Roman"/>
          <w:color w:val="000000" w:themeColor="text1"/>
          <w:sz w:val="16"/>
          <w:szCs w:val="16"/>
        </w:rPr>
        <w:t xml:space="preserve">  </w:t>
      </w:r>
    </w:p>
    <w:p w14:paraId="3DEEF023" w14:textId="06861D2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180 тов. СУВОРОВУ поставит заводу № 264 в марте м-це по 50 штук и в апреле по 100 штук нижеследующих бронедеталей танка Т-34: №№ 34-29-007, 34-29-052, 34-29-053, 34-29-849, 34-29-850, 34-29-851, 34-30-018, 34-30-019, 34-30-001 и 34-30-010.</w:t>
      </w:r>
      <w:r w:rsidR="008127F8">
        <w:rPr>
          <w:rFonts w:ascii="Times New Roman" w:hAnsi="Times New Roman"/>
          <w:color w:val="000000" w:themeColor="text1"/>
          <w:sz w:val="16"/>
          <w:szCs w:val="16"/>
        </w:rPr>
        <w:t xml:space="preserve">  </w:t>
      </w:r>
    </w:p>
    <w:p w14:paraId="127F397F" w14:textId="76DAF3E1"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этой цели пресс фирмы "Атлас" мощностью 800 тонн закончить монтажом и пустит в эксплоатацию не позднее 1 марта с.г. К этому же сроку закончить строительством и пустить в эксплоатацию нагревательную печь, подготовить рабочих и необходимый инструмент.</w:t>
      </w:r>
      <w:r w:rsidR="008127F8">
        <w:rPr>
          <w:rFonts w:ascii="Times New Roman" w:hAnsi="Times New Roman"/>
          <w:color w:val="000000" w:themeColor="text1"/>
          <w:sz w:val="16"/>
          <w:szCs w:val="16"/>
        </w:rPr>
        <w:t xml:space="preserve">  </w:t>
      </w:r>
    </w:p>
    <w:p w14:paraId="35CD7B41" w14:textId="2BF43422"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И.о. директора завода № 264 тов. КОРДУНЕРУ немедленно передать заводу № 180 всю необходимую техническую документацию и технологию изготовления деталей и не позднее 1 марта с.г. изготовить и доставить на завод № 180 все необходимые штампы и приспособления для механической обработки вышеуказанных деталей.</w:t>
      </w:r>
      <w:r w:rsidR="008127F8">
        <w:rPr>
          <w:rFonts w:ascii="Times New Roman" w:hAnsi="Times New Roman"/>
          <w:color w:val="000000" w:themeColor="text1"/>
          <w:sz w:val="16"/>
          <w:szCs w:val="16"/>
        </w:rPr>
        <w:t xml:space="preserve">  </w:t>
      </w:r>
    </w:p>
    <w:p w14:paraId="26FE3658"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И.о. директора завода № 264 тов. КОРДУНЕРУ немедленно сообщить заводам-поставщикам брони спецификацию на бронелист для указанных деталей, предложив отгрузить заводу № 180 бронелист по сообщенной спецификации в счет фондов завода № 264 в количестве, обеспечивающем выполнение задания заводу № 180.</w:t>
      </w:r>
    </w:p>
    <w:p w14:paraId="01779D9F"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64E69375"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(18430).</w:t>
      </w:r>
    </w:p>
    <w:p w14:paraId="7CB3E045" w14:textId="77777777" w:rsidR="00D723C0" w:rsidRPr="008127F8" w:rsidRDefault="00D723C0" w:rsidP="001E0A84">
      <w:pPr>
        <w:spacing w:after="0" w:line="240" w:lineRule="auto"/>
        <w:jc w:val="both"/>
        <w:rPr>
          <w:rFonts w:ascii="Times New Roman" w:hAnsi="Times New Roman"/>
          <w:color w:val="000000" w:themeColor="text1"/>
          <w:sz w:val="16"/>
          <w:szCs w:val="16"/>
        </w:rPr>
      </w:pPr>
    </w:p>
    <w:p w14:paraId="133ADEF2"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февраля 1942 г. В.А. Малышев издал приказ № 205сс, в котором говорилось:</w:t>
      </w:r>
    </w:p>
    <w:p w14:paraId="5487A86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донесениям командования Северо-Западного фронта в процессе эксплуатации и боевого применения танков на участках Северо-Западного фронта выявлены следующие дефекты по танкам «Т-34»:</w:t>
      </w:r>
    </w:p>
    <w:p w14:paraId="735463FC"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Пробивание прокладок головки блока [цилиндров], в результате недоброкачественного изготовления самой прокладки; разработка гнезда втулки вертикального валика, который приводит в движение маслопомпу, в результате чего маслопомпа прекращала свою работу, и происходило плавление подшипников.</w:t>
      </w:r>
    </w:p>
    <w:p w14:paraId="078CC252"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Вышеуказанные дефекты происходят в результате ослабления внимания заводами к качеству изготовления танков, и контроль при сборке и выпуске машин обеспечивается неудовлетворительно. В дополнение к моему приказу от 12. II. 1942 г. за № 192сс</w:t>
      </w:r>
      <w:proofErr w:type="gramStart"/>
      <w:r w:rsidRPr="008A2E5A">
        <w:rPr>
          <w:rFonts w:ascii="Times New Roman" w:hAnsi="Times New Roman"/>
          <w:color w:val="0070C0"/>
          <w:sz w:val="16"/>
          <w:szCs w:val="16"/>
        </w:rPr>
        <w:t>, Приказываю</w:t>
      </w:r>
      <w:proofErr w:type="gramEnd"/>
      <w:r w:rsidRPr="008A2E5A">
        <w:rPr>
          <w:rFonts w:ascii="Times New Roman" w:hAnsi="Times New Roman"/>
          <w:color w:val="0070C0"/>
          <w:sz w:val="16"/>
          <w:szCs w:val="16"/>
        </w:rPr>
        <w:t>:</w:t>
      </w:r>
    </w:p>
    <w:p w14:paraId="3E077C5C"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заводов: Кировского т. Махонину, № 183 тов. Зальцману, СТЗ - т. Задорожному, № 112 - т. Михалеву, № 37 - т. Фрезерову, № 38 - т. Рубинчик и № 78 - т. Кочеткову немедленно разработать конкретные мероприятия по устранению в кратчайший срок вышеуказанных дефектов в машинах, и о принятых мерах сообщить мне.</w:t>
      </w:r>
    </w:p>
    <w:p w14:paraId="403AB49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Начальникам ОТК вышеуказанных заводов усилить контроль за качеством всех деталей танков на всех производственных участках.</w:t>
      </w:r>
    </w:p>
    <w:p w14:paraId="272E85D5"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директоров всех виновных в понижении качества отдельных узлов машин немедленно привлекать к ответственности» (ЦАНО. Ф. Р-15. Оп. 4. Д. 159. Л. 22.).</w:t>
      </w:r>
    </w:p>
    <w:p w14:paraId="3ED0FDB7" w14:textId="77777777" w:rsidR="000E42A4" w:rsidRPr="008A2E5A" w:rsidRDefault="000E42A4" w:rsidP="000E42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Качество изготовления танков было настолько плохим, что стало сказываться на боеспособности танковых частей. В 1942 г. отмечались многочисленные отказы танкистов идти в бой на Т-34. Экипажи портили исправные танки как могли. Впрочем, и без этого порядка 50 % парка «тридцатьчетверок» постоянно нуждались в ремонте. Причем не по причине боевых повреждений (Барятинский, М.Б. Т-34 в бою. - С. 258.) (23540).</w:t>
      </w:r>
    </w:p>
    <w:p w14:paraId="72A23E4D" w14:textId="77777777" w:rsidR="000E42A4" w:rsidRPr="008A2E5A" w:rsidRDefault="000E42A4" w:rsidP="000E42A4">
      <w:pPr>
        <w:spacing w:after="0" w:line="240" w:lineRule="auto"/>
        <w:jc w:val="both"/>
        <w:rPr>
          <w:rFonts w:ascii="Times New Roman" w:hAnsi="Times New Roman"/>
          <w:color w:val="0070C0"/>
          <w:sz w:val="16"/>
          <w:szCs w:val="16"/>
        </w:rPr>
      </w:pPr>
    </w:p>
    <w:p w14:paraId="1BAFAA89"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3D2DF9CD"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168 – 170</w:t>
      </w:r>
    </w:p>
    <w:p w14:paraId="27D4F182"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14.II-42 г. № 1233</w:t>
      </w:r>
    </w:p>
    <w:p w14:paraId="2F41DF5F" w14:textId="31B49DD9"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0D22FC82"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23DB529"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645BA6A1"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204-мсс</w:t>
      </w:r>
    </w:p>
    <w:p w14:paraId="2B146C4B"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98B521C"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00D9E659" w14:textId="35D87F7B"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сведения и принятия мер объявляю приказ Народного Комиссара Государственного Контроля Союза ССР № 74сс от 1 февраля 1942 года: "О неудовлетворительном выполнении заводом № 183 Наркомтанкопрома плана выпуска танков Т-34, бронекорпусов ИЛ-2, бронеспинок и бронедеталей для самолетов".</w:t>
      </w:r>
      <w:r w:rsidR="008127F8">
        <w:rPr>
          <w:rFonts w:ascii="Times New Roman" w:hAnsi="Times New Roman"/>
          <w:color w:val="000000" w:themeColor="text1"/>
          <w:sz w:val="16"/>
          <w:szCs w:val="16"/>
        </w:rPr>
        <w:t xml:space="preserve">  </w:t>
      </w:r>
    </w:p>
    <w:p w14:paraId="4266A692" w14:textId="7523E56C"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Произведенной старшим контролером Наркомата Государственного Контроля Союза ССР Куйбышевым Б.А. проверкой выполнения заводом № 183 НКТП плана производства танков Т-34 в декабре 1941 г. установлено:</w:t>
      </w:r>
      <w:r w:rsidR="008127F8">
        <w:rPr>
          <w:rFonts w:ascii="Times New Roman" w:hAnsi="Times New Roman"/>
          <w:color w:val="000000" w:themeColor="text1"/>
          <w:sz w:val="16"/>
          <w:szCs w:val="16"/>
        </w:rPr>
        <w:t xml:space="preserve">  </w:t>
      </w:r>
    </w:p>
    <w:p w14:paraId="7710F864" w14:textId="1BCF5302"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План-график выпуска танков Т-34, утвержденный на декабрь 1941 года постановлением Государственного Комитета № 899сс от 14 ноября 1941 г. заводом № 183 Наркомтанкопрома выполнен только на 14,8%. Выпуск танков начат заводом лишь 23 декабря 1941 г.</w:t>
      </w:r>
      <w:r w:rsidR="008127F8">
        <w:rPr>
          <w:rFonts w:ascii="Times New Roman" w:hAnsi="Times New Roman"/>
          <w:color w:val="000000" w:themeColor="text1"/>
          <w:sz w:val="16"/>
          <w:szCs w:val="16"/>
        </w:rPr>
        <w:t xml:space="preserve">  </w:t>
      </w:r>
    </w:p>
    <w:p w14:paraId="61161953" w14:textId="33356106"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деталей и узлов танков развернуто на заводе неудовлетворительно. Декабрьские графики изготовления деталей и узлов ни одним из цехов не выполнены. Необходимый комплектный задел не создан. Из 1907 наименований деталей и узлов, заданных цехам для изготовления в декабре 1941 года, по состоянию на 25 декабря фактически изготовлено только 1600 наименований, в том числе 593 наименования в количестве 50 комплектов. На это же число основными узлами собственного производства завода (бортовая передача, главные фрикционы, вентиляторы и др.) были полностью укомплектованы только 24 танка.</w:t>
      </w:r>
      <w:r w:rsidR="008127F8">
        <w:rPr>
          <w:rFonts w:ascii="Times New Roman" w:hAnsi="Times New Roman"/>
          <w:color w:val="000000" w:themeColor="text1"/>
          <w:sz w:val="16"/>
          <w:szCs w:val="16"/>
        </w:rPr>
        <w:t xml:space="preserve">  </w:t>
      </w:r>
    </w:p>
    <w:p w14:paraId="27D66EE1" w14:textId="75EFFC0A"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183 Максарев Ю.Е., несмотря на предупреждение Наркомата Государственного Контроля Союза ССР от 7 декабря 1941 г., не обеспечил выполнения декабрьского плана выпуска танков Т-34.</w:t>
      </w:r>
      <w:r w:rsidR="008127F8">
        <w:rPr>
          <w:rFonts w:ascii="Times New Roman" w:hAnsi="Times New Roman"/>
          <w:color w:val="000000" w:themeColor="text1"/>
          <w:sz w:val="16"/>
          <w:szCs w:val="16"/>
        </w:rPr>
        <w:t xml:space="preserve">  </w:t>
      </w:r>
    </w:p>
    <w:p w14:paraId="68686C87" w14:textId="5C9C525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Организация производства танков на базе Уралвагонзавода до сих пор не закончена. Цеха на 25 декабря 1941 года не были полностью обеспечены технологической документацией, приспособлениями и инструментом по танковому производству. Из требующихся 3184 технологических процессов и 4399 моделей, штампов и приспособлений, в цехах на 25 декабря 1941 года отсутствовало 319 технологических процессов и 1306 моделей, штампов и приспособлений. На это же число из 1103 наименований недостающего инструмента было изготовлено только 105 наименований.</w:t>
      </w:r>
      <w:r w:rsidR="008127F8">
        <w:rPr>
          <w:rFonts w:ascii="Times New Roman" w:hAnsi="Times New Roman"/>
          <w:color w:val="000000" w:themeColor="text1"/>
          <w:sz w:val="16"/>
          <w:szCs w:val="16"/>
        </w:rPr>
        <w:t xml:space="preserve">  </w:t>
      </w:r>
    </w:p>
    <w:p w14:paraId="09185921" w14:textId="180225A6"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необеспеченность завода штамповочными молотами и необходимостью в связи с этим изготовлять большинство деталей свободной ковкой, в кузнечном цехе № 630 по состоянию на 31 декабря 1941 года не были начаты монтажом 1,5 тн., 3 тн. и 5-ти тонные молоты свободной ковки и три ковочные машины, комплектно прибывшие на завод еще в период с 7 по 20 ноября 1941 г., а также три 0,75-тонных молота свободной ковки, комплектно прибывшие на завод 12 декабря 1941 года.</w:t>
      </w:r>
      <w:r w:rsidR="008127F8">
        <w:rPr>
          <w:rFonts w:ascii="Times New Roman" w:hAnsi="Times New Roman"/>
          <w:color w:val="000000" w:themeColor="text1"/>
          <w:sz w:val="16"/>
          <w:szCs w:val="16"/>
        </w:rPr>
        <w:t xml:space="preserve">  </w:t>
      </w:r>
    </w:p>
    <w:p w14:paraId="061FF18D" w14:textId="192415FB"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эвакуации из Харькова заводом не были вывезены 571 технологический процесс обработки деталей танка Т-34, однако зам. главного технолога завода № 183 Мельников Н.Ф. даже на 25 декабря 1941 г. не обеспечил разработку этих недостающих технологически процессов. Кроме того, задания инструментальному отделу № 430 и мастерской приспособлений № 187 на изготовление основной массы недостающих штампов, приспособлений и инструмента, по вине Мельникова были сделаны только во второй половине декабря 1941 года.</w:t>
      </w:r>
      <w:r w:rsidR="008127F8">
        <w:rPr>
          <w:rFonts w:ascii="Times New Roman" w:hAnsi="Times New Roman"/>
          <w:color w:val="000000" w:themeColor="text1"/>
          <w:sz w:val="16"/>
          <w:szCs w:val="16"/>
        </w:rPr>
        <w:t xml:space="preserve">  </w:t>
      </w:r>
    </w:p>
    <w:p w14:paraId="1282684C" w14:textId="02DA52C6"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необеспеченности цехов инструментом и приспособлениями, непроизводительные потери времени рабочими достигают 30% и выше. Выполнение норм выработки рабочими механических цехов составляют 30 – 35% от норм, действовавших на заводе № 183 в г. Харькове.</w:t>
      </w:r>
      <w:r w:rsidR="008127F8">
        <w:rPr>
          <w:rFonts w:ascii="Times New Roman" w:hAnsi="Times New Roman"/>
          <w:color w:val="000000" w:themeColor="text1"/>
          <w:sz w:val="16"/>
          <w:szCs w:val="16"/>
        </w:rPr>
        <w:t xml:space="preserve">  </w:t>
      </w:r>
    </w:p>
    <w:p w14:paraId="2FE7D652" w14:textId="5D83CCF9"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Охрана танковых цехов, за исключением сборочно-сдаточного цеха № 130, на заводе отсутствует. Больше того, с ведома заместителя директора завода № 183 по МПВО и охране – Мельникова С.Д., через цех производства бронекорпусов танков Т-34 открыт свободный проход в цеха, расположенные в соседних с ним пролетах.</w:t>
      </w:r>
      <w:r w:rsidR="008127F8">
        <w:rPr>
          <w:rFonts w:ascii="Times New Roman" w:hAnsi="Times New Roman"/>
          <w:color w:val="000000" w:themeColor="text1"/>
          <w:sz w:val="16"/>
          <w:szCs w:val="16"/>
        </w:rPr>
        <w:t xml:space="preserve">  </w:t>
      </w:r>
    </w:p>
    <w:p w14:paraId="6C15CFCB" w14:textId="5CBE261B"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постановления Государственного Комитета Обороны № 595сс от 27 августа 1941 года заводом сорвано. Согласно постановлению ГКО, завод обязан был в период сентябрь – декабрь 1941 г. изготовить бронекорпусов ИЛ-2 в количестве 215 штук, и выпустить в течение IV квартала 1941 года 2950 комплектов бронеспинок и бронедеталей для самолетов. Фактически в 1941 году заводом изготовлено всего лишь 2 бронекорпуса ИЛ-2, а бронеспинок и бронедеталей не изготовлено ни одного комплекта.</w:t>
      </w:r>
      <w:r w:rsidR="008127F8">
        <w:rPr>
          <w:rFonts w:ascii="Times New Roman" w:hAnsi="Times New Roman"/>
          <w:color w:val="000000" w:themeColor="text1"/>
          <w:sz w:val="16"/>
          <w:szCs w:val="16"/>
        </w:rPr>
        <w:t xml:space="preserve">  </w:t>
      </w:r>
    </w:p>
    <w:p w14:paraId="1BD18DF1" w14:textId="7F6FDB2C"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инженер завода № 183 Перцовский И.Н. не организовал на заводе освоения производства бронекорпусов, бронедеталей и бронеспинок для самолетов в соответствии с правительственным заданием. Несмотря на то, что все чертежи, за исключением чертежей бронеспинок и бронедеталей для самолетов ДБ-3Ф, были получены заводом еще в период с 21 сентября по 3 октября 1941 года, срок окончания изготовления оснастки для нового производства приказом по заводу № 1089 от 14 октября 1941 года был отнесен на 1 декабря 1941 года, а работы по организации на заводе цеха по изготовлению бронекорпусов, бронеспинок и бронедеталей были начаты только 26 ноября 1941 года – после прибытия на завод № 183 работников, оборудования и оснастки эвакуированного завода "Коммунар". В сентябре, октябре, ноябре 1941 года производство бронекорпусов, бронеспинок и бронедеталей по заводу даже не планировалось.</w:t>
      </w:r>
      <w:r w:rsidR="008127F8">
        <w:rPr>
          <w:rFonts w:ascii="Times New Roman" w:hAnsi="Times New Roman"/>
          <w:color w:val="000000" w:themeColor="text1"/>
          <w:sz w:val="16"/>
          <w:szCs w:val="16"/>
        </w:rPr>
        <w:t xml:space="preserve">  </w:t>
      </w:r>
    </w:p>
    <w:p w14:paraId="513F1F4E" w14:textId="61331A65"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такого безответственного отношения к выполнению правительственного задания со стороны главного инженера завода № 183 Перцовского И.Н. </w:t>
      </w:r>
      <w:proofErr w:type="gramStart"/>
      <w:r w:rsidRPr="008127F8">
        <w:rPr>
          <w:rFonts w:ascii="Times New Roman" w:hAnsi="Times New Roman"/>
          <w:color w:val="000000" w:themeColor="text1"/>
          <w:sz w:val="16"/>
          <w:szCs w:val="16"/>
        </w:rPr>
        <w:t>механо-сборочный</w:t>
      </w:r>
      <w:proofErr w:type="gramEnd"/>
      <w:r w:rsidRPr="008127F8">
        <w:rPr>
          <w:rFonts w:ascii="Times New Roman" w:hAnsi="Times New Roman"/>
          <w:color w:val="000000" w:themeColor="text1"/>
          <w:sz w:val="16"/>
          <w:szCs w:val="16"/>
        </w:rPr>
        <w:t xml:space="preserve"> цех № 6 по производству бронекорпусов, бронеспинок и бронедеталей для самолетов не был оборудован и оснащен приспособлениями и инструментом даже по состоянию на 31 декабря 1941 г., а укомплектованность цеха рабочей силой составляла на это же число только 33%.</w:t>
      </w:r>
      <w:r w:rsidR="008127F8">
        <w:rPr>
          <w:rFonts w:ascii="Times New Roman" w:hAnsi="Times New Roman"/>
          <w:color w:val="000000" w:themeColor="text1"/>
          <w:sz w:val="16"/>
          <w:szCs w:val="16"/>
        </w:rPr>
        <w:t xml:space="preserve">  </w:t>
      </w:r>
    </w:p>
    <w:p w14:paraId="7DA0DB7C" w14:textId="0E21C7BE"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выявленными проверкой фактами:</w:t>
      </w:r>
      <w:r w:rsidR="008127F8">
        <w:rPr>
          <w:rFonts w:ascii="Times New Roman" w:hAnsi="Times New Roman"/>
          <w:color w:val="000000" w:themeColor="text1"/>
          <w:sz w:val="16"/>
          <w:szCs w:val="16"/>
        </w:rPr>
        <w:t xml:space="preserve">  </w:t>
      </w:r>
    </w:p>
    <w:p w14:paraId="1F111052" w14:textId="17E1FD1B"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Главному инженеру завода № 183 НКТП ПЕРЦОВСКОМУ И.Н., за неудовлетворительную организацию производства танков, а также за срыв производства бронекорпусов ИЛ-2, бронеспинок и бронедеталей для самолетов – ОБЪЯВЛЯЮ СТРОГИЙ ВЫГОВОР.</w:t>
      </w:r>
      <w:r w:rsidR="008127F8">
        <w:rPr>
          <w:rFonts w:ascii="Times New Roman" w:hAnsi="Times New Roman"/>
          <w:color w:val="000000" w:themeColor="text1"/>
          <w:sz w:val="16"/>
          <w:szCs w:val="16"/>
        </w:rPr>
        <w:t xml:space="preserve">  </w:t>
      </w:r>
    </w:p>
    <w:p w14:paraId="6CABDF65" w14:textId="4A29CE63"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Заместителю главного технолога завода № 183 МЕЛЬНИКОВУ Н.Ф., за необеспечение разработки недостающей технологической документации, за несвоевременную выдачу заданий на изготовление штампов, приспособлений и инструмента – ОБЪЯВЛЯЮ СТРОГИЙ ВЫГОВОР.</w:t>
      </w:r>
      <w:r w:rsidR="008127F8">
        <w:rPr>
          <w:rFonts w:ascii="Times New Roman" w:hAnsi="Times New Roman"/>
          <w:color w:val="000000" w:themeColor="text1"/>
          <w:sz w:val="16"/>
          <w:szCs w:val="16"/>
        </w:rPr>
        <w:t xml:space="preserve">  </w:t>
      </w:r>
    </w:p>
    <w:p w14:paraId="18A61C15"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Заместителю директора завода № 183 по МПВО и охране МЕЛЬНИКОВУ С.Д., за неудовлетворительную организацию охраны танкового производства завода – ОБЪЯВЛЯЮ ВЫГОВОР.</w:t>
      </w:r>
    </w:p>
    <w:p w14:paraId="379004CE"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2B152F00"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(МАЛЫШЕВ) (18429).</w:t>
      </w:r>
    </w:p>
    <w:p w14:paraId="66B8D682" w14:textId="77777777" w:rsidR="00D723C0" w:rsidRPr="008127F8" w:rsidRDefault="00D723C0" w:rsidP="001E0A84">
      <w:pPr>
        <w:spacing w:after="0" w:line="240" w:lineRule="auto"/>
        <w:jc w:val="both"/>
        <w:rPr>
          <w:rFonts w:ascii="Times New Roman" w:hAnsi="Times New Roman"/>
          <w:color w:val="000000" w:themeColor="text1"/>
          <w:sz w:val="16"/>
          <w:szCs w:val="16"/>
        </w:rPr>
      </w:pPr>
    </w:p>
    <w:p w14:paraId="5C0A2C51"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w:t>
      </w:r>
    </w:p>
    <w:p w14:paraId="0D52F945" w14:textId="597EE89F"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172</w:t>
      </w:r>
      <w:r w:rsidR="008127F8">
        <w:rPr>
          <w:rFonts w:ascii="Times New Roman" w:hAnsi="Times New Roman"/>
          <w:color w:val="000000" w:themeColor="text1"/>
          <w:sz w:val="16"/>
          <w:szCs w:val="16"/>
        </w:rPr>
        <w:t xml:space="preserve">  </w:t>
      </w:r>
    </w:p>
    <w:p w14:paraId="43317760" w14:textId="76788D78"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5BBD7743"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E9539EE"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0DDC2B38"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205-мсс</w:t>
      </w:r>
    </w:p>
    <w:p w14:paraId="5272A8F5"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13C89FE4"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w:t>
      </w:r>
    </w:p>
    <w:p w14:paraId="12AA9BFD" w14:textId="449C9CCF"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донесениям командования Северо-Западного фронта в процессе эксплоатации и боевого применения танков на участках Северо-Западного фронта выявлены следующие дефекты:</w:t>
      </w:r>
      <w:r w:rsidR="008127F8">
        <w:rPr>
          <w:rFonts w:ascii="Times New Roman" w:hAnsi="Times New Roman"/>
          <w:color w:val="000000" w:themeColor="text1"/>
          <w:sz w:val="16"/>
          <w:szCs w:val="16"/>
        </w:rPr>
        <w:t xml:space="preserve">  </w:t>
      </w:r>
    </w:p>
    <w:p w14:paraId="362EE831" w14:textId="5CC54CA0"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танкам "КВ":</w:t>
      </w:r>
      <w:r w:rsidR="008127F8">
        <w:rPr>
          <w:rFonts w:ascii="Times New Roman" w:hAnsi="Times New Roman"/>
          <w:color w:val="000000" w:themeColor="text1"/>
          <w:sz w:val="16"/>
          <w:szCs w:val="16"/>
        </w:rPr>
        <w:t xml:space="preserve">  </w:t>
      </w:r>
    </w:p>
    <w:p w14:paraId="408E6AE1" w14:textId="25DD2664"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Заклинивание поршней в цилиндрах, в результате чего моторы пришлось заменить.</w:t>
      </w:r>
      <w:r w:rsidR="008127F8">
        <w:rPr>
          <w:rFonts w:ascii="Times New Roman" w:hAnsi="Times New Roman"/>
          <w:color w:val="000000" w:themeColor="text1"/>
          <w:sz w:val="16"/>
          <w:szCs w:val="16"/>
        </w:rPr>
        <w:t xml:space="preserve">  </w:t>
      </w:r>
    </w:p>
    <w:p w14:paraId="32A713BA" w14:textId="6E20C8C0"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По танкам "Т-34":</w:t>
      </w:r>
      <w:r w:rsidR="008127F8">
        <w:rPr>
          <w:rFonts w:ascii="Times New Roman" w:hAnsi="Times New Roman"/>
          <w:color w:val="000000" w:themeColor="text1"/>
          <w:sz w:val="16"/>
          <w:szCs w:val="16"/>
        </w:rPr>
        <w:t xml:space="preserve">  </w:t>
      </w:r>
    </w:p>
    <w:p w14:paraId="4EACA62E" w14:textId="0D12BD38"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Пробивание прокладок головки блока в результате недоброкачественности изготовления самой прокладки;</w:t>
      </w:r>
      <w:r w:rsidR="008127F8">
        <w:rPr>
          <w:rFonts w:ascii="Times New Roman" w:hAnsi="Times New Roman"/>
          <w:color w:val="000000" w:themeColor="text1"/>
          <w:sz w:val="16"/>
          <w:szCs w:val="16"/>
        </w:rPr>
        <w:t xml:space="preserve">  </w:t>
      </w:r>
    </w:p>
    <w:p w14:paraId="507003DC" w14:textId="31BDF019"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гнезда втулки вертикального валика, который приводит в движение маслопомпу, в результате чего маслопомпа прекращает свою работу и происходит плавление подшипников.</w:t>
      </w:r>
      <w:r w:rsidR="008127F8">
        <w:rPr>
          <w:rFonts w:ascii="Times New Roman" w:hAnsi="Times New Roman"/>
          <w:color w:val="000000" w:themeColor="text1"/>
          <w:sz w:val="16"/>
          <w:szCs w:val="16"/>
        </w:rPr>
        <w:t xml:space="preserve">  </w:t>
      </w:r>
    </w:p>
    <w:p w14:paraId="7450DDE5" w14:textId="3C3EB841"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w:t>
      </w:r>
      <w:proofErr w:type="gramStart"/>
      <w:r w:rsidRPr="008127F8">
        <w:rPr>
          <w:rFonts w:ascii="Times New Roman" w:hAnsi="Times New Roman"/>
          <w:color w:val="000000" w:themeColor="text1"/>
          <w:sz w:val="16"/>
          <w:szCs w:val="16"/>
        </w:rPr>
        <w:t>По танка</w:t>
      </w:r>
      <w:proofErr w:type="gramEnd"/>
      <w:r w:rsidRPr="008127F8">
        <w:rPr>
          <w:rFonts w:ascii="Times New Roman" w:hAnsi="Times New Roman"/>
          <w:color w:val="000000" w:themeColor="text1"/>
          <w:sz w:val="16"/>
          <w:szCs w:val="16"/>
        </w:rPr>
        <w:t xml:space="preserve"> "Т-60":</w:t>
      </w:r>
      <w:r w:rsidR="008127F8">
        <w:rPr>
          <w:rFonts w:ascii="Times New Roman" w:hAnsi="Times New Roman"/>
          <w:color w:val="000000" w:themeColor="text1"/>
          <w:sz w:val="16"/>
          <w:szCs w:val="16"/>
        </w:rPr>
        <w:t xml:space="preserve">  </w:t>
      </w:r>
    </w:p>
    <w:p w14:paraId="5D5D8543" w14:textId="3165F4B5"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Течь масляных радиаторов – 8 случаев; обрыв шатуна с последующей поломкой картера – 5 случаев; срезание головки толкателя – 3 случая; массовое пробивание прокладок головки блока и несколько случаев обрыва головки поршня.</w:t>
      </w:r>
      <w:r w:rsidR="008127F8">
        <w:rPr>
          <w:rFonts w:ascii="Times New Roman" w:hAnsi="Times New Roman"/>
          <w:color w:val="000000" w:themeColor="text1"/>
          <w:sz w:val="16"/>
          <w:szCs w:val="16"/>
        </w:rPr>
        <w:t xml:space="preserve">  </w:t>
      </w:r>
    </w:p>
    <w:p w14:paraId="67CE4AE8" w14:textId="0184E542"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Вышеуказанные дефекты происходят в результате ослабления внимания заводами к качеству изготовления танков, и контроль при сборке и выпуске машин обеспечивается неудовлетворительно.</w:t>
      </w:r>
      <w:r w:rsidR="008127F8">
        <w:rPr>
          <w:rFonts w:ascii="Times New Roman" w:hAnsi="Times New Roman"/>
          <w:color w:val="000000" w:themeColor="text1"/>
          <w:sz w:val="16"/>
          <w:szCs w:val="16"/>
        </w:rPr>
        <w:t xml:space="preserve">  </w:t>
      </w:r>
    </w:p>
    <w:p w14:paraId="701C91E0" w14:textId="74E3EA4C"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к моему приказу от 12.II.42 года за № 192м-сс ПРИКАЗЫВАЮ:</w:t>
      </w:r>
      <w:r w:rsidR="008127F8">
        <w:rPr>
          <w:rFonts w:ascii="Times New Roman" w:hAnsi="Times New Roman"/>
          <w:color w:val="000000" w:themeColor="text1"/>
          <w:sz w:val="16"/>
          <w:szCs w:val="16"/>
        </w:rPr>
        <w:t xml:space="preserve">  </w:t>
      </w:r>
    </w:p>
    <w:p w14:paraId="13153849" w14:textId="2E837B85"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Кировского – т. МАХОНИНУ, № 183 – т. ЗАЛЬЦМАНУ, СТЗ – т. ЗАДОРОЖНОМУ, № 112 – т. МИХАЛЕВУ, № 37 – т. ФРЕЗЕРОВУ, № 38 – т. РУБИНЧИК и № 76 – т. КОЧЕТКОВУ – немедленно разработать конкретные мероприятия по устранению в кратчайший срок вышеуказанных дефектов в машинах и о принятых мерах сообщить мне.</w:t>
      </w:r>
      <w:r w:rsidR="008127F8">
        <w:rPr>
          <w:rFonts w:ascii="Times New Roman" w:hAnsi="Times New Roman"/>
          <w:color w:val="000000" w:themeColor="text1"/>
          <w:sz w:val="16"/>
          <w:szCs w:val="16"/>
        </w:rPr>
        <w:t xml:space="preserve">  </w:t>
      </w:r>
    </w:p>
    <w:p w14:paraId="301D1061" w14:textId="2ECD35AE"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Начальникам ОТК вышеуказанных заводов усилить контроль над качеством всех деталей танков на всех производственных участках.</w:t>
      </w:r>
      <w:r w:rsidR="008127F8">
        <w:rPr>
          <w:rFonts w:ascii="Times New Roman" w:hAnsi="Times New Roman"/>
          <w:color w:val="000000" w:themeColor="text1"/>
          <w:sz w:val="16"/>
          <w:szCs w:val="16"/>
        </w:rPr>
        <w:t xml:space="preserve">  </w:t>
      </w:r>
    </w:p>
    <w:p w14:paraId="660A1421"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директоров всех виновных в понижении качества отдельных узлов машин немедленно привлекать к ответственности.</w:t>
      </w:r>
    </w:p>
    <w:p w14:paraId="2BB32D5A"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13DF96BC"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03A67741" w14:textId="77777777" w:rsidR="00D723C0" w:rsidRPr="008127F8" w:rsidRDefault="00D723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(18428).</w:t>
      </w:r>
    </w:p>
    <w:p w14:paraId="24399AA2" w14:textId="77777777" w:rsidR="00D723C0" w:rsidRPr="008127F8" w:rsidRDefault="00D723C0" w:rsidP="001E0A84">
      <w:pPr>
        <w:spacing w:after="0" w:line="240" w:lineRule="auto"/>
        <w:jc w:val="both"/>
        <w:rPr>
          <w:rFonts w:ascii="Times New Roman" w:hAnsi="Times New Roman"/>
          <w:color w:val="000000" w:themeColor="text1"/>
          <w:sz w:val="16"/>
          <w:szCs w:val="16"/>
        </w:rPr>
      </w:pPr>
    </w:p>
    <w:p w14:paraId="50EDFE29"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Отчет завода им. Октябрьской революции об изготовлении аэросаней.</w:t>
      </w:r>
    </w:p>
    <w:p w14:paraId="553C4568"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работ и материального снабжения по изготовлению аэросаней на заводе имени Октябрьской революции Бельского речного пароходства на 15.11.42 года.</w:t>
      </w:r>
    </w:p>
    <w:p w14:paraId="043F90CF"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производству</w:t>
      </w:r>
    </w:p>
    <w:p w14:paraId="15A30981"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и сборка аэросаней выполняется по узлам слесарно-монтажным цехом.</w:t>
      </w:r>
    </w:p>
    <w:p w14:paraId="2AB04519"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Собрано и обшито 80 корпусов, из них окрашено 79, производится монтаж на 56 машинах, собрано лыж по деревянной части 64 комплекта, находятся в монтаже по установке металлических деталей 50 комплектов. Из них 41 комплект смонтирован полностью и установлен на место. Готовых машин к испытанию 40, из них 36 машин прошли ходовое испытание, сдано заказчику 19 машин.</w:t>
      </w:r>
    </w:p>
    <w:p w14:paraId="4757A281"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материальному снабжению</w:t>
      </w:r>
    </w:p>
    <w:p w14:paraId="08020137"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Комплектация узлов деталями, монтаж и установка узлов задерживается из-за отсутствия части готовых изделий и крепежного материала: 1) стартерный провод, 2) стартеры, аккумуляторы, 4) электромагнитный включатель, 5) байки.</w:t>
      </w:r>
    </w:p>
    <w:p w14:paraId="4FF53FFF"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Сборка лыж по деревянной части задерживается из-за отсутствия казеинового клея.</w:t>
      </w:r>
    </w:p>
    <w:p w14:paraId="0EA4E924"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Окончательная сдача машин заказчику задерживается из-за отсутствия брони и щитки-бронь* на турель.</w:t>
      </w:r>
    </w:p>
    <w:p w14:paraId="6790B2D6"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w:t>
      </w:r>
      <w:r w:rsidRPr="008127F8">
        <w:rPr>
          <w:rFonts w:ascii="Times New Roman" w:hAnsi="Times New Roman"/>
          <w:color w:val="000000" w:themeColor="text1"/>
          <w:sz w:val="16"/>
          <w:szCs w:val="16"/>
        </w:rPr>
        <w:tab/>
        <w:t>Иванов Н.</w:t>
      </w:r>
    </w:p>
    <w:p w14:paraId="3529B4C1"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ЦГАОО РБ. Ф. 122. Оп. 22. Д. 27 Л. 63. Подлинник (17279)</w:t>
      </w:r>
    </w:p>
    <w:p w14:paraId="1C081101" w14:textId="77777777" w:rsidR="00F06FA1" w:rsidRPr="008127F8" w:rsidRDefault="00F06FA1" w:rsidP="001E0A84">
      <w:pPr>
        <w:spacing w:after="0" w:line="240" w:lineRule="auto"/>
        <w:jc w:val="both"/>
        <w:rPr>
          <w:rFonts w:ascii="Times New Roman" w:hAnsi="Times New Roman"/>
          <w:color w:val="000000" w:themeColor="text1"/>
          <w:sz w:val="16"/>
          <w:szCs w:val="16"/>
        </w:rPr>
      </w:pPr>
    </w:p>
    <w:p w14:paraId="76B15EB5"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0D8B3660"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завода им. Октябрьской революции об изготовлении аэросаней.</w:t>
      </w:r>
    </w:p>
    <w:p w14:paraId="30B1B4A7"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2C6C31D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работ и материального снабжения по изготовлению аэросаней на заводе имени Октябрьской революции Бельского речного пароходства на 15.11.42 года.</w:t>
      </w:r>
    </w:p>
    <w:p w14:paraId="4DC1411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производству</w:t>
      </w:r>
    </w:p>
    <w:p w14:paraId="09EB522C"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и сборка аэросаней выполняется по узлам слесарно-монтажным цехом.</w:t>
      </w:r>
    </w:p>
    <w:p w14:paraId="23BC1FA7"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Собрано и обшито 80 корпусов, из них окрашено 79, производится монтаж на 56 машинах, собрано лыж по деревянной части 64 комплекта, находятся в монтаже по установке металлических деталей 50 комплектов. Из них 41 комплект смонтирован полностью и установлен на место. Готовых машин к испытанию 40, из них 36 машин прошли ходовое испытание, сдано заказчику 19 машин.</w:t>
      </w:r>
    </w:p>
    <w:p w14:paraId="03170FF4"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материальному снабжению</w:t>
      </w:r>
    </w:p>
    <w:p w14:paraId="26CBC5A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Комплектация узлов деталями, монтаж и установка узлов задерживается из-за отсутствия части готовых изделий и крепежного материала:</w:t>
      </w:r>
    </w:p>
    <w:p w14:paraId="726A727B"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стартерный провод,</w:t>
      </w:r>
    </w:p>
    <w:p w14:paraId="78B6CF3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стартеры,</w:t>
      </w:r>
    </w:p>
    <w:p w14:paraId="18387EF9"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аккумуляторы,</w:t>
      </w:r>
    </w:p>
    <w:p w14:paraId="4A6BD206"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электромагнитный включатель,</w:t>
      </w:r>
    </w:p>
    <w:p w14:paraId="2565198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байки.</w:t>
      </w:r>
    </w:p>
    <w:p w14:paraId="329138B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Сборка лыж по деревянной части задерживается из-за отсутствия казеинового клея.</w:t>
      </w:r>
    </w:p>
    <w:p w14:paraId="0839BB2C"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Окончательная сдача машин заказчику задерживается из-за отсутствия брони и щитки-бронь на турель.</w:t>
      </w:r>
    </w:p>
    <w:p w14:paraId="29CE2FAC"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w:t>
      </w:r>
      <w:r w:rsidRPr="008127F8">
        <w:rPr>
          <w:rFonts w:ascii="Times New Roman" w:hAnsi="Times New Roman"/>
          <w:color w:val="000000" w:themeColor="text1"/>
          <w:sz w:val="16"/>
          <w:szCs w:val="16"/>
        </w:rPr>
        <w:tab/>
        <w:t>Иванов Н. (21090).</w:t>
      </w:r>
    </w:p>
    <w:p w14:paraId="6607A529" w14:textId="77777777" w:rsidR="002D1CBB" w:rsidRPr="008127F8" w:rsidRDefault="002D1CBB" w:rsidP="001E0A84">
      <w:pPr>
        <w:spacing w:after="0" w:line="240" w:lineRule="auto"/>
        <w:jc w:val="both"/>
        <w:rPr>
          <w:rFonts w:ascii="Times New Roman" w:hAnsi="Times New Roman"/>
          <w:color w:val="000000" w:themeColor="text1"/>
          <w:sz w:val="16"/>
          <w:szCs w:val="16"/>
        </w:rPr>
      </w:pPr>
    </w:p>
    <w:p w14:paraId="7C81126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вышла ДОКЛАДНАЯ ЗАПИСКА ГАБТУ В ГКО О ПОТРЕБНОСТИ КРАСНОЙ АРМИИ В ТРАКТОРАХ</w:t>
      </w:r>
    </w:p>
    <w:p w14:paraId="7EAAE3D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Красная Армия испытывает большую потребность в тракторах.</w:t>
      </w:r>
    </w:p>
    <w:p w14:paraId="7CF459D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 напряженное положение создалось в артиллерийских и танковых частях.</w:t>
      </w:r>
    </w:p>
    <w:p w14:paraId="4527951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Артполки, имея большой некомплект тракторов, не успевают двигаться за пехотой; в некоторых полках один трактор приходится на два орудия; поступающие на их укомплектование артсистемы не используются за отсутствием средств механической тяги.</w:t>
      </w:r>
    </w:p>
    <w:p w14:paraId="1A8FD40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Танковые части, имеющие на вооружении танки «КВ», Т-34 и английские танки, не обеспечива</w:t>
      </w:r>
      <w:r w:rsidRPr="008127F8">
        <w:rPr>
          <w:rFonts w:ascii="Times New Roman" w:hAnsi="Times New Roman"/>
          <w:color w:val="000000" w:themeColor="text1"/>
          <w:sz w:val="16"/>
          <w:szCs w:val="16"/>
        </w:rPr>
        <w:softHyphen/>
        <w:t>ются средствами эвакуации с поля боя.</w:t>
      </w:r>
    </w:p>
    <w:p w14:paraId="1AC4B76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Сбор и эвакуация трофейного имущества и боевой техники из-за отсутствия мощных тракто</w:t>
      </w:r>
      <w:r w:rsidRPr="008127F8">
        <w:rPr>
          <w:rFonts w:ascii="Times New Roman" w:hAnsi="Times New Roman"/>
          <w:color w:val="000000" w:themeColor="text1"/>
          <w:sz w:val="16"/>
          <w:szCs w:val="16"/>
        </w:rPr>
        <w:softHyphen/>
        <w:t>ров, крайне затруднены.</w:t>
      </w:r>
    </w:p>
    <w:p w14:paraId="07BCB52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Минимальная потребность в тракторах для этих целей, по донесениям фронтов, составляет 3081 трактор.</w:t>
      </w:r>
    </w:p>
    <w:p w14:paraId="6D7D43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для обеспечения новых формирований танковых и артиллерийских частей по фев</w:t>
      </w:r>
      <w:r w:rsidRPr="008127F8">
        <w:rPr>
          <w:rFonts w:ascii="Times New Roman" w:hAnsi="Times New Roman"/>
          <w:color w:val="000000" w:themeColor="text1"/>
          <w:sz w:val="16"/>
          <w:szCs w:val="16"/>
        </w:rPr>
        <w:softHyphen/>
        <w:t>ральскому плану требуется 2362 трактора.</w:t>
      </w:r>
    </w:p>
    <w:p w14:paraId="799DD0C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Удовлетворить эти потребности без получения тракторов от промышленности НКО не может.</w:t>
      </w:r>
    </w:p>
    <w:p w14:paraId="365F580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Единственный трактор СТЗ-5, выпускаемый в настоящее время Сталинградским заводом (до 550 штук в месяц), полностью поступает на укомплектование только новых формирований артполков дивизионной артиллерии.</w:t>
      </w:r>
    </w:p>
    <w:p w14:paraId="02C005F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артиллерийский тягач корпусной артиллерии — трактор ЧТЗ (в наличном парке на 1.1.1942 г. составлял 20 092 шт.) и мощный трактор «Ворошиловец», являющийся средством механи</w:t>
      </w:r>
      <w:r w:rsidRPr="008127F8">
        <w:rPr>
          <w:rFonts w:ascii="Times New Roman" w:hAnsi="Times New Roman"/>
          <w:color w:val="000000" w:themeColor="text1"/>
          <w:sz w:val="16"/>
          <w:szCs w:val="16"/>
        </w:rPr>
        <w:softHyphen/>
        <w:t>ческой тяги артиллерии большой мощности, а также средством эвакуации тяжелых и средних тан</w:t>
      </w:r>
      <w:r w:rsidRPr="008127F8">
        <w:rPr>
          <w:rFonts w:ascii="Times New Roman" w:hAnsi="Times New Roman"/>
          <w:color w:val="000000" w:themeColor="text1"/>
          <w:sz w:val="16"/>
          <w:szCs w:val="16"/>
        </w:rPr>
        <w:softHyphen/>
        <w:t>ков - не производятся промышленностью с конца 1941 года.</w:t>
      </w:r>
    </w:p>
    <w:p w14:paraId="1BB29CC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Создавшееся положение обостряется тем обстоятельством, что наличный тракторный парк име</w:t>
      </w:r>
      <w:r w:rsidRPr="008127F8">
        <w:rPr>
          <w:rFonts w:ascii="Times New Roman" w:hAnsi="Times New Roman"/>
          <w:color w:val="000000" w:themeColor="text1"/>
          <w:sz w:val="16"/>
          <w:szCs w:val="16"/>
        </w:rPr>
        <w:softHyphen/>
        <w:t>ет в своем составе большое количество тракторов, требующих капитального и среднего ремонтов (4140 капитального и 6185 среднего).</w:t>
      </w:r>
    </w:p>
    <w:p w14:paraId="2E34ED9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Наличные ресурсы запчастей НКО крайне ограничены и не могут обеспечить потребность в них для производства этого количества ремонтов.</w:t>
      </w:r>
    </w:p>
    <w:p w14:paraId="3F8B70EE"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Поставка запасных частей НКО заводами промышленности совершенно прекращена и не про</w:t>
      </w:r>
      <w:r w:rsidRPr="008127F8">
        <w:rPr>
          <w:rFonts w:ascii="Times New Roman" w:hAnsi="Times New Roman"/>
          <w:color w:val="000000" w:themeColor="text1"/>
          <w:kern w:val="65535"/>
          <w:sz w:val="16"/>
          <w:szCs w:val="16"/>
        </w:rPr>
        <w:softHyphen/>
        <w:t>изводится.</w:t>
      </w:r>
    </w:p>
    <w:p w14:paraId="6378215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тракторам:</w:t>
      </w:r>
    </w:p>
    <w:p w14:paraId="12A4005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«Ворошиловец» и «Коминтерн» - с августа 1941 г.</w:t>
      </w:r>
    </w:p>
    <w:p w14:paraId="38AECFF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«Комсомолец» - с сентября 1941 г.</w:t>
      </w:r>
    </w:p>
    <w:p w14:paraId="256E25C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ЧТЗ - с декабря 1941 г.</w:t>
      </w:r>
    </w:p>
    <w:p w14:paraId="0DAD24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СТЗ - с января 1942 г.</w:t>
      </w:r>
    </w:p>
    <w:p w14:paraId="4652CCF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Дальнейшее неполучение НКО тракторных запасных частей еще больше ухудшит состояние тракторного парка (возрастет количество тракторов, требующих ремонта) и тем самым поставит ар</w:t>
      </w:r>
      <w:r w:rsidRPr="008127F8">
        <w:rPr>
          <w:rFonts w:ascii="Times New Roman" w:hAnsi="Times New Roman"/>
          <w:color w:val="000000" w:themeColor="text1"/>
          <w:sz w:val="16"/>
          <w:szCs w:val="16"/>
        </w:rPr>
        <w:softHyphen/>
        <w:t>тиллерийские части в чрезвычайно тяжелое положение.</w:t>
      </w:r>
    </w:p>
    <w:p w14:paraId="718DCCA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Исходя из вышеизложенного прошу:</w:t>
      </w:r>
    </w:p>
    <w:p w14:paraId="67F2552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Наркомтанкпром восстановить производство тракторов ЧТЗ на Челябинском заводе и «Ворошиловец» на заводе № 183 и начать поставку их НКО с марта месяца сего года в количествах, как минимум:</w:t>
      </w:r>
    </w:p>
    <w:p w14:paraId="56BA861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ЧТЗ - 500-600.</w:t>
      </w:r>
    </w:p>
    <w:p w14:paraId="4CB661D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«Ворошиловец» - 20-25 штук (доведя выпуск в июне до 80 шт. в месяц).</w:t>
      </w:r>
    </w:p>
    <w:p w14:paraId="0BD548C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Обязать Наркомтанкпром и Накомсредмаш организовать производство тракторных запасных частей (по номенклатуре НКО) с поставкой их до конца 1 квартала 1942 года на общую сумму 14,6 млн рублей.</w:t>
      </w:r>
    </w:p>
    <w:p w14:paraId="1054FC6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тракторов и запасных частей к ним Челябинский завод может восстановить за счет неиспользуемого оборудования тракторного производства, а также </w:t>
      </w:r>
      <w:proofErr w:type="gramStart"/>
      <w:r w:rsidRPr="008127F8">
        <w:rPr>
          <w:rFonts w:ascii="Times New Roman" w:hAnsi="Times New Roman"/>
          <w:color w:val="000000" w:themeColor="text1"/>
          <w:sz w:val="16"/>
          <w:szCs w:val="16"/>
        </w:rPr>
        <w:t>оборудования</w:t>
      </w:r>
      <w:proofErr w:type="gramEnd"/>
      <w:r w:rsidRPr="008127F8">
        <w:rPr>
          <w:rFonts w:ascii="Times New Roman" w:hAnsi="Times New Roman"/>
          <w:color w:val="000000" w:themeColor="text1"/>
          <w:sz w:val="16"/>
          <w:szCs w:val="16"/>
        </w:rPr>
        <w:t xml:space="preserve"> переданного ему эвакуированными заводами.</w:t>
      </w:r>
    </w:p>
    <w:p w14:paraId="2764425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Оснастка тракторного производства на заводе полностью сохранена и законсервирована.</w:t>
      </w:r>
    </w:p>
    <w:p w14:paraId="4C525A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Главного автобронетанкового управления КА армейский комиссар 2 ранга Бирюков</w:t>
      </w:r>
    </w:p>
    <w:p w14:paraId="0E60F88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128. Л. 7а-7б. Копия (11211).</w:t>
      </w:r>
    </w:p>
    <w:p w14:paraId="392A1D1E"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1FABE0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Распоряжение ГКО № 1282 О доставке оборудования подшипникового завода в г.г. Куйбышев и Москву. РГАНИР, Фонд ГКО, д. 21, лл. 53 (11012).</w:t>
      </w:r>
    </w:p>
    <w:p w14:paraId="1FDD62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75C9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Постановление ГКО № 1287 О формировании для Красной Армии 63 подвижных ремонтных баз по полевому ремонту танков, автомобилей и тракторов. (7022, 87-88,89-92).</w:t>
      </w:r>
    </w:p>
    <w:p w14:paraId="001789D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69933E"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w:t>
      </w:r>
    </w:p>
    <w:p w14:paraId="3542922F"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 МК-40 наркома электропромышленности СССР И. Г. Кабанова об организации завода N2 465 по производству станций орудийной наводки</w:t>
      </w:r>
    </w:p>
    <w:p w14:paraId="55EED4B0"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r w:rsidRPr="008127F8">
        <w:rPr>
          <w:rFonts w:ascii="Times New Roman" w:hAnsi="Times New Roman"/>
          <w:color w:val="000000" w:themeColor="text1"/>
          <w:sz w:val="16"/>
          <w:szCs w:val="16"/>
        </w:rPr>
        <w:tab/>
        <w:t>15 февраля 1942 г.</w:t>
      </w:r>
    </w:p>
    <w:p w14:paraId="466245F2"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Совершенно секретно</w:t>
      </w:r>
    </w:p>
    <w:p w14:paraId="43221EDE"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от 10 февраля с. г. № ГКО-1266сс «О принятии на вооружение войск ПВО Красной армии и Военно-морского флота станций орудийной наводки (СОН-2) и организации отечественного производства СОН-2»</w:t>
      </w:r>
    </w:p>
    <w:p w14:paraId="0F070F35"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1CDF0E97"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Организовать в г. Москве завод № 465 по производству станций орудийной наводки с конструкторским бюро и лабораториями, подчинив завод № 465 непосредственно Наркомэлектропрому.</w:t>
      </w:r>
    </w:p>
    <w:p w14:paraId="343F8262"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Назначить исполняющим обязанности директора завода № 465 т. Слиозберга.</w:t>
      </w:r>
    </w:p>
    <w:p w14:paraId="0379C70B"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Зам. наркома т. Новикову в 2-дневный срок представить мне на утверждение кандидатуры гл. инженера завода, гл. технолога, гл. конструктора, зам. директора, помощника] директора по СНУ и гл. бухгалтера завода № 465.</w:t>
      </w:r>
    </w:p>
    <w:p w14:paraId="71D59183"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IV. Возложить в соответствии с постановлением ГКО на зам. наркома т. Восканяна повседневное руководство производством станций орудийной наводки, отозвав </w:t>
      </w:r>
      <w:proofErr w:type="gramStart"/>
      <w:r w:rsidRPr="008127F8">
        <w:rPr>
          <w:rFonts w:ascii="Times New Roman" w:hAnsi="Times New Roman"/>
          <w:color w:val="000000" w:themeColor="text1"/>
          <w:sz w:val="16"/>
          <w:szCs w:val="16"/>
        </w:rPr>
        <w:t>его</w:t>
      </w:r>
      <w:proofErr w:type="gramEnd"/>
      <w:r w:rsidRPr="008127F8">
        <w:rPr>
          <w:rFonts w:ascii="Times New Roman" w:hAnsi="Times New Roman"/>
          <w:color w:val="000000" w:themeColor="text1"/>
          <w:sz w:val="16"/>
          <w:szCs w:val="16"/>
        </w:rPr>
        <w:t xml:space="preserve"> в связи с этим из Ленинграда и освободив от исполнения других обязанностей по Наркомэлектропрому.</w:t>
      </w:r>
    </w:p>
    <w:p w14:paraId="293C485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И. о. директора завода № 465 т. Слиозбергу:</w:t>
      </w:r>
    </w:p>
    <w:p w14:paraId="08B05E9E"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организовать производство станций орудийной наводки (СОН-2) и обеспечить выпуск первых двух установок к 1 сентября 1942 г.;</w:t>
      </w:r>
    </w:p>
    <w:p w14:paraId="712A968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10-дневный срок принять по акту лабораторию Академии наук, возглавляемую профессором Хайкиным, вместе с кадрами и оборудованием;</w:t>
      </w:r>
    </w:p>
    <w:p w14:paraId="09DDD605"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принять в декадный срок от Всесоюзного радиокомитета (т. Поликарпова) измерительную аппаратуру Московского телевизионного центра как оставшуюся в Москве, так и эвакуированную в г. Свердловск.</w:t>
      </w:r>
    </w:p>
    <w:p w14:paraId="1E6845F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 Директору завода № 208 т. Гуданису организовать, начиная с сентября 1942 г., серийное производство станций орудийной наводки.</w:t>
      </w:r>
    </w:p>
    <w:p w14:paraId="2151383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изучения образца и подготовки технической документации командировать к 25 февраля с. г. бригаду квалифицированных технологов и конструкторов на завод № 465 (г. Москва) для непосредственного участия в разработке и изготовлении первых образцов.</w:t>
      </w:r>
    </w:p>
    <w:p w14:paraId="43E6C995"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VII. Зам. наркома т. Новикову в 3-декадный срок отобрать и обеспечить переброску до 25 февраля с. г. из Новосибирска, Свердловска и других городов конструкторов и инженеров в количестве 50 чел. для работ на заводе № 465 в Москве.</w:t>
      </w:r>
    </w:p>
    <w:p w14:paraId="07D0420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VIII. Начальнику планово-производственного отдела т. Полосухину подготовить к 25 февраля 1942 г. программу производства станций орудийной наводки и мероприятия по обеспечению этой программы для представления в ГКО в установленный постановлением срок (не позднее 10 марта с. г.).</w:t>
      </w:r>
    </w:p>
    <w:p w14:paraId="5B81EBC5"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IX. Государственный комитет обороны:</w:t>
      </w:r>
    </w:p>
    <w:p w14:paraId="223ECD9E"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Обязал Наркомвнешторг (т. Микояна):</w:t>
      </w:r>
    </w:p>
    <w:p w14:paraId="5E62F333"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выделить из первых 50 шт. установок СОН-2, прибывающих из Англии 5 марта 1942 г., одну станцию Наркомэлектропрому для освоения.</w:t>
      </w:r>
    </w:p>
    <w:p w14:paraId="1518CC56"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Слиозбергу обеспечить получение указанной установки СОН-2 в срок;</w:t>
      </w:r>
    </w:p>
    <w:p w14:paraId="7363CCC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закупить и завезти по импорту радиолампы, высокочастотные кабели и другие остродефицитные материалы и полуфабрикаты по спецификации НКЭП, необходимые для выпуска первых серий СОН-2.</w:t>
      </w:r>
    </w:p>
    <w:p w14:paraId="56B46182"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Спецову в декадный срок сдать все импортные заявки в Наркомвнешторг и обеспечить реализацию заказов на импорт.</w:t>
      </w:r>
    </w:p>
    <w:p w14:paraId="610DA971"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Разрешил зам. председателя] Совнаркома СССР т. Сабурову и зам. Наркомвнешторга т. Крутикову выделить из импортных поступлений 100 шт. металлорежущих станков, а также инструментального цеха на заводе № 208 НКЭП.</w:t>
      </w:r>
    </w:p>
    <w:p w14:paraId="642A3F7F"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Спецову в декадный срок представить импортные заявки в Наркомвнешторг и обеспечить получение выделяемого оборудования, инструмента и стали.</w:t>
      </w:r>
    </w:p>
    <w:p w14:paraId="43D2D71C"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Разрешил Наркомату электропромышленности командировать в Англию группу инженеров в количестве 8 чел. сроком на один месяц, не считая времени нахождения в пути, для детального ознакомления с производством станций орудийной наводки, закупки чертежей и необходимых деталей.</w:t>
      </w:r>
    </w:p>
    <w:p w14:paraId="0A931D33"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т. Новикову в пятидневный срок представить мне на утверждение список работников, командируемых в Англию.</w:t>
      </w:r>
    </w:p>
    <w:p w14:paraId="48D3E0B4"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Поручил Управлению кадров ЦК ВКП[(б)] совместно с Наркомэлектропромом отобрать для работы на заводе № 465 НКЭП 50 специалистов, ранее работавших и работающих в настоящее время на производстве приборов управления стрельбой ЦУС и ПУАЗО: конструкторов - 15, технологов - 10, мастеров-сборщиков - 5, приемщиков ОТК - 5, инструментальщиков - 5, лекальщиков - 5, станочников для работы на станках СИП - 5 чел.; обеспечение выполнения данного пункта постановления ГКО возложить на зам. наркома т. Новикова.</w:t>
      </w:r>
    </w:p>
    <w:p w14:paraId="0360358E"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Разрешил Наркомату электропромышленности (т. Восканяну) отобрать с Ленинградских заводов и институтов НКЭП и других наркоматов для работы на заводе № 465 в Москве 250 чел. квалифицированных рабочих и ИТР, а также вывезти измерительную аппаратуру, инструмент, дефицитные материалы и полуфабрикаты общим тоннажем 30 тонн и станочное оборудование в количестве 200 единиц.</w:t>
      </w:r>
    </w:p>
    <w:p w14:paraId="1CF34C19"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Обязал секретаря Ленинградского горкома </w:t>
      </w:r>
      <w:proofErr w:type="gramStart"/>
      <w:r w:rsidRPr="008127F8">
        <w:rPr>
          <w:rFonts w:ascii="Times New Roman" w:hAnsi="Times New Roman"/>
          <w:color w:val="000000" w:themeColor="text1"/>
          <w:sz w:val="16"/>
          <w:szCs w:val="16"/>
        </w:rPr>
        <w:t>ВКП(</w:t>
      </w:r>
      <w:proofErr w:type="gramEnd"/>
      <w:r w:rsidRPr="008127F8">
        <w:rPr>
          <w:rFonts w:ascii="Times New Roman" w:hAnsi="Times New Roman"/>
          <w:color w:val="000000" w:themeColor="text1"/>
          <w:sz w:val="16"/>
          <w:szCs w:val="16"/>
        </w:rPr>
        <w:t>6) т. Кузнецова и Хрулева (НКО) обеспечить в течение февраля перевозку из Ленинграда в Москву отобранных для завода № 465 оборудования, материалов, а также рабочих и ИТР с семьями.</w:t>
      </w:r>
    </w:p>
    <w:p w14:paraId="3CBB27CF"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Тт. Тартаковскому, Спецову, Верба и Слиозбергу обеспечить отправку из Ленинграда и получение оборудования, инструмента и материалов, а также прием и размещение переводимых из Ленинграда на завод № 465 рабочих и ИТР с их семьями в установленный постановлением ГКО срок.</w:t>
      </w:r>
    </w:p>
    <w:p w14:paraId="72F30A09"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Обязал исполком Московского совета (т. Пронина):</w:t>
      </w:r>
    </w:p>
    <w:p w14:paraId="70D4F34D"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жильем в г. Москве рабочих и ИТР с их семьями, переводимых из Ленинграда и других городов для работы на заводе № 465 (по списку Наркомэлектропрома).</w:t>
      </w:r>
    </w:p>
    <w:p w14:paraId="3486D0E0"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т. Новикову и и. о. директора завода № 465 т. Слиозбергу не позднее 1 марта с. г. представить в Моссовет список переводимых на завод № 465 рабочих и обеспечить получение для них жилплощади;</w:t>
      </w:r>
    </w:p>
    <w:p w14:paraId="3307FD9D"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месячный срок мобилизовать и направить на завод № 465 НКЭП 300 чел. квалифицированных рабочих по заявкам Наркомата электропромышленности.</w:t>
      </w:r>
    </w:p>
    <w:p w14:paraId="54993A83"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т. Новикову и т. Слиозбергу представить в Моссовет до 20 февраля заявку на 300 чел. квалифицированных рабочих и обеспечить получение указанного количества рабочих для завода № 465.</w:t>
      </w:r>
    </w:p>
    <w:p w14:paraId="1566A290"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Разрешил зам. председателя СНК СССР т. Сабурову изъять из промышленности 5 станков типа «СИП» и направить их на заводы № 465 и № 208 НКЭП.</w:t>
      </w:r>
    </w:p>
    <w:p w14:paraId="1D77222A"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Спецову получить 5 станков типа «СИП», в том числе 2 станка для завода № 465 и 3 станка для завода № 208.</w:t>
      </w:r>
    </w:p>
    <w:p w14:paraId="7E667368"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Обязал Наркомсредмаш (т. Акопова) к 10 февраля с. г. выделить для заводов № 465 и № 208 15 автомашин ГАЗ-АА и Наркомат автомобильного транспорта РСФСР (т. Куршева) выделить Наркомэлектропрому для заводов № 465 и № 208 из числа отремонтированных машин ЗИС-5, ЗИС-6 5 автомашин.</w:t>
      </w:r>
    </w:p>
    <w:p w14:paraId="3B6647EE"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Спецову в установленный срок получить выделенные НКЭПу 20 автомашин и занарядить 11 автомашин заводу № 208 и 9 - заводу № 465.</w:t>
      </w:r>
    </w:p>
    <w:p w14:paraId="5DE245B5"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Обязал Наркомторг СССР (т. Любимова) обеспечить рабочим снабжением заводы № 465 и № 208 НКЭП, а также организовать при этих заводах закрытые столовые для рабочих и ИТР.</w:t>
      </w:r>
    </w:p>
    <w:p w14:paraId="4C991F33"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Реализацию данного пункта постановления ГКО возложить на тт. Слиозберга и Гуданиса.</w:t>
      </w:r>
    </w:p>
    <w:p w14:paraId="294EB754"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Освободить рабочих, начиная с 4 разряда и выше, ИТР, работающих на заводах № 465 и № 208 НКЭП, от призыва в Красную армию.</w:t>
      </w:r>
    </w:p>
    <w:p w14:paraId="4BDBD626"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т. Новикову оформить освобождение от призыва в Красную армию указанных рабочих и ИТР заводов № 465 и № 208.</w:t>
      </w:r>
    </w:p>
    <w:p w14:paraId="4BB35854"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X. Придавая особо важное значение выполнению указанного постановления Государственного комитета обороны об организации отечественного производства станций орудийной наводки (СОН-2), создать при зам. наркома т. Восканяне группу ведущих инженеров в количестве 3-х чел. по обеспечению выпуска установок СОН-2.</w:t>
      </w:r>
    </w:p>
    <w:p w14:paraId="3A507744"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Народный комиссар электропромышленности СССР</w:t>
      </w:r>
      <w:r w:rsidRPr="008127F8">
        <w:rPr>
          <w:rFonts w:ascii="Times New Roman" w:hAnsi="Times New Roman"/>
          <w:color w:val="000000" w:themeColor="text1"/>
          <w:sz w:val="16"/>
          <w:szCs w:val="16"/>
        </w:rPr>
        <w:tab/>
        <w:t>И. Г. Кабанов</w:t>
      </w:r>
    </w:p>
    <w:p w14:paraId="3BFC42FF"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 в г. Самаре. Ф. P-233. On. 1-6. Д. 3. Л. 93-96.</w:t>
      </w:r>
    </w:p>
    <w:p w14:paraId="57A2FB90"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Копия. Машинопись.</w:t>
      </w:r>
    </w:p>
    <w:p w14:paraId="2299B5BB" w14:textId="77777777" w:rsidR="002D1CBB" w:rsidRPr="008127F8" w:rsidRDefault="002D1CB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Опубликовано: Создание вооружения для РККА: 1920-1945 гг.: обзор и публикация документов из фондов РГА в г. Самаре. Т. 2. Самара, 2015. С. 118-120 (21041).</w:t>
      </w:r>
    </w:p>
    <w:p w14:paraId="7DDD886B" w14:textId="77777777" w:rsidR="002D1CBB" w:rsidRPr="008127F8" w:rsidRDefault="002D1CBB" w:rsidP="001E0A84">
      <w:pPr>
        <w:spacing w:after="0" w:line="240" w:lineRule="auto"/>
        <w:jc w:val="both"/>
        <w:rPr>
          <w:rFonts w:ascii="Times New Roman" w:hAnsi="Times New Roman"/>
          <w:color w:val="000000" w:themeColor="text1"/>
          <w:sz w:val="16"/>
          <w:szCs w:val="16"/>
        </w:rPr>
      </w:pPr>
    </w:p>
    <w:p w14:paraId="22108C93"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было подготовлено письмо:</w:t>
      </w:r>
    </w:p>
    <w:p w14:paraId="6FED9A1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93DAF7D"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председателя Государственного Комитета Обороны т. Микояну от красноармейца 689 ап вод 1-го дивизиона Коршунова Федора Степановича</w:t>
      </w:r>
    </w:p>
    <w:p w14:paraId="1E82125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РАПОРТ</w:t>
      </w:r>
    </w:p>
    <w:p w14:paraId="7F0796A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Формальное и беспредельно бюрократическое отношение отдельных низовых командиров вы</w:t>
      </w:r>
      <w:r w:rsidRPr="008127F8">
        <w:rPr>
          <w:rFonts w:ascii="Times New Roman" w:hAnsi="Times New Roman"/>
          <w:color w:val="000000" w:themeColor="text1"/>
          <w:sz w:val="16"/>
          <w:szCs w:val="16"/>
        </w:rPr>
        <w:softHyphen/>
        <w:t>нудили меня обратиться лично к Вам по нижеследующему вопросу.</w:t>
      </w:r>
    </w:p>
    <w:p w14:paraId="612C9F0C"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не уходя в армию, я начал разрабатывать вопрос, как и каким путем ликвидировать недос</w:t>
      </w:r>
      <w:r w:rsidRPr="008127F8">
        <w:rPr>
          <w:rFonts w:ascii="Times New Roman" w:hAnsi="Times New Roman"/>
          <w:color w:val="000000" w:themeColor="text1"/>
          <w:sz w:val="16"/>
          <w:szCs w:val="16"/>
        </w:rPr>
        <w:softHyphen/>
        <w:t>таток транспорта или дать возможность лучше и шире использовать существующий автотранспорт.</w:t>
      </w:r>
    </w:p>
    <w:p w14:paraId="07DE89B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известно, автотранспорт в зимних условиях по проселочным дорогам в силу заносов и т.д. не используется, а отсюда из-за недостатка транспорта срываются ряд государственных мероприя</w:t>
      </w:r>
      <w:r w:rsidRPr="008127F8">
        <w:rPr>
          <w:rFonts w:ascii="Times New Roman" w:hAnsi="Times New Roman"/>
          <w:color w:val="000000" w:themeColor="text1"/>
          <w:sz w:val="16"/>
          <w:szCs w:val="16"/>
        </w:rPr>
        <w:softHyphen/>
        <w:t>тий. Просиживая бессонные ночи, убивая на разрешение данного вопроса свободные минуты, я раз</w:t>
      </w:r>
      <w:r w:rsidRPr="008127F8">
        <w:rPr>
          <w:rFonts w:ascii="Times New Roman" w:hAnsi="Times New Roman"/>
          <w:color w:val="000000" w:themeColor="text1"/>
          <w:sz w:val="16"/>
          <w:szCs w:val="16"/>
        </w:rPr>
        <w:softHyphen/>
        <w:t>работал метод:</w:t>
      </w:r>
    </w:p>
    <w:p w14:paraId="7F56231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Использование автотранспорта в зимних условиях по любым зимним дорогам без очистки их, а легковые машины, мотоциклы могут передвигаться по полям и степям, что особо необходимо, как никогда, на фронте.</w:t>
      </w:r>
    </w:p>
    <w:p w14:paraId="268C517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Осенью и весной из-за небольших неисправностей дорог машины не работают или, выезжая на работу, застревают в грязи неисправных дорог и долгое время простаивают.</w:t>
      </w:r>
    </w:p>
    <w:p w14:paraId="701E19A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Мною разработан метод, при помощи которого шофер с грузчиком, и даже один может в тече</w:t>
      </w:r>
      <w:r w:rsidRPr="008127F8">
        <w:rPr>
          <w:rFonts w:ascii="Times New Roman" w:hAnsi="Times New Roman"/>
          <w:color w:val="000000" w:themeColor="text1"/>
          <w:sz w:val="16"/>
          <w:szCs w:val="16"/>
        </w:rPr>
        <w:softHyphen/>
        <w:t>ние 10-15 минут вытащить машину и избежать буксования и простоя.</w:t>
      </w:r>
    </w:p>
    <w:p w14:paraId="4DCBB459"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Разработаны механические лыжи, при помощи которых бойцы могут лежа передвигаться по полю боя, причем, руки бойцов совершенно свободны для производства наблюдения при помощи оп</w:t>
      </w:r>
      <w:r w:rsidRPr="008127F8">
        <w:rPr>
          <w:rFonts w:ascii="Times New Roman" w:hAnsi="Times New Roman"/>
          <w:color w:val="000000" w:themeColor="text1"/>
          <w:sz w:val="16"/>
          <w:szCs w:val="16"/>
        </w:rPr>
        <w:softHyphen/>
        <w:t>тических приборов и для производства стрельбы. Причем лыжи замаскированы под цвет снега, кро</w:t>
      </w:r>
      <w:r w:rsidRPr="008127F8">
        <w:rPr>
          <w:rFonts w:ascii="Times New Roman" w:hAnsi="Times New Roman"/>
          <w:color w:val="000000" w:themeColor="text1"/>
          <w:sz w:val="16"/>
          <w:szCs w:val="16"/>
        </w:rPr>
        <w:softHyphen/>
        <w:t>ме того, спереди можно установить бронещиток. Учитывая особую важность и срочность примене</w:t>
      </w:r>
      <w:r w:rsidRPr="008127F8">
        <w:rPr>
          <w:rFonts w:ascii="Times New Roman" w:hAnsi="Times New Roman"/>
          <w:color w:val="000000" w:themeColor="text1"/>
          <w:sz w:val="16"/>
          <w:szCs w:val="16"/>
        </w:rPr>
        <w:softHyphen/>
        <w:t xml:space="preserve">ния </w:t>
      </w:r>
      <w:proofErr w:type="gramStart"/>
      <w:r w:rsidRPr="008127F8">
        <w:rPr>
          <w:rFonts w:ascii="Times New Roman" w:hAnsi="Times New Roman"/>
          <w:color w:val="000000" w:themeColor="text1"/>
          <w:sz w:val="16"/>
          <w:szCs w:val="16"/>
        </w:rPr>
        <w:t>выше изложенных</w:t>
      </w:r>
      <w:proofErr w:type="gramEnd"/>
      <w:r w:rsidRPr="008127F8">
        <w:rPr>
          <w:rFonts w:ascii="Times New Roman" w:hAnsi="Times New Roman"/>
          <w:color w:val="000000" w:themeColor="text1"/>
          <w:sz w:val="16"/>
          <w:szCs w:val="16"/>
        </w:rPr>
        <w:t xml:space="preserve"> изобретений, прошу приказать командованию 689-го артиллерийского полка, испытать мои изобретения, которые считаю необходимыми в целях быстрейшей победы над врагом.</w:t>
      </w:r>
    </w:p>
    <w:p w14:paraId="1AD2A4A8"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Жду Вашего ответа по существу затронутого вопроса.</w:t>
      </w:r>
    </w:p>
    <w:p w14:paraId="1E039135"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Коршунов Ф.С.</w:t>
      </w:r>
    </w:p>
    <w:p w14:paraId="09E65F5F"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172. Л. 10-13. Копия (11211).</w:t>
      </w:r>
    </w:p>
    <w:p w14:paraId="65E56D11"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2D960F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15 февраля 1943 года был подготовлен Паспорт завода № 174 им. Ворошилова </w:t>
      </w:r>
    </w:p>
    <w:p w14:paraId="70E8F1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Омск 20, п/я 853/4, Ленинский район</w:t>
      </w:r>
    </w:p>
    <w:p w14:paraId="337862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Задорожный</w:t>
      </w:r>
    </w:p>
    <w:p w14:paraId="2C6884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танкостроение</w:t>
      </w:r>
    </w:p>
    <w:p w14:paraId="40A36F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Основное изделие – танк Т-34, ОС 122, М13</w:t>
      </w:r>
    </w:p>
    <w:p w14:paraId="58F8F0A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 основания – 1942 (на базе существующего ранее ПВРЗ), в апреле 1942 года начата капитальная реконструкция (9672).</w:t>
      </w:r>
    </w:p>
    <w:p w14:paraId="6134A27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87A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февраля 1942 вышел приказ НКЭП И.Г.Кабанова об организации завода № 465 с КБ в Москве на территории бывшего авиазавода у станции метро “Сокол”. В 1945 на этой же территории было создано ЦКБ-20 и завод стал опытным производством. В 1946 его переименовали в НИИ-20ю В августе 1950 перевели в Кунцево где выделили место на территории КМЗ (сейчас </w:t>
      </w:r>
      <w:proofErr w:type="gramStart"/>
      <w:r w:rsidRPr="008127F8">
        <w:rPr>
          <w:rFonts w:ascii="Times New Roman" w:hAnsi="Times New Roman"/>
          <w:color w:val="000000" w:themeColor="text1"/>
          <w:sz w:val="16"/>
          <w:szCs w:val="16"/>
        </w:rPr>
        <w:t>МРТЗ)ю</w:t>
      </w:r>
      <w:proofErr w:type="gramEnd"/>
      <w:r w:rsidRPr="008127F8">
        <w:rPr>
          <w:rFonts w:ascii="Times New Roman" w:hAnsi="Times New Roman"/>
          <w:color w:val="000000" w:themeColor="text1"/>
          <w:sz w:val="16"/>
          <w:szCs w:val="16"/>
        </w:rPr>
        <w:t xml:space="preserve"> Переименован НИЭМИ (9987)</w:t>
      </w:r>
    </w:p>
    <w:p w14:paraId="669EDB8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февраля 1942 г. нарком Кузнецов утвердил технический проект № 163. Катер получил название СТК </w:t>
      </w:r>
      <w:proofErr w:type="gramStart"/>
      <w:r w:rsidRPr="008127F8">
        <w:rPr>
          <w:rFonts w:ascii="Times New Roman" w:hAnsi="Times New Roman"/>
          <w:color w:val="000000" w:themeColor="text1"/>
          <w:sz w:val="16"/>
          <w:szCs w:val="16"/>
        </w:rPr>
        <w:t>ДД</w:t>
      </w:r>
      <w:proofErr w:type="gramEnd"/>
      <w:r w:rsidRPr="008127F8">
        <w:rPr>
          <w:rFonts w:ascii="Times New Roman" w:hAnsi="Times New Roman"/>
          <w:color w:val="000000" w:themeColor="text1"/>
          <w:sz w:val="16"/>
          <w:szCs w:val="16"/>
        </w:rPr>
        <w:t xml:space="preserve"> то есть стальной торпедный катер дальнего действия (10675).</w:t>
      </w:r>
    </w:p>
    <w:p w14:paraId="7759E44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973DC7" w14:textId="1E4E799E"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И.Г. Кабанов подписал приказ о создании в Москве первого в СССР специализированного радиолокационного предприятия – завода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465 с конструкторским бюро и лабораториями,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способного вести в комплексе и их разработку, и выпуск, включая основные электронные компоненты (15736).</w:t>
      </w:r>
    </w:p>
    <w:p w14:paraId="1B29C7F2"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2CE861C9"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февраля</w:t>
      </w:r>
      <w:r w:rsidRPr="008127F8">
        <w:rPr>
          <w:rFonts w:ascii="Times New Roman" w:hAnsi="Times New Roman"/>
          <w:color w:val="000000" w:themeColor="text1"/>
          <w:sz w:val="16"/>
          <w:szCs w:val="16"/>
        </w:rPr>
        <w:t xml:space="preserve"> в 1942 году подписан приказ об организации завода № 465 с конструкторским бюро (ныне ОАО "Научно-исследовательский электромеханический институт"). В 1945 году на территории завода № 465 была размещена только что образованная научно-исследовательская организация ЦКБ-20. Научные кадры завода вместе с лабораториями были переведены в ЦКБ-20, при котором завод № 465 стал опытным производством. В 1946 году ЦКБ-20 переименовано в НИИ-20. В августе 1950 года приказом министра вооружения Д.Ф, Устинова НИИ-20 были переведено в город Кунцево Московской области, для чего была выделена часть территории КМЗ (ныне МРТЗ). В 1967 году предприятие переименовано в НИЭМИ. В годы Великой Отечественной войны (1941 – 1945 гг.) предприятием были разработаны и внедрены в серийное производство несколько модификаций РЛС «СОН-2», «Нептун» и других видов радиоприборов военного назначения. После войны предприятие разрабатывало радиоприборные комплексы управления огнем зенитной артиллерии (РПК), приборы управления артиллерийским зенитным огнем (ПУАЗО), артиллерийские радиолокационные станции обнаружения минометов (АРСОМ). В их числе «Зенит» (СОН-4), СОН-15 («Гром-12), Комплекс-30, «Ворон», ПУАЗО-5, ПУАЗО-6, АРСОМ-1, АРСОМ-2, «Ваза» и другие. С 1956 года и по настоящее время НИИЭМИ разрабатывает зенитно-ракетные комплексы войсковой ПВО. Выпускаемые серийно с 1964 года ЗРК «Круг» и с 1972 г. ЗРК «Оса» стали надежным щитом неба страны. 25 зарубежных государств имеют их сегодня на вооружении своих армий. Вклад работников института в создание образцов военной техники отмечен высокими правительственными наградами. Институт награжден в 1966 г. орденом Трудового Красного Знамени, в 1985 г. орденом Ленина, два сотрудника удостоены звания Героя Социалистического труда, 494 сотрудника –награждены правительственными наградами, 9 – лауреаты Сталинской премии, 8 – лауреаты Ленинской премии, 29 - лауреаты Государственной премии СССР, 8 – лауреаты Государственной премии Российской Федерации, 16 - лауреаты премии Правительства Российской Федерации, 16 – лауреаты премии Правительства Российской Федерации, 10 работникам присвоены почетные звания (15041).</w:t>
      </w:r>
    </w:p>
    <w:p w14:paraId="69FC31CF"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0B0FD19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во исполнение Постановления ГКО от 10 февраля Нарком электропромышленности И.Г. Кабанов подписал приказ о создании в Москве первого в СССР радиолокационного предприятия - завода N465 (будущее НИИ-160) с конструкторским бюро и лабораториями для разработки и производства РЛС орудийной наводки. В ноябре 1942 года всего за восемь месяцев были закончены разработка и изготовление двух опытных образцов станций орудийной наводки СОН-2а (копия английской GL-МкII). Постановлением ГКО от 20 декабря 1942 года станция была принята на вооружение и поставлена на серийное производство (15137).</w:t>
      </w:r>
    </w:p>
    <w:p w14:paraId="78E7EC82"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74693DF2"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февраля</w:t>
      </w:r>
      <w:r w:rsidRPr="008127F8">
        <w:rPr>
          <w:rFonts w:ascii="Times New Roman" w:hAnsi="Times New Roman"/>
          <w:color w:val="000000" w:themeColor="text1"/>
          <w:sz w:val="16"/>
          <w:szCs w:val="16"/>
        </w:rPr>
        <w:t xml:space="preserve"> в 1942 году МКБ «Гранит» переведено в Куйбышев и развернуло работы. engine.aviaport.ru/issues/49/page14.html (15041).</w:t>
      </w:r>
    </w:p>
    <w:p w14:paraId="047A5D89"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656304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февраля 1942 г. (в соответствии с пост. ГКО № 1266 от 10.02.1942 г.) в Москве вновь образован завод № 465 с КБ для производства РЛС СОН-2. Этот день стал днем рождения предприятия (ЦКБ-20, НИИ-20 НКВ,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МИСС, МОП, ГКРЭ, Научно -исследовательский электромеханический институт (НИЭМИ) МРП, ОАО «НИЭМИ» / г. Москва Ленинградский пр., 80 (1947 г.)/ /121471  г. Москва ул. Верейская, 41 тел. 448-94-60,443-79-59/). Разместился поначалу в одной из комнат здания НКЭП. Сюда переведены специалисты по радиолокации бывшего НИИ-9 во главе с М.Л. Слиозбергом, который стал директором завода.</w:t>
      </w:r>
    </w:p>
    <w:p w14:paraId="22B236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10.06.1945 г. КБ завода было преобразовано в ЦКБ-20. В 1946 г. (в соответствии с пост. СНК от 29.09.1945 г.) ЦКБ-20 преобразовано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29D00C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Велась разработка РЛС «Нептун» и СОН-4. В 1945 г. получено задание на разработку РЛС «Плутон» для обнаружения БР на дальности до 2000 км по программе «Анти-ФАУ» (научный руководитель - Н.А. Баршай). В соответствии с </w:t>
      </w:r>
      <w:proofErr w:type="gramStart"/>
      <w:r w:rsidRPr="008127F8">
        <w:rPr>
          <w:rFonts w:ascii="Times New Roman" w:hAnsi="Times New Roman"/>
          <w:color w:val="000000" w:themeColor="text1"/>
          <w:sz w:val="16"/>
          <w:szCs w:val="16"/>
        </w:rPr>
        <w:t>пост.ениями</w:t>
      </w:r>
      <w:proofErr w:type="gramEnd"/>
      <w:r w:rsidRPr="008127F8">
        <w:rPr>
          <w:rFonts w:ascii="Times New Roman" w:hAnsi="Times New Roman"/>
          <w:color w:val="000000" w:themeColor="text1"/>
          <w:sz w:val="16"/>
          <w:szCs w:val="16"/>
        </w:rPr>
        <w:t xml:space="preserve"> СМ СССР от 14.04(02). 1948 г. и от 6.02.1949 г. институт определен головным по разработке РЛС системы борьбы с БР (тема И-32). Начата НИР «Разработка РЛС для дальнего обнаружения и пеленга скорости ракет дальнего действия...». В 1950 г. выполнен отчет по работе, но дальнейшие работы отложены. Разработаны первые в стране РЛС с высокой точностью определения координат воздушных целей и повышенной помехозащищенностью «Крона», «Просвет».</w:t>
      </w:r>
    </w:p>
    <w:p w14:paraId="2D8BC9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группа специалистов из НИИ-20 была переведена во вновь созданный НИИ-885.</w:t>
      </w:r>
    </w:p>
    <w:p w14:paraId="66C37C9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Сначала НИИ-20 базировался в Москве на Ленинградском пр-те. 29.08.1947 г. создан отдел № 24 по РЛ управлению под руководством С.Л. Берия, 8.09.1947 г. отдел преобразован в самостоятельное СБ-1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В 08.1950 г. после образования на его территории и стремительного роста КБ-1 приказом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все помещения института переданы КБ-1, а НИИ-20 переведен в Кунцево на площадку завода № 304.</w:t>
      </w:r>
    </w:p>
    <w:p w14:paraId="749032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1948 г. НИИ-20 - в подчинении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в 1949 г. - МПСС, в 1956 г. - в ведении МОП, в 1958 г. - ГКРЭ,</w:t>
      </w:r>
      <w:r w:rsidRPr="008127F8">
        <w:rPr>
          <w:rFonts w:ascii="Times New Roman" w:hAnsi="Times New Roman"/>
          <w:color w:val="000000" w:themeColor="text1"/>
          <w:sz w:val="16"/>
          <w:szCs w:val="16"/>
          <w:vertAlign w:val="superscript"/>
        </w:rPr>
        <w:t xml:space="preserve">57 </w:t>
      </w:r>
      <w:r w:rsidRPr="008127F8">
        <w:rPr>
          <w:rFonts w:ascii="Times New Roman" w:hAnsi="Times New Roman"/>
          <w:color w:val="000000" w:themeColor="text1"/>
          <w:sz w:val="16"/>
          <w:szCs w:val="16"/>
        </w:rPr>
        <w:t>ГКОТ.</w:t>
      </w:r>
      <w:r w:rsidRPr="008127F8">
        <w:rPr>
          <w:rFonts w:ascii="Times New Roman" w:hAnsi="Times New Roman"/>
          <w:color w:val="000000" w:themeColor="text1"/>
          <w:sz w:val="16"/>
          <w:szCs w:val="16"/>
          <w:vertAlign w:val="superscript"/>
        </w:rPr>
        <w:t>104</w:t>
      </w:r>
      <w:r w:rsidRPr="008127F8">
        <w:rPr>
          <w:rFonts w:ascii="Times New Roman" w:hAnsi="Times New Roman"/>
          <w:color w:val="000000" w:themeColor="text1"/>
          <w:sz w:val="16"/>
          <w:szCs w:val="16"/>
        </w:rPr>
        <w:t xml:space="preserve"> В 1966 г. НИИ-20 преобразован в НИЭМИ МРП (и на 1970 г.). НПО «Антей» образовалось в 1983 г. в результате объединения НИЭМИ (головной) и НИИ «Стрела».</w:t>
      </w:r>
      <w:r w:rsidRPr="008127F8">
        <w:rPr>
          <w:rFonts w:ascii="Times New Roman" w:hAnsi="Times New Roman"/>
          <w:color w:val="000000" w:themeColor="text1"/>
          <w:sz w:val="16"/>
          <w:szCs w:val="16"/>
          <w:vertAlign w:val="superscript"/>
        </w:rPr>
        <w:t>58</w:t>
      </w:r>
      <w:r w:rsidRPr="008127F8">
        <w:rPr>
          <w:rFonts w:ascii="Times New Roman" w:hAnsi="Times New Roman"/>
          <w:color w:val="000000" w:themeColor="text1"/>
          <w:sz w:val="16"/>
          <w:szCs w:val="16"/>
        </w:rPr>
        <w:t xml:space="preserve"> В НПО вошел также Тульский завод «Арсенал».</w:t>
      </w:r>
    </w:p>
    <w:p w14:paraId="5AFFA3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разрабатывались радиоприборные комплексы (РПК) управления огнем зенитной артиллерии, приборы управления артиллерийским зенитным огнем (ПУАЗО), артиллерийские РЛС обнаружения минометов (АРСОМ).</w:t>
      </w:r>
    </w:p>
    <w:p w14:paraId="1C1DAB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конце 1940-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НИР «Топаз» по созданию систем радиоуправления МБР (Б.М. Коноплев).</w:t>
      </w:r>
      <w:r w:rsidRPr="008127F8">
        <w:rPr>
          <w:rFonts w:ascii="Times New Roman" w:hAnsi="Times New Roman"/>
          <w:color w:val="000000" w:themeColor="text1"/>
          <w:sz w:val="16"/>
          <w:szCs w:val="16"/>
          <w:vertAlign w:val="superscript"/>
        </w:rPr>
        <w:t>60</w:t>
      </w:r>
    </w:p>
    <w:p w14:paraId="39430F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787-341сс от 27.04.1954 г. РЛС «Гром-2» пнв. В соответствии с ПСМ № 2142-1012сс от 16.10.1954 г. пнв РЛС АРСОМ-2.</w:t>
      </w:r>
    </w:p>
    <w:p w14:paraId="5CA76B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институту выдано задание на разработку РЛС визирования противоракет (РСВПР) для системы ПРО «А», в 1959 г. она была создана. С 1957 г. начаты работы по созданию техники ПВО. 13.02.1958 г. вышло постановление СМ СССР № 188-88 о создании ЗРК «Круг». В НИИ для него создавалась станция наведения ракет 1С32. В соответствии с ПСМ № 966-377 от 26.11.1964 г. ЗРК пнв.</w:t>
      </w:r>
    </w:p>
    <w:p w14:paraId="1DC989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2452-1179сс от 17.12.1954 г. ПУАЗО-6 пнв.</w:t>
      </w:r>
    </w:p>
    <w:p w14:paraId="57BC4A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1956 г. начата разработка ЗРК войсковой ПВО. 27.10.1960 г. - постановление СМ СССР о создании ЗРК 9КЗЗ «Оса» (проектное название- «Эллипсоид»).</w:t>
      </w:r>
    </w:p>
    <w:p w14:paraId="6D7359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736-307 от 13.07.1960 г. ОПК-1 «Ваза» пнв.</w:t>
      </w:r>
    </w:p>
    <w:p w14:paraId="7D2F1B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груша специалистов по ПРО во главе с С.П. Рабиновичем переведена в СКБ-30.</w:t>
      </w:r>
    </w:p>
    <w:p w14:paraId="1347BF8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созданию дивизионного автономного самоходного ЗРК «Тор» (9К330) начались в соответствии с Пост. ЦК КПСС и СМ СССР от 4.02.1975 г.</w:t>
      </w:r>
    </w:p>
    <w:p w14:paraId="428C96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института действовало КБ (1960-е).</w:t>
      </w:r>
    </w:p>
    <w:p w14:paraId="267E7B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Выполнены НИР: «Тема-2, -3».</w:t>
      </w:r>
    </w:p>
    <w:p w14:paraId="5D5CEC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 г. образовано ОАО «Промышленная компания «Концерн «Антей». 2002 г. в Концерн «Антей» входили: Марийский машиностроительный завод, МЗИК, ИЭМЗ «Купол».</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По Указу Президента РФ № 1009 от 4.08.2004 г. ОАО НИЭМИ вошло в число стратегических оборонных предприятий.</w:t>
      </w:r>
    </w:p>
    <w:p w14:paraId="50F46B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И.О. директора (1942 г.)-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xml:space="preserve">. Слиозбер г. Директор (1942-45 г.)- А.А. Форштер, (1945-47 г.)-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Слиозберг, Н.Н. Чистяков, (1951-54 г.)- К.М. Герасимов, (1954-64 г.)- П.М. Чудаков, (1964-68 г.)- М.М. Косичкин, (1969-83 г.)- В.П. Ефремов, (1984-93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Сергеев, (1993-99 г.)- М.А. Горбачев. Гендиректор (1999-2004 г.)- В.А. Попов, (2005 г.)- А.А. Мурафетов, (2007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Сергеев.</w:t>
      </w:r>
    </w:p>
    <w:p w14:paraId="4BC18C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(2007 г.)- С.К. Раевский. Зам. директора, гендиректора: по госзаказу (2000-е)- В.А. Попов; (-1988 г.)- Ю.И. Бадалов, А.П. Белоусов.</w:t>
      </w:r>
    </w:p>
    <w:p w14:paraId="5B405F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(24.10.1945 г.-)- С.П. Рабинович, (1969-83 г.)- В.П. Ефремов («Тор»). Ген. конструктор (1984- 2005 г.)- академик (1992 г.) В.П. Ефремов {22.05.1926-16.09.2006}.</w:t>
      </w:r>
    </w:p>
    <w:p w14:paraId="4F8CAC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(2000-е)- Ю.Л. Усов. Зам. гл. конструктора (1970 г.)- И.М. Дризе.</w:t>
      </w:r>
    </w:p>
    <w:p w14:paraId="62C57E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(1968-69; 2005-06 г.)- В.П. Ефремов. Ответственный научно-технический руководитель (1992-95 г.)- В.П. Ефремов.</w:t>
      </w:r>
    </w:p>
    <w:p w14:paraId="4D960B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М.Л. Слиозберг, Ю.И. Бадалов, (2007 г.)- С.К. Раевский.</w:t>
      </w:r>
    </w:p>
    <w:p w14:paraId="104999E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(1954-66 г.)- В.П. Ефремов, (-1958 г.)- К.Н. Богданов, (-1979 г.)- Б.Н. Степанов, (-2000 г.)- В. А. Богданов.</w:t>
      </w:r>
    </w:p>
    <w:p w14:paraId="72A1E8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(-1983 г.)- К.А. Петров.</w:t>
      </w:r>
    </w:p>
    <w:p w14:paraId="484FBF8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технологического (2000-е)- И.И. Жуков; конструкторского (-2006 г.)- В.И. Матросов.</w:t>
      </w:r>
    </w:p>
    <w:p w14:paraId="36731C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отделения: (-2000 г.)- А.И. Извеков.</w:t>
      </w:r>
    </w:p>
    <w:p w14:paraId="792388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(1942-50 г.)- А.Я. Брейтбарт (СОН-2, «Плутон»), (1945-62 г.)- С.П. Рабинович (СОН-4, РСВПР), М.Л. Слиозберг («Шпага»), (-1958-75 г.-&gt; И.М. Дризе (1С32, 9А330), (1958-88 г.-)- В.П. Ефремов («Круг», «Оса», С-300В, «Тор», «Антей-2500»), (1960 г.)- М.М. Косичкин (АРСОМ, «Марс», «Ваза», «Байкал», «Оса»), В.Н. Епифанов, В.П. Нечаев, Б.Н. Степанов, А.Я. Фиошин, (2000-е)- В.П. Чувилин; направления- С.А. Барсукова.</w:t>
      </w:r>
    </w:p>
    <w:p w14:paraId="63268C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(1950-е)- В.И. Фролов (РСВПР), (1950-е-62 г.)- А.К. Нелопко (РСВПР), (1950-е)- В.Т. Киселев (РСВПР), В.И. Абрамов, Б.З. Белокринилкий, (-1996 г.)- В.А. Винокуров, В.А. Грачев, Ю.Я. Зотов, В. Г. Костиков, Ю.В. Леонов, В.И. Матросов, В.В. Осипов, Д.В. Петрушевский, Д.И. Прокофьев, А.М. Рожнов, Э.И. Соренков, Э.К. Спрингис, Б.Н. Степанов (СОН-4), М.А. Толкачев, Р.С. Толмачев, (2000-е)- С.И. Чибисов, (2000- е)- В.Н. Шебеко.</w:t>
      </w:r>
    </w:p>
    <w:p w14:paraId="58E02C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КБ (1960-66 г.)- А.В. Кривозубов.</w:t>
      </w:r>
    </w:p>
    <w:p w14:paraId="2B18FB6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С.А. Барсукова, (1945 г.-)- К.Н. Богданов, А.Я. Брейтбарт, (-1945 г.)- А.А. Гапеев, С.Б. Добровольский, И.М. Дризе, В.Н. Епифанов, (1959-68 г.)- В.П. Ефремов, А.Ю. Заславский, В.М. Константиновский (ЭВМ), (2000-е)- В. Г. Костиков, (-1997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Кротков («Дископ»), Н.Ф. Лавров, (2000-е)- В.А. Марков, (-1968 г.)- Л.П. Налетов, (-2004 г.)- В.П. Нечаев, (-1995 г.)- В.З. Пескин, (1983 г.)- К.А. Петров, Д.И. Прокофьев, (-1970 г.)- М.Л. Слиозберг, (-2002 г.)- Э.И. Соренков, (2000-е)- Ю.Л. Усов, А.Я. Фиошин, (-1997 г.)- В.Н. Фомин, (-2003 г.)- Р.А. Фомин, (2000-е)- В.Ф. Церцек.</w:t>
      </w:r>
    </w:p>
    <w:p w14:paraId="787084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К.Я. Гохштейн, М.Б. Дуэль, Н.А. Забелин.</w:t>
      </w:r>
    </w:p>
    <w:p w14:paraId="0FA6F1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секторов: (2000-е)- М.А. Безверхов, (1966-2005 г.)- А.К. Ботвинов, (-2003 г.)- И.Д. Волков, К.Я. Гохштейн, В.А. Грачев, М.Б. Дуэль, А.С. Захарченко, (-2004 г.)- А.С. Кирильцев, (2000-е)- В.И. Леонидов, (2000- е)- Ю.В. Леонов, Е.А. Немчинов, М.И. Николенко, (-1977 г.)- М.М. Новиков, (2000-е)- А.И. Парфенов, Д.В. Петрушевский, (-1986 г.)- А. Г. Подцветов, (-1985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Рожнов, А.И. Смаржевский, (-1998 г.)- В.М. Сыроквасовский, (2000-е)- В.А. Терлецкий, М.А. Толкачев, Р.С. Толмачев, С.И. Чибисов.</w:t>
      </w:r>
    </w:p>
    <w:p w14:paraId="129335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(1945-51 г.)- В.А. Афанасьев, (1942 г.-)- А.Я. Брейтбарт, А.А. Гапеев, И.М. Дризе, (1946 г.-)- Н.А. Забелин, Ю.Я. Зотов, (2000-е)- В.В. Осипов, (1951 г.-)- С.П. Рабинович, М.Л. Слиозберг, (2000-е)- Э.К. Спрингис, (2000-е)- И.А. Черепанов, В.П. Чувилин, В.Н. Шебеко.</w:t>
      </w:r>
    </w:p>
    <w:p w14:paraId="348A52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лаборатории: (1956 г.-)- М.А. Безверхов. Зам. начальника цеха (-1988 г.)- П.А. Солодовников.</w:t>
      </w:r>
    </w:p>
    <w:p w14:paraId="397A5F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(2007 г.)- А.А. Рогов.</w:t>
      </w:r>
    </w:p>
    <w:p w14:paraId="26BC82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Научные руководители НИР: (1950-е)- В.П. Ефремов («Тема-2, -3»).</w:t>
      </w:r>
    </w:p>
    <w:p w14:paraId="28E31F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w:t>
      </w:r>
      <w:r w:rsidRPr="008127F8">
        <w:rPr>
          <w:rFonts w:ascii="Times New Roman" w:hAnsi="Times New Roman"/>
          <w:color w:val="000000" w:themeColor="text1"/>
          <w:sz w:val="16"/>
          <w:szCs w:val="16"/>
          <w:lang w:val="en-US"/>
        </w:rPr>
        <w:t>PJJC</w:t>
      </w:r>
      <w:r w:rsidRPr="008127F8">
        <w:rPr>
          <w:rFonts w:ascii="Times New Roman" w:hAnsi="Times New Roman"/>
          <w:color w:val="000000" w:themeColor="text1"/>
          <w:sz w:val="16"/>
          <w:szCs w:val="16"/>
        </w:rPr>
        <w:t>: «Нептун», «Луч», СОН-4 «Зенит» (1940-е), «Конус», СОН-15 «Гром-12», подвижная орудийной наводки «Гром-2» (пнв 27.04.1954 г.), СОН-ЗО (1950-е), «Плутон» (1945-50), «Крона», «Просвет», «Просвет-К», «Восход», «Март», «Снайпер», «Визир», «Тантал», измерительная «Кама» (1950-е), РСВПР системы «А» (1959); «Комплекс-30», «Молния», «Буксир», 9С32; дальнего обнаружения «Шпага»; обнаружения позиций стреляющих минометов АРСОМ-1 (1950-е), АРСОМ-2 («Искра», пнв 16.10.1954 г.), АРСОМ-3; метеорологическая РМС-1 «Метеор» (1950-е); радиомаяк «Опал» (1945); телеметрическая система «Бразилионит» (копия немецкой системы «Мессина»); РЛ прибор управления ПУ ЗУР «Ворон» (1950-е), ПУАЗО «Алмаз», ПУАЗО-5, -6 (пнв 17.12.1954 г.), -30, -СК, МПУАЗО-СОЮЗ; радиоприборные комплексы (РПК): «Байкал» для ЗСУ-37-2 «Енисей», управления огнем войсковой зенитной артиллерии ОПК-1 «Ваза» (пнв 13.07.1960 г.); счетно- решающее устройство для ЗСУ «Тунгуска», КП 9С457 и РЛС программного обзора «Имбирь» 9С19М2 и спецЭВМ 9С483/М1, СЦВМ-3 для С-300В; противотанковый комплекс «Омар» (1950-е); РЖ «Зоопарк-1», радиопеленгационный метеорологический комплекс 1Б44 «Улыбка»; аппаратура топопривязки и орентирования для БРК «Бал-Э»; прибор слежения за полетом МБР ППН-1; диалоговая система отладки прикладного ПО «Дископ»; ЗРК: «Круг» (2К11, пнв 26.11.1964 г.), «Круг-А» (2К11А, пнв в 1967 г.), «Круг-М» (2К11М, пнв в 1971 г.), «Круг-М 1» (2К11М1, пнв в 1974 г.), «Оса» (9КЗЗ, пнв 4.10.1971 г., экспортный- «Ромб»), «Оса-М» (пнв в 1973 г.), «Оса-АК» (9КЗЗМ2, пнв в 1975 г.), «Оса-АКМ» (9ЮЗМЗ, пнв в 1980 г.), морской «Оса-МА» (пнв в 1980 г.), «Оса-МА2» (пнв в 1984 г.); С-300В (9К81, пнв в 1983 г.), С-300ВМ («Антей-2500») (1990-е), «Тор» (9К330, пнв 19.03.1986 г.), «Тор-М1» (9К331, пнв в 1991 г.);</w:t>
      </w:r>
      <w:r w:rsidRPr="008127F8">
        <w:rPr>
          <w:rFonts w:ascii="Times New Roman" w:hAnsi="Times New Roman"/>
          <w:color w:val="000000" w:themeColor="text1"/>
          <w:sz w:val="16"/>
          <w:szCs w:val="16"/>
          <w:vertAlign w:val="superscript"/>
        </w:rPr>
        <w:t>57</w:t>
      </w:r>
      <w:r w:rsidRPr="008127F8">
        <w:rPr>
          <w:rFonts w:ascii="Times New Roman" w:hAnsi="Times New Roman"/>
          <w:color w:val="000000" w:themeColor="text1"/>
          <w:sz w:val="16"/>
          <w:szCs w:val="16"/>
        </w:rPr>
        <w:t xml:space="preserve"> УР-ВС (опытный, 1960 г.); М-31 (опытный, 1961); физиотерапевтический аппарат «Инфита» (11982).</w:t>
      </w:r>
    </w:p>
    <w:p w14:paraId="2C45F86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706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по приказу НКЭП для производства РЛС СОН-2 по образцу английской РЛС образован Завод № 465 НКЭП, НКВ /г. Москва Ленинградский пр., 80; ул. Верейская, 41/. В составе завода - КБ и 12 лабораторий. В соответствии с пост. ГКО № 3686сс от 4.07.1943 г. завод передан в ведение созданного ГУ РЛ промышленности НКЭП. 7.11.1943 г. вышло постановление ГКО № 4524 о производстве на заводе станций орудийной наводки и установок наведения бомбардировочной авиации. 6.08.1944 г. вышло постановление ГКО № 6328 об обеспечении строительства завода. В 1945 г. КБ завода преобразовано в ЦКБ-20. В соответствии с пост. СНК от 29.09.1945 г. ЦКБ-20 переименовано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0CB04E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Затем на его месте образовано СБ-1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а завод вместе с НИИ-20 переведен в Кунцево.</w:t>
      </w:r>
    </w:p>
    <w:p w14:paraId="62C4CB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РЛС разработки НИИ-20.</w:t>
      </w:r>
      <w:r w:rsidRPr="008127F8">
        <w:rPr>
          <w:rFonts w:ascii="Times New Roman" w:hAnsi="Times New Roman"/>
          <w:color w:val="000000" w:themeColor="text1"/>
          <w:sz w:val="16"/>
          <w:szCs w:val="16"/>
          <w:vertAlign w:val="superscript"/>
        </w:rPr>
        <w:t>60</w:t>
      </w:r>
    </w:p>
    <w:p w14:paraId="32C1DD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М.Л. Слиозберг, (1942-45 г.)- А.А. Форштер.</w:t>
      </w:r>
    </w:p>
    <w:p w14:paraId="5255AC9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И.О. гл. инженера (1942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Кугушев.</w:t>
      </w:r>
    </w:p>
    <w:p w14:paraId="3BCA45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(-1945 г.)- С.П. Рабинович (СОН-2).</w:t>
      </w:r>
    </w:p>
    <w:p w14:paraId="59E9ED6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ОТК (-1945 г.)- В.В. Вюнш; (1942 г.-)- С.П. Рабинович.</w:t>
      </w:r>
    </w:p>
    <w:p w14:paraId="7E45E4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(1942-44 г.)- Е.Н. Майзельс, (1942 г.-)- С.П. Рабинович.</w:t>
      </w:r>
    </w:p>
    <w:p w14:paraId="5A5E0E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объекта- В.В. Вюнш.</w:t>
      </w:r>
    </w:p>
    <w:p w14:paraId="6568BC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РЛС: СОН-2, «Нептун», «Плутон», СОН-4, «Арсом-1», «Восход», «Март», «Снайпер», «Визир», «Тантал».</w:t>
      </w:r>
      <w:r w:rsidRPr="008127F8">
        <w:rPr>
          <w:rFonts w:ascii="Times New Roman" w:hAnsi="Times New Roman"/>
          <w:color w:val="000000" w:themeColor="text1"/>
          <w:sz w:val="16"/>
          <w:szCs w:val="16"/>
          <w:vertAlign w:val="superscript"/>
        </w:rPr>
        <w:t>101</w:t>
      </w:r>
    </w:p>
    <w:p w14:paraId="7E1967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465 НКЭП /г. Москва/</w:t>
      </w:r>
    </w:p>
    <w:p w14:paraId="2F9F7D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образовано одновременно с заводом для внедрения в производство РЛС СОН-2. Разместилось вначале в одной из комнат здания НКЭП, затем переведено в здание эвакуированного ФИАН. 10.06.1945 г. КБ завода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149132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А.Я. Брейтбарт (СОН-2).</w:t>
      </w:r>
    </w:p>
    <w:p w14:paraId="215244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(1942 г.-)- С.П. Рабинович (СОН-2) (11982).</w:t>
      </w:r>
    </w:p>
    <w:p w14:paraId="6C1BF0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552B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февраля 1942 г. приказом Наркомата электропромышленности СССР был создан Завод № 465 Госкомитета СМ СССР по оборонной технике г. Москва (1942-1958 </w:t>
      </w:r>
      <w:r w:rsidRPr="008127F8">
        <w:rPr>
          <w:rFonts w:ascii="Times New Roman" w:hAnsi="Times New Roman"/>
          <w:color w:val="000000" w:themeColor="text1"/>
          <w:sz w:val="16"/>
          <w:szCs w:val="16"/>
        </w:rPr>
        <w:lastRenderedPageBreak/>
        <w:t>гг.). Приказом Госкомитета Совета Министров СССР по оборонной технике от 23 января 1958 г. присоединен к Научно-исследовательскому институту № 20 (НИИ-20) (12101).</w:t>
      </w:r>
    </w:p>
    <w:p w14:paraId="0C7301F0" w14:textId="77777777" w:rsidR="00ED7D77" w:rsidRPr="008127F8" w:rsidRDefault="00ED7D7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E04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пр. 158 был утвержден наркомом ВМФ, но дальнейшие работы по нему были прекращены, поскольку к этому времени филиал ЦКБ-32 при заводе 640 в Со</w:t>
      </w:r>
      <w:r w:rsidRPr="008127F8">
        <w:rPr>
          <w:rFonts w:ascii="Times New Roman" w:hAnsi="Times New Roman"/>
          <w:color w:val="000000" w:themeColor="text1"/>
          <w:sz w:val="16"/>
          <w:szCs w:val="16"/>
        </w:rPr>
        <w:softHyphen/>
        <w:t>сновке (куда вошли и специалисты КБ завода 5) предложили очень привлекательный, особенно для условий военного времени, проект торпедного катера и малого охотника за подводными лодками в од</w:t>
      </w:r>
      <w:r w:rsidRPr="008127F8">
        <w:rPr>
          <w:rFonts w:ascii="Times New Roman" w:hAnsi="Times New Roman"/>
          <w:color w:val="000000" w:themeColor="text1"/>
          <w:sz w:val="16"/>
          <w:szCs w:val="16"/>
        </w:rPr>
        <w:softHyphen/>
        <w:t>ном унифицированном корпусе (пр. П-26 по нумерации КБ за</w:t>
      </w:r>
      <w:r w:rsidRPr="008127F8">
        <w:rPr>
          <w:rFonts w:ascii="Times New Roman" w:hAnsi="Times New Roman"/>
          <w:color w:val="000000" w:themeColor="text1"/>
          <w:sz w:val="16"/>
          <w:szCs w:val="16"/>
        </w:rPr>
        <w:softHyphen/>
        <w:t>вода 5) (3898).</w:t>
      </w:r>
    </w:p>
    <w:p w14:paraId="21977C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67645"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Постановление ГКО № 1286 О строительстве железнодорожных линий Свияжск-Ульяновск и Саратов-Сталинград. (7022, 59-67,68-86).</w:t>
      </w:r>
    </w:p>
    <w:p w14:paraId="007418C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E81AE3"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w:t>
      </w:r>
    </w:p>
    <w:p w14:paraId="635C2299"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ВОПРОСЫ, РЕШЕННЫЕ ОПРОСОМ ЧЛЕНОВ БЮРО ГК ВКП(б)</w:t>
      </w:r>
    </w:p>
    <w:p w14:paraId="60A82C65"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15 февраля 1942 г.</w:t>
      </w:r>
    </w:p>
    <w:p w14:paraId="2EBC03FF"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 О производстве артиллерийских снарядов и мин (особая папка).</w:t>
      </w:r>
    </w:p>
    <w:p w14:paraId="7DF2174A"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бюро Ленинградского горкома ВКП(б).</w:t>
      </w:r>
    </w:p>
    <w:p w14:paraId="4B7460ED"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т. Басов, Фофанов, (Кузнецов)1.</w:t>
      </w:r>
    </w:p>
    <w:p w14:paraId="4AB7456E"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Ленинградский горком ВКП(б) постановляет:</w:t>
      </w:r>
    </w:p>
    <w:p w14:paraId="73EF64ED"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Восстановить с 10/III–с. г. производство 76 мм осколочно-фугасных снарядов и артиллерийских мин 82 мм и 50 мм в первую очередь на заводах № 77, им. Карла Маркса, им.Лепсе, «Красная Вагранка», им. Егорова, «Вперед», «Вулкан», «Электроаппарат» и заводе револьверных станков и автоматов.</w:t>
      </w:r>
    </w:p>
    <w:p w14:paraId="41FFBB61"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директоров заводов:</w:t>
      </w:r>
    </w:p>
    <w:p w14:paraId="0AC445A5"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 Киселева — завод № 77 — изготовить в марте месяце 10 122 тыс. 76 мм осколочно-фугасных снарядов из заготовки, поставляемой заводом им. Лепсе;</w:t>
      </w:r>
    </w:p>
    <w:p w14:paraId="26B07068"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 Доброславского — завод им. Карла Маркса — отлить и изготовить в марте месяце 10 тыс. шт. 76 мм осколочно-фугасных снарядов;</w:t>
      </w:r>
    </w:p>
    <w:p w14:paraId="59D518BA"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 Ительсон — завод револьверных станков и автоматов — изготовить в марте месяце 5 тыс. шт. 76 мм осколочно-фугасных снарядов из заготовки, доставляемой заводом «Вулкан»;</w:t>
      </w:r>
    </w:p>
    <w:p w14:paraId="5F227454"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 Муромцева — завод им. Егорова — отлить и изготовить в марте месяце 10 тыс. шт. 82 мм мин;</w:t>
      </w:r>
    </w:p>
    <w:p w14:paraId="47D5B5C6"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т. Костина — завод «Красная Вагранка» — отлить и изготовить в марте месяце 8 тыс. шт. 82 мм мин;</w:t>
      </w:r>
    </w:p>
    <w:p w14:paraId="6CAB3F0C"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т. Майовера — завод «Вперед» — отлить и изготовить в марте месяце 20 тыс. шт3. 50 мм мин;</w:t>
      </w:r>
    </w:p>
    <w:p w14:paraId="009EB290"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т. Пригарина — завод «Электроаппарат» изготовить в марте месяце 7 тыс. шт. 50 мм</w:t>
      </w:r>
    </w:p>
    <w:p w14:paraId="6334F3E2"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 из оставшихся заготовок на Кировском заводе;</w:t>
      </w:r>
    </w:p>
    <w:p w14:paraId="017D2070"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т. Киселева — завод им. Лепсе — отлить в марте месяце 15 тыс. шт. заготовок 76 мм сна-</w:t>
      </w:r>
    </w:p>
    <w:p w14:paraId="385226E1"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рядов для заводов № 77 и «Красная Бавария»;</w:t>
      </w:r>
    </w:p>
    <w:p w14:paraId="42AA5670"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 т. Красовицкого — завод «Вулкан» — отлить в марте месяце 10 тыс. шт. заготовок 76 мм снарядов для заводов револьверных станков и </w:t>
      </w:r>
      <w:proofErr w:type="gramStart"/>
      <w:r w:rsidRPr="008127F8">
        <w:rPr>
          <w:rFonts w:ascii="Times New Roman" w:hAnsi="Times New Roman"/>
          <w:color w:val="000000" w:themeColor="text1"/>
          <w:sz w:val="16"/>
          <w:szCs w:val="16"/>
        </w:rPr>
        <w:t>автоматов</w:t>
      </w:r>
      <w:proofErr w:type="gramEnd"/>
      <w:r w:rsidRPr="008127F8">
        <w:rPr>
          <w:rFonts w:ascii="Times New Roman" w:hAnsi="Times New Roman"/>
          <w:color w:val="000000" w:themeColor="text1"/>
          <w:sz w:val="16"/>
          <w:szCs w:val="16"/>
        </w:rPr>
        <w:t xml:space="preserve"> и машиностроительного завода Молококомбината и 5 тыс. шт. 82 мм мин для механического завода Главхлеба.</w:t>
      </w:r>
    </w:p>
    <w:p w14:paraId="1BC2DDAF"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директоров заводов т. Власова (завод «Красная Бавария»), т. Аврутина (машиностроительный завод Молококомбината) и т. Терентьева (механический завод Главхлеба) увеличить выпуск боеприпасов, изготовив в марте месяце на заводе «Красная Бавария»</w:t>
      </w:r>
    </w:p>
    <w:p w14:paraId="1DBF31A2"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 шт. 76 мм снарядов, на машиностроительном заводе Молококомбината — 3.000 шт. 76 мм снарядов, на механическом заводе Главхлеба — 3.500 шт. 82 мм мин.</w:t>
      </w:r>
    </w:p>
    <w:p w14:paraId="4ADFCA06"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директора завода № 522 т. Николаева снарядить в марте месяце дополнительно к установленному заданию 76 мм снарядов — 30 тыс. шт., 82 мм мин — 20 тыс. шт. и 50 мм мин — 20 тыс. штук.</w:t>
      </w:r>
    </w:p>
    <w:p w14:paraId="06562E89"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управляющего Ленэнерго т. Карась обеспечить электроэнергией нижеуказанные заводы, начиная с 11 марта с. г. в следующем количестве:</w:t>
      </w:r>
    </w:p>
    <w:p w14:paraId="3343F5E4"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 77 5.000 квт/час в сутки</w:t>
      </w:r>
    </w:p>
    <w:p w14:paraId="513D078A"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завод им. Лепсе 4.500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2D571F90"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завод им. Егорова 4.000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02629668"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завод им. Карла Маркса 3.000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1B30C503"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завод «Вперед» 2.500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3902C488"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завод «Вулкан» 1.000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3A3A67FA"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Завод «Красная Вагранка» 1.000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6DB3C21A"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Завод револьверных станков и автоматов 500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w:t>
      </w:r>
    </w:p>
    <w:p w14:paraId="242A48F2"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уполномоченного Госплана по г. Ленинграду т. Володарского и начальника Управления госматериальных резервов т. Горчакова выделить на март месяц для заводов, изготовляющих корпуса снарядов и мин, 600 тонн каменного угля, в том числе антрацита 250 тонн и мазута 15 тонн.</w:t>
      </w:r>
    </w:p>
    <w:p w14:paraId="053D3C2B"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Просить Военный Совет фронта выделить на март месяц для заводов, изготовляющих корпуса снарядов и мин, 6 тонн бензина.</w:t>
      </w:r>
    </w:p>
    <w:p w14:paraId="1939DF57"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Заместителю председателя исполкома Ленгорсовета т. Решкину выделить 15 автомашин из числа требующих ремонта и передать заводам, производящим боеприпасы.</w:t>
      </w:r>
    </w:p>
    <w:p w14:paraId="5C39DC67"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начальника Октябрьской железной дороги т. Саламбекова обеспечить перевозку боеприпасов с заводов на снаряжение и в военные склады в течение суток со дня поступления заявок на вагоны.</w:t>
      </w:r>
    </w:p>
    <w:p w14:paraId="32C9466B"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Обязать секретарей райкомов ВКП(б) т. т. Турко, Бадаева, Кедрова, Харитонова, Григорьева, Кассирова1 и Шишмарева оказать помощь заводам в восстановлении производства снарядов и мин и в укомплектовании заводов рабочей силой.</w:t>
      </w:r>
    </w:p>
    <w:p w14:paraId="6E9F3908"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Горком ВКП(б) требует от секретарей РК ВКП(б), директоров и секретарей парторганизаций предприятий немедленно приступить к восстановлению производства боеприпасов и вооружения на предприятиях, используя местную инициативу в обеспечении работы предприятий электроэнергией и топливом. Отчет о проделанной работе РК ВКП(б)2 представить к 20 марта с. г.</w:t>
      </w:r>
    </w:p>
    <w:p w14:paraId="6D5BD0A7"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ЦГАИПД СПб. Ф. 25. Оп. 2а. Д. 195. Л. 6–8. Оригинал, машинопись (19720).</w:t>
      </w:r>
    </w:p>
    <w:p w14:paraId="76609478" w14:textId="77777777" w:rsidR="00D723C0" w:rsidRPr="008127F8" w:rsidRDefault="00D723C0" w:rsidP="001E0A84">
      <w:pPr>
        <w:autoSpaceDE w:val="0"/>
        <w:autoSpaceDN w:val="0"/>
        <w:adjustRightInd w:val="0"/>
        <w:spacing w:after="0" w:line="240" w:lineRule="auto"/>
        <w:jc w:val="both"/>
        <w:rPr>
          <w:rFonts w:ascii="Times New Roman" w:hAnsi="Times New Roman"/>
          <w:color w:val="000000" w:themeColor="text1"/>
          <w:sz w:val="16"/>
          <w:szCs w:val="16"/>
        </w:rPr>
      </w:pPr>
    </w:p>
    <w:p w14:paraId="722CBE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 Комсомольске –на-Амуре выдал первую плавку завод «Амурсталь» (11437).</w:t>
      </w:r>
    </w:p>
    <w:p w14:paraId="39A448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AA94D"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2BDE1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909A0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3B731960"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15 февраля происходили наступательные бои наших войск против немецко-фашистских войск.</w:t>
      </w:r>
    </w:p>
    <w:p w14:paraId="49A14F5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Парсегова, разгромив в ночном бою укреплённый узел сопротивления противника, захватила 17 противотанковых орудий с боеприпасами, 50 лошадей и другие трофеи. Противник потерял убитыми 350 солдат и офицеров.</w:t>
      </w:r>
    </w:p>
    <w:p w14:paraId="4C6CAF4A"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боевых операций наших частей, действующих на отдельных участках Ленинградского фронта, за последние два дня уничтожено 2 вражеских танка, 88 орудий, 17 пулемётов, миномётная батарея и захвачено 27 пулемётов, 26 автоматов и радиостанция. Противник потерял убитыми 1.800 солдат и офицеров. Взяты пленные.</w:t>
      </w:r>
    </w:p>
    <w:p w14:paraId="008D940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Зиновьева (Юго-Западный фронт) выбила немцев из 3 населённых пунктов. В бою уничтожено до 700 немецких солдат и офицеров. На другом участке фронта бойцы части, где командиром тов. Поляков, отразив контратаки противника, захватили 3 противотанковых орудия, 10 миномётов, 26 пулемётов, 13 автоматов, 50 винтовок и 20.000 патронов.</w:t>
      </w:r>
    </w:p>
    <w:p w14:paraId="5275C5A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Отважные разведчики сержант Агапитов и красноармеец Бердников, продвигаясь в тылу врага, заметили немецкую штабную автомашину. Советские разведчики уничтожили гранатами двух штабных офицеров и шофёра и захватили ценные документы.</w:t>
      </w:r>
    </w:p>
    <w:p w14:paraId="0B2DBA4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1 роты 1 полка дивизии СС «Мёртвая голова» Альберт Шниткер рассказал: «Наша дивизия понесла очень большие потери. Русская артиллерия стреляет исключительно метко. Было много случаев прямого попадания снарядов в блиндажи и ходы сообщения. В частях расшаталась дисциплина. Солдаты часто вступают в пререкания с офицерами. Резко увеличилось количество дисциплинарных взысканий. Но это не помогает. Часовые уходят с постов в блиндажи и ложатся спать. Они говорят: «Пусть приходят русские и забирают нас в плен». Недавно военно-полевой суд приговорил к смертной казни 5 солдат за неисполнение приказа».</w:t>
      </w:r>
    </w:p>
    <w:p w14:paraId="7450ADE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поле боя найден дневник немецкого солдата, фамилию которого установить не удалось. Приводим несколько выписок из дневника:</w:t>
      </w:r>
    </w:p>
    <w:p w14:paraId="562B7A6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«Среда. В 11 часов вечера опять тревога. Русские наступают. Выходим на высоту. Здесь находится капитан 156 пехотного полка. Он, повидимому, сошёл с ума. Одному командиру отделения было приказано перевязать раневого. Вмешался капитан. Он начал истерически кричать «Вы не хотите идти вперёд», набросился с пистолетом на этого командира отделения и 4 раза выстрелил в него. Затем капитан застрелил ещё 2 солдат.</w:t>
      </w:r>
    </w:p>
    <w:p w14:paraId="5D03064C"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Пятница. Сегодня прибыло сообщение, что сгорело 3 вагона с почтой. Это для нас тяжёлый удар.</w:t>
      </w:r>
    </w:p>
    <w:p w14:paraId="581585BF"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Понедельник. Поступил приказ отступить. Но это легче сказать, чем исполнить, потому что русские подавили наши пулемёты и обстреливали нас так, что земля дрожала. Я так бежал, как никогда ещё в жизни не бегал...».</w:t>
      </w:r>
    </w:p>
    <w:p w14:paraId="4CB8DF0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освобождённой от немцев деревни Юрьево, Ленинградской области, составили акт о зверствах гитлеровских мерзавцев. Немцы отняли у крестьян весь скот, птицу, хлеб, овощи и личные вещи. Палачи издевались над колхозниками, устраивали публичные порки женщин и стариков. Отступая из деревни, бандиты сожгли 27 домов, принадлежавших колхозникам, и все общественные постройки: столовую, пекарню, родильный дом, амбары.» (15041).</w:t>
      </w:r>
    </w:p>
    <w:p w14:paraId="6B5200CA"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43F52404"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2E73972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февраля наши войска продолжали вести наступательные бои. Противник вводил в бой резервы. На ряде участков фронта немецко-фашистские войска переходили в контратаки, которые были отбиты с большими для немцев потерями.</w:t>
      </w:r>
    </w:p>
    <w:p w14:paraId="237B7E8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февраля сбито в воздушных боях 7 немецких самолётов. Наши потери — 5 самолётов.</w:t>
      </w:r>
    </w:p>
    <w:p w14:paraId="53B0D695"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февраля под Москвой сбито 3 немецких самолёта.</w:t>
      </w:r>
    </w:p>
    <w:p w14:paraId="4224E30D"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февраля частями нашей авиации уничтожено и повреждено 125 автомашин с войсками и грузами, 3 штабных автобуса, около 60 повозок с боеприпасами, 11 орудий, взорван склад с боеприпасами, разбито 20 железнодорожных вагонов, рассеяно и частью уничтожено три батальона пехоты противника.</w:t>
      </w:r>
    </w:p>
    <w:p w14:paraId="1C274A28"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истекшие две недели с 1 по 14 февраля немецкая авиация потеряла 269 самолётов. Из них в воздушных боях сбито 137 самолётов, зенитным огнём — 34, на аэродромах противника уничтожено 98 самолётов. Наши потери за этот же период — 83 самолёта.</w:t>
      </w:r>
    </w:p>
    <w:p w14:paraId="2A54B19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дни упорных боёв с противником часть, которой командует тов. Наумов (Западный фронт), захватила 6 немецких орудий, 75 пулемётов, 28 автоматов, 22 мотоцикла, 122 винтовки, 513.500 винтовочных патронов, две радиостанции и много других трофеев.</w:t>
      </w:r>
    </w:p>
    <w:p w14:paraId="0E2E4F51"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гвардейской части, действующей на одном из участков Западного фронта, смелой атакой выбили немцев из села К., превращённого противником в опорный пункт сильно укреплённого района. Немцы потеряли в этом бою убитыми 270 солдат и офицеров и отступили, оставив самолёт, 212 винтовок, 5 пулеметов, 31 павозку, большое количество снарядов, мин и патронов.</w:t>
      </w:r>
    </w:p>
    <w:p w14:paraId="21A59F42"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Поздняка (Калининский фронт) внезапно атаковала крупный лыжный отряд противника. В результате ожесточённого сражения немцы потеряли убитыми 200 солдат и офицеров. Нами захвачено 100 подвод с боеприпасами, обмундированием, медикаментами и 33 пленных. В этот же день бойцы разгромили колонну немцев, направлявшуюся к пункту Д. На поле боя осталось 200 вражеских трупов.</w:t>
      </w:r>
    </w:p>
    <w:p w14:paraId="69DB6FBB"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лейтенант тов. Русеновский вместе с четырьмя бойцами захватил в плен 22 немецких солдата.</w:t>
      </w:r>
    </w:p>
    <w:p w14:paraId="225A411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Захваченный в плен на Южном фронте командир первого батальона 85 пехотного полка 1 румынской Дивизии майор Бонкеш Марку рассказал: «В последних боях румынские войска понесли огромные потери. </w:t>
      </w:r>
      <w:proofErr w:type="gramStart"/>
      <w:r w:rsidRPr="008127F8">
        <w:rPr>
          <w:rFonts w:ascii="Times New Roman" w:hAnsi="Times New Roman"/>
          <w:color w:val="000000" w:themeColor="text1"/>
          <w:sz w:val="16"/>
          <w:szCs w:val="16"/>
        </w:rPr>
        <w:t xml:space="preserve">По всеобщему мнению </w:t>
      </w:r>
      <w:proofErr w:type="gramEnd"/>
      <w:r w:rsidRPr="008127F8">
        <w:rPr>
          <w:rFonts w:ascii="Times New Roman" w:hAnsi="Times New Roman"/>
          <w:color w:val="000000" w:themeColor="text1"/>
          <w:sz w:val="16"/>
          <w:szCs w:val="16"/>
        </w:rPr>
        <w:t>офицеров, многие части совершенно небоеспособны. Во всей первой дивизии есть только один человек, заинтересованный в войне. Это — генерал дивизии Бурзотеску, мечтающий о «Железном кресте». Румынские солдаты воевать не хотят. Они мечтают о возвращении домой. Из моего батальона дезертировало 75 солдат. Партизаны непрерывно наносят нам меткие и чувствительные удары. В Одессе партизаны взорвали здание, в котором происходило собрание немецких и румынских офицеров. Под развалинами дома погибло свыше 100 офицеров, в том числе командир 10 румынской пехотной дивизии и офицер генерального штаба».</w:t>
      </w:r>
    </w:p>
    <w:p w14:paraId="7B7FAEE6"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наших частей из села Побуж, Козельского района, Смоленской области, гитлеровцы согнали на окраину села 120 стариков, женщин и детей и расстреляли их из пулемётов. Раненых перекололи штыками. Среди зверски убитых советских граждан много детей: Обуховы—Ваня 7 лет, Маня 10 лет, Таня 1 года, Ковычкин Ваня 3 лет, Суховы—Александр 13 лет, Павел 16 лет, Иван 9 лет и многие другие. Гитлеровские бандиты сожгли всё село. Из 170 домов уцелело только 5 домов.</w:t>
      </w:r>
    </w:p>
    <w:p w14:paraId="6C659973"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дни Отечественной войны взамен мужчин, ушедших на фронт, на шахту имени Сталина в Ткварчели (Грузия) пришло более двухсот женщин. Шахтёрки т.т. Е.Меладзе, Е.Грин, К.Чайкова, Н.Баранова и Войтова выполняют по две нормы за смену.» (15041).</w:t>
      </w:r>
    </w:p>
    <w:p w14:paraId="10BCC033"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4261BE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«в целях высвобождения подготовленных контингентов для укомплектования вновь формируемых танковых частей» танковые бригады переводились на штаты № 010/345-010/352. При этом сокращалось количество людей, а число танков оставалось прежним - 46. Правда, ударная танковая сила увеличивалась за счет тридцатьчетверок, которых стало 20, а число легких танков уменьшалось. В составе бригады имелось два танковых батальона штата № 010/346, каждый их которых имел 23 танка - 5 КВ-1. 10 Т-34 и 8 Т-60. Постепенно на такую организацию переводились бригады штата № 010/303 (12217).</w:t>
      </w:r>
    </w:p>
    <w:p w14:paraId="35092950"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3B82A4F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вышло Постановление ГКО № 1288 [О призыве в КА военнообязанных из местных команд МПВО.] (7022, 93).</w:t>
      </w:r>
    </w:p>
    <w:p w14:paraId="1DFFC62A"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20DB3" w14:textId="77777777" w:rsidR="00B2675F" w:rsidRPr="008127F8" w:rsidRDefault="00B2675F" w:rsidP="001E0A84">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4B48110" w14:textId="77777777" w:rsidR="00B2675F" w:rsidRPr="008127F8" w:rsidRDefault="00B2675F" w:rsidP="001E0A84">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BC83886" w14:textId="77777777" w:rsidR="00B2675F" w:rsidRPr="008127F8" w:rsidRDefault="00B267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Из дневника врача "Скорой помощи" А. Г. Дрейцера: "Очереди за пивом. Стоят взрослые люди по 3-4 часа зимой, чтобы выпить кружку пива. Цены на продукты растут</w:t>
      </w:r>
      <w:proofErr w:type="gramStart"/>
      <w:r w:rsidRPr="008127F8">
        <w:rPr>
          <w:rFonts w:ascii="Times New Roman" w:hAnsi="Times New Roman"/>
          <w:color w:val="000000" w:themeColor="text1"/>
          <w:sz w:val="16"/>
          <w:szCs w:val="16"/>
        </w:rPr>
        <w:t>; На</w:t>
      </w:r>
      <w:proofErr w:type="gramEnd"/>
      <w:r w:rsidRPr="008127F8">
        <w:rPr>
          <w:rFonts w:ascii="Times New Roman" w:hAnsi="Times New Roman"/>
          <w:color w:val="000000" w:themeColor="text1"/>
          <w:sz w:val="16"/>
          <w:szCs w:val="16"/>
        </w:rPr>
        <w:t xml:space="preserve"> базарах кружка молока стоит уже 20 руб. а картофель - 35" (18696).</w:t>
      </w:r>
    </w:p>
    <w:p w14:paraId="4B2D543B" w14:textId="77777777" w:rsidR="00B2675F" w:rsidRPr="008127F8" w:rsidRDefault="00B2675F" w:rsidP="001E0A84">
      <w:pPr>
        <w:spacing w:after="0" w:line="240" w:lineRule="auto"/>
        <w:jc w:val="both"/>
        <w:rPr>
          <w:rFonts w:ascii="Times New Roman" w:hAnsi="Times New Roman"/>
          <w:color w:val="000000" w:themeColor="text1"/>
          <w:sz w:val="16"/>
          <w:szCs w:val="16"/>
        </w:rPr>
      </w:pPr>
    </w:p>
    <w:p w14:paraId="25053679" w14:textId="77777777" w:rsidR="00D91C13" w:rsidRPr="008127F8" w:rsidRDefault="00A72CAA" w:rsidP="001E0A84">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4078E08"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0E0AD16"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 вышло РЕШЕНИЕ ГАБТУ КА В НКВТ СССР ПО ВОПРОСУ ПОСТАВКИ АНГЛИЙСКОГО ТАНКА ТИПА «ЧЕРЧИЛЬ» В СССР</w:t>
      </w:r>
    </w:p>
    <w:p w14:paraId="065CF93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Главное автобронетанковое управление Красной Армии, рассмотрев краткую характеристику английского танка типа «Черчилль», не возражает против поставки их в СССР.</w:t>
      </w:r>
    </w:p>
    <w:p w14:paraId="37D16CC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же мнение мною было высказано при личной беседе заместителю Председателя Совета народных комиссаров Союза ССР т. Молотову.</w:t>
      </w:r>
    </w:p>
    <w:p w14:paraId="7845DD4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2B481E8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647. Л. 23. Копия (11211).</w:t>
      </w:r>
    </w:p>
    <w:p w14:paraId="08C8F4F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B921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9D0195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6976D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Розенблюм издал закон о "новом порядке землепользования" - общинные хозяйства под руководством немцев и круговая порука (512,225).</w:t>
      </w:r>
    </w:p>
    <w:p w14:paraId="2C0144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D95EE" w14:textId="77777777" w:rsidR="00ED7D77" w:rsidRPr="008127F8" w:rsidRDefault="00ED7D77"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bCs/>
          <w:color w:val="000000" w:themeColor="text1"/>
          <w:sz w:val="16"/>
          <w:szCs w:val="16"/>
        </w:rPr>
        <w:t>15 февраля</w:t>
      </w:r>
      <w:r w:rsidRPr="008127F8">
        <w:rPr>
          <w:rFonts w:ascii="Times New Roman" w:hAnsi="Times New Roman"/>
          <w:color w:val="000000" w:themeColor="text1"/>
          <w:sz w:val="16"/>
          <w:szCs w:val="16"/>
        </w:rPr>
        <w:t xml:space="preserve"> в 1942 году вступил в действие Аграрный закон, согласно которому вся земля в оккупированных районах СССР объявлялась собственностью Германии</w:t>
      </w:r>
      <w:r w:rsidRPr="008127F8">
        <w:rPr>
          <w:rFonts w:ascii="Times New Roman" w:hAnsi="Times New Roman"/>
          <w:color w:val="000000" w:themeColor="text1"/>
          <w:sz w:val="16"/>
          <w:szCs w:val="16"/>
          <w:lang w:val="en-US"/>
        </w:rPr>
        <w:t xml:space="preserve"> (15041).</w:t>
      </w:r>
    </w:p>
    <w:p w14:paraId="4F2DABE5" w14:textId="77777777" w:rsidR="00ED7D77" w:rsidRPr="008127F8" w:rsidRDefault="00ED7D77" w:rsidP="001E0A84">
      <w:pPr>
        <w:spacing w:after="0" w:line="240" w:lineRule="auto"/>
        <w:jc w:val="both"/>
        <w:rPr>
          <w:rFonts w:ascii="Times New Roman" w:hAnsi="Times New Roman"/>
          <w:color w:val="000000" w:themeColor="text1"/>
          <w:sz w:val="16"/>
          <w:szCs w:val="16"/>
          <w:lang w:val="en-US"/>
        </w:rPr>
      </w:pPr>
    </w:p>
    <w:p w14:paraId="262841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15 1942 British Lieutenant General Sir Arthur Percival surrenders Singapore and its 130,000 soldiers to Japanese General Tomoyuki Yamashita, only to learn that Yamashita had less than 60,000 troops, was critically low on supplies and artillery ammunition. General Yamashita earns the name "Tiger of Malaya." (1769).</w:t>
      </w:r>
    </w:p>
    <w:p w14:paraId="715C95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E82F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15 </w:t>
      </w:r>
      <w:r w:rsidRPr="008127F8">
        <w:rPr>
          <w:rFonts w:ascii="Times New Roman" w:hAnsi="Times New Roman"/>
          <w:color w:val="000000" w:themeColor="text1"/>
          <w:sz w:val="16"/>
          <w:szCs w:val="16"/>
        </w:rPr>
        <w:t>февраля</w:t>
      </w:r>
      <w:r w:rsidRPr="008127F8">
        <w:rPr>
          <w:rFonts w:ascii="Times New Roman" w:hAnsi="Times New Roman"/>
          <w:color w:val="000000" w:themeColor="text1"/>
          <w:sz w:val="16"/>
          <w:szCs w:val="16"/>
          <w:lang w:val="en-US"/>
        </w:rPr>
        <w:t xml:space="preserve"> 1942 </w:t>
      </w:r>
      <w:r w:rsidRPr="008127F8">
        <w:rPr>
          <w:rFonts w:ascii="Times New Roman" w:hAnsi="Times New Roman"/>
          <w:color w:val="000000" w:themeColor="text1"/>
          <w:sz w:val="16"/>
          <w:szCs w:val="16"/>
        </w:rPr>
        <w:t>английскийг</w:t>
      </w:r>
      <w:r w:rsidRPr="008127F8">
        <w:rPr>
          <w:rFonts w:ascii="Times New Roman" w:hAnsi="Times New Roman"/>
          <w:color w:val="000000" w:themeColor="text1"/>
          <w:sz w:val="16"/>
          <w:szCs w:val="16"/>
          <w:lang w:val="en-US"/>
        </w:rPr>
        <w:t xml:space="preserve"> Arthur Percival </w:t>
      </w:r>
      <w:r w:rsidRPr="008127F8">
        <w:rPr>
          <w:rFonts w:ascii="Times New Roman" w:hAnsi="Times New Roman"/>
          <w:color w:val="000000" w:themeColor="text1"/>
          <w:sz w:val="16"/>
          <w:szCs w:val="16"/>
        </w:rPr>
        <w:t>сдалсявпленсо</w:t>
      </w:r>
      <w:r w:rsidRPr="008127F8">
        <w:rPr>
          <w:rFonts w:ascii="Times New Roman" w:hAnsi="Times New Roman"/>
          <w:color w:val="000000" w:themeColor="text1"/>
          <w:sz w:val="16"/>
          <w:szCs w:val="16"/>
          <w:lang w:val="en-US"/>
        </w:rPr>
        <w:t xml:space="preserve"> 130 </w:t>
      </w:r>
      <w:r w:rsidRPr="008127F8">
        <w:rPr>
          <w:rFonts w:ascii="Times New Roman" w:hAnsi="Times New Roman"/>
          <w:color w:val="000000" w:themeColor="text1"/>
          <w:sz w:val="16"/>
          <w:szCs w:val="16"/>
        </w:rPr>
        <w:t>тыс</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солдатяпонскимвойскамчисленностью</w:t>
      </w:r>
      <w:r w:rsidRPr="008127F8">
        <w:rPr>
          <w:rFonts w:ascii="Times New Roman" w:hAnsi="Times New Roman"/>
          <w:color w:val="000000" w:themeColor="text1"/>
          <w:sz w:val="16"/>
          <w:szCs w:val="16"/>
          <w:lang w:val="en-US"/>
        </w:rPr>
        <w:t xml:space="preserve">60 </w:t>
      </w:r>
      <w:r w:rsidRPr="008127F8">
        <w:rPr>
          <w:rFonts w:ascii="Times New Roman" w:hAnsi="Times New Roman"/>
          <w:color w:val="000000" w:themeColor="text1"/>
          <w:sz w:val="16"/>
          <w:szCs w:val="16"/>
        </w:rPr>
        <w:t>тыс</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чел</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(1769). По другим данным в плен сдалось 70 тыс. (2245,2) в Сингапуре (3186).</w:t>
      </w:r>
    </w:p>
    <w:p w14:paraId="7184460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F890E" w14:textId="77777777" w:rsidR="00ED7D77" w:rsidRPr="008127F8" w:rsidRDefault="00ED7D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февраля</w:t>
      </w:r>
      <w:r w:rsidRPr="008127F8">
        <w:rPr>
          <w:rFonts w:ascii="Times New Roman" w:hAnsi="Times New Roman"/>
          <w:color w:val="000000" w:themeColor="text1"/>
          <w:sz w:val="16"/>
          <w:szCs w:val="16"/>
        </w:rPr>
        <w:t xml:space="preserve"> в 1942 году командующий гарнизоном Сингапура, британский генерал Артур Персивал подписал акт о капитуляции. Около 62 000 солдат союзников сдались в плен японцам (15041).</w:t>
      </w:r>
    </w:p>
    <w:p w14:paraId="09B9CA83" w14:textId="77777777" w:rsidR="00ED7D77" w:rsidRPr="008127F8" w:rsidRDefault="00ED7D77" w:rsidP="001E0A84">
      <w:pPr>
        <w:spacing w:after="0" w:line="240" w:lineRule="auto"/>
        <w:jc w:val="both"/>
        <w:rPr>
          <w:rFonts w:ascii="Times New Roman" w:hAnsi="Times New Roman"/>
          <w:color w:val="000000" w:themeColor="text1"/>
          <w:sz w:val="16"/>
          <w:szCs w:val="16"/>
        </w:rPr>
      </w:pPr>
    </w:p>
    <w:p w14:paraId="379AB0C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японцы захватили английский форт в Сингапуре, используя велосипедные отряды (4962).</w:t>
      </w:r>
    </w:p>
    <w:p w14:paraId="447C63B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A176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530C5E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24EF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февраля 1942 Нач. 10 ГУ Тарасевич писал А.И.Ш. записку N 1374 "Об организации производства бронекорпусов для самолетов Ил-2 на заводах 207 в Куйбышеве и 125 в Подольске":</w:t>
      </w:r>
    </w:p>
    <w:p w14:paraId="7307F7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207 в Куйбышеве имеет полезной площади 12.7 тыс. кв. м, что полностью обеспечивает развитие производства бронекорпусов Ил-2 до 25 комплектов в сутки.</w:t>
      </w:r>
    </w:p>
    <w:p w14:paraId="13B2AB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Сдача и приемка завода произведена 20 января 1942...</w:t>
      </w:r>
    </w:p>
    <w:p w14:paraId="487AB3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будет установлено 3 гидропресса для штамповки деталей в 400 т (из Выксы), 600 т (из Таганрога, который сначала попал на завод 124) и 350 т (из Подольска с завода </w:t>
      </w:r>
      <w:proofErr w:type="gramStart"/>
      <w:r w:rsidRPr="008127F8">
        <w:rPr>
          <w:rFonts w:ascii="Times New Roman" w:hAnsi="Times New Roman"/>
          <w:color w:val="000000" w:themeColor="text1"/>
          <w:sz w:val="16"/>
          <w:szCs w:val="16"/>
        </w:rPr>
        <w:t>37)...</w:t>
      </w:r>
      <w:proofErr w:type="gramEnd"/>
    </w:p>
    <w:p w14:paraId="263EB6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 задела Подольского завода выпущено уже 26 корпусов, из которых 10 переданы заводу 1.</w:t>
      </w:r>
    </w:p>
    <w:p w14:paraId="4EFE21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завод 207 уже в феврале способен собирать бронекорпуса Ил-2 из готовой штамповки.</w:t>
      </w:r>
    </w:p>
    <w:p w14:paraId="06689F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корпусов Ил-2 на заводе 125 размещено нами в основном в корпусе б. завода им. Орджоникидзе на площади 31 тыс. кв. м.</w:t>
      </w:r>
    </w:p>
    <w:p w14:paraId="76BBA48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Приемка завода НКАП оформлена актом 3 января 1942...</w:t>
      </w:r>
    </w:p>
    <w:p w14:paraId="17A39D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Заставить завод 183 (Нижний Тагил) подать из производства:</w:t>
      </w:r>
    </w:p>
    <w:p w14:paraId="7AD52B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- 100 собранных и 50 комплектов</w:t>
      </w:r>
    </w:p>
    <w:p w14:paraId="5EFEE3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- 100/100</w:t>
      </w:r>
    </w:p>
    <w:p w14:paraId="736188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- 150/50</w:t>
      </w:r>
    </w:p>
    <w:p w14:paraId="7FC776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- 200</w:t>
      </w:r>
    </w:p>
    <w:p w14:paraId="222397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делали и на 264 в Сормово и хотели до 150 шт. (1685,16).</w:t>
      </w:r>
    </w:p>
    <w:p w14:paraId="4A7E2E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7540"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февраля 1942 г., учтя все замечания и пожелания по эскизному проекту, Николай Николаевич Поликарпов представил в наркомат и руководству ВВС новый проект бомбардировщика НБ. Геометрические размеры и, соответственно, полетный вес пришлось немного увеличить, сохранив основные летные характеристики. В специальном приложении -«Объяснительной записке по технологии» - подписан</w:t>
      </w:r>
      <w:r w:rsidRPr="008127F8">
        <w:rPr>
          <w:rFonts w:ascii="Times New Roman" w:hAnsi="Times New Roman"/>
          <w:color w:val="000000" w:themeColor="text1"/>
          <w:sz w:val="16"/>
          <w:szCs w:val="16"/>
        </w:rPr>
        <w:softHyphen/>
        <w:t>ном главным инженером и главным технологом завода № 51 Н.М.Бахрахом, содержались предложения по упро</w:t>
      </w:r>
      <w:r w:rsidRPr="008127F8">
        <w:rPr>
          <w:rFonts w:ascii="Times New Roman" w:hAnsi="Times New Roman"/>
          <w:color w:val="000000" w:themeColor="text1"/>
          <w:sz w:val="16"/>
          <w:szCs w:val="16"/>
        </w:rPr>
        <w:softHyphen/>
        <w:t>щению и удешевлению производства НБ в условиях во</w:t>
      </w:r>
      <w:r w:rsidRPr="008127F8">
        <w:rPr>
          <w:rFonts w:ascii="Times New Roman" w:hAnsi="Times New Roman"/>
          <w:color w:val="000000" w:themeColor="text1"/>
          <w:sz w:val="16"/>
          <w:szCs w:val="16"/>
        </w:rPr>
        <w:softHyphen/>
        <w:t>енного времени. При этом был сделан упор на использование недефицитных в годы войны материа</w:t>
      </w:r>
      <w:r w:rsidRPr="008127F8">
        <w:rPr>
          <w:rFonts w:ascii="Times New Roman" w:hAnsi="Times New Roman"/>
          <w:color w:val="000000" w:themeColor="text1"/>
          <w:sz w:val="16"/>
          <w:szCs w:val="16"/>
        </w:rPr>
        <w:softHyphen/>
        <w:t>лов - стали, дерева и пластмасс (вопрос о широком вне</w:t>
      </w:r>
      <w:r w:rsidRPr="008127F8">
        <w:rPr>
          <w:rFonts w:ascii="Times New Roman" w:hAnsi="Times New Roman"/>
          <w:color w:val="000000" w:themeColor="text1"/>
          <w:sz w:val="16"/>
          <w:szCs w:val="16"/>
        </w:rPr>
        <w:softHyphen/>
        <w:t>дрении пластмасс впервые ставился в отечественном самолетостроении). Доля цветных металлов в конструк</w:t>
      </w:r>
      <w:r w:rsidRPr="008127F8">
        <w:rPr>
          <w:rFonts w:ascii="Times New Roman" w:hAnsi="Times New Roman"/>
          <w:color w:val="000000" w:themeColor="text1"/>
          <w:sz w:val="16"/>
          <w:szCs w:val="16"/>
        </w:rPr>
        <w:softHyphen/>
        <w:t>ции НБ резко снижалась (до 5,5% от общего веса ис</w:t>
      </w:r>
      <w:r w:rsidRPr="008127F8">
        <w:rPr>
          <w:rFonts w:ascii="Times New Roman" w:hAnsi="Times New Roman"/>
          <w:color w:val="000000" w:themeColor="text1"/>
          <w:sz w:val="16"/>
          <w:szCs w:val="16"/>
        </w:rPr>
        <w:softHyphen/>
        <w:t>пользуемых материалов) за счет соответственного увеличения доли стали (51%) и дерева (38%). В частнос</w:t>
      </w:r>
      <w:r w:rsidRPr="008127F8">
        <w:rPr>
          <w:rFonts w:ascii="Times New Roman" w:hAnsi="Times New Roman"/>
          <w:color w:val="000000" w:themeColor="text1"/>
          <w:sz w:val="16"/>
          <w:szCs w:val="16"/>
        </w:rPr>
        <w:softHyphen/>
        <w:t>ти, из тонкой стали предполагалось делать баки, из гети-накса - люки, коробки, кассеты. Для упрощения производства самолет решено было разделить на десять самостоятельных агрегатов, каж</w:t>
      </w:r>
      <w:r w:rsidRPr="008127F8">
        <w:rPr>
          <w:rFonts w:ascii="Times New Roman" w:hAnsi="Times New Roman"/>
          <w:color w:val="000000" w:themeColor="text1"/>
          <w:sz w:val="16"/>
          <w:szCs w:val="16"/>
        </w:rPr>
        <w:softHyphen/>
        <w:t>дый из которых собирался независимо от другого и в виде законченной конструкции поступал на общую сборку (10667). ВВС и наркомат одобрили проект НБ и включили его в план опытного строительства 1942 г. Срок представле</w:t>
      </w:r>
      <w:r w:rsidRPr="008127F8">
        <w:rPr>
          <w:rFonts w:ascii="Times New Roman" w:hAnsi="Times New Roman"/>
          <w:color w:val="000000" w:themeColor="text1"/>
          <w:sz w:val="16"/>
          <w:szCs w:val="16"/>
        </w:rPr>
        <w:softHyphen/>
        <w:t>ния самолета на госиспытания наметили на 1 октября 1942 г. (10667).</w:t>
      </w:r>
    </w:p>
    <w:p w14:paraId="3C751801"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26AC96"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DB7E8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6374BA"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середины февраля 1942 г., корпуса танков по предложению военного представителя А.А. Афанасьева на заводе № 112 или 183 стали выпускаться с приваренной к лобовому листу отра</w:t>
      </w:r>
      <w:r w:rsidRPr="008127F8">
        <w:rPr>
          <w:rFonts w:ascii="Times New Roman" w:hAnsi="Times New Roman"/>
          <w:color w:val="000000" w:themeColor="text1"/>
          <w:sz w:val="16"/>
          <w:szCs w:val="16"/>
        </w:rPr>
        <w:softHyphen/>
        <w:t>жательной планкой, которая защищала стык корпуса и башни, исклю</w:t>
      </w:r>
      <w:r w:rsidRPr="008127F8">
        <w:rPr>
          <w:rFonts w:ascii="Times New Roman" w:hAnsi="Times New Roman"/>
          <w:color w:val="000000" w:themeColor="text1"/>
          <w:sz w:val="16"/>
          <w:szCs w:val="16"/>
        </w:rPr>
        <w:softHyphen/>
        <w:t>чая заклинивание башни при обстреле (10703).</w:t>
      </w:r>
    </w:p>
    <w:p w14:paraId="1981C50F"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1A0D9" w14:textId="77777777" w:rsidR="00A94CAC" w:rsidRPr="008127F8" w:rsidRDefault="00A94CA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середины февраля 1942 длилось проектирование У-14,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7C347AD9" w14:textId="77777777" w:rsidR="00A94CAC" w:rsidRPr="008127F8" w:rsidRDefault="00A94CAC" w:rsidP="001E0A84">
      <w:pPr>
        <w:shd w:val="clear" w:color="auto" w:fill="FFFFFF"/>
        <w:spacing w:after="0" w:line="240" w:lineRule="auto"/>
        <w:jc w:val="both"/>
        <w:rPr>
          <w:rFonts w:ascii="Times New Roman" w:eastAsia="Times New Roman" w:hAnsi="Times New Roman"/>
          <w:color w:val="000000" w:themeColor="text1"/>
          <w:sz w:val="16"/>
          <w:szCs w:val="16"/>
        </w:rPr>
      </w:pPr>
    </w:p>
    <w:p w14:paraId="0459C4C1" w14:textId="77777777" w:rsidR="00CB6E72" w:rsidRPr="008127F8" w:rsidRDefault="00CB6E72" w:rsidP="001E0A84">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До середины февраля 1942 длилось проектирование У-14, а во второй половине месяца начались работы по изготов</w:t>
      </w:r>
      <w:r w:rsidRPr="008127F8">
        <w:rPr>
          <w:i w:val="0"/>
          <w:color w:val="000000" w:themeColor="text1"/>
          <w:sz w:val="16"/>
          <w:szCs w:val="16"/>
        </w:rPr>
        <w:softHyphen/>
        <w:t>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ору</w:t>
      </w:r>
      <w:r w:rsidRPr="008127F8">
        <w:rPr>
          <w:i w:val="0"/>
          <w:color w:val="000000" w:themeColor="text1"/>
          <w:sz w:val="16"/>
          <w:szCs w:val="16"/>
        </w:rPr>
        <w:softHyphen/>
        <w:t>дийной маски и боеукладок (17484).</w:t>
      </w:r>
    </w:p>
    <w:p w14:paraId="02DDE593" w14:textId="77777777" w:rsidR="00CB6E72" w:rsidRPr="008127F8" w:rsidRDefault="00CB6E72" w:rsidP="001E0A84">
      <w:pPr>
        <w:pStyle w:val="af"/>
        <w:spacing w:before="0" w:after="0"/>
        <w:jc w:val="both"/>
        <w:rPr>
          <w:color w:val="000000" w:themeColor="text1"/>
          <w:sz w:val="16"/>
          <w:szCs w:val="16"/>
        </w:rPr>
      </w:pPr>
    </w:p>
    <w:p w14:paraId="15BCFA7E"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середине фев</w:t>
      </w:r>
      <w:r w:rsidRPr="008127F8">
        <w:rPr>
          <w:rFonts w:eastAsia="Calibri"/>
          <w:color w:val="000000" w:themeColor="text1"/>
          <w:sz w:val="16"/>
          <w:szCs w:val="16"/>
        </w:rPr>
        <w:softHyphen/>
        <w:t>раля 1942 производство Т-60 началось в Свердловске и, таким образом, завод № 37 стал последним предприятием, осво</w:t>
      </w:r>
      <w:r w:rsidRPr="008127F8">
        <w:rPr>
          <w:rFonts w:eastAsia="Calibri"/>
          <w:color w:val="000000" w:themeColor="text1"/>
          <w:sz w:val="16"/>
          <w:szCs w:val="16"/>
        </w:rPr>
        <w:softHyphen/>
        <w:t>ившим изготовление данной машины. За февраль удалось собрать 147 танков, из них только 67 являлись Т-60, кроме того, было принято 125 корпусов. В насколько сложных условиях приходилось работать коллективу завода № 37, хорошо видно из февральского отчета:</w:t>
      </w:r>
    </w:p>
    <w:p w14:paraId="0DE26F33"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«Невыполнение плана по выпуску танков и корпусов объясняется следу</w:t>
      </w:r>
      <w:r w:rsidRPr="008127F8">
        <w:rPr>
          <w:rFonts w:ascii="Times New Roman" w:hAnsi="Times New Roman"/>
          <w:color w:val="000000" w:themeColor="text1"/>
          <w:sz w:val="16"/>
          <w:szCs w:val="16"/>
        </w:rPr>
        <w:softHyphen/>
        <w:t>ющими причинами:</w:t>
      </w:r>
    </w:p>
    <w:p w14:paraId="42D09D37"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1) Переходом на выпуск танков с Т-30 на Т-60. Завод к моменту пере</w:t>
      </w:r>
      <w:r w:rsidRPr="008127F8">
        <w:rPr>
          <w:color w:val="000000" w:themeColor="text1"/>
          <w:sz w:val="16"/>
          <w:szCs w:val="16"/>
        </w:rPr>
        <w:softHyphen/>
        <w:t>хода не был полностью готов. Оснастка 150—200 новых деталей и агре</w:t>
      </w:r>
      <w:r w:rsidRPr="008127F8">
        <w:rPr>
          <w:color w:val="000000" w:themeColor="text1"/>
          <w:sz w:val="16"/>
          <w:szCs w:val="16"/>
        </w:rPr>
        <w:softHyphen/>
        <w:t>гатов не была полностью готова, и завод буквально вручную осваивал все детали, все это резко сказалось на выпуске танков.</w:t>
      </w:r>
    </w:p>
    <w:p w14:paraId="582C2ED4" w14:textId="77777777" w:rsidR="00CB6E72" w:rsidRPr="008127F8" w:rsidRDefault="00CB6E72" w:rsidP="001E0A84">
      <w:pPr>
        <w:tabs>
          <w:tab w:val="left" w:pos="56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Отсутствием сборочных помещении для танков и корпусов, а так</w:t>
      </w:r>
      <w:r w:rsidRPr="008127F8">
        <w:rPr>
          <w:rFonts w:ascii="Times New Roman" w:hAnsi="Times New Roman"/>
          <w:color w:val="000000" w:themeColor="text1"/>
          <w:sz w:val="16"/>
          <w:szCs w:val="16"/>
        </w:rPr>
        <w:softHyphen/>
        <w:t>же отсутствием полигона и сдаточных помещений; если в декабре-</w:t>
      </w:r>
      <w:proofErr w:type="gramStart"/>
      <w:r w:rsidRPr="008127F8">
        <w:rPr>
          <w:rFonts w:ascii="Times New Roman" w:hAnsi="Times New Roman"/>
          <w:color w:val="000000" w:themeColor="text1"/>
          <w:sz w:val="16"/>
          <w:szCs w:val="16"/>
        </w:rPr>
        <w:t>ян- варе</w:t>
      </w:r>
      <w:proofErr w:type="gramEnd"/>
      <w:r w:rsidRPr="008127F8">
        <w:rPr>
          <w:rFonts w:ascii="Times New Roman" w:hAnsi="Times New Roman"/>
          <w:color w:val="000000" w:themeColor="text1"/>
          <w:sz w:val="16"/>
          <w:szCs w:val="16"/>
        </w:rPr>
        <w:t xml:space="preserve"> заводу хватало помещений, то в феврале и марте стало недоста</w:t>
      </w:r>
      <w:r w:rsidRPr="008127F8">
        <w:rPr>
          <w:rFonts w:ascii="Times New Roman" w:hAnsi="Times New Roman"/>
          <w:color w:val="000000" w:themeColor="text1"/>
          <w:sz w:val="16"/>
          <w:szCs w:val="16"/>
        </w:rPr>
        <w:softHyphen/>
        <w:t>точно, и завод буквально задыхается в тесных сборочных и сдаточных помещениях. Десятки машин стоят на морозе. Заводу негде организо</w:t>
      </w:r>
      <w:r w:rsidRPr="008127F8">
        <w:rPr>
          <w:rFonts w:ascii="Times New Roman" w:hAnsi="Times New Roman"/>
          <w:color w:val="000000" w:themeColor="text1"/>
          <w:sz w:val="16"/>
          <w:szCs w:val="16"/>
        </w:rPr>
        <w:softHyphen/>
        <w:t>вать сдачу машин. Строители уже срывают пятые сроки пуска в экс</w:t>
      </w:r>
      <w:r w:rsidRPr="008127F8">
        <w:rPr>
          <w:rFonts w:ascii="Times New Roman" w:hAnsi="Times New Roman"/>
          <w:color w:val="000000" w:themeColor="text1"/>
          <w:sz w:val="16"/>
          <w:szCs w:val="16"/>
        </w:rPr>
        <w:softHyphen/>
        <w:t>плуатацию сборочных цехов, полигона, насосно-аккумуляторной стан</w:t>
      </w:r>
      <w:r w:rsidRPr="008127F8">
        <w:rPr>
          <w:rFonts w:ascii="Times New Roman" w:hAnsi="Times New Roman"/>
          <w:color w:val="000000" w:themeColor="text1"/>
          <w:sz w:val="16"/>
          <w:szCs w:val="16"/>
        </w:rPr>
        <w:softHyphen/>
        <w:t>ции и т.д.</w:t>
      </w:r>
    </w:p>
    <w:p w14:paraId="320D71C7"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шестой раз строители обещают сдать эти помещения в марте ме</w:t>
      </w:r>
      <w:r w:rsidRPr="008127F8">
        <w:rPr>
          <w:rFonts w:ascii="Times New Roman" w:hAnsi="Times New Roman"/>
          <w:color w:val="000000" w:themeColor="text1"/>
          <w:sz w:val="16"/>
          <w:szCs w:val="16"/>
        </w:rPr>
        <w:softHyphen/>
        <w:t>сяце.</w:t>
      </w:r>
    </w:p>
    <w:p w14:paraId="48D2B54F"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Качество строительства отвратительно плохое, фундаменты под станками, прессами рассыпаются или трескаются. Деревянные полы, уло</w:t>
      </w:r>
      <w:r w:rsidRPr="008127F8">
        <w:rPr>
          <w:rFonts w:ascii="Times New Roman" w:hAnsi="Times New Roman"/>
          <w:color w:val="000000" w:themeColor="text1"/>
          <w:sz w:val="16"/>
          <w:szCs w:val="16"/>
        </w:rPr>
        <w:softHyphen/>
        <w:t>женные на мерзлую землю в механических цехах, прогибаются под стан</w:t>
      </w:r>
      <w:r w:rsidRPr="008127F8">
        <w:rPr>
          <w:rFonts w:ascii="Times New Roman" w:hAnsi="Times New Roman"/>
          <w:color w:val="000000" w:themeColor="text1"/>
          <w:sz w:val="16"/>
          <w:szCs w:val="16"/>
        </w:rPr>
        <w:softHyphen/>
        <w:t>ками, и станки приходится перетаскивать в другие места. Строители ужасно медленно строят, с плохим качеством исполнения, обо всем этом сообщено наркому танкопрома тов. Малышеву, наркому строительства тов. Гинзбургу и тов. Маленкову.</w:t>
      </w:r>
    </w:p>
    <w:p w14:paraId="5682859E" w14:textId="77777777" w:rsidR="00CB6E72" w:rsidRPr="008127F8" w:rsidRDefault="00CB6E72" w:rsidP="001E0A84">
      <w:pPr>
        <w:tabs>
          <w:tab w:val="left" w:pos="5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 за последнее время получил около 3000 человек неквалифици</w:t>
      </w:r>
      <w:r w:rsidRPr="008127F8">
        <w:rPr>
          <w:rFonts w:ascii="Times New Roman" w:hAnsi="Times New Roman"/>
          <w:color w:val="000000" w:themeColor="text1"/>
          <w:sz w:val="16"/>
          <w:szCs w:val="16"/>
        </w:rPr>
        <w:softHyphen/>
        <w:t>рованных рабочих, все они распределены по цехам, и завод только начал их обучать производству. 43% от общего количества рабочих нужно обучить разным специальностям на заводе, это тоже сказалось на выпуске машин и корпусов в феврале месяце.</w:t>
      </w:r>
    </w:p>
    <w:p w14:paraId="684CEA25" w14:textId="77777777" w:rsidR="00CB6E72" w:rsidRPr="008127F8" w:rsidRDefault="00CB6E72" w:rsidP="001E0A84">
      <w:pPr>
        <w:tabs>
          <w:tab w:val="left" w:pos="58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Отвратительной работой поставщиков (завод № 183 и Кировский завод снова сорвали поставку стального литья и ковкого чугуна), а также плохой работой снабжения. Сборка машин срывалась отсутствием кат</w:t>
      </w:r>
      <w:r w:rsidRPr="008127F8">
        <w:rPr>
          <w:rFonts w:ascii="Times New Roman" w:hAnsi="Times New Roman"/>
          <w:color w:val="000000" w:themeColor="text1"/>
          <w:sz w:val="16"/>
          <w:szCs w:val="16"/>
        </w:rPr>
        <w:softHyphen/>
        <w:t>ков, свечей, аккумуляторов и т.д.</w:t>
      </w:r>
    </w:p>
    <w:p w14:paraId="69BF6EEC" w14:textId="77777777" w:rsidR="00CB6E72" w:rsidRPr="008127F8" w:rsidRDefault="00CB6E72" w:rsidP="001E0A84">
      <w:pPr>
        <w:tabs>
          <w:tab w:val="left" w:pos="59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Простоем механических цехов. До 30% оборудования простаивает в отдельные дни из-за отсутствия поковок, штамповок и литья. Меха</w:t>
      </w:r>
      <w:r w:rsidRPr="008127F8">
        <w:rPr>
          <w:rFonts w:ascii="Times New Roman" w:hAnsi="Times New Roman"/>
          <w:color w:val="000000" w:themeColor="text1"/>
          <w:sz w:val="16"/>
          <w:szCs w:val="16"/>
        </w:rPr>
        <w:softHyphen/>
        <w:t>нические цеха в феврале месяце работали значительно лучше, чем в янва</w:t>
      </w:r>
      <w:r w:rsidRPr="008127F8">
        <w:rPr>
          <w:rFonts w:ascii="Times New Roman" w:hAnsi="Times New Roman"/>
          <w:color w:val="000000" w:themeColor="text1"/>
          <w:sz w:val="16"/>
          <w:szCs w:val="16"/>
        </w:rPr>
        <w:softHyphen/>
        <w:t xml:space="preserve">ре месяце. На сегодняшний день у завода имеется неплохой задел деталей и агрегатов (до 30—40машин), а также сдача запчастей фронтам резко скакнула вверх. В декабре месяце была сдача запчастей 0%, в январе 6%, в феврале 58%. Завод имеет все основания сдать запчастей в марте на </w:t>
      </w:r>
      <w:r w:rsidRPr="008127F8">
        <w:rPr>
          <w:rStyle w:val="Bodytext2ArialNarrowBold"/>
          <w:rFonts w:ascii="Times New Roman" w:hAnsi="Times New Roman" w:cs="Times New Roman"/>
          <w:b w:val="0"/>
          <w:color w:val="000000" w:themeColor="text1"/>
          <w:sz w:val="16"/>
          <w:szCs w:val="16"/>
        </w:rPr>
        <w:t>100%.</w:t>
      </w:r>
    </w:p>
    <w:p w14:paraId="700F39A2" w14:textId="77777777" w:rsidR="00CB6E72" w:rsidRPr="008127F8" w:rsidRDefault="00CB6E72" w:rsidP="001E0A84">
      <w:pPr>
        <w:tabs>
          <w:tab w:val="left" w:pos="61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Неудовлетворительной работой корпусного производства (сборка машин в конце февраля уменьшилась из-за того, что корпусное производ</w:t>
      </w:r>
      <w:r w:rsidRPr="008127F8">
        <w:rPr>
          <w:rFonts w:ascii="Times New Roman" w:hAnsi="Times New Roman"/>
          <w:color w:val="000000" w:themeColor="text1"/>
          <w:sz w:val="16"/>
          <w:szCs w:val="16"/>
        </w:rPr>
        <w:softHyphen/>
        <w:t>ство стало давать новых корпусов по 4—5 штук в сутки, что сорвало график выпуска машин). Тот задел корпусов, который был привезен из Москвы, заводом использован полностью, а новых корпусов завод в февра</w:t>
      </w:r>
      <w:r w:rsidRPr="008127F8">
        <w:rPr>
          <w:rFonts w:ascii="Times New Roman" w:hAnsi="Times New Roman"/>
          <w:color w:val="000000" w:themeColor="text1"/>
          <w:sz w:val="16"/>
          <w:szCs w:val="16"/>
        </w:rPr>
        <w:softHyphen/>
        <w:t>ле получить не смог.</w:t>
      </w:r>
    </w:p>
    <w:p w14:paraId="1322FD41"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Есть угроза, что завод в марте месяце не сможет получить с корпус</w:t>
      </w:r>
      <w:r w:rsidRPr="008127F8">
        <w:rPr>
          <w:rFonts w:ascii="Times New Roman" w:hAnsi="Times New Roman"/>
          <w:color w:val="000000" w:themeColor="text1"/>
          <w:sz w:val="16"/>
          <w:szCs w:val="16"/>
        </w:rPr>
        <w:softHyphen/>
        <w:t>ного производства то количество корпусов, которое необходимо для вы</w:t>
      </w:r>
      <w:r w:rsidRPr="008127F8">
        <w:rPr>
          <w:rFonts w:ascii="Times New Roman" w:hAnsi="Times New Roman"/>
          <w:color w:val="000000" w:themeColor="text1"/>
          <w:sz w:val="16"/>
          <w:szCs w:val="16"/>
        </w:rPr>
        <w:softHyphen/>
        <w:t>полнения программы по производству машин. Завод принимает все меры к тому, чтобы добиться выпуска в марте месяце ежесуточно 8—10 кор</w:t>
      </w:r>
      <w:r w:rsidRPr="008127F8">
        <w:rPr>
          <w:rFonts w:ascii="Times New Roman" w:hAnsi="Times New Roman"/>
          <w:color w:val="000000" w:themeColor="text1"/>
          <w:sz w:val="16"/>
          <w:szCs w:val="16"/>
        </w:rPr>
        <w:softHyphen/>
        <w:t>пусов, но одновременно, чтобы не сорвать программы, запросил у НКТП присылки со стороны 100—120 корпусов, которые помогут заводу выпол</w:t>
      </w:r>
      <w:r w:rsidRPr="008127F8">
        <w:rPr>
          <w:rFonts w:ascii="Times New Roman" w:hAnsi="Times New Roman"/>
          <w:color w:val="000000" w:themeColor="text1"/>
          <w:sz w:val="16"/>
          <w:szCs w:val="16"/>
        </w:rPr>
        <w:softHyphen/>
        <w:t>нить программу. Ввиду плохой работы поставщиков завод принимает все меры к тому, чтобы избавиться от них.</w:t>
      </w:r>
    </w:p>
    <w:p w14:paraId="405A74C4"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месяца завод получил первую партию собственного ковкого чугуна, использовав при этом томильные печи термопрессового цеха, и ковкий чугун получился высокого качества.</w:t>
      </w:r>
    </w:p>
    <w:p w14:paraId="693E47FC"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заканчивается постройка трех томильных печей, которые полностью обеспечат завод собственным ковким чугуном на все програм</w:t>
      </w:r>
      <w:r w:rsidRPr="008127F8">
        <w:rPr>
          <w:rFonts w:ascii="Times New Roman" w:hAnsi="Times New Roman"/>
          <w:color w:val="000000" w:themeColor="text1"/>
          <w:sz w:val="16"/>
          <w:szCs w:val="16"/>
        </w:rPr>
        <w:softHyphen/>
        <w:t>мы выпуска.</w:t>
      </w:r>
    </w:p>
    <w:p w14:paraId="155C8503"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осваивает также свое стальное литье. Правда, пока в неболь</w:t>
      </w:r>
      <w:r w:rsidRPr="008127F8">
        <w:rPr>
          <w:rFonts w:ascii="Times New Roman" w:hAnsi="Times New Roman"/>
          <w:color w:val="000000" w:themeColor="text1"/>
          <w:sz w:val="16"/>
          <w:szCs w:val="16"/>
        </w:rPr>
        <w:softHyphen/>
        <w:t>ших количествах. С получением новой электропечи завод будет иметь свое стальное литье, только кроме катков и траков, которые необходимо по</w:t>
      </w:r>
      <w:r w:rsidRPr="008127F8">
        <w:rPr>
          <w:rFonts w:ascii="Times New Roman" w:hAnsi="Times New Roman"/>
          <w:color w:val="000000" w:themeColor="text1"/>
          <w:sz w:val="16"/>
          <w:szCs w:val="16"/>
        </w:rPr>
        <w:softHyphen/>
        <w:t>лучать со стороны.</w:t>
      </w:r>
    </w:p>
    <w:p w14:paraId="19677E3D"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Март месяц является месяцем, когда завод получает дополнитель</w:t>
      </w:r>
      <w:r w:rsidRPr="008127F8">
        <w:rPr>
          <w:color w:val="000000" w:themeColor="text1"/>
          <w:sz w:val="16"/>
          <w:szCs w:val="16"/>
        </w:rPr>
        <w:softHyphen/>
        <w:t>ные площади, склады, полигон, насосно-аккумуляторную станцию и т.д., а также осваивает получение собственного ковкого чугуна, стального литья и т.д., с тем чтобы набрать полую мощность для перехода в апреле- мае на массовый выпуск танков» (17485).</w:t>
      </w:r>
    </w:p>
    <w:p w14:paraId="32629BD7" w14:textId="77777777" w:rsidR="00CB6E72" w:rsidRPr="008127F8" w:rsidRDefault="00CB6E72" w:rsidP="001E0A84">
      <w:pPr>
        <w:pStyle w:val="af"/>
        <w:spacing w:before="0" w:after="0"/>
        <w:jc w:val="both"/>
        <w:rPr>
          <w:color w:val="000000" w:themeColor="text1"/>
          <w:sz w:val="16"/>
          <w:szCs w:val="16"/>
        </w:rPr>
      </w:pPr>
    </w:p>
    <w:p w14:paraId="0C014AFE" w14:textId="77777777" w:rsidR="00320B1B" w:rsidRPr="008127F8" w:rsidRDefault="00320B1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До середины февраля 1942 года в Свердловске выпускали Т-30. Всего их было построено 200 штук, из них 101 экранированный. Во многом это было связано с тем, что эвакуированные заводы имели задел по корпусам таких танков.</w:t>
      </w:r>
    </w:p>
    <w:p w14:paraId="28A6BB7B" w14:textId="77777777" w:rsidR="00320B1B" w:rsidRPr="008127F8" w:rsidRDefault="00320B1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учетом того, что по боевым характеристикам Т-30 и Т-60 оказались примерно одинаковыми, «криминалом» изготовление Т-30 не считалось. Более того, в переписке эти танки называли Т-60, что внесло свою лепту в путаницу со свердловскими машинами. Лишь во второй половине февраля 1942 года было выпущено 67 Т-60, а также принято 125 корпусов для этих танков. Таким образом, завод №37 стал последним из числа предприятий, освоивших выпуск данного танка (17686).</w:t>
      </w:r>
    </w:p>
    <w:p w14:paraId="1F7322EB" w14:textId="77777777" w:rsidR="00320B1B" w:rsidRPr="008127F8" w:rsidRDefault="00320B1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D8B5B2" w14:textId="77777777" w:rsidR="007E7CE4" w:rsidRPr="008127F8" w:rsidRDefault="007E7C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середине февраля 1942 года руководство ГАУ КА заинтересовалось вопросом "так что там с ЗИС-30?". В ГАБТУ КА поступил запрос по поводу отчетов из частей. К тому моменту ни одна из бригад, получивших ЗИС-30 осенью 1941 года, их на вооружении не имела. Их уже неоднократно переформировывали, в результате ЗИС-30 всплывали то там, то сям. К концу февраля 1942 года одиночная ЗИС-30 имелась у 4-й гвардейской (бывшей 132-й) танковой бригады. Причем в сводках бригады она проходит как "57-мм ПТО". В результате понять, чего именно за вооружение у мотострелкового батальона, попробуй угадать. Так вот, 17 марта 1942 года одиночная машина очень сильно расстроила немецкие танки. Сделав 13 выстрелов, экипаж ЗИС-30 подбил, на дистанции в 2 километра, 3 немецких танка, остальные решили, что дальше испытывать судьбу не стоит (22213).</w:t>
      </w:r>
    </w:p>
    <w:p w14:paraId="6EBF3598" w14:textId="77777777" w:rsidR="007E7CE4" w:rsidRPr="008127F8" w:rsidRDefault="007E7CE4" w:rsidP="001E0A84">
      <w:pPr>
        <w:spacing w:after="0" w:line="240" w:lineRule="auto"/>
        <w:jc w:val="both"/>
        <w:rPr>
          <w:rFonts w:ascii="Times New Roman" w:hAnsi="Times New Roman"/>
          <w:color w:val="000000" w:themeColor="text1"/>
          <w:sz w:val="16"/>
          <w:szCs w:val="16"/>
        </w:rPr>
      </w:pPr>
    </w:p>
    <w:p w14:paraId="1F0F64EB"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февраля 1942 г. на Ирбитском заводе собрали десятки мотоциклов М-72. Их погрузили в двухосные ва</w:t>
      </w:r>
      <w:r w:rsidRPr="008127F8">
        <w:rPr>
          <w:rFonts w:ascii="Times New Roman" w:hAnsi="Times New Roman"/>
          <w:color w:val="000000" w:themeColor="text1"/>
          <w:sz w:val="16"/>
          <w:szCs w:val="16"/>
        </w:rPr>
        <w:softHyphen/>
        <w:t>гоны, называемые теплушками, и 25 февраля 1942 г. отправили на фронт. Это мероприятие вылилось в небольшой праздник для сотрудников завода и дало уверенность в скором пуске ИМЗ в эксплуатацию [5.32]. Руководство Главмотовелопрома настаивало на скорейшем освоении выпуска М-72 на ИМЗ, вникало в заводские проблемы, руководило выполнением наибо</w:t>
      </w:r>
      <w:r w:rsidRPr="008127F8">
        <w:rPr>
          <w:rFonts w:ascii="Times New Roman" w:hAnsi="Times New Roman"/>
          <w:color w:val="000000" w:themeColor="text1"/>
          <w:sz w:val="16"/>
          <w:szCs w:val="16"/>
        </w:rPr>
        <w:softHyphen/>
        <w:t>лее важных из них. Чтобы начать сборку мотоциклов из достав</w:t>
      </w:r>
      <w:r w:rsidRPr="008127F8">
        <w:rPr>
          <w:rFonts w:ascii="Times New Roman" w:hAnsi="Times New Roman"/>
          <w:color w:val="000000" w:themeColor="text1"/>
          <w:sz w:val="16"/>
          <w:szCs w:val="16"/>
        </w:rPr>
        <w:softHyphen/>
        <w:t>ленной с ММЗ «незавершенки», требовалось обеспечить завод хо</w:t>
      </w:r>
      <w:r w:rsidRPr="008127F8">
        <w:rPr>
          <w:rFonts w:ascii="Times New Roman" w:hAnsi="Times New Roman"/>
          <w:color w:val="000000" w:themeColor="text1"/>
          <w:sz w:val="16"/>
          <w:szCs w:val="16"/>
        </w:rPr>
        <w:softHyphen/>
        <w:t>тя бы небольшими мощностями электроэнергии. Сначала ИМЗ обеспечивал электроэнергией генератор на 127 В, оставшийся от бывшего пивзавода и развивавший мощность всего 30 кВт. Потом заводчане добавили к нему самодельную установку, сочленив ге</w:t>
      </w:r>
      <w:r w:rsidRPr="008127F8">
        <w:rPr>
          <w:rFonts w:ascii="Times New Roman" w:hAnsi="Times New Roman"/>
          <w:color w:val="000000" w:themeColor="text1"/>
          <w:sz w:val="16"/>
          <w:szCs w:val="16"/>
        </w:rPr>
        <w:softHyphen/>
        <w:t>нератор мощностью 10 кВт с мотоциклетным двигателем. Позже запустили полученный из Челябинска локомобиль «Вольф» с двумя турбогенераторами мощностью по 180 кВт, а затем вве</w:t>
      </w:r>
      <w:r w:rsidRPr="008127F8">
        <w:rPr>
          <w:rFonts w:ascii="Times New Roman" w:hAnsi="Times New Roman"/>
          <w:color w:val="000000" w:themeColor="text1"/>
          <w:sz w:val="16"/>
          <w:szCs w:val="16"/>
        </w:rPr>
        <w:softHyphen/>
        <w:t>ли в эксплуатацию паровую турбину с электрогенератором мощностью 2500 кВт, полученными из Москвы [5.30]. Главным конструктором КБ на ИМЗ назначили А.М. Фёдо</w:t>
      </w:r>
      <w:r w:rsidRPr="008127F8">
        <w:rPr>
          <w:rFonts w:ascii="Times New Roman" w:hAnsi="Times New Roman"/>
          <w:color w:val="000000" w:themeColor="text1"/>
          <w:sz w:val="16"/>
          <w:szCs w:val="16"/>
        </w:rPr>
        <w:softHyphen/>
        <w:t>рова, участвовавшего в создании мотоциклов, начиная с НАТИ-А-750 [4.53] (11429).</w:t>
      </w:r>
    </w:p>
    <w:p w14:paraId="2C9F5327"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5D974"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DB432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06E4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февраля 1942 директор ГАЗа И. К. Лоскутов и парторг ЦК И. В. Маркин написали в Горьковский комитет обороны следующее письмо:  «Имеющаяся система активной зенитной обороны юго-западного сектора г. Горького и стоящего на передовой его линии автозавода явно неправильна и ни в коей мере не отвечает важности этого сектора и в первую очередь завода. Итоги всех налетов показали, что враг в первую очередь старается поразить автозавод, который, в отличие от других заводов, имеет огромную отдельно расположенную территорию, прекрасные ориентиры на подступах к нему (Ока с высоким лесным берегом, ж.</w:t>
      </w:r>
      <w:proofErr w:type="gramStart"/>
      <w:r w:rsidRPr="008127F8">
        <w:rPr>
          <w:rFonts w:ascii="Times New Roman" w:hAnsi="Times New Roman"/>
          <w:color w:val="000000" w:themeColor="text1"/>
          <w:sz w:val="16"/>
          <w:szCs w:val="16"/>
        </w:rPr>
        <w:t>д.идр</w:t>
      </w:r>
      <w:proofErr w:type="gramEnd"/>
      <w:r w:rsidRPr="008127F8">
        <w:rPr>
          <w:rFonts w:ascii="Times New Roman" w:hAnsi="Times New Roman"/>
          <w:color w:val="000000" w:themeColor="text1"/>
          <w:sz w:val="16"/>
          <w:szCs w:val="16"/>
        </w:rPr>
        <w:t xml:space="preserve">.). Заводы, стоящие в глубине районов г. Горького, как правило, прикрываются полком, а автозавод, несмотря на важность его и по существу прикрывающий зенитными средствами эти заводы с юго -западного направления, имеет явно неорганизованную систему обороны».  Для укрепления ПВО автозавода они попросили взамен имеющихся отдельных дивизионов разместить на подступах к объекту отдельный зенитно-артиллерийский полк, а до формирования полка поставить дополнительно две батареи среднего калибра и три батареи МЗА, в первую очередь для прикрытия ТЭЦ и западной части завода. Стоящие же там три батареи 238-го ОЗАД имели на вооружении морские 45-мм пушки, скорострельность которых была в 10—12 раз ниже, чем у 37-мм орудий. Аналогичный запрос был послан директором ГАЗа заместителю наркома обороны СССР по ПВО Громадину. Однако, опьяненное успехами на фронте, советское руководство, видимо, уже не верило в возможность серьезных немецких налетов на тыловые города. Этим объясняется принятие 15 февраля постановления о призыве в Красную Армию военнообязанных из команд местной противовоздушной обороны. Теперь лица в возрасте до 45 лет, годные к службе, призывались на фронт. Для многих это решение стало трагедией, ведь служба в частях МПВО, хотя и была связана с определенным риском, являлась куда более комфортной, чем на передовой, и сотни мужчин надеялись, «провоевав» с немецкими бомбами, остаться в живых. Госкомитет обороны, в свою очередь, решил, что для тушения зажигалок хватит сил бабушек, дедушек и инвалидов. Продолжалось и ослабление тыловых частей ПВО. Так, в середине февраля из Горьковской области убыли 33-й и 632-й ПАП. 25 февраля командир 142-й авиадивизии Слюсарев писал в Горьков ский комитет </w:t>
      </w:r>
      <w:proofErr w:type="gramStart"/>
      <w:r w:rsidRPr="008127F8">
        <w:rPr>
          <w:rFonts w:ascii="Times New Roman" w:hAnsi="Times New Roman"/>
          <w:color w:val="000000" w:themeColor="text1"/>
          <w:sz w:val="16"/>
          <w:szCs w:val="16"/>
        </w:rPr>
        <w:t>обороны:  «</w:t>
      </w:r>
      <w:proofErr w:type="gramEnd"/>
      <w:r w:rsidRPr="008127F8">
        <w:rPr>
          <w:rFonts w:ascii="Times New Roman" w:hAnsi="Times New Roman"/>
          <w:color w:val="000000" w:themeColor="text1"/>
          <w:sz w:val="16"/>
          <w:szCs w:val="16"/>
        </w:rPr>
        <w:t>В составе 142ИАДостались 722ИАП, укомплектованный самолетами на 75%, ночной полк (Правдинск), укомплектованный старой матчастью на 60%. Это обстоятельство граничит с большим ослаблением работы 142 ИАД по прикрытию Горького и особенно по прикрытию автозавода и завода № 21. Прошу вашей помощи в получении от завода № 21 десяти самолетов ЛаГГ-3 для укомплектования 722 и ночного авиаполков в целях доведения их до полной боевой готовности по прикрытию объектов большого государственного значения г. Горького» (11774).</w:t>
      </w:r>
    </w:p>
    <w:p w14:paraId="4483E9D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F538C"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824E5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D5A5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ТИС (А) Н.Н.П. выполнил первый полет в Новосибирске, куда был доставлен по железной дороге из Казани 22 декабря 1941. Летные испытания выявили недобор скоростей из-за ненадежности АМ-37. На 7400 вместо 635 км/час получили только 575 км/час. Машину вернули на завод (10535,34).</w:t>
      </w:r>
    </w:p>
    <w:p w14:paraId="4600A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151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 ТИС (А) совершил первый полет в Новосибирске (10667).</w:t>
      </w:r>
    </w:p>
    <w:p w14:paraId="41CF45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A48B2" w14:textId="77777777" w:rsidR="008E323D" w:rsidRPr="008127F8" w:rsidRDefault="008E323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16 февраля 1942 ТИС (А) 2АМ-37 совершил первый полет с аэродрома Толмачево (15755).</w:t>
      </w:r>
    </w:p>
    <w:p w14:paraId="6AB39E8B" w14:textId="77777777" w:rsidR="008E323D" w:rsidRPr="008127F8" w:rsidRDefault="008E323D" w:rsidP="001E0A84">
      <w:pPr>
        <w:pStyle w:val="27"/>
        <w:shd w:val="clear" w:color="auto" w:fill="auto"/>
        <w:spacing w:after="0" w:line="240" w:lineRule="auto"/>
        <w:ind w:firstLine="0"/>
        <w:rPr>
          <w:rFonts w:ascii="Times New Roman" w:cs="Times New Roman"/>
          <w:color w:val="000000" w:themeColor="text1"/>
          <w:spacing w:val="0"/>
        </w:rPr>
      </w:pPr>
    </w:p>
    <w:p w14:paraId="07D61816"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16 февраля 1942 ТИС (А) совершил первый полет в Новосибирске с аэродрома Толмачево.</w:t>
      </w:r>
    </w:p>
    <w:p w14:paraId="3B66B273"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очередной сводке «О выполнении основных работ НИИ ВВС КА» на 10 марта 1942 г. отмечается, что к этому дню на самолете было выполнено 6 до</w:t>
      </w:r>
      <w:r w:rsidRPr="008127F8">
        <w:rPr>
          <w:color w:val="000000" w:themeColor="text1"/>
          <w:sz w:val="16"/>
          <w:szCs w:val="16"/>
        </w:rPr>
        <w:softHyphen/>
        <w:t>водочных полетов, «совместные испытания задер</w:t>
      </w:r>
      <w:r w:rsidRPr="008127F8">
        <w:rPr>
          <w:color w:val="000000" w:themeColor="text1"/>
          <w:sz w:val="16"/>
          <w:szCs w:val="16"/>
        </w:rPr>
        <w:softHyphen/>
        <w:t>живаются неполадками ВМГ».</w:t>
      </w:r>
    </w:p>
    <w:p w14:paraId="6DD8B0EE"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ходе испытаний выявилась совершенно неудо</w:t>
      </w:r>
      <w:r w:rsidRPr="008127F8">
        <w:rPr>
          <w:color w:val="000000" w:themeColor="text1"/>
          <w:sz w:val="16"/>
          <w:szCs w:val="16"/>
        </w:rPr>
        <w:softHyphen/>
        <w:t>влетворительная работа моторов АМ-37. По этой причине происходил большой недобор скорости по высотам. Были проблемы с устойчивостью само</w:t>
      </w:r>
      <w:r w:rsidRPr="008127F8">
        <w:rPr>
          <w:color w:val="000000" w:themeColor="text1"/>
          <w:sz w:val="16"/>
          <w:szCs w:val="16"/>
        </w:rPr>
        <w:softHyphen/>
        <w:t>лета при центровке 24% САХ и более. При меньшей центровке — не хватало рулей высоты. К 23 марта на самолет установили новое вертикальное опере</w:t>
      </w:r>
      <w:r w:rsidRPr="008127F8">
        <w:rPr>
          <w:color w:val="000000" w:themeColor="text1"/>
          <w:sz w:val="16"/>
          <w:szCs w:val="16"/>
        </w:rPr>
        <w:softHyphen/>
        <w:t>ние увеличенной площади и высоты и выполнили контрольный полет. Путевая устойчивость несколь</w:t>
      </w:r>
      <w:r w:rsidRPr="008127F8">
        <w:rPr>
          <w:color w:val="000000" w:themeColor="text1"/>
          <w:sz w:val="16"/>
          <w:szCs w:val="16"/>
        </w:rPr>
        <w:softHyphen/>
        <w:t>ко улучшилась. После этой доработки самолет в за</w:t>
      </w:r>
      <w:r w:rsidRPr="008127F8">
        <w:rPr>
          <w:color w:val="000000" w:themeColor="text1"/>
          <w:sz w:val="16"/>
          <w:szCs w:val="16"/>
        </w:rPr>
        <w:softHyphen/>
        <w:t>водской документации и в переписке стали обозна</w:t>
      </w:r>
      <w:r w:rsidRPr="008127F8">
        <w:rPr>
          <w:color w:val="000000" w:themeColor="text1"/>
          <w:sz w:val="16"/>
          <w:szCs w:val="16"/>
        </w:rPr>
        <w:softHyphen/>
        <w:t>чать как ТИС (2А).</w:t>
      </w:r>
    </w:p>
    <w:p w14:paraId="2D087B6B"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5 мая 1942 г. была завершена программа первого этапа совместных заводских испытаний. Со слов сотрудников ОКБ Поликарпова, ЛИИ НКАП был настроен «угробить машину».</w:t>
      </w:r>
    </w:p>
    <w:p w14:paraId="39739382"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Полученные летные данные на малых высотах «весьма близко подходили к расчетным значени</w:t>
      </w:r>
      <w:r w:rsidRPr="008127F8">
        <w:rPr>
          <w:color w:val="000000" w:themeColor="text1"/>
          <w:sz w:val="16"/>
          <w:szCs w:val="16"/>
        </w:rPr>
        <w:softHyphen/>
        <w:t>ям». Так, фактически замеренная в полете мак</w:t>
      </w:r>
      <w:r w:rsidRPr="008127F8">
        <w:rPr>
          <w:color w:val="000000" w:themeColor="text1"/>
          <w:sz w:val="16"/>
          <w:szCs w:val="16"/>
        </w:rPr>
        <w:softHyphen/>
        <w:t>симальная скорость у земли составила 490 км/ч (на высоте 450 м), а по расчетам должна была быть 527 км/ч. На больших высотах картина была хуже. Вместо 652 км/ч на высоте 7400 м получили только 575 км/ч.</w:t>
      </w:r>
    </w:p>
    <w:p w14:paraId="21EEC1B0"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Но главное — это ненадежная работа мото</w:t>
      </w:r>
      <w:r w:rsidRPr="008127F8">
        <w:rPr>
          <w:color w:val="000000" w:themeColor="text1"/>
          <w:sz w:val="16"/>
          <w:szCs w:val="16"/>
        </w:rPr>
        <w:softHyphen/>
        <w:t>ров. Из-за отсутствия летных экземпляров мотора АМ-37 самолет ТИС (2А) в начале июня был закон</w:t>
      </w:r>
      <w:r w:rsidRPr="008127F8">
        <w:rPr>
          <w:color w:val="000000" w:themeColor="text1"/>
          <w:sz w:val="16"/>
          <w:szCs w:val="16"/>
        </w:rPr>
        <w:softHyphen/>
        <w:t>сервирован. Работы по доводке машины по переч</w:t>
      </w:r>
      <w:r w:rsidRPr="008127F8">
        <w:rPr>
          <w:color w:val="000000" w:themeColor="text1"/>
          <w:sz w:val="16"/>
          <w:szCs w:val="16"/>
        </w:rPr>
        <w:softHyphen/>
        <w:t>ню недостатков и дефектов, согласно отчету ЛИИ НКАП, начались только в августе.</w:t>
      </w:r>
    </w:p>
    <w:p w14:paraId="5F894026" w14:textId="77777777" w:rsidR="00CA3A1A" w:rsidRPr="008127F8" w:rsidRDefault="00CA3A1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улучшения устойчивости на самолет были установлены новое вертикальное и горизонтальное оперение с увеличенной площадью и уменьшено (с 7° до 4°) поперечное «V» консолей крыла. Изме</w:t>
      </w:r>
      <w:r w:rsidRPr="008127F8">
        <w:rPr>
          <w:color w:val="000000" w:themeColor="text1"/>
          <w:sz w:val="16"/>
          <w:szCs w:val="16"/>
        </w:rPr>
        <w:softHyphen/>
        <w:t>нили угол установки стабилизатора с 0° до —1°30', что увеличило запас рулей на посадке. Переделали механизм управления створками шасси, улучшили обводы фонаря стрелка-радиста, изменили фор</w:t>
      </w:r>
      <w:r w:rsidRPr="008127F8">
        <w:rPr>
          <w:color w:val="000000" w:themeColor="text1"/>
          <w:sz w:val="16"/>
          <w:szCs w:val="16"/>
        </w:rPr>
        <w:softHyphen/>
        <w:t>му тоннелей маслорадиаторов. Были выполнены и другие менее значительные доработки само</w:t>
      </w:r>
      <w:r w:rsidRPr="008127F8">
        <w:rPr>
          <w:color w:val="000000" w:themeColor="text1"/>
          <w:sz w:val="16"/>
          <w:szCs w:val="16"/>
        </w:rPr>
        <w:softHyphen/>
        <w:t>лета (17500).</w:t>
      </w:r>
    </w:p>
    <w:p w14:paraId="2F6EC906" w14:textId="77777777" w:rsidR="00CA3A1A" w:rsidRPr="008127F8" w:rsidRDefault="00CA3A1A" w:rsidP="001E0A84">
      <w:pPr>
        <w:pStyle w:val="12a"/>
        <w:shd w:val="clear" w:color="auto" w:fill="auto"/>
        <w:spacing w:after="0" w:line="240" w:lineRule="auto"/>
        <w:jc w:val="both"/>
        <w:rPr>
          <w:color w:val="000000" w:themeColor="text1"/>
          <w:sz w:val="16"/>
          <w:szCs w:val="16"/>
        </w:rPr>
      </w:pPr>
    </w:p>
    <w:p w14:paraId="4822AF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 начальник инспекции при наркоме Волоконский писал письмо N 2174 Шахурину.</w:t>
      </w:r>
    </w:p>
    <w:p w14:paraId="75A5C8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 записка.</w:t>
      </w:r>
    </w:p>
    <w:p w14:paraId="740026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состояния работ по экспериментальному самолету конструкции Болховитинова В.Ф. с реактивным двигателем НИИ-3 НКБ.</w:t>
      </w:r>
    </w:p>
    <w:p w14:paraId="44DA81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правительства и приказом НКАП выпуск первого самолета конструкции Болховитинова с реактивным двигателем был установлен 5-го сентября 1941 г., с подачей двигателя Наркоматом боеприпасов для монтажа на самолете к 20.VIII.1942 г.</w:t>
      </w:r>
    </w:p>
    <w:p w14:paraId="0DA962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Проверкой установлено:</w:t>
      </w:r>
    </w:p>
    <w:p w14:paraId="3646FF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сентябре 1941 г. планер прошел летные испытания, которые показали удовлетворительные летные качества планера.</w:t>
      </w:r>
    </w:p>
    <w:p w14:paraId="5CCCE2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Выпуск самолета задерживается из-за конструктивной недоработки двигателя. Стендовые испытания показали тягу двигателя 1000 кг вместо расчетной 1400 кг. В настоящее время двигатель проходит контрольные испытания на стенде завода N 293 в Билимбае. Срок окончания испытаний намечен на 15.II.1942 г.</w:t>
      </w:r>
    </w:p>
    <w:p w14:paraId="3B22CB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 конструктор завода N 293 Болховитинов спроектировал и построил облегченный планер под двигатель с тягой 1000 кг, который должен пройти (по намеченному плану) испытания только 1/V-с.г.</w:t>
      </w:r>
    </w:p>
    <w:p w14:paraId="40F2E1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самолет конструкции Болховитинова, по расчетным данным, имеет скорость 800-900 км в час, сильное вооружение, простоту и дешевизну в производстве - испытания самолета необходимо форсировать.</w:t>
      </w:r>
    </w:p>
    <w:p w14:paraId="40D0485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подписать следующую шифровку на имя гл. конструктора Болховитинова (1666,96).</w:t>
      </w:r>
    </w:p>
    <w:p w14:paraId="1174C0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D2E27"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 появился проект постановления ГКО, который предполагал выпуск 50 автожиров на заводе №290 в Ухтомской и его филиале в Билимбае. Проблема в том, что производственные мощности в результате эвакуации распылились на два завода. В марте 1942 года Воронов отказал в дальнейшей постройке 50 автожиров, сославшись на то, что завод №290 не выполняет заказ, а автожиры не соответствуют тактико-техническим характеристикам (ТТХ). В силе остался лишь ремонт автожиров. Столь резкая смена позиции выглядела странной, особенно с учётом того, что А-7-3а своим ТТХ соответствовал (18227).</w:t>
      </w:r>
    </w:p>
    <w:p w14:paraId="79E063A8" w14:textId="77777777" w:rsidR="00032BF0" w:rsidRPr="008127F8" w:rsidRDefault="00032BF0" w:rsidP="001E0A84">
      <w:pPr>
        <w:spacing w:after="0" w:line="240" w:lineRule="auto"/>
        <w:jc w:val="both"/>
        <w:rPr>
          <w:rFonts w:ascii="Times New Roman" w:hAnsi="Times New Roman"/>
          <w:color w:val="000000" w:themeColor="text1"/>
          <w:sz w:val="16"/>
          <w:szCs w:val="16"/>
        </w:rPr>
      </w:pPr>
    </w:p>
    <w:p w14:paraId="305C2DE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февраля 1942 г. Отчет по испытаниям винта Винт ВИШ-105К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428"/>
        <w:gridCol w:w="1712"/>
        <w:gridCol w:w="1801"/>
        <w:gridCol w:w="3934"/>
      </w:tblGrid>
      <w:tr w:rsidR="008127F8" w:rsidRPr="008127F8" w14:paraId="1B2CA7E2" w14:textId="77777777" w:rsidTr="0014562F">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B59B2C9" w14:textId="0D7D0DB6"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Винт ВИШ-105К. </w:t>
            </w:r>
            <w:r w:rsidR="008127F8">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Производство завода № 27. </w:t>
            </w:r>
            <w:r w:rsidR="008127F8">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Конструктор Заславский и Бас-Дубов.</w:t>
            </w:r>
          </w:p>
        </w:tc>
      </w:tr>
      <w:tr w:rsidR="008127F8" w:rsidRPr="008127F8" w14:paraId="3A3BFA27"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B313AEE"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AAE8E4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595477C"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Предназначен для</w:t>
            </w:r>
          </w:p>
          <w:p w14:paraId="6AE4260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D93CD6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Ил-2 с АМ-38 и АМ-38Ф</w:t>
            </w:r>
          </w:p>
        </w:tc>
      </w:tr>
      <w:tr w:rsidR="008127F8" w:rsidRPr="008127F8" w14:paraId="6E323C62"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9F88F2C"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3F995F21"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E34E26"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3A0DDB"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5A1C1113"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4373CA"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EBDCD5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27B9552"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7BD362B4"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1C7FF25"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7093CE82"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166478A"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5363806F"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7E910B"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D8F445D"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C3E76E2"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26443C8D"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B43155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7967D7A"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58871C"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65D2C903"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D3BEF9"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30521074"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4DFC3E"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7D207E18"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7666E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356C4EB"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2CD6820"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25B351C5"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926331"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4F42E09"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696E3F0"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5B312B37"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B54B566"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Минимальный установочный угол</w:t>
            </w:r>
          </w:p>
          <w:p w14:paraId="2BC00B2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178D62D"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3BD2B41"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69CB203B"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853B0B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DAF227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2C9FBBC"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06310D53"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0A0557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1FBB4DD"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5634B7"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34BB4F0B"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D8EF83"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77694BF0"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D933DEC"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26046F5E"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0D4175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3901CE1"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B0A706"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65E75AFE"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33128FE"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FFE4275"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486676"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w:t>
            </w:r>
          </w:p>
          <w:p w14:paraId="4C8F7C2E"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79BDD35"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 испытания прошел удовлетворительно в 1942 г.</w:t>
            </w:r>
          </w:p>
          <w:p w14:paraId="718214B1"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эксплоатации*.</w:t>
            </w:r>
          </w:p>
          <w:p w14:paraId="2660AD5C"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Рекомендован в качестве резервного.</w:t>
            </w:r>
          </w:p>
        </w:tc>
      </w:tr>
      <w:tr w:rsidR="008127F8" w:rsidRPr="008127F8" w14:paraId="095FA976"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9AA16E"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022FED07"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A4E6F6"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3D0E6F"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656B4CA9"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5F4C2B3"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9DE14AA"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CB63C0"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BE73BF"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r>
      <w:tr w:rsidR="008127F8" w:rsidRPr="008127F8" w14:paraId="7446BB4D"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068ED46"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4637644" w14:textId="77777777" w:rsidR="003C6ADB" w:rsidRPr="008127F8" w:rsidRDefault="003C6ADB" w:rsidP="001E0A84">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6BCCE64"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 сведений: Отчет по испытаниям винта от 16.2.42 г.</w:t>
            </w:r>
          </w:p>
        </w:tc>
      </w:tr>
    </w:tbl>
    <w:p w14:paraId="588C652B"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 по принятой на то время орфографии (здесь и далее по тексту) (12227).</w:t>
      </w:r>
    </w:p>
    <w:p w14:paraId="1D12078D"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57B8796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вышел приказ НКАП № 124с:</w:t>
      </w:r>
    </w:p>
    <w:p w14:paraId="5B161B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распоряжению СНК от 11 февраля 1942 № 2264р Нач. 6-го ГУ Шадскому передать НКПС Калужский з-д № 479 для организации пр-ва восстановительных механизмов и зап. Частей подвижного состава.</w:t>
      </w:r>
    </w:p>
    <w:p w14:paraId="7A23B7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(1534, 10).</w:t>
      </w:r>
    </w:p>
    <w:p w14:paraId="475367A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C04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1289 О возложении на Маленкова Г.М. контроля за выполнением решений ГКО по производству самолетов и моторов и по работе ВВС. РГАНИР, Фонд ГКО, д. 21, лл. 94 (11012).</w:t>
      </w:r>
    </w:p>
    <w:p w14:paraId="790486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8AF99"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 ГОКО-1289с 16 февраля 1942 г.</w:t>
      </w:r>
    </w:p>
    <w:p w14:paraId="0B6544FF"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постановления ГОКО от 4. II «О распределении обязанностей между членами Государственного Комитета Обороны», возложить на т. Маленкова Г. М.:</w:t>
      </w:r>
    </w:p>
    <w:p w14:paraId="471497E5"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контроль за выполнением решений ГОКО по производству самолетов и моторов и подготовку соответствующих вопросов;</w:t>
      </w:r>
    </w:p>
    <w:p w14:paraId="7C13FAF0"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подготовку соответствующих вопросов.</w:t>
      </w:r>
    </w:p>
    <w:p w14:paraId="258EC5B8"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w:t>
      </w:r>
      <w:r w:rsidRPr="008127F8">
        <w:rPr>
          <w:rFonts w:ascii="Times New Roman" w:hAnsi="Times New Roman"/>
          <w:iCs/>
          <w:color w:val="000000" w:themeColor="text1"/>
          <w:sz w:val="16"/>
          <w:szCs w:val="16"/>
        </w:rPr>
        <w:t>И. Сталин».</w:t>
      </w:r>
    </w:p>
    <w:p w14:paraId="7143F97C" w14:textId="77777777" w:rsidR="00D91C13" w:rsidRPr="008127F8" w:rsidRDefault="00D91C13"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АПРФ. Ф. 3. On. 52. Д. 322. Л. 14-15, 19, 21. Копия (11455).</w:t>
      </w:r>
    </w:p>
    <w:p w14:paraId="57C6FB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AC4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1293 О реэвакуации оборудования в г.Москву на завод № 156 НКАП. РГАНИР, Фонд ГКО, д. 21, лл. 102 (11012).</w:t>
      </w:r>
    </w:p>
    <w:p w14:paraId="3D431C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58A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от N 1291сс о перевооружении самолетов Харрикейн (1532,54).</w:t>
      </w:r>
    </w:p>
    <w:p w14:paraId="33C651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7A4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1291 О перевооружении самолетов "Харрикейн". РГАНИР, Фонд ГКО, д. 21, лл. 96-97 (11012).</w:t>
      </w:r>
    </w:p>
    <w:p w14:paraId="23ABAF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733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 на основании Постановления ГКО за № 1292с и 20 февраля 1942 года по приказу НКАП № 143с металлургическое производство Комбината № 150, было возвращено из Каменска на прежние площади в Ступино на правах самостоятельного завода. Заводу был присвоен номер 150 (9504).</w:t>
      </w:r>
    </w:p>
    <w:p w14:paraId="39C0BA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9C7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1292 О частичном возвращении оборудования комбината № 150 Наркомавиапрома. РГАНИР, Фонд ГКО, д. 21, лл. 98-100, 101 (11012).</w:t>
      </w:r>
    </w:p>
    <w:p w14:paraId="3F3559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3ED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 состоялось решение ГКО за № 1294 о реэвакуации Комбината № 150 из Каменска-Уральского в Ступино (9599).</w:t>
      </w:r>
    </w:p>
    <w:p w14:paraId="036C35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B78A9"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530E4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DD6887" w14:textId="77777777" w:rsidR="007E7CE4" w:rsidRPr="008127F8" w:rsidRDefault="007E7C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 Политбюро ЦК ВКП(б) укрепило НКБ проверенными кадрами. Новым наркомом с должности заместителя нар</w:t>
      </w:r>
      <w:r w:rsidRPr="008127F8">
        <w:rPr>
          <w:rFonts w:ascii="Times New Roman" w:hAnsi="Times New Roman"/>
          <w:color w:val="000000" w:themeColor="text1"/>
          <w:sz w:val="16"/>
          <w:szCs w:val="16"/>
        </w:rPr>
        <w:softHyphen/>
        <w:t>кома вооружения был назначен Б.Л. Ванников, его первым заместителем - М.В. Хруничев, быв</w:t>
      </w:r>
      <w:r w:rsidRPr="008127F8">
        <w:rPr>
          <w:rFonts w:ascii="Times New Roman" w:hAnsi="Times New Roman"/>
          <w:color w:val="000000" w:themeColor="text1"/>
          <w:sz w:val="16"/>
          <w:szCs w:val="16"/>
        </w:rPr>
        <w:softHyphen/>
        <w:t>ший заместитель наркома авиапромышленно</w:t>
      </w:r>
      <w:r w:rsidRPr="008127F8">
        <w:rPr>
          <w:rFonts w:ascii="Times New Roman" w:hAnsi="Times New Roman"/>
          <w:color w:val="000000" w:themeColor="text1"/>
          <w:sz w:val="16"/>
          <w:szCs w:val="16"/>
        </w:rPr>
        <w:softHyphen/>
        <w:t>сти, вторым - П.Н. Горемыкин, бывший нарком боеприпасов СССР [14, оп. 3, д. 1043, л. 47]. В целях укрепления исполнительской дисципли</w:t>
      </w:r>
      <w:r w:rsidRPr="008127F8">
        <w:rPr>
          <w:rFonts w:ascii="Times New Roman" w:hAnsi="Times New Roman"/>
          <w:color w:val="000000" w:themeColor="text1"/>
          <w:sz w:val="16"/>
          <w:szCs w:val="16"/>
        </w:rPr>
        <w:softHyphen/>
        <w:t>ны новый нарком провел чистку директорского корпуса. В апреле-июне 1942 г. за невыполнение заданий ГКО по его ходатайству были сняты с должностей и переданы в следственные органы НКВД 8 директоров крупных заводов НКБ [8, c. 56] (21521).</w:t>
      </w:r>
    </w:p>
    <w:p w14:paraId="06FFEEDE" w14:textId="77777777" w:rsidR="007E7CE4" w:rsidRPr="008127F8" w:rsidRDefault="007E7CE4" w:rsidP="001E0A84">
      <w:pPr>
        <w:spacing w:after="0" w:line="240" w:lineRule="auto"/>
        <w:jc w:val="both"/>
        <w:rPr>
          <w:rFonts w:ascii="Times New Roman" w:hAnsi="Times New Roman"/>
          <w:color w:val="000000" w:themeColor="text1"/>
          <w:sz w:val="16"/>
          <w:szCs w:val="16"/>
        </w:rPr>
      </w:pPr>
    </w:p>
    <w:p w14:paraId="6FBFCA47"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16 февраля 1942 Берия снимает с должности наркома боеприпасов П. Н. Горемыкина и назначает на его должность Б. Л. Ванникова.</w:t>
      </w:r>
    </w:p>
    <w:p w14:paraId="2BC0053F"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17 февраля 1942 г. Берия издал указ об организации производства военной продукции в ГУЛАГе.</w:t>
      </w:r>
    </w:p>
    <w:p w14:paraId="00961AAE"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13 февраля 1942 г. Берия вошел в состав транспортной группы, вместе с Маленковым и Кагановичем.</w:t>
      </w:r>
    </w:p>
    <w:p w14:paraId="198A420E"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8 декабре 1942 г. Берия по поручению ГКО начал вместо Молотова контролировать танковую промышленность.</w:t>
      </w:r>
    </w:p>
    <w:p w14:paraId="6814D971"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30 сентября 1943 г. вышел указ Президиума Верховного Совета Союза ССР о присвоении Л. П. Берии звания Героя Социалистического Труда за достижения в производстве вооружений и боеприпасов.</w:t>
      </w:r>
    </w:p>
    <w:p w14:paraId="02E6BEE6"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9 июля 1945 г. Л. П. Берии присвоено высшее воинское звание — Маршал Советского Союза.</w:t>
      </w:r>
    </w:p>
    <w:p w14:paraId="69363C7E"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20 сентября 1945 г. Постановлением ГКО был образован Спецкомитет для руководства всеми работами по созданию атомного оружия, руководителем которого назначен Берия.</w:t>
      </w:r>
    </w:p>
    <w:p w14:paraId="60BB9DCB"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И, наконец, 29 декабря 1945 г. Берия был освобожден от должности наркома внутренних дел в связи «с перегруженностью центральной работой». Ас апреля 1946 г. Берия возглавил Бюро Совета Министров, в которое входили все заместители председателя Совмина СССР Сталина.</w:t>
      </w:r>
    </w:p>
    <w:p w14:paraId="18A1546F" w14:textId="77777777" w:rsidR="003C6ADB" w:rsidRPr="008127F8" w:rsidRDefault="003C6ADB" w:rsidP="001E0A84">
      <w:pPr>
        <w:pStyle w:val="1f8"/>
        <w:spacing w:before="0" w:after="0"/>
        <w:jc w:val="both"/>
        <w:rPr>
          <w:color w:val="000000" w:themeColor="text1"/>
          <w:sz w:val="16"/>
          <w:szCs w:val="16"/>
        </w:rPr>
      </w:pPr>
      <w:r w:rsidRPr="008127F8">
        <w:rPr>
          <w:color w:val="000000" w:themeColor="text1"/>
          <w:sz w:val="16"/>
          <w:szCs w:val="16"/>
        </w:rPr>
        <w:t>С 1946 г. по март 1953 г. Берия курировал, кроме Спецкомитета, химическую промышленность, черную и цветную металлургию, лесную промышленность, водный транспорт, работу МВД и МГБ, как заместитель Председателя Совмина (12130).</w:t>
      </w:r>
    </w:p>
    <w:p w14:paraId="0030D815" w14:textId="77777777" w:rsidR="003C6ADB" w:rsidRPr="008127F8" w:rsidRDefault="003C6ADB" w:rsidP="001E0A84">
      <w:pPr>
        <w:spacing w:after="0" w:line="240" w:lineRule="auto"/>
        <w:jc w:val="both"/>
        <w:rPr>
          <w:rStyle w:val="1f9"/>
          <w:rFonts w:ascii="Times New Roman" w:hAnsi="Times New Roman"/>
          <w:i w:val="0"/>
          <w:color w:val="000000" w:themeColor="text1"/>
          <w:sz w:val="16"/>
          <w:szCs w:val="16"/>
        </w:rPr>
      </w:pPr>
    </w:p>
    <w:p w14:paraId="6CDE421E" w14:textId="77777777" w:rsidR="003A1116" w:rsidRPr="008127F8" w:rsidRDefault="003A1116"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16 февраля 1942 г.</w:t>
      </w:r>
    </w:p>
    <w:p w14:paraId="259B6459"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ПОСТАНОВЛЕНИЕ № ГОКО-1289с 16 февраля 1942 г.</w:t>
      </w:r>
    </w:p>
    <w:p w14:paraId="55657E53"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Во изменение постановления ГОКО от 4. II «О распределении обязанностей между членами Государственного Комитета Обороны», возложить на т. Маленкова Г. М.:</w:t>
      </w:r>
    </w:p>
    <w:p w14:paraId="31AC27BF" w14:textId="04618327" w:rsidR="003A1116" w:rsidRPr="008127F8" w:rsidRDefault="003A111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shd w:val="clear" w:color="auto" w:fill="FFFFFF"/>
        </w:rPr>
        <w:t>а)</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w:t>
      </w:r>
      <w:proofErr w:type="gramEnd"/>
      <w:r w:rsidRPr="008127F8">
        <w:rPr>
          <w:rFonts w:ascii="Times New Roman" w:hAnsi="Times New Roman"/>
          <w:color w:val="000000" w:themeColor="text1"/>
          <w:sz w:val="16"/>
          <w:szCs w:val="16"/>
          <w:shd w:val="clear" w:color="auto" w:fill="FFFFFF"/>
        </w:rPr>
        <w:t>контроль за выполнением решений ГОКО по производству самолетов и моторов и подготовку соответствующих вопросов;</w:t>
      </w:r>
    </w:p>
    <w:p w14:paraId="347D8BF3" w14:textId="5DF5D829" w:rsidR="003A1116" w:rsidRPr="008127F8" w:rsidRDefault="003A111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shd w:val="clear" w:color="auto" w:fill="FFFFFF"/>
        </w:rPr>
        <w:lastRenderedPageBreak/>
        <w:t>б)</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w:t>
      </w:r>
      <w:proofErr w:type="gramEnd"/>
      <w:r w:rsidRPr="008127F8">
        <w:rPr>
          <w:rFonts w:ascii="Times New Roman" w:hAnsi="Times New Roman"/>
          <w:color w:val="000000" w:themeColor="text1"/>
          <w:sz w:val="16"/>
          <w:szCs w:val="16"/>
          <w:shd w:val="clear" w:color="auto" w:fill="FFFFFF"/>
        </w:rPr>
        <w:t>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подготовку соответствующих вопросов.</w:t>
      </w:r>
    </w:p>
    <w:p w14:paraId="4F6EC0A5"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Председатель Государственного Комитета Обороны И. Сталин».</w:t>
      </w:r>
    </w:p>
    <w:p w14:paraId="66E14BD6"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АПРФ. Ф. 3. On. 52. Д. 322. Л. 14-15, 19, 21. Копия (19798).</w:t>
      </w:r>
    </w:p>
    <w:p w14:paraId="6C273F09" w14:textId="77777777" w:rsidR="003A1116" w:rsidRPr="008127F8" w:rsidRDefault="003A1116" w:rsidP="001E0A84">
      <w:pPr>
        <w:spacing w:after="0" w:line="240" w:lineRule="auto"/>
        <w:jc w:val="both"/>
        <w:rPr>
          <w:rFonts w:ascii="Times New Roman" w:hAnsi="Times New Roman"/>
          <w:color w:val="000000" w:themeColor="text1"/>
          <w:sz w:val="16"/>
          <w:szCs w:val="16"/>
        </w:rPr>
      </w:pPr>
    </w:p>
    <w:p w14:paraId="58012E44" w14:textId="77777777" w:rsidR="00AE7110" w:rsidRPr="008A2E5A" w:rsidRDefault="00AE7110" w:rsidP="00AE71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16 февраля 1942 г. в системе Наркомата танковой промышленности СССР в Челябинске начинает действовать Центральное танко-моторное конструкторское бюро, и при нем опытный завод под руководством Ж. Я. Котина. Новое предприятие создавалось на освободившихся площадях завода «Красный Пролетарий» на основе опытного завода ЧТЗ, цеха МХ-2 и эвакуированного из Харькова станкостроительного завода им. Молотова. В конце марта 1942 г. опытный завод переименовывается в Опытный танко-моторный завод № 100 </w:t>
      </w:r>
      <w:proofErr w:type="gramStart"/>
      <w:r w:rsidRPr="008A2E5A">
        <w:rPr>
          <w:rFonts w:ascii="Times New Roman" w:hAnsi="Times New Roman"/>
          <w:color w:val="0070C0"/>
          <w:sz w:val="16"/>
          <w:szCs w:val="16"/>
        </w:rPr>
        <w:t>НКТП[</w:t>
      </w:r>
      <w:proofErr w:type="gramEnd"/>
      <w:r w:rsidRPr="008A2E5A">
        <w:rPr>
          <w:rFonts w:ascii="Times New Roman" w:hAnsi="Times New Roman"/>
          <w:color w:val="0070C0"/>
          <w:sz w:val="16"/>
          <w:szCs w:val="16"/>
        </w:rPr>
        <w:t>331].</w:t>
      </w:r>
    </w:p>
    <w:p w14:paraId="4058CA22" w14:textId="77777777" w:rsidR="00AE7110" w:rsidRPr="008A2E5A" w:rsidRDefault="00AE7110" w:rsidP="00AE71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 завода формировался на основе работников челябинского Кировского завода и квалифицированных рабочих и инженерно</w:t>
      </w:r>
      <w:r w:rsidRPr="008A2E5A">
        <w:rPr>
          <w:rFonts w:ascii="Times New Roman" w:hAnsi="Times New Roman"/>
          <w:color w:val="0070C0"/>
          <w:sz w:val="16"/>
          <w:szCs w:val="16"/>
        </w:rPr>
        <w:softHyphen/>
        <w:t xml:space="preserve">технических работников, переведенных с заводов № 37, 76, 174, 183 и УЗТМ. В момент создания коллектив завода насчитывал 1059 человек, в течение года он был увеличен до 1310 человек за счет рабочих и инженерно-технических работников Кировского завода и перевода работников с других танковых предприятий </w:t>
      </w:r>
      <w:proofErr w:type="gramStart"/>
      <w:r w:rsidRPr="008A2E5A">
        <w:rPr>
          <w:rFonts w:ascii="Times New Roman" w:hAnsi="Times New Roman"/>
          <w:color w:val="0070C0"/>
          <w:sz w:val="16"/>
          <w:szCs w:val="16"/>
        </w:rPr>
        <w:t>страны[</w:t>
      </w:r>
      <w:proofErr w:type="gramEnd"/>
      <w:r w:rsidRPr="008A2E5A">
        <w:rPr>
          <w:rFonts w:ascii="Times New Roman" w:hAnsi="Times New Roman"/>
          <w:color w:val="0070C0"/>
          <w:sz w:val="16"/>
          <w:szCs w:val="16"/>
        </w:rPr>
        <w:t>332].</w:t>
      </w:r>
    </w:p>
    <w:p w14:paraId="294F559E" w14:textId="77777777" w:rsidR="00AE7110" w:rsidRPr="008A2E5A" w:rsidRDefault="00AE7110" w:rsidP="00AE71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1941 г. в Свердловск эвакуировался научно-исследовательский институт № 48 (с июля 1942 г. - Государственный Центральный научно</w:t>
      </w:r>
      <w:r w:rsidRPr="008A2E5A">
        <w:rPr>
          <w:rFonts w:ascii="Times New Roman" w:hAnsi="Times New Roman"/>
          <w:color w:val="0070C0"/>
          <w:sz w:val="16"/>
          <w:szCs w:val="16"/>
        </w:rPr>
        <w:softHyphen/>
        <w:t>исследовательский броневой институт - ЦНИИ-48). НИИ до войны входил в состав Народного комиссариата судостроительной промышленности СССР, где основным направлением его деятельности была разработка новых марок броневой стали и технологий, применявшихся при изготовлении различных броневых конструкций. После эвакуации НИИ-48, войдя в состав Народного комиссариата танковой промышленности, в целом сохранил это направление и на протяжении всей войны являлся главным центром по изучению и организации производства броневой защиты танков, самолетов и другой военной техники (23536).</w:t>
      </w:r>
    </w:p>
    <w:p w14:paraId="63944B03" w14:textId="77777777" w:rsidR="00AE7110" w:rsidRPr="008A2E5A" w:rsidRDefault="00AE7110" w:rsidP="00AE7110">
      <w:pPr>
        <w:spacing w:after="0" w:line="240" w:lineRule="auto"/>
        <w:jc w:val="both"/>
        <w:rPr>
          <w:rFonts w:ascii="Times New Roman" w:hAnsi="Times New Roman"/>
          <w:color w:val="0070C0"/>
          <w:sz w:val="16"/>
          <w:szCs w:val="16"/>
        </w:rPr>
      </w:pPr>
    </w:p>
    <w:p w14:paraId="38AA247F"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 вышел приказ № 57 НКБ</w:t>
      </w:r>
    </w:p>
    <w:p w14:paraId="7246E916"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Совнаркома № 193 от 14 февраля 1942 года перевести аппарат НКБ из Челябинска в Москву (5798, 8).</w:t>
      </w:r>
    </w:p>
    <w:p w14:paraId="2568DFB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C1B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 Приказом Наркомата танковой промышленности № 55м при Кировском заводе Наркомата танковой промышленности на площадях бывшего опытного завода (ЧТЗ) организован опытный завод, впоследствии опытному заводу присвоен номер 100 (8236).</w:t>
      </w:r>
    </w:p>
    <w:p w14:paraId="3F89365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6D61E"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w:t>
      </w:r>
      <w:r w:rsidRPr="008127F8">
        <w:rPr>
          <w:rFonts w:ascii="Times New Roman" w:hAnsi="Times New Roman"/>
          <w:color w:val="000000" w:themeColor="text1"/>
          <w:sz w:val="16"/>
          <w:szCs w:val="16"/>
        </w:rPr>
        <w:softHyphen/>
        <w:t>ля 1942 вышел приказ № 55 НКТП, в соответствии с которым в марте 1942 г. на базе бывшего Опытного завода ЧТЗ был создан Опытный танко-моторный завод № 100 (10782).</w:t>
      </w:r>
    </w:p>
    <w:p w14:paraId="5180F1F2" w14:textId="77777777" w:rsidR="00D91C13" w:rsidRPr="008127F8" w:rsidRDefault="00D91C1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EC1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 по приказу № 55 от на базе бывшего Опытного завода ЧТЗ в 03.1942 г. создан Опытный танко- моторный завод № 100 НКТП. Сюда с ЧКЗ переданы работы по танку КВ-13 («объект 233»).</w:t>
      </w:r>
      <w:r w:rsidRPr="008127F8">
        <w:rPr>
          <w:rFonts w:ascii="Times New Roman" w:hAnsi="Times New Roman"/>
          <w:color w:val="000000" w:themeColor="text1"/>
          <w:sz w:val="16"/>
          <w:szCs w:val="16"/>
          <w:vertAlign w:val="superscript"/>
        </w:rPr>
        <w:t>109</w:t>
      </w:r>
      <w:r w:rsidRPr="008127F8">
        <w:rPr>
          <w:rFonts w:ascii="Times New Roman" w:hAnsi="Times New Roman"/>
          <w:color w:val="000000" w:themeColor="text1"/>
          <w:sz w:val="16"/>
          <w:szCs w:val="16"/>
        </w:rPr>
        <w:t xml:space="preserve"> В 1945 г. завод передан в ведение Наркомтрансмаша.</w:t>
      </w:r>
    </w:p>
    <w:p w14:paraId="48EED7F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образован филиал завода № 100 на Кировском заводе. В 01.1949 г. он реорганизован в самостоятельный Всесоюзный танковый НИИ-100 МТМ. В составе завода (1944 г.) действовало КБ.</w:t>
      </w:r>
    </w:p>
    <w:p w14:paraId="0DDF81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1942 г. разработан тяжелый танк ИС («Иосиф Сталин»). 24.02.1943 г. вышло постановление ГКО № 2943сс об изготовлении опытных образцов танков ИС-1 и ИС-2. Приказом НКТП № 261 от 8.05.1943 г. заводу № 100 и ЧКЗ предписывалось изготовить 3 танка ИС и перевооружить два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-1С 85-мм пушкой (КВ-85). В соответствии с пост. ГКО № 3891сс от 8.08.1943 г. КВ-85 запущен в серию на ЧКЗ. Пост. ГКО № 4043сс от 4.09.1943 г. танки КВ-85 и ИС-85 пнв и запущены в серию. Пост. ГКО № 4479сс от 31.10.1943 г. танк ИС-2 со 122-мм пушкой Д-25 пнв. 29.03.1945 г. вышло постановление ГКО № 7950 о модернизации танка ИС-2.</w:t>
      </w:r>
    </w:p>
    <w:p w14:paraId="5280D7D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09.1945 г. закончен проект ИС-7, весной 1946 г. принято решение о строительстве двух опытных образцов, первый построен в 09.1946 г.</w:t>
      </w:r>
    </w:p>
    <w:p w14:paraId="33E47A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961-403сс от 29.04.1946 г. танк ИС-4 («объект 701») пнв. В соответствии с ПСМ № 701-270сс от 18.02.1949 г. необходимо было модернизировать ИС-4 и представить на испытания к 15.07.1949 г. 12 машин.</w:t>
      </w:r>
    </w:p>
    <w:p w14:paraId="5F4C44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08.1949 г. сюда с завода № 112 переданы работы по созданию плавающего танка вместе с заделом и оснасткой, 15.08.1949 г. вышло ПСМ № 3472-1444 о создании в 1950 г. плавающего танка и БТР. 30.08.1949 г. сюда переведен Ж.Я. Котин, а16.09.1949 г. - 31 конструктор с завода № 112. В 10.1949 г. проект танка, первоначально именовавшийся «объект 270», переименован в «объект 740». В 06.1950 г. построены два опытных образца, (см. также КБ ЧТЗ)</w:t>
      </w:r>
    </w:p>
    <w:p w14:paraId="0BFAB4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Н. Ворошилов, (1944 г.)- Ж.Я. Котин.</w:t>
      </w:r>
    </w:p>
    <w:p w14:paraId="2BF1CA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(1942-43 г.-)- Н.М. Синев.</w:t>
      </w:r>
    </w:p>
    <w:p w14:paraId="75F479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 г.-)- А. Ермолаев, (-1943-49 г.)- Ж.Я. Котин.</w:t>
      </w:r>
    </w:p>
    <w:p w14:paraId="3EE74F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технолог (1942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Кабардин.</w:t>
      </w:r>
    </w:p>
    <w:p w14:paraId="4ADB9D0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конструктор (-1944-45 г.-)- М.Ф. Балжа (ИС-3).</w:t>
      </w:r>
    </w:p>
    <w:p w14:paraId="662459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конструкторской группы (1944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Москвин.</w:t>
      </w:r>
    </w:p>
    <w:p w14:paraId="1B923CC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тяжелые танки:</w:t>
      </w:r>
      <w:r w:rsidRPr="008127F8">
        <w:rPr>
          <w:rFonts w:ascii="Times New Roman" w:hAnsi="Times New Roman"/>
          <w:color w:val="000000" w:themeColor="text1"/>
          <w:sz w:val="16"/>
          <w:szCs w:val="16"/>
        </w:rPr>
        <w:t xml:space="preserve"> ИС-1 («объект 233», 1943), ИС-2 («объект 234», 1943), ИС-3 (1943), ИС-4 (1943), ИС-1 («объект 237», ИС-85, 1943), КВ-85 («объекты 238, 239», 1943), ИС-2 («объект 240», ИС-122, пнв 31.10.1943 г.), ИС-3 («объект 245», 1944), ИС-4 («объект 245», 1944), ИС-5 («объект 248», 1944), ИС-6 («объекты 252, 253», 1944), тяжелый танк прорыва ИС-М (проект, 1944), ИС-3 («объект 703», 1944), «объект 257» (проект, 1945), «объект 258» (проект, 1945), «объект 259» (проект, 1945), ИС-7 («объект 260», 1945), ИС-4 («объект 701», пнв 29.04.1946 г.).</w:t>
      </w:r>
    </w:p>
    <w:p w14:paraId="5431CDA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Всесоюзный научно-исследовательский танковый и дизельный институт № 100 (ВНИИ-100) МТМ, ВНИИ транспортного машиностроения (ВНИИТМ), ЗАО,</w:t>
      </w:r>
    </w:p>
    <w:p w14:paraId="15AC083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ОАО «ВНИИтрансмаш» /</w:t>
      </w:r>
      <w:proofErr w:type="gramStart"/>
      <w:r w:rsidRPr="008127F8">
        <w:rPr>
          <w:rFonts w:ascii="Times New Roman" w:hAnsi="Times New Roman"/>
          <w:color w:val="000000" w:themeColor="text1"/>
          <w:sz w:val="16"/>
          <w:szCs w:val="16"/>
        </w:rPr>
        <w:t>198323  г.</w:t>
      </w:r>
      <w:proofErr w:type="gramEnd"/>
      <w:r w:rsidRPr="008127F8">
        <w:rPr>
          <w:rFonts w:ascii="Times New Roman" w:hAnsi="Times New Roman"/>
          <w:color w:val="000000" w:themeColor="text1"/>
          <w:sz w:val="16"/>
          <w:szCs w:val="16"/>
        </w:rPr>
        <w:t xml:space="preserve"> Ленинград,  г. Санкт-Петербург ул. Заречная, 2 тел. 149-69-42, 135-98-50/</w:t>
      </w:r>
    </w:p>
    <w:p w14:paraId="03C4F4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Всесоюзный танковый НИИ-100 создан в 01(6).1949 г. на базе филиала Опытного завода № 100 на Кировском заводе. В 1966 г. он переименован во ВНИИтрансмаш (см. также КБ ЧТЗ).</w:t>
      </w:r>
    </w:p>
    <w:p w14:paraId="35DD66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Институт имел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Московский филиал, далее- НИИ Стали.</w:t>
      </w:r>
    </w:p>
    <w:p w14:paraId="09C423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1960 г.- разработка танковых шасси. В 1951-59 г. проведен комплекс теоретических и экспериментальных исследований по гидромеханическим трансмиссиям, системам воздухоочистки и охлаждения двигателей, гусеничному движителю. Создан опытный четырехгусеничный танк высокой проходимости.</w:t>
      </w:r>
    </w:p>
    <w:p w14:paraId="44A590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1960-е  г. разработано несколько вариантов самоходной ПУ для МБР «Темп-2С»: 4-гусеничные на базе танка Т-64 («объект 432») и тягача «объект 429» или «объект 775»; двухгусеничная на базе СПУ РК РТ-20П; сочлененная на базе тягача «объект 821» с полуприцепом </w:t>
      </w:r>
      <w:r w:rsidRPr="008127F8">
        <w:rPr>
          <w:rFonts w:ascii="Times New Roman" w:hAnsi="Times New Roman"/>
          <w:color w:val="000000" w:themeColor="text1"/>
          <w:sz w:val="16"/>
          <w:szCs w:val="16"/>
          <w:lang w:val="en-US"/>
        </w:rPr>
        <w:t>MA</w:t>
      </w:r>
      <w:r w:rsidRPr="008127F8">
        <w:rPr>
          <w:rFonts w:ascii="Times New Roman" w:hAnsi="Times New Roman"/>
          <w:color w:val="000000" w:themeColor="text1"/>
          <w:sz w:val="16"/>
          <w:szCs w:val="16"/>
        </w:rPr>
        <w:t>3-537.</w:t>
      </w:r>
    </w:p>
    <w:p w14:paraId="1E9EC4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разработаны проекты луноходов (экскаваторов, самосвалов, дорожных и строительных машин), многофункциональной машины «Муравей» для долговременной базы на Луне, создано шасси для «Лунохода-1» и «Лунохода-2» (руководитель работ- А. Кемурджиан).</w:t>
      </w:r>
      <w:r w:rsidRPr="008127F8">
        <w:rPr>
          <w:rFonts w:ascii="Times New Roman" w:hAnsi="Times New Roman"/>
          <w:color w:val="000000" w:themeColor="text1"/>
          <w:sz w:val="16"/>
          <w:szCs w:val="16"/>
          <w:vertAlign w:val="superscript"/>
        </w:rPr>
        <w:t>94</w:t>
      </w:r>
      <w:r w:rsidRPr="008127F8">
        <w:rPr>
          <w:rFonts w:ascii="Times New Roman" w:hAnsi="Times New Roman"/>
          <w:color w:val="000000" w:themeColor="text1"/>
          <w:sz w:val="16"/>
          <w:szCs w:val="16"/>
        </w:rPr>
        <w:t xml:space="preserve"> Разработка и производство робототехники: комплексы «Клин-1» на бесклиренсном шасси на базе машины ИМР-2 (1986 г.), специализированный транспортный робот СТР-1, принявшие участие в ликвидации аварии Чернобыльской АЭС; КРТ-100, КРТ-200, машина радиационной и химической разведки.</w:t>
      </w:r>
    </w:p>
    <w:p w14:paraId="4BD8CE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программе создания ОК «Буран».</w:t>
      </w:r>
    </w:p>
    <w:p w14:paraId="5768DB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1975-90 г. на институт были возложены задачи координации НИОКР по военным гусеничным машинам (ВГМ) и оказания помощи КБ заводов. 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принимал участие в разработке целевых программ развития ВГМ.</w:t>
      </w:r>
    </w:p>
    <w:p w14:paraId="6CC30FB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1990-е  г. в рамках конверсии разработаны: машины для фрезерования дорожных покрытий, вакуумно- подметальные; технологическое оборудование для прокладки волоконно-оптических линий связи и контактной сети ж/д транспорта; информационно-вычислительные комплексы и электромеханические приводы для судовых ЯЭУ; тележки, токоприемники, беззазорные сцепные устройства для ж/д транспорта; гидропневматические подвески для троллейбусов.</w:t>
      </w:r>
    </w:p>
    <w:p w14:paraId="123EDDD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акционирован. По Указу Президента РФ № 1009 от 4.08.2004 г. ОАО вошло в число стратегических оборонных предприятий.</w:t>
      </w:r>
    </w:p>
    <w:p w14:paraId="10D031A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аппаратуры для исследования планет.</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Создан аппарат для исследования Фобоса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Проект марсохода на бесклиренсном шасси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138</w:t>
      </w:r>
    </w:p>
    <w:p w14:paraId="1E0CC8C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«Турбина» по разработке опытного образца газотурбиной расширительной энергетической установки (ГРЭУ) для котельных жилищного городского комплекса на базе узлов утилизируемых танковых ГТД.</w:t>
      </w:r>
    </w:p>
    <w:p w14:paraId="6B7E50B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модернизация ВГМ, разработка средств противодействия ВТО 2-го поколения; производство приборов выверки для танковых пушек; подготовка к выпуску высокозащгаценной машины радиационной и химической разведки. К 2005 г. институт принял участие в разработке более 150 образцов ВГМ, более 100 из которых приняты на вооружение.</w:t>
      </w:r>
      <w:r w:rsidRPr="008127F8">
        <w:rPr>
          <w:rFonts w:ascii="Times New Roman" w:hAnsi="Times New Roman"/>
          <w:color w:val="000000" w:themeColor="text1"/>
          <w:sz w:val="16"/>
          <w:szCs w:val="16"/>
          <w:vertAlign w:val="superscript"/>
        </w:rPr>
        <w:t>101</w:t>
      </w:r>
    </w:p>
    <w:p w14:paraId="67EBED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должно войти в создаваемый в 2006 г. холдинг ОАО «НПО «Бронетанковая техника и артиллерия».</w:t>
      </w:r>
    </w:p>
    <w:p w14:paraId="610CB41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Б. Абрамов,</w:t>
      </w:r>
      <w:r w:rsidRPr="008127F8">
        <w:rPr>
          <w:rFonts w:ascii="Times New Roman" w:hAnsi="Times New Roman"/>
          <w:color w:val="000000" w:themeColor="text1"/>
          <w:sz w:val="16"/>
          <w:szCs w:val="16"/>
          <w:vertAlign w:val="superscript"/>
        </w:rPr>
        <w:t>21</w:t>
      </w:r>
      <w:r w:rsidRPr="008127F8">
        <w:rPr>
          <w:rFonts w:ascii="Times New Roman" w:hAnsi="Times New Roman"/>
          <w:color w:val="000000" w:themeColor="text1"/>
          <w:sz w:val="16"/>
          <w:szCs w:val="16"/>
        </w:rPr>
        <w:t xml:space="preserve"> (2003 г.)- В.В. Степанов.</w:t>
      </w:r>
    </w:p>
    <w:p w14:paraId="3F65D2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(1949 г.-)- Ж.Я. Котин (11982).</w:t>
      </w:r>
    </w:p>
    <w:p w14:paraId="404124FE"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50263"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color w:val="000000" w:themeColor="text1"/>
          <w:sz w:val="16"/>
          <w:szCs w:val="16"/>
        </w:rPr>
        <w:t>16 февраля 1942 года в Москву из Челябинска поступил проект заместителя главного металлурга завода №78 Д.И. Чижикова. В письме, адресованном Сталину, Чижиков описывал бронированный прицеп с использованием ходовой части танка Т-60:</w:t>
      </w:r>
    </w:p>
    <w:p w14:paraId="72A948D5"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«Для заброски десантов в тыл противника предлагаю применять бронированные, на гусеничном ходу, прицепы к танкам, условно называемые мною ТД (танковый десант, транспортируемый ДОТ).</w:t>
      </w:r>
    </w:p>
    <w:p w14:paraId="635C0E69"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lastRenderedPageBreak/>
        <w:t>Прицепы ТД, кроме указанного мною назначения, в зависимости от боевой обстановки могут быть использованы, как ДОТ-ы и транспортёры для перевозки под обстрелом противника боеприпасов, вооружения и раненых. По конструкции ТД является несложным транспортным средством, состоящим из бронированного корпуса простейшей формы и ходовой безмоторной части на гусеницах.</w:t>
      </w:r>
    </w:p>
    <w:p w14:paraId="5DA1B5DF"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 xml:space="preserve">Корпус ТД может быть изготовлен из листов путём сварки-клёпки, или путём отливки. Для изготовления корпусов ТД вполне могут быть использованы маломерные, с поверхностными и прочими дефектами листы, которые не употребляются в производстве танковых корпусов. Для изготовления ходовой части ТД можно использовать детали с подбитых танков, </w:t>
      </w:r>
      <w:proofErr w:type="gramStart"/>
      <w:r w:rsidRPr="008127F8">
        <w:rPr>
          <w:iCs/>
          <w:color w:val="000000" w:themeColor="text1"/>
          <w:sz w:val="16"/>
          <w:szCs w:val="16"/>
        </w:rPr>
        <w:t>детали</w:t>
      </w:r>
      <w:proofErr w:type="gramEnd"/>
      <w:r w:rsidRPr="008127F8">
        <w:rPr>
          <w:iCs/>
          <w:color w:val="000000" w:themeColor="text1"/>
          <w:sz w:val="16"/>
          <w:szCs w:val="16"/>
        </w:rPr>
        <w:t xml:space="preserve"> не принятые по тем или иным причинам для монтажа танков, а также детали от гусеничных тракторов, например, с трактора С-2 ЧТЗ.</w:t>
      </w:r>
    </w:p>
    <w:p w14:paraId="1FCB2326"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Исходя из того, что конструкция ТД является предельно простой, освоение и массовый выпуск их может быть осуществлён в короткий срок и на любых заводах с ограниченными производственными возможностями.</w:t>
      </w:r>
    </w:p>
    <w:p w14:paraId="4F103B4D"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Для проработки конструкции ТД я обратился за помощью к директору завода №200 (Ижорский завод в Челябинске) тов. Попову М.Н., который положительно отнёсся к моему предложению и немедленно выделил конструкторов для работы. В настоящее время проработка технического проекта ТД для варианта сварной корпус на ходовой части от танка Т-60, закончена и для всесторонней проверки и испытания конструкции в собранном виде требуется изготовить один экземпляр ТД».</w:t>
      </w:r>
    </w:p>
    <w:p w14:paraId="3CBFD24A"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color w:val="000000" w:themeColor="text1"/>
          <w:sz w:val="16"/>
          <w:szCs w:val="16"/>
        </w:rPr>
        <w:t>Идея Чижикова оказалась куда более реалистичной, чем прежние предложения. Длина прицепа ТД должна была составить 4,5 м, ширина — 2 м, а высота — 1 метр. Ходовая часть для прицепа бралась от Т-60. Правда, бронирование и вместимость прицепа Чижикова превосходили пожелания военных. Толщина бортов составляла 40 мм, носовой и кормовой части — 30 мм, крыши — 20 мм, а днища — 15 мм. Рассчитывался ТД на 25 десантников, которые могли вести огонь из 14 открываемых изнутри бойниц. При таких параметрах боевая масса прицепа составляла 9 тонн, но и тягач для него предполагался солидный — КВ-1. Изготавливать его планировалось на заводе №200, который в 1941 году был выделен из завода №78 для выпуска корпусов и башен для КВ.</w:t>
      </w:r>
    </w:p>
    <w:p w14:paraId="25F32824"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color w:val="000000" w:themeColor="text1"/>
          <w:sz w:val="16"/>
          <w:szCs w:val="16"/>
        </w:rPr>
        <w:t>Существенным плюсом конструкции было то, что базировалась она на уже находившихся в производстве агрегатах. Кроме того, даже в черновом варианте разработка Чижикова смотрелась очень зрело. Самое же главное: в создании ТД оказался заинтересован, в том числе и финансово, завод №200, ведь формально разработчиками оказывались его инженеры, а не заместитель главного металлурга завода №78. Проекты «со стороны» не любили на всех заводах, а тут он оказывался «своим».</w:t>
      </w:r>
    </w:p>
    <w:p w14:paraId="7C57BCF3" w14:textId="77777777" w:rsidR="00F34BC1" w:rsidRPr="008127F8" w:rsidRDefault="00F34BC1" w:rsidP="001E0A84">
      <w:pPr>
        <w:pStyle w:val="af"/>
        <w:shd w:val="clear" w:color="auto" w:fill="FFFFFF"/>
        <w:spacing w:before="0" w:after="0"/>
        <w:jc w:val="both"/>
        <w:rPr>
          <w:color w:val="000000" w:themeColor="text1"/>
          <w:sz w:val="16"/>
          <w:szCs w:val="16"/>
        </w:rPr>
      </w:pPr>
      <w:r w:rsidRPr="008127F8">
        <w:rPr>
          <w:color w:val="000000" w:themeColor="text1"/>
          <w:sz w:val="16"/>
          <w:szCs w:val="16"/>
        </w:rPr>
        <w:t>Неудивительно, что на заводе №200 к идее Чижикова отнеслись с энтузиазмом. Тему ТД на заводе №200 вели старший конструктор Красильников и начальник заводского КБ Сергеев. Так прицеп ТД стал ТД-200: цифра «200» означала номер завода, в стенах которого он разрабатывался. Чижиков же выступал в роли консультанта и одновременно продвигал своё детище, в случае задержки работ бомбардируя письмами различные инстанции. При этом в переписке по проекту его фамилия даже не упоминается (17711).</w:t>
      </w:r>
    </w:p>
    <w:p w14:paraId="4CF8A83E" w14:textId="77777777" w:rsidR="00F34BC1" w:rsidRPr="008127F8" w:rsidRDefault="00F34BC1" w:rsidP="001E0A84">
      <w:pPr>
        <w:pStyle w:val="af"/>
        <w:shd w:val="clear" w:color="auto" w:fill="FFFFFF"/>
        <w:spacing w:before="0" w:after="0"/>
        <w:jc w:val="both"/>
        <w:rPr>
          <w:color w:val="000000" w:themeColor="text1"/>
          <w:sz w:val="16"/>
          <w:szCs w:val="16"/>
        </w:rPr>
      </w:pPr>
    </w:p>
    <w:p w14:paraId="7A5B3700"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16 февраля 1942 года заместитель главного металлурга завода № 78 (г. Челябинск) Д. И. Чижиков в письме, отправленном Сталину, описывался бронированный прицеп с использованием ходовой части танка Т-60:</w:t>
      </w:r>
    </w:p>
    <w:p w14:paraId="1859EB18"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«Для заброски десантов в тыл противника предлагаю применять бро</w:t>
      </w:r>
      <w:r w:rsidRPr="008127F8">
        <w:rPr>
          <w:color w:val="000000" w:themeColor="text1"/>
          <w:sz w:val="16"/>
          <w:szCs w:val="16"/>
        </w:rPr>
        <w:softHyphen/>
        <w:t>нированные, на гусеничном ходу, прицепы к танкам, условно называемые мною ТД (танковый десант, транспортируемый ДОТ).</w:t>
      </w:r>
    </w:p>
    <w:p w14:paraId="4C9CC75E"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Прицепы ТД, кроме указанного мною назначения, в зависимости от боевой обстановки могут быть использованы как ДОТы и транспортеры для перевозки под обстрелом противника боеприпасов, вооружения и ране</w:t>
      </w:r>
      <w:r w:rsidRPr="008127F8">
        <w:rPr>
          <w:rFonts w:ascii="Times New Roman" w:hAnsi="Times New Roman"/>
          <w:color w:val="000000" w:themeColor="text1"/>
          <w:sz w:val="16"/>
          <w:szCs w:val="16"/>
        </w:rPr>
        <w:softHyphen/>
        <w:t>ных. По конструкции ТД является несложным транспортным средством, состоящим из бронированного корпуса простейшей формы и ходовой без</w:t>
      </w:r>
      <w:r w:rsidRPr="008127F8">
        <w:rPr>
          <w:rFonts w:ascii="Times New Roman" w:hAnsi="Times New Roman"/>
          <w:color w:val="000000" w:themeColor="text1"/>
          <w:sz w:val="16"/>
          <w:szCs w:val="16"/>
        </w:rPr>
        <w:softHyphen/>
        <w:t>моторной части на гусеницах.</w:t>
      </w:r>
    </w:p>
    <w:p w14:paraId="35993E36"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Корпус ТД может быть изготовлен из листов путем сварки-клепки или путем отливки. Для изготовления корпусов ТД вполне могут быть исполь</w:t>
      </w:r>
      <w:r w:rsidRPr="008127F8">
        <w:rPr>
          <w:color w:val="000000" w:themeColor="text1"/>
          <w:sz w:val="16"/>
          <w:szCs w:val="16"/>
        </w:rPr>
        <w:softHyphen/>
        <w:t>зованы маломерные, с поверхностными и прочими дефектами листы, кото</w:t>
      </w:r>
      <w:r w:rsidRPr="008127F8">
        <w:rPr>
          <w:color w:val="000000" w:themeColor="text1"/>
          <w:sz w:val="16"/>
          <w:szCs w:val="16"/>
        </w:rPr>
        <w:softHyphen/>
        <w:t>рые не употребляются в производстве танковых корпусов. Для изготовления ходовой части ТД можно использовать детали с подбитых танков, детали, не принятые по тем или иным причинам для монтажа танков, а также детали от гусеничных тракторов, например, с трактора С-2 ЧТЗ.</w:t>
      </w:r>
    </w:p>
    <w:p w14:paraId="52F46805" w14:textId="77777777" w:rsidR="00CB6E72" w:rsidRPr="008127F8" w:rsidRDefault="00CB6E72"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Исходя из того что</w:t>
      </w:r>
      <w:proofErr w:type="gramEnd"/>
      <w:r w:rsidRPr="008127F8">
        <w:rPr>
          <w:rFonts w:ascii="Times New Roman" w:hAnsi="Times New Roman"/>
          <w:color w:val="000000" w:themeColor="text1"/>
          <w:sz w:val="16"/>
          <w:szCs w:val="16"/>
        </w:rPr>
        <w:t xml:space="preserve"> конструкция ТД является предельно простой, освоение и массовый выпуск их может быть осуществлен в короткий срок и на любых заводах с ограниченными производственными возмож</w:t>
      </w:r>
      <w:r w:rsidRPr="008127F8">
        <w:rPr>
          <w:rFonts w:ascii="Times New Roman" w:hAnsi="Times New Roman"/>
          <w:color w:val="000000" w:themeColor="text1"/>
          <w:sz w:val="16"/>
          <w:szCs w:val="16"/>
        </w:rPr>
        <w:softHyphen/>
        <w:t>ностями.</w:t>
      </w:r>
    </w:p>
    <w:p w14:paraId="05476FD2"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проработки конструкции ТД я обратился за помощью к директору завода № 200 (Ижорский завод в Челябинске) тов. Попову М. И., кото</w:t>
      </w:r>
      <w:r w:rsidRPr="008127F8">
        <w:rPr>
          <w:rFonts w:ascii="Times New Roman" w:hAnsi="Times New Roman"/>
          <w:color w:val="000000" w:themeColor="text1"/>
          <w:sz w:val="16"/>
          <w:szCs w:val="16"/>
        </w:rPr>
        <w:softHyphen/>
        <w:t>рый положительно отнесся к моему предложению и немедленно выделил конструкторов для работы. В настоящее время проработка технического проекта ТД для варианта «сварной корпус на ходовой части от танка Т-60» закончена и для всесторонней проверки и испытания конструкции в собранном виде требуется изготовить один экземпляр ТД.</w:t>
      </w:r>
    </w:p>
    <w:p w14:paraId="20998343"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Основные данные </w:t>
      </w:r>
      <w:proofErr w:type="gramStart"/>
      <w:r w:rsidRPr="008127F8">
        <w:rPr>
          <w:rFonts w:ascii="Times New Roman" w:hAnsi="Times New Roman"/>
          <w:color w:val="000000" w:themeColor="text1"/>
          <w:sz w:val="16"/>
          <w:szCs w:val="16"/>
        </w:rPr>
        <w:t>спроектированного ТД</w:t>
      </w:r>
      <w:proofErr w:type="gramEnd"/>
      <w:r w:rsidRPr="008127F8">
        <w:rPr>
          <w:rFonts w:ascii="Times New Roman" w:hAnsi="Times New Roman"/>
          <w:color w:val="000000" w:themeColor="text1"/>
          <w:sz w:val="16"/>
          <w:szCs w:val="16"/>
        </w:rPr>
        <w:t xml:space="preserve"> следующие:</w:t>
      </w:r>
    </w:p>
    <w:p w14:paraId="3C4D6F1E"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Габариты корпуса: длина 4500мм; ширина 2000мм; высота 1000мм.</w:t>
      </w:r>
    </w:p>
    <w:p w14:paraId="01AC9A35"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Броня: борт 40 мм; носовая и кормовая части корпуса 30 мм; крыша 20 мм; днище 15 мм.</w:t>
      </w:r>
    </w:p>
    <w:p w14:paraId="55A4A198"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Ходовая часть — подвеска от танка Т-60 на гусеницах.</w:t>
      </w:r>
    </w:p>
    <w:p w14:paraId="27D822DB"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колеи — 2580мм.</w:t>
      </w:r>
    </w:p>
    <w:p w14:paraId="29BE05D9"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Клиренс — 300мм.</w:t>
      </w:r>
    </w:p>
    <w:p w14:paraId="79F32AF3"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 14 легко устанавливаемых огневых точек, из них: 2 зе</w:t>
      </w:r>
      <w:r w:rsidRPr="008127F8">
        <w:rPr>
          <w:rFonts w:ascii="Times New Roman" w:hAnsi="Times New Roman"/>
          <w:color w:val="000000" w:themeColor="text1"/>
          <w:sz w:val="16"/>
          <w:szCs w:val="16"/>
        </w:rPr>
        <w:softHyphen/>
        <w:t>нитных пулемета, 4 противотанковых ружья и 6 пулеметов.</w:t>
      </w:r>
    </w:p>
    <w:p w14:paraId="00C3934F"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десанта — 25 автоматчиков, располагающихся внутри корпуса в сидячем положении с полным вооружением и запасом боеприпасов.</w:t>
      </w:r>
    </w:p>
    <w:p w14:paraId="69F6E7E2"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в полном снаряжении около 9 тонн.</w:t>
      </w:r>
    </w:p>
    <w:p w14:paraId="402AAD0F"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Сцепляется с танком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жестким с шарниром буксиром. Отцепка и прицепка от танка изнутри ТД.</w:t>
      </w:r>
    </w:p>
    <w:p w14:paraId="403DE33A"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входа и выхода, а также для нагрузки и разгрузки имеются 5лю</w:t>
      </w:r>
      <w:r w:rsidRPr="008127F8">
        <w:rPr>
          <w:rFonts w:ascii="Times New Roman" w:hAnsi="Times New Roman"/>
          <w:color w:val="000000" w:themeColor="text1"/>
          <w:sz w:val="16"/>
          <w:szCs w:val="16"/>
        </w:rPr>
        <w:softHyphen/>
        <w:t>ков, из них: два в крыше; по одному в носовой, в кормовой частях и в днище.</w:t>
      </w:r>
    </w:p>
    <w:p w14:paraId="21430C8D"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ускорения разрешения вопроса с изготовлением и испытанием опытного образца я обращаюсь к Вам с просьбой сделать указание народ</w:t>
      </w:r>
      <w:r w:rsidRPr="008127F8">
        <w:rPr>
          <w:rFonts w:ascii="Times New Roman" w:hAnsi="Times New Roman"/>
          <w:color w:val="000000" w:themeColor="text1"/>
          <w:sz w:val="16"/>
          <w:szCs w:val="16"/>
        </w:rPr>
        <w:softHyphen/>
        <w:t>ному комиссару танкопрома тов. Малышеву В. А. изготовить и совмест</w:t>
      </w:r>
      <w:r w:rsidRPr="008127F8">
        <w:rPr>
          <w:rFonts w:ascii="Times New Roman" w:hAnsi="Times New Roman"/>
          <w:color w:val="000000" w:themeColor="text1"/>
          <w:sz w:val="16"/>
          <w:szCs w:val="16"/>
        </w:rPr>
        <w:softHyphen/>
        <w:t>но с военными специалистами испытать один экземпляр ТД.</w:t>
      </w:r>
    </w:p>
    <w:p w14:paraId="244546F4"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Исходя из объемов работы, опытный экземпляр ТД может быть из</w:t>
      </w:r>
      <w:r w:rsidRPr="008127F8">
        <w:rPr>
          <w:color w:val="000000" w:themeColor="text1"/>
          <w:sz w:val="16"/>
          <w:szCs w:val="16"/>
        </w:rPr>
        <w:softHyphen/>
        <w:t>готовлен в условиях завода № 200 за 5—6 суток. Испытания ходовых ка</w:t>
      </w:r>
      <w:r w:rsidRPr="008127F8">
        <w:rPr>
          <w:color w:val="000000" w:themeColor="text1"/>
          <w:sz w:val="16"/>
          <w:szCs w:val="16"/>
        </w:rPr>
        <w:softHyphen/>
        <w:t>честв ТД в Челябинске займут 3—4 дня. Таким образом, не позднее 5-го марта 1942 года результаты испытаний ТД могут быть представлены на Ваше рассмотрение.</w:t>
      </w:r>
    </w:p>
    <w:p w14:paraId="10BFCE4B"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случав благоприятных результатов испытаний и решения о приня</w:t>
      </w:r>
      <w:r w:rsidRPr="008127F8">
        <w:rPr>
          <w:rFonts w:ascii="Times New Roman" w:hAnsi="Times New Roman"/>
          <w:color w:val="000000" w:themeColor="text1"/>
          <w:sz w:val="16"/>
          <w:szCs w:val="16"/>
        </w:rPr>
        <w:softHyphen/>
        <w:t>тии ТД на вооружение, массовое производство их может быть немедлен</w:t>
      </w:r>
      <w:r w:rsidRPr="008127F8">
        <w:rPr>
          <w:rFonts w:ascii="Times New Roman" w:hAnsi="Times New Roman"/>
          <w:color w:val="000000" w:themeColor="text1"/>
          <w:sz w:val="16"/>
          <w:szCs w:val="16"/>
        </w:rPr>
        <w:softHyphen/>
        <w:t>но организовано на заводах Челябинска-Свердловска без влияния на про</w:t>
      </w:r>
      <w:r w:rsidRPr="008127F8">
        <w:rPr>
          <w:rFonts w:ascii="Times New Roman" w:hAnsi="Times New Roman"/>
          <w:color w:val="000000" w:themeColor="text1"/>
          <w:sz w:val="16"/>
          <w:szCs w:val="16"/>
        </w:rPr>
        <w:softHyphen/>
        <w:t>грамму по выпуску танков».</w:t>
      </w:r>
    </w:p>
    <w:p w14:paraId="2959C9F2"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Стоит отметить, что в то время идея танковых прицепов будоражила умы многих изобретателей, но идею Чижикова стоит выделить особо. Вместо того чтобы в одиночку продвигать свою идею, изобретатель предложил ее заводу № 200, который воспринимал конструкцию как свое детище. Данный факт является немаловажным, поскольку, как го</w:t>
      </w:r>
      <w:r w:rsidRPr="008127F8">
        <w:rPr>
          <w:rFonts w:eastAsia="Calibri"/>
          <w:color w:val="000000" w:themeColor="text1"/>
          <w:sz w:val="16"/>
          <w:szCs w:val="16"/>
        </w:rPr>
        <w:softHyphen/>
        <w:t>ворится в известной пословице, своя рубаха ближе к телу. Кроме того, бронированный прицеп, предлагаемый Чижиковым, отличался про</w:t>
      </w:r>
      <w:r w:rsidRPr="008127F8">
        <w:rPr>
          <w:rFonts w:eastAsia="Calibri"/>
          <w:color w:val="000000" w:themeColor="text1"/>
          <w:sz w:val="16"/>
          <w:szCs w:val="16"/>
        </w:rPr>
        <w:softHyphen/>
        <w:t>стотой конструкции, относительно небольшой массой и использова</w:t>
      </w:r>
      <w:r w:rsidRPr="008127F8">
        <w:rPr>
          <w:rFonts w:eastAsia="Calibri"/>
          <w:color w:val="000000" w:themeColor="text1"/>
          <w:sz w:val="16"/>
          <w:szCs w:val="16"/>
        </w:rPr>
        <w:softHyphen/>
        <w:t>нием уже отработанных агрегатов танка Т-60.</w:t>
      </w:r>
    </w:p>
    <w:p w14:paraId="74A51351"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На заводе № 200 была создана группа во главе со старшим кон</w:t>
      </w:r>
      <w:r w:rsidRPr="008127F8">
        <w:rPr>
          <w:color w:val="000000" w:themeColor="text1"/>
          <w:sz w:val="16"/>
          <w:szCs w:val="16"/>
        </w:rPr>
        <w:softHyphen/>
        <w:t>структором Красильниковым и начальником заводского КБ Серге</w:t>
      </w:r>
      <w:r w:rsidRPr="008127F8">
        <w:rPr>
          <w:color w:val="000000" w:themeColor="text1"/>
          <w:sz w:val="16"/>
          <w:szCs w:val="16"/>
        </w:rPr>
        <w:softHyphen/>
        <w:t>евым, которая вела тему бронеприцепа ТД. Что касается Чижикова, то он выступал в роли консультанта и одновременно продвигал свое де</w:t>
      </w:r>
      <w:r w:rsidRPr="008127F8">
        <w:rPr>
          <w:color w:val="000000" w:themeColor="text1"/>
          <w:sz w:val="16"/>
          <w:szCs w:val="16"/>
        </w:rPr>
        <w:softHyphen/>
        <w:t>тище, бомбардируя все инстанции письмами в случае задержки работ (17485).</w:t>
      </w:r>
    </w:p>
    <w:p w14:paraId="7BE2F26C" w14:textId="77777777" w:rsidR="00CB6E72" w:rsidRPr="008127F8" w:rsidRDefault="00CB6E72" w:rsidP="001E0A84">
      <w:pPr>
        <w:pStyle w:val="af"/>
        <w:spacing w:before="0" w:after="0"/>
        <w:jc w:val="both"/>
        <w:rPr>
          <w:color w:val="000000" w:themeColor="text1"/>
          <w:sz w:val="16"/>
          <w:szCs w:val="16"/>
        </w:rPr>
      </w:pPr>
    </w:p>
    <w:p w14:paraId="4C7B1D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1290 О награждении работников ОКБ-15. РГАНИР, Фонд ГКО, д. 21, лл. 95 (11012).</w:t>
      </w:r>
    </w:p>
    <w:p w14:paraId="2A3827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6E7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1296 О переводе центрального аппарата Наркомата вооружения из г.Молотова в г.Москву. РГАНИР, Фонд ГКО, д. 21, лл. 112 (11012).</w:t>
      </w:r>
    </w:p>
    <w:p w14:paraId="6BED70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EED7B"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1297 О восстановлении производства зенитных прожекторов на площадях эвакуированного Московского прожекторного завода. (7022, 113-114,115).</w:t>
      </w:r>
    </w:p>
    <w:p w14:paraId="4AB94772"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6D0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 в соответствии с пост. ГКО № 1297 о восстановлении производства зенитных прожекторов в Москве на месте эвакуированного прожекторного завода № 644 был создан Завод № 686 НКЭП, Завод «Прожектор», «Прожекторный завод», ПО «Московский прожекторный завод» МЭТП, ЗАО, ОАО «Московский прожекторный завод» /111123  г. Москва ул. 2-я Владимирская, 10; ш. Энтузиастов, 56 стр. 33/. Во время боев под Москвой в литейном цехе ремонтировались танки. В годы войны выпускал водомаслогрейки, окопные печи, полевые ремонтные мастерские на шасси грузовиков. Затем налажен выпуск прожекторов.</w:t>
      </w:r>
    </w:p>
    <w:p w14:paraId="57A41B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освоено производство генераторов, а позже на их основе - источников автономного электропитания для МО и народного хозяйства. Была проведена реконструкция завода, перепланировка большинства цехов. С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начата разработка, выпуск и обслуживание комплектов оборудования и систем электроснабжения для войск ПВО и РВСН.</w:t>
      </w:r>
    </w:p>
    <w:p w14:paraId="4DB1CC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ПО- в ведении Минэлектротехпрома.</w:t>
      </w:r>
      <w:r w:rsidRPr="008127F8">
        <w:rPr>
          <w:rFonts w:ascii="Times New Roman" w:hAnsi="Times New Roman"/>
          <w:color w:val="000000" w:themeColor="text1"/>
          <w:sz w:val="16"/>
          <w:szCs w:val="16"/>
          <w:vertAlign w:val="superscript"/>
        </w:rPr>
        <w:t>77</w:t>
      </w:r>
    </w:p>
    <w:p w14:paraId="390512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(1950-55 г.)- Н. А. Оболенский. Руководитель (2000 г.)- Ю.Н. Архангельский.</w:t>
      </w:r>
    </w:p>
    <w:p w14:paraId="12AAB29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подвижные электростанции для стартовых позиций ракет (1960-е);</w:t>
      </w:r>
      <w:r w:rsidRPr="008127F8">
        <w:rPr>
          <w:rFonts w:ascii="Times New Roman" w:hAnsi="Times New Roman"/>
          <w:color w:val="000000" w:themeColor="text1"/>
          <w:sz w:val="16"/>
          <w:szCs w:val="16"/>
          <w:vertAlign w:val="superscript"/>
        </w:rPr>
        <w:t>60</w:t>
      </w:r>
      <w:r w:rsidRPr="008127F8">
        <w:rPr>
          <w:rFonts w:ascii="Times New Roman" w:hAnsi="Times New Roman"/>
          <w:color w:val="000000" w:themeColor="text1"/>
          <w:sz w:val="16"/>
          <w:szCs w:val="16"/>
        </w:rPr>
        <w:t xml:space="preserve"> стиральная машина СМП-3 «Эврика» (1976); магнитофоны: МП-1, МП-2; </w:t>
      </w:r>
      <w:r w:rsidRPr="008127F8">
        <w:rPr>
          <w:rFonts w:ascii="Times New Roman" w:hAnsi="Times New Roman"/>
          <w:color w:val="000000" w:themeColor="text1"/>
          <w:sz w:val="16"/>
          <w:szCs w:val="16"/>
        </w:rPr>
        <w:lastRenderedPageBreak/>
        <w:t>электрокамин «Уют», фонарь аккумуляторный ФКА, зарядные устройства, электроутюги.</w:t>
      </w:r>
    </w:p>
    <w:p w14:paraId="399338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686, ОКБ-686, ФГУП «Головное особое КБ (ГОКБ) «Прожектор» /г. Москва ш. Энтузиастов, 56 тел. 176-16-54/</w:t>
      </w:r>
    </w:p>
    <w:p w14:paraId="5FEE76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316-137 от 4.04.1961 г. ОКБ-686 привлечено к разработке аппаратуры для твердотопливных ракет.</w:t>
      </w:r>
      <w:r w:rsidRPr="008127F8">
        <w:rPr>
          <w:rFonts w:ascii="Times New Roman" w:hAnsi="Times New Roman"/>
          <w:color w:val="000000" w:themeColor="text1"/>
          <w:sz w:val="16"/>
          <w:szCs w:val="16"/>
          <w:vertAlign w:val="superscript"/>
        </w:rPr>
        <w:t>120</w:t>
      </w:r>
      <w:r w:rsidRPr="008127F8">
        <w:rPr>
          <w:rFonts w:ascii="Times New Roman" w:hAnsi="Times New Roman"/>
          <w:color w:val="000000" w:themeColor="text1"/>
          <w:sz w:val="16"/>
          <w:szCs w:val="16"/>
        </w:rPr>
        <w:t xml:space="preserve"> Принимало участие в создании БЖРК РТ-23УТТХ «Молодец» (1980-е).</w:t>
      </w:r>
    </w:p>
    <w:p w14:paraId="5A37C8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29028D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(1980-е)- В.А. Окунев, В.Н. Лужков.</w:t>
      </w:r>
    </w:p>
    <w:p w14:paraId="62017E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системы электроснабжения: для МБР Р-36М2 (1980-е), БЖРК РТ-23 УТТХ (1980-е) (11982).</w:t>
      </w:r>
    </w:p>
    <w:p w14:paraId="6E64F3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6F6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1298 О передаче с Глазовской эвакобазы Метростроя 500 штук электромоторов заводу № 74 НКВ. РГАНИР, Фонд ГКО, д. 21, лл. 116 (11012).</w:t>
      </w:r>
    </w:p>
    <w:p w14:paraId="1EB53C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00B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1299 Об утверждении заместителями Берия Л.П. по контролю за производством боеприпасов Александрова А.С., Махнева В.А. и Борисова Н.А. РГАНИР, Фонд ГКО, д. 21, лл. 117 (11012).</w:t>
      </w:r>
    </w:p>
    <w:p w14:paraId="790347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BC6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Берия снимает с должности наркома боеприпа</w:t>
      </w:r>
      <w:r w:rsidRPr="008127F8">
        <w:rPr>
          <w:rFonts w:ascii="Times New Roman" w:hAnsi="Times New Roman"/>
          <w:color w:val="000000" w:themeColor="text1"/>
          <w:sz w:val="16"/>
          <w:szCs w:val="16"/>
        </w:rPr>
        <w:softHyphen/>
        <w:t>сов П.Н. Горемыкина и назначает на его должность Б.Л. Ван</w:t>
      </w:r>
      <w:r w:rsidRPr="008127F8">
        <w:rPr>
          <w:rFonts w:ascii="Times New Roman" w:hAnsi="Times New Roman"/>
          <w:color w:val="000000" w:themeColor="text1"/>
          <w:sz w:val="16"/>
          <w:szCs w:val="16"/>
        </w:rPr>
        <w:softHyphen/>
        <w:t>никова (10675).</w:t>
      </w:r>
    </w:p>
    <w:p w14:paraId="293120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D95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1300 Об отмене решения о передаче завода № 592 в систему НКСМ из НКВ. РГАНИР, Фонд ГКО, д. 21, лл. 118 (11012).</w:t>
      </w:r>
    </w:p>
    <w:p w14:paraId="701003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432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1301 Об отмене постановления ГКО № 888 от 11 сентября 1941 г. о частичной эвакуации завода № 221 НКВ. РГАНИР, Фонд ГКО, д. 21, лл. 119 (11012).</w:t>
      </w:r>
    </w:p>
    <w:p w14:paraId="061D41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D0C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февраля 1942 г. вышло постановление ГКО № 1301 об отмене постановления № 888 о частичной эвакуации завода, но затем в 1942 г. завод № 221 НКВ эвакуирован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Юргу Кемеровской обл. 3.06.1942 г. вышло постановление ГКО № 1843 об увеличении выпуска на заводе пушек УСВ.</w:t>
      </w:r>
    </w:p>
    <w:p w14:paraId="2BC17C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свой артиллерийский полигон (1942 г.).</w:t>
      </w:r>
    </w:p>
    <w:p w14:paraId="38C78F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5AE4269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7849 от 16.03.1945 г. начато серийное производство морской артустановки МУ-1.</w:t>
      </w:r>
    </w:p>
    <w:p w14:paraId="7DA9C3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завод № 221 - в ведении НКВ, в 1953 г. - МОП. Имел наименование «п/я 113» (1937-53 г.).</w:t>
      </w:r>
    </w:p>
    <w:p w14:paraId="74B272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разработаны и изготовлены винтовые насосы объемного действия для транспортирования ртути для завода № 12.</w:t>
      </w:r>
    </w:p>
    <w:p w14:paraId="7CEE55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начата подготовка к производству ПУ доя РК «Курьер».</w:t>
      </w:r>
    </w:p>
    <w:p w14:paraId="5E63D2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369110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625E3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по выпуску крупногабаритных модульных металлоконструкций.</w:t>
      </w:r>
    </w:p>
    <w:p w14:paraId="26A08F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(1936 г.)- 11267 чел., (1937 г.)- 12504 чел.</w:t>
      </w:r>
      <w:r w:rsidRPr="008127F8">
        <w:rPr>
          <w:rFonts w:ascii="Times New Roman" w:hAnsi="Times New Roman"/>
          <w:color w:val="000000" w:themeColor="text1"/>
          <w:sz w:val="16"/>
          <w:szCs w:val="16"/>
          <w:vertAlign w:val="superscript"/>
        </w:rPr>
        <w:t>145</w:t>
      </w:r>
    </w:p>
    <w:p w14:paraId="78B2E5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(-02-23.07.1937 г.)- Д.Ф. Будняк (снят); и.о. (23.07-29.08.1937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Слободчиков; (29.08.1937- 17.12.1938 г.)- П.В. Быстров, (17.12.1938-42 г.-&gt; Л.Р. Гонор. Управляющий (2002 г.)- Н.И. Аксенов. Гендиректор (2000-е)- Е.А. Майданов, Ю. Валов (осужден).</w:t>
      </w:r>
    </w:p>
    <w:p w14:paraId="02280E2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(2000-е)- А.И. Патер. Зам. директора, гендиректора (3.11.1937 г.-)- П.Ф. Цуриков, (2009 г.)- Ю. Горбатков.</w:t>
      </w:r>
    </w:p>
    <w:p w14:paraId="55B28A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(07.1937 г.)- Слободчиков, (3.11.1937-11.09.1938 г.)- П.Ф. Цуриков.</w:t>
      </w:r>
    </w:p>
    <w:p w14:paraId="3D87E9B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(05.1937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Слободчиков.</w:t>
      </w:r>
    </w:p>
    <w:p w14:paraId="221DA62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667C51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управления: договоров и маркетинга (2000-е)- В.В. Коновалов; кадров (2000-е)- С.А. Чаркин.</w:t>
      </w:r>
    </w:p>
    <w:p w14:paraId="4A5C112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490BB90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61C6E9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Слабодчиков, и.о. (02.1937 г.-)- Хохлов. Начальник службы маркетинга (2000-е)- А.А. Резников.</w:t>
      </w:r>
    </w:p>
    <w:p w14:paraId="26E7CD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артиллерийские орудия:</w:t>
      </w:r>
      <w:r w:rsidRPr="008127F8">
        <w:rPr>
          <w:rFonts w:ascii="Times New Roman" w:hAnsi="Times New Roman"/>
          <w:color w:val="000000" w:themeColor="text1"/>
          <w:sz w:val="16"/>
          <w:szCs w:val="16"/>
        </w:rPr>
        <w:t xml:space="preserve"> 152-мм, 305-мм (1937-), 406-мм Б-37 для линкоров пр. 23 (1939-41)- 12 стволов;</w:t>
      </w:r>
      <w:r w:rsidRPr="008127F8">
        <w:rPr>
          <w:rFonts w:ascii="Times New Roman" w:hAnsi="Times New Roman"/>
          <w:iCs/>
          <w:color w:val="000000" w:themeColor="text1"/>
          <w:sz w:val="16"/>
          <w:szCs w:val="16"/>
        </w:rPr>
        <w:t xml:space="preserve"> пушки:</w:t>
      </w:r>
      <w:r w:rsidRPr="008127F8">
        <w:rPr>
          <w:rFonts w:ascii="Times New Roman" w:hAnsi="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8127F8">
        <w:rPr>
          <w:rFonts w:ascii="Times New Roman" w:hAnsi="Times New Roman"/>
          <w:iCs/>
          <w:color w:val="000000" w:themeColor="text1"/>
          <w:sz w:val="16"/>
          <w:szCs w:val="16"/>
        </w:rPr>
        <w:t xml:space="preserve"> гаубицы:</w:t>
      </w:r>
      <w:r w:rsidRPr="008127F8">
        <w:rPr>
          <w:rFonts w:ascii="Times New Roman" w:hAnsi="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8127F8">
        <w:rPr>
          <w:rFonts w:ascii="Times New Roman" w:hAnsi="Times New Roman"/>
          <w:iCs/>
          <w:color w:val="000000" w:themeColor="text1"/>
          <w:sz w:val="16"/>
          <w:szCs w:val="16"/>
        </w:rPr>
        <w:t xml:space="preserve"> самоходные ПУ:</w:t>
      </w:r>
      <w:r w:rsidRPr="008127F8">
        <w:rPr>
          <w:rFonts w:ascii="Times New Roman" w:hAnsi="Times New Roman"/>
          <w:color w:val="000000" w:themeColor="text1"/>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8127F8">
        <w:rPr>
          <w:rFonts w:ascii="Times New Roman" w:hAnsi="Times New Roman"/>
          <w:color w:val="000000" w:themeColor="text1"/>
          <w:sz w:val="16"/>
          <w:szCs w:val="16"/>
          <w:vertAlign w:val="superscript"/>
        </w:rPr>
        <w:t>58</w:t>
      </w:r>
      <w:r w:rsidRPr="008127F8">
        <w:rPr>
          <w:rFonts w:ascii="Times New Roman" w:hAnsi="Times New Roman"/>
          <w:color w:val="000000" w:themeColor="text1"/>
          <w:sz w:val="16"/>
          <w:szCs w:val="16"/>
        </w:rPr>
        <w:t xml:space="preserve"> палубная ПУ для ЗРК «Волна-М» (1970-е-80- е), установка ЗС90 для ЗРК «Ураган» (1980-2000-);</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корабельный ЗРК «Штиль» (2000-е); детали для минометов (1942);</w:t>
      </w:r>
    </w:p>
    <w:p w14:paraId="25BAD4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буровые установки для нефтегазовой промышленности (1960-е);</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lang w:val="en-US"/>
        </w:rPr>
        <w:t>wwwbarncadyru</w:t>
      </w:r>
      <w:r w:rsidRPr="008127F8">
        <w:rPr>
          <w:rFonts w:ascii="Times New Roman" w:hAnsi="Times New Roman"/>
          <w:color w:val="000000" w:themeColor="text1"/>
          <w:sz w:val="16"/>
          <w:szCs w:val="16"/>
        </w:rPr>
        <w:t xml:space="preserve"> горно-шахтное и гидравлическое оборудование; агрегаты для атомной энергетики (11982).</w:t>
      </w:r>
    </w:p>
    <w:p w14:paraId="0B7E51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A6B9A"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w:t>
      </w:r>
    </w:p>
    <w:p w14:paraId="2CFEB0EA"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174</w:t>
      </w:r>
    </w:p>
    <w:p w14:paraId="41D5BCCD"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16.II.42 г. № 1295</w:t>
      </w:r>
    </w:p>
    <w:p w14:paraId="3FB8DC5D" w14:textId="35F365E9"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31EAB819"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4A56888"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НАРКОМАТУ ТАНКОВОЙ ПРОМЫШЛЕННОСТИ</w:t>
      </w:r>
    </w:p>
    <w:p w14:paraId="28A7EDE4"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D5E1E6A"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года</w:t>
      </w:r>
    </w:p>
    <w:p w14:paraId="2EC1B980"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206-мс</w:t>
      </w:r>
    </w:p>
    <w:p w14:paraId="58F63A0A" w14:textId="7BBB6206"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отмечены случаи самостоятельного проведения заводами конструктивных и технологических изменений в узлах и деталях выпускаемых серийных танков. Изменения проводятся без учета сохранения взаимозаменяемости и без предварительного согласования между заводами, выпускающими однотипные машины.</w:t>
      </w:r>
      <w:r w:rsidR="008127F8">
        <w:rPr>
          <w:rFonts w:ascii="Times New Roman" w:hAnsi="Times New Roman"/>
          <w:color w:val="000000" w:themeColor="text1"/>
          <w:sz w:val="16"/>
          <w:szCs w:val="16"/>
        </w:rPr>
        <w:t xml:space="preserve">  </w:t>
      </w:r>
    </w:p>
    <w:p w14:paraId="791D89F7" w14:textId="1C473005"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бессистемное проведение изменений приводит к нарушению единой чертежной и технологической документации и нарушает работу ремонтных баз по восстановлению однотипных машин, выпускаемых различными заводами, ПРИКАЗЫВАЮ:</w:t>
      </w:r>
      <w:r w:rsidR="008127F8">
        <w:rPr>
          <w:rFonts w:ascii="Times New Roman" w:hAnsi="Times New Roman"/>
          <w:color w:val="000000" w:themeColor="text1"/>
          <w:sz w:val="16"/>
          <w:szCs w:val="16"/>
        </w:rPr>
        <w:t xml:space="preserve">  </w:t>
      </w:r>
    </w:p>
    <w:p w14:paraId="7D42BDFD" w14:textId="04D6B294"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Запретить директорам танковых, корпусных и моторных заводов производить какие бы то ни было конструктивные и технологические изменения в узлах и деталях серийных машин, нарушающих взаимозаменяемость.</w:t>
      </w:r>
      <w:r w:rsidR="008127F8">
        <w:rPr>
          <w:rFonts w:ascii="Times New Roman" w:hAnsi="Times New Roman"/>
          <w:color w:val="000000" w:themeColor="text1"/>
          <w:sz w:val="16"/>
          <w:szCs w:val="16"/>
        </w:rPr>
        <w:t xml:space="preserve">  </w:t>
      </w:r>
    </w:p>
    <w:p w14:paraId="047F9D75" w14:textId="421D846F"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что все изменения могут проводиться только с разрешения моего или моего заместителя тов. Котина.</w:t>
      </w:r>
      <w:r w:rsidR="008127F8">
        <w:rPr>
          <w:rFonts w:ascii="Times New Roman" w:hAnsi="Times New Roman"/>
          <w:color w:val="000000" w:themeColor="text1"/>
          <w:sz w:val="16"/>
          <w:szCs w:val="16"/>
        </w:rPr>
        <w:t xml:space="preserve">  </w:t>
      </w:r>
    </w:p>
    <w:p w14:paraId="2EC83F70"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Предупредить директоров танковых заводов, что за проведение изменений, нарушающих взаимозаменяемость в узлах и деталях серийных машин, они будут привлечены к ответственности по законам военного времени.</w:t>
      </w:r>
    </w:p>
    <w:p w14:paraId="53366C6D"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Народный Комиссар Танковой Промышленности</w:t>
      </w:r>
    </w:p>
    <w:p w14:paraId="69EA6909"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60CC7D7F" w14:textId="054A8780"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w:t>
      </w:r>
      <w:r w:rsidR="008127F8">
        <w:rPr>
          <w:rFonts w:ascii="Times New Roman" w:hAnsi="Times New Roman"/>
          <w:color w:val="000000" w:themeColor="text1"/>
          <w:sz w:val="16"/>
          <w:szCs w:val="16"/>
        </w:rPr>
        <w:t xml:space="preserve">  </w:t>
      </w:r>
    </w:p>
    <w:p w14:paraId="1FF75B50"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Юрасов (18427).</w:t>
      </w:r>
    </w:p>
    <w:p w14:paraId="6F76CE4C" w14:textId="77777777" w:rsidR="003A1116" w:rsidRPr="008127F8" w:rsidRDefault="003A1116" w:rsidP="001E0A84">
      <w:pPr>
        <w:spacing w:after="0" w:line="240" w:lineRule="auto"/>
        <w:jc w:val="both"/>
        <w:rPr>
          <w:rFonts w:ascii="Times New Roman" w:hAnsi="Times New Roman"/>
          <w:color w:val="000000" w:themeColor="text1"/>
          <w:sz w:val="16"/>
          <w:szCs w:val="16"/>
        </w:rPr>
      </w:pPr>
    </w:p>
    <w:p w14:paraId="3BD529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1302 Об отмене решения передать заводу ЗИС 132 станка и о закреплении их за заводом № 172 НКВ.РГАНИР, Фонд ГКО, д. 21, лл. 120 (11012).</w:t>
      </w:r>
    </w:p>
    <w:p w14:paraId="7B9F4E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D611D"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Распоряжение ГКО № 1303 [О выделении в I кв. 1942 г. 13,5 млн. руб. на строительство завода № 8 НКВ (Свердловск).] (7022, 121,122).</w:t>
      </w:r>
    </w:p>
    <w:p w14:paraId="15A35A19" w14:textId="77777777" w:rsidR="00D91C13" w:rsidRPr="008127F8" w:rsidRDefault="00D91C1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42C47" w14:textId="77777777" w:rsidR="00D91C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EE366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86EE4"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4E22EF47"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16 февраля наши войска продолжали вести активные боевые действия против немецко-фашистских войск.</w:t>
      </w:r>
    </w:p>
    <w:p w14:paraId="2D425774"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которой командует тов. Павлищев (Западный фронт), освободила от немецких оккупантов несколько населённых пунктов и захватила 16 орудий, 15 пулемётов, 3 миномёта, 303 винтовки, 35 немецких автомашин, 35 мотоциклов и другие трофеи. Противник потерял убитыми свыше 1.000 солдат и офицеров.</w:t>
      </w:r>
    </w:p>
    <w:p w14:paraId="6521BCC1"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часть под командованием А.П.Белобородова, действующая на одном из участков Западного фронта, отразила три ожесточённые контратаки батальона вражеской пехоты и уничтожила 2 немецких танка. На поле боя осталось много убитых солдат и офицеров противника.</w:t>
      </w:r>
    </w:p>
    <w:p w14:paraId="5A531A1E"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Гордова (Юго-Западный фронт) выбила гитлеровцев из нескольких населённых пунктов. Неоднократные контратаки немцев отбиты с большими для них потерями. Наши бойцы уничтожили 6 вражеских ДЗОТов, 21 блиндаж, артиллерийскую и миномётную батареи, 6 пулемётов, 20 автомашин, склад горючего и склад боеприпасов. Захвачены пленные.</w:t>
      </w:r>
    </w:p>
    <w:p w14:paraId="411DE137"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красноармейцев под командой лейтенанта Голованова успешно отразили контратаку вражеской роты. Тов. Голованов застрелил 7 гитлеровцев. Оставив на снегу 28 трупов, немцы отступили.</w:t>
      </w:r>
    </w:p>
    <w:p w14:paraId="3255DF89"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которым командует тов. И., действующий в одном из районов Украины, совершил налёт на оккупированное немцами село К. Не ожидавшие нападения гитлеровцы попали под огонь партизан и понесли потери. Убито не менее 40 немецко-фашистских захватчиков.</w:t>
      </w:r>
    </w:p>
    <w:p w14:paraId="236D5B78"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немецкой мотодивизии Курт Хайзе заявил: «Только за два дня моя рота потеряла 35 солдат и офицеров убитыми. Среди убитых — лейтенант Курт Ханцель. При отступлении пришлось бросить много исправных машин. Они увязли в снегу, а вытаскивать их не было времени. Война страшно надоела. Многие солдаты выжидают подходящего случая, чтобы перейти на сторону русских».</w:t>
      </w:r>
    </w:p>
    <w:p w14:paraId="355AD61F"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Ямы, Уваровского района, Московской области, гитлеровцы под угрозой оружия угоняли с собой жителей деревни, а тех, кто не подчинялся, расстреливали. Колхозница Монахова, вместе с грудным ребёнком и ребёнком трёх лет, скрылась в землянке. Немцы обнаружили её и избили до потери сознания, а затем бросили в землянку гранату. Монахову с детьми завалило землёй.</w:t>
      </w:r>
    </w:p>
    <w:p w14:paraId="78D540B2"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Машинисты депо Топки, Томской дороги, тт. Громышев, Евлахов, Царов, Атаманов, Лыходец и Ходаков, несмотря на суровые морозы, провели в текущем году сорок тяжеловесных поездов. Они сэкономили более 200 тонн топлива и около» десяти тысяч рублей на ремонте паровозов.» (15042).</w:t>
      </w:r>
    </w:p>
    <w:p w14:paraId="281FD9E9"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68F79330"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7CD68694"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16 февраля наши войска вели наступательные бои против немецко-фашистских войск, заняли ряд населённых пунктов и нанесли противнику большие потери в технике и живой силе.</w:t>
      </w:r>
    </w:p>
    <w:p w14:paraId="4CF5DC6B"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февраля сбито в воздушных боях 11 немецких самолётов. Наши потери — 7 самолётов.</w:t>
      </w:r>
    </w:p>
    <w:p w14:paraId="0F15CA11"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февраля под Москвой сбито 3 немецких самолёта.</w:t>
      </w:r>
    </w:p>
    <w:p w14:paraId="51F5B5CE"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февраля частями нашей авиации уничтожено и повреждено 23 немецких танка, 4 бронемашины, 52 орудия, 17 миномётов, 455 автомашин с войсками и грузами, 4 штабных автобуса, свыше 260 повозок с боеприпасами, 8 зенитно-пулемётных точек, разрушено 24 железнодорожных вагона, подожжён один железнодорожный эшелон, взорван склад с боеприпасами, рассеяно и частью уничтожено 6 батальонов пехоты противника.</w:t>
      </w:r>
    </w:p>
    <w:p w14:paraId="5A4C928D"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последних боёв с противником часть под командованием тов. Михалицына захватила 14 немецких танков, 19 орудий, 16 миномётов, 3 радиостанции, 500 винтовок, 5.650 снарядов, 1.825 гранат, 1.460 мин, 254.200 патронов и много других трофеев. Враг потерял убитыми 1.200 солдат и офицеров.</w:t>
      </w:r>
    </w:p>
    <w:p w14:paraId="469F0895"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кавалеристы под командованием тов. Гусева (Северо-Западный фронт) за последние дни освободили от немцев 40 населённых пунктов. Противник понёс большие потери. Только в боях за два населённых пункта наши бойцы разгромили штаб немецкого пехотного полка, захватили 3 орудия, 19 миномётов, 23 автомашины, 3 радиостанции и истребили свыше 500 вражеских солдат и офицеров.</w:t>
      </w:r>
    </w:p>
    <w:p w14:paraId="5E192268"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где командиром тов. Маслов (Юго-Западный фронт), отбила несколько контратак противника. На поле боя осталось свыше 300 немецких солдат и офицеров. Уничтожено 3 вражеских орудия и тяжёлый танк. Взяты трофеи и пленные.</w:t>
      </w:r>
    </w:p>
    <w:p w14:paraId="0549C74D"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отряд силой до 150 штыков при поддержке четырёх танков атаковал нашу часть. Отважный наводчик орудия красноармеец Пелевин выкатил своё орудие на открытую позицию и прямой наводкой стал расстреливать противника. С первых же выстрелов тов. Пелевин подбил один танк, а затем расстрелял несколько Десятков немецких солдат. Враг был отброшен с большими для него потерями.</w:t>
      </w:r>
    </w:p>
    <w:p w14:paraId="7A6F8E70"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врач 1 батальона 163 полка 52 немецкой пехотной дивизии Эрих Хойер показал: «Батальон, в котором я был врачом, в конце января из-за больших потерь расформирован. В нём осталось всего лишь 24 солдата и 1 офицер. Потери 163 полка составляют 1.400 убитыми и ранеными и 200 больными. Вошь стала бичом не только солдат, но и офицеров. Грязь привела к массовым накожным заболеваниям. Настроение солдат подавленное. Участились случаи симуляции, попыток под разными предлогами уклониться от боя. Дисциплина резко понизилась. Обычными явлениями стали неряшливость, озлобленность, апатия. Солдаты не приветствуют офицеров, вступают с ними в пререкания. Во избежание обострения недовольства офицеры иногда вынуждены отменять или изменять свои распоряжения».</w:t>
      </w:r>
    </w:p>
    <w:p w14:paraId="24B86B1B"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Финский военнопленный Рейно Оскари Молайнен рассказал: «Волостные и городские тюрьмы Финляндии переполнены заключёнными солдатами, бежавшими с фронта. Только в тюрьме города Оулу заключено 200 дезертиров. Я тоже дезертировал, был пойман и просидел два месяца в тюрьме. Потом меня снова погнали на фронт и при этом сказали, что наказание за побег с фронта я буду отбывать после войны. Я предпочёл сдаться в плен».</w:t>
      </w:r>
    </w:p>
    <w:p w14:paraId="51F1AD92"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ныне освобождённой от немцев деревне Слобода, Старорусского района, Ленинградской области, гитлеровские бандиты сожгли 70 домов и два общественных двора с сельскохозяйственным инвентарём. Немцы ограбили крестьян, отняв у них 11 коров, 8 лошадей, 2 свиньи, несколько сот кур, много картофеля и овощей, а также одежду и домашнюю утварь. В деревне зверски замучено 19 крестьян и 7 тяжело ранено.</w:t>
      </w:r>
    </w:p>
    <w:p w14:paraId="3F9C8DCF"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транспортными затруднениями в Германии отменены почти все пассажирские поезда. Железнодорожные станции забиты неисправными вагонами и паровозами. Многие рабочие-железнодорожники мобилизованы и посланы на фронт в качестве солдат.» (15042).</w:t>
      </w:r>
    </w:p>
    <w:p w14:paraId="73F91AE2"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36894464"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февраля</w:t>
      </w:r>
      <w:r w:rsidRPr="008127F8">
        <w:rPr>
          <w:rFonts w:ascii="Times New Roman" w:hAnsi="Times New Roman"/>
          <w:color w:val="000000" w:themeColor="text1"/>
          <w:sz w:val="16"/>
          <w:szCs w:val="16"/>
        </w:rPr>
        <w:t xml:space="preserve"> в 1941 году из командиров кораблей гражданской авиации, имевших высокий уровень летной подготовки, был сформирован 212-й бомбардировочный авиационный полк (командир – подполковник А.Е.Голованов), прославившийся лучшими бомбардировщиками на фронтах Второй мировой войны. После разгрома фашистов под Москвой на базе бывшего полка и других авиасоединений и частей была сформирована Авиация дальнего действия (с 1946 г. Дальняя авиация России) (15042).</w:t>
      </w:r>
    </w:p>
    <w:p w14:paraId="4B118692"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7A646B7F"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февраля</w:t>
      </w:r>
      <w:r w:rsidRPr="008127F8">
        <w:rPr>
          <w:rFonts w:ascii="Times New Roman" w:hAnsi="Times New Roman"/>
          <w:color w:val="000000" w:themeColor="text1"/>
          <w:sz w:val="16"/>
          <w:szCs w:val="16"/>
        </w:rPr>
        <w:t xml:space="preserve"> в 1942 году указом Президиума Верховного Совета СССР за мужество и героизм, проявленные в борьбе с фашистами, 18-летней московской школьнице партизанке З.А.Космодемьянской было присвоено звание Героя Советского Союза (посмертно). Казнена фашистами в деревне Петрищево 29 ноября 1941 г (15042).</w:t>
      </w:r>
    </w:p>
    <w:p w14:paraId="797CECE1"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48987CC8"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февраля</w:t>
      </w:r>
      <w:r w:rsidRPr="008127F8">
        <w:rPr>
          <w:rFonts w:ascii="Times New Roman" w:hAnsi="Times New Roman"/>
          <w:color w:val="000000" w:themeColor="text1"/>
          <w:sz w:val="16"/>
          <w:szCs w:val="16"/>
        </w:rPr>
        <w:t xml:space="preserve"> в 1942 году за сдачу Керчи маршал Г.Кулик понижается в звании до генерал-майора (15042).</w:t>
      </w:r>
    </w:p>
    <w:p w14:paraId="1CF7E70A"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6D673110" w14:textId="77777777" w:rsidR="008E323D" w:rsidRPr="008127F8" w:rsidRDefault="008E323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за сдачу Керчи маршал Г. Кулик понижен в звании до генерал-майора (4962).</w:t>
      </w:r>
    </w:p>
    <w:p w14:paraId="2AD22920" w14:textId="77777777" w:rsidR="008E323D" w:rsidRPr="008127F8" w:rsidRDefault="008E323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8083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1295 О формировании танковых бригад в феврале, марте и апреле месяцах 1942 года. РГАНИР, Фонд ГКО, д. 21, лл. 105-108, 109-111 (11012).</w:t>
      </w:r>
    </w:p>
    <w:p w14:paraId="6C38D5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C69C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 вышло ПОСТАНОВЛЕНИЕ № ГКО-1295сс</w:t>
      </w:r>
    </w:p>
    <w:p w14:paraId="0353D4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420D574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формировании танковых бригад в феврале, марте и апреле месяцах 1942 года</w:t>
      </w:r>
    </w:p>
    <w:p w14:paraId="14DADC0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Государственный Комитет Обороны постановляет: </w:t>
      </w:r>
    </w:p>
    <w:p w14:paraId="2B3896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ГАБТУ КА - тов. Федоренко сформировать в феврале, марте и апреле месяцах с.г. 120 танковых бригад по 46 танков в каждой бригаде, из них: танков "КВ" - 10 шт., танков "Т-34" - 20 шт. и танков "Т-60" - 16 шт. </w:t>
      </w:r>
    </w:p>
    <w:p w14:paraId="34E8B9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начальника Главупроформа Красной Армии - тов. Щаденко сформировать в сроки по указанию ГАБТУ КА для танковых бригад 90 мотострелковых батальонов по 402 человека каждый, а также 120 батарей ПВО и 120 батарей ПТО. </w:t>
      </w:r>
    </w:p>
    <w:p w14:paraId="5F16540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Укомплектование личным составом указанных формирований произвести возрастными контингентами не старше 35 лет из числа прошедших войсковую подготовку в запасных бригадах. </w:t>
      </w:r>
    </w:p>
    <w:p w14:paraId="76A1D9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Отбор состава произвести с участием представителей ГАБТУ КА. </w:t>
      </w:r>
    </w:p>
    <w:p w14:paraId="3A239D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Обязать ГАУ КА - тов. Яковлева обеспечить, по заявкам ГАБТУ Красной Армии, в феврале, марте и апреле месяцах с.г. формируемые танковые бригады зенитной и противотанковой артиллерией, а также другими видами вооружения, согласно расчету (приложение № 1). </w:t>
      </w:r>
    </w:p>
    <w:p w14:paraId="0354DF3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начальников главных и центральных управлений НКО обеспечить, по заявкам ГАБТУ Красной Армии, в феврале, марте и апреле месяцах с.г. формируемые танковые бригады положенным имуществом и материальной частью, согласно штатам и табелям. </w:t>
      </w:r>
    </w:p>
    <w:p w14:paraId="6A0527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Обязать Наркомсредмаш тов. Акопова поставить Наркомату обороны целевым назначением для формируемых танковых бригад: </w:t>
      </w:r>
    </w:p>
    <w:p w14:paraId="62C6CC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с Горьковского автозавода им. тов. Молотова: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5232"/>
        <w:gridCol w:w="884"/>
        <w:gridCol w:w="568"/>
        <w:gridCol w:w="2273"/>
        <w:gridCol w:w="631"/>
      </w:tblGrid>
      <w:tr w:rsidR="006F4095" w:rsidRPr="008127F8" w14:paraId="5891B06D" w14:textId="77777777" w:rsidTr="00D91C13">
        <w:trPr>
          <w:jc w:val="center"/>
        </w:trPr>
        <w:tc>
          <w:tcPr>
            <w:tcW w:w="5232" w:type="dxa"/>
            <w:tcBorders>
              <w:top w:val="single" w:sz="12" w:space="0" w:color="auto"/>
            </w:tcBorders>
          </w:tcPr>
          <w:p w14:paraId="7F999EC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машин</w:t>
            </w:r>
          </w:p>
        </w:tc>
        <w:tc>
          <w:tcPr>
            <w:tcW w:w="884" w:type="dxa"/>
            <w:gridSpan w:val="4"/>
            <w:tcBorders>
              <w:top w:val="single" w:sz="12" w:space="0" w:color="auto"/>
            </w:tcBorders>
          </w:tcPr>
          <w:p w14:paraId="436D70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 и количество</w:t>
            </w:r>
          </w:p>
        </w:tc>
      </w:tr>
      <w:tr w:rsidR="006F4095" w:rsidRPr="008127F8" w14:paraId="75F0A3EB" w14:textId="77777777">
        <w:trPr>
          <w:jc w:val="center"/>
        </w:trPr>
        <w:tc>
          <w:tcPr>
            <w:tcW w:w="5232" w:type="dxa"/>
          </w:tcPr>
          <w:p w14:paraId="682A23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9776C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568" w:type="dxa"/>
          </w:tcPr>
          <w:p w14:paraId="54B4043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2273" w:type="dxa"/>
          </w:tcPr>
          <w:p w14:paraId="191353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до 20 числа</w:t>
            </w:r>
          </w:p>
        </w:tc>
        <w:tc>
          <w:tcPr>
            <w:tcW w:w="631" w:type="dxa"/>
          </w:tcPr>
          <w:p w14:paraId="1568F0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09AB6DF0" w14:textId="77777777">
        <w:trPr>
          <w:jc w:val="center"/>
        </w:trPr>
        <w:tc>
          <w:tcPr>
            <w:tcW w:w="5232" w:type="dxa"/>
          </w:tcPr>
          <w:p w14:paraId="2BCD62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Автомобилей легковых ГАЗ-61</w:t>
            </w:r>
          </w:p>
        </w:tc>
        <w:tc>
          <w:tcPr>
            <w:tcW w:w="884" w:type="dxa"/>
          </w:tcPr>
          <w:p w14:paraId="0137C4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568" w:type="dxa"/>
          </w:tcPr>
          <w:p w14:paraId="5380D1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2273" w:type="dxa"/>
          </w:tcPr>
          <w:p w14:paraId="0FF3EA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631" w:type="dxa"/>
          </w:tcPr>
          <w:p w14:paraId="1B7C46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r>
      <w:tr w:rsidR="006F4095" w:rsidRPr="008127F8" w14:paraId="788214D8" w14:textId="77777777">
        <w:trPr>
          <w:jc w:val="center"/>
        </w:trPr>
        <w:tc>
          <w:tcPr>
            <w:tcW w:w="5232" w:type="dxa"/>
          </w:tcPr>
          <w:p w14:paraId="10A5341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Автомобилей легковых ГАЗ-64</w:t>
            </w:r>
          </w:p>
        </w:tc>
        <w:tc>
          <w:tcPr>
            <w:tcW w:w="884" w:type="dxa"/>
          </w:tcPr>
          <w:p w14:paraId="2CCBBD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568" w:type="dxa"/>
          </w:tcPr>
          <w:p w14:paraId="1F2B26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c>
          <w:tcPr>
            <w:tcW w:w="2273" w:type="dxa"/>
          </w:tcPr>
          <w:p w14:paraId="556133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631" w:type="dxa"/>
          </w:tcPr>
          <w:p w14:paraId="0D0AF5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r>
      <w:tr w:rsidR="006F4095" w:rsidRPr="008127F8" w14:paraId="31F75E4D" w14:textId="77777777">
        <w:trPr>
          <w:jc w:val="center"/>
        </w:trPr>
        <w:tc>
          <w:tcPr>
            <w:tcW w:w="5232" w:type="dxa"/>
          </w:tcPr>
          <w:p w14:paraId="3166A3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Автомобилей грузовых ГАЗ-АА</w:t>
            </w:r>
          </w:p>
        </w:tc>
        <w:tc>
          <w:tcPr>
            <w:tcW w:w="884" w:type="dxa"/>
          </w:tcPr>
          <w:p w14:paraId="49A3B06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2932</w:t>
            </w:r>
          </w:p>
        </w:tc>
        <w:tc>
          <w:tcPr>
            <w:tcW w:w="568" w:type="dxa"/>
          </w:tcPr>
          <w:p w14:paraId="27B3EC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2933</w:t>
            </w:r>
          </w:p>
        </w:tc>
        <w:tc>
          <w:tcPr>
            <w:tcW w:w="2273" w:type="dxa"/>
          </w:tcPr>
          <w:p w14:paraId="3C7B95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2933</w:t>
            </w:r>
          </w:p>
        </w:tc>
        <w:tc>
          <w:tcPr>
            <w:tcW w:w="631" w:type="dxa"/>
          </w:tcPr>
          <w:p w14:paraId="6C2A687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8798</w:t>
            </w:r>
          </w:p>
        </w:tc>
      </w:tr>
      <w:tr w:rsidR="006F4095" w:rsidRPr="008127F8" w14:paraId="7E87E890" w14:textId="77777777">
        <w:trPr>
          <w:jc w:val="center"/>
        </w:trPr>
        <w:tc>
          <w:tcPr>
            <w:tcW w:w="5232" w:type="dxa"/>
          </w:tcPr>
          <w:p w14:paraId="79E970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Автобусов санитарных (М-55)</w:t>
            </w:r>
          </w:p>
        </w:tc>
        <w:tc>
          <w:tcPr>
            <w:tcW w:w="884" w:type="dxa"/>
          </w:tcPr>
          <w:p w14:paraId="0B81AE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568" w:type="dxa"/>
          </w:tcPr>
          <w:p w14:paraId="090EDA9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2273" w:type="dxa"/>
          </w:tcPr>
          <w:p w14:paraId="19E447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631" w:type="dxa"/>
          </w:tcPr>
          <w:p w14:paraId="6590C9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264</w:t>
            </w:r>
          </w:p>
        </w:tc>
      </w:tr>
      <w:tr w:rsidR="006F4095" w:rsidRPr="008127F8" w14:paraId="0419E348" w14:textId="77777777">
        <w:trPr>
          <w:jc w:val="center"/>
        </w:trPr>
        <w:tc>
          <w:tcPr>
            <w:tcW w:w="5232" w:type="dxa"/>
          </w:tcPr>
          <w:p w14:paraId="3EF1C8B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Автобусов штабных (О-193)</w:t>
            </w:r>
          </w:p>
        </w:tc>
        <w:tc>
          <w:tcPr>
            <w:tcW w:w="884" w:type="dxa"/>
          </w:tcPr>
          <w:p w14:paraId="5CAEA7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568" w:type="dxa"/>
          </w:tcPr>
          <w:p w14:paraId="3369D14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2273" w:type="dxa"/>
          </w:tcPr>
          <w:p w14:paraId="7D8D5E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631" w:type="dxa"/>
          </w:tcPr>
          <w:p w14:paraId="3370A9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w:t>
            </w:r>
          </w:p>
        </w:tc>
      </w:tr>
      <w:tr w:rsidR="006F4095" w:rsidRPr="008127F8" w14:paraId="3FCF0BE1" w14:textId="77777777">
        <w:trPr>
          <w:jc w:val="center"/>
        </w:trPr>
        <w:tc>
          <w:tcPr>
            <w:tcW w:w="5232" w:type="dxa"/>
          </w:tcPr>
          <w:p w14:paraId="7030EB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Автошасси ГАЗ-ААА под бензоцистерны и АКС</w:t>
            </w:r>
          </w:p>
        </w:tc>
        <w:tc>
          <w:tcPr>
            <w:tcW w:w="884" w:type="dxa"/>
          </w:tcPr>
          <w:p w14:paraId="1FBE6C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568" w:type="dxa"/>
          </w:tcPr>
          <w:p w14:paraId="675C85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273" w:type="dxa"/>
          </w:tcPr>
          <w:p w14:paraId="6386494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1" w:type="dxa"/>
          </w:tcPr>
          <w:p w14:paraId="31B675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w:t>
            </w:r>
          </w:p>
        </w:tc>
      </w:tr>
      <w:tr w:rsidR="006F4095" w:rsidRPr="008127F8" w14:paraId="39BBEC95" w14:textId="77777777">
        <w:trPr>
          <w:jc w:val="center"/>
        </w:trPr>
        <w:tc>
          <w:tcPr>
            <w:tcW w:w="5232" w:type="dxa"/>
          </w:tcPr>
          <w:p w14:paraId="0507902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Грузовые ГАЗ-АА под ремлетучки "А"</w:t>
            </w:r>
          </w:p>
        </w:tc>
        <w:tc>
          <w:tcPr>
            <w:tcW w:w="884" w:type="dxa"/>
          </w:tcPr>
          <w:p w14:paraId="0E31103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w:t>
            </w:r>
          </w:p>
        </w:tc>
        <w:tc>
          <w:tcPr>
            <w:tcW w:w="568" w:type="dxa"/>
          </w:tcPr>
          <w:p w14:paraId="0B47D9B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w:t>
            </w:r>
          </w:p>
        </w:tc>
        <w:tc>
          <w:tcPr>
            <w:tcW w:w="2273" w:type="dxa"/>
          </w:tcPr>
          <w:p w14:paraId="5E78CD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1" w:type="dxa"/>
          </w:tcPr>
          <w:p w14:paraId="5B67D7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393</w:t>
            </w:r>
          </w:p>
        </w:tc>
      </w:tr>
      <w:tr w:rsidR="006F4095" w:rsidRPr="008127F8" w14:paraId="2893AD3F" w14:textId="77777777">
        <w:trPr>
          <w:jc w:val="center"/>
        </w:trPr>
        <w:tc>
          <w:tcPr>
            <w:tcW w:w="5232" w:type="dxa"/>
          </w:tcPr>
          <w:p w14:paraId="796FE5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Автошасси ГАЗ-АА под ремлетучки "Б"</w:t>
            </w:r>
          </w:p>
        </w:tc>
        <w:tc>
          <w:tcPr>
            <w:tcW w:w="884" w:type="dxa"/>
          </w:tcPr>
          <w:p w14:paraId="54CEA8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568" w:type="dxa"/>
          </w:tcPr>
          <w:p w14:paraId="17102E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2273" w:type="dxa"/>
          </w:tcPr>
          <w:p w14:paraId="62E2C1D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1" w:type="dxa"/>
          </w:tcPr>
          <w:p w14:paraId="3032D1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r>
      <w:tr w:rsidR="006F4095" w:rsidRPr="008127F8" w14:paraId="52155B61" w14:textId="77777777">
        <w:trPr>
          <w:jc w:val="center"/>
        </w:trPr>
        <w:tc>
          <w:tcPr>
            <w:tcW w:w="5232" w:type="dxa"/>
          </w:tcPr>
          <w:p w14:paraId="446A07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Автошасси ГАЗ-АА под ПЗС</w:t>
            </w:r>
          </w:p>
        </w:tc>
        <w:tc>
          <w:tcPr>
            <w:tcW w:w="884" w:type="dxa"/>
          </w:tcPr>
          <w:p w14:paraId="32B098D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568" w:type="dxa"/>
          </w:tcPr>
          <w:p w14:paraId="3BE5650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2273" w:type="dxa"/>
          </w:tcPr>
          <w:p w14:paraId="6A6171F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1" w:type="dxa"/>
          </w:tcPr>
          <w:p w14:paraId="375EFCC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w:t>
            </w:r>
          </w:p>
        </w:tc>
      </w:tr>
      <w:tr w:rsidR="006F4095" w:rsidRPr="008127F8" w14:paraId="2F23BBF1" w14:textId="77777777">
        <w:trPr>
          <w:jc w:val="center"/>
        </w:trPr>
        <w:tc>
          <w:tcPr>
            <w:tcW w:w="5232" w:type="dxa"/>
            <w:tcBorders>
              <w:bottom w:val="single" w:sz="12" w:space="0" w:color="auto"/>
            </w:tcBorders>
          </w:tcPr>
          <w:p w14:paraId="185F6B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автомашин и шасси</w:t>
            </w:r>
          </w:p>
        </w:tc>
        <w:tc>
          <w:tcPr>
            <w:tcW w:w="884" w:type="dxa"/>
            <w:tcBorders>
              <w:bottom w:val="single" w:sz="12" w:space="0" w:color="auto"/>
            </w:tcBorders>
          </w:tcPr>
          <w:p w14:paraId="1FA586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3663</w:t>
            </w:r>
          </w:p>
        </w:tc>
        <w:tc>
          <w:tcPr>
            <w:tcW w:w="568" w:type="dxa"/>
            <w:tcBorders>
              <w:bottom w:val="single" w:sz="12" w:space="0" w:color="auto"/>
            </w:tcBorders>
          </w:tcPr>
          <w:p w14:paraId="2C28A8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3717</w:t>
            </w:r>
          </w:p>
        </w:tc>
        <w:tc>
          <w:tcPr>
            <w:tcW w:w="2273" w:type="dxa"/>
            <w:tcBorders>
              <w:bottom w:val="single" w:sz="12" w:space="0" w:color="auto"/>
            </w:tcBorders>
          </w:tcPr>
          <w:p w14:paraId="2ED1E3B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3122</w:t>
            </w:r>
          </w:p>
        </w:tc>
        <w:tc>
          <w:tcPr>
            <w:tcW w:w="631" w:type="dxa"/>
            <w:tcBorders>
              <w:bottom w:val="single" w:sz="12" w:space="0" w:color="auto"/>
            </w:tcBorders>
          </w:tcPr>
          <w:p w14:paraId="451AC5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10502</w:t>
            </w:r>
          </w:p>
        </w:tc>
      </w:tr>
    </w:tbl>
    <w:p w14:paraId="08EDDE4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Автомашины поставить комплектно с цепями.</w:t>
      </w:r>
    </w:p>
    <w:p w14:paraId="2875E9F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мотоциклетных заводов Наркомата среднего машиностроения:</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230"/>
        <w:gridCol w:w="1598"/>
        <w:gridCol w:w="1128"/>
        <w:gridCol w:w="1410"/>
        <w:gridCol w:w="1222"/>
      </w:tblGrid>
      <w:tr w:rsidR="006F4095" w:rsidRPr="008127F8" w14:paraId="34E4C67D" w14:textId="77777777" w:rsidTr="00D91C13">
        <w:trPr>
          <w:jc w:val="center"/>
        </w:trPr>
        <w:tc>
          <w:tcPr>
            <w:tcW w:w="4230" w:type="dxa"/>
            <w:tcBorders>
              <w:top w:val="single" w:sz="12" w:space="0" w:color="auto"/>
            </w:tcBorders>
          </w:tcPr>
          <w:p w14:paraId="4E9D99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машин</w:t>
            </w:r>
          </w:p>
        </w:tc>
        <w:tc>
          <w:tcPr>
            <w:tcW w:w="1598" w:type="dxa"/>
            <w:gridSpan w:val="4"/>
            <w:tcBorders>
              <w:top w:val="single" w:sz="12" w:space="0" w:color="auto"/>
            </w:tcBorders>
          </w:tcPr>
          <w:p w14:paraId="0F0B05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 и количество</w:t>
            </w:r>
          </w:p>
        </w:tc>
      </w:tr>
      <w:tr w:rsidR="006F4095" w:rsidRPr="008127F8" w14:paraId="159E2931" w14:textId="77777777">
        <w:trPr>
          <w:jc w:val="center"/>
        </w:trPr>
        <w:tc>
          <w:tcPr>
            <w:tcW w:w="4230" w:type="dxa"/>
          </w:tcPr>
          <w:p w14:paraId="479F75B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8" w:type="dxa"/>
          </w:tcPr>
          <w:p w14:paraId="4B72B75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1128" w:type="dxa"/>
          </w:tcPr>
          <w:p w14:paraId="0AEFFBE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1410" w:type="dxa"/>
          </w:tcPr>
          <w:p w14:paraId="33A017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1222" w:type="dxa"/>
          </w:tcPr>
          <w:p w14:paraId="1FA4F0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55371D60" w14:textId="77777777">
        <w:trPr>
          <w:jc w:val="center"/>
        </w:trPr>
        <w:tc>
          <w:tcPr>
            <w:tcW w:w="4230" w:type="dxa"/>
            <w:tcBorders>
              <w:bottom w:val="single" w:sz="12" w:space="0" w:color="auto"/>
            </w:tcBorders>
          </w:tcPr>
          <w:p w14:paraId="6F9EFD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Мотоциклов с коляской</w:t>
            </w:r>
          </w:p>
        </w:tc>
        <w:tc>
          <w:tcPr>
            <w:tcW w:w="1598" w:type="dxa"/>
            <w:tcBorders>
              <w:bottom w:val="single" w:sz="12" w:space="0" w:color="auto"/>
            </w:tcBorders>
          </w:tcPr>
          <w:p w14:paraId="41716E9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w:t>
            </w:r>
          </w:p>
        </w:tc>
        <w:tc>
          <w:tcPr>
            <w:tcW w:w="1128" w:type="dxa"/>
            <w:tcBorders>
              <w:bottom w:val="single" w:sz="12" w:space="0" w:color="auto"/>
            </w:tcBorders>
          </w:tcPr>
          <w:p w14:paraId="37ABD6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w:t>
            </w:r>
          </w:p>
        </w:tc>
        <w:tc>
          <w:tcPr>
            <w:tcW w:w="1410" w:type="dxa"/>
            <w:tcBorders>
              <w:bottom w:val="single" w:sz="12" w:space="0" w:color="auto"/>
            </w:tcBorders>
          </w:tcPr>
          <w:p w14:paraId="564AB8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w:t>
            </w:r>
          </w:p>
        </w:tc>
        <w:tc>
          <w:tcPr>
            <w:tcW w:w="1222" w:type="dxa"/>
            <w:tcBorders>
              <w:bottom w:val="single" w:sz="12" w:space="0" w:color="auto"/>
            </w:tcBorders>
          </w:tcPr>
          <w:p w14:paraId="0B9E5B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1641</w:t>
            </w:r>
          </w:p>
        </w:tc>
      </w:tr>
    </w:tbl>
    <w:p w14:paraId="3E6EE1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ГАБТУ КА - тов. Федоренко выделить для формируемых танковых бригад: </w:t>
      </w:r>
    </w:p>
    <w:p w14:paraId="3EDC9E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Английские бронетранспортеры по 3 шт. на бригаду - всего 360 шт. </w:t>
      </w:r>
    </w:p>
    <w:p w14:paraId="30BA6B7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Импортные трехосные автомашины (Студебеккер и Интернешэнэл) в качестве тягачей для артсистем по 8 шт. на бригаду - всего 960 штук, из них: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68"/>
        <w:gridCol w:w="3909"/>
      </w:tblGrid>
      <w:tr w:rsidR="006F4095" w:rsidRPr="008127F8" w14:paraId="32AFA852" w14:textId="77777777">
        <w:trPr>
          <w:jc w:val="center"/>
        </w:trPr>
        <w:tc>
          <w:tcPr>
            <w:tcW w:w="4468" w:type="dxa"/>
            <w:tcBorders>
              <w:top w:val="single" w:sz="12" w:space="0" w:color="auto"/>
            </w:tcBorders>
          </w:tcPr>
          <w:p w14:paraId="7AB8DC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w:t>
            </w:r>
          </w:p>
        </w:tc>
        <w:tc>
          <w:tcPr>
            <w:tcW w:w="3909" w:type="dxa"/>
            <w:tcBorders>
              <w:top w:val="single" w:sz="12" w:space="0" w:color="auto"/>
            </w:tcBorders>
          </w:tcPr>
          <w:p w14:paraId="20ECACD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шт.</w:t>
            </w:r>
          </w:p>
        </w:tc>
      </w:tr>
      <w:tr w:rsidR="006F4095" w:rsidRPr="008127F8" w14:paraId="59E458B3" w14:textId="77777777">
        <w:trPr>
          <w:jc w:val="center"/>
        </w:trPr>
        <w:tc>
          <w:tcPr>
            <w:tcW w:w="4468" w:type="dxa"/>
          </w:tcPr>
          <w:p w14:paraId="17D921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w:t>
            </w:r>
          </w:p>
        </w:tc>
        <w:tc>
          <w:tcPr>
            <w:tcW w:w="3909" w:type="dxa"/>
          </w:tcPr>
          <w:p w14:paraId="7FD643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шт.</w:t>
            </w:r>
          </w:p>
        </w:tc>
      </w:tr>
      <w:tr w:rsidR="006F4095" w:rsidRPr="008127F8" w14:paraId="158EBB40" w14:textId="77777777">
        <w:trPr>
          <w:jc w:val="center"/>
        </w:trPr>
        <w:tc>
          <w:tcPr>
            <w:tcW w:w="4468" w:type="dxa"/>
            <w:tcBorders>
              <w:bottom w:val="single" w:sz="12" w:space="0" w:color="auto"/>
            </w:tcBorders>
          </w:tcPr>
          <w:p w14:paraId="282BB12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w:t>
            </w:r>
          </w:p>
        </w:tc>
        <w:tc>
          <w:tcPr>
            <w:tcW w:w="3909" w:type="dxa"/>
            <w:tcBorders>
              <w:bottom w:val="single" w:sz="12" w:space="0" w:color="auto"/>
            </w:tcBorders>
          </w:tcPr>
          <w:p w14:paraId="2F38151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шт.</w:t>
            </w:r>
          </w:p>
        </w:tc>
      </w:tr>
    </w:tbl>
    <w:p w14:paraId="1FB2453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2.5 тонные автомашины (ОСТИН) под автокухни по 6 шт. на бригаду – всего 720 штук, из них: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68"/>
        <w:gridCol w:w="3909"/>
      </w:tblGrid>
      <w:tr w:rsidR="006F4095" w:rsidRPr="008127F8" w14:paraId="76AB9B41" w14:textId="77777777">
        <w:trPr>
          <w:jc w:val="center"/>
        </w:trPr>
        <w:tc>
          <w:tcPr>
            <w:tcW w:w="4468" w:type="dxa"/>
            <w:tcBorders>
              <w:top w:val="single" w:sz="12" w:space="0" w:color="auto"/>
            </w:tcBorders>
          </w:tcPr>
          <w:p w14:paraId="1515327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w:t>
            </w:r>
          </w:p>
        </w:tc>
        <w:tc>
          <w:tcPr>
            <w:tcW w:w="3909" w:type="dxa"/>
            <w:tcBorders>
              <w:top w:val="single" w:sz="12" w:space="0" w:color="auto"/>
            </w:tcBorders>
          </w:tcPr>
          <w:p w14:paraId="693D7B2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 шт.</w:t>
            </w:r>
          </w:p>
        </w:tc>
      </w:tr>
      <w:tr w:rsidR="006F4095" w:rsidRPr="008127F8" w14:paraId="582AA30A" w14:textId="77777777">
        <w:trPr>
          <w:jc w:val="center"/>
        </w:trPr>
        <w:tc>
          <w:tcPr>
            <w:tcW w:w="4468" w:type="dxa"/>
          </w:tcPr>
          <w:p w14:paraId="306FFD0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w:t>
            </w:r>
          </w:p>
        </w:tc>
        <w:tc>
          <w:tcPr>
            <w:tcW w:w="3909" w:type="dxa"/>
          </w:tcPr>
          <w:p w14:paraId="5349FA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 шт.</w:t>
            </w:r>
          </w:p>
        </w:tc>
      </w:tr>
      <w:tr w:rsidR="006F4095" w:rsidRPr="008127F8" w14:paraId="1946293D" w14:textId="77777777">
        <w:trPr>
          <w:jc w:val="center"/>
        </w:trPr>
        <w:tc>
          <w:tcPr>
            <w:tcW w:w="4468" w:type="dxa"/>
            <w:tcBorders>
              <w:bottom w:val="single" w:sz="12" w:space="0" w:color="auto"/>
            </w:tcBorders>
          </w:tcPr>
          <w:p w14:paraId="76BDA8E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w:t>
            </w:r>
          </w:p>
        </w:tc>
        <w:tc>
          <w:tcPr>
            <w:tcW w:w="3909" w:type="dxa"/>
            <w:tcBorders>
              <w:bottom w:val="single" w:sz="12" w:space="0" w:color="auto"/>
            </w:tcBorders>
          </w:tcPr>
          <w:p w14:paraId="650559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 шт.</w:t>
            </w:r>
          </w:p>
        </w:tc>
      </w:tr>
    </w:tbl>
    <w:p w14:paraId="33A8B8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Обязать Наркомтанкпром тов. Малышева отремонтировать до 20 апреля с.г. для укомплектования формируемых танковых бригад 350 тракторов С-2, ЧТЗ-60 и ЧТЗ-65 (в том числе 150 за счет тракторов, ремонтируемых для НКЗема), для чего ГАБТУ КА обязано завезти на заводы Наркомтанкпрома соответствующее количество тракторов, требующих ремонта, в течение февраля и марта месяцев. </w:t>
      </w:r>
    </w:p>
    <w:p w14:paraId="6AAA32C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ГАБТУ КА отремонтировать для укомплектования формируемых в феврале-апреле танковых бригад 250 тракторов С-2, ЧТЗ-60 и ЧТЗ-65, для чего Наркомтанкопром обязан поставить необходимое число запасных частей до 1 апреля с.г. </w:t>
      </w:r>
    </w:p>
    <w:p w14:paraId="1E6AC4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Обязать: </w:t>
      </w:r>
    </w:p>
    <w:p w14:paraId="010226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Наркомэлектропром тов. Кабанова изготовить походно-зарядные станции "ПЗС" - 224 шт. и зарядные агрегаты АЛ-6/3 - 140 шт. </w:t>
      </w:r>
    </w:p>
    <w:p w14:paraId="4A88934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НКПС тов. Кагановича - изготовить зарядные агрегаты АЛ-6/3 - 100 шт. </w:t>
      </w:r>
    </w:p>
    <w:p w14:paraId="74865A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Поставку произвести ГАБТУ КА равномерными партиями в феврале, марте и апреле месяцах с.г. </w:t>
      </w:r>
    </w:p>
    <w:p w14:paraId="614F263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Обязать Наркомат минометного вооружения тов. Паршина изготовить и поставить ГАБТУ КА до 1 мая с.г. равномерными партиями в феврале, марте и апреле месяцах 40 комплектных станций типа АКС-2. </w:t>
      </w:r>
    </w:p>
    <w:p w14:paraId="34798BC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Обязать Наркомэлектропром тов. Кабанова изготовить на прожекторном заводе им. Кагановича и сдать ГАБТУ КА специально для обеспечения формируемых танковых бригад в феврале 1942 г. 30 мастерских типа "Б" и 30 мастерских типа "А", в марте - 45 мастерских типа "Б" и 40 мастерских типа "А" и в апреле (до 20 числа) - 28 мастерских типа "Б" и 23 мастерских типа "А". </w:t>
      </w:r>
    </w:p>
    <w:p w14:paraId="35F356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Обязать Наркомат мясной и молочной промышленности Союза ССР изготовить на Московском автокузовном заводе и сдать ГАБТУ КА к 20 апреля 1942 года 500 мастерских типа "А" равными партиями в течение февраля, марта и апреля месяцев. </w:t>
      </w:r>
    </w:p>
    <w:p w14:paraId="5346D82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Обязать Госплан Союза ССР выделить Наркомэлектропрому и Наркомату мясной и молочной промышленности на изготовление и укомплектование 103 мастерских типа "Б" и 393 мастерских типа "А" оборудование, инструмент и материалы, согласно приложению № 2. </w:t>
      </w:r>
    </w:p>
    <w:p w14:paraId="5FE034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Обязать Наркомэлектропром тов. Кабанова изготовить к 20 апреля 1942 г. 120 электросварочных аппаратов "САК-2Б" и сдать их ГАБТУ КА равными партиями в течение февраля, марта и апреля месяцев с.г. </w:t>
      </w:r>
    </w:p>
    <w:p w14:paraId="375D33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Обязать начальника Главупроформа Красной Армии тов. Щаденко выделить в распоряжение ГАБТУ КА к 20 февраля 1942 г. 4920 красноармейцев из числа имеющих производственный опыт (слесарей, токарей и электриков) для подготовки младших специалистов по ремонту танков в учебных танковых полках. </w:t>
      </w:r>
    </w:p>
    <w:p w14:paraId="0D91CAE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Обязать Главного интенданта Красной Армии тов. Давыдова выдать ГАБТУ КА для укомплектования формируемых танковых бригад: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136"/>
        <w:gridCol w:w="1106"/>
        <w:gridCol w:w="711"/>
        <w:gridCol w:w="2845"/>
        <w:gridCol w:w="790"/>
      </w:tblGrid>
      <w:tr w:rsidR="006F4095" w:rsidRPr="008127F8" w14:paraId="38708481" w14:textId="77777777" w:rsidTr="00D91C13">
        <w:trPr>
          <w:jc w:val="center"/>
        </w:trPr>
        <w:tc>
          <w:tcPr>
            <w:tcW w:w="4136" w:type="dxa"/>
            <w:tcBorders>
              <w:top w:val="single" w:sz="12" w:space="0" w:color="auto"/>
            </w:tcBorders>
          </w:tcPr>
          <w:p w14:paraId="2D20E01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Номенклатура</w:t>
            </w:r>
          </w:p>
        </w:tc>
        <w:tc>
          <w:tcPr>
            <w:tcW w:w="1106" w:type="dxa"/>
            <w:gridSpan w:val="4"/>
            <w:tcBorders>
              <w:top w:val="single" w:sz="12" w:space="0" w:color="auto"/>
            </w:tcBorders>
          </w:tcPr>
          <w:p w14:paraId="6141E8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 и количество</w:t>
            </w:r>
          </w:p>
        </w:tc>
      </w:tr>
      <w:tr w:rsidR="006F4095" w:rsidRPr="008127F8" w14:paraId="796650EF" w14:textId="77777777">
        <w:trPr>
          <w:jc w:val="center"/>
        </w:trPr>
        <w:tc>
          <w:tcPr>
            <w:tcW w:w="4136" w:type="dxa"/>
          </w:tcPr>
          <w:p w14:paraId="4F9828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6" w:type="dxa"/>
          </w:tcPr>
          <w:p w14:paraId="1B60FA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711" w:type="dxa"/>
          </w:tcPr>
          <w:p w14:paraId="727A31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2845" w:type="dxa"/>
          </w:tcPr>
          <w:p w14:paraId="54C3E98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до 20 числа</w:t>
            </w:r>
          </w:p>
        </w:tc>
        <w:tc>
          <w:tcPr>
            <w:tcW w:w="790" w:type="dxa"/>
          </w:tcPr>
          <w:p w14:paraId="7AE3349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55D6523A" w14:textId="77777777">
        <w:trPr>
          <w:jc w:val="center"/>
        </w:trPr>
        <w:tc>
          <w:tcPr>
            <w:tcW w:w="4136" w:type="dxa"/>
            <w:tcBorders>
              <w:bottom w:val="single" w:sz="12" w:space="0" w:color="auto"/>
            </w:tcBorders>
          </w:tcPr>
          <w:p w14:paraId="653BE23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Походных кухонных прицепов</w:t>
            </w:r>
          </w:p>
        </w:tc>
        <w:tc>
          <w:tcPr>
            <w:tcW w:w="1106" w:type="dxa"/>
            <w:tcBorders>
              <w:bottom w:val="single" w:sz="12" w:space="0" w:color="auto"/>
            </w:tcBorders>
          </w:tcPr>
          <w:p w14:paraId="4562993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w:t>
            </w:r>
          </w:p>
        </w:tc>
        <w:tc>
          <w:tcPr>
            <w:tcW w:w="711" w:type="dxa"/>
            <w:tcBorders>
              <w:bottom w:val="single" w:sz="12" w:space="0" w:color="auto"/>
            </w:tcBorders>
          </w:tcPr>
          <w:p w14:paraId="729CE4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w:t>
            </w:r>
          </w:p>
        </w:tc>
        <w:tc>
          <w:tcPr>
            <w:tcW w:w="2845" w:type="dxa"/>
            <w:tcBorders>
              <w:bottom w:val="single" w:sz="12" w:space="0" w:color="auto"/>
            </w:tcBorders>
          </w:tcPr>
          <w:p w14:paraId="07F685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w:t>
            </w:r>
          </w:p>
        </w:tc>
        <w:tc>
          <w:tcPr>
            <w:tcW w:w="790" w:type="dxa"/>
            <w:tcBorders>
              <w:bottom w:val="single" w:sz="12" w:space="0" w:color="auto"/>
            </w:tcBorders>
          </w:tcPr>
          <w:p w14:paraId="177A9C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593</w:t>
            </w:r>
          </w:p>
        </w:tc>
      </w:tr>
    </w:tbl>
    <w:p w14:paraId="1A1D613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Обязать начальника снабжения горючим Красной Армии тов. Кормилицина выдать ГАБТУ КА для укомплектования формируемых танковых бригад:</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7"/>
        <w:gridCol w:w="1335"/>
        <w:gridCol w:w="865"/>
        <w:gridCol w:w="3403"/>
        <w:gridCol w:w="959"/>
      </w:tblGrid>
      <w:tr w:rsidR="006F4095" w:rsidRPr="008127F8" w14:paraId="48044D7B" w14:textId="77777777" w:rsidTr="00D91C13">
        <w:trPr>
          <w:jc w:val="center"/>
        </w:trPr>
        <w:tc>
          <w:tcPr>
            <w:tcW w:w="3027" w:type="dxa"/>
            <w:tcBorders>
              <w:top w:val="single" w:sz="12" w:space="0" w:color="auto"/>
            </w:tcBorders>
          </w:tcPr>
          <w:p w14:paraId="7426AB1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Номенклатура</w:t>
            </w:r>
          </w:p>
        </w:tc>
        <w:tc>
          <w:tcPr>
            <w:tcW w:w="1335" w:type="dxa"/>
            <w:gridSpan w:val="4"/>
            <w:tcBorders>
              <w:top w:val="single" w:sz="12" w:space="0" w:color="auto"/>
            </w:tcBorders>
          </w:tcPr>
          <w:p w14:paraId="0A7F12E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 и количество</w:t>
            </w:r>
          </w:p>
        </w:tc>
      </w:tr>
      <w:tr w:rsidR="006F4095" w:rsidRPr="008127F8" w14:paraId="0281E092" w14:textId="77777777">
        <w:trPr>
          <w:jc w:val="center"/>
        </w:trPr>
        <w:tc>
          <w:tcPr>
            <w:tcW w:w="3027" w:type="dxa"/>
          </w:tcPr>
          <w:p w14:paraId="681D384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5" w:type="dxa"/>
          </w:tcPr>
          <w:p w14:paraId="4405F34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865" w:type="dxa"/>
          </w:tcPr>
          <w:p w14:paraId="33520C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3403" w:type="dxa"/>
          </w:tcPr>
          <w:p w14:paraId="6DB7AA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до 20 числа</w:t>
            </w:r>
          </w:p>
        </w:tc>
        <w:tc>
          <w:tcPr>
            <w:tcW w:w="959" w:type="dxa"/>
          </w:tcPr>
          <w:p w14:paraId="3A0C3C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2CB53A05" w14:textId="77777777">
        <w:trPr>
          <w:jc w:val="center"/>
        </w:trPr>
        <w:tc>
          <w:tcPr>
            <w:tcW w:w="3027" w:type="dxa"/>
            <w:tcBorders>
              <w:bottom w:val="single" w:sz="12" w:space="0" w:color="auto"/>
            </w:tcBorders>
          </w:tcPr>
          <w:p w14:paraId="4B90FB5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Автобензоцистерн</w:t>
            </w:r>
          </w:p>
        </w:tc>
        <w:tc>
          <w:tcPr>
            <w:tcW w:w="1335" w:type="dxa"/>
            <w:tcBorders>
              <w:bottom w:val="single" w:sz="12" w:space="0" w:color="auto"/>
            </w:tcBorders>
          </w:tcPr>
          <w:p w14:paraId="1406D1D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865" w:type="dxa"/>
            <w:tcBorders>
              <w:bottom w:val="single" w:sz="12" w:space="0" w:color="auto"/>
            </w:tcBorders>
          </w:tcPr>
          <w:p w14:paraId="64ADB7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3403" w:type="dxa"/>
            <w:tcBorders>
              <w:bottom w:val="single" w:sz="12" w:space="0" w:color="auto"/>
            </w:tcBorders>
          </w:tcPr>
          <w:p w14:paraId="77681CE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959" w:type="dxa"/>
            <w:tcBorders>
              <w:bottom w:val="single" w:sz="12" w:space="0" w:color="auto"/>
            </w:tcBorders>
          </w:tcPr>
          <w:p w14:paraId="702A957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w:t>
            </w:r>
          </w:p>
        </w:tc>
      </w:tr>
    </w:tbl>
    <w:p w14:paraId="3F7F9D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Обязать начальника Главного управления связи Красной Армии тов. Пересыпкина поставить (по заявкам ГАБТУ КА) для формируемых танковых бригад радиостанций: </w:t>
      </w:r>
    </w:p>
    <w:p w14:paraId="1DC6F64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РБ с повышенной антенной - 469 шт. </w:t>
      </w:r>
    </w:p>
    <w:p w14:paraId="74E2C4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РБ - 59 шт. </w:t>
      </w:r>
    </w:p>
    <w:p w14:paraId="3A9B4F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РБС - 460 шт. </w:t>
      </w:r>
    </w:p>
    <w:p w14:paraId="734032E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РСБ - 114 шт. </w:t>
      </w:r>
    </w:p>
    <w:p w14:paraId="00ED570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Обязать НКПС тов. Кагановича отправку грузов, связанных с выпуском материальной части и комплектованием танковых бригад, производить наравне с оперативными эшелонами. </w:t>
      </w:r>
    </w:p>
    <w:p w14:paraId="2C31823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025E22F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Выписки посланы: т.т. Молотову, Шапошникову, Федоренко - все; Щаденко - 2, 14, Яковлеву - 3, 4, Хрулеву, Давыдову - 4, 15, Кормилицину - 4, 16, Пересыпкину - </w:t>
      </w:r>
      <w:r w:rsidRPr="008127F8">
        <w:rPr>
          <w:rFonts w:ascii="Times New Roman" w:hAnsi="Times New Roman"/>
          <w:color w:val="000000" w:themeColor="text1"/>
          <w:sz w:val="16"/>
          <w:szCs w:val="16"/>
        </w:rPr>
        <w:lastRenderedPageBreak/>
        <w:t xml:space="preserve">7, 17, Акопову - 5, 12, Малышеву - 7, 12, Кабанову - 8, 10, 12, 13, Кагановичу - 8, 18, Паршину - 9, 12, Сабурову - 10, 11, 12, Смирнову - 11, 12, Казакову, Смиряеву, Тевосяну - 12, Митрохину, Куршеву - 12, Андрееву - 18. </w:t>
      </w:r>
    </w:p>
    <w:p w14:paraId="706F798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Сов. секретно </w:t>
      </w:r>
    </w:p>
    <w:p w14:paraId="7F9585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 1 </w:t>
      </w:r>
    </w:p>
    <w:p w14:paraId="2638DFF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постановлению ГОКО № 1295сс от 16.II.1942 г. </w:t>
      </w:r>
    </w:p>
    <w:p w14:paraId="6EF47F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РАСЧЕТ ПОТРЕБНОСТИ В ВООРУЖЕНИИ ДЛЯ ФОРМИРОВАНИЯ 120 ТАНКОВЫХ БРИГАД ПО ШТАТАМ №№ 010/345-010-352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301"/>
        <w:gridCol w:w="586"/>
        <w:gridCol w:w="586"/>
        <w:gridCol w:w="586"/>
        <w:gridCol w:w="587"/>
        <w:gridCol w:w="440"/>
        <w:gridCol w:w="441"/>
        <w:gridCol w:w="440"/>
        <w:gridCol w:w="440"/>
        <w:gridCol w:w="441"/>
        <w:gridCol w:w="440"/>
        <w:gridCol w:w="440"/>
        <w:gridCol w:w="587"/>
        <w:gridCol w:w="587"/>
        <w:gridCol w:w="587"/>
        <w:gridCol w:w="587"/>
        <w:gridCol w:w="587"/>
      </w:tblGrid>
      <w:tr w:rsidR="006F4095" w:rsidRPr="008127F8" w14:paraId="3C2D57F2" w14:textId="77777777" w:rsidTr="00D91C13">
        <w:trPr>
          <w:jc w:val="center"/>
        </w:trPr>
        <w:tc>
          <w:tcPr>
            <w:tcW w:w="2301" w:type="dxa"/>
            <w:tcBorders>
              <w:top w:val="single" w:sz="12" w:space="0" w:color="auto"/>
            </w:tcBorders>
          </w:tcPr>
          <w:p w14:paraId="34C4FA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12" w:space="0" w:color="auto"/>
            </w:tcBorders>
          </w:tcPr>
          <w:p w14:paraId="03CDC36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Винтовок со штыком</w:t>
            </w:r>
          </w:p>
        </w:tc>
        <w:tc>
          <w:tcPr>
            <w:tcW w:w="586" w:type="dxa"/>
            <w:tcBorders>
              <w:top w:val="single" w:sz="12" w:space="0" w:color="auto"/>
            </w:tcBorders>
          </w:tcPr>
          <w:p w14:paraId="07CF074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Карабинов</w:t>
            </w:r>
          </w:p>
        </w:tc>
        <w:tc>
          <w:tcPr>
            <w:tcW w:w="586" w:type="dxa"/>
            <w:tcBorders>
              <w:top w:val="single" w:sz="12" w:space="0" w:color="auto"/>
            </w:tcBorders>
          </w:tcPr>
          <w:p w14:paraId="2C5666F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Пистолетов-револьверов</w:t>
            </w:r>
          </w:p>
        </w:tc>
        <w:tc>
          <w:tcPr>
            <w:tcW w:w="587" w:type="dxa"/>
            <w:tcBorders>
              <w:top w:val="single" w:sz="12" w:space="0" w:color="auto"/>
            </w:tcBorders>
          </w:tcPr>
          <w:p w14:paraId="09B7D79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ППД</w:t>
            </w:r>
          </w:p>
        </w:tc>
        <w:tc>
          <w:tcPr>
            <w:tcW w:w="440" w:type="dxa"/>
            <w:tcBorders>
              <w:top w:val="single" w:sz="12" w:space="0" w:color="auto"/>
            </w:tcBorders>
          </w:tcPr>
          <w:p w14:paraId="6CD74E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Пуле-метов</w:t>
            </w:r>
            <w:proofErr w:type="gramEnd"/>
            <w:r w:rsidRPr="008127F8">
              <w:rPr>
                <w:rFonts w:ascii="Times New Roman" w:hAnsi="Times New Roman"/>
                <w:color w:val="000000" w:themeColor="text1"/>
                <w:sz w:val="16"/>
                <w:szCs w:val="16"/>
              </w:rPr>
              <w:t xml:space="preserve"> ДП</w:t>
            </w:r>
          </w:p>
        </w:tc>
        <w:tc>
          <w:tcPr>
            <w:tcW w:w="441" w:type="dxa"/>
            <w:tcBorders>
              <w:top w:val="single" w:sz="12" w:space="0" w:color="auto"/>
            </w:tcBorders>
          </w:tcPr>
          <w:p w14:paraId="1AD8E13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Пуле-метов</w:t>
            </w:r>
            <w:proofErr w:type="gramEnd"/>
            <w:r w:rsidRPr="008127F8">
              <w:rPr>
                <w:rFonts w:ascii="Times New Roman" w:hAnsi="Times New Roman"/>
                <w:color w:val="000000" w:themeColor="text1"/>
                <w:sz w:val="16"/>
                <w:szCs w:val="16"/>
              </w:rPr>
              <w:t xml:space="preserve"> ст.</w:t>
            </w:r>
          </w:p>
        </w:tc>
        <w:tc>
          <w:tcPr>
            <w:tcW w:w="440" w:type="dxa"/>
            <w:tcBorders>
              <w:top w:val="single" w:sz="12" w:space="0" w:color="auto"/>
            </w:tcBorders>
          </w:tcPr>
          <w:p w14:paraId="0D440A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Противо-танковых</w:t>
            </w:r>
            <w:proofErr w:type="gramEnd"/>
            <w:r w:rsidRPr="008127F8">
              <w:rPr>
                <w:rFonts w:ascii="Times New Roman" w:hAnsi="Times New Roman"/>
                <w:color w:val="000000" w:themeColor="text1"/>
                <w:sz w:val="16"/>
                <w:szCs w:val="16"/>
              </w:rPr>
              <w:t xml:space="preserve"> ружей</w:t>
            </w:r>
          </w:p>
        </w:tc>
        <w:tc>
          <w:tcPr>
            <w:tcW w:w="440" w:type="dxa"/>
            <w:tcBorders>
              <w:top w:val="single" w:sz="12" w:space="0" w:color="auto"/>
            </w:tcBorders>
          </w:tcPr>
          <w:p w14:paraId="065FAA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 мм минометов</w:t>
            </w:r>
          </w:p>
        </w:tc>
        <w:tc>
          <w:tcPr>
            <w:tcW w:w="441" w:type="dxa"/>
            <w:tcBorders>
              <w:top w:val="single" w:sz="12" w:space="0" w:color="auto"/>
            </w:tcBorders>
          </w:tcPr>
          <w:p w14:paraId="1F21868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 мм орудий</w:t>
            </w:r>
          </w:p>
        </w:tc>
        <w:tc>
          <w:tcPr>
            <w:tcW w:w="440" w:type="dxa"/>
            <w:tcBorders>
              <w:top w:val="single" w:sz="12" w:space="0" w:color="auto"/>
            </w:tcBorders>
          </w:tcPr>
          <w:p w14:paraId="6432D1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 мм орудий УСВ</w:t>
            </w:r>
          </w:p>
        </w:tc>
        <w:tc>
          <w:tcPr>
            <w:tcW w:w="440" w:type="dxa"/>
            <w:tcBorders>
              <w:top w:val="single" w:sz="12" w:space="0" w:color="auto"/>
            </w:tcBorders>
          </w:tcPr>
          <w:p w14:paraId="0C8A715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Биноклей</w:t>
            </w:r>
          </w:p>
        </w:tc>
        <w:tc>
          <w:tcPr>
            <w:tcW w:w="587" w:type="dxa"/>
            <w:tcBorders>
              <w:top w:val="single" w:sz="12" w:space="0" w:color="auto"/>
            </w:tcBorders>
          </w:tcPr>
          <w:p w14:paraId="362A97A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Компасов</w:t>
            </w:r>
          </w:p>
        </w:tc>
        <w:tc>
          <w:tcPr>
            <w:tcW w:w="587" w:type="dxa"/>
            <w:gridSpan w:val="4"/>
            <w:tcBorders>
              <w:top w:val="single" w:sz="12" w:space="0" w:color="auto"/>
            </w:tcBorders>
          </w:tcPr>
          <w:p w14:paraId="1B08D05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 винтовочн. патронов</w:t>
            </w:r>
          </w:p>
        </w:tc>
      </w:tr>
      <w:tr w:rsidR="006F4095" w:rsidRPr="008127F8" w14:paraId="18D41A17" w14:textId="77777777">
        <w:trPr>
          <w:jc w:val="center"/>
        </w:trPr>
        <w:tc>
          <w:tcPr>
            <w:tcW w:w="2301" w:type="dxa"/>
          </w:tcPr>
          <w:p w14:paraId="3293BD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8DB8D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9D0926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18DAC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7" w:type="dxa"/>
          </w:tcPr>
          <w:p w14:paraId="1319A2E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598A75B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1" w:type="dxa"/>
          </w:tcPr>
          <w:p w14:paraId="2FD1EC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237D1F5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122740D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1" w:type="dxa"/>
          </w:tcPr>
          <w:p w14:paraId="06F0415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4A07856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1D951E8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7" w:type="dxa"/>
          </w:tcPr>
          <w:p w14:paraId="7CC1DD2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7" w:type="dxa"/>
          </w:tcPr>
          <w:p w14:paraId="344E7B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tc>
        <w:tc>
          <w:tcPr>
            <w:tcW w:w="587" w:type="dxa"/>
          </w:tcPr>
          <w:p w14:paraId="41D9904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w:t>
            </w:r>
          </w:p>
        </w:tc>
        <w:tc>
          <w:tcPr>
            <w:tcW w:w="587" w:type="dxa"/>
          </w:tcPr>
          <w:p w14:paraId="528096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w:t>
            </w:r>
          </w:p>
        </w:tc>
        <w:tc>
          <w:tcPr>
            <w:tcW w:w="587" w:type="dxa"/>
          </w:tcPr>
          <w:p w14:paraId="2A0B91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w:t>
            </w:r>
          </w:p>
        </w:tc>
      </w:tr>
      <w:tr w:rsidR="006F4095" w:rsidRPr="008127F8" w14:paraId="0B6AE715" w14:textId="77777777">
        <w:trPr>
          <w:jc w:val="center"/>
        </w:trPr>
        <w:tc>
          <w:tcPr>
            <w:tcW w:w="2301" w:type="dxa"/>
          </w:tcPr>
          <w:p w14:paraId="1BF9A9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Требуется на 1 бригаду</w:t>
            </w:r>
          </w:p>
        </w:tc>
        <w:tc>
          <w:tcPr>
            <w:tcW w:w="586" w:type="dxa"/>
          </w:tcPr>
          <w:p w14:paraId="53E8F9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w:t>
            </w:r>
          </w:p>
        </w:tc>
        <w:tc>
          <w:tcPr>
            <w:tcW w:w="586" w:type="dxa"/>
          </w:tcPr>
          <w:p w14:paraId="2BB9A2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586" w:type="dxa"/>
          </w:tcPr>
          <w:p w14:paraId="0B948A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w:t>
            </w:r>
          </w:p>
        </w:tc>
        <w:tc>
          <w:tcPr>
            <w:tcW w:w="587" w:type="dxa"/>
          </w:tcPr>
          <w:p w14:paraId="5C9681A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440" w:type="dxa"/>
          </w:tcPr>
          <w:p w14:paraId="14F99F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441" w:type="dxa"/>
          </w:tcPr>
          <w:p w14:paraId="475A10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40" w:type="dxa"/>
          </w:tcPr>
          <w:p w14:paraId="6537C6B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440" w:type="dxa"/>
          </w:tcPr>
          <w:p w14:paraId="27CFD1A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441" w:type="dxa"/>
          </w:tcPr>
          <w:p w14:paraId="6AAB6FE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40" w:type="dxa"/>
          </w:tcPr>
          <w:p w14:paraId="4DEFCD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40" w:type="dxa"/>
          </w:tcPr>
          <w:p w14:paraId="03B13B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587" w:type="dxa"/>
          </w:tcPr>
          <w:p w14:paraId="4131B68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324</w:t>
            </w:r>
          </w:p>
        </w:tc>
        <w:tc>
          <w:tcPr>
            <w:tcW w:w="587" w:type="dxa"/>
          </w:tcPr>
          <w:p w14:paraId="2B3474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587" w:type="dxa"/>
          </w:tcPr>
          <w:p w14:paraId="1664089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c>
          <w:tcPr>
            <w:tcW w:w="587" w:type="dxa"/>
          </w:tcPr>
          <w:p w14:paraId="16AB48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317</w:t>
            </w:r>
          </w:p>
        </w:tc>
        <w:tc>
          <w:tcPr>
            <w:tcW w:w="587" w:type="dxa"/>
          </w:tcPr>
          <w:p w14:paraId="440EEB6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r>
      <w:tr w:rsidR="006F4095" w:rsidRPr="008127F8" w14:paraId="6E8A91ED" w14:textId="77777777">
        <w:trPr>
          <w:jc w:val="center"/>
        </w:trPr>
        <w:tc>
          <w:tcPr>
            <w:tcW w:w="2301" w:type="dxa"/>
          </w:tcPr>
          <w:p w14:paraId="1F2FB75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Требуется на 120 бригад</w:t>
            </w:r>
          </w:p>
        </w:tc>
        <w:tc>
          <w:tcPr>
            <w:tcW w:w="586" w:type="dxa"/>
          </w:tcPr>
          <w:p w14:paraId="049A677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21240</w:t>
            </w:r>
          </w:p>
        </w:tc>
        <w:tc>
          <w:tcPr>
            <w:tcW w:w="586" w:type="dxa"/>
          </w:tcPr>
          <w:p w14:paraId="328023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37800</w:t>
            </w:r>
          </w:p>
        </w:tc>
        <w:tc>
          <w:tcPr>
            <w:tcW w:w="586" w:type="dxa"/>
          </w:tcPr>
          <w:p w14:paraId="78E4E5A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27840</w:t>
            </w:r>
          </w:p>
        </w:tc>
        <w:tc>
          <w:tcPr>
            <w:tcW w:w="587" w:type="dxa"/>
          </w:tcPr>
          <w:p w14:paraId="004B410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20280</w:t>
            </w:r>
          </w:p>
        </w:tc>
        <w:tc>
          <w:tcPr>
            <w:tcW w:w="440" w:type="dxa"/>
          </w:tcPr>
          <w:p w14:paraId="6209E7F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441" w:type="dxa"/>
          </w:tcPr>
          <w:p w14:paraId="3115647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440" w:type="dxa"/>
          </w:tcPr>
          <w:p w14:paraId="1CBD3BF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720</w:t>
            </w:r>
          </w:p>
        </w:tc>
        <w:tc>
          <w:tcPr>
            <w:tcW w:w="440" w:type="dxa"/>
          </w:tcPr>
          <w:p w14:paraId="22B27F2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720</w:t>
            </w:r>
          </w:p>
        </w:tc>
        <w:tc>
          <w:tcPr>
            <w:tcW w:w="441" w:type="dxa"/>
          </w:tcPr>
          <w:p w14:paraId="34C4976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440" w:type="dxa"/>
          </w:tcPr>
          <w:p w14:paraId="74F1A9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440" w:type="dxa"/>
          </w:tcPr>
          <w:p w14:paraId="7608435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7800</w:t>
            </w:r>
          </w:p>
        </w:tc>
        <w:tc>
          <w:tcPr>
            <w:tcW w:w="587" w:type="dxa"/>
          </w:tcPr>
          <w:p w14:paraId="360B6E0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38880</w:t>
            </w:r>
          </w:p>
        </w:tc>
        <w:tc>
          <w:tcPr>
            <w:tcW w:w="587" w:type="dxa"/>
          </w:tcPr>
          <w:p w14:paraId="6F8959F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4920</w:t>
            </w:r>
          </w:p>
        </w:tc>
        <w:tc>
          <w:tcPr>
            <w:tcW w:w="587" w:type="dxa"/>
          </w:tcPr>
          <w:p w14:paraId="034D14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10800</w:t>
            </w:r>
          </w:p>
        </w:tc>
        <w:tc>
          <w:tcPr>
            <w:tcW w:w="587" w:type="dxa"/>
          </w:tcPr>
          <w:p w14:paraId="3F1930B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38040</w:t>
            </w:r>
          </w:p>
        </w:tc>
        <w:tc>
          <w:tcPr>
            <w:tcW w:w="587" w:type="dxa"/>
          </w:tcPr>
          <w:p w14:paraId="446EED1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5280</w:t>
            </w:r>
          </w:p>
        </w:tc>
      </w:tr>
      <w:tr w:rsidR="006F4095" w:rsidRPr="008127F8" w14:paraId="44E0D538" w14:textId="77777777">
        <w:trPr>
          <w:jc w:val="center"/>
        </w:trPr>
        <w:tc>
          <w:tcPr>
            <w:tcW w:w="2301" w:type="dxa"/>
          </w:tcPr>
          <w:p w14:paraId="550D13A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 в наличии в существующих бригадах и батальонах</w:t>
            </w:r>
          </w:p>
        </w:tc>
        <w:tc>
          <w:tcPr>
            <w:tcW w:w="586" w:type="dxa"/>
          </w:tcPr>
          <w:p w14:paraId="71B6DBE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5690</w:t>
            </w:r>
          </w:p>
        </w:tc>
        <w:tc>
          <w:tcPr>
            <w:tcW w:w="586" w:type="dxa"/>
          </w:tcPr>
          <w:p w14:paraId="0F202E8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907</w:t>
            </w:r>
          </w:p>
        </w:tc>
        <w:tc>
          <w:tcPr>
            <w:tcW w:w="586" w:type="dxa"/>
          </w:tcPr>
          <w:p w14:paraId="60A4B3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3046</w:t>
            </w:r>
          </w:p>
        </w:tc>
        <w:tc>
          <w:tcPr>
            <w:tcW w:w="587" w:type="dxa"/>
          </w:tcPr>
          <w:p w14:paraId="2994736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642</w:t>
            </w:r>
          </w:p>
        </w:tc>
        <w:tc>
          <w:tcPr>
            <w:tcW w:w="440" w:type="dxa"/>
          </w:tcPr>
          <w:p w14:paraId="3F1B517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441" w:type="dxa"/>
          </w:tcPr>
          <w:p w14:paraId="16120EE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440" w:type="dxa"/>
          </w:tcPr>
          <w:p w14:paraId="4DD2ED1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0" w:type="dxa"/>
          </w:tcPr>
          <w:p w14:paraId="2FDD78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441" w:type="dxa"/>
          </w:tcPr>
          <w:p w14:paraId="5E6A39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440" w:type="dxa"/>
          </w:tcPr>
          <w:p w14:paraId="2C1E124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0" w:type="dxa"/>
          </w:tcPr>
          <w:p w14:paraId="18B1357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587" w:type="dxa"/>
          </w:tcPr>
          <w:p w14:paraId="615C1A9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w:t>
            </w:r>
          </w:p>
        </w:tc>
        <w:tc>
          <w:tcPr>
            <w:tcW w:w="587" w:type="dxa"/>
          </w:tcPr>
          <w:p w14:paraId="257544A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1ED7E28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5B196A4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790EB91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3082885" w14:textId="77777777">
        <w:trPr>
          <w:jc w:val="center"/>
        </w:trPr>
        <w:tc>
          <w:tcPr>
            <w:tcW w:w="2301" w:type="dxa"/>
          </w:tcPr>
          <w:p w14:paraId="0060A20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Предполагается получить от 15 ТБр, выводимых с фронта</w:t>
            </w:r>
          </w:p>
        </w:tc>
        <w:tc>
          <w:tcPr>
            <w:tcW w:w="586" w:type="dxa"/>
          </w:tcPr>
          <w:p w14:paraId="1634DAD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6" w:type="dxa"/>
          </w:tcPr>
          <w:p w14:paraId="04BBF3A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3750</w:t>
            </w:r>
          </w:p>
        </w:tc>
        <w:tc>
          <w:tcPr>
            <w:tcW w:w="586" w:type="dxa"/>
          </w:tcPr>
          <w:p w14:paraId="397E059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587" w:type="dxa"/>
          </w:tcPr>
          <w:p w14:paraId="32A9544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440" w:type="dxa"/>
          </w:tcPr>
          <w:p w14:paraId="251396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441" w:type="dxa"/>
          </w:tcPr>
          <w:p w14:paraId="7B82148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0" w:type="dxa"/>
          </w:tcPr>
          <w:p w14:paraId="485B53D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0" w:type="dxa"/>
          </w:tcPr>
          <w:p w14:paraId="72AB56A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1" w:type="dxa"/>
          </w:tcPr>
          <w:p w14:paraId="3228742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0" w:type="dxa"/>
          </w:tcPr>
          <w:p w14:paraId="54FCBF3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0" w:type="dxa"/>
          </w:tcPr>
          <w:p w14:paraId="7F4103B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7C384FA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1755BC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4F1CF41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24CD631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87" w:type="dxa"/>
          </w:tcPr>
          <w:p w14:paraId="765E199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7D7CF96" w14:textId="77777777">
        <w:trPr>
          <w:jc w:val="center"/>
        </w:trPr>
        <w:tc>
          <w:tcPr>
            <w:tcW w:w="2301" w:type="dxa"/>
            <w:tcBorders>
              <w:bottom w:val="single" w:sz="12" w:space="0" w:color="auto"/>
            </w:tcBorders>
          </w:tcPr>
          <w:p w14:paraId="3B07439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Подлежит удовлетворению от ГАУ Красной Армии</w:t>
            </w:r>
          </w:p>
        </w:tc>
        <w:tc>
          <w:tcPr>
            <w:tcW w:w="586" w:type="dxa"/>
            <w:tcBorders>
              <w:bottom w:val="single" w:sz="12" w:space="0" w:color="auto"/>
            </w:tcBorders>
          </w:tcPr>
          <w:p w14:paraId="20B7F5E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15550</w:t>
            </w:r>
          </w:p>
        </w:tc>
        <w:tc>
          <w:tcPr>
            <w:tcW w:w="586" w:type="dxa"/>
            <w:tcBorders>
              <w:bottom w:val="single" w:sz="12" w:space="0" w:color="auto"/>
            </w:tcBorders>
          </w:tcPr>
          <w:p w14:paraId="4C6286A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33143</w:t>
            </w:r>
          </w:p>
        </w:tc>
        <w:tc>
          <w:tcPr>
            <w:tcW w:w="586" w:type="dxa"/>
            <w:tcBorders>
              <w:bottom w:val="single" w:sz="12" w:space="0" w:color="auto"/>
            </w:tcBorders>
          </w:tcPr>
          <w:p w14:paraId="7AD46A5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23294</w:t>
            </w:r>
          </w:p>
        </w:tc>
        <w:tc>
          <w:tcPr>
            <w:tcW w:w="587" w:type="dxa"/>
            <w:tcBorders>
              <w:bottom w:val="single" w:sz="12" w:space="0" w:color="auto"/>
            </w:tcBorders>
          </w:tcPr>
          <w:p w14:paraId="41FF815D"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19038</w:t>
            </w:r>
          </w:p>
        </w:tc>
        <w:tc>
          <w:tcPr>
            <w:tcW w:w="440" w:type="dxa"/>
            <w:tcBorders>
              <w:bottom w:val="single" w:sz="12" w:space="0" w:color="auto"/>
            </w:tcBorders>
          </w:tcPr>
          <w:p w14:paraId="0212A1D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2210</w:t>
            </w:r>
          </w:p>
        </w:tc>
        <w:tc>
          <w:tcPr>
            <w:tcW w:w="441" w:type="dxa"/>
            <w:tcBorders>
              <w:bottom w:val="single" w:sz="12" w:space="0" w:color="auto"/>
            </w:tcBorders>
          </w:tcPr>
          <w:p w14:paraId="1FD7221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464</w:t>
            </w:r>
          </w:p>
        </w:tc>
        <w:tc>
          <w:tcPr>
            <w:tcW w:w="440" w:type="dxa"/>
            <w:tcBorders>
              <w:bottom w:val="single" w:sz="12" w:space="0" w:color="auto"/>
            </w:tcBorders>
          </w:tcPr>
          <w:p w14:paraId="1B43078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720</w:t>
            </w:r>
          </w:p>
        </w:tc>
        <w:tc>
          <w:tcPr>
            <w:tcW w:w="440" w:type="dxa"/>
            <w:tcBorders>
              <w:bottom w:val="single" w:sz="12" w:space="0" w:color="auto"/>
            </w:tcBorders>
          </w:tcPr>
          <w:p w14:paraId="758386C0"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666</w:t>
            </w:r>
          </w:p>
        </w:tc>
        <w:tc>
          <w:tcPr>
            <w:tcW w:w="441" w:type="dxa"/>
            <w:tcBorders>
              <w:bottom w:val="single" w:sz="12" w:space="0" w:color="auto"/>
            </w:tcBorders>
          </w:tcPr>
          <w:p w14:paraId="51D5580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w:t>
            </w:r>
          </w:p>
        </w:tc>
        <w:tc>
          <w:tcPr>
            <w:tcW w:w="440" w:type="dxa"/>
            <w:tcBorders>
              <w:bottom w:val="single" w:sz="12" w:space="0" w:color="auto"/>
            </w:tcBorders>
          </w:tcPr>
          <w:p w14:paraId="009DF9B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440" w:type="dxa"/>
            <w:tcBorders>
              <w:bottom w:val="single" w:sz="12" w:space="0" w:color="auto"/>
            </w:tcBorders>
          </w:tcPr>
          <w:p w14:paraId="478131FA"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7767</w:t>
            </w:r>
          </w:p>
        </w:tc>
        <w:tc>
          <w:tcPr>
            <w:tcW w:w="587" w:type="dxa"/>
            <w:tcBorders>
              <w:bottom w:val="single" w:sz="12" w:space="0" w:color="auto"/>
            </w:tcBorders>
          </w:tcPr>
          <w:p w14:paraId="4267178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38752</w:t>
            </w:r>
          </w:p>
        </w:tc>
        <w:tc>
          <w:tcPr>
            <w:tcW w:w="587" w:type="dxa"/>
            <w:tcBorders>
              <w:bottom w:val="single" w:sz="12" w:space="0" w:color="auto"/>
            </w:tcBorders>
          </w:tcPr>
          <w:p w14:paraId="07FE0424"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4920</w:t>
            </w:r>
          </w:p>
        </w:tc>
        <w:tc>
          <w:tcPr>
            <w:tcW w:w="587" w:type="dxa"/>
            <w:tcBorders>
              <w:bottom w:val="single" w:sz="12" w:space="0" w:color="auto"/>
            </w:tcBorders>
          </w:tcPr>
          <w:p w14:paraId="36F17CB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10800</w:t>
            </w:r>
          </w:p>
        </w:tc>
        <w:tc>
          <w:tcPr>
            <w:tcW w:w="587" w:type="dxa"/>
            <w:tcBorders>
              <w:bottom w:val="single" w:sz="12" w:space="0" w:color="auto"/>
            </w:tcBorders>
          </w:tcPr>
          <w:p w14:paraId="694B708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38040</w:t>
            </w:r>
          </w:p>
        </w:tc>
        <w:tc>
          <w:tcPr>
            <w:tcW w:w="587" w:type="dxa"/>
            <w:tcBorders>
              <w:bottom w:val="single" w:sz="12" w:space="0" w:color="auto"/>
            </w:tcBorders>
          </w:tcPr>
          <w:p w14:paraId="0E29777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5280</w:t>
            </w:r>
          </w:p>
        </w:tc>
      </w:tr>
    </w:tbl>
    <w:p w14:paraId="5D43ADC5"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Верно: Хряпкина </w:t>
      </w:r>
      <w:r w:rsidRPr="008127F8">
        <w:rPr>
          <w:rFonts w:ascii="Times New Roman" w:hAnsi="Times New Roman"/>
          <w:color w:val="000000" w:themeColor="text1"/>
          <w:sz w:val="16"/>
          <w:szCs w:val="16"/>
          <w:lang w:val="en-US"/>
        </w:rPr>
        <w:t>(11434)</w:t>
      </w:r>
      <w:r w:rsidRPr="008127F8">
        <w:rPr>
          <w:rFonts w:ascii="Times New Roman" w:hAnsi="Times New Roman"/>
          <w:color w:val="000000" w:themeColor="text1"/>
          <w:sz w:val="16"/>
          <w:szCs w:val="16"/>
        </w:rPr>
        <w:t>.</w:t>
      </w:r>
    </w:p>
    <w:p w14:paraId="086E373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8C18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1942г. вышел ПРИКАЗ № 0033 О РЕОРГАНИЗАЦИИ РАЗВЕДЫВАТЕЛЬНОГО УПРАВЛЕНИЯ ГЕНЕРАЛЬНОГО ШТАБА В ГЛАВНОЕ РАЗВЕДЫВАТЕЛЬНОЕ УПРАВЛЕНИЕ ГЕНЕРАЛЬНОГО ШТАБА КРАСНОЙ АРМИИ</w:t>
      </w:r>
    </w:p>
    <w:p w14:paraId="0D35004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Реорганизовать Разведывательное управление Генерального штаба Красной Армии в Главное разведывательное управление Генерального штаба Красной Армии.</w:t>
      </w:r>
    </w:p>
    <w:p w14:paraId="4558926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Назначить: Заместителем начальника Генерального штаба Красной Армии, он же начальник Главного разведывательного управления генерал-майора танковых войск Панфилова А. Н.</w:t>
      </w:r>
    </w:p>
    <w:p w14:paraId="71F4BDB3"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Военным комиссаром Главного разведывательного управления Генерального штаба Красной Армии бригадного комиссара Ильичева И. И.</w:t>
      </w:r>
    </w:p>
    <w:p w14:paraId="551E5EC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Главное разведывательное управление Генерального штаба Красной Армии иметь в составе:</w:t>
      </w:r>
    </w:p>
    <w:p w14:paraId="092708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1-е Управление (агентурное) с отделами:</w:t>
      </w:r>
    </w:p>
    <w:p w14:paraId="396DD6E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отдел (Германский)</w:t>
      </w:r>
    </w:p>
    <w:p w14:paraId="45DA74D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2-й отдел (Европейский)</w:t>
      </w:r>
    </w:p>
    <w:p w14:paraId="68C1784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3-й отдел (Дальневосточный)</w:t>
      </w:r>
    </w:p>
    <w:p w14:paraId="612F442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4-й отдел (Ближневосточный)</w:t>
      </w:r>
    </w:p>
    <w:p w14:paraId="6D55A3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5-й отдел (Диверсионный)</w:t>
      </w:r>
    </w:p>
    <w:p w14:paraId="095F9CC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6-й отдел (фронт [овой], армейской и окружной разведки)</w:t>
      </w:r>
    </w:p>
    <w:p w14:paraId="340E40E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7-й отдел (оперативной техники)</w:t>
      </w:r>
    </w:p>
    <w:p w14:paraId="21DCCA1E"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8-й отдел (агентурной связи и радиоразведки)</w:t>
      </w:r>
    </w:p>
    <w:p w14:paraId="2E429F7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2-е Управление (информационное) с отделами:</w:t>
      </w:r>
    </w:p>
    <w:p w14:paraId="4CEC6568"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отдел (Германский)</w:t>
      </w:r>
    </w:p>
    <w:p w14:paraId="23FB2412"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2-й отдел (Европейский)</w:t>
      </w:r>
    </w:p>
    <w:p w14:paraId="74A37F7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3-й отдел (Дальневосточный)</w:t>
      </w:r>
    </w:p>
    <w:p w14:paraId="3F5E93AF"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4-й отдел (Ближневосточный)</w:t>
      </w:r>
    </w:p>
    <w:p w14:paraId="2A54801C"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5-й отдел (Редакционно-издательский)</w:t>
      </w:r>
    </w:p>
    <w:p w14:paraId="06C37C5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6-й отдел (войсковой информации)</w:t>
      </w:r>
    </w:p>
    <w:p w14:paraId="14865BCB"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7-й отдел (дешифровальный)</w:t>
      </w:r>
    </w:p>
    <w:p w14:paraId="017C3F16"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Отделы Главного разведывательного управления Генерального штаба Красной Армии: Политический Внешних сношений Специальной связи Специальных заданий Кадров</w:t>
      </w:r>
    </w:p>
    <w:p w14:paraId="168CD549"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Военной цензуры Контрольно-финансовый Материально-технического обеспечения. 4. Реорганизацию закончить к 20 февраля 1942 года*.</w:t>
      </w:r>
    </w:p>
    <w:p w14:paraId="33DEFE0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СССР И. СТАЛИН </w:t>
      </w:r>
      <w:r w:rsidRPr="008127F8">
        <w:rPr>
          <w:rFonts w:ascii="Times New Roman" w:hAnsi="Times New Roman"/>
          <w:color w:val="000000" w:themeColor="text1"/>
          <w:sz w:val="16"/>
          <w:szCs w:val="16"/>
        </w:rPr>
        <w:t>(9844).</w:t>
      </w:r>
    </w:p>
    <w:p w14:paraId="0CC433D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58067"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1304 О сроках прекращения выдачи теплых вещей для частей, убывающих на фронт из внутренних округов. РГАНИР, Фонд ГКО, д. 21, лл. 123 (11012).</w:t>
      </w:r>
    </w:p>
    <w:p w14:paraId="141BE7F1" w14:textId="77777777" w:rsidR="00D91C13" w:rsidRPr="008127F8" w:rsidRDefault="00D91C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DD5B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B1D1D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0F39DF" w14:textId="77777777" w:rsidR="003A1116" w:rsidRPr="008127F8" w:rsidRDefault="003A111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- 13 марта 1942. В Круглом зале Дома Союзов состоялся шахматный матч-турнир, посвященный 23-й годовщине Красной Армии. Среди восьми участников -гроссмейстер Игорь Бондаревский, который и занял первое место.</w:t>
      </w:r>
    </w:p>
    <w:p w14:paraId="0E2BD54A" w14:textId="77777777" w:rsidR="003A1116" w:rsidRPr="008127F8" w:rsidRDefault="003A1116" w:rsidP="001E0A84">
      <w:pPr>
        <w:spacing w:after="0" w:line="240" w:lineRule="auto"/>
        <w:jc w:val="both"/>
        <w:rPr>
          <w:rFonts w:ascii="Times New Roman" w:hAnsi="Times New Roman"/>
          <w:color w:val="000000" w:themeColor="text1"/>
          <w:sz w:val="16"/>
          <w:szCs w:val="16"/>
        </w:rPr>
      </w:pPr>
    </w:p>
    <w:p w14:paraId="42A230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вышло Постановление ГКО № 1294 О возвращении эвакуируемого оборудования предприятий Наркомрыбпрома СССР, расположенных в Ростовской области и Краснодарском крае. РГАНИР, Фонд ГКО, д. 21, лл. 103, 104 (11012).</w:t>
      </w:r>
    </w:p>
    <w:p w14:paraId="633DD0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089E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96773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CAD1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была опубликована Декларация о создании Ниародно-освободительной армии Греции (3186).</w:t>
      </w:r>
    </w:p>
    <w:p w14:paraId="2FD343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44F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16, 1942: German U-boats, with their deck guns, bombard oil storage facilities and refineries on the Dutch islands of Aruba and Curacao in the southern Caribbean (3819).</w:t>
      </w:r>
    </w:p>
    <w:p w14:paraId="4439A9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176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германские п/л с использованием орудий обстреляли нефтехранилища у голландских островов Арубы и Кюросау в южных Карибах (3819).</w:t>
      </w:r>
    </w:p>
    <w:p w14:paraId="63B158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B528D"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февраля</w:t>
      </w:r>
      <w:r w:rsidRPr="008127F8">
        <w:rPr>
          <w:rFonts w:ascii="Times New Roman" w:hAnsi="Times New Roman"/>
          <w:color w:val="000000" w:themeColor="text1"/>
          <w:sz w:val="16"/>
          <w:szCs w:val="16"/>
        </w:rPr>
        <w:t xml:space="preserve"> в 1942 году танкер "Э.Г.Блум" (11,6 тысяч тонн), принадлежавший компании "Атлантик рифайнинг", в ночь на 16 февраля 1942 г., был разорван пополам тремя взрывами, раздавшимися с интервалами в 15 мин (15042).</w:t>
      </w:r>
    </w:p>
    <w:p w14:paraId="52BAC117"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618E6F56" w14:textId="77777777" w:rsidR="008E323D" w:rsidRPr="008127F8" w:rsidRDefault="008E323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японский император Хирохито объявил 15 февраля (день взятия Сингапура) национальным днем победы (4962).</w:t>
      </w:r>
    </w:p>
    <w:p w14:paraId="30522A3C" w14:textId="77777777" w:rsidR="008E323D" w:rsidRPr="008127F8" w:rsidRDefault="008E323D"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2AFA2A"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1942 на Тихом океане японские войска высадились в нескольких местах Голландской Восточной Азии и 16 февраля захватили Палембанг, 18 - Бали, 19 - высадились на Тиморе. Операция шла до 20 февраля (3907,235).</w:t>
      </w:r>
    </w:p>
    <w:p w14:paraId="1ACC0A35"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04AC7"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6317E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D37A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Зам. Нач. ГУ ВВС Лешуков и Военком Руденко писали НКАП А.И.Ш. письмо N 372667c:</w:t>
      </w:r>
    </w:p>
    <w:p w14:paraId="731AA0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 этом направляю Вам донесение о боевом применении ракетных бронебойных снарядов калибра 82 мм и 132 мм (РБС-82 и РБС-132) и ракетного осколочно-фугасного снаряда калибра 132 мм (РОФС-132).</w:t>
      </w:r>
    </w:p>
    <w:p w14:paraId="5F80B8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Донесение составлено оперативной группой, назначенной приказом командующего ВВС КА.</w:t>
      </w:r>
    </w:p>
    <w:p w14:paraId="682AE1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 и заключение представлены командующему ВВС КА отдельным докладом." (1635,264).</w:t>
      </w:r>
    </w:p>
    <w:p w14:paraId="500C4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E93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года были подготовлены Донесения летного состава 312 ШАП о боевом применении ракетных бронебойных снарядов РБС-82 на самолетах ИЛ-2.</w:t>
      </w:r>
    </w:p>
    <w:p w14:paraId="1B7CD1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Командир звена - лейтенант Косенков.</w:t>
      </w:r>
    </w:p>
    <w:p w14:paraId="1E76DF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28.II.41 г.</w:t>
      </w:r>
    </w:p>
    <w:p w14:paraId="5156EE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Самолет на взлете и в полете ведет себя нормально.</w:t>
      </w:r>
    </w:p>
    <w:p w14:paraId="0F131C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Стрельба велась с бреющего полета (15-20 м) по скоплению автомашин в населенном пункте. Снаряды в полете устойчивы. Имелись прямые попадания снарядов в автомашины и дома; действие взрыва у цели заметить не удалось.</w:t>
      </w:r>
    </w:p>
    <w:p w14:paraId="6B4AEC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Стрельба РБС-82 на пилотирование самолета влияния не оказывает. В виду большой скорости самолета относительно цели на бреющем полете, точное прицеливание не представляется возможным. Прицеливание и наводка самолета на цель производилась по втулке винта.</w:t>
      </w:r>
    </w:p>
    <w:p w14:paraId="3470E9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Так как РБС-82 эффективен при прямом попадании в бронированную цель, считаю наиболее целесообразным применять РБС-82 на истребителях, где стрельба будет вестись с пикирования и возможно точное прицеливание.</w:t>
      </w:r>
    </w:p>
    <w:p w14:paraId="6AABD8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Командир звена - капитан Фомин.</w:t>
      </w:r>
    </w:p>
    <w:p w14:paraId="5D94CD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28.II.1941 года.</w:t>
      </w:r>
    </w:p>
    <w:p w14:paraId="30AF7D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Взлет и пилотирование самолета при наличии РБС-82 - происходит нормально.</w:t>
      </w:r>
    </w:p>
    <w:p w14:paraId="577F32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б)Стрельба</w:t>
      </w:r>
      <w:proofErr w:type="gramEnd"/>
      <w:r w:rsidRPr="008127F8">
        <w:rPr>
          <w:rFonts w:ascii="Times New Roman" w:hAnsi="Times New Roman"/>
          <w:color w:val="000000" w:themeColor="text1"/>
          <w:sz w:val="16"/>
          <w:szCs w:val="16"/>
        </w:rPr>
        <w:t xml:space="preserve"> велась с бреющего полета по колонне автомашин и танков. Прицеливание производилось по втулке винта. Замечено четыре прямых попадания снарядами в танки противника и дым от их разрывов.</w:t>
      </w:r>
    </w:p>
    <w:p w14:paraId="45D0DC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Поведение самолета в момент стрельбы - нормальное.</w:t>
      </w:r>
    </w:p>
    <w:p w14:paraId="78A7FB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 самолете ИЛ-2 лучше применять снаряды калибра 132 мм, а калибр 82 мм на истребителях.</w:t>
      </w:r>
    </w:p>
    <w:p w14:paraId="5F7212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Донесения</w:t>
      </w:r>
    </w:p>
    <w:p w14:paraId="363B93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летного состава 312 ШАП о боевом применении</w:t>
      </w:r>
    </w:p>
    <w:p w14:paraId="2693DD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ракетных бронебойных снарядов РБС-132 на</w:t>
      </w:r>
    </w:p>
    <w:p w14:paraId="119B7E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самолетах ИЛ-2.</w:t>
      </w:r>
    </w:p>
    <w:p w14:paraId="15433D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Командир звена - ст. лейтенант Баранов.</w:t>
      </w:r>
    </w:p>
    <w:p w14:paraId="4F9ABB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14.12.1941 года.</w:t>
      </w:r>
    </w:p>
    <w:p w14:paraId="7E1433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РБС-132, самолет на взлете увеличивает разбег. В воздухе самолет устойчив и легко управляем. Стрельба велась по колонне автомашин и средних танков противника. дистанция стрельбы - 500-600 м. Угол планирования - 7-10 градусов. Скорость самолета - 330 км/час.</w:t>
      </w:r>
    </w:p>
    <w:p w14:paraId="681575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Прицеливание велось по втулке винта. В момент выстрела ощущается незначительный толчок самолета. Стрельбу начал одиночными выстрелами РС-132 с дистанции 800-900 м, а затем одиночными выстрелами РБС-132.</w:t>
      </w:r>
    </w:p>
    <w:p w14:paraId="1A410B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Прямыми попаданиями РБС были поражены две автомашины и два танка. Один РБС через середину крытой автомашины и разорвался на земле около нее, второй РБС произвел сильный взрыв автомашины и вызвал большой пожар. Два остальных РБС-132 попали в танки, но характер разрушения цели проследить не удалось из-за малой высоты полета и короткой дистанции стрельбы.</w:t>
      </w:r>
    </w:p>
    <w:p w14:paraId="4C5848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Целесообразно производить стрельбу РБС на большие дистанции, чтобы удобней проследить их действие. считаю, что РБС-132 следует применять только по бронированным целям.</w:t>
      </w:r>
    </w:p>
    <w:p w14:paraId="71ED91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Командир эскадрильи - капитан Заноздра.</w:t>
      </w:r>
    </w:p>
    <w:p w14:paraId="41FB66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20.12.1941 года.</w:t>
      </w:r>
    </w:p>
    <w:p w14:paraId="64A4B4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при подвешенных РБС на взлете ведет себя нормально, длина разбега увеличивается. В полете самолет устойчив и хорошо управляем.</w:t>
      </w:r>
    </w:p>
    <w:p w14:paraId="1DBE91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РБС велась по автомашинам и 3-4 танкам, находящимся на стоянке у отдельного дома. Дистанция стрельбы 600-800 м с бреющего полета при угле планирования около 10 градусов и скорости самолета 350 км/час. Прицеливание велось по носу самолета. В момент выстрела ощущается вздрагивание самолета.</w:t>
      </w:r>
    </w:p>
    <w:p w14:paraId="32D7A0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атаке РБС"ами замечены большие огненные взрывы. Количество пораженных целей и характер поражения их зафиксировать не удалось. Кучность стрельбы РБС-132 - хорошая.</w:t>
      </w:r>
    </w:p>
    <w:p w14:paraId="152289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необходимым поставить на самолет ИЛ-2 более простой и удобный для пользования прицел. Имевшийся на самолете прицел ПБП-1 снят из-за неудобства работы с ним на бреющем полете.</w:t>
      </w:r>
    </w:p>
    <w:p w14:paraId="690C66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Мл. лейтенант - Балашов.</w:t>
      </w:r>
    </w:p>
    <w:p w14:paraId="1BBF09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20.12.41 года.</w:t>
      </w:r>
    </w:p>
    <w:p w14:paraId="0AE1EA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при взлете и в полете ведет себя нормально. На технику пилотирования подвеска РБС-132 влияет незначительно.</w:t>
      </w:r>
    </w:p>
    <w:p w14:paraId="17E6E4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велась с дистанции 800 м при угле планирования 3-4 градуса и скорости самолета 350 км/час. Прицеливание по втулке винта. При выстреле самолет слегка вздрагивает. Впечатление от стрельбы РБС очень хорошее, как в смысле поражаемости, так и в моральном воздействии на противника.</w:t>
      </w:r>
    </w:p>
    <w:p w14:paraId="0FC834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Применять РБС-132 по автомашинам и обозам - невыгодно и с большим эффектом их можно применять по танкам.</w:t>
      </w:r>
    </w:p>
    <w:p w14:paraId="0E8C06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Лейтенант - Уваров.</w:t>
      </w:r>
    </w:p>
    <w:p w14:paraId="2CF39E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24.12.1941 года.</w:t>
      </w:r>
    </w:p>
    <w:p w14:paraId="190DAE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ведет себя нормально. Стрельба велась по танкам и автомашинам. Дистанция стрельбы 400-550 м при угле планирования 5-7 градусов и скорости самолета 350-370 км/час.</w:t>
      </w:r>
    </w:p>
    <w:p w14:paraId="3CE357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Прицеливание по носу самолета и по трассе от пулеметов. Поведение самолета в момент выстрела - нормальное. Снаряды ложились в цель на расстоянии 1-2 м один от другого.</w:t>
      </w:r>
    </w:p>
    <w:p w14:paraId="78B0BD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попадания в дом, около которого были танки и автомашины, последовал сильный взрыв, сопровождающийся черным дымом. Дом взлетел на воздух.</w:t>
      </w:r>
    </w:p>
    <w:p w14:paraId="2F6EE6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Впечатление от стрельбы РБС-132 очень хорошее и их действие сильнее чем у РС-132, не говоря уже о РС-82.</w:t>
      </w:r>
    </w:p>
    <w:p w14:paraId="4C9CD5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12.01.42 г.</w:t>
      </w:r>
    </w:p>
    <w:p w14:paraId="37BD48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Поведение самолета нормальное. Стрельба велась по автомашинам одиночными выстрелами с дистанции 600-500 м при угле планирования 2-3 градуса и скорости самолета 350-350 км/час. Прицеливание по носу самолета.</w:t>
      </w:r>
    </w:p>
    <w:p w14:paraId="7386BE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попадании снарядов по целям, расположенным в деревне, были замечены сильные взрывы и черный дым.</w:t>
      </w:r>
    </w:p>
    <w:p w14:paraId="1342C6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такими снарядами приятно летать и наблюдать свою работу.</w:t>
      </w:r>
    </w:p>
    <w:p w14:paraId="03BAF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Командир звена - капитан Фомин.</w:t>
      </w:r>
    </w:p>
    <w:p w14:paraId="3662B7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24.12.41 г.</w:t>
      </w:r>
    </w:p>
    <w:p w14:paraId="04232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при взлете увеличивает разбег; в полете несколько нарушается продольная устойчивость с незначительной тенденцией к пикированию. Стрельба велась по танкам противника с дистанции 400-500 м при скорости самолета 350 км/час и высоте полета 15-20 м.</w:t>
      </w:r>
    </w:p>
    <w:p w14:paraId="53E17C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прицеливания была дана пулеметная очередь и когда трасса легла через цель, были выпущены РБС. Снаряды легли в 2-3 м друг от друга. Самолет в момент выстрела ведет себя нормально. При взрывах было много черного дыма, который не позволил рассмотреть количество пораженных целей.</w:t>
      </w:r>
    </w:p>
    <w:p w14:paraId="0C6277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меткой стрельбе РБС дадут хороший эффект и их необходимо применять для стрельбы по бронированным и прочно укрытым целям.</w:t>
      </w:r>
    </w:p>
    <w:p w14:paraId="38A111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Старшина-пилот - Сидоренко.</w:t>
      </w:r>
    </w:p>
    <w:p w14:paraId="161617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24.12.41 г.</w:t>
      </w:r>
    </w:p>
    <w:p w14:paraId="689ADA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на взлете ведет себя устойчиво. Незначительно увеличивается длина разбега вследствие увеличения веса и лобового сопротивления. В горизонтальном полете самолет имеет незначительную тенденцию опускать нос.</w:t>
      </w:r>
    </w:p>
    <w:p w14:paraId="17BF21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велась по группе танков и автомашин с дистанции 400-500 м. Угол планирования 5-10 градусов, скорость самолета 350-360 км/час. Прицеливание велось по носу самолета с предварительной пристрелкой из пулемета трассирующими пулями.</w:t>
      </w:r>
    </w:p>
    <w:p w14:paraId="1A872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момент выстрела самолет ведет себя устойчиво. Стрельба РБС производилась залпами по 2 снаряда в залпе. Снаряды ложились в 1-2 м друг от друга. Прямых попаданий в танки заметить не удалось, но движение колонны приостановилось.</w:t>
      </w:r>
    </w:p>
    <w:p w14:paraId="4D6E86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Впечатление от стрельбы РБС-132 гораздо лучшее чем РС-132. РБС дают более мощный огонь и разрушения.</w:t>
      </w:r>
    </w:p>
    <w:p w14:paraId="242F3E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борьбы с танками и бронемашинами противника, необходимо иметь РБС на вооружении ВВС.</w:t>
      </w:r>
    </w:p>
    <w:p w14:paraId="438D06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Донесения</w:t>
      </w:r>
    </w:p>
    <w:p w14:paraId="1431BE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личного состава 312 ШАП о боевом применении ракетных</w:t>
      </w:r>
    </w:p>
    <w:p w14:paraId="536C57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осколочно-фугасных снарядов "РОФС-132" на самолетах ИЛ-2.</w:t>
      </w:r>
    </w:p>
    <w:p w14:paraId="7E76D7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Командир эскадрильи - капитан Заноздра.</w:t>
      </w:r>
    </w:p>
    <w:p w14:paraId="3026C1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9.01.42 г.</w:t>
      </w:r>
    </w:p>
    <w:p w14:paraId="59D69F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на взлете и в полете ведет себя нормально, за исключением незначительного увеличения длины разбега.</w:t>
      </w:r>
    </w:p>
    <w:p w14:paraId="19A661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Четырьмя РОФС были атакованы четыре танка противника с дистанции 600 м, с углом планирования 5-6 градусов, при скорости самолета 370 км/час. Самолет во время выстрела ведет себя нормально и незначительно вздрагивает.</w:t>
      </w:r>
    </w:p>
    <w:p w14:paraId="1EF1ED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Разрывы снарядов были в радиусе 50 м. Характер поражения заметить не удалось.</w:t>
      </w:r>
    </w:p>
    <w:p w14:paraId="4234E4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что РОФС"ы очень эффективны и по разрушительной силе превосходят РС-132 раза в четыре.</w:t>
      </w:r>
    </w:p>
    <w:p w14:paraId="0241B9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Мл. лейтенант - Балашов.</w:t>
      </w:r>
    </w:p>
    <w:p w14:paraId="2E63B9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Боевой вылет 9.01.42 г.</w:t>
      </w:r>
    </w:p>
    <w:p w14:paraId="42BD1A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взлете самолет ведет себя нормально, имея лишь незначительное потягивание на нос из-за чего приходится для страховки взлетать с не полностью поднятым хвостом. В полете пилотирование несколько тяжелей чем при РС-132, но это не затрудняет. Стрельба велась по колонне автомашин и повозок с дистанции 700 м при угле планирования 3-5 градусов и скорости самолета 350 км/час.</w:t>
      </w:r>
    </w:p>
    <w:p w14:paraId="6B9E63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Прицеливание велось следующим образом: - не долетая до цели 1200-1000 м втулка винта наводилась на центр цели, при совмещении втулки с центром цели и сокращении дистанций до 700 м открывался огонь.</w:t>
      </w:r>
    </w:p>
    <w:p w14:paraId="365772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момент выстрела самолет встряхивает. Снаряды упали посреди дороги, по которой двигалась автоколонна и вызвали большой взрыв. Силой взрыва обломки от автомашин подбросило на высоту до 70 метров. Движение по дороге разорвалось метров на 50.</w:t>
      </w:r>
    </w:p>
    <w:p w14:paraId="53D378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Боевой вылет 11.01.42 г.</w:t>
      </w:r>
    </w:p>
    <w:p w14:paraId="72CE0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производилась по скоплению автомашин и живой силы в населенном пункте. Условия стрельбы такие же, как и в предыдущем вылете. Силой взрыва, в центре скопления, крупные части автомашин подбросило выше самолета; находящийся поблизости дом частично разрушился и загорелся.</w:t>
      </w:r>
    </w:p>
    <w:p w14:paraId="65C4E4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Боевой вылет 12.01.42 г.</w:t>
      </w:r>
    </w:p>
    <w:p w14:paraId="4D6E9F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велась по скоплению живой силы и техники противника в населенном пункте.</w:t>
      </w:r>
    </w:p>
    <w:p w14:paraId="27DD0E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Автомашины стояли замаскированными около домов, а людской состав, по-видимому, находился в домах. В результате прямых попаданий в дома, последние разлетелись в щепки и возникли пожары. Столб дыма и пыли поднялся над местами взрыва метров на 30.</w:t>
      </w:r>
    </w:p>
    <w:p w14:paraId="668376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РОФС-132 оставила сильное впечатление как по разрушительной силе, так и по моральному воздействию на противника.</w:t>
      </w:r>
    </w:p>
    <w:p w14:paraId="5C626F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Мое положение - иметь побольше таких снарядов, так как они в 4-5 раз эффективное РС-132.</w:t>
      </w:r>
    </w:p>
    <w:p w14:paraId="475904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Командир звена - ст. лейтенант Баранов.</w:t>
      </w:r>
    </w:p>
    <w:p w14:paraId="3CFF6E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(Общие замечания).</w:t>
      </w:r>
    </w:p>
    <w:p w14:paraId="2E3B43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при наличии РОФС ведет себя устойчиво при взлете и в воздухе. Дистанция стрельбы с 1000 до 600 м, при угле планирования 7-10 градусов и скорости самолета 330 км/час. Прицеливание по втулке винта. В момент выстрела ощущается толчок, но самолет устойчив.</w:t>
      </w:r>
    </w:p>
    <w:p w14:paraId="328C11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Боевой вылет 9.01.42 г.</w:t>
      </w:r>
    </w:p>
    <w:p w14:paraId="429874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железнодорожному составу было выпущено 7 штук РОФС. Атаку производил с юго-востока от ж/д, а погрузка вагонов шла с северной стороны. Первый залп из 2-х снарядов произвел с дистанции 1000 м, снаряды прошли над вагонами и разорвались на площадке, где скопилось для погрузки большое количество автомашин и танков. Остальные 5 снарядов выпустил по вагонам с прямым попаданием. Вагоны разлетались в щепки, а в двух вагонах произошел сильный взрыв, сопровождающийся облаком дыма. Разбито 8 вагонов.</w:t>
      </w:r>
    </w:p>
    <w:p w14:paraId="6DA75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Боевой вылет 12.01.42 г.</w:t>
      </w:r>
    </w:p>
    <w:p w14:paraId="471240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колонне гужевого транспорта в составе до 35 подвод выпустил 2 снаряда, которые упали в середину колонны. </w:t>
      </w:r>
      <w:proofErr w:type="gramStart"/>
      <w:r w:rsidRPr="008127F8">
        <w:rPr>
          <w:rFonts w:ascii="Times New Roman" w:hAnsi="Times New Roman"/>
          <w:color w:val="000000" w:themeColor="text1"/>
          <w:sz w:val="16"/>
          <w:szCs w:val="16"/>
        </w:rPr>
        <w:t>По-видимому</w:t>
      </w:r>
      <w:proofErr w:type="gramEnd"/>
      <w:r w:rsidRPr="008127F8">
        <w:rPr>
          <w:rFonts w:ascii="Times New Roman" w:hAnsi="Times New Roman"/>
          <w:color w:val="000000" w:themeColor="text1"/>
          <w:sz w:val="16"/>
          <w:szCs w:val="16"/>
        </w:rPr>
        <w:t xml:space="preserve"> в повозках были боеприпасы, так как произошел сильный взрыв и в воздух взлетели обломки повозок, куски лошадей и людей. Боясь повреждения самолета обломками, пришлось резко взять горку. Наблюдениями установил, что уничтожено около 15 подвод с прислугой.</w:t>
      </w:r>
    </w:p>
    <w:p w14:paraId="224B94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снаряд был выпущен по дому, где скопилось много солдат противника. От прямого попадания дом совершенно развалился и загорелся, обломки взлетали на высоту до 50 метров.</w:t>
      </w:r>
    </w:p>
    <w:p w14:paraId="4885BD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Остальными снарядами были атакованы автомашины, которые разлетались в щепки и горели.</w:t>
      </w:r>
    </w:p>
    <w:p w14:paraId="4DC745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Общее впечатление о стрельбе РОФС - прекрасное. Снаряд исключительно мощный и наносит большие поражения.</w:t>
      </w:r>
    </w:p>
    <w:p w14:paraId="70CA3A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Имея такой снаряд на ИЛ-2, нет никакой необходимости применять РС меньшего калибра эффект которых незначителен.</w:t>
      </w:r>
    </w:p>
    <w:p w14:paraId="1937C7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Командир звена - капитан Фомин.</w:t>
      </w:r>
    </w:p>
    <w:p w14:paraId="0C003A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12.01.42 г.</w:t>
      </w:r>
    </w:p>
    <w:p w14:paraId="7FC5E2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Стрельбу РОФС производил по скоплению автомашин в деревне. Дистанция стрельбы 500-450 м, с высоты 15-20 м, при скорости самолета 350 км/час. Прицеливание по пулеметной трассе.</w:t>
      </w:r>
    </w:p>
    <w:p w14:paraId="658BCA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Наблюдал сильные взрывы, черный дым и летящие обломки автомашин. Колесо от автомашины взлетало в воздух метрах в 200 впереди самолета и метров на 80 вверх. Чтобы избежать поражения, пришлось отвернуть в сторону. </w:t>
      </w:r>
      <w:proofErr w:type="gramStart"/>
      <w:r w:rsidRPr="008127F8">
        <w:rPr>
          <w:rFonts w:ascii="Times New Roman" w:hAnsi="Times New Roman"/>
          <w:color w:val="000000" w:themeColor="text1"/>
          <w:sz w:val="16"/>
          <w:szCs w:val="16"/>
        </w:rPr>
        <w:t>По-видимому</w:t>
      </w:r>
      <w:proofErr w:type="gramEnd"/>
      <w:r w:rsidRPr="008127F8">
        <w:rPr>
          <w:rFonts w:ascii="Times New Roman" w:hAnsi="Times New Roman"/>
          <w:color w:val="000000" w:themeColor="text1"/>
          <w:sz w:val="16"/>
          <w:szCs w:val="16"/>
        </w:rPr>
        <w:t xml:space="preserve"> снаряд попал в машину с боеприпасами.</w:t>
      </w:r>
    </w:p>
    <w:p w14:paraId="3ED93B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Желательно самолет ИЛ-2 отправлять на боевое задание с 8 шт. РОФС-132 и 2 бомбами ФАБ-50.</w:t>
      </w:r>
    </w:p>
    <w:p w14:paraId="2EBA6B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Мл. лейтенант - Бушуев.</w:t>
      </w:r>
    </w:p>
    <w:p w14:paraId="40B49C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12.01.42 г.</w:t>
      </w:r>
    </w:p>
    <w:p w14:paraId="6BE022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Поведение самолета на взлете и в воздухе - нормальное. Стрельба производилась по колонне автомашин на краю деревни и по скоплению живой силы в деревне.</w:t>
      </w:r>
    </w:p>
    <w:p w14:paraId="10A341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Высота подхода к цели 80-100 м, дистанция стрельбы 700 м. Стрельба велась одиночными выстрелами. Сила взрыва РОФС-132 в несколько раз </w:t>
      </w:r>
      <w:proofErr w:type="gramStart"/>
      <w:r w:rsidRPr="008127F8">
        <w:rPr>
          <w:rFonts w:ascii="Times New Roman" w:hAnsi="Times New Roman"/>
          <w:color w:val="000000" w:themeColor="text1"/>
          <w:sz w:val="16"/>
          <w:szCs w:val="16"/>
        </w:rPr>
        <w:t>больше</w:t>
      </w:r>
      <w:proofErr w:type="gramEnd"/>
      <w:r w:rsidRPr="008127F8">
        <w:rPr>
          <w:rFonts w:ascii="Times New Roman" w:hAnsi="Times New Roman"/>
          <w:color w:val="000000" w:themeColor="text1"/>
          <w:sz w:val="16"/>
          <w:szCs w:val="16"/>
        </w:rPr>
        <w:t xml:space="preserve"> чем у РС-82 и РС-132; для меня взрыв такой силы оказался неожиданным.</w:t>
      </w:r>
    </w:p>
    <w:p w14:paraId="6224F0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ускорить вооружение самолета ИЛ-2 этими снарядами.</w:t>
      </w:r>
    </w:p>
    <w:p w14:paraId="3E3A6C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Лейтенант - Коротков.</w:t>
      </w:r>
    </w:p>
    <w:p w14:paraId="625555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13.01.42 г.</w:t>
      </w:r>
    </w:p>
    <w:p w14:paraId="7ECFA7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с подвешенными РОФС на взлете и в воздухе ведет себя нормально.</w:t>
      </w:r>
    </w:p>
    <w:p w14:paraId="7F4B01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Стрельба производилась по населенному пункту и автомашинам. Дистанция стрельбы 1500-1000 м при угле планирования 10-15 градусов и скорости самолета порядка 380 км/час. Прицеливание по пулеметной трассе. В момент выстрела самолет слегка вздрагивает.</w:t>
      </w:r>
    </w:p>
    <w:p w14:paraId="7B797F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7F28D4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Общее впечатление о РОФС - очень хорошее.</w:t>
      </w:r>
    </w:p>
    <w:p w14:paraId="5C7D9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Старшина-пилот Поздняков.</w:t>
      </w:r>
    </w:p>
    <w:p w14:paraId="596C66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вылет 13.01.42 г.</w:t>
      </w:r>
    </w:p>
    <w:p w14:paraId="2EA4C5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на взлете и в полете ведет себя нормально, как и при других вариантах загрузки. Стрельба производилась по автомашинам, находящимся в деревне около домов.</w:t>
      </w:r>
    </w:p>
    <w:p w14:paraId="023944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Дистанция стрельбы 800-600 м при угле планирования 3-5 градусов и скорости самолета 350-370 км/час. Прицеливание по носу самолета и по трассе пулеметов. В момент выстрела самолет слегка вздрагивает, но ведет себя нормально.</w:t>
      </w:r>
    </w:p>
    <w:p w14:paraId="6A1202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Взрывы снарядов разрушают дома и автомашины с большим количеством летящих обломков.</w:t>
      </w:r>
    </w:p>
    <w:p w14:paraId="4FE998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Общее впечатление очень хорошее, РОФС незаменимое оружие на самолете ИЛ-2.</w:t>
      </w:r>
    </w:p>
    <w:p w14:paraId="4F8CE4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Инженер по вооружению 312 ШАП - в/инж. 3 р. Гавренко.</w:t>
      </w:r>
    </w:p>
    <w:p w14:paraId="6B29FF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РОФС-132 и РБС-132 на самолетах ИЛ-2 показали, что эти снаряды являются мощным и грозным оружием и по своей эффективности намного превосходят имеющиеся на вооружении РС-82 и РС-132.</w:t>
      </w:r>
    </w:p>
    <w:p w14:paraId="4546FC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РОФС-132 и РБС просты в эксплуатации и безотказны в работе. Применение этих снарядов на самолетах ИЛ-2 намного повысит боевую мощь штурмовой авиации.</w:t>
      </w:r>
    </w:p>
    <w:p w14:paraId="4F5231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1F4ECF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боевому применению РБС-82, РБС-132 и РОФС-132.</w:t>
      </w:r>
    </w:p>
    <w:p w14:paraId="2D78B6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Ракетный бронебойный снаряд калибра 82 мм - (РБС-82) является мощным оружием истребительной авиации для поражения танков, бронемашин, бронепоездов и других объектов, имеющих броневое покрытие до 50 мм.</w:t>
      </w:r>
    </w:p>
    <w:p w14:paraId="0AF8A3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Применение РБС-82 целесообразно вести с истребителей типа МИГ-3, ЛАГГ-3 и ЯК-1, на пикировании с углом не менее 60 градусов. Возможно также применение РБС-82 при штурмовых действиях с углами планирования до 15 градусов.</w:t>
      </w:r>
    </w:p>
    <w:p w14:paraId="7FA5CC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РБС-82 делает самолет истребитель мощным орудием для борьбы с танками противника.</w:t>
      </w:r>
    </w:p>
    <w:p w14:paraId="169D8A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Ракетный бронебойный снаряд калибра 132 мм - (РБС-132) является мощным огневым средством для поражения бронированных целей противника стрельбой с самолетов штурмовиков и бомбардировщиков с горизонтального, планирующего или пикирующего полетов. В число этих целей могут входить: тяжелые танки, </w:t>
      </w:r>
      <w:r w:rsidRPr="008127F8">
        <w:rPr>
          <w:rFonts w:ascii="Times New Roman" w:hAnsi="Times New Roman"/>
          <w:color w:val="000000" w:themeColor="text1"/>
          <w:sz w:val="16"/>
          <w:szCs w:val="16"/>
        </w:rPr>
        <w:lastRenderedPageBreak/>
        <w:t>бронепоезда, батареи береговой обороны, морские и речные суда, имеющие палубное и бортовое бронирование до 75 мм, а также полевые бетонированные сооружения и каменные строения гражданского типа.</w:t>
      </w:r>
    </w:p>
    <w:p w14:paraId="34E5F9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вооруженный РБС-132 будет являться мощным штурмовиком для действия по бронированным и сильно укрепленным целям.</w:t>
      </w:r>
    </w:p>
    <w:p w14:paraId="759E0D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Ракетный осколочно-фугасный снаряд калибра 132 мм (РОФС-132) - является мощным снарядом осколочно-фугасного действия. Применение его на самолете ИЛ-2 в 8-10 раз увеличивает огневую мощь самолета ИЛ-2 по сравнению с применением штатного РС-82 и в 3-4 раза со штатным РС-132.</w:t>
      </w:r>
    </w:p>
    <w:p w14:paraId="4B8852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Ввод на вооружение ВВС и В.М.Ф. ракетного осколочно-фугасного снаряда калибра 132 мм - (РОФС-132), взамен штатного РС-132, позволит, при наличии имеющегося самолетного парка ИЛ-2, увеличить огневую мощь имеющихся самолетов ИЛ-2 в 3-4 раза, не увеличивая самолетовылетов.</w:t>
      </w:r>
    </w:p>
    <w:p w14:paraId="47C55A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Применение РС-82 с самолета ИЛ-2 значительно снижает боевой эффект и использовать РС-82 с самолета ИЛ-2 нецелесообразно.</w:t>
      </w:r>
    </w:p>
    <w:p w14:paraId="792F6A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Вследствие специального назначения ракетных бронебойных снарядов целесообразно в строевых частях ВВС и В.М.Ф., в общем комплекте ракетных снарядов иметь 25% РБС-82 и РБС-312.</w:t>
      </w:r>
    </w:p>
    <w:p w14:paraId="2B0DE3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 результате боевого применения ракетных бронебойных снарядов калибров 82 мм, 132 мм и ракетного осколочно-фугасного снаряда калибра 132 мм с самолетов ИЛ-2 и МИГ-3 определено:</w:t>
      </w:r>
    </w:p>
    <w:p w14:paraId="4EE5B1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применение ракетных бронебойных снарядов РБС-82 и РБС-312 на самолете ИЛ-2 возможно при наличии РО-82 или Ро-132, на горизонтальном полете или планировании под углом до 15 градусов;</w:t>
      </w:r>
    </w:p>
    <w:p w14:paraId="5CE7D8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применение ракетного осколочно-фугасного снаряда калибра 132 мм с самолета ИЛ-2 возможно при дополнительной комплектации РОФС-132 следующими деталями:</w:t>
      </w:r>
    </w:p>
    <w:p w14:paraId="455ADC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переходной втулкой под взрыватель АМ-А,</w:t>
      </w:r>
    </w:p>
    <w:p w14:paraId="49D85F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дополнительной детонаторной шашкой,</w:t>
      </w:r>
    </w:p>
    <w:p w14:paraId="0CCFFC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прокладкой (картонная);</w:t>
      </w:r>
    </w:p>
    <w:p w14:paraId="2218B8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применение ракетного бронебойного снаряда РБС-82 возможно с самолета МИГ-3 при различных углах пикирования;</w:t>
      </w:r>
    </w:p>
    <w:p w14:paraId="295D0D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газовая струя, выходящая из сопла снаряда, разрушительного действия на материальную часть самолетов не производит. Прочность крепления ракетных орудий под штатные "РС", установленные на самолетах ИЛ-2 и МИГ-3, вполне обеспечивает возможность стрельбы без каких-либо переделок, за исключением постановки дополнительного карабина на переднем конце РО-132 и дополнительной рассверловки отверстия диаметром 3-4 мм под вилку для контровки ветрянок взрывателей и дистанционных трубок при стрельбе РОФС-132.</w:t>
      </w:r>
    </w:p>
    <w:p w14:paraId="71E656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Необходимо РОФС-132 доставляемые в строевые части ВВС, укомплектовывать на снаряжательном заводе пиропатронами ПП-4, переходными втулками под взрыватель АМ-А, картонными прокладками и дополнительными тетриловыми шашками. (Командир 47 АД ВВС зап. фронта полковник Толстиков, представитель упр. опытн. стр-ва ГУ ВВС военинженер 2 ранга Исаев, представитель УВВС В.М.Ф. ст. инж. опытного отдела военинженер 3 ранга Мельников, представитель НИИ N 3 НКБ ведущий инженер по РБС - военинженер 3 ранга Шитов) (1635,269).</w:t>
      </w:r>
    </w:p>
    <w:p w14:paraId="2C9D93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90D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вышел приказ НКАП N 127с:</w:t>
      </w:r>
    </w:p>
    <w:p w14:paraId="0BC8CE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усиления стрелкового вооружения самолета Пе-2:</w:t>
      </w:r>
    </w:p>
    <w:p w14:paraId="31A347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2 ГУ Гавриленко поставить серийное производство верхних стрелковых установок Б-270 конструкции Торопова под один пулемет Березина калибра 12.7 мм с непрерывным питанием на 200 патронов на заводах 32 и 481</w:t>
      </w:r>
    </w:p>
    <w:p w14:paraId="6008F2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 10 ГУ Тарасевичу и директору завода 22 Карпову:</w:t>
      </w:r>
    </w:p>
    <w:p w14:paraId="524E02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приступить к подготовке серийного выпуска самолетов Пе-2 с верхней стрелковой установкой Б-270 под пулемет Березина с 1 мая с.г.</w:t>
      </w:r>
    </w:p>
    <w:p w14:paraId="15C035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20 марта с.г. изготовить и передать ГУ ВВС 8 самолетов Пе-2 с установкой Б-270 для проведения испытаний непосредственно на фронте</w:t>
      </w:r>
    </w:p>
    <w:p w14:paraId="09DC5B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39 Иосилович выпускать самолеты Пе-2 с верхней установкой Б-270 с 1 июня с.г." (1534,51).</w:t>
      </w:r>
    </w:p>
    <w:p w14:paraId="65B204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Установка Б-270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ВУБ-1 по обозначению завода 32. На самом деле начали только с 110 серии на 22 и 28 серии на 39 заводе в июле 1942 (1841,28).</w:t>
      </w:r>
    </w:p>
    <w:p w14:paraId="795F89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7382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 вышел приказ по НКАП №127, согласно которому ту</w:t>
      </w:r>
      <w:r w:rsidRPr="008127F8">
        <w:rPr>
          <w:rFonts w:ascii="Times New Roman" w:hAnsi="Times New Roman"/>
          <w:color w:val="000000" w:themeColor="text1"/>
          <w:sz w:val="16"/>
          <w:szCs w:val="16"/>
        </w:rPr>
        <w:softHyphen/>
        <w:t>релью ВУБ-1, которую отра</w:t>
      </w:r>
      <w:r w:rsidRPr="008127F8">
        <w:rPr>
          <w:rFonts w:ascii="Times New Roman" w:hAnsi="Times New Roman"/>
          <w:color w:val="000000" w:themeColor="text1"/>
          <w:sz w:val="16"/>
          <w:szCs w:val="16"/>
        </w:rPr>
        <w:softHyphen/>
        <w:t>ботали на относительно небольших сериях Пе-Збис завода №39, собирались оснащать все «пешки», но из-за инерции и технологических проб</w:t>
      </w:r>
      <w:r w:rsidRPr="008127F8">
        <w:rPr>
          <w:rFonts w:ascii="Times New Roman" w:hAnsi="Times New Roman"/>
          <w:color w:val="000000" w:themeColor="text1"/>
          <w:sz w:val="16"/>
          <w:szCs w:val="16"/>
        </w:rPr>
        <w:softHyphen/>
        <w:t>лем в полной мере реализовали только на самолётах 110-й серии, а на заводе №39 -с 28-й серии, выпущенной в июле 1942 г. Без существенных изменений эта турель, при</w:t>
      </w:r>
      <w:r w:rsidRPr="008127F8">
        <w:rPr>
          <w:rFonts w:ascii="Times New Roman" w:hAnsi="Times New Roman"/>
          <w:color w:val="000000" w:themeColor="text1"/>
          <w:sz w:val="16"/>
          <w:szCs w:val="16"/>
        </w:rPr>
        <w:softHyphen/>
        <w:t>крытая прозрачным вращающимся экраном, оставалась на вооружении «пешек» до пос</w:t>
      </w:r>
      <w:r w:rsidRPr="008127F8">
        <w:rPr>
          <w:rFonts w:ascii="Times New Roman" w:hAnsi="Times New Roman"/>
          <w:color w:val="000000" w:themeColor="text1"/>
          <w:sz w:val="16"/>
          <w:szCs w:val="16"/>
        </w:rPr>
        <w:softHyphen/>
        <w:t>ледних дней войны.</w:t>
      </w:r>
    </w:p>
    <w:p w14:paraId="38A1A38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несла пулемёт УБТ с неплохи</w:t>
      </w:r>
      <w:r w:rsidRPr="008127F8">
        <w:rPr>
          <w:rFonts w:ascii="Times New Roman" w:hAnsi="Times New Roman"/>
          <w:color w:val="000000" w:themeColor="text1"/>
          <w:sz w:val="16"/>
          <w:szCs w:val="16"/>
        </w:rPr>
        <w:softHyphen/>
        <w:t>ми углами обстрела (а иногда и УБК, если предусматривался электроспуск и переза</w:t>
      </w:r>
      <w:r w:rsidRPr="008127F8">
        <w:rPr>
          <w:rFonts w:ascii="Times New Roman" w:hAnsi="Times New Roman"/>
          <w:color w:val="000000" w:themeColor="text1"/>
          <w:sz w:val="16"/>
          <w:szCs w:val="16"/>
        </w:rPr>
        <w:softHyphen/>
        <w:t>рядка сжатым воздухом, что заметно облег</w:t>
      </w:r>
      <w:r w:rsidRPr="008127F8">
        <w:rPr>
          <w:rFonts w:ascii="Times New Roman" w:hAnsi="Times New Roman"/>
          <w:color w:val="000000" w:themeColor="text1"/>
          <w:sz w:val="16"/>
          <w:szCs w:val="16"/>
        </w:rPr>
        <w:softHyphen/>
        <w:t>чало работу штурмана). На некоторых ма</w:t>
      </w:r>
      <w:r w:rsidRPr="008127F8">
        <w:rPr>
          <w:rFonts w:ascii="Times New Roman" w:hAnsi="Times New Roman"/>
          <w:color w:val="000000" w:themeColor="text1"/>
          <w:sz w:val="16"/>
          <w:szCs w:val="16"/>
        </w:rPr>
        <w:softHyphen/>
        <w:t>шинах его монтировали «на боку» для уменьшения нагрузки от набегающего воз</w:t>
      </w:r>
      <w:r w:rsidRPr="008127F8">
        <w:rPr>
          <w:rFonts w:ascii="Times New Roman" w:hAnsi="Times New Roman"/>
          <w:color w:val="000000" w:themeColor="text1"/>
          <w:sz w:val="16"/>
          <w:szCs w:val="16"/>
        </w:rPr>
        <w:softHyphen/>
        <w:t>душного потока. Боекомплект размещался в одной ленте на 200 патронов, которую ав</w:t>
      </w:r>
      <w:r w:rsidRPr="008127F8">
        <w:rPr>
          <w:rFonts w:ascii="Times New Roman" w:hAnsi="Times New Roman"/>
          <w:color w:val="000000" w:themeColor="text1"/>
          <w:sz w:val="16"/>
          <w:szCs w:val="16"/>
        </w:rPr>
        <w:softHyphen/>
        <w:t>томатика пулемёта «самоподтягом» прота</w:t>
      </w:r>
      <w:r w:rsidRPr="008127F8">
        <w:rPr>
          <w:rFonts w:ascii="Times New Roman" w:hAnsi="Times New Roman"/>
          <w:color w:val="000000" w:themeColor="text1"/>
          <w:sz w:val="16"/>
          <w:szCs w:val="16"/>
        </w:rPr>
        <w:softHyphen/>
        <w:t>щить не могла. В связи с этим, в конструк</w:t>
      </w:r>
      <w:r w:rsidRPr="008127F8">
        <w:rPr>
          <w:rFonts w:ascii="Times New Roman" w:hAnsi="Times New Roman"/>
          <w:color w:val="000000" w:themeColor="text1"/>
          <w:sz w:val="16"/>
          <w:szCs w:val="16"/>
        </w:rPr>
        <w:softHyphen/>
        <w:t>цию установки ввели механизм принуди</w:t>
      </w:r>
      <w:r w:rsidRPr="008127F8">
        <w:rPr>
          <w:rFonts w:ascii="Times New Roman" w:hAnsi="Times New Roman"/>
          <w:color w:val="000000" w:themeColor="text1"/>
          <w:sz w:val="16"/>
          <w:szCs w:val="16"/>
        </w:rPr>
        <w:softHyphen/>
        <w:t>тельной подачи ленты с электромотором МУ-50 на патронном ящике. Мотор включал</w:t>
      </w:r>
      <w:r w:rsidRPr="008127F8">
        <w:rPr>
          <w:rFonts w:ascii="Times New Roman" w:hAnsi="Times New Roman"/>
          <w:color w:val="000000" w:themeColor="text1"/>
          <w:sz w:val="16"/>
          <w:szCs w:val="16"/>
        </w:rPr>
        <w:softHyphen/>
        <w:t>ся одновременно с нажатием на спуск, но оказался слабым местом установки: при заклинивании ленты он нередко перего</w:t>
      </w:r>
      <w:r w:rsidRPr="008127F8">
        <w:rPr>
          <w:rFonts w:ascii="Times New Roman" w:hAnsi="Times New Roman"/>
          <w:color w:val="000000" w:themeColor="text1"/>
          <w:sz w:val="16"/>
          <w:szCs w:val="16"/>
        </w:rPr>
        <w:softHyphen/>
        <w:t>рал, выводя всю систему из строя. В осталь</w:t>
      </w:r>
      <w:r w:rsidRPr="008127F8">
        <w:rPr>
          <w:rFonts w:ascii="Times New Roman" w:hAnsi="Times New Roman"/>
          <w:color w:val="000000" w:themeColor="text1"/>
          <w:sz w:val="16"/>
          <w:szCs w:val="16"/>
        </w:rPr>
        <w:softHyphen/>
        <w:t>ном ВУБ-1 была конструктивно несложной. Однако, после первых одобрительных отзы</w:t>
      </w:r>
      <w:r w:rsidRPr="008127F8">
        <w:rPr>
          <w:rFonts w:ascii="Times New Roman" w:hAnsi="Times New Roman"/>
          <w:color w:val="000000" w:themeColor="text1"/>
          <w:sz w:val="16"/>
          <w:szCs w:val="16"/>
        </w:rPr>
        <w:softHyphen/>
        <w:t>вов в ГУ ВВС и на заводы стала стекаться информация другого рода.</w:t>
      </w:r>
    </w:p>
    <w:p w14:paraId="2C0A71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 заметно ухудшила условия работы штурмана (рабочее место стало настолько тесным, что некоторые штурманы жалова</w:t>
      </w:r>
      <w:r w:rsidRPr="008127F8">
        <w:rPr>
          <w:rFonts w:ascii="Times New Roman" w:hAnsi="Times New Roman"/>
          <w:color w:val="000000" w:themeColor="text1"/>
          <w:sz w:val="16"/>
          <w:szCs w:val="16"/>
        </w:rPr>
        <w:softHyphen/>
        <w:t>лись «на полную невозможность действий в бою»). Кабина пилота и штурмана Пе-2 раз</w:t>
      </w:r>
      <w:r w:rsidRPr="008127F8">
        <w:rPr>
          <w:rFonts w:ascii="Times New Roman" w:hAnsi="Times New Roman"/>
          <w:color w:val="000000" w:themeColor="text1"/>
          <w:sz w:val="16"/>
          <w:szCs w:val="16"/>
        </w:rPr>
        <w:softHyphen/>
        <w:t>мещалась в короткой носовой сборке фюзе</w:t>
      </w:r>
      <w:r w:rsidRPr="008127F8">
        <w:rPr>
          <w:rFonts w:ascii="Times New Roman" w:hAnsi="Times New Roman"/>
          <w:color w:val="000000" w:themeColor="text1"/>
          <w:sz w:val="16"/>
          <w:szCs w:val="16"/>
        </w:rPr>
        <w:softHyphen/>
        <w:t>ляжа Ф-1. Прежде полутурель ТСС-1 или ФТ на её месте занимали меньше пространст</w:t>
      </w:r>
      <w:r w:rsidRPr="008127F8">
        <w:rPr>
          <w:rFonts w:ascii="Times New Roman" w:hAnsi="Times New Roman"/>
          <w:color w:val="000000" w:themeColor="text1"/>
          <w:sz w:val="16"/>
          <w:szCs w:val="16"/>
        </w:rPr>
        <w:softHyphen/>
        <w:t>ва. Иное дело - установка ВУБ-1 с кольцом-опорой, в котором штурман оказался зажат, как в тисках. Сам фонарь пришлось основа</w:t>
      </w:r>
      <w:r w:rsidRPr="008127F8">
        <w:rPr>
          <w:rFonts w:ascii="Times New Roman" w:hAnsi="Times New Roman"/>
          <w:color w:val="000000" w:themeColor="text1"/>
          <w:sz w:val="16"/>
          <w:szCs w:val="16"/>
        </w:rPr>
        <w:softHyphen/>
        <w:t>тельно укоротить, поджав кабину почти на треть. Для нормальных условий работы штурмана турель не мешало сдвинуть назад, разместив в средней силовой сборке Ф-2 (как на опытном Пе-2Ф). Однако в серии на столь радикальный шаг не решились, опаса</w:t>
      </w:r>
      <w:r w:rsidRPr="008127F8">
        <w:rPr>
          <w:rFonts w:ascii="Times New Roman" w:hAnsi="Times New Roman"/>
          <w:color w:val="000000" w:themeColor="text1"/>
          <w:sz w:val="16"/>
          <w:szCs w:val="16"/>
        </w:rPr>
        <w:softHyphen/>
        <w:t>ясь «вмешиваться» в технологически отла</w:t>
      </w:r>
      <w:r w:rsidRPr="008127F8">
        <w:rPr>
          <w:rFonts w:ascii="Times New Roman" w:hAnsi="Times New Roman"/>
          <w:color w:val="000000" w:themeColor="text1"/>
          <w:sz w:val="16"/>
          <w:szCs w:val="16"/>
        </w:rPr>
        <w:softHyphen/>
        <w:t>женную секцию, включавшую центроплан, бомбоотсек и топливный бак.</w:t>
      </w:r>
    </w:p>
    <w:p w14:paraId="27AA08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того, при установке ВУБ-1 при</w:t>
      </w:r>
      <w:r w:rsidRPr="008127F8">
        <w:rPr>
          <w:rFonts w:ascii="Times New Roman" w:hAnsi="Times New Roman"/>
          <w:color w:val="000000" w:themeColor="text1"/>
          <w:sz w:val="16"/>
          <w:szCs w:val="16"/>
        </w:rPr>
        <w:softHyphen/>
        <w:t>шлось отказаться от противокапотажной рамы. Теперь, перевернувшись «на спину» при грубой посадке, Пе-2, как правило, уби</w:t>
      </w:r>
      <w:r w:rsidRPr="008127F8">
        <w:rPr>
          <w:rFonts w:ascii="Times New Roman" w:hAnsi="Times New Roman"/>
          <w:color w:val="000000" w:themeColor="text1"/>
          <w:sz w:val="16"/>
          <w:szCs w:val="16"/>
        </w:rPr>
        <w:softHyphen/>
        <w:t>вал своего пилота. Острые углы неподвиж</w:t>
      </w:r>
      <w:r w:rsidRPr="008127F8">
        <w:rPr>
          <w:rFonts w:ascii="Times New Roman" w:hAnsi="Times New Roman"/>
          <w:color w:val="000000" w:themeColor="text1"/>
          <w:sz w:val="16"/>
          <w:szCs w:val="16"/>
        </w:rPr>
        <w:softHyphen/>
        <w:t>ной опорной зубчатки ВУБ-1 угрожающе вы</w:t>
      </w:r>
      <w:r w:rsidRPr="008127F8">
        <w:rPr>
          <w:rFonts w:ascii="Times New Roman" w:hAnsi="Times New Roman"/>
          <w:color w:val="000000" w:themeColor="text1"/>
          <w:sz w:val="16"/>
          <w:szCs w:val="16"/>
        </w:rPr>
        <w:softHyphen/>
        <w:t>ступали в кабину. Нередкими были случаи травм головы у штурманов из-за толчков при разбеге, а также при резких эволюциях самолёта.</w:t>
      </w:r>
    </w:p>
    <w:p w14:paraId="4102684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Покидание Пе-2 в воздухе тоже вызывало нарекания. Прыгать с парашютом через нижний люк мешал воздушный поток, а сбрасываемую среднюю часть фонаря, случалось, заклинивало. Отмечались случаи, когда пытавшихся по</w:t>
      </w:r>
      <w:r w:rsidRPr="008127F8">
        <w:rPr>
          <w:rFonts w:ascii="Times New Roman" w:hAnsi="Times New Roman"/>
          <w:color w:val="000000" w:themeColor="text1"/>
          <w:sz w:val="16"/>
          <w:szCs w:val="16"/>
        </w:rPr>
        <w:softHyphen/>
        <w:t>кинуть самолёт прижимало набегающим по</w:t>
      </w:r>
      <w:r w:rsidRPr="008127F8">
        <w:rPr>
          <w:rFonts w:ascii="Times New Roman" w:hAnsi="Times New Roman"/>
          <w:color w:val="000000" w:themeColor="text1"/>
          <w:sz w:val="16"/>
          <w:szCs w:val="16"/>
        </w:rPr>
        <w:softHyphen/>
        <w:t>током к антенной стойке и дуге аэрокомпен</w:t>
      </w:r>
      <w:r w:rsidRPr="008127F8">
        <w:rPr>
          <w:rFonts w:ascii="Times New Roman" w:hAnsi="Times New Roman"/>
          <w:color w:val="000000" w:themeColor="text1"/>
          <w:sz w:val="16"/>
          <w:szCs w:val="16"/>
        </w:rPr>
        <w:softHyphen/>
        <w:t>сатора (именно это обусловило перенос стойки вперёд на козырёк и сброс компенса</w:t>
      </w:r>
      <w:r w:rsidRPr="008127F8">
        <w:rPr>
          <w:rFonts w:ascii="Times New Roman" w:hAnsi="Times New Roman"/>
          <w:color w:val="000000" w:themeColor="text1"/>
          <w:sz w:val="16"/>
          <w:szCs w:val="16"/>
        </w:rPr>
        <w:softHyphen/>
        <w:t>тора вместе с фонарём, введённые с 205-й серии). Сам компенсатор получил одно цен</w:t>
      </w:r>
      <w:r w:rsidRPr="008127F8">
        <w:rPr>
          <w:rFonts w:ascii="Times New Roman" w:hAnsi="Times New Roman"/>
          <w:color w:val="000000" w:themeColor="text1"/>
          <w:sz w:val="16"/>
          <w:szCs w:val="16"/>
        </w:rPr>
        <w:softHyphen/>
        <w:t>тральное «крылышко» вместо двух, разне</w:t>
      </w:r>
      <w:r w:rsidRPr="008127F8">
        <w:rPr>
          <w:rFonts w:ascii="Times New Roman" w:hAnsi="Times New Roman"/>
          <w:color w:val="000000" w:themeColor="text1"/>
          <w:sz w:val="16"/>
          <w:szCs w:val="16"/>
        </w:rPr>
        <w:softHyphen/>
        <w:t>сённых в стороны, а его громоздкие дуги за</w:t>
      </w:r>
      <w:r w:rsidRPr="008127F8">
        <w:rPr>
          <w:rFonts w:ascii="Times New Roman" w:hAnsi="Times New Roman"/>
          <w:color w:val="000000" w:themeColor="text1"/>
          <w:sz w:val="16"/>
          <w:szCs w:val="16"/>
        </w:rPr>
        <w:softHyphen/>
        <w:t>менили компактным кронштейном, не ме</w:t>
      </w:r>
      <w:r w:rsidRPr="008127F8">
        <w:rPr>
          <w:rFonts w:ascii="Times New Roman" w:hAnsi="Times New Roman"/>
          <w:color w:val="000000" w:themeColor="text1"/>
          <w:sz w:val="16"/>
          <w:szCs w:val="16"/>
        </w:rPr>
        <w:softHyphen/>
        <w:t>шавшим сбросу фонаря.</w:t>
      </w:r>
    </w:p>
    <w:p w14:paraId="1466678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Реакция ОКО завода №22 - единственного предприятия, производившего «пешки» вес</w:t>
      </w:r>
      <w:r w:rsidRPr="008127F8">
        <w:rPr>
          <w:rFonts w:ascii="Times New Roman" w:hAnsi="Times New Roman"/>
          <w:color w:val="000000" w:themeColor="text1"/>
          <w:sz w:val="16"/>
          <w:szCs w:val="16"/>
        </w:rPr>
        <w:softHyphen/>
        <w:t>ной 1943 г., - оказалась похвально быстрой (11392).</w:t>
      </w:r>
    </w:p>
    <w:p w14:paraId="379F28D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ECF2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 вышел приказ НКАП №127, согласно которому новой туре</w:t>
      </w:r>
      <w:r w:rsidRPr="008127F8">
        <w:rPr>
          <w:rFonts w:ascii="Times New Roman" w:hAnsi="Times New Roman"/>
          <w:color w:val="000000" w:themeColor="text1"/>
          <w:sz w:val="16"/>
          <w:szCs w:val="16"/>
        </w:rPr>
        <w:softHyphen/>
        <w:t>лью ВУБ-1, которую отработали на относительно неболь</w:t>
      </w:r>
      <w:r w:rsidRPr="008127F8">
        <w:rPr>
          <w:rFonts w:ascii="Times New Roman" w:hAnsi="Times New Roman"/>
          <w:color w:val="000000" w:themeColor="text1"/>
          <w:sz w:val="16"/>
          <w:szCs w:val="16"/>
        </w:rPr>
        <w:softHyphen/>
        <w:t>ших сериях Пе-Збис завода №39, требовалось оснащать все «пеш</w:t>
      </w:r>
      <w:r w:rsidRPr="008127F8">
        <w:rPr>
          <w:rFonts w:ascii="Times New Roman" w:hAnsi="Times New Roman"/>
          <w:color w:val="000000" w:themeColor="text1"/>
          <w:sz w:val="16"/>
          <w:szCs w:val="16"/>
        </w:rPr>
        <w:softHyphen/>
        <w:t>ки», но из-за инерции и технологи</w:t>
      </w:r>
      <w:r w:rsidRPr="008127F8">
        <w:rPr>
          <w:rFonts w:ascii="Times New Roman" w:hAnsi="Times New Roman"/>
          <w:color w:val="000000" w:themeColor="text1"/>
          <w:sz w:val="16"/>
          <w:szCs w:val="16"/>
        </w:rPr>
        <w:softHyphen/>
        <w:t>ческих проблем в полной мере ре</w:t>
      </w:r>
      <w:r w:rsidRPr="008127F8">
        <w:rPr>
          <w:rFonts w:ascii="Times New Roman" w:hAnsi="Times New Roman"/>
          <w:color w:val="000000" w:themeColor="text1"/>
          <w:sz w:val="16"/>
          <w:szCs w:val="16"/>
        </w:rPr>
        <w:softHyphen/>
        <w:t>ализовали только на самолётах 110-й серии, а на заводе №39 - с 28-й серии, выпущенной в июле 1942 г. Без существенных изменений эта турель, прикрытая прозрачным вращающимся экраном, оставалась на вооружении «пешек» до последних дней войны.</w:t>
      </w:r>
    </w:p>
    <w:p w14:paraId="378D8EC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несла пулемёт УБТ с неплохими углами обстрела (а иног</w:t>
      </w:r>
      <w:r w:rsidRPr="008127F8">
        <w:rPr>
          <w:rFonts w:ascii="Times New Roman" w:hAnsi="Times New Roman"/>
          <w:color w:val="000000" w:themeColor="text1"/>
          <w:sz w:val="16"/>
          <w:szCs w:val="16"/>
        </w:rPr>
        <w:softHyphen/>
        <w:t>да и УБК, если предусматривался электроспуск и перезарядка сжатым воздухом, что заметно облегчало ра</w:t>
      </w:r>
      <w:r w:rsidRPr="008127F8">
        <w:rPr>
          <w:rFonts w:ascii="Times New Roman" w:hAnsi="Times New Roman"/>
          <w:color w:val="000000" w:themeColor="text1"/>
          <w:sz w:val="16"/>
          <w:szCs w:val="16"/>
        </w:rPr>
        <w:softHyphen/>
        <w:t>боту штурмана). На некоторых ма</w:t>
      </w:r>
      <w:r w:rsidRPr="008127F8">
        <w:rPr>
          <w:rFonts w:ascii="Times New Roman" w:hAnsi="Times New Roman"/>
          <w:color w:val="000000" w:themeColor="text1"/>
          <w:sz w:val="16"/>
          <w:szCs w:val="16"/>
        </w:rPr>
        <w:softHyphen/>
        <w:t>шинах его монтировали «на боку» для уменьшения нагрузки от набега</w:t>
      </w:r>
      <w:r w:rsidRPr="008127F8">
        <w:rPr>
          <w:rFonts w:ascii="Times New Roman" w:hAnsi="Times New Roman"/>
          <w:color w:val="000000" w:themeColor="text1"/>
          <w:sz w:val="16"/>
          <w:szCs w:val="16"/>
        </w:rPr>
        <w:softHyphen/>
        <w:t>ющего воздушного потока. Боеком</w:t>
      </w:r>
      <w:r w:rsidRPr="008127F8">
        <w:rPr>
          <w:rFonts w:ascii="Times New Roman" w:hAnsi="Times New Roman"/>
          <w:color w:val="000000" w:themeColor="text1"/>
          <w:sz w:val="16"/>
          <w:szCs w:val="16"/>
        </w:rPr>
        <w:softHyphen/>
        <w:t>плект размещался в одной ленте на 200 патронов, которую автоматика пулемёта «самоподтягом» протащить не могла. В связи с этим, в конструк</w:t>
      </w:r>
      <w:r w:rsidRPr="008127F8">
        <w:rPr>
          <w:rFonts w:ascii="Times New Roman" w:hAnsi="Times New Roman"/>
          <w:color w:val="000000" w:themeColor="text1"/>
          <w:sz w:val="16"/>
          <w:szCs w:val="16"/>
        </w:rPr>
        <w:softHyphen/>
        <w:t>цию установки ввели механизм при</w:t>
      </w:r>
      <w:r w:rsidRPr="008127F8">
        <w:rPr>
          <w:rFonts w:ascii="Times New Roman" w:hAnsi="Times New Roman"/>
          <w:color w:val="000000" w:themeColor="text1"/>
          <w:sz w:val="16"/>
          <w:szCs w:val="16"/>
        </w:rPr>
        <w:softHyphen/>
        <w:t>нудительной подачи ленты с элект</w:t>
      </w:r>
      <w:r w:rsidRPr="008127F8">
        <w:rPr>
          <w:rFonts w:ascii="Times New Roman" w:hAnsi="Times New Roman"/>
          <w:color w:val="000000" w:themeColor="text1"/>
          <w:sz w:val="16"/>
          <w:szCs w:val="16"/>
        </w:rPr>
        <w:softHyphen/>
        <w:t>ромотором МУ-50 на патронном ящике. Мотор включался одновре</w:t>
      </w:r>
      <w:r w:rsidRPr="008127F8">
        <w:rPr>
          <w:rFonts w:ascii="Times New Roman" w:hAnsi="Times New Roman"/>
          <w:color w:val="000000" w:themeColor="text1"/>
          <w:sz w:val="16"/>
          <w:szCs w:val="16"/>
        </w:rPr>
        <w:softHyphen/>
        <w:t>менно с нажатием на спуск, но ока</w:t>
      </w:r>
      <w:r w:rsidRPr="008127F8">
        <w:rPr>
          <w:rFonts w:ascii="Times New Roman" w:hAnsi="Times New Roman"/>
          <w:color w:val="000000" w:themeColor="text1"/>
          <w:sz w:val="16"/>
          <w:szCs w:val="16"/>
        </w:rPr>
        <w:softHyphen/>
        <w:t>зался слабым местом установки: при заклинивании ленты он нередко пе</w:t>
      </w:r>
      <w:r w:rsidRPr="008127F8">
        <w:rPr>
          <w:rFonts w:ascii="Times New Roman" w:hAnsi="Times New Roman"/>
          <w:color w:val="000000" w:themeColor="text1"/>
          <w:sz w:val="16"/>
          <w:szCs w:val="16"/>
        </w:rPr>
        <w:softHyphen/>
        <w:t>регорал, выводя всю систему из строя. В остальном ВУБ-1 была кон</w:t>
      </w:r>
      <w:r w:rsidRPr="008127F8">
        <w:rPr>
          <w:rFonts w:ascii="Times New Roman" w:hAnsi="Times New Roman"/>
          <w:color w:val="000000" w:themeColor="text1"/>
          <w:sz w:val="16"/>
          <w:szCs w:val="16"/>
        </w:rPr>
        <w:softHyphen/>
        <w:t>структивно несложной. Однако пос</w:t>
      </w:r>
      <w:r w:rsidRPr="008127F8">
        <w:rPr>
          <w:rFonts w:ascii="Times New Roman" w:hAnsi="Times New Roman"/>
          <w:color w:val="000000" w:themeColor="text1"/>
          <w:sz w:val="16"/>
          <w:szCs w:val="16"/>
        </w:rPr>
        <w:softHyphen/>
        <w:t>ле первых одобрительных отзывов в ГУ ВВС и на заводы стала стекаться информация другого рода.</w:t>
      </w:r>
    </w:p>
    <w:p w14:paraId="4CAAC44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 заметно ухудшила условия работы штурмана (рабочее место стало настолько тесным, что некото</w:t>
      </w:r>
      <w:r w:rsidRPr="008127F8">
        <w:rPr>
          <w:rFonts w:ascii="Times New Roman" w:hAnsi="Times New Roman"/>
          <w:color w:val="000000" w:themeColor="text1"/>
          <w:sz w:val="16"/>
          <w:szCs w:val="16"/>
        </w:rPr>
        <w:softHyphen/>
        <w:t>рые штурманы жаловались «на пол</w:t>
      </w:r>
      <w:r w:rsidRPr="008127F8">
        <w:rPr>
          <w:rFonts w:ascii="Times New Roman" w:hAnsi="Times New Roman"/>
          <w:color w:val="000000" w:themeColor="text1"/>
          <w:sz w:val="16"/>
          <w:szCs w:val="16"/>
        </w:rPr>
        <w:softHyphen/>
        <w:t>ную невозможность действий в бою»). Кабина пилота и штурмана Пе-2 раз</w:t>
      </w:r>
      <w:r w:rsidRPr="008127F8">
        <w:rPr>
          <w:rFonts w:ascii="Times New Roman" w:hAnsi="Times New Roman"/>
          <w:color w:val="000000" w:themeColor="text1"/>
          <w:sz w:val="16"/>
          <w:szCs w:val="16"/>
        </w:rPr>
        <w:softHyphen/>
        <w:t>мещалась в короткой носовой сборке фюзеляжа Ф-1. Прежде полуту</w:t>
      </w:r>
      <w:r w:rsidRPr="008127F8">
        <w:rPr>
          <w:rFonts w:ascii="Times New Roman" w:hAnsi="Times New Roman"/>
          <w:color w:val="000000" w:themeColor="text1"/>
          <w:sz w:val="16"/>
          <w:szCs w:val="16"/>
        </w:rPr>
        <w:softHyphen/>
        <w:t>рель ТСС-1 или ФТ на её месте за</w:t>
      </w:r>
      <w:r w:rsidRPr="008127F8">
        <w:rPr>
          <w:rFonts w:ascii="Times New Roman" w:hAnsi="Times New Roman"/>
          <w:color w:val="000000" w:themeColor="text1"/>
          <w:sz w:val="16"/>
          <w:szCs w:val="16"/>
        </w:rPr>
        <w:softHyphen/>
        <w:t>нимали меньше пространства. Иное дело - установка ВУБ-1 с кольцом-опорой, в котором штурман оказал</w:t>
      </w:r>
      <w:r w:rsidRPr="008127F8">
        <w:rPr>
          <w:rFonts w:ascii="Times New Roman" w:hAnsi="Times New Roman"/>
          <w:color w:val="000000" w:themeColor="text1"/>
          <w:sz w:val="16"/>
          <w:szCs w:val="16"/>
        </w:rPr>
        <w:softHyphen/>
        <w:t>ся зажат, как в тисках. Сам фонарь пришлось основательно укоротить, поджав кабину почти на треть. Для нормальных условий работы штурма</w:t>
      </w:r>
      <w:r w:rsidRPr="008127F8">
        <w:rPr>
          <w:rFonts w:ascii="Times New Roman" w:hAnsi="Times New Roman"/>
          <w:color w:val="000000" w:themeColor="text1"/>
          <w:sz w:val="16"/>
          <w:szCs w:val="16"/>
        </w:rPr>
        <w:softHyphen/>
        <w:t>на турель не мешало сдвинуть на</w:t>
      </w:r>
      <w:r w:rsidRPr="008127F8">
        <w:rPr>
          <w:rFonts w:ascii="Times New Roman" w:hAnsi="Times New Roman"/>
          <w:color w:val="000000" w:themeColor="text1"/>
          <w:sz w:val="16"/>
          <w:szCs w:val="16"/>
        </w:rPr>
        <w:softHyphen/>
        <w:t>зад, разместив в средней силовой сборке Ф-2 (как на опытном Пе-2Ф). Однако в серии на столь радикаль</w:t>
      </w:r>
      <w:r w:rsidRPr="008127F8">
        <w:rPr>
          <w:rFonts w:ascii="Times New Roman" w:hAnsi="Times New Roman"/>
          <w:color w:val="000000" w:themeColor="text1"/>
          <w:sz w:val="16"/>
          <w:szCs w:val="16"/>
        </w:rPr>
        <w:softHyphen/>
        <w:t>ный шаг не решились, опасаясь «вме</w:t>
      </w:r>
      <w:r w:rsidRPr="008127F8">
        <w:rPr>
          <w:rFonts w:ascii="Times New Roman" w:hAnsi="Times New Roman"/>
          <w:color w:val="000000" w:themeColor="text1"/>
          <w:sz w:val="16"/>
          <w:szCs w:val="16"/>
        </w:rPr>
        <w:softHyphen/>
        <w:t>шиваться» в технологически отлажен</w:t>
      </w:r>
      <w:r w:rsidRPr="008127F8">
        <w:rPr>
          <w:rFonts w:ascii="Times New Roman" w:hAnsi="Times New Roman"/>
          <w:color w:val="000000" w:themeColor="text1"/>
          <w:sz w:val="16"/>
          <w:szCs w:val="16"/>
        </w:rPr>
        <w:softHyphen/>
        <w:t>ную секцию, включавшую центроп</w:t>
      </w:r>
      <w:r w:rsidRPr="008127F8">
        <w:rPr>
          <w:rFonts w:ascii="Times New Roman" w:hAnsi="Times New Roman"/>
          <w:color w:val="000000" w:themeColor="text1"/>
          <w:sz w:val="16"/>
          <w:szCs w:val="16"/>
        </w:rPr>
        <w:softHyphen/>
        <w:t>лан, бомбоотсек и топливный бак.</w:t>
      </w:r>
    </w:p>
    <w:p w14:paraId="4E37BD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того, при установке ВУБ-1 пришлось отказаться от противока-потажной рамы. Теперь, перевернув</w:t>
      </w:r>
      <w:r w:rsidRPr="008127F8">
        <w:rPr>
          <w:rFonts w:ascii="Times New Roman" w:hAnsi="Times New Roman"/>
          <w:color w:val="000000" w:themeColor="text1"/>
          <w:sz w:val="16"/>
          <w:szCs w:val="16"/>
        </w:rPr>
        <w:softHyphen/>
        <w:t>шись «на спину» при грубой посад</w:t>
      </w:r>
      <w:r w:rsidRPr="008127F8">
        <w:rPr>
          <w:rFonts w:ascii="Times New Roman" w:hAnsi="Times New Roman"/>
          <w:color w:val="000000" w:themeColor="text1"/>
          <w:sz w:val="16"/>
          <w:szCs w:val="16"/>
        </w:rPr>
        <w:softHyphen/>
        <w:t>ке, Пе-2, как правило, убивал свое</w:t>
      </w:r>
      <w:r w:rsidRPr="008127F8">
        <w:rPr>
          <w:rFonts w:ascii="Times New Roman" w:hAnsi="Times New Roman"/>
          <w:color w:val="000000" w:themeColor="text1"/>
          <w:sz w:val="16"/>
          <w:szCs w:val="16"/>
        </w:rPr>
        <w:softHyphen/>
        <w:t>го пилота. Острые углы неподвиж</w:t>
      </w:r>
      <w:r w:rsidRPr="008127F8">
        <w:rPr>
          <w:rFonts w:ascii="Times New Roman" w:hAnsi="Times New Roman"/>
          <w:color w:val="000000" w:themeColor="text1"/>
          <w:sz w:val="16"/>
          <w:szCs w:val="16"/>
        </w:rPr>
        <w:softHyphen/>
        <w:t>ной опорной зубчатки ВУБ-1 угро</w:t>
      </w:r>
      <w:r w:rsidRPr="008127F8">
        <w:rPr>
          <w:rFonts w:ascii="Times New Roman" w:hAnsi="Times New Roman"/>
          <w:color w:val="000000" w:themeColor="text1"/>
          <w:sz w:val="16"/>
          <w:szCs w:val="16"/>
        </w:rPr>
        <w:softHyphen/>
        <w:t>жающе выступали в кабину. Неред</w:t>
      </w:r>
      <w:r w:rsidRPr="008127F8">
        <w:rPr>
          <w:rFonts w:ascii="Times New Roman" w:hAnsi="Times New Roman"/>
          <w:color w:val="000000" w:themeColor="text1"/>
          <w:sz w:val="16"/>
          <w:szCs w:val="16"/>
        </w:rPr>
        <w:softHyphen/>
        <w:t>кими были случаи травм головы у штурманов из-за толчков при раз</w:t>
      </w:r>
      <w:r w:rsidRPr="008127F8">
        <w:rPr>
          <w:rFonts w:ascii="Times New Roman" w:hAnsi="Times New Roman"/>
          <w:color w:val="000000" w:themeColor="text1"/>
          <w:sz w:val="16"/>
          <w:szCs w:val="16"/>
        </w:rPr>
        <w:softHyphen/>
        <w:t>беге, а также при резких эволюциях самолёта.</w:t>
      </w:r>
    </w:p>
    <w:p w14:paraId="4B65AB4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Покидание Пе-2 в воздухе тоже вызывало нарекания. Прыгать с па</w:t>
      </w:r>
      <w:r w:rsidRPr="008127F8">
        <w:rPr>
          <w:rFonts w:ascii="Times New Roman" w:hAnsi="Times New Roman"/>
          <w:color w:val="000000" w:themeColor="text1"/>
          <w:sz w:val="16"/>
          <w:szCs w:val="16"/>
        </w:rPr>
        <w:softHyphen/>
        <w:t>рашютом через нижний люк мешал воздушный поток, а сбрасываемую среднюю часть фонаря, случалось, заклинивало. 29 сентября 1941 г. капитану И.Пискунову пришлось вы</w:t>
      </w:r>
      <w:r w:rsidRPr="008127F8">
        <w:rPr>
          <w:rFonts w:ascii="Times New Roman" w:hAnsi="Times New Roman"/>
          <w:color w:val="000000" w:themeColor="text1"/>
          <w:sz w:val="16"/>
          <w:szCs w:val="16"/>
        </w:rPr>
        <w:softHyphen/>
        <w:t>бивать верхнее остекление головой, но и после этого он не мог выбрать</w:t>
      </w:r>
      <w:r w:rsidRPr="008127F8">
        <w:rPr>
          <w:rFonts w:ascii="Times New Roman" w:hAnsi="Times New Roman"/>
          <w:color w:val="000000" w:themeColor="text1"/>
          <w:sz w:val="16"/>
          <w:szCs w:val="16"/>
        </w:rPr>
        <w:softHyphen/>
        <w:t xml:space="preserve">ся из </w:t>
      </w:r>
      <w:r w:rsidRPr="008127F8">
        <w:rPr>
          <w:rFonts w:ascii="Times New Roman" w:hAnsi="Times New Roman"/>
          <w:color w:val="000000" w:themeColor="text1"/>
          <w:sz w:val="16"/>
          <w:szCs w:val="16"/>
        </w:rPr>
        <w:lastRenderedPageBreak/>
        <w:t>падающей машины. Пилоту, в недавнем прошлом истребителю, удалось спастись, перевернув Пе-2 на спину, резко отдав от себя штур</w:t>
      </w:r>
      <w:r w:rsidRPr="008127F8">
        <w:rPr>
          <w:rFonts w:ascii="Times New Roman" w:hAnsi="Times New Roman"/>
          <w:color w:val="000000" w:themeColor="text1"/>
          <w:sz w:val="16"/>
          <w:szCs w:val="16"/>
        </w:rPr>
        <w:softHyphen/>
        <w:t>вал и вывалившись наружу. В совер</w:t>
      </w:r>
      <w:r w:rsidRPr="008127F8">
        <w:rPr>
          <w:rFonts w:ascii="Times New Roman" w:hAnsi="Times New Roman"/>
          <w:color w:val="000000" w:themeColor="text1"/>
          <w:sz w:val="16"/>
          <w:szCs w:val="16"/>
        </w:rPr>
        <w:softHyphen/>
        <w:t>шившем вынужденную посадку под Бахчисараем Пе-2 фонарь вообще не захотел открываться, и стрелку-радисту Н.Данилушкину пришлось выбивать его ногами, чтобы вытащить лётчика и штурмана (11432).</w:t>
      </w:r>
    </w:p>
    <w:p w14:paraId="1667C19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079C4" w14:textId="77777777" w:rsidR="007E7CE4" w:rsidRPr="008127F8" w:rsidRDefault="007E7C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 вышел приказ НКАП № 127с об установке на Пе-2 «верхней установки башенной» ВУБ-1 (Б-270) под прозрачным колпаком с расширенным по сравнению с ФТ полем обстрела. Пулемет БТ-12,7 поворачивался влево на 110°, вправо на 88° и вверх на 55°. С 1 мая она пошла с опозданием на 110-й казанской серии.</w:t>
      </w:r>
    </w:p>
    <w:p w14:paraId="21EC23C7" w14:textId="77777777" w:rsidR="007E7CE4" w:rsidRPr="008127F8" w:rsidRDefault="007E7CE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Хотя практический сектор обстрела оказался меньше, «башня» ВУБ-1 сразу получила высокую оценку, несмотря на отдельные недостатки. Так, из-за большой длины и трения о рукав подачи лента на 200 патронов, бывало, обрывалась. Недостаток устранили заменой турельного пулемета БТ переделанным крыльевым БК с пневмоперезарядкой и электроподтягом ленты, а запущенный в серию в 1943 г. унифицированный УБ эти механизмы имел штатно. Монтаж ВУБ-1 ослаблял силовой шпангоут, который служил противокапотажной рамой, но переворачивался Пе-2 редко. «Башня» снизила скорость на 8 … 12 км/ч по сравнению с закрытой с «черепахой». Но в боевом положении турелей сравнение было в пользу ВУБ-1 (22824).</w:t>
      </w:r>
    </w:p>
    <w:p w14:paraId="7B255F62" w14:textId="77777777" w:rsidR="007E7CE4" w:rsidRPr="008127F8" w:rsidRDefault="007E7CE4" w:rsidP="001E0A84">
      <w:pPr>
        <w:spacing w:after="0" w:line="240" w:lineRule="auto"/>
        <w:jc w:val="both"/>
        <w:rPr>
          <w:rFonts w:ascii="Times New Roman" w:hAnsi="Times New Roman"/>
          <w:color w:val="000000" w:themeColor="text1"/>
          <w:sz w:val="16"/>
          <w:szCs w:val="16"/>
        </w:rPr>
      </w:pPr>
    </w:p>
    <w:p w14:paraId="257B9E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17 февраля 1942 проходили совместные заводские и государственные испытания ДВБ-102. В этот день состоялся первый полет (2668). Летные испытания самолета затянулись надолго, В.И.Жданова за штурвалом самолета сменил заводской летчик-испытатель Ф.Ф.Опадчий. Шли до 2 сентября 1942. Было 11 полетов с полном весом, 19 - облегченных. Плохо работали М-120 (152,33). Летали Ф.Ф.Опадчий и ви И.Н.Квитко (1847,83).</w:t>
      </w:r>
    </w:p>
    <w:p w14:paraId="127E13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этап летных испытаний ДВБ-102 шел до апреля 1942 (3337,13).</w:t>
      </w:r>
    </w:p>
    <w:p w14:paraId="09C51A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6496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 был первый полет опытного бомбардировщика ДВБ-102 В.М.Мясищева (6395).</w:t>
      </w:r>
    </w:p>
    <w:p w14:paraId="5FB9FF7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9F0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после доработок Жданов выполнил на ДВБ-102 первый полет. В апреле 1942 года завершился первый этап летных испытаний и машину передали в НИИ ВВС. Уже тогда выявилась ненадежная работа турбокомпрессо</w:t>
      </w:r>
      <w:r w:rsidRPr="008127F8">
        <w:rPr>
          <w:rFonts w:ascii="Times New Roman" w:hAnsi="Times New Roman"/>
          <w:color w:val="000000" w:themeColor="text1"/>
          <w:sz w:val="16"/>
          <w:szCs w:val="16"/>
        </w:rPr>
        <w:softHyphen/>
        <w:t>ров, лопатки турбин не выдерживали температуру выхлоп</w:t>
      </w:r>
      <w:r w:rsidRPr="008127F8">
        <w:rPr>
          <w:rFonts w:ascii="Times New Roman" w:hAnsi="Times New Roman"/>
          <w:color w:val="000000" w:themeColor="text1"/>
          <w:sz w:val="16"/>
          <w:szCs w:val="16"/>
        </w:rPr>
        <w:softHyphen/>
        <w:t>ных газов двигателей. Да и работа самих двигателей, имев</w:t>
      </w:r>
      <w:r w:rsidRPr="008127F8">
        <w:rPr>
          <w:rFonts w:ascii="Times New Roman" w:hAnsi="Times New Roman"/>
          <w:color w:val="000000" w:themeColor="text1"/>
          <w:sz w:val="16"/>
          <w:szCs w:val="16"/>
        </w:rPr>
        <w:softHyphen/>
        <w:t>ших мизерный ресурс, оставляла желать лучшего. В отчете по результатам государственных испытаний от</w:t>
      </w:r>
      <w:r w:rsidRPr="008127F8">
        <w:rPr>
          <w:rFonts w:ascii="Times New Roman" w:hAnsi="Times New Roman"/>
          <w:color w:val="000000" w:themeColor="text1"/>
          <w:sz w:val="16"/>
          <w:szCs w:val="16"/>
        </w:rPr>
        <w:softHyphen/>
        <w:t>мечалось, в частности: «...самолет на взлете прост, на про</w:t>
      </w:r>
      <w:r w:rsidRPr="008127F8">
        <w:rPr>
          <w:rFonts w:ascii="Times New Roman" w:hAnsi="Times New Roman"/>
          <w:color w:val="000000" w:themeColor="text1"/>
          <w:sz w:val="16"/>
          <w:szCs w:val="16"/>
        </w:rPr>
        <w:softHyphen/>
        <w:t>беге устойчив. Боковые ветры под углом 60 градусов на взле</w:t>
      </w:r>
      <w:r w:rsidRPr="008127F8">
        <w:rPr>
          <w:rFonts w:ascii="Times New Roman" w:hAnsi="Times New Roman"/>
          <w:color w:val="000000" w:themeColor="text1"/>
          <w:sz w:val="16"/>
          <w:szCs w:val="16"/>
        </w:rPr>
        <w:softHyphen/>
        <w:t>те (при скорости ветра 5 м/с) почти не ощущаются.</w:t>
      </w:r>
    </w:p>
    <w:p w14:paraId="2FDF96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горизонтальном полете самолет достаточно устой</w:t>
      </w:r>
      <w:r w:rsidRPr="008127F8">
        <w:rPr>
          <w:rFonts w:ascii="Times New Roman" w:hAnsi="Times New Roman"/>
          <w:color w:val="000000" w:themeColor="text1"/>
          <w:sz w:val="16"/>
          <w:szCs w:val="16"/>
        </w:rPr>
        <w:softHyphen/>
        <w:t>чив, возникающие нагрузки на рулях полностью снимают</w:t>
      </w:r>
      <w:r w:rsidRPr="008127F8">
        <w:rPr>
          <w:rFonts w:ascii="Times New Roman" w:hAnsi="Times New Roman"/>
          <w:color w:val="000000" w:themeColor="text1"/>
          <w:sz w:val="16"/>
          <w:szCs w:val="16"/>
        </w:rPr>
        <w:softHyphen/>
        <w:t>ся триммерами.</w:t>
      </w:r>
    </w:p>
    <w:p w14:paraId="2F9C235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виражах и разворотах самолет устойчив и хорошо слушается рулей... Самолет хорошо виражит с углами кре</w:t>
      </w:r>
      <w:r w:rsidRPr="008127F8">
        <w:rPr>
          <w:rFonts w:ascii="Times New Roman" w:hAnsi="Times New Roman"/>
          <w:color w:val="000000" w:themeColor="text1"/>
          <w:sz w:val="16"/>
          <w:szCs w:val="16"/>
        </w:rPr>
        <w:softHyphen/>
        <w:t>на до 70 градусов. Техника выполнения посадки значитель</w:t>
      </w:r>
      <w:r w:rsidRPr="008127F8">
        <w:rPr>
          <w:rFonts w:ascii="Times New Roman" w:hAnsi="Times New Roman"/>
          <w:color w:val="000000" w:themeColor="text1"/>
          <w:sz w:val="16"/>
          <w:szCs w:val="16"/>
        </w:rPr>
        <w:softHyphen/>
        <w:t>но проще, чемуПе-</w:t>
      </w:r>
      <w:proofErr w:type="gramStart"/>
      <w:r w:rsidRPr="008127F8">
        <w:rPr>
          <w:rFonts w:ascii="Times New Roman" w:hAnsi="Times New Roman"/>
          <w:color w:val="000000" w:themeColor="text1"/>
          <w:sz w:val="16"/>
          <w:szCs w:val="16"/>
        </w:rPr>
        <w:t>2,Ер</w:t>
      </w:r>
      <w:proofErr w:type="gramEnd"/>
      <w:r w:rsidRPr="008127F8">
        <w:rPr>
          <w:rFonts w:ascii="Times New Roman" w:hAnsi="Times New Roman"/>
          <w:color w:val="000000" w:themeColor="text1"/>
          <w:sz w:val="16"/>
          <w:szCs w:val="16"/>
        </w:rPr>
        <w:t>-2 и 103-В.</w:t>
      </w:r>
    </w:p>
    <w:p w14:paraId="14042E0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на одном моторе при полетном весе 13 000 кг воз</w:t>
      </w:r>
      <w:r w:rsidRPr="008127F8">
        <w:rPr>
          <w:rFonts w:ascii="Times New Roman" w:hAnsi="Times New Roman"/>
          <w:color w:val="000000" w:themeColor="text1"/>
          <w:sz w:val="16"/>
          <w:szCs w:val="16"/>
        </w:rPr>
        <w:softHyphen/>
        <w:t>можен на скоростях до 260 км/ч».</w:t>
      </w:r>
    </w:p>
    <w:p w14:paraId="7F6674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этим выявилось и большое количество дефек</w:t>
      </w:r>
      <w:r w:rsidRPr="008127F8">
        <w:rPr>
          <w:rFonts w:ascii="Times New Roman" w:hAnsi="Times New Roman"/>
          <w:color w:val="000000" w:themeColor="text1"/>
          <w:sz w:val="16"/>
          <w:szCs w:val="16"/>
        </w:rPr>
        <w:softHyphen/>
        <w:t>тов. Увы, без них не обходятся испытания новых машин. Наиболее существенные были связаны с передней гермока-биной, где находились рабочие места летчика и штурмана. Несмотря на то, что гермокабина ДВБ-102 создавала гораз</w:t>
      </w:r>
      <w:r w:rsidRPr="008127F8">
        <w:rPr>
          <w:rFonts w:ascii="Times New Roman" w:hAnsi="Times New Roman"/>
          <w:color w:val="000000" w:themeColor="text1"/>
          <w:sz w:val="16"/>
          <w:szCs w:val="16"/>
        </w:rPr>
        <w:softHyphen/>
        <w:t>до лучшие условия для работы экипажа, чем все построен</w:t>
      </w:r>
      <w:r w:rsidRPr="008127F8">
        <w:rPr>
          <w:rFonts w:ascii="Times New Roman" w:hAnsi="Times New Roman"/>
          <w:color w:val="000000" w:themeColor="text1"/>
          <w:sz w:val="16"/>
          <w:szCs w:val="16"/>
        </w:rPr>
        <w:softHyphen/>
        <w:t>ные ранее, она была тесной, отмечался плохой обзор летчи</w:t>
      </w:r>
      <w:r w:rsidRPr="008127F8">
        <w:rPr>
          <w:rFonts w:ascii="Times New Roman" w:hAnsi="Times New Roman"/>
          <w:color w:val="000000" w:themeColor="text1"/>
          <w:sz w:val="16"/>
          <w:szCs w:val="16"/>
        </w:rPr>
        <w:softHyphen/>
        <w:t>ку верхней полусферы и полное отсутствие обзора задней нижней полусферы. Отсутствовал обзор цели на боевом кур</w:t>
      </w:r>
      <w:r w:rsidRPr="008127F8">
        <w:rPr>
          <w:rFonts w:ascii="Times New Roman" w:hAnsi="Times New Roman"/>
          <w:color w:val="000000" w:themeColor="text1"/>
          <w:sz w:val="16"/>
          <w:szCs w:val="16"/>
        </w:rPr>
        <w:softHyphen/>
        <w:t>се. Не лучше обстояло дело и с обзором у штурмана. В ито</w:t>
      </w:r>
      <w:r w:rsidRPr="008127F8">
        <w:rPr>
          <w:rFonts w:ascii="Times New Roman" w:hAnsi="Times New Roman"/>
          <w:color w:val="000000" w:themeColor="text1"/>
          <w:sz w:val="16"/>
          <w:szCs w:val="16"/>
        </w:rPr>
        <w:softHyphen/>
        <w:t>ге переднюю гермокабину не рекомендовали для установки на боевом самолете массового использования.</w:t>
      </w:r>
    </w:p>
    <w:p w14:paraId="188572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недостатки, выявленные еще в начале заводских ис</w:t>
      </w:r>
      <w:r w:rsidRPr="008127F8">
        <w:rPr>
          <w:rFonts w:ascii="Times New Roman" w:hAnsi="Times New Roman"/>
          <w:color w:val="000000" w:themeColor="text1"/>
          <w:sz w:val="16"/>
          <w:szCs w:val="16"/>
        </w:rPr>
        <w:softHyphen/>
        <w:t>пытаний, устранили в макете дублера самолета ДВБ-102. По мнению экипажа, испытывавшего опытную машину, новая гермокабина должна была создать значительно луч</w:t>
      </w:r>
      <w:r w:rsidRPr="008127F8">
        <w:rPr>
          <w:rFonts w:ascii="Times New Roman" w:hAnsi="Times New Roman"/>
          <w:color w:val="000000" w:themeColor="text1"/>
          <w:sz w:val="16"/>
          <w:szCs w:val="16"/>
        </w:rPr>
        <w:softHyphen/>
        <w:t>шие условия для работы летчика и штурмана при выпол</w:t>
      </w:r>
      <w:r w:rsidRPr="008127F8">
        <w:rPr>
          <w:rFonts w:ascii="Times New Roman" w:hAnsi="Times New Roman"/>
          <w:color w:val="000000" w:themeColor="text1"/>
          <w:sz w:val="16"/>
          <w:szCs w:val="16"/>
        </w:rPr>
        <w:softHyphen/>
        <w:t>нении ими боевых задач. Что в общем-то впоследствии и подтвердилось.</w:t>
      </w:r>
    </w:p>
    <w:p w14:paraId="5289FA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государственных испытаний на самолете усили</w:t>
      </w:r>
      <w:r w:rsidRPr="008127F8">
        <w:rPr>
          <w:rFonts w:ascii="Times New Roman" w:hAnsi="Times New Roman"/>
          <w:color w:val="000000" w:themeColor="text1"/>
          <w:sz w:val="16"/>
          <w:szCs w:val="16"/>
        </w:rPr>
        <w:softHyphen/>
        <w:t>ли вооружение. На носовой установке пулемет ШКАС заме</w:t>
      </w:r>
      <w:r w:rsidRPr="008127F8">
        <w:rPr>
          <w:rFonts w:ascii="Times New Roman" w:hAnsi="Times New Roman"/>
          <w:color w:val="000000" w:themeColor="text1"/>
          <w:sz w:val="16"/>
          <w:szCs w:val="16"/>
        </w:rPr>
        <w:softHyphen/>
        <w:t>нили пушкой ШВАК. На нижней дистанционной установке стрелка-радиста ШКАС заменили пулеметом БС калибра 12,7 мм. В итоге характеристики оборонительного вооруже</w:t>
      </w:r>
      <w:r w:rsidRPr="008127F8">
        <w:rPr>
          <w:rFonts w:ascii="Times New Roman" w:hAnsi="Times New Roman"/>
          <w:color w:val="000000" w:themeColor="text1"/>
          <w:sz w:val="16"/>
          <w:szCs w:val="16"/>
        </w:rPr>
        <w:softHyphen/>
        <w:t>ния ДВБ-102 превзошли по своей мощности заданные так</w:t>
      </w:r>
      <w:r w:rsidRPr="008127F8">
        <w:rPr>
          <w:rFonts w:ascii="Times New Roman" w:hAnsi="Times New Roman"/>
          <w:color w:val="000000" w:themeColor="text1"/>
          <w:sz w:val="16"/>
          <w:szCs w:val="16"/>
        </w:rPr>
        <w:softHyphen/>
        <w:t>тико-техническими требованиями.</w:t>
      </w:r>
    </w:p>
    <w:p w14:paraId="125EAC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Дальнейшие испытания самолета проходили с двигате</w:t>
      </w:r>
      <w:r w:rsidRPr="008127F8">
        <w:rPr>
          <w:rFonts w:ascii="Times New Roman" w:hAnsi="Times New Roman"/>
          <w:color w:val="000000" w:themeColor="text1"/>
          <w:sz w:val="16"/>
          <w:szCs w:val="16"/>
        </w:rPr>
        <w:softHyphen/>
        <w:t>лями без турбокомпрессоров, что пагубно отразилось на ха</w:t>
      </w:r>
      <w:r w:rsidRPr="008127F8">
        <w:rPr>
          <w:rFonts w:ascii="Times New Roman" w:hAnsi="Times New Roman"/>
          <w:color w:val="000000" w:themeColor="text1"/>
          <w:sz w:val="16"/>
          <w:szCs w:val="16"/>
        </w:rPr>
        <w:softHyphen/>
        <w:t>рактеристиках машины. Так, практический потолок сни</w:t>
      </w:r>
      <w:r w:rsidRPr="008127F8">
        <w:rPr>
          <w:rFonts w:ascii="Times New Roman" w:hAnsi="Times New Roman"/>
          <w:color w:val="000000" w:themeColor="text1"/>
          <w:sz w:val="16"/>
          <w:szCs w:val="16"/>
        </w:rPr>
        <w:softHyphen/>
        <w:t>зился до 8300 метров, а максимальная скорость — до 542 км/ч на высоте 6250 метров. В то же время в акте по итогам очередного этапа государственных испытаний отме</w:t>
      </w:r>
      <w:r w:rsidRPr="008127F8">
        <w:rPr>
          <w:rFonts w:ascii="Times New Roman" w:hAnsi="Times New Roman"/>
          <w:color w:val="000000" w:themeColor="text1"/>
          <w:sz w:val="16"/>
          <w:szCs w:val="16"/>
        </w:rPr>
        <w:softHyphen/>
        <w:t>чалось, что «...максимальная скорость самолета 542 км/ ч — выше максимальной скорости существующих дальних бомбардировщиков... Оборудование герметических кабин значительно улучшает условия работы экипажа на боль</w:t>
      </w:r>
      <w:r w:rsidRPr="008127F8">
        <w:rPr>
          <w:rFonts w:ascii="Times New Roman" w:hAnsi="Times New Roman"/>
          <w:color w:val="000000" w:themeColor="text1"/>
          <w:sz w:val="16"/>
          <w:szCs w:val="16"/>
        </w:rPr>
        <w:softHyphen/>
        <w:t>шой высоте, что особенно важно в длительном полете...» (10745,236).</w:t>
      </w:r>
    </w:p>
    <w:p w14:paraId="550F4EB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B3E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после доработок демпферов шимми, Жданов выполнил на ДВБ-102 первый полет. Летные испытания самолета затянулись надолго, В.И. Ждано</w:t>
      </w:r>
      <w:r w:rsidRPr="008127F8">
        <w:rPr>
          <w:rFonts w:ascii="Times New Roman" w:hAnsi="Times New Roman"/>
          <w:color w:val="000000" w:themeColor="text1"/>
          <w:sz w:val="16"/>
          <w:szCs w:val="16"/>
        </w:rPr>
        <w:softHyphen/>
        <w:t>ва за штурвалом самолета сменил заводской летчик-испытатель Ф.Ф. Опадчий. В апреле 1942 года завер</w:t>
      </w:r>
      <w:r w:rsidRPr="008127F8">
        <w:rPr>
          <w:rFonts w:ascii="Times New Roman" w:hAnsi="Times New Roman"/>
          <w:color w:val="000000" w:themeColor="text1"/>
          <w:sz w:val="16"/>
          <w:szCs w:val="16"/>
        </w:rPr>
        <w:softHyphen/>
        <w:t>шился первый этап летных испытаний, и машину пере</w:t>
      </w:r>
      <w:r w:rsidRPr="008127F8">
        <w:rPr>
          <w:rFonts w:ascii="Times New Roman" w:hAnsi="Times New Roman"/>
          <w:color w:val="000000" w:themeColor="text1"/>
          <w:sz w:val="16"/>
          <w:szCs w:val="16"/>
        </w:rPr>
        <w:softHyphen/>
        <w:t>дали в НИИ ВВС. Полеты выявили, прежде всего, нена</w:t>
      </w:r>
      <w:r w:rsidRPr="008127F8">
        <w:rPr>
          <w:rFonts w:ascii="Times New Roman" w:hAnsi="Times New Roman"/>
          <w:color w:val="000000" w:themeColor="text1"/>
          <w:sz w:val="16"/>
          <w:szCs w:val="16"/>
        </w:rPr>
        <w:softHyphen/>
        <w:t>дежную работу турбокомпрессоров, лопатки турбин которых не выдерживали огромную температуру вы</w:t>
      </w:r>
      <w:r w:rsidRPr="008127F8">
        <w:rPr>
          <w:rFonts w:ascii="Times New Roman" w:hAnsi="Times New Roman"/>
          <w:color w:val="000000" w:themeColor="text1"/>
          <w:sz w:val="16"/>
          <w:szCs w:val="16"/>
        </w:rPr>
        <w:softHyphen/>
        <w:t>хлопных газов двигателей. Да и работа самих двигате</w:t>
      </w:r>
      <w:r w:rsidRPr="008127F8">
        <w:rPr>
          <w:rFonts w:ascii="Times New Roman" w:hAnsi="Times New Roman"/>
          <w:color w:val="000000" w:themeColor="text1"/>
          <w:sz w:val="16"/>
          <w:szCs w:val="16"/>
        </w:rPr>
        <w:softHyphen/>
        <w:t>лей, имевших мизерный ресурс, оставляла желать луч</w:t>
      </w:r>
      <w:r w:rsidRPr="008127F8">
        <w:rPr>
          <w:rFonts w:ascii="Times New Roman" w:hAnsi="Times New Roman"/>
          <w:color w:val="000000" w:themeColor="text1"/>
          <w:sz w:val="16"/>
          <w:szCs w:val="16"/>
        </w:rPr>
        <w:softHyphen/>
        <w:t>шего.</w:t>
      </w:r>
    </w:p>
    <w:p w14:paraId="2CA149C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Приведу несколько случаев из хроники летных ис</w:t>
      </w:r>
      <w:r w:rsidRPr="008127F8">
        <w:rPr>
          <w:rFonts w:ascii="Times New Roman" w:hAnsi="Times New Roman"/>
          <w:color w:val="000000" w:themeColor="text1"/>
          <w:sz w:val="16"/>
          <w:szCs w:val="16"/>
        </w:rPr>
        <w:softHyphen/>
        <w:t>пытаний. Во время седьмого полета (при наработке двигателей восемь часов пять минут) разрушился на</w:t>
      </w:r>
      <w:r w:rsidRPr="008127F8">
        <w:rPr>
          <w:rFonts w:ascii="Times New Roman" w:hAnsi="Times New Roman"/>
          <w:color w:val="000000" w:themeColor="text1"/>
          <w:sz w:val="16"/>
          <w:szCs w:val="16"/>
        </w:rPr>
        <w:softHyphen/>
        <w:t>правляющий аппарат крыльчатки турбокомпрессора. После десятого полета произошла поломка силовых шпилек картера. После одиннадцатого полета (нара</w:t>
      </w:r>
      <w:r w:rsidRPr="008127F8">
        <w:rPr>
          <w:rFonts w:ascii="Times New Roman" w:hAnsi="Times New Roman"/>
          <w:color w:val="000000" w:themeColor="text1"/>
          <w:sz w:val="16"/>
          <w:szCs w:val="16"/>
        </w:rPr>
        <w:softHyphen/>
        <w:t>ботка двигателей 13 часов) обнаружилась поломка шес</w:t>
      </w:r>
      <w:r w:rsidRPr="008127F8">
        <w:rPr>
          <w:rFonts w:ascii="Times New Roman" w:hAnsi="Times New Roman"/>
          <w:color w:val="000000" w:themeColor="text1"/>
          <w:sz w:val="16"/>
          <w:szCs w:val="16"/>
        </w:rPr>
        <w:softHyphen/>
        <w:t>терни промежуточного валика левого двигателя. По</w:t>
      </w:r>
      <w:r w:rsidRPr="008127F8">
        <w:rPr>
          <w:rFonts w:ascii="Times New Roman" w:hAnsi="Times New Roman"/>
          <w:color w:val="000000" w:themeColor="text1"/>
          <w:sz w:val="16"/>
          <w:szCs w:val="16"/>
        </w:rPr>
        <w:softHyphen/>
        <w:t>сле первого высотного полета в роторах турбоком</w:t>
      </w:r>
      <w:r w:rsidRPr="008127F8">
        <w:rPr>
          <w:rFonts w:ascii="Times New Roman" w:hAnsi="Times New Roman"/>
          <w:color w:val="000000" w:themeColor="text1"/>
          <w:sz w:val="16"/>
          <w:szCs w:val="16"/>
        </w:rPr>
        <w:softHyphen/>
        <w:t>прессоров обнаружили трещины.</w:t>
      </w:r>
    </w:p>
    <w:p w14:paraId="4297B6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государственных испытаний первые 14 по</w:t>
      </w:r>
      <w:r w:rsidRPr="008127F8">
        <w:rPr>
          <w:rFonts w:ascii="Times New Roman" w:hAnsi="Times New Roman"/>
          <w:color w:val="000000" w:themeColor="text1"/>
          <w:sz w:val="16"/>
          <w:szCs w:val="16"/>
        </w:rPr>
        <w:softHyphen/>
        <w:t>летов выполнили на двигателях с заниженным числом оборотов на первой границе высотности. Затем устано</w:t>
      </w:r>
      <w:r w:rsidRPr="008127F8">
        <w:rPr>
          <w:rFonts w:ascii="Times New Roman" w:hAnsi="Times New Roman"/>
          <w:color w:val="000000" w:themeColor="text1"/>
          <w:sz w:val="16"/>
          <w:szCs w:val="16"/>
        </w:rPr>
        <w:softHyphen/>
        <w:t>вили новые двигатели, развивавшие меньшую взлет</w:t>
      </w:r>
      <w:r w:rsidRPr="008127F8">
        <w:rPr>
          <w:rFonts w:ascii="Times New Roman" w:hAnsi="Times New Roman"/>
          <w:color w:val="000000" w:themeColor="text1"/>
          <w:sz w:val="16"/>
          <w:szCs w:val="16"/>
        </w:rPr>
        <w:softHyphen/>
        <w:t>ную мощность. Из-за этого на самолете не удалось дос</w:t>
      </w:r>
      <w:r w:rsidRPr="008127F8">
        <w:rPr>
          <w:rFonts w:ascii="Times New Roman" w:hAnsi="Times New Roman"/>
          <w:color w:val="000000" w:themeColor="text1"/>
          <w:sz w:val="16"/>
          <w:szCs w:val="16"/>
        </w:rPr>
        <w:softHyphen/>
        <w:t>тигнуть проектных характеристик.</w:t>
      </w:r>
    </w:p>
    <w:p w14:paraId="51402A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В.И. Жданова, в проведении государствен</w:t>
      </w:r>
      <w:r w:rsidRPr="008127F8">
        <w:rPr>
          <w:rFonts w:ascii="Times New Roman" w:hAnsi="Times New Roman"/>
          <w:color w:val="000000" w:themeColor="text1"/>
          <w:sz w:val="16"/>
          <w:szCs w:val="16"/>
        </w:rPr>
        <w:softHyphen/>
        <w:t>ных испытаний участвовали штурман-испытатель Н.П. Цветков, стрелок-радист М. Дугин. Возглавлял испы</w:t>
      </w:r>
      <w:r w:rsidRPr="008127F8">
        <w:rPr>
          <w:rFonts w:ascii="Times New Roman" w:hAnsi="Times New Roman"/>
          <w:color w:val="000000" w:themeColor="text1"/>
          <w:sz w:val="16"/>
          <w:szCs w:val="16"/>
        </w:rPr>
        <w:softHyphen/>
        <w:t>тательную бригаду ведущий инженер М.И. Ефимов. От ЛИИ в испытаниях участвовал инженер Г.И. Поярков.</w:t>
      </w:r>
    </w:p>
    <w:p w14:paraId="25B41B8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отчете по государственным испытаниям отмеча</w:t>
      </w:r>
      <w:r w:rsidRPr="008127F8">
        <w:rPr>
          <w:rFonts w:ascii="Times New Roman" w:hAnsi="Times New Roman"/>
          <w:color w:val="000000" w:themeColor="text1"/>
          <w:sz w:val="16"/>
          <w:szCs w:val="16"/>
        </w:rPr>
        <w:softHyphen/>
        <w:t>лось, что «... самолет на взлете прост, на пробеге устойчив. Боковые ветры под углом 60 градусов, на взлете (при ско</w:t>
      </w:r>
      <w:r w:rsidRPr="008127F8">
        <w:rPr>
          <w:rFonts w:ascii="Times New Roman" w:hAnsi="Times New Roman"/>
          <w:color w:val="000000" w:themeColor="text1"/>
          <w:sz w:val="16"/>
          <w:szCs w:val="16"/>
        </w:rPr>
        <w:softHyphen/>
        <w:t>рости ветра 5 м/с) почти не ощущаются. (Вот оно, преиму</w:t>
      </w:r>
      <w:r w:rsidRPr="008127F8">
        <w:rPr>
          <w:rFonts w:ascii="Times New Roman" w:hAnsi="Times New Roman"/>
          <w:color w:val="000000" w:themeColor="text1"/>
          <w:sz w:val="16"/>
          <w:szCs w:val="16"/>
        </w:rPr>
        <w:softHyphen/>
        <w:t>щество шасси с носовым колесом. — Прим. авт.).</w:t>
      </w:r>
    </w:p>
    <w:p w14:paraId="0991E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горизонтальном полете самолет достаточно устой</w:t>
      </w:r>
      <w:r w:rsidRPr="008127F8">
        <w:rPr>
          <w:rFonts w:ascii="Times New Roman" w:hAnsi="Times New Roman"/>
          <w:color w:val="000000" w:themeColor="text1"/>
          <w:sz w:val="16"/>
          <w:szCs w:val="16"/>
        </w:rPr>
        <w:softHyphen/>
        <w:t>чив, возникающие нагрузки на рулях полностью снимают</w:t>
      </w:r>
      <w:r w:rsidRPr="008127F8">
        <w:rPr>
          <w:rFonts w:ascii="Times New Roman" w:hAnsi="Times New Roman"/>
          <w:color w:val="000000" w:themeColor="text1"/>
          <w:sz w:val="16"/>
          <w:szCs w:val="16"/>
        </w:rPr>
        <w:softHyphen/>
        <w:t>ся триммерами.</w:t>
      </w:r>
    </w:p>
    <w:p w14:paraId="3D17EA6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виражах и разворотах самолет устойчив и хорошо слушается рулей. При углах крена 50—70 градусов возни</w:t>
      </w:r>
      <w:r w:rsidRPr="008127F8">
        <w:rPr>
          <w:rFonts w:ascii="Times New Roman" w:hAnsi="Times New Roman"/>
          <w:color w:val="000000" w:themeColor="text1"/>
          <w:sz w:val="16"/>
          <w:szCs w:val="16"/>
        </w:rPr>
        <w:softHyphen/>
        <w:t>кают значительные нагрузки на рулях, особенно элеронах и руле высоты. Самолет хорошо виражит с углами крена до 70 градусов. Техника выполнения посадки значительно проще, чем у Пе-2, Ер-2 и «103-В».</w:t>
      </w:r>
    </w:p>
    <w:p w14:paraId="598893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на одном моторе при полетном весе 13 000 кг возможен на скоростях до 260 км/ч. С большим весом не проверен из-за плохой работы винтомоторной группы».</w:t>
      </w:r>
    </w:p>
    <w:p w14:paraId="6794B7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Хорошим пилотажным характеристикам в значитель</w:t>
      </w:r>
      <w:r w:rsidRPr="008127F8">
        <w:rPr>
          <w:rFonts w:ascii="Times New Roman" w:hAnsi="Times New Roman"/>
          <w:color w:val="000000" w:themeColor="text1"/>
          <w:sz w:val="16"/>
          <w:szCs w:val="16"/>
        </w:rPr>
        <w:softHyphen/>
        <w:t>ной степени способствовал удачный выбор центровки самолета, находившейся в диапазоне от 24,1 процен</w:t>
      </w:r>
      <w:r w:rsidRPr="008127F8">
        <w:rPr>
          <w:rFonts w:ascii="Times New Roman" w:hAnsi="Times New Roman"/>
          <w:color w:val="000000" w:themeColor="text1"/>
          <w:sz w:val="16"/>
          <w:szCs w:val="16"/>
        </w:rPr>
        <w:softHyphen/>
        <w:t>та до 28,1 процента средней аэродинамической хорды (САХ).</w:t>
      </w:r>
    </w:p>
    <w:p w14:paraId="4F58F01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этим выявилось и большое количество дефектов. Увы, без них не обходятся испытания опыт</w:t>
      </w:r>
      <w:r w:rsidRPr="008127F8">
        <w:rPr>
          <w:rFonts w:ascii="Times New Roman" w:hAnsi="Times New Roman"/>
          <w:color w:val="000000" w:themeColor="text1"/>
          <w:sz w:val="16"/>
          <w:szCs w:val="16"/>
        </w:rPr>
        <w:softHyphen/>
        <w:t xml:space="preserve">ных машин. Наиболее существенные были связаны с передней гермокабиной, где находились рабочие места летчика и штурмана. 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гермо-кабина ДВБ-102 создавала гораздо лучшие условия для работы экипажа, чем все построенные ранее, она имела, в частности, следующие недостатки: теснота и затрудненная посадка летчика на сиденье; невоз</w:t>
      </w:r>
      <w:r w:rsidRPr="008127F8">
        <w:rPr>
          <w:rFonts w:ascii="Times New Roman" w:hAnsi="Times New Roman"/>
          <w:color w:val="000000" w:themeColor="text1"/>
          <w:sz w:val="16"/>
          <w:szCs w:val="16"/>
        </w:rPr>
        <w:softHyphen/>
        <w:t>можность быстрого покидания самолета; неудобное расположение приборов; недостаточное бронирова</w:t>
      </w:r>
      <w:r w:rsidRPr="008127F8">
        <w:rPr>
          <w:rFonts w:ascii="Times New Roman" w:hAnsi="Times New Roman"/>
          <w:color w:val="000000" w:themeColor="text1"/>
          <w:sz w:val="16"/>
          <w:szCs w:val="16"/>
        </w:rPr>
        <w:softHyphen/>
        <w:t>ние экипажа.</w:t>
      </w:r>
    </w:p>
    <w:p w14:paraId="21FEE7C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 перечне дефектов, выявленных в хо</w:t>
      </w:r>
      <w:r w:rsidRPr="008127F8">
        <w:rPr>
          <w:rFonts w:ascii="Times New Roman" w:hAnsi="Times New Roman"/>
          <w:color w:val="000000" w:themeColor="text1"/>
          <w:sz w:val="16"/>
          <w:szCs w:val="16"/>
        </w:rPr>
        <w:softHyphen/>
        <w:t>де испытаний, отмечался плохой обзор летчику верх</w:t>
      </w:r>
      <w:r w:rsidRPr="008127F8">
        <w:rPr>
          <w:rFonts w:ascii="Times New Roman" w:hAnsi="Times New Roman"/>
          <w:color w:val="000000" w:themeColor="text1"/>
          <w:sz w:val="16"/>
          <w:szCs w:val="16"/>
        </w:rPr>
        <w:softHyphen/>
        <w:t>ней полусферы и полное отсутствие обзора задней нижней полусферы. Отсутствовал обзор цели на бое</w:t>
      </w:r>
      <w:r w:rsidRPr="008127F8">
        <w:rPr>
          <w:rFonts w:ascii="Times New Roman" w:hAnsi="Times New Roman"/>
          <w:color w:val="000000" w:themeColor="text1"/>
          <w:sz w:val="16"/>
          <w:szCs w:val="16"/>
        </w:rPr>
        <w:softHyphen/>
        <w:t>вом курсе. Не лучше обстояло дело и с обзором у штурмана. В итоге переднюю гермокабину не реко</w:t>
      </w:r>
      <w:r w:rsidRPr="008127F8">
        <w:rPr>
          <w:rFonts w:ascii="Times New Roman" w:hAnsi="Times New Roman"/>
          <w:color w:val="000000" w:themeColor="text1"/>
          <w:sz w:val="16"/>
          <w:szCs w:val="16"/>
        </w:rPr>
        <w:softHyphen/>
        <w:t>мендовали для установки на боевом самолете массо</w:t>
      </w:r>
      <w:r w:rsidRPr="008127F8">
        <w:rPr>
          <w:rFonts w:ascii="Times New Roman" w:hAnsi="Times New Roman"/>
          <w:color w:val="000000" w:themeColor="text1"/>
          <w:sz w:val="16"/>
          <w:szCs w:val="16"/>
        </w:rPr>
        <w:softHyphen/>
        <w:t>вого использования. Эти недостатки, выявленные еще в начале заводских испытаний, устранили в макете дублера самолета ДВБ-102. По мнению экипажа, ис</w:t>
      </w:r>
      <w:r w:rsidRPr="008127F8">
        <w:rPr>
          <w:rFonts w:ascii="Times New Roman" w:hAnsi="Times New Roman"/>
          <w:color w:val="000000" w:themeColor="text1"/>
          <w:sz w:val="16"/>
          <w:szCs w:val="16"/>
        </w:rPr>
        <w:softHyphen/>
        <w:t>пытывавшего опытную машину, новая гермокабина должна была создать значительно лучшие условия для работы летчика и штурмана при выполнении ими бое</w:t>
      </w:r>
      <w:r w:rsidRPr="008127F8">
        <w:rPr>
          <w:rFonts w:ascii="Times New Roman" w:hAnsi="Times New Roman"/>
          <w:color w:val="000000" w:themeColor="text1"/>
          <w:sz w:val="16"/>
          <w:szCs w:val="16"/>
        </w:rPr>
        <w:softHyphen/>
        <w:t>вых задач. Что, в общем-то, впоследствии и подтвер</w:t>
      </w:r>
      <w:r w:rsidRPr="008127F8">
        <w:rPr>
          <w:rFonts w:ascii="Times New Roman" w:hAnsi="Times New Roman"/>
          <w:color w:val="000000" w:themeColor="text1"/>
          <w:sz w:val="16"/>
          <w:szCs w:val="16"/>
        </w:rPr>
        <w:softHyphen/>
        <w:t>дилось. Задняя же гермокабина осталась без измене</w:t>
      </w:r>
      <w:r w:rsidRPr="008127F8">
        <w:rPr>
          <w:rFonts w:ascii="Times New Roman" w:hAnsi="Times New Roman"/>
          <w:color w:val="000000" w:themeColor="text1"/>
          <w:sz w:val="16"/>
          <w:szCs w:val="16"/>
        </w:rPr>
        <w:softHyphen/>
        <w:t>ний, поскольку обеспечивала необходимые условия работы в ней и не отличалась от негерметичных кабин самолетов тех лет.</w:t>
      </w:r>
    </w:p>
    <w:p w14:paraId="4B0DFC0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государственных испытаний на самолете усилили вооружение. На носовой установке пулемет ШКАС заменили на 20-мм пушку ШВАК. На нижней дистанционной установке стрелка-радиста ШКАС за</w:t>
      </w:r>
      <w:r w:rsidRPr="008127F8">
        <w:rPr>
          <w:rFonts w:ascii="Times New Roman" w:hAnsi="Times New Roman"/>
          <w:color w:val="000000" w:themeColor="text1"/>
          <w:sz w:val="16"/>
          <w:szCs w:val="16"/>
        </w:rPr>
        <w:softHyphen/>
        <w:t>менили пулеметом БС калибра 12,7 мм. В итоге харак</w:t>
      </w:r>
      <w:r w:rsidRPr="008127F8">
        <w:rPr>
          <w:rFonts w:ascii="Times New Roman" w:hAnsi="Times New Roman"/>
          <w:color w:val="000000" w:themeColor="text1"/>
          <w:sz w:val="16"/>
          <w:szCs w:val="16"/>
        </w:rPr>
        <w:softHyphen/>
        <w:t>теристики оборонительного вооружения ДВБ-102 пре взошли по своей мощности заданные тактико-техни</w:t>
      </w:r>
      <w:r w:rsidRPr="008127F8">
        <w:rPr>
          <w:rFonts w:ascii="Times New Roman" w:hAnsi="Times New Roman"/>
          <w:color w:val="000000" w:themeColor="text1"/>
          <w:sz w:val="16"/>
          <w:szCs w:val="16"/>
        </w:rPr>
        <w:softHyphen/>
        <w:t>ческими требованиями (11446).</w:t>
      </w:r>
    </w:p>
    <w:p w14:paraId="728A90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16E5" w14:textId="77777777" w:rsidR="00F34BC1" w:rsidRPr="008127F8" w:rsidRDefault="00F34BC1" w:rsidP="001E0A84">
      <w:pPr>
        <w:pStyle w:val="a4"/>
        <w:rPr>
          <w:color w:val="000000" w:themeColor="text1"/>
          <w:lang w:val="ru-RU"/>
        </w:rPr>
      </w:pPr>
      <w:r w:rsidRPr="008127F8">
        <w:rPr>
          <w:color w:val="000000" w:themeColor="text1"/>
          <w:lang w:val="ru-RU"/>
        </w:rPr>
        <w:t>17 фев</w:t>
      </w:r>
      <w:r w:rsidRPr="008127F8">
        <w:rPr>
          <w:color w:val="000000" w:themeColor="text1"/>
          <w:lang w:val="ru-RU"/>
        </w:rPr>
        <w:softHyphen/>
        <w:t>раля 1942 Жданов, Цветков и Дугин выпол</w:t>
      </w:r>
      <w:r w:rsidRPr="008127F8">
        <w:rPr>
          <w:color w:val="000000" w:themeColor="text1"/>
          <w:lang w:val="ru-RU"/>
        </w:rPr>
        <w:softHyphen/>
        <w:t>нили первый полет ДВБ-102, который прошел нор</w:t>
      </w:r>
      <w:r w:rsidRPr="008127F8">
        <w:rPr>
          <w:color w:val="000000" w:themeColor="text1"/>
          <w:lang w:val="ru-RU"/>
        </w:rPr>
        <w:softHyphen/>
        <w:t>мально. На испытания самолета ДВБ-102 были направлены летчик-испытатель В.И. Жданов, штурман-испытатель Н.П. Цвет</w:t>
      </w:r>
      <w:r w:rsidRPr="008127F8">
        <w:rPr>
          <w:color w:val="000000" w:themeColor="text1"/>
          <w:lang w:val="ru-RU"/>
        </w:rPr>
        <w:softHyphen/>
        <w:t>ков, стрелок-радист М. Дугин, а также ве</w:t>
      </w:r>
      <w:r w:rsidRPr="008127F8">
        <w:rPr>
          <w:color w:val="000000" w:themeColor="text1"/>
          <w:lang w:val="ru-RU"/>
        </w:rPr>
        <w:softHyphen/>
        <w:t>дущие инженеры - М.И. Ефимов от НИИ ВВС и Г.И. Поярков, командированный ЛИИ НКАП. Выбор кандидатуры летчика был не случаен - Жданов участвовал в работе макетной комиссии по проекту ДВБ-102 в 1940 г. и уже был знаком с но</w:t>
      </w:r>
      <w:r w:rsidRPr="008127F8">
        <w:rPr>
          <w:color w:val="000000" w:themeColor="text1"/>
          <w:lang w:val="ru-RU"/>
        </w:rPr>
        <w:softHyphen/>
        <w:t>вой машиной.</w:t>
      </w:r>
    </w:p>
    <w:p w14:paraId="317E3B9D" w14:textId="77777777" w:rsidR="00F34BC1" w:rsidRPr="008127F8" w:rsidRDefault="00F34BC1" w:rsidP="001E0A84">
      <w:pPr>
        <w:pStyle w:val="a4"/>
        <w:rPr>
          <w:color w:val="000000" w:themeColor="text1"/>
          <w:lang w:val="ru-RU"/>
        </w:rPr>
      </w:pPr>
      <w:r w:rsidRPr="008127F8">
        <w:rPr>
          <w:color w:val="000000" w:themeColor="text1"/>
          <w:lang w:val="ru-RU"/>
        </w:rPr>
        <w:t>На первый полет с самолета было де</w:t>
      </w:r>
      <w:r w:rsidRPr="008127F8">
        <w:rPr>
          <w:color w:val="000000" w:themeColor="text1"/>
          <w:lang w:val="ru-RU"/>
        </w:rPr>
        <w:softHyphen/>
        <w:t>монтировано уже отработанное под то</w:t>
      </w:r>
      <w:r w:rsidRPr="008127F8">
        <w:rPr>
          <w:color w:val="000000" w:themeColor="text1"/>
          <w:lang w:val="ru-RU"/>
        </w:rPr>
        <w:softHyphen/>
        <w:t>ком оборонительное вооружение, но он имел все радио- и навигационное обору</w:t>
      </w:r>
      <w:r w:rsidRPr="008127F8">
        <w:rPr>
          <w:color w:val="000000" w:themeColor="text1"/>
          <w:lang w:val="ru-RU"/>
        </w:rPr>
        <w:softHyphen/>
        <w:t>дование.</w:t>
      </w:r>
    </w:p>
    <w:p w14:paraId="52C1C981" w14:textId="77777777" w:rsidR="00F34BC1" w:rsidRPr="008127F8" w:rsidRDefault="00F34BC1" w:rsidP="001E0A84">
      <w:pPr>
        <w:pStyle w:val="a4"/>
        <w:rPr>
          <w:color w:val="000000" w:themeColor="text1"/>
          <w:lang w:val="ru-RU"/>
        </w:rPr>
      </w:pPr>
      <w:r w:rsidRPr="008127F8">
        <w:rPr>
          <w:color w:val="000000" w:themeColor="text1"/>
          <w:lang w:val="ru-RU"/>
        </w:rPr>
        <w:t>Валериан Иванович Жданов работал на испытаниях самолетов СБ, ДБ-3, ББ-22, Пе-2, ДБ-240 и «103В», он участвовал в войне с Финляндией, а в первые месяцы Великой Отечественной летал и на Пе-2, и на трофейных немецких самолетах, но такая особая работа, как начальный этап испытаний нового самолета, ему пред</w:t>
      </w:r>
      <w:r w:rsidRPr="008127F8">
        <w:rPr>
          <w:color w:val="000000" w:themeColor="text1"/>
          <w:lang w:val="ru-RU"/>
        </w:rPr>
        <w:softHyphen/>
        <w:t xml:space="preserve">стояли </w:t>
      </w:r>
      <w:r w:rsidRPr="008127F8">
        <w:rPr>
          <w:color w:val="000000" w:themeColor="text1"/>
          <w:lang w:val="ru-RU"/>
        </w:rPr>
        <w:lastRenderedPageBreak/>
        <w:t>впервые.</w:t>
      </w:r>
    </w:p>
    <w:p w14:paraId="6F5C4109" w14:textId="77777777" w:rsidR="00F34BC1" w:rsidRPr="008127F8" w:rsidRDefault="00F34BC1" w:rsidP="001E0A84">
      <w:pPr>
        <w:pStyle w:val="a4"/>
        <w:rPr>
          <w:color w:val="000000" w:themeColor="text1"/>
          <w:lang w:val="ru-RU"/>
        </w:rPr>
      </w:pPr>
      <w:r w:rsidRPr="008127F8">
        <w:rPr>
          <w:color w:val="000000" w:themeColor="text1"/>
          <w:lang w:val="ru-RU"/>
        </w:rPr>
        <w:t>Ознакомившись с «живым» ДВБ-102, Жданов начал руления и пробежки. Шасси вело себя хорошо, но конструк</w:t>
      </w:r>
      <w:r w:rsidRPr="008127F8">
        <w:rPr>
          <w:color w:val="000000" w:themeColor="text1"/>
          <w:lang w:val="ru-RU"/>
        </w:rPr>
        <w:softHyphen/>
        <w:t>торы предупреждали, что на скоростях, близких к взлетным, может начаться шимми - продольные и крутильные ко</w:t>
      </w:r>
      <w:r w:rsidRPr="008127F8">
        <w:rPr>
          <w:color w:val="000000" w:themeColor="text1"/>
          <w:lang w:val="ru-RU"/>
        </w:rPr>
        <w:softHyphen/>
        <w:t>лебания передней опоры, из-за которых возникает тряска всего самолета и он начинает рыскать. Если не прекратить разбег, то самолет с полосы, пе</w:t>
      </w:r>
      <w:r w:rsidRPr="008127F8">
        <w:rPr>
          <w:color w:val="000000" w:themeColor="text1"/>
          <w:lang w:val="ru-RU"/>
        </w:rPr>
        <w:softHyphen/>
        <w:t>редняя «нога» разрушится, и дальнейшие последствия непредсказуемы. Мясищев лично проинструктировал Жданова на этот счет.</w:t>
      </w:r>
    </w:p>
    <w:p w14:paraId="4137FB0B" w14:textId="77777777" w:rsidR="00F34BC1" w:rsidRPr="008127F8" w:rsidRDefault="00F34BC1" w:rsidP="001E0A84">
      <w:pPr>
        <w:pStyle w:val="a4"/>
        <w:rPr>
          <w:color w:val="000000" w:themeColor="text1"/>
          <w:lang w:val="ru-RU"/>
        </w:rPr>
      </w:pPr>
      <w:r w:rsidRPr="008127F8">
        <w:rPr>
          <w:color w:val="000000" w:themeColor="text1"/>
          <w:lang w:val="ru-RU"/>
        </w:rPr>
        <w:t>На скоростных пробежках шимми не наблюдалось. Это случилось только при первой попытке взлета: Жданов понял, в чем дело, выключил двигатели и на</w:t>
      </w:r>
      <w:r w:rsidRPr="008127F8">
        <w:rPr>
          <w:color w:val="000000" w:themeColor="text1"/>
          <w:lang w:val="ru-RU"/>
        </w:rPr>
        <w:softHyphen/>
        <w:t>жал на тормоза. Расчищенного от снега участка аэродрома хватило, чтобы са</w:t>
      </w:r>
      <w:r w:rsidRPr="008127F8">
        <w:rPr>
          <w:color w:val="000000" w:themeColor="text1"/>
          <w:lang w:val="ru-RU"/>
        </w:rPr>
        <w:softHyphen/>
        <w:t>молет просто остановился, не получив повреждений. А не сделай Жданов этого, они могли быть - и крайне серьезные.</w:t>
      </w:r>
    </w:p>
    <w:p w14:paraId="1BA6A9BE" w14:textId="77777777" w:rsidR="00F34BC1" w:rsidRPr="008127F8" w:rsidRDefault="00F34BC1" w:rsidP="001E0A84">
      <w:pPr>
        <w:pStyle w:val="a4"/>
        <w:rPr>
          <w:color w:val="000000" w:themeColor="text1"/>
          <w:lang w:val="ru-RU"/>
        </w:rPr>
      </w:pPr>
      <w:r w:rsidRPr="008127F8">
        <w:rPr>
          <w:color w:val="000000" w:themeColor="text1"/>
          <w:lang w:val="ru-RU"/>
        </w:rPr>
        <w:t>После перерегулировки демпфера шимми передней стойки шасси шимми прекратилось.</w:t>
      </w:r>
    </w:p>
    <w:p w14:paraId="63CAA235" w14:textId="77777777" w:rsidR="00F34BC1" w:rsidRPr="008127F8" w:rsidRDefault="00F34BC1" w:rsidP="001E0A84">
      <w:pPr>
        <w:pStyle w:val="a4"/>
        <w:rPr>
          <w:color w:val="000000" w:themeColor="text1"/>
          <w:lang w:val="ru-RU"/>
        </w:rPr>
      </w:pPr>
      <w:r w:rsidRPr="008127F8">
        <w:rPr>
          <w:color w:val="000000" w:themeColor="text1"/>
          <w:lang w:val="ru-RU"/>
        </w:rPr>
        <w:t xml:space="preserve">Постепенно увеличивали режимы работы моторов и взлетный вес, но пока Климов запретил включать приводной центробежной нагнетатель М-120ТК на </w:t>
      </w:r>
      <w:r w:rsidRPr="008127F8">
        <w:rPr>
          <w:color w:val="000000" w:themeColor="text1"/>
        </w:rPr>
        <w:t>II</w:t>
      </w:r>
      <w:r w:rsidRPr="008127F8">
        <w:rPr>
          <w:color w:val="000000" w:themeColor="text1"/>
          <w:lang w:val="ru-RU"/>
        </w:rPr>
        <w:t xml:space="preserve"> скорость и «снять» максимальные ско</w:t>
      </w:r>
      <w:r w:rsidRPr="008127F8">
        <w:rPr>
          <w:color w:val="000000" w:themeColor="text1"/>
          <w:lang w:val="ru-RU"/>
        </w:rPr>
        <w:softHyphen/>
        <w:t>рости полета было невозможно. Однако слабым звеном оказались не ПЦН, а тур</w:t>
      </w:r>
      <w:r w:rsidRPr="008127F8">
        <w:rPr>
          <w:color w:val="000000" w:themeColor="text1"/>
          <w:lang w:val="ru-RU"/>
        </w:rPr>
        <w:softHyphen/>
        <w:t>бокомпрессоры. В 7-м полете (наработка моторов 8 ч 05 мин) развалился входной направляющий аппарат крыльчатки ТК. В 10-м полете сломались шпильки кар</w:t>
      </w:r>
      <w:r w:rsidRPr="008127F8">
        <w:rPr>
          <w:color w:val="000000" w:themeColor="text1"/>
          <w:lang w:val="ru-RU"/>
        </w:rPr>
        <w:softHyphen/>
        <w:t>тера. В 11-м полете (наработка мотора 13 ч) разрушился зубчатый венец проме</w:t>
      </w:r>
      <w:r w:rsidRPr="008127F8">
        <w:rPr>
          <w:color w:val="000000" w:themeColor="text1"/>
          <w:lang w:val="ru-RU"/>
        </w:rPr>
        <w:softHyphen/>
        <w:t>жуточного валика, соединяющий рабо</w:t>
      </w:r>
      <w:r w:rsidRPr="008127F8">
        <w:rPr>
          <w:color w:val="000000" w:themeColor="text1"/>
          <w:lang w:val="ru-RU"/>
        </w:rPr>
        <w:softHyphen/>
        <w:t>чее колесо компрессора левого мотора с турбиной. После первого же высотного полета появились трещины в турбинах обоих ТК.</w:t>
      </w:r>
    </w:p>
    <w:p w14:paraId="6FBDB054" w14:textId="77777777" w:rsidR="00F34BC1" w:rsidRPr="008127F8" w:rsidRDefault="00F34BC1" w:rsidP="001E0A84">
      <w:pPr>
        <w:pStyle w:val="a4"/>
        <w:rPr>
          <w:color w:val="000000" w:themeColor="text1"/>
          <w:lang w:val="ru-RU"/>
        </w:rPr>
      </w:pPr>
      <w:r w:rsidRPr="008127F8">
        <w:rPr>
          <w:color w:val="000000" w:themeColor="text1"/>
          <w:lang w:val="ru-RU"/>
        </w:rPr>
        <w:t>Проектируя компрессор, специалисты Центрального авиамоторного института опирались на точно известную темпера</w:t>
      </w:r>
      <w:r w:rsidRPr="008127F8">
        <w:rPr>
          <w:color w:val="000000" w:themeColor="text1"/>
          <w:lang w:val="ru-RU"/>
        </w:rPr>
        <w:softHyphen/>
        <w:t>туру выхлопных газов из одного блока цилиндров серийного мотора М-103 и умножали ее втрое, поскольку блоков стало три. Но они не учли чрезвычайно высокочастотные (десятки килогерц) вибрации турбины компрессора, сое</w:t>
      </w:r>
      <w:r w:rsidRPr="008127F8">
        <w:rPr>
          <w:color w:val="000000" w:themeColor="text1"/>
          <w:lang w:val="ru-RU"/>
        </w:rPr>
        <w:softHyphen/>
        <w:t>диняющей их трансмиссии и даже не</w:t>
      </w:r>
      <w:r w:rsidRPr="008127F8">
        <w:rPr>
          <w:color w:val="000000" w:themeColor="text1"/>
          <w:lang w:val="ru-RU"/>
        </w:rPr>
        <w:softHyphen/>
        <w:t>подвижного входного направляющего аппарата - для обеспечения их ресурса надо было переходить на дорогостоящие жаропрочные стали, улучшать чистоту обработки деталей, менять конструкцию и смазку подшипников. Турбокомпрессор оказался не такой простой штукой, как казалось раньше (17739).</w:t>
      </w:r>
    </w:p>
    <w:p w14:paraId="5B2287FE" w14:textId="77777777" w:rsidR="00F34BC1" w:rsidRPr="008127F8" w:rsidRDefault="00F34BC1" w:rsidP="001E0A84">
      <w:pPr>
        <w:pStyle w:val="af"/>
        <w:shd w:val="clear" w:color="auto" w:fill="FFFFFF"/>
        <w:spacing w:before="0" w:after="0"/>
        <w:jc w:val="both"/>
        <w:rPr>
          <w:color w:val="000000" w:themeColor="text1"/>
          <w:sz w:val="16"/>
          <w:szCs w:val="16"/>
        </w:rPr>
      </w:pPr>
    </w:p>
    <w:p w14:paraId="4406C7B8" w14:textId="77777777" w:rsidR="00AE7110" w:rsidRPr="008A2E5A" w:rsidRDefault="00AE7110" w:rsidP="00AE71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февраля 1941 г. совершил первый полет ДВБ-102 2М-120 (ДВБ, «102», М-2, без б/№) 1-й опытный, дальний высотный бомбардировщик (командир экипажа В.И. Жданов).</w:t>
      </w:r>
    </w:p>
    <w:p w14:paraId="5328C086" w14:textId="77777777" w:rsidR="00AE7110" w:rsidRPr="008A2E5A" w:rsidRDefault="00AE7110" w:rsidP="00AE71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первых числах февраля 1942 г. начались пробежки по аэродрому. На первой скоростной пробежке Жданов выявил шимми передней опоры шасси. Он успел прекратить разбег и аварии не произошло. Демпфер шимми был доработан, чем изжили дефект (23552).</w:t>
      </w:r>
    </w:p>
    <w:p w14:paraId="5D6EB6FC" w14:textId="77777777" w:rsidR="00AE7110" w:rsidRPr="008A2E5A" w:rsidRDefault="00AE7110" w:rsidP="00AE7110">
      <w:pPr>
        <w:spacing w:after="0" w:line="240" w:lineRule="auto"/>
        <w:jc w:val="both"/>
        <w:rPr>
          <w:rFonts w:ascii="Times New Roman" w:hAnsi="Times New Roman"/>
          <w:color w:val="0070C0"/>
          <w:sz w:val="16"/>
          <w:szCs w:val="16"/>
        </w:rPr>
      </w:pPr>
    </w:p>
    <w:p w14:paraId="56C7F0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вышел приказ НКАП N 129с:</w:t>
      </w:r>
    </w:p>
    <w:p w14:paraId="4F5B33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решения ГКО N 1285сс от 15 февраля 1942 о восстановлении завода 23 и организации производства самолетов Як-3:</w:t>
      </w:r>
    </w:p>
    <w:p w14:paraId="78D2F0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директору завода 23 Окулову организовать производство самолетов Як-3 на заводе 23 в Москве</w:t>
      </w:r>
    </w:p>
    <w:p w14:paraId="4F66A0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программу выпуска самолетов Як-3в количестве 600 самолетов с разбивкой по месяцам: в апреле - 5, в июне 25, в августе 60, в октябре 100, в декабре 150 (1534,79).</w:t>
      </w:r>
    </w:p>
    <w:p w14:paraId="2F1C3E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072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вышло постановления ГКО по производству Ут-2 (1532,49).</w:t>
      </w:r>
    </w:p>
    <w:p w14:paraId="4B627E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000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вышло Постановление ГКО № 1305 О выпуске самолетов, в связи с весенней распутицей, только на колесах. РГАНИР, Фонд ГКО, д. 21, лл. 124 (11012).</w:t>
      </w:r>
    </w:p>
    <w:p w14:paraId="5B77F0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61D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Нач. ПЭО Голубцова писала Зам. Нач. Секретариата НКАП Фирсаеву письмо:</w:t>
      </w:r>
    </w:p>
    <w:p w14:paraId="39B31A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Направляю Вам списки действующих и выбывших в 1941 з-ов и новостроек НКАП по состоянию на 10 февраля 1942 согласно запросу ЦСУ от 17 января 1942 № 57.</w:t>
      </w:r>
    </w:p>
    <w:p w14:paraId="270643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Списки по производственным мастерским Главснаба и ГЦУЗа будут сообщены дополнительно.</w:t>
      </w:r>
    </w:p>
    <w:p w14:paraId="364E47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Список действующих предприятий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8"/>
        <w:gridCol w:w="450"/>
        <w:gridCol w:w="540"/>
        <w:gridCol w:w="2250"/>
        <w:gridCol w:w="1710"/>
        <w:gridCol w:w="2880"/>
      </w:tblGrid>
      <w:tr w:rsidR="006F4095" w:rsidRPr="008127F8" w14:paraId="3A364790" w14:textId="77777777">
        <w:tc>
          <w:tcPr>
            <w:tcW w:w="468" w:type="dxa"/>
          </w:tcPr>
          <w:p w14:paraId="741A49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450" w:type="dxa"/>
          </w:tcPr>
          <w:p w14:paraId="2F93D5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w:t>
            </w:r>
          </w:p>
        </w:tc>
        <w:tc>
          <w:tcPr>
            <w:tcW w:w="540" w:type="dxa"/>
          </w:tcPr>
          <w:p w14:paraId="557480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з-да</w:t>
            </w:r>
          </w:p>
        </w:tc>
        <w:tc>
          <w:tcPr>
            <w:tcW w:w="2250" w:type="dxa"/>
          </w:tcPr>
          <w:p w14:paraId="716625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Почтовый адрес</w:t>
            </w:r>
          </w:p>
        </w:tc>
        <w:tc>
          <w:tcPr>
            <w:tcW w:w="1710" w:type="dxa"/>
          </w:tcPr>
          <w:p w14:paraId="76AC04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Местонахождения</w:t>
            </w:r>
          </w:p>
        </w:tc>
        <w:tc>
          <w:tcPr>
            <w:tcW w:w="2880" w:type="dxa"/>
          </w:tcPr>
          <w:p w14:paraId="403E89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Примечания</w:t>
            </w:r>
          </w:p>
        </w:tc>
      </w:tr>
      <w:tr w:rsidR="006F4095" w:rsidRPr="008127F8" w14:paraId="561E3F0C" w14:textId="77777777">
        <w:tc>
          <w:tcPr>
            <w:tcW w:w="468" w:type="dxa"/>
          </w:tcPr>
          <w:p w14:paraId="4F6432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450" w:type="dxa"/>
          </w:tcPr>
          <w:p w14:paraId="51F18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3A5567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250" w:type="dxa"/>
          </w:tcPr>
          <w:p w14:paraId="7965EF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Куйбышевская </w:t>
            </w:r>
            <w:proofErr w:type="gramStart"/>
            <w:r w:rsidRPr="008127F8">
              <w:rPr>
                <w:rFonts w:ascii="Times New Roman" w:hAnsi="Times New Roman"/>
                <w:color w:val="000000" w:themeColor="text1"/>
                <w:sz w:val="16"/>
                <w:szCs w:val="16"/>
              </w:rPr>
              <w:t>обл,,</w:t>
            </w:r>
            <w:proofErr w:type="gramEnd"/>
            <w:r w:rsidRPr="008127F8">
              <w:rPr>
                <w:rFonts w:ascii="Times New Roman" w:hAnsi="Times New Roman"/>
                <w:color w:val="000000" w:themeColor="text1"/>
                <w:sz w:val="16"/>
                <w:szCs w:val="16"/>
              </w:rPr>
              <w:t xml:space="preserve"> Ракета</w:t>
            </w:r>
          </w:p>
        </w:tc>
        <w:tc>
          <w:tcPr>
            <w:tcW w:w="1710" w:type="dxa"/>
          </w:tcPr>
          <w:p w14:paraId="569AC8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0B123F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122</w:t>
            </w:r>
          </w:p>
        </w:tc>
      </w:tr>
      <w:tr w:rsidR="006F4095" w:rsidRPr="008127F8" w14:paraId="384C8575" w14:textId="77777777">
        <w:tc>
          <w:tcPr>
            <w:tcW w:w="468" w:type="dxa"/>
          </w:tcPr>
          <w:p w14:paraId="61659C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450" w:type="dxa"/>
          </w:tcPr>
          <w:p w14:paraId="12275A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0AC1FD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250" w:type="dxa"/>
          </w:tcPr>
          <w:p w14:paraId="4F1955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п/я 143</w:t>
            </w:r>
          </w:p>
        </w:tc>
        <w:tc>
          <w:tcPr>
            <w:tcW w:w="1710" w:type="dxa"/>
          </w:tcPr>
          <w:p w14:paraId="19E286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223DCF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 на площадку б. З-да № 295</w:t>
            </w:r>
          </w:p>
        </w:tc>
      </w:tr>
      <w:tr w:rsidR="006F4095" w:rsidRPr="008127F8" w14:paraId="35536D6E" w14:textId="77777777">
        <w:tc>
          <w:tcPr>
            <w:tcW w:w="468" w:type="dxa"/>
          </w:tcPr>
          <w:p w14:paraId="6AA8B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450" w:type="dxa"/>
          </w:tcPr>
          <w:p w14:paraId="669016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40AE7B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250" w:type="dxa"/>
          </w:tcPr>
          <w:p w14:paraId="00BE49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40, п/я 2402</w:t>
            </w:r>
          </w:p>
        </w:tc>
        <w:tc>
          <w:tcPr>
            <w:tcW w:w="1710" w:type="dxa"/>
          </w:tcPr>
          <w:p w14:paraId="1F0F6F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2E2DFD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з-да № 1</w:t>
            </w:r>
          </w:p>
        </w:tc>
      </w:tr>
      <w:tr w:rsidR="006F4095" w:rsidRPr="008127F8" w14:paraId="3A9874F8" w14:textId="77777777">
        <w:tc>
          <w:tcPr>
            <w:tcW w:w="468" w:type="dxa"/>
          </w:tcPr>
          <w:p w14:paraId="5C99DF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0" w:type="dxa"/>
          </w:tcPr>
          <w:p w14:paraId="162AAA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7DCB75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2250" w:type="dxa"/>
          </w:tcPr>
          <w:p w14:paraId="016FCD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 Главпочтамт, п/я 116</w:t>
            </w:r>
          </w:p>
        </w:tc>
        <w:tc>
          <w:tcPr>
            <w:tcW w:w="1710" w:type="dxa"/>
          </w:tcPr>
          <w:p w14:paraId="3918DC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w:t>
            </w:r>
          </w:p>
        </w:tc>
        <w:tc>
          <w:tcPr>
            <w:tcW w:w="2880" w:type="dxa"/>
          </w:tcPr>
          <w:p w14:paraId="09D7E5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мастерских ГВФ</w:t>
            </w:r>
          </w:p>
        </w:tc>
      </w:tr>
      <w:tr w:rsidR="006F4095" w:rsidRPr="008127F8" w14:paraId="0FF27CAA" w14:textId="77777777">
        <w:tc>
          <w:tcPr>
            <w:tcW w:w="468" w:type="dxa"/>
          </w:tcPr>
          <w:p w14:paraId="05CC13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450" w:type="dxa"/>
          </w:tcPr>
          <w:p w14:paraId="0105B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52755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2250" w:type="dxa"/>
          </w:tcPr>
          <w:p w14:paraId="7B7AA2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 на Амуре, Дземги, п/я 40</w:t>
            </w:r>
          </w:p>
        </w:tc>
        <w:tc>
          <w:tcPr>
            <w:tcW w:w="1710" w:type="dxa"/>
          </w:tcPr>
          <w:p w14:paraId="2AC83C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w:t>
            </w:r>
          </w:p>
        </w:tc>
        <w:tc>
          <w:tcPr>
            <w:tcW w:w="2880" w:type="dxa"/>
          </w:tcPr>
          <w:p w14:paraId="5ECD95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529E31" w14:textId="77777777">
        <w:tc>
          <w:tcPr>
            <w:tcW w:w="468" w:type="dxa"/>
          </w:tcPr>
          <w:p w14:paraId="64A52F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450" w:type="dxa"/>
          </w:tcPr>
          <w:p w14:paraId="301055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7DB85B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2250" w:type="dxa"/>
          </w:tcPr>
          <w:p w14:paraId="24A03E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Хабаровск. 10 п/я 338</w:t>
            </w:r>
          </w:p>
        </w:tc>
        <w:tc>
          <w:tcPr>
            <w:tcW w:w="1710" w:type="dxa"/>
          </w:tcPr>
          <w:p w14:paraId="328E71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Хабаровск</w:t>
            </w:r>
          </w:p>
        </w:tc>
        <w:tc>
          <w:tcPr>
            <w:tcW w:w="2880" w:type="dxa"/>
          </w:tcPr>
          <w:p w14:paraId="1DA0BB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Ф-л з-да 126</w:t>
            </w:r>
          </w:p>
        </w:tc>
      </w:tr>
      <w:tr w:rsidR="006F4095" w:rsidRPr="008127F8" w14:paraId="769C107F" w14:textId="77777777">
        <w:tc>
          <w:tcPr>
            <w:tcW w:w="468" w:type="dxa"/>
          </w:tcPr>
          <w:p w14:paraId="0E8B80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450" w:type="dxa"/>
          </w:tcPr>
          <w:p w14:paraId="18BBC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771A65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2250" w:type="dxa"/>
          </w:tcPr>
          <w:p w14:paraId="4AA4A1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 обл., п/я 11</w:t>
            </w:r>
          </w:p>
        </w:tc>
        <w:tc>
          <w:tcPr>
            <w:tcW w:w="1710" w:type="dxa"/>
          </w:tcPr>
          <w:p w14:paraId="28E516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c>
          <w:tcPr>
            <w:tcW w:w="2880" w:type="dxa"/>
          </w:tcPr>
          <w:p w14:paraId="779A54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 Б. З-да № 125</w:t>
            </w:r>
          </w:p>
        </w:tc>
      </w:tr>
      <w:tr w:rsidR="006F4095" w:rsidRPr="008127F8" w14:paraId="15F790CF" w14:textId="77777777">
        <w:tc>
          <w:tcPr>
            <w:tcW w:w="468" w:type="dxa"/>
          </w:tcPr>
          <w:p w14:paraId="5C31C3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450" w:type="dxa"/>
          </w:tcPr>
          <w:p w14:paraId="7C2077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0497B2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2250" w:type="dxa"/>
          </w:tcPr>
          <w:p w14:paraId="4AAE1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Улан-Уде, п/я 7</w:t>
            </w:r>
          </w:p>
        </w:tc>
        <w:tc>
          <w:tcPr>
            <w:tcW w:w="1710" w:type="dxa"/>
          </w:tcPr>
          <w:p w14:paraId="14D76F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Улан-Уде</w:t>
            </w:r>
          </w:p>
        </w:tc>
        <w:tc>
          <w:tcPr>
            <w:tcW w:w="2880" w:type="dxa"/>
          </w:tcPr>
          <w:p w14:paraId="27D79E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Ф-л –да 39</w:t>
            </w:r>
          </w:p>
        </w:tc>
      </w:tr>
      <w:tr w:rsidR="006F4095" w:rsidRPr="008127F8" w14:paraId="7B1DD47E" w14:textId="77777777">
        <w:tc>
          <w:tcPr>
            <w:tcW w:w="468" w:type="dxa"/>
          </w:tcPr>
          <w:p w14:paraId="557B11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450" w:type="dxa"/>
          </w:tcPr>
          <w:p w14:paraId="6D6D16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0D0460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250" w:type="dxa"/>
          </w:tcPr>
          <w:p w14:paraId="7BE968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 10, п/я 7</w:t>
            </w:r>
          </w:p>
        </w:tc>
        <w:tc>
          <w:tcPr>
            <w:tcW w:w="1710" w:type="dxa"/>
          </w:tcPr>
          <w:p w14:paraId="444F30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880" w:type="dxa"/>
          </w:tcPr>
          <w:p w14:paraId="2D06DB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B25523" w14:textId="77777777">
        <w:tc>
          <w:tcPr>
            <w:tcW w:w="468" w:type="dxa"/>
          </w:tcPr>
          <w:p w14:paraId="426DE0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0" w:type="dxa"/>
          </w:tcPr>
          <w:p w14:paraId="0C47C3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3815F4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250" w:type="dxa"/>
          </w:tcPr>
          <w:p w14:paraId="3D4344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Подольск</w:t>
            </w:r>
          </w:p>
        </w:tc>
        <w:tc>
          <w:tcPr>
            <w:tcW w:w="1710" w:type="dxa"/>
          </w:tcPr>
          <w:p w14:paraId="58A2B4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Подольск</w:t>
            </w:r>
          </w:p>
        </w:tc>
        <w:tc>
          <w:tcPr>
            <w:tcW w:w="2880" w:type="dxa"/>
          </w:tcPr>
          <w:p w14:paraId="74FAF5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З-да им. Орджоникидзе НКНефти</w:t>
            </w:r>
          </w:p>
        </w:tc>
      </w:tr>
      <w:tr w:rsidR="006F4095" w:rsidRPr="008127F8" w14:paraId="21FF9D1A" w14:textId="77777777">
        <w:tc>
          <w:tcPr>
            <w:tcW w:w="468" w:type="dxa"/>
          </w:tcPr>
          <w:p w14:paraId="0678F4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450" w:type="dxa"/>
          </w:tcPr>
          <w:p w14:paraId="695296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2065DA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2250" w:type="dxa"/>
          </w:tcPr>
          <w:p w14:paraId="7E76FE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п/я 211</w:t>
            </w:r>
          </w:p>
        </w:tc>
        <w:tc>
          <w:tcPr>
            <w:tcW w:w="1710" w:type="dxa"/>
          </w:tcPr>
          <w:p w14:paraId="360A56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45928B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Механического з-да Нктанкопрома</w:t>
            </w:r>
          </w:p>
        </w:tc>
      </w:tr>
      <w:tr w:rsidR="006F4095" w:rsidRPr="008127F8" w14:paraId="395E89B1" w14:textId="77777777">
        <w:tc>
          <w:tcPr>
            <w:tcW w:w="468" w:type="dxa"/>
          </w:tcPr>
          <w:p w14:paraId="663AA6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450" w:type="dxa"/>
          </w:tcPr>
          <w:p w14:paraId="732063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3CA437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250" w:type="dxa"/>
          </w:tcPr>
          <w:p w14:paraId="030372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Тагил, п/я 4</w:t>
            </w:r>
          </w:p>
        </w:tc>
        <w:tc>
          <w:tcPr>
            <w:tcW w:w="1710" w:type="dxa"/>
          </w:tcPr>
          <w:p w14:paraId="3652DA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Тагил</w:t>
            </w:r>
          </w:p>
        </w:tc>
        <w:tc>
          <w:tcPr>
            <w:tcW w:w="2880" w:type="dxa"/>
          </w:tcPr>
          <w:p w14:paraId="2398D6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 Тагильского вагоностроительного з-да</w:t>
            </w:r>
          </w:p>
        </w:tc>
      </w:tr>
      <w:tr w:rsidR="006F4095" w:rsidRPr="008127F8" w14:paraId="7E1E1320" w14:textId="77777777">
        <w:tc>
          <w:tcPr>
            <w:tcW w:w="468" w:type="dxa"/>
          </w:tcPr>
          <w:p w14:paraId="7AD52E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450" w:type="dxa"/>
          </w:tcPr>
          <w:p w14:paraId="5F6037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094B2A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2250" w:type="dxa"/>
          </w:tcPr>
          <w:p w14:paraId="23B47E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40, п/я 2400</w:t>
            </w:r>
          </w:p>
        </w:tc>
        <w:tc>
          <w:tcPr>
            <w:tcW w:w="1710" w:type="dxa"/>
          </w:tcPr>
          <w:p w14:paraId="5E5701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4ADC3D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из Москвы з-да 39</w:t>
            </w:r>
          </w:p>
        </w:tc>
      </w:tr>
      <w:tr w:rsidR="006F4095" w:rsidRPr="008127F8" w14:paraId="0BCF1502" w14:textId="77777777">
        <w:tc>
          <w:tcPr>
            <w:tcW w:w="468" w:type="dxa"/>
          </w:tcPr>
          <w:p w14:paraId="62D0AD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450" w:type="dxa"/>
          </w:tcPr>
          <w:p w14:paraId="7AA8A9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3375C2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w:t>
            </w:r>
          </w:p>
        </w:tc>
        <w:tc>
          <w:tcPr>
            <w:tcW w:w="2250" w:type="dxa"/>
          </w:tcPr>
          <w:p w14:paraId="47B95C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 19, п/z 240</w:t>
            </w:r>
          </w:p>
        </w:tc>
        <w:tc>
          <w:tcPr>
            <w:tcW w:w="1710" w:type="dxa"/>
          </w:tcPr>
          <w:p w14:paraId="2D16FB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880" w:type="dxa"/>
          </w:tcPr>
          <w:p w14:paraId="65C684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эвакуированного з-да 381</w:t>
            </w:r>
          </w:p>
        </w:tc>
      </w:tr>
      <w:tr w:rsidR="006F4095" w:rsidRPr="008127F8" w14:paraId="10932875" w14:textId="77777777">
        <w:tc>
          <w:tcPr>
            <w:tcW w:w="468" w:type="dxa"/>
          </w:tcPr>
          <w:p w14:paraId="2265B1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450" w:type="dxa"/>
          </w:tcPr>
          <w:p w14:paraId="325E7D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6DF282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2250" w:type="dxa"/>
          </w:tcPr>
          <w:p w14:paraId="0B8AEE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36, п/я 747</w:t>
            </w:r>
          </w:p>
        </w:tc>
        <w:tc>
          <w:tcPr>
            <w:tcW w:w="1710" w:type="dxa"/>
          </w:tcPr>
          <w:p w14:paraId="6BE1EB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550DE1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124</w:t>
            </w:r>
          </w:p>
        </w:tc>
      </w:tr>
      <w:tr w:rsidR="006F4095" w:rsidRPr="008127F8" w14:paraId="6E8C96F1" w14:textId="77777777">
        <w:tc>
          <w:tcPr>
            <w:tcW w:w="468" w:type="dxa"/>
          </w:tcPr>
          <w:p w14:paraId="7883CD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450" w:type="dxa"/>
          </w:tcPr>
          <w:p w14:paraId="736F55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112D44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250" w:type="dxa"/>
          </w:tcPr>
          <w:p w14:paraId="109BD1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 35, п/я 200</w:t>
            </w:r>
          </w:p>
        </w:tc>
        <w:tc>
          <w:tcPr>
            <w:tcW w:w="1710" w:type="dxa"/>
          </w:tcPr>
          <w:p w14:paraId="44B56D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2880" w:type="dxa"/>
          </w:tcPr>
          <w:p w14:paraId="7F2CA3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4D9670" w14:textId="77777777">
        <w:tc>
          <w:tcPr>
            <w:tcW w:w="468" w:type="dxa"/>
          </w:tcPr>
          <w:p w14:paraId="228799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450" w:type="dxa"/>
          </w:tcPr>
          <w:p w14:paraId="471E90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7A999F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250" w:type="dxa"/>
          </w:tcPr>
          <w:p w14:paraId="7282B2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 п/я 51</w:t>
            </w:r>
          </w:p>
        </w:tc>
        <w:tc>
          <w:tcPr>
            <w:tcW w:w="1710" w:type="dxa"/>
          </w:tcPr>
          <w:p w14:paraId="1B09E0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c>
          <w:tcPr>
            <w:tcW w:w="2880" w:type="dxa"/>
          </w:tcPr>
          <w:p w14:paraId="64EB48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Таганрога на площадку б. стр-ва з-да № 448</w:t>
            </w:r>
          </w:p>
        </w:tc>
      </w:tr>
      <w:tr w:rsidR="006F4095" w:rsidRPr="008127F8" w14:paraId="349ECADD" w14:textId="77777777">
        <w:tc>
          <w:tcPr>
            <w:tcW w:w="468" w:type="dxa"/>
          </w:tcPr>
          <w:p w14:paraId="089113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450" w:type="dxa"/>
          </w:tcPr>
          <w:p w14:paraId="40AB42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05349C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250" w:type="dxa"/>
          </w:tcPr>
          <w:p w14:paraId="4E6B73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Чуалов, п/я 936</w:t>
            </w:r>
          </w:p>
        </w:tc>
        <w:tc>
          <w:tcPr>
            <w:tcW w:w="1710" w:type="dxa"/>
          </w:tcPr>
          <w:p w14:paraId="0B357A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Чкалов</w:t>
            </w:r>
          </w:p>
        </w:tc>
        <w:tc>
          <w:tcPr>
            <w:tcW w:w="2880" w:type="dxa"/>
          </w:tcPr>
          <w:p w14:paraId="1DA742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пощадку б Чкаловских военных мастерских</w:t>
            </w:r>
          </w:p>
        </w:tc>
      </w:tr>
      <w:tr w:rsidR="006F4095" w:rsidRPr="008127F8" w14:paraId="4DE08627" w14:textId="77777777">
        <w:tc>
          <w:tcPr>
            <w:tcW w:w="468" w:type="dxa"/>
          </w:tcPr>
          <w:p w14:paraId="4AD952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450" w:type="dxa"/>
          </w:tcPr>
          <w:p w14:paraId="0E46BC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4AAAFC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2250" w:type="dxa"/>
          </w:tcPr>
          <w:p w14:paraId="1CB1FA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87, п/я 222</w:t>
            </w:r>
          </w:p>
        </w:tc>
        <w:tc>
          <w:tcPr>
            <w:tcW w:w="1710" w:type="dxa"/>
          </w:tcPr>
          <w:p w14:paraId="72D679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28F804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 22</w:t>
            </w:r>
          </w:p>
        </w:tc>
      </w:tr>
      <w:tr w:rsidR="006F4095" w:rsidRPr="008127F8" w14:paraId="021C6E99" w14:textId="77777777">
        <w:tc>
          <w:tcPr>
            <w:tcW w:w="468" w:type="dxa"/>
          </w:tcPr>
          <w:p w14:paraId="398772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450" w:type="dxa"/>
          </w:tcPr>
          <w:p w14:paraId="1C40FE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046E93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2250" w:type="dxa"/>
          </w:tcPr>
          <w:p w14:paraId="211B0D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Уссурийск обл., Яковлевский р-н, пос. Семеновка, п/я 1/16</w:t>
            </w:r>
          </w:p>
        </w:tc>
        <w:tc>
          <w:tcPr>
            <w:tcW w:w="1710" w:type="dxa"/>
          </w:tcPr>
          <w:p w14:paraId="25EA4A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Семеновка</w:t>
            </w:r>
          </w:p>
        </w:tc>
        <w:tc>
          <w:tcPr>
            <w:tcW w:w="2880" w:type="dxa"/>
          </w:tcPr>
          <w:p w14:paraId="2837DC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0B16D5" w14:textId="77777777">
        <w:tc>
          <w:tcPr>
            <w:tcW w:w="468" w:type="dxa"/>
          </w:tcPr>
          <w:p w14:paraId="17CB83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450" w:type="dxa"/>
          </w:tcPr>
          <w:p w14:paraId="75838D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52E1C6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250" w:type="dxa"/>
          </w:tcPr>
          <w:p w14:paraId="3A78EA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15, п/я 1</w:t>
            </w:r>
          </w:p>
        </w:tc>
        <w:tc>
          <w:tcPr>
            <w:tcW w:w="1710" w:type="dxa"/>
          </w:tcPr>
          <w:p w14:paraId="4BC7EB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880" w:type="dxa"/>
          </w:tcPr>
          <w:p w14:paraId="4FA00C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DFB0CF" w14:textId="77777777">
        <w:tc>
          <w:tcPr>
            <w:tcW w:w="468" w:type="dxa"/>
          </w:tcPr>
          <w:p w14:paraId="2677C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450" w:type="dxa"/>
          </w:tcPr>
          <w:p w14:paraId="5D4978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66ADB2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2250" w:type="dxa"/>
          </w:tcPr>
          <w:p w14:paraId="30B0AB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30, п/я 634</w:t>
            </w:r>
          </w:p>
        </w:tc>
        <w:tc>
          <w:tcPr>
            <w:tcW w:w="1710" w:type="dxa"/>
          </w:tcPr>
          <w:p w14:paraId="04A974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73F995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б з-да 169</w:t>
            </w:r>
          </w:p>
        </w:tc>
      </w:tr>
      <w:tr w:rsidR="006F4095" w:rsidRPr="008127F8" w14:paraId="3F0BF4EB" w14:textId="77777777">
        <w:tc>
          <w:tcPr>
            <w:tcW w:w="468" w:type="dxa"/>
          </w:tcPr>
          <w:p w14:paraId="488ED9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450" w:type="dxa"/>
          </w:tcPr>
          <w:p w14:paraId="2B2AB2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2020EB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w:t>
            </w:r>
          </w:p>
        </w:tc>
        <w:tc>
          <w:tcPr>
            <w:tcW w:w="2250" w:type="dxa"/>
          </w:tcPr>
          <w:p w14:paraId="29E711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Баку, п/я 251</w:t>
            </w:r>
          </w:p>
        </w:tc>
        <w:tc>
          <w:tcPr>
            <w:tcW w:w="1710" w:type="dxa"/>
          </w:tcPr>
          <w:p w14:paraId="20A917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Баку</w:t>
            </w:r>
          </w:p>
        </w:tc>
        <w:tc>
          <w:tcPr>
            <w:tcW w:w="2880" w:type="dxa"/>
          </w:tcPr>
          <w:p w14:paraId="11EFFE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из Ростова на площадку б </w:t>
            </w:r>
            <w:r w:rsidRPr="008127F8">
              <w:rPr>
                <w:rFonts w:ascii="Times New Roman" w:hAnsi="Times New Roman"/>
                <w:color w:val="000000" w:themeColor="text1"/>
                <w:sz w:val="16"/>
                <w:szCs w:val="16"/>
              </w:rPr>
              <w:lastRenderedPageBreak/>
              <w:t>стр-ва з-да № 446</w:t>
            </w:r>
          </w:p>
        </w:tc>
      </w:tr>
      <w:tr w:rsidR="006F4095" w:rsidRPr="008127F8" w14:paraId="32AAF6C9" w14:textId="77777777">
        <w:tc>
          <w:tcPr>
            <w:tcW w:w="468" w:type="dxa"/>
          </w:tcPr>
          <w:p w14:paraId="48BFC2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24</w:t>
            </w:r>
          </w:p>
        </w:tc>
        <w:tc>
          <w:tcPr>
            <w:tcW w:w="450" w:type="dxa"/>
          </w:tcPr>
          <w:p w14:paraId="7FA5B2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12C264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c>
          <w:tcPr>
            <w:tcW w:w="2250" w:type="dxa"/>
          </w:tcPr>
          <w:p w14:paraId="468D4A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25, п/я 78</w:t>
            </w:r>
          </w:p>
        </w:tc>
        <w:tc>
          <w:tcPr>
            <w:tcW w:w="1710" w:type="dxa"/>
          </w:tcPr>
          <w:p w14:paraId="3579EE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21B833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122</w:t>
            </w:r>
          </w:p>
        </w:tc>
      </w:tr>
      <w:tr w:rsidR="006F4095" w:rsidRPr="008127F8" w14:paraId="0FF1393B" w14:textId="77777777">
        <w:tc>
          <w:tcPr>
            <w:tcW w:w="468" w:type="dxa"/>
          </w:tcPr>
          <w:p w14:paraId="63CA51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450" w:type="dxa"/>
          </w:tcPr>
          <w:p w14:paraId="63AF90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61430B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250" w:type="dxa"/>
          </w:tcPr>
          <w:p w14:paraId="640B80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 п/я 1100</w:t>
            </w:r>
          </w:p>
        </w:tc>
        <w:tc>
          <w:tcPr>
            <w:tcW w:w="1710" w:type="dxa"/>
          </w:tcPr>
          <w:p w14:paraId="283E87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w:t>
            </w:r>
          </w:p>
        </w:tc>
        <w:tc>
          <w:tcPr>
            <w:tcW w:w="2880" w:type="dxa"/>
          </w:tcPr>
          <w:p w14:paraId="01D629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DA97FF" w14:textId="77777777">
        <w:tc>
          <w:tcPr>
            <w:tcW w:w="468" w:type="dxa"/>
          </w:tcPr>
          <w:p w14:paraId="342D42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450" w:type="dxa"/>
          </w:tcPr>
          <w:p w14:paraId="476411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650186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2250" w:type="dxa"/>
          </w:tcPr>
          <w:p w14:paraId="068117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Кировская обл., п/я 211</w:t>
            </w:r>
          </w:p>
        </w:tc>
        <w:tc>
          <w:tcPr>
            <w:tcW w:w="1710" w:type="dxa"/>
          </w:tcPr>
          <w:p w14:paraId="215F89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2880" w:type="dxa"/>
          </w:tcPr>
          <w:p w14:paraId="69372D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стр-ва з-да 305</w:t>
            </w:r>
          </w:p>
        </w:tc>
      </w:tr>
      <w:tr w:rsidR="006F4095" w:rsidRPr="008127F8" w14:paraId="0173F7A0" w14:textId="77777777">
        <w:tc>
          <w:tcPr>
            <w:tcW w:w="468" w:type="dxa"/>
          </w:tcPr>
          <w:p w14:paraId="5105C0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450" w:type="dxa"/>
          </w:tcPr>
          <w:p w14:paraId="64A723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7B1802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2250" w:type="dxa"/>
          </w:tcPr>
          <w:p w14:paraId="6336BF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40, п/я240/7</w:t>
            </w:r>
          </w:p>
        </w:tc>
        <w:tc>
          <w:tcPr>
            <w:tcW w:w="1710" w:type="dxa"/>
          </w:tcPr>
          <w:p w14:paraId="46608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006A19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 32</w:t>
            </w:r>
          </w:p>
        </w:tc>
      </w:tr>
      <w:tr w:rsidR="006F4095" w:rsidRPr="008127F8" w14:paraId="229A1539" w14:textId="77777777">
        <w:tc>
          <w:tcPr>
            <w:tcW w:w="468" w:type="dxa"/>
          </w:tcPr>
          <w:p w14:paraId="58EF5A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450" w:type="dxa"/>
          </w:tcPr>
          <w:p w14:paraId="7161F2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5590B0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2250" w:type="dxa"/>
          </w:tcPr>
          <w:p w14:paraId="2ABF95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Троицк, Челябинской обл., п/я 31</w:t>
            </w:r>
          </w:p>
        </w:tc>
        <w:tc>
          <w:tcPr>
            <w:tcW w:w="1710" w:type="dxa"/>
          </w:tcPr>
          <w:p w14:paraId="12D37B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Троицк</w:t>
            </w:r>
          </w:p>
        </w:tc>
        <w:tc>
          <w:tcPr>
            <w:tcW w:w="2880" w:type="dxa"/>
          </w:tcPr>
          <w:p w14:paraId="563DF9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5A605574" w14:textId="77777777">
        <w:tc>
          <w:tcPr>
            <w:tcW w:w="468" w:type="dxa"/>
          </w:tcPr>
          <w:p w14:paraId="0C2CDE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450" w:type="dxa"/>
          </w:tcPr>
          <w:p w14:paraId="3052A1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6D0CB1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w:t>
            </w:r>
          </w:p>
        </w:tc>
        <w:tc>
          <w:tcPr>
            <w:tcW w:w="2250" w:type="dxa"/>
          </w:tcPr>
          <w:p w14:paraId="1AFAEC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 35, п/я 200</w:t>
            </w:r>
          </w:p>
        </w:tc>
        <w:tc>
          <w:tcPr>
            <w:tcW w:w="1710" w:type="dxa"/>
          </w:tcPr>
          <w:p w14:paraId="2756A6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2880" w:type="dxa"/>
          </w:tcPr>
          <w:p w14:paraId="422D2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 Москвы на площадку б з-да Гудок Октября</w:t>
            </w:r>
          </w:p>
        </w:tc>
      </w:tr>
      <w:tr w:rsidR="006F4095" w:rsidRPr="008127F8" w14:paraId="365E456A" w14:textId="77777777">
        <w:tc>
          <w:tcPr>
            <w:tcW w:w="468" w:type="dxa"/>
          </w:tcPr>
          <w:p w14:paraId="3CBB28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450" w:type="dxa"/>
          </w:tcPr>
          <w:p w14:paraId="7316E6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50978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2250" w:type="dxa"/>
          </w:tcPr>
          <w:p w14:paraId="612714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Тагил, 6, п/я 5</w:t>
            </w:r>
          </w:p>
        </w:tc>
        <w:tc>
          <w:tcPr>
            <w:tcW w:w="1710" w:type="dxa"/>
          </w:tcPr>
          <w:p w14:paraId="3349C9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Тагил</w:t>
            </w:r>
          </w:p>
        </w:tc>
        <w:tc>
          <w:tcPr>
            <w:tcW w:w="2880" w:type="dxa"/>
          </w:tcPr>
          <w:p w14:paraId="30BBF9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своего филиала</w:t>
            </w:r>
          </w:p>
        </w:tc>
      </w:tr>
      <w:tr w:rsidR="006F4095" w:rsidRPr="008127F8" w14:paraId="455697DE" w14:textId="77777777">
        <w:tc>
          <w:tcPr>
            <w:tcW w:w="468" w:type="dxa"/>
          </w:tcPr>
          <w:p w14:paraId="5999BE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450" w:type="dxa"/>
          </w:tcPr>
          <w:p w14:paraId="7A343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40AF6A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2250" w:type="dxa"/>
          </w:tcPr>
          <w:p w14:paraId="24895E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25, п/я 78</w:t>
            </w:r>
          </w:p>
        </w:tc>
        <w:tc>
          <w:tcPr>
            <w:tcW w:w="1710" w:type="dxa"/>
          </w:tcPr>
          <w:p w14:paraId="4501BE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Ст. Безымянка</w:t>
            </w:r>
          </w:p>
        </w:tc>
        <w:tc>
          <w:tcPr>
            <w:tcW w:w="2880" w:type="dxa"/>
          </w:tcPr>
          <w:p w14:paraId="6F059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455</w:t>
            </w:r>
          </w:p>
        </w:tc>
      </w:tr>
      <w:tr w:rsidR="006F4095" w:rsidRPr="008127F8" w14:paraId="44BAC051" w14:textId="77777777">
        <w:tc>
          <w:tcPr>
            <w:tcW w:w="468" w:type="dxa"/>
          </w:tcPr>
          <w:p w14:paraId="260CEF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450" w:type="dxa"/>
          </w:tcPr>
          <w:p w14:paraId="594513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4A1077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219</w:t>
            </w:r>
          </w:p>
        </w:tc>
        <w:tc>
          <w:tcPr>
            <w:tcW w:w="2250" w:type="dxa"/>
          </w:tcPr>
          <w:p w14:paraId="74D427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Иосква, Гл. Почтамт, п/я 845</w:t>
            </w:r>
          </w:p>
        </w:tc>
        <w:tc>
          <w:tcPr>
            <w:tcW w:w="1710" w:type="dxa"/>
          </w:tcPr>
          <w:p w14:paraId="09FADE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Балашиха, МО</w:t>
            </w:r>
          </w:p>
        </w:tc>
        <w:tc>
          <w:tcPr>
            <w:tcW w:w="2880" w:type="dxa"/>
          </w:tcPr>
          <w:p w14:paraId="78392E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65D218" w14:textId="77777777">
        <w:tc>
          <w:tcPr>
            <w:tcW w:w="468" w:type="dxa"/>
          </w:tcPr>
          <w:p w14:paraId="4B70C4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450" w:type="dxa"/>
          </w:tcPr>
          <w:p w14:paraId="40221F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781E69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c>
          <w:tcPr>
            <w:tcW w:w="2250" w:type="dxa"/>
          </w:tcPr>
          <w:p w14:paraId="41B6E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Березовск, Свердловской обл., п/я 31</w:t>
            </w:r>
          </w:p>
        </w:tc>
        <w:tc>
          <w:tcPr>
            <w:tcW w:w="1710" w:type="dxa"/>
          </w:tcPr>
          <w:p w14:paraId="1FD295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Березовск</w:t>
            </w:r>
          </w:p>
        </w:tc>
        <w:tc>
          <w:tcPr>
            <w:tcW w:w="2880" w:type="dxa"/>
          </w:tcPr>
          <w:p w14:paraId="6CB128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51EF2858" w14:textId="77777777">
        <w:tc>
          <w:tcPr>
            <w:tcW w:w="468" w:type="dxa"/>
          </w:tcPr>
          <w:p w14:paraId="5439D4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450" w:type="dxa"/>
          </w:tcPr>
          <w:p w14:paraId="49ACA1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7EBB04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2250" w:type="dxa"/>
          </w:tcPr>
          <w:p w14:paraId="67A8C4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Челябинской обл., п/я 30</w:t>
            </w:r>
          </w:p>
        </w:tc>
        <w:tc>
          <w:tcPr>
            <w:tcW w:w="1710" w:type="dxa"/>
          </w:tcPr>
          <w:p w14:paraId="50870A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w:t>
            </w:r>
          </w:p>
        </w:tc>
        <w:tc>
          <w:tcPr>
            <w:tcW w:w="2880" w:type="dxa"/>
          </w:tcPr>
          <w:p w14:paraId="67B97C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14C4963" w14:textId="77777777">
        <w:tc>
          <w:tcPr>
            <w:tcW w:w="468" w:type="dxa"/>
          </w:tcPr>
          <w:p w14:paraId="5EEB9B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450" w:type="dxa"/>
          </w:tcPr>
          <w:p w14:paraId="0FB853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2D5C37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2250" w:type="dxa"/>
          </w:tcPr>
          <w:p w14:paraId="45C236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22, п/я 82</w:t>
            </w:r>
          </w:p>
        </w:tc>
        <w:tc>
          <w:tcPr>
            <w:tcW w:w="1710" w:type="dxa"/>
          </w:tcPr>
          <w:p w14:paraId="46BD28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Ст. Безымянка</w:t>
            </w:r>
          </w:p>
        </w:tc>
        <w:tc>
          <w:tcPr>
            <w:tcW w:w="2880" w:type="dxa"/>
          </w:tcPr>
          <w:p w14:paraId="61BFAC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Киева на площадку б мастерских артели Ход</w:t>
            </w:r>
          </w:p>
        </w:tc>
      </w:tr>
      <w:tr w:rsidR="006F4095" w:rsidRPr="008127F8" w14:paraId="330C4513" w14:textId="77777777">
        <w:tc>
          <w:tcPr>
            <w:tcW w:w="468" w:type="dxa"/>
          </w:tcPr>
          <w:p w14:paraId="36A827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450" w:type="dxa"/>
          </w:tcPr>
          <w:p w14:paraId="6BFEEB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2D9E78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469</w:t>
            </w:r>
          </w:p>
        </w:tc>
        <w:tc>
          <w:tcPr>
            <w:tcW w:w="2250" w:type="dxa"/>
          </w:tcPr>
          <w:p w14:paraId="33716F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 53, п/я 397</w:t>
            </w:r>
          </w:p>
        </w:tc>
        <w:tc>
          <w:tcPr>
            <w:tcW w:w="1710" w:type="dxa"/>
          </w:tcPr>
          <w:p w14:paraId="21D36D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2880" w:type="dxa"/>
          </w:tcPr>
          <w:p w14:paraId="470C04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Солнечногорска, МО на площадку б. Стр-ва з-да № 285</w:t>
            </w:r>
          </w:p>
        </w:tc>
      </w:tr>
      <w:tr w:rsidR="006F4095" w:rsidRPr="008127F8" w14:paraId="16CE0A87" w14:textId="77777777">
        <w:tc>
          <w:tcPr>
            <w:tcW w:w="468" w:type="dxa"/>
          </w:tcPr>
          <w:p w14:paraId="78C2AF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450" w:type="dxa"/>
          </w:tcPr>
          <w:p w14:paraId="5FCE44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073500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472</w:t>
            </w:r>
          </w:p>
        </w:tc>
        <w:tc>
          <w:tcPr>
            <w:tcW w:w="2250" w:type="dxa"/>
          </w:tcPr>
          <w:p w14:paraId="177206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Кузнецк, Пензенской обл., п/я 18</w:t>
            </w:r>
          </w:p>
        </w:tc>
        <w:tc>
          <w:tcPr>
            <w:tcW w:w="1710" w:type="dxa"/>
          </w:tcPr>
          <w:p w14:paraId="0C7F8E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Кузнецк</w:t>
            </w:r>
          </w:p>
        </w:tc>
        <w:tc>
          <w:tcPr>
            <w:tcW w:w="2880" w:type="dxa"/>
          </w:tcPr>
          <w:p w14:paraId="14803D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Болшево МО</w:t>
            </w:r>
          </w:p>
        </w:tc>
      </w:tr>
      <w:tr w:rsidR="006F4095" w:rsidRPr="008127F8" w14:paraId="40BB7E7E" w14:textId="77777777">
        <w:tc>
          <w:tcPr>
            <w:tcW w:w="468" w:type="dxa"/>
          </w:tcPr>
          <w:p w14:paraId="7976A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450" w:type="dxa"/>
          </w:tcPr>
          <w:p w14:paraId="583386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4BB0D1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481</w:t>
            </w:r>
          </w:p>
        </w:tc>
        <w:tc>
          <w:tcPr>
            <w:tcW w:w="2250" w:type="dxa"/>
          </w:tcPr>
          <w:p w14:paraId="595107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 Куйбышевской обл., п/я 486</w:t>
            </w:r>
          </w:p>
        </w:tc>
        <w:tc>
          <w:tcPr>
            <w:tcW w:w="1710" w:type="dxa"/>
          </w:tcPr>
          <w:p w14:paraId="149BF4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w:t>
            </w:r>
          </w:p>
        </w:tc>
        <w:tc>
          <w:tcPr>
            <w:tcW w:w="2880" w:type="dxa"/>
          </w:tcPr>
          <w:p w14:paraId="3DFA27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Днепропетровска на площадку б з-да 164</w:t>
            </w:r>
          </w:p>
        </w:tc>
      </w:tr>
      <w:tr w:rsidR="006F4095" w:rsidRPr="008127F8" w14:paraId="2E1D2DDE" w14:textId="77777777">
        <w:tc>
          <w:tcPr>
            <w:tcW w:w="468" w:type="dxa"/>
          </w:tcPr>
          <w:p w14:paraId="73F084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450" w:type="dxa"/>
          </w:tcPr>
          <w:p w14:paraId="6D1390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22AB88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c>
          <w:tcPr>
            <w:tcW w:w="2250" w:type="dxa"/>
          </w:tcPr>
          <w:p w14:paraId="2993E3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15, п/я 3915</w:t>
            </w:r>
          </w:p>
        </w:tc>
        <w:tc>
          <w:tcPr>
            <w:tcW w:w="1710" w:type="dxa"/>
          </w:tcPr>
          <w:p w14:paraId="297CB5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3043A4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34E802" w14:textId="77777777">
        <w:tc>
          <w:tcPr>
            <w:tcW w:w="468" w:type="dxa"/>
          </w:tcPr>
          <w:p w14:paraId="30755A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450" w:type="dxa"/>
          </w:tcPr>
          <w:p w14:paraId="2125F9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48EAD1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w:t>
            </w:r>
          </w:p>
        </w:tc>
        <w:tc>
          <w:tcPr>
            <w:tcW w:w="2250" w:type="dxa"/>
          </w:tcPr>
          <w:p w14:paraId="7360EB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40, п/я 2408</w:t>
            </w:r>
          </w:p>
        </w:tc>
        <w:tc>
          <w:tcPr>
            <w:tcW w:w="1710" w:type="dxa"/>
          </w:tcPr>
          <w:p w14:paraId="682B19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586D03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Организованы на площадке эвакуированного з-да 34</w:t>
            </w:r>
          </w:p>
        </w:tc>
      </w:tr>
      <w:tr w:rsidR="006F4095" w:rsidRPr="008127F8" w14:paraId="295F73CC" w14:textId="77777777">
        <w:tc>
          <w:tcPr>
            <w:tcW w:w="468" w:type="dxa"/>
          </w:tcPr>
          <w:p w14:paraId="2DB595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450" w:type="dxa"/>
          </w:tcPr>
          <w:p w14:paraId="2A24FF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687905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2250" w:type="dxa"/>
          </w:tcPr>
          <w:p w14:paraId="05D5B4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36, п/я 735</w:t>
            </w:r>
          </w:p>
        </w:tc>
        <w:tc>
          <w:tcPr>
            <w:tcW w:w="1710" w:type="dxa"/>
          </w:tcPr>
          <w:p w14:paraId="728055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406623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 на площадку б з-да 27</w:t>
            </w:r>
          </w:p>
        </w:tc>
      </w:tr>
      <w:tr w:rsidR="006F4095" w:rsidRPr="008127F8" w14:paraId="3BFCAD7F" w14:textId="77777777">
        <w:tc>
          <w:tcPr>
            <w:tcW w:w="468" w:type="dxa"/>
          </w:tcPr>
          <w:p w14:paraId="4DEA30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450" w:type="dxa"/>
          </w:tcPr>
          <w:p w14:paraId="2C5E09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2EA6F5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2250" w:type="dxa"/>
          </w:tcPr>
          <w:p w14:paraId="5631FC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Молотовская обл., п/я 211</w:t>
            </w:r>
          </w:p>
        </w:tc>
        <w:tc>
          <w:tcPr>
            <w:tcW w:w="1710" w:type="dxa"/>
          </w:tcPr>
          <w:p w14:paraId="56AF46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2880" w:type="dxa"/>
          </w:tcPr>
          <w:p w14:paraId="1D2BFF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AC7841" w14:textId="77777777">
        <w:tc>
          <w:tcPr>
            <w:tcW w:w="468" w:type="dxa"/>
          </w:tcPr>
          <w:p w14:paraId="6798C1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450" w:type="dxa"/>
          </w:tcPr>
          <w:p w14:paraId="6A46CF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398453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2250" w:type="dxa"/>
          </w:tcPr>
          <w:p w14:paraId="2485C4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Куйбышевская обл., п/я 32</w:t>
            </w:r>
          </w:p>
        </w:tc>
        <w:tc>
          <w:tcPr>
            <w:tcW w:w="1710" w:type="dxa"/>
          </w:tcPr>
          <w:p w14:paraId="3AC993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6223A6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337</w:t>
            </w:r>
          </w:p>
        </w:tc>
      </w:tr>
      <w:tr w:rsidR="006F4095" w:rsidRPr="008127F8" w14:paraId="439080B7" w14:textId="77777777">
        <w:tc>
          <w:tcPr>
            <w:tcW w:w="468" w:type="dxa"/>
          </w:tcPr>
          <w:p w14:paraId="4F8E1B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450" w:type="dxa"/>
          </w:tcPr>
          <w:p w14:paraId="19B449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34825A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2250" w:type="dxa"/>
          </w:tcPr>
          <w:p w14:paraId="07D9E1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 п/я 119</w:t>
            </w:r>
          </w:p>
        </w:tc>
        <w:tc>
          <w:tcPr>
            <w:tcW w:w="1710" w:type="dxa"/>
          </w:tcPr>
          <w:p w14:paraId="4CBCBB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880" w:type="dxa"/>
          </w:tcPr>
          <w:p w14:paraId="7F6E3F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Рыбинска на площадку б з-да 384</w:t>
            </w:r>
          </w:p>
        </w:tc>
      </w:tr>
      <w:tr w:rsidR="006F4095" w:rsidRPr="008127F8" w14:paraId="19391A07" w14:textId="77777777">
        <w:tc>
          <w:tcPr>
            <w:tcW w:w="468" w:type="dxa"/>
          </w:tcPr>
          <w:p w14:paraId="19A6CF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450" w:type="dxa"/>
          </w:tcPr>
          <w:p w14:paraId="2F82F8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4E93BF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2250" w:type="dxa"/>
          </w:tcPr>
          <w:p w14:paraId="151D45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 10, п/я 7</w:t>
            </w:r>
          </w:p>
        </w:tc>
        <w:tc>
          <w:tcPr>
            <w:tcW w:w="1710" w:type="dxa"/>
          </w:tcPr>
          <w:p w14:paraId="1EF2E4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880" w:type="dxa"/>
          </w:tcPr>
          <w:p w14:paraId="67433A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Запорожья</w:t>
            </w:r>
          </w:p>
        </w:tc>
      </w:tr>
      <w:tr w:rsidR="006F4095" w:rsidRPr="008127F8" w14:paraId="531BC389" w14:textId="77777777">
        <w:tc>
          <w:tcPr>
            <w:tcW w:w="468" w:type="dxa"/>
          </w:tcPr>
          <w:p w14:paraId="3EA836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450" w:type="dxa"/>
          </w:tcPr>
          <w:p w14:paraId="563794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2D3A17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2250" w:type="dxa"/>
          </w:tcPr>
          <w:p w14:paraId="28A6F9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Андижан, УССР</w:t>
            </w:r>
          </w:p>
        </w:tc>
        <w:tc>
          <w:tcPr>
            <w:tcW w:w="1710" w:type="dxa"/>
          </w:tcPr>
          <w:p w14:paraId="28B51B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Андижан</w:t>
            </w:r>
          </w:p>
        </w:tc>
        <w:tc>
          <w:tcPr>
            <w:tcW w:w="2880" w:type="dxa"/>
          </w:tcPr>
          <w:p w14:paraId="46F8D5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w:t>
            </w:r>
          </w:p>
        </w:tc>
      </w:tr>
      <w:tr w:rsidR="006F4095" w:rsidRPr="008127F8" w14:paraId="78E906C6" w14:textId="77777777">
        <w:tc>
          <w:tcPr>
            <w:tcW w:w="468" w:type="dxa"/>
          </w:tcPr>
          <w:p w14:paraId="6B2953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450" w:type="dxa"/>
          </w:tcPr>
          <w:p w14:paraId="2B729C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66D940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w:t>
            </w:r>
          </w:p>
        </w:tc>
        <w:tc>
          <w:tcPr>
            <w:tcW w:w="2250" w:type="dxa"/>
          </w:tcPr>
          <w:p w14:paraId="37815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118, п/я 299</w:t>
            </w:r>
          </w:p>
        </w:tc>
        <w:tc>
          <w:tcPr>
            <w:tcW w:w="1710" w:type="dxa"/>
          </w:tcPr>
          <w:p w14:paraId="792F78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2D217D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з-да № 24</w:t>
            </w:r>
          </w:p>
        </w:tc>
      </w:tr>
      <w:tr w:rsidR="006F4095" w:rsidRPr="008127F8" w14:paraId="63649763" w14:textId="77777777">
        <w:tc>
          <w:tcPr>
            <w:tcW w:w="468" w:type="dxa"/>
          </w:tcPr>
          <w:p w14:paraId="1EB5C8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450" w:type="dxa"/>
          </w:tcPr>
          <w:p w14:paraId="3EE05A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3FF54A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2250" w:type="dxa"/>
          </w:tcPr>
          <w:p w14:paraId="4042E2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 п/я 395</w:t>
            </w:r>
          </w:p>
        </w:tc>
        <w:tc>
          <w:tcPr>
            <w:tcW w:w="1710" w:type="dxa"/>
          </w:tcPr>
          <w:p w14:paraId="6103AD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2880" w:type="dxa"/>
          </w:tcPr>
          <w:p w14:paraId="6532A8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стр-ва з-да № 493</w:t>
            </w:r>
          </w:p>
        </w:tc>
      </w:tr>
      <w:tr w:rsidR="006F4095" w:rsidRPr="008127F8" w14:paraId="1FB39D98" w14:textId="77777777">
        <w:tc>
          <w:tcPr>
            <w:tcW w:w="468" w:type="dxa"/>
          </w:tcPr>
          <w:p w14:paraId="2510AD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450" w:type="dxa"/>
          </w:tcPr>
          <w:p w14:paraId="0BD9D6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3F10B8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2250" w:type="dxa"/>
          </w:tcPr>
          <w:p w14:paraId="7F739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 п/я 147</w:t>
            </w:r>
          </w:p>
        </w:tc>
        <w:tc>
          <w:tcPr>
            <w:tcW w:w="1710" w:type="dxa"/>
          </w:tcPr>
          <w:p w14:paraId="11B32F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222C7C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б. З-да 150, эвакуированного из Ступино, МО</w:t>
            </w:r>
          </w:p>
        </w:tc>
      </w:tr>
      <w:tr w:rsidR="006F4095" w:rsidRPr="008127F8" w14:paraId="58D49C1A" w14:textId="77777777">
        <w:tc>
          <w:tcPr>
            <w:tcW w:w="468" w:type="dxa"/>
          </w:tcPr>
          <w:p w14:paraId="48B19E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450" w:type="dxa"/>
          </w:tcPr>
          <w:p w14:paraId="6120E6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464246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w:t>
            </w:r>
          </w:p>
        </w:tc>
        <w:tc>
          <w:tcPr>
            <w:tcW w:w="2250" w:type="dxa"/>
          </w:tcPr>
          <w:p w14:paraId="778EA7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Павлово на Оке, 2, п/я 50</w:t>
            </w:r>
          </w:p>
        </w:tc>
        <w:tc>
          <w:tcPr>
            <w:tcW w:w="1710" w:type="dxa"/>
          </w:tcPr>
          <w:p w14:paraId="36AC4D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Павлово на Оке</w:t>
            </w:r>
          </w:p>
        </w:tc>
        <w:tc>
          <w:tcPr>
            <w:tcW w:w="2880" w:type="dxa"/>
          </w:tcPr>
          <w:p w14:paraId="0B33AF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F27B76" w14:textId="77777777">
        <w:tc>
          <w:tcPr>
            <w:tcW w:w="468" w:type="dxa"/>
          </w:tcPr>
          <w:p w14:paraId="6F757F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450" w:type="dxa"/>
          </w:tcPr>
          <w:p w14:paraId="099E3E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16DBB5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2250" w:type="dxa"/>
          </w:tcPr>
          <w:p w14:paraId="05BFB1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22, п/я 2263</w:t>
            </w:r>
          </w:p>
        </w:tc>
        <w:tc>
          <w:tcPr>
            <w:tcW w:w="1710" w:type="dxa"/>
          </w:tcPr>
          <w:p w14:paraId="261B0C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76B968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з-да 28</w:t>
            </w:r>
          </w:p>
        </w:tc>
      </w:tr>
      <w:tr w:rsidR="006F4095" w:rsidRPr="008127F8" w14:paraId="5A5C7701" w14:textId="77777777">
        <w:tc>
          <w:tcPr>
            <w:tcW w:w="468" w:type="dxa"/>
          </w:tcPr>
          <w:p w14:paraId="0E772F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450" w:type="dxa"/>
          </w:tcPr>
          <w:p w14:paraId="0D537B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56B2EF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2250" w:type="dxa"/>
          </w:tcPr>
          <w:p w14:paraId="29A162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 п/я 38</w:t>
            </w:r>
          </w:p>
        </w:tc>
        <w:tc>
          <w:tcPr>
            <w:tcW w:w="1710" w:type="dxa"/>
          </w:tcPr>
          <w:p w14:paraId="2F5105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880" w:type="dxa"/>
          </w:tcPr>
          <w:p w14:paraId="525322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495</w:t>
            </w:r>
          </w:p>
        </w:tc>
      </w:tr>
      <w:tr w:rsidR="006F4095" w:rsidRPr="008127F8" w14:paraId="58E0D882" w14:textId="77777777">
        <w:tc>
          <w:tcPr>
            <w:tcW w:w="468" w:type="dxa"/>
          </w:tcPr>
          <w:p w14:paraId="284E3F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450" w:type="dxa"/>
          </w:tcPr>
          <w:p w14:paraId="5CDA64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415658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2250" w:type="dxa"/>
          </w:tcPr>
          <w:p w14:paraId="289D9E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Удбяновск, п/я 61</w:t>
            </w:r>
          </w:p>
        </w:tc>
        <w:tc>
          <w:tcPr>
            <w:tcW w:w="1710" w:type="dxa"/>
          </w:tcPr>
          <w:p w14:paraId="41D126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2880" w:type="dxa"/>
          </w:tcPr>
          <w:p w14:paraId="0FC6CE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стр-ва з-да № 283</w:t>
            </w:r>
          </w:p>
        </w:tc>
      </w:tr>
      <w:tr w:rsidR="006F4095" w:rsidRPr="008127F8" w14:paraId="3E3D893A" w14:textId="77777777">
        <w:tc>
          <w:tcPr>
            <w:tcW w:w="468" w:type="dxa"/>
          </w:tcPr>
          <w:p w14:paraId="44DEE1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450" w:type="dxa"/>
          </w:tcPr>
          <w:p w14:paraId="358173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423572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2250" w:type="dxa"/>
          </w:tcPr>
          <w:p w14:paraId="176D5C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Молотовская обл. п/я 3</w:t>
            </w:r>
          </w:p>
        </w:tc>
        <w:tc>
          <w:tcPr>
            <w:tcW w:w="1710" w:type="dxa"/>
          </w:tcPr>
          <w:p w14:paraId="598213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2880" w:type="dxa"/>
          </w:tcPr>
          <w:p w14:paraId="6E39E6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339</w:t>
            </w:r>
          </w:p>
        </w:tc>
      </w:tr>
      <w:tr w:rsidR="006F4095" w:rsidRPr="008127F8" w14:paraId="41650DE7" w14:textId="77777777">
        <w:tc>
          <w:tcPr>
            <w:tcW w:w="468" w:type="dxa"/>
          </w:tcPr>
          <w:p w14:paraId="59C653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450" w:type="dxa"/>
          </w:tcPr>
          <w:p w14:paraId="2889E8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4DACD2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w:t>
            </w:r>
          </w:p>
        </w:tc>
        <w:tc>
          <w:tcPr>
            <w:tcW w:w="2250" w:type="dxa"/>
          </w:tcPr>
          <w:p w14:paraId="7A061D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Сим, Челябинской обл., Инженерный р-н</w:t>
            </w:r>
          </w:p>
        </w:tc>
        <w:tc>
          <w:tcPr>
            <w:tcW w:w="1710" w:type="dxa"/>
          </w:tcPr>
          <w:p w14:paraId="57AE0A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Сим</w:t>
            </w:r>
          </w:p>
        </w:tc>
        <w:tc>
          <w:tcPr>
            <w:tcW w:w="2880" w:type="dxa"/>
          </w:tcPr>
          <w:p w14:paraId="4AC6A2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444</w:t>
            </w:r>
          </w:p>
        </w:tc>
      </w:tr>
      <w:tr w:rsidR="006F4095" w:rsidRPr="008127F8" w14:paraId="5E26E23B" w14:textId="77777777">
        <w:tc>
          <w:tcPr>
            <w:tcW w:w="468" w:type="dxa"/>
          </w:tcPr>
          <w:p w14:paraId="5CD32C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450" w:type="dxa"/>
          </w:tcPr>
          <w:p w14:paraId="2C5B9B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516F11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161</w:t>
            </w:r>
          </w:p>
        </w:tc>
        <w:tc>
          <w:tcPr>
            <w:tcW w:w="2250" w:type="dxa"/>
          </w:tcPr>
          <w:p w14:paraId="2D009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 п/я 81</w:t>
            </w:r>
          </w:p>
        </w:tc>
        <w:tc>
          <w:tcPr>
            <w:tcW w:w="1710" w:type="dxa"/>
          </w:tcPr>
          <w:p w14:paraId="0A2C5F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880" w:type="dxa"/>
          </w:tcPr>
          <w:p w14:paraId="635F68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Аремз</w:t>
            </w:r>
          </w:p>
        </w:tc>
      </w:tr>
      <w:tr w:rsidR="006F4095" w:rsidRPr="008127F8" w14:paraId="4C4C283B" w14:textId="77777777">
        <w:tc>
          <w:tcPr>
            <w:tcW w:w="468" w:type="dxa"/>
          </w:tcPr>
          <w:p w14:paraId="14C1D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450" w:type="dxa"/>
          </w:tcPr>
          <w:p w14:paraId="6C660E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2239FF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266</w:t>
            </w:r>
          </w:p>
        </w:tc>
        <w:tc>
          <w:tcPr>
            <w:tcW w:w="2250" w:type="dxa"/>
          </w:tcPr>
          <w:p w14:paraId="261846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Кировская обл., п/я 283</w:t>
            </w:r>
          </w:p>
        </w:tc>
        <w:tc>
          <w:tcPr>
            <w:tcW w:w="1710" w:type="dxa"/>
          </w:tcPr>
          <w:p w14:paraId="0C443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2880" w:type="dxa"/>
          </w:tcPr>
          <w:p w14:paraId="304B1A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461</w:t>
            </w:r>
          </w:p>
        </w:tc>
      </w:tr>
      <w:tr w:rsidR="006F4095" w:rsidRPr="008127F8" w14:paraId="3D5CA701" w14:textId="77777777">
        <w:tc>
          <w:tcPr>
            <w:tcW w:w="468" w:type="dxa"/>
          </w:tcPr>
          <w:p w14:paraId="20B04C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w:t>
            </w:r>
          </w:p>
        </w:tc>
        <w:tc>
          <w:tcPr>
            <w:tcW w:w="450" w:type="dxa"/>
          </w:tcPr>
          <w:p w14:paraId="266663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41046F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w:t>
            </w:r>
          </w:p>
        </w:tc>
        <w:tc>
          <w:tcPr>
            <w:tcW w:w="2250" w:type="dxa"/>
          </w:tcPr>
          <w:p w14:paraId="622DFD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Бердск, Новосибирской обл., п/я 711</w:t>
            </w:r>
          </w:p>
        </w:tc>
        <w:tc>
          <w:tcPr>
            <w:tcW w:w="1710" w:type="dxa"/>
          </w:tcPr>
          <w:p w14:paraId="19523B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Бердск</w:t>
            </w:r>
          </w:p>
        </w:tc>
        <w:tc>
          <w:tcPr>
            <w:tcW w:w="2880" w:type="dxa"/>
          </w:tcPr>
          <w:p w14:paraId="02CE3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Харькова на площадку б складов ГУГМР</w:t>
            </w:r>
          </w:p>
        </w:tc>
      </w:tr>
      <w:tr w:rsidR="006F4095" w:rsidRPr="008127F8" w14:paraId="6D3DEC12" w14:textId="77777777">
        <w:tc>
          <w:tcPr>
            <w:tcW w:w="468" w:type="dxa"/>
          </w:tcPr>
          <w:p w14:paraId="267FB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w:t>
            </w:r>
          </w:p>
        </w:tc>
        <w:tc>
          <w:tcPr>
            <w:tcW w:w="450" w:type="dxa"/>
          </w:tcPr>
          <w:p w14:paraId="0BFA25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167D9B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306</w:t>
            </w:r>
          </w:p>
        </w:tc>
        <w:tc>
          <w:tcPr>
            <w:tcW w:w="2250" w:type="dxa"/>
          </w:tcPr>
          <w:p w14:paraId="6BD4D4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п/я 105</w:t>
            </w:r>
          </w:p>
        </w:tc>
        <w:tc>
          <w:tcPr>
            <w:tcW w:w="1710" w:type="dxa"/>
          </w:tcPr>
          <w:p w14:paraId="5EEA26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880" w:type="dxa"/>
          </w:tcPr>
          <w:p w14:paraId="57DA50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33A1AE0" w14:textId="77777777">
        <w:tc>
          <w:tcPr>
            <w:tcW w:w="468" w:type="dxa"/>
          </w:tcPr>
          <w:p w14:paraId="7B9657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450" w:type="dxa"/>
          </w:tcPr>
          <w:p w14:paraId="519CA9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021AC4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2250" w:type="dxa"/>
          </w:tcPr>
          <w:p w14:paraId="57EABF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п/я 105</w:t>
            </w:r>
          </w:p>
        </w:tc>
        <w:tc>
          <w:tcPr>
            <w:tcW w:w="1710" w:type="dxa"/>
          </w:tcPr>
          <w:p w14:paraId="63BDBA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880" w:type="dxa"/>
          </w:tcPr>
          <w:p w14:paraId="009730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Ржева на площадку б. Мастерских Авиатехникума</w:t>
            </w:r>
          </w:p>
        </w:tc>
      </w:tr>
      <w:tr w:rsidR="006F4095" w:rsidRPr="008127F8" w14:paraId="1371C968" w14:textId="77777777">
        <w:tc>
          <w:tcPr>
            <w:tcW w:w="468" w:type="dxa"/>
          </w:tcPr>
          <w:p w14:paraId="2725CA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450" w:type="dxa"/>
          </w:tcPr>
          <w:p w14:paraId="6FDB84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536B0F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tc>
        <w:tc>
          <w:tcPr>
            <w:tcW w:w="2250" w:type="dxa"/>
          </w:tcPr>
          <w:p w14:paraId="4D3A1C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Энгельс, Саратовской обл., п/я 13</w:t>
            </w:r>
          </w:p>
        </w:tc>
        <w:tc>
          <w:tcPr>
            <w:tcW w:w="1710" w:type="dxa"/>
          </w:tcPr>
          <w:p w14:paraId="497014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Энгельс</w:t>
            </w:r>
          </w:p>
        </w:tc>
        <w:tc>
          <w:tcPr>
            <w:tcW w:w="2880" w:type="dxa"/>
          </w:tcPr>
          <w:p w14:paraId="6BDCDF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мясокомбината</w:t>
            </w:r>
          </w:p>
        </w:tc>
      </w:tr>
      <w:tr w:rsidR="006F4095" w:rsidRPr="008127F8" w14:paraId="64C94AFC" w14:textId="77777777">
        <w:tc>
          <w:tcPr>
            <w:tcW w:w="468" w:type="dxa"/>
          </w:tcPr>
          <w:p w14:paraId="0F484D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w:t>
            </w:r>
          </w:p>
        </w:tc>
        <w:tc>
          <w:tcPr>
            <w:tcW w:w="450" w:type="dxa"/>
          </w:tcPr>
          <w:p w14:paraId="63CC8D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3951C2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2250" w:type="dxa"/>
          </w:tcPr>
          <w:p w14:paraId="108C90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 Главпочтамт, п/я 148</w:t>
            </w:r>
          </w:p>
        </w:tc>
        <w:tc>
          <w:tcPr>
            <w:tcW w:w="1710" w:type="dxa"/>
          </w:tcPr>
          <w:p w14:paraId="7B8EA8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2880" w:type="dxa"/>
          </w:tcPr>
          <w:p w14:paraId="2AD5BD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Клуба Профинтерна</w:t>
            </w:r>
          </w:p>
        </w:tc>
      </w:tr>
      <w:tr w:rsidR="006F4095" w:rsidRPr="008127F8" w14:paraId="49D262E9" w14:textId="77777777">
        <w:tc>
          <w:tcPr>
            <w:tcW w:w="468" w:type="dxa"/>
          </w:tcPr>
          <w:p w14:paraId="194E9B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450" w:type="dxa"/>
          </w:tcPr>
          <w:p w14:paraId="77AFBA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2B84C5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w:t>
            </w:r>
          </w:p>
        </w:tc>
        <w:tc>
          <w:tcPr>
            <w:tcW w:w="2250" w:type="dxa"/>
          </w:tcPr>
          <w:p w14:paraId="1F9D8C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 п/я 518</w:t>
            </w:r>
          </w:p>
        </w:tc>
        <w:tc>
          <w:tcPr>
            <w:tcW w:w="1710" w:type="dxa"/>
          </w:tcPr>
          <w:p w14:paraId="7A269E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880" w:type="dxa"/>
          </w:tcPr>
          <w:p w14:paraId="36AA99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7D5CBD" w14:textId="77777777">
        <w:tc>
          <w:tcPr>
            <w:tcW w:w="468" w:type="dxa"/>
          </w:tcPr>
          <w:p w14:paraId="27295B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450" w:type="dxa"/>
          </w:tcPr>
          <w:p w14:paraId="78AA71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3DDB26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Ф-л з-да 218</w:t>
            </w:r>
          </w:p>
        </w:tc>
        <w:tc>
          <w:tcPr>
            <w:tcW w:w="2250" w:type="dxa"/>
          </w:tcPr>
          <w:p w14:paraId="1B60BC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35, п/я 456</w:t>
            </w:r>
          </w:p>
        </w:tc>
        <w:tc>
          <w:tcPr>
            <w:tcW w:w="1710" w:type="dxa"/>
          </w:tcPr>
          <w:p w14:paraId="692346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094C20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Ф-л эвакуирован из Ленинграда на площадку фабрики Кинопленка</w:t>
            </w:r>
          </w:p>
        </w:tc>
      </w:tr>
      <w:tr w:rsidR="006F4095" w:rsidRPr="008127F8" w14:paraId="2DAACB62" w14:textId="77777777">
        <w:tc>
          <w:tcPr>
            <w:tcW w:w="468" w:type="dxa"/>
          </w:tcPr>
          <w:p w14:paraId="0C5B88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450" w:type="dxa"/>
          </w:tcPr>
          <w:p w14:paraId="2E8954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656C70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w:t>
            </w:r>
          </w:p>
        </w:tc>
        <w:tc>
          <w:tcPr>
            <w:tcW w:w="2250" w:type="dxa"/>
          </w:tcPr>
          <w:p w14:paraId="0C378A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Молотовская обл., п/я 245</w:t>
            </w:r>
          </w:p>
        </w:tc>
        <w:tc>
          <w:tcPr>
            <w:tcW w:w="1710" w:type="dxa"/>
          </w:tcPr>
          <w:p w14:paraId="49C197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2880" w:type="dxa"/>
          </w:tcPr>
          <w:p w14:paraId="22DDAF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Авиатехникума</w:t>
            </w:r>
          </w:p>
        </w:tc>
      </w:tr>
      <w:tr w:rsidR="006F4095" w:rsidRPr="008127F8" w14:paraId="1A394BD8" w14:textId="77777777">
        <w:tc>
          <w:tcPr>
            <w:tcW w:w="468" w:type="dxa"/>
          </w:tcPr>
          <w:p w14:paraId="0C4948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66</w:t>
            </w:r>
          </w:p>
        </w:tc>
        <w:tc>
          <w:tcPr>
            <w:tcW w:w="450" w:type="dxa"/>
          </w:tcPr>
          <w:p w14:paraId="726FC8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456F44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w:t>
            </w:r>
          </w:p>
        </w:tc>
        <w:tc>
          <w:tcPr>
            <w:tcW w:w="2250" w:type="dxa"/>
          </w:tcPr>
          <w:p w14:paraId="58A33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40, п/я 466</w:t>
            </w:r>
          </w:p>
        </w:tc>
        <w:tc>
          <w:tcPr>
            <w:tcW w:w="1710" w:type="dxa"/>
          </w:tcPr>
          <w:p w14:paraId="099481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212818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Ликероводочного з-да</w:t>
            </w:r>
          </w:p>
        </w:tc>
      </w:tr>
      <w:tr w:rsidR="006F4095" w:rsidRPr="008127F8" w14:paraId="4A77810C" w14:textId="77777777">
        <w:tc>
          <w:tcPr>
            <w:tcW w:w="468" w:type="dxa"/>
          </w:tcPr>
          <w:p w14:paraId="231F59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450" w:type="dxa"/>
          </w:tcPr>
          <w:p w14:paraId="04B317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658A18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2250" w:type="dxa"/>
          </w:tcPr>
          <w:p w14:paraId="7DDFF7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43, п/я 490</w:t>
            </w:r>
          </w:p>
        </w:tc>
        <w:tc>
          <w:tcPr>
            <w:tcW w:w="1710" w:type="dxa"/>
          </w:tcPr>
          <w:p w14:paraId="1414FB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0404E2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Ветеринарного инт-та</w:t>
            </w:r>
          </w:p>
        </w:tc>
      </w:tr>
      <w:tr w:rsidR="006F4095" w:rsidRPr="008127F8" w14:paraId="44D6C397" w14:textId="77777777">
        <w:tc>
          <w:tcPr>
            <w:tcW w:w="468" w:type="dxa"/>
          </w:tcPr>
          <w:p w14:paraId="659E90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w:t>
            </w:r>
          </w:p>
        </w:tc>
        <w:tc>
          <w:tcPr>
            <w:tcW w:w="450" w:type="dxa"/>
          </w:tcPr>
          <w:p w14:paraId="0F1BB6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3528D7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w:t>
            </w:r>
          </w:p>
        </w:tc>
        <w:tc>
          <w:tcPr>
            <w:tcW w:w="2250" w:type="dxa"/>
          </w:tcPr>
          <w:p w14:paraId="7ADE67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 11, п/я 579</w:t>
            </w:r>
          </w:p>
        </w:tc>
        <w:tc>
          <w:tcPr>
            <w:tcW w:w="1710" w:type="dxa"/>
          </w:tcPr>
          <w:p w14:paraId="413CB0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880" w:type="dxa"/>
          </w:tcPr>
          <w:p w14:paraId="503964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C655B2" w14:textId="77777777">
        <w:tc>
          <w:tcPr>
            <w:tcW w:w="468" w:type="dxa"/>
          </w:tcPr>
          <w:p w14:paraId="7E1A5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450" w:type="dxa"/>
          </w:tcPr>
          <w:p w14:paraId="530D67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4450B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w:t>
            </w:r>
          </w:p>
        </w:tc>
        <w:tc>
          <w:tcPr>
            <w:tcW w:w="2250" w:type="dxa"/>
          </w:tcPr>
          <w:p w14:paraId="669869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Ижевск, п/я 59</w:t>
            </w:r>
          </w:p>
        </w:tc>
        <w:tc>
          <w:tcPr>
            <w:tcW w:w="1710" w:type="dxa"/>
          </w:tcPr>
          <w:p w14:paraId="001401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Ижевск</w:t>
            </w:r>
          </w:p>
        </w:tc>
        <w:tc>
          <w:tcPr>
            <w:tcW w:w="2880" w:type="dxa"/>
          </w:tcPr>
          <w:p w14:paraId="1A7C4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Раменскаое, МО</w:t>
            </w:r>
          </w:p>
        </w:tc>
      </w:tr>
      <w:tr w:rsidR="006F4095" w:rsidRPr="008127F8" w14:paraId="3BFDC9D3" w14:textId="77777777">
        <w:tc>
          <w:tcPr>
            <w:tcW w:w="468" w:type="dxa"/>
          </w:tcPr>
          <w:p w14:paraId="72D24C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450" w:type="dxa"/>
          </w:tcPr>
          <w:p w14:paraId="08C6D8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4F69CA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w:t>
            </w:r>
          </w:p>
        </w:tc>
        <w:tc>
          <w:tcPr>
            <w:tcW w:w="2250" w:type="dxa"/>
          </w:tcPr>
          <w:p w14:paraId="288A88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 27, п/я 870</w:t>
            </w:r>
          </w:p>
        </w:tc>
        <w:tc>
          <w:tcPr>
            <w:tcW w:w="1710" w:type="dxa"/>
          </w:tcPr>
          <w:p w14:paraId="65B048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2880" w:type="dxa"/>
          </w:tcPr>
          <w:p w14:paraId="36DF9F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из Москвы на площадку </w:t>
            </w:r>
            <w:proofErr w:type="gramStart"/>
            <w:r w:rsidRPr="008127F8">
              <w:rPr>
                <w:rFonts w:ascii="Times New Roman" w:hAnsi="Times New Roman"/>
                <w:color w:val="000000" w:themeColor="text1"/>
                <w:sz w:val="16"/>
                <w:szCs w:val="16"/>
              </w:rPr>
              <w:t>электро-механического</w:t>
            </w:r>
            <w:proofErr w:type="gramEnd"/>
            <w:r w:rsidRPr="008127F8">
              <w:rPr>
                <w:rFonts w:ascii="Times New Roman" w:hAnsi="Times New Roman"/>
                <w:color w:val="000000" w:themeColor="text1"/>
                <w:sz w:val="16"/>
                <w:szCs w:val="16"/>
              </w:rPr>
              <w:t xml:space="preserve"> техникума</w:t>
            </w:r>
          </w:p>
        </w:tc>
      </w:tr>
      <w:tr w:rsidR="006F4095" w:rsidRPr="008127F8" w14:paraId="07A3FF19" w14:textId="77777777">
        <w:tc>
          <w:tcPr>
            <w:tcW w:w="468" w:type="dxa"/>
          </w:tcPr>
          <w:p w14:paraId="123487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450" w:type="dxa"/>
          </w:tcPr>
          <w:p w14:paraId="044EAA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58EE99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ОЗПО</w:t>
            </w:r>
          </w:p>
        </w:tc>
        <w:tc>
          <w:tcPr>
            <w:tcW w:w="2250" w:type="dxa"/>
          </w:tcPr>
          <w:p w14:paraId="5487AB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 Большая Московская, 27</w:t>
            </w:r>
          </w:p>
        </w:tc>
        <w:tc>
          <w:tcPr>
            <w:tcW w:w="1710" w:type="dxa"/>
          </w:tcPr>
          <w:p w14:paraId="73C164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w:t>
            </w:r>
          </w:p>
        </w:tc>
        <w:tc>
          <w:tcPr>
            <w:tcW w:w="2880" w:type="dxa"/>
          </w:tcPr>
          <w:p w14:paraId="5D46FE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142684" w14:textId="77777777">
        <w:tc>
          <w:tcPr>
            <w:tcW w:w="468" w:type="dxa"/>
          </w:tcPr>
          <w:p w14:paraId="397E1E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450" w:type="dxa"/>
          </w:tcPr>
          <w:p w14:paraId="367530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48D0C1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Точизмеритель</w:t>
            </w:r>
          </w:p>
        </w:tc>
        <w:tc>
          <w:tcPr>
            <w:tcW w:w="2250" w:type="dxa"/>
          </w:tcPr>
          <w:p w14:paraId="0B9B88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Мончаж, Красно-Уфимский р-н, Свердловскач обл.</w:t>
            </w:r>
          </w:p>
        </w:tc>
        <w:tc>
          <w:tcPr>
            <w:tcW w:w="1710" w:type="dxa"/>
          </w:tcPr>
          <w:p w14:paraId="68D99A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Мончаж</w:t>
            </w:r>
          </w:p>
        </w:tc>
        <w:tc>
          <w:tcPr>
            <w:tcW w:w="2880" w:type="dxa"/>
          </w:tcPr>
          <w:p w14:paraId="7F0B99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стекольного з-да</w:t>
            </w:r>
          </w:p>
        </w:tc>
      </w:tr>
      <w:tr w:rsidR="006F4095" w:rsidRPr="008127F8" w14:paraId="5769B6CA" w14:textId="77777777">
        <w:tc>
          <w:tcPr>
            <w:tcW w:w="468" w:type="dxa"/>
          </w:tcPr>
          <w:p w14:paraId="4F1682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450" w:type="dxa"/>
          </w:tcPr>
          <w:p w14:paraId="2D9FEF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6BC34E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Ф-л з-да Точизмеритель</w:t>
            </w:r>
          </w:p>
        </w:tc>
        <w:tc>
          <w:tcPr>
            <w:tcW w:w="2250" w:type="dxa"/>
          </w:tcPr>
          <w:p w14:paraId="3EAA5F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Нижне-Сыромятниковская ул., 11</w:t>
            </w:r>
          </w:p>
        </w:tc>
        <w:tc>
          <w:tcPr>
            <w:tcW w:w="1710" w:type="dxa"/>
          </w:tcPr>
          <w:p w14:paraId="292091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61821B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з-да Точизмеритель</w:t>
            </w:r>
          </w:p>
        </w:tc>
      </w:tr>
      <w:tr w:rsidR="006F4095" w:rsidRPr="008127F8" w14:paraId="4778A70C" w14:textId="77777777">
        <w:tc>
          <w:tcPr>
            <w:tcW w:w="468" w:type="dxa"/>
          </w:tcPr>
          <w:p w14:paraId="0D9647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450" w:type="dxa"/>
          </w:tcPr>
          <w:p w14:paraId="593014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248CE3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НИИ-12</w:t>
            </w:r>
          </w:p>
        </w:tc>
        <w:tc>
          <w:tcPr>
            <w:tcW w:w="2250" w:type="dxa"/>
          </w:tcPr>
          <w:p w14:paraId="4BF900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1710" w:type="dxa"/>
          </w:tcPr>
          <w:p w14:paraId="2A8C6E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2880" w:type="dxa"/>
          </w:tcPr>
          <w:p w14:paraId="687ABB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часть площадки строительства з-да № 280</w:t>
            </w:r>
          </w:p>
        </w:tc>
      </w:tr>
      <w:tr w:rsidR="006F4095" w:rsidRPr="008127F8" w14:paraId="7673FFF4" w14:textId="77777777">
        <w:tc>
          <w:tcPr>
            <w:tcW w:w="468" w:type="dxa"/>
          </w:tcPr>
          <w:p w14:paraId="7AAD47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450" w:type="dxa"/>
          </w:tcPr>
          <w:p w14:paraId="6489F4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1B80B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Ремонтная мастерская</w:t>
            </w:r>
          </w:p>
        </w:tc>
        <w:tc>
          <w:tcPr>
            <w:tcW w:w="2250" w:type="dxa"/>
          </w:tcPr>
          <w:p w14:paraId="3383CD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Главпочтамп, п/я 643</w:t>
            </w:r>
          </w:p>
        </w:tc>
        <w:tc>
          <w:tcPr>
            <w:tcW w:w="1710" w:type="dxa"/>
          </w:tcPr>
          <w:p w14:paraId="62798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6B60A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Основаны на площадке эвакуированного НИИ-12</w:t>
            </w:r>
          </w:p>
        </w:tc>
      </w:tr>
      <w:tr w:rsidR="006F4095" w:rsidRPr="008127F8" w14:paraId="31EDEBEE" w14:textId="77777777">
        <w:tc>
          <w:tcPr>
            <w:tcW w:w="468" w:type="dxa"/>
          </w:tcPr>
          <w:p w14:paraId="5B2F3B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c>
          <w:tcPr>
            <w:tcW w:w="450" w:type="dxa"/>
          </w:tcPr>
          <w:p w14:paraId="3E1B29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330A45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2250" w:type="dxa"/>
          </w:tcPr>
          <w:p w14:paraId="2C1A3E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Ольховская, 14</w:t>
            </w:r>
          </w:p>
        </w:tc>
        <w:tc>
          <w:tcPr>
            <w:tcW w:w="1710" w:type="dxa"/>
          </w:tcPr>
          <w:p w14:paraId="05E0B6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18B6A5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учебных мастерских Авиатехникума</w:t>
            </w:r>
          </w:p>
        </w:tc>
      </w:tr>
      <w:tr w:rsidR="006F4095" w:rsidRPr="008127F8" w14:paraId="59B5F66E" w14:textId="77777777">
        <w:tc>
          <w:tcPr>
            <w:tcW w:w="468" w:type="dxa"/>
          </w:tcPr>
          <w:p w14:paraId="0F80C9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w:t>
            </w:r>
          </w:p>
        </w:tc>
        <w:tc>
          <w:tcPr>
            <w:tcW w:w="450" w:type="dxa"/>
          </w:tcPr>
          <w:p w14:paraId="5AD13E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28520E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2250" w:type="dxa"/>
          </w:tcPr>
          <w:p w14:paraId="6EFAEF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Бауманский р-н, п/я 116</w:t>
            </w:r>
          </w:p>
        </w:tc>
        <w:tc>
          <w:tcPr>
            <w:tcW w:w="1710" w:type="dxa"/>
          </w:tcPr>
          <w:p w14:paraId="2BC580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52EC98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351E9E" w14:textId="77777777">
        <w:tc>
          <w:tcPr>
            <w:tcW w:w="468" w:type="dxa"/>
          </w:tcPr>
          <w:p w14:paraId="34BBAF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450" w:type="dxa"/>
          </w:tcPr>
          <w:p w14:paraId="1F4C98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587EE7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2250" w:type="dxa"/>
          </w:tcPr>
          <w:p w14:paraId="17955B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Кунцево, п/я 20</w:t>
            </w:r>
          </w:p>
        </w:tc>
        <w:tc>
          <w:tcPr>
            <w:tcW w:w="1710" w:type="dxa"/>
          </w:tcPr>
          <w:p w14:paraId="57DA77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Кунцево, МО</w:t>
            </w:r>
          </w:p>
        </w:tc>
        <w:tc>
          <w:tcPr>
            <w:tcW w:w="2880" w:type="dxa"/>
          </w:tcPr>
          <w:p w14:paraId="732353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з-да № 167</w:t>
            </w:r>
          </w:p>
        </w:tc>
      </w:tr>
      <w:tr w:rsidR="006F4095" w:rsidRPr="008127F8" w14:paraId="3FE1F11E" w14:textId="77777777">
        <w:tc>
          <w:tcPr>
            <w:tcW w:w="468" w:type="dxa"/>
          </w:tcPr>
          <w:p w14:paraId="69E45C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w:t>
            </w:r>
          </w:p>
        </w:tc>
        <w:tc>
          <w:tcPr>
            <w:tcW w:w="450" w:type="dxa"/>
          </w:tcPr>
          <w:p w14:paraId="78C16B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2F4787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2250" w:type="dxa"/>
          </w:tcPr>
          <w:p w14:paraId="661478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Дубининская, 68</w:t>
            </w:r>
          </w:p>
        </w:tc>
        <w:tc>
          <w:tcPr>
            <w:tcW w:w="1710" w:type="dxa"/>
          </w:tcPr>
          <w:p w14:paraId="3A6D2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081C47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площади б мебельной фабрики № 2 НКЛес</w:t>
            </w:r>
          </w:p>
        </w:tc>
      </w:tr>
      <w:tr w:rsidR="006F4095" w:rsidRPr="008127F8" w14:paraId="63C5ED22" w14:textId="77777777">
        <w:tc>
          <w:tcPr>
            <w:tcW w:w="468" w:type="dxa"/>
          </w:tcPr>
          <w:p w14:paraId="59EBD8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450" w:type="dxa"/>
          </w:tcPr>
          <w:p w14:paraId="47EAEB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1A5C52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2250" w:type="dxa"/>
          </w:tcPr>
          <w:p w14:paraId="62C57D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Ольховская, 4</w:t>
            </w:r>
          </w:p>
        </w:tc>
        <w:tc>
          <w:tcPr>
            <w:tcW w:w="1710" w:type="dxa"/>
          </w:tcPr>
          <w:p w14:paraId="4D6935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58377D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площади б мебельной фабрики № 3 НКЛес</w:t>
            </w:r>
          </w:p>
        </w:tc>
      </w:tr>
      <w:tr w:rsidR="006F4095" w:rsidRPr="008127F8" w14:paraId="18A9EFD3" w14:textId="77777777">
        <w:tc>
          <w:tcPr>
            <w:tcW w:w="468" w:type="dxa"/>
          </w:tcPr>
          <w:p w14:paraId="3B272A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450" w:type="dxa"/>
          </w:tcPr>
          <w:p w14:paraId="688853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50E758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383</w:t>
            </w:r>
          </w:p>
        </w:tc>
        <w:tc>
          <w:tcPr>
            <w:tcW w:w="2250" w:type="dxa"/>
          </w:tcPr>
          <w:p w14:paraId="562F1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ш. Энтузиастов, пр-д Энтузиастов, 1</w:t>
            </w:r>
          </w:p>
        </w:tc>
        <w:tc>
          <w:tcPr>
            <w:tcW w:w="1710" w:type="dxa"/>
          </w:tcPr>
          <w:p w14:paraId="68D09C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26013D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341041" w14:textId="77777777">
        <w:tc>
          <w:tcPr>
            <w:tcW w:w="468" w:type="dxa"/>
          </w:tcPr>
          <w:p w14:paraId="4A6230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450" w:type="dxa"/>
          </w:tcPr>
          <w:p w14:paraId="33F1E0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6147C3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w:t>
            </w:r>
          </w:p>
        </w:tc>
        <w:tc>
          <w:tcPr>
            <w:tcW w:w="2250" w:type="dxa"/>
          </w:tcPr>
          <w:p w14:paraId="1934FC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20C674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786ED0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на площади б. Ф-ки № 4 НКЛес</w:t>
            </w:r>
          </w:p>
        </w:tc>
      </w:tr>
      <w:tr w:rsidR="006F4095" w:rsidRPr="008127F8" w14:paraId="020470CA" w14:textId="77777777">
        <w:tc>
          <w:tcPr>
            <w:tcW w:w="468" w:type="dxa"/>
          </w:tcPr>
          <w:p w14:paraId="3E606E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450" w:type="dxa"/>
          </w:tcPr>
          <w:p w14:paraId="147612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10C078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w:t>
            </w:r>
          </w:p>
        </w:tc>
        <w:tc>
          <w:tcPr>
            <w:tcW w:w="2250" w:type="dxa"/>
          </w:tcPr>
          <w:p w14:paraId="42EAB3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Наставнический пер., 3</w:t>
            </w:r>
          </w:p>
        </w:tc>
        <w:tc>
          <w:tcPr>
            <w:tcW w:w="1710" w:type="dxa"/>
          </w:tcPr>
          <w:p w14:paraId="40F5D6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322CF6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 ф-ки № 6 НКЛес</w:t>
            </w:r>
          </w:p>
        </w:tc>
      </w:tr>
      <w:tr w:rsidR="006F4095" w:rsidRPr="008127F8" w14:paraId="6B2B2F20" w14:textId="77777777">
        <w:tc>
          <w:tcPr>
            <w:tcW w:w="468" w:type="dxa"/>
          </w:tcPr>
          <w:p w14:paraId="7F679A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450" w:type="dxa"/>
          </w:tcPr>
          <w:p w14:paraId="44AC49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20974B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2250" w:type="dxa"/>
          </w:tcPr>
          <w:p w14:paraId="67274A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21, п/я 3759</w:t>
            </w:r>
          </w:p>
        </w:tc>
        <w:tc>
          <w:tcPr>
            <w:tcW w:w="1710" w:type="dxa"/>
          </w:tcPr>
          <w:p w14:paraId="695958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23AE27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з-да № 1 Оргавиапрома</w:t>
            </w:r>
          </w:p>
        </w:tc>
      </w:tr>
      <w:tr w:rsidR="006F4095" w:rsidRPr="008127F8" w14:paraId="3AA39269" w14:textId="77777777">
        <w:tc>
          <w:tcPr>
            <w:tcW w:w="468" w:type="dxa"/>
          </w:tcPr>
          <w:p w14:paraId="72BBD7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450" w:type="dxa"/>
          </w:tcPr>
          <w:p w14:paraId="2B382A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24B06A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2250" w:type="dxa"/>
          </w:tcPr>
          <w:p w14:paraId="1EF8D0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171, п/я 2222</w:t>
            </w:r>
          </w:p>
        </w:tc>
        <w:tc>
          <w:tcPr>
            <w:tcW w:w="1710" w:type="dxa"/>
          </w:tcPr>
          <w:p w14:paraId="4A6C48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372C54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з-да № 294</w:t>
            </w:r>
          </w:p>
        </w:tc>
      </w:tr>
      <w:tr w:rsidR="006F4095" w:rsidRPr="008127F8" w14:paraId="01474803" w14:textId="77777777">
        <w:tc>
          <w:tcPr>
            <w:tcW w:w="468" w:type="dxa"/>
          </w:tcPr>
          <w:p w14:paraId="303490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c>
          <w:tcPr>
            <w:tcW w:w="450" w:type="dxa"/>
          </w:tcPr>
          <w:p w14:paraId="6B9D12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03E46A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w:t>
            </w:r>
          </w:p>
        </w:tc>
        <w:tc>
          <w:tcPr>
            <w:tcW w:w="2250" w:type="dxa"/>
          </w:tcPr>
          <w:p w14:paraId="6CC901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 п/я 160</w:t>
            </w:r>
          </w:p>
        </w:tc>
        <w:tc>
          <w:tcPr>
            <w:tcW w:w="1710" w:type="dxa"/>
          </w:tcPr>
          <w:p w14:paraId="765CD8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2880" w:type="dxa"/>
          </w:tcPr>
          <w:p w14:paraId="62F58D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5298FC" w14:textId="77777777">
        <w:tc>
          <w:tcPr>
            <w:tcW w:w="468" w:type="dxa"/>
          </w:tcPr>
          <w:p w14:paraId="26A24B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c>
          <w:tcPr>
            <w:tcW w:w="450" w:type="dxa"/>
          </w:tcPr>
          <w:p w14:paraId="3B3707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492D5F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163</w:t>
            </w:r>
          </w:p>
        </w:tc>
        <w:tc>
          <w:tcPr>
            <w:tcW w:w="2250" w:type="dxa"/>
          </w:tcPr>
          <w:p w14:paraId="6CBD70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Пенза, п/я 200</w:t>
            </w:r>
          </w:p>
        </w:tc>
        <w:tc>
          <w:tcPr>
            <w:tcW w:w="1710" w:type="dxa"/>
          </w:tcPr>
          <w:p w14:paraId="3A875A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Пенза</w:t>
            </w:r>
          </w:p>
        </w:tc>
        <w:tc>
          <w:tcPr>
            <w:tcW w:w="2880" w:type="dxa"/>
          </w:tcPr>
          <w:p w14:paraId="759D58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765E3B4" w14:textId="77777777">
        <w:tc>
          <w:tcPr>
            <w:tcW w:w="468" w:type="dxa"/>
          </w:tcPr>
          <w:p w14:paraId="6BC3C8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450" w:type="dxa"/>
          </w:tcPr>
          <w:p w14:paraId="50FB1E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4CC8B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w:t>
            </w:r>
          </w:p>
        </w:tc>
        <w:tc>
          <w:tcPr>
            <w:tcW w:w="2250" w:type="dxa"/>
          </w:tcPr>
          <w:p w14:paraId="4A3FDC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п/я 176</w:t>
            </w:r>
          </w:p>
        </w:tc>
        <w:tc>
          <w:tcPr>
            <w:tcW w:w="1710" w:type="dxa"/>
          </w:tcPr>
          <w:p w14:paraId="0EEFD7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880" w:type="dxa"/>
          </w:tcPr>
          <w:p w14:paraId="2223E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Кунцево, МО на площадку ф-ла з-да 292</w:t>
            </w:r>
          </w:p>
        </w:tc>
      </w:tr>
      <w:tr w:rsidR="006F4095" w:rsidRPr="008127F8" w14:paraId="17BB4758" w14:textId="77777777">
        <w:tc>
          <w:tcPr>
            <w:tcW w:w="468" w:type="dxa"/>
          </w:tcPr>
          <w:p w14:paraId="7ADD46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tc>
        <w:tc>
          <w:tcPr>
            <w:tcW w:w="450" w:type="dxa"/>
          </w:tcPr>
          <w:p w14:paraId="15DD31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61D278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449</w:t>
            </w:r>
          </w:p>
        </w:tc>
        <w:tc>
          <w:tcPr>
            <w:tcW w:w="2250" w:type="dxa"/>
          </w:tcPr>
          <w:p w14:paraId="62550B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п/я 83</w:t>
            </w:r>
          </w:p>
        </w:tc>
        <w:tc>
          <w:tcPr>
            <w:tcW w:w="1710" w:type="dxa"/>
          </w:tcPr>
          <w:p w14:paraId="73B579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2880" w:type="dxa"/>
          </w:tcPr>
          <w:p w14:paraId="13F777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7E5C80" w14:textId="77777777">
        <w:tc>
          <w:tcPr>
            <w:tcW w:w="468" w:type="dxa"/>
          </w:tcPr>
          <w:p w14:paraId="06ACAE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c>
          <w:tcPr>
            <w:tcW w:w="450" w:type="dxa"/>
          </w:tcPr>
          <w:p w14:paraId="29C13C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752E93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477</w:t>
            </w:r>
          </w:p>
        </w:tc>
        <w:tc>
          <w:tcPr>
            <w:tcW w:w="2250" w:type="dxa"/>
          </w:tcPr>
          <w:p w14:paraId="16E1E5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 з-д им. Побежимова</w:t>
            </w:r>
          </w:p>
        </w:tc>
        <w:tc>
          <w:tcPr>
            <w:tcW w:w="1710" w:type="dxa"/>
          </w:tcPr>
          <w:p w14:paraId="73247B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w:t>
            </w:r>
          </w:p>
        </w:tc>
        <w:tc>
          <w:tcPr>
            <w:tcW w:w="2880" w:type="dxa"/>
          </w:tcPr>
          <w:p w14:paraId="599FE0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Лаптево, Тульской обл. На пл. Б з-да Побежимова ГУСМП</w:t>
            </w:r>
          </w:p>
        </w:tc>
      </w:tr>
      <w:tr w:rsidR="006F4095" w:rsidRPr="008127F8" w14:paraId="0BD9C056" w14:textId="77777777">
        <w:tc>
          <w:tcPr>
            <w:tcW w:w="468" w:type="dxa"/>
          </w:tcPr>
          <w:p w14:paraId="3BAF75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450" w:type="dxa"/>
          </w:tcPr>
          <w:p w14:paraId="552E9D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786AAC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479</w:t>
            </w:r>
          </w:p>
        </w:tc>
        <w:tc>
          <w:tcPr>
            <w:tcW w:w="2250" w:type="dxa"/>
          </w:tcPr>
          <w:p w14:paraId="2F7AEB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Бийск, п/я 102</w:t>
            </w:r>
          </w:p>
        </w:tc>
        <w:tc>
          <w:tcPr>
            <w:tcW w:w="1710" w:type="dxa"/>
          </w:tcPr>
          <w:p w14:paraId="19AA8B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Бийск</w:t>
            </w:r>
          </w:p>
        </w:tc>
        <w:tc>
          <w:tcPr>
            <w:tcW w:w="2880" w:type="dxa"/>
          </w:tcPr>
          <w:p w14:paraId="3EC44D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Серпухова, МО</w:t>
            </w:r>
          </w:p>
        </w:tc>
      </w:tr>
      <w:tr w:rsidR="006F4095" w:rsidRPr="008127F8" w14:paraId="62631C0C" w14:textId="77777777">
        <w:tc>
          <w:tcPr>
            <w:tcW w:w="468" w:type="dxa"/>
          </w:tcPr>
          <w:p w14:paraId="3BB44F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450" w:type="dxa"/>
          </w:tcPr>
          <w:p w14:paraId="0F6A0E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72B2D7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2250" w:type="dxa"/>
          </w:tcPr>
          <w:p w14:paraId="51FA2A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 п/я 1100</w:t>
            </w:r>
          </w:p>
        </w:tc>
        <w:tc>
          <w:tcPr>
            <w:tcW w:w="1710" w:type="dxa"/>
          </w:tcPr>
          <w:p w14:paraId="054694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w:t>
            </w:r>
          </w:p>
        </w:tc>
        <w:tc>
          <w:tcPr>
            <w:tcW w:w="2880" w:type="dxa"/>
          </w:tcPr>
          <w:p w14:paraId="7FB874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11718218" w14:textId="77777777">
        <w:tc>
          <w:tcPr>
            <w:tcW w:w="468" w:type="dxa"/>
          </w:tcPr>
          <w:p w14:paraId="0F37EA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c>
          <w:tcPr>
            <w:tcW w:w="450" w:type="dxa"/>
          </w:tcPr>
          <w:p w14:paraId="6F3695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1C1CEA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w:t>
            </w:r>
          </w:p>
        </w:tc>
        <w:tc>
          <w:tcPr>
            <w:tcW w:w="2250" w:type="dxa"/>
          </w:tcPr>
          <w:p w14:paraId="1C4BF1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Билимбай</w:t>
            </w:r>
          </w:p>
        </w:tc>
        <w:tc>
          <w:tcPr>
            <w:tcW w:w="1710" w:type="dxa"/>
          </w:tcPr>
          <w:p w14:paraId="287040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Билимбай</w:t>
            </w:r>
          </w:p>
        </w:tc>
        <w:tc>
          <w:tcPr>
            <w:tcW w:w="2880" w:type="dxa"/>
          </w:tcPr>
          <w:p w14:paraId="755D25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их Химок, МО</w:t>
            </w:r>
          </w:p>
        </w:tc>
      </w:tr>
      <w:tr w:rsidR="006F4095" w:rsidRPr="008127F8" w14:paraId="3721D532" w14:textId="77777777">
        <w:tc>
          <w:tcPr>
            <w:tcW w:w="468" w:type="dxa"/>
          </w:tcPr>
          <w:p w14:paraId="4A988E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c>
          <w:tcPr>
            <w:tcW w:w="450" w:type="dxa"/>
          </w:tcPr>
          <w:p w14:paraId="59AE6E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13DECF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c>
          <w:tcPr>
            <w:tcW w:w="2250" w:type="dxa"/>
          </w:tcPr>
          <w:p w14:paraId="65C942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Билимбай</w:t>
            </w:r>
          </w:p>
        </w:tc>
        <w:tc>
          <w:tcPr>
            <w:tcW w:w="1710" w:type="dxa"/>
          </w:tcPr>
          <w:p w14:paraId="74F992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Билимбай</w:t>
            </w:r>
          </w:p>
        </w:tc>
        <w:tc>
          <w:tcPr>
            <w:tcW w:w="2880" w:type="dxa"/>
          </w:tcPr>
          <w:p w14:paraId="256F3A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Ухтомская, МО</w:t>
            </w:r>
          </w:p>
        </w:tc>
      </w:tr>
      <w:tr w:rsidR="006F4095" w:rsidRPr="008127F8" w14:paraId="6DE571C9" w14:textId="77777777">
        <w:tc>
          <w:tcPr>
            <w:tcW w:w="468" w:type="dxa"/>
          </w:tcPr>
          <w:p w14:paraId="27FCB8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450" w:type="dxa"/>
          </w:tcPr>
          <w:p w14:paraId="25384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7C1CD2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468</w:t>
            </w:r>
          </w:p>
        </w:tc>
        <w:tc>
          <w:tcPr>
            <w:tcW w:w="2250" w:type="dxa"/>
          </w:tcPr>
          <w:p w14:paraId="78C9CE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Билибай</w:t>
            </w:r>
          </w:p>
        </w:tc>
        <w:tc>
          <w:tcPr>
            <w:tcW w:w="1710" w:type="dxa"/>
          </w:tcPr>
          <w:p w14:paraId="710F2D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Билимбай</w:t>
            </w:r>
          </w:p>
        </w:tc>
        <w:tc>
          <w:tcPr>
            <w:tcW w:w="2880" w:type="dxa"/>
          </w:tcPr>
          <w:p w14:paraId="6E487C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Бескудниково, МО</w:t>
            </w:r>
          </w:p>
        </w:tc>
      </w:tr>
      <w:tr w:rsidR="006F4095" w:rsidRPr="008127F8" w14:paraId="5659F2E5" w14:textId="77777777">
        <w:tc>
          <w:tcPr>
            <w:tcW w:w="468" w:type="dxa"/>
          </w:tcPr>
          <w:p w14:paraId="164B2F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w:t>
            </w:r>
          </w:p>
        </w:tc>
        <w:tc>
          <w:tcPr>
            <w:tcW w:w="450" w:type="dxa"/>
          </w:tcPr>
          <w:p w14:paraId="5D5F53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2D0AC6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w:t>
            </w:r>
          </w:p>
        </w:tc>
        <w:tc>
          <w:tcPr>
            <w:tcW w:w="2250" w:type="dxa"/>
          </w:tcPr>
          <w:p w14:paraId="115F92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Молотовская обл., п/я 271</w:t>
            </w:r>
          </w:p>
        </w:tc>
        <w:tc>
          <w:tcPr>
            <w:tcW w:w="1710" w:type="dxa"/>
          </w:tcPr>
          <w:p w14:paraId="1A8C4F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2880" w:type="dxa"/>
          </w:tcPr>
          <w:p w14:paraId="13C70D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Подлипки. МО</w:t>
            </w:r>
          </w:p>
        </w:tc>
      </w:tr>
      <w:tr w:rsidR="006F4095" w:rsidRPr="008127F8" w14:paraId="4D774195" w14:textId="77777777">
        <w:tc>
          <w:tcPr>
            <w:tcW w:w="468" w:type="dxa"/>
          </w:tcPr>
          <w:p w14:paraId="53C82A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c>
          <w:tcPr>
            <w:tcW w:w="450" w:type="dxa"/>
          </w:tcPr>
          <w:p w14:paraId="410641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27FC9D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288</w:t>
            </w:r>
          </w:p>
        </w:tc>
        <w:tc>
          <w:tcPr>
            <w:tcW w:w="2250" w:type="dxa"/>
          </w:tcPr>
          <w:p w14:paraId="212C3D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710" w:type="dxa"/>
          </w:tcPr>
          <w:p w14:paraId="3950F0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2880" w:type="dxa"/>
          </w:tcPr>
          <w:p w14:paraId="711F01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Кимры, Калининской обл.</w:t>
            </w:r>
          </w:p>
        </w:tc>
      </w:tr>
      <w:tr w:rsidR="006F4095" w:rsidRPr="008127F8" w14:paraId="64622B2E" w14:textId="77777777">
        <w:tc>
          <w:tcPr>
            <w:tcW w:w="468" w:type="dxa"/>
          </w:tcPr>
          <w:p w14:paraId="731BDB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450" w:type="dxa"/>
          </w:tcPr>
          <w:p w14:paraId="0EBEC1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470B01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2250" w:type="dxa"/>
          </w:tcPr>
          <w:p w14:paraId="0C4C9E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w:t>
            </w:r>
          </w:p>
        </w:tc>
        <w:tc>
          <w:tcPr>
            <w:tcW w:w="1710" w:type="dxa"/>
          </w:tcPr>
          <w:p w14:paraId="7274B4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022F1C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F94B52" w14:textId="77777777">
        <w:tc>
          <w:tcPr>
            <w:tcW w:w="468" w:type="dxa"/>
          </w:tcPr>
          <w:p w14:paraId="251F7C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450" w:type="dxa"/>
          </w:tcPr>
          <w:p w14:paraId="43FDBD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78513A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w:t>
            </w:r>
          </w:p>
        </w:tc>
        <w:tc>
          <w:tcPr>
            <w:tcW w:w="2250" w:type="dxa"/>
          </w:tcPr>
          <w:p w14:paraId="5F3E37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Алма-Ата</w:t>
            </w:r>
          </w:p>
        </w:tc>
        <w:tc>
          <w:tcPr>
            <w:tcW w:w="1710" w:type="dxa"/>
          </w:tcPr>
          <w:p w14:paraId="70F4BA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Алма-Ата</w:t>
            </w:r>
          </w:p>
        </w:tc>
        <w:tc>
          <w:tcPr>
            <w:tcW w:w="2880" w:type="dxa"/>
          </w:tcPr>
          <w:p w14:paraId="779D98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5250F8CE" w14:textId="77777777">
        <w:tc>
          <w:tcPr>
            <w:tcW w:w="468" w:type="dxa"/>
          </w:tcPr>
          <w:p w14:paraId="3DCB7F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450" w:type="dxa"/>
          </w:tcPr>
          <w:p w14:paraId="42EEDA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603037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w:t>
            </w:r>
          </w:p>
        </w:tc>
        <w:tc>
          <w:tcPr>
            <w:tcW w:w="2250" w:type="dxa"/>
          </w:tcPr>
          <w:p w14:paraId="34D6E9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 22, п/я 423</w:t>
            </w:r>
          </w:p>
        </w:tc>
        <w:tc>
          <w:tcPr>
            <w:tcW w:w="1710" w:type="dxa"/>
          </w:tcPr>
          <w:p w14:paraId="33C156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2880" w:type="dxa"/>
          </w:tcPr>
          <w:p w14:paraId="1B20BF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1EE94B30" w14:textId="77777777">
        <w:tc>
          <w:tcPr>
            <w:tcW w:w="468" w:type="dxa"/>
          </w:tcPr>
          <w:p w14:paraId="0765C9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w:t>
            </w:r>
          </w:p>
        </w:tc>
        <w:tc>
          <w:tcPr>
            <w:tcW w:w="450" w:type="dxa"/>
          </w:tcPr>
          <w:p w14:paraId="67009A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40" w:type="dxa"/>
          </w:tcPr>
          <w:p w14:paraId="1D26E3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w:t>
            </w:r>
          </w:p>
        </w:tc>
        <w:tc>
          <w:tcPr>
            <w:tcW w:w="2250" w:type="dxa"/>
          </w:tcPr>
          <w:p w14:paraId="77F444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 п/я 20</w:t>
            </w:r>
          </w:p>
        </w:tc>
        <w:tc>
          <w:tcPr>
            <w:tcW w:w="1710" w:type="dxa"/>
          </w:tcPr>
          <w:p w14:paraId="70FD8F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880" w:type="dxa"/>
          </w:tcPr>
          <w:p w14:paraId="4A7FAB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075F54C7" w14:textId="77777777">
        <w:tc>
          <w:tcPr>
            <w:tcW w:w="468" w:type="dxa"/>
          </w:tcPr>
          <w:p w14:paraId="76F62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450" w:type="dxa"/>
          </w:tcPr>
          <w:p w14:paraId="5D33E9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40" w:type="dxa"/>
          </w:tcPr>
          <w:p w14:paraId="2B9236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2250" w:type="dxa"/>
          </w:tcPr>
          <w:p w14:paraId="232EC8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710" w:type="dxa"/>
          </w:tcPr>
          <w:p w14:paraId="54CA59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880" w:type="dxa"/>
          </w:tcPr>
          <w:p w14:paraId="71E208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6410B783" w14:textId="77777777">
        <w:tc>
          <w:tcPr>
            <w:tcW w:w="468" w:type="dxa"/>
          </w:tcPr>
          <w:p w14:paraId="6F4407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c>
          <w:tcPr>
            <w:tcW w:w="450" w:type="dxa"/>
          </w:tcPr>
          <w:p w14:paraId="1FF29F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540" w:type="dxa"/>
          </w:tcPr>
          <w:p w14:paraId="39D7BC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ОКБ-250</w:t>
            </w:r>
          </w:p>
        </w:tc>
        <w:tc>
          <w:tcPr>
            <w:tcW w:w="2250" w:type="dxa"/>
          </w:tcPr>
          <w:p w14:paraId="24608F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710" w:type="dxa"/>
          </w:tcPr>
          <w:p w14:paraId="27672E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880" w:type="dxa"/>
          </w:tcPr>
          <w:p w14:paraId="3C6E07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7D37CFD6" w14:textId="77777777">
        <w:tc>
          <w:tcPr>
            <w:tcW w:w="468" w:type="dxa"/>
          </w:tcPr>
          <w:p w14:paraId="705D15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450" w:type="dxa"/>
          </w:tcPr>
          <w:p w14:paraId="3E0416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0" w:type="dxa"/>
          </w:tcPr>
          <w:p w14:paraId="3DDF40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2250" w:type="dxa"/>
          </w:tcPr>
          <w:p w14:paraId="38B59E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Верхняя Салда, п/я 3</w:t>
            </w:r>
          </w:p>
        </w:tc>
        <w:tc>
          <w:tcPr>
            <w:tcW w:w="1710" w:type="dxa"/>
          </w:tcPr>
          <w:p w14:paraId="2A9FEF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Верхняя Салда</w:t>
            </w:r>
          </w:p>
        </w:tc>
        <w:tc>
          <w:tcPr>
            <w:tcW w:w="2880" w:type="dxa"/>
          </w:tcPr>
          <w:p w14:paraId="54A29B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Кунцево, МО на площадку б з-да № 491</w:t>
            </w:r>
          </w:p>
        </w:tc>
      </w:tr>
      <w:tr w:rsidR="006F4095" w:rsidRPr="008127F8" w14:paraId="40398300" w14:textId="77777777">
        <w:tc>
          <w:tcPr>
            <w:tcW w:w="468" w:type="dxa"/>
          </w:tcPr>
          <w:p w14:paraId="612D38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w:t>
            </w:r>
          </w:p>
        </w:tc>
        <w:tc>
          <w:tcPr>
            <w:tcW w:w="450" w:type="dxa"/>
          </w:tcPr>
          <w:p w14:paraId="1EE63E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0" w:type="dxa"/>
          </w:tcPr>
          <w:p w14:paraId="01FEEC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2250" w:type="dxa"/>
          </w:tcPr>
          <w:p w14:paraId="2BCB93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Челябинской обл., Красная Горка, п/я 24</w:t>
            </w:r>
          </w:p>
        </w:tc>
        <w:tc>
          <w:tcPr>
            <w:tcW w:w="1710" w:type="dxa"/>
          </w:tcPr>
          <w:p w14:paraId="3BDDD5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w:t>
            </w:r>
          </w:p>
        </w:tc>
        <w:tc>
          <w:tcPr>
            <w:tcW w:w="2880" w:type="dxa"/>
          </w:tcPr>
          <w:p w14:paraId="4845FE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Сткпино, МО на площадку б з-да № 268</w:t>
            </w:r>
          </w:p>
        </w:tc>
      </w:tr>
      <w:tr w:rsidR="006F4095" w:rsidRPr="008127F8" w14:paraId="4A4D4C9D" w14:textId="77777777">
        <w:tc>
          <w:tcPr>
            <w:tcW w:w="468" w:type="dxa"/>
          </w:tcPr>
          <w:p w14:paraId="796365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w:t>
            </w:r>
          </w:p>
        </w:tc>
        <w:tc>
          <w:tcPr>
            <w:tcW w:w="450" w:type="dxa"/>
          </w:tcPr>
          <w:p w14:paraId="752F2D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0" w:type="dxa"/>
          </w:tcPr>
          <w:p w14:paraId="2DFDC3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2250" w:type="dxa"/>
          </w:tcPr>
          <w:p w14:paraId="7B49B8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 Главпочтамт, п/я 137</w:t>
            </w:r>
          </w:p>
        </w:tc>
        <w:tc>
          <w:tcPr>
            <w:tcW w:w="1710" w:type="dxa"/>
          </w:tcPr>
          <w:p w14:paraId="5630D2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2880" w:type="dxa"/>
          </w:tcPr>
          <w:p w14:paraId="2A1387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 з-да № 384</w:t>
            </w:r>
          </w:p>
        </w:tc>
      </w:tr>
      <w:tr w:rsidR="006F4095" w:rsidRPr="008127F8" w14:paraId="067CE0C1" w14:textId="77777777">
        <w:tc>
          <w:tcPr>
            <w:tcW w:w="468" w:type="dxa"/>
          </w:tcPr>
          <w:p w14:paraId="128103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450" w:type="dxa"/>
          </w:tcPr>
          <w:p w14:paraId="7A5DA4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0" w:type="dxa"/>
          </w:tcPr>
          <w:p w14:paraId="757A63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Ф-л з-да </w:t>
            </w:r>
            <w:r w:rsidRPr="008127F8">
              <w:rPr>
                <w:rFonts w:ascii="Times New Roman" w:hAnsi="Times New Roman"/>
                <w:color w:val="000000" w:themeColor="text1"/>
                <w:sz w:val="16"/>
                <w:szCs w:val="16"/>
              </w:rPr>
              <w:lastRenderedPageBreak/>
              <w:t>95</w:t>
            </w:r>
          </w:p>
        </w:tc>
        <w:tc>
          <w:tcPr>
            <w:tcW w:w="2250" w:type="dxa"/>
          </w:tcPr>
          <w:p w14:paraId="7352DC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Москва, Главпочтамт, п/я 776</w:t>
            </w:r>
          </w:p>
        </w:tc>
        <w:tc>
          <w:tcPr>
            <w:tcW w:w="1710" w:type="dxa"/>
          </w:tcPr>
          <w:p w14:paraId="4CE8BD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Кунцево, МО</w:t>
            </w:r>
          </w:p>
        </w:tc>
        <w:tc>
          <w:tcPr>
            <w:tcW w:w="2880" w:type="dxa"/>
          </w:tcPr>
          <w:p w14:paraId="17C548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эвакуированного з-да 95</w:t>
            </w:r>
          </w:p>
        </w:tc>
      </w:tr>
      <w:tr w:rsidR="006F4095" w:rsidRPr="008127F8" w14:paraId="7762048D" w14:textId="77777777">
        <w:tc>
          <w:tcPr>
            <w:tcW w:w="468" w:type="dxa"/>
          </w:tcPr>
          <w:p w14:paraId="7FC700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w:t>
            </w:r>
          </w:p>
        </w:tc>
        <w:tc>
          <w:tcPr>
            <w:tcW w:w="450" w:type="dxa"/>
          </w:tcPr>
          <w:p w14:paraId="107BD3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796227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w:t>
            </w:r>
          </w:p>
        </w:tc>
        <w:tc>
          <w:tcPr>
            <w:tcW w:w="2250" w:type="dxa"/>
          </w:tcPr>
          <w:p w14:paraId="4590D5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Волжск, Марийской АССР, п/я 2</w:t>
            </w:r>
          </w:p>
        </w:tc>
        <w:tc>
          <w:tcPr>
            <w:tcW w:w="1710" w:type="dxa"/>
          </w:tcPr>
          <w:p w14:paraId="604FDE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Волжск</w:t>
            </w:r>
          </w:p>
        </w:tc>
        <w:tc>
          <w:tcPr>
            <w:tcW w:w="2880" w:type="dxa"/>
          </w:tcPr>
          <w:p w14:paraId="7321E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Рязани на площадку б Деревообделочного комбината</w:t>
            </w:r>
          </w:p>
        </w:tc>
      </w:tr>
      <w:tr w:rsidR="006F4095" w:rsidRPr="008127F8" w14:paraId="53E4D4D5" w14:textId="77777777">
        <w:tc>
          <w:tcPr>
            <w:tcW w:w="468" w:type="dxa"/>
          </w:tcPr>
          <w:p w14:paraId="065586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450" w:type="dxa"/>
          </w:tcPr>
          <w:p w14:paraId="1A24A1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0A51F9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w:t>
            </w:r>
          </w:p>
        </w:tc>
        <w:tc>
          <w:tcPr>
            <w:tcW w:w="2250" w:type="dxa"/>
          </w:tcPr>
          <w:p w14:paraId="05DEF1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Тюмень, п/я 54</w:t>
            </w:r>
          </w:p>
        </w:tc>
        <w:tc>
          <w:tcPr>
            <w:tcW w:w="1710" w:type="dxa"/>
          </w:tcPr>
          <w:p w14:paraId="54DB42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Тюмень</w:t>
            </w:r>
          </w:p>
        </w:tc>
        <w:tc>
          <w:tcPr>
            <w:tcW w:w="2880" w:type="dxa"/>
          </w:tcPr>
          <w:p w14:paraId="7A8B7A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техникума</w:t>
            </w:r>
          </w:p>
        </w:tc>
      </w:tr>
      <w:tr w:rsidR="006F4095" w:rsidRPr="008127F8" w14:paraId="3EC72B02" w14:textId="77777777">
        <w:tc>
          <w:tcPr>
            <w:tcW w:w="468" w:type="dxa"/>
          </w:tcPr>
          <w:p w14:paraId="0CC5C7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c>
          <w:tcPr>
            <w:tcW w:w="450" w:type="dxa"/>
          </w:tcPr>
          <w:p w14:paraId="1A803E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44DBF4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2250" w:type="dxa"/>
          </w:tcPr>
          <w:p w14:paraId="453E64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Алапаевск, п/я 1112</w:t>
            </w:r>
          </w:p>
        </w:tc>
        <w:tc>
          <w:tcPr>
            <w:tcW w:w="1710" w:type="dxa"/>
          </w:tcPr>
          <w:p w14:paraId="05AEEC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Алапаевск</w:t>
            </w:r>
          </w:p>
        </w:tc>
        <w:tc>
          <w:tcPr>
            <w:tcW w:w="2880" w:type="dxa"/>
          </w:tcPr>
          <w:p w14:paraId="22B618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Тушино МО на площадку бавшего ДОК</w:t>
            </w:r>
          </w:p>
        </w:tc>
      </w:tr>
      <w:tr w:rsidR="006F4095" w:rsidRPr="008127F8" w14:paraId="6DE7B10B" w14:textId="77777777">
        <w:tc>
          <w:tcPr>
            <w:tcW w:w="468" w:type="dxa"/>
          </w:tcPr>
          <w:p w14:paraId="79C9C0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w:t>
            </w:r>
          </w:p>
        </w:tc>
        <w:tc>
          <w:tcPr>
            <w:tcW w:w="450" w:type="dxa"/>
          </w:tcPr>
          <w:p w14:paraId="4BF805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04F7A9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2250" w:type="dxa"/>
          </w:tcPr>
          <w:p w14:paraId="2C3582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Шумерля, ЧувАССР, п/я 320</w:t>
            </w:r>
          </w:p>
        </w:tc>
        <w:tc>
          <w:tcPr>
            <w:tcW w:w="1710" w:type="dxa"/>
          </w:tcPr>
          <w:p w14:paraId="1BDD5A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Шумерля</w:t>
            </w:r>
          </w:p>
        </w:tc>
        <w:tc>
          <w:tcPr>
            <w:tcW w:w="2880" w:type="dxa"/>
          </w:tcPr>
          <w:p w14:paraId="15EE31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9BE987" w14:textId="77777777">
        <w:tc>
          <w:tcPr>
            <w:tcW w:w="468" w:type="dxa"/>
          </w:tcPr>
          <w:p w14:paraId="6C7FD6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450" w:type="dxa"/>
          </w:tcPr>
          <w:p w14:paraId="7F438F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5DEAFF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w:t>
            </w:r>
          </w:p>
        </w:tc>
        <w:tc>
          <w:tcPr>
            <w:tcW w:w="2250" w:type="dxa"/>
          </w:tcPr>
          <w:p w14:paraId="1B4FA8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 пос. Ворошиловец, п/я 500</w:t>
            </w:r>
          </w:p>
        </w:tc>
        <w:tc>
          <w:tcPr>
            <w:tcW w:w="1710" w:type="dxa"/>
          </w:tcPr>
          <w:p w14:paraId="59FE07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w:t>
            </w:r>
          </w:p>
        </w:tc>
        <w:tc>
          <w:tcPr>
            <w:tcW w:w="2880" w:type="dxa"/>
          </w:tcPr>
          <w:p w14:paraId="01844D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50EC230" w14:textId="77777777">
        <w:tc>
          <w:tcPr>
            <w:tcW w:w="468" w:type="dxa"/>
          </w:tcPr>
          <w:p w14:paraId="375AB5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w:t>
            </w:r>
          </w:p>
        </w:tc>
        <w:tc>
          <w:tcPr>
            <w:tcW w:w="450" w:type="dxa"/>
          </w:tcPr>
          <w:p w14:paraId="2DE1F8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5107AC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494</w:t>
            </w:r>
          </w:p>
        </w:tc>
        <w:tc>
          <w:tcPr>
            <w:tcW w:w="2250" w:type="dxa"/>
          </w:tcPr>
          <w:p w14:paraId="2E72A9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Козловка на Волге, ЧувАССР, п/я 160</w:t>
            </w:r>
          </w:p>
        </w:tc>
        <w:tc>
          <w:tcPr>
            <w:tcW w:w="1710" w:type="dxa"/>
          </w:tcPr>
          <w:p w14:paraId="7FD615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Козловка</w:t>
            </w:r>
          </w:p>
        </w:tc>
        <w:tc>
          <w:tcPr>
            <w:tcW w:w="2880" w:type="dxa"/>
          </w:tcPr>
          <w:p w14:paraId="530800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2F68AE" w14:textId="77777777">
        <w:tc>
          <w:tcPr>
            <w:tcW w:w="468" w:type="dxa"/>
          </w:tcPr>
          <w:p w14:paraId="523CA7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w:t>
            </w:r>
          </w:p>
        </w:tc>
        <w:tc>
          <w:tcPr>
            <w:tcW w:w="450" w:type="dxa"/>
          </w:tcPr>
          <w:p w14:paraId="7BEDAB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67E390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499</w:t>
            </w:r>
          </w:p>
        </w:tc>
        <w:tc>
          <w:tcPr>
            <w:tcW w:w="2250" w:type="dxa"/>
          </w:tcPr>
          <w:p w14:paraId="202FAE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Заводоуковская, Омской обл.</w:t>
            </w:r>
            <w:proofErr w:type="gramStart"/>
            <w:r w:rsidRPr="008127F8">
              <w:rPr>
                <w:rFonts w:ascii="Times New Roman" w:hAnsi="Times New Roman"/>
                <w:color w:val="000000" w:themeColor="text1"/>
                <w:sz w:val="16"/>
                <w:szCs w:val="16"/>
              </w:rPr>
              <w:t>,.п</w:t>
            </w:r>
            <w:proofErr w:type="gramEnd"/>
            <w:r w:rsidRPr="008127F8">
              <w:rPr>
                <w:rFonts w:ascii="Times New Roman" w:hAnsi="Times New Roman"/>
                <w:color w:val="000000" w:themeColor="text1"/>
                <w:sz w:val="16"/>
                <w:szCs w:val="16"/>
              </w:rPr>
              <w:t>/я 74</w:t>
            </w:r>
          </w:p>
        </w:tc>
        <w:tc>
          <w:tcPr>
            <w:tcW w:w="1710" w:type="dxa"/>
          </w:tcPr>
          <w:p w14:paraId="6039D7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Заводоуковская</w:t>
            </w:r>
          </w:p>
        </w:tc>
        <w:tc>
          <w:tcPr>
            <w:tcW w:w="2880" w:type="dxa"/>
          </w:tcPr>
          <w:p w14:paraId="2614E8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E1D25C" w14:textId="77777777">
        <w:tc>
          <w:tcPr>
            <w:tcW w:w="468" w:type="dxa"/>
          </w:tcPr>
          <w:p w14:paraId="34CF8C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450" w:type="dxa"/>
          </w:tcPr>
          <w:p w14:paraId="1945CB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25A648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250" w:type="dxa"/>
          </w:tcPr>
          <w:p w14:paraId="773A7E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Куйбышевская обл., п/я 158</w:t>
            </w:r>
          </w:p>
        </w:tc>
        <w:tc>
          <w:tcPr>
            <w:tcW w:w="1710" w:type="dxa"/>
          </w:tcPr>
          <w:p w14:paraId="1A15B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2880" w:type="dxa"/>
          </w:tcPr>
          <w:p w14:paraId="4D23F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0CEE899B" w14:textId="77777777">
        <w:tc>
          <w:tcPr>
            <w:tcW w:w="468" w:type="dxa"/>
          </w:tcPr>
          <w:p w14:paraId="504FFE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450" w:type="dxa"/>
          </w:tcPr>
          <w:p w14:paraId="27D797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14E9A8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2250" w:type="dxa"/>
          </w:tcPr>
          <w:p w14:paraId="62F76D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Опытное, Чебаркульский р-н, Челябинская обл., п/я 242</w:t>
            </w:r>
          </w:p>
        </w:tc>
        <w:tc>
          <w:tcPr>
            <w:tcW w:w="1710" w:type="dxa"/>
          </w:tcPr>
          <w:p w14:paraId="49356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Опытное</w:t>
            </w:r>
          </w:p>
        </w:tc>
        <w:tc>
          <w:tcPr>
            <w:tcW w:w="2880" w:type="dxa"/>
          </w:tcPr>
          <w:p w14:paraId="2109B8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2042DC16" w14:textId="77777777">
        <w:tc>
          <w:tcPr>
            <w:tcW w:w="468" w:type="dxa"/>
          </w:tcPr>
          <w:p w14:paraId="3621B9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w:t>
            </w:r>
          </w:p>
        </w:tc>
        <w:tc>
          <w:tcPr>
            <w:tcW w:w="450" w:type="dxa"/>
          </w:tcPr>
          <w:p w14:paraId="46DD0E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298D5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250" w:type="dxa"/>
          </w:tcPr>
          <w:p w14:paraId="2F9A94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Тавда, Свердловской обл., п/я 54</w:t>
            </w:r>
          </w:p>
        </w:tc>
        <w:tc>
          <w:tcPr>
            <w:tcW w:w="1710" w:type="dxa"/>
          </w:tcPr>
          <w:p w14:paraId="583389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Тавда</w:t>
            </w:r>
          </w:p>
        </w:tc>
        <w:tc>
          <w:tcPr>
            <w:tcW w:w="2880" w:type="dxa"/>
          </w:tcPr>
          <w:p w14:paraId="4C3820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3204793D" w14:textId="77777777">
        <w:tc>
          <w:tcPr>
            <w:tcW w:w="468" w:type="dxa"/>
          </w:tcPr>
          <w:p w14:paraId="400203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w:t>
            </w:r>
          </w:p>
        </w:tc>
        <w:tc>
          <w:tcPr>
            <w:tcW w:w="450" w:type="dxa"/>
          </w:tcPr>
          <w:p w14:paraId="285962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081A74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2250" w:type="dxa"/>
          </w:tcPr>
          <w:p w14:paraId="79F666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Кемерово, п/я 80</w:t>
            </w:r>
          </w:p>
        </w:tc>
        <w:tc>
          <w:tcPr>
            <w:tcW w:w="1710" w:type="dxa"/>
          </w:tcPr>
          <w:p w14:paraId="7CD43E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Кемерово</w:t>
            </w:r>
          </w:p>
        </w:tc>
        <w:tc>
          <w:tcPr>
            <w:tcW w:w="2880" w:type="dxa"/>
          </w:tcPr>
          <w:p w14:paraId="757203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45AC3BE1" w14:textId="77777777">
        <w:tc>
          <w:tcPr>
            <w:tcW w:w="468" w:type="dxa"/>
          </w:tcPr>
          <w:p w14:paraId="70ABE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w:t>
            </w:r>
          </w:p>
        </w:tc>
        <w:tc>
          <w:tcPr>
            <w:tcW w:w="450" w:type="dxa"/>
          </w:tcPr>
          <w:p w14:paraId="0EDE20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7AA2DF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2250" w:type="dxa"/>
          </w:tcPr>
          <w:p w14:paraId="5552AD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Бердск, Новосибирской обл, п/я 115</w:t>
            </w:r>
          </w:p>
        </w:tc>
        <w:tc>
          <w:tcPr>
            <w:tcW w:w="1710" w:type="dxa"/>
          </w:tcPr>
          <w:p w14:paraId="5FD1AE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Бердск</w:t>
            </w:r>
          </w:p>
        </w:tc>
        <w:tc>
          <w:tcPr>
            <w:tcW w:w="2880" w:type="dxa"/>
          </w:tcPr>
          <w:p w14:paraId="0A0D92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Осипенко</w:t>
            </w:r>
          </w:p>
        </w:tc>
      </w:tr>
      <w:tr w:rsidR="006F4095" w:rsidRPr="008127F8" w14:paraId="560EDC4D" w14:textId="77777777">
        <w:tc>
          <w:tcPr>
            <w:tcW w:w="468" w:type="dxa"/>
          </w:tcPr>
          <w:p w14:paraId="7B8207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450" w:type="dxa"/>
          </w:tcPr>
          <w:p w14:paraId="466853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Ремотдел</w:t>
            </w:r>
          </w:p>
        </w:tc>
        <w:tc>
          <w:tcPr>
            <w:tcW w:w="540" w:type="dxa"/>
          </w:tcPr>
          <w:p w14:paraId="2B54BC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Реммастерские</w:t>
            </w:r>
          </w:p>
        </w:tc>
        <w:tc>
          <w:tcPr>
            <w:tcW w:w="2250" w:type="dxa"/>
          </w:tcPr>
          <w:p w14:paraId="6CE2E1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56E6FA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762DCC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 з-да № 89 ГВФ</w:t>
            </w:r>
          </w:p>
        </w:tc>
      </w:tr>
      <w:tr w:rsidR="006F4095" w:rsidRPr="008127F8" w14:paraId="2885FD92" w14:textId="77777777">
        <w:tc>
          <w:tcPr>
            <w:tcW w:w="468" w:type="dxa"/>
          </w:tcPr>
          <w:p w14:paraId="132664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w:t>
            </w:r>
          </w:p>
        </w:tc>
        <w:tc>
          <w:tcPr>
            <w:tcW w:w="450" w:type="dxa"/>
          </w:tcPr>
          <w:p w14:paraId="42DE8D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Ремотдел</w:t>
            </w:r>
          </w:p>
        </w:tc>
        <w:tc>
          <w:tcPr>
            <w:tcW w:w="540" w:type="dxa"/>
          </w:tcPr>
          <w:p w14:paraId="6ED649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2250" w:type="dxa"/>
          </w:tcPr>
          <w:p w14:paraId="2DCC81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п/я 1303</w:t>
            </w:r>
          </w:p>
        </w:tc>
        <w:tc>
          <w:tcPr>
            <w:tcW w:w="1710" w:type="dxa"/>
          </w:tcPr>
          <w:p w14:paraId="199CFB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3677AF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з-да № 115</w:t>
            </w:r>
          </w:p>
        </w:tc>
      </w:tr>
      <w:tr w:rsidR="006F4095" w:rsidRPr="008127F8" w14:paraId="5B05047F" w14:textId="77777777">
        <w:tc>
          <w:tcPr>
            <w:tcW w:w="468" w:type="dxa"/>
          </w:tcPr>
          <w:p w14:paraId="375DA4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450" w:type="dxa"/>
          </w:tcPr>
          <w:p w14:paraId="1E7E9F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Ремотдел</w:t>
            </w:r>
          </w:p>
        </w:tc>
        <w:tc>
          <w:tcPr>
            <w:tcW w:w="540" w:type="dxa"/>
          </w:tcPr>
          <w:p w14:paraId="7AB00E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2250" w:type="dxa"/>
          </w:tcPr>
          <w:p w14:paraId="4F2B08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Центр, п/я 577</w:t>
            </w:r>
          </w:p>
        </w:tc>
        <w:tc>
          <w:tcPr>
            <w:tcW w:w="1710" w:type="dxa"/>
          </w:tcPr>
          <w:p w14:paraId="40FE32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72EF22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з-да 301</w:t>
            </w:r>
          </w:p>
        </w:tc>
      </w:tr>
      <w:tr w:rsidR="006F4095" w:rsidRPr="008127F8" w14:paraId="0EE2A83A" w14:textId="77777777">
        <w:tc>
          <w:tcPr>
            <w:tcW w:w="468" w:type="dxa"/>
          </w:tcPr>
          <w:p w14:paraId="6A8A72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w:t>
            </w:r>
          </w:p>
        </w:tc>
        <w:tc>
          <w:tcPr>
            <w:tcW w:w="450" w:type="dxa"/>
          </w:tcPr>
          <w:p w14:paraId="5C5578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Ремотдел</w:t>
            </w:r>
          </w:p>
        </w:tc>
        <w:tc>
          <w:tcPr>
            <w:tcW w:w="540" w:type="dxa"/>
          </w:tcPr>
          <w:p w14:paraId="55F6CE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Раммастерские</w:t>
            </w:r>
          </w:p>
        </w:tc>
        <w:tc>
          <w:tcPr>
            <w:tcW w:w="2250" w:type="dxa"/>
          </w:tcPr>
          <w:p w14:paraId="786146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Центр, п/я 1078</w:t>
            </w:r>
          </w:p>
        </w:tc>
        <w:tc>
          <w:tcPr>
            <w:tcW w:w="1710" w:type="dxa"/>
          </w:tcPr>
          <w:p w14:paraId="46DBC6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784875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з-да 207</w:t>
            </w:r>
          </w:p>
        </w:tc>
      </w:tr>
      <w:tr w:rsidR="006F4095" w:rsidRPr="008127F8" w14:paraId="4B57CD4E" w14:textId="77777777">
        <w:tc>
          <w:tcPr>
            <w:tcW w:w="468" w:type="dxa"/>
          </w:tcPr>
          <w:p w14:paraId="285C79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450" w:type="dxa"/>
          </w:tcPr>
          <w:p w14:paraId="7EB6F1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Ремотдел</w:t>
            </w:r>
          </w:p>
        </w:tc>
        <w:tc>
          <w:tcPr>
            <w:tcW w:w="540" w:type="dxa"/>
          </w:tcPr>
          <w:p w14:paraId="4B65EF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482</w:t>
            </w:r>
          </w:p>
        </w:tc>
        <w:tc>
          <w:tcPr>
            <w:tcW w:w="2250" w:type="dxa"/>
          </w:tcPr>
          <w:p w14:paraId="20A3DE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106, п/я 2227</w:t>
            </w:r>
          </w:p>
        </w:tc>
        <w:tc>
          <w:tcPr>
            <w:tcW w:w="1710" w:type="dxa"/>
          </w:tcPr>
          <w:p w14:paraId="498C31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225FAC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з-да 482</w:t>
            </w:r>
          </w:p>
        </w:tc>
      </w:tr>
      <w:tr w:rsidR="006F4095" w:rsidRPr="008127F8" w14:paraId="7CC027FA" w14:textId="77777777">
        <w:tc>
          <w:tcPr>
            <w:tcW w:w="468" w:type="dxa"/>
          </w:tcPr>
          <w:p w14:paraId="026C02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450" w:type="dxa"/>
          </w:tcPr>
          <w:p w14:paraId="04B167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Ремотдел</w:t>
            </w:r>
          </w:p>
        </w:tc>
        <w:tc>
          <w:tcPr>
            <w:tcW w:w="540" w:type="dxa"/>
          </w:tcPr>
          <w:p w14:paraId="24E7C8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2250" w:type="dxa"/>
          </w:tcPr>
          <w:p w14:paraId="6B11A9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20, п/я 2363</w:t>
            </w:r>
          </w:p>
        </w:tc>
        <w:tc>
          <w:tcPr>
            <w:tcW w:w="1710" w:type="dxa"/>
          </w:tcPr>
          <w:p w14:paraId="1F9711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2880" w:type="dxa"/>
          </w:tcPr>
          <w:p w14:paraId="0188EB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 ЦИАМ</w:t>
            </w:r>
          </w:p>
        </w:tc>
      </w:tr>
    </w:tbl>
    <w:p w14:paraId="72CA99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Список выбывших и бездействующих предприятий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8"/>
        <w:gridCol w:w="450"/>
        <w:gridCol w:w="540"/>
        <w:gridCol w:w="2250"/>
        <w:gridCol w:w="1710"/>
        <w:gridCol w:w="2880"/>
      </w:tblGrid>
      <w:tr w:rsidR="006F4095" w:rsidRPr="008127F8" w14:paraId="52C99F35" w14:textId="77777777">
        <w:tc>
          <w:tcPr>
            <w:tcW w:w="468" w:type="dxa"/>
          </w:tcPr>
          <w:p w14:paraId="617A6B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450" w:type="dxa"/>
          </w:tcPr>
          <w:p w14:paraId="30823D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0F839C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2250" w:type="dxa"/>
          </w:tcPr>
          <w:p w14:paraId="47116E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02C253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740083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Омск, объединен с з-м № 166</w:t>
            </w:r>
          </w:p>
        </w:tc>
      </w:tr>
      <w:tr w:rsidR="006F4095" w:rsidRPr="008127F8" w14:paraId="7C70D5E2" w14:textId="77777777">
        <w:tc>
          <w:tcPr>
            <w:tcW w:w="468" w:type="dxa"/>
          </w:tcPr>
          <w:p w14:paraId="1BED86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450" w:type="dxa"/>
          </w:tcPr>
          <w:p w14:paraId="02574D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6A344C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2250" w:type="dxa"/>
          </w:tcPr>
          <w:p w14:paraId="73650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06DE9D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253EFC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на др. з-ды</w:t>
            </w:r>
          </w:p>
        </w:tc>
      </w:tr>
      <w:tr w:rsidR="006F4095" w:rsidRPr="008127F8" w14:paraId="5F8FB6FE" w14:textId="77777777">
        <w:tc>
          <w:tcPr>
            <w:tcW w:w="468" w:type="dxa"/>
          </w:tcPr>
          <w:p w14:paraId="0FCA3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450" w:type="dxa"/>
          </w:tcPr>
          <w:p w14:paraId="5BFFAF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7B03CB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2250" w:type="dxa"/>
          </w:tcPr>
          <w:p w14:paraId="5BB421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2871B3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880" w:type="dxa"/>
          </w:tcPr>
          <w:p w14:paraId="2CFC21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и объединен с з-м № 153</w:t>
            </w:r>
          </w:p>
        </w:tc>
      </w:tr>
      <w:tr w:rsidR="006F4095" w:rsidRPr="008127F8" w14:paraId="1A01598C" w14:textId="77777777">
        <w:tc>
          <w:tcPr>
            <w:tcW w:w="468" w:type="dxa"/>
          </w:tcPr>
          <w:p w14:paraId="276C1D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0" w:type="dxa"/>
          </w:tcPr>
          <w:p w14:paraId="79B34D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6EAB37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2250" w:type="dxa"/>
          </w:tcPr>
          <w:p w14:paraId="397C56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72001D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0972F3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и объединен с з-м № 153</w:t>
            </w:r>
          </w:p>
        </w:tc>
      </w:tr>
      <w:tr w:rsidR="006F4095" w:rsidRPr="008127F8" w14:paraId="79FC8EA4" w14:textId="77777777">
        <w:tc>
          <w:tcPr>
            <w:tcW w:w="468" w:type="dxa"/>
          </w:tcPr>
          <w:p w14:paraId="40D50C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450" w:type="dxa"/>
          </w:tcPr>
          <w:p w14:paraId="484F5C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278989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2250" w:type="dxa"/>
          </w:tcPr>
          <w:p w14:paraId="627E05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710" w:type="dxa"/>
          </w:tcPr>
          <w:p w14:paraId="179B1C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349959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12C4B0BB" w14:textId="77777777">
        <w:tc>
          <w:tcPr>
            <w:tcW w:w="468" w:type="dxa"/>
          </w:tcPr>
          <w:p w14:paraId="68F913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450" w:type="dxa"/>
          </w:tcPr>
          <w:p w14:paraId="365AD6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55EC24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2250" w:type="dxa"/>
          </w:tcPr>
          <w:p w14:paraId="5F2E78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Киев</w:t>
            </w:r>
          </w:p>
        </w:tc>
        <w:tc>
          <w:tcPr>
            <w:tcW w:w="1710" w:type="dxa"/>
          </w:tcPr>
          <w:p w14:paraId="14DB73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41D7E6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и объединен с з-м № 153</w:t>
            </w:r>
          </w:p>
        </w:tc>
      </w:tr>
      <w:tr w:rsidR="006F4095" w:rsidRPr="008127F8" w14:paraId="4DC38668" w14:textId="77777777">
        <w:tc>
          <w:tcPr>
            <w:tcW w:w="468" w:type="dxa"/>
          </w:tcPr>
          <w:p w14:paraId="1EBCBA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450" w:type="dxa"/>
          </w:tcPr>
          <w:p w14:paraId="494595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0D8890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464</w:t>
            </w:r>
          </w:p>
        </w:tc>
        <w:tc>
          <w:tcPr>
            <w:tcW w:w="2250" w:type="dxa"/>
          </w:tcPr>
          <w:p w14:paraId="4B2060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Рига</w:t>
            </w:r>
          </w:p>
        </w:tc>
        <w:tc>
          <w:tcPr>
            <w:tcW w:w="1710" w:type="dxa"/>
          </w:tcPr>
          <w:p w14:paraId="3421FD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1712F8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0BB86720" w14:textId="77777777">
        <w:tc>
          <w:tcPr>
            <w:tcW w:w="468" w:type="dxa"/>
          </w:tcPr>
          <w:p w14:paraId="610822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450" w:type="dxa"/>
          </w:tcPr>
          <w:p w14:paraId="1025C5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1420E8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465</w:t>
            </w:r>
          </w:p>
        </w:tc>
        <w:tc>
          <w:tcPr>
            <w:tcW w:w="2250" w:type="dxa"/>
          </w:tcPr>
          <w:p w14:paraId="4D8005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Каунас</w:t>
            </w:r>
          </w:p>
        </w:tc>
        <w:tc>
          <w:tcPr>
            <w:tcW w:w="1710" w:type="dxa"/>
          </w:tcPr>
          <w:p w14:paraId="4357D4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1B75A7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12C30D70" w14:textId="77777777">
        <w:tc>
          <w:tcPr>
            <w:tcW w:w="468" w:type="dxa"/>
          </w:tcPr>
          <w:p w14:paraId="3C58EE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450" w:type="dxa"/>
          </w:tcPr>
          <w:p w14:paraId="3ABAB1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2746B7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w:t>
            </w:r>
          </w:p>
        </w:tc>
        <w:tc>
          <w:tcPr>
            <w:tcW w:w="2250" w:type="dxa"/>
          </w:tcPr>
          <w:p w14:paraId="5EEDA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Таллин</w:t>
            </w:r>
          </w:p>
        </w:tc>
        <w:tc>
          <w:tcPr>
            <w:tcW w:w="1710" w:type="dxa"/>
          </w:tcPr>
          <w:p w14:paraId="5E8B00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15A269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6CFC25DB" w14:textId="77777777">
        <w:tc>
          <w:tcPr>
            <w:tcW w:w="468" w:type="dxa"/>
          </w:tcPr>
          <w:p w14:paraId="5FE73B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0" w:type="dxa"/>
          </w:tcPr>
          <w:p w14:paraId="44D833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353ACD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2250" w:type="dxa"/>
          </w:tcPr>
          <w:p w14:paraId="2BFD75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Минск</w:t>
            </w:r>
          </w:p>
        </w:tc>
        <w:tc>
          <w:tcPr>
            <w:tcW w:w="1710" w:type="dxa"/>
          </w:tcPr>
          <w:p w14:paraId="359EC0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265A30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1168A72D" w14:textId="77777777">
        <w:tc>
          <w:tcPr>
            <w:tcW w:w="468" w:type="dxa"/>
          </w:tcPr>
          <w:p w14:paraId="204536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450" w:type="dxa"/>
          </w:tcPr>
          <w:p w14:paraId="1A4D59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2470CC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2250" w:type="dxa"/>
          </w:tcPr>
          <w:p w14:paraId="16648A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710" w:type="dxa"/>
          </w:tcPr>
          <w:p w14:paraId="2A204B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Сентабрь 1941</w:t>
            </w:r>
          </w:p>
        </w:tc>
        <w:tc>
          <w:tcPr>
            <w:tcW w:w="2880" w:type="dxa"/>
          </w:tcPr>
          <w:p w14:paraId="33F678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0D3A0C99" w14:textId="77777777">
        <w:tc>
          <w:tcPr>
            <w:tcW w:w="468" w:type="dxa"/>
          </w:tcPr>
          <w:p w14:paraId="76E227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450" w:type="dxa"/>
          </w:tcPr>
          <w:p w14:paraId="5CFF8A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527A36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2250" w:type="dxa"/>
          </w:tcPr>
          <w:p w14:paraId="3595FF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710" w:type="dxa"/>
          </w:tcPr>
          <w:p w14:paraId="5665F9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2131C4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1</w:t>
            </w:r>
          </w:p>
        </w:tc>
      </w:tr>
      <w:tr w:rsidR="006F4095" w:rsidRPr="008127F8" w14:paraId="3BDAB57C" w14:textId="77777777">
        <w:tc>
          <w:tcPr>
            <w:tcW w:w="468" w:type="dxa"/>
          </w:tcPr>
          <w:p w14:paraId="07020B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450" w:type="dxa"/>
          </w:tcPr>
          <w:p w14:paraId="746F81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74D8AA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w:t>
            </w:r>
          </w:p>
        </w:tc>
        <w:tc>
          <w:tcPr>
            <w:tcW w:w="2250" w:type="dxa"/>
          </w:tcPr>
          <w:p w14:paraId="37067A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0EA243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01F1FF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2E1104CE" w14:textId="77777777">
        <w:tc>
          <w:tcPr>
            <w:tcW w:w="468" w:type="dxa"/>
          </w:tcPr>
          <w:p w14:paraId="507131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450" w:type="dxa"/>
          </w:tcPr>
          <w:p w14:paraId="21835D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47A3E5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w:t>
            </w:r>
          </w:p>
        </w:tc>
        <w:tc>
          <w:tcPr>
            <w:tcW w:w="2250" w:type="dxa"/>
          </w:tcPr>
          <w:p w14:paraId="759913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Куйбышевская обл., ст. Безымянка</w:t>
            </w:r>
          </w:p>
        </w:tc>
        <w:tc>
          <w:tcPr>
            <w:tcW w:w="1710" w:type="dxa"/>
          </w:tcPr>
          <w:p w14:paraId="0C9695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07DFC1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з-м № 145, эвакуированным из Москвы</w:t>
            </w:r>
          </w:p>
        </w:tc>
      </w:tr>
      <w:tr w:rsidR="006F4095" w:rsidRPr="008127F8" w14:paraId="250A5D5A" w14:textId="77777777">
        <w:tc>
          <w:tcPr>
            <w:tcW w:w="468" w:type="dxa"/>
          </w:tcPr>
          <w:p w14:paraId="5DF23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450" w:type="dxa"/>
          </w:tcPr>
          <w:p w14:paraId="2F43F3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5CE2AF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w:t>
            </w:r>
          </w:p>
        </w:tc>
        <w:tc>
          <w:tcPr>
            <w:tcW w:w="2250" w:type="dxa"/>
          </w:tcPr>
          <w:p w14:paraId="7F7F2D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Запорожье</w:t>
            </w:r>
          </w:p>
        </w:tc>
        <w:tc>
          <w:tcPr>
            <w:tcW w:w="1710" w:type="dxa"/>
          </w:tcPr>
          <w:p w14:paraId="4D11D0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3F867A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 объединен с з-м № 458</w:t>
            </w:r>
          </w:p>
        </w:tc>
      </w:tr>
      <w:tr w:rsidR="006F4095" w:rsidRPr="008127F8" w14:paraId="676EBA6E" w14:textId="77777777">
        <w:tc>
          <w:tcPr>
            <w:tcW w:w="468" w:type="dxa"/>
          </w:tcPr>
          <w:p w14:paraId="19AC1E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16</w:t>
            </w:r>
          </w:p>
        </w:tc>
        <w:tc>
          <w:tcPr>
            <w:tcW w:w="450" w:type="dxa"/>
          </w:tcPr>
          <w:p w14:paraId="7B149E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6111D6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2250" w:type="dxa"/>
          </w:tcPr>
          <w:p w14:paraId="0452DE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7A1F96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28DDFE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савящи с эвакуацией в Казань и реэвакуацией в Москву</w:t>
            </w:r>
          </w:p>
        </w:tc>
      </w:tr>
      <w:tr w:rsidR="006F4095" w:rsidRPr="008127F8" w14:paraId="57A09296" w14:textId="77777777">
        <w:tc>
          <w:tcPr>
            <w:tcW w:w="468" w:type="dxa"/>
          </w:tcPr>
          <w:p w14:paraId="1DF2F3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450" w:type="dxa"/>
          </w:tcPr>
          <w:p w14:paraId="0C6581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2D2A5B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2250" w:type="dxa"/>
          </w:tcPr>
          <w:p w14:paraId="4CFE39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710" w:type="dxa"/>
          </w:tcPr>
          <w:p w14:paraId="4FE610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481E90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Воронеже з-м № 16</w:t>
            </w:r>
          </w:p>
        </w:tc>
      </w:tr>
      <w:tr w:rsidR="006F4095" w:rsidRPr="008127F8" w14:paraId="5E7FE19E" w14:textId="77777777">
        <w:tc>
          <w:tcPr>
            <w:tcW w:w="468" w:type="dxa"/>
          </w:tcPr>
          <w:p w14:paraId="46247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450" w:type="dxa"/>
          </w:tcPr>
          <w:p w14:paraId="7F740F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228FD7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w:t>
            </w:r>
          </w:p>
        </w:tc>
        <w:tc>
          <w:tcPr>
            <w:tcW w:w="2250" w:type="dxa"/>
          </w:tcPr>
          <w:p w14:paraId="034D74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4D8B51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1941</w:t>
            </w:r>
          </w:p>
        </w:tc>
        <w:tc>
          <w:tcPr>
            <w:tcW w:w="2880" w:type="dxa"/>
          </w:tcPr>
          <w:p w14:paraId="74CC59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4781D0B9" w14:textId="77777777">
        <w:tc>
          <w:tcPr>
            <w:tcW w:w="468" w:type="dxa"/>
          </w:tcPr>
          <w:p w14:paraId="6AFF4B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450" w:type="dxa"/>
          </w:tcPr>
          <w:p w14:paraId="5EF7DD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66000B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w:t>
            </w:r>
          </w:p>
        </w:tc>
        <w:tc>
          <w:tcPr>
            <w:tcW w:w="2250" w:type="dxa"/>
          </w:tcPr>
          <w:p w14:paraId="2AC5A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7C5EA4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1941</w:t>
            </w:r>
          </w:p>
        </w:tc>
        <w:tc>
          <w:tcPr>
            <w:tcW w:w="2880" w:type="dxa"/>
          </w:tcPr>
          <w:p w14:paraId="55CD7E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75945E05" w14:textId="77777777">
        <w:tc>
          <w:tcPr>
            <w:tcW w:w="468" w:type="dxa"/>
          </w:tcPr>
          <w:p w14:paraId="5A3118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450" w:type="dxa"/>
          </w:tcPr>
          <w:p w14:paraId="287987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595AF3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459</w:t>
            </w:r>
          </w:p>
        </w:tc>
        <w:tc>
          <w:tcPr>
            <w:tcW w:w="2250" w:type="dxa"/>
          </w:tcPr>
          <w:p w14:paraId="112EDD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Могилев</w:t>
            </w:r>
          </w:p>
        </w:tc>
        <w:tc>
          <w:tcPr>
            <w:tcW w:w="1710" w:type="dxa"/>
          </w:tcPr>
          <w:p w14:paraId="4DF1C2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1941</w:t>
            </w:r>
          </w:p>
        </w:tc>
        <w:tc>
          <w:tcPr>
            <w:tcW w:w="2880" w:type="dxa"/>
          </w:tcPr>
          <w:p w14:paraId="4ED251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3BA343B6" w14:textId="77777777">
        <w:tc>
          <w:tcPr>
            <w:tcW w:w="468" w:type="dxa"/>
          </w:tcPr>
          <w:p w14:paraId="57E7CF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450" w:type="dxa"/>
          </w:tcPr>
          <w:p w14:paraId="7311C6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0BF3A0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w:t>
            </w:r>
          </w:p>
        </w:tc>
        <w:tc>
          <w:tcPr>
            <w:tcW w:w="2250" w:type="dxa"/>
          </w:tcPr>
          <w:p w14:paraId="1C600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710" w:type="dxa"/>
          </w:tcPr>
          <w:p w14:paraId="2C28C9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33B4D6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24</w:t>
            </w:r>
          </w:p>
        </w:tc>
      </w:tr>
      <w:tr w:rsidR="006F4095" w:rsidRPr="008127F8" w14:paraId="31AD777A" w14:textId="77777777">
        <w:tc>
          <w:tcPr>
            <w:tcW w:w="468" w:type="dxa"/>
          </w:tcPr>
          <w:p w14:paraId="016960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450" w:type="dxa"/>
          </w:tcPr>
          <w:p w14:paraId="42B28C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56D664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w:t>
            </w:r>
          </w:p>
        </w:tc>
        <w:tc>
          <w:tcPr>
            <w:tcW w:w="2250" w:type="dxa"/>
          </w:tcPr>
          <w:p w14:paraId="79DE45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710" w:type="dxa"/>
          </w:tcPr>
          <w:p w14:paraId="5F29C6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1941</w:t>
            </w:r>
          </w:p>
        </w:tc>
        <w:tc>
          <w:tcPr>
            <w:tcW w:w="2880" w:type="dxa"/>
          </w:tcPr>
          <w:p w14:paraId="60B8EE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45FD91DA" w14:textId="77777777">
        <w:tc>
          <w:tcPr>
            <w:tcW w:w="468" w:type="dxa"/>
          </w:tcPr>
          <w:p w14:paraId="66CD5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450" w:type="dxa"/>
          </w:tcPr>
          <w:p w14:paraId="6D9E95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77C84D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250" w:type="dxa"/>
          </w:tcPr>
          <w:p w14:paraId="5A4713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710" w:type="dxa"/>
          </w:tcPr>
          <w:p w14:paraId="73D014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 1941</w:t>
            </w:r>
          </w:p>
        </w:tc>
        <w:tc>
          <w:tcPr>
            <w:tcW w:w="2880" w:type="dxa"/>
          </w:tcPr>
          <w:p w14:paraId="10BD37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Запорожья з-м № 29</w:t>
            </w:r>
          </w:p>
        </w:tc>
      </w:tr>
      <w:tr w:rsidR="006F4095" w:rsidRPr="008127F8" w14:paraId="4D775547" w14:textId="77777777">
        <w:tc>
          <w:tcPr>
            <w:tcW w:w="468" w:type="dxa"/>
          </w:tcPr>
          <w:p w14:paraId="2BD13E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450" w:type="dxa"/>
          </w:tcPr>
          <w:p w14:paraId="1564DE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59C536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384</w:t>
            </w:r>
          </w:p>
        </w:tc>
        <w:tc>
          <w:tcPr>
            <w:tcW w:w="2250" w:type="dxa"/>
          </w:tcPr>
          <w:p w14:paraId="7DBED0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710" w:type="dxa"/>
          </w:tcPr>
          <w:p w14:paraId="1C4FA3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363294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Рыбинска з-м 26</w:t>
            </w:r>
          </w:p>
        </w:tc>
      </w:tr>
      <w:tr w:rsidR="006F4095" w:rsidRPr="008127F8" w14:paraId="3B934683" w14:textId="77777777">
        <w:tc>
          <w:tcPr>
            <w:tcW w:w="468" w:type="dxa"/>
          </w:tcPr>
          <w:p w14:paraId="760F64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450" w:type="dxa"/>
          </w:tcPr>
          <w:p w14:paraId="4799F3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782F5F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456</w:t>
            </w:r>
          </w:p>
        </w:tc>
        <w:tc>
          <w:tcPr>
            <w:tcW w:w="2250" w:type="dxa"/>
          </w:tcPr>
          <w:p w14:paraId="4C6055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Потава</w:t>
            </w:r>
          </w:p>
        </w:tc>
        <w:tc>
          <w:tcPr>
            <w:tcW w:w="1710" w:type="dxa"/>
          </w:tcPr>
          <w:p w14:paraId="26B8BB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 1941</w:t>
            </w:r>
          </w:p>
        </w:tc>
        <w:tc>
          <w:tcPr>
            <w:tcW w:w="2880" w:type="dxa"/>
          </w:tcPr>
          <w:p w14:paraId="17F8B7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Саратов и объединен с з-м № 306</w:t>
            </w:r>
          </w:p>
        </w:tc>
      </w:tr>
      <w:tr w:rsidR="006F4095" w:rsidRPr="008127F8" w14:paraId="6D3F075E" w14:textId="77777777">
        <w:tc>
          <w:tcPr>
            <w:tcW w:w="468" w:type="dxa"/>
          </w:tcPr>
          <w:p w14:paraId="1C04F2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450" w:type="dxa"/>
          </w:tcPr>
          <w:p w14:paraId="04E342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1D79BE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w:t>
            </w:r>
          </w:p>
        </w:tc>
        <w:tc>
          <w:tcPr>
            <w:tcW w:w="2250" w:type="dxa"/>
          </w:tcPr>
          <w:p w14:paraId="6290E4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6B8B4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5A0783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Саратов и объединен с з-м № 306</w:t>
            </w:r>
          </w:p>
        </w:tc>
      </w:tr>
      <w:tr w:rsidR="006F4095" w:rsidRPr="008127F8" w14:paraId="686A3626" w14:textId="77777777">
        <w:tc>
          <w:tcPr>
            <w:tcW w:w="468" w:type="dxa"/>
          </w:tcPr>
          <w:p w14:paraId="260A94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450" w:type="dxa"/>
          </w:tcPr>
          <w:p w14:paraId="7EF701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64FC86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w:t>
            </w:r>
          </w:p>
        </w:tc>
        <w:tc>
          <w:tcPr>
            <w:tcW w:w="2250" w:type="dxa"/>
          </w:tcPr>
          <w:p w14:paraId="46CA94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710" w:type="dxa"/>
          </w:tcPr>
          <w:p w14:paraId="649D71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0729C4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з-м № 26</w:t>
            </w:r>
          </w:p>
        </w:tc>
      </w:tr>
      <w:tr w:rsidR="006F4095" w:rsidRPr="008127F8" w14:paraId="6076448B" w14:textId="77777777">
        <w:tc>
          <w:tcPr>
            <w:tcW w:w="468" w:type="dxa"/>
          </w:tcPr>
          <w:p w14:paraId="4DAC36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450" w:type="dxa"/>
          </w:tcPr>
          <w:p w14:paraId="62C059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0843DD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462</w:t>
            </w:r>
          </w:p>
        </w:tc>
        <w:tc>
          <w:tcPr>
            <w:tcW w:w="2250" w:type="dxa"/>
          </w:tcPr>
          <w:p w14:paraId="2E8917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710" w:type="dxa"/>
          </w:tcPr>
          <w:p w14:paraId="5C57C2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2DC7AE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Молотов и объединен с з-м № 19</w:t>
            </w:r>
          </w:p>
        </w:tc>
      </w:tr>
      <w:tr w:rsidR="006F4095" w:rsidRPr="008127F8" w14:paraId="697348F9" w14:textId="77777777">
        <w:tc>
          <w:tcPr>
            <w:tcW w:w="468" w:type="dxa"/>
          </w:tcPr>
          <w:p w14:paraId="343065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450" w:type="dxa"/>
          </w:tcPr>
          <w:p w14:paraId="3FAF29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3DDC35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444</w:t>
            </w:r>
          </w:p>
        </w:tc>
        <w:tc>
          <w:tcPr>
            <w:tcW w:w="2250" w:type="dxa"/>
          </w:tcPr>
          <w:p w14:paraId="440D2F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48E7AF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7B32D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Сим и объединен с з-м № 132</w:t>
            </w:r>
          </w:p>
        </w:tc>
      </w:tr>
      <w:tr w:rsidR="006F4095" w:rsidRPr="008127F8" w14:paraId="0CB22476" w14:textId="77777777">
        <w:tc>
          <w:tcPr>
            <w:tcW w:w="468" w:type="dxa"/>
          </w:tcPr>
          <w:p w14:paraId="06C37A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450" w:type="dxa"/>
          </w:tcPr>
          <w:p w14:paraId="143DB9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1F13FB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w:t>
            </w:r>
          </w:p>
        </w:tc>
        <w:tc>
          <w:tcPr>
            <w:tcW w:w="2250" w:type="dxa"/>
          </w:tcPr>
          <w:p w14:paraId="5CB52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1710" w:type="dxa"/>
          </w:tcPr>
          <w:p w14:paraId="2C2A00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62630B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33</w:t>
            </w:r>
          </w:p>
        </w:tc>
      </w:tr>
      <w:tr w:rsidR="006F4095" w:rsidRPr="008127F8" w14:paraId="41BBCAA3" w14:textId="77777777">
        <w:tc>
          <w:tcPr>
            <w:tcW w:w="468" w:type="dxa"/>
          </w:tcPr>
          <w:p w14:paraId="292D70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450" w:type="dxa"/>
          </w:tcPr>
          <w:p w14:paraId="4F3EC9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36D2C2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w:t>
            </w:r>
          </w:p>
        </w:tc>
        <w:tc>
          <w:tcPr>
            <w:tcW w:w="2250" w:type="dxa"/>
          </w:tcPr>
          <w:p w14:paraId="4E808B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1710" w:type="dxa"/>
          </w:tcPr>
          <w:p w14:paraId="346CDE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4F9C7E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266</w:t>
            </w:r>
          </w:p>
        </w:tc>
      </w:tr>
      <w:tr w:rsidR="006F4095" w:rsidRPr="008127F8" w14:paraId="588E8422" w14:textId="77777777">
        <w:tc>
          <w:tcPr>
            <w:tcW w:w="468" w:type="dxa"/>
          </w:tcPr>
          <w:p w14:paraId="5C59AD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450" w:type="dxa"/>
          </w:tcPr>
          <w:p w14:paraId="776987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268944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476</w:t>
            </w:r>
          </w:p>
        </w:tc>
        <w:tc>
          <w:tcPr>
            <w:tcW w:w="2250" w:type="dxa"/>
          </w:tcPr>
          <w:p w14:paraId="7B05E5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2C42FD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21125D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Киров и объединен с з-м № 266</w:t>
            </w:r>
          </w:p>
        </w:tc>
      </w:tr>
      <w:tr w:rsidR="006F4095" w:rsidRPr="008127F8" w14:paraId="0D4ADAC2" w14:textId="77777777">
        <w:tc>
          <w:tcPr>
            <w:tcW w:w="468" w:type="dxa"/>
          </w:tcPr>
          <w:p w14:paraId="6E6FE9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450" w:type="dxa"/>
          </w:tcPr>
          <w:p w14:paraId="566E71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65F224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w:t>
            </w:r>
          </w:p>
        </w:tc>
        <w:tc>
          <w:tcPr>
            <w:tcW w:w="2250" w:type="dxa"/>
          </w:tcPr>
          <w:p w14:paraId="157DAC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710" w:type="dxa"/>
          </w:tcPr>
          <w:p w14:paraId="115704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52471D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20</w:t>
            </w:r>
          </w:p>
        </w:tc>
      </w:tr>
      <w:tr w:rsidR="006F4095" w:rsidRPr="008127F8" w14:paraId="078C222B" w14:textId="77777777">
        <w:tc>
          <w:tcPr>
            <w:tcW w:w="468" w:type="dxa"/>
          </w:tcPr>
          <w:p w14:paraId="0BB6F4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450" w:type="dxa"/>
          </w:tcPr>
          <w:p w14:paraId="04D1C3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7E37C2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w:t>
            </w:r>
          </w:p>
        </w:tc>
        <w:tc>
          <w:tcPr>
            <w:tcW w:w="2250" w:type="dxa"/>
          </w:tcPr>
          <w:p w14:paraId="3C289A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Тарту</w:t>
            </w:r>
          </w:p>
        </w:tc>
        <w:tc>
          <w:tcPr>
            <w:tcW w:w="1710" w:type="dxa"/>
          </w:tcPr>
          <w:p w14:paraId="7CB20D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 1941</w:t>
            </w:r>
          </w:p>
        </w:tc>
        <w:tc>
          <w:tcPr>
            <w:tcW w:w="2880" w:type="dxa"/>
          </w:tcPr>
          <w:p w14:paraId="55B7C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Свердловск и объединен с з-м № 214</w:t>
            </w:r>
          </w:p>
        </w:tc>
      </w:tr>
      <w:tr w:rsidR="006F4095" w:rsidRPr="008127F8" w14:paraId="747762EC" w14:textId="77777777">
        <w:tc>
          <w:tcPr>
            <w:tcW w:w="468" w:type="dxa"/>
          </w:tcPr>
          <w:p w14:paraId="26077A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450" w:type="dxa"/>
          </w:tcPr>
          <w:p w14:paraId="07FFDB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7D8638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w:t>
            </w:r>
          </w:p>
        </w:tc>
        <w:tc>
          <w:tcPr>
            <w:tcW w:w="2250" w:type="dxa"/>
          </w:tcPr>
          <w:p w14:paraId="213B63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Вильно</w:t>
            </w:r>
          </w:p>
        </w:tc>
        <w:tc>
          <w:tcPr>
            <w:tcW w:w="1710" w:type="dxa"/>
          </w:tcPr>
          <w:p w14:paraId="7E662D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 1941</w:t>
            </w:r>
          </w:p>
        </w:tc>
        <w:tc>
          <w:tcPr>
            <w:tcW w:w="2880" w:type="dxa"/>
          </w:tcPr>
          <w:p w14:paraId="30DEF5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w:t>
            </w:r>
          </w:p>
        </w:tc>
      </w:tr>
      <w:tr w:rsidR="006F4095" w:rsidRPr="008127F8" w14:paraId="1358D4C6" w14:textId="77777777">
        <w:tc>
          <w:tcPr>
            <w:tcW w:w="468" w:type="dxa"/>
          </w:tcPr>
          <w:p w14:paraId="231AE0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450" w:type="dxa"/>
          </w:tcPr>
          <w:p w14:paraId="592E4B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602557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473</w:t>
            </w:r>
          </w:p>
        </w:tc>
        <w:tc>
          <w:tcPr>
            <w:tcW w:w="2250" w:type="dxa"/>
          </w:tcPr>
          <w:p w14:paraId="13A798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Львов</w:t>
            </w:r>
          </w:p>
        </w:tc>
        <w:tc>
          <w:tcPr>
            <w:tcW w:w="1710" w:type="dxa"/>
          </w:tcPr>
          <w:p w14:paraId="1F8EF5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4A5AAA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Казань и объединен с ф-им з-да “ 218</w:t>
            </w:r>
          </w:p>
        </w:tc>
      </w:tr>
      <w:tr w:rsidR="006F4095" w:rsidRPr="008127F8" w14:paraId="4E4DAC69" w14:textId="77777777">
        <w:tc>
          <w:tcPr>
            <w:tcW w:w="468" w:type="dxa"/>
          </w:tcPr>
          <w:p w14:paraId="51E75B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450" w:type="dxa"/>
          </w:tcPr>
          <w:p w14:paraId="33A12C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493BE1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w:t>
            </w:r>
          </w:p>
        </w:tc>
        <w:tc>
          <w:tcPr>
            <w:tcW w:w="2250" w:type="dxa"/>
          </w:tcPr>
          <w:p w14:paraId="1948F6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1F1EC4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7A529C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w:t>
            </w:r>
          </w:p>
        </w:tc>
      </w:tr>
      <w:tr w:rsidR="006F4095" w:rsidRPr="008127F8" w14:paraId="3670A5A8" w14:textId="77777777">
        <w:tc>
          <w:tcPr>
            <w:tcW w:w="468" w:type="dxa"/>
          </w:tcPr>
          <w:p w14:paraId="14DC1F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450" w:type="dxa"/>
          </w:tcPr>
          <w:p w14:paraId="5BB02A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106C2C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2250" w:type="dxa"/>
          </w:tcPr>
          <w:p w14:paraId="20E2DA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710" w:type="dxa"/>
          </w:tcPr>
          <w:p w14:paraId="39D2CF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677CB6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51444054" w14:textId="77777777">
        <w:tc>
          <w:tcPr>
            <w:tcW w:w="468" w:type="dxa"/>
          </w:tcPr>
          <w:p w14:paraId="1A9001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450" w:type="dxa"/>
          </w:tcPr>
          <w:p w14:paraId="218C47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1DA082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2250" w:type="dxa"/>
          </w:tcPr>
          <w:p w14:paraId="31B374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Кадуга</w:t>
            </w:r>
          </w:p>
        </w:tc>
        <w:tc>
          <w:tcPr>
            <w:tcW w:w="1710" w:type="dxa"/>
          </w:tcPr>
          <w:p w14:paraId="4C818D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212CDD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Чкалов и объединен с з-м № 47</w:t>
            </w:r>
          </w:p>
        </w:tc>
      </w:tr>
      <w:tr w:rsidR="006F4095" w:rsidRPr="008127F8" w14:paraId="4C7CD7BF" w14:textId="77777777">
        <w:tc>
          <w:tcPr>
            <w:tcW w:w="468" w:type="dxa"/>
          </w:tcPr>
          <w:p w14:paraId="4264C3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450" w:type="dxa"/>
          </w:tcPr>
          <w:p w14:paraId="2E9D04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58BE9B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2250" w:type="dxa"/>
          </w:tcPr>
          <w:p w14:paraId="237318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w:t>
            </w:r>
          </w:p>
        </w:tc>
        <w:tc>
          <w:tcPr>
            <w:tcW w:w="1710" w:type="dxa"/>
          </w:tcPr>
          <w:p w14:paraId="116F38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72CD63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Днепропетровска з-м № 481</w:t>
            </w:r>
          </w:p>
        </w:tc>
      </w:tr>
      <w:tr w:rsidR="006F4095" w:rsidRPr="008127F8" w14:paraId="47C32DB2" w14:textId="77777777">
        <w:tc>
          <w:tcPr>
            <w:tcW w:w="468" w:type="dxa"/>
          </w:tcPr>
          <w:p w14:paraId="6C6D9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450" w:type="dxa"/>
          </w:tcPr>
          <w:p w14:paraId="4388B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701392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2250" w:type="dxa"/>
          </w:tcPr>
          <w:p w14:paraId="39D4FC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Севастополь</w:t>
            </w:r>
          </w:p>
        </w:tc>
        <w:tc>
          <w:tcPr>
            <w:tcW w:w="1710" w:type="dxa"/>
          </w:tcPr>
          <w:p w14:paraId="3AECF6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 1941</w:t>
            </w:r>
          </w:p>
        </w:tc>
        <w:tc>
          <w:tcPr>
            <w:tcW w:w="2880" w:type="dxa"/>
          </w:tcPr>
          <w:p w14:paraId="2FAAD5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18FD8102" w14:textId="77777777">
        <w:tc>
          <w:tcPr>
            <w:tcW w:w="468" w:type="dxa"/>
          </w:tcPr>
          <w:p w14:paraId="25BCE9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450" w:type="dxa"/>
          </w:tcPr>
          <w:p w14:paraId="5B60F7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320FF1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2250" w:type="dxa"/>
          </w:tcPr>
          <w:p w14:paraId="28A44C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4226EF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 1941</w:t>
            </w:r>
          </w:p>
        </w:tc>
        <w:tc>
          <w:tcPr>
            <w:tcW w:w="2880" w:type="dxa"/>
          </w:tcPr>
          <w:p w14:paraId="6AC169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в Новосибирск реорганизован в ОКБ з-да 153</w:t>
            </w:r>
          </w:p>
        </w:tc>
      </w:tr>
      <w:tr w:rsidR="006F4095" w:rsidRPr="008127F8" w14:paraId="641160C7" w14:textId="77777777">
        <w:tc>
          <w:tcPr>
            <w:tcW w:w="468" w:type="dxa"/>
          </w:tcPr>
          <w:p w14:paraId="504ADC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450" w:type="dxa"/>
          </w:tcPr>
          <w:p w14:paraId="62F826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0" w:type="dxa"/>
          </w:tcPr>
          <w:p w14:paraId="64F77B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2250" w:type="dxa"/>
          </w:tcPr>
          <w:p w14:paraId="05550B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2AAA68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Июлб 1941</w:t>
            </w:r>
          </w:p>
        </w:tc>
        <w:tc>
          <w:tcPr>
            <w:tcW w:w="2880" w:type="dxa"/>
          </w:tcPr>
          <w:p w14:paraId="667651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Омск и объединен с з-м № 166</w:t>
            </w:r>
          </w:p>
        </w:tc>
      </w:tr>
      <w:tr w:rsidR="006F4095" w:rsidRPr="008127F8" w14:paraId="14902524" w14:textId="77777777">
        <w:tc>
          <w:tcPr>
            <w:tcW w:w="468" w:type="dxa"/>
          </w:tcPr>
          <w:p w14:paraId="09BA9D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450" w:type="dxa"/>
          </w:tcPr>
          <w:p w14:paraId="5736C8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6BA93A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250" w:type="dxa"/>
          </w:tcPr>
          <w:p w14:paraId="562EE7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Кимры</w:t>
            </w:r>
          </w:p>
        </w:tc>
        <w:tc>
          <w:tcPr>
            <w:tcW w:w="1710" w:type="dxa"/>
          </w:tcPr>
          <w:p w14:paraId="6064B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 1941</w:t>
            </w:r>
          </w:p>
        </w:tc>
        <w:tc>
          <w:tcPr>
            <w:tcW w:w="2880" w:type="dxa"/>
          </w:tcPr>
          <w:p w14:paraId="135DE7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24C86248" w14:textId="77777777">
        <w:tc>
          <w:tcPr>
            <w:tcW w:w="468" w:type="dxa"/>
          </w:tcPr>
          <w:p w14:paraId="78ED83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450" w:type="dxa"/>
          </w:tcPr>
          <w:p w14:paraId="4ADFC8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061AB6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2250" w:type="dxa"/>
          </w:tcPr>
          <w:p w14:paraId="49C7FB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Смоленск</w:t>
            </w:r>
          </w:p>
        </w:tc>
        <w:tc>
          <w:tcPr>
            <w:tcW w:w="1710" w:type="dxa"/>
          </w:tcPr>
          <w:p w14:paraId="17FDB1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7A8A40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5B5B258D" w14:textId="77777777">
        <w:tc>
          <w:tcPr>
            <w:tcW w:w="468" w:type="dxa"/>
          </w:tcPr>
          <w:p w14:paraId="366F2E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450" w:type="dxa"/>
          </w:tcPr>
          <w:p w14:paraId="6248CC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1DE2CC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2250" w:type="dxa"/>
          </w:tcPr>
          <w:p w14:paraId="20C33E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710" w:type="dxa"/>
          </w:tcPr>
          <w:p w14:paraId="7D452A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 1941</w:t>
            </w:r>
          </w:p>
        </w:tc>
        <w:tc>
          <w:tcPr>
            <w:tcW w:w="2880" w:type="dxa"/>
          </w:tcPr>
          <w:p w14:paraId="618235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22</w:t>
            </w:r>
          </w:p>
        </w:tc>
      </w:tr>
      <w:tr w:rsidR="006F4095" w:rsidRPr="008127F8" w14:paraId="0753BF69" w14:textId="77777777">
        <w:tc>
          <w:tcPr>
            <w:tcW w:w="468" w:type="dxa"/>
          </w:tcPr>
          <w:p w14:paraId="52BC80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450" w:type="dxa"/>
          </w:tcPr>
          <w:p w14:paraId="249570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14074D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250" w:type="dxa"/>
          </w:tcPr>
          <w:p w14:paraId="7740B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c>
          <w:tcPr>
            <w:tcW w:w="1710" w:type="dxa"/>
          </w:tcPr>
          <w:p w14:paraId="09E6F4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7C489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Москвы з-м 39</w:t>
            </w:r>
          </w:p>
        </w:tc>
      </w:tr>
      <w:tr w:rsidR="006F4095" w:rsidRPr="008127F8" w14:paraId="72BBDEED" w14:textId="77777777">
        <w:tc>
          <w:tcPr>
            <w:tcW w:w="468" w:type="dxa"/>
          </w:tcPr>
          <w:p w14:paraId="32E2DC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450" w:type="dxa"/>
          </w:tcPr>
          <w:p w14:paraId="443DDD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14748F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2250" w:type="dxa"/>
          </w:tcPr>
          <w:p w14:paraId="56BF2C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710" w:type="dxa"/>
          </w:tcPr>
          <w:p w14:paraId="7F12A5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096B41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Нижний Тагил и объединен с эвакуированным туду же з-м № 381</w:t>
            </w:r>
          </w:p>
        </w:tc>
      </w:tr>
      <w:tr w:rsidR="006F4095" w:rsidRPr="008127F8" w14:paraId="3B976FFA" w14:textId="77777777">
        <w:tc>
          <w:tcPr>
            <w:tcW w:w="468" w:type="dxa"/>
          </w:tcPr>
          <w:p w14:paraId="2C6422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450" w:type="dxa"/>
          </w:tcPr>
          <w:p w14:paraId="18954A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326595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2250" w:type="dxa"/>
          </w:tcPr>
          <w:p w14:paraId="7E166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710" w:type="dxa"/>
          </w:tcPr>
          <w:p w14:paraId="3C637A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1941</w:t>
            </w:r>
          </w:p>
        </w:tc>
        <w:tc>
          <w:tcPr>
            <w:tcW w:w="2880" w:type="dxa"/>
          </w:tcPr>
          <w:p w14:paraId="4F66F3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4AE1ECC5" w14:textId="77777777">
        <w:tc>
          <w:tcPr>
            <w:tcW w:w="468" w:type="dxa"/>
          </w:tcPr>
          <w:p w14:paraId="3BAFAF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450" w:type="dxa"/>
          </w:tcPr>
          <w:p w14:paraId="5DF807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0F35D3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2250" w:type="dxa"/>
          </w:tcPr>
          <w:p w14:paraId="1F0D36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Минск</w:t>
            </w:r>
          </w:p>
        </w:tc>
        <w:tc>
          <w:tcPr>
            <w:tcW w:w="1710" w:type="dxa"/>
          </w:tcPr>
          <w:p w14:paraId="58FA34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11BAEB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8127F8" w14:paraId="13DD9D69" w14:textId="77777777">
        <w:tc>
          <w:tcPr>
            <w:tcW w:w="468" w:type="dxa"/>
          </w:tcPr>
          <w:p w14:paraId="58452E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450" w:type="dxa"/>
          </w:tcPr>
          <w:p w14:paraId="7121B4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3527FB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2250" w:type="dxa"/>
          </w:tcPr>
          <w:p w14:paraId="59DD29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710" w:type="dxa"/>
          </w:tcPr>
          <w:p w14:paraId="14806B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1D9C65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 с эвакуированным из Ленинграда з-м № 387</w:t>
            </w:r>
          </w:p>
        </w:tc>
      </w:tr>
      <w:tr w:rsidR="006F4095" w:rsidRPr="008127F8" w14:paraId="49E3DE69" w14:textId="77777777">
        <w:tc>
          <w:tcPr>
            <w:tcW w:w="468" w:type="dxa"/>
          </w:tcPr>
          <w:p w14:paraId="37EC78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450" w:type="dxa"/>
          </w:tcPr>
          <w:p w14:paraId="05C53E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7AFA55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493</w:t>
            </w:r>
          </w:p>
        </w:tc>
        <w:tc>
          <w:tcPr>
            <w:tcW w:w="2250" w:type="dxa"/>
          </w:tcPr>
          <w:p w14:paraId="70B24D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1710" w:type="dxa"/>
          </w:tcPr>
          <w:p w14:paraId="034406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1941</w:t>
            </w:r>
          </w:p>
        </w:tc>
        <w:tc>
          <w:tcPr>
            <w:tcW w:w="2880" w:type="dxa"/>
          </w:tcPr>
          <w:p w14:paraId="63BC4D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оборудование передано другим з-м</w:t>
            </w:r>
          </w:p>
        </w:tc>
      </w:tr>
      <w:tr w:rsidR="006F4095" w:rsidRPr="008127F8" w14:paraId="68A765DC" w14:textId="77777777">
        <w:tc>
          <w:tcPr>
            <w:tcW w:w="468" w:type="dxa"/>
          </w:tcPr>
          <w:p w14:paraId="45D83C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450" w:type="dxa"/>
          </w:tcPr>
          <w:p w14:paraId="13A762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0" w:type="dxa"/>
          </w:tcPr>
          <w:p w14:paraId="177C12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482</w:t>
            </w:r>
          </w:p>
        </w:tc>
        <w:tc>
          <w:tcPr>
            <w:tcW w:w="2250" w:type="dxa"/>
          </w:tcPr>
          <w:p w14:paraId="0DD75A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19AA9B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4111F3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Козловку и объединен с з-м № 494</w:t>
            </w:r>
          </w:p>
        </w:tc>
      </w:tr>
      <w:tr w:rsidR="006F4095" w:rsidRPr="008127F8" w14:paraId="5D101B1B" w14:textId="77777777">
        <w:tc>
          <w:tcPr>
            <w:tcW w:w="468" w:type="dxa"/>
          </w:tcPr>
          <w:p w14:paraId="78FBA5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450" w:type="dxa"/>
          </w:tcPr>
          <w:p w14:paraId="68F8C9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2B4EA0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2250" w:type="dxa"/>
          </w:tcPr>
          <w:p w14:paraId="027F9E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710" w:type="dxa"/>
          </w:tcPr>
          <w:p w14:paraId="74E7D3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2880" w:type="dxa"/>
          </w:tcPr>
          <w:p w14:paraId="7CB8EA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Тавду и объединен с з-м № 5 Оргавиапрома</w:t>
            </w:r>
          </w:p>
        </w:tc>
      </w:tr>
      <w:tr w:rsidR="006F4095" w:rsidRPr="008127F8" w14:paraId="6599BB69" w14:textId="77777777">
        <w:tc>
          <w:tcPr>
            <w:tcW w:w="468" w:type="dxa"/>
          </w:tcPr>
          <w:p w14:paraId="4DECCB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450" w:type="dxa"/>
          </w:tcPr>
          <w:p w14:paraId="1044EE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Оргавиа</w:t>
            </w:r>
          </w:p>
        </w:tc>
        <w:tc>
          <w:tcPr>
            <w:tcW w:w="540" w:type="dxa"/>
          </w:tcPr>
          <w:p w14:paraId="3F84AF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2250" w:type="dxa"/>
          </w:tcPr>
          <w:p w14:paraId="605FB0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710" w:type="dxa"/>
          </w:tcPr>
          <w:p w14:paraId="520254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2880" w:type="dxa"/>
          </w:tcPr>
          <w:p w14:paraId="3E6C8E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расформирован, оборудование передано другим з-м</w:t>
            </w:r>
          </w:p>
        </w:tc>
      </w:tr>
    </w:tbl>
    <w:p w14:paraId="55B791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Список строек предприятий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8"/>
        <w:gridCol w:w="450"/>
        <w:gridCol w:w="540"/>
        <w:gridCol w:w="2250"/>
        <w:gridCol w:w="1710"/>
        <w:gridCol w:w="2880"/>
      </w:tblGrid>
      <w:tr w:rsidR="006F4095" w:rsidRPr="008127F8" w14:paraId="552F849A" w14:textId="77777777">
        <w:tc>
          <w:tcPr>
            <w:tcW w:w="468" w:type="dxa"/>
          </w:tcPr>
          <w:p w14:paraId="7E5B53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w:t>
            </w:r>
          </w:p>
        </w:tc>
        <w:tc>
          <w:tcPr>
            <w:tcW w:w="450" w:type="dxa"/>
          </w:tcPr>
          <w:p w14:paraId="1099EA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7BBCA6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2250" w:type="dxa"/>
          </w:tcPr>
          <w:p w14:paraId="0F5D31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Дземги, п/я 52</w:t>
            </w:r>
          </w:p>
        </w:tc>
        <w:tc>
          <w:tcPr>
            <w:tcW w:w="1710" w:type="dxa"/>
          </w:tcPr>
          <w:p w14:paraId="054221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w:t>
            </w:r>
          </w:p>
        </w:tc>
        <w:tc>
          <w:tcPr>
            <w:tcW w:w="2880" w:type="dxa"/>
          </w:tcPr>
          <w:p w14:paraId="5508FF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Стр-во продолжается</w:t>
            </w:r>
          </w:p>
        </w:tc>
      </w:tr>
      <w:tr w:rsidR="006F4095" w:rsidRPr="008127F8" w14:paraId="15B3232E" w14:textId="77777777">
        <w:tc>
          <w:tcPr>
            <w:tcW w:w="468" w:type="dxa"/>
          </w:tcPr>
          <w:p w14:paraId="1AFEE0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450" w:type="dxa"/>
          </w:tcPr>
          <w:p w14:paraId="3F090F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5995AB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w:t>
            </w:r>
          </w:p>
        </w:tc>
        <w:tc>
          <w:tcPr>
            <w:tcW w:w="2250" w:type="dxa"/>
          </w:tcPr>
          <w:p w14:paraId="5DF03A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Кутаиси</w:t>
            </w:r>
          </w:p>
        </w:tc>
        <w:tc>
          <w:tcPr>
            <w:tcW w:w="1710" w:type="dxa"/>
          </w:tcPr>
          <w:p w14:paraId="63F941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Кутаиси</w:t>
            </w:r>
          </w:p>
        </w:tc>
        <w:tc>
          <w:tcPr>
            <w:tcW w:w="2880" w:type="dxa"/>
          </w:tcPr>
          <w:p w14:paraId="6C5BB8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Стр-во продолжается</w:t>
            </w:r>
          </w:p>
        </w:tc>
      </w:tr>
      <w:tr w:rsidR="006F4095" w:rsidRPr="008127F8" w14:paraId="75449D01" w14:textId="77777777">
        <w:tc>
          <w:tcPr>
            <w:tcW w:w="468" w:type="dxa"/>
          </w:tcPr>
          <w:p w14:paraId="14594B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450" w:type="dxa"/>
          </w:tcPr>
          <w:p w14:paraId="40C13B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0" w:type="dxa"/>
          </w:tcPr>
          <w:p w14:paraId="501FF6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446</w:t>
            </w:r>
          </w:p>
        </w:tc>
        <w:tc>
          <w:tcPr>
            <w:tcW w:w="2250" w:type="dxa"/>
          </w:tcPr>
          <w:p w14:paraId="753B7E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Баку</w:t>
            </w:r>
          </w:p>
        </w:tc>
        <w:tc>
          <w:tcPr>
            <w:tcW w:w="1710" w:type="dxa"/>
          </w:tcPr>
          <w:p w14:paraId="067540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Баку</w:t>
            </w:r>
          </w:p>
        </w:tc>
        <w:tc>
          <w:tcPr>
            <w:tcW w:w="2880" w:type="dxa"/>
          </w:tcPr>
          <w:p w14:paraId="5B3E04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458, эвакуированного из Ростова</w:t>
            </w:r>
          </w:p>
        </w:tc>
      </w:tr>
      <w:tr w:rsidR="006F4095" w:rsidRPr="008127F8" w14:paraId="166BA631" w14:textId="77777777">
        <w:tc>
          <w:tcPr>
            <w:tcW w:w="468" w:type="dxa"/>
          </w:tcPr>
          <w:p w14:paraId="64482D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50" w:type="dxa"/>
          </w:tcPr>
          <w:p w14:paraId="400AE2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7CAB11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2250" w:type="dxa"/>
          </w:tcPr>
          <w:p w14:paraId="49C8B6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33FCEB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2880" w:type="dxa"/>
          </w:tcPr>
          <w:p w14:paraId="08ED6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32, эвакуированного из Москвы</w:t>
            </w:r>
          </w:p>
        </w:tc>
      </w:tr>
      <w:tr w:rsidR="006F4095" w:rsidRPr="008127F8" w14:paraId="09CF2499" w14:textId="77777777">
        <w:tc>
          <w:tcPr>
            <w:tcW w:w="468" w:type="dxa"/>
          </w:tcPr>
          <w:p w14:paraId="3AD353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450" w:type="dxa"/>
          </w:tcPr>
          <w:p w14:paraId="583D34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0" w:type="dxa"/>
          </w:tcPr>
          <w:p w14:paraId="3F070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285</w:t>
            </w:r>
          </w:p>
        </w:tc>
        <w:tc>
          <w:tcPr>
            <w:tcW w:w="2250" w:type="dxa"/>
          </w:tcPr>
          <w:p w14:paraId="0C36F2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330CA9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2880" w:type="dxa"/>
          </w:tcPr>
          <w:p w14:paraId="07E225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469, эвакуированного из Солнечногоска, МО</w:t>
            </w:r>
          </w:p>
        </w:tc>
      </w:tr>
      <w:tr w:rsidR="006F4095" w:rsidRPr="008127F8" w14:paraId="2E71510B" w14:textId="77777777">
        <w:tc>
          <w:tcPr>
            <w:tcW w:w="468" w:type="dxa"/>
          </w:tcPr>
          <w:p w14:paraId="6ABBBF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450" w:type="dxa"/>
          </w:tcPr>
          <w:p w14:paraId="3FC17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0" w:type="dxa"/>
          </w:tcPr>
          <w:p w14:paraId="7D3B2C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448</w:t>
            </w:r>
          </w:p>
        </w:tc>
        <w:tc>
          <w:tcPr>
            <w:tcW w:w="2250" w:type="dxa"/>
          </w:tcPr>
          <w:p w14:paraId="622E3A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2286FC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c>
          <w:tcPr>
            <w:tcW w:w="2880" w:type="dxa"/>
          </w:tcPr>
          <w:p w14:paraId="2FA37F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31, эвакуированного из таганрога</w:t>
            </w:r>
          </w:p>
        </w:tc>
      </w:tr>
      <w:tr w:rsidR="006F4095" w:rsidRPr="008127F8" w14:paraId="1B25BECC" w14:textId="77777777">
        <w:tc>
          <w:tcPr>
            <w:tcW w:w="468" w:type="dxa"/>
          </w:tcPr>
          <w:p w14:paraId="4C3EE7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450" w:type="dxa"/>
          </w:tcPr>
          <w:p w14:paraId="245008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2D52C8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2250" w:type="dxa"/>
          </w:tcPr>
          <w:p w14:paraId="5BD80E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Сарапул, п/я 58</w:t>
            </w:r>
          </w:p>
        </w:tc>
        <w:tc>
          <w:tcPr>
            <w:tcW w:w="1710" w:type="dxa"/>
          </w:tcPr>
          <w:p w14:paraId="0AA565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Сарапул</w:t>
            </w:r>
          </w:p>
        </w:tc>
        <w:tc>
          <w:tcPr>
            <w:tcW w:w="2880" w:type="dxa"/>
          </w:tcPr>
          <w:p w14:paraId="063ADC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Стр-во продолжается</w:t>
            </w:r>
          </w:p>
        </w:tc>
      </w:tr>
      <w:tr w:rsidR="006F4095" w:rsidRPr="008127F8" w14:paraId="01B2FA66" w14:textId="77777777">
        <w:tc>
          <w:tcPr>
            <w:tcW w:w="468" w:type="dxa"/>
          </w:tcPr>
          <w:p w14:paraId="121563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450" w:type="dxa"/>
          </w:tcPr>
          <w:p w14:paraId="598822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0" w:type="dxa"/>
          </w:tcPr>
          <w:p w14:paraId="56A285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2250" w:type="dxa"/>
          </w:tcPr>
          <w:p w14:paraId="33E145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642888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2880" w:type="dxa"/>
          </w:tcPr>
          <w:p w14:paraId="01F727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25, эвакуированного из Москвы</w:t>
            </w:r>
          </w:p>
        </w:tc>
      </w:tr>
      <w:tr w:rsidR="006F4095" w:rsidRPr="008127F8" w14:paraId="7B4F8EB2" w14:textId="77777777">
        <w:tc>
          <w:tcPr>
            <w:tcW w:w="468" w:type="dxa"/>
          </w:tcPr>
          <w:p w14:paraId="4A3CC4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450" w:type="dxa"/>
          </w:tcPr>
          <w:p w14:paraId="184DD1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7C6264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2250" w:type="dxa"/>
          </w:tcPr>
          <w:p w14:paraId="65B5E5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 п/я 99</w:t>
            </w:r>
          </w:p>
        </w:tc>
        <w:tc>
          <w:tcPr>
            <w:tcW w:w="1710" w:type="dxa"/>
          </w:tcPr>
          <w:p w14:paraId="0E23F5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2880" w:type="dxa"/>
          </w:tcPr>
          <w:p w14:paraId="147C30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Стр-во продолжается</w:t>
            </w:r>
          </w:p>
        </w:tc>
      </w:tr>
      <w:tr w:rsidR="006F4095" w:rsidRPr="008127F8" w14:paraId="129F96D4" w14:textId="77777777">
        <w:tc>
          <w:tcPr>
            <w:tcW w:w="468" w:type="dxa"/>
          </w:tcPr>
          <w:p w14:paraId="362236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450" w:type="dxa"/>
          </w:tcPr>
          <w:p w14:paraId="599785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24E587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2250" w:type="dxa"/>
          </w:tcPr>
          <w:p w14:paraId="1478E8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7D8B16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w:t>
            </w:r>
          </w:p>
        </w:tc>
        <w:tc>
          <w:tcPr>
            <w:tcW w:w="2880" w:type="dxa"/>
          </w:tcPr>
          <w:p w14:paraId="5BF64A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Стр-во продолжается</w:t>
            </w:r>
          </w:p>
        </w:tc>
      </w:tr>
      <w:tr w:rsidR="006F4095" w:rsidRPr="008127F8" w14:paraId="23FDAF47" w14:textId="77777777">
        <w:tc>
          <w:tcPr>
            <w:tcW w:w="468" w:type="dxa"/>
          </w:tcPr>
          <w:p w14:paraId="0F69F1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450" w:type="dxa"/>
          </w:tcPr>
          <w:p w14:paraId="6E503A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16EFE9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287</w:t>
            </w:r>
          </w:p>
        </w:tc>
        <w:tc>
          <w:tcPr>
            <w:tcW w:w="2250" w:type="dxa"/>
          </w:tcPr>
          <w:p w14:paraId="0CE89D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 п/я 11</w:t>
            </w:r>
          </w:p>
        </w:tc>
        <w:tc>
          <w:tcPr>
            <w:tcW w:w="1710" w:type="dxa"/>
          </w:tcPr>
          <w:p w14:paraId="52E5D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w:t>
            </w:r>
          </w:p>
        </w:tc>
        <w:tc>
          <w:tcPr>
            <w:tcW w:w="2880" w:type="dxa"/>
          </w:tcPr>
          <w:p w14:paraId="55F49B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F4095" w:rsidRPr="008127F8" w14:paraId="3AE92D07" w14:textId="77777777">
        <w:tc>
          <w:tcPr>
            <w:tcW w:w="468" w:type="dxa"/>
          </w:tcPr>
          <w:p w14:paraId="5639F8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450" w:type="dxa"/>
          </w:tcPr>
          <w:p w14:paraId="08F99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697331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149</w:t>
            </w:r>
          </w:p>
        </w:tc>
        <w:tc>
          <w:tcPr>
            <w:tcW w:w="2250" w:type="dxa"/>
          </w:tcPr>
          <w:p w14:paraId="033E9D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141C7D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Вязьмя</w:t>
            </w:r>
          </w:p>
        </w:tc>
        <w:tc>
          <w:tcPr>
            <w:tcW w:w="2880" w:type="dxa"/>
          </w:tcPr>
          <w:p w14:paraId="2403A5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Прекращено в связи с эвакуацией</w:t>
            </w:r>
          </w:p>
        </w:tc>
      </w:tr>
      <w:tr w:rsidR="006F4095" w:rsidRPr="008127F8" w14:paraId="3A08F481" w14:textId="77777777">
        <w:tc>
          <w:tcPr>
            <w:tcW w:w="468" w:type="dxa"/>
          </w:tcPr>
          <w:p w14:paraId="1E7125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450" w:type="dxa"/>
          </w:tcPr>
          <w:p w14:paraId="75C810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0" w:type="dxa"/>
          </w:tcPr>
          <w:p w14:paraId="172407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w:t>
            </w:r>
          </w:p>
        </w:tc>
        <w:tc>
          <w:tcPr>
            <w:tcW w:w="2250" w:type="dxa"/>
          </w:tcPr>
          <w:p w14:paraId="5C5383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0AEE52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2880" w:type="dxa"/>
          </w:tcPr>
          <w:p w14:paraId="73D128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Прекращено в связи с эвакуацией</w:t>
            </w:r>
          </w:p>
        </w:tc>
      </w:tr>
      <w:tr w:rsidR="006F4095" w:rsidRPr="008127F8" w14:paraId="65A01E6F" w14:textId="77777777">
        <w:tc>
          <w:tcPr>
            <w:tcW w:w="468" w:type="dxa"/>
          </w:tcPr>
          <w:p w14:paraId="0498CC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450" w:type="dxa"/>
          </w:tcPr>
          <w:p w14:paraId="74DB20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0" w:type="dxa"/>
          </w:tcPr>
          <w:p w14:paraId="157879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w:t>
            </w:r>
          </w:p>
        </w:tc>
        <w:tc>
          <w:tcPr>
            <w:tcW w:w="2250" w:type="dxa"/>
          </w:tcPr>
          <w:p w14:paraId="49E667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271797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Ново-Киевская, Амурская обл.</w:t>
            </w:r>
          </w:p>
        </w:tc>
        <w:tc>
          <w:tcPr>
            <w:tcW w:w="2880" w:type="dxa"/>
          </w:tcPr>
          <w:p w14:paraId="4F0A9F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F4095" w:rsidRPr="008127F8" w14:paraId="48FF1ECB" w14:textId="77777777">
        <w:tc>
          <w:tcPr>
            <w:tcW w:w="468" w:type="dxa"/>
          </w:tcPr>
          <w:p w14:paraId="4ABC68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450" w:type="dxa"/>
          </w:tcPr>
          <w:p w14:paraId="38FA6C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0" w:type="dxa"/>
          </w:tcPr>
          <w:p w14:paraId="7A1A8C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268</w:t>
            </w:r>
          </w:p>
        </w:tc>
        <w:tc>
          <w:tcPr>
            <w:tcW w:w="2250" w:type="dxa"/>
          </w:tcPr>
          <w:p w14:paraId="679BA7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596455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w:t>
            </w:r>
          </w:p>
        </w:tc>
        <w:tc>
          <w:tcPr>
            <w:tcW w:w="2880" w:type="dxa"/>
          </w:tcPr>
          <w:p w14:paraId="792CDB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150, эвакуированного из Ступино, МО</w:t>
            </w:r>
          </w:p>
        </w:tc>
      </w:tr>
      <w:tr w:rsidR="006F4095" w:rsidRPr="008127F8" w14:paraId="79370D8E" w14:textId="77777777">
        <w:tc>
          <w:tcPr>
            <w:tcW w:w="468" w:type="dxa"/>
          </w:tcPr>
          <w:p w14:paraId="7E4D35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450" w:type="dxa"/>
          </w:tcPr>
          <w:p w14:paraId="72F81A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0" w:type="dxa"/>
          </w:tcPr>
          <w:p w14:paraId="332BA1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w:t>
            </w:r>
          </w:p>
        </w:tc>
        <w:tc>
          <w:tcPr>
            <w:tcW w:w="2250" w:type="dxa"/>
          </w:tcPr>
          <w:p w14:paraId="2BEDB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5ACB1E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Верхняя Салда</w:t>
            </w:r>
          </w:p>
        </w:tc>
        <w:tc>
          <w:tcPr>
            <w:tcW w:w="2880" w:type="dxa"/>
          </w:tcPr>
          <w:p w14:paraId="3D5ECE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 в связи с размещением на его площадке з-да № 95, эвакуированного из Кунцево, МО</w:t>
            </w:r>
          </w:p>
        </w:tc>
      </w:tr>
      <w:tr w:rsidR="006F4095" w:rsidRPr="008127F8" w14:paraId="44C779F0" w14:textId="77777777">
        <w:tc>
          <w:tcPr>
            <w:tcW w:w="468" w:type="dxa"/>
          </w:tcPr>
          <w:p w14:paraId="500FFE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450" w:type="dxa"/>
          </w:tcPr>
          <w:p w14:paraId="109F1B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0" w:type="dxa"/>
          </w:tcPr>
          <w:p w14:paraId="42E5F0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447</w:t>
            </w:r>
          </w:p>
        </w:tc>
        <w:tc>
          <w:tcPr>
            <w:tcW w:w="2250" w:type="dxa"/>
          </w:tcPr>
          <w:p w14:paraId="0A5572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Ереван, п/я 104</w:t>
            </w:r>
          </w:p>
        </w:tc>
        <w:tc>
          <w:tcPr>
            <w:tcW w:w="1710" w:type="dxa"/>
          </w:tcPr>
          <w:p w14:paraId="0B279E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Ереван</w:t>
            </w:r>
          </w:p>
        </w:tc>
        <w:tc>
          <w:tcPr>
            <w:tcW w:w="2880" w:type="dxa"/>
          </w:tcPr>
          <w:p w14:paraId="09E582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87FE2" w:rsidRPr="008127F8" w14:paraId="2EA122C4" w14:textId="77777777">
        <w:tc>
          <w:tcPr>
            <w:tcW w:w="468" w:type="dxa"/>
          </w:tcPr>
          <w:p w14:paraId="339DB6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472A6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D77FD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0" w:type="dxa"/>
          </w:tcPr>
          <w:p w14:paraId="7F5407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55C27D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215756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(1682, 10-27)</w:t>
            </w:r>
          </w:p>
        </w:tc>
      </w:tr>
    </w:tbl>
    <w:p w14:paraId="76BF79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64B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17 февраля 1942:</w:t>
      </w:r>
    </w:p>
    <w:p w14:paraId="62D801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Действующие предприятия НКАП на 17.02.1942 г.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2826. Л. 11—20).</w:t>
      </w:r>
    </w:p>
    <w:tbl>
      <w:tblPr>
        <w:tblW w:w="0" w:type="auto"/>
        <w:tblInd w:w="8" w:type="dxa"/>
        <w:tblLayout w:type="fixed"/>
        <w:tblCellMar>
          <w:left w:w="0" w:type="dxa"/>
          <w:right w:w="0" w:type="dxa"/>
        </w:tblCellMar>
        <w:tblLook w:val="0000" w:firstRow="0" w:lastRow="0" w:firstColumn="0" w:lastColumn="0" w:noHBand="0" w:noVBand="0"/>
      </w:tblPr>
      <w:tblGrid>
        <w:gridCol w:w="1276"/>
        <w:gridCol w:w="1701"/>
        <w:gridCol w:w="5528"/>
      </w:tblGrid>
      <w:tr w:rsidR="006F4095" w:rsidRPr="008127F8" w14:paraId="3AAC9EE1" w14:textId="77777777">
        <w:trPr>
          <w:trHeight w:val="235"/>
        </w:trPr>
        <w:tc>
          <w:tcPr>
            <w:tcW w:w="1276" w:type="dxa"/>
            <w:tcBorders>
              <w:top w:val="single" w:sz="6" w:space="0" w:color="auto"/>
              <w:left w:val="single" w:sz="6" w:space="0" w:color="auto"/>
              <w:bottom w:val="single" w:sz="6" w:space="0" w:color="auto"/>
              <w:right w:val="nil"/>
            </w:tcBorders>
            <w:shd w:val="clear" w:color="auto" w:fill="FFFFFF"/>
          </w:tcPr>
          <w:p w14:paraId="13B84C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завода</w:t>
            </w:r>
          </w:p>
        </w:tc>
        <w:tc>
          <w:tcPr>
            <w:tcW w:w="1701" w:type="dxa"/>
            <w:tcBorders>
              <w:top w:val="single" w:sz="6" w:space="0" w:color="auto"/>
              <w:left w:val="nil"/>
              <w:bottom w:val="single" w:sz="6" w:space="0" w:color="auto"/>
              <w:right w:val="nil"/>
            </w:tcBorders>
            <w:shd w:val="clear" w:color="auto" w:fill="FFFFFF"/>
          </w:tcPr>
          <w:p w14:paraId="2061B2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Местонахождение</w:t>
            </w:r>
          </w:p>
        </w:tc>
        <w:tc>
          <w:tcPr>
            <w:tcW w:w="5528" w:type="dxa"/>
            <w:tcBorders>
              <w:top w:val="single" w:sz="6" w:space="0" w:color="auto"/>
              <w:left w:val="nil"/>
              <w:bottom w:val="single" w:sz="6" w:space="0" w:color="auto"/>
              <w:right w:val="single" w:sz="6" w:space="0" w:color="auto"/>
            </w:tcBorders>
            <w:shd w:val="clear" w:color="auto" w:fill="FFFFFF"/>
          </w:tcPr>
          <w:p w14:paraId="5EF6BC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46DBF04B"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0B57EA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ХГУ</w:t>
            </w:r>
          </w:p>
        </w:tc>
      </w:tr>
      <w:tr w:rsidR="006F4095" w:rsidRPr="008127F8" w14:paraId="06B58DB5"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9E4C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EBBF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413CD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№122</w:t>
            </w:r>
          </w:p>
        </w:tc>
      </w:tr>
      <w:tr w:rsidR="006F4095" w:rsidRPr="008127F8" w14:paraId="55BA5E8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0A05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18150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9037C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 на площадку бывш. завода №295</w:t>
            </w:r>
          </w:p>
        </w:tc>
      </w:tr>
      <w:tr w:rsidR="006F4095" w:rsidRPr="008127F8" w14:paraId="7786982A"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9C850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CB16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E199C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из Москвы зав. №1</w:t>
            </w:r>
          </w:p>
        </w:tc>
      </w:tr>
      <w:tr w:rsidR="006F4095" w:rsidRPr="008127F8" w14:paraId="207AA7C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8873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ACC72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05BE5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мастерских ГУГВФ</w:t>
            </w:r>
          </w:p>
        </w:tc>
      </w:tr>
      <w:tr w:rsidR="006F4095" w:rsidRPr="008127F8" w14:paraId="20AED53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C826C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295F9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Комсомольск-на-Амуре</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E8EA0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F23768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E366C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F157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Хабаровы</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DA507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завода № 126</w:t>
            </w:r>
          </w:p>
        </w:tc>
      </w:tr>
      <w:tr w:rsidR="006F4095" w:rsidRPr="008127F8" w14:paraId="3C1C0D13"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E86B8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6FBD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6D3F2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зав. № 125</w:t>
            </w:r>
          </w:p>
        </w:tc>
      </w:tr>
      <w:tr w:rsidR="006F4095" w:rsidRPr="008127F8" w14:paraId="4829A5DE"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B2E5F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1C3E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Улан-Удэ</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F923C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завода №39</w:t>
            </w:r>
          </w:p>
        </w:tc>
      </w:tr>
      <w:tr w:rsidR="006F4095" w:rsidRPr="008127F8" w14:paraId="4B329DC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0CD1B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7AF6A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FA3D5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581D4B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FDB03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0241D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Подольск (Московская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48D8D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бывш. завода нм. Орджони</w:t>
            </w:r>
            <w:r w:rsidRPr="008127F8">
              <w:rPr>
                <w:rFonts w:ascii="Times New Roman" w:hAnsi="Times New Roman"/>
                <w:color w:val="000000" w:themeColor="text1"/>
                <w:sz w:val="16"/>
                <w:szCs w:val="16"/>
              </w:rPr>
              <w:softHyphen/>
              <w:t>кидзе НКнсфга</w:t>
            </w:r>
          </w:p>
        </w:tc>
      </w:tr>
      <w:tr w:rsidR="006F4095" w:rsidRPr="008127F8" w14:paraId="6FBCA37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0CA04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2C35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8026A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бывш. механического завода ИКтанкопром</w:t>
            </w:r>
          </w:p>
        </w:tc>
      </w:tr>
      <w:tr w:rsidR="006F4095" w:rsidRPr="008127F8" w14:paraId="6E0A7F3A"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D6F1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0CF7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Тагил</w:t>
            </w:r>
            <w:r w:rsidRPr="008127F8">
              <w:rPr>
                <w:rFonts w:ascii="Times New Roman" w:hAnsi="Times New Roman"/>
                <w:iCs/>
                <w:color w:val="000000" w:themeColor="text1"/>
                <w:sz w:val="16"/>
                <w:szCs w:val="16"/>
              </w:rPr>
              <w:t xml:space="preserve"> (Москва) *</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B84BB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кз Ленинграда на площадку Ниж</w:t>
            </w:r>
            <w:r w:rsidRPr="008127F8">
              <w:rPr>
                <w:rFonts w:ascii="Times New Roman" w:hAnsi="Times New Roman"/>
                <w:color w:val="000000" w:themeColor="text1"/>
                <w:sz w:val="16"/>
                <w:szCs w:val="16"/>
              </w:rPr>
              <w:softHyphen/>
              <w:t xml:space="preserve">нетагильского вагоностроительного завода (на </w:t>
            </w:r>
            <w:r w:rsidRPr="008127F8">
              <w:rPr>
                <w:rFonts w:ascii="Times New Roman" w:hAnsi="Times New Roman"/>
                <w:iCs/>
                <w:color w:val="000000" w:themeColor="text1"/>
                <w:sz w:val="16"/>
                <w:szCs w:val="16"/>
              </w:rPr>
              <w:t>площадку завода № 39)</w:t>
            </w:r>
          </w:p>
        </w:tc>
      </w:tr>
      <w:tr w:rsidR="006F4095" w:rsidRPr="008127F8" w14:paraId="22C8775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3BFC9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9E8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(ликвидирован)</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F87AB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 39</w:t>
            </w:r>
          </w:p>
        </w:tc>
      </w:tr>
      <w:tr w:rsidR="006F4095" w:rsidRPr="008127F8" w14:paraId="46799F8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9769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C0AB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07152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из Ленинграда завода № 381</w:t>
            </w:r>
          </w:p>
        </w:tc>
      </w:tr>
      <w:tr w:rsidR="006F4095" w:rsidRPr="008127F8" w14:paraId="6D9820F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EACF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5251F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C358E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ва площадку бывш. завода №124</w:t>
            </w:r>
          </w:p>
        </w:tc>
      </w:tr>
      <w:tr w:rsidR="006F4095" w:rsidRPr="008127F8" w14:paraId="0FCE4C31"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003517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1ГУ</w:t>
            </w:r>
          </w:p>
        </w:tc>
      </w:tr>
      <w:tr w:rsidR="006F4095" w:rsidRPr="008127F8" w14:paraId="215750A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84D9B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453E3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13D8D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BB540B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DBE09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6F52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FBC09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Эвакуиромн вз Таганрога нв площадку бывш. строительства зав. № 448</w:t>
            </w:r>
          </w:p>
        </w:tc>
      </w:tr>
      <w:tr w:rsidR="006F4095" w:rsidRPr="008127F8" w14:paraId="7D736C3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380C7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E7B38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Чкалов (ныне—Оренбург)</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835A7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бывш. Чкаловских военных мастерских</w:t>
            </w:r>
          </w:p>
        </w:tc>
      </w:tr>
      <w:tr w:rsidR="006F4095" w:rsidRPr="008127F8" w14:paraId="7063320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00B66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072B0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AE00D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№22</w:t>
            </w:r>
          </w:p>
        </w:tc>
      </w:tr>
      <w:tr w:rsidR="006F4095" w:rsidRPr="008127F8" w14:paraId="2339C12E"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88213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132E5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Семёнова Уссурийской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8A4BE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E18E3D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B4C6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72A06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247F8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D5F368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E99C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C1D1C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3D35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площадку бывш. зав. № 165</w:t>
            </w:r>
          </w:p>
        </w:tc>
      </w:tr>
      <w:tr w:rsidR="006F4095" w:rsidRPr="008127F8" w14:paraId="013C1D9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8BBD7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4DBA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Баху</w:t>
            </w:r>
            <w:r w:rsidRPr="008127F8">
              <w:rPr>
                <w:rFonts w:ascii="Times New Roman" w:hAnsi="Times New Roman"/>
                <w:iCs/>
                <w:color w:val="000000" w:themeColor="text1"/>
                <w:sz w:val="16"/>
                <w:szCs w:val="16"/>
              </w:rPr>
              <w:t xml:space="preserve"> (передан </w:t>
            </w:r>
            <w:proofErr w:type="gramStart"/>
            <w:r w:rsidRPr="008127F8">
              <w:rPr>
                <w:rFonts w:ascii="Times New Roman" w:hAnsi="Times New Roman"/>
                <w:iCs/>
                <w:color w:val="000000" w:themeColor="text1"/>
                <w:sz w:val="16"/>
                <w:szCs w:val="16"/>
              </w:rPr>
              <w:t>в...</w:t>
            </w:r>
            <w:proofErr w:type="gramEnd"/>
            <w:r w:rsidRPr="008127F8">
              <w:rPr>
                <w:rFonts w:ascii="Times New Roman" w:hAnsi="Times New Roman"/>
                <w:iCs/>
                <w:color w:val="000000" w:themeColor="text1"/>
                <w:sz w:val="16"/>
                <w:szCs w:val="16"/>
              </w:rPr>
              <w:t>}</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5EFF2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Ростова на площадку бывш. строит, зав. №446</w:t>
            </w:r>
          </w:p>
        </w:tc>
      </w:tr>
      <w:tr w:rsidR="006F4095" w:rsidRPr="008127F8" w14:paraId="1957CD25"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A4759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E3CDB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FB5B7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 №122</w:t>
            </w:r>
          </w:p>
        </w:tc>
      </w:tr>
      <w:tr w:rsidR="006F4095" w:rsidRPr="008127F8" w14:paraId="55B88D4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865D0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4F699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37A4B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C7FFD9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41144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58B01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0B4A0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ва площадку бывш. строи</w:t>
            </w:r>
            <w:r w:rsidRPr="008127F8">
              <w:rPr>
                <w:rFonts w:ascii="Times New Roman" w:hAnsi="Times New Roman"/>
                <w:color w:val="000000" w:themeColor="text1"/>
                <w:sz w:val="16"/>
                <w:szCs w:val="16"/>
              </w:rPr>
              <w:softHyphen/>
              <w:t>тельства зав. №315</w:t>
            </w:r>
          </w:p>
        </w:tc>
      </w:tr>
      <w:tr w:rsidR="006F4095" w:rsidRPr="008127F8" w14:paraId="5C1A4506"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3159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3C18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9945F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иа площадке эвакуированного из Москвы завода №32</w:t>
            </w:r>
          </w:p>
        </w:tc>
      </w:tr>
      <w:tr w:rsidR="006F4095" w:rsidRPr="008127F8" w14:paraId="1C257912"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6D6EE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E92AB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Троицк Челябинской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BBC91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63454B3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A25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0334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Горысий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A0956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 «Гудок Октября»</w:t>
            </w:r>
          </w:p>
        </w:tc>
      </w:tr>
      <w:tr w:rsidR="006F4095" w:rsidRPr="008127F8" w14:paraId="2BEA3F8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4628E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40021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Тагил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41CB2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га Москвы на площадку своего филиала</w:t>
            </w:r>
          </w:p>
        </w:tc>
      </w:tr>
      <w:tr w:rsidR="006F4095" w:rsidRPr="008127F8" w14:paraId="29AAB199"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549315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II</w:t>
            </w:r>
            <w:r w:rsidRPr="008127F8">
              <w:rPr>
                <w:rFonts w:ascii="Times New Roman" w:hAnsi="Times New Roman"/>
                <w:iCs/>
                <w:color w:val="000000" w:themeColor="text1"/>
                <w:sz w:val="16"/>
                <w:szCs w:val="16"/>
              </w:rPr>
              <w:t>ГУ</w:t>
            </w:r>
          </w:p>
        </w:tc>
      </w:tr>
      <w:tr w:rsidR="006F4095" w:rsidRPr="008127F8" w14:paraId="0AD499F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46C05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24DE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Безымянка, Куйбышевская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46F3F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на шющадку бывш. завода №455</w:t>
            </w:r>
          </w:p>
        </w:tc>
      </w:tr>
      <w:tr w:rsidR="006F4095" w:rsidRPr="008127F8" w14:paraId="6B1AC956"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9238A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86F3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Балашиха, Московская оби.</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B31A8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7151289"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DAACB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C5FE0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Берёзовое,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52CE9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39E6C10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E74FB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E6B5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5D43A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75732C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8876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22492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Безымянка, Куйбышевст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0116B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Киева на шющадку мастерских «Хсд»</w:t>
            </w:r>
          </w:p>
        </w:tc>
      </w:tr>
      <w:tr w:rsidR="006F4095" w:rsidRPr="008127F8" w14:paraId="10D32EC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42AA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8AED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3C969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Солнечногорска (Московская обл.) на площадку бывш. строит, завода. № 285</w:t>
            </w:r>
          </w:p>
        </w:tc>
      </w:tr>
      <w:tr w:rsidR="006F4095" w:rsidRPr="008127F8" w14:paraId="10209658"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0B6FB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E9FA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Кузнецк, Пензенская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9417B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се Болшево, Московская обл.</w:t>
            </w:r>
          </w:p>
        </w:tc>
      </w:tr>
      <w:tr w:rsidR="006F4095" w:rsidRPr="008127F8" w14:paraId="2DD4CE7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D346B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F1212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 Куйбышевская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35C7A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Днепропетровска на площадку бывш. завода. № 164</w:t>
            </w:r>
          </w:p>
        </w:tc>
      </w:tr>
      <w:tr w:rsidR="006F4095" w:rsidRPr="008127F8" w14:paraId="3B430EA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80204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07FD8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3A991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08757C6"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69694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r w:rsidRPr="008127F8">
              <w:rPr>
                <w:rFonts w:ascii="Times New Roman" w:hAnsi="Times New Roman"/>
                <w:iCs/>
                <w:color w:val="000000" w:themeColor="text1"/>
                <w:sz w:val="16"/>
                <w:szCs w:val="16"/>
              </w:rPr>
              <w:t xml:space="preserve"> (фиши» Щ</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CCFA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7A56E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r>
      <w:tr w:rsidR="006F4095" w:rsidRPr="008127F8" w14:paraId="6E731AE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3F22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809D5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C3EC0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Организованы на площадке эвакуированного за</w:t>
            </w:r>
            <w:r w:rsidRPr="008127F8">
              <w:rPr>
                <w:rFonts w:ascii="Times New Roman" w:hAnsi="Times New Roman"/>
                <w:color w:val="000000" w:themeColor="text1"/>
                <w:sz w:val="16"/>
                <w:szCs w:val="16"/>
              </w:rPr>
              <w:softHyphen/>
              <w:t>вода №34</w:t>
            </w:r>
          </w:p>
        </w:tc>
      </w:tr>
      <w:tr w:rsidR="006F4095" w:rsidRPr="008127F8" w14:paraId="148E68CC"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50DB9F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III</w:t>
            </w:r>
            <w:r w:rsidRPr="008127F8">
              <w:rPr>
                <w:rFonts w:ascii="Times New Roman" w:hAnsi="Times New Roman"/>
                <w:iCs/>
                <w:color w:val="000000" w:themeColor="text1"/>
                <w:sz w:val="16"/>
                <w:szCs w:val="16"/>
              </w:rPr>
              <w:t>ГУ</w:t>
            </w:r>
          </w:p>
        </w:tc>
      </w:tr>
      <w:tr w:rsidR="006F4095" w:rsidRPr="008127F8" w14:paraId="3A35E0F3"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6570E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C524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A0CDA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Воронежа на шющадку бывш. завода №27</w:t>
            </w:r>
          </w:p>
        </w:tc>
      </w:tr>
      <w:tr w:rsidR="006F4095" w:rsidRPr="008127F8" w14:paraId="0AB34F2D"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003A3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6AD85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 (ныне—Пермь)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9DC7C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F93854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BF128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DA59E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5B4A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№337</w:t>
            </w:r>
          </w:p>
        </w:tc>
      </w:tr>
      <w:tr w:rsidR="006F4095" w:rsidRPr="008127F8" w14:paraId="0B78EEF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6BCE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7D648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2B958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Рыбинска на площадку бнвш. завода №384</w:t>
            </w:r>
          </w:p>
        </w:tc>
      </w:tr>
      <w:tr w:rsidR="006F4095" w:rsidRPr="008127F8" w14:paraId="5E8D8FAA" w14:textId="77777777">
        <w:trPr>
          <w:trHeight w:val="24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9748F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7B272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3D5DD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Запорожья</w:t>
            </w:r>
          </w:p>
        </w:tc>
      </w:tr>
      <w:tr w:rsidR="006F4095" w:rsidRPr="008127F8" w14:paraId="3247389C"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7CD4E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A39A0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Андижан</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FC84D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ю Воронежа</w:t>
            </w:r>
          </w:p>
        </w:tc>
      </w:tr>
      <w:tr w:rsidR="006F4095" w:rsidRPr="008127F8" w14:paraId="36FC4115" w14:textId="77777777">
        <w:trPr>
          <w:trHeight w:val="68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15375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w:t>
            </w:r>
            <w:r w:rsidRPr="008127F8">
              <w:rPr>
                <w:rFonts w:ascii="Times New Roman" w:hAnsi="Times New Roman"/>
                <w:iCs/>
                <w:color w:val="000000" w:themeColor="text1"/>
                <w:sz w:val="16"/>
                <w:szCs w:val="16"/>
              </w:rPr>
              <w:t xml:space="preserve"> (зачёркнут, указано, что входит в завод №45)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C76F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314FB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№24</w:t>
            </w:r>
          </w:p>
        </w:tc>
      </w:tr>
      <w:tr w:rsidR="006F4095" w:rsidRPr="008127F8" w14:paraId="52A02F24" w14:textId="77777777">
        <w:trPr>
          <w:trHeight w:val="49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65986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92DE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4790A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№24</w:t>
            </w:r>
          </w:p>
        </w:tc>
      </w:tr>
      <w:tr w:rsidR="006F4095" w:rsidRPr="008127F8" w14:paraId="72D1278C" w14:textId="77777777">
        <w:trPr>
          <w:trHeight w:val="47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3D5B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AF225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68B23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бывш. ЦИАМ</w:t>
            </w:r>
            <w:r w:rsidRPr="008127F8">
              <w:rPr>
                <w:rFonts w:ascii="Times New Roman" w:hAnsi="Times New Roman"/>
                <w:iCs/>
                <w:color w:val="000000" w:themeColor="text1"/>
                <w:sz w:val="16"/>
                <w:szCs w:val="16"/>
              </w:rPr>
              <w:t xml:space="preserve"> (зачёркнуто, указано—на базе эвакуированного завода № 20)</w:t>
            </w:r>
          </w:p>
        </w:tc>
      </w:tr>
      <w:tr w:rsidR="006F4095" w:rsidRPr="008127F8" w14:paraId="4DFBA494" w14:textId="77777777">
        <w:trPr>
          <w:trHeight w:val="48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CE71A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36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8F159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Рыбинск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E026C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№26</w:t>
            </w:r>
          </w:p>
        </w:tc>
      </w:tr>
      <w:tr w:rsidR="006F4095" w:rsidRPr="008127F8" w14:paraId="394BF6B7" w14:textId="77777777">
        <w:trPr>
          <w:trHeight w:val="274"/>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9E593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466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74A89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18D6A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 авиамоторов ГАЗа</w:t>
            </w:r>
          </w:p>
        </w:tc>
      </w:tr>
      <w:tr w:rsidR="006F4095" w:rsidRPr="008127F8" w14:paraId="435F71CF"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44A4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E694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90B58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на площадку бывш. строи</w:t>
            </w:r>
            <w:r w:rsidRPr="008127F8">
              <w:rPr>
                <w:rFonts w:ascii="Times New Roman" w:hAnsi="Times New Roman"/>
                <w:color w:val="000000" w:themeColor="text1"/>
                <w:sz w:val="16"/>
                <w:szCs w:val="16"/>
              </w:rPr>
              <w:softHyphen/>
              <w:t>тельства завода №493</w:t>
            </w:r>
          </w:p>
        </w:tc>
      </w:tr>
      <w:tr w:rsidR="006F4095" w:rsidRPr="008127F8" w14:paraId="57C24D1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F9DF9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85F5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0285E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Часть бывшего зав. № 150, эвакуированного со ст. </w:t>
            </w:r>
            <w:r w:rsidRPr="008127F8">
              <w:rPr>
                <w:rFonts w:ascii="Times New Roman" w:hAnsi="Times New Roman"/>
                <w:color w:val="000000" w:themeColor="text1"/>
                <w:sz w:val="16"/>
                <w:szCs w:val="16"/>
                <w:lang w:val="en-US"/>
              </w:rPr>
              <w:t>CiyUHHO</w:t>
            </w:r>
          </w:p>
        </w:tc>
      </w:tr>
      <w:tr w:rsidR="006F4095" w:rsidRPr="008127F8" w14:paraId="5FFFEA1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414D4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E32E9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Павлов-на</w:t>
            </w:r>
            <w:proofErr w:type="gramEnd"/>
            <w:r w:rsidRPr="008127F8">
              <w:rPr>
                <w:rFonts w:ascii="Times New Roman" w:hAnsi="Times New Roman"/>
                <w:color w:val="000000" w:themeColor="text1"/>
                <w:sz w:val="16"/>
                <w:szCs w:val="16"/>
              </w:rPr>
              <w:t>-Оке, Горьковская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22351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54C40EA"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7C3D1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E497D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44E92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№28</w:t>
            </w:r>
          </w:p>
        </w:tc>
      </w:tr>
      <w:tr w:rsidR="006F4095" w:rsidRPr="008127F8" w14:paraId="07148B4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96331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iCs/>
                <w:color w:val="000000" w:themeColor="text1"/>
                <w:sz w:val="16"/>
                <w:szCs w:val="16"/>
              </w:rPr>
              <w:t>»г</w:t>
            </w:r>
            <w:proofErr w:type="gramEnd"/>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D66CD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BE1F8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Исключён из списка действующих, оборудование передано заводам №30 и 45</w:t>
            </w:r>
          </w:p>
        </w:tc>
      </w:tr>
      <w:tr w:rsidR="006F4095" w:rsidRPr="008127F8" w14:paraId="5C7A75DA"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3A2FF2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IV ГУ</w:t>
            </w:r>
          </w:p>
        </w:tc>
      </w:tr>
      <w:tr w:rsidR="006F4095" w:rsidRPr="008127F8" w14:paraId="6BE4C984"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10814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E0FBF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D3601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Эвакуировал из Москвы на площадку бывш. завода №495</w:t>
            </w:r>
          </w:p>
        </w:tc>
      </w:tr>
      <w:tr w:rsidR="006F4095" w:rsidRPr="008127F8" w14:paraId="253C41F7"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13BF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7A161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515ED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ш площадку бывш. завода №283</w:t>
            </w:r>
          </w:p>
        </w:tc>
      </w:tr>
      <w:tr w:rsidR="006F4095" w:rsidRPr="008127F8" w14:paraId="7AAFCFFD"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3BB68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7AB03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 (ниве—Перш)</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6B6B7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№339</w:t>
            </w:r>
          </w:p>
        </w:tc>
      </w:tr>
      <w:tr w:rsidR="006F4095" w:rsidRPr="008127F8" w14:paraId="6A81D8C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CB0C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B32F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 Чеибннскм обо.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A333B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иа площадку бывш. завода №444</w:t>
            </w:r>
          </w:p>
        </w:tc>
      </w:tr>
      <w:tr w:rsidR="006F4095" w:rsidRPr="008127F8" w14:paraId="3EAC95A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26580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B01F8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5A10E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бывш. завода «Арею»</w:t>
            </w:r>
          </w:p>
        </w:tc>
      </w:tr>
      <w:tr w:rsidR="006F4095" w:rsidRPr="008127F8" w14:paraId="55185F43"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DF4F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98EB7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32608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иа площадку бывш. завода №461</w:t>
            </w:r>
          </w:p>
        </w:tc>
      </w:tr>
      <w:tr w:rsidR="006F4095" w:rsidRPr="008127F8" w14:paraId="6BFBF39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30B74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81CA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Бсрдск, Новосибирски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33D26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Хариова на площадку бывш. складов УГМФ</w:t>
            </w:r>
          </w:p>
        </w:tc>
      </w:tr>
      <w:tr w:rsidR="006F4095" w:rsidRPr="008127F8" w14:paraId="52E37C6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BBCCC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284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50EC8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Сарапул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31BF7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178F17F"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C2790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E20A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EAB6C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B38A99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D581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E39D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B2D7D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 Ржева иа площадку иастерских авиатехнику)»</w:t>
            </w:r>
          </w:p>
        </w:tc>
      </w:tr>
      <w:tr w:rsidR="006F4095" w:rsidRPr="008127F8" w14:paraId="661FA689"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CE7F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ремонтные мастер</w:t>
            </w:r>
            <w:r w:rsidRPr="008127F8">
              <w:rPr>
                <w:rFonts w:ascii="Times New Roman" w:hAnsi="Times New Roman"/>
                <w:iCs/>
                <w:color w:val="000000" w:themeColor="text1"/>
                <w:sz w:val="16"/>
                <w:szCs w:val="16"/>
              </w:rPr>
              <w:softHyphen/>
              <w:t>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80926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22525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базе заводов № 20 (451), 25,33 (315), Шфил., 266,476</w:t>
            </w:r>
          </w:p>
        </w:tc>
      </w:tr>
      <w:tr w:rsidR="006F4095" w:rsidRPr="008127F8" w14:paraId="51D5538D"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6744B4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УГУ</w:t>
            </w:r>
          </w:p>
        </w:tc>
      </w:tr>
      <w:tr w:rsidR="006F4095" w:rsidRPr="008127F8" w14:paraId="0F00043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F333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00D3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Энгельс</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ACCD4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мясокомбината</w:t>
            </w:r>
          </w:p>
        </w:tc>
      </w:tr>
      <w:tr w:rsidR="006F4095" w:rsidRPr="008127F8" w14:paraId="65D0DB0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EAE9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C1C67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8BF16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клуба им. Профинтерна</w:t>
            </w:r>
          </w:p>
        </w:tc>
      </w:tr>
      <w:tr w:rsidR="006F4095" w:rsidRPr="008127F8" w14:paraId="1C33B9D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86F00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56D0C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37CF7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F961A21" w14:textId="77777777">
        <w:trPr>
          <w:trHeight w:val="46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76E5B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 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FB0A6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6F567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эвакуирован из Ленинграда на площадь фабрики «Киноплёнка»</w:t>
            </w:r>
          </w:p>
        </w:tc>
      </w:tr>
      <w:tr w:rsidR="006F4095" w:rsidRPr="008127F8" w14:paraId="439ED9A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7541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503A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5CDCF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площадь авиатехникума</w:t>
            </w:r>
          </w:p>
        </w:tc>
      </w:tr>
      <w:tr w:rsidR="006F4095" w:rsidRPr="008127F8" w14:paraId="7254647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01119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AF962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C3758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Ленинграда на площадь ликёрово- дочного завода, (передай вйГОТ)</w:t>
            </w:r>
          </w:p>
        </w:tc>
      </w:tr>
      <w:tr w:rsidR="006F4095" w:rsidRPr="008127F8" w14:paraId="2FD6CA6A"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A9FE5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33FD3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2B2C9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площадь ветеринарного института</w:t>
            </w:r>
          </w:p>
        </w:tc>
      </w:tr>
      <w:tr w:rsidR="006F4095" w:rsidRPr="008127F8" w14:paraId="104CBD5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2019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072B6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BE08B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E3965E2"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B08D7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D4F60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Ижевск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94384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Рамеиское (Моск. обл.) на площадь клуба им. деоггялетм Октябрьской революции</w:t>
            </w:r>
          </w:p>
        </w:tc>
      </w:tr>
      <w:tr w:rsidR="006F4095" w:rsidRPr="008127F8" w14:paraId="4B10190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B066C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07331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E4012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783DF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9DAA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ОЗПО</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9CA2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E0B1D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E5E49E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EE5E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«Тояизмерит»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9A4E9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 Монтаж, Свердлов,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695DD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площадку бывщ. стекольного завода</w:t>
            </w:r>
          </w:p>
        </w:tc>
      </w:tr>
      <w:tr w:rsidR="006F4095" w:rsidRPr="008127F8" w14:paraId="7B31C25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2458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 «Тоташерт»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18B4D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82D41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«Точизмерит»</w:t>
            </w:r>
          </w:p>
        </w:tc>
      </w:tr>
      <w:tr w:rsidR="006F4095" w:rsidRPr="008127F8" w14:paraId="5A8BED3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F93B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№12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A6F6A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Ульшовск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F59FE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 на часть площадки строяцегосазав. № 280</w:t>
            </w:r>
          </w:p>
        </w:tc>
      </w:tr>
      <w:tr w:rsidR="006F4095" w:rsidRPr="008127F8" w14:paraId="73E4236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1843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EF2B8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0AF65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НИИ№ 12</w:t>
            </w:r>
          </w:p>
        </w:tc>
      </w:tr>
      <w:tr w:rsidR="006F4095" w:rsidRPr="008127F8" w14:paraId="28270FCF"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22F2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73404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1A593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 230</w:t>
            </w:r>
          </w:p>
        </w:tc>
      </w:tr>
      <w:tr w:rsidR="006F4095" w:rsidRPr="008127F8" w14:paraId="05A33730"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7D962F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VI</w:t>
            </w:r>
            <w:r w:rsidRPr="008127F8">
              <w:rPr>
                <w:rFonts w:ascii="Times New Roman" w:hAnsi="Times New Roman"/>
                <w:iCs/>
                <w:color w:val="000000" w:themeColor="text1"/>
                <w:sz w:val="16"/>
                <w:szCs w:val="16"/>
              </w:rPr>
              <w:t>ГУ</w:t>
            </w:r>
          </w:p>
        </w:tc>
      </w:tr>
      <w:tr w:rsidR="006F4095" w:rsidRPr="008127F8" w14:paraId="64EA8EC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188D5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97077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AB034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учебных мастерских авиатехникума</w:t>
            </w:r>
          </w:p>
        </w:tc>
      </w:tr>
      <w:tr w:rsidR="006F4095" w:rsidRPr="008127F8" w14:paraId="79B1305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5747B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A281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557F0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4B1DFA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995A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40C7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 Кунцево. Московская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33072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Организован на площадке </w:t>
            </w:r>
            <w:proofErr w:type="gramStart"/>
            <w:r w:rsidRPr="008127F8">
              <w:rPr>
                <w:rFonts w:ascii="Times New Roman" w:hAnsi="Times New Roman"/>
                <w:color w:val="000000" w:themeColor="text1"/>
                <w:sz w:val="16"/>
                <w:szCs w:val="16"/>
              </w:rPr>
              <w:t>зав.</w:t>
            </w:r>
            <w:r w:rsidRPr="008127F8">
              <w:rPr>
                <w:rFonts w:ascii="Times New Roman" w:hAnsi="Times New Roman"/>
                <w:color w:val="000000" w:themeColor="text1"/>
                <w:sz w:val="16"/>
                <w:szCs w:val="16"/>
                <w:lang w:val="en-US"/>
              </w:rPr>
              <w:t>J</w:t>
            </w:r>
            <w:proofErr w:type="gramEnd"/>
            <w:r w:rsidRPr="008127F8">
              <w:rPr>
                <w:rFonts w:ascii="Times New Roman" w:hAnsi="Times New Roman"/>
                <w:color w:val="000000" w:themeColor="text1"/>
                <w:sz w:val="16"/>
                <w:szCs w:val="16"/>
              </w:rPr>
              <w:t>6 167</w:t>
            </w:r>
          </w:p>
        </w:tc>
      </w:tr>
      <w:tr w:rsidR="006F4095" w:rsidRPr="008127F8" w14:paraId="2A91D16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6DD9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r w:rsidRPr="008127F8">
              <w:rPr>
                <w:rFonts w:ascii="Times New Roman" w:hAnsi="Times New Roman"/>
                <w:iCs/>
                <w:color w:val="000000" w:themeColor="text1"/>
                <w:sz w:val="16"/>
                <w:szCs w:val="16"/>
              </w:rPr>
              <w:t xml:space="preserve"> (497)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D44AF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F1F30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бывшей мебельной фабрики № 2 НКЛес</w:t>
            </w:r>
          </w:p>
        </w:tc>
      </w:tr>
      <w:tr w:rsidR="006F4095" w:rsidRPr="008127F8" w14:paraId="636EAC4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71BA7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AE650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0B9D0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бывшей мебельной фабрики №3 НКЛес</w:t>
            </w:r>
          </w:p>
        </w:tc>
      </w:tr>
      <w:tr w:rsidR="006F4095" w:rsidRPr="008127F8" w14:paraId="0A214504"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D322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9D741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1ED5D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—(передай во II Главк)</w:t>
            </w:r>
          </w:p>
        </w:tc>
      </w:tr>
      <w:tr w:rsidR="006F4095" w:rsidRPr="008127F8" w14:paraId="4E086BF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9616F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9FDFD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000E9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шкнцадке («вшей мебельной фабрики № 4 НКЛес</w:t>
            </w:r>
          </w:p>
        </w:tc>
      </w:tr>
      <w:tr w:rsidR="006F4095" w:rsidRPr="008127F8" w14:paraId="1B96E23F" w14:textId="77777777">
        <w:trPr>
          <w:trHeight w:val="427"/>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421D8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8967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F5D5B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ш площадке бывшей мебельной фа</w:t>
            </w:r>
            <w:r w:rsidRPr="008127F8">
              <w:rPr>
                <w:rFonts w:ascii="Times New Roman" w:hAnsi="Times New Roman"/>
                <w:color w:val="000000" w:themeColor="text1"/>
                <w:sz w:val="16"/>
                <w:szCs w:val="16"/>
              </w:rPr>
              <w:softHyphen/>
              <w:t xml:space="preserve">брил </w:t>
            </w:r>
            <w:r w:rsidRPr="008127F8">
              <w:rPr>
                <w:rFonts w:ascii="Times New Roman" w:hAnsi="Times New Roman"/>
                <w:color w:val="000000" w:themeColor="text1"/>
                <w:sz w:val="16"/>
                <w:szCs w:val="16"/>
                <w:lang w:val="en-US"/>
              </w:rPr>
              <w:t>J</w:t>
            </w:r>
            <w:r w:rsidRPr="008127F8">
              <w:rPr>
                <w:rFonts w:ascii="Times New Roman" w:hAnsi="Times New Roman"/>
                <w:color w:val="000000" w:themeColor="text1"/>
                <w:sz w:val="16"/>
                <w:szCs w:val="16"/>
              </w:rPr>
              <w:t>6</w:t>
            </w:r>
            <w:r w:rsidRPr="008127F8">
              <w:rPr>
                <w:rFonts w:ascii="Times New Roman" w:hAnsi="Times New Roman"/>
                <w:iCs/>
                <w:color w:val="000000" w:themeColor="text1"/>
                <w:sz w:val="16"/>
                <w:szCs w:val="16"/>
              </w:rPr>
              <w:t xml:space="preserve"> 6</w:t>
            </w:r>
            <w:r w:rsidRPr="008127F8">
              <w:rPr>
                <w:rFonts w:ascii="Times New Roman" w:hAnsi="Times New Roman"/>
                <w:color w:val="000000" w:themeColor="text1"/>
                <w:sz w:val="16"/>
                <w:szCs w:val="16"/>
              </w:rPr>
              <w:t xml:space="preserve"> НКЛес</w:t>
            </w:r>
            <w:r w:rsidRPr="008127F8">
              <w:rPr>
                <w:rFonts w:ascii="Times New Roman" w:hAnsi="Times New Roman"/>
                <w:iCs/>
                <w:color w:val="000000" w:themeColor="text1"/>
                <w:sz w:val="16"/>
                <w:szCs w:val="16"/>
              </w:rPr>
              <w:t xml:space="preserve"> (мредан Оргаюаирошу за №8)</w:t>
            </w:r>
          </w:p>
        </w:tc>
      </w:tr>
      <w:tr w:rsidR="006F4095" w:rsidRPr="008127F8" w14:paraId="74E4EA38"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67255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B477F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0F2FD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бывшей фабрики № 1 Оргавиапром НКАП</w:t>
            </w:r>
          </w:p>
        </w:tc>
      </w:tr>
      <w:tr w:rsidR="006F4095" w:rsidRPr="008127F8" w14:paraId="39C839F2" w14:textId="77777777">
        <w:trPr>
          <w:trHeight w:val="47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CFA58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1D93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8A1FF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эвакуированного завода №294</w:t>
            </w:r>
          </w:p>
        </w:tc>
      </w:tr>
      <w:tr w:rsidR="006F4095" w:rsidRPr="008127F8" w14:paraId="7AF84F78"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163BA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9F2D1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Лешшрад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36814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5563853"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30D9A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BE9BD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105C4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F6D7D3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7BB93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0658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884F3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Кунцево на площадку фил. завода №292</w:t>
            </w:r>
          </w:p>
        </w:tc>
      </w:tr>
      <w:tr w:rsidR="006F4095" w:rsidRPr="008127F8" w14:paraId="07226DB3"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6956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22D72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498DB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420EFAA"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ED713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C061E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1DB46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Лаптеве Сельская обл.) на площадку бывш. зав. им. Побежнмова ГУСМП</w:t>
            </w:r>
          </w:p>
        </w:tc>
      </w:tr>
      <w:tr w:rsidR="006F4095" w:rsidRPr="008127F8" w14:paraId="7B251A1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E971E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6BD2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Бийск, Алтайский край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1858A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их Серпухова</w:t>
            </w:r>
          </w:p>
        </w:tc>
      </w:tr>
      <w:tr w:rsidR="006F4095" w:rsidRPr="008127F8" w14:paraId="725FD61D"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59677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VII</w:t>
            </w:r>
            <w:r w:rsidRPr="008127F8">
              <w:rPr>
                <w:rFonts w:ascii="Times New Roman" w:hAnsi="Times New Roman"/>
                <w:iCs/>
                <w:color w:val="000000" w:themeColor="text1"/>
                <w:sz w:val="16"/>
                <w:szCs w:val="16"/>
              </w:rPr>
              <w:t>ГУ</w:t>
            </w:r>
          </w:p>
        </w:tc>
      </w:tr>
      <w:tr w:rsidR="006F4095" w:rsidRPr="008127F8" w14:paraId="7C7B9191"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1A613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B58C7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7E162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5DF9E01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B8C6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C1D1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Билимбай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A8290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Химок</w:t>
            </w:r>
          </w:p>
        </w:tc>
      </w:tr>
      <w:tr w:rsidR="006F4095" w:rsidRPr="008127F8" w14:paraId="0E8B04F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615AC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88BE4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Билимбай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9DBC1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се Ухтомская</w:t>
            </w:r>
          </w:p>
        </w:tc>
      </w:tr>
      <w:tr w:rsidR="006F4095" w:rsidRPr="008127F8" w14:paraId="6212AAC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6496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468</w:t>
            </w:r>
            <w:r w:rsidRPr="008127F8">
              <w:rPr>
                <w:rFonts w:ascii="Times New Roman" w:hAnsi="Times New Roman"/>
                <w:iCs/>
                <w:color w:val="000000" w:themeColor="text1"/>
                <w:sz w:val="16"/>
                <w:szCs w:val="16"/>
              </w:rPr>
              <w:t xml:space="preserve"> (П ГУ)</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83C9D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Бшпшбай (Свердловсш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8702A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Бескудниково</w:t>
            </w:r>
          </w:p>
        </w:tc>
      </w:tr>
      <w:tr w:rsidR="006F4095" w:rsidRPr="008127F8" w14:paraId="7F531AD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2F5F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6E9F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BE871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Подлипки</w:t>
            </w:r>
          </w:p>
        </w:tc>
      </w:tr>
      <w:tr w:rsidR="006F4095" w:rsidRPr="008127F8" w14:paraId="710DB8C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3AEA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36A2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FFC67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720279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67594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7CC5B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Моста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5E82D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E8DA52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79C97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D5B2E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Алма-Ата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E1E6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2AA4266B"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06FA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5C9C4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87FD1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r w:rsidRPr="008127F8">
              <w:rPr>
                <w:rFonts w:ascii="Times New Roman" w:hAnsi="Times New Roman"/>
                <w:iCs/>
                <w:color w:val="000000" w:themeColor="text1"/>
                <w:sz w:val="16"/>
                <w:szCs w:val="16"/>
              </w:rPr>
              <w:t xml:space="preserve"> (входит в зав.</w:t>
            </w:r>
            <w:r w:rsidRPr="008127F8">
              <w:rPr>
                <w:rFonts w:ascii="Times New Roman" w:hAnsi="Times New Roman"/>
                <w:color w:val="000000" w:themeColor="text1"/>
                <w:sz w:val="16"/>
                <w:szCs w:val="16"/>
                <w:lang w:val="en-US"/>
              </w:rPr>
              <w:t>AS</w:t>
            </w:r>
            <w:r w:rsidRPr="008127F8">
              <w:rPr>
                <w:rFonts w:ascii="Times New Roman" w:hAnsi="Times New Roman"/>
                <w:iCs/>
                <w:color w:val="000000" w:themeColor="text1"/>
                <w:sz w:val="16"/>
                <w:szCs w:val="16"/>
              </w:rPr>
              <w:t>45)</w:t>
            </w:r>
          </w:p>
        </w:tc>
      </w:tr>
      <w:tr w:rsidR="006F4095" w:rsidRPr="008127F8" w14:paraId="339B8BF3"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662A3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30BE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5FC1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1464FD4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154AC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8644E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B3326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1949A986"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55BF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1ABC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6D5F5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28573CEB"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39F934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1ХГУ</w:t>
            </w:r>
          </w:p>
        </w:tc>
      </w:tr>
      <w:tr w:rsidR="006F4095" w:rsidRPr="008127F8" w14:paraId="3D56F74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5C8D4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9C20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 Салда,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49D30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Кунцево на площадку бывш. строит, зав. № 491</w:t>
            </w:r>
          </w:p>
        </w:tc>
      </w:tr>
      <w:tr w:rsidR="006F4095" w:rsidRPr="008127F8" w14:paraId="0223B11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59FF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AE3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DD3D1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3C0AFD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E4E55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r w:rsidRPr="008127F8">
              <w:rPr>
                <w:rFonts w:ascii="Times New Roman" w:hAnsi="Times New Roman"/>
                <w:iCs/>
                <w:color w:val="000000" w:themeColor="text1"/>
                <w:sz w:val="16"/>
                <w:szCs w:val="16"/>
              </w:rPr>
              <w:t xml:space="preserve"> (зачёркнуто, 268)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E383F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EEC21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сь Ступино на площадку строю бывш. зав. №268</w:t>
            </w:r>
          </w:p>
        </w:tc>
      </w:tr>
      <w:tr w:rsidR="006F4095" w:rsidRPr="008127F8" w14:paraId="71363E6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264F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2D6FC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C97A8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Москвы на площадку бывш. зав. №384</w:t>
            </w:r>
          </w:p>
        </w:tc>
      </w:tr>
      <w:tr w:rsidR="006F4095" w:rsidRPr="008127F8" w14:paraId="4DD8CE59"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90451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5C401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Кирса (Кировская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B6F74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CDE8AB3"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17112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9CFA3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Кунцево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DB0A6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базе эвакуированного завода № 95</w:t>
            </w:r>
          </w:p>
        </w:tc>
      </w:tr>
      <w:tr w:rsidR="006F4095" w:rsidRPr="008127F8" w14:paraId="58F569BC"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707BD0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XI</w:t>
            </w:r>
            <w:r w:rsidRPr="008127F8">
              <w:rPr>
                <w:rFonts w:ascii="Times New Roman" w:hAnsi="Times New Roman"/>
                <w:iCs/>
                <w:color w:val="000000" w:themeColor="text1"/>
                <w:sz w:val="16"/>
                <w:szCs w:val="16"/>
              </w:rPr>
              <w:t>ГУ</w:t>
            </w:r>
          </w:p>
        </w:tc>
      </w:tr>
      <w:tr w:rsidR="006F4095" w:rsidRPr="008127F8" w14:paraId="135F5B24"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9E625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D2BB9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Лопапшо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1812B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Рязани на площадку бывш. деревообделочного комбината</w:t>
            </w:r>
          </w:p>
        </w:tc>
      </w:tr>
      <w:tr w:rsidR="006F4095" w:rsidRPr="008127F8" w14:paraId="7F5C51CB" w14:textId="77777777">
        <w:trPr>
          <w:trHeight w:val="24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382D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23B19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Тюммень (Свердловская обо.)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058F2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ш бое педгешикума</w:t>
            </w:r>
          </w:p>
        </w:tc>
      </w:tr>
      <w:tr w:rsidR="006F4095" w:rsidRPr="008127F8" w14:paraId="33B5F4D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3BAE0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4406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Алапаевск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3C911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со ст. Тушино на шквддку бывш. деревообделочного комбината</w:t>
            </w:r>
          </w:p>
        </w:tc>
      </w:tr>
      <w:tr w:rsidR="006F4095" w:rsidRPr="008127F8" w14:paraId="176A5DD3"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7E41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9E1F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Шумерля (Чуваш. АССР)</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13774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C33BBE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9E2D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3573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6A17C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779B3A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7BCA4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F408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Козловка (Чуваш. АССР)</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EE7A3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r>
      <w:tr w:rsidR="006F4095" w:rsidRPr="008127F8" w14:paraId="41505E4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2EE1B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3A7DD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Заводоуювская (Омская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9F82F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C00A73E"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433D26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Оргавиапром</w:t>
            </w:r>
          </w:p>
        </w:tc>
      </w:tr>
      <w:tr w:rsidR="006F4095" w:rsidRPr="008127F8" w14:paraId="01677A0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01CAF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7836B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7C1D0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4D6FCDE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C1A1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5AE3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Опытный (Челябинская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DE822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7B8D513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539F3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B33C9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CD111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завода № 2 Оргавиапрома</w:t>
            </w:r>
          </w:p>
        </w:tc>
      </w:tr>
      <w:tr w:rsidR="006F4095" w:rsidRPr="008127F8" w14:paraId="3225416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77202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BD2E5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Тавда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4B300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6DF8D62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A49D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6BBC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Кемерово (Новосибирская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91B0E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из Москвы</w:t>
            </w:r>
          </w:p>
        </w:tc>
      </w:tr>
      <w:tr w:rsidR="006F4095" w:rsidRPr="008127F8" w14:paraId="58049A6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3DA1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6EDF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Бсрдск (Новосибирская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16EF0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Эвакуировав из Осипенко (ныне—Бердянск)</w:t>
            </w:r>
          </w:p>
        </w:tc>
      </w:tr>
      <w:tr w:rsidR="006F4095" w:rsidRPr="008127F8" w14:paraId="6BCA081F"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A332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6DF2D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AD4AB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ва базе зав. № 478</w:t>
            </w:r>
          </w:p>
        </w:tc>
      </w:tr>
      <w:tr w:rsidR="006F4095" w:rsidRPr="008127F8" w14:paraId="4EB0B572"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40A681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Ремонтный отдел</w:t>
            </w:r>
          </w:p>
        </w:tc>
      </w:tr>
      <w:tr w:rsidR="006F4095" w:rsidRPr="008127F8" w14:paraId="79A6A4F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C2DB0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FD25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49956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на площадке бывш. зав. № 89 ГВФ</w:t>
            </w:r>
          </w:p>
        </w:tc>
      </w:tr>
      <w:tr w:rsidR="006F4095" w:rsidRPr="008127F8" w14:paraId="5E500B7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9129C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F870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AFB85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их площадке</w:t>
            </w:r>
            <w:r w:rsidRPr="008127F8">
              <w:rPr>
                <w:rFonts w:ascii="Times New Roman" w:hAnsi="Times New Roman"/>
                <w:iCs/>
                <w:color w:val="000000" w:themeColor="text1"/>
                <w:sz w:val="16"/>
                <w:szCs w:val="16"/>
              </w:rPr>
              <w:t xml:space="preserve"> бит.</w:t>
            </w:r>
            <w:r w:rsidRPr="008127F8">
              <w:rPr>
                <w:rFonts w:ascii="Times New Roman" w:hAnsi="Times New Roman"/>
                <w:color w:val="000000" w:themeColor="text1"/>
                <w:sz w:val="16"/>
                <w:szCs w:val="16"/>
              </w:rPr>
              <w:t xml:space="preserve"> зав. </w:t>
            </w:r>
            <w:r w:rsidRPr="008127F8">
              <w:rPr>
                <w:rFonts w:ascii="Times New Roman" w:hAnsi="Times New Roman"/>
                <w:color w:val="000000" w:themeColor="text1"/>
                <w:sz w:val="16"/>
                <w:szCs w:val="16"/>
                <w:lang w:val="en-US"/>
              </w:rPr>
              <w:t xml:space="preserve">Jfe </w:t>
            </w:r>
            <w:r w:rsidRPr="008127F8">
              <w:rPr>
                <w:rFonts w:ascii="Times New Roman" w:hAnsi="Times New Roman"/>
                <w:color w:val="000000" w:themeColor="text1"/>
                <w:sz w:val="16"/>
                <w:szCs w:val="16"/>
              </w:rPr>
              <w:t>115</w:t>
            </w:r>
          </w:p>
        </w:tc>
      </w:tr>
      <w:tr w:rsidR="006F4095" w:rsidRPr="008127F8" w14:paraId="1A262DB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FD46B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32B4D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F3CCA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Органюовав ва площадке бывш. зав. № 301</w:t>
            </w:r>
          </w:p>
        </w:tc>
      </w:tr>
      <w:tr w:rsidR="006F4095" w:rsidRPr="008127F8" w14:paraId="79AA823E"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B3C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C33FB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1515E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ва площадке бывш. зав. № 482</w:t>
            </w:r>
          </w:p>
        </w:tc>
      </w:tr>
      <w:tr w:rsidR="006F4095" w:rsidRPr="008127F8" w14:paraId="4AE562AF"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536B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44EF0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37F6F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ва площадке бывш. ЦИАМ</w:t>
            </w:r>
            <w:r w:rsidRPr="008127F8">
              <w:rPr>
                <w:rFonts w:ascii="Times New Roman" w:hAnsi="Times New Roman"/>
                <w:iCs/>
                <w:color w:val="000000" w:themeColor="text1"/>
                <w:sz w:val="16"/>
                <w:szCs w:val="16"/>
              </w:rPr>
              <w:t xml:space="preserve"> (отошёл ж Ш Питу за №41)</w:t>
            </w:r>
          </w:p>
        </w:tc>
      </w:tr>
    </w:tbl>
    <w:p w14:paraId="5D079D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Тут и далее—в скобках курсивом — от руки, карандашам.</w:t>
      </w:r>
    </w:p>
    <w:p w14:paraId="083608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FB0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Список бывших и бездействующих предприятий ИКАЛ (</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РГАЭ. Ф. 8044. Оп. 1. Д. 2826. Л. 21—25)</w:t>
      </w:r>
    </w:p>
    <w:tbl>
      <w:tblPr>
        <w:tblW w:w="0" w:type="auto"/>
        <w:tblInd w:w="8" w:type="dxa"/>
        <w:tblLayout w:type="fixed"/>
        <w:tblCellMar>
          <w:left w:w="0" w:type="dxa"/>
          <w:right w:w="0" w:type="dxa"/>
        </w:tblCellMar>
        <w:tblLook w:val="0000" w:firstRow="0" w:lastRow="0" w:firstColumn="0" w:lastColumn="0" w:noHBand="0" w:noVBand="0"/>
      </w:tblPr>
      <w:tblGrid>
        <w:gridCol w:w="426"/>
        <w:gridCol w:w="1099"/>
        <w:gridCol w:w="11"/>
        <w:gridCol w:w="1417"/>
        <w:gridCol w:w="8"/>
        <w:gridCol w:w="5544"/>
      </w:tblGrid>
      <w:tr w:rsidR="006F4095" w:rsidRPr="008127F8" w14:paraId="2B299654" w14:textId="77777777">
        <w:trPr>
          <w:trHeight w:val="422"/>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54653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lastRenderedPageBreak/>
              <w:t>№</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60D05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Прежнее местоположение</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C9432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Дата</w:t>
            </w:r>
            <w:r w:rsidRP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выбытия  (</w:t>
            </w:r>
            <w:proofErr w:type="gramEnd"/>
            <w:r w:rsidRPr="008127F8">
              <w:rPr>
                <w:rFonts w:ascii="Times New Roman" w:hAnsi="Times New Roman"/>
                <w:color w:val="000000" w:themeColor="text1"/>
                <w:sz w:val="16"/>
                <w:szCs w:val="16"/>
              </w:rPr>
              <w:t>прекра</w:t>
            </w:r>
            <w:r w:rsidRPr="008127F8">
              <w:rPr>
                <w:rFonts w:ascii="Times New Roman" w:hAnsi="Times New Roman"/>
                <w:color w:val="000000" w:themeColor="text1"/>
                <w:sz w:val="16"/>
                <w:szCs w:val="16"/>
              </w:rPr>
              <w:softHyphen/>
              <w:t>щения производства)</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1C70B7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Причтна выбытия (прекращения производства)</w:t>
            </w:r>
          </w:p>
        </w:tc>
      </w:tr>
      <w:tr w:rsidR="006F4095" w:rsidRPr="008127F8" w14:paraId="38B9691F"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578DC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1ГУ</w:t>
            </w:r>
          </w:p>
        </w:tc>
      </w:tr>
      <w:tr w:rsidR="006F4095" w:rsidRPr="008127F8" w14:paraId="4A27B234"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C02A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DB73B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9763A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окпбрь1941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17A258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Омск, сиг с зав. № 166</w:t>
            </w:r>
          </w:p>
        </w:tc>
      </w:tr>
      <w:tr w:rsidR="006F4095" w:rsidRPr="008127F8" w14:paraId="34C42850"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FEC55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8A641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D24B8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4C280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 оборудования на различные заводи</w:t>
            </w:r>
          </w:p>
        </w:tc>
      </w:tr>
      <w:tr w:rsidR="006F4095" w:rsidRPr="008127F8" w14:paraId="4E295C12"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44B50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859CE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855C6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3DA716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елвт с за». №155</w:t>
            </w:r>
          </w:p>
        </w:tc>
      </w:tr>
      <w:tr w:rsidR="006F4095" w:rsidRPr="008127F8" w14:paraId="0EBCABB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3BE03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BA91E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Лешшград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216E1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вши 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32CA1C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Новосибирск, сшс зав. №153</w:t>
            </w:r>
          </w:p>
        </w:tc>
      </w:tr>
      <w:tr w:rsidR="006F4095" w:rsidRPr="008127F8" w14:paraId="7BC49F24"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1462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40FB1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91982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 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2B3E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67C32BBE"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11A18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137FE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C2CFF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55E25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в Новосибирск, шт с зав. </w:t>
            </w:r>
            <w:r w:rsidRPr="008127F8">
              <w:rPr>
                <w:rFonts w:ascii="Times New Roman" w:hAnsi="Times New Roman"/>
                <w:color w:val="000000" w:themeColor="text1"/>
                <w:sz w:val="16"/>
                <w:szCs w:val="16"/>
                <w:lang w:val="en-US"/>
              </w:rPr>
              <w:t xml:space="preserve">Mi </w:t>
            </w:r>
            <w:r w:rsidRPr="008127F8">
              <w:rPr>
                <w:rFonts w:ascii="Times New Roman" w:hAnsi="Times New Roman"/>
                <w:color w:val="000000" w:themeColor="text1"/>
                <w:sz w:val="16"/>
                <w:szCs w:val="16"/>
              </w:rPr>
              <w:t>153</w:t>
            </w:r>
          </w:p>
        </w:tc>
      </w:tr>
      <w:tr w:rsidR="006F4095" w:rsidRPr="008127F8" w14:paraId="7ECB5E9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57200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17D84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Рига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7479D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17273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Расформировав в связи с эвакуацией</w:t>
            </w:r>
          </w:p>
        </w:tc>
      </w:tr>
      <w:tr w:rsidR="006F4095" w:rsidRPr="008127F8" w14:paraId="01E58499"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AF915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0C394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A211B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333135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69FFFC69"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D1C85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A280D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Каунас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DA63B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4D3449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318B5687"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C8338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10E6B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Таллин</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14FB7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A3A81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7660B99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98341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B7497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2EF83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ссвибрь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499BBA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0D57B90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BD05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9999C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51AC1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оггабрь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E8207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Моспы на, М1</w:t>
            </w:r>
          </w:p>
        </w:tc>
      </w:tr>
      <w:tr w:rsidR="006F4095" w:rsidRPr="008127F8" w14:paraId="4536FF76" w14:textId="77777777">
        <w:trPr>
          <w:trHeight w:val="221"/>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96225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ПГУ</w:t>
            </w:r>
          </w:p>
        </w:tc>
      </w:tr>
      <w:tr w:rsidR="006F4095" w:rsidRPr="008127F8" w14:paraId="0F1AE8E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9F32C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1030E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D5E75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52" w:type="dxa"/>
            <w:gridSpan w:val="2"/>
            <w:tcBorders>
              <w:top w:val="single" w:sz="6" w:space="0" w:color="auto"/>
              <w:left w:val="single" w:sz="6" w:space="0" w:color="auto"/>
              <w:bottom w:val="single" w:sz="6" w:space="0" w:color="auto"/>
              <w:right w:val="nil"/>
            </w:tcBorders>
            <w:shd w:val="clear" w:color="auto" w:fill="FFFFFF"/>
          </w:tcPr>
          <w:p w14:paraId="0BD540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Расформирован в связи с эвакуацией </w:t>
            </w:r>
            <w:r w:rsidRPr="008127F8">
              <w:rPr>
                <w:rFonts w:ascii="Times New Roman" w:hAnsi="Times New Roman"/>
                <w:color w:val="000000" w:themeColor="text1"/>
                <w:sz w:val="16"/>
                <w:szCs w:val="16"/>
                <w:lang w:val="en-US"/>
              </w:rPr>
              <w:t>J</w:t>
            </w:r>
          </w:p>
        </w:tc>
      </w:tr>
      <w:tr w:rsidR="006F4095" w:rsidRPr="008127F8" w14:paraId="6FA2B9D5"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6657A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E175E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Запорожье</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19BB9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шаль</w:t>
            </w:r>
          </w:p>
        </w:tc>
        <w:tc>
          <w:tcPr>
            <w:tcW w:w="5552" w:type="dxa"/>
            <w:gridSpan w:val="2"/>
            <w:tcBorders>
              <w:top w:val="single" w:sz="6" w:space="0" w:color="auto"/>
              <w:left w:val="single" w:sz="6" w:space="0" w:color="auto"/>
              <w:bottom w:val="single" w:sz="6" w:space="0" w:color="auto"/>
              <w:right w:val="nil"/>
            </w:tcBorders>
            <w:shd w:val="clear" w:color="auto" w:fill="FFFFFF"/>
          </w:tcPr>
          <w:p w14:paraId="7E21BE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и объединён с за. №</w:t>
            </w:r>
            <w:proofErr w:type="gramStart"/>
            <w:r w:rsidRPr="008127F8">
              <w:rPr>
                <w:rFonts w:ascii="Times New Roman" w:hAnsi="Times New Roman"/>
                <w:color w:val="000000" w:themeColor="text1"/>
                <w:sz w:val="16"/>
                <w:szCs w:val="16"/>
              </w:rPr>
              <w:t>451 ]</w:t>
            </w:r>
            <w:proofErr w:type="gramEnd"/>
          </w:p>
        </w:tc>
      </w:tr>
      <w:tr w:rsidR="006F4095" w:rsidRPr="008127F8" w14:paraId="09A57CDF" w14:textId="77777777">
        <w:trPr>
          <w:trHeight w:val="60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0C013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3A95D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Безымянка (Куйбышевски обл.)</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3678E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6CF4C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зав. № 145, эвакуированном о ММЯМ</w:t>
            </w:r>
          </w:p>
        </w:tc>
      </w:tr>
      <w:tr w:rsidR="006F4095" w:rsidRPr="008127F8" w14:paraId="16E5CE0D"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2CB42B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ШГУ</w:t>
            </w:r>
          </w:p>
        </w:tc>
      </w:tr>
      <w:tr w:rsidR="006F4095" w:rsidRPr="008127F8" w14:paraId="738A9F8E"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91E8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24D39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7AA04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0832E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в Казань и реэвакуацией в Москву</w:t>
            </w:r>
          </w:p>
        </w:tc>
      </w:tr>
      <w:tr w:rsidR="006F4095" w:rsidRPr="008127F8" w14:paraId="5D7DB80D"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8180E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DE133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37F3A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ноабрь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42F574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Воронежа зав. № 16</w:t>
            </w:r>
          </w:p>
        </w:tc>
      </w:tr>
      <w:tr w:rsidR="006F4095" w:rsidRPr="008127F8" w14:paraId="5295940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B0AA1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1D97F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003DE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F8529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16E50D81"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F5C8E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CD113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BE664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00AE43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 Оборудовав</w:t>
            </w:r>
          </w:p>
          <w:p w14:paraId="386F0A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передано другим заводам</w:t>
            </w:r>
          </w:p>
        </w:tc>
      </w:tr>
      <w:tr w:rsidR="006F4095" w:rsidRPr="008127F8" w14:paraId="593E451D"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C43C7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F4B8D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Могилёв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081EA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шаль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301DB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 Оборлюии» передано другим заводам</w:t>
            </w:r>
          </w:p>
        </w:tc>
      </w:tr>
      <w:tr w:rsidR="006F4095" w:rsidRPr="008127F8" w14:paraId="5B641CB1"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EE41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3620E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3C50D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9A148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заводом № 24;</w:t>
            </w:r>
          </w:p>
        </w:tc>
      </w:tr>
      <w:tr w:rsidR="006F4095" w:rsidRPr="008127F8" w14:paraId="4E6A410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AAD9A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11699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B0CD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5DA2F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Расформировав в связи с эвакуацией.</w:t>
            </w:r>
          </w:p>
        </w:tc>
      </w:tr>
      <w:tr w:rsidR="006F4095" w:rsidRPr="008127F8" w14:paraId="124B91B3"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D4E19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82B15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7E954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5D4DF2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Запорожья зав. № 29</w:t>
            </w:r>
          </w:p>
        </w:tc>
      </w:tr>
      <w:tr w:rsidR="006F4095" w:rsidRPr="008127F8" w14:paraId="57238C3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8214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F2BB1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A4E2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37D4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Рыбинска № 26</w:t>
            </w:r>
          </w:p>
        </w:tc>
      </w:tr>
      <w:tr w:rsidR="006F4095" w:rsidRPr="008127F8" w14:paraId="53FD186B"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09C7E0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IV ГУ</w:t>
            </w:r>
          </w:p>
        </w:tc>
      </w:tr>
      <w:tr w:rsidR="006F4095" w:rsidRPr="008127F8" w14:paraId="178A5F6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F9EB3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653B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Полтава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5DC79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63984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Эвакуирован</w:t>
            </w:r>
            <w:proofErr w:type="gramEnd"/>
            <w:r w:rsidRPr="008127F8">
              <w:rPr>
                <w:rFonts w:ascii="Times New Roman" w:hAnsi="Times New Roman"/>
                <w:color w:val="000000" w:themeColor="text1"/>
                <w:sz w:val="16"/>
                <w:szCs w:val="16"/>
              </w:rPr>
              <w:t xml:space="preserve"> а Саратов, объединён с зав. № 306</w:t>
            </w:r>
          </w:p>
        </w:tc>
      </w:tr>
      <w:tr w:rsidR="006F4095" w:rsidRPr="008127F8" w14:paraId="67A2E6FF"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27BA7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CDB56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5A4C6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D621A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Саретов, объединён с за». № 306</w:t>
            </w:r>
          </w:p>
        </w:tc>
      </w:tr>
      <w:tr w:rsidR="006F4095" w:rsidRPr="008127F8" w14:paraId="6CD19C0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F84C4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3693E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79B85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46549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Обьединёвсзав.№</w:t>
            </w:r>
            <w:proofErr w:type="gramEnd"/>
            <w:r w:rsidRPr="008127F8">
              <w:rPr>
                <w:rFonts w:ascii="Times New Roman" w:hAnsi="Times New Roman"/>
                <w:color w:val="000000" w:themeColor="text1"/>
                <w:sz w:val="16"/>
                <w:szCs w:val="16"/>
              </w:rPr>
              <w:t>26</w:t>
            </w:r>
          </w:p>
        </w:tc>
      </w:tr>
      <w:tr w:rsidR="006F4095" w:rsidRPr="008127F8" w14:paraId="6D7D3758"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05C9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C0A7E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9AB14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333403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Молотов н объединён с зав. Л19</w:t>
            </w:r>
          </w:p>
        </w:tc>
      </w:tr>
      <w:tr w:rsidR="006F4095" w:rsidRPr="008127F8" w14:paraId="256246F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C119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60446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D224D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80C27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Киров, объединён с зав. №266</w:t>
            </w:r>
          </w:p>
        </w:tc>
      </w:tr>
      <w:tr w:rsidR="006F4095" w:rsidRPr="008127F8" w14:paraId="39B2E6E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64856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02A78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Молотов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866AC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5E6F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 №33</w:t>
            </w:r>
          </w:p>
        </w:tc>
      </w:tr>
      <w:tr w:rsidR="006F4095" w:rsidRPr="008127F8" w14:paraId="461B43E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5140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B18D0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1FAE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22AC46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Объединён с эвакуированным из Мвшн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 316</w:t>
            </w:r>
          </w:p>
        </w:tc>
      </w:tr>
      <w:tr w:rsidR="006F4095" w:rsidRPr="008127F8" w14:paraId="18A2573A"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089C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86DB0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31F64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36593D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Киров, объединён с зав.№ 266</w:t>
            </w:r>
          </w:p>
        </w:tc>
      </w:tr>
      <w:tr w:rsidR="006F4095" w:rsidRPr="008127F8" w14:paraId="009F1F5B"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6F8F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93CB1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8801B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5B5F5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зав. Л 20</w:t>
            </w:r>
          </w:p>
        </w:tc>
      </w:tr>
      <w:tr w:rsidR="006F4095" w:rsidRPr="008127F8" w14:paraId="760C3A23" w14:textId="77777777">
        <w:trPr>
          <w:trHeight w:val="221"/>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382A5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УГУ</w:t>
            </w:r>
          </w:p>
        </w:tc>
      </w:tr>
      <w:tr w:rsidR="006F4095" w:rsidRPr="008127F8" w14:paraId="02E8E54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E1F3A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F22FF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Тарту</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CA2D8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2E54B6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Свердловск, обьедвнёв с зав. № 214</w:t>
            </w:r>
          </w:p>
        </w:tc>
      </w:tr>
      <w:tr w:rsidR="006F4095" w:rsidRPr="008127F8" w14:paraId="11342DA1"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BB073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B4974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Вильнюс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C0E95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6882D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w:t>
            </w:r>
          </w:p>
        </w:tc>
      </w:tr>
      <w:tr w:rsidR="006F4095" w:rsidRPr="008127F8" w14:paraId="1936A9E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9C722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793A2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Львов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5D6C8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5BD519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в Казань, объединён с </w:t>
            </w:r>
            <w:r w:rsidRPr="008127F8">
              <w:rPr>
                <w:rFonts w:ascii="Times New Roman" w:hAnsi="Times New Roman"/>
                <w:color w:val="000000" w:themeColor="text1"/>
                <w:sz w:val="16"/>
                <w:szCs w:val="16"/>
                <w:lang w:val="en-US"/>
              </w:rPr>
              <w:t>mJfe</w:t>
            </w:r>
            <w:r w:rsidRPr="008127F8">
              <w:rPr>
                <w:rFonts w:ascii="Times New Roman" w:hAnsi="Times New Roman"/>
                <w:color w:val="000000" w:themeColor="text1"/>
                <w:sz w:val="16"/>
                <w:szCs w:val="16"/>
              </w:rPr>
              <w:t xml:space="preserve"> 218фил.</w:t>
            </w:r>
          </w:p>
        </w:tc>
      </w:tr>
      <w:tr w:rsidR="006F4095" w:rsidRPr="008127F8" w14:paraId="68E1E99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120F4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84587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E7292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C7D2A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w:t>
            </w:r>
          </w:p>
        </w:tc>
      </w:tr>
      <w:tr w:rsidR="006F4095" w:rsidRPr="008127F8" w14:paraId="35D05035"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DCA9A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08F27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EEC94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50041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419BADB2" w14:textId="77777777">
        <w:trPr>
          <w:trHeight w:val="221"/>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13A1CF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У1ГУ</w:t>
            </w:r>
          </w:p>
        </w:tc>
      </w:tr>
      <w:tr w:rsidR="006F4095" w:rsidRPr="008127F8" w14:paraId="1063155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C6359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A7C13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Калуга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4FAC0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2B261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Чкалов, объединён с зав. № 47</w:t>
            </w:r>
          </w:p>
        </w:tc>
      </w:tr>
      <w:tr w:rsidR="006F4095" w:rsidRPr="008127F8" w14:paraId="22C2D556"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3681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A10F7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Сызрань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7EAA1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F3156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Днепропетровска зав. №481</w:t>
            </w:r>
          </w:p>
        </w:tc>
      </w:tr>
      <w:tr w:rsidR="006F4095" w:rsidRPr="008127F8" w14:paraId="2FDD6B8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77EFC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DAA17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Севастополь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14A5D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6CEBDF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r w:rsidR="006F4095" w:rsidRPr="008127F8" w14:paraId="4849A2F8"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5C7324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УПГУ</w:t>
            </w:r>
          </w:p>
        </w:tc>
      </w:tr>
      <w:tr w:rsidR="006F4095" w:rsidRPr="008127F8" w14:paraId="7224DD67"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BFDEC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r w:rsidRPr="008127F8">
              <w:rPr>
                <w:rFonts w:ascii="Times New Roman" w:hAnsi="Times New Roman"/>
                <w:color w:val="000000" w:themeColor="text1"/>
                <w:sz w:val="16"/>
                <w:szCs w:val="16"/>
                <w:lang w:val="en-US"/>
              </w:rPr>
              <w:t>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76592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EAE7F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75710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эвакуацией в Новосибирск преобразован в ОКБ зав. №153</w:t>
            </w:r>
          </w:p>
        </w:tc>
      </w:tr>
      <w:tr w:rsidR="006F4095" w:rsidRPr="008127F8" w14:paraId="64EF8E9A"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B4EA3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2D48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DA12E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B7224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Омск, объединён с зав. № 166</w:t>
            </w:r>
          </w:p>
        </w:tc>
      </w:tr>
      <w:tr w:rsidR="006F4095" w:rsidRPr="008127F8" w14:paraId="5EDBD371"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553EA2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ХГУ</w:t>
            </w:r>
          </w:p>
        </w:tc>
      </w:tr>
      <w:tr w:rsidR="006F4095" w:rsidRPr="008127F8" w14:paraId="2A2D7547"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24B86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167468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Кимры</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AD7A5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E0328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527A8E94" w14:textId="77777777">
        <w:trPr>
          <w:trHeight w:val="23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CF8E8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408E4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Смоленск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425B5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5BF99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347F6B6F"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2BC9B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124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89B19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11F7E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03461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Москвы зав. № 22</w:t>
            </w:r>
          </w:p>
        </w:tc>
      </w:tr>
      <w:tr w:rsidR="006F4095" w:rsidRPr="008127F8" w14:paraId="433AC225"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74954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33B57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69652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FEAF1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ю Москвы зав. № 39</w:t>
            </w:r>
          </w:p>
        </w:tc>
      </w:tr>
      <w:tr w:rsidR="006F4095" w:rsidRPr="008127F8" w14:paraId="47F4B1DF"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036F0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16AA41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CA37F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766A5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Н-Тагил, объединён с эвакуированным туда же зав. №381</w:t>
            </w:r>
          </w:p>
        </w:tc>
      </w:tr>
      <w:tr w:rsidR="006F4095" w:rsidRPr="008127F8" w14:paraId="5B9E9E59"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1589B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F52F9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D2E5E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6FCCF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4F9E1FB9"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F2DAA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5FA84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6AF47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D5562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 (вся</w:t>
            </w:r>
            <w:r w:rsidRPr="008127F8">
              <w:rPr>
                <w:rFonts w:ascii="Times New Roman" w:hAnsi="Times New Roman"/>
                <w:iCs/>
                <w:color w:val="000000" w:themeColor="text1"/>
                <w:sz w:val="16"/>
                <w:szCs w:val="16"/>
              </w:rPr>
              <w:t xml:space="preserve"> строчка завода зачёркнута </w:t>
            </w:r>
            <w:r w:rsidRPr="008127F8">
              <w:rPr>
                <w:rFonts w:ascii="Times New Roman" w:hAnsi="Times New Roman"/>
                <w:iCs/>
                <w:color w:val="000000" w:themeColor="text1"/>
                <w:sz w:val="16"/>
                <w:szCs w:val="16"/>
                <w:lang w:val="en-US"/>
              </w:rPr>
              <w:t>oat</w:t>
            </w:r>
            <w:r w:rsidRPr="008127F8">
              <w:rPr>
                <w:rFonts w:ascii="Times New Roman" w:hAnsi="Times New Roman"/>
                <w:iCs/>
                <w:color w:val="000000" w:themeColor="text1"/>
                <w:sz w:val="16"/>
                <w:szCs w:val="16"/>
              </w:rPr>
              <w:t xml:space="preserve"> руки карандашом)</w:t>
            </w:r>
          </w:p>
        </w:tc>
      </w:tr>
      <w:tr w:rsidR="006F4095" w:rsidRPr="008127F8" w14:paraId="625EFCBC"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0033E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XI</w:t>
            </w:r>
            <w:r w:rsidRPr="008127F8">
              <w:rPr>
                <w:rFonts w:ascii="Times New Roman" w:hAnsi="Times New Roman"/>
                <w:iCs/>
                <w:color w:val="000000" w:themeColor="text1"/>
                <w:sz w:val="16"/>
                <w:szCs w:val="16"/>
              </w:rPr>
              <w:t>ГУ</w:t>
            </w:r>
          </w:p>
        </w:tc>
      </w:tr>
      <w:tr w:rsidR="006F4095" w:rsidRPr="008127F8" w14:paraId="42722F61"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11291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071A9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37861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C3258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 с эвакуированным из Ленинграда зав. №387</w:t>
            </w:r>
          </w:p>
        </w:tc>
      </w:tr>
      <w:tr w:rsidR="006F4095" w:rsidRPr="008127F8" w14:paraId="5F26B90C"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19078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E7BEA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2CDBE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6A0F11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свази с эвакуацией</w:t>
            </w:r>
          </w:p>
        </w:tc>
      </w:tr>
      <w:tr w:rsidR="006F4095" w:rsidRPr="008127F8" w14:paraId="7E898044"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B95E3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482</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05756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18DB4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1446E3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Эвакуирован в Козовку (Чувашей» АССР), объединён </w:t>
            </w:r>
            <w:proofErr w:type="gramStart"/>
            <w:r w:rsidRPr="008127F8">
              <w:rPr>
                <w:rFonts w:ascii="Times New Roman" w:hAnsi="Times New Roman"/>
                <w:color w:val="000000" w:themeColor="text1"/>
                <w:sz w:val="16"/>
                <w:szCs w:val="16"/>
              </w:rPr>
              <w:t>с зав</w:t>
            </w:r>
            <w:proofErr w:type="gramEnd"/>
            <w:r w:rsidRPr="008127F8">
              <w:rPr>
                <w:rFonts w:ascii="Times New Roman" w:hAnsi="Times New Roman"/>
                <w:color w:val="000000" w:themeColor="text1"/>
                <w:sz w:val="16"/>
                <w:szCs w:val="16"/>
              </w:rPr>
              <w:t>, № 494</w:t>
            </w:r>
          </w:p>
        </w:tc>
      </w:tr>
      <w:tr w:rsidR="006F4095" w:rsidRPr="008127F8" w14:paraId="3F76D9F2"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C0AA5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Оргавиапром</w:t>
            </w:r>
          </w:p>
        </w:tc>
      </w:tr>
      <w:tr w:rsidR="006F4095" w:rsidRPr="008127F8" w14:paraId="05AE518B"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D93E7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E30FA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80D3F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2F450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 в Тавду (Свердловская обл.), объединён с зав. №5 Оргавиапрома</w:t>
            </w:r>
          </w:p>
        </w:tc>
      </w:tr>
      <w:tr w:rsidR="006F4095" w:rsidRPr="008127F8" w14:paraId="7CFB5D50" w14:textId="77777777">
        <w:trPr>
          <w:trHeight w:val="2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B7B05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97ECA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Днепропетровск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024A7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948E8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Расформирован в связи с эвакуацией</w:t>
            </w:r>
          </w:p>
        </w:tc>
      </w:tr>
    </w:tbl>
    <w:p w14:paraId="5237CC8F" w14:textId="77777777" w:rsidR="007E67CF" w:rsidRPr="008127F8" w:rsidRDefault="007E67CF"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41AF6596" w14:textId="77777777" w:rsidR="007E67CF" w:rsidRPr="008127F8" w:rsidRDefault="007E67CF"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Список строек предприятий НКАП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2826. Л. 26—27)</w:t>
      </w:r>
    </w:p>
    <w:tbl>
      <w:tblPr>
        <w:tblW w:w="0" w:type="auto"/>
        <w:tblInd w:w="8" w:type="dxa"/>
        <w:tblLayout w:type="fixed"/>
        <w:tblCellMar>
          <w:left w:w="0" w:type="dxa"/>
          <w:right w:w="0" w:type="dxa"/>
        </w:tblCellMar>
        <w:tblLook w:val="0000" w:firstRow="0" w:lastRow="0" w:firstColumn="0" w:lastColumn="0" w:noHBand="0" w:noVBand="0"/>
      </w:tblPr>
      <w:tblGrid>
        <w:gridCol w:w="643"/>
        <w:gridCol w:w="1392"/>
        <w:gridCol w:w="3898"/>
      </w:tblGrid>
      <w:tr w:rsidR="006F4095" w:rsidRPr="008127F8" w14:paraId="3EFF48F8"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00D90A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Номер</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185F5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Местоположение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B3583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102468DD" w14:textId="77777777">
        <w:trPr>
          <w:trHeight w:val="230"/>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629F30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1ГУ</w:t>
            </w:r>
          </w:p>
        </w:tc>
      </w:tr>
      <w:tr w:rsidR="006F4095" w:rsidRPr="008127F8" w14:paraId="65AD1AEF"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FD790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BC86F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Комсомольск на Амуре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3761F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707CB275"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3CEF2B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3E5BFE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Кутаиси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A3439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3BE66902"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AD728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446</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B374D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Баху</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39D12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Ростова завода № 458</w:t>
            </w:r>
          </w:p>
        </w:tc>
      </w:tr>
      <w:tr w:rsidR="006F4095" w:rsidRPr="008127F8" w14:paraId="5DAD0354"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15750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11ГУ</w:t>
            </w:r>
          </w:p>
        </w:tc>
      </w:tr>
      <w:tr w:rsidR="006F4095" w:rsidRPr="008127F8" w14:paraId="3CFD9A71"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16593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0E96A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5947F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Москвы завода № 32</w:t>
            </w:r>
          </w:p>
        </w:tc>
      </w:tr>
      <w:tr w:rsidR="006F4095" w:rsidRPr="008127F8" w14:paraId="5ED2D7F3"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681AC2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5B700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389C4A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Солнечногорска завода № 469</w:t>
            </w:r>
          </w:p>
        </w:tc>
      </w:tr>
      <w:tr w:rsidR="006F4095" w:rsidRPr="008127F8" w14:paraId="5576A3FA"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59B37A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ШГУ</w:t>
            </w:r>
          </w:p>
        </w:tc>
      </w:tr>
      <w:tr w:rsidR="006F4095" w:rsidRPr="008127F8" w14:paraId="79A93958"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37D99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46AD1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0FF9F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площадае эвакуиро</w:t>
            </w:r>
            <w:r w:rsidRPr="008127F8">
              <w:rPr>
                <w:rFonts w:ascii="Times New Roman" w:hAnsi="Times New Roman"/>
                <w:color w:val="000000" w:themeColor="text1"/>
                <w:sz w:val="16"/>
                <w:szCs w:val="16"/>
              </w:rPr>
              <w:softHyphen/>
              <w:t>ванного из Таганрога завода № 31</w:t>
            </w:r>
          </w:p>
        </w:tc>
      </w:tr>
      <w:tr w:rsidR="006F4095" w:rsidRPr="008127F8" w14:paraId="5389D0A5"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6C09EB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1УГУ</w:t>
            </w:r>
          </w:p>
        </w:tc>
      </w:tr>
      <w:tr w:rsidR="006F4095" w:rsidRPr="008127F8" w14:paraId="2FCEF904"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69161B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036CF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Сарапул, Удмуртская АССР</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1B174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254E3AF7"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3233CF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8BA41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C5F7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w:t>
            </w:r>
            <w:r w:rsidRPr="008127F8">
              <w:rPr>
                <w:rFonts w:ascii="Times New Roman" w:hAnsi="Times New Roman"/>
                <w:color w:val="000000" w:themeColor="text1"/>
                <w:sz w:val="16"/>
                <w:szCs w:val="16"/>
              </w:rPr>
              <w:softHyphen/>
              <w:t>ванного из Москвы завода № 25</w:t>
            </w:r>
          </w:p>
        </w:tc>
      </w:tr>
      <w:tr w:rsidR="006F4095" w:rsidRPr="008127F8" w14:paraId="31C7A2AE" w14:textId="77777777">
        <w:trPr>
          <w:trHeight w:val="226"/>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4538DE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УГУ</w:t>
            </w:r>
          </w:p>
        </w:tc>
      </w:tr>
      <w:tr w:rsidR="006F4095" w:rsidRPr="008127F8" w14:paraId="50C26C20"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2B8C8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603C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AB730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639D1479"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DBAEA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6D29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7758C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продолжается</w:t>
            </w:r>
          </w:p>
        </w:tc>
      </w:tr>
      <w:tr w:rsidR="006F4095" w:rsidRPr="008127F8" w14:paraId="220F817B"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1C2742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92902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54D5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F4095" w:rsidRPr="008127F8" w14:paraId="4FED5486"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7E712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149</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6C8B7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Вязьма</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D3B88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Прекращено в связи с эвакуацией</w:t>
            </w:r>
          </w:p>
        </w:tc>
      </w:tr>
      <w:tr w:rsidR="006F4095" w:rsidRPr="008127F8" w14:paraId="002BBCA1" w14:textId="77777777">
        <w:trPr>
          <w:trHeight w:val="226"/>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ED088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11EC3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Харьков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143CEB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Прекращено в связи с эвакуацией</w:t>
            </w:r>
          </w:p>
        </w:tc>
      </w:tr>
      <w:tr w:rsidR="006F4095" w:rsidRPr="008127F8" w14:paraId="1C98C468"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28F00F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VI</w:t>
            </w:r>
            <w:r w:rsidRPr="008127F8">
              <w:rPr>
                <w:rFonts w:ascii="Times New Roman" w:hAnsi="Times New Roman"/>
                <w:iCs/>
                <w:color w:val="000000" w:themeColor="text1"/>
                <w:sz w:val="16"/>
                <w:szCs w:val="16"/>
              </w:rPr>
              <w:t>ГУ</w:t>
            </w:r>
          </w:p>
        </w:tc>
      </w:tr>
      <w:tr w:rsidR="006F4095" w:rsidRPr="008127F8" w14:paraId="4AC5825C"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BB381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lang w:val="en-US"/>
              </w:rPr>
              <w:t>377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089E6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Ново-Киевка, Амурская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5640F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Законсервировано</w:t>
            </w:r>
          </w:p>
        </w:tc>
      </w:tr>
      <w:tr w:rsidR="006F4095" w:rsidRPr="008127F8" w14:paraId="6BEF05EA"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626DC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1ХГУ</w:t>
            </w:r>
          </w:p>
        </w:tc>
      </w:tr>
      <w:tr w:rsidR="006F4095" w:rsidRPr="008127F8" w14:paraId="321EFF78"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BC2D8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CEEB4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Каменск, Челябинская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3C94C3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эвакуированного из Ступино завода № 150</w:t>
            </w:r>
          </w:p>
        </w:tc>
      </w:tr>
      <w:tr w:rsidR="006F4095" w:rsidRPr="008127F8" w14:paraId="6CC00F5F"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6A3B73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5BBF5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Верхняя Салда, Сверд</w:t>
            </w:r>
            <w:r w:rsidRPr="008127F8">
              <w:rPr>
                <w:rFonts w:ascii="Times New Roman" w:hAnsi="Times New Roman"/>
                <w:color w:val="000000" w:themeColor="text1"/>
                <w:sz w:val="16"/>
                <w:szCs w:val="16"/>
              </w:rPr>
              <w:softHyphen/>
              <w:t>ловская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16B9B0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Ликвидировано, в связи с размещением на его площадке эвакуированного из Кунцево завода №95</w:t>
            </w:r>
          </w:p>
        </w:tc>
      </w:tr>
      <w:tr w:rsidR="006F4095" w:rsidRPr="008127F8" w14:paraId="58F16968"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F1A8F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XГУ</w:t>
            </w:r>
          </w:p>
        </w:tc>
      </w:tr>
      <w:tr w:rsidR="006F4095" w:rsidRPr="008127F8" w14:paraId="21B95520"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065B0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8225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Ереван</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8E26E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w:t>
            </w:r>
          </w:p>
        </w:tc>
      </w:tr>
    </w:tbl>
    <w:p w14:paraId="5E035E00" w14:textId="77777777" w:rsidR="007E67CF" w:rsidRPr="008127F8" w:rsidRDefault="007E67CF"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(12011).</w:t>
      </w:r>
    </w:p>
    <w:p w14:paraId="423A1ABD" w14:textId="77777777" w:rsidR="007E67CF" w:rsidRPr="008127F8" w:rsidRDefault="007E67CF" w:rsidP="001E0A84">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4A209E5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067A6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68AB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Берия подписал приказ № 00330, которым “в целях обеспечения единого производственно-технического руководства предприятиями НКВД СССР, вырабатывающими боеприпасы, вооружение и предметы снаряжения для Красной Армии, а также для дальнейшего развертывания этих производств” в составе УИТК ГУЛАГа образовывался “на правах самостоятельного отдела Главного управления” Отдел производства военной продукции во главе со старшим лейтенантом ГБ М. И. Волковысским. На отдел возлагались планирование, учет и оперативное техническое руководство всеми предприятиями НКВД, выпускающими военную продукцию. Этим же приказом “в целях расширения производственной базы ГУЛАГа... по изготовлению боеприпасов” в ведение УИТК ГУЛАГа передавались Рыбинский механический завод Волгостроя НКВД, механические мастерские строительства № 203 и Биробиджанские механические мастерские ГУШОСДОРа с организацией на их базе исправительно-трудовых колоний; ГУЛАГу поручалось восстановить к 10 марта выпуск боеприпасов в системе УИТЛК-ОИТК УНКВД Московской, Тульской и Воронежской областей “за счет использования производственных помещений эвакуированных колоний, сохранившегося оборудования и мобилизации внутренних ресурсов” (7560).</w:t>
      </w:r>
    </w:p>
    <w:p w14:paraId="618BB3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98676" w14:textId="77777777" w:rsidR="008E323D"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17 февраля 1942 г. Берия издал указ об организации про</w:t>
      </w:r>
      <w:r w:rsidRPr="008127F8">
        <w:rPr>
          <w:rFonts w:ascii="Times New Roman" w:hAnsi="Times New Roman"/>
          <w:color w:val="000000" w:themeColor="text1"/>
          <w:sz w:val="16"/>
          <w:szCs w:val="16"/>
        </w:rPr>
        <w:softHyphen/>
        <w:t>изводства военной продукции в ГУЛАГе (10675).</w:t>
      </w:r>
    </w:p>
    <w:p w14:paraId="1C282BB2" w14:textId="77777777" w:rsidR="008E323D" w:rsidRPr="008127F8" w:rsidRDefault="008E323D"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1027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1942Приказ НКВД СССР № 00330 «Об организации в составе УИТК ГУЛАГа НКВД СССР отдела производства военной продукции»</w:t>
      </w:r>
    </w:p>
    <w:p w14:paraId="29675410" w14:textId="77777777" w:rsidR="008E323D" w:rsidRPr="008127F8" w:rsidRDefault="008E323D"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7C10A753"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единого производственно-технического руководства предприятиями НКВД СССР, вырабатывающими боеприпасы, вооружение и предметы снаряжения для Красной Армии, а также дальнейшего развертывания этих производств</w:t>
      </w:r>
    </w:p>
    <w:p w14:paraId="25F0203A"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08111B54"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в составе УИТК ГУЛАГа НКВД СССР, на правах самостоятельного отдела Главного управления, специальный Отдел производства военной продукции (боеприпасы, вооружение, спецукупорка и предметы снаряжения) за счет штатной численности НКВД.</w:t>
      </w:r>
    </w:p>
    <w:p w14:paraId="13521938"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Назначить начальником Отдела производства военной продукции УИТК ГУЛАГа НКВД СССР старшего лейтенанта государственной безопасности тов. Волковысского М.И.</w:t>
      </w:r>
    </w:p>
    <w:p w14:paraId="4F9E398F"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Возложить на Отдел производства военной продукции планирование, учет и оперативное техническое руководство всеми предприятиями НКВД СССР, вырабатывающими военную продукцию.</w:t>
      </w:r>
    </w:p>
    <w:p w14:paraId="0412EFFB"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целях расширения производственной базы ГУЛАГа НКВД СССР по изготовлению боеприпасов, передать в ведение УИТК ГУЛАГа:</w:t>
      </w:r>
    </w:p>
    <w:p w14:paraId="658D192B"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Рыбинский механический завод Волгостроя НКВД.</w:t>
      </w:r>
    </w:p>
    <w:p w14:paraId="710B6E2B"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Механические мастерские строительства № 203.</w:t>
      </w:r>
    </w:p>
    <w:p w14:paraId="5E8E68DF"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Биробиджанские механические мастерские ГУШОСДОРа.</w:t>
      </w:r>
    </w:p>
    <w:p w14:paraId="185A1997"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Организовать на базе указанных предприятий исправительно-трудовые колонии ГУЛАГа НКВД СССР.</w:t>
      </w:r>
    </w:p>
    <w:p w14:paraId="539482E2"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ГУЛАГу НКВД СССР восстановить к 10-му марта 1942 г. производство боеприпасов УИТЛК — ОИТК УНКВД Московской, Тульской и Воронежской областей за счет использования производственных помещений эвакуированных колоний, сохранившегося оборудования и мобилизации внутренних ресурсов.</w:t>
      </w:r>
    </w:p>
    <w:p w14:paraId="036DE774"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Начальнику ГУЛАГа НКВД СССР старшему майору государственной безопасности тов.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"javascript:showPerson(59)"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Наседкину</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 xml:space="preserve"> обеспечить полное и своевременное выполнение планов по производству военной продукции колониями ГУЛАГа НКВД СССР.</w:t>
      </w:r>
    </w:p>
    <w:p w14:paraId="2A550E54"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Начальнику УМТС НКВД СССР майору государственной безопасности тов.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"javascript:showPerson(1009209)"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Поддубко</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 xml:space="preserve"> обеспечить полное и своевременное удовлетворение материалами, инструментами и оборудованием производство военной продукции впереди всех заказов и за счет любых ресурсов НКВД СССР.</w:t>
      </w:r>
    </w:p>
    <w:p w14:paraId="1C138768"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Возложить личную ответственность за выполнение установленных заданий по изготовлению военной продукции в республиках, краях, областях на соответствующих народных комиссаров внутренних дел и начальников УНКВД.</w:t>
      </w:r>
    </w:p>
    <w:p w14:paraId="343E60EC"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Контроль и наблюдение за выполнением заданий по производству военной продукции возложить на заместителя народного комиссара внутренних дел СССР тов.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"javascript:showPerson(49)"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Круглова</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w:t>
      </w:r>
    </w:p>
    <w:p w14:paraId="581903CB"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Заместителям народного комиссара внутренних дел СССР т. Круглову и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"javascript:showPerson(60484)"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Чернышову</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 xml:space="preserve"> к 1 марта представить план производства боеприпасов на 2-й квартал 1942 года по НКВД СССР.</w:t>
      </w:r>
    </w:p>
    <w:p w14:paraId="52B35637"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внутренних дел Союза ССР</w:t>
      </w:r>
    </w:p>
    <w:p w14:paraId="44FF6328" w14:textId="77777777" w:rsidR="008E323D" w:rsidRPr="008127F8" w:rsidRDefault="008E32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генеральный комиссар государственной безопасности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"javascript:showPerson(17)"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Л. БЕРИЯ</w:t>
      </w:r>
      <w:r w:rsidR="00D335F6" w:rsidRPr="008127F8">
        <w:rPr>
          <w:rFonts w:ascii="Times New Roman" w:hAnsi="Times New Roman"/>
          <w:color w:val="000000" w:themeColor="text1"/>
          <w:sz w:val="16"/>
          <w:szCs w:val="16"/>
        </w:rPr>
        <w:fldChar w:fldCharType="end"/>
      </w:r>
    </w:p>
    <w:p w14:paraId="148BD3F2" w14:textId="77777777" w:rsidR="008E323D" w:rsidRPr="008127F8" w:rsidRDefault="008E323D"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ГАРФ. Ф.9401. Оп. 1a. Д. 110. Лл. 145–146. Типографский экземпляр (12114).</w:t>
      </w:r>
    </w:p>
    <w:p w14:paraId="534E99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BBCCC" w14:textId="77777777" w:rsidR="00E05935" w:rsidRPr="008127F8" w:rsidRDefault="00E0593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17 февраля 1942 на заводе №264 было готово примерно по 120 экранированных корпусов и башен. На заводе №112 выпуск шёл неоднородно — всего там изготовили 80 экранированных корпусов и 109 экранированных башен. Получается, что в феврале 1942 года Т-34 стали экранироваться сотнями, но… 23 февраля 1942 года Сталин подписал постановление ГКО №1333, согласно которому экранировка упразднялась. Правда, выпущенный задел по экранированным корпусам и башням использовался для постройки танков (18883).</w:t>
      </w:r>
    </w:p>
    <w:p w14:paraId="1F669CD4" w14:textId="77777777" w:rsidR="00E05935" w:rsidRPr="008127F8" w:rsidRDefault="00E05935" w:rsidP="001E0A84">
      <w:pPr>
        <w:spacing w:after="0" w:line="240" w:lineRule="auto"/>
        <w:jc w:val="both"/>
        <w:rPr>
          <w:rFonts w:ascii="Times New Roman" w:eastAsia="Times New Roman" w:hAnsi="Times New Roman"/>
          <w:color w:val="000000" w:themeColor="text1"/>
          <w:sz w:val="16"/>
          <w:szCs w:val="16"/>
          <w:lang w:eastAsia="ru-RU"/>
        </w:rPr>
      </w:pPr>
    </w:p>
    <w:p w14:paraId="0EDC39F9"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февраля 1942 года Савин в письме на имя генерал- майора Коробкова сообщал:</w:t>
      </w:r>
    </w:p>
    <w:p w14:paraId="31A8AEF8"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вторично докладной запиской от 16 февраля с/г просил генерал-майора т. Котина оставить группу именно на заводе № 174, которую имеется ввиду перебросить с членами семей в Нижний Тагил на завод № 183, о чем просим и Вашего ходатайства. Этому предшествовало Ваше письмо и пись</w:t>
      </w:r>
      <w:r w:rsidRPr="008A2E5A">
        <w:rPr>
          <w:rFonts w:ascii="Times New Roman" w:hAnsi="Times New Roman"/>
          <w:color w:val="0070C0"/>
          <w:sz w:val="16"/>
          <w:szCs w:val="16"/>
        </w:rPr>
        <w:softHyphen/>
        <w:t>мо генерал-майора тов. Хохлова, который разрешил нам получить зенитную пушку из числа действующих с НИВЗАП - Дон- гульская, что в 30 км от г. Чкалова, так как в ближайшие месяцы получить таковую с за</w:t>
      </w:r>
      <w:r w:rsidRPr="008A2E5A">
        <w:rPr>
          <w:rFonts w:ascii="Times New Roman" w:hAnsi="Times New Roman"/>
          <w:color w:val="0070C0"/>
          <w:sz w:val="16"/>
          <w:szCs w:val="16"/>
        </w:rPr>
        <w:softHyphen/>
        <w:t>водов не представляется возможным, а сле</w:t>
      </w:r>
      <w:r w:rsidRPr="008A2E5A">
        <w:rPr>
          <w:rFonts w:ascii="Times New Roman" w:hAnsi="Times New Roman"/>
          <w:color w:val="0070C0"/>
          <w:sz w:val="16"/>
          <w:szCs w:val="16"/>
        </w:rPr>
        <w:softHyphen/>
        <w:t>довательно если бы мы уехали в Н. Тагил, то мы лишились бы основного, т. е. пушки. Это означает, что срок сдачи установки для полигонных и фронтовых испытаний уд</w:t>
      </w:r>
      <w:r w:rsidRPr="008A2E5A">
        <w:rPr>
          <w:rFonts w:ascii="Times New Roman" w:hAnsi="Times New Roman"/>
          <w:color w:val="0070C0"/>
          <w:sz w:val="16"/>
          <w:szCs w:val="16"/>
        </w:rPr>
        <w:softHyphen/>
        <w:t>линится на неизвестных срок.</w:t>
      </w:r>
    </w:p>
    <w:p w14:paraId="2F4D2BB3"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с получением Вашего письма, завод № 174 приступил к срочному изготов</w:t>
      </w:r>
      <w:r w:rsidRPr="008A2E5A">
        <w:rPr>
          <w:rFonts w:ascii="Times New Roman" w:hAnsi="Times New Roman"/>
          <w:color w:val="0070C0"/>
          <w:sz w:val="16"/>
          <w:szCs w:val="16"/>
        </w:rPr>
        <w:softHyphen/>
        <w:t>лению трудоемкого узла, и вероятно, закон</w:t>
      </w:r>
      <w:r w:rsidRPr="008A2E5A">
        <w:rPr>
          <w:rFonts w:ascii="Times New Roman" w:hAnsi="Times New Roman"/>
          <w:color w:val="0070C0"/>
          <w:sz w:val="16"/>
          <w:szCs w:val="16"/>
        </w:rPr>
        <w:softHyphen/>
        <w:t>чит его в середине марта.</w:t>
      </w:r>
    </w:p>
    <w:p w14:paraId="3E923012"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 № 183, где изготавливается стан</w:t>
      </w:r>
      <w:r w:rsidRPr="008A2E5A">
        <w:rPr>
          <w:rFonts w:ascii="Times New Roman" w:hAnsi="Times New Roman"/>
          <w:color w:val="0070C0"/>
          <w:sz w:val="16"/>
          <w:szCs w:val="16"/>
        </w:rPr>
        <w:softHyphen/>
        <w:t>дартная башня нашей установки (устанав</w:t>
      </w:r>
      <w:r w:rsidRPr="008A2E5A">
        <w:rPr>
          <w:rFonts w:ascii="Times New Roman" w:hAnsi="Times New Roman"/>
          <w:color w:val="0070C0"/>
          <w:sz w:val="16"/>
          <w:szCs w:val="16"/>
        </w:rPr>
        <w:softHyphen/>
        <w:t>ливается на нижнем погоне любого танка) я командировал опытного инженера Можа</w:t>
      </w:r>
      <w:r w:rsidRPr="008A2E5A">
        <w:rPr>
          <w:rFonts w:ascii="Times New Roman" w:hAnsi="Times New Roman"/>
          <w:color w:val="0070C0"/>
          <w:sz w:val="16"/>
          <w:szCs w:val="16"/>
        </w:rPr>
        <w:softHyphen/>
        <w:t>ева, и поэтому завод имеет возможность зна</w:t>
      </w:r>
      <w:r w:rsidRPr="008A2E5A">
        <w:rPr>
          <w:rFonts w:ascii="Times New Roman" w:hAnsi="Times New Roman"/>
          <w:color w:val="0070C0"/>
          <w:sz w:val="16"/>
          <w:szCs w:val="16"/>
        </w:rPr>
        <w:softHyphen/>
        <w:t>чительно раньше окончить изготовление, чем указано в приказе т. Котина, так как чер</w:t>
      </w:r>
      <w:r w:rsidRPr="008A2E5A">
        <w:rPr>
          <w:rFonts w:ascii="Times New Roman" w:hAnsi="Times New Roman"/>
          <w:color w:val="0070C0"/>
          <w:sz w:val="16"/>
          <w:szCs w:val="16"/>
        </w:rPr>
        <w:softHyphen/>
        <w:t>тежи на башню завод получил ранее установ</w:t>
      </w:r>
      <w:r w:rsidRPr="008A2E5A">
        <w:rPr>
          <w:rFonts w:ascii="Times New Roman" w:hAnsi="Times New Roman"/>
          <w:color w:val="0070C0"/>
          <w:sz w:val="16"/>
          <w:szCs w:val="16"/>
        </w:rPr>
        <w:softHyphen/>
        <w:t>ленного срока на 1,5 месяца. Если предпола</w:t>
      </w:r>
      <w:r w:rsidRPr="008A2E5A">
        <w:rPr>
          <w:rFonts w:ascii="Times New Roman" w:hAnsi="Times New Roman"/>
          <w:color w:val="0070C0"/>
          <w:sz w:val="16"/>
          <w:szCs w:val="16"/>
        </w:rPr>
        <w:softHyphen/>
        <w:t>галось установку сдать на испытание к маю, теперь имеется возможность требовать тако</w:t>
      </w:r>
      <w:r w:rsidRPr="008A2E5A">
        <w:rPr>
          <w:rFonts w:ascii="Times New Roman" w:hAnsi="Times New Roman"/>
          <w:color w:val="0070C0"/>
          <w:sz w:val="16"/>
          <w:szCs w:val="16"/>
        </w:rPr>
        <w:softHyphen/>
        <w:t>вую к 1 апреля с/г» (23380).</w:t>
      </w:r>
    </w:p>
    <w:p w14:paraId="094AE54E" w14:textId="77777777" w:rsidR="00373D3A" w:rsidRPr="008A2E5A" w:rsidRDefault="00373D3A" w:rsidP="00373D3A">
      <w:pPr>
        <w:spacing w:after="0" w:line="240" w:lineRule="auto"/>
        <w:jc w:val="both"/>
        <w:rPr>
          <w:rFonts w:ascii="Times New Roman" w:hAnsi="Times New Roman"/>
          <w:color w:val="0070C0"/>
          <w:sz w:val="16"/>
          <w:szCs w:val="16"/>
        </w:rPr>
      </w:pPr>
    </w:p>
    <w:p w14:paraId="3E9B25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года НКТанкопром В.А.Малышевым было утверждено название "БА-64" (3862).</w:t>
      </w:r>
    </w:p>
    <w:p w14:paraId="6104A5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4441F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года вышел приказ № 100сс НКВ</w:t>
      </w:r>
    </w:p>
    <w:p w14:paraId="77A2B58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16 февраля 1942 года № 1301сс:</w:t>
      </w:r>
    </w:p>
    <w:p w14:paraId="381A18D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НКВ № 536сс от 16 ноября 1941 года о частичной эвакуации завода № 221 НКВ отменить (6320, 204).</w:t>
      </w:r>
    </w:p>
    <w:p w14:paraId="5C37B71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6BB2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5F789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604A3B"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3D0C8A48"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17 февраля происходили наступательные бои наших войск против немецко-фашистских войск.</w:t>
      </w:r>
    </w:p>
    <w:p w14:paraId="2521C59F"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Западного фронта, уничтожили 6 вражеских танков, 84 подводы с воинским имуществом, миномётную батарею, 22 пулемёта и взорвали большие склады с боеприпасами. Немцы потеряли 557 солдат и офицеров убитыми и до 300 ранеными. На другом участке фронта в бою за высоту Н. наша стрелковая часть уничтожила свыше 200 вражеских солдат и офицеров.</w:t>
      </w:r>
    </w:p>
    <w:p w14:paraId="1BA739F5"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противником разрушили 3 немецких ДЗОТа, 14 блиндажей, уничтожили 6 пулемётов, несколько повозок с боеприпасами и захватили 12 пулемётов, 2 миномёта, много винтовок и автоматов, 620 мин, 500 ручных гранат, 34.000 винтовочных патронов, имущество связи и другие трофеи. Немцы потеряли убитыми до 1.500 солдат и офицеров.</w:t>
      </w:r>
    </w:p>
    <w:p w14:paraId="796733A2"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за день боёв с противником уничтожили 7 немецких танков, 5 орудий и много другого вооружения. Противник потерял убитыми 300 солдат и офицеров. На другом участке рота немцев пыталась атаковать наши позиции у пункта Н., но была разгромлена и рассеяна.</w:t>
      </w:r>
    </w:p>
    <w:p w14:paraId="0734C092"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советское подразделение, успешно отразив попытку врага контратаковать наши позиции, полностью разгромило 7 роту 1 полка 1 немецкой пехотной дивизии.</w:t>
      </w:r>
    </w:p>
    <w:p w14:paraId="0DCC581D"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Крупный отряд партизан под командованием тов. Р., действующий в одном из районов Смоленской области, оккупированных немцами, в течение нескольких часов вёл бой с гитлеровцами в районе Д. Немцы потеряли убитыми около ста солдат и офицеров. Храбро сражался с врагами 18-летний партизан С. Метким огнём из ручного пулемёта он отбил многочисленные атаки немцев и отошёл только тогда, когда израсходовал все патроны. За время своей деятельности партизанский отряд вырос в три раза.</w:t>
      </w:r>
    </w:p>
    <w:p w14:paraId="735D176A"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4 роты 461 полка 252 немецкой дивизии Рихард Мирцев рассказал: «В нашей роте было 35 поляков. Не желая воевать против России, они все, один за другим, добровольно сдались в плен. Я последний из этих 35. Теперь в 4 роте не осталось ни одного поляка».</w:t>
      </w:r>
    </w:p>
    <w:p w14:paraId="55583744"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капрала финской армия найдено письмо жены из Хельсинки. Она писала: «Будь очень осторожным... Почему вы не бросаете оружие и не уходите? Эта массовая бойня так ужасна? Ради чего гонят финский народ на убой? Для чего нам «великая Финляндия»? Почему финский народ так слеп и разрешает себя истреблять из-за господ немцев?».</w:t>
      </w:r>
    </w:p>
    <w:p w14:paraId="344D0BFD"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Оставляя под ударами советских частей </w:t>
      </w:r>
      <w:proofErr w:type="gramStart"/>
      <w:r w:rsidRPr="008127F8">
        <w:rPr>
          <w:rFonts w:ascii="Times New Roman" w:hAnsi="Times New Roman"/>
          <w:color w:val="000000" w:themeColor="text1"/>
          <w:sz w:val="16"/>
          <w:szCs w:val="16"/>
        </w:rPr>
        <w:t>село</w:t>
      </w:r>
      <w:proofErr w:type="gramEnd"/>
      <w:r w:rsidRPr="008127F8">
        <w:rPr>
          <w:rFonts w:ascii="Times New Roman" w:hAnsi="Times New Roman"/>
          <w:color w:val="000000" w:themeColor="text1"/>
          <w:sz w:val="16"/>
          <w:szCs w:val="16"/>
        </w:rPr>
        <w:t xml:space="preserve"> Ельцы, Калининской области, гитлеровцы сожгли 285 домов. Немецкие бандиты расстреляли и замучили многих жителей села, в том числе женщин и детей.</w:t>
      </w:r>
    </w:p>
    <w:p w14:paraId="0AD1AC0D"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занятия нашими войсками деревни Макарово, Лотошинского района, Московской области, найден изуродованный труп красноармейца Начевного Григория Петровича. У жертвы гитлеровских палачей отрезаны оба уха, нос, на лице несколько ножевых ран, пальцы левой руки вывернуты из суставов и раздроблены, на правой ноге подрезаны все пальцы, живот распорот, левая сторона груди проколота штыком.</w:t>
      </w:r>
    </w:p>
    <w:p w14:paraId="28C2189C"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Молодые токари завода имени Димитрова (Баку) Аха Рагим Ахмедов и Бирюков ежедневно выполняют 6—7 норм, токарь Сбродов дает за смену 9 норм.» (15043).</w:t>
      </w:r>
    </w:p>
    <w:p w14:paraId="3936E0C1"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09591BEA"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3A90A4A5"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февраля наши войска вели наступательные бои с противником, продолжали продвигаться вперёд и заняли несколько населённых пунктов.</w:t>
      </w:r>
    </w:p>
    <w:p w14:paraId="5A09101A"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февраля сбито в воздушных боях 17 самолётов, огнём зенитной артиллерии — 1 самолёт и уничтожено на аэродромах 5 самолётов противника. Наши потери — 10 самолётов.</w:t>
      </w:r>
    </w:p>
    <w:p w14:paraId="28BB9E32"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февраля под Москвой сбито 2 немецких самолёта.</w:t>
      </w:r>
    </w:p>
    <w:p w14:paraId="40B0BB75"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февраля частями нашей авиации уничтожено и повреждено 22 немецких танка, 3 бронемашины, 46 полевых орудий, 22 миномёта, 300 автомашин с войсками и грузами, 120 повозок с боеприпасами, 3 зенитно-пулемётные точки, взорван склад с боеприпасами, разбито 11 железнодорожных вагонов, в ряде мест разрушено железнодорожное полотно, рассеяно и частью уничтожено 4 батальона пехоты противника.</w:t>
      </w:r>
    </w:p>
    <w:p w14:paraId="5714426E"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Выбив противника из села Захарово, бойцы одной гвардейской мотострелковой части (Западный фронт) захватили 8 вражеских орудий, 6 миномётов, 10 пулемётов, 450 винтовок, 70.000 патронов, 150 ящиков мин, 1.000 ракет и другие трофеи. Гитлеровцы понесли большие потери. На другом участке часть под командованием тов. Терентьева в бою за деревню П. уничтожила до 160 вражеских солдат и офицеров, потеряв при этом 7 бойцов. Группа разведчиков этой части во время внезапной ночной атаки захватила в плен трёх и уничтожили 25 вражеских солдат.</w:t>
      </w:r>
    </w:p>
    <w:p w14:paraId="3F456860"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Большой урон живой силе и технике немецких захватчиков наносят артиллеристы, действующие на одном из участков Юго-Западного фронта. За один день боёв артиллеристы подавили 10 орудий, 12 вражеских пулемётов, 10 миномётов и уничтожили 4 танка, 3 орудия, 9 станковых пулемётов, 11 миномётов, разрушили 21 дерево-земляную огневую точку противника. Артиллерийским огнём уничтожено не менее 800 немецких солдат и офицеров.</w:t>
      </w:r>
    </w:p>
    <w:p w14:paraId="64C212B9"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 красноармейца-автоматчика тт. Мисков, Владимирский и Журин, подпустив на близкое расстояние перешедших в контратаку вражеских пехотинцев, открыли по ним огонь. Потеряв 50 солдат убитыми и ранеными, немцы отступили.</w:t>
      </w:r>
    </w:p>
    <w:p w14:paraId="045539F9"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Беспощадно громит гитлеровских захватчиков отряд смоленских партизан под командованием тов. В. Недавно партизанский отряд организовал засаду на пути в село, куда непрерывно прибывали немецкие солдаты. Минировав отдельные участки дороги, партизаны пулемётным и ружейным огнём встретили подходившую колонну немецкой пехоты. На дороге осталось много вражеских трупов. 13 подвод с военным имуществом партизаны увели с собой. Только в нескольких боях с немецко-фашистскими оккупантами партизанский отряд тов. В. уничтожил 149 немецких солдат, 9 офицеров, 5 автомашин, 3 автоцистерны с бензином, захватил 31 винтовку, 2 пулемёта, 4 автомата. В тылу противника партизаны взорвали 19 мостов.</w:t>
      </w:r>
    </w:p>
    <w:p w14:paraId="549DB51C"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189 немецкого пехотного полка подполковник Рейнгольд Преске вместе с группой полузамёрзших солдат сдался красноармейцам в плен. Преске рассказал: «В декабре 189 полк был спешно переброшен из Франции на советско-германский фронт. В январе мы прибыли в Андреаполь и получили приказ овладеть городом Пено. В первом же сражении было уничтожено до 80 процентов личного состава полка. Из строя выбыл почти весь командный состав. Пулемёты, миномёты были либо захвачены русскими, либо раздавлены советскими танками. Остатки полка разбежались или сдались в плен. Я с отрядом в 46 человек ушёл в лес. 20 января 8 человек умерло от холода и голода. 21 января мы лишились ещё 14 человек. На следующий день в отряде осталось только 13 человек. 23 января скончались ещё два солдата, а двое сошли с ума. В тот же день я с оставшимися девятью солдатами пришёл в ближайшую деревню и сдался в плен».</w:t>
      </w:r>
    </w:p>
    <w:p w14:paraId="4139E118"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Лапашкино, Мценского района, Орловской области, немцы начисто ограбили всех колхозников, а затем сожгли все дома и постройки. Старики, женщины и дети остались на морозе под открытым небом.</w:t>
      </w:r>
    </w:p>
    <w:p w14:paraId="647D1B1A" w14:textId="77777777" w:rsidR="008E323D" w:rsidRPr="008127F8" w:rsidRDefault="008E323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Иркутском заводе имени Куйбышева инженер тов. Лапин реконструировал печи кузницы. На каждую тонну изделий теперь расходуется 200 килограммов угля вместо прежних 713 килограммов, на каждой тонне мазута стали экономить 20 килограммов. Предложения тов. Лапина дадут 200.000 рублей экономии в год.» (15043).</w:t>
      </w:r>
    </w:p>
    <w:p w14:paraId="2E8595EE" w14:textId="77777777" w:rsidR="008E323D" w:rsidRPr="008127F8" w:rsidRDefault="008E323D" w:rsidP="001E0A84">
      <w:pPr>
        <w:spacing w:after="0" w:line="240" w:lineRule="auto"/>
        <w:jc w:val="both"/>
        <w:rPr>
          <w:rFonts w:ascii="Times New Roman" w:hAnsi="Times New Roman"/>
          <w:color w:val="000000" w:themeColor="text1"/>
          <w:sz w:val="16"/>
          <w:szCs w:val="16"/>
        </w:rPr>
      </w:pPr>
    </w:p>
    <w:p w14:paraId="4F9366FD"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февраля 1942 года была сформирована ави</w:t>
      </w:r>
      <w:r w:rsidRPr="008A2E5A">
        <w:rPr>
          <w:rFonts w:ascii="Times New Roman" w:hAnsi="Times New Roman"/>
          <w:color w:val="0070C0"/>
          <w:sz w:val="16"/>
          <w:szCs w:val="16"/>
        </w:rPr>
        <w:softHyphen/>
        <w:t>ационная комендатура в Тегеране на аэродроме Кола-Морге. С 25 декабря 1942 года комендатура была развернута в аэродром особого назначения Тегеран, 14 декабря 1943 года авиационное подразделение получило наименование «9-й Аэ</w:t>
      </w:r>
      <w:r w:rsidRPr="008A2E5A">
        <w:rPr>
          <w:rFonts w:ascii="Times New Roman" w:hAnsi="Times New Roman"/>
          <w:color w:val="0070C0"/>
          <w:sz w:val="16"/>
          <w:szCs w:val="16"/>
        </w:rPr>
        <w:softHyphen/>
        <w:t>родром особого назначения ВВС Красной Армии».</w:t>
      </w:r>
    </w:p>
    <w:p w14:paraId="64E2CBC1"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перегона боевых самолетов с юга Ирана в СССР на маршруте протяжением 1465 км (из них 1016 км проходят над пустынно-гористой местностью в отсутствие характерных ори</w:t>
      </w:r>
      <w:r w:rsidRPr="008A2E5A">
        <w:rPr>
          <w:rFonts w:ascii="Times New Roman" w:hAnsi="Times New Roman"/>
          <w:color w:val="0070C0"/>
          <w:sz w:val="16"/>
          <w:szCs w:val="16"/>
        </w:rPr>
        <w:softHyphen/>
        <w:t>ентиров) через два горных перевала требовался промежуточ</w:t>
      </w:r>
      <w:r w:rsidRPr="008A2E5A">
        <w:rPr>
          <w:rFonts w:ascii="Times New Roman" w:hAnsi="Times New Roman"/>
          <w:color w:val="0070C0"/>
          <w:sz w:val="16"/>
          <w:szCs w:val="16"/>
        </w:rPr>
        <w:softHyphen/>
        <w:t xml:space="preserve">ный аэродром для посадки самолетов-истребителей, осмотра и дозаправки. </w:t>
      </w:r>
    </w:p>
    <w:p w14:paraId="6BAF8EC4"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Задачи аэродрома особого назначения: обслуживание пе</w:t>
      </w:r>
      <w:r w:rsidRPr="008A2E5A">
        <w:rPr>
          <w:rFonts w:ascii="Times New Roman" w:hAnsi="Times New Roman"/>
          <w:color w:val="0070C0"/>
          <w:sz w:val="16"/>
          <w:szCs w:val="16"/>
        </w:rPr>
        <w:softHyphen/>
        <w:t>релета самолетов, перегоняемых из США и Англии в СССР, заправка ГСМ, осмотр, устранение неисправностей, ремонт, обеспечение летного состава.</w:t>
      </w:r>
    </w:p>
    <w:p w14:paraId="4904E55F"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Приводная радиостанция (ПАР) в Тегеране была установ</w:t>
      </w:r>
      <w:r w:rsidRPr="008A2E5A">
        <w:rPr>
          <w:rFonts w:ascii="Times New Roman" w:hAnsi="Times New Roman"/>
          <w:color w:val="0070C0"/>
          <w:sz w:val="16"/>
          <w:szCs w:val="16"/>
        </w:rPr>
        <w:softHyphen/>
        <w:t>лена в июне 1943 года. Точка ЗОС при 6-м перегоночном авиаполку: подвижный пеленгаторный пункт, светомаяк, приводная радиостанция.</w:t>
      </w:r>
    </w:p>
    <w:p w14:paraId="5BE04434"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Южная трасса (участок Тегеран—Кировабад): приводная радиостанция в Тегеране, неоновый светомаяк в Баку, приво</w:t>
      </w:r>
      <w:r w:rsidRPr="008A2E5A">
        <w:rPr>
          <w:rFonts w:ascii="Times New Roman" w:hAnsi="Times New Roman"/>
          <w:color w:val="0070C0"/>
          <w:sz w:val="16"/>
          <w:szCs w:val="16"/>
        </w:rPr>
        <w:softHyphen/>
        <w:t>дная радиостанция, светомаяк и пеленгаторный пункт в Киро</w:t>
      </w:r>
      <w:r w:rsidRPr="008A2E5A">
        <w:rPr>
          <w:rFonts w:ascii="Times New Roman" w:hAnsi="Times New Roman"/>
          <w:color w:val="0070C0"/>
          <w:sz w:val="16"/>
          <w:szCs w:val="16"/>
        </w:rPr>
        <w:softHyphen/>
        <w:t>вабаде.</w:t>
      </w:r>
    </w:p>
    <w:p w14:paraId="45A55ECC" w14:textId="77777777" w:rsidR="00373D3A" w:rsidRPr="008A2E5A" w:rsidRDefault="00373D3A" w:rsidP="00373D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Метеослужбу обеспечивала 2-я АМС 9-го АОН (24342).</w:t>
      </w:r>
    </w:p>
    <w:p w14:paraId="7432A521" w14:textId="77777777" w:rsidR="00373D3A" w:rsidRPr="008A2E5A" w:rsidRDefault="00373D3A" w:rsidP="00373D3A">
      <w:pPr>
        <w:spacing w:after="0" w:line="240" w:lineRule="auto"/>
        <w:jc w:val="both"/>
        <w:rPr>
          <w:rFonts w:ascii="Times New Roman" w:hAnsi="Times New Roman"/>
          <w:color w:val="0070C0"/>
          <w:sz w:val="16"/>
          <w:szCs w:val="16"/>
        </w:rPr>
      </w:pPr>
    </w:p>
    <w:p w14:paraId="55D58B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1941 согласно сообщению Совинформбюро 4 и под командой м И.И.Клещева встретила в воздухе большую группу б в сопровождении истребителей (31 машина), вступила в бой и без потерь сбила 5 (438,836).</w:t>
      </w:r>
    </w:p>
    <w:p w14:paraId="7C425A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4FFB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вышло Постановление ГКО № 1306 Об улучшении штурманской подготовки летного состава ВВС Красной Армии. (7022, 125).</w:t>
      </w:r>
    </w:p>
    <w:p w14:paraId="4152A71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E0B2C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вышло Постановление ГКО № 1307 [Об отмене прикрепления самолетов "Дуглас" ГУ ГВФ для обслуживания отдельных лиц.] (7022, 126).</w:t>
      </w:r>
    </w:p>
    <w:p w14:paraId="3937A0E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4E6F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0BD16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324A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японцами Сингапур переименован в Шонан (Свет Юга) (4962).</w:t>
      </w:r>
    </w:p>
    <w:p w14:paraId="7670E8D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23ED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F51F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93D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Дир. Завода Шенкман и Нач. ОЭР Бобров писали письмо N 285 о том, что в 1-м ЗАБ неправильно организована работа по формированию полков Ил-2 (1635,113).</w:t>
      </w:r>
    </w:p>
    <w:p w14:paraId="0E4CF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81DBF5" w14:textId="77777777" w:rsidR="00007927" w:rsidRPr="008127F8" w:rsidRDefault="00007927"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18 февраля 1942 начальник НИИ ВВС П.И. Фе</w:t>
      </w:r>
      <w:r w:rsidRPr="008127F8">
        <w:rPr>
          <w:rFonts w:ascii="Times New Roman" w:cs="Times New Roman"/>
          <w:color w:val="000000" w:themeColor="text1"/>
          <w:spacing w:val="0"/>
          <w:sz w:val="16"/>
          <w:szCs w:val="16"/>
        </w:rPr>
        <w:softHyphen/>
        <w:t>доров по согласованию с начальником Управ</w:t>
      </w:r>
      <w:r w:rsidRPr="008127F8">
        <w:rPr>
          <w:rFonts w:ascii="Times New Roman" w:cs="Times New Roman"/>
          <w:color w:val="000000" w:themeColor="text1"/>
          <w:spacing w:val="0"/>
          <w:sz w:val="16"/>
          <w:szCs w:val="16"/>
        </w:rPr>
        <w:softHyphen/>
        <w:t>ления опытного строительства ГУ ВВС КА бригинженером Г.П. Лешуковым направил ему обстоятельный доклад о состоянии брониро</w:t>
      </w:r>
      <w:r w:rsidRPr="008127F8">
        <w:rPr>
          <w:rFonts w:ascii="Times New Roman" w:cs="Times New Roman"/>
          <w:color w:val="000000" w:themeColor="text1"/>
          <w:spacing w:val="0"/>
          <w:sz w:val="16"/>
          <w:szCs w:val="16"/>
        </w:rPr>
        <w:softHyphen/>
        <w:t>вания отечественных боевых самолетов.</w:t>
      </w:r>
    </w:p>
    <w:p w14:paraId="22E00FF6" w14:textId="77777777" w:rsidR="00007927" w:rsidRPr="008127F8" w:rsidRDefault="00007927" w:rsidP="001E0A84">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i w:val="0"/>
          <w:color w:val="000000" w:themeColor="text1"/>
          <w:sz w:val="16"/>
          <w:szCs w:val="16"/>
        </w:rPr>
        <w:t>В этом документе указывалось:</w:t>
      </w:r>
      <w:r w:rsidRPr="008127F8">
        <w:rPr>
          <w:rFonts w:ascii="Times New Roman" w:cs="Times New Roman"/>
          <w:color w:val="000000" w:themeColor="text1"/>
          <w:sz w:val="16"/>
          <w:szCs w:val="16"/>
        </w:rPr>
        <w:t xml:space="preserve"> «Боевые самолеты ВВС КА имеют броневую защиту, состоящую в основном из бронеспинки лет</w:t>
      </w:r>
      <w:r w:rsidRPr="008127F8">
        <w:rPr>
          <w:rFonts w:ascii="Times New Roman" w:cs="Times New Roman"/>
          <w:color w:val="000000" w:themeColor="text1"/>
          <w:sz w:val="16"/>
          <w:szCs w:val="16"/>
        </w:rPr>
        <w:softHyphen/>
        <w:t>чика. На многоместных самолетах броневая защита членов экипажа осуществляется путем установки системы броневых плит, обеспе</w:t>
      </w:r>
      <w:r w:rsidRPr="008127F8">
        <w:rPr>
          <w:rFonts w:ascii="Times New Roman" w:cs="Times New Roman"/>
          <w:color w:val="000000" w:themeColor="text1"/>
          <w:sz w:val="16"/>
          <w:szCs w:val="16"/>
        </w:rPr>
        <w:softHyphen/>
        <w:t>чивающих защиту со стороны наиболее ве</w:t>
      </w:r>
      <w:r w:rsidRPr="008127F8">
        <w:rPr>
          <w:rFonts w:ascii="Times New Roman" w:cs="Times New Roman"/>
          <w:color w:val="000000" w:themeColor="text1"/>
          <w:sz w:val="16"/>
          <w:szCs w:val="16"/>
        </w:rPr>
        <w:softHyphen/>
        <w:t>роятных атак противника. На самолете «103» толщина брони доходит в секторах защиты до 15 мм. Запроектированные в 1941 г. и частич</w:t>
      </w:r>
      <w:r w:rsidRPr="008127F8">
        <w:rPr>
          <w:rFonts w:ascii="Times New Roman" w:cs="Times New Roman"/>
          <w:color w:val="000000" w:themeColor="text1"/>
          <w:sz w:val="16"/>
          <w:szCs w:val="16"/>
        </w:rPr>
        <w:softHyphen/>
        <w:t>но осуществляемые на некоторых самолетах последних типов («103», Пе-3, Ил-4) макси</w:t>
      </w:r>
      <w:r w:rsidRPr="008127F8">
        <w:rPr>
          <w:rFonts w:ascii="Times New Roman" w:cs="Times New Roman"/>
          <w:color w:val="000000" w:themeColor="text1"/>
          <w:sz w:val="16"/>
          <w:szCs w:val="16"/>
        </w:rPr>
        <w:softHyphen/>
        <w:t>мальные толщины бронеспинок 10-15 мм рас</w:t>
      </w:r>
      <w:r w:rsidRPr="008127F8">
        <w:rPr>
          <w:rFonts w:ascii="Times New Roman" w:cs="Times New Roman"/>
          <w:color w:val="000000" w:themeColor="text1"/>
          <w:sz w:val="16"/>
          <w:szCs w:val="16"/>
        </w:rPr>
        <w:softHyphen/>
        <w:t>считаны на защиту экипажа от пуль калибра 12-13 мм с дистанции порядка 300-500 м. От /.../оружия калибра 15-20мм, указанные тол</w:t>
      </w:r>
      <w:r w:rsidRPr="008127F8">
        <w:rPr>
          <w:rFonts w:ascii="Times New Roman" w:cs="Times New Roman"/>
          <w:color w:val="000000" w:themeColor="text1"/>
          <w:sz w:val="16"/>
          <w:szCs w:val="16"/>
        </w:rPr>
        <w:softHyphen/>
        <w:t>щины брони смогут обеспечить защиту эки</w:t>
      </w:r>
      <w:r w:rsidRPr="008127F8">
        <w:rPr>
          <w:rFonts w:ascii="Times New Roman" w:cs="Times New Roman"/>
          <w:color w:val="000000" w:themeColor="text1"/>
          <w:sz w:val="16"/>
          <w:szCs w:val="16"/>
        </w:rPr>
        <w:softHyphen/>
        <w:t>пажа только с больших дистанций. Учитывая, что реальные дистанции'воздушного боя на</w:t>
      </w:r>
      <w:r w:rsidRPr="008127F8">
        <w:rPr>
          <w:rFonts w:ascii="Times New Roman" w:cs="Times New Roman"/>
          <w:color w:val="000000" w:themeColor="text1"/>
          <w:sz w:val="16"/>
          <w:szCs w:val="16"/>
        </w:rPr>
        <w:softHyphen/>
        <w:t>ходятся в интервале 100-200 м, следует при</w:t>
      </w:r>
      <w:r w:rsidRPr="008127F8">
        <w:rPr>
          <w:rFonts w:ascii="Times New Roman" w:cs="Times New Roman"/>
          <w:color w:val="000000" w:themeColor="text1"/>
          <w:sz w:val="16"/>
          <w:szCs w:val="16"/>
        </w:rPr>
        <w:softHyphen/>
        <w:t>знать имеющуюся броневую защиту, даже на лучших образцах самолетов, недостаточной. Большинство же серийных самолетов (МиГ-3, ЛаГГ-3, Як-1, Як-7, Пе-2, ТБ-7) имеют броне</w:t>
      </w:r>
      <w:r w:rsidRPr="008127F8">
        <w:rPr>
          <w:rFonts w:ascii="Times New Roman" w:cs="Times New Roman"/>
          <w:color w:val="000000" w:themeColor="text1"/>
          <w:sz w:val="16"/>
          <w:szCs w:val="16"/>
        </w:rPr>
        <w:softHyphen/>
        <w:t>спинки толщиной 8,5 мм, обеспечивающие защиту лишь от калибра 7,92 мм. Однако в настоящее время на модифицированных гер</w:t>
      </w:r>
      <w:r w:rsidRPr="008127F8">
        <w:rPr>
          <w:rFonts w:ascii="Times New Roman" w:cs="Times New Roman"/>
          <w:color w:val="000000" w:themeColor="text1"/>
          <w:sz w:val="16"/>
          <w:szCs w:val="16"/>
        </w:rPr>
        <w:softHyphen/>
        <w:t>манских самолетах (Ме- 109Ф4) устанавлива</w:t>
      </w:r>
      <w:r w:rsidRPr="008127F8">
        <w:rPr>
          <w:rFonts w:ascii="Times New Roman" w:cs="Times New Roman"/>
          <w:color w:val="000000" w:themeColor="text1"/>
          <w:sz w:val="16"/>
          <w:szCs w:val="16"/>
        </w:rPr>
        <w:softHyphen/>
        <w:t>ются пулеметы калибра 15 мм и пушки калибра 20 мм. /.../ Таким образом, в связи с примене</w:t>
      </w:r>
      <w:r w:rsidRPr="008127F8">
        <w:rPr>
          <w:rFonts w:ascii="Times New Roman" w:cs="Times New Roman"/>
          <w:color w:val="000000" w:themeColor="text1"/>
          <w:sz w:val="16"/>
          <w:szCs w:val="16"/>
        </w:rPr>
        <w:softHyphen/>
        <w:t>нием на самолетах противника 15 мм калибра пулеметов и 20 мм калибра пушек, существу</w:t>
      </w:r>
      <w:r w:rsidRPr="008127F8">
        <w:rPr>
          <w:rFonts w:ascii="Times New Roman" w:cs="Times New Roman"/>
          <w:color w:val="000000" w:themeColor="text1"/>
          <w:sz w:val="16"/>
          <w:szCs w:val="16"/>
        </w:rPr>
        <w:softHyphen/>
        <w:t>ющая броня на серийных и опытных самоле</w:t>
      </w:r>
      <w:r w:rsidRPr="008127F8">
        <w:rPr>
          <w:rFonts w:ascii="Times New Roman" w:cs="Times New Roman"/>
          <w:color w:val="000000" w:themeColor="text1"/>
          <w:sz w:val="16"/>
          <w:szCs w:val="16"/>
        </w:rPr>
        <w:softHyphen/>
        <w:t>тах ВВС Красной Армии является совершенно недостаточной и не обеспечивает надежной защиты экипажа в бою».</w:t>
      </w:r>
    </w:p>
    <w:p w14:paraId="08D10E90" w14:textId="77777777" w:rsidR="00007927" w:rsidRPr="008127F8" w:rsidRDefault="00007927"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Принимая за расчетную дистанцию боя дистанцию 200 м, оптимальной толщиной бро</w:t>
      </w:r>
      <w:r w:rsidRPr="008127F8">
        <w:rPr>
          <w:rFonts w:ascii="Times New Roman" w:cs="Times New Roman"/>
          <w:color w:val="000000" w:themeColor="text1"/>
          <w:spacing w:val="0"/>
          <w:sz w:val="16"/>
          <w:szCs w:val="16"/>
        </w:rPr>
        <w:softHyphen/>
        <w:t>ни признали 25 мм. Эта толщина рекомендова</w:t>
      </w:r>
      <w:r w:rsidRPr="008127F8">
        <w:rPr>
          <w:rFonts w:ascii="Times New Roman" w:cs="Times New Roman"/>
          <w:color w:val="000000" w:themeColor="text1"/>
          <w:spacing w:val="0"/>
          <w:sz w:val="16"/>
          <w:szCs w:val="16"/>
        </w:rPr>
        <w:softHyphen/>
        <w:t>лась для деталей, подвергающихся обстрелу по нормали или же под углами, близкими к ней (до 20°) - в частности, для центральной части бронеспинок. Остальные участки попереч</w:t>
      </w:r>
      <w:r w:rsidRPr="008127F8">
        <w:rPr>
          <w:rFonts w:ascii="Times New Roman" w:cs="Times New Roman"/>
          <w:color w:val="000000" w:themeColor="text1"/>
          <w:spacing w:val="0"/>
          <w:sz w:val="16"/>
          <w:szCs w:val="16"/>
        </w:rPr>
        <w:softHyphen/>
        <w:t>ной брони предлагалось выполнять толщиной 20 мм. В других местах допускалось исполь</w:t>
      </w:r>
      <w:r w:rsidRPr="008127F8">
        <w:rPr>
          <w:rFonts w:ascii="Times New Roman" w:cs="Times New Roman"/>
          <w:color w:val="000000" w:themeColor="text1"/>
          <w:spacing w:val="0"/>
          <w:sz w:val="16"/>
          <w:szCs w:val="16"/>
        </w:rPr>
        <w:softHyphen/>
        <w:t>зовать плиты толщиной от 8 до 20 мм вместо применяемых на тот момент плит толщиной от 4до10мм.</w:t>
      </w:r>
    </w:p>
    <w:p w14:paraId="572854A5" w14:textId="77777777" w:rsidR="00007927" w:rsidRPr="008127F8" w:rsidRDefault="00007927"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Следовало пересмотреть бронирование отдельных серийных самолетов с целью обес</w:t>
      </w:r>
      <w:r w:rsidRPr="008127F8">
        <w:rPr>
          <w:rFonts w:ascii="Times New Roman" w:cs="Times New Roman"/>
          <w:color w:val="000000" w:themeColor="text1"/>
          <w:spacing w:val="0"/>
          <w:sz w:val="16"/>
          <w:szCs w:val="16"/>
        </w:rPr>
        <w:softHyphen/>
        <w:t>печить защиту экипажа от боеприпасов ка</w:t>
      </w:r>
      <w:r w:rsidRPr="008127F8">
        <w:rPr>
          <w:rFonts w:ascii="Times New Roman" w:cs="Times New Roman"/>
          <w:color w:val="000000" w:themeColor="text1"/>
          <w:spacing w:val="0"/>
          <w:sz w:val="16"/>
          <w:szCs w:val="16"/>
        </w:rPr>
        <w:softHyphen/>
        <w:t>либра 15 и 20 мм при стрельбе с дистанции 200 м, а также предложить главным конструк</w:t>
      </w:r>
      <w:r w:rsidRPr="008127F8">
        <w:rPr>
          <w:rFonts w:ascii="Times New Roman" w:cs="Times New Roman"/>
          <w:color w:val="000000" w:themeColor="text1"/>
          <w:spacing w:val="0"/>
          <w:sz w:val="16"/>
          <w:szCs w:val="16"/>
        </w:rPr>
        <w:softHyphen/>
        <w:t>торам предусмотреть на новых самолетах улучшенную броневую защиту</w:t>
      </w:r>
      <w:r w:rsidRPr="008127F8">
        <w:rPr>
          <w:rStyle w:val="aff8"/>
          <w:rFonts w:ascii="Times New Roman" w:eastAsia="Arial Narrow" w:hAnsi="Times New Roman" w:cs="Times New Roman"/>
          <w:i w:val="0"/>
          <w:color w:val="000000" w:themeColor="text1"/>
          <w:spacing w:val="0"/>
        </w:rPr>
        <w:t xml:space="preserve"> «с установкой зоны углов защиты летчика. Особенно частые поражения наших летчиков на истребителях в голову и руки. На немецких истребителях для защиты летчика сверху установлены надголов- ники, а на новых истребителях Ме-115 и броня под сидением летчика. Подобной защиты на отечественных истребителях нет».</w:t>
      </w:r>
      <w:r w:rsidRPr="008127F8">
        <w:rPr>
          <w:rStyle w:val="4f1"/>
          <w:rFonts w:ascii="Times New Roman" w:hAnsi="Times New Roman" w:cs="Times New Roman"/>
          <w:i w:val="0"/>
          <w:color w:val="000000" w:themeColor="text1"/>
          <w:spacing w:val="0"/>
          <w:sz w:val="16"/>
          <w:szCs w:val="16"/>
        </w:rPr>
        <w:t xml:space="preserve"> Вес броне- надголовника оценивался всего лишь в 4-5 кг, а бронеплиты под сиденьем летчика - в 3 кг. Утверждалось, что</w:t>
      </w:r>
      <w:r w:rsidRPr="008127F8">
        <w:rPr>
          <w:rStyle w:val="46"/>
          <w:rFonts w:ascii="Times New Roman" w:eastAsia="Trebuchet MS" w:cs="Times New Roman"/>
          <w:color w:val="000000" w:themeColor="text1"/>
          <w:spacing w:val="0"/>
          <w:sz w:val="16"/>
          <w:szCs w:val="16"/>
        </w:rPr>
        <w:t xml:space="preserve"> «изготовление этих деталей не представляет трудностей»,</w:t>
      </w:r>
      <w:r w:rsidRPr="008127F8">
        <w:rPr>
          <w:rStyle w:val="4f1"/>
          <w:rFonts w:ascii="Times New Roman" w:hAnsi="Times New Roman" w:cs="Times New Roman"/>
          <w:i w:val="0"/>
          <w:color w:val="000000" w:themeColor="text1"/>
          <w:spacing w:val="0"/>
          <w:sz w:val="16"/>
          <w:szCs w:val="16"/>
        </w:rPr>
        <w:t xml:space="preserve"> а установка их на самолетах</w:t>
      </w:r>
      <w:r w:rsidRPr="008127F8">
        <w:rPr>
          <w:rStyle w:val="46"/>
          <w:rFonts w:ascii="Times New Roman" w:eastAsia="Trebuchet MS" w:cs="Times New Roman"/>
          <w:color w:val="000000" w:themeColor="text1"/>
          <w:spacing w:val="0"/>
          <w:sz w:val="16"/>
          <w:szCs w:val="16"/>
        </w:rPr>
        <w:t xml:space="preserve"> «легко осуществима непосред</w:t>
      </w:r>
      <w:r w:rsidRPr="008127F8">
        <w:rPr>
          <w:rStyle w:val="46"/>
          <w:rFonts w:ascii="Times New Roman" w:eastAsia="Trebuchet MS" w:cs="Times New Roman"/>
          <w:color w:val="000000" w:themeColor="text1"/>
          <w:spacing w:val="0"/>
          <w:sz w:val="16"/>
          <w:szCs w:val="16"/>
        </w:rPr>
        <w:softHyphen/>
        <w:t>ственно на аэродромах силами самих частей».</w:t>
      </w:r>
    </w:p>
    <w:p w14:paraId="41442FD5" w14:textId="77777777" w:rsidR="00007927" w:rsidRPr="008127F8" w:rsidRDefault="00007927"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lastRenderedPageBreak/>
        <w:t>Резолюция генерала Петрова была крат</w:t>
      </w:r>
      <w:r w:rsidRPr="008127F8">
        <w:rPr>
          <w:rFonts w:ascii="Times New Roman" w:cs="Times New Roman"/>
          <w:color w:val="000000" w:themeColor="text1"/>
          <w:spacing w:val="0"/>
          <w:sz w:val="16"/>
          <w:szCs w:val="16"/>
        </w:rPr>
        <w:softHyphen/>
        <w:t>кой:</w:t>
      </w:r>
      <w:r w:rsidRPr="008127F8">
        <w:rPr>
          <w:rStyle w:val="aff8"/>
          <w:rFonts w:ascii="Times New Roman" w:eastAsia="Arial Narrow" w:hAnsi="Times New Roman" w:cs="Times New Roman"/>
          <w:i w:val="0"/>
          <w:color w:val="000000" w:themeColor="text1"/>
          <w:spacing w:val="0"/>
        </w:rPr>
        <w:t xml:space="preserve"> «т. Огилько. Подготовьте доклад на ВС ВВС КА»,</w:t>
      </w:r>
      <w:r w:rsidRPr="008127F8">
        <w:rPr>
          <w:rFonts w:ascii="Times New Roman" w:cs="Times New Roman"/>
          <w:color w:val="000000" w:themeColor="text1"/>
          <w:spacing w:val="0"/>
          <w:sz w:val="16"/>
          <w:szCs w:val="16"/>
        </w:rPr>
        <w:t xml:space="preserve"> но военный совет ВВС отклонил обсужде</w:t>
      </w:r>
      <w:r w:rsidRPr="008127F8">
        <w:rPr>
          <w:rFonts w:ascii="Times New Roman" w:cs="Times New Roman"/>
          <w:color w:val="000000" w:themeColor="text1"/>
          <w:spacing w:val="0"/>
          <w:sz w:val="16"/>
          <w:szCs w:val="16"/>
        </w:rPr>
        <w:softHyphen/>
        <w:t>ние этого вопроса. На этом все и закончилось (15774).</w:t>
      </w:r>
    </w:p>
    <w:p w14:paraId="6FEBDBD0" w14:textId="77777777" w:rsidR="00007927" w:rsidRPr="008127F8" w:rsidRDefault="00007927"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465CA7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 февраля по 4 марта 1942 в Новосибирске проходили совместные заводские и гос. испытания Як-7В бригадой в составе л П.Я.Федрови, ви А.Т.Степанца из НИИ ВВС и и П.С.Лимар из ЛИИ. В облете участвовали л НИИ ВВС Г.Я.Бахчиванджи, К.А.Груздев, А.А.Зайцев и три др. летчика. На лыжном и колесном шасси выполнили 23 полета (65,101).</w:t>
      </w:r>
    </w:p>
    <w:p w14:paraId="6B9E83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0FE2B"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февраля</w:t>
      </w:r>
      <w:r w:rsidRPr="008127F8">
        <w:rPr>
          <w:rFonts w:ascii="Times New Roman" w:hAnsi="Times New Roman"/>
          <w:color w:val="000000" w:themeColor="text1"/>
          <w:sz w:val="16"/>
          <w:szCs w:val="16"/>
        </w:rPr>
        <w:t xml:space="preserve"> в 1942 году начались (по 4 марта) совместные заводские и государственные испытания в Новосибирске эталона истребителя </w:t>
      </w:r>
      <w:hyperlink r:id="rId57" w:tgtFrame="_blank" w:history="1">
        <w:r w:rsidRPr="008127F8">
          <w:rPr>
            <w:rFonts w:ascii="Times New Roman" w:hAnsi="Times New Roman"/>
            <w:color w:val="000000" w:themeColor="text1"/>
            <w:sz w:val="16"/>
            <w:szCs w:val="16"/>
          </w:rPr>
          <w:t xml:space="preserve">«Як-7В» </w:t>
        </w:r>
      </w:hyperlink>
      <w:r w:rsidRPr="008127F8">
        <w:rPr>
          <w:rFonts w:ascii="Times New Roman" w:hAnsi="Times New Roman"/>
          <w:color w:val="000000" w:themeColor="text1"/>
          <w:sz w:val="16"/>
          <w:szCs w:val="16"/>
        </w:rPr>
        <w:t>на 1942 год (самолет N18-40) (15044).</w:t>
      </w:r>
    </w:p>
    <w:p w14:paraId="6193920F" w14:textId="77777777" w:rsidR="005457A0" w:rsidRPr="008127F8" w:rsidRDefault="005457A0" w:rsidP="001E0A84">
      <w:pPr>
        <w:spacing w:after="0" w:line="240" w:lineRule="auto"/>
        <w:jc w:val="both"/>
        <w:rPr>
          <w:rFonts w:ascii="Times New Roman" w:hAnsi="Times New Roman"/>
          <w:color w:val="000000" w:themeColor="text1"/>
          <w:sz w:val="16"/>
          <w:szCs w:val="16"/>
        </w:rPr>
      </w:pPr>
    </w:p>
    <w:p w14:paraId="4E96D0D3"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18 фев</w:t>
      </w:r>
      <w:r w:rsidRPr="008A2E5A">
        <w:rPr>
          <w:rFonts w:ascii="Times New Roman" w:hAnsi="Times New Roman"/>
          <w:color w:val="0070C0"/>
          <w:sz w:val="16"/>
          <w:szCs w:val="16"/>
        </w:rPr>
        <w:softHyphen/>
        <w:t>раля по 4 марта 1942 г. в Новосибирске прошли испытания Як-7В №1540, основной было выявление соответствия требованиям ВВС КА к вывозным самолетам, особен</w:t>
      </w:r>
      <w:r w:rsidRPr="008A2E5A">
        <w:rPr>
          <w:rFonts w:ascii="Times New Roman" w:hAnsi="Times New Roman"/>
          <w:color w:val="0070C0"/>
          <w:sz w:val="16"/>
          <w:szCs w:val="16"/>
        </w:rPr>
        <w:softHyphen/>
        <w:t>но в части пилотажных и эксплуатационных свойств. Не</w:t>
      </w:r>
      <w:r w:rsidRPr="008A2E5A">
        <w:rPr>
          <w:rFonts w:ascii="Times New Roman" w:hAnsi="Times New Roman"/>
          <w:color w:val="0070C0"/>
          <w:sz w:val="16"/>
          <w:szCs w:val="16"/>
        </w:rPr>
        <w:softHyphen/>
        <w:t xml:space="preserve">смотря на </w:t>
      </w:r>
      <w:proofErr w:type="gramStart"/>
      <w:r w:rsidRPr="008A2E5A">
        <w:rPr>
          <w:rFonts w:ascii="Times New Roman" w:hAnsi="Times New Roman"/>
          <w:color w:val="0070C0"/>
          <w:sz w:val="16"/>
          <w:szCs w:val="16"/>
        </w:rPr>
        <w:t>то</w:t>
      </w:r>
      <w:proofErr w:type="gramEnd"/>
      <w:r w:rsidRPr="008A2E5A">
        <w:rPr>
          <w:rFonts w:ascii="Times New Roman" w:hAnsi="Times New Roman"/>
          <w:color w:val="0070C0"/>
          <w:sz w:val="16"/>
          <w:szCs w:val="16"/>
        </w:rPr>
        <w:t xml:space="preserve"> что по состоянию аэродрома полеты про</w:t>
      </w:r>
      <w:r w:rsidRPr="008A2E5A">
        <w:rPr>
          <w:rFonts w:ascii="Times New Roman" w:hAnsi="Times New Roman"/>
          <w:color w:val="0070C0"/>
          <w:sz w:val="16"/>
          <w:szCs w:val="16"/>
        </w:rPr>
        <w:softHyphen/>
        <w:t>изводились только на лыжном шасси, на машине уве</w:t>
      </w:r>
      <w:r w:rsidRPr="008A2E5A">
        <w:rPr>
          <w:rFonts w:ascii="Times New Roman" w:hAnsi="Times New Roman"/>
          <w:color w:val="0070C0"/>
          <w:sz w:val="16"/>
          <w:szCs w:val="16"/>
        </w:rPr>
        <w:softHyphen/>
        <w:t>ренно выполнялись все фигуры пилотажа (виражи, бо</w:t>
      </w:r>
      <w:r w:rsidRPr="008A2E5A">
        <w:rPr>
          <w:rFonts w:ascii="Times New Roman" w:hAnsi="Times New Roman"/>
          <w:color w:val="0070C0"/>
          <w:sz w:val="16"/>
          <w:szCs w:val="16"/>
        </w:rPr>
        <w:softHyphen/>
        <w:t>евые развороты, перевороты, пикирования, спирали и тели оценили как без</w:t>
      </w:r>
      <w:r w:rsidRPr="008A2E5A">
        <w:rPr>
          <w:rFonts w:ascii="Times New Roman" w:hAnsi="Times New Roman"/>
          <w:color w:val="0070C0"/>
          <w:sz w:val="16"/>
          <w:szCs w:val="16"/>
        </w:rPr>
        <w:softHyphen/>
        <w:t>опасное. По сравне</w:t>
      </w:r>
      <w:r w:rsidRPr="008A2E5A">
        <w:rPr>
          <w:rFonts w:ascii="Times New Roman" w:hAnsi="Times New Roman"/>
          <w:color w:val="0070C0"/>
          <w:sz w:val="16"/>
          <w:szCs w:val="16"/>
        </w:rPr>
        <w:softHyphen/>
        <w:t>нию с учебным Як-7 максимальные ско</w:t>
      </w:r>
      <w:r w:rsidRPr="008A2E5A">
        <w:rPr>
          <w:rFonts w:ascii="Times New Roman" w:hAnsi="Times New Roman"/>
          <w:color w:val="0070C0"/>
          <w:sz w:val="16"/>
          <w:szCs w:val="16"/>
        </w:rPr>
        <w:softHyphen/>
        <w:t>рости по высотам уменьшились от 30 до 55 км/ч и состави</w:t>
      </w:r>
      <w:r w:rsidRPr="008A2E5A">
        <w:rPr>
          <w:rFonts w:ascii="Times New Roman" w:hAnsi="Times New Roman"/>
          <w:color w:val="0070C0"/>
          <w:sz w:val="16"/>
          <w:szCs w:val="16"/>
        </w:rPr>
        <w:softHyphen/>
        <w:t>ли 410 км/ч у земли и 465 км/ч на расчетной высоте (и стали сопо</w:t>
      </w:r>
      <w:r w:rsidRPr="008A2E5A">
        <w:rPr>
          <w:rFonts w:ascii="Times New Roman" w:hAnsi="Times New Roman"/>
          <w:color w:val="0070C0"/>
          <w:sz w:val="16"/>
          <w:szCs w:val="16"/>
        </w:rPr>
        <w:softHyphen/>
        <w:t>ставимы с УТИ-4 - 398 и 450 км/ч соответст</w:t>
      </w:r>
      <w:r w:rsidRPr="008A2E5A">
        <w:rPr>
          <w:rFonts w:ascii="Times New Roman" w:hAnsi="Times New Roman"/>
          <w:color w:val="0070C0"/>
          <w:sz w:val="16"/>
          <w:szCs w:val="16"/>
        </w:rPr>
        <w:softHyphen/>
        <w:t>венно). При этом не стоит забывать, что и на учебном Як-7, и на Як-7В максимальные обороты мотора при нудительно ограничивались специальным регулировоч</w:t>
      </w:r>
      <w:r w:rsidRPr="008A2E5A">
        <w:rPr>
          <w:rFonts w:ascii="Times New Roman" w:hAnsi="Times New Roman"/>
          <w:color w:val="0070C0"/>
          <w:sz w:val="16"/>
          <w:szCs w:val="16"/>
        </w:rPr>
        <w:softHyphen/>
        <w:t>ным кольцом во втулке винта. Несколько позже, когда авиапромышленность перешла на выпуск форсирован</w:t>
      </w:r>
      <w:r w:rsidRPr="008A2E5A">
        <w:rPr>
          <w:rFonts w:ascii="Times New Roman" w:hAnsi="Times New Roman"/>
          <w:color w:val="0070C0"/>
          <w:sz w:val="16"/>
          <w:szCs w:val="16"/>
        </w:rPr>
        <w:softHyphen/>
        <w:t>ных моторов М-105ПФ, регулировочное кольцо сняли, а мотор перерегулировали на режимы работы М-105П и ПА, заменяя жиклеры и уменьшая наддув до 910 мм рт.ст. При этом даже на полных оборотах 2700 об/мин мотор не развивал максимальной мощности.</w:t>
      </w:r>
    </w:p>
    <w:p w14:paraId="0AD61A2E"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показали, что по сравнению с учебно-бое</w:t>
      </w:r>
      <w:r w:rsidRPr="008A2E5A">
        <w:rPr>
          <w:rFonts w:ascii="Times New Roman" w:hAnsi="Times New Roman"/>
          <w:color w:val="0070C0"/>
          <w:sz w:val="16"/>
          <w:szCs w:val="16"/>
        </w:rPr>
        <w:softHyphen/>
        <w:t>вым Як-7 вывозной вариант в большей степени соответст</w:t>
      </w:r>
      <w:r w:rsidRPr="008A2E5A">
        <w:rPr>
          <w:rFonts w:ascii="Times New Roman" w:hAnsi="Times New Roman"/>
          <w:color w:val="0070C0"/>
          <w:sz w:val="16"/>
          <w:szCs w:val="16"/>
        </w:rPr>
        <w:softHyphen/>
        <w:t>вует своему назначению, как более доведенный на основе опыта эксплуатации. Техника пилотирования Як-7В упро</w:t>
      </w:r>
      <w:r w:rsidRPr="008A2E5A">
        <w:rPr>
          <w:rFonts w:ascii="Times New Roman" w:hAnsi="Times New Roman"/>
          <w:color w:val="0070C0"/>
          <w:sz w:val="16"/>
          <w:szCs w:val="16"/>
        </w:rPr>
        <w:softHyphen/>
        <w:t>стилась за счет улучшения характеристик устойчивости и управляемости, а также взлетно-посадочных свойств. Са</w:t>
      </w:r>
      <w:r w:rsidRPr="008A2E5A">
        <w:rPr>
          <w:rFonts w:ascii="Times New Roman" w:hAnsi="Times New Roman"/>
          <w:color w:val="0070C0"/>
          <w:sz w:val="16"/>
          <w:szCs w:val="16"/>
        </w:rPr>
        <w:softHyphen/>
        <w:t>молет рекомендовали запустить в серийное производст</w:t>
      </w:r>
      <w:r w:rsidRPr="008A2E5A">
        <w:rPr>
          <w:rFonts w:ascii="Times New Roman" w:hAnsi="Times New Roman"/>
          <w:color w:val="0070C0"/>
          <w:sz w:val="16"/>
          <w:szCs w:val="16"/>
        </w:rPr>
        <w:softHyphen/>
        <w:t>во с устранением на первой серийной машине ряда недо</w:t>
      </w:r>
      <w:r w:rsidRPr="008A2E5A">
        <w:rPr>
          <w:rFonts w:ascii="Times New Roman" w:hAnsi="Times New Roman"/>
          <w:color w:val="0070C0"/>
          <w:sz w:val="16"/>
          <w:szCs w:val="16"/>
        </w:rPr>
        <w:softHyphen/>
        <w:t>статков, отмеченных при испытаниях. Эталонную машину №1540 оставили в ЛИИ НКАП для испытаний на износ.</w:t>
      </w:r>
    </w:p>
    <w:p w14:paraId="52B6FCEC"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моменту окончания испытаний уже были изготовле</w:t>
      </w:r>
      <w:r w:rsidRPr="008A2E5A">
        <w:rPr>
          <w:rFonts w:ascii="Times New Roman" w:hAnsi="Times New Roman"/>
          <w:color w:val="0070C0"/>
          <w:sz w:val="16"/>
          <w:szCs w:val="16"/>
        </w:rPr>
        <w:softHyphen/>
        <w:t>ны серийные чертежи, и доработанный Як-7В запусти</w:t>
      </w:r>
      <w:r w:rsidRPr="008A2E5A">
        <w:rPr>
          <w:rFonts w:ascii="Times New Roman" w:hAnsi="Times New Roman"/>
          <w:color w:val="0070C0"/>
          <w:sz w:val="16"/>
          <w:szCs w:val="16"/>
        </w:rPr>
        <w:softHyphen/>
        <w:t>ли в мае 1942 г. в производство, установив для этих ма</w:t>
      </w:r>
      <w:r w:rsidRPr="008A2E5A">
        <w:rPr>
          <w:rFonts w:ascii="Times New Roman" w:hAnsi="Times New Roman"/>
          <w:color w:val="0070C0"/>
          <w:sz w:val="16"/>
          <w:szCs w:val="16"/>
        </w:rPr>
        <w:softHyphen/>
        <w:t>шин собственную серийную нумерацию и включив их вы</w:t>
      </w:r>
      <w:r w:rsidRPr="008A2E5A">
        <w:rPr>
          <w:rFonts w:ascii="Times New Roman" w:hAnsi="Times New Roman"/>
          <w:color w:val="0070C0"/>
          <w:sz w:val="16"/>
          <w:szCs w:val="16"/>
        </w:rPr>
        <w:softHyphen/>
        <w:t>пуск в договор с ВВС КА (собранные ранее Як-7В не име</w:t>
      </w:r>
      <w:r w:rsidRPr="008A2E5A">
        <w:rPr>
          <w:rFonts w:ascii="Times New Roman" w:hAnsi="Times New Roman"/>
          <w:color w:val="0070C0"/>
          <w:sz w:val="16"/>
          <w:szCs w:val="16"/>
        </w:rPr>
        <w:softHyphen/>
        <w:t>ли собственной серийной нумерации и учитывались за</w:t>
      </w:r>
      <w:r w:rsidRPr="008A2E5A">
        <w:rPr>
          <w:rFonts w:ascii="Times New Roman" w:hAnsi="Times New Roman"/>
          <w:color w:val="0070C0"/>
          <w:sz w:val="16"/>
          <w:szCs w:val="16"/>
        </w:rPr>
        <w:softHyphen/>
        <w:t>водом в план по выпуску Як-7А). На машины первой се</w:t>
      </w:r>
      <w:r w:rsidRPr="008A2E5A">
        <w:rPr>
          <w:rFonts w:ascii="Times New Roman" w:hAnsi="Times New Roman"/>
          <w:color w:val="0070C0"/>
          <w:sz w:val="16"/>
          <w:szCs w:val="16"/>
        </w:rPr>
        <w:softHyphen/>
        <w:t>рии вернули установку компрессора АК-50 и генерато</w:t>
      </w:r>
      <w:r w:rsidRPr="008A2E5A">
        <w:rPr>
          <w:rFonts w:ascii="Times New Roman" w:hAnsi="Times New Roman"/>
          <w:color w:val="0070C0"/>
          <w:sz w:val="16"/>
          <w:szCs w:val="16"/>
        </w:rPr>
        <w:softHyphen/>
        <w:t>ра ГС-350 для полного обеспечения необходимых функ</w:t>
      </w:r>
      <w:r w:rsidRPr="008A2E5A">
        <w:rPr>
          <w:rFonts w:ascii="Times New Roman" w:hAnsi="Times New Roman"/>
          <w:color w:val="0070C0"/>
          <w:sz w:val="16"/>
          <w:szCs w:val="16"/>
        </w:rPr>
        <w:softHyphen/>
        <w:t>ций учебного самолета (для обеспечения многократного выпуска и уборки щитков при взлете и посадке и питания фары при полетах ночью соответственно). На приборные доски обеих кабин поставили часы. В отличие от эталона №1540 в передней кабине (обучаемого) установили лож</w:t>
      </w:r>
      <w:r w:rsidRPr="008A2E5A">
        <w:rPr>
          <w:rFonts w:ascii="Times New Roman" w:hAnsi="Times New Roman"/>
          <w:color w:val="0070C0"/>
          <w:sz w:val="16"/>
          <w:szCs w:val="16"/>
        </w:rPr>
        <w:softHyphen/>
        <w:t>ный кран шасси с красной и зеленой лампами сигнализа</w:t>
      </w:r>
      <w:r w:rsidRPr="008A2E5A">
        <w:rPr>
          <w:rFonts w:ascii="Times New Roman" w:hAnsi="Times New Roman"/>
          <w:color w:val="0070C0"/>
          <w:sz w:val="16"/>
          <w:szCs w:val="16"/>
        </w:rPr>
        <w:softHyphen/>
        <w:t>ции (для выработки навыка операций по выпуску и убор</w:t>
      </w:r>
      <w:r w:rsidRPr="008A2E5A">
        <w:rPr>
          <w:rFonts w:ascii="Times New Roman" w:hAnsi="Times New Roman"/>
          <w:color w:val="0070C0"/>
          <w:sz w:val="16"/>
          <w:szCs w:val="16"/>
        </w:rPr>
        <w:softHyphen/>
        <w:t>ке шасси), а в задней кабине - выключатель зажигания. Кроме этого, выключатель тормозов в кабине инструкто</w:t>
      </w:r>
      <w:r w:rsidRPr="008A2E5A">
        <w:rPr>
          <w:rFonts w:ascii="Times New Roman" w:hAnsi="Times New Roman"/>
          <w:color w:val="0070C0"/>
          <w:sz w:val="16"/>
          <w:szCs w:val="16"/>
        </w:rPr>
        <w:softHyphen/>
        <w:t>ра перенесли на ручку управления. В связи с отсутстви</w:t>
      </w:r>
      <w:r w:rsidRPr="008A2E5A">
        <w:rPr>
          <w:rFonts w:ascii="Times New Roman" w:hAnsi="Times New Roman"/>
          <w:color w:val="0070C0"/>
          <w:sz w:val="16"/>
          <w:szCs w:val="16"/>
        </w:rPr>
        <w:softHyphen/>
        <w:t>ем мотор-пушки на винт установили укороченный храпо</w:t>
      </w:r>
      <w:r w:rsidRPr="008A2E5A">
        <w:rPr>
          <w:rFonts w:ascii="Times New Roman" w:hAnsi="Times New Roman"/>
          <w:color w:val="0070C0"/>
          <w:sz w:val="16"/>
          <w:szCs w:val="16"/>
        </w:rPr>
        <w:softHyphen/>
        <w:t>вик. Машина Як-7В №0170 с введенными изменениями успешно прошла контрольные испытания.</w:t>
      </w:r>
    </w:p>
    <w:p w14:paraId="5111DC00"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Як-7В 2-й серии по результатам испытаний эталон</w:t>
      </w:r>
      <w:r w:rsidRPr="008A2E5A">
        <w:rPr>
          <w:rFonts w:ascii="Times New Roman" w:hAnsi="Times New Roman"/>
          <w:color w:val="0070C0"/>
          <w:sz w:val="16"/>
          <w:szCs w:val="16"/>
        </w:rPr>
        <w:softHyphen/>
        <w:t>ного самолета провели следующий этап доработки кон</w:t>
      </w:r>
      <w:r w:rsidRPr="008A2E5A">
        <w:rPr>
          <w:rFonts w:ascii="Times New Roman" w:hAnsi="Times New Roman"/>
          <w:color w:val="0070C0"/>
          <w:sz w:val="16"/>
          <w:szCs w:val="16"/>
        </w:rPr>
        <w:softHyphen/>
        <w:t>струкции. На этих машинах, как ранее на учебных Як-7, в бортовом люке задней кабины установили специальную подножку для удобства посадки в нее. Сиденья, наклон сидений и поручни в обеих кабинах сделали одинаковы</w:t>
      </w:r>
      <w:r w:rsidRPr="008A2E5A">
        <w:rPr>
          <w:rFonts w:ascii="Times New Roman" w:hAnsi="Times New Roman"/>
          <w:color w:val="0070C0"/>
          <w:sz w:val="16"/>
          <w:szCs w:val="16"/>
        </w:rPr>
        <w:softHyphen/>
        <w:t>ми. Лючки осмотра узлов шасси и крепления крыла для удобства обслуживания самолета изменили по форме, увеличили их число до шести и сделали легкосъемными на замках Дзус. В целях экономии цветных металлов при</w:t>
      </w:r>
      <w:r w:rsidRPr="008A2E5A">
        <w:rPr>
          <w:rFonts w:ascii="Times New Roman" w:hAnsi="Times New Roman"/>
          <w:color w:val="0070C0"/>
          <w:sz w:val="16"/>
          <w:szCs w:val="16"/>
        </w:rPr>
        <w:softHyphen/>
        <w:t>борные доски кабин выполнили из древесного пластика - балинита, а дюралевые бензобаки заменили фибровыми (см. главу «Работы по фибровым бензобакам»). Введение фибровых бензобаков устранило такой распространен</w:t>
      </w:r>
      <w:r w:rsidRPr="008A2E5A">
        <w:rPr>
          <w:rFonts w:ascii="Times New Roman" w:hAnsi="Times New Roman"/>
          <w:color w:val="0070C0"/>
          <w:sz w:val="16"/>
          <w:szCs w:val="16"/>
        </w:rPr>
        <w:softHyphen/>
        <w:t>ный дефект машин Як, как течь бензина по местам точеч</w:t>
      </w:r>
      <w:r w:rsidRPr="008A2E5A">
        <w:rPr>
          <w:rFonts w:ascii="Times New Roman" w:hAnsi="Times New Roman"/>
          <w:color w:val="0070C0"/>
          <w:sz w:val="16"/>
          <w:szCs w:val="16"/>
        </w:rPr>
        <w:softHyphen/>
        <w:t>ной сварки, особенно проявлявшийся на учебных маши</w:t>
      </w:r>
      <w:r w:rsidRPr="008A2E5A">
        <w:rPr>
          <w:rFonts w:ascii="Times New Roman" w:hAnsi="Times New Roman"/>
          <w:color w:val="0070C0"/>
          <w:sz w:val="16"/>
          <w:szCs w:val="16"/>
        </w:rPr>
        <w:softHyphen/>
        <w:t>нах, баки которых не протектировали. Кран переключе</w:t>
      </w:r>
      <w:r w:rsidRPr="008A2E5A">
        <w:rPr>
          <w:rFonts w:ascii="Times New Roman" w:hAnsi="Times New Roman"/>
          <w:color w:val="0070C0"/>
          <w:sz w:val="16"/>
          <w:szCs w:val="16"/>
        </w:rPr>
        <w:softHyphen/>
        <w:t>ния тормозов снабдили кнопкой, смонтированной на руч</w:t>
      </w:r>
      <w:r w:rsidRPr="008A2E5A">
        <w:rPr>
          <w:rFonts w:ascii="Times New Roman" w:hAnsi="Times New Roman"/>
          <w:color w:val="0070C0"/>
          <w:sz w:val="16"/>
          <w:szCs w:val="16"/>
        </w:rPr>
        <w:softHyphen/>
        <w:t>ке управления самолетом в задней кабине (для отключе</w:t>
      </w:r>
      <w:r w:rsidRPr="008A2E5A">
        <w:rPr>
          <w:rFonts w:ascii="Times New Roman" w:hAnsi="Times New Roman"/>
          <w:color w:val="0070C0"/>
          <w:sz w:val="16"/>
          <w:szCs w:val="16"/>
        </w:rPr>
        <w:softHyphen/>
        <w:t>ния тормозной системы в кабине обучаемого инструктору достаточно было нажать на кнопку). При этом полет</w:t>
      </w:r>
      <w:r w:rsidRPr="008A2E5A">
        <w:rPr>
          <w:rFonts w:ascii="Times New Roman" w:hAnsi="Times New Roman"/>
          <w:color w:val="0070C0"/>
          <w:sz w:val="16"/>
          <w:szCs w:val="16"/>
        </w:rPr>
        <w:softHyphen/>
        <w:t>ный вес самолета практически не изменился и даже стал чуть меньше. Машина Як-7В №0266 с 22 по 26 июля 1942 г.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8A2E5A">
        <w:rPr>
          <w:rFonts w:ascii="Times New Roman" w:hAnsi="Times New Roman"/>
          <w:color w:val="0070C0"/>
          <w:sz w:val="16"/>
          <w:szCs w:val="16"/>
        </w:rPr>
        <w:softHyphen/>
        <w:t>вие максимальной скорости самолета договорной вели</w:t>
      </w:r>
      <w:r w:rsidRPr="008A2E5A">
        <w:rPr>
          <w:rFonts w:ascii="Times New Roman" w:hAnsi="Times New Roman"/>
          <w:color w:val="0070C0"/>
          <w:sz w:val="16"/>
          <w:szCs w:val="16"/>
        </w:rPr>
        <w:softHyphen/>
        <w:t>чине (таблица 18.)</w:t>
      </w:r>
    </w:p>
    <w:p w14:paraId="3531C5EA"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конструкция Як-7В претерпевала мини</w:t>
      </w:r>
      <w:r w:rsidRPr="008A2E5A">
        <w:rPr>
          <w:rFonts w:ascii="Times New Roman" w:hAnsi="Times New Roman"/>
          <w:color w:val="0070C0"/>
          <w:sz w:val="16"/>
          <w:szCs w:val="16"/>
        </w:rPr>
        <w:softHyphen/>
        <w:t>мальные изменения, имевшие целью максимальную уни</w:t>
      </w:r>
      <w:r w:rsidRPr="008A2E5A">
        <w:rPr>
          <w:rFonts w:ascii="Times New Roman" w:hAnsi="Times New Roman"/>
          <w:color w:val="0070C0"/>
          <w:sz w:val="16"/>
          <w:szCs w:val="16"/>
        </w:rPr>
        <w:softHyphen/>
        <w:t>фикацию с боевыми машинами. С 4-й серии ввели улуч</w:t>
      </w:r>
      <w:r w:rsidRPr="008A2E5A">
        <w:rPr>
          <w:rFonts w:ascii="Times New Roman" w:hAnsi="Times New Roman"/>
          <w:color w:val="0070C0"/>
          <w:sz w:val="16"/>
          <w:szCs w:val="16"/>
        </w:rPr>
        <w:softHyphen/>
        <w:t>шения, связанные с эксплуатацией моторной установ</w:t>
      </w:r>
      <w:r w:rsidRPr="008A2E5A">
        <w:rPr>
          <w:rFonts w:ascii="Times New Roman" w:hAnsi="Times New Roman"/>
          <w:color w:val="0070C0"/>
          <w:sz w:val="16"/>
          <w:szCs w:val="16"/>
        </w:rPr>
        <w:softHyphen/>
        <w:t>ки и введенные на боевых самолетах, а также новую руч</w:t>
      </w:r>
      <w:r w:rsidRPr="008A2E5A">
        <w:rPr>
          <w:rFonts w:ascii="Times New Roman" w:hAnsi="Times New Roman"/>
          <w:color w:val="0070C0"/>
          <w:sz w:val="16"/>
          <w:szCs w:val="16"/>
        </w:rPr>
        <w:softHyphen/>
        <w:t>ку управления. Следующий комплекс доработок произо</w:t>
      </w:r>
      <w:r w:rsidRPr="008A2E5A">
        <w:rPr>
          <w:rFonts w:ascii="Times New Roman" w:hAnsi="Times New Roman"/>
          <w:color w:val="0070C0"/>
          <w:sz w:val="16"/>
          <w:szCs w:val="16"/>
        </w:rPr>
        <w:softHyphen/>
        <w:t>шел с 7-й серии и включал в себя установку прицела ПБП- 1А в передней кабине и фотокинопулемета ПАУ-22 с про</w:t>
      </w:r>
      <w:r w:rsidRPr="008A2E5A">
        <w:rPr>
          <w:rFonts w:ascii="Times New Roman" w:hAnsi="Times New Roman"/>
          <w:color w:val="0070C0"/>
          <w:sz w:val="16"/>
          <w:szCs w:val="16"/>
        </w:rPr>
        <w:softHyphen/>
        <w:t>водкой управления, монтаж однопроводной электросети, введение унифицированной моторамы и рукояток штур</w:t>
      </w:r>
      <w:r w:rsidRPr="008A2E5A">
        <w:rPr>
          <w:rFonts w:ascii="Times New Roman" w:hAnsi="Times New Roman"/>
          <w:color w:val="0070C0"/>
          <w:sz w:val="16"/>
          <w:szCs w:val="16"/>
        </w:rPr>
        <w:softHyphen/>
        <w:t>валов, выполненных из пластмасс (23381).</w:t>
      </w:r>
    </w:p>
    <w:p w14:paraId="51827AA6" w14:textId="77777777" w:rsidR="00CD7517" w:rsidRPr="008A2E5A" w:rsidRDefault="00CD7517" w:rsidP="00CD7517">
      <w:pPr>
        <w:spacing w:after="0" w:line="240" w:lineRule="auto"/>
        <w:jc w:val="both"/>
        <w:rPr>
          <w:rFonts w:ascii="Times New Roman" w:hAnsi="Times New Roman"/>
          <w:color w:val="0070C0"/>
          <w:sz w:val="16"/>
          <w:szCs w:val="16"/>
        </w:rPr>
      </w:pPr>
    </w:p>
    <w:p w14:paraId="15A80793"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1943 г. ПОСТАНОВЛЕНИЕ ГОСУДАРСТВЕННОГО КОМИТЕТА ОБОРОНЫ № 29І4СС О выпуске на Новосибирском заводе № 153 самолетов Як-9 с увеличенной дальностью</w:t>
      </w:r>
    </w:p>
    <w:p w14:paraId="6A376100"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69912B98"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014243F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наркомавиапром т. Шахурина и т. Яковлева и директора Новисибирского завода № 153 т. Романова изготавливать и выпускать с I марта 1943 года все самолеты Як-9 в варианте дальнего истребителя.</w:t>
      </w:r>
    </w:p>
    <w:p w14:paraId="6635CA6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должен иметь четыре бака общей емкостью емкостью — 480 вместо двух баков - 320 кг, устанавливаемых в настоящее время.</w:t>
      </w:r>
    </w:p>
    <w:p w14:paraId="38A26DF8"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на высоте 1000 метров при скорости 360 км в час и 2250 оборотах мотора должна составлять — 1200 километров.</w:t>
      </w:r>
    </w:p>
    <w:p w14:paraId="4A6189E7"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w:t>
      </w:r>
    </w:p>
    <w:p w14:paraId="1AF42F59"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24C9274D"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[Выписки]: Молотову, Маленкову, Шахурину, Яковлеву НКАП, Новикову, Романову - шифром, Чадаеву.</w:t>
      </w:r>
    </w:p>
    <w:p w14:paraId="53F570C4"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автограф И.В. Сталина (23925).</w:t>
      </w:r>
    </w:p>
    <w:p w14:paraId="09F3E719" w14:textId="77777777" w:rsidR="00CD7517" w:rsidRPr="008A2E5A" w:rsidRDefault="00CD7517" w:rsidP="00CD7517">
      <w:pPr>
        <w:spacing w:after="0" w:line="240" w:lineRule="auto"/>
        <w:jc w:val="both"/>
        <w:rPr>
          <w:rFonts w:ascii="Times New Roman" w:hAnsi="Times New Roman"/>
          <w:color w:val="0070C0"/>
          <w:sz w:val="16"/>
          <w:szCs w:val="16"/>
        </w:rPr>
      </w:pPr>
    </w:p>
    <w:p w14:paraId="6CF56007"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1942 г. секретарь Новосибирского обкома ВЛКСМ по оборонной работе М. Перевозчиков обратил</w:t>
      </w:r>
      <w:r w:rsidRPr="008A2E5A">
        <w:rPr>
          <w:rFonts w:ascii="Times New Roman" w:hAnsi="Times New Roman"/>
          <w:color w:val="0070C0"/>
          <w:sz w:val="16"/>
          <w:szCs w:val="16"/>
        </w:rPr>
        <w:softHyphen/>
        <w:t>ся с письмом к заместителю наркома авиапромышлен</w:t>
      </w:r>
      <w:r w:rsidRPr="008A2E5A">
        <w:rPr>
          <w:rFonts w:ascii="Times New Roman" w:hAnsi="Times New Roman"/>
          <w:color w:val="0070C0"/>
          <w:sz w:val="16"/>
          <w:szCs w:val="16"/>
        </w:rPr>
        <w:softHyphen/>
        <w:t>ности А.С. Яковлеву с просьбой разрешить построить на заводе имени В.П. Чкалова сверх плана силами комсо</w:t>
      </w:r>
      <w:r w:rsidRPr="008A2E5A">
        <w:rPr>
          <w:rFonts w:ascii="Times New Roman" w:hAnsi="Times New Roman"/>
          <w:color w:val="0070C0"/>
          <w:sz w:val="16"/>
          <w:szCs w:val="16"/>
        </w:rPr>
        <w:softHyphen/>
        <w:t>мольцев и молодежи завода боевую эскадрилью истре</w:t>
      </w:r>
      <w:r w:rsidRPr="008A2E5A">
        <w:rPr>
          <w:rFonts w:ascii="Times New Roman" w:hAnsi="Times New Roman"/>
          <w:color w:val="0070C0"/>
          <w:sz w:val="16"/>
          <w:szCs w:val="16"/>
        </w:rPr>
        <w:softHyphen/>
        <w:t>бителей «Новосибирский комсомолец» в подарок Крас</w:t>
      </w:r>
      <w:r w:rsidRPr="008A2E5A">
        <w:rPr>
          <w:rFonts w:ascii="Times New Roman" w:hAnsi="Times New Roman"/>
          <w:color w:val="0070C0"/>
          <w:sz w:val="16"/>
          <w:szCs w:val="16"/>
        </w:rPr>
        <w:softHyphen/>
        <w:t>ной Армии в честь ее 24-й годовщины. Согласно решению бюро обкома от 20 февраля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8A2E5A">
        <w:rPr>
          <w:rFonts w:ascii="Times New Roman" w:hAnsi="Times New Roman"/>
          <w:color w:val="0070C0"/>
          <w:sz w:val="16"/>
          <w:szCs w:val="16"/>
        </w:rPr>
        <w:softHyphen/>
        <w:t>молец» и одну - «Новосибирский пионер». На все само</w:t>
      </w:r>
      <w:r w:rsidRPr="008A2E5A">
        <w:rPr>
          <w:rFonts w:ascii="Times New Roman" w:hAnsi="Times New Roman"/>
          <w:color w:val="0070C0"/>
          <w:sz w:val="16"/>
          <w:szCs w:val="16"/>
        </w:rPr>
        <w:softHyphen/>
        <w:t>леты также следовало нанести изображение комсомоль</w:t>
      </w:r>
      <w:r w:rsidRPr="008A2E5A">
        <w:rPr>
          <w:rFonts w:ascii="Times New Roman" w:hAnsi="Times New Roman"/>
          <w:color w:val="0070C0"/>
          <w:sz w:val="16"/>
          <w:szCs w:val="16"/>
        </w:rPr>
        <w:softHyphen/>
        <w:t>ского значка. Директору завода №153 П.С. Романову на основании вынесенного решения отправили письмо с просьбой нанести на приобретенные истребители соот</w:t>
      </w:r>
      <w:r w:rsidRPr="008A2E5A">
        <w:rPr>
          <w:rFonts w:ascii="Times New Roman" w:hAnsi="Times New Roman"/>
          <w:color w:val="0070C0"/>
          <w:sz w:val="16"/>
          <w:szCs w:val="16"/>
        </w:rPr>
        <w:softHyphen/>
        <w:t>ветствующие надписи и рисунки. С чем была связана за</w:t>
      </w:r>
      <w:r w:rsidRPr="008A2E5A">
        <w:rPr>
          <w:rFonts w:ascii="Times New Roman" w:hAnsi="Times New Roman"/>
          <w:color w:val="0070C0"/>
          <w:sz w:val="16"/>
          <w:szCs w:val="16"/>
        </w:rPr>
        <w:softHyphen/>
        <w:t>держка исполнения инициативы молодежи с декабря (с момента окончания сбора средств) по февраль пока не</w:t>
      </w:r>
      <w:r w:rsidRPr="008A2E5A">
        <w:rPr>
          <w:rFonts w:ascii="Times New Roman" w:hAnsi="Times New Roman"/>
          <w:color w:val="0070C0"/>
          <w:sz w:val="16"/>
          <w:szCs w:val="16"/>
        </w:rPr>
        <w:softHyphen/>
        <w:t>известно. Вполне возможно, что комсомольцев попроси</w:t>
      </w:r>
      <w:r w:rsidRPr="008A2E5A">
        <w:rPr>
          <w:rFonts w:ascii="Times New Roman" w:hAnsi="Times New Roman"/>
          <w:color w:val="0070C0"/>
          <w:sz w:val="16"/>
          <w:szCs w:val="16"/>
        </w:rPr>
        <w:softHyphen/>
        <w:t>ли подождать начала широкомасштабного выпуска на за</w:t>
      </w:r>
      <w:r w:rsidRPr="008A2E5A">
        <w:rPr>
          <w:rFonts w:ascii="Times New Roman" w:hAnsi="Times New Roman"/>
          <w:color w:val="0070C0"/>
          <w:sz w:val="16"/>
          <w:szCs w:val="16"/>
        </w:rPr>
        <w:softHyphen/>
        <w:t>воде №153 нового типа истребителя.</w:t>
      </w:r>
    </w:p>
    <w:p w14:paraId="1C71E45B"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Накладка оказалась не единственной: к заявленному сроку (23 февраля 1942 г.) завод №153 по уважительным причинам не смог сдать ВВС КА ни одной боевой маши</w:t>
      </w:r>
      <w:r w:rsidRPr="008A2E5A">
        <w:rPr>
          <w:rFonts w:ascii="Times New Roman" w:hAnsi="Times New Roman"/>
          <w:color w:val="0070C0"/>
          <w:sz w:val="16"/>
          <w:szCs w:val="16"/>
        </w:rPr>
        <w:softHyphen/>
        <w:t>ны. (К 21.02.42 г. на заводе прошли летные испытания 48 Як-7А, но они не были направлены на фронт из-за отсут</w:t>
      </w:r>
      <w:r w:rsidRPr="008A2E5A">
        <w:rPr>
          <w:rFonts w:ascii="Times New Roman" w:hAnsi="Times New Roman"/>
          <w:color w:val="0070C0"/>
          <w:sz w:val="16"/>
          <w:szCs w:val="16"/>
        </w:rPr>
        <w:softHyphen/>
        <w:t>ствия винтов, 96 штук которых не хватало для выполне</w:t>
      </w:r>
      <w:r w:rsidRPr="008A2E5A">
        <w:rPr>
          <w:rFonts w:ascii="Times New Roman" w:hAnsi="Times New Roman"/>
          <w:color w:val="0070C0"/>
          <w:sz w:val="16"/>
          <w:szCs w:val="16"/>
        </w:rPr>
        <w:softHyphen/>
        <w:t>ния февральской программы. При этом в цехе оконча</w:t>
      </w:r>
      <w:r w:rsidRPr="008A2E5A">
        <w:rPr>
          <w:rFonts w:ascii="Times New Roman" w:hAnsi="Times New Roman"/>
          <w:color w:val="0070C0"/>
          <w:sz w:val="16"/>
          <w:szCs w:val="16"/>
        </w:rPr>
        <w:softHyphen/>
        <w:t>тельной сборки находилось еще 90 самолетов, для ко</w:t>
      </w:r>
      <w:r w:rsidRPr="008A2E5A">
        <w:rPr>
          <w:rFonts w:ascii="Times New Roman" w:hAnsi="Times New Roman"/>
          <w:color w:val="0070C0"/>
          <w:sz w:val="16"/>
          <w:szCs w:val="16"/>
        </w:rPr>
        <w:softHyphen/>
        <w:t>торых по плану февраля требовалось 32 мотора, 28 маслорадиаторов и 42 бронеспинки.) Только 24 марта 1942 г. 10 Як-7А, в том числе 9 именных (№1415335, 1415336, 1515303,1515331,1615303, 1615306,1615308,1615313, 1615314), отгрузили из Новосибирска по железной дороге в адрес завода №301 в Химках. К концу мая само</w:t>
      </w:r>
      <w:r w:rsidRPr="008A2E5A">
        <w:rPr>
          <w:rFonts w:ascii="Times New Roman" w:hAnsi="Times New Roman"/>
          <w:color w:val="0070C0"/>
          <w:sz w:val="16"/>
          <w:szCs w:val="16"/>
        </w:rPr>
        <w:softHyphen/>
        <w:t>леты подарочной эскадрильи собрали, укомплектовали и передали в 12-й гвардейский истребительный авиаци</w:t>
      </w:r>
      <w:r w:rsidRPr="008A2E5A">
        <w:rPr>
          <w:rFonts w:ascii="Times New Roman" w:hAnsi="Times New Roman"/>
          <w:color w:val="0070C0"/>
          <w:sz w:val="16"/>
          <w:szCs w:val="16"/>
        </w:rPr>
        <w:softHyphen/>
        <w:t>онный полк ПВО. Официальная, торжественная (с кор</w:t>
      </w:r>
      <w:r w:rsidRPr="008A2E5A">
        <w:rPr>
          <w:rFonts w:ascii="Times New Roman" w:hAnsi="Times New Roman"/>
          <w:color w:val="0070C0"/>
          <w:sz w:val="16"/>
          <w:szCs w:val="16"/>
        </w:rPr>
        <w:softHyphen/>
        <w:t>респондентами центральных газет и фото-кинохрони</w:t>
      </w:r>
      <w:r w:rsidRPr="008A2E5A">
        <w:rPr>
          <w:rFonts w:ascii="Times New Roman" w:hAnsi="Times New Roman"/>
          <w:color w:val="0070C0"/>
          <w:sz w:val="16"/>
          <w:szCs w:val="16"/>
        </w:rPr>
        <w:softHyphen/>
        <w:t>ки) передача именных Як-7А состоялась несколько по</w:t>
      </w:r>
      <w:r w:rsidRPr="008A2E5A">
        <w:rPr>
          <w:rFonts w:ascii="Times New Roman" w:hAnsi="Times New Roman"/>
          <w:color w:val="0070C0"/>
          <w:sz w:val="16"/>
          <w:szCs w:val="16"/>
        </w:rPr>
        <w:softHyphen/>
        <w:t>зже - 4 июня 1942 г., когда они уже эксплуатировались полком и вылетали на боевые задания. Вручение лет</w:t>
      </w:r>
      <w:r w:rsidRPr="008A2E5A">
        <w:rPr>
          <w:rFonts w:ascii="Times New Roman" w:hAnsi="Times New Roman"/>
          <w:color w:val="0070C0"/>
          <w:sz w:val="16"/>
          <w:szCs w:val="16"/>
        </w:rPr>
        <w:softHyphen/>
        <w:t>чикам полка боевых машин происходило без участия представителей комсомола Новосибирска и области (самолеты передавал заведующий военным отделом ЦК ВЛКСМ Д.В. Постников и инженер завода №153 Белин</w:t>
      </w:r>
      <w:r w:rsidRPr="008A2E5A">
        <w:rPr>
          <w:rFonts w:ascii="Times New Roman" w:hAnsi="Times New Roman"/>
          <w:color w:val="0070C0"/>
          <w:sz w:val="16"/>
          <w:szCs w:val="16"/>
        </w:rPr>
        <w:softHyphen/>
        <w:t>ский). Истребители получили: гвардии старшие лейте</w:t>
      </w:r>
      <w:r w:rsidRPr="008A2E5A">
        <w:rPr>
          <w:rFonts w:ascii="Times New Roman" w:hAnsi="Times New Roman"/>
          <w:color w:val="0070C0"/>
          <w:sz w:val="16"/>
          <w:szCs w:val="16"/>
        </w:rPr>
        <w:softHyphen/>
        <w:t>нанты М.Е. Цыганов (1+1) - «Комсомол Кузбасса», Г.Е. Фастовец (5+3) - «Новосибирский комсомол» и Алек</w:t>
      </w:r>
      <w:r w:rsidRPr="008A2E5A">
        <w:rPr>
          <w:rFonts w:ascii="Times New Roman" w:hAnsi="Times New Roman"/>
          <w:color w:val="0070C0"/>
          <w:sz w:val="16"/>
          <w:szCs w:val="16"/>
        </w:rPr>
        <w:softHyphen/>
        <w:t>сандров (1+1), гвардии батальонный комиссар Д.Т. Про</w:t>
      </w:r>
      <w:r w:rsidRPr="008A2E5A">
        <w:rPr>
          <w:rFonts w:ascii="Times New Roman" w:hAnsi="Times New Roman"/>
          <w:color w:val="0070C0"/>
          <w:sz w:val="16"/>
          <w:szCs w:val="16"/>
        </w:rPr>
        <w:softHyphen/>
        <w:t>яненков - «Новосибирский пионер», гвардии лейтенан</w:t>
      </w:r>
      <w:r w:rsidRPr="008A2E5A">
        <w:rPr>
          <w:rFonts w:ascii="Times New Roman" w:hAnsi="Times New Roman"/>
          <w:color w:val="0070C0"/>
          <w:sz w:val="16"/>
          <w:szCs w:val="16"/>
        </w:rPr>
        <w:softHyphen/>
        <w:t>ты Ю.Я. Келейников (13+2), К.А. Крюков (5+10) - «Ком</w:t>
      </w:r>
      <w:r w:rsidRPr="008A2E5A">
        <w:rPr>
          <w:rFonts w:ascii="Times New Roman" w:hAnsi="Times New Roman"/>
          <w:color w:val="0070C0"/>
          <w:sz w:val="16"/>
          <w:szCs w:val="16"/>
        </w:rPr>
        <w:softHyphen/>
        <w:t>сомол Кузбасса», В.Г. Лебедев (5+0) - «Комсомол Нары- ма», Н.И. Яхненко (0+1), гвардии младшие лейтенанты А.А. Оже - «Комсомол Нарыма», В.М. Помогалов (4+2). В мае 1943 г. два Як-7А из оставшихся четырех прош</w:t>
      </w:r>
      <w:r w:rsidRPr="008A2E5A">
        <w:rPr>
          <w:rFonts w:ascii="Times New Roman" w:hAnsi="Times New Roman"/>
          <w:color w:val="0070C0"/>
          <w:sz w:val="16"/>
          <w:szCs w:val="16"/>
        </w:rPr>
        <w:softHyphen/>
        <w:t>ли полный ремонт лакокрасочного покрытия, при котором наименования машин на бортах самолетов не вос</w:t>
      </w:r>
      <w:r w:rsidRPr="008A2E5A">
        <w:rPr>
          <w:rFonts w:ascii="Times New Roman" w:hAnsi="Times New Roman"/>
          <w:color w:val="0070C0"/>
          <w:sz w:val="16"/>
          <w:szCs w:val="16"/>
        </w:rPr>
        <w:softHyphen/>
        <w:t>станавливались (23381).</w:t>
      </w:r>
    </w:p>
    <w:p w14:paraId="58523B9E" w14:textId="77777777" w:rsidR="00CD7517" w:rsidRPr="008A2E5A" w:rsidRDefault="00CD7517" w:rsidP="00CD7517">
      <w:pPr>
        <w:spacing w:after="0" w:line="240" w:lineRule="auto"/>
        <w:jc w:val="both"/>
        <w:rPr>
          <w:rFonts w:ascii="Times New Roman" w:hAnsi="Times New Roman"/>
          <w:color w:val="0070C0"/>
          <w:sz w:val="16"/>
          <w:szCs w:val="16"/>
        </w:rPr>
      </w:pPr>
    </w:p>
    <w:p w14:paraId="75572C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 Шахурин писал письмо N Н-25/543 Маленкову.</w:t>
      </w:r>
    </w:p>
    <w:p w14:paraId="2C532F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при всех условиях бесперебойного облета самолетов и отправки их на фронт в период весенней распутицы необходимо закончить строительство взлетно-посадочных полос на аэродромах заводов Наркомавиапрома N 21 (г. Горький), N 22 (г. Казань), N 153 (г. Новосибирск), N 292 (г. Саратов), N 381 (г. Н. Тагил).</w:t>
      </w:r>
    </w:p>
    <w:p w14:paraId="0E57C4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Тресты и заводы Наркомавиапрома, осуществляющие в зимних условиях строительство взлетно-посадочных полос, испытывают недостаток рабсилы, материалов и </w:t>
      </w:r>
      <w:r w:rsidRPr="008127F8">
        <w:rPr>
          <w:rFonts w:ascii="Times New Roman" w:hAnsi="Times New Roman"/>
          <w:color w:val="000000" w:themeColor="text1"/>
          <w:sz w:val="16"/>
          <w:szCs w:val="16"/>
        </w:rPr>
        <w:lastRenderedPageBreak/>
        <w:t>транспорта.</w:t>
      </w:r>
    </w:p>
    <w:p w14:paraId="581E24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сжатые сроки строительства, прошу Вас принять прилагаемые проекты постановлений Секретариата ЦК ВКП(б) об оказании Горьковским, Ивановским, Казанским, Новосибирским, Саратовским и Свердловским Обкомами ВКП(б) необходимой помощи строительству взлетно-посадочных полос (2160,213).</w:t>
      </w:r>
    </w:p>
    <w:p w14:paraId="1778C8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C6E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 инженер завода N 32 писал письмо N 807с Сталину.</w:t>
      </w:r>
    </w:p>
    <w:p w14:paraId="650CC4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Иосиф Виссарионович, Вы меня простите, что я решаюсь обратиться лично к ВАМ, но я вынужден это сделать.</w:t>
      </w:r>
    </w:p>
    <w:p w14:paraId="35E840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1941 года наркому авиационной промышленности Шахурину был представлен инициативно разработанный нами на заводе N 380 эскизный проект двухмоторного пушечного истребителя - ДПИ с максимальной скоростью в 800 км/час, с мощным стрелковым вооружением. Кроме того, в начале июня 1941 года был представлен в НКАП дополнительный материал к этому проекту, в котором содержалось техническое описание спарки моторов, составленное Дзюбе (ВВА) и были дополнительно освещены вопросы о реальности максимальной скорости, заявленной в проекте, реальности синхронного стрелкового вооружения при четырехлопастном винте, наличии необходимых отечественных синхронизаторов и 4-х лопастных винтов и т.д. Но до сих пор из НКАП никакого ответа мы не получили. Письмо и телеграмма, адресованные Шахурину, остались без ответа.</w:t>
      </w:r>
    </w:p>
    <w:p w14:paraId="2A0F8F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проект был вызван желанием дать ВВС одноместный истребитель с резко повышенной максимальной скоростью при мощном стрелковом вооружении, чтобы его можно было бы противопоставить скоростным истребителям сегодняшних и возможных противников (см. японские проекты одноместных истребителей с максимальной скоростью в 750-775 км/час, описанные в экспресс-информации БНТ ЦАГИ N 64 за 1941 год).</w:t>
      </w:r>
    </w:p>
    <w:p w14:paraId="31F76B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схеме предлагаемый нами истребитель представляет собой свободнонесущий моноплан с низко расположенным крылом и двумя моторами М-107П, расположенными один за другим в носовой части фюзеляжа и работающими на один 4-х лопастной винт.</w:t>
      </w:r>
    </w:p>
    <w:p w14:paraId="7BD8AB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обстоятельство, что наши возможные противники упорно работают над проблемой повышения максимальной скорости одноместного истребителя, идя по линии установки двух моторов тандем, указывает на то, что этот путь принципиально правильный, много обещающий и заслуживающий самого серьезного внимания.</w:t>
      </w:r>
    </w:p>
    <w:p w14:paraId="424169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по сравнению со схемой, предложенной в СССР Болховитиновым и схемами, предложенными за границей, в частности, с указанными выше японскими проектами, предлагаемый нами проект имеет целый ряд преимуществ, основными из которых являются:</w:t>
      </w:r>
    </w:p>
    <w:p w14:paraId="627AEB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Значительно более простая, а следовательно, более надежная спарка моторов.</w:t>
      </w:r>
    </w:p>
    <w:p w14:paraId="20A232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Возможность установки мощного, сконцентрированного около оси самолета синхронного стрелкового вооружения, что исключается при спарке моторов, работающих на два соосных несинхронных винта.</w:t>
      </w:r>
    </w:p>
    <w:p w14:paraId="097956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Возможность обеспечения значительного запаса горючего, достаточного для дальности полета в 1000-1600 км, что также исключается при установке спарки моторов, работающих на два соосных несинхронных винта, так как в этом случае стрелковое вооружение должно быть вынесено за плоскость, ометаемую винтами, т.е. в крыло, которое является основным местом для бензобаков. К тому же в тонком крыле истребителя невозможна установка крупнокалиберного стрелкового вооружения.</w:t>
      </w:r>
    </w:p>
    <w:p w14:paraId="0EF4CD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установке стрелкового вооружения в крыле, т.е. далеко от оси самолета, исключается возможность получения хорошей кучности огня. Следовательно, при установке спарки моторов, работающих на несинхронные соосные винты, невозможно серьезное вооружение машин и невозможна необходимая для истребителя дальность полета.</w:t>
      </w:r>
    </w:p>
    <w:p w14:paraId="606FA7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одного из этих недостатков предлагаемый нами проект не имеет. Его преимущества перед схемой обычной двухмоторной машины очевидны.</w:t>
      </w:r>
    </w:p>
    <w:p w14:paraId="368C65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Спарка двух моторов, работающих на один винт, в свое время была осуществлена в ВВА Дзюбе, и частично уже проходила испытания, но тогда не было винтов, способных воспринять мощность двух моторов. В настоящее же время имеется серия винтов Ф-1, специально рассчитанная на большие мощности и большие скорости.</w:t>
      </w:r>
    </w:p>
    <w:p w14:paraId="4325BD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предлагаемой спарке возможны запуск и остановка любого из моторов по желанию, что облегчает эксплуатацию. И, что особенно важно, под эту спарку возможно довольно легкое приспособление серийных моторов М-107П, за что охотно брался Дзюбе (ВВА). В НКАП ставился вопрос о представлении ему производственной базы специально для подобных работ.</w:t>
      </w:r>
    </w:p>
    <w:p w14:paraId="19D334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мы приводим основные данные ДПИ: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4CDDDD13" w14:textId="77777777">
        <w:tc>
          <w:tcPr>
            <w:tcW w:w="3757" w:type="dxa"/>
            <w:tcBorders>
              <w:top w:val="single" w:sz="12" w:space="0" w:color="auto"/>
            </w:tcBorders>
          </w:tcPr>
          <w:p w14:paraId="569F7C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Максимальная скорость у земли</w:t>
            </w:r>
          </w:p>
        </w:tc>
        <w:tc>
          <w:tcPr>
            <w:tcW w:w="3757" w:type="dxa"/>
            <w:tcBorders>
              <w:top w:val="single" w:sz="12" w:space="0" w:color="auto"/>
            </w:tcBorders>
          </w:tcPr>
          <w:p w14:paraId="3F842D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624-656 км/час</w:t>
            </w:r>
          </w:p>
        </w:tc>
      </w:tr>
      <w:tr w:rsidR="006F4095" w:rsidRPr="008127F8" w14:paraId="76A5CDB5" w14:textId="77777777">
        <w:tc>
          <w:tcPr>
            <w:tcW w:w="3757" w:type="dxa"/>
          </w:tcPr>
          <w:p w14:paraId="767706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Максимальная скорость на</w:t>
            </w:r>
          </w:p>
        </w:tc>
        <w:tc>
          <w:tcPr>
            <w:tcW w:w="3757" w:type="dxa"/>
          </w:tcPr>
          <w:p w14:paraId="4F39C7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72B75A8" w14:textId="77777777">
        <w:tc>
          <w:tcPr>
            <w:tcW w:w="3757" w:type="dxa"/>
          </w:tcPr>
          <w:p w14:paraId="51D1A2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 6800 м</w:t>
            </w:r>
          </w:p>
        </w:tc>
        <w:tc>
          <w:tcPr>
            <w:tcW w:w="3757" w:type="dxa"/>
          </w:tcPr>
          <w:p w14:paraId="725E4F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км/час</w:t>
            </w:r>
          </w:p>
        </w:tc>
      </w:tr>
      <w:tr w:rsidR="006F4095" w:rsidRPr="008127F8" w14:paraId="2A633B16" w14:textId="77777777">
        <w:tc>
          <w:tcPr>
            <w:tcW w:w="3757" w:type="dxa"/>
          </w:tcPr>
          <w:p w14:paraId="494D7E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Дальность</w:t>
            </w:r>
          </w:p>
        </w:tc>
        <w:tc>
          <w:tcPr>
            <w:tcW w:w="3757" w:type="dxa"/>
          </w:tcPr>
          <w:p w14:paraId="3D0957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1000-1600 км</w:t>
            </w:r>
          </w:p>
        </w:tc>
      </w:tr>
      <w:tr w:rsidR="006F4095" w:rsidRPr="008127F8" w14:paraId="328D25AF" w14:textId="77777777">
        <w:tc>
          <w:tcPr>
            <w:tcW w:w="3757" w:type="dxa"/>
          </w:tcPr>
          <w:p w14:paraId="3BDE82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Посадочная скорость</w:t>
            </w:r>
          </w:p>
        </w:tc>
        <w:tc>
          <w:tcPr>
            <w:tcW w:w="3757" w:type="dxa"/>
          </w:tcPr>
          <w:p w14:paraId="624600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115-148 км/час</w:t>
            </w:r>
          </w:p>
        </w:tc>
      </w:tr>
      <w:tr w:rsidR="006F4095" w:rsidRPr="008127F8" w14:paraId="446CA7EE" w14:textId="77777777">
        <w:tc>
          <w:tcPr>
            <w:tcW w:w="3757" w:type="dxa"/>
          </w:tcPr>
          <w:p w14:paraId="6BEB6A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Скороподъемность на 5000 м</w:t>
            </w:r>
          </w:p>
        </w:tc>
        <w:tc>
          <w:tcPr>
            <w:tcW w:w="3757" w:type="dxa"/>
          </w:tcPr>
          <w:p w14:paraId="416114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 мин.</w:t>
            </w:r>
          </w:p>
        </w:tc>
      </w:tr>
      <w:tr w:rsidR="006F4095" w:rsidRPr="008127F8" w14:paraId="4B78F582" w14:textId="77777777">
        <w:tc>
          <w:tcPr>
            <w:tcW w:w="3757" w:type="dxa"/>
          </w:tcPr>
          <w:p w14:paraId="17733B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Потолок</w:t>
            </w:r>
          </w:p>
        </w:tc>
        <w:tc>
          <w:tcPr>
            <w:tcW w:w="3757" w:type="dxa"/>
          </w:tcPr>
          <w:p w14:paraId="3ABEF9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12100 м</w:t>
            </w:r>
          </w:p>
        </w:tc>
      </w:tr>
      <w:tr w:rsidR="006F4095" w:rsidRPr="008127F8" w14:paraId="762DE530" w14:textId="77777777">
        <w:tc>
          <w:tcPr>
            <w:tcW w:w="3757" w:type="dxa"/>
          </w:tcPr>
          <w:p w14:paraId="7A6F61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Длина разбега (без</w:t>
            </w:r>
          </w:p>
        </w:tc>
        <w:tc>
          <w:tcPr>
            <w:tcW w:w="3757" w:type="dxa"/>
          </w:tcPr>
          <w:p w14:paraId="1DEF08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EE2D0B" w14:textId="77777777">
        <w:tc>
          <w:tcPr>
            <w:tcW w:w="3757" w:type="dxa"/>
          </w:tcPr>
          <w:p w14:paraId="59BE4F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преодоления препятствий)</w:t>
            </w:r>
          </w:p>
        </w:tc>
        <w:tc>
          <w:tcPr>
            <w:tcW w:w="3757" w:type="dxa"/>
          </w:tcPr>
          <w:p w14:paraId="7503C0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 м при бщ=0 гр.</w:t>
            </w:r>
          </w:p>
        </w:tc>
      </w:tr>
      <w:tr w:rsidR="006F4095" w:rsidRPr="008127F8" w14:paraId="4F441A2C" w14:textId="77777777">
        <w:tc>
          <w:tcPr>
            <w:tcW w:w="3757" w:type="dxa"/>
          </w:tcPr>
          <w:p w14:paraId="6B42D9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E9C5A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м при бщ=15 гр.</w:t>
            </w:r>
          </w:p>
        </w:tc>
      </w:tr>
      <w:tr w:rsidR="006F4095" w:rsidRPr="008127F8" w14:paraId="3100FCAC" w14:textId="77777777">
        <w:tc>
          <w:tcPr>
            <w:tcW w:w="3757" w:type="dxa"/>
          </w:tcPr>
          <w:p w14:paraId="02ACE9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Длина пробега</w:t>
            </w:r>
          </w:p>
        </w:tc>
        <w:tc>
          <w:tcPr>
            <w:tcW w:w="3757" w:type="dxa"/>
          </w:tcPr>
          <w:p w14:paraId="3E7BDE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416 м</w:t>
            </w:r>
          </w:p>
        </w:tc>
      </w:tr>
      <w:tr w:rsidR="006F4095" w:rsidRPr="008127F8" w14:paraId="5657A10A" w14:textId="77777777">
        <w:tc>
          <w:tcPr>
            <w:tcW w:w="3757" w:type="dxa"/>
          </w:tcPr>
          <w:p w14:paraId="0DEA2C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Полетный вес (нормальный)</w:t>
            </w:r>
          </w:p>
        </w:tc>
        <w:tc>
          <w:tcPr>
            <w:tcW w:w="3757" w:type="dxa"/>
          </w:tcPr>
          <w:p w14:paraId="6BB33D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5200 кг</w:t>
            </w:r>
          </w:p>
        </w:tc>
      </w:tr>
      <w:tr w:rsidR="006F4095" w:rsidRPr="008127F8" w14:paraId="59645BBC" w14:textId="77777777">
        <w:tc>
          <w:tcPr>
            <w:tcW w:w="3757" w:type="dxa"/>
          </w:tcPr>
          <w:p w14:paraId="7AC9F1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Площадь крыла</w:t>
            </w:r>
          </w:p>
        </w:tc>
        <w:tc>
          <w:tcPr>
            <w:tcW w:w="3757" w:type="dxa"/>
          </w:tcPr>
          <w:p w14:paraId="303AC3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кв. м</w:t>
            </w:r>
          </w:p>
        </w:tc>
      </w:tr>
      <w:tr w:rsidR="006F4095" w:rsidRPr="008127F8" w14:paraId="01F7EF9C" w14:textId="77777777">
        <w:tc>
          <w:tcPr>
            <w:tcW w:w="3757" w:type="dxa"/>
          </w:tcPr>
          <w:p w14:paraId="7A201C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Размах</w:t>
            </w:r>
          </w:p>
        </w:tc>
        <w:tc>
          <w:tcPr>
            <w:tcW w:w="3757" w:type="dxa"/>
          </w:tcPr>
          <w:p w14:paraId="3CF444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 м</w:t>
            </w:r>
          </w:p>
        </w:tc>
      </w:tr>
      <w:tr w:rsidR="006F4095" w:rsidRPr="008127F8" w14:paraId="4037815A" w14:textId="77777777">
        <w:tc>
          <w:tcPr>
            <w:tcW w:w="3757" w:type="dxa"/>
            <w:tcBorders>
              <w:bottom w:val="single" w:sz="12" w:space="0" w:color="auto"/>
            </w:tcBorders>
          </w:tcPr>
          <w:p w14:paraId="1FAFE1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Длина</w:t>
            </w:r>
          </w:p>
        </w:tc>
        <w:tc>
          <w:tcPr>
            <w:tcW w:w="3757" w:type="dxa"/>
            <w:tcBorders>
              <w:bottom w:val="single" w:sz="12" w:space="0" w:color="auto"/>
            </w:tcBorders>
          </w:tcPr>
          <w:p w14:paraId="396058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10,35 м</w:t>
            </w:r>
          </w:p>
        </w:tc>
      </w:tr>
    </w:tbl>
    <w:p w14:paraId="2C6A27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проекте ДПИ нами предложены следующие три варианта стрелкового вооружения на выбор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8127F8" w14:paraId="0D847C9F" w14:textId="77777777">
        <w:tc>
          <w:tcPr>
            <w:tcW w:w="2818" w:type="dxa"/>
            <w:tcBorders>
              <w:top w:val="single" w:sz="12" w:space="0" w:color="auto"/>
            </w:tcBorders>
          </w:tcPr>
          <w:p w14:paraId="7F7ED5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вариант</w:t>
            </w:r>
          </w:p>
        </w:tc>
        <w:tc>
          <w:tcPr>
            <w:tcW w:w="2818" w:type="dxa"/>
            <w:tcBorders>
              <w:top w:val="single" w:sz="12" w:space="0" w:color="auto"/>
            </w:tcBorders>
          </w:tcPr>
          <w:p w14:paraId="3FBE63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вариант</w:t>
            </w:r>
          </w:p>
        </w:tc>
        <w:tc>
          <w:tcPr>
            <w:tcW w:w="2818" w:type="dxa"/>
            <w:tcBorders>
              <w:top w:val="single" w:sz="12" w:space="0" w:color="auto"/>
            </w:tcBorders>
          </w:tcPr>
          <w:p w14:paraId="060875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вариант</w:t>
            </w:r>
          </w:p>
        </w:tc>
      </w:tr>
      <w:tr w:rsidR="006F4095" w:rsidRPr="008127F8" w14:paraId="690B918A" w14:textId="77777777">
        <w:tc>
          <w:tcPr>
            <w:tcW w:w="2818" w:type="dxa"/>
          </w:tcPr>
          <w:p w14:paraId="2EAD8C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c>
          <w:tcPr>
            <w:tcW w:w="2818" w:type="dxa"/>
          </w:tcPr>
          <w:p w14:paraId="52F3A8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c>
          <w:tcPr>
            <w:tcW w:w="2818" w:type="dxa"/>
          </w:tcPr>
          <w:p w14:paraId="6892F6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r>
      <w:tr w:rsidR="006F4095" w:rsidRPr="008127F8" w14:paraId="3E9A4955" w14:textId="77777777">
        <w:tc>
          <w:tcPr>
            <w:tcW w:w="2818" w:type="dxa"/>
          </w:tcPr>
          <w:p w14:paraId="7BDB57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пушки Швак 20 мм</w:t>
            </w:r>
          </w:p>
        </w:tc>
        <w:tc>
          <w:tcPr>
            <w:tcW w:w="2818" w:type="dxa"/>
          </w:tcPr>
          <w:p w14:paraId="28B08A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пулемет. БС-12,7 мм</w:t>
            </w:r>
          </w:p>
        </w:tc>
        <w:tc>
          <w:tcPr>
            <w:tcW w:w="2818" w:type="dxa"/>
          </w:tcPr>
          <w:p w14:paraId="17CD6B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Швак 20 мм</w:t>
            </w:r>
          </w:p>
        </w:tc>
      </w:tr>
      <w:tr w:rsidR="006F4095" w:rsidRPr="008127F8" w14:paraId="4FCFBB9D" w14:textId="77777777">
        <w:tc>
          <w:tcPr>
            <w:tcW w:w="2818" w:type="dxa"/>
          </w:tcPr>
          <w:p w14:paraId="3FFC0B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 Шкас 7,62 мм</w:t>
            </w:r>
          </w:p>
        </w:tc>
        <w:tc>
          <w:tcPr>
            <w:tcW w:w="2818" w:type="dxa"/>
          </w:tcPr>
          <w:p w14:paraId="43648E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 Шкас 7,62 мм</w:t>
            </w:r>
          </w:p>
        </w:tc>
        <w:tc>
          <w:tcPr>
            <w:tcW w:w="2818" w:type="dxa"/>
          </w:tcPr>
          <w:p w14:paraId="03C24B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пулем. БС 12,7 мм</w:t>
            </w:r>
          </w:p>
        </w:tc>
      </w:tr>
      <w:tr w:rsidR="006F4095" w:rsidRPr="008127F8" w14:paraId="275061A6" w14:textId="77777777">
        <w:tc>
          <w:tcPr>
            <w:tcW w:w="2818" w:type="dxa"/>
            <w:tcBorders>
              <w:bottom w:val="single" w:sz="12" w:space="0" w:color="auto"/>
            </w:tcBorders>
          </w:tcPr>
          <w:p w14:paraId="6F5D4C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6949DB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1899C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 Шкас 7,62 мм</w:t>
            </w:r>
          </w:p>
        </w:tc>
      </w:tr>
    </w:tbl>
    <w:p w14:paraId="51BEF1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таком положении становится бессмысленным предлагать другие проекты, хотя и есть что предложить.</w:t>
      </w:r>
    </w:p>
    <w:p w14:paraId="254761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Находясь в Иркутске на заводе N 39, куда я был направлен отделом кадров НКАП для временной работы, я не могу добиться личной связи с Шахуриным по вопросу о проекте ДПИ. На телеграмму, адресованную Шахурину и посланную ему из Казани, где нахожусь в настоящее время в командировке на заводе N 22, ответа не получил.</w:t>
      </w:r>
    </w:p>
    <w:p w14:paraId="3E7B4E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Иосиф Виссарионович, к Вам обращаюсь я с просьбой - вытащить проект ДПИ из недр НКАП, дать о нем объективное решение и, в случае положительного решения, ускорить его реализацию, создав соответствующие условия для работы.</w:t>
      </w:r>
    </w:p>
    <w:p w14:paraId="1B6CC8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Вашей помощи будет сколочен сильный коллектив из старых опытных и способных молодых специалистов, работа будет выполнена в минимальные сроки и с минимальными затратами государственных средств (2178,78).</w:t>
      </w:r>
    </w:p>
    <w:p w14:paraId="374DB5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C97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 инженер Малюков Г.А. писал письмо N 807с Сталину.</w:t>
      </w:r>
    </w:p>
    <w:p w14:paraId="1E80AF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Иосиф Виссарионович, Вы меня простите, что я решаюсь обратиться лично к Вам, но я вынужден это сделать.</w:t>
      </w:r>
    </w:p>
    <w:p w14:paraId="49D6E2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1941 года наркому авиационной промышленности Шахурину был представлен инициативно разработанный нами на заводе N 380 эскизный проект двухмоторного пушечного истребителя - ДПИ с максимальной скоростью в 800 км/час, с мощным стрелковым вооружением. Кроме того, в начале июня 1941 года был представлен в НКАП дополнительный материал к этому проекту, в котором содержалось техническое описание спарки моторов, составленное Дзюбе (ВВА) и были дополнительно освещены вопросы о реальности максимальной скорости, заявленной в проекте, реальности синхронного стрелкового вооружения при четырехлопастном винте, наличии необходимых отечественных синхронизаторов и 4-х лопастных винтов и т.д. Но до сих пор из НКАП никакого ответа мы не получили. Письмо и телеграмма, адресованные Шахурину, остались без ответа.</w:t>
      </w:r>
    </w:p>
    <w:p w14:paraId="53ADFD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проект был вызван желанием дать ВВС одноместный истребитель с резко повышенной максимальной скоростью при мощном стрелковом вооружении, чтобы его можно было бы противопоставить скоростным истребителям сегодняшних и возможных противников (см. японские проекты одноместных истребителей с максимальной скоростью в 750-775 км/час, описанные в экспресс-информации БНТ ЦАГИ N 64 за 1941 год).</w:t>
      </w:r>
    </w:p>
    <w:p w14:paraId="54E8DE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схеме предлагаемый нами истребитель представляет собой свободнонесущий моноплан с низко расположенным крылом и двумя моторами М-107П, расположенными один за другим в носовой части фюзеляжа и работающими на один 4-х лопастный винт.</w:t>
      </w:r>
    </w:p>
    <w:p w14:paraId="04AF0D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обстоятельство, что наши возможные противники упорно работают над проблемой повышения максимальной скорости одноместного истребителя, идя по линии установки двух моторов тандем, указывает на то, что этот путь принципиально правильный, многообещающий и заслуживающий самого серьезного внимания.</w:t>
      </w:r>
    </w:p>
    <w:p w14:paraId="4AA7F9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Но по сравнению со схемой, предложенной в СССР Болховитиновым и схемами, предложенными за границей, в частности с указанными выше японскими проектами, предлагаемый нами проект имеет целый ряд преимуществ, основными из которых являются:</w:t>
      </w:r>
    </w:p>
    <w:p w14:paraId="2910C4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Значительно более простая, а следовательно, более надежная спарка моторов.</w:t>
      </w:r>
    </w:p>
    <w:p w14:paraId="034086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Возможность установки мощного, сконцентрированного около оси самолета синхронного стрелкового вооружения, что исключается при спарке моторов, работающих на два соосных несинхронных винта.</w:t>
      </w:r>
    </w:p>
    <w:p w14:paraId="5D756B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Возможность обеспечения значительного запаса горючего, достаточного для дальности полета в 1000-1600 км, что также исключается при установке спарки моторов, работающих на два соосных несинхронных винта, так как в этом случае стрелковое вооружение должно быть вынесено за плоскость, ометаемую винтами, т.е. в крыло, которое является основным местом для бензобаков. К тому же в тонком крыле истребителя невозможна установка крупнокалиберного стрелкового вооружения.</w:t>
      </w:r>
    </w:p>
    <w:p w14:paraId="7C9941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установке стрелкового вооружения в крыле, т.е. далеко от оси самолета, исключается возможность получения хорошей кучности огня. Следовательно, при установке спарки моторов, работающих на несинхронные соосные винты, невозможно серьезное вооружение машин и невозможна необходимая для истребителя дальность полета.</w:t>
      </w:r>
    </w:p>
    <w:p w14:paraId="1E6CB9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одного из этих недостатков предлагаемый нами проект не имеет. Его преимущества перед схемой обычной двухмоторной машины очевидны.</w:t>
      </w:r>
    </w:p>
    <w:p w14:paraId="4C13E4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Спарка двух моторов, работающих на один винт, в свое время была осуществлена в ВВА Дзюбе и частично уже проходила испытания, но тогда не было винтов, способных воспринять мощность двух моторов. В настоящее же время имеется серия винтов Ф-1, специально рассчитанная на большие мощности и большие скорости.</w:t>
      </w:r>
    </w:p>
    <w:p w14:paraId="323857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предлагаемой спарке возможны запуск и остановка любого из моторов по желанию, что облегчает эксплуатацию. И, что особенно важно, под эту спарку возможно довольно легкое приспособление серийных моторов М-107П, за что охотно брался Дзюбе (ВВА). В НКАП ставился вопрос о предоставлении ему производственной базы специально для подобных работ.</w:t>
      </w:r>
    </w:p>
    <w:p w14:paraId="367538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мы приводим основные данные ДПИ: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2126"/>
      </w:tblGrid>
      <w:tr w:rsidR="006F4095" w:rsidRPr="008127F8" w14:paraId="40B168EC" w14:textId="77777777">
        <w:tc>
          <w:tcPr>
            <w:tcW w:w="3510" w:type="dxa"/>
            <w:tcBorders>
              <w:top w:val="single" w:sz="12" w:space="0" w:color="auto"/>
            </w:tcBorders>
          </w:tcPr>
          <w:p w14:paraId="49F741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w:t>
            </w:r>
          </w:p>
        </w:tc>
        <w:tc>
          <w:tcPr>
            <w:tcW w:w="2126" w:type="dxa"/>
            <w:tcBorders>
              <w:top w:val="single" w:sz="12" w:space="0" w:color="auto"/>
            </w:tcBorders>
          </w:tcPr>
          <w:p w14:paraId="2D9B7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624-656 км/час</w:t>
            </w:r>
          </w:p>
        </w:tc>
      </w:tr>
      <w:tr w:rsidR="006F4095" w:rsidRPr="008127F8" w14:paraId="4A259220" w14:textId="77777777">
        <w:tc>
          <w:tcPr>
            <w:tcW w:w="3510" w:type="dxa"/>
          </w:tcPr>
          <w:p w14:paraId="7112E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6800 м</w:t>
            </w:r>
          </w:p>
        </w:tc>
        <w:tc>
          <w:tcPr>
            <w:tcW w:w="2126" w:type="dxa"/>
          </w:tcPr>
          <w:p w14:paraId="7E70D8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км/час</w:t>
            </w:r>
          </w:p>
        </w:tc>
      </w:tr>
      <w:tr w:rsidR="006F4095" w:rsidRPr="008127F8" w14:paraId="4FBDF461" w14:textId="77777777">
        <w:tc>
          <w:tcPr>
            <w:tcW w:w="3510" w:type="dxa"/>
          </w:tcPr>
          <w:p w14:paraId="1E63C5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c>
          <w:tcPr>
            <w:tcW w:w="2126" w:type="dxa"/>
          </w:tcPr>
          <w:p w14:paraId="749694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1000-1600 км</w:t>
            </w:r>
          </w:p>
        </w:tc>
      </w:tr>
      <w:tr w:rsidR="006F4095" w:rsidRPr="008127F8" w14:paraId="314D84BF" w14:textId="77777777">
        <w:tc>
          <w:tcPr>
            <w:tcW w:w="3510" w:type="dxa"/>
          </w:tcPr>
          <w:p w14:paraId="45551C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2126" w:type="dxa"/>
          </w:tcPr>
          <w:p w14:paraId="6D27F7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115-148 км/час</w:t>
            </w:r>
          </w:p>
        </w:tc>
      </w:tr>
      <w:tr w:rsidR="006F4095" w:rsidRPr="008127F8" w14:paraId="10CA5008" w14:textId="77777777">
        <w:tc>
          <w:tcPr>
            <w:tcW w:w="3510" w:type="dxa"/>
          </w:tcPr>
          <w:p w14:paraId="05EA58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Скороподъемность на 5000 м</w:t>
            </w:r>
          </w:p>
        </w:tc>
        <w:tc>
          <w:tcPr>
            <w:tcW w:w="2126" w:type="dxa"/>
          </w:tcPr>
          <w:p w14:paraId="0A483F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 мин.</w:t>
            </w:r>
          </w:p>
        </w:tc>
      </w:tr>
      <w:tr w:rsidR="006F4095" w:rsidRPr="008127F8" w14:paraId="472C7DE5" w14:textId="77777777">
        <w:tc>
          <w:tcPr>
            <w:tcW w:w="3510" w:type="dxa"/>
          </w:tcPr>
          <w:p w14:paraId="3C6CF4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2126" w:type="dxa"/>
          </w:tcPr>
          <w:p w14:paraId="3AFE41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12100 м</w:t>
            </w:r>
          </w:p>
        </w:tc>
      </w:tr>
      <w:tr w:rsidR="006F4095" w:rsidRPr="008127F8" w14:paraId="4C310E82" w14:textId="77777777">
        <w:tc>
          <w:tcPr>
            <w:tcW w:w="3510" w:type="dxa"/>
          </w:tcPr>
          <w:p w14:paraId="10E6A7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(без преодоления</w:t>
            </w:r>
          </w:p>
        </w:tc>
        <w:tc>
          <w:tcPr>
            <w:tcW w:w="2126" w:type="dxa"/>
          </w:tcPr>
          <w:p w14:paraId="7BBAE6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E7C3CB" w14:textId="77777777">
        <w:tc>
          <w:tcPr>
            <w:tcW w:w="3510" w:type="dxa"/>
          </w:tcPr>
          <w:p w14:paraId="110674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препятствий)</w:t>
            </w:r>
          </w:p>
        </w:tc>
        <w:tc>
          <w:tcPr>
            <w:tcW w:w="2126" w:type="dxa"/>
          </w:tcPr>
          <w:p w14:paraId="3FC1AB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 м при бщ=0 град.</w:t>
            </w:r>
          </w:p>
        </w:tc>
      </w:tr>
      <w:tr w:rsidR="006F4095" w:rsidRPr="008127F8" w14:paraId="42360F78" w14:textId="77777777">
        <w:tc>
          <w:tcPr>
            <w:tcW w:w="3510" w:type="dxa"/>
          </w:tcPr>
          <w:p w14:paraId="6D4EF5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9349B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м при бщ=15 град.</w:t>
            </w:r>
          </w:p>
        </w:tc>
      </w:tr>
      <w:tr w:rsidR="006F4095" w:rsidRPr="008127F8" w14:paraId="68863FA1" w14:textId="77777777">
        <w:tc>
          <w:tcPr>
            <w:tcW w:w="3510" w:type="dxa"/>
          </w:tcPr>
          <w:p w14:paraId="2EFC41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пробега</w:t>
            </w:r>
          </w:p>
        </w:tc>
        <w:tc>
          <w:tcPr>
            <w:tcW w:w="2126" w:type="dxa"/>
          </w:tcPr>
          <w:p w14:paraId="1E5CC8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416 м</w:t>
            </w:r>
          </w:p>
        </w:tc>
      </w:tr>
      <w:tr w:rsidR="006F4095" w:rsidRPr="008127F8" w14:paraId="1DCF2DD8" w14:textId="77777777">
        <w:tc>
          <w:tcPr>
            <w:tcW w:w="3510" w:type="dxa"/>
          </w:tcPr>
          <w:p w14:paraId="0143FA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(нормальный)</w:t>
            </w:r>
          </w:p>
        </w:tc>
        <w:tc>
          <w:tcPr>
            <w:tcW w:w="2126" w:type="dxa"/>
          </w:tcPr>
          <w:p w14:paraId="27DE7F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5200 кг</w:t>
            </w:r>
          </w:p>
        </w:tc>
      </w:tr>
      <w:tr w:rsidR="006F4095" w:rsidRPr="008127F8" w14:paraId="5B6E660F" w14:textId="77777777">
        <w:tc>
          <w:tcPr>
            <w:tcW w:w="3510" w:type="dxa"/>
          </w:tcPr>
          <w:p w14:paraId="301E87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w:t>
            </w:r>
          </w:p>
        </w:tc>
        <w:tc>
          <w:tcPr>
            <w:tcW w:w="2126" w:type="dxa"/>
          </w:tcPr>
          <w:p w14:paraId="1E4516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кв. м</w:t>
            </w:r>
          </w:p>
        </w:tc>
      </w:tr>
      <w:tr w:rsidR="006F4095" w:rsidRPr="008127F8" w14:paraId="0F5716B2" w14:textId="77777777">
        <w:tc>
          <w:tcPr>
            <w:tcW w:w="3510" w:type="dxa"/>
          </w:tcPr>
          <w:p w14:paraId="354E37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w:t>
            </w:r>
          </w:p>
        </w:tc>
        <w:tc>
          <w:tcPr>
            <w:tcW w:w="2126" w:type="dxa"/>
          </w:tcPr>
          <w:p w14:paraId="14C2C6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 м</w:t>
            </w:r>
          </w:p>
        </w:tc>
      </w:tr>
      <w:tr w:rsidR="006F4095" w:rsidRPr="008127F8" w14:paraId="41A7FBF9" w14:textId="77777777">
        <w:tc>
          <w:tcPr>
            <w:tcW w:w="3510" w:type="dxa"/>
            <w:tcBorders>
              <w:bottom w:val="single" w:sz="12" w:space="0" w:color="auto"/>
            </w:tcBorders>
          </w:tcPr>
          <w:p w14:paraId="1B0E69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w:t>
            </w:r>
          </w:p>
        </w:tc>
        <w:tc>
          <w:tcPr>
            <w:tcW w:w="2126" w:type="dxa"/>
            <w:tcBorders>
              <w:bottom w:val="single" w:sz="12" w:space="0" w:color="auto"/>
            </w:tcBorders>
          </w:tcPr>
          <w:p w14:paraId="1301A8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10,35 м</w:t>
            </w:r>
          </w:p>
        </w:tc>
      </w:tr>
    </w:tbl>
    <w:p w14:paraId="647A6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проекте ДПИ нами предложены следующие три варианта стрелкового вооружения на выбор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F4095" w:rsidRPr="008127F8" w14:paraId="5FC80F6F" w14:textId="77777777">
        <w:tc>
          <w:tcPr>
            <w:tcW w:w="2254" w:type="dxa"/>
            <w:tcBorders>
              <w:top w:val="single" w:sz="12" w:space="0" w:color="auto"/>
            </w:tcBorders>
          </w:tcPr>
          <w:p w14:paraId="4613BB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вариант</w:t>
            </w:r>
          </w:p>
        </w:tc>
        <w:tc>
          <w:tcPr>
            <w:tcW w:w="2254" w:type="dxa"/>
            <w:tcBorders>
              <w:top w:val="single" w:sz="12" w:space="0" w:color="auto"/>
            </w:tcBorders>
          </w:tcPr>
          <w:p w14:paraId="7DFA94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вариант</w:t>
            </w:r>
          </w:p>
        </w:tc>
        <w:tc>
          <w:tcPr>
            <w:tcW w:w="2254" w:type="dxa"/>
            <w:tcBorders>
              <w:top w:val="single" w:sz="12" w:space="0" w:color="auto"/>
            </w:tcBorders>
          </w:tcPr>
          <w:p w14:paraId="112552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вариант</w:t>
            </w:r>
          </w:p>
        </w:tc>
      </w:tr>
      <w:tr w:rsidR="006F4095" w:rsidRPr="008127F8" w14:paraId="61D4A81A" w14:textId="77777777">
        <w:tc>
          <w:tcPr>
            <w:tcW w:w="2254" w:type="dxa"/>
          </w:tcPr>
          <w:p w14:paraId="190507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c>
          <w:tcPr>
            <w:tcW w:w="2254" w:type="dxa"/>
          </w:tcPr>
          <w:p w14:paraId="70ECE6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c>
          <w:tcPr>
            <w:tcW w:w="2254" w:type="dxa"/>
          </w:tcPr>
          <w:p w14:paraId="4B5A4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r>
      <w:tr w:rsidR="006F4095" w:rsidRPr="008127F8" w14:paraId="44AE3C52" w14:textId="77777777">
        <w:tc>
          <w:tcPr>
            <w:tcW w:w="2254" w:type="dxa"/>
          </w:tcPr>
          <w:p w14:paraId="3641D4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пушки Швак 20 мм</w:t>
            </w:r>
          </w:p>
        </w:tc>
        <w:tc>
          <w:tcPr>
            <w:tcW w:w="2254" w:type="dxa"/>
          </w:tcPr>
          <w:p w14:paraId="168996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пулемет. БС-12,7 мм</w:t>
            </w:r>
          </w:p>
        </w:tc>
        <w:tc>
          <w:tcPr>
            <w:tcW w:w="2254" w:type="dxa"/>
          </w:tcPr>
          <w:p w14:paraId="374DF4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Швак 20 мм</w:t>
            </w:r>
          </w:p>
        </w:tc>
      </w:tr>
      <w:tr w:rsidR="006F4095" w:rsidRPr="008127F8" w14:paraId="6B4DD680" w14:textId="77777777">
        <w:tc>
          <w:tcPr>
            <w:tcW w:w="2254" w:type="dxa"/>
          </w:tcPr>
          <w:p w14:paraId="6B4CF7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 Шкас 7,62 мм</w:t>
            </w:r>
          </w:p>
        </w:tc>
        <w:tc>
          <w:tcPr>
            <w:tcW w:w="2254" w:type="dxa"/>
          </w:tcPr>
          <w:p w14:paraId="02B9D7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 Шкас 7,62 мм</w:t>
            </w:r>
          </w:p>
        </w:tc>
        <w:tc>
          <w:tcPr>
            <w:tcW w:w="2254" w:type="dxa"/>
          </w:tcPr>
          <w:p w14:paraId="2E9A2A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пулем. БС 12,7 мм</w:t>
            </w:r>
          </w:p>
        </w:tc>
      </w:tr>
      <w:tr w:rsidR="006F4095" w:rsidRPr="008127F8" w14:paraId="4B785CA1" w14:textId="77777777">
        <w:tc>
          <w:tcPr>
            <w:tcW w:w="2254" w:type="dxa"/>
            <w:tcBorders>
              <w:bottom w:val="single" w:sz="12" w:space="0" w:color="auto"/>
            </w:tcBorders>
          </w:tcPr>
          <w:p w14:paraId="242AE0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Borders>
              <w:bottom w:val="single" w:sz="12" w:space="0" w:color="auto"/>
            </w:tcBorders>
          </w:tcPr>
          <w:p w14:paraId="1BE1BD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Borders>
              <w:bottom w:val="single" w:sz="12" w:space="0" w:color="auto"/>
            </w:tcBorders>
          </w:tcPr>
          <w:p w14:paraId="3E1F22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 Шкас 7,62 мм</w:t>
            </w:r>
          </w:p>
        </w:tc>
      </w:tr>
    </w:tbl>
    <w:p w14:paraId="63866C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подробно Вы можете ознакомиться с предлагаемым проектом, затребовав из НКАП эскизный проект, дополнительный материал к нему и тактическую модель ДПИ.</w:t>
      </w:r>
    </w:p>
    <w:p w14:paraId="3704CB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пределах весьма ограниченных возможностей мною продолжаются дальнейшие изыскания по улучшению проекта ДПИ. В частности, изысканы некоторые дополнительные пути для повышения максимальной скорости, не указанные в представленном проекте. Кроме того, установлена полная возможность деревянного варианта конструкции фюзеляжа, киля, стабилизатора и консолей крыла. Намечено широкое применение заменителей цветного и черного металлов.</w:t>
      </w:r>
    </w:p>
    <w:p w14:paraId="4DF411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ДПИ явился результатом длительных, кропотливых изысканий и тщательного анализа преимуществ и недостатков, существующих и возможных схем одноместного истребителя, проделанных мною, начиная с 1938 года, т.е. после возвращения из командировки в США. За это время было проделано несколько увязок и компоновок нескольких вариантов скоростного истребителя.</w:t>
      </w:r>
    </w:p>
    <w:p w14:paraId="27517C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Вся работа по оформлению проекта ДПИ нами была выполнена в инициативном порядке во время очередного отпуска совершенно бесплатно, а некоторые работы по оформлению нами были оплачены из личных средств.</w:t>
      </w:r>
    </w:p>
    <w:p w14:paraId="7C2127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Вместо поощрения нашей инициативы и быстрого объективного заключения и решения по проекту ДПИ, мы встретились с бюрократической волокитой, очевидно, являющейся следствием стремления некоторых "власть имущих" конструкторов и примыкающих к ним лиц, любыми средствами обеспечить за собой вредную монополию в опытном самолетостроении, исключающую весьма полезное соревнование авиационных конструкторов.</w:t>
      </w:r>
    </w:p>
    <w:p w14:paraId="1EFA97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сего времени нет ни одобрения проекта, нет и обоснованного, мотивированного отклонения его. Гробовое молчание. Как будто проект мы выбросили в бездну.</w:t>
      </w:r>
    </w:p>
    <w:p w14:paraId="0E9F13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таком положении отпадает всякое желание заниматься дальнейшей творческой конструкторской работой в авиации, хотя к такой работе я приучился и приобрел некоторые навыки, работая по несколько лет у таких конструкторов, как Д.П. Григорович и Н.Н. Поликарпов, непосредственно участвуя в создании их опытных машин.</w:t>
      </w:r>
    </w:p>
    <w:p w14:paraId="07C1C8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таком положении становится бессмысленным предлагать другие проекты, хотя и есть что предложить.</w:t>
      </w:r>
    </w:p>
    <w:p w14:paraId="303AB5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Находясь в Иркутске на заводе N 39, куда я был направлен отделом кадров НКАП для временной работы, я не могу добиться личной связи с Шахуриным по вопросу о проекте ДПИ. На телеграмму, адресованную Шахурину и посланную ему из Казани, где нахожусь в настоящее время в командировке на заводе N 22, ответа не получил.</w:t>
      </w:r>
    </w:p>
    <w:p w14:paraId="576360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Иосиф Виссарионович, к Вам обращаюсь я с просьбой - вытащить проект ДПИ из недр НКАП, дать о нем объективное решение и, в случае положительного решения, ускорить его реализацию, создав соответствующие условия для работы.</w:t>
      </w:r>
    </w:p>
    <w:p w14:paraId="1A7264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Вашей помощи будет сколочен сильный коллектив из старых опытных и способных молодых специалистов, работа будет выполнена в минимальные сроки и с минимальными затратами государственных средств (2860,79).</w:t>
      </w:r>
    </w:p>
    <w:p w14:paraId="317A1C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F0B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вышел приказ НКАП N 131с:</w:t>
      </w:r>
    </w:p>
    <w:p w14:paraId="549A66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организации производственной базы в системе НКАП по изготовлению дефицитного инструмента" (1534,98).</w:t>
      </w:r>
    </w:p>
    <w:p w14:paraId="4251CA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Управляющему трестом Оргавиапром Лисицину организовать на площадях бывшего инструментального з-да № 2 пр-во спиральных сверл и слесарных тисков, сохранив з-д в системе треста под наименованием Инструментальный з-д № 4 Оргавиапрома (1535, 98).</w:t>
      </w:r>
    </w:p>
    <w:p w14:paraId="56E264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8EA4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вышло Постановление ГКО № 1308 О подготовке авиации к работе во время весенней распутицы. (7022, 127).</w:t>
      </w:r>
    </w:p>
    <w:p w14:paraId="2AB0BC4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26DA6"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1942 г. Приказ № 17 по ВИАМ с объявлением приказа № 39 НКАП СССР об организации филиала института по материалам и заменителям в Москве</w:t>
      </w:r>
    </w:p>
    <w:p w14:paraId="2A855A90"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58F0174F"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Объявляю для сведения приказ народного комиссара авиационной промышленности т. Шахурина А. И.</w:t>
      </w:r>
    </w:p>
    <w:p w14:paraId="0DBB191B"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p w14:paraId="5DBEC76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 № 39 народного комиссара авиационной промышленности СССР.</w:t>
      </w:r>
    </w:p>
    <w:p w14:paraId="7AF45C6F"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r w:rsidRPr="008A2E5A">
        <w:rPr>
          <w:rFonts w:ascii="Times New Roman" w:hAnsi="Times New Roman"/>
          <w:color w:val="0070C0"/>
          <w:sz w:val="16"/>
          <w:szCs w:val="16"/>
        </w:rPr>
        <w:tab/>
        <w:t>12 февраля 1942 г.</w:t>
      </w:r>
    </w:p>
    <w:p w14:paraId="0B8AFA00"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 организации в Москве филиала ВИАМ НКАП по материалам и заменителям</w:t>
      </w:r>
    </w:p>
    <w:p w14:paraId="6DA58639"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ВИАМ т. Туманову А. Т. Организовать в г. Москве филиал института, поставив перед ним следующие основные задачи:</w:t>
      </w:r>
    </w:p>
    <w:p w14:paraId="021B29B4"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оперативное разрешение вопросов по внедрению материалов-заменителей в авиапромышленности и установление их основных характеристик;</w:t>
      </w:r>
    </w:p>
    <w:p w14:paraId="671B8E91"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техническая помощь развертывающимся производствам и ремонтным базам НКАП и ГУ ВВС КА;</w:t>
      </w:r>
    </w:p>
    <w:p w14:paraId="27394904"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пересмотр и составление технических условий на заменители и новые материалы.</w:t>
      </w:r>
    </w:p>
    <w:p w14:paraId="5BB2DDFE"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 Разрешить начальнику ВИАМ т. Туманову:</w:t>
      </w:r>
    </w:p>
    <w:p w14:paraId="77FB344F"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вызвать из г. Куйбышева 50 специалистов из числа сотрудников института. Комплектование штата вспомогательными работниками (техниками, лаборантами, препаратами) провести в основном за счет бывших работников ВИАМ, находящихся в Москве;</w:t>
      </w:r>
    </w:p>
    <w:p w14:paraId="7B12AF22"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перевести из г. Куйбышева необходимое количество лабораторного оборудования для Московского филиала.</w:t>
      </w:r>
    </w:p>
    <w:p w14:paraId="16D5B60C"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Транспортного управления НКАП т. Супрун С. Н. оформить получение для ВИАМа 10 вагонов для перевозки вышеуказанного оборудования из г. Куйбышева в Москву, обеспечив доставку их не позднее 25 февраля 1942 г.</w:t>
      </w:r>
    </w:p>
    <w:p w14:paraId="1FB5A63B"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Утвердить Положение о Московском филиале Всесоюзного научно-исследовательского института авиационных материалов в прилагаемой редакции.</w:t>
      </w:r>
    </w:p>
    <w:p w14:paraId="16B6DDEF"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 А. И. Шахурин</w:t>
      </w:r>
    </w:p>
    <w:p w14:paraId="006CCBA8" w14:textId="77777777" w:rsidR="00CD7517" w:rsidRPr="008A2E5A" w:rsidRDefault="00CD7517" w:rsidP="00CD7517">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§II</w:t>
      </w:r>
      <w:proofErr w:type="gramEnd"/>
    </w:p>
    <w:p w14:paraId="68CD977D"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данным приказом народного комиссара авиационной промышленности приказываю:</w:t>
      </w:r>
    </w:p>
    <w:p w14:paraId="32397DBD"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организовать в г. Москве на площадях института филиал Всесоюзного научно-исследовательского института авиационных материалов;</w:t>
      </w:r>
    </w:p>
    <w:p w14:paraId="62998D1B"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сотрудников института, переведенных из Куйбышева на работу в Москву, зачислить в штат филиала (приложение № 1).</w:t>
      </w:r>
    </w:p>
    <w:p w14:paraId="37C72FA8" w14:textId="77777777" w:rsidR="00CD7517" w:rsidRPr="008A2E5A" w:rsidRDefault="00CD7517" w:rsidP="00CD7517">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§III</w:t>
      </w:r>
      <w:proofErr w:type="gramEnd"/>
    </w:p>
    <w:p w14:paraId="6F7C1A9E"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 Вагаеву укомплектовать штат филиала сотрудниками в соответствии с утвержденным мною штатным расписанием.</w:t>
      </w:r>
    </w:p>
    <w:p w14:paraId="0716106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ВИАМ</w:t>
      </w:r>
      <w:r w:rsidRPr="008A2E5A">
        <w:rPr>
          <w:rFonts w:ascii="Times New Roman" w:hAnsi="Times New Roman"/>
          <w:color w:val="0070C0"/>
          <w:sz w:val="16"/>
          <w:szCs w:val="16"/>
        </w:rPr>
        <w:tab/>
        <w:t>А. Т. Туманов</w:t>
      </w:r>
    </w:p>
    <w:p w14:paraId="747FA2DE"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 в г. Самаре. Ф. P-124. On. 4-6. Д. 23. Л. 15-16. Подлинник. Машинопись (23911).</w:t>
      </w:r>
    </w:p>
    <w:p w14:paraId="5F9816FB" w14:textId="77777777" w:rsidR="00CD7517" w:rsidRPr="008A2E5A" w:rsidRDefault="00CD7517" w:rsidP="00CD7517">
      <w:pPr>
        <w:spacing w:after="0" w:line="240" w:lineRule="auto"/>
        <w:jc w:val="both"/>
        <w:rPr>
          <w:rFonts w:ascii="Times New Roman" w:hAnsi="Times New Roman"/>
          <w:color w:val="0070C0"/>
          <w:sz w:val="16"/>
          <w:szCs w:val="16"/>
        </w:rPr>
      </w:pPr>
    </w:p>
    <w:p w14:paraId="5932B2E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905FE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5BD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 в письме И.В.С. маршал Г. И. Кулик напоминал, что предлагал за несколько месяцев перед войной перенести пороховую снаряжательную стрелкового вооружения промышленности на работу по мобплану. Это предложение тогда отвергли (10560).</w:t>
      </w:r>
    </w:p>
    <w:p w14:paraId="654F49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2854B"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 Кулик уже не маршал и не герой — обоих званий его лишили два дня назад писал письмо:</w:t>
      </w:r>
    </w:p>
    <w:p w14:paraId="1A805C06"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Сталин!</w:t>
      </w:r>
    </w:p>
    <w:p w14:paraId="49571A7C" w14:textId="2A9FE38D"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Когда я был у Вас в последний раз, Вы мне сказали относительно моего руководства вооружением. Я считаю себя ответственным за вооружение с июня 37-го года по 20 июня </w:t>
      </w:r>
      <w:proofErr w:type="gramStart"/>
      <w:r w:rsidRPr="008127F8">
        <w:rPr>
          <w:rFonts w:ascii="Times New Roman" w:hAnsi="Times New Roman"/>
          <w:color w:val="000000" w:themeColor="text1"/>
          <w:sz w:val="16"/>
          <w:szCs w:val="16"/>
        </w:rPr>
        <w:t>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как за количество, так и за качество, 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 я проводил всю систему вооружения новыми образцами. Прошу назначить авторитетную беспристрастную комиссию, которая должна установить, сколько я принял вооружения от своих предшественников и сколько я сдал. Как была обеспечена армия согласно плану развертывания по утвержденным Правительством нормам с учетом плана заказа 41-го года, качество вооружения новых систем, принятых на вооружение армии под моим руководством. Особенно прошу вскрыть системы прохода плана заказов на каждый год: что я предлагал и что фактически утверждали и что мы получали; как общее правило, нам давали после долгих мытарств, которые длились не менее 4–5 месяцев в наркоматах, Госплане, в разных комиссиях и подкомиссиях правительственных и в Комитете Обороны, не более 60–65 процентов от просимого нами.</w:t>
      </w:r>
    </w:p>
    <w:p w14:paraId="2D9FEBC0"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Промышленность тоже урезала этот утвержденный план своими недоделками, которые исчислялись 20–30 процентов, смотря по какому виду вооружения. Я же отстаивал интересы армии упорно, по этому вопросу можно найти десятки моих жалоб, просьб ежегодно в аппарате Госплана, Комитете Обороны, Госконтроле, в наркоматах промышленности и у Вас в ЦК ВКП. Я думаю, никто не сможет отрицать, как я защищал интересы армии, где проходил наш план заказов, из числа членов Правительства.</w:t>
      </w:r>
    </w:p>
    <w:p w14:paraId="6B240362" w14:textId="5D6B4848"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был удивлен, когда Вы мне сказали насчет ППШ, что мы мало просили, а комиссия (председателем был т. Молотов) по предложению т. Вознесенского нам срезала. В этой же комиссии были срезаны и винтовки. Я защищал, бывший нарком т. Тимошенко меня не поддержал, 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 в этих вопросах мало разбирался, и я остался в одиночестве. Я только говорю Вам об одном примере. Можно найти десятки примеров, когда мне удавалось доложить Вам, и Вы проводили постановлением ЦК ВКП по отдельному виду вооружения, а когда начинался год, численность срезалась на ссылку, что нет металла.</w:t>
      </w:r>
    </w:p>
    <w:p w14:paraId="5FA2B040"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предлагал за несколько месяцев перед войной перевести пороховую, снаряжательную, стрелкового вооружения промышленность по мобплану. Мое предложение есть в ЦК ВКП, у т. Молотова и в Комитете Обороны, но тогда отвергли, а также предлагал большую программу производства танков на 40-й и 41-й год, она тоже не прошла, этот документ есть в Комитете Обороны за моей и т. Федоренко подписью, тоже не прошел за недостатком брони и моторов.</w:t>
      </w:r>
    </w:p>
    <w:p w14:paraId="7F506595"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Сталин! Прошу Вас приказать детально вскрыть: кто же был виновником торможения вооружения, и Вы увидите, только не НКО» (17348).</w:t>
      </w:r>
    </w:p>
    <w:p w14:paraId="4A55F944" w14:textId="77777777" w:rsidR="00F06FA1" w:rsidRPr="008127F8" w:rsidRDefault="00F06FA1" w:rsidP="001E0A84">
      <w:pPr>
        <w:spacing w:after="0" w:line="240" w:lineRule="auto"/>
        <w:jc w:val="both"/>
        <w:rPr>
          <w:rFonts w:ascii="Times New Roman" w:hAnsi="Times New Roman"/>
          <w:color w:val="000000" w:themeColor="text1"/>
          <w:sz w:val="16"/>
          <w:szCs w:val="16"/>
        </w:rPr>
      </w:pPr>
    </w:p>
    <w:p w14:paraId="5F489485"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w:t>
      </w:r>
    </w:p>
    <w:p w14:paraId="7E76A4F4"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188 – 189</w:t>
      </w:r>
    </w:p>
    <w:p w14:paraId="28A32166"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19.II-42 г. № 1291</w:t>
      </w:r>
    </w:p>
    <w:p w14:paraId="15450A2B" w14:textId="3B9AF915"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14A3CB5F"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Срочно.</w:t>
      </w:r>
    </w:p>
    <w:p w14:paraId="6ABDB461"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ABDE846"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328482A6"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212-мсс</w:t>
      </w:r>
    </w:p>
    <w:p w14:paraId="2094DD25"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9F488D2"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w:t>
      </w:r>
    </w:p>
    <w:p w14:paraId="0531927F"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формировании подвижных рембаз".</w:t>
      </w:r>
    </w:p>
    <w:p w14:paraId="59CDBA12" w14:textId="4E47E5E2"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15 февраля 1942 года № 1287-сс о формировании для Красной Армии подвижных ремонтных баз по полевому ремонту танков, автомобилей и тракторов, ПРИКАЗЫВАЮ:</w:t>
      </w:r>
      <w:r w:rsidR="008127F8">
        <w:rPr>
          <w:rFonts w:ascii="Times New Roman" w:hAnsi="Times New Roman"/>
          <w:color w:val="000000" w:themeColor="text1"/>
          <w:sz w:val="16"/>
          <w:szCs w:val="16"/>
        </w:rPr>
        <w:t xml:space="preserve">  </w:t>
      </w:r>
    </w:p>
    <w:p w14:paraId="44683DA0" w14:textId="52EAD3C9"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Наркомтанкопрома: Кировского – т. Махонину, № 174 – т. Кацнельсону, СТЗ – т. Задорожному, № 264 – т. Кордунеру, № 183 – т. Зальцману, № 76 – т. Кочеткову, № 112 – т. Михалеву, № 173 – т. Шору, № 38 – т. Рубинчику, № 37 – тов. Фрезерову сформировать до 15.III подвижные ремонтные базы (ПРБ) для полевого ремонта танков, автомобилей и тракторов в количествах и в сроки, согласно приложению № 1. Формирование подвижных рембаз провести по штатам и табелям НКО за №№ 026/131 и 026/132.</w:t>
      </w:r>
      <w:r w:rsidR="008127F8">
        <w:rPr>
          <w:rFonts w:ascii="Times New Roman" w:hAnsi="Times New Roman"/>
          <w:color w:val="000000" w:themeColor="text1"/>
          <w:sz w:val="16"/>
          <w:szCs w:val="16"/>
        </w:rPr>
        <w:t xml:space="preserve">  </w:t>
      </w:r>
    </w:p>
    <w:p w14:paraId="6E10EAFB" w14:textId="42F0E7DE"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указанных заводов произвести за счет своих ресурсов укомплектование формируемых подвижных рембаз всем необходимым оборудованием, инструментом, приспособлениями и приборами, обеспечивающими ремонт танков, тракторов и автомобилей, а также выделить специалистов ремонтников, в том числе руководящий технический персонал в количестве и сроки, согласно приложению № 2.</w:t>
      </w:r>
      <w:r w:rsidR="008127F8">
        <w:rPr>
          <w:rFonts w:ascii="Times New Roman" w:hAnsi="Times New Roman"/>
          <w:color w:val="000000" w:themeColor="text1"/>
          <w:sz w:val="16"/>
          <w:szCs w:val="16"/>
        </w:rPr>
        <w:t xml:space="preserve">  </w:t>
      </w:r>
    </w:p>
    <w:p w14:paraId="1A138071" w14:textId="1308347C"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Директорам перечисленных ниже заводов обеспечить рембазы, формируемые заводами №№ 174, 264, 76 и 173, необходимой технической документацией, запасными частями, специальным инструментом и специальными приспособлениями для ремонта танков:</w:t>
      </w:r>
      <w:r w:rsidR="008127F8">
        <w:rPr>
          <w:rFonts w:ascii="Times New Roman" w:hAnsi="Times New Roman"/>
          <w:color w:val="000000" w:themeColor="text1"/>
          <w:sz w:val="16"/>
          <w:szCs w:val="16"/>
        </w:rPr>
        <w:t xml:space="preserve">  </w:t>
      </w:r>
    </w:p>
    <w:p w14:paraId="79334032" w14:textId="693EBD1A"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Кировскому заводу (т. Махонин) – 1 рембазу для "КВ", формируемую заводом № 174;</w:t>
      </w:r>
      <w:r w:rsidR="008127F8">
        <w:rPr>
          <w:rFonts w:ascii="Times New Roman" w:hAnsi="Times New Roman"/>
          <w:color w:val="000000" w:themeColor="text1"/>
          <w:sz w:val="16"/>
          <w:szCs w:val="16"/>
        </w:rPr>
        <w:t xml:space="preserve">  </w:t>
      </w:r>
    </w:p>
    <w:p w14:paraId="3E32B381" w14:textId="695D049D"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СТЗ (т. Задорожный) – 1 рембазу для "Т-34", формируемую заводом № 264;</w:t>
      </w:r>
      <w:r w:rsidR="008127F8">
        <w:rPr>
          <w:rFonts w:ascii="Times New Roman" w:hAnsi="Times New Roman"/>
          <w:color w:val="000000" w:themeColor="text1"/>
          <w:sz w:val="16"/>
          <w:szCs w:val="16"/>
        </w:rPr>
        <w:t xml:space="preserve">  </w:t>
      </w:r>
    </w:p>
    <w:p w14:paraId="3A1D20B9" w14:textId="40C0DA1D"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 183 (т. Зальцман) – 1 рембазу для "Т-34", формируемую заводом № 173;</w:t>
      </w:r>
      <w:r w:rsidR="008127F8">
        <w:rPr>
          <w:rFonts w:ascii="Times New Roman" w:hAnsi="Times New Roman"/>
          <w:color w:val="000000" w:themeColor="text1"/>
          <w:sz w:val="16"/>
          <w:szCs w:val="16"/>
        </w:rPr>
        <w:t xml:space="preserve">  </w:t>
      </w:r>
    </w:p>
    <w:p w14:paraId="0A7D3047" w14:textId="5D8DB840"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 112 (т. Михалев) – 1 рембазу для "Т-34", формируемую заводом № 76.</w:t>
      </w:r>
      <w:r w:rsidR="008127F8">
        <w:rPr>
          <w:rFonts w:ascii="Times New Roman" w:hAnsi="Times New Roman"/>
          <w:color w:val="000000" w:themeColor="text1"/>
          <w:sz w:val="16"/>
          <w:szCs w:val="16"/>
        </w:rPr>
        <w:t xml:space="preserve">  </w:t>
      </w:r>
    </w:p>
    <w:p w14:paraId="7FB1C9D0" w14:textId="26B5AB0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 76 т. Кочеткову обеспечить рембазы, формируемые заводами №№ 183 и 112 необходимой технической документацией, запасными частями, специальным инструментом и специальными приспособлениями для ремонта дизелей В-2-34.</w:t>
      </w:r>
      <w:r w:rsidR="008127F8">
        <w:rPr>
          <w:rFonts w:ascii="Times New Roman" w:hAnsi="Times New Roman"/>
          <w:color w:val="000000" w:themeColor="text1"/>
          <w:sz w:val="16"/>
          <w:szCs w:val="16"/>
        </w:rPr>
        <w:t xml:space="preserve">  </w:t>
      </w:r>
    </w:p>
    <w:p w14:paraId="62982F57" w14:textId="12D05018"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Учесть, что указанным постановлением ГКО обязал:</w:t>
      </w:r>
      <w:r w:rsidR="008127F8">
        <w:rPr>
          <w:rFonts w:ascii="Times New Roman" w:hAnsi="Times New Roman"/>
          <w:color w:val="000000" w:themeColor="text1"/>
          <w:sz w:val="16"/>
          <w:szCs w:val="16"/>
        </w:rPr>
        <w:t xml:space="preserve">  </w:t>
      </w:r>
    </w:p>
    <w:p w14:paraId="035D0356" w14:textId="1DD52598"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НКО (ГАБТУ КА) выделять в необходимых случаях автомобили для подвижных мастерских;</w:t>
      </w:r>
      <w:r w:rsidR="008127F8">
        <w:rPr>
          <w:rFonts w:ascii="Times New Roman" w:hAnsi="Times New Roman"/>
          <w:color w:val="000000" w:themeColor="text1"/>
          <w:sz w:val="16"/>
          <w:szCs w:val="16"/>
        </w:rPr>
        <w:t xml:space="preserve">  </w:t>
      </w:r>
    </w:p>
    <w:p w14:paraId="2255AED8"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НКО выделить 70% личного состава, нужного для укомплектования рембаз, кроме работников, выделяемых заводами по приложению № 2.</w:t>
      </w:r>
    </w:p>
    <w:p w14:paraId="4C215B93"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36C2FEB4"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71B2133C" w14:textId="21C2FB74"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w:t>
      </w:r>
      <w:r w:rsidR="008127F8">
        <w:rPr>
          <w:rFonts w:ascii="Times New Roman" w:hAnsi="Times New Roman"/>
          <w:color w:val="000000" w:themeColor="text1"/>
          <w:sz w:val="16"/>
          <w:szCs w:val="16"/>
        </w:rPr>
        <w:t xml:space="preserve">  </w:t>
      </w:r>
    </w:p>
    <w:p w14:paraId="5798C873"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187</w:t>
      </w:r>
    </w:p>
    <w:p w14:paraId="1B4ED419"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ня. 17.II-42 г. № 1291</w:t>
      </w:r>
    </w:p>
    <w:p w14:paraId="3A2B8146" w14:textId="2B6FFB34"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320B2B21" w14:textId="0BD45A49"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1</w:t>
      </w:r>
      <w:r w:rsidR="008127F8">
        <w:rPr>
          <w:rFonts w:ascii="Times New Roman" w:hAnsi="Times New Roman"/>
          <w:color w:val="000000" w:themeColor="text1"/>
          <w:sz w:val="16"/>
          <w:szCs w:val="16"/>
        </w:rPr>
        <w:t xml:space="preserve">  </w:t>
      </w:r>
    </w:p>
    <w:p w14:paraId="71825C83"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НКТП № 212-мсс от 18/II-42 г.</w:t>
      </w:r>
    </w:p>
    <w:p w14:paraId="31241164"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ПОДВИЖНЫХ РЕМОНТНЫХ БАЗ,</w:t>
      </w:r>
    </w:p>
    <w:p w14:paraId="4FBBF049" w14:textId="2B0581DB"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ПОДЛЕЖАЩИХ ФОРМИРОВАНИЮ ЗАВОДАМИ НАРКОМТАНКОПРОМА.</w:t>
      </w:r>
      <w:r w:rsidR="008127F8">
        <w:rPr>
          <w:rFonts w:ascii="Times New Roman" w:hAnsi="Times New Roman"/>
          <w:color w:val="000000" w:themeColor="text1"/>
          <w:sz w:val="16"/>
          <w:szCs w:val="16"/>
        </w:rPr>
        <w:t xml:space="preserve">  </w:t>
      </w:r>
    </w:p>
    <w:p w14:paraId="77FDFAE1" w14:textId="56995A43"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Отп. 1 экз.</w:t>
      </w:r>
      <w:r w:rsidR="008127F8">
        <w:rPr>
          <w:rFonts w:ascii="Times New Roman" w:hAnsi="Times New Roman"/>
          <w:color w:val="000000" w:themeColor="text1"/>
          <w:sz w:val="16"/>
          <w:szCs w:val="16"/>
        </w:rPr>
        <w:t xml:space="preserve">  </w:t>
      </w:r>
    </w:p>
    <w:p w14:paraId="658E8C30" w14:textId="372F90B1"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Лукьянов</w:t>
      </w:r>
      <w:r w:rsidR="008127F8">
        <w:rPr>
          <w:rFonts w:ascii="Times New Roman" w:hAnsi="Times New Roman"/>
          <w:color w:val="000000" w:themeColor="text1"/>
          <w:sz w:val="16"/>
          <w:szCs w:val="16"/>
        </w:rPr>
        <w:t xml:space="preserve">  </w:t>
      </w:r>
    </w:p>
    <w:p w14:paraId="28A4F06B" w14:textId="77777777" w:rsidR="00032BF0" w:rsidRPr="008127F8" w:rsidRDefault="00032B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2 настоящего приказа не публикуется (18426).</w:t>
      </w:r>
    </w:p>
    <w:p w14:paraId="5AA810B0" w14:textId="77777777" w:rsidR="00032BF0" w:rsidRPr="008127F8" w:rsidRDefault="00032BF0" w:rsidP="001E0A84">
      <w:pPr>
        <w:spacing w:after="0" w:line="240" w:lineRule="auto"/>
        <w:jc w:val="both"/>
        <w:rPr>
          <w:rFonts w:ascii="Times New Roman" w:hAnsi="Times New Roman"/>
          <w:color w:val="000000" w:themeColor="text1"/>
          <w:sz w:val="16"/>
          <w:szCs w:val="16"/>
        </w:rPr>
      </w:pPr>
    </w:p>
    <w:p w14:paraId="7C95054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w:t>
      </w:r>
      <w:r w:rsidRPr="008127F8">
        <w:rPr>
          <w:rFonts w:ascii="Times New Roman" w:hAnsi="Times New Roman"/>
          <w:color w:val="000000" w:themeColor="text1"/>
          <w:sz w:val="16"/>
          <w:szCs w:val="16"/>
        </w:rPr>
        <w:softHyphen/>
        <w:t>ля 1942 г. приказом № М-39 НКСМ предписывалось вывести ГМЗ из состава завода «Крас</w:t>
      </w:r>
      <w:r w:rsidRPr="008127F8">
        <w:rPr>
          <w:rFonts w:ascii="Times New Roman" w:hAnsi="Times New Roman"/>
          <w:color w:val="000000" w:themeColor="text1"/>
          <w:sz w:val="16"/>
          <w:szCs w:val="16"/>
        </w:rPr>
        <w:softHyphen/>
        <w:t>ная Этна», выделить его в самостоятельное предприятие, назна</w:t>
      </w:r>
      <w:r w:rsidRPr="008127F8">
        <w:rPr>
          <w:rFonts w:ascii="Times New Roman" w:hAnsi="Times New Roman"/>
          <w:color w:val="000000" w:themeColor="text1"/>
          <w:sz w:val="16"/>
          <w:szCs w:val="16"/>
        </w:rPr>
        <w:softHyphen/>
        <w:t>чить директором М.Г. Соловьёва, - бывшего директора ЛМЗ [5.22], и перевести с ГАЗа на ГМЗ всех работников, эвакуирован</w:t>
      </w:r>
      <w:r w:rsidRPr="008127F8">
        <w:rPr>
          <w:rFonts w:ascii="Times New Roman" w:hAnsi="Times New Roman"/>
          <w:color w:val="000000" w:themeColor="text1"/>
          <w:sz w:val="16"/>
          <w:szCs w:val="16"/>
        </w:rPr>
        <w:softHyphen/>
        <w:t>ных с мотозаводов других городов [5.23] (11429).</w:t>
      </w:r>
    </w:p>
    <w:p w14:paraId="7BF870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953D5" w14:textId="77777777" w:rsidR="00A04C29" w:rsidRPr="008127F8" w:rsidRDefault="00A04C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 Приказ № с-100ц/М-114/с Наркома путей сообщения СССР Л.Кагановича и Наркома среднего машиностроения СССР С. Акопова «О передаче Наркомсредмашу завода НКПС им. Куйбышева (ст. Безымянка)» (о передаче Наркомсредмашу (Куйбышевскому подшипниковому заводу) завода НКПС им. Куйбышева (ст. Безымянка) для организации производства танковых и авиационных подшипников).</w:t>
      </w:r>
    </w:p>
    <w:p w14:paraId="51E1D823" w14:textId="77777777" w:rsidR="00A04C29" w:rsidRPr="008127F8" w:rsidRDefault="00A04C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Подлинник (рассекречено).</w:t>
      </w:r>
    </w:p>
    <w:p w14:paraId="602D94AC" w14:textId="77777777" w:rsidR="00A04C29" w:rsidRPr="008127F8" w:rsidRDefault="00A04C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 1884, оп. 49, д. 1500а, лл. 312 – 314. (18959).</w:t>
      </w:r>
    </w:p>
    <w:p w14:paraId="4FAD8225" w14:textId="77777777" w:rsidR="00A04C29" w:rsidRPr="008127F8" w:rsidRDefault="00A04C29" w:rsidP="001E0A84">
      <w:pPr>
        <w:spacing w:after="0" w:line="240" w:lineRule="auto"/>
        <w:jc w:val="both"/>
        <w:rPr>
          <w:rFonts w:ascii="Times New Roman" w:hAnsi="Times New Roman"/>
          <w:color w:val="000000" w:themeColor="text1"/>
          <w:sz w:val="16"/>
          <w:szCs w:val="16"/>
        </w:rPr>
      </w:pPr>
    </w:p>
    <w:p w14:paraId="689738F1"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К 18 февраля 1942 года было подготовлено два танка КВ-1. Обе машины имели сварные башни, впрочем, на крыше машины №6728 закрепили балласт, так что реальная масса была равнозначна танкам с литой башней. На танке №6728 установили ведущие колеса, где число зубьев венца снизили с 16 до 14, также изменили передаточные числа бортовых передач. Впрочем, полным набором изменений снабдили другой танк, с серийным номером 10033. Он получил мотор В-2КФ с пневматическим регулятором Настенко, мощность выросла до 650 лошадиных сил. Впрочем, именно с этим танком и начались первые проблемы. 18 января 1942 года машина вышла на пробег, где выяснилось, что температура масла достигла 125 градусов. Можно представить, что было бы летом. Мотор В-2КФ №4484 проработал всего 20 моточасов. Попытка исправить ситуацию путем замены радиаторов и других правок системы охлаждения результатов не принесли. На повторном пробеге перегрев повторился, поэтому 20 февраля мотор с танка сняли (20404).</w:t>
      </w:r>
    </w:p>
    <w:p w14:paraId="0C706340"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rPr>
      </w:pPr>
    </w:p>
    <w:p w14:paraId="4E66A25A"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18 февраля 1942 года танк М3 с регистрационным номером U.S.A. W-304293, выпущенный Детройтским Арсеналом, был отправлен на НИБТ Полигон. Тем не менее, его ходовые испытания начались только 1 мая. Задержка была связана с тем, что филиал НИБТ Полигона в Казани, куда его эвакуировали, на тот момент был загружен другими заданиями. Точно также был вынужден ждать и М3л, который испытывался в то же самое время.</w:t>
      </w:r>
    </w:p>
    <w:p w14:paraId="526F3986"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Первым, на что обратили внимание советские испытатели, стал внутренний объём боевого отделения. В отчёте указывалось, что в нём вполне реально можно было разместить 10 десантников вместе с личным оружием (пистолетами-пулемётами ППШ), и при этом сохранялась возможность вести огонь из танкового вооружения. М3Ср действительно был просторным танком. Больше всего свободного места оказалось в распоряжении заряжающего 75-мм пушки, в других уголках машины экипаж располагался довольно плотно. На танках позднего выпуска бортовые люки ликвидировали, так что возможная выгрузка десанта усложнилась.</w:t>
      </w:r>
    </w:p>
    <w:p w14:paraId="0FFEB9ED"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Эта же машина. Она относилась к танкам ранних производственных серий </w:t>
      </w:r>
    </w:p>
    <w:p w14:paraId="3A2F7052"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Оценка корпуса М3Ср оказалась вполне предсказуемой:</w:t>
      </w:r>
    </w:p>
    <w:p w14:paraId="48F4CE9C"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«Броневой корпус танка как по габаритам, так и по своей конфигурации не является современным.</w:t>
      </w:r>
    </w:p>
    <w:p w14:paraId="72A701D2"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Чрезмерно большая высота танка и вертикальное расположение броневых плит (за исключением лобовых) создают неблагоприятные условия для защиты от артиллерийского огня противника».</w:t>
      </w:r>
    </w:p>
    <w:p w14:paraId="0BFDDC9D"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Ещё до начала испытаний не особо лестных отзывов удостоился двигатель. Дело было не в его надёжности (с этим как раз всё оказалось хорошо), а в конструкции и топливе, на котором американский танк работал. Слишком большая высота мотора явилась причиной увеличения размеров моторного отделения. Критике подверглось и использование бензина с октановым числом 91. Однозначным выбором был дизельный мотор. Весной 1942 года руководство ГАБТУ КА запросило Medium Tank M3A1, которые оснащались дизельным мотором Guiberson T-1400–2. Правда, от этой идеи быстро отказались, поскольку результаты испытаний оказались крайне противоречивыми. Что же касается модификаций M3A3 и M3A5, то их в СССР даже не рассматривали, поскольку к тому моменту стало известно о Medium Tank M4A2. Эта машина выглядела куда более интересной.</w:t>
      </w:r>
    </w:p>
    <w:p w14:paraId="25052850"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Конструкция корпуса испытателям с самого начала не понравилась. Танк получился слишком высоким </w:t>
      </w:r>
    </w:p>
    <w:p w14:paraId="51E83E28"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отличие от двигателя, трансмиссионный блок и систему охлаждения американского танка испытатели похвалили. Вполне удачной была признана и конструкция резинометаллических траков. Похвалы удостоилась подвеска с буферными пружинами в качестве упругих элементов. Правда, конструкция поддерживающих катков испытателям не очень понравилась, поскольку те быстро забивались грязью.</w:t>
      </w:r>
    </w:p>
    <w:p w14:paraId="55A56E1B"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Обратной стороной медали были большие внутренние пространства, позволявшие, в теории, разместить в танке до 10 десантников </w:t>
      </w:r>
    </w:p>
    <w:p w14:paraId="467DD906"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Отдельного изучения удостоилась 75-мм пушка M2, которая устанавливалась в спонсоне справа по ходу движения. Помимо необычного размещения орудия, танкистов также заинтересовал перископический прицел. Сетка прицела оказалась градуирована только под бронебойные снаряды, которых на момент испытаний у НИБТ Полигона не было. Отсутствовали метки для осколочно-фугасных снарядов и для прицела 37-мм пушки M24, что испытателям, разумеется, не понравилось. Не нашлось меток и для спаренного пулемёта.</w:t>
      </w:r>
    </w:p>
    <w:p w14:paraId="64FBA580"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Несмотря на претензии к прицельным приспособлениям и отсутствию бронебойных снарядов к 75-мм пушке, общая оценка вооружения оказалась вполне удовлетворительной. Вооружение в корпусе и в башне было признано вполне удобным для использования. То же самое касалось и укладок патронов. Критике подверглась только спарка курсовых пулемётов, поскольку никаких прицельных приспособлений для них не было. К слову, американские военные также были от них не в восторге.</w:t>
      </w:r>
    </w:p>
    <w:p w14:paraId="2509160A"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Схема обзорности из танка </w:t>
      </w:r>
    </w:p>
    <w:p w14:paraId="689F3EBE"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Весьма интересная ситуация сложилась с оценкой обзорности. С одной стороны, ничего нового в конструкции перископических приборов испытатели не нашли. По их оценке, обзорность обеспечивалась на удовлетворительном уровне. С другой стороны, эта самая удовлетворительная обзорность американского танка была куда лучше, чем обзорность у Т-34, не говоря уже о КВ-1.</w:t>
      </w:r>
    </w:p>
    <w:p w14:paraId="4036F94F"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Ходовые испытания М3Ср были разделены на несколько этапов. Первые краткосрочные испытания прошли с 1 по 13 мая 1942 года. Танк прошёл 285 километров, из них 156 — по шоссе, 74 — по просёлку и 55 — по целине. Максимальная скорость, 34,1 км/ч, испытателей не впечатлила, особенно с учётом того, что удельная мощность танка составляла 14,8 л.с. на тонну. Для сравнения, у Т-34 этот же показатель составлял 16,6 л.с. на тонну, а максимальная скорость — 54 км/ч. Причиной столь большой разницы испытатели сочли большие передаточные отношения КПП. На коротких участках танк развивал скорость 30-34 км/ч, а средняя скорость по шоссе составляла 25,8 км/ч. Двигатель устойчиво работал в диапазоне 1500-2200 оборотов в минуту. Средний расход топлива при движении по шоссе составил 297 литров на 100 километров.</w:t>
      </w:r>
    </w:p>
    <w:p w14:paraId="18070FF6"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бездорожье танк застревал только в случае, если глубина грязи превышала величину клиренса </w:t>
      </w:r>
    </w:p>
    <w:p w14:paraId="61FC160C"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ходе езды по просёлку средняя скорость движения составила 17 км/ч, при этом на отдельных ровных участках она возрастала до 25-30 км/ч. Расход топлива при этом увеличился до 441 литра на 100 километров. Средняя скорость движения по целине упала до 12 км/ч. Впрочем, на некоторых участках она поднималась до 18-20 км/ч. Расход топлива здесь составил 570 литров на 100 километров. Запас хода по шоссе составил 224 километра, по просёлку — 151, по целине — 117. Эти показатели были гораздо большими, чем у М3л в тех же условиях. При прохождении целины выяснилось, что танк может преодолевать даже мягкие участки при условии, что глубина погружения гусениц не превышает величину клиренса танка.</w:t>
      </w:r>
    </w:p>
    <w:p w14:paraId="1EE6C7B7"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ходе испытаний температура масла в двигателе не превышала 60-65 градусов Цельсия.</w:t>
      </w:r>
    </w:p>
    <w:p w14:paraId="16888CE7"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преодолении косогора произошёл сброс гусеничной ленты </w:t>
      </w:r>
    </w:p>
    <w:p w14:paraId="0F923018"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Проблемы обнаружились в ходе преодоления подъёмов и крена. Резинометаллические траки T41, показавшие высокую живучесть при испытаниях, плохо сцеплялись с грунтом. Проблема была в плоской рабочей поверхности. Она ограничивала возможности танка по преодолению подъёмов, поэтому уклон круче 30 градусов танк преодолеть не мог. Предельный угол при движении по косогору составлял 26 градусов, дальше начиналось сползание, которое заканчивалось сбросом гусеничной ленты.</w:t>
      </w:r>
    </w:p>
    <w:p w14:paraId="764BC8B4"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Летом испытания продолжились. На сей раз программа была дополнена преодолением брода и ездой по болотистой местности. Высокое моторное отделение оказалось плюсом: при движении по броду его не заливало. В результате, М3Ср прошел там, где некоторые другие танки глохли. Заминка произошла на выезде из водоёма: машина зачерпнула воды и двигатель тут же заглох. Впрочем, на менее крутом берегу такой неприятности не произошло.</w:t>
      </w:r>
    </w:p>
    <w:p w14:paraId="545FA63D"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Совсем иначе танк повёл себя на болоте, показав наихудшую проходимость среди испытуемых машин. Пройдя 30 метров, танк сел на брюхо и застрял. Самостоятельно выбраться он не смог, пришлось вытаскивать его при помощи тягача.</w:t>
      </w:r>
    </w:p>
    <w:p w14:paraId="74794DF2" w14:textId="77777777" w:rsidR="001261E6" w:rsidRPr="008127F8" w:rsidRDefault="001261E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 100 метров участка болотистой местности танк преодолел чуть больше 30 </w:t>
      </w:r>
    </w:p>
    <w:p w14:paraId="6CB02A4F"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При первоначальной программе испытаний в 1000 километров за весну-лето 1942 года танк преодолел 1793 километра, из них по шоссе — 332, по просёлку — 1193, по целине — 227. За это время число поломок оказалось небольшим. Наименее надёжным оказалось электрооборудование: из 28 неполадок на него пришлось 13. Также отмечались схожие с М3л проблемы при запуске мотора, когда происходило подгорание патрубков. Один раз сломалась буферная пружина подвески. Надёжность машины была признана высокой, а время, необходимое для её обслуживания – минимальным. При этом отмечалось, что надёжность машины напрямую </w:t>
      </w:r>
      <w:r w:rsidRPr="008127F8">
        <w:rPr>
          <w:color w:val="000000" w:themeColor="text1"/>
          <w:sz w:val="16"/>
          <w:szCs w:val="16"/>
        </w:rPr>
        <w:lastRenderedPageBreak/>
        <w:t>зависит от правильности и своевременности обслуживания.</w:t>
      </w:r>
    </w:p>
    <w:p w14:paraId="3D53FA08" w14:textId="77777777" w:rsidR="001261E6" w:rsidRPr="008127F8" w:rsidRDefault="001261E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Несмотря на ряд отмеченных недостатков, испытатели не назвали американский танк неудачным. Правда, его не рекомендовали направлять в части, в которых на вооружении состояли отечественные машины. Слишком большой оказалась разница в методике обслуживания и используемом горючем (17705).</w:t>
      </w:r>
    </w:p>
    <w:p w14:paraId="59ABDCF2" w14:textId="77777777" w:rsidR="001261E6" w:rsidRPr="008127F8" w:rsidRDefault="001261E6" w:rsidP="001E0A84">
      <w:pPr>
        <w:pStyle w:val="12a"/>
        <w:shd w:val="clear" w:color="auto" w:fill="auto"/>
        <w:spacing w:after="0" w:line="240" w:lineRule="auto"/>
        <w:jc w:val="both"/>
        <w:rPr>
          <w:color w:val="000000" w:themeColor="text1"/>
          <w:sz w:val="16"/>
          <w:szCs w:val="16"/>
        </w:rPr>
      </w:pPr>
    </w:p>
    <w:p w14:paraId="31481A2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62086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D34878"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7C8FD0C6"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18 февраля наши войска продолжали вести активные боевые действия против немецко-фашистских войск.</w:t>
      </w:r>
    </w:p>
    <w:p w14:paraId="34492A13"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противник предпринял контратаку, двинув против нашей части танки и автоматчиков. Советские бойцы встретили вражеские танки и автоматчиков метким огнём, подбили 4 танка и уничтожили до 200 немецких солдат и офицеров. Понеся тяжёлые потери, противник отступил.</w:t>
      </w:r>
    </w:p>
    <w:p w14:paraId="75DFF556"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Обойдя укрепление противника, группа красноармейцев во главе с лейтенантом Подкиным (Западный фронт) выбила немцев из деревни Н. Противник потерял убитыми 40 солдат.</w:t>
      </w:r>
    </w:p>
    <w:p w14:paraId="2BD3EDAA"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 вражеских танка пытались атаковать наши позиции. Орудийный расчёт старшего сержанта Василия Андрушева несколькими выстрелами подбил один за другим два вражеских танка, третий танк повернул обратно.</w:t>
      </w:r>
    </w:p>
    <w:p w14:paraId="7C514B53"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объединённых партизанских отрядов Ленинградской области под командованием тт. В. и О. атаковали ночью немецкий гарнизон в одном населённом пункте. Подавив огневые точки противника, партизаны штыком и гранатой выбивали гитлеровцев из каждого дома. Большая группа немецких офицеров и солдат пыталась бежать, но попала в засаду и была полностью уничтожена. Ночной бой закончился полной победой партизан. Противник потерял убитыми 20 офицеров и 151 солдата. Захвачены трофеи: станковый пулемёт, 10 автоматов, 46 винтовок, несколько десятков гранат и другое вооружение и военное имущество.</w:t>
      </w:r>
    </w:p>
    <w:p w14:paraId="55C3B4AC"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Обер-ефрейтор 7 роты 418 полка 123 пехотной дивизии Фриц Брандт рассказал: «К началу военных действий в нашей роте насчитывалось 260 солдат и офицеров. Сейчас в строю осталось не более 70 человек. 30 обмороженных и больных солдат лежат в лазарете. Все солдаты до сих пор ходят в летнем, изрядно потрёпанном обмундировании. У многих очень неряшливый вид: шинели рваные, без пуговиц. На каждую роту выдали несколько пар эрзац-валенок-галош, сплетённых из соломы. Эти эрзац-валенки выдаются только тем солдатам, которые идут на пост».</w:t>
      </w:r>
    </w:p>
    <w:p w14:paraId="4FF71EB3"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Эрвина Губ найдено письмо, адресованное Герте Мак в Берлин. Губ пишет: «...Сегодня мы опять получили один хлеб на 5 человек. Этого вполне достаточно для воробья, но не для солдата».</w:t>
      </w:r>
    </w:p>
    <w:p w14:paraId="5661884D"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Энский севастопольский завод намного увеличил выпуск мин, гранат и другой военной продукции. Стахановцы завода тт. Головин, Махотин, Хохлов, Сергученко, Волченко, Надежда Попельская ежедневно выполняют по пяти норм.» (15044).</w:t>
      </w:r>
    </w:p>
    <w:p w14:paraId="76B6D28D" w14:textId="77777777" w:rsidR="005457A0" w:rsidRPr="008127F8" w:rsidRDefault="005457A0" w:rsidP="001E0A84">
      <w:pPr>
        <w:spacing w:after="0" w:line="240" w:lineRule="auto"/>
        <w:jc w:val="both"/>
        <w:rPr>
          <w:rFonts w:ascii="Times New Roman" w:hAnsi="Times New Roman"/>
          <w:color w:val="000000" w:themeColor="text1"/>
          <w:sz w:val="16"/>
          <w:szCs w:val="16"/>
        </w:rPr>
      </w:pPr>
    </w:p>
    <w:p w14:paraId="5EB87098"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64C45D58"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февраля наши войска вели наступательные бои против немецко-фашистских войск и нанесли противнику большие потери в технике и в живой силе.</w:t>
      </w:r>
    </w:p>
    <w:p w14:paraId="5C3DE8E9"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февраля сбито в воздушных боях 7 самолётов и уничтожено на аэродромах 28 самолётов противника. Всего за этот день уничтожено 35 немецких самолётов. Наши потери — 9 самолётов.</w:t>
      </w:r>
    </w:p>
    <w:p w14:paraId="4E1D1AB8"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февраля частями нашей авиации уничтожено и повреждено 9 немецких танков, 202 автомашины с войсками и грузами, 5 штабных автобусов, 160 повозок с боеприпасами, 23 полевых орудия, 20 миномётов, 5 зенитно-пулемётных точек, разбито 2 паровоза и 5 железнодорожных эшелонов, рассеяно и частью уничтожено до 3 батальонов пехоты противника.</w:t>
      </w:r>
    </w:p>
    <w:p w14:paraId="4D96EA25"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стрелковое подразделение, действующее на одном из участков Западного фронта, в упорном бою с противником уничтожило 2 орудия, 23 пулемёта, 93 подводы с военным имуществом, 2 склада с боеприпасами и горючим и подавило 25 огневых точек. Гитлеровцы потеряли убитыми 256 солдат и офицеров. На другом участке фронта бойцы подразделения, которым командует тов. Тихомиров, отразив контратаку усиленного вражеского батальона, уничтожили 189 вражеских солдат и офицеров и захватили 8 пулемётов, 60 повозок, радиостанцию, несколько тысяч патронов и другие трофеи. 12 немецких солдат сдались в плен.</w:t>
      </w:r>
    </w:p>
    <w:p w14:paraId="31A17D76"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Наши бойцы под командованием тов. Кузнецова (Калининский фронт) разгромили крупную немецкую часть. На поле боя осталось более 600 трупов вражеских солдат и офицеров. На другом участке танковое подразделение, где командиром тов. Лыскин, уничтожило 10 немецких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точек, 8 орудий и уничтожило несколько сот гитлеровских солдат и офицеров.</w:t>
      </w:r>
    </w:p>
    <w:p w14:paraId="1B56E08D"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Красноармеец-автоматчик А. Кудинов в боях за село П. истребил 8 вражеских солдат и 4 немецких солдат взял в плен. В этом же бою тов. Кудинов захватил два немецких пулемёта и четыре автомата.</w:t>
      </w:r>
    </w:p>
    <w:p w14:paraId="6EF13C0A"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из партизанских отрядов, действующих на территории Смоленской области, выбил противника из населённого пункта Н. Партизаны после продолжительной осады немецкого гарнизона ворвались в этот населённый пункт и уничтожили 50 вражеских солдат и офицеров и 16 жандармов. Остатки гарнизона разбежались по окрестным лесам. Партизанами захвачены 400 винтовок, брошенных бежавшими немецкими солдатами, 3 орудия и 35 пулемётов.</w:t>
      </w:r>
    </w:p>
    <w:p w14:paraId="37993C07"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бойцами захвачен приказ по 455 немецкому пехотному полку от 30 января 1942 ада. В приказе, в котором отмечается поражение полка в последнем бою, говорится: «66 храбрых офицеров и унтер-офицеров пали в этом бою. Мы скорбим о смерти нашего командира полка — подполковника Метуне. Кроме того, пали капитан Гартман, лейтенант Штрейхер, начальник штаба полка Грюссниг».</w:t>
      </w:r>
    </w:p>
    <w:p w14:paraId="0CA09DB5"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немецкое командование перебросило из Франции на советско-германский фронт 333 полк 225 пехотной дивизии. Ниже публикуются выписки из дневника убитого унтер-офицера 8 роты этого полка Альберта Швана:</w:t>
      </w:r>
    </w:p>
    <w:p w14:paraId="08CECEF9"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января. Прибыли в Нарву. Налёт советских самолётов. Выведены из строя и погибли первые товарищи. Очень холодно. Не каждый в состоянии перенести морозы в 20—30 градусов. Опасность грозит прежде всего ногам и носу... Санитарам приходится очень много работать.</w:t>
      </w:r>
    </w:p>
    <w:p w14:paraId="00E6CC00"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На фронте идут сильные бои. Моё отделение должно идти к полевой кухне, которая где-то отстала. Таким образом, мы оторвались от роты и никак не могли её найти.</w:t>
      </w:r>
    </w:p>
    <w:p w14:paraId="312CCF8D"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Третий батальон уже понёс большие потери: убитых —104, обмороженных — 32. Прочие потери — свыше 300 человек».</w:t>
      </w:r>
    </w:p>
    <w:p w14:paraId="1F232CDE" w14:textId="77777777" w:rsidR="005457A0" w:rsidRPr="008127F8" w:rsidRDefault="005457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предложению технологов завода «Красное Сормово» тт. Попова, Кочергина и Краснопольского на заводе установлена и освоена новая машина. Реализация этого предложения технологов высвободила 42 квалифицированных рабочих, ускорила процесс производства деталей в 18 раз и даст один миллион рублей экономии в год.» (15044).</w:t>
      </w:r>
    </w:p>
    <w:p w14:paraId="237CFB0F" w14:textId="77777777" w:rsidR="005457A0" w:rsidRPr="008127F8" w:rsidRDefault="005457A0" w:rsidP="001E0A84">
      <w:pPr>
        <w:spacing w:after="0" w:line="240" w:lineRule="auto"/>
        <w:jc w:val="both"/>
        <w:rPr>
          <w:rFonts w:ascii="Times New Roman" w:hAnsi="Times New Roman"/>
          <w:color w:val="000000" w:themeColor="text1"/>
          <w:sz w:val="16"/>
          <w:szCs w:val="16"/>
        </w:rPr>
      </w:pPr>
    </w:p>
    <w:p w14:paraId="0CB82556" w14:textId="77777777" w:rsidR="00A04C29" w:rsidRPr="008127F8" w:rsidRDefault="00A04C29"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ночь с 18 на 19 февраля 1942 полк снова бомбил ж.д. узел города Смоленск:</w:t>
      </w:r>
    </w:p>
    <w:p w14:paraId="0F7D1CE3"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командир корабля полковник Алексеев, Штурман майор Лебедев в 17 час 53 мин 18.2.42 г. стартовал с аэродрома Ковров на бомбардирование ж.д. узла г. Смоленск с задачей уничтожения ж.д. эшелонов на ст. Смоленск пассажирская.</w:t>
      </w:r>
    </w:p>
    <w:p w14:paraId="4DC9FAFB"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20 час 14 мин с высоты 5800 м на цель сброшены 24 ФАБ-100 и две ФАБ-500. Бомбы сброшены в два захода. В первый заход сброшена серия залпов из 22 бомб. Все разрывы бомб экипаж наблюдал на путях ст. пассажирской. В результате бомбометания возникло два очага пожара. При втором заходе сброшена серия из 4-х бомб, бомбы попали в ж.д. полотно Западнее ст. пассажирская.</w:t>
      </w:r>
    </w:p>
    <w:p w14:paraId="58AE4E74"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При подходе к цели экипаж наблюдал один очаг пожара на ст. сортировочная, вызванный бомбометанием предыдущих экипажей.</w:t>
      </w:r>
    </w:p>
    <w:p w14:paraId="3204A370"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районе г. Смоленск сброшено 60 тысяч листовок.</w:t>
      </w:r>
    </w:p>
    <w:p w14:paraId="76FEDDB8"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Противодействие ПВО</w:t>
      </w:r>
      <w:proofErr w:type="gramStart"/>
      <w:r w:rsidRPr="008127F8">
        <w:rPr>
          <w:color w:val="000000" w:themeColor="text1"/>
          <w:sz w:val="16"/>
          <w:szCs w:val="16"/>
        </w:rPr>
        <w:t>: Над</w:t>
      </w:r>
      <w:proofErr w:type="gramEnd"/>
      <w:r w:rsidRPr="008127F8">
        <w:rPr>
          <w:color w:val="000000" w:themeColor="text1"/>
          <w:sz w:val="16"/>
          <w:szCs w:val="16"/>
        </w:rPr>
        <w:t xml:space="preserve"> целью ЗА малого и среднего калибра вела интенсивный огонь по самолету. Все разрывы снарядов ниже самолета. Работало 14 прожекторов, большинство из них расположены в северо-восточной и северной части узла. Лучи прожекторов стояли неподвижно над целью. В результате неизбежно попадание самолета в лучи прожекторов. У цели при бомбометании со встречным курсом на северо-запад прошел одномоторный самолет, выше нашего самолета на 50 метров слева с потушенными бортовыми огнями. По определению экипажа это был Ме-109.</w:t>
      </w:r>
    </w:p>
    <w:p w14:paraId="2A8CDA79"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Наблюдением экипажа установлено: в районе западнее Ржев, точное место штурман не определил, большое движение автотранспорта направлением на Восток и юго-восток. К северо- западу от г. Смоленск 70-90 км - шесть-семь очагов пожаров.</w:t>
      </w:r>
    </w:p>
    <w:p w14:paraId="78A62CE5" w14:textId="77777777" w:rsidR="00A04C29" w:rsidRPr="008127F8" w:rsidRDefault="00A04C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Метеоусловия</w:t>
      </w:r>
      <w:proofErr w:type="gramStart"/>
      <w:r w:rsidRPr="008127F8">
        <w:rPr>
          <w:rFonts w:ascii="Times New Roman" w:hAnsi="Times New Roman"/>
          <w:color w:val="000000" w:themeColor="text1"/>
          <w:sz w:val="16"/>
          <w:szCs w:val="16"/>
        </w:rPr>
        <w:t>: Над</w:t>
      </w:r>
      <w:proofErr w:type="gramEnd"/>
      <w:r w:rsidRPr="008127F8">
        <w:rPr>
          <w:rFonts w:ascii="Times New Roman" w:hAnsi="Times New Roman"/>
          <w:color w:val="000000" w:themeColor="text1"/>
          <w:sz w:val="16"/>
          <w:szCs w:val="16"/>
        </w:rPr>
        <w:t xml:space="preserve"> целью и на маршруте преимущественно ясно. В районе цели дымка, плохая горизонтальная видимость. Прогноз погоды оправдался.</w:t>
      </w:r>
    </w:p>
    <w:p w14:paraId="1A153E56"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После выполнения задания экипаж в 22 час 37 мин произвел посадку на своем аэродроме. Продолжительность полета 4 час 44 мин. Матчасть неисправна. При возвращении на свой аэродром отказал второй мотор, причина не установлена. Летчик привел самолет на свой аэродром на трех моторах.</w:t>
      </w:r>
    </w:p>
    <w:p w14:paraId="3C052782" w14:textId="77777777" w:rsidR="00A04C29" w:rsidRPr="008127F8" w:rsidRDefault="00A04C29"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ночь с 19 на 20 февраля полк опять бомбил ж.д. узел города Смоленск:</w:t>
      </w:r>
    </w:p>
    <w:p w14:paraId="2CC97DE5"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 42015 командир корабля полковник Алексеев, штурман майор Лебедев в 17 час 45 мин 19.2.42 г. стартовал с аэродрома Ковров на бомбардирование ж.д. узла Смоленск задачей уничтожения ж.д. эшелонов на ст. Смоленск - пассажирская. В 20 час 15 мин с высоты 5800 м на цель сброшены одна ФАБ-2000, две ФАБ-1000. Бомбы сброшены в один заход серией с интервалом 0,5 сек. Экипаж наблюдал прямое попадание двух бомб, одной ФАБ-2000 и одной ФАБ-1000 по путям станции с юга. При взрыве ФАБ-2000 образовался большой огненный столб красного цвета, покрывший площадь 25-30 метров в диаметре. Разрыв ФАБ-2000 резко отличается своей мощностью от разрыва ФАБ-1000.</w:t>
      </w:r>
    </w:p>
    <w:p w14:paraId="48EF8199"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 участке от линии фронта до цели и в районе цели были сброшены 80 тыс. листовок.</w:t>
      </w:r>
    </w:p>
    <w:p w14:paraId="274BA865"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lastRenderedPageBreak/>
        <w:t>Противодействие ПВО</w:t>
      </w:r>
      <w:proofErr w:type="gramStart"/>
      <w:r w:rsidRPr="008127F8">
        <w:rPr>
          <w:color w:val="000000" w:themeColor="text1"/>
          <w:sz w:val="16"/>
          <w:szCs w:val="16"/>
        </w:rPr>
        <w:t>: Над</w:t>
      </w:r>
      <w:proofErr w:type="gramEnd"/>
      <w:r w:rsidRPr="008127F8">
        <w:rPr>
          <w:color w:val="000000" w:themeColor="text1"/>
          <w:sz w:val="16"/>
          <w:szCs w:val="16"/>
        </w:rPr>
        <w:t xml:space="preserve"> целью ЗА крупного и среднего калибра до 12 орудий вела огонь по самолету, причем огонь был более интенсивный, чем при налете 18.2.42 г. Работали до 12 прожекторов, расположенных севернее ж.д. узла. Прожектора быстро схватывали самолет в свои лучи и удерживали его на боевом курсе и при уходе, до предела досягаемости. Разрывы снарядов ложились в 100-150 метров от самолета, преимущественно ниже самолета. От взрывов снарядов самолет сильно трясло.</w:t>
      </w:r>
    </w:p>
    <w:p w14:paraId="1C87EE0E"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районе цели патрулировал истребитель, тип не опознан, атаковывать наш самолет не пытался.</w:t>
      </w:r>
    </w:p>
    <w:p w14:paraId="25C44DE1"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Наблюдением экипажа установлено: севернее и северо-восточнее г. Ржев 20-25 км движение автомашин в разные стороны. Город Демидов охвачен пожарами.</w:t>
      </w:r>
    </w:p>
    <w:p w14:paraId="76EC6C74"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w:t>
      </w:r>
      <w:proofErr w:type="gramStart"/>
      <w:r w:rsidRPr="008127F8">
        <w:rPr>
          <w:color w:val="000000" w:themeColor="text1"/>
          <w:sz w:val="16"/>
          <w:szCs w:val="16"/>
        </w:rPr>
        <w:t>: На</w:t>
      </w:r>
      <w:proofErr w:type="gramEnd"/>
      <w:r w:rsidRPr="008127F8">
        <w:rPr>
          <w:color w:val="000000" w:themeColor="text1"/>
          <w:sz w:val="16"/>
          <w:szCs w:val="16"/>
        </w:rPr>
        <w:t xml:space="preserve"> маршруте и над целью преимущественно ясно. Прогноз погоды оправдался.</w:t>
      </w:r>
    </w:p>
    <w:p w14:paraId="6709956D"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После выполнения задания экипаж в 22.29 произвел посадку на своем аэродроме. Продолжительность полета 4 час 45 мин.</w:t>
      </w:r>
    </w:p>
    <w:p w14:paraId="75B65707" w14:textId="77777777" w:rsidR="00A04C29" w:rsidRPr="008127F8" w:rsidRDefault="00A04C2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Матчасть исправна (19105).</w:t>
      </w:r>
    </w:p>
    <w:p w14:paraId="6F359EFA" w14:textId="77777777" w:rsidR="00A04C29" w:rsidRPr="008127F8" w:rsidRDefault="00A04C29" w:rsidP="001E0A84">
      <w:pPr>
        <w:spacing w:after="0" w:line="240" w:lineRule="auto"/>
        <w:jc w:val="both"/>
        <w:rPr>
          <w:rFonts w:ascii="Times New Roman" w:hAnsi="Times New Roman"/>
          <w:color w:val="000000" w:themeColor="text1"/>
          <w:sz w:val="16"/>
          <w:szCs w:val="16"/>
        </w:rPr>
      </w:pPr>
    </w:p>
    <w:p w14:paraId="7720CB56" w14:textId="77777777" w:rsidR="00A04C29" w:rsidRPr="008127F8" w:rsidRDefault="00A04C29" w:rsidP="001E0A84">
      <w:pPr>
        <w:pStyle w:val="af"/>
        <w:spacing w:before="0" w:after="0"/>
        <w:jc w:val="both"/>
        <w:textAlignment w:val="baseline"/>
        <w:rPr>
          <w:color w:val="000000" w:themeColor="text1"/>
          <w:sz w:val="16"/>
          <w:szCs w:val="16"/>
        </w:rPr>
      </w:pPr>
      <w:r w:rsidRPr="008127F8">
        <w:rPr>
          <w:color w:val="000000" w:themeColor="text1"/>
          <w:sz w:val="16"/>
          <w:szCs w:val="16"/>
        </w:rPr>
        <w:t>18 февраля 1942 Ставка ВГК приняла решение продолжить десантную операцию в районе Вязьмы и снова в немецкий тыл полетели ТБ-3 и ПС-84. Ночная высадка подразделений 214-й воздушно-десантной бригады проходила крайне тяжело. Из-за ошибок пилотов и штурманов мелкие группы парашютистов оказались рассеянными практически по всей Смоленской области. А отдельные экипажи так заплутали, что производили десантирование за сотни километров от места назначения, в глубоком тылу, но только не во вражеском, а в собственном.</w:t>
      </w:r>
    </w:p>
    <w:p w14:paraId="40259F73" w14:textId="2E7C9277" w:rsidR="00A04C29" w:rsidRPr="008127F8" w:rsidRDefault="00A04C29" w:rsidP="001E0A84">
      <w:pPr>
        <w:pStyle w:val="af"/>
        <w:spacing w:before="0" w:after="0"/>
        <w:jc w:val="both"/>
        <w:textAlignment w:val="baseline"/>
        <w:rPr>
          <w:color w:val="000000" w:themeColor="text1"/>
          <w:sz w:val="16"/>
          <w:szCs w:val="16"/>
        </w:rPr>
      </w:pPr>
      <w:r w:rsidRPr="008127F8">
        <w:rPr>
          <w:color w:val="000000" w:themeColor="text1"/>
          <w:sz w:val="16"/>
          <w:szCs w:val="16"/>
        </w:rPr>
        <w:t xml:space="preserve">В конечном итоге Вяземская десантная операция закончилась полным крахом. Советская авиация не смогла ни эффективно снабжать высаженные части, ни доставлять им достаточные подкрепления, ни оказать им сильную поддержку с воздуха. В то же время пикирующие бомбардировщики и штурмовики люфтваффе регулярно наносили бомбовые удары по сражавшимся в полном окружении десантным частям. Остатки последних смогли прорваться сквозь немецкие позиции и выйти в расположение советских войск только в конце июня </w:t>
      </w:r>
      <w:proofErr w:type="gramStart"/>
      <w:r w:rsidRPr="008127F8">
        <w:rPr>
          <w:color w:val="000000" w:themeColor="text1"/>
          <w:sz w:val="16"/>
          <w:szCs w:val="16"/>
        </w:rPr>
        <w:t>1942</w:t>
      </w:r>
      <w:r w:rsidR="008127F8">
        <w:rPr>
          <w:color w:val="000000" w:themeColor="text1"/>
          <w:sz w:val="16"/>
          <w:szCs w:val="16"/>
        </w:rPr>
        <w:t xml:space="preserve">  </w:t>
      </w:r>
      <w:r w:rsidRPr="008127F8">
        <w:rPr>
          <w:color w:val="000000" w:themeColor="text1"/>
          <w:sz w:val="16"/>
          <w:szCs w:val="16"/>
        </w:rPr>
        <w:t>г.</w:t>
      </w:r>
      <w:proofErr w:type="gramEnd"/>
    </w:p>
    <w:p w14:paraId="7E62C655" w14:textId="77777777" w:rsidR="00A04C29" w:rsidRPr="008127F8" w:rsidRDefault="00A04C29" w:rsidP="001E0A84">
      <w:pPr>
        <w:pStyle w:val="af"/>
        <w:spacing w:before="0" w:after="0"/>
        <w:jc w:val="both"/>
        <w:textAlignment w:val="baseline"/>
        <w:rPr>
          <w:color w:val="000000" w:themeColor="text1"/>
          <w:sz w:val="16"/>
          <w:szCs w:val="16"/>
        </w:rPr>
      </w:pPr>
      <w:r w:rsidRPr="008127F8">
        <w:rPr>
          <w:color w:val="000000" w:themeColor="text1"/>
          <w:sz w:val="16"/>
          <w:szCs w:val="16"/>
        </w:rPr>
        <w:t>Советские ответные удары по немецким авиабазам оказались гораздо менее эффективными. Люфтваффе сумели организовать и затем почти беспрепятственно использовать воздушный мост с частями 16-й армии, окруженными в районе городов Демянск и Холм. Авиации ВВС Западного фронта удалось провести лишь один удачный налет на аэродром около поселка Новое Село, расположенного в 9 километрах севернее Вязьмы. На нем в ночь на 6 марта прямыми попаданиями бомб было уничтожено пять самолетов, в том числе два Do-17P из 2-й эскадрильи дальней разведки Aufkl.Gr.11. Удары же по немецким аэродромам в Смоленске, Боровском и Дугино, организованные в те же дни, закончились безрезультатно (19522).</w:t>
      </w:r>
    </w:p>
    <w:p w14:paraId="2E5F96A1" w14:textId="77777777" w:rsidR="00A04C29" w:rsidRPr="008127F8" w:rsidRDefault="00A04C29" w:rsidP="001E0A84">
      <w:pPr>
        <w:pStyle w:val="af"/>
        <w:spacing w:before="0" w:after="0"/>
        <w:jc w:val="both"/>
        <w:textAlignment w:val="baseline"/>
        <w:rPr>
          <w:bCs/>
          <w:color w:val="000000" w:themeColor="text1"/>
          <w:sz w:val="16"/>
          <w:szCs w:val="16"/>
        </w:rPr>
      </w:pPr>
    </w:p>
    <w:p w14:paraId="242259C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вышло Постановление ГКО № 1310 [О назначении Пономаренко П.К. чл. ВС 3 уд. А.] (7022, 129).</w:t>
      </w:r>
    </w:p>
    <w:p w14:paraId="54DA34F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2E477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47762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0B18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вышло Постановление ГКО № 1309 О внесении поправки в редакцию пункта 3 постановления ГОКО № 1156сс от 16 января 1942 г. "О сдаче трофейного имущества". РГАНИР, Фонд ГКО, д. 21, лл. 128 (11012).</w:t>
      </w:r>
    </w:p>
    <w:p w14:paraId="5BC068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6C96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70EA76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D78C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 было отправлено:</w:t>
      </w:r>
    </w:p>
    <w:p w14:paraId="0126F0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Ф. РУЗВЕЛЬТУ *</w:t>
      </w:r>
    </w:p>
    <w:p w14:paraId="4DD5FE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Подтверждая получение Вашего послания от 13 февраля с. г., я прежде всего хотел бы отметить, что разделяю Вашу уверенность, что усилия вновь назначенного Посла США в СССР адмирала Стэндли, которого Вы столь лестно и высоко оцениваете, сблизить наши страны еще больше, увенчаются успехом.</w:t>
      </w:r>
    </w:p>
    <w:p w14:paraId="259F7A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Ваше решение, господин Президент, предоставить в распоряжение Правительства СССР второй миллиард долларов, согласно закону о передаче вооружения взаймы или в аренду, на тех же самых условиях, на которых был предоставлен и первый миллиард, Советское Правительство принимает с искренней благодарностью. В связи с поставленным Вами вопросом я должен сообщить, что в данный момент, чтобы не откладывать решения, Советское Правительство не возбуждает вопроса об изменении условий предоставления Советскому Союзу указанного второго миллиарда долларов и о соответствующем учете крайнего напряжения ресурсов СССР в войне с нашим общим врагом. Вместе с тем я полностью с Вами согласен и выражаю надежду, что позднее нами совместно будет определен подходящий момент, когда окажется обоюдно желательным пересмотреть заключаемые сейчас финансовые соглашения, с тем чтобы особо принять во внимание отмеченные выше обстоятельства.</w:t>
      </w:r>
    </w:p>
    <w:p w14:paraId="722366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Пользуясь случаем, я хотел бы обратить Ваше внимание на то, что в данное время соответствующие органы СССР при реализации предоставленного СССР займа встречаются с большими трудностями в транспортировке в порты </w:t>
      </w:r>
      <w:proofErr w:type="gramStart"/>
      <w:r w:rsidRPr="008127F8">
        <w:rPr>
          <w:rFonts w:ascii="Times New Roman" w:hAnsi="Times New Roman"/>
          <w:color w:val="000000" w:themeColor="text1"/>
          <w:sz w:val="16"/>
          <w:szCs w:val="16"/>
        </w:rPr>
        <w:t>СССР</w:t>
      </w:r>
      <w:proofErr w:type="gramEnd"/>
      <w:r w:rsidRPr="008127F8">
        <w:rPr>
          <w:rFonts w:ascii="Times New Roman" w:hAnsi="Times New Roman"/>
          <w:color w:val="000000" w:themeColor="text1"/>
          <w:sz w:val="16"/>
          <w:szCs w:val="16"/>
        </w:rPr>
        <w:t xml:space="preserve"> закупленных в США вооружения и материалов. Мы считали бы в данных условиях наиболее целесообразным порядок транспортировки вооружения из Америки тот, который с положительными результатами применяется для транспортировки предметов вооружения из Англии в Архангельск, но которого до сих пор не удалось осуществить в отношении поставок из США. Этот порядок заключается в том, что британские военные власти, поставляющие вооружение и материалы, сами отбирают пароходы, а также организуют погрузку в порту и конвоирование пароходов до порта назначения. Советское Правительство было бы весьма признательно, если бы этот же порядок доставки вооружения и конвоирования пароходов в порты СССР был принят и Правительством США.</w:t>
      </w:r>
    </w:p>
    <w:p w14:paraId="532FE6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искренним уважением</w:t>
      </w:r>
    </w:p>
    <w:p w14:paraId="6FA74E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 (7430).</w:t>
      </w:r>
    </w:p>
    <w:p w14:paraId="007743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2F7D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BFB22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5F49D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английское правительство сняло ограничения на покупки мыла шахтерами (4962).</w:t>
      </w:r>
    </w:p>
    <w:p w14:paraId="7E9FEE6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AD67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у берегов Ньюфаундленда затонул американский эсминец “Тракстон”, 119 человек погибли (4962).</w:t>
      </w:r>
    </w:p>
    <w:p w14:paraId="615176D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49862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французская подлодка “Сюркуф” (самая большая в мире) затонула в Атлантическом океане (4962).</w:t>
      </w:r>
    </w:p>
    <w:p w14:paraId="58AD454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47F2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ночь с 18 на 19 февраля 1942 </w:t>
      </w:r>
      <w:proofErr w:type="gramStart"/>
      <w:r w:rsidRPr="008127F8">
        <w:rPr>
          <w:rFonts w:ascii="Times New Roman" w:hAnsi="Times New Roman"/>
          <w:color w:val="000000" w:themeColor="text1"/>
          <w:sz w:val="16"/>
          <w:szCs w:val="16"/>
        </w:rPr>
        <w:t>французская п/л</w:t>
      </w:r>
      <w:proofErr w:type="gramEnd"/>
      <w:r w:rsidRPr="008127F8">
        <w:rPr>
          <w:rFonts w:ascii="Times New Roman" w:hAnsi="Times New Roman"/>
          <w:color w:val="000000" w:themeColor="text1"/>
          <w:sz w:val="16"/>
          <w:szCs w:val="16"/>
        </w:rPr>
        <w:t xml:space="preserve"> вооруженная самолетом, Сюркуф затонула в Карибском море в результате столкновения с транспортом Томсон лайке. Погибли все 127 членов команды и 3 английских офицера (3481).</w:t>
      </w:r>
    </w:p>
    <w:p w14:paraId="05352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1581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B7DD3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60C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С.В.И. писал Л.П.Б., Г.М.М., А.И.Ш. письмо N 265с:</w:t>
      </w:r>
    </w:p>
    <w:p w14:paraId="0FBCE1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хорошо освоен в серийном производстве заводом 18 и испытан в условиях войны.</w:t>
      </w:r>
    </w:p>
    <w:p w14:paraId="5C13A4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данный момент работа ОКБ-НКАП по самолету Ил-2 сводится к исполнению запросов фронта и к помощи серийным заводам, осваивающим Ил-2. Эта работа не поглощает полностью наличных сил КБ и моих как ГК.</w:t>
      </w:r>
    </w:p>
    <w:p w14:paraId="7891A3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опыт войны, мною разрабатывается дальнейшее развитие типа бронированного штурмовика, но для работы над ним необходима база, которой в данный момент ОКБ не имеет.</w:t>
      </w:r>
    </w:p>
    <w:p w14:paraId="062884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 предоставлении ОКБ НКАП в качестве опытной базы, помещение бывшего цеха оперения завода 1 и перевода КБ в Москву на эту базу.</w:t>
      </w:r>
    </w:p>
    <w:p w14:paraId="5B6C78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Куйбышеве будет оставлена группа, которая полностью обеспечит заводы 1 и 18, которой уже раньше хорошо обеспечивался завод в Воронеже (1679,82).</w:t>
      </w:r>
    </w:p>
    <w:p w14:paraId="6B5B78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FF91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г. на совместном заседании руко</w:t>
      </w:r>
      <w:r w:rsidRPr="008127F8">
        <w:rPr>
          <w:rFonts w:ascii="Times New Roman" w:hAnsi="Times New Roman"/>
          <w:color w:val="000000" w:themeColor="text1"/>
          <w:sz w:val="16"/>
          <w:szCs w:val="16"/>
        </w:rPr>
        <w:softHyphen/>
        <w:t>водства ВВС и НКАП рабочих. подводи</w:t>
      </w:r>
      <w:r w:rsidRPr="008127F8">
        <w:rPr>
          <w:rFonts w:ascii="Times New Roman" w:hAnsi="Times New Roman"/>
          <w:color w:val="000000" w:themeColor="text1"/>
          <w:sz w:val="16"/>
          <w:szCs w:val="16"/>
        </w:rPr>
        <w:softHyphen/>
        <w:t>лись промежуточные итоги их работы на фронтах ремонтных бригад за</w:t>
      </w:r>
      <w:r w:rsidRPr="008127F8">
        <w:rPr>
          <w:rFonts w:ascii="Times New Roman" w:hAnsi="Times New Roman"/>
          <w:color w:val="000000" w:themeColor="text1"/>
          <w:sz w:val="16"/>
          <w:szCs w:val="16"/>
        </w:rPr>
        <w:softHyphen/>
        <w:t>вода № 1 общей численностью около 80 человек. Отмечалась большая помощь строевым частям и ремонтным органам нашей авиа</w:t>
      </w:r>
      <w:r w:rsidRPr="008127F8">
        <w:rPr>
          <w:rFonts w:ascii="Times New Roman" w:hAnsi="Times New Roman"/>
          <w:color w:val="000000" w:themeColor="text1"/>
          <w:sz w:val="16"/>
          <w:szCs w:val="16"/>
        </w:rPr>
        <w:softHyphen/>
        <w:t>ции как в освоении эксплуатации и ремонте матери</w:t>
      </w:r>
      <w:r w:rsidRPr="008127F8">
        <w:rPr>
          <w:rFonts w:ascii="Times New Roman" w:hAnsi="Times New Roman"/>
          <w:color w:val="000000" w:themeColor="text1"/>
          <w:sz w:val="16"/>
          <w:szCs w:val="16"/>
        </w:rPr>
        <w:softHyphen/>
        <w:t>альной части, так и в организации полевого ремонта. Некоторые вопросы оказались трудно решаемы</w:t>
      </w:r>
      <w:r w:rsidRPr="008127F8">
        <w:rPr>
          <w:rFonts w:ascii="Times New Roman" w:hAnsi="Times New Roman"/>
          <w:color w:val="000000" w:themeColor="text1"/>
          <w:sz w:val="16"/>
          <w:szCs w:val="16"/>
        </w:rPr>
        <w:softHyphen/>
        <w:t>ми, требовалась специальная подготовка техничес</w:t>
      </w:r>
      <w:r w:rsidRPr="008127F8">
        <w:rPr>
          <w:rFonts w:ascii="Times New Roman" w:hAnsi="Times New Roman"/>
          <w:color w:val="000000" w:themeColor="text1"/>
          <w:sz w:val="16"/>
          <w:szCs w:val="16"/>
        </w:rPr>
        <w:softHyphen/>
        <w:t>кого состава. Так, выяснилось, что в морозную пого</w:t>
      </w:r>
      <w:r w:rsidRPr="008127F8">
        <w:rPr>
          <w:rFonts w:ascii="Times New Roman" w:hAnsi="Times New Roman"/>
          <w:color w:val="000000" w:themeColor="text1"/>
          <w:sz w:val="16"/>
          <w:szCs w:val="16"/>
        </w:rPr>
        <w:softHyphen/>
        <w:t>ду приходилось по несколько раз за ночь прогревать моторы, опасаясь полного загустевания масла. Печ</w:t>
      </w:r>
      <w:r w:rsidRPr="008127F8">
        <w:rPr>
          <w:rFonts w:ascii="Times New Roman" w:hAnsi="Times New Roman"/>
          <w:color w:val="000000" w:themeColor="text1"/>
          <w:sz w:val="16"/>
          <w:szCs w:val="16"/>
        </w:rPr>
        <w:softHyphen/>
        <w:t>ки, котелки и другие импровизированные средства подогрева моторов оказались малоэффективными на ветру, а ламп АПЛ—1 не хватало. В результате моторы АМ—35А практически всех МиГов из базировавших</w:t>
      </w:r>
      <w:r w:rsidRPr="008127F8">
        <w:rPr>
          <w:rFonts w:ascii="Times New Roman" w:hAnsi="Times New Roman"/>
          <w:color w:val="000000" w:themeColor="text1"/>
          <w:sz w:val="16"/>
          <w:szCs w:val="16"/>
        </w:rPr>
        <w:softHyphen/>
        <w:t>ся в Подмосковье 16, 27, 120, 122, 519-м иап больше времени наработали на земле, чем в воздухе. Важную работу провели специалисты НИИ ВВС по обеспечению запуска холодного мотора МиГа, ис</w:t>
      </w:r>
      <w:r w:rsidRPr="008127F8">
        <w:rPr>
          <w:rFonts w:ascii="Times New Roman" w:hAnsi="Times New Roman"/>
          <w:color w:val="000000" w:themeColor="text1"/>
          <w:sz w:val="16"/>
          <w:szCs w:val="16"/>
        </w:rPr>
        <w:softHyphen/>
        <w:t>пользуя разжижение масла бензином. Этот способ был разработан американскими специалистами пе</w:t>
      </w:r>
      <w:r w:rsidRPr="008127F8">
        <w:rPr>
          <w:rFonts w:ascii="Times New Roman" w:hAnsi="Times New Roman"/>
          <w:color w:val="000000" w:themeColor="text1"/>
          <w:sz w:val="16"/>
          <w:szCs w:val="16"/>
        </w:rPr>
        <w:softHyphen/>
        <w:t>ред Второй мировой войной и оказался очень поле</w:t>
      </w:r>
      <w:r w:rsidRPr="008127F8">
        <w:rPr>
          <w:rFonts w:ascii="Times New Roman" w:hAnsi="Times New Roman"/>
          <w:color w:val="000000" w:themeColor="text1"/>
          <w:sz w:val="16"/>
          <w:szCs w:val="16"/>
        </w:rPr>
        <w:softHyphen/>
        <w:t>зен в условиях студеной погоды. В последних числах января в 120-м иап при средней температуре воздуха минус 320 С на одном из МиГ—3 двигатель прогрева</w:t>
      </w:r>
      <w:r w:rsidRPr="008127F8">
        <w:rPr>
          <w:rFonts w:ascii="Times New Roman" w:hAnsi="Times New Roman"/>
          <w:color w:val="000000" w:themeColor="text1"/>
          <w:sz w:val="16"/>
          <w:szCs w:val="16"/>
        </w:rPr>
        <w:softHyphen/>
        <w:t xml:space="preserve">ли через девять часов, в то время другой истребитель, где не применяли разжижение </w:t>
      </w:r>
      <w:r w:rsidRPr="008127F8">
        <w:rPr>
          <w:rFonts w:ascii="Times New Roman" w:hAnsi="Times New Roman"/>
          <w:color w:val="000000" w:themeColor="text1"/>
          <w:sz w:val="16"/>
          <w:szCs w:val="16"/>
        </w:rPr>
        <w:lastRenderedPageBreak/>
        <w:t>масла бензином, — через каждые два часа. Этот эксперимент наглядно показал всем инженерам и техникам преимущество использования разжиженной смазки. Также хорошо зарекомендовали себя теплые чехлы. Но не только холод мешал нормальной эксплуа</w:t>
      </w:r>
      <w:r w:rsidRPr="008127F8">
        <w:rPr>
          <w:rFonts w:ascii="Times New Roman" w:hAnsi="Times New Roman"/>
          <w:color w:val="000000" w:themeColor="text1"/>
          <w:sz w:val="16"/>
          <w:szCs w:val="16"/>
        </w:rPr>
        <w:softHyphen/>
        <w:t>тации самолетов и моторов (9984).</w:t>
      </w:r>
    </w:p>
    <w:p w14:paraId="78A41E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50B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директор завода № 18 Шенкман и Нач. ОЭР Бобров писали письмо № 285 НКАП А.И.Ш.</w:t>
      </w:r>
    </w:p>
    <w:p w14:paraId="4D0E8AE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посланной Вам 14/П-42 г. телеграммы шифр № 146ш, препровождаем материал проверки причин срыва отправки самолетов на фронт формирующихся с .15/I по 15/У1 под непосредственным руководством Первой за</w:t>
      </w:r>
      <w:r w:rsidRPr="008127F8">
        <w:rPr>
          <w:rFonts w:ascii="Times New Roman" w:hAnsi="Times New Roman"/>
          <w:color w:val="000000" w:themeColor="text1"/>
          <w:sz w:val="16"/>
          <w:szCs w:val="16"/>
        </w:rPr>
        <w:softHyphen/>
        <w:t>пасной авиабригады базирующееся на станции Кряж.</w:t>
      </w:r>
    </w:p>
    <w:p w14:paraId="41F36E3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 основании отправляемых Вам материалов проверки считаем необходимым просить Вас поставить вопрос перед командованием В.В.С. К.А. о более серьезной организации работ по формированию полково Ил-2 в 1-й З.А.Б., для чего необходимо:</w:t>
      </w:r>
    </w:p>
    <w:p w14:paraId="32D864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Обеспечить аэродромы формирующие АП Ил-2 отдель</w:t>
      </w:r>
      <w:r w:rsidRPr="008127F8">
        <w:rPr>
          <w:rFonts w:ascii="Times New Roman" w:hAnsi="Times New Roman"/>
          <w:color w:val="000000" w:themeColor="text1"/>
          <w:sz w:val="16"/>
          <w:szCs w:val="16"/>
        </w:rPr>
        <w:softHyphen/>
        <w:t>ными БАО и ПАРМ"ами всем необходимым материально-техни</w:t>
      </w:r>
      <w:r w:rsidRPr="008127F8">
        <w:rPr>
          <w:rFonts w:ascii="Times New Roman" w:hAnsi="Times New Roman"/>
          <w:color w:val="000000" w:themeColor="text1"/>
          <w:sz w:val="16"/>
          <w:szCs w:val="16"/>
        </w:rPr>
        <w:softHyphen/>
        <w:t>ческим имуществом, обеспечивающим массовую зимнюю эксплоатацию и ремонт самолетов выходящих из строя при формировании полков.</w:t>
      </w:r>
    </w:p>
    <w:p w14:paraId="328C2D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 А. О. и ПАРМы подчинить непосредственно коман</w:t>
      </w:r>
      <w:r w:rsidRPr="008127F8">
        <w:rPr>
          <w:rFonts w:ascii="Times New Roman" w:hAnsi="Times New Roman"/>
          <w:color w:val="000000" w:themeColor="text1"/>
          <w:sz w:val="16"/>
          <w:szCs w:val="16"/>
        </w:rPr>
        <w:softHyphen/>
        <w:t>диру и старшему инженеру, руководящих формированием полков.</w:t>
      </w:r>
    </w:p>
    <w:p w14:paraId="46C2C6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Организовать диспетчерскую службу, ведающую прие</w:t>
      </w:r>
      <w:r w:rsidRPr="008127F8">
        <w:rPr>
          <w:rFonts w:ascii="Times New Roman" w:hAnsi="Times New Roman"/>
          <w:color w:val="000000" w:themeColor="text1"/>
          <w:sz w:val="16"/>
          <w:szCs w:val="16"/>
        </w:rPr>
        <w:softHyphen/>
        <w:t>мом прибывающих машин с завода, отправкой полков и ма</w:t>
      </w:r>
      <w:r w:rsidRPr="008127F8">
        <w:rPr>
          <w:rFonts w:ascii="Times New Roman" w:hAnsi="Times New Roman"/>
          <w:color w:val="000000" w:themeColor="text1"/>
          <w:sz w:val="16"/>
          <w:szCs w:val="16"/>
        </w:rPr>
        <w:softHyphen/>
        <w:t>шинами временно выбывшими из графика. Указанная служба должна вести строгий и тщательный учет всех самолетов.</w:t>
      </w:r>
    </w:p>
    <w:p w14:paraId="39491A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Военному представительству завода передавать базе инструмент и запасные части самолетов формирующих</w:t>
      </w:r>
      <w:r w:rsidRPr="008127F8">
        <w:rPr>
          <w:rFonts w:ascii="Times New Roman" w:hAnsi="Times New Roman"/>
          <w:color w:val="000000" w:themeColor="text1"/>
          <w:sz w:val="16"/>
          <w:szCs w:val="16"/>
        </w:rPr>
        <w:softHyphen/>
        <w:t>ся к отправке.</w:t>
      </w:r>
    </w:p>
    <w:p w14:paraId="4491ECF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Обеспечить базы готовыми изделиями, как-то: колесами, во домаслорадиаторами, приборами и т.д. необходимыми при эксплоатации самолетов</w:t>
      </w:r>
    </w:p>
    <w:p w14:paraId="2D3C927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Претензий к заводу должны передаваться через представителя завода на базе и старшего военного представителя завода оформленные двухсторонними акта</w:t>
      </w:r>
      <w:r w:rsidRPr="008127F8">
        <w:rPr>
          <w:rFonts w:ascii="Times New Roman" w:hAnsi="Times New Roman"/>
          <w:color w:val="000000" w:themeColor="text1"/>
          <w:sz w:val="16"/>
          <w:szCs w:val="16"/>
        </w:rPr>
        <w:softHyphen/>
        <w:t>ми.</w:t>
      </w:r>
    </w:p>
    <w:p w14:paraId="07CB340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Завод обеспечивает базу формирования постоянными представителями и бригадами, для устранения дефектов.</w:t>
      </w:r>
    </w:p>
    <w:p w14:paraId="19969EE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База обеспечивает заводские бригады помещением для </w:t>
      </w:r>
      <w:proofErr w:type="gramStart"/>
      <w:r w:rsidRPr="008127F8">
        <w:rPr>
          <w:rFonts w:ascii="Times New Roman" w:hAnsi="Times New Roman"/>
          <w:color w:val="000000" w:themeColor="text1"/>
          <w:sz w:val="16"/>
          <w:szCs w:val="16"/>
        </w:rPr>
        <w:t>жилья,коптерки</w:t>
      </w:r>
      <w:proofErr w:type="gramEnd"/>
      <w:r w:rsidRPr="008127F8">
        <w:rPr>
          <w:rFonts w:ascii="Times New Roman" w:hAnsi="Times New Roman"/>
          <w:color w:val="000000" w:themeColor="text1"/>
          <w:sz w:val="16"/>
          <w:szCs w:val="16"/>
        </w:rPr>
        <w:t>, для хранения инструмента и запчас</w:t>
      </w:r>
      <w:r w:rsidRPr="008127F8">
        <w:rPr>
          <w:rFonts w:ascii="Times New Roman" w:hAnsi="Times New Roman"/>
          <w:color w:val="000000" w:themeColor="text1"/>
          <w:sz w:val="16"/>
          <w:szCs w:val="16"/>
        </w:rPr>
        <w:softHyphen/>
        <w:t>тей и питанием за наличный расчет.</w:t>
      </w:r>
    </w:p>
    <w:p w14:paraId="425A88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Вашем решении по данному письму просим поставить нас в известность (1635).</w:t>
      </w:r>
    </w:p>
    <w:p w14:paraId="262780D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685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на территорию СССР был переброшен бывший красноармеец Тимохин с заданием организации на 1 и 39 заводах диверсионных групп, а на Ленинградском ш был задержан агент гестапо Федоров, который пытался пробраться в Москву для организации диверсий (1836,128).</w:t>
      </w:r>
    </w:p>
    <w:p w14:paraId="47AB58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BA8B1"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 xml:space="preserve">19 февраля 1942 г. </w:t>
      </w:r>
      <w:r w:rsidRPr="008127F8">
        <w:rPr>
          <w:rFonts w:ascii="Times New Roman" w:hAnsi="Times New Roman"/>
          <w:color w:val="000000" w:themeColor="text1"/>
          <w:sz w:val="16"/>
          <w:szCs w:val="16"/>
        </w:rPr>
        <w:t>п</w:t>
      </w:r>
      <w:r w:rsidRPr="008127F8">
        <w:rPr>
          <w:rFonts w:ascii="Times New Roman" w:hAnsi="Times New Roman"/>
          <w:noProof/>
          <w:color w:val="000000" w:themeColor="text1"/>
          <w:sz w:val="16"/>
          <w:szCs w:val="16"/>
        </w:rPr>
        <w:t>ер</w:t>
      </w:r>
      <w:r w:rsidRPr="008127F8">
        <w:rPr>
          <w:rFonts w:ascii="Times New Roman" w:hAnsi="Times New Roman"/>
          <w:noProof/>
          <w:color w:val="000000" w:themeColor="text1"/>
          <w:sz w:val="16"/>
          <w:szCs w:val="16"/>
        </w:rPr>
        <w:softHyphen/>
        <w:t xml:space="preserve">вый полет нового самолета </w:t>
      </w:r>
      <w:r w:rsidRPr="008127F8">
        <w:rPr>
          <w:rFonts w:ascii="Times New Roman" w:hAnsi="Times New Roman"/>
          <w:color w:val="000000" w:themeColor="text1"/>
          <w:sz w:val="16"/>
          <w:szCs w:val="16"/>
        </w:rPr>
        <w:t xml:space="preserve">ДВБ-102 </w:t>
      </w:r>
      <w:r w:rsidRPr="008127F8">
        <w:rPr>
          <w:rFonts w:ascii="Times New Roman" w:hAnsi="Times New Roman"/>
          <w:noProof/>
          <w:color w:val="000000" w:themeColor="text1"/>
          <w:sz w:val="16"/>
          <w:szCs w:val="16"/>
        </w:rPr>
        <w:t>выполнил летчик НИИ ВВС В.И.Жданов, затем полеты продолжил заводской летчик-испыта- тель Ф.Ф.Опадчий. Испытания сопровождались ненадежной работой двигателей, уже в третьем полете отметились неполадки в левом М-120ТК. В апреле машину передали на испытания в НИИ ВВС, однако полностью зафиксировать летные характеристики по причине неустойчивой ра</w:t>
      </w:r>
      <w:r w:rsidRPr="008127F8">
        <w:rPr>
          <w:rFonts w:ascii="Times New Roman" w:hAnsi="Times New Roman"/>
          <w:noProof/>
          <w:color w:val="000000" w:themeColor="text1"/>
          <w:sz w:val="16"/>
          <w:szCs w:val="16"/>
        </w:rPr>
        <w:softHyphen/>
        <w:t>боты двигателей не удалось. В процессе прове</w:t>
      </w:r>
      <w:r w:rsidRPr="008127F8">
        <w:rPr>
          <w:rFonts w:ascii="Times New Roman" w:hAnsi="Times New Roman"/>
          <w:noProof/>
          <w:color w:val="000000" w:themeColor="text1"/>
          <w:sz w:val="16"/>
          <w:szCs w:val="16"/>
        </w:rPr>
        <w:softHyphen/>
        <w:t>дения испытаний в передней установке смонти</w:t>
      </w:r>
      <w:r w:rsidRPr="008127F8">
        <w:rPr>
          <w:rFonts w:ascii="Times New Roman" w:hAnsi="Times New Roman"/>
          <w:noProof/>
          <w:color w:val="000000" w:themeColor="text1"/>
          <w:sz w:val="16"/>
          <w:szCs w:val="16"/>
        </w:rPr>
        <w:softHyphen/>
        <w:t>ровали 20-мм пушку ШВАК, а на подфюзеляж- ной турели - пулемет УБК калибра 12,7 мм.</w:t>
      </w:r>
    </w:p>
    <w:p w14:paraId="0A03427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Кроме неудовлетворительной работы дви</w:t>
      </w:r>
      <w:r w:rsidRPr="008127F8">
        <w:rPr>
          <w:rFonts w:ascii="Times New Roman" w:hAnsi="Times New Roman"/>
          <w:noProof/>
          <w:color w:val="000000" w:themeColor="text1"/>
          <w:sz w:val="16"/>
          <w:szCs w:val="16"/>
        </w:rPr>
        <w:softHyphen/>
        <w:t>гателей выявилось достаточное количество иных проблем и недостатков. В частности, из</w:t>
      </w:r>
      <w:r w:rsidRPr="008127F8">
        <w:rPr>
          <w:rFonts w:ascii="Times New Roman" w:hAnsi="Times New Roman"/>
          <w:noProof/>
          <w:color w:val="000000" w:themeColor="text1"/>
          <w:sz w:val="16"/>
          <w:szCs w:val="16"/>
        </w:rPr>
        <w:softHyphen/>
        <w:t>начально заложенные малые габариты кабины штурмана и пилота определили недостаточный обзор из них, затруднение посадки в самолет и выбрасывания с парашютом. Установленная пушка ШВАК закрывала обзор штурману и ме</w:t>
      </w:r>
      <w:r w:rsidRPr="008127F8">
        <w:rPr>
          <w:rFonts w:ascii="Times New Roman" w:hAnsi="Times New Roman"/>
          <w:noProof/>
          <w:color w:val="000000" w:themeColor="text1"/>
          <w:sz w:val="16"/>
          <w:szCs w:val="16"/>
        </w:rPr>
        <w:softHyphen/>
        <w:t>шала наведению на цель при выходе на боевой курс. Нужно отметить, что указанный недоста</w:t>
      </w:r>
      <w:r w:rsidRPr="008127F8">
        <w:rPr>
          <w:rFonts w:ascii="Times New Roman" w:hAnsi="Times New Roman"/>
          <w:noProof/>
          <w:color w:val="000000" w:themeColor="text1"/>
          <w:sz w:val="16"/>
          <w:szCs w:val="16"/>
        </w:rPr>
        <w:softHyphen/>
        <w:t>ток был отмечен еще до проведения первых полетов, поэтому уже в начале 1942 г. велись разработки новой передней гермокабины и бомбового отсека.</w:t>
      </w:r>
    </w:p>
    <w:p w14:paraId="3A191FC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ходе продолжения испытаний самолет ле</w:t>
      </w:r>
      <w:r w:rsidRPr="008127F8">
        <w:rPr>
          <w:rFonts w:ascii="Times New Roman" w:hAnsi="Times New Roman"/>
          <w:noProof/>
          <w:color w:val="000000" w:themeColor="text1"/>
          <w:sz w:val="16"/>
          <w:szCs w:val="16"/>
        </w:rPr>
        <w:softHyphen/>
        <w:t>тал с двигателями М-120, которые не развива</w:t>
      </w:r>
      <w:r w:rsidRPr="008127F8">
        <w:rPr>
          <w:rFonts w:ascii="Times New Roman" w:hAnsi="Times New Roman"/>
          <w:noProof/>
          <w:color w:val="000000" w:themeColor="text1"/>
          <w:sz w:val="16"/>
          <w:szCs w:val="16"/>
        </w:rPr>
        <w:softHyphen/>
        <w:t>ли полную мощность, кроме того, при подъеме на высоту не использовались турбокомпрессо</w:t>
      </w:r>
      <w:r w:rsidRPr="008127F8">
        <w:rPr>
          <w:rFonts w:ascii="Times New Roman" w:hAnsi="Times New Roman"/>
          <w:noProof/>
          <w:color w:val="000000" w:themeColor="text1"/>
          <w:sz w:val="16"/>
          <w:szCs w:val="16"/>
        </w:rPr>
        <w:softHyphen/>
        <w:t>ры. Это определило скромные достигнутые ре</w:t>
      </w:r>
      <w:r w:rsidRPr="008127F8">
        <w:rPr>
          <w:rFonts w:ascii="Times New Roman" w:hAnsi="Times New Roman"/>
          <w:noProof/>
          <w:color w:val="000000" w:themeColor="text1"/>
          <w:sz w:val="16"/>
          <w:szCs w:val="16"/>
        </w:rPr>
        <w:softHyphen/>
        <w:t>зультаты испытаний: потолок составил 8300 метров, максимальная скорость - 542 км/ч на высоте 6250 метров.</w:t>
      </w:r>
    </w:p>
    <w:p w14:paraId="70E5D622"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июне 1942 г. на самолете заменили си</w:t>
      </w:r>
      <w:r w:rsidRPr="008127F8">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8127F8">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8127F8">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8127F8">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8127F8">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8127F8">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8127F8">
        <w:rPr>
          <w:rFonts w:ascii="Times New Roman" w:hAnsi="Times New Roman"/>
          <w:noProof/>
          <w:color w:val="000000" w:themeColor="text1"/>
          <w:sz w:val="16"/>
          <w:szCs w:val="16"/>
        </w:rPr>
        <w:softHyphen/>
        <w:t>ния высотных машин.</w:t>
      </w:r>
    </w:p>
    <w:p w14:paraId="3C54CE5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6F4095" w:rsidRPr="008127F8" w14:paraId="52AAF620" w14:textId="77777777">
        <w:trPr>
          <w:trHeight w:val="197"/>
        </w:trPr>
        <w:tc>
          <w:tcPr>
            <w:tcW w:w="2558" w:type="dxa"/>
            <w:tcBorders>
              <w:top w:val="single" w:sz="12" w:space="0" w:color="auto"/>
            </w:tcBorders>
            <w:shd w:val="clear" w:color="auto" w:fill="FFFFFF"/>
          </w:tcPr>
          <w:p w14:paraId="1C7BA5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4E8B384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4DFA4FF6"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16DA603E"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r>
      <w:tr w:rsidR="006F4095" w:rsidRPr="008127F8" w14:paraId="5533A2E1" w14:textId="77777777">
        <w:trPr>
          <w:trHeight w:val="173"/>
        </w:trPr>
        <w:tc>
          <w:tcPr>
            <w:tcW w:w="2558" w:type="dxa"/>
            <w:shd w:val="clear" w:color="auto" w:fill="FFFFFF"/>
          </w:tcPr>
          <w:p w14:paraId="03B10E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3A740BA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1940 г.</w:t>
            </w:r>
          </w:p>
        </w:tc>
        <w:tc>
          <w:tcPr>
            <w:tcW w:w="1910" w:type="dxa"/>
            <w:shd w:val="clear" w:color="auto" w:fill="FFFFFF"/>
          </w:tcPr>
          <w:p w14:paraId="10F072E5"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2хМ-120ТК</w:t>
            </w:r>
          </w:p>
        </w:tc>
        <w:tc>
          <w:tcPr>
            <w:tcW w:w="1027" w:type="dxa"/>
            <w:shd w:val="clear" w:color="auto" w:fill="FFFFFF"/>
          </w:tcPr>
          <w:p w14:paraId="7374718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2хМ-71 ТК-3</w:t>
            </w:r>
          </w:p>
        </w:tc>
      </w:tr>
      <w:tr w:rsidR="006F4095" w:rsidRPr="008127F8" w14:paraId="14084CD1" w14:textId="77777777">
        <w:trPr>
          <w:trHeight w:val="178"/>
        </w:trPr>
        <w:tc>
          <w:tcPr>
            <w:tcW w:w="2558" w:type="dxa"/>
            <w:shd w:val="clear" w:color="auto" w:fill="FFFFFF"/>
          </w:tcPr>
          <w:p w14:paraId="38FC67F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Размах крыла (м)</w:t>
            </w:r>
          </w:p>
        </w:tc>
        <w:tc>
          <w:tcPr>
            <w:tcW w:w="950" w:type="dxa"/>
            <w:shd w:val="clear" w:color="auto" w:fill="FFFFFF"/>
          </w:tcPr>
          <w:p w14:paraId="462DE4A5"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w:t>
            </w:r>
          </w:p>
        </w:tc>
        <w:tc>
          <w:tcPr>
            <w:tcW w:w="1910" w:type="dxa"/>
            <w:shd w:val="clear" w:color="auto" w:fill="FFFFFF"/>
          </w:tcPr>
          <w:p w14:paraId="69A96D5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25,168</w:t>
            </w:r>
          </w:p>
        </w:tc>
        <w:tc>
          <w:tcPr>
            <w:tcW w:w="1027" w:type="dxa"/>
            <w:shd w:val="clear" w:color="auto" w:fill="FFFFFF"/>
          </w:tcPr>
          <w:p w14:paraId="23D3EBC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25,22</w:t>
            </w:r>
          </w:p>
        </w:tc>
      </w:tr>
      <w:tr w:rsidR="006F4095" w:rsidRPr="008127F8" w14:paraId="6A64651F" w14:textId="77777777">
        <w:trPr>
          <w:trHeight w:val="163"/>
        </w:trPr>
        <w:tc>
          <w:tcPr>
            <w:tcW w:w="2558" w:type="dxa"/>
            <w:shd w:val="clear" w:color="auto" w:fill="FFFFFF"/>
          </w:tcPr>
          <w:p w14:paraId="1D77B18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Длина (м)</w:t>
            </w:r>
          </w:p>
        </w:tc>
        <w:tc>
          <w:tcPr>
            <w:tcW w:w="950" w:type="dxa"/>
            <w:shd w:val="clear" w:color="auto" w:fill="FFFFFF"/>
          </w:tcPr>
          <w:p w14:paraId="13E1C24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910" w:type="dxa"/>
            <w:shd w:val="clear" w:color="auto" w:fill="FFFFFF"/>
          </w:tcPr>
          <w:p w14:paraId="56E7403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027" w:type="dxa"/>
            <w:shd w:val="clear" w:color="auto" w:fill="FFFFFF"/>
          </w:tcPr>
          <w:p w14:paraId="00983636"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20,30</w:t>
            </w:r>
          </w:p>
        </w:tc>
      </w:tr>
      <w:tr w:rsidR="006F4095" w:rsidRPr="008127F8" w14:paraId="1B3EF548" w14:textId="77777777">
        <w:trPr>
          <w:trHeight w:val="178"/>
        </w:trPr>
        <w:tc>
          <w:tcPr>
            <w:tcW w:w="2558" w:type="dxa"/>
            <w:shd w:val="clear" w:color="auto" w:fill="FFFFFF"/>
          </w:tcPr>
          <w:p w14:paraId="2888363F"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Площадь крыла (м</w:t>
            </w:r>
            <w:r w:rsidRPr="008127F8">
              <w:rPr>
                <w:rFonts w:ascii="Times New Roman" w:hAnsi="Times New Roman"/>
                <w:noProof/>
                <w:color w:val="000000" w:themeColor="text1"/>
                <w:sz w:val="16"/>
                <w:szCs w:val="16"/>
                <w:vertAlign w:val="superscript"/>
                <w:lang w:val="en-US"/>
              </w:rPr>
              <w:t>г</w:t>
            </w:r>
            <w:r w:rsidRPr="008127F8">
              <w:rPr>
                <w:rFonts w:ascii="Times New Roman" w:hAnsi="Times New Roman"/>
                <w:noProof/>
                <w:color w:val="000000" w:themeColor="text1"/>
                <w:sz w:val="16"/>
                <w:szCs w:val="16"/>
                <w:lang w:val="en-US"/>
              </w:rPr>
              <w:t>)</w:t>
            </w:r>
          </w:p>
        </w:tc>
        <w:tc>
          <w:tcPr>
            <w:tcW w:w="950" w:type="dxa"/>
            <w:shd w:val="clear" w:color="auto" w:fill="FFFFFF"/>
          </w:tcPr>
          <w:p w14:paraId="0C95E7F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78,0</w:t>
            </w:r>
          </w:p>
        </w:tc>
        <w:tc>
          <w:tcPr>
            <w:tcW w:w="1910" w:type="dxa"/>
            <w:shd w:val="clear" w:color="auto" w:fill="FFFFFF"/>
          </w:tcPr>
          <w:p w14:paraId="6DF13A88"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78,34</w:t>
            </w:r>
          </w:p>
        </w:tc>
        <w:tc>
          <w:tcPr>
            <w:tcW w:w="1027" w:type="dxa"/>
            <w:shd w:val="clear" w:color="auto" w:fill="FFFFFF"/>
          </w:tcPr>
          <w:p w14:paraId="5A5F7601"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78,8</w:t>
            </w:r>
          </w:p>
        </w:tc>
      </w:tr>
      <w:tr w:rsidR="006F4095" w:rsidRPr="008127F8" w14:paraId="181E5A55" w14:textId="77777777">
        <w:trPr>
          <w:trHeight w:val="173"/>
        </w:trPr>
        <w:tc>
          <w:tcPr>
            <w:tcW w:w="2558" w:type="dxa"/>
            <w:shd w:val="clear" w:color="auto" w:fill="FFFFFF"/>
          </w:tcPr>
          <w:p w14:paraId="59549AB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Вес пустого (кг)</w:t>
            </w:r>
          </w:p>
        </w:tc>
        <w:tc>
          <w:tcPr>
            <w:tcW w:w="950" w:type="dxa"/>
            <w:shd w:val="clear" w:color="auto" w:fill="FFFFFF"/>
          </w:tcPr>
          <w:p w14:paraId="1DC0CE07"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10392</w:t>
            </w:r>
          </w:p>
        </w:tc>
        <w:tc>
          <w:tcPr>
            <w:tcW w:w="1910" w:type="dxa"/>
            <w:shd w:val="clear" w:color="auto" w:fill="FFFFFF"/>
          </w:tcPr>
          <w:p w14:paraId="08ACB112"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11873</w:t>
            </w:r>
          </w:p>
        </w:tc>
        <w:tc>
          <w:tcPr>
            <w:tcW w:w="1027" w:type="dxa"/>
            <w:shd w:val="clear" w:color="auto" w:fill="FFFFFF"/>
          </w:tcPr>
          <w:p w14:paraId="6411C0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FEE034" w14:textId="77777777">
        <w:trPr>
          <w:trHeight w:val="158"/>
        </w:trPr>
        <w:tc>
          <w:tcPr>
            <w:tcW w:w="2558" w:type="dxa"/>
            <w:shd w:val="clear" w:color="auto" w:fill="FFFFFF"/>
          </w:tcPr>
          <w:p w14:paraId="5F7C2AE5"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(кг)</w:t>
            </w:r>
          </w:p>
        </w:tc>
        <w:tc>
          <w:tcPr>
            <w:tcW w:w="950" w:type="dxa"/>
            <w:shd w:val="clear" w:color="auto" w:fill="FFFFFF"/>
          </w:tcPr>
          <w:p w14:paraId="39867FF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14705</w:t>
            </w:r>
          </w:p>
        </w:tc>
        <w:tc>
          <w:tcPr>
            <w:tcW w:w="1910" w:type="dxa"/>
            <w:shd w:val="clear" w:color="auto" w:fill="FFFFFF"/>
          </w:tcPr>
          <w:p w14:paraId="77E8DCD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15183</w:t>
            </w:r>
          </w:p>
        </w:tc>
        <w:tc>
          <w:tcPr>
            <w:tcW w:w="1027" w:type="dxa"/>
            <w:shd w:val="clear" w:color="auto" w:fill="FFFFFF"/>
          </w:tcPr>
          <w:p w14:paraId="3B6DB67E"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15500</w:t>
            </w:r>
          </w:p>
        </w:tc>
      </w:tr>
      <w:tr w:rsidR="006F4095" w:rsidRPr="008127F8" w14:paraId="12905787" w14:textId="77777777">
        <w:trPr>
          <w:trHeight w:val="168"/>
        </w:trPr>
        <w:tc>
          <w:tcPr>
            <w:tcW w:w="2558" w:type="dxa"/>
            <w:shd w:val="clear" w:color="auto" w:fill="FFFFFF"/>
          </w:tcPr>
          <w:p w14:paraId="1EEC225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63EDB8A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15245</w:t>
            </w:r>
          </w:p>
        </w:tc>
        <w:tc>
          <w:tcPr>
            <w:tcW w:w="1910" w:type="dxa"/>
            <w:shd w:val="clear" w:color="auto" w:fill="FFFFFF"/>
          </w:tcPr>
          <w:p w14:paraId="31D27541"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18500</w:t>
            </w:r>
          </w:p>
        </w:tc>
        <w:tc>
          <w:tcPr>
            <w:tcW w:w="1027" w:type="dxa"/>
            <w:shd w:val="clear" w:color="auto" w:fill="FFFFFF"/>
          </w:tcPr>
          <w:p w14:paraId="71E8FF20"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17800</w:t>
            </w:r>
          </w:p>
        </w:tc>
      </w:tr>
      <w:tr w:rsidR="006F4095" w:rsidRPr="008127F8" w14:paraId="5252F75E" w14:textId="77777777">
        <w:trPr>
          <w:trHeight w:val="178"/>
        </w:trPr>
        <w:tc>
          <w:tcPr>
            <w:tcW w:w="2558" w:type="dxa"/>
            <w:shd w:val="clear" w:color="auto" w:fill="FFFFFF"/>
          </w:tcPr>
          <w:p w14:paraId="467A94E8"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Нагрузка на крыло (кг/м</w:t>
            </w:r>
            <w:r w:rsidRPr="008127F8">
              <w:rPr>
                <w:rFonts w:ascii="Times New Roman" w:hAnsi="Times New Roman"/>
                <w:noProof/>
                <w:color w:val="000000" w:themeColor="text1"/>
                <w:sz w:val="16"/>
                <w:szCs w:val="16"/>
                <w:vertAlign w:val="superscript"/>
              </w:rPr>
              <w:t>г</w:t>
            </w:r>
            <w:r w:rsidRPr="008127F8">
              <w:rPr>
                <w:rFonts w:ascii="Times New Roman" w:hAnsi="Times New Roman"/>
                <w:noProof/>
                <w:color w:val="000000" w:themeColor="text1"/>
                <w:sz w:val="16"/>
                <w:szCs w:val="16"/>
              </w:rPr>
              <w:t>)</w:t>
            </w:r>
          </w:p>
        </w:tc>
        <w:tc>
          <w:tcPr>
            <w:tcW w:w="950" w:type="dxa"/>
            <w:shd w:val="clear" w:color="auto" w:fill="FFFFFF"/>
          </w:tcPr>
          <w:p w14:paraId="67AF715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188,5 *</w:t>
            </w:r>
          </w:p>
        </w:tc>
        <w:tc>
          <w:tcPr>
            <w:tcW w:w="1910" w:type="dxa"/>
            <w:shd w:val="clear" w:color="auto" w:fill="FFFFFF"/>
          </w:tcPr>
          <w:p w14:paraId="509B96AE"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193,8</w:t>
            </w:r>
          </w:p>
        </w:tc>
        <w:tc>
          <w:tcPr>
            <w:tcW w:w="1027" w:type="dxa"/>
            <w:shd w:val="clear" w:color="auto" w:fill="FFFFFF"/>
          </w:tcPr>
          <w:p w14:paraId="7BF0720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225,8</w:t>
            </w:r>
          </w:p>
        </w:tc>
      </w:tr>
      <w:tr w:rsidR="006F4095" w:rsidRPr="008127F8" w14:paraId="5433B240" w14:textId="77777777">
        <w:trPr>
          <w:trHeight w:val="173"/>
        </w:trPr>
        <w:tc>
          <w:tcPr>
            <w:tcW w:w="2558" w:type="dxa"/>
            <w:shd w:val="clear" w:color="auto" w:fill="FFFFFF"/>
          </w:tcPr>
          <w:p w14:paraId="53E8AAF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Скорость макс. Н=0 (км/ч)</w:t>
            </w:r>
          </w:p>
        </w:tc>
        <w:tc>
          <w:tcPr>
            <w:tcW w:w="950" w:type="dxa"/>
            <w:shd w:val="clear" w:color="auto" w:fill="FFFFFF"/>
          </w:tcPr>
          <w:p w14:paraId="1FF47D96"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486</w:t>
            </w:r>
          </w:p>
        </w:tc>
        <w:tc>
          <w:tcPr>
            <w:tcW w:w="1910" w:type="dxa"/>
            <w:shd w:val="clear" w:color="auto" w:fill="FFFFFF"/>
          </w:tcPr>
          <w:p w14:paraId="01829686"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456</w:t>
            </w:r>
          </w:p>
        </w:tc>
        <w:tc>
          <w:tcPr>
            <w:tcW w:w="1027" w:type="dxa"/>
            <w:shd w:val="clear" w:color="auto" w:fill="FFFFFF"/>
          </w:tcPr>
          <w:p w14:paraId="09D53A8C"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440</w:t>
            </w:r>
          </w:p>
        </w:tc>
      </w:tr>
      <w:tr w:rsidR="006F4095" w:rsidRPr="008127F8" w14:paraId="6FAA053F" w14:textId="77777777">
        <w:trPr>
          <w:trHeight w:val="173"/>
        </w:trPr>
        <w:tc>
          <w:tcPr>
            <w:tcW w:w="2558" w:type="dxa"/>
            <w:shd w:val="clear" w:color="auto" w:fill="FFFFFF"/>
          </w:tcPr>
          <w:p w14:paraId="5E4A18B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Скорость макс, (км/ч)</w:t>
            </w:r>
          </w:p>
        </w:tc>
        <w:tc>
          <w:tcPr>
            <w:tcW w:w="950" w:type="dxa"/>
            <w:shd w:val="clear" w:color="auto" w:fill="FFFFFF"/>
          </w:tcPr>
          <w:p w14:paraId="5BA38710"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620</w:t>
            </w:r>
          </w:p>
        </w:tc>
        <w:tc>
          <w:tcPr>
            <w:tcW w:w="1910" w:type="dxa"/>
            <w:shd w:val="clear" w:color="auto" w:fill="FFFFFF"/>
          </w:tcPr>
          <w:p w14:paraId="2B815571"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545</w:t>
            </w:r>
          </w:p>
        </w:tc>
        <w:tc>
          <w:tcPr>
            <w:tcW w:w="1027" w:type="dxa"/>
            <w:shd w:val="clear" w:color="auto" w:fill="FFFFFF"/>
          </w:tcPr>
          <w:p w14:paraId="1BB7A7B8"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570</w:t>
            </w:r>
          </w:p>
        </w:tc>
      </w:tr>
      <w:tr w:rsidR="006F4095" w:rsidRPr="008127F8" w14:paraId="1CE61B1C" w14:textId="77777777">
        <w:trPr>
          <w:trHeight w:val="158"/>
        </w:trPr>
        <w:tc>
          <w:tcPr>
            <w:tcW w:w="2558" w:type="dxa"/>
            <w:shd w:val="clear" w:color="auto" w:fill="FFFFFF"/>
          </w:tcPr>
          <w:p w14:paraId="6898460F"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 высоте (м)</w:t>
            </w:r>
          </w:p>
        </w:tc>
        <w:tc>
          <w:tcPr>
            <w:tcW w:w="950" w:type="dxa"/>
            <w:shd w:val="clear" w:color="auto" w:fill="FFFFFF"/>
          </w:tcPr>
          <w:p w14:paraId="34C4972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10000</w:t>
            </w:r>
          </w:p>
        </w:tc>
        <w:tc>
          <w:tcPr>
            <w:tcW w:w="1910" w:type="dxa"/>
            <w:shd w:val="clear" w:color="auto" w:fill="FFFFFF"/>
          </w:tcPr>
          <w:p w14:paraId="74E85822"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6000</w:t>
            </w:r>
          </w:p>
        </w:tc>
        <w:tc>
          <w:tcPr>
            <w:tcW w:w="1027" w:type="dxa"/>
            <w:shd w:val="clear" w:color="auto" w:fill="FFFFFF"/>
          </w:tcPr>
          <w:p w14:paraId="108A18C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8500</w:t>
            </w:r>
          </w:p>
        </w:tc>
      </w:tr>
      <w:tr w:rsidR="006F4095" w:rsidRPr="008127F8" w14:paraId="63D8DA02" w14:textId="77777777">
        <w:trPr>
          <w:trHeight w:val="178"/>
        </w:trPr>
        <w:tc>
          <w:tcPr>
            <w:tcW w:w="2558" w:type="dxa"/>
            <w:shd w:val="clear" w:color="auto" w:fill="FFFFFF"/>
          </w:tcPr>
          <w:p w14:paraId="42AAC236"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2BE95E92"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115</w:t>
            </w:r>
          </w:p>
        </w:tc>
        <w:tc>
          <w:tcPr>
            <w:tcW w:w="1910" w:type="dxa"/>
            <w:shd w:val="clear" w:color="auto" w:fill="FFFFFF"/>
          </w:tcPr>
          <w:p w14:paraId="32DDCF6C"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w:t>
            </w:r>
          </w:p>
        </w:tc>
        <w:tc>
          <w:tcPr>
            <w:tcW w:w="1027" w:type="dxa"/>
            <w:shd w:val="clear" w:color="auto" w:fill="FFFFFF"/>
          </w:tcPr>
          <w:p w14:paraId="026B278C"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130</w:t>
            </w:r>
          </w:p>
        </w:tc>
      </w:tr>
      <w:tr w:rsidR="006F4095" w:rsidRPr="008127F8" w14:paraId="1B48DA1B" w14:textId="77777777">
        <w:trPr>
          <w:trHeight w:val="163"/>
        </w:trPr>
        <w:tc>
          <w:tcPr>
            <w:tcW w:w="2558" w:type="dxa"/>
            <w:shd w:val="clear" w:color="auto" w:fill="FFFFFF"/>
          </w:tcPr>
          <w:p w14:paraId="113068C1"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092F7F6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13,8 **</w:t>
            </w:r>
          </w:p>
        </w:tc>
        <w:tc>
          <w:tcPr>
            <w:tcW w:w="1910" w:type="dxa"/>
            <w:shd w:val="clear" w:color="auto" w:fill="FFFFFF"/>
          </w:tcPr>
          <w:p w14:paraId="7E37F466"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c>
          <w:tcPr>
            <w:tcW w:w="1027" w:type="dxa"/>
            <w:shd w:val="clear" w:color="auto" w:fill="FFFFFF"/>
          </w:tcPr>
          <w:p w14:paraId="43A7E6A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r>
      <w:tr w:rsidR="006F4095" w:rsidRPr="008127F8" w14:paraId="0C8D0902" w14:textId="77777777">
        <w:trPr>
          <w:trHeight w:val="168"/>
        </w:trPr>
        <w:tc>
          <w:tcPr>
            <w:tcW w:w="2558" w:type="dxa"/>
            <w:shd w:val="clear" w:color="auto" w:fill="FFFFFF"/>
          </w:tcPr>
          <w:p w14:paraId="54E4092F"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4B4145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2224D7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7A64EA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B6F7B7" w14:textId="77777777">
        <w:trPr>
          <w:trHeight w:val="178"/>
        </w:trPr>
        <w:tc>
          <w:tcPr>
            <w:tcW w:w="2558" w:type="dxa"/>
            <w:shd w:val="clear" w:color="auto" w:fill="FFFFFF"/>
          </w:tcPr>
          <w:p w14:paraId="199F50E5"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нагрузкой 1000 кг(км)</w:t>
            </w:r>
          </w:p>
        </w:tc>
        <w:tc>
          <w:tcPr>
            <w:tcW w:w="950" w:type="dxa"/>
            <w:shd w:val="clear" w:color="auto" w:fill="FFFFFF"/>
          </w:tcPr>
          <w:p w14:paraId="0FEF196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3850</w:t>
            </w:r>
          </w:p>
        </w:tc>
        <w:tc>
          <w:tcPr>
            <w:tcW w:w="1910" w:type="dxa"/>
            <w:shd w:val="clear" w:color="auto" w:fill="FFFFFF"/>
          </w:tcPr>
          <w:p w14:paraId="62ADCDA5"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3440</w:t>
            </w:r>
          </w:p>
        </w:tc>
        <w:tc>
          <w:tcPr>
            <w:tcW w:w="1027" w:type="dxa"/>
            <w:shd w:val="clear" w:color="auto" w:fill="FFFFFF"/>
          </w:tcPr>
          <w:p w14:paraId="40B7153F"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3470</w:t>
            </w:r>
          </w:p>
        </w:tc>
      </w:tr>
      <w:tr w:rsidR="006F4095" w:rsidRPr="008127F8" w14:paraId="1026993C" w14:textId="77777777">
        <w:trPr>
          <w:trHeight w:val="178"/>
        </w:trPr>
        <w:tc>
          <w:tcPr>
            <w:tcW w:w="2558" w:type="dxa"/>
            <w:tcBorders>
              <w:bottom w:val="single" w:sz="12" w:space="0" w:color="auto"/>
            </w:tcBorders>
            <w:shd w:val="clear" w:color="auto" w:fill="FFFFFF"/>
          </w:tcPr>
          <w:p w14:paraId="6849FB8C"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7944226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45E946A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21493297"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10750***</w:t>
            </w:r>
          </w:p>
        </w:tc>
      </w:tr>
    </w:tbl>
    <w:p w14:paraId="33D1462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w:t>
      </w:r>
      <w:r w:rsidRPr="008127F8">
        <w:rPr>
          <w:rFonts w:ascii="Times New Roman" w:hAnsi="Times New Roman"/>
          <w:noProof/>
          <w:color w:val="000000" w:themeColor="text1"/>
          <w:sz w:val="16"/>
          <w:szCs w:val="16"/>
          <w:lang w:val="en-US"/>
        </w:rPr>
        <w:t>с нормальным взлетным весом</w:t>
      </w:r>
    </w:p>
    <w:p w14:paraId="7E7BFD5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расчетное значение для высоты 5000 м</w:t>
      </w:r>
    </w:p>
    <w:p w14:paraId="75B3940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достигнупотолок</w:t>
      </w:r>
      <w:r w:rsidRPr="008127F8">
        <w:rPr>
          <w:rFonts w:ascii="Times New Roman" w:hAnsi="Times New Roman"/>
          <w:color w:val="000000" w:themeColor="text1"/>
          <w:sz w:val="16"/>
          <w:szCs w:val="16"/>
        </w:rPr>
        <w:t xml:space="preserve"> (11941).</w:t>
      </w:r>
    </w:p>
    <w:p w14:paraId="0543AAA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0FF609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года гл. конструктор завода N 22 Незваль писал письмо Шахурину.</w:t>
      </w:r>
    </w:p>
    <w:p w14:paraId="6CC62F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 записка</w:t>
      </w:r>
    </w:p>
    <w:p w14:paraId="0A22FE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Пе-8, имея на сегодня несколько ограниченную емкость бомбодержателей (равную в максимальном варианте 4400 кг), при выполнении боевых заданий по близким целям зачастую полностью не использует своей грузоподъемности, причем наибольшая недогрузка бомб получается при подвеске бомб среднего калибра.</w:t>
      </w:r>
    </w:p>
    <w:p w14:paraId="7B9858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же время имеются сведения о том, что бомбовая нагрузка иностранных четырехмоторных бомбардировщиков значительно превышает бомбовую нагрузку самолета Пе-8.</w:t>
      </w:r>
    </w:p>
    <w:p w14:paraId="1E9935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приведенные обстоятельства, Конструкторский отдел завода N 22 по самолету Пе-8 поставил перед собой задачу о доведении общей емкости бомбодержателей до 7000 кг с одновременным увеличением внутренней подвески бомб калибра 250, 500 и 1000 кг, а также с подвеской внутри фюзеляжа проектирующейся бомбы в 5000 кг.</w:t>
      </w:r>
    </w:p>
    <w:p w14:paraId="769308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Сохранение предельной дальности полета с увеличенной бомбовой нагрузкой достигается с одной стороны некоторым увеличением полетного веса (до 37,5 тонн) с сохранением взлетных качеств самолета, а с другой - уменьшением километровых расходов топлива за счет улучшения качества самолета. Для решения этой задачи нами разработана конструкция более глубокого убирания шасси (с одновременным увеличением его прочности) убирание хвостового колеса, устранение щелей и выступающих частей, а также улучшение поверхностей.</w:t>
      </w:r>
    </w:p>
    <w:p w14:paraId="01C79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проведения модификации, самолет Пе-8, оборудованный более мощными дизель-моторами М-30В, будет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2401"/>
        <w:gridCol w:w="2401"/>
      </w:tblGrid>
      <w:tr w:rsidR="006F4095" w:rsidRPr="008127F8" w14:paraId="2A901135" w14:textId="77777777">
        <w:tc>
          <w:tcPr>
            <w:tcW w:w="3652" w:type="dxa"/>
            <w:tcBorders>
              <w:top w:val="single" w:sz="12" w:space="0" w:color="auto"/>
            </w:tcBorders>
          </w:tcPr>
          <w:p w14:paraId="618B15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Максим. скорость у земли в км/час</w:t>
            </w:r>
          </w:p>
        </w:tc>
        <w:tc>
          <w:tcPr>
            <w:tcW w:w="2401" w:type="dxa"/>
            <w:tcBorders>
              <w:top w:val="single" w:sz="12" w:space="0" w:color="auto"/>
            </w:tcBorders>
          </w:tcPr>
          <w:p w14:paraId="2FB448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w:t>
            </w:r>
          </w:p>
        </w:tc>
        <w:tc>
          <w:tcPr>
            <w:tcW w:w="2401" w:type="dxa"/>
            <w:tcBorders>
              <w:top w:val="single" w:sz="12" w:space="0" w:color="auto"/>
            </w:tcBorders>
          </w:tcPr>
          <w:p w14:paraId="325CBB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w:t>
            </w:r>
          </w:p>
        </w:tc>
      </w:tr>
      <w:tr w:rsidR="006F4095" w:rsidRPr="008127F8" w14:paraId="5E13DBA0" w14:textId="77777777">
        <w:tc>
          <w:tcPr>
            <w:tcW w:w="3652" w:type="dxa"/>
          </w:tcPr>
          <w:p w14:paraId="73F0DD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Максим. скорость на расчетной высоте</w:t>
            </w:r>
          </w:p>
        </w:tc>
        <w:tc>
          <w:tcPr>
            <w:tcW w:w="2401" w:type="dxa"/>
          </w:tcPr>
          <w:p w14:paraId="7A6850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475/6000</w:t>
            </w:r>
          </w:p>
        </w:tc>
        <w:tc>
          <w:tcPr>
            <w:tcW w:w="2401" w:type="dxa"/>
          </w:tcPr>
          <w:p w14:paraId="0EE764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тн</w:t>
            </w:r>
          </w:p>
        </w:tc>
      </w:tr>
      <w:tr w:rsidR="006F4095" w:rsidRPr="008127F8" w14:paraId="3F6EE41A" w14:textId="77777777">
        <w:tc>
          <w:tcPr>
            <w:tcW w:w="3652" w:type="dxa"/>
          </w:tcPr>
          <w:p w14:paraId="3ADD75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Потолок практический в м</w:t>
            </w:r>
          </w:p>
        </w:tc>
        <w:tc>
          <w:tcPr>
            <w:tcW w:w="2401" w:type="dxa"/>
          </w:tcPr>
          <w:p w14:paraId="5CEAAF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9300</w:t>
            </w:r>
          </w:p>
        </w:tc>
        <w:tc>
          <w:tcPr>
            <w:tcW w:w="2401" w:type="dxa"/>
          </w:tcPr>
          <w:p w14:paraId="3263F3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2402D4" w14:textId="77777777">
        <w:tc>
          <w:tcPr>
            <w:tcW w:w="3652" w:type="dxa"/>
          </w:tcPr>
          <w:p w14:paraId="1C3198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Время набора высоты до 6000 м в мин.</w:t>
            </w:r>
          </w:p>
        </w:tc>
        <w:tc>
          <w:tcPr>
            <w:tcW w:w="2401" w:type="dxa"/>
          </w:tcPr>
          <w:p w14:paraId="35BDFF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2401" w:type="dxa"/>
          </w:tcPr>
          <w:p w14:paraId="55094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6D18C8" w14:textId="77777777">
        <w:tc>
          <w:tcPr>
            <w:tcW w:w="3652" w:type="dxa"/>
          </w:tcPr>
          <w:p w14:paraId="608D56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Длина разбега в м</w:t>
            </w:r>
          </w:p>
        </w:tc>
        <w:tc>
          <w:tcPr>
            <w:tcW w:w="2401" w:type="dxa"/>
          </w:tcPr>
          <w:p w14:paraId="2931FF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2401" w:type="dxa"/>
          </w:tcPr>
          <w:p w14:paraId="7E2D85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w:t>
            </w:r>
          </w:p>
        </w:tc>
      </w:tr>
      <w:tr w:rsidR="006F4095" w:rsidRPr="008127F8" w14:paraId="249BB844" w14:textId="77777777">
        <w:tc>
          <w:tcPr>
            <w:tcW w:w="3652" w:type="dxa"/>
            <w:tcBorders>
              <w:bottom w:val="single" w:sz="12" w:space="0" w:color="auto"/>
            </w:tcBorders>
          </w:tcPr>
          <w:p w14:paraId="7B5C84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Дальность с 4000 кг бомб в км</w:t>
            </w:r>
          </w:p>
        </w:tc>
        <w:tc>
          <w:tcPr>
            <w:tcW w:w="2401" w:type="dxa"/>
            <w:tcBorders>
              <w:bottom w:val="single" w:sz="12" w:space="0" w:color="auto"/>
            </w:tcBorders>
          </w:tcPr>
          <w:p w14:paraId="2759C5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5600</w:t>
            </w:r>
          </w:p>
        </w:tc>
        <w:tc>
          <w:tcPr>
            <w:tcW w:w="2401" w:type="dxa"/>
            <w:tcBorders>
              <w:bottom w:val="single" w:sz="12" w:space="0" w:color="auto"/>
            </w:tcBorders>
          </w:tcPr>
          <w:p w14:paraId="3A09CA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 тн</w:t>
            </w:r>
          </w:p>
        </w:tc>
      </w:tr>
    </w:tbl>
    <w:p w14:paraId="04F8DA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полетном весе 37,5 тонн с изменением бомбовой нагрузки от 0 до 7 донн самолет обладает следующей дальностью: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112"/>
        <w:gridCol w:w="1112"/>
        <w:gridCol w:w="1112"/>
        <w:gridCol w:w="1112"/>
        <w:gridCol w:w="1112"/>
        <w:gridCol w:w="1112"/>
        <w:gridCol w:w="1112"/>
        <w:gridCol w:w="1112"/>
      </w:tblGrid>
      <w:tr w:rsidR="006F4095" w:rsidRPr="008127F8" w14:paraId="4A074C32" w14:textId="77777777">
        <w:tc>
          <w:tcPr>
            <w:tcW w:w="2376" w:type="dxa"/>
            <w:tcBorders>
              <w:top w:val="single" w:sz="12" w:space="0" w:color="auto"/>
            </w:tcBorders>
          </w:tcPr>
          <w:p w14:paraId="59E70D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Бомбовая нагрузка</w:t>
            </w:r>
          </w:p>
        </w:tc>
        <w:tc>
          <w:tcPr>
            <w:tcW w:w="1112" w:type="dxa"/>
            <w:tcBorders>
              <w:top w:val="single" w:sz="12" w:space="0" w:color="auto"/>
            </w:tcBorders>
          </w:tcPr>
          <w:p w14:paraId="100C32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112" w:type="dxa"/>
            <w:tcBorders>
              <w:top w:val="single" w:sz="12" w:space="0" w:color="auto"/>
            </w:tcBorders>
          </w:tcPr>
          <w:p w14:paraId="3EFE0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тн</w:t>
            </w:r>
          </w:p>
        </w:tc>
        <w:tc>
          <w:tcPr>
            <w:tcW w:w="1112" w:type="dxa"/>
            <w:tcBorders>
              <w:top w:val="single" w:sz="12" w:space="0" w:color="auto"/>
            </w:tcBorders>
          </w:tcPr>
          <w:p w14:paraId="32F202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тн</w:t>
            </w:r>
          </w:p>
        </w:tc>
        <w:tc>
          <w:tcPr>
            <w:tcW w:w="1112" w:type="dxa"/>
            <w:tcBorders>
              <w:top w:val="single" w:sz="12" w:space="0" w:color="auto"/>
            </w:tcBorders>
          </w:tcPr>
          <w:p w14:paraId="09460F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тн</w:t>
            </w:r>
          </w:p>
        </w:tc>
        <w:tc>
          <w:tcPr>
            <w:tcW w:w="1112" w:type="dxa"/>
            <w:tcBorders>
              <w:top w:val="single" w:sz="12" w:space="0" w:color="auto"/>
            </w:tcBorders>
          </w:tcPr>
          <w:p w14:paraId="5FD187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тн</w:t>
            </w:r>
          </w:p>
        </w:tc>
        <w:tc>
          <w:tcPr>
            <w:tcW w:w="1112" w:type="dxa"/>
            <w:tcBorders>
              <w:top w:val="single" w:sz="12" w:space="0" w:color="auto"/>
            </w:tcBorders>
          </w:tcPr>
          <w:p w14:paraId="04460D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тн</w:t>
            </w:r>
          </w:p>
        </w:tc>
        <w:tc>
          <w:tcPr>
            <w:tcW w:w="1112" w:type="dxa"/>
            <w:tcBorders>
              <w:top w:val="single" w:sz="12" w:space="0" w:color="auto"/>
            </w:tcBorders>
          </w:tcPr>
          <w:p w14:paraId="0E925F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тн</w:t>
            </w:r>
          </w:p>
        </w:tc>
        <w:tc>
          <w:tcPr>
            <w:tcW w:w="1112" w:type="dxa"/>
            <w:tcBorders>
              <w:top w:val="single" w:sz="12" w:space="0" w:color="auto"/>
            </w:tcBorders>
          </w:tcPr>
          <w:p w14:paraId="205DD0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тн</w:t>
            </w:r>
          </w:p>
        </w:tc>
      </w:tr>
      <w:tr w:rsidR="006F4095" w:rsidRPr="008127F8" w14:paraId="1CFE3B3C" w14:textId="77777777">
        <w:tc>
          <w:tcPr>
            <w:tcW w:w="2376" w:type="dxa"/>
          </w:tcPr>
          <w:p w14:paraId="150306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Горючее в кг</w:t>
            </w:r>
          </w:p>
        </w:tc>
        <w:tc>
          <w:tcPr>
            <w:tcW w:w="1112" w:type="dxa"/>
          </w:tcPr>
          <w:p w14:paraId="30291B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13000</w:t>
            </w:r>
          </w:p>
        </w:tc>
        <w:tc>
          <w:tcPr>
            <w:tcW w:w="1112" w:type="dxa"/>
          </w:tcPr>
          <w:p w14:paraId="3413B1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12000</w:t>
            </w:r>
          </w:p>
        </w:tc>
        <w:tc>
          <w:tcPr>
            <w:tcW w:w="1112" w:type="dxa"/>
          </w:tcPr>
          <w:p w14:paraId="72826A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w:t>
            </w:r>
          </w:p>
        </w:tc>
        <w:tc>
          <w:tcPr>
            <w:tcW w:w="1112" w:type="dxa"/>
          </w:tcPr>
          <w:p w14:paraId="103D14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1112" w:type="dxa"/>
          </w:tcPr>
          <w:p w14:paraId="123A2F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9000</w:t>
            </w:r>
          </w:p>
        </w:tc>
        <w:tc>
          <w:tcPr>
            <w:tcW w:w="1112" w:type="dxa"/>
          </w:tcPr>
          <w:p w14:paraId="5D40D2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w:t>
            </w:r>
          </w:p>
        </w:tc>
        <w:tc>
          <w:tcPr>
            <w:tcW w:w="1112" w:type="dxa"/>
          </w:tcPr>
          <w:p w14:paraId="1AE5DF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w:t>
            </w:r>
          </w:p>
        </w:tc>
        <w:tc>
          <w:tcPr>
            <w:tcW w:w="1112" w:type="dxa"/>
          </w:tcPr>
          <w:p w14:paraId="7FCE00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tc>
      </w:tr>
      <w:tr w:rsidR="006F4095" w:rsidRPr="008127F8" w14:paraId="7D2B2767" w14:textId="77777777">
        <w:tc>
          <w:tcPr>
            <w:tcW w:w="2376" w:type="dxa"/>
            <w:tcBorders>
              <w:bottom w:val="single" w:sz="12" w:space="0" w:color="auto"/>
            </w:tcBorders>
          </w:tcPr>
          <w:p w14:paraId="60331C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c>
          <w:tcPr>
            <w:tcW w:w="1112" w:type="dxa"/>
            <w:tcBorders>
              <w:bottom w:val="single" w:sz="12" w:space="0" w:color="auto"/>
            </w:tcBorders>
          </w:tcPr>
          <w:p w14:paraId="23DFF5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8150</w:t>
            </w:r>
          </w:p>
        </w:tc>
        <w:tc>
          <w:tcPr>
            <w:tcW w:w="1112" w:type="dxa"/>
            <w:tcBorders>
              <w:bottom w:val="single" w:sz="12" w:space="0" w:color="auto"/>
            </w:tcBorders>
          </w:tcPr>
          <w:p w14:paraId="61D2B7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7500</w:t>
            </w:r>
          </w:p>
        </w:tc>
        <w:tc>
          <w:tcPr>
            <w:tcW w:w="1112" w:type="dxa"/>
            <w:tcBorders>
              <w:bottom w:val="single" w:sz="12" w:space="0" w:color="auto"/>
            </w:tcBorders>
          </w:tcPr>
          <w:p w14:paraId="6BC683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6850</w:t>
            </w:r>
          </w:p>
        </w:tc>
        <w:tc>
          <w:tcPr>
            <w:tcW w:w="1112" w:type="dxa"/>
            <w:tcBorders>
              <w:bottom w:val="single" w:sz="12" w:space="0" w:color="auto"/>
            </w:tcBorders>
          </w:tcPr>
          <w:p w14:paraId="39A570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6250</w:t>
            </w:r>
          </w:p>
        </w:tc>
        <w:tc>
          <w:tcPr>
            <w:tcW w:w="1112" w:type="dxa"/>
            <w:tcBorders>
              <w:bottom w:val="single" w:sz="12" w:space="0" w:color="auto"/>
            </w:tcBorders>
          </w:tcPr>
          <w:p w14:paraId="1ACBB2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5600</w:t>
            </w:r>
          </w:p>
        </w:tc>
        <w:tc>
          <w:tcPr>
            <w:tcW w:w="1112" w:type="dxa"/>
            <w:tcBorders>
              <w:bottom w:val="single" w:sz="12" w:space="0" w:color="auto"/>
            </w:tcBorders>
          </w:tcPr>
          <w:p w14:paraId="1386E7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4850</w:t>
            </w:r>
          </w:p>
        </w:tc>
        <w:tc>
          <w:tcPr>
            <w:tcW w:w="1112" w:type="dxa"/>
            <w:tcBorders>
              <w:bottom w:val="single" w:sz="12" w:space="0" w:color="auto"/>
            </w:tcBorders>
          </w:tcPr>
          <w:p w14:paraId="396D6A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4150</w:t>
            </w:r>
          </w:p>
        </w:tc>
        <w:tc>
          <w:tcPr>
            <w:tcW w:w="1112" w:type="dxa"/>
            <w:tcBorders>
              <w:bottom w:val="single" w:sz="12" w:space="0" w:color="auto"/>
            </w:tcBorders>
          </w:tcPr>
          <w:p w14:paraId="35A45A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w:t>
            </w:r>
          </w:p>
        </w:tc>
      </w:tr>
    </w:tbl>
    <w:p w14:paraId="7B938C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Намеченная модификация учитывает максимально сохранение имеющейся оснастки и потребует изменения конструкции отдельных частей главным образом из условий прочности. Наиболее серьезному изменению подвергнется шасси самолета.</w:t>
      </w:r>
    </w:p>
    <w:p w14:paraId="6674D0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Внося это предложение, прошу Вашего указания о включении его в план опытного строительства на 1943 год в качестве темы для моего конструкторского отдела (1667,176).</w:t>
      </w:r>
    </w:p>
    <w:p w14:paraId="2A7141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FB5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года Як-1 № 2038 был принят военной приемкой и с 23 февраля по 15 марта подвергся испытаниям на Научно-испытательном полигоне авиационного вооружения (НИП АВ) ВВС КА.</w:t>
      </w:r>
    </w:p>
    <w:p w14:paraId="68082F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1941 г. на заводе № 292 была начата постройкой </w:t>
      </w:r>
      <w:proofErr w:type="gramStart"/>
      <w:r w:rsidRPr="008127F8">
        <w:rPr>
          <w:rFonts w:ascii="Times New Roman" w:hAnsi="Times New Roman"/>
          <w:color w:val="000000" w:themeColor="text1"/>
          <w:sz w:val="16"/>
          <w:szCs w:val="16"/>
        </w:rPr>
        <w:t>экспериментальная машина (стоимостью 293 тысячи рублей)</w:t>
      </w:r>
      <w:proofErr w:type="gramEnd"/>
      <w:r w:rsidRPr="008127F8">
        <w:rPr>
          <w:rFonts w:ascii="Times New Roman" w:hAnsi="Times New Roman"/>
          <w:color w:val="000000" w:themeColor="text1"/>
          <w:sz w:val="16"/>
          <w:szCs w:val="16"/>
        </w:rPr>
        <w:t xml:space="preserve"> на которой два синхронных пулемета ШКАС были заменены на два синхронных пулемета УБ с беокомплектом 220 патронов. Начавшаяся война не дала времени на доводку и внедрение нового варианта вооружения в серийное производство.</w:t>
      </w:r>
    </w:p>
    <w:p w14:paraId="1D166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стрелковая установка полигонные испытания выдержала, однако, были отмечены серьезные дефекты, требовавшие обязательного устранения перед внедрением в серию. К маю 1942 г. была выпущена опытная серия из пяти самолетов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w:t>
      </w:r>
    </w:p>
    <w:p w14:paraId="0041D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780152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63E8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 февраля 1942 г. самолет Як-7 М-82 подготовили к полетам, но непригодность аэро</w:t>
      </w:r>
      <w:r w:rsidRPr="008A2E5A">
        <w:rPr>
          <w:rFonts w:ascii="Times New Roman" w:hAnsi="Times New Roman"/>
          <w:color w:val="0070C0"/>
          <w:sz w:val="16"/>
          <w:szCs w:val="16"/>
        </w:rPr>
        <w:softHyphen/>
        <w:t>дрома к полетам на колесах вызвала необходимость уста</w:t>
      </w:r>
      <w:r w:rsidRPr="008A2E5A">
        <w:rPr>
          <w:rFonts w:ascii="Times New Roman" w:hAnsi="Times New Roman"/>
          <w:color w:val="0070C0"/>
          <w:sz w:val="16"/>
          <w:szCs w:val="16"/>
        </w:rPr>
        <w:softHyphen/>
        <w:t>новки и отработки лыжного шасси (для фотосъемки ма</w:t>
      </w:r>
      <w:r w:rsidRPr="008A2E5A">
        <w:rPr>
          <w:rFonts w:ascii="Times New Roman" w:hAnsi="Times New Roman"/>
          <w:color w:val="0070C0"/>
          <w:sz w:val="16"/>
          <w:szCs w:val="16"/>
        </w:rPr>
        <w:softHyphen/>
        <w:t>шины лыжи поменяли на колеса, а потом вернули лыжи обратно). Затем в процесс испытаний вмешались метели, и первый полет машина сделала только 28 февраля 1942 г. После шестого полета и третий мотор пришлось заме</w:t>
      </w:r>
      <w:r w:rsidRPr="008A2E5A">
        <w:rPr>
          <w:rFonts w:ascii="Times New Roman" w:hAnsi="Times New Roman"/>
          <w:color w:val="0070C0"/>
          <w:sz w:val="16"/>
          <w:szCs w:val="16"/>
        </w:rPr>
        <w:softHyphen/>
        <w:t>нить из-за разрушения поршня. В материалах испытаний не сказано явно об использовании отсека второй кабины при проведении испытаний. Однако ряд фактов, а имен</w:t>
      </w:r>
      <w:r w:rsidRPr="008A2E5A">
        <w:rPr>
          <w:rFonts w:ascii="Times New Roman" w:hAnsi="Times New Roman"/>
          <w:color w:val="0070C0"/>
          <w:sz w:val="16"/>
          <w:szCs w:val="16"/>
        </w:rPr>
        <w:softHyphen/>
        <w:t>но установка термопар на головку каждого цилиндра, сня</w:t>
      </w:r>
      <w:r w:rsidRPr="008A2E5A">
        <w:rPr>
          <w:rFonts w:ascii="Times New Roman" w:hAnsi="Times New Roman"/>
          <w:color w:val="0070C0"/>
          <w:sz w:val="16"/>
          <w:szCs w:val="16"/>
        </w:rPr>
        <w:softHyphen/>
        <w:t>тие заднего фюзеляжного бензобака, установка в заднем отсеке приборной доски и заливного бензобака, позволя</w:t>
      </w:r>
      <w:r w:rsidRPr="008A2E5A">
        <w:rPr>
          <w:rFonts w:ascii="Times New Roman" w:hAnsi="Times New Roman"/>
          <w:color w:val="0070C0"/>
          <w:sz w:val="16"/>
          <w:szCs w:val="16"/>
        </w:rPr>
        <w:softHyphen/>
        <w:t>ет говорить о возможном участии в ряде полетов наблю</w:t>
      </w:r>
      <w:r w:rsidRPr="008A2E5A">
        <w:rPr>
          <w:rFonts w:ascii="Times New Roman" w:hAnsi="Times New Roman"/>
          <w:color w:val="0070C0"/>
          <w:sz w:val="16"/>
          <w:szCs w:val="16"/>
        </w:rPr>
        <w:softHyphen/>
        <w:t>дателя. По расчетам, максимальные скорости Як-7 М-82 должны были быть 505 км/ч на номинальном режиме, 515 км/ч на форсаже у земли и 615 км/ч на высоте 6400 м, но в первых полетах на определение летных характеристик до</w:t>
      </w:r>
      <w:r w:rsidRPr="008A2E5A">
        <w:rPr>
          <w:rFonts w:ascii="Times New Roman" w:hAnsi="Times New Roman"/>
          <w:color w:val="0070C0"/>
          <w:sz w:val="16"/>
          <w:szCs w:val="16"/>
        </w:rPr>
        <w:softHyphen/>
        <w:t>стичь заданных величин не удалось.</w:t>
      </w:r>
    </w:p>
    <w:p w14:paraId="69792EC2"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исследованию проблемы «недобора» скорости само</w:t>
      </w:r>
      <w:r w:rsidRPr="008A2E5A">
        <w:rPr>
          <w:rFonts w:ascii="Times New Roman" w:hAnsi="Times New Roman"/>
          <w:color w:val="0070C0"/>
          <w:sz w:val="16"/>
          <w:szCs w:val="16"/>
        </w:rPr>
        <w:softHyphen/>
        <w:t>летом Як-7 М-82 в марте 1942 г. подключился Новосибир</w:t>
      </w:r>
      <w:r w:rsidRPr="008A2E5A">
        <w:rPr>
          <w:rFonts w:ascii="Times New Roman" w:hAnsi="Times New Roman"/>
          <w:color w:val="0070C0"/>
          <w:sz w:val="16"/>
          <w:szCs w:val="16"/>
        </w:rPr>
        <w:softHyphen/>
        <w:t>ский филиал ЦАГИ. Расчеты показали, что ее решение на данном экземпляре машины невозможно. Для получе</w:t>
      </w:r>
      <w:r w:rsidRPr="008A2E5A">
        <w:rPr>
          <w:rFonts w:ascii="Times New Roman" w:hAnsi="Times New Roman"/>
          <w:color w:val="0070C0"/>
          <w:sz w:val="16"/>
          <w:szCs w:val="16"/>
        </w:rPr>
        <w:softHyphen/>
        <w:t>ния требуемых характеристик самолета следовало уста</w:t>
      </w:r>
      <w:r w:rsidRPr="008A2E5A">
        <w:rPr>
          <w:rFonts w:ascii="Times New Roman" w:hAnsi="Times New Roman"/>
          <w:color w:val="0070C0"/>
          <w:sz w:val="16"/>
          <w:szCs w:val="16"/>
        </w:rPr>
        <w:softHyphen/>
        <w:t>новить винт большего диаметра - 3,2 м (в процессе ис</w:t>
      </w:r>
      <w:r w:rsidRPr="008A2E5A">
        <w:rPr>
          <w:rFonts w:ascii="Times New Roman" w:hAnsi="Times New Roman"/>
          <w:color w:val="0070C0"/>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8A2E5A">
        <w:rPr>
          <w:rFonts w:ascii="Times New Roman" w:hAnsi="Times New Roman"/>
          <w:color w:val="0070C0"/>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6903BC63" w14:textId="77777777" w:rsidR="00CD7517" w:rsidRPr="008A2E5A" w:rsidRDefault="00CD7517" w:rsidP="00CD7517">
      <w:pPr>
        <w:spacing w:after="0" w:line="240" w:lineRule="auto"/>
        <w:jc w:val="both"/>
        <w:rPr>
          <w:rFonts w:ascii="Times New Roman" w:hAnsi="Times New Roman"/>
          <w:color w:val="0070C0"/>
          <w:sz w:val="16"/>
          <w:szCs w:val="16"/>
        </w:rPr>
      </w:pPr>
    </w:p>
    <w:p w14:paraId="65C705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был отпечатан Отчет о выпуске самолетов и авиамоторов за 1941 по НКАП (2133):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6F4095" w:rsidRPr="008127F8" w14:paraId="2AFE0711" w14:textId="77777777">
        <w:tc>
          <w:tcPr>
            <w:tcW w:w="1409" w:type="dxa"/>
            <w:tcBorders>
              <w:top w:val="single" w:sz="12" w:space="0" w:color="auto"/>
            </w:tcBorders>
          </w:tcPr>
          <w:p w14:paraId="1F289B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1409" w:type="dxa"/>
            <w:tcBorders>
              <w:top w:val="single" w:sz="12" w:space="0" w:color="auto"/>
            </w:tcBorders>
          </w:tcPr>
          <w:p w14:paraId="73E3CE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Изделие</w:t>
            </w:r>
          </w:p>
        </w:tc>
        <w:tc>
          <w:tcPr>
            <w:tcW w:w="1409" w:type="dxa"/>
            <w:tcBorders>
              <w:top w:val="single" w:sz="12" w:space="0" w:color="auto"/>
            </w:tcBorders>
          </w:tcPr>
          <w:p w14:paraId="057BCE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1940</w:t>
            </w:r>
          </w:p>
        </w:tc>
        <w:tc>
          <w:tcPr>
            <w:tcW w:w="1409" w:type="dxa"/>
            <w:tcBorders>
              <w:top w:val="single" w:sz="12" w:space="0" w:color="auto"/>
            </w:tcBorders>
          </w:tcPr>
          <w:p w14:paraId="79AD41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1941</w:t>
            </w:r>
          </w:p>
        </w:tc>
        <w:tc>
          <w:tcPr>
            <w:tcW w:w="1409" w:type="dxa"/>
            <w:tcBorders>
              <w:top w:val="single" w:sz="12" w:space="0" w:color="auto"/>
            </w:tcBorders>
          </w:tcPr>
          <w:p w14:paraId="06BA0F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полугодие</w:t>
            </w:r>
          </w:p>
        </w:tc>
      </w:tr>
      <w:tr w:rsidR="006F4095" w:rsidRPr="008127F8" w14:paraId="5F8BF097" w14:textId="77777777">
        <w:tc>
          <w:tcPr>
            <w:tcW w:w="1409" w:type="dxa"/>
          </w:tcPr>
          <w:p w14:paraId="6E61E2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48B0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BAA8F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59BA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24A18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r>
      <w:tr w:rsidR="006F4095" w:rsidRPr="008127F8" w14:paraId="5A853870" w14:textId="77777777">
        <w:tc>
          <w:tcPr>
            <w:tcW w:w="1409" w:type="dxa"/>
          </w:tcPr>
          <w:p w14:paraId="1699CB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252CC7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w:t>
            </w:r>
          </w:p>
        </w:tc>
        <w:tc>
          <w:tcPr>
            <w:tcW w:w="1409" w:type="dxa"/>
          </w:tcPr>
          <w:p w14:paraId="41E1D0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09" w:type="dxa"/>
          </w:tcPr>
          <w:p w14:paraId="0F011A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3070</w:t>
            </w:r>
          </w:p>
        </w:tc>
        <w:tc>
          <w:tcPr>
            <w:tcW w:w="1409" w:type="dxa"/>
          </w:tcPr>
          <w:p w14:paraId="386A21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r>
      <w:tr w:rsidR="006F4095" w:rsidRPr="008127F8" w14:paraId="03017B50" w14:textId="77777777">
        <w:tc>
          <w:tcPr>
            <w:tcW w:w="1409" w:type="dxa"/>
          </w:tcPr>
          <w:p w14:paraId="43D317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48AC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И-153</w:t>
            </w:r>
          </w:p>
        </w:tc>
        <w:tc>
          <w:tcPr>
            <w:tcW w:w="1409" w:type="dxa"/>
          </w:tcPr>
          <w:p w14:paraId="42FC1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2362</w:t>
            </w:r>
          </w:p>
        </w:tc>
        <w:tc>
          <w:tcPr>
            <w:tcW w:w="1409" w:type="dxa"/>
          </w:tcPr>
          <w:p w14:paraId="5B2567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1409" w:type="dxa"/>
          </w:tcPr>
          <w:p w14:paraId="4508F0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DDA0AE" w14:textId="77777777">
        <w:tc>
          <w:tcPr>
            <w:tcW w:w="1409" w:type="dxa"/>
          </w:tcPr>
          <w:p w14:paraId="6AE46B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80F2D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МиГ-1</w:t>
            </w:r>
          </w:p>
        </w:tc>
        <w:tc>
          <w:tcPr>
            <w:tcW w:w="1409" w:type="dxa"/>
          </w:tcPr>
          <w:p w14:paraId="594B33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409" w:type="dxa"/>
          </w:tcPr>
          <w:p w14:paraId="34F643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679E1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4E54C1" w14:textId="77777777">
        <w:tc>
          <w:tcPr>
            <w:tcW w:w="1409" w:type="dxa"/>
          </w:tcPr>
          <w:p w14:paraId="0D6A34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E5A3A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Як-4</w:t>
            </w:r>
          </w:p>
        </w:tc>
        <w:tc>
          <w:tcPr>
            <w:tcW w:w="1409" w:type="dxa"/>
          </w:tcPr>
          <w:p w14:paraId="26785C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409" w:type="dxa"/>
          </w:tcPr>
          <w:p w14:paraId="7271F8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94AF9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8411F4" w14:textId="77777777">
        <w:tc>
          <w:tcPr>
            <w:tcW w:w="1409" w:type="dxa"/>
          </w:tcPr>
          <w:p w14:paraId="141671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642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409" w:type="dxa"/>
          </w:tcPr>
          <w:p w14:paraId="3D0D25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C567C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409" w:type="dxa"/>
          </w:tcPr>
          <w:p w14:paraId="5CFF34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768</w:t>
            </w:r>
          </w:p>
        </w:tc>
      </w:tr>
      <w:tr w:rsidR="006F4095" w:rsidRPr="008127F8" w14:paraId="3E80CD4D" w14:textId="77777777">
        <w:tc>
          <w:tcPr>
            <w:tcW w:w="1409" w:type="dxa"/>
          </w:tcPr>
          <w:p w14:paraId="76B198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643B8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3F1927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2563</w:t>
            </w:r>
          </w:p>
        </w:tc>
        <w:tc>
          <w:tcPr>
            <w:tcW w:w="1409" w:type="dxa"/>
          </w:tcPr>
          <w:p w14:paraId="430B1C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3137</w:t>
            </w:r>
          </w:p>
        </w:tc>
        <w:tc>
          <w:tcPr>
            <w:tcW w:w="1409" w:type="dxa"/>
          </w:tcPr>
          <w:p w14:paraId="1C59DD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BFBEA2" w14:textId="77777777">
        <w:tc>
          <w:tcPr>
            <w:tcW w:w="1409" w:type="dxa"/>
          </w:tcPr>
          <w:p w14:paraId="6E50DD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09" w:type="dxa"/>
          </w:tcPr>
          <w:p w14:paraId="2F50A7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409" w:type="dxa"/>
          </w:tcPr>
          <w:p w14:paraId="44479F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AAF2D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1659</w:t>
            </w:r>
          </w:p>
        </w:tc>
        <w:tc>
          <w:tcPr>
            <w:tcW w:w="1409" w:type="dxa"/>
          </w:tcPr>
          <w:p w14:paraId="7D78AE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1376</w:t>
            </w:r>
          </w:p>
        </w:tc>
      </w:tr>
      <w:tr w:rsidR="006F4095" w:rsidRPr="008127F8" w14:paraId="755C2713" w14:textId="77777777">
        <w:tc>
          <w:tcPr>
            <w:tcW w:w="1409" w:type="dxa"/>
          </w:tcPr>
          <w:p w14:paraId="6C011A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1533B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ЛаГГ-5</w:t>
            </w:r>
          </w:p>
        </w:tc>
        <w:tc>
          <w:tcPr>
            <w:tcW w:w="1409" w:type="dxa"/>
          </w:tcPr>
          <w:p w14:paraId="71261D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E4162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75A5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13D6E751" w14:textId="77777777">
        <w:tc>
          <w:tcPr>
            <w:tcW w:w="1409" w:type="dxa"/>
          </w:tcPr>
          <w:p w14:paraId="6B53E7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CE442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И-16</w:t>
            </w:r>
          </w:p>
        </w:tc>
        <w:tc>
          <w:tcPr>
            <w:tcW w:w="1409" w:type="dxa"/>
          </w:tcPr>
          <w:p w14:paraId="2BE992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1607</w:t>
            </w:r>
          </w:p>
        </w:tc>
        <w:tc>
          <w:tcPr>
            <w:tcW w:w="1409" w:type="dxa"/>
          </w:tcPr>
          <w:p w14:paraId="3AB104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1409" w:type="dxa"/>
          </w:tcPr>
          <w:p w14:paraId="3403E0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E7CA47" w14:textId="77777777">
        <w:tc>
          <w:tcPr>
            <w:tcW w:w="1409" w:type="dxa"/>
          </w:tcPr>
          <w:p w14:paraId="3674BE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7AFD3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И-21</w:t>
            </w:r>
          </w:p>
        </w:tc>
        <w:tc>
          <w:tcPr>
            <w:tcW w:w="1409" w:type="dxa"/>
          </w:tcPr>
          <w:p w14:paraId="6F40A7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E6ED2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1CA07C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1786B9" w14:textId="77777777">
        <w:tc>
          <w:tcPr>
            <w:tcW w:w="1409" w:type="dxa"/>
          </w:tcPr>
          <w:p w14:paraId="7E47F3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6338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И-180</w:t>
            </w:r>
          </w:p>
        </w:tc>
        <w:tc>
          <w:tcPr>
            <w:tcW w:w="1409" w:type="dxa"/>
          </w:tcPr>
          <w:p w14:paraId="5E7F6B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594DC0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6DF35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68EFD6" w14:textId="77777777">
        <w:tc>
          <w:tcPr>
            <w:tcW w:w="1409" w:type="dxa"/>
          </w:tcPr>
          <w:p w14:paraId="7D9828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160E4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УТИ-4</w:t>
            </w:r>
          </w:p>
        </w:tc>
        <w:tc>
          <w:tcPr>
            <w:tcW w:w="1409" w:type="dxa"/>
          </w:tcPr>
          <w:p w14:paraId="0D3B76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409" w:type="dxa"/>
          </w:tcPr>
          <w:p w14:paraId="3D4C1E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w:t>
            </w:r>
          </w:p>
        </w:tc>
        <w:tc>
          <w:tcPr>
            <w:tcW w:w="1409" w:type="dxa"/>
          </w:tcPr>
          <w:p w14:paraId="2C497D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E30C3E" w14:textId="77777777">
        <w:tc>
          <w:tcPr>
            <w:tcW w:w="1409" w:type="dxa"/>
          </w:tcPr>
          <w:p w14:paraId="46C59F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675E2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409" w:type="dxa"/>
          </w:tcPr>
          <w:p w14:paraId="137076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C89C7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CB182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6F4095" w:rsidRPr="008127F8" w14:paraId="1162B4A3" w14:textId="77777777">
        <w:tc>
          <w:tcPr>
            <w:tcW w:w="1409" w:type="dxa"/>
          </w:tcPr>
          <w:p w14:paraId="115973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FC116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1D9955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2208</w:t>
            </w:r>
          </w:p>
        </w:tc>
        <w:tc>
          <w:tcPr>
            <w:tcW w:w="1409" w:type="dxa"/>
          </w:tcPr>
          <w:p w14:paraId="1E6063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1996</w:t>
            </w:r>
          </w:p>
        </w:tc>
        <w:tc>
          <w:tcPr>
            <w:tcW w:w="1409" w:type="dxa"/>
          </w:tcPr>
          <w:p w14:paraId="72DFDE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E93D21" w14:textId="77777777">
        <w:tc>
          <w:tcPr>
            <w:tcW w:w="1409" w:type="dxa"/>
          </w:tcPr>
          <w:p w14:paraId="12B887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409" w:type="dxa"/>
          </w:tcPr>
          <w:p w14:paraId="4C3A46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409" w:type="dxa"/>
          </w:tcPr>
          <w:p w14:paraId="72BAF4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941A3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1120</w:t>
            </w:r>
          </w:p>
        </w:tc>
        <w:tc>
          <w:tcPr>
            <w:tcW w:w="1409" w:type="dxa"/>
          </w:tcPr>
          <w:p w14:paraId="361D80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w:t>
            </w:r>
          </w:p>
        </w:tc>
      </w:tr>
      <w:tr w:rsidR="006F4095" w:rsidRPr="008127F8" w14:paraId="2964C8A0" w14:textId="77777777">
        <w:tc>
          <w:tcPr>
            <w:tcW w:w="1409" w:type="dxa"/>
          </w:tcPr>
          <w:p w14:paraId="22DAD3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F8B3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Ар-2</w:t>
            </w:r>
          </w:p>
        </w:tc>
        <w:tc>
          <w:tcPr>
            <w:tcW w:w="1409" w:type="dxa"/>
          </w:tcPr>
          <w:p w14:paraId="431877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1409" w:type="dxa"/>
          </w:tcPr>
          <w:p w14:paraId="1CB32A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w:t>
            </w:r>
          </w:p>
        </w:tc>
        <w:tc>
          <w:tcPr>
            <w:tcW w:w="1409" w:type="dxa"/>
          </w:tcPr>
          <w:p w14:paraId="2063A2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D9CBC1" w14:textId="77777777">
        <w:tc>
          <w:tcPr>
            <w:tcW w:w="1409" w:type="dxa"/>
          </w:tcPr>
          <w:p w14:paraId="1A716C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C631E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w:t>
            </w:r>
          </w:p>
        </w:tc>
        <w:tc>
          <w:tcPr>
            <w:tcW w:w="1409" w:type="dxa"/>
          </w:tcPr>
          <w:p w14:paraId="51A0DB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1749</w:t>
            </w:r>
          </w:p>
        </w:tc>
        <w:tc>
          <w:tcPr>
            <w:tcW w:w="1409" w:type="dxa"/>
          </w:tcPr>
          <w:p w14:paraId="2302B6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1409" w:type="dxa"/>
          </w:tcPr>
          <w:p w14:paraId="3A0F45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24ADB2" w14:textId="77777777">
        <w:tc>
          <w:tcPr>
            <w:tcW w:w="1409" w:type="dxa"/>
          </w:tcPr>
          <w:p w14:paraId="1C6AB3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482C5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67DCE3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1820</w:t>
            </w:r>
          </w:p>
        </w:tc>
        <w:tc>
          <w:tcPr>
            <w:tcW w:w="1409" w:type="dxa"/>
          </w:tcPr>
          <w:p w14:paraId="201EFD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1316</w:t>
            </w:r>
          </w:p>
        </w:tc>
        <w:tc>
          <w:tcPr>
            <w:tcW w:w="1409" w:type="dxa"/>
          </w:tcPr>
          <w:p w14:paraId="5FE3FB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17983C" w14:textId="77777777">
        <w:tc>
          <w:tcPr>
            <w:tcW w:w="1409" w:type="dxa"/>
          </w:tcPr>
          <w:p w14:paraId="422867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409" w:type="dxa"/>
          </w:tcPr>
          <w:p w14:paraId="231DFB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409" w:type="dxa"/>
          </w:tcPr>
          <w:p w14:paraId="5043DC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566507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1510</w:t>
            </w:r>
          </w:p>
        </w:tc>
        <w:tc>
          <w:tcPr>
            <w:tcW w:w="1409" w:type="dxa"/>
          </w:tcPr>
          <w:p w14:paraId="7CD2E1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1622</w:t>
            </w:r>
          </w:p>
        </w:tc>
      </w:tr>
      <w:tr w:rsidR="006F4095" w:rsidRPr="008127F8" w14:paraId="28DE467C" w14:textId="77777777">
        <w:tc>
          <w:tcPr>
            <w:tcW w:w="1409" w:type="dxa"/>
          </w:tcPr>
          <w:p w14:paraId="4137FC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E852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w:t>
            </w:r>
          </w:p>
        </w:tc>
        <w:tc>
          <w:tcPr>
            <w:tcW w:w="1409" w:type="dxa"/>
          </w:tcPr>
          <w:p w14:paraId="3AB0E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808</w:t>
            </w:r>
          </w:p>
        </w:tc>
        <w:tc>
          <w:tcPr>
            <w:tcW w:w="1409" w:type="dxa"/>
          </w:tcPr>
          <w:p w14:paraId="30B6EE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1409" w:type="dxa"/>
          </w:tcPr>
          <w:p w14:paraId="74EFA6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64192E" w14:textId="77777777">
        <w:tc>
          <w:tcPr>
            <w:tcW w:w="1409" w:type="dxa"/>
          </w:tcPr>
          <w:p w14:paraId="7242D8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7449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Ер-2</w:t>
            </w:r>
          </w:p>
        </w:tc>
        <w:tc>
          <w:tcPr>
            <w:tcW w:w="1409" w:type="dxa"/>
          </w:tcPr>
          <w:p w14:paraId="4D43C0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B48D7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1409" w:type="dxa"/>
          </w:tcPr>
          <w:p w14:paraId="748452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CBEF83" w14:textId="77777777">
        <w:tc>
          <w:tcPr>
            <w:tcW w:w="1409" w:type="dxa"/>
          </w:tcPr>
          <w:p w14:paraId="0226AF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13657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3CC5DB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808</w:t>
            </w:r>
          </w:p>
        </w:tc>
        <w:tc>
          <w:tcPr>
            <w:tcW w:w="1409" w:type="dxa"/>
          </w:tcPr>
          <w:p w14:paraId="0D877B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1909</w:t>
            </w:r>
          </w:p>
        </w:tc>
        <w:tc>
          <w:tcPr>
            <w:tcW w:w="1409" w:type="dxa"/>
          </w:tcPr>
          <w:p w14:paraId="21A6C4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096EA5" w14:textId="77777777">
        <w:tc>
          <w:tcPr>
            <w:tcW w:w="1409" w:type="dxa"/>
          </w:tcPr>
          <w:p w14:paraId="4BB025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1409" w:type="dxa"/>
          </w:tcPr>
          <w:p w14:paraId="3FA4C9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409" w:type="dxa"/>
          </w:tcPr>
          <w:p w14:paraId="2FE0BC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5BB095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w:t>
            </w:r>
          </w:p>
        </w:tc>
        <w:tc>
          <w:tcPr>
            <w:tcW w:w="1409" w:type="dxa"/>
          </w:tcPr>
          <w:p w14:paraId="2069C7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368</w:t>
            </w:r>
          </w:p>
        </w:tc>
      </w:tr>
      <w:tr w:rsidR="006F4095" w:rsidRPr="008127F8" w14:paraId="6366381F" w14:textId="77777777">
        <w:tc>
          <w:tcPr>
            <w:tcW w:w="1409" w:type="dxa"/>
          </w:tcPr>
          <w:p w14:paraId="25E67D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65AC5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w:t>
            </w:r>
          </w:p>
        </w:tc>
        <w:tc>
          <w:tcPr>
            <w:tcW w:w="1409" w:type="dxa"/>
          </w:tcPr>
          <w:p w14:paraId="334B7B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w:t>
            </w:r>
          </w:p>
        </w:tc>
        <w:tc>
          <w:tcPr>
            <w:tcW w:w="1409" w:type="dxa"/>
          </w:tcPr>
          <w:p w14:paraId="71C93A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1409" w:type="dxa"/>
          </w:tcPr>
          <w:p w14:paraId="4FCC15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5EA6F2" w14:textId="77777777">
        <w:tc>
          <w:tcPr>
            <w:tcW w:w="1409" w:type="dxa"/>
          </w:tcPr>
          <w:p w14:paraId="6383E2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91DE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Пе-3</w:t>
            </w:r>
          </w:p>
        </w:tc>
        <w:tc>
          <w:tcPr>
            <w:tcW w:w="1409" w:type="dxa"/>
          </w:tcPr>
          <w:p w14:paraId="581517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C3E0D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w:t>
            </w:r>
          </w:p>
        </w:tc>
        <w:tc>
          <w:tcPr>
            <w:tcW w:w="1409" w:type="dxa"/>
          </w:tcPr>
          <w:p w14:paraId="33A169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1FD2EF05" w14:textId="77777777">
        <w:tc>
          <w:tcPr>
            <w:tcW w:w="1409" w:type="dxa"/>
          </w:tcPr>
          <w:p w14:paraId="143781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39/125</w:t>
            </w:r>
          </w:p>
        </w:tc>
        <w:tc>
          <w:tcPr>
            <w:tcW w:w="1409" w:type="dxa"/>
          </w:tcPr>
          <w:p w14:paraId="3060D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409" w:type="dxa"/>
          </w:tcPr>
          <w:p w14:paraId="0E4887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F7968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w:t>
            </w:r>
          </w:p>
        </w:tc>
        <w:tc>
          <w:tcPr>
            <w:tcW w:w="1409" w:type="dxa"/>
          </w:tcPr>
          <w:p w14:paraId="3F9DB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302AC3" w14:textId="77777777">
        <w:tc>
          <w:tcPr>
            <w:tcW w:w="1409" w:type="dxa"/>
          </w:tcPr>
          <w:p w14:paraId="7A284A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B016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w:t>
            </w:r>
          </w:p>
        </w:tc>
        <w:tc>
          <w:tcPr>
            <w:tcW w:w="1409" w:type="dxa"/>
          </w:tcPr>
          <w:p w14:paraId="5C5535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w:t>
            </w:r>
          </w:p>
        </w:tc>
        <w:tc>
          <w:tcPr>
            <w:tcW w:w="1409" w:type="dxa"/>
          </w:tcPr>
          <w:p w14:paraId="4BE90D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409" w:type="dxa"/>
          </w:tcPr>
          <w:p w14:paraId="46B210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A282A6" w14:textId="77777777">
        <w:tc>
          <w:tcPr>
            <w:tcW w:w="1409" w:type="dxa"/>
          </w:tcPr>
          <w:p w14:paraId="2AE545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95A3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5FBE0C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574</w:t>
            </w:r>
          </w:p>
        </w:tc>
        <w:tc>
          <w:tcPr>
            <w:tcW w:w="1409" w:type="dxa"/>
          </w:tcPr>
          <w:p w14:paraId="18EC58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711</w:t>
            </w:r>
          </w:p>
        </w:tc>
        <w:tc>
          <w:tcPr>
            <w:tcW w:w="1409" w:type="dxa"/>
          </w:tcPr>
          <w:p w14:paraId="3E109E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B67731" w14:textId="77777777">
        <w:tc>
          <w:tcPr>
            <w:tcW w:w="1409" w:type="dxa"/>
          </w:tcPr>
          <w:p w14:paraId="5B7ACC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1409" w:type="dxa"/>
          </w:tcPr>
          <w:p w14:paraId="1115A4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409" w:type="dxa"/>
          </w:tcPr>
          <w:p w14:paraId="065E3A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7E80E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1212</w:t>
            </w:r>
          </w:p>
        </w:tc>
        <w:tc>
          <w:tcPr>
            <w:tcW w:w="1409" w:type="dxa"/>
          </w:tcPr>
          <w:p w14:paraId="4C788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1459</w:t>
            </w:r>
          </w:p>
        </w:tc>
      </w:tr>
      <w:tr w:rsidR="006F4095" w:rsidRPr="008127F8" w14:paraId="702EAAEA" w14:textId="77777777">
        <w:tc>
          <w:tcPr>
            <w:tcW w:w="1409" w:type="dxa"/>
          </w:tcPr>
          <w:p w14:paraId="61075F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2D758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И-26</w:t>
            </w:r>
          </w:p>
        </w:tc>
        <w:tc>
          <w:tcPr>
            <w:tcW w:w="1409" w:type="dxa"/>
          </w:tcPr>
          <w:p w14:paraId="4A710F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09" w:type="dxa"/>
          </w:tcPr>
          <w:p w14:paraId="6E69C6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AE1B6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F122FE" w14:textId="77777777">
        <w:tc>
          <w:tcPr>
            <w:tcW w:w="1409" w:type="dxa"/>
          </w:tcPr>
          <w:p w14:paraId="495FC8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A8D23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ХАИ-5</w:t>
            </w:r>
          </w:p>
        </w:tc>
        <w:tc>
          <w:tcPr>
            <w:tcW w:w="1409" w:type="dxa"/>
          </w:tcPr>
          <w:p w14:paraId="1397E8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409" w:type="dxa"/>
          </w:tcPr>
          <w:p w14:paraId="45B897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55A005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2F1DCD" w14:textId="77777777">
        <w:tc>
          <w:tcPr>
            <w:tcW w:w="1409" w:type="dxa"/>
          </w:tcPr>
          <w:p w14:paraId="1BD854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40A1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2B7182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1409" w:type="dxa"/>
          </w:tcPr>
          <w:p w14:paraId="3C96B5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1212</w:t>
            </w:r>
          </w:p>
        </w:tc>
        <w:tc>
          <w:tcPr>
            <w:tcW w:w="1409" w:type="dxa"/>
          </w:tcPr>
          <w:p w14:paraId="7CC8DF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D5FDD5" w14:textId="77777777">
        <w:tc>
          <w:tcPr>
            <w:tcW w:w="1409" w:type="dxa"/>
          </w:tcPr>
          <w:p w14:paraId="479721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409" w:type="dxa"/>
          </w:tcPr>
          <w:p w14:paraId="0BFC9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409" w:type="dxa"/>
          </w:tcPr>
          <w:p w14:paraId="738775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2EA2D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c>
          <w:tcPr>
            <w:tcW w:w="1409" w:type="dxa"/>
          </w:tcPr>
          <w:p w14:paraId="37F8D3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r>
      <w:tr w:rsidR="006F4095" w:rsidRPr="008127F8" w14:paraId="676DC0D5" w14:textId="77777777">
        <w:tc>
          <w:tcPr>
            <w:tcW w:w="1409" w:type="dxa"/>
          </w:tcPr>
          <w:p w14:paraId="2F77C0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0268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И-16</w:t>
            </w:r>
          </w:p>
        </w:tc>
        <w:tc>
          <w:tcPr>
            <w:tcW w:w="1409" w:type="dxa"/>
          </w:tcPr>
          <w:p w14:paraId="01DD6F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w:t>
            </w:r>
          </w:p>
        </w:tc>
        <w:tc>
          <w:tcPr>
            <w:tcW w:w="1409" w:type="dxa"/>
          </w:tcPr>
          <w:p w14:paraId="271C74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409" w:type="dxa"/>
          </w:tcPr>
          <w:p w14:paraId="09B107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DA0D31" w14:textId="77777777">
        <w:tc>
          <w:tcPr>
            <w:tcW w:w="1409" w:type="dxa"/>
          </w:tcPr>
          <w:p w14:paraId="788BAA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105E7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409" w:type="dxa"/>
          </w:tcPr>
          <w:p w14:paraId="7A8F96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18349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09" w:type="dxa"/>
          </w:tcPr>
          <w:p w14:paraId="549915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0AFFDB" w14:textId="77777777">
        <w:tc>
          <w:tcPr>
            <w:tcW w:w="1409" w:type="dxa"/>
          </w:tcPr>
          <w:p w14:paraId="3B38CD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3BB9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409" w:type="dxa"/>
          </w:tcPr>
          <w:p w14:paraId="47369B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0152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ECFF5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r>
      <w:tr w:rsidR="006F4095" w:rsidRPr="008127F8" w14:paraId="44F4AA93" w14:textId="77777777">
        <w:tc>
          <w:tcPr>
            <w:tcW w:w="1409" w:type="dxa"/>
          </w:tcPr>
          <w:p w14:paraId="300636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973D9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Ути-4</w:t>
            </w:r>
          </w:p>
        </w:tc>
        <w:tc>
          <w:tcPr>
            <w:tcW w:w="1409" w:type="dxa"/>
          </w:tcPr>
          <w:p w14:paraId="6C6587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E0414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404</w:t>
            </w:r>
          </w:p>
        </w:tc>
        <w:tc>
          <w:tcPr>
            <w:tcW w:w="1409" w:type="dxa"/>
          </w:tcPr>
          <w:p w14:paraId="4D8010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E96EEF" w14:textId="77777777">
        <w:tc>
          <w:tcPr>
            <w:tcW w:w="1409" w:type="dxa"/>
          </w:tcPr>
          <w:p w14:paraId="794099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E5923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7CB360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w:t>
            </w:r>
          </w:p>
        </w:tc>
        <w:tc>
          <w:tcPr>
            <w:tcW w:w="1409" w:type="dxa"/>
          </w:tcPr>
          <w:p w14:paraId="088362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709</w:t>
            </w:r>
          </w:p>
        </w:tc>
        <w:tc>
          <w:tcPr>
            <w:tcW w:w="1409" w:type="dxa"/>
          </w:tcPr>
          <w:p w14:paraId="335D85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E9F941" w14:textId="77777777">
        <w:tc>
          <w:tcPr>
            <w:tcW w:w="1409" w:type="dxa"/>
          </w:tcPr>
          <w:p w14:paraId="075199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w:t>
            </w:r>
          </w:p>
        </w:tc>
        <w:tc>
          <w:tcPr>
            <w:tcW w:w="1409" w:type="dxa"/>
          </w:tcPr>
          <w:p w14:paraId="607F37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409" w:type="dxa"/>
          </w:tcPr>
          <w:p w14:paraId="0B8452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E62BB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w:t>
            </w:r>
          </w:p>
        </w:tc>
        <w:tc>
          <w:tcPr>
            <w:tcW w:w="1409" w:type="dxa"/>
          </w:tcPr>
          <w:p w14:paraId="5CCDCA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r>
      <w:tr w:rsidR="006F4095" w:rsidRPr="008127F8" w14:paraId="5A62BE74" w14:textId="77777777">
        <w:tc>
          <w:tcPr>
            <w:tcW w:w="1409" w:type="dxa"/>
          </w:tcPr>
          <w:p w14:paraId="740C2A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1BBBC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И-26</w:t>
            </w:r>
          </w:p>
        </w:tc>
        <w:tc>
          <w:tcPr>
            <w:tcW w:w="1409" w:type="dxa"/>
          </w:tcPr>
          <w:p w14:paraId="6A3A2E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1409" w:type="dxa"/>
          </w:tcPr>
          <w:p w14:paraId="551B5A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5618C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7C238B" w14:textId="77777777">
        <w:tc>
          <w:tcPr>
            <w:tcW w:w="1409" w:type="dxa"/>
          </w:tcPr>
          <w:p w14:paraId="193154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7A6C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УТИ-26</w:t>
            </w:r>
          </w:p>
        </w:tc>
        <w:tc>
          <w:tcPr>
            <w:tcW w:w="1409" w:type="dxa"/>
          </w:tcPr>
          <w:p w14:paraId="379997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A4D0E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186</w:t>
            </w:r>
          </w:p>
        </w:tc>
        <w:tc>
          <w:tcPr>
            <w:tcW w:w="1409" w:type="dxa"/>
          </w:tcPr>
          <w:p w14:paraId="19446F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B4A66A" w14:textId="77777777">
        <w:tc>
          <w:tcPr>
            <w:tcW w:w="1409" w:type="dxa"/>
          </w:tcPr>
          <w:p w14:paraId="426C8F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9C7DD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УТ-3</w:t>
            </w:r>
          </w:p>
        </w:tc>
        <w:tc>
          <w:tcPr>
            <w:tcW w:w="1409" w:type="dxa"/>
          </w:tcPr>
          <w:p w14:paraId="6381F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409" w:type="dxa"/>
          </w:tcPr>
          <w:p w14:paraId="0B26E2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DBDC1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6A84E3" w14:textId="77777777">
        <w:tc>
          <w:tcPr>
            <w:tcW w:w="1409" w:type="dxa"/>
          </w:tcPr>
          <w:p w14:paraId="6460E7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49B46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409" w:type="dxa"/>
          </w:tcPr>
          <w:p w14:paraId="03E3A0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E98F8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D9266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r>
      <w:tr w:rsidR="006F4095" w:rsidRPr="008127F8" w14:paraId="598CBD2A" w14:textId="77777777">
        <w:tc>
          <w:tcPr>
            <w:tcW w:w="1409" w:type="dxa"/>
          </w:tcPr>
          <w:p w14:paraId="1578E3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9AF8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3F0A53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w:t>
            </w:r>
          </w:p>
        </w:tc>
        <w:tc>
          <w:tcPr>
            <w:tcW w:w="1409" w:type="dxa"/>
          </w:tcPr>
          <w:p w14:paraId="0A32C4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1409" w:type="dxa"/>
          </w:tcPr>
          <w:p w14:paraId="58B2AC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60DB02" w14:textId="77777777">
        <w:tc>
          <w:tcPr>
            <w:tcW w:w="1409" w:type="dxa"/>
          </w:tcPr>
          <w:p w14:paraId="0741D4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1409" w:type="dxa"/>
          </w:tcPr>
          <w:p w14:paraId="03867B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w:t>
            </w:r>
          </w:p>
        </w:tc>
        <w:tc>
          <w:tcPr>
            <w:tcW w:w="1409" w:type="dxa"/>
          </w:tcPr>
          <w:p w14:paraId="593CCF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D040B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349</w:t>
            </w:r>
          </w:p>
        </w:tc>
        <w:tc>
          <w:tcPr>
            <w:tcW w:w="1409" w:type="dxa"/>
          </w:tcPr>
          <w:p w14:paraId="6F42D1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351</w:t>
            </w:r>
          </w:p>
        </w:tc>
      </w:tr>
      <w:tr w:rsidR="006F4095" w:rsidRPr="008127F8" w14:paraId="731D64FD" w14:textId="77777777">
        <w:tc>
          <w:tcPr>
            <w:tcW w:w="1409" w:type="dxa"/>
          </w:tcPr>
          <w:p w14:paraId="2BBEC6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0C670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w:t>
            </w:r>
          </w:p>
        </w:tc>
        <w:tc>
          <w:tcPr>
            <w:tcW w:w="1409" w:type="dxa"/>
          </w:tcPr>
          <w:p w14:paraId="67DEDC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409" w:type="dxa"/>
          </w:tcPr>
          <w:p w14:paraId="6BB706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409" w:type="dxa"/>
          </w:tcPr>
          <w:p w14:paraId="677AF5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C330AA" w14:textId="77777777">
        <w:tc>
          <w:tcPr>
            <w:tcW w:w="1409" w:type="dxa"/>
          </w:tcPr>
          <w:p w14:paraId="49B838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B565A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7AD3A0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409" w:type="dxa"/>
          </w:tcPr>
          <w:p w14:paraId="23CCCE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w:t>
            </w:r>
          </w:p>
        </w:tc>
        <w:tc>
          <w:tcPr>
            <w:tcW w:w="1409" w:type="dxa"/>
          </w:tcPr>
          <w:p w14:paraId="031488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006489" w14:textId="77777777">
        <w:tc>
          <w:tcPr>
            <w:tcW w:w="1409" w:type="dxa"/>
          </w:tcPr>
          <w:p w14:paraId="6C2ECC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1409" w:type="dxa"/>
          </w:tcPr>
          <w:p w14:paraId="5A771D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1409" w:type="dxa"/>
          </w:tcPr>
          <w:p w14:paraId="26A8D7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c>
          <w:tcPr>
            <w:tcW w:w="1409" w:type="dxa"/>
          </w:tcPr>
          <w:p w14:paraId="366C4B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652</w:t>
            </w:r>
          </w:p>
        </w:tc>
        <w:tc>
          <w:tcPr>
            <w:tcW w:w="1409" w:type="dxa"/>
          </w:tcPr>
          <w:p w14:paraId="738777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r>
      <w:tr w:rsidR="006F4095" w:rsidRPr="008127F8" w14:paraId="577855FA" w14:textId="77777777">
        <w:tc>
          <w:tcPr>
            <w:tcW w:w="1409" w:type="dxa"/>
          </w:tcPr>
          <w:p w14:paraId="3D1D99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207</w:t>
            </w:r>
          </w:p>
        </w:tc>
        <w:tc>
          <w:tcPr>
            <w:tcW w:w="1409" w:type="dxa"/>
          </w:tcPr>
          <w:p w14:paraId="3388A4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1409" w:type="dxa"/>
          </w:tcPr>
          <w:p w14:paraId="1C1B21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409" w:type="dxa"/>
          </w:tcPr>
          <w:p w14:paraId="57F09A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tc>
        <w:tc>
          <w:tcPr>
            <w:tcW w:w="1409" w:type="dxa"/>
          </w:tcPr>
          <w:p w14:paraId="4467A6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37B3256" w14:textId="77777777">
        <w:tc>
          <w:tcPr>
            <w:tcW w:w="1409" w:type="dxa"/>
          </w:tcPr>
          <w:p w14:paraId="3E8749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409" w:type="dxa"/>
          </w:tcPr>
          <w:p w14:paraId="672688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409" w:type="dxa"/>
          </w:tcPr>
          <w:p w14:paraId="4C4C80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2DE51D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1409" w:type="dxa"/>
          </w:tcPr>
          <w:p w14:paraId="499DBD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3F3C3C" w14:textId="77777777">
        <w:tc>
          <w:tcPr>
            <w:tcW w:w="1409" w:type="dxa"/>
          </w:tcPr>
          <w:p w14:paraId="6846E3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91E8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w:t>
            </w:r>
          </w:p>
        </w:tc>
        <w:tc>
          <w:tcPr>
            <w:tcW w:w="1409" w:type="dxa"/>
          </w:tcPr>
          <w:p w14:paraId="3291A2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409" w:type="dxa"/>
          </w:tcPr>
          <w:p w14:paraId="18181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0281F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B0DB75" w14:textId="77777777">
        <w:tc>
          <w:tcPr>
            <w:tcW w:w="1409" w:type="dxa"/>
          </w:tcPr>
          <w:p w14:paraId="6AF69E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2273E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w:t>
            </w:r>
          </w:p>
        </w:tc>
        <w:tc>
          <w:tcPr>
            <w:tcW w:w="1409" w:type="dxa"/>
          </w:tcPr>
          <w:p w14:paraId="06A66A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383</w:t>
            </w:r>
          </w:p>
        </w:tc>
        <w:tc>
          <w:tcPr>
            <w:tcW w:w="1409" w:type="dxa"/>
          </w:tcPr>
          <w:p w14:paraId="3950D7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09" w:type="dxa"/>
          </w:tcPr>
          <w:p w14:paraId="6D6B97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CBA6B4" w14:textId="77777777">
        <w:tc>
          <w:tcPr>
            <w:tcW w:w="1409" w:type="dxa"/>
          </w:tcPr>
          <w:p w14:paraId="42DFE8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2E19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С-2</w:t>
            </w:r>
          </w:p>
        </w:tc>
        <w:tc>
          <w:tcPr>
            <w:tcW w:w="1409" w:type="dxa"/>
          </w:tcPr>
          <w:p w14:paraId="447D60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365</w:t>
            </w:r>
          </w:p>
        </w:tc>
        <w:tc>
          <w:tcPr>
            <w:tcW w:w="1409" w:type="dxa"/>
          </w:tcPr>
          <w:p w14:paraId="18DC19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09" w:type="dxa"/>
          </w:tcPr>
          <w:p w14:paraId="4EDDCB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1009F13" w14:textId="77777777">
        <w:tc>
          <w:tcPr>
            <w:tcW w:w="1409" w:type="dxa"/>
          </w:tcPr>
          <w:p w14:paraId="78C707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67012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w:t>
            </w:r>
          </w:p>
        </w:tc>
        <w:tc>
          <w:tcPr>
            <w:tcW w:w="1409" w:type="dxa"/>
          </w:tcPr>
          <w:p w14:paraId="149015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472</w:t>
            </w:r>
          </w:p>
        </w:tc>
        <w:tc>
          <w:tcPr>
            <w:tcW w:w="1409" w:type="dxa"/>
          </w:tcPr>
          <w:p w14:paraId="768393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0C217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E4AAA42" w14:textId="77777777">
        <w:tc>
          <w:tcPr>
            <w:tcW w:w="1409" w:type="dxa"/>
          </w:tcPr>
          <w:p w14:paraId="2FE361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11DCE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409" w:type="dxa"/>
          </w:tcPr>
          <w:p w14:paraId="2F912C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F6C11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FE2E3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6F4095" w:rsidRPr="008127F8" w14:paraId="5C978D09" w14:textId="77777777">
        <w:tc>
          <w:tcPr>
            <w:tcW w:w="1409" w:type="dxa"/>
          </w:tcPr>
          <w:p w14:paraId="71727D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05669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1E26D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1345</w:t>
            </w:r>
          </w:p>
        </w:tc>
        <w:tc>
          <w:tcPr>
            <w:tcW w:w="1409" w:type="dxa"/>
          </w:tcPr>
          <w:p w14:paraId="54170D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1409" w:type="dxa"/>
          </w:tcPr>
          <w:p w14:paraId="136D20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115B19" w14:textId="77777777">
        <w:tc>
          <w:tcPr>
            <w:tcW w:w="1409" w:type="dxa"/>
          </w:tcPr>
          <w:p w14:paraId="3D0A67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409" w:type="dxa"/>
          </w:tcPr>
          <w:p w14:paraId="532488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409" w:type="dxa"/>
          </w:tcPr>
          <w:p w14:paraId="3B90CE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D3E8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w:t>
            </w:r>
          </w:p>
        </w:tc>
        <w:tc>
          <w:tcPr>
            <w:tcW w:w="1409" w:type="dxa"/>
          </w:tcPr>
          <w:p w14:paraId="235E4F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313</w:t>
            </w:r>
          </w:p>
        </w:tc>
      </w:tr>
      <w:tr w:rsidR="006F4095" w:rsidRPr="008127F8" w14:paraId="5A3A27D3" w14:textId="77777777">
        <w:tc>
          <w:tcPr>
            <w:tcW w:w="1409" w:type="dxa"/>
          </w:tcPr>
          <w:p w14:paraId="58E0CC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31D1A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1409" w:type="dxa"/>
          </w:tcPr>
          <w:p w14:paraId="4E9C03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409" w:type="dxa"/>
          </w:tcPr>
          <w:p w14:paraId="523570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409" w:type="dxa"/>
          </w:tcPr>
          <w:p w14:paraId="673794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0C5D6E" w14:textId="77777777">
        <w:tc>
          <w:tcPr>
            <w:tcW w:w="1409" w:type="dxa"/>
          </w:tcPr>
          <w:p w14:paraId="0416BD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764DE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МДР-6</w:t>
            </w:r>
          </w:p>
        </w:tc>
        <w:tc>
          <w:tcPr>
            <w:tcW w:w="1409" w:type="dxa"/>
          </w:tcPr>
          <w:p w14:paraId="73A8D1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409" w:type="dxa"/>
          </w:tcPr>
          <w:p w14:paraId="2E7252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409" w:type="dxa"/>
          </w:tcPr>
          <w:p w14:paraId="72D80A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00D520" w14:textId="77777777">
        <w:tc>
          <w:tcPr>
            <w:tcW w:w="1409" w:type="dxa"/>
          </w:tcPr>
          <w:p w14:paraId="26693E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E9239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КОР-1</w:t>
            </w:r>
          </w:p>
        </w:tc>
        <w:tc>
          <w:tcPr>
            <w:tcW w:w="1409" w:type="dxa"/>
          </w:tcPr>
          <w:p w14:paraId="3AAD76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409" w:type="dxa"/>
          </w:tcPr>
          <w:p w14:paraId="2BA6D3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A0FA3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D1C665" w14:textId="77777777">
        <w:tc>
          <w:tcPr>
            <w:tcW w:w="1409" w:type="dxa"/>
          </w:tcPr>
          <w:p w14:paraId="0BFCDB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875E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ГСТ</w:t>
            </w:r>
          </w:p>
        </w:tc>
        <w:tc>
          <w:tcPr>
            <w:tcW w:w="1409" w:type="dxa"/>
          </w:tcPr>
          <w:p w14:paraId="2A45B5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09" w:type="dxa"/>
          </w:tcPr>
          <w:p w14:paraId="4F55C0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27C3CE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E57E81" w14:textId="77777777">
        <w:tc>
          <w:tcPr>
            <w:tcW w:w="1409" w:type="dxa"/>
          </w:tcPr>
          <w:p w14:paraId="13B4D2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AEA3F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МБР-2</w:t>
            </w:r>
          </w:p>
        </w:tc>
        <w:tc>
          <w:tcPr>
            <w:tcW w:w="1409" w:type="dxa"/>
          </w:tcPr>
          <w:p w14:paraId="278DD7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1409" w:type="dxa"/>
          </w:tcPr>
          <w:p w14:paraId="078D9D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5EF166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BA34C9" w14:textId="77777777">
        <w:tc>
          <w:tcPr>
            <w:tcW w:w="1409" w:type="dxa"/>
          </w:tcPr>
          <w:p w14:paraId="1832FD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72180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5B593B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c>
          <w:tcPr>
            <w:tcW w:w="1409" w:type="dxa"/>
          </w:tcPr>
          <w:p w14:paraId="09583D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482</w:t>
            </w:r>
          </w:p>
        </w:tc>
        <w:tc>
          <w:tcPr>
            <w:tcW w:w="1409" w:type="dxa"/>
          </w:tcPr>
          <w:p w14:paraId="193E43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5D1D65" w14:textId="77777777">
        <w:tc>
          <w:tcPr>
            <w:tcW w:w="1409" w:type="dxa"/>
          </w:tcPr>
          <w:p w14:paraId="7687A5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w:t>
            </w:r>
          </w:p>
        </w:tc>
        <w:tc>
          <w:tcPr>
            <w:tcW w:w="1409" w:type="dxa"/>
          </w:tcPr>
          <w:p w14:paraId="4CD8F5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409" w:type="dxa"/>
          </w:tcPr>
          <w:p w14:paraId="3A560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23A85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1409" w:type="dxa"/>
          </w:tcPr>
          <w:p w14:paraId="6A1179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0FFD4D" w14:textId="77777777">
        <w:tc>
          <w:tcPr>
            <w:tcW w:w="1409" w:type="dxa"/>
          </w:tcPr>
          <w:p w14:paraId="7E3D7E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82490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ТБ-7</w:t>
            </w:r>
          </w:p>
        </w:tc>
        <w:tc>
          <w:tcPr>
            <w:tcW w:w="1409" w:type="dxa"/>
          </w:tcPr>
          <w:p w14:paraId="4DC817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409" w:type="dxa"/>
          </w:tcPr>
          <w:p w14:paraId="1032C3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09" w:type="dxa"/>
          </w:tcPr>
          <w:p w14:paraId="06841B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r>
      <w:tr w:rsidR="006F4095" w:rsidRPr="008127F8" w14:paraId="7420D27F" w14:textId="77777777">
        <w:tc>
          <w:tcPr>
            <w:tcW w:w="1409" w:type="dxa"/>
          </w:tcPr>
          <w:p w14:paraId="217532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81CC6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w:t>
            </w:r>
          </w:p>
        </w:tc>
        <w:tc>
          <w:tcPr>
            <w:tcW w:w="1409" w:type="dxa"/>
          </w:tcPr>
          <w:p w14:paraId="7301D2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409" w:type="dxa"/>
          </w:tcPr>
          <w:p w14:paraId="27FBF4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7D792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EE651B" w14:textId="77777777">
        <w:tc>
          <w:tcPr>
            <w:tcW w:w="1409" w:type="dxa"/>
          </w:tcPr>
          <w:p w14:paraId="2A3852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DB5E5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56367A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09" w:type="dxa"/>
          </w:tcPr>
          <w:p w14:paraId="02FD98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1409" w:type="dxa"/>
          </w:tcPr>
          <w:p w14:paraId="55DB2A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C6E8FB" w14:textId="77777777">
        <w:tc>
          <w:tcPr>
            <w:tcW w:w="1409" w:type="dxa"/>
          </w:tcPr>
          <w:p w14:paraId="7BA99C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409" w:type="dxa"/>
          </w:tcPr>
          <w:p w14:paraId="34DFA6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Як-4</w:t>
            </w:r>
          </w:p>
        </w:tc>
        <w:tc>
          <w:tcPr>
            <w:tcW w:w="1409" w:type="dxa"/>
          </w:tcPr>
          <w:p w14:paraId="02F5D3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1409" w:type="dxa"/>
          </w:tcPr>
          <w:p w14:paraId="2BAE6B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1409" w:type="dxa"/>
          </w:tcPr>
          <w:p w14:paraId="5D71DA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D3466F" w14:textId="77777777">
        <w:tc>
          <w:tcPr>
            <w:tcW w:w="1409" w:type="dxa"/>
          </w:tcPr>
          <w:p w14:paraId="30E4D1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3B9B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409" w:type="dxa"/>
          </w:tcPr>
          <w:p w14:paraId="6ACC3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7D09B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8F4BB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r>
      <w:tr w:rsidR="006F4095" w:rsidRPr="008127F8" w14:paraId="34BAD040" w14:textId="77777777">
        <w:tc>
          <w:tcPr>
            <w:tcW w:w="1409" w:type="dxa"/>
          </w:tcPr>
          <w:p w14:paraId="2741E5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FDA7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УТ-3</w:t>
            </w:r>
          </w:p>
        </w:tc>
        <w:tc>
          <w:tcPr>
            <w:tcW w:w="1409" w:type="dxa"/>
          </w:tcPr>
          <w:p w14:paraId="0F1849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31C050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9E22B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198FEC" w14:textId="77777777">
        <w:tc>
          <w:tcPr>
            <w:tcW w:w="1409" w:type="dxa"/>
          </w:tcPr>
          <w:p w14:paraId="7DD3FB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8716A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41FF6E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w:t>
            </w:r>
          </w:p>
        </w:tc>
        <w:tc>
          <w:tcPr>
            <w:tcW w:w="1409" w:type="dxa"/>
          </w:tcPr>
          <w:p w14:paraId="7F424A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1409" w:type="dxa"/>
          </w:tcPr>
          <w:p w14:paraId="2D3E8F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F15491" w14:textId="77777777">
        <w:tc>
          <w:tcPr>
            <w:tcW w:w="1409" w:type="dxa"/>
          </w:tcPr>
          <w:p w14:paraId="73B328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1409" w:type="dxa"/>
          </w:tcPr>
          <w:p w14:paraId="3B277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409" w:type="dxa"/>
          </w:tcPr>
          <w:p w14:paraId="752F56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40F52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409" w:type="dxa"/>
          </w:tcPr>
          <w:p w14:paraId="4AEAE8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w:t>
            </w:r>
          </w:p>
        </w:tc>
      </w:tr>
      <w:tr w:rsidR="006F4095" w:rsidRPr="008127F8" w14:paraId="6CB84617" w14:textId="77777777">
        <w:tc>
          <w:tcPr>
            <w:tcW w:w="1409" w:type="dxa"/>
          </w:tcPr>
          <w:p w14:paraId="354607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409" w:type="dxa"/>
          </w:tcPr>
          <w:p w14:paraId="5A9DAE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409" w:type="dxa"/>
          </w:tcPr>
          <w:p w14:paraId="6E49C5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F2008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AED4D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768</w:t>
            </w:r>
          </w:p>
        </w:tc>
      </w:tr>
      <w:tr w:rsidR="006F4095" w:rsidRPr="008127F8" w14:paraId="50929A97" w14:textId="77777777">
        <w:tc>
          <w:tcPr>
            <w:tcW w:w="1409" w:type="dxa"/>
          </w:tcPr>
          <w:p w14:paraId="7465DE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02E4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409" w:type="dxa"/>
          </w:tcPr>
          <w:p w14:paraId="20F53F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B9DF9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7062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r>
      <w:tr w:rsidR="006F4095" w:rsidRPr="008127F8" w14:paraId="5941F065" w14:textId="77777777">
        <w:tc>
          <w:tcPr>
            <w:tcW w:w="1409" w:type="dxa"/>
          </w:tcPr>
          <w:p w14:paraId="234177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409" w:type="dxa"/>
          </w:tcPr>
          <w:p w14:paraId="2191A7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МБР-6</w:t>
            </w:r>
          </w:p>
        </w:tc>
        <w:tc>
          <w:tcPr>
            <w:tcW w:w="1409" w:type="dxa"/>
          </w:tcPr>
          <w:p w14:paraId="6BDBDE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D0288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09" w:type="dxa"/>
          </w:tcPr>
          <w:p w14:paraId="1532C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B01CEC" w14:textId="77777777">
        <w:tc>
          <w:tcPr>
            <w:tcW w:w="1409" w:type="dxa"/>
          </w:tcPr>
          <w:p w14:paraId="51B03B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1409" w:type="dxa"/>
          </w:tcPr>
          <w:p w14:paraId="70F0B4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w:t>
            </w:r>
          </w:p>
        </w:tc>
        <w:tc>
          <w:tcPr>
            <w:tcW w:w="1409" w:type="dxa"/>
          </w:tcPr>
          <w:p w14:paraId="5D55E3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1409" w:type="dxa"/>
          </w:tcPr>
          <w:p w14:paraId="4303F3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w:t>
            </w:r>
          </w:p>
        </w:tc>
        <w:tc>
          <w:tcPr>
            <w:tcW w:w="1409" w:type="dxa"/>
          </w:tcPr>
          <w:p w14:paraId="099E29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45EA33" w14:textId="77777777">
        <w:tc>
          <w:tcPr>
            <w:tcW w:w="1409" w:type="dxa"/>
          </w:tcPr>
          <w:p w14:paraId="665240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w:t>
            </w:r>
          </w:p>
        </w:tc>
        <w:tc>
          <w:tcPr>
            <w:tcW w:w="1409" w:type="dxa"/>
          </w:tcPr>
          <w:p w14:paraId="7C8FEB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УТИ-4</w:t>
            </w:r>
          </w:p>
        </w:tc>
        <w:tc>
          <w:tcPr>
            <w:tcW w:w="1409" w:type="dxa"/>
          </w:tcPr>
          <w:p w14:paraId="385BBE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2B7F7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356</w:t>
            </w:r>
          </w:p>
        </w:tc>
        <w:tc>
          <w:tcPr>
            <w:tcW w:w="1409" w:type="dxa"/>
          </w:tcPr>
          <w:p w14:paraId="56A7FA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C3EA4C" w14:textId="77777777">
        <w:tc>
          <w:tcPr>
            <w:tcW w:w="1409" w:type="dxa"/>
          </w:tcPr>
          <w:p w14:paraId="66364A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1409" w:type="dxa"/>
          </w:tcPr>
          <w:p w14:paraId="4BD4A4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w:t>
            </w:r>
          </w:p>
        </w:tc>
        <w:tc>
          <w:tcPr>
            <w:tcW w:w="1409" w:type="dxa"/>
          </w:tcPr>
          <w:p w14:paraId="37C355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409" w:type="dxa"/>
          </w:tcPr>
          <w:p w14:paraId="5BABEB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409" w:type="dxa"/>
          </w:tcPr>
          <w:p w14:paraId="6D7C0B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9A049F" w14:textId="77777777">
        <w:tc>
          <w:tcPr>
            <w:tcW w:w="1409" w:type="dxa"/>
          </w:tcPr>
          <w:p w14:paraId="590042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A01EB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С-2</w:t>
            </w:r>
          </w:p>
        </w:tc>
        <w:tc>
          <w:tcPr>
            <w:tcW w:w="1409" w:type="dxa"/>
          </w:tcPr>
          <w:p w14:paraId="36ABD0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875D9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409" w:type="dxa"/>
          </w:tcPr>
          <w:p w14:paraId="5C13E7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CB820B5" w14:textId="77777777">
        <w:tc>
          <w:tcPr>
            <w:tcW w:w="1409" w:type="dxa"/>
          </w:tcPr>
          <w:p w14:paraId="69B000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01DBB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2FA0F5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409" w:type="dxa"/>
          </w:tcPr>
          <w:p w14:paraId="4CF9C3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409" w:type="dxa"/>
          </w:tcPr>
          <w:p w14:paraId="24C60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C5A2EB" w14:textId="77777777">
        <w:tc>
          <w:tcPr>
            <w:tcW w:w="1409" w:type="dxa"/>
          </w:tcPr>
          <w:p w14:paraId="1ECBB3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1409" w:type="dxa"/>
          </w:tcPr>
          <w:p w14:paraId="07A181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w:t>
            </w:r>
          </w:p>
        </w:tc>
        <w:tc>
          <w:tcPr>
            <w:tcW w:w="1409" w:type="dxa"/>
          </w:tcPr>
          <w:p w14:paraId="5A0200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9C880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w:t>
            </w:r>
          </w:p>
        </w:tc>
        <w:tc>
          <w:tcPr>
            <w:tcW w:w="1409" w:type="dxa"/>
          </w:tcPr>
          <w:p w14:paraId="3BF6E5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A9CE32" w14:textId="77777777">
        <w:tc>
          <w:tcPr>
            <w:tcW w:w="1409" w:type="dxa"/>
          </w:tcPr>
          <w:p w14:paraId="7E07BC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1409" w:type="dxa"/>
          </w:tcPr>
          <w:p w14:paraId="09DB58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w:t>
            </w:r>
          </w:p>
        </w:tc>
        <w:tc>
          <w:tcPr>
            <w:tcW w:w="1409" w:type="dxa"/>
          </w:tcPr>
          <w:p w14:paraId="3EE7D0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409" w:type="dxa"/>
          </w:tcPr>
          <w:p w14:paraId="5E2E25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1245</w:t>
            </w:r>
          </w:p>
        </w:tc>
        <w:tc>
          <w:tcPr>
            <w:tcW w:w="1409" w:type="dxa"/>
          </w:tcPr>
          <w:p w14:paraId="2B62C8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0BB8FC" w14:textId="77777777">
        <w:tc>
          <w:tcPr>
            <w:tcW w:w="1409" w:type="dxa"/>
          </w:tcPr>
          <w:p w14:paraId="185800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15FC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С-2</w:t>
            </w:r>
          </w:p>
        </w:tc>
        <w:tc>
          <w:tcPr>
            <w:tcW w:w="1409" w:type="dxa"/>
          </w:tcPr>
          <w:p w14:paraId="7D8AEB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556B6E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409" w:type="dxa"/>
          </w:tcPr>
          <w:p w14:paraId="1574DB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5ED1CE" w14:textId="77777777">
        <w:tc>
          <w:tcPr>
            <w:tcW w:w="1409" w:type="dxa"/>
          </w:tcPr>
          <w:p w14:paraId="3FC45E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B740F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5E8AE3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409" w:type="dxa"/>
          </w:tcPr>
          <w:p w14:paraId="114B41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1409" w:type="dxa"/>
          </w:tcPr>
          <w:p w14:paraId="0F17C7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116BA5" w14:textId="77777777">
        <w:tc>
          <w:tcPr>
            <w:tcW w:w="1409" w:type="dxa"/>
          </w:tcPr>
          <w:p w14:paraId="36A390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1409" w:type="dxa"/>
          </w:tcPr>
          <w:p w14:paraId="3BEA34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1409" w:type="dxa"/>
          </w:tcPr>
          <w:p w14:paraId="22DE4B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508F6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E916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r>
      <w:tr w:rsidR="006F4095" w:rsidRPr="008127F8" w14:paraId="47700770" w14:textId="77777777">
        <w:tc>
          <w:tcPr>
            <w:tcW w:w="1409" w:type="dxa"/>
          </w:tcPr>
          <w:p w14:paraId="575B5A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самолетов</w:t>
            </w:r>
          </w:p>
        </w:tc>
        <w:tc>
          <w:tcPr>
            <w:tcW w:w="1409" w:type="dxa"/>
          </w:tcPr>
          <w:p w14:paraId="66A8FE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10565</w:t>
            </w:r>
          </w:p>
        </w:tc>
        <w:tc>
          <w:tcPr>
            <w:tcW w:w="1409" w:type="dxa"/>
          </w:tcPr>
          <w:p w14:paraId="7C32E5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798E7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15698</w:t>
            </w:r>
          </w:p>
        </w:tc>
        <w:tc>
          <w:tcPr>
            <w:tcW w:w="1409" w:type="dxa"/>
          </w:tcPr>
          <w:p w14:paraId="4FFA11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E0F325" w14:textId="77777777">
        <w:tc>
          <w:tcPr>
            <w:tcW w:w="1409" w:type="dxa"/>
          </w:tcPr>
          <w:p w14:paraId="2FDA35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w:t>
            </w:r>
          </w:p>
        </w:tc>
        <w:tc>
          <w:tcPr>
            <w:tcW w:w="1409" w:type="dxa"/>
          </w:tcPr>
          <w:p w14:paraId="614218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9FCF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0DFCC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4BDF8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64CFD1" w14:textId="77777777">
        <w:tc>
          <w:tcPr>
            <w:tcW w:w="1409" w:type="dxa"/>
          </w:tcPr>
          <w:p w14:paraId="4EDC9A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09" w:type="dxa"/>
          </w:tcPr>
          <w:p w14:paraId="002696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409" w:type="dxa"/>
          </w:tcPr>
          <w:p w14:paraId="635DC5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409" w:type="dxa"/>
          </w:tcPr>
          <w:p w14:paraId="1F5F39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1230</w:t>
            </w:r>
          </w:p>
        </w:tc>
        <w:tc>
          <w:tcPr>
            <w:tcW w:w="1409" w:type="dxa"/>
          </w:tcPr>
          <w:p w14:paraId="232848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r>
      <w:tr w:rsidR="006F4095" w:rsidRPr="008127F8" w14:paraId="01D4BD4F" w14:textId="77777777">
        <w:tc>
          <w:tcPr>
            <w:tcW w:w="1409" w:type="dxa"/>
          </w:tcPr>
          <w:p w14:paraId="458561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0CF1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1409" w:type="dxa"/>
          </w:tcPr>
          <w:p w14:paraId="709272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3329</w:t>
            </w:r>
          </w:p>
        </w:tc>
        <w:tc>
          <w:tcPr>
            <w:tcW w:w="1409" w:type="dxa"/>
          </w:tcPr>
          <w:p w14:paraId="3D2EAE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42DBB5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F3F570" w14:textId="77777777">
        <w:tc>
          <w:tcPr>
            <w:tcW w:w="1409" w:type="dxa"/>
          </w:tcPr>
          <w:p w14:paraId="596F39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0DCB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МВ-6</w:t>
            </w:r>
          </w:p>
        </w:tc>
        <w:tc>
          <w:tcPr>
            <w:tcW w:w="1409" w:type="dxa"/>
          </w:tcPr>
          <w:p w14:paraId="7B4045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409" w:type="dxa"/>
          </w:tcPr>
          <w:p w14:paraId="6BB20E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409" w:type="dxa"/>
          </w:tcPr>
          <w:p w14:paraId="28D0E5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6A02D18" w14:textId="77777777">
        <w:tc>
          <w:tcPr>
            <w:tcW w:w="1409" w:type="dxa"/>
          </w:tcPr>
          <w:p w14:paraId="5A1BB5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4120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МВ-4</w:t>
            </w:r>
          </w:p>
        </w:tc>
        <w:tc>
          <w:tcPr>
            <w:tcW w:w="1409" w:type="dxa"/>
          </w:tcPr>
          <w:p w14:paraId="72454C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409" w:type="dxa"/>
          </w:tcPr>
          <w:p w14:paraId="679566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980A0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A150D8" w14:textId="77777777">
        <w:tc>
          <w:tcPr>
            <w:tcW w:w="1409" w:type="dxa"/>
          </w:tcPr>
          <w:p w14:paraId="49EE9F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16/27</w:t>
            </w:r>
          </w:p>
        </w:tc>
        <w:tc>
          <w:tcPr>
            <w:tcW w:w="1409" w:type="dxa"/>
          </w:tcPr>
          <w:p w14:paraId="627B09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409" w:type="dxa"/>
          </w:tcPr>
          <w:p w14:paraId="253736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409" w:type="dxa"/>
          </w:tcPr>
          <w:p w14:paraId="523D97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307</w:t>
            </w:r>
          </w:p>
        </w:tc>
        <w:tc>
          <w:tcPr>
            <w:tcW w:w="1409" w:type="dxa"/>
          </w:tcPr>
          <w:p w14:paraId="1FE566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168D5E" w14:textId="77777777">
        <w:tc>
          <w:tcPr>
            <w:tcW w:w="1409" w:type="dxa"/>
          </w:tcPr>
          <w:p w14:paraId="4DA73F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434DF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1B7E03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3388</w:t>
            </w:r>
          </w:p>
        </w:tc>
        <w:tc>
          <w:tcPr>
            <w:tcW w:w="1409" w:type="dxa"/>
          </w:tcPr>
          <w:p w14:paraId="4C46C4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1545</w:t>
            </w:r>
          </w:p>
        </w:tc>
        <w:tc>
          <w:tcPr>
            <w:tcW w:w="1409" w:type="dxa"/>
          </w:tcPr>
          <w:p w14:paraId="51F92B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D97F96" w14:textId="77777777">
        <w:tc>
          <w:tcPr>
            <w:tcW w:w="1409" w:type="dxa"/>
          </w:tcPr>
          <w:p w14:paraId="7F3A35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409" w:type="dxa"/>
          </w:tcPr>
          <w:p w14:paraId="77206E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w:t>
            </w:r>
          </w:p>
        </w:tc>
        <w:tc>
          <w:tcPr>
            <w:tcW w:w="1409" w:type="dxa"/>
          </w:tcPr>
          <w:p w14:paraId="322D2E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698</w:t>
            </w:r>
          </w:p>
        </w:tc>
        <w:tc>
          <w:tcPr>
            <w:tcW w:w="1409" w:type="dxa"/>
          </w:tcPr>
          <w:p w14:paraId="0A58B2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1450</w:t>
            </w:r>
          </w:p>
        </w:tc>
        <w:tc>
          <w:tcPr>
            <w:tcW w:w="1409" w:type="dxa"/>
          </w:tcPr>
          <w:p w14:paraId="07BC1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E08B09" w14:textId="77777777">
        <w:tc>
          <w:tcPr>
            <w:tcW w:w="1409" w:type="dxa"/>
          </w:tcPr>
          <w:p w14:paraId="140082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2A695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М-62ИР</w:t>
            </w:r>
          </w:p>
        </w:tc>
        <w:tc>
          <w:tcPr>
            <w:tcW w:w="1409" w:type="dxa"/>
          </w:tcPr>
          <w:p w14:paraId="7BCC48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409" w:type="dxa"/>
          </w:tcPr>
          <w:p w14:paraId="6714E7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981</w:t>
            </w:r>
          </w:p>
        </w:tc>
        <w:tc>
          <w:tcPr>
            <w:tcW w:w="1409" w:type="dxa"/>
          </w:tcPr>
          <w:p w14:paraId="27FF65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834</w:t>
            </w:r>
          </w:p>
        </w:tc>
      </w:tr>
      <w:tr w:rsidR="006F4095" w:rsidRPr="008127F8" w14:paraId="384163C6" w14:textId="77777777">
        <w:tc>
          <w:tcPr>
            <w:tcW w:w="1409" w:type="dxa"/>
          </w:tcPr>
          <w:p w14:paraId="4042A1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398A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М-25В</w:t>
            </w:r>
          </w:p>
        </w:tc>
        <w:tc>
          <w:tcPr>
            <w:tcW w:w="1409" w:type="dxa"/>
          </w:tcPr>
          <w:p w14:paraId="55853D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1134</w:t>
            </w:r>
          </w:p>
        </w:tc>
        <w:tc>
          <w:tcPr>
            <w:tcW w:w="1409" w:type="dxa"/>
          </w:tcPr>
          <w:p w14:paraId="738709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2068</w:t>
            </w:r>
          </w:p>
        </w:tc>
        <w:tc>
          <w:tcPr>
            <w:tcW w:w="1409" w:type="dxa"/>
          </w:tcPr>
          <w:p w14:paraId="1E7637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9DA11F" w14:textId="77777777">
        <w:tc>
          <w:tcPr>
            <w:tcW w:w="1409" w:type="dxa"/>
          </w:tcPr>
          <w:p w14:paraId="3F9D6A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0DE2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АМ-35А</w:t>
            </w:r>
          </w:p>
        </w:tc>
        <w:tc>
          <w:tcPr>
            <w:tcW w:w="1409" w:type="dxa"/>
          </w:tcPr>
          <w:p w14:paraId="50BD71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EA972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409" w:type="dxa"/>
          </w:tcPr>
          <w:p w14:paraId="158DFF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2601A9A" w14:textId="77777777">
        <w:tc>
          <w:tcPr>
            <w:tcW w:w="1409" w:type="dxa"/>
          </w:tcPr>
          <w:p w14:paraId="513AE1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AFB10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409" w:type="dxa"/>
          </w:tcPr>
          <w:p w14:paraId="6CAB53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3AD21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1409" w:type="dxa"/>
          </w:tcPr>
          <w:p w14:paraId="23E4FA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1090</w:t>
            </w:r>
          </w:p>
        </w:tc>
      </w:tr>
      <w:tr w:rsidR="006F4095" w:rsidRPr="008127F8" w14:paraId="450A2261" w14:textId="77777777">
        <w:tc>
          <w:tcPr>
            <w:tcW w:w="1409" w:type="dxa"/>
          </w:tcPr>
          <w:p w14:paraId="5BE93A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D8073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М-71</w:t>
            </w:r>
          </w:p>
        </w:tc>
        <w:tc>
          <w:tcPr>
            <w:tcW w:w="1409" w:type="dxa"/>
          </w:tcPr>
          <w:p w14:paraId="63DED0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5F95E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409" w:type="dxa"/>
          </w:tcPr>
          <w:p w14:paraId="7AA5C8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039EBB" w14:textId="77777777">
        <w:tc>
          <w:tcPr>
            <w:tcW w:w="1409" w:type="dxa"/>
          </w:tcPr>
          <w:p w14:paraId="30D5C6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2DA9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М-63</w:t>
            </w:r>
          </w:p>
        </w:tc>
        <w:tc>
          <w:tcPr>
            <w:tcW w:w="1409" w:type="dxa"/>
          </w:tcPr>
          <w:p w14:paraId="36D1E3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2111</w:t>
            </w:r>
          </w:p>
        </w:tc>
        <w:tc>
          <w:tcPr>
            <w:tcW w:w="1409" w:type="dxa"/>
          </w:tcPr>
          <w:p w14:paraId="2D1D06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4D90B8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645257B" w14:textId="77777777">
        <w:tc>
          <w:tcPr>
            <w:tcW w:w="1409" w:type="dxa"/>
          </w:tcPr>
          <w:p w14:paraId="59ED52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088F8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М-81</w:t>
            </w:r>
          </w:p>
        </w:tc>
        <w:tc>
          <w:tcPr>
            <w:tcW w:w="1409" w:type="dxa"/>
          </w:tcPr>
          <w:p w14:paraId="21ACA8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409" w:type="dxa"/>
          </w:tcPr>
          <w:p w14:paraId="77CA2B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21EDAE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A62D9F" w14:textId="77777777">
        <w:tc>
          <w:tcPr>
            <w:tcW w:w="1409" w:type="dxa"/>
          </w:tcPr>
          <w:p w14:paraId="15BBA1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A22E5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07C6B6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3977</w:t>
            </w:r>
          </w:p>
        </w:tc>
        <w:tc>
          <w:tcPr>
            <w:tcW w:w="1409" w:type="dxa"/>
          </w:tcPr>
          <w:p w14:paraId="6D58B9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4936</w:t>
            </w:r>
          </w:p>
        </w:tc>
        <w:tc>
          <w:tcPr>
            <w:tcW w:w="1409" w:type="dxa"/>
          </w:tcPr>
          <w:p w14:paraId="7FCA44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3B7CD3" w14:textId="77777777">
        <w:tc>
          <w:tcPr>
            <w:tcW w:w="1409" w:type="dxa"/>
          </w:tcPr>
          <w:p w14:paraId="3B30D3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409" w:type="dxa"/>
          </w:tcPr>
          <w:p w14:paraId="5B3FEB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АМ-35А</w:t>
            </w:r>
          </w:p>
        </w:tc>
        <w:tc>
          <w:tcPr>
            <w:tcW w:w="1409" w:type="dxa"/>
          </w:tcPr>
          <w:p w14:paraId="3E28CF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w:t>
            </w:r>
          </w:p>
        </w:tc>
        <w:tc>
          <w:tcPr>
            <w:tcW w:w="1409" w:type="dxa"/>
          </w:tcPr>
          <w:p w14:paraId="3EB4E3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4012</w:t>
            </w:r>
          </w:p>
        </w:tc>
        <w:tc>
          <w:tcPr>
            <w:tcW w:w="1409" w:type="dxa"/>
          </w:tcPr>
          <w:p w14:paraId="3C89F2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w:t>
            </w:r>
          </w:p>
        </w:tc>
      </w:tr>
      <w:tr w:rsidR="006F4095" w:rsidRPr="008127F8" w14:paraId="5AA4DB22" w14:textId="77777777">
        <w:tc>
          <w:tcPr>
            <w:tcW w:w="1409" w:type="dxa"/>
          </w:tcPr>
          <w:p w14:paraId="6C3064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79A9E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АМ-37</w:t>
            </w:r>
          </w:p>
        </w:tc>
        <w:tc>
          <w:tcPr>
            <w:tcW w:w="1409" w:type="dxa"/>
          </w:tcPr>
          <w:p w14:paraId="21AD0B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6B00C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409" w:type="dxa"/>
          </w:tcPr>
          <w:p w14:paraId="2ADC25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7F30F2" w14:textId="77777777">
        <w:tc>
          <w:tcPr>
            <w:tcW w:w="1409" w:type="dxa"/>
          </w:tcPr>
          <w:p w14:paraId="01779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3F6E0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409" w:type="dxa"/>
          </w:tcPr>
          <w:p w14:paraId="110398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5210D1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2106</w:t>
            </w:r>
          </w:p>
        </w:tc>
        <w:tc>
          <w:tcPr>
            <w:tcW w:w="1409" w:type="dxa"/>
          </w:tcPr>
          <w:p w14:paraId="6A3050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2540</w:t>
            </w:r>
          </w:p>
        </w:tc>
      </w:tr>
      <w:tr w:rsidR="006F4095" w:rsidRPr="008127F8" w14:paraId="660E4F48" w14:textId="77777777">
        <w:tc>
          <w:tcPr>
            <w:tcW w:w="1409" w:type="dxa"/>
          </w:tcPr>
          <w:p w14:paraId="5C859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B5C8E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М-62Р</w:t>
            </w:r>
          </w:p>
        </w:tc>
        <w:tc>
          <w:tcPr>
            <w:tcW w:w="1409" w:type="dxa"/>
          </w:tcPr>
          <w:p w14:paraId="78C50D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409" w:type="dxa"/>
          </w:tcPr>
          <w:p w14:paraId="3A93C5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521E0E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EB0486C" w14:textId="77777777">
        <w:tc>
          <w:tcPr>
            <w:tcW w:w="1409" w:type="dxa"/>
          </w:tcPr>
          <w:p w14:paraId="4E0464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89EF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w:t>
            </w:r>
          </w:p>
        </w:tc>
        <w:tc>
          <w:tcPr>
            <w:tcW w:w="1409" w:type="dxa"/>
          </w:tcPr>
          <w:p w14:paraId="5BADBE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3061</w:t>
            </w:r>
          </w:p>
        </w:tc>
        <w:tc>
          <w:tcPr>
            <w:tcW w:w="1409" w:type="dxa"/>
          </w:tcPr>
          <w:p w14:paraId="3376EA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409" w:type="dxa"/>
          </w:tcPr>
          <w:p w14:paraId="7415AD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1E450E" w14:textId="77777777">
        <w:tc>
          <w:tcPr>
            <w:tcW w:w="1409" w:type="dxa"/>
          </w:tcPr>
          <w:p w14:paraId="4BD752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E8A3D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ГАМ-34БС</w:t>
            </w:r>
          </w:p>
        </w:tc>
        <w:tc>
          <w:tcPr>
            <w:tcW w:w="1409" w:type="dxa"/>
          </w:tcPr>
          <w:p w14:paraId="386E4A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w:t>
            </w:r>
          </w:p>
        </w:tc>
        <w:tc>
          <w:tcPr>
            <w:tcW w:w="1409" w:type="dxa"/>
          </w:tcPr>
          <w:p w14:paraId="7A33CD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409" w:type="dxa"/>
          </w:tcPr>
          <w:p w14:paraId="306739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D9B94E" w14:textId="77777777">
        <w:tc>
          <w:tcPr>
            <w:tcW w:w="1409" w:type="dxa"/>
          </w:tcPr>
          <w:p w14:paraId="3B4BCB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BF6E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АМ-34</w:t>
            </w:r>
          </w:p>
        </w:tc>
        <w:tc>
          <w:tcPr>
            <w:tcW w:w="1409" w:type="dxa"/>
          </w:tcPr>
          <w:p w14:paraId="7C0592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CDAC6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FEC00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ED6970" w14:textId="77777777">
        <w:tc>
          <w:tcPr>
            <w:tcW w:w="1409" w:type="dxa"/>
          </w:tcPr>
          <w:p w14:paraId="7AA6BF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A0C72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(НФРН,</w:t>
            </w:r>
          </w:p>
        </w:tc>
        <w:tc>
          <w:tcPr>
            <w:tcW w:w="1409" w:type="dxa"/>
          </w:tcPr>
          <w:p w14:paraId="7A9187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820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491AE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AF9DD0" w14:textId="77777777">
        <w:tc>
          <w:tcPr>
            <w:tcW w:w="1409" w:type="dxa"/>
          </w:tcPr>
          <w:p w14:paraId="25F2C6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DC099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ГФН,7,</w:t>
            </w:r>
          </w:p>
        </w:tc>
        <w:tc>
          <w:tcPr>
            <w:tcW w:w="1409" w:type="dxa"/>
          </w:tcPr>
          <w:p w14:paraId="10BABD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1677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3EAFB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7B777D" w14:textId="77777777">
        <w:tc>
          <w:tcPr>
            <w:tcW w:w="1409" w:type="dxa"/>
          </w:tcPr>
          <w:p w14:paraId="144603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CF14A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w:t>
            </w:r>
          </w:p>
        </w:tc>
        <w:tc>
          <w:tcPr>
            <w:tcW w:w="1409" w:type="dxa"/>
          </w:tcPr>
          <w:p w14:paraId="2FC871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409" w:type="dxa"/>
          </w:tcPr>
          <w:p w14:paraId="37ADAC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CD279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6B36655" w14:textId="77777777">
        <w:tc>
          <w:tcPr>
            <w:tcW w:w="1409" w:type="dxa"/>
          </w:tcPr>
          <w:p w14:paraId="08A3C8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E6225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М-62ИР</w:t>
            </w:r>
          </w:p>
        </w:tc>
        <w:tc>
          <w:tcPr>
            <w:tcW w:w="1409" w:type="dxa"/>
          </w:tcPr>
          <w:p w14:paraId="66442F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1409" w:type="dxa"/>
          </w:tcPr>
          <w:p w14:paraId="60E7E9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BE978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7277CC5" w14:textId="77777777">
        <w:tc>
          <w:tcPr>
            <w:tcW w:w="1409" w:type="dxa"/>
          </w:tcPr>
          <w:p w14:paraId="2B698F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BB37D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М-35</w:t>
            </w:r>
          </w:p>
        </w:tc>
        <w:tc>
          <w:tcPr>
            <w:tcW w:w="1409" w:type="dxa"/>
          </w:tcPr>
          <w:p w14:paraId="7FD3AA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409" w:type="dxa"/>
          </w:tcPr>
          <w:p w14:paraId="763889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20BBB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3E94E2" w14:textId="77777777">
        <w:tc>
          <w:tcPr>
            <w:tcW w:w="1409" w:type="dxa"/>
          </w:tcPr>
          <w:p w14:paraId="50EA7C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EB0E9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73F024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4029</w:t>
            </w:r>
          </w:p>
        </w:tc>
        <w:tc>
          <w:tcPr>
            <w:tcW w:w="1409" w:type="dxa"/>
          </w:tcPr>
          <w:p w14:paraId="5EC162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6386</w:t>
            </w:r>
          </w:p>
        </w:tc>
        <w:tc>
          <w:tcPr>
            <w:tcW w:w="1409" w:type="dxa"/>
          </w:tcPr>
          <w:p w14:paraId="3BEAF8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EE9EFA" w14:textId="77777777">
        <w:tc>
          <w:tcPr>
            <w:tcW w:w="1409" w:type="dxa"/>
          </w:tcPr>
          <w:p w14:paraId="3BE27C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409" w:type="dxa"/>
          </w:tcPr>
          <w:p w14:paraId="7ABF5D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409" w:type="dxa"/>
          </w:tcPr>
          <w:p w14:paraId="1A849D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CA98F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FE04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r>
      <w:tr w:rsidR="006F4095" w:rsidRPr="008127F8" w14:paraId="4DCA6920" w14:textId="77777777">
        <w:tc>
          <w:tcPr>
            <w:tcW w:w="1409" w:type="dxa"/>
          </w:tcPr>
          <w:p w14:paraId="735583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409" w:type="dxa"/>
          </w:tcPr>
          <w:p w14:paraId="3290BC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409" w:type="dxa"/>
          </w:tcPr>
          <w:p w14:paraId="758FBD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1227</w:t>
            </w:r>
          </w:p>
        </w:tc>
        <w:tc>
          <w:tcPr>
            <w:tcW w:w="1409" w:type="dxa"/>
          </w:tcPr>
          <w:p w14:paraId="2677D9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4276</w:t>
            </w:r>
          </w:p>
        </w:tc>
        <w:tc>
          <w:tcPr>
            <w:tcW w:w="1409" w:type="dxa"/>
          </w:tcPr>
          <w:p w14:paraId="5ECF32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465</w:t>
            </w:r>
          </w:p>
        </w:tc>
      </w:tr>
      <w:tr w:rsidR="006F4095" w:rsidRPr="008127F8" w14:paraId="25524F8C" w14:textId="77777777">
        <w:tc>
          <w:tcPr>
            <w:tcW w:w="1409" w:type="dxa"/>
          </w:tcPr>
          <w:p w14:paraId="692FDB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C0C2B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409" w:type="dxa"/>
          </w:tcPr>
          <w:p w14:paraId="29E082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235</w:t>
            </w:r>
          </w:p>
        </w:tc>
        <w:tc>
          <w:tcPr>
            <w:tcW w:w="1409" w:type="dxa"/>
          </w:tcPr>
          <w:p w14:paraId="24EE3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4906</w:t>
            </w:r>
          </w:p>
        </w:tc>
        <w:tc>
          <w:tcPr>
            <w:tcW w:w="1409" w:type="dxa"/>
          </w:tcPr>
          <w:p w14:paraId="61B2D9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3781</w:t>
            </w:r>
          </w:p>
        </w:tc>
      </w:tr>
      <w:tr w:rsidR="006F4095" w:rsidRPr="008127F8" w14:paraId="577AC41A" w14:textId="77777777">
        <w:tc>
          <w:tcPr>
            <w:tcW w:w="1409" w:type="dxa"/>
          </w:tcPr>
          <w:p w14:paraId="61C271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B8CB5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М-103</w:t>
            </w:r>
          </w:p>
        </w:tc>
        <w:tc>
          <w:tcPr>
            <w:tcW w:w="1409" w:type="dxa"/>
          </w:tcPr>
          <w:p w14:paraId="602939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4828</w:t>
            </w:r>
          </w:p>
        </w:tc>
        <w:tc>
          <w:tcPr>
            <w:tcW w:w="1409" w:type="dxa"/>
          </w:tcPr>
          <w:p w14:paraId="28964E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1409" w:type="dxa"/>
          </w:tcPr>
          <w:p w14:paraId="294BAE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99B402" w14:textId="77777777">
        <w:tc>
          <w:tcPr>
            <w:tcW w:w="1409" w:type="dxa"/>
          </w:tcPr>
          <w:p w14:paraId="1BC1EB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976F6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М-104</w:t>
            </w:r>
          </w:p>
        </w:tc>
        <w:tc>
          <w:tcPr>
            <w:tcW w:w="1409" w:type="dxa"/>
          </w:tcPr>
          <w:p w14:paraId="63DBDB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1409" w:type="dxa"/>
          </w:tcPr>
          <w:p w14:paraId="047EBF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0D7D65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B32BD1" w14:textId="77777777">
        <w:tc>
          <w:tcPr>
            <w:tcW w:w="1409" w:type="dxa"/>
          </w:tcPr>
          <w:p w14:paraId="099B6A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A5FC5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М-107</w:t>
            </w:r>
          </w:p>
        </w:tc>
        <w:tc>
          <w:tcPr>
            <w:tcW w:w="1409" w:type="dxa"/>
          </w:tcPr>
          <w:p w14:paraId="37176D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18E2B2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409" w:type="dxa"/>
          </w:tcPr>
          <w:p w14:paraId="4BECE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24C701A" w14:textId="77777777">
        <w:tc>
          <w:tcPr>
            <w:tcW w:w="1409" w:type="dxa"/>
          </w:tcPr>
          <w:p w14:paraId="26A4DF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E0E8F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М-17</w:t>
            </w:r>
          </w:p>
        </w:tc>
        <w:tc>
          <w:tcPr>
            <w:tcW w:w="1409" w:type="dxa"/>
          </w:tcPr>
          <w:p w14:paraId="2FB08D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32338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36B1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8142A8" w14:textId="77777777">
        <w:tc>
          <w:tcPr>
            <w:tcW w:w="1409" w:type="dxa"/>
          </w:tcPr>
          <w:p w14:paraId="29757F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9F59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Ф/Г</w:t>
            </w:r>
          </w:p>
        </w:tc>
        <w:tc>
          <w:tcPr>
            <w:tcW w:w="1409" w:type="dxa"/>
          </w:tcPr>
          <w:p w14:paraId="4B3EEC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w:t>
            </w:r>
          </w:p>
        </w:tc>
        <w:tc>
          <w:tcPr>
            <w:tcW w:w="1409" w:type="dxa"/>
          </w:tcPr>
          <w:p w14:paraId="48132B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409" w:type="dxa"/>
          </w:tcPr>
          <w:p w14:paraId="226DB9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DDACA2" w14:textId="77777777">
        <w:tc>
          <w:tcPr>
            <w:tcW w:w="1409" w:type="dxa"/>
          </w:tcPr>
          <w:p w14:paraId="07E717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774B6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М-106</w:t>
            </w:r>
          </w:p>
        </w:tc>
        <w:tc>
          <w:tcPr>
            <w:tcW w:w="1409" w:type="dxa"/>
          </w:tcPr>
          <w:p w14:paraId="63778C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09" w:type="dxa"/>
          </w:tcPr>
          <w:p w14:paraId="7C4D24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68149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E0CAE7" w14:textId="77777777">
        <w:tc>
          <w:tcPr>
            <w:tcW w:w="1409" w:type="dxa"/>
          </w:tcPr>
          <w:p w14:paraId="0B347B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26/384</w:t>
            </w:r>
          </w:p>
        </w:tc>
        <w:tc>
          <w:tcPr>
            <w:tcW w:w="1409" w:type="dxa"/>
          </w:tcPr>
          <w:p w14:paraId="7783DC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409" w:type="dxa"/>
          </w:tcPr>
          <w:p w14:paraId="18AE7E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93CAA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w:t>
            </w:r>
          </w:p>
        </w:tc>
        <w:tc>
          <w:tcPr>
            <w:tcW w:w="1409" w:type="dxa"/>
          </w:tcPr>
          <w:p w14:paraId="2763CD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EDFC99" w14:textId="77777777">
        <w:tc>
          <w:tcPr>
            <w:tcW w:w="1409" w:type="dxa"/>
          </w:tcPr>
          <w:p w14:paraId="5CD4E1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DE64B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409" w:type="dxa"/>
          </w:tcPr>
          <w:p w14:paraId="36E402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44092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409" w:type="dxa"/>
          </w:tcPr>
          <w:p w14:paraId="1C3128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D8231E" w14:textId="77777777">
        <w:tc>
          <w:tcPr>
            <w:tcW w:w="1409" w:type="dxa"/>
          </w:tcPr>
          <w:p w14:paraId="59003C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9262F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48E973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6863</w:t>
            </w:r>
          </w:p>
        </w:tc>
        <w:tc>
          <w:tcPr>
            <w:tcW w:w="1409" w:type="dxa"/>
          </w:tcPr>
          <w:p w14:paraId="3F0C4F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9922</w:t>
            </w:r>
          </w:p>
        </w:tc>
        <w:tc>
          <w:tcPr>
            <w:tcW w:w="1409" w:type="dxa"/>
          </w:tcPr>
          <w:p w14:paraId="564FB4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A3A614" w14:textId="77777777">
        <w:tc>
          <w:tcPr>
            <w:tcW w:w="1409" w:type="dxa"/>
          </w:tcPr>
          <w:p w14:paraId="60C81F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409" w:type="dxa"/>
          </w:tcPr>
          <w:p w14:paraId="78695C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409" w:type="dxa"/>
          </w:tcPr>
          <w:p w14:paraId="7D06E4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1128</w:t>
            </w:r>
          </w:p>
        </w:tc>
        <w:tc>
          <w:tcPr>
            <w:tcW w:w="1409" w:type="dxa"/>
          </w:tcPr>
          <w:p w14:paraId="0C75AC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2921</w:t>
            </w:r>
          </w:p>
        </w:tc>
        <w:tc>
          <w:tcPr>
            <w:tcW w:w="1409" w:type="dxa"/>
          </w:tcPr>
          <w:p w14:paraId="1973C6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6420C4A9" w14:textId="77777777">
        <w:tc>
          <w:tcPr>
            <w:tcW w:w="1409" w:type="dxa"/>
          </w:tcPr>
          <w:p w14:paraId="66270C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0EF6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М-89</w:t>
            </w:r>
          </w:p>
        </w:tc>
        <w:tc>
          <w:tcPr>
            <w:tcW w:w="1409" w:type="dxa"/>
          </w:tcPr>
          <w:p w14:paraId="701E1B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4E06EE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1409" w:type="dxa"/>
          </w:tcPr>
          <w:p w14:paraId="7AFA01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619FFD" w14:textId="77777777">
        <w:tc>
          <w:tcPr>
            <w:tcW w:w="1409" w:type="dxa"/>
          </w:tcPr>
          <w:p w14:paraId="582578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09C63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М-87</w:t>
            </w:r>
          </w:p>
        </w:tc>
        <w:tc>
          <w:tcPr>
            <w:tcW w:w="1409" w:type="dxa"/>
          </w:tcPr>
          <w:p w14:paraId="7AA5E6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2009</w:t>
            </w:r>
          </w:p>
        </w:tc>
        <w:tc>
          <w:tcPr>
            <w:tcW w:w="1409" w:type="dxa"/>
          </w:tcPr>
          <w:p w14:paraId="498601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409" w:type="dxa"/>
          </w:tcPr>
          <w:p w14:paraId="3501AD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835F2C" w14:textId="77777777">
        <w:tc>
          <w:tcPr>
            <w:tcW w:w="1409" w:type="dxa"/>
          </w:tcPr>
          <w:p w14:paraId="684377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F5C1F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Pr>
          <w:p w14:paraId="0C1F33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3137</w:t>
            </w:r>
          </w:p>
        </w:tc>
        <w:tc>
          <w:tcPr>
            <w:tcW w:w="1409" w:type="dxa"/>
          </w:tcPr>
          <w:p w14:paraId="23FED5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3066</w:t>
            </w:r>
          </w:p>
        </w:tc>
        <w:tc>
          <w:tcPr>
            <w:tcW w:w="1409" w:type="dxa"/>
          </w:tcPr>
          <w:p w14:paraId="0248DE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32545C" w14:textId="77777777">
        <w:tc>
          <w:tcPr>
            <w:tcW w:w="1409" w:type="dxa"/>
          </w:tcPr>
          <w:p w14:paraId="0AE6E2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1409" w:type="dxa"/>
          </w:tcPr>
          <w:p w14:paraId="5690AA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w:t>
            </w:r>
          </w:p>
        </w:tc>
        <w:tc>
          <w:tcPr>
            <w:tcW w:w="1409" w:type="dxa"/>
          </w:tcPr>
          <w:p w14:paraId="06F382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46DEB6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409" w:type="dxa"/>
          </w:tcPr>
          <w:p w14:paraId="691AD3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B37BB5" w14:textId="77777777">
        <w:tc>
          <w:tcPr>
            <w:tcW w:w="1409" w:type="dxa"/>
          </w:tcPr>
          <w:p w14:paraId="36DB37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82/27</w:t>
            </w:r>
          </w:p>
        </w:tc>
        <w:tc>
          <w:tcPr>
            <w:tcW w:w="1409" w:type="dxa"/>
          </w:tcPr>
          <w:p w14:paraId="12F0A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w:t>
            </w:r>
          </w:p>
        </w:tc>
        <w:tc>
          <w:tcPr>
            <w:tcW w:w="1409" w:type="dxa"/>
          </w:tcPr>
          <w:p w14:paraId="35D603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6E56A4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409" w:type="dxa"/>
          </w:tcPr>
          <w:p w14:paraId="0CE2B7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F5C85B" w14:textId="77777777">
        <w:tc>
          <w:tcPr>
            <w:tcW w:w="1409" w:type="dxa"/>
          </w:tcPr>
          <w:p w14:paraId="309DCF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w:t>
            </w:r>
          </w:p>
        </w:tc>
        <w:tc>
          <w:tcPr>
            <w:tcW w:w="1409" w:type="dxa"/>
          </w:tcPr>
          <w:p w14:paraId="3127BE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409" w:type="dxa"/>
          </w:tcPr>
          <w:p w14:paraId="5CB1FD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335E3F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1409" w:type="dxa"/>
          </w:tcPr>
          <w:p w14:paraId="41B30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647280" w14:textId="77777777">
        <w:tc>
          <w:tcPr>
            <w:tcW w:w="1409" w:type="dxa"/>
          </w:tcPr>
          <w:p w14:paraId="4C140E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8E23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409" w:type="dxa"/>
          </w:tcPr>
          <w:p w14:paraId="3FE621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9" w:type="dxa"/>
          </w:tcPr>
          <w:p w14:paraId="7A9FD8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409" w:type="dxa"/>
          </w:tcPr>
          <w:p w14:paraId="614879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5108F1" w14:textId="77777777">
        <w:tc>
          <w:tcPr>
            <w:tcW w:w="1409" w:type="dxa"/>
          </w:tcPr>
          <w:p w14:paraId="0C8955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409" w:type="dxa"/>
          </w:tcPr>
          <w:p w14:paraId="0B9617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1409" w:type="dxa"/>
          </w:tcPr>
          <w:p w14:paraId="1813A6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w:t>
            </w:r>
          </w:p>
        </w:tc>
        <w:tc>
          <w:tcPr>
            <w:tcW w:w="1409" w:type="dxa"/>
          </w:tcPr>
          <w:p w14:paraId="44EF90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2269</w:t>
            </w:r>
          </w:p>
        </w:tc>
        <w:tc>
          <w:tcPr>
            <w:tcW w:w="1409" w:type="dxa"/>
          </w:tcPr>
          <w:p w14:paraId="358466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97F8E81" w14:textId="77777777">
        <w:tc>
          <w:tcPr>
            <w:tcW w:w="1409" w:type="dxa"/>
          </w:tcPr>
          <w:p w14:paraId="46D0E6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2DA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0AE5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1E1C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C2D86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CC72DA" w14:textId="77777777">
        <w:tc>
          <w:tcPr>
            <w:tcW w:w="1409" w:type="dxa"/>
            <w:tcBorders>
              <w:bottom w:val="single" w:sz="12" w:space="0" w:color="auto"/>
            </w:tcBorders>
          </w:tcPr>
          <w:p w14:paraId="2D8AE8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409" w:type="dxa"/>
            <w:tcBorders>
              <w:bottom w:val="single" w:sz="12" w:space="0" w:color="auto"/>
            </w:tcBorders>
          </w:tcPr>
          <w:p w14:paraId="44F5C2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21452</w:t>
            </w:r>
          </w:p>
        </w:tc>
        <w:tc>
          <w:tcPr>
            <w:tcW w:w="1409" w:type="dxa"/>
            <w:tcBorders>
              <w:bottom w:val="single" w:sz="12" w:space="0" w:color="auto"/>
            </w:tcBorders>
          </w:tcPr>
          <w:p w14:paraId="2323FE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Borders>
              <w:bottom w:val="single" w:sz="12" w:space="0" w:color="auto"/>
            </w:tcBorders>
          </w:tcPr>
          <w:p w14:paraId="36E5FC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28242</w:t>
            </w:r>
          </w:p>
        </w:tc>
        <w:tc>
          <w:tcPr>
            <w:tcW w:w="1409" w:type="dxa"/>
            <w:tcBorders>
              <w:bottom w:val="single" w:sz="12" w:space="0" w:color="auto"/>
            </w:tcBorders>
          </w:tcPr>
          <w:p w14:paraId="301CB8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65F09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(составлен по телеграфным сообщениям, подлежит уточнению - 2133).</w:t>
      </w:r>
    </w:p>
    <w:p w14:paraId="770170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3E140"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февраля 1942 г. Из приказа Наркомата авиационной промышленности СССР и Главного управления Военно-Воздушных Сил Красной Армии «О выделении инструктивных и рабочих бригад заводами НКАП по ремонту моторов и самолетов в авиамастерских и частях ВВС Красной Армии»</w:t>
      </w:r>
    </w:p>
    <w:p w14:paraId="4EF4FD76"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истекшем 1941 г. в период военных действий выездными бригадами серийных заводов НКАП была оказана большая техническая помощь строевым частям и реморганам ВВС Красной Армии, как в освоении эксплуатации и ремонта материальной части, так и непосредственно по полевому ремонту моторов и самолетов.</w:t>
      </w:r>
    </w:p>
    <w:p w14:paraId="27AC6DF6"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что потребность в технической помощи заводов НКАП частям и реморганам ВВС Красной Армии и в 1942 г., в связи с запросами фронта, будет не менее значительной, приказываем:</w:t>
      </w:r>
    </w:p>
    <w:p w14:paraId="1D0344E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серийных заводов укомплектовать 143 заводские инструктивные и рабочие бригады с общим количеством рабочих -специалистов 870 человек, согласно прилагаемой ведомости № I и 2, и закрепить их за ВВС Красной Армии на 1942 г. для ремонта моторов и самолетов в авиачастях и реморганах ВВС Красной Армии.</w:t>
      </w:r>
    </w:p>
    <w:p w14:paraId="2176C67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Высылку бригад с заводов к месту работы производить в течение всего 1942 г. по письменному или телеграфному запросу Управления эксплуатации и ремонта ГУ ВВС Красной Армии.</w:t>
      </w:r>
    </w:p>
    <w:p w14:paraId="64A831FF"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Директорам заводов НКАП высылать рабочие и инструктивные бригады в места, указанные Управлением эксплуатации и ремонта, в трехдневный срок после получения запроса.</w:t>
      </w:r>
    </w:p>
    <w:p w14:paraId="2392E60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Продолжительность работы каждой бригады установить от 20 до 45 дней. Указанный срок может быть увеличен в отдельных случаях, в зависимости от конкретных условий в местах командирования бригад, только по разрешению Управления эксплуатации и ремонта Главного управления ВВС Красной Армии, о чем последнее своевременно уведомляет директора завода НКАП, командировавшего бригаду.</w:t>
      </w:r>
    </w:p>
    <w:p w14:paraId="558F143F"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Объем работ выездных бригад заключается в инструктировании инженерно-технического состава и рабочих реморганов ВВС Красной Армии по правильному ремонту и монтажу объектов и в непосредственной работе по ремонту материальной части в качестве специалистов.</w:t>
      </w:r>
    </w:p>
    <w:p w14:paraId="6D08AB32"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w:t>
      </w:r>
      <w:r w:rsidRPr="008A2E5A">
        <w:rPr>
          <w:rFonts w:ascii="Times New Roman" w:hAnsi="Times New Roman"/>
          <w:color w:val="0070C0"/>
          <w:sz w:val="16"/>
          <w:szCs w:val="16"/>
        </w:rPr>
        <w:tab/>
        <w:t>А. Шахурин</w:t>
      </w:r>
    </w:p>
    <w:p w14:paraId="009C961A"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ГУ ВВС КА генерал-лейтенант авиации</w:t>
      </w:r>
      <w:r w:rsidRPr="008A2E5A">
        <w:rPr>
          <w:rFonts w:ascii="Times New Roman" w:hAnsi="Times New Roman"/>
          <w:color w:val="0070C0"/>
          <w:sz w:val="16"/>
          <w:szCs w:val="16"/>
        </w:rPr>
        <w:tab/>
        <w:t>И. Петров</w:t>
      </w:r>
    </w:p>
    <w:p w14:paraId="12371D85"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117. Л. 106-107. Заверенная копия (23811).</w:t>
      </w:r>
    </w:p>
    <w:p w14:paraId="67742206" w14:textId="77777777" w:rsidR="00CD7517" w:rsidRPr="008A2E5A" w:rsidRDefault="00CD7517" w:rsidP="00CD7517">
      <w:pPr>
        <w:spacing w:after="0" w:line="240" w:lineRule="auto"/>
        <w:jc w:val="both"/>
        <w:rPr>
          <w:rFonts w:ascii="Times New Roman" w:hAnsi="Times New Roman"/>
          <w:color w:val="0070C0"/>
          <w:sz w:val="16"/>
          <w:szCs w:val="16"/>
        </w:rPr>
      </w:pPr>
    </w:p>
    <w:p w14:paraId="0D33B721" w14:textId="77777777" w:rsidR="003C6ADB"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40526C3" w14:textId="77777777" w:rsidR="003C6ADB" w:rsidRPr="008127F8" w:rsidRDefault="003C6ADB"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ACBC0A"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19 февраля 1942 года, согласно сводке по испытаниям Т-70, датированной первым днём их проведения:</w:t>
      </w:r>
    </w:p>
    <w:p w14:paraId="11B6A420"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Езда по целине, глубина снежного покрова 40–50 см.</w:t>
      </w:r>
    </w:p>
    <w:p w14:paraId="26C326F5"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а) пройдено по целине 50 км.</w:t>
      </w:r>
    </w:p>
    <w:p w14:paraId="27BA5BD9"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б) средняя скорость 13 км/ч</w:t>
      </w:r>
    </w:p>
    <w:p w14:paraId="33625B51"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пройдено по другим дорогам 25 км</w:t>
      </w:r>
    </w:p>
    <w:p w14:paraId="5F55F0D7"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Преодоление снежной целины Т-70 производилось на третьей передаче с редким переходом на вторую передачу.</w:t>
      </w:r>
    </w:p>
    <w:p w14:paraId="7F054DB4"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то же время танк Т-60 мог идти на этой же целине только на первой и иногда второй передаче. Средняя скорость движения у танка Т-60 по этой снежной целине ниже, чем у танка Т-70, в два раза».</w:t>
      </w:r>
    </w:p>
    <w:p w14:paraId="0982FE49"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пересечённой местности ГАЗ-70 развивал среднюю скорость 18–20 км/ч, при этом расход топлива составлял 200 литров на 100 километров. По просёлку танк прошёл 106 км, при этом средняя скорость составила 20–24 км/ч, а расход топлива – 160 литров на 100 километров. Что же касается езды по шоссе, то Т-70 преодолел 130 километров со средней скоростью 32 км/ч, максимальной скоростью 45 км/ч и расходом топлива 100 литров на 100 километров. Эти результаты были признаны вполне удовлетворительными.</w:t>
      </w:r>
    </w:p>
    <w:p w14:paraId="0161EECB"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ходе испытаний на проходимость максимальный угол подъема составил 25 градусов, на более крутые углы не хватало сцепления гусениц с грунтом. Также в ходе испытаний танк свалил сосну с диаметром ствола 25 см.</w:t>
      </w:r>
    </w:p>
    <w:p w14:paraId="2512A509"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Всего из основного вооружения было произведено 266 выстрелов. Скорострельность при стрельбе на ходу составила 4–5 выстрелов в минуту, при этом отмечалась вполне удовлетворительная кучность. Никаких претензий по поводу того, что башня одноместная, в отчёте не приведено. Более того, прямо указывается, что «рабочие места расположены удобно».</w:t>
      </w:r>
    </w:p>
    <w:p w14:paraId="57520217"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Также стоит отметить, что обзорность с места командира в отчёте признана удовлетворительной. Особо отмечался перископ в крыше башни, появление которого снизило непросматриваемое пространство для командира до 6–8 метров. Впрочем, более поздние исследования показали, что «мёртвая зона» составляет 9 метров.</w:t>
      </w:r>
    </w:p>
    <w:p w14:paraId="00271E10"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итогам испытаний танка были сделаны следующие выводы:</w:t>
      </w:r>
    </w:p>
    <w:p w14:paraId="77B9049B"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Боевые свойства и тактические возможности танка Т-70 значительно превосходят таковые танка Т-60, агрегаты и детали которого использованы в конструкции Т-70.</w:t>
      </w:r>
    </w:p>
    <w:p w14:paraId="0FF2A261"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Все основные показатели характеристик танка Т-70 – вооружение, бронирование, средние скорости движения, маневренность, проходимость в условиях снежных дорог и целины, обзорность превосходят соответствующие показатели танка Т-60, давая возможность использовать танк Т-70 в качестве легкого танка, могущего бороться с противотанковой артиллерией малого калибра, легкими и малыми танками, пехотой и механизированными восками противника, а также служить в качестве танка непосредственной поддержки пехоты.</w:t>
      </w:r>
    </w:p>
    <w:p w14:paraId="6A4C0CAC"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Легкий танк Т-70 может быть принят на вооружение Красной Армии и запущен в серийное производство для замены Т-60.</w:t>
      </w:r>
    </w:p>
    <w:p w14:paraId="028F0D7C"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 Выявленные комиссией недостатки должны быть устранены заводом в порядке прилагаемого перечня.</w:t>
      </w:r>
    </w:p>
    <w:p w14:paraId="45051035"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5. Одновременно с запуском серийного производства ГАЗ-у необходимо продолжить испытания Т-70 на прочность агрегатов в весенних и летних условиях» (17664).</w:t>
      </w:r>
    </w:p>
    <w:p w14:paraId="6E4BAA01" w14:textId="77777777" w:rsidR="001261E6" w:rsidRPr="008127F8" w:rsidRDefault="001261E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D5649EB"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shd w:val="clear" w:color="auto" w:fill="FFFFFF"/>
        </w:rPr>
      </w:pPr>
      <w:r w:rsidRPr="008127F8">
        <w:rPr>
          <w:color w:val="000000" w:themeColor="text1"/>
          <w:sz w:val="16"/>
          <w:szCs w:val="16"/>
          <w:shd w:val="clear" w:color="auto" w:fill="FFFFFF"/>
        </w:rPr>
        <w:t>19 февраля 1942 года на испытания вышел новый танк - Т-70 (ГАЗ-70) (23179).</w:t>
      </w:r>
    </w:p>
    <w:p w14:paraId="725EAB0A"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rPr>
      </w:pPr>
    </w:p>
    <w:p w14:paraId="34D4836A"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shd w:val="clear" w:color="auto" w:fill="FFFFFF"/>
        </w:rPr>
        <w:t>19 февраля 1942 в Москве начались испытания опытного образца Т-70, который в срочном порядке доставили из Горького. В них участвовал и Т-60 с утолщенной броней. По поводу этих самых испытаний есть немалое число мифов, связанных, прежде всего, с вооружением. Часто упоминается тема того, что башня, мол, с самого начала была забракована, а Астров что-то обещал переделать. Вот только отчет по испытаниям говорит совсем о другом. 20 февраля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w:t>
      </w:r>
    </w:p>
    <w:p w14:paraId="57C238D2"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shd w:val="clear" w:color="auto" w:fill="FFFFFF"/>
        </w:rPr>
      </w:pPr>
      <w:r w:rsidRPr="008127F8">
        <w:rPr>
          <w:color w:val="000000" w:themeColor="text1"/>
          <w:sz w:val="16"/>
          <w:szCs w:val="16"/>
          <w:shd w:val="clear" w:color="auto" w:fill="FFFFFF"/>
        </w:rPr>
        <w:lastRenderedPageBreak/>
        <w:t>Собственно говоря, в тех же мифах находится и история насчет проходимости танка Т-60 по снегу. Способность этого танка якобы уверенно двигаться по снегу опровергают и совместные испытания, и сводки с фронтов. После утолщения брони удельная мощность Т-60 снизилась до 10,94 л.с. на тонну, у Т-70 этот показатель составлял 15,5 л.с. на тонну. Преимущество по подвижности стало еще более очевидным в ходе испытаний. При равной максимальной скорости, составившей 45 км/ч, средняя скорость Т-70 по шоссе составила 32 км/ч, а у Т-60 она не дотянула даже до расчетных 25 км/ч. Еще более существенной разницей стали испытания на проселке. Первый их этап, составивший 247 километров, проходил по ухабистому проселку в районе Пушкино. Сложный характер дороги привел к тому, что средняя скорость составила 12-14 км/ч, впрочем, Т-60 ехал еще медленнее. Позже было пройдено 106 километров по более ровным участкам, на них средняя скорость составила 20-24 км/ч. Т-60 не смог в тех же условиях развить и 20 км/ч. При прохождении данного этапа расход топлива Т-70 составил 160 литров на 100 километров.</w:t>
      </w:r>
    </w:p>
    <w:p w14:paraId="510ABCC9"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shd w:val="clear" w:color="auto" w:fill="FFFFFF"/>
        </w:rPr>
      </w:pPr>
      <w:r w:rsidRPr="008127F8">
        <w:rPr>
          <w:color w:val="000000" w:themeColor="text1"/>
          <w:sz w:val="16"/>
          <w:szCs w:val="16"/>
          <w:shd w:val="clear" w:color="auto" w:fill="FFFFFF"/>
        </w:rPr>
        <w:t>Наиболее же показательным оказался третий этап испытаний. 50 километров Т-70 прошел по целине, которая была покрыта глубоким снегом. Глубина снежного покрова составляла 30-40 см, а на отдельных участках она превышала 51 см. Средняя скорость движения по самым сложным участкам составляла 13 км/ч, Т-60 ехал в 2 раза медленнее. По итогам полного пробега средняя скорость на данной местности составила 18-20 км/ч, а расход топлива 200 литров на 100 километров. При всём желании Т-60 таких результатов показать не смог. Т-70 оказался лучше своего предшественника по всем статьям. Неудивительно, что по итогам испытаний, которые закончились 24 февраля 1942 года, Т-70 рекомендовали к принятию на вооружение. Впрочем, комиссия почти сразу указала на необходимость работы по ходовой части. В ходе испытаний каких-то проблем не выявилось, но неприятности на перспективу выглядели очевидными. У Т-60 на один каток приходилась нагрузка 700 кг, а у Т-70 – 900 кг. Поэтому рекомендовалось заняться усилением ходовой части, на перспективу. Будущее показало правоту такого решения (23179).</w:t>
      </w:r>
    </w:p>
    <w:p w14:paraId="23F94576" w14:textId="77777777" w:rsidR="007E5473" w:rsidRPr="008127F8" w:rsidRDefault="007E5473" w:rsidP="001E0A84">
      <w:pPr>
        <w:pStyle w:val="article-renderblock"/>
        <w:shd w:val="clear" w:color="auto" w:fill="FFFFFF"/>
        <w:spacing w:before="0" w:beforeAutospacing="0" w:after="0" w:afterAutospacing="0"/>
        <w:jc w:val="both"/>
        <w:rPr>
          <w:color w:val="000000" w:themeColor="text1"/>
          <w:sz w:val="16"/>
          <w:szCs w:val="16"/>
        </w:rPr>
      </w:pPr>
    </w:p>
    <w:p w14:paraId="6CAC058C"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февраля 1942 года Т-70 (ГАЗ-70) вышел на испытания. В них участвовал и Т-60 с утолщенной броней. По поводу этих самых испытаний есть немалое число мифов, связанных, прежде всего, с вооружением. Часто упоминается тема того, что башня, мол, с самого начала была забракована, а Астров что-то обещал переделать. Вот только отчет по испытаниям говорит совсем о другом. 20 февраля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w:t>
      </w:r>
    </w:p>
    <w:p w14:paraId="1E5DC64B"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Собственно говоря, в тех же мифах находится и история насчет проходимости танка Т-60 по снегу. Способность этого танка якобы уверенно двигаться по снегу опровергают и совместные испытания, и сводки с фронтов. После утолщения брони удельная мощность Т-60 снизилась до 10,94 л.с. на тонну, у Т-70 этот показатель составлял 15,5 л.с. на тонну. Преимущество по подвижности стало еще более очевидным в ходе испытаний. При равной максимальной скорости, составившей 45 км/ч, средняя скорость Т-70 по шоссе составила 32 км/ч, а у Т-60 она не дотянула даже до расчетных 25 км/ч. Еще более существенной разницей стали испытания на проселке. Первый их этап, составивший 247 километров, проходил по ухабистому проселку в районе Пушкино. Сложный характер дороги привел к тому, что средняя скорость составила 12-14 км/ч, впрочем, Т-60 ехал еще медленнее. Позже было пройдено 106 километров по более ровным участкам, на них средняя скорость составила 20-24 км/ч. Т-60 не смог в тех же условиях развить и 20 км/ч. При прохождении данного этапа расход топлива Т-70 составил 160 литров на 100 километров.</w:t>
      </w:r>
    </w:p>
    <w:p w14:paraId="0E8CFD98" w14:textId="77777777" w:rsidR="00CD7517" w:rsidRPr="008A2E5A" w:rsidRDefault="00CD7517" w:rsidP="00CD75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же показательным оказался третий этап испытаний. 50 километров Т-70 прошел по целине, которая была покрыта глубоким снегом. Глубина снежного покрова составляла 30-40 см, а на отдельных участках она превышала 51 см. Средняя скорость движения по самым сложным участкам составляла 13 км/ч, Т-60 ехал в 2 раза медленнее. По итогам полного пробега средняя скорость на данной местности составила 18-20 км/ч, а расход топлива 200 литров на 100 километров. При всём желании Т-60 таких результатов показать не смог. Т-70 оказался лучше своего предшественника по всем статьям. Неудивительно, что по итогам испытаний, которые закончились 24 февраля 1942 года, Т-70 рекомендовали к принятию на вооружение. Впрочем, комиссия почти сразу указала на необходимость работы по ходовой части. В ходе испытаний каких-то проблем не выявилось, но неприятности на перспективу выглядели очевидными. У Т-60 на один каток приходилась нагрузка 700 кг, а у Т-70 – 900 кг. Поэтому рекомендовалось заняться усилением ходовой части, на перспективу. Будущее показало правоту такого решения (24235).</w:t>
      </w:r>
    </w:p>
    <w:p w14:paraId="51E97B99" w14:textId="77777777" w:rsidR="00CD7517" w:rsidRPr="008A2E5A" w:rsidRDefault="00CD7517" w:rsidP="00CD7517">
      <w:pPr>
        <w:spacing w:after="0" w:line="240" w:lineRule="auto"/>
        <w:jc w:val="both"/>
        <w:rPr>
          <w:rFonts w:ascii="Times New Roman" w:hAnsi="Times New Roman"/>
          <w:color w:val="0070C0"/>
          <w:sz w:val="16"/>
          <w:szCs w:val="16"/>
        </w:rPr>
      </w:pPr>
    </w:p>
    <w:p w14:paraId="67C5D6A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года своим письмом в ГАБТУ КА № 0412/13 СТЗ сообщил, о том, что бортовая передача с бесструнным креплением вводится в серийное производство. Однако в заключении № 239 приложенном к этому письму, помощник военпреда завода Курденков указал, что бесструнное крепление можно ввести только после устранения дефектов, обнаруженных во время испытаний. Старший военпред на СТЗ Левин также считал необходимым до 1 марта 1942 года произвести дополнительную проверку ввести в серию более упрощенное и надежное крепление. Главный конструктор СТЗ Вернер в этом же заключении вынес свое решение о том, что бесструнное крепление можно ввести в серию только после устранения обнаруженных дефектов. Однако вплоть до конца июля 1942 года Сталинградский тракторный завод так и не представил заключение по испытаниям (12217).</w:t>
      </w:r>
    </w:p>
    <w:p w14:paraId="2BC8D342"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525D57DA"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19-23 февраля 1942 года после необходимых доработок, согласно приказу НКСМ и ГАБТУ КА №021, прошли испытания броневика ГАЗ-64-125 пробегом и стрельбой на Софринском артиллерийском полигоне. Всего машина прошла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318 км</w:t>
        </w:r>
      </w:smartTag>
      <w:r w:rsidRPr="008127F8">
        <w:rPr>
          <w:rFonts w:ascii="Times New Roman" w:hAnsi="Times New Roman"/>
          <w:color w:val="000000" w:themeColor="text1"/>
          <w:sz w:val="16"/>
          <w:szCs w:val="16"/>
        </w:rPr>
        <w:t>, из пулемета выпустили 378 патронов. Комиссия под председательством полковника Малыгина, проводившая испытания, отмечала, что «по снежному санному пути автомобиль ходить не может, так как колея значительно больше колеи санного пути, в результате чего происходит вывешивание колес после посадки дифференциалов на жесткую ненаезженную часть дороги». Вместе с тем проходимость броневика была признана хорошей, отмечалось удобное расположение приборов управления машиной, хорошая обзорность у командира и недостаточная у механика-водителя – «на крутых поворотах не видит пути» – и удобство обслуживания. В заключении отчета по испытаниям комиссия писала:</w:t>
      </w:r>
    </w:p>
    <w:p w14:paraId="62002DF8"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Легкий бронеавтомобиль БА-64 по своим тактико-техническим качествам лучше легкого броневика БА-20 и значительно превосходит его по своим тяговым качествам проходимости. Установка вооружения допускает свободный и быстрый переход от стрельбы по наземным целям к стрельбе по зенитным.</w:t>
      </w:r>
    </w:p>
    <w:p w14:paraId="3BF072E3"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Бронеавтомобиль БА-64 может быть принят на вооружение Красной Армии как</w:t>
      </w:r>
    </w:p>
    <w:p w14:paraId="1274489B"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машина связи;</w:t>
      </w:r>
    </w:p>
    <w:p w14:paraId="1212297E"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боевая машина для авиадесантных и истребительных частей;</w:t>
      </w:r>
    </w:p>
    <w:p w14:paraId="5DCE8FAD"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для службы охранения войск на маршах и при расположении на месте.</w:t>
      </w:r>
    </w:p>
    <w:p w14:paraId="586AD5EF"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Бронеавтомобиль БА-64 следует принять на серийное производство вместо БА-20. При постановке на производство следует устранить недостатки, указанные в акте комиссии по испытаниям.</w:t>
      </w:r>
    </w:p>
    <w:p w14:paraId="159E15DB"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Одновременно с подготовкой к серийному производству автозаводу имени Молотова необходимо продолжить испытания бронеавтомобиля БА-64 на прочность агрегатов и проходимость в весенних и летних условиях на гусматиках».</w:t>
      </w:r>
    </w:p>
    <w:p w14:paraId="6CB938D7"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основных недостатков в акте приводилась необходимость ограждения бензобака от боевого отделения железным листом (в противном случае на полу скапливался бензин), устранении зазоров между башней и корпусом, усиления плиты тумбы башни, установка защитных подушек на погоне для предохранения головы командира, введения рукоятки стопора башни и т.д (15218).</w:t>
      </w:r>
    </w:p>
    <w:p w14:paraId="18C6787C" w14:textId="77777777" w:rsidR="00BC50A9" w:rsidRPr="008127F8" w:rsidRDefault="00BC50A9" w:rsidP="001E0A84">
      <w:pPr>
        <w:widowControl w:val="0"/>
        <w:spacing w:after="0" w:line="240" w:lineRule="auto"/>
        <w:jc w:val="both"/>
        <w:rPr>
          <w:rFonts w:ascii="Times New Roman" w:hAnsi="Times New Roman"/>
          <w:color w:val="000000" w:themeColor="text1"/>
          <w:sz w:val="16"/>
          <w:szCs w:val="16"/>
        </w:rPr>
      </w:pPr>
    </w:p>
    <w:p w14:paraId="1108E19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CC28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38E8D" w14:textId="64BCE7C4"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19 </w:t>
      </w:r>
      <w:proofErr w:type="gramStart"/>
      <w:r w:rsidRPr="008127F8">
        <w:rPr>
          <w:rFonts w:ascii="Times New Roman" w:eastAsia="Times New Roman" w:hAnsi="Times New Roman"/>
          <w:color w:val="000000" w:themeColor="text1"/>
          <w:sz w:val="16"/>
          <w:szCs w:val="16"/>
          <w:lang w:eastAsia="ru-RU"/>
        </w:rPr>
        <w:t>февраля</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1942</w:t>
      </w:r>
      <w:proofErr w:type="gramEnd"/>
      <w:r w:rsidRPr="008127F8">
        <w:rPr>
          <w:rFonts w:ascii="Times New Roman" w:eastAsia="Times New Roman" w:hAnsi="Times New Roman"/>
          <w:color w:val="000000" w:themeColor="text1"/>
          <w:sz w:val="16"/>
          <w:szCs w:val="16"/>
          <w:lang w:eastAsia="ru-RU"/>
        </w:rPr>
        <w:t xml:space="preserve"> года Оперативная сводка Совинформбюро</w:t>
      </w:r>
    </w:p>
    <w:p w14:paraId="1F60B10F"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Утреннее сообщение 19 февраля</w:t>
      </w:r>
    </w:p>
    <w:p w14:paraId="5B754D69"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ночи на 19 февраля наши войска продолжали вести активные боевые действия против немецко-фашистских войск.</w:t>
      </w:r>
    </w:p>
    <w:p w14:paraId="3E27A17E"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Вечернее сообщение 19 февраля</w:t>
      </w:r>
    </w:p>
    <w:p w14:paraId="116B2B47"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течение 19 февраля наши войска вели наступательные бои и заняли несколько населённых пунктов. На некоторых участках фронта противник переходил в контратаки, которые нашими войсками были отбиты с большими для немцев потерями.</w:t>
      </w:r>
    </w:p>
    <w:p w14:paraId="576807BA"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18 февраля уничтожено 16 немецких самолётов. Наши потери - 8 самолётов.</w:t>
      </w:r>
    </w:p>
    <w:p w14:paraId="4CFD489B"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19 февраля под Москвой сбито 3 немецких самолёта.</w:t>
      </w:r>
    </w:p>
    <w:p w14:paraId="2BD73A93"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18 февраля частями нашей авиации уничтожено и повреждено 14 немецких танков, более 570 автомашин с войсками и грузами, 320 повозок с боеприпасами и войсками, 38 орудий, 9 зенитно-пулемётных точек, 31 миномёт, разбито 65 железнодорожных вагонов, подожжено 7 железнодорожных эшелонов, взорвано 5 складов с боеприпасами в горючим, рассеяно и частично уничтожено до 6 батальонов пехоты противника (15024).</w:t>
      </w:r>
    </w:p>
    <w:p w14:paraId="7AEEF230" w14:textId="77777777" w:rsidR="00BC50A9" w:rsidRPr="008127F8" w:rsidRDefault="00BC50A9" w:rsidP="001E0A84">
      <w:pPr>
        <w:spacing w:after="0" w:line="240" w:lineRule="auto"/>
        <w:jc w:val="both"/>
        <w:rPr>
          <w:rFonts w:ascii="Times New Roman" w:eastAsia="Times New Roman" w:hAnsi="Times New Roman"/>
          <w:color w:val="000000" w:themeColor="text1"/>
          <w:sz w:val="16"/>
          <w:szCs w:val="16"/>
          <w:lang w:eastAsia="ru-RU"/>
        </w:rPr>
      </w:pPr>
    </w:p>
    <w:p w14:paraId="3BCE2502" w14:textId="77777777" w:rsidR="00BC50A9"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Василию Сталину (сыну И. Сталина) присвоено звание полковника (4962).</w:t>
      </w:r>
    </w:p>
    <w:p w14:paraId="6E6E8415" w14:textId="77777777" w:rsidR="00BC50A9" w:rsidRPr="008127F8" w:rsidRDefault="00BC50A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CE08F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года Постановление Политбюро ЦК ВКП(б)</w:t>
      </w:r>
    </w:p>
    <w:p w14:paraId="1B3B0F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Член ЦК ВКП(б), Маршал Советского Союза и зам. наркома обороны Кулик Г.И., являясь уполномоченным Ставки Верховного Главного Командования по Керченскому направлению, вместо честного и безусловного выполнения приказа Ставки от 7 ноября 1941 г. об активной обороне Севастополя и Керченского полуострова всеми силами и приказа Ставки от 14 ноября 1941 г. «удержать Керчь во что бы то ни стало и не дать противнику занять этот район», самовольно, в </w:t>
      </w:r>
      <w:r w:rsidRPr="008127F8">
        <w:rPr>
          <w:rFonts w:ascii="Times New Roman" w:hAnsi="Times New Roman"/>
          <w:color w:val="000000" w:themeColor="text1"/>
          <w:sz w:val="16"/>
          <w:szCs w:val="16"/>
        </w:rPr>
        <w:lastRenderedPageBreak/>
        <w:t>нарушение приказов Ставки и своего воинского долга, отдал 12 ноября 1941 года преступное распоряжение об эвакуации из Керчи в течение двух суток всех войск и оставлении Керченского района противнику, в результате чего и была сдана Керчь 15 ноября 1941 года.</w:t>
      </w:r>
    </w:p>
    <w:p w14:paraId="43C6C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Кулик по прибытии 10 ноября 1941 года в Керчь не только не принял на месте решительных мер против пораженческих настроений и пораженческого поведения командования крымских войск, но своим пораженческим поведением в Керчи только усилил пораженческие настроения и деморализацию в средекомандования крымских войск.</w:t>
      </w:r>
    </w:p>
    <w:p w14:paraId="3B6B7A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поведение Кулика не случайно, так как аналогичное его пораженческое поведение имело место также при самовольной сдаче в ноябре 1941 года гор. Ростова, без санкции Ставки и вопреки приказу Ставки.</w:t>
      </w:r>
    </w:p>
    <w:p w14:paraId="25576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все эти преступные действия Государственный Комитет Обороны отдал Кулика Г.И. под суд. Специальное присутствие Верховного суда СССР установило виновность Кулика Г.И. в самовольной сдаче Керчи в ноябре 1941 года, вопреки приказам Ставки, в преступном нарушении им своего воинского долга, во внесении деморализации в войска Керченского направления. Кулик Г.И. признал себя виновным в предъявленных ему судом обвинениях. Суд приговорил лишить Кулика Г.И. званий Маршала и Героя Советского Союза, а также лишить его орденов Союза ССР и медали «XX лет РККА». Кулик Г.И. обратился в Президиум Верховного Совета СССР с просьбой об отмене приговора. Президиум отклонил просьбу Кулика Г.И.</w:t>
      </w:r>
    </w:p>
    <w:p w14:paraId="26492B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ЦК ВКП(б) стали известны также факты, что Кулик во время пребывания на фронте систематически пьянствовал, вел развратный образ жизни и, злоупотребляя званием Маршала Советского Союза и зам. наркома обороны, занимался самоснабжением и расхищением государственной собственности, растрачивая сотни тысяч рублей из средств государства.</w:t>
      </w:r>
    </w:p>
    <w:p w14:paraId="602941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всего этого Политбюро ЦК ВКП(б) постановляет.</w:t>
      </w:r>
    </w:p>
    <w:p w14:paraId="29B38B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Исключить Кулика Г.И. из состава членов ЦК ВКП(б).</w:t>
      </w:r>
    </w:p>
    <w:p w14:paraId="67FB1C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Снять Кулика Г.И. с поста зам. наркома обороны Союза ССР.</w:t>
      </w:r>
    </w:p>
    <w:p w14:paraId="27897E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ЦК ВКП(б)</w:t>
      </w:r>
    </w:p>
    <w:p w14:paraId="60BF70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И.Сталин</w:t>
      </w:r>
    </w:p>
    <w:p w14:paraId="2B5607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Исторический архив. 1992. № 1. С. 63 (11652).</w:t>
      </w:r>
    </w:p>
    <w:p w14:paraId="1E74A7A6" w14:textId="77777777" w:rsidR="00BC50A9" w:rsidRPr="008127F8" w:rsidRDefault="00BC50A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503CA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D34D3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3EB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в Великобритании У.Черчиль провел реформу правительства лал. Бивербрук и Гринвуд, а также Минфин Вуд - ушли (3907,235).</w:t>
      </w:r>
    </w:p>
    <w:p w14:paraId="374FAF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4D6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президент США Ф. Рузвельт подписал приказ номер 9066 о помещении почти 120 тысяч американцев японского происхождения в концлагеря (4962).</w:t>
      </w:r>
    </w:p>
    <w:p w14:paraId="711A432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8D7E63" w14:textId="77777777" w:rsidR="00864E80" w:rsidRPr="008127F8" w:rsidRDefault="00864E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самолеты Императорского флота Японии совершают разрушительный налет на Дарвин, Австралия, где в гавани находятся 45 кораблей. Известная как «Великий Дарвиновский рейд», это первая и самая крупная воздушная атака в истории на территорию Австралии. Первая волна - 188 истребителей Мицубиси A6M (имя союзников «Зеро»), пикировщики Aichi D3A1 (отчетное название «Вал») и торпедоносцы Накаджим B5N2 (имя представления «Кейт») с авианосцев Акагов, Каг, Хирю и Сорю следует за второй волной за ней следует вторая из 54 наземных бомбардировщиков Mitsubishi G3M 2 (союзное имя "Нелл") и Mitsubishi G4M 1 (союзное имя "Бетти"). Потери союзников в рейде: восемь кораблей потоплены (в том числе эсминец ВМС США USS Peary (DD-226) ), три корабля сели на мель, 25 кораблей повреждены (включая госпитальный корабль Manunda ), 30 самолетов уничтожены, 310 человек убиты и 400 люди ранены; Японские бомбы также уничтожить город скую больницу и повреждают почтовое отделение, а также вызывают взрыв корабля Neptuna, загружаемого с боеприпасами - фактически разрушая гавань и поджигая несколько крупных резервуаров для хранения нефтепродуктов. Взамен японцы теряют трех вальсов, одного зеро, двух убитых и одного пленного. 19 февраля 1942, управляя Curtiss P-40E Warhawk, лейтенант Военно-воздушных сил США (USAAF) Роберт Острейхер сбивает два Vals, а Zeroes сбивает четыре других P-40E USAAF; шесть сбитых самолетов - первые подтвержденные воздушные победы над Австралией. Хотя японские авианосцы никогда больше не нанесут удар по Дарвину, японские самолеты наземного базирования бомбят город еще 63 раза, последний налет состоится в середине ноября 1943 года (20793).</w:t>
      </w:r>
    </w:p>
    <w:p w14:paraId="54367BF2" w14:textId="77777777" w:rsidR="00864E80" w:rsidRPr="008127F8" w:rsidRDefault="00864E80" w:rsidP="001E0A84">
      <w:pPr>
        <w:spacing w:after="0" w:line="240" w:lineRule="auto"/>
        <w:jc w:val="both"/>
        <w:rPr>
          <w:rFonts w:ascii="Times New Roman" w:hAnsi="Times New Roman"/>
          <w:color w:val="000000" w:themeColor="text1"/>
          <w:sz w:val="16"/>
          <w:szCs w:val="16"/>
        </w:rPr>
      </w:pPr>
    </w:p>
    <w:p w14:paraId="179054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японцы подвергли бомбардировке порт Дарвин на севере Австралии (2100).</w:t>
      </w:r>
    </w:p>
    <w:p w14:paraId="16FAA7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63E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1942 японцы вторглись в Бали, форсировали р Билин и бомбили Дарвин (2261).</w:t>
      </w:r>
    </w:p>
    <w:p w14:paraId="6F8722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D427F" w14:textId="77777777" w:rsidR="00BC50A9" w:rsidRPr="008127F8" w:rsidRDefault="00BC50A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февраля</w:t>
      </w:r>
      <w:r w:rsidRPr="008127F8">
        <w:rPr>
          <w:rFonts w:ascii="Times New Roman" w:hAnsi="Times New Roman"/>
          <w:color w:val="000000" w:themeColor="text1"/>
          <w:sz w:val="16"/>
          <w:szCs w:val="16"/>
        </w:rPr>
        <w:t xml:space="preserve"> в 1942 году из Колона (порт при входе в Панамский канал со стороны Карибского моря) в северном направлении выходит союзный конвой, в состав которого входит военный транспорт "Томсон Лайкс". В 22.30 по восточному стандартному времени транспорт столкнется с французской подводной лодкой "Сюркуф", считающейся крупнейшей </w:t>
      </w:r>
      <w:proofErr w:type="gramStart"/>
      <w:r w:rsidRPr="008127F8">
        <w:rPr>
          <w:rFonts w:ascii="Times New Roman" w:hAnsi="Times New Roman"/>
          <w:color w:val="000000" w:themeColor="text1"/>
          <w:sz w:val="16"/>
          <w:szCs w:val="16"/>
        </w:rPr>
        <w:t>в мире</w:t>
      </w:r>
      <w:proofErr w:type="gramEnd"/>
      <w:r w:rsidRPr="008127F8">
        <w:rPr>
          <w:rFonts w:ascii="Times New Roman" w:hAnsi="Times New Roman"/>
          <w:color w:val="000000" w:themeColor="text1"/>
          <w:sz w:val="16"/>
          <w:szCs w:val="16"/>
        </w:rPr>
        <w:t xml:space="preserve"> и получит серьезные повреждения носовой части. На "Сюркуфе" погибают все 127 членов команды и 3 английских моряка, которые находились на ее борту для связи с командованием флота союзников (15045).</w:t>
      </w:r>
    </w:p>
    <w:p w14:paraId="64FCC9B1" w14:textId="77777777" w:rsidR="00BC50A9" w:rsidRPr="008127F8" w:rsidRDefault="00BC50A9" w:rsidP="001E0A84">
      <w:pPr>
        <w:spacing w:after="0" w:line="240" w:lineRule="auto"/>
        <w:jc w:val="both"/>
        <w:rPr>
          <w:rFonts w:ascii="Times New Roman" w:hAnsi="Times New Roman"/>
          <w:color w:val="000000" w:themeColor="text1"/>
          <w:sz w:val="16"/>
          <w:szCs w:val="16"/>
        </w:rPr>
      </w:pPr>
    </w:p>
    <w:p w14:paraId="50D2770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52DE8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A6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с опозданием из-за эвакуации начались гос. испытания Ил-2 с М-82ИР (ведущий летчик-испытатель М.А. Нюхтиков).</w:t>
      </w:r>
    </w:p>
    <w:p w14:paraId="6A3835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Поначалу летали в Молотове на заводе № 19. Отрабатывали работу винтомоторной группы.</w:t>
      </w:r>
    </w:p>
    <w:p w14:paraId="09736E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13 марта было выполнено 26 поле</w:t>
      </w:r>
      <w:r w:rsidRPr="008127F8">
        <w:rPr>
          <w:rFonts w:ascii="Times New Roman" w:hAnsi="Times New Roman"/>
          <w:color w:val="000000" w:themeColor="text1"/>
          <w:sz w:val="16"/>
          <w:szCs w:val="16"/>
        </w:rPr>
        <w:softHyphen/>
        <w:t>тов с общим налетом 8 часов 15 мин.</w:t>
      </w:r>
    </w:p>
    <w:p w14:paraId="2C5A7D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марта самолет перелетел в НИИ ВВС </w:t>
      </w:r>
      <w:proofErr w:type="gramStart"/>
      <w:r w:rsidRPr="008127F8">
        <w:rPr>
          <w:rFonts w:ascii="Times New Roman" w:hAnsi="Times New Roman"/>
          <w:color w:val="000000" w:themeColor="text1"/>
          <w:sz w:val="16"/>
          <w:szCs w:val="16"/>
        </w:rPr>
        <w:t>на аэродромом</w:t>
      </w:r>
      <w:proofErr w:type="gramEnd"/>
      <w:r w:rsidRPr="008127F8">
        <w:rPr>
          <w:rFonts w:ascii="Times New Roman" w:hAnsi="Times New Roman"/>
          <w:color w:val="000000" w:themeColor="text1"/>
          <w:sz w:val="16"/>
          <w:szCs w:val="16"/>
        </w:rPr>
        <w:t xml:space="preserve"> Кольцове, где полеты по программе госиспытаний были продолжены.</w:t>
      </w:r>
    </w:p>
    <w:p w14:paraId="269F8D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уменьшение массы пус</w:t>
      </w:r>
      <w:r w:rsidRPr="008127F8">
        <w:rPr>
          <w:rFonts w:ascii="Times New Roman" w:hAnsi="Times New Roman"/>
          <w:color w:val="000000" w:themeColor="text1"/>
          <w:sz w:val="16"/>
          <w:szCs w:val="16"/>
        </w:rPr>
        <w:softHyphen/>
        <w:t>того самолета, Ил-2 М-82ИР при нор</w:t>
      </w:r>
      <w:r w:rsidRPr="008127F8">
        <w:rPr>
          <w:rFonts w:ascii="Times New Roman" w:hAnsi="Times New Roman"/>
          <w:color w:val="000000" w:themeColor="text1"/>
          <w:sz w:val="16"/>
          <w:szCs w:val="16"/>
        </w:rPr>
        <w:softHyphen/>
        <w:t>мальном полетном весе 5655 кг показал максимальную горизонтальную скорость у земли 365 км/ч, а на высоте 5,5 км -406 км/ч. При этом время подъема на высоту 5000 м составила 10,6 минуты. Статическая продольная устойчивость, из-за более задней центровки самоле</w:t>
      </w:r>
      <w:r w:rsidRPr="008127F8">
        <w:rPr>
          <w:rFonts w:ascii="Times New Roman" w:hAnsi="Times New Roman"/>
          <w:color w:val="000000" w:themeColor="text1"/>
          <w:sz w:val="16"/>
          <w:szCs w:val="16"/>
        </w:rPr>
        <w:softHyphen/>
        <w:t>та, ухудшилась. Усложнилась и техника пилотирования. Взлетно-посадочные ха</w:t>
      </w:r>
      <w:r w:rsidRPr="008127F8">
        <w:rPr>
          <w:rFonts w:ascii="Times New Roman" w:hAnsi="Times New Roman"/>
          <w:color w:val="000000" w:themeColor="text1"/>
          <w:sz w:val="16"/>
          <w:szCs w:val="16"/>
        </w:rPr>
        <w:softHyphen/>
        <w:t>рактеристики самолета также ухудши</w:t>
      </w:r>
      <w:r w:rsidRPr="008127F8">
        <w:rPr>
          <w:rFonts w:ascii="Times New Roman" w:hAnsi="Times New Roman"/>
          <w:color w:val="000000" w:themeColor="text1"/>
          <w:sz w:val="16"/>
          <w:szCs w:val="16"/>
        </w:rPr>
        <w:softHyphen/>
        <w:t>лись. Максимальная дальность полета на номинальном режиме, несмотря на уве</w:t>
      </w:r>
      <w:r w:rsidRPr="008127F8">
        <w:rPr>
          <w:rFonts w:ascii="Times New Roman" w:hAnsi="Times New Roman"/>
          <w:color w:val="000000" w:themeColor="text1"/>
          <w:sz w:val="16"/>
          <w:szCs w:val="16"/>
        </w:rPr>
        <w:softHyphen/>
        <w:t>личение емкости бензобака до 724 л, уменьшилась до 700 км.</w:t>
      </w:r>
    </w:p>
    <w:p w14:paraId="520B05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Ил-2 М-82ИР включало две пушки ШВАК (по 210 снарядов на ствол), два пулемета ШКАС (по 750 пат</w:t>
      </w:r>
      <w:r w:rsidRPr="008127F8">
        <w:rPr>
          <w:rFonts w:ascii="Times New Roman" w:hAnsi="Times New Roman"/>
          <w:color w:val="000000" w:themeColor="text1"/>
          <w:sz w:val="16"/>
          <w:szCs w:val="16"/>
        </w:rPr>
        <w:softHyphen/>
        <w:t>ронов на пулемет), один УБТ для стрель</w:t>
      </w:r>
      <w:r w:rsidRPr="008127F8">
        <w:rPr>
          <w:rFonts w:ascii="Times New Roman" w:hAnsi="Times New Roman"/>
          <w:color w:val="000000" w:themeColor="text1"/>
          <w:sz w:val="16"/>
          <w:szCs w:val="16"/>
        </w:rPr>
        <w:softHyphen/>
        <w:t>бы назад (280 патронов), 8 РО-82 и 400 кг бомб (в перегрузку 600 кг).</w:t>
      </w:r>
    </w:p>
    <w:p w14:paraId="0BF149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пушки ШВАК на новом штурмовике располагались ближе к оси самолета, а пулеметы - дальше. Это об</w:t>
      </w:r>
      <w:r w:rsidRPr="008127F8">
        <w:rPr>
          <w:rFonts w:ascii="Times New Roman" w:hAnsi="Times New Roman"/>
          <w:color w:val="000000" w:themeColor="text1"/>
          <w:sz w:val="16"/>
          <w:szCs w:val="16"/>
        </w:rPr>
        <w:softHyphen/>
        <w:t>стоятельство повышало точность стрель</w:t>
      </w:r>
      <w:r w:rsidRPr="008127F8">
        <w:rPr>
          <w:rFonts w:ascii="Times New Roman" w:hAnsi="Times New Roman"/>
          <w:color w:val="000000" w:themeColor="text1"/>
          <w:sz w:val="16"/>
          <w:szCs w:val="16"/>
        </w:rPr>
        <w:softHyphen/>
        <w:t>бы из пушек в воздухе (6467).</w:t>
      </w:r>
    </w:p>
    <w:p w14:paraId="42A6FC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00B13"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20 февраля 1942 г. начались официальные государственные испытания Ил-2 зав. № 1864714 с М-82. До 12 марта летали в Молотове, а затем - в Кольцово.</w:t>
      </w:r>
    </w:p>
    <w:p w14:paraId="02F58863"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Полученные летные данные Ил-2 М-82 по-прежнему были несколько хуже серийного Ил-2 АМ-38. Особое внимание испытатели обратили на оценку боевых возможностей Ил-2 М-82 при отражении атак истребителей противника. С этой целью был проведен учебный воздушный бой с истребителем Як-1.</w:t>
      </w:r>
    </w:p>
    <w:p w14:paraId="207DDF16"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Оказалось, что истребитель, имея значительное превосходство в скорости и маневре, может свободно атаковать Ил-2 М-82 со всех направлений при любых исходных условиях встречи.</w:t>
      </w:r>
    </w:p>
    <w:p w14:paraId="17E40D6A"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Наиболее опасными были атаки истребителя сзади снизу в хвост. При этом «обеспечение огня заднего пулемета маневром Ил-2 по высоте должного эффекта не дает, так как истребитель без особого труда держится в мертвых конусах». Только при полете на бреющей высоте вполне было «возможно доворотами вправо-влево на 10-15° обеспечить огонь по истребителю, находящемуся в хвосте».</w:t>
      </w:r>
    </w:p>
    <w:p w14:paraId="22E34B64"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Был сделан вывод, что «уход от противника на бреющий полет с высоты является наиболее эффективным сред</w:t>
      </w:r>
      <w:r w:rsidRPr="008127F8">
        <w:rPr>
          <w:rFonts w:ascii="Times New Roman" w:hAnsi="Times New Roman" w:cs="Times New Roman"/>
          <w:color w:val="000000" w:themeColor="text1"/>
          <w:sz w:val="16"/>
          <w:szCs w:val="16"/>
        </w:rPr>
        <w:softHyphen/>
        <w:t>ством обороны» двухместного Ил-2. При этом «заднюю стрелковую установку пу</w:t>
      </w:r>
      <w:r w:rsidRPr="008127F8">
        <w:rPr>
          <w:rFonts w:ascii="Times New Roman" w:hAnsi="Times New Roman" w:cs="Times New Roman"/>
          <w:color w:val="000000" w:themeColor="text1"/>
          <w:sz w:val="16"/>
          <w:szCs w:val="16"/>
        </w:rPr>
        <w:softHyphen/>
        <w:t>лемета УБТ на самолете Ил-2 с мотором М-82 считалось возможным допустить как временную». Требовалось ее доработать «с целью максимального возможного увеличения углов обстрела».</w:t>
      </w:r>
    </w:p>
    <w:p w14:paraId="04CFF16E"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Поскольку к этому времени дальний бомбардировщик ДБ-Зф получил обо</w:t>
      </w:r>
      <w:r w:rsidRPr="008127F8">
        <w:rPr>
          <w:rFonts w:ascii="Times New Roman" w:hAnsi="Times New Roman" w:cs="Times New Roman"/>
          <w:color w:val="000000" w:themeColor="text1"/>
          <w:sz w:val="16"/>
          <w:szCs w:val="16"/>
        </w:rPr>
        <w:softHyphen/>
        <w:t>значение Ил-</w:t>
      </w:r>
      <w:proofErr w:type="gramStart"/>
      <w:r w:rsidRPr="008127F8">
        <w:rPr>
          <w:rFonts w:ascii="Times New Roman" w:hAnsi="Times New Roman" w:cs="Times New Roman"/>
          <w:color w:val="000000" w:themeColor="text1"/>
          <w:sz w:val="16"/>
          <w:szCs w:val="16"/>
        </w:rPr>
        <w:t>4,то</w:t>
      </w:r>
      <w:proofErr w:type="gramEnd"/>
      <w:r w:rsidRPr="008127F8">
        <w:rPr>
          <w:rFonts w:ascii="Times New Roman" w:hAnsi="Times New Roman" w:cs="Times New Roman"/>
          <w:color w:val="000000" w:themeColor="text1"/>
          <w:sz w:val="16"/>
          <w:szCs w:val="16"/>
        </w:rPr>
        <w:t xml:space="preserve"> Ил-2 с мотором М-82 в переписке сменил наименование с Ил-4 М-82 на Ил-6 М-82 (19111).</w:t>
      </w:r>
    </w:p>
    <w:p w14:paraId="386DC1FB" w14:textId="77777777" w:rsidR="00032BF0" w:rsidRPr="008127F8" w:rsidRDefault="00032B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5B79CCA" w14:textId="77777777" w:rsidR="002C0B9A" w:rsidRPr="008127F8" w:rsidRDefault="002C0B9A" w:rsidP="001E0A84">
      <w:pPr>
        <w:pStyle w:val="a4"/>
        <w:rPr>
          <w:color w:val="000000" w:themeColor="text1"/>
          <w:lang w:val="ru-RU"/>
        </w:rPr>
      </w:pPr>
      <w:r w:rsidRPr="008127F8">
        <w:rPr>
          <w:color w:val="000000" w:themeColor="text1"/>
          <w:lang w:val="ru-RU"/>
        </w:rPr>
        <w:t>С 20 февраля по 13 марта 1942 г. прошел госиспытания Ил-2 с М-82. НИИ ВВС сделал вывод, что полученные результаты по-прежнему хуже, чем у серийно- Ил-2 с АМ-38, и нет доказательств большей живучести небронированного мотора -82 по сравнению с забронированным АМ-38 (15788).</w:t>
      </w:r>
    </w:p>
    <w:p w14:paraId="5006CCB8" w14:textId="77777777" w:rsidR="002C0B9A" w:rsidRPr="008127F8" w:rsidRDefault="002C0B9A" w:rsidP="001E0A84">
      <w:pPr>
        <w:pStyle w:val="a4"/>
        <w:rPr>
          <w:color w:val="000000" w:themeColor="text1"/>
          <w:lang w:val="ru-RU"/>
        </w:rPr>
      </w:pPr>
    </w:p>
    <w:p w14:paraId="2FE898CB"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февраля</w:t>
      </w:r>
      <w:r w:rsidRPr="008127F8">
        <w:rPr>
          <w:rFonts w:ascii="Times New Roman" w:hAnsi="Times New Roman"/>
          <w:color w:val="000000" w:themeColor="text1"/>
          <w:sz w:val="16"/>
          <w:szCs w:val="16"/>
        </w:rPr>
        <w:t xml:space="preserve"> в 1942 году начались (до 13 марта) госиспытания </w:t>
      </w:r>
      <w:hyperlink r:id="rId58" w:tgtFrame="_blank" w:history="1">
        <w:r w:rsidRPr="008127F8">
          <w:rPr>
            <w:rFonts w:ascii="Times New Roman" w:hAnsi="Times New Roman"/>
            <w:color w:val="000000" w:themeColor="text1"/>
            <w:sz w:val="16"/>
            <w:szCs w:val="16"/>
          </w:rPr>
          <w:t xml:space="preserve">«Ил-2» </w:t>
        </w:r>
      </w:hyperlink>
      <w:r w:rsidRPr="008127F8">
        <w:rPr>
          <w:rFonts w:ascii="Times New Roman" w:hAnsi="Times New Roman"/>
          <w:color w:val="000000" w:themeColor="text1"/>
          <w:sz w:val="16"/>
          <w:szCs w:val="16"/>
        </w:rPr>
        <w:t xml:space="preserve">с двигателем «М-82ИР» в НИИ ВВС, летчик-испытатель М.А.Нюхтиков . До 13 марта было выполнено 26 полетов с общим налетом 8 часов 15 мин. Несмотря на уменьшение массы пустого самолета, «Ил-2» «М-82ИР» при нормальном полетном весе 5655 кг показал максимальную горизонтальную скорость у земли 365 км/ч, а на высоте 5,5 км -406 км/ч. При этом время подъема на высоту 5000 м составила 10,6 минуты. Статическая продольная устойчивость, из-за более задней центровки самолета, ухудшилась. Усложнилась и техника пилотирования. Взлетно-посадочные </w:t>
      </w:r>
      <w:r w:rsidRPr="008127F8">
        <w:rPr>
          <w:rFonts w:ascii="Times New Roman" w:hAnsi="Times New Roman"/>
          <w:color w:val="000000" w:themeColor="text1"/>
          <w:sz w:val="16"/>
          <w:szCs w:val="16"/>
        </w:rPr>
        <w:lastRenderedPageBreak/>
        <w:t>характеристики самолета также ухудшились. Максимальная дальность полета на номинальном режиме, несмотря на увеличение емкости бензобака до 724 л, уменьшилась до 700 км (15046).</w:t>
      </w:r>
    </w:p>
    <w:p w14:paraId="093A7772" w14:textId="77777777" w:rsidR="002C0B9A" w:rsidRPr="008127F8" w:rsidRDefault="002C0B9A" w:rsidP="001E0A84">
      <w:pPr>
        <w:spacing w:after="0" w:line="240" w:lineRule="auto"/>
        <w:jc w:val="both"/>
        <w:rPr>
          <w:rFonts w:ascii="Times New Roman" w:hAnsi="Times New Roman"/>
          <w:color w:val="000000" w:themeColor="text1"/>
          <w:sz w:val="16"/>
          <w:szCs w:val="16"/>
        </w:rPr>
      </w:pPr>
    </w:p>
    <w:p w14:paraId="2304FFC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20 февраля по 13 марта 1942 года были проведены госиспытания Ил-2 с М-82. НИИ ВВС сделал вывод, что полученные резуль</w:t>
      </w:r>
      <w:r w:rsidRPr="008127F8">
        <w:rPr>
          <w:rFonts w:ascii="Times New Roman" w:hAnsi="Times New Roman"/>
          <w:color w:val="000000" w:themeColor="text1"/>
          <w:sz w:val="16"/>
          <w:szCs w:val="16"/>
        </w:rPr>
        <w:softHyphen/>
        <w:t>таты по-прежнему хуже, чем у серий</w:t>
      </w:r>
      <w:r w:rsidRPr="008127F8">
        <w:rPr>
          <w:rFonts w:ascii="Times New Roman" w:hAnsi="Times New Roman"/>
          <w:color w:val="000000" w:themeColor="text1"/>
          <w:sz w:val="16"/>
          <w:szCs w:val="16"/>
        </w:rPr>
        <w:softHyphen/>
        <w:t>ного Ил-2 с АМ-38, и нет доказательств большей живучести небронированно</w:t>
      </w:r>
      <w:r w:rsidRPr="008127F8">
        <w:rPr>
          <w:rFonts w:ascii="Times New Roman" w:hAnsi="Times New Roman"/>
          <w:color w:val="000000" w:themeColor="text1"/>
          <w:sz w:val="16"/>
          <w:szCs w:val="16"/>
        </w:rPr>
        <w:softHyphen/>
        <w:t>го мотора М-82 по сравнению с заб</w:t>
      </w:r>
      <w:r w:rsidRPr="008127F8">
        <w:rPr>
          <w:rFonts w:ascii="Times New Roman" w:hAnsi="Times New Roman"/>
          <w:color w:val="000000" w:themeColor="text1"/>
          <w:sz w:val="16"/>
          <w:szCs w:val="16"/>
        </w:rPr>
        <w:softHyphen/>
        <w:t>ронированным АМ-38. Директор завода № 19 Кожевни</w:t>
      </w:r>
      <w:r w:rsidRPr="008127F8">
        <w:rPr>
          <w:rFonts w:ascii="Times New Roman" w:hAnsi="Times New Roman"/>
          <w:color w:val="000000" w:themeColor="text1"/>
          <w:sz w:val="16"/>
          <w:szCs w:val="16"/>
        </w:rPr>
        <w:softHyphen/>
        <w:t>ков категорически не согласился с такой позицией (10686).</w:t>
      </w:r>
    </w:p>
    <w:p w14:paraId="11D4FA9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9F2E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согласно письму из 746-го полка ТБ-7, который за годы войны несколько раз менял свой номер в процессе непрерывных реорганизаций в Красной Армии, от конца февраля 1942, на самолете Пе-8 № 4214 было обнаружено срезание заклепки по нижнему поясу правой стороны переднего лонжерона центроплана. Позднее поперечный разрыв найден под узлом крыльевой балки. В полете самолет внезапно резко провалился на 100-500 метров со скольжением на левое крыло. В конце скольжения чувствовался удар. 23 февраля в полете на № 4214 отказал механизм сброса 1000 кг бомбы из-за нарушения механизма проводки сбрасывания, что было вызвано обрывом лонжерона. Полеты на № 4214 решили прекратить до ремонта лонжерона». От завода требовалось усиление лонжерона. В этом письме поражает то, что после зловещего удара в первом вылете самолет продолжал выполнять боевые вылеты. А для конструкторов это был уже не первый сигнал о неполадках в лонжеронах воздушного корабля (12049).</w:t>
      </w:r>
    </w:p>
    <w:p w14:paraId="1FD733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EF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в день рождения Г.Я.Бахчиванджи на БИ взорвался двигатель (1204,239) Д-1. Это было на стендовых испытаниях в Билимбае и Г.Я.Бахчиванджи был ранен вместе с к А.Палло (2990).</w:t>
      </w:r>
    </w:p>
    <w:p w14:paraId="72DB9F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0C05B892" w14:textId="77777777">
        <w:tc>
          <w:tcPr>
            <w:tcW w:w="675" w:type="dxa"/>
            <w:tcBorders>
              <w:top w:val="single" w:sz="12" w:space="0" w:color="auto"/>
            </w:tcBorders>
          </w:tcPr>
          <w:p w14:paraId="6E786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1B2EB4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69CEF7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440360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509A3A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47BBD5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44813F41" w14:textId="77777777">
        <w:tc>
          <w:tcPr>
            <w:tcW w:w="675" w:type="dxa"/>
            <w:tcBorders>
              <w:bottom w:val="single" w:sz="12" w:space="0" w:color="auto"/>
            </w:tcBorders>
          </w:tcPr>
          <w:p w14:paraId="52867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993" w:type="dxa"/>
            <w:tcBorders>
              <w:bottom w:val="single" w:sz="12" w:space="0" w:color="auto"/>
            </w:tcBorders>
          </w:tcPr>
          <w:p w14:paraId="0C2E5C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w:t>
            </w:r>
          </w:p>
        </w:tc>
        <w:tc>
          <w:tcPr>
            <w:tcW w:w="708" w:type="dxa"/>
            <w:tcBorders>
              <w:bottom w:val="single" w:sz="12" w:space="0" w:color="auto"/>
            </w:tcBorders>
          </w:tcPr>
          <w:p w14:paraId="699BDD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1418" w:type="dxa"/>
            <w:tcBorders>
              <w:bottom w:val="single" w:sz="12" w:space="0" w:color="auto"/>
            </w:tcBorders>
          </w:tcPr>
          <w:p w14:paraId="1B8191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А.П.Горбатов</w:t>
            </w:r>
          </w:p>
        </w:tc>
        <w:tc>
          <w:tcPr>
            <w:tcW w:w="2364" w:type="dxa"/>
            <w:tcBorders>
              <w:bottom w:val="single" w:sz="12" w:space="0" w:color="auto"/>
            </w:tcBorders>
          </w:tcPr>
          <w:p w14:paraId="54C00F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Як-1 на испытании</w:t>
            </w:r>
          </w:p>
        </w:tc>
        <w:tc>
          <w:tcPr>
            <w:tcW w:w="4440" w:type="dxa"/>
            <w:tcBorders>
              <w:bottom w:val="single" w:sz="12" w:space="0" w:color="auto"/>
            </w:tcBorders>
          </w:tcPr>
          <w:p w14:paraId="671C51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посадке л позабыл выпустить шасси. При посадке на пузо изогнут винт, две балки РО и помяты гондолы водорадиатора</w:t>
            </w:r>
          </w:p>
        </w:tc>
      </w:tr>
    </w:tbl>
    <w:p w14:paraId="2D6488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04CB6E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871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на вооружение КА приказом НКО были приняты артиллерийские аэростаты наблюдения и разведки АН-540 и АН-540-Б к В.Н.Архангельского из ЦАГИ (1783,203).</w:t>
      </w:r>
    </w:p>
    <w:p w14:paraId="7543E5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BB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вышел отчет о совместных испытаниях завода 153 и НИИ ВВС N 119-42 по Як-7Б М-105 N 1413, эталон 1942 с БС (1684,143).</w:t>
      </w:r>
    </w:p>
    <w:p w14:paraId="65A699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239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л завода 292 А.П.Горбатов при испытаниях поломал Як-1, т.к. при посадке забыл выпустить шасси (2108).</w:t>
      </w:r>
    </w:p>
    <w:p w14:paraId="4482B8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32261" w14:textId="77777777" w:rsidR="00032BF0" w:rsidRPr="008127F8" w:rsidRDefault="00032BF0" w:rsidP="001E0A84">
      <w:pPr>
        <w:pStyle w:val="af"/>
        <w:shd w:val="clear" w:color="auto" w:fill="FFFFFF"/>
        <w:spacing w:before="0" w:after="0"/>
        <w:jc w:val="both"/>
        <w:rPr>
          <w:color w:val="000000" w:themeColor="text1"/>
          <w:sz w:val="16"/>
          <w:szCs w:val="16"/>
        </w:rPr>
      </w:pPr>
      <w:r w:rsidRPr="008127F8">
        <w:rPr>
          <w:color w:val="000000" w:themeColor="text1"/>
          <w:sz w:val="16"/>
          <w:szCs w:val="16"/>
        </w:rPr>
        <w:t>20 февраля 1942 г. во время тренировки к запускам и эксплуатации ЖРД летчика-испытателя Г.Я. Бахчиванджи, только что прибывшего из Москвы, произошла авария.</w:t>
      </w:r>
    </w:p>
    <w:p w14:paraId="3B7ACE29" w14:textId="77777777" w:rsidR="00032BF0" w:rsidRPr="008127F8" w:rsidRDefault="00032BF0"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А.В. Палло показал три раза Г.Я. Бахчиванджи, как за пускается ЖРД с переходом на кратковременный рабочий ре жим. Затем Г.Я. Бахчиванджи занял место в кабине, </w:t>
      </w:r>
      <w:proofErr w:type="gramStart"/>
      <w:r w:rsidRPr="008127F8">
        <w:rPr>
          <w:color w:val="000000" w:themeColor="text1"/>
          <w:sz w:val="16"/>
          <w:szCs w:val="16"/>
        </w:rPr>
        <w:t>спокой</w:t>
      </w:r>
      <w:proofErr w:type="gramEnd"/>
      <w:r w:rsidRPr="008127F8">
        <w:rPr>
          <w:color w:val="000000" w:themeColor="text1"/>
          <w:sz w:val="16"/>
          <w:szCs w:val="16"/>
        </w:rPr>
        <w:t xml:space="preserve"> но и уверенно проверил напряжение в электросети, поднял дав ление в баках, произвел дренажирование топлива, затем включил накал селитового элемента, сектором газа открыл пус ковой расход топлива, и двигатель вышел на пусковой режим.</w:t>
      </w:r>
    </w:p>
    <w:p w14:paraId="7143DC73" w14:textId="77777777" w:rsidR="00032BF0" w:rsidRPr="008127F8" w:rsidRDefault="00032BF0"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Послышался ровный глухой шум от горения пускового расхо да топлива.</w:t>
      </w:r>
    </w:p>
    <w:p w14:paraId="536D14A6" w14:textId="77777777" w:rsidR="00032BF0" w:rsidRPr="008127F8" w:rsidRDefault="00032BF0"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Затем по сигналу контрольной лампочки Бахчиванджи пе редвинул заблокированный для этого сектор газа на включе ние основного расхода топлива. Двигатель перешел на рабо чий режим, и через 3...4 секунды произошел взрыв. При взрыве Г.Я. Бахчиванджи убрал сектор, чем перекрыл топливные кра ны. Но трубопровод окислителя был перебит головкой двига теля. Струя азотной кислоты облила лицо и одежду А.В. Пал ло. Все окуталось кислотными парами. Сопловый блок отбро сило далеко в покрытый снегом водоем. А.В. Палло собирался выскочить из бокового выхода. Но его остановила мысль о лет чике. Протянув руку в направлении кабины, он на ощупь об наружил меховой воротник кожаного пальто Бахчиванджи, и сильно потянул за него. Вытолкнул пилота в передние </w:t>
      </w:r>
      <w:proofErr w:type="gramStart"/>
      <w:r w:rsidRPr="008127F8">
        <w:rPr>
          <w:color w:val="000000" w:themeColor="text1"/>
          <w:sz w:val="16"/>
          <w:szCs w:val="16"/>
        </w:rPr>
        <w:t>вход ные</w:t>
      </w:r>
      <w:proofErr w:type="gramEnd"/>
      <w:r w:rsidRPr="008127F8">
        <w:rPr>
          <w:color w:val="000000" w:themeColor="text1"/>
          <w:sz w:val="16"/>
          <w:szCs w:val="16"/>
        </w:rPr>
        <w:t xml:space="preserve"> ворота постройки. Там его подхватили механики и стали обмывать содовым раствором. А.В. Палло глубоко вдохнул све жий воздух, почувствовал сильное жжение лица и головой окунулся в снежный сугроб. Механики стенда вытащили его оттуда, увидели вместо лица зеленовато-желтую маску, опус тили голову А.В. Палло в бак с содовым раствором. И все это происходило в течение нескольких минут. Прибежали руко водители КБ, пострадавших срочно отправили в больницу, на ходившуюся в избе. А.В. Палло тогда очень повезло, глаза спасли очки, которые он одел в последний момент.</w:t>
      </w:r>
    </w:p>
    <w:p w14:paraId="1ABDFB4D" w14:textId="77777777" w:rsidR="00032BF0" w:rsidRPr="008127F8" w:rsidRDefault="00032BF0" w:rsidP="001E0A84">
      <w:pPr>
        <w:pStyle w:val="af"/>
        <w:shd w:val="clear" w:color="auto" w:fill="FFFFFF"/>
        <w:spacing w:before="0" w:after="0"/>
        <w:jc w:val="both"/>
        <w:rPr>
          <w:color w:val="000000" w:themeColor="text1"/>
          <w:sz w:val="16"/>
          <w:szCs w:val="16"/>
        </w:rPr>
      </w:pPr>
      <w:r w:rsidRPr="008127F8">
        <w:rPr>
          <w:color w:val="000000" w:themeColor="text1"/>
          <w:sz w:val="16"/>
          <w:szCs w:val="16"/>
        </w:rPr>
        <w:t>Тогда комиссия пришла к выводу, что случилось усталост ное разрушение металла камеры сгорания под воздействием интеркристаллитной коррозии. Двигатель давно исчерпал свой ресурс (всего было изготовлено два, один из них использовался на отладочных испытаниях, второй предназначался к установ ке на самолет для летных испытаний). Стенд вскоре восстано вили с внесением некоторых коррективов в систему питания ЖРД, и подготовка к первому полету была продолжена (19586).</w:t>
      </w:r>
    </w:p>
    <w:p w14:paraId="055E6808" w14:textId="77777777" w:rsidR="00032BF0" w:rsidRPr="008127F8" w:rsidRDefault="00032BF0" w:rsidP="001E0A84">
      <w:pPr>
        <w:pStyle w:val="af"/>
        <w:shd w:val="clear" w:color="auto" w:fill="FFFFFF"/>
        <w:spacing w:before="0" w:after="0"/>
        <w:jc w:val="both"/>
        <w:rPr>
          <w:color w:val="000000" w:themeColor="text1"/>
          <w:sz w:val="16"/>
          <w:szCs w:val="16"/>
        </w:rPr>
      </w:pPr>
    </w:p>
    <w:p w14:paraId="11C9B11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вышло Постановление ГКО № 1313 [О назначении Попова Г.М. уполномоченным ГКО по производству авиамоторов.] (7022, 133).</w:t>
      </w:r>
    </w:p>
    <w:p w14:paraId="019B329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1B5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года вышел приказ НКАП № 143с во исполнение Постановления ГКО за № 1292с от 16 февраля 1942 года, которым металлургическое производство Комбината № 150 было возвращено из Каменска на прежние площади в Ступино на правах самостоятельного завода. Заводу был присвоен номер 150 (9504).</w:t>
      </w:r>
    </w:p>
    <w:p w14:paraId="08DB7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36F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г. приказом НКАП № 143с в соответствии с пост. ГКО № 1292 от 16.02.1942 г. часть металлургического производства (до 50% оборудования и 1600 чел.) комбината № 150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  г. Ступино-1 Московской обл. ул. Пристанционная, 19 тел. 47-001, 262-70-10/)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8127F8">
        <w:rPr>
          <w:rFonts w:ascii="Times New Roman" w:hAnsi="Times New Roman"/>
          <w:color w:val="000000" w:themeColor="text1"/>
          <w:sz w:val="16"/>
          <w:szCs w:val="16"/>
          <w:vertAlign w:val="superscript"/>
        </w:rPr>
        <w:t>36</w:t>
      </w:r>
      <w:r w:rsidRPr="008127F8">
        <w:rPr>
          <w:rFonts w:ascii="Times New Roman" w:hAnsi="Times New Roman"/>
          <w:color w:val="000000" w:themeColor="text1"/>
          <w:sz w:val="16"/>
          <w:szCs w:val="16"/>
        </w:rPr>
        <w:t xml:space="preserve"> Остальные мощности комбината в Каменске переданы заводу № 268 НКАП.</w:t>
      </w:r>
    </w:p>
    <w:p w14:paraId="09D792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18.07.1942 г. вышло постановление ГКО № 1913 об увеличении выпуска алюминиевого листового проката на заводе.</w:t>
      </w:r>
    </w:p>
    <w:p w14:paraId="2E1EFE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761BF9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поставлено 764 трофейных металлорежущих станка.</w:t>
      </w:r>
    </w:p>
    <w:p w14:paraId="2A4728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06DF68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(1990-е-2000-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8127F8">
        <w:rPr>
          <w:rFonts w:ascii="Times New Roman" w:hAnsi="Times New Roman"/>
          <w:color w:val="000000" w:themeColor="text1"/>
          <w:sz w:val="16"/>
          <w:szCs w:val="16"/>
          <w:vertAlign w:val="superscript"/>
        </w:rPr>
        <w:t>69</w:t>
      </w:r>
    </w:p>
    <w:p w14:paraId="43B232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2656F6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Гендиректор (2003 г.)- В. Дмитрии, А. Черников.</w:t>
      </w:r>
    </w:p>
    <w:p w14:paraId="712EC9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(06.1937 г.)- В.В. Алле; по ПВО и охране (17.12.1938 г.-)- А.В. Волков.</w:t>
      </w:r>
    </w:p>
    <w:p w14:paraId="2AED8E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исполнительный (2004 г.)- М. Корнеев; технический (2005 г.)- С. Кононов.</w:t>
      </w:r>
    </w:p>
    <w:p w14:paraId="768384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2E70C0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К.И. Жданов.</w:t>
      </w:r>
    </w:p>
    <w:p w14:paraId="36A717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(1936 г.)- Н.П. Фирюбин, А.С. Штейнбер г. Начальник управления продаж (2005 г.)- А.А. Костин.</w:t>
      </w:r>
    </w:p>
    <w:p w14:paraId="434CA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прокатного завода (11.1938 г.)- Ю. Г. Музалевский.</w:t>
      </w:r>
    </w:p>
    <w:p w14:paraId="6E0021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комбината № 150 НКАП, ОКБ-150 НКАП гл. конструктора К.И. Жданова</w:t>
      </w:r>
    </w:p>
    <w:p w14:paraId="161475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авиакомбината № 150 образовано 22.03.1939 г. по приказу НКАП № 80/к от 21.03.1939 г. на базе его опытного производства.</w:t>
      </w:r>
    </w:p>
    <w:p w14:paraId="29F4D6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Его гл. конструктор в 1938-1972</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30D9CC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2E76F7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ОКБ-150 МАП гл. конструктора К.И. Жданова</w:t>
      </w:r>
    </w:p>
    <w:p w14:paraId="251319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68C8A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161с от 20.04.1945 г. завод № 25 реорганизуется в ОКБ комбината № 150.</w:t>
      </w:r>
    </w:p>
    <w:p w14:paraId="749204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20D03E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7004A185" w14:textId="77777777" w:rsidR="002C0B9A" w:rsidRPr="008127F8" w:rsidRDefault="002C0B9A"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B54D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г. по приказу № 143с часть металлургического производства (до 50% оборудования и 1600 чел.) завода (Завод № 268 НКАП, МАП, Каменск-Уральский чугуноплавильный завод, Каменский металлургический завод МАП, Каменск-Уральское металлургическое ПО, ОАО «Каменск-Уральский металлургический завод» (КУМЗ) /г. Каменск Челябинской обл.,  г. Каменск-Уральский Свердловской обл./ /623405  г. Каменск-Уральский Свердловской обл. ул. Заводская, 5 тел. 95-300/ /Московское представительство: 113452 Балаклавский пр., 28В тел. 755-80-77/) вернулась из  г. Каменска-Уральского на старое место в Ступино для организации производства проката и штамповок из легких сплавов (11982).</w:t>
      </w:r>
    </w:p>
    <w:p w14:paraId="526FB2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31F0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8691C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6A56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вышло Постановление ГКО № 1311 Об улучшении перевозок грузов для танковых заводов. РГАНИР, Фонд ГКО, д. 21, лл. 130-131 (11012).</w:t>
      </w:r>
    </w:p>
    <w:p w14:paraId="119633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8F1F9"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года ГКО в постановлении №1311с установил, что все грузы, следующие в адреса танковых заводов, продвигаются наравне с воинскими грузами, с присвоением им воинского литера и добавлением буквы "Т", независимо от способа отправки (вплоть до мелких отправок багажом) (РГАСПИ. Ф. 644. Оп. 1. Д. 21. л. 130-131). Но аналогичные преимущественные права получали и другие важные отрасли экономики. Например, в это же время право изымать в свою пользу грузы мазута и угля у любых потребителей, кроме электростанций, получил НКПС (РГАСПИ. Ф. 644. Оп. 1. Д. 24. Л. 83). Чрезвычайные меры, как это обычно и бывает, вносили только дополнительный хаос в работу хозяйственного механизма. Впрочем, в постановлении № 1311с были и разумные меры: создание при управлениях железных дорог групп по перевозкам танковых грузов и разрешение НКТП иметь на дорогах своих уполномоченных. Что же касается права перевозки грузов наравне с воинскими транспортами, то НКПС в этой привилегии НКТП отказывал, ссылаясь на то, что присваивать статус воинского транспорта может только Управление воинских сообщений Красной Армии (РГАЭ. Ф. 8752. Оп. 1. Д. 251. Л. 245) (12290).</w:t>
      </w:r>
    </w:p>
    <w:p w14:paraId="6B77C8E7"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6D6331E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февраля 1942 вышло Постановление ГКО № 1312 [Об освобождении от работы на СТ3 личного состава 35 и 152-го ремонтно-восстановительных батальонов и передаче их ЮФ.] (7022, </w:t>
      </w:r>
      <w:proofErr w:type="gramStart"/>
      <w:r w:rsidRPr="008127F8">
        <w:rPr>
          <w:rFonts w:ascii="Times New Roman" w:hAnsi="Times New Roman"/>
          <w:color w:val="000000" w:themeColor="text1"/>
          <w:sz w:val="16"/>
          <w:szCs w:val="16"/>
        </w:rPr>
        <w:t>132 )</w:t>
      </w:r>
      <w:proofErr w:type="gramEnd"/>
      <w:r w:rsidRPr="008127F8">
        <w:rPr>
          <w:rFonts w:ascii="Times New Roman" w:hAnsi="Times New Roman"/>
          <w:color w:val="000000" w:themeColor="text1"/>
          <w:sz w:val="16"/>
          <w:szCs w:val="16"/>
        </w:rPr>
        <w:t>.</w:t>
      </w:r>
    </w:p>
    <w:p w14:paraId="117DC7E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BAF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вышло Постановление ГКО № 1314 О возвращении 25 вагонов эвакуированного оборудования фабрики № 6 текстильно-галантерейной промышленности из г.Усолье Молотовской обл. в Москву. РГАНИР, Фонд ГКО, д. 21, лл. 134 (11012).</w:t>
      </w:r>
    </w:p>
    <w:p w14:paraId="3B3F85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69B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февраля 1942 вышло Постановление ГКО № 1315 О передаче 25 металлорежущих станков из железнодорожного депо г. Кирова на завод им. Л.М.Кагановича (ст.Люблино Дзержинской ж.РГАНИР, Фонд ГКО, </w:t>
      </w:r>
      <w:proofErr w:type="gramStart"/>
      <w:r w:rsidRPr="008127F8">
        <w:rPr>
          <w:rFonts w:ascii="Times New Roman" w:hAnsi="Times New Roman"/>
          <w:color w:val="000000" w:themeColor="text1"/>
          <w:sz w:val="16"/>
          <w:szCs w:val="16"/>
        </w:rPr>
        <w:t>д. )</w:t>
      </w:r>
      <w:proofErr w:type="gramEnd"/>
      <w:r w:rsidRPr="008127F8">
        <w:rPr>
          <w:rFonts w:ascii="Times New Roman" w:hAnsi="Times New Roman"/>
          <w:color w:val="000000" w:themeColor="text1"/>
          <w:sz w:val="16"/>
          <w:szCs w:val="16"/>
        </w:rPr>
        <w:t>. РГАНИР, Фонд ГКО, д. 21, лл. 135 (11012).</w:t>
      </w:r>
    </w:p>
    <w:p w14:paraId="3FE73A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D81D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52B20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51596"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1C69E42D"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20 февраля наши войска продолжали вести активные боевые действия против немецко-фашистских войск.</w:t>
      </w:r>
    </w:p>
    <w:p w14:paraId="25634D2B"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артиллерийская часть, где командиром тов. Ланский, за последние недели боевых действий разрушила и уничтожила 5 немецких ДЗОТов, 4 блиндажа и 50 других укреплённых точек с пехотой противника, 2 миномётные батареи, 3 орудия, 17 пулемётов и 3 наблюдательных пункта. Артиллеристы отбили три контратаки противника и уничтожили до 400 немецких солдат и офицеров.</w:t>
      </w:r>
    </w:p>
    <w:p w14:paraId="6D9434A6"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действующая на Калининском фронте, после ожесточенного боя ворвалась в сильно укреплённый немцами пункт Л. и полностью уничтожила находившийся здесь немецкий гарнизон в количестве 400 человек. Среди захваченных нашими бойцами трофеев — 3 танка, 3 орудия и другое вооружение.</w:t>
      </w:r>
    </w:p>
    <w:p w14:paraId="69B4AFD3"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действующей на Южном фронте, огнём своих орудий разбили немецкий железнодорожный эшелон, подожгли две цистерны с горючим и рассеяли две роты вражеских солдат, пытавшихся потушить пожар.</w:t>
      </w:r>
    </w:p>
    <w:p w14:paraId="53CA24AB"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под командованием тов. Песочина, успешно отразив контратаки противника, подбили 4 немецких танка и уничтожили более 100 вражеских солдат.</w:t>
      </w:r>
    </w:p>
    <w:p w14:paraId="0CED86FF"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село Ф. немцы бросили на пулемётный расчёт тов. Шилова танк и большую группу автоматчиков. Укрывшись за домом, и пропустив танк, отважный пулемётчик открыл огонь по немецким автоматчикам. Метким огнём он истребил да 30 гитлеровцев. Получив ранение, тов. Шилов продолжал вести бой и уничтожил ещё несколько солдат противника.</w:t>
      </w:r>
    </w:p>
    <w:p w14:paraId="0F609412"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Б., действующий в одном из районов Курской области, оккупированных немцами, устроил засаду возле пункта О. Совершив внезапное нападение на вражескую колонну, партизаны захватили 3 немецкие пушки и 27 повозок с воинскими грузами. Группа партизан этого отряда совершила налёт на село, где расположились немцы. В результате боя уничтожено 15 гитлеровцев, остальные разбежались.</w:t>
      </w:r>
    </w:p>
    <w:p w14:paraId="071D2932"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Добровольно сдавшийся в плен солдат 1 немецкой танковой дивизии Юзеф Лешинский, поляк по национальности, рассказал: «Все мои родные и друзья говорили мне, чтобы я не воевал против русских и при первой же возможности сдался им в плен. 16 января шестой и восьмой ротам было приказано идти в наступление. Незадолго перед этим мы понесли большие потери. В моём отделении из 14 человек в живых осталось только 4. Русские вели очень сильный огонь, и солдаты отказались наступать. Тогда офицеры начали расстреливать своих солдат. Много немецких солдат пало от руки своих командиров. Меня офицер выстрелом из револьвера ранил в ногу. Затем офицеры и часть солдат, всего около 40 человек, удрали на машинах. Я воспользовался случаем и сдался в плен Красной Армии. Я ненавижу гитлеровский режим. Я видел, как немецкие солдаты выгоняют русских женщин и детей на улицу, на мороз, и поджигают дома. В оккупированных районах гитлеровцы уничтожают польское и русское население».</w:t>
      </w:r>
    </w:p>
    <w:p w14:paraId="04C20E8D"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Бригады станочниц Сталинградского тракторного завода тт. Числовой, Галышкиной и Антоновой ежедневно вырабатывают по три нормы. Бригада обрубщиков тов. Сергеева перевыполняет задания почти в четыре раза. Слесари Гамаюнов, Лобанов, Зубков, выполняя срочный заказ, ежедневно выполняли нормы на 350 процентов.» (15046).</w:t>
      </w:r>
    </w:p>
    <w:p w14:paraId="23B4F138" w14:textId="77777777" w:rsidR="002C0B9A" w:rsidRPr="008127F8" w:rsidRDefault="002C0B9A" w:rsidP="001E0A84">
      <w:pPr>
        <w:spacing w:after="0" w:line="240" w:lineRule="auto"/>
        <w:jc w:val="both"/>
        <w:rPr>
          <w:rFonts w:ascii="Times New Roman" w:hAnsi="Times New Roman"/>
          <w:color w:val="000000" w:themeColor="text1"/>
          <w:sz w:val="16"/>
          <w:szCs w:val="16"/>
        </w:rPr>
      </w:pPr>
    </w:p>
    <w:p w14:paraId="6F96BB72"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04A1F6E9"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20 февраля наши войска вели упорные бои с противником, продвинулись вперёд и заняли несколько населённых пунктов.</w:t>
      </w:r>
    </w:p>
    <w:p w14:paraId="5489EABC"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февраля сбито в воздушных боях 24 самолёта и уничтожено на аэродромах 7 самолётов противника. Всего за этот день уничтожен 31 немецкий самолёт. Наши потери — 12 самолётов.</w:t>
      </w:r>
    </w:p>
    <w:p w14:paraId="49FF20F0"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февраля частями нашей авиации уничтожено и повреждено 10 немецких танков, 470 автомашин с войсками и грузами, 300 повозок с боеприпасами и войсками, 9 орудий, 5 зенитно-пулемётных точек, 34 пулемёта, 68 миномётов, подавлен огонь 33 орудий, подожжено 2 железнодорожных эшелона и один склад с горючим, взорвано 2 склада с боеприпасами, разбито 57 железнодорожных вагонов, 2 цистерны и один паровоз, рассеяно и частично уничтожено до 4 батальонов пехоты противника.</w:t>
      </w:r>
    </w:p>
    <w:p w14:paraId="5B9F6D94"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где командиром тов. Лысенко, за 4 дня уничтожили более 800 немецких солдат и офицеров и захватили 17 пулемётов, 3 миномёта, 52 винтовки, 69 лошадей, 37 повозок с военным грузом, 80 велосипедов, 2 кухни и много другого имущества.</w:t>
      </w:r>
    </w:p>
    <w:p w14:paraId="0E3BB12B"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Шесть автоматчиков под командованием сержанта тов. Полякова, перерезав дорогу, по которой отступал немецкий обоз, перебили 12 вражеских солдат и захватили 6 повозок, 11 пулемётов, 4 миномёта и 6 ящиков мин.</w:t>
      </w:r>
    </w:p>
    <w:p w14:paraId="23086F67"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в районе пункта Р., была замечена офицерская разведывательная группа противника в количестве 20 человек. Старший лейтенант Зарудный и снайпер-красноармеец Маматов метким огнём уничтожили 16 вражеских офицеров.</w:t>
      </w:r>
    </w:p>
    <w:p w14:paraId="15A67F6A"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захваченном нашими войсками донесении старшего полкового врача 339 немец кого пехотного полка, адресованном командиру 167 немецкой пехотной дивизии, говорится:</w:t>
      </w:r>
    </w:p>
    <w:p w14:paraId="2F72B371"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результате врачебного обследования офицеров и солдат полка врачи подразделений пришли, совершенно независимо друг от друга, к общему выводу о физическом состоянии людей.</w:t>
      </w:r>
    </w:p>
    <w:p w14:paraId="5E5AB6CA"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Физическое состояние: сильный упадок сил. Запас сил истрачен. Совершенно здоровыми можно признать не больше 15 процентов унтер-офицеров и солдат. У 40 процентов здоровье не в полном порядке, но и не сильно подорвано. Что же касается остальных 45 процентов, то, в надежде на быстрое окончание боевых действий, они просто тянутся за частью. Очень распространены заболевания пищеварительной системы, дыхательных путей, почек и мочевого пузыря, сопровождающиеся повышением температуры, долго не заживающие нарывы на ногах, обмораживание, общая вшивость (также и среди офицеров).</w:t>
      </w:r>
    </w:p>
    <w:p w14:paraId="59233AD3"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Психическое состояние (среди унтер-офицеров и солдат): общая подавленность, соединённая с крайней раздражительностью. Вшивость играет здесь огромную роль.</w:t>
      </w:r>
    </w:p>
    <w:p w14:paraId="37948985"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Состояние здоровья </w:t>
      </w:r>
      <w:proofErr w:type="gramStart"/>
      <w:r w:rsidRPr="008127F8">
        <w:rPr>
          <w:rFonts w:ascii="Times New Roman" w:hAnsi="Times New Roman"/>
          <w:color w:val="000000" w:themeColor="text1"/>
          <w:sz w:val="16"/>
          <w:szCs w:val="16"/>
        </w:rPr>
        <w:t>офицеров по существу</w:t>
      </w:r>
      <w:proofErr w:type="gramEnd"/>
      <w:r w:rsidRPr="008127F8">
        <w:rPr>
          <w:rFonts w:ascii="Times New Roman" w:hAnsi="Times New Roman"/>
          <w:color w:val="000000" w:themeColor="text1"/>
          <w:sz w:val="16"/>
          <w:szCs w:val="16"/>
        </w:rPr>
        <w:t xml:space="preserve"> не отличается от состояния солдат: поносы, гриппозные явления, вшивость... У значительной части офицеров, включая и командиров батальонов, наблюдается истощение нервной системы. Поэтому имеется опасность, и очень вероятная, что в решающие моменты боя офицеры не найдут в себе достаточной выдержки, нужной для командира».</w:t>
      </w:r>
    </w:p>
    <w:p w14:paraId="586C7720"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девяти ныне освобождённых от немецких захватчиков сельсоветах Дзержинского района, Смоленской области, по неполным данным, немецко-фашистские бандиты сожгли 2.495 жилых домов, 13 школ и 27 других культурно-просветительных учреждений, разрушили 1.013 хозяйственных помещений, перебили много рабочего и домашнего скота. Фашистские изверги за три с половиной месяца оккупации замучили и расстреляли 247 мужчин, 27 женщин и 14 детей. Отступая, немцы увели с собой 262 человека из числа мирных граждан.</w:t>
      </w:r>
    </w:p>
    <w:p w14:paraId="5422EF39"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Солдаты финского сапёрного батальона, сформированного из резервистов и находившегося в бараках близ гор. Симола, отказались выполнить приказ об отправке на фронт. Для расправы с финскими солдатами был вызван батальон немецкого полка, усиленный пулемётной ротой. Гитлеровцы окружили бараки и открыли по ним миномётный и пулемётный огонь. Когда сопротивление финских солдат было сломлено, немцы учинили жестокую расправу с оставшимися в живых финнами.</w:t>
      </w:r>
    </w:p>
    <w:p w14:paraId="5B404D6C"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матерей, жён и сестёр рабочих и служащих треста «Азизбековнефть» (Баку), ушедших в Красную Армию, освоили сложные профессии и успешно работают на промыслах и предприятиях треста.» (15046).</w:t>
      </w:r>
    </w:p>
    <w:p w14:paraId="4CE721C5" w14:textId="77777777" w:rsidR="002C0B9A" w:rsidRPr="008127F8" w:rsidRDefault="002C0B9A" w:rsidP="001E0A84">
      <w:pPr>
        <w:spacing w:after="0" w:line="240" w:lineRule="auto"/>
        <w:jc w:val="both"/>
        <w:rPr>
          <w:rFonts w:ascii="Times New Roman" w:hAnsi="Times New Roman"/>
          <w:color w:val="000000" w:themeColor="text1"/>
          <w:sz w:val="16"/>
          <w:szCs w:val="16"/>
        </w:rPr>
      </w:pPr>
    </w:p>
    <w:p w14:paraId="5A074DDE" w14:textId="77777777" w:rsidR="002C0B9A" w:rsidRPr="008127F8" w:rsidRDefault="002C0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февраля</w:t>
      </w:r>
      <w:r w:rsidRPr="008127F8">
        <w:rPr>
          <w:rFonts w:ascii="Times New Roman" w:hAnsi="Times New Roman"/>
          <w:color w:val="000000" w:themeColor="text1"/>
          <w:sz w:val="16"/>
          <w:szCs w:val="16"/>
        </w:rPr>
        <w:t xml:space="preserve"> в 1942 году войска Северо-Западного фронта окружили в районе Демянска крупную группировку немцев (15046).</w:t>
      </w:r>
    </w:p>
    <w:p w14:paraId="65432C8A" w14:textId="77777777" w:rsidR="002C0B9A" w:rsidRPr="008127F8" w:rsidRDefault="002C0B9A" w:rsidP="001E0A84">
      <w:pPr>
        <w:spacing w:after="0" w:line="240" w:lineRule="auto"/>
        <w:jc w:val="both"/>
        <w:rPr>
          <w:rFonts w:ascii="Times New Roman" w:hAnsi="Times New Roman"/>
          <w:color w:val="000000" w:themeColor="text1"/>
          <w:sz w:val="16"/>
          <w:szCs w:val="16"/>
        </w:rPr>
      </w:pPr>
    </w:p>
    <w:p w14:paraId="5D10A3BD" w14:textId="77777777" w:rsidR="00032BF0" w:rsidRPr="008127F8" w:rsidRDefault="00032BF0"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20 февраля 1942 вылет на ж.</w:t>
      </w:r>
      <w:proofErr w:type="gramStart"/>
      <w:r w:rsidRPr="008127F8">
        <w:rPr>
          <w:rFonts w:ascii="Times New Roman" w:hAnsi="Times New Roman" w:cs="Times New Roman"/>
          <w:color w:val="000000" w:themeColor="text1"/>
          <w:sz w:val="16"/>
          <w:szCs w:val="16"/>
        </w:rPr>
        <w:t>д.узел</w:t>
      </w:r>
      <w:proofErr w:type="gramEnd"/>
      <w:r w:rsidRPr="008127F8">
        <w:rPr>
          <w:rFonts w:ascii="Times New Roman" w:hAnsi="Times New Roman" w:cs="Times New Roman"/>
          <w:color w:val="000000" w:themeColor="text1"/>
          <w:sz w:val="16"/>
          <w:szCs w:val="16"/>
        </w:rPr>
        <w:t xml:space="preserve"> Витебск не состоялся:</w:t>
      </w:r>
    </w:p>
    <w:p w14:paraId="6266824B" w14:textId="77777777" w:rsidR="00032BF0" w:rsidRPr="008127F8" w:rsidRDefault="00032B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 42015 командир корабля полковник Алексеев, штурман майор Лебедев в 17 час 05 мин 20.2.1942 г. стартовал с аэродрома Ковров на бомбардирование ж.д. узла г. Витебск с задачей уничтожения ж.д. эшелонов на ст. Витебск пассажирская. Задание не выполнено.</w:t>
      </w:r>
    </w:p>
    <w:p w14:paraId="11A16206" w14:textId="77777777" w:rsidR="00032BF0" w:rsidRPr="008127F8" w:rsidRDefault="00032B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Из-за плохих метеоусловий на маршруте, в районе Клин высота 200-300 м при отсутствии горизонтальной видимости, командир корабля принял решение прекратить полет к цели и вернуться на свой аэродром.</w:t>
      </w:r>
    </w:p>
    <w:p w14:paraId="773A2D6F" w14:textId="77777777" w:rsidR="00032BF0" w:rsidRPr="008127F8" w:rsidRDefault="00032B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В19 час 25 мин, через 2 час 20 мин экипаж произвел посадку на своем аэродроме с бомбами сорок ФАБ-100 (19105).</w:t>
      </w:r>
    </w:p>
    <w:p w14:paraId="0DEDF071" w14:textId="77777777" w:rsidR="00032BF0" w:rsidRPr="008127F8" w:rsidRDefault="00032BF0" w:rsidP="001E0A84">
      <w:pPr>
        <w:pStyle w:val="109"/>
        <w:shd w:val="clear" w:color="auto" w:fill="auto"/>
        <w:spacing w:line="240" w:lineRule="auto"/>
        <w:jc w:val="both"/>
        <w:rPr>
          <w:color w:val="000000" w:themeColor="text1"/>
          <w:sz w:val="16"/>
          <w:szCs w:val="16"/>
        </w:rPr>
      </w:pPr>
    </w:p>
    <w:p w14:paraId="7C2DCEED" w14:textId="77777777" w:rsidR="002C0B9A" w:rsidRPr="008127F8" w:rsidRDefault="002C0B9A" w:rsidP="001E0A84">
      <w:pPr>
        <w:pStyle w:val="book"/>
        <w:ind w:firstLine="0"/>
        <w:jc w:val="both"/>
        <w:rPr>
          <w:color w:val="000000" w:themeColor="text1"/>
          <w:sz w:val="16"/>
          <w:szCs w:val="16"/>
        </w:rPr>
      </w:pPr>
      <w:r w:rsidRPr="008127F8">
        <w:rPr>
          <w:color w:val="000000" w:themeColor="text1"/>
          <w:sz w:val="16"/>
          <w:szCs w:val="16"/>
        </w:rPr>
        <w:t>20 февраля 1942 г. во время атаки сильно укрепленного опорного пункта немцев в районе деревни Александрова экипаж Быкова на трофейном танке Т-III 121-й танковой бригады Южного фронта двигался впереди других танков бригады. Немцы приняли его за своего и пропустили вглубь позиций. Воспользовавшись этим, советские танкисты атаковали противника с тыла и обеспечили взятие деревни с минимальными потерями (15225).</w:t>
      </w:r>
    </w:p>
    <w:p w14:paraId="04685CED" w14:textId="77777777" w:rsidR="002C0B9A" w:rsidRPr="008127F8" w:rsidRDefault="002C0B9A" w:rsidP="001E0A84">
      <w:pPr>
        <w:pStyle w:val="book"/>
        <w:ind w:firstLine="0"/>
        <w:jc w:val="both"/>
        <w:rPr>
          <w:color w:val="000000" w:themeColor="text1"/>
          <w:sz w:val="16"/>
          <w:szCs w:val="16"/>
        </w:rPr>
      </w:pPr>
    </w:p>
    <w:p w14:paraId="32C1A9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февраля 1942 </w:t>
      </w:r>
      <w:proofErr w:type="gramStart"/>
      <w:r w:rsidRPr="008127F8">
        <w:rPr>
          <w:rFonts w:ascii="Times New Roman" w:hAnsi="Times New Roman"/>
          <w:color w:val="000000" w:themeColor="text1"/>
          <w:sz w:val="16"/>
          <w:szCs w:val="16"/>
        </w:rPr>
        <w:t>немцы</w:t>
      </w:r>
      <w:proofErr w:type="gramEnd"/>
      <w:r w:rsidRPr="008127F8">
        <w:rPr>
          <w:rFonts w:ascii="Times New Roman" w:hAnsi="Times New Roman"/>
          <w:color w:val="000000" w:themeColor="text1"/>
          <w:sz w:val="16"/>
          <w:szCs w:val="16"/>
        </w:rPr>
        <w:t xml:space="preserve"> собрав 75 Ю-52 начали снабжение Демянска (к северо-востоку от Ильменя) по воздуху. Мы били и </w:t>
      </w:r>
      <w:proofErr w:type="gramStart"/>
      <w:r w:rsidRPr="008127F8">
        <w:rPr>
          <w:rFonts w:ascii="Times New Roman" w:hAnsi="Times New Roman"/>
          <w:color w:val="000000" w:themeColor="text1"/>
          <w:sz w:val="16"/>
          <w:szCs w:val="16"/>
        </w:rPr>
        <w:t>зенитками</w:t>
      </w:r>
      <w:proofErr w:type="gramEnd"/>
      <w:r w:rsidRPr="008127F8">
        <w:rPr>
          <w:rFonts w:ascii="Times New Roman" w:hAnsi="Times New Roman"/>
          <w:color w:val="000000" w:themeColor="text1"/>
          <w:sz w:val="16"/>
          <w:szCs w:val="16"/>
        </w:rPr>
        <w:t xml:space="preserve"> и истребителями и Ил-2, но немцы перевезли 24 тыс. т грузов (1493,105).</w:t>
      </w:r>
    </w:p>
    <w:p w14:paraId="4A8786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35F1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командую</w:t>
      </w:r>
      <w:r w:rsidRPr="008127F8">
        <w:rPr>
          <w:rFonts w:ascii="Times New Roman" w:hAnsi="Times New Roman"/>
          <w:color w:val="000000" w:themeColor="text1"/>
          <w:sz w:val="16"/>
          <w:szCs w:val="16"/>
        </w:rPr>
        <w:softHyphen/>
        <w:t>щий Черноморским флотом вице-адмирал Ф.С. Октябрьский утвердил предложение штаба об атаке судов противника в Камыш-Буруне, а в качестве брандера надлежало использовг торпедный катер типа Г-5. Управлять же им предполагала с гидросамолета МБР-2 (10675).</w:t>
      </w:r>
    </w:p>
    <w:p w14:paraId="4C9114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AEEC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E0634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2B7D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г. Из докладной записки секретаря пролетарского райкома ВКП(б) В. Н. Щербакова тульскому ОБКОМУ партии о работе райкома в период осадного положения города в октябре - декабре 1941 г.</w:t>
      </w:r>
    </w:p>
    <w:p w14:paraId="627A0B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Организация и обучение народного ополчения и истребительных батальонов. После указания Тульского областного комитета партии о создании на предприятиях района отрядов народного ополчения и истребительных батальонов, районный комитет партии на всех предприятиях, в цехах и сменах провел собрания рабочих, на которых был поставлен вопрос о значении отрядов народного ополчения и истребительных батальонов. В результате собраний и повседневной массовой работы партийных организаций среди рабочих в партийную организацию района поступило свыше 8000 заявлений от рабочих, работниц и инженерно - технических работников с просьбой о зачислении в ряды народного ополчения и истребительные батальоны. На предприятиях были созданы 5 отрядов народного ополчения. Командный и политический состав был выделен из числа лучших командиров и политработников запаса, работавших на предприятиях. Отряды народного ополчения на каждом предприятии были разбиты на взводы и отделения и приступили к военному обучению. Занятия проходили 4 раза в неделю по 110- часовой программе. Они велись исключительно в условиях, приближенных к военной обстановке. Попутно с созданием отрядов народного ополчения в районе создавался истребительный батальон. Истребительный батальон создавался так же, как и отряды народного ополчения, на принципах добровольности и по предприятиям. Все бойцы истребительного батальона были переведены на казарменное положение. Срок обучения, рассчитанный на 45 дней, был закончен в 40 дней. Особенно успешно протекали занятия в истребительных отрядах патронного завода (командир С. П. Щербаков, комиссар А. В. Рубцов) и Новотульского завода (командир В. А. Белоусов, комиссар инженер Е. В. Ховаев). Истребительный батальон 29 октября 1941 г. вошел в состав Тульского рабочего полка и принимал активное участие в обороне Тулы... </w:t>
      </w:r>
    </w:p>
    <w:p w14:paraId="7F12B8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Создание групп самозащиты и их обучение. Наряду с военной подготовкой рабочих заводов в районе было широко развернуто обучение населения, особенно женщин, в группах самозащиты и противопожарных звеньях. Было создано 153 группы самозащиты и 200 противопожарных звеньев. Развернулась их учеба по 12- часовой программе. Для населения проводились массовые беседы и доклады на темы: "Борьба с зажигательными бомбами", "Борьба с пожарами", "Строительство баррикад, противотанковых рвов, эскарпов, надолб, устройство окопов, пулеметных гнезд и организация других видов строительных работ по укреплению города". Было выкопано на территории района силами самих жителей 14 водоемов, устроены запруды и плотины на случай вывода из строя водопровода, созданы другие водные ресурсы, предназначенные для борьбы с пожарами, а также мобилизована вся тара (бочки, железные ящики и т. п.). Эта тара была расставлена около домов, на чердаках и наполнена водой. Установилось круглосуточное дежурство по всем жилым и промышленным объектам, имелся в достаточном количестве противопожарный инвентарь. В результате проделанной работы население было подготовлено к обороне района от нападения с воздуха. </w:t>
      </w:r>
    </w:p>
    <w:p w14:paraId="0C34CF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Работа по строительству укреплений. Как только над Тулой нависла угроза вражеского нападения, по решению городского комитета обороны в районе началось строительство укреплений для защиты от вторженуя фашистских варваров. Пролетарский райком партии для руководства работами по укреплению района, по мобилизации населения, строительного материала и шанцевого инструмента раскрепил по участкам работников райкома. Так, секретарь РК по кадрам т. Ильин руководил подрывными работами на строительстве противотанковых рвов, второй секретарь РК т. Абахов - мобилизацией людей на строительство, заготовкой стройматериалов и шанцевого инструмента; первый секретарь РК т. Щербаков - строительством противотанковых рвов, эскарпов, установкой проволочных заграждений. Зав. отделом кадров т. Николаев занимался снабжением продуктами питания работающих по строительству укреплений. С начала работ, т. е. с 22 октября по 25 декабря 1941 </w:t>
      </w:r>
      <w:proofErr w:type="gramStart"/>
      <w:r w:rsidRPr="008127F8">
        <w:rPr>
          <w:rFonts w:ascii="Times New Roman" w:hAnsi="Times New Roman"/>
          <w:color w:val="000000" w:themeColor="text1"/>
          <w:sz w:val="16"/>
          <w:szCs w:val="16"/>
        </w:rPr>
        <w:t>г. ,</w:t>
      </w:r>
      <w:proofErr w:type="gramEnd"/>
      <w:r w:rsidRPr="008127F8">
        <w:rPr>
          <w:rFonts w:ascii="Times New Roman" w:hAnsi="Times New Roman"/>
          <w:color w:val="000000" w:themeColor="text1"/>
          <w:sz w:val="16"/>
          <w:szCs w:val="16"/>
        </w:rPr>
        <w:t xml:space="preserve"> ежедневно на строительстве рубежей работало от 1800 до 2000 человек, главным образом женщин. Была проделана следующая работа: построено вокруг района два укрепленных пояса; один за чертой района от реки Тулицы до Епифанского шоссе (противотанковый ров длиною в 9, 5 километра, шириною в 4 метра и глубиною в 2, 5 метра, эскарп длиною в 2, 5 км), причем было вынуто земли около 75 000 кубометров; второй пояс - вкопанные двойные противотанковые надолбы. Кроме того, на протяжении 12, 5 километра перед противотанковыми рвами были установлены в три ряда проволочные заграждения. Начиная с ноября и до 10 декабря, вся работа велась под непрерывным артиллерийским и минометным огнем. В результате было 3 убитых и 8 раненых. Но работавшие на строительстве укреплений ни на один час не бросали своего дела. Здесь сказалась агитационно - массовая работа среди населения, особенно среди строителей. Для них ежедневно проводились читки газет, сообщений Совинформбюро, устраивались беседы и доклады. Всю массовую агитационную работу на строительстве вели секретари райкома партии тт. Щербаков, Абахов, Ильин, председатель райисполкома т. Черкасов, прокурор района т. Артюшев и др. В результате, несмотря на глубоко промерзший грунт, вся работа была проделана в короткий срок, причем ее качество, по заключению военных специалистов, было вполне удовлетворительное. Для руководства строительством укреплений в качестве бригадиров и начальников участков были привлечены бойцы из команды МПВО. Энергично работали начальники участков тт. Куканов и Пашков. Их участки ежедневно выполняли и перевыполняли график. Хорошо работали также бригады из населения. Так, бригада т. Гилут, состоявшая из 24 человек, задание выполняла от 120 до 170%, бригада т. Пилюкова из 15 человек - от 115 до 150%. Бригады тт. Ротманова, Саенко, Шарапова и др. ежедневно выполняли задание на 140-150%. Примерно трудились многие рабочие. Тов. Коломейцев норму выполнял на 250%, т. Коновалов - на 275-300%, т. Роговой- на 200%. Рабочих, которые выполняли и перевыполняли свои нормы, были сотни. </w:t>
      </w:r>
    </w:p>
    <w:p w14:paraId="611C06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Вооружение партийно - хозяйственного актива. Как только Туле начала угрожать опасность, районный комитет партии немедленно приступил к обучению военному </w:t>
      </w:r>
      <w:r w:rsidRPr="008127F8">
        <w:rPr>
          <w:rFonts w:ascii="Times New Roman" w:hAnsi="Times New Roman"/>
          <w:color w:val="000000" w:themeColor="text1"/>
          <w:sz w:val="16"/>
          <w:szCs w:val="16"/>
        </w:rPr>
        <w:lastRenderedPageBreak/>
        <w:t xml:space="preserve">делу всего партийного, хозяйственного, профсоюзного, комсомольского и советского актива. Ежедневно после работы товарищи в обязательном порядке ходили на занятия, изучали гранату, винтовку, пулемет, военную тактику, топографию и т. д. Когда враг был на подступах к Туле, весь районный актив был вооружен и переведен на казарменное положение. Из состава актива было организовано круглосуточное дежурство, в районе выставлялись заслоны, патрули. Из лучших партийных и непартийных большевиков был создан истребительный батальон. Батальон организовался исключительно добровольно из рабочих, ИТР и служащих заводов. В него вошли начальник доменного цеха Новотульского металлургического завода т. Ховаев, директор рыбообрабатывающего завода т. Потапов, молодой инженер Новотульского завода т. Ткачев, начальник отдела снабжения Водоканала т. Дерпаев, зам. управляющего стройтрестом № 1 т. Исаев и ряд других ответственных работников. Все бойцы батальона усиленно изучали военное дело. 27 октября, когда враг подходил к Туле, батальон был переведен на казарменное положение, а 29 октября, когда гитлеровцы были у ворот города, батальон был выведен на рубеж обороны в Рогожинский поселок и включен в состав рабочего полка, который первый принял бой с фашистской сволочью. В начале декабря в результате массовой разъяснительной работы лучшие рабочие заводов и население изъявили желание пополнить ряды батальона Пролетарского района. Таким путем 7 декабря район дал пополнение в количестве 80 человек. В помощь доблестной Красной Армии Пролетарский РК ВКП(б) 14 ноября организовал партизанский отряд. Командиром отряда был назначен т. Летижинский, комиссаром - рабочий завода "Новая Тула" т. Жуков. В районе была также подобрана группа разведчиков из 23 человек. Многие из них отличились, проявили мужество и находчивость: т. Федотов - секретарь парторганизации рыбообрабатывающего завода, т. Сметанников - управдомами, т. Хрулева - работница одного из заводов и ряд других. В районе был организован из молодежи отряд истребителей танков. Он был вооружен противотанковыми бутылками и гранатами. Бойцы отряда круглосуточно дежурили на улицах и были готовы в любой момент отразить нападение врага. </w:t>
      </w:r>
    </w:p>
    <w:p w14:paraId="0B2BDA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Как райком ВКП(б) строил свою работу в период осадного положения. Во время осадного положения все работники РК ВКП(б) находились на казарменном положении. В райкоме было установлено круглосуточное дежурство. Все работники были раскреплены по заводам в помощь низовым партийным организациям, помогая в быстрейшей эвакуации предприятий и в мобилизации масс на защиту Тулы. В цехах и бригадах проводились беседы, читки газет, рабочих знакомили с положением на фронте. Несмотря на минометную и артиллерийскую стрельбу, рабочие трудились с удесятеренной энергией. Ряд ответственных работников райкома, райисполкома, райкома комсомола, прокуратуры был раскреплен по участкам для массовой работы с населением. Все прикрепленные товарищи строили свою работу под лозунгом: "Все для фронта, все для победы, все для разгрома врага!". При помощи массовой работы среди населения в районе собрано теплых вещей для Красной Армии 15 000 </w:t>
      </w:r>
      <w:proofErr w:type="gramStart"/>
      <w:r w:rsidRPr="008127F8">
        <w:rPr>
          <w:rFonts w:ascii="Times New Roman" w:hAnsi="Times New Roman"/>
          <w:color w:val="000000" w:themeColor="text1"/>
          <w:sz w:val="16"/>
          <w:szCs w:val="16"/>
        </w:rPr>
        <w:t>шт. ,</w:t>
      </w:r>
      <w:proofErr w:type="gramEnd"/>
      <w:r w:rsidRPr="008127F8">
        <w:rPr>
          <w:rFonts w:ascii="Times New Roman" w:hAnsi="Times New Roman"/>
          <w:color w:val="000000" w:themeColor="text1"/>
          <w:sz w:val="16"/>
          <w:szCs w:val="16"/>
        </w:rPr>
        <w:t xml:space="preserve"> в том числе овчинных полушубков 315, валеных сапог 970 пар и т. д. Для защитников г. Тулы собрано 370 пар лыж. Райком ВКП(б) организовал население на подготовку зенитных точек к зимним условиям. По их устройству и оборудованию работало 500-600 человек. К 7 ноября население района собрало для бойцов Красной Армии и защитников г. Тулы свыше 6000 подарков. Ряд членов партии и комсомольцев подали в райком заявления о желании пойти дрбровольно в действующую армию. Всего из района добровольно ушло на фронт 450 человек, из них 280 членов партии и 170 членов ВЛКСМ, не считая тех товарищей, которые находятся в рабочем полку. </w:t>
      </w:r>
    </w:p>
    <w:p w14:paraId="2C6B12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Отдел здравоохранения Пролетарского райисполкома в период с 22 июня по 15 декабря 1941 г. С первых дней войны из коллектива медицинских работников Пролетарского района в ряды Красной Армии было направлено 48 человек, из них 18 врачей и 30 сестер. Оставшиеся медработники перестроили свою работу таким образом, чтобы население не имело отказов в их помощи, а комиссия по призыву была обеспечена квалифицированными врачами. Поскольку город периодически подвергался налетам фашистской авиации, возникла необходимость включиться в работу МПВО. Медработники здравотдела приняли активное участие в обучении медико - санитарной команды, дежурствах на объектах по оказанию медпомощи. Активное участие в этом деле принимали медсестры тт. Кучевская, Котенева, Ивлева, создавшие 50 медико - санитарных звеньев. Работа с дружинницами шла главным образом по линии РОКК с участием врачей района. Весь медперсонал активно участвовал в работе МПВО. До осады города Пролетарский район не подвергался обстрелам и бомбардировке. Медперсонал оказывал помощь соседним районам, откуда поступали раненые. Большая работа была проведена медработниками по вербовке доноров. Всего было привлечено до 4 тыс. доноров. Врачи поликлиники и лаборатории проводили предварительный отбор, пропуская ежедневно 60-80 доноров. Группа доноров Пролетарского района в период осадного положения, когда станция переливания крови находилась под обстрелом, продолжала являться на станцию для сдачи крови раненым бойцам и гражданскому населению. Вопросы донорства освещались медработниками в местной прессе и в стенгазетах учреждений. К началу осады Тулы плановая работа лечебных учреждений Пролетарского района изменилась. В связи с эвакуацией закрылись ясли, психолечебница, детская поликлиника, Новотульский диспансер. В районе осталась горполиклиника № 1. В ночь на 31 октября в горполиклинику № 1 стали поступать раненые из Тульского рабочего полка и частей Красной Армии. Главный врач поликлиники Е. М. Цирунов с медико - санитарной командой МПВО Пролетарского района с этого дня переключился на обслуживание бойцов - фронтовиков. В поликлинике проводились операции, перевязки и эвакуация раненых. Одновременно оказывалась помощь раненым из гражданского населения. Под обстрелом приходили медработники с разных концов города. Они сменяли друг друга у постелей раненых. С 5 ноября по 13 декабря i 941 г. горполиклинику посетило 7499 больных, из них хирургических - 1729, обслужено больных врачами на дому 261 человек, сестринских вызовов на дом было 442. Фельдшера горполиклиники тт. Аненков и Фильчаков под обстрелом пробирались на дом к больным и раненым и оказывали им помощь. Следует отметить активную работу врачей тт. Цирунова, Брыковской, Ермолаевой, Туляковой, среднего медперсонала тт. Федосовой, Кирилловой, Копыловой, Куприной, Шиманец, а также служащих конторы тт. Дилевской, Зайцевой, Стшалковской. 27 ноября 1941 г. из поликлиники № 1 военные врачи и медсестры были отозваны, а гражданский персонал продолжал вести круглосуточное дежурство по обслуживанию раненых... </w:t>
      </w:r>
    </w:p>
    <w:p w14:paraId="22C037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Пролетарского РК ВКП(б) В. Щербаков</w:t>
      </w:r>
    </w:p>
    <w:p w14:paraId="431EF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Публикуется по сб. "Битва за Тулу". Изд. 3- е, стр. 157 - 164. (12077).</w:t>
      </w:r>
    </w:p>
    <w:p w14:paraId="170AC14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2A641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1D2B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США предоставили СССР займ объемом 1 млрд. долл. (2261).</w:t>
      </w:r>
    </w:p>
    <w:p w14:paraId="6D0DA9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DF35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80C1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F58E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японцы высадились в Португальском Тиморе (2261).</w:t>
      </w:r>
    </w:p>
    <w:p w14:paraId="24756D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5663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февраля</w:t>
      </w:r>
      <w:r w:rsidRPr="008127F8">
        <w:rPr>
          <w:rFonts w:ascii="Times New Roman" w:hAnsi="Times New Roman"/>
          <w:color w:val="000000" w:themeColor="text1"/>
          <w:sz w:val="16"/>
          <w:szCs w:val="16"/>
        </w:rPr>
        <w:t xml:space="preserve"> в 1942 году японские войска заняли Восточный Тимор (15046).</w:t>
      </w:r>
    </w:p>
    <w:p w14:paraId="468FF5D2"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56822940" w14:textId="77777777" w:rsidR="00864E80" w:rsidRPr="008127F8" w:rsidRDefault="00864E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февраля 1942 происходит первый бой между авианосными самолетами японского и американского флотов - между базировавшимися в Рабауле японскими самолетами и истребителями авианосца USS Lexington (CV-2) к северу от Соломоновых островов. Американцы потеряли два самолета и одного пилота, но утверждают, что сбили большинство из 18 японских атакующих; Лейтенант Эдвард Х. «Бутч» О'Хара сбил пять бомбардировщиков, став вторым асом ВМС США и первым во Второй мировой войне (20793).</w:t>
      </w:r>
    </w:p>
    <w:p w14:paraId="5A755A22" w14:textId="77777777" w:rsidR="00864E80" w:rsidRPr="008127F8" w:rsidRDefault="00864E80" w:rsidP="001E0A84">
      <w:pPr>
        <w:spacing w:after="0" w:line="240" w:lineRule="auto"/>
        <w:jc w:val="both"/>
        <w:rPr>
          <w:rFonts w:ascii="Times New Roman" w:hAnsi="Times New Roman"/>
          <w:color w:val="000000" w:themeColor="text1"/>
          <w:sz w:val="16"/>
          <w:szCs w:val="16"/>
        </w:rPr>
      </w:pPr>
    </w:p>
    <w:p w14:paraId="1BD653F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85F89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20BB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была подготовлена Докладная записка N 1202 Г.М.М.</w:t>
      </w:r>
    </w:p>
    <w:p w14:paraId="06C915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готовым изделиям:</w:t>
      </w:r>
    </w:p>
    <w:p w14:paraId="6B49B4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самолетов Ил-2 бронекорпус делает один Сталинградский завод. Он дает в день 8-10 корпусов. К середине марта заводы 18 и 1 не будут иметь корпусов для программы.</w:t>
      </w:r>
    </w:p>
    <w:p w14:paraId="05A606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Нужно обязать Наркомтанкопром увеличить выпуск бронекорпусов со Сталинградского завода, выдавая с 25 февраля по 15 шт. в день, с 10 марта - по 25 шт.</w:t>
      </w:r>
    </w:p>
    <w:p w14:paraId="4D5538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целях сокращения перевозок организовать в Куйбышеве:</w:t>
      </w:r>
    </w:p>
    <w:p w14:paraId="595B7C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производство самолетных колес на заводе 1 Оргавиапром</w:t>
      </w:r>
    </w:p>
    <w:p w14:paraId="25B62D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водяных и масляных радиаторов для самолета Ил-2 (1623,74).</w:t>
      </w:r>
    </w:p>
    <w:p w14:paraId="59099D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160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 письме N 18фс председатель Технического совета НКВ Сатель сообщает, что "По отзывам летного и инженерно-технического состава авиационных частей КА 23 мм авиационная пушка В-Я является мощным и отличным вооружением самолетов".</w:t>
      </w:r>
    </w:p>
    <w:p w14:paraId="414BBB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Такая оценка пушки объясняется:</w:t>
      </w:r>
    </w:p>
    <w:p w14:paraId="11659A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Эффективным действием (бронебойно-зажигательных и осколочно-зажигательных снарядов, набиваемых в ленту через один патрон) по танкам, бронемашинам, грузовикам и повозкам, по зенитным точкам и батареям, а также по материальной части самолетов, по живой силе и прочим наземным целям противника.</w:t>
      </w:r>
    </w:p>
    <w:p w14:paraId="01E07C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Высоким темпом стрельбы для данного мощного патрона.</w:t>
      </w:r>
    </w:p>
    <w:p w14:paraId="1C230D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Большим боекомплектом - запасом патронов на боевой вылет самолета.</w:t>
      </w:r>
    </w:p>
    <w:p w14:paraId="07C0C1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Простой эксплуатации пушки (освоение ее в частях ВВС в большинстве случаев проходило без описания пушки).</w:t>
      </w:r>
    </w:p>
    <w:p w14:paraId="08CCF7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Безотказностью работы автоматики пушки.</w:t>
      </w:r>
    </w:p>
    <w:p w14:paraId="3A4601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Однако, до сих пор пушкой В-Я вооружается только один тип самолета - штурмовик ИЛ-2. Через втулку винта мотора истребителей Лагг-3 и ЯК-1 все еще ставится </w:t>
      </w:r>
      <w:r w:rsidRPr="008127F8">
        <w:rPr>
          <w:rFonts w:ascii="Times New Roman" w:hAnsi="Times New Roman"/>
          <w:color w:val="000000" w:themeColor="text1"/>
          <w:sz w:val="16"/>
          <w:szCs w:val="16"/>
        </w:rPr>
        <w:lastRenderedPageBreak/>
        <w:t>пушка ШВАК.</w:t>
      </w:r>
    </w:p>
    <w:p w14:paraId="2AAB2C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повышения мощности вооружения самолета часть выпускаемых истребителей Лагг-3 вооружается 37 мм пушкой Шпитального, вместо пушки ШВАК.</w:t>
      </w:r>
    </w:p>
    <w:p w14:paraId="03CE57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той же целью, но в более широком масштабе истребители Лагг-3 можно вооружать 23 мм пушкой В-Я, производство которой в достаточном для этого количестве значительно легче развернуть, чем 37 мм пушек.</w:t>
      </w:r>
    </w:p>
    <w:p w14:paraId="1DFE48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В-Я уступает по эффективности снаряда 37 мм пушке Шпитального. Однако, высокая скорострельность, большой запас патронов, дешевизна и простота изготовления в производстве в сочетании с достаточной мощностью 23 мм снаряда (при стрельбе с самолета 23 мм бронебойно-зажигательный снаряд пробивает броню танков толщиною до 45 мм, а попадание одного 23 мм осколочно-зажигательного снаряда в жизненно-важную часть самолета выводит его из строя) дают пушке В-Я определенные преимущества перед 37 мм пушкой Шпитального. Можно предполагать, что для ведения воздушного боя огонь пушки В-Я будет более интенсивным и действительным, чем огонь 37 мм пушки Шпитального.</w:t>
      </w:r>
    </w:p>
    <w:p w14:paraId="3F3008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 вышеизложенное иллюстрируется следующим:</w:t>
      </w:r>
    </w:p>
    <w:p w14:paraId="30D34F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23 мм пушка имеет вдвое большую скорострельность, </w:t>
      </w:r>
      <w:proofErr w:type="gramStart"/>
      <w:r w:rsidRPr="008127F8">
        <w:rPr>
          <w:rFonts w:ascii="Times New Roman" w:hAnsi="Times New Roman"/>
          <w:color w:val="000000" w:themeColor="text1"/>
          <w:sz w:val="16"/>
          <w:szCs w:val="16"/>
        </w:rPr>
        <w:t>а следовательно</w:t>
      </w:r>
      <w:proofErr w:type="gramEnd"/>
      <w:r w:rsidRPr="008127F8">
        <w:rPr>
          <w:rFonts w:ascii="Times New Roman" w:hAnsi="Times New Roman"/>
          <w:color w:val="000000" w:themeColor="text1"/>
          <w:sz w:val="16"/>
          <w:szCs w:val="16"/>
        </w:rPr>
        <w:t xml:space="preserve"> и вдвое большую вероятность попадания, чем 37 мм пушка.</w:t>
      </w:r>
    </w:p>
    <w:p w14:paraId="359629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Пушка В-Я имеет на самолете Лагг-3 запас патронов 90 шт. - пушка 37 мм имеет на этом же самолете запас патронов 20 шт. Две крыльевых пушки В-Я на самолете ИЛ-2 берут запас патронов 310 штук, а две крыльевых 37 мм пушки - 80 шт. (или 86 шт.).</w:t>
      </w:r>
    </w:p>
    <w:p w14:paraId="5CCA5A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Пушка В-Я имеет в два-три раза меньший вес, чем 37 мм пушка. Пушки В-Я на самолете ИЛ-2 убираются внутрь крыльев, тогда как 37 мм пушки из-за их громоздкости вынуждены подвешивать под крылья и закрывать специальными обтекателями, снижающими скорость самолета.</w:t>
      </w:r>
    </w:p>
    <w:p w14:paraId="5A0442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Изготовление пушки В-Я в производстве значительно проще и быстрее изготовления 37 мм пушки; при равных производственных площадях, станочном парке и прочих одинаковых условиях выпуск пушек В-Я будет по нашим прикидкам в два-три раза больше, чем 37 мм пушек.</w:t>
      </w:r>
    </w:p>
    <w:p w14:paraId="707D20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мощности пушка В-Я вдвое превосходит лучшие иностранные образцы 23 мм пушек Мадсена и 20 мм пушек Эрликона.</w:t>
      </w:r>
    </w:p>
    <w:p w14:paraId="0B5E9F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Энергия удара (живая сила) 23 мм снаряда пушки В-Я при стрельбе с самолета втрое с лишним больше энергии удара пули нашего 14,5 мм противотанкового ружья.</w:t>
      </w:r>
    </w:p>
    <w:p w14:paraId="4819B0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вооружения 23 мм пушкой В-Я истребителей Лагг-3 и 2Л-7 (модернизированный Лагг-3) на заводе N 21 проведены большие подготовительные работы (2147,4).</w:t>
      </w:r>
    </w:p>
    <w:p w14:paraId="1C8449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ED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вышел приказ НКАП N 145с</w:t>
      </w:r>
    </w:p>
    <w:p w14:paraId="61BD22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окончания постройки опытных самолетов конструкции М.И.Гудкова, строящихся по постановлению Правительства и начатых постройкой в 1941:</w:t>
      </w:r>
    </w:p>
    <w:p w14:paraId="2FE117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ГК ОКБ-301 М.И.Гудкову окончить постройку 2-х самолетов ЛаГГ-3 с М-82 в пушечном варианте и 2-х самолетов типа Аэрокобра (1533,32).</w:t>
      </w:r>
    </w:p>
    <w:p w14:paraId="694BF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05B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 По приказу № 145с часть коллектива Гудкова, работавшая в Новосибирске, была реэвакуирована на площадку бывшего завода № 301 в Химки (11982).</w:t>
      </w:r>
    </w:p>
    <w:p w14:paraId="1A03D4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D4F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февраля 1942 г. по приказу № 145с аставшаяся в Новосибирске часть коллектива Гудкова, работавшая при СКБ-1 завода № 153, была реэвакуирована на площадку бывшего завода № 301 в Химки. Были построены самолеты Гу-37, Гу-82, проект ЛаГГ-3 с дополнительным РТД- 1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гл. конструктор ОКБ-424 МАГ1 по автоматическим аэростатам.</w:t>
      </w:r>
    </w:p>
    <w:p w14:paraId="53E889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(1937-30.12.1938 г.)- А.А. Дубровин, (05.1939 г.-&gt; М.И. Гудков.</w:t>
      </w:r>
    </w:p>
    <w:p w14:paraId="1AE0B8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(1937-38 г.)- А. Г. Брунов.</w:t>
      </w:r>
    </w:p>
    <w:p w14:paraId="3A0A9C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руководитель (05.1939 г.-)- М.И. Гудков (11982).</w:t>
      </w:r>
    </w:p>
    <w:p w14:paraId="44205F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545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вышел приказ НКАП N 147с:</w:t>
      </w:r>
    </w:p>
    <w:p w14:paraId="64818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17 февраля 1942:</w:t>
      </w:r>
    </w:p>
    <w:p w14:paraId="583369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директорам заводов 47 Шаройко и 116 Новикову обеспечить выпуск до 1-го июня 1942 423 самолета Ут-2, в т.ч. 312 сверх установленной решением ГКО от 23 декабря 1941 программы на 1 кв. 1942</w:t>
      </w:r>
    </w:p>
    <w:p w14:paraId="47692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47 обеспечить выпуск самолетов Ут-2: в феврале и марте - 56, в апреле - 63 и в мае - 64, всего 183</w:t>
      </w:r>
    </w:p>
    <w:p w14:paraId="292C57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завода 116 обеспечить выпуск самолетов Ут-2: в феврале и марте - 56, в апреле - 84 и в мае - 100, всего 240</w:t>
      </w:r>
    </w:p>
    <w:p w14:paraId="251386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47 в связи с увеличением задания по Ут-2 временно прекратить подготовку производства самолетов Як-1 переключив работы всех цехов на производство самолетов Ут-2 (1533,49).</w:t>
      </w:r>
    </w:p>
    <w:p w14:paraId="790996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622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вышел приказ НКАП N 148с:</w:t>
      </w:r>
    </w:p>
    <w:p w14:paraId="54E4BF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16 февраля 1942 N 1291сс о перевооружении самолетов Харрикейн:</w:t>
      </w:r>
    </w:p>
    <w:p w14:paraId="668666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81 Филимончуку:</w:t>
      </w:r>
    </w:p>
    <w:p w14:paraId="4D1832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перевооружить 400 самолетов Харрикейн 2-мя 20-мм крыльевыми пушками ШВАК с боекомплектом 120 патронов на пушку, 2-мя 12.7 мм крыльевыми пулеметами Березина (БК) по 120 патронов на каждый и 6 РС (РО-82).</w:t>
      </w:r>
    </w:p>
    <w:p w14:paraId="345D8E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перевооружение 400 самолетов провести до 20 апреля 1942 (1533,54).</w:t>
      </w:r>
    </w:p>
    <w:p w14:paraId="043011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C8F72"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февраля 1942 г. вышел приказ о перевооружении Харрикейнов на заводе № 81.</w:t>
      </w:r>
    </w:p>
    <w:p w14:paraId="6378004C"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апреля пла</w:t>
      </w:r>
      <w:r w:rsidRPr="008A2E5A">
        <w:rPr>
          <w:rFonts w:ascii="Times New Roman" w:hAnsi="Times New Roman"/>
          <w:color w:val="0070C0"/>
          <w:sz w:val="16"/>
          <w:szCs w:val="16"/>
        </w:rPr>
        <w:softHyphen/>
        <w:t>нировали доработать 400 истребителей, которые собирались постепенно забирать из различных авиачастей. Оборудование и рабочих, которые должны были зани</w:t>
      </w:r>
      <w:r w:rsidRPr="008A2E5A">
        <w:rPr>
          <w:rFonts w:ascii="Times New Roman" w:hAnsi="Times New Roman"/>
          <w:color w:val="0070C0"/>
          <w:sz w:val="16"/>
          <w:szCs w:val="16"/>
        </w:rPr>
        <w:softHyphen/>
        <w:t>маться переделкой «Харрикейнов», раз</w:t>
      </w:r>
      <w:r w:rsidRPr="008A2E5A">
        <w:rPr>
          <w:rFonts w:ascii="Times New Roman" w:hAnsi="Times New Roman"/>
          <w:color w:val="0070C0"/>
          <w:sz w:val="16"/>
          <w:szCs w:val="16"/>
        </w:rPr>
        <w:softHyphen/>
        <w:t>местили в пустующих цехах эвакуиро</w:t>
      </w:r>
      <w:r w:rsidRPr="008A2E5A">
        <w:rPr>
          <w:rFonts w:ascii="Times New Roman" w:hAnsi="Times New Roman"/>
          <w:color w:val="0070C0"/>
          <w:sz w:val="16"/>
          <w:szCs w:val="16"/>
        </w:rPr>
        <w:softHyphen/>
        <w:t>ванного из Москвы завода № 39 возле Центрального аэродрома. Туда перевезли документацию и «эталон».</w:t>
      </w:r>
    </w:p>
    <w:p w14:paraId="0DB0556E"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15 марта план требовал выпуска пер</w:t>
      </w:r>
      <w:r w:rsidRPr="008A2E5A">
        <w:rPr>
          <w:rFonts w:ascii="Times New Roman" w:hAnsi="Times New Roman"/>
          <w:color w:val="0070C0"/>
          <w:sz w:val="16"/>
          <w:szCs w:val="16"/>
        </w:rPr>
        <w:softHyphen/>
        <w:t>вых 60 перевооруженных истребителей. Но с самого начала производственники столкнулись с рядом препятствий. Во- первых, выявились расхождения между чертежами и «эталоном». Во-вторых, вы</w:t>
      </w:r>
      <w:r w:rsidRPr="008A2E5A">
        <w:rPr>
          <w:rFonts w:ascii="Times New Roman" w:hAnsi="Times New Roman"/>
          <w:color w:val="0070C0"/>
          <w:sz w:val="16"/>
          <w:szCs w:val="16"/>
        </w:rPr>
        <w:softHyphen/>
        <w:t>пуск пулеметов БК прекратили, заменив усовершенствованными УБ. 12 марта при</w:t>
      </w:r>
      <w:r w:rsidRPr="008A2E5A">
        <w:rPr>
          <w:rFonts w:ascii="Times New Roman" w:hAnsi="Times New Roman"/>
          <w:color w:val="0070C0"/>
          <w:sz w:val="16"/>
          <w:szCs w:val="16"/>
        </w:rPr>
        <w:softHyphen/>
        <w:t>няли решение ставить на самолеты пу</w:t>
      </w:r>
      <w:r w:rsidRPr="008A2E5A">
        <w:rPr>
          <w:rFonts w:ascii="Times New Roman" w:hAnsi="Times New Roman"/>
          <w:color w:val="0070C0"/>
          <w:sz w:val="16"/>
          <w:szCs w:val="16"/>
        </w:rPr>
        <w:softHyphen/>
        <w:t>леметы УБТ (турельного варианта). Они имелись в достаточном количестве, а кро</w:t>
      </w:r>
      <w:r w:rsidRPr="008A2E5A">
        <w:rPr>
          <w:rFonts w:ascii="Times New Roman" w:hAnsi="Times New Roman"/>
          <w:color w:val="0070C0"/>
          <w:sz w:val="16"/>
          <w:szCs w:val="16"/>
        </w:rPr>
        <w:softHyphen/>
        <w:t>ме того, механизм перезаряжания у них лучше подходил к «Харрикейну» по по</w:t>
      </w:r>
      <w:r w:rsidRPr="008A2E5A">
        <w:rPr>
          <w:rFonts w:ascii="Times New Roman" w:hAnsi="Times New Roman"/>
          <w:color w:val="0070C0"/>
          <w:sz w:val="16"/>
          <w:szCs w:val="16"/>
        </w:rPr>
        <w:softHyphen/>
        <w:t>требным усилиям. Пришлось переделать схему питания патронами и гильзоотвод.</w:t>
      </w:r>
    </w:p>
    <w:p w14:paraId="40CA0D11"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и УБТ на заводском складе отсут</w:t>
      </w:r>
      <w:r w:rsidRPr="008A2E5A">
        <w:rPr>
          <w:rFonts w:ascii="Times New Roman" w:hAnsi="Times New Roman"/>
          <w:color w:val="0070C0"/>
          <w:sz w:val="16"/>
          <w:szCs w:val="16"/>
        </w:rPr>
        <w:softHyphen/>
        <w:t>ствовали. Зато там лежала партия пушек ШВАК. Воспользовавшись чертежами ранее отвергнутого, но более доведенно</w:t>
      </w:r>
      <w:r w:rsidRPr="008A2E5A">
        <w:rPr>
          <w:rFonts w:ascii="Times New Roman" w:hAnsi="Times New Roman"/>
          <w:color w:val="0070C0"/>
          <w:sz w:val="16"/>
          <w:szCs w:val="16"/>
        </w:rPr>
        <w:softHyphen/>
        <w:t>го варианта, первые машины выпустили из цеха с комплектом из четырех пушек. Все эти неполадки задержали выполнение программы: к 18 апреля сдали всего 32 го</w:t>
      </w:r>
      <w:r w:rsidRPr="008A2E5A">
        <w:rPr>
          <w:rFonts w:ascii="Times New Roman" w:hAnsi="Times New Roman"/>
          <w:color w:val="0070C0"/>
          <w:sz w:val="16"/>
          <w:szCs w:val="16"/>
        </w:rPr>
        <w:softHyphen/>
        <w:t>товых истребителя, хотя довели темп до семи машин в день (23513).</w:t>
      </w:r>
    </w:p>
    <w:p w14:paraId="2264102E" w14:textId="77777777" w:rsidR="00F83EAC" w:rsidRPr="008A2E5A" w:rsidRDefault="00F83EAC" w:rsidP="00F83EAC">
      <w:pPr>
        <w:spacing w:after="0" w:line="240" w:lineRule="auto"/>
        <w:jc w:val="both"/>
        <w:rPr>
          <w:rFonts w:ascii="Times New Roman" w:hAnsi="Times New Roman"/>
          <w:color w:val="0070C0"/>
          <w:sz w:val="16"/>
          <w:szCs w:val="16"/>
        </w:rPr>
      </w:pPr>
    </w:p>
    <w:p w14:paraId="73CD87BB"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февраля 1942 г. вышел Приказ НКАП о переоборудовании Харрикейнов на заводе № 81.</w:t>
      </w:r>
    </w:p>
    <w:p w14:paraId="2EDCF4AA"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апреля планировали доработать 400 истребителей, которые собирались постепенно забирать из различных авиачастей. Оборудование и ра</w:t>
      </w:r>
      <w:r w:rsidRPr="008A2E5A">
        <w:rPr>
          <w:rFonts w:ascii="Times New Roman" w:hAnsi="Times New Roman"/>
          <w:color w:val="0070C0"/>
          <w:sz w:val="16"/>
          <w:szCs w:val="16"/>
        </w:rPr>
        <w:softHyphen/>
        <w:t>бочих, которые должны были заниматься переделкой «Харрикейнов», разместили в пу</w:t>
      </w:r>
      <w:r w:rsidRPr="008A2E5A">
        <w:rPr>
          <w:rFonts w:ascii="Times New Roman" w:hAnsi="Times New Roman"/>
          <w:color w:val="0070C0"/>
          <w:sz w:val="16"/>
          <w:szCs w:val="16"/>
        </w:rPr>
        <w:softHyphen/>
        <w:t>стующих цехах эвакуированного из Москвы завода № 39 возле Центрального аэродрома. Туда перевезли документацию и «эталон».</w:t>
      </w:r>
    </w:p>
    <w:p w14:paraId="6DA2EE9A"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15 марта план требовал выпуска первых 60 перевооруженных истребителей. Но с са</w:t>
      </w:r>
      <w:r w:rsidRPr="008A2E5A">
        <w:rPr>
          <w:rFonts w:ascii="Times New Roman" w:hAnsi="Times New Roman"/>
          <w:color w:val="0070C0"/>
          <w:sz w:val="16"/>
          <w:szCs w:val="16"/>
        </w:rPr>
        <w:softHyphen/>
        <w:t>мого начала производственники столкнулись с рядом препятствий. Во-первых, выявились расхождения между чертежами и «этало</w:t>
      </w:r>
      <w:r w:rsidRPr="008A2E5A">
        <w:rPr>
          <w:rFonts w:ascii="Times New Roman" w:hAnsi="Times New Roman"/>
          <w:color w:val="0070C0"/>
          <w:sz w:val="16"/>
          <w:szCs w:val="16"/>
        </w:rPr>
        <w:softHyphen/>
        <w:t>ном». Во-вторых, выпуск пулеметов БК пре</w:t>
      </w:r>
      <w:r w:rsidRPr="008A2E5A">
        <w:rPr>
          <w:rFonts w:ascii="Times New Roman" w:hAnsi="Times New Roman"/>
          <w:color w:val="0070C0"/>
          <w:sz w:val="16"/>
          <w:szCs w:val="16"/>
        </w:rPr>
        <w:softHyphen/>
        <w:t>кратили, заменив усовершенствованными УБ. 12 марта приняли решение ставить на самоле</w:t>
      </w:r>
      <w:r w:rsidRPr="008A2E5A">
        <w:rPr>
          <w:rFonts w:ascii="Times New Roman" w:hAnsi="Times New Roman"/>
          <w:color w:val="0070C0"/>
          <w:sz w:val="16"/>
          <w:szCs w:val="16"/>
        </w:rPr>
        <w:softHyphen/>
        <w:t>ты пулеметы УБТ (турельного варианта). Они имелись в достаточном количестве, а, кроме того, механизм перезаряжания у них лучше подходил к «Харрикейну» по потребным уси</w:t>
      </w:r>
      <w:r w:rsidRPr="008A2E5A">
        <w:rPr>
          <w:rFonts w:ascii="Times New Roman" w:hAnsi="Times New Roman"/>
          <w:color w:val="0070C0"/>
          <w:sz w:val="16"/>
          <w:szCs w:val="16"/>
        </w:rPr>
        <w:softHyphen/>
        <w:t xml:space="preserve"> лиям. Пришлось переделать схему питания патронами и гильзоотвод.</w:t>
      </w:r>
    </w:p>
    <w:p w14:paraId="1EA889C6"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и УБТ на заводском складе отсутство</w:t>
      </w:r>
      <w:r w:rsidRPr="008A2E5A">
        <w:rPr>
          <w:rFonts w:ascii="Times New Roman" w:hAnsi="Times New Roman"/>
          <w:color w:val="0070C0"/>
          <w:sz w:val="16"/>
          <w:szCs w:val="16"/>
        </w:rPr>
        <w:softHyphen/>
        <w:t>вали. Зато там лежала партия пушек ШВАК. Воспользовавшись чертежами ранее отверг</w:t>
      </w:r>
      <w:r w:rsidRPr="008A2E5A">
        <w:rPr>
          <w:rFonts w:ascii="Times New Roman" w:hAnsi="Times New Roman"/>
          <w:color w:val="0070C0"/>
          <w:sz w:val="16"/>
          <w:szCs w:val="16"/>
        </w:rPr>
        <w:softHyphen/>
        <w:t>нутого варианта, первые машины выпустили из цеха с комплектом из четырех пушек. Все эти неполадки задержали выполнение про</w:t>
      </w:r>
      <w:r w:rsidRPr="008A2E5A">
        <w:rPr>
          <w:rFonts w:ascii="Times New Roman" w:hAnsi="Times New Roman"/>
          <w:color w:val="0070C0"/>
          <w:sz w:val="16"/>
          <w:szCs w:val="16"/>
        </w:rPr>
        <w:softHyphen/>
        <w:t>граммы: к 18 апреля сдали всего 32 готовых истребителя, хотя довели темп до семи машин в день.</w:t>
      </w:r>
    </w:p>
    <w:p w14:paraId="42BA4646" w14:textId="77777777" w:rsidR="00F83EAC" w:rsidRPr="008A2E5A" w:rsidRDefault="00F83EAC" w:rsidP="00F83E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к началу мая все 400 «Харрикейнов» были перевооружены, а заводу дали заказ на переделку еще 400 истребителей, затем — дополнительных 200. Дорабатывались как вновь поступившие от англичан самолеты, так и уже побывавшие на фронте. Бригады с завода №81 производили эту операцию и на подмосковных аэродромах в Кубинке, Химках, Монине и Егорьевске. На этих базах 6-го иак ПВО перевооружались машины, ко</w:t>
      </w:r>
      <w:r w:rsidRPr="008A2E5A">
        <w:rPr>
          <w:rFonts w:ascii="Times New Roman" w:hAnsi="Times New Roman"/>
          <w:color w:val="0070C0"/>
          <w:sz w:val="16"/>
          <w:szCs w:val="16"/>
        </w:rPr>
        <w:softHyphen/>
        <w:t>торые нельзя было перегнать на завод из-за различных неисправностей. К концу 1942 г. выпустили 925 «Харрикейнов» с советскими пушками и пулеметами. Каждая машина обо</w:t>
      </w:r>
      <w:r w:rsidRPr="008A2E5A">
        <w:rPr>
          <w:rFonts w:ascii="Times New Roman" w:hAnsi="Times New Roman"/>
          <w:color w:val="0070C0"/>
          <w:sz w:val="16"/>
          <w:szCs w:val="16"/>
        </w:rPr>
        <w:softHyphen/>
        <w:t>шлась примерно в 13 000 рублей. Зато новое мощное вооружение расширило возможно</w:t>
      </w:r>
      <w:r w:rsidRPr="008A2E5A">
        <w:rPr>
          <w:rFonts w:ascii="Times New Roman" w:hAnsi="Times New Roman"/>
          <w:color w:val="0070C0"/>
          <w:sz w:val="16"/>
          <w:szCs w:val="16"/>
        </w:rPr>
        <w:softHyphen/>
        <w:t>сти самолета как в воздушном бою, так и при действиях по наземным целям. Правда, неко</w:t>
      </w:r>
      <w:r w:rsidRPr="008A2E5A">
        <w:rPr>
          <w:rFonts w:ascii="Times New Roman" w:hAnsi="Times New Roman"/>
          <w:color w:val="0070C0"/>
          <w:sz w:val="16"/>
          <w:szCs w:val="16"/>
        </w:rPr>
        <w:softHyphen/>
        <w:t>торое изменение центровки при этом приве</w:t>
      </w:r>
      <w:r w:rsidRPr="008A2E5A">
        <w:rPr>
          <w:rFonts w:ascii="Times New Roman" w:hAnsi="Times New Roman"/>
          <w:color w:val="0070C0"/>
          <w:sz w:val="16"/>
          <w:szCs w:val="16"/>
        </w:rPr>
        <w:softHyphen/>
        <w:t>ло к запаздыванию выхода истребителя из штопора и переходу штопора в плоский, но это не носило столь уж опасного характера (24506).</w:t>
      </w:r>
    </w:p>
    <w:p w14:paraId="7F26C0FF" w14:textId="77777777" w:rsidR="00F83EAC" w:rsidRPr="008A2E5A" w:rsidRDefault="00F83EAC" w:rsidP="00F83EAC">
      <w:pPr>
        <w:spacing w:after="0" w:line="240" w:lineRule="auto"/>
        <w:jc w:val="both"/>
        <w:rPr>
          <w:rFonts w:ascii="Times New Roman" w:hAnsi="Times New Roman"/>
          <w:color w:val="0070C0"/>
          <w:sz w:val="16"/>
          <w:szCs w:val="16"/>
        </w:rPr>
      </w:pPr>
    </w:p>
    <w:p w14:paraId="431294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вышел приказ Зам. наркома N 12:</w:t>
      </w:r>
    </w:p>
    <w:p w14:paraId="3AE33A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"Коллективом ОКБ завода 115 за время работы на заводе 153 успешно выполнены работы в короткий срок по созданию и внедрению новых улучшенных образцов </w:t>
      </w:r>
      <w:r w:rsidRPr="008127F8">
        <w:rPr>
          <w:rFonts w:ascii="Times New Roman" w:hAnsi="Times New Roman"/>
          <w:color w:val="000000" w:themeColor="text1"/>
          <w:sz w:val="16"/>
          <w:szCs w:val="16"/>
        </w:rPr>
        <w:lastRenderedPageBreak/>
        <w:t>Як-7. Спроектирован, построен и внедрен в серию эталон 1942 самолет як-7А. Спроектированы, построены и подготовлены эталоны 1942 Як-7Б и Як-7В (2530,22).</w:t>
      </w:r>
    </w:p>
    <w:p w14:paraId="3A375D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A70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нач. ГУ ГВФ В.С.Молоковы писал письмо Л.П.Б., в котором отмечал недостаточную эффективность турели МВ-3 на ПС-84 и просил выделить 50 УТБ для замены ШКАС. В начале 1942 завод № 32 разработал новую турель КТК-1 с УБТ (3404, 11).</w:t>
      </w:r>
    </w:p>
    <w:p w14:paraId="209A4E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ACB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года начальник ГУГВФ генерал-майор авиации Молоков писал письмо № 0175/см в ГКО Берия Л.П.</w:t>
      </w:r>
    </w:p>
    <w:p w14:paraId="30FFF5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самолеты ПС-84, работающие на фронте снабжены верхними пулеметными установками типа МВ-3 с пулеметами ШКАС калибра 7,62 мм.</w:t>
      </w:r>
    </w:p>
    <w:p w14:paraId="666EE5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показал опыт боевой работы этих машин, пулеметы ШКАС не обеспечивают надлежащей защиты от вражеских истребителей, вооруженных пушками, атакующих наши самолеты с больших расстояний, на которых оборонный огонь пулеметов ШКАС мало эффективен.</w:t>
      </w:r>
    </w:p>
    <w:p w14:paraId="476F9A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такой обороны имеет место непрерывное сокращение парка самолетов ПС-84, возможность пополнения которого весьма ограничена. Кроме того, имеющаяся на самолетах оборона не обеспечивает необходимой безопасности при перевозке ценных грузов и пассажиров.</w:t>
      </w:r>
    </w:p>
    <w:p w14:paraId="1F79FA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должной обороны самолетов необходима замена имеющегося оружия ШКАС крупнокалиберным оружием типа Березина в варианте УБТ калибра 12,7 мм. Такое оружие может быть установлено на имеющиеся на ПС-84 турели МВ-3 без каких-либо переделок каркасов фюзеляжей, т.е. в кратчайший срок.</w:t>
      </w:r>
    </w:p>
    <w:p w14:paraId="25851D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7852, 25).</w:t>
      </w:r>
    </w:p>
    <w:p w14:paraId="7EC64E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DE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 на площадке эвакуированного завода № 288 в Кимрах по приказу № 149с образованы Ремонтные мастерские для переоборудования иностранных самолетов (начальник- З.Б. Ценципер). Далее они преобразованы в Савеловские фронтовые мастерские (директор- Поленов). С 06.1943 г. здесь разместился завод № 491 (11982).</w:t>
      </w:r>
    </w:p>
    <w:p w14:paraId="48A92B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357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года вышел приказ НКАП за № 144сс во исполнение Постановления ГКО за № 1284сс от 15 февраля 1942 года, в соответствиии с которыми было приступлено к организации завода № 36. В мае 1942 года завод приступил к ремонту моторов водяного охлаждения М-100, М-103 и М-105.</w:t>
      </w:r>
    </w:p>
    <w:p w14:paraId="3E605E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121166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40A8B0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2292BD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7275FC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336D7B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Сова С.М. – с 1942 года по 1944 год</w:t>
      </w:r>
    </w:p>
    <w:p w14:paraId="0A19A2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Григорьев Г.М. – с 1944 года по 1947 год</w:t>
      </w:r>
    </w:p>
    <w:p w14:paraId="146C24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Петров А.П. – с 1947 года по 1949 год</w:t>
      </w:r>
    </w:p>
    <w:p w14:paraId="13D140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Субботин М.И. – с 1949 года по 1956 год</w:t>
      </w:r>
    </w:p>
    <w:p w14:paraId="5D926B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Смирнов А.Д. – с 1956 года</w:t>
      </w:r>
    </w:p>
    <w:p w14:paraId="5545B7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Должность гл. конструктора с 1943 года занимает Добрынин В.А.</w:t>
      </w:r>
    </w:p>
    <w:p w14:paraId="6E8F4E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Смирнов</w:t>
      </w:r>
    </w:p>
    <w:p w14:paraId="0AB997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Рыбинск, п/я 20</w:t>
      </w:r>
    </w:p>
    <w:p w14:paraId="0D04A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авиационный моторостроительный завод (9825).</w:t>
      </w:r>
    </w:p>
    <w:p w14:paraId="059121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621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вышел приках НКАП № 146 об организации ОКБ завода № 43 для разработки бомбардировочных, минно-торпедных и стрелковых установок. С завода № 32 сюда перевели часть ОКБ-1 А.И.Шульгина (33 чел.), бригаду из состава ОКБ-2 (6 чел.) и часть коллектива опытного цеха. ГК стал Шульгин (9651,92).</w:t>
      </w:r>
    </w:p>
    <w:p w14:paraId="6AF467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859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 по приказу № 146с часть ОКБ-1 (33 чел.) и конструкторская бригада ОКБ-2 (6 чел.) и часть коллектива опытного цеха (И чел.) завода № 32 НКАП были переведены в Москву в состав вновь созданного ОКБ завода № 43 НКАП для разработки бомбардировочных, минно-торпедных и стрелковых авиационных установок. При заводе организован также опытный цех.</w:t>
      </w:r>
    </w:p>
    <w:p w14:paraId="50028B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же по приказу № 272с от 6.05.1943 г. передана часть опытного цеха завода № 32 после перевода ОКБ-2 Можаровского и Веневидова в Москву в состав ОКБ-140 НКАП.</w:t>
      </w:r>
    </w:p>
    <w:p w14:paraId="0CA1AD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конца 1944 г. на завод № 43 из Кирова было полностью переведено ОКБ-32 гл. конструктора И.И. Торопова </w:t>
      </w:r>
      <w:proofErr w:type="gramStart"/>
      <w:r w:rsidRPr="008127F8">
        <w:rPr>
          <w:rFonts w:ascii="Times New Roman" w:hAnsi="Times New Roman"/>
          <w:color w:val="000000" w:themeColor="text1"/>
          <w:sz w:val="16"/>
          <w:szCs w:val="16"/>
        </w:rPr>
        <w:t>( возможно</w:t>
      </w:r>
      <w:proofErr w:type="gramEnd"/>
      <w:r w:rsidRPr="008127F8">
        <w:rPr>
          <w:rFonts w:ascii="Times New Roman" w:hAnsi="Times New Roman"/>
          <w:color w:val="000000" w:themeColor="text1"/>
          <w:sz w:val="16"/>
          <w:szCs w:val="16"/>
        </w:rPr>
        <w:t>,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3193F4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01.1945 г. ОКБ-43 - в 7ГУ. 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140735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739862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37FDDC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(1942-43(44) г.)- А.И. Шульгин, (1944-49 г.)- И.И. Торопов.</w:t>
      </w:r>
    </w:p>
    <w:p w14:paraId="2108F3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(1945-46 г.)- И.П. Шебанов, (1946 г.)- В.И. Ермилов.</w:t>
      </w:r>
    </w:p>
    <w:p w14:paraId="6F6232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(1945-46 г.)- И.П. Шебанов.</w:t>
      </w:r>
    </w:p>
    <w:p w14:paraId="253C7D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держатели ПКД-2М, Дер-3-44, Дер-4-44 для Ту-2; система пушечного вооружения ПВ-23 для Ту-16 в составе турелей ДТ-В7, ДТ-Н7 и кормовой башни ДК-7 (1950) (11982).</w:t>
      </w:r>
    </w:p>
    <w:p w14:paraId="1CA8DC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236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года для приближения конструкторов к обслуживанию требований фронта и перевооружения иностранных самолетов в соответствии с приказом НКАП за № 146с на заводе № 43 было организовано ОКБ по бомбардировочным, миннотерпедным и стрелковым установкам.</w:t>
      </w:r>
    </w:p>
    <w:p w14:paraId="76B197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161860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402B58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59F0FF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0D7E09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6F4095" w:rsidRPr="008127F8" w14:paraId="4BB9B521" w14:textId="77777777">
        <w:tc>
          <w:tcPr>
            <w:tcW w:w="1657" w:type="dxa"/>
          </w:tcPr>
          <w:p w14:paraId="373BA0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изделий</w:t>
            </w:r>
          </w:p>
        </w:tc>
        <w:tc>
          <w:tcPr>
            <w:tcW w:w="1145" w:type="dxa"/>
          </w:tcPr>
          <w:p w14:paraId="058D8B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Единица измерений</w:t>
            </w:r>
          </w:p>
        </w:tc>
        <w:tc>
          <w:tcPr>
            <w:tcW w:w="1134" w:type="dxa"/>
          </w:tcPr>
          <w:p w14:paraId="223F4F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1942 год</w:t>
            </w:r>
          </w:p>
        </w:tc>
        <w:tc>
          <w:tcPr>
            <w:tcW w:w="1134" w:type="dxa"/>
          </w:tcPr>
          <w:p w14:paraId="71E954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1943 год</w:t>
            </w:r>
          </w:p>
        </w:tc>
        <w:tc>
          <w:tcPr>
            <w:tcW w:w="1134" w:type="dxa"/>
          </w:tcPr>
          <w:p w14:paraId="1F5E1D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1944 год</w:t>
            </w:r>
          </w:p>
        </w:tc>
        <w:tc>
          <w:tcPr>
            <w:tcW w:w="1134" w:type="dxa"/>
          </w:tcPr>
          <w:p w14:paraId="78B128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За1945 год</w:t>
            </w:r>
          </w:p>
        </w:tc>
        <w:tc>
          <w:tcPr>
            <w:tcW w:w="1275" w:type="dxa"/>
          </w:tcPr>
          <w:p w14:paraId="3F5F72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720E262F" w14:textId="77777777">
        <w:tc>
          <w:tcPr>
            <w:tcW w:w="1657" w:type="dxa"/>
          </w:tcPr>
          <w:p w14:paraId="2E6698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Пистолет-пулемет Шпагина</w:t>
            </w:r>
          </w:p>
        </w:tc>
        <w:tc>
          <w:tcPr>
            <w:tcW w:w="1145" w:type="dxa"/>
          </w:tcPr>
          <w:p w14:paraId="30E77F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3C061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63741</w:t>
            </w:r>
          </w:p>
        </w:tc>
        <w:tc>
          <w:tcPr>
            <w:tcW w:w="1134" w:type="dxa"/>
          </w:tcPr>
          <w:p w14:paraId="50F2EA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99232</w:t>
            </w:r>
          </w:p>
        </w:tc>
        <w:tc>
          <w:tcPr>
            <w:tcW w:w="1134" w:type="dxa"/>
          </w:tcPr>
          <w:p w14:paraId="12159C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128643</w:t>
            </w:r>
          </w:p>
        </w:tc>
        <w:tc>
          <w:tcPr>
            <w:tcW w:w="1134" w:type="dxa"/>
          </w:tcPr>
          <w:p w14:paraId="62217C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44035</w:t>
            </w:r>
          </w:p>
        </w:tc>
        <w:tc>
          <w:tcPr>
            <w:tcW w:w="1275" w:type="dxa"/>
          </w:tcPr>
          <w:p w14:paraId="39A460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335651</w:t>
            </w:r>
          </w:p>
        </w:tc>
      </w:tr>
      <w:tr w:rsidR="006F4095" w:rsidRPr="008127F8" w14:paraId="7D07955F" w14:textId="77777777">
        <w:tc>
          <w:tcPr>
            <w:tcW w:w="1657" w:type="dxa"/>
          </w:tcPr>
          <w:p w14:paraId="23DBC1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Крыльевой лафет ИЛ-2</w:t>
            </w:r>
          </w:p>
        </w:tc>
        <w:tc>
          <w:tcPr>
            <w:tcW w:w="1145" w:type="dxa"/>
          </w:tcPr>
          <w:p w14:paraId="409094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058F8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3856</w:t>
            </w:r>
          </w:p>
        </w:tc>
        <w:tc>
          <w:tcPr>
            <w:tcW w:w="1134" w:type="dxa"/>
          </w:tcPr>
          <w:p w14:paraId="6E9934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3888</w:t>
            </w:r>
          </w:p>
        </w:tc>
        <w:tc>
          <w:tcPr>
            <w:tcW w:w="1134" w:type="dxa"/>
          </w:tcPr>
          <w:p w14:paraId="0686D5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7DBE09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7E7F84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7744</w:t>
            </w:r>
          </w:p>
        </w:tc>
      </w:tr>
      <w:tr w:rsidR="006F4095" w:rsidRPr="008127F8" w14:paraId="2620EA21" w14:textId="77777777">
        <w:tc>
          <w:tcPr>
            <w:tcW w:w="1657" w:type="dxa"/>
          </w:tcPr>
          <w:p w14:paraId="26FA4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Крыльевой лафет БС-ЯК-7</w:t>
            </w:r>
          </w:p>
        </w:tc>
        <w:tc>
          <w:tcPr>
            <w:tcW w:w="1145" w:type="dxa"/>
          </w:tcPr>
          <w:p w14:paraId="6A74AF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196CB6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134" w:type="dxa"/>
          </w:tcPr>
          <w:p w14:paraId="7A92F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1029</w:t>
            </w:r>
          </w:p>
        </w:tc>
        <w:tc>
          <w:tcPr>
            <w:tcW w:w="1134" w:type="dxa"/>
          </w:tcPr>
          <w:p w14:paraId="7298A4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134" w:type="dxa"/>
          </w:tcPr>
          <w:p w14:paraId="64F173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1DECF2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1449</w:t>
            </w:r>
          </w:p>
        </w:tc>
      </w:tr>
      <w:tr w:rsidR="006F4095" w:rsidRPr="008127F8" w14:paraId="647FBAF6" w14:textId="77777777">
        <w:tc>
          <w:tcPr>
            <w:tcW w:w="1657" w:type="dxa"/>
          </w:tcPr>
          <w:p w14:paraId="57C2B9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Носовая установка ИЛ-4</w:t>
            </w:r>
          </w:p>
        </w:tc>
        <w:tc>
          <w:tcPr>
            <w:tcW w:w="1145" w:type="dxa"/>
          </w:tcPr>
          <w:p w14:paraId="6456F2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76A5FD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w:t>
            </w:r>
          </w:p>
        </w:tc>
        <w:tc>
          <w:tcPr>
            <w:tcW w:w="1134" w:type="dxa"/>
          </w:tcPr>
          <w:p w14:paraId="590849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686</w:t>
            </w:r>
          </w:p>
        </w:tc>
        <w:tc>
          <w:tcPr>
            <w:tcW w:w="1134" w:type="dxa"/>
          </w:tcPr>
          <w:p w14:paraId="2E0B7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134" w:type="dxa"/>
          </w:tcPr>
          <w:p w14:paraId="0A1F61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70E38C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928</w:t>
            </w:r>
          </w:p>
        </w:tc>
      </w:tr>
      <w:tr w:rsidR="006F4095" w:rsidRPr="008127F8" w14:paraId="748BD612" w14:textId="77777777">
        <w:tc>
          <w:tcPr>
            <w:tcW w:w="1657" w:type="dxa"/>
          </w:tcPr>
          <w:p w14:paraId="133468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Балка РО-82</w:t>
            </w:r>
          </w:p>
        </w:tc>
        <w:tc>
          <w:tcPr>
            <w:tcW w:w="1145" w:type="dxa"/>
          </w:tcPr>
          <w:p w14:paraId="5C8992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24CB93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26990</w:t>
            </w:r>
          </w:p>
        </w:tc>
        <w:tc>
          <w:tcPr>
            <w:tcW w:w="1134" w:type="dxa"/>
          </w:tcPr>
          <w:p w14:paraId="30E425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w:t>
            </w:r>
          </w:p>
        </w:tc>
        <w:tc>
          <w:tcPr>
            <w:tcW w:w="1134" w:type="dxa"/>
          </w:tcPr>
          <w:p w14:paraId="3B7301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462054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61577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27094</w:t>
            </w:r>
          </w:p>
        </w:tc>
      </w:tr>
      <w:tr w:rsidR="006F4095" w:rsidRPr="008127F8" w14:paraId="1B94F8FD" w14:textId="77777777">
        <w:tc>
          <w:tcPr>
            <w:tcW w:w="1657" w:type="dxa"/>
          </w:tcPr>
          <w:p w14:paraId="33A05B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Сбрасыватель ЭСБР-3п</w:t>
            </w:r>
          </w:p>
        </w:tc>
        <w:tc>
          <w:tcPr>
            <w:tcW w:w="1145" w:type="dxa"/>
          </w:tcPr>
          <w:p w14:paraId="29E19F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4FB0B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9093</w:t>
            </w:r>
          </w:p>
        </w:tc>
        <w:tc>
          <w:tcPr>
            <w:tcW w:w="1134" w:type="dxa"/>
          </w:tcPr>
          <w:p w14:paraId="4A9B4F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8596</w:t>
            </w:r>
          </w:p>
        </w:tc>
        <w:tc>
          <w:tcPr>
            <w:tcW w:w="1134" w:type="dxa"/>
          </w:tcPr>
          <w:p w14:paraId="434A2F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0027A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4A2F81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17689</w:t>
            </w:r>
          </w:p>
        </w:tc>
      </w:tr>
      <w:tr w:rsidR="006F4095" w:rsidRPr="008127F8" w14:paraId="11138388" w14:textId="77777777">
        <w:tc>
          <w:tcPr>
            <w:tcW w:w="1657" w:type="dxa"/>
          </w:tcPr>
          <w:p w14:paraId="3D20BA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Граната ГС-1</w:t>
            </w:r>
          </w:p>
        </w:tc>
        <w:tc>
          <w:tcPr>
            <w:tcW w:w="1145" w:type="dxa"/>
          </w:tcPr>
          <w:p w14:paraId="2B9640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3E2AF1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52140</w:t>
            </w:r>
          </w:p>
        </w:tc>
        <w:tc>
          <w:tcPr>
            <w:tcW w:w="1134" w:type="dxa"/>
          </w:tcPr>
          <w:p w14:paraId="107F7B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05B9E8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481992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1818F8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52140</w:t>
            </w:r>
          </w:p>
        </w:tc>
      </w:tr>
      <w:tr w:rsidR="006F4095" w:rsidRPr="008127F8" w14:paraId="4580DBB0" w14:textId="77777777">
        <w:tc>
          <w:tcPr>
            <w:tcW w:w="1657" w:type="dxa"/>
          </w:tcPr>
          <w:p w14:paraId="34A9B8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ВАП-6м</w:t>
            </w:r>
          </w:p>
        </w:tc>
        <w:tc>
          <w:tcPr>
            <w:tcW w:w="1145" w:type="dxa"/>
          </w:tcPr>
          <w:p w14:paraId="6E1998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670C42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3800</w:t>
            </w:r>
          </w:p>
        </w:tc>
        <w:tc>
          <w:tcPr>
            <w:tcW w:w="1134" w:type="dxa"/>
          </w:tcPr>
          <w:p w14:paraId="5C6D19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134" w:type="dxa"/>
          </w:tcPr>
          <w:p w14:paraId="60757D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6550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57C1EB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w:t>
            </w:r>
          </w:p>
        </w:tc>
      </w:tr>
      <w:tr w:rsidR="006F4095" w:rsidRPr="008127F8" w14:paraId="236B2254" w14:textId="77777777">
        <w:tc>
          <w:tcPr>
            <w:tcW w:w="1657" w:type="dxa"/>
          </w:tcPr>
          <w:p w14:paraId="7B78C7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ДАГ-10</w:t>
            </w:r>
          </w:p>
        </w:tc>
        <w:tc>
          <w:tcPr>
            <w:tcW w:w="1145" w:type="dxa"/>
          </w:tcPr>
          <w:p w14:paraId="637EEE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17976C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1582</w:t>
            </w:r>
          </w:p>
        </w:tc>
        <w:tc>
          <w:tcPr>
            <w:tcW w:w="1134" w:type="dxa"/>
          </w:tcPr>
          <w:p w14:paraId="2729EB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4522</w:t>
            </w:r>
          </w:p>
        </w:tc>
        <w:tc>
          <w:tcPr>
            <w:tcW w:w="1134" w:type="dxa"/>
          </w:tcPr>
          <w:p w14:paraId="0E2D09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6677</w:t>
            </w:r>
          </w:p>
        </w:tc>
        <w:tc>
          <w:tcPr>
            <w:tcW w:w="1134" w:type="dxa"/>
          </w:tcPr>
          <w:p w14:paraId="70CACC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c>
          <w:tcPr>
            <w:tcW w:w="1275" w:type="dxa"/>
          </w:tcPr>
          <w:p w14:paraId="2F1067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14481</w:t>
            </w:r>
          </w:p>
        </w:tc>
      </w:tr>
      <w:tr w:rsidR="006F4095" w:rsidRPr="008127F8" w14:paraId="4B679279" w14:textId="77777777">
        <w:tc>
          <w:tcPr>
            <w:tcW w:w="1657" w:type="dxa"/>
          </w:tcPr>
          <w:p w14:paraId="6010B7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Замки Дер-21 с п/п</w:t>
            </w:r>
          </w:p>
        </w:tc>
        <w:tc>
          <w:tcPr>
            <w:tcW w:w="1145" w:type="dxa"/>
          </w:tcPr>
          <w:p w14:paraId="7C69D6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035D72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2854</w:t>
            </w:r>
          </w:p>
        </w:tc>
        <w:tc>
          <w:tcPr>
            <w:tcW w:w="1134" w:type="dxa"/>
          </w:tcPr>
          <w:p w14:paraId="32F7E5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3125</w:t>
            </w:r>
          </w:p>
        </w:tc>
        <w:tc>
          <w:tcPr>
            <w:tcW w:w="1134" w:type="dxa"/>
          </w:tcPr>
          <w:p w14:paraId="6B2A13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483E65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1CBAF5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5979</w:t>
            </w:r>
          </w:p>
        </w:tc>
      </w:tr>
      <w:tr w:rsidR="006F4095" w:rsidRPr="008127F8" w14:paraId="23BB1D9B" w14:textId="77777777">
        <w:tc>
          <w:tcPr>
            <w:tcW w:w="1657" w:type="dxa"/>
          </w:tcPr>
          <w:p w14:paraId="5F6B07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Замки Д-3-42</w:t>
            </w:r>
          </w:p>
        </w:tc>
        <w:tc>
          <w:tcPr>
            <w:tcW w:w="1145" w:type="dxa"/>
          </w:tcPr>
          <w:p w14:paraId="2803B2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30D7FB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1352</w:t>
            </w:r>
          </w:p>
        </w:tc>
        <w:tc>
          <w:tcPr>
            <w:tcW w:w="1134" w:type="dxa"/>
          </w:tcPr>
          <w:p w14:paraId="68E5FC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3945</w:t>
            </w:r>
          </w:p>
        </w:tc>
        <w:tc>
          <w:tcPr>
            <w:tcW w:w="1134" w:type="dxa"/>
          </w:tcPr>
          <w:p w14:paraId="5A19F1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0575C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5" w:type="dxa"/>
          </w:tcPr>
          <w:p w14:paraId="22975C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5297</w:t>
            </w:r>
          </w:p>
        </w:tc>
      </w:tr>
      <w:tr w:rsidR="006F4095" w:rsidRPr="008127F8" w14:paraId="278B17D2" w14:textId="77777777">
        <w:tc>
          <w:tcPr>
            <w:tcW w:w="1657" w:type="dxa"/>
          </w:tcPr>
          <w:p w14:paraId="5C6B7D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Замки Дер-20</w:t>
            </w:r>
          </w:p>
        </w:tc>
        <w:tc>
          <w:tcPr>
            <w:tcW w:w="1145" w:type="dxa"/>
          </w:tcPr>
          <w:p w14:paraId="22C142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6B2C4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C2B6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296</w:t>
            </w:r>
          </w:p>
        </w:tc>
        <w:tc>
          <w:tcPr>
            <w:tcW w:w="1134" w:type="dxa"/>
          </w:tcPr>
          <w:p w14:paraId="48488D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134" w:type="dxa"/>
          </w:tcPr>
          <w:p w14:paraId="227294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75" w:type="dxa"/>
          </w:tcPr>
          <w:p w14:paraId="20B700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366</w:t>
            </w:r>
          </w:p>
        </w:tc>
      </w:tr>
      <w:tr w:rsidR="006F4095" w:rsidRPr="008127F8" w14:paraId="614B428E" w14:textId="77777777">
        <w:tc>
          <w:tcPr>
            <w:tcW w:w="1657" w:type="dxa"/>
          </w:tcPr>
          <w:p w14:paraId="1E1DA6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Замки Дер-19</w:t>
            </w:r>
          </w:p>
        </w:tc>
        <w:tc>
          <w:tcPr>
            <w:tcW w:w="1145" w:type="dxa"/>
          </w:tcPr>
          <w:p w14:paraId="727F28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1343CA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2AC992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w:t>
            </w:r>
          </w:p>
        </w:tc>
        <w:tc>
          <w:tcPr>
            <w:tcW w:w="1134" w:type="dxa"/>
          </w:tcPr>
          <w:p w14:paraId="120C67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1134" w:type="dxa"/>
          </w:tcPr>
          <w:p w14:paraId="00EDD7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275" w:type="dxa"/>
          </w:tcPr>
          <w:p w14:paraId="3F6002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547</w:t>
            </w:r>
          </w:p>
        </w:tc>
      </w:tr>
      <w:tr w:rsidR="006F4095" w:rsidRPr="008127F8" w14:paraId="548067C9" w14:textId="77777777">
        <w:tc>
          <w:tcPr>
            <w:tcW w:w="1657" w:type="dxa"/>
          </w:tcPr>
          <w:p w14:paraId="1F4537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ВУБ-3</w:t>
            </w:r>
          </w:p>
        </w:tc>
        <w:tc>
          <w:tcPr>
            <w:tcW w:w="1145" w:type="dxa"/>
          </w:tcPr>
          <w:p w14:paraId="3D6186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616E9A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6B16D7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4383</w:t>
            </w:r>
          </w:p>
        </w:tc>
        <w:tc>
          <w:tcPr>
            <w:tcW w:w="1134" w:type="dxa"/>
          </w:tcPr>
          <w:p w14:paraId="665FD4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8339</w:t>
            </w:r>
          </w:p>
        </w:tc>
        <w:tc>
          <w:tcPr>
            <w:tcW w:w="1134" w:type="dxa"/>
          </w:tcPr>
          <w:p w14:paraId="055D18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3490</w:t>
            </w:r>
          </w:p>
        </w:tc>
        <w:tc>
          <w:tcPr>
            <w:tcW w:w="1275" w:type="dxa"/>
          </w:tcPr>
          <w:p w14:paraId="5F7CD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16212</w:t>
            </w:r>
          </w:p>
        </w:tc>
      </w:tr>
      <w:tr w:rsidR="006F4095" w:rsidRPr="008127F8" w14:paraId="0BFE5BE5" w14:textId="77777777">
        <w:tc>
          <w:tcPr>
            <w:tcW w:w="1657" w:type="dxa"/>
          </w:tcPr>
          <w:p w14:paraId="5D1A6D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ВУБ-2</w:t>
            </w:r>
          </w:p>
        </w:tc>
        <w:tc>
          <w:tcPr>
            <w:tcW w:w="1145" w:type="dxa"/>
          </w:tcPr>
          <w:p w14:paraId="59E2D0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6D58E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06E4D8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45831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w:t>
            </w:r>
          </w:p>
        </w:tc>
        <w:tc>
          <w:tcPr>
            <w:tcW w:w="1134" w:type="dxa"/>
          </w:tcPr>
          <w:p w14:paraId="166608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w:t>
            </w:r>
          </w:p>
        </w:tc>
        <w:tc>
          <w:tcPr>
            <w:tcW w:w="1275" w:type="dxa"/>
          </w:tcPr>
          <w:p w14:paraId="636746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1129</w:t>
            </w:r>
          </w:p>
        </w:tc>
      </w:tr>
      <w:tr w:rsidR="006F4095" w:rsidRPr="008127F8" w14:paraId="3A27B1E4" w14:textId="77777777">
        <w:tc>
          <w:tcPr>
            <w:tcW w:w="1657" w:type="dxa"/>
          </w:tcPr>
          <w:p w14:paraId="381809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Наружная подвеска ИЛ-4</w:t>
            </w:r>
          </w:p>
        </w:tc>
        <w:tc>
          <w:tcPr>
            <w:tcW w:w="1145" w:type="dxa"/>
          </w:tcPr>
          <w:p w14:paraId="0D306A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156DFC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7699A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580</w:t>
            </w:r>
          </w:p>
        </w:tc>
        <w:tc>
          <w:tcPr>
            <w:tcW w:w="1134" w:type="dxa"/>
          </w:tcPr>
          <w:p w14:paraId="6953C0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134" w:type="dxa"/>
          </w:tcPr>
          <w:p w14:paraId="4CFE33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275" w:type="dxa"/>
          </w:tcPr>
          <w:p w14:paraId="4EF8CE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w:t>
            </w:r>
          </w:p>
        </w:tc>
      </w:tr>
      <w:tr w:rsidR="006F4095" w:rsidRPr="008127F8" w14:paraId="3396B7E2" w14:textId="77777777">
        <w:tc>
          <w:tcPr>
            <w:tcW w:w="1657" w:type="dxa"/>
          </w:tcPr>
          <w:p w14:paraId="1FE056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Наружная подвеска ЛИ-2</w:t>
            </w:r>
          </w:p>
        </w:tc>
        <w:tc>
          <w:tcPr>
            <w:tcW w:w="1145" w:type="dxa"/>
          </w:tcPr>
          <w:p w14:paraId="7C61D6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506F64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5C617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134" w:type="dxa"/>
          </w:tcPr>
          <w:p w14:paraId="226B7F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w:t>
            </w:r>
          </w:p>
        </w:tc>
        <w:tc>
          <w:tcPr>
            <w:tcW w:w="1134" w:type="dxa"/>
          </w:tcPr>
          <w:p w14:paraId="111248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w:t>
            </w:r>
          </w:p>
        </w:tc>
        <w:tc>
          <w:tcPr>
            <w:tcW w:w="1275" w:type="dxa"/>
          </w:tcPr>
          <w:p w14:paraId="05694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w:t>
            </w:r>
          </w:p>
        </w:tc>
      </w:tr>
      <w:tr w:rsidR="006F4095" w:rsidRPr="008127F8" w14:paraId="02E05FB6" w14:textId="77777777">
        <w:tc>
          <w:tcPr>
            <w:tcW w:w="1657" w:type="dxa"/>
          </w:tcPr>
          <w:p w14:paraId="38191E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Торпедодержатель 2Т-18</w:t>
            </w:r>
          </w:p>
        </w:tc>
        <w:tc>
          <w:tcPr>
            <w:tcW w:w="1145" w:type="dxa"/>
          </w:tcPr>
          <w:p w14:paraId="36C49B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2F9808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7682DC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212</w:t>
            </w:r>
          </w:p>
        </w:tc>
        <w:tc>
          <w:tcPr>
            <w:tcW w:w="1134" w:type="dxa"/>
          </w:tcPr>
          <w:p w14:paraId="15453C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1134" w:type="dxa"/>
          </w:tcPr>
          <w:p w14:paraId="1C3F52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1275" w:type="dxa"/>
          </w:tcPr>
          <w:p w14:paraId="443D68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822</w:t>
            </w:r>
          </w:p>
        </w:tc>
      </w:tr>
      <w:tr w:rsidR="006F4095" w:rsidRPr="008127F8" w14:paraId="45B991ED" w14:textId="77777777">
        <w:tc>
          <w:tcPr>
            <w:tcW w:w="1657" w:type="dxa"/>
          </w:tcPr>
          <w:p w14:paraId="74C479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Лафет ШВАК на ТУ-2</w:t>
            </w:r>
          </w:p>
        </w:tc>
        <w:tc>
          <w:tcPr>
            <w:tcW w:w="1145" w:type="dxa"/>
          </w:tcPr>
          <w:p w14:paraId="308809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w:t>
            </w:r>
          </w:p>
        </w:tc>
        <w:tc>
          <w:tcPr>
            <w:tcW w:w="1134" w:type="dxa"/>
          </w:tcPr>
          <w:p w14:paraId="6DDE35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00A5EB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w:t>
            </w:r>
          </w:p>
        </w:tc>
        <w:tc>
          <w:tcPr>
            <w:tcW w:w="1134" w:type="dxa"/>
          </w:tcPr>
          <w:p w14:paraId="7852B9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429</w:t>
            </w:r>
          </w:p>
        </w:tc>
        <w:tc>
          <w:tcPr>
            <w:tcW w:w="1134" w:type="dxa"/>
          </w:tcPr>
          <w:p w14:paraId="189BF6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916</w:t>
            </w:r>
          </w:p>
        </w:tc>
        <w:tc>
          <w:tcPr>
            <w:tcW w:w="1275" w:type="dxa"/>
          </w:tcPr>
          <w:p w14:paraId="3242BF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1406</w:t>
            </w:r>
          </w:p>
        </w:tc>
      </w:tr>
      <w:tr w:rsidR="006F4095" w:rsidRPr="008127F8" w14:paraId="1759F806" w14:textId="77777777">
        <w:tc>
          <w:tcPr>
            <w:tcW w:w="1657" w:type="dxa"/>
          </w:tcPr>
          <w:p w14:paraId="7B2017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Блистерная установка на ТУ-2</w:t>
            </w:r>
          </w:p>
        </w:tc>
        <w:tc>
          <w:tcPr>
            <w:tcW w:w="1145" w:type="dxa"/>
          </w:tcPr>
          <w:p w14:paraId="193914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3DE2A4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AD634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134" w:type="dxa"/>
          </w:tcPr>
          <w:p w14:paraId="46B2D1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453</w:t>
            </w:r>
          </w:p>
        </w:tc>
        <w:tc>
          <w:tcPr>
            <w:tcW w:w="1134" w:type="dxa"/>
          </w:tcPr>
          <w:p w14:paraId="5516C3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898</w:t>
            </w:r>
          </w:p>
        </w:tc>
        <w:tc>
          <w:tcPr>
            <w:tcW w:w="1275" w:type="dxa"/>
          </w:tcPr>
          <w:p w14:paraId="654EB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1411</w:t>
            </w:r>
          </w:p>
        </w:tc>
      </w:tr>
      <w:tr w:rsidR="006F4095" w:rsidRPr="008127F8" w14:paraId="0233D481" w14:textId="77777777">
        <w:tc>
          <w:tcPr>
            <w:tcW w:w="1657" w:type="dxa"/>
          </w:tcPr>
          <w:p w14:paraId="718CBE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Аварийный сбрасыватель на ТУ-2</w:t>
            </w:r>
          </w:p>
        </w:tc>
        <w:tc>
          <w:tcPr>
            <w:tcW w:w="1145" w:type="dxa"/>
          </w:tcPr>
          <w:p w14:paraId="3F87F4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5DC2B2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13FB7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134" w:type="dxa"/>
          </w:tcPr>
          <w:p w14:paraId="5481B0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491</w:t>
            </w:r>
          </w:p>
        </w:tc>
        <w:tc>
          <w:tcPr>
            <w:tcW w:w="1134" w:type="dxa"/>
          </w:tcPr>
          <w:p w14:paraId="0E5E52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1275" w:type="dxa"/>
          </w:tcPr>
          <w:p w14:paraId="539E7D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837</w:t>
            </w:r>
          </w:p>
        </w:tc>
      </w:tr>
      <w:tr w:rsidR="006F4095" w:rsidRPr="008127F8" w14:paraId="2E74FD34" w14:textId="77777777">
        <w:tc>
          <w:tcPr>
            <w:tcW w:w="1657" w:type="dxa"/>
          </w:tcPr>
          <w:p w14:paraId="196C07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Кассета ПКД-2</w:t>
            </w:r>
          </w:p>
        </w:tc>
        <w:tc>
          <w:tcPr>
            <w:tcW w:w="1145" w:type="dxa"/>
          </w:tcPr>
          <w:p w14:paraId="60590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516E9A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B36FB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34" w:type="dxa"/>
          </w:tcPr>
          <w:p w14:paraId="27577B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w:t>
            </w:r>
          </w:p>
        </w:tc>
        <w:tc>
          <w:tcPr>
            <w:tcW w:w="1134" w:type="dxa"/>
          </w:tcPr>
          <w:p w14:paraId="622328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w:t>
            </w:r>
          </w:p>
        </w:tc>
        <w:tc>
          <w:tcPr>
            <w:tcW w:w="1275" w:type="dxa"/>
          </w:tcPr>
          <w:p w14:paraId="79CFA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1342</w:t>
            </w:r>
          </w:p>
        </w:tc>
      </w:tr>
      <w:tr w:rsidR="006F4095" w:rsidRPr="008127F8" w14:paraId="49F7EDD2" w14:textId="77777777">
        <w:tc>
          <w:tcPr>
            <w:tcW w:w="1657" w:type="dxa"/>
          </w:tcPr>
          <w:p w14:paraId="592288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Пиропистолет</w:t>
            </w:r>
          </w:p>
        </w:tc>
        <w:tc>
          <w:tcPr>
            <w:tcW w:w="1145" w:type="dxa"/>
          </w:tcPr>
          <w:p w14:paraId="1CE659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Штук</w:t>
            </w:r>
          </w:p>
        </w:tc>
        <w:tc>
          <w:tcPr>
            <w:tcW w:w="1134" w:type="dxa"/>
          </w:tcPr>
          <w:p w14:paraId="4BF696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4E086A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3F8BB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2939</w:t>
            </w:r>
          </w:p>
        </w:tc>
        <w:tc>
          <w:tcPr>
            <w:tcW w:w="1134" w:type="dxa"/>
          </w:tcPr>
          <w:p w14:paraId="682B3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1692</w:t>
            </w:r>
          </w:p>
        </w:tc>
        <w:tc>
          <w:tcPr>
            <w:tcW w:w="1275" w:type="dxa"/>
          </w:tcPr>
          <w:p w14:paraId="5E2845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4631</w:t>
            </w:r>
          </w:p>
        </w:tc>
      </w:tr>
    </w:tbl>
    <w:p w14:paraId="476B705F"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7FC2D99B"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7122FB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660909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03BECF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4A27F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Д-40, ул. Правды, д. 8</w:t>
      </w:r>
    </w:p>
    <w:p w14:paraId="79BF93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458596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3EC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 по приказу № 146с часть ОКБ-1 (33 чел.) и конструкторская бригада ОКБ-2 (6 чел.) и часть коллектива опытного цеха (11 чел.) завода № 32 НКАП были переведены из Кирова в Москву в состав вновь созданного ОКБ завода № 43 НКАП для разработки бомбардировочных, минно-торпедных и стрелковых авиационных установок. При заводе организован также опытный цех.</w:t>
      </w:r>
    </w:p>
    <w:p w14:paraId="32ED28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же по приказу № 272с от 6.05.1943 г. передана часть опытного цеха завода № 32 после перевода ОКБ-2 Можаровского и Веневидова в Москву в состав ОКБ-140 НКАП.</w:t>
      </w:r>
    </w:p>
    <w:p w14:paraId="4F295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конца 1944 г. на завод № 43 из Кирова было полностью переведено ОКБ-32 гл. конструктора И.И. Торопова </w:t>
      </w:r>
      <w:proofErr w:type="gramStart"/>
      <w:r w:rsidRPr="008127F8">
        <w:rPr>
          <w:rFonts w:ascii="Times New Roman" w:hAnsi="Times New Roman"/>
          <w:color w:val="000000" w:themeColor="text1"/>
          <w:sz w:val="16"/>
          <w:szCs w:val="16"/>
        </w:rPr>
        <w:t>( возможно</w:t>
      </w:r>
      <w:proofErr w:type="gramEnd"/>
      <w:r w:rsidRPr="008127F8">
        <w:rPr>
          <w:rFonts w:ascii="Times New Roman" w:hAnsi="Times New Roman"/>
          <w:color w:val="000000" w:themeColor="text1"/>
          <w:sz w:val="16"/>
          <w:szCs w:val="16"/>
        </w:rPr>
        <w:t>,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7F3701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7C3021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5D7559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79F90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(1942-43(</w:t>
      </w:r>
      <w:proofErr w:type="gramStart"/>
      <w:r w:rsidRPr="008127F8">
        <w:rPr>
          <w:rFonts w:ascii="Times New Roman" w:hAnsi="Times New Roman"/>
          <w:color w:val="000000" w:themeColor="text1"/>
          <w:sz w:val="16"/>
          <w:szCs w:val="16"/>
        </w:rPr>
        <w:t>44)г.</w:t>
      </w:r>
      <w:proofErr w:type="gramEnd"/>
      <w:r w:rsidRPr="008127F8">
        <w:rPr>
          <w:rFonts w:ascii="Times New Roman" w:hAnsi="Times New Roman"/>
          <w:color w:val="000000" w:themeColor="text1"/>
          <w:sz w:val="16"/>
          <w:szCs w:val="16"/>
        </w:rPr>
        <w:t>)- А.И. Шульгин, (1944-49 г.)- И.И. Торопов.</w:t>
      </w:r>
    </w:p>
    <w:p w14:paraId="622CBE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(1945-46 г.)- И.П. Шебанов, (1946 г.)- В.И. Ермилов.</w:t>
      </w:r>
    </w:p>
    <w:p w14:paraId="6993AE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(1945-46 г.)- И.П. Шебанов.</w:t>
      </w:r>
    </w:p>
    <w:p w14:paraId="618DD1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держатели ПКД-2М, Дер-3-44, Дер-4-44 для Ту-2 (10776).</w:t>
      </w:r>
    </w:p>
    <w:p w14:paraId="189BF4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F02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февраля 1942 г. в соответствии с приказом НКАП №146 на заводе № 43 было организовано ОКБ-43 НКАП для разработки бомбардировочных, минно-торпедных и стрелковых авиаустановок, для чего с завода №32 НКАП (г. Киров) были переведены часть ОКБ-1 гл.к. А.И.Шульгина (33 чел.), бригада из состава ОКБ-2 и часть коллектива опытного цеха. Гл.к. завода №43 назначен А.И.Шульгин. При заводе орг. опытный цех. </w:t>
      </w:r>
    </w:p>
    <w:p w14:paraId="3937FA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исполнение приказа НКАП №272 от 6.5.43 г. в состав ОКБ завода №43 была переведана из г.Кирова часть оборудования и личного состава опытного цеха завода №32 НКАП ввиду реэвакуации ОКБ-2 гл.к. Г.М.Можаровского и И.В.Веневидова. </w:t>
      </w:r>
    </w:p>
    <w:p w14:paraId="338FC3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2D4348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094C70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4963F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308F2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54A8A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FD6FB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553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 на заводе № 112 "Красное Сормово", где также были разработаны вари</w:t>
      </w:r>
      <w:r w:rsidRPr="008127F8">
        <w:rPr>
          <w:rFonts w:ascii="Times New Roman" w:hAnsi="Times New Roman"/>
          <w:color w:val="000000" w:themeColor="text1"/>
          <w:sz w:val="16"/>
          <w:szCs w:val="16"/>
        </w:rPr>
        <w:softHyphen/>
        <w:t>анты экранировки танка Т-34-76, была изготовлена первая башня с составной броней, а 25 февраля - первый усиленный корпус. Но как уже отмечалось ранее, 23 февраля 1942 г. постановлени</w:t>
      </w:r>
      <w:r w:rsidRPr="008127F8">
        <w:rPr>
          <w:rFonts w:ascii="Times New Roman" w:hAnsi="Times New Roman"/>
          <w:color w:val="000000" w:themeColor="text1"/>
          <w:sz w:val="16"/>
          <w:szCs w:val="16"/>
        </w:rPr>
        <w:softHyphen/>
        <w:t>ем ГКО экранировка лобовой части танка Т-34 была отменена. Таким образом, завод № 183, израсходовав задел корпусов с составной броней, в начале марта прекратил производство танков Т-34-76 с усиленным бронированием. СТЗ до февраля 1942 г. выпустил около 200 танков с усиленным бронированием, а завод № 112 изготовил 80 корпусов и 109 башен с составной броней. Кроме того, к 1 марта 1942 г. на заводе № 112 было отлито 8 башен с утолщенными до 75 мм стенками, которые были установлены на серийные Машины (10703).</w:t>
      </w:r>
    </w:p>
    <w:p w14:paraId="46E762D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7DA40"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года на заводе № 112 изготовили первую экранированную башню, а четыре дня спустя - 25 февраля сдали первый экранированный корпус. Несмотря на постановление о прекращении работ по экранировке, по отчету завода № 112 «Красное Сормово» в 1942 году из заготовленного задела собрали 80 экранированных корпусов и 109 башен. Кроме того, к 1 марта 1942 года в качестве эксперимента здесь отлили 8 башен со стенками толщиной 75 мм, которые также установили на серийные тридцатьчетверки (12217).</w:t>
      </w:r>
    </w:p>
    <w:p w14:paraId="4F0CA4A9"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3315D850"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w:t>
      </w:r>
    </w:p>
    <w:p w14:paraId="681844A2"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83 лист 203</w:t>
      </w:r>
    </w:p>
    <w:p w14:paraId="060DF750"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23.II.42 г. № 11</w:t>
      </w:r>
    </w:p>
    <w:p w14:paraId="60D56039" w14:textId="2988DFB3"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С.Секретно.</w:t>
      </w:r>
      <w:r w:rsidR="008127F8">
        <w:rPr>
          <w:rFonts w:ascii="Times New Roman" w:hAnsi="Times New Roman"/>
          <w:color w:val="000000" w:themeColor="text1"/>
          <w:sz w:val="16"/>
          <w:szCs w:val="16"/>
        </w:rPr>
        <w:t xml:space="preserve">  </w:t>
      </w:r>
    </w:p>
    <w:p w14:paraId="74D95254"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503868BC"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1F16D6D4"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217-мсс</w:t>
      </w:r>
    </w:p>
    <w:p w14:paraId="4A3C5762"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7F138AD"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w:t>
      </w:r>
    </w:p>
    <w:p w14:paraId="4C17F1CE" w14:textId="63260CC1"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от 20.II-1942 г. № ГОКО-1312сс ПРИКАЗЫВАЮ:</w:t>
      </w:r>
      <w:r w:rsidR="008127F8">
        <w:rPr>
          <w:rFonts w:ascii="Times New Roman" w:hAnsi="Times New Roman"/>
          <w:color w:val="000000" w:themeColor="text1"/>
          <w:sz w:val="16"/>
          <w:szCs w:val="16"/>
        </w:rPr>
        <w:t xml:space="preserve">  </w:t>
      </w:r>
    </w:p>
    <w:p w14:paraId="4DA44513" w14:textId="12C45A62"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 изменение п. 11 моего приказа № 150м-сс от 1 февраля 1942 г. директору Сталинградского тракторного завода т. Задорожному освободить от работы на СТЗ весь личный состав 35 и 152 ремонтно-восстановительных батальонов и передать его в распоряжение Военного Совета Южного фронта.</w:t>
      </w:r>
      <w:r w:rsidR="008127F8">
        <w:rPr>
          <w:rFonts w:ascii="Times New Roman" w:hAnsi="Times New Roman"/>
          <w:color w:val="000000" w:themeColor="text1"/>
          <w:sz w:val="16"/>
          <w:szCs w:val="16"/>
        </w:rPr>
        <w:t xml:space="preserve">  </w:t>
      </w:r>
    </w:p>
    <w:p w14:paraId="31FAD08E"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СТЗ т. Задорожному учесть, что Государственный Комитет Обороны обязал НКО т. Щаденко мобилизовать 450 человек, имеющих специальность слесарей, токарей, сварщиков и направить до 15 марта на Сталинградский тракторный завод для работы по производству и ремонту танков до конца 1942 г.</w:t>
      </w:r>
    </w:p>
    <w:p w14:paraId="7E1FAB94"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20063E5C"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2A9310FC" w14:textId="77777777" w:rsidR="00C35F0B" w:rsidRPr="008127F8" w:rsidRDefault="00C35F0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(18425).</w:t>
      </w:r>
    </w:p>
    <w:p w14:paraId="66FF6AE9" w14:textId="77777777" w:rsidR="00C35F0B" w:rsidRPr="008127F8" w:rsidRDefault="00C35F0B" w:rsidP="001E0A84">
      <w:pPr>
        <w:spacing w:after="0" w:line="240" w:lineRule="auto"/>
        <w:jc w:val="both"/>
        <w:rPr>
          <w:rFonts w:ascii="Times New Roman" w:hAnsi="Times New Roman"/>
          <w:color w:val="000000" w:themeColor="text1"/>
          <w:sz w:val="16"/>
          <w:szCs w:val="16"/>
        </w:rPr>
      </w:pPr>
    </w:p>
    <w:p w14:paraId="6FB564E7"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С 21 по 24 февраля 1942 года проходили огневые испытания орудия ЗИС-19, установленного в танке Т-60. Всего был произведен 181 выстрел на различных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удовлетворительная. Усилия на маховиках подъёмного и поворотного механизмов не превышали установленных норм. Вместе с тем, к установке ЗИС-19 в башне Т-60 имелись претензии в плане удобства её использования. Из-за ограниченных размеров башни наводчик внутри не мог ни выпрямиться, ни встать. Установку сидения признали неудобной, вместо него предлагалось использовать седлообразное сидение, откидывающееся назад (17468).</w:t>
      </w:r>
    </w:p>
    <w:p w14:paraId="1CECE037" w14:textId="77777777" w:rsidR="00CB6E72" w:rsidRPr="008127F8" w:rsidRDefault="00CB6E72" w:rsidP="001E0A84">
      <w:pPr>
        <w:pStyle w:val="af"/>
        <w:spacing w:before="0" w:after="0"/>
        <w:jc w:val="both"/>
        <w:rPr>
          <w:color w:val="000000" w:themeColor="text1"/>
          <w:sz w:val="16"/>
          <w:szCs w:val="16"/>
        </w:rPr>
      </w:pPr>
    </w:p>
    <w:p w14:paraId="46625FD8"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 21 по 24 февраля 1942 года проходили огневые испытания пушки ЗИС-19 в Т-60 К тому моменту башню с пушкой установили на Т-60 (примечательно, что танк, поданный с ГАЗ еще 10 декабря 1941 года, имел литые опор</w:t>
      </w:r>
      <w:r w:rsidRPr="008127F8">
        <w:rPr>
          <w:rFonts w:eastAsia="Calibri"/>
          <w:color w:val="000000" w:themeColor="text1"/>
          <w:sz w:val="16"/>
          <w:szCs w:val="16"/>
        </w:rPr>
        <w:softHyphen/>
        <w:t>ные катки и ленивцы). Всего был произведен 181 выстрел на различ</w:t>
      </w:r>
      <w:r w:rsidRPr="008127F8">
        <w:rPr>
          <w:rFonts w:eastAsia="Calibri"/>
          <w:color w:val="000000" w:themeColor="text1"/>
          <w:sz w:val="16"/>
          <w:szCs w:val="16"/>
        </w:rPr>
        <w:softHyphen/>
        <w:t>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w:t>
      </w:r>
      <w:r w:rsidRPr="008127F8">
        <w:rPr>
          <w:rFonts w:eastAsia="Calibri"/>
          <w:color w:val="000000" w:themeColor="text1"/>
          <w:sz w:val="16"/>
          <w:szCs w:val="16"/>
        </w:rPr>
        <w:softHyphen/>
        <w:t>летворительная. Усилия на маховиках подъемного и поворотного меха</w:t>
      </w:r>
      <w:r w:rsidRPr="008127F8">
        <w:rPr>
          <w:rFonts w:eastAsia="Calibri"/>
          <w:color w:val="000000" w:themeColor="text1"/>
          <w:sz w:val="16"/>
          <w:szCs w:val="16"/>
        </w:rPr>
        <w:softHyphen/>
        <w:t>низмов не превышали установленные нормы. Вместе с тем к установкеЗИС-19 в башне Т-60 имелись претензии в плане удобства ее исполь</w:t>
      </w:r>
      <w:r w:rsidRPr="008127F8">
        <w:rPr>
          <w:rFonts w:eastAsia="Calibri"/>
          <w:color w:val="000000" w:themeColor="text1"/>
          <w:sz w:val="16"/>
          <w:szCs w:val="16"/>
        </w:rPr>
        <w:softHyphen/>
        <w:t>зования. Ввиду ограниченных размеров башни наводчик внутри не мог ни выпрямиться, ни встать. Установку сидения признали неудобной, вместо него предлагалось седлообразное сидение, откидывающееся назад. Было высказано предложение закрыть погон башни гладкой па</w:t>
      </w:r>
      <w:r w:rsidRPr="008127F8">
        <w:rPr>
          <w:rFonts w:eastAsia="Calibri"/>
          <w:color w:val="000000" w:themeColor="text1"/>
          <w:sz w:val="16"/>
          <w:szCs w:val="16"/>
        </w:rPr>
        <w:softHyphen/>
        <w:t>нелью, чтобы наводчик не цеплялся за выступающие части.</w:t>
      </w:r>
    </w:p>
    <w:p w14:paraId="4703AE58"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заключение был сделан следующий вывод:</w:t>
      </w:r>
    </w:p>
    <w:p w14:paraId="73444DBE"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Производство системы ЗИС-19 по сравнению с 45-мм танковой пушкой значительно дешевле, требует меньше затрат станков и ручного труда, так как 37-мм танковая пушка имеет в несколько раз меньше де</w:t>
      </w:r>
      <w:r w:rsidRPr="008127F8">
        <w:rPr>
          <w:rFonts w:ascii="Times New Roman" w:hAnsi="Times New Roman"/>
          <w:color w:val="000000" w:themeColor="text1"/>
          <w:sz w:val="16"/>
          <w:szCs w:val="16"/>
        </w:rPr>
        <w:softHyphen/>
        <w:t>талей, к тому же более простых в изготовлении.</w:t>
      </w:r>
    </w:p>
    <w:p w14:paraId="1E6761D2"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это вместе взятое позволяет значительно увеличить выпуск тан</w:t>
      </w:r>
      <w:r w:rsidRPr="008127F8">
        <w:rPr>
          <w:rFonts w:ascii="Times New Roman" w:hAnsi="Times New Roman"/>
          <w:color w:val="000000" w:themeColor="text1"/>
          <w:sz w:val="16"/>
          <w:szCs w:val="16"/>
        </w:rPr>
        <w:softHyphen/>
        <w:t>ковых пушек в массовом производстве.</w:t>
      </w:r>
    </w:p>
    <w:p w14:paraId="7F206910" w14:textId="77777777" w:rsidR="00CB6E72" w:rsidRPr="008127F8" w:rsidRDefault="00CB6E72" w:rsidP="001E0A84">
      <w:pPr>
        <w:tabs>
          <w:tab w:val="left" w:pos="295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Имея </w:t>
      </w:r>
      <w:proofErr w:type="gramStart"/>
      <w:r w:rsidRPr="008127F8">
        <w:rPr>
          <w:rFonts w:ascii="Times New Roman" w:hAnsi="Times New Roman"/>
          <w:color w:val="000000" w:themeColor="text1"/>
          <w:sz w:val="16"/>
          <w:szCs w:val="16"/>
        </w:rPr>
        <w:t>согласно расчета</w:t>
      </w:r>
      <w:proofErr w:type="gramEnd"/>
      <w:r w:rsidRPr="008127F8">
        <w:rPr>
          <w:rFonts w:ascii="Times New Roman" w:hAnsi="Times New Roman"/>
          <w:color w:val="000000" w:themeColor="text1"/>
          <w:sz w:val="16"/>
          <w:szCs w:val="16"/>
        </w:rPr>
        <w:t xml:space="preserve"> почти одинаковую бронепробиваемость, что и 45-мм танковая пушка, ЗИС-19 позволяет возить в танке большее ко</w:t>
      </w:r>
      <w:r w:rsidRPr="008127F8">
        <w:rPr>
          <w:rFonts w:ascii="Times New Roman" w:hAnsi="Times New Roman"/>
          <w:color w:val="000000" w:themeColor="text1"/>
          <w:sz w:val="16"/>
          <w:szCs w:val="16"/>
        </w:rPr>
        <w:softHyphen/>
        <w:t>личество боеприпасов вследствие меньшего веса и габаритов 37-мм па</w:t>
      </w:r>
      <w:r w:rsidRPr="008127F8">
        <w:rPr>
          <w:rFonts w:ascii="Times New Roman" w:hAnsi="Times New Roman"/>
          <w:color w:val="000000" w:themeColor="text1"/>
          <w:sz w:val="16"/>
          <w:szCs w:val="16"/>
        </w:rPr>
        <w:softHyphen/>
        <w:t>тронов.</w:t>
      </w:r>
    </w:p>
    <w:p w14:paraId="196B785C" w14:textId="77777777" w:rsidR="00CB6E72" w:rsidRPr="008127F8" w:rsidRDefault="00CB6E72" w:rsidP="001E0A84">
      <w:pPr>
        <w:tabs>
          <w:tab w:val="left" w:pos="2929"/>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37-мм танковая пушка ЗИС-19 может быть представлена на госу</w:t>
      </w:r>
      <w:r w:rsidRPr="008127F8">
        <w:rPr>
          <w:rFonts w:ascii="Times New Roman" w:hAnsi="Times New Roman"/>
          <w:color w:val="000000" w:themeColor="text1"/>
          <w:sz w:val="16"/>
          <w:szCs w:val="16"/>
        </w:rPr>
        <w:softHyphen/>
        <w:t>дарственные испытания» (17485).</w:t>
      </w:r>
    </w:p>
    <w:p w14:paraId="4AF52A7A" w14:textId="77777777" w:rsidR="00CB6E72" w:rsidRPr="008127F8" w:rsidRDefault="00CB6E72" w:rsidP="001E0A84">
      <w:pPr>
        <w:pStyle w:val="Bodytext141"/>
        <w:shd w:val="clear" w:color="auto" w:fill="auto"/>
        <w:spacing w:line="240" w:lineRule="auto"/>
        <w:ind w:firstLine="0"/>
        <w:jc w:val="both"/>
        <w:rPr>
          <w:i w:val="0"/>
          <w:color w:val="000000" w:themeColor="text1"/>
          <w:sz w:val="16"/>
          <w:szCs w:val="16"/>
        </w:rPr>
      </w:pPr>
    </w:p>
    <w:p w14:paraId="00C7CD01" w14:textId="77777777" w:rsidR="00864E80" w:rsidRPr="008127F8" w:rsidRDefault="00864E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21 февраля 1942 года начались испытания пушки ЗИС-19 на Т-60 и продолжались они до 24 числа. Далее было еще две серии стрельб - 12 и 20 марта. В ходе первого этапа стрельб наблюдалась слабая экстракция гильз. Поэтому орудие доработали, в частности, силу пружина накатника увеличили на 50 кг. Также пришлось доработать башню: убрать триплекс с заднего смотрового прибора и ограждение кормовой части погона, для стопорения орудия по-походному к крыше башни приварили ушко, переделали крепление сиденья. Всего было произведен 181 выстрел на различных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удовлетворительная. Усилия на маховиках подъемного и поворотного механизмов не превышали установленные нормы. Впрочем, изучение боевого отделения показало, что внутри башни Т-60 стало очень тесно. Выводы оказались очень похожи на то, что часто встречались на опытных системах ЦАКБ. То есть пушка влезла, стрелять можно, но расчет страдает (22879).</w:t>
      </w:r>
    </w:p>
    <w:p w14:paraId="0C10468E" w14:textId="77777777" w:rsidR="00864E80" w:rsidRPr="008127F8" w:rsidRDefault="00864E80" w:rsidP="001E0A84">
      <w:pPr>
        <w:spacing w:after="0" w:line="240" w:lineRule="auto"/>
        <w:jc w:val="both"/>
        <w:rPr>
          <w:rFonts w:ascii="Times New Roman" w:hAnsi="Times New Roman"/>
          <w:color w:val="000000" w:themeColor="text1"/>
          <w:sz w:val="16"/>
          <w:szCs w:val="16"/>
        </w:rPr>
      </w:pPr>
    </w:p>
    <w:p w14:paraId="3A6B67FB" w14:textId="77777777" w:rsidR="00630310" w:rsidRPr="008127F8" w:rsidRDefault="0063031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21 по 24 февраля 1942 года проходили Огневые испытания орудия ЗИС-19, установленного в танке Т-60. Всего был произведен 181 выстрел на различных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удовлетворительная. Усилия на маховиках подъёмного и поворотного механизмов не превышали установленных норм. Вместе с тем, к установке ЗИС-19 в башне Т-60 имелись претензии в плане удобства её использования. Из-за ограниченных размеров башни наводчик внутри не мог ни выпрямиться, ни встать. Установку сидения признали неудобной, вместо него предлагалось использовать седлообразное сидение, откидывающееся назад (17636).</w:t>
      </w:r>
    </w:p>
    <w:p w14:paraId="4580E3F9" w14:textId="77777777" w:rsidR="00630310" w:rsidRPr="008127F8" w:rsidRDefault="00630310" w:rsidP="001E0A84">
      <w:pPr>
        <w:pStyle w:val="12a"/>
        <w:shd w:val="clear" w:color="auto" w:fill="auto"/>
        <w:spacing w:after="0" w:line="240" w:lineRule="auto"/>
        <w:jc w:val="both"/>
        <w:rPr>
          <w:color w:val="000000" w:themeColor="text1"/>
          <w:sz w:val="16"/>
          <w:szCs w:val="16"/>
        </w:rPr>
      </w:pPr>
    </w:p>
    <w:p w14:paraId="7CB68E7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23 февраля 1942 БА-64-125 прошел по</w:t>
      </w:r>
      <w:r w:rsidRPr="008127F8">
        <w:rPr>
          <w:rFonts w:ascii="Times New Roman" w:hAnsi="Times New Roman"/>
          <w:color w:val="000000" w:themeColor="text1"/>
          <w:sz w:val="16"/>
          <w:szCs w:val="16"/>
        </w:rPr>
        <w:softHyphen/>
        <w:t>лигонные испытания на Софринском полигоне и полигоне завода № 8. Ведущим инженером машины был Г.М. Вассермап (10703).</w:t>
      </w:r>
    </w:p>
    <w:p w14:paraId="028532B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87B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1316 О восстановлении Народного комиссариата станкостроения. РГАНИР, Фонд ГКО, д. 21, лл. 136 (11012).</w:t>
      </w:r>
    </w:p>
    <w:p w14:paraId="3995FF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6E905"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года (РГАСПИ. Ф. 644. Оп. 1. Д. 21. Л. 136) по постановлению ГКО №1316 был восстановлен НКСМ. Часть заводов НКТП из первой группы к этому моменту уже влилась после эвакуации в предприятия НКТП, к которым они были прикреплены. Так, заводы «Красный пролетарий» и № 7 шлифовальных станков были эвакуированы на территорию Кировского завода в Челябинске, где влились в его состав (История Второй мировой войны 1939-1945. Т. 5. М., 1975. С. 43). Завод № 184 им. Орджоникидзе во время эвакуации как минимум часть своей рабочей силы и оборудования передал заводу № 183 (РГАЭ. Ф. 8798. Оп. 4. Д. 17. Л. 138). Возможно, другие заводы НКСС тоже передали часть оборудования и рабочей силы танкостроительным предприятиям, расширив их производственную базу. В 1943 году некоторые из предприятий наркомата станкостроения вновь вернулись в состав НКТП. Тогда наркомату были переданы завод имени КПФ и Саратовский завод зуборезных станков, а также завод № 222, который в период войны производил танковые огнемёты (12290).</w:t>
      </w:r>
    </w:p>
    <w:p w14:paraId="69064758"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30EBF5B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1317 [О подготовке решений по увеличению выработки бензина, авиамасел и керосина; об увеличении вывоза нефтепродуктов из Баку и Грозного.] (7022, 137).</w:t>
      </w:r>
    </w:p>
    <w:p w14:paraId="673DC21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4C0C6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1318 [Об упразднении института уполномоченных НКПС по фронтам.] (7022, 138).</w:t>
      </w:r>
    </w:p>
    <w:p w14:paraId="4B84A4A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ADA7A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1319 О поставке дров для железных дорог. (7022, 139-146,147-151).</w:t>
      </w:r>
    </w:p>
    <w:p w14:paraId="3306B89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384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1322 О неотложных мерах помощи черной металлургии. РГАНИР, Фонд ГКО, д. 21, лл. 154-171, 172-186 (11012).</w:t>
      </w:r>
    </w:p>
    <w:p w14:paraId="6A560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F53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Распоряжение ГКО. № 1324 О возвращении НКВМФ здания гаража в Москве от НКМВ. РГАНИР, Фонд ГКО, д. 21, лл. 188 (11012).</w:t>
      </w:r>
    </w:p>
    <w:p w14:paraId="6CB0CA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3B27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6F14B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EF2A4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7F35572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21 февраля наши войска продолжали вести активные боевые действия против немецко-фашистских войск.</w:t>
      </w:r>
    </w:p>
    <w:p w14:paraId="3C5E6FE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Миронова за две недели боёв с противником захватила 4 немецких самолёта, 14 орудий, 16 пулемётов, 3 миномёта, 38 грузовых и 13 легковых автомашин, 4 вездехода, 6 мотоциклов, 35 велосипедов, много снарядов, патронов и другого военного имущества.</w:t>
      </w:r>
    </w:p>
    <w:p w14:paraId="0DF6E16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Ленинградского фронта, за последние дни уничтожили 49 вражеских ДЗОТов, 50 блиндажей и землянок, 16 орудий, 6 станковых пулемётов, миномётную батарею. В боях захвачено 4 полевых и 15 противотанковых немецких орудий, 32 миномёта, 60 пулемётов и много других трофеев. Среди них полковое знамя и сумка с секретными документами немецкого полка. Взяты пленные. Противник потерял убитыми 1.200 солдат и офицеров.</w:t>
      </w:r>
    </w:p>
    <w:p w14:paraId="533318D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прикрытием огня разведчиков красноармеец тов. Пономарёв подполз к вражескому блиндажу и взорвал его минами. Под развалинами блиндажа погибло 15 немецких солдат и офицер.</w:t>
      </w:r>
    </w:p>
    <w:p w14:paraId="6A4DE9A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отделения тов. Изотьев за два дня боёв на одном из участков Юго-Западного фронта метким огнём из пулемёта уничтожил несколько десятков солдат и офицеров противника. Капитан Орлов в одной рукопашной схватке с противником истребил 8 гитлеровцев.</w:t>
      </w:r>
    </w:p>
    <w:p w14:paraId="4A0A29F9"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оккупированных немцами районов Украины активно действует партизанский отряд под командованием тов. Ч. Недавно бойцы этого отряда совершили успешное нападение на село Б., в котором расположилась на ночь одна немецкая часть. Подойдя к селу, партизаны разбились на мелкие группы по 3—4 человека и атаковали немцев с разных сторон. В окна домов, занятых немцами, полетели гранаты. Воспользовавшись паникой среди гитлеровцев, партизаны уничтожили более 60 вражеских солдат и офицеров, обоз противника и захватили два портфеля с важными документами.</w:t>
      </w:r>
    </w:p>
    <w:p w14:paraId="02F92208"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5 роты 330 полка 183 пехотной дивизии Фриц Щульц рассказал: «В ночь на 30 января обер-лейтенант командир 5 роты Гельмбергер построил роту и сказал, что по приказу командования мы должны во что бы то ни стало взять деревню Ш. Деревню мы не взяли — рота была уничтожена, а нас пятерых, оставшихся в живых, русские взяли в плен. Таким образом, 30 января от 5 роты остался только бесславный номер. Большие потери понёс весь батальон. В нём не осталось и 30 процентов личного состава».</w:t>
      </w:r>
    </w:p>
    <w:p w14:paraId="2A9B47F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Малое Балынтово, Дзержинского района, Смоленской области, немецко-фашистские мерзавцы заперли в подвале и сожгли инвалида М.В.Мариничева, его жену М.В.Мариничеву и их детей: Ивана— 10 лет, Петра—6 лет, Владимира—полутора лет и Леонида — двух месяцев. В другом погребе немецко-фашистские мерзавцы заживо сожгли колхозницу Е.К.Родину, её мать Татьяну Алексеевну—67 лет, дочь Аграфену—12 лет, сына Георгия—10 лет, дочерей — Анастасию—8 лет, Анну—6 лет и сына Анатолия— 2 лет.</w:t>
      </w:r>
    </w:p>
    <w:p w14:paraId="2224143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Молодёжь одного из заводов, освоивших производство боевых машин, обязалась выпустить ко Дню Красной Армии две машины сверх плана. Бригады сборщиков, руководимые тт. Винокуровым и Нинуа, работали, не считаясь со временем. Своё обязательство молодёжь выполнила досрочно. Сейчас собирается третья боевая машина сверх плана.» (15047).</w:t>
      </w:r>
    </w:p>
    <w:p w14:paraId="5D2851C7"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6ED62A4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29214169"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февраля наши войска вели упорные бои против немецко-фашистских войск, продвинулись вперёд и заняли несколько населённых пунктов.</w:t>
      </w:r>
    </w:p>
    <w:p w14:paraId="7BD71B9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февраля сбито в воздушных боях 14 самолётов и уничтожено на аэродромах 11 самолётов противника. Всего за этот день уничтожено 25 немецких самолётов. Наши потери—3 самолёта.</w:t>
      </w:r>
    </w:p>
    <w:p w14:paraId="064AE792"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февраля под Москвой сбито 3 немецких самолета.</w:t>
      </w:r>
    </w:p>
    <w:p w14:paraId="02A2930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февраля частями нашей авиации уничтожено и повреждено 14 немецких танков, 475 автомашин с войсками и грузами, 165 повозок с боеприпасами и войсками, 5 автоцистерн с горючим, 22 орудия, 33 зенитно-пулемётные точки, 9 пулемётов, 8 миномётов, взорвано два склада с боеприпасами и склад с горючим, разбито 5 железнодорожных вагонов и 2 паровоза, рассеяно и частично уничтожено до 4 батальонов пехоты противника.</w:t>
      </w:r>
    </w:p>
    <w:p w14:paraId="31EE1B0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под командованием А. П. Белобородова (Западный фронт) успешно отбила контратаку вражеского пехотного полка, поддержанного 6 танками. Противник оставил на поле боя до 100 убитых солдат и офицеров. На другом участке артиллеристы части, которой командует тов. Кузнецов, 20 февраля взорвали немецкий склад с горючим, уничтожили миномётную батарею, 5 автомашин с воинским грузом и подбили 2 вражеских танка.</w:t>
      </w:r>
    </w:p>
    <w:p w14:paraId="168EAB18"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подразделений под командой т.т. Козлова и Ломоносова (Юго-Западный фронт) внезапным ударом выбили немцев из одного населённого пункта. Гитлеровцы пытались вернуть потерянные позиции и предприняли танковую контратаку, которая была отбита мощным огнём советской артиллерии. В бою противник потерял убитыми до 400 солдат и офицеров.</w:t>
      </w:r>
    </w:p>
    <w:p w14:paraId="7A4664E6"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 в ожесточённом бою с противником захватила 6 вражеских пулемётов, до 1.000 гранат и другие трофеи. Противник потерял около 80 солдат и офицеров.</w:t>
      </w:r>
    </w:p>
    <w:p w14:paraId="7999B9B2"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действующего на территории Орловской области партизанского отряда под командованием тов. Д. за последние дни взорвали два немецких железнодорожных эшелона с боеприпасами и уничтожили восстановленный немцами крупный железнодорожный мост у станции П.</w:t>
      </w:r>
    </w:p>
    <w:p w14:paraId="1975E278"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частями захвачено адресованное командиру 481 немецкого пехотного полка «Особое донесение о положении во 2 батальоне». В этом донесении командир батальона указывает, что для восстановления боеспособности подразделения требуется: «...B первую очередь — пополнение стрелками, так как ротам грозит опасность остаться без стрелков... Решающим является вопрос о командовании. В качестве командиров взводов необходимы оптимистические офицеры. Боевой опыт их менее важен, чем крепкие нервы». В заключение командир батальона отмечает: «Настроение в части крайне неважное, главным образом из-за того, что война затянулась и конца её ещё не видно. Нынешнее настроение солдат, по моему мнению, приближается к настроению солдат германской армии в 1917—1918 г.г.».</w:t>
      </w:r>
    </w:p>
    <w:p w14:paraId="5A7DD25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гитлеровскому батальону, кроме стрелков, кроме офицеров с крепкими нервами, кроме обмундирования и продовольствия, нехватает ещё бодрости, энтузиазма и желания воевать.</w:t>
      </w:r>
    </w:p>
    <w:p w14:paraId="27FBF92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Чехословацкие патриоты ведут упорную борьбу против немецких захватчиков. На днях на одном из заводов в Брно (Чехословакия), изготовляющем вооружение для германской армии, ночью была повреждена заводская электроподстанция. В результате все цехи завода не работали в течение 14 часов. Через день в цехе сборки пулемётов этого же завода произошёл сильный взрыв. Оборудование цеха приведено в негодность. В окрестностях Брно пущен под откос поезд с военным снаряжением и танками.</w:t>
      </w:r>
    </w:p>
    <w:p w14:paraId="0893007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Молодёжная бригада промысла № 4 бакинского треста «Молотовнефть» в течение выходного дня отремонтировала долго бездействовавшую скважину. После ремонта скважина даёт в сутки 6 тонн лёгкой нефти.» (15047).</w:t>
      </w:r>
    </w:p>
    <w:p w14:paraId="0A851219"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74F35B70" w14:textId="60792D98" w:rsidR="00E92EDC" w:rsidRPr="008127F8" w:rsidRDefault="00E92ED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6</w:t>
      </w:r>
      <w:r w:rsidRPr="008127F8">
        <w:rPr>
          <w:rFonts w:ascii="Times New Roman" w:hAnsi="Times New Roman"/>
          <w:color w:val="000000" w:themeColor="text1"/>
          <w:sz w:val="16"/>
          <w:szCs w:val="16"/>
        </w:rPr>
        <w:noBreakHyphen/>
        <w:t>й гв. шап был передан в состав ВВС Калининского фронта. Он участвовал в боях в районе Ржева и Вязьмы, нанося удары по немецким войскам и аэродромам. Полк снова понес тяжелейшие потери. Уже к 3 апреля в нем осталось лишь три пригодных для боевых вылетов Ил</w:t>
      </w:r>
      <w:r w:rsidRPr="008127F8">
        <w:rPr>
          <w:rFonts w:ascii="Times New Roman" w:hAnsi="Times New Roman"/>
          <w:color w:val="000000" w:themeColor="text1"/>
          <w:sz w:val="16"/>
          <w:szCs w:val="16"/>
        </w:rPr>
        <w:noBreakHyphen/>
        <w:t>2, и полк снова был отозван в тыл для пополнения.</w:t>
      </w:r>
    </w:p>
    <w:p w14:paraId="3707D81E" w14:textId="6C63E370" w:rsidR="00E92EDC" w:rsidRPr="008127F8" w:rsidRDefault="00E92ED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июня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6</w:t>
      </w:r>
      <w:r w:rsidRPr="008127F8">
        <w:rPr>
          <w:rFonts w:ascii="Times New Roman" w:hAnsi="Times New Roman"/>
          <w:color w:val="000000" w:themeColor="text1"/>
          <w:sz w:val="16"/>
          <w:szCs w:val="16"/>
        </w:rPr>
        <w:noBreakHyphen/>
        <w:t>й гв. шап вошел во вновь сформированную 264</w:t>
      </w:r>
      <w:r w:rsidRPr="008127F8">
        <w:rPr>
          <w:rFonts w:ascii="Times New Roman" w:hAnsi="Times New Roman"/>
          <w:color w:val="000000" w:themeColor="text1"/>
          <w:sz w:val="16"/>
          <w:szCs w:val="16"/>
        </w:rPr>
        <w:noBreakHyphen/>
        <w:t>ю шад генерал</w:t>
      </w:r>
      <w:r w:rsidRPr="008127F8">
        <w:rPr>
          <w:rFonts w:ascii="Times New Roman" w:hAnsi="Times New Roman"/>
          <w:color w:val="000000" w:themeColor="text1"/>
          <w:sz w:val="16"/>
          <w:szCs w:val="16"/>
        </w:rPr>
        <w:noBreakHyphen/>
        <w:t xml:space="preserve">майора Н.Ф. Папивина. Однако уже в середине сентября того же,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он получил статус отдельного штурмового полка в составе 3</w:t>
      </w:r>
      <w:r w:rsidRPr="008127F8">
        <w:rPr>
          <w:rFonts w:ascii="Times New Roman" w:hAnsi="Times New Roman"/>
          <w:color w:val="000000" w:themeColor="text1"/>
          <w:sz w:val="16"/>
          <w:szCs w:val="16"/>
        </w:rPr>
        <w:noBreakHyphen/>
        <w:t>й воздушной армии и стал обозначаться как 6</w:t>
      </w:r>
      <w:r w:rsidRPr="008127F8">
        <w:rPr>
          <w:rFonts w:ascii="Times New Roman" w:hAnsi="Times New Roman"/>
          <w:color w:val="000000" w:themeColor="text1"/>
          <w:sz w:val="16"/>
          <w:szCs w:val="16"/>
        </w:rPr>
        <w:noBreakHyphen/>
        <w:t xml:space="preserve">й гв. ошап. В этом качестве он действовал вплоть до мая </w:t>
      </w:r>
      <w:proofErr w:type="gramStart"/>
      <w:r w:rsidRPr="008127F8">
        <w:rPr>
          <w:rFonts w:ascii="Times New Roman" w:hAnsi="Times New Roman"/>
          <w:color w:val="000000" w:themeColor="text1"/>
          <w:sz w:val="16"/>
          <w:szCs w:val="16"/>
        </w:rPr>
        <w:t>1944</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когда его включили в 335</w:t>
      </w:r>
      <w:r w:rsidRPr="008127F8">
        <w:rPr>
          <w:rFonts w:ascii="Times New Roman" w:hAnsi="Times New Roman"/>
          <w:color w:val="000000" w:themeColor="text1"/>
          <w:sz w:val="16"/>
          <w:szCs w:val="16"/>
        </w:rPr>
        <w:noBreakHyphen/>
        <w:t>ю шад полковника С.С. Александрова (23199).</w:t>
      </w:r>
    </w:p>
    <w:p w14:paraId="42FAB743" w14:textId="77777777" w:rsidR="00E92EDC" w:rsidRPr="008127F8" w:rsidRDefault="00E92EDC" w:rsidP="001E0A84">
      <w:pPr>
        <w:spacing w:after="0" w:line="240" w:lineRule="auto"/>
        <w:jc w:val="both"/>
        <w:rPr>
          <w:rFonts w:ascii="Times New Roman" w:hAnsi="Times New Roman"/>
          <w:color w:val="000000" w:themeColor="text1"/>
          <w:sz w:val="16"/>
          <w:szCs w:val="16"/>
        </w:rPr>
      </w:pPr>
    </w:p>
    <w:p w14:paraId="21E15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1323 О выдаче табака вместо махорки личному составу ДА по норме 10 г. табака вместо 20 г. махорки в сутки. РГАНИР, Фонд ГКО, д. 21, лл. 187 (11012).</w:t>
      </w:r>
    </w:p>
    <w:p w14:paraId="5DE5FC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B7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1325 О выделении запасных частей для 340 самолетов ВВС ЮЗН. РГАНИР, Фонд ГКО, д. 21, лл. 189, 190-202 (11012).</w:t>
      </w:r>
    </w:p>
    <w:p w14:paraId="5EA93D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5F5F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2DA7C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DF287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1320 О перерегистрации паспортов у граждан, проживающих в режимных местностях, запретных зонах и пограничной полосе Союза ССР, и наклейке на них контрольных листков. (7022, 152).</w:t>
      </w:r>
    </w:p>
    <w:p w14:paraId="1620CB5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6364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вышло Постановление ГКО № 1321 [Об отнесении городов Молотов, Горький, Сталинград, Саратов и Махачкала к числу режимных 1-й категории.] (7022, 153).</w:t>
      </w:r>
    </w:p>
    <w:p w14:paraId="6BFD21E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B5C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февраля 1942 Госкомитет обороны постановлением № 1320с отнес города Горький, Сталинград и Саратов к режимной местности первой категории. Одновременно с этим местным органам НКВД было </w:t>
      </w:r>
      <w:proofErr w:type="gramStart"/>
      <w:r w:rsidRPr="008127F8">
        <w:rPr>
          <w:rFonts w:ascii="Times New Roman" w:hAnsi="Times New Roman"/>
          <w:color w:val="000000" w:themeColor="text1"/>
          <w:sz w:val="16"/>
          <w:szCs w:val="16"/>
        </w:rPr>
        <w:t>приказано:  «</w:t>
      </w:r>
      <w:proofErr w:type="gramEnd"/>
      <w:r w:rsidRPr="008127F8">
        <w:rPr>
          <w:rFonts w:ascii="Times New Roman" w:hAnsi="Times New Roman"/>
          <w:color w:val="000000" w:themeColor="text1"/>
          <w:sz w:val="16"/>
          <w:szCs w:val="16"/>
        </w:rPr>
        <w:t xml:space="preserve">Провести перерегистрацию паспортов у граждан, проживающих в режимных местностях первой и второй категории, в закрытых зонах и пограничной полосе Союза ССР. На всех паспортах, подвергнутых перерегистрации, наклеить контрольные метки установленного НКВД СССР образца». Отныне гражданам, не имевшим в паспорте контрольной метки, было запрещено проживать в режимных местностях. Перерегистрацию предполагалось начать 1 апреля. Учитывая, что в окрестных районах Сталинграда связанных с городом местным транспортом и пригородным сообщением, осело значительное </w:t>
      </w:r>
      <w:r w:rsidRPr="008127F8">
        <w:rPr>
          <w:rFonts w:ascii="Times New Roman" w:hAnsi="Times New Roman"/>
          <w:color w:val="000000" w:themeColor="text1"/>
          <w:sz w:val="16"/>
          <w:szCs w:val="16"/>
        </w:rPr>
        <w:lastRenderedPageBreak/>
        <w:t xml:space="preserve">количество ранее судимых и </w:t>
      </w:r>
      <w:proofErr w:type="gramStart"/>
      <w:r w:rsidRPr="008127F8">
        <w:rPr>
          <w:rFonts w:ascii="Times New Roman" w:hAnsi="Times New Roman"/>
          <w:color w:val="000000" w:themeColor="text1"/>
          <w:sz w:val="16"/>
          <w:szCs w:val="16"/>
        </w:rPr>
        <w:t>других  «</w:t>
      </w:r>
      <w:proofErr w:type="gramEnd"/>
      <w:r w:rsidRPr="008127F8">
        <w:rPr>
          <w:rFonts w:ascii="Times New Roman" w:hAnsi="Times New Roman"/>
          <w:color w:val="000000" w:themeColor="text1"/>
          <w:sz w:val="16"/>
          <w:szCs w:val="16"/>
        </w:rPr>
        <w:t>социально опасных» лиц, которым было отказано в прописке, ГКО дополнительно установил вокруг города 25-километровую запретную зону (11774).</w:t>
      </w:r>
    </w:p>
    <w:p w14:paraId="73EEAE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BAFEF7" w14:textId="77777777" w:rsidR="003C6ADB"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ED41D46" w14:textId="77777777" w:rsidR="003C6ADB" w:rsidRPr="008127F8" w:rsidRDefault="003C6ADB"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3F493"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г. первый образец ХР-39Е взлетел с заводского аэродрома в Ниагара-Фоллз. Мотор \/-1430 в срок готов не был, и машину «перелицевали» обратно под \/-1710-47. Истребитель имел прямоугольные законцовки крыла (у всех прочих вариантов «Аэрокобры» они были округлыми) и угловатой формы оперение. Воздухозаборники радиаторов в корневой части крыла увеличили, так же, как и сами радиаторы.</w:t>
      </w:r>
    </w:p>
    <w:p w14:paraId="2D7A85D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сначала шли успешно, но на 35-м полёте самолёт не смог выйти из штопора (это была «фамильная» болезнь Р-39). Ему на смену подготовили второй экземпляр, немного отличавшийся по очертаниям вертикального оперения, и с чуть более мощным двигателем. Он тоже летал недолго, а 15 мая разбился во время 27-го полёта.</w:t>
      </w:r>
    </w:p>
    <w:p w14:paraId="506D6C29"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взамен потерянного военное министерство заказало третий образец, опять с новым оперением. Он поднялся в воздух 19 сентября 1942 г. К этому времени из уцелевших обломков восстановили вторую машину, и тоже привлекли к испытаниям. Однако 8 февраля 1943 г. её «грохнули» во второй раз (12265).</w:t>
      </w:r>
    </w:p>
    <w:p w14:paraId="10DB3FAF"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4626C76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февраля</w:t>
      </w:r>
      <w:r w:rsidRPr="008127F8">
        <w:rPr>
          <w:rFonts w:ascii="Times New Roman" w:hAnsi="Times New Roman"/>
          <w:color w:val="000000" w:themeColor="text1"/>
          <w:sz w:val="16"/>
          <w:szCs w:val="16"/>
        </w:rPr>
        <w:t xml:space="preserve"> в 1942 году первый полет самолета с двигателем «Allison» «V-1710-47», получившего обозначение </w:t>
      </w:r>
      <w:hyperlink r:id="rId59" w:tgtFrame="_blank" w:history="1">
        <w:r w:rsidRPr="008127F8">
          <w:rPr>
            <w:rFonts w:ascii="Times New Roman" w:hAnsi="Times New Roman"/>
            <w:color w:val="000000" w:themeColor="text1"/>
            <w:sz w:val="16"/>
            <w:szCs w:val="16"/>
          </w:rPr>
          <w:t xml:space="preserve">«Bell-23» «ХР-39Е». </w:t>
        </w:r>
      </w:hyperlink>
      <w:r w:rsidRPr="008127F8">
        <w:rPr>
          <w:rFonts w:ascii="Times New Roman" w:hAnsi="Times New Roman"/>
          <w:color w:val="000000" w:themeColor="text1"/>
          <w:sz w:val="16"/>
          <w:szCs w:val="16"/>
        </w:rPr>
        <w:t xml:space="preserve">ьПод названием «ХР-39Е» фигурировал экспериментальный вариант, проект которого под названием "модель 23" был предложен в феврале 1941 года. Он отличался крылом нового ламинарного профиля, который обеспечивал более плавное обтекание плоскостей и уменьшал аэродинамическое сопротивление и мощным мотором «Континентл» 2V-1430-1». Крыло имело несколько иные очертания, прямоугольные законцовки и больший размах — 10,92 м. Площадь крыла при этом возросла до 21,95 м2. Воздухозаборник двигателя сдвинули немного назад, размер окон в передней кромке крыла, через которые подавался воздух к радиаторам, увеличили. Расчетный вес пустого самолета составлял 3150 кг, полетный - 4050 кг. Военные заказали постройку двух опытных образцов. Двигатель «V-1430-1» не был готов в срок. Начавшиеся в феврале 1942 года летные испытания подтвердили правильность выбранного направления аэродинамического совершенствования «Р-39», но одновременно продемонстрировали, что простой модернизацией самолета обойтись не удастся. Увеличенное по площади крыло принципиально новой конструкции, более мощный двигатель и ряд друтих важных нововведений вынудили спроектировать совершенно новую машину, унаследовавшую от «Аэрокобры» лишь общую компоновку, часть узлов и агрегатов, а также некоторое внешнее сходство. Проект был представлен комиссии Авиационного корпуса армии США и получил одобрение. В итоге в июне 1941 года был заключен контракт на постройку двух прототипов, которым было присвоено обозначение «ХР-632. Первый из них впервые поднялся в воздух 7 декабря 1942 года, второй — 5 февраля 1943 года. Оба самолета были оснащены двигателями «Allison» «V-1710-47» мощностью 1325 л.с. Летные испытания шли очень непросто — обе машины разбились. Конструкторам «Белл» пришлось срочно вносить в проект серьезные изменения, воплотившиеся в третьем опытном образце «ХР-63А», совершившем свой первый полет 26 апреля 1943 года. В отличие от неудачливых предшественников на нем стоял двигатель «V-1710-93», способный в, кратковременном (максимум пять минут) чрезвычайном режиме развивать мощность 1500 л.с. и за счет установки </w:t>
      </w:r>
      <w:proofErr w:type="gramStart"/>
      <w:r w:rsidRPr="008127F8">
        <w:rPr>
          <w:rFonts w:ascii="Times New Roman" w:hAnsi="Times New Roman"/>
          <w:color w:val="000000" w:themeColor="text1"/>
          <w:sz w:val="16"/>
          <w:szCs w:val="16"/>
        </w:rPr>
        <w:t>дополнительного центробежного нагнетателя</w:t>
      </w:r>
      <w:proofErr w:type="gramEnd"/>
      <w:r w:rsidRPr="008127F8">
        <w:rPr>
          <w:rFonts w:ascii="Times New Roman" w:hAnsi="Times New Roman"/>
          <w:color w:val="000000" w:themeColor="text1"/>
          <w:sz w:val="16"/>
          <w:szCs w:val="16"/>
        </w:rPr>
        <w:t xml:space="preserve"> обладавший лучшими высотными характеристиками (по сравнению с аналогичными моторами на Р-39). Летные испытания опытного образца «ХР-63В» с двигателем «Packard-Merlin» «V-1650-5» не проводились. Испытания же «ХР-63А» прошли успешно, и именно этот вариант был запущен в серию под индексом «Р-63А» «Кингкобра» (15047).</w:t>
      </w:r>
    </w:p>
    <w:p w14:paraId="58BDC344"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7A52F975" w14:textId="1267F109" w:rsidR="00864E80" w:rsidRPr="008127F8" w:rsidRDefault="00864E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Первый полет самолета Аэрокоюра с двигателем Allison" V-1710-47, получившего обозначение Bell-23 ХР-39Е. Под названием ХР-39Е фигурировал экспериментальный вариант, проект которого под названием "модель 23" был предложен в феврале 1941 года. Впоследствии самолет был оснащен двигателем с двухступенчатым надду</w:t>
      </w:r>
      <w:r w:rsidRPr="008127F8">
        <w:rPr>
          <w:rFonts w:ascii="Times New Roman" w:hAnsi="Times New Roman"/>
          <w:color w:val="000000" w:themeColor="text1"/>
          <w:sz w:val="16"/>
          <w:szCs w:val="16"/>
        </w:rPr>
        <w:softHyphen/>
        <w:t>вом с механическим приводом (22591).</w:t>
      </w:r>
    </w:p>
    <w:p w14:paraId="5C390127" w14:textId="77777777" w:rsidR="00864E80" w:rsidRPr="008127F8" w:rsidRDefault="00864E80" w:rsidP="001E0A84">
      <w:pPr>
        <w:spacing w:after="0" w:line="240" w:lineRule="auto"/>
        <w:jc w:val="both"/>
        <w:rPr>
          <w:rFonts w:ascii="Times New Roman" w:hAnsi="Times New Roman"/>
          <w:color w:val="000000" w:themeColor="text1"/>
          <w:sz w:val="16"/>
          <w:szCs w:val="16"/>
        </w:rPr>
      </w:pPr>
    </w:p>
    <w:p w14:paraId="11EE148E" w14:textId="77777777" w:rsidR="00864E80" w:rsidRPr="008127F8" w:rsidRDefault="00864E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1942 маршал авиации Артур Т. Харрис принимает командование бомбардировочным командованием Королевских ВВС. Известный прессе как «Бомбардировщик» Харрис, он будет командовать бомбардировочной командой до конца Второй мировой войны (20793).</w:t>
      </w:r>
    </w:p>
    <w:p w14:paraId="759747D3" w14:textId="77777777" w:rsidR="00864E80" w:rsidRPr="008127F8" w:rsidRDefault="00864E80" w:rsidP="001E0A84">
      <w:pPr>
        <w:spacing w:after="0" w:line="240" w:lineRule="auto"/>
        <w:jc w:val="both"/>
        <w:rPr>
          <w:rFonts w:ascii="Times New Roman" w:hAnsi="Times New Roman"/>
          <w:color w:val="000000" w:themeColor="text1"/>
          <w:sz w:val="16"/>
          <w:szCs w:val="16"/>
        </w:rPr>
      </w:pPr>
    </w:p>
    <w:p w14:paraId="02F8EEA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2E86C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8A4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во время тренировочных полетов на самолете Ил-2 N 2600 при разбеге оторвался полоз лыжи от кабана. Отрыв произошел вследствие разрушения обоих лонжеронов лыжи. На осмотренных самолетах Ил-2 N 2594, 2587, 2593, 2603, 2592, 2595, 2596, полученных с завода 1, обнаружены трещины в обшивке лыжи и расшатывание кабана в месте крепления с полозу. Все лыжи к эксплуатации непригодны и подлежат замене.</w:t>
      </w:r>
    </w:p>
    <w:p w14:paraId="7FFA25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 основные виновники - директор завода 1 Третьяков, ГИ Литвинов (1636,280).</w:t>
      </w:r>
    </w:p>
    <w:p w14:paraId="3A8910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E65E"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февраля 1942 при взлете Ил-2 производства завода № 1, полученных 1-й запасной авиабригадой, произошел обрыв полоза лыжи от кабана крепления к амортизационной стойке шасси по при</w:t>
      </w:r>
      <w:r w:rsidRPr="008A2E5A">
        <w:rPr>
          <w:rFonts w:ascii="Times New Roman" w:hAnsi="Times New Roman"/>
          <w:color w:val="0070C0"/>
          <w:sz w:val="16"/>
          <w:szCs w:val="16"/>
        </w:rPr>
        <w:softHyphen/>
        <w:t>чине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Характерно, что все эти дефекты оказались на Ил-2, имеющих незначительный налет - всего 3-16 ч (23346).</w:t>
      </w:r>
    </w:p>
    <w:p w14:paraId="56568421" w14:textId="77777777" w:rsidR="005F34F5" w:rsidRPr="008A2E5A" w:rsidRDefault="005F34F5" w:rsidP="005F34F5">
      <w:pPr>
        <w:spacing w:after="0" w:line="240" w:lineRule="auto"/>
        <w:jc w:val="both"/>
        <w:rPr>
          <w:rFonts w:ascii="Times New Roman" w:hAnsi="Times New Roman"/>
          <w:color w:val="0070C0"/>
          <w:sz w:val="16"/>
          <w:szCs w:val="16"/>
        </w:rPr>
      </w:pPr>
    </w:p>
    <w:p w14:paraId="37398F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на заводе 153 закончились проводимые с 16 января совместные заводские и гос. испытания Як-7А эталона для серии (65,81).</w:t>
      </w:r>
    </w:p>
    <w:p w14:paraId="364F67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85A38"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февраля 1942 г. закончились госиспытания Як-7 в бое</w:t>
      </w:r>
      <w:r w:rsidRPr="008A2E5A">
        <w:rPr>
          <w:rFonts w:ascii="Times New Roman" w:hAnsi="Times New Roman"/>
          <w:color w:val="0070C0"/>
          <w:sz w:val="16"/>
          <w:szCs w:val="16"/>
        </w:rPr>
        <w:softHyphen/>
        <w:t>вом варианте в НИИ ВВС КА, которые шли с августа 1941. Сравни</w:t>
      </w:r>
      <w:r w:rsidRPr="008A2E5A">
        <w:rPr>
          <w:rFonts w:ascii="Times New Roman" w:hAnsi="Times New Roman"/>
          <w:color w:val="0070C0"/>
          <w:sz w:val="16"/>
          <w:szCs w:val="16"/>
        </w:rPr>
        <w:softHyphen/>
        <w:t>тельно простые улучшения аэродинамики самолета дали прирост максимальных скоростей от 19 до 22 км/ч с ко</w:t>
      </w:r>
      <w:r w:rsidRPr="008A2E5A">
        <w:rPr>
          <w:rFonts w:ascii="Times New Roman" w:hAnsi="Times New Roman"/>
          <w:color w:val="0070C0"/>
          <w:sz w:val="16"/>
          <w:szCs w:val="16"/>
        </w:rPr>
        <w:softHyphen/>
        <w:t>лесным шасси и 10-12 км/ч - с лыжным.</w:t>
      </w:r>
    </w:p>
    <w:p w14:paraId="2EC9E0C0"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августа 1941 г., после облета самолета лет</w:t>
      </w:r>
      <w:r w:rsidRPr="008A2E5A">
        <w:rPr>
          <w:rFonts w:ascii="Times New Roman" w:hAnsi="Times New Roman"/>
          <w:color w:val="0070C0"/>
          <w:sz w:val="16"/>
          <w:szCs w:val="16"/>
        </w:rPr>
        <w:softHyphen/>
        <w:t>чиком-испытателем завода №115 П.Я. Федровичем и по</w:t>
      </w:r>
      <w:r w:rsidRPr="008A2E5A">
        <w:rPr>
          <w:rFonts w:ascii="Times New Roman" w:hAnsi="Times New Roman"/>
          <w:color w:val="0070C0"/>
          <w:sz w:val="16"/>
          <w:szCs w:val="16"/>
        </w:rPr>
        <w:softHyphen/>
        <w:t>лучения от него положительного заключения, Як-7 в бое</w:t>
      </w:r>
      <w:r w:rsidRPr="008A2E5A">
        <w:rPr>
          <w:rFonts w:ascii="Times New Roman" w:hAnsi="Times New Roman"/>
          <w:color w:val="0070C0"/>
          <w:sz w:val="16"/>
          <w:szCs w:val="16"/>
        </w:rPr>
        <w:softHyphen/>
        <w:t>вом варианте передали в НИИ ВВС КА.</w:t>
      </w:r>
    </w:p>
    <w:p w14:paraId="11BFE764"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полеты нового истребителя показали, что увели</w:t>
      </w:r>
      <w:r w:rsidRPr="008A2E5A">
        <w:rPr>
          <w:rFonts w:ascii="Times New Roman" w:hAnsi="Times New Roman"/>
          <w:color w:val="0070C0"/>
          <w:sz w:val="16"/>
          <w:szCs w:val="16"/>
        </w:rPr>
        <w:softHyphen/>
        <w:t>чившийся за счет вооружения полетный вес (2962 кг - на 211,5 кг больше, чем у УТИ-26-l) несколько ухудшил лет</w:t>
      </w:r>
      <w:r w:rsidRPr="008A2E5A">
        <w:rPr>
          <w:rFonts w:ascii="Times New Roman" w:hAnsi="Times New Roman"/>
          <w:color w:val="0070C0"/>
          <w:sz w:val="16"/>
          <w:szCs w:val="16"/>
        </w:rPr>
        <w:softHyphen/>
        <w:t>ные характеристики машины. Полетный вес Як-7 №0411 при практически том же весе полезной нагрузки был боль</w:t>
      </w:r>
      <w:r w:rsidRPr="008A2E5A">
        <w:rPr>
          <w:rFonts w:ascii="Times New Roman" w:hAnsi="Times New Roman"/>
          <w:color w:val="0070C0"/>
          <w:sz w:val="16"/>
          <w:szCs w:val="16"/>
        </w:rPr>
        <w:softHyphen/>
        <w:t>ше на 115 кг, чем у истребителя Як-1 №0511, следствием чего стало уменьшение максимальной скорости у земли по сравнению с последним на 19 км/ч (471 у Як-7 №0411 и 490 км/ч у Як-1 №0511). Поскольку полетный вес у Як-7 в бое</w:t>
      </w:r>
      <w:r w:rsidRPr="008A2E5A">
        <w:rPr>
          <w:rFonts w:ascii="Times New Roman" w:hAnsi="Times New Roman"/>
          <w:color w:val="0070C0"/>
          <w:sz w:val="16"/>
          <w:szCs w:val="16"/>
        </w:rPr>
        <w:softHyphen/>
        <w:t>вом варианте мог быть снижен в серийном производстве за счет снятия оборудования второй кабины (ручки управ</w:t>
      </w:r>
      <w:r w:rsidRPr="008A2E5A">
        <w:rPr>
          <w:rFonts w:ascii="Times New Roman" w:hAnsi="Times New Roman"/>
          <w:color w:val="0070C0"/>
          <w:sz w:val="16"/>
          <w:szCs w:val="16"/>
        </w:rPr>
        <w:softHyphen/>
        <w:t>ления самолетом, педалей, приборной доски, кислородно</w:t>
      </w:r>
      <w:r w:rsidRPr="008A2E5A">
        <w:rPr>
          <w:rFonts w:ascii="Times New Roman" w:hAnsi="Times New Roman"/>
          <w:color w:val="0070C0"/>
          <w:sz w:val="16"/>
          <w:szCs w:val="16"/>
        </w:rPr>
        <w:softHyphen/>
        <w:t>го оборудования, сиденья), а также подножки, сирены, са</w:t>
      </w:r>
      <w:r w:rsidRPr="008A2E5A">
        <w:rPr>
          <w:rFonts w:ascii="Times New Roman" w:hAnsi="Times New Roman"/>
          <w:color w:val="0070C0"/>
          <w:sz w:val="16"/>
          <w:szCs w:val="16"/>
        </w:rPr>
        <w:softHyphen/>
        <w:t>молетного переговорного устройства (СПУ), установки фо</w:t>
      </w:r>
      <w:r w:rsidRPr="008A2E5A">
        <w:rPr>
          <w:rFonts w:ascii="Times New Roman" w:hAnsi="Times New Roman"/>
          <w:color w:val="0070C0"/>
          <w:sz w:val="16"/>
          <w:szCs w:val="16"/>
        </w:rPr>
        <w:softHyphen/>
        <w:t>токинопулемета, то полученные результаты испытаний со</w:t>
      </w:r>
      <w:r w:rsidRPr="008A2E5A">
        <w:rPr>
          <w:rFonts w:ascii="Times New Roman" w:hAnsi="Times New Roman"/>
          <w:color w:val="0070C0"/>
          <w:sz w:val="16"/>
          <w:szCs w:val="16"/>
        </w:rPr>
        <w:softHyphen/>
        <w:t>чли положительными и рекомендовали Як-7 в боевом ва</w:t>
      </w:r>
      <w:r w:rsidRPr="008A2E5A">
        <w:rPr>
          <w:rFonts w:ascii="Times New Roman" w:hAnsi="Times New Roman"/>
          <w:color w:val="0070C0"/>
          <w:sz w:val="16"/>
          <w:szCs w:val="16"/>
        </w:rPr>
        <w:softHyphen/>
        <w:t>рианте к серийной постройке. При этом в своем заключе</w:t>
      </w:r>
      <w:r w:rsidRPr="008A2E5A">
        <w:rPr>
          <w:rFonts w:ascii="Times New Roman" w:hAnsi="Times New Roman"/>
          <w:color w:val="0070C0"/>
          <w:sz w:val="16"/>
          <w:szCs w:val="16"/>
        </w:rPr>
        <w:softHyphen/>
        <w:t>нии специалисты НИИ ВВС КА особо отметили необходи</w:t>
      </w:r>
      <w:r w:rsidRPr="008A2E5A">
        <w:rPr>
          <w:rFonts w:ascii="Times New Roman" w:hAnsi="Times New Roman"/>
          <w:color w:val="0070C0"/>
          <w:sz w:val="16"/>
          <w:szCs w:val="16"/>
        </w:rPr>
        <w:softHyphen/>
        <w:t>мость сохранения в серии фонаря задней кабины.</w:t>
      </w:r>
    </w:p>
    <w:p w14:paraId="0A1C9F4E"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301 не успел выпустить достаточное количе</w:t>
      </w:r>
      <w:r w:rsidRPr="008A2E5A">
        <w:rPr>
          <w:rFonts w:ascii="Times New Roman" w:hAnsi="Times New Roman"/>
          <w:color w:val="0070C0"/>
          <w:sz w:val="16"/>
          <w:szCs w:val="16"/>
        </w:rPr>
        <w:softHyphen/>
        <w:t>ство Як-7 в боевом варианте, чтобы произвести на само</w:t>
      </w:r>
      <w:r w:rsidRPr="008A2E5A">
        <w:rPr>
          <w:rFonts w:ascii="Times New Roman" w:hAnsi="Times New Roman"/>
          <w:color w:val="0070C0"/>
          <w:sz w:val="16"/>
          <w:szCs w:val="16"/>
        </w:rPr>
        <w:softHyphen/>
        <w:t>летах по результатам эксплуатации в воинских частях ка</w:t>
      </w:r>
      <w:r w:rsidRPr="008A2E5A">
        <w:rPr>
          <w:rFonts w:ascii="Times New Roman" w:hAnsi="Times New Roman"/>
          <w:color w:val="0070C0"/>
          <w:sz w:val="16"/>
          <w:szCs w:val="16"/>
        </w:rPr>
        <w:softHyphen/>
        <w:t>кие-либо существенные доработки конструкции (с серий</w:t>
      </w:r>
      <w:r w:rsidRPr="008A2E5A">
        <w:rPr>
          <w:rFonts w:ascii="Times New Roman" w:hAnsi="Times New Roman"/>
          <w:color w:val="0070C0"/>
          <w:sz w:val="16"/>
          <w:szCs w:val="16"/>
        </w:rPr>
        <w:softHyphen/>
        <w:t>ных машин даже не снимали оборудование задней каби</w:t>
      </w:r>
      <w:r w:rsidRPr="008A2E5A">
        <w:rPr>
          <w:rFonts w:ascii="Times New Roman" w:hAnsi="Times New Roman"/>
          <w:color w:val="0070C0"/>
          <w:sz w:val="16"/>
          <w:szCs w:val="16"/>
        </w:rPr>
        <w:softHyphen/>
        <w:t>ны). Основная работа по модернизации истребителя раз</w:t>
      </w:r>
      <w:r w:rsidRPr="008A2E5A">
        <w:rPr>
          <w:rFonts w:ascii="Times New Roman" w:hAnsi="Times New Roman"/>
          <w:color w:val="0070C0"/>
          <w:sz w:val="16"/>
          <w:szCs w:val="16"/>
        </w:rPr>
        <w:softHyphen/>
        <w:t>вернулась сразу по началу производства машины в Ново</w:t>
      </w:r>
      <w:r w:rsidRPr="008A2E5A">
        <w:rPr>
          <w:rFonts w:ascii="Times New Roman" w:hAnsi="Times New Roman"/>
          <w:color w:val="0070C0"/>
          <w:sz w:val="16"/>
          <w:szCs w:val="16"/>
        </w:rPr>
        <w:softHyphen/>
        <w:t>сибирске. В первую очередь сняли все оборудование, не</w:t>
      </w:r>
      <w:r w:rsidRPr="008A2E5A">
        <w:rPr>
          <w:rFonts w:ascii="Times New Roman" w:hAnsi="Times New Roman"/>
          <w:color w:val="0070C0"/>
          <w:sz w:val="16"/>
          <w:szCs w:val="16"/>
        </w:rPr>
        <w:softHyphen/>
        <w:t>обходимое для учебного самолета и не требующееся для боевой машины. Для усиления противопожарных свойств на самолете смонтировали систему заполнения бензоба</w:t>
      </w:r>
      <w:r w:rsidRPr="008A2E5A">
        <w:rPr>
          <w:rFonts w:ascii="Times New Roman" w:hAnsi="Times New Roman"/>
          <w:color w:val="0070C0"/>
          <w:sz w:val="16"/>
          <w:szCs w:val="16"/>
        </w:rPr>
        <w:softHyphen/>
        <w:t>ков нейтральным газом. Одну из первых собранных заво</w:t>
      </w:r>
      <w:r w:rsidRPr="008A2E5A">
        <w:rPr>
          <w:rFonts w:ascii="Times New Roman" w:hAnsi="Times New Roman"/>
          <w:color w:val="0070C0"/>
          <w:sz w:val="16"/>
          <w:szCs w:val="16"/>
        </w:rPr>
        <w:softHyphen/>
        <w:t>дом №153 машин №1411, готовившуюся как эталон для выпуска в 1942 г., передали на контрольные испытания 16 января 1942 г. Для сокращения сроков заводские и госу</w:t>
      </w:r>
      <w:r w:rsidRPr="008A2E5A">
        <w:rPr>
          <w:rFonts w:ascii="Times New Roman" w:hAnsi="Times New Roman"/>
          <w:color w:val="0070C0"/>
          <w:sz w:val="16"/>
          <w:szCs w:val="16"/>
        </w:rPr>
        <w:softHyphen/>
        <w:t>дарственные испытания самолета совместили. Первые полеты показали максимальную скорость всего 550 км/ч на расчетной высоте. При замене колес на лыжи эта вели</w:t>
      </w:r>
      <w:r w:rsidRPr="008A2E5A">
        <w:rPr>
          <w:rFonts w:ascii="Times New Roman" w:hAnsi="Times New Roman"/>
          <w:color w:val="0070C0"/>
          <w:sz w:val="16"/>
          <w:szCs w:val="16"/>
        </w:rPr>
        <w:softHyphen/>
        <w:t>чина снижалась до 520 км/ч (23381).</w:t>
      </w:r>
    </w:p>
    <w:p w14:paraId="07181AC1"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Восстановлением летных данных серийной маши</w:t>
      </w:r>
      <w:r w:rsidRPr="008A2E5A">
        <w:rPr>
          <w:rFonts w:ascii="Times New Roman" w:hAnsi="Times New Roman"/>
          <w:color w:val="0070C0"/>
          <w:sz w:val="16"/>
          <w:szCs w:val="16"/>
        </w:rPr>
        <w:softHyphen/>
        <w:t>ны до уровня УТИ-26 и истребителя Як-1 занялось ОКБ А.С. Яковлева, которое провело на Як-7А №1411 (к мо</w:t>
      </w:r>
      <w:r w:rsidRPr="008A2E5A">
        <w:rPr>
          <w:rFonts w:ascii="Times New Roman" w:hAnsi="Times New Roman"/>
          <w:color w:val="0070C0"/>
          <w:sz w:val="16"/>
          <w:szCs w:val="16"/>
        </w:rPr>
        <w:softHyphen/>
        <w:t>менту утверждения отчета по испытаниям наименование Як-7А закрепилось окончательно за истребителем с воо</w:t>
      </w:r>
      <w:r w:rsidRPr="008A2E5A">
        <w:rPr>
          <w:rFonts w:ascii="Times New Roman" w:hAnsi="Times New Roman"/>
          <w:color w:val="0070C0"/>
          <w:sz w:val="16"/>
          <w:szCs w:val="16"/>
        </w:rPr>
        <w:softHyphen/>
        <w:t>ружением из двух пулеметов ШКАС и одной мотор-пушки ШВАК) ряд изменений конструкции, разработанных и примененных для другой модификации Як-7 с усиленным синхронными крупнокалиберными пулеметами УБС вооружением. На самолете провели 25 мероприятий по частичному улучшению аэродинамики: хвостовое коле</w:t>
      </w:r>
      <w:r w:rsidRPr="008A2E5A">
        <w:rPr>
          <w:rFonts w:ascii="Times New Roman" w:hAnsi="Times New Roman"/>
          <w:color w:val="0070C0"/>
          <w:sz w:val="16"/>
          <w:szCs w:val="16"/>
        </w:rPr>
        <w:softHyphen/>
        <w:t>со сделали убирающимся и ввели крыльевые щитки, за</w:t>
      </w:r>
      <w:r w:rsidRPr="008A2E5A">
        <w:rPr>
          <w:rFonts w:ascii="Times New Roman" w:hAnsi="Times New Roman"/>
          <w:color w:val="0070C0"/>
          <w:sz w:val="16"/>
          <w:szCs w:val="16"/>
        </w:rPr>
        <w:softHyphen/>
        <w:t>крывающие полностью ниши основных опор шасси (уста</w:t>
      </w:r>
      <w:r w:rsidRPr="008A2E5A">
        <w:rPr>
          <w:rFonts w:ascii="Times New Roman" w:hAnsi="Times New Roman"/>
          <w:color w:val="0070C0"/>
          <w:sz w:val="16"/>
          <w:szCs w:val="16"/>
        </w:rPr>
        <w:softHyphen/>
        <w:t>новку крыльевого щитка колеса основных стоек шасси и уборку хвостовой опоры отменили на самолетах Як-7, как и на Як-1, с началом войны для упрощения производст</w:t>
      </w:r>
      <w:r w:rsidRPr="008A2E5A">
        <w:rPr>
          <w:rFonts w:ascii="Times New Roman" w:hAnsi="Times New Roman"/>
          <w:color w:val="0070C0"/>
          <w:sz w:val="16"/>
          <w:szCs w:val="16"/>
        </w:rPr>
        <w:softHyphen/>
        <w:t>ва). Кроме этого, улучшили внешнюю отделку капотов, за</w:t>
      </w:r>
      <w:r w:rsidRPr="008A2E5A">
        <w:rPr>
          <w:rFonts w:ascii="Times New Roman" w:hAnsi="Times New Roman"/>
          <w:color w:val="0070C0"/>
          <w:sz w:val="16"/>
          <w:szCs w:val="16"/>
        </w:rPr>
        <w:softHyphen/>
        <w:t>лизов, щитков шасси и посадочного щитка. Все лючки, а также фонарь задней кабины (выполненный откидным), подогнали заподлицо с бортами фюзеляжа. Обводы тон</w:t>
      </w:r>
      <w:r w:rsidRPr="008A2E5A">
        <w:rPr>
          <w:rFonts w:ascii="Times New Roman" w:hAnsi="Times New Roman"/>
          <w:color w:val="0070C0"/>
          <w:sz w:val="16"/>
          <w:szCs w:val="16"/>
        </w:rPr>
        <w:softHyphen/>
        <w:t>нелей водо- и маслорадиатора улучшили, а на тяги управ</w:t>
      </w:r>
      <w:r w:rsidRPr="008A2E5A">
        <w:rPr>
          <w:rFonts w:ascii="Times New Roman" w:hAnsi="Times New Roman"/>
          <w:color w:val="0070C0"/>
          <w:sz w:val="16"/>
          <w:szCs w:val="16"/>
        </w:rPr>
        <w:softHyphen/>
        <w:t>ления заслонками установили обтекатели. Отверстия в капотах мотора и лючки подвергли ревизии и лишние из них устранили. Состав вооружения не изменился: два пу</w:t>
      </w:r>
      <w:r w:rsidRPr="008A2E5A">
        <w:rPr>
          <w:rFonts w:ascii="Times New Roman" w:hAnsi="Times New Roman"/>
          <w:color w:val="0070C0"/>
          <w:sz w:val="16"/>
          <w:szCs w:val="16"/>
        </w:rPr>
        <w:softHyphen/>
        <w:t>лемета ШКАС с боекомплектом 1000 патронов и мотор- пушка ШВАК с боекомплектом 120 снарядов. Основным изменением установки вооружения явилось введение звеньесборников. Звеньесборник левого пулемета ШКАС (объемом на 750 звеньев) выполнили съемным, а право</w:t>
      </w:r>
      <w:r w:rsidRPr="008A2E5A">
        <w:rPr>
          <w:rFonts w:ascii="Times New Roman" w:hAnsi="Times New Roman"/>
          <w:color w:val="0070C0"/>
          <w:sz w:val="16"/>
          <w:szCs w:val="16"/>
        </w:rPr>
        <w:softHyphen/>
        <w:t>го пулемета и мотор-пушки - стационарным, с отверсти</w:t>
      </w:r>
      <w:r w:rsidRPr="008A2E5A">
        <w:rPr>
          <w:rFonts w:ascii="Times New Roman" w:hAnsi="Times New Roman"/>
          <w:color w:val="0070C0"/>
          <w:sz w:val="16"/>
          <w:szCs w:val="16"/>
        </w:rPr>
        <w:softHyphen/>
        <w:t>ем для выемки звеньев в правом куполе шасси. Выступав</w:t>
      </w:r>
      <w:r w:rsidRPr="008A2E5A">
        <w:rPr>
          <w:rFonts w:ascii="Times New Roman" w:hAnsi="Times New Roman"/>
          <w:color w:val="0070C0"/>
          <w:sz w:val="16"/>
          <w:szCs w:val="16"/>
        </w:rPr>
        <w:softHyphen/>
        <w:t>шие ранее в поток перед водорадиатором трубы звеньеотводов ликвидировали (23381).</w:t>
      </w:r>
    </w:p>
    <w:p w14:paraId="42C7000E" w14:textId="77777777" w:rsidR="005F34F5" w:rsidRPr="008A2E5A" w:rsidRDefault="005F34F5" w:rsidP="005F34F5">
      <w:pPr>
        <w:spacing w:after="0" w:line="240" w:lineRule="auto"/>
        <w:jc w:val="both"/>
        <w:rPr>
          <w:rFonts w:ascii="Times New Roman" w:hAnsi="Times New Roman"/>
          <w:color w:val="0070C0"/>
          <w:sz w:val="16"/>
          <w:szCs w:val="16"/>
        </w:rPr>
      </w:pPr>
    </w:p>
    <w:p w14:paraId="07797E83" w14:textId="77777777" w:rsidR="00864E80" w:rsidRPr="008127F8" w:rsidRDefault="00864E8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22 февраля 1942 г. в руки советских солдат попал первый «мессершмитт»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 xml:space="preserve">, который можно было восстановить до летного состояния Оберлейтенант А. Нис из эскадры </w:t>
      </w:r>
      <w:r w:rsidRPr="008127F8">
        <w:rPr>
          <w:rFonts w:ascii="Times New Roman" w:hAnsi="Times New Roman"/>
          <w:color w:val="000000" w:themeColor="text1"/>
          <w:sz w:val="16"/>
          <w:szCs w:val="16"/>
          <w:lang w:val="en-US"/>
        </w:rPr>
        <w:t>JG</w:t>
      </w:r>
      <w:r w:rsidRPr="008127F8">
        <w:rPr>
          <w:rFonts w:ascii="Times New Roman" w:hAnsi="Times New Roman"/>
          <w:color w:val="000000" w:themeColor="text1"/>
          <w:sz w:val="16"/>
          <w:szCs w:val="16"/>
        </w:rPr>
        <w:t xml:space="preserve"> 51 заблудился в окрестностях Москвы и вышел к аэродрому Тушино, где его обстреляли из зенитных пулеметов. С пробитыми пулями радиатором и бензобаком немецкий летчик там же и сел. В Тушино тогда базировалась 47-я авиадивизия. В ее мастерских самолет № 9209 восстановили, но при облете произошла авария. На посадке сломалась одна из стоек шасси, истребитель повредил законцовку крыла. Второй раз машину ремонтировала бригада из ЦАГИ. Приведенный в порядок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 с мотором </w:t>
      </w:r>
      <w:r w:rsidRPr="008127F8">
        <w:rPr>
          <w:rFonts w:ascii="Times New Roman" w:hAnsi="Times New Roman"/>
          <w:color w:val="000000" w:themeColor="text1"/>
          <w:sz w:val="16"/>
          <w:szCs w:val="16"/>
          <w:lang w:val="en-US"/>
        </w:rPr>
        <w:t>DB</w:t>
      </w:r>
      <w:r w:rsidRPr="008127F8">
        <w:rPr>
          <w:rFonts w:ascii="Times New Roman" w:hAnsi="Times New Roman"/>
          <w:color w:val="000000" w:themeColor="text1"/>
          <w:sz w:val="16"/>
          <w:szCs w:val="16"/>
        </w:rPr>
        <w:t xml:space="preserve"> 601</w:t>
      </w:r>
      <w:r w:rsidRPr="008127F8">
        <w:rPr>
          <w:rFonts w:ascii="Times New Roman" w:hAnsi="Times New Roman"/>
          <w:color w:val="000000" w:themeColor="text1"/>
          <w:sz w:val="16"/>
          <w:szCs w:val="16"/>
          <w:lang w:val="en-US"/>
        </w:rPr>
        <w:t>N</w:t>
      </w:r>
      <w:r w:rsidRPr="008127F8">
        <w:rPr>
          <w:rFonts w:ascii="Times New Roman" w:hAnsi="Times New Roman"/>
          <w:color w:val="000000" w:themeColor="text1"/>
          <w:sz w:val="16"/>
          <w:szCs w:val="16"/>
        </w:rPr>
        <w:t xml:space="preserve"> передали в НИИ ВВС. Там обратили внимание на то, что истребитель сильно изношен и явно несколько раз ремонтировался еще до приземления в Тушино (23186).</w:t>
      </w:r>
    </w:p>
    <w:p w14:paraId="5AF712D2" w14:textId="77777777" w:rsidR="00864E80" w:rsidRPr="008127F8" w:rsidRDefault="00864E80" w:rsidP="001E0A84">
      <w:pPr>
        <w:spacing w:after="0" w:line="240" w:lineRule="auto"/>
        <w:jc w:val="both"/>
        <w:rPr>
          <w:rFonts w:ascii="Times New Roman" w:hAnsi="Times New Roman"/>
          <w:color w:val="000000" w:themeColor="text1"/>
          <w:sz w:val="16"/>
          <w:szCs w:val="16"/>
        </w:rPr>
      </w:pPr>
    </w:p>
    <w:p w14:paraId="2DAC786C"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февраля 1942 г. командир 8/JG51 обер-лейтенант А. Нис сбился с курса и у поселка Ту</w:t>
      </w:r>
      <w:r w:rsidRPr="008A2E5A">
        <w:rPr>
          <w:rFonts w:ascii="Times New Roman" w:hAnsi="Times New Roman"/>
          <w:color w:val="0070C0"/>
          <w:sz w:val="16"/>
          <w:szCs w:val="16"/>
        </w:rPr>
        <w:softHyphen/>
        <w:t>шино был обстрелян из пулемета. Поврежде</w:t>
      </w:r>
      <w:r w:rsidRPr="008A2E5A">
        <w:rPr>
          <w:rFonts w:ascii="Times New Roman" w:hAnsi="Times New Roman"/>
          <w:color w:val="0070C0"/>
          <w:sz w:val="16"/>
          <w:szCs w:val="16"/>
        </w:rPr>
        <w:softHyphen/>
        <w:t>ние радиатора и пробоина в бензобаке выну</w:t>
      </w:r>
      <w:r w:rsidRPr="008A2E5A">
        <w:rPr>
          <w:rFonts w:ascii="Times New Roman" w:hAnsi="Times New Roman"/>
          <w:color w:val="0070C0"/>
          <w:sz w:val="16"/>
          <w:szCs w:val="16"/>
        </w:rPr>
        <w:softHyphen/>
        <w:t>дили германского офицера совершить вы</w:t>
      </w:r>
      <w:r w:rsidRPr="008A2E5A">
        <w:rPr>
          <w:rFonts w:ascii="Times New Roman" w:hAnsi="Times New Roman"/>
          <w:color w:val="0070C0"/>
          <w:sz w:val="16"/>
          <w:szCs w:val="16"/>
        </w:rPr>
        <w:softHyphen/>
        <w:t>нужденную посадку в расположении совет</w:t>
      </w:r>
      <w:r w:rsidRPr="008A2E5A">
        <w:rPr>
          <w:rFonts w:ascii="Times New Roman" w:hAnsi="Times New Roman"/>
          <w:color w:val="0070C0"/>
          <w:sz w:val="16"/>
          <w:szCs w:val="16"/>
        </w:rPr>
        <w:softHyphen/>
        <w:t>ских войск. Захваченный красноармейцами «мессер» быстро восстановили силами техсостава 47-й авиадивизии, но первый же вылет на трофейном истребителе закончился авари</w:t>
      </w:r>
      <w:r w:rsidRPr="008A2E5A">
        <w:rPr>
          <w:rFonts w:ascii="Times New Roman" w:hAnsi="Times New Roman"/>
          <w:color w:val="0070C0"/>
          <w:sz w:val="16"/>
          <w:szCs w:val="16"/>
        </w:rPr>
        <w:softHyphen/>
        <w:t>ей — незнакомый с особенностями поведения самолета пилот не смог удержать его при раз</w:t>
      </w:r>
      <w:r w:rsidRPr="008A2E5A">
        <w:rPr>
          <w:rFonts w:ascii="Times New Roman" w:hAnsi="Times New Roman"/>
          <w:color w:val="0070C0"/>
          <w:sz w:val="16"/>
          <w:szCs w:val="16"/>
        </w:rPr>
        <w:softHyphen/>
        <w:t>беге, в результате были повреждены стойка шасси и законцовка крыла. Пришлось выпол</w:t>
      </w:r>
      <w:r w:rsidRPr="008A2E5A">
        <w:rPr>
          <w:rFonts w:ascii="Times New Roman" w:hAnsi="Times New Roman"/>
          <w:color w:val="0070C0"/>
          <w:sz w:val="16"/>
          <w:szCs w:val="16"/>
        </w:rPr>
        <w:softHyphen/>
        <w:t>нить еще один ремонт (на этот раз его прове</w:t>
      </w:r>
      <w:r w:rsidRPr="008A2E5A">
        <w:rPr>
          <w:rFonts w:ascii="Times New Roman" w:hAnsi="Times New Roman"/>
          <w:color w:val="0070C0"/>
          <w:sz w:val="16"/>
          <w:szCs w:val="16"/>
        </w:rPr>
        <w:softHyphen/>
        <w:t>ла бригада ЦАГИ), после чего Bf 109F-2 (зав. № 9209) передали в НИИ ВВС КА. Машину принял инженер-капитан А.С. Розанов, кото</w:t>
      </w:r>
      <w:r w:rsidRPr="008A2E5A">
        <w:rPr>
          <w:rFonts w:ascii="Times New Roman" w:hAnsi="Times New Roman"/>
          <w:color w:val="0070C0"/>
          <w:sz w:val="16"/>
          <w:szCs w:val="16"/>
        </w:rPr>
        <w:softHyphen/>
        <w:t>рый считался в институте одним из специали</w:t>
      </w:r>
      <w:r w:rsidRPr="008A2E5A">
        <w:rPr>
          <w:rFonts w:ascii="Times New Roman" w:hAnsi="Times New Roman"/>
          <w:color w:val="0070C0"/>
          <w:sz w:val="16"/>
          <w:szCs w:val="16"/>
        </w:rPr>
        <w:softHyphen/>
        <w:t>стов по немецким истребителям.</w:t>
      </w:r>
    </w:p>
    <w:p w14:paraId="4C949DEE"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первых же дней он столкнулся с серьез</w:t>
      </w:r>
      <w:r w:rsidRPr="008A2E5A">
        <w:rPr>
          <w:rFonts w:ascii="Times New Roman" w:hAnsi="Times New Roman"/>
          <w:color w:val="0070C0"/>
          <w:sz w:val="16"/>
          <w:szCs w:val="16"/>
        </w:rPr>
        <w:softHyphen/>
        <w:t>ными проблемами. Выяснилось, в частности, что машина уже не менее четырех раз серь</w:t>
      </w:r>
      <w:r w:rsidRPr="008A2E5A">
        <w:rPr>
          <w:rFonts w:ascii="Times New Roman" w:hAnsi="Times New Roman"/>
          <w:color w:val="0070C0"/>
          <w:sz w:val="16"/>
          <w:szCs w:val="16"/>
        </w:rPr>
        <w:softHyphen/>
        <w:t>езно ремонтировалась и являлась весьма из</w:t>
      </w:r>
      <w:r w:rsidRPr="008A2E5A">
        <w:rPr>
          <w:rFonts w:ascii="Times New Roman" w:hAnsi="Times New Roman"/>
          <w:color w:val="0070C0"/>
          <w:sz w:val="16"/>
          <w:szCs w:val="16"/>
        </w:rPr>
        <w:softHyphen/>
        <w:t>ношенной. Неустойчивая весенняя погода и частые запреты П ВО на полеты также тормо</w:t>
      </w:r>
      <w:r w:rsidRPr="008A2E5A">
        <w:rPr>
          <w:rFonts w:ascii="Times New Roman" w:hAnsi="Times New Roman"/>
          <w:color w:val="0070C0"/>
          <w:sz w:val="16"/>
          <w:szCs w:val="16"/>
        </w:rPr>
        <w:softHyphen/>
        <w:t>зили ход работы. 5 апреля 1942 г. Розанов пи</w:t>
      </w:r>
      <w:r w:rsidRPr="008A2E5A">
        <w:rPr>
          <w:rFonts w:ascii="Times New Roman" w:hAnsi="Times New Roman"/>
          <w:color w:val="0070C0"/>
          <w:sz w:val="16"/>
          <w:szCs w:val="16"/>
        </w:rPr>
        <w:softHyphen/>
        <w:t>сал своему непосредственному начальнику А.Н. Фролову: «При построении высотной ха</w:t>
      </w:r>
      <w:r w:rsidRPr="008A2E5A">
        <w:rPr>
          <w:rFonts w:ascii="Times New Roman" w:hAnsi="Times New Roman"/>
          <w:color w:val="0070C0"/>
          <w:sz w:val="16"/>
          <w:szCs w:val="16"/>
        </w:rPr>
        <w:softHyphen/>
        <w:t>рактеристики возникла «панама». Давление нагнетателя незначительно уменьшается до границы высотности 2900 м, а затем резко па</w:t>
      </w:r>
      <w:r w:rsidRPr="008A2E5A">
        <w:rPr>
          <w:rFonts w:ascii="Times New Roman" w:hAnsi="Times New Roman"/>
          <w:color w:val="0070C0"/>
          <w:sz w:val="16"/>
          <w:szCs w:val="16"/>
        </w:rPr>
        <w:softHyphen/>
        <w:t>дает. Возможно, что сильно изношена муфта нагнетателя, которая становится «бессиль</w:t>
      </w:r>
      <w:r w:rsidRPr="008A2E5A">
        <w:rPr>
          <w:rFonts w:ascii="Times New Roman" w:hAnsi="Times New Roman"/>
          <w:color w:val="0070C0"/>
          <w:sz w:val="16"/>
          <w:szCs w:val="16"/>
        </w:rPr>
        <w:softHyphen/>
        <w:t>ной» с высотой. Командованию докладываю регулярно, и оно, конечно, ругает за затяжку испытаний. Придется «докачивать» высотно</w:t>
      </w:r>
      <w:r w:rsidRPr="008A2E5A">
        <w:rPr>
          <w:rFonts w:ascii="Times New Roman" w:hAnsi="Times New Roman"/>
          <w:color w:val="0070C0"/>
          <w:sz w:val="16"/>
          <w:szCs w:val="16"/>
        </w:rPr>
        <w:softHyphen/>
        <w:t>скоростную характеристику наукой...».</w:t>
      </w:r>
    </w:p>
    <w:p w14:paraId="7C7B8401"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апреля 1942 г. составление отче</w:t>
      </w:r>
      <w:r w:rsidRPr="008A2E5A">
        <w:rPr>
          <w:rFonts w:ascii="Times New Roman" w:hAnsi="Times New Roman"/>
          <w:color w:val="0070C0"/>
          <w:sz w:val="16"/>
          <w:szCs w:val="16"/>
        </w:rPr>
        <w:softHyphen/>
        <w:t>та по испытаниям Bf 109F завершили. Выво</w:t>
      </w:r>
      <w:r w:rsidRPr="008A2E5A">
        <w:rPr>
          <w:rFonts w:ascii="Times New Roman" w:hAnsi="Times New Roman"/>
          <w:color w:val="0070C0"/>
          <w:sz w:val="16"/>
          <w:szCs w:val="16"/>
        </w:rPr>
        <w:softHyphen/>
        <w:t>ды Розанова мало отличались от тех, что сде</w:t>
      </w:r>
      <w:r w:rsidRPr="008A2E5A">
        <w:rPr>
          <w:rFonts w:ascii="Times New Roman" w:hAnsi="Times New Roman"/>
          <w:color w:val="0070C0"/>
          <w:sz w:val="16"/>
          <w:szCs w:val="16"/>
        </w:rPr>
        <w:softHyphen/>
        <w:t>лал А.Н. Фролов до проведения испытаний, однако имелись и кое-какие отличия. В част</w:t>
      </w:r>
      <w:r w:rsidRPr="008A2E5A">
        <w:rPr>
          <w:rFonts w:ascii="Times New Roman" w:hAnsi="Times New Roman"/>
          <w:color w:val="0070C0"/>
          <w:sz w:val="16"/>
          <w:szCs w:val="16"/>
        </w:rPr>
        <w:softHyphen/>
        <w:t>ности, было достоверно установлено, что Bf 109F летал у земли на 70 км/ч быстрее, чем Bf 109Е, причем примерно половина при</w:t>
      </w:r>
      <w:r w:rsidRPr="008A2E5A">
        <w:rPr>
          <w:rFonts w:ascii="Times New Roman" w:hAnsi="Times New Roman"/>
          <w:color w:val="0070C0"/>
          <w:sz w:val="16"/>
          <w:szCs w:val="16"/>
        </w:rPr>
        <w:softHyphen/>
        <w:t>роста скорости была получена благодаря более мощному двигателю DB 601N, а дру</w:t>
      </w:r>
      <w:r w:rsidRPr="008A2E5A">
        <w:rPr>
          <w:rFonts w:ascii="Times New Roman" w:hAnsi="Times New Roman"/>
          <w:color w:val="0070C0"/>
          <w:sz w:val="16"/>
          <w:szCs w:val="16"/>
        </w:rPr>
        <w:softHyphen/>
        <w:t>гая — благодаря лучшей аэродинамике. Так, улучшение тоннелей и формы жидкостных радиаторов добавляло 12—14 км/ч, уборка хвостового колеса и ликвидация подкосов оперения — 7—8 км/ч, отказ от зависающих элеронов и щелевых закрылков (при этом ликвидировались щели, создававшие допол</w:t>
      </w:r>
      <w:r w:rsidRPr="008A2E5A">
        <w:rPr>
          <w:rFonts w:ascii="Times New Roman" w:hAnsi="Times New Roman"/>
          <w:color w:val="0070C0"/>
          <w:sz w:val="16"/>
          <w:szCs w:val="16"/>
        </w:rPr>
        <w:softHyphen/>
        <w:t>нительное сопротивление) — еще 6—7 км/ч.</w:t>
      </w:r>
    </w:p>
    <w:p w14:paraId="298424AF"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Важное место в отчете заняла эксплуата</w:t>
      </w:r>
      <w:r w:rsidRPr="008A2E5A">
        <w:rPr>
          <w:rFonts w:ascii="Times New Roman" w:hAnsi="Times New Roman"/>
          <w:color w:val="0070C0"/>
          <w:sz w:val="16"/>
          <w:szCs w:val="16"/>
        </w:rPr>
        <w:softHyphen/>
        <w:t>ционная оценка истребителя. Советские спе</w:t>
      </w:r>
      <w:r w:rsidRPr="008A2E5A">
        <w:rPr>
          <w:rFonts w:ascii="Times New Roman" w:hAnsi="Times New Roman"/>
          <w:color w:val="0070C0"/>
          <w:sz w:val="16"/>
          <w:szCs w:val="16"/>
        </w:rPr>
        <w:softHyphen/>
        <w:t>циалисты отметили хорошие подходы к агре</w:t>
      </w:r>
      <w:r w:rsidRPr="008A2E5A">
        <w:rPr>
          <w:rFonts w:ascii="Times New Roman" w:hAnsi="Times New Roman"/>
          <w:color w:val="0070C0"/>
          <w:sz w:val="16"/>
          <w:szCs w:val="16"/>
        </w:rPr>
        <w:softHyphen/>
        <w:t>гатам мотора, особенно свечам, удобно вы</w:t>
      </w:r>
      <w:r w:rsidRPr="008A2E5A">
        <w:rPr>
          <w:rFonts w:ascii="Times New Roman" w:hAnsi="Times New Roman"/>
          <w:color w:val="0070C0"/>
          <w:sz w:val="16"/>
          <w:szCs w:val="16"/>
        </w:rPr>
        <w:softHyphen/>
        <w:t>полненное капотирование двигателя, значи</w:t>
      </w:r>
      <w:r w:rsidRPr="008A2E5A">
        <w:rPr>
          <w:rFonts w:ascii="Times New Roman" w:hAnsi="Times New Roman"/>
          <w:color w:val="0070C0"/>
          <w:sz w:val="16"/>
          <w:szCs w:val="16"/>
        </w:rPr>
        <w:softHyphen/>
        <w:t>тельное облегчение работы пилота благодаря внедрению различных автоматов, в том числе регулирующих температуру воды и масла в моторе.</w:t>
      </w:r>
    </w:p>
    <w:p w14:paraId="4D800D0A"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специалисты института провели учебный воздушный бой Bf 109F с Як-1 (зав. № 0511) и выработали рекоменда</w:t>
      </w:r>
      <w:r w:rsidRPr="008A2E5A">
        <w:rPr>
          <w:rFonts w:ascii="Times New Roman" w:hAnsi="Times New Roman"/>
          <w:color w:val="0070C0"/>
          <w:sz w:val="16"/>
          <w:szCs w:val="16"/>
        </w:rPr>
        <w:softHyphen/>
        <w:t>ции для летного состава строевых частей ВВС Красной Армии. При этом они «закрыли гла</w:t>
      </w:r>
      <w:r w:rsidRPr="008A2E5A">
        <w:rPr>
          <w:rFonts w:ascii="Times New Roman" w:hAnsi="Times New Roman"/>
          <w:color w:val="0070C0"/>
          <w:sz w:val="16"/>
          <w:szCs w:val="16"/>
        </w:rPr>
        <w:softHyphen/>
        <w:t>за» на неисправность турбомуфты трофейной машины. В результате получилось, что шансы советского истребителя на победу станови</w:t>
      </w:r>
      <w:r w:rsidRPr="008A2E5A">
        <w:rPr>
          <w:rFonts w:ascii="Times New Roman" w:hAnsi="Times New Roman"/>
          <w:color w:val="0070C0"/>
          <w:sz w:val="16"/>
          <w:szCs w:val="16"/>
        </w:rPr>
        <w:softHyphen/>
        <w:t>лись тем больше, чем выше поднимались самолеты. Если вблизи земли полное превос</w:t>
      </w:r>
      <w:r w:rsidRPr="008A2E5A">
        <w:rPr>
          <w:rFonts w:ascii="Times New Roman" w:hAnsi="Times New Roman"/>
          <w:color w:val="0070C0"/>
          <w:sz w:val="16"/>
          <w:szCs w:val="16"/>
        </w:rPr>
        <w:softHyphen/>
        <w:t>ходство «мессера» не вызывало сомнений, и отечественным летчикам рекомендовались лобовые атаки, то с высоты 3000 м шансы уравнивались, а на 5000 м «Яковлев», будто бы, получал полное преимущество вскорости и маневренности. Иными словами, летчикам предписывалось затягивать немецкие истре</w:t>
      </w:r>
      <w:r w:rsidRPr="008A2E5A">
        <w:rPr>
          <w:rFonts w:ascii="Times New Roman" w:hAnsi="Times New Roman"/>
          <w:color w:val="0070C0"/>
          <w:sz w:val="16"/>
          <w:szCs w:val="16"/>
        </w:rPr>
        <w:softHyphen/>
        <w:t>бители на высоту.</w:t>
      </w:r>
    </w:p>
    <w:p w14:paraId="44810CB4" w14:textId="77777777" w:rsidR="005F34F5" w:rsidRPr="008A2E5A" w:rsidRDefault="005F34F5" w:rsidP="005F34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Увы, эти рекомендации не отражали ис</w:t>
      </w:r>
      <w:r w:rsidRPr="008A2E5A">
        <w:rPr>
          <w:rFonts w:ascii="Times New Roman" w:hAnsi="Times New Roman"/>
          <w:color w:val="0070C0"/>
          <w:sz w:val="16"/>
          <w:szCs w:val="16"/>
        </w:rPr>
        <w:softHyphen/>
        <w:t>тинного положения дел. Из германских мате</w:t>
      </w:r>
      <w:r w:rsidRPr="008A2E5A">
        <w:rPr>
          <w:rFonts w:ascii="Times New Roman" w:hAnsi="Times New Roman"/>
          <w:color w:val="0070C0"/>
          <w:sz w:val="16"/>
          <w:szCs w:val="16"/>
        </w:rPr>
        <w:softHyphen/>
        <w:t>риалов и результатов испытаний в Велико</w:t>
      </w:r>
      <w:r w:rsidRPr="008A2E5A">
        <w:rPr>
          <w:rFonts w:ascii="Times New Roman" w:hAnsi="Times New Roman"/>
          <w:color w:val="0070C0"/>
          <w:sz w:val="16"/>
          <w:szCs w:val="16"/>
        </w:rPr>
        <w:softHyphen/>
        <w:t>британии следовало, что Bf I09F с мотором DB 601N развивал на высоте 6000 м макси</w:t>
      </w:r>
      <w:r w:rsidRPr="008A2E5A">
        <w:rPr>
          <w:rFonts w:ascii="Times New Roman" w:hAnsi="Times New Roman"/>
          <w:color w:val="0070C0"/>
          <w:sz w:val="16"/>
          <w:szCs w:val="16"/>
        </w:rPr>
        <w:softHyphen/>
        <w:t>мальную скорость 597—600 км/ч, а вовсе не 552 км/ч. как это указано в отчете в НИИ ВВС. Следовательно, «мессер» превосходил на высотах до 5000 м все отечественные ис</w:t>
      </w:r>
      <w:r w:rsidRPr="008A2E5A">
        <w:rPr>
          <w:rFonts w:ascii="Times New Roman" w:hAnsi="Times New Roman"/>
          <w:color w:val="0070C0"/>
          <w:sz w:val="16"/>
          <w:szCs w:val="16"/>
        </w:rPr>
        <w:softHyphen/>
        <w:t>требители, включая серийные МиГ-3 (на 20— 30 км/ч). Для «яка» же рекомендация о пред</w:t>
      </w:r>
      <w:r w:rsidRPr="008A2E5A">
        <w:rPr>
          <w:rFonts w:ascii="Times New Roman" w:hAnsi="Times New Roman"/>
          <w:color w:val="0070C0"/>
          <w:sz w:val="16"/>
          <w:szCs w:val="16"/>
        </w:rPr>
        <w:softHyphen/>
        <w:t>почтительности затягивания противника на высоты более 5000 м диаметрально противо</w:t>
      </w:r>
      <w:r w:rsidRPr="008A2E5A">
        <w:rPr>
          <w:rFonts w:ascii="Times New Roman" w:hAnsi="Times New Roman"/>
          <w:color w:val="0070C0"/>
          <w:sz w:val="16"/>
          <w:szCs w:val="16"/>
        </w:rPr>
        <w:softHyphen/>
        <w:t>речила действительности. Материалы работы и подробное техническое описание Bf 109F размножили и довели до сведения команди</w:t>
      </w:r>
      <w:r w:rsidRPr="008A2E5A">
        <w:rPr>
          <w:rFonts w:ascii="Times New Roman" w:hAnsi="Times New Roman"/>
          <w:color w:val="0070C0"/>
          <w:sz w:val="16"/>
          <w:szCs w:val="16"/>
        </w:rPr>
        <w:softHyphen/>
        <w:t>ров и штабов (24195).</w:t>
      </w:r>
    </w:p>
    <w:p w14:paraId="25D12797" w14:textId="77777777" w:rsidR="005F34F5" w:rsidRPr="008A2E5A" w:rsidRDefault="005F34F5" w:rsidP="005F34F5">
      <w:pPr>
        <w:spacing w:after="0" w:line="240" w:lineRule="auto"/>
        <w:jc w:val="both"/>
        <w:rPr>
          <w:rFonts w:ascii="Times New Roman" w:hAnsi="Times New Roman"/>
          <w:color w:val="0070C0"/>
          <w:sz w:val="16"/>
          <w:szCs w:val="16"/>
        </w:rPr>
      </w:pPr>
    </w:p>
    <w:p w14:paraId="1F5478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закончились испытания первого опытного экз. тяжелого грузового планера (25 чел., 76 мм пушка с расчетом или танкетка К-27 с экипажем) Л.П.Курбалы КГ - Курбала-грузовой, которые шли с 9 января в Сталинграде на деревообрабатываюбщем (тарном) заводе. Летал В.П.Федоров. 10 полетов из 11 пришлись на последние 3 дня с 20 по 22 февраля. Буксировали за ТБ-3. ЦАГИ установил ограничения на полетную массу 3400 кг, а скорость - 170 км/час. Решили, что необходимо дорабатывать (94,82).</w:t>
      </w:r>
    </w:p>
    <w:p w14:paraId="06A087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C0B8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г. на аэродроме под Ста</w:t>
      </w:r>
      <w:r w:rsidRPr="008127F8">
        <w:rPr>
          <w:rFonts w:ascii="Times New Roman" w:hAnsi="Times New Roman"/>
          <w:color w:val="000000" w:themeColor="text1"/>
          <w:sz w:val="16"/>
          <w:szCs w:val="16"/>
        </w:rPr>
        <w:softHyphen/>
        <w:t>линградом закончились испытания опытного планера К-Г Курбалы, которые шли с 9 ян</w:t>
      </w:r>
      <w:r w:rsidRPr="008127F8">
        <w:rPr>
          <w:rFonts w:ascii="Times New Roman" w:hAnsi="Times New Roman"/>
          <w:color w:val="000000" w:themeColor="text1"/>
          <w:sz w:val="16"/>
          <w:szCs w:val="16"/>
        </w:rPr>
        <w:softHyphen/>
        <w:t>варя. Летал В.П. Фёдоров. Буксировал планер ТБ-3. Испытания сразу же осложнились поломками, доработками, исправлениями производственного брака и корректировками проекта. Обнаружилась не</w:t>
      </w:r>
      <w:r w:rsidRPr="008127F8">
        <w:rPr>
          <w:rFonts w:ascii="Times New Roman" w:hAnsi="Times New Roman"/>
          <w:color w:val="000000" w:themeColor="text1"/>
          <w:sz w:val="16"/>
          <w:szCs w:val="16"/>
        </w:rPr>
        <w:softHyphen/>
        <w:t>достаточная прочность некоторых узлов.</w:t>
      </w:r>
    </w:p>
    <w:p w14:paraId="32A33839"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проведенных испытаний выяснили, что летные данные К-Г не соответствуют техническим требованиям из-за недостаточной прочности и пере- тяжеления конструкции. Однако благодаря возмож</w:t>
      </w:r>
      <w:r w:rsidRPr="008127F8">
        <w:rPr>
          <w:rFonts w:ascii="Times New Roman" w:hAnsi="Times New Roman"/>
          <w:color w:val="000000" w:themeColor="text1"/>
          <w:sz w:val="16"/>
          <w:szCs w:val="16"/>
        </w:rPr>
        <w:softHyphen/>
        <w:t>ности транспортирования тяжелых грузов, которой не было у других советских планеров, К-Г рекомендова</w:t>
      </w:r>
      <w:r w:rsidRPr="008127F8">
        <w:rPr>
          <w:rFonts w:ascii="Times New Roman" w:hAnsi="Times New Roman"/>
          <w:color w:val="000000" w:themeColor="text1"/>
          <w:sz w:val="16"/>
          <w:szCs w:val="16"/>
        </w:rPr>
        <w:softHyphen/>
        <w:t>ли к серийному производству, конечно, после устра</w:t>
      </w:r>
      <w:r w:rsidRPr="008127F8">
        <w:rPr>
          <w:rFonts w:ascii="Times New Roman" w:hAnsi="Times New Roman"/>
          <w:color w:val="000000" w:themeColor="text1"/>
          <w:sz w:val="16"/>
          <w:szCs w:val="16"/>
        </w:rPr>
        <w:softHyphen/>
        <w:t>нения всех замечаний (12300).</w:t>
      </w:r>
    </w:p>
    <w:p w14:paraId="3AB0B80D"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2891A04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5BF21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F7E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г. вышло РАСПОРЯЖЕНИЕ ЗАМЕСТИТЕЛЯ НАЧАЛЬНИКА ГАБТУ КА НАЧАЛЬНИКУ НИ ПОЛИГОНА О ПРОВЕДЕНИИ ИСПЫТАНИЯ АМЕРИКАНСКИХ ТАНКОВ</w:t>
      </w:r>
    </w:p>
    <w:p w14:paraId="104816D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Провести до 5 марта 1942 года испытания американских танков на отечественном бензине, подо</w:t>
      </w:r>
      <w:r w:rsidRPr="008127F8">
        <w:rPr>
          <w:rFonts w:ascii="Times New Roman" w:hAnsi="Times New Roman"/>
          <w:color w:val="000000" w:themeColor="text1"/>
          <w:sz w:val="16"/>
          <w:szCs w:val="16"/>
        </w:rPr>
        <w:softHyphen/>
        <w:t>брать присадки таким образом, чтобы октановое число соответствовало требованиям американцев. Приложение: сообщение Наркомвнешторга на 1 листе.</w:t>
      </w:r>
    </w:p>
    <w:p w14:paraId="38A1A4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ГАБТУ КА генерал-майор технических войск Лебедев</w:t>
      </w:r>
    </w:p>
    <w:p w14:paraId="2C2628A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4EF2518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647. Л. 30. Копия (11211).</w:t>
      </w:r>
    </w:p>
    <w:p w14:paraId="412D9C9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DD98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вышел приказ № 1/219сс НК танковой промышленности и НК станкостроения:</w:t>
      </w:r>
    </w:p>
    <w:p w14:paraId="0930A7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СНК от 21 февраля 1942 за № 227-</w:t>
      </w:r>
      <w:proofErr w:type="gramStart"/>
      <w:r w:rsidRPr="008127F8">
        <w:rPr>
          <w:rFonts w:ascii="Times New Roman" w:hAnsi="Times New Roman"/>
          <w:color w:val="000000" w:themeColor="text1"/>
          <w:sz w:val="16"/>
          <w:szCs w:val="16"/>
        </w:rPr>
        <w:t>122сс</w:t>
      </w:r>
      <w:proofErr w:type="gramEnd"/>
      <w:r w:rsidRPr="008127F8">
        <w:rPr>
          <w:rFonts w:ascii="Times New Roman" w:hAnsi="Times New Roman"/>
          <w:color w:val="000000" w:themeColor="text1"/>
          <w:sz w:val="16"/>
          <w:szCs w:val="16"/>
        </w:rPr>
        <w:t xml:space="preserve"> Приказываем:</w:t>
      </w:r>
    </w:p>
    <w:p w14:paraId="2AA5A8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Возвратить из системы Наркомтанкопромы в НК станкостроения станкостроительные, </w:t>
      </w:r>
      <w:proofErr w:type="gramStart"/>
      <w:r w:rsidRPr="008127F8">
        <w:rPr>
          <w:rFonts w:ascii="Times New Roman" w:hAnsi="Times New Roman"/>
          <w:color w:val="000000" w:themeColor="text1"/>
          <w:sz w:val="16"/>
          <w:szCs w:val="16"/>
        </w:rPr>
        <w:t>кузнечно-прессовые</w:t>
      </w:r>
      <w:proofErr w:type="gramEnd"/>
      <w:r w:rsidRPr="008127F8">
        <w:rPr>
          <w:rFonts w:ascii="Times New Roman" w:hAnsi="Times New Roman"/>
          <w:color w:val="000000" w:themeColor="text1"/>
          <w:sz w:val="16"/>
          <w:szCs w:val="16"/>
        </w:rPr>
        <w:t xml:space="preserve"> и вновь строящиеся предприятия, согласно приложениям № 1 и № 2 (РГАЭ, ф. 8752, оп. 4, д. 83, л. 218) (6044).</w:t>
      </w:r>
    </w:p>
    <w:p w14:paraId="303FF1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06D8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1467E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69A3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7908563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22 февраля наши войска продолжали вести активные боевые действия против немецко-фашистских войск.</w:t>
      </w:r>
    </w:p>
    <w:p w14:paraId="4FDFD158"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отбила контратаку противника на село С. На поле боя осталось 200 трупов вражеских солдат и офицеров.</w:t>
      </w:r>
    </w:p>
    <w:p w14:paraId="586F0FA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Южного фронта, преодолевая упорное сопротивление противника, захватила два населённых пункта. На другом участке фронта наши бойцы уничтожили 10 немецких танков, захватили 7 орудий, 10 миномётов и 16 пулемётов.</w:t>
      </w:r>
    </w:p>
    <w:p w14:paraId="37B989F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Авиационная часть, где командиром тов. Немцевич, действующая на одном из участков Юго-Западного фронта, за 5 дней боевых действий разрушила железнодорожный вокзал, уничтожила и повредила 9 немецких танков, 180 автомашин с войсками и грузами, 7 бронемашин, 180 повозок, 7 зенитно-пулемётных точек, 4 бензоцистерны и две радиостанции. Лётчики подавили огонь и повредили до 80 орудий разных калибров, 140 миномётов, 50 пулемётов, разбили и рассеяли до полка пехоты противника. В воздушных боях сбито 5 немецких самолётов. Лейтенант Васильев протаранил немецкий истребитель и благополучно приземлился на своём аэродроме.</w:t>
      </w:r>
    </w:p>
    <w:p w14:paraId="63ED7C19"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имени Лазо, действующий в Смоленской области, ворвался в одно село, где 11 немецких квартирьеров подготовляли помещение для немецкой части. Партизаны перебили немецких квартирьеров и устроили засаду около села. Вскоре на дороге показались две грузовые автомашины с немецкой пехотой. Огнём из автоматов и гранатами бойцы взорвали машины и уничтожили 44 гитлеровца.</w:t>
      </w:r>
    </w:p>
    <w:p w14:paraId="28BEC8F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7 роты 431 полка 131 немецкой пехотной дивизии Иозеф Вальте рассказал: «До 15 января 1942 года я работал на военном заводе Герсте в Майнце и пользовался отсрочкой. Сейчас, в связи с огромными потерями немецкой армии, в Германии проводится массовая мобилизация в армию рабочих военной промышленности. Месяц тому назад с завода Герсте мобилизовали в армию 100 человек. Я тоже оказался в их числе. У меня нет никакой военной подготовки. Вместе с группой таких же необученных солдат меня направили на советско-германский фронт. Когда я прибыл в свою роту, в ней оказалось всего 4 солдата, 2 унтер-офицера, </w:t>
      </w:r>
      <w:r w:rsidRPr="008127F8">
        <w:rPr>
          <w:rFonts w:ascii="Times New Roman" w:hAnsi="Times New Roman"/>
          <w:color w:val="000000" w:themeColor="text1"/>
          <w:sz w:val="16"/>
          <w:szCs w:val="16"/>
        </w:rPr>
        <w:lastRenderedPageBreak/>
        <w:t>1 фельдфебель и командир роты лейтенант Верните. Вместе с пополнением рота насчитывала 19 человек. В первой же атаке русские вывели из строя 9 человек. В 8 роте, с которой мы действовали вместе, положение не лучше. Я понял, что мы обречены на верную смерть, и на следующий день сдался в плен».</w:t>
      </w:r>
    </w:p>
    <w:p w14:paraId="3A30653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4 роты 497 полка 267 пехотной дивизии Альфред Готе рассказал: «В плен я попал при следующих обстоятельствах: деревня, в которой мы находились, была окружена русскими. Я и ещё семь солдат находились в это время в избе. Я предложил товарищам сложить оружие. С поднятыми руками мы вышли из избы и сдались в плен. В 497 полку почти не осталась офицеров. Нашим батальоном командовал лейтенант. Среди солдат, прибывающих в полк для пополнения, около 30 процентов непригодных к военной службе».</w:t>
      </w:r>
    </w:p>
    <w:p w14:paraId="6DA73B9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Орловка, Орловской области, немецко-фашистские мерзавцы согнали 49 женщин, детей и стариков, заперли их в доме, а затем бросили в окно связку гранат и подожгли дом. Спаслось только шесть человек. Остальные сгорели.</w:t>
      </w:r>
    </w:p>
    <w:p w14:paraId="43A585B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Фрезеровщик Энского завода на Урале тов. Д. Ф. Босой выполнил сменную норму на 1.480 процентов. На следующий день он выполнил задание на 1.438 процентов. За четыре рабочих дня стахановец выполнил двухмесячное задание.» (15048).</w:t>
      </w:r>
    </w:p>
    <w:p w14:paraId="40088FEF"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2386895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7B505779"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февраля наши войска, преодолевая сопротивление противника, продвинулись вперёд и заняли несколько населённых пунктов.</w:t>
      </w:r>
    </w:p>
    <w:p w14:paraId="5438C0F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февраля уничтожено 16 немецких самолётов. Наши потери — 5 самолётов.</w:t>
      </w:r>
    </w:p>
    <w:p w14:paraId="2050391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февраля частями нашей авиации уничтожено и повреждено 5 немецких танков, 240 автомашин с войсками и грузами, автоцистерна с горючим, 65 повозок с боеприпасами и войсками, 19 орудий, 4 зенитно-пулемётные точки, 20 миномётов, взорван склад с боеприпасами, разрушено 4 железнодорожных вагона, рассеяно и частично уничтожено до двух батальонов пехоты противника.</w:t>
      </w:r>
    </w:p>
    <w:p w14:paraId="40AC2F3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преодолевая упорное сопротивление противника, за один день боёв заняли 15 населённых пунктов. Враг понёс большие потери. В районе пункта П. разгромлено два румынских пехотных батальона. На другом участке наши бойцы захватили 2 вражеских танка, 4 орудия, 14 пулемётов и 3 миномёта и уничтожили 14 танков и 39 орудий. Противник оставил на поле боя 500 трупов солдат и офицеров.</w:t>
      </w:r>
    </w:p>
    <w:p w14:paraId="289CC386"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Юго-Западного фронта, отражая многочисленные контратаки немцев, продвинулись вперёд, заняли 8 населённых пунктов и нанесли большой урон противнику в живой силе и технике. Только в боях за населённый пункт М. уничтожено более 200 гитлеровцев.</w:t>
      </w:r>
    </w:p>
    <w:p w14:paraId="2105C466"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где командиром тов. Реутов (Западный фронт), отражая контратаку вражеского полка, отсекли пехоту противника от танков, уничтожили и рассеяли до 400 вражеских солдат.</w:t>
      </w:r>
    </w:p>
    <w:p w14:paraId="754C32E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Героически борется против немецко-фашистских захватчиков автоматчик Хадзимурза Заурбекович Мильдзихов, по национальности осетин (уроженец села Эльхотово, Северо-Осетинской автономной республики). Недавно он под огнём противника подполз к вражескому ДЗОТу, откуда немцы вели пулемётный огонь по нашим частям. Очередью из автомата Мильдзихов выгнал из ДЗОТа 11 гитлеровцев. Шестерых из них он убил, остальные скрылись. Вскоре после этого т. Мильдзихов, находясь вместе с лейтенантом Черновым в разведке, столкнулся с большой группой немцев и вступил с нею в бой. Автомат Чернова разбила вражеская пуля. Тов. Мильдзихов один продолжал расстреливать немцев до тех пор, пока не подоспело подкрепление. Тов. Хадзимурза Мильдзихов уничтожил в этом бою 108 немцев. Всего за время Отечественной войны храбрый разведчик уничтожил 130 немецких солдат и офицеров.</w:t>
      </w:r>
    </w:p>
    <w:p w14:paraId="074A9EF2"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Ганса Кейплера найден дневник. Вот что он в нём писал:</w:t>
      </w:r>
    </w:p>
    <w:p w14:paraId="54C04C4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декабря. Тревога. Русские самолёты атаковали нас.</w:t>
      </w:r>
    </w:p>
    <w:p w14:paraId="703C347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декабря. Сражение и отступление.</w:t>
      </w:r>
    </w:p>
    <w:p w14:paraId="50B6655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декабря. Русские нас преследуют. Мы несём большие потери.</w:t>
      </w:r>
    </w:p>
    <w:p w14:paraId="0059C06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января. Я отморозил себе ноги... Жизнь так страшна.</w:t>
      </w:r>
    </w:p>
    <w:p w14:paraId="0E36D91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Я в обозе. Смерть была так близка... Она скоро станет лучшим другом.</w:t>
      </w:r>
    </w:p>
    <w:p w14:paraId="6932ADC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января. Цвар сошёл с ума. Он офицер запаса.</w:t>
      </w:r>
    </w:p>
    <w:p w14:paraId="5842A25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Цвар умер.</w:t>
      </w:r>
    </w:p>
    <w:p w14:paraId="0F5BB6B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Отступление. Страшный холод. Пулемёт отказал.</w:t>
      </w:r>
    </w:p>
    <w:p w14:paraId="4C7E01D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Лес. Ледяной холод. Убит унтер-офицер. Унтус — последний унтер-офицер роты. Сколько здесь потеряно! Русские напали на наш транспорт.</w:t>
      </w:r>
    </w:p>
    <w:p w14:paraId="19189F9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февраля. Сыпной тиф. Мы будем находиться 14 дней в изоляторе. Питания очень мало...».</w:t>
      </w:r>
    </w:p>
    <w:p w14:paraId="60B0516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434 полка 131 немецкой пехотной дивизии Иоганес Шмусневитц рассказал: «В конце декабря наша рота насчитывала 160 человек. При отступлении из Калуги мы потеряли убитыми и ранеными 70 человек. 12 января рота пополнилась: в неё влилось до 50 солдат. С тех пор из строя выбыло ещё 60 человек. У 16 солдат сильно обморожены ноги. Командир роты их не отпустил в госпиталь и направил всех в строй. Мы всё время голодаем».</w:t>
      </w:r>
    </w:p>
    <w:p w14:paraId="6730CB6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наших войск, немцы сожгли деревню Редькино, Смоленской области. Всего сгорело 84 дома со всем имуществом колхозников. Жители, пытавшиеся затушить пожар, были обстреляны гитлеровцами.</w:t>
      </w:r>
    </w:p>
    <w:p w14:paraId="55F8954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Растенбурге (Германия) возникшим ночью пожаром уничтожены бараки, где находились больные сыпным тифом иностранные рабочие — итальянцы и румыны, недавно прибывшие в Германию. Во время пожара погибло свыше 300 больных. Есть основания предполагать, что пожар — дело рук местных штурмовиков.</w:t>
      </w:r>
    </w:p>
    <w:p w14:paraId="3C836A42"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Грузии ко Дню Красной Армии направили на фронт в подарок бойцам, командирам, комиссарам и политработникам 65 тонн мяса, свыше 20 тонн сала, ветчины и колбасных изделий, 20.000 штук битой птицы, 15 тонн сыра, более 2 тонн масла, 21.500 декалитров вина, 42 тонны яблок, 30 тонн цитрусовых плодов, 30 тонн орехов, большое количество мёда, папирос и табаку. Помимо этого, отправлено свыше 15.000 личных посылок.» (15048).</w:t>
      </w:r>
    </w:p>
    <w:p w14:paraId="189038ED"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6FE4927E" w14:textId="77777777" w:rsidR="00D91537" w:rsidRPr="008127F8" w:rsidRDefault="00D91537"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русский генерал Власов (будущий предатель) награжден орденом Ленина (4962).</w:t>
      </w:r>
    </w:p>
    <w:p w14:paraId="2ED4E708" w14:textId="77777777" w:rsidR="00D91537" w:rsidRPr="008127F8" w:rsidRDefault="00D91537"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AFF01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февраля</w:t>
      </w:r>
      <w:r w:rsidRPr="008127F8">
        <w:rPr>
          <w:rFonts w:ascii="Times New Roman" w:hAnsi="Times New Roman"/>
          <w:color w:val="000000" w:themeColor="text1"/>
          <w:sz w:val="16"/>
          <w:szCs w:val="16"/>
        </w:rPr>
        <w:t xml:space="preserve"> в 1942 году советский генерал Власов награждается орденом Ленина (15048).</w:t>
      </w:r>
    </w:p>
    <w:p w14:paraId="509AF940"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6458E3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ТБ-3 разбомбил 8 вагонов с боеприпасами на станции Чаплино (556,222).</w:t>
      </w:r>
    </w:p>
    <w:p w14:paraId="412F55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59A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ТБ-7 (Пе-8) № 4214 выпуска марта 1940 с АЦН м Э.К.Пуссепа, возвращаясь с бомбежки ст. Витебск в 21:25 был атакован Ме-109, который трижды с зажженной фарой заходил сзади и и сбил его со 100 м из верхней ТАТ (ст.с Д.М.Кожин) (76616, 33).</w:t>
      </w:r>
    </w:p>
    <w:p w14:paraId="1C47EC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3DA26" w14:textId="77777777" w:rsidR="00C35F0B" w:rsidRPr="008127F8" w:rsidRDefault="00C35F0B"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22 февраля 1942 вылет на ж.д. узел Витебск-</w:t>
      </w:r>
    </w:p>
    <w:p w14:paraId="5C148AEA"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 42015, командир корабля полковник Алексеев, штурман майор Лебедев в 17.52 22.2.1942 г. стартовал с аэродрома Ковров на бомбардирование ж.д. узла Витебск с задачей уничтожения ж.д. эшелонов на ст. пассажирская.</w:t>
      </w:r>
    </w:p>
    <w:p w14:paraId="1B222C2B"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20 час 50 мин с высоты 6500 м на цель сброшены сорок ФАБ-100. Бомбы сброшены в два захода сериями залпов с интервалом 0,2 сек.</w:t>
      </w:r>
    </w:p>
    <w:p w14:paraId="09053C73" w14:textId="77777777" w:rsidR="00C35F0B" w:rsidRPr="008127F8" w:rsidRDefault="00C35F0B" w:rsidP="001E0A84">
      <w:pPr>
        <w:pStyle w:val="109"/>
        <w:shd w:val="clear" w:color="auto" w:fill="auto"/>
        <w:tabs>
          <w:tab w:val="left" w:pos="546"/>
        </w:tabs>
        <w:spacing w:line="240" w:lineRule="auto"/>
        <w:jc w:val="both"/>
        <w:rPr>
          <w:color w:val="000000" w:themeColor="text1"/>
          <w:sz w:val="16"/>
          <w:szCs w:val="16"/>
        </w:rPr>
      </w:pPr>
      <w:r w:rsidRPr="008127F8">
        <w:rPr>
          <w:color w:val="000000" w:themeColor="text1"/>
          <w:sz w:val="16"/>
          <w:szCs w:val="16"/>
        </w:rPr>
        <w:t>1-й заход серия залпов из 20 бомб в залпе по 2 бомбы. Все бомбы попали по путям сев. части ст. пассажирская. В результате бомбометания возник один очаг пожара.</w:t>
      </w:r>
    </w:p>
    <w:p w14:paraId="28ECBE8D" w14:textId="77777777" w:rsidR="00C35F0B" w:rsidRPr="008127F8" w:rsidRDefault="00C35F0B" w:rsidP="001E0A84">
      <w:pPr>
        <w:pStyle w:val="109"/>
        <w:shd w:val="clear" w:color="auto" w:fill="auto"/>
        <w:tabs>
          <w:tab w:val="left" w:pos="556"/>
        </w:tabs>
        <w:spacing w:line="240" w:lineRule="auto"/>
        <w:jc w:val="both"/>
        <w:rPr>
          <w:color w:val="000000" w:themeColor="text1"/>
          <w:sz w:val="16"/>
          <w:szCs w:val="16"/>
        </w:rPr>
      </w:pPr>
      <w:r w:rsidRPr="008127F8">
        <w:rPr>
          <w:color w:val="000000" w:themeColor="text1"/>
          <w:sz w:val="16"/>
          <w:szCs w:val="16"/>
        </w:rPr>
        <w:t xml:space="preserve">2-й заход серия залпов из 20 бомб в залпе по 2 бомбы, штурман наводил на цель ст. пассажирская, лётчик, доворачивая самолет, создал крен, штурман, увлекшийся прицеливанием </w:t>
      </w:r>
      <w:proofErr w:type="gramStart"/>
      <w:r w:rsidRPr="008127F8">
        <w:rPr>
          <w:color w:val="000000" w:themeColor="text1"/>
          <w:sz w:val="16"/>
          <w:szCs w:val="16"/>
        </w:rPr>
        <w:t>этого</w:t>
      </w:r>
      <w:proofErr w:type="gramEnd"/>
      <w:r w:rsidRPr="008127F8">
        <w:rPr>
          <w:color w:val="000000" w:themeColor="text1"/>
          <w:sz w:val="16"/>
          <w:szCs w:val="16"/>
        </w:rPr>
        <w:t xml:space="preserve"> не заметил и сбросил бомбы при крене, все бомбы попали в сев. восточную часть г. Витебск у реки Зап. Двина. От разрывов бомб возник сильный взрыв, от которого разлетелись во все стороны на большой радиус белые огни. Разрывы этих бомб и вызванный взрыв наблюдал экипаж капитана Лисачева, который как раз в это время подошел к цели.</w:t>
      </w:r>
    </w:p>
    <w:p w14:paraId="1D56F899"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районе цели сброшены 70 тыс. листовок.</w:t>
      </w:r>
    </w:p>
    <w:p w14:paraId="2C8BC31A"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Противодействие ПВО</w:t>
      </w:r>
      <w:proofErr w:type="gramStart"/>
      <w:r w:rsidRPr="008127F8">
        <w:rPr>
          <w:color w:val="000000" w:themeColor="text1"/>
          <w:sz w:val="16"/>
          <w:szCs w:val="16"/>
        </w:rPr>
        <w:t>: Над</w:t>
      </w:r>
      <w:proofErr w:type="gramEnd"/>
      <w:r w:rsidRPr="008127F8">
        <w:rPr>
          <w:color w:val="000000" w:themeColor="text1"/>
          <w:sz w:val="16"/>
          <w:szCs w:val="16"/>
        </w:rPr>
        <w:t xml:space="preserve"> целью ЗА до 4 орудий крупного и среднего калибра и до 6 точек малого калибра вела малоинтенсивный огонь по самолету, разрывы снарядов ниже самолета. Работало 6 прожекторов, из них два расположены у аэродрома.</w:t>
      </w:r>
    </w:p>
    <w:p w14:paraId="08C874CC"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Наблюдением экипажа установлено: 25-30 км северо-восточнее г. Витебска движение до 30 автомашин с зажженными фарами направлением движения к г. Витебск. С северо-запада направлением на г Белый движением отдельных групп автомашин. В р-не г. Белый пожары.</w:t>
      </w:r>
    </w:p>
    <w:p w14:paraId="0D355A01"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 при полете к цели до Загорск сплошная облачность, высота 200 м, далее до района цели и над целью ясно.</w:t>
      </w:r>
    </w:p>
    <w:p w14:paraId="52CA8C10"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Обратный полет - на всем маршруте, в районе аэродрома посадки ясно. В основном прогноз погоды оправдался, за исключением района посадки, где по прогнозу давалась облачная погода.</w:t>
      </w:r>
    </w:p>
    <w:p w14:paraId="3F6C2864"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После выполнения задания экипаж в 22 час 58 мин произвел посадку на своем аэродроме. Продолжительность полета 5 час 26 мин.</w:t>
      </w:r>
    </w:p>
    <w:p w14:paraId="3356515B" w14:textId="77777777" w:rsidR="00C35F0B" w:rsidRPr="008127F8" w:rsidRDefault="00C35F0B"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Матчасть: в полете не работали приборы: авиагоризонт 1 и 2 летчика, крутился ГПК автопилота (19105).</w:t>
      </w:r>
    </w:p>
    <w:p w14:paraId="117BDF69" w14:textId="77777777" w:rsidR="00C35F0B" w:rsidRPr="008127F8" w:rsidRDefault="00C35F0B" w:rsidP="001E0A84">
      <w:pPr>
        <w:pStyle w:val="109"/>
        <w:shd w:val="clear" w:color="auto" w:fill="auto"/>
        <w:spacing w:line="240" w:lineRule="auto"/>
        <w:jc w:val="both"/>
        <w:rPr>
          <w:color w:val="000000" w:themeColor="text1"/>
          <w:sz w:val="16"/>
          <w:szCs w:val="16"/>
        </w:rPr>
      </w:pPr>
    </w:p>
    <w:p w14:paraId="58368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22 февраля 1942 г. в составе ВВС Калининского фронта по состоянию числилось 13 истребительных авиационных полков, четыре из которых имели на вооружении Як-1 и пять - ЛаГГ-3 (5-й гвардейский, 21-й, 180-й, 193-й, 348-й). В 5-м гвардейском полку, вооруженном ЛаГГ-3 10-й серии, воевал в должности командира эскадрильи гвардии капитан Г. Д.Онуфриенко, к концу войны он сбил лично 21 самолет и 29 - в группе, причем 15 побед он одержал в составе 5-го ГИАП. Один Ju-88 сбил прямо над КП Калининского фронта на глазах у командующего генерал-полковника И.С.Конева. За январь 1942 г. летчики полка сбили 18 самолетов </w:t>
      </w:r>
      <w:r w:rsidRPr="008127F8">
        <w:rPr>
          <w:rFonts w:ascii="Times New Roman" w:hAnsi="Times New Roman"/>
          <w:color w:val="000000" w:themeColor="text1"/>
          <w:sz w:val="16"/>
          <w:szCs w:val="16"/>
        </w:rPr>
        <w:lastRenderedPageBreak/>
        <w:t>противника, потеряв одного летчика. Весной 1942 г. с молодым пополнением в 5-й ГИАП пришел сержант Виталий Попков - один из известнейших советских асов, чья боевая судьба, как и судьбы его однополчан, легли в основу лучшего кинофильма о летчиках Великой Отечественной - "В бой идут одни старики" (4707).</w:t>
      </w:r>
    </w:p>
    <w:p w14:paraId="3DE617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2AA0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г. в ВВС Западного фронта числилось восемь истребительных авиационных полков. В отличие от Калининского фронта здесь основной силой являлись Яки, которые состояли на вооружении в четырех ИАП, на ЛаГГ-3 летали летчики 168-го и 172-го ИАП (4707).</w:t>
      </w:r>
    </w:p>
    <w:p w14:paraId="616405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FD0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в 19 час. 45 мин торпедный катер ТКА-61 (он же ВУ-61) в сопровождении двух катеров Г-5 - № 13 и № 9 вышли из Геленджика и взяли курс на Камыш-Бурун. Но в 5 час. 10 мин 23 февраля они вернулись в базу. Операция была, сорвана, так как самолет наведения в 1 час 05 мин разбился в районе сухопутного аэродрома у Гелинджика, весь экипаж, включая оператора наведения, погиб (10675).</w:t>
      </w:r>
    </w:p>
    <w:p w14:paraId="0C1CAA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5C6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для набега на порт Камыш-Бурун выделили радиоуправляемый катер ТКА-61, который сопровождении катеров ТКА-13 и ТКА-91 вышел из Геленджика. Однако утром следующего дня операцию пришлось свернуть, так как МБР-2ВУ, вылетевший для наведения ТКА-61, упал и разбился в районе аэродрома в Геленджике, экипаж погиб (12003).</w:t>
      </w:r>
    </w:p>
    <w:p w14:paraId="527B42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E476C" w14:textId="05559D66"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около полудня по местному времени на аэродром Бекетовка поступил сигнал об обнаружении над западными границами области вражеского самолета. В небо взвилась красная ракета, и по заснеженной взлетной полосе тотчас с ревом поднялись несколько «Яков» из 788-го ИАП. Последнее сообщение говорило о том, что противник находится примерно в 200 км к западу от города. Погода в этот день была неважной, видимость составляла не более двух километров. Вероятность перехвата, таким образом, сводилась к минимуму. Тем не менее удача улыбнулась русским летчикам. Командир эскадрильи старший лейтенант Николай Смирнов в районе г. Калач сначала разглядел впереди смутный силуэт двухмоторного самолета, из которого вскоре отчетливо вырисовался «Юнкере» Ju-88. He теряя времени, летчик начал атаку. Немцы, увидев преследовавший их «Як», стали отстреливаться и маневрировать, однако из-за ограниченной видимости применить характерный прием с переходом в пикирование и выводом над землей им было затруднительно. В ходе короткого боя истребитель Смирнова получил множество попаданий, но пилот все же смог сохранить самообладание и, подойдя к самолету противника на минимальное расстояние, дал длинную очередь, после чего отвернул в сторону, опасаясь столкновения. Попадания оказались удачными, и разведчик – Ju-88D-1 W.Nr. 1195 «Т5+АН» из 2-й эскадрильи Aufkl.Gr.Ob.d.L.</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начал падать, оставляя за собой длинный шлейф дыма. Один из немецких летчиков успел выпрыгнуть на парашюте, остальные погибли вместе с самолетом. Когда окрыленный Смирнов приземлился на аэродроме и доложил о победе, командир полка немедленно сообщил радостную новость в штаб диврайона ПВО полковнику И. И. Красноюрченко а тот – в обком партии. Руководство города решило немедленно воспользоваться воздушной победой в пропагандистских целях. За Николаем тут же прислали машину и отвезли в Сталинградский драматический театр, где шло заседание, посвященное 24-й годовщине Красной Армии. Летчика вывели на сцену и объявили, что им только что сбит немецкий самолет. Все присутствующие не понаслышке знали о «Юнкерсах», почти каждый день безнаказанно гонявших над городом, поэтому новость вызвала в зале настоящую овацию (11774).</w:t>
      </w:r>
    </w:p>
    <w:p w14:paraId="01F6DF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1DB2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1A222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E4D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г. вышел ПРИКАЗ НКО № 0133 О МЕРАХ ПО ВЫПОЛНЕНИЮ ПРИКАЗА НКО № 0316 1941 г. О СДАЧЕ РАДИОПРИЕМНИКОВ ЛИЧНОГО ПОЛЬЗОВАНИЯ</w:t>
      </w:r>
    </w:p>
    <w:p w14:paraId="43BBC0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 xml:space="preserve">По полученным сведениям </w:t>
      </w:r>
      <w:proofErr w:type="gramEnd"/>
      <w:r w:rsidRPr="008127F8">
        <w:rPr>
          <w:rFonts w:ascii="Times New Roman" w:hAnsi="Times New Roman"/>
          <w:color w:val="000000" w:themeColor="text1"/>
          <w:sz w:val="16"/>
          <w:szCs w:val="16"/>
        </w:rPr>
        <w:t>приказ Народного комиссара обороны Союза ССР от 23 августа 1941 г. за № 0316 об обязательной сдаче военнослужащими Красной Армии радиоприемников личного пользования на пункты хранения не всеми выполняется.</w:t>
      </w:r>
    </w:p>
    <w:p w14:paraId="14E26E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командиры и политработники фронтов и армий, пользуясь своим служебным положением, хранят радиоприемники у себя, а некоторые продолжают пользоваться ими.</w:t>
      </w:r>
    </w:p>
    <w:p w14:paraId="4DC8F3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313308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Всем лицам командного и начальствующего состава, независимо от их служебного положения, имеющим у себя радиоприемники (в том числе и на автомашинах), немедленно сдать их на пункты хранения, в соответствии с приказом НКО № 0316 1941 г.</w:t>
      </w:r>
    </w:p>
    <w:p w14:paraId="0DE20E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Начальникам связи всех соединений Красной Армии проверять лично выполнение приказа НКО № 0316 1941 г. о сдаче всеми лицами командного и начальствующего состава радиоприемников личного пользования и с автомашин.</w:t>
      </w:r>
    </w:p>
    <w:p w14:paraId="344C68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Организовать контроль и не допускать случаев использования служебных радиоприемников (контрольных, на приемных узлах, приемников радиостанций) для слушания вещательных радиопередач.</w:t>
      </w:r>
    </w:p>
    <w:p w14:paraId="7258D5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Лиц, которые будут продолжать хранить радиоприемники, привлекать к уголовной ответственности.</w:t>
      </w:r>
    </w:p>
    <w:p w14:paraId="55146C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Начальникам связи фронтов и отдельных армий донести мне 10 марта с. г. о результатах поверки выполнения приказа НКО № 0316 от 23 августа 1941 г.</w:t>
      </w:r>
    </w:p>
    <w:p w14:paraId="0B97E3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ввести по телеграфу.</w:t>
      </w:r>
    </w:p>
    <w:p w14:paraId="5CF255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Союза ССР генерал-лейтенант войск связи И. ПЕРЕСЫПКИН </w:t>
      </w:r>
      <w:r w:rsidRPr="008127F8">
        <w:rPr>
          <w:rFonts w:ascii="Times New Roman" w:hAnsi="Times New Roman"/>
          <w:color w:val="000000" w:themeColor="text1"/>
          <w:sz w:val="16"/>
          <w:szCs w:val="16"/>
        </w:rPr>
        <w:t>(9844).</w:t>
      </w:r>
    </w:p>
    <w:p w14:paraId="57D016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02A2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C8EA1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DD69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Австралия отказала Черчиллю в посылке солдат в Бирму (4962).</w:t>
      </w:r>
    </w:p>
    <w:p w14:paraId="777F6B0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38C5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в США было создано Army Bomber Command (2245,2).</w:t>
      </w:r>
    </w:p>
    <w:p w14:paraId="13036B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BE3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Ф.Д.Р. отдал приказ об оставлении Батаана (2245,2) на Филиппинах (2261).</w:t>
      </w:r>
    </w:p>
    <w:p w14:paraId="4B6F16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09D9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59BA7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87C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был подписан Акт N 4 1-й 3АБ г. Куйбышев (1636,257) о поломках лыж на Ил-2 (1635,284).</w:t>
      </w:r>
    </w:p>
    <w:p w14:paraId="2229F5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D051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года летчик-испытатель НИИ ВВС КА майор А.К.Долгов выполнил на втором опытном экземп</w:t>
      </w:r>
      <w:r w:rsidRPr="008127F8">
        <w:rPr>
          <w:rFonts w:ascii="Times New Roman" w:hAnsi="Times New Roman"/>
          <w:color w:val="000000" w:themeColor="text1"/>
          <w:sz w:val="16"/>
          <w:szCs w:val="16"/>
        </w:rPr>
        <w:softHyphen/>
        <w:t>ляре самолета Су-6 («82») программу заводских испыта</w:t>
      </w:r>
      <w:r w:rsidRPr="008127F8">
        <w:rPr>
          <w:rFonts w:ascii="Times New Roman" w:hAnsi="Times New Roman"/>
          <w:color w:val="000000" w:themeColor="text1"/>
          <w:sz w:val="16"/>
          <w:szCs w:val="16"/>
        </w:rPr>
        <w:softHyphen/>
        <w:t>ний, которые шли в Перми с 15 января, 24 февраля самолет переле</w:t>
      </w:r>
      <w:r w:rsidRPr="008127F8">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0EA84B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422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Постановление ГКО № 1326 О передаче совхозов Наркомату авиационной промышленности для куйбышевской группы авиационных заводов. РГАНИР, Фонд ГКО, д. 22, лл. 1 (11012).</w:t>
      </w:r>
    </w:p>
    <w:p w14:paraId="41989F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F145B" w14:textId="77777777" w:rsidR="004727E1" w:rsidRPr="008127F8" w:rsidRDefault="004727E1"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23 фев</w:t>
      </w:r>
      <w:r w:rsidRPr="008127F8">
        <w:rPr>
          <w:rFonts w:ascii="Times New Roman" w:hAnsi="Times New Roman" w:cs="Times New Roman"/>
          <w:color w:val="000000" w:themeColor="text1"/>
          <w:sz w:val="16"/>
          <w:szCs w:val="16"/>
        </w:rPr>
        <w:softHyphen/>
        <w:t>раля 1942 второй опытный самолет Су-6 М-71 («82») перелетел из Молотова (Перми) в НИИ ВВС на аэ</w:t>
      </w:r>
      <w:r w:rsidRPr="008127F8">
        <w:rPr>
          <w:rFonts w:ascii="Times New Roman" w:hAnsi="Times New Roman" w:cs="Times New Roman"/>
          <w:color w:val="000000" w:themeColor="text1"/>
          <w:sz w:val="16"/>
          <w:szCs w:val="16"/>
        </w:rPr>
        <w:softHyphen/>
        <w:t>родром Кольцово (г. Свердловск), где ис</w:t>
      </w:r>
      <w:r w:rsidRPr="008127F8">
        <w:rPr>
          <w:rFonts w:ascii="Times New Roman" w:hAnsi="Times New Roman" w:cs="Times New Roman"/>
          <w:color w:val="000000" w:themeColor="text1"/>
          <w:sz w:val="16"/>
          <w:szCs w:val="16"/>
        </w:rPr>
        <w:softHyphen/>
        <w:t>пытания продолжились. Установленный на са</w:t>
      </w:r>
      <w:r w:rsidRPr="008127F8">
        <w:rPr>
          <w:rFonts w:ascii="Times New Roman" w:hAnsi="Times New Roman" w:cs="Times New Roman"/>
          <w:color w:val="000000" w:themeColor="text1"/>
          <w:sz w:val="16"/>
          <w:szCs w:val="16"/>
        </w:rPr>
        <w:softHyphen/>
        <w:t>молете опытный мотор М-71 зав. №023 на 1-й скорости нагнетателя (до высоты 3500 м) работал вполне удовлетвори</w:t>
      </w:r>
      <w:r w:rsidRPr="008127F8">
        <w:rPr>
          <w:rFonts w:ascii="Times New Roman" w:hAnsi="Times New Roman" w:cs="Times New Roman"/>
          <w:color w:val="000000" w:themeColor="text1"/>
          <w:sz w:val="16"/>
          <w:szCs w:val="16"/>
        </w:rPr>
        <w:softHyphen/>
        <w:t>тельно, но на 2-й скорости (на высотах от 3500 м до 5000 м) и взлетном режиме (при форсаже) работал плохо. Карбюра</w:t>
      </w:r>
      <w:r w:rsidRPr="008127F8">
        <w:rPr>
          <w:rFonts w:ascii="Times New Roman" w:hAnsi="Times New Roman" w:cs="Times New Roman"/>
          <w:color w:val="000000" w:themeColor="text1"/>
          <w:sz w:val="16"/>
          <w:szCs w:val="16"/>
        </w:rPr>
        <w:softHyphen/>
        <w:t>тор АК-71БП не обеспечивал нормаль</w:t>
      </w:r>
      <w:r w:rsidRPr="008127F8">
        <w:rPr>
          <w:rFonts w:ascii="Times New Roman" w:hAnsi="Times New Roman" w:cs="Times New Roman"/>
          <w:color w:val="000000" w:themeColor="text1"/>
          <w:sz w:val="16"/>
          <w:szCs w:val="16"/>
        </w:rPr>
        <w:softHyphen/>
        <w:t>ной работы мотора на этих высотах и ре</w:t>
      </w:r>
      <w:r w:rsidRPr="008127F8">
        <w:rPr>
          <w:rFonts w:ascii="Times New Roman" w:hAnsi="Times New Roman" w:cs="Times New Roman"/>
          <w:color w:val="000000" w:themeColor="text1"/>
          <w:sz w:val="16"/>
          <w:szCs w:val="16"/>
        </w:rPr>
        <w:softHyphen/>
        <w:t>жиме. Из-за переобогащения топливной смеси мотор (и самолет) нещадно трясло. По этим причинам полеты выше 5000 м не производились. В то же время прие</w:t>
      </w:r>
      <w:r w:rsidRPr="008127F8">
        <w:rPr>
          <w:rFonts w:ascii="Times New Roman" w:hAnsi="Times New Roman" w:cs="Times New Roman"/>
          <w:color w:val="000000" w:themeColor="text1"/>
          <w:sz w:val="16"/>
          <w:szCs w:val="16"/>
        </w:rPr>
        <w:softHyphen/>
        <w:t>мистость мотора на всех режимах, кроме взлетного, была нормальной.</w:t>
      </w:r>
    </w:p>
    <w:p w14:paraId="62CCC5B1" w14:textId="77777777" w:rsidR="004727E1" w:rsidRPr="008127F8" w:rsidRDefault="004727E1"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При полете на километраж 12 марта (26-й полете начала ис</w:t>
      </w:r>
      <w:r w:rsidRPr="008127F8">
        <w:rPr>
          <w:rFonts w:ascii="Times New Roman" w:hAnsi="Times New Roman" w:cs="Times New Roman"/>
          <w:color w:val="000000" w:themeColor="text1"/>
          <w:sz w:val="16"/>
          <w:szCs w:val="16"/>
        </w:rPr>
        <w:softHyphen/>
        <w:t>пытаний) из-за обрыва штуцера у маслопомпы МШ-8 вытекло ма</w:t>
      </w:r>
      <w:r w:rsidRPr="008127F8">
        <w:rPr>
          <w:rFonts w:ascii="Times New Roman" w:hAnsi="Times New Roman" w:cs="Times New Roman"/>
          <w:color w:val="000000" w:themeColor="text1"/>
          <w:sz w:val="16"/>
          <w:szCs w:val="16"/>
        </w:rPr>
        <w:softHyphen/>
        <w:t>сло и мотор заклинило. Вынужден</w:t>
      </w:r>
      <w:r w:rsidRPr="008127F8">
        <w:rPr>
          <w:rFonts w:ascii="Times New Roman" w:hAnsi="Times New Roman" w:cs="Times New Roman"/>
          <w:color w:val="000000" w:themeColor="text1"/>
          <w:sz w:val="16"/>
          <w:szCs w:val="16"/>
        </w:rPr>
        <w:softHyphen/>
        <w:t>ная посадка прошла благополучно. Дальнейшие полеты приостано</w:t>
      </w:r>
      <w:r w:rsidRPr="008127F8">
        <w:rPr>
          <w:rFonts w:ascii="Times New Roman" w:hAnsi="Times New Roman" w:cs="Times New Roman"/>
          <w:color w:val="000000" w:themeColor="text1"/>
          <w:sz w:val="16"/>
          <w:szCs w:val="16"/>
        </w:rPr>
        <w:softHyphen/>
        <w:t>вили. Самолет встал в ремонт. На за</w:t>
      </w:r>
      <w:r w:rsidRPr="008127F8">
        <w:rPr>
          <w:rFonts w:ascii="Times New Roman" w:hAnsi="Times New Roman" w:cs="Times New Roman"/>
          <w:color w:val="000000" w:themeColor="text1"/>
          <w:sz w:val="16"/>
          <w:szCs w:val="16"/>
        </w:rPr>
        <w:softHyphen/>
        <w:t>вод №289 отправили заявку «об от</w:t>
      </w:r>
      <w:r w:rsidRPr="008127F8">
        <w:rPr>
          <w:rFonts w:ascii="Times New Roman" w:hAnsi="Times New Roman" w:cs="Times New Roman"/>
          <w:color w:val="000000" w:themeColor="text1"/>
          <w:sz w:val="16"/>
          <w:szCs w:val="16"/>
        </w:rPr>
        <w:softHyphen/>
        <w:t>грузке мотора в адрес НИИ» (19844).</w:t>
      </w:r>
    </w:p>
    <w:p w14:paraId="64C900F3" w14:textId="77777777" w:rsidR="004727E1" w:rsidRPr="008127F8" w:rsidRDefault="004727E1"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71EF6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23 февраля 1942 на аэродроме в Комсомольске простаивали 67 некомплектных ДБ-3Ф, а в целом план 1 -го квартала недовыполнили на 60 самолетов. Положение начало восстанавливаться лишь к весне 1942 г., когда удалось ликвидировать отставание в поставках комплектующих или наладить их выпуск на месте. Самолеты с Дальнего Востока перегоняли по воздуху. Эту работу поручили ГВФ. Из гражданских летчиков сформировали 12-ю перегоночную авиагруппу. В нее входили девять эскадрилий по семь экипажей в каждой. За год она доставила к фронту 562 самолета, потеряв в авариях лишь десять машин (7666).</w:t>
      </w:r>
    </w:p>
    <w:p w14:paraId="19D180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32D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23 февраля 1942 на аэродроме в Комсомольске простаивали 67 некомплектных ДБ- ЗФ. В целом план 1-го квартала недовыполнили на 60 самолетов.</w:t>
      </w:r>
    </w:p>
    <w:p w14:paraId="4D2891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Положение начало восстанавливаться лишь к весне 1942 г. Завод № 126 заработал в полную силу. Самолеты с Дальнего Востока перегоняли по воздуху. Эту работу поручили ГВФ. Из фажданских летчиков сформировали 12-ю перегоночную авиагруппу. В нее входили девять эскадрилий по семь экипажей в каждой. За год она </w:t>
      </w:r>
      <w:r w:rsidRPr="008127F8">
        <w:rPr>
          <w:rFonts w:ascii="Times New Roman" w:hAnsi="Times New Roman"/>
          <w:color w:val="000000" w:themeColor="text1"/>
          <w:sz w:val="16"/>
          <w:szCs w:val="16"/>
        </w:rPr>
        <w:lastRenderedPageBreak/>
        <w:t>доставила к фронту 562 самолета, потеряв в авариях лишь десять. Но мощностей одного завода № 126 было явно недостаточно для восполнения потерь (12021).</w:t>
      </w:r>
    </w:p>
    <w:p w14:paraId="286E54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5CC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23 февраля по 15 марта Як-1 № 2038 саратовского завода, принятый 19 февраля 1942 года, подвергся испытаниям на Научно-испытательном полигоне авиационного вооружения (НИП АВ) ВВС КА.</w:t>
      </w:r>
    </w:p>
    <w:p w14:paraId="787C9F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1941 г. на заводе № 292 была начата постройкой </w:t>
      </w:r>
      <w:proofErr w:type="gramStart"/>
      <w:r w:rsidRPr="008127F8">
        <w:rPr>
          <w:rFonts w:ascii="Times New Roman" w:hAnsi="Times New Roman"/>
          <w:color w:val="000000" w:themeColor="text1"/>
          <w:sz w:val="16"/>
          <w:szCs w:val="16"/>
        </w:rPr>
        <w:t>экспериментальная машина (стоимостью 293 тысячи рублей)</w:t>
      </w:r>
      <w:proofErr w:type="gramEnd"/>
      <w:r w:rsidRPr="008127F8">
        <w:rPr>
          <w:rFonts w:ascii="Times New Roman" w:hAnsi="Times New Roman"/>
          <w:color w:val="000000" w:themeColor="text1"/>
          <w:sz w:val="16"/>
          <w:szCs w:val="16"/>
        </w:rPr>
        <w:t xml:space="preserve"> на которой два синхронных пулемета ШКАС были заменены на два синхронных пулемета УБ с беокомплектом 220 патронов. Начавшаяся война не дала времени на доводку и внедрение нового варианта вооружения в серийное производство.</w:t>
      </w:r>
    </w:p>
    <w:p w14:paraId="5FFC92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стрелковая установка полигонные испытания выдержала, однако, были отмечены серьезные дефекты, требовавшие обязательного устранения перед внедрением в серию. К маю 1942 г. была выпущена опытная серия из пяти самолетов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w:t>
      </w:r>
    </w:p>
    <w:p w14:paraId="777FCA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7C8FD1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3B7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февраля 1942 состоялся первый полет привезенного из Москвы ИТП с М-107, который был готов к октябрю 1941. Летал А.Н.Никашин (1263,51) и были проблемы, т.к. в полете перегревался двигатель и в первом полете произошел выброс горячего масла в кабину. Пришлось дорабатывать маслосистему. А.Н.Никашин был отозван, а П.Е.Логинов был занят и прикомандировали </w:t>
      </w:r>
      <w:proofErr w:type="gramStart"/>
      <w:r w:rsidRPr="008127F8">
        <w:rPr>
          <w:rFonts w:ascii="Times New Roman" w:hAnsi="Times New Roman"/>
          <w:color w:val="000000" w:themeColor="text1"/>
          <w:sz w:val="16"/>
          <w:szCs w:val="16"/>
        </w:rPr>
        <w:t>л ?</w:t>
      </w:r>
      <w:proofErr w:type="gramEnd"/>
      <w:r w:rsidRPr="008127F8">
        <w:rPr>
          <w:rFonts w:ascii="Times New Roman" w:hAnsi="Times New Roman"/>
          <w:color w:val="000000" w:themeColor="text1"/>
          <w:sz w:val="16"/>
          <w:szCs w:val="16"/>
        </w:rPr>
        <w:t xml:space="preserve"> (2863,117). В декабре 1942 опять привезли в Москву (148,28).</w:t>
      </w:r>
    </w:p>
    <w:p w14:paraId="0AA69F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6324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февраля</w:t>
      </w:r>
      <w:r w:rsidRPr="008127F8">
        <w:rPr>
          <w:rFonts w:ascii="Times New Roman" w:hAnsi="Times New Roman"/>
          <w:color w:val="000000" w:themeColor="text1"/>
          <w:sz w:val="16"/>
          <w:szCs w:val="16"/>
        </w:rPr>
        <w:t xml:space="preserve"> в 1942 году первый полёт истребителя с тяжёлой пушкой </w:t>
      </w:r>
      <w:hyperlink r:id="rId60" w:tgtFrame="_blank" w:history="1">
        <w:r w:rsidRPr="008127F8">
          <w:rPr>
            <w:rFonts w:ascii="Times New Roman" w:hAnsi="Times New Roman"/>
            <w:color w:val="000000" w:themeColor="text1"/>
            <w:sz w:val="16"/>
            <w:szCs w:val="16"/>
          </w:rPr>
          <w:t xml:space="preserve">«ИТП» («М-1»), </w:t>
        </w:r>
      </w:hyperlink>
      <w:r w:rsidRPr="008127F8">
        <w:rPr>
          <w:rFonts w:ascii="Times New Roman" w:hAnsi="Times New Roman"/>
          <w:color w:val="000000" w:themeColor="text1"/>
          <w:sz w:val="16"/>
          <w:szCs w:val="16"/>
        </w:rPr>
        <w:t>ОКБ Поликарпова. Вооружение самолёта включало одну мотор-пушку Б.Г.Шпитального «Ш-37» калибра 37 мм с запасом 50 снарядов с ленточным питанием, являющейся развитием пушки «ШФК-37» и две синхронные пушки ШВАК калибра 20 мм с общим запасом 280 снарядов. Под крылом предусматривалась подвеска восьми реактивных снарядов «РС-82». Вместо «РС-82» могли быть подвешены бомбы общей массой 200 кг. Фюзеляж самолёта представлял деревянный монокок, выклеенный из березового шпона. Испытания истребителя проходили в эвакуации, где летчик-испытатель А.Н.Никашин впервые поднял машину в воздух. Однако из-за многочисленных дефектов мотора завершить испытания в Сибири все же не удалось. Последние продолжились уже в Москве, когда в конце 1942 г. на самолет установили новый мотор «М-107ПА», а 37-мм мотор-пушку заменили на 20-мм с боекомплектом 200 снарядов (15049).</w:t>
      </w:r>
    </w:p>
    <w:p w14:paraId="7B34BED0"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318921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летчик-испытатель А. Н. Никашин впервые поднял машину ИТП Н.Н.П. в воздух.</w:t>
      </w:r>
    </w:p>
    <w:p w14:paraId="74DCF9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из-за многочисленных дефектов мотора завершить испытания в Сибири все же не удалось. Последние продолжились уже в Москве, когда в конце 1942 г. на самолет установили новый мотор М-107ПА, а 37-мм мотор-пушку заменили на 20-мм с боекомплектом 200 снарядов.</w:t>
      </w:r>
    </w:p>
    <w:p w14:paraId="5C6365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Естественно, что после этих переделок ИТП уже не мог в полной мере рассматриваться как противотанковый самолет, хотя в борьбе с легкими танками мог быть эффективней, чем Ил-2, поскольку пушек ШВАК было три и, кроме того, их более компактное размещение обеспечивало и более высокую точность стрельбы, а возможность пикировать под углами 50-60° расширяла доступные для поражения зоны танков (9649).</w:t>
      </w:r>
    </w:p>
    <w:p w14:paraId="6C30F8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самолет обладал бы и более высокими маневренными характеристиками, так как масса пустого самолета снизилась с 2778 до 2588 кг, а взлетная - с 3570 до ЗЗбб кг.</w:t>
      </w:r>
    </w:p>
    <w:p w14:paraId="2DCCAB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Однако определить летные характеристики опытной машины не успели, поскольку, </w:t>
      </w:r>
      <w:proofErr w:type="gramStart"/>
      <w:r w:rsidRPr="008127F8">
        <w:rPr>
          <w:rFonts w:ascii="Times New Roman" w:hAnsi="Times New Roman"/>
          <w:color w:val="000000" w:themeColor="text1"/>
          <w:sz w:val="16"/>
          <w:szCs w:val="16"/>
        </w:rPr>
        <w:t>согласно распоряжения</w:t>
      </w:r>
      <w:proofErr w:type="gramEnd"/>
      <w:r w:rsidRPr="008127F8">
        <w:rPr>
          <w:rFonts w:ascii="Times New Roman" w:hAnsi="Times New Roman"/>
          <w:color w:val="000000" w:themeColor="text1"/>
          <w:sz w:val="16"/>
          <w:szCs w:val="16"/>
        </w:rPr>
        <w:t xml:space="preserve"> НКАП, ее передали на статиспытания.</w:t>
      </w:r>
    </w:p>
    <w:p w14:paraId="1FCD9A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планер самолета, изначально предназначавшийся для этой цели, был вынужденно использован ОКБ для постройки второго летного экземпляра ИТП (М-2). ИТП (М-1) выдержал 100% расчетной нагрузки, но летать на нем теперь было нельзя.</w:t>
      </w:r>
    </w:p>
    <w:p w14:paraId="2DAD23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ИТП (М-2) с мотором АМ-37 и с тремя синхронными пушками ШВАК построили в Новосибирске в 1942 г. В декабре его передали в Москву, где мотор АМ-37 был заменен на более мощный мотор АМ-39 (1800 л. </w:t>
      </w:r>
      <w:proofErr w:type="gramStart"/>
      <w:r w:rsidRPr="008127F8">
        <w:rPr>
          <w:rFonts w:ascii="Times New Roman" w:hAnsi="Times New Roman"/>
          <w:color w:val="000000" w:themeColor="text1"/>
          <w:sz w:val="16"/>
          <w:szCs w:val="16"/>
        </w:rPr>
        <w:t>с. )</w:t>
      </w:r>
      <w:proofErr w:type="gramEnd"/>
      <w:r w:rsidRPr="008127F8">
        <w:rPr>
          <w:rFonts w:ascii="Times New Roman" w:hAnsi="Times New Roman"/>
          <w:color w:val="000000" w:themeColor="text1"/>
          <w:sz w:val="16"/>
          <w:szCs w:val="16"/>
        </w:rPr>
        <w:t>, а на основных стойках установили колеса меньших размеров (650х200 вместо 700х220 мм) (9649).</w:t>
      </w:r>
    </w:p>
    <w:p w14:paraId="663106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498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был выполнен первый полет на ИТП (М) (летчик А.И.Никашин), но из-за проблем с мотором М-107П заводские испытания проходили мучительно медленно, ввиду чего плановый срок передачи на госис</w:t>
      </w:r>
      <w:r w:rsidRPr="008127F8">
        <w:rPr>
          <w:rFonts w:ascii="Times New Roman" w:hAnsi="Times New Roman"/>
          <w:color w:val="000000" w:themeColor="text1"/>
          <w:sz w:val="16"/>
          <w:szCs w:val="16"/>
        </w:rPr>
        <w:softHyphen/>
        <w:t>пытания - 1 апреля 1942 г. - так и не был выдержан. К 22 июля 1942 г. на ИТП (М) удалось выполнить всего де</w:t>
      </w:r>
      <w:r w:rsidRPr="008127F8">
        <w:rPr>
          <w:rFonts w:ascii="Times New Roman" w:hAnsi="Times New Roman"/>
          <w:color w:val="000000" w:themeColor="text1"/>
          <w:sz w:val="16"/>
          <w:szCs w:val="16"/>
        </w:rPr>
        <w:softHyphen/>
        <w:t>вять кратковременных доводочных и контрольных по</w:t>
      </w:r>
      <w:r w:rsidRPr="008127F8">
        <w:rPr>
          <w:rFonts w:ascii="Times New Roman" w:hAnsi="Times New Roman"/>
          <w:color w:val="000000" w:themeColor="text1"/>
          <w:sz w:val="16"/>
          <w:szCs w:val="16"/>
        </w:rPr>
        <w:softHyphen/>
        <w:t>летов. Они показали, что сильный перегрев масла и его постоянный выброс из суфлера не позволяет получить от двигателя ожидаемой мощности, из-за чего взлет тя</w:t>
      </w:r>
      <w:r w:rsidRPr="008127F8">
        <w:rPr>
          <w:rFonts w:ascii="Times New Roman" w:hAnsi="Times New Roman"/>
          <w:color w:val="000000" w:themeColor="text1"/>
          <w:sz w:val="16"/>
          <w:szCs w:val="16"/>
        </w:rPr>
        <w:softHyphen/>
        <w:t>жел, даже с неполной нагрузкой. Ввиду ежедневных разборок и регулировок мотора вооружение не устанав</w:t>
      </w:r>
      <w:r w:rsidRPr="008127F8">
        <w:rPr>
          <w:rFonts w:ascii="Times New Roman" w:hAnsi="Times New Roman"/>
          <w:color w:val="000000" w:themeColor="text1"/>
          <w:sz w:val="16"/>
          <w:szCs w:val="16"/>
        </w:rPr>
        <w:softHyphen/>
        <w:t>ливали. По той же причине консольные бензобаки топ</w:t>
      </w:r>
      <w:r w:rsidRPr="008127F8">
        <w:rPr>
          <w:rFonts w:ascii="Times New Roman" w:hAnsi="Times New Roman"/>
          <w:color w:val="000000" w:themeColor="text1"/>
          <w:sz w:val="16"/>
          <w:szCs w:val="16"/>
        </w:rPr>
        <w:softHyphen/>
        <w:t>ливом не заполняли и поэтому бензосистему полностью не отрабатывали. Заводу № 51 было предписано до 10 августа 1942 г. довести самолет до нормального летного состояния и передать его на испытания в НИИ ВВС. Однако сде</w:t>
      </w:r>
      <w:r w:rsidRPr="008127F8">
        <w:rPr>
          <w:rFonts w:ascii="Times New Roman" w:hAnsi="Times New Roman"/>
          <w:color w:val="000000" w:themeColor="text1"/>
          <w:sz w:val="16"/>
          <w:szCs w:val="16"/>
        </w:rPr>
        <w:softHyphen/>
        <w:t>лать этого в срок не удалось из-за дефектов двигателя (10667).</w:t>
      </w:r>
    </w:p>
    <w:p w14:paraId="53E676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1DF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состоял</w:t>
      </w:r>
      <w:r w:rsidRPr="008127F8">
        <w:rPr>
          <w:rFonts w:ascii="Times New Roman" w:hAnsi="Times New Roman"/>
          <w:color w:val="000000" w:themeColor="text1"/>
          <w:sz w:val="16"/>
          <w:szCs w:val="16"/>
        </w:rPr>
        <w:softHyphen/>
        <w:t>ся первый полет ИТП (М). Один из первых образцов двигателя М-107П оказался настолько «сырым», что основные уси</w:t>
      </w:r>
      <w:r w:rsidRPr="008127F8">
        <w:rPr>
          <w:rFonts w:ascii="Times New Roman" w:hAnsi="Times New Roman"/>
          <w:color w:val="000000" w:themeColor="text1"/>
          <w:sz w:val="16"/>
          <w:szCs w:val="16"/>
        </w:rPr>
        <w:softHyphen/>
        <w:t>лия были сосредоточены на доводке мотора и системы его охлаждения (10667).</w:t>
      </w:r>
    </w:p>
    <w:p w14:paraId="1EFAA8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1A37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года директором филиала завода № 4 был назначен Моисеев А.Т. (9209).</w:t>
      </w:r>
    </w:p>
    <w:p w14:paraId="35D108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FCEC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3BD67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7F8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начальник Академии Механизации и Моторизации им.II.В.Сталина генерал-майор танковых войск Ковалев, начальник научно-исследовательского отдела бригинженер Давидович и дивизионный комиссар Антоновым подготовили сопроводительное письмо к проекту танка прорыва, адресованное Народному комиссару танковой промышленности В.А.Малышеву:</w:t>
      </w:r>
    </w:p>
    <w:p w14:paraId="6237F6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Отечественной войны Красной Армии придется преодолевать заранее подготовленные укрепленные линии противника с наличием хорошо вооруженных железобетонных ДОТов. Наиболее уязвимым местом ДОТа являются амбразуры. Чтобы вывести их из строя, необходимо подойти на близкую дистанцию и вести по ним огонь прямой наводкой. Наиболее целесообразно это можно сделать при помощи специальных танков прорыва.</w:t>
      </w:r>
    </w:p>
    <w:p w14:paraId="180752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Такие танки должны иметь броневую защиту против наиболее эффективного противотанкового орудия, каким является немецкая зенитная 88-мм пушка, которая пробивает на предельно короткой дистанции 120-130-мм броню.</w:t>
      </w:r>
    </w:p>
    <w:p w14:paraId="6C0566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Вооружение танка прорыва должно обладать скорострельностью и большой пробивной способностью. Схематичный проект такого танка прорыва, </w:t>
      </w:r>
      <w:proofErr w:type="gramStart"/>
      <w:r w:rsidRPr="008127F8">
        <w:rPr>
          <w:rFonts w:ascii="Times New Roman" w:hAnsi="Times New Roman"/>
          <w:color w:val="000000" w:themeColor="text1"/>
          <w:sz w:val="16"/>
          <w:szCs w:val="16"/>
        </w:rPr>
        <w:t>согласно переговоров</w:t>
      </w:r>
      <w:proofErr w:type="gramEnd"/>
      <w:r w:rsidRPr="008127F8">
        <w:rPr>
          <w:rFonts w:ascii="Times New Roman" w:hAnsi="Times New Roman"/>
          <w:color w:val="000000" w:themeColor="text1"/>
          <w:sz w:val="16"/>
          <w:szCs w:val="16"/>
        </w:rPr>
        <w:t xml:space="preserve"> с Вами начальника кафедры танков профессора Груздева, представляю на Ваше рассмотрение.</w:t>
      </w:r>
    </w:p>
    <w:p w14:paraId="264B67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Основные данные </w:t>
      </w:r>
      <w:proofErr w:type="gramStart"/>
      <w:r w:rsidRPr="008127F8">
        <w:rPr>
          <w:rFonts w:ascii="Times New Roman" w:hAnsi="Times New Roman"/>
          <w:color w:val="000000" w:themeColor="text1"/>
          <w:sz w:val="16"/>
          <w:szCs w:val="16"/>
        </w:rPr>
        <w:t>танка</w:t>
      </w:r>
      <w:proofErr w:type="gramEnd"/>
      <w:r w:rsidRPr="008127F8">
        <w:rPr>
          <w:rFonts w:ascii="Times New Roman" w:hAnsi="Times New Roman"/>
          <w:color w:val="000000" w:themeColor="text1"/>
          <w:sz w:val="16"/>
          <w:szCs w:val="16"/>
        </w:rPr>
        <w:t xml:space="preserve"> следующие:</w:t>
      </w:r>
    </w:p>
    <w:p w14:paraId="35BEF6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1.Толшина брони в лобовых частях - 150 мм, в бортовых - 120мм.</w:t>
      </w:r>
    </w:p>
    <w:p w14:paraId="7A00DD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Установка в не вращающейся башне 107-мм пушки (ЗИС-6) с большой пробивной способностью (на дистанции в 100 метров пушка пробивает 137,5-мм броню). В случае необходимости башня может быть спроектирована и вращающаяся.</w:t>
      </w:r>
    </w:p>
    <w:p w14:paraId="0E4568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Использование всех основных агрегатов танка KB (трансмиссия, ходовая часть, двигатель)”</w:t>
      </w:r>
    </w:p>
    <w:p w14:paraId="17D44A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в данном письме фактически было предложено создать на базе тяжелого танка KB САУ, вооруженную 107-мм пушкой. В дальнейшем предложенный проект был отправлен на Челябинский Кировский завод (ЧКЗ), где он был подвергнут суровел критике, нашедшей отражение в соответствующем заключении (6001,18).</w:t>
      </w:r>
    </w:p>
    <w:p w14:paraId="4645E7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B4539" w14:textId="77777777" w:rsidR="00630310" w:rsidRPr="008127F8" w:rsidRDefault="0063031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 февраля 1942 года вышло постановление ГКО №1331,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30FB5EB2" w14:textId="77777777" w:rsidR="00630310" w:rsidRPr="008127F8" w:rsidRDefault="0063031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66C94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февраля 1942 вышло Постановление ГКО № 1327 О т. Шабалине </w:t>
      </w:r>
      <w:proofErr w:type="gramStart"/>
      <w:r w:rsidRPr="008127F8">
        <w:rPr>
          <w:rFonts w:ascii="Times New Roman" w:hAnsi="Times New Roman"/>
          <w:color w:val="000000" w:themeColor="text1"/>
          <w:sz w:val="16"/>
          <w:szCs w:val="16"/>
        </w:rPr>
        <w:t>С.И</w:t>
      </w:r>
      <w:proofErr w:type="gramEnd"/>
      <w:r w:rsidRPr="008127F8">
        <w:rPr>
          <w:rFonts w:ascii="Times New Roman" w:hAnsi="Times New Roman"/>
          <w:color w:val="000000" w:themeColor="text1"/>
          <w:sz w:val="16"/>
          <w:szCs w:val="16"/>
        </w:rPr>
        <w:t>.РГАНИР, Фонд ГКО, д. 22, лл. 2 (11012).</w:t>
      </w:r>
    </w:p>
    <w:p w14:paraId="7E9C22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6D1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Постановление ГКО № 1328 О т.т. Сычеве В.А. и Холостове. РГАНИР, Фонд ГКО, д. И.РГАНИР, Фонд ГКО, д. 22, лл. 3 (11012).</w:t>
      </w:r>
    </w:p>
    <w:p w14:paraId="3A3AFF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6CF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февраля 1942 вышло Постановление ГКО № 1329 О т.т. Доронине Я.А. и Абрамове </w:t>
      </w:r>
      <w:proofErr w:type="gramStart"/>
      <w:r w:rsidRPr="008127F8">
        <w:rPr>
          <w:rFonts w:ascii="Times New Roman" w:hAnsi="Times New Roman"/>
          <w:color w:val="000000" w:themeColor="text1"/>
          <w:sz w:val="16"/>
          <w:szCs w:val="16"/>
        </w:rPr>
        <w:t>Н.В</w:t>
      </w:r>
      <w:proofErr w:type="gramEnd"/>
      <w:r w:rsidRPr="008127F8">
        <w:rPr>
          <w:rFonts w:ascii="Times New Roman" w:hAnsi="Times New Roman"/>
          <w:color w:val="000000" w:themeColor="text1"/>
          <w:sz w:val="16"/>
          <w:szCs w:val="16"/>
        </w:rPr>
        <w:t>.РГАНИР, Фонд ГКО, д. 22, лл. 4 (11012).</w:t>
      </w:r>
    </w:p>
    <w:p w14:paraId="11556D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4DD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23 февраля 1942 вышло Постановление ГКО № 1330 О т.т. Начинкине Н.А. и Шабалине Н.ИРГАНИР, Фонд ГКО, д. 22, лл. 5 (11012).</w:t>
      </w:r>
    </w:p>
    <w:p w14:paraId="598027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022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Постановление ГКО № 1333 О танках Т-34. (Отмена постановления ГКО № 1062 об экранировки лобовой части танка</w:t>
      </w:r>
      <w:proofErr w:type="gramStart"/>
      <w:r w:rsidRPr="008127F8">
        <w:rPr>
          <w:rFonts w:ascii="Times New Roman" w:hAnsi="Times New Roman"/>
          <w:color w:val="000000" w:themeColor="text1"/>
          <w:sz w:val="16"/>
          <w:szCs w:val="16"/>
        </w:rPr>
        <w:t>).РГАНИР</w:t>
      </w:r>
      <w:proofErr w:type="gramEnd"/>
      <w:r w:rsidRPr="008127F8">
        <w:rPr>
          <w:rFonts w:ascii="Times New Roman" w:hAnsi="Times New Roman"/>
          <w:color w:val="000000" w:themeColor="text1"/>
          <w:sz w:val="16"/>
          <w:szCs w:val="16"/>
        </w:rPr>
        <w:t>, Фонд ГКО, д. 22, лл. 8 (11012).</w:t>
      </w:r>
    </w:p>
    <w:p w14:paraId="7CDE6E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6E29D"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февраля 1942 года вышло постановлением ГКО № 1333 сс усиление </w:t>
      </w:r>
      <w:proofErr w:type="gramStart"/>
      <w:r w:rsidRPr="008127F8">
        <w:rPr>
          <w:rFonts w:ascii="Times New Roman" w:hAnsi="Times New Roman"/>
          <w:color w:val="000000" w:themeColor="text1"/>
          <w:sz w:val="16"/>
          <w:szCs w:val="16"/>
        </w:rPr>
        <w:t>брони</w:t>
      </w:r>
      <w:proofErr w:type="gramEnd"/>
      <w:r w:rsidRPr="008127F8">
        <w:rPr>
          <w:rFonts w:ascii="Times New Roman" w:hAnsi="Times New Roman"/>
          <w:color w:val="000000" w:themeColor="text1"/>
          <w:sz w:val="16"/>
          <w:szCs w:val="16"/>
        </w:rPr>
        <w:t xml:space="preserve"> и экранировка тридцатьчетверок отменялись. Основным аргументом были проблемы с прокатом 60 мм бронелистов и дефицитом легирующих элементов, а также то, что 50-мм противотанковых и танковых орудий, способных поразить Т-34, у немцев в то время было еще относительно немного. Тем не менее, заводы Наркомтанкопрома изготовили некоторое количество экранированных машин (12217).</w:t>
      </w:r>
    </w:p>
    <w:p w14:paraId="46708FDB" w14:textId="77777777" w:rsidR="003C6ADB" w:rsidRPr="008127F8" w:rsidRDefault="003C6ADB" w:rsidP="001E0A84">
      <w:pPr>
        <w:spacing w:after="0" w:line="240" w:lineRule="auto"/>
        <w:jc w:val="both"/>
        <w:rPr>
          <w:rFonts w:ascii="Times New Roman" w:hAnsi="Times New Roman"/>
          <w:color w:val="000000" w:themeColor="text1"/>
          <w:sz w:val="16"/>
          <w:szCs w:val="16"/>
        </w:rPr>
      </w:pPr>
    </w:p>
    <w:p w14:paraId="674B90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постановлением ГКО работы усиления броневой защиты корпуса Т-34 были прекращены (10703).</w:t>
      </w:r>
    </w:p>
    <w:p w14:paraId="5903180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BCC4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ГКО своим постановлением № 1333 отменил усиление броневой защиты лобовой части танка Т-34. Тем не менее, заводы № 183,112 и СТЗ в течение зимы и вес</w:t>
      </w:r>
      <w:r w:rsidRPr="008127F8">
        <w:rPr>
          <w:rFonts w:ascii="Times New Roman" w:hAnsi="Times New Roman"/>
          <w:color w:val="000000" w:themeColor="text1"/>
          <w:sz w:val="16"/>
          <w:szCs w:val="16"/>
        </w:rPr>
        <w:softHyphen/>
        <w:t>ны 1942 г. успели выпустить небольшие партии танков Т-34-76 с усилен</w:t>
      </w:r>
      <w:r w:rsidRPr="008127F8">
        <w:rPr>
          <w:rFonts w:ascii="Times New Roman" w:hAnsi="Times New Roman"/>
          <w:color w:val="000000" w:themeColor="text1"/>
          <w:sz w:val="16"/>
          <w:szCs w:val="16"/>
        </w:rPr>
        <w:softHyphen/>
        <w:t>ным бронированием (10703).</w:t>
      </w:r>
    </w:p>
    <w:p w14:paraId="72D09F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43B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из-за нехватки проката постановление ГКО об экранировке танков Т-34 бы</w:t>
      </w:r>
      <w:r w:rsidRPr="008127F8">
        <w:rPr>
          <w:rFonts w:ascii="Times New Roman" w:hAnsi="Times New Roman"/>
          <w:color w:val="000000" w:themeColor="text1"/>
          <w:sz w:val="16"/>
          <w:szCs w:val="16"/>
        </w:rPr>
        <w:softHyphen/>
        <w:t>ло отменено. Но на заводе № 112 оно продолжалось, так как в ход шли отходы от раскроя. Всего заводом № 112 в 1942 г. было выпущено 88 экранированных корпусов и 109 башен (10742).</w:t>
      </w:r>
    </w:p>
    <w:p w14:paraId="2E1D76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224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Постановление ГКО № 1331 Об уменьшении веса танков КВ-1. РГАНИР, Фонд ГКО, д. 22, лл. 6 (11012).</w:t>
      </w:r>
    </w:p>
    <w:p w14:paraId="594679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02F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Постановление ГКО № 1332 Об уменьшении толщины литой башни танков КВ-1 до 95-100 мм. РГАНИР, Фонд ГКО, д. 22, лл. 7 (11012).</w:t>
      </w:r>
    </w:p>
    <w:p w14:paraId="250E4E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DC2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Постановление ГКО № 1334 О выпуске танков КВ-1 весом в 45-45,5 тонн и с дизелем мощностью в 650 л.с. РГАНИР, Фонд ГКО, д. 22, лл. 9 (11012).</w:t>
      </w:r>
    </w:p>
    <w:p w14:paraId="467D5D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601F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23 февра</w:t>
      </w:r>
      <w:r w:rsidRPr="008127F8">
        <w:rPr>
          <w:rFonts w:ascii="Times New Roman" w:hAnsi="Times New Roman"/>
          <w:noProof/>
          <w:color w:val="000000" w:themeColor="text1"/>
          <w:sz w:val="16"/>
          <w:szCs w:val="16"/>
        </w:rPr>
        <w:softHyphen/>
        <w:t>ля 1942 г. Государственный Комитет обороны забил тревогу. Своим постановлением №1334сс обязал ЧКЗ с 15 ап</w:t>
      </w:r>
      <w:r w:rsidRPr="008127F8">
        <w:rPr>
          <w:rFonts w:ascii="Times New Roman" w:hAnsi="Times New Roman"/>
          <w:noProof/>
          <w:color w:val="000000" w:themeColor="text1"/>
          <w:sz w:val="16"/>
          <w:szCs w:val="16"/>
        </w:rPr>
        <w:softHyphen/>
        <w:t xml:space="preserve">реля выпускать танки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массой не более 45,5 т (вместо 47,5-48,2 т) и дизелем мощ</w:t>
      </w:r>
      <w:r w:rsidRPr="008127F8">
        <w:rPr>
          <w:rFonts w:ascii="Times New Roman" w:hAnsi="Times New Roman"/>
          <w:noProof/>
          <w:color w:val="000000" w:themeColor="text1"/>
          <w:sz w:val="16"/>
          <w:szCs w:val="16"/>
        </w:rPr>
        <w:softHyphen/>
        <w:t>ностью 650 л.с. (вместо 500 л.е.). Но где выкроить 27 т для снижения веса танка?И нарком тяжелой промышленности со</w:t>
      </w:r>
      <w:r w:rsidRPr="008127F8">
        <w:rPr>
          <w:rFonts w:ascii="Times New Roman" w:hAnsi="Times New Roman"/>
          <w:noProof/>
          <w:color w:val="000000" w:themeColor="text1"/>
          <w:sz w:val="16"/>
          <w:szCs w:val="16"/>
        </w:rPr>
        <w:softHyphen/>
        <w:t>вместно с наркомом обороны пошли на беспрецедентные меры, пожертвовав важ</w:t>
      </w:r>
      <w:r w:rsidRPr="008127F8">
        <w:rPr>
          <w:rFonts w:ascii="Times New Roman" w:hAnsi="Times New Roman"/>
          <w:noProof/>
          <w:color w:val="000000" w:themeColor="text1"/>
          <w:sz w:val="16"/>
          <w:szCs w:val="16"/>
        </w:rPr>
        <w:softHyphen/>
        <w:t>ными показателями, определяющими бо</w:t>
      </w:r>
      <w:r w:rsidRPr="008127F8">
        <w:rPr>
          <w:rFonts w:ascii="Times New Roman" w:hAnsi="Times New Roman"/>
          <w:noProof/>
          <w:color w:val="000000" w:themeColor="text1"/>
          <w:sz w:val="16"/>
          <w:szCs w:val="16"/>
        </w:rPr>
        <w:softHyphen/>
        <w:t>евую эффективность танка. Своими прика</w:t>
      </w:r>
      <w:r w:rsidRPr="008127F8">
        <w:rPr>
          <w:rFonts w:ascii="Times New Roman" w:hAnsi="Times New Roman"/>
          <w:noProof/>
          <w:color w:val="000000" w:themeColor="text1"/>
          <w:sz w:val="16"/>
          <w:szCs w:val="16"/>
        </w:rPr>
        <w:softHyphen/>
        <w:t>зами по НКТП от 24 февраля 1942 г. и НКО от 26 февраля 1942 г. они распорядились снизить толщину брони лобовых листов и крыши корпуса и башни, крышек люков, кормы, изъять дополнительные топливные баки, уменьшить боекомплект пушки с 110 до 90 выстрелов.А как быть с двигателем? Попытка повы</w:t>
      </w:r>
      <w:r w:rsidRPr="008127F8">
        <w:rPr>
          <w:rFonts w:ascii="Times New Roman" w:hAnsi="Times New Roman"/>
          <w:noProof/>
          <w:color w:val="000000" w:themeColor="text1"/>
          <w:sz w:val="16"/>
          <w:szCs w:val="16"/>
        </w:rPr>
        <w:softHyphen/>
        <w:t>сить мощность двигателя В-2кдо650л.с. не удалась. Форсированный двигатель не вы</w:t>
      </w:r>
      <w:r w:rsidRPr="008127F8">
        <w:rPr>
          <w:rFonts w:ascii="Times New Roman" w:hAnsi="Times New Roman"/>
          <w:noProof/>
          <w:color w:val="000000" w:themeColor="text1"/>
          <w:sz w:val="16"/>
          <w:szCs w:val="16"/>
        </w:rPr>
        <w:softHyphen/>
        <w:t xml:space="preserve">держал испытаний.К марту 1942 г. бедственная ситуация с надежностью и подвижностью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в войсках достигла своего апогея. Треть тан</w:t>
      </w:r>
      <w:r w:rsidRPr="008127F8">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8127F8">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8127F8">
        <w:rPr>
          <w:rFonts w:ascii="Times New Roman" w:hAnsi="Times New Roman"/>
          <w:noProof/>
          <w:color w:val="000000" w:themeColor="text1"/>
          <w:sz w:val="16"/>
          <w:szCs w:val="16"/>
        </w:rPr>
        <w:softHyphen/>
        <w:t>ственных сотрудников.В низкой надежности и неудовлетвори</w:t>
      </w:r>
      <w:r w:rsidRPr="008127F8">
        <w:rPr>
          <w:rFonts w:ascii="Times New Roman" w:hAnsi="Times New Roman"/>
          <w:noProof/>
          <w:color w:val="000000" w:themeColor="text1"/>
          <w:sz w:val="16"/>
          <w:szCs w:val="16"/>
        </w:rPr>
        <w:softHyphen/>
        <w:t xml:space="preserve">тельной подвижности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как уже го</w:t>
      </w:r>
      <w:r w:rsidRPr="008127F8">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8127F8">
        <w:rPr>
          <w:rFonts w:ascii="Times New Roman" w:hAnsi="Times New Roman"/>
          <w:noProof/>
          <w:color w:val="000000" w:themeColor="text1"/>
          <w:sz w:val="16"/>
          <w:szCs w:val="16"/>
        </w:rPr>
        <w:softHyphen/>
        <w:t xml:space="preserve">ции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было возложено на Челябин</w:t>
      </w:r>
      <w:r w:rsidRPr="008127F8">
        <w:rPr>
          <w:rFonts w:ascii="Times New Roman" w:hAnsi="Times New Roman"/>
          <w:noProof/>
          <w:color w:val="000000" w:themeColor="text1"/>
          <w:sz w:val="16"/>
          <w:szCs w:val="16"/>
        </w:rPr>
        <w:softHyphen/>
        <w:t>ский опытный завод, основанный в марте 1942 г. на базе СКБ-2</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2E677F89"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01BD3B5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23 февраля 1942 г. было подписано сразу несколько постановлен</w:t>
      </w:r>
      <w:r>
        <w:rPr>
          <w:rFonts w:ascii="Times New Roman" w:hAnsi="Times New Roman"/>
          <w:color w:val="0070C0"/>
          <w:sz w:val="16"/>
          <w:szCs w:val="16"/>
        </w:rPr>
        <w:t>ий</w:t>
      </w:r>
      <w:r w:rsidRPr="008A2E5A">
        <w:rPr>
          <w:rFonts w:ascii="Times New Roman" w:hAnsi="Times New Roman"/>
          <w:color w:val="0070C0"/>
          <w:sz w:val="16"/>
          <w:szCs w:val="16"/>
        </w:rPr>
        <w:t xml:space="preserve"> ГКО, которые предусматривали снижение массы танка КВ за счет уменьшения толщины брони. Боевую массу КВ-1 предполагали снизить до 45–45,5 тонн. Впрочем, и это не стало пределом. 5 июня 1942 года Сталин подписал постановление ГКО №1878 "Об улучшении танков КВ", которое положило начало работ по еще более существенному облегчению КВ-1. Оно привело к появлению тяжелого танка КВ-1с. Недавно этому событию исполнилось 80 лет, стоит поговорить про историю появления "скоростного" КВ.</w:t>
      </w:r>
    </w:p>
    <w:p w14:paraId="539B3C4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целый букет постановлений ГКО в 20-х числах февраля, можно сказать, что их проигнорировали. По факту масса КВ-1 не снижалась, в лучшем случае усилился контроль изготовления литых башен, которые и были самыми тяжелыми. Именно с ними боевая масса порой превосходила 50 тонн. Основной же задачей стало повышение надежности коробок передач. Особенно это стало актуально после того, как в начале марта 1942 года посыпались жалобы с Крымского фронта. Пикантность момента заключалась в том, что как раз там находился Л.З. Мехлис. Со свойственной ему прямотой Мехлис начал разбираться самыми жесткими мерами, вплоть до требований прислать в Крым конструкторов ЧКЗ и лично Котина. Такой мощный пинок возымел действие: 20 марта 1942 года вышло постановление ГКО №1472 "О качестве танков КВ". В нем прямо указывалось на запущенность ситуации с коробками передач на ЧКЗ. Еще до того, 16 марта,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 (23351).</w:t>
      </w:r>
    </w:p>
    <w:p w14:paraId="0564FD77" w14:textId="77777777" w:rsidR="000E620A" w:rsidRPr="008A2E5A" w:rsidRDefault="000E620A" w:rsidP="000E620A">
      <w:pPr>
        <w:spacing w:after="0" w:line="240" w:lineRule="auto"/>
        <w:jc w:val="both"/>
        <w:rPr>
          <w:rFonts w:ascii="Times New Roman" w:hAnsi="Times New Roman"/>
          <w:color w:val="0070C0"/>
          <w:sz w:val="16"/>
          <w:szCs w:val="16"/>
        </w:rPr>
      </w:pPr>
    </w:p>
    <w:p w14:paraId="539473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года вышло распоряжения ГКО, которым предписывалось всячески экономить броневой прокат. (3862).</w:t>
      </w:r>
    </w:p>
    <w:p w14:paraId="012C43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F2FDA" w14:textId="77777777" w:rsidR="00D91537"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вышло решение ГОКО, которое предписывало танкостроителям всячески экономить броневой прокат, т.к. ощущался острый недостаток и руководители заводов д.б. информировать непосредственно руководство (копию в ГОКО) о наличии проката и даже обрезков пго трем категориям, отличавшимся площадью. Отменили все предыдущие доработки танков по усилению броневой защиты и даже снизили толщину лобовой брони (2453,4).</w:t>
      </w:r>
    </w:p>
    <w:p w14:paraId="397B853B" w14:textId="77777777" w:rsidR="00D91537" w:rsidRPr="008127F8" w:rsidRDefault="00D9153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2EEE7" w14:textId="77777777" w:rsidR="00D91537"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О снабжении комплектующими материалами завода №703</w:t>
      </w:r>
    </w:p>
    <w:p w14:paraId="3583FA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Телеграмма первого секретаря Красноярского крайкома ВКП (б) И.Г. Голубева секретарю ЦК ВКП (б)</w:t>
      </w:r>
    </w:p>
    <w:p w14:paraId="233087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г.Красноярск 23 февраля 1942 г.</w:t>
      </w:r>
    </w:p>
    <w:p w14:paraId="17B92F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Секретарю ЦК [ВКП (б)] т. Андрееву</w:t>
      </w:r>
    </w:p>
    <w:p w14:paraId="366003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выпуска комбайнов, начиная [с] первого апреля Наркомминвооружения не обеспечивает Красноярский завод Главсельмаша материалами комплектно, количественно: [при] потребности сортопроката [в] 800 тонн выделено 63 тонны листового, [при потребности в] 402 тонн выделено 40 тонн леса твердых пород, [при потребности в] 208 кубометров выделено 16. Поставщиков моторов, сит, других полуфабрикатов нет. Строительство также не обеспечено фондируемыми стройматериалами. Не поступление материалов [в] марте грозит срыву выпуска комбайнов первого апреля, [</w:t>
      </w:r>
      <w:proofErr w:type="gramStart"/>
      <w:r w:rsidRPr="008127F8">
        <w:rPr>
          <w:rFonts w:ascii="Times New Roman" w:hAnsi="Times New Roman"/>
          <w:color w:val="000000" w:themeColor="text1"/>
          <w:sz w:val="16"/>
          <w:szCs w:val="16"/>
        </w:rPr>
        <w:t>а ]</w:t>
      </w:r>
      <w:proofErr w:type="gramEnd"/>
      <w:r w:rsidRPr="008127F8">
        <w:rPr>
          <w:rFonts w:ascii="Times New Roman" w:hAnsi="Times New Roman"/>
          <w:color w:val="000000" w:themeColor="text1"/>
          <w:sz w:val="16"/>
          <w:szCs w:val="16"/>
        </w:rPr>
        <w:t xml:space="preserve"> также развороту строительства в соответствии постановлением ЦК СНК [от] 17 ноября 1941 [г.]. Прошу воздействовать [на] Наркомминвооружения [по] обеспечению материалов. </w:t>
      </w:r>
    </w:p>
    <w:p w14:paraId="1C6254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крайкомпарта подпись Голубев</w:t>
      </w:r>
    </w:p>
    <w:p w14:paraId="03443A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ГАКК. Ф.П-26. Оп.3. Д.93. Л.37. Подлинник. Телеграмма (11798).</w:t>
      </w:r>
    </w:p>
    <w:p w14:paraId="6B893A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9A0E2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31E91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EA9F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515C65E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23 февраля наши войска продолжали вести активные боевые действия против немецко-фашистских войск.</w:t>
      </w:r>
    </w:p>
    <w:p w14:paraId="60BDB5E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подразделений, которыми командуют тт. Саркисьян и Рогов (Западный фронт), выбив противника из двух населённых пунктов, захватили 4 орудия, 20 миномётов, 28 пулемётов, большое количество патронов и другие трофеи. Противник потерял убитыми 100 солдат и офицеров.</w:t>
      </w:r>
    </w:p>
    <w:p w14:paraId="68F7D26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где командиром тов. Сазонов (Калининский фронт), заняла важный населённый пункт П. На поле боя гитлеровцы оставили 350 убитых и раненых солдат и офицеров. Отвагу и мужество в этом бою проявил пулемётчик тов. Горбылёв. Израсходовав весь запас патронов, он подкрался к немецкому пулемётчику, стрелявшему по нашей наступающей части, и забросал его гранатами. Уничтожив весь расчёт и захватив пулемёт, т. Горбылёв открыл из него огонь по противнику.</w:t>
      </w:r>
    </w:p>
    <w:p w14:paraId="064FACD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Юго-Западного фронта, за один день боёв уничтожила 4 орудия, 2 миномётных батареи, 12 пулемётов, подбила 4 танка и захватила орудие, 3 пулемёта, 2 автомата и 114 винтовок. Противник потерял убитыми 450 солдат и офицеров.</w:t>
      </w:r>
    </w:p>
    <w:p w14:paraId="39A5508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под командой старшего сержанта Волкова зашла в тыл к немцам. Отважные бойцы забросали вражеские блиндажи гранатами и уничтожили 20 немецких солдат и офицеров. Вернувшаяся без, потерь группа разведчиков доставила пленного немецкого солдата, один крупнокалиберный пулемёт и несколько винтовок.</w:t>
      </w:r>
    </w:p>
    <w:p w14:paraId="160FF26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части тов. Батракова сбили фашистский транспортный самолёт, который пытался сбросить хлеб немецкому гарнизону, блокированному нашими частями в Энском населённом пункте. 8 человек экипажа самолёта взяты в плен.</w:t>
      </w:r>
    </w:p>
    <w:p w14:paraId="7CD3810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Действующие на территории Орловской области партизанские отряды под командованием тт. К. и В. напали в деревне Х. на штаб немецкой части. Гитлеровцы в панике убежали на территорию расположенного поблизости аэродрома. Опасаясь, что партизаны захватят самолёты, немцы подожгли находящиеся на аэродроме 4 бомбардировщика и 13 транспортных «Юнкерсов».</w:t>
      </w:r>
    </w:p>
    <w:p w14:paraId="5909F668"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разгроме нашими частями 30 финского пехотного полка были захвачены документы штаба полка, среди которых найден «Бюллетень приказов главной квартиры верховного командования финской армии» за № 21. В параграфе 5—«О нищенствующих солдатах» — говорится:</w:t>
      </w:r>
    </w:p>
    <w:p w14:paraId="6E3EE03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«Замечено, что солдаты на пути следования занимаются попрошайничеством у гражданского населения, собирают милостыню деньгами, хлебом, табаком и т. д. Начальствующему составу предлагается разъяснить каждому солдату, что такого рода нищенство пятнает честь солдата финской армии и не может быть дозволено ни при каких обстоятельствах. Начальник штаба Управления генерал-майор В. Э. Тумпио».</w:t>
      </w:r>
    </w:p>
    <w:p w14:paraId="7D2BFE5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приказ приказом, а нищенство финских солдат не только не прекратилось, но приняло ещё более широкие размеры.</w:t>
      </w:r>
    </w:p>
    <w:p w14:paraId="1BC9F6C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8 роты 134 полка 44 пехотной дивизии Даниель Антон рассказал: «Нашу дивизию сильно потрепали ещё осенью. Но особенно большие потери она понесла в последних боях, когда русские перешли в наступление. Во многих ротах осталось по 20—30 человек. В частях много обмороженных. Настроение у солдат плохое. Они говорят: «Отсюда нам уже не выбраться. Нет у нас пути ни вперёд, ни назад». Недавно в нашей роте расстреляли солдата, который призывал товарищей сдаваться в плен. В ротах всё чаще и чаще зачитываются приказы о наложенных взысканиях и смертных приговорах солдатам за нарушение дисциплины, дезертирство и попытки сдаться в плен».</w:t>
      </w:r>
    </w:p>
    <w:p w14:paraId="2E0BE9C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XXIV годовщине Красной Армии трудящиеся Приморского края отправили большое количество подарков в Действующую армию. В подарок бойцам, командирам и политработникам отправлено свыше 120 тысяч различных вещей, а также 32 тонны печенья, 27,3 тонны мяса, 10 тонн рыбы, 3,5 тонны сахара, 3 тонны колбасы, тонна сыра, 2.300 кг мёда, 800 кг свиного сала, 970 кг сливочного масла, 7.000 банок консервов, 12.000 пачек махорки, 10.000 кусков мыла и 3.000 бутылок вина.» (15049).</w:t>
      </w:r>
    </w:p>
    <w:p w14:paraId="1A157DAC"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4582F04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4B49720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февраля наши войска вели упорные бои с противником, вновь продвинулись вперёд и заняли несколько населённых пунктов, в том числе город Дорогобуж. По уточнённым данным, за 21 февраля уничтожено не 16 немецких самолётов, как об этом сообщалось ранее, а 26 немецких самолётов.</w:t>
      </w:r>
    </w:p>
    <w:p w14:paraId="5BA7FE8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февраля сбито в воздушных боях 20 самолётов и уничтожено на аэродромах 8 самолётов противника. Всего за этот день уничтожено 28 немецких самолётов. Наши потери —12 самолётов.</w:t>
      </w:r>
    </w:p>
    <w:p w14:paraId="56DD9E7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февраля под Москвой сбит 1 немецкий самолёт.</w:t>
      </w:r>
    </w:p>
    <w:p w14:paraId="0F165338"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февраля частями нашей авиации уничтожено и повреждено 4 немецких танка, 29 орудий, более 380 автомашин с войсками и грузами, 225 повозок с боеприпасами, 16 зенитно-пулемётных точек, 3 миномётные батареи, взорвано 2 склада с боеприпасами, разбито 6 железнодорожных вагонов и 3 паровоза, рассеяно и частью уничтожено 4 батальона пехоты противника.</w:t>
      </w:r>
    </w:p>
    <w:p w14:paraId="6683401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уничтожила вражеский танк, одно орудие, 11 автомашин с воинскими грузами и автоцистерну с горючим. На этом участке противник за один день боёв потерял убитыми 200 солдат и офицеров.</w:t>
      </w:r>
    </w:p>
    <w:p w14:paraId="543EADC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два дня части под командованием тов. Вострухова (Калининский фронт) освободили от немецких оккупантов 14 населённых пунктов. В боях захвачены трофеи: пулемётов — 51, орудий — 1, миномётов — 4, винтовочных патронов — 14.000, мин — 29 ящиков и много другого вооружения и боеприпасов. На поле боя противник оставил до 500 трупов. На другом участке часть под командованием тов. Горбунова в ожесточённом бою уничтожила свыше 250 немецких солдат и офицеров.</w:t>
      </w:r>
    </w:p>
    <w:p w14:paraId="039CF1E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Командиру Алябьеву с отрядом в 10 танков и с десантом лыжников было приказано совершить глубокий рейд в тыл врага. У деревни К. отряд был встречен ожесточённым огнём немецких противотанковых орудий, миномётов и пулемётов. Смелой атакой отряд уничтожил четыре орудия, перебил 80 немецких солдат и офицеров. Продвигаясь вперёд, отряд танкистов встретил немецкую батарею, шедшую на помощь гарнизону в деревню К. Батарея была целиком уничтожена. Стремительно ворвавшись в один населённый пункт, отряд разгромил штаб немецкого воинского соединения.</w:t>
      </w:r>
    </w:p>
    <w:p w14:paraId="36F8D926"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публикуется выписка из дневника командира партизанского отряда тов. К., действующего в Харьковской области:</w:t>
      </w:r>
    </w:p>
    <w:p w14:paraId="03AF636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декабря. Отряд встретился в лесу у села С. с карательным отрядом немцев. Партизаны вступили в бой и истребили 9 гитлеровцев, остальные отступили.</w:t>
      </w:r>
    </w:p>
    <w:p w14:paraId="7A85C6D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декабря. Отряд внезапно напал на хутор Д., где находились немцы. В завязавшейся перестрелке убито 10 немецких солдат и офицеров.</w:t>
      </w:r>
    </w:p>
    <w:p w14:paraId="79298D6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В селе Г. разгромили крупную продовольственную базу немцев.</w:t>
      </w:r>
    </w:p>
    <w:p w14:paraId="4A219E7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В селе П. отряд вступил в бой с большой группой немецких солдат. Гитлеровцы не выдержали натиска и убежали. На поле боя остались две разбитые нами грузовые машины.</w:t>
      </w:r>
    </w:p>
    <w:p w14:paraId="06C978E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января. В селе В. встретились с немецкой частью, с которой завязали бой. Только убитыми немцы потеряли около 80 человек, а раненых было значительно больше.</w:t>
      </w:r>
    </w:p>
    <w:p w14:paraId="7A2EF8F2"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января. Напали на карательный немецкий отряд у села М. Перебито несколько немецко-фашистских захватчиков. Убит начальник карательного отряда».</w:t>
      </w:r>
    </w:p>
    <w:p w14:paraId="7711585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8 роты 217 полка 57 пехотной дивизии Иоганн Кнедельзедер рассказал: «В нашей дивизии солдату сейчас выдают на три дня только 400 граммов хлеба. Обед состоит из картофельного супа, причём картофель отнимали у местного населения. В частях нехватает медицинского персонала. На передовой линии не стало врачей. На моих глазах умер от раны солдат Алекс Pax только потому, что ему своевременно не оказали медицинской помощи. Солдаты стали очень раздражительны и часто вступают в пререкания с офицерами. Солдату нашей роты Михелю Бернауэру офицер приказал доставить донесение в штаб батальона. Михель отказался выполнить приказ и заявил: «Идите сами, господин офицер: у вас тёплая одежда, вас мороз не проберёт, а я в такой одежде не пойду». Офицер избил Мигеля прикладом карабина и передал дело в военно-полевой суд».</w:t>
      </w:r>
    </w:p>
    <w:p w14:paraId="6F78031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сожгли 54 дома из 60 в селе Анисово-Городище, Кировского района, Смоленской области. Бандиты замучили и убили многих колхозников и их детей. Колхозника Сергея Лобачёва гитлеровцы бросили в горящий дом и сожгли.</w:t>
      </w:r>
    </w:p>
    <w:p w14:paraId="6A1C37D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Казахской ССР в связи с XXIV годовщиной Красной Армии отправили на фронт 125 вагонов с праздничными подарками. Только из Алма-Атинской области послано 8.000 килограммов рыбы, 5.022 килограмма сала и масла, 2.337 килограммов печенья, 15.031 килограмм пряников, 12.532 килограмма конфет, много фруктов, вина и других подарков. Звеньевой колхоза «Курман», Уилского района, орденоносец Чаганак Берсиев в письме, вложенном в посылку, пишет фронтовикам: «Ещё готовлю вам подарок на колхозном участке. В прошлом году мое звено установило мировой рекорд — сняло 155 центнеров проса с гектара. Сейчас я со своим звеном так подготовился к весне, чтобы в этом году собрать 170 центнеров проса с гектара. Беспощадно уничтожайте гитлеровских бандитов, а мы самоотверженным трудом в тылу поможем вам одержать победу над врагом».</w:t>
      </w:r>
    </w:p>
    <w:p w14:paraId="579717E2"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5A7C1EB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окружили 16 немецкую армию.</w:t>
      </w:r>
    </w:p>
    <w:p w14:paraId="66B2C4E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трофеи.</w:t>
      </w:r>
    </w:p>
    <w:p w14:paraId="733949E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 Северо-Западного фронта (командующий фронтом генерал-лейтенант Курочкин), начавшие в районе Старой Руссы окружение 16 немецкой армии дней 10 назад, на-днях закончили его. Ввиду отказа 16 немецкой армии (командующий генерал-полковник фон Буш) сложить оружие наши войска начали атаку. В результате первого этапа атаки разгромлены 290 пехотная дивизия 2 армейского корпуса (командующий генерал Брокдорф), 30 пехотная дивизия 10 армейского корпуса (командующий генерал Ганзен) и дивизия СС. Немцы оставили на поле боя 12 тысяч человек убитыми.</w:t>
      </w:r>
    </w:p>
    <w:p w14:paraId="77D6122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трофеи: орудий —185, миномётов — 135, танков—29, пулеметов—340, автоматов и винтовок—4.150, автомашин — 450, мотоциклов— 320, велосипедов — 560, тракторных тягачей—15, вагонов — 125, паровозов — 8, артснарядов —14.000, мин — 9.700, патронов — 1.300.000, ручных гранат— 6.350, понтонов —53, телефонного кабеля — 105 километров, радиостанций — 27, парашютов — 385, лошадей — 335.</w:t>
      </w:r>
    </w:p>
    <w:p w14:paraId="6A82D17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Захвачены также склады продовольствия, боеприпасов и обмундирования; подсчёт производится.</w:t>
      </w:r>
    </w:p>
    <w:p w14:paraId="37AA626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отличились войска генерал-лейтенанта т. Морозова, генерал-майора т. Грязнова и генерал-майора т. Берзарина.» (15049).</w:t>
      </w:r>
    </w:p>
    <w:p w14:paraId="1E8CD3CB"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1BA5E133" w14:textId="77777777" w:rsidR="004A3B1D" w:rsidRPr="008127F8" w:rsidRDefault="004A3B1D"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23 февраля 1942 снова вылет на ж.д. узел Витебск.</w:t>
      </w:r>
    </w:p>
    <w:p w14:paraId="45BD1BD2" w14:textId="77777777" w:rsidR="004A3B1D" w:rsidRPr="008127F8" w:rsidRDefault="004A3B1D"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командир корабля полковник Алексеев, штурман майор Лебедев в 17.50 23.2.1942 г. стартовал с аэродрома Ковров на бомбардирование ж.д. эшелонов на ст. пассажирская и товарная г. Витебск. Цель закрыта облачностью с разрывами, горизонтальной видимости не было, была только вертикальная. Найти жел. дор. узел было невозможно. В 21 час 25 мин с высоты 5650 м сброшены четыре ФАБ-1000 на западную часть г. Витебск. Экипаж наблюдал разрывы всех бомб в городе, одна бомба вызвала сильный взрыв. В районе цели и на участке от линии фронта до цели сброшены 90 тыс. листовок.</w:t>
      </w:r>
    </w:p>
    <w:p w14:paraId="02E12D45" w14:textId="77777777" w:rsidR="004A3B1D" w:rsidRPr="008127F8" w:rsidRDefault="004A3B1D"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Противодействие ПВО</w:t>
      </w:r>
      <w:proofErr w:type="gramStart"/>
      <w:r w:rsidRPr="008127F8">
        <w:rPr>
          <w:color w:val="000000" w:themeColor="text1"/>
          <w:sz w:val="16"/>
          <w:szCs w:val="16"/>
        </w:rPr>
        <w:t>: У</w:t>
      </w:r>
      <w:proofErr w:type="gramEnd"/>
      <w:r w:rsidRPr="008127F8">
        <w:rPr>
          <w:color w:val="000000" w:themeColor="text1"/>
          <w:sz w:val="16"/>
          <w:szCs w:val="16"/>
        </w:rPr>
        <w:t xml:space="preserve"> цели работали 4 прожектора. ЗА среднего калибра до 4 орудий вела огонь по самолету, разрывы снарядов наблюдали ниже самолета. Смоленск 21.05 интенсивный огонь ЗА мелкого калибра.</w:t>
      </w:r>
    </w:p>
    <w:p w14:paraId="13926BB6" w14:textId="77777777" w:rsidR="004A3B1D" w:rsidRPr="008127F8" w:rsidRDefault="004A3B1D"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Метеоусловия</w:t>
      </w:r>
      <w:proofErr w:type="gramStart"/>
      <w:r w:rsidRPr="008127F8">
        <w:rPr>
          <w:color w:val="000000" w:themeColor="text1"/>
          <w:sz w:val="16"/>
          <w:szCs w:val="16"/>
        </w:rPr>
        <w:t>: На</w:t>
      </w:r>
      <w:proofErr w:type="gramEnd"/>
      <w:r w:rsidRPr="008127F8">
        <w:rPr>
          <w:color w:val="000000" w:themeColor="text1"/>
          <w:sz w:val="16"/>
          <w:szCs w:val="16"/>
        </w:rPr>
        <w:t xml:space="preserve"> пути к цели вскоре после прохода Клин, земля была закрыта низкой облачностью, по мере подхода к цели переходящая в очень густую дымку, при которой туманно различались по вертикали леса и поля. На обратном пути облачность окончилась восточнее г. Клин.</w:t>
      </w:r>
    </w:p>
    <w:p w14:paraId="733AEF12" w14:textId="77777777" w:rsidR="004A3B1D" w:rsidRPr="008127F8" w:rsidRDefault="004A3B1D"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23.20 экипаж произвел посадку на своем аэродроме. Продолжительность полета 5 час 30 мин.</w:t>
      </w:r>
    </w:p>
    <w:p w14:paraId="36F28119" w14:textId="77777777" w:rsidR="004A3B1D" w:rsidRPr="008127F8" w:rsidRDefault="004A3B1D"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Матчасть: не работают у 2-го летчика авиагоризонт и ГПК.</w:t>
      </w:r>
    </w:p>
    <w:p w14:paraId="104F63CB" w14:textId="77777777" w:rsidR="004A3B1D" w:rsidRPr="008127F8" w:rsidRDefault="004A3B1D"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В официальном отчете не написано, но в личном военном дневнике, который вел штурман другого ТБ-7 майор Штепенко, он написал, что экипаж полковника Алексеева, не найдя Витеб</w:t>
      </w:r>
      <w:r w:rsidRPr="008127F8">
        <w:rPr>
          <w:rFonts w:ascii="Times New Roman" w:hAnsi="Times New Roman" w:cs="Times New Roman"/>
          <w:color w:val="000000" w:themeColor="text1"/>
          <w:sz w:val="16"/>
          <w:szCs w:val="16"/>
        </w:rPr>
        <w:softHyphen/>
        <w:t>ска, повернул обратно, чтобы найти ориентиры. Выйдя к Смо</w:t>
      </w:r>
      <w:r w:rsidRPr="008127F8">
        <w:rPr>
          <w:rFonts w:ascii="Times New Roman" w:hAnsi="Times New Roman" w:cs="Times New Roman"/>
          <w:color w:val="000000" w:themeColor="text1"/>
          <w:sz w:val="16"/>
          <w:szCs w:val="16"/>
        </w:rPr>
        <w:softHyphen/>
        <w:t>ленску, штурман восстановил ориентировку, однако командир корабля приказал штурману бомбить Смоленск, но штурман отказался это делать и сказал, чтобы он повернул и летел обратно к Витебску (19105).</w:t>
      </w:r>
    </w:p>
    <w:p w14:paraId="50B40FB4" w14:textId="77777777" w:rsidR="004A3B1D" w:rsidRPr="008127F8" w:rsidRDefault="004A3B1D" w:rsidP="001E0A84">
      <w:pPr>
        <w:pStyle w:val="31b"/>
        <w:shd w:val="clear" w:color="auto" w:fill="auto"/>
        <w:spacing w:after="0" w:line="240" w:lineRule="auto"/>
        <w:jc w:val="both"/>
        <w:rPr>
          <w:rFonts w:ascii="Times New Roman" w:hAnsi="Times New Roman" w:cs="Times New Roman"/>
          <w:color w:val="000000" w:themeColor="text1"/>
          <w:sz w:val="16"/>
          <w:szCs w:val="16"/>
        </w:rPr>
      </w:pPr>
    </w:p>
    <w:p w14:paraId="26CB45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женский 586 иап совершил первый боевой вылет с аэродрома в Энгельсе на прикрытие моста через Волгу у Саратова (4618,8).</w:t>
      </w:r>
    </w:p>
    <w:p w14:paraId="5F3B18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9F11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 привели в исполнение Приговор от 13 февраля 1942 Особогосовещания НКВД СССР о казни генерал-лейтенантов авиа</w:t>
      </w:r>
      <w:r w:rsidRPr="008127F8">
        <w:rPr>
          <w:rFonts w:ascii="Times New Roman" w:hAnsi="Times New Roman"/>
          <w:color w:val="000000" w:themeColor="text1"/>
          <w:sz w:val="16"/>
          <w:szCs w:val="16"/>
        </w:rPr>
        <w:softHyphen/>
        <w:t>ции П.А. Алексеева, К.М. Гусева, Е.С. Птухина, П.И. Пум-пура, генерал-майоров авиации А.П. Ионова, Н.А. Ласки-на, А.А. Левина, А.И. Филина, Э.Г. Шахта, П.П. Юсупова, помощника генерал-инспектора ВВС комдива Н.Н. Васильченко (10745,21).</w:t>
      </w:r>
    </w:p>
    <w:p w14:paraId="734231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3A6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из Бушира (Иран) вышла первая колонная из 50 машин - грузовиков Dodge, послужившая началом транзита в СССР южным путем ленд-лизовской техники (3398,84).</w:t>
      </w:r>
    </w:p>
    <w:p w14:paraId="030736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0B2A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99227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0BF0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года</w:t>
      </w:r>
    </w:p>
    <w:p w14:paraId="101093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ПРЕЗИДЕНТА И. В. СТАЛИНУ</w:t>
      </w:r>
    </w:p>
    <w:p w14:paraId="66F191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Сим подтверждается получение Вашего послания от 20 февраля </w:t>
      </w:r>
      <w:r w:rsidRPr="008127F8">
        <w:rPr>
          <w:rFonts w:ascii="Times New Roman" w:hAnsi="Times New Roman"/>
          <w:color w:val="000000" w:themeColor="text1"/>
          <w:sz w:val="16"/>
          <w:szCs w:val="16"/>
          <w:vertAlign w:val="superscript"/>
        </w:rPr>
        <w:t>8</w:t>
      </w:r>
      <w:r w:rsidRPr="008127F8">
        <w:rPr>
          <w:rFonts w:ascii="Times New Roman" w:hAnsi="Times New Roman"/>
          <w:color w:val="000000" w:themeColor="text1"/>
          <w:sz w:val="16"/>
          <w:szCs w:val="16"/>
        </w:rPr>
        <w:t>.</w:t>
      </w:r>
    </w:p>
    <w:p w14:paraId="5C610E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хочу, чтобы Вы знали, что в соответствующее время мы будем рады пересмотреть с Вами наше соглашение относительно фондов, авансированных нами по закону о передаче вооружения взаймы или в аренду. В настоящий момент самой важной задачей является доставка Вам снабжения.</w:t>
      </w:r>
    </w:p>
    <w:p w14:paraId="127F76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распорядился об изучении Вашего предложения о централизации здесь дела поставок вооружения в Россию.</w:t>
      </w:r>
    </w:p>
    <w:p w14:paraId="3F031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Новые вести об успехах Вашей армии нас весьма ободряют.</w:t>
      </w:r>
    </w:p>
    <w:p w14:paraId="75E1CE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Посылаю Вам свои горячие поздравления в 24-ю годовщину создания Красной Армии (7430).</w:t>
      </w:r>
    </w:p>
    <w:p w14:paraId="72C8D6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7FF7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февраля</w:t>
      </w:r>
      <w:r w:rsidRPr="008127F8">
        <w:rPr>
          <w:rFonts w:ascii="Times New Roman" w:hAnsi="Times New Roman"/>
          <w:color w:val="000000" w:themeColor="text1"/>
          <w:sz w:val="16"/>
          <w:szCs w:val="16"/>
        </w:rPr>
        <w:t xml:space="preserve"> в 1942 году из Бушира (Иран) вышла первая колонна из 50 автомашин, положившая начало транзиту южным путем в СССР вооружений и военной техники по ленд-лизу (15049).</w:t>
      </w:r>
    </w:p>
    <w:p w14:paraId="1CA17817"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7988D2B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10961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041A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февраля 1942 г. первый "Харрикейн" IIА с подвеской ракет поднял в воздух К.Уоррен. Уже на следующий день эта машина приступила к стрельбам в Боскомб-Даун. Хотя </w:t>
      </w:r>
      <w:proofErr w:type="gramStart"/>
      <w:r w:rsidRPr="008127F8">
        <w:rPr>
          <w:rFonts w:ascii="Times New Roman" w:hAnsi="Times New Roman"/>
          <w:color w:val="000000" w:themeColor="text1"/>
          <w:sz w:val="16"/>
          <w:szCs w:val="16"/>
        </w:rPr>
        <w:t>из за</w:t>
      </w:r>
      <w:proofErr w:type="gramEnd"/>
      <w:r w:rsidRPr="008127F8">
        <w:rPr>
          <w:rFonts w:ascii="Times New Roman" w:hAnsi="Times New Roman"/>
          <w:color w:val="000000" w:themeColor="text1"/>
          <w:sz w:val="16"/>
          <w:szCs w:val="16"/>
        </w:rPr>
        <w:t xml:space="preserve"> плохих баллистических характеристик точность оказалась невысокой, простота и дешевизна ракетного оружия привели к его массовому производству и применению. Массу боеголовки в процессе доводки увеличили с 18 кг до 27 кг, а число ракет на истребителе - до восьми. Стабилизаторов стало </w:t>
      </w:r>
      <w:proofErr w:type="gramStart"/>
      <w:r w:rsidRPr="008127F8">
        <w:rPr>
          <w:rFonts w:ascii="Times New Roman" w:hAnsi="Times New Roman"/>
          <w:color w:val="000000" w:themeColor="text1"/>
          <w:sz w:val="16"/>
          <w:szCs w:val="16"/>
        </w:rPr>
        <w:t>четыре</w:t>
      </w:r>
      <w:proofErr w:type="gramEnd"/>
      <w:r w:rsidRPr="008127F8">
        <w:rPr>
          <w:rFonts w:ascii="Times New Roman" w:hAnsi="Times New Roman"/>
          <w:color w:val="000000" w:themeColor="text1"/>
          <w:sz w:val="16"/>
          <w:szCs w:val="16"/>
        </w:rPr>
        <w:t xml:space="preserve"> и они получили прямоугольную форму. Выпускали три варианта ракет: бронебойные, фугасные и учебные. Фугасными стреляли с дистанции 300-400 м, бронебойными с 200м. А вот другой вид ракетной системы, испытывавшийся на "Харрикейне", так и остался в опытных образцах. Речь идет об одном из первых снарядов класса "воздух-воздух". Правда, для "Харрикейна" оно не предназначалось, а лишь опробовалось на нем. Этими ракетами собирались отпугивать истребители немцев, осыпавшие сверху строй бомбардировщиков мелкими бомбами. Ракета выпускалась, как из миномета, из трубы, наклонно стоявшей за кабиной самолета. Вместо крупных бомб по 113 или 227 кг под крыльями истребителя можно было подвесить контейнеры для мелких бомб 5ВС. В гнезда этого контейнера обычно укладывали осколочные или учебные бомбы. Испытывали англичане </w:t>
      </w:r>
      <w:proofErr w:type="gramStart"/>
      <w:r w:rsidRPr="008127F8">
        <w:rPr>
          <w:rFonts w:ascii="Times New Roman" w:hAnsi="Times New Roman"/>
          <w:color w:val="000000" w:themeColor="text1"/>
          <w:sz w:val="16"/>
          <w:szCs w:val="16"/>
        </w:rPr>
        <w:t>и собственно</w:t>
      </w:r>
      <w:proofErr w:type="gramEnd"/>
      <w:r w:rsidRPr="008127F8">
        <w:rPr>
          <w:rFonts w:ascii="Times New Roman" w:hAnsi="Times New Roman"/>
          <w:color w:val="000000" w:themeColor="text1"/>
          <w:sz w:val="16"/>
          <w:szCs w:val="16"/>
        </w:rPr>
        <w:t xml:space="preserve"> противосамолетные бомбы. "Харрикейн" нес две такие бомбы по 113 кг. Взрыватель был фотоэлектрического типа и срабатывал от тени самолета-цели. При использовании традиционных типов бомб "Харрикейны" летали парами, а чаще четверками. Бомбили с пикирования, осуществляя сброс с высоты 1500-3000 м. Радиус действия с бомбами был около 240 км. Вместо бомб на бомбодержателях крепились дымовые приборы 5С1, по одному с каждой стороны фюзеляжа. " Харрикейны" - дымозавесчики использовались в ряде операций в Европе в 1943-1944 годах (15129).</w:t>
      </w:r>
    </w:p>
    <w:p w14:paraId="14E4A135"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22091E6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фашистами под Парижем расстреляны русские эмигранты Борис Вильде и Анатолий Левицкий, издававшие подпольную газету “Сопротивление” (позже Шарль де Голль наградил их посмертно орденом) (4962).</w:t>
      </w:r>
    </w:p>
    <w:p w14:paraId="52E15A4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51E48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февраля</w:t>
      </w:r>
      <w:r w:rsidRPr="008127F8">
        <w:rPr>
          <w:rFonts w:ascii="Times New Roman" w:hAnsi="Times New Roman"/>
          <w:color w:val="000000" w:themeColor="text1"/>
          <w:sz w:val="16"/>
          <w:szCs w:val="16"/>
        </w:rPr>
        <w:t xml:space="preserve"> в 1942 году фашистами под Парижем расстреляны русские эмигранты Борис Вильде и Анатолий Левицкий, издававшие подпольную газету «Сопротивление» (позже Шарль де Голль наградил их посмертно орденом) (15049).</w:t>
      </w:r>
    </w:p>
    <w:p w14:paraId="22B83355"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0F9611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японская подводная лодка обстреляла НПЗ у Санта-Барбары - первое прямое нападение на территорию США (2100).</w:t>
      </w:r>
    </w:p>
    <w:p w14:paraId="0B1C03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53C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было подписано соглашение о взаимопомощи между США, Англией и Новой Зеландией (2261).</w:t>
      </w:r>
    </w:p>
    <w:p w14:paraId="5FE6EE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A43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февраля 1942 в Петрополисе близ Рио де Жанейро в знак протеста против духовной деградации Европы вместе с женой покончил самоубийством Стефан Цвейг (3186).</w:t>
      </w:r>
    </w:p>
    <w:p w14:paraId="711CB0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B554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февраля</w:t>
      </w:r>
      <w:r w:rsidRPr="008127F8">
        <w:rPr>
          <w:rFonts w:ascii="Times New Roman" w:hAnsi="Times New Roman"/>
          <w:color w:val="000000" w:themeColor="text1"/>
          <w:sz w:val="16"/>
          <w:szCs w:val="16"/>
        </w:rPr>
        <w:t xml:space="preserve"> в 1942 году начало передач радиостанции "Голос Америки» (15049).</w:t>
      </w:r>
    </w:p>
    <w:p w14:paraId="0622EA7F"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048AC70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B0331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8B74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был подписан Акт N 4 13 АБ г. Куйбышев:</w:t>
      </w:r>
    </w:p>
    <w:p w14:paraId="14FC11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февраля во время тренировочных полетов на самолете Ил-2 N 2599 в полете вырвало с обшивкой весовую компенсацию по шву заклепок на крайней наружной части правого элерона.</w:t>
      </w:r>
    </w:p>
    <w:p w14:paraId="252D47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февраля 1942 на самолете Ил-2 произошел обрыв заклепок вместе с обшивкой и весовой компенсацией правого элерона (самолеты N 2584).</w:t>
      </w:r>
    </w:p>
    <w:p w14:paraId="5517B9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N 2598 надорвана обшивка передней кромки элеронов левой плоскости. На этой же машине соскочил подшипник крепления правого концевого элерона.</w:t>
      </w:r>
    </w:p>
    <w:p w14:paraId="0A36B0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N 2601 надорвана обшивка носовой компенсации у заклепочного шва правого элерона, на нем же подшипник крайне левого элерона наполовину выпал из своей обоймы.</w:t>
      </w:r>
    </w:p>
    <w:p w14:paraId="6F0C4A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N 2585 надорвана обшивка весовой компенсации у заклепочного шва левого крайнего элерона, ослабли заклепки кронштейна триммера правого элерона.</w:t>
      </w:r>
    </w:p>
    <w:p w14:paraId="459696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N 2586 надорвана обшивка весовой компенсации у заклепочного шва крайнего левого элерона.</w:t>
      </w:r>
    </w:p>
    <w:p w14:paraId="3D1FC6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N 2588 надорвана обшивка весовой компенсации у заклепочного шва крайнего левого элерона.</w:t>
      </w:r>
    </w:p>
    <w:p w14:paraId="0707C5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Ил-2 N 2593 надорвана обшивка по заклепочному шву крайних элеронов правого и левого крыла.</w:t>
      </w:r>
    </w:p>
    <w:p w14:paraId="503F01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Указанные дефекты выявлены в процессе летной эксплуатации в 123 ап</w:t>
      </w:r>
    </w:p>
    <w:p w14:paraId="1C3911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налетали от 3 до 16 час.</w:t>
      </w:r>
    </w:p>
    <w:p w14:paraId="546D9E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0C6FF0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считает вышеуказанные дефекты непосредственно влияют на безопасность полетов, ввиду возможности заклинения элеронов, что ведет к отказу управления. Наличие дефектов в элеронах на новых машинах выпуска января-февраля 1942 завода 1 является результатом слабости изготовления самого элерона, а именно: весовая компенсация закреплены в дюраль малой прочности (0.5 мм) и недостаточной прочностью нервюр кромки атаки.</w:t>
      </w:r>
    </w:p>
    <w:p w14:paraId="3D5A48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указанных недостатков при наличии вибрации происходит отрыв дюралевой обшивки по заклепочному шву и выпадение весовой компенсации.</w:t>
      </w:r>
    </w:p>
    <w:p w14:paraId="4BA1B4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Комиссия считает элероны в дальнейшем к эксплуатации непригодны, подлежат замене на усиленные, как не выдержавшие сроки гарантии. Заводу 1 необходимо произвести усиление в посадке роликового подшипника в гнездо.</w:t>
      </w:r>
    </w:p>
    <w:p w14:paraId="15A265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Основные виновники - директор завода 1 Третьяков, ГИ Литвинов (1636,257).</w:t>
      </w:r>
    </w:p>
    <w:p w14:paraId="12172D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903A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второй опытный экземп</w:t>
      </w:r>
      <w:r w:rsidRPr="008127F8">
        <w:rPr>
          <w:rFonts w:ascii="Times New Roman" w:hAnsi="Times New Roman"/>
          <w:color w:val="000000" w:themeColor="text1"/>
          <w:sz w:val="16"/>
          <w:szCs w:val="16"/>
        </w:rPr>
        <w:softHyphen/>
        <w:t>ляр самолета Су-6 («82») после выполнения программы заводских испытаний с 15 по 23 февраля 1942 переле</w:t>
      </w:r>
      <w:r w:rsidRPr="008127F8">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267DD7A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75E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вышел приказ N 98 по заводу 126 НКАП, подписанный директором завода Д.Тимофеевым:</w:t>
      </w:r>
    </w:p>
    <w:p w14:paraId="2F8F10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прибытием чертежей ГК С.В.И. для ДБ-3Ф 2М-82, предусматривающим широкую модификацию машины, приказываю:</w:t>
      </w:r>
    </w:p>
    <w:p w14:paraId="1E757A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Приступить к изготовлению в производстве эталонной машины второго полугодия по черт. ГК С.В.И, выделив для этого машину № 7110.</w:t>
      </w:r>
    </w:p>
    <w:p w14:paraId="1BFB22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 СКО Вульман и зам ГК Калинину опустить в производство чертежи для изготовления эталонной машины, согласно утвержденного мною графика.</w:t>
      </w:r>
    </w:p>
    <w:p w14:paraId="0C547D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ГИ т. Классиди произвести расцеховку чертежей, составление технологии и изготовление инструмен</w:t>
      </w:r>
      <w:r w:rsidRPr="008127F8">
        <w:rPr>
          <w:rFonts w:ascii="Times New Roman" w:hAnsi="Times New Roman"/>
          <w:color w:val="000000" w:themeColor="text1"/>
          <w:sz w:val="16"/>
          <w:szCs w:val="16"/>
        </w:rPr>
        <w:softHyphen/>
        <w:t>та и оснастки всроки, обеспечивающие выполнение графика сборки машины № 7110.</w:t>
      </w:r>
    </w:p>
    <w:p w14:paraId="2050D2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Утвердить след. сроки сдачи агрегатов в оконч. сборку по черт. ГК на машину 7110:</w:t>
      </w:r>
    </w:p>
    <w:p w14:paraId="57A084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 - 14 февраля,</w:t>
      </w:r>
    </w:p>
    <w:p w14:paraId="44119D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крыло - 25 февраля,</w:t>
      </w:r>
    </w:p>
    <w:p w14:paraId="72C4E9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мотоотсек - 20 марта</w:t>
      </w:r>
    </w:p>
    <w:p w14:paraId="072F71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цехов №№ 2, 3, 24 - для обеспечения сроков сдачи агрега</w:t>
      </w:r>
      <w:r w:rsidRPr="008127F8">
        <w:rPr>
          <w:rFonts w:ascii="Times New Roman" w:hAnsi="Times New Roman"/>
          <w:color w:val="000000" w:themeColor="text1"/>
          <w:sz w:val="16"/>
          <w:szCs w:val="16"/>
        </w:rPr>
        <w:softHyphen/>
        <w:t>тов составить графики подачи деталей на данные агрегаты, согласованные с цехами изготовителями и утверждениями начальником произвотст ва тов. Белеловским С.И. (2464).</w:t>
      </w:r>
    </w:p>
    <w:p w14:paraId="4223DF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A65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было подписано заключение по люковой установке под п Березина 12.7 мм для самолета ДБ-3Ф 2М-88Б</w:t>
      </w:r>
    </w:p>
    <w:p w14:paraId="5C61AC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повышения огневой мощи самолета ДБ-3Ф, силами ит состава 3 АЛ ДД, изготовляется и подвергнута испытаниям на самолете ДБ-3Ф люковая установка под п Березина.</w:t>
      </w:r>
    </w:p>
    <w:p w14:paraId="2A3375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 разработкой установки были поставлены задачи:</w:t>
      </w:r>
    </w:p>
    <w:p w14:paraId="13368A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 вносить изменений в конструкцию самолета</w:t>
      </w:r>
    </w:p>
    <w:p w14:paraId="2E7B68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использовать полностью агрегаты люковой установки под ШКАС (МВ-2).</w:t>
      </w:r>
    </w:p>
    <w:p w14:paraId="4F68CD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Использовать серийные агрегаты люковой установки Пе-2</w:t>
      </w:r>
    </w:p>
    <w:p w14:paraId="02B327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ЛУ под п Б. Должна обеспечивать использование люка для входа внутрь фюзеляжа на земле и покидание самолета с парашютом в воздухе</w:t>
      </w:r>
    </w:p>
    <w:p w14:paraId="2E0F4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Углы обстрела из п должны обеспечивать полную защиту самолета от атак снизу</w:t>
      </w:r>
    </w:p>
    <w:p w14:paraId="1B3202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выполнения поставленной задачи были:</w:t>
      </w:r>
    </w:p>
    <w:p w14:paraId="688469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Использованы установки ДБ-3Ф под ШКАС со следующими изменениями:</w:t>
      </w:r>
    </w:p>
    <w:p w14:paraId="3AE2BF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увеличена длинна до 790 мм</w:t>
      </w:r>
    </w:p>
    <w:p w14:paraId="27CC87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увеличена ширина до 460 мм</w:t>
      </w:r>
    </w:p>
    <w:p w14:paraId="6C6B7A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срезаны старые подкосы и приварены новые с кронштейнами для крепления лафета</w:t>
      </w:r>
    </w:p>
    <w:p w14:paraId="723FE6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рукоятка фиксатора рамы в боевом положении повернуты на 70 гр.</w:t>
      </w:r>
    </w:p>
    <w:p w14:paraId="1886A9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Использован целиком без переделок лафет под п Б. ЛУ Пе-2</w:t>
      </w:r>
    </w:p>
    <w:p w14:paraId="012A41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Использован без изменения патронный ящик ЛУ Пе-2 и размещен в фюзеляже ДБ-3 аналогично Пе-2</w:t>
      </w:r>
    </w:p>
    <w:p w14:paraId="4D2477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Использован целиком патронный рукав ЛУ Пе-2 с добавлением к нему 13 звеньев. Общее число доведено да 25 шт.</w:t>
      </w:r>
    </w:p>
    <w:p w14:paraId="0AF75A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Кронштейны крепления рамы вместе с п в боевом и походном положении отодвинуты соответственно увеличению размеров рамы</w:t>
      </w:r>
    </w:p>
    <w:p w14:paraId="4E6826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Люк фюзеляжа и его створки изменению не подвергались.</w:t>
      </w:r>
    </w:p>
    <w:p w14:paraId="0C9695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Результаты испытаний:</w:t>
      </w:r>
    </w:p>
    <w:p w14:paraId="07E157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ЛУ под п Б. 12.7 мм подвергалась испытаниям в 748 апдд</w:t>
      </w:r>
    </w:p>
    <w:p w14:paraId="6AE708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Испытаниями установлено:</w:t>
      </w:r>
    </w:p>
    <w:p w14:paraId="3C2F44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Установка обеспечивает стрельбу</w:t>
      </w:r>
    </w:p>
    <w:p w14:paraId="7C5D5E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горизонту вправо от 0 до 35 гр.</w:t>
      </w:r>
    </w:p>
    <w:p w14:paraId="24F3A4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горизонту влево от 0 до 15 гр.</w:t>
      </w:r>
    </w:p>
    <w:p w14:paraId="32099B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 вертикали от 0 до 50 гр.</w:t>
      </w:r>
    </w:p>
    <w:p w14:paraId="358EA5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вверх по обводу фюзеляжа</w:t>
      </w:r>
    </w:p>
    <w:p w14:paraId="3C75E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2....задержек в питании патронами не было</w:t>
      </w:r>
    </w:p>
    <w:p w14:paraId="121DD5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Емкость патронного ящика (боекомплект) - 250 патронов</w:t>
      </w:r>
    </w:p>
    <w:p w14:paraId="1D91AB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Установка дает возможность хода через люк во внутрь фюзеляжа на земле и покидания стрелка с парашютом в воздухе</w:t>
      </w:r>
    </w:p>
    <w:p w14:paraId="785E3C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Установка обеспечивает полное убирание п во внутрь и закрывание створок л на взлете и посадке</w:t>
      </w:r>
    </w:p>
    <w:p w14:paraId="523CE5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w:t>
      </w:r>
    </w:p>
    <w:p w14:paraId="054C16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Допустить к эксплуатации ЛУ на всех самолетах ДБ-3Ф 3 АДДД, взамен установки под ШКАС, как увеличивающую боеспособность ДБ-3Ф (1635,162).</w:t>
      </w:r>
    </w:p>
    <w:p w14:paraId="52F6A9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C614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февраля по 12 марта 1942 г. второй экз. Су-6 М-71 проходил совместные испытания (государственные и заводские). Ведущим инженером был А.В.Синельников, а веду</w:t>
      </w:r>
      <w:r w:rsidRPr="008127F8">
        <w:rPr>
          <w:rFonts w:ascii="Times New Roman" w:hAnsi="Times New Roman"/>
          <w:color w:val="000000" w:themeColor="text1"/>
          <w:sz w:val="16"/>
          <w:szCs w:val="16"/>
        </w:rPr>
        <w:softHyphen/>
        <w:t>щим летчиком-испытателем — А.К.Долгов. Самолет был исключительно высоко оценен руководством ВВС. Главное управ</w:t>
      </w:r>
      <w:r w:rsidRPr="008127F8">
        <w:rPr>
          <w:rFonts w:ascii="Times New Roman" w:hAnsi="Times New Roman"/>
          <w:color w:val="000000" w:themeColor="text1"/>
          <w:sz w:val="16"/>
          <w:szCs w:val="16"/>
        </w:rPr>
        <w:softHyphen/>
        <w:t>ление ВВС подготовило проект постанов</w:t>
      </w:r>
      <w:r w:rsidRPr="008127F8">
        <w:rPr>
          <w:rFonts w:ascii="Times New Roman" w:hAnsi="Times New Roman"/>
          <w:color w:val="000000" w:themeColor="text1"/>
          <w:sz w:val="16"/>
          <w:szCs w:val="16"/>
        </w:rPr>
        <w:softHyphen/>
        <w:t>ления ГКО о постройке к 1 декабря 1942 г. 25 серийных экземпляров Су-6 М-71. Од</w:t>
      </w:r>
      <w:r w:rsidRPr="008127F8">
        <w:rPr>
          <w:rFonts w:ascii="Times New Roman" w:hAnsi="Times New Roman"/>
          <w:color w:val="000000" w:themeColor="text1"/>
          <w:sz w:val="16"/>
          <w:szCs w:val="16"/>
        </w:rPr>
        <w:softHyphen/>
        <w:t>новременно была отработана докладная за</w:t>
      </w:r>
      <w:r w:rsidRPr="008127F8">
        <w:rPr>
          <w:rFonts w:ascii="Times New Roman" w:hAnsi="Times New Roman"/>
          <w:color w:val="000000" w:themeColor="text1"/>
          <w:sz w:val="16"/>
          <w:szCs w:val="16"/>
        </w:rPr>
        <w:softHyphen/>
        <w:t>писка И.В.Сталину с положительной оценкой самолета. Но выпуск серии так и не на</w:t>
      </w:r>
      <w:r w:rsidRPr="008127F8">
        <w:rPr>
          <w:rFonts w:ascii="Times New Roman" w:hAnsi="Times New Roman"/>
          <w:color w:val="000000" w:themeColor="text1"/>
          <w:sz w:val="16"/>
          <w:szCs w:val="16"/>
        </w:rPr>
        <w:softHyphen/>
        <w:t>чали, в основном из-за отсутствия серий</w:t>
      </w:r>
      <w:r w:rsidRPr="008127F8">
        <w:rPr>
          <w:rFonts w:ascii="Times New Roman" w:hAnsi="Times New Roman"/>
          <w:color w:val="000000" w:themeColor="text1"/>
          <w:sz w:val="16"/>
          <w:szCs w:val="16"/>
        </w:rPr>
        <w:softHyphen/>
        <w:t>ных моторов М-71 (в ходе испытаний их приходилось частенько заменять из-за де</w:t>
      </w:r>
      <w:r w:rsidRPr="008127F8">
        <w:rPr>
          <w:rFonts w:ascii="Times New Roman" w:hAnsi="Times New Roman"/>
          <w:color w:val="000000" w:themeColor="text1"/>
          <w:sz w:val="16"/>
          <w:szCs w:val="16"/>
        </w:rPr>
        <w:softHyphen/>
        <w:t xml:space="preserve">фектов). Имелись и другие объективные и субъективные </w:t>
      </w:r>
      <w:proofErr w:type="gramStart"/>
      <w:r w:rsidRPr="008127F8">
        <w:rPr>
          <w:rFonts w:ascii="Times New Roman" w:hAnsi="Times New Roman"/>
          <w:color w:val="000000" w:themeColor="text1"/>
          <w:sz w:val="16"/>
          <w:szCs w:val="16"/>
        </w:rPr>
        <w:t>причины(</w:t>
      </w:r>
      <w:proofErr w:type="gramEnd"/>
      <w:r w:rsidRPr="008127F8">
        <w:rPr>
          <w:rFonts w:ascii="Times New Roman" w:hAnsi="Times New Roman"/>
          <w:color w:val="000000" w:themeColor="text1"/>
          <w:sz w:val="16"/>
          <w:szCs w:val="16"/>
        </w:rPr>
        <w:t>5011).</w:t>
      </w:r>
    </w:p>
    <w:p w14:paraId="4ABCAA5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E0E6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февраля по 12 марта 1942 проходили испытания штурмовика Су-6 (СА) П.О.С. с М-71. Л А.Долгов и и К.Калилец и А.Синельников. Выполнили 32 полета. Решили изготовить 5-6 для войсковых испытаний. Скорость была ваше, чем у Ил-2 и при освобождении от бомб и РС машина могла на скорости 480 км/час уходить от истребителей (1454,60).</w:t>
      </w:r>
    </w:p>
    <w:p w14:paraId="48FAED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174C3" w14:textId="77777777" w:rsidR="00D91537" w:rsidRPr="008127F8" w:rsidRDefault="00D91537" w:rsidP="001E0A84">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24 февраля</w:t>
      </w:r>
      <w:r w:rsidRPr="008127F8">
        <w:rPr>
          <w:rFonts w:ascii="Times New Roman" w:hAnsi="Times New Roman"/>
          <w:color w:val="000000" w:themeColor="text1"/>
          <w:sz w:val="16"/>
          <w:szCs w:val="16"/>
        </w:rPr>
        <w:t xml:space="preserve"> в 1942 году начались совместные Государственные и заводские испытания модифицированного штурмовика </w:t>
      </w:r>
      <w:hyperlink r:id="rId61" w:tgtFrame="_blank" w:history="1">
        <w:r w:rsidRPr="008127F8">
          <w:rPr>
            <w:rFonts w:ascii="Times New Roman" w:hAnsi="Times New Roman"/>
            <w:color w:val="000000" w:themeColor="text1"/>
            <w:sz w:val="16"/>
            <w:szCs w:val="16"/>
          </w:rPr>
          <w:t xml:space="preserve">«Су-6» </w:t>
        </w:r>
      </w:hyperlink>
      <w:r w:rsidRPr="008127F8">
        <w:rPr>
          <w:rFonts w:ascii="Times New Roman" w:hAnsi="Times New Roman"/>
          <w:color w:val="000000" w:themeColor="text1"/>
          <w:sz w:val="16"/>
          <w:szCs w:val="16"/>
        </w:rPr>
        <w:t>с двигателем М-71, ОКБ Сухого. Испытания вели ведущий инженер А В.Синельников и ведущий лётчик А К Долгов. Было выполнено 24 полёта с суммарным налётом 15 ч 30 мин. На «Су-6» «М-71» в дополнение к четырём крыльевым пулемётам «ШКАС» (3000 патронов) были установлены две пушки ВЯ-23 калибра 23 мм с боезапасом 230 снарядов. Кроме того, на штурмовике предусматривалась подвеска 10 реактивных снарядов «РС-82» (или «PC 132») Нормальная бомбовая нагрузка была доведена до 200 кг (в перегрузку - 400 кг). На самолёте были установлены предкрылки, щитки типа "Шренк". Броня не включалась в силовую схему и размещалась внутри самолёта. Вес пустого самолёта равнялся 3727 кг, вес полезной нагрузки - 1523 кг. При нормальном полётном весе 5250 кг (10 «РС-132», 200 кг бомб и боекомплект к срелково-пушечному вооружению) самолёт развивал у земли скорость 445 км/ч, на высоте 2500 м - 491 км/ч. Время виража на высоте 1000 м составило 24-25 с. За один боевой разворот штурмовик мог набрать высоту 600 м (почти как у многих истребителей в то время). Максимальная дальность полёта на скорости 360 км/ч на высоте 360 м составила 576 км. В заключении указывалось, что штурмовик по всему комплексу лётно-боевых качеств в целом соответствует требованиям и соответствует своему назначению. Но дальность полёта недостаточная</w:t>
      </w:r>
    </w:p>
    <w:p w14:paraId="4A694BE2" w14:textId="77777777" w:rsidR="00D91537" w:rsidRPr="008127F8" w:rsidRDefault="00D91537" w:rsidP="001E0A84">
      <w:pPr>
        <w:spacing w:after="0" w:line="240" w:lineRule="auto"/>
        <w:jc w:val="both"/>
        <w:rPr>
          <w:rFonts w:ascii="Times New Roman" w:hAnsi="Times New Roman"/>
          <w:bCs/>
          <w:color w:val="000000" w:themeColor="text1"/>
          <w:sz w:val="16"/>
          <w:szCs w:val="16"/>
        </w:rPr>
      </w:pPr>
    </w:p>
    <w:p w14:paraId="4490FE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февраля по 12 марта 1942 г. модифицированный Су-6 М-71 прошел совместные с заводом № 289 государственные испытания. Испытания вели ведущий инженер А.В.Синельников и ведущий летчик А.К.Долгов. Было выполнено 24 полета с суммарным налетом 15 ч 30 мин. (9649)</w:t>
      </w:r>
    </w:p>
    <w:p w14:paraId="097800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года Приказом НКАП за № 151с во исполнение Постановления ГКО № ГКО-1288сс от 15 февраля 1942 года на Московской площадке эвакуированного завода № 24 им. Фрунзе и вновь созданного завода № 337 организован завод № 45 с выпуском авиамоторов водяного охлаждения серии АМ-38.</w:t>
      </w:r>
    </w:p>
    <w:p w14:paraId="5BB9E6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моторов АМ-38 в серийное производство, производство минометов было снято и оставлен дополнительно к выпуску моторов АМ-38, ремонт моторов серии АМ-35 и АМ-38.</w:t>
      </w:r>
    </w:p>
    <w:p w14:paraId="05C80A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от 10 апреля 1943 года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663B52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Мейеровский пр., 14 (территория Б, В), территория А – Ткацкая ул.</w:t>
      </w:r>
    </w:p>
    <w:p w14:paraId="0CDD2A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моторный (9829).</w:t>
      </w:r>
    </w:p>
    <w:p w14:paraId="1BC584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900A5"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С 24 февраля по 12 марта 1942 г. модифицированный Су-6 М-71 прошел совместные с заводом № 289 государственные испытания.</w:t>
      </w:r>
    </w:p>
    <w:p w14:paraId="39EA622E"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Испытания вели ведущий инженер А. В. Синельников и ведущий летчик А. К. Долгов. Было выполнено 24 полета с суммарным налетом 15 ч 30 мин.</w:t>
      </w:r>
    </w:p>
    <w:p w14:paraId="6FC546F0"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lastRenderedPageBreak/>
        <w:t>Акт по государственным испытаниям был утвержден командующим ВВС КА генералом А. А. Новиковым был утвержден 24 апреля 1942 г.</w:t>
      </w:r>
    </w:p>
    <w:p w14:paraId="7E3F6948"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При нормальном полетном весе 5250 кг (10 РС-132, 200 кг бомб и боекомплект к стрелково-пушечному вооружению) самолет развивал у земли скорость 445 км/ч, на высоте 2500 м — 491 км/ч. Время виража на высоте 1000 м составило 24–25 с.</w:t>
      </w:r>
    </w:p>
    <w:p w14:paraId="61B6F859"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w:t>
      </w:r>
    </w:p>
    <w:p w14:paraId="43625EA6"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w:t>
      </w:r>
    </w:p>
    <w:p w14:paraId="2FD5EADC"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w:t>
      </w:r>
    </w:p>
    <w:p w14:paraId="3C9FCA9F"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Был подготовлен проект Постановления ГКО о постройке к 1 декабря 1942 г. войсковой серии Су-6 М-71 в количестве 25 машин для производства испытаний в боевых условиях.</w:t>
      </w:r>
    </w:p>
    <w:p w14:paraId="592D014A"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Одновременно была подготовлена докладная записка И. В. Сталину с положительной оценкой самолета:</w:t>
      </w:r>
    </w:p>
    <w:p w14:paraId="2E975152"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rStyle w:val="af1"/>
          <w:i w:val="0"/>
          <w:color w:val="000000" w:themeColor="text1"/>
          <w:sz w:val="16"/>
          <w:szCs w:val="16"/>
          <w:bdr w:val="none" w:sz="0" w:space="0" w:color="auto" w:frame="1"/>
        </w:rPr>
        <w:t>«самолет прост и доступен летчикам средней квалификации, допускает полет с брошенной ручкой на всех скоростях».</w:t>
      </w:r>
    </w:p>
    <w:p w14:paraId="7E177DAB"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Однако выпуск серии осуществлен не был, надо полагать, в основном из-за трудностей обеспечения серийными моторами М-71. Были и другие объективные и субъективные причины (19188).</w:t>
      </w:r>
    </w:p>
    <w:p w14:paraId="663D02E1" w14:textId="77777777" w:rsidR="004A3B1D" w:rsidRPr="008127F8" w:rsidRDefault="004A3B1D" w:rsidP="001E0A84">
      <w:pPr>
        <w:pStyle w:val="af"/>
        <w:shd w:val="clear" w:color="auto" w:fill="FFFFFF"/>
        <w:spacing w:before="0" w:after="0"/>
        <w:jc w:val="both"/>
        <w:textAlignment w:val="baseline"/>
        <w:rPr>
          <w:color w:val="000000" w:themeColor="text1"/>
          <w:sz w:val="16"/>
          <w:szCs w:val="16"/>
        </w:rPr>
      </w:pPr>
    </w:p>
    <w:p w14:paraId="4DA452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годавышел ПРИКАЗ НАРОДНОГО КОМИССАРА АВИАЦИОННОЙ ПРОМЫШЛЕННОСТИ СССР №151сс</w:t>
      </w:r>
    </w:p>
    <w:p w14:paraId="33EB73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 Москва 24 февраля 1942 года</w:t>
      </w:r>
    </w:p>
    <w:p w14:paraId="6AB3BAA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Государственного Комитета Обороны о||</w:t>
      </w:r>
    </w:p>
    <w:p w14:paraId="0C0D46E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за № ГКО-1283сс, ПРИКАЗЫВАЮ:</w:t>
      </w:r>
    </w:p>
    <w:p w14:paraId="7466E84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 тов. Завитаеву и Зам. Начальника Третьего Главного Управления - тов. Степину организовать в гор. Москве, на плщади эвакуированного завода № 24, моторный завод для производ моторов АМ-38.</w:t>
      </w:r>
    </w:p>
    <w:p w14:paraId="2AE916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Вновь организованному заводу на площади эвакуированного завода № 24 присвоить № 45 и впредь его именовать Государственный союзный завод № 45 НКАП".</w:t>
      </w:r>
    </w:p>
    <w:p w14:paraId="4B2336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Назначить директором завода № 45 тов. Комарова М.С. и главным инженером тов. Кононенко М.Л., освободив его от должности главного инженера завода № 41.</w:t>
      </w:r>
    </w:p>
    <w:p w14:paraId="210123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заводу № 45 на 1942 год программу выпуска моторов АМ-38 в количестве 800 штук, в том числе:</w:t>
      </w:r>
    </w:p>
    <w:p w14:paraId="43CC5F1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- 5 штук</w:t>
      </w:r>
    </w:p>
    <w:p w14:paraId="1269CC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- 20 штук</w:t>
      </w:r>
    </w:p>
    <w:p w14:paraId="7FE3AD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- 75 штук</w:t>
      </w:r>
    </w:p>
    <w:p w14:paraId="5C734D0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- 100 штук</w:t>
      </w:r>
    </w:p>
    <w:p w14:paraId="4E5ED6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октябре - 150 штук </w:t>
      </w:r>
    </w:p>
    <w:p w14:paraId="2748145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ноябре - 200 штук </w:t>
      </w:r>
    </w:p>
    <w:p w14:paraId="134000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декабре - 250 штук </w:t>
      </w:r>
    </w:p>
    <w:p w14:paraId="195B4F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завода № 24 - тов. Жезлову:</w:t>
      </w:r>
    </w:p>
    <w:p w14:paraId="5F00C9F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15 марта 1942 года передать заводу № 45 пять комплектов необхо</w:t>
      </w:r>
      <w:r w:rsidRPr="008127F8">
        <w:rPr>
          <w:rFonts w:ascii="Times New Roman" w:hAnsi="Times New Roman"/>
          <w:color w:val="000000" w:themeColor="text1"/>
          <w:sz w:val="16"/>
          <w:szCs w:val="16"/>
        </w:rPr>
        <w:softHyphen/>
        <w:t>димой для производства моторов АМ-38 технической документации (черте</w:t>
      </w:r>
      <w:r w:rsidRPr="008127F8">
        <w:rPr>
          <w:rFonts w:ascii="Times New Roman" w:hAnsi="Times New Roman"/>
          <w:color w:val="000000" w:themeColor="text1"/>
          <w:sz w:val="16"/>
          <w:szCs w:val="16"/>
        </w:rPr>
        <w:softHyphen/>
        <w:t>жи, технические условия, технологический процесс и пр.);</w:t>
      </w:r>
    </w:p>
    <w:p w14:paraId="3C50525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необходимую техническую помощь в период постановки производства моторов АМ-38 на заводе № 45;</w:t>
      </w:r>
    </w:p>
    <w:p w14:paraId="707365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 20 марта 1942 года выделить для завода № 45, из имеющегося нали</w:t>
      </w:r>
      <w:r w:rsidRPr="008127F8">
        <w:rPr>
          <w:rFonts w:ascii="Times New Roman" w:hAnsi="Times New Roman"/>
          <w:color w:val="000000" w:themeColor="text1"/>
          <w:sz w:val="16"/>
          <w:szCs w:val="16"/>
        </w:rPr>
        <w:softHyphen/>
        <w:t>чия, дублеры приспособлений режущего и мерительного инструмента и прочей оснастки по спискам, согласованным с заводом № 45;</w:t>
      </w:r>
    </w:p>
    <w:p w14:paraId="160FFBF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 15 апреля 1942 года передать заводу № 45 в качестве образцов для производства 2 мотора АМ-38 и 10 комплектов готовых деталей;</w:t>
      </w:r>
    </w:p>
    <w:p w14:paraId="7E42A2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к 1 апреля 1942 года передать заводу № 45 тридцать комплектов по</w:t>
      </w:r>
      <w:r w:rsidRPr="008127F8">
        <w:rPr>
          <w:rFonts w:ascii="Times New Roman" w:hAnsi="Times New Roman"/>
          <w:color w:val="000000" w:themeColor="text1"/>
          <w:sz w:val="16"/>
          <w:szCs w:val="16"/>
        </w:rPr>
        <w:softHyphen/>
        <w:t>ковок, литья и готовых изделий, получаемых со стороны;</w:t>
      </w:r>
    </w:p>
    <w:p w14:paraId="5D528C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обеспечить завод № 45 поковками, изготовляемыми в кузнице завода № 24, в количестве 100 комплектов в следующие сроки:</w:t>
      </w:r>
    </w:p>
    <w:p w14:paraId="42E7D36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комплектов к 1 мая 1942 года</w:t>
      </w:r>
    </w:p>
    <w:p w14:paraId="52A69EE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 комплектов к 1 июня 1942 года.</w:t>
      </w:r>
    </w:p>
    <w:p w14:paraId="5D2B58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завода № 19 - тов. Кожевникову обеспечить поставку за</w:t>
      </w:r>
      <w:r w:rsidRPr="008127F8">
        <w:rPr>
          <w:rFonts w:ascii="Times New Roman" w:hAnsi="Times New Roman"/>
          <w:color w:val="000000" w:themeColor="text1"/>
          <w:sz w:val="16"/>
          <w:szCs w:val="16"/>
        </w:rPr>
        <w:softHyphen/>
        <w:t>воду № 45 -100 комплектов литья картеров, головок, рубашек корпусов на</w:t>
      </w:r>
      <w:r w:rsidRPr="008127F8">
        <w:rPr>
          <w:rFonts w:ascii="Times New Roman" w:hAnsi="Times New Roman"/>
          <w:color w:val="000000" w:themeColor="text1"/>
          <w:sz w:val="16"/>
          <w:szCs w:val="16"/>
        </w:rPr>
        <w:softHyphen/>
        <w:t>гнетателя в следующие сроки:</w:t>
      </w:r>
    </w:p>
    <w:p w14:paraId="62E319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комплектов к 1 мая 1942 года</w:t>
      </w:r>
    </w:p>
    <w:p w14:paraId="3D62C5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 комплектов к 1 июня 1942 года (10225,169).</w:t>
      </w:r>
    </w:p>
    <w:p w14:paraId="11410BB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6B110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было решено на базе оставлен</w:t>
      </w:r>
      <w:r w:rsidRPr="008127F8">
        <w:rPr>
          <w:rFonts w:ascii="Times New Roman" w:hAnsi="Times New Roman"/>
          <w:color w:val="000000" w:themeColor="text1"/>
          <w:sz w:val="16"/>
          <w:szCs w:val="16"/>
        </w:rPr>
        <w:softHyphen/>
        <w:t>ных цехов завода № 24 в Москве организовать мо</w:t>
      </w:r>
      <w:r w:rsidRPr="008127F8">
        <w:rPr>
          <w:rFonts w:ascii="Times New Roman" w:hAnsi="Times New Roman"/>
          <w:color w:val="000000" w:themeColor="text1"/>
          <w:sz w:val="16"/>
          <w:szCs w:val="16"/>
        </w:rPr>
        <w:softHyphen/>
        <w:t>торный завод № 45 по производству моторов АМ—38, который возглавил М.С.Комаров. Здесь так</w:t>
      </w:r>
      <w:r w:rsidRPr="008127F8">
        <w:rPr>
          <w:rFonts w:ascii="Times New Roman" w:hAnsi="Times New Roman"/>
          <w:color w:val="000000" w:themeColor="text1"/>
          <w:sz w:val="16"/>
          <w:szCs w:val="16"/>
        </w:rPr>
        <w:softHyphen/>
        <w:t>же работа началась не с нуля. Основу будущего круп</w:t>
      </w:r>
      <w:r w:rsidRPr="008127F8">
        <w:rPr>
          <w:rFonts w:ascii="Times New Roman" w:hAnsi="Times New Roman"/>
          <w:color w:val="000000" w:themeColor="text1"/>
          <w:sz w:val="16"/>
          <w:szCs w:val="16"/>
        </w:rPr>
        <w:softHyphen/>
        <w:t>ного предприятия составил коллектив фронтовых авиаремонтных мастерских — ФАРМ—24. Послед</w:t>
      </w:r>
      <w:r w:rsidRPr="008127F8">
        <w:rPr>
          <w:rFonts w:ascii="Times New Roman" w:hAnsi="Times New Roman"/>
          <w:color w:val="000000" w:themeColor="text1"/>
          <w:sz w:val="16"/>
          <w:szCs w:val="16"/>
        </w:rPr>
        <w:softHyphen/>
        <w:t>ний, в свою очередь, возник из цеха, который созда</w:t>
      </w:r>
      <w:r w:rsidRPr="008127F8">
        <w:rPr>
          <w:rFonts w:ascii="Times New Roman" w:hAnsi="Times New Roman"/>
          <w:color w:val="000000" w:themeColor="text1"/>
          <w:sz w:val="16"/>
          <w:szCs w:val="16"/>
        </w:rPr>
        <w:softHyphen/>
        <w:t>ли летом 1941 г. по ремонту поврежденных и неис</w:t>
      </w:r>
      <w:r w:rsidRPr="008127F8">
        <w:rPr>
          <w:rFonts w:ascii="Times New Roman" w:hAnsi="Times New Roman"/>
          <w:color w:val="000000" w:themeColor="text1"/>
          <w:sz w:val="16"/>
          <w:szCs w:val="16"/>
        </w:rPr>
        <w:softHyphen/>
        <w:t>правных моторов АМ—35А, а затем и АМ—38. Тогда во главе цеха стояли А.Л.Стеркин и К.Г.Бирюков. Когда основное производство завода № 24 эваку</w:t>
      </w:r>
      <w:r w:rsidRPr="008127F8">
        <w:rPr>
          <w:rFonts w:ascii="Times New Roman" w:hAnsi="Times New Roman"/>
          <w:color w:val="000000" w:themeColor="text1"/>
          <w:sz w:val="16"/>
          <w:szCs w:val="16"/>
        </w:rPr>
        <w:softHyphen/>
        <w:t>ировали в Куйбышев, ФАРМ—24 остался в Москве. Начальником мастерских назначили М.И.Иванова, а Стеркин и Бирюков стали его заместителями по тех</w:t>
      </w:r>
      <w:r w:rsidRPr="008127F8">
        <w:rPr>
          <w:rFonts w:ascii="Times New Roman" w:hAnsi="Times New Roman"/>
          <w:color w:val="000000" w:themeColor="text1"/>
          <w:sz w:val="16"/>
          <w:szCs w:val="16"/>
        </w:rPr>
        <w:softHyphen/>
        <w:t>нической и технологическим службам. По приказу Шахурина ФАРМ—24 в конце 1941 г. переименовали в завод № 337, который наряду с ремонтом моторов начинал производить минометы. По-прежнему, как и летом, основные работы проводились по моторам АМ—35А, но выполнялись также ремонты и многих других двигателей (9984).</w:t>
      </w:r>
    </w:p>
    <w:p w14:paraId="3178C6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CCC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приказом № 151сс во исполнение пост. ГКО № 1283 15 февраля 1942 г. на месте эвакуированного в Куйбышев завода № 24 для производства двигателей АМ-38. Образованный ранее на этой площадке завод № 337 НКАП был ликвидирован, все его оборудование и личный состав переданы заводу № 45.</w:t>
      </w:r>
    </w:p>
    <w:p w14:paraId="45F0F8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1404с от 7.03.1942 г. и приказом НКАП № 191с от 12.03.1942 г. завод № 291 НКАП со всем оборудованием и кадрами переведен из Уфы в Москву и влит в состав завода № 45.</w:t>
      </w:r>
    </w:p>
    <w:p w14:paraId="4880AD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w:t>
      </w:r>
      <w:proofErr w:type="gramStart"/>
      <w:r w:rsidRPr="008127F8">
        <w:rPr>
          <w:rFonts w:ascii="Times New Roman" w:hAnsi="Times New Roman"/>
          <w:color w:val="000000" w:themeColor="text1"/>
          <w:sz w:val="16"/>
          <w:szCs w:val="16"/>
        </w:rPr>
        <w:t>пост.енем</w:t>
      </w:r>
      <w:proofErr w:type="gramEnd"/>
      <w:r w:rsidRPr="008127F8">
        <w:rPr>
          <w:rFonts w:ascii="Times New Roman" w:hAnsi="Times New Roman"/>
          <w:color w:val="000000" w:themeColor="text1"/>
          <w:sz w:val="16"/>
          <w:szCs w:val="16"/>
        </w:rPr>
        <w:t xml:space="preserve"> ГКО № 1440сс от 14.03.1942 г. и приказом НКАП № 206сс от 16.03.1942 г. в 03- 04.1942 г. заводу № 45 передано все оборудование и основная часть личного состава завода № 82 НКАП.</w:t>
      </w:r>
    </w:p>
    <w:p w14:paraId="0B7CF8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постановлению ГКО № 1832 от 30.05.1942 г. заводу необходимо было освоить с 15.07.1942 г. выпуск моторов АМ-38, для чего перевести на завод 350 чел. ИТР (в т.ч. с завода № 24- 200 чел., № 26- 100 чел. и № 29- 50 чел.).</w:t>
      </w:r>
    </w:p>
    <w:p w14:paraId="545D4D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925с от 31.12.1942 г. при заводе № 45 НКАП образован филиал ОКБ завода № 24 из числа бывших работников завода № 24 (25 чел.) для проведения испытаний и доводки мотора АМ-42. Далее с образованием в 02.1943 г. завода № 300 туда с завода № 45 было переведено 75 чел. бывших сотрудников ОКБ А.А. Микулина, но филиал был сохранен для помощи серийному производству.</w:t>
      </w:r>
    </w:p>
    <w:p w14:paraId="1A78F8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3063 от 22.03.1943 г. завод переведен на выпуск моторов АМ-38Ф.</w:t>
      </w:r>
    </w:p>
    <w:p w14:paraId="2DD1ED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5398 от 14.03.1944 г. на заводе начата организация производства авиадизеля АЧ-30Б. С 04.1944 г. зам. гл. конструктора завода № 500 по внедрению в производство мотора АЧ-30Б на заводе № 45 назначен В.М. Яковлев, в 1945-46 г.- он гл. конструктор завода по дизелям. В 1944 г. с завода № 45 переведено на завод № 500 на постоянную работу около 250 специалистов.</w:t>
      </w:r>
    </w:p>
    <w:p w14:paraId="698311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05.1944 г. заводу поручено изготовление части узлов для 5 опытных ТРД С-18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Люльки, с 1945 г. начато освоение производства его летного варианта ТР-1. В послевоенные годы продолжались работы по моторам Микулина (в т.ч. по АМ-46).</w:t>
      </w:r>
    </w:p>
    <w:p w14:paraId="643CDD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07.1946 г. завод определен как опытная база по постройке реактивных двигателей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0E186E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1947 г. на заводе- производственная база ОКБ гл. конструктора В.Я. Климова.</w:t>
      </w:r>
    </w:p>
    <w:p w14:paraId="5A4F6C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11.1948 г. начат серийный выпуск двигателя ВК-1. С 06.1956 г. начато серийное производство АЛ-7Ф.</w:t>
      </w:r>
    </w:p>
    <w:p w14:paraId="33F624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1950-х на заводе № 45 было налажено производство порохового двигателя ПРД-45 для УРВВ РС-2- УС.</w:t>
      </w:r>
    </w:p>
    <w:p w14:paraId="04F4BB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3BD17C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6EA99B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ММПП «Салют» включает в себя предприятия: НПП «ЭГА», Гаврилов-Ямский машиностроительный завод «Агат», Московский станкостроительный завод «Салют», </w:t>
      </w:r>
      <w:r w:rsidRPr="008127F8">
        <w:rPr>
          <w:rFonts w:ascii="Times New Roman" w:hAnsi="Times New Roman"/>
          <w:color w:val="000000" w:themeColor="text1"/>
          <w:sz w:val="16"/>
          <w:szCs w:val="16"/>
        </w:rPr>
        <w:lastRenderedPageBreak/>
        <w:t xml:space="preserve">ГП «Статор», филиал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Воскресенске по производству узлов двигателей.</w:t>
      </w:r>
      <w:r w:rsidRPr="008127F8">
        <w:rPr>
          <w:rFonts w:ascii="Times New Roman" w:hAnsi="Times New Roman"/>
          <w:color w:val="000000" w:themeColor="text1"/>
          <w:sz w:val="16"/>
          <w:szCs w:val="16"/>
          <w:vertAlign w:val="superscript"/>
        </w:rPr>
        <w:t>31</w:t>
      </w:r>
      <w:r w:rsidRPr="008127F8">
        <w:rPr>
          <w:rFonts w:ascii="Times New Roman" w:hAnsi="Times New Roman"/>
          <w:color w:val="000000" w:themeColor="text1"/>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proofErr w:type="gramStart"/>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lang w:val="en-US"/>
        </w:rPr>
        <w:t>V</w:t>
      </w:r>
      <w:proofErr w:type="gramEnd"/>
      <w:r w:rsidRPr="008127F8">
        <w:rPr>
          <w:rFonts w:ascii="Times New Roman" w:hAnsi="Times New Roman"/>
          <w:color w:val="000000" w:themeColor="text1"/>
          <w:sz w:val="16"/>
          <w:szCs w:val="16"/>
          <w:vertAlign w:val="superscript"/>
        </w:rPr>
        <w:t>22 07 03</w:t>
      </w:r>
      <w:r w:rsidRPr="008127F8">
        <w:rPr>
          <w:rFonts w:ascii="Times New Roman" w:hAnsi="Times New Roman"/>
          <w:color w:val="000000" w:themeColor="text1"/>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Сим), НИИД (в качестве филиала), ОКБ «Горизонт».</w:t>
      </w:r>
    </w:p>
    <w:p w14:paraId="7BB0C1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w:t>
      </w:r>
      <w:r w:rsidRPr="008127F8">
        <w:rPr>
          <w:rFonts w:ascii="Times New Roman" w:hAnsi="Times New Roman"/>
          <w:color w:val="000000" w:themeColor="text1"/>
          <w:sz w:val="16"/>
          <w:szCs w:val="16"/>
          <w:lang w:val="en-US"/>
        </w:rPr>
        <w:t>J</w:t>
      </w:r>
      <w:r w:rsidRPr="008127F8">
        <w:rPr>
          <w:rFonts w:ascii="Times New Roman" w:hAnsi="Times New Roman"/>
          <w:color w:val="000000" w:themeColor="text1"/>
          <w:sz w:val="16"/>
          <w:szCs w:val="16"/>
        </w:rPr>
        <w:t>-10.</w:t>
      </w:r>
    </w:p>
    <w:p w14:paraId="470262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418FC7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разработана парогазотурбинная установка ПГУ-60С (МЭС-60).</w:t>
      </w:r>
    </w:p>
    <w:p w14:paraId="43E0DA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4201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2003 г. в Москве создан завод по сжиганию мусора.</w:t>
      </w:r>
    </w:p>
    <w:p w14:paraId="7EAFA0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(середина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)- 4000 чел., (начало 2000-х  г.)- 12.524 чел., (2005 г.)- 15.000 чел.</w:t>
      </w:r>
    </w:p>
    <w:p w14:paraId="32A0C9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(1942-47 г.-)- М.С. Комаров, (1950-е)- М.Л. Кононенко,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И.И. Пудков, А.И. Горелов, (- 1983 г.-)- Ю.Н. Блощицын, Ю.В. Пугин, (1987-96 г.)-  Г.К. Язов, (10.1996-97 г.) Ю.С. Елисеев. Гендиректор (12.1997-2007 г.-)- Ю.С. Елисеев.</w:t>
      </w:r>
    </w:p>
    <w:p w14:paraId="5D5BFD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2D169D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(1994-96 г.)- Ю.С. Елисеев.</w:t>
      </w:r>
    </w:p>
    <w:p w14:paraId="579CCD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3573CC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(1944 г.)- С.М. Грибов.</w:t>
      </w:r>
    </w:p>
    <w:p w14:paraId="368AAD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0126EB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по новой технике (1976 г.-)- В.В. Крымов; по механизации и автоматизации (1988 г.-)- Ю.С. Елисеев, (2004 г.)- А.Н. Шутов.</w:t>
      </w:r>
    </w:p>
    <w:p w14:paraId="4D2035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(1944 г.)- В.В. Чернышов.</w:t>
      </w:r>
    </w:p>
    <w:p w14:paraId="67BD3D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(1981 г.-)- Ю.С. Елисеев.</w:t>
      </w:r>
    </w:p>
    <w:p w14:paraId="61DB6A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мотоблоки «Салют», весы напольные, байдарка «Таймень-2», бензогенератор «Салют-БГ» (11092).</w:t>
      </w:r>
    </w:p>
    <w:p w14:paraId="3999F6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733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1340 Об увеличении выпуска самолетов ПС-84 ("Дуглас") на заводе № 84 в г.Ташкенте. РГАНИР, Фонд ГКО, д. 22, лл. 17, 18-24 (11012).</w:t>
      </w:r>
    </w:p>
    <w:p w14:paraId="5DA0FF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DD284" w14:textId="77777777" w:rsidR="00830DBD" w:rsidRPr="008127F8" w:rsidRDefault="00830D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1340 Об увеличении выпуска самолетов ПС-84 ("Дуглас") на заводе № 84 в г.Ташкенте</w:t>
      </w:r>
    </w:p>
    <w:p w14:paraId="6A01C1AE" w14:textId="77777777" w:rsidR="00830DBD" w:rsidRPr="008127F8" w:rsidRDefault="00830DBD" w:rsidP="001E0A84">
      <w:pPr>
        <w:tabs>
          <w:tab w:val="left" w:pos="10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т.Шахурина обеспечить выпуск самолетов ПС-84 по плану:</w:t>
      </w:r>
    </w:p>
    <w:p w14:paraId="60702519" w14:textId="77777777" w:rsidR="00830DBD" w:rsidRPr="008127F8" w:rsidRDefault="00A34F1D" w:rsidP="001E0A84">
      <w:pPr>
        <w:tabs>
          <w:tab w:val="left" w:pos="2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fldChar w:fldCharType="begin"/>
      </w:r>
      <w:r w:rsidR="00830DBD" w:rsidRPr="008127F8">
        <w:rPr>
          <w:rFonts w:ascii="Times New Roman" w:hAnsi="Times New Roman"/>
          <w:color w:val="000000" w:themeColor="text1"/>
          <w:sz w:val="16"/>
          <w:szCs w:val="16"/>
        </w:rPr>
        <w:instrText xml:space="preserve"> TOC \o "1-3" \h \z </w:instrText>
      </w:r>
      <w:r w:rsidRPr="008127F8">
        <w:rPr>
          <w:rFonts w:ascii="Times New Roman" w:hAnsi="Times New Roman"/>
          <w:color w:val="000000" w:themeColor="text1"/>
          <w:sz w:val="16"/>
          <w:szCs w:val="16"/>
        </w:rPr>
        <w:fldChar w:fldCharType="separate"/>
      </w:r>
      <w:r w:rsidR="00830DBD" w:rsidRPr="008127F8">
        <w:rPr>
          <w:rFonts w:ascii="Times New Roman" w:hAnsi="Times New Roman"/>
          <w:color w:val="000000" w:themeColor="text1"/>
          <w:sz w:val="16"/>
          <w:szCs w:val="16"/>
        </w:rPr>
        <w:t>в марте 1942 года - 30 самолетов</w:t>
      </w:r>
    </w:p>
    <w:p w14:paraId="494C17B5" w14:textId="77777777" w:rsidR="00830DBD" w:rsidRPr="008127F8" w:rsidRDefault="00830DBD" w:rsidP="001E0A84">
      <w:pPr>
        <w:tabs>
          <w:tab w:val="left" w:pos="2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- 40</w:t>
      </w:r>
    </w:p>
    <w:p w14:paraId="07365C9D" w14:textId="77777777" w:rsidR="00830DBD" w:rsidRPr="008127F8" w:rsidRDefault="00830DBD" w:rsidP="001E0A84">
      <w:pPr>
        <w:tabs>
          <w:tab w:val="left" w:pos="2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w:t>
      </w:r>
      <w:r w:rsidRPr="008127F8">
        <w:rPr>
          <w:rFonts w:ascii="Times New Roman" w:hAnsi="Times New Roman"/>
          <w:color w:val="000000" w:themeColor="text1"/>
          <w:sz w:val="16"/>
          <w:szCs w:val="16"/>
          <w:vertAlign w:val="superscript"/>
        </w:rPr>
        <w:t>п</w:t>
      </w:r>
      <w:r w:rsidRPr="008127F8">
        <w:rPr>
          <w:rFonts w:ascii="Times New Roman" w:hAnsi="Times New Roman"/>
          <w:color w:val="000000" w:themeColor="text1"/>
          <w:sz w:val="16"/>
          <w:szCs w:val="16"/>
        </w:rPr>
        <w:t>-- 50</w:t>
      </w:r>
    </w:p>
    <w:p w14:paraId="4B8BAF0D" w14:textId="77777777" w:rsidR="00830DBD" w:rsidRPr="008127F8" w:rsidRDefault="00830DBD" w:rsidP="001E0A84">
      <w:pPr>
        <w:tabs>
          <w:tab w:val="left" w:pos="29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- 60</w:t>
      </w:r>
      <w:r w:rsidR="00A34F1D" w:rsidRPr="008127F8">
        <w:rPr>
          <w:rFonts w:ascii="Times New Roman" w:hAnsi="Times New Roman"/>
          <w:color w:val="000000" w:themeColor="text1"/>
          <w:sz w:val="16"/>
          <w:szCs w:val="16"/>
        </w:rPr>
        <w:fldChar w:fldCharType="end"/>
      </w:r>
    </w:p>
    <w:p w14:paraId="48C77285" w14:textId="77777777" w:rsidR="00830DBD" w:rsidRPr="008127F8" w:rsidRDefault="00830DBD" w:rsidP="001E0A84">
      <w:pPr>
        <w:tabs>
          <w:tab w:val="left" w:pos="10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Утвердить об'ем капиталовложений по заводу 84 НКАЛ на 1942 год в сумме 40 млн. рублей, из них </w:t>
      </w:r>
      <w:proofErr w:type="gramStart"/>
      <w:r w:rsidRPr="008127F8">
        <w:rPr>
          <w:rFonts w:ascii="Times New Roman" w:hAnsi="Times New Roman"/>
          <w:color w:val="000000" w:themeColor="text1"/>
          <w:sz w:val="16"/>
          <w:szCs w:val="16"/>
        </w:rPr>
        <w:t>на жилищ</w:t>
      </w:r>
      <w:proofErr w:type="gramEnd"/>
      <w:r w:rsidRPr="008127F8">
        <w:rPr>
          <w:rFonts w:ascii="Times New Roman" w:hAnsi="Times New Roman"/>
          <w:color w:val="000000" w:themeColor="text1"/>
          <w:sz w:val="16"/>
          <w:szCs w:val="16"/>
        </w:rPr>
        <w:t xml:space="preserve"> ное и коммунальное строительство 11 млн. рублей,</w:t>
      </w:r>
    </w:p>
    <w:p w14:paraId="26812844" w14:textId="77777777" w:rsidR="00830DBD" w:rsidRPr="008127F8" w:rsidRDefault="00830D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Утвердить мероприятия по обеспечению выпуска са</w:t>
      </w:r>
      <w:r w:rsidRPr="008127F8">
        <w:rPr>
          <w:rFonts w:ascii="Times New Roman" w:hAnsi="Times New Roman"/>
          <w:color w:val="000000" w:themeColor="text1"/>
          <w:sz w:val="16"/>
          <w:szCs w:val="16"/>
        </w:rPr>
        <w:softHyphen/>
        <w:t>молетов (см. приложение) (19301).</w:t>
      </w:r>
    </w:p>
    <w:p w14:paraId="43F28B46" w14:textId="77777777" w:rsidR="00830DBD" w:rsidRPr="008127F8" w:rsidRDefault="00830DB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5DC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09811B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390D4C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завод располагался на двух площадках: старой (СКО, заготовительные и механические цеха) и новой (сборочные цеха, лаборатории, ЛИС).</w:t>
      </w:r>
    </w:p>
    <w:p w14:paraId="4E4244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5F4659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Узбекской ССР.</w:t>
      </w:r>
    </w:p>
    <w:p w14:paraId="28EE78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 373-184 от 4.04.1957 г. на заводе начато освоение производства Ан-8 с двигателями АИ-20Д.</w:t>
      </w:r>
    </w:p>
    <w:p w14:paraId="5F9E92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организовано представительство ОКБ на заводе № 84, руководитель- И. Г. Ермохин.</w:t>
      </w:r>
    </w:p>
    <w:p w14:paraId="615E23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7382F0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 119 от 10.06.1965 г. на заводе начался выпуск Ан-22.</w:t>
      </w:r>
    </w:p>
    <w:p w14:paraId="014E9D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на базе завода создано ТАПОиЧ.</w:t>
      </w:r>
    </w:p>
    <w:p w14:paraId="3FF392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7E4E6B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21831B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2007 г. планировалось вхождение ТАПОиЧ в </w:t>
      </w:r>
      <w:r w:rsidRPr="008127F8">
        <w:rPr>
          <w:rFonts w:ascii="Times New Roman" w:hAnsi="Times New Roman"/>
          <w:color w:val="000000" w:themeColor="text1"/>
          <w:sz w:val="16"/>
          <w:szCs w:val="16"/>
          <w:lang w:val="en-US"/>
        </w:rPr>
        <w:t>OAK</w:t>
      </w:r>
      <w:r w:rsidRPr="008127F8">
        <w:rPr>
          <w:rFonts w:ascii="Times New Roman" w:hAnsi="Times New Roman"/>
          <w:color w:val="000000" w:themeColor="text1"/>
          <w:sz w:val="16"/>
          <w:szCs w:val="16"/>
        </w:rPr>
        <w:t>.</w:t>
      </w:r>
    </w:p>
    <w:p w14:paraId="3DC424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(11.1940 г.)- 477 металлорежущих станков.</w:t>
      </w:r>
    </w:p>
    <w:p w14:paraId="28C936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(1980-е)- около 50 тыс. чел., (2005 </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12.000 чел.</w:t>
      </w:r>
    </w:p>
    <w:p w14:paraId="4A3D5C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(-01-4.07.1937 г.)- Ф.П. Мурашев (снят), (3.08.1937-2.02.1938 г.)- С.И. Савышев, (2.02-08.1938 г.-)- П.И. Осипенко, (1939-47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Ярунин, (1947 г.-)- А.Н. Рудин, Кабишев, (1969-73 г.)- В.Н. Сивец. Гендиректор (1973-84 г.)- В.Н. Сивец, (1996-11.2006 г.)- В.П. Кучеров.</w:t>
      </w:r>
    </w:p>
    <w:p w14:paraId="2F0F2F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(27.05-20.08.1937 г.)- С.И. Беляйкин, (06.1937 г.)- А.Р. Рубенчик, (-10.1940 г.)- А.П. Бугров, (12.1940 г.-)- Б.П. Лисунов.</w:t>
      </w:r>
    </w:p>
    <w:p w14:paraId="748B84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2766C0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(-06-15.12.1937 г.)- А.Р. Рубенчик, (12.1940-46 г.)- Б.П. Лисунов.</w:t>
      </w:r>
    </w:p>
    <w:p w14:paraId="2BE16F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(05(07). 1936-37</w:t>
      </w:r>
      <w:r w:rsidRPr="008127F8">
        <w:rPr>
          <w:rFonts w:ascii="Times New Roman" w:hAnsi="Times New Roman"/>
          <w:color w:val="000000" w:themeColor="text1"/>
          <w:sz w:val="16"/>
          <w:szCs w:val="16"/>
          <w:lang w:val="en-US"/>
        </w:rPr>
        <w:t>r</w:t>
      </w:r>
      <w:r w:rsidRPr="008127F8">
        <w:rPr>
          <w:rFonts w:ascii="Times New Roman" w:hAnsi="Times New Roman"/>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0280AD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Начальшки отделов: ОКС и.о. (1938 г.)- Дьяков; АХО (1938 г.)- Дорофеев. Начальник УКС (08.2938 г.)- Белозеров.</w:t>
      </w:r>
    </w:p>
    <w:p w14:paraId="1D9DC1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ОТК (07.1943 г.-)- М.И. Гудков.</w:t>
      </w:r>
    </w:p>
    <w:p w14:paraId="4822B7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гошово-шаблонного (-04.1938 г.)- Козлов.</w:t>
      </w:r>
    </w:p>
    <w:p w14:paraId="76D6D7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Комендант завода (-16.07.1938 г.)- Самочкин (снят).</w:t>
      </w:r>
    </w:p>
    <w:p w14:paraId="2B1A1E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Летчики-испытатели: (1996 г.)- В.И. Свиридов.</w:t>
      </w:r>
    </w:p>
    <w:p w14:paraId="241173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8127F8">
        <w:rPr>
          <w:rFonts w:ascii="Times New Roman" w:hAnsi="Times New Roman"/>
          <w:color w:val="000000" w:themeColor="text1"/>
          <w:sz w:val="16"/>
          <w:szCs w:val="16"/>
          <w:vertAlign w:val="superscript"/>
        </w:rPr>
        <w:t>69</w:t>
      </w:r>
    </w:p>
    <w:p w14:paraId="4C7FA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Заводской номер:</w:t>
      </w:r>
      <w:r w:rsidRPr="008127F8">
        <w:rPr>
          <w:rFonts w:ascii="Times New Roman" w:hAnsi="Times New Roman"/>
          <w:color w:val="000000" w:themeColor="text1"/>
          <w:sz w:val="16"/>
          <w:szCs w:val="16"/>
        </w:rPr>
        <w:t xml:space="preserve"> в 1958-59 г. был семизначным: 5340110-</w:t>
      </w:r>
      <w:r w:rsidRPr="008127F8">
        <w:rPr>
          <w:rFonts w:ascii="Times New Roman" w:hAnsi="Times New Roman"/>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w:t>
      </w:r>
      <w:proofErr w:type="gramStart"/>
      <w:r w:rsidRPr="008127F8">
        <w:rPr>
          <w:rFonts w:ascii="Times New Roman" w:hAnsi="Times New Roman"/>
          <w:iCs/>
          <w:color w:val="000000" w:themeColor="text1"/>
          <w:sz w:val="16"/>
          <w:szCs w:val="16"/>
        </w:rPr>
        <w:t>самолет</w:t>
      </w:r>
      <w:proofErr w:type="gramEnd"/>
      <w:r w:rsidRPr="008127F8">
        <w:rPr>
          <w:rFonts w:ascii="Times New Roman" w:hAnsi="Times New Roman"/>
          <w:iCs/>
          <w:color w:val="000000" w:themeColor="text1"/>
          <w:sz w:val="16"/>
          <w:szCs w:val="16"/>
        </w:rPr>
        <w:t xml:space="preserve"> а в серии).</w:t>
      </w:r>
      <w:r w:rsidRPr="008127F8">
        <w:rPr>
          <w:rFonts w:ascii="Times New Roman" w:hAnsi="Times New Roman"/>
          <w:color w:val="000000" w:themeColor="text1"/>
          <w:sz w:val="16"/>
          <w:szCs w:val="16"/>
        </w:rPr>
        <w:t xml:space="preserve"> С 1960 г. номер (для Ан-8) буквенно-цифровой:</w:t>
      </w:r>
      <w:r w:rsidRPr="008127F8">
        <w:rPr>
          <w:rFonts w:ascii="Times New Roman" w:hAnsi="Times New Roman"/>
          <w:iCs/>
          <w:color w:val="000000" w:themeColor="text1"/>
          <w:sz w:val="16"/>
          <w:szCs w:val="16"/>
        </w:rPr>
        <w:t xml:space="preserve"> 1-я цифра (0 </w:t>
      </w:r>
      <w:r w:rsidRPr="008127F8">
        <w:rPr>
          <w:rFonts w:ascii="Times New Roman" w:hAnsi="Times New Roman"/>
          <w:iCs/>
          <w:color w:val="000000" w:themeColor="text1"/>
          <w:sz w:val="16"/>
          <w:szCs w:val="16"/>
          <w:lang w:val="en-US"/>
        </w:rPr>
        <w:t>wiul</w:t>
      </w:r>
      <w:r w:rsidRPr="008127F8">
        <w:rPr>
          <w:rFonts w:ascii="Times New Roman" w:hAnsi="Times New Roman"/>
          <w:iCs/>
          <w:color w:val="000000" w:themeColor="text1"/>
          <w:sz w:val="16"/>
          <w:szCs w:val="16"/>
        </w:rPr>
        <w:t>)- год выпуска, затем буква обозначала серию (А-Ж-для машин 1960 г., 3-К-для машин 1961 г.). Для</w:t>
      </w:r>
      <w:r w:rsidRPr="008127F8">
        <w:rPr>
          <w:rFonts w:ascii="Times New Roman" w:hAnsi="Times New Roman"/>
          <w:color w:val="000000" w:themeColor="text1"/>
          <w:sz w:val="16"/>
          <w:szCs w:val="16"/>
        </w:rPr>
        <w:t xml:space="preserve"> Ан-12 до 06.1973 г. номер был восьмизначным:</w:t>
      </w:r>
      <w:r w:rsidRPr="008127F8">
        <w:rPr>
          <w:rFonts w:ascii="Times New Roman" w:hAnsi="Times New Roman"/>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w:t>
      </w:r>
      <w:proofErr w:type="gramStart"/>
      <w:r w:rsidRPr="008127F8">
        <w:rPr>
          <w:rFonts w:ascii="Times New Roman" w:hAnsi="Times New Roman"/>
          <w:iCs/>
          <w:color w:val="000000" w:themeColor="text1"/>
          <w:sz w:val="16"/>
          <w:szCs w:val="16"/>
        </w:rPr>
        <w:t>самолет</w:t>
      </w:r>
      <w:proofErr w:type="gramEnd"/>
      <w:r w:rsidRPr="008127F8">
        <w:rPr>
          <w:rFonts w:ascii="Times New Roman" w:hAnsi="Times New Roman"/>
          <w:iCs/>
          <w:color w:val="000000" w:themeColor="text1"/>
          <w:sz w:val="16"/>
          <w:szCs w:val="16"/>
        </w:rPr>
        <w:t xml:space="preserve"> а в серии).</w:t>
      </w:r>
      <w:r w:rsidRPr="008127F8">
        <w:rPr>
          <w:rFonts w:ascii="Times New Roman" w:hAnsi="Times New Roman"/>
          <w:color w:val="000000" w:themeColor="text1"/>
          <w:sz w:val="16"/>
          <w:szCs w:val="16"/>
        </w:rPr>
        <w:t xml:space="preserve"> С 06.1973 г. заводской номер- девятизначный: 053483311-</w:t>
      </w:r>
      <w:r w:rsidRPr="008127F8">
        <w:rPr>
          <w:rFonts w:ascii="Times New Roman" w:hAnsi="Times New Roman"/>
          <w:iCs/>
          <w:color w:val="000000" w:themeColor="text1"/>
          <w:sz w:val="16"/>
          <w:szCs w:val="16"/>
        </w:rPr>
        <w:t xml:space="preserve"> первые 4 цифры сохранили свое значение, остальные- не имели смысла (но первой была 8) (11982).</w:t>
      </w:r>
    </w:p>
    <w:p w14:paraId="58F0B4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EA3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года Шахурин писал письмо в ГКО Маленкову.</w:t>
      </w:r>
    </w:p>
    <w:p w14:paraId="6F0055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Посылаю Вам на рассмотрение проект постановления ГКО об увеличении выпуска самолетов ПС-84 (Дуглас) на заводе N 84 НКАП в г. Ташкенте. (ГКО N 1340 от 24 февраля 1942 года) (2760,197).</w:t>
      </w:r>
    </w:p>
    <w:p w14:paraId="7AD623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F90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был утвержден отчет по гос. испытаниям в НИИ ВВС самолета ВОМ-1 (У-2 - воздушный огнемет), который был сделан по предложению СНИИ ГВФ. На самолете устанавливали "огненные мешки", разработанные НИИ-6 для сбрасывания "огневых зарядов", а на левом нижнем крыле была неподвижная пулеметная установка с 500 патронами, а сидение летчика - бронированное. Был выпущен Актюбинской АРМ (1076,716).</w:t>
      </w:r>
    </w:p>
    <w:p w14:paraId="4A00E1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C5E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1335 О производстве карбюраторов в г.Москве на площадях бывшего завода № 33. РГАНИР, Фонд ГКО, д. 22, лл. 10 (11012).</w:t>
      </w:r>
    </w:p>
    <w:p w14:paraId="214CBA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8BA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февраля 1942 года </w:t>
      </w:r>
      <w:proofErr w:type="gramStart"/>
      <w:r w:rsidRPr="008127F8">
        <w:rPr>
          <w:rFonts w:ascii="Times New Roman" w:hAnsi="Times New Roman"/>
          <w:color w:val="000000" w:themeColor="text1"/>
          <w:sz w:val="16"/>
          <w:szCs w:val="16"/>
        </w:rPr>
        <w:t>согласно решения</w:t>
      </w:r>
      <w:proofErr w:type="gramEnd"/>
      <w:r w:rsidRPr="008127F8">
        <w:rPr>
          <w:rFonts w:ascii="Times New Roman" w:hAnsi="Times New Roman"/>
          <w:color w:val="000000" w:themeColor="text1"/>
          <w:sz w:val="16"/>
          <w:szCs w:val="16"/>
        </w:rPr>
        <w:t xml:space="preserve"> ГКО за № 1335с на базе площадей завода № 33 НКАП был организован завод № 315.</w:t>
      </w:r>
    </w:p>
    <w:p w14:paraId="593C23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Оборудование завод № 315 получил с завода № 33 НКАП (г. Молотов) и с завода № 25 ГКАП (Москва).</w:t>
      </w:r>
    </w:p>
    <w:p w14:paraId="731C79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 директор завода Субботин А.С.</w:t>
      </w:r>
    </w:p>
    <w:p w14:paraId="267800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НКАП за № 896 от 19 декабря 1942 года на заводе было организовано опытное производство, гл. конструктором был назначен Коротков Ф.А.</w:t>
      </w:r>
    </w:p>
    <w:p w14:paraId="64B1BC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1943 года по 1945 год директором завода был Сильнов А.М. Завод выпускал авиационные карбюраторы и дизельные насосы ТН-12Б.</w:t>
      </w:r>
    </w:p>
    <w:p w14:paraId="119E61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целях увеличения мощности завода № 315,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НКАП № 171 от 8 марта 1944 года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03FF08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угол Нижней Масловки и ул. Расковой, д. 33/34</w:t>
      </w:r>
    </w:p>
    <w:p w14:paraId="69E373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году директором завода был Брусникин Г.Д.</w:t>
      </w:r>
    </w:p>
    <w:p w14:paraId="55DE1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1947 года по октябрь 1950 года – директор Соломонович И.Д.</w:t>
      </w:r>
    </w:p>
    <w:p w14:paraId="43A3DC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ноября 1950 года по май 1954 года – директор завода Брусникин Г.Д.</w:t>
      </w:r>
    </w:p>
    <w:p w14:paraId="003C0E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1954 по 1956 год – директор – Кононенко М.Л. (9605).</w:t>
      </w:r>
    </w:p>
    <w:p w14:paraId="1B001D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C03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в соответствии с постановлением ГКО № 1335с и приказом № 157с от 27.02.1942 г. на базе мастерских № 33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w:t>
      </w:r>
    </w:p>
    <w:p w14:paraId="26AC63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122с от 27.02.1943 г. заводу № 315 НКАП переданы оборудование и личный состав филиала завода № 25, расположенного на территории опытного завода ЦИАМ. </w:t>
      </w:r>
    </w:p>
    <w:p w14:paraId="3E7098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009A69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карбюраторов.</w:t>
      </w:r>
    </w:p>
    <w:p w14:paraId="3ECDC6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774C25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1.05.1956 г. завод передан в 3ГУ. 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С 1994 г.-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3F45BE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71A7AC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(1.01.2003 г.)- 2217 чел.</w:t>
      </w:r>
    </w:p>
    <w:p w14:paraId="489A0D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(06.1942-43 г.)- А.М. Сильнов, (02(05).1943 г.-)- А.С. Субботин, И.Д. Соломонович, (11.1945-54 г.)- Г.Д. Брусникин (затем- директор завода № 43), Кононенко, Ю.Н. Смирнов, (1963-92 г.)- И.И. Румянцев. Гендиректор (-1998-2004 г.-)- В.И. Дидилов.49 </w:t>
      </w:r>
    </w:p>
    <w:p w14:paraId="5903B3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(1943 г.)- С.А. Громов, (2002 г.)- А.А. Пискунов. </w:t>
      </w:r>
    </w:p>
    <w:p w14:paraId="7E1949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коммерции и ВЭС (2002 г.)- Л.М. Халфун.69 </w:t>
      </w:r>
    </w:p>
    <w:p w14:paraId="2B1F26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(06.1943-84 г.)- Ф.А. Коротков.</w:t>
      </w:r>
    </w:p>
    <w:p w14:paraId="650F61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карбюраторы К-38, К-105Ф, -БП для М-105, АК-82БП, АК-90БП для АШ-82, К-107БП для М-107, К-85, К-87, АК-88Б, К-42БП; агрегаты дозировки топлива АДТ-10 для РД-10, АДТ-20 для РД-20; топливная аппаратура для АЧ-30Б, РД-500, АМ-3М, РД-45Ф, ВК-1, РД-9, НК-12, Р15Б; САР 59А для РД-33 (1978-).</w:t>
      </w:r>
    </w:p>
    <w:p w14:paraId="1A11C4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315 НКАП, завод № 315-33 МАП, ММЗ, ММПО «Знамя революции», Машиностроительное ПО (МПО) им. И.И. Румянцева, ОАО «МПО им. И.И. Румянцева» </w:t>
      </w:r>
    </w:p>
    <w:p w14:paraId="36B36C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Н. Масловка, 33</w:t>
      </w:r>
    </w:p>
    <w:p w14:paraId="1C64BE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М. Расковой, 34 тел. 285-39-80, 964-83-43</w:t>
      </w:r>
    </w:p>
    <w:p w14:paraId="5FEDB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ОКБ-315-33 НКАП, МАП, ОКБ-315 МАП, ГКАТ, МАКБ (Московское агрегатное) "Темп", НПП «ЭГА», АООТ, ОАО «ЭГА»</w:t>
      </w:r>
    </w:p>
    <w:p w14:paraId="3CE316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Правды, 23 тел. 285-99-65</w:t>
      </w:r>
    </w:p>
    <w:p w14:paraId="6ED1E6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896с от 19.12.1942 г.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058D97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23F46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3523C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4E3C4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210121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43739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44C12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40DBFD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г.)- 900 чел.</w:t>
      </w:r>
    </w:p>
    <w:p w14:paraId="529840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3600D8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598692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(2002 г.)- А.Л. Аршавский. Зам. гл. конструктора (06.1943 г.-)- Н.Г. Гладченко, (06.1943 г.-)- А.А. Артемьев; по дизельной аппаратуре (07.1945 </w:t>
      </w:r>
      <w:r w:rsidRPr="008127F8">
        <w:rPr>
          <w:rFonts w:ascii="Times New Roman" w:hAnsi="Times New Roman"/>
          <w:color w:val="000000" w:themeColor="text1"/>
          <w:sz w:val="16"/>
          <w:szCs w:val="16"/>
        </w:rPr>
        <w:lastRenderedPageBreak/>
        <w:t xml:space="preserve">г.-)- Н.И. Макаров; по аппаратуре ТРД (07.1946 г.-)- Н.И. Макаров; (1974-84 г.)- В.И. Зазулов.49 </w:t>
      </w:r>
    </w:p>
    <w:p w14:paraId="1AB16C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С.Н. Ломовицкий.</w:t>
      </w:r>
    </w:p>
    <w:p w14:paraId="23AEF5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09FE0C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Гаврилов-Ямский машиностроительный завод «Агат», ОАО «ГМЗ «Агат» </w:t>
      </w:r>
    </w:p>
    <w:p w14:paraId="723D5E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152240 г. Гаврилов-Ям Ярославской обл. пр. Машиностроителей, 1 тел. 23-264 gmzagat.ru</w:t>
      </w:r>
    </w:p>
    <w:p w14:paraId="3751BD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55E1E4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г.)- 787 чел.</w:t>
      </w:r>
    </w:p>
    <w:p w14:paraId="55FC5C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(-2002-05 г.-)- В.Н. Корытов.</w:t>
      </w:r>
    </w:p>
    <w:p w14:paraId="4D803F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А.А. Николаев.</w:t>
      </w:r>
    </w:p>
    <w:p w14:paraId="4C1E1D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3A5DD3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Члены совета директоров (23.04.2004 г.-)- В.Н. Корытов, В.И. Брылев, Н.И. Бирук, Ю.С. Елисеев, М.А. Скворцов, С.И. Грачев, И.Н. Горбаткина, А.Ю. Трубкин, С.М. Федотов.</w:t>
      </w:r>
    </w:p>
    <w:p w14:paraId="3C8C4F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гидроаппаратура для грузоподъемной, дорожно-строительной и коммунальной техники; разработка системы запуска ГТУ; мотоблоки «Салют-5» для сельского хозяйства (10776).</w:t>
      </w:r>
    </w:p>
    <w:p w14:paraId="6DDB92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DC8E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390D5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8A7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вышло постановление ГКО № 1345 о возврате части эвакуированного оборудования и кадров завода № 561 НКБ (Завода № 561 НКБ /г. Москва ст. Лианозово/), в соответствии с ним возвращено оборудование по МДШ, ДШ-100 и МЯДШ. Затем возвращен весь эвакуированный личный состав.</w:t>
      </w:r>
    </w:p>
    <w:p w14:paraId="321C62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(09.1941 г.)- 3200 </w:t>
      </w:r>
      <w:proofErr w:type="gramStart"/>
      <w:r w:rsidRPr="008127F8">
        <w:rPr>
          <w:rFonts w:ascii="Times New Roman" w:hAnsi="Times New Roman"/>
          <w:color w:val="000000" w:themeColor="text1"/>
          <w:sz w:val="16"/>
          <w:szCs w:val="16"/>
        </w:rPr>
        <w:t>чел</w:t>
      </w:r>
      <w:proofErr w:type="gramEnd"/>
      <w:r w:rsidRPr="008127F8">
        <w:rPr>
          <w:rFonts w:ascii="Times New Roman" w:hAnsi="Times New Roman"/>
          <w:color w:val="000000" w:themeColor="text1"/>
          <w:sz w:val="16"/>
          <w:szCs w:val="16"/>
        </w:rPr>
        <w:t xml:space="preserve"> (11982).</w:t>
      </w:r>
    </w:p>
    <w:p w14:paraId="0601A1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3BC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вышла ЗАЯВКА ГАБТУ В НКВТ НА ИНСТРУКЦИИ И КАТАЛОГИ ПО ЗАПЧАСТЯМ НА ПОСТУПАЮЩУЮ ИМПОРТНУЮ ТЕХНИКУ</w:t>
      </w:r>
    </w:p>
    <w:p w14:paraId="49A190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Вам известно, прибывающие машины «Форд» не снабжаются инструкциями и каталогами по запчастям.</w:t>
      </w:r>
    </w:p>
    <w:p w14:paraId="562E28F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большое количество данных машин уже находится в войсковых частях дей</w:t>
      </w:r>
      <w:r w:rsidRPr="008127F8">
        <w:rPr>
          <w:rFonts w:ascii="Times New Roman" w:hAnsi="Times New Roman"/>
          <w:color w:val="000000" w:themeColor="text1"/>
          <w:sz w:val="16"/>
          <w:szCs w:val="16"/>
        </w:rPr>
        <w:softHyphen/>
        <w:t>ствующей Красной Армии.</w:t>
      </w:r>
    </w:p>
    <w:p w14:paraId="43E6929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Отсутствие инструкций и каталогов на английском языке не дает возможности выпустить руко</w:t>
      </w:r>
      <w:r w:rsidRPr="008127F8">
        <w:rPr>
          <w:rFonts w:ascii="Times New Roman" w:hAnsi="Times New Roman"/>
          <w:color w:val="000000" w:themeColor="text1"/>
          <w:kern w:val="65535"/>
          <w:sz w:val="16"/>
          <w:szCs w:val="16"/>
        </w:rPr>
        <w:softHyphen/>
        <w:t>водство на русском языке, что создает большие затруднения в подготовке водительского состава, в нормальной эксплуатации и ремонте.</w:t>
      </w:r>
    </w:p>
    <w:p w14:paraId="7F92F5F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принять самые срочные и все зависящие от Вас меры для скорейшей доставки инст</w:t>
      </w:r>
      <w:r w:rsidRPr="008127F8">
        <w:rPr>
          <w:rFonts w:ascii="Times New Roman" w:hAnsi="Times New Roman"/>
          <w:color w:val="000000" w:themeColor="text1"/>
          <w:sz w:val="16"/>
          <w:szCs w:val="16"/>
        </w:rPr>
        <w:softHyphen/>
        <w:t>рукций и каталогов на английском языке по машинам «Форд» и «Додж».</w:t>
      </w:r>
    </w:p>
    <w:p w14:paraId="43F3AEC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бригинженер Тягунов</w:t>
      </w:r>
    </w:p>
    <w:p w14:paraId="768591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управления полковой комиссар Лозовский</w:t>
      </w:r>
    </w:p>
    <w:p w14:paraId="7D2A556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123. Л. 23. Копия (11211).</w:t>
      </w:r>
    </w:p>
    <w:p w14:paraId="5C1B1B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910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1336 О снятии с производства и вооружения 37 мм минометов и мин к ним. РГАНИР, Фонд ГКО, д. 22, лл. 11 (11012).</w:t>
      </w:r>
    </w:p>
    <w:p w14:paraId="51CCE9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8E1D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 xml:space="preserve">24 февраля 1942 г. </w:t>
      </w:r>
      <w:r w:rsidRPr="008127F8">
        <w:rPr>
          <w:rFonts w:ascii="Times New Roman" w:hAnsi="Times New Roman"/>
          <w:color w:val="000000" w:themeColor="text1"/>
          <w:sz w:val="16"/>
          <w:szCs w:val="16"/>
        </w:rPr>
        <w:t xml:space="preserve">приказами НКТП </w:t>
      </w:r>
      <w:r w:rsidRPr="008127F8">
        <w:rPr>
          <w:rFonts w:ascii="Times New Roman" w:hAnsi="Times New Roman"/>
          <w:noProof/>
          <w:color w:val="000000" w:themeColor="text1"/>
          <w:sz w:val="16"/>
          <w:szCs w:val="16"/>
        </w:rPr>
        <w:t>и НКО от 26 февраля 1942 г. нарком т</w:t>
      </w:r>
      <w:r w:rsidRPr="008127F8">
        <w:rPr>
          <w:rFonts w:ascii="Times New Roman" w:hAnsi="Times New Roman"/>
          <w:color w:val="000000" w:themeColor="text1"/>
          <w:sz w:val="16"/>
          <w:szCs w:val="16"/>
        </w:rPr>
        <w:t>анковой</w:t>
      </w:r>
      <w:r w:rsidRPr="008127F8">
        <w:rPr>
          <w:rFonts w:ascii="Times New Roman" w:hAnsi="Times New Roman"/>
          <w:noProof/>
          <w:color w:val="000000" w:themeColor="text1"/>
          <w:sz w:val="16"/>
          <w:szCs w:val="16"/>
        </w:rPr>
        <w:t xml:space="preserve"> промышленности со</w:t>
      </w:r>
      <w:r w:rsidRPr="008127F8">
        <w:rPr>
          <w:rFonts w:ascii="Times New Roman" w:hAnsi="Times New Roman"/>
          <w:noProof/>
          <w:color w:val="000000" w:themeColor="text1"/>
          <w:sz w:val="16"/>
          <w:szCs w:val="16"/>
        </w:rPr>
        <w:softHyphen/>
        <w:t>вместно с наркомом обороны пошли на беспрецедентные меры, пожертвовав важ</w:t>
      </w:r>
      <w:r w:rsidRPr="008127F8">
        <w:rPr>
          <w:rFonts w:ascii="Times New Roman" w:hAnsi="Times New Roman"/>
          <w:noProof/>
          <w:color w:val="000000" w:themeColor="text1"/>
          <w:sz w:val="16"/>
          <w:szCs w:val="16"/>
        </w:rPr>
        <w:softHyphen/>
        <w:t>ными показателями, определяющими бо</w:t>
      </w:r>
      <w:r w:rsidRPr="008127F8">
        <w:rPr>
          <w:rFonts w:ascii="Times New Roman" w:hAnsi="Times New Roman"/>
          <w:noProof/>
          <w:color w:val="000000" w:themeColor="text1"/>
          <w:sz w:val="16"/>
          <w:szCs w:val="16"/>
        </w:rPr>
        <w:softHyphen/>
        <w:t xml:space="preserve">евую эффективность танка </w:t>
      </w:r>
      <w:r w:rsidRPr="008127F8">
        <w:rPr>
          <w:rFonts w:ascii="Times New Roman" w:hAnsi="Times New Roman"/>
          <w:color w:val="000000" w:themeColor="text1"/>
          <w:sz w:val="16"/>
          <w:szCs w:val="16"/>
        </w:rPr>
        <w:t>КВ и</w:t>
      </w:r>
      <w:r w:rsidRPr="008127F8">
        <w:rPr>
          <w:rFonts w:ascii="Times New Roman" w:hAnsi="Times New Roman"/>
          <w:noProof/>
          <w:color w:val="000000" w:themeColor="text1"/>
          <w:sz w:val="16"/>
          <w:szCs w:val="16"/>
        </w:rPr>
        <w:t xml:space="preserve"> распорядились снизить толщину брони лобовых листов и крыши корпуса и башни, крышек люков, кормы, изъять дополнительные топливные баки, уменьшить боекомплект пушки с 110 до 90 выстрелов.А как быть с двигателем? Попытка повы</w:t>
      </w:r>
      <w:r w:rsidRPr="008127F8">
        <w:rPr>
          <w:rFonts w:ascii="Times New Roman" w:hAnsi="Times New Roman"/>
          <w:noProof/>
          <w:color w:val="000000" w:themeColor="text1"/>
          <w:sz w:val="16"/>
          <w:szCs w:val="16"/>
        </w:rPr>
        <w:softHyphen/>
        <w:t>сить мощность двигателя В-2кдо650л.с. не удалась. Форсированный двигатель не вы</w:t>
      </w:r>
      <w:r w:rsidRPr="008127F8">
        <w:rPr>
          <w:rFonts w:ascii="Times New Roman" w:hAnsi="Times New Roman"/>
          <w:noProof/>
          <w:color w:val="000000" w:themeColor="text1"/>
          <w:sz w:val="16"/>
          <w:szCs w:val="16"/>
        </w:rPr>
        <w:softHyphen/>
        <w:t xml:space="preserve">держал испытаний.К марту 1942 г. бедственная ситуация с надежностью и подвижностью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в войсках достигла своего апогея. Треть тан</w:t>
      </w:r>
      <w:r w:rsidRPr="008127F8">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8127F8">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8127F8">
        <w:rPr>
          <w:rFonts w:ascii="Times New Roman" w:hAnsi="Times New Roman"/>
          <w:noProof/>
          <w:color w:val="000000" w:themeColor="text1"/>
          <w:sz w:val="16"/>
          <w:szCs w:val="16"/>
        </w:rPr>
        <w:softHyphen/>
        <w:t>ственных сотрудников.В низкой надежности и неудовлетвори</w:t>
      </w:r>
      <w:r w:rsidRPr="008127F8">
        <w:rPr>
          <w:rFonts w:ascii="Times New Roman" w:hAnsi="Times New Roman"/>
          <w:noProof/>
          <w:color w:val="000000" w:themeColor="text1"/>
          <w:sz w:val="16"/>
          <w:szCs w:val="16"/>
        </w:rPr>
        <w:softHyphen/>
        <w:t xml:space="preserve">тельной подвижности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как уже го</w:t>
      </w:r>
      <w:r w:rsidRPr="008127F8">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8127F8">
        <w:rPr>
          <w:rFonts w:ascii="Times New Roman" w:hAnsi="Times New Roman"/>
          <w:noProof/>
          <w:color w:val="000000" w:themeColor="text1"/>
          <w:sz w:val="16"/>
          <w:szCs w:val="16"/>
        </w:rPr>
        <w:softHyphen/>
        <w:t xml:space="preserve">ции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было возложено на Челябин</w:t>
      </w:r>
      <w:r w:rsidRPr="008127F8">
        <w:rPr>
          <w:rFonts w:ascii="Times New Roman" w:hAnsi="Times New Roman"/>
          <w:noProof/>
          <w:color w:val="000000" w:themeColor="text1"/>
          <w:sz w:val="16"/>
          <w:szCs w:val="16"/>
        </w:rPr>
        <w:softHyphen/>
        <w:t>ский опытный завод, основанный в марте 1942 г. на базе СКБ-2</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646D25EF"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4A553570"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w:t>
      </w:r>
    </w:p>
    <w:p w14:paraId="41EFEDF1"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84 лист 142 – 143</w:t>
      </w:r>
    </w:p>
    <w:p w14:paraId="2C8811BD"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24.II-42 г. № 1410</w:t>
      </w:r>
    </w:p>
    <w:p w14:paraId="7B1D5BAB" w14:textId="22A171EB"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3052B16C"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6F6D5147"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4FD3F0DA"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217-мс</w:t>
      </w:r>
    </w:p>
    <w:p w14:paraId="10CBAFF1"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712974BC"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w:t>
      </w:r>
    </w:p>
    <w:p w14:paraId="5E703560" w14:textId="4B46118F"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оказания необходимой помощи запасным танковым полкам по содержанию в должном порядке учебных танков и улучшению подготовки кадров танкистов, ПРИКАЗЫВАЮ:</w:t>
      </w:r>
      <w:r w:rsidR="008127F8">
        <w:rPr>
          <w:rFonts w:ascii="Times New Roman" w:hAnsi="Times New Roman"/>
          <w:color w:val="000000" w:themeColor="text1"/>
          <w:sz w:val="16"/>
          <w:szCs w:val="16"/>
        </w:rPr>
        <w:t xml:space="preserve">  </w:t>
      </w:r>
    </w:p>
    <w:p w14:paraId="11BC7F11" w14:textId="1356FCED"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Прикрепить танковые заводы к следующим танковым запасным полкам:</w:t>
      </w:r>
      <w:r w:rsidR="008127F8">
        <w:rPr>
          <w:rFonts w:ascii="Times New Roman" w:hAnsi="Times New Roman"/>
          <w:color w:val="000000" w:themeColor="text1"/>
          <w:sz w:val="16"/>
          <w:szCs w:val="16"/>
        </w:rPr>
        <w:t xml:space="preserve">  </w:t>
      </w:r>
    </w:p>
    <w:p w14:paraId="076364D4" w14:textId="0EEC52CB"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Кировский завод – к 30-му, 13-му, 31-му и 4-му отдельным учебным танковым полкам;</w:t>
      </w:r>
      <w:r w:rsidR="008127F8">
        <w:rPr>
          <w:rFonts w:ascii="Times New Roman" w:hAnsi="Times New Roman"/>
          <w:color w:val="000000" w:themeColor="text1"/>
          <w:sz w:val="16"/>
          <w:szCs w:val="16"/>
        </w:rPr>
        <w:t xml:space="preserve">  </w:t>
      </w:r>
    </w:p>
    <w:p w14:paraId="0B1FCE98" w14:textId="3FD7513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СТЗ – к 29-му, 9-му и 26-му отдельным учебным танковым полкам;</w:t>
      </w:r>
      <w:r w:rsidR="008127F8">
        <w:rPr>
          <w:rFonts w:ascii="Times New Roman" w:hAnsi="Times New Roman"/>
          <w:color w:val="000000" w:themeColor="text1"/>
          <w:sz w:val="16"/>
          <w:szCs w:val="16"/>
        </w:rPr>
        <w:t xml:space="preserve">  </w:t>
      </w:r>
    </w:p>
    <w:p w14:paraId="5E454BD3" w14:textId="16947B10"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Завод № 183 – к 19-му отдельному учебному полку и завод № 76 (по дизелям В-2) – к 10-му, 19-му отдельным учебным танковым полкам;</w:t>
      </w:r>
      <w:r w:rsidR="008127F8">
        <w:rPr>
          <w:rFonts w:ascii="Times New Roman" w:hAnsi="Times New Roman"/>
          <w:color w:val="000000" w:themeColor="text1"/>
          <w:sz w:val="16"/>
          <w:szCs w:val="16"/>
        </w:rPr>
        <w:t xml:space="preserve">  </w:t>
      </w:r>
    </w:p>
    <w:p w14:paraId="237AB6BF" w14:textId="4C966614"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Завод № 112 – 10-му отдельному учебному полку.</w:t>
      </w:r>
      <w:r w:rsidR="008127F8">
        <w:rPr>
          <w:rFonts w:ascii="Times New Roman" w:hAnsi="Times New Roman"/>
          <w:color w:val="000000" w:themeColor="text1"/>
          <w:sz w:val="16"/>
          <w:szCs w:val="16"/>
        </w:rPr>
        <w:t xml:space="preserve">  </w:t>
      </w:r>
    </w:p>
    <w:p w14:paraId="35C16FBD" w14:textId="11135579"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директоров заводов: Кировского (т. Махонина), СТЗ (т. Задорожного), № 183 (т. Зальцмана), № 76 (т. Кочеткова) и № 112 (т. Михалева):</w:t>
      </w:r>
      <w:r w:rsidR="008127F8">
        <w:rPr>
          <w:rFonts w:ascii="Times New Roman" w:hAnsi="Times New Roman"/>
          <w:color w:val="000000" w:themeColor="text1"/>
          <w:sz w:val="16"/>
          <w:szCs w:val="16"/>
        </w:rPr>
        <w:t xml:space="preserve">  </w:t>
      </w:r>
    </w:p>
    <w:p w14:paraId="58E881E5" w14:textId="22FFE4F0"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немедленно выделить в распоряжение командиров запасных полков по 4 – 5 человек (для каждого полка) квалифицированных мастеров и рабочих сборщиков и сдатчиков танков для помощи полкам в ремонте учебных танков;</w:t>
      </w:r>
      <w:r w:rsidR="008127F8">
        <w:rPr>
          <w:rFonts w:ascii="Times New Roman" w:hAnsi="Times New Roman"/>
          <w:color w:val="000000" w:themeColor="text1"/>
          <w:sz w:val="16"/>
          <w:szCs w:val="16"/>
        </w:rPr>
        <w:t xml:space="preserve">  </w:t>
      </w:r>
    </w:p>
    <w:p w14:paraId="6ACC1F08" w14:textId="381A2840"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ремонт танков в запасных полках необходимыми запасными частями;</w:t>
      </w:r>
      <w:r w:rsidR="008127F8">
        <w:rPr>
          <w:rFonts w:ascii="Times New Roman" w:hAnsi="Times New Roman"/>
          <w:color w:val="000000" w:themeColor="text1"/>
          <w:sz w:val="16"/>
          <w:szCs w:val="16"/>
        </w:rPr>
        <w:t xml:space="preserve">  </w:t>
      </w:r>
    </w:p>
    <w:p w14:paraId="33CF64E0" w14:textId="7762C350"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обеспечить производство среднего и капитального ремонта танков, дизелей "В-2" и моторов "М-17" в прикрепленных запасных полках в соответствии с планом ремонта, утверждаемых ГАБТУ КА;</w:t>
      </w:r>
      <w:r w:rsidR="008127F8">
        <w:rPr>
          <w:rFonts w:ascii="Times New Roman" w:hAnsi="Times New Roman"/>
          <w:color w:val="000000" w:themeColor="text1"/>
          <w:sz w:val="16"/>
          <w:szCs w:val="16"/>
        </w:rPr>
        <w:t xml:space="preserve">  </w:t>
      </w:r>
    </w:p>
    <w:p w14:paraId="365DBFAA" w14:textId="4CE49EE5"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оказывать командирам запасных полков необходимую помощь изготовлением потребного для ухода за танками и моторами инструмента и приспособлений.</w:t>
      </w:r>
      <w:r w:rsidR="008127F8">
        <w:rPr>
          <w:rFonts w:ascii="Times New Roman" w:hAnsi="Times New Roman"/>
          <w:color w:val="000000" w:themeColor="text1"/>
          <w:sz w:val="16"/>
          <w:szCs w:val="16"/>
        </w:rPr>
        <w:t xml:space="preserve">  </w:t>
      </w:r>
    </w:p>
    <w:p w14:paraId="458EB1E0" w14:textId="05CCD0AD"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и главные инженеры указанных в пункте 2 заводов должны понять, что успешная подготовка для фронта кадров танкистов во многом зависит от содержания в порядке учебных танков в запасных полках. Последнее может быть обеспечено только при условии, если танковые заводы окажут полкам помощь запасными частями и в ремонте танков.</w:t>
      </w:r>
      <w:r w:rsidR="008127F8">
        <w:rPr>
          <w:rFonts w:ascii="Times New Roman" w:hAnsi="Times New Roman"/>
          <w:color w:val="000000" w:themeColor="text1"/>
          <w:sz w:val="16"/>
          <w:szCs w:val="16"/>
        </w:rPr>
        <w:t xml:space="preserve">  </w:t>
      </w:r>
    </w:p>
    <w:p w14:paraId="0E4AC568"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Уверен, что тт. Махонин, Зальцман, Задорожный, Кочетков и Михалев выполнят возложенные на них настоящим приказом обязательства.</w:t>
      </w:r>
    </w:p>
    <w:p w14:paraId="6583D0E4"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0CF197D1"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2B59F05D"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(18424).</w:t>
      </w:r>
    </w:p>
    <w:p w14:paraId="3466E58B" w14:textId="77777777" w:rsidR="004A3B1D" w:rsidRPr="008127F8" w:rsidRDefault="004A3B1D" w:rsidP="001E0A84">
      <w:pPr>
        <w:spacing w:after="0" w:line="240" w:lineRule="auto"/>
        <w:jc w:val="both"/>
        <w:rPr>
          <w:rFonts w:ascii="Times New Roman" w:hAnsi="Times New Roman"/>
          <w:color w:val="000000" w:themeColor="text1"/>
          <w:sz w:val="16"/>
          <w:szCs w:val="16"/>
        </w:rPr>
      </w:pPr>
    </w:p>
    <w:p w14:paraId="6A80E374"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w:t>
      </w:r>
    </w:p>
    <w:p w14:paraId="6DA2D0CC"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84 лист 138</w:t>
      </w:r>
    </w:p>
    <w:p w14:paraId="1A312563"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24.II.42 г. № 1424</w:t>
      </w:r>
    </w:p>
    <w:p w14:paraId="6A74036E" w14:textId="289F620C"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7FB48333"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B1A3F7A"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НАРОДНОГО КОМИССАРА ТАНКОВОЙ ПРОМЫШЛЕННОСТИ</w:t>
      </w:r>
    </w:p>
    <w:p w14:paraId="49020037"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219-мсс</w:t>
      </w:r>
    </w:p>
    <w:p w14:paraId="6CCF1019"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5EA99248"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w:t>
      </w:r>
    </w:p>
    <w:p w14:paraId="2A5DB018"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танках Т-34.</w:t>
      </w:r>
    </w:p>
    <w:p w14:paraId="67395DAF" w14:textId="49DC3DF5"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от 23 февраля 1942 г. ПРИКАЗЫВАЮ:</w:t>
      </w:r>
      <w:r w:rsidR="008127F8">
        <w:rPr>
          <w:rFonts w:ascii="Times New Roman" w:hAnsi="Times New Roman"/>
          <w:color w:val="000000" w:themeColor="text1"/>
          <w:sz w:val="16"/>
          <w:szCs w:val="16"/>
        </w:rPr>
        <w:t xml:space="preserve">  </w:t>
      </w:r>
    </w:p>
    <w:p w14:paraId="1ECC0208"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Отменить пункт "а" приказа по Наркомтанкопрому № 78-мсс от 27 декабря 1941 г. по экранировке лобовой части танка Т-34, разрешив директорам заводов № 183, СТЗ, № 112 и № 264 использовать имеющийся на заводах задел корпусов с экранированной лобовой частью.</w:t>
      </w:r>
    </w:p>
    <w:p w14:paraId="13769F43"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48C88337"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4F5E9F75"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(18423).</w:t>
      </w:r>
    </w:p>
    <w:p w14:paraId="7C183A78" w14:textId="77777777" w:rsidR="004A3B1D" w:rsidRPr="008127F8" w:rsidRDefault="004A3B1D" w:rsidP="001E0A84">
      <w:pPr>
        <w:spacing w:after="0" w:line="240" w:lineRule="auto"/>
        <w:jc w:val="both"/>
        <w:rPr>
          <w:rFonts w:ascii="Times New Roman" w:hAnsi="Times New Roman"/>
          <w:color w:val="000000" w:themeColor="text1"/>
          <w:sz w:val="16"/>
          <w:szCs w:val="16"/>
        </w:rPr>
      </w:pPr>
    </w:p>
    <w:p w14:paraId="70AF96A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февраля 1942 года закончились испытания Т-70 и по их итогам Т-70 рекомендовали к принятию на вооружение. Впрочем, комиссия почти сразу указала на необходимость работы по ходовой части. В ходе испытаний каких-то проблем не выявилось, но неприятности на перспективу выглядели очевидными. У Т-60 на один каток приходилась нагрузка 700 кг, а у Т-70 – 900 кг. Поэтому рекомендовалось заняться усилением ходовой части, на перспективу. Будущее показало правоту такого решения (24235).</w:t>
      </w:r>
    </w:p>
    <w:p w14:paraId="1B32AF2D" w14:textId="77777777" w:rsidR="000E620A" w:rsidRPr="008A2E5A" w:rsidRDefault="000E620A" w:rsidP="000E620A">
      <w:pPr>
        <w:spacing w:after="0" w:line="240" w:lineRule="auto"/>
        <w:jc w:val="both"/>
        <w:rPr>
          <w:rFonts w:ascii="Times New Roman" w:hAnsi="Times New Roman"/>
          <w:color w:val="0070C0"/>
          <w:sz w:val="16"/>
          <w:szCs w:val="16"/>
        </w:rPr>
      </w:pPr>
    </w:p>
    <w:p w14:paraId="48880E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1337 О восстановлении Сталиногорской ГРЭС и Фрунзенской ТЭЦ Мосэнерго. РГАНИР, Фонд ГКО, д. 22, лл. 12-13, 14 (11012).</w:t>
      </w:r>
    </w:p>
    <w:p w14:paraId="26947C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B0F8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1338 О восстановлении производства металлических сеток. (7023, 15).</w:t>
      </w:r>
    </w:p>
    <w:p w14:paraId="0B3E719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98DB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1341 О возврате в г. Москву эвакуированного оборудования, рабочих и инженерно-технических работников завода им. Семашко, заводов "Акрихин" и салицилового. РГАНИР, Фонд ГКО, д. 22, лл. 25 (11012).</w:t>
      </w:r>
    </w:p>
    <w:p w14:paraId="0419D9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5E2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1342 24 февраля 1942 вышло Постановление ГКО О возврате в Москву оборудования спеццеха Первого ГПЗ им. Л.М.Кагановича. РГАНИР, Фонд ГКО, д. 22, лл. 26 (11012).</w:t>
      </w:r>
    </w:p>
    <w:p w14:paraId="52AC83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278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1343 О возврате в г.Рязань эвакуированного оборудования Рязанского электролампового завода. РГАНИР, Фонд ГКО, д. 22, лл. 27 (11012).</w:t>
      </w:r>
    </w:p>
    <w:p w14:paraId="741F3F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7FFB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1344 О возврате из г. Алма-Ата эвакуированного оборудования, рабочих и служащих Отрожского вагоноремонтного завода [Воронежская обл.]. (7023, 28).</w:t>
      </w:r>
    </w:p>
    <w:p w14:paraId="1278EFD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4AF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1345 О возврате части оборудования, рабочих и ИТР заводов НКБ № 561 и 260. РГАНИР, Фонд ГКО, д. 22, лл. 29 (11012).</w:t>
      </w:r>
    </w:p>
    <w:p w14:paraId="1711C0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800E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1346 О возврате оборудования и инструмента паровозных депо и пунктов водоснабжения железных дорог. (7023, 30).</w:t>
      </w:r>
    </w:p>
    <w:p w14:paraId="11169E1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BBB6D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года Приказом НКСП на московском филиале эвакуированного в Саратов завода 205 предлагалось форсировать работы по приборам самонаведения к торпедам 53, чтобы приступить к серийному изготовлению аппаратуры. С этой целью сначала собрали особую группу из семнадцати человек во главе с М. К. Розиным с завода 205, включавшую специалистов по ультразвуковым магнитострикционным приемникам, усилителям высокой частоты, гироскопии и приборам управления. Эта группа была усилена специалистами НИИ-49, эвакуированными из Ленинграда (9921).</w:t>
      </w:r>
    </w:p>
    <w:p w14:paraId="5B6231D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611E055A" w14:textId="7401886D"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февраля 1942 года приказом НКСП на московском филиале эвакуированного в Саратов завода-205 предлагалось форсировать работы по приборам самонаведения к торпедам, чтобы приступить к серийному изготовлению аппаратуры. Сначала здесь собрали особую группу из специалистов по ультразвуковым магнитострикционным приемникам, усилителям высокой частоты, гироскопии и приборам управления – всего семнадцать человек с завода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205</w:t>
      </w:r>
      <w:proofErr w:type="gramEnd"/>
      <w:r w:rsidRPr="008127F8">
        <w:rPr>
          <w:rFonts w:ascii="Times New Roman" w:hAnsi="Times New Roman"/>
          <w:color w:val="000000" w:themeColor="text1"/>
          <w:sz w:val="16"/>
          <w:szCs w:val="16"/>
        </w:rPr>
        <w:t xml:space="preserve"> во главе с М.К. Розиным (15736).</w:t>
      </w:r>
    </w:p>
    <w:p w14:paraId="57C03326"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0377106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февраля по 12 марта 1942 в НИИ ВВС в Свердловске было произ</w:t>
      </w:r>
      <w:r w:rsidRPr="008127F8">
        <w:rPr>
          <w:rFonts w:ascii="Times New Roman" w:hAnsi="Times New Roman"/>
          <w:color w:val="000000" w:themeColor="text1"/>
          <w:sz w:val="16"/>
          <w:szCs w:val="16"/>
        </w:rPr>
        <w:softHyphen/>
        <w:t>ведено 32 полета на дублере ОБШ П.О.С. общей продолжитель</w:t>
      </w:r>
      <w:r w:rsidRPr="008127F8">
        <w:rPr>
          <w:rFonts w:ascii="Times New Roman" w:hAnsi="Times New Roman"/>
          <w:color w:val="000000" w:themeColor="text1"/>
          <w:sz w:val="16"/>
          <w:szCs w:val="16"/>
        </w:rPr>
        <w:softHyphen/>
        <w:t>ностью 15 часов 30 минут (10718).</w:t>
      </w:r>
    </w:p>
    <w:p w14:paraId="09BCD9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098B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51F1A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51AD56"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19738C9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24 февраля наши войска продолжали вести активные боевые действия против немецко-фашистских войск.</w:t>
      </w:r>
    </w:p>
    <w:p w14:paraId="00E465B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где командиром тов. Кутлин, во взаимодействии с кавалеристами под командованием тов. Маскаленко за два дня боёв освободила свыше 10 населённых пунктов. В бою уничтожено более 2.500 гитлеровцев, 200 немецких солдат взято в плен. Наши бойцы захватили у немцев 39 пулемётов, 6 миномётов, 8 орудий, много винтовок и другие трофеи. В этих боях особенно отличились бойцы подразделения под командованием тов. Рубцова. Отбив пять ожесточённых контратак противника, они уничтожили более 500 немецко-фашистских захватчиков.</w:t>
      </w:r>
    </w:p>
    <w:p w14:paraId="551F5C3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Южного фронта, захватила 3 немецких танка, 4 орудия, 8 миномётов, 9 пулемётов, 60 ящиков мин и 2 радиостанции. Противник потерял убитыми свыше 100 солдат и офицеров. На другом участке фронта бойцы под командованием тов. Павловского уничтожили 3 немецких танка, захватили одно орудие, 5 миномётов, 4 пулемёта и много боеприпасов. На поле боя осталось 130 убитых немецких солдат и офицеров.</w:t>
      </w:r>
    </w:p>
    <w:p w14:paraId="2F22C84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подразделения под командованием лейтенанта Крючкова огнём из противотанковых ружей сбили два немецких транспортных самолёта, перевозивших бензин и муку для блокированного в одном из населённых пунктов немецкого гарнизона. Экипажи обоих самолётов — 9 солдат и офицеров взяты в плен.</w:t>
      </w:r>
    </w:p>
    <w:p w14:paraId="64697C7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которой командует тов. Беззубов (Западный фронт), в бою за село И. захватили 2 вражеских орудия со снарядами, 3 пулемёта, 12 ящиков патронов, радиостанцию и другие трофеи.</w:t>
      </w:r>
    </w:p>
    <w:p w14:paraId="3DD7ED8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под командованием старшего лейтенанта Райдофира в двухдневном бою пять раз ходил в атаку на врага. Отважные танкисты уничтожили 4 немецких противотанковых орудия, 5 станковых пулемётов, 3 миномёта, разрушили два ДЗОТа и истребили свыше 50 солдат и офицеров противника.</w:t>
      </w:r>
    </w:p>
    <w:p w14:paraId="1FC0B5F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Действующий в одном из районов Украины партизанский отряд тов. К. организовал в лесу засаду и уничтожил карательный отряд немцев, усиленный двумя танками. Во время боя один танк был уничтожен гранатами, а второй взорвался на минах, установленных партизанами. За несколько дней бойцы отряда тов. К. уничтожили 68 немецких солдат и 11 офицеров. Захваченных пленных и трофеи партизаны передали частям Красной Армии.</w:t>
      </w:r>
    </w:p>
    <w:p w14:paraId="3F111DEB"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10 роты 203 полка 76 немецкой пехотной дивизии Фриц Шнайдер сообщил: «Наши солдаты измучены затянувшейся войной и удручены огромными потерями, которые понесла наша дивизия. К 16 февраля в нашей 10 роте осталось всего 50 солдат и офицеров. Из них боевого состава только 28 человек. Каждый батальон 203 полка фактически равен роте, а силы полка равны силам одного батальона. Командование теперь бросает в бой обозников, музыкантов и других нестроевиков».</w:t>
      </w:r>
    </w:p>
    <w:p w14:paraId="0EB596C4"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ефрейтора 337 немецкого пехотного полка Рихарда Крюгера найдено неотправленное письмо к родителям. В нём говорится: «Русские прорвали нашу оборону, и мы попали в какой-то ад. Многие наши товарищи уже погибли. Кухни наши неизвестно где, мы питаемся только сухарями. У меня кто-то из наших украл вещевой мешок, бельё, бритвенный прибор и другие вещи».</w:t>
      </w:r>
    </w:p>
    <w:p w14:paraId="6765A13C"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Отступая </w:t>
      </w:r>
      <w:proofErr w:type="gramStart"/>
      <w:r w:rsidRPr="008127F8">
        <w:rPr>
          <w:rFonts w:ascii="Times New Roman" w:hAnsi="Times New Roman"/>
          <w:color w:val="000000" w:themeColor="text1"/>
          <w:sz w:val="16"/>
          <w:szCs w:val="16"/>
        </w:rPr>
        <w:t>из села</w:t>
      </w:r>
      <w:proofErr w:type="gramEnd"/>
      <w:r w:rsidRPr="008127F8">
        <w:rPr>
          <w:rFonts w:ascii="Times New Roman" w:hAnsi="Times New Roman"/>
          <w:color w:val="000000" w:themeColor="text1"/>
          <w:sz w:val="16"/>
          <w:szCs w:val="16"/>
        </w:rPr>
        <w:t xml:space="preserve"> Лещинская Плота, Солнцевского района, Курской области, немецко-фашистские мерзавцы сожгли 250 домов. Многие жители остались без крова и продовольствия. Во время повального грабежа гитлеровцы расстреляли колхозников Леонтьева Николая, Леонтьева Павла, Черникова Егора, Леонтьеву Надежду, Леонтьева Демьяна, Леонтьева Василия и Леонтьеву Марию — мать четырёх малолетних детей.</w:t>
      </w:r>
    </w:p>
    <w:p w14:paraId="40E7784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неполным данным, трудящиеся Хабаровского края к 24-й годовщине Красной Армии отправили в части Действующей армии 67.439 посылок с подарками бойцам, командирам и политработникам.» (15050).</w:t>
      </w:r>
    </w:p>
    <w:p w14:paraId="0AFF0555"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747C3BC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5D0F5B4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течение 24 февраля наши войска, преодолевая сопротивление немецко-фашистских войск, продолжали продвигаться вперёд и заняли несколько населённых пунктов.</w:t>
      </w:r>
    </w:p>
    <w:p w14:paraId="312E706A"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февраля сбит в воздушных боях 21 самолёт противника. Наши потери — 13 самолётов.</w:t>
      </w:r>
    </w:p>
    <w:p w14:paraId="5D9B6B5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февраля частями нашей авиации уничтожено и повреждено 10 немецких танков, 327 автомашин с войсками и грузами, 140 повозок с боеприпасами, 8 автоцистерн с горючим, 31 орудие, 27 зенитно-пулемётных точек, 23 миномёта, взорвано 5 складов с боеприпасами, разбито 17 железнодорожных вагонов и 1 паровоз, подожжено 2 железнодорожных эшелона, рассеяно и частью уничтожено до 3 батальонов пехоты противника.</w:t>
      </w:r>
    </w:p>
    <w:p w14:paraId="2E7305B0"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15 по 21 февраля немецкая армия потеряла 157 самолётов. Из них в воздушных боях сбито 95 самолётов, зенитным огнём — 11, на аэродромах противника уничтожен 51 самолёт. Наши потери за этот же период — 54 самолёта.</w:t>
      </w:r>
    </w:p>
    <w:p w14:paraId="0DADF32D"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действующая на Западном фронте, 23 февраля ворвалась в сильно укреплённый противником населённый пункт А., захватила 8 блиндажей, 6 противотанковых орудий и уничтожила в упорном бою с противником 3 немецких танка. Немцы потеряли убитыми свыше 200 солдат и офицеров.</w:t>
      </w:r>
    </w:p>
    <w:p w14:paraId="6556CEB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отбивая многочисленные атаки противника и продолжая продвигаться вперёд, заняли 7 населённых пунктов и 2 железнодорожные станции.</w:t>
      </w:r>
    </w:p>
    <w:p w14:paraId="4E44A28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понёс большие потери в технике и людях. На другом участке наши войска разгромили 203 и 230 полки 76 немецкой пехотной дивизии и 57 полк 9 немецкой пехотной дивизии. На поле боя осталось огромное количество вражеских трупов. Захвачены большие трофеи.</w:t>
      </w:r>
    </w:p>
    <w:p w14:paraId="3A1D399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Гитлеровский офицер вызвал жителя деревни К. 80-летнего Кузьмина Матвея Матвеевича и приказал ему скрытными путями провести многочисленную группу немцев в расположение боевого охранения части, где командиром тов. Горбунов. Собираясь в дорогу, Кузьмин незаметно для немцев поручил своему 14-летнему внуку Васе пробраться к советским войскам и предупредить их о нависшей опасности. Долго водил тов. Кузьмин заклятых врагов по оврагам, кружил по кустарникам и перелескам. Вконец усталые, продрогшие, немцы неожиданно для себя очутились под пулемётным огнём. Советские пулемётчики, заранее предупреждённые Васей, в упор расстреливали гитлеровцев. Поле покрылось трупами. Более 250 немецких солдат нашли здесь себе смерть. Когда немецкий офицер увидел, что его отряд попался в ловушку, он застрелил старика. Героический подвиг славного советского патриота Матвея Матвеевича Кузьмина никогда не забудут трудящиеся нашей великой родины.</w:t>
      </w:r>
    </w:p>
    <w:p w14:paraId="0E382AEF"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Ш., действующий в одном из оккупированных немцами районов Украины, совершил внезапный налёт на немецкий гарнизон в населённом пункте Н. Партизаны истребили свыше 40 немецких солдат и офицеров и захватили 4 пулемёта, 1 миномёт, несколько винтовок и 2.000 патронов.</w:t>
      </w:r>
    </w:p>
    <w:p w14:paraId="1BD3BFB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2 роты 524 полка 297 немецкой дивизии Иоганн Радлер рассказал: «В нашем взводе много обмороженных и больных воспалением лёгких и ревматизмом. Начинает свирепствовать сыпной тиф. В нашем взводе уже отмечено 6— 7 случаев заболевания сыпным тифом. Из уст в уста передается рассказ о том, что 25 солдат из соседней дивизии перебежали на сторону русских. За последнее время офицеры не дают нам читать газеты. Они опасаются, что чтение газет только усилит недовольство солдат».</w:t>
      </w:r>
    </w:p>
    <w:p w14:paraId="256E5507"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Отступив 23 февраля под натиском советских войск из села Рожково, Смоленской области, немцы угнали с собой всё трудоспособное население. Немецко-фашистские изверги расстреляли в этом селе 80 стариков, женщин и грудных и малолетних детей.</w:t>
      </w:r>
    </w:p>
    <w:p w14:paraId="14C0B1F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городе Линце (Германия) произошёл пожар и взрыв на заводе, принадлежащем Герингу. Несколько цехов полностью разрушены. На заводе работало несколько тысяч поляков, чехов, бельгийцев и французов.</w:t>
      </w:r>
    </w:p>
    <w:p w14:paraId="3F77B143"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Стахановцы вагоноремонтного пункта станции Усяты, Томской железной дороги, тт. Кузнецов и Константинов в честь 24-й годовщины Красной Армии изобрели штамп для поковки башмачных подвесок, изготовлявшихся раньше вручную. Применив штамп, тт. Кузнецов и Константинов в первый же день выполнили задание на 800 процентов. При помощи этого же штампа кузнец тов. Иванов и молотобоец тов. Титов за смену дали 870 процентов нормы.» (15050).</w:t>
      </w:r>
    </w:p>
    <w:p w14:paraId="6DD82616"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183A16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1339 Вопросы авиации дальнего действия. РГАНИР, Фонд ГКО, д. 22, лл. 16 (11012).</w:t>
      </w:r>
    </w:p>
    <w:p w14:paraId="077EE8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383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 советская подводная лодка Щ-213 Черноморского флота (командир старший лейтенант Д.М.Денешко) у входа в Босфор (41о16' С.Ш., 29о10' В.Д.) утопила болгарское судно "Струма". На судне погибло 768 евреев, вывозимых в Палестину) (3573).</w:t>
      </w:r>
    </w:p>
    <w:p w14:paraId="5DEE48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D36D8" w14:textId="77777777" w:rsidR="00DA7727" w:rsidRPr="008127F8" w:rsidRDefault="00DA7727"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возле Стамбула затонул корабль “Стурма”, в результате чего погибли 700 еврейских беженцев (ранее их не пустили в Израиль английские оккупационные власти) (4962).</w:t>
      </w:r>
    </w:p>
    <w:p w14:paraId="280DCD9E" w14:textId="77777777" w:rsidR="00DA7727" w:rsidRPr="008127F8" w:rsidRDefault="00DA7727"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95F560"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февраля</w:t>
      </w:r>
      <w:r w:rsidRPr="008127F8">
        <w:rPr>
          <w:rFonts w:ascii="Times New Roman" w:hAnsi="Times New Roman"/>
          <w:color w:val="000000" w:themeColor="text1"/>
          <w:sz w:val="16"/>
          <w:szCs w:val="16"/>
        </w:rPr>
        <w:t xml:space="preserve"> в 1942 году транспорт Struma затонул после торпедной атаки советской подводной лодки в Черном море у Босфора. 777 жертв (15050).</w:t>
      </w:r>
    </w:p>
    <w:p w14:paraId="77F32895" w14:textId="77777777" w:rsidR="00DA7727" w:rsidRPr="008127F8" w:rsidRDefault="00DA7727" w:rsidP="001E0A84">
      <w:pPr>
        <w:spacing w:after="0" w:line="240" w:lineRule="auto"/>
        <w:jc w:val="both"/>
        <w:rPr>
          <w:rFonts w:ascii="Times New Roman" w:hAnsi="Times New Roman"/>
          <w:color w:val="000000" w:themeColor="text1"/>
          <w:sz w:val="16"/>
          <w:szCs w:val="16"/>
        </w:rPr>
      </w:pPr>
    </w:p>
    <w:p w14:paraId="4668CB9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D5877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E90F0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1347 О возврате из Рязанской в Тульскую область эвакуированных тракторов. (7023, 31,32).</w:t>
      </w:r>
    </w:p>
    <w:p w14:paraId="58F1140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9AC7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1348 О частичном восстановлении производства на Ярославском подошвенном заводе, на заводе "Красный богатырь" и на заводе "Каучук" Наркомрезинпрома. РГАНИР, Фонд ГКО, д. 22, лл. 33-34, 35 (11012).</w:t>
      </w:r>
    </w:p>
    <w:p w14:paraId="53F013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B3A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вышло Постановление ГКО № 1349 О возвращении в Москву, Московскую обл. и Воронеж части оборудования предприятий НКтекстиля СССР, НКТМ, НКпроса и НКПСМ РСФСР. РГАНИР, Фонд ГКО, д. 22, лл. 36, 37 (11012).</w:t>
      </w:r>
    </w:p>
    <w:p w14:paraId="6160D9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5E0F7"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3A1444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7D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года было получено:</w:t>
      </w:r>
    </w:p>
    <w:p w14:paraId="135014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 *</w:t>
      </w:r>
    </w:p>
    <w:p w14:paraId="023E11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24-я годовщина со дня основания Красной Армии празднуется сегодня, после восьми месяцев боев, покрывших величайшей славой ее командиров и рядовых и запечатлевших навеки ее деяния в истории.</w:t>
      </w:r>
    </w:p>
    <w:p w14:paraId="222A59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этому торжественному поводу я передаю Вам, Председателю Комитета Обороны Союза Советских Социалистических Республик, и всему составу советских вооруженных сил выражение того восхищения и благодарности, с которым народы Британской Империи следили за их подвигами, и нашей уверенности в победоносном окончании борьбы, которую мы совместно ведем против общего врага.</w:t>
      </w:r>
    </w:p>
    <w:p w14:paraId="4DB32C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было получено: 12 марта 1942 года</w:t>
      </w:r>
    </w:p>
    <w:p w14:paraId="6DCFD0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 *</w:t>
      </w:r>
    </w:p>
    <w:p w14:paraId="586F31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Я отправил Президенту Рузвельту послание, убеждая его одобрить </w:t>
      </w:r>
      <w:proofErr w:type="gramStart"/>
      <w:r w:rsidRPr="008127F8">
        <w:rPr>
          <w:rFonts w:ascii="Times New Roman" w:hAnsi="Times New Roman"/>
          <w:color w:val="000000" w:themeColor="text1"/>
          <w:sz w:val="16"/>
          <w:szCs w:val="16"/>
        </w:rPr>
        <w:t>подписание между нами</w:t>
      </w:r>
      <w:proofErr w:type="gramEnd"/>
      <w:r w:rsidRPr="008127F8">
        <w:rPr>
          <w:rFonts w:ascii="Times New Roman" w:hAnsi="Times New Roman"/>
          <w:color w:val="000000" w:themeColor="text1"/>
          <w:sz w:val="16"/>
          <w:szCs w:val="16"/>
        </w:rPr>
        <w:t xml:space="preserve"> соглашения относительно границ России по окончании войны </w:t>
      </w:r>
      <w:r w:rsidRPr="008127F8">
        <w:rPr>
          <w:rFonts w:ascii="Times New Roman" w:hAnsi="Times New Roman"/>
          <w:color w:val="000000" w:themeColor="text1"/>
          <w:sz w:val="16"/>
          <w:szCs w:val="16"/>
          <w:vertAlign w:val="superscript"/>
        </w:rPr>
        <w:t>14</w:t>
      </w:r>
      <w:r w:rsidRPr="008127F8">
        <w:rPr>
          <w:rFonts w:ascii="Times New Roman" w:hAnsi="Times New Roman"/>
          <w:color w:val="000000" w:themeColor="text1"/>
          <w:sz w:val="16"/>
          <w:szCs w:val="16"/>
        </w:rPr>
        <w:t>.</w:t>
      </w:r>
    </w:p>
    <w:p w14:paraId="3CDAA7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Я дал специальные указания о том, чтобы обещанные нами поставки никоим образом не прерывались и не поступали с опозданием.</w:t>
      </w:r>
    </w:p>
    <w:p w14:paraId="2B6A6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Теперь, когда погода улучшается, мы возобновляем как в дневное, так и в ночное время свое мощное наступление на Германию с воздуха. Мы продолжаем изучать другие меры для того, чтобы снять с Вашей страны некоторую часть бремени.</w:t>
      </w:r>
    </w:p>
    <w:p w14:paraId="2CE16A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Продолжающееся продвижение русских армий и ужасные потери врага, о которых известно, естественно, являются источником величайшего ободрения для нас в период испытаний.</w:t>
      </w:r>
    </w:p>
    <w:p w14:paraId="5EBCEF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Имеется в виду проект соглашения о признании Англией в качестве западной границы Советского Союза после окончания войны границы, существовавшей к моменту нападения гитлеровской Германии на СССР, т. е. к 22 июня 1941 г (7430).</w:t>
      </w:r>
    </w:p>
    <w:p w14:paraId="114A5B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A1CB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51D2B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20595"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февраля</w:t>
      </w:r>
      <w:r w:rsidRPr="008127F8">
        <w:rPr>
          <w:rFonts w:ascii="Times New Roman" w:hAnsi="Times New Roman"/>
          <w:color w:val="000000" w:themeColor="text1"/>
          <w:sz w:val="16"/>
          <w:szCs w:val="16"/>
        </w:rPr>
        <w:t xml:space="preserve"> в 1942 году официальное название присвоили мексиканскому УТС "Teziutlan" </w:t>
      </w:r>
      <w:hyperlink r:id="rId62" w:tgtFrame="_blank" w:history="1">
        <w:r w:rsidRPr="008127F8">
          <w:rPr>
            <w:rFonts w:ascii="Times New Roman" w:hAnsi="Times New Roman"/>
            <w:color w:val="000000" w:themeColor="text1"/>
            <w:sz w:val="16"/>
            <w:szCs w:val="16"/>
          </w:rPr>
          <w:t>www.airwar.ru/enc/other2/teziutlan.html</w:t>
        </w:r>
      </w:hyperlink>
      <w:r w:rsidRPr="008127F8">
        <w:rPr>
          <w:rFonts w:ascii="Times New Roman" w:hAnsi="Times New Roman"/>
          <w:color w:val="000000" w:themeColor="text1"/>
          <w:sz w:val="16"/>
          <w:szCs w:val="16"/>
        </w:rPr>
        <w:t xml:space="preserve"> , разработанному под руководством инженера Сеа. Незадолго до этого Direccion de la Aeronautica Militar подписала с фирмой Talleres контракт на постройку первой партии из 50 экземпляров. Однако было построено всего три экземпляра. Согласно другим источникам серийных самолётов выпущено не было и в эксплуатации находился только один ЕРТ-1, но и его разобрали в 1949 году.</w:t>
      </w:r>
    </w:p>
    <w:p w14:paraId="433D0EA1"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снимке УТС "Teziutlan":</w:t>
      </w:r>
    </w:p>
    <w:p w14:paraId="186706BD"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437A48BE" w14:textId="77777777" w:rsidR="00D91537" w:rsidRPr="008127F8" w:rsidRDefault="00D9153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февраля</w:t>
      </w:r>
      <w:r w:rsidRPr="008127F8">
        <w:rPr>
          <w:rFonts w:ascii="Times New Roman" w:hAnsi="Times New Roman"/>
          <w:color w:val="000000" w:themeColor="text1"/>
          <w:sz w:val="16"/>
          <w:szCs w:val="16"/>
        </w:rPr>
        <w:t xml:space="preserve"> 1942 - в небе у побережья Лос-Анджелеса армия США расстреляла собственный метеорологический аэростат. Помня о недавнем нападении японцев на Pearl Harbor, западное побережье в любой момент ожидало новой атаки со стороны противника. </w:t>
      </w:r>
      <w:proofErr w:type="gramStart"/>
      <w:r w:rsidRPr="008127F8">
        <w:rPr>
          <w:rFonts w:ascii="Times New Roman" w:hAnsi="Times New Roman"/>
          <w:color w:val="000000" w:themeColor="text1"/>
          <w:sz w:val="16"/>
          <w:szCs w:val="16"/>
        </w:rPr>
        <w:t>Поэтому</w:t>
      </w:r>
      <w:proofErr w:type="gramEnd"/>
      <w:r w:rsidRPr="008127F8">
        <w:rPr>
          <w:rFonts w:ascii="Times New Roman" w:hAnsi="Times New Roman"/>
          <w:color w:val="000000" w:themeColor="text1"/>
          <w:sz w:val="16"/>
          <w:szCs w:val="16"/>
        </w:rPr>
        <w:t xml:space="preserve"> когда ночью "заблудившийся" аэростат начал приближаться </w:t>
      </w:r>
      <w:r w:rsidRPr="008127F8">
        <w:rPr>
          <w:rFonts w:ascii="Times New Roman" w:hAnsi="Times New Roman"/>
          <w:color w:val="000000" w:themeColor="text1"/>
          <w:sz w:val="16"/>
          <w:szCs w:val="16"/>
        </w:rPr>
        <w:lastRenderedPageBreak/>
        <w:t>к берегам Лос-Анджелеса, по подозрительному объекту было выпущено около 1400 снарядов. В результате аэростат даже не замедлил движения, зато на земле три человека были затоптаны толпой, еще трое погибли в результате автомобильной аварии на неосвещенной улице, и один человек скончался от сердечного приступа (15050).</w:t>
      </w:r>
    </w:p>
    <w:p w14:paraId="454570D2" w14:textId="77777777" w:rsidR="00D91537" w:rsidRPr="008127F8" w:rsidRDefault="00D91537" w:rsidP="001E0A84">
      <w:pPr>
        <w:spacing w:after="0" w:line="240" w:lineRule="auto"/>
        <w:jc w:val="both"/>
        <w:rPr>
          <w:rFonts w:ascii="Times New Roman" w:hAnsi="Times New Roman"/>
          <w:color w:val="000000" w:themeColor="text1"/>
          <w:sz w:val="16"/>
          <w:szCs w:val="16"/>
        </w:rPr>
      </w:pPr>
    </w:p>
    <w:p w14:paraId="3E55F619" w14:textId="77777777" w:rsidR="004727E1" w:rsidRPr="008127F8" w:rsidRDefault="004727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24 февраля 1942 снаряды с японской п/л 1-17 обруши</w:t>
      </w:r>
      <w:r w:rsidRPr="008127F8">
        <w:rPr>
          <w:rFonts w:ascii="Times New Roman" w:hAnsi="Times New Roman"/>
          <w:color w:val="000000" w:themeColor="text1"/>
          <w:sz w:val="16"/>
          <w:szCs w:val="16"/>
        </w:rPr>
        <w:softHyphen/>
        <w:t>лись на американскую землю. На бе</w:t>
      </w:r>
      <w:r w:rsidRPr="008127F8">
        <w:rPr>
          <w:rFonts w:ascii="Times New Roman" w:hAnsi="Times New Roman"/>
          <w:color w:val="000000" w:themeColor="text1"/>
          <w:sz w:val="16"/>
          <w:szCs w:val="16"/>
        </w:rPr>
        <w:softHyphen/>
        <w:t>регу были отмечены пожары, а амери</w:t>
      </w:r>
      <w:r w:rsidRPr="008127F8">
        <w:rPr>
          <w:rFonts w:ascii="Times New Roman" w:hAnsi="Times New Roman"/>
          <w:color w:val="000000" w:themeColor="text1"/>
          <w:sz w:val="16"/>
          <w:szCs w:val="16"/>
        </w:rPr>
        <w:softHyphen/>
        <w:t xml:space="preserve">канская служба ПВО даже объявила воздушную тревогу. </w:t>
      </w:r>
      <w:r w:rsidRPr="008127F8">
        <w:rPr>
          <w:rFonts w:ascii="Times New Roman" w:hAnsi="Times New Roman"/>
          <w:color w:val="000000" w:themeColor="text1"/>
          <w:sz w:val="16"/>
          <w:szCs w:val="16"/>
          <w:lang w:eastAsia="ru-RU" w:bidi="ru-RU"/>
        </w:rPr>
        <w:t>23 февраля — для выбора объекта на по</w:t>
      </w:r>
      <w:r w:rsidRPr="008127F8">
        <w:rPr>
          <w:rFonts w:ascii="Times New Roman" w:hAnsi="Times New Roman"/>
          <w:color w:val="000000" w:themeColor="text1"/>
          <w:sz w:val="16"/>
          <w:szCs w:val="16"/>
          <w:lang w:eastAsia="ru-RU" w:bidi="ru-RU"/>
        </w:rPr>
        <w:softHyphen/>
        <w:t>бережье США для артиллерийского</w:t>
      </w:r>
    </w:p>
    <w:p w14:paraId="02CEFDBE" w14:textId="77777777" w:rsidR="004727E1" w:rsidRPr="008127F8" w:rsidRDefault="004727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обстрела (командир 1-17 принял ре</w:t>
      </w:r>
      <w:r w:rsidRPr="008127F8">
        <w:rPr>
          <w:rFonts w:ascii="Times New Roman" w:hAnsi="Times New Roman"/>
          <w:color w:val="000000" w:themeColor="text1"/>
          <w:sz w:val="16"/>
          <w:szCs w:val="16"/>
          <w:lang w:eastAsia="ru-RU" w:bidi="ru-RU"/>
        </w:rPr>
        <w:softHyphen/>
        <w:t>шение провести “акцию устрашения врага”) в результате разведыватель</w:t>
      </w:r>
      <w:r w:rsidRPr="008127F8">
        <w:rPr>
          <w:rFonts w:ascii="Times New Roman" w:hAnsi="Times New Roman"/>
          <w:color w:val="000000" w:themeColor="text1"/>
          <w:sz w:val="16"/>
          <w:szCs w:val="16"/>
          <w:lang w:eastAsia="ru-RU" w:bidi="ru-RU"/>
        </w:rPr>
        <w:softHyphen/>
        <w:t xml:space="preserve">ных полетов бортового </w:t>
      </w:r>
      <w:r w:rsidRPr="008127F8">
        <w:rPr>
          <w:rFonts w:ascii="Times New Roman" w:hAnsi="Times New Roman"/>
          <w:color w:val="000000" w:themeColor="text1"/>
          <w:sz w:val="16"/>
          <w:szCs w:val="16"/>
          <w:lang w:val="en-US" w:bidi="en-US"/>
        </w:rPr>
        <w:t>E</w:t>
      </w:r>
      <w:r w:rsidRPr="008127F8">
        <w:rPr>
          <w:rFonts w:ascii="Times New Roman" w:hAnsi="Times New Roman"/>
          <w:color w:val="000000" w:themeColor="text1"/>
          <w:sz w:val="16"/>
          <w:szCs w:val="16"/>
          <w:lang w:bidi="en-US"/>
        </w:rPr>
        <w:t>14</w:t>
      </w:r>
      <w:r w:rsidRPr="008127F8">
        <w:rPr>
          <w:rFonts w:ascii="Times New Roman" w:hAnsi="Times New Roman"/>
          <w:color w:val="000000" w:themeColor="text1"/>
          <w:sz w:val="16"/>
          <w:szCs w:val="16"/>
          <w:lang w:val="en-US" w:bidi="en-US"/>
        </w:rPr>
        <w:t>Y</w:t>
      </w:r>
      <w:r w:rsidRPr="008127F8">
        <w:rPr>
          <w:rFonts w:ascii="Times New Roman" w:hAnsi="Times New Roman"/>
          <w:color w:val="000000" w:themeColor="text1"/>
          <w:sz w:val="16"/>
          <w:szCs w:val="16"/>
          <w:lang w:bidi="en-US"/>
        </w:rPr>
        <w:t xml:space="preserve">1, </w:t>
      </w:r>
      <w:r w:rsidRPr="008127F8">
        <w:rPr>
          <w:rFonts w:ascii="Times New Roman" w:hAnsi="Times New Roman"/>
          <w:color w:val="000000" w:themeColor="text1"/>
          <w:sz w:val="16"/>
          <w:szCs w:val="16"/>
          <w:lang w:eastAsia="ru-RU" w:bidi="ru-RU"/>
        </w:rPr>
        <w:t>была определена подходящая цель — не</w:t>
      </w:r>
      <w:r w:rsidRPr="008127F8">
        <w:rPr>
          <w:rFonts w:ascii="Times New Roman" w:hAnsi="Times New Roman"/>
          <w:color w:val="000000" w:themeColor="text1"/>
          <w:sz w:val="16"/>
          <w:szCs w:val="16"/>
          <w:lang w:eastAsia="ru-RU" w:bidi="ru-RU"/>
        </w:rPr>
        <w:softHyphen/>
        <w:t>фтеперерабатывающий завод неда</w:t>
      </w:r>
      <w:r w:rsidRPr="008127F8">
        <w:rPr>
          <w:rFonts w:ascii="Times New Roman" w:hAnsi="Times New Roman"/>
          <w:color w:val="000000" w:themeColor="text1"/>
          <w:sz w:val="16"/>
          <w:szCs w:val="16"/>
          <w:lang w:eastAsia="ru-RU" w:bidi="ru-RU"/>
        </w:rPr>
        <w:softHyphen/>
        <w:t>леко от Санта-Барбары.</w:t>
      </w:r>
    </w:p>
    <w:p w14:paraId="59E921A3" w14:textId="77777777" w:rsidR="004727E1" w:rsidRPr="008127F8" w:rsidRDefault="004727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Справедливости ради нужно отметить, что 1-15 была не первой японской подлодкой обстре</w:t>
      </w:r>
      <w:r w:rsidRPr="008127F8">
        <w:rPr>
          <w:rFonts w:ascii="Times New Roman" w:hAnsi="Times New Roman"/>
          <w:color w:val="000000" w:themeColor="text1"/>
          <w:sz w:val="16"/>
          <w:szCs w:val="16"/>
        </w:rPr>
        <w:softHyphen/>
        <w:t>ливавшей Америку, месяцем рань</w:t>
      </w:r>
      <w:r w:rsidRPr="008127F8">
        <w:rPr>
          <w:rFonts w:ascii="Times New Roman" w:hAnsi="Times New Roman"/>
          <w:color w:val="000000" w:themeColor="text1"/>
          <w:sz w:val="16"/>
          <w:szCs w:val="16"/>
        </w:rPr>
        <w:softHyphen/>
        <w:t>ше район Сан-Франциско из своей единственной 76-мм пушки обстре</w:t>
      </w:r>
      <w:r w:rsidRPr="008127F8">
        <w:rPr>
          <w:rFonts w:ascii="Times New Roman" w:hAnsi="Times New Roman"/>
          <w:color w:val="000000" w:themeColor="text1"/>
          <w:sz w:val="16"/>
          <w:szCs w:val="16"/>
        </w:rPr>
        <w:softHyphen/>
        <w:t>ляла японская подлодка Ro-64. После этих успешных рейдов командование флота приказало всем японским суб</w:t>
      </w:r>
      <w:r w:rsidRPr="008127F8">
        <w:rPr>
          <w:rFonts w:ascii="Times New Roman" w:hAnsi="Times New Roman"/>
          <w:color w:val="000000" w:themeColor="text1"/>
          <w:sz w:val="16"/>
          <w:szCs w:val="16"/>
        </w:rPr>
        <w:softHyphen/>
        <w:t>маринам наносить артиллерийские удары по береговым объектам (не в ущерб основному заданию), чтобы вызвать панику и оказать психологи</w:t>
      </w:r>
      <w:r w:rsidRPr="008127F8">
        <w:rPr>
          <w:rFonts w:ascii="Times New Roman" w:hAnsi="Times New Roman"/>
          <w:color w:val="000000" w:themeColor="text1"/>
          <w:sz w:val="16"/>
          <w:szCs w:val="16"/>
        </w:rPr>
        <w:softHyphen/>
        <w:t>ческое воздействие на противника (22807).</w:t>
      </w:r>
    </w:p>
    <w:p w14:paraId="5FBC4C39" w14:textId="77777777" w:rsidR="004727E1" w:rsidRPr="008127F8" w:rsidRDefault="004727E1" w:rsidP="001E0A84">
      <w:pPr>
        <w:spacing w:after="0" w:line="240" w:lineRule="auto"/>
        <w:jc w:val="both"/>
        <w:rPr>
          <w:rFonts w:ascii="Times New Roman" w:hAnsi="Times New Roman"/>
          <w:color w:val="000000" w:themeColor="text1"/>
          <w:sz w:val="16"/>
          <w:szCs w:val="16"/>
        </w:rPr>
      </w:pPr>
    </w:p>
    <w:p w14:paraId="1406134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февраля 1942 начало вещание радио “Голос Америки” (на немецком языке) (4962).</w:t>
      </w:r>
    </w:p>
    <w:p w14:paraId="481EC00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BA4EB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C6BCC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7FA2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Начальник Инспекции ВВС КА полковник В.И. Сталин в своем докладе от командующему ВВС генерал-лей</w:t>
      </w:r>
      <w:r w:rsidRPr="008127F8">
        <w:rPr>
          <w:rFonts w:ascii="Times New Roman" w:hAnsi="Times New Roman"/>
          <w:color w:val="000000" w:themeColor="text1"/>
          <w:sz w:val="16"/>
          <w:szCs w:val="16"/>
        </w:rPr>
        <w:softHyphen/>
        <w:t>тенанту П.Ф. Жигареву и секретарю ЦК ВКП(б) Г.М. Маленко</w:t>
      </w:r>
      <w:r w:rsidRPr="008127F8">
        <w:rPr>
          <w:rFonts w:ascii="Times New Roman" w:hAnsi="Times New Roman"/>
          <w:color w:val="000000" w:themeColor="text1"/>
          <w:sz w:val="16"/>
          <w:szCs w:val="16"/>
        </w:rPr>
        <w:softHyphen/>
        <w:t>ву указывал: «По существу самолеты завода № 1 до сих пор от</w:t>
      </w:r>
      <w:r w:rsidRPr="008127F8">
        <w:rPr>
          <w:rFonts w:ascii="Times New Roman" w:hAnsi="Times New Roman"/>
          <w:color w:val="000000" w:themeColor="text1"/>
          <w:sz w:val="16"/>
          <w:szCs w:val="16"/>
        </w:rPr>
        <w:softHyphen/>
        <w:t>правлять на фронт по их низким качествам невозможно, и по</w:t>
      </w:r>
      <w:r w:rsidRPr="008127F8">
        <w:rPr>
          <w:rFonts w:ascii="Times New Roman" w:hAnsi="Times New Roman"/>
          <w:color w:val="000000" w:themeColor="text1"/>
          <w:sz w:val="16"/>
          <w:szCs w:val="16"/>
        </w:rPr>
        <w:softHyphen/>
        <w:t>этому они пока идут, как учебные, в запасные полки. &lt;...&gt; Самолеты выпускаются с такими недоделками, что они не толь</w:t>
      </w:r>
      <w:r w:rsidRPr="008127F8">
        <w:rPr>
          <w:rFonts w:ascii="Times New Roman" w:hAnsi="Times New Roman"/>
          <w:color w:val="000000" w:themeColor="text1"/>
          <w:sz w:val="16"/>
          <w:szCs w:val="16"/>
        </w:rPr>
        <w:softHyphen/>
        <w:t>ко негодны на фронт, а даже в запасных полках почти не ис</w:t>
      </w:r>
      <w:r w:rsidRPr="008127F8">
        <w:rPr>
          <w:rFonts w:ascii="Times New Roman" w:hAnsi="Times New Roman"/>
          <w:color w:val="000000" w:themeColor="text1"/>
          <w:sz w:val="16"/>
          <w:szCs w:val="16"/>
        </w:rPr>
        <w:softHyphen/>
        <w:t>пользуются. &lt;...&gt; В целом самолеты завода № 1 не гарантируют безопасность полетов, вследствие чего в данное время на них временно приостановлены полеты».</w:t>
      </w:r>
    </w:p>
    <w:p w14:paraId="676403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технической эксплуатации 4-й ВА военин-женер 1-го ранга Лебедев докладывал, что прибывшие в апре</w:t>
      </w:r>
      <w:r w:rsidRPr="008127F8">
        <w:rPr>
          <w:rFonts w:ascii="Times New Roman" w:hAnsi="Times New Roman"/>
          <w:color w:val="000000" w:themeColor="text1"/>
          <w:sz w:val="16"/>
          <w:szCs w:val="16"/>
        </w:rPr>
        <w:softHyphen/>
        <w:t>ле — мае 1942 г. на пополнение авиаполков армии самолеты Ил-2 производства заводов № 1 и № 18 имели волнистую по</w:t>
      </w:r>
      <w:r w:rsidRPr="008127F8">
        <w:rPr>
          <w:rFonts w:ascii="Times New Roman" w:hAnsi="Times New Roman"/>
          <w:color w:val="000000" w:themeColor="text1"/>
          <w:sz w:val="16"/>
          <w:szCs w:val="16"/>
        </w:rPr>
        <w:softHyphen/>
        <w:t>верхность фюзеляжа и значительные неровности в месте со</w:t>
      </w:r>
      <w:r w:rsidRPr="008127F8">
        <w:rPr>
          <w:rFonts w:ascii="Times New Roman" w:hAnsi="Times New Roman"/>
          <w:color w:val="000000" w:themeColor="text1"/>
          <w:sz w:val="16"/>
          <w:szCs w:val="16"/>
        </w:rPr>
        <w:softHyphen/>
        <w:t>членения киля самолета с фюзеляжем.</w:t>
      </w:r>
    </w:p>
    <w:p w14:paraId="02D8F0D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самолеты имели максимальные скорости ниже техниче</w:t>
      </w:r>
      <w:r w:rsidRPr="008127F8">
        <w:rPr>
          <w:rFonts w:ascii="Times New Roman" w:hAnsi="Times New Roman"/>
          <w:color w:val="000000" w:themeColor="text1"/>
          <w:sz w:val="16"/>
          <w:szCs w:val="16"/>
        </w:rPr>
        <w:softHyphen/>
        <w:t>ских данных на 30—50 км/ч, худшую маневренность и тяжелое управление. Почти на всех прибывших машинах воздушная сис</w:t>
      </w:r>
      <w:r w:rsidRPr="008127F8">
        <w:rPr>
          <w:rFonts w:ascii="Times New Roman" w:hAnsi="Times New Roman"/>
          <w:color w:val="000000" w:themeColor="text1"/>
          <w:sz w:val="16"/>
          <w:szCs w:val="16"/>
        </w:rPr>
        <w:softHyphen/>
        <w:t>тема была негерметична и требовала дополнительной регулиров</w:t>
      </w:r>
      <w:r w:rsidRPr="008127F8">
        <w:rPr>
          <w:rFonts w:ascii="Times New Roman" w:hAnsi="Times New Roman"/>
          <w:color w:val="000000" w:themeColor="text1"/>
          <w:sz w:val="16"/>
          <w:szCs w:val="16"/>
        </w:rPr>
        <w:softHyphen/>
        <w:t>ки, что в полевых условиях оказалось занятием трудоемким.</w:t>
      </w:r>
    </w:p>
    <w:p w14:paraId="579C388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Окраска деревянных частей штурмовиков не обеспечивала защиту от проникновения влаги в шпон. В результате с наступ</w:t>
      </w:r>
      <w:r w:rsidRPr="008127F8">
        <w:rPr>
          <w:rFonts w:ascii="Times New Roman" w:hAnsi="Times New Roman"/>
          <w:color w:val="000000" w:themeColor="text1"/>
          <w:sz w:val="16"/>
          <w:szCs w:val="16"/>
        </w:rPr>
        <w:softHyphen/>
        <w:t>лением в середине мая теплой погоды, из-за резкого перепада суточной температуры воздуха произошло «разрушение клее</w:t>
      </w:r>
      <w:r w:rsidRPr="008127F8">
        <w:rPr>
          <w:rFonts w:ascii="Times New Roman" w:hAnsi="Times New Roman"/>
          <w:color w:val="000000" w:themeColor="text1"/>
          <w:sz w:val="16"/>
          <w:szCs w:val="16"/>
        </w:rPr>
        <w:softHyphen/>
        <w:t>вых швов шпангоутов и килевых стоек с фюзеляжем».</w:t>
      </w:r>
    </w:p>
    <w:p w14:paraId="1F3082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следует добавить, что моторы АМ-38 имели также много производственных дефектов и положенного ресурса не вырабатывали. Преждевременный выход их из строя приводил к быстрому накапливанию неисправной материальной части на фронте, срывал боевую работу штурмовых авиаполков и увеличивал аварийность (11474,263).</w:t>
      </w:r>
    </w:p>
    <w:p w14:paraId="2319F6A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0C407F" w14:textId="77777777" w:rsidR="00247E54" w:rsidRPr="008127F8" w:rsidRDefault="00247E54" w:rsidP="001E0A84">
      <w:pPr>
        <w:pStyle w:val="36"/>
        <w:shd w:val="clear" w:color="auto" w:fill="auto"/>
        <w:spacing w:after="0" w:line="240" w:lineRule="auto"/>
        <w:jc w:val="both"/>
        <w:rPr>
          <w:rFonts w:ascii="Times New Roman" w:cs="Times New Roman"/>
          <w:i/>
          <w:iCs/>
          <w:color w:val="000000" w:themeColor="text1"/>
          <w:spacing w:val="0"/>
          <w:sz w:val="16"/>
          <w:szCs w:val="16"/>
        </w:rPr>
      </w:pPr>
      <w:r w:rsidRPr="008127F8">
        <w:rPr>
          <w:rFonts w:ascii="Times New Roman" w:cs="Times New Roman"/>
          <w:color w:val="000000" w:themeColor="text1"/>
          <w:spacing w:val="0"/>
          <w:sz w:val="16"/>
          <w:szCs w:val="16"/>
        </w:rPr>
        <w:t>25 февраля 1942 г. начальник Инспекции ВВС Красной Армии п-к В.И. Сталин докладывал главкому ВВС генералу П.Ф. Жигареву о штурмовиках, построенных заводом № 1</w:t>
      </w:r>
      <w:r w:rsidRPr="008127F8">
        <w:rPr>
          <w:rFonts w:ascii="Times New Roman" w:cs="Times New Roman"/>
          <w:i/>
          <w:iCs/>
          <w:color w:val="000000" w:themeColor="text1"/>
          <w:spacing w:val="0"/>
          <w:sz w:val="16"/>
          <w:szCs w:val="16"/>
        </w:rPr>
        <w:t>:</w:t>
      </w:r>
      <w:r w:rsidRPr="008127F8">
        <w:rPr>
          <w:rStyle w:val="1pt1"/>
          <w:rFonts w:ascii="Times New Roman" w:hAnsi="Times New Roman" w:cs="Times New Roman"/>
          <w:i w:val="0"/>
          <w:iCs w:val="0"/>
          <w:color w:val="000000" w:themeColor="text1"/>
          <w:spacing w:val="0"/>
          <w:sz w:val="16"/>
          <w:szCs w:val="16"/>
        </w:rPr>
        <w:t xml:space="preserve"> «Са</w:t>
      </w:r>
      <w:r w:rsidRPr="008127F8">
        <w:rPr>
          <w:rStyle w:val="1pt1"/>
          <w:rFonts w:ascii="Times New Roman" w:hAnsi="Times New Roman" w:cs="Times New Roman"/>
          <w:i w:val="0"/>
          <w:iCs w:val="0"/>
          <w:color w:val="000000" w:themeColor="text1"/>
          <w:spacing w:val="0"/>
          <w:sz w:val="16"/>
          <w:szCs w:val="16"/>
        </w:rPr>
        <w:softHyphen/>
        <w:t>молеты выпускаются с такими недоделками, что они не только не годны для фронта, а даже в запасных полках почти не исполь</w:t>
      </w:r>
      <w:r w:rsidRPr="008127F8">
        <w:rPr>
          <w:rStyle w:val="1pt1"/>
          <w:rFonts w:ascii="Times New Roman" w:hAnsi="Times New Roman" w:cs="Times New Roman"/>
          <w:i w:val="0"/>
          <w:iCs w:val="0"/>
          <w:color w:val="000000" w:themeColor="text1"/>
          <w:spacing w:val="0"/>
          <w:sz w:val="16"/>
          <w:szCs w:val="16"/>
        </w:rPr>
        <w:softHyphen/>
        <w:t>зуются».</w:t>
      </w:r>
      <w:r w:rsidRPr="008127F8">
        <w:rPr>
          <w:rFonts w:ascii="Times New Roman" w:cs="Times New Roman"/>
          <w:color w:val="000000" w:themeColor="text1"/>
          <w:spacing w:val="0"/>
          <w:sz w:val="16"/>
          <w:szCs w:val="16"/>
        </w:rPr>
        <w:t xml:space="preserve"> Долго удручающим оставалось качество двигателей АМ-38, из-за отказов которых происходили многочисленные аварии и катастрофы «Илов». Во многом сложившееся положе</w:t>
      </w:r>
      <w:r w:rsidRPr="008127F8">
        <w:rPr>
          <w:rFonts w:ascii="Times New Roman" w:cs="Times New Roman"/>
          <w:color w:val="000000" w:themeColor="text1"/>
          <w:spacing w:val="0"/>
          <w:sz w:val="16"/>
          <w:szCs w:val="16"/>
        </w:rPr>
        <w:softHyphen/>
        <w:t>ние было связано с общим подходом к организации производст</w:t>
      </w:r>
      <w:r w:rsidRPr="008127F8">
        <w:rPr>
          <w:rFonts w:ascii="Times New Roman" w:cs="Times New Roman"/>
          <w:color w:val="000000" w:themeColor="text1"/>
          <w:spacing w:val="0"/>
          <w:sz w:val="16"/>
          <w:szCs w:val="16"/>
        </w:rPr>
        <w:softHyphen/>
        <w:t>ва, в основе которого лежало жесткое требование обеспечивать массовый выпуск. Так, по итогам 1-го полугодия 1942 г. помощ</w:t>
      </w:r>
      <w:r w:rsidRPr="008127F8">
        <w:rPr>
          <w:rFonts w:ascii="Times New Roman" w:cs="Times New Roman"/>
          <w:color w:val="000000" w:themeColor="text1"/>
          <w:spacing w:val="0"/>
          <w:sz w:val="16"/>
          <w:szCs w:val="16"/>
        </w:rPr>
        <w:softHyphen/>
        <w:t>ник В.И. Сталина п-к Бугров писал:</w:t>
      </w:r>
      <w:r w:rsidRPr="008127F8">
        <w:rPr>
          <w:rStyle w:val="1pt1"/>
          <w:rFonts w:ascii="Times New Roman" w:hAnsi="Times New Roman" w:cs="Times New Roman"/>
          <w:color w:val="000000" w:themeColor="text1"/>
          <w:spacing w:val="0"/>
          <w:sz w:val="16"/>
          <w:szCs w:val="16"/>
        </w:rPr>
        <w:t xml:space="preserve"> </w:t>
      </w:r>
      <w:r w:rsidRPr="008127F8">
        <w:rPr>
          <w:rStyle w:val="1pt1"/>
          <w:rFonts w:ascii="Times New Roman" w:hAnsi="Times New Roman" w:cs="Times New Roman"/>
          <w:i w:val="0"/>
          <w:iCs w:val="0"/>
          <w:color w:val="000000" w:themeColor="text1"/>
          <w:spacing w:val="0"/>
          <w:sz w:val="16"/>
          <w:szCs w:val="16"/>
        </w:rPr>
        <w:t>«Руководство Наркомата Авиапрома и самих заводов сосредотачивают все свое внима</w:t>
      </w:r>
      <w:r w:rsidRPr="008127F8">
        <w:rPr>
          <w:rStyle w:val="1pt1"/>
          <w:rFonts w:ascii="Times New Roman" w:hAnsi="Times New Roman" w:cs="Times New Roman"/>
          <w:i w:val="0"/>
          <w:iCs w:val="0"/>
          <w:color w:val="000000" w:themeColor="text1"/>
          <w:spacing w:val="0"/>
          <w:sz w:val="16"/>
          <w:szCs w:val="16"/>
        </w:rPr>
        <w:softHyphen/>
        <w:t>ние на увеличении выпуска продукции, тогда как вопросы каче</w:t>
      </w:r>
      <w:r w:rsidRPr="008127F8">
        <w:rPr>
          <w:rStyle w:val="1pt1"/>
          <w:rFonts w:ascii="Times New Roman" w:hAnsi="Times New Roman" w:cs="Times New Roman"/>
          <w:i w:val="0"/>
          <w:iCs w:val="0"/>
          <w:color w:val="000000" w:themeColor="text1"/>
          <w:spacing w:val="0"/>
          <w:sz w:val="16"/>
          <w:szCs w:val="16"/>
        </w:rPr>
        <w:softHyphen/>
        <w:t>ства остаются в стороне, устранение дефектов на заводах зани</w:t>
      </w:r>
      <w:r w:rsidRPr="008127F8">
        <w:rPr>
          <w:rStyle w:val="1pt1"/>
          <w:rFonts w:ascii="Times New Roman" w:hAnsi="Times New Roman" w:cs="Times New Roman"/>
          <w:i w:val="0"/>
          <w:iCs w:val="0"/>
          <w:color w:val="000000" w:themeColor="text1"/>
          <w:spacing w:val="0"/>
          <w:sz w:val="16"/>
          <w:szCs w:val="16"/>
        </w:rPr>
        <w:softHyphen/>
        <w:t>маются мало, дефекты принимают массовый характер...» (19854).</w:t>
      </w:r>
    </w:p>
    <w:p w14:paraId="43134CFC" w14:textId="77777777" w:rsidR="00247E54" w:rsidRPr="008127F8" w:rsidRDefault="00247E54" w:rsidP="001E0A84">
      <w:pPr>
        <w:pStyle w:val="36"/>
        <w:shd w:val="clear" w:color="auto" w:fill="auto"/>
        <w:spacing w:after="0" w:line="240" w:lineRule="auto"/>
        <w:jc w:val="both"/>
        <w:rPr>
          <w:rFonts w:ascii="Times New Roman" w:cs="Times New Roman"/>
          <w:color w:val="000000" w:themeColor="text1"/>
          <w:spacing w:val="0"/>
          <w:sz w:val="16"/>
          <w:szCs w:val="16"/>
        </w:rPr>
      </w:pPr>
    </w:p>
    <w:p w14:paraId="276D054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февраля 1942 г. Начальник Инспекции ВВС КА полковник В.И. Сталин в своем докладе командующему ВВС генерал-полковнику Жигареву и секретарю ЦК ВКП(б) Ма</w:t>
      </w:r>
      <w:r w:rsidRPr="008A2E5A">
        <w:rPr>
          <w:rFonts w:ascii="Times New Roman" w:hAnsi="Times New Roman"/>
          <w:color w:val="0070C0"/>
          <w:sz w:val="16"/>
          <w:szCs w:val="16"/>
        </w:rPr>
        <w:softHyphen/>
        <w:t>ленкову указывал: «По существу самолеты завода № 1 до сих пор отправлять на фронт по их низким качествам не</w:t>
      </w:r>
      <w:r w:rsidRPr="008A2E5A">
        <w:rPr>
          <w:rFonts w:ascii="Times New Roman" w:hAnsi="Times New Roman"/>
          <w:color w:val="0070C0"/>
          <w:sz w:val="16"/>
          <w:szCs w:val="16"/>
        </w:rPr>
        <w:softHyphen/>
        <w:t>возможно и поэтому они пока идут, как учебные, в запасные полки. /.../ Самолеты выпускаются с такими недоделками, что они не только негодны на фронт, а даже в запасных пол</w:t>
      </w:r>
      <w:r w:rsidRPr="008A2E5A">
        <w:rPr>
          <w:rFonts w:ascii="Times New Roman" w:hAnsi="Times New Roman"/>
          <w:color w:val="0070C0"/>
          <w:sz w:val="16"/>
          <w:szCs w:val="16"/>
        </w:rPr>
        <w:softHyphen/>
        <w:t>ках почти не используются. /.../ В целом самолеты завода № 1 не гарантируют безопасность полетов, вследствие чего в данное время на них временно приостановлены полеты» (23346).</w:t>
      </w:r>
    </w:p>
    <w:p w14:paraId="1C6FC5AA" w14:textId="77777777" w:rsidR="000E620A" w:rsidRPr="008A2E5A" w:rsidRDefault="000E620A" w:rsidP="000E620A">
      <w:pPr>
        <w:spacing w:after="0" w:line="240" w:lineRule="auto"/>
        <w:jc w:val="both"/>
        <w:rPr>
          <w:rFonts w:ascii="Times New Roman" w:hAnsi="Times New Roman"/>
          <w:color w:val="0070C0"/>
          <w:sz w:val="16"/>
          <w:szCs w:val="16"/>
        </w:rPr>
      </w:pPr>
    </w:p>
    <w:p w14:paraId="36189413"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25 февраля 1942 г. «тт. Ворожейкин и Куцевалов доложили тт. Сталину, Маленкову, Берия и Жигареву» о высоких боевых качествах самолетов Ил-2 с большим количеством реактив</w:t>
      </w:r>
      <w:r w:rsidRPr="008127F8">
        <w:rPr>
          <w:color w:val="000000" w:themeColor="text1"/>
          <w:sz w:val="16"/>
          <w:szCs w:val="16"/>
        </w:rPr>
        <w:softHyphen/>
        <w:t>ных орудий. По их докладу, «при установке на Ил-2 дополнительных 8 РС-82 устойчивость самолета не ухудшается, скорость понижается на 20 км/ч, зато повышается эффективность самолета».</w:t>
      </w:r>
    </w:p>
    <w:p w14:paraId="67F57F35"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Генералы Г. А. Ворожейкин и Т. Ф. Куцевалов просили «срочно пересмотреть вопрос о возмож</w:t>
      </w:r>
      <w:r w:rsidRPr="008127F8">
        <w:rPr>
          <w:color w:val="000000" w:themeColor="text1"/>
          <w:sz w:val="16"/>
          <w:szCs w:val="16"/>
        </w:rPr>
        <w:softHyphen/>
        <w:t>ности увеличения РС на Ил-2, а для окончательного решения вопроса провести короткие испытания».</w:t>
      </w:r>
    </w:p>
    <w:p w14:paraId="501DFA15"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 В. Ильюшин активно возражал против таких доработок, соглашаясь на установку ракетных орудий в тандем, чтобы не так сильно снижалась скорость полета. Он предложил устано</w:t>
      </w:r>
      <w:r w:rsidRPr="008127F8">
        <w:rPr>
          <w:color w:val="000000" w:themeColor="text1"/>
          <w:sz w:val="16"/>
          <w:szCs w:val="16"/>
        </w:rPr>
        <w:softHyphen/>
        <w:t>вить на Ил-2 «8 флейт с тандемным расположени</w:t>
      </w:r>
      <w:r w:rsidRPr="008127F8">
        <w:rPr>
          <w:color w:val="000000" w:themeColor="text1"/>
          <w:sz w:val="16"/>
          <w:szCs w:val="16"/>
        </w:rPr>
        <w:softHyphen/>
        <w:t>ем всех 16 РС, без ухудшения аэродинамики». Для проведения госиспытаний Ильюшин просил дать «приказание старшему военпреду з-да № 18 о вы</w:t>
      </w:r>
      <w:r w:rsidRPr="008127F8">
        <w:rPr>
          <w:color w:val="000000" w:themeColor="text1"/>
          <w:sz w:val="16"/>
          <w:szCs w:val="16"/>
        </w:rPr>
        <w:softHyphen/>
        <w:t>делении одного самолета».</w:t>
      </w:r>
    </w:p>
    <w:p w14:paraId="290FCBB3"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Ильюшина поддержали начальник НИИ ВВС бригинженер П. И. Федоров и начальник Управле</w:t>
      </w:r>
      <w:r w:rsidRPr="008127F8">
        <w:rPr>
          <w:color w:val="000000" w:themeColor="text1"/>
          <w:sz w:val="16"/>
          <w:szCs w:val="16"/>
        </w:rPr>
        <w:softHyphen/>
        <w:t>ния опытного строительства ГУ ВВС бригинженер Г. П. Лешуков, которые официально заявили о неце</w:t>
      </w:r>
      <w:r w:rsidRPr="008127F8">
        <w:rPr>
          <w:color w:val="000000" w:themeColor="text1"/>
          <w:sz w:val="16"/>
          <w:szCs w:val="16"/>
        </w:rPr>
        <w:softHyphen/>
        <w:t>лесообразности проведения испытаний самолетов Ил-2, «оборудованных по 16 РС по типу самолетов СЗФронта /.../ из-за ухудшения аэродинамики са</w:t>
      </w:r>
      <w:r w:rsidRPr="008127F8">
        <w:rPr>
          <w:color w:val="000000" w:themeColor="text1"/>
          <w:sz w:val="16"/>
          <w:szCs w:val="16"/>
        </w:rPr>
        <w:softHyphen/>
        <w:t>молета». По их оценкам, установка такого количе</w:t>
      </w:r>
      <w:r w:rsidRPr="008127F8">
        <w:rPr>
          <w:color w:val="000000" w:themeColor="text1"/>
          <w:sz w:val="16"/>
          <w:szCs w:val="16"/>
        </w:rPr>
        <w:softHyphen/>
        <w:t>ства РС-82 понизит скорость полета самолета Ил-2 у земли до 357—362 км/ч.</w:t>
      </w:r>
    </w:p>
    <w:p w14:paraId="5E066439"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Заместитель командующего ВВС генерал И. Ф. Петров согласился с этой точкой зрения и 7 марта 1942 г. дал указание начальнику Управле</w:t>
      </w:r>
      <w:r w:rsidRPr="008127F8">
        <w:rPr>
          <w:color w:val="000000" w:themeColor="text1"/>
          <w:sz w:val="16"/>
          <w:szCs w:val="16"/>
        </w:rPr>
        <w:softHyphen/>
        <w:t>ния заказов самолетов и моторов ГУ ВВС бригин- женеру Я. Л. Бибикову «выделить один самолет Ил-2 для реализации на нем предложения тов. Ильюши</w:t>
      </w:r>
      <w:r w:rsidRPr="008127F8">
        <w:rPr>
          <w:color w:val="000000" w:themeColor="text1"/>
          <w:sz w:val="16"/>
          <w:szCs w:val="16"/>
        </w:rPr>
        <w:softHyphen/>
        <w:t>на и проведения гос. испытания».</w:t>
      </w:r>
    </w:p>
    <w:p w14:paraId="363FC283"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план опытного самолетостроения на 1942 г. была включена постройка варианта Ил-2 с подве</w:t>
      </w:r>
      <w:r w:rsidRPr="008127F8">
        <w:rPr>
          <w:color w:val="000000" w:themeColor="text1"/>
          <w:sz w:val="16"/>
          <w:szCs w:val="16"/>
        </w:rPr>
        <w:softHyphen/>
        <w:t>ской 16 РС-132 в тандем.</w:t>
      </w:r>
    </w:p>
    <w:p w14:paraId="4715F355"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этому времени такое ракетное орудие, рассчи</w:t>
      </w:r>
      <w:r w:rsidRPr="008127F8">
        <w:rPr>
          <w:color w:val="000000" w:themeColor="text1"/>
          <w:sz w:val="16"/>
          <w:szCs w:val="16"/>
        </w:rPr>
        <w:softHyphen/>
        <w:t>танное на подвеску 2 РС-82 в тандем, было разра</w:t>
      </w:r>
      <w:r w:rsidRPr="008127F8">
        <w:rPr>
          <w:color w:val="000000" w:themeColor="text1"/>
          <w:sz w:val="16"/>
          <w:szCs w:val="16"/>
        </w:rPr>
        <w:softHyphen/>
        <w:t>ботано в ОКБ завода № 464 НКАП и к 7 марта 1942 г. прошло заводские испытания.</w:t>
      </w:r>
    </w:p>
    <w:p w14:paraId="3024D241" w14:textId="77777777" w:rsidR="00630310" w:rsidRPr="008127F8" w:rsidRDefault="00630310" w:rsidP="001E0A84">
      <w:pPr>
        <w:pStyle w:val="12a"/>
        <w:shd w:val="clear" w:color="auto" w:fill="auto"/>
        <w:tabs>
          <w:tab w:val="left" w:pos="198"/>
        </w:tabs>
        <w:spacing w:after="0" w:line="240" w:lineRule="auto"/>
        <w:jc w:val="both"/>
        <w:rPr>
          <w:color w:val="000000" w:themeColor="text1"/>
          <w:sz w:val="16"/>
          <w:szCs w:val="16"/>
        </w:rPr>
      </w:pPr>
      <w:r w:rsidRPr="008127F8">
        <w:rPr>
          <w:color w:val="000000" w:themeColor="text1"/>
          <w:sz w:val="16"/>
          <w:szCs w:val="16"/>
        </w:rPr>
        <w:t>Под каждой плоскостью Ил-2 устанавливались 8 РОТ-82 (РО-82 тандем) по 2 РС-82 на каждое ору</w:t>
      </w:r>
      <w:r w:rsidRPr="008127F8">
        <w:rPr>
          <w:color w:val="000000" w:themeColor="text1"/>
          <w:sz w:val="16"/>
          <w:szCs w:val="16"/>
        </w:rPr>
        <w:softHyphen/>
        <w:t>дие. Стрельба из РОТ-82 велась одиночно, залпами из 2, 4 и 8 снарядов. Для управления стрельбой из РОТ-82 в кабине пилота устанавливался дополни</w:t>
      </w:r>
      <w:r w:rsidRPr="008127F8">
        <w:rPr>
          <w:color w:val="000000" w:themeColor="text1"/>
          <w:sz w:val="16"/>
          <w:szCs w:val="16"/>
        </w:rPr>
        <w:softHyphen/>
        <w:t>тельный электросбрасыватель ЭСБР-3п, а на ручке управления самолетом монтировалась кнопка.</w:t>
      </w:r>
    </w:p>
    <w:p w14:paraId="0FA2E14E"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период с 1 1 мая по 8 июня 1 942 г. РОТ-82 дважды проходили полигонные испытания на НИП АВ ВВС. И оба раза неудачно. Дело в том, что под воздействием газовой струи переднего РС в мо</w:t>
      </w:r>
      <w:r w:rsidRPr="008127F8">
        <w:rPr>
          <w:color w:val="000000" w:themeColor="text1"/>
          <w:sz w:val="16"/>
          <w:szCs w:val="16"/>
        </w:rPr>
        <w:softHyphen/>
        <w:t>мент выстрела ветрянка взрывателя заднего сна</w:t>
      </w:r>
      <w:r w:rsidRPr="008127F8">
        <w:rPr>
          <w:color w:val="000000" w:themeColor="text1"/>
          <w:sz w:val="16"/>
          <w:szCs w:val="16"/>
        </w:rPr>
        <w:softHyphen/>
        <w:t>ряда деформировалась и даже срывалась совсем. Установка предохранительной заслонки хотя и за</w:t>
      </w:r>
      <w:r w:rsidRPr="008127F8">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8127F8">
        <w:rPr>
          <w:color w:val="000000" w:themeColor="text1"/>
          <w:sz w:val="16"/>
          <w:szCs w:val="16"/>
        </w:rPr>
        <w:softHyphen/>
        <w:t>ки, деформировались и даже срезались.</w:t>
      </w:r>
    </w:p>
    <w:p w14:paraId="76AA3111"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Испытания проводили: от НИП АВ ВВС — на</w:t>
      </w:r>
      <w:r w:rsidRPr="008127F8">
        <w:rPr>
          <w:color w:val="000000" w:themeColor="text1"/>
          <w:sz w:val="16"/>
          <w:szCs w:val="16"/>
        </w:rPr>
        <w:softHyphen/>
        <w:t>чальник стрелково-пушечной группы инженер-май</w:t>
      </w:r>
      <w:r w:rsidRPr="008127F8">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8127F8">
        <w:rPr>
          <w:color w:val="000000" w:themeColor="text1"/>
          <w:sz w:val="16"/>
          <w:szCs w:val="16"/>
        </w:rPr>
        <w:softHyphen/>
        <w:t>жению Воробей.</w:t>
      </w:r>
    </w:p>
    <w:p w14:paraId="7A29612B" w14:textId="77777777" w:rsidR="00630310" w:rsidRPr="008127F8" w:rsidRDefault="0063031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заключении акта по испытаниям констатиро</w:t>
      </w:r>
      <w:r w:rsidRPr="008127F8">
        <w:rPr>
          <w:color w:val="000000" w:themeColor="text1"/>
          <w:sz w:val="16"/>
          <w:szCs w:val="16"/>
        </w:rPr>
        <w:softHyphen/>
        <w:t>валось, что «ракетная установка под РС-82 с рас</w:t>
      </w:r>
      <w:r w:rsidRPr="008127F8">
        <w:rPr>
          <w:color w:val="000000" w:themeColor="text1"/>
          <w:sz w:val="16"/>
          <w:szCs w:val="16"/>
        </w:rPr>
        <w:softHyphen/>
        <w:t>положением их тандемом (один за другим) /.../ испытаний не выдержала, как конструктивно недо</w:t>
      </w:r>
      <w:r w:rsidRPr="008127F8">
        <w:rPr>
          <w:color w:val="000000" w:themeColor="text1"/>
          <w:sz w:val="16"/>
          <w:szCs w:val="16"/>
        </w:rPr>
        <w:softHyphen/>
        <w:t>работанная». Дальнейшее развитие эта работа не получила (17500).</w:t>
      </w:r>
    </w:p>
    <w:p w14:paraId="2081A28A" w14:textId="77777777" w:rsidR="00630310" w:rsidRPr="008127F8" w:rsidRDefault="00630310" w:rsidP="001E0A84">
      <w:pPr>
        <w:spacing w:after="0" w:line="240" w:lineRule="auto"/>
        <w:jc w:val="both"/>
        <w:rPr>
          <w:rFonts w:ascii="Times New Roman" w:eastAsia="Times New Roman" w:hAnsi="Times New Roman"/>
          <w:color w:val="000000" w:themeColor="text1"/>
          <w:sz w:val="16"/>
          <w:szCs w:val="16"/>
          <w:lang w:eastAsia="ru-RU"/>
        </w:rPr>
      </w:pPr>
    </w:p>
    <w:p w14:paraId="28453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Зам. НКАП Кузнецов писал письмо N Н-8/644 Зам. нач. 10 ГУ НКАП З.М.Гартенштейн (копия Дир. завода 264 Зернову (Сталинград) было написано письмо с предложением немедленно дать указание заводам 18 (бронекорпуса Ил-2), 22 (бронедетали Пе-2), 39, 124 (бронедетали Пе-2), 125 (бронедетали Пе-2), 126 (бронеспинки А-35 и спецброня ДБ-3Ф) об оплате счетов за полученные с завода 264 бронеизделия (1685,28).</w:t>
      </w:r>
    </w:p>
    <w:p w14:paraId="030CA1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686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года на госу</w:t>
      </w:r>
      <w:r w:rsidRPr="008127F8">
        <w:rPr>
          <w:rFonts w:ascii="Times New Roman" w:hAnsi="Times New Roman"/>
          <w:color w:val="000000" w:themeColor="text1"/>
          <w:sz w:val="16"/>
          <w:szCs w:val="16"/>
        </w:rPr>
        <w:softHyphen/>
        <w:t>дарственные испытания предъявили серийный самолет Су-2 М-82 №15116. До 24 апреля летчик-испытатель НИИ ВВС КА капитан С.М.Коробов выполнил на самолете 35 полетов, из них 23 с лыжным шасси. Общий налет составил 22 часа 15 минут.</w:t>
      </w:r>
    </w:p>
    <w:p w14:paraId="27AD45A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отчета по госиспыта</w:t>
      </w:r>
      <w:r w:rsidRPr="008127F8">
        <w:rPr>
          <w:rFonts w:ascii="Times New Roman" w:hAnsi="Times New Roman"/>
          <w:color w:val="000000" w:themeColor="text1"/>
          <w:sz w:val="16"/>
          <w:szCs w:val="16"/>
        </w:rPr>
        <w:softHyphen/>
        <w:t>ниям отмечалось, что: «Установка на самолет Су-2 мотора М-82 с номи</w:t>
      </w:r>
      <w:r w:rsidRPr="008127F8">
        <w:rPr>
          <w:rFonts w:ascii="Times New Roman" w:hAnsi="Times New Roman"/>
          <w:color w:val="000000" w:themeColor="text1"/>
          <w:sz w:val="16"/>
          <w:szCs w:val="16"/>
        </w:rPr>
        <w:softHyphen/>
        <w:t>нальной мощностью у земли 1400 л.с., взамен ранее стоявшего мото</w:t>
      </w:r>
      <w:r w:rsidRPr="008127F8">
        <w:rPr>
          <w:rFonts w:ascii="Times New Roman" w:hAnsi="Times New Roman"/>
          <w:color w:val="000000" w:themeColor="text1"/>
          <w:sz w:val="16"/>
          <w:szCs w:val="16"/>
        </w:rPr>
        <w:softHyphen/>
        <w:t>ра М-88 Б с номинальной мощнос</w:t>
      </w:r>
      <w:r w:rsidRPr="008127F8">
        <w:rPr>
          <w:rFonts w:ascii="Times New Roman" w:hAnsi="Times New Roman"/>
          <w:color w:val="000000" w:themeColor="text1"/>
          <w:sz w:val="16"/>
          <w:szCs w:val="16"/>
        </w:rPr>
        <w:softHyphen/>
        <w:t>тью у земли 950 л.с., значительно повысила летные данные самолета...»</w:t>
      </w:r>
    </w:p>
    <w:p w14:paraId="3D55D4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был выявлен ряд недостатков как по самолету, так и по силовой установке (11849).</w:t>
      </w:r>
    </w:p>
    <w:p w14:paraId="20B52C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196E9" w14:textId="77777777" w:rsidR="00DA7727" w:rsidRPr="008127F8" w:rsidRDefault="00DA7727" w:rsidP="001E0A84">
      <w:pPr>
        <w:pStyle w:val="a4"/>
        <w:rPr>
          <w:color w:val="000000" w:themeColor="text1"/>
          <w:lang w:val="ru-RU"/>
        </w:rPr>
      </w:pPr>
      <w:r w:rsidRPr="008127F8">
        <w:rPr>
          <w:color w:val="000000" w:themeColor="text1"/>
          <w:lang w:val="ru-RU"/>
        </w:rPr>
        <w:t>25 февраля 1942 года на государственные испытания предъявили серийный самолёт Су-2 М-82 №15116.</w:t>
      </w:r>
    </w:p>
    <w:p w14:paraId="43876374" w14:textId="77777777" w:rsidR="00DA7727" w:rsidRPr="008127F8" w:rsidRDefault="00DA7727" w:rsidP="001E0A84">
      <w:pPr>
        <w:pStyle w:val="a4"/>
        <w:rPr>
          <w:color w:val="000000" w:themeColor="text1"/>
          <w:lang w:val="ru-RU"/>
        </w:rPr>
      </w:pPr>
      <w:r w:rsidRPr="008127F8">
        <w:rPr>
          <w:color w:val="000000" w:themeColor="text1"/>
          <w:lang w:val="ru-RU"/>
        </w:rPr>
        <w:t>До 24 апреля лётчик-испытатель НИИ ВВС КА капитан С.М. Коробов выполнил на самолёте 35 полётов, из них 23 с лыжным шасси. Общий налёт составил 22 часа 15 минут.</w:t>
      </w:r>
    </w:p>
    <w:p w14:paraId="3BFF27D1" w14:textId="77777777" w:rsidR="00DA7727" w:rsidRPr="008127F8" w:rsidRDefault="00DA7727" w:rsidP="001E0A84">
      <w:pPr>
        <w:pStyle w:val="a4"/>
        <w:rPr>
          <w:color w:val="000000" w:themeColor="text1"/>
          <w:lang w:val="ru-RU"/>
        </w:rPr>
      </w:pPr>
      <w:r w:rsidRPr="008127F8">
        <w:rPr>
          <w:color w:val="000000" w:themeColor="text1"/>
          <w:lang w:val="ru-RU"/>
        </w:rPr>
        <w:lastRenderedPageBreak/>
        <w:t>В выводах отчёта по госиспытаниям отмечалось, что установка на самолёт Су-2 мото</w:t>
      </w:r>
      <w:r w:rsidRPr="008127F8">
        <w:rPr>
          <w:color w:val="000000" w:themeColor="text1"/>
          <w:lang w:val="ru-RU"/>
        </w:rPr>
        <w:softHyphen/>
        <w:t>ра М-82 с номинальной мощностью у земли 1400 л.е., взамен ранее стоявшего мотора М-88Б с номинальной мощностью у земли 950 л.е., значительно повысила лётные данные самолёта.</w:t>
      </w:r>
    </w:p>
    <w:p w14:paraId="46A74C20" w14:textId="77777777" w:rsidR="00DA7727" w:rsidRPr="008127F8" w:rsidRDefault="00DA7727" w:rsidP="001E0A84">
      <w:pPr>
        <w:pStyle w:val="a4"/>
        <w:rPr>
          <w:color w:val="000000" w:themeColor="text1"/>
          <w:lang w:val="ru-RU"/>
        </w:rPr>
      </w:pPr>
      <w:r w:rsidRPr="008127F8">
        <w:rPr>
          <w:color w:val="000000" w:themeColor="text1"/>
          <w:lang w:val="ru-RU"/>
        </w:rPr>
        <w:t>Вместе с тем были выявлен ряд недостатков, как по самолёту, так и по силовой уста</w:t>
      </w:r>
      <w:r w:rsidRPr="008127F8">
        <w:rPr>
          <w:color w:val="000000" w:themeColor="text1"/>
          <w:lang w:val="ru-RU"/>
        </w:rPr>
        <w:softHyphen/>
        <w:t>новке (15975).</w:t>
      </w:r>
    </w:p>
    <w:p w14:paraId="1B20413E" w14:textId="77777777" w:rsidR="00DA7727" w:rsidRPr="008127F8" w:rsidRDefault="00DA7727" w:rsidP="001E0A84">
      <w:pPr>
        <w:pStyle w:val="a4"/>
        <w:rPr>
          <w:color w:val="000000" w:themeColor="text1"/>
          <w:lang w:val="ru-RU"/>
        </w:rPr>
      </w:pPr>
    </w:p>
    <w:p w14:paraId="3F73A44A" w14:textId="77777777" w:rsidR="004A3B1D" w:rsidRPr="008127F8" w:rsidRDefault="004A3B1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25 февраля 1942 г. на государствен</w:t>
      </w:r>
      <w:r w:rsidRPr="008127F8">
        <w:rPr>
          <w:rFonts w:ascii="Times New Roman" w:cs="Times New Roman"/>
          <w:color w:val="000000" w:themeColor="text1"/>
          <w:spacing w:val="0"/>
        </w:rPr>
        <w:softHyphen/>
        <w:t>ные испытания в НИИ ВВС предъявили серийный Су-2 № 15116 с двигателем М-82. Кроме мотора, он отличался вин</w:t>
      </w:r>
      <w:r w:rsidRPr="008127F8">
        <w:rPr>
          <w:rFonts w:ascii="Times New Roman" w:cs="Times New Roman"/>
          <w:color w:val="000000" w:themeColor="text1"/>
          <w:spacing w:val="0"/>
        </w:rPr>
        <w:softHyphen/>
        <w:t>том ВИШ-21 и бронезащитой штурмана На нем были установлены четыре пуле</w:t>
      </w:r>
      <w:r w:rsidRPr="008127F8">
        <w:rPr>
          <w:rFonts w:ascii="Times New Roman" w:cs="Times New Roman"/>
          <w:color w:val="000000" w:themeColor="text1"/>
          <w:spacing w:val="0"/>
        </w:rPr>
        <w:softHyphen/>
        <w:t>мета ШКАС в крыле, один на турели и еще один - в нижнем люке Зато сняли радиостанцию РСБ. радиополукомпас РПК-2 и фотоаппарат АФА-13.</w:t>
      </w:r>
    </w:p>
    <w:p w14:paraId="527290A2" w14:textId="77777777" w:rsidR="004A3B1D" w:rsidRPr="008127F8" w:rsidRDefault="004A3B1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До 24 апреля летчик-испытатель капитан С М Коробов выполнил 35 полетов, из них 23 - на лыжном шасси Общий налет составил 22 часа 15 минут Монтаж на этой машине мотора с номи</w:t>
      </w:r>
      <w:r w:rsidRPr="008127F8">
        <w:rPr>
          <w:rFonts w:ascii="Times New Roman" w:cs="Times New Roman"/>
          <w:color w:val="000000" w:themeColor="text1"/>
          <w:spacing w:val="0"/>
        </w:rPr>
        <w:softHyphen/>
        <w:t>нальной мощностью у земли 1400 л.с. взамен М-88Б в 950 л.с. значительно повысил ее летные данные Вместе с тем выявили ряд недостатков самолета и его силовой установки.</w:t>
      </w:r>
    </w:p>
    <w:p w14:paraId="10238A52" w14:textId="77777777" w:rsidR="004A3B1D" w:rsidRPr="008127F8" w:rsidRDefault="004A3B1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марте - июне 1942 г. Су-2 с мо</w:t>
      </w:r>
      <w:r w:rsidRPr="008127F8">
        <w:rPr>
          <w:rFonts w:ascii="Times New Roman" w:cs="Times New Roman"/>
          <w:color w:val="000000" w:themeColor="text1"/>
          <w:spacing w:val="0"/>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Мотор М-82 обед</w:t>
      </w:r>
      <w:r w:rsidRPr="008127F8">
        <w:rPr>
          <w:rFonts w:ascii="Times New Roman" w:cs="Times New Roman"/>
          <w:color w:val="000000" w:themeColor="text1"/>
          <w:spacing w:val="0"/>
        </w:rPr>
        <w:softHyphen/>
        <w:t>нение смазкой его трущихся деталей выносит достаточно надежно В случае повреждения маслосистемы полет в те</w:t>
      </w:r>
      <w:r w:rsidRPr="008127F8">
        <w:rPr>
          <w:rFonts w:ascii="Times New Roman" w:cs="Times New Roman"/>
          <w:color w:val="000000" w:themeColor="text1"/>
          <w:spacing w:val="0"/>
        </w:rPr>
        <w:softHyphen/>
        <w:t>чение 2-3 минут без давления не влечет за собой разрушение мотора» (19102).</w:t>
      </w:r>
    </w:p>
    <w:p w14:paraId="3E7E1BBE" w14:textId="77777777" w:rsidR="004A3B1D" w:rsidRPr="008127F8" w:rsidRDefault="004A3B1D" w:rsidP="001E0A84">
      <w:pPr>
        <w:pStyle w:val="27"/>
        <w:shd w:val="clear" w:color="auto" w:fill="auto"/>
        <w:spacing w:after="0" w:line="240" w:lineRule="auto"/>
        <w:ind w:firstLine="0"/>
        <w:rPr>
          <w:rFonts w:ascii="Times New Roman" w:cs="Times New Roman"/>
          <w:color w:val="000000" w:themeColor="text1"/>
          <w:spacing w:val="0"/>
        </w:rPr>
      </w:pPr>
    </w:p>
    <w:p w14:paraId="06FB2B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Ком. 3АД ДД Голованов и ГИ Марков писали письмо N 0317 НКАП Дементьеву и Зам. Нач. ВВС Петрову:</w:t>
      </w:r>
    </w:p>
    <w:p w14:paraId="6CBEDC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"Представляю заключение по люковой установке под п Березина 12,7 мм, разработанной и-тс 3 АД ДД и прошу для вооружения этими установками самолетов ДБ-3Ф 3 АД ДД выделить к 1 марта 60 комплектов:</w:t>
      </w:r>
    </w:p>
    <w:p w14:paraId="711A3E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лафетов под УБ люковой установки Пе-2</w:t>
      </w:r>
    </w:p>
    <w:p w14:paraId="16D8A6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Патронных ящиков ЛУ Пе-2</w:t>
      </w:r>
    </w:p>
    <w:p w14:paraId="10896E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Гибких рукавов питания Пе-2 с увеличением длинны на 25 звеньев.</w:t>
      </w:r>
    </w:p>
    <w:p w14:paraId="035958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ускорения перевооружения прошу выделить в помощь техсоставу бригаду с завода 43.</w:t>
      </w:r>
    </w:p>
    <w:p w14:paraId="15A0B4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еще большего увеличения обороноспособности ДБ-3Ф прошу ускорить изготовление для ДБ-3Ф верхних турельных установок с УБ 12.7 мм конструкции Шебанова и выдать первые 60 комплектов для установки на машины 3 АД ДД. Эти установки испытаны и приняты на вооружение ДБ-3Ф." (1535,153).</w:t>
      </w:r>
    </w:p>
    <w:p w14:paraId="5140C5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01C1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ранее 25 февраля — не позднее 1 марта 1942 г. Указание И. В. Сталина Л. П. Берии и Г. М. Маленкову о срочных задачах авиапромышленности</w:t>
      </w:r>
    </w:p>
    <w:p w14:paraId="12C330A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главный лимит в авиапро[омышленно]сти = моторы (105-П, 105-Р, М-34). Чтобы двинуть дело вперед, надо расшить этот момент;</w:t>
      </w:r>
    </w:p>
    <w:p w14:paraId="652EE96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нужно поставить в Москве пр[оизводст]</w:t>
      </w:r>
      <w:proofErr w:type="gramStart"/>
      <w:r w:rsidRPr="008A2E5A">
        <w:rPr>
          <w:rFonts w:ascii="Times New Roman" w:hAnsi="Times New Roman"/>
          <w:color w:val="0070C0"/>
          <w:sz w:val="16"/>
          <w:szCs w:val="16"/>
        </w:rPr>
        <w:t>во самолетов</w:t>
      </w:r>
      <w:proofErr w:type="gramEnd"/>
      <w:r w:rsidRPr="008A2E5A">
        <w:rPr>
          <w:rFonts w:ascii="Times New Roman" w:hAnsi="Times New Roman"/>
          <w:color w:val="0070C0"/>
          <w:sz w:val="16"/>
          <w:szCs w:val="16"/>
        </w:rPr>
        <w:t xml:space="preserve"> ДБ-ЗФ, используя для этого корпус завода № 39 в Москве и рабочие кадры;</w:t>
      </w:r>
    </w:p>
    <w:p w14:paraId="53BE34F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нужно восстановить в Иркутске на заводе № 39 пр[оизводст]во самолетов Пе-3 (дальние истребители), заменив частично пулеметы Березина ШВАКами на самолете.</w:t>
      </w:r>
    </w:p>
    <w:p w14:paraId="4301F7C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двинуть все эти дела в срочном порядке.</w:t>
      </w:r>
    </w:p>
    <w:p w14:paraId="3D8BCBF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371D66F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68-69. Автограф черным карандашом (23919).</w:t>
      </w:r>
    </w:p>
    <w:p w14:paraId="7E036166" w14:textId="77777777" w:rsidR="000E620A" w:rsidRPr="008A2E5A" w:rsidRDefault="000E620A" w:rsidP="000E620A">
      <w:pPr>
        <w:spacing w:after="0" w:line="240" w:lineRule="auto"/>
        <w:jc w:val="both"/>
        <w:rPr>
          <w:rFonts w:ascii="Times New Roman" w:hAnsi="Times New Roman"/>
          <w:color w:val="0070C0"/>
          <w:sz w:val="16"/>
          <w:szCs w:val="16"/>
        </w:rPr>
      </w:pPr>
    </w:p>
    <w:p w14:paraId="41640B7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ранее 25 февраля — не позднее 1 марта 1942 г.</w:t>
      </w:r>
    </w:p>
    <w:p w14:paraId="3619449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Указание И. В. Сталина Л. П. Берии и Г. М. Маленкову о срочных задачах авиапромышленности</w:t>
      </w:r>
    </w:p>
    <w:p w14:paraId="0269966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Помните1 2*:</w:t>
      </w:r>
    </w:p>
    <w:p w14:paraId="27BB815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главный лимит в авиапро[омышленно]сти = моторы (105-П, 105-Р, М-34). Чтобы двинуть дело вперед, надо расшить этот момент;</w:t>
      </w:r>
    </w:p>
    <w:p w14:paraId="5F5E194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нужно поставить в Москве пр[оизводст]</w:t>
      </w:r>
      <w:proofErr w:type="gramStart"/>
      <w:r w:rsidRPr="008A2E5A">
        <w:rPr>
          <w:rFonts w:ascii="Times New Roman" w:hAnsi="Times New Roman"/>
          <w:color w:val="0070C0"/>
          <w:sz w:val="16"/>
          <w:szCs w:val="16"/>
        </w:rPr>
        <w:t>во самолетов</w:t>
      </w:r>
      <w:proofErr w:type="gramEnd"/>
      <w:r w:rsidRPr="008A2E5A">
        <w:rPr>
          <w:rFonts w:ascii="Times New Roman" w:hAnsi="Times New Roman"/>
          <w:color w:val="0070C0"/>
          <w:sz w:val="16"/>
          <w:szCs w:val="16"/>
        </w:rPr>
        <w:t xml:space="preserve"> ДБ-ЗФ, используя для этого корпус завода № 39 в Москве и рабочие кадры;</w:t>
      </w:r>
    </w:p>
    <w:p w14:paraId="37FDE4B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нужно восстановить в Иркутске на заводе № 39 пр[оизводст]во самолетов Пе-3 (дальние истребители5*), заменив частично пулеметы Березина ШВАКами на самолете.</w:t>
      </w:r>
    </w:p>
    <w:p w14:paraId="223BDB0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двинуть все эти дела в срочном порядке.</w:t>
      </w:r>
    </w:p>
    <w:p w14:paraId="6D4D9AB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55363BA5"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68-69. Автограф черным карандашом (23634).</w:t>
      </w:r>
    </w:p>
    <w:p w14:paraId="1C9B13DE" w14:textId="77777777" w:rsidR="000E620A" w:rsidRPr="008A2E5A" w:rsidRDefault="000E620A" w:rsidP="000E620A">
      <w:pPr>
        <w:spacing w:after="0" w:line="240" w:lineRule="auto"/>
        <w:jc w:val="both"/>
        <w:rPr>
          <w:rFonts w:ascii="Times New Roman" w:hAnsi="Times New Roman"/>
          <w:color w:val="0070C0"/>
          <w:sz w:val="16"/>
          <w:szCs w:val="16"/>
        </w:rPr>
      </w:pPr>
    </w:p>
    <w:p w14:paraId="3CDC88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начались гос. испытания бомбардировщика Су-4 (274).</w:t>
      </w:r>
    </w:p>
    <w:p w14:paraId="737955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1E3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февраля по 23 апреля 1942 проходили гос. испытания Су-4 с М-82 (200,28).</w:t>
      </w:r>
    </w:p>
    <w:p w14:paraId="5F0B8A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4C5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был подписан проект одноместного истребителя П.О.С. с М-71 (1454,64).</w:t>
      </w:r>
    </w:p>
    <w:p w14:paraId="75B51B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ED2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Зам. Нач. 7 ГУ НКАП Алексеев подготовил для А.И.Ш. проектные данные по 102 машине В.М.М. с М-120ТК (1684,68).</w:t>
      </w:r>
    </w:p>
    <w:p w14:paraId="2DDACD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6B8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закончился выпуск Як-1 на лыжах, который шел с сентября 1941 и всего сделали около 830 (65,52).</w:t>
      </w:r>
    </w:p>
    <w:p w14:paraId="22D8E0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6C9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25 февраля 1942 с сентября 1942 выпустили 830 Як-1 на лыжах (65,52).</w:t>
      </w:r>
    </w:p>
    <w:p w14:paraId="51D2EB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F0291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февраля 1942 г. Доклад заместителя командующего ВВС Красной армии И. Ф. Петрова председателю ГКО СССР И. В. Сталину о мерах по устранению недостатков в работе запасных полков и военной приемки</w:t>
      </w:r>
    </w:p>
    <w:p w14:paraId="646479B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7D9D798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Вашему указанию докладываю о мерах, принятых для устранения выявленных мною недостатков в работе запасных полков и военной приемки.</w:t>
      </w:r>
    </w:p>
    <w:p w14:paraId="1D4D18E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начале февраля сего года в Сейме находилось 4 полка (74-й истребительный] авиационный] п[олк], 255-й потребительный] авиационный] п[олк], 10-й потребительный] авиационный] п[олк] и б[ез] номера потребительный] авиационный] п[олк]), не имевшие материальной части. Технический состав этих полков, не имея материальной части, ничего не делал и не только не приобретал, но терял свою квалификацию. В это же время на аэродроме завода № 21 в Горьком скопился 241 самолет ЛаГГ-3, и технический состав завода № 21, обслуживающий аэродром, не был в состоянии быстро подготовить все эти самолеты3*.</w:t>
      </w:r>
    </w:p>
    <w:p w14:paraId="31C1010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Мною было дано распоряжение командиру 2-й з[апасной] авиационной] б[ригады] направить на завод № 21 технический состав 745-го потребительного] авиационного] п[олка], 255-го потребительного] авиационного] п[олка], 10-го потребительного] авиационного] п[олка] и б[ез] номера потребительного] авиационного] п[олка], с задачей самим подготовить самолеты для своих полков и одновременно изучить материальную часть.</w:t>
      </w:r>
    </w:p>
    <w:p w14:paraId="545047D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в полках готовых к бою самолетов имеется: в б[ез] номера потребительном] а[виационном] п[олку] — 20; в 255-м потребительном] а[виационном] п[олку] — 21; в 745-м потребительном] а[виационном] п[олку] — 20; в 10-м потребительном] а[виационном] п[олку] — 15, один облетанный и четыре, подготовленных к облету самолетов. Этот полк получил самолеты от завода значительно позже, чем остальные. Считаю, что такая практика использования технического состава запасных полков может быть применена и на других самолетных заводах при загрузке их аэродромов.</w:t>
      </w:r>
    </w:p>
    <w:p w14:paraId="26E12A6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Работу по формированию запасных и маршевых полков самолетов Ил-2 сильно затруднил выявившийся в зимнее время серьезный дефект моторов АМ-38 — трещины головок цилиндровых блоков. В начале февраля сего года мною были даны указания частям ВВС КА о переводе эксплуатации моторов АМ-38 на антифриз. При отсутствии антифриза введен обязательный прогрев головок цилиндров блоков мотора перед его запуском лампой АПЛ-1. Эти мероприятия резко сократили дефект трещин головок цилиндровых блоков.</w:t>
      </w:r>
    </w:p>
    <w:p w14:paraId="27253BD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облегчения условий эксплуатации материальной части в зимнее время летно-технический состав запасных полков в начале февраля сего года был обеспечен инструкциями по эксплуатации авиамоторов в зимнее время на масле, разжиженном бензином. Это облегчает запуск мотора в зимнее время, а также экономит значительное количество топлива, расходуемое на слишком частый прогрев мотора.</w:t>
      </w:r>
    </w:p>
    <w:p w14:paraId="5A7663D3"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 настоящее время главными инженерами ВВС округов подробно проверяются состояние материальной части и организация эксплуатации в запасных полках. Проверяется также знание материальной части инженерами запасных полков и их соответствие занимаемой должности. Эта работа будет закончена 15 марта с. г.1 2*</w:t>
      </w:r>
    </w:p>
    <w:p w14:paraId="0AE08DF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 плохую работу и приемку самолетов ЛаГГ-3 с большим количеством дефектов старший военпред завода № 21 т. Шишкин снят с работы. Кроме того, ведется проверка всего состава военных представительств для освобождения военных представительств от слабых и негодных работников и укрепления их сильными людьми, имеющими опыт эксплуатации материальной части на фронте.</w:t>
      </w:r>
    </w:p>
    <w:p w14:paraId="63B3F1C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Отстрел вооружения самолетов в воздухе на заводе № 292 в Саратове при проверке не проводился. В настоящее время этот отстрел проводится на каждом десятом самолете.</w:t>
      </w:r>
    </w:p>
    <w:p w14:paraId="0950764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7. Заводские сдаточные испытания самолетов фактически не соответствовали положенным нормам. Если для Ил-2 длительность заводского сдаточного испытания должна составлять 45 мин, фактически она составляла всего лишь 15-30 мин, что явно недостаточно для проверки самолета3*. Сейчас фактическая длительность заводских сдаточных испытаний увеличена до положенного времени полета (45 мин для Ил-2) и качество проверки самолетов улучшено. Кроме того, ведется подготовка к проведению НИИ ВВС контрольных испытаний всех типов самолетов последних серий.</w:t>
      </w:r>
    </w:p>
    <w:p w14:paraId="6ED75B9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Отменена имевшая ранее место практика посылки летчиков непосредственно с фронтов на заводы за получением самолетов, так как это приводило к разбалтыванию летного состава. Получение самолетов полками, прибывающими с фронта, теперь производится в запасных полках. На командиров запасных полков возложена ответственность за получение материальной части, подготовленность летчиков для полетов на получаемой материальной части и подготовленность к перелету.</w:t>
      </w:r>
    </w:p>
    <w:p w14:paraId="56E16DB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Для улучшения качества подготовки летчиков маршевых полков время налета летчиков в запасном полку на той машине, на которой он пойдет в бой, увеличено до 6 часов.</w:t>
      </w:r>
    </w:p>
    <w:p w14:paraId="213C13B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Состоялось решение правительства об оборудовании вновь выпускаемых самолетов и досылке к самолетам, ранее выпущенным на лыжах, колес в комплекте и о переходе с зимних радиаторов на летние.</w:t>
      </w:r>
    </w:p>
    <w:p w14:paraId="18CD8A2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Выяснены причины трещин головок цилиндровых блоков мотора АМ-38</w:t>
      </w:r>
    </w:p>
    <w:p w14:paraId="2039F43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 замерзание воды в головках цилиндровых блоков вследствие имевших место в частях ВВС КА случаев неправильной эксплуатации мотора АМ-38 на самолете Ил-2 в части подготовки мотора к запуску. Перевод эксплуатации моторов АМ-38 на антифриз и введение обязательного прогрева головок цилиндровых блоков перед запуском мотора лампой АПЛ-1, при отсутствии антифриза, проведенные в начале феврале сего года, резко сократили дефект трещин головок цилиндровых блоков; б) замерзанию воды в головках цилиндровых блоков способствовало также то, что водосистема самолета Ил-2 не обеспечивает должного прогрева головок цилиндровых блоков при заливке (перед запуском мотора) системы горячей водой и при проливе через систему горячей воды. В настоящее время главному конструктору самолета Ил-2 т. Ильюшину предложено улучшить водяную систему самолета в этой части1 2*; в) моторы АМ-38, выпущенные заводом № 24 в Куйбышеве, неверно регулировались по расходу топлива. </w:t>
      </w:r>
    </w:p>
    <w:p w14:paraId="6A5B2AC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Расход топлива не соответствовал техническим условиям: он был слишком мал (250 г/л.с. ч. на эксплуатационной мощности вместо 270-285 г/л с. ч. по техническим условиям), что приводило к переобеднению смеси и соответствующей тепловой перегрузке головок цилиндровых блоков. Это особо опасно при повышенных мощности мотора, имеющих место зимой. Зимой при сильных морозах (-40 °С) мощность мотора АМ-38 на 150 л. с. выше его мощности летом, что приводило к перегрузке деталей, </w:t>
      </w:r>
      <w:proofErr w:type="gramStart"/>
      <w:r w:rsidRPr="008A2E5A">
        <w:rPr>
          <w:rFonts w:ascii="Times New Roman" w:hAnsi="Times New Roman"/>
          <w:color w:val="0070C0"/>
          <w:sz w:val="16"/>
          <w:szCs w:val="16"/>
        </w:rPr>
        <w:t>и в частности</w:t>
      </w:r>
      <w:proofErr w:type="gramEnd"/>
      <w:r w:rsidRPr="008A2E5A">
        <w:rPr>
          <w:rFonts w:ascii="Times New Roman" w:hAnsi="Times New Roman"/>
          <w:color w:val="0070C0"/>
          <w:sz w:val="16"/>
          <w:szCs w:val="16"/>
        </w:rPr>
        <w:t xml:space="preserve"> головок цилиндровых блоков. В настоящее время заводу № 24 предложено выпускать моторы АМ-38 с расходами топлива в точном соответствии с техническими условиями, а ВВС КА — эксплуатировать в зимнее время (до 15 марта 1942 г.) моторы АМ-38 с наддувом номинальной мощности, сниженным на 50 мм рт. ст.;</w:t>
      </w:r>
    </w:p>
    <w:p w14:paraId="4685596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г) тепловой перегрузке головок цилиндровых блоков способствовала детонация моторов, имевшая место на заводе № 24 в </w:t>
      </w:r>
      <w:proofErr w:type="gramStart"/>
      <w:r w:rsidRPr="008A2E5A">
        <w:rPr>
          <w:rFonts w:ascii="Times New Roman" w:hAnsi="Times New Roman"/>
          <w:color w:val="0070C0"/>
          <w:sz w:val="16"/>
          <w:szCs w:val="16"/>
        </w:rPr>
        <w:t>Куйбышеве, вследствие того, что</w:t>
      </w:r>
      <w:proofErr w:type="gramEnd"/>
      <w:r w:rsidRPr="008A2E5A">
        <w:rPr>
          <w:rFonts w:ascii="Times New Roman" w:hAnsi="Times New Roman"/>
          <w:color w:val="0070C0"/>
          <w:sz w:val="16"/>
          <w:szCs w:val="16"/>
        </w:rPr>
        <w:t xml:space="preserve"> топливо, поступающее на испытательную станцию, не проверялось на октановое число. В настоящее время заводу № 24 предложено немедленно ввести обязательную проверку октанового числа топлива, поступающего на испытательную станцию;</w:t>
      </w:r>
    </w:p>
    <w:p w14:paraId="04C4A6D5"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по указанию секретаря ЦК ВКП(б) т. Маленкова, специальной комиссии под председательством бриг[адного] инженера т. Левина поручено отработать вопрос о возможности нормальной эксплуатации мотора М-38 и других серийных моторов в зимнее время без снижения наддува.</w:t>
      </w:r>
    </w:p>
    <w:p w14:paraId="0740F30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Для улучшения обеспечения запасных полков средствами подогрева и заправки в феврале сего года в Саратов и Куйбышев послано 150 ламп АПЛ-1 и 100 комплектов труб к ним. Средств же заправки (водомаслозаправщики и бензозаправщики) в запасные полки в феврале сего года послано всего 9 шт., но местами [они] еще не получены. Кроме того, выданы наряды с отгрузкой до 1 марта с. г. для Кузнецка, Маршанска, Тамбова и Арзамаса по 2 бензозаправщика, 1 стартеру, 1 водомаслозаправщику, 1 ПАРМу и 4 гончарок.</w:t>
      </w:r>
    </w:p>
    <w:p w14:paraId="61B714A0"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По указанию секретаря ЦК ВКП(б) т. Маленкова: а) отработан приказ по ВВС КА об изжитии дефектов технической эксплуатации самолетов Ил-2 с моторами АМ-38; б) отработан приказ НКАП об улучшении качества выпускаемых промышленстыо самолетов Ил-2 и моторов АМ-38.</w:t>
      </w:r>
    </w:p>
    <w:p w14:paraId="479F1ED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Замкомандующего ВВС Красной армии генерал-лейтенант авиации Петров</w:t>
      </w:r>
    </w:p>
    <w:p w14:paraId="3E6FA48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61-67. Подлинник (23991).</w:t>
      </w:r>
    </w:p>
    <w:p w14:paraId="5C06C6BF" w14:textId="77777777" w:rsidR="000E620A" w:rsidRPr="008A2E5A" w:rsidRDefault="000E620A" w:rsidP="000E620A">
      <w:pPr>
        <w:spacing w:after="0" w:line="240" w:lineRule="auto"/>
        <w:jc w:val="both"/>
        <w:rPr>
          <w:rFonts w:ascii="Times New Roman" w:hAnsi="Times New Roman"/>
          <w:color w:val="0070C0"/>
          <w:sz w:val="16"/>
          <w:szCs w:val="16"/>
        </w:rPr>
      </w:pPr>
    </w:p>
    <w:p w14:paraId="23B1909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E0461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A360A" w14:textId="77777777" w:rsidR="00DA7727" w:rsidRPr="008127F8" w:rsidRDefault="00DA7727"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25 февраля 1942 года датирован документ ЦКБ-4 НКСП “Краткое описание к техническому проекту системы минометных установок на железнодорожной платформе” в котором указывается, что большой опыт в проектировании артиллерийских систем на железнодорожных транспортах привел к мысли об использовании минометных установок реактивного действия на колесах и тракторах для стрельбы с железнодорожных платформ. Заместитель Начальника Главного Управления Вооружения Минометных частей в городе Казани товарищ Мрыкин дал положительную оценку этому предложению. Согласно проекту, в своей основе, при помощи системы должны были решаться следующие тактические положения. В состав системы должна была входить мощная батарея, состоящая из двух установок М8 и М13, при помощи которых было бы возможно “</w:t>
      </w:r>
      <w:r w:rsidRPr="008127F8">
        <w:rPr>
          <w:rFonts w:ascii="Times New Roman" w:eastAsia="Times New Roman" w:hAnsi="Times New Roman"/>
          <w:iCs/>
          <w:color w:val="000000" w:themeColor="text1"/>
          <w:sz w:val="16"/>
          <w:szCs w:val="16"/>
        </w:rPr>
        <w:t>создавать массированный минный огонь по площадям на расстоянии до 10-ти километров</w:t>
      </w:r>
      <w:r w:rsidRPr="008127F8">
        <w:rPr>
          <w:rFonts w:ascii="Times New Roman" w:eastAsia="Times New Roman" w:hAnsi="Times New Roman"/>
          <w:color w:val="000000" w:themeColor="text1"/>
          <w:sz w:val="16"/>
          <w:szCs w:val="16"/>
        </w:rPr>
        <w:t>”. Систему предлагалось использовать или как самостоятельную боевую единицу, передвигаемую “</w:t>
      </w:r>
      <w:r w:rsidRPr="008127F8">
        <w:rPr>
          <w:rFonts w:ascii="Times New Roman" w:eastAsia="Times New Roman" w:hAnsi="Times New Roman"/>
          <w:iCs/>
          <w:color w:val="000000" w:themeColor="text1"/>
          <w:sz w:val="16"/>
          <w:szCs w:val="16"/>
        </w:rPr>
        <w:t>по железной дороге паровозом, мотовозом, дрезиной или другими видами железнодорожной тяги</w:t>
      </w:r>
      <w:r w:rsidRPr="008127F8">
        <w:rPr>
          <w:rFonts w:ascii="Times New Roman" w:eastAsia="Times New Roman" w:hAnsi="Times New Roman"/>
          <w:color w:val="000000" w:themeColor="text1"/>
          <w:sz w:val="16"/>
          <w:szCs w:val="16"/>
        </w:rPr>
        <w:t>”. В состав системы также должна была входить укрытие для защиты обслуживающего персонала от ружейно-пулеметного огня, которое также должно быть предназначено для размещения одного комплекта мин к установке “М13” и двух комплектов к установке “М8”. Это решение совпадает с решением для расчета и хранения боеприпасов с вариантом, описанным выше в данном подпункте подраздела. Пополнение расходуемого боезапаса, который размещался на самой системе, осуществлялось бы из следующего за системой вагона-погреба. Во время проектирования системы специалисты ставили себе цель разработать все основные узлы системы так, чтобы конструкция была проста в обращении, не требовалось бы сложного оборудования при их изготовлении и могла бы быть изготовлена в средних железнодорожных мастерских. В состав конструкции не входили элементы их стального литья и крупных поковок. Как верхние, так и нижние погоны оснований были сделаны из бандажей паровозных колес. Как установка “М13”, так и “М8” в общем целом имели одно и тоже устройство. Данные установки "М13" были следующими. Время перехода из положения по-походному в боевое положение (полная боевая готовность) могло бы составлять 10-15 минут. Расчет должен был состоять из шести бойцов. Время, потребное для вертикального наведения от 0 до 45° – 4,5 минуты при 45 оборотах маховика в минуту и усилием не превышающим 10 кг. Вес мин для установки “М13” – 2,6 тонны. В зависимости от условий железнодорожного габарита установка “М13” была запроектирована 2-х ярусной с 8-ю направляющими в ряду, т.е. для 32-х мин.</w:t>
      </w:r>
    </w:p>
    <w:p w14:paraId="3D97F453"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В зависимости от условий железнодорожного габарита установка М8 была запроектирована 3-х ярусной с 9-ю направляющими, т.е. для 54-х мин. Время перехода из положения по-походному в боевое положение (полная боевая готовность) могло бы составлять 10-15 минут (данные такие </w:t>
      </w:r>
      <w:proofErr w:type="gramStart"/>
      <w:r w:rsidRPr="008127F8">
        <w:rPr>
          <w:rFonts w:ascii="Times New Roman" w:eastAsia="Times New Roman" w:hAnsi="Times New Roman"/>
          <w:color w:val="000000" w:themeColor="text1"/>
          <w:sz w:val="16"/>
          <w:szCs w:val="16"/>
        </w:rPr>
        <w:t>же</w:t>
      </w:r>
      <w:proofErr w:type="gramEnd"/>
      <w:r w:rsidRPr="008127F8">
        <w:rPr>
          <w:rFonts w:ascii="Times New Roman" w:eastAsia="Times New Roman" w:hAnsi="Times New Roman"/>
          <w:color w:val="000000" w:themeColor="text1"/>
          <w:sz w:val="16"/>
          <w:szCs w:val="16"/>
        </w:rPr>
        <w:t xml:space="preserve"> как и для установки "М13")</w:t>
      </w:r>
    </w:p>
    <w:p w14:paraId="0984F410"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Расчет должен был состоять из шести бойцов (данные такие </w:t>
      </w:r>
      <w:proofErr w:type="gramStart"/>
      <w:r w:rsidRPr="008127F8">
        <w:rPr>
          <w:rFonts w:ascii="Times New Roman" w:hAnsi="Times New Roman"/>
          <w:color w:val="000000" w:themeColor="text1"/>
          <w:sz w:val="16"/>
          <w:szCs w:val="16"/>
        </w:rPr>
        <w:t>же</w:t>
      </w:r>
      <w:proofErr w:type="gramEnd"/>
      <w:r w:rsidRPr="008127F8">
        <w:rPr>
          <w:rFonts w:ascii="Times New Roman" w:hAnsi="Times New Roman"/>
          <w:color w:val="000000" w:themeColor="text1"/>
          <w:sz w:val="16"/>
          <w:szCs w:val="16"/>
        </w:rPr>
        <w:t xml:space="preserve"> как и для установки "М13") (15981).</w:t>
      </w:r>
    </w:p>
    <w:p w14:paraId="4C93D078" w14:textId="77777777" w:rsidR="00DA7727" w:rsidRPr="008127F8" w:rsidRDefault="00DA7727" w:rsidP="001E0A84">
      <w:pPr>
        <w:spacing w:after="0" w:line="240" w:lineRule="auto"/>
        <w:jc w:val="both"/>
        <w:rPr>
          <w:rFonts w:ascii="Times New Roman" w:hAnsi="Times New Roman"/>
          <w:color w:val="000000" w:themeColor="text1"/>
          <w:sz w:val="16"/>
          <w:szCs w:val="16"/>
        </w:rPr>
      </w:pPr>
    </w:p>
    <w:p w14:paraId="5DB170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на заводе № 112 "Красное Сормово” был изготовлен первый усиленный корпус. Но 23 февраля 1942 г. постановлени</w:t>
      </w:r>
      <w:r w:rsidRPr="008127F8">
        <w:rPr>
          <w:rFonts w:ascii="Times New Roman" w:hAnsi="Times New Roman"/>
          <w:color w:val="000000" w:themeColor="text1"/>
          <w:sz w:val="16"/>
          <w:szCs w:val="16"/>
        </w:rPr>
        <w:softHyphen/>
        <w:t>ем ГКО экранировка лобовой части танка Т-34 была отменена. Таким образом, завод № 183, израсходовав задел корпусов с составной броней, в начале марта прекратил производство танков Т-34-76 с усиленным бронированием. СТЗ до февраля 1942 г. выпустил около 200 танков с усиленным бронированием, а завод № 112 изготовил 80 корпусов и 109 башен с составной броней. Кроме того, к 1 марта 1942 г. на заводе № 112 было отлито 8 башен с утолщенными до 75 мм стенками, которые были установлены на серийные Машины (10703).</w:t>
      </w:r>
    </w:p>
    <w:p w14:paraId="7B33B1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3FF1F5"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w:t>
      </w:r>
    </w:p>
    <w:p w14:paraId="7531FC92"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1 Дело 4 лист 237 – 238</w:t>
      </w:r>
    </w:p>
    <w:p w14:paraId="19B37290"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43ECC2A"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482B3688"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66-М</w:t>
      </w:r>
    </w:p>
    <w:p w14:paraId="3CD7DFFD"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0B8CBEB"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w:t>
      </w:r>
    </w:p>
    <w:p w14:paraId="0C73DC80" w14:textId="7EDC29E8"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Всем директорам заводов объявляю для сведения и руководства постановление СНК Союза ССР № 188 от 13/II-1942 г. о порядке мобилизации на период военного времени трудоспособного городского населения для работы на производстве и строительстве в соответствии с Указом Президиума Верховного Совета СССР от 13/II-1942 г.</w:t>
      </w:r>
      <w:r w:rsidR="008127F8">
        <w:rPr>
          <w:rFonts w:ascii="Times New Roman" w:hAnsi="Times New Roman"/>
          <w:color w:val="000000" w:themeColor="text1"/>
          <w:sz w:val="16"/>
          <w:szCs w:val="16"/>
        </w:rPr>
        <w:t xml:space="preserve">  </w:t>
      </w:r>
    </w:p>
    <w:p w14:paraId="53DEE414" w14:textId="4B76F10A"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Мобилизация городского трудоспособного населения (включая население фабрично-заводских поселков) для работы на производстве и строительстве в соответствии с Указом Президиума Верховного Совета СССР "о мобилизации на период военного времени трудоспособного городского населения для работы на производстве и строительстве" производится областными и городскими исполнительными комитетами Советов депутатов трудящихся каждый раз по решению Совета Народных Комиссаров СССР.</w:t>
      </w:r>
      <w:r w:rsidR="008127F8">
        <w:rPr>
          <w:rFonts w:ascii="Times New Roman" w:hAnsi="Times New Roman"/>
          <w:color w:val="000000" w:themeColor="text1"/>
          <w:sz w:val="16"/>
          <w:szCs w:val="16"/>
        </w:rPr>
        <w:t xml:space="preserve">  </w:t>
      </w:r>
    </w:p>
    <w:p w14:paraId="28E0BB58" w14:textId="70799A83"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Создать при исполнительных комитетах Советов депутатов трудящихся Свердловской, Челябинской, Новосибирской, Куйбышевской, Саратовской, Сталинградской, Горьковской, Молотовской, Московской областей и при исполнительных комитетах городских Советов депутатов трудящихся указанных областей по определению областных исполкомов Бюро по учету и распределению рабочей силы.</w:t>
      </w:r>
      <w:r w:rsidR="008127F8">
        <w:rPr>
          <w:rFonts w:ascii="Times New Roman" w:hAnsi="Times New Roman"/>
          <w:color w:val="000000" w:themeColor="text1"/>
          <w:sz w:val="16"/>
          <w:szCs w:val="16"/>
        </w:rPr>
        <w:t xml:space="preserve">  </w:t>
      </w:r>
    </w:p>
    <w:p w14:paraId="507FDDE8" w14:textId="4A8D7F1E"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Возложить на Бюро по учету и распределению рабочей силы при исполнительных комитетах городских и областных Советов депутатов трудящихся, перечисленных в пункте 2 настоящего постановления следующие обязанности:</w:t>
      </w:r>
      <w:r w:rsidR="008127F8">
        <w:rPr>
          <w:rFonts w:ascii="Times New Roman" w:hAnsi="Times New Roman"/>
          <w:color w:val="000000" w:themeColor="text1"/>
          <w:sz w:val="16"/>
          <w:szCs w:val="16"/>
        </w:rPr>
        <w:t xml:space="preserve">  </w:t>
      </w:r>
    </w:p>
    <w:p w14:paraId="5470FD4C" w14:textId="41FD8EE1"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иметь на учете трудоспособное население, подлежащее мобилизации для работы на производстве и строительстве;</w:t>
      </w:r>
      <w:r w:rsidR="008127F8">
        <w:rPr>
          <w:rFonts w:ascii="Times New Roman" w:hAnsi="Times New Roman"/>
          <w:color w:val="000000" w:themeColor="text1"/>
          <w:sz w:val="16"/>
          <w:szCs w:val="16"/>
        </w:rPr>
        <w:t xml:space="preserve">  </w:t>
      </w:r>
    </w:p>
    <w:p w14:paraId="0DB23BA8" w14:textId="57BD931A"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подготовлять списки трудоспособных граждан, подлежащих мобилизации и распределению между предприятиями.</w:t>
      </w:r>
      <w:r w:rsidR="008127F8">
        <w:rPr>
          <w:rFonts w:ascii="Times New Roman" w:hAnsi="Times New Roman"/>
          <w:color w:val="000000" w:themeColor="text1"/>
          <w:sz w:val="16"/>
          <w:szCs w:val="16"/>
        </w:rPr>
        <w:t xml:space="preserve">  </w:t>
      </w:r>
    </w:p>
    <w:p w14:paraId="09A756DB" w14:textId="73F7A3E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Списки лиц, подлежащих мобилизации в соответствии с Указом Президиума Верховного Совета СССР, утверждаются исполнительными комитетами районных или городских Советов депутатов трудящихся.</w:t>
      </w:r>
      <w:r w:rsidR="008127F8">
        <w:rPr>
          <w:rFonts w:ascii="Times New Roman" w:hAnsi="Times New Roman"/>
          <w:color w:val="000000" w:themeColor="text1"/>
          <w:sz w:val="16"/>
          <w:szCs w:val="16"/>
        </w:rPr>
        <w:t xml:space="preserve">  </w:t>
      </w:r>
    </w:p>
    <w:p w14:paraId="73BBB339" w14:textId="0958C64B"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Объявляя вышеуказанное постановление СНК СССР ПРИКАЗЫВАЮ:</w:t>
      </w:r>
      <w:r w:rsidR="008127F8">
        <w:rPr>
          <w:rFonts w:ascii="Times New Roman" w:hAnsi="Times New Roman"/>
          <w:color w:val="000000" w:themeColor="text1"/>
          <w:sz w:val="16"/>
          <w:szCs w:val="16"/>
        </w:rPr>
        <w:t xml:space="preserve">  </w:t>
      </w:r>
    </w:p>
    <w:p w14:paraId="02D77D3C" w14:textId="1ADDB692"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согласно установленного объема производства и утвержденного плана по труду, определять дополнительную потребность в рабочей силе и представлять заявки в местное Бюро по учету и распределению рабочей силы для дальнейшего оформления мобилизации рабочей силы.</w:t>
      </w:r>
      <w:r w:rsidR="008127F8">
        <w:rPr>
          <w:rFonts w:ascii="Times New Roman" w:hAnsi="Times New Roman"/>
          <w:color w:val="000000" w:themeColor="text1"/>
          <w:sz w:val="16"/>
          <w:szCs w:val="16"/>
        </w:rPr>
        <w:t xml:space="preserve">  </w:t>
      </w:r>
    </w:p>
    <w:p w14:paraId="1FEC0D16" w14:textId="2E36544B"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Предупреждаю директоров заводов, что до составления заявок на мобилизацию рабочей силы, необходимо максимально использовать внутренние возможности, за счет которых можно увеличить производственную рабочую силу.</w:t>
      </w:r>
      <w:r w:rsidR="008127F8">
        <w:rPr>
          <w:rFonts w:ascii="Times New Roman" w:hAnsi="Times New Roman"/>
          <w:color w:val="000000" w:themeColor="text1"/>
          <w:sz w:val="16"/>
          <w:szCs w:val="16"/>
        </w:rPr>
        <w:t xml:space="preserve">  </w:t>
      </w:r>
    </w:p>
    <w:p w14:paraId="3DBED7DE" w14:textId="15038265"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После поступления на завод в порядке мобилизации рабочей силы, организовать для них производственное обучение, как в порядке индивидуального обучения, так и путем организации краткосрочных курсов.</w:t>
      </w:r>
      <w:r w:rsidR="008127F8">
        <w:rPr>
          <w:rFonts w:ascii="Times New Roman" w:hAnsi="Times New Roman"/>
          <w:color w:val="000000" w:themeColor="text1"/>
          <w:sz w:val="16"/>
          <w:szCs w:val="16"/>
        </w:rPr>
        <w:t xml:space="preserve">  </w:t>
      </w:r>
    </w:p>
    <w:p w14:paraId="5D6C2614" w14:textId="2AE890B5"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течение периода производственного обучения, но не свыше 1 – 2 месяцев, предприятие выплачивает мобилизованным тарифную ставку по той работе, на которую взят мобилизованный, но не свыше 200 рублей в месяц.</w:t>
      </w:r>
      <w:r w:rsidR="008127F8">
        <w:rPr>
          <w:rFonts w:ascii="Times New Roman" w:hAnsi="Times New Roman"/>
          <w:color w:val="000000" w:themeColor="text1"/>
          <w:sz w:val="16"/>
          <w:szCs w:val="16"/>
        </w:rPr>
        <w:t xml:space="preserve">  </w:t>
      </w:r>
    </w:p>
    <w:p w14:paraId="18FDC395"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Директорам заводов обязываю в декаду раз сообщать в Наркомтанкопром ведения о ходе поступления мобилизованных рабочих на завод.</w:t>
      </w:r>
    </w:p>
    <w:p w14:paraId="5A44D756"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1E05DE87"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(МАЛЫШЕВ) (18422).</w:t>
      </w:r>
    </w:p>
    <w:p w14:paraId="6236A42D" w14:textId="77777777" w:rsidR="004A3B1D" w:rsidRPr="008127F8" w:rsidRDefault="004A3B1D" w:rsidP="001E0A84">
      <w:pPr>
        <w:spacing w:after="0" w:line="240" w:lineRule="auto"/>
        <w:jc w:val="both"/>
        <w:rPr>
          <w:rFonts w:ascii="Times New Roman" w:hAnsi="Times New Roman"/>
          <w:color w:val="000000" w:themeColor="text1"/>
          <w:sz w:val="16"/>
          <w:szCs w:val="16"/>
        </w:rPr>
      </w:pPr>
    </w:p>
    <w:p w14:paraId="654548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 Ирбитский завод отправили на фронт первые мотоциклы (несколько десятков). Это мероприятие вылилось в небольшой праздник для сотрудников завода и дало уверенность в скором пуске ИМЗ в эксплуатацию [5.32]. Руководство Главмотовелопрома настаивало на скорейшем освоении выпуска М-72 на ИМЗ, вникало в заводские проблемы, руководило выполнением наибо</w:t>
      </w:r>
      <w:r w:rsidRPr="008127F8">
        <w:rPr>
          <w:rFonts w:ascii="Times New Roman" w:hAnsi="Times New Roman"/>
          <w:color w:val="000000" w:themeColor="text1"/>
          <w:sz w:val="16"/>
          <w:szCs w:val="16"/>
        </w:rPr>
        <w:softHyphen/>
        <w:t>лее важных из них. Чтобы начать сборку мотоциклов из достав</w:t>
      </w:r>
      <w:r w:rsidRPr="008127F8">
        <w:rPr>
          <w:rFonts w:ascii="Times New Roman" w:hAnsi="Times New Roman"/>
          <w:color w:val="000000" w:themeColor="text1"/>
          <w:sz w:val="16"/>
          <w:szCs w:val="16"/>
        </w:rPr>
        <w:softHyphen/>
        <w:t>ленной с ММЗ «незавершенки», требовалось обеспечить завод хо</w:t>
      </w:r>
      <w:r w:rsidRPr="008127F8">
        <w:rPr>
          <w:rFonts w:ascii="Times New Roman" w:hAnsi="Times New Roman"/>
          <w:color w:val="000000" w:themeColor="text1"/>
          <w:sz w:val="16"/>
          <w:szCs w:val="16"/>
        </w:rPr>
        <w:softHyphen/>
        <w:t>тя бы небольшими мощностями электроэнергии. Сначала ИМЗ обеспечивал электроэнергией генератор на 127 В, оставшийся от бывшего пивзавода и развивавший мощность всего 30 кВт. Потом заводчане добавили к нему самодельную установку, сочленив ге</w:t>
      </w:r>
      <w:r w:rsidRPr="008127F8">
        <w:rPr>
          <w:rFonts w:ascii="Times New Roman" w:hAnsi="Times New Roman"/>
          <w:color w:val="000000" w:themeColor="text1"/>
          <w:sz w:val="16"/>
          <w:szCs w:val="16"/>
        </w:rPr>
        <w:softHyphen/>
        <w:t>нератор мощностью 10 кВт с мотоциклетным двигателем. Позже запустили полученный из Челябинска локомобиль «Вольф» с двумя турбогенераторами мощностью по 180 кВт, а затем вве</w:t>
      </w:r>
      <w:r w:rsidRPr="008127F8">
        <w:rPr>
          <w:rFonts w:ascii="Times New Roman" w:hAnsi="Times New Roman"/>
          <w:color w:val="000000" w:themeColor="text1"/>
          <w:sz w:val="16"/>
          <w:szCs w:val="16"/>
        </w:rPr>
        <w:softHyphen/>
        <w:t>ли в эксплуатацию паровую турбину с электрогенератором мощностью 2500 кВт, полученными из Москвы [5.30]. Главным конструктором КБ на ИМЗ назначили А.М. Фёдо</w:t>
      </w:r>
      <w:r w:rsidRPr="008127F8">
        <w:rPr>
          <w:rFonts w:ascii="Times New Roman" w:hAnsi="Times New Roman"/>
          <w:color w:val="000000" w:themeColor="text1"/>
          <w:sz w:val="16"/>
          <w:szCs w:val="16"/>
        </w:rPr>
        <w:softHyphen/>
        <w:t>рова, участвовавшего в создании мотоциклов, начиная с НАТИ-А-750 [4.53] (11429).</w:t>
      </w:r>
    </w:p>
    <w:p w14:paraId="2E0CCD7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2849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914E6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D7BF95"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3CDD7997"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25 февраля наши войска продолжали вести активные боевые действия против немецко-фашистских войск.</w:t>
      </w:r>
    </w:p>
    <w:p w14:paraId="178E741E"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Южного фронта, за последние пять дней уничтожили 18 немецких танков, 11 пулемётов, 11 миномётов, 30 орудий, 3 автомашины, 10 радиостанций. Потери немцев в людях — 2.700 солдат и офицеров.</w:t>
      </w:r>
    </w:p>
    <w:p w14:paraId="4F0969B5"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где командиром тов. Зиновьев (Юго-Западный фронт), за 20 дней февраля в ожесточённых боях нанесла немцам большой урон. Противник потерял убитыми 3.220 солдат и офицеров. Наши бойцы захватили 150 автомашин, 130 орудий, 9 танков, 180 мотоциклов и много другого воинского имущества.</w:t>
      </w:r>
    </w:p>
    <w:p w14:paraId="3729112E"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Метким орудийным и пулемётным огнём танковый экипаж лейтенанта Крещановского уничтожил в одном бою 2 немецких зенитных и 2 противотанковых орудия и взорвал склад с боеприпасами.</w:t>
      </w:r>
    </w:p>
    <w:p w14:paraId="3D84F60A"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Сержант-пулемётчик Лев Антипин, подпустив на близкую дистанцию взвод немецких кавалеристов, метким огнём вывел из строя 13 вражеских солдат. В другом бою отважный сержант уничтожил связками гранат вражеский танк и 2 автомашины с пехотой.</w:t>
      </w:r>
    </w:p>
    <w:p w14:paraId="30DFBFCA"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Грауземана найдено неотправленное письмо к Маргарите Гаук. В нём говорится: «Русские опять начали наступление. Ты можешь себе представить, что у нас творится! Ночью мы снова были все на ногах. Теперь мы вообще не имеем покоя. В данный момент у нас напряжённая атмосфера, так как русские предприняли атаки, которые имели успех. Мы понесли большие потери. Один наш батальон окружён. Что там творится! И мы ждём днём и ночью атаки на наше село прорвавшихся частей противника».</w:t>
      </w:r>
    </w:p>
    <w:p w14:paraId="12CD8047"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ефрейтору Рудди Вильтш недавно писала его мать из Альтенбурга: «В прошлый понедельник Лиза Зейферт получила уведомление, что её Отто убит. Вчера Эльза Вайхерт получила извещение, что её Фриц убит, а сегодня и госпожа Леманс получила уведомление, что её муж убит... Сын Клауэницера с 15 октября ничего не пишет, Гергард Пюшель не пишет с 19 сентября, а Рудди с 28 августа. Все родители очень озабочены... Это ужасно».</w:t>
      </w:r>
    </w:p>
    <w:p w14:paraId="70BED9BD"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освобождённой от немецких захватчиков деревни Гниловские Дворы, Тимского района, Курской области, составили подробный акт о зверствах и грабеже фашистских людоедов. Немцы забрали у колхозников всё продовольствие, скот, сожгли много домов. Гитлеровцы убили Лабишеву А. Д.— мать двух детей, Чаусова С. Я., Пожедаеву М. Е. и других. По предварительным подсчётам, немцы нанесли ущерб колхозу и колхозникам на сумму в 500.000 рублей.</w:t>
      </w:r>
    </w:p>
    <w:p w14:paraId="64B41F78"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Скрывающиеся в лесах Восточной Германии вооружённые группы немецких солдат, дезертировавших с советско-германского фронта, совершили нападение на продовольственные склады в городе Шлоппе.</w:t>
      </w:r>
    </w:p>
    <w:p w14:paraId="6D282984"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Узбекистана ко дню XXIV годовщины Красной Армии отправили бойцам, командирам и политработникам 140 вагонов подарков.» (15051).</w:t>
      </w:r>
    </w:p>
    <w:p w14:paraId="38CD8E83" w14:textId="77777777" w:rsidR="00DA7727" w:rsidRPr="008127F8" w:rsidRDefault="00DA7727" w:rsidP="001E0A84">
      <w:pPr>
        <w:spacing w:after="0" w:line="240" w:lineRule="auto"/>
        <w:jc w:val="both"/>
        <w:rPr>
          <w:rFonts w:ascii="Times New Roman" w:hAnsi="Times New Roman"/>
          <w:color w:val="000000" w:themeColor="text1"/>
          <w:sz w:val="16"/>
          <w:szCs w:val="16"/>
        </w:rPr>
      </w:pPr>
    </w:p>
    <w:p w14:paraId="40E0FE3F"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12869BBE"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25 февраля наши войска с боями продвигались вперёд и заняли несколько населённых пунктов. Немецко-фашистские войска несут большие потери в технике и особенно в живой силе.</w:t>
      </w:r>
    </w:p>
    <w:p w14:paraId="51118E3B"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февраля в воздушных боях сбито 20 немецких самолётов. Наши потери — 6 самолётов.</w:t>
      </w:r>
    </w:p>
    <w:p w14:paraId="298A4ED8"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февраля частями нашей авиации уничтожено и повреждено 150 немецких автомашин с войсками и грузами, около 90 повозок с боеприпасами, 9 орудий, 39 зенитно-пулемётных точек, разбито 6 железнодорожных вагонов, 2 бронеплощадки и 1 паровоз, рассеяно и частью уничтожено до 3 батальонов пехоты противника.</w:t>
      </w:r>
    </w:p>
    <w:p w14:paraId="39FF6D0A"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 один день боёв с противником освободили 13 населённых пунктов и разгромили немецкий пехотный полк, сапёрный батальон и дивизион противотанковых орудий. На другом участке фронта наши бойцы освободили 4 населённых пункта и захватили 3 тяжёлых танка, 9 орудий, 31 пулемёт, 5 миномётов, 318 винтовок, 2 походных мастерских, 3 радиостанции и другое вооружение и воинское имущество. На поле боя осталось свыше 500 вражеских трупов.</w:t>
      </w:r>
    </w:p>
    <w:p w14:paraId="1706F7CB"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Танкисты части, которой командует тов. Юрченко (Юго-Западный фронт), в бою за населённый пункт И. уничтожили 220 немецких солдат и офицеров, 6 орудий, 4 станковых пулемёта и 8 миномётов. Среди захваченных трофеев — 7 противотанковых орудий, 5 станковых пулемётов, 4 миномёта, 600 снарядов, 460 мин, 10.000 винтовочных патронов, 30 автомашин и склад обуви.</w:t>
      </w:r>
    </w:p>
    <w:p w14:paraId="015CF473"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сапёры под командованием тов. Кузнецова проникли на немецкий аэродром в районе населённого пункта В., подорвали 110 тонн авиабомб, 103.000 снарядов и привезли в расположение наших частей 60 бочек горючего и 1.500 снарядов.</w:t>
      </w:r>
    </w:p>
    <w:p w14:paraId="661AA11D"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Экипажи двух танков под командованием тов. Цыса дважды атаковали противника в селе Л. Огнём и гусеницами наши танки уничтожили 7 вражеских противотанковых орудий, 19 пулемётов, подбили два немецких танка и вывели из строя несколько десятков немецких солдат и офицеров.</w:t>
      </w:r>
    </w:p>
    <w:p w14:paraId="26A3BE5D"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А., действующий в одном из районов Калининской области, совершил нападение на немецкую автоколонну, перевозившую военное снаряжение: Гранатами и бутылками с зажигательной жидкостью бойцы отряда уничтожили до 60 автомашин.</w:t>
      </w:r>
    </w:p>
    <w:p w14:paraId="72CAB925"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санитар 6 роты 605 немецкого маршевого батальона ефрейтор Карл Гратцель рассказал: «В октябре прошлого года меня призвали в армию. 12 декабря я был зачислен в маршевый батальон и отправлен на советско-германский фронт. Возраст большинства солдат нашей роты 35—42 года. В первых числах января было около 70 случаев обмораживания, требующих ампутаций. Три солдата нашей роты — Виндинг, Грейнер и Штрассер пошли вечером в разведку и вернулись лишь рано утром с обмороженными ногами и были отправлены в лазарет. Они не горевали, а наоборот, были очень рады и говорили: «Для нас война уже кончилась».</w:t>
      </w:r>
    </w:p>
    <w:p w14:paraId="662DA598"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Курта Линдемана найдено неотправленное письмо к семье в Берлин. Линдеман писал: «Русские не дают нам ни минуты покоя, и нам, хотим мы этого или не хотим, приходится довольно кисло. Отпадает всякая охота воевать. Нам уже всё осточертело».</w:t>
      </w:r>
    </w:p>
    <w:p w14:paraId="00369A74"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Норвежские патриоты уничтожили два. вновь организованных немецких военных склада близ Тронхейма. Во время пожара погибли большие запасы боеприпасов и бензина. В городе Намсус сожжён немецкий склад с продовольствием. Пожары немецких складов в Норвегии принимают всё большие размеры. В связи с этим гитлеровская газетка «Дейче цейтунг ин Норвеген» бьёт тревогу, заявляя, что пожары причиняют Германии многомиллионные убытки.</w:t>
      </w:r>
    </w:p>
    <w:p w14:paraId="49D00CA3"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Отступая из деревни Большие Клочки, Кировского района, Калининской области, гитлеровские бандиты расстреляли 27 пленных раненых красноармейцев.</w:t>
      </w:r>
    </w:p>
    <w:p w14:paraId="4D81A168"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Омской области ко дню XXIV годовщины Красной Армии построили два поезда-бани и два бронепоезда. Специальным эшелоном из 24 вагонов направлены на фронт для бойцов, командиров и политработников 18.630 посылок. В посылках — мёд, жареная птица, пельмени, сыр, копчёности, печенье, папиросы, ручные часы, предметы личного туалета. Трудящиеся Омской области, кроме того, передали подарки в госпитали раненым бойцам и командирам.» (15051).</w:t>
      </w:r>
    </w:p>
    <w:p w14:paraId="0119F2FE" w14:textId="77777777" w:rsidR="00DA7727" w:rsidRPr="008127F8" w:rsidRDefault="00DA7727" w:rsidP="001E0A84">
      <w:pPr>
        <w:spacing w:after="0" w:line="240" w:lineRule="auto"/>
        <w:jc w:val="both"/>
        <w:rPr>
          <w:rFonts w:ascii="Times New Roman" w:hAnsi="Times New Roman"/>
          <w:color w:val="000000" w:themeColor="text1"/>
          <w:sz w:val="16"/>
          <w:szCs w:val="16"/>
        </w:rPr>
      </w:pPr>
    </w:p>
    <w:p w14:paraId="5B8BB671" w14:textId="77777777" w:rsidR="00DA7727" w:rsidRPr="008127F8" w:rsidRDefault="00DA77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февраля</w:t>
      </w:r>
      <w:r w:rsidRPr="008127F8">
        <w:rPr>
          <w:rFonts w:ascii="Times New Roman" w:hAnsi="Times New Roman"/>
          <w:color w:val="000000" w:themeColor="text1"/>
          <w:sz w:val="16"/>
          <w:szCs w:val="16"/>
        </w:rPr>
        <w:t xml:space="preserve"> в 1942 году войска левого крыла Западного фронта сомкнули кольцо в районе Юхнова вокруг 2-го армейского корпуса немцев (15051).</w:t>
      </w:r>
    </w:p>
    <w:p w14:paraId="19E2E16D" w14:textId="77777777" w:rsidR="00DA7727" w:rsidRPr="008127F8" w:rsidRDefault="00DA7727" w:rsidP="001E0A84">
      <w:pPr>
        <w:spacing w:after="0" w:line="240" w:lineRule="auto"/>
        <w:jc w:val="both"/>
        <w:rPr>
          <w:rFonts w:ascii="Times New Roman" w:hAnsi="Times New Roman"/>
          <w:color w:val="000000" w:themeColor="text1"/>
          <w:sz w:val="16"/>
          <w:szCs w:val="16"/>
        </w:rPr>
      </w:pPr>
    </w:p>
    <w:p w14:paraId="2FEEBF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 вышел ПРИКАЗ НКО № 0140 О ПРЕМИРОВАНИИ ЛИЧНОГО СОСТАВА АВТОБРОНЕТАНКОВЫХ РЕМОНТНЫХ ЧАСТЕЙ ЗА БЫСТРЫЙ И КАЧЕСТВЕННЫЙ РЕМОНТ ТАНКОВ</w:t>
      </w:r>
    </w:p>
    <w:p w14:paraId="7531C4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ускорения ремонта и восстановления танков, находящихся в среднем и текущем ремонте в армейских, фронтовых и войсковых ремонт-но-восстановительных частях и подразделениях (ПРБ, ОРВБ, АБТМ, АБТМ ж.-д., РВР), приказываю:</w:t>
      </w:r>
    </w:p>
    <w:p w14:paraId="113C48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Ввести с 1 марта 1942 года следующую систему премирования денежной наградой личного состава ремонтно-восстановительных частей за быстрый и качественный текущий и средний ремонт танков в установленные командованием сроки: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289"/>
        <w:gridCol w:w="1552"/>
        <w:gridCol w:w="1552"/>
      </w:tblGrid>
      <w:tr w:rsidR="006F4095" w:rsidRPr="008127F8" w14:paraId="1CBC025B" w14:textId="77777777">
        <w:trPr>
          <w:trHeight w:val="420"/>
        </w:trPr>
        <w:tc>
          <w:tcPr>
            <w:tcW w:w="4289" w:type="dxa"/>
            <w:tcBorders>
              <w:top w:val="single" w:sz="12" w:space="0" w:color="auto"/>
            </w:tcBorders>
          </w:tcPr>
          <w:p w14:paraId="50B70FED" w14:textId="399C687F"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1552" w:type="dxa"/>
            <w:tcBorders>
              <w:top w:val="single" w:sz="12" w:space="0" w:color="auto"/>
            </w:tcBorders>
          </w:tcPr>
          <w:p w14:paraId="19EAC9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Текущий ремонт</w:t>
            </w:r>
          </w:p>
        </w:tc>
        <w:tc>
          <w:tcPr>
            <w:tcW w:w="1552" w:type="dxa"/>
            <w:tcBorders>
              <w:top w:val="single" w:sz="12" w:space="0" w:color="auto"/>
            </w:tcBorders>
          </w:tcPr>
          <w:p w14:paraId="5F3C0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Средний ремонт</w:t>
            </w:r>
          </w:p>
        </w:tc>
      </w:tr>
      <w:tr w:rsidR="006F4095" w:rsidRPr="008127F8" w14:paraId="1CEE405C" w14:textId="77777777">
        <w:trPr>
          <w:trHeight w:val="960"/>
        </w:trPr>
        <w:tc>
          <w:tcPr>
            <w:tcW w:w="4289" w:type="dxa"/>
            <w:tcBorders>
              <w:bottom w:val="single" w:sz="12" w:space="0" w:color="auto"/>
            </w:tcBorders>
          </w:tcPr>
          <w:p w14:paraId="73B32B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 каждый отремонтированный танк КВ</w:t>
            </w:r>
          </w:p>
          <w:p w14:paraId="3BA47A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 каждый отремонтированный танк Т-34, МК-2, МК-3</w:t>
            </w:r>
          </w:p>
          <w:p w14:paraId="2FF73D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 каждый отремонтированный танк БТ, Т-26 и Т-40-60</w:t>
            </w:r>
          </w:p>
        </w:tc>
        <w:tc>
          <w:tcPr>
            <w:tcW w:w="1552" w:type="dxa"/>
            <w:tcBorders>
              <w:bottom w:val="single" w:sz="12" w:space="0" w:color="auto"/>
            </w:tcBorders>
          </w:tcPr>
          <w:p w14:paraId="3B0A5F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 руб.</w:t>
            </w:r>
          </w:p>
          <w:p w14:paraId="180AFB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roofErr w:type="gramStart"/>
            <w:r w:rsidRPr="008127F8">
              <w:rPr>
                <w:rFonts w:ascii="Times New Roman" w:hAnsi="Times New Roman"/>
                <w:color w:val="000000" w:themeColor="text1"/>
                <w:sz w:val="16"/>
                <w:szCs w:val="16"/>
              </w:rPr>
              <w:t xml:space="preserve">250 </w:t>
            </w:r>
            <w:r w:rsidRPr="008127F8">
              <w:rPr>
                <w:rFonts w:ascii="Times New Roman" w:hAnsi="Times New Roman"/>
                <w:iCs/>
                <w:color w:val="000000" w:themeColor="text1"/>
                <w:sz w:val="16"/>
                <w:szCs w:val="16"/>
              </w:rPr>
              <w:t>”</w:t>
            </w:r>
            <w:proofErr w:type="gramEnd"/>
          </w:p>
          <w:p w14:paraId="7864A2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100 ”</w:t>
            </w:r>
            <w:proofErr w:type="gramEnd"/>
          </w:p>
        </w:tc>
        <w:tc>
          <w:tcPr>
            <w:tcW w:w="1552" w:type="dxa"/>
            <w:tcBorders>
              <w:bottom w:val="single" w:sz="12" w:space="0" w:color="auto"/>
            </w:tcBorders>
          </w:tcPr>
          <w:p w14:paraId="47AEDC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руб.</w:t>
            </w:r>
          </w:p>
          <w:p w14:paraId="1A5135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500 ”</w:t>
            </w:r>
            <w:proofErr w:type="gramEnd"/>
          </w:p>
          <w:p w14:paraId="387FE1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200 ”</w:t>
            </w:r>
            <w:proofErr w:type="gramEnd"/>
          </w:p>
        </w:tc>
      </w:tr>
    </w:tbl>
    <w:p w14:paraId="7B27C8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Денежная награда ремонтно-восстановительной части выдается два раза в месяц по представлению отчета и утверждению его вышестоящим начальником.</w:t>
      </w:r>
    </w:p>
    <w:p w14:paraId="4032E1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3. </w:t>
      </w:r>
      <w:r w:rsidRPr="008127F8">
        <w:rPr>
          <w:rFonts w:ascii="Times New Roman" w:hAnsi="Times New Roman"/>
          <w:color w:val="000000" w:themeColor="text1"/>
          <w:sz w:val="16"/>
          <w:szCs w:val="16"/>
        </w:rPr>
        <w:t>Денежная награда распределяется:</w:t>
      </w:r>
    </w:p>
    <w:p w14:paraId="7B134D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начальнику и военному комиссару ремонтно-восстановительной части по 5 % каждому от общей суммы, полученной для награждения;</w:t>
      </w:r>
    </w:p>
    <w:p w14:paraId="2E872A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 менее 70 % общей суммы для награждения рабочего состава части;</w:t>
      </w:r>
    </w:p>
    <w:p w14:paraId="1269D4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остальная сумма премии распределяется начальником и военным комиссаром среди начальствующего и обслуживающего состава ремонтно-восстановительной части.</w:t>
      </w:r>
    </w:p>
    <w:p w14:paraId="0109BE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Определение лиц, которым выдается денежное награждение, и определение размеров награды каждому производится начальником и военным комиссаром ремонтно-восстановительной части в зависимости от участия в работе по ремонту танков и качества работы, после чего объявляется приказом по части.</w:t>
      </w:r>
    </w:p>
    <w:p w14:paraId="6DEEDC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Денежная награда начальнику и военному комиссару ремонтно-восстановительной части объявляется приказом начальника АБТВ фронта (армии).</w:t>
      </w:r>
    </w:p>
    <w:p w14:paraId="7F9C2F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 систематическое перевыполнение производственных заданий командования по ремонту танков, кроме денежной награды, личный состав ре-монтно-восстановительных частей, особо проявивший себя в выполнении заданий, представляется военным советом фронта к правительственной награде.</w:t>
      </w:r>
    </w:p>
    <w:p w14:paraId="25C8DB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Объявить настоящий приказ всему личному составу автобронетанковых ремонтно-восстановительных частей и подразделений.</w:t>
      </w:r>
    </w:p>
    <w:p w14:paraId="259502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Народный комиссар обороны СССР И. СТАЛИН</w:t>
      </w:r>
      <w:r w:rsidRPr="008127F8">
        <w:rPr>
          <w:rFonts w:ascii="Times New Roman" w:hAnsi="Times New Roman"/>
          <w:color w:val="000000" w:themeColor="text1"/>
          <w:sz w:val="16"/>
          <w:szCs w:val="16"/>
        </w:rPr>
        <w:t xml:space="preserve"> (9844).</w:t>
      </w:r>
    </w:p>
    <w:p w14:paraId="6095DE3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 Суммы денежных наград соответственно за текущий и средний ремонт проставлены И. Сталиным вместо предлагав</w:t>
      </w:r>
      <w:r w:rsidRPr="008127F8">
        <w:rPr>
          <w:rFonts w:ascii="Times New Roman" w:hAnsi="Times New Roman"/>
          <w:color w:val="000000" w:themeColor="text1"/>
          <w:kern w:val="65535"/>
          <w:sz w:val="16"/>
          <w:szCs w:val="16"/>
        </w:rPr>
        <w:softHyphen/>
        <w:t>шихся сумм: а) 250 и 500, б) 200 и 400, в) 75 и 100 руб. (11211).</w:t>
      </w:r>
    </w:p>
    <w:p w14:paraId="707B364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41DF23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в ходе Демянской операции окружили 6 немецких дивизий, но уничтожить так и не смогли и 23 апреля немцы прорвались через рамушевский коридор (2438,212).</w:t>
      </w:r>
    </w:p>
    <w:p w14:paraId="284EC1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286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w:t>
      </w:r>
    </w:p>
    <w:p w14:paraId="28FE62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Совершенн секретно.</w:t>
      </w:r>
    </w:p>
    <w:p w14:paraId="420CCA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3-го УПРАВЛЕНИЯ Н К В Д СССР СТАРШЕМУ МАЙОРУ ГОСУДАРСТВЕННОЙ БЕЗОПАСНОСТИ</w:t>
      </w:r>
    </w:p>
    <w:p w14:paraId="7FBFB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товарищу ГОРЛИНСКОМУ.</w:t>
      </w:r>
    </w:p>
    <w:p w14:paraId="791EA9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 ЗАПИСКА</w:t>
      </w:r>
    </w:p>
    <w:p w14:paraId="286090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борьбе с дезертирством в г. Ленинграде и Ленинградской Области с 10 по 20 февраля 1942 года.</w:t>
      </w:r>
    </w:p>
    <w:p w14:paraId="1BA721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отчетный период борьба с дезертирством проводилась как агентурно-оперативными мероприятиями, так и силами оперативного состава отделений милиции, истребительных батальонов, систематической проверкой документов у военнослужащих и гражданского населения призывного возраста и проч.</w:t>
      </w:r>
    </w:p>
    <w:p w14:paraId="75C9E6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по 20 февраля с/г. по гор. Ленинграду задержано военнослужащих:</w:t>
      </w:r>
    </w:p>
    <w:p w14:paraId="5D8D92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 дезертирство.......................— 38 чел.</w:t>
      </w:r>
    </w:p>
    <w:p w14:paraId="1B2984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 уголовные преступления. — 11 «</w:t>
      </w:r>
    </w:p>
    <w:p w14:paraId="22CEB7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без документов............ — 5 «</w:t>
      </w:r>
    </w:p>
    <w:p w14:paraId="6F69CA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p w14:paraId="487963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состава................. — 4 чел.</w:t>
      </w:r>
    </w:p>
    <w:p w14:paraId="73E0E1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рядового состава.............. — 50 чел.</w:t>
      </w:r>
    </w:p>
    <w:p w14:paraId="152CF4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Задержанные направлены для привлечения к уголовной ответственности: в Особый отдел НКВД Лен фронта — нет</w:t>
      </w:r>
    </w:p>
    <w:p w14:paraId="78B8B6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военные прокуратуры................... — 4 чел.</w:t>
      </w:r>
    </w:p>
    <w:p w14:paraId="614D0E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военному коменданту............ — 36 «</w:t>
      </w:r>
    </w:p>
    <w:p w14:paraId="643E0E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воинские части..............................— 5 «</w:t>
      </w:r>
    </w:p>
    <w:p w14:paraId="3BB426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КРО УНКВД ЛО............................— 1 «</w:t>
      </w:r>
    </w:p>
    <w:p w14:paraId="09434E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СПО УНКВД ЛО...........................— 8 «</w:t>
      </w:r>
    </w:p>
    <w:p w14:paraId="763A18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уклонение от призыва в РККА задержано 3 чел. Все направлены для привлечения к ответственности в Дорожно-транспортные прокуратуры.</w:t>
      </w:r>
    </w:p>
    <w:p w14:paraId="2DDB0D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Дезертиров, арестованных за шпионаж, за отчетный период не было.</w:t>
      </w:r>
    </w:p>
    <w:p w14:paraId="47AEF7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отчетный период агентурным путем вскрыта и ликвидируется антисоветская националистическая профашистская группа красноармейцев 71 отдельного строительного батальона в количестве 8-ми человек.</w:t>
      </w:r>
    </w:p>
    <w:p w14:paraId="1E6929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Участники группы — уроженцы Западных областей Украины и Белоруссии, по национальности поляки и в их числе бывший член польской националистической партии «Щельцы», красноармеец Ш. Адам Антонович, проводили среди красноармейцев батальона антисоветскую пораженческую агитацию, восхваляя капиталистическую Польшу и агитируя за необходимость дезертирства и коллективного перехода на сторону немецких войск.</w:t>
      </w:r>
    </w:p>
    <w:p w14:paraId="437CB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Допрошенный в качестве свидетеля красноармеец К. об антисоветской деятельности Ш.10/ІІ-42 г. показал:</w:t>
      </w:r>
    </w:p>
    <w:p w14:paraId="23763B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«.Высказывая</w:t>
      </w:r>
      <w:proofErr w:type="gramEnd"/>
      <w:r w:rsidRPr="008127F8">
        <w:rPr>
          <w:rFonts w:ascii="Times New Roman" w:hAnsi="Times New Roman"/>
          <w:color w:val="000000" w:themeColor="text1"/>
          <w:sz w:val="16"/>
          <w:szCs w:val="16"/>
        </w:rPr>
        <w:t xml:space="preserve"> пораженческие взгляды, восхваляя фашизм, Ш. заявлял: «Немецкая армия является культурной армией и технически вооруженной. Эта армия непобедима. Красная Армия технически плохо оснащена, голодная и ни в коем случае немецкую армию победить не может. Красная Армия нам не нужна. Мы, поляки, лучше будем служить у немцев и защищать фашизм.»</w:t>
      </w:r>
    </w:p>
    <w:p w14:paraId="09E821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Допрошенный 11/II-42 г. в качестве свидетеля красноармеец Б. показал:</w:t>
      </w:r>
    </w:p>
    <w:p w14:paraId="29605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 А., С., Ш. активно высказывались, что когда будем ближе к линии фронта, то необходимо перейти на немецкую сторону.»</w:t>
      </w:r>
    </w:p>
    <w:p w14:paraId="7125D6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районам Ленинградской области агентурными и оперативными мероприятиями задержано 104 чел. дезертиров.</w:t>
      </w:r>
    </w:p>
    <w:p w14:paraId="53A4CB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задержанные красноармейцы П.</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Е. скрывались у своих родственников в Мстинском районе Ленинградской области с августа месяца 1941 года.</w:t>
      </w:r>
    </w:p>
    <w:p w14:paraId="74112D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 на них вместе с задержанными направлен в Особый Отдел НКВД Ленинградского фронта.</w:t>
      </w:r>
    </w:p>
    <w:p w14:paraId="52045A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числа задержанных в районах Лен. Области:</w:t>
      </w:r>
    </w:p>
    <w:p w14:paraId="0C00D9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ОО НКВД Лен.фронта передано ...... — 8 чел.</w:t>
      </w:r>
    </w:p>
    <w:p w14:paraId="17B554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РО УНКВД по ЛО............. — 3 «</w:t>
      </w:r>
    </w:p>
    <w:p w14:paraId="2274D9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Находятся в стадии расследования и переданы в Райвоенкоматы.......... — 93 «.</w:t>
      </w:r>
    </w:p>
    <w:p w14:paraId="77B7A0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НКВД по ЛО КОМИССАР ГОСУДАРСТВЕННОЙ БЕЗОПАСНОСТИ 3 РАНГА (КУБАТКИН)</w:t>
      </w:r>
    </w:p>
    <w:p w14:paraId="5A92C4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года № 10264 г. Ленинград</w:t>
      </w:r>
    </w:p>
    <w:p w14:paraId="4B9982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Архив УФСБ ЛО. Ф.21/12. Оп.2. П.н.18. Д.11. Л.33-36 (11814).</w:t>
      </w:r>
    </w:p>
    <w:p w14:paraId="5B3610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9F09E" w14:textId="77777777" w:rsidR="004A3B1D" w:rsidRPr="008127F8" w:rsidRDefault="004A3B1D"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Жизнь и внутренняя политика:</w:t>
      </w:r>
    </w:p>
    <w:p w14:paraId="3230ABED" w14:textId="77777777" w:rsidR="004A3B1D" w:rsidRPr="008127F8" w:rsidRDefault="004A3B1D"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40645D"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Из анонимного письма председателю Госплана СССР Н. А. Вознесенскому: "За февраль с. г. по рабочим карточкам на 26 февраля фактически выдано: мяса 200 г. (норма 2200 г), сахара 200 г. (норма 500 г), кондитерских изделий не выдавалось совсем (норма 400 г), вместо круп (норма 2000 г) выдают серую муку кило за кило, что в смысле питания совершенно не устраивает население; картофель (норма 5 кг) не выдается совсем; животного масла выдано 200 г. (норма 500 г), рыбные продукты (1000 г) не выдаются совсем из месяца в месяц, Регулярно получается только 1,5 фунта хлеба в сутки (600 г). Февраль уже кончился, видно теперь, на каком фактическом пайке держали рабочую карточку.</w:t>
      </w:r>
    </w:p>
    <w:p w14:paraId="1156FF48"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каждой семье служащего и рабочего есть иждивенцы (подростки, престарелые члены семьи). Наконец, в Москве в связи с военными событиями образовалось большое число вообще безработных, иждивенцев государства. О них не приходится говорить, они, кроме хлеба, 100 г. сахара и 100 г. масла в месяц, вообще ничего не получают. Им предоставляется право сдохнуть с голода, если их домочадцы-служащие и рабочие кое-что не отделят им от своих скудных пайков. Примерно немногим лучше была та же картина выдачи продуктов в январе.</w:t>
      </w:r>
    </w:p>
    <w:p w14:paraId="518C292C"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учесть, что с осени и по настоящее время население Москвы не получает в госмагазинах никаких абсолютно овощей. За весь этот период население Москвы не получало квашеной капусты, соленых огурцов, моркови, лука. На пустых рынках Москвы, с большими очередями около продавцов, в ничтожных количествах продаются лишь мороженые овощи по таким ценам: картофель - 30-35 руб. кило, морковь и свекла - 25 руб. кило, редька - 20-25 руб. кило, иногда попадается лук - 60-70 руб. кило, нитка сушеных грибов - 85-90 руб. соленые плохие огурцы - 40 руб. кило, квашеная серая капуста - 30-35 руб. кило, молоко - 20-23 руб. кружка (45 руб. литр). Ясно, что рынком может пользоваться малое число людей-обладающих деньгами...</w:t>
      </w:r>
    </w:p>
    <w:p w14:paraId="091469C9" w14:textId="77777777" w:rsidR="004A3B1D" w:rsidRPr="008127F8" w:rsidRDefault="004A3B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Просим Вас, т. Вознесенский, доложить Сталину о голодающем населении Москвы. Мы убеждены, что т. Сталину не известно о том, как т. Пронин и К° вкупе со Щербаковым стараются уморить население Москвы" (18696).</w:t>
      </w:r>
    </w:p>
    <w:p w14:paraId="6F2AED9A" w14:textId="77777777" w:rsidR="004A3B1D" w:rsidRPr="008127F8" w:rsidRDefault="004A3B1D" w:rsidP="001E0A84">
      <w:pPr>
        <w:spacing w:after="0" w:line="240" w:lineRule="auto"/>
        <w:jc w:val="both"/>
        <w:rPr>
          <w:rFonts w:ascii="Times New Roman" w:hAnsi="Times New Roman"/>
          <w:color w:val="000000" w:themeColor="text1"/>
          <w:sz w:val="16"/>
          <w:szCs w:val="16"/>
        </w:rPr>
      </w:pPr>
    </w:p>
    <w:p w14:paraId="5CEA25E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DBC09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B8AE0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Начиная с 25 февраля 1942 г. было принято для расширения объемов ленд-лиза, повышения значимости организации, занимающейся поставками от лица правительства СССР решение возложить основную тяжесть работы на Советскую правительственную закупочную комиссию. В течение двух месяцев ее возглавлял Лукашев. Вместе с тем коммерческий импорт через «Амторг» продолжал осуществляться, но уже в значительно меньших объемах — в 1943 г. на сумму в 9,6 млн долл., а в 1944 г. — 3,3 млн долл. После перевода Лукашева в правительственную закупочную комиссию руководить «Амторгом» стал М. М. Гусев, который в 1944 г. был введен в состав членов ПЗК. По сути, статус «Амторга» соответствовал уровню отдела ПЗК. </w:t>
      </w:r>
    </w:p>
    <w:p w14:paraId="34FA3D7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Руководили правительственной закупочной комиссией в годы войны молодые, но очень опытные и образованные люди. Как отмечал Э. Стеттиниус, они были с огромными способностями и огромной энергией. Председателем ПЗК являлся представитель Наркомата обороны. С апреля 1942-го по ноябрь 1943 года это был генерал-майор авиации А. И. Беляев – бывший до того заместителем начальника штаба ВВС Красной Армии. С декабря 1943 по июнь 1946 года комиссию возглавлял генерал-майор авиации Л. Г. Руденко, отличившийся в боях под Сталинградом командир авиасоединения. Первым заместителем председателя ПЗК стал К. И. Лукашев, заместителями были И. А. Еремин, вице-адмирал М. И. Акулин (специалист по взрывчатым веществам), контр-адмирал А. А. Якимов. В состав ПЗК входили 18 «отраслевых» отделов, в большинстве своем образованные на основе групп военпредов Наркомата Внешней торговли. Руководители крупнейших из них являлись членами ПЗК — Еремин И. А., генерал-майор Разин Л. А., Ростарчук А. А. (металлург, выпускник химфака Киевского политехнического и Массачусетского технологического институтов), Сельдяков П. С., Голиков П. А., Гусев М. М., Шевелев К. В. </w:t>
      </w:r>
    </w:p>
    <w:p w14:paraId="7F147A5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своей работе специалисты ПЗК взаимодействовали с коллегами из различных предприятий и организаций США. Каждый запрос советского правительства страны по снабжению проходил проверку на соответствие ленд-лизу. Окончательное решение о распределении промышленных товаров и сырья с американской стороны принимал Комитет запросов Совета военной экономики (СВЭ) при координации с Объединенным советом производственных ресурсов и Объединенным советом по сырью (11549).</w:t>
      </w:r>
    </w:p>
    <w:p w14:paraId="4FA5FDF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2E0E07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февраля 1942 года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в Куйбышеве, куда эвакуировали дипкорпус из Москвы, говорилось: </w:t>
      </w:r>
    </w:p>
    <w:p w14:paraId="6B5076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08D1EA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782491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2E0178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661AE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D21F3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74D30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над Лос-Анджелесом войска ПВО безуспешно попытались сбить несколько НЛО (при этом в городе началась массовая паника из-за слухов, что идет бой с японскими ВВС) (4962).</w:t>
      </w:r>
    </w:p>
    <w:p w14:paraId="3ED0363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DB0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был великий налет НЛО на Лос-Анджелес. ЗА обстреливала летающую тарелку 20 минут (2621,161).</w:t>
      </w:r>
    </w:p>
    <w:p w14:paraId="0C2FD9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тарелок было несколько - до 15 и ЗА выпустила (37 бригада СА) 1430 снарядов по "самолетам", которые летали со скоростью от 0 до 360 км/час (3712).</w:t>
      </w:r>
    </w:p>
    <w:p w14:paraId="22CA32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7BF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февраля 1942 года, в небе над Лос-Анджелесом наблюдались неопознанные объекты, летевшие очень медленно. На следующий же день президенту США был представлен меморандум, в котором сообщалось "...о воздушной тревоге над Лос-Анджелесом, объявленной вчера утром. По данным, имеющимся на настоящий момент:</w:t>
      </w:r>
    </w:p>
    <w:p w14:paraId="3E4CDC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 принадлежащие американской армии или ВМФ неопознанные самолеты появились над Лос-Анджелесом и были обстреляны подразделениями 37-й зенитной бригады между 3 час. 12 мин. и 4 час. 15 мин. Подразделения выпустили 1430 снарядов (11620).</w:t>
      </w:r>
    </w:p>
    <w:p w14:paraId="25B583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этом инциденте участвовало около 15 самолетов, летевших, по официальным данным, на различных скоростях от "очень медленно" до 360 км/ч на высотах от 9000 до 18 000 футов (от 2700 до 5500 м).</w:t>
      </w:r>
    </w:p>
    <w:p w14:paraId="3F766E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 было сброшено ни одной бомбы.</w:t>
      </w:r>
    </w:p>
    <w:p w14:paraId="3D886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Среди наших войск потерь нет.</w:t>
      </w:r>
    </w:p>
    <w:p w14:paraId="3511A0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Ни один из самолетов сбит не был.</w:t>
      </w:r>
    </w:p>
    <w:p w14:paraId="004BF3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Ни один из самолетов армии или ВМС в воздух не поднимался. Расследование продолжается. Представляется справедливым сделать вывод о принадлежности неопознанных самолетов, если это были они, к торговому воздушному флоту и об использовании их врагом с целью посеять беспокойство, а также выявить расположение частей противовоздушной обороны в результате их демаскировки. Этот вывод подтверждается различными скоростями полета аппаратов и отсутствием сброшенных бомб" (11620).</w:t>
      </w:r>
    </w:p>
    <w:p w14:paraId="7CD83C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70AE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38AB5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65EC27" w14:textId="77777777" w:rsidR="00271F00"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полковник В.И.Сталин в ЦК ВКП(б) письмо (вх. N 1814оп) о об объединении заводов 18 и 1 и это письмо в дальнейшем было передано в НКАП А.И.Ш. (2728,142).</w:t>
      </w:r>
    </w:p>
    <w:p w14:paraId="60215CC6" w14:textId="77777777" w:rsidR="00271F00" w:rsidRPr="008127F8" w:rsidRDefault="00271F0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E6CD7"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года Ильюшин на ос</w:t>
      </w:r>
      <w:r w:rsidRPr="008127F8">
        <w:rPr>
          <w:rFonts w:ascii="Times New Roman" w:hAnsi="Times New Roman"/>
          <w:color w:val="000000" w:themeColor="text1"/>
          <w:sz w:val="16"/>
          <w:szCs w:val="16"/>
        </w:rPr>
        <w:softHyphen/>
        <w:t>новании ознакомления с работой Ил-2 в действую</w:t>
      </w:r>
      <w:r w:rsidRPr="008127F8">
        <w:rPr>
          <w:rFonts w:ascii="Times New Roman" w:hAnsi="Times New Roman"/>
          <w:color w:val="000000" w:themeColor="text1"/>
          <w:sz w:val="16"/>
          <w:szCs w:val="16"/>
        </w:rPr>
        <w:softHyphen/>
        <w:t>щих частях в письме внес на рассмо</w:t>
      </w:r>
      <w:r w:rsidRPr="008127F8">
        <w:rPr>
          <w:rFonts w:ascii="Times New Roman" w:hAnsi="Times New Roman"/>
          <w:color w:val="000000" w:themeColor="text1"/>
          <w:sz w:val="16"/>
          <w:szCs w:val="16"/>
        </w:rPr>
        <w:softHyphen/>
        <w:t>трение Сталина следующее предложение:</w:t>
      </w:r>
    </w:p>
    <w:p w14:paraId="47D2336B"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 расходовать самолеты Ил-2 в течение бли</w:t>
      </w:r>
      <w:r w:rsidRPr="008127F8">
        <w:rPr>
          <w:rFonts w:ascii="Times New Roman" w:hAnsi="Times New Roman"/>
          <w:color w:val="000000" w:themeColor="text1"/>
          <w:sz w:val="16"/>
          <w:szCs w:val="16"/>
        </w:rPr>
        <w:softHyphen/>
        <w:t>жайших 2-х месяцев, а начать производить накопле</w:t>
      </w:r>
      <w:r w:rsidRPr="008127F8">
        <w:rPr>
          <w:rFonts w:ascii="Times New Roman" w:hAnsi="Times New Roman"/>
          <w:color w:val="000000" w:themeColor="text1"/>
          <w:sz w:val="16"/>
          <w:szCs w:val="16"/>
        </w:rPr>
        <w:softHyphen/>
        <w:t>ние их к весенним операциям для истребления тан</w:t>
      </w:r>
      <w:r w:rsidRPr="008127F8">
        <w:rPr>
          <w:rFonts w:ascii="Times New Roman" w:hAnsi="Times New Roman"/>
          <w:color w:val="000000" w:themeColor="text1"/>
          <w:sz w:val="16"/>
          <w:szCs w:val="16"/>
        </w:rPr>
        <w:softHyphen/>
        <w:t>ков врага. За март и апрель авиационная промыш</w:t>
      </w:r>
      <w:r w:rsidRPr="008127F8">
        <w:rPr>
          <w:rFonts w:ascii="Times New Roman" w:hAnsi="Times New Roman"/>
          <w:color w:val="000000" w:themeColor="text1"/>
          <w:sz w:val="16"/>
          <w:szCs w:val="16"/>
        </w:rPr>
        <w:softHyphen/>
        <w:t>ленность даст не менее 1000 самолетов Ил-2, что составит 50 штурмовых авиаполков.</w:t>
      </w:r>
    </w:p>
    <w:p w14:paraId="660B7C5E"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50 штурмовых авиаполков находятся в вашем резерве. При придании их в нужный момент фрон</w:t>
      </w:r>
      <w:r w:rsidRPr="008127F8">
        <w:rPr>
          <w:rFonts w:ascii="Times New Roman" w:hAnsi="Times New Roman"/>
          <w:color w:val="000000" w:themeColor="text1"/>
          <w:sz w:val="16"/>
          <w:szCs w:val="16"/>
        </w:rPr>
        <w:softHyphen/>
        <w:t>товому или армейскому командованию последними должны использоваться, как правило, только по тан</w:t>
      </w:r>
      <w:r w:rsidRPr="008127F8">
        <w:rPr>
          <w:rFonts w:ascii="Times New Roman" w:hAnsi="Times New Roman"/>
          <w:color w:val="000000" w:themeColor="text1"/>
          <w:sz w:val="16"/>
          <w:szCs w:val="16"/>
        </w:rPr>
        <w:softHyphen/>
        <w:t>кам и в исключительных случаях по целям, имеющим решающее значение для данной операции и то лишь при условии, что, кроме Ил-2, другие самолеты этой задачи выполнить не могут.</w:t>
      </w:r>
    </w:p>
    <w:p w14:paraId="61AEFC96"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Ил-2, как правило, нужно нацеливать только на танки.</w:t>
      </w:r>
    </w:p>
    <w:p w14:paraId="111CE98D"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нанесения сокрушительных ударов по тан</w:t>
      </w:r>
      <w:r w:rsidRPr="008127F8">
        <w:rPr>
          <w:rFonts w:ascii="Times New Roman" w:hAnsi="Times New Roman"/>
          <w:color w:val="000000" w:themeColor="text1"/>
          <w:sz w:val="16"/>
          <w:szCs w:val="16"/>
        </w:rPr>
        <w:softHyphen/>
        <w:t>кам врага необходимо вместо реактивных снарядов 82 мм &lt;...&gt; Ил-2 снабдить в достаточном количестве снарядами типа М13.</w:t>
      </w:r>
    </w:p>
    <w:p w14:paraId="1D387EA5"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данный момент имеется много летчиков, ко</w:t>
      </w:r>
      <w:r w:rsidRPr="008127F8">
        <w:rPr>
          <w:rFonts w:ascii="Times New Roman" w:hAnsi="Times New Roman"/>
          <w:color w:val="000000" w:themeColor="text1"/>
          <w:sz w:val="16"/>
          <w:szCs w:val="16"/>
        </w:rPr>
        <w:softHyphen/>
        <w:t>торые уже воевали на самолете Ил-2, вполне им ов</w:t>
      </w:r>
      <w:r w:rsidRPr="008127F8">
        <w:rPr>
          <w:rFonts w:ascii="Times New Roman" w:hAnsi="Times New Roman"/>
          <w:color w:val="000000" w:themeColor="text1"/>
          <w:sz w:val="16"/>
          <w:szCs w:val="16"/>
        </w:rPr>
        <w:softHyphen/>
        <w:t>ладели и, что еще более ценно, усвоили способы ата</w:t>
      </w:r>
      <w:r w:rsidRPr="008127F8">
        <w:rPr>
          <w:rFonts w:ascii="Times New Roman" w:hAnsi="Times New Roman"/>
          <w:color w:val="000000" w:themeColor="text1"/>
          <w:sz w:val="16"/>
          <w:szCs w:val="16"/>
        </w:rPr>
        <w:softHyphen/>
        <w:t>ки, способы ведения боя.</w:t>
      </w:r>
    </w:p>
    <w:p w14:paraId="1B5F512B"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первый период </w:t>
      </w:r>
      <w:proofErr w:type="gramStart"/>
      <w:r w:rsidRPr="008127F8">
        <w:rPr>
          <w:rFonts w:ascii="Times New Roman" w:hAnsi="Times New Roman"/>
          <w:color w:val="000000" w:themeColor="text1"/>
          <w:sz w:val="16"/>
          <w:szCs w:val="16"/>
        </w:rPr>
        <w:t>войны, вследствие того, что</w:t>
      </w:r>
      <w:proofErr w:type="gramEnd"/>
      <w:r w:rsidRPr="008127F8">
        <w:rPr>
          <w:rFonts w:ascii="Times New Roman" w:hAnsi="Times New Roman"/>
          <w:color w:val="000000" w:themeColor="text1"/>
          <w:sz w:val="16"/>
          <w:szCs w:val="16"/>
        </w:rPr>
        <w:t xml:space="preserve"> летному составу пришлось осваивать самолеты Ил-2 на поле боя — было много потеряно самолетов у себя в тылу и было много проведено малоэффек</w:t>
      </w:r>
      <w:r w:rsidRPr="008127F8">
        <w:rPr>
          <w:rFonts w:ascii="Times New Roman" w:hAnsi="Times New Roman"/>
          <w:color w:val="000000" w:themeColor="text1"/>
          <w:sz w:val="16"/>
          <w:szCs w:val="16"/>
        </w:rPr>
        <w:softHyphen/>
        <w:t>тивных атак. Поэтому необходимо сажать на самоле</w:t>
      </w:r>
      <w:r w:rsidRPr="008127F8">
        <w:rPr>
          <w:rFonts w:ascii="Times New Roman" w:hAnsi="Times New Roman"/>
          <w:color w:val="000000" w:themeColor="text1"/>
          <w:sz w:val="16"/>
          <w:szCs w:val="16"/>
        </w:rPr>
        <w:softHyphen/>
        <w:t>ты Ил-2 только летчиков, воевавших на Ил-2, и даже среди них сделать отбор лучших.</w:t>
      </w:r>
    </w:p>
    <w:p w14:paraId="32B98E34"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Сажать на Ил-2 новичков только после того, как будет исчерпан резерв воевавших на Ил-2.</w:t>
      </w:r>
    </w:p>
    <w:p w14:paraId="1391217B"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мере формирования авиаполков необхо</w:t>
      </w:r>
      <w:r w:rsidRPr="008127F8">
        <w:rPr>
          <w:rFonts w:ascii="Times New Roman" w:hAnsi="Times New Roman"/>
          <w:color w:val="000000" w:themeColor="text1"/>
          <w:sz w:val="16"/>
          <w:szCs w:val="16"/>
        </w:rPr>
        <w:softHyphen/>
        <w:t>димо давать им небольшую подготовку, обратив основное внимание на то, чтобы летчик умел как можно эффективнее использовать оружие само</w:t>
      </w:r>
      <w:r w:rsidRPr="008127F8">
        <w:rPr>
          <w:rFonts w:ascii="Times New Roman" w:hAnsi="Times New Roman"/>
          <w:color w:val="000000" w:themeColor="text1"/>
          <w:sz w:val="16"/>
          <w:szCs w:val="16"/>
        </w:rPr>
        <w:softHyphen/>
        <w:t>лета Ил-2, и преподать им единство способов атаки различных целей. Для этого необходимо со</w:t>
      </w:r>
      <w:r w:rsidRPr="008127F8">
        <w:rPr>
          <w:rFonts w:ascii="Times New Roman" w:hAnsi="Times New Roman"/>
          <w:color w:val="000000" w:themeColor="text1"/>
          <w:sz w:val="16"/>
          <w:szCs w:val="16"/>
        </w:rPr>
        <w:softHyphen/>
        <w:t>ставить краткую инструкцию о методах и приемах атаки основных целей. Материала для этого до</w:t>
      </w:r>
      <w:r w:rsidRPr="008127F8">
        <w:rPr>
          <w:rFonts w:ascii="Times New Roman" w:hAnsi="Times New Roman"/>
          <w:color w:val="000000" w:themeColor="text1"/>
          <w:sz w:val="16"/>
          <w:szCs w:val="16"/>
        </w:rPr>
        <w:softHyphen/>
        <w:t>статочно.</w:t>
      </w:r>
    </w:p>
    <w:p w14:paraId="41BE3530"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наиболее напряженные моменты борьбы с танковыми колоннами необходимо прикрытие са</w:t>
      </w:r>
      <w:r w:rsidRPr="008127F8">
        <w:rPr>
          <w:rFonts w:ascii="Times New Roman" w:hAnsi="Times New Roman"/>
          <w:color w:val="000000" w:themeColor="text1"/>
          <w:sz w:val="16"/>
          <w:szCs w:val="16"/>
        </w:rPr>
        <w:softHyphen/>
        <w:t>молета Ил-2 истребителями из расчета 3 истребите</w:t>
      </w:r>
      <w:r w:rsidRPr="008127F8">
        <w:rPr>
          <w:rFonts w:ascii="Times New Roman" w:hAnsi="Times New Roman"/>
          <w:color w:val="000000" w:themeColor="text1"/>
          <w:sz w:val="16"/>
          <w:szCs w:val="16"/>
        </w:rPr>
        <w:softHyphen/>
        <w:t>ля на 9 самолетов Ил-2.</w:t>
      </w:r>
    </w:p>
    <w:p w14:paraId="390B538C"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провести эти мероприятия со всей неукос</w:t>
      </w:r>
      <w:r w:rsidRPr="008127F8">
        <w:rPr>
          <w:rFonts w:ascii="Times New Roman" w:hAnsi="Times New Roman"/>
          <w:color w:val="000000" w:themeColor="text1"/>
          <w:sz w:val="16"/>
          <w:szCs w:val="16"/>
        </w:rPr>
        <w:softHyphen/>
        <w:t>нительностью, то можно с полной уверенностью ска</w:t>
      </w:r>
      <w:r w:rsidRPr="008127F8">
        <w:rPr>
          <w:rFonts w:ascii="Times New Roman" w:hAnsi="Times New Roman"/>
          <w:color w:val="000000" w:themeColor="text1"/>
          <w:sz w:val="16"/>
          <w:szCs w:val="16"/>
        </w:rPr>
        <w:softHyphen/>
        <w:t>зать, что танковые колонны врага будут разбиты» (23188).</w:t>
      </w:r>
    </w:p>
    <w:p w14:paraId="0290E4ED"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7AF0F224" w14:textId="7C97BAF0" w:rsidR="003C6ADB" w:rsidRPr="008127F8" w:rsidRDefault="003C6AD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февраля 1943 г. ГОСУДАРСТВЕННЫЙ КОМИТЕТ ОБОРОНЫ ПОСТАНОВЛЕНИЕ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ГКО</w:t>
      </w:r>
      <w:proofErr w:type="gramEnd"/>
      <w:r w:rsidRPr="008127F8">
        <w:rPr>
          <w:rFonts w:ascii="Times New Roman" w:hAnsi="Times New Roman"/>
          <w:color w:val="000000" w:themeColor="text1"/>
          <w:sz w:val="16"/>
          <w:szCs w:val="16"/>
        </w:rPr>
        <w:t>-2946сс</w:t>
      </w:r>
    </w:p>
    <w:p w14:paraId="08864398" w14:textId="77777777" w:rsidR="00271F00"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Кремль</w:t>
      </w:r>
    </w:p>
    <w:p w14:paraId="21DBE314"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обеспечении истребительной авиации ПВО моторами АМ-35А и улучшенными самолетами МиГ-3.</w:t>
      </w:r>
    </w:p>
    <w:p w14:paraId="0BA34D56"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Государственный Комитет Обороны ПОСТАНОВЛЯЕТ: </w:t>
      </w:r>
    </w:p>
    <w:p w14:paraId="12DA9245"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директора завода № 24 НКАП тов. Жезлова изготовить для Истребительной Авиации ПВО моторы АМ-35А с редукцией 0,732 в количестве 10 штук ежемесячно в течение всего 1943 г., начиная с февраля, без ущерба для выпуска моторов АМ-38. </w:t>
      </w:r>
    </w:p>
    <w:p w14:paraId="662A131E" w14:textId="77777777" w:rsidR="003C6ADB" w:rsidRPr="008127F8" w:rsidRDefault="003C6ADB" w:rsidP="001E0A84">
      <w:pPr>
        <w:pStyle w:val="af"/>
        <w:spacing w:before="0" w:after="0"/>
        <w:jc w:val="both"/>
        <w:rPr>
          <w:iCs/>
          <w:color w:val="000000" w:themeColor="text1"/>
          <w:sz w:val="16"/>
          <w:szCs w:val="16"/>
        </w:rPr>
      </w:pPr>
      <w:r w:rsidRPr="008127F8">
        <w:rPr>
          <w:color w:val="000000" w:themeColor="text1"/>
          <w:sz w:val="16"/>
          <w:szCs w:val="16"/>
        </w:rPr>
        <w:t>2. Обязать директора и Главного Конструктора завода № 155 НКАП тов. Микояна А.И. изготовить к 20 мая сего года шесть улучшенных самолетов МИГ-3 со следующими данными:</w:t>
      </w: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5"/>
        <w:gridCol w:w="525"/>
        <w:gridCol w:w="4780"/>
      </w:tblGrid>
      <w:tr w:rsidR="008127F8" w:rsidRPr="008127F8" w14:paraId="57E8C4FC" w14:textId="77777777" w:rsidTr="00E203C4">
        <w:tc>
          <w:tcPr>
            <w:tcW w:w="0" w:type="auto"/>
            <w:shd w:val="clear" w:color="auto" w:fill="auto"/>
            <w:hideMark/>
          </w:tcPr>
          <w:p w14:paraId="772C4C9F"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Потолок</w:t>
            </w:r>
          </w:p>
        </w:tc>
        <w:tc>
          <w:tcPr>
            <w:tcW w:w="0" w:type="auto"/>
            <w:shd w:val="clear" w:color="auto" w:fill="auto"/>
            <w:hideMark/>
          </w:tcPr>
          <w:p w14:paraId="79847116"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p>
        </w:tc>
        <w:tc>
          <w:tcPr>
            <w:tcW w:w="0" w:type="auto"/>
            <w:shd w:val="clear" w:color="auto" w:fill="auto"/>
            <w:hideMark/>
          </w:tcPr>
          <w:p w14:paraId="68F3469C"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12500 м.</w:t>
            </w:r>
          </w:p>
        </w:tc>
      </w:tr>
      <w:tr w:rsidR="008127F8" w:rsidRPr="008127F8" w14:paraId="71B246DD" w14:textId="77777777" w:rsidTr="00E203C4">
        <w:tc>
          <w:tcPr>
            <w:tcW w:w="0" w:type="auto"/>
            <w:shd w:val="clear" w:color="auto" w:fill="auto"/>
            <w:hideMark/>
          </w:tcPr>
          <w:p w14:paraId="17D9CA1F"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Время подъема на 10000 м</w:t>
            </w:r>
          </w:p>
        </w:tc>
        <w:tc>
          <w:tcPr>
            <w:tcW w:w="0" w:type="auto"/>
            <w:shd w:val="clear" w:color="auto" w:fill="auto"/>
            <w:hideMark/>
          </w:tcPr>
          <w:p w14:paraId="192BC12F"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p>
        </w:tc>
        <w:tc>
          <w:tcPr>
            <w:tcW w:w="0" w:type="auto"/>
            <w:shd w:val="clear" w:color="auto" w:fill="auto"/>
            <w:hideMark/>
          </w:tcPr>
          <w:p w14:paraId="3E9EEB36"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13 мин.</w:t>
            </w:r>
          </w:p>
        </w:tc>
      </w:tr>
      <w:tr w:rsidR="008127F8" w:rsidRPr="008127F8" w14:paraId="7E8835EA" w14:textId="77777777" w:rsidTr="00E203C4">
        <w:tc>
          <w:tcPr>
            <w:tcW w:w="0" w:type="auto"/>
            <w:shd w:val="clear" w:color="auto" w:fill="auto"/>
            <w:hideMark/>
          </w:tcPr>
          <w:p w14:paraId="5F557ABA"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Полетный вес</w:t>
            </w:r>
          </w:p>
        </w:tc>
        <w:tc>
          <w:tcPr>
            <w:tcW w:w="0" w:type="auto"/>
            <w:shd w:val="clear" w:color="auto" w:fill="auto"/>
            <w:hideMark/>
          </w:tcPr>
          <w:p w14:paraId="6D5227E1"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p>
        </w:tc>
        <w:tc>
          <w:tcPr>
            <w:tcW w:w="0" w:type="auto"/>
            <w:shd w:val="clear" w:color="auto" w:fill="auto"/>
            <w:hideMark/>
          </w:tcPr>
          <w:p w14:paraId="03D0DBAD"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3100 кг</w:t>
            </w:r>
          </w:p>
        </w:tc>
      </w:tr>
      <w:tr w:rsidR="008127F8" w:rsidRPr="008127F8" w14:paraId="384432B7" w14:textId="77777777" w:rsidTr="00E203C4">
        <w:tc>
          <w:tcPr>
            <w:tcW w:w="0" w:type="auto"/>
            <w:shd w:val="clear" w:color="auto" w:fill="auto"/>
            <w:hideMark/>
          </w:tcPr>
          <w:p w14:paraId="4A894971"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Вооружение</w:t>
            </w:r>
          </w:p>
        </w:tc>
        <w:tc>
          <w:tcPr>
            <w:tcW w:w="0" w:type="auto"/>
            <w:shd w:val="clear" w:color="auto" w:fill="auto"/>
            <w:hideMark/>
          </w:tcPr>
          <w:p w14:paraId="0FD36293"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p>
        </w:tc>
        <w:tc>
          <w:tcPr>
            <w:tcW w:w="0" w:type="auto"/>
            <w:shd w:val="clear" w:color="auto" w:fill="auto"/>
            <w:hideMark/>
          </w:tcPr>
          <w:p w14:paraId="3B7951CE"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 пушки ШВАК калибром 20 мм</w:t>
            </w:r>
          </w:p>
        </w:tc>
      </w:tr>
      <w:tr w:rsidR="008127F8" w:rsidRPr="008127F8" w14:paraId="40920E24" w14:textId="77777777" w:rsidTr="00E203C4">
        <w:tc>
          <w:tcPr>
            <w:tcW w:w="0" w:type="auto"/>
            <w:shd w:val="clear" w:color="auto" w:fill="auto"/>
            <w:hideMark/>
          </w:tcPr>
          <w:p w14:paraId="2B5A5905"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Максимальная скорость самолета</w:t>
            </w:r>
          </w:p>
        </w:tc>
        <w:tc>
          <w:tcPr>
            <w:tcW w:w="0" w:type="auto"/>
            <w:shd w:val="clear" w:color="auto" w:fill="auto"/>
            <w:hideMark/>
          </w:tcPr>
          <w:p w14:paraId="4415D3AE" w14:textId="77777777" w:rsidR="003C6ADB" w:rsidRPr="008127F8" w:rsidRDefault="003C6AD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p>
        </w:tc>
        <w:tc>
          <w:tcPr>
            <w:tcW w:w="0" w:type="auto"/>
            <w:shd w:val="clear" w:color="auto" w:fill="auto"/>
            <w:hideMark/>
          </w:tcPr>
          <w:p w14:paraId="1466A343" w14:textId="77777777" w:rsidR="003C6ADB" w:rsidRPr="008127F8" w:rsidRDefault="003C6ADB" w:rsidP="001E0A84">
            <w:pPr>
              <w:numPr>
                <w:ilvl w:val="0"/>
                <w:numId w:val="7"/>
              </w:numPr>
              <w:spacing w:after="0" w:line="240" w:lineRule="auto"/>
              <w:ind w:left="0" w:firstLine="0"/>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/час</w:t>
            </w:r>
          </w:p>
        </w:tc>
      </w:tr>
    </w:tbl>
    <w:p w14:paraId="3E355BE3" w14:textId="77777777" w:rsidR="00271F00" w:rsidRPr="008127F8" w:rsidRDefault="00271F00" w:rsidP="001E0A84">
      <w:pPr>
        <w:pStyle w:val="af"/>
        <w:spacing w:before="0" w:after="0"/>
        <w:jc w:val="both"/>
        <w:rPr>
          <w:color w:val="000000" w:themeColor="text1"/>
          <w:sz w:val="16"/>
          <w:szCs w:val="16"/>
        </w:rPr>
      </w:pPr>
      <w:r w:rsidRPr="008127F8">
        <w:rPr>
          <w:color w:val="000000" w:themeColor="text1"/>
          <w:sz w:val="16"/>
          <w:szCs w:val="16"/>
        </w:rPr>
        <w:t xml:space="preserve">3. </w:t>
      </w:r>
      <w:r w:rsidR="003C6ADB" w:rsidRPr="008127F8">
        <w:rPr>
          <w:color w:val="000000" w:themeColor="text1"/>
          <w:sz w:val="16"/>
          <w:szCs w:val="16"/>
        </w:rPr>
        <w:t>Обязать Народного Комиссара Финансов тов. Зверева финансировать указанные в настоящем Постановлении мероприятия.</w:t>
      </w:r>
    </w:p>
    <w:p w14:paraId="2012E105" w14:textId="77777777" w:rsidR="003C6ADB" w:rsidRPr="008127F8" w:rsidRDefault="003C6ADB" w:rsidP="001E0A84">
      <w:pPr>
        <w:pStyle w:val="af"/>
        <w:spacing w:before="0" w:after="0"/>
        <w:jc w:val="both"/>
        <w:rPr>
          <w:color w:val="000000" w:themeColor="text1"/>
          <w:sz w:val="16"/>
          <w:szCs w:val="16"/>
        </w:rPr>
      </w:pPr>
      <w:r w:rsidRPr="008127F8">
        <w:rPr>
          <w:color w:val="000000" w:themeColor="text1"/>
          <w:sz w:val="16"/>
          <w:szCs w:val="16"/>
        </w:rPr>
        <w:t xml:space="preserve">ПРЕДСЕДАТЕЛЬ ГОСУДАРСТВЕННОГО КОМИТЕТА ОБОРОНЫ И. СТАЛИН </w:t>
      </w:r>
    </w:p>
    <w:p w14:paraId="0F4F3038"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Разослать: </w:t>
      </w:r>
    </w:p>
    <w:p w14:paraId="6BF99F0B"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т.т. Молотову, Маленкову, Вознесенскому, Шахурину, </w:t>
      </w:r>
    </w:p>
    <w:p w14:paraId="62576CDE" w14:textId="77777777" w:rsidR="003C6ADB" w:rsidRPr="008127F8" w:rsidRDefault="003C6AD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Громадину, Микояну (з-д № 155), Звереву, Чадаеву; </w:t>
      </w:r>
    </w:p>
    <w:p w14:paraId="4EF874DD" w14:textId="77777777" w:rsidR="003C6ADB" w:rsidRPr="008127F8" w:rsidRDefault="003C6ADB" w:rsidP="001E0A84">
      <w:pPr>
        <w:pStyle w:val="af"/>
        <w:spacing w:before="0" w:after="0"/>
        <w:jc w:val="both"/>
        <w:rPr>
          <w:color w:val="000000" w:themeColor="text1"/>
          <w:sz w:val="16"/>
          <w:szCs w:val="16"/>
        </w:rPr>
      </w:pPr>
      <w:r w:rsidRPr="008127F8">
        <w:rPr>
          <w:color w:val="000000" w:themeColor="text1"/>
          <w:sz w:val="16"/>
          <w:szCs w:val="16"/>
        </w:rPr>
        <w:t>Жезлову – 1 (12651).</w:t>
      </w:r>
    </w:p>
    <w:p w14:paraId="2CA81190" w14:textId="77777777" w:rsidR="003C6ADB" w:rsidRPr="008127F8" w:rsidRDefault="003C6ADB" w:rsidP="001E0A84">
      <w:pPr>
        <w:pStyle w:val="af"/>
        <w:spacing w:before="0" w:after="0"/>
        <w:jc w:val="both"/>
        <w:rPr>
          <w:iCs/>
          <w:color w:val="000000" w:themeColor="text1"/>
          <w:sz w:val="16"/>
          <w:szCs w:val="16"/>
        </w:rPr>
      </w:pPr>
    </w:p>
    <w:p w14:paraId="1982FA2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1941 вышло постановления ГКО № 2946 и на следующий день - приказ НКАП № 121, которыми коллективу ОКБ-155 было поручено построить для авиации ПВО шесть улучшенных истре</w:t>
      </w:r>
      <w:r w:rsidRPr="008A2E5A">
        <w:rPr>
          <w:rFonts w:ascii="Times New Roman" w:hAnsi="Times New Roman"/>
          <w:color w:val="0070C0"/>
          <w:sz w:val="16"/>
          <w:szCs w:val="16"/>
        </w:rPr>
        <w:softHyphen/>
        <w:t>бителей МиГ-3. В соответствии с заданием они должны были иметь взлётную массу 3100 кг, максимальную ско</w:t>
      </w:r>
      <w:r w:rsidRPr="008A2E5A">
        <w:rPr>
          <w:rFonts w:ascii="Times New Roman" w:hAnsi="Times New Roman"/>
          <w:color w:val="0070C0"/>
          <w:sz w:val="16"/>
          <w:szCs w:val="16"/>
        </w:rPr>
        <w:softHyphen/>
        <w:t>рость 670 км/ч, практический потолок 12 500 м и время набора высоты 10 000 м — 13 минут.</w:t>
      </w:r>
    </w:p>
    <w:p w14:paraId="50C3EE8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достижения заданных характеристик в ОКБ-155 коренным образом пересмотрели конструкцию МиГ-3 с точки зрения уменьшения массы. Проведённые ме</w:t>
      </w:r>
      <w:r w:rsidRPr="008A2E5A">
        <w:rPr>
          <w:rFonts w:ascii="Times New Roman" w:hAnsi="Times New Roman"/>
          <w:color w:val="0070C0"/>
          <w:sz w:val="16"/>
          <w:szCs w:val="16"/>
        </w:rPr>
        <w:softHyphen/>
        <w:t>роприятия позволили улучшить аэродинамику и тех</w:t>
      </w:r>
      <w:r w:rsidRPr="008A2E5A">
        <w:rPr>
          <w:rFonts w:ascii="Times New Roman" w:hAnsi="Times New Roman"/>
          <w:color w:val="0070C0"/>
          <w:sz w:val="16"/>
          <w:szCs w:val="16"/>
        </w:rPr>
        <w:softHyphen/>
        <w:t>нологичность конструкции, а также снизить на 150 кг массу самолёта. Новый вариант истребителя получил также название И-230 и заводской шифр «Д» (23379).</w:t>
      </w:r>
    </w:p>
    <w:p w14:paraId="07A39A80" w14:textId="77777777" w:rsidR="000E620A" w:rsidRPr="008A2E5A" w:rsidRDefault="000E620A" w:rsidP="000E620A">
      <w:pPr>
        <w:spacing w:after="0" w:line="240" w:lineRule="auto"/>
        <w:jc w:val="both"/>
        <w:rPr>
          <w:rFonts w:ascii="Times New Roman" w:hAnsi="Times New Roman"/>
          <w:color w:val="0070C0"/>
          <w:sz w:val="16"/>
          <w:szCs w:val="16"/>
        </w:rPr>
      </w:pPr>
    </w:p>
    <w:p w14:paraId="46B67B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вышел приказ НКАП N 153сс в исполнение указания Правительства о форсировании испытаний модификации самолета Пе-2 с М-105Ф:</w:t>
      </w:r>
    </w:p>
    <w:p w14:paraId="61ADEF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22 Карпову и ГК Изаксон</w:t>
      </w:r>
    </w:p>
    <w:p w14:paraId="68C69B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максимально форсировать летные испытания опытного экз. модификации самолета Пе-2 с М-105Ф и окончить их не позднее 15 марта с.г.</w:t>
      </w:r>
    </w:p>
    <w:p w14:paraId="264D85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закончить постройку дублера модифицированного самолета и вывести его на аэродром к 1 мая с.г. (1533,129).</w:t>
      </w:r>
    </w:p>
    <w:p w14:paraId="0712A4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9F197"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CC61D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4E32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г. вышел ПРИКАЗ НКО СССР ОБ УМЕНЬШЕНИИ ВЕСА ТАНКОВ «КВ» № 0039</w:t>
      </w:r>
    </w:p>
    <w:p w14:paraId="7A3A51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целью уменьшения веса и повышения маневренности танков «КВ» согласно решению Госу</w:t>
      </w:r>
      <w:r w:rsidRPr="008127F8">
        <w:rPr>
          <w:rFonts w:ascii="Times New Roman" w:hAnsi="Times New Roman"/>
          <w:color w:val="000000" w:themeColor="text1"/>
          <w:sz w:val="16"/>
          <w:szCs w:val="16"/>
        </w:rPr>
        <w:softHyphen/>
        <w:t>дарственного Комитета Обороны Союза ССР ПРИКАЗЫВАЮ:</w:t>
      </w:r>
    </w:p>
    <w:p w14:paraId="2A4797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Немедленно снять с танков «КВ» запасные топливные баки, расположенные на крыльях ма</w:t>
      </w:r>
      <w:r w:rsidRPr="008127F8">
        <w:rPr>
          <w:rFonts w:ascii="Times New Roman" w:hAnsi="Times New Roman"/>
          <w:color w:val="000000" w:themeColor="text1"/>
          <w:sz w:val="16"/>
          <w:szCs w:val="16"/>
        </w:rPr>
        <w:softHyphen/>
        <w:t>шин, и передать их в роты технического обеспечения для использования как тары для горючего.</w:t>
      </w:r>
    </w:p>
    <w:p w14:paraId="179E8A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Боекомплект снарядов к 76-мм пушке укладывать не более 90 шт. на каждый танк.</w:t>
      </w:r>
    </w:p>
    <w:p w14:paraId="3834E05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Возимый на танке индивидуальный комплект запасных частей, инструмента и принадлежно</w:t>
      </w:r>
      <w:r w:rsidRPr="008127F8">
        <w:rPr>
          <w:rFonts w:ascii="Times New Roman" w:hAnsi="Times New Roman"/>
          <w:color w:val="000000" w:themeColor="text1"/>
          <w:sz w:val="16"/>
          <w:szCs w:val="16"/>
        </w:rPr>
        <w:softHyphen/>
        <w:t>стей уложить в сокращенном объеме.</w:t>
      </w:r>
    </w:p>
    <w:p w14:paraId="5F8F43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инструмент и принадлежности согласно прилагаемому перечню из комплекта изъять, на танке не возить, а передать в роты технического обслуживания.</w:t>
      </w:r>
    </w:p>
    <w:p w14:paraId="160FBE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Все гусеницы на танках «КВ» при поступлении соответствующих траков перебрать, соблюдая постановку траков с клыками через один трак.</w:t>
      </w:r>
    </w:p>
    <w:p w14:paraId="751003D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ГАБТУ Красной Армии все танки «КВ», получаемые с заводов и ремонтных баз, на</w:t>
      </w:r>
      <w:r w:rsidRPr="008127F8">
        <w:rPr>
          <w:rFonts w:ascii="Times New Roman" w:hAnsi="Times New Roman"/>
          <w:color w:val="000000" w:themeColor="text1"/>
          <w:sz w:val="16"/>
          <w:szCs w:val="16"/>
        </w:rPr>
        <w:softHyphen/>
        <w:t>правлять в войска с новой комплектацией, а именно:</w:t>
      </w:r>
    </w:p>
    <w:p w14:paraId="026F5C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 снятыми запасными топливными баками;</w:t>
      </w:r>
    </w:p>
    <w:p w14:paraId="0529DF4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боекомплектом снарядов к 76-мм пушке — 90 шт. в каждом танке;</w:t>
      </w:r>
    </w:p>
    <w:p w14:paraId="326811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 сокращенным возимым индивидуальным комплектом запасных частей, инструмента и при</w:t>
      </w:r>
      <w:r w:rsidRPr="008127F8">
        <w:rPr>
          <w:rFonts w:ascii="Times New Roman" w:hAnsi="Times New Roman"/>
          <w:color w:val="000000" w:themeColor="text1"/>
          <w:sz w:val="16"/>
          <w:szCs w:val="16"/>
        </w:rPr>
        <w:softHyphen/>
        <w:t>надлежностей.</w:t>
      </w:r>
    </w:p>
    <w:p w14:paraId="5D8454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инструмент и принадлежности, изъятые из комплекта, обратить на пополнение ротных комплектов запасных частей.</w:t>
      </w:r>
    </w:p>
    <w:p w14:paraId="38B44C6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с гусеницами из траков с клыками через один трак.</w:t>
      </w:r>
    </w:p>
    <w:p w14:paraId="77E3531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перечень запасных частей, инструмента и принадлежностей, изъятых из индиви</w:t>
      </w:r>
      <w:r w:rsidRPr="008127F8">
        <w:rPr>
          <w:rFonts w:ascii="Times New Roman" w:hAnsi="Times New Roman"/>
          <w:color w:val="000000" w:themeColor="text1"/>
          <w:sz w:val="16"/>
          <w:szCs w:val="16"/>
        </w:rPr>
        <w:softHyphen/>
        <w:t>дуального комплекта.</w:t>
      </w:r>
    </w:p>
    <w:p w14:paraId="66F6C2F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Союза ССР</w:t>
      </w:r>
    </w:p>
    <w:p w14:paraId="23A2471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238DEA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 Приказу НКО № 0039</w:t>
      </w:r>
    </w:p>
    <w:p w14:paraId="165D18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w:t>
      </w:r>
    </w:p>
    <w:p w14:paraId="0C8414D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запасных частей, инструмента и принадлежностей, изъятых из индивидуального комплекта, возимого на танке «КВ»</w:t>
      </w:r>
    </w:p>
    <w:tbl>
      <w:tblPr>
        <w:tblW w:w="0" w:type="auto"/>
        <w:tblInd w:w="40" w:type="dxa"/>
        <w:tblLayout w:type="fixed"/>
        <w:tblCellMar>
          <w:left w:w="40" w:type="dxa"/>
          <w:right w:w="40" w:type="dxa"/>
        </w:tblCellMar>
        <w:tblLook w:val="0000" w:firstRow="0" w:lastRow="0" w:firstColumn="0" w:lastColumn="0" w:noHBand="0" w:noVBand="0"/>
      </w:tblPr>
      <w:tblGrid>
        <w:gridCol w:w="470"/>
        <w:gridCol w:w="883"/>
        <w:gridCol w:w="6010"/>
        <w:gridCol w:w="883"/>
      </w:tblGrid>
      <w:tr w:rsidR="006F4095" w:rsidRPr="008127F8" w14:paraId="00F66B99" w14:textId="77777777">
        <w:trPr>
          <w:trHeight w:val="346"/>
        </w:trPr>
        <w:tc>
          <w:tcPr>
            <w:tcW w:w="470" w:type="dxa"/>
            <w:tcBorders>
              <w:top w:val="single" w:sz="6" w:space="0" w:color="auto"/>
              <w:left w:val="single" w:sz="6" w:space="0" w:color="auto"/>
              <w:bottom w:val="single" w:sz="6" w:space="0" w:color="auto"/>
              <w:right w:val="single" w:sz="6" w:space="0" w:color="auto"/>
            </w:tcBorders>
          </w:tcPr>
          <w:p w14:paraId="422075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883" w:type="dxa"/>
            <w:tcBorders>
              <w:top w:val="single" w:sz="6" w:space="0" w:color="auto"/>
              <w:left w:val="single" w:sz="6" w:space="0" w:color="auto"/>
              <w:bottom w:val="single" w:sz="6" w:space="0" w:color="auto"/>
              <w:right w:val="single" w:sz="6" w:space="0" w:color="auto"/>
            </w:tcBorders>
          </w:tcPr>
          <w:p w14:paraId="7250BF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деталей</w:t>
            </w:r>
          </w:p>
        </w:tc>
        <w:tc>
          <w:tcPr>
            <w:tcW w:w="6010" w:type="dxa"/>
            <w:tcBorders>
              <w:top w:val="single" w:sz="6" w:space="0" w:color="auto"/>
              <w:left w:val="single" w:sz="6" w:space="0" w:color="auto"/>
              <w:bottom w:val="single" w:sz="6" w:space="0" w:color="auto"/>
              <w:right w:val="single" w:sz="6" w:space="0" w:color="auto"/>
            </w:tcBorders>
          </w:tcPr>
          <w:p w14:paraId="1ED913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w:t>
            </w:r>
          </w:p>
        </w:tc>
        <w:tc>
          <w:tcPr>
            <w:tcW w:w="883" w:type="dxa"/>
            <w:tcBorders>
              <w:top w:val="single" w:sz="6" w:space="0" w:color="auto"/>
              <w:left w:val="single" w:sz="6" w:space="0" w:color="auto"/>
              <w:bottom w:val="single" w:sz="6" w:space="0" w:color="auto"/>
              <w:right w:val="single" w:sz="6" w:space="0" w:color="auto"/>
            </w:tcBorders>
          </w:tcPr>
          <w:p w14:paraId="08CECF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Изъятое количество</w:t>
            </w:r>
          </w:p>
        </w:tc>
      </w:tr>
      <w:tr w:rsidR="006F4095" w:rsidRPr="008127F8" w14:paraId="322F53B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088A78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83" w:type="dxa"/>
            <w:tcBorders>
              <w:top w:val="single" w:sz="6" w:space="0" w:color="auto"/>
              <w:left w:val="single" w:sz="6" w:space="0" w:color="auto"/>
              <w:bottom w:val="single" w:sz="6" w:space="0" w:color="auto"/>
              <w:right w:val="single" w:sz="6" w:space="0" w:color="auto"/>
            </w:tcBorders>
          </w:tcPr>
          <w:p w14:paraId="43349E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w:t>
            </w:r>
          </w:p>
        </w:tc>
        <w:tc>
          <w:tcPr>
            <w:tcW w:w="6010" w:type="dxa"/>
            <w:tcBorders>
              <w:top w:val="single" w:sz="6" w:space="0" w:color="auto"/>
              <w:left w:val="single" w:sz="6" w:space="0" w:color="auto"/>
              <w:bottom w:val="single" w:sz="6" w:space="0" w:color="auto"/>
              <w:right w:val="single" w:sz="6" w:space="0" w:color="auto"/>
            </w:tcBorders>
          </w:tcPr>
          <w:p w14:paraId="54B432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Палец трака</w:t>
            </w:r>
          </w:p>
        </w:tc>
        <w:tc>
          <w:tcPr>
            <w:tcW w:w="883" w:type="dxa"/>
            <w:tcBorders>
              <w:top w:val="single" w:sz="6" w:space="0" w:color="auto"/>
              <w:left w:val="single" w:sz="6" w:space="0" w:color="auto"/>
              <w:bottom w:val="single" w:sz="6" w:space="0" w:color="auto"/>
              <w:right w:val="single" w:sz="6" w:space="0" w:color="auto"/>
            </w:tcBorders>
          </w:tcPr>
          <w:p w14:paraId="20031AF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66D24254"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CABA4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83" w:type="dxa"/>
            <w:tcBorders>
              <w:top w:val="single" w:sz="6" w:space="0" w:color="auto"/>
              <w:left w:val="single" w:sz="6" w:space="0" w:color="auto"/>
              <w:bottom w:val="single" w:sz="6" w:space="0" w:color="auto"/>
              <w:right w:val="single" w:sz="6" w:space="0" w:color="auto"/>
            </w:tcBorders>
          </w:tcPr>
          <w:p w14:paraId="3FD9F4E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35-8</w:t>
            </w:r>
          </w:p>
        </w:tc>
        <w:tc>
          <w:tcPr>
            <w:tcW w:w="6010" w:type="dxa"/>
            <w:tcBorders>
              <w:top w:val="single" w:sz="6" w:space="0" w:color="auto"/>
              <w:left w:val="single" w:sz="6" w:space="0" w:color="auto"/>
              <w:bottom w:val="single" w:sz="6" w:space="0" w:color="auto"/>
              <w:right w:val="single" w:sz="6" w:space="0" w:color="auto"/>
            </w:tcBorders>
          </w:tcPr>
          <w:p w14:paraId="279499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Трак</w:t>
            </w:r>
          </w:p>
        </w:tc>
        <w:tc>
          <w:tcPr>
            <w:tcW w:w="883" w:type="dxa"/>
            <w:tcBorders>
              <w:top w:val="single" w:sz="6" w:space="0" w:color="auto"/>
              <w:left w:val="single" w:sz="6" w:space="0" w:color="auto"/>
              <w:bottom w:val="single" w:sz="6" w:space="0" w:color="auto"/>
              <w:right w:val="single" w:sz="6" w:space="0" w:color="auto"/>
            </w:tcBorders>
          </w:tcPr>
          <w:p w14:paraId="0ACFF40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2C4388EA"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2B4785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883" w:type="dxa"/>
            <w:tcBorders>
              <w:top w:val="single" w:sz="6" w:space="0" w:color="auto"/>
              <w:left w:val="single" w:sz="6" w:space="0" w:color="auto"/>
              <w:bottom w:val="single" w:sz="6" w:space="0" w:color="auto"/>
              <w:right w:val="single" w:sz="6" w:space="0" w:color="auto"/>
            </w:tcBorders>
          </w:tcPr>
          <w:p w14:paraId="71E407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85-39</w:t>
            </w:r>
          </w:p>
        </w:tc>
        <w:tc>
          <w:tcPr>
            <w:tcW w:w="6010" w:type="dxa"/>
            <w:tcBorders>
              <w:top w:val="single" w:sz="6" w:space="0" w:color="auto"/>
              <w:left w:val="single" w:sz="6" w:space="0" w:color="auto"/>
              <w:bottom w:val="single" w:sz="6" w:space="0" w:color="auto"/>
              <w:right w:val="single" w:sz="6" w:space="0" w:color="auto"/>
            </w:tcBorders>
          </w:tcPr>
          <w:p w14:paraId="53FCA14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Рулетка</w:t>
            </w:r>
          </w:p>
        </w:tc>
        <w:tc>
          <w:tcPr>
            <w:tcW w:w="883" w:type="dxa"/>
            <w:tcBorders>
              <w:top w:val="single" w:sz="6" w:space="0" w:color="auto"/>
              <w:left w:val="single" w:sz="6" w:space="0" w:color="auto"/>
              <w:bottom w:val="single" w:sz="6" w:space="0" w:color="auto"/>
              <w:right w:val="single" w:sz="6" w:space="0" w:color="auto"/>
            </w:tcBorders>
          </w:tcPr>
          <w:p w14:paraId="1DC511A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0F9F6144"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35E850E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883" w:type="dxa"/>
            <w:tcBorders>
              <w:top w:val="single" w:sz="6" w:space="0" w:color="auto"/>
              <w:left w:val="single" w:sz="6" w:space="0" w:color="auto"/>
              <w:bottom w:val="single" w:sz="6" w:space="0" w:color="auto"/>
              <w:right w:val="single" w:sz="6" w:space="0" w:color="auto"/>
            </w:tcBorders>
          </w:tcPr>
          <w:p w14:paraId="2C7463D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85-21</w:t>
            </w:r>
          </w:p>
        </w:tc>
        <w:tc>
          <w:tcPr>
            <w:tcW w:w="6010" w:type="dxa"/>
            <w:tcBorders>
              <w:top w:val="single" w:sz="6" w:space="0" w:color="auto"/>
              <w:left w:val="single" w:sz="6" w:space="0" w:color="auto"/>
              <w:bottom w:val="single" w:sz="6" w:space="0" w:color="auto"/>
              <w:right w:val="single" w:sz="6" w:space="0" w:color="auto"/>
            </w:tcBorders>
          </w:tcPr>
          <w:p w14:paraId="08280D1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Плоскогубцы</w:t>
            </w:r>
          </w:p>
        </w:tc>
        <w:tc>
          <w:tcPr>
            <w:tcW w:w="883" w:type="dxa"/>
            <w:tcBorders>
              <w:top w:val="single" w:sz="6" w:space="0" w:color="auto"/>
              <w:left w:val="single" w:sz="6" w:space="0" w:color="auto"/>
              <w:bottom w:val="single" w:sz="6" w:space="0" w:color="auto"/>
              <w:right w:val="single" w:sz="6" w:space="0" w:color="auto"/>
            </w:tcBorders>
          </w:tcPr>
          <w:p w14:paraId="038B3C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3EC6462A"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063385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83" w:type="dxa"/>
            <w:tcBorders>
              <w:top w:val="single" w:sz="6" w:space="0" w:color="auto"/>
              <w:left w:val="single" w:sz="6" w:space="0" w:color="auto"/>
              <w:bottom w:val="single" w:sz="6" w:space="0" w:color="auto"/>
              <w:right w:val="single" w:sz="6" w:space="0" w:color="auto"/>
            </w:tcBorders>
          </w:tcPr>
          <w:p w14:paraId="2974EB6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78-42</w:t>
            </w:r>
          </w:p>
        </w:tc>
        <w:tc>
          <w:tcPr>
            <w:tcW w:w="6010" w:type="dxa"/>
            <w:tcBorders>
              <w:top w:val="single" w:sz="6" w:space="0" w:color="auto"/>
              <w:left w:val="single" w:sz="6" w:space="0" w:color="auto"/>
              <w:bottom w:val="single" w:sz="6" w:space="0" w:color="auto"/>
              <w:right w:val="single" w:sz="6" w:space="0" w:color="auto"/>
            </w:tcBorders>
          </w:tcPr>
          <w:p w14:paraId="057860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Печь обогревательная</w:t>
            </w:r>
          </w:p>
        </w:tc>
        <w:tc>
          <w:tcPr>
            <w:tcW w:w="883" w:type="dxa"/>
            <w:tcBorders>
              <w:top w:val="single" w:sz="6" w:space="0" w:color="auto"/>
              <w:left w:val="single" w:sz="6" w:space="0" w:color="auto"/>
              <w:bottom w:val="single" w:sz="6" w:space="0" w:color="auto"/>
              <w:right w:val="single" w:sz="6" w:space="0" w:color="auto"/>
            </w:tcBorders>
          </w:tcPr>
          <w:p w14:paraId="761280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11B12B7C"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77E86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883" w:type="dxa"/>
            <w:tcBorders>
              <w:top w:val="single" w:sz="6" w:space="0" w:color="auto"/>
              <w:left w:val="single" w:sz="6" w:space="0" w:color="auto"/>
              <w:bottom w:val="single" w:sz="6" w:space="0" w:color="auto"/>
              <w:right w:val="single" w:sz="6" w:space="0" w:color="auto"/>
            </w:tcBorders>
          </w:tcPr>
          <w:p w14:paraId="2C0C4CB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84-11</w:t>
            </w:r>
          </w:p>
        </w:tc>
        <w:tc>
          <w:tcPr>
            <w:tcW w:w="6010" w:type="dxa"/>
            <w:tcBorders>
              <w:top w:val="single" w:sz="6" w:space="0" w:color="auto"/>
              <w:left w:val="single" w:sz="6" w:space="0" w:color="auto"/>
              <w:bottom w:val="single" w:sz="6" w:space="0" w:color="auto"/>
              <w:right w:val="single" w:sz="6" w:space="0" w:color="auto"/>
            </w:tcBorders>
          </w:tcPr>
          <w:p w14:paraId="6EE77E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Лопата саперная</w:t>
            </w:r>
          </w:p>
        </w:tc>
        <w:tc>
          <w:tcPr>
            <w:tcW w:w="883" w:type="dxa"/>
            <w:tcBorders>
              <w:top w:val="single" w:sz="6" w:space="0" w:color="auto"/>
              <w:left w:val="single" w:sz="6" w:space="0" w:color="auto"/>
              <w:bottom w:val="single" w:sz="6" w:space="0" w:color="auto"/>
              <w:right w:val="single" w:sz="6" w:space="0" w:color="auto"/>
            </w:tcBorders>
          </w:tcPr>
          <w:p w14:paraId="41E1E23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23CB20AE"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4DDE8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883" w:type="dxa"/>
            <w:tcBorders>
              <w:top w:val="single" w:sz="6" w:space="0" w:color="auto"/>
              <w:left w:val="single" w:sz="6" w:space="0" w:color="auto"/>
              <w:bottom w:val="single" w:sz="6" w:space="0" w:color="auto"/>
              <w:right w:val="single" w:sz="6" w:space="0" w:color="auto"/>
            </w:tcBorders>
          </w:tcPr>
          <w:p w14:paraId="601BF0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84-29</w:t>
            </w:r>
          </w:p>
        </w:tc>
        <w:tc>
          <w:tcPr>
            <w:tcW w:w="6010" w:type="dxa"/>
            <w:tcBorders>
              <w:top w:val="single" w:sz="6" w:space="0" w:color="auto"/>
              <w:left w:val="single" w:sz="6" w:space="0" w:color="auto"/>
              <w:bottom w:val="single" w:sz="6" w:space="0" w:color="auto"/>
              <w:right w:val="single" w:sz="6" w:space="0" w:color="auto"/>
            </w:tcBorders>
          </w:tcPr>
          <w:p w14:paraId="2AE428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Брезент большой</w:t>
            </w:r>
          </w:p>
        </w:tc>
        <w:tc>
          <w:tcPr>
            <w:tcW w:w="883" w:type="dxa"/>
            <w:tcBorders>
              <w:top w:val="single" w:sz="6" w:space="0" w:color="auto"/>
              <w:left w:val="single" w:sz="6" w:space="0" w:color="auto"/>
              <w:bottom w:val="single" w:sz="6" w:space="0" w:color="auto"/>
              <w:right w:val="single" w:sz="6" w:space="0" w:color="auto"/>
            </w:tcBorders>
          </w:tcPr>
          <w:p w14:paraId="0DEBA2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4834886F"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2B188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83" w:type="dxa"/>
            <w:tcBorders>
              <w:top w:val="single" w:sz="6" w:space="0" w:color="auto"/>
              <w:left w:val="single" w:sz="6" w:space="0" w:color="auto"/>
              <w:bottom w:val="single" w:sz="6" w:space="0" w:color="auto"/>
              <w:right w:val="single" w:sz="6" w:space="0" w:color="auto"/>
            </w:tcBorders>
          </w:tcPr>
          <w:p w14:paraId="2FCAC5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84-22</w:t>
            </w:r>
          </w:p>
        </w:tc>
        <w:tc>
          <w:tcPr>
            <w:tcW w:w="6010" w:type="dxa"/>
            <w:tcBorders>
              <w:top w:val="single" w:sz="6" w:space="0" w:color="auto"/>
              <w:left w:val="single" w:sz="6" w:space="0" w:color="auto"/>
              <w:bottom w:val="single" w:sz="6" w:space="0" w:color="auto"/>
              <w:right w:val="single" w:sz="6" w:space="0" w:color="auto"/>
            </w:tcBorders>
          </w:tcPr>
          <w:p w14:paraId="11043FD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Лом</w:t>
            </w:r>
          </w:p>
        </w:tc>
        <w:tc>
          <w:tcPr>
            <w:tcW w:w="883" w:type="dxa"/>
            <w:tcBorders>
              <w:top w:val="single" w:sz="6" w:space="0" w:color="auto"/>
              <w:left w:val="single" w:sz="6" w:space="0" w:color="auto"/>
              <w:bottom w:val="single" w:sz="6" w:space="0" w:color="auto"/>
              <w:right w:val="single" w:sz="6" w:space="0" w:color="auto"/>
            </w:tcBorders>
          </w:tcPr>
          <w:p w14:paraId="6B12B84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40443E11"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262E1E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883" w:type="dxa"/>
            <w:tcBorders>
              <w:top w:val="single" w:sz="6" w:space="0" w:color="auto"/>
              <w:left w:val="single" w:sz="6" w:space="0" w:color="auto"/>
              <w:bottom w:val="single" w:sz="6" w:space="0" w:color="auto"/>
              <w:right w:val="single" w:sz="6" w:space="0" w:color="auto"/>
            </w:tcBorders>
          </w:tcPr>
          <w:p w14:paraId="4681B4C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270-836</w:t>
            </w:r>
          </w:p>
        </w:tc>
        <w:tc>
          <w:tcPr>
            <w:tcW w:w="6010" w:type="dxa"/>
            <w:tcBorders>
              <w:top w:val="single" w:sz="6" w:space="0" w:color="auto"/>
              <w:left w:val="single" w:sz="6" w:space="0" w:color="auto"/>
              <w:bottom w:val="single" w:sz="6" w:space="0" w:color="auto"/>
              <w:right w:val="single" w:sz="6" w:space="0" w:color="auto"/>
            </w:tcBorders>
          </w:tcPr>
          <w:p w14:paraId="79024B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Ударный механизм</w:t>
            </w:r>
          </w:p>
        </w:tc>
        <w:tc>
          <w:tcPr>
            <w:tcW w:w="883" w:type="dxa"/>
            <w:tcBorders>
              <w:top w:val="single" w:sz="6" w:space="0" w:color="auto"/>
              <w:left w:val="single" w:sz="6" w:space="0" w:color="auto"/>
              <w:bottom w:val="single" w:sz="6" w:space="0" w:color="auto"/>
              <w:right w:val="single" w:sz="6" w:space="0" w:color="auto"/>
            </w:tcBorders>
          </w:tcPr>
          <w:p w14:paraId="68091A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54393CBC"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150DF07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883" w:type="dxa"/>
            <w:tcBorders>
              <w:top w:val="single" w:sz="6" w:space="0" w:color="auto"/>
              <w:left w:val="single" w:sz="6" w:space="0" w:color="auto"/>
              <w:bottom w:val="single" w:sz="6" w:space="0" w:color="auto"/>
              <w:right w:val="single" w:sz="6" w:space="0" w:color="auto"/>
            </w:tcBorders>
          </w:tcPr>
          <w:p w14:paraId="52CDBF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270-842</w:t>
            </w:r>
          </w:p>
        </w:tc>
        <w:tc>
          <w:tcPr>
            <w:tcW w:w="6010" w:type="dxa"/>
            <w:tcBorders>
              <w:top w:val="single" w:sz="6" w:space="0" w:color="auto"/>
              <w:left w:val="single" w:sz="6" w:space="0" w:color="auto"/>
              <w:bottom w:val="single" w:sz="6" w:space="0" w:color="auto"/>
              <w:right w:val="single" w:sz="6" w:space="0" w:color="auto"/>
            </w:tcBorders>
          </w:tcPr>
          <w:p w14:paraId="3A3837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Трубка к шаровой установке</w:t>
            </w:r>
          </w:p>
        </w:tc>
        <w:tc>
          <w:tcPr>
            <w:tcW w:w="883" w:type="dxa"/>
            <w:tcBorders>
              <w:top w:val="single" w:sz="6" w:space="0" w:color="auto"/>
              <w:left w:val="single" w:sz="6" w:space="0" w:color="auto"/>
              <w:bottom w:val="single" w:sz="6" w:space="0" w:color="auto"/>
              <w:right w:val="single" w:sz="6" w:space="0" w:color="auto"/>
            </w:tcBorders>
          </w:tcPr>
          <w:p w14:paraId="19B873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08E112AF"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2DBD0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883" w:type="dxa"/>
            <w:tcBorders>
              <w:top w:val="single" w:sz="6" w:space="0" w:color="auto"/>
              <w:left w:val="single" w:sz="6" w:space="0" w:color="auto"/>
              <w:bottom w:val="single" w:sz="6" w:space="0" w:color="auto"/>
              <w:right w:val="single" w:sz="6" w:space="0" w:color="auto"/>
            </w:tcBorders>
          </w:tcPr>
          <w:p w14:paraId="35CE9D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270-855</w:t>
            </w:r>
          </w:p>
        </w:tc>
        <w:tc>
          <w:tcPr>
            <w:tcW w:w="6010" w:type="dxa"/>
            <w:tcBorders>
              <w:top w:val="single" w:sz="6" w:space="0" w:color="auto"/>
              <w:left w:val="single" w:sz="6" w:space="0" w:color="auto"/>
              <w:bottom w:val="single" w:sz="6" w:space="0" w:color="auto"/>
              <w:right w:val="single" w:sz="6" w:space="0" w:color="auto"/>
            </w:tcBorders>
          </w:tcPr>
          <w:p w14:paraId="5286A03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Чехол на казенную часть орудия</w:t>
            </w:r>
          </w:p>
        </w:tc>
        <w:tc>
          <w:tcPr>
            <w:tcW w:w="883" w:type="dxa"/>
            <w:tcBorders>
              <w:top w:val="single" w:sz="6" w:space="0" w:color="auto"/>
              <w:left w:val="single" w:sz="6" w:space="0" w:color="auto"/>
              <w:bottom w:val="single" w:sz="6" w:space="0" w:color="auto"/>
              <w:right w:val="single" w:sz="6" w:space="0" w:color="auto"/>
            </w:tcBorders>
          </w:tcPr>
          <w:p w14:paraId="11BC890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50A6F367"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3D9667D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12.</w:t>
            </w:r>
          </w:p>
        </w:tc>
        <w:tc>
          <w:tcPr>
            <w:tcW w:w="883" w:type="dxa"/>
            <w:tcBorders>
              <w:top w:val="single" w:sz="6" w:space="0" w:color="auto"/>
              <w:left w:val="single" w:sz="6" w:space="0" w:color="auto"/>
              <w:bottom w:val="single" w:sz="6" w:space="0" w:color="auto"/>
              <w:right w:val="single" w:sz="6" w:space="0" w:color="auto"/>
            </w:tcBorders>
          </w:tcPr>
          <w:p w14:paraId="4E1A79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270-21</w:t>
            </w:r>
          </w:p>
        </w:tc>
        <w:tc>
          <w:tcPr>
            <w:tcW w:w="6010" w:type="dxa"/>
            <w:tcBorders>
              <w:top w:val="single" w:sz="6" w:space="0" w:color="auto"/>
              <w:left w:val="single" w:sz="6" w:space="0" w:color="auto"/>
              <w:bottom w:val="single" w:sz="6" w:space="0" w:color="auto"/>
              <w:right w:val="single" w:sz="6" w:space="0" w:color="auto"/>
            </w:tcBorders>
          </w:tcPr>
          <w:p w14:paraId="68B9A7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Чехол на казенную часть пулемета ДТ</w:t>
            </w:r>
          </w:p>
        </w:tc>
        <w:tc>
          <w:tcPr>
            <w:tcW w:w="883" w:type="dxa"/>
            <w:tcBorders>
              <w:top w:val="single" w:sz="6" w:space="0" w:color="auto"/>
              <w:left w:val="single" w:sz="6" w:space="0" w:color="auto"/>
              <w:bottom w:val="single" w:sz="6" w:space="0" w:color="auto"/>
              <w:right w:val="single" w:sz="6" w:space="0" w:color="auto"/>
            </w:tcBorders>
          </w:tcPr>
          <w:p w14:paraId="35531D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6F4095" w:rsidRPr="008127F8" w14:paraId="744A0983"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FD4AA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883" w:type="dxa"/>
            <w:tcBorders>
              <w:top w:val="single" w:sz="6" w:space="0" w:color="auto"/>
              <w:left w:val="single" w:sz="6" w:space="0" w:color="auto"/>
              <w:bottom w:val="single" w:sz="6" w:space="0" w:color="auto"/>
              <w:right w:val="single" w:sz="6" w:space="0" w:color="auto"/>
            </w:tcBorders>
          </w:tcPr>
          <w:p w14:paraId="0C8BD9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85-52</w:t>
            </w:r>
          </w:p>
        </w:tc>
        <w:tc>
          <w:tcPr>
            <w:tcW w:w="6010" w:type="dxa"/>
            <w:tcBorders>
              <w:top w:val="single" w:sz="6" w:space="0" w:color="auto"/>
              <w:left w:val="single" w:sz="6" w:space="0" w:color="auto"/>
              <w:bottom w:val="single" w:sz="6" w:space="0" w:color="auto"/>
              <w:right w:val="single" w:sz="6" w:space="0" w:color="auto"/>
            </w:tcBorders>
          </w:tcPr>
          <w:p w14:paraId="6C16D51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Ящик для возимых запчастей, укладываемых в трансмиссионном отделении</w:t>
            </w:r>
          </w:p>
        </w:tc>
        <w:tc>
          <w:tcPr>
            <w:tcW w:w="883" w:type="dxa"/>
            <w:tcBorders>
              <w:top w:val="single" w:sz="6" w:space="0" w:color="auto"/>
              <w:left w:val="single" w:sz="6" w:space="0" w:color="auto"/>
              <w:bottom w:val="single" w:sz="6" w:space="0" w:color="auto"/>
              <w:right w:val="single" w:sz="6" w:space="0" w:color="auto"/>
            </w:tcBorders>
          </w:tcPr>
          <w:p w14:paraId="42F962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0ADF18AB"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575BE1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883" w:type="dxa"/>
            <w:tcBorders>
              <w:top w:val="single" w:sz="6" w:space="0" w:color="auto"/>
              <w:left w:val="single" w:sz="6" w:space="0" w:color="auto"/>
              <w:bottom w:val="single" w:sz="6" w:space="0" w:color="auto"/>
              <w:right w:val="single" w:sz="6" w:space="0" w:color="auto"/>
            </w:tcBorders>
          </w:tcPr>
          <w:p w14:paraId="7AF6F3F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75-43</w:t>
            </w:r>
          </w:p>
        </w:tc>
        <w:tc>
          <w:tcPr>
            <w:tcW w:w="6010" w:type="dxa"/>
            <w:tcBorders>
              <w:top w:val="single" w:sz="6" w:space="0" w:color="auto"/>
              <w:left w:val="single" w:sz="6" w:space="0" w:color="auto"/>
              <w:bottom w:val="single" w:sz="6" w:space="0" w:color="auto"/>
              <w:right w:val="single" w:sz="6" w:space="0" w:color="auto"/>
            </w:tcBorders>
          </w:tcPr>
          <w:p w14:paraId="6EFA7E1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Клингерит листовой</w:t>
            </w:r>
          </w:p>
        </w:tc>
        <w:tc>
          <w:tcPr>
            <w:tcW w:w="883" w:type="dxa"/>
            <w:tcBorders>
              <w:top w:val="single" w:sz="6" w:space="0" w:color="auto"/>
              <w:left w:val="single" w:sz="6" w:space="0" w:color="auto"/>
              <w:bottom w:val="single" w:sz="6" w:space="0" w:color="auto"/>
              <w:right w:val="single" w:sz="6" w:space="0" w:color="auto"/>
            </w:tcBorders>
          </w:tcPr>
          <w:p w14:paraId="1AC4CC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717A31B4"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BC2186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883" w:type="dxa"/>
            <w:tcBorders>
              <w:top w:val="single" w:sz="6" w:space="0" w:color="auto"/>
              <w:left w:val="single" w:sz="6" w:space="0" w:color="auto"/>
              <w:bottom w:val="single" w:sz="6" w:space="0" w:color="auto"/>
              <w:right w:val="single" w:sz="6" w:space="0" w:color="auto"/>
            </w:tcBorders>
          </w:tcPr>
          <w:p w14:paraId="502F48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85-477</w:t>
            </w:r>
          </w:p>
        </w:tc>
        <w:tc>
          <w:tcPr>
            <w:tcW w:w="6010" w:type="dxa"/>
            <w:tcBorders>
              <w:top w:val="single" w:sz="6" w:space="0" w:color="auto"/>
              <w:left w:val="single" w:sz="6" w:space="0" w:color="auto"/>
              <w:bottom w:val="single" w:sz="6" w:space="0" w:color="auto"/>
              <w:right w:val="single" w:sz="6" w:space="0" w:color="auto"/>
            </w:tcBorders>
          </w:tcPr>
          <w:p w14:paraId="40EF584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Зубило слесарное</w:t>
            </w:r>
          </w:p>
        </w:tc>
        <w:tc>
          <w:tcPr>
            <w:tcW w:w="883" w:type="dxa"/>
            <w:tcBorders>
              <w:top w:val="single" w:sz="6" w:space="0" w:color="auto"/>
              <w:left w:val="single" w:sz="6" w:space="0" w:color="auto"/>
              <w:bottom w:val="single" w:sz="6" w:space="0" w:color="auto"/>
              <w:right w:val="single" w:sz="6" w:space="0" w:color="auto"/>
            </w:tcBorders>
          </w:tcPr>
          <w:p w14:paraId="391B904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6B7825C5"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7D1BE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883" w:type="dxa"/>
            <w:tcBorders>
              <w:top w:val="single" w:sz="6" w:space="0" w:color="auto"/>
              <w:left w:val="single" w:sz="6" w:space="0" w:color="auto"/>
              <w:bottom w:val="single" w:sz="6" w:space="0" w:color="auto"/>
              <w:right w:val="single" w:sz="6" w:space="0" w:color="auto"/>
            </w:tcBorders>
          </w:tcPr>
          <w:p w14:paraId="448BD4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0" w:type="dxa"/>
            <w:tcBorders>
              <w:top w:val="single" w:sz="6" w:space="0" w:color="auto"/>
              <w:left w:val="single" w:sz="6" w:space="0" w:color="auto"/>
              <w:bottom w:val="single" w:sz="6" w:space="0" w:color="auto"/>
              <w:right w:val="single" w:sz="6" w:space="0" w:color="auto"/>
            </w:tcBorders>
          </w:tcPr>
          <w:p w14:paraId="436AB9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баки для горюче-смазочных материалов</w:t>
            </w:r>
          </w:p>
        </w:tc>
        <w:tc>
          <w:tcPr>
            <w:tcW w:w="883" w:type="dxa"/>
            <w:tcBorders>
              <w:top w:val="single" w:sz="6" w:space="0" w:color="auto"/>
              <w:left w:val="single" w:sz="6" w:space="0" w:color="auto"/>
              <w:bottom w:val="single" w:sz="6" w:space="0" w:color="auto"/>
              <w:right w:val="single" w:sz="6" w:space="0" w:color="auto"/>
            </w:tcBorders>
          </w:tcPr>
          <w:p w14:paraId="7064F0D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r>
      <w:tr w:rsidR="006F4095" w:rsidRPr="008127F8" w14:paraId="129EE68F"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B4DE3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883" w:type="dxa"/>
            <w:tcBorders>
              <w:top w:val="single" w:sz="6" w:space="0" w:color="auto"/>
              <w:left w:val="single" w:sz="6" w:space="0" w:color="auto"/>
              <w:bottom w:val="single" w:sz="6" w:space="0" w:color="auto"/>
              <w:right w:val="single" w:sz="6" w:space="0" w:color="auto"/>
            </w:tcBorders>
          </w:tcPr>
          <w:p w14:paraId="761556E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85-264</w:t>
            </w:r>
          </w:p>
        </w:tc>
        <w:tc>
          <w:tcPr>
            <w:tcW w:w="6010" w:type="dxa"/>
            <w:tcBorders>
              <w:top w:val="single" w:sz="6" w:space="0" w:color="auto"/>
              <w:left w:val="single" w:sz="6" w:space="0" w:color="auto"/>
              <w:bottom w:val="single" w:sz="6" w:space="0" w:color="auto"/>
              <w:right w:val="single" w:sz="6" w:space="0" w:color="auto"/>
            </w:tcBorders>
          </w:tcPr>
          <w:p w14:paraId="2BB512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Ключ гаечный 32</w:t>
            </w:r>
          </w:p>
        </w:tc>
        <w:tc>
          <w:tcPr>
            <w:tcW w:w="883" w:type="dxa"/>
            <w:tcBorders>
              <w:top w:val="single" w:sz="6" w:space="0" w:color="auto"/>
              <w:left w:val="single" w:sz="6" w:space="0" w:color="auto"/>
              <w:bottom w:val="single" w:sz="6" w:space="0" w:color="auto"/>
              <w:right w:val="single" w:sz="6" w:space="0" w:color="auto"/>
            </w:tcBorders>
          </w:tcPr>
          <w:p w14:paraId="5CA3CA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2C317223"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4FFB3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883" w:type="dxa"/>
            <w:tcBorders>
              <w:top w:val="single" w:sz="6" w:space="0" w:color="auto"/>
              <w:left w:val="single" w:sz="6" w:space="0" w:color="auto"/>
              <w:bottom w:val="single" w:sz="6" w:space="0" w:color="auto"/>
              <w:right w:val="single" w:sz="6" w:space="0" w:color="auto"/>
            </w:tcBorders>
          </w:tcPr>
          <w:p w14:paraId="108973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85-94</w:t>
            </w:r>
          </w:p>
        </w:tc>
        <w:tc>
          <w:tcPr>
            <w:tcW w:w="6010" w:type="dxa"/>
            <w:tcBorders>
              <w:top w:val="single" w:sz="6" w:space="0" w:color="auto"/>
              <w:left w:val="single" w:sz="6" w:space="0" w:color="auto"/>
              <w:bottom w:val="single" w:sz="6" w:space="0" w:color="auto"/>
              <w:right w:val="single" w:sz="6" w:space="0" w:color="auto"/>
            </w:tcBorders>
          </w:tcPr>
          <w:p w14:paraId="042C70F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Напильник круглый</w:t>
            </w:r>
          </w:p>
        </w:tc>
        <w:tc>
          <w:tcPr>
            <w:tcW w:w="883" w:type="dxa"/>
            <w:tcBorders>
              <w:top w:val="single" w:sz="6" w:space="0" w:color="auto"/>
              <w:left w:val="single" w:sz="6" w:space="0" w:color="auto"/>
              <w:bottom w:val="single" w:sz="6" w:space="0" w:color="auto"/>
              <w:right w:val="single" w:sz="6" w:space="0" w:color="auto"/>
            </w:tcBorders>
          </w:tcPr>
          <w:p w14:paraId="37F77AD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6F4095" w:rsidRPr="008127F8" w14:paraId="2E9BFA94" w14:textId="77777777">
        <w:trPr>
          <w:trHeight w:val="221"/>
        </w:trPr>
        <w:tc>
          <w:tcPr>
            <w:tcW w:w="7363" w:type="dxa"/>
            <w:gridSpan w:val="3"/>
            <w:tcBorders>
              <w:top w:val="single" w:sz="6" w:space="0" w:color="auto"/>
              <w:left w:val="single" w:sz="6" w:space="0" w:color="auto"/>
              <w:bottom w:val="single" w:sz="6" w:space="0" w:color="auto"/>
              <w:right w:val="single" w:sz="6" w:space="0" w:color="auto"/>
            </w:tcBorders>
          </w:tcPr>
          <w:p w14:paraId="7FF47A3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6102419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r>
    </w:tbl>
    <w:p w14:paraId="30E8D1B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2. Оп. 795437с. Д. 16. Л. 58-59. Копия (11211).</w:t>
      </w:r>
    </w:p>
    <w:p w14:paraId="6EC30E8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4C12680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 xml:space="preserve">26 февраля 1942 г. </w:t>
      </w:r>
      <w:r w:rsidRPr="008127F8">
        <w:rPr>
          <w:rFonts w:ascii="Times New Roman" w:hAnsi="Times New Roman"/>
          <w:color w:val="000000" w:themeColor="text1"/>
          <w:sz w:val="16"/>
          <w:szCs w:val="16"/>
        </w:rPr>
        <w:t xml:space="preserve">НКО вдогонку приказа НКТП от </w:t>
      </w:r>
      <w:r w:rsidRPr="008127F8">
        <w:rPr>
          <w:rFonts w:ascii="Times New Roman" w:hAnsi="Times New Roman"/>
          <w:noProof/>
          <w:color w:val="000000" w:themeColor="text1"/>
          <w:sz w:val="16"/>
          <w:szCs w:val="16"/>
        </w:rPr>
        <w:t>24 февраля 1942 г. нарком т</w:t>
      </w:r>
      <w:r w:rsidRPr="008127F8">
        <w:rPr>
          <w:rFonts w:ascii="Times New Roman" w:hAnsi="Times New Roman"/>
          <w:color w:val="000000" w:themeColor="text1"/>
          <w:sz w:val="16"/>
          <w:szCs w:val="16"/>
        </w:rPr>
        <w:t>анковой</w:t>
      </w:r>
      <w:r w:rsidRPr="008127F8">
        <w:rPr>
          <w:rFonts w:ascii="Times New Roman" w:hAnsi="Times New Roman"/>
          <w:noProof/>
          <w:color w:val="000000" w:themeColor="text1"/>
          <w:sz w:val="16"/>
          <w:szCs w:val="16"/>
        </w:rPr>
        <w:t xml:space="preserve"> промышленности со</w:t>
      </w:r>
      <w:r w:rsidRPr="008127F8">
        <w:rPr>
          <w:rFonts w:ascii="Times New Roman" w:hAnsi="Times New Roman"/>
          <w:noProof/>
          <w:color w:val="000000" w:themeColor="text1"/>
          <w:sz w:val="16"/>
          <w:szCs w:val="16"/>
        </w:rPr>
        <w:softHyphen/>
        <w:t>вместно с наркомом обороны пошли на беспрецедентные меры, пожертвовав важ</w:t>
      </w:r>
      <w:r w:rsidRPr="008127F8">
        <w:rPr>
          <w:rFonts w:ascii="Times New Roman" w:hAnsi="Times New Roman"/>
          <w:noProof/>
          <w:color w:val="000000" w:themeColor="text1"/>
          <w:sz w:val="16"/>
          <w:szCs w:val="16"/>
        </w:rPr>
        <w:softHyphen/>
        <w:t>ными показателями, определяющими бо</w:t>
      </w:r>
      <w:r w:rsidRPr="008127F8">
        <w:rPr>
          <w:rFonts w:ascii="Times New Roman" w:hAnsi="Times New Roman"/>
          <w:noProof/>
          <w:color w:val="000000" w:themeColor="text1"/>
          <w:sz w:val="16"/>
          <w:szCs w:val="16"/>
        </w:rPr>
        <w:softHyphen/>
        <w:t xml:space="preserve">евую эффективность танка </w:t>
      </w:r>
      <w:r w:rsidRPr="008127F8">
        <w:rPr>
          <w:rFonts w:ascii="Times New Roman" w:hAnsi="Times New Roman"/>
          <w:color w:val="000000" w:themeColor="text1"/>
          <w:sz w:val="16"/>
          <w:szCs w:val="16"/>
        </w:rPr>
        <w:t>КВ и</w:t>
      </w:r>
      <w:r w:rsidRPr="008127F8">
        <w:rPr>
          <w:rFonts w:ascii="Times New Roman" w:hAnsi="Times New Roman"/>
          <w:noProof/>
          <w:color w:val="000000" w:themeColor="text1"/>
          <w:sz w:val="16"/>
          <w:szCs w:val="16"/>
        </w:rPr>
        <w:t xml:space="preserve"> распорядились снизить толщину брони лобовых листов и крыши корпуса и башни, крышек люков, кормы, изъять дополнительные топливные баки, уменьшить боекомплект пушки с 110 до 90 выстрелов.А как быть с двигателем? Попытка повы</w:t>
      </w:r>
      <w:r w:rsidRPr="008127F8">
        <w:rPr>
          <w:rFonts w:ascii="Times New Roman" w:hAnsi="Times New Roman"/>
          <w:noProof/>
          <w:color w:val="000000" w:themeColor="text1"/>
          <w:sz w:val="16"/>
          <w:szCs w:val="16"/>
        </w:rPr>
        <w:softHyphen/>
        <w:t>сить мощность двигателя В-2кдо650л.с. не удалась. Форсированный двигатель не вы</w:t>
      </w:r>
      <w:r w:rsidRPr="008127F8">
        <w:rPr>
          <w:rFonts w:ascii="Times New Roman" w:hAnsi="Times New Roman"/>
          <w:noProof/>
          <w:color w:val="000000" w:themeColor="text1"/>
          <w:sz w:val="16"/>
          <w:szCs w:val="16"/>
        </w:rPr>
        <w:softHyphen/>
        <w:t xml:space="preserve">держал испытаний.К марту 1942 г. бедственная ситуация с надежностью и подвижностью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в войсках достигла своего апогея. Треть тан</w:t>
      </w:r>
      <w:r w:rsidRPr="008127F8">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8127F8">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8127F8">
        <w:rPr>
          <w:rFonts w:ascii="Times New Roman" w:hAnsi="Times New Roman"/>
          <w:noProof/>
          <w:color w:val="000000" w:themeColor="text1"/>
          <w:sz w:val="16"/>
          <w:szCs w:val="16"/>
        </w:rPr>
        <w:softHyphen/>
        <w:t>ственных сотрудников.В низкой надежности и неудовлетвори</w:t>
      </w:r>
      <w:r w:rsidRPr="008127F8">
        <w:rPr>
          <w:rFonts w:ascii="Times New Roman" w:hAnsi="Times New Roman"/>
          <w:noProof/>
          <w:color w:val="000000" w:themeColor="text1"/>
          <w:sz w:val="16"/>
          <w:szCs w:val="16"/>
        </w:rPr>
        <w:softHyphen/>
        <w:t xml:space="preserve">тельной подвижности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как уже го</w:t>
      </w:r>
      <w:r w:rsidRPr="008127F8">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8127F8">
        <w:rPr>
          <w:rFonts w:ascii="Times New Roman" w:hAnsi="Times New Roman"/>
          <w:noProof/>
          <w:color w:val="000000" w:themeColor="text1"/>
          <w:sz w:val="16"/>
          <w:szCs w:val="16"/>
        </w:rPr>
        <w:softHyphen/>
        <w:t xml:space="preserve">ции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было возложено на Челябин</w:t>
      </w:r>
      <w:r w:rsidRPr="008127F8">
        <w:rPr>
          <w:rFonts w:ascii="Times New Roman" w:hAnsi="Times New Roman"/>
          <w:noProof/>
          <w:color w:val="000000" w:themeColor="text1"/>
          <w:sz w:val="16"/>
          <w:szCs w:val="16"/>
        </w:rPr>
        <w:softHyphen/>
        <w:t>ский опытный завод, основанный в марте 1942 г. на базе СКБ-2</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792EAE55"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07975E9B" w14:textId="77777777" w:rsidR="00763599" w:rsidRPr="007155F3" w:rsidRDefault="00763599" w:rsidP="00763599">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26 февраля 1942 года в итоговом протоколе от значилось 11 пунктов улучшений конструкции танка Т-70 по сравнению с опытным образцом. Из них 3 касалось силовой установки, а 5 вооружения и механизмов наведения. Также требовалось установить ТПУ (танковое переговорное устройство). Для удобства работы командира танка устанавливалась подбашенная корзина. На ее креплении перенесли сиденье командира, которое теперь регулировалось по высоте. Там же размещался спусковой механизм, то есть теперь нажималась не кнопка, а педаль. Наконец, на полу подбашенной корзины разместилась вращающаяся укладка на 16 унитаров к 45 мм пушке. Чтобы добраться до патронов, командиру требовалось просто протянуть руку вниз. Основная укладка на 70 патронов размещалась за башней в большом ящике. Также в боекомплект входило 15 дисков к ДТ, плюс 3 диска к пистолету-пулемету ППШ.</w:t>
      </w:r>
    </w:p>
    <w:p w14:paraId="55150AA4" w14:textId="77777777" w:rsidR="00763599" w:rsidRPr="007155F3" w:rsidRDefault="00763599" w:rsidP="00763599">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Оговаривалась и конструкция башни. Изначально она была литой, но еще в конце февраля комиссия предложила разработать сварную конструкцию. Имелся также список из 9 пунктов улучшений конструкции танка на будущее. В нем значилось усиление ходовой части, утолщения бортов до 25-30 мм, требовалось поставить радиостанцию, увеличить боекомплект до 100 патронов к 45 мм пушке, уменьшить усилия на рукоятках механизмов наведения башни. Это, впрочем, не мешало запустить танк в серию. А вот вопрос по поводу конструкции башни встал очень быстро. Дело в том, что литьё имело не только достоинства, но и недостатки. Во-первых, литая башня имела на 15% меньшую стойкость, что требовало увеличения толщины стенок. Для сравнения, у сварной башни толщина стенок оказалась на уровне 30-35 мм, а литая башня имела стенки толщиной 40-45 мм. Во-вторых, литая башня получалась тяжелее. Уже в ходе производства выяснилось, что масса литой башни составляла 992 кг, в то время как сварная конструкция имела массу 876 кг (24898).</w:t>
      </w:r>
    </w:p>
    <w:p w14:paraId="23462779" w14:textId="77777777" w:rsidR="00763599" w:rsidRPr="007155F3" w:rsidRDefault="00763599" w:rsidP="00763599">
      <w:pPr>
        <w:spacing w:after="0" w:line="240" w:lineRule="auto"/>
        <w:jc w:val="both"/>
        <w:rPr>
          <w:rFonts w:ascii="Times New Roman" w:hAnsi="Times New Roman"/>
          <w:color w:val="0070C0"/>
          <w:sz w:val="16"/>
          <w:szCs w:val="16"/>
        </w:rPr>
      </w:pPr>
    </w:p>
    <w:p w14:paraId="0EE2FD8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вышло Постановление ГКО № 1350 О форсировании отгрузки леса Тагилстрою и Бакалстрою НКВД. (7023, 38).</w:t>
      </w:r>
    </w:p>
    <w:p w14:paraId="3523CC7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6827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вышло № 1351 Постановление ГКО О производстве приборов управления артиллерийским зенитным огнем и звукоулавливателей на заводах Наркомсудпрома в г. Москве. РГАНИР, Фонд ГКО, д. 22, лл. 39 (11012).</w:t>
      </w:r>
    </w:p>
    <w:p w14:paraId="6BCFC2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7C6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вышло Постановление ГКО № 1352 О распространении постановления Государственного Комитета Обороны № 1322сс от 21 февраля 1942 г. "О неотложных мерах помощи черной металлургии" на Верх-Исетский металлургический завод Наркомэлектропрома СССР.РГАНИР, Фонд ГКО, д. 22, лл. 40-41 (11012).</w:t>
      </w:r>
    </w:p>
    <w:p w14:paraId="3A086E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500A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1942 г. Доклад наркома судостроительной промышленности СССР И. И. Носенко заместителям председателя СНК СССР Н. А. Вознесенскому и В. А. Малышеву о работе судостроительных заводов в 1941 г.</w:t>
      </w:r>
    </w:p>
    <w:p w14:paraId="77168697"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6364817"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общем невыполнении в целом по НКСП плана 1941 г. отдельные заводы судостроительной промышленности, и в первую очередь ленинградские судостроительные заводы, проделали большую работу в 1941 г. и особенно проявили себя в период отечественной войны.</w:t>
      </w:r>
    </w:p>
    <w:p w14:paraId="5B78704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1941 г. судостроительные заводы НКСП сдали Военно-морскому флоту 24 боевых надводных корабля, 2 ледокола типа «И. Сталин», 23 подводные лодки, 98 боевых катеров и малых охотников за подводными лодками, 188 вспомогательных судов, И 8 вспомогательных катеров и 42 несамоходных судна.</w:t>
      </w:r>
    </w:p>
    <w:p w14:paraId="3678FA90"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основным типам кораблей сдано в 1941 г.: легкий крейсер «Молотов», 17 эскадренных миноносцев, 2 ледокола типа «И. Сталин», 3 тральщика, 23 подводные лодки (включая Сормовский завод), 2 больших и 47 малых охотников за подлодками, 32 торпедных катера (металлических и деревянных), 17 бронекатеров и ряд друщх боевых и вспомогательных кораблей. Наибольшее количество кораблей было сдано во втором полугодии 1941 г., т. е. в период Отечественной войны. Из 24 боевых надводных» кораблей, сданных в 1941 г., в период войны сдано 15 кораблей, в том числе 11 эсминцев. Из 23 подводных лодок, сданных в 1941 г., сдано во втором полугодии 16 подводных лодок. Оба ледокола типа «И. Сталин» сданы также в период войны.</w:t>
      </w:r>
    </w:p>
    <w:p w14:paraId="5A312FD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Большую работу в период войны проделали ленинградские судостроителмные заводы НКСП. За время войны сдано в Ленинграде 125 боевых единиц, из них 8 эскадренных миноносцев, 4 подводные лодки, 1 быстроходный тральщик, ледокол «В. Молотов», 2 плавучие мастерские, 4 бронекатера, 19 торпедных катеров — дымзавесчиков, 33 морских охотника за подводными лодками и др. Одновременно был при-(веден в боевое состояние недостроенный крейсер «Петропавловск», на котором были оборудованы две башни главного калибра с устройством подачи снарядов, монтажом) электростанций, радиоаппаратуры и внутренней связи. 32 вспомогательных корабля были подвергнуты в Ленинграде специальному переоборудованию и вооружению для военных целей.</w:t>
      </w:r>
    </w:p>
    <w:p w14:paraId="2C04460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был произведен большой объем ремонтных работ на 162 кораблях КБФ, получивших повреждения в боевых операциях флота. Среди них: 2 крейсера 16 лидеров и эсминцев, 51 подводная лодка, 2 сторожевых корабля, 14 тральщиков 20 торпедных катеров, 4 бронекатера и 53 военных судна других типов.</w:t>
      </w:r>
    </w:p>
    <w:p w14:paraId="3AFF8A55"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Балтийский завод № 189 выполнил крупный ремонт механизмов и доковый ремонт подводных лодок С-4, С-5, С-6, С-8, С-9 за 3 недели вместо 2,5 месяца, необходимых для такого ремонта в нормальное время. При ремонте крейсера «Максим Горький» завод № 189 применил впервые в практике судостроения изготовление отдельно:» носовой части корабля на заводе, взамен оторванной взрывом, с присоединением этой новой носовой части в кронштадтском доке. Особо крупную работу проделал Балтийский завод по аварийному ремонту и поддержанию боеспособности эскадренных миноносцев «Сметливый», «Грозящий», «Стерегущий», «Гордый», «Стремительный», «Сокрушительный», «Суровый», «Славный» и др., выполняя работы в сроки, заданные военным советом. Завод № 194 сдал 7 новых кораблей, отремонтировал, модернизировал и переоборудовал 81 корабль, из них 25 подводных лодок. Завод № 190 им. Жданова сдал во время войны 16 военных кораблей, из них 8 эскадренных миноносцев.</w:t>
      </w:r>
    </w:p>
    <w:p w14:paraId="786AA82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Корабли, построенные ленинградскими и другими заводами НКСП, вполне оправдали себя в боевых операциях. Примером этого может служить:</w:t>
      </w:r>
    </w:p>
    <w:p w14:paraId="2EC1F91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Эскадренный миноносец «Смелый», неся охранение теплохода «Сталин», который эвакуировал женщин и детей с полуострова Ханко, подвергался бомбардировке с воздуха, атакам вражеских кораблей и взрыву мин у борта. Будучи поврежденным, сохранил живучесть, боеспособность и выполнил с честью возложенное на него задание.</w:t>
      </w:r>
    </w:p>
    <w:p w14:paraId="627E039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Известный разгром большого каравана вражеских судов в Рижском заливе был произведен кораблями постройки завода им. Жданова, только что сданными флоту.</w:t>
      </w:r>
    </w:p>
    <w:p w14:paraId="175C3A4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Высокую оценку от флота получили подводные лодки типа «Сталинец») постройки Сормовского завода, выполняющие боевые задания в самых тяжелых условиях.</w:t>
      </w:r>
    </w:p>
    <w:p w14:paraId="4833A24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Большую работу по аварийному ремонту и переоборудованию кораблей Черноморского флота выполнил за время войны севастопольский завод № 201, несмотря на а чрезвычайно тяжелые условия и повреждения, нанесенные этому заводу.</w:t>
      </w:r>
    </w:p>
    <w:p w14:paraId="7FE4A53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с постройкой, ремонтом, переоборудованием и вооружением военных кораблей заводы НКСП выполняют большой объем работ по изготовлению боеприпасов и вооружения.</w:t>
      </w:r>
    </w:p>
    <w:p w14:paraId="01A3877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182 (Махачкала) сдает в настоящее время в месяц более 2 тыс. минометов М-50 и М-82. Завод № 340 (Зеленодольск) сдает в месяц более 90 тыс. шт. корпусов 76-мм снарядов. Завод № 310 (Кандалакша) после эвакуации своего основного оборудования продолжал работать по заданиям фронта, быстро освоил ремонт автомашин и успешно выполняет задание командования почти целиком из местных ресурсов.</w:t>
      </w:r>
    </w:p>
    <w:p w14:paraId="7990177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Учитывая проделанную работу ленинградскими судостроительными заводами и рядом других заводов НКСП в период Отечественной войны, мною совместно с народным комиссаром Военно-морского флота адмиралом т. Кузнецовым возбуждено ходатайство о награждении наиболее отличившихся рабочих, мастеров, инженеров и служащих судостроительной промышленности, а также ряда военных работников, обеспечивших </w:t>
      </w:r>
    </w:p>
    <w:p w14:paraId="27E16ED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своей образцовой работой сдачу кораблей и проведение ремонта в короткие сроки.</w:t>
      </w:r>
    </w:p>
    <w:p w14:paraId="0E6663C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числа представленных к награждению 526 чел., наибольшее количество составляют работники ленинградских заводов, список по которым согласован с Ленинградским городским комитетом ВКП(б) и с секретарем ЦК ВКП(б) т. Ждановым А. А.</w:t>
      </w:r>
    </w:p>
    <w:p w14:paraId="090FC20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Вместе с тем, учитывая особые задания судостроительных заводов в 1942 г. по сдаче и ремонту кораблей и сложившиеся тяжелые условия с обеспечением судовым оборудованием и металлом, НКСП совместно с НКВМФ возбудили ходатайство о принятии специального решения Государственного комитета обороны по вопросу об обеспечении программы военного судостроения на 1943 г.</w:t>
      </w:r>
    </w:p>
    <w:p w14:paraId="3C9391D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судостроительной промышленности Союза ССР И. Носенко</w:t>
      </w:r>
    </w:p>
    <w:p w14:paraId="044E8BE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8899. Оп. 1. Д. 257. Л. 38-42. Заверенная копия (24016).</w:t>
      </w:r>
    </w:p>
    <w:p w14:paraId="545A93A8" w14:textId="77777777" w:rsidR="000E620A" w:rsidRPr="008A2E5A" w:rsidRDefault="000E620A" w:rsidP="000E620A">
      <w:pPr>
        <w:spacing w:after="0" w:line="240" w:lineRule="auto"/>
        <w:jc w:val="both"/>
        <w:rPr>
          <w:rFonts w:ascii="Times New Roman" w:hAnsi="Times New Roman"/>
          <w:color w:val="0070C0"/>
          <w:sz w:val="16"/>
          <w:szCs w:val="16"/>
        </w:rPr>
      </w:pPr>
    </w:p>
    <w:p w14:paraId="7077B09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ABDFD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C7C74"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4AFF2F7A"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26 февраля наши войска продолжали вести активные боевые действия против немецко-фашистских войск.</w:t>
      </w:r>
    </w:p>
    <w:p w14:paraId="3ACD4425"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Южного фронта, за один день боёв захватили 3 немецких танка, 6 орудий, 19 миномётов, 17 пулемётов, 234 винтовки, 1.250 снарядов, 136.000 винтовочных патронов, 2.500 гранат, 5 радиостанций, походную кухню и другие трофеи.</w:t>
      </w:r>
    </w:p>
    <w:p w14:paraId="6FBC1DB3"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Гордова (Юго-Западный фронт) за 10 дней боевых действий уничтожила 10 танков, 79 орудий разных калибров, 70 миномётов, 59 пулемётов, 5 противотанковых ружей, 107 автомашин и 92 повозки с военными грузами. Немцы потеряли убитыми около 3.000 солдат и офицеров.</w:t>
      </w:r>
    </w:p>
    <w:p w14:paraId="1ECC4933"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взвода крупнокалиберных пулемётов, которым командует старший лейтенант А.Г.Кухтин (Западный фронт), в одном бою вывели из строя 6 немецких танков и уничтожили свыше 100 вражеских солдат и офицеров.</w:t>
      </w:r>
    </w:p>
    <w:p w14:paraId="1E20F608"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Чёрный, доставляя газеты и письма на линию огня, заметил у окраины деревни К. группу немецких солдат. Отважный боец пробрался на чердак одного из домов и огнём из своей винтовки уничтожил 12 гитлеровцев.</w:t>
      </w:r>
    </w:p>
    <w:p w14:paraId="718B55D6"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под командованием тов. Н., действующий в одном из районов Курской области, из засады обстрелял немецкий отряд и уничтожил 17 вражеских солдат. Через несколько дней партизаны совершили нападение на деревню, в которой немцы расположились на ночлег. Славные советские патриоты истребили 29 гитлеровцев и захватили 4 автомата, миномёт, 2 пулемёта, боеприпасы и важные секретные документы.</w:t>
      </w:r>
    </w:p>
    <w:p w14:paraId="0968F725"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Дитке найдено письмо Фридриху Дитке в Киль. В этом письме говорится: «Мы должны были сегодня получить продовольствие, но его не привезли. Нам теперь здесь очень плохо. Очевидно, лучше не будет, а станет ещё хуже... Головная боль одолевает всех, от вшей некуда деваться. Мы должны были снова проводить на тот свет нескольких товарищей. Их убили партизаны».</w:t>
      </w:r>
    </w:p>
    <w:p w14:paraId="1ADDF86C"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Альфред Дамиш в неотправленном письме на родину писал: «У нас происходят тяжёлые бои, грохот пушек не прекращается до поздней ночи. Кто знает, сколько крови немецких солдат уже пролито. Мы находимся в 8 километрах от передовой линии, но это не спасает нас от потерь. Всё время налетают русские бомбардировщики. Те, кто получили ранение и находятся в Германии, счастливы».</w:t>
      </w:r>
    </w:p>
    <w:p w14:paraId="509000A1"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Пекарево, Смоленской области, гитлеровские бандиты ограбили многих жителей, а затем загнали их в сарай и подожгли. Огнём уничтожена вся деревня. В одном из сараев нашими бойцами были обнаружены 18 трупов сгоревших колхозников. Из них удалось опознать: Исаева Ивана—39 лет, его жену—35 лет, Исаеву—11 лет, Прокнова Александра—25 лет. На улице найдены трупы расстрелянных: Смирнова Сергея, бывшего студента вяземской медшколы—17 лет и Ковалёвой Зинаиды, продавщицы одного из магазинов Вязьмы.</w:t>
      </w:r>
    </w:p>
    <w:p w14:paraId="3F74FF93"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Орджоникидзевского края ко дню XXIV годовщины Красной Армии послали на фронт бойцам, командирам и политработникам 112 вагонов посылок. В заботливо упакованных ящиках — масло, жареное мясо, коньяк, фрукты, варенье, табак, тёплые носки и другие подарки.» (15052).</w:t>
      </w:r>
    </w:p>
    <w:p w14:paraId="067D7123" w14:textId="77777777" w:rsidR="00271F00" w:rsidRPr="008127F8" w:rsidRDefault="00271F00" w:rsidP="001E0A84">
      <w:pPr>
        <w:spacing w:after="0" w:line="240" w:lineRule="auto"/>
        <w:jc w:val="both"/>
        <w:rPr>
          <w:rFonts w:ascii="Times New Roman" w:hAnsi="Times New Roman"/>
          <w:color w:val="000000" w:themeColor="text1"/>
          <w:sz w:val="16"/>
          <w:szCs w:val="16"/>
        </w:rPr>
      </w:pPr>
    </w:p>
    <w:p w14:paraId="156A112D"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2121AD70"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26 февраля наши войска, преодолевая сопротивление противника, продвинулись вперёд и заняли несколько населённых пунктов.</w:t>
      </w:r>
    </w:p>
    <w:p w14:paraId="24075D1C"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февраля уничтожено не 20 самолётов противника, как об этом сообщалось ранее, а 34 самолёта противника.</w:t>
      </w:r>
    </w:p>
    <w:p w14:paraId="498BB039"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февраля в воздушных боях сбито 17 и уничтожено на аэродромах 4 самолёта противника. Всего за этот день уничтожен 21 немецкий самолёт. Наши потери — 5 самолётов.</w:t>
      </w:r>
    </w:p>
    <w:p w14:paraId="0EF44544"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февраля частями нашей авиации уничтожено и повреждено 65 немецких автомашин с войсками и грузами, около 70 повозок с боеприпасами, 36 зенитно-пулемётных точек, взорвано два склада с боеприпасами и один склад с горючим, разбито 5 железнодорожных вагонов, разрушен мост, рассеяно и частью уничтожено до 3 рот пехоты противника.</w:t>
      </w:r>
    </w:p>
    <w:p w14:paraId="4C11EAEA"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гвардейская часть, действующая на Западном фронте, в ночном бою разгромила 3 пехотных батальона противника и овладела важным населённым пунктом. На другом участке артиллеристы и миномётчики нашей стрелковой части отбили контратаку усиленного батальона вражеской пехоты. Противник отступил, оставив на поле боя до 200 убитых солдат и офицеров.</w:t>
      </w:r>
    </w:p>
    <w:p w14:paraId="666DE919"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наше подразделение стремительной атакой разгромило батальон противника. На поле боя осталось 220 вражеских трупов. Убиты капитан, командир батальона, и 4 штабных офицера. Захвачен штаб батальона и ценные документы. Взято в плен 56 солдат, 1 офицер и 4 ефрейтора.</w:t>
      </w:r>
    </w:p>
    <w:p w14:paraId="219458F9"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красноармейцев-разведчиков под командованием тов. Плугина, обнаружив в тылу противника склад боеприпасов и вооружения, вернулась в свою часть и доложила командованию о результатах разведки. Командование дало приказ одному из подразделений овладеть складом. Наши бойцы незаметно пробрались в расположение противника и, бесшумно сняв немецких часовых, захватили склад. Снаряды, станковые пулемёты, миномёты, противотанковые мушки, телефонный кабель, находившиеся в складе, были доставлены в нашу часть.</w:t>
      </w:r>
    </w:p>
    <w:p w14:paraId="532609B8"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фельдфебель 2 роты отдельного батальона 293 немецкой пехотной дивизии Фридрих Штайгер рассказал: «За последнее время в тылу нашей армии сильно возросла активность партизан. Наш батальон был выделен для борьбы с партизанами. Мы получили приказ ликвидировать партизанский отряд в районе У. Этот отряд систематически тревожил наши части, нападал на обозы с боеприпасами и провиантом. Я был послан в разведку, чтобы выследить местонахождение партизанского лагеря. Но партизаны лучше нас знают местность, и они нас выследили раньше, чем мы их. Я попал в плен. Партизаны доставили меня в штаб советской части».</w:t>
      </w:r>
    </w:p>
    <w:p w14:paraId="754FB9B2"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177 немецкого отдельного артиллерийского дивизиона Курт Куниш сообщил: «На советско-германский фронт я прибыл в январе. В первых же боях большая часть наших пушек была захвачена русскими или выведена из строя. Тогда меня и ещё 40 солдат откомандировали в 131 отдельный пехотный батальон в качестве стрелков. У солдат, призванных из, резерва, а их большинство, нет желания воевать. Многие говорят: «Чем вести такую войну, лучше сдаться в плен». Такие разговоры я слышал ещё в поезде по дороге на фронт. Я рад, что попал в плен и нахожусь в безопасности».</w:t>
      </w:r>
    </w:p>
    <w:p w14:paraId="0E93EA69"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ефрейтора Герберта Кюль найдено неотправленное письмо на родину. В нём говорится: «Еда отвратительная и, кроме того, её выдают в очень жалком количестве. 7 дней подряд мы едим только кислую капусту. Одним словом — собачья жизнь...».</w:t>
      </w:r>
    </w:p>
    <w:p w14:paraId="5B9484A7"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бандиты, отступая из села Савинцы, Харьковской области, ограбили всех мирных жителей. Многие дома в селе сожжены, а остальные разрушены. На улицах обнаружены трупы 118 жителей села, замученных и расстрелянных гитлеровцами.</w:t>
      </w:r>
    </w:p>
    <w:p w14:paraId="6BB1D195"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Стахановцы Новосибирского завода имени Чкалова ознаменовали XXIV годовщину Красной Армии новыми производственными успехами. Слесарь т. Смородин выполнил своё задание на 839 процентов, слесарь т. Расторгуев — на 843 процента и слесарь т. Рожнов — на 600 процентов.</w:t>
      </w:r>
    </w:p>
    <w:p w14:paraId="1FC235F2"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Стахановцы Лениногорского рудника (Казахстан) бурильщики Добродеев, Лобанов и Ноздрачёв ко дню XXIV годовщины Красной Армии выполнили четырёхмесячное задание.» (15052).</w:t>
      </w:r>
    </w:p>
    <w:p w14:paraId="789C3F48" w14:textId="77777777" w:rsidR="00271F00" w:rsidRPr="008127F8" w:rsidRDefault="00271F00" w:rsidP="001E0A84">
      <w:pPr>
        <w:spacing w:after="0" w:line="240" w:lineRule="auto"/>
        <w:jc w:val="both"/>
        <w:rPr>
          <w:rFonts w:ascii="Times New Roman" w:hAnsi="Times New Roman"/>
          <w:color w:val="000000" w:themeColor="text1"/>
          <w:sz w:val="16"/>
          <w:szCs w:val="16"/>
        </w:rPr>
      </w:pPr>
    </w:p>
    <w:p w14:paraId="1D349A1B" w14:textId="77777777" w:rsidR="00DC7B9A" w:rsidRPr="008127F8" w:rsidRDefault="00DC7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случилось ЧП, которое могло положить конец боевой карьере ТБ-7 № 42015</w:t>
      </w:r>
    </w:p>
    <w:p w14:paraId="0608B57C" w14:textId="77777777" w:rsidR="00DC7B9A" w:rsidRPr="008127F8" w:rsidRDefault="00DC7B9A" w:rsidP="001E0A84">
      <w:pPr>
        <w:pStyle w:val="290"/>
        <w:shd w:val="clear" w:color="auto" w:fill="auto"/>
        <w:spacing w:after="0" w:line="240" w:lineRule="auto"/>
        <w:rPr>
          <w:rFonts w:ascii="Times New Roman" w:hAnsi="Times New Roman" w:cs="Times New Roman"/>
          <w:b w:val="0"/>
          <w:color w:val="000000" w:themeColor="text1"/>
          <w:sz w:val="16"/>
          <w:szCs w:val="16"/>
        </w:rPr>
      </w:pPr>
      <w:r w:rsidRPr="008127F8">
        <w:rPr>
          <w:rFonts w:ascii="Times New Roman" w:hAnsi="Times New Roman" w:cs="Times New Roman"/>
          <w:b w:val="0"/>
          <w:color w:val="000000" w:themeColor="text1"/>
          <w:sz w:val="16"/>
          <w:szCs w:val="16"/>
        </w:rPr>
        <w:t xml:space="preserve">"28" февраля 1942 г. </w:t>
      </w:r>
      <w:r w:rsidRPr="008127F8">
        <w:rPr>
          <w:rFonts w:ascii="Times New Roman" w:hAnsi="Times New Roman" w:cs="Times New Roman"/>
          <w:b w:val="0"/>
          <w:color w:val="000000" w:themeColor="text1"/>
          <w:sz w:val="16"/>
          <w:szCs w:val="16"/>
          <w:lang w:val="en-US"/>
        </w:rPr>
        <w:t>KPAT</w:t>
      </w:r>
      <w:r w:rsidRPr="008127F8">
        <w:rPr>
          <w:rFonts w:ascii="Times New Roman" w:hAnsi="Times New Roman" w:cs="Times New Roman"/>
          <w:b w:val="0"/>
          <w:color w:val="000000" w:themeColor="text1"/>
          <w:sz w:val="16"/>
          <w:szCs w:val="16"/>
        </w:rPr>
        <w:t>0</w:t>
      </w:r>
      <w:r w:rsidRPr="008127F8">
        <w:rPr>
          <w:rFonts w:ascii="Times New Roman" w:hAnsi="Times New Roman" w:cs="Times New Roman"/>
          <w:b w:val="0"/>
          <w:color w:val="000000" w:themeColor="text1"/>
          <w:sz w:val="16"/>
          <w:szCs w:val="16"/>
          <w:lang w:val="en-US"/>
        </w:rPr>
        <w:t>B</w:t>
      </w:r>
      <w:r w:rsidRPr="008127F8">
        <w:rPr>
          <w:rFonts w:ascii="Times New Roman" w:hAnsi="Times New Roman" w:cs="Times New Roman"/>
          <w:b w:val="0"/>
          <w:color w:val="000000" w:themeColor="text1"/>
          <w:sz w:val="16"/>
          <w:szCs w:val="16"/>
        </w:rPr>
        <w:t>0 № 08</w:t>
      </w:r>
    </w:p>
    <w:p w14:paraId="172707F4"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rStyle w:val="101pt"/>
          <w:rFonts w:ascii="Times New Roman" w:hAnsi="Times New Roman" w:cs="Times New Roman"/>
          <w:color w:val="000000" w:themeColor="text1"/>
          <w:spacing w:val="0"/>
          <w:sz w:val="16"/>
          <w:szCs w:val="16"/>
        </w:rPr>
        <w:t>§1.</w:t>
      </w:r>
    </w:p>
    <w:p w14:paraId="4F68CE11"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26.2.42 г в 15.00 в 1 авиаэскадрилии возник пожар на четвертом моторе самолета ТБ-№ 42015. Пожар быстро был ликвидирован силами техсостава самолета. Самолет вышел из строя и требует ремонта заводской бригадой.</w:t>
      </w:r>
    </w:p>
    <w:p w14:paraId="02B64563"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Причиной пожара явилось нарушение правил эксплуатации системы нейтрального газа. Заправка самолета бензином производилась при положении ГАЗ" крана нейтрального газа, что привело к заполнению трубопровода системы нейтрального газа бензином и через газозаборник бензин попал в патрубки задних цилиндров, а из них под капот и на чехол мотора. При подогреве мотора лампой АПЛ-1, вытекающий под капот бензин попал на трубу подогрева от лампы АПЛ-1 и воспламенился.</w:t>
      </w:r>
    </w:p>
    <w:p w14:paraId="259086F6"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1 авиаэскадрилии уже был случай пожара, приведший к полному уничтожению самолета ТБ-7 № 4216.</w:t>
      </w:r>
    </w:p>
    <w:p w14:paraId="3496545A"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Намеченные мероприятия, после первого случая пожара, и проведенные указания по выполнению их, должны были бы пол</w:t>
      </w:r>
      <w:r w:rsidRPr="008127F8">
        <w:rPr>
          <w:color w:val="000000" w:themeColor="text1"/>
          <w:sz w:val="16"/>
          <w:szCs w:val="16"/>
        </w:rPr>
        <w:softHyphen/>
        <w:t>ностью исключить повторение подобного случая при точном выполнении со стороны технического состава всех мероприя</w:t>
      </w:r>
      <w:r w:rsidRPr="008127F8">
        <w:rPr>
          <w:color w:val="000000" w:themeColor="text1"/>
          <w:sz w:val="16"/>
          <w:szCs w:val="16"/>
        </w:rPr>
        <w:softHyphen/>
        <w:t>тии и указаний по предотвращению пожаров.</w:t>
      </w:r>
    </w:p>
    <w:p w14:paraId="062EC808"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rStyle w:val="101pt"/>
          <w:rFonts w:ascii="Times New Roman" w:hAnsi="Times New Roman" w:cs="Times New Roman"/>
          <w:color w:val="000000" w:themeColor="text1"/>
          <w:spacing w:val="0"/>
          <w:sz w:val="16"/>
          <w:szCs w:val="16"/>
        </w:rPr>
        <w:lastRenderedPageBreak/>
        <w:t>§2.</w:t>
      </w:r>
    </w:p>
    <w:p w14:paraId="4BBC8B62"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Виновниками пожара на самолете ТБ-7 № 42015 являются:</w:t>
      </w:r>
    </w:p>
    <w:p w14:paraId="1B3C1C73" w14:textId="77777777" w:rsidR="00DC7B9A" w:rsidRPr="008127F8" w:rsidRDefault="00DC7B9A" w:rsidP="001E0A84">
      <w:pPr>
        <w:pStyle w:val="109"/>
        <w:shd w:val="clear" w:color="auto" w:fill="auto"/>
        <w:tabs>
          <w:tab w:val="left" w:pos="513"/>
        </w:tabs>
        <w:spacing w:line="240" w:lineRule="auto"/>
        <w:jc w:val="both"/>
        <w:rPr>
          <w:color w:val="000000" w:themeColor="text1"/>
          <w:sz w:val="16"/>
          <w:szCs w:val="16"/>
        </w:rPr>
      </w:pPr>
      <w:r w:rsidRPr="008127F8">
        <w:rPr>
          <w:color w:val="000000" w:themeColor="text1"/>
          <w:sz w:val="16"/>
          <w:szCs w:val="16"/>
        </w:rPr>
        <w:t>1. Ст. борттехник воентехник 1 ранга т. ДУБОБОЙ, до</w:t>
      </w:r>
      <w:r w:rsidRPr="008127F8">
        <w:rPr>
          <w:color w:val="000000" w:themeColor="text1"/>
          <w:sz w:val="16"/>
          <w:szCs w:val="16"/>
        </w:rPr>
        <w:softHyphen/>
        <w:t>пустивший заправку самолета бензином при положении "ГАЗ" крана нейтрального газа.</w:t>
      </w:r>
    </w:p>
    <w:p w14:paraId="6C1C2631" w14:textId="77777777" w:rsidR="00DC7B9A" w:rsidRPr="008127F8" w:rsidRDefault="00DC7B9A" w:rsidP="001E0A84">
      <w:pPr>
        <w:pStyle w:val="109"/>
        <w:shd w:val="clear" w:color="auto" w:fill="auto"/>
        <w:tabs>
          <w:tab w:val="left" w:pos="499"/>
        </w:tabs>
        <w:spacing w:line="240" w:lineRule="auto"/>
        <w:jc w:val="both"/>
        <w:rPr>
          <w:color w:val="000000" w:themeColor="text1"/>
          <w:sz w:val="16"/>
          <w:szCs w:val="16"/>
        </w:rPr>
      </w:pPr>
      <w:r w:rsidRPr="008127F8">
        <w:rPr>
          <w:color w:val="000000" w:themeColor="text1"/>
          <w:sz w:val="16"/>
          <w:szCs w:val="16"/>
        </w:rPr>
        <w:t>2. Пом. борттехника воентехник 2 ранга, ПАРОВОЙ, про</w:t>
      </w:r>
      <w:r w:rsidRPr="008127F8">
        <w:rPr>
          <w:color w:val="000000" w:themeColor="text1"/>
          <w:sz w:val="16"/>
          <w:szCs w:val="16"/>
        </w:rPr>
        <w:softHyphen/>
        <w:t>изводивший заправку самолета бензином при положении ТАЗ" крана нейтрального газа.</w:t>
      </w:r>
    </w:p>
    <w:p w14:paraId="0EF20B68" w14:textId="77777777" w:rsidR="00DC7B9A" w:rsidRPr="008127F8" w:rsidRDefault="00DC7B9A" w:rsidP="001E0A84">
      <w:pPr>
        <w:pStyle w:val="109"/>
        <w:shd w:val="clear" w:color="auto" w:fill="auto"/>
        <w:tabs>
          <w:tab w:val="left" w:pos="488"/>
        </w:tabs>
        <w:spacing w:line="240" w:lineRule="auto"/>
        <w:jc w:val="both"/>
        <w:rPr>
          <w:color w:val="000000" w:themeColor="text1"/>
          <w:sz w:val="16"/>
          <w:szCs w:val="16"/>
        </w:rPr>
      </w:pPr>
      <w:r w:rsidRPr="008127F8">
        <w:rPr>
          <w:color w:val="000000" w:themeColor="text1"/>
          <w:sz w:val="16"/>
          <w:szCs w:val="16"/>
        </w:rPr>
        <w:t>3. Авиамеханик ст. сержант П0Н0МАРЕНК0, присоединив</w:t>
      </w:r>
      <w:r w:rsidRPr="008127F8">
        <w:rPr>
          <w:color w:val="000000" w:themeColor="text1"/>
          <w:sz w:val="16"/>
          <w:szCs w:val="16"/>
        </w:rPr>
        <w:softHyphen/>
        <w:t>ший лампу АПЛ-1 к трубе, не проверив отсутствия бензина под капотом и чехлом мотора.</w:t>
      </w:r>
    </w:p>
    <w:p w14:paraId="76AC53F1" w14:textId="77777777" w:rsidR="00DC7B9A" w:rsidRPr="008127F8" w:rsidRDefault="00DC7B9A" w:rsidP="001E0A84">
      <w:pPr>
        <w:pStyle w:val="109"/>
        <w:shd w:val="clear" w:color="auto" w:fill="auto"/>
        <w:tabs>
          <w:tab w:val="left" w:pos="492"/>
        </w:tabs>
        <w:spacing w:line="240" w:lineRule="auto"/>
        <w:jc w:val="both"/>
        <w:rPr>
          <w:color w:val="000000" w:themeColor="text1"/>
          <w:sz w:val="16"/>
          <w:szCs w:val="16"/>
        </w:rPr>
      </w:pPr>
      <w:r w:rsidRPr="008127F8">
        <w:rPr>
          <w:color w:val="000000" w:themeColor="text1"/>
          <w:sz w:val="16"/>
          <w:szCs w:val="16"/>
        </w:rPr>
        <w:t>4. Инженер эскадрилии воентехник 1 ранга т. СТОЛЯРОВ, не обеспечивший контроль за проведением всех намеченных меро</w:t>
      </w:r>
      <w:r w:rsidRPr="008127F8">
        <w:rPr>
          <w:color w:val="000000" w:themeColor="text1"/>
          <w:sz w:val="16"/>
          <w:szCs w:val="16"/>
        </w:rPr>
        <w:softHyphen/>
        <w:t>приятий, исключающих возможность возникновения пожара.</w:t>
      </w:r>
    </w:p>
    <w:p w14:paraId="4C1D4979"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rStyle w:val="101pt"/>
          <w:rFonts w:ascii="Times New Roman" w:hAnsi="Times New Roman" w:cs="Times New Roman"/>
          <w:color w:val="000000" w:themeColor="text1"/>
          <w:spacing w:val="0"/>
          <w:sz w:val="16"/>
          <w:szCs w:val="16"/>
        </w:rPr>
        <w:t>§3.</w:t>
      </w:r>
    </w:p>
    <w:p w14:paraId="1A9889CA"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За допущенное нарушение при подготовке самолета к бое</w:t>
      </w:r>
      <w:r w:rsidRPr="008127F8">
        <w:rPr>
          <w:color w:val="000000" w:themeColor="text1"/>
          <w:sz w:val="16"/>
          <w:szCs w:val="16"/>
        </w:rPr>
        <w:softHyphen/>
        <w:t>вому вылету, приведшее к возникновению пожара, виновники под</w:t>
      </w:r>
      <w:r w:rsidRPr="008127F8">
        <w:rPr>
          <w:color w:val="000000" w:themeColor="text1"/>
          <w:sz w:val="16"/>
          <w:szCs w:val="16"/>
        </w:rPr>
        <w:softHyphen/>
        <w:t>лежат преданию суду Военного Трибунала, но учитывая длитель</w:t>
      </w:r>
      <w:r w:rsidRPr="008127F8">
        <w:rPr>
          <w:color w:val="000000" w:themeColor="text1"/>
          <w:sz w:val="16"/>
          <w:szCs w:val="16"/>
        </w:rPr>
        <w:softHyphen/>
        <w:t>ную добросовестную работу по обеспечению и выполнению бое</w:t>
      </w:r>
      <w:r w:rsidRPr="008127F8">
        <w:rPr>
          <w:color w:val="000000" w:themeColor="text1"/>
          <w:sz w:val="16"/>
          <w:szCs w:val="16"/>
        </w:rPr>
        <w:softHyphen/>
        <w:t>вых вылетов и самоотверженную работу по ликвидации пожара, ограничиваюсь дисциплинарным взысканием и ПРИКАЗЫВАЮ:</w:t>
      </w:r>
    </w:p>
    <w:p w14:paraId="68EAD443" w14:textId="77777777" w:rsidR="00DC7B9A" w:rsidRPr="008127F8" w:rsidRDefault="00DC7B9A" w:rsidP="001E0A84">
      <w:pPr>
        <w:pStyle w:val="109"/>
        <w:shd w:val="clear" w:color="auto" w:fill="auto"/>
        <w:tabs>
          <w:tab w:val="left" w:pos="484"/>
        </w:tabs>
        <w:spacing w:line="240" w:lineRule="auto"/>
        <w:jc w:val="both"/>
        <w:rPr>
          <w:color w:val="000000" w:themeColor="text1"/>
          <w:sz w:val="16"/>
          <w:szCs w:val="16"/>
        </w:rPr>
      </w:pPr>
      <w:r w:rsidRPr="008127F8">
        <w:rPr>
          <w:color w:val="000000" w:themeColor="text1"/>
          <w:sz w:val="16"/>
          <w:szCs w:val="16"/>
        </w:rPr>
        <w:t>1. Воентехника 1 ранга тов. ДУБОВОГО Т.К. арестовать на 8 суток домашним арестом с удержанием 50% из оклада содержа</w:t>
      </w:r>
      <w:r w:rsidRPr="008127F8">
        <w:rPr>
          <w:color w:val="000000" w:themeColor="text1"/>
          <w:sz w:val="16"/>
          <w:szCs w:val="16"/>
        </w:rPr>
        <w:softHyphen/>
        <w:t>ния за каждый день ареста.</w:t>
      </w:r>
    </w:p>
    <w:p w14:paraId="13DDEBEE" w14:textId="77777777" w:rsidR="00DC7B9A" w:rsidRPr="008127F8" w:rsidRDefault="00DC7B9A" w:rsidP="001E0A84">
      <w:pPr>
        <w:pStyle w:val="109"/>
        <w:shd w:val="clear" w:color="auto" w:fill="auto"/>
        <w:tabs>
          <w:tab w:val="left" w:pos="495"/>
        </w:tabs>
        <w:spacing w:line="240" w:lineRule="auto"/>
        <w:jc w:val="both"/>
        <w:rPr>
          <w:color w:val="000000" w:themeColor="text1"/>
          <w:sz w:val="16"/>
          <w:szCs w:val="16"/>
        </w:rPr>
      </w:pPr>
      <w:r w:rsidRPr="008127F8">
        <w:rPr>
          <w:color w:val="000000" w:themeColor="text1"/>
          <w:sz w:val="16"/>
          <w:szCs w:val="16"/>
        </w:rPr>
        <w:t>2. Воентехник 2 ранга т. ПАРОВОГО М.Ф. арестовать на 8 суток домашнего ареста с удержанием 50% из оклада содержа</w:t>
      </w:r>
      <w:r w:rsidRPr="008127F8">
        <w:rPr>
          <w:color w:val="000000" w:themeColor="text1"/>
          <w:sz w:val="16"/>
          <w:szCs w:val="16"/>
        </w:rPr>
        <w:softHyphen/>
        <w:t>ния за каждый день ареста.</w:t>
      </w:r>
    </w:p>
    <w:p w14:paraId="43B0B7EB" w14:textId="77777777" w:rsidR="00DC7B9A" w:rsidRPr="008127F8" w:rsidRDefault="00DC7B9A" w:rsidP="001E0A84">
      <w:pPr>
        <w:pStyle w:val="109"/>
        <w:shd w:val="clear" w:color="auto" w:fill="auto"/>
        <w:tabs>
          <w:tab w:val="left" w:pos="480"/>
        </w:tabs>
        <w:spacing w:line="240" w:lineRule="auto"/>
        <w:jc w:val="both"/>
        <w:rPr>
          <w:color w:val="000000" w:themeColor="text1"/>
          <w:sz w:val="16"/>
          <w:szCs w:val="16"/>
        </w:rPr>
      </w:pPr>
      <w:r w:rsidRPr="008127F8">
        <w:rPr>
          <w:color w:val="000000" w:themeColor="text1"/>
          <w:sz w:val="16"/>
          <w:szCs w:val="16"/>
        </w:rPr>
        <w:t>3. Ст. сержанта ПОНОМАРЕНКО А.К. - ОБЪЯВИТЬ ВЫГОВОР.</w:t>
      </w:r>
    </w:p>
    <w:p w14:paraId="6D8C7D86" w14:textId="77777777" w:rsidR="00DC7B9A" w:rsidRPr="008127F8" w:rsidRDefault="00DC7B9A" w:rsidP="001E0A84">
      <w:pPr>
        <w:pStyle w:val="109"/>
        <w:shd w:val="clear" w:color="auto" w:fill="auto"/>
        <w:tabs>
          <w:tab w:val="left" w:pos="495"/>
        </w:tabs>
        <w:spacing w:line="240" w:lineRule="auto"/>
        <w:jc w:val="both"/>
        <w:rPr>
          <w:color w:val="000000" w:themeColor="text1"/>
          <w:sz w:val="16"/>
          <w:szCs w:val="16"/>
        </w:rPr>
      </w:pPr>
      <w:r w:rsidRPr="008127F8">
        <w:rPr>
          <w:color w:val="000000" w:themeColor="text1"/>
          <w:sz w:val="16"/>
          <w:szCs w:val="16"/>
        </w:rPr>
        <w:t>4. Воентехник 1 ранга СТОЛЯРОВА Л.В. арестовать на 3 су</w:t>
      </w:r>
      <w:r w:rsidRPr="008127F8">
        <w:rPr>
          <w:color w:val="000000" w:themeColor="text1"/>
          <w:sz w:val="16"/>
          <w:szCs w:val="16"/>
        </w:rPr>
        <w:softHyphen/>
        <w:t>ток домашним арестом с удержанием 50% из оклада содержа</w:t>
      </w:r>
      <w:r w:rsidRPr="008127F8">
        <w:rPr>
          <w:color w:val="000000" w:themeColor="text1"/>
          <w:sz w:val="16"/>
          <w:szCs w:val="16"/>
        </w:rPr>
        <w:softHyphen/>
        <w:t>ния за каждый день ареста и предупреждаю о неполном служеб</w:t>
      </w:r>
      <w:r w:rsidRPr="008127F8">
        <w:rPr>
          <w:color w:val="000000" w:themeColor="text1"/>
          <w:sz w:val="16"/>
          <w:szCs w:val="16"/>
        </w:rPr>
        <w:softHyphen/>
        <w:t>ном соответствии.</w:t>
      </w:r>
    </w:p>
    <w:p w14:paraId="41B85EA3"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rStyle w:val="101pt"/>
          <w:rFonts w:ascii="Times New Roman" w:hAnsi="Times New Roman" w:cs="Times New Roman"/>
          <w:color w:val="000000" w:themeColor="text1"/>
          <w:spacing w:val="0"/>
          <w:sz w:val="16"/>
          <w:szCs w:val="16"/>
        </w:rPr>
        <w:t>§4.</w:t>
      </w:r>
    </w:p>
    <w:p w14:paraId="59136EDA"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Для предотвращения повторения подобных случаев провести следующие мероприятия:</w:t>
      </w:r>
    </w:p>
    <w:p w14:paraId="599080A7" w14:textId="77777777" w:rsidR="00DC7B9A" w:rsidRPr="008127F8" w:rsidRDefault="00DC7B9A" w:rsidP="001E0A84">
      <w:pPr>
        <w:pStyle w:val="109"/>
        <w:shd w:val="clear" w:color="auto" w:fill="auto"/>
        <w:tabs>
          <w:tab w:val="left" w:pos="481"/>
        </w:tabs>
        <w:spacing w:line="240" w:lineRule="auto"/>
        <w:jc w:val="both"/>
        <w:rPr>
          <w:color w:val="000000" w:themeColor="text1"/>
          <w:sz w:val="16"/>
          <w:szCs w:val="16"/>
        </w:rPr>
      </w:pPr>
      <w:r w:rsidRPr="008127F8">
        <w:rPr>
          <w:color w:val="000000" w:themeColor="text1"/>
          <w:sz w:val="16"/>
          <w:szCs w:val="16"/>
        </w:rPr>
        <w:t>1. Категорически запретить заправку самолета бензином при постановке крана нейтрального газа на ТАЗ".</w:t>
      </w:r>
    </w:p>
    <w:p w14:paraId="17A4703F" w14:textId="77777777" w:rsidR="00DC7B9A" w:rsidRPr="008127F8" w:rsidRDefault="00DC7B9A" w:rsidP="001E0A84">
      <w:pPr>
        <w:pStyle w:val="109"/>
        <w:shd w:val="clear" w:color="auto" w:fill="auto"/>
        <w:tabs>
          <w:tab w:val="left" w:pos="463"/>
        </w:tabs>
        <w:spacing w:line="240" w:lineRule="auto"/>
        <w:jc w:val="both"/>
        <w:rPr>
          <w:color w:val="000000" w:themeColor="text1"/>
          <w:sz w:val="16"/>
          <w:szCs w:val="16"/>
        </w:rPr>
      </w:pPr>
      <w:r w:rsidRPr="008127F8">
        <w:rPr>
          <w:color w:val="000000" w:themeColor="text1"/>
          <w:sz w:val="16"/>
          <w:szCs w:val="16"/>
        </w:rPr>
        <w:t>2. Кран на ГАЗ ставить только после дозаправки и опробывания моторов с предварительной проверкой отсутствия бензина в отстойнике и колоколе системы наполнения нейтральным газом.</w:t>
      </w:r>
    </w:p>
    <w:p w14:paraId="1A72D1BE" w14:textId="77777777" w:rsidR="00DC7B9A" w:rsidRPr="008127F8" w:rsidRDefault="00DC7B9A" w:rsidP="001E0A84">
      <w:pPr>
        <w:pStyle w:val="109"/>
        <w:shd w:val="clear" w:color="auto" w:fill="auto"/>
        <w:tabs>
          <w:tab w:val="left" w:pos="456"/>
        </w:tabs>
        <w:spacing w:line="240" w:lineRule="auto"/>
        <w:jc w:val="both"/>
        <w:rPr>
          <w:color w:val="000000" w:themeColor="text1"/>
          <w:sz w:val="16"/>
          <w:szCs w:val="16"/>
        </w:rPr>
      </w:pPr>
      <w:r w:rsidRPr="008127F8">
        <w:rPr>
          <w:color w:val="000000" w:themeColor="text1"/>
          <w:sz w:val="16"/>
          <w:szCs w:val="16"/>
        </w:rPr>
        <w:t>3. Присоединение лампы АПЛ-1 для подогрева мотора производить только после тщательной проверки отсуствия каких-либо признаков наличия бензина под капотом и чехлом и при обязательном наличии противопожарных средств у самолета.</w:t>
      </w:r>
    </w:p>
    <w:p w14:paraId="41E529FC" w14:textId="77777777" w:rsidR="00DC7B9A" w:rsidRPr="008127F8" w:rsidRDefault="00DC7B9A" w:rsidP="001E0A84">
      <w:pPr>
        <w:pStyle w:val="109"/>
        <w:shd w:val="clear" w:color="auto" w:fill="auto"/>
        <w:tabs>
          <w:tab w:val="left" w:pos="510"/>
        </w:tabs>
        <w:spacing w:line="240" w:lineRule="auto"/>
        <w:jc w:val="both"/>
        <w:rPr>
          <w:color w:val="000000" w:themeColor="text1"/>
          <w:sz w:val="16"/>
          <w:szCs w:val="16"/>
        </w:rPr>
      </w:pPr>
      <w:r w:rsidRPr="008127F8">
        <w:rPr>
          <w:color w:val="000000" w:themeColor="text1"/>
          <w:sz w:val="16"/>
          <w:szCs w:val="16"/>
        </w:rPr>
        <w:t>4. Еще раз до 3.3.42 г. в эскадрилиях проработать со всем техническим и летным составом приказ командира Дивизии № 021 и мои указания по предотвращению возникновения пожаров на самолетах.</w:t>
      </w:r>
    </w:p>
    <w:p w14:paraId="0F8878B9" w14:textId="77777777" w:rsidR="00DC7B9A" w:rsidRPr="008127F8" w:rsidRDefault="00DC7B9A" w:rsidP="001E0A84">
      <w:pPr>
        <w:pStyle w:val="109"/>
        <w:shd w:val="clear" w:color="auto" w:fill="auto"/>
        <w:tabs>
          <w:tab w:val="left" w:pos="564"/>
        </w:tabs>
        <w:spacing w:line="240" w:lineRule="auto"/>
        <w:jc w:val="both"/>
        <w:rPr>
          <w:color w:val="000000" w:themeColor="text1"/>
          <w:sz w:val="16"/>
          <w:szCs w:val="16"/>
        </w:rPr>
      </w:pPr>
      <w:r w:rsidRPr="008127F8">
        <w:rPr>
          <w:color w:val="000000" w:themeColor="text1"/>
          <w:sz w:val="16"/>
          <w:szCs w:val="16"/>
        </w:rPr>
        <w:t>5. Всему командно-инженерному составу под личную ответственность командиров и комиссаров эскадрилий в повседневной работе усилить контроль за выполнением мероприятий и существующих инструкций и приказов по подготовке к полету и эксплуатации м отчасти.</w:t>
      </w:r>
    </w:p>
    <w:p w14:paraId="018C1253"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Предупреждаю командиров, комиссаров эскадрилий и весь летно-технический состав, что при повторении упущений при работе на метериальной части будут приниматься самые строгие меры взысканий по законам Военного времени, несмотря ни на какие заслуги.</w:t>
      </w:r>
    </w:p>
    <w:p w14:paraId="75A7A7B5" w14:textId="77777777" w:rsidR="00DC7B9A" w:rsidRPr="008127F8" w:rsidRDefault="00DC7B9A"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КОМАНДИР ПОЛКА ПОЛКОВНИК /ЛЕБЕДЕВ/ ЗА ВОЕНКОМА ПОЛКА БАТ. КОМИССАР/НИКОЛАЕВ/ НАЧАЛЬНИК ШТАБА МАЙОР/ИВАЩЕНКО/ (19105).</w:t>
      </w:r>
    </w:p>
    <w:p w14:paraId="3BD9B561" w14:textId="77777777" w:rsidR="00DC7B9A" w:rsidRPr="008127F8" w:rsidRDefault="00DC7B9A" w:rsidP="001E0A84">
      <w:pPr>
        <w:spacing w:after="0" w:line="240" w:lineRule="auto"/>
        <w:jc w:val="both"/>
        <w:rPr>
          <w:rFonts w:ascii="Times New Roman" w:hAnsi="Times New Roman"/>
          <w:color w:val="000000" w:themeColor="text1"/>
          <w:sz w:val="16"/>
          <w:szCs w:val="16"/>
        </w:rPr>
      </w:pPr>
    </w:p>
    <w:p w14:paraId="2A101B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командующим 1-м воздушным флотом генерал-полковником Альфредом Келлером была подписана Директива на проведение операции, получившей кодовое наименование “Айсштосс” (“Ледовый удар). Ответственным за разработку плана и проведение операции назначался штаб 1-го авиакорпуса (командующий - генерал авиации Гельмут Феостер).</w:t>
      </w:r>
    </w:p>
    <w:p w14:paraId="46FD33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Текст директивы гласил:</w:t>
      </w:r>
    </w:p>
    <w:p w14:paraId="7AB47D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"Незадолго до ледохода одной массированной атакой пикирующих бомбардировщиков под прикрытием истребителей уничтожить находящиеся в Финском заливе тяжелые корабли русского флота (1 </w:t>
      </w:r>
      <w:proofErr w:type="gramStart"/>
      <w:r w:rsidRPr="008127F8">
        <w:rPr>
          <w:rFonts w:ascii="Times New Roman" w:hAnsi="Times New Roman"/>
          <w:color w:val="000000" w:themeColor="text1"/>
          <w:sz w:val="16"/>
          <w:szCs w:val="16"/>
        </w:rPr>
        <w:t>линкор ,</w:t>
      </w:r>
      <w:proofErr w:type="gramEnd"/>
      <w:r w:rsidRPr="008127F8">
        <w:rPr>
          <w:rFonts w:ascii="Times New Roman" w:hAnsi="Times New Roman"/>
          <w:color w:val="000000" w:themeColor="text1"/>
          <w:sz w:val="16"/>
          <w:szCs w:val="16"/>
        </w:rPr>
        <w:t xml:space="preserve"> 2 крейсер типа "Киров”, 1 минный крейсер "Марти”).</w:t>
      </w:r>
    </w:p>
    <w:p w14:paraId="792DD8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проведения этой атаки 1-му воздушному корпусу дополнительно будет придана группа пикирующих бомбардировщиков.</w:t>
      </w:r>
    </w:p>
    <w:p w14:paraId="6EE5E7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возможность того</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предусмотренные для пикирующих бомбардировщиков и истребителей аэродромы подскока ко времени атаки могут быть залиты водой, командованию 1-го воздушного корпуса сообщить в отдел оберквартирмейстера 1-го воздушного флота, с каких аэродромов можно будет осуществить подскок, если это вообще будет возможно. Если эти аэродромы находятся слишком глубоко в тылу</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сделает невозможным проведение операции в связи с ограниченностью радиуса действия самолетов, командованию 1-го воздушного корпуса срочно сооощить об этом. чтобы атака была проведена в то время, когда с учетом радиуса действия предусмотренные для операции части могли использовать аэродромы до их прихода в негодность.</w:t>
      </w:r>
    </w:p>
    <w:p w14:paraId="04E000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любом случае необходимо уничтожить указанные корабли до начала судоходства в Финском заливе.</w:t>
      </w:r>
    </w:p>
    <w:p w14:paraId="206CF0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Командиру 1-го воздушного корпуса до 1 марта 1942 г. доложить план атаки с указанием времени и привлекаемых сил" (6414).</w:t>
      </w:r>
    </w:p>
    <w:p w14:paraId="0E4C37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C68E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02071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8FD774"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26–27 февраля (ночь) 1942 49 британских бомбардировщиков атакуют Киль, Германия, с потерей трех самолетов. Они дважды попали в немецкий линейный крейсер </w:t>
      </w:r>
      <w:proofErr w:type="gramStart"/>
      <w:r w:rsidRPr="008127F8">
        <w:rPr>
          <w:rFonts w:ascii="Times New Roman" w:hAnsi="Times New Roman"/>
          <w:color w:val="000000" w:themeColor="text1"/>
          <w:sz w:val="16"/>
          <w:szCs w:val="16"/>
        </w:rPr>
        <w:t>« Гнейзенау</w:t>
      </w:r>
      <w:proofErr w:type="gramEnd"/>
      <w:r w:rsidRPr="008127F8">
        <w:rPr>
          <w:rFonts w:ascii="Times New Roman" w:hAnsi="Times New Roman"/>
          <w:color w:val="000000" w:themeColor="text1"/>
          <w:sz w:val="16"/>
          <w:szCs w:val="16"/>
        </w:rPr>
        <w:t>», убив 116 членов его команды и повредив его так сильно, что он уже никогда не будет мореходным (20793).</w:t>
      </w:r>
    </w:p>
    <w:p w14:paraId="4A492CF2"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77B40A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февраля 1942 Совет по исследованиям в Германии на конференции, проведенной </w:t>
      </w:r>
      <w:proofErr w:type="gramStart"/>
      <w:r w:rsidRPr="008127F8">
        <w:rPr>
          <w:rFonts w:ascii="Times New Roman" w:hAnsi="Times New Roman"/>
          <w:color w:val="000000" w:themeColor="text1"/>
          <w:sz w:val="16"/>
          <w:szCs w:val="16"/>
        </w:rPr>
        <w:t>для нацистских руководителей</w:t>
      </w:r>
      <w:proofErr w:type="gramEnd"/>
      <w:r w:rsidRPr="008127F8">
        <w:rPr>
          <w:rFonts w:ascii="Times New Roman" w:hAnsi="Times New Roman"/>
          <w:color w:val="000000" w:themeColor="text1"/>
          <w:sz w:val="16"/>
          <w:szCs w:val="16"/>
        </w:rPr>
        <w:t xml:space="preserve"> пытался получить поддержку для урановой программы. Гейзенберг рассказал о возможностях использования урановых реакторов на подлодках, сообщил о возможности создания атомной бомбы и о ректоре, который может производить плутоний (2221).</w:t>
      </w:r>
    </w:p>
    <w:p w14:paraId="5113EC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73A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26-28 февраля 1942 в Берлине прошла Конференция ученых – участников Уранового проекта. Обсуждаются исследования в области ядерной физики, имеющие большую важность для обороны страны. – А-Бомба. – С.96–97 (11321).</w:t>
      </w:r>
    </w:p>
    <w:p w14:paraId="6D1DF1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8E2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26-28 февраля 1942 Гейзенберг на конференции в Министерстве вооружений доложил о неудачах с 3 реакторами (2221).</w:t>
      </w:r>
    </w:p>
    <w:p w14:paraId="3FE920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86D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года в стенах Института физики имени императора Вильгельма было назначено совещание Научно-исследовательского совета, посвященное «урановому проекту». За несколько дней до этого организаторы разослали приглашения Шпееру, Кейтелю, Гиммлеру, Редару, Герингу, Борману и другим нацистским вождям. В приглашениях содержалась следующая повестка мероприятия:</w:t>
      </w:r>
    </w:p>
    <w:p w14:paraId="25E0B7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Ядерная физика как оружие (проф. И. Шуман).</w:t>
      </w:r>
    </w:p>
    <w:p w14:paraId="38EDC4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Расщепление ядра урана (проф. О. Ган).</w:t>
      </w:r>
    </w:p>
    <w:p w14:paraId="149787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Теоретические основы производства энергии путем расщепления урана (проф. В. Гейзенберг).</w:t>
      </w:r>
    </w:p>
    <w:p w14:paraId="1448B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Результаты исследований установок по производству энергии (проф. В. Боте).</w:t>
      </w:r>
    </w:p>
    <w:p w14:paraId="45C389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Необходимость исследования общих основ (проф. X. Гейгер).</w:t>
      </w:r>
    </w:p>
    <w:p w14:paraId="797949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Обогащение изотопов урана (проф. К. Клузиус).</w:t>
      </w:r>
    </w:p>
    <w:p w14:paraId="3CFB99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Производство тяжелой воды (проф. П. Хартек).</w:t>
      </w:r>
    </w:p>
    <w:p w14:paraId="1B3EA1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 расширении рабочей группы «Ядерная физика» за счет привлечения представителей промышленности и различных ведомств рейха (проф. А. Эзау)».</w:t>
      </w:r>
    </w:p>
    <w:p w14:paraId="4CCFE8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листку, – и так озадачившему умы высших офицеров рейха множеством загадочных слов, – небрежной секретаршей были подколоты еще четыре листа: темы всех докладов, слушавшихся в те же дни в Институте физики. И эти строки звучали уже сущей китайской грамотой: «диффузионная длина», «эффективное поперечное сечение» и так далее, и тому подобное.</w:t>
      </w:r>
    </w:p>
    <w:p w14:paraId="5F2917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Неудивительно, что Гиммлер, глянув на эти странные слова, отказался тратить свое драгоценное время на выслушивание подробностей. Генерал-фельдмаршал Кейтель был более дипломатичен. Он заверил организаторов, что придает большое значение «этим научным проблемам», но бремя возложенных на него обязанностей не позволяет ему принять участие в совещании. Редер уведомил о прибытии одного из своих заместителей. В итоге никто из власть предержащих так и не явился выслушивать «ученую тарабарщину».</w:t>
      </w:r>
    </w:p>
    <w:p w14:paraId="467C7B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не только в равнодушном отношении руководителей Третьего рейха к физикам и их проблемам следует искать причины провала немецкого «уранового проекта». Среди самих физиков не было единства. В Германии не нашлось организатора (а точнее – никому не пришло в голову такого организатора назначить), который сумел бы собрать всех физиков «под одной крышей» и заставил бы их работать, подчиняясь общей программе исследований. Вместо этого в рейхе существовало целых три группы исследователей, которые непрерывно конфликтовали друг с другом. Из-за этого весьма перспективные предложения оказались обойдены вниманием (11688).</w:t>
      </w:r>
    </w:p>
    <w:p w14:paraId="30A4E6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38C1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НЛО приблизился к крейсеру Тромп оккупированных Нидерландов и наблюдал за крейсером в течение 3 часов. Каиптан характеризовал как гигантский диск, сделанный по всей видлимости из аллюминия. Ушел вертикально вверх на большой скорости (7579).</w:t>
      </w:r>
    </w:p>
    <w:p w14:paraId="396D3E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A589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февраля 1942 около 22 тысяч канадцев японского происхождения депортированы из Британской Колумбии (Канада) (4962).</w:t>
      </w:r>
    </w:p>
    <w:p w14:paraId="5524B6C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84ACA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8E19E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97CC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года вышел проект Приказа ВВС:</w:t>
      </w:r>
    </w:p>
    <w:p w14:paraId="24917E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Содержание</w:t>
      </w:r>
      <w:proofErr w:type="gramStart"/>
      <w:r w:rsidRPr="008127F8">
        <w:rPr>
          <w:rFonts w:ascii="Times New Roman" w:hAnsi="Times New Roman"/>
          <w:color w:val="000000" w:themeColor="text1"/>
          <w:sz w:val="16"/>
          <w:szCs w:val="16"/>
        </w:rPr>
        <w:t>: О</w:t>
      </w:r>
      <w:proofErr w:type="gramEnd"/>
      <w:r w:rsidRPr="008127F8">
        <w:rPr>
          <w:rFonts w:ascii="Times New Roman" w:hAnsi="Times New Roman"/>
          <w:color w:val="000000" w:themeColor="text1"/>
          <w:sz w:val="16"/>
          <w:szCs w:val="16"/>
        </w:rPr>
        <w:t xml:space="preserve"> дефектах технической эксплуатации самолетов Ил-2 с мотором АМ-38.</w:t>
      </w:r>
    </w:p>
    <w:p w14:paraId="7CACCC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зимы 1941-42 года имел место ряд летных происшествий и дефектов на самолете Ил-2 с мотором АМ-38, явившихся в значительной мере результатом неправильной эксплуатации их летно-техническим составом как в воздухе, так и на земле, а также отсутствия должного руководства технической эксплуатацией командным и инженерным составом.</w:t>
      </w:r>
    </w:p>
    <w:p w14:paraId="0C27A8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Современная авиационная техника чрезвычайно сложна и ее можно правильно эксплуатировать в воздухе и на земле лишь только под руководством инженера. Несмотря на это, годами неправильно внедрялась в ВВС система использования инженеров при эксплуатации, усложняющейся из года в год материальной части. Само понятие "Техническая эксплуатация" неправильно разъясняли и прививали техническому составу только как уход за самолетом на земле, его хранение и подготовка к полету. И в этом кругу обязанностей замыкали роль инженера, загружая его дополнительно снабженческими функциями в процессе устранения дефектов.</w:t>
      </w:r>
    </w:p>
    <w:p w14:paraId="687640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этого техническая эксплуатация самолета в воздухе оставалась без руководства и о ней, по существу, забывали.</w:t>
      </w:r>
    </w:p>
    <w:p w14:paraId="1B90CC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 ГКО о введении персональных воинских званий инженерно-техническому составу ВВС определяет место инженера-командира в системе ВВС, как руководителя технической эксплуатацией материальной части, так как до сего времени в целом ряде случаев </w:t>
      </w:r>
      <w:proofErr w:type="gramStart"/>
      <w:r w:rsidRPr="008127F8">
        <w:rPr>
          <w:rFonts w:ascii="Times New Roman" w:hAnsi="Times New Roman"/>
          <w:color w:val="000000" w:themeColor="text1"/>
          <w:sz w:val="16"/>
          <w:szCs w:val="16"/>
        </w:rPr>
        <w:t>командиры</w:t>
      </w:r>
      <w:proofErr w:type="gramEnd"/>
      <w:r w:rsidRPr="008127F8">
        <w:rPr>
          <w:rFonts w:ascii="Times New Roman" w:hAnsi="Times New Roman"/>
          <w:color w:val="000000" w:themeColor="text1"/>
          <w:sz w:val="16"/>
          <w:szCs w:val="16"/>
        </w:rPr>
        <w:t xml:space="preserve"> не зная техники командовали ею, но не руководили.</w:t>
      </w:r>
    </w:p>
    <w:p w14:paraId="1CF161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приводило к тому, что число летных происшествий и невылетов на боевое задание, количество неисправной и требующей ремонта материальной части с каждым днем увеличивалось. По состоянию на 15 февраля с.г. около 40% самолетов Ил-2 были в ремонте или в состоянии небоеготовности.</w:t>
      </w:r>
    </w:p>
    <w:p w14:paraId="732A9D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время как в бою каждый летчик и самолет умножают силы нашей авиации, многие командиры и инженеры, летчики и техники нарушают наставления, инструкции и указания по технической эксплуатации материальной части, чем губят летные кадры и материальную часть. Об этом свидетельствует ряд случаев грубейшего нарушения летным составом элементарных правил технической эксплуатации материальной части в воздухе.</w:t>
      </w:r>
    </w:p>
    <w:p w14:paraId="44F369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лейтенант Горянский (65 ШАП), заходя на посадку, на выравнивании при выпущенных щитках держал скорость меньше 170 км/час, само выравнивание произвел на высоте 4-х метров вместо 0,5 м и в результате этого приземлившись с большим "плюхом", сломал шасси.</w:t>
      </w:r>
    </w:p>
    <w:p w14:paraId="4932AC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 лейтенант Скворцов (190 ШАП) сорвался в штопор на высоте 70 м вследствие того, что на развороте уменьшил скорость. Самолет разбит, летчик погиб.</w:t>
      </w:r>
    </w:p>
    <w:p w14:paraId="382174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Мл. лейтенант Кузнецов (175 ШАП) разбил самолет вследствие того,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планируя на посадку с выпущенными щитками допустил уменьшение скорости меньше 170 км/час.</w:t>
      </w:r>
    </w:p>
    <w:p w14:paraId="767433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Мл. лейтенант Б. (217 ШАП) потерпел катастрофу вследствие того,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летя в составе звена на высоте 50 м подстраивался к ведущему на повышенной скорости и избегая столкновения с ним перевел самолет за критический угол атаки. Это привело за собой потерю скорости, самолет свалился на крыло, перешел на нос и с пикирования ударился о землю.</w:t>
      </w:r>
    </w:p>
    <w:p w14:paraId="62EB87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целый ряд аналогичных летных происшествий свидетельствует о нарушении, а в некоторых случаях о незнании летчиком основных законов физики, механики и теории полета. Это происходит потому, что старшие командиры не контролируют у подчиненного им летного состава знания материальной части и техники пилотирования данного типа самолета, а инженерно-командный состав не разъясняет и не требует от летного состава знания основных элементов теории полета.</w:t>
      </w:r>
    </w:p>
    <w:p w14:paraId="00AE0E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Незнание и неумение пользоваться аэронавигационными приборами, недоучет летным составом того обстоятельства, что на современных скоростных самолетах, и особенно на штурмовиках, основным способом ориентировки является ориентировка по компасу и по времени полета, - влекут за собою вынужденные посадки.</w:t>
      </w:r>
    </w:p>
    <w:p w14:paraId="307A00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Пилот сержант Скрипник (4 ЗАП) при перелете в хорошую погоду из-за потери ориентировки потерпел аварию в районе Измайлово; в том же полку мл. лейтенант Азизов при таких же метеусловиях и по той же причине потерпел катастрофу в районе Каменка.</w:t>
      </w:r>
    </w:p>
    <w:p w14:paraId="536E18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Незнание материальной части, плохое качество предполетной и после полетной подготовки, отсутствие контроля за подготовкой и грубое нарушение наставлений и инструкций по технической эксплуатации также влекут за собой летные происшествия и невылеты на боевое задание.</w:t>
      </w:r>
    </w:p>
    <w:p w14:paraId="41B0DA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 лейтенант Алексеев (232 ШАП) на взлете с места вынужденной посадки на высоте 10-15 м обнаружил, что мотор начал давать перебои, развернулся, потерял скорость и самолет ударившись о землю сгорел.</w:t>
      </w:r>
    </w:p>
    <w:p w14:paraId="38B02A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Потеря боевого самолета произошла потому, что мл. воентехник Кононов не проверил устойчивую работу мотора на номинальных оборотах; мл. лейтенант Алексеев нарушил наставление по производству полетов, а инженер 232 ШАП, военинженер 3 ранга Прилепский не проконтролировал подготовку и вылет самолета с места вынужденной посадки.</w:t>
      </w:r>
    </w:p>
    <w:p w14:paraId="5969A4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Пилот-сержант Дубин (299 ШАП) потерпел катастрофу вследствие того, что в полете из-за образовавшейся течи масла, мотор был перегрет и заклинился. При вынужденной посадке самолет разбит, а летчик погиб.</w:t>
      </w:r>
    </w:p>
    <w:p w14:paraId="44D3B7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Неоднократные случаи перегрева моторов в полете вследствие того, что летный состав или форсировал мотор или летал с закрытыми заслонками радиаторов, открытие высотного корректора на неположенной высоте, повреждение покрышек и разрыв камер тормозных колес, как результат резкого торможения - повлекли за собой аварии мотора, вынужденные посадки и невыход на боевое задание.</w:t>
      </w:r>
    </w:p>
    <w:p w14:paraId="094358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Невыполнение наставлений, инструкций и указаний по технической эксплуатации материальной части, а также отсутствие дельного технического руководства со стороны инженеров-командиров, особенно в зимних условиях, привело к тому, что в течение зимы на самолете Ил-2 с мотором АМ-38 имел место ряд случаев образования трещин в головках блоков мотора и разрывов сот маслорадиаторов.</w:t>
      </w:r>
    </w:p>
    <w:p w14:paraId="77B89D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расследовании этих случаев было установлено, что технический состав некоторых частей не соблюдал элементарных правил эксплуатации винтомоторной группы самолета Ил-2 и указаний УЭР ГУ ВВС о подготовке материальной части к зимней эксплуатации.</w:t>
      </w:r>
    </w:p>
    <w:p w14:paraId="008894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Воду и масло своевременно не сливали, в результате чего они замерзали и портили детали мотора и самолета; прогрев мотора </w:t>
      </w:r>
      <w:proofErr w:type="gramStart"/>
      <w:r w:rsidRPr="008127F8">
        <w:rPr>
          <w:rFonts w:ascii="Times New Roman" w:hAnsi="Times New Roman"/>
          <w:color w:val="000000" w:themeColor="text1"/>
          <w:sz w:val="16"/>
          <w:szCs w:val="16"/>
        </w:rPr>
        <w:t>производили</w:t>
      </w:r>
      <w:proofErr w:type="gramEnd"/>
      <w:r w:rsidRPr="008127F8">
        <w:rPr>
          <w:rFonts w:ascii="Times New Roman" w:hAnsi="Times New Roman"/>
          <w:color w:val="000000" w:themeColor="text1"/>
          <w:sz w:val="16"/>
          <w:szCs w:val="16"/>
        </w:rPr>
        <w:t xml:space="preserve"> не открывая бронелюков, прогрева маслорадиаторов горячим воздухом совсем не производили.</w:t>
      </w:r>
    </w:p>
    <w:p w14:paraId="12A4DE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например, в 6 ГШАП на 2-х моторах замерзла вода в головках блока, появились трещины в них и моторы вышли из строя на продолжительное время. Инженер полка военинженер 3 ранга Мороз, зная о возможности замерзания воды в головках блока, не проинструктировал технический состав о порядке прогрева мотора при низких температурах, так как не проанализировал особенностей системы охлаждения самолета Ил-2. Техник, подогревая мотор горячей водой обычно прекращает проливку, ориентируясь по температуре воды выходящей из нижних сливных кранов; однако для данной системы этого недостаточно, вода в головках блока может остаться холодной и при низких температурах замерзнуть.</w:t>
      </w:r>
    </w:p>
    <w:p w14:paraId="59E6F0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самым военинженер 3 ранга Мороз свою роль технического руководителя подчиненного ему технического состава не выполнил.</w:t>
      </w:r>
    </w:p>
    <w:p w14:paraId="0B9C1C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 ЗАБ было выведено из строя большое количество маслорадиаторов из-за неполного слива из них масла и несоблюдения правил запуска и прогрева моторов.</w:t>
      </w:r>
    </w:p>
    <w:p w14:paraId="7EF9BC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 инженер 1 ЗАБ военинженер 1 ранга Кравченко, зная, что применяется летнее масло, имея указания о разжижении его бензином и о подогреве головок блока не принял надлежащих мер, в результате чего </w:t>
      </w:r>
      <w:proofErr w:type="gramStart"/>
      <w:r w:rsidRPr="008127F8">
        <w:rPr>
          <w:rFonts w:ascii="Times New Roman" w:hAnsi="Times New Roman"/>
          <w:color w:val="000000" w:themeColor="text1"/>
          <w:sz w:val="16"/>
          <w:szCs w:val="16"/>
        </w:rPr>
        <w:t>материальная часть</w:t>
      </w:r>
      <w:proofErr w:type="gramEnd"/>
      <w:r w:rsidRPr="008127F8">
        <w:rPr>
          <w:rFonts w:ascii="Times New Roman" w:hAnsi="Times New Roman"/>
          <w:color w:val="000000" w:themeColor="text1"/>
          <w:sz w:val="16"/>
          <w:szCs w:val="16"/>
        </w:rPr>
        <w:t xml:space="preserve"> только что полученная с завода стала не боеспособной.</w:t>
      </w:r>
    </w:p>
    <w:p w14:paraId="4DB815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Приведенные выше факты свидетельствуют о том, что не весь инженерно-командный состав учитывает опыт эксплуатации материальной части, особенно в зимних условиях, мало уделяет внимания повседневному инструктажу летного и технического состава, не занимается техническим анализом причин отказов и дефектов материальной части, а сплошь и рядом идет по линии наименьшего сопротивления - объясняя целый ряд факторов, зависящих исключительно от неправильной эксплуатации производственными и конструктивными дефектами. </w:t>
      </w:r>
      <w:proofErr w:type="gramStart"/>
      <w:r w:rsidRPr="008127F8">
        <w:rPr>
          <w:rFonts w:ascii="Times New Roman" w:hAnsi="Times New Roman"/>
          <w:color w:val="000000" w:themeColor="text1"/>
          <w:sz w:val="16"/>
          <w:szCs w:val="16"/>
        </w:rPr>
        <w:t>Кроме того</w:t>
      </w:r>
      <w:proofErr w:type="gramEnd"/>
      <w:r w:rsidRPr="008127F8">
        <w:rPr>
          <w:rFonts w:ascii="Times New Roman" w:hAnsi="Times New Roman"/>
          <w:color w:val="000000" w:themeColor="text1"/>
          <w:sz w:val="16"/>
          <w:szCs w:val="16"/>
        </w:rPr>
        <w:t xml:space="preserve"> инженерно-командный состав, отвлекаясь от своих непосредственных обязанностей и занимаясь вопросами снабжения, забывает о том, что при правильной эксплуатации материальной части как на земле, так и в воздухе будет меньше поломок и отказов, а следовательно и будет меньше требоваться запчастей для ее восстановления.</w:t>
      </w:r>
    </w:p>
    <w:p w14:paraId="2A2F13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состояние технической эксплуатации нетерпимо, необходимо всему летно-техническому составу, командирам всех степеней и инженерам - командирам коренным образом изменить свое отношение к эксплуатации материальной части.</w:t>
      </w:r>
    </w:p>
    <w:p w14:paraId="6B1471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улучшения качества технической эксплуатации приказываю:</w:t>
      </w:r>
    </w:p>
    <w:p w14:paraId="0A44DF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Инженерам-командирам осознать свое назначение технического руководителя летно-технического состава, требовать от него неуклонного выполнения инструкций, указаний и наставлений по эксплуатации материальной части как в воздухе, так и на земле.</w:t>
      </w:r>
    </w:p>
    <w:p w14:paraId="0F3C03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Ст. инженера 1 ЗАБ военинженера 1 ранга Кравченко за непринятие мер и невыполнение указаний УЭР ГУ ВВС по эксплуатации материальной части, что повело за собой массовый выход самолетов из строя - арестовать на 10 суток с исполнением служебных обязанностей и удержанием 50% заработанной платы за каждый день ареста.</w:t>
      </w:r>
    </w:p>
    <w:p w14:paraId="0C5A95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 инженеру ВВС ПРИВО военинженеру 1 ранга Гурковичу не организовавшему обеспечение 1 ЗАБ средствами подогрева моторов и за то, что будучи лично в 1 ЗАБ не принял надлежащих мер по наведению порядка в обслуживании самолетов - объявить выговор.</w:t>
      </w:r>
    </w:p>
    <w:p w14:paraId="0A2913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Обратить внимание командира 1 ЗАБ генерал-майора авиации Папивина на отсутствие должной организации техническо-эксплуатационной службы в 1 ЗАБ и неправильную оценку причин выходов самолетов из строя.</w:t>
      </w:r>
    </w:p>
    <w:p w14:paraId="64DCF8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Организовать во всех частях ВВС, в том числе и в действующей армии, занятия с летно-техническим составом по изучению материальной части и ее эксплуатации. </w:t>
      </w:r>
      <w:r w:rsidRPr="008127F8">
        <w:rPr>
          <w:rFonts w:ascii="Times New Roman" w:hAnsi="Times New Roman"/>
          <w:color w:val="000000" w:themeColor="text1"/>
          <w:sz w:val="16"/>
          <w:szCs w:val="16"/>
        </w:rPr>
        <w:lastRenderedPageBreak/>
        <w:t>Занятия проводить на материальной части методом непосредственного показа с разбором возможных дефектов и способов их устранения.</w:t>
      </w:r>
    </w:p>
    <w:p w14:paraId="0C3438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 ЗАП"ах и авиашколах иметь специальные классы, оборудованные наглядными пособиями и действующими макетами для отработки как у летчика, так и у техников последовательности и автоматизма в эксплуатации самолета.</w:t>
      </w:r>
    </w:p>
    <w:p w14:paraId="4A64C5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УВУЗ ВВС пересмотреть табели оборудования классов, программы и методические указания по обучению летно-технического состава материальной части и ее эксплуатации.</w:t>
      </w:r>
    </w:p>
    <w:p w14:paraId="16F794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Организовать жесткий контроль подготовки материальной части к вылету, выполнения регламентных работ и технических разборов в соответствии с НЭТС-40.</w:t>
      </w:r>
    </w:p>
    <w:p w14:paraId="32FCAC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Командирам полков систематически проверять у летного состава технику пилотирования, а инженерам полков произвести проверку знания материальной части и правил ее эксплуатации у всего летно-технического состава.</w:t>
      </w:r>
    </w:p>
    <w:p w14:paraId="228143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Каждое летное происшествие или невыход на боевое задание должно быть немедленно расследовано в соответствии с приказом НКО N 0133-38 года и донесено по команде и немедленно приняты предупредительные меры.</w:t>
      </w:r>
    </w:p>
    <w:p w14:paraId="5413DA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При проверках и инспектировании частей вменить в обязанность поверяющим тщательно контролировать выполнение всем летно-техническим составом действующих наставлений, инструкций по эксплуатации материальной части и привлекать к суровой ответственности виновных в неисполнении их.</w:t>
      </w:r>
    </w:p>
    <w:p w14:paraId="18BDF2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ГУ ВВС издавать один раз в 3 месяца "Эксплуатационный бюллетень" для обобщения опыта по эксплуатации материальной части в воздухе и на земле.</w:t>
      </w:r>
    </w:p>
    <w:p w14:paraId="4A1CF2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Существующий в УЭР ГУ ВВС порядок издания указаний по отдельным вопросам эксплуатации материальной части и устранению дефектов - сохранить. (Зам. командующего ВВС генерал-лейтенант авиации Петров, за чл. военсовета ВВС бригадный комиссар Руденко, зам. начальника штаба ВВС генерал-майор авиации Беляев) (1635,103).</w:t>
      </w:r>
    </w:p>
    <w:p w14:paraId="538807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B6F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вышел приказ НКАП N 154с в дополнение к приказу НКАП N 39с от 15 января 1942 по изготовлению заводом 169 отсеков фюзеляжа к самолету Ил-2 для завода 30:</w:t>
      </w:r>
    </w:p>
    <w:p w14:paraId="7A090B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45 (бывший МАВИАТ) включить в состав завода 169 со всеми кадрами, площадью, оборудованием и прочими имущественными ценностями...</w:t>
      </w:r>
    </w:p>
    <w:p w14:paraId="480C02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 45 исключить из числа действующих заводов 6 ГУ (1532,3).</w:t>
      </w:r>
    </w:p>
    <w:p w14:paraId="0FD714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C1E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А.И.Ш. от Г.М.М. был направлен приказ ВВС для просмотра и визы "О технической эксплуатации самолетов Ил-2 с АМ-38. В течение зимы 1941-1942 имел место ряд летных происшествий и дефектов на самолете Ил-2 с АМ-38, явившихся в значительной мере результатом неправильной эксплуатации из ЛТ составом, как в воздухе, так и на земле (1635,98).</w:t>
      </w:r>
    </w:p>
    <w:p w14:paraId="3C8D10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17F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ГИ ВВС Петров направил НКАП А.И.Ш. для проверки и визы проект приказа "О дефектах техэксплуатации Ил-2 АМ-38", подготовленный по приказанию Г.М.М. (1635,102).</w:t>
      </w:r>
    </w:p>
    <w:p w14:paraId="221301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C36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вышло постановление ГКО N 1353сс о поставке НКАП к 1 апреля 1942 ВВС ВМФ 58 самолетов ДБ-3Ф в варианте торпедоносца и миноносца (1546,143).</w:t>
      </w:r>
    </w:p>
    <w:p w14:paraId="112A37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C3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П.О.Сухой направил начальнику НИИ ВВС П.И.Федорову объяснительную записку к эскизному проекту истребителя с мотором М-71. Самолет предполагалось создавать на базе одноместного бронированного штурмовика Су-6 М-71. Предусматривалось относительно сильное для истребителя бронирование (вес брони 135 кг). Спереди бронестекло и бронещиток толщиной 8 мм, сзади летчик был защищен в секторе 30 градусов бронеспинкой и бронесиденьем толщиной 12 мм, бронезаголовником толщиной 8 мм. Бензобак сзади имел бронещиток толщиной 12 мм.</w:t>
      </w:r>
    </w:p>
    <w:p w14:paraId="5221EA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 принципе, достаточно мощное: две крыль-евых пушки ВЯ-23 (конструкции А.А. Волкова и С.Я. Ярцева) с боезапасом 160 снарядов и синхронный крупнокалиберный пулемет БС с боезапасом 300 патронов. Недостатком пушекВЯ-23 при стрельое по воздушным целям. Исходя из практики воздушных боев с бомбардировщиками противника, лучше было бы использовать две пушки НС-37 (конструкции А.Э. Нудельмана и А.С. Суранова) или Ш-37 (конструкции Б.Г. Шпитального). Их устанавливали на штурмовиках (6406).</w:t>
      </w:r>
    </w:p>
    <w:p w14:paraId="7A1F0C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17DFF" w14:textId="77777777" w:rsidR="00810F44" w:rsidRPr="008127F8" w:rsidRDefault="00810F4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П.О.Сухой направил начальнику НИИ ВВС П.И.Федорову объяснительную записку к эскизному проекту истребителя </w:t>
      </w:r>
      <w:hyperlink r:id="rId63" w:tgtFrame="_blank" w:history="1">
        <w:r w:rsidRPr="008127F8">
          <w:rPr>
            <w:rFonts w:ascii="Times New Roman" w:hAnsi="Times New Roman"/>
            <w:color w:val="000000" w:themeColor="text1"/>
            <w:sz w:val="16"/>
            <w:szCs w:val="16"/>
          </w:rPr>
          <w:t xml:space="preserve">«Су-7» (первый) </w:t>
        </w:r>
      </w:hyperlink>
      <w:r w:rsidRPr="008127F8">
        <w:rPr>
          <w:rFonts w:ascii="Times New Roman" w:hAnsi="Times New Roman"/>
          <w:color w:val="000000" w:themeColor="text1"/>
          <w:sz w:val="16"/>
          <w:szCs w:val="16"/>
        </w:rPr>
        <w:t>с мотором «М-71». Самолет предполагалось создавать на базе одноместного бронированного штурмовика «Су-6» «М-71». Предусматривалось относительно сильное для истребителя бронирование (вес брони 135 кг). Спереди бронестекло и бронещиток толщиной 8 мм, сзади летчик был защищен в секторе 30 градусов бронеспинкой и бронесиденьем толщиной 12 мм, бронезаголовником толщиной 8 мм. Бензобак сзади имел бронещиток толщиной 12 мм. Вооружение: две крыльевых пушки «ВЯ-23» (конструкции А.А.Волкова и С.Я.Ярцева) с боезапасом 160 снарядов и синхронный крупнокалиберный пулемет «БС» с боезапасом 300 патронов (15053).</w:t>
      </w:r>
    </w:p>
    <w:p w14:paraId="63EB6D09" w14:textId="77777777" w:rsidR="00810F44" w:rsidRPr="008127F8" w:rsidRDefault="00810F44" w:rsidP="001E0A84">
      <w:pPr>
        <w:spacing w:after="0" w:line="240" w:lineRule="auto"/>
        <w:jc w:val="both"/>
        <w:rPr>
          <w:rFonts w:ascii="Times New Roman" w:hAnsi="Times New Roman"/>
          <w:color w:val="000000" w:themeColor="text1"/>
          <w:sz w:val="16"/>
          <w:szCs w:val="16"/>
        </w:rPr>
      </w:pPr>
    </w:p>
    <w:p w14:paraId="59C2E4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завод № 165, созданный 14 декабря 1941 г. на площадке переданной в НКАП мебельной фабрики № 2 им. Мазевского НКлеса по приказу № 1164с в системе 6ГУ НКАП для производства авиационных лыж, по приказу № 159с переименован в ГС завод № 497.</w:t>
      </w:r>
    </w:p>
    <w:p w14:paraId="24C355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(12.1941 г.-)- Д.И. Степин (11982).</w:t>
      </w:r>
    </w:p>
    <w:p w14:paraId="74BFE952" w14:textId="77777777" w:rsidR="00271F00" w:rsidRPr="008127F8" w:rsidRDefault="00271F0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6EA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приказом НКАП № 157с в соответствии с постановлением ГКО № 1335с от 24 февраля 1942 г. на базе мастерских № 33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w:t>
      </w:r>
    </w:p>
    <w:p w14:paraId="642DA0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122с от 27.02.1943 г. заводу № 315 НКАП переданы оборудование и личный состав филиала завода № 25, расположенного на территории опытного завода ЦИАМ. </w:t>
      </w:r>
    </w:p>
    <w:p w14:paraId="45754B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3FDA1E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карбюраторов.</w:t>
      </w:r>
    </w:p>
    <w:p w14:paraId="2DD234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74269E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1.05.1956 г. завод передан в 3ГУ. 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С 1994 г.-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08AD66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7F4D0D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(1.01.2003 г.)- 2217 чел.</w:t>
      </w:r>
    </w:p>
    <w:p w14:paraId="49F8AC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(06.1942-43 г.)- А.М. Сильнов, (02(05).1943 г.-)- А.С. Субботин, И.Д. Соломонович, (11.1945-54 г.)- Г.Д. Брусникин (затем- директор завода № 43), Кононенко, Ю.Н. Смирнов, (1963-92 г.)- И.И. Румянцев. Гендиректор (-1998-2004 г.-)- В.И. Дидилов.49 </w:t>
      </w:r>
    </w:p>
    <w:p w14:paraId="641146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(1943 г.)- С.А. Громов, (2002 г.)- А.А. Пискунов. </w:t>
      </w:r>
    </w:p>
    <w:p w14:paraId="05CFEE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коммерции и ВЭС (2002 г.)- Л.М. Халфун.69 </w:t>
      </w:r>
    </w:p>
    <w:p w14:paraId="14FE68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(06.1943-84 г.)- Ф.А. Коротков.</w:t>
      </w:r>
    </w:p>
    <w:p w14:paraId="7EFE4D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карбюраторы К-38, К-105Ф, -БП для М-105, АК-82БП, АК-90БП для АШ-82, К-107БП для М-107, К-85, К-87, АК-88Б, К-42БП; агрегаты дозировки топлива АДТ-10 для РД-10, АДТ-20 для РД-20; топливная аппаратура для АЧ-30Б, РД-500, АМ-3М, РД-45Ф, ВК-1, РД-9, НК-12, Р15Б; САР 59А для РД-33 (1978-).</w:t>
      </w:r>
    </w:p>
    <w:p w14:paraId="7CDD00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315 НКАП, завод № 315-33 МАП, ММЗ, ММПО «Знамя революции», Машиностроительное ПО (МПО) им. И.И. Румянцева, ОАО «МПО им. И.И. Румянцева» </w:t>
      </w:r>
    </w:p>
    <w:p w14:paraId="456505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Н. Масловка, 33</w:t>
      </w:r>
    </w:p>
    <w:p w14:paraId="4F8630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М. Расковой, 34 тел. 285-39-80, 964-83-43</w:t>
      </w:r>
    </w:p>
    <w:p w14:paraId="69F216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ОКБ-315-33 НКАП, МАП, ОКБ-315 МАП, ГКАТ, МАКБ (Московское агрегатное) "Темп", НПП «ЭГА», АООТ, ОАО «ЭГА»</w:t>
      </w:r>
    </w:p>
    <w:p w14:paraId="07632B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Правды, 23 тел. 285-99-65</w:t>
      </w:r>
    </w:p>
    <w:p w14:paraId="028F18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896с от 19.12.1942 г.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46B4C7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205386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3F560E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63829B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249CEC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332846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2B1463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482A92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г.)- 900 чел.</w:t>
      </w:r>
    </w:p>
    <w:p w14:paraId="24309E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78485E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0B4F30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w:t>
      </w:r>
    </w:p>
    <w:p w14:paraId="781350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С.Н. Ломовицкий.</w:t>
      </w:r>
    </w:p>
    <w:p w14:paraId="180BD3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18CBDA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Гаврилов-Ямский машиностроительный завод «Агат», ОАО «ГМЗ «Агат» </w:t>
      </w:r>
    </w:p>
    <w:p w14:paraId="5F9479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152240 г. Гаврилов-Ям Ярославской обл. пр. Машиностроителей, 1 тел. 23-264 gmzagat.ru</w:t>
      </w:r>
    </w:p>
    <w:p w14:paraId="5E005D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4F21B8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г.)- 787 чел.</w:t>
      </w:r>
    </w:p>
    <w:p w14:paraId="5BB4C1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(-2002-05 г.-)- В.Н. Корытов.</w:t>
      </w:r>
    </w:p>
    <w:p w14:paraId="4071C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А.А. Николаев.</w:t>
      </w:r>
    </w:p>
    <w:p w14:paraId="69250D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4D7CC9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Члены совета директоров (23.04.2004 г.-)- В.Н. Корытов, В.И. Брылев, Н.И. Бирук, Ю.С. Елисеев, М.А. Скворцов, С.И. Грачев, И.Н. Горбаткина, А.Ю. Трубкин, С.М. Федотов.</w:t>
      </w:r>
    </w:p>
    <w:p w14:paraId="47575E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гидроаппаратура для грузоподъемной, дорожно-строительной и коммунальной техники; разработка системы запуска ГТУ; мотоблоки «Салют-5» для сельского хозяйства (10776).</w:t>
      </w:r>
    </w:p>
    <w:p w14:paraId="7DD5D1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BAF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приказом № 157с в соответствии с пост. ГКО № 1335с от 24.02.1942 г. на базе мастерских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 (ГС Завод № 315 НКАП, Завод № 315-33 НКАП, МАП, ММЗ, ММПО «Знамя революции», Машиностроительное ПО (МПО) им. И.И. Румянцева, ОАО «МПО им. И.И. Румянцева» /г. Москва ул. Н. Масловка, 33/ /127015  г. Москва ул. М. Расковой, 34 тел. 685-39-80, 964-83-43/). В 06.1942 г. - завод № 315-33.</w:t>
      </w:r>
    </w:p>
    <w:p w14:paraId="1CF60B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122с от 27.02.1943 г. заводу № 315 НКАП переданы оборудование и личный состав филиала завода № 25, расположенного на территории опытного завода ЦИАМ.</w:t>
      </w:r>
    </w:p>
    <w:p w14:paraId="2627B8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CDA67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карбюраторов.</w:t>
      </w:r>
    </w:p>
    <w:p w14:paraId="41B1BA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5A3DE5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13A56E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4C9B17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74E0CB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6EFB77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(1.01.2003 г.)- 2217 чел.</w:t>
      </w:r>
    </w:p>
    <w:p w14:paraId="4029D2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(06.1942-43 г.)- А.М. Сильнов, (02(05). 1943 г.-)- А.С. Субботин, И.Д. Соломонович, (11.1945-54 г.)</w:t>
      </w:r>
      <w:proofErr w:type="gramStart"/>
      <w:r w:rsidRPr="008127F8">
        <w:rPr>
          <w:rFonts w:ascii="Times New Roman" w:hAnsi="Times New Roman"/>
          <w:color w:val="000000" w:themeColor="text1"/>
          <w:sz w:val="16"/>
          <w:szCs w:val="16"/>
        </w:rPr>
        <w:t>-  Г.Д.</w:t>
      </w:r>
      <w:proofErr w:type="gramEnd"/>
      <w:r w:rsidRPr="008127F8">
        <w:rPr>
          <w:rFonts w:ascii="Times New Roman" w:hAnsi="Times New Roman"/>
          <w:color w:val="000000" w:themeColor="text1"/>
          <w:sz w:val="16"/>
          <w:szCs w:val="16"/>
        </w:rPr>
        <w:t xml:space="preserve"> Брусникин (затем- директор завода № 43), Кононенко, Ю.Н. Смирнов, (1963-92 г.)- И.И. Румянцев. Гендиректор (1992-2005 г.-&gt; В.И. Дидилов,</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(2005 г.-)- Л.М. Халфун.</w:t>
      </w:r>
    </w:p>
    <w:p w14:paraId="1F72DA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(1943 г.)- С.А. Громов, (2002 г.)- А.А. Пискунов.</w:t>
      </w:r>
    </w:p>
    <w:p w14:paraId="143376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коммерции и ВЭС (2002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Халфун.</w:t>
      </w:r>
      <w:r w:rsidRPr="008127F8">
        <w:rPr>
          <w:rFonts w:ascii="Times New Roman" w:hAnsi="Times New Roman"/>
          <w:color w:val="000000" w:themeColor="text1"/>
          <w:sz w:val="16"/>
          <w:szCs w:val="16"/>
          <w:vertAlign w:val="superscript"/>
        </w:rPr>
        <w:t>69</w:t>
      </w:r>
    </w:p>
    <w:p w14:paraId="155F5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(06.1943-84 г.)- Ф.А. Короткое.</w:t>
      </w:r>
    </w:p>
    <w:p w14:paraId="05DB9B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карбюраторы:</w:t>
      </w:r>
      <w:r w:rsidRPr="008127F8">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54DC21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w:t>
      </w:r>
      <w:proofErr w:type="gramStart"/>
      <w:r w:rsidRPr="008127F8">
        <w:rPr>
          <w:rFonts w:ascii="Times New Roman" w:hAnsi="Times New Roman"/>
          <w:color w:val="000000" w:themeColor="text1"/>
          <w:sz w:val="16"/>
          <w:szCs w:val="16"/>
        </w:rPr>
        <w:t>127015  г.</w:t>
      </w:r>
      <w:proofErr w:type="gramEnd"/>
      <w:r w:rsidRPr="008127F8">
        <w:rPr>
          <w:rFonts w:ascii="Times New Roman" w:hAnsi="Times New Roman"/>
          <w:color w:val="000000" w:themeColor="text1"/>
          <w:sz w:val="16"/>
          <w:szCs w:val="16"/>
        </w:rPr>
        <w:t xml:space="preserve"> Москва ул. Правды, 23 тел. 685-91-40/</w:t>
      </w:r>
    </w:p>
    <w:p w14:paraId="1BF38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6813AE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561787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5FC2AF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4AE6BD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начались работы по созданию командно-топливных агрегатов (КТА) для ТВ Д.</w:t>
      </w:r>
    </w:p>
    <w:p w14:paraId="110583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1BA055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70FD13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37EB77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Численность персонала (2002 г.)- 900 чел.</w:t>
      </w:r>
    </w:p>
    <w:p w14:paraId="5F441B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52D815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(2002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JL</w:t>
      </w:r>
      <w:r w:rsidRPr="008127F8">
        <w:rPr>
          <w:rFonts w:ascii="Times New Roman" w:hAnsi="Times New Roman"/>
          <w:color w:val="000000" w:themeColor="text1"/>
          <w:sz w:val="16"/>
          <w:szCs w:val="16"/>
        </w:rPr>
        <w:t xml:space="preserve">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8127F8">
        <w:rPr>
          <w:rFonts w:ascii="Times New Roman" w:hAnsi="Times New Roman"/>
          <w:color w:val="000000" w:themeColor="text1"/>
          <w:sz w:val="16"/>
          <w:szCs w:val="16"/>
          <w:vertAlign w:val="superscript"/>
        </w:rPr>
        <w:t>49</w:t>
      </w:r>
    </w:p>
    <w:p w14:paraId="46ACFA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Ответственный руководитель (1963-84 г.)- Ф.А. Коротков. Директор (1984-93 г.)- В.И. Зазулов. Гендиректор (1993-2004 г.)- В.И. Зазулов, (2004-05 г.-)- А.Л. Аршавский.</w:t>
      </w:r>
    </w:p>
    <w:p w14:paraId="7515CB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С.Н. Ломовицкий.</w:t>
      </w:r>
      <w:r w:rsidRPr="008127F8">
        <w:rPr>
          <w:rFonts w:ascii="Times New Roman" w:hAnsi="Times New Roman"/>
          <w:color w:val="000000" w:themeColor="text1"/>
          <w:sz w:val="16"/>
          <w:szCs w:val="16"/>
          <w:vertAlign w:val="superscript"/>
        </w:rPr>
        <w:t>69</w:t>
      </w:r>
    </w:p>
    <w:p w14:paraId="60305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С.И. Пресняков, Д.М. Сегаль.</w:t>
      </w:r>
    </w:p>
    <w:p w14:paraId="39D97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w:t>
      </w:r>
      <w:r w:rsidRPr="008127F8">
        <w:rPr>
          <w:rFonts w:ascii="Times New Roman" w:hAnsi="Times New Roman"/>
          <w:color w:val="000000" w:themeColor="text1"/>
          <w:sz w:val="16"/>
          <w:szCs w:val="16"/>
          <w:lang w:val="en-US"/>
        </w:rPr>
        <w:t>CAP</w:t>
      </w:r>
      <w:r w:rsidRPr="008127F8">
        <w:rPr>
          <w:rFonts w:ascii="Times New Roman" w:hAnsi="Times New Roman"/>
          <w:color w:val="000000" w:themeColor="text1"/>
          <w:sz w:val="16"/>
          <w:szCs w:val="16"/>
        </w:rPr>
        <w:t xml:space="preserve">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8127F8">
        <w:rPr>
          <w:rFonts w:ascii="Times New Roman" w:hAnsi="Times New Roman"/>
          <w:color w:val="000000" w:themeColor="text1"/>
          <w:sz w:val="16"/>
          <w:szCs w:val="16"/>
          <w:vertAlign w:val="superscript"/>
        </w:rPr>
        <w:t>101</w:t>
      </w:r>
    </w:p>
    <w:p w14:paraId="67A0DD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Гаврилов-Ямский машиностроительный завод (ГМЗ) «Агат», ОАО «ГМЗ «Агат» /</w:t>
      </w:r>
      <w:proofErr w:type="gramStart"/>
      <w:r w:rsidRPr="008127F8">
        <w:rPr>
          <w:rFonts w:ascii="Times New Roman" w:hAnsi="Times New Roman"/>
          <w:color w:val="000000" w:themeColor="text1"/>
          <w:sz w:val="16"/>
          <w:szCs w:val="16"/>
        </w:rPr>
        <w:t>152240  г.</w:t>
      </w:r>
      <w:proofErr w:type="gramEnd"/>
      <w:r w:rsidRPr="008127F8">
        <w:rPr>
          <w:rFonts w:ascii="Times New Roman" w:hAnsi="Times New Roman"/>
          <w:color w:val="000000" w:themeColor="text1"/>
          <w:sz w:val="16"/>
          <w:szCs w:val="16"/>
        </w:rPr>
        <w:t xml:space="preserve"> Гаврилов-Ям Ярославской обл. пр. Машиностроителей, 1 тел. 23-264/</w:t>
      </w:r>
    </w:p>
    <w:p w14:paraId="21616B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в 1968 г. Являлся филиалом ММЗ «Знамя революции». С начала 1970-х по начало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3157A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г.)- 787 чел.</w:t>
      </w:r>
      <w:r w:rsidRPr="008127F8">
        <w:rPr>
          <w:rFonts w:ascii="Times New Roman" w:hAnsi="Times New Roman"/>
          <w:color w:val="000000" w:themeColor="text1"/>
          <w:sz w:val="16"/>
          <w:szCs w:val="16"/>
          <w:vertAlign w:val="superscript"/>
        </w:rPr>
        <w:t>69</w:t>
      </w:r>
    </w:p>
    <w:p w14:paraId="0BC2B2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(-2002-05 г.-)- В.Н. Корытов.</w:t>
      </w:r>
    </w:p>
    <w:p w14:paraId="4754C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А.А. Николаев.</w:t>
      </w:r>
    </w:p>
    <w:p w14:paraId="1B7F4A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7D67ED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170A8E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8BD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по приказу № 159с завод № 165 переименован в ГС завод № 497 (ГС Завод № 497 НКАП / г. Москва ул. Дубнинская, 68/). Производство мин ЯМ-5. Выпуск деревянных частей фюзеляжа ДБ-ЗФ для завода № 23.</w:t>
      </w:r>
    </w:p>
    <w:p w14:paraId="039CE236" w14:textId="77777777" w:rsidR="007E67CF" w:rsidRPr="008127F8" w:rsidRDefault="007E67CF" w:rsidP="001E0A84">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384с от 15.05.1942 г. завод № 497 подчинен на правах филиала заводу № 23 НКАП для улучшения организации производства Ил-4. Начальник филиала- Д.И. Степин (11982).</w:t>
      </w:r>
    </w:p>
    <w:p w14:paraId="349EE28C" w14:textId="77777777" w:rsidR="007E67CF" w:rsidRPr="008127F8" w:rsidRDefault="007E67CF" w:rsidP="001E0A84">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p>
    <w:p w14:paraId="4E65DFC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начальник Управления НКВД Рясной в правительственной телеграмме из Горького докладывал Наркому внутренних дел СССР Л.П.Берии: «по заводу № 80 нами приняты меры к розыску вагонов с порохами для М-13, отправленные заводу №80. 12 вагонов были разысканы и доставлены заводу 24 февраля» (12291).</w:t>
      </w:r>
    </w:p>
    <w:p w14:paraId="35471470"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02E7CE2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1DD64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3544C0" w14:textId="77777777" w:rsidR="00247E54" w:rsidRPr="008127F8" w:rsidRDefault="00247E54"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27 февраля 1942 года комиссия, куда входили начальники отделов КБ завода №92 (П.Ф. Муравьёв, главный в КБ по танковой артиллерии, В.Д. Мещанинов, Я.А. Белов и Горшков) рекомендовала отправить ЗИС-19 на государственные испытания. Но так получилось, что к концу февраля 1942 года актуальность орудия резко снизилась. Дело в том, что ГАЗ им. Молотова времени зря не терял. Там вместо замены пушки сменили танк. На свет появился ГАЗ-70 (070), который 6 марта 1942 года приняли на вооружение Красной Армии как Т-70. Этот танк выглядел явно лучше Т-60 по всем статьям. Конечно, полноценной заменой Т-50 он не являлся, но по броневой защите с лобовой проекции оказался близок, а главное, в нем вполне помещалась обычная 45-мм пушка (22879).</w:t>
      </w:r>
    </w:p>
    <w:p w14:paraId="269B58B0"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756EC967"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27 февраля 1942 года вышло предписание Арткома ГАУ КА, согласно которому к 9 марта на Гороховецкий артиллерийский научно-испытательный опытный полигон должны были поступить два танка: с завода №92 Т-60 с 37-мм пушкой ЗИС-19 и переработанный на ГАЗ Т-60 с 45-мм пушкой обр. 1938 года. На деле же события развивались совсем по иному сценарию. Поскольку к размещению командира орудия в башне было предъявлено немало претензий, заводское КБ внесло в исходный проект значительное число изменений, что потребовало времени. В результате перевооружённый танк прибыл на Гороховецкий полигон лишь 27 марта, и его башня к тому моменту претерпела массу метаморфоз.</w:t>
      </w:r>
    </w:p>
    <w:p w14:paraId="36317957" w14:textId="77777777" w:rsidR="00CB6E72" w:rsidRPr="008127F8" w:rsidRDefault="00CB6E72" w:rsidP="001E0A84">
      <w:pPr>
        <w:pStyle w:val="af"/>
        <w:spacing w:before="0" w:after="0"/>
        <w:jc w:val="both"/>
        <w:rPr>
          <w:color w:val="000000" w:themeColor="text1"/>
          <w:sz w:val="16"/>
          <w:szCs w:val="16"/>
        </w:rPr>
      </w:pPr>
      <w:r w:rsidRPr="008127F8">
        <w:rPr>
          <w:color w:val="000000" w:themeColor="text1"/>
          <w:sz w:val="16"/>
          <w:szCs w:val="16"/>
        </w:rPr>
        <w:t>Получившаяся в результате переделок конструкция имело немного общего со штатной башней Т-60. По сути, от неё осталась лишь нижняя часть. Башенный люк с крыши был перенесён на корму, вместо него был установлен смотровой прибор от Т-70. Сама башня получила весьма оригинальную, клиновидную форму, орудийная маска стала литой и по форме напоминала аналогичную деталь Т-70. С Т-70 башню роднило и размещение вооружения: прицел был смещён влево, а на его месте оказался пулемёт ДТ. Благодаря подобным метаморфозам внутренний объём башни увеличился, но об идее использования штатной башни Т-60 можно было забыть. Что же касается ГАЗ, то завод прислал свой танк только 18 апреля, и им оказался не перевооружённый на 45-мм пушку Т-60, а Т-70 (17468).</w:t>
      </w:r>
    </w:p>
    <w:p w14:paraId="2308E170" w14:textId="77777777" w:rsidR="00CB6E72" w:rsidRPr="008127F8" w:rsidRDefault="00CB6E72" w:rsidP="001E0A84">
      <w:pPr>
        <w:pStyle w:val="af"/>
        <w:spacing w:before="0" w:after="0"/>
        <w:jc w:val="both"/>
        <w:rPr>
          <w:color w:val="000000" w:themeColor="text1"/>
          <w:sz w:val="16"/>
          <w:szCs w:val="16"/>
        </w:rPr>
      </w:pPr>
    </w:p>
    <w:p w14:paraId="26BD4F92"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27 февраля 1942 года, согласно предписанию Арткома ГАУ КА, к 9 марта на Гороховецкий полигон АНИОП должны были поступить два танка: с завода № 92 Т-60 с 37-мм пушкой ЗИС-19 и переработан</w:t>
      </w:r>
      <w:r w:rsidRPr="008127F8">
        <w:rPr>
          <w:rFonts w:eastAsia="Calibri"/>
          <w:color w:val="000000" w:themeColor="text1"/>
          <w:sz w:val="16"/>
          <w:szCs w:val="16"/>
        </w:rPr>
        <w:softHyphen/>
        <w:t>ный на ГАЗ Т-60 с 45-мм пушкой обр. 1938 года. На деле же события развивались совсем по иному сценарию. 19 февраля 1942 года, за два дня до выхода на огневые тесты Т-60 с ЗИС-19, начались испытания опытного танка разработки ГАЗ. Машина, получившая официаль</w:t>
      </w:r>
      <w:r w:rsidRPr="008127F8">
        <w:rPr>
          <w:rFonts w:eastAsia="Calibri"/>
          <w:color w:val="000000" w:themeColor="text1"/>
          <w:sz w:val="16"/>
          <w:szCs w:val="16"/>
        </w:rPr>
        <w:softHyphen/>
        <w:t>ный индекс Т-70, по сравнению с исходным вариантом ГАЗ-70 полу</w:t>
      </w:r>
      <w:r w:rsidRPr="008127F8">
        <w:rPr>
          <w:rFonts w:eastAsia="Calibri"/>
          <w:color w:val="000000" w:themeColor="text1"/>
          <w:sz w:val="16"/>
          <w:szCs w:val="16"/>
        </w:rPr>
        <w:softHyphen/>
        <w:t>чила более мощное бронирование, при этом боевая масса поднялась до 9 тонн. На танк установили литую башню, изготовленную на заво</w:t>
      </w:r>
      <w:r w:rsidRPr="008127F8">
        <w:rPr>
          <w:rFonts w:eastAsia="Calibri"/>
          <w:color w:val="000000" w:themeColor="text1"/>
          <w:sz w:val="16"/>
          <w:szCs w:val="16"/>
        </w:rPr>
        <w:softHyphen/>
        <w:t>де № 178, причем вместо 28—30 мм толщина стенок увеличилась до 50 мм. Башенный погон расширили до 1200 мм, что заметно улучшило условия работы командира (он же наводчик и заряжающий). Испыта</w:t>
      </w:r>
      <w:r w:rsidRPr="008127F8">
        <w:rPr>
          <w:rFonts w:eastAsia="Calibri"/>
          <w:color w:val="000000" w:themeColor="text1"/>
          <w:sz w:val="16"/>
          <w:szCs w:val="16"/>
        </w:rPr>
        <w:softHyphen/>
        <w:t>ния Т-70 продолжались до 24 февраля, по результатам было сделано следующее заключение:</w:t>
      </w:r>
    </w:p>
    <w:p w14:paraId="47A24B43"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Боевые свойства и тактические возможности танка Т-70 значи</w:t>
      </w:r>
      <w:r w:rsidRPr="008127F8">
        <w:rPr>
          <w:rFonts w:ascii="Times New Roman" w:hAnsi="Times New Roman"/>
          <w:color w:val="000000" w:themeColor="text1"/>
          <w:sz w:val="16"/>
          <w:szCs w:val="16"/>
        </w:rPr>
        <w:softHyphen/>
        <w:t>тельно превосходят таковые танка Т-60, агрегаты и детали которого использованы в конструкции Т- 70.</w:t>
      </w:r>
    </w:p>
    <w:p w14:paraId="382E1E29" w14:textId="77777777" w:rsidR="00CB6E72" w:rsidRPr="008127F8" w:rsidRDefault="00CB6E7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Все основные показатели характеристик танка Т- 70 — вооруже</w:t>
      </w:r>
      <w:r w:rsidRPr="008127F8">
        <w:rPr>
          <w:rFonts w:ascii="Times New Roman" w:hAnsi="Times New Roman"/>
          <w:color w:val="000000" w:themeColor="text1"/>
          <w:sz w:val="16"/>
          <w:szCs w:val="16"/>
        </w:rPr>
        <w:softHyphen/>
        <w:t>ние, бронирование, средние скорости движения, маневренность, проходи</w:t>
      </w:r>
      <w:r w:rsidRPr="008127F8">
        <w:rPr>
          <w:rFonts w:ascii="Times New Roman" w:hAnsi="Times New Roman"/>
          <w:color w:val="000000" w:themeColor="text1"/>
          <w:sz w:val="16"/>
          <w:szCs w:val="16"/>
        </w:rPr>
        <w:softHyphen/>
        <w:t>мость в условиях снежных дорог и целины, обзорность превосходят соот</w:t>
      </w:r>
      <w:r w:rsidRPr="008127F8">
        <w:rPr>
          <w:rFonts w:ascii="Times New Roman" w:hAnsi="Times New Roman"/>
          <w:color w:val="000000" w:themeColor="text1"/>
          <w:sz w:val="16"/>
          <w:szCs w:val="16"/>
        </w:rPr>
        <w:softHyphen/>
        <w:t>ветствующие показатели танка Т-60, давая возможность использовать танк Т-70 в качестве легкого танка, могущего бороться с противотанковой артиллерией малого калибра, легкими и малыми танками, пехотой и механизированными войсками противника, а также служить в каче</w:t>
      </w:r>
      <w:r w:rsidRPr="008127F8">
        <w:rPr>
          <w:rFonts w:ascii="Times New Roman" w:hAnsi="Times New Roman"/>
          <w:color w:val="000000" w:themeColor="text1"/>
          <w:sz w:val="16"/>
          <w:szCs w:val="16"/>
        </w:rPr>
        <w:softHyphen/>
        <w:t>стве танка непосредственной поддержки пехоты.</w:t>
      </w:r>
    </w:p>
    <w:p w14:paraId="5C47D60C" w14:textId="77777777" w:rsidR="00CB6E72" w:rsidRPr="008127F8" w:rsidRDefault="00CB6E72" w:rsidP="001E0A84">
      <w:pPr>
        <w:tabs>
          <w:tab w:val="left" w:pos="53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Легкий танк Т- 70 может быть принят на вооружение Красной Ар</w:t>
      </w:r>
      <w:r w:rsidRPr="008127F8">
        <w:rPr>
          <w:rFonts w:ascii="Times New Roman" w:hAnsi="Times New Roman"/>
          <w:color w:val="000000" w:themeColor="text1"/>
          <w:sz w:val="16"/>
          <w:szCs w:val="16"/>
        </w:rPr>
        <w:softHyphen/>
        <w:t>мии и запущен в серийное производство для замены Т-60.</w:t>
      </w:r>
    </w:p>
    <w:p w14:paraId="4AEB6B51" w14:textId="77777777" w:rsidR="00CB6E72" w:rsidRPr="008127F8" w:rsidRDefault="00CB6E72" w:rsidP="001E0A84">
      <w:pPr>
        <w:tabs>
          <w:tab w:val="left" w:pos="5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Выявленные комиссией недостатки должны быть устранены заво</w:t>
      </w:r>
      <w:r w:rsidRPr="008127F8">
        <w:rPr>
          <w:rFonts w:ascii="Times New Roman" w:hAnsi="Times New Roman"/>
          <w:color w:val="000000" w:themeColor="text1"/>
          <w:sz w:val="16"/>
          <w:szCs w:val="16"/>
        </w:rPr>
        <w:softHyphen/>
        <w:t>дом в порядке прилагаемого перечня.</w:t>
      </w:r>
    </w:p>
    <w:p w14:paraId="4480DDEA" w14:textId="77777777" w:rsidR="00CB6E72" w:rsidRPr="008127F8" w:rsidRDefault="00CB6E72" w:rsidP="001E0A84">
      <w:pPr>
        <w:tabs>
          <w:tab w:val="left" w:pos="57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Одновременно с запуском серийного производства ГАЗу необходимо продолжить испытания Т- 70 на прочность агрегатов в весенних и летних условиях».</w:t>
      </w:r>
    </w:p>
    <w:p w14:paraId="1ECE2B88" w14:textId="77777777" w:rsidR="00CB6E72" w:rsidRPr="008127F8" w:rsidRDefault="00CB6E72" w:rsidP="001E0A84">
      <w:pPr>
        <w:tabs>
          <w:tab w:val="left" w:pos="57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вместо модернизации вооружения Т-60 ГАЗ избрал путь создания нового танка, который показал вполне удовлетворяю</w:t>
      </w:r>
      <w:r w:rsidRPr="008127F8">
        <w:rPr>
          <w:rFonts w:ascii="Times New Roman" w:hAnsi="Times New Roman"/>
          <w:color w:val="000000" w:themeColor="text1"/>
          <w:sz w:val="16"/>
          <w:szCs w:val="16"/>
        </w:rPr>
        <w:softHyphen/>
        <w:t>щие ГАБТУ характеристики. Данный путь оказался верным, поскольку Т-60 имел минимальные возможности для улучшения, а армии требо</w:t>
      </w:r>
      <w:r w:rsidRPr="008127F8">
        <w:rPr>
          <w:rFonts w:ascii="Times New Roman" w:hAnsi="Times New Roman"/>
          <w:color w:val="000000" w:themeColor="text1"/>
          <w:sz w:val="16"/>
          <w:szCs w:val="16"/>
        </w:rPr>
        <w:softHyphen/>
        <w:t>вался танк более высокого класса. Столь необходимый Красной Армии танк Т-50 так и не удалось запустить в крупносерийное производство. 6 января 1942 года вышло постановление ГКО № 1114, согласно кото</w:t>
      </w:r>
      <w:r w:rsidRPr="008127F8">
        <w:rPr>
          <w:rFonts w:ascii="Times New Roman" w:hAnsi="Times New Roman"/>
          <w:color w:val="000000" w:themeColor="text1"/>
          <w:sz w:val="16"/>
          <w:szCs w:val="16"/>
        </w:rPr>
        <w:softHyphen/>
        <w:t>рому выпуск Т-50 прекращался, вместо него завод № 174 переходил на изготовление запчастей для КВ-1. В сложившихся условиях Т-70 ока</w:t>
      </w:r>
      <w:r w:rsidRPr="008127F8">
        <w:rPr>
          <w:rFonts w:ascii="Times New Roman" w:hAnsi="Times New Roman"/>
          <w:color w:val="000000" w:themeColor="text1"/>
          <w:sz w:val="16"/>
          <w:szCs w:val="16"/>
        </w:rPr>
        <w:softHyphen/>
        <w:t>зался именно тем танком, который мог, хоть и не полностью, но все же заполнить нишу Т-50 (17485).</w:t>
      </w:r>
    </w:p>
    <w:p w14:paraId="6668CBDB" w14:textId="77777777" w:rsidR="00CB6E72" w:rsidRPr="008127F8" w:rsidRDefault="00CB6E72" w:rsidP="001E0A84">
      <w:pPr>
        <w:pStyle w:val="af"/>
        <w:spacing w:before="0" w:after="0"/>
        <w:jc w:val="both"/>
        <w:rPr>
          <w:color w:val="000000" w:themeColor="text1"/>
          <w:sz w:val="16"/>
          <w:szCs w:val="16"/>
        </w:rPr>
      </w:pPr>
    </w:p>
    <w:p w14:paraId="5D618D63"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color w:val="000000" w:themeColor="text1"/>
          <w:sz w:val="16"/>
          <w:szCs w:val="16"/>
        </w:rPr>
        <w:t>27 февраля 1942 года 5-м отделом ГАБТУ КА рассматривался проект боевого десантного танкового прицепа (БДТП) инженер-конструктора завода №112 В.Е. Губанова. Это был укороченный корпус Т-34 со штатными башней и бронированием. Летом прицеп перемещался на гусеницах, зимой же катки и гусеницы снимались, а вместо них должны были устанавливаться лыжи. Согласно расчёту автора, масса БДТП составляла 10-15 тонн. Изготовляться они должны были бы в трёх вариантах — десантном, боевом-десантном и специального типа.</w:t>
      </w:r>
    </w:p>
    <w:p w14:paraId="027A0056"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 мнению автора проекта, БДТП можно было сконструировать и построить на заводе №112 в кратчайшие сроки. Для ускорения работ опытные образцы должны были иметь обычные корпуса от Т-34, при этом боевая масса бронесаней возрастала до 15-20 тонн, а число мест для десанта увеличивалась с 10 до 15.</w:t>
      </w:r>
    </w:p>
    <w:p w14:paraId="1D6B8FE7"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Проект бронесаней БДТП </w:t>
      </w:r>
    </w:p>
    <w:p w14:paraId="427C4E49"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 Там же обсуждались опытные бронесани Б-65 разработки завода №592. Эти сани боевой массой 20 тонн с трудом перевозились даже танком КВ-1. Для обсуждения разработок пригласили командиров и заместителей по технической части 31-й, 33-й, 62-й и 143-й танковых бригад, у которых имелся практический опыт ведения </w:t>
      </w:r>
      <w:r w:rsidRPr="008127F8">
        <w:rPr>
          <w:color w:val="000000" w:themeColor="text1"/>
          <w:sz w:val="16"/>
          <w:szCs w:val="16"/>
        </w:rPr>
        <w:lastRenderedPageBreak/>
        <w:t>боевых действий в зимних условиях. Они однозначно высказались против таких громоздких проектов. По итогам совещания был составлен протокол:</w:t>
      </w:r>
    </w:p>
    <w:p w14:paraId="35D42E4C"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w:t>
      </w:r>
      <w:r w:rsidRPr="008127F8">
        <w:rPr>
          <w:bCs/>
          <w:iCs/>
          <w:color w:val="000000" w:themeColor="text1"/>
          <w:sz w:val="16"/>
          <w:szCs w:val="16"/>
        </w:rPr>
        <w:t>1.</w:t>
      </w:r>
      <w:r w:rsidRPr="008127F8">
        <w:rPr>
          <w:iCs/>
          <w:color w:val="000000" w:themeColor="text1"/>
          <w:sz w:val="16"/>
          <w:szCs w:val="16"/>
        </w:rPr>
        <w:t xml:space="preserve"> Предлагаемые заводами №592 и 112 прицепы к танкам весом 15-20 тонн совершенно неприемлемы, так как танк “КВ” по бортовым и главным фрикционам не имеет запаса, а танк “Т-34” будет работать на пределе.</w:t>
      </w:r>
    </w:p>
    <w:p w14:paraId="2800E30A"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2.</w:t>
      </w:r>
      <w:r w:rsidRPr="008127F8">
        <w:rPr>
          <w:iCs/>
          <w:color w:val="000000" w:themeColor="text1"/>
          <w:sz w:val="16"/>
          <w:szCs w:val="16"/>
        </w:rPr>
        <w:t xml:space="preserve"> Для обеспечения защиты танко-десантной роты танковой бригады, желательно разработать прицеп к танку “Т-34” со следующей характеристикой:</w:t>
      </w:r>
    </w:p>
    <w:p w14:paraId="4512D0C6"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а) Вес — 5 тонн.</w:t>
      </w:r>
    </w:p>
    <w:p w14:paraId="7DE0031C"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б) Экипаж — 15 человек.</w:t>
      </w:r>
    </w:p>
    <w:p w14:paraId="15E43871"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в) Броня — 13-15 мм.</w:t>
      </w:r>
    </w:p>
    <w:p w14:paraId="6F5616D9"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г) Бойницы: по бортам — 5</w:t>
      </w:r>
    </w:p>
    <w:p w14:paraId="54B76DD4"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на корму — 2</w:t>
      </w:r>
    </w:p>
    <w:p w14:paraId="1BFD468B"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вперёд — 2</w:t>
      </w:r>
    </w:p>
    <w:p w14:paraId="5E8804E2"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д) Высота — 1,5-1,6 м.</w:t>
      </w:r>
    </w:p>
    <w:p w14:paraId="23302965"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е) Ширина — по колее танка.</w:t>
      </w:r>
    </w:p>
    <w:p w14:paraId="09B0D2A0"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ж) Выход — назад, на борта, днище.</w:t>
      </w:r>
    </w:p>
    <w:p w14:paraId="5F8CE9D0"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з) Ходовая часть — колёсногусеничная.</w:t>
      </w:r>
    </w:p>
    <w:p w14:paraId="3BF2B86A"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и) Отцепка — от танка.</w:t>
      </w:r>
    </w:p>
    <w:p w14:paraId="69998AE7"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к) Буксирный крюк — сзади.</w:t>
      </w:r>
    </w:p>
    <w:p w14:paraId="4272BC4D"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л) Обзорность — зеркалки по бортам, назад и вперед.</w:t>
      </w:r>
    </w:p>
    <w:p w14:paraId="46AE9D87"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м) Удельное давление — не выше, чем у танка.</w:t>
      </w:r>
    </w:p>
    <w:p w14:paraId="33DE2FCA"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3.</w:t>
      </w:r>
      <w:r w:rsidRPr="008127F8">
        <w:rPr>
          <w:iCs/>
          <w:color w:val="000000" w:themeColor="text1"/>
          <w:sz w:val="16"/>
          <w:szCs w:val="16"/>
        </w:rPr>
        <w:t xml:space="preserve"> Количество прицепов на танковую бригаду — 5 штук.</w:t>
      </w:r>
    </w:p>
    <w:p w14:paraId="6DDC39DD"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4.</w:t>
      </w:r>
      <w:r w:rsidRPr="008127F8">
        <w:rPr>
          <w:iCs/>
          <w:color w:val="000000" w:themeColor="text1"/>
          <w:sz w:val="16"/>
          <w:szCs w:val="16"/>
        </w:rPr>
        <w:t xml:space="preserve"> Целесообразно для прицепов использовать танки “БТ” без башни, моторно-трансмиссионной группы, переоборудовав их в соответствии с требованиями к десантному прицепу.</w:t>
      </w:r>
    </w:p>
    <w:p w14:paraId="34A4B930"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5.</w:t>
      </w:r>
      <w:r w:rsidRPr="008127F8">
        <w:rPr>
          <w:iCs/>
          <w:color w:val="000000" w:themeColor="text1"/>
          <w:sz w:val="16"/>
          <w:szCs w:val="16"/>
        </w:rPr>
        <w:t xml:space="preserve"> Для буксировки прицепов на марше, в штат танковой бригады желательно включить тракторы из расчёта один трактор на два прицепа».</w:t>
      </w:r>
    </w:p>
    <w:p w14:paraId="2E61417A" w14:textId="77777777" w:rsidR="009F4B42" w:rsidRPr="008127F8" w:rsidRDefault="009F4B42" w:rsidP="001E0A84">
      <w:pPr>
        <w:pStyle w:val="af"/>
        <w:shd w:val="clear" w:color="auto" w:fill="FFFFFF"/>
        <w:spacing w:before="0" w:after="0"/>
        <w:jc w:val="both"/>
        <w:rPr>
          <w:color w:val="000000" w:themeColor="text1"/>
          <w:sz w:val="16"/>
          <w:szCs w:val="16"/>
        </w:rPr>
      </w:pPr>
      <w:r w:rsidRPr="008127F8">
        <w:rPr>
          <w:color w:val="000000" w:themeColor="text1"/>
          <w:sz w:val="16"/>
          <w:szCs w:val="16"/>
        </w:rPr>
        <w:t>Этот текст содержал, по сути, первые тактико-технические требования на бронированные сани. Как видно, от идеи использования танков для создания саней участники совещания не отказывались. Но всем присутствовавшим на совещании было понятно, что боевая масса такого прицепа должна быть серьёзно уменьшена. Надо сказать, что указанные в протоколе требования оказались разумными, что показал дальнейший ход событий (17711).</w:t>
      </w:r>
    </w:p>
    <w:p w14:paraId="6419B365" w14:textId="77777777" w:rsidR="009F4B42" w:rsidRPr="008127F8" w:rsidRDefault="009F4B42" w:rsidP="001E0A84">
      <w:pPr>
        <w:spacing w:after="0" w:line="240" w:lineRule="auto"/>
        <w:jc w:val="both"/>
        <w:rPr>
          <w:rFonts w:ascii="Times New Roman" w:eastAsia="Times New Roman" w:hAnsi="Times New Roman"/>
          <w:color w:val="000000" w:themeColor="text1"/>
          <w:sz w:val="16"/>
          <w:szCs w:val="16"/>
          <w:lang w:eastAsia="ru-RU"/>
        </w:rPr>
      </w:pPr>
    </w:p>
    <w:p w14:paraId="49040DDF" w14:textId="77777777" w:rsidR="00271F00" w:rsidRPr="008127F8" w:rsidRDefault="00271F00"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года первый экземпляр отчета об испытаниях ГАЗ-64-125 был отослан т. Поскребышеву с препроводительной на имя т. Сталина за подписями т. Акопова (нарком среднего машиностроения) и т. Бирюкова (комиссар ГАБТУ КА) с просьбой о показе и приемке на производство (15218).</w:t>
      </w:r>
    </w:p>
    <w:p w14:paraId="3B94F83B" w14:textId="77777777" w:rsidR="00271F00" w:rsidRPr="008127F8" w:rsidRDefault="00271F00" w:rsidP="001E0A84">
      <w:pPr>
        <w:widowControl w:val="0"/>
        <w:spacing w:after="0" w:line="240" w:lineRule="auto"/>
        <w:jc w:val="both"/>
        <w:rPr>
          <w:rFonts w:ascii="Times New Roman" w:hAnsi="Times New Roman"/>
          <w:color w:val="000000" w:themeColor="text1"/>
          <w:sz w:val="16"/>
          <w:szCs w:val="16"/>
        </w:rPr>
      </w:pPr>
    </w:p>
    <w:p w14:paraId="5D03CF9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вышло Постановление ГКО № 1354 О переводе в Москву Наркомхимпрома, Наркомрезинпрома, Наркомугля и Наркомэлектростанций. (7023, 44).</w:t>
      </w:r>
    </w:p>
    <w:p w14:paraId="763EC93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073265"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февраля 1942 года Приложение 1 к решению СЗ облисполкома от 27 февраля 1942 года № 1/82</w:t>
      </w:r>
    </w:p>
    <w:p w14:paraId="51250350"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списка заводов военной промышленности по Новосибирской области</w:t>
      </w:r>
    </w:p>
    <w:p w14:paraId="13FCFDD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roofErr w:type="gramStart"/>
      <w:r w:rsidRPr="008A2E5A">
        <w:rPr>
          <w:rFonts w:ascii="Times New Roman" w:hAnsi="Times New Roman"/>
          <w:color w:val="0070C0"/>
          <w:sz w:val="16"/>
          <w:szCs w:val="16"/>
        </w:rPr>
        <w:t>№  пп</w:t>
      </w:r>
      <w:proofErr w:type="gramEnd"/>
      <w:r w:rsidRPr="008A2E5A">
        <w:rPr>
          <w:rFonts w:ascii="Times New Roman" w:hAnsi="Times New Roman"/>
          <w:color w:val="0070C0"/>
          <w:sz w:val="16"/>
          <w:szCs w:val="16"/>
        </w:rPr>
        <w:tab/>
        <w:t>Название завода</w:t>
      </w:r>
      <w:r w:rsidRPr="008A2E5A">
        <w:rPr>
          <w:rFonts w:ascii="Times New Roman" w:hAnsi="Times New Roman"/>
          <w:color w:val="0070C0"/>
          <w:sz w:val="16"/>
          <w:szCs w:val="16"/>
        </w:rPr>
        <w:tab/>
        <w:t>Место нахождения</w:t>
      </w:r>
    </w:p>
    <w:p w14:paraId="6BA3CD0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2</w:t>
      </w:r>
      <w:r w:rsidRPr="008A2E5A">
        <w:rPr>
          <w:rFonts w:ascii="Times New Roman" w:hAnsi="Times New Roman"/>
          <w:color w:val="0070C0"/>
          <w:sz w:val="16"/>
          <w:szCs w:val="16"/>
        </w:rPr>
        <w:tab/>
        <w:t>3</w:t>
      </w:r>
    </w:p>
    <w:p w14:paraId="05FDFCF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1. НКАП</w:t>
      </w:r>
    </w:p>
    <w:p w14:paraId="7BDE1473"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Завод № 51</w:t>
      </w:r>
      <w:r w:rsidRPr="008A2E5A">
        <w:rPr>
          <w:rFonts w:ascii="Times New Roman" w:hAnsi="Times New Roman"/>
          <w:color w:val="0070C0"/>
          <w:sz w:val="16"/>
          <w:szCs w:val="16"/>
        </w:rPr>
        <w:tab/>
        <w:t>г. Новосибирск</w:t>
      </w:r>
    </w:p>
    <w:p w14:paraId="11C36AA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Завод № 43</w:t>
      </w:r>
      <w:r w:rsidRPr="008A2E5A">
        <w:rPr>
          <w:rFonts w:ascii="Times New Roman" w:hAnsi="Times New Roman"/>
          <w:color w:val="0070C0"/>
          <w:sz w:val="16"/>
          <w:szCs w:val="16"/>
        </w:rPr>
        <w:tab/>
        <w:t>г. Новосибирск</w:t>
      </w:r>
    </w:p>
    <w:p w14:paraId="10DE56D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Завод № 23</w:t>
      </w:r>
      <w:r w:rsidRPr="008A2E5A">
        <w:rPr>
          <w:rFonts w:ascii="Times New Roman" w:hAnsi="Times New Roman"/>
          <w:color w:val="0070C0"/>
          <w:sz w:val="16"/>
          <w:szCs w:val="16"/>
        </w:rPr>
        <w:tab/>
        <w:t>г. Новосибирск</w:t>
      </w:r>
    </w:p>
    <w:p w14:paraId="3CB734D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Завод № 301</w:t>
      </w:r>
      <w:r w:rsidRPr="008A2E5A">
        <w:rPr>
          <w:rFonts w:ascii="Times New Roman" w:hAnsi="Times New Roman"/>
          <w:color w:val="0070C0"/>
          <w:sz w:val="16"/>
          <w:szCs w:val="16"/>
        </w:rPr>
        <w:tab/>
        <w:t>г. Новосибирск</w:t>
      </w:r>
    </w:p>
    <w:p w14:paraId="5B735D7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Завод № 165</w:t>
      </w:r>
      <w:r w:rsidRPr="008A2E5A">
        <w:rPr>
          <w:rFonts w:ascii="Times New Roman" w:hAnsi="Times New Roman"/>
          <w:color w:val="0070C0"/>
          <w:sz w:val="16"/>
          <w:szCs w:val="16"/>
        </w:rPr>
        <w:tab/>
        <w:t>г. Новосибирск</w:t>
      </w:r>
    </w:p>
    <w:p w14:paraId="73D6A3D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Завод № 115</w:t>
      </w:r>
      <w:r w:rsidRPr="008A2E5A">
        <w:rPr>
          <w:rFonts w:ascii="Times New Roman" w:hAnsi="Times New Roman"/>
          <w:color w:val="0070C0"/>
          <w:sz w:val="16"/>
          <w:szCs w:val="16"/>
        </w:rPr>
        <w:tab/>
        <w:t>г. Новосибирск</w:t>
      </w:r>
    </w:p>
    <w:p w14:paraId="0C58F6C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Завод № 153</w:t>
      </w:r>
      <w:r w:rsidRPr="008A2E5A">
        <w:rPr>
          <w:rFonts w:ascii="Times New Roman" w:hAnsi="Times New Roman"/>
          <w:color w:val="0070C0"/>
          <w:sz w:val="16"/>
          <w:szCs w:val="16"/>
        </w:rPr>
        <w:tab/>
        <w:t>г. Новосибирск</w:t>
      </w:r>
    </w:p>
    <w:p w14:paraId="4C0011A0"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Завод № 388</w:t>
      </w:r>
      <w:r w:rsidRPr="008A2E5A">
        <w:rPr>
          <w:rFonts w:ascii="Times New Roman" w:hAnsi="Times New Roman"/>
          <w:color w:val="0070C0"/>
          <w:sz w:val="16"/>
          <w:szCs w:val="16"/>
        </w:rPr>
        <w:tab/>
        <w:t>г. Новосибирск</w:t>
      </w:r>
    </w:p>
    <w:p w14:paraId="39B0FF17"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r w:rsidRPr="008A2E5A">
        <w:rPr>
          <w:rFonts w:ascii="Times New Roman" w:hAnsi="Times New Roman"/>
          <w:color w:val="0070C0"/>
          <w:sz w:val="16"/>
          <w:szCs w:val="16"/>
        </w:rPr>
        <w:tab/>
        <w:t>Завод № 335 (строительство)</w:t>
      </w:r>
      <w:r w:rsidRPr="008A2E5A">
        <w:rPr>
          <w:rFonts w:ascii="Times New Roman" w:hAnsi="Times New Roman"/>
          <w:color w:val="0070C0"/>
          <w:sz w:val="16"/>
          <w:szCs w:val="16"/>
        </w:rPr>
        <w:tab/>
        <w:t>г. Новосибирск</w:t>
      </w:r>
    </w:p>
    <w:p w14:paraId="5636F8A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r w:rsidRPr="008A2E5A">
        <w:rPr>
          <w:rFonts w:ascii="Times New Roman" w:hAnsi="Times New Roman"/>
          <w:color w:val="0070C0"/>
          <w:sz w:val="16"/>
          <w:szCs w:val="16"/>
        </w:rPr>
        <w:tab/>
        <w:t>Трест № 7</w:t>
      </w:r>
      <w:r w:rsidRPr="008A2E5A">
        <w:rPr>
          <w:rFonts w:ascii="Times New Roman" w:hAnsi="Times New Roman"/>
          <w:color w:val="0070C0"/>
          <w:sz w:val="16"/>
          <w:szCs w:val="16"/>
        </w:rPr>
        <w:tab/>
        <w:t>г. Новосибирск</w:t>
      </w:r>
    </w:p>
    <w:p w14:paraId="15ED528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r w:rsidRPr="008A2E5A">
        <w:rPr>
          <w:rFonts w:ascii="Times New Roman" w:hAnsi="Times New Roman"/>
          <w:color w:val="0070C0"/>
          <w:sz w:val="16"/>
          <w:szCs w:val="16"/>
        </w:rPr>
        <w:tab/>
        <w:t>Завод № 296</w:t>
      </w:r>
      <w:r w:rsidRPr="008A2E5A">
        <w:rPr>
          <w:rFonts w:ascii="Times New Roman" w:hAnsi="Times New Roman"/>
          <w:color w:val="0070C0"/>
          <w:sz w:val="16"/>
          <w:szCs w:val="16"/>
        </w:rPr>
        <w:tab/>
        <w:t>р.п. Бердск</w:t>
      </w:r>
    </w:p>
    <w:p w14:paraId="4C84635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r w:rsidRPr="008A2E5A">
        <w:rPr>
          <w:rFonts w:ascii="Times New Roman" w:hAnsi="Times New Roman"/>
          <w:color w:val="0070C0"/>
          <w:sz w:val="16"/>
          <w:szCs w:val="16"/>
        </w:rPr>
        <w:tab/>
        <w:t>Завод № 9</w:t>
      </w:r>
      <w:r w:rsidRPr="008A2E5A">
        <w:rPr>
          <w:rFonts w:ascii="Times New Roman" w:hAnsi="Times New Roman"/>
          <w:color w:val="0070C0"/>
          <w:sz w:val="16"/>
          <w:szCs w:val="16"/>
        </w:rPr>
        <w:tab/>
        <w:t>р.п. Бердск</w:t>
      </w:r>
    </w:p>
    <w:p w14:paraId="0DE4712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FD4B50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r w:rsidRPr="008A2E5A">
        <w:rPr>
          <w:rFonts w:ascii="Times New Roman" w:hAnsi="Times New Roman"/>
          <w:color w:val="0070C0"/>
          <w:sz w:val="16"/>
          <w:szCs w:val="16"/>
        </w:rPr>
        <w:tab/>
        <w:t>Завод № 266</w:t>
      </w:r>
      <w:r w:rsidRPr="008A2E5A">
        <w:rPr>
          <w:rFonts w:ascii="Times New Roman" w:hAnsi="Times New Roman"/>
          <w:color w:val="0070C0"/>
          <w:sz w:val="16"/>
          <w:szCs w:val="16"/>
        </w:rPr>
        <w:tab/>
        <w:t>г. Томск</w:t>
      </w:r>
    </w:p>
    <w:p w14:paraId="6E310C8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2. НАРКОМАТ ВООРУЖЕНИЯ</w:t>
      </w:r>
    </w:p>
    <w:p w14:paraId="6AB9979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r w:rsidRPr="008A2E5A">
        <w:rPr>
          <w:rFonts w:ascii="Times New Roman" w:hAnsi="Times New Roman"/>
          <w:color w:val="0070C0"/>
          <w:sz w:val="16"/>
          <w:szCs w:val="16"/>
        </w:rPr>
        <w:tab/>
        <w:t>Завод № 69</w:t>
      </w:r>
      <w:r w:rsidRPr="008A2E5A">
        <w:rPr>
          <w:rFonts w:ascii="Times New Roman" w:hAnsi="Times New Roman"/>
          <w:color w:val="0070C0"/>
          <w:sz w:val="16"/>
          <w:szCs w:val="16"/>
        </w:rPr>
        <w:tab/>
        <w:t>г. Новосибирск</w:t>
      </w:r>
    </w:p>
    <w:p w14:paraId="6CF956E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r w:rsidRPr="008A2E5A">
        <w:rPr>
          <w:rFonts w:ascii="Times New Roman" w:hAnsi="Times New Roman"/>
          <w:color w:val="0070C0"/>
          <w:sz w:val="16"/>
          <w:szCs w:val="16"/>
        </w:rPr>
        <w:tab/>
        <w:t>Завод № 188</w:t>
      </w:r>
      <w:r w:rsidRPr="008A2E5A">
        <w:rPr>
          <w:rFonts w:ascii="Times New Roman" w:hAnsi="Times New Roman"/>
          <w:color w:val="0070C0"/>
          <w:sz w:val="16"/>
          <w:szCs w:val="16"/>
        </w:rPr>
        <w:tab/>
        <w:t>г. Новосибирск</w:t>
      </w:r>
    </w:p>
    <w:p w14:paraId="34875D45"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r w:rsidRPr="008A2E5A">
        <w:rPr>
          <w:rFonts w:ascii="Times New Roman" w:hAnsi="Times New Roman"/>
          <w:color w:val="0070C0"/>
          <w:sz w:val="16"/>
          <w:szCs w:val="16"/>
        </w:rPr>
        <w:tab/>
        <w:t>Завод № 350</w:t>
      </w:r>
      <w:r w:rsidRPr="008A2E5A">
        <w:rPr>
          <w:rFonts w:ascii="Times New Roman" w:hAnsi="Times New Roman"/>
          <w:color w:val="0070C0"/>
          <w:sz w:val="16"/>
          <w:szCs w:val="16"/>
        </w:rPr>
        <w:tab/>
        <w:t>г. Новосибирск</w:t>
      </w:r>
    </w:p>
    <w:p w14:paraId="4811DE0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r w:rsidRPr="008A2E5A">
        <w:rPr>
          <w:rFonts w:ascii="Times New Roman" w:hAnsi="Times New Roman"/>
          <w:color w:val="0070C0"/>
          <w:sz w:val="16"/>
          <w:szCs w:val="16"/>
        </w:rPr>
        <w:tab/>
        <w:t>Завод № 524</w:t>
      </w:r>
      <w:r w:rsidRPr="008A2E5A">
        <w:rPr>
          <w:rFonts w:ascii="Times New Roman" w:hAnsi="Times New Roman"/>
          <w:color w:val="0070C0"/>
          <w:sz w:val="16"/>
          <w:szCs w:val="16"/>
        </w:rPr>
        <w:tab/>
        <w:t>г. Новосибирск</w:t>
      </w:r>
    </w:p>
    <w:p w14:paraId="707FBB0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F382CB3"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3. НАРКОМАТ БОЕПРИПАСОВ</w:t>
      </w:r>
      <w:r w:rsidRPr="008A2E5A">
        <w:rPr>
          <w:rFonts w:ascii="Times New Roman" w:hAnsi="Times New Roman"/>
          <w:color w:val="0070C0"/>
          <w:sz w:val="16"/>
          <w:szCs w:val="16"/>
        </w:rPr>
        <w:tab/>
      </w:r>
    </w:p>
    <w:p w14:paraId="5917D1C7"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r w:rsidRPr="008A2E5A">
        <w:rPr>
          <w:rFonts w:ascii="Times New Roman" w:hAnsi="Times New Roman"/>
          <w:color w:val="0070C0"/>
          <w:sz w:val="16"/>
          <w:szCs w:val="16"/>
        </w:rPr>
        <w:tab/>
        <w:t>Завод № 564</w:t>
      </w:r>
      <w:r w:rsidRPr="008A2E5A">
        <w:rPr>
          <w:rFonts w:ascii="Times New Roman" w:hAnsi="Times New Roman"/>
          <w:color w:val="0070C0"/>
          <w:sz w:val="16"/>
          <w:szCs w:val="16"/>
        </w:rPr>
        <w:tab/>
        <w:t>г. Новосибирск</w:t>
      </w:r>
    </w:p>
    <w:p w14:paraId="01D797C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w:t>
      </w:r>
      <w:r w:rsidRPr="008A2E5A">
        <w:rPr>
          <w:rFonts w:ascii="Times New Roman" w:hAnsi="Times New Roman"/>
          <w:color w:val="0070C0"/>
          <w:sz w:val="16"/>
          <w:szCs w:val="16"/>
        </w:rPr>
        <w:tab/>
        <w:t>Комбинат № 179</w:t>
      </w:r>
      <w:r w:rsidRPr="008A2E5A">
        <w:rPr>
          <w:rFonts w:ascii="Times New Roman" w:hAnsi="Times New Roman"/>
          <w:color w:val="0070C0"/>
          <w:sz w:val="16"/>
          <w:szCs w:val="16"/>
        </w:rPr>
        <w:tab/>
        <w:t>г. Новосибирск</w:t>
      </w:r>
    </w:p>
    <w:p w14:paraId="46E6C15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w:t>
      </w:r>
      <w:r w:rsidRPr="008A2E5A">
        <w:rPr>
          <w:rFonts w:ascii="Times New Roman" w:hAnsi="Times New Roman"/>
          <w:color w:val="0070C0"/>
          <w:sz w:val="16"/>
          <w:szCs w:val="16"/>
        </w:rPr>
        <w:tab/>
        <w:t>Стройуправление комбината № 179</w:t>
      </w:r>
      <w:r w:rsidRPr="008A2E5A">
        <w:rPr>
          <w:rFonts w:ascii="Times New Roman" w:hAnsi="Times New Roman"/>
          <w:color w:val="0070C0"/>
          <w:sz w:val="16"/>
          <w:szCs w:val="16"/>
        </w:rPr>
        <w:tab/>
        <w:t>г. Новосибирск</w:t>
      </w:r>
    </w:p>
    <w:p w14:paraId="1D94708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w:t>
      </w:r>
      <w:r w:rsidRPr="008A2E5A">
        <w:rPr>
          <w:rFonts w:ascii="Times New Roman" w:hAnsi="Times New Roman"/>
          <w:color w:val="0070C0"/>
          <w:sz w:val="16"/>
          <w:szCs w:val="16"/>
        </w:rPr>
        <w:tab/>
        <w:t>Завод № 77</w:t>
      </w:r>
      <w:r w:rsidRPr="008A2E5A">
        <w:rPr>
          <w:rFonts w:ascii="Times New Roman" w:hAnsi="Times New Roman"/>
          <w:color w:val="0070C0"/>
          <w:sz w:val="16"/>
          <w:szCs w:val="16"/>
        </w:rPr>
        <w:tab/>
        <w:t>г. Новосибирск</w:t>
      </w:r>
    </w:p>
    <w:p w14:paraId="62AE3C9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w:t>
      </w:r>
      <w:r w:rsidRPr="008A2E5A">
        <w:rPr>
          <w:rFonts w:ascii="Times New Roman" w:hAnsi="Times New Roman"/>
          <w:color w:val="0070C0"/>
          <w:sz w:val="16"/>
          <w:szCs w:val="16"/>
        </w:rPr>
        <w:tab/>
        <w:t>Завод № 65</w:t>
      </w:r>
      <w:r w:rsidRPr="008A2E5A">
        <w:rPr>
          <w:rFonts w:ascii="Times New Roman" w:hAnsi="Times New Roman"/>
          <w:color w:val="0070C0"/>
          <w:sz w:val="16"/>
          <w:szCs w:val="16"/>
        </w:rPr>
        <w:tab/>
        <w:t>г. Новосибирск</w:t>
      </w:r>
    </w:p>
    <w:p w14:paraId="5158551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w:t>
      </w:r>
      <w:r w:rsidRPr="008A2E5A">
        <w:rPr>
          <w:rFonts w:ascii="Times New Roman" w:hAnsi="Times New Roman"/>
          <w:color w:val="0070C0"/>
          <w:sz w:val="16"/>
          <w:szCs w:val="16"/>
        </w:rPr>
        <w:tab/>
        <w:t>Завод № 187</w:t>
      </w:r>
      <w:r w:rsidRPr="008A2E5A">
        <w:rPr>
          <w:rFonts w:ascii="Times New Roman" w:hAnsi="Times New Roman"/>
          <w:color w:val="0070C0"/>
          <w:sz w:val="16"/>
          <w:szCs w:val="16"/>
        </w:rPr>
        <w:tab/>
        <w:t>г. Новосибирск</w:t>
      </w:r>
    </w:p>
    <w:p w14:paraId="44C5F999"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w:t>
      </w:r>
      <w:r w:rsidRPr="008A2E5A">
        <w:rPr>
          <w:rFonts w:ascii="Times New Roman" w:hAnsi="Times New Roman"/>
          <w:color w:val="0070C0"/>
          <w:sz w:val="16"/>
          <w:szCs w:val="16"/>
        </w:rPr>
        <w:tab/>
        <w:t>Завод № 55</w:t>
      </w:r>
      <w:r w:rsidRPr="008A2E5A">
        <w:rPr>
          <w:rFonts w:ascii="Times New Roman" w:hAnsi="Times New Roman"/>
          <w:color w:val="0070C0"/>
          <w:sz w:val="16"/>
          <w:szCs w:val="16"/>
        </w:rPr>
        <w:tab/>
        <w:t>г. Новосибирск</w:t>
      </w:r>
    </w:p>
    <w:p w14:paraId="7A05480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w:t>
      </w:r>
      <w:r w:rsidRPr="008A2E5A">
        <w:rPr>
          <w:rFonts w:ascii="Times New Roman" w:hAnsi="Times New Roman"/>
          <w:color w:val="0070C0"/>
          <w:sz w:val="16"/>
          <w:szCs w:val="16"/>
        </w:rPr>
        <w:tab/>
        <w:t>Завод № 512</w:t>
      </w:r>
      <w:r w:rsidRPr="008A2E5A">
        <w:rPr>
          <w:rFonts w:ascii="Times New Roman" w:hAnsi="Times New Roman"/>
          <w:color w:val="0070C0"/>
          <w:sz w:val="16"/>
          <w:szCs w:val="16"/>
        </w:rPr>
        <w:tab/>
        <w:t>г. Новосибирск</w:t>
      </w:r>
    </w:p>
    <w:p w14:paraId="37A958D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w:t>
      </w:r>
      <w:r w:rsidRPr="008A2E5A">
        <w:rPr>
          <w:rFonts w:ascii="Times New Roman" w:hAnsi="Times New Roman"/>
          <w:color w:val="0070C0"/>
          <w:sz w:val="16"/>
          <w:szCs w:val="16"/>
        </w:rPr>
        <w:tab/>
        <w:t>Завод № 513</w:t>
      </w:r>
      <w:r w:rsidRPr="008A2E5A">
        <w:rPr>
          <w:rFonts w:ascii="Times New Roman" w:hAnsi="Times New Roman"/>
          <w:color w:val="0070C0"/>
          <w:sz w:val="16"/>
          <w:szCs w:val="16"/>
        </w:rPr>
        <w:tab/>
        <w:t>г. Новосибирск</w:t>
      </w:r>
    </w:p>
    <w:p w14:paraId="76C2D6C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w:t>
      </w:r>
      <w:r w:rsidRPr="008A2E5A">
        <w:rPr>
          <w:rFonts w:ascii="Times New Roman" w:hAnsi="Times New Roman"/>
          <w:color w:val="0070C0"/>
          <w:sz w:val="16"/>
          <w:szCs w:val="16"/>
        </w:rPr>
        <w:tab/>
        <w:t>Завод № 386 (строительство)</w:t>
      </w:r>
      <w:r w:rsidRPr="008A2E5A">
        <w:rPr>
          <w:rFonts w:ascii="Times New Roman" w:hAnsi="Times New Roman"/>
          <w:color w:val="0070C0"/>
          <w:sz w:val="16"/>
          <w:szCs w:val="16"/>
        </w:rPr>
        <w:tab/>
        <w:t>г. Новосибирск</w:t>
      </w:r>
    </w:p>
    <w:p w14:paraId="2BB73903"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r w:rsidRPr="008A2E5A">
        <w:rPr>
          <w:rFonts w:ascii="Times New Roman" w:hAnsi="Times New Roman"/>
          <w:color w:val="0070C0"/>
          <w:sz w:val="16"/>
          <w:szCs w:val="16"/>
        </w:rPr>
        <w:tab/>
        <w:t>Завод № 635</w:t>
      </w:r>
      <w:r w:rsidRPr="008A2E5A">
        <w:rPr>
          <w:rFonts w:ascii="Times New Roman" w:hAnsi="Times New Roman"/>
          <w:color w:val="0070C0"/>
          <w:sz w:val="16"/>
          <w:szCs w:val="16"/>
        </w:rPr>
        <w:tab/>
        <w:t>г. Новосибирск</w:t>
      </w:r>
    </w:p>
    <w:p w14:paraId="2F12E6F5"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w:t>
      </w:r>
      <w:r w:rsidRPr="008A2E5A">
        <w:rPr>
          <w:rFonts w:ascii="Times New Roman" w:hAnsi="Times New Roman"/>
          <w:color w:val="0070C0"/>
          <w:sz w:val="16"/>
          <w:szCs w:val="16"/>
        </w:rPr>
        <w:tab/>
        <w:t>Завод № 176</w:t>
      </w:r>
      <w:r w:rsidRPr="008A2E5A">
        <w:rPr>
          <w:rFonts w:ascii="Times New Roman" w:hAnsi="Times New Roman"/>
          <w:color w:val="0070C0"/>
          <w:sz w:val="16"/>
          <w:szCs w:val="16"/>
        </w:rPr>
        <w:tab/>
        <w:t>г. Новосибирск</w:t>
      </w:r>
    </w:p>
    <w:p w14:paraId="033307B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w:t>
      </w:r>
      <w:r w:rsidRPr="008A2E5A">
        <w:rPr>
          <w:rFonts w:ascii="Times New Roman" w:hAnsi="Times New Roman"/>
          <w:color w:val="0070C0"/>
          <w:sz w:val="16"/>
          <w:szCs w:val="16"/>
        </w:rPr>
        <w:tab/>
        <w:t>Завод № 359</w:t>
      </w:r>
      <w:r w:rsidRPr="008A2E5A">
        <w:rPr>
          <w:rFonts w:ascii="Times New Roman" w:hAnsi="Times New Roman"/>
          <w:color w:val="0070C0"/>
          <w:sz w:val="16"/>
          <w:szCs w:val="16"/>
        </w:rPr>
        <w:tab/>
        <w:t>г. Новосибирск</w:t>
      </w:r>
    </w:p>
    <w:p w14:paraId="57BADE1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6E76C4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4. НАРКОМАТ СТАНКОСТРОЕНИЯ</w:t>
      </w:r>
      <w:r w:rsidRPr="008A2E5A">
        <w:rPr>
          <w:rFonts w:ascii="Times New Roman" w:hAnsi="Times New Roman"/>
          <w:color w:val="0070C0"/>
          <w:sz w:val="16"/>
          <w:szCs w:val="16"/>
        </w:rPr>
        <w:tab/>
      </w:r>
    </w:p>
    <w:p w14:paraId="6730DE2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w:t>
      </w:r>
      <w:r w:rsidRPr="008A2E5A">
        <w:rPr>
          <w:rFonts w:ascii="Times New Roman" w:hAnsi="Times New Roman"/>
          <w:color w:val="0070C0"/>
          <w:sz w:val="16"/>
          <w:szCs w:val="16"/>
        </w:rPr>
        <w:tab/>
        <w:t>Завод имени Воскова</w:t>
      </w:r>
      <w:r w:rsidRPr="008A2E5A">
        <w:rPr>
          <w:rFonts w:ascii="Times New Roman" w:hAnsi="Times New Roman"/>
          <w:color w:val="0070C0"/>
          <w:sz w:val="16"/>
          <w:szCs w:val="16"/>
        </w:rPr>
        <w:tab/>
        <w:t>г. Новосибирск</w:t>
      </w:r>
    </w:p>
    <w:p w14:paraId="58C7E85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w:t>
      </w:r>
      <w:r w:rsidRPr="008A2E5A">
        <w:rPr>
          <w:rFonts w:ascii="Times New Roman" w:hAnsi="Times New Roman"/>
          <w:color w:val="0070C0"/>
          <w:sz w:val="16"/>
          <w:szCs w:val="16"/>
        </w:rPr>
        <w:tab/>
        <w:t>Завод имени XVI Партсъезда (№ 230)</w:t>
      </w:r>
      <w:r w:rsidRPr="008A2E5A">
        <w:rPr>
          <w:rFonts w:ascii="Times New Roman" w:hAnsi="Times New Roman"/>
          <w:color w:val="0070C0"/>
          <w:sz w:val="16"/>
          <w:szCs w:val="16"/>
        </w:rPr>
        <w:tab/>
        <w:t>г. Новосибирск</w:t>
      </w:r>
    </w:p>
    <w:p w14:paraId="08285D5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w:t>
      </w:r>
      <w:r w:rsidRPr="008A2E5A">
        <w:rPr>
          <w:rFonts w:ascii="Times New Roman" w:hAnsi="Times New Roman"/>
          <w:color w:val="0070C0"/>
          <w:sz w:val="16"/>
          <w:szCs w:val="16"/>
        </w:rPr>
        <w:tab/>
        <w:t>Завод № 13 (строительство)</w:t>
      </w:r>
      <w:r w:rsidRPr="008A2E5A">
        <w:rPr>
          <w:rFonts w:ascii="Times New Roman" w:hAnsi="Times New Roman"/>
          <w:color w:val="0070C0"/>
          <w:sz w:val="16"/>
          <w:szCs w:val="16"/>
        </w:rPr>
        <w:tab/>
        <w:t>г. Новосибирск</w:t>
      </w:r>
    </w:p>
    <w:p w14:paraId="0F90C9D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409CEA2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6. НАРКОМАТ МИНВООРУЖЕНИЯ</w:t>
      </w:r>
      <w:r w:rsidRPr="008A2E5A">
        <w:rPr>
          <w:rFonts w:ascii="Times New Roman" w:hAnsi="Times New Roman"/>
          <w:color w:val="0070C0"/>
          <w:sz w:val="16"/>
          <w:szCs w:val="16"/>
        </w:rPr>
        <w:tab/>
      </w:r>
    </w:p>
    <w:p w14:paraId="5ED0470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w:t>
      </w:r>
      <w:r w:rsidRPr="008A2E5A">
        <w:rPr>
          <w:rFonts w:ascii="Times New Roman" w:hAnsi="Times New Roman"/>
          <w:color w:val="0070C0"/>
          <w:sz w:val="16"/>
          <w:szCs w:val="16"/>
        </w:rPr>
        <w:tab/>
        <w:t>Коломенский завод</w:t>
      </w:r>
      <w:r w:rsidRPr="008A2E5A">
        <w:rPr>
          <w:rFonts w:ascii="Times New Roman" w:hAnsi="Times New Roman"/>
          <w:color w:val="0070C0"/>
          <w:sz w:val="16"/>
          <w:szCs w:val="16"/>
        </w:rPr>
        <w:tab/>
        <w:t>г. Белово</w:t>
      </w:r>
    </w:p>
    <w:p w14:paraId="774144A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w:t>
      </w:r>
      <w:r w:rsidRPr="008A2E5A">
        <w:rPr>
          <w:rFonts w:ascii="Times New Roman" w:hAnsi="Times New Roman"/>
          <w:color w:val="0070C0"/>
          <w:sz w:val="16"/>
          <w:szCs w:val="16"/>
        </w:rPr>
        <w:tab/>
        <w:t>Апрелевский завод (память 1905 года)</w:t>
      </w:r>
      <w:r w:rsidRPr="008A2E5A">
        <w:rPr>
          <w:rFonts w:ascii="Times New Roman" w:hAnsi="Times New Roman"/>
          <w:color w:val="0070C0"/>
          <w:sz w:val="16"/>
          <w:szCs w:val="16"/>
        </w:rPr>
        <w:tab/>
        <w:t>г. Белово</w:t>
      </w:r>
    </w:p>
    <w:p w14:paraId="1DF3E9E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w:t>
      </w:r>
      <w:r w:rsidRPr="008A2E5A">
        <w:rPr>
          <w:rFonts w:ascii="Times New Roman" w:hAnsi="Times New Roman"/>
          <w:color w:val="0070C0"/>
          <w:sz w:val="16"/>
          <w:szCs w:val="16"/>
        </w:rPr>
        <w:tab/>
        <w:t>Завод «Манометр»</w:t>
      </w:r>
      <w:r w:rsidRPr="008A2E5A">
        <w:rPr>
          <w:rFonts w:ascii="Times New Roman" w:hAnsi="Times New Roman"/>
          <w:color w:val="0070C0"/>
          <w:sz w:val="16"/>
          <w:szCs w:val="16"/>
        </w:rPr>
        <w:tab/>
        <w:t>г. Томск</w:t>
      </w:r>
    </w:p>
    <w:p w14:paraId="3161FD8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w:t>
      </w:r>
      <w:r w:rsidRPr="008A2E5A">
        <w:rPr>
          <w:rFonts w:ascii="Times New Roman" w:hAnsi="Times New Roman"/>
          <w:color w:val="0070C0"/>
          <w:sz w:val="16"/>
          <w:szCs w:val="16"/>
        </w:rPr>
        <w:tab/>
        <w:t>Завод ППО</w:t>
      </w:r>
      <w:r w:rsidRPr="008A2E5A">
        <w:rPr>
          <w:rFonts w:ascii="Times New Roman" w:hAnsi="Times New Roman"/>
          <w:color w:val="0070C0"/>
          <w:sz w:val="16"/>
          <w:szCs w:val="16"/>
        </w:rPr>
        <w:tab/>
        <w:t>г. Топки</w:t>
      </w:r>
    </w:p>
    <w:p w14:paraId="17488C2C"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r w:rsidRPr="008A2E5A">
        <w:rPr>
          <w:rFonts w:ascii="Times New Roman" w:hAnsi="Times New Roman"/>
          <w:color w:val="0070C0"/>
          <w:sz w:val="16"/>
          <w:szCs w:val="16"/>
        </w:rPr>
        <w:tab/>
        <w:t>ЛЕНГЗИП</w:t>
      </w:r>
      <w:r w:rsidRPr="008A2E5A">
        <w:rPr>
          <w:rFonts w:ascii="Times New Roman" w:hAnsi="Times New Roman"/>
          <w:color w:val="0070C0"/>
          <w:sz w:val="16"/>
          <w:szCs w:val="16"/>
        </w:rPr>
        <w:tab/>
        <w:t>г. Томск</w:t>
      </w:r>
    </w:p>
    <w:p w14:paraId="5536432F"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w:t>
      </w:r>
      <w:r w:rsidRPr="008A2E5A">
        <w:rPr>
          <w:rFonts w:ascii="Times New Roman" w:hAnsi="Times New Roman"/>
          <w:color w:val="0070C0"/>
          <w:sz w:val="16"/>
          <w:szCs w:val="16"/>
        </w:rPr>
        <w:tab/>
        <w:t>Завод «Молодой ударник»</w:t>
      </w:r>
      <w:r w:rsidRPr="008A2E5A">
        <w:rPr>
          <w:rFonts w:ascii="Times New Roman" w:hAnsi="Times New Roman"/>
          <w:color w:val="0070C0"/>
          <w:sz w:val="16"/>
          <w:szCs w:val="16"/>
        </w:rPr>
        <w:tab/>
        <w:t>г. Томск</w:t>
      </w:r>
    </w:p>
    <w:p w14:paraId="1DBC3BB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w:t>
      </w:r>
      <w:r w:rsidRPr="008A2E5A">
        <w:rPr>
          <w:rFonts w:ascii="Times New Roman" w:hAnsi="Times New Roman"/>
          <w:color w:val="0070C0"/>
          <w:sz w:val="16"/>
          <w:szCs w:val="16"/>
        </w:rPr>
        <w:tab/>
        <w:t>Завод ОМЗ № 5</w:t>
      </w:r>
      <w:r w:rsidRPr="008A2E5A">
        <w:rPr>
          <w:rFonts w:ascii="Times New Roman" w:hAnsi="Times New Roman"/>
          <w:color w:val="0070C0"/>
          <w:sz w:val="16"/>
          <w:szCs w:val="16"/>
        </w:rPr>
        <w:tab/>
        <w:t>г. Томск</w:t>
      </w:r>
    </w:p>
    <w:p w14:paraId="594AB211"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СЗ облисполкома</w:t>
      </w:r>
      <w:r w:rsidRPr="008A2E5A">
        <w:rPr>
          <w:rFonts w:ascii="Times New Roman" w:hAnsi="Times New Roman"/>
          <w:color w:val="0070C0"/>
          <w:sz w:val="16"/>
          <w:szCs w:val="16"/>
        </w:rPr>
        <w:tab/>
        <w:t>М. Федин</w:t>
      </w:r>
    </w:p>
    <w:p w14:paraId="219E1BEE"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ГАНО. Ф. Р—1020. Оп. 5«а». Д. 33. Л. 108-109 (23995).</w:t>
      </w:r>
    </w:p>
    <w:p w14:paraId="49A24690" w14:textId="77777777" w:rsidR="000E620A" w:rsidRPr="008A2E5A" w:rsidRDefault="000E620A" w:rsidP="000E620A">
      <w:pPr>
        <w:spacing w:after="0" w:line="240" w:lineRule="auto"/>
        <w:jc w:val="both"/>
        <w:rPr>
          <w:rFonts w:ascii="Times New Roman" w:hAnsi="Times New Roman"/>
          <w:color w:val="0070C0"/>
          <w:sz w:val="16"/>
          <w:szCs w:val="16"/>
        </w:rPr>
      </w:pPr>
    </w:p>
    <w:p w14:paraId="61BB01A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E3B2B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055B7"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051510D8"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27 февраля наши войска продолжали вести активные боевые действия против немецко-фашистских войск.</w:t>
      </w:r>
    </w:p>
    <w:p w14:paraId="1433ED43"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Наши части, действующие на отдельных участках Ленинградского фронта, за три дня боёв с противником разрушили 11 немецких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течек, 30 блиндажей и землянок, уничтожили немецкий танк, 3 орудия, 24 пулемёта, 4 миномётные батареи. В результате активных операций наших войск противник потерял убитыми 2.500 солдат и офицеров.</w:t>
      </w:r>
    </w:p>
    <w:p w14:paraId="2721DF0F"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стрелковой части под командованием тов. Дегтярёва овладели деревней С., превращенной немцами в сильный узел сопротивления. Двигаясь за огневым валом артиллеристов, наши пехотинцы стремительной атакой выбили немцев из деревни и перерезали важную коммуникационную линию врага. Противник оставил на поле боя свыше 100 солдат и офицеров.</w:t>
      </w:r>
    </w:p>
    <w:p w14:paraId="5977135F"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Князькова (Калининский фронт) в результате ожесточённого боя в районе Т. захватила 4 немецких орудия, 32 пулемёта, 200 винтовок, 30.000 патронов и другое вооружение. Противник потерял убитыми 400 солдат и офицеров. На другом участке бойцы под командованием тов. Зыгина уничтожили 160 немецких солдат и офицеров.</w:t>
      </w:r>
    </w:p>
    <w:p w14:paraId="482F03F2"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Объединённые отряды крымских партизан под командованием тт. К. и Я. совершили налёт на крупную продовольственную базу немецких и румынских войск. Все запасы, созданные оккупантами, были уничтожены. Крупное поражение советские патриоты нанесли немецкой части, пытавшейся окружить партизан. После пятичасового боя гитлеровцы были вынуждены отступить, оставив на месте сражения более 200 убитых солдат и офицеров.</w:t>
      </w:r>
    </w:p>
    <w:p w14:paraId="4EB72BFC"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5 роты 337 полка 208 немецкой пехотной дивизии Рудольф Бодо рассказал: «Наша дивизия прибыла на советско-германский фронт из Франции в середине января. В первый же день мы встретились с солдатами 20 полка. Уже один их внешний вид вызывал всеобщий смех. Солдаты были закутаны в различные лохмотья и имели жалкий вид. Но когда мы узнали, что в ротах 20 полка осталось всего лишь по 18—25 человек, нам было уже не до смеха. Мы все пали духом. С 16 января по 6 февраля наша 5 рота потеряла 110 человек. В числе убитых: командир роты обер-лейтенант Гольдгоф, лейтенант Гешвандер, унтер-офицеры Фильцингер, Франц, обер-фельдфебель Нитшке, фельдфебель Форкерт. Ещё большие потери понесла 6 рота. Она насчитывала 190 человек. Через три недели в 6 роте осталось только 45 человек».</w:t>
      </w:r>
    </w:p>
    <w:p w14:paraId="641F50EA"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финского шюцкоровца, фамилию которого установить не удалось, найдено два письма от жены. Приводим краткие выдержки из них: «Вернётся ли с фронта кто-нибудь и когда-нибудь в живых? Наши правители заварили такую кашу, которую они не в силах расхлебать. Хлеба больше ждать неоткуда. Всех нас ждёт голодная смерть. Финляндия уже давно бы подписала мир, но Германия этому препятствует. Я уверена, что если не заключат мир, то все наши мужчины будут уничтожены, да и мы все погибнем».</w:t>
      </w:r>
    </w:p>
    <w:p w14:paraId="20701034"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 чудовищном преступлении гитлеровских людоедов, совершённом ими в городе Новозыбкове, Орловской области. В течение одной ночи немецко-фашистские изверги уничтожили 380 семейств. Они расстреляли более 1.000 стариков, женщин и подростков, а маленьких детей закопали живыми в землю.</w:t>
      </w:r>
    </w:p>
    <w:p w14:paraId="062A63A6"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Лучшие машинисты Ашхабадского паровозного депо тт. Климов, Ковалевич, Чешенко, Качалов, Козленков и Масюков за полтора месяца сэкономили 63.000 килограммов нефти и значительно ускорили продвижение своих поездов.» (15053).</w:t>
      </w:r>
    </w:p>
    <w:p w14:paraId="233D9918" w14:textId="77777777" w:rsidR="00271F00" w:rsidRPr="008127F8" w:rsidRDefault="00271F00" w:rsidP="001E0A84">
      <w:pPr>
        <w:spacing w:after="0" w:line="240" w:lineRule="auto"/>
        <w:jc w:val="both"/>
        <w:rPr>
          <w:rFonts w:ascii="Times New Roman" w:hAnsi="Times New Roman"/>
          <w:color w:val="000000" w:themeColor="text1"/>
          <w:sz w:val="16"/>
          <w:szCs w:val="16"/>
        </w:rPr>
      </w:pPr>
    </w:p>
    <w:p w14:paraId="0D26F3A1"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2A5D2D06"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февраля наши войска после упорных боёв с противником на разных участках фронта заняли несколько населённых пунктов. Противник несёт большие потери в технике и особенно в людях.</w:t>
      </w:r>
    </w:p>
    <w:p w14:paraId="5395083C"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февраля в воздушных боях сбито 3 и уничтожено на аэродромах 16 самолётов противника. Всего за этот день уничтожено 19 немецких самолётов. Наши потери — 5 самолётов.</w:t>
      </w:r>
    </w:p>
    <w:p w14:paraId="1769C376"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февраля под Москвой в воздушных боях сбито 3 и уничтожено огнём зенитной артиллерии 3 самолёта противника, а всего в этот день под Москвой уничтожено 6 немецких самолётов.</w:t>
      </w:r>
    </w:p>
    <w:p w14:paraId="4F7C3B4A"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февраля частями нашей авиации уничтожено и повреждено 150 немецких автомашин с войсками и грузами, около 70 повозок с боеприпасами, 11 орудий, 2 зенитно-пулемётные точки, рассеяно и частью уничтожено до эскадрона всадников и до батальона пехоты противника.</w:t>
      </w:r>
    </w:p>
    <w:p w14:paraId="6BFB7347"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двадцатых числах февраля на одном из участков фронта Южного направления немецкое командование подтянуло из резервов свежие румынские и немецкие части и бросило их в контратаку против наших войск. Произведя перегруппировку сил, наши войска стремительными фланговыми контрударами обрушились на наступавшие румыно-немецкие части, смяли их и вынудили к поспешному и беспорядочному отходу. В этих боях наголову разгромлена 1 пехотная дивизия румын, нанесено тяжёлое поражение 113 немецкой пехотной дивизии. Противник оставил на поле боя около 7.500 убитых. Наши войска захватили: 30 орудий, 35 миномётов, 638 винтовок. 10 пулемётов, 36 автомашин, 70.000 патронов и много другого военного имущества. Уничтожено 27 немецких орудий и 40 миномётов. Захвачены пленные.</w:t>
      </w:r>
    </w:p>
    <w:p w14:paraId="28824C20"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одной нашей части, действующей на Западном фронте, преодолевая сильное огневое сопротивление противника, заняли важный оборонительный рубеж Н. В результате боя захвачено одно орудие, 3 пулемёта, 4 ящика мин, 200 снарядов, много патронов и нанесён серьёзный урон живой силе противника. На другом участке часть под командованием тов. Иовлева захватила 3 немецких орудия, 4 пулемёта и большое количество мин.</w:t>
      </w:r>
    </w:p>
    <w:p w14:paraId="29AF3FAB"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два дня боёв наши части, действующие на отдельных участках Ленинградского фронта, продолжая продвигаться вперёд, захватили у немцев 64 орудия разных калибров, 24 пулемёта, 7 миномётов, много винтовок и автоматов, 26.000 винтовочных патронов, свыше 1.000 ручных гранат и другое военное снаряжение и имущество. На поле боя враг оставил до 700 трупов солдат и офицеров.</w:t>
      </w:r>
    </w:p>
    <w:p w14:paraId="432A4702"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в количестве 15 человек, возглавляемая политруком тов. Титаренко (Юго-Западный фронт), встретилась с отрядом противника, насчитывавшим 200 человек. Гитлеровцы пытались окружить красноармейцев. Наши бойцы, подпустив немцев на близкое расстояние, забросали их гранатами, а затем перешли в штыковую атаку. В результате смелых действий 15 храбрецов уничтожили более 100 гитлеровцев.</w:t>
      </w:r>
    </w:p>
    <w:p w14:paraId="47F2E0EE"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фельдфебель 2 немецкой учебной роты Гюнтер Либельт сообщил: «Немецкое командование собрало в Днепропетровске 800 выздоравливающих больных и раненых солдат и направило их в Лозовую, где должен был формироваться новый полк. Я тоже попал в этот эшелон. Добраться до Лозовой нам не удалось, так как туда уже вступили русские войска. Перед нами встал вопрос что делать дальше? Среди солдат начался разброд. Многие разошлись, дезертировали, а остальные, в том числе и я, решили сдаться в плен».</w:t>
      </w:r>
    </w:p>
    <w:p w14:paraId="4BABF60F"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2 роты 5 егерского полка 1 румынской пехотной дивизии Писат Семен рассказал: «В последнее время питание резко ухудшилось. Норму хлеба уменьшили наполовину. Солдат получает хлеб сразу на три дня, но съедает его за один день, а потом голодает. В нашей роте было 4 случая умышленного членовредительства. Недавно нам зачитали приказ, в котором говорилось, что из полка дезертировало 80 солдат».</w:t>
      </w:r>
    </w:p>
    <w:p w14:paraId="1F0B70FF"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Кривцова, Курской области, гитлеровские бандиты сожгли 75 домов, ограбили и убили 60 колхозников.</w:t>
      </w:r>
    </w:p>
    <w:p w14:paraId="14FAAE6C"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Ценный подарок к XXIV годовщине Красной Армии подготовили колхозники Сузакского, Ленинского и Октябрьского районов, Джалал-Абадской области. Они сдали в воинскую часть 70 коней с полным кавалерийским снаряжением.» (15053).</w:t>
      </w:r>
    </w:p>
    <w:p w14:paraId="70021928" w14:textId="77777777" w:rsidR="00271F00" w:rsidRPr="008127F8" w:rsidRDefault="00271F00" w:rsidP="001E0A84">
      <w:pPr>
        <w:spacing w:after="0" w:line="240" w:lineRule="auto"/>
        <w:jc w:val="both"/>
        <w:rPr>
          <w:rFonts w:ascii="Times New Roman" w:hAnsi="Times New Roman"/>
          <w:color w:val="000000" w:themeColor="text1"/>
          <w:sz w:val="16"/>
          <w:szCs w:val="16"/>
        </w:rPr>
      </w:pPr>
    </w:p>
    <w:p w14:paraId="1B8C0F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вышло Постановление ГКО № 1353 О сформировании авиационной группы резерва Ставки Верховного Главного Командования. РГАНИР, Фонд ГКО, д. 22, лл. 42-43 (11012).</w:t>
      </w:r>
    </w:p>
    <w:p w14:paraId="6728CD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1C8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вышло ПОСТАНОВЛЕНИЕ № ГКО-1353сс</w:t>
      </w:r>
    </w:p>
    <w:p w14:paraId="1380C1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4D8C0E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сформировании авиационной группы резерва Ставки Верховного Главного Командования</w:t>
      </w:r>
    </w:p>
    <w:p w14:paraId="1125D2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выполнения заданий Ставки Верховного Главного Командования по борьбе с морскими силами противника - Государственный Комитет Обороны постановляет: </w:t>
      </w:r>
    </w:p>
    <w:p w14:paraId="731A6B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ВВС КА т. Жигарева к 1 апреля 1942 года сформировать авиационную группу резерва Ставки Верховного Главного Командования в составе: </w:t>
      </w:r>
    </w:p>
    <w:p w14:paraId="57A941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авиаполка истребителей - Як-1; </w:t>
      </w:r>
    </w:p>
    <w:p w14:paraId="134940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авиаполка истребителей - Лагг-3; </w:t>
      </w:r>
    </w:p>
    <w:p w14:paraId="7C3B25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авиаполка пикирующих бомбардировщиков Пе-2; </w:t>
      </w:r>
    </w:p>
    <w:p w14:paraId="041659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авиаполка торпедоносцев ДБ-3фт. </w:t>
      </w:r>
    </w:p>
    <w:p w14:paraId="68726E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Авиационную группу дислоцировать на территории Ленинградского фронта. </w:t>
      </w:r>
    </w:p>
    <w:p w14:paraId="0911F9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НКВМФ т. Кузнецова сформировать для авиагруппы резерва Ставки Верховного Главного Командования к 1 апреля 1942 года: </w:t>
      </w:r>
    </w:p>
    <w:p w14:paraId="11AA12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авиаполка пикирующих бомбардировщиков по 20 самолетов Пе-2 в каждом; </w:t>
      </w:r>
    </w:p>
    <w:p w14:paraId="44A04C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авиаполк истребителей - 20 самолетов Як-1; </w:t>
      </w:r>
    </w:p>
    <w:p w14:paraId="549208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авиаполк истребителей - 20 самолетов Лагг-3. </w:t>
      </w:r>
    </w:p>
    <w:p w14:paraId="015754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К 1 мая 1942 года: </w:t>
      </w:r>
    </w:p>
    <w:p w14:paraId="0E3FDA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авиаполка торпедоносцев по 20 самолетов ДБ-3фт. </w:t>
      </w:r>
    </w:p>
    <w:p w14:paraId="42A782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Обязать ВВС КА т. Жигарева: </w:t>
      </w:r>
    </w:p>
    <w:p w14:paraId="2F3571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На укомплектование формируемых т. Кузнецовым авиаполков к 1 апреля 1942 г. передать из числа поступления от промышленности Пе-2 - 40 самолетов, Як-1 - 20 самолетов, Лагг-3 - 20 самолетов, ДБ-3фт - 40 самолетов с завода 126; </w:t>
      </w:r>
    </w:p>
    <w:p w14:paraId="30622A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выделить для авиагруппы из числа подготовленных в запасных авиаполках ВВС Красной Армии один авиаполк пикирующих бомбардировщиков и четыре авиаполка истребителей по 20 самолетов в каждом; </w:t>
      </w:r>
    </w:p>
    <w:p w14:paraId="410A66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 укомплектование авиаполков ВВС Балтийского Флота передать в распоряжение НКВМФ т. Кузнецова из частей авиации Главного Командования 18 самолетов ДБ-3ф и из поступлений от промышленности - 32 самолета Пе-2 и 32 самолета - Як-1 в марте 1942 года; </w:t>
      </w:r>
    </w:p>
    <w:p w14:paraId="46FD2C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К 1 апреля 1942 года сформировать и укомплектовать личным составом Штаб авиагруппы резерва Ставки Верховного Главного Командования. </w:t>
      </w:r>
    </w:p>
    <w:p w14:paraId="798EBD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НКАП т. Шахурина к 1 апреля с.г. оборудовать самолеты ДБ-3ф торпедоносных авиаполков торпедо и минодержателями (Т-18 и МД-39). </w:t>
      </w:r>
    </w:p>
    <w:p w14:paraId="7414DA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5F0ACB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Маленкову, Жигареву, Кузнецову (НКВМФ), Шапошникову, Шахурину (11434).</w:t>
      </w:r>
    </w:p>
    <w:p w14:paraId="3C2714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5B6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один ДБ-3Ф поставил 1 мину на выходе из Бек-фьорда; 1 марта один ДБ-3Ф - 1 мину в проливе Бессесунд; 29 марта один Ил-4 - I мину в проливе Магерейсунд; 1 июня один Ил-4 - 1 мину у Петсамо; 15 июня пять Ил-4 - 5 мин АМГ-1 в проливе Брейсунд. Каких-либо достоверно подтвержденных потерь противник на этих заграждениях не понес, поэтому в 1943 г. было выставлено только две мины (2867,31). За 1942 г. авиация флота выставила всего 18 мин. Причем, были осуществлены лишь две групповые постановки, в которых задействовались 5 и 3 самолета соответственно, в остальных случаях действовали одиночные машины (2867,31).</w:t>
      </w:r>
    </w:p>
    <w:p w14:paraId="076F01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07762"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Рано утром 27 февраля 1942 г. три пары электротанкеток Казанцева ЭТ-1-627 в ходе боевых действий на Крымском полуос</w:t>
      </w:r>
      <w:r w:rsidRPr="008127F8">
        <w:rPr>
          <w:rFonts w:ascii="Times New Roman" w:hAnsi="Times New Roman"/>
          <w:noProof/>
          <w:color w:val="000000" w:themeColor="text1"/>
          <w:sz w:val="16"/>
          <w:szCs w:val="16"/>
        </w:rPr>
        <w:softHyphen/>
        <w:t>трове в целом успешно были использованы для уничтоже</w:t>
      </w:r>
      <w:r w:rsidRPr="008127F8">
        <w:rPr>
          <w:rFonts w:ascii="Times New Roman" w:hAnsi="Times New Roman"/>
          <w:noProof/>
          <w:color w:val="000000" w:themeColor="text1"/>
          <w:sz w:val="16"/>
          <w:szCs w:val="16"/>
        </w:rPr>
        <w:softHyphen/>
        <w:t>ния долговременных огневых сооружений немецко-фашистских войск, осаждавших Севастополь [10]. Кроме того, в ходе боев элекгротанкетками было уничтожено несколько немецких танков. Заместитель командующего Севастопольс</w:t>
      </w:r>
      <w:r w:rsidRPr="008127F8">
        <w:rPr>
          <w:rFonts w:ascii="Times New Roman" w:hAnsi="Times New Roman"/>
          <w:noProof/>
          <w:color w:val="000000" w:themeColor="text1"/>
          <w:sz w:val="16"/>
          <w:szCs w:val="16"/>
        </w:rPr>
        <w:softHyphen/>
        <w:t>кого оборонительного района по инженерному оборудованию — начальник инженерных войск комбриг А.Ф. Хренов заказал в наркомате партию. Из достав</w:t>
      </w:r>
      <w:r w:rsidRPr="008127F8">
        <w:rPr>
          <w:rFonts w:ascii="Times New Roman" w:hAnsi="Times New Roman"/>
          <w:noProof/>
          <w:color w:val="000000" w:themeColor="text1"/>
          <w:sz w:val="16"/>
          <w:szCs w:val="16"/>
        </w:rPr>
        <w:softHyphen/>
        <w:t>ленной партии шесть штук остались в Севастопо</w:t>
      </w:r>
      <w:r w:rsidRPr="008127F8">
        <w:rPr>
          <w:rFonts w:ascii="Times New Roman" w:hAnsi="Times New Roman"/>
          <w:noProof/>
          <w:color w:val="000000" w:themeColor="text1"/>
          <w:sz w:val="16"/>
          <w:szCs w:val="16"/>
        </w:rPr>
        <w:softHyphen/>
        <w:t>ле, а остальные были направлены в Симферополь. За</w:t>
      </w:r>
      <w:r w:rsidRPr="008127F8">
        <w:rPr>
          <w:rFonts w:ascii="Times New Roman" w:hAnsi="Times New Roman"/>
          <w:noProof/>
          <w:color w:val="000000" w:themeColor="text1"/>
          <w:sz w:val="16"/>
          <w:szCs w:val="16"/>
        </w:rPr>
        <w:softHyphen/>
        <w:t>тем ЭТ-1 -627 применили на Волховском фронте в ходе прорыва блокады Ленинграда. На их шасси также выпускали самоходные макеты танков для подготовки противотанкистов [11].</w:t>
      </w:r>
    </w:p>
    <w:p w14:paraId="4F10B827"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Несмотря на факты успешных действий су</w:t>
      </w:r>
      <w:r w:rsidRPr="008127F8">
        <w:rPr>
          <w:rFonts w:ascii="Times New Roman" w:hAnsi="Times New Roman"/>
          <w:noProof/>
          <w:color w:val="000000" w:themeColor="text1"/>
          <w:sz w:val="16"/>
          <w:szCs w:val="16"/>
        </w:rPr>
        <w:softHyphen/>
        <w:t>хопутных торпед (а фактически — дистанцион- но-управляемых машин), все же использование этих машин не было массовым. В целом, их даль</w:t>
      </w:r>
      <w:r w:rsidRPr="008127F8">
        <w:rPr>
          <w:rFonts w:ascii="Times New Roman" w:hAnsi="Times New Roman"/>
          <w:noProof/>
          <w:color w:val="000000" w:themeColor="text1"/>
          <w:sz w:val="16"/>
          <w:szCs w:val="16"/>
        </w:rPr>
        <w:softHyphen/>
        <w:t>нейшему развитию препятствовали:</w:t>
      </w:r>
    </w:p>
    <w:p w14:paraId="4F7589EE" w14:textId="77777777" w:rsidR="007E67CF" w:rsidRPr="008127F8" w:rsidRDefault="007E67CF" w:rsidP="001E0A84">
      <w:pPr>
        <w:tabs>
          <w:tab w:val="left" w:pos="409"/>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-сложность точного наведения на цель су</w:t>
      </w:r>
      <w:r w:rsidRPr="008127F8">
        <w:rPr>
          <w:rFonts w:ascii="Times New Roman" w:hAnsi="Times New Roman"/>
          <w:noProof/>
          <w:color w:val="000000" w:themeColor="text1"/>
          <w:sz w:val="16"/>
          <w:szCs w:val="16"/>
        </w:rPr>
        <w:softHyphen/>
        <w:t>хопутной торпеды в условиях лесистой, сильно пересеченной и болотистой местности;</w:t>
      </w:r>
    </w:p>
    <w:p w14:paraId="6B396087" w14:textId="77777777" w:rsidR="007E67CF" w:rsidRPr="008127F8" w:rsidRDefault="007E67CF" w:rsidP="001E0A84">
      <w:pPr>
        <w:tabs>
          <w:tab w:val="left" w:pos="433"/>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-необходимость управления машиной с расстояния не более 400—500 м при условии ее хорошей видимости;</w:t>
      </w:r>
    </w:p>
    <w:p w14:paraId="1338F88E" w14:textId="77777777" w:rsidR="007E67CF" w:rsidRPr="008127F8" w:rsidRDefault="007E67CF" w:rsidP="001E0A84">
      <w:pPr>
        <w:tabs>
          <w:tab w:val="left" w:pos="390"/>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-зависимость успешного выполнения зада</w:t>
      </w:r>
      <w:r w:rsidRPr="008127F8">
        <w:rPr>
          <w:rFonts w:ascii="Times New Roman" w:hAnsi="Times New Roman"/>
          <w:noProof/>
          <w:color w:val="000000" w:themeColor="text1"/>
          <w:sz w:val="16"/>
          <w:szCs w:val="16"/>
        </w:rPr>
        <w:softHyphen/>
        <w:t>чи от условий видимости целей (ночь, туман, задымление, снегопад и т.п.);</w:t>
      </w:r>
    </w:p>
    <w:p w14:paraId="0BA42D71" w14:textId="77777777" w:rsidR="007E67CF" w:rsidRPr="008127F8" w:rsidRDefault="007E67CF" w:rsidP="001E0A84">
      <w:pPr>
        <w:tabs>
          <w:tab w:val="left" w:pos="424"/>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-значительные габариты сухопутной торпеды (габариты Т-26 без башни или танкетки), делавшие ее заметной целью;</w:t>
      </w:r>
    </w:p>
    <w:p w14:paraId="346FF0F6" w14:textId="77777777" w:rsidR="007E67CF" w:rsidRPr="008127F8" w:rsidRDefault="007E67CF" w:rsidP="001E0A84">
      <w:pPr>
        <w:tabs>
          <w:tab w:val="left" w:pos="424"/>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-пониженная маневренность машин группы «Подрывник», значительно усту</w:t>
      </w:r>
      <w:r w:rsidRPr="008127F8">
        <w:rPr>
          <w:rFonts w:ascii="Times New Roman" w:hAnsi="Times New Roman"/>
          <w:noProof/>
          <w:color w:val="000000" w:themeColor="text1"/>
          <w:sz w:val="16"/>
          <w:szCs w:val="16"/>
        </w:rPr>
        <w:softHyphen/>
        <w:t>пающая маневренности серийных танков Т-26;</w:t>
      </w:r>
    </w:p>
    <w:p w14:paraId="457BEDF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-недостаточный уровень защищенно</w:t>
      </w:r>
      <w:r w:rsidRPr="008127F8">
        <w:rPr>
          <w:rFonts w:ascii="Times New Roman" w:hAnsi="Times New Roman"/>
          <w:noProof/>
          <w:color w:val="000000" w:themeColor="text1"/>
          <w:sz w:val="16"/>
          <w:szCs w:val="16"/>
        </w:rPr>
        <w:softHyphen/>
        <w:t>сти сухопутной торпеды и уязвимость ис</w:t>
      </w:r>
      <w:r w:rsidRPr="008127F8">
        <w:rPr>
          <w:rFonts w:ascii="Times New Roman" w:hAnsi="Times New Roman"/>
          <w:noProof/>
          <w:color w:val="000000" w:themeColor="text1"/>
          <w:sz w:val="16"/>
          <w:szCs w:val="16"/>
        </w:rPr>
        <w:softHyphen/>
        <w:t>пользуемого в ней движителя;</w:t>
      </w:r>
    </w:p>
    <w:p w14:paraId="3E646249" w14:textId="77777777" w:rsidR="007E67CF" w:rsidRPr="008127F8" w:rsidRDefault="007E67CF" w:rsidP="001E0A84">
      <w:pPr>
        <w:tabs>
          <w:tab w:val="left" w:pos="424"/>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-проблематичность установки на из</w:t>
      </w:r>
      <w:r w:rsidRPr="008127F8">
        <w:rPr>
          <w:rFonts w:ascii="Times New Roman" w:hAnsi="Times New Roman"/>
          <w:noProof/>
          <w:color w:val="000000" w:themeColor="text1"/>
          <w:sz w:val="16"/>
          <w:szCs w:val="16"/>
        </w:rPr>
        <w:softHyphen/>
        <w:t>делие артиллерийского вооружения,что потребовало бы применения автомата заряжания;</w:t>
      </w:r>
    </w:p>
    <w:p w14:paraId="2C1B70A6" w14:textId="77777777" w:rsidR="007E67CF" w:rsidRPr="008127F8" w:rsidRDefault="007E67CF" w:rsidP="001E0A84">
      <w:pPr>
        <w:tabs>
          <w:tab w:val="left" w:pos="453"/>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-несовершенство применяемых в трансмиссияхтанков и танкеток простых механических коробок передач (без син</w:t>
      </w:r>
      <w:r w:rsidRPr="008127F8">
        <w:rPr>
          <w:rFonts w:ascii="Times New Roman" w:hAnsi="Times New Roman"/>
          <w:noProof/>
          <w:color w:val="000000" w:themeColor="text1"/>
          <w:sz w:val="16"/>
          <w:szCs w:val="16"/>
        </w:rPr>
        <w:softHyphen/>
        <w:t>хронизаторов и бортовых фрикционов</w:t>
      </w:r>
    </w:p>
    <w:p w14:paraId="33BD59E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сухого трения, не допускавших длительных пробуксовок);</w:t>
      </w:r>
    </w:p>
    <w:p w14:paraId="022E1B2E" w14:textId="77777777" w:rsidR="007E67CF" w:rsidRPr="008127F8" w:rsidRDefault="007E67CF" w:rsidP="001E0A84">
      <w:pPr>
        <w:tabs>
          <w:tab w:val="left" w:pos="429"/>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-отсутствие приборов дистанционного на</w:t>
      </w:r>
      <w:r w:rsidRPr="008127F8">
        <w:rPr>
          <w:rFonts w:ascii="Times New Roman" w:hAnsi="Times New Roman"/>
          <w:noProof/>
          <w:color w:val="000000" w:themeColor="text1"/>
          <w:sz w:val="16"/>
          <w:szCs w:val="16"/>
        </w:rPr>
        <w:softHyphen/>
        <w:t>блюдения на торпеде для ориентирования опе</w:t>
      </w:r>
      <w:r w:rsidRPr="008127F8">
        <w:rPr>
          <w:rFonts w:ascii="Times New Roman" w:hAnsi="Times New Roman"/>
          <w:noProof/>
          <w:color w:val="000000" w:themeColor="text1"/>
          <w:sz w:val="16"/>
          <w:szCs w:val="16"/>
        </w:rPr>
        <w:softHyphen/>
        <w:t>ратора командной машины в пути следования, требовавшее предварительной разведки трас</w:t>
      </w:r>
      <w:r w:rsidRPr="008127F8">
        <w:rPr>
          <w:rFonts w:ascii="Times New Roman" w:hAnsi="Times New Roman"/>
          <w:noProof/>
          <w:color w:val="000000" w:themeColor="text1"/>
          <w:sz w:val="16"/>
          <w:szCs w:val="16"/>
        </w:rPr>
        <w:softHyphen/>
        <w:t>сы движения;</w:t>
      </w:r>
    </w:p>
    <w:p w14:paraId="3DD572A7" w14:textId="77777777" w:rsidR="007E67CF" w:rsidRPr="008127F8" w:rsidRDefault="007E67CF" w:rsidP="001E0A84">
      <w:pPr>
        <w:tabs>
          <w:tab w:val="left" w:pos="429"/>
        </w:tabs>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-недостаточная подготовка личного соста</w:t>
      </w:r>
      <w:r w:rsidRPr="008127F8">
        <w:rPr>
          <w:rFonts w:ascii="Times New Roman" w:hAnsi="Times New Roman"/>
          <w:noProof/>
          <w:color w:val="000000" w:themeColor="text1"/>
          <w:sz w:val="16"/>
          <w:szCs w:val="16"/>
        </w:rPr>
        <w:softHyphen/>
        <w:t>ва, отсутствие отработанной в боевых условиях тактики и приемов применения</w:t>
      </w:r>
      <w:r w:rsidRPr="008127F8">
        <w:rPr>
          <w:rFonts w:ascii="Times New Roman" w:hAnsi="Times New Roman"/>
          <w:color w:val="000000" w:themeColor="text1"/>
          <w:sz w:val="16"/>
          <w:szCs w:val="16"/>
        </w:rPr>
        <w:t xml:space="preserve"> (12082)</w:t>
      </w:r>
      <w:r w:rsidRPr="008127F8">
        <w:rPr>
          <w:rFonts w:ascii="Times New Roman" w:hAnsi="Times New Roman"/>
          <w:noProof/>
          <w:color w:val="000000" w:themeColor="text1"/>
          <w:sz w:val="16"/>
          <w:szCs w:val="16"/>
        </w:rPr>
        <w:t>.</w:t>
      </w:r>
    </w:p>
    <w:p w14:paraId="409C3A53"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447661D6"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 в боях за Севастополь состоялось первое и, возможно, известно, единственное применение советских телетанков. Это были старые машины типа Т-27, выведенные к тому времени из состава боевых частей и остававшиеся только в учебных подразделениях. Вооружение с танкеток сняли, а взамен поместили мощный заряд тротила. Управлялись танкетки по проводам. Аппаратура дистанционного управления была создана в Москве на заводе № 627 Наркомата электротехнической промышленности под руководством военного инженера 3-го ранга А.П. Казанцева. Позже Казанцев стал известным писателем-фантастом. В Крым было доставлено шесть таких танкеток. В ночь на 27 февраля танкетки были доставлены на позиции в 1 км севернее Любимовки. В 6 ч. 30 мин. танкетки выпустили на немецкие позиции. Две танкетки взорвались на вражеских позициях, еще две взорваны до подхода к цели и две уничтожены артиллерийским огнем немцев.</w:t>
      </w:r>
    </w:p>
    <w:p w14:paraId="0C9426DC" w14:textId="77777777" w:rsidR="00271F00" w:rsidRPr="008127F8" w:rsidRDefault="00271F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Неудачи с использованием телетанков в Великой Отечественной войне ничему не научили руководство ГБТУ, и сразу же после войны начались опыты, но на этот раз с новым танком Т-34—85. Действовали по примеру квартета дедушки Крылова. Мол, порочна не сама идея, а детали. Мол, раньше телетанки были плохи из-за тонкой брони, низкой проходимости, а также «слепоты», то есть оператор не мог видеть препятствий непосредственно перед танком. А сейчас «крепка броня, и танки наши» маневренны, да и в 1947 г. на Т-34—85 поставили телекамеру. Новый телетанк предназначался для использования в качестве танков-снарядов (для подрыва важных объектов и укреплений); разведки огневых средств противника путем вызова на себя огня противника; проделывания проходов в минных полях; разведки и действий на местности, зараженной отравляющими веществами. За отсутствием лучшего на огнеметный танк ОТ-34—85 на полигоне НИИБТ поставили телевизионную камеру ТОС-8 выпуска 1938 г. Приемники ТОС-8 были установлены на танке управления Т-26—2. Этот танк был создан на базе Т-26 выпуска 1939 г. и отличался от него тем, что не имел башни, и подвеска у него была заменена на подвеску типа 3-ПА (фирмы «Шкода»). Оператор мог отдавать телетанку 7 команд на расстоянии до 5 км в условиях прямой видимости: пуск двигателя; включение и переключение передач; торможение и остановка танка; крутые повороты танка вправо-влево; плавные повороты танка вправо-влево; повороты башни вправо-влево; огнеметание. В носу телетанка имелись проушины для крепления трала для траления мин. Скорость подачи команд была рассчитана так, что телетанк в течение одной минуты мог выполнить 8 операций по переключению передач и 16 команд поворота. Пуск огневой струи производился при помощи выстрелов специальными патронами, которые закладывались в магазин. Количество выстрелов без перезарядки зависело от емкости магазина. Обычно магазин был рассчитан на 4 выстрела. В ходе испытаний телетанк ОТ-34—85 прошел свыше 20 км. Но вскоре выяснилось, что дедушка Крылов прав: «А вы, друзья, как ни садитесь, всё в музыканты не годитесь» (15117).</w:t>
      </w:r>
    </w:p>
    <w:p w14:paraId="2AA390C7" w14:textId="77777777" w:rsidR="00271F00" w:rsidRPr="008127F8" w:rsidRDefault="00271F00" w:rsidP="001E0A84">
      <w:pPr>
        <w:spacing w:after="0" w:line="240" w:lineRule="auto"/>
        <w:jc w:val="both"/>
        <w:rPr>
          <w:rFonts w:ascii="Times New Roman" w:hAnsi="Times New Roman"/>
          <w:color w:val="000000" w:themeColor="text1"/>
          <w:sz w:val="16"/>
          <w:szCs w:val="16"/>
        </w:rPr>
      </w:pPr>
    </w:p>
    <w:p w14:paraId="5FF5E76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7BA39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83A04"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года состоялся первый полет Blackburn Firebrand (20793).</w:t>
      </w:r>
    </w:p>
    <w:p w14:paraId="1BA65FAE"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58B160D7" w14:textId="7B0EC2A8"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Первый полет палубного истребителя-торпедоносца Blackburn Firebrand</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под управлением флайт-лейтенанта Артура Томпсона, главный конструктор</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Джордж Петти.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Это был огромный самолет с размахом крыла более пятнадцати метров, вооруженный четырьмя пушками. По габаритам самолетище превзошло не только все тогдашние палубные истребители, но и бомбардировщики и торпедоносцы. Аппарат снабдили двадцатичетырехцилиндровым Н-образнм двигателем Sabre III с жидкостным охлаждением фирмы Napier мощностью 2305 л.с. Построено 223 самолета (22584).</w:t>
      </w:r>
    </w:p>
    <w:p w14:paraId="27DCEEA6"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6BDB3C67"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года в Argus приехал инженер Роберт Луссер из фирмы Fieseler, для решения проблем с поставкой двигателей к своему самолету Fi.156 Storch. Глоссау предложил ему принять участие в разработке интересного проекта и показал эскиз простенького самолета с двумя ПуВРД под крылом. Опытный Луссер тут же нарисовал свой эскиз летательного аппарата с одним двигателем, расположенным над фюзеляжем, и двухкилевым хвостовым оперением. Так родился проект первой крылатой ракеты (22878).</w:t>
      </w:r>
    </w:p>
    <w:p w14:paraId="54A92F08"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3E4A09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британские командос напали на немецкую РЛС на французском побережье (2100).</w:t>
      </w:r>
    </w:p>
    <w:p w14:paraId="3968F0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FCB3F" w14:textId="77777777" w:rsidR="00810F44" w:rsidRPr="008127F8" w:rsidRDefault="00810F4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12 "Уитли" 51-й эскадрильи использовали в операции "Битинг". Команда парашютистов из-под носа у немцев утащила секретный радиолокатор "Вюрцбург", стоявший во французском местечке Брюневаль на французском побережье недалеко от Гавра. "Уитли" использовались и двумя эскадрильями специального назначения, 138-й и 161-й, для выброски агентов над оккупированной территорией. "Уитли" B.Mk.V - модернизированный. Отличался двигателями "Мерлин" Mk.X с реактивными выхлопными патрубками, формой килей, хвостовой турелью "Нэш-Томпсон" с 4 пулемётами "Браунинг", удлинённой хвостовой частью фюзеляжа (за стабилизатором), пневматическими антиобледенителями BTR на передней кромке крыла и вертикального оперения, антенной радиополукомпаса в каплевидном обтекателе. С августа 1939 по июнь 1943 года изготовлено 1466 самолётов (15053).</w:t>
      </w:r>
    </w:p>
    <w:p w14:paraId="03B4F367" w14:textId="77777777" w:rsidR="00810F44" w:rsidRPr="008127F8" w:rsidRDefault="00810F44" w:rsidP="001E0A84">
      <w:pPr>
        <w:spacing w:after="0" w:line="240" w:lineRule="auto"/>
        <w:jc w:val="both"/>
        <w:rPr>
          <w:rFonts w:ascii="Times New Roman" w:hAnsi="Times New Roman"/>
          <w:color w:val="000000" w:themeColor="text1"/>
          <w:sz w:val="16"/>
          <w:szCs w:val="16"/>
        </w:rPr>
      </w:pPr>
    </w:p>
    <w:p w14:paraId="104E65AF" w14:textId="652A8931"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февраля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2 "Уитли" 51-й эскадрильи RAF использовали в операции "Битинг". Команда парашютистов из-под носа у немцев утащила секретный радиолокатор "Вюрцбург", стоявший во французском местечке Брюневаль на французском побережье недалеко от Гавра. "Уитли" использовались и двумя эскадрильями специального назначения, 138-й и 161-й, для выброски агентов над оккупированной территорией (22584).</w:t>
      </w:r>
    </w:p>
    <w:p w14:paraId="2A9FAE89"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7B48420D"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27-го февраля 1942-го года первый экипаж и самолет для рейса Дулитла прибыли на авиабазу Эглин Филд, штат Флорида. Первым делом все самолеты начали дорабатывать для условий предстоящей операции. Так как лететь тре</w:t>
      </w:r>
      <w:r w:rsidRPr="008A2E5A">
        <w:rPr>
          <w:rFonts w:ascii="Times New Roman" w:hAnsi="Times New Roman"/>
          <w:color w:val="0070C0"/>
          <w:sz w:val="16"/>
          <w:szCs w:val="16"/>
        </w:rPr>
        <w:softHyphen/>
        <w:t>бовалось очень далеко, то на самолетах установили по три дополнительных топливных бака. Один резиновый бак емкостью 225 галлонов (852 литра) установили в бомбовом отсеке. Второй резиновый бак емкостью 160 галлонов (606 литров) установили в туннеле, соединя</w:t>
      </w:r>
      <w:r w:rsidRPr="008A2E5A">
        <w:rPr>
          <w:rFonts w:ascii="Times New Roman" w:hAnsi="Times New Roman"/>
          <w:color w:val="0070C0"/>
          <w:sz w:val="16"/>
          <w:szCs w:val="16"/>
        </w:rPr>
        <w:softHyphen/>
        <w:t>ющим переднюю кабину пилотов с хвостовым отсеком. После того как топливо в этом баке вырабатывалось бак складывался, позволяя таким образом экипажу переби</w:t>
      </w:r>
      <w:r w:rsidRPr="008A2E5A">
        <w:rPr>
          <w:rFonts w:ascii="Times New Roman" w:hAnsi="Times New Roman"/>
          <w:color w:val="0070C0"/>
          <w:sz w:val="16"/>
          <w:szCs w:val="16"/>
        </w:rPr>
        <w:softHyphen/>
        <w:t>раться из одной кабины в другую. Третий бак емкостью 60 галлонов (227 литров) был установлен на месте под</w:t>
      </w:r>
      <w:r w:rsidRPr="008A2E5A">
        <w:rPr>
          <w:rFonts w:ascii="Times New Roman" w:hAnsi="Times New Roman"/>
          <w:color w:val="0070C0"/>
          <w:sz w:val="16"/>
          <w:szCs w:val="16"/>
        </w:rPr>
        <w:softHyphen/>
        <w:t>фюзеляжной дистанционно управляемой турели, которую сняли. Этот бак был обычным металлическим резервуа</w:t>
      </w:r>
      <w:r w:rsidRPr="008A2E5A">
        <w:rPr>
          <w:rFonts w:ascii="Times New Roman" w:hAnsi="Times New Roman"/>
          <w:color w:val="0070C0"/>
          <w:sz w:val="16"/>
          <w:szCs w:val="16"/>
        </w:rPr>
        <w:softHyphen/>
        <w:t>ром с заливной горловиной. В хвостовом отсеке также установили по десять канистр с топливом емкостью 5 галлонов (19 литров). Топливо во время полета из этих канистр заливали в этот третий бак, по мере того как в нем вырабатывалось топливо. Сами пустые канистры во время операции выбрасывали в море, предварительно их пробивали ножом, чтобы они утонули. Таким образом, вместе с 646 галлонами топлива в основных крыльевых баках запас топлива у каждого самолета составлял 1141 галлона (4320 литров). По расчетам этого было доста</w:t>
      </w:r>
      <w:r w:rsidRPr="008A2E5A">
        <w:rPr>
          <w:rFonts w:ascii="Times New Roman" w:hAnsi="Times New Roman"/>
          <w:color w:val="0070C0"/>
          <w:sz w:val="16"/>
          <w:szCs w:val="16"/>
        </w:rPr>
        <w:softHyphen/>
        <w:t xml:space="preserve">точно для </w:t>
      </w:r>
      <w:proofErr w:type="gramStart"/>
      <w:r w:rsidRPr="008A2E5A">
        <w:rPr>
          <w:rFonts w:ascii="Times New Roman" w:hAnsi="Times New Roman"/>
          <w:color w:val="0070C0"/>
          <w:sz w:val="16"/>
          <w:szCs w:val="16"/>
        </w:rPr>
        <w:t>того</w:t>
      </w:r>
      <w:proofErr w:type="gramEnd"/>
      <w:r w:rsidRPr="008A2E5A">
        <w:rPr>
          <w:rFonts w:ascii="Times New Roman" w:hAnsi="Times New Roman"/>
          <w:color w:val="0070C0"/>
          <w:sz w:val="16"/>
          <w:szCs w:val="16"/>
        </w:rPr>
        <w:t xml:space="preserve"> чтобы взлететь с авианосца на расстоянии пятьсот морских миль от цели и, отбомбившись, долететь до ближайших аэродромов в Китае.</w:t>
      </w:r>
    </w:p>
    <w:p w14:paraId="1E1AED60"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первых же испытаний выяснилось, что у всех самолетов был разный расход топлива. Соответственно получалась разная дальность полета. Были вызваны специалисты, которые проверили и отрегулировали кар</w:t>
      </w:r>
      <w:r w:rsidRPr="008A2E5A">
        <w:rPr>
          <w:rFonts w:ascii="Times New Roman" w:hAnsi="Times New Roman"/>
          <w:color w:val="0070C0"/>
          <w:sz w:val="16"/>
          <w:szCs w:val="16"/>
        </w:rPr>
        <w:softHyphen/>
        <w:t>бюраторы на двигателях всех B-25. Также были даны рекомендации при каких оборотах и при каком давлении в коллекторе двигателя расход топлива будет минималь</w:t>
      </w:r>
      <w:r w:rsidRPr="008A2E5A">
        <w:rPr>
          <w:rFonts w:ascii="Times New Roman" w:hAnsi="Times New Roman"/>
          <w:color w:val="0070C0"/>
          <w:sz w:val="16"/>
          <w:szCs w:val="16"/>
        </w:rPr>
        <w:softHyphen/>
        <w:t>ным во время полета на низких высотах (так как большая часть полета во время миссии должна проходить на низ</w:t>
      </w:r>
      <w:r w:rsidRPr="008A2E5A">
        <w:rPr>
          <w:rFonts w:ascii="Times New Roman" w:hAnsi="Times New Roman"/>
          <w:color w:val="0070C0"/>
          <w:sz w:val="16"/>
          <w:szCs w:val="16"/>
        </w:rPr>
        <w:softHyphen/>
        <w:t>ких высотах).</w:t>
      </w:r>
    </w:p>
    <w:p w14:paraId="0A115112"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Были установлены резиновые накладки антиоблединителей на передних кромках крыла, стабилизаторе и вертикальном оперении. При нарастании льда на этих по</w:t>
      </w:r>
      <w:r w:rsidRPr="008A2E5A">
        <w:rPr>
          <w:rFonts w:ascii="Times New Roman" w:hAnsi="Times New Roman"/>
          <w:color w:val="0070C0"/>
          <w:sz w:val="16"/>
          <w:szCs w:val="16"/>
        </w:rPr>
        <w:softHyphen/>
        <w:t>верхностях резиновые накладки заполнялись воздухом и скалывали лед.</w:t>
      </w:r>
    </w:p>
    <w:p w14:paraId="555FE72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Оборонительное вооружение на B-25 модификации B состояло из верхней и подфюзеляжной турели, а также одного пулемета в кабине бомбардира. Подфюзеляжная дистанционно управляемая турель была малоэффективной и сложной в обращении. Поэтому ее сняли со всех само</w:t>
      </w:r>
      <w:r w:rsidRPr="008A2E5A">
        <w:rPr>
          <w:rFonts w:ascii="Times New Roman" w:hAnsi="Times New Roman"/>
          <w:color w:val="0070C0"/>
          <w:sz w:val="16"/>
          <w:szCs w:val="16"/>
        </w:rPr>
        <w:softHyphen/>
        <w:t>летов, а на ее месте, как упоминалось выше, поставили дополнительный топливный бак. Отверстие в фюзеляже на месте этой турели закрыли металлическим листом. В даль</w:t>
      </w:r>
      <w:r w:rsidRPr="008A2E5A">
        <w:rPr>
          <w:rFonts w:ascii="Times New Roman" w:hAnsi="Times New Roman"/>
          <w:color w:val="0070C0"/>
          <w:sz w:val="16"/>
          <w:szCs w:val="16"/>
        </w:rPr>
        <w:softHyphen/>
        <w:t>нейшем на B-25 следующих модификаций ее не ставили. Одна из проблем первых модификаций B-25 заключалась в том, что во время стрельбы из крупнокалиберных 12,7-мм пулеметов (50 калибра) верхней турели при опущенных к фюзеляжу стволах пулеметов, пороховые газы разрушали тонкую обшивку фюзеляжа. Поэтому за верхней турелью, на фюзеляж была приклепана металлическая пластина.</w:t>
      </w:r>
    </w:p>
    <w:p w14:paraId="5B344F5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носовом отсеке стоял один пулемет обычного вин</w:t>
      </w:r>
      <w:r w:rsidRPr="008A2E5A">
        <w:rPr>
          <w:rFonts w:ascii="Times New Roman" w:hAnsi="Times New Roman"/>
          <w:color w:val="0070C0"/>
          <w:sz w:val="16"/>
          <w:szCs w:val="16"/>
        </w:rPr>
        <w:softHyphen/>
        <w:t>товочного (30-го) калибра. Его можно было переставлять из одного яблочного шарнира в другой в зависимости от того, с какой стороны атаковал истребитель противника. Но во время боя на это требовалось много времени и пока бомбардир переставлял пулемет из одного яблочного шарнира в другой, атака истребителя заканчивалась. Так как пулемет 30-го калибра был малоэффективен в борьбе с истребителями противника, то его решили поменять на пулемет 50-го калибра. Однако этого не сделали, так как к началу операции не успели найти и установить крепления и яблочные шарниры для пулемета 50-го калибра.</w:t>
      </w:r>
    </w:p>
    <w:p w14:paraId="00D4739B"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Боекомплект всех пулеметов состоял из трассирующих, бронебойных и зажигательных патронов. Их группировали в ленту в соотношении один трассирующий, два бронебой</w:t>
      </w:r>
      <w:r w:rsidRPr="008A2E5A">
        <w:rPr>
          <w:rFonts w:ascii="Times New Roman" w:hAnsi="Times New Roman"/>
          <w:color w:val="0070C0"/>
          <w:sz w:val="16"/>
          <w:szCs w:val="16"/>
        </w:rPr>
        <w:softHyphen/>
        <w:t>ных и три зажигательных.</w:t>
      </w:r>
    </w:p>
    <w:p w14:paraId="7163C13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каждом самолете в хвостовом прозрачном блистере были установлены две деревянные палки, окрашенные в черный цвет, они призваны были имитировать пулеметы, которые должны были отпугивать истребители противника. Так же на этом блистере были нарисованы две вертикаль</w:t>
      </w:r>
      <w:r w:rsidRPr="008A2E5A">
        <w:rPr>
          <w:rFonts w:ascii="Times New Roman" w:hAnsi="Times New Roman"/>
          <w:color w:val="0070C0"/>
          <w:sz w:val="16"/>
          <w:szCs w:val="16"/>
        </w:rPr>
        <w:softHyphen/>
        <w:t>ные полосы черного цвета, имитирующие прорези для пе</w:t>
      </w:r>
      <w:r w:rsidRPr="008A2E5A">
        <w:rPr>
          <w:rFonts w:ascii="Times New Roman" w:hAnsi="Times New Roman"/>
          <w:color w:val="0070C0"/>
          <w:sz w:val="16"/>
          <w:szCs w:val="16"/>
        </w:rPr>
        <w:softHyphen/>
        <w:t>ремещения пулеметов.</w:t>
      </w:r>
    </w:p>
    <w:p w14:paraId="1AF87F3A"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как не была исключена возможность вынужден</w:t>
      </w:r>
      <w:r w:rsidRPr="008A2E5A">
        <w:rPr>
          <w:rFonts w:ascii="Times New Roman" w:hAnsi="Times New Roman"/>
          <w:color w:val="0070C0"/>
          <w:sz w:val="16"/>
          <w:szCs w:val="16"/>
        </w:rPr>
        <w:softHyphen/>
        <w:t xml:space="preserve">ной посадки в Японии или оккупированной части Китая, </w:t>
      </w:r>
      <w:proofErr w:type="gramStart"/>
      <w:r w:rsidRPr="008A2E5A">
        <w:rPr>
          <w:rFonts w:ascii="Times New Roman" w:hAnsi="Times New Roman"/>
          <w:color w:val="0070C0"/>
          <w:sz w:val="16"/>
          <w:szCs w:val="16"/>
        </w:rPr>
        <w:t>то</w:t>
      </w:r>
      <w:proofErr w:type="gramEnd"/>
      <w:r w:rsidRPr="008A2E5A">
        <w:rPr>
          <w:rFonts w:ascii="Times New Roman" w:hAnsi="Times New Roman"/>
          <w:color w:val="0070C0"/>
          <w:sz w:val="16"/>
          <w:szCs w:val="16"/>
        </w:rPr>
        <w:t xml:space="preserve"> чтобы избежать попадания в руки врага секретного бомбардировочного прицела «Норден», его сняли со всех бомбардировщиков и установили упрощенный прицел. А так как планировалось бомбить цели с низких высот, то данный прицел для предстоящей миссии вполне подходил, доказательством тому являлись хорошие результаты пока</w:t>
      </w:r>
      <w:r w:rsidRPr="008A2E5A">
        <w:rPr>
          <w:rFonts w:ascii="Times New Roman" w:hAnsi="Times New Roman"/>
          <w:color w:val="0070C0"/>
          <w:sz w:val="16"/>
          <w:szCs w:val="16"/>
        </w:rPr>
        <w:softHyphen/>
        <w:t>занные экипажами во время тренировочных бомбометаний с этими прицелами.</w:t>
      </w:r>
    </w:p>
    <w:p w14:paraId="4A359914"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уменьшить вероятность пожара на борту само</w:t>
      </w:r>
      <w:r w:rsidRPr="008A2E5A">
        <w:rPr>
          <w:rFonts w:ascii="Times New Roman" w:hAnsi="Times New Roman"/>
          <w:color w:val="0070C0"/>
          <w:sz w:val="16"/>
          <w:szCs w:val="16"/>
        </w:rPr>
        <w:softHyphen/>
        <w:t>летов и снизить вес самолета, все сигнальные и освети</w:t>
      </w:r>
      <w:r w:rsidRPr="008A2E5A">
        <w:rPr>
          <w:rFonts w:ascii="Times New Roman" w:hAnsi="Times New Roman"/>
          <w:color w:val="0070C0"/>
          <w:sz w:val="16"/>
          <w:szCs w:val="16"/>
        </w:rPr>
        <w:softHyphen/>
        <w:t>тельные ракеты, а также оборудование для их активации, используемые для посадки ночью, сняли. Оставили только две осветительных ракеты на случай посадки ночью. Их поставили за бронеспинкой пилота. Если бы они потребо</w:t>
      </w:r>
      <w:r w:rsidRPr="008A2E5A">
        <w:rPr>
          <w:rFonts w:ascii="Times New Roman" w:hAnsi="Times New Roman"/>
          <w:color w:val="0070C0"/>
          <w:sz w:val="16"/>
          <w:szCs w:val="16"/>
        </w:rPr>
        <w:softHyphen/>
        <w:t>вались, то стрелок, привязав их к маленькому парашюту, мог выбросить их из заднего люка самолета вручную.</w:t>
      </w:r>
    </w:p>
    <w:p w14:paraId="053E794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 всех самолетов сняли радиостанции.</w:t>
      </w:r>
    </w:p>
    <w:p w14:paraId="48BF2036"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самолет и самолеты командиров звеньев были оснащены автоматической камерой, которая включалась при сбросе первой бомбы или могла быть включена пило</w:t>
      </w:r>
      <w:r w:rsidRPr="008A2E5A">
        <w:rPr>
          <w:rFonts w:ascii="Times New Roman" w:hAnsi="Times New Roman"/>
          <w:color w:val="0070C0"/>
          <w:sz w:val="16"/>
          <w:szCs w:val="16"/>
        </w:rPr>
        <w:softHyphen/>
        <w:t>том вручную. Камера была установлена в хвостовом про</w:t>
      </w:r>
      <w:r w:rsidRPr="008A2E5A">
        <w:rPr>
          <w:rFonts w:ascii="Times New Roman" w:hAnsi="Times New Roman"/>
          <w:color w:val="0070C0"/>
          <w:sz w:val="16"/>
          <w:szCs w:val="16"/>
        </w:rPr>
        <w:softHyphen/>
        <w:t>зрачном блистере.</w:t>
      </w:r>
    </w:p>
    <w:p w14:paraId="674390C8" w14:textId="77777777" w:rsidR="000E620A" w:rsidRPr="008A2E5A" w:rsidRDefault="000E620A" w:rsidP="000E620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Было проверено и отрегулировано все навигационное оборудование, а также все двигатели и летные приборы (23348).</w:t>
      </w:r>
    </w:p>
    <w:p w14:paraId="26162857" w14:textId="77777777" w:rsidR="000E620A" w:rsidRPr="008A2E5A" w:rsidRDefault="000E620A" w:rsidP="000E620A">
      <w:pPr>
        <w:spacing w:after="0" w:line="240" w:lineRule="auto"/>
        <w:jc w:val="both"/>
        <w:rPr>
          <w:rFonts w:ascii="Times New Roman" w:hAnsi="Times New Roman"/>
          <w:color w:val="0070C0"/>
          <w:sz w:val="16"/>
          <w:szCs w:val="16"/>
        </w:rPr>
      </w:pPr>
    </w:p>
    <w:p w14:paraId="3B1669B9" w14:textId="77777777" w:rsidR="000E620A" w:rsidRPr="008A2E5A" w:rsidRDefault="000E620A" w:rsidP="000E620A">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27  февраля</w:t>
      </w:r>
      <w:proofErr w:type="gramEnd"/>
      <w:r w:rsidRPr="008A2E5A">
        <w:rPr>
          <w:rFonts w:ascii="Times New Roman" w:hAnsi="Times New Roman"/>
          <w:color w:val="0070C0"/>
          <w:sz w:val="16"/>
          <w:szCs w:val="16"/>
        </w:rPr>
        <w:t xml:space="preserve"> 1942  г. по просьбе директора фирмы «Аргус» Генриха Коппенбергера (Heinrich Koppenberg) Роберт Люссер (Robert Lusser; 1899–1979), главный конструктор и  технический директор компании «Хейнкель» ознакомился с  проектом Госслау и  сразу сказал, что два двигателя  — ненужная роскошь. Он нарисовал эскиз аппарата </w:t>
      </w:r>
      <w:proofErr w:type="gramStart"/>
      <w:r w:rsidRPr="008A2E5A">
        <w:rPr>
          <w:rFonts w:ascii="Times New Roman" w:hAnsi="Times New Roman"/>
          <w:color w:val="0070C0"/>
          <w:sz w:val="16"/>
          <w:szCs w:val="16"/>
        </w:rPr>
        <w:t>с  одним</w:t>
      </w:r>
      <w:proofErr w:type="gramEnd"/>
      <w:r w:rsidRPr="008A2E5A">
        <w:rPr>
          <w:rFonts w:ascii="Times New Roman" w:hAnsi="Times New Roman"/>
          <w:color w:val="0070C0"/>
          <w:sz w:val="16"/>
          <w:szCs w:val="16"/>
        </w:rPr>
        <w:t xml:space="preserve"> двигателем, расположенным над фюзеляжем, и  с  двухкилевым хвостовым оперением (23372).</w:t>
      </w:r>
    </w:p>
    <w:p w14:paraId="65E2A90F" w14:textId="77777777" w:rsidR="000E620A" w:rsidRPr="008A2E5A" w:rsidRDefault="000E620A" w:rsidP="000E620A">
      <w:pPr>
        <w:spacing w:after="0" w:line="240" w:lineRule="auto"/>
        <w:jc w:val="both"/>
        <w:rPr>
          <w:rFonts w:ascii="Times New Roman" w:hAnsi="Times New Roman"/>
          <w:color w:val="0070C0"/>
          <w:sz w:val="16"/>
          <w:szCs w:val="16"/>
        </w:rPr>
      </w:pPr>
    </w:p>
    <w:p w14:paraId="4FEA5C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началась битва за Яву, которая шла до 1 марта 1942. Японцы разгромили флот союзников из 5 крейсеров и 9 эсминцев под голландским командованием (2245,2).</w:t>
      </w:r>
    </w:p>
    <w:p w14:paraId="6CF63E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85FCF" w14:textId="77777777" w:rsidR="00810F44" w:rsidRPr="008127F8" w:rsidRDefault="00810F4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началось двухдневное морское сражение в Яванском море между японской (4 крейсера, 14 эсминцев) и американо-британо-голландской (5 крейсеров, 10 эсминцев) эскадрами. Японцы потопили 2 крейсера и 3 эсминца союзников, не потеряв ни одного своего корабля (15053).</w:t>
      </w:r>
    </w:p>
    <w:p w14:paraId="4B1061BD" w14:textId="77777777" w:rsidR="00810F44" w:rsidRPr="008127F8" w:rsidRDefault="00810F44" w:rsidP="001E0A84">
      <w:pPr>
        <w:spacing w:after="0" w:line="240" w:lineRule="auto"/>
        <w:jc w:val="both"/>
        <w:rPr>
          <w:rFonts w:ascii="Times New Roman" w:hAnsi="Times New Roman"/>
          <w:color w:val="000000" w:themeColor="text1"/>
          <w:sz w:val="16"/>
          <w:szCs w:val="16"/>
        </w:rPr>
      </w:pPr>
    </w:p>
    <w:p w14:paraId="4E826BD2" w14:textId="77777777" w:rsidR="00810F44" w:rsidRPr="008127F8" w:rsidRDefault="00810F4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в сражении близ острова Бали (Индонезия) японская эскадра разгромила обьединённую англо-голандскую эскадрау. Союзники потеряли лёгкие крейсера "де Рюйтер" и "Ява</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а также три эсминца. Потери японцев один эсминец (15053).</w:t>
      </w:r>
    </w:p>
    <w:p w14:paraId="7C6F4129" w14:textId="77777777" w:rsidR="00810F44" w:rsidRPr="008127F8" w:rsidRDefault="00810F44" w:rsidP="001E0A84">
      <w:pPr>
        <w:spacing w:after="0" w:line="240" w:lineRule="auto"/>
        <w:jc w:val="both"/>
        <w:rPr>
          <w:rFonts w:ascii="Times New Roman" w:hAnsi="Times New Roman"/>
          <w:color w:val="000000" w:themeColor="text1"/>
          <w:sz w:val="16"/>
          <w:szCs w:val="16"/>
        </w:rPr>
      </w:pPr>
    </w:p>
    <w:p w14:paraId="5323B4FC" w14:textId="77777777" w:rsidR="00810F44" w:rsidRPr="008127F8" w:rsidRDefault="00810F4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февраля</w:t>
      </w:r>
      <w:r w:rsidRPr="008127F8">
        <w:rPr>
          <w:rFonts w:ascii="Times New Roman" w:hAnsi="Times New Roman"/>
          <w:color w:val="000000" w:themeColor="text1"/>
          <w:sz w:val="16"/>
          <w:szCs w:val="16"/>
        </w:rPr>
        <w:t xml:space="preserve"> в 1942 году близ острова Ява японской авиацией был потоплен американский авианосец </w:t>
      </w:r>
      <w:hyperlink r:id="rId64" w:tgtFrame="_blank" w:history="1">
        <w:r w:rsidRPr="008127F8">
          <w:rPr>
            <w:rFonts w:ascii="Times New Roman" w:hAnsi="Times New Roman"/>
            <w:color w:val="000000" w:themeColor="text1"/>
            <w:sz w:val="16"/>
            <w:szCs w:val="16"/>
          </w:rPr>
          <w:t xml:space="preserve">«Лэнгли» «USS Langley» («CV-1»). </w:t>
        </w:r>
      </w:hyperlink>
    </w:p>
    <w:p w14:paraId="1BE30163" w14:textId="77777777" w:rsidR="00810F44" w:rsidRPr="008127F8" w:rsidRDefault="00810F44" w:rsidP="001E0A84">
      <w:pPr>
        <w:spacing w:after="0" w:line="240" w:lineRule="auto"/>
        <w:jc w:val="both"/>
        <w:rPr>
          <w:rFonts w:ascii="Times New Roman" w:hAnsi="Times New Roman"/>
          <w:color w:val="000000" w:themeColor="text1"/>
          <w:sz w:val="16"/>
          <w:szCs w:val="16"/>
        </w:rPr>
      </w:pPr>
    </w:p>
    <w:p w14:paraId="15116677" w14:textId="77777777" w:rsidR="00247E54" w:rsidRPr="008127F8" w:rsidRDefault="00247E5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тендер USS Лэнгли (AV-3), который когда - то был первым авианосцем ВМС США USS Лэнгли (CV-1), потоплен японской авиацией в Индийском океане, пытаясь доставить истребители Curtiss P -40 из Австралии на Яву (20793).</w:t>
      </w:r>
    </w:p>
    <w:p w14:paraId="5794A77D" w14:textId="77777777" w:rsidR="00247E54" w:rsidRPr="008127F8" w:rsidRDefault="00247E54" w:rsidP="001E0A84">
      <w:pPr>
        <w:spacing w:after="0" w:line="240" w:lineRule="auto"/>
        <w:jc w:val="both"/>
        <w:rPr>
          <w:rFonts w:ascii="Times New Roman" w:hAnsi="Times New Roman"/>
          <w:color w:val="000000" w:themeColor="text1"/>
          <w:sz w:val="16"/>
          <w:szCs w:val="16"/>
        </w:rPr>
      </w:pPr>
    </w:p>
    <w:p w14:paraId="6EB904A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AF3BA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A9A9D" w14:textId="77777777" w:rsidR="003D27D3" w:rsidRPr="008127F8" w:rsidRDefault="003D27D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февраля по 20 марта 1942 проходили государственные испытания Ил-2 со ШВАК в НИИ ВВС, которые показали, что по летно-боевым данным Ил-2 АМ-38, несмотря на больший полет</w:t>
      </w:r>
      <w:r w:rsidRPr="008127F8">
        <w:rPr>
          <w:rFonts w:ascii="Times New Roman" w:hAnsi="Times New Roman"/>
          <w:color w:val="000000" w:themeColor="text1"/>
          <w:sz w:val="16"/>
          <w:szCs w:val="16"/>
        </w:rPr>
        <w:softHyphen/>
        <w:t>ный вес, превосходил БШ-2 АМ-35, особенно на предельно малых вы</w:t>
      </w:r>
      <w:r w:rsidRPr="008127F8">
        <w:rPr>
          <w:rFonts w:ascii="Times New Roman" w:hAnsi="Times New Roman"/>
          <w:color w:val="000000" w:themeColor="text1"/>
          <w:sz w:val="16"/>
          <w:szCs w:val="16"/>
        </w:rPr>
        <w:softHyphen/>
        <w:t>сотах.</w:t>
      </w:r>
    </w:p>
    <w:p w14:paraId="601A2564" w14:textId="77777777" w:rsidR="003D27D3" w:rsidRPr="008127F8" w:rsidRDefault="003D27D3"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Горизонтальная и вертикаль</w:t>
      </w:r>
      <w:r w:rsidRPr="008127F8">
        <w:rPr>
          <w:color w:val="000000" w:themeColor="text1"/>
          <w:sz w:val="16"/>
          <w:szCs w:val="16"/>
        </w:rPr>
        <w:softHyphen/>
        <w:t>ная скорости возросли. Маневрен</w:t>
      </w:r>
      <w:r w:rsidRPr="008127F8">
        <w:rPr>
          <w:color w:val="000000" w:themeColor="text1"/>
          <w:sz w:val="16"/>
          <w:szCs w:val="16"/>
        </w:rPr>
        <w:softHyphen/>
        <w:t>ность повысилась. Взлет и посадка стали более простыми. Обзор летчика вперед-вниз улучшился.</w:t>
      </w:r>
    </w:p>
    <w:p w14:paraId="66195B8C" w14:textId="77777777" w:rsidR="003D27D3" w:rsidRPr="008127F8" w:rsidRDefault="003D27D3"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Интересно отметить, что к этому времени за</w:t>
      </w:r>
      <w:r w:rsidRPr="008127F8">
        <w:rPr>
          <w:color w:val="000000" w:themeColor="text1"/>
          <w:sz w:val="16"/>
          <w:szCs w:val="16"/>
        </w:rPr>
        <w:softHyphen/>
        <w:t>вод № 39 в дополнение к имеющимся двум пушкам МП-6 — опытная зав. № 1 и серийная зав. № 3 — получил еще 2 пушки МП-6 зав. № 5 и № 7 произ</w:t>
      </w:r>
      <w:r w:rsidRPr="008127F8">
        <w:rPr>
          <w:color w:val="000000" w:themeColor="text1"/>
          <w:sz w:val="16"/>
          <w:szCs w:val="16"/>
        </w:rPr>
        <w:softHyphen/>
        <w:t>водства завода № 2 НКВ. Очевидно, устанавливать их на самолет Ил-2 Ильюшин не собирался. По это</w:t>
      </w:r>
      <w:r w:rsidRPr="008127F8">
        <w:rPr>
          <w:color w:val="000000" w:themeColor="text1"/>
          <w:sz w:val="16"/>
          <w:szCs w:val="16"/>
        </w:rPr>
        <w:softHyphen/>
        <w:t>му поводу в письме начальнику 8-го Управления ГУ ВВС военинженеру 1-го ранга Никонову Ильюшин указывал: «Согласно правительственному решению установки МП-6 на самолете Ил-2 заменяются уста</w:t>
      </w:r>
      <w:r w:rsidRPr="008127F8">
        <w:rPr>
          <w:color w:val="000000" w:themeColor="text1"/>
          <w:sz w:val="16"/>
          <w:szCs w:val="16"/>
        </w:rPr>
        <w:softHyphen/>
        <w:t>новками пушек ШВАК. Пушки МП-6 будут устанав</w:t>
      </w:r>
      <w:r w:rsidRPr="008127F8">
        <w:rPr>
          <w:color w:val="000000" w:themeColor="text1"/>
          <w:sz w:val="16"/>
          <w:szCs w:val="16"/>
        </w:rPr>
        <w:softHyphen/>
        <w:t>ливаться на самолет после их доводок (звеньевое питание вместо магазинного, сокращенная сила отдачи), использовать имеющиеся у нас пушки для этой цели будет нельзя» (17500).</w:t>
      </w:r>
    </w:p>
    <w:p w14:paraId="75DA021E" w14:textId="77777777" w:rsidR="003D27D3" w:rsidRPr="008127F8" w:rsidRDefault="003D27D3" w:rsidP="001E0A84">
      <w:pPr>
        <w:spacing w:after="0" w:line="240" w:lineRule="auto"/>
        <w:jc w:val="both"/>
        <w:rPr>
          <w:rFonts w:ascii="Times New Roman" w:eastAsia="Times New Roman" w:hAnsi="Times New Roman"/>
          <w:color w:val="000000" w:themeColor="text1"/>
          <w:sz w:val="16"/>
          <w:szCs w:val="16"/>
          <w:lang w:eastAsia="ru-RU"/>
        </w:rPr>
      </w:pPr>
    </w:p>
    <w:p w14:paraId="479027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Нач. ГУ формирований и комплектований ВВС Никитин, воен. комиссар этого же ГУ Огнев писали А.И.Ш. и И.В.С. письмо N 357357с:</w:t>
      </w:r>
    </w:p>
    <w:p w14:paraId="003C6B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февраля 1942 было пост. ГКО о ежемесячном выпуске заводом 18 20 самолетов Ил-2 с двойным управлением для обучения молодых л.</w:t>
      </w:r>
    </w:p>
    <w:p w14:paraId="28E2B8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сих пор к постройке этих самолетов завод не приступал, ссылаясь на отсутствие Ваших указаний, а также на трудности в заводской площади.</w:t>
      </w:r>
    </w:p>
    <w:p w14:paraId="1CC9C8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с двойным управлением нам очень нужны, без них мы не можем не только повышать темпы в подготовке, но даже поддерживать существующей. В связи с переключением ряда авиашкол для обучения на Ил-2, эти самолеты еще больше необходимы.</w:t>
      </w:r>
    </w:p>
    <w:p w14:paraId="042360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в апреле, особенно в мае по существующим расчетам мы будем иметь значительное количество Ил-2, то соответственно нужно готовить и л, а подготовка их занимает несколько месяцев.</w:t>
      </w:r>
    </w:p>
    <w:p w14:paraId="5C2B5A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Прошу вас принять меры к тому, чтобы немедленно осуществить выполнение постановления ГКО о выпуске Ил-2 с двойным управлением. Иначе мы можем остаться без нужного количества летчиков для самолета Ил-2.</w:t>
      </w:r>
    </w:p>
    <w:p w14:paraId="063FC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того</w:t>
      </w:r>
      <w:proofErr w:type="gramEnd"/>
      <w:r w:rsidRPr="008127F8">
        <w:rPr>
          <w:rFonts w:ascii="Times New Roman" w:hAnsi="Times New Roman"/>
          <w:color w:val="000000" w:themeColor="text1"/>
          <w:sz w:val="16"/>
          <w:szCs w:val="16"/>
        </w:rPr>
        <w:t xml:space="preserve"> прошу Вас выделить 30 моторов АМ-38 и поставить таковые в течение марта и первой половины апреля на самолетах 1 ЗАБ, моторесурс которых давно уже выработан.</w:t>
      </w:r>
    </w:p>
    <w:p w14:paraId="56FD98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прошу помочь через 24 завод в перечистке 20 моторов.</w:t>
      </w:r>
    </w:p>
    <w:p w14:paraId="59DD9A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Непринятие данных мер ставит наше работу по подготовке кадров штурмовиков под угрозу срыва, чего мы никак не можем допустить.</w:t>
      </w:r>
    </w:p>
    <w:p w14:paraId="258DEE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Виза: тов. Дементьеву</w:t>
      </w:r>
    </w:p>
    <w:p w14:paraId="510E69B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не затягивать с заказом 10 и установить срок изготовления.</w:t>
      </w:r>
    </w:p>
    <w:p w14:paraId="30F968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крайне нужное А.И.Ш. 14.Ш-42 (1634,158).</w:t>
      </w:r>
    </w:p>
    <w:p w14:paraId="6B2B79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3A7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ГИ ВВС КА гла Петров писал письмо № 330038 НКАП А.И.Ш.:</w:t>
      </w:r>
    </w:p>
    <w:p w14:paraId="3BDD47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приказанию тов. Маленкова при этом направляю приказ “О дефектах технической эксплоатации самолета Ил-2 с мотором АМ-38” для просмотра и визы (1635,103).</w:t>
      </w:r>
    </w:p>
    <w:p w14:paraId="331CFE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1942 года вышел проект Приказа ВВС:</w:t>
      </w:r>
    </w:p>
    <w:p w14:paraId="7A4C1A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Содержание</w:t>
      </w:r>
      <w:proofErr w:type="gramStart"/>
      <w:r w:rsidRPr="008127F8">
        <w:rPr>
          <w:rFonts w:ascii="Times New Roman" w:hAnsi="Times New Roman"/>
          <w:color w:val="000000" w:themeColor="text1"/>
          <w:sz w:val="16"/>
          <w:szCs w:val="16"/>
        </w:rPr>
        <w:t>: О</w:t>
      </w:r>
      <w:proofErr w:type="gramEnd"/>
      <w:r w:rsidRPr="008127F8">
        <w:rPr>
          <w:rFonts w:ascii="Times New Roman" w:hAnsi="Times New Roman"/>
          <w:color w:val="000000" w:themeColor="text1"/>
          <w:sz w:val="16"/>
          <w:szCs w:val="16"/>
        </w:rPr>
        <w:t xml:space="preserve"> дефектах технической эксплуатации самолетов Ил-2 с мотором АМ-38.</w:t>
      </w:r>
    </w:p>
    <w:p w14:paraId="54AE47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зимы 1941-42 года имел место ряд летных происшествий и дефектов на самолете Ил-2 с мотором АМ-38, явившихся в значительной мере результатом неправильной эксплуатации их летно-техническим составом как в воздухе, так и на земле, а также отсутствия должного руководства технической эксплуатацией командным и инженерным составом.</w:t>
      </w:r>
    </w:p>
    <w:p w14:paraId="3D0754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Современная авиационная техника чрезвычайно сложна и ее можно правильно эксплуатировать в воздухе и на земле лишь только под руководством инженера. Несмотря на это, годами неправильно внедрялась в ВВС система использования инженеров при эксплуатации, усложняющейся из года в год материальной части. Само понятие "Техническая эксплуатация" неправильно разъясняли и прививали техническому составу только как уход за самолетом на земле, его хранение и подготовка к полету. И в этом кругу обязанностей замыкали роль инженера, загружая его дополнительно снабженческими функциями в процессе устранения дефектов.</w:t>
      </w:r>
    </w:p>
    <w:p w14:paraId="5D3CF3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этого техническая эксплуатация самолета в воздухе оставалась без руководства и о ней, по существу, забывали.</w:t>
      </w:r>
    </w:p>
    <w:p w14:paraId="06540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 ГКО о введении персональных воинских званий инженерно-техническому составу ВВС определяет место инженера-командира в системе ВВС, как руководителя технической эксплуатацией материальной части, так как до сего времени в целом ряде случаев </w:t>
      </w:r>
      <w:proofErr w:type="gramStart"/>
      <w:r w:rsidRPr="008127F8">
        <w:rPr>
          <w:rFonts w:ascii="Times New Roman" w:hAnsi="Times New Roman"/>
          <w:color w:val="000000" w:themeColor="text1"/>
          <w:sz w:val="16"/>
          <w:szCs w:val="16"/>
        </w:rPr>
        <w:t>командиры</w:t>
      </w:r>
      <w:proofErr w:type="gramEnd"/>
      <w:r w:rsidRPr="008127F8">
        <w:rPr>
          <w:rFonts w:ascii="Times New Roman" w:hAnsi="Times New Roman"/>
          <w:color w:val="000000" w:themeColor="text1"/>
          <w:sz w:val="16"/>
          <w:szCs w:val="16"/>
        </w:rPr>
        <w:t xml:space="preserve"> не зная техники командовали ею, но не руководили.</w:t>
      </w:r>
    </w:p>
    <w:p w14:paraId="608DFF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приводило к тому, что число летных происшествий и невылетов на боевое задание, количество неисправной и требующей ремонта материальной части с каждым днем увеличивалось. По состоянию на 15 февраля с.г. около 40% самолетов Ил-2 были в ремонте или в состоянии небоеготовности.</w:t>
      </w:r>
    </w:p>
    <w:p w14:paraId="429110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время как в бою каждый летчик и самолет умножают силы нашей авиации, многие командиры и инженеры, летчики и техники нарушают наставления, инструкции и указания по технической эксплуатации материальной части, чем губят летные кадры и материальную часть. Об этом свидетельствует ряд случаев грубейшего нарушения летным составом элементарных правил технической эксплуатации материальной части в воздухе.</w:t>
      </w:r>
    </w:p>
    <w:p w14:paraId="5230D1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лейтенант Горянский (65 ШАП), заходя на посадку, на выравнивании при выпущенных щитках держал скорость меньше 170 км/час, само выравнивание произвел на высоте 4-х метров вместо 0,5 м и в результате этого приземлившись с большим "плюхом", сломал шасси.</w:t>
      </w:r>
    </w:p>
    <w:p w14:paraId="35F1B2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 лейтенант Скворцов (190 ШАП) сорвался в штопор на высоте 70 м вследствие того, что на развороте уменьшил скорость. Самолет разбит, летчик погиб.</w:t>
      </w:r>
    </w:p>
    <w:p w14:paraId="1449B2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Мл. лейтенант Кузнецов (175 ШАП) разбил самолет вследствие того,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планируя на посадку с выпущенными щитками допустил уменьшение скорости меньше 170 км/час.</w:t>
      </w:r>
    </w:p>
    <w:p w14:paraId="6A58C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Мл. лейтенант Б. (217 ШАП) потерпел катастрофу вследствие того,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летя в составе звена на высоте 50 м подстраивался к ведущему на повышенной скорости и избегая столкновения с ним перевел самолет за критический угол атаки. Это привело за собой потерю скорости, самолет свалился на крыло, перешел на нос и с пикирования ударился о землю.</w:t>
      </w:r>
    </w:p>
    <w:p w14:paraId="6A2514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целый ряд аналогичных летных происшествий свидетельствует о нарушении, а в некоторых случаях о незнании летчиком основных законов физики, механики и теории полета. Это происходит потому, что старшие командиры не контролируют у подчиненного им летного состава знания материальной части и техники пилотирования данного типа самолета, а инженерно-командный состав не разъясняет и не требует от летного состава знания основных элементов теории полета.</w:t>
      </w:r>
    </w:p>
    <w:p w14:paraId="2B95D3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Незнание и неумение пользоваться аэронавигационными приборами, недоучет летным составом того обстоятельства, что на современных скоростных самолетах, и особенно на штурмовиках, основным способом ориентировки является ориентировка по компасу и по времени полета, - влекут за собою вынужденные посадки.</w:t>
      </w:r>
    </w:p>
    <w:p w14:paraId="2DEE6C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Пилот сержант Скрипник (4 ЗАП) при перелете в хорошую погоду из-за потери ориентировки потерпел аварию в районе Измайлово; в том же полку мл. лейтенант Азизов при таких же метеусловиях и по той же причине потерпел катастрофу в районе Каменка.</w:t>
      </w:r>
    </w:p>
    <w:p w14:paraId="2EB41E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Незнание материальной части, плохое качество предполетной и после полетной подготовки, отсутствие контроля за подготовкой и грубое нарушение наставлений и инструкций по технической эксплуатации также влекут за собой летные происшествия и невылеты на боевое задание.</w:t>
      </w:r>
    </w:p>
    <w:p w14:paraId="4F0667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 лейтенант Алексеев (232 ШАП) на взлете с места вынужденной посадки на высоте 10-15 м обнаружил, что мотор начал давать перебои, развернулся, потерял скорость и самолет ударившись о землю сгорел.</w:t>
      </w:r>
    </w:p>
    <w:p w14:paraId="43CF31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Потеря боевого самолета произошла потому, что мл. воентехник Кононов не проверил устойчивую работу мотора на номинальных оборотах; мл. лейтенант Алексеев нарушил наставление по производству полетов, а инженер 232 ШАП, военинженер 3 ранга Прилепский не проконтролировал подготовку и вылет самолета с места вынужденной посадки.</w:t>
      </w:r>
    </w:p>
    <w:p w14:paraId="7EB602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Пилот-сержант Дубин (299 ШАП) потерпел катастрофу вследствие того, что в полете из-за образовавшейся течи масла, мотор был перегрет и заклинился. При вынужденной посадке самолет разбит, а летчик погиб.</w:t>
      </w:r>
    </w:p>
    <w:p w14:paraId="277892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Неоднократные случаи перегрева моторов в полете вследствие того, что летный состав или форсировал мотор или летал с закрытыми заслонками радиаторов, открытие высотного корректора на неположенной высоте, повреждение покрышек и разрыв камер тормозных колес, как результат резкого торможения - повлекли за собой аварии мотора, вынужденные посадки и невыход на боевое задание.</w:t>
      </w:r>
    </w:p>
    <w:p w14:paraId="57A278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Невыполнение наставлений, инструкций и указаний по технической эксплуатации материальной части, а также отсутствие дельного технического руководства со стороны инженеров-командиров, особенно в зимних условиях, привело к тому, что в течение зимы на самолете Ил-2 с мотором АМ-38 имел место ряд случаев образования трещин в головках блоков мотора и разрывов сот маслорадиаторов.</w:t>
      </w:r>
    </w:p>
    <w:p w14:paraId="0F046B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расследовании этих случаев было установлено, что технический состав некоторых частей не соблюдал элементарных правил эксплуатации винтомоторной группы самолета Ил-2 и указаний УЭР ГУ ВВС о подготовке материальной части к зимней эксплуатации.</w:t>
      </w:r>
    </w:p>
    <w:p w14:paraId="37A052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Воду и масло своевременно не сливали, в результате чего они замерзали и портили детали мотора и самолета; прогрев мотора </w:t>
      </w:r>
      <w:proofErr w:type="gramStart"/>
      <w:r w:rsidRPr="008127F8">
        <w:rPr>
          <w:rFonts w:ascii="Times New Roman" w:hAnsi="Times New Roman"/>
          <w:color w:val="000000" w:themeColor="text1"/>
          <w:sz w:val="16"/>
          <w:szCs w:val="16"/>
        </w:rPr>
        <w:t>производили</w:t>
      </w:r>
      <w:proofErr w:type="gramEnd"/>
      <w:r w:rsidRPr="008127F8">
        <w:rPr>
          <w:rFonts w:ascii="Times New Roman" w:hAnsi="Times New Roman"/>
          <w:color w:val="000000" w:themeColor="text1"/>
          <w:sz w:val="16"/>
          <w:szCs w:val="16"/>
        </w:rPr>
        <w:t xml:space="preserve"> не открывая бронелюков, прогрева маслорадиаторов горячим воздухом совсем не производили.</w:t>
      </w:r>
    </w:p>
    <w:p w14:paraId="1C89DF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например, в 6 ГШАП на 2-х моторах замерзла вода в головках блока, появились трещины в них и моторы вышли из строя на продолжительное время. Инженер полка военинженер 3 ранга Мороз, зная о возможности замерзания воды в головках блока, не проинструктировал технический состав о порядке прогрева мотора при низких температурах, так как не проанализировал особенностей системы охлаждения самолета Ил-2. Техник, подогревая мотор горячей водой обычно прекращает проливку, ориентируясь по температуре воды выходящей из нижних сливных кранов; однако для данной системы этого недостаточно, вода в головках блока может остаться холодной и при низких температурах замерзнуть.</w:t>
      </w:r>
    </w:p>
    <w:p w14:paraId="7059AE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самым военинженер 3 ранга Мороз свою роль технического руководителя подчиненного ему технического состава не выполнил.</w:t>
      </w:r>
    </w:p>
    <w:p w14:paraId="3B79F8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 ЗАБ было выведено из строя большое количество маслорадиаторов из-за неполного слива из них масла и несоблюдения правил запуска и прогрева моторов.</w:t>
      </w:r>
    </w:p>
    <w:p w14:paraId="514363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 инженер 1 ЗАБ военинженер 1 ранга Кравченко, зная, что применяется летнее масло, имея указания о разжижении его бензином и о подогреве головок блока не принял надлежащих мер, в результате чего </w:t>
      </w:r>
      <w:proofErr w:type="gramStart"/>
      <w:r w:rsidRPr="008127F8">
        <w:rPr>
          <w:rFonts w:ascii="Times New Roman" w:hAnsi="Times New Roman"/>
          <w:color w:val="000000" w:themeColor="text1"/>
          <w:sz w:val="16"/>
          <w:szCs w:val="16"/>
        </w:rPr>
        <w:t>материальная часть</w:t>
      </w:r>
      <w:proofErr w:type="gramEnd"/>
      <w:r w:rsidRPr="008127F8">
        <w:rPr>
          <w:rFonts w:ascii="Times New Roman" w:hAnsi="Times New Roman"/>
          <w:color w:val="000000" w:themeColor="text1"/>
          <w:sz w:val="16"/>
          <w:szCs w:val="16"/>
        </w:rPr>
        <w:t xml:space="preserve"> только что полученная с завода стала не боеспособной.</w:t>
      </w:r>
    </w:p>
    <w:p w14:paraId="21509F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Приведенные выше факты свидетельствуют о том, что не весь инженерно-командный состав учитывает опыт эксплуатации материальной части, особенно в зимних условиях, мало уделяет внимания повседневному инструктажу летного и технического состава, не занимается техническим анализом причин отказов и дефектов материальной части, а сплошь и рядом идет по линии наименьшего сопротивления - объясняя целый ряд факторов, зависящих исключительно от неправильной эксплуатации производственными и конструктивными дефектами. </w:t>
      </w:r>
      <w:proofErr w:type="gramStart"/>
      <w:r w:rsidRPr="008127F8">
        <w:rPr>
          <w:rFonts w:ascii="Times New Roman" w:hAnsi="Times New Roman"/>
          <w:color w:val="000000" w:themeColor="text1"/>
          <w:sz w:val="16"/>
          <w:szCs w:val="16"/>
        </w:rPr>
        <w:t>Кроме того</w:t>
      </w:r>
      <w:proofErr w:type="gramEnd"/>
      <w:r w:rsidRPr="008127F8">
        <w:rPr>
          <w:rFonts w:ascii="Times New Roman" w:hAnsi="Times New Roman"/>
          <w:color w:val="000000" w:themeColor="text1"/>
          <w:sz w:val="16"/>
          <w:szCs w:val="16"/>
        </w:rPr>
        <w:t xml:space="preserve"> инженерно-командный состав, отвлекаясь от своих непосредственных обязанностей и занимаясь вопросами снабжения, забывает о том, что при правильной эксплуатации материальной части как на земле, так и в воздухе будет меньше поломок и отказов, а следовательно и будет меньше требоваться запчастей для ее восстановления.</w:t>
      </w:r>
    </w:p>
    <w:p w14:paraId="2D0E5B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состояние технической эксплуатации нетерпимо, необходимо всему летно-техническому составу, командирам всех степеней и инженерам - командирам коренным образом изменить свое отношение к эксплуатации материальной части.</w:t>
      </w:r>
    </w:p>
    <w:p w14:paraId="1AE49E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улучшения качества технической эксплуатации приказываю:</w:t>
      </w:r>
    </w:p>
    <w:p w14:paraId="4F9D30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Инженерам-командирам осознать свое назначение технического руководителя летно-технического состава, требовать от него неуклонного выполнения инструкций, указаний и наставлений по эксплуатации материальной части как в воздухе, так и на земле.</w:t>
      </w:r>
    </w:p>
    <w:p w14:paraId="5C6522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Ст. инженера 1 ЗАБ военинженера 1 ранга Кравченко за непринятие мер и невыполнение указаний УЭР ГУ ВВС по эксплуатации материальной части, что повело </w:t>
      </w:r>
      <w:r w:rsidRPr="008127F8">
        <w:rPr>
          <w:rFonts w:ascii="Times New Roman" w:hAnsi="Times New Roman"/>
          <w:color w:val="000000" w:themeColor="text1"/>
          <w:sz w:val="16"/>
          <w:szCs w:val="16"/>
        </w:rPr>
        <w:lastRenderedPageBreak/>
        <w:t>за собой массовый выход самолетов из строя - арестовать на 10 суток с исполнением служебных обязанностей и удержанием 50% заработанной платы за каждый день ареста.</w:t>
      </w:r>
    </w:p>
    <w:p w14:paraId="2EFAAA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 инженеру ВВС ПРИВО военинженеру 1 ранга Гурковичу не организовавшему обеспечение 1 ЗАБ средствами подогрева моторов и за то, что будучи лично в 1 ЗАБ не принял надлежащих мер по наведению порядка в обслуживании самолетов - объявить выговор.</w:t>
      </w:r>
    </w:p>
    <w:p w14:paraId="616261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Обратить внимание командира 1 ЗАБ генерал-майора авиации Папивина на отсутствие должной организации техническо-эксплуатационной службы в 1 ЗАБ и неправильную оценку причин выходов самолетов из строя.</w:t>
      </w:r>
    </w:p>
    <w:p w14:paraId="1647DA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Организовать во всех частях ВВС, в том числе и в действующей армии, занятия с летно-техническим составом по изучению материальной части и ее эксплуатации. Занятия проводить на материальной части методом непосредственного показа с разбором возможных дефектов и способов их устранения.</w:t>
      </w:r>
    </w:p>
    <w:p w14:paraId="5D9E83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 ЗАП"ах и авиашколах иметь специальные классы, оборудованные наглядными пособиями и действующими макетами для отработки как у летчика, так и у техников последовательности и автоматизма в эксплуатации самолета.</w:t>
      </w:r>
    </w:p>
    <w:p w14:paraId="2515C0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УВУЗ ВВС пересмотреть табели оборудования классов, программы и методические указания по обучению летно-технического состава материальной части и ее эксплуатации.</w:t>
      </w:r>
    </w:p>
    <w:p w14:paraId="4E98B5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Организовать жесткий контроль подготовки материальной части к вылету, выполнения регламентных работ и технических разборов в соответствии с НЭТС-40.</w:t>
      </w:r>
    </w:p>
    <w:p w14:paraId="537C72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Командирам полков систематически проверять у летного состава технику пилотирования, а инженерам полков произвести проверку знания материальной части и правил ее эксплуатации у всего летно-технического состава.</w:t>
      </w:r>
    </w:p>
    <w:p w14:paraId="6835D5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Каждое летное происшествие или невыход на боевое задание должно быть немедленно расследовано в соответствии с приказом НКО N 0133-38 года и донесено по команде и немедленно приняты предупредительные меры.</w:t>
      </w:r>
    </w:p>
    <w:p w14:paraId="7448F0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При проверках и инспектировании частей вменить в обязанность поверяющим тщательно контролировать выполнение всем летно-техническим составом действующих наставлений, инструкций по эксплуатации материальной части и привлекать к суровой ответственности виновных в неисполнении их.</w:t>
      </w:r>
    </w:p>
    <w:p w14:paraId="2D40BE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ГУ ВВС издавать один раз в 3 месяца "Эксплуатационный бюллетень" для обобщения опыта по эксплуатации материальной части в воздухе и на земле.</w:t>
      </w:r>
    </w:p>
    <w:p w14:paraId="27D2F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Существующий в УЭР ГУ ВВС порядок издания указаний по отдельным вопросам эксплуатации материальной части и устранению дефектов - сохранить. (Зам. командующего ВВС генерал-лейтенант авиации Петров, за чл. военсовета ВВС бригадный комиссар Руденко, зам. начальника штаба ВВС генерал-майор авиации Беляев) (1635,103).</w:t>
      </w:r>
    </w:p>
    <w:p w14:paraId="629FFD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CFCB3"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февраля</w:t>
      </w:r>
      <w:r w:rsidRPr="008127F8">
        <w:rPr>
          <w:rFonts w:ascii="Times New Roman" w:hAnsi="Times New Roman"/>
          <w:color w:val="000000" w:themeColor="text1"/>
          <w:sz w:val="16"/>
          <w:szCs w:val="16"/>
        </w:rPr>
        <w:t xml:space="preserve"> в 1942 году проведено испытание штурмовика </w:t>
      </w:r>
      <w:hyperlink r:id="rId65" w:tgtFrame="_blank" w:history="1">
        <w:r w:rsidRPr="008127F8">
          <w:rPr>
            <w:rFonts w:ascii="Times New Roman" w:hAnsi="Times New Roman"/>
            <w:color w:val="000000" w:themeColor="text1"/>
            <w:sz w:val="16"/>
            <w:szCs w:val="16"/>
          </w:rPr>
          <w:t xml:space="preserve">«Су-6» («СА») </w:t>
        </w:r>
      </w:hyperlink>
      <w:r w:rsidRPr="008127F8">
        <w:rPr>
          <w:rFonts w:ascii="Times New Roman" w:hAnsi="Times New Roman"/>
          <w:color w:val="000000" w:themeColor="text1"/>
          <w:sz w:val="16"/>
          <w:szCs w:val="16"/>
        </w:rPr>
        <w:t>с мотором «М-71», летчик А.К.Долгов</w:t>
      </w:r>
    </w:p>
    <w:p w14:paraId="2337325A"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179359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вышел приказ НКАП N 163с о проведении летных испытаний ТБ-7 с М-82 (1532,94).</w:t>
      </w:r>
    </w:p>
    <w:p w14:paraId="0AE01C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986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28 февраля 1942 были назначены летчики-испытатели на ТБ-7 (№ 4282047) с М-82. Это были Водопьянов М.В., отстраненный от командования соединением ТБ-7 после августовского налета на Берлин в 1941 г., и заводской пилот Говоров. </w:t>
      </w:r>
    </w:p>
    <w:p w14:paraId="3261DC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полетов на М-82 было еще далеко, и вот, что писал тогда Незваль в Москву наркому Шахурину: «В марте-апреле заканчивается выпуск ТБ-7, с конца декабря производство машин ограничивается 7-ой серией в 10 машин с АМ-35А. При этом сборочные стапеля сняты с фундаментов и вывезены с территории </w:t>
      </w:r>
      <w:proofErr w:type="gramStart"/>
      <w:r w:rsidRPr="008127F8">
        <w:rPr>
          <w:rFonts w:ascii="Times New Roman" w:hAnsi="Times New Roman"/>
          <w:color w:val="000000" w:themeColor="text1"/>
          <w:sz w:val="16"/>
          <w:szCs w:val="16"/>
        </w:rPr>
        <w:t>цехов.(...)</w:t>
      </w:r>
      <w:proofErr w:type="gramEnd"/>
      <w:r w:rsidRPr="008127F8">
        <w:rPr>
          <w:rFonts w:ascii="Times New Roman" w:hAnsi="Times New Roman"/>
          <w:color w:val="000000" w:themeColor="text1"/>
          <w:sz w:val="16"/>
          <w:szCs w:val="16"/>
        </w:rPr>
        <w:t xml:space="preserve"> Работать невозможно.(...) Прошу выехать в Москву». И еще, в другом письме он жаловался, что работы по модернизации ТБ-7, такие как «изменения штурманской кабины и носовой стрелковой установки, изменения приборной доски 1-го пилота, увеличение бензобаков и бомбовой нагрузки (2 по 2000 кг), а также полностью убирающиеся шасси остаются только на чертежах. Нет опытной базы».</w:t>
      </w:r>
    </w:p>
    <w:p w14:paraId="6F61E5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Карпова, столь много сделавшего против ТБ-7, в марте с завода убирают, и вновь пришедший Окулов дает вздохнуть Незвалю свободно (12049).</w:t>
      </w:r>
    </w:p>
    <w:p w14:paraId="19B4A8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095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после 10 дней работы в ОКО-22 и Л.Селяковым, П.Чугуновым и слесарем А.Архиповым была закончена разработка установки ФТ (Фронт требует) под УБ для Пе-2. Использовали детали люковой установки МВ-2 и возможность ее монтажа на ТСС-1. Потом ее испытали в 30 сбап и 40 драп и запустили в серию без выполнения формальностей. НИИ ВВС ее одобрил, так как установка могла быть смонтирована за 4-6 часов, но нач7 10 ГУ Б.Тарасевич ее не принял. Пришлось решать вопрос в ЦК ВКП(б) (1841,27).</w:t>
      </w:r>
    </w:p>
    <w:p w14:paraId="0B627F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D3F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28 февраля 1942 г. через 10 дней после начала была завершена разработка установки ФТ для Пе-2, особенностями которой</w:t>
      </w:r>
      <w:r w:rsidRPr="008127F8">
        <w:rPr>
          <w:rFonts w:ascii="Times New Roman" w:hAnsi="Times New Roman"/>
          <w:iCs/>
          <w:color w:val="000000" w:themeColor="text1"/>
          <w:sz w:val="16"/>
          <w:szCs w:val="16"/>
        </w:rPr>
        <w:t xml:space="preserve"> были </w:t>
      </w:r>
      <w:r w:rsidRPr="008127F8">
        <w:rPr>
          <w:rFonts w:ascii="Times New Roman" w:hAnsi="Times New Roman"/>
          <w:color w:val="000000" w:themeColor="text1"/>
          <w:sz w:val="16"/>
          <w:szCs w:val="16"/>
        </w:rPr>
        <w:t>простота, использование деталей серийной люковой установ</w:t>
      </w:r>
      <w:r w:rsidRPr="008127F8">
        <w:rPr>
          <w:rFonts w:ascii="Times New Roman" w:hAnsi="Times New Roman"/>
          <w:color w:val="000000" w:themeColor="text1"/>
          <w:sz w:val="16"/>
          <w:szCs w:val="16"/>
        </w:rPr>
        <w:softHyphen/>
        <w:t>ки МВ-2 и возможность монтажа на месте прежней ТСС-1 без серьёзной переделки самолёта. Ценой простоты стали ограниченные углы обстрела, ухудшение характеристик самолёта из-за снятия обтекателя - «черепа</w:t>
      </w:r>
      <w:r w:rsidRPr="008127F8">
        <w:rPr>
          <w:rFonts w:ascii="Times New Roman" w:hAnsi="Times New Roman"/>
          <w:color w:val="000000" w:themeColor="text1"/>
          <w:sz w:val="16"/>
          <w:szCs w:val="16"/>
        </w:rPr>
        <w:softHyphen/>
        <w:t>хи», меньшая эффективность самой турели из-за отсутствия аэродинами</w:t>
      </w:r>
      <w:r w:rsidRPr="008127F8">
        <w:rPr>
          <w:rFonts w:ascii="Times New Roman" w:hAnsi="Times New Roman"/>
          <w:color w:val="000000" w:themeColor="text1"/>
          <w:sz w:val="16"/>
          <w:szCs w:val="16"/>
        </w:rPr>
        <w:softHyphen/>
        <w:t>ческого компенсатора и механизма учёта собственной скорости. К тому же, в открытой сзади ка</w:t>
      </w:r>
      <w:r w:rsidRPr="008127F8">
        <w:rPr>
          <w:rFonts w:ascii="Times New Roman" w:hAnsi="Times New Roman"/>
          <w:color w:val="000000" w:themeColor="text1"/>
          <w:sz w:val="16"/>
          <w:szCs w:val="16"/>
        </w:rPr>
        <w:softHyphen/>
        <w:t>бине стало крайне некомфортно, особенно зимой. Впрочем, в не ме</w:t>
      </w:r>
      <w:r w:rsidRPr="008127F8">
        <w:rPr>
          <w:rFonts w:ascii="Times New Roman" w:hAnsi="Times New Roman"/>
          <w:color w:val="000000" w:themeColor="text1"/>
          <w:sz w:val="16"/>
          <w:szCs w:val="16"/>
        </w:rPr>
        <w:softHyphen/>
        <w:t>нее «экстремальных условиях» при</w:t>
      </w:r>
      <w:r w:rsidRPr="008127F8">
        <w:rPr>
          <w:rFonts w:ascii="Times New Roman" w:hAnsi="Times New Roman"/>
          <w:color w:val="000000" w:themeColor="text1"/>
          <w:sz w:val="16"/>
          <w:szCs w:val="16"/>
        </w:rPr>
        <w:softHyphen/>
        <w:t>ходилось воевать стрелкам амери</w:t>
      </w:r>
      <w:r w:rsidRPr="008127F8">
        <w:rPr>
          <w:rFonts w:ascii="Times New Roman" w:hAnsi="Times New Roman"/>
          <w:color w:val="000000" w:themeColor="text1"/>
          <w:sz w:val="16"/>
          <w:szCs w:val="16"/>
        </w:rPr>
        <w:softHyphen/>
        <w:t>канских «крепостей», обслуживая открытые настежь бортовые установ</w:t>
      </w:r>
      <w:r w:rsidRPr="008127F8">
        <w:rPr>
          <w:rFonts w:ascii="Times New Roman" w:hAnsi="Times New Roman"/>
          <w:color w:val="000000" w:themeColor="text1"/>
          <w:sz w:val="16"/>
          <w:szCs w:val="16"/>
        </w:rPr>
        <w:softHyphen/>
        <w:t>ки. Но, всё же, ФТ оказалась «сини</w:t>
      </w:r>
      <w:r w:rsidRPr="008127F8">
        <w:rPr>
          <w:rFonts w:ascii="Times New Roman" w:hAnsi="Times New Roman"/>
          <w:color w:val="000000" w:themeColor="text1"/>
          <w:sz w:val="16"/>
          <w:szCs w:val="16"/>
        </w:rPr>
        <w:softHyphen/>
        <w:t>цей в руках», решавшей главную задачу — защиту хвоста бомбарди</w:t>
      </w:r>
      <w:r w:rsidRPr="008127F8">
        <w:rPr>
          <w:rFonts w:ascii="Times New Roman" w:hAnsi="Times New Roman"/>
          <w:color w:val="000000" w:themeColor="text1"/>
          <w:sz w:val="16"/>
          <w:szCs w:val="16"/>
        </w:rPr>
        <w:softHyphen/>
        <w:t>ровщика пулемётом крупного калиб</w:t>
      </w:r>
      <w:r w:rsidRPr="008127F8">
        <w:rPr>
          <w:rFonts w:ascii="Times New Roman" w:hAnsi="Times New Roman"/>
          <w:color w:val="000000" w:themeColor="text1"/>
          <w:sz w:val="16"/>
          <w:szCs w:val="16"/>
        </w:rPr>
        <w:softHyphen/>
        <w:t>ра. Она позволила выиграть время для освоения более совершенных систем. ФТ успешно прошла завод</w:t>
      </w:r>
      <w:r w:rsidRPr="008127F8">
        <w:rPr>
          <w:rFonts w:ascii="Times New Roman" w:hAnsi="Times New Roman"/>
          <w:color w:val="000000" w:themeColor="text1"/>
          <w:sz w:val="16"/>
          <w:szCs w:val="16"/>
        </w:rPr>
        <w:softHyphen/>
        <w:t>ские испытания в 30-м сбап полков</w:t>
      </w:r>
      <w:r w:rsidRPr="008127F8">
        <w:rPr>
          <w:rFonts w:ascii="Times New Roman" w:hAnsi="Times New Roman"/>
          <w:color w:val="000000" w:themeColor="text1"/>
          <w:sz w:val="16"/>
          <w:szCs w:val="16"/>
        </w:rPr>
        <w:softHyphen/>
        <w:t>ника Новикова и 40-м драп майора Седова, после чего тут же, без осо</w:t>
      </w:r>
      <w:r w:rsidRPr="008127F8">
        <w:rPr>
          <w:rFonts w:ascii="Times New Roman" w:hAnsi="Times New Roman"/>
          <w:color w:val="000000" w:themeColor="text1"/>
          <w:sz w:val="16"/>
          <w:szCs w:val="16"/>
        </w:rPr>
        <w:softHyphen/>
        <w:t>бых формальностей была запущена в производство. Первый бой «пешек», оснащённых ФТ, состоялся, по-видимому, 5 мая 1942 г. над Керчью. Попытавшись атаковать группу со</w:t>
      </w:r>
      <w:r w:rsidRPr="008127F8">
        <w:rPr>
          <w:rFonts w:ascii="Times New Roman" w:hAnsi="Times New Roman"/>
          <w:color w:val="000000" w:themeColor="text1"/>
          <w:sz w:val="16"/>
          <w:szCs w:val="16"/>
        </w:rPr>
        <w:softHyphen/>
        <w:t>ветских бомбардировщиков, немцы неожиданно попали под огонь круп</w:t>
      </w:r>
      <w:r w:rsidRPr="008127F8">
        <w:rPr>
          <w:rFonts w:ascii="Times New Roman" w:hAnsi="Times New Roman"/>
          <w:color w:val="000000" w:themeColor="text1"/>
          <w:sz w:val="16"/>
          <w:szCs w:val="16"/>
        </w:rPr>
        <w:softHyphen/>
        <w:t>нокалиберных пулемётов и потеря</w:t>
      </w:r>
      <w:r w:rsidRPr="008127F8">
        <w:rPr>
          <w:rFonts w:ascii="Times New Roman" w:hAnsi="Times New Roman"/>
          <w:color w:val="000000" w:themeColor="text1"/>
          <w:sz w:val="16"/>
          <w:szCs w:val="16"/>
        </w:rPr>
        <w:softHyphen/>
        <w:t>ли три истребителя.</w:t>
      </w:r>
    </w:p>
    <w:p w14:paraId="6339B8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Ознакомившись с установкой ФТ, начальник НИИ ВВС генерал-лейте</w:t>
      </w:r>
      <w:r w:rsidRPr="008127F8">
        <w:rPr>
          <w:rFonts w:ascii="Times New Roman" w:hAnsi="Times New Roman"/>
          <w:color w:val="000000" w:themeColor="text1"/>
          <w:sz w:val="16"/>
          <w:szCs w:val="16"/>
        </w:rPr>
        <w:softHyphen/>
        <w:t>нант Петров в числе достоинств осо</w:t>
      </w:r>
      <w:r w:rsidRPr="008127F8">
        <w:rPr>
          <w:rFonts w:ascii="Times New Roman" w:hAnsi="Times New Roman"/>
          <w:color w:val="000000" w:themeColor="text1"/>
          <w:sz w:val="16"/>
          <w:szCs w:val="16"/>
        </w:rPr>
        <w:softHyphen/>
        <w:t>бо отмечал несложность переобору</w:t>
      </w:r>
      <w:r w:rsidRPr="008127F8">
        <w:rPr>
          <w:rFonts w:ascii="Times New Roman" w:hAnsi="Times New Roman"/>
          <w:color w:val="000000" w:themeColor="text1"/>
          <w:sz w:val="16"/>
          <w:szCs w:val="16"/>
        </w:rPr>
        <w:softHyphen/>
        <w:t xml:space="preserve">дования Пе-2: </w:t>
      </w:r>
      <w:r w:rsidRPr="008127F8">
        <w:rPr>
          <w:rFonts w:ascii="Times New Roman" w:hAnsi="Times New Roman"/>
          <w:iCs/>
          <w:color w:val="000000" w:themeColor="text1"/>
          <w:sz w:val="16"/>
          <w:szCs w:val="16"/>
        </w:rPr>
        <w:t xml:space="preserve">«1. Пулемёт </w:t>
      </w:r>
      <w:proofErr w:type="gramStart"/>
      <w:r w:rsidRPr="008127F8">
        <w:rPr>
          <w:rFonts w:ascii="Times New Roman" w:hAnsi="Times New Roman"/>
          <w:iCs/>
          <w:color w:val="000000" w:themeColor="text1"/>
          <w:sz w:val="16"/>
          <w:szCs w:val="16"/>
        </w:rPr>
        <w:t>монтиру</w:t>
      </w:r>
      <w:r w:rsidRPr="008127F8">
        <w:rPr>
          <w:rFonts w:ascii="Times New Roman" w:hAnsi="Times New Roman"/>
          <w:iCs/>
          <w:color w:val="000000" w:themeColor="text1"/>
          <w:sz w:val="16"/>
          <w:szCs w:val="16"/>
        </w:rPr>
        <w:softHyphen/>
        <w:t>ется</w:t>
      </w:r>
      <w:proofErr w:type="gramEnd"/>
      <w:r w:rsidRPr="008127F8">
        <w:rPr>
          <w:rFonts w:ascii="Times New Roman" w:hAnsi="Times New Roman"/>
          <w:iCs/>
          <w:color w:val="000000" w:themeColor="text1"/>
          <w:sz w:val="16"/>
          <w:szCs w:val="16"/>
        </w:rPr>
        <w:t xml:space="preserve"> но серийном лафете типа лю</w:t>
      </w:r>
      <w:r w:rsidRPr="008127F8">
        <w:rPr>
          <w:rFonts w:ascii="Times New Roman" w:hAnsi="Times New Roman"/>
          <w:iCs/>
          <w:color w:val="000000" w:themeColor="text1"/>
          <w:sz w:val="16"/>
          <w:szCs w:val="16"/>
        </w:rPr>
        <w:softHyphen/>
        <w:t>ковой установки. Вся установка под</w:t>
      </w:r>
      <w:r w:rsidRPr="008127F8">
        <w:rPr>
          <w:rFonts w:ascii="Times New Roman" w:hAnsi="Times New Roman"/>
          <w:iCs/>
          <w:color w:val="000000" w:themeColor="text1"/>
          <w:sz w:val="16"/>
          <w:szCs w:val="16"/>
        </w:rPr>
        <w:softHyphen/>
        <w:t>вешивается с помощью осевых бол</w:t>
      </w:r>
      <w:r w:rsidRPr="008127F8">
        <w:rPr>
          <w:rFonts w:ascii="Times New Roman" w:hAnsi="Times New Roman"/>
          <w:iCs/>
          <w:color w:val="000000" w:themeColor="text1"/>
          <w:sz w:val="16"/>
          <w:szCs w:val="16"/>
        </w:rPr>
        <w:softHyphen/>
        <w:t>тов на противокапотажную раму фюзеляжа.</w:t>
      </w:r>
    </w:p>
    <w:p w14:paraId="3871F1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2. Откидной фонарь-обтекатель пулемётной установки ШКАСвыбра</w:t>
      </w:r>
      <w:r w:rsidRPr="008127F8">
        <w:rPr>
          <w:rFonts w:ascii="Times New Roman" w:hAnsi="Times New Roman"/>
          <w:iCs/>
          <w:color w:val="000000" w:themeColor="text1"/>
          <w:sz w:val="16"/>
          <w:szCs w:val="16"/>
        </w:rPr>
        <w:softHyphen/>
        <w:t>сывается и взамен его устанавлива</w:t>
      </w:r>
      <w:r w:rsidRPr="008127F8">
        <w:rPr>
          <w:rFonts w:ascii="Times New Roman" w:hAnsi="Times New Roman"/>
          <w:iCs/>
          <w:color w:val="000000" w:themeColor="text1"/>
          <w:sz w:val="16"/>
          <w:szCs w:val="16"/>
        </w:rPr>
        <w:softHyphen/>
        <w:t>ется капот на бензобак...</w:t>
      </w:r>
    </w:p>
    <w:p w14:paraId="064D5A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Монтаж установки прост - 4-6 ч силами и средствами строевых час</w:t>
      </w:r>
      <w:r w:rsidRPr="008127F8">
        <w:rPr>
          <w:rFonts w:ascii="Times New Roman" w:hAnsi="Times New Roman"/>
          <w:iCs/>
          <w:color w:val="000000" w:themeColor="text1"/>
          <w:sz w:val="16"/>
          <w:szCs w:val="16"/>
        </w:rPr>
        <w:softHyphen/>
        <w:t>тей или выездной бригадой завода».</w:t>
      </w:r>
    </w:p>
    <w:p w14:paraId="60A8536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руководство нар</w:t>
      </w:r>
      <w:r w:rsidRPr="008127F8">
        <w:rPr>
          <w:rFonts w:ascii="Times New Roman" w:hAnsi="Times New Roman"/>
          <w:color w:val="000000" w:themeColor="text1"/>
          <w:sz w:val="16"/>
          <w:szCs w:val="16"/>
        </w:rPr>
        <w:softHyphen/>
        <w:t>комата в лице начальника 10 ГУ НКАП полковника Б.Тарасевича вне</w:t>
      </w:r>
      <w:r w:rsidRPr="008127F8">
        <w:rPr>
          <w:rFonts w:ascii="Times New Roman" w:hAnsi="Times New Roman"/>
          <w:color w:val="000000" w:themeColor="text1"/>
          <w:sz w:val="16"/>
          <w:szCs w:val="16"/>
        </w:rPr>
        <w:softHyphen/>
        <w:t>дрение ФТ «встретило в штыки», опа</w:t>
      </w:r>
      <w:r w:rsidRPr="008127F8">
        <w:rPr>
          <w:rFonts w:ascii="Times New Roman" w:hAnsi="Times New Roman"/>
          <w:color w:val="000000" w:themeColor="text1"/>
          <w:sz w:val="16"/>
          <w:szCs w:val="16"/>
        </w:rPr>
        <w:softHyphen/>
        <w:t>саясь, что нововведение (пусть даже временно) снизит выпуск машин. Оп</w:t>
      </w:r>
      <w:r w:rsidRPr="008127F8">
        <w:rPr>
          <w:rFonts w:ascii="Times New Roman" w:hAnsi="Times New Roman"/>
          <w:color w:val="000000" w:themeColor="text1"/>
          <w:sz w:val="16"/>
          <w:szCs w:val="16"/>
        </w:rPr>
        <w:softHyphen/>
        <w:t>равдываться за это пришлось бы пе</w:t>
      </w:r>
      <w:r w:rsidRPr="008127F8">
        <w:rPr>
          <w:rFonts w:ascii="Times New Roman" w:hAnsi="Times New Roman"/>
          <w:color w:val="000000" w:themeColor="text1"/>
          <w:sz w:val="16"/>
          <w:szCs w:val="16"/>
        </w:rPr>
        <w:softHyphen/>
        <w:t>ред ГКО и лично перед И.В.Стали</w:t>
      </w:r>
      <w:r w:rsidRPr="008127F8">
        <w:rPr>
          <w:rFonts w:ascii="Times New Roman" w:hAnsi="Times New Roman"/>
          <w:color w:val="000000" w:themeColor="text1"/>
          <w:sz w:val="16"/>
          <w:szCs w:val="16"/>
        </w:rPr>
        <w:softHyphen/>
        <w:t>ным, ежедневно просматривавшим сводки сдачи боевых самолётов. При</w:t>
      </w:r>
      <w:r w:rsidRPr="008127F8">
        <w:rPr>
          <w:rFonts w:ascii="Times New Roman" w:hAnsi="Times New Roman"/>
          <w:color w:val="000000" w:themeColor="text1"/>
          <w:sz w:val="16"/>
          <w:szCs w:val="16"/>
        </w:rPr>
        <w:softHyphen/>
        <w:t>помнив, что ФТ не проходила госис</w:t>
      </w:r>
      <w:r w:rsidRPr="008127F8">
        <w:rPr>
          <w:rFonts w:ascii="Times New Roman" w:hAnsi="Times New Roman"/>
          <w:color w:val="000000" w:themeColor="text1"/>
          <w:sz w:val="16"/>
          <w:szCs w:val="16"/>
        </w:rPr>
        <w:softHyphen/>
        <w:t>пытаний и официально не принята на вооружение, Тарасевич потребо</w:t>
      </w:r>
      <w:r w:rsidRPr="008127F8">
        <w:rPr>
          <w:rFonts w:ascii="Times New Roman" w:hAnsi="Times New Roman"/>
          <w:color w:val="000000" w:themeColor="text1"/>
          <w:sz w:val="16"/>
          <w:szCs w:val="16"/>
        </w:rPr>
        <w:softHyphen/>
        <w:t>вал «прекратить самодеятельность», пригрозив «вредителям» отправкой на лесоповал. Вопрос пришлось ре</w:t>
      </w:r>
      <w:r w:rsidRPr="008127F8">
        <w:rPr>
          <w:rFonts w:ascii="Times New Roman" w:hAnsi="Times New Roman"/>
          <w:color w:val="000000" w:themeColor="text1"/>
          <w:sz w:val="16"/>
          <w:szCs w:val="16"/>
        </w:rPr>
        <w:softHyphen/>
        <w:t>шать в ЦК ВКП(б), после чего завод №22 выпустил сотни Пе-2 в этом ва</w:t>
      </w:r>
      <w:r w:rsidRPr="008127F8">
        <w:rPr>
          <w:rFonts w:ascii="Times New Roman" w:hAnsi="Times New Roman"/>
          <w:color w:val="000000" w:themeColor="text1"/>
          <w:sz w:val="16"/>
          <w:szCs w:val="16"/>
        </w:rPr>
        <w:softHyphen/>
        <w:t>рианте (с 11-го самолёта 83-й серии по 109-ю включительно). Ещё около тысячи установок ФТ изготовили «россыпью» и разослали в полки, где техники совместно с заводскими выездными бригадами доработали «пешки» по бюллетеню №11-12 1942 г. (11432).</w:t>
      </w:r>
    </w:p>
    <w:p w14:paraId="349593A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E4E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вышел приказ командующего ВВС и НКАП N 928/164c по проведению испытаний Пе-2 2М-105Ф для определения ЛТД при его сравнении с серийным самолетом для установки целесообразности запуска в серию (1532,98).</w:t>
      </w:r>
    </w:p>
    <w:p w14:paraId="7C2E0B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B6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февраля по 3 марта 1942 в НИИ ВВС проводились сравнительные испытания Пе-2 N 2601 с 2М-105 и ВИШ-61Б производства 125 завода с самолетом N 2311 125 завода и серийным N 10/35 22 завода. Отв. испытатель Г.В.Грибовский, ли М.П.Субботин. 18 полетов продолжительностью 6 час. 31 мин. На самолете не было турели под УБ, как рекомендовано в октябре 1941 и брони как рекомендовано в сентябре 1941. Решили, что данные идентичны, но рекомендовали внедрить в серию, все, что было рекомендовано).</w:t>
      </w:r>
    </w:p>
    <w:p w14:paraId="515644A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Нач. НИИ ВВС ви1р Вахрушев и за комиссара бк Сизов подписал Отчет по сравнительным испытаниям с-та Пе-2 № 2601 2М-105 ВИШ-61Б</w:t>
      </w:r>
    </w:p>
    <w:p w14:paraId="7595A11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 2601 производства завода № 125</w:t>
      </w:r>
    </w:p>
    <w:p w14:paraId="0853214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исполнитель ви2р Г.В.Грибовский, в-н М.П.Субботин</w:t>
      </w:r>
    </w:p>
    <w:p w14:paraId="7830030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сравнению с Пе-2 № 2311 отличия:</w:t>
      </w:r>
    </w:p>
    <w:p w14:paraId="64F1B8E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изменена установка патронного ящика (постоянного питания)</w:t>
      </w:r>
    </w:p>
    <w:p w14:paraId="285046B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ухваты наружных бомб - легкосъемные</w:t>
      </w:r>
    </w:p>
    <w:p w14:paraId="2AB5ECE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задний обтекатель фонаря кабины выполнен из дюраля</w:t>
      </w:r>
    </w:p>
    <w:p w14:paraId="204DBDD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Снят механизм УПР-2 (управление заслонкой </w:t>
      </w:r>
      <w:proofErr w:type="gramStart"/>
      <w:r w:rsidRPr="008127F8">
        <w:rPr>
          <w:rFonts w:ascii="Times New Roman" w:hAnsi="Times New Roman"/>
          <w:color w:val="000000" w:themeColor="text1"/>
          <w:sz w:val="16"/>
          <w:szCs w:val="16"/>
        </w:rPr>
        <w:t>маслорадиатора</w:t>
      </w:r>
      <w:proofErr w:type="gramEnd"/>
      <w:r w:rsidRPr="008127F8">
        <w:rPr>
          <w:rFonts w:ascii="Times New Roman" w:hAnsi="Times New Roman"/>
          <w:color w:val="000000" w:themeColor="text1"/>
          <w:sz w:val="16"/>
          <w:szCs w:val="16"/>
        </w:rPr>
        <w:t xml:space="preserve"> и заслонка имеет механизм, регулируемый на земле</w:t>
      </w:r>
    </w:p>
    <w:p w14:paraId="6177F6B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Окраска с-та аналогична окраске серии 10/35 завода № 22</w:t>
      </w:r>
    </w:p>
    <w:p w14:paraId="52405A4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проходили на аэродроме НИИ ВВС с 28 февраля по 3 марта 1942</w:t>
      </w:r>
    </w:p>
    <w:p w14:paraId="09D4AF3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Произведено 18 полетов, налет 6:31</w:t>
      </w:r>
    </w:p>
    <w:p w14:paraId="3F536F4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Взвешивание не производилосьВес с-та с полной заправкой горючим без бомб принят равным весу серийного с-та з-да № 22 - 7700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996"/>
        <w:gridCol w:w="1996"/>
        <w:gridCol w:w="1996"/>
        <w:gridCol w:w="1996"/>
      </w:tblGrid>
      <w:tr w:rsidR="006F4095" w:rsidRPr="008127F8" w14:paraId="3E9EBC05" w14:textId="77777777">
        <w:tc>
          <w:tcPr>
            <w:tcW w:w="3227" w:type="dxa"/>
            <w:tcBorders>
              <w:top w:val="single" w:sz="12" w:space="0" w:color="auto"/>
            </w:tcBorders>
          </w:tcPr>
          <w:p w14:paraId="7EE0F8D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w:t>
            </w:r>
          </w:p>
        </w:tc>
        <w:tc>
          <w:tcPr>
            <w:tcW w:w="1996" w:type="dxa"/>
            <w:tcBorders>
              <w:top w:val="single" w:sz="12" w:space="0" w:color="auto"/>
            </w:tcBorders>
          </w:tcPr>
          <w:p w14:paraId="17B8431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 2601 завода № 125</w:t>
            </w:r>
          </w:p>
        </w:tc>
        <w:tc>
          <w:tcPr>
            <w:tcW w:w="1996" w:type="dxa"/>
            <w:tcBorders>
              <w:top w:val="single" w:sz="12" w:space="0" w:color="auto"/>
            </w:tcBorders>
          </w:tcPr>
          <w:p w14:paraId="12F2156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 2311 завода № 125</w:t>
            </w:r>
          </w:p>
        </w:tc>
        <w:tc>
          <w:tcPr>
            <w:tcW w:w="1996" w:type="dxa"/>
            <w:tcBorders>
              <w:top w:val="single" w:sz="12" w:space="0" w:color="auto"/>
            </w:tcBorders>
          </w:tcPr>
          <w:p w14:paraId="6C2CFB8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№10/35завода № 22</w:t>
            </w:r>
          </w:p>
        </w:tc>
        <w:tc>
          <w:tcPr>
            <w:tcW w:w="1996" w:type="dxa"/>
            <w:tcBorders>
              <w:top w:val="single" w:sz="12" w:space="0" w:color="auto"/>
            </w:tcBorders>
          </w:tcPr>
          <w:p w14:paraId="14BA000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с-т Пе-2</w:t>
            </w:r>
          </w:p>
        </w:tc>
      </w:tr>
      <w:tr w:rsidR="006F4095" w:rsidRPr="008127F8" w14:paraId="00C540C6" w14:textId="77777777">
        <w:tc>
          <w:tcPr>
            <w:tcW w:w="3227" w:type="dxa"/>
          </w:tcPr>
          <w:p w14:paraId="6A9FD23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у земли</w:t>
            </w:r>
          </w:p>
        </w:tc>
        <w:tc>
          <w:tcPr>
            <w:tcW w:w="1996" w:type="dxa"/>
          </w:tcPr>
          <w:p w14:paraId="1051B13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448</w:t>
            </w:r>
          </w:p>
        </w:tc>
        <w:tc>
          <w:tcPr>
            <w:tcW w:w="1996" w:type="dxa"/>
          </w:tcPr>
          <w:p w14:paraId="2907C41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443</w:t>
            </w:r>
          </w:p>
        </w:tc>
        <w:tc>
          <w:tcPr>
            <w:tcW w:w="1996" w:type="dxa"/>
          </w:tcPr>
          <w:p w14:paraId="29FAD35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96" w:type="dxa"/>
          </w:tcPr>
          <w:p w14:paraId="168B804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 (вес 7500)</w:t>
            </w:r>
          </w:p>
        </w:tc>
      </w:tr>
      <w:tr w:rsidR="006F4095" w:rsidRPr="008127F8" w14:paraId="76129974" w14:textId="77777777">
        <w:tc>
          <w:tcPr>
            <w:tcW w:w="3227" w:type="dxa"/>
          </w:tcPr>
          <w:p w14:paraId="2A528DA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Макс. скорость на 1 гр. высотности</w:t>
            </w:r>
          </w:p>
        </w:tc>
        <w:tc>
          <w:tcPr>
            <w:tcW w:w="1996" w:type="dxa"/>
          </w:tcPr>
          <w:p w14:paraId="3C10E91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510/3000</w:t>
            </w:r>
          </w:p>
        </w:tc>
        <w:tc>
          <w:tcPr>
            <w:tcW w:w="1996" w:type="dxa"/>
          </w:tcPr>
          <w:p w14:paraId="6FCB80F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513/3000</w:t>
            </w:r>
          </w:p>
        </w:tc>
        <w:tc>
          <w:tcPr>
            <w:tcW w:w="1996" w:type="dxa"/>
          </w:tcPr>
          <w:p w14:paraId="6D1E94A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510/3100</w:t>
            </w:r>
          </w:p>
        </w:tc>
        <w:tc>
          <w:tcPr>
            <w:tcW w:w="1996" w:type="dxa"/>
          </w:tcPr>
          <w:p w14:paraId="493AF69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516/3000</w:t>
            </w:r>
          </w:p>
        </w:tc>
      </w:tr>
      <w:tr w:rsidR="006F4095" w:rsidRPr="008127F8" w14:paraId="350FDDE0" w14:textId="77777777">
        <w:tc>
          <w:tcPr>
            <w:tcW w:w="3227" w:type="dxa"/>
          </w:tcPr>
          <w:p w14:paraId="4295E37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2 гр. высотности</w:t>
            </w:r>
          </w:p>
        </w:tc>
        <w:tc>
          <w:tcPr>
            <w:tcW w:w="1996" w:type="dxa"/>
          </w:tcPr>
          <w:p w14:paraId="0B44FF1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530/5000</w:t>
            </w:r>
          </w:p>
        </w:tc>
        <w:tc>
          <w:tcPr>
            <w:tcW w:w="1996" w:type="dxa"/>
          </w:tcPr>
          <w:p w14:paraId="70F9DBA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530/4900</w:t>
            </w:r>
          </w:p>
        </w:tc>
        <w:tc>
          <w:tcPr>
            <w:tcW w:w="1996" w:type="dxa"/>
          </w:tcPr>
          <w:p w14:paraId="3C6D9E5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530/5100</w:t>
            </w:r>
          </w:p>
        </w:tc>
        <w:tc>
          <w:tcPr>
            <w:tcW w:w="1996" w:type="dxa"/>
          </w:tcPr>
          <w:p w14:paraId="5461553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540/5000</w:t>
            </w:r>
          </w:p>
        </w:tc>
      </w:tr>
      <w:tr w:rsidR="006F4095" w:rsidRPr="008127F8" w14:paraId="64588CED" w14:textId="77777777">
        <w:tc>
          <w:tcPr>
            <w:tcW w:w="3227" w:type="dxa"/>
          </w:tcPr>
          <w:p w14:paraId="3CBFB69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подъема на 5000 м</w:t>
            </w:r>
          </w:p>
        </w:tc>
        <w:tc>
          <w:tcPr>
            <w:tcW w:w="1996" w:type="dxa"/>
          </w:tcPr>
          <w:p w14:paraId="21CD6F8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996" w:type="dxa"/>
          </w:tcPr>
          <w:p w14:paraId="613BE38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996" w:type="dxa"/>
          </w:tcPr>
          <w:p w14:paraId="5195BF2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996" w:type="dxa"/>
          </w:tcPr>
          <w:p w14:paraId="78D37C6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r>
      <w:tr w:rsidR="006F4095" w:rsidRPr="008127F8" w14:paraId="6B093443" w14:textId="77777777">
        <w:tc>
          <w:tcPr>
            <w:tcW w:w="3227" w:type="dxa"/>
          </w:tcPr>
          <w:p w14:paraId="342356B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w:t>
            </w:r>
          </w:p>
        </w:tc>
        <w:tc>
          <w:tcPr>
            <w:tcW w:w="1996" w:type="dxa"/>
          </w:tcPr>
          <w:p w14:paraId="4AC24C3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9200</w:t>
            </w:r>
          </w:p>
        </w:tc>
        <w:tc>
          <w:tcPr>
            <w:tcW w:w="1996" w:type="dxa"/>
          </w:tcPr>
          <w:p w14:paraId="1AF2105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96" w:type="dxa"/>
          </w:tcPr>
          <w:p w14:paraId="53692B2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996" w:type="dxa"/>
          </w:tcPr>
          <w:p w14:paraId="04A9395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r>
      <w:tr w:rsidR="006F4095" w:rsidRPr="008127F8" w14:paraId="2E1AD43D" w14:textId="77777777">
        <w:tc>
          <w:tcPr>
            <w:tcW w:w="3227" w:type="dxa"/>
            <w:tcBorders>
              <w:bottom w:val="single" w:sz="12" w:space="0" w:color="auto"/>
            </w:tcBorders>
          </w:tcPr>
          <w:p w14:paraId="5B26EBF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(увеличен за счет бокового ветра)</w:t>
            </w:r>
          </w:p>
        </w:tc>
        <w:tc>
          <w:tcPr>
            <w:tcW w:w="1996" w:type="dxa"/>
            <w:tcBorders>
              <w:bottom w:val="single" w:sz="12" w:space="0" w:color="auto"/>
            </w:tcBorders>
          </w:tcPr>
          <w:p w14:paraId="7F3860A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578</w:t>
            </w:r>
          </w:p>
        </w:tc>
        <w:tc>
          <w:tcPr>
            <w:tcW w:w="1996" w:type="dxa"/>
            <w:tcBorders>
              <w:bottom w:val="single" w:sz="12" w:space="0" w:color="auto"/>
            </w:tcBorders>
          </w:tcPr>
          <w:p w14:paraId="30E0469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96" w:type="dxa"/>
            <w:tcBorders>
              <w:bottom w:val="single" w:sz="12" w:space="0" w:color="auto"/>
            </w:tcBorders>
          </w:tcPr>
          <w:p w14:paraId="27013F5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96" w:type="dxa"/>
            <w:tcBorders>
              <w:bottom w:val="single" w:sz="12" w:space="0" w:color="auto"/>
            </w:tcBorders>
          </w:tcPr>
          <w:p w14:paraId="75E6B0D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w:t>
            </w:r>
          </w:p>
        </w:tc>
      </w:tr>
    </w:tbl>
    <w:p w14:paraId="564D018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Слабыми сторонами с-та Пе-2 по опыту боевых действий являются:</w:t>
      </w:r>
    </w:p>
    <w:p w14:paraId="63414C7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отсутствие у ш крупнокалиберного с-та. Установка под универсальный крупнокалиберный Березина была испытаниа на НАПАВ в октябре 1941 и рекомендована для установки на с-т </w:t>
      </w:r>
      <w:proofErr w:type="gramStart"/>
      <w:r w:rsidRPr="008127F8">
        <w:rPr>
          <w:rFonts w:ascii="Times New Roman" w:hAnsi="Times New Roman"/>
          <w:color w:val="000000" w:themeColor="text1"/>
          <w:sz w:val="16"/>
          <w:szCs w:val="16"/>
        </w:rPr>
        <w:t>Пе-2 Однако</w:t>
      </w:r>
      <w:proofErr w:type="gramEnd"/>
      <w:r w:rsidRPr="008127F8">
        <w:rPr>
          <w:rFonts w:ascii="Times New Roman" w:hAnsi="Times New Roman"/>
          <w:color w:val="000000" w:themeColor="text1"/>
          <w:sz w:val="16"/>
          <w:szCs w:val="16"/>
        </w:rPr>
        <w:t>, до сих пор как на заводе № 22, так и на заводе № 125 эта установка отсутствует</w:t>
      </w:r>
    </w:p>
    <w:p w14:paraId="5B1EA38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Малый запас патронов</w:t>
      </w:r>
    </w:p>
    <w:p w14:paraId="4174646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Неудовлетворительное бронирование ш и стрелка-радиста</w:t>
      </w:r>
    </w:p>
    <w:p w14:paraId="293BE47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была рекомендована схема бронирования экипажа, но до сих пор эта схема не осуществлена</w:t>
      </w:r>
    </w:p>
    <w:p w14:paraId="79B93D9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имеет установку для заполнения б/ь азотом. В августе 1942 была испытана и рекомендована для с-та Пе-2 установка заполнения б/б нейтральными газами от выхлопа мотора.</w:t>
      </w:r>
    </w:p>
    <w:p w14:paraId="527BB95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 22 до переезда в Казань начало выпускать с-т с установками нейтрального газа от выхлопа. После переезда стал выпускать с установками для азота. З-д № 125 выпускает с-ты с установками для азота.</w:t>
      </w:r>
    </w:p>
    <w:p w14:paraId="6F8149F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 качество протектора б/б Протектор ставится образца 1938 г.</w:t>
      </w:r>
    </w:p>
    <w:p w14:paraId="4DFE838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3807EDD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ЛТД с-та № 2601 завода № 125 и ранее испытанного в НИИ ВВС с-тов № 10/35 завода № 22 и№ 2311 завода № 125 одинаковы.</w:t>
      </w:r>
    </w:p>
    <w:p w14:paraId="233D16B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Просить НКАП обязать заводы № 22 и 125 в самое близкое время:</w:t>
      </w:r>
    </w:p>
    <w:p w14:paraId="799E609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устранить на с-те Пе-2 для штурмана крупнокалибпрный </w:t>
      </w:r>
      <w:proofErr w:type="gramStart"/>
      <w:r w:rsidRPr="008127F8">
        <w:rPr>
          <w:rFonts w:ascii="Times New Roman" w:hAnsi="Times New Roman"/>
          <w:color w:val="000000" w:themeColor="text1"/>
          <w:sz w:val="16"/>
          <w:szCs w:val="16"/>
        </w:rPr>
        <w:t>пулемет..</w:t>
      </w:r>
      <w:proofErr w:type="gramEnd"/>
    </w:p>
    <w:p w14:paraId="4BECA4C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вместо установки заполнения б/б азотом ввести установку заполнения от системы выхлопа</w:t>
      </w:r>
    </w:p>
    <w:p w14:paraId="507B106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повышения живучести с-та Пе-2 и более надежной защиты от загорания в воздухе при протектировании б/б необходимо перейти на протектирование б/б комбинированным протектором НИИ РП (состоящим ХО, Х1, Х2), а вместо протектора образца 1938 проработать вопрос установки фибровых б/б с протектором ВИАМ (808).</w:t>
      </w:r>
    </w:p>
    <w:p w14:paraId="1C3242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DE9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 после 10 дней работы бы</w:t>
      </w:r>
      <w:r w:rsidRPr="008127F8">
        <w:rPr>
          <w:rFonts w:ascii="Times New Roman" w:hAnsi="Times New Roman"/>
          <w:color w:val="000000" w:themeColor="text1"/>
          <w:sz w:val="16"/>
          <w:szCs w:val="16"/>
        </w:rPr>
        <w:softHyphen/>
        <w:t>ла завершена разработка установки, на</w:t>
      </w:r>
      <w:r w:rsidRPr="008127F8">
        <w:rPr>
          <w:rFonts w:ascii="Times New Roman" w:hAnsi="Times New Roman"/>
          <w:color w:val="000000" w:themeColor="text1"/>
          <w:sz w:val="16"/>
          <w:szCs w:val="16"/>
        </w:rPr>
        <w:softHyphen/>
        <w:t>званной ФТ (фронт требует), основными требованитями к которой были простота, использование деталей серийной люковой установки МВ-2 и возможность монтажа на месте прежней ТСС-1 без серьёзной пере</w:t>
      </w:r>
      <w:r w:rsidRPr="008127F8">
        <w:rPr>
          <w:rFonts w:ascii="Times New Roman" w:hAnsi="Times New Roman"/>
          <w:color w:val="000000" w:themeColor="text1"/>
          <w:sz w:val="16"/>
          <w:szCs w:val="16"/>
        </w:rPr>
        <w:softHyphen/>
        <w:t>делки самолёта. Це</w:t>
      </w:r>
      <w:r w:rsidRPr="008127F8">
        <w:rPr>
          <w:rFonts w:ascii="Times New Roman" w:hAnsi="Times New Roman"/>
          <w:color w:val="000000" w:themeColor="text1"/>
          <w:sz w:val="16"/>
          <w:szCs w:val="16"/>
        </w:rPr>
        <w:softHyphen/>
        <w:t>ной простоты стали ограниченные углы обстрела, ухудшение ха</w:t>
      </w:r>
      <w:r w:rsidRPr="008127F8">
        <w:rPr>
          <w:rFonts w:ascii="Times New Roman" w:hAnsi="Times New Roman"/>
          <w:color w:val="000000" w:themeColor="text1"/>
          <w:sz w:val="16"/>
          <w:szCs w:val="16"/>
        </w:rPr>
        <w:softHyphen/>
        <w:t>рактеристик самолёта из-за снятия обтека</w:t>
      </w:r>
      <w:r w:rsidRPr="008127F8">
        <w:rPr>
          <w:rFonts w:ascii="Times New Roman" w:hAnsi="Times New Roman"/>
          <w:color w:val="000000" w:themeColor="text1"/>
          <w:sz w:val="16"/>
          <w:szCs w:val="16"/>
        </w:rPr>
        <w:softHyphen/>
        <w:t>теля - «черепахи», меньшая эффективность самой турели из-за отсутствия аэродинами</w:t>
      </w:r>
      <w:r w:rsidRPr="008127F8">
        <w:rPr>
          <w:rFonts w:ascii="Times New Roman" w:hAnsi="Times New Roman"/>
          <w:color w:val="000000" w:themeColor="text1"/>
          <w:sz w:val="16"/>
          <w:szCs w:val="16"/>
        </w:rPr>
        <w:softHyphen/>
        <w:t>ческого компенсатора и механизма учёта собственной скорости.</w:t>
      </w:r>
    </w:p>
    <w:p w14:paraId="2F67FF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тому же, в открытой сзади кабине стало крайне некомфортно, особенно зимой. Впрочем, в не менее «экстремальных усло</w:t>
      </w:r>
      <w:r w:rsidRPr="008127F8">
        <w:rPr>
          <w:rFonts w:ascii="Times New Roman" w:hAnsi="Times New Roman"/>
          <w:color w:val="000000" w:themeColor="text1"/>
          <w:sz w:val="16"/>
          <w:szCs w:val="16"/>
        </w:rPr>
        <w:softHyphen/>
        <w:t>виях» приходилось воевать стрелкам аме</w:t>
      </w:r>
      <w:r w:rsidRPr="008127F8">
        <w:rPr>
          <w:rFonts w:ascii="Times New Roman" w:hAnsi="Times New Roman"/>
          <w:color w:val="000000" w:themeColor="text1"/>
          <w:sz w:val="16"/>
          <w:szCs w:val="16"/>
        </w:rPr>
        <w:softHyphen/>
        <w:t>риканских «крепостей», обслуживая откры</w:t>
      </w:r>
      <w:r w:rsidRPr="008127F8">
        <w:rPr>
          <w:rFonts w:ascii="Times New Roman" w:hAnsi="Times New Roman"/>
          <w:color w:val="000000" w:themeColor="text1"/>
          <w:sz w:val="16"/>
          <w:szCs w:val="16"/>
        </w:rPr>
        <w:softHyphen/>
        <w:t>тые настежь бортовые установки. Но, всё же, ФТ оказалась «синицей в руках», решав</w:t>
      </w:r>
      <w:r w:rsidRPr="008127F8">
        <w:rPr>
          <w:rFonts w:ascii="Times New Roman" w:hAnsi="Times New Roman"/>
          <w:color w:val="000000" w:themeColor="text1"/>
          <w:sz w:val="16"/>
          <w:szCs w:val="16"/>
        </w:rPr>
        <w:softHyphen/>
        <w:t>шей главную задачу - защиту хвоста бом</w:t>
      </w:r>
      <w:r w:rsidRPr="008127F8">
        <w:rPr>
          <w:rFonts w:ascii="Times New Roman" w:hAnsi="Times New Roman"/>
          <w:color w:val="000000" w:themeColor="text1"/>
          <w:sz w:val="16"/>
          <w:szCs w:val="16"/>
        </w:rPr>
        <w:softHyphen/>
        <w:t>бардировщика пулемётом крупного калиб</w:t>
      </w:r>
      <w:r w:rsidRPr="008127F8">
        <w:rPr>
          <w:rFonts w:ascii="Times New Roman" w:hAnsi="Times New Roman"/>
          <w:color w:val="000000" w:themeColor="text1"/>
          <w:sz w:val="16"/>
          <w:szCs w:val="16"/>
        </w:rPr>
        <w:softHyphen/>
        <w:t>ра. Она позволила выиграть время для осво</w:t>
      </w:r>
      <w:r w:rsidRPr="008127F8">
        <w:rPr>
          <w:rFonts w:ascii="Times New Roman" w:hAnsi="Times New Roman"/>
          <w:color w:val="000000" w:themeColor="text1"/>
          <w:sz w:val="16"/>
          <w:szCs w:val="16"/>
        </w:rPr>
        <w:softHyphen/>
        <w:t>ения более совершенных систем. ФТ успеш</w:t>
      </w:r>
      <w:r w:rsidRPr="008127F8">
        <w:rPr>
          <w:rFonts w:ascii="Times New Roman" w:hAnsi="Times New Roman"/>
          <w:color w:val="000000" w:themeColor="text1"/>
          <w:sz w:val="16"/>
          <w:szCs w:val="16"/>
        </w:rPr>
        <w:softHyphen/>
        <w:t>но прошла заводские испытания в 30-м сбап полковника Новикова и 40-м драп майора Садова, после чего тут же, без особых фор</w:t>
      </w:r>
      <w:r w:rsidRPr="008127F8">
        <w:rPr>
          <w:rFonts w:ascii="Times New Roman" w:hAnsi="Times New Roman"/>
          <w:color w:val="000000" w:themeColor="text1"/>
          <w:sz w:val="16"/>
          <w:szCs w:val="16"/>
        </w:rPr>
        <w:softHyphen/>
        <w:t>мальностей была запущена в производство (11392).</w:t>
      </w:r>
    </w:p>
    <w:p w14:paraId="43D31E4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3CDC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первый вылет совершил Як-7 М-82 (2495,25).</w:t>
      </w:r>
    </w:p>
    <w:p w14:paraId="5ADF98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074271"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февраля 1942 г. Як-7 М-82 выполнил первый полет. После шестого полета и третий мотор пришлось заме</w:t>
      </w:r>
      <w:r w:rsidRPr="008A2E5A">
        <w:rPr>
          <w:rFonts w:ascii="Times New Roman" w:hAnsi="Times New Roman"/>
          <w:color w:val="0070C0"/>
          <w:sz w:val="16"/>
          <w:szCs w:val="16"/>
        </w:rPr>
        <w:softHyphen/>
        <w:t>нить из-за разрушения поршня. В материалах испытаний не сказано явно об использовании отсека второй кабины при проведении испытаний. Однако ряд фактов, а имен</w:t>
      </w:r>
      <w:r w:rsidRPr="008A2E5A">
        <w:rPr>
          <w:rFonts w:ascii="Times New Roman" w:hAnsi="Times New Roman"/>
          <w:color w:val="0070C0"/>
          <w:sz w:val="16"/>
          <w:szCs w:val="16"/>
        </w:rPr>
        <w:softHyphen/>
        <w:t>но установка термопар на головку каждого цилиндра, сня</w:t>
      </w:r>
      <w:r w:rsidRPr="008A2E5A">
        <w:rPr>
          <w:rFonts w:ascii="Times New Roman" w:hAnsi="Times New Roman"/>
          <w:color w:val="0070C0"/>
          <w:sz w:val="16"/>
          <w:szCs w:val="16"/>
        </w:rPr>
        <w:softHyphen/>
        <w:t>тие заднего фюзеляжного бензобака, установка в заднем отсеке приборной доски и заливного бензобака, позволя</w:t>
      </w:r>
      <w:r w:rsidRPr="008A2E5A">
        <w:rPr>
          <w:rFonts w:ascii="Times New Roman" w:hAnsi="Times New Roman"/>
          <w:color w:val="0070C0"/>
          <w:sz w:val="16"/>
          <w:szCs w:val="16"/>
        </w:rPr>
        <w:softHyphen/>
        <w:t>ет говорить о возможном участии в ряде полетов наблю</w:t>
      </w:r>
      <w:r w:rsidRPr="008A2E5A">
        <w:rPr>
          <w:rFonts w:ascii="Times New Roman" w:hAnsi="Times New Roman"/>
          <w:color w:val="0070C0"/>
          <w:sz w:val="16"/>
          <w:szCs w:val="16"/>
        </w:rPr>
        <w:softHyphen/>
        <w:t>дателя. По расчетам, максимальные скорости Як-7 М-82 должны были быть 505 км/ч на номинальном режиме, 515 км/ч на форсаже у земли и 615 км/ч на высоте 6400 м, но в первых полетах на определение летных характеристик до</w:t>
      </w:r>
      <w:r w:rsidRPr="008A2E5A">
        <w:rPr>
          <w:rFonts w:ascii="Times New Roman" w:hAnsi="Times New Roman"/>
          <w:color w:val="0070C0"/>
          <w:sz w:val="16"/>
          <w:szCs w:val="16"/>
        </w:rPr>
        <w:softHyphen/>
        <w:t>стичь заданных величин не удалось.</w:t>
      </w:r>
    </w:p>
    <w:p w14:paraId="7E8CBA7F"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исследованию проблемы «недобора» скорости само</w:t>
      </w:r>
      <w:r w:rsidRPr="008A2E5A">
        <w:rPr>
          <w:rFonts w:ascii="Times New Roman" w:hAnsi="Times New Roman"/>
          <w:color w:val="0070C0"/>
          <w:sz w:val="16"/>
          <w:szCs w:val="16"/>
        </w:rPr>
        <w:softHyphen/>
        <w:t>летом Як-7 М-82 в марте 1942 г. подключился Новосибир</w:t>
      </w:r>
      <w:r w:rsidRPr="008A2E5A">
        <w:rPr>
          <w:rFonts w:ascii="Times New Roman" w:hAnsi="Times New Roman"/>
          <w:color w:val="0070C0"/>
          <w:sz w:val="16"/>
          <w:szCs w:val="16"/>
        </w:rPr>
        <w:softHyphen/>
        <w:t>ский филиал ЦАГИ. Расчеты показали, что ее решение на данном экземпляре машины невозможно. Для получе</w:t>
      </w:r>
      <w:r w:rsidRPr="008A2E5A">
        <w:rPr>
          <w:rFonts w:ascii="Times New Roman" w:hAnsi="Times New Roman"/>
          <w:color w:val="0070C0"/>
          <w:sz w:val="16"/>
          <w:szCs w:val="16"/>
        </w:rPr>
        <w:softHyphen/>
        <w:t>ния требуемых характеристик самолета следовало уста</w:t>
      </w:r>
      <w:r w:rsidRPr="008A2E5A">
        <w:rPr>
          <w:rFonts w:ascii="Times New Roman" w:hAnsi="Times New Roman"/>
          <w:color w:val="0070C0"/>
          <w:sz w:val="16"/>
          <w:szCs w:val="16"/>
        </w:rPr>
        <w:softHyphen/>
        <w:t>новить винт большего диаметра - 3,2 м (в процессе ис</w:t>
      </w:r>
      <w:r w:rsidRPr="008A2E5A">
        <w:rPr>
          <w:rFonts w:ascii="Times New Roman" w:hAnsi="Times New Roman"/>
          <w:color w:val="0070C0"/>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8A2E5A">
        <w:rPr>
          <w:rFonts w:ascii="Times New Roman" w:hAnsi="Times New Roman"/>
          <w:color w:val="0070C0"/>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77DB84FB" w14:textId="77777777" w:rsidR="0056583B" w:rsidRPr="008A2E5A" w:rsidRDefault="0056583B" w:rsidP="0056583B">
      <w:pPr>
        <w:spacing w:after="0" w:line="240" w:lineRule="auto"/>
        <w:jc w:val="both"/>
        <w:rPr>
          <w:rFonts w:ascii="Times New Roman" w:hAnsi="Times New Roman"/>
          <w:color w:val="0070C0"/>
          <w:sz w:val="16"/>
          <w:szCs w:val="16"/>
        </w:rPr>
      </w:pPr>
    </w:p>
    <w:p w14:paraId="3B899249"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февраля 1942 г. ИЗ ПИСЬМА СЕКРЕТАРЯ НОВОСИБИРСКОГО ОБКОМА ВКП(б) А.П. ЭЛЬМАНА СЕКРЕТАРЮ ЦК ВКП(б) Г.М. МАЛЕНКОВУ О ВЫПОЛНЕНИИ ПРОГРАММЫ ПРОИЗВОДСТВА САМОЛЕТОВ В 1942 г.</w:t>
      </w:r>
    </w:p>
    <w:p w14:paraId="27BDD329"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153 НКАП имеет все возможности для выполнения установленной программы производства самолетов на март 1942 года.</w:t>
      </w:r>
    </w:p>
    <w:p w14:paraId="385AA12A"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нормальной ритмичной работе завода мешает неудовлетворительное снабжение завода материалами и готовыми изделиями. Так, на 21 февраля облетано 48 машин. Не отправлены они на фронт из-за некомплектности. В частности, отсутствуют винты, которых для выполнения февральского плана недостает 96 штук.</w:t>
      </w:r>
    </w:p>
    <w:p w14:paraId="07E596DD"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цехе окончательной сборки находится 90 машин, для которых по плану февраля месяца недостает: моторов — 32, маслорадиаторов — 28, бронеспинок — 42.</w:t>
      </w:r>
    </w:p>
    <w:p w14:paraId="0DD93E28"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Новосибирский обком ВКП(б) просит:</w:t>
      </w:r>
    </w:p>
    <w:p w14:paraId="62323BE7"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наркома авиационной промышленности обеспечить завод № 153 моторами, водорадиаторами, винтами, маслорадиаторами и материалами в соответствии с программой, спускаемой НКАП; в связи с переходом завода на производство машины ЯК-7 обеспечить завод полностью трубами для фюзеляжа; выделить заводу два маслозаправщика, один бензозаправщик и 25 электрокар, из них 15 штук — 0,5-тонных и 10 — 1-тонных.</w:t>
      </w:r>
    </w:p>
    <w:p w14:paraId="3C30EFAD"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наркома черной металлургии т. Тевосян[а] приступить к производству бронеспинок для завода № 153 на Кузнецком металлургическом заводе и обеспечить изготовление в марте 1942 года - 250 штук; в апреле, мае и июне — по 350 штук в месяц; в последующие месяцы — по 450 штук в месяц.</w:t>
      </w:r>
    </w:p>
    <w:p w14:paraId="3C6782C2"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наркома химической промышленности т. Денисова обеспечить завод № 153 смоляным клеем ВИАМ Б-3 по заявке НКАП.</w:t>
      </w:r>
    </w:p>
    <w:p w14:paraId="6A102E2E"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наркома резиновой промышленности т. Мирохина обеспечить завод № 153 дюритовыми и бронированными шлангами по заявке НКАП.</w:t>
      </w:r>
    </w:p>
    <w:p w14:paraId="09C89586"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Ввиду большой потребности завода № 153 в кислороде обязать Госплан СССР выделить заводу № 153 кислородную установку производительностью не менее 150 кбм в час.</w:t>
      </w:r>
    </w:p>
    <w:p w14:paraId="6F1CDDFD"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директоров заводов: Сталинградского тракторного и Уралвагонзавода — изготовить в срок поковки шасси для завода № 153, спущенные им по заказам Наркомата авиационной промышленности.</w:t>
      </w:r>
    </w:p>
    <w:p w14:paraId="417D2879"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директора Уралмашзавода поставить в срок 580 штук стальных кубиков для завода № 153, спущенных ему по заказам Наркомата авиационной промышленности.</w:t>
      </w:r>
    </w:p>
    <w:p w14:paraId="798683A5"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В связи с расширением завода № 153, за счет размещения эвакуированных предприятий НКАП № 301, 23, 43, 115 и 388, состав парторганизации увеличился с 600 до 1 450 человек и количество рабочих — с 6 000 до 23 000 человек. Освобожденных партработников на заводе всего два человека. Просим утвердить дополнительный штат освобожденных партийных работников на заводе № 153 в составе двух инструкторов парткома и пяти секретарей цеховых парторганизаций цехов: № 3, 25, 39, 2 и отдела главного механика.</w:t>
      </w:r>
    </w:p>
    <w:p w14:paraId="38753B0A"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Новосибирского обкома ВКП(б) А.П. Эльман</w:t>
      </w:r>
    </w:p>
    <w:p w14:paraId="0466D045" w14:textId="77777777" w:rsidR="0056583B" w:rsidRPr="008A2E5A" w:rsidRDefault="0056583B" w:rsidP="0056583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ГАНО. Ф. П-4. Оп. 6. Д. 3. Л. 312—314. Подлинник (23817).</w:t>
      </w:r>
    </w:p>
    <w:p w14:paraId="77508E2D" w14:textId="77777777" w:rsidR="0056583B" w:rsidRPr="008A2E5A" w:rsidRDefault="0056583B" w:rsidP="0056583B">
      <w:pPr>
        <w:spacing w:after="0" w:line="240" w:lineRule="auto"/>
        <w:jc w:val="both"/>
        <w:rPr>
          <w:rFonts w:ascii="Times New Roman" w:hAnsi="Times New Roman"/>
          <w:color w:val="0070C0"/>
          <w:sz w:val="16"/>
          <w:szCs w:val="16"/>
        </w:rPr>
      </w:pPr>
    </w:p>
    <w:p w14:paraId="706F6B31"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w:t>
      </w:r>
    </w:p>
    <w:p w14:paraId="7D70368D"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ПИСЬМА СЕКРЕТАРЯ НОВОСИБИРСКОГО ОБКОМА ВКП(</w:t>
      </w:r>
      <w:proofErr w:type="gramStart"/>
      <w:r w:rsidRPr="008127F8">
        <w:rPr>
          <w:rFonts w:ascii="Times New Roman" w:hAnsi="Times New Roman"/>
          <w:color w:val="000000" w:themeColor="text1"/>
          <w:sz w:val="16"/>
          <w:szCs w:val="16"/>
        </w:rPr>
        <w:t>б)  А.П.</w:t>
      </w:r>
      <w:proofErr w:type="gramEnd"/>
      <w:r w:rsidRPr="008127F8">
        <w:rPr>
          <w:rFonts w:ascii="Times New Roman" w:hAnsi="Times New Roman"/>
          <w:color w:val="000000" w:themeColor="text1"/>
          <w:sz w:val="16"/>
          <w:szCs w:val="16"/>
        </w:rPr>
        <w:t xml:space="preserve"> ЭЛЬМАНА СЕКРЕТАРЮ ЦК ВКП(б) Г.М. МАЛЕНКОВУ О ВЫПОЛНЕНИИ ПРОГРАММЫ ПРОИЗВОДСТВА САМОЛЕТОВ В 1942 г.</w:t>
      </w:r>
    </w:p>
    <w:p w14:paraId="54E9B3E3"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w:t>
      </w:r>
    </w:p>
    <w:p w14:paraId="24A6DE43"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153 НКАП имеет все возможности для выполнения установленной программы производства самолетов на март 1942 года.</w:t>
      </w:r>
    </w:p>
    <w:p w14:paraId="30A97F2A"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нормальной ритмичной работе завода мешает неудовлетворительное снабжение завода материалами и готовыми изделиями. Так, на 21 февраля облетано 48 машин. Не отправлены они на фронт из-за некомплектности. В частности, отсутствуют винты, которых для выполнения февральского плана недостает 96 штук.</w:t>
      </w:r>
    </w:p>
    <w:p w14:paraId="71804B64"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цехе окончательной сборки находится 90 машин, для которых по плану февраля месяца недостает: моторов — 32, маслорадиаторов — 28, бронеспинок — 42.</w:t>
      </w:r>
    </w:p>
    <w:p w14:paraId="61D93310"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Новосибирский обком ВКП(б) просит:</w:t>
      </w:r>
    </w:p>
    <w:p w14:paraId="6488D0D7"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Обязать наркома авиационной промышленности обеспечить завод № 153 моторами, водорадиаторами, винтами, маслорадиаторами и материалами в соответствии с программой, спускаемой НКАП; в связи с переходом завода на производство машины ЯК-7 обеспечить завод полностью трубами для фюзеляжа; выделить заводу два маслозаправщика, один бензозаправщик и 25 электрокар, из них 15 штук — 0,5-тонных и 10 — 1-тонных.</w:t>
      </w:r>
    </w:p>
    <w:p w14:paraId="6FC0B4C0"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 черной металлургии т. Тевосян[а] приступить к производству бронеспинок для завода № 153 на Кузнецком металлургическом заводе и обеспечить изготовление в марте 1942 года - 250 штук; в апреле, мае и июне — по 350 штук в месяц; в последующие месяцы — по 450 штук в месяц.</w:t>
      </w:r>
    </w:p>
    <w:p w14:paraId="4EE31220"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наркома химической промышленности т. Денисова обеспечить завод № 153 смоляным клеем ВИАМ Б-3 по заявке НКАП.</w:t>
      </w:r>
    </w:p>
    <w:p w14:paraId="783B3083"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наркома резиновой промышленности т. Мирохина обеспечить завод № 153 дюритовыми и бронированными шлангами по заявке НКАП.</w:t>
      </w:r>
    </w:p>
    <w:p w14:paraId="11C0F818"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Ввиду большой потребности завода № 153 в кислороде обязать Госплан СССР выделить заводу № 153 кислородную установку производительностью не менее 150 кбм в час.</w:t>
      </w:r>
    </w:p>
    <w:p w14:paraId="32FA76C7"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директоров заводов: Сталинградского тракторного и Уралвагонзавода — изготовить в срок поковки шасси для завода № 153, спущенные им по заказам Наркомата авиационной промышленности.</w:t>
      </w:r>
    </w:p>
    <w:p w14:paraId="4DAB83C3"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директора Уралмашзавода поставить в срок 580 штук стальных кубиков для завода № 153, спущенных ему по заказам Наркомата авиационной промышленности.</w:t>
      </w:r>
    </w:p>
    <w:p w14:paraId="47EAB704"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 связи с расширением завода № 153, за счет размещения эвакуированных предприятий НКАП № 301, 23, 43, 115 и 388, состав парторганизации увеличился с 600 до 1 450 человек и количество рабочих — с 6 000 до 23 000 человек. Освобожденных партработников на заводе всего два человека. Просим утвердить дополнительный штат освобожденных партийных работников на заводе № 153 в составе двух инструкторов парткома и пяти секретарей цеховых парторганизаций цехов: № 3, 25, 39, 2 и отдела главного механика.</w:t>
      </w:r>
    </w:p>
    <w:p w14:paraId="127BF2DE"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Новосибирского обкома ВКП(б) А.П. Эльман</w:t>
      </w:r>
    </w:p>
    <w:p w14:paraId="3820DD08"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ГАНО. Ф. П-4. Оп. 6. Д. 3. Л. 312—314. Подлинник (20785).</w:t>
      </w:r>
    </w:p>
    <w:p w14:paraId="5FCC4017" w14:textId="77777777" w:rsidR="00D12538" w:rsidRPr="008127F8" w:rsidRDefault="00D12538" w:rsidP="001E0A84">
      <w:pPr>
        <w:spacing w:after="0" w:line="240" w:lineRule="auto"/>
        <w:jc w:val="both"/>
        <w:rPr>
          <w:rFonts w:ascii="Times New Roman" w:hAnsi="Times New Roman"/>
          <w:color w:val="000000" w:themeColor="text1"/>
          <w:sz w:val="16"/>
          <w:szCs w:val="16"/>
        </w:rPr>
      </w:pPr>
    </w:p>
    <w:p w14:paraId="4EFBC46C" w14:textId="77777777" w:rsidR="0071448C" w:rsidRPr="008127F8" w:rsidRDefault="0071448C"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28 февра</w:t>
      </w:r>
      <w:r w:rsidRPr="008127F8">
        <w:rPr>
          <w:rFonts w:ascii="Times New Roman" w:cs="Times New Roman"/>
          <w:color w:val="000000" w:themeColor="text1"/>
          <w:spacing w:val="0"/>
        </w:rPr>
        <w:softHyphen/>
        <w:t>ля 1942 г. в акте по испытаниям специалисты ЛИИ НКАП дали отрицательное заключение по маши</w:t>
      </w:r>
      <w:r w:rsidRPr="008127F8">
        <w:rPr>
          <w:rFonts w:ascii="Times New Roman" w:cs="Times New Roman"/>
          <w:color w:val="000000" w:themeColor="text1"/>
          <w:spacing w:val="0"/>
        </w:rPr>
        <w:softHyphen/>
        <w:t>не:</w:t>
      </w:r>
    </w:p>
    <w:p w14:paraId="2BAB3FC6" w14:textId="77777777" w:rsidR="0071448C" w:rsidRPr="008127F8" w:rsidRDefault="0071448C" w:rsidP="001E0A84">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8127F8">
        <w:rPr>
          <w:rStyle w:val="aff8"/>
          <w:rFonts w:ascii="Times New Roman" w:eastAsia="Arial Narrow" w:hAnsi="Times New Roman" w:cs="Times New Roman"/>
          <w:i w:val="0"/>
          <w:color w:val="000000" w:themeColor="text1"/>
          <w:spacing w:val="0"/>
        </w:rPr>
        <w:t>«1. Самолет МиГ-5 для серийно</w:t>
      </w:r>
      <w:r w:rsidRPr="008127F8">
        <w:rPr>
          <w:rStyle w:val="aff8"/>
          <w:rFonts w:ascii="Times New Roman" w:eastAsia="Arial Narrow" w:hAnsi="Times New Roman" w:cs="Times New Roman"/>
          <w:i w:val="0"/>
          <w:color w:val="000000" w:themeColor="text1"/>
          <w:spacing w:val="0"/>
        </w:rPr>
        <w:softHyphen/>
        <w:t>го производства рекомендован быть не может.</w:t>
      </w:r>
    </w:p>
    <w:p w14:paraId="63BA4EEB" w14:textId="77777777" w:rsidR="0071448C" w:rsidRPr="008127F8" w:rsidRDefault="0071448C" w:rsidP="001E0A84">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8127F8">
        <w:rPr>
          <w:rStyle w:val="aff8"/>
          <w:rFonts w:ascii="Times New Roman" w:eastAsia="Arial Narrow" w:hAnsi="Times New Roman" w:cs="Times New Roman"/>
          <w:i w:val="0"/>
          <w:color w:val="000000" w:themeColor="text1"/>
          <w:spacing w:val="0"/>
        </w:rPr>
        <w:t>2. Продолжение заводских испытаний может представлять инте</w:t>
      </w:r>
      <w:r w:rsidRPr="008127F8">
        <w:rPr>
          <w:rStyle w:val="aff8"/>
          <w:rFonts w:ascii="Times New Roman" w:eastAsia="Arial Narrow" w:hAnsi="Times New Roman" w:cs="Times New Roman"/>
          <w:i w:val="0"/>
          <w:color w:val="000000" w:themeColor="text1"/>
          <w:spacing w:val="0"/>
        </w:rPr>
        <w:softHyphen/>
        <w:t>рес лишь с точки зрения накопления материалов по доводкам и улучшени</w:t>
      </w:r>
      <w:r w:rsidRPr="008127F8">
        <w:rPr>
          <w:rStyle w:val="aff8"/>
          <w:rFonts w:ascii="Times New Roman" w:eastAsia="Arial Narrow" w:hAnsi="Times New Roman" w:cs="Times New Roman"/>
          <w:i w:val="0"/>
          <w:color w:val="000000" w:themeColor="text1"/>
          <w:spacing w:val="0"/>
        </w:rPr>
        <w:softHyphen/>
        <w:t>ям летных свойств самолетов подоб</w:t>
      </w:r>
      <w:r w:rsidRPr="008127F8">
        <w:rPr>
          <w:rStyle w:val="aff8"/>
          <w:rFonts w:ascii="Times New Roman" w:eastAsia="Arial Narrow" w:hAnsi="Times New Roman" w:cs="Times New Roman"/>
          <w:i w:val="0"/>
          <w:color w:val="000000" w:themeColor="text1"/>
          <w:spacing w:val="0"/>
        </w:rPr>
        <w:softHyphen/>
        <w:t>ного типа».</w:t>
      </w:r>
    </w:p>
    <w:p w14:paraId="7D726BDA" w14:textId="77777777" w:rsidR="0071448C" w:rsidRPr="008127F8" w:rsidRDefault="0071448C"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Основными недостатка</w:t>
      </w:r>
      <w:r w:rsidRPr="008127F8">
        <w:rPr>
          <w:rFonts w:ascii="Times New Roman" w:cs="Times New Roman"/>
          <w:color w:val="000000" w:themeColor="text1"/>
          <w:spacing w:val="0"/>
        </w:rPr>
        <w:softHyphen/>
        <w:t>ми считались: недостаточная путевая и продольная устойчивость, большие усилия от рулей высоты и элеронов, недостаточная эффективность водо- радиаторов при наборе высоты, труд</w:t>
      </w:r>
      <w:r w:rsidRPr="008127F8">
        <w:rPr>
          <w:rFonts w:ascii="Times New Roman" w:cs="Times New Roman"/>
          <w:color w:val="000000" w:themeColor="text1"/>
          <w:spacing w:val="0"/>
        </w:rPr>
        <w:softHyphen/>
        <w:t>ный подъем хвоста при взлете. Кроме того, отмечались отсутствие обстре</w:t>
      </w:r>
      <w:r w:rsidRPr="008127F8">
        <w:rPr>
          <w:rFonts w:ascii="Times New Roman" w:cs="Times New Roman"/>
          <w:color w:val="000000" w:themeColor="text1"/>
          <w:spacing w:val="0"/>
        </w:rPr>
        <w:softHyphen/>
        <w:t>ла назад, слабое бронирование летчи</w:t>
      </w:r>
      <w:r w:rsidRPr="008127F8">
        <w:rPr>
          <w:rFonts w:ascii="Times New Roman" w:cs="Times New Roman"/>
          <w:color w:val="000000" w:themeColor="text1"/>
          <w:spacing w:val="0"/>
        </w:rPr>
        <w:softHyphen/>
        <w:t>ка, завышенный полетный вес и зна</w:t>
      </w:r>
      <w:r w:rsidRPr="008127F8">
        <w:rPr>
          <w:rFonts w:ascii="Times New Roman" w:cs="Times New Roman"/>
          <w:color w:val="000000" w:themeColor="text1"/>
          <w:spacing w:val="0"/>
        </w:rPr>
        <w:softHyphen/>
        <w:t>чительное «отставание» скоростных характеристик самолета от расчет</w:t>
      </w:r>
      <w:r w:rsidRPr="008127F8">
        <w:rPr>
          <w:rFonts w:ascii="Times New Roman" w:cs="Times New Roman"/>
          <w:color w:val="000000" w:themeColor="text1"/>
          <w:spacing w:val="0"/>
        </w:rPr>
        <w:softHyphen/>
        <w:t>ных данных. В то же время указыва</w:t>
      </w:r>
      <w:r w:rsidRPr="008127F8">
        <w:rPr>
          <w:rFonts w:ascii="Times New Roman" w:cs="Times New Roman"/>
          <w:color w:val="000000" w:themeColor="text1"/>
          <w:spacing w:val="0"/>
        </w:rPr>
        <w:softHyphen/>
        <w:t>лись и положительные качества ма</w:t>
      </w:r>
      <w:r w:rsidRPr="008127F8">
        <w:rPr>
          <w:rFonts w:ascii="Times New Roman" w:cs="Times New Roman"/>
          <w:color w:val="000000" w:themeColor="text1"/>
          <w:spacing w:val="0"/>
        </w:rPr>
        <w:softHyphen/>
        <w:t>шины: мощное вооружение, большая скорость, неплохая скороподъемность и хорошая маневренность. Это позво</w:t>
      </w:r>
      <w:r w:rsidRPr="008127F8">
        <w:rPr>
          <w:rFonts w:ascii="Times New Roman" w:cs="Times New Roman"/>
          <w:color w:val="000000" w:themeColor="text1"/>
          <w:spacing w:val="0"/>
        </w:rPr>
        <w:softHyphen/>
        <w:t>ляло использовать самолет «как истре</w:t>
      </w:r>
      <w:r w:rsidRPr="008127F8">
        <w:rPr>
          <w:rFonts w:ascii="Times New Roman" w:cs="Times New Roman"/>
          <w:color w:val="000000" w:themeColor="text1"/>
          <w:spacing w:val="0"/>
        </w:rPr>
        <w:softHyphen/>
        <w:t>битель сопровождения, как истреби</w:t>
      </w:r>
      <w:r w:rsidRPr="008127F8">
        <w:rPr>
          <w:rStyle w:val="920pt"/>
          <w:rFonts w:ascii="Times New Roman" w:hAnsi="Times New Roman" w:cs="Times New Roman"/>
          <w:b w:val="0"/>
          <w:color w:val="000000" w:themeColor="text1"/>
          <w:sz w:val="16"/>
          <w:szCs w:val="16"/>
        </w:rPr>
        <w:t>тель</w:t>
      </w:r>
      <w:r w:rsidRPr="008127F8">
        <w:rPr>
          <w:rFonts w:ascii="Times New Roman" w:cs="Times New Roman"/>
          <w:color w:val="000000" w:themeColor="text1"/>
          <w:spacing w:val="0"/>
        </w:rPr>
        <w:t xml:space="preserve"> группового и одиночного боя, как дневной бомбардировщик, как торпедо</w:t>
      </w:r>
      <w:r w:rsidRPr="008127F8">
        <w:rPr>
          <w:rStyle w:val="930pt"/>
          <w:rFonts w:ascii="Times New Roman" w:hAnsi="Times New Roman" w:cs="Times New Roman"/>
          <w:b w:val="0"/>
          <w:color w:val="000000" w:themeColor="text1"/>
          <w:sz w:val="16"/>
          <w:szCs w:val="16"/>
        </w:rPr>
        <w:t>носец,</w:t>
      </w:r>
      <w:r w:rsidRPr="008127F8">
        <w:rPr>
          <w:rStyle w:val="930pt0"/>
          <w:rFonts w:ascii="Times New Roman" w:hAnsi="Times New Roman" w:cs="Times New Roman"/>
          <w:color w:val="000000" w:themeColor="text1"/>
          <w:sz w:val="16"/>
          <w:szCs w:val="16"/>
        </w:rPr>
        <w:t xml:space="preserve"> как</w:t>
      </w:r>
      <w:r w:rsidRPr="008127F8">
        <w:rPr>
          <w:rFonts w:ascii="Times New Roman" w:cs="Times New Roman"/>
          <w:color w:val="000000" w:themeColor="text1"/>
          <w:spacing w:val="0"/>
        </w:rPr>
        <w:t xml:space="preserve"> штурмоаш».</w:t>
      </w:r>
    </w:p>
    <w:p w14:paraId="29A08C46" w14:textId="77777777" w:rsidR="0071448C" w:rsidRPr="008127F8" w:rsidRDefault="0071448C"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Однако</w:t>
      </w:r>
      <w:r w:rsidRPr="008127F8">
        <w:rPr>
          <w:rStyle w:val="affb"/>
          <w:rFonts w:ascii="Times New Roman" w:eastAsia="Arial Narrow" w:cs="Times New Roman"/>
          <w:b w:val="0"/>
          <w:color w:val="000000" w:themeColor="text1"/>
          <w:spacing w:val="0"/>
          <w:sz w:val="16"/>
          <w:szCs w:val="16"/>
        </w:rPr>
        <w:t xml:space="preserve"> ДИС-200 (1)3 </w:t>
      </w:r>
      <w:r w:rsidRPr="008127F8">
        <w:rPr>
          <w:rFonts w:ascii="Times New Roman" w:cs="Times New Roman"/>
          <w:color w:val="000000" w:themeColor="text1"/>
          <w:spacing w:val="0"/>
        </w:rPr>
        <w:t>не летал (15755).</w:t>
      </w:r>
    </w:p>
    <w:p w14:paraId="0F32197F" w14:textId="77777777" w:rsidR="0071448C" w:rsidRPr="008127F8" w:rsidRDefault="0071448C" w:rsidP="001E0A84">
      <w:pPr>
        <w:pStyle w:val="27"/>
        <w:shd w:val="clear" w:color="auto" w:fill="auto"/>
        <w:spacing w:after="0" w:line="240" w:lineRule="auto"/>
        <w:ind w:firstLine="0"/>
        <w:rPr>
          <w:rFonts w:ascii="Times New Roman" w:cs="Times New Roman"/>
          <w:color w:val="000000" w:themeColor="text1"/>
          <w:spacing w:val="0"/>
        </w:rPr>
      </w:pPr>
    </w:p>
    <w:p w14:paraId="1008DC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вышел приказ НКАП № 159с:</w:t>
      </w:r>
    </w:p>
    <w:p w14:paraId="3EF574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Принятый в систему НКАП бывшей мебельной ф-ке № 2 присвоить № 497 и впреди именовать ГСЗ № 467</w:t>
      </w:r>
    </w:p>
    <w:p w14:paraId="69895E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 1164с от 14 декабря 1941 г в части присвоения указанной фабрике № 165 отменить.</w:t>
      </w:r>
    </w:p>
    <w:p w14:paraId="55EF86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 (1532, 61).</w:t>
      </w:r>
    </w:p>
    <w:p w14:paraId="60F830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8E4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28 февраля 1942 ГАЗ сдал более 300 боевых аэросаней РФ-8 со стальным винтом и мотором М-1 (8285,18)</w:t>
      </w:r>
    </w:p>
    <w:p w14:paraId="69504F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07705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D6E91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DD370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 была подготовлена ДОКЛАДНАЯ ЗАПИСКА БТУ ГАБТУ В НКТП СССР О ДИЗЕЛЬНЫХ МОТОРАХ В-2</w:t>
      </w:r>
    </w:p>
    <w:p w14:paraId="2294C6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Дизель-моторы типа В-2 за время войны показали хорошую работоспособность, однако отдель</w:t>
      </w:r>
      <w:r w:rsidRPr="008127F8">
        <w:rPr>
          <w:rFonts w:ascii="Times New Roman" w:hAnsi="Times New Roman"/>
          <w:color w:val="000000" w:themeColor="text1"/>
          <w:sz w:val="16"/>
          <w:szCs w:val="16"/>
        </w:rPr>
        <w:softHyphen/>
        <w:t>ные узлы этого дизеля требуют доработки.</w:t>
      </w:r>
    </w:p>
    <w:p w14:paraId="4083CD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Пробивание газов между головкой блока и гильзой через прокладку является дефектом всех моторов типа В-2.</w:t>
      </w:r>
    </w:p>
    <w:p w14:paraId="1B64B68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этой причине, особенно в последнее время, большое количество моторов отказали в работе. Чтобы заменить алюминиевые прокладки под головками блоков, приходится производить разборку и сборку дизелей в полевых условиях. Ремонт в полевых </w:t>
      </w:r>
      <w:proofErr w:type="gramStart"/>
      <w:r w:rsidRPr="008127F8">
        <w:rPr>
          <w:rFonts w:ascii="Times New Roman" w:hAnsi="Times New Roman"/>
          <w:color w:val="000000" w:themeColor="text1"/>
          <w:sz w:val="16"/>
          <w:szCs w:val="16"/>
        </w:rPr>
        <w:t>условиях конечно</w:t>
      </w:r>
      <w:proofErr w:type="gramEnd"/>
      <w:r w:rsidRPr="008127F8">
        <w:rPr>
          <w:rFonts w:ascii="Times New Roman" w:hAnsi="Times New Roman"/>
          <w:color w:val="000000" w:themeColor="text1"/>
          <w:sz w:val="16"/>
          <w:szCs w:val="16"/>
        </w:rPr>
        <w:t xml:space="preserve"> не может гарантировать надежную работу дизелей, поэтому этот дефект должен быть устранен в ближайшее же время.</w:t>
      </w:r>
    </w:p>
    <w:p w14:paraId="01BA78E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Первая коренная шейка коленчатого вала имеет значительно больший износ по сравнению с другими шейками, причиной этому служит плохая работа серийного масляного фильтра, пропуска</w:t>
      </w:r>
      <w:r w:rsidRPr="008127F8">
        <w:rPr>
          <w:rFonts w:ascii="Times New Roman" w:hAnsi="Times New Roman"/>
          <w:color w:val="000000" w:themeColor="text1"/>
          <w:sz w:val="16"/>
          <w:szCs w:val="16"/>
        </w:rPr>
        <w:softHyphen/>
        <w:t>ющего в масляную магистраль дизеля частицы песка и мелкую металлическую стружку.</w:t>
      </w:r>
    </w:p>
    <w:p w14:paraId="69BD5A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Верхнее поршневое кольцо вследствие высокого температурного режима в моторе быстро те</w:t>
      </w:r>
      <w:r w:rsidRPr="008127F8">
        <w:rPr>
          <w:rFonts w:ascii="Times New Roman" w:hAnsi="Times New Roman"/>
          <w:color w:val="000000" w:themeColor="text1"/>
          <w:sz w:val="16"/>
          <w:szCs w:val="16"/>
        </w:rPr>
        <w:softHyphen/>
        <w:t>ряет свою упругость и закоксовывается в своей канавке.</w:t>
      </w:r>
    </w:p>
    <w:p w14:paraId="204FB5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чего оно перестает работать как компрессионное кольцо и горячие газы начинают прони</w:t>
      </w:r>
      <w:r w:rsidRPr="008127F8">
        <w:rPr>
          <w:rFonts w:ascii="Times New Roman" w:hAnsi="Times New Roman"/>
          <w:color w:val="000000" w:themeColor="text1"/>
          <w:sz w:val="16"/>
          <w:szCs w:val="16"/>
        </w:rPr>
        <w:softHyphen/>
        <w:t>кать к нижним поршневым кольцам, вызывая там явления, что и в верхнем кольце.</w:t>
      </w:r>
    </w:p>
    <w:p w14:paraId="2CFA49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Муфта привода топливного насоса не обеспечивает постоянного угла вспрыска топлива в ци</w:t>
      </w:r>
      <w:r w:rsidRPr="008127F8">
        <w:rPr>
          <w:rFonts w:ascii="Times New Roman" w:hAnsi="Times New Roman"/>
          <w:color w:val="000000" w:themeColor="text1"/>
          <w:sz w:val="16"/>
          <w:szCs w:val="16"/>
        </w:rPr>
        <w:softHyphen/>
        <w:t>линдр, а со временем работы топливного насоса угол уменьшается, доходя до 0° вместо 32° до верх</w:t>
      </w:r>
      <w:r w:rsidRPr="008127F8">
        <w:rPr>
          <w:rFonts w:ascii="Times New Roman" w:hAnsi="Times New Roman"/>
          <w:color w:val="000000" w:themeColor="text1"/>
          <w:sz w:val="16"/>
          <w:szCs w:val="16"/>
        </w:rPr>
        <w:softHyphen/>
        <w:t>ней мертвой точки, как это требуется для нормальной работы дизеля в танке.</w:t>
      </w:r>
    </w:p>
    <w:p w14:paraId="18EC2DA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изменение утла вспрыска вызывает значительное падение мощности мотора и увеличива</w:t>
      </w:r>
      <w:r w:rsidRPr="008127F8">
        <w:rPr>
          <w:rFonts w:ascii="Times New Roman" w:hAnsi="Times New Roman"/>
          <w:color w:val="000000" w:themeColor="text1"/>
          <w:sz w:val="16"/>
          <w:szCs w:val="16"/>
        </w:rPr>
        <w:softHyphen/>
        <w:t>ется дымность выхлопа.</w:t>
      </w:r>
    </w:p>
    <w:p w14:paraId="37A056E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обеспечения нормальной работы подшипников коленчатого вала после запуска мотора, необходимо иметь ручной насос, включенный в масляную магистраль.</w:t>
      </w:r>
    </w:p>
    <w:p w14:paraId="1D31CF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насосом перед запуском мотора экипаж танка производит прокачку смазочного масла по всей магистрали и тем обеспечивает надежную работу подшипников в период прогрева двигателя.</w:t>
      </w:r>
    </w:p>
    <w:p w14:paraId="1AE6D31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Все дизели типа В-2 имеют воздухопуск как дублирующее средство запуска моторов, но ис</w:t>
      </w:r>
      <w:r w:rsidRPr="008127F8">
        <w:rPr>
          <w:rFonts w:ascii="Times New Roman" w:hAnsi="Times New Roman"/>
          <w:color w:val="000000" w:themeColor="text1"/>
          <w:sz w:val="16"/>
          <w:szCs w:val="16"/>
        </w:rPr>
        <w:softHyphen/>
        <w:t>пользуются эти агрегаты во время эксплуатации танков недостаточно эффективно.</w:t>
      </w:r>
    </w:p>
    <w:p w14:paraId="243CBA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Одного баллона со сжатым воздухом обычно хватает на 10-15 запусков прогретого мотора, если же производить запуск и холодных дизелей сжатым воздухом, то одного баллона хватит не более как на 4-5 запусков.</w:t>
      </w:r>
    </w:p>
    <w:p w14:paraId="48D0587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вооружении танковых частей компрессорных станций для заполнения баллонов воздухом нет, следовательно, это сложное оборудование после 4-5 запусков остается не использованным.</w:t>
      </w:r>
    </w:p>
    <w:p w14:paraId="7BDF1D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Желательно иметь для этой цели на дизелях не сложное приспособление, которое бы обеспечи</w:t>
      </w:r>
      <w:r w:rsidRPr="008127F8">
        <w:rPr>
          <w:rFonts w:ascii="Times New Roman" w:hAnsi="Times New Roman"/>
          <w:color w:val="000000" w:themeColor="text1"/>
          <w:sz w:val="16"/>
          <w:szCs w:val="16"/>
        </w:rPr>
        <w:softHyphen/>
        <w:t>вало эффективное использование приборов воздухопуска и надежный запуск мотора.</w:t>
      </w:r>
    </w:p>
    <w:p w14:paraId="398282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Сообщая изложенное, прошу Вашего распоряжения моторостроительным заводам по существу отмеченных вопросов.</w:t>
      </w:r>
    </w:p>
    <w:p w14:paraId="5ED4CD0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Ваше решение прошу сообщить.</w:t>
      </w:r>
    </w:p>
    <w:p w14:paraId="24C95F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БТУ ГАБТУ КА генерал-майор танковых войск Коробков</w:t>
      </w:r>
    </w:p>
    <w:p w14:paraId="5C6D1D6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БТУ ГАБТУ КА полковой комиссар Воробьев</w:t>
      </w:r>
    </w:p>
    <w:p w14:paraId="610DE1C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669. Л. 9-10. Подлинник (11211).</w:t>
      </w:r>
    </w:p>
    <w:p w14:paraId="6C9B04E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6A1FDBA4"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w:t>
      </w:r>
    </w:p>
    <w:p w14:paraId="633A0AE0"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СГКО ОБ ОБЕСПЕЧЕНИИ ВЫПУСКА МОТОРОВ М-171 В АВИАРЕМОНТНЫХ МАСТЕРСКИХ СТАЛИНГРАДСКОГО АВИАУЧИЛИЩА</w:t>
      </w:r>
    </w:p>
    <w:p w14:paraId="44C02D95"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 начальник мастерских тов. Крупкин, главный инженер СТЗ тов. Демьянович)</w:t>
      </w:r>
    </w:p>
    <w:p w14:paraId="1BA190C9"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227</w:t>
      </w:r>
      <w:r w:rsidRPr="008127F8">
        <w:rPr>
          <w:rFonts w:ascii="Times New Roman" w:hAnsi="Times New Roman"/>
          <w:color w:val="000000" w:themeColor="text1"/>
          <w:sz w:val="16"/>
          <w:szCs w:val="16"/>
        </w:rPr>
        <w:tab/>
        <w:t>28 февраля 1942 г.</w:t>
      </w:r>
    </w:p>
    <w:p w14:paraId="203C38D3"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 Сталинград</w:t>
      </w:r>
    </w:p>
    <w:p w14:paraId="415CCD45"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Выступали: тт. Задорожный, Чуянов, Харченко.</w:t>
      </w:r>
    </w:p>
    <w:p w14:paraId="203BA902"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Городской Комитет Обороны отмечает, что график ремонта моторов М-17, устанавливаемых тракторным заводом на танки, не выполняется из-за необеспеченности со стороны СТЗ необходимыми деталями, а также недостаточного внимания руководителей авиамастерских к ремонту моторов М-17.</w:t>
      </w:r>
    </w:p>
    <w:p w14:paraId="2BCF7C82"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СТЗ моторами М-17 в марте месяце городской Комитет Обороны постановляет:</w:t>
      </w:r>
    </w:p>
    <w:p w14:paraId="51E84557"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Установить авиаремонтным мастерским ремонт моторов М-17 на март месяц в количестве 120 шт. по графику подачи СТЗ: с 1 по 4 марта по 3 мотора ежедневно, с 5 по 31 марта по 4 мотора.</w:t>
      </w:r>
    </w:p>
    <w:p w14:paraId="56B90AB2"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что с 1 по 10 марта авиамастерские подают моторы СТЗ с плунжерной маслопомпой и с 10 марта 1942 г. подача моторов производится с шестеренчатой маслопомпой, изготовляемой на СТЗ.</w:t>
      </w:r>
    </w:p>
    <w:p w14:paraId="13DC44AE"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Обязать начальника авиашколы комбрига тов. Соколова и комиссара школы бригкомиссара тов. Работникова принять все меры к безусловному выполнению установленного графика на март месяц по ремонту моторов М-17.</w:t>
      </w:r>
    </w:p>
    <w:p w14:paraId="04437DEA"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директора СТЗ тов. Задорожного и главного инженера тов. Демьяновича обеспечить нормальную работу ремонтных авиамастерских по ремонту моторов М-17, для чего:</w:t>
      </w:r>
    </w:p>
    <w:p w14:paraId="2C421E0D"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ежедневно с 1 марта подавать пять комплектов олифированных цилиндров, комплектно, по номерам цилиндров;</w:t>
      </w:r>
    </w:p>
    <w:p w14:paraId="7F879A5B"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отлить алюминиевые поршни в марте месяце в количестве 1.000 шт равномерными партиями начиная с 3 марта, улучшив качество литья;</w:t>
      </w:r>
    </w:p>
    <w:p w14:paraId="103999C3"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обеспечить в необходимом количестве резиновыми деталями (межцилиндровые кольца, дюрировый шланг и др.)</w:t>
      </w:r>
    </w:p>
    <w:p w14:paraId="0CCC7555"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Городской Комитет Обороны обращает особое внимание начальника авиамастерских и директора СТЗ тов. Задорожного на улучшение качества устанавливаемых моторов М-17 на танки Т-34.</w:t>
      </w:r>
    </w:p>
    <w:p w14:paraId="1ABDE6CB"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управляющего Сталгрэсом при всех условиях обеспечить нормальное электроснабжение мастерских авиаучилищ.</w:t>
      </w:r>
    </w:p>
    <w:p w14:paraId="024BB3F8"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Просить командующего СТВО тов. Герасименко рассмотреть вопрос об обеспечении безусловного выпуска 120 моторов в ремонтных мастерских авиаучилища и принять меры по закреплению работающего коллектива в этих мастерских (20616).</w:t>
      </w:r>
    </w:p>
    <w:p w14:paraId="2D43E9BE" w14:textId="77777777" w:rsidR="00D12538" w:rsidRPr="008127F8" w:rsidRDefault="00D12538" w:rsidP="001E0A84">
      <w:pPr>
        <w:spacing w:after="0" w:line="240" w:lineRule="auto"/>
        <w:jc w:val="both"/>
        <w:rPr>
          <w:rFonts w:ascii="Times New Roman" w:hAnsi="Times New Roman"/>
          <w:color w:val="000000" w:themeColor="text1"/>
          <w:sz w:val="16"/>
          <w:szCs w:val="16"/>
        </w:rPr>
      </w:pPr>
    </w:p>
    <w:p w14:paraId="1216FC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года был утвержден Устав завода № 393 НКВ (9209).</w:t>
      </w:r>
    </w:p>
    <w:p w14:paraId="16D0C0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3A9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года были утверждены:</w:t>
      </w:r>
    </w:p>
    <w:p w14:paraId="131C2D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535 НКВ</w:t>
      </w:r>
    </w:p>
    <w:p w14:paraId="3B1390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536 НКВ</w:t>
      </w:r>
    </w:p>
    <w:p w14:paraId="78A19D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539 НКВ (9210)</w:t>
      </w:r>
    </w:p>
    <w:p w14:paraId="6B3380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года была подготовлена справка:</w:t>
      </w:r>
    </w:p>
    <w:p w14:paraId="31C585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354 (работает на базе бывш. завода “Красный гигант”) – Никольская-Пестровка Пензенской области является основным поставщиком оптического стекла для оптико-механической промышленности НКВ (9213).</w:t>
      </w:r>
    </w:p>
    <w:p w14:paraId="019DE6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D313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0A5F3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A50E4"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февраля</w:t>
      </w:r>
      <w:r w:rsidRPr="008127F8">
        <w:rPr>
          <w:rFonts w:ascii="Times New Roman" w:hAnsi="Times New Roman"/>
          <w:color w:val="000000" w:themeColor="text1"/>
          <w:sz w:val="16"/>
          <w:szCs w:val="16"/>
        </w:rPr>
        <w:t xml:space="preserve"> в 1942 году утреннее сообщение Совинформбюро:</w:t>
      </w:r>
    </w:p>
    <w:p w14:paraId="3EAE1318"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28 февраля наши войска продолжали вести активные боевые действия против немецко-фашистских войск.</w:t>
      </w:r>
    </w:p>
    <w:p w14:paraId="371F5882"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гвардейская артиллерийская часть, действующая на Западном фронте, внезапным огневым налётом на укреплённые пункты немцев уничтожила 2 миномётные батареи, 5 ДЗОТов и вывела из строя до роты пехоты противника.</w:t>
      </w:r>
    </w:p>
    <w:p w14:paraId="4893566E"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лётчики-штурмовики совершили внезапный налёт на немецкий аэродром, на котором находилось до 25 самолётов типа «Ю-52» и «Ю-87». В результате атаки советских лётчиков уничтожено 16 вражеских самолётов.</w:t>
      </w:r>
    </w:p>
    <w:p w14:paraId="5767A6AE"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одном из участков Ленинградского фронта танковый экипаж командира Голиенко, ворвавшись в расположение противника, артиллерийским огнём и гусеницами разрушил 6 </w:t>
      </w:r>
      <w:proofErr w:type="gramStart"/>
      <w:r w:rsidRPr="008127F8">
        <w:rPr>
          <w:rFonts w:ascii="Times New Roman" w:hAnsi="Times New Roman"/>
          <w:color w:val="000000" w:themeColor="text1"/>
          <w:sz w:val="16"/>
          <w:szCs w:val="16"/>
        </w:rPr>
        <w:t>дерево-земляных</w:t>
      </w:r>
      <w:proofErr w:type="gramEnd"/>
      <w:r w:rsidRPr="008127F8">
        <w:rPr>
          <w:rFonts w:ascii="Times New Roman" w:hAnsi="Times New Roman"/>
          <w:color w:val="000000" w:themeColor="text1"/>
          <w:sz w:val="16"/>
          <w:szCs w:val="16"/>
        </w:rPr>
        <w:t xml:space="preserve"> огневых точек и уничтожил свыше 40 гитлеровцев. На другом участке фронта танк под командованием младшего лейтенанта Коровка подавил несколько пулемётных точек противника и перебил свыше 20 немецких солдат и офицеров.</w:t>
      </w:r>
    </w:p>
    <w:p w14:paraId="3E72508E"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Отважно действует в одном из оккупированных немцами районов Курской области отряд партизан под командованием тов. Д. Вот несколько выписок из дневника командира партизанского отряда:</w:t>
      </w:r>
    </w:p>
    <w:p w14:paraId="42892E47"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Группа партизан напала на немецкую разведку и захватила в плен 5 немецких солдат.</w:t>
      </w:r>
    </w:p>
    <w:p w14:paraId="23C139B4"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января. Организовали засаду и атаковали немецкий карательный отряд. Гитлеровцы бежали, потеряв 18 солдат убитыми. Нами захвачены 4 подводы с награбленным немцами у колхозников имуществом.</w:t>
      </w:r>
    </w:p>
    <w:p w14:paraId="46CF750C"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Взорвали грузовую автомашину с продовольствием, уничтожили много немецких солдат и захватили 134 центнера хлеба, награбленного у колхозников. Хлеб роздали населению».</w:t>
      </w:r>
    </w:p>
    <w:p w14:paraId="1FCA3237"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штаба 3 батальона 344 полка 223 немецкой пехотной дивизии Ганс Ленгерсдорф рассказал: «Только за две недели наш батальон потерял убитыми 4 офицеров и 66 солдат. За это же время выбыло из строя 189 раненых и обмороженных солдат и офицеров. Недавно дезертировал радист штаба дивизии. В приказе по дивизии, который нам зачитали, было сказано, что сбежавший радист захватил секретные документы».</w:t>
      </w:r>
    </w:p>
    <w:p w14:paraId="2AF52E31"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Артур Франк писал Эльзе Цандер в Бохум: «Я получил очень печальное известие: мой второй брат также погиб на поле сражения. Мы, уцелевшие до сих пор, тоже уже больше не те жизнерадостные молодые люди, какими были в начале военных действий. Ужасы этой войны, смертельные опасности, потеря родных и близких друзей — всё это сделало нас стариками».</w:t>
      </w:r>
    </w:p>
    <w:p w14:paraId="1AF9C8D9"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немецкий солдат санитарной роты 4 немецкой танковой дивизии Георг Камптнер рассказал: «Когда мы вступили в село Корачёво, кто-то сообщил, что здесь проживают семьи партизан. Майор Шрайбер приказал сжечь 15 домов. Женщины и дети с плачем выбегали из домов, охваченных пламенем. Детишки бегали босиком по снегу. Это было жуткое зрелище».</w:t>
      </w:r>
    </w:p>
    <w:p w14:paraId="7B9AE566"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Германии резко увеличилось число краж и вооруженных ограблений. Суды многих городов не успевают разбирать эти дела. Вооружённым налётам особенно часто подвергаются продовольственные базы и поезда с продуктами. В одном только городе Росток та 10 дней февраля было разобрано 72 таких дела. Среди осуждённых за ограбление складов — 11 солдат дивизии СС. Как сообщает немецкая газета «Гамбургер фремденблатт» от 21 февраля, по приговору ростокского особого суда на днях казнены составители поездов Август Маевский и Август Рекк за ограбление товарных поездов.</w:t>
      </w:r>
    </w:p>
    <w:p w14:paraId="005F7F95"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Коллектив Кировабадского паровозного депо (Азербайджан) широко использует при ремонте паровозов заменители цветного металла. Уже сэкономлено 900 килограммов меди.» (15054).</w:t>
      </w:r>
    </w:p>
    <w:p w14:paraId="6AAE1E9D"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34D962AD"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февраля</w:t>
      </w:r>
      <w:r w:rsidRPr="008127F8">
        <w:rPr>
          <w:rFonts w:ascii="Times New Roman" w:hAnsi="Times New Roman"/>
          <w:color w:val="000000" w:themeColor="text1"/>
          <w:sz w:val="16"/>
          <w:szCs w:val="16"/>
        </w:rPr>
        <w:t xml:space="preserve"> в 1942 году вечернее сообщение Совинформбюро:</w:t>
      </w:r>
    </w:p>
    <w:p w14:paraId="12AB4F75"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28 февраля наши войска, преодолевая узлы сопротивления противника, продвинулись вперёд и на некоторых участках фронта заняли несколько населённых пунктов.</w:t>
      </w:r>
    </w:p>
    <w:p w14:paraId="5113EF5B"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февраля сбито в воздушных боях 15 немецких самолётов, огнём зенитной артиллерии — 3 самолёта и уничтожено на аэродромах 20 самолётов противника. Всего за этот день уничтожено 38 немецких самолётов. Наши потери — 7 самолётов.</w:t>
      </w:r>
    </w:p>
    <w:p w14:paraId="04D24436"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февраля под Москвой уничтожено 7 немецких самолётов.</w:t>
      </w:r>
    </w:p>
    <w:p w14:paraId="118F9068"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 транспорт противника водоизмещением в 5.000 тонн.</w:t>
      </w:r>
    </w:p>
    <w:p w14:paraId="4BA38F84"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февраля частями нашей авиации уничтожено и повреждено 130 немецких автомашин с войсками и грузами, 100 повозок с боеприпасами, 18 орудий, 29 миномётов, 16 пулемётов, 2 зенитно-пулемётные точки, взорвано 2 склада с боеприпасами, 2 склада с горючим и один вещевой склад, повреждён бронепоезд, рассеяно и частью уничтожено до эскадрона всадников и до батальона пехоты противника.</w:t>
      </w:r>
    </w:p>
    <w:p w14:paraId="5CC59B76"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советских моряков и пехотинцев совершил на днях налёт на один из важных участков, занятых противником на побережье Азовского моря. Незаметно подойдя к берегу, наши бойцы внезапно напали на врага и уничтожили 2 артиллерийские и 2 миномётные батареи, 2 пулемётные точки, разрушили радиостанцию большой мощности, взорвали 12 домов вместе с засевшими в них гитлеровцами и истребили свыше 160 немцев и румын. Взяты пленные.</w:t>
      </w:r>
    </w:p>
    <w:p w14:paraId="23E9D5E9"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наше подразделение (Калининский фронт), сломив упорное сопротивление немцев, заняло несколько населённых пунктов. За четыре дня боёв наше подразделение вывело из строя около 1.500 немецких солдат и офицеров, захватило 4 орудия, 124 автомашины, 15 миномётов, 27 пулемётов, свыше полутора миллиона винтовочных патронов, 4 радиостанции и другое снаряжение и военное имущество.</w:t>
      </w:r>
    </w:p>
    <w:p w14:paraId="5CC00F87"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Ленинградского фронта, продолжая развивать наступательные операции, выбили немцев из ряда укреплённых рубежей и захватили 13 пулемётов, 4 миномёта, 160 винтовок и 127.000 патронов. Противник потерял убитыми 200 солдат и офицеров.</w:t>
      </w:r>
    </w:p>
    <w:p w14:paraId="4F209D9C"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тов. Шматко во время атаки укреплений противника уничтожил 80 вражеских солдат и разрушил 3 ДЗОТа, под обломками которых погибло несколько десятков немецких автоматчиков.</w:t>
      </w:r>
    </w:p>
    <w:p w14:paraId="314B5545"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Козлов в бою за деревню К. ворвался в дом, где засели 10 немцев. Гранатой тов. Козлов взорвал шестерых гитлеровцев, а остальных уничтожил в рукопашной схватке.</w:t>
      </w:r>
    </w:p>
    <w:p w14:paraId="32130B9D"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Взятый в плен врач 1 батальона 460 полка 260 немецкой дивизии Ульрих Нойер сообщил: «То, что мы увидели на фронте в декабре и январе, нас поразило. Мы никак не ожидали, что Красная Армия сумеет нанести нам такие тяжёлые удары. Продвижение русских вперёд казалось совершенно невероятным. Наши части понесли огромные потери. В ротах осталось от 15 до 30 человек. Очень велико количество обмороженных. Так, например, за один день через мой медпункт прошло 20 солдат с обмораживаниями 3-й степени. Растёт количество простудных заболеваний. В полку были зарегистрированы случаи сыпного тифа. Я имею достоверные данные о том, что эпидемия сыпного тифа широко распространена среди немецких войск, расквартированных в районах Барановичи, Брест-Литовск. Солдаты приуныли и полны тревоги за свою личную судьбу. Я не могу отрицать того, что наши войска бесчинствуют, устраивают грабежи и поджоги. Конечно, и сами солдаты несут </w:t>
      </w:r>
      <w:r w:rsidRPr="008127F8">
        <w:rPr>
          <w:rFonts w:ascii="Times New Roman" w:hAnsi="Times New Roman"/>
          <w:color w:val="000000" w:themeColor="text1"/>
          <w:sz w:val="16"/>
          <w:szCs w:val="16"/>
        </w:rPr>
        <w:lastRenderedPageBreak/>
        <w:t>ответственность за совершаемые ими преступления против мирного населения. Но главная вина за все грабежи, за раздевание на улицах, за поджоги ложится на немецкое командование, по приказу которого всё это делается».</w:t>
      </w:r>
    </w:p>
    <w:p w14:paraId="1FB14DD2"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Отечественной войны в Бухарской области окончили курсы трактористок свыше 5.000 девушек. Сейчас они успешно работают на хлопковых полях. Женская тракторная бригада 1-й Бухарской МТС, в которой бригадным механиком работает тов. Шамурадова, ежедневно на весенней вспашке выполняет задание на 200 процентов, экономит при этом большое количество горючего.» (15054).</w:t>
      </w:r>
    </w:p>
    <w:p w14:paraId="70032536"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43B78419"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февраля</w:t>
      </w:r>
      <w:r w:rsidRPr="008127F8">
        <w:rPr>
          <w:rFonts w:ascii="Times New Roman" w:hAnsi="Times New Roman"/>
          <w:color w:val="000000" w:themeColor="text1"/>
          <w:sz w:val="16"/>
          <w:szCs w:val="16"/>
        </w:rPr>
        <w:t xml:space="preserve"> в 1942 году завершилась Вяземская воздушно-десантная операция: соединения 4-го воздушно-десантного корпуса перешли к обороне в тылу немецко-фашистских войск (15054).</w:t>
      </w:r>
    </w:p>
    <w:p w14:paraId="72539A1B"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0C4BF4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НКВМФ Н.Г.Кузнецов выпустил директиву N 0053 о формировании авиационных полков резерва ВГК (2120).</w:t>
      </w:r>
    </w:p>
    <w:p w14:paraId="58F53B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83F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был подписан план проведения операции ВВС на западном направлении (340,74).</w:t>
      </w:r>
    </w:p>
    <w:p w14:paraId="32DE34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15B6E" w14:textId="02567793" w:rsidR="00DC7B9A" w:rsidRPr="008127F8" w:rsidRDefault="00DC7B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28 февраля 1942 года 30-й отдельный дивизион бронепоездов получил приказ убыть на Северо-Западный фронт, и к 5 марта он сосредоточился на станции Быльчино Калининской железной дороги и вошел в состав 34-й армии. В период 16-18 марта бронепоезда поддерживали наступление пехоты на станцию Лычково. 18 марта в результате налета 9 бомбардировщиков Ю-88 матчасть дивизиона получила серьезные повреждения, и МБВ № 01 был выведен для восстановления на Ярославский паровозоремонтный завод. 23 мая дивизион убыл в Москву, а оттуда 14 </w:t>
      </w:r>
      <w:proofErr w:type="gramStart"/>
      <w:r w:rsidRPr="008127F8">
        <w:rPr>
          <w:rFonts w:ascii="Times New Roman" w:hAnsi="Times New Roman"/>
          <w:color w:val="000000" w:themeColor="text1"/>
          <w:sz w:val="16"/>
          <w:szCs w:val="16"/>
        </w:rPr>
        <w:t>июля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1942</w:t>
      </w:r>
      <w:proofErr w:type="gramEnd"/>
      <w:r w:rsidRPr="008127F8">
        <w:rPr>
          <w:rFonts w:ascii="Times New Roman" w:hAnsi="Times New Roman"/>
          <w:color w:val="000000" w:themeColor="text1"/>
          <w:sz w:val="16"/>
          <w:szCs w:val="16"/>
        </w:rPr>
        <w:t xml:space="preserve"> года - в состав 28-й армии Сталинградского военного округа. 20 августа дивизион прибыл в Астрахань, а 27 августа, переправившись через Волгу занял позицию на стыке Северо-Кавказского и Сталинградского фронтов. 3 сентября 1942 года огнем бронепоездов дивизиона была отражена попытка немецких частей перерезать железную дорогу Кизляр -Астрахань, а затем до конца ноября 30 ОДБП прикрывал железную дорогу от атак с воздуха (18626).</w:t>
      </w:r>
    </w:p>
    <w:p w14:paraId="2A9D5537" w14:textId="77777777" w:rsidR="00DC7B9A" w:rsidRPr="008127F8" w:rsidRDefault="00DC7B9A" w:rsidP="001E0A84">
      <w:pPr>
        <w:spacing w:after="0" w:line="240" w:lineRule="auto"/>
        <w:jc w:val="both"/>
        <w:rPr>
          <w:rFonts w:ascii="Times New Roman" w:hAnsi="Times New Roman"/>
          <w:color w:val="000000" w:themeColor="text1"/>
          <w:sz w:val="16"/>
          <w:szCs w:val="16"/>
        </w:rPr>
      </w:pPr>
    </w:p>
    <w:p w14:paraId="70DAF9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1942г. вышел ПРИКАЗ НКО № 0159 О СЛУЧАЯХ ПОТЕРИ В ПУТИ ВОЕННЫХ ГРУЗОВ И МЕРАХ УПОРЯДОЧЕНИЯ ИХ ТРАНСПОРТИРОВКИ</w:t>
      </w:r>
    </w:p>
    <w:p w14:paraId="1B9101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неудовлетворительной погрузки и крепления военных грузов на открытом подвижном составе участились случаи потери этих грузов в пути следования с проходящих поездов.</w:t>
      </w:r>
    </w:p>
    <w:p w14:paraId="24F631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на Пермской железной дороге за период октябрь — декабрь месяцы 1941 года подобрано с железнодорожного полотна: авиабомб — 5 ящиков, боевых патронов—14 ящиков, капсюлей-детонаторов — 4 ящика, гранат — 2 ящика, военного обмундирования — 2 тюка.</w:t>
      </w:r>
    </w:p>
    <w:p w14:paraId="13D5F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трудно понять, что такая транспортировка грузов боевого имущества является величайшим преступлением. Создаются благоприятные условия для шпионов и всяких других преступных элементов по использованию вооружения Красной Армии. Войсковые командиры-грузоотправители, как видно, не только не интересуются тем, как отправляется вверенное им военное имущество, но и не доносят об утрате его, как о чрезвычайном происшествии. Безнаказанными остаются начальники эшелонов (транспортов) и начальники команд, сопровождающие грузы, по вине которых из-за плохой охраны теряется имущество.</w:t>
      </w:r>
    </w:p>
    <w:p w14:paraId="129EE0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предупреждения случаев потери в пути военных грузов приказываю:</w:t>
      </w:r>
    </w:p>
    <w:p w14:paraId="7409A0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Категорически запретить перевозку боеприпасов и огнеприпасов на платформах и открытых железнодорожных вагонах. Во всех случаях боеприпасы и огнеприпасы отправлять только в закрытых, надежно запертых и опломбированных вагонах.</w:t>
      </w:r>
    </w:p>
    <w:p w14:paraId="30590C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Военным комендантам станций и железнодорожных участков обеспечивать предоставление под грузы с боеприпасами и огнеприпасами закрытого порожняка, не допуская отправления этого вида грузов на открытых железнодорожных площадках и платформах.</w:t>
      </w:r>
    </w:p>
    <w:p w14:paraId="6344AE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 отправлении других военных грузов на открытом подвижном составе грузоотправителям и военным комендантам станций следить за качеством укладки имущества и креплением его, обеспечивающим сохранность в пути при движении состава.</w:t>
      </w:r>
    </w:p>
    <w:p w14:paraId="5CE2C1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Войсковым командирам (начальникам учреждений) при массовом отправлении военного имущества, лично или через назначенных ответственных должностных лиц, во всех случаях проверять качество погрузки имущества, принимая на месте соответствующие меры к сохранению грузов в пути.</w:t>
      </w:r>
    </w:p>
    <w:p w14:paraId="0235FF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Перевозимые по железной дороге и водным путем военные грузы сдавать назначенным начальникам эшелонов (транспорта) (приказ НКО № 0333 1941 года) по количеству мест или весу, с заполнением открытых листов на каждый вагон (платформу) по прилагаемой форме, согласно которых начальникам эшелонов (транспортов) сдавать груз по месту назначения.</w:t>
      </w:r>
    </w:p>
    <w:p w14:paraId="6C95EF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недостаче имущества против показаний открытых листов и при отсутствии у сопровождающего законных доказательств недостачи начальников эшелонов (транспортов) арестовывать и немедленно предавать суду военного трибунала.</w:t>
      </w:r>
    </w:p>
    <w:p w14:paraId="4F2497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Командующему войсками Уральского военного округа в десятидневный срок расследовать случаи потери боевого имущества на Пермской железной дороге. Материал расследования передать следственным органам для привлечения виновных лиц и командиров, скрывших факты потери боевого имущества, к судебной ответственности.</w:t>
      </w:r>
    </w:p>
    <w:p w14:paraId="49D4EB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Заместитель Народного комиссара обороны генерал-лейтенант интендантской службы ХРУЛЕВ</w:t>
      </w:r>
      <w:r w:rsidRPr="008127F8">
        <w:rPr>
          <w:rFonts w:ascii="Times New Roman" w:hAnsi="Times New Roman"/>
          <w:color w:val="000000" w:themeColor="text1"/>
          <w:sz w:val="16"/>
          <w:szCs w:val="16"/>
        </w:rPr>
        <w:t xml:space="preserve"> (9844).</w:t>
      </w:r>
    </w:p>
    <w:p w14:paraId="084D44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64BD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4A739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6CD8BD" w14:textId="77777777" w:rsidR="00D12538" w:rsidRPr="008127F8" w:rsidRDefault="00D125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28 февраля с 1 февраля 1942 Fliegerkorps II Люфтваффе выполнили 2497 самолетовылетов против Мальты, в том числе 222 только на аэродромы (20793).</w:t>
      </w:r>
    </w:p>
    <w:p w14:paraId="78C3B0C9" w14:textId="77777777" w:rsidR="00D12538" w:rsidRPr="008127F8" w:rsidRDefault="00D12538" w:rsidP="001E0A84">
      <w:pPr>
        <w:spacing w:after="0" w:line="240" w:lineRule="auto"/>
        <w:jc w:val="both"/>
        <w:rPr>
          <w:rFonts w:ascii="Times New Roman" w:hAnsi="Times New Roman"/>
          <w:color w:val="000000" w:themeColor="text1"/>
          <w:sz w:val="16"/>
          <w:szCs w:val="16"/>
        </w:rPr>
      </w:pPr>
    </w:p>
    <w:p w14:paraId="7E51681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в Германии автомобили разрешено использовать только на военные цели (4962).</w:t>
      </w:r>
    </w:p>
    <w:p w14:paraId="14137ED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F4FBF4"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февраля</w:t>
      </w:r>
      <w:r w:rsidRPr="008127F8">
        <w:rPr>
          <w:rFonts w:ascii="Times New Roman" w:hAnsi="Times New Roman"/>
          <w:color w:val="000000" w:themeColor="text1"/>
          <w:sz w:val="16"/>
          <w:szCs w:val="16"/>
        </w:rPr>
        <w:t xml:space="preserve"> в 1942 году начало высадки японских войск на Яве (15054).</w:t>
      </w:r>
    </w:p>
    <w:p w14:paraId="3372AC4A"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514854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японцы вторглись на Яву (2261).</w:t>
      </w:r>
    </w:p>
    <w:p w14:paraId="5EEDB0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5F5E5" w14:textId="262FB499"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 xml:space="preserve">28 </w:t>
      </w:r>
      <w:r w:rsidRPr="008127F8">
        <w:rPr>
          <w:rFonts w:ascii="Times New Roman" w:hAnsi="Times New Roman"/>
          <w:color w:val="000000" w:themeColor="text1"/>
          <w:sz w:val="16"/>
          <w:szCs w:val="16"/>
        </w:rPr>
        <w:t>февраля</w:t>
      </w:r>
      <w:r w:rsidRPr="008127F8">
        <w:rPr>
          <w:rFonts w:ascii="Times New Roman" w:hAnsi="Times New Roman"/>
          <w:color w:val="000000" w:themeColor="text1"/>
          <w:sz w:val="16"/>
          <w:szCs w:val="16"/>
          <w:lang w:val="en-US"/>
        </w:rPr>
        <w:t xml:space="preserve"> 1942 </w:t>
      </w:r>
      <w:r w:rsidRPr="008127F8">
        <w:rPr>
          <w:rFonts w:ascii="Times New Roman" w:hAnsi="Times New Roman"/>
          <w:color w:val="000000" w:themeColor="text1"/>
          <w:sz w:val="16"/>
          <w:szCs w:val="16"/>
        </w:rPr>
        <w:t>японцы</w:t>
      </w:r>
      <w:r w:rsidR="00EC5AD3"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захватили</w:t>
      </w:r>
      <w:r w:rsidR="00EC5AD3"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Яву</w:t>
      </w:r>
      <w:r w:rsidRPr="008127F8">
        <w:rPr>
          <w:rFonts w:ascii="Times New Roman" w:hAnsi="Times New Roman"/>
          <w:color w:val="000000" w:themeColor="text1"/>
          <w:sz w:val="16"/>
          <w:szCs w:val="16"/>
          <w:lang w:val="en-US"/>
        </w:rPr>
        <w:t xml:space="preserve"> (4962).</w:t>
      </w:r>
    </w:p>
    <w:p w14:paraId="313742B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007F9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February 28 1942 The ABDA is dissolved (1242).</w:t>
      </w:r>
    </w:p>
    <w:p w14:paraId="3CF75C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9245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1942 была расформирована ABDA (1242).</w:t>
      </w:r>
    </w:p>
    <w:p w14:paraId="1E7562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EC937"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BBA03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7C1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w:t>
      </w:r>
      <w:r w:rsidRPr="008127F8">
        <w:rPr>
          <w:rFonts w:ascii="Times New Roman" w:hAnsi="Times New Roman"/>
          <w:color w:val="000000" w:themeColor="text1"/>
          <w:sz w:val="16"/>
          <w:szCs w:val="16"/>
        </w:rPr>
        <w:softHyphen/>
        <w:t>це февраля 1942 года начальник Управления опытным строитель</w:t>
      </w:r>
      <w:r w:rsidRPr="008127F8">
        <w:rPr>
          <w:rFonts w:ascii="Times New Roman" w:hAnsi="Times New Roman"/>
          <w:color w:val="000000" w:themeColor="text1"/>
          <w:sz w:val="16"/>
          <w:szCs w:val="16"/>
        </w:rPr>
        <w:softHyphen/>
        <w:t>ством (УОС) ВВС КА бригинженер Лешуков подготовил докладную за</w:t>
      </w:r>
      <w:r w:rsidRPr="008127F8">
        <w:rPr>
          <w:rFonts w:ascii="Times New Roman" w:hAnsi="Times New Roman"/>
          <w:color w:val="000000" w:themeColor="text1"/>
          <w:sz w:val="16"/>
          <w:szCs w:val="16"/>
        </w:rPr>
        <w:softHyphen/>
        <w:t>писку на имя председателя Государ</w:t>
      </w:r>
      <w:r w:rsidRPr="008127F8">
        <w:rPr>
          <w:rFonts w:ascii="Times New Roman" w:hAnsi="Times New Roman"/>
          <w:color w:val="000000" w:themeColor="text1"/>
          <w:sz w:val="16"/>
          <w:szCs w:val="16"/>
        </w:rPr>
        <w:softHyphen/>
        <w:t>ственного Комитета Обороны ГКО И.В.Сталина и проект постановле</w:t>
      </w:r>
      <w:r w:rsidRPr="008127F8">
        <w:rPr>
          <w:rFonts w:ascii="Times New Roman" w:hAnsi="Times New Roman"/>
          <w:color w:val="000000" w:themeColor="text1"/>
          <w:sz w:val="16"/>
          <w:szCs w:val="16"/>
        </w:rPr>
        <w:softHyphen/>
        <w:t>ния ГКО. Проект обязывал НКАП к 1 ноября 1942 года построить ма</w:t>
      </w:r>
      <w:r w:rsidRPr="008127F8">
        <w:rPr>
          <w:rFonts w:ascii="Times New Roman" w:hAnsi="Times New Roman"/>
          <w:color w:val="000000" w:themeColor="text1"/>
          <w:sz w:val="16"/>
          <w:szCs w:val="16"/>
        </w:rPr>
        <w:softHyphen/>
        <w:t>лую серию (25 экземпляров) штур</w:t>
      </w:r>
      <w:r w:rsidRPr="008127F8">
        <w:rPr>
          <w:rFonts w:ascii="Times New Roman" w:hAnsi="Times New Roman"/>
          <w:color w:val="000000" w:themeColor="text1"/>
          <w:sz w:val="16"/>
          <w:szCs w:val="16"/>
        </w:rPr>
        <w:softHyphen/>
        <w:t>мовиков Су-6. В начале марта до</w:t>
      </w:r>
      <w:r w:rsidRPr="008127F8">
        <w:rPr>
          <w:rFonts w:ascii="Times New Roman" w:hAnsi="Times New Roman"/>
          <w:color w:val="000000" w:themeColor="text1"/>
          <w:sz w:val="16"/>
          <w:szCs w:val="16"/>
        </w:rPr>
        <w:softHyphen/>
        <w:t>кументы были направлены в НКАП для ознакомления и согласования (11845).</w:t>
      </w:r>
    </w:p>
    <w:p w14:paraId="1238D2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AF1F2E" w14:textId="77777777" w:rsidR="008B09CF" w:rsidRPr="008127F8" w:rsidRDefault="008B09C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конце февраля 1942 на</w:t>
      </w:r>
      <w:r w:rsidRPr="008127F8">
        <w:rPr>
          <w:rFonts w:ascii="Times New Roman" w:hAnsi="Times New Roman" w:cs="Times New Roman"/>
          <w:color w:val="000000" w:themeColor="text1"/>
          <w:sz w:val="16"/>
          <w:szCs w:val="16"/>
        </w:rPr>
        <w:softHyphen/>
        <w:t>чальник Управления опытного строитель</w:t>
      </w:r>
      <w:r w:rsidRPr="008127F8">
        <w:rPr>
          <w:rFonts w:ascii="Times New Roman" w:hAnsi="Times New Roman" w:cs="Times New Roman"/>
          <w:color w:val="000000" w:themeColor="text1"/>
          <w:sz w:val="16"/>
          <w:szCs w:val="16"/>
        </w:rPr>
        <w:softHyphen/>
        <w:t>ства ВВС КА бригинженер Лешуков под</w:t>
      </w:r>
      <w:r w:rsidRPr="008127F8">
        <w:rPr>
          <w:rFonts w:ascii="Times New Roman" w:hAnsi="Times New Roman" w:cs="Times New Roman"/>
          <w:color w:val="000000" w:themeColor="text1"/>
          <w:sz w:val="16"/>
          <w:szCs w:val="16"/>
        </w:rPr>
        <w:softHyphen/>
        <w:t>готовил докладную записку на имя пред</w:t>
      </w:r>
      <w:r w:rsidRPr="008127F8">
        <w:rPr>
          <w:rFonts w:ascii="Times New Roman" w:hAnsi="Times New Roman" w:cs="Times New Roman"/>
          <w:color w:val="000000" w:themeColor="text1"/>
          <w:sz w:val="16"/>
          <w:szCs w:val="16"/>
        </w:rPr>
        <w:softHyphen/>
        <w:t>седателя Государственного Комитета Обороны И.В.Сталина и проект постанов</w:t>
      </w:r>
      <w:r w:rsidRPr="008127F8">
        <w:rPr>
          <w:rFonts w:ascii="Times New Roman" w:hAnsi="Times New Roman" w:cs="Times New Roman"/>
          <w:color w:val="000000" w:themeColor="text1"/>
          <w:sz w:val="16"/>
          <w:szCs w:val="16"/>
        </w:rPr>
        <w:softHyphen/>
        <w:t>ления ГКО «О выпуске малой серии но</w:t>
      </w:r>
      <w:r w:rsidRPr="008127F8">
        <w:rPr>
          <w:rFonts w:ascii="Times New Roman" w:hAnsi="Times New Roman" w:cs="Times New Roman"/>
          <w:color w:val="000000" w:themeColor="text1"/>
          <w:sz w:val="16"/>
          <w:szCs w:val="16"/>
        </w:rPr>
        <w:softHyphen/>
        <w:t>вых бронированных штурмовиков с мото</w:t>
      </w:r>
      <w:r w:rsidRPr="008127F8">
        <w:rPr>
          <w:rFonts w:ascii="Times New Roman" w:hAnsi="Times New Roman" w:cs="Times New Roman"/>
          <w:color w:val="000000" w:themeColor="text1"/>
          <w:sz w:val="16"/>
          <w:szCs w:val="16"/>
        </w:rPr>
        <w:softHyphen/>
        <w:t>ром М-71». Все материалы 3 марта были направлены заместителю начальника 7-го Управления НКАП Алексееву для согла</w:t>
      </w:r>
      <w:r w:rsidRPr="008127F8">
        <w:rPr>
          <w:rFonts w:ascii="Times New Roman" w:hAnsi="Times New Roman" w:cs="Times New Roman"/>
          <w:color w:val="000000" w:themeColor="text1"/>
          <w:sz w:val="16"/>
          <w:szCs w:val="16"/>
        </w:rPr>
        <w:softHyphen/>
        <w:t>сования.</w:t>
      </w:r>
    </w:p>
    <w:p w14:paraId="714C133B" w14:textId="77777777" w:rsidR="008B09CF" w:rsidRPr="008127F8" w:rsidRDefault="008B09C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Проект постановления обязывал НКАП («директора и главного конструк</w:t>
      </w:r>
      <w:r w:rsidRPr="008127F8">
        <w:rPr>
          <w:rFonts w:ascii="Times New Roman" w:hAnsi="Times New Roman" w:cs="Times New Roman"/>
          <w:color w:val="000000" w:themeColor="text1"/>
          <w:sz w:val="16"/>
          <w:szCs w:val="16"/>
        </w:rPr>
        <w:softHyphen/>
        <w:t>тора завода №289 тов. Сухого») к 1 но</w:t>
      </w:r>
      <w:r w:rsidRPr="008127F8">
        <w:rPr>
          <w:rFonts w:ascii="Times New Roman" w:hAnsi="Times New Roman" w:cs="Times New Roman"/>
          <w:color w:val="000000" w:themeColor="text1"/>
          <w:sz w:val="16"/>
          <w:szCs w:val="16"/>
        </w:rPr>
        <w:softHyphen/>
        <w:t>ября 1942 г. построить малую серию «штурмовиков Су-6 в количестве 25 эк</w:t>
      </w:r>
      <w:r w:rsidRPr="008127F8">
        <w:rPr>
          <w:rFonts w:ascii="Times New Roman" w:hAnsi="Times New Roman" w:cs="Times New Roman"/>
          <w:color w:val="000000" w:themeColor="text1"/>
          <w:sz w:val="16"/>
          <w:szCs w:val="16"/>
        </w:rPr>
        <w:softHyphen/>
        <w:t>земпляров с мотором М-71».</w:t>
      </w:r>
    </w:p>
    <w:p w14:paraId="0E8AB174" w14:textId="77777777" w:rsidR="008B09CF" w:rsidRPr="008127F8" w:rsidRDefault="008B09C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Летные данные задавались следу</w:t>
      </w:r>
      <w:r w:rsidRPr="008127F8">
        <w:rPr>
          <w:rFonts w:ascii="Times New Roman" w:hAnsi="Times New Roman" w:cs="Times New Roman"/>
          <w:color w:val="000000" w:themeColor="text1"/>
          <w:sz w:val="16"/>
          <w:szCs w:val="16"/>
        </w:rPr>
        <w:softHyphen/>
        <w:t>ющие. Максимальная скорость на но</w:t>
      </w:r>
      <w:r w:rsidRPr="008127F8">
        <w:rPr>
          <w:rFonts w:ascii="Times New Roman" w:hAnsi="Times New Roman" w:cs="Times New Roman"/>
          <w:color w:val="000000" w:themeColor="text1"/>
          <w:sz w:val="16"/>
          <w:szCs w:val="16"/>
        </w:rPr>
        <w:softHyphen/>
        <w:t>минальной мощности мотора 460 км/ч (500 км/ч - с применением форсажа) - у земли, и 550 км/ч - на высоте 5600 м. Посадочная скорость - 145 км/ч. Даль</w:t>
      </w:r>
      <w:r w:rsidRPr="008127F8">
        <w:rPr>
          <w:rFonts w:ascii="Times New Roman" w:hAnsi="Times New Roman" w:cs="Times New Roman"/>
          <w:color w:val="000000" w:themeColor="text1"/>
          <w:sz w:val="16"/>
          <w:szCs w:val="16"/>
        </w:rPr>
        <w:softHyphen/>
        <w:t>ность полета на скорости 0,9 максималь</w:t>
      </w:r>
      <w:r w:rsidRPr="008127F8">
        <w:rPr>
          <w:rFonts w:ascii="Times New Roman" w:hAnsi="Times New Roman" w:cs="Times New Roman"/>
          <w:color w:val="000000" w:themeColor="text1"/>
          <w:sz w:val="16"/>
          <w:szCs w:val="16"/>
        </w:rPr>
        <w:softHyphen/>
        <w:t>ной скорости - 700 км.</w:t>
      </w:r>
    </w:p>
    <w:p w14:paraId="79C65BB8" w14:textId="77777777" w:rsidR="008B09CF" w:rsidRPr="008127F8" w:rsidRDefault="008B09C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Вооружение должно было включать две пушки ВЯ (по 80 патрон на пушку), четыре пулемета ШКАС в крыле (по 800 патронов на пулемет), два синхрон</w:t>
      </w:r>
      <w:r w:rsidRPr="008127F8">
        <w:rPr>
          <w:rFonts w:ascii="Times New Roman" w:hAnsi="Times New Roman" w:cs="Times New Roman"/>
          <w:color w:val="000000" w:themeColor="text1"/>
          <w:sz w:val="16"/>
          <w:szCs w:val="16"/>
        </w:rPr>
        <w:softHyphen/>
        <w:t>ных ШКАС (по 800 патронов каждый), 10 РС-82 и 150 кг бомб или 10 РС-132. Бом</w:t>
      </w:r>
      <w:r w:rsidRPr="008127F8">
        <w:rPr>
          <w:rFonts w:ascii="Times New Roman" w:hAnsi="Times New Roman" w:cs="Times New Roman"/>
          <w:color w:val="000000" w:themeColor="text1"/>
          <w:sz w:val="16"/>
          <w:szCs w:val="16"/>
        </w:rPr>
        <w:softHyphen/>
        <w:t>бовая нагрузка при перегрузке (калибр бомб от 1,5 кг до 100 кг) - 400 кг.</w:t>
      </w:r>
    </w:p>
    <w:p w14:paraId="49B9A4F8" w14:textId="77777777" w:rsidR="008B09CF" w:rsidRPr="008127F8" w:rsidRDefault="008B09C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«Бронирование от пуль калибра 12,7 мм» следовало реализовать по схеме, утвержденной ГУ ВВС КА. Бензобак дол</w:t>
      </w:r>
      <w:r w:rsidRPr="008127F8">
        <w:rPr>
          <w:rFonts w:ascii="Times New Roman" w:hAnsi="Times New Roman" w:cs="Times New Roman"/>
          <w:color w:val="000000" w:themeColor="text1"/>
          <w:sz w:val="16"/>
          <w:szCs w:val="16"/>
        </w:rPr>
        <w:softHyphen/>
        <w:t>жен иметь протектор и заполняться в по</w:t>
      </w:r>
      <w:r w:rsidRPr="008127F8">
        <w:rPr>
          <w:rFonts w:ascii="Times New Roman" w:hAnsi="Times New Roman" w:cs="Times New Roman"/>
          <w:color w:val="000000" w:themeColor="text1"/>
          <w:sz w:val="16"/>
          <w:szCs w:val="16"/>
        </w:rPr>
        <w:softHyphen/>
        <w:t>лете инертным газом.</w:t>
      </w:r>
    </w:p>
    <w:p w14:paraId="71FA9322" w14:textId="77777777" w:rsidR="008B09CF" w:rsidRPr="008127F8" w:rsidRDefault="008B0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Головной самолет малой серии тре</w:t>
      </w:r>
      <w:r w:rsidRPr="008127F8">
        <w:rPr>
          <w:rFonts w:ascii="Times New Roman" w:hAnsi="Times New Roman"/>
          <w:color w:val="000000" w:themeColor="text1"/>
          <w:sz w:val="16"/>
          <w:szCs w:val="16"/>
        </w:rPr>
        <w:softHyphen/>
        <w:t>бовалось предъявить на государственные испытания не позже 15 июня 1942 г. (19844).</w:t>
      </w:r>
    </w:p>
    <w:p w14:paraId="34EB85C6" w14:textId="77777777" w:rsidR="008B09CF" w:rsidRPr="008127F8" w:rsidRDefault="008B09CF"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8F447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конец февраля 1942 г. пришелся начальный этап разработки истребителя П.О.С. с мотором воздушного охлаждения с двумя крыльевыми 23-мм пушками (6406).</w:t>
      </w:r>
    </w:p>
    <w:p w14:paraId="3E62D0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0C7F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года П.О. Сухой направил на рассмотрение в НИИ ВВС КА эскизный проект истребителя с М-71. В пояснитель</w:t>
      </w:r>
      <w:r w:rsidRPr="008127F8">
        <w:rPr>
          <w:rFonts w:ascii="Times New Roman" w:hAnsi="Times New Roman"/>
          <w:color w:val="000000" w:themeColor="text1"/>
          <w:sz w:val="16"/>
          <w:szCs w:val="16"/>
        </w:rPr>
        <w:softHyphen/>
        <w:t>ной записке к проекту отмечалось, что: «Располагая хорошими типами истребителей с моторами жидко</w:t>
      </w:r>
      <w:r w:rsidRPr="008127F8">
        <w:rPr>
          <w:rFonts w:ascii="Times New Roman" w:hAnsi="Times New Roman"/>
          <w:color w:val="000000" w:themeColor="text1"/>
          <w:sz w:val="16"/>
          <w:szCs w:val="16"/>
        </w:rPr>
        <w:softHyphen/>
        <w:t>стного охлаждения, наш воздушный флот не имеет на снабжении но</w:t>
      </w:r>
      <w:r w:rsidRPr="008127F8">
        <w:rPr>
          <w:rFonts w:ascii="Times New Roman" w:hAnsi="Times New Roman"/>
          <w:color w:val="000000" w:themeColor="text1"/>
          <w:sz w:val="16"/>
          <w:szCs w:val="16"/>
        </w:rPr>
        <w:softHyphen/>
        <w:t>вых образцов истребителей с воз</w:t>
      </w:r>
      <w:r w:rsidRPr="008127F8">
        <w:rPr>
          <w:rFonts w:ascii="Times New Roman" w:hAnsi="Times New Roman"/>
          <w:color w:val="000000" w:themeColor="text1"/>
          <w:sz w:val="16"/>
          <w:szCs w:val="16"/>
        </w:rPr>
        <w:softHyphen/>
        <w:t>душным охлаждением.</w:t>
      </w:r>
    </w:p>
    <w:p w14:paraId="033384B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Последний тип истребителя пользуется заслуженным внимани</w:t>
      </w:r>
      <w:r w:rsidRPr="008127F8">
        <w:rPr>
          <w:rFonts w:ascii="Times New Roman" w:hAnsi="Times New Roman"/>
          <w:color w:val="000000" w:themeColor="text1"/>
          <w:sz w:val="16"/>
          <w:szCs w:val="16"/>
        </w:rPr>
        <w:softHyphen/>
        <w:t>ем со стороны наших летчиков, на</w:t>
      </w:r>
      <w:r w:rsidRPr="008127F8">
        <w:rPr>
          <w:rFonts w:ascii="Times New Roman" w:hAnsi="Times New Roman"/>
          <w:color w:val="000000" w:themeColor="text1"/>
          <w:sz w:val="16"/>
          <w:szCs w:val="16"/>
        </w:rPr>
        <w:softHyphen/>
        <w:t>стоятельно требующих такой тип истребителя ввиду большей его бе</w:t>
      </w:r>
      <w:r w:rsidRPr="008127F8">
        <w:rPr>
          <w:rFonts w:ascii="Times New Roman" w:hAnsi="Times New Roman"/>
          <w:color w:val="000000" w:themeColor="text1"/>
          <w:sz w:val="16"/>
          <w:szCs w:val="16"/>
        </w:rPr>
        <w:softHyphen/>
        <w:t>зопасности при простреле цилинд</w:t>
      </w:r>
      <w:r w:rsidRPr="008127F8">
        <w:rPr>
          <w:rFonts w:ascii="Times New Roman" w:hAnsi="Times New Roman"/>
          <w:color w:val="000000" w:themeColor="text1"/>
          <w:sz w:val="16"/>
          <w:szCs w:val="16"/>
        </w:rPr>
        <w:softHyphen/>
        <w:t>ра мотора.</w:t>
      </w:r>
    </w:p>
    <w:p w14:paraId="6A76B5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Предлагаемый проект, помимо указанного фактора, предусматривает хорошую маневренность, уп</w:t>
      </w:r>
      <w:r w:rsidRPr="008127F8">
        <w:rPr>
          <w:rFonts w:ascii="Times New Roman" w:hAnsi="Times New Roman"/>
          <w:color w:val="000000" w:themeColor="text1"/>
          <w:sz w:val="16"/>
          <w:szCs w:val="16"/>
        </w:rPr>
        <w:softHyphen/>
        <w:t>равляемость, простые взлетно-поса</w:t>
      </w:r>
      <w:r w:rsidRPr="008127F8">
        <w:rPr>
          <w:rFonts w:ascii="Times New Roman" w:hAnsi="Times New Roman"/>
          <w:color w:val="000000" w:themeColor="text1"/>
          <w:sz w:val="16"/>
          <w:szCs w:val="16"/>
        </w:rPr>
        <w:softHyphen/>
        <w:t>дочные и пилотажные свойства.</w:t>
      </w:r>
    </w:p>
    <w:p w14:paraId="671F92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эти свойства будут обеспе</w:t>
      </w:r>
      <w:r w:rsidRPr="008127F8">
        <w:rPr>
          <w:rFonts w:ascii="Times New Roman" w:hAnsi="Times New Roman"/>
          <w:color w:val="000000" w:themeColor="text1"/>
          <w:sz w:val="16"/>
          <w:szCs w:val="16"/>
        </w:rPr>
        <w:softHyphen/>
        <w:t>чены благодаря небольшой удель</w:t>
      </w:r>
      <w:r w:rsidRPr="008127F8">
        <w:rPr>
          <w:rFonts w:ascii="Times New Roman" w:hAnsi="Times New Roman"/>
          <w:color w:val="000000" w:themeColor="text1"/>
          <w:sz w:val="16"/>
          <w:szCs w:val="16"/>
        </w:rPr>
        <w:softHyphen/>
        <w:t>ной нагрузке на крыло (160-170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и, главным образом, благодаря тому, что основные параметры са</w:t>
      </w:r>
      <w:r w:rsidRPr="008127F8">
        <w:rPr>
          <w:rFonts w:ascii="Times New Roman" w:hAnsi="Times New Roman"/>
          <w:color w:val="000000" w:themeColor="text1"/>
          <w:sz w:val="16"/>
          <w:szCs w:val="16"/>
        </w:rPr>
        <w:softHyphen/>
        <w:t>молета аналогичны построенному одноместному бронированному штурмовику Су-6, который, по от</w:t>
      </w:r>
      <w:r w:rsidRPr="008127F8">
        <w:rPr>
          <w:rFonts w:ascii="Times New Roman" w:hAnsi="Times New Roman"/>
          <w:color w:val="000000" w:themeColor="text1"/>
          <w:sz w:val="16"/>
          <w:szCs w:val="16"/>
        </w:rPr>
        <w:softHyphen/>
        <w:t>зывам летчиков ЛИИ НКАП и НИИ ВВС своими пилотажными свойства</w:t>
      </w:r>
      <w:r w:rsidRPr="008127F8">
        <w:rPr>
          <w:rFonts w:ascii="Times New Roman" w:hAnsi="Times New Roman"/>
          <w:color w:val="000000" w:themeColor="text1"/>
          <w:sz w:val="16"/>
          <w:szCs w:val="16"/>
        </w:rPr>
        <w:softHyphen/>
        <w:t>ми превосходит все находящиеся на снабжении ВВС типы самолетов.</w:t>
      </w:r>
    </w:p>
    <w:p w14:paraId="4149020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Небольшая нагрузка на крыло компенсируется большой мощностью мотора, позволяющей обеспе</w:t>
      </w:r>
      <w:r w:rsidRPr="008127F8">
        <w:rPr>
          <w:rFonts w:ascii="Times New Roman" w:hAnsi="Times New Roman"/>
          <w:color w:val="000000" w:themeColor="text1"/>
          <w:sz w:val="16"/>
          <w:szCs w:val="16"/>
        </w:rPr>
        <w:softHyphen/>
        <w:t xml:space="preserve">чить Углах порядка 600 </w:t>
      </w:r>
      <w:proofErr w:type="gramStart"/>
      <w:r w:rsidRPr="008127F8">
        <w:rPr>
          <w:rFonts w:ascii="Times New Roman" w:hAnsi="Times New Roman"/>
          <w:color w:val="000000" w:themeColor="text1"/>
          <w:sz w:val="16"/>
          <w:szCs w:val="16"/>
        </w:rPr>
        <w:t>км/ч</w:t>
      </w:r>
      <w:proofErr w:type="gramEnd"/>
      <w:r w:rsidRPr="008127F8">
        <w:rPr>
          <w:rFonts w:ascii="Times New Roman" w:hAnsi="Times New Roman"/>
          <w:color w:val="000000" w:themeColor="text1"/>
          <w:sz w:val="16"/>
          <w:szCs w:val="16"/>
        </w:rPr>
        <w:t xml:space="preserve"> но вы</w:t>
      </w:r>
      <w:r w:rsidRPr="008127F8">
        <w:rPr>
          <w:rFonts w:ascii="Times New Roman" w:hAnsi="Times New Roman"/>
          <w:color w:val="000000" w:themeColor="text1"/>
          <w:sz w:val="16"/>
          <w:szCs w:val="16"/>
        </w:rPr>
        <w:softHyphen/>
        <w:t>соте 5000-6000 м.</w:t>
      </w:r>
    </w:p>
    <w:p w14:paraId="28DEC03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Увеличение </w:t>
      </w:r>
      <w:proofErr w:type="gramStart"/>
      <w:r w:rsidRPr="008127F8">
        <w:rPr>
          <w:rFonts w:ascii="Times New Roman" w:hAnsi="Times New Roman"/>
          <w:color w:val="000000" w:themeColor="text1"/>
          <w:sz w:val="16"/>
          <w:szCs w:val="16"/>
        </w:rPr>
        <w:t>нагрузки</w:t>
      </w:r>
      <w:proofErr w:type="gramEnd"/>
      <w:r w:rsidRPr="008127F8">
        <w:rPr>
          <w:rFonts w:ascii="Times New Roman" w:hAnsi="Times New Roman"/>
          <w:color w:val="000000" w:themeColor="text1"/>
          <w:sz w:val="16"/>
          <w:szCs w:val="16"/>
        </w:rPr>
        <w:t xml:space="preserve"> но крыло до 190-200кг/м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смогло бы соответ</w:t>
      </w:r>
      <w:r w:rsidRPr="008127F8">
        <w:rPr>
          <w:rFonts w:ascii="Times New Roman" w:hAnsi="Times New Roman"/>
          <w:color w:val="000000" w:themeColor="text1"/>
          <w:sz w:val="16"/>
          <w:szCs w:val="16"/>
        </w:rPr>
        <w:softHyphen/>
        <w:t>ственно повысить скорость, но не более, чем на 10-15 км/ч, что ни в какой мере не окупило бы ухудше</w:t>
      </w:r>
      <w:r w:rsidRPr="008127F8">
        <w:rPr>
          <w:rFonts w:ascii="Times New Roman" w:hAnsi="Times New Roman"/>
          <w:color w:val="000000" w:themeColor="text1"/>
          <w:sz w:val="16"/>
          <w:szCs w:val="16"/>
        </w:rPr>
        <w:softHyphen/>
        <w:t>ния взлетно-посадочных и манев</w:t>
      </w:r>
      <w:r w:rsidRPr="008127F8">
        <w:rPr>
          <w:rFonts w:ascii="Times New Roman" w:hAnsi="Times New Roman"/>
          <w:color w:val="000000" w:themeColor="text1"/>
          <w:sz w:val="16"/>
          <w:szCs w:val="16"/>
        </w:rPr>
        <w:softHyphen/>
        <w:t>ренных свойств самолета.</w:t>
      </w:r>
    </w:p>
    <w:p w14:paraId="048024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М-71, являясь сейчас наиболее мощным из отечествен</w:t>
      </w:r>
      <w:r w:rsidRPr="008127F8">
        <w:rPr>
          <w:rFonts w:ascii="Times New Roman" w:hAnsi="Times New Roman"/>
          <w:color w:val="000000" w:themeColor="text1"/>
          <w:sz w:val="16"/>
          <w:szCs w:val="16"/>
        </w:rPr>
        <w:softHyphen/>
        <w:t>ных моторов, в ближайшем буду</w:t>
      </w:r>
      <w:r w:rsidRPr="008127F8">
        <w:rPr>
          <w:rFonts w:ascii="Times New Roman" w:hAnsi="Times New Roman"/>
          <w:color w:val="000000" w:themeColor="text1"/>
          <w:sz w:val="16"/>
          <w:szCs w:val="16"/>
        </w:rPr>
        <w:softHyphen/>
        <w:t>щем должен быть форсирован и, по-видимому, на 1942-43 гг. также будет превосходить по мощности все имеющиеся сов. моторы ....</w:t>
      </w:r>
    </w:p>
    <w:p w14:paraId="42FA3A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НИИ ВВС КА эскизный проект рассмотрели и признали реальным, но в заключении указали, что он «...в предъявленном виде одобрен быть не может, т.к. запроектирован</w:t>
      </w:r>
      <w:r w:rsidRPr="008127F8">
        <w:rPr>
          <w:rFonts w:ascii="Times New Roman" w:hAnsi="Times New Roman"/>
          <w:color w:val="000000" w:themeColor="text1"/>
          <w:sz w:val="16"/>
          <w:szCs w:val="16"/>
        </w:rPr>
        <w:softHyphen/>
        <w:t>ный самолет по максимальным ско</w:t>
      </w:r>
      <w:r w:rsidRPr="008127F8">
        <w:rPr>
          <w:rFonts w:ascii="Times New Roman" w:hAnsi="Times New Roman"/>
          <w:color w:val="000000" w:themeColor="text1"/>
          <w:sz w:val="16"/>
          <w:szCs w:val="16"/>
        </w:rPr>
        <w:softHyphen/>
        <w:t>ростям и бронированию не имеет преимуществ перед опытными об</w:t>
      </w:r>
      <w:r w:rsidRPr="008127F8">
        <w:rPr>
          <w:rFonts w:ascii="Times New Roman" w:hAnsi="Times New Roman"/>
          <w:color w:val="000000" w:themeColor="text1"/>
          <w:sz w:val="16"/>
          <w:szCs w:val="16"/>
        </w:rPr>
        <w:softHyphen/>
        <w:t>разцами отечественных истребите</w:t>
      </w:r>
      <w:r w:rsidRPr="008127F8">
        <w:rPr>
          <w:rFonts w:ascii="Times New Roman" w:hAnsi="Times New Roman"/>
          <w:color w:val="000000" w:themeColor="text1"/>
          <w:sz w:val="16"/>
          <w:szCs w:val="16"/>
        </w:rPr>
        <w:softHyphen/>
        <w:t>лей» (11754).</w:t>
      </w:r>
    </w:p>
    <w:p w14:paraId="14B48ED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88CAB"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года П.О. Сухой направил на рассмотрение в НИИ ВВС КА эскизный проект истребителя с М-71. В пояснительной записке к проекту отмечалось, что:</w:t>
      </w:r>
    </w:p>
    <w:p w14:paraId="27996FAA"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«Располагая хорошими типами истребителей с моторами жидкостного охлаждения, наш воздушный флот не имеет на снабжении новых образцов истребителей с воздушным охлаждением.</w:t>
      </w:r>
    </w:p>
    <w:p w14:paraId="445D83D5"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Последний тип истребителя пользуется заслуженным вниманием со стороны наших летчиков, настоятельно требующих такой тип истребителя ввиду большей его безопасности при простреле цилиндра мотора.</w:t>
      </w:r>
    </w:p>
    <w:p w14:paraId="52974943"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Предлагаемый проект..., помимо указанного фактора, предусматривает хорошую маневренность, управляемость, простые взлетно-посадочные и пилотажные свойства.</w:t>
      </w:r>
    </w:p>
    <w:p w14:paraId="10E262BD"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эти свойства будут обеспечены благодаря небольшой удельной нагрузке на крыло (160-170 кг/м2) и, главным образом, благодаря тому, что основные параметры самолета аналогичны построенному одноместному бронированному штурмовику Су-6, который,...по отзывам летчиков ЛИИ НКАП и НИИ ВВС своими пилотажными свойствами превосходит все находящиеся на снабжении ВВС типы самолетов.</w:t>
      </w:r>
    </w:p>
    <w:p w14:paraId="57F2A681"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Небольшая нагрузка на крыло компенсируется большой мощностью мотора, позволяющей обеспечить Vmax порядка 600 км/ч на высоте 5000-6000 м.</w:t>
      </w:r>
    </w:p>
    <w:p w14:paraId="12EA8566"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нагрузки на крыло до 190-200 кг/м2 смогло бы соответственно повысить скорость, но не более, чем на 10-15 км/ч, что ни в какой мере не окупило бы ухудшения взлетно-посадочных и маневренных свойств самолета.</w:t>
      </w:r>
    </w:p>
    <w:p w14:paraId="4A0C480F"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М-71, являясь сейчас наиболее мощным из отечественных моторов, в ближайшем будущем должен быть форсирован и, по-видимому, на 1942-43 гг. также будет превосходить по мощности все имеющиеся сов. моторы ...».</w:t>
      </w:r>
    </w:p>
    <w:p w14:paraId="54355585" w14:textId="77777777" w:rsidR="0071448C" w:rsidRPr="008127F8" w:rsidRDefault="007144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НИИ ВВС КА эскизный проект рассмотрели и признали реальным, но в заключении указали, что он «...в предъявленном виде одобрен быть не может, т.к. запроектированный самолет по максимальным скоростям и бронированию не имеет преимуществ перед опытными образцами отечественных истребителей» (15578).</w:t>
      </w:r>
    </w:p>
    <w:p w14:paraId="1D1EA2A4"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3B5220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на завод № 124 пришло тревожное письмо из 746-го полка ТБ-7, который за годы войны несколько раз менял свой номер в процессе непрерывных реорганизаций в Красной Армии. Сообщалось, что «20 февраля на самолете № 4214 было обнаружено срезание заклепки по нижнему поясу правой стороны переднего лонжерона центроплана. Позднее поперечный разрыв найден под узлом крыльевой балки. В полете самолет внезапно резко провалился на 100-500 метров со скольжением на левое крыло. В конце скольжения чувствовался удар. 23 февраля в полете на № 4214 отказал механизм сброса 1000 кг бомбы из-за нарушения механизма проводки сбрасывания, что было вызвано обрывом лонжерона. Полеты на № 4214 решили прекратить до ремонта лонжерона». От завода требовалось усиление лонжерона.</w:t>
      </w:r>
    </w:p>
    <w:p w14:paraId="58B3E8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этом письме поражает то, что после зловещего удара в первом вылете самолет продолжал выполнять боевые вылеты. А для конструкторов это был уже не первый сигнал о неполадках в лонжеронах воздушного корабля (12049).</w:t>
      </w:r>
    </w:p>
    <w:p w14:paraId="08F687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24F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в эвакуации состоялся первый полет Як-7 М-82 (196,14).</w:t>
      </w:r>
    </w:p>
    <w:p w14:paraId="5D6732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CBFC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февраля 1942 г. на первом этапе летных ис</w:t>
      </w:r>
      <w:r w:rsidRPr="008127F8">
        <w:rPr>
          <w:rFonts w:ascii="Times New Roman" w:hAnsi="Times New Roman"/>
          <w:color w:val="000000" w:themeColor="text1"/>
          <w:sz w:val="16"/>
          <w:szCs w:val="16"/>
        </w:rPr>
        <w:softHyphen/>
        <w:t>пытаний в филиале ЛИИ (Толмачево) летчик-испыта</w:t>
      </w:r>
      <w:r w:rsidRPr="008127F8">
        <w:rPr>
          <w:rFonts w:ascii="Times New Roman" w:hAnsi="Times New Roman"/>
          <w:color w:val="000000" w:themeColor="text1"/>
          <w:sz w:val="16"/>
          <w:szCs w:val="16"/>
        </w:rPr>
        <w:softHyphen/>
        <w:t>тель Попельнюшенко на И-185 с М-82А достиг следующих значений скорости: у земли - 477 км/ч, на высоте 2700 м - 548 км/ч, на высоте 6300 м - 573 км/ч, а 8000 м - 530 км/ч. Много проблем создавал еще «сы</w:t>
      </w:r>
      <w:r w:rsidRPr="008127F8">
        <w:rPr>
          <w:rFonts w:ascii="Times New Roman" w:hAnsi="Times New Roman"/>
          <w:color w:val="000000" w:themeColor="text1"/>
          <w:sz w:val="16"/>
          <w:szCs w:val="16"/>
        </w:rPr>
        <w:softHyphen/>
        <w:t xml:space="preserve">рой» двигатель - масло выбивалось из суфлера, теплона-груженность двигателя оказалась выше заявляемой заводом № 19. Поэтому приходилось подбирать </w:t>
      </w:r>
      <w:proofErr w:type="gramStart"/>
      <w:r w:rsidRPr="008127F8">
        <w:rPr>
          <w:rFonts w:ascii="Times New Roman" w:hAnsi="Times New Roman"/>
          <w:color w:val="000000" w:themeColor="text1"/>
          <w:sz w:val="16"/>
          <w:szCs w:val="16"/>
        </w:rPr>
        <w:t>масло-радиатор</w:t>
      </w:r>
      <w:proofErr w:type="gramEnd"/>
      <w:r w:rsidRPr="008127F8">
        <w:rPr>
          <w:rFonts w:ascii="Times New Roman" w:hAnsi="Times New Roman"/>
          <w:color w:val="000000" w:themeColor="text1"/>
          <w:sz w:val="16"/>
          <w:szCs w:val="16"/>
        </w:rPr>
        <w:t>, менять систему охлаждения масла и т.д. Тем не менее, стало ясно, что после соответствующей дора</w:t>
      </w:r>
      <w:r w:rsidRPr="008127F8">
        <w:rPr>
          <w:rFonts w:ascii="Times New Roman" w:hAnsi="Times New Roman"/>
          <w:color w:val="000000" w:themeColor="text1"/>
          <w:sz w:val="16"/>
          <w:szCs w:val="16"/>
        </w:rPr>
        <w:softHyphen/>
        <w:t>ботки заявленные в эскизном проекте летные характери</w:t>
      </w:r>
      <w:r w:rsidRPr="008127F8">
        <w:rPr>
          <w:rFonts w:ascii="Times New Roman" w:hAnsi="Times New Roman"/>
          <w:color w:val="000000" w:themeColor="text1"/>
          <w:sz w:val="16"/>
          <w:szCs w:val="16"/>
        </w:rPr>
        <w:softHyphen/>
        <w:t>стики будут вполне достижимы. П.М.Попельнюшенко дал следующую оценку истре</w:t>
      </w:r>
      <w:r w:rsidRPr="008127F8">
        <w:rPr>
          <w:rFonts w:ascii="Times New Roman" w:hAnsi="Times New Roman"/>
          <w:color w:val="000000" w:themeColor="text1"/>
          <w:sz w:val="16"/>
          <w:szCs w:val="16"/>
        </w:rPr>
        <w:softHyphen/>
        <w:t>бителю:</w:t>
      </w:r>
    </w:p>
    <w:p w14:paraId="2D5681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Кабина самолета просторная, обзор удовлетвори</w:t>
      </w:r>
      <w:r w:rsidRPr="008127F8">
        <w:rPr>
          <w:rFonts w:ascii="Times New Roman" w:hAnsi="Times New Roman"/>
          <w:color w:val="000000" w:themeColor="text1"/>
          <w:sz w:val="16"/>
          <w:szCs w:val="16"/>
        </w:rPr>
        <w:softHyphen/>
        <w:t>тельный. Расположение рычагов управления агрегатами мотора и самолета неудовлетворительное: сектор нор</w:t>
      </w:r>
      <w:r w:rsidRPr="008127F8">
        <w:rPr>
          <w:rFonts w:ascii="Times New Roman" w:hAnsi="Times New Roman"/>
          <w:color w:val="000000" w:themeColor="text1"/>
          <w:sz w:val="16"/>
          <w:szCs w:val="16"/>
        </w:rPr>
        <w:softHyphen/>
        <w:t>мального газа необходимо перенести вперед на 80 мм, фонарь в воздухе закрыть одной рукой невозможно, за</w:t>
      </w:r>
      <w:r w:rsidRPr="008127F8">
        <w:rPr>
          <w:rFonts w:ascii="Times New Roman" w:hAnsi="Times New Roman"/>
          <w:color w:val="000000" w:themeColor="text1"/>
          <w:sz w:val="16"/>
          <w:szCs w:val="16"/>
        </w:rPr>
        <w:softHyphen/>
        <w:t>крывается одной рукой за нижние угольники фонаря. Рычаги управления шасси, щитками, триммером не</w:t>
      </w:r>
      <w:r w:rsidRPr="008127F8">
        <w:rPr>
          <w:rFonts w:ascii="Times New Roman" w:hAnsi="Times New Roman"/>
          <w:color w:val="000000" w:themeColor="text1"/>
          <w:sz w:val="16"/>
          <w:szCs w:val="16"/>
        </w:rPr>
        <w:softHyphen/>
        <w:t>удобные, необходимо сделать расположение рычагов управления агрегатами более удобными.</w:t>
      </w:r>
    </w:p>
    <w:p w14:paraId="6AA938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Самолет на земле, благодаря мощным тормозам, очень маневренный, на рулежке неустойчивый.</w:t>
      </w:r>
    </w:p>
    <w:p w14:paraId="78D880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взлете при С=3400 кгр хвост поднимает при не</w:t>
      </w:r>
      <w:r w:rsidRPr="008127F8">
        <w:rPr>
          <w:rFonts w:ascii="Times New Roman" w:hAnsi="Times New Roman"/>
          <w:color w:val="000000" w:themeColor="text1"/>
          <w:sz w:val="16"/>
          <w:szCs w:val="16"/>
        </w:rPr>
        <w:softHyphen/>
        <w:t>большом усилии на ручку легко.</w:t>
      </w:r>
    </w:p>
    <w:p w14:paraId="24B53C1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устойчивый, тенденция к развороту влево легко парируется незначительной дачей правой ноги. Отрыв самолета от земли производится быстро, при преждевременном подрыве на взлете сваливаний на крыло не имеет.</w:t>
      </w:r>
    </w:p>
    <w:p w14:paraId="57CE9E8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полете до У=450 км/ч нагрузки на рули нормаль</w:t>
      </w:r>
      <w:r w:rsidRPr="008127F8">
        <w:rPr>
          <w:rFonts w:ascii="Times New Roman" w:hAnsi="Times New Roman"/>
          <w:color w:val="000000" w:themeColor="text1"/>
          <w:sz w:val="16"/>
          <w:szCs w:val="16"/>
        </w:rPr>
        <w:softHyphen/>
        <w:t>ные, до У=500 км/ч и выше нагрузки увеличиваются значительно, рули эффективные. Поперечная устойчи</w:t>
      </w:r>
      <w:r w:rsidRPr="008127F8">
        <w:rPr>
          <w:rFonts w:ascii="Times New Roman" w:hAnsi="Times New Roman"/>
          <w:color w:val="000000" w:themeColor="text1"/>
          <w:sz w:val="16"/>
          <w:szCs w:val="16"/>
        </w:rPr>
        <w:softHyphen/>
        <w:t>вость хорошая, продольная для истребителя достаточ</w:t>
      </w:r>
      <w:r w:rsidRPr="008127F8">
        <w:rPr>
          <w:rFonts w:ascii="Times New Roman" w:hAnsi="Times New Roman"/>
          <w:color w:val="000000" w:themeColor="text1"/>
          <w:sz w:val="16"/>
          <w:szCs w:val="16"/>
        </w:rPr>
        <w:softHyphen/>
        <w:t>ная, полет с брошенной ручкой на моторе возможен, с задросселированным мотором не проверялся. Виражит самолет при крене 60-65° устойчиво, при перетягивании ручки плавно покачивается с крыла на крыло, резких срывов на крыло не имеет. Планирование на У=200-210 км/ч устойчиво, глиссада планирования вследствие на</w:t>
      </w:r>
      <w:r w:rsidRPr="008127F8">
        <w:rPr>
          <w:rFonts w:ascii="Times New Roman" w:hAnsi="Times New Roman"/>
          <w:color w:val="000000" w:themeColor="text1"/>
          <w:sz w:val="16"/>
          <w:szCs w:val="16"/>
        </w:rPr>
        <w:softHyphen/>
        <w:t>личия мощных посадочных щитков крутая.</w:t>
      </w:r>
    </w:p>
    <w:p w14:paraId="2CA3D9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Посадка по сравнению с современными истребите</w:t>
      </w:r>
      <w:r w:rsidRPr="008127F8">
        <w:rPr>
          <w:rFonts w:ascii="Times New Roman" w:hAnsi="Times New Roman"/>
          <w:color w:val="000000" w:themeColor="text1"/>
          <w:sz w:val="16"/>
          <w:szCs w:val="16"/>
        </w:rPr>
        <w:softHyphen/>
        <w:t>лями простая, при высоком выравнивании сваливаний на крыло не имеет благодаря наличию предкрылков. Пробег после посадки устойчив и для выдерживания направления не требует большого внимания от лет</w:t>
      </w:r>
      <w:r w:rsidRPr="008127F8">
        <w:rPr>
          <w:rFonts w:ascii="Times New Roman" w:hAnsi="Times New Roman"/>
          <w:color w:val="000000" w:themeColor="text1"/>
          <w:sz w:val="16"/>
          <w:szCs w:val="16"/>
        </w:rPr>
        <w:softHyphen/>
        <w:t>чика» (10667).</w:t>
      </w:r>
    </w:p>
    <w:p w14:paraId="24E9B7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8FB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последние дни февраля 1942 самолет ИТП М-1 вывезли на аэродром, рулил и разбегался летчик Попельнушенко. Далее к продолжению тестирования готовился Петр Логинов. Первый полет 13 марта 1942 г. с аэродрома в Новосибирске выполнил летчик А.И.Никашин. Уже при заходе на посадку произошло повреждение масляной магистрали,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660CEE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191DA3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210C0A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w:t>
      </w:r>
      <w:r w:rsidRPr="008127F8">
        <w:rPr>
          <w:rFonts w:ascii="Times New Roman" w:hAnsi="Times New Roman"/>
          <w:color w:val="000000" w:themeColor="text1"/>
          <w:sz w:val="16"/>
          <w:szCs w:val="16"/>
        </w:rPr>
        <w:lastRenderedPageBreak/>
        <w:t>октября передали его на испытания.</w:t>
      </w:r>
    </w:p>
    <w:p w14:paraId="65F39C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4DC364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8127F8" w14:paraId="4DE05D34" w14:textId="77777777">
        <w:tc>
          <w:tcPr>
            <w:tcW w:w="3736" w:type="dxa"/>
            <w:tcBorders>
              <w:top w:val="single" w:sz="12" w:space="0" w:color="auto"/>
            </w:tcBorders>
          </w:tcPr>
          <w:p w14:paraId="5BE7B1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627F0B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w:t>
            </w:r>
          </w:p>
        </w:tc>
        <w:tc>
          <w:tcPr>
            <w:tcW w:w="3736" w:type="dxa"/>
            <w:tcBorders>
              <w:top w:val="single" w:sz="12" w:space="0" w:color="auto"/>
            </w:tcBorders>
          </w:tcPr>
          <w:p w14:paraId="3EE40D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w:t>
            </w:r>
          </w:p>
        </w:tc>
      </w:tr>
      <w:tr w:rsidR="006F4095" w:rsidRPr="008127F8" w14:paraId="309FDA56" w14:textId="77777777">
        <w:tc>
          <w:tcPr>
            <w:tcW w:w="3736" w:type="dxa"/>
          </w:tcPr>
          <w:p w14:paraId="336480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w:t>
            </w:r>
          </w:p>
        </w:tc>
        <w:tc>
          <w:tcPr>
            <w:tcW w:w="3736" w:type="dxa"/>
          </w:tcPr>
          <w:p w14:paraId="319870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3736" w:type="dxa"/>
          </w:tcPr>
          <w:p w14:paraId="4026EE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4BAC9A9F" w14:textId="77777777">
        <w:tc>
          <w:tcPr>
            <w:tcW w:w="3736" w:type="dxa"/>
          </w:tcPr>
          <w:p w14:paraId="7F87ED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в линии полета (м)</w:t>
            </w:r>
          </w:p>
        </w:tc>
        <w:tc>
          <w:tcPr>
            <w:tcW w:w="3736" w:type="dxa"/>
          </w:tcPr>
          <w:p w14:paraId="1CAF6D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c>
          <w:tcPr>
            <w:tcW w:w="3736" w:type="dxa"/>
          </w:tcPr>
          <w:p w14:paraId="10F615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r>
      <w:tr w:rsidR="006F4095" w:rsidRPr="008127F8" w14:paraId="4A7B58A6" w14:textId="77777777">
        <w:tc>
          <w:tcPr>
            <w:tcW w:w="3736" w:type="dxa"/>
          </w:tcPr>
          <w:p w14:paraId="37B4B0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(м2)</w:t>
            </w:r>
          </w:p>
        </w:tc>
        <w:tc>
          <w:tcPr>
            <w:tcW w:w="3736" w:type="dxa"/>
          </w:tcPr>
          <w:p w14:paraId="29F68A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c>
          <w:tcPr>
            <w:tcW w:w="3736" w:type="dxa"/>
          </w:tcPr>
          <w:p w14:paraId="723085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r>
      <w:tr w:rsidR="006F4095" w:rsidRPr="008127F8" w14:paraId="263C40F1" w14:textId="77777777">
        <w:tc>
          <w:tcPr>
            <w:tcW w:w="3736" w:type="dxa"/>
          </w:tcPr>
          <w:p w14:paraId="7904BF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(кг)</w:t>
            </w:r>
          </w:p>
        </w:tc>
        <w:tc>
          <w:tcPr>
            <w:tcW w:w="3736" w:type="dxa"/>
          </w:tcPr>
          <w:p w14:paraId="462170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2598</w:t>
            </w:r>
          </w:p>
        </w:tc>
        <w:tc>
          <w:tcPr>
            <w:tcW w:w="3736" w:type="dxa"/>
          </w:tcPr>
          <w:p w14:paraId="0BF3E2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3095</w:t>
            </w:r>
          </w:p>
        </w:tc>
      </w:tr>
      <w:tr w:rsidR="006F4095" w:rsidRPr="008127F8" w14:paraId="3920EA1A" w14:textId="77777777">
        <w:tc>
          <w:tcPr>
            <w:tcW w:w="3736" w:type="dxa"/>
          </w:tcPr>
          <w:p w14:paraId="709429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3736" w:type="dxa"/>
          </w:tcPr>
          <w:p w14:paraId="7EFBA1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3750 (3366)</w:t>
            </w:r>
          </w:p>
        </w:tc>
        <w:tc>
          <w:tcPr>
            <w:tcW w:w="3736" w:type="dxa"/>
          </w:tcPr>
          <w:p w14:paraId="167247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3820</w:t>
            </w:r>
          </w:p>
        </w:tc>
      </w:tr>
      <w:tr w:rsidR="006F4095" w:rsidRPr="008127F8" w14:paraId="5A2F1496" w14:textId="77777777">
        <w:tc>
          <w:tcPr>
            <w:tcW w:w="3736" w:type="dxa"/>
          </w:tcPr>
          <w:p w14:paraId="3EC1CB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крыло (кг/м2)</w:t>
            </w:r>
          </w:p>
        </w:tc>
        <w:tc>
          <w:tcPr>
            <w:tcW w:w="3736" w:type="dxa"/>
          </w:tcPr>
          <w:p w14:paraId="2B996E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3736" w:type="dxa"/>
          </w:tcPr>
          <w:p w14:paraId="382763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w:t>
            </w:r>
          </w:p>
        </w:tc>
      </w:tr>
      <w:tr w:rsidR="006F4095" w:rsidRPr="008127F8" w14:paraId="09000C53" w14:textId="77777777">
        <w:tc>
          <w:tcPr>
            <w:tcW w:w="3736" w:type="dxa"/>
          </w:tcPr>
          <w:p w14:paraId="5B35A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(км/ч)</w:t>
            </w:r>
          </w:p>
        </w:tc>
        <w:tc>
          <w:tcPr>
            <w:tcW w:w="3736" w:type="dxa"/>
          </w:tcPr>
          <w:p w14:paraId="359FBE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541</w:t>
            </w:r>
          </w:p>
        </w:tc>
        <w:tc>
          <w:tcPr>
            <w:tcW w:w="3736" w:type="dxa"/>
          </w:tcPr>
          <w:p w14:paraId="4C558C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r>
      <w:tr w:rsidR="006F4095" w:rsidRPr="008127F8" w14:paraId="56E2FA76" w14:textId="77777777">
        <w:tc>
          <w:tcPr>
            <w:tcW w:w="3736" w:type="dxa"/>
          </w:tcPr>
          <w:p w14:paraId="61E582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 скорость у земли на форсаже (км/ч)</w:t>
            </w:r>
          </w:p>
        </w:tc>
        <w:tc>
          <w:tcPr>
            <w:tcW w:w="3736" w:type="dxa"/>
          </w:tcPr>
          <w:p w14:paraId="3CD9AF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w:t>
            </w:r>
          </w:p>
        </w:tc>
        <w:tc>
          <w:tcPr>
            <w:tcW w:w="3736" w:type="dxa"/>
          </w:tcPr>
          <w:p w14:paraId="063268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6948604E" w14:textId="77777777">
        <w:tc>
          <w:tcPr>
            <w:tcW w:w="3736" w:type="dxa"/>
          </w:tcPr>
          <w:p w14:paraId="5CAF75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5000 м (км/ч)</w:t>
            </w:r>
          </w:p>
        </w:tc>
        <w:tc>
          <w:tcPr>
            <w:tcW w:w="3736" w:type="dxa"/>
          </w:tcPr>
          <w:p w14:paraId="522896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645*</w:t>
            </w:r>
          </w:p>
        </w:tc>
        <w:tc>
          <w:tcPr>
            <w:tcW w:w="3736" w:type="dxa"/>
          </w:tcPr>
          <w:p w14:paraId="7A1095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r>
      <w:tr w:rsidR="006F4095" w:rsidRPr="008127F8" w14:paraId="569AE177" w14:textId="77777777">
        <w:tc>
          <w:tcPr>
            <w:tcW w:w="3736" w:type="dxa"/>
          </w:tcPr>
          <w:p w14:paraId="18A37A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3736" w:type="dxa"/>
          </w:tcPr>
          <w:p w14:paraId="528E7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3736" w:type="dxa"/>
          </w:tcPr>
          <w:p w14:paraId="3E68D4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6F4095" w:rsidRPr="008127F8" w14:paraId="4196F9CC" w14:textId="77777777">
        <w:tc>
          <w:tcPr>
            <w:tcW w:w="3736" w:type="dxa"/>
            <w:tcBorders>
              <w:bottom w:val="single" w:sz="12" w:space="0" w:color="auto"/>
            </w:tcBorders>
          </w:tcPr>
          <w:p w14:paraId="0EC872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(м)</w:t>
            </w:r>
          </w:p>
        </w:tc>
        <w:tc>
          <w:tcPr>
            <w:tcW w:w="3736" w:type="dxa"/>
            <w:tcBorders>
              <w:bottom w:val="single" w:sz="12" w:space="0" w:color="auto"/>
            </w:tcBorders>
          </w:tcPr>
          <w:p w14:paraId="3AE3B4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736" w:type="dxa"/>
            <w:tcBorders>
              <w:bottom w:val="single" w:sz="12" w:space="0" w:color="auto"/>
            </w:tcBorders>
          </w:tcPr>
          <w:p w14:paraId="4C9D17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11500</w:t>
            </w:r>
          </w:p>
        </w:tc>
      </w:tr>
    </w:tbl>
    <w:p w14:paraId="57F9CF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Скорость на высоте 6200 м</w:t>
      </w:r>
    </w:p>
    <w:p w14:paraId="25A839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на 2500 м. на форсаже 650 км/ч</w:t>
      </w:r>
    </w:p>
    <w:p w14:paraId="41B043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Время набора высоты (12016).</w:t>
      </w:r>
    </w:p>
    <w:p w14:paraId="221E0A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6E9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г. моторное управление НИИ ВВС КА поставило вопрос о возобновлении работ по двигателю РД-1, но уже на заводе № 293, где работало ОКБ В.Ф. Болховитинова. Этому способствовала инициатива ведущего инженера НИИ ВВС майора Сорокина, который случайно встретил двух бывших сотрудников А.М. Люлька и от них узнал о невеселой ситуации, которая сложилась в группе. В условиях строгих ограничений по секретности, окружавших деятельность “почтовых ящиков”, Сорокин быстро сумел отыскать Люлька на огромных просторах Урала. Руководство Кировского завода не возражало против контактов Архипа Михайловича с Болховитиновым и направило его в командировку в Свердловск. Прибыв в Свердловск, Люлька отправился к Виктору Федоровичу Болховитинову и ознакомил его с результатами своей работы. Болховитинов предложил люльковцам продолжить разработку турбореактивного двигателя в его ОКБ. Немедленно подготовили проект письма начальника НИИ ВВС и директора завода № 293 наркому авиационной промышленности А.И. Шахурину, в котором доказывалась необходимость быстрейшего восстановления работ по ТРД (9016).</w:t>
      </w:r>
    </w:p>
    <w:p w14:paraId="6DFA13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34CE9" w14:textId="77777777" w:rsidR="00780A7F" w:rsidRPr="008127F8" w:rsidRDefault="00780A7F"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г. мотор</w:t>
      </w:r>
      <w:r w:rsidRPr="008127F8">
        <w:rPr>
          <w:rFonts w:ascii="Times New Roman" w:hAnsi="Times New Roman"/>
          <w:color w:val="000000" w:themeColor="text1"/>
          <w:sz w:val="16"/>
          <w:szCs w:val="16"/>
        </w:rPr>
        <w:softHyphen/>
        <w:t>ное управление НИИ Военно-воздушных сил Красной армии поставило вопрос о возобновле</w:t>
      </w:r>
      <w:r w:rsidRPr="008127F8">
        <w:rPr>
          <w:rFonts w:ascii="Times New Roman" w:hAnsi="Times New Roman"/>
          <w:color w:val="000000" w:themeColor="text1"/>
          <w:sz w:val="16"/>
          <w:szCs w:val="16"/>
        </w:rPr>
        <w:softHyphen/>
        <w:t>нии работ по РД-1, и группа Люльки в составе 15 человек переезжает из Челябинска в город Билимбай Свердловской области, где в то время на</w:t>
      </w:r>
      <w:r w:rsidRPr="008127F8">
        <w:rPr>
          <w:rFonts w:ascii="Times New Roman" w:hAnsi="Times New Roman"/>
          <w:color w:val="000000" w:themeColor="text1"/>
          <w:sz w:val="16"/>
          <w:szCs w:val="16"/>
        </w:rPr>
        <w:softHyphen/>
        <w:t>ходилось ОКБ завода № 293, эвакуированного туда в октябре 1941 г. из Москвы. Директором завода и главным конструктором был В.Ф. Болховитинов, который разрабатывал самолёт БИ-1 с жидкост</w:t>
      </w:r>
      <w:r w:rsidRPr="008127F8">
        <w:rPr>
          <w:rFonts w:ascii="Times New Roman" w:hAnsi="Times New Roman"/>
          <w:color w:val="000000" w:themeColor="text1"/>
          <w:sz w:val="16"/>
          <w:szCs w:val="16"/>
        </w:rPr>
        <w:softHyphen/>
        <w:t>ным реактивным двигателем. Он оказал посиль</w:t>
      </w:r>
      <w:r w:rsidRPr="008127F8">
        <w:rPr>
          <w:rFonts w:ascii="Times New Roman" w:hAnsi="Times New Roman"/>
          <w:color w:val="000000" w:themeColor="text1"/>
          <w:sz w:val="16"/>
          <w:szCs w:val="16"/>
        </w:rPr>
        <w:softHyphen/>
        <w:t>ную помощь Люльке и создал условия для про</w:t>
      </w:r>
      <w:r w:rsidRPr="008127F8">
        <w:rPr>
          <w:rFonts w:ascii="Times New Roman" w:hAnsi="Times New Roman"/>
          <w:color w:val="000000" w:themeColor="text1"/>
          <w:sz w:val="16"/>
          <w:szCs w:val="16"/>
        </w:rPr>
        <w:softHyphen/>
        <w:t>должения работ над двигателем РД-1. В конце 1942 г. Люльку направляют в блокадный Ленин</w:t>
      </w:r>
      <w:r w:rsidRPr="008127F8">
        <w:rPr>
          <w:rFonts w:ascii="Times New Roman" w:hAnsi="Times New Roman"/>
          <w:color w:val="000000" w:themeColor="text1"/>
          <w:sz w:val="16"/>
          <w:szCs w:val="16"/>
        </w:rPr>
        <w:softHyphen/>
        <w:t>град на Кировский завод за технической докумен</w:t>
      </w:r>
      <w:r w:rsidRPr="008127F8">
        <w:rPr>
          <w:rFonts w:ascii="Times New Roman" w:hAnsi="Times New Roman"/>
          <w:color w:val="000000" w:themeColor="text1"/>
          <w:sz w:val="16"/>
          <w:szCs w:val="16"/>
        </w:rPr>
        <w:softHyphen/>
        <w:t>тацией и узлами РД-1. По Ладоге, под постоян</w:t>
      </w:r>
      <w:r w:rsidRPr="008127F8">
        <w:rPr>
          <w:rFonts w:ascii="Times New Roman" w:hAnsi="Times New Roman"/>
          <w:color w:val="000000" w:themeColor="text1"/>
          <w:sz w:val="16"/>
          <w:szCs w:val="16"/>
        </w:rPr>
        <w:softHyphen/>
        <w:t>ным обстрелом, машины вывезли ценный груз из города и доставили его по назначению (19701).</w:t>
      </w:r>
    </w:p>
    <w:p w14:paraId="386A5BB0" w14:textId="77777777" w:rsidR="00780A7F" w:rsidRPr="008127F8" w:rsidRDefault="00780A7F" w:rsidP="001E0A84">
      <w:pPr>
        <w:spacing w:after="0" w:line="240" w:lineRule="auto"/>
        <w:jc w:val="both"/>
        <w:rPr>
          <w:rFonts w:ascii="Times New Roman" w:hAnsi="Times New Roman"/>
          <w:color w:val="000000" w:themeColor="text1"/>
          <w:sz w:val="16"/>
          <w:szCs w:val="16"/>
        </w:rPr>
      </w:pPr>
    </w:p>
    <w:p w14:paraId="634C4EF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1942-го года моторное уп</w:t>
      </w:r>
      <w:r w:rsidRPr="008127F8">
        <w:rPr>
          <w:rFonts w:ascii="Times New Roman" w:hAnsi="Times New Roman"/>
          <w:color w:val="000000" w:themeColor="text1"/>
          <w:sz w:val="16"/>
          <w:szCs w:val="16"/>
        </w:rPr>
        <w:softHyphen/>
        <w:t>равление НИИ ВВС КА поставило воп</w:t>
      </w:r>
      <w:r w:rsidRPr="008127F8">
        <w:rPr>
          <w:rFonts w:ascii="Times New Roman" w:hAnsi="Times New Roman"/>
          <w:color w:val="000000" w:themeColor="text1"/>
          <w:sz w:val="16"/>
          <w:szCs w:val="16"/>
        </w:rPr>
        <w:softHyphen/>
        <w:t>рос о возобновлении работ по РД-1, но уже на заводе № 293, где работало ОКБ В.Ф.Болхивитинова. Этому спо</w:t>
      </w:r>
      <w:r w:rsidRPr="008127F8">
        <w:rPr>
          <w:rFonts w:ascii="Times New Roman" w:hAnsi="Times New Roman"/>
          <w:color w:val="000000" w:themeColor="text1"/>
          <w:sz w:val="16"/>
          <w:szCs w:val="16"/>
        </w:rPr>
        <w:softHyphen/>
        <w:t>собствовала инициатива ведущего ин</w:t>
      </w:r>
      <w:r w:rsidRPr="008127F8">
        <w:rPr>
          <w:rFonts w:ascii="Times New Roman" w:hAnsi="Times New Roman"/>
          <w:color w:val="000000" w:themeColor="text1"/>
          <w:sz w:val="16"/>
          <w:szCs w:val="16"/>
        </w:rPr>
        <w:softHyphen/>
        <w:t>женера НИИ ВВС майора Сорокина, которому было дано задание найти отдельные специальные КБ, разбро</w:t>
      </w:r>
      <w:r w:rsidRPr="008127F8">
        <w:rPr>
          <w:rFonts w:ascii="Times New Roman" w:hAnsi="Times New Roman"/>
          <w:color w:val="000000" w:themeColor="text1"/>
          <w:sz w:val="16"/>
          <w:szCs w:val="16"/>
        </w:rPr>
        <w:softHyphen/>
        <w:t>санные войной по разным регионам страны, в том числе и КБ по реактив</w:t>
      </w:r>
      <w:r w:rsidRPr="008127F8">
        <w:rPr>
          <w:rFonts w:ascii="Times New Roman" w:hAnsi="Times New Roman"/>
          <w:color w:val="000000" w:themeColor="text1"/>
          <w:sz w:val="16"/>
          <w:szCs w:val="16"/>
        </w:rPr>
        <w:softHyphen/>
        <w:t>ному двигателю РД-1. Случайно встре</w:t>
      </w:r>
      <w:r w:rsidRPr="008127F8">
        <w:rPr>
          <w:rFonts w:ascii="Times New Roman" w:hAnsi="Times New Roman"/>
          <w:color w:val="000000" w:themeColor="text1"/>
          <w:sz w:val="16"/>
          <w:szCs w:val="16"/>
        </w:rPr>
        <w:softHyphen/>
        <w:t>тив в Казани бывшего сотрудника А.М. Люльки Е.В.Комарова, он с его помо</w:t>
      </w:r>
      <w:r w:rsidRPr="008127F8">
        <w:rPr>
          <w:rFonts w:ascii="Times New Roman" w:hAnsi="Times New Roman"/>
          <w:color w:val="000000" w:themeColor="text1"/>
          <w:sz w:val="16"/>
          <w:szCs w:val="16"/>
        </w:rPr>
        <w:softHyphen/>
        <w:t>щью отыскал Люльку в условиях стро</w:t>
      </w:r>
      <w:r w:rsidRPr="008127F8">
        <w:rPr>
          <w:rFonts w:ascii="Times New Roman" w:hAnsi="Times New Roman"/>
          <w:color w:val="000000" w:themeColor="text1"/>
          <w:sz w:val="16"/>
          <w:szCs w:val="16"/>
        </w:rPr>
        <w:softHyphen/>
        <w:t>гих ограничений по секретности, ок</w:t>
      </w:r>
      <w:r w:rsidRPr="008127F8">
        <w:rPr>
          <w:rFonts w:ascii="Times New Roman" w:hAnsi="Times New Roman"/>
          <w:color w:val="000000" w:themeColor="text1"/>
          <w:sz w:val="16"/>
          <w:szCs w:val="16"/>
        </w:rPr>
        <w:softHyphen/>
        <w:t>ружающих деятельность «почтовых ящиков», и проинформировал его о возможности возобновления работы по РД-1 в ОКБ В.Ф.Болховитинова.</w:t>
      </w:r>
    </w:p>
    <w:p w14:paraId="017F613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Архип Михайлович с ра</w:t>
      </w:r>
      <w:r w:rsidRPr="008127F8">
        <w:rPr>
          <w:rFonts w:ascii="Times New Roman" w:hAnsi="Times New Roman"/>
          <w:color w:val="000000" w:themeColor="text1"/>
          <w:sz w:val="16"/>
          <w:szCs w:val="16"/>
        </w:rPr>
        <w:softHyphen/>
        <w:t>достью встретил это предложение. Надо отметить, что в этот период несмотря на то, что НКАП проводил жесткую по</w:t>
      </w:r>
      <w:r w:rsidRPr="008127F8">
        <w:rPr>
          <w:rFonts w:ascii="Times New Roman" w:hAnsi="Times New Roman"/>
          <w:color w:val="000000" w:themeColor="text1"/>
          <w:sz w:val="16"/>
          <w:szCs w:val="16"/>
        </w:rPr>
        <w:softHyphen/>
        <w:t>литику по сокращению всех разрабо</w:t>
      </w:r>
      <w:r w:rsidRPr="008127F8">
        <w:rPr>
          <w:rFonts w:ascii="Times New Roman" w:hAnsi="Times New Roman"/>
          <w:color w:val="000000" w:themeColor="text1"/>
          <w:sz w:val="16"/>
          <w:szCs w:val="16"/>
        </w:rPr>
        <w:softHyphen/>
        <w:t>ток, не связанных с совершенствова</w:t>
      </w:r>
      <w:r w:rsidRPr="008127F8">
        <w:rPr>
          <w:rFonts w:ascii="Times New Roman" w:hAnsi="Times New Roman"/>
          <w:color w:val="000000" w:themeColor="text1"/>
          <w:sz w:val="16"/>
          <w:szCs w:val="16"/>
        </w:rPr>
        <w:softHyphen/>
        <w:t>нием серийной боевой авиации, все же в виде исключения было разрешено за</w:t>
      </w:r>
      <w:r w:rsidRPr="008127F8">
        <w:rPr>
          <w:rFonts w:ascii="Times New Roman" w:hAnsi="Times New Roman"/>
          <w:color w:val="000000" w:themeColor="text1"/>
          <w:sz w:val="16"/>
          <w:szCs w:val="16"/>
        </w:rPr>
        <w:softHyphen/>
        <w:t>воду № 293 и его директору и главному конструктору В.Ф.Болховитинову про</w:t>
      </w:r>
      <w:r w:rsidRPr="008127F8">
        <w:rPr>
          <w:rFonts w:ascii="Times New Roman" w:hAnsi="Times New Roman"/>
          <w:color w:val="000000" w:themeColor="text1"/>
          <w:sz w:val="16"/>
          <w:szCs w:val="16"/>
        </w:rPr>
        <w:softHyphen/>
        <w:t>должить работы по самолету с ЖРД, на</w:t>
      </w:r>
      <w:r w:rsidRPr="008127F8">
        <w:rPr>
          <w:rFonts w:ascii="Times New Roman" w:hAnsi="Times New Roman"/>
          <w:color w:val="000000" w:themeColor="text1"/>
          <w:sz w:val="16"/>
          <w:szCs w:val="16"/>
        </w:rPr>
        <w:softHyphen/>
        <w:t>званному впоследствии БИ-1 (конст</w:t>
      </w:r>
      <w:r w:rsidRPr="008127F8">
        <w:rPr>
          <w:rFonts w:ascii="Times New Roman" w:hAnsi="Times New Roman"/>
          <w:color w:val="000000" w:themeColor="text1"/>
          <w:sz w:val="16"/>
          <w:szCs w:val="16"/>
        </w:rPr>
        <w:softHyphen/>
        <w:t>рукторы: Березняк и Исаев).</w:t>
      </w:r>
    </w:p>
    <w:p w14:paraId="0EC1F1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Руководство Кировского завода не возражало против контакта Архипа Ми</w:t>
      </w:r>
      <w:r w:rsidRPr="008127F8">
        <w:rPr>
          <w:rFonts w:ascii="Times New Roman" w:hAnsi="Times New Roman"/>
          <w:color w:val="000000" w:themeColor="text1"/>
          <w:sz w:val="16"/>
          <w:szCs w:val="16"/>
        </w:rPr>
        <w:softHyphen/>
        <w:t>хайловича с Болховитиновым и напра</w:t>
      </w:r>
      <w:r w:rsidRPr="008127F8">
        <w:rPr>
          <w:rFonts w:ascii="Times New Roman" w:hAnsi="Times New Roman"/>
          <w:color w:val="000000" w:themeColor="text1"/>
          <w:sz w:val="16"/>
          <w:szCs w:val="16"/>
        </w:rPr>
        <w:softHyphen/>
        <w:t>вило его в командировку в Свердловск.</w:t>
      </w:r>
    </w:p>
    <w:p w14:paraId="414920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Прибыв в Свердловск, Люлька от</w:t>
      </w:r>
      <w:r w:rsidRPr="008127F8">
        <w:rPr>
          <w:rFonts w:ascii="Times New Roman" w:hAnsi="Times New Roman"/>
          <w:color w:val="000000" w:themeColor="text1"/>
          <w:sz w:val="16"/>
          <w:szCs w:val="16"/>
        </w:rPr>
        <w:softHyphen/>
        <w:t xml:space="preserve">правился к Виктору Федоровичу </w:t>
      </w:r>
      <w:proofErr w:type="gramStart"/>
      <w:r w:rsidRPr="008127F8">
        <w:rPr>
          <w:rFonts w:ascii="Times New Roman" w:hAnsi="Times New Roman"/>
          <w:color w:val="000000" w:themeColor="text1"/>
          <w:sz w:val="16"/>
          <w:szCs w:val="16"/>
        </w:rPr>
        <w:t>Бол-ховитинову</w:t>
      </w:r>
      <w:proofErr w:type="gramEnd"/>
      <w:r w:rsidRPr="008127F8">
        <w:rPr>
          <w:rFonts w:ascii="Times New Roman" w:hAnsi="Times New Roman"/>
          <w:color w:val="000000" w:themeColor="text1"/>
          <w:sz w:val="16"/>
          <w:szCs w:val="16"/>
        </w:rPr>
        <w:t xml:space="preserve"> и ознакомил его с резуль</w:t>
      </w:r>
      <w:r w:rsidRPr="008127F8">
        <w:rPr>
          <w:rFonts w:ascii="Times New Roman" w:hAnsi="Times New Roman"/>
          <w:color w:val="000000" w:themeColor="text1"/>
          <w:sz w:val="16"/>
          <w:szCs w:val="16"/>
        </w:rPr>
        <w:softHyphen/>
        <w:t>татами своей работы. Болховитинов предложил люльковцам продолжить разработку турбореактивного двига</w:t>
      </w:r>
      <w:r w:rsidRPr="008127F8">
        <w:rPr>
          <w:rFonts w:ascii="Times New Roman" w:hAnsi="Times New Roman"/>
          <w:color w:val="000000" w:themeColor="text1"/>
          <w:sz w:val="16"/>
          <w:szCs w:val="16"/>
        </w:rPr>
        <w:softHyphen/>
        <w:t>теля в его ОКБ. Зная позицию ГК НИИ ВВС по этому вопросу, немедленно подготовили проект письма наркому авиационной промышленности А.И.Шахурину, в котором доказыва</w:t>
      </w:r>
      <w:r w:rsidRPr="008127F8">
        <w:rPr>
          <w:rFonts w:ascii="Times New Roman" w:hAnsi="Times New Roman"/>
          <w:color w:val="000000" w:themeColor="text1"/>
          <w:sz w:val="16"/>
          <w:szCs w:val="16"/>
        </w:rPr>
        <w:softHyphen/>
        <w:t>лась необходимость быстрейшего вос</w:t>
      </w:r>
      <w:r w:rsidRPr="008127F8">
        <w:rPr>
          <w:rFonts w:ascii="Times New Roman" w:hAnsi="Times New Roman"/>
          <w:color w:val="000000" w:themeColor="text1"/>
          <w:sz w:val="16"/>
          <w:szCs w:val="16"/>
        </w:rPr>
        <w:softHyphen/>
        <w:t>становления работ по ТРД:</w:t>
      </w:r>
    </w:p>
    <w:p w14:paraId="2D69A94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начальника ВВС - зам. наркома обороны генерала Жигарева</w:t>
      </w:r>
    </w:p>
    <w:p w14:paraId="499066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Нар.Комиссару Авиационной про</w:t>
      </w:r>
      <w:r w:rsidRPr="008127F8">
        <w:rPr>
          <w:rFonts w:ascii="Times New Roman" w:hAnsi="Times New Roman"/>
          <w:color w:val="000000" w:themeColor="text1"/>
          <w:sz w:val="16"/>
          <w:szCs w:val="16"/>
        </w:rPr>
        <w:softHyphen/>
        <w:t>мышленности СССР т. Шахурину</w:t>
      </w:r>
    </w:p>
    <w:p w14:paraId="43BC2E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15 июня 1941 г. </w:t>
      </w:r>
      <w:proofErr w:type="gramStart"/>
      <w:r w:rsidRPr="008127F8">
        <w:rPr>
          <w:rFonts w:ascii="Times New Roman" w:hAnsi="Times New Roman"/>
          <w:color w:val="000000" w:themeColor="text1"/>
          <w:sz w:val="16"/>
          <w:szCs w:val="16"/>
        </w:rPr>
        <w:t>спец.констр</w:t>
      </w:r>
      <w:proofErr w:type="gramEnd"/>
      <w:r w:rsidRPr="008127F8">
        <w:rPr>
          <w:rFonts w:ascii="Times New Roman" w:hAnsi="Times New Roman"/>
          <w:color w:val="000000" w:themeColor="text1"/>
          <w:sz w:val="16"/>
          <w:szCs w:val="16"/>
        </w:rPr>
        <w:t>. бюро (СКБ-1) Кировского завода в Ле</w:t>
      </w:r>
      <w:r w:rsidRPr="008127F8">
        <w:rPr>
          <w:rFonts w:ascii="Times New Roman" w:hAnsi="Times New Roman"/>
          <w:color w:val="000000" w:themeColor="text1"/>
          <w:sz w:val="16"/>
          <w:szCs w:val="16"/>
        </w:rPr>
        <w:softHyphen/>
        <w:t>нинграде проектировался и строился ГТРД инж.Люльки.</w:t>
      </w:r>
    </w:p>
    <w:p w14:paraId="255B818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Состояние работ по созданию ВРД </w:t>
      </w:r>
      <w:proofErr w:type="gramStart"/>
      <w:r w:rsidRPr="008127F8">
        <w:rPr>
          <w:rFonts w:ascii="Times New Roman" w:hAnsi="Times New Roman"/>
          <w:color w:val="000000" w:themeColor="text1"/>
          <w:sz w:val="16"/>
          <w:szCs w:val="16"/>
        </w:rPr>
        <w:t>инж.Люльки</w:t>
      </w:r>
      <w:proofErr w:type="gramEnd"/>
      <w:r w:rsidRPr="008127F8">
        <w:rPr>
          <w:rFonts w:ascii="Times New Roman" w:hAnsi="Times New Roman"/>
          <w:color w:val="000000" w:themeColor="text1"/>
          <w:sz w:val="16"/>
          <w:szCs w:val="16"/>
        </w:rPr>
        <w:t xml:space="preserve"> к 15.07.41 было следующее:</w:t>
      </w:r>
    </w:p>
    <w:p w14:paraId="4284EDD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Стендовый образец ГТРД двига</w:t>
      </w:r>
      <w:r w:rsidRPr="008127F8">
        <w:rPr>
          <w:rFonts w:ascii="Times New Roman" w:hAnsi="Times New Roman"/>
          <w:color w:val="000000" w:themeColor="text1"/>
          <w:sz w:val="16"/>
          <w:szCs w:val="16"/>
        </w:rPr>
        <w:softHyphen/>
        <w:t>теля (РД-1) мощностью в 1000л.с. из</w:t>
      </w:r>
      <w:r w:rsidRPr="008127F8">
        <w:rPr>
          <w:rFonts w:ascii="Times New Roman" w:hAnsi="Times New Roman"/>
          <w:color w:val="000000" w:themeColor="text1"/>
          <w:sz w:val="16"/>
          <w:szCs w:val="16"/>
        </w:rPr>
        <w:softHyphen/>
        <w:t>готовлен на 70%.</w:t>
      </w:r>
    </w:p>
    <w:p w14:paraId="00A503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Рабочий проект модернизирован</w:t>
      </w:r>
      <w:r w:rsidRPr="008127F8">
        <w:rPr>
          <w:rFonts w:ascii="Times New Roman" w:hAnsi="Times New Roman"/>
          <w:color w:val="000000" w:themeColor="text1"/>
          <w:sz w:val="16"/>
          <w:szCs w:val="16"/>
        </w:rPr>
        <w:softHyphen/>
        <w:t>ного РД-1 (МРД-1) мощностью в 1000 л.с., предназначенного для летных ис</w:t>
      </w:r>
      <w:r w:rsidRPr="008127F8">
        <w:rPr>
          <w:rFonts w:ascii="Times New Roman" w:hAnsi="Times New Roman"/>
          <w:color w:val="000000" w:themeColor="text1"/>
          <w:sz w:val="16"/>
          <w:szCs w:val="16"/>
        </w:rPr>
        <w:softHyphen/>
        <w:t>пытаний, полностью закончен и был запущен в производство. Выполнено 20% всего объема работ по этому объекту.</w:t>
      </w:r>
    </w:p>
    <w:p w14:paraId="558DFB3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Полностью закончен анализ схе</w:t>
      </w:r>
      <w:r w:rsidRPr="008127F8">
        <w:rPr>
          <w:rFonts w:ascii="Times New Roman" w:hAnsi="Times New Roman"/>
          <w:color w:val="000000" w:themeColor="text1"/>
          <w:sz w:val="16"/>
          <w:szCs w:val="16"/>
        </w:rPr>
        <w:softHyphen/>
        <w:t>мы и дан эскизный проект ГТРД РД-2 мощностью в 2500 л.с.</w:t>
      </w:r>
    </w:p>
    <w:p w14:paraId="42EB9A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прекращения работ по созда</w:t>
      </w:r>
      <w:r w:rsidRPr="008127F8">
        <w:rPr>
          <w:rFonts w:ascii="Times New Roman" w:hAnsi="Times New Roman"/>
          <w:color w:val="000000" w:themeColor="text1"/>
          <w:sz w:val="16"/>
          <w:szCs w:val="16"/>
        </w:rPr>
        <w:softHyphen/>
        <w:t>нию РД весь инженерно-технический состав СКБ-1 был передан СКБ-2 Киров</w:t>
      </w:r>
      <w:r w:rsidRPr="008127F8">
        <w:rPr>
          <w:rFonts w:ascii="Times New Roman" w:hAnsi="Times New Roman"/>
          <w:color w:val="000000" w:themeColor="text1"/>
          <w:sz w:val="16"/>
          <w:szCs w:val="16"/>
        </w:rPr>
        <w:softHyphen/>
        <w:t>ского завода, которое в настоящее вре</w:t>
      </w:r>
      <w:r w:rsidRPr="008127F8">
        <w:rPr>
          <w:rFonts w:ascii="Times New Roman" w:hAnsi="Times New Roman"/>
          <w:color w:val="000000" w:themeColor="text1"/>
          <w:sz w:val="16"/>
          <w:szCs w:val="16"/>
        </w:rPr>
        <w:softHyphen/>
        <w:t>мя находится е Челябинске, на ЧТЗ.</w:t>
      </w:r>
    </w:p>
    <w:p w14:paraId="638253B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Изготовленные детали реактивных двигателей РД-1 и МРД-1, агрегаты ус</w:t>
      </w:r>
      <w:r w:rsidRPr="008127F8">
        <w:rPr>
          <w:rFonts w:ascii="Times New Roman" w:hAnsi="Times New Roman"/>
          <w:color w:val="000000" w:themeColor="text1"/>
          <w:sz w:val="16"/>
          <w:szCs w:val="16"/>
        </w:rPr>
        <w:softHyphen/>
        <w:t>тановки, лабораторное оборудование и рабочие чертежи остались в Ленинг</w:t>
      </w:r>
      <w:r w:rsidRPr="008127F8">
        <w:rPr>
          <w:rFonts w:ascii="Times New Roman" w:hAnsi="Times New Roman"/>
          <w:color w:val="000000" w:themeColor="text1"/>
          <w:sz w:val="16"/>
          <w:szCs w:val="16"/>
        </w:rPr>
        <w:softHyphen/>
        <w:t>раде на Кировском заводе.</w:t>
      </w:r>
    </w:p>
    <w:p w14:paraId="19D38A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важность работ по окон</w:t>
      </w:r>
      <w:r w:rsidRPr="008127F8">
        <w:rPr>
          <w:rFonts w:ascii="Times New Roman" w:hAnsi="Times New Roman"/>
          <w:color w:val="000000" w:themeColor="text1"/>
          <w:sz w:val="16"/>
          <w:szCs w:val="16"/>
        </w:rPr>
        <w:softHyphen/>
        <w:t>чанию строительства и доводке РД ин-ж.Люлькой, а также необходимостью быстрого внедрения подобных реак</w:t>
      </w:r>
      <w:r w:rsidRPr="008127F8">
        <w:rPr>
          <w:rFonts w:ascii="Times New Roman" w:hAnsi="Times New Roman"/>
          <w:color w:val="000000" w:themeColor="text1"/>
          <w:sz w:val="16"/>
          <w:szCs w:val="16"/>
        </w:rPr>
        <w:softHyphen/>
        <w:t>тивных двигателей в авиацию, прошу включить эту работу в тематику ра</w:t>
      </w:r>
      <w:r w:rsidRPr="008127F8">
        <w:rPr>
          <w:rFonts w:ascii="Times New Roman" w:hAnsi="Times New Roman"/>
          <w:color w:val="000000" w:themeColor="text1"/>
          <w:sz w:val="16"/>
          <w:szCs w:val="16"/>
        </w:rPr>
        <w:softHyphen/>
        <w:t xml:space="preserve">бот завода № 293, а группу </w:t>
      </w:r>
      <w:proofErr w:type="gramStart"/>
      <w:r w:rsidRPr="008127F8">
        <w:rPr>
          <w:rFonts w:ascii="Times New Roman" w:hAnsi="Times New Roman"/>
          <w:color w:val="000000" w:themeColor="text1"/>
          <w:sz w:val="16"/>
          <w:szCs w:val="16"/>
        </w:rPr>
        <w:t>инж.Люльки</w:t>
      </w:r>
      <w:proofErr w:type="gramEnd"/>
      <w:r w:rsidRPr="008127F8">
        <w:rPr>
          <w:rFonts w:ascii="Times New Roman" w:hAnsi="Times New Roman"/>
          <w:color w:val="000000" w:themeColor="text1"/>
          <w:sz w:val="16"/>
          <w:szCs w:val="16"/>
        </w:rPr>
        <w:t xml:space="preserve"> передать заводу и использовать ее для окончания этой работы.</w:t>
      </w:r>
    </w:p>
    <w:p w14:paraId="637508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НКО СССР Генерал-полковник н-к авиации Жигарев (11158).</w:t>
      </w:r>
    </w:p>
    <w:p w14:paraId="1BCA382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7D1EE" w14:textId="77777777" w:rsidR="0071448C" w:rsidRPr="008127F8" w:rsidRDefault="0071448C" w:rsidP="001E0A84">
      <w:pPr>
        <w:pStyle w:val="a4"/>
        <w:rPr>
          <w:color w:val="000000" w:themeColor="text1"/>
          <w:lang w:val="ru-RU"/>
        </w:rPr>
      </w:pPr>
      <w:r w:rsidRPr="008127F8">
        <w:rPr>
          <w:color w:val="000000" w:themeColor="text1"/>
          <w:lang w:val="ru-RU"/>
        </w:rPr>
        <w:t>В конце февраля 1942 г. на завод № 2 по</w:t>
      </w:r>
      <w:r w:rsidRPr="008127F8">
        <w:rPr>
          <w:color w:val="000000" w:themeColor="text1"/>
          <w:lang w:val="ru-RU"/>
        </w:rPr>
        <w:softHyphen/>
        <w:t>ступил приказ, в котором излагалось задание правительства, и тогда же все отделы и цехи немедленно развернули работу по подготовке производства ВЯ и вели её кругло</w:t>
      </w:r>
      <w:r w:rsidRPr="008127F8">
        <w:rPr>
          <w:color w:val="000000" w:themeColor="text1"/>
          <w:lang w:val="ru-RU"/>
        </w:rPr>
        <w:softHyphen/>
        <w:t>суточно. Первые опытные образцы ждали от ковровцев через месяц, а спустя еще ме</w:t>
      </w:r>
      <w:r w:rsidRPr="008127F8">
        <w:rPr>
          <w:color w:val="000000" w:themeColor="text1"/>
          <w:lang w:val="ru-RU"/>
        </w:rPr>
        <w:softHyphen/>
        <w:t>сяц — серийного выпуска новых пушек. Даже для военного времени — срок невероят</w:t>
      </w:r>
      <w:r w:rsidRPr="008127F8">
        <w:rPr>
          <w:color w:val="000000" w:themeColor="text1"/>
          <w:lang w:val="ru-RU"/>
        </w:rPr>
        <w:softHyphen/>
        <w:t>ный». Далее Новиков сетовал на то, что ранее «пушку Волкова — Ярцева пробовали ста</w:t>
      </w:r>
      <w:r w:rsidRPr="008127F8">
        <w:rPr>
          <w:color w:val="000000" w:themeColor="text1"/>
          <w:lang w:val="ru-RU"/>
        </w:rPr>
        <w:softHyphen/>
        <w:t>вить на одном из эвакуированных заводов, но из этого ничего не получилось: в отведен</w:t>
      </w:r>
      <w:r w:rsidRPr="008127F8">
        <w:rPr>
          <w:color w:val="000000" w:themeColor="text1"/>
          <w:lang w:val="ru-RU"/>
        </w:rPr>
        <w:softHyphen/>
        <w:t>ные сроки коллектив не уложился из-за плохих условий производства и отсутствия высококвалифицированных кадров». Как мы видим, причины были не только в эвакуа</w:t>
      </w:r>
      <w:r w:rsidRPr="008127F8">
        <w:rPr>
          <w:color w:val="000000" w:themeColor="text1"/>
          <w:lang w:val="ru-RU"/>
        </w:rPr>
        <w:softHyphen/>
        <w:t>ции, но и в необходимом для кропотливой доводки пушки ВЯ времени: понадобился почти год, чтобы устранить её основные недостатки (15787).</w:t>
      </w:r>
    </w:p>
    <w:p w14:paraId="6D9D7B0A" w14:textId="77777777" w:rsidR="0071448C" w:rsidRPr="008127F8" w:rsidRDefault="0071448C" w:rsidP="001E0A84">
      <w:pPr>
        <w:spacing w:after="0" w:line="240" w:lineRule="auto"/>
        <w:jc w:val="both"/>
        <w:rPr>
          <w:rFonts w:ascii="Times New Roman" w:hAnsi="Times New Roman"/>
          <w:color w:val="000000" w:themeColor="text1"/>
          <w:sz w:val="16"/>
          <w:szCs w:val="16"/>
        </w:rPr>
      </w:pPr>
    </w:p>
    <w:p w14:paraId="4D8617D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C4D21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FC5477" w14:textId="77777777" w:rsidR="003D27D3" w:rsidRPr="008127F8" w:rsidRDefault="003D27D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конце февраля 1942 начались серьезные разбирательства между ГАУ и </w:t>
      </w:r>
      <w:hyperlink r:id="rId66" w:history="1">
        <w:r w:rsidRPr="008127F8">
          <w:rPr>
            <w:rFonts w:ascii="Times New Roman" w:eastAsia="Times New Roman" w:hAnsi="Times New Roman"/>
            <w:color w:val="000000" w:themeColor="text1"/>
            <w:sz w:val="16"/>
            <w:szCs w:val="16"/>
            <w:lang w:eastAsia="ru-RU"/>
          </w:rPr>
          <w:t>Народным комиссариатом танковой промышленности</w:t>
        </w:r>
      </w:hyperlink>
      <w:r w:rsidRPr="008127F8">
        <w:rPr>
          <w:rFonts w:ascii="Times New Roman" w:eastAsia="Times New Roman" w:hAnsi="Times New Roman"/>
          <w:color w:val="000000" w:themeColor="text1"/>
          <w:sz w:val="16"/>
          <w:szCs w:val="16"/>
          <w:lang w:eastAsia="ru-RU"/>
        </w:rPr>
        <w:t xml:space="preserve"> (НКТП) по поводу КВ-9 с 122 мм пушкой. Изучение результатов испытаний Арткомом ГАУ выявило щекотливый нюанс. При стрельбе бронебойными снарядами давление в канале ствола достигало 3500–4000 кг/см2 при штатном значении 2350 кг/см2. Это было совершенно недопустимо, интенсивная стрельба таким зарядом могла привести к разрушению поршневого затвора. А при использовании допустимого заряда начальная скорость бронебойного снаряда составила бы всего 432 м/с. В результате бронепробитие У-11 оказывалось хуже аналогичного показателя ЗИС-5. Единственным преимуществом У-11 становилось лишь большее фугасное действие осколочно-фугасного боеприпаса. Поэтому Артком ГАУ посчитал нецелесообразным установку У-11 в КВ-1, лишний раз напомнив, что эта система является инициативой НКТП (17680).</w:t>
      </w:r>
    </w:p>
    <w:p w14:paraId="5C412787" w14:textId="77777777" w:rsidR="003D27D3" w:rsidRPr="008127F8" w:rsidRDefault="003D27D3" w:rsidP="001E0A84">
      <w:pPr>
        <w:spacing w:after="0" w:line="240" w:lineRule="auto"/>
        <w:jc w:val="both"/>
        <w:rPr>
          <w:rFonts w:ascii="Times New Roman" w:eastAsia="Times New Roman" w:hAnsi="Times New Roman"/>
          <w:color w:val="000000" w:themeColor="text1"/>
          <w:sz w:val="16"/>
          <w:szCs w:val="16"/>
          <w:lang w:eastAsia="ru-RU"/>
        </w:rPr>
      </w:pPr>
    </w:p>
    <w:p w14:paraId="4A965F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февраля 1942 года под Чкаловом (Оренбург) проходили испытания Т-60, покрытого двойной сеткой "Дэви", служащей своеобразным экраном от бутылок с горючей смесью. Они дали хорошие результаты, однако ввиду технических трудностей оборудования танка сеткой "Дэви" во фронтовых условиях она практически </w:t>
      </w:r>
      <w:r w:rsidRPr="008127F8">
        <w:rPr>
          <w:rFonts w:ascii="Times New Roman" w:hAnsi="Times New Roman"/>
          <w:color w:val="000000" w:themeColor="text1"/>
          <w:sz w:val="16"/>
          <w:szCs w:val="16"/>
        </w:rPr>
        <w:lastRenderedPageBreak/>
        <w:t>не применялась (3862).</w:t>
      </w:r>
    </w:p>
    <w:p w14:paraId="05CC3C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2EA5B" w14:textId="77777777" w:rsidR="008B09CF" w:rsidRPr="008127F8" w:rsidRDefault="008B0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К концу февраля 1942 года, как и было прописано в постановлении ГКО №1062сс, начался переход на утолщенные корпуса и башни Т-60. Например, первый утолщенный корпус ГАЗ сдал 29 февраля 1942 года. Вероятнее всего, это был не просто утолщенный корпус и башня, а та самая модернизация конца 1941 года. То есть с переносом воздуховода на створку башенного люка. Такой люк не так давно нашелся, так что это не "бумажный" проект, а серийное изделие (22726).</w:t>
      </w:r>
    </w:p>
    <w:p w14:paraId="7275A39C" w14:textId="77777777" w:rsidR="008B09CF" w:rsidRPr="008127F8" w:rsidRDefault="008B09CF" w:rsidP="001E0A84">
      <w:pPr>
        <w:spacing w:after="0" w:line="240" w:lineRule="auto"/>
        <w:jc w:val="both"/>
        <w:rPr>
          <w:rFonts w:ascii="Times New Roman" w:hAnsi="Times New Roman"/>
          <w:color w:val="000000" w:themeColor="text1"/>
          <w:sz w:val="16"/>
          <w:szCs w:val="16"/>
        </w:rPr>
      </w:pPr>
    </w:p>
    <w:p w14:paraId="07470B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г. в районе г. Чкалова были проведены испытания специ</w:t>
      </w:r>
      <w:r w:rsidRPr="008127F8">
        <w:rPr>
          <w:rFonts w:ascii="Times New Roman" w:hAnsi="Times New Roman"/>
          <w:color w:val="000000" w:themeColor="text1"/>
          <w:sz w:val="16"/>
          <w:szCs w:val="16"/>
        </w:rPr>
        <w:softHyphen/>
        <w:t>ального экрана из сетки "Дэви", закрывавший корпус машины Т-60, которые показали хорошие результаты, но из-за технических трудностей по оборудованию танков сеткой "Дэви" в поле</w:t>
      </w:r>
      <w:r w:rsidRPr="008127F8">
        <w:rPr>
          <w:rFonts w:ascii="Times New Roman" w:hAnsi="Times New Roman"/>
          <w:color w:val="000000" w:themeColor="text1"/>
          <w:sz w:val="16"/>
          <w:szCs w:val="16"/>
        </w:rPr>
        <w:softHyphen/>
        <w:t>вых условиях, данное приспособление практически не применялось (10703).</w:t>
      </w:r>
    </w:p>
    <w:p w14:paraId="4B99AF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F13513"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конце февраля 1942 года инженер-конструктор завода №112 В.Е. Губанов предложил проект боевого десантного танкового прицепа (БДТП). Это был укороченный корпус Т-34 со штатными башней и бронированием. Летом прицеп перемещался на гусеницах, зимой же катки и гусеницы снимались, а вместо них должны были устанавливаться лыжи. Согласно расчёту автора, масса БДТП составляла 10-15 тонн. Изготовляться они должны были бы в трёх вариантах — десантном, боевом-десантном и специального типа.</w:t>
      </w:r>
    </w:p>
    <w:p w14:paraId="7D8E0D37"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 мнению автора проекта, БДТП можно было сконструировать и построить на заводе №112 в кратчайшие сроки. Для ускорения работ опытные образцы должны были иметь обычные корпуса от Т-34, при этом боевая масса бронесаней возрастала до 15-20 тонн, а число мест для десанта увеличивалась с 10 до 15.</w:t>
      </w:r>
    </w:p>
    <w:p w14:paraId="4D9DE5B9"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Проект бронесаней БДТП рассматривался 27 февраля 1942 года 5-м отделом ГАБТУ КА. Там же обсуждались опытные бронесани Б-65 разработки завода №592. Эти сани боевой массой 20 тонн с трудом перевозились даже танком КВ-1. Для обсуждения разработок пригласили командиров и заместителей по технической части 31-й, 33-й, 62-й и 143-й танковых бригад, у которых имелся практический опыт ведения боевых действий в зимних условиях. Они однозначно высказались против таких громоздких проектов. По итогам совещания был составлен протокол:</w:t>
      </w:r>
    </w:p>
    <w:p w14:paraId="3D82D608"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w:t>
      </w:r>
      <w:r w:rsidRPr="008127F8">
        <w:rPr>
          <w:bCs/>
          <w:iCs/>
          <w:color w:val="000000" w:themeColor="text1"/>
          <w:sz w:val="16"/>
          <w:szCs w:val="16"/>
        </w:rPr>
        <w:t>1.</w:t>
      </w:r>
      <w:r w:rsidRPr="008127F8">
        <w:rPr>
          <w:iCs/>
          <w:color w:val="000000" w:themeColor="text1"/>
          <w:sz w:val="16"/>
          <w:szCs w:val="16"/>
        </w:rPr>
        <w:t xml:space="preserve"> Предлагаемые заводами №592 и 112 прицепы к танкам весом 15-20 тонн совершенно неприемлемы, так как танк “КВ” по бортовым и главным фрикционам не имеет запаса, а танк “Т-34” будет работать на пределе.</w:t>
      </w:r>
    </w:p>
    <w:p w14:paraId="5F59B2FE"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2.</w:t>
      </w:r>
      <w:r w:rsidRPr="008127F8">
        <w:rPr>
          <w:iCs/>
          <w:color w:val="000000" w:themeColor="text1"/>
          <w:sz w:val="16"/>
          <w:szCs w:val="16"/>
        </w:rPr>
        <w:t xml:space="preserve"> Для обеспечения защиты танко-десантной роты танковой бригады, желательно разработать прицеп к танку “Т-34” со следующей характеристикой:</w:t>
      </w:r>
    </w:p>
    <w:p w14:paraId="0F349C0F"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а) Вес — 5 тонн.</w:t>
      </w:r>
    </w:p>
    <w:p w14:paraId="7053A07F"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б) Экипаж — 15 человек.</w:t>
      </w:r>
    </w:p>
    <w:p w14:paraId="5341190E"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в) Броня — 13-15 мм.</w:t>
      </w:r>
    </w:p>
    <w:p w14:paraId="036AFDBD"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г) Бойницы: по бортам — 5</w:t>
      </w:r>
    </w:p>
    <w:p w14:paraId="3A94F25C"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на корму — 2</w:t>
      </w:r>
    </w:p>
    <w:p w14:paraId="7F227DD2"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вперёд — 2</w:t>
      </w:r>
    </w:p>
    <w:p w14:paraId="6941EFA7"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д) Высота — 1,5-1,6 м.</w:t>
      </w:r>
    </w:p>
    <w:p w14:paraId="2193B801"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е) Ширина — по колее танка.</w:t>
      </w:r>
    </w:p>
    <w:p w14:paraId="3B06CC24"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ж) Выход — назад, на борта, днище.</w:t>
      </w:r>
    </w:p>
    <w:p w14:paraId="0ED24963"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з) Ходовая часть — колёсногусеничная.</w:t>
      </w:r>
    </w:p>
    <w:p w14:paraId="3456194E"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и) Отцепка — от танка.</w:t>
      </w:r>
    </w:p>
    <w:p w14:paraId="6615A3F8"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к) Буксирный крюк — сзади.</w:t>
      </w:r>
    </w:p>
    <w:p w14:paraId="67404ABE"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л) Обзорность — зеркалки по бортам, назад и вперед.</w:t>
      </w:r>
    </w:p>
    <w:p w14:paraId="28803936"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м) Удельное давление — не выше, чем у танка.</w:t>
      </w:r>
    </w:p>
    <w:p w14:paraId="5A1F8C74"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3.</w:t>
      </w:r>
      <w:r w:rsidRPr="008127F8">
        <w:rPr>
          <w:iCs/>
          <w:color w:val="000000" w:themeColor="text1"/>
          <w:sz w:val="16"/>
          <w:szCs w:val="16"/>
        </w:rPr>
        <w:t xml:space="preserve"> Количество прицепов на танковую бригаду — 5 штук.</w:t>
      </w:r>
    </w:p>
    <w:p w14:paraId="075C350E"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4.</w:t>
      </w:r>
      <w:r w:rsidRPr="008127F8">
        <w:rPr>
          <w:iCs/>
          <w:color w:val="000000" w:themeColor="text1"/>
          <w:sz w:val="16"/>
          <w:szCs w:val="16"/>
        </w:rPr>
        <w:t xml:space="preserve"> Целесообразно для прицепов использовать танки “БТ” без башни, моторно-трансмиссионной группы, переоборудовав их в соответствии с требованиями к десантному прицепу.</w:t>
      </w:r>
    </w:p>
    <w:p w14:paraId="776C17AD"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bCs/>
          <w:iCs/>
          <w:color w:val="000000" w:themeColor="text1"/>
          <w:sz w:val="16"/>
          <w:szCs w:val="16"/>
        </w:rPr>
        <w:t>5.</w:t>
      </w:r>
      <w:r w:rsidRPr="008127F8">
        <w:rPr>
          <w:iCs/>
          <w:color w:val="000000" w:themeColor="text1"/>
          <w:sz w:val="16"/>
          <w:szCs w:val="16"/>
        </w:rPr>
        <w:t xml:space="preserve"> Для буксировки прицепов на марше, в штат танковой бригады желательно включить тракторы из расчёта один трактор на два прицепа».</w:t>
      </w:r>
    </w:p>
    <w:p w14:paraId="08D52D87" w14:textId="77777777" w:rsidR="003D27D3" w:rsidRPr="008127F8" w:rsidRDefault="003D27D3" w:rsidP="001E0A84">
      <w:pPr>
        <w:pStyle w:val="af"/>
        <w:shd w:val="clear" w:color="auto" w:fill="FFFFFF"/>
        <w:spacing w:before="0" w:after="0"/>
        <w:jc w:val="both"/>
        <w:rPr>
          <w:color w:val="000000" w:themeColor="text1"/>
          <w:sz w:val="16"/>
          <w:szCs w:val="16"/>
        </w:rPr>
      </w:pPr>
      <w:r w:rsidRPr="008127F8">
        <w:rPr>
          <w:color w:val="000000" w:themeColor="text1"/>
          <w:sz w:val="16"/>
          <w:szCs w:val="16"/>
        </w:rPr>
        <w:t>Этот текст содержал, по сути, первые тактико-технические требования на бронированные сани. Как видно, от идеи использования танков для создания саней участники совещания не отказывались. Но всем присутствовавшим на совещании было понятно, что боевая масса такого прицепа должна быть серьёзно уменьшена. Надо сказать, что указанные в протоколе требования оказались разумными, что показал дальнейший ход событий (17711).</w:t>
      </w:r>
    </w:p>
    <w:p w14:paraId="75405A3F" w14:textId="77777777" w:rsidR="003D27D3" w:rsidRPr="008127F8" w:rsidRDefault="003D27D3" w:rsidP="001E0A84">
      <w:pPr>
        <w:spacing w:after="0" w:line="240" w:lineRule="auto"/>
        <w:jc w:val="both"/>
        <w:rPr>
          <w:rFonts w:ascii="Times New Roman" w:eastAsia="Times New Roman" w:hAnsi="Times New Roman"/>
          <w:color w:val="000000" w:themeColor="text1"/>
          <w:sz w:val="16"/>
          <w:szCs w:val="16"/>
          <w:lang w:eastAsia="ru-RU"/>
        </w:rPr>
      </w:pPr>
    </w:p>
    <w:p w14:paraId="2B34EF40" w14:textId="77777777" w:rsidR="008E5257" w:rsidRPr="008A2E5A" w:rsidRDefault="008E5257" w:rsidP="008E525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февраля 1942 года установку экранов на Т-34 прекратили. Одной из причин стала проблема с производством. Позже боевое применение экранированных танков показало, что особой разницы между ними и обычными Т-34 не имелось. Безусловно, определенный эффект от дополнительной брони имелся, но после того, как на фронте появились 75-мм противотанковые пушки Pak 40, а также ее танковая/самоходная версии, 60 мм брони стали не особо актуальными. По сравнению с обычной 34-кой дистанция поражения снижалась, но на средней дистанции Pak 40 особо экранировку не видела. Наконец, экраны повышали массу танка, которая и так подошла к пределу (23384).</w:t>
      </w:r>
    </w:p>
    <w:p w14:paraId="28CB3135" w14:textId="77777777" w:rsidR="008E5257" w:rsidRPr="008A2E5A" w:rsidRDefault="008E5257" w:rsidP="008E5257">
      <w:pPr>
        <w:spacing w:after="0" w:line="240" w:lineRule="auto"/>
        <w:jc w:val="both"/>
        <w:rPr>
          <w:rFonts w:ascii="Times New Roman" w:hAnsi="Times New Roman"/>
          <w:color w:val="0070C0"/>
          <w:sz w:val="16"/>
          <w:szCs w:val="16"/>
        </w:rPr>
      </w:pPr>
    </w:p>
    <w:p w14:paraId="40D32AA8" w14:textId="77777777" w:rsidR="00780A7F" w:rsidRPr="008127F8" w:rsidRDefault="00780A7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февраля 1942 г. Завод № 186 после зимы 1941/1942 г. начал получать электроэнергию. Ввиду отсутствия определенной про граммы предприятие приступило к окончанию начатой в предыдущем году продукции, по которой имелся задел деталей и узлов. Продолжалось изготовление переносных радиостанций батальонной сети РБС и миноискателей.</w:t>
      </w:r>
    </w:p>
    <w:p w14:paraId="00184DF8" w14:textId="77777777" w:rsidR="00780A7F" w:rsidRPr="008127F8" w:rsidRDefault="00780A7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оказался в весьма неблагоприятных условиях. Из первоначального персонала предприятия в ряды РККА было призвано 60% работников, из которых более 120 рабочих имели V квалификационный разряд и выше. Только в 1942 г. состав рабочих обновился на 65% и к концу года на 62% состоял из подростков 14-18 лет и женщин.</w:t>
      </w:r>
    </w:p>
    <w:p w14:paraId="3F73DBE4" w14:textId="77777777" w:rsidR="00780A7F" w:rsidRPr="008127F8" w:rsidRDefault="00780A7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военной продукции было для предприятия делом совершенно новым, к тому же не было в достаточной степени обеспечено оборудованием и инструментами, отсутствовали технология контрольного аппарата и техническое цеховое руководство. Кооперация со смежниками в условиях блокады налаживалась чрезвычайно тяжело. Часть деталей и узлов радиостанций приходилось осваивать на самом предприятии. На «Радисте» не была даже собственного автотранспорта, и потому доставка топлива и материалов осуществлялась вручную (18297).</w:t>
      </w:r>
    </w:p>
    <w:p w14:paraId="5AC78787" w14:textId="77777777" w:rsidR="00780A7F" w:rsidRPr="008127F8" w:rsidRDefault="00780A7F" w:rsidP="001E0A84">
      <w:pPr>
        <w:spacing w:after="0" w:line="240" w:lineRule="auto"/>
        <w:jc w:val="both"/>
        <w:rPr>
          <w:rFonts w:ascii="Times New Roman" w:hAnsi="Times New Roman"/>
          <w:color w:val="000000" w:themeColor="text1"/>
          <w:sz w:val="16"/>
          <w:szCs w:val="16"/>
        </w:rPr>
      </w:pPr>
    </w:p>
    <w:p w14:paraId="33A73B6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19DE3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263D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февраля 1942 года в 154-м иап насчитывалось почти столько же "Киттихауков" Р-40Е, сколько машин более раннего типа (3457,62).</w:t>
      </w:r>
    </w:p>
    <w:p w14:paraId="030665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43300" w14:textId="6C23033D" w:rsidR="008E5257" w:rsidRDefault="008E5257"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12443186" w14:textId="77777777" w:rsidR="008E5257" w:rsidRDefault="008E5257"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D2C9814" w14:textId="77777777" w:rsidR="008E5257" w:rsidRPr="008A2E5A" w:rsidRDefault="008E5257" w:rsidP="008E525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февраля 1942 года поставки по ленд-лизу были пе</w:t>
      </w:r>
      <w:r w:rsidRPr="008A2E5A">
        <w:rPr>
          <w:rFonts w:ascii="Times New Roman" w:hAnsi="Times New Roman"/>
          <w:color w:val="0070C0"/>
          <w:sz w:val="16"/>
          <w:szCs w:val="16"/>
        </w:rPr>
        <w:softHyphen/>
        <w:t>реведены на бескредитную основу, а спустя четыре месяца была списана большая часть долга за поставки начального периода войны (24342).</w:t>
      </w:r>
    </w:p>
    <w:p w14:paraId="12D30C2A" w14:textId="77777777" w:rsidR="008E5257" w:rsidRPr="008A2E5A" w:rsidRDefault="008E5257" w:rsidP="008E5257">
      <w:pPr>
        <w:spacing w:after="0" w:line="240" w:lineRule="auto"/>
        <w:jc w:val="both"/>
        <w:rPr>
          <w:rFonts w:ascii="Times New Roman" w:hAnsi="Times New Roman"/>
          <w:color w:val="0070C0"/>
          <w:sz w:val="16"/>
          <w:szCs w:val="16"/>
        </w:rPr>
      </w:pPr>
    </w:p>
    <w:p w14:paraId="276E04A1" w14:textId="2CD569AF" w:rsidR="0071448C"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2B45BE6" w14:textId="77777777" w:rsidR="0071448C" w:rsidRPr="008127F8" w:rsidRDefault="0071448C"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65502" w14:textId="77777777" w:rsidR="0071448C" w:rsidRPr="008127F8" w:rsidRDefault="0071448C"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февраля месяца 1942 на ЧКЗ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6B67E805" w14:textId="77777777" w:rsidR="0071448C" w:rsidRPr="008127F8" w:rsidRDefault="0071448C" w:rsidP="001E0A84">
      <w:pPr>
        <w:shd w:val="clear" w:color="auto" w:fill="FFFFFF"/>
        <w:spacing w:after="0" w:line="240" w:lineRule="auto"/>
        <w:jc w:val="both"/>
        <w:rPr>
          <w:rFonts w:ascii="Times New Roman" w:eastAsia="Times New Roman" w:hAnsi="Times New Roman"/>
          <w:color w:val="000000" w:themeColor="text1"/>
          <w:sz w:val="16"/>
          <w:szCs w:val="16"/>
        </w:rPr>
      </w:pPr>
    </w:p>
    <w:p w14:paraId="0C3CEDC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87B66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4A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 филиал завода № 18 влился эшелон рабочих и ИТР завода № 135 из Харькова.</w:t>
      </w:r>
    </w:p>
    <w:p w14:paraId="05B20E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1AE7BA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ГКО завод № 450 (коллектив и оборудование) был эвакуирован в Пензу и влился в коллектив завода № 163. 12 апреля 1943 года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46F76B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МАП за № 121 от 21 февраля 1944 года завод № 64 переведен в ведение 10 гл. управления и получил задание изготовлять (крылья) агрегаты самолета </w:t>
      </w:r>
      <w:r w:rsidRPr="008127F8">
        <w:rPr>
          <w:rFonts w:ascii="Times New Roman" w:hAnsi="Times New Roman"/>
          <w:color w:val="000000" w:themeColor="text1"/>
          <w:sz w:val="16"/>
          <w:szCs w:val="16"/>
        </w:rPr>
        <w:lastRenderedPageBreak/>
        <w:t>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1CED6D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5B91B5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1946 и 1947 гг. заводом освоены следующие агрегаты:</w:t>
      </w:r>
    </w:p>
    <w:p w14:paraId="7FFB87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хвостовая часть фюзеляжа;</w:t>
      </w:r>
    </w:p>
    <w:p w14:paraId="6F808E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оперение;</w:t>
      </w:r>
    </w:p>
    <w:p w14:paraId="31E870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D2896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5934FB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60A88D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3D432C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551C96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Белявский</w:t>
      </w:r>
    </w:p>
    <w:p w14:paraId="44D0A2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самолет Ан-10 конструкции Антонова</w:t>
      </w:r>
    </w:p>
    <w:p w14:paraId="12F476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Характеристика аэродрома завода</w:t>
      </w:r>
    </w:p>
    <w:p w14:paraId="4768A3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14583F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7D135"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 филиал завода № 18 в Воронеже влился эшелон рабочих и ИТР завода № 135 из Харькова (который находился в Воронеже с осени 1941 года) (19829).</w:t>
      </w:r>
    </w:p>
    <w:p w14:paraId="47A19EEB" w14:textId="77777777" w:rsidR="00CF7A27" w:rsidRPr="008127F8" w:rsidRDefault="00CF7A27" w:rsidP="001E0A84">
      <w:pPr>
        <w:spacing w:after="0" w:line="240" w:lineRule="auto"/>
        <w:jc w:val="both"/>
        <w:rPr>
          <w:rFonts w:ascii="Times New Roman" w:hAnsi="Times New Roman"/>
          <w:color w:val="000000" w:themeColor="text1"/>
          <w:sz w:val="16"/>
          <w:szCs w:val="16"/>
        </w:rPr>
      </w:pPr>
    </w:p>
    <w:p w14:paraId="797ACB51" w14:textId="77777777" w:rsidR="00FF5898" w:rsidRPr="008A2E5A" w:rsidRDefault="00FF5898" w:rsidP="00FF58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 благодаря предпринимаемым шагам, завод № 18 уже вышел в целом на ритмичное производство и довел выпуск Ил-2 до 6-7 самолетов в сутки. В апреле за</w:t>
      </w:r>
      <w:r w:rsidRPr="008A2E5A">
        <w:rPr>
          <w:rFonts w:ascii="Times New Roman" w:hAnsi="Times New Roman"/>
          <w:color w:val="0070C0"/>
          <w:sz w:val="16"/>
          <w:szCs w:val="16"/>
        </w:rPr>
        <w:softHyphen/>
        <w:t>вод впервые выполнил плановое задание на месяц. Однако задержки все еще возникали, главным образом, «по при</w:t>
      </w:r>
      <w:r w:rsidRPr="008A2E5A">
        <w:rPr>
          <w:rFonts w:ascii="Times New Roman" w:hAnsi="Times New Roman"/>
          <w:color w:val="0070C0"/>
          <w:sz w:val="16"/>
          <w:szCs w:val="16"/>
        </w:rPr>
        <w:softHyphen/>
        <w:t>чине неравномерного выпуска отдельными цехами». Себе</w:t>
      </w:r>
      <w:r w:rsidRPr="008A2E5A">
        <w:rPr>
          <w:rFonts w:ascii="Times New Roman" w:hAnsi="Times New Roman"/>
          <w:color w:val="0070C0"/>
          <w:sz w:val="16"/>
          <w:szCs w:val="16"/>
        </w:rPr>
        <w:softHyphen/>
        <w:t>стоимость изготовления одного самолета удалось снизить почти вдвое по сравнению с уровнем июня 1941 г.</w:t>
      </w:r>
    </w:p>
    <w:p w14:paraId="76D6E3F9" w14:textId="77777777" w:rsidR="00FF5898" w:rsidRPr="008A2E5A" w:rsidRDefault="00FF5898" w:rsidP="00FF58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 к этому времени «только начинает развора</w:t>
      </w:r>
      <w:r w:rsidRPr="008A2E5A">
        <w:rPr>
          <w:rFonts w:ascii="Times New Roman" w:hAnsi="Times New Roman"/>
          <w:color w:val="0070C0"/>
          <w:sz w:val="16"/>
          <w:szCs w:val="16"/>
        </w:rPr>
        <w:softHyphen/>
        <w:t>чивать производство самолетов Ил-2 и в настоящее время выпускает по одному самолету в день». В заготовительных цехах все еще продолжался монтаж оборудования, дей</w:t>
      </w:r>
      <w:r w:rsidRPr="008A2E5A">
        <w:rPr>
          <w:rFonts w:ascii="Times New Roman" w:hAnsi="Times New Roman"/>
          <w:color w:val="0070C0"/>
          <w:sz w:val="16"/>
          <w:szCs w:val="16"/>
        </w:rPr>
        <w:softHyphen/>
        <w:t>ствовали нормы временной технологии. Весь январский выпуск завода составил всего 16 Ил-2. Переход на выпуск 7 самолетов в сутки планировался только в июне месяце (23346).</w:t>
      </w:r>
    </w:p>
    <w:p w14:paraId="2CF4C9E9" w14:textId="77777777" w:rsidR="00FF5898" w:rsidRPr="008A2E5A" w:rsidRDefault="00FF5898" w:rsidP="00FF5898">
      <w:pPr>
        <w:spacing w:after="0" w:line="240" w:lineRule="auto"/>
        <w:jc w:val="both"/>
        <w:rPr>
          <w:rFonts w:ascii="Times New Roman" w:hAnsi="Times New Roman"/>
          <w:color w:val="0070C0"/>
          <w:sz w:val="16"/>
          <w:szCs w:val="16"/>
        </w:rPr>
      </w:pPr>
    </w:p>
    <w:p w14:paraId="1E5A6DD9"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завод № 207 передал заводу № 18 первую партию бронекорпусов, собранных на новом месте (19823).</w:t>
      </w:r>
    </w:p>
    <w:p w14:paraId="0E34D475" w14:textId="77777777" w:rsidR="00CF7A27" w:rsidRPr="008127F8" w:rsidRDefault="00CF7A27" w:rsidP="001E0A84">
      <w:pPr>
        <w:spacing w:after="0" w:line="240" w:lineRule="auto"/>
        <w:jc w:val="both"/>
        <w:rPr>
          <w:rFonts w:ascii="Times New Roman" w:hAnsi="Times New Roman"/>
          <w:color w:val="000000" w:themeColor="text1"/>
          <w:sz w:val="16"/>
          <w:szCs w:val="16"/>
        </w:rPr>
      </w:pPr>
    </w:p>
    <w:p w14:paraId="1BC74FF1"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согласно Сергею Владимировичу Ильюшину (газета «Красная звезда» в 1968 году), меня вызывает И. В. Сталин. Он пожалел о прежнем решении (запускать в производство Ил-2 в одноместном варианте) и предложил:</w:t>
      </w:r>
    </w:p>
    <w:p w14:paraId="4852964F"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Делайте, что хотите, но конвейер останавливать не разрешаю. Немедленно дайте фронту двухместные самолеты.</w:t>
      </w:r>
    </w:p>
    <w:p w14:paraId="235D32A9"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работали как одержимые. Спали, ели прямо в КБ. Ломали голову: как, не меняя принятой технологии, перейти на изготовление машин с двухместной кабиной? Наконец, решили, что каркас кабины стрелка следует штамповать...»</w:t>
      </w:r>
    </w:p>
    <w:p w14:paraId="496D4EB1"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ОКБ вспоминают, что первая партия двухместных «илов» была получена путем доработки одноместных машин, находившихся на подмосковном аэродроме, силами заводской бригады.</w:t>
      </w:r>
    </w:p>
    <w:p w14:paraId="0170B937"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Отштампованное из дюраля жесткое кольцо врезалось в «бочку» фюзеляжа, и на нем укреплялась пулеметная установка. Для защиты стрелка поперек фюзеляжа со стороны хвоста укреплялась броневая плита. Образовавшаяся кабина прикрывалась сверху откидным фонарем.</w:t>
      </w:r>
    </w:p>
    <w:p w14:paraId="5C7E2F72" w14:textId="77777777" w:rsidR="00CF7A27" w:rsidRPr="008127F8" w:rsidRDefault="00CF7A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так в конце марта — начале апреля 1942 года на фронте появились первые двухместные штурмовики Ил-2 (19823).</w:t>
      </w:r>
    </w:p>
    <w:p w14:paraId="6FEF18A8" w14:textId="77777777" w:rsidR="00CF7A27" w:rsidRPr="008127F8" w:rsidRDefault="00CF7A27" w:rsidP="001E0A84">
      <w:pPr>
        <w:spacing w:after="0" w:line="240" w:lineRule="auto"/>
        <w:jc w:val="both"/>
        <w:rPr>
          <w:rFonts w:ascii="Times New Roman" w:hAnsi="Times New Roman"/>
          <w:color w:val="000000" w:themeColor="text1"/>
          <w:sz w:val="16"/>
          <w:szCs w:val="16"/>
        </w:rPr>
      </w:pPr>
    </w:p>
    <w:p w14:paraId="4291CE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завод 207 дал первые бронекорпуса, сделанные на новом месте. Тут подоспели и 60 последних корпусов из Ленинграда - комплектных, но не принятых военной приемкой (180,89).</w:t>
      </w:r>
    </w:p>
    <w:p w14:paraId="6E9BC8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AC48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из 20 Ил-2 производства завода № 1, полученных 1-й запасной авиабригадой, на всех машинах имелись обрывы заклепок и обшивки по заклепочному шву пе</w:t>
      </w:r>
      <w:r w:rsidRPr="008127F8">
        <w:rPr>
          <w:rFonts w:ascii="Times New Roman" w:hAnsi="Times New Roman"/>
          <w:color w:val="000000" w:themeColor="text1"/>
          <w:sz w:val="16"/>
          <w:szCs w:val="16"/>
        </w:rPr>
        <w:softHyphen/>
        <w:t>редней кромки элерона, на двух самолетах из обоймы выпали подшипники крепления элеронов, на одном вырвало весовую компенсацию элерона вместе с обшивкой, а на другом оборва</w:t>
      </w:r>
      <w:r w:rsidRPr="008127F8">
        <w:rPr>
          <w:rFonts w:ascii="Times New Roman" w:hAnsi="Times New Roman"/>
          <w:color w:val="000000" w:themeColor="text1"/>
          <w:sz w:val="16"/>
          <w:szCs w:val="16"/>
        </w:rPr>
        <w:softHyphen/>
        <w:t>лись заклепки в месте крепления обшивки к лонжерону элерона. Более того, 22 февраля при взлете произошел обрыв полоза лыжи от кабана крепления к амортизационной стойке шасси по причи</w:t>
      </w:r>
      <w:r w:rsidRPr="008127F8">
        <w:rPr>
          <w:rFonts w:ascii="Times New Roman" w:hAnsi="Times New Roman"/>
          <w:color w:val="000000" w:themeColor="text1"/>
          <w:sz w:val="16"/>
          <w:szCs w:val="16"/>
        </w:rPr>
        <w:softHyphen/>
        <w:t>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(лыжи неубирающиеся). Характерно, что все эти дефекты оказались на самолетах, имеющих незначительный налет — всего 3—16 часов (11474,263).</w:t>
      </w:r>
    </w:p>
    <w:p w14:paraId="40019B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51B41" w14:textId="77777777" w:rsidR="00C576C1" w:rsidRPr="008A2E5A" w:rsidRDefault="00C576C1" w:rsidP="00C576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 из 20 Ил-2 производства завода № 1, полученных 1-й запасной авиабригадой, на всех машинах имелись обрывы заклепок и обшивки по заклепочному шву передней кромки элерона. На двух само</w:t>
      </w:r>
      <w:r w:rsidRPr="008A2E5A">
        <w:rPr>
          <w:rFonts w:ascii="Times New Roman" w:hAnsi="Times New Roman"/>
          <w:color w:val="0070C0"/>
          <w:sz w:val="16"/>
          <w:szCs w:val="16"/>
        </w:rPr>
        <w:softHyphen/>
        <w:t>летах из обоймы выпали подшипники крепления элеронов. На одном Ил-2 вырвало весовую компенсацию элерона вместе с обшивкой, а на другом - оборвались заклепки в месте крепления обшивки к лонжерону элерона. Более того, 22 февраля при взлете произошел обрыв полоза лыжи от кабана крепления к амортизационной стойке шасси по при</w:t>
      </w:r>
      <w:r w:rsidRPr="008A2E5A">
        <w:rPr>
          <w:rFonts w:ascii="Times New Roman" w:hAnsi="Times New Roman"/>
          <w:color w:val="0070C0"/>
          <w:sz w:val="16"/>
          <w:szCs w:val="16"/>
        </w:rPr>
        <w:softHyphen/>
        <w:t>чине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Характерно, что все эти дефекты оказались на Ил-2, имеющих незначительный налет - всего 3-16 ч (23346).</w:t>
      </w:r>
    </w:p>
    <w:p w14:paraId="14237238" w14:textId="77777777" w:rsidR="00C576C1" w:rsidRPr="008A2E5A" w:rsidRDefault="00C576C1" w:rsidP="00C576C1">
      <w:pPr>
        <w:spacing w:after="0" w:line="240" w:lineRule="auto"/>
        <w:jc w:val="both"/>
        <w:rPr>
          <w:rFonts w:ascii="Times New Roman" w:hAnsi="Times New Roman"/>
          <w:color w:val="0070C0"/>
          <w:sz w:val="16"/>
          <w:szCs w:val="16"/>
        </w:rPr>
      </w:pPr>
    </w:p>
    <w:p w14:paraId="18A603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 выпущен бюллетень главного инженера ВВС КА. Суть его сводится к тому, что ВВС в приказном порядке запрещают использовать на самолетах-штурмови</w:t>
      </w:r>
      <w:r w:rsidRPr="008127F8">
        <w:rPr>
          <w:rFonts w:ascii="Times New Roman" w:hAnsi="Times New Roman"/>
          <w:color w:val="000000" w:themeColor="text1"/>
          <w:sz w:val="16"/>
          <w:szCs w:val="16"/>
        </w:rPr>
        <w:softHyphen/>
        <w:t>ках смешанное ракетное вооружение (калибров 82 и 132 мм) с целью экономии пультов ЭСБР-Зп, которые в этом случае, в кабину Ил-2 ста</w:t>
      </w:r>
      <w:r w:rsidRPr="008127F8">
        <w:rPr>
          <w:rFonts w:ascii="Times New Roman" w:hAnsi="Times New Roman"/>
          <w:color w:val="000000" w:themeColor="text1"/>
          <w:sz w:val="16"/>
          <w:szCs w:val="16"/>
        </w:rPr>
        <w:softHyphen/>
        <w:t>вят по три штуки — один на бомбовое вооружение и два — на ракетное. Тональность документа больше напоминает нотацию нерадивому учени</w:t>
      </w:r>
      <w:r w:rsidRPr="008127F8">
        <w:rPr>
          <w:rFonts w:ascii="Times New Roman" w:hAnsi="Times New Roman"/>
          <w:color w:val="000000" w:themeColor="text1"/>
          <w:sz w:val="16"/>
          <w:szCs w:val="16"/>
        </w:rPr>
        <w:softHyphen/>
        <w:t>ку, что, мол, отечественная промышленность не успевает восполнять требования фронта в ЭСБР, а в истребительных полках вместо ЭСБРов вообще ставят тумблеры</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11402).</w:t>
      </w:r>
    </w:p>
    <w:p w14:paraId="33ECFD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86199"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lastRenderedPageBreak/>
        <w:t>В феврале 1942 в НИИ ВВС был обобщен первый опыт боевого применения брониро</w:t>
      </w:r>
      <w:r w:rsidRPr="008127F8">
        <w:rPr>
          <w:rFonts w:ascii="Times New Roman" w:cs="Times New Roman"/>
          <w:color w:val="000000" w:themeColor="text1"/>
          <w:spacing w:val="0"/>
          <w:sz w:val="16"/>
          <w:szCs w:val="16"/>
        </w:rPr>
        <w:softHyphen/>
        <w:t>ванного штурмовика Ил-2 АМ-38. Оказалось, что</w:t>
      </w:r>
      <w:r w:rsidRPr="008127F8">
        <w:rPr>
          <w:rStyle w:val="aff8"/>
          <w:rFonts w:ascii="Times New Roman" w:eastAsia="Arial Narrow" w:hAnsi="Times New Roman" w:cs="Times New Roman"/>
          <w:i w:val="0"/>
          <w:color w:val="000000" w:themeColor="text1"/>
          <w:spacing w:val="0"/>
        </w:rPr>
        <w:t xml:space="preserve"> «бронекорпус не защищает от прямого попадания снарядов зенитной артиллерии среднего калибра и ниже высоты 1000 м от снарядов малокалиберной зенитной артил</w:t>
      </w:r>
      <w:r w:rsidRPr="008127F8">
        <w:rPr>
          <w:rStyle w:val="aff8"/>
          <w:rFonts w:ascii="Times New Roman" w:eastAsia="Arial Narrow" w:hAnsi="Times New Roman" w:cs="Times New Roman"/>
          <w:i w:val="0"/>
          <w:color w:val="000000" w:themeColor="text1"/>
          <w:spacing w:val="0"/>
        </w:rPr>
        <w:softHyphen/>
        <w:t>лерии».</w:t>
      </w:r>
      <w:r w:rsidRPr="008127F8">
        <w:rPr>
          <w:rFonts w:ascii="Times New Roman" w:cs="Times New Roman"/>
          <w:color w:val="000000" w:themeColor="text1"/>
          <w:spacing w:val="0"/>
          <w:sz w:val="16"/>
          <w:szCs w:val="16"/>
        </w:rPr>
        <w:t xml:space="preserve"> Пули нормального калибра и</w:t>
      </w:r>
      <w:r w:rsidRPr="008127F8">
        <w:rPr>
          <w:rStyle w:val="aff8"/>
          <w:rFonts w:ascii="Times New Roman" w:eastAsia="Arial Narrow" w:hAnsi="Times New Roman" w:cs="Times New Roman"/>
          <w:i w:val="0"/>
          <w:color w:val="000000" w:themeColor="text1"/>
          <w:spacing w:val="0"/>
        </w:rPr>
        <w:t xml:space="preserve"> «оскол</w:t>
      </w:r>
      <w:r w:rsidRPr="008127F8">
        <w:rPr>
          <w:rStyle w:val="aff8"/>
          <w:rFonts w:ascii="Times New Roman" w:eastAsia="Arial Narrow" w:hAnsi="Times New Roman" w:cs="Times New Roman"/>
          <w:i w:val="0"/>
          <w:color w:val="000000" w:themeColor="text1"/>
          <w:spacing w:val="0"/>
        </w:rPr>
        <w:softHyphen/>
        <w:t>ки снарядов зенитной артиллерии на любом удалении броню не пробивают»,</w:t>
      </w:r>
      <w:r w:rsidRPr="008127F8">
        <w:rPr>
          <w:rFonts w:ascii="Times New Roman" w:cs="Times New Roman"/>
          <w:color w:val="000000" w:themeColor="text1"/>
          <w:spacing w:val="0"/>
          <w:sz w:val="16"/>
          <w:szCs w:val="16"/>
        </w:rPr>
        <w:t xml:space="preserve"> оставляя в ней лишь вмятины. Вместе с тем, при прямом попадании малокалиберного снаряда или крупнокалиберной бронебойной пули броня пробивалась с последующим повреждением деталей мотора и поражением экипажа. Кро</w:t>
      </w:r>
      <w:r w:rsidRPr="008127F8">
        <w:rPr>
          <w:rFonts w:ascii="Times New Roman" w:cs="Times New Roman"/>
          <w:color w:val="000000" w:themeColor="text1"/>
          <w:spacing w:val="0"/>
          <w:sz w:val="16"/>
          <w:szCs w:val="16"/>
        </w:rPr>
        <w:softHyphen/>
        <w:t>ме того, имелись случаи пробития крупными осколками зенитных снарядов боковой брони кабины летчика.</w:t>
      </w:r>
    </w:p>
    <w:p w14:paraId="7924F522"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Подавляющее количество попаданий, относящихся к поражению от истребителей, приходилось на долю поперечной бронеплиты и только 29% - на продольную броню. При</w:t>
      </w:r>
      <w:r w:rsidRPr="008127F8">
        <w:rPr>
          <w:rFonts w:ascii="Times New Roman" w:cs="Times New Roman"/>
          <w:color w:val="000000" w:themeColor="text1"/>
          <w:spacing w:val="0"/>
          <w:sz w:val="16"/>
          <w:szCs w:val="16"/>
        </w:rPr>
        <w:softHyphen/>
        <w:t>чем основное количество попаданий в броне</w:t>
      </w:r>
      <w:r w:rsidRPr="008127F8">
        <w:rPr>
          <w:rFonts w:ascii="Times New Roman" w:cs="Times New Roman"/>
          <w:color w:val="000000" w:themeColor="text1"/>
          <w:spacing w:val="0"/>
          <w:sz w:val="16"/>
          <w:szCs w:val="16"/>
        </w:rPr>
        <w:softHyphen/>
        <w:t>корпус соответствовало атакам истребителей противника почти строго в хвост (до 20° от про</w:t>
      </w:r>
      <w:r w:rsidRPr="008127F8">
        <w:rPr>
          <w:rFonts w:ascii="Times New Roman" w:cs="Times New Roman"/>
          <w:color w:val="000000" w:themeColor="text1"/>
          <w:spacing w:val="0"/>
          <w:sz w:val="16"/>
          <w:szCs w:val="16"/>
        </w:rPr>
        <w:softHyphen/>
        <w:t>дольной оси самолета по горизонту и до 3-5° в вертикальной плоскости).</w:t>
      </w:r>
    </w:p>
    <w:p w14:paraId="19DD0F4B"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Наличие зазоров между подвижной частью фонаря кабины пилота и задней броней бронекорпуса приводило к тому, что при обстреле истребителями осколки снарядов проникали через эти зазоры в кабину и поражали летчи</w:t>
      </w:r>
      <w:r w:rsidRPr="008127F8">
        <w:rPr>
          <w:rFonts w:ascii="Times New Roman" w:cs="Times New Roman"/>
          <w:color w:val="000000" w:themeColor="text1"/>
          <w:spacing w:val="0"/>
          <w:sz w:val="16"/>
          <w:szCs w:val="16"/>
        </w:rPr>
        <w:softHyphen/>
        <w:t>ка. Кабина летчика оказалась уязвимой еще и через форточки подвижной части фонаря кабины. Плексиглас легко пробивался пуля</w:t>
      </w:r>
      <w:r w:rsidRPr="008127F8">
        <w:rPr>
          <w:rFonts w:ascii="Times New Roman" w:cs="Times New Roman"/>
          <w:color w:val="000000" w:themeColor="text1"/>
          <w:spacing w:val="0"/>
          <w:sz w:val="16"/>
          <w:szCs w:val="16"/>
        </w:rPr>
        <w:softHyphen/>
        <w:t>ми и осколками зенитных снарядов. Лобовые бронестекла кабины летчика от попадания ма</w:t>
      </w:r>
      <w:r w:rsidRPr="008127F8">
        <w:rPr>
          <w:rFonts w:ascii="Times New Roman" w:cs="Times New Roman"/>
          <w:color w:val="000000" w:themeColor="text1"/>
          <w:spacing w:val="0"/>
          <w:sz w:val="16"/>
          <w:szCs w:val="16"/>
        </w:rPr>
        <w:softHyphen/>
        <w:t>локалиберного снаряда и осколков зенитных снарядов, разрушались, образовывая много</w:t>
      </w:r>
      <w:r w:rsidRPr="008127F8">
        <w:rPr>
          <w:rFonts w:ascii="Times New Roman" w:cs="Times New Roman"/>
          <w:color w:val="000000" w:themeColor="text1"/>
          <w:spacing w:val="0"/>
          <w:sz w:val="16"/>
          <w:szCs w:val="16"/>
        </w:rPr>
        <w:softHyphen/>
        <w:t>численные осколки, приводящие к ранениям летчика. Бортовая броня кабины практически не спасала летчика при прямых попаданиях снарядов калибра 37 и 20 мм.</w:t>
      </w:r>
    </w:p>
    <w:p w14:paraId="50A06020"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Бронекапот не обеспечивал надежную за</w:t>
      </w:r>
      <w:r w:rsidRPr="008127F8">
        <w:rPr>
          <w:rFonts w:ascii="Times New Roman" w:cs="Times New Roman"/>
          <w:color w:val="000000" w:themeColor="text1"/>
          <w:spacing w:val="0"/>
          <w:sz w:val="16"/>
          <w:szCs w:val="16"/>
        </w:rPr>
        <w:softHyphen/>
        <w:t>щиту от снарядов и крупнокалиберных пуль как самого мотора, так и агрегатов и узлов мотор</w:t>
      </w:r>
      <w:r w:rsidRPr="008127F8">
        <w:rPr>
          <w:rFonts w:ascii="Times New Roman" w:cs="Times New Roman"/>
          <w:color w:val="000000" w:themeColor="text1"/>
          <w:spacing w:val="0"/>
          <w:sz w:val="16"/>
          <w:szCs w:val="16"/>
        </w:rPr>
        <w:softHyphen/>
        <w:t>ной группы, особенно в районе выхлопных па</w:t>
      </w:r>
      <w:r w:rsidRPr="008127F8">
        <w:rPr>
          <w:rFonts w:ascii="Times New Roman" w:cs="Times New Roman"/>
          <w:color w:val="000000" w:themeColor="text1"/>
          <w:spacing w:val="0"/>
          <w:sz w:val="16"/>
          <w:szCs w:val="16"/>
        </w:rPr>
        <w:softHyphen/>
        <w:t>трубков и бронекарманов передней и задней части мотора. При этом нижняя броня капота при попадании в нее снарядов, как правило, почти не пробивалась, а лишь давала трещины.</w:t>
      </w:r>
    </w:p>
    <w:p w14:paraId="33948816"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Пробитие брони капота во всех случаях со</w:t>
      </w:r>
      <w:r w:rsidRPr="008127F8">
        <w:rPr>
          <w:rFonts w:ascii="Times New Roman" w:cs="Times New Roman"/>
          <w:color w:val="000000" w:themeColor="text1"/>
          <w:spacing w:val="0"/>
          <w:sz w:val="16"/>
          <w:szCs w:val="16"/>
        </w:rPr>
        <w:softHyphen/>
        <w:t>провождалось разрушением или повреждени</w:t>
      </w:r>
      <w:r w:rsidRPr="008127F8">
        <w:rPr>
          <w:rFonts w:ascii="Times New Roman" w:cs="Times New Roman"/>
          <w:color w:val="000000" w:themeColor="text1"/>
          <w:spacing w:val="0"/>
          <w:sz w:val="16"/>
          <w:szCs w:val="16"/>
        </w:rPr>
        <w:softHyphen/>
        <w:t>ем блоков цилиндров, карбюраторов, масло- и водопроводов, расширительного бачка водо- системы, маслобака, маслофильтра и т.д.</w:t>
      </w:r>
    </w:p>
    <w:p w14:paraId="64359360"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Массу хлопот доставлял маслорадиатор, который располагался в бронекорзине под фюзеляжем самолета. Дело в том, что в летнее время при закрытых бронезаслонках темпера</w:t>
      </w:r>
      <w:r w:rsidRPr="008127F8">
        <w:rPr>
          <w:rFonts w:ascii="Times New Roman" w:cs="Times New Roman"/>
          <w:color w:val="000000" w:themeColor="text1"/>
          <w:spacing w:val="0"/>
          <w:sz w:val="16"/>
          <w:szCs w:val="16"/>
        </w:rPr>
        <w:softHyphen/>
        <w:t>тура масла начинала быстро расти, и уже че</w:t>
      </w:r>
      <w:r w:rsidRPr="008127F8">
        <w:rPr>
          <w:rFonts w:ascii="Times New Roman" w:cs="Times New Roman"/>
          <w:color w:val="000000" w:themeColor="text1"/>
          <w:spacing w:val="0"/>
          <w:sz w:val="16"/>
          <w:szCs w:val="16"/>
        </w:rPr>
        <w:softHyphen/>
        <w:t>рез 6-7 мин полета летчики были вынуждены бронезаслонки открывать. В результате мас</w:t>
      </w:r>
      <w:r w:rsidRPr="008127F8">
        <w:rPr>
          <w:rFonts w:ascii="Times New Roman" w:cs="Times New Roman"/>
          <w:color w:val="000000" w:themeColor="text1"/>
          <w:spacing w:val="0"/>
          <w:sz w:val="16"/>
          <w:szCs w:val="16"/>
        </w:rPr>
        <w:softHyphen/>
        <w:t>лорадиатор часто поражался пулями и оскол</w:t>
      </w:r>
      <w:r w:rsidRPr="008127F8">
        <w:rPr>
          <w:rFonts w:ascii="Times New Roman" w:cs="Times New Roman"/>
          <w:color w:val="000000" w:themeColor="text1"/>
          <w:spacing w:val="0"/>
          <w:sz w:val="16"/>
          <w:szCs w:val="16"/>
        </w:rPr>
        <w:softHyphen/>
        <w:t>ками при обстреле с земли. Более того, лет</w:t>
      </w:r>
      <w:r w:rsidRPr="008127F8">
        <w:rPr>
          <w:rFonts w:ascii="Times New Roman" w:cs="Times New Roman"/>
          <w:color w:val="000000" w:themeColor="text1"/>
          <w:spacing w:val="0"/>
          <w:sz w:val="16"/>
          <w:szCs w:val="16"/>
        </w:rPr>
        <w:softHyphen/>
        <w:t>ный состав иногда вообще забывал закрывать бронезаслонки на подходе к линии фронта. Бо</w:t>
      </w:r>
      <w:r w:rsidRPr="008127F8">
        <w:rPr>
          <w:rFonts w:ascii="Times New Roman" w:cs="Times New Roman"/>
          <w:color w:val="000000" w:themeColor="text1"/>
          <w:spacing w:val="0"/>
          <w:sz w:val="16"/>
          <w:szCs w:val="16"/>
        </w:rPr>
        <w:softHyphen/>
        <w:t>ковые стенки бронекорзины и бронезаслонки не выдерживали попаданий малокалиберных снарядов. Причем в некоторых случаях бронекорзина вместе с маслорадиатором срывалась с посадочных мест.</w:t>
      </w:r>
    </w:p>
    <w:p w14:paraId="7663AC7A"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Кроме этого, на практике имелись случаи воспламенения самолета после повреждения маслорадиатора. Отметим, что случаи пора</w:t>
      </w:r>
      <w:r w:rsidRPr="008127F8">
        <w:rPr>
          <w:rFonts w:ascii="Times New Roman" w:cs="Times New Roman"/>
          <w:color w:val="000000" w:themeColor="text1"/>
          <w:spacing w:val="0"/>
          <w:sz w:val="16"/>
          <w:szCs w:val="16"/>
        </w:rPr>
        <w:softHyphen/>
        <w:t>жения находящегося внутри бронекорпуса водорадиатора наблюдались весьма и весьма редко.</w:t>
      </w:r>
    </w:p>
    <w:p w14:paraId="68DCC605"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Недостаточная толщина бронирования Ил-2 в районе переднего и заднего бензобаков в некоторой степени компенсировалась нали</w:t>
      </w:r>
      <w:r w:rsidRPr="008127F8">
        <w:rPr>
          <w:rFonts w:ascii="Times New Roman" w:cs="Times New Roman"/>
          <w:color w:val="000000" w:themeColor="text1"/>
          <w:spacing w:val="0"/>
          <w:sz w:val="16"/>
          <w:szCs w:val="16"/>
        </w:rPr>
        <w:softHyphen/>
        <w:t>чием протектора на бензобаках и системы за</w:t>
      </w:r>
      <w:r w:rsidRPr="008127F8">
        <w:rPr>
          <w:rFonts w:ascii="Times New Roman" w:cs="Times New Roman"/>
          <w:color w:val="000000" w:themeColor="text1"/>
          <w:spacing w:val="0"/>
          <w:sz w:val="16"/>
          <w:szCs w:val="16"/>
        </w:rPr>
        <w:softHyphen/>
        <w:t>полнения их нейтральным газом. По отзывам летного и технического состава, протектор и нейтральный газ во многих случаях вполне оправдывали свое назначение. Однако при попадании в бензобаки малокалиберных сна</w:t>
      </w:r>
      <w:r w:rsidRPr="008127F8">
        <w:rPr>
          <w:rFonts w:ascii="Times New Roman" w:cs="Times New Roman"/>
          <w:color w:val="000000" w:themeColor="text1"/>
          <w:spacing w:val="0"/>
          <w:sz w:val="16"/>
          <w:szCs w:val="16"/>
        </w:rPr>
        <w:softHyphen/>
        <w:t>рядов баки, как правило, загорались и затем взрывались, при этом осколки (как от взрыва снаряда, так и от взрыва баков) проникали в кабину летчика со всеми вытекающими пос</w:t>
      </w:r>
      <w:r w:rsidRPr="008127F8">
        <w:rPr>
          <w:rFonts w:ascii="Times New Roman" w:cs="Times New Roman"/>
          <w:color w:val="000000" w:themeColor="text1"/>
          <w:spacing w:val="0"/>
          <w:sz w:val="16"/>
          <w:szCs w:val="16"/>
        </w:rPr>
        <w:softHyphen/>
        <w:t>ледствиями.</w:t>
      </w:r>
    </w:p>
    <w:p w14:paraId="78A597D6"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Наиболее опасными для Ил-2 являлись зенитные автоматы калибра 20-37 мм и круп</w:t>
      </w:r>
      <w:r w:rsidRPr="008127F8">
        <w:rPr>
          <w:rFonts w:ascii="Times New Roman" w:cs="Times New Roman"/>
          <w:color w:val="000000" w:themeColor="text1"/>
          <w:spacing w:val="0"/>
          <w:sz w:val="16"/>
          <w:szCs w:val="16"/>
        </w:rPr>
        <w:softHyphen/>
        <w:t>нокалиберные пулеметы (15 мм). Причем бронебойные пули крупного калибра по бро- непробиваемости оказались лучше 20-мм снарядов. Средний процент пробития брони от огня малокалиберной зенитной артиллерии и зенитных пулеметных установок оказался почти вдвое выше, чем от огня истребителей. Характер пробоин бронекорпусов списанных штурмовиков Ил-2 (ввиду невозможности ре</w:t>
      </w:r>
      <w:r w:rsidRPr="008127F8">
        <w:rPr>
          <w:rFonts w:ascii="Times New Roman" w:cs="Times New Roman"/>
          <w:color w:val="000000" w:themeColor="text1"/>
          <w:spacing w:val="0"/>
          <w:sz w:val="16"/>
          <w:szCs w:val="16"/>
        </w:rPr>
        <w:softHyphen/>
        <w:t>монта) позволяет сделать вывод, что угловой конус поражения Ил-2 при обстреле немецкой зенитной артиллерии не превышал в горизон</w:t>
      </w:r>
      <w:r w:rsidRPr="008127F8">
        <w:rPr>
          <w:rFonts w:ascii="Times New Roman" w:cs="Times New Roman"/>
          <w:color w:val="000000" w:themeColor="text1"/>
          <w:spacing w:val="0"/>
          <w:sz w:val="16"/>
          <w:szCs w:val="16"/>
        </w:rPr>
        <w:softHyphen/>
        <w:t>тальной плоскости 20-25° к нормали и в верти</w:t>
      </w:r>
      <w:r w:rsidRPr="008127F8">
        <w:rPr>
          <w:rFonts w:ascii="Times New Roman" w:cs="Times New Roman"/>
          <w:color w:val="000000" w:themeColor="text1"/>
          <w:spacing w:val="0"/>
          <w:sz w:val="16"/>
          <w:szCs w:val="16"/>
        </w:rPr>
        <w:softHyphen/>
        <w:t>кальной плоскости -10-15° к нормали. То есть, все попадания в бронекорпус Ил-2 от пушеч но-пулеметного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w:t>
      </w:r>
      <w:r w:rsidRPr="008127F8">
        <w:rPr>
          <w:rFonts w:ascii="Times New Roman" w:cs="Times New Roman"/>
          <w:color w:val="000000" w:themeColor="text1"/>
          <w:spacing w:val="0"/>
          <w:sz w:val="16"/>
          <w:szCs w:val="16"/>
        </w:rPr>
        <w:softHyphen/>
        <w:t>ного огня практически не имели (15774).</w:t>
      </w:r>
    </w:p>
    <w:p w14:paraId="03BEEDC6" w14:textId="77777777" w:rsidR="001852A6" w:rsidRPr="008127F8" w:rsidRDefault="001852A6" w:rsidP="001E0A84">
      <w:pPr>
        <w:pStyle w:val="36"/>
        <w:shd w:val="clear" w:color="auto" w:fill="auto"/>
        <w:spacing w:after="0" w:line="240" w:lineRule="auto"/>
        <w:jc w:val="both"/>
        <w:rPr>
          <w:rFonts w:ascii="Times New Roman" w:cs="Times New Roman"/>
          <w:color w:val="000000" w:themeColor="text1"/>
          <w:spacing w:val="0"/>
          <w:sz w:val="16"/>
          <w:szCs w:val="16"/>
        </w:rPr>
      </w:pPr>
    </w:p>
    <w:p w14:paraId="4EB470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Молотове подготовили 826-й бап майора A.M. Бокуна. Его основу составляли вырвавшиеся из вражеского окружения под Киевом экипажи 227-го бап. Новая часть имела 16 машин с моторами М- 88Б и четыре новенькие с мотором М-82. На последних самолетах (зав. №№ 11114, 12116, 07117 и 35117) было решено провести войсковые испытания. В целом, экипажи положительно оценили модифицированную машину Сухого. Но за время обучения и при перелете на фронт с 28 февраля по 9 марта произошли одна катастрофа, одна авария и множество вынужденных посадок по вине двигателя. (Всего же в запасных полках и учебных центрах в 1941- 1942 гг. с машинами Су-2 случились 6 катастроф и 17 аварий - цифры неприятные, но налет на одно серьезное летное происшествие оказался на 25 - 30% больше, чем для Пе-2 или Ил-2.) (12028).</w:t>
      </w:r>
    </w:p>
    <w:p w14:paraId="7B458D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A0642"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Кочеригин посылает план работ своего КБ в наркомат и просит предоставить хотя бы небольшую, но самостоятель</w:t>
      </w:r>
      <w:r w:rsidRPr="008127F8">
        <w:rPr>
          <w:rFonts w:ascii="Times New Roman" w:hAnsi="Times New Roman"/>
          <w:color w:val="000000" w:themeColor="text1"/>
          <w:sz w:val="16"/>
          <w:szCs w:val="16"/>
        </w:rPr>
        <w:softHyphen/>
        <w:t>ную производственную базу в Москве. В послании перво</w:t>
      </w:r>
      <w:r w:rsidRPr="008127F8">
        <w:rPr>
          <w:rFonts w:ascii="Times New Roman" w:hAnsi="Times New Roman"/>
          <w:color w:val="000000" w:themeColor="text1"/>
          <w:sz w:val="16"/>
          <w:szCs w:val="16"/>
        </w:rPr>
        <w:softHyphen/>
        <w:t>му замнаркома авиапромышленности П.В. Дементьеву он пишет, что процент готовности ОПБ составляет 95%, при</w:t>
      </w:r>
      <w:r w:rsidRPr="008127F8">
        <w:rPr>
          <w:rFonts w:ascii="Times New Roman" w:hAnsi="Times New Roman"/>
          <w:color w:val="000000" w:themeColor="text1"/>
          <w:sz w:val="16"/>
          <w:szCs w:val="16"/>
        </w:rPr>
        <w:softHyphen/>
        <w:t>чем самолет уже укомплектован работоспособным двига</w:t>
      </w:r>
      <w:r w:rsidRPr="008127F8">
        <w:rPr>
          <w:rFonts w:ascii="Times New Roman" w:hAnsi="Times New Roman"/>
          <w:color w:val="000000" w:themeColor="text1"/>
          <w:sz w:val="16"/>
          <w:szCs w:val="16"/>
        </w:rPr>
        <w:softHyphen/>
        <w:t>телем М-90. Судя по всему, Кочеригин готовился к летне</w:t>
      </w:r>
      <w:r w:rsidRPr="008127F8">
        <w:rPr>
          <w:rFonts w:ascii="Times New Roman" w:hAnsi="Times New Roman"/>
          <w:color w:val="000000" w:themeColor="text1"/>
          <w:sz w:val="16"/>
          <w:szCs w:val="16"/>
        </w:rPr>
        <w:softHyphen/>
        <w:t>му сезону и предполагал в 1942 г. облетать самолет. То есть он по-прежнему надеялся на М-90. Известно, что летом 1942 г. М-90 проходил госиспытания, а вообще работа над двигателем продолжалась вплоть до 1944 г. Од</w:t>
      </w:r>
      <w:r w:rsidRPr="008127F8">
        <w:rPr>
          <w:rFonts w:ascii="Times New Roman" w:hAnsi="Times New Roman"/>
          <w:color w:val="000000" w:themeColor="text1"/>
          <w:sz w:val="16"/>
          <w:szCs w:val="16"/>
        </w:rPr>
        <w:softHyphen/>
        <w:t>новременно, уже в начале 1942 г. начались более актив</w:t>
      </w:r>
      <w:r w:rsidRPr="008127F8">
        <w:rPr>
          <w:rFonts w:ascii="Times New Roman" w:hAnsi="Times New Roman"/>
          <w:color w:val="000000" w:themeColor="text1"/>
          <w:sz w:val="16"/>
          <w:szCs w:val="16"/>
        </w:rPr>
        <w:softHyphen/>
        <w:t>ные переработки кочеригинского пикировщика под двига</w:t>
      </w:r>
      <w:r w:rsidRPr="008127F8">
        <w:rPr>
          <w:rFonts w:ascii="Times New Roman" w:hAnsi="Times New Roman"/>
          <w:color w:val="000000" w:themeColor="text1"/>
          <w:sz w:val="16"/>
          <w:szCs w:val="16"/>
        </w:rPr>
        <w:softHyphen/>
        <w:t>тель М-71. Были разработаны новые отъемные части кры</w:t>
      </w:r>
      <w:r w:rsidRPr="008127F8">
        <w:rPr>
          <w:rFonts w:ascii="Times New Roman" w:hAnsi="Times New Roman"/>
          <w:color w:val="000000" w:themeColor="text1"/>
          <w:sz w:val="16"/>
          <w:szCs w:val="16"/>
        </w:rPr>
        <w:softHyphen/>
        <w:t>ла из дерева, было усилено бронирование, пулеметы БС заменены на пушки ШВАК, а ШКАС — на БС.</w:t>
      </w:r>
    </w:p>
    <w:p w14:paraId="3B9EC3A8"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тем, чуда не произошло - довести самолет до по</w:t>
      </w:r>
      <w:r w:rsidRPr="008127F8">
        <w:rPr>
          <w:rFonts w:ascii="Times New Roman" w:hAnsi="Times New Roman"/>
          <w:color w:val="000000" w:themeColor="text1"/>
          <w:sz w:val="16"/>
          <w:szCs w:val="16"/>
        </w:rPr>
        <w:softHyphen/>
        <w:t>летного состояния не удалось. Завод №135 ликвидирова</w:t>
      </w:r>
      <w:r w:rsidRPr="008127F8">
        <w:rPr>
          <w:rFonts w:ascii="Times New Roman" w:hAnsi="Times New Roman"/>
          <w:color w:val="000000" w:themeColor="text1"/>
          <w:sz w:val="16"/>
          <w:szCs w:val="16"/>
        </w:rPr>
        <w:softHyphen/>
        <w:t>ли приказом №12 от 10.04.42. Новую производственную базу Кочеригину не предоставили, его конструкторское бю</w:t>
      </w:r>
      <w:r w:rsidRPr="008127F8">
        <w:rPr>
          <w:rFonts w:ascii="Times New Roman" w:hAnsi="Times New Roman"/>
          <w:color w:val="000000" w:themeColor="text1"/>
          <w:sz w:val="16"/>
          <w:szCs w:val="16"/>
        </w:rPr>
        <w:softHyphen/>
        <w:t>ро расформировали (20362).</w:t>
      </w:r>
    </w:p>
    <w:p w14:paraId="54C4C7EA" w14:textId="77777777" w:rsidR="0088597D" w:rsidRPr="008127F8" w:rsidRDefault="0088597D" w:rsidP="001E0A84">
      <w:pPr>
        <w:shd w:val="clear" w:color="auto" w:fill="FFFFFF"/>
        <w:spacing w:after="0" w:line="240" w:lineRule="auto"/>
        <w:jc w:val="both"/>
        <w:rPr>
          <w:rFonts w:ascii="Times New Roman" w:hAnsi="Times New Roman"/>
          <w:color w:val="000000" w:themeColor="text1"/>
          <w:sz w:val="16"/>
          <w:szCs w:val="16"/>
        </w:rPr>
      </w:pPr>
    </w:p>
    <w:p w14:paraId="1C364B94"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Кочеригин посылает план работ своего КБ в наркомат и просит предоставить хотя бы небольшую, но самостоятель</w:t>
      </w:r>
      <w:r w:rsidRPr="008127F8">
        <w:rPr>
          <w:rFonts w:ascii="Times New Roman" w:hAnsi="Times New Roman"/>
          <w:color w:val="000000" w:themeColor="text1"/>
          <w:sz w:val="16"/>
          <w:szCs w:val="16"/>
        </w:rPr>
        <w:softHyphen/>
        <w:t>ную производственную базу в Москве. В послании перво</w:t>
      </w:r>
      <w:r w:rsidRPr="008127F8">
        <w:rPr>
          <w:rFonts w:ascii="Times New Roman" w:hAnsi="Times New Roman"/>
          <w:color w:val="000000" w:themeColor="text1"/>
          <w:sz w:val="16"/>
          <w:szCs w:val="16"/>
        </w:rPr>
        <w:softHyphen/>
        <w:t>му замнаркома авиапромышленности П.В. Дементьеву он пишет, что процент готовности ОПБ составляет 95%, при</w:t>
      </w:r>
      <w:r w:rsidRPr="008127F8">
        <w:rPr>
          <w:rFonts w:ascii="Times New Roman" w:hAnsi="Times New Roman"/>
          <w:color w:val="000000" w:themeColor="text1"/>
          <w:sz w:val="16"/>
          <w:szCs w:val="16"/>
        </w:rPr>
        <w:softHyphen/>
        <w:t>чем самолет уже укомплектован работоспособным двига</w:t>
      </w:r>
      <w:r w:rsidRPr="008127F8">
        <w:rPr>
          <w:rFonts w:ascii="Times New Roman" w:hAnsi="Times New Roman"/>
          <w:color w:val="000000" w:themeColor="text1"/>
          <w:sz w:val="16"/>
          <w:szCs w:val="16"/>
        </w:rPr>
        <w:softHyphen/>
        <w:t>телем М-90. Судя по всему, Кочеригин готовился к летне</w:t>
      </w:r>
      <w:r w:rsidRPr="008127F8">
        <w:rPr>
          <w:rFonts w:ascii="Times New Roman" w:hAnsi="Times New Roman"/>
          <w:color w:val="000000" w:themeColor="text1"/>
          <w:sz w:val="16"/>
          <w:szCs w:val="16"/>
        </w:rPr>
        <w:softHyphen/>
        <w:t>му сезону и предполагал в 1942 г. облетать самолет. То есть он по-прежнему надеялся на М-90. Известно, что летом 1942 г. М-90 проходил госиспытания, а вообще работа над двигателем продолжалась вплоть до 1944 г. Од</w:t>
      </w:r>
      <w:r w:rsidRPr="008127F8">
        <w:rPr>
          <w:rFonts w:ascii="Times New Roman" w:hAnsi="Times New Roman"/>
          <w:color w:val="000000" w:themeColor="text1"/>
          <w:sz w:val="16"/>
          <w:szCs w:val="16"/>
        </w:rPr>
        <w:softHyphen/>
        <w:t>новременно, уже в начале 1942 г. начались более актив</w:t>
      </w:r>
      <w:r w:rsidRPr="008127F8">
        <w:rPr>
          <w:rFonts w:ascii="Times New Roman" w:hAnsi="Times New Roman"/>
          <w:color w:val="000000" w:themeColor="text1"/>
          <w:sz w:val="16"/>
          <w:szCs w:val="16"/>
        </w:rPr>
        <w:softHyphen/>
        <w:t>ные переработки кочеригинского пикировщика под двига</w:t>
      </w:r>
      <w:r w:rsidRPr="008127F8">
        <w:rPr>
          <w:rFonts w:ascii="Times New Roman" w:hAnsi="Times New Roman"/>
          <w:color w:val="000000" w:themeColor="text1"/>
          <w:sz w:val="16"/>
          <w:szCs w:val="16"/>
        </w:rPr>
        <w:softHyphen/>
        <w:t>тель М-71. Были разработаны новые отъемные части кры</w:t>
      </w:r>
      <w:r w:rsidRPr="008127F8">
        <w:rPr>
          <w:rFonts w:ascii="Times New Roman" w:hAnsi="Times New Roman"/>
          <w:color w:val="000000" w:themeColor="text1"/>
          <w:sz w:val="16"/>
          <w:szCs w:val="16"/>
        </w:rPr>
        <w:softHyphen/>
        <w:t>ла из дерева, было усилено бронирование, пулеметы БС заменены на пушки ШВАК, а ШКАС — на БС.</w:t>
      </w:r>
    </w:p>
    <w:p w14:paraId="69FE31FF"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тем, чуда не произошло - довести самолет до по</w:t>
      </w:r>
      <w:r w:rsidRPr="008127F8">
        <w:rPr>
          <w:rFonts w:ascii="Times New Roman" w:hAnsi="Times New Roman"/>
          <w:color w:val="000000" w:themeColor="text1"/>
          <w:sz w:val="16"/>
          <w:szCs w:val="16"/>
        </w:rPr>
        <w:softHyphen/>
        <w:t>летного состояния не удалось. Завод №135 ликвидирова</w:t>
      </w:r>
      <w:r w:rsidRPr="008127F8">
        <w:rPr>
          <w:rFonts w:ascii="Times New Roman" w:hAnsi="Times New Roman"/>
          <w:color w:val="000000" w:themeColor="text1"/>
          <w:sz w:val="16"/>
          <w:szCs w:val="16"/>
        </w:rPr>
        <w:softHyphen/>
        <w:t>ли приказом №12 от 10.04.42. Новую производственную базу Кочеригину не предоставили, его конструкторское бю</w:t>
      </w:r>
      <w:r w:rsidRPr="008127F8">
        <w:rPr>
          <w:rFonts w:ascii="Times New Roman" w:hAnsi="Times New Roman"/>
          <w:color w:val="000000" w:themeColor="text1"/>
          <w:sz w:val="16"/>
          <w:szCs w:val="16"/>
        </w:rPr>
        <w:softHyphen/>
        <w:t>ро расформировали (20362).</w:t>
      </w:r>
    </w:p>
    <w:p w14:paraId="57D0FD8B" w14:textId="77777777" w:rsidR="0088597D" w:rsidRPr="008127F8" w:rsidRDefault="0088597D" w:rsidP="001E0A84">
      <w:pPr>
        <w:shd w:val="clear" w:color="auto" w:fill="FFFFFF"/>
        <w:spacing w:after="0" w:line="240" w:lineRule="auto"/>
        <w:jc w:val="both"/>
        <w:rPr>
          <w:rFonts w:ascii="Times New Roman" w:hAnsi="Times New Roman"/>
          <w:color w:val="000000" w:themeColor="text1"/>
          <w:sz w:val="16"/>
          <w:szCs w:val="16"/>
        </w:rPr>
      </w:pPr>
    </w:p>
    <w:p w14:paraId="364F32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748-м полку инженер Ю.П.Знаменский создал люковую установку под пулемет УБТ для ДБ-3Ф. В ней использовали удлиненную и уширенную раму от МВ-2, а также лафет, патронный ящик и удлиненный рукав питания от ЛУ Пе-2. Боезапас составлял 250 патронов. Установку испытали в бою и остались ею довольны. Командование АДД упорно пыталось добиться внедрения этой установки на серийных самолетах, но ОКБ Ильюшина столь же упорно противилось этому, опасаясь, что сдвиг центровки назад (новая установка была на 70 кг тяжелее МВ-2) еще больше ухудшит и без того не очень приятные пилотажные качества Ил-4. Но в полках продолжали монтировать УБТ и в люковой установке (7666).</w:t>
      </w:r>
    </w:p>
    <w:p w14:paraId="174AFF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AA99D" w14:textId="77777777" w:rsidR="00C576C1" w:rsidRPr="008A2E5A" w:rsidRDefault="00C576C1" w:rsidP="00C576C1">
      <w:pPr>
        <w:spacing w:after="0" w:line="240" w:lineRule="auto"/>
        <w:jc w:val="both"/>
        <w:rPr>
          <w:rFonts w:ascii="Times New Roman" w:hAnsi="Times New Roman"/>
          <w:color w:val="0070C0"/>
          <w:sz w:val="16"/>
          <w:szCs w:val="16"/>
        </w:rPr>
      </w:pPr>
      <w:bookmarkStart w:id="19" w:name="_Hlk144994330"/>
      <w:r w:rsidRPr="008A2E5A">
        <w:rPr>
          <w:rFonts w:ascii="Times New Roman" w:hAnsi="Times New Roman"/>
          <w:color w:val="0070C0"/>
          <w:sz w:val="16"/>
          <w:szCs w:val="16"/>
        </w:rPr>
        <w:t xml:space="preserve">В феврале 1942 года войсковые испытания нижней люковой установки в 748-м АП ДД подтвердили ее надежность, но она слишком смещала назад центр масс. К тому же таких установок не хватало и для Пе-2, и Ильюшиным было принято решение внедрить ее одновременно с крылом «со стрелкой» и новыми более мощными моторами </w:t>
      </w:r>
      <w:bookmarkEnd w:id="19"/>
      <w:r w:rsidRPr="008A2E5A">
        <w:rPr>
          <w:rFonts w:ascii="Times New Roman" w:hAnsi="Times New Roman"/>
          <w:color w:val="0070C0"/>
          <w:sz w:val="16"/>
          <w:szCs w:val="16"/>
        </w:rPr>
        <w:t>(24139).</w:t>
      </w:r>
    </w:p>
    <w:p w14:paraId="0FB9DE01" w14:textId="77777777" w:rsidR="00C576C1" w:rsidRPr="008A2E5A" w:rsidRDefault="00C576C1" w:rsidP="00C576C1">
      <w:pPr>
        <w:spacing w:after="0" w:line="240" w:lineRule="auto"/>
        <w:jc w:val="both"/>
        <w:rPr>
          <w:rFonts w:ascii="Times New Roman" w:hAnsi="Times New Roman"/>
          <w:color w:val="0070C0"/>
          <w:sz w:val="16"/>
          <w:szCs w:val="16"/>
        </w:rPr>
      </w:pPr>
    </w:p>
    <w:p w14:paraId="334477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748-м полку инженер Ю.П. Знаменский создал люковую установку под пулемет УБТ. В ней использовали удлиненную и уширенную раму от МВ-2, а также лафет, патронный ящик и удлиненный рукав питания от ЛУ Пе-2. Боезапас составлял 250 патронов. Установку испытали в бою и остались ей довольны.</w:t>
      </w:r>
    </w:p>
    <w:p w14:paraId="64ADF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 АДД упорно пыталось добиться внедрения этой установки на серийных самолетах, но Ильюшин столь же упорно противился этому, боясь, что сдвиг центровки назад (новая установка была на 70 кг тяжелее МВ-2) еще ухудшит и без того не очень приятные пилотажные качества Ил-4.</w:t>
      </w:r>
    </w:p>
    <w:p w14:paraId="01DA89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в полках продолжали монтировать УБТ и в люковой установке.</w:t>
      </w:r>
    </w:p>
    <w:p w14:paraId="37EA09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Трех пулеметов ШКАС для начала 1942 г. уже было недостаточно. Сперва в полках АДД появились кустарные установки крупнокалиберного пулемета УБТ в турели МВ-3. По-</w:t>
      </w:r>
      <w:proofErr w:type="gramStart"/>
      <w:r w:rsidRPr="008127F8">
        <w:rPr>
          <w:rFonts w:ascii="Times New Roman" w:hAnsi="Times New Roman"/>
          <w:color w:val="000000" w:themeColor="text1"/>
          <w:sz w:val="16"/>
          <w:szCs w:val="16"/>
        </w:rPr>
        <w:t>види- мому</w:t>
      </w:r>
      <w:proofErr w:type="gramEnd"/>
      <w:r w:rsidRPr="008127F8">
        <w:rPr>
          <w:rFonts w:ascii="Times New Roman" w:hAnsi="Times New Roman"/>
          <w:color w:val="000000" w:themeColor="text1"/>
          <w:sz w:val="16"/>
          <w:szCs w:val="16"/>
        </w:rPr>
        <w:t>, первой их начала использовать 3-я дивизия АДД. С весны вместо верхней турели МВ-3 стали ставить УТК-1 с крупнокалиберным пулеметом УБТ и запасом в 200 патронов к нему. УТК-1 являлась переделкой той же МВ-3, осуществленной под руководством инженера Шебанова. Ранние УТК-1 часто использовали детали и узлы разобранных МВ-3. Поэтому частям предписывалось при получении УТК-1 старые турели отправлять обратно на завод.</w:t>
      </w:r>
    </w:p>
    <w:p w14:paraId="287F8E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Усиление огневой мощи сразу заставило немецкие ночные истребители держаться подальше и, соответственно, понизило эффективность их стрельбы.</w:t>
      </w:r>
    </w:p>
    <w:p w14:paraId="408D73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1942 г. ВВС предложили ставить внизу крупнокалиберный пулемет с боезапасом в 300 патронов на серийных заводах, а наверху - 20-мм пушку ШВАК, но НКАП не пошел на это. Подобные установки кустарно монтировались на отдельных самолетах. Зато с июля к вооружению некоторых Ил-4 добавился гранатомет ДАГ-10. Он выбрасывал фанаты АГ-2, снабженные парашютом. Такая граната через три-четыре секунды разрывалась за хвостом бомбардировщика, эффективно "выкуривая" немецкие истребители из излюбленной позиции за хвостом.</w:t>
      </w:r>
    </w:p>
    <w:p w14:paraId="0D8BF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Все эти мероприятия стабильно поднимали взлетный вес самолета. Соответственно падала максимальная скорость и затягивался взлет. С целью борьбы с последним ввели промежуточное (взлетное) положение щитков. На самолетах завода № 126 фиксацию щитков под углом 17° внедрили на 101-й серии. На взлете щитки убирались после достижения скорости 160-200 км/ч. Разбег действительно сократился, но зато усилилась и без того неуемная тенденция к развороту на взлете (12021).</w:t>
      </w:r>
    </w:p>
    <w:p w14:paraId="4E9E06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665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748-м полку инже</w:t>
      </w:r>
      <w:r w:rsidRPr="008127F8">
        <w:rPr>
          <w:rFonts w:ascii="Times New Roman" w:hAnsi="Times New Roman"/>
          <w:color w:val="000000" w:themeColor="text1"/>
          <w:sz w:val="16"/>
          <w:szCs w:val="16"/>
        </w:rPr>
        <w:softHyphen/>
        <w:t>нер Ю.П. Знаменский создал люковую установку под пулемет УБТ. В ней ис</w:t>
      </w:r>
      <w:r w:rsidRPr="008127F8">
        <w:rPr>
          <w:rFonts w:ascii="Times New Roman" w:hAnsi="Times New Roman"/>
          <w:color w:val="000000" w:themeColor="text1"/>
          <w:sz w:val="16"/>
          <w:szCs w:val="16"/>
        </w:rPr>
        <w:softHyphen/>
        <w:t>пользовали удлиненную и уширенную раму от МВ-2, а также лафет, патрон</w:t>
      </w:r>
      <w:r w:rsidRPr="008127F8">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8127F8">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364003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DD075C" w14:textId="77777777" w:rsidR="001852A6" w:rsidRPr="008127F8" w:rsidRDefault="001852A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 Иркутске приступили к разработке второго варианта Пе-3бис. Уже в апреле месяце была изготовлена первая головная машина, которую поднял в воздух летчик-испытатель завода Н.К. Федоров. Затем машину отправили в НИИ ВВС для прохождения Государственных испытаний. Отличия Пе-3бис от первого варианта заключались в следующем: из носовой части изъяли пулеметы УБК и разместили их под центропланом на месте прежнего бомбоотсека, причем оба УБК закрепили на общей раме, закрытой легким люком. Пушка ШВАК осталась в носовой части. У штурмана установили турель Торопова в варианте ВУБ-1. Усилили бронезащиту: спереди летчика прикрыли отдельными бронеплитами от 4 до 6,5 мм, бронеспинку сидения выполнили из 13 мм стали, забронировали также нижний люк кабины экипажа. От остекления в носовой части оставили лишь небольшой смотровой люк перед штурманом для прицеливания при бомбометании в горизонтальном полете. В хвостовой части фюзеляжа установили дополнительные бензобаки. Нормальная полетная масса второго варианта составляла 8002 кг. Максимальная скорость у земли – 438 км/ч, на высоте – до 527 км/ч. За боевой разворот самолет набирал 540 метров, время виража на высоте 1000 метров составляло 30 секунд, а высоту 5000 метров истребитель набирал за 9,65 минут. Эти летно-технические данные считались типовыми для серийного Пе-3бис образца 1942 года. В серию истребитель запустили в мае 1942 года. В том же месяце из деталей, привезенных из Москвы, собрали еще 11 Пе-3 (15223).</w:t>
      </w:r>
    </w:p>
    <w:p w14:paraId="4A70451D" w14:textId="77777777" w:rsidR="001852A6" w:rsidRPr="008127F8" w:rsidRDefault="001852A6" w:rsidP="001E0A84">
      <w:pPr>
        <w:shd w:val="clear" w:color="auto" w:fill="FFFFFF"/>
        <w:spacing w:after="0" w:line="240" w:lineRule="auto"/>
        <w:jc w:val="both"/>
        <w:rPr>
          <w:rFonts w:ascii="Times New Roman" w:hAnsi="Times New Roman"/>
          <w:color w:val="000000" w:themeColor="text1"/>
          <w:sz w:val="16"/>
          <w:szCs w:val="16"/>
        </w:rPr>
      </w:pPr>
    </w:p>
    <w:p w14:paraId="036AA1B6"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с 64-й серии выпуска Пе-2 емкость топливной системы увеличили с 1 000 до 1 484 л и повысили ее надежность, а вместо шаровых боковых огневых установок установили шкворневые, сократив время перекладки пулемета ШКАС из одной в другую до 30 с. Но не все доработки были столь удачны. Попытка сэкономить на экранировке электропроводки в центроплане на 75-й серии ухудшила качество радиосвязи и с 76-й серии ее восстановили. На 80-й серии поставили броню для штурмана и стрелка, но больше нареканий вызывала слабость огня и неудобство верхней турели ТСС-1, для изготовки к стрельбе которой надо было открывать заднюю часть остекления кабины — «черепаху». Дошло до того, что строевой летчик на торжественном митинге по случаю приема очередных «Пешек» сказал об этом вслух.</w:t>
      </w:r>
    </w:p>
    <w:p w14:paraId="2CCA747F"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Инженеры ОКБ-22 Селяков и Чугунов со слесарем Архиповым из деталей нижней огневой установки МВ-2 за 10 дней собрали более удобную турель, названную ФТ — «Фронтовое требование». Ее поставили на нескольких серийных Пе-2 и испытали в 30-м СБАП и 40-м ОДРАП, получили одобрение Научно-испытательного института ВВС и заводских военпредов и запустили в производство без остальных формальностей.</w:t>
      </w:r>
    </w:p>
    <w:p w14:paraId="6DE3FA82" w14:textId="77777777" w:rsidR="0088597D" w:rsidRPr="008127F8" w:rsidRDefault="0088597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 ФТ не помещалась под «черепаху» остекления кабины, ее пришлось снять, и максимальная скорость упала. Хотя в боевом положении верхнего пулемета разницы не было, начальник 10-го Главка НКАП Тарасевич запретил ее внедрение и урезонивать его пришлось на уровне ЦК ВКП (б). Партийное вмешательство помогло, и ФТ стали ставить с 83-й серии на отдельные Пе-2, а с 87-й серии — на все машины (22828).</w:t>
      </w:r>
    </w:p>
    <w:p w14:paraId="5E0E4D47" w14:textId="77777777" w:rsidR="0088597D" w:rsidRPr="008127F8" w:rsidRDefault="0088597D" w:rsidP="001E0A84">
      <w:pPr>
        <w:spacing w:after="0" w:line="240" w:lineRule="auto"/>
        <w:jc w:val="both"/>
        <w:rPr>
          <w:rFonts w:ascii="Times New Roman" w:hAnsi="Times New Roman"/>
          <w:color w:val="000000" w:themeColor="text1"/>
          <w:sz w:val="16"/>
          <w:szCs w:val="16"/>
        </w:rPr>
      </w:pPr>
    </w:p>
    <w:p w14:paraId="5631D3C4"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февраля 1942 г. Пе-2 с сер. 64 (с 1170-й серийной машины завода № 22 выпуска):</w:t>
      </w:r>
    </w:p>
    <w:p w14:paraId="5095EF2D"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количество бензобаков уменьшили с 11 (по др. данным – с пяти, 1000 л) до 9 (запас топлива с 9-ю баками был больше – 1484 л);</w:t>
      </w:r>
    </w:p>
    <w:p w14:paraId="23057D8C"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для бесперебойного питания моторов топливом ввели дополнительные трубопроводы;</w:t>
      </w:r>
    </w:p>
    <w:p w14:paraId="24AE226D"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установили суммирующий бензиномер СБЭ-309;</w:t>
      </w:r>
    </w:p>
    <w:p w14:paraId="476B7CC6"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вместо шаровых боковых установок ШКАС установили шкворневые (при этом время перекладки пулемета уменьшилось до 30 с);</w:t>
      </w:r>
    </w:p>
    <w:p w14:paraId="019E9538"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введены общий выключатель и предохранитель бортовых измерительных приборов (23565).</w:t>
      </w:r>
    </w:p>
    <w:p w14:paraId="3BCF3E4A" w14:textId="77777777" w:rsidR="00497A37" w:rsidRPr="008A2E5A" w:rsidRDefault="00497A37" w:rsidP="00497A37">
      <w:pPr>
        <w:spacing w:after="0" w:line="240" w:lineRule="auto"/>
        <w:jc w:val="both"/>
        <w:rPr>
          <w:rFonts w:ascii="Times New Roman" w:hAnsi="Times New Roman"/>
          <w:color w:val="0070C0"/>
          <w:sz w:val="16"/>
          <w:szCs w:val="16"/>
        </w:rPr>
      </w:pPr>
    </w:p>
    <w:p w14:paraId="50184A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Н.Н.П. подключил к определению характеристик НБ специалистов ЦАГИ, эвакуированных в Новосибирск (4621, 20).</w:t>
      </w:r>
    </w:p>
    <w:p w14:paraId="4EF17F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708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когда ДВБ-102 был подготовлен к летным испытаниям из НИИ ВВС прибыл л В.И.Жданов. При попытке первого вылета столкнулись с шимми шасси (3337,13).</w:t>
      </w:r>
    </w:p>
    <w:p w14:paraId="20079F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самолет, едва начав свой первый разбег, вдруг стал раскачиваться из стороны в сторону с нарастающей амплитудой. Л вспомнил последние напутствия главного конструктора и убрал газ и начал торможение. После осмотра специалисты сделают вывод: еще несколько секунд и передняя стойка могла сломаться. Только самообладание и быстрая реакция летчика позволили предотвратить аварию, спасти опытный экземпляр бомбардировщика ДВБ-102 - самолета (3337).</w:t>
      </w:r>
    </w:p>
    <w:p w14:paraId="5F8FB3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5EBE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В.И. Жданова командирова</w:t>
      </w:r>
      <w:r w:rsidRPr="008127F8">
        <w:rPr>
          <w:rFonts w:ascii="Times New Roman" w:hAnsi="Times New Roman"/>
          <w:color w:val="000000" w:themeColor="text1"/>
          <w:sz w:val="16"/>
          <w:szCs w:val="16"/>
        </w:rPr>
        <w:softHyphen/>
        <w:t>ли в Омск для проведения летных испытаний ДВБ-102. Хорошо знакомый с проектом бомбовоза, участвовав</w:t>
      </w:r>
      <w:r w:rsidRPr="008127F8">
        <w:rPr>
          <w:rFonts w:ascii="Times New Roman" w:hAnsi="Times New Roman"/>
          <w:color w:val="000000" w:themeColor="text1"/>
          <w:sz w:val="16"/>
          <w:szCs w:val="16"/>
        </w:rPr>
        <w:softHyphen/>
        <w:t>ший в работе макетной комиссии, Валериан Иванович не ожидал эффекта, который произвел на него вопло</w:t>
      </w:r>
      <w:r w:rsidRPr="008127F8">
        <w:rPr>
          <w:rFonts w:ascii="Times New Roman" w:hAnsi="Times New Roman"/>
          <w:color w:val="000000" w:themeColor="text1"/>
          <w:sz w:val="16"/>
          <w:szCs w:val="16"/>
        </w:rPr>
        <w:softHyphen/>
        <w:t>щенный в металл самолет.</w:t>
      </w:r>
    </w:p>
    <w:p w14:paraId="5D97AB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День подходил к концу, когда в лучах заходящего солнца показался «транспорт» из Свердловска. Само</w:t>
      </w:r>
      <w:r w:rsidRPr="008127F8">
        <w:rPr>
          <w:rFonts w:ascii="Times New Roman" w:hAnsi="Times New Roman"/>
          <w:color w:val="000000" w:themeColor="text1"/>
          <w:sz w:val="16"/>
          <w:szCs w:val="16"/>
        </w:rPr>
        <w:softHyphen/>
        <w:t>лет зарулил на стоянку, остановив свой бег возле не</w:t>
      </w:r>
      <w:r w:rsidRPr="008127F8">
        <w:rPr>
          <w:rFonts w:ascii="Times New Roman" w:hAnsi="Times New Roman"/>
          <w:color w:val="000000" w:themeColor="text1"/>
          <w:sz w:val="16"/>
          <w:szCs w:val="16"/>
        </w:rPr>
        <w:softHyphen/>
        <w:t>привычного взгляду летательного аппарата с высоко поднятым хвостом. Разминая отекшие после длитель</w:t>
      </w:r>
      <w:r w:rsidRPr="008127F8">
        <w:rPr>
          <w:rFonts w:ascii="Times New Roman" w:hAnsi="Times New Roman"/>
          <w:color w:val="000000" w:themeColor="text1"/>
          <w:sz w:val="16"/>
          <w:szCs w:val="16"/>
        </w:rPr>
        <w:softHyphen/>
        <w:t>ного полета ноги, летчик обошел зачехленный даль ний высотный бомбардировщик и подумал: «Так вот ты какой, мой будущий крестник». Спустя несколько дней, выслушав последние наставления ведущего инженера, экипаж ДВБ-102 занял свои места в самолете, предва</w:t>
      </w:r>
      <w:r w:rsidRPr="008127F8">
        <w:rPr>
          <w:rFonts w:ascii="Times New Roman" w:hAnsi="Times New Roman"/>
          <w:color w:val="000000" w:themeColor="text1"/>
          <w:sz w:val="16"/>
          <w:szCs w:val="16"/>
        </w:rPr>
        <w:softHyphen/>
        <w:t>рительно отбуксированном к дальнему краю бетони</w:t>
      </w:r>
      <w:r w:rsidRPr="008127F8">
        <w:rPr>
          <w:rFonts w:ascii="Times New Roman" w:hAnsi="Times New Roman"/>
          <w:color w:val="000000" w:themeColor="text1"/>
          <w:sz w:val="16"/>
          <w:szCs w:val="16"/>
        </w:rPr>
        <w:softHyphen/>
        <w:t>рованной стоянки, временно превращенной во взлет</w:t>
      </w:r>
      <w:r w:rsidRPr="008127F8">
        <w:rPr>
          <w:rFonts w:ascii="Times New Roman" w:hAnsi="Times New Roman"/>
          <w:color w:val="000000" w:themeColor="text1"/>
          <w:sz w:val="16"/>
          <w:szCs w:val="16"/>
        </w:rPr>
        <w:softHyphen/>
        <w:t>ную полосу.</w:t>
      </w:r>
    </w:p>
    <w:p w14:paraId="1E992C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самолет, едва начав свой первый разбег, вдруг стал раскачиваться из стороны в сторону с нарас</w:t>
      </w:r>
      <w:r w:rsidRPr="008127F8">
        <w:rPr>
          <w:rFonts w:ascii="Times New Roman" w:hAnsi="Times New Roman"/>
          <w:color w:val="000000" w:themeColor="text1"/>
          <w:sz w:val="16"/>
          <w:szCs w:val="16"/>
        </w:rPr>
        <w:softHyphen/>
        <w:t>тающей амплитудой. «Шимми» — это короткое слово, заимствованное от модного в 1930-х годах танца, мол</w:t>
      </w:r>
      <w:r w:rsidRPr="008127F8">
        <w:rPr>
          <w:rFonts w:ascii="Times New Roman" w:hAnsi="Times New Roman"/>
          <w:color w:val="000000" w:themeColor="text1"/>
          <w:sz w:val="16"/>
          <w:szCs w:val="16"/>
        </w:rPr>
        <w:softHyphen/>
        <w:t>нией пронеслось в голове летчика. Вспомнились по</w:t>
      </w:r>
      <w:r w:rsidRPr="008127F8">
        <w:rPr>
          <w:rFonts w:ascii="Times New Roman" w:hAnsi="Times New Roman"/>
          <w:color w:val="000000" w:themeColor="text1"/>
          <w:sz w:val="16"/>
          <w:szCs w:val="16"/>
        </w:rPr>
        <w:softHyphen/>
        <w:t>следние напутствия главного конструктора, и рука бы</w:t>
      </w:r>
      <w:r w:rsidRPr="008127F8">
        <w:rPr>
          <w:rFonts w:ascii="Times New Roman" w:hAnsi="Times New Roman"/>
          <w:color w:val="000000" w:themeColor="text1"/>
          <w:sz w:val="16"/>
          <w:szCs w:val="16"/>
        </w:rPr>
        <w:softHyphen/>
        <w:t>стро потянулась к секторам газа, взвизгнули тормоза. Бомбардировщик еще не успел остановиться, а к нему со всех сторон бежали люди.</w:t>
      </w:r>
    </w:p>
    <w:p w14:paraId="755C506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осмотра специалисты сделают вывод: еще несколько секунд и передняя стойка могла сломаться. Только самообладание и быстрая реакция летчика по</w:t>
      </w:r>
      <w:r w:rsidRPr="008127F8">
        <w:rPr>
          <w:rFonts w:ascii="Times New Roman" w:hAnsi="Times New Roman"/>
          <w:color w:val="000000" w:themeColor="text1"/>
          <w:sz w:val="16"/>
          <w:szCs w:val="16"/>
        </w:rPr>
        <w:softHyphen/>
        <w:t>зволили предотвратить аварию, спасти опытный эк</w:t>
      </w:r>
      <w:r w:rsidRPr="008127F8">
        <w:rPr>
          <w:rFonts w:ascii="Times New Roman" w:hAnsi="Times New Roman"/>
          <w:color w:val="000000" w:themeColor="text1"/>
          <w:sz w:val="16"/>
          <w:szCs w:val="16"/>
        </w:rPr>
        <w:softHyphen/>
        <w:t>земпляр бомбардировщика ДВБ-102 — самолета, о ко</w:t>
      </w:r>
      <w:r w:rsidRPr="008127F8">
        <w:rPr>
          <w:rFonts w:ascii="Times New Roman" w:hAnsi="Times New Roman"/>
          <w:color w:val="000000" w:themeColor="text1"/>
          <w:sz w:val="16"/>
          <w:szCs w:val="16"/>
        </w:rPr>
        <w:softHyphen/>
        <w:t>тором впоследствии будут много писать, не забывая при этом награждать эпитетами: «впервые в отечест</w:t>
      </w:r>
      <w:r w:rsidRPr="008127F8">
        <w:rPr>
          <w:rFonts w:ascii="Times New Roman" w:hAnsi="Times New Roman"/>
          <w:color w:val="000000" w:themeColor="text1"/>
          <w:sz w:val="16"/>
          <w:szCs w:val="16"/>
        </w:rPr>
        <w:softHyphen/>
        <w:t>венной практике», «не имеющий аналогов» (11446).</w:t>
      </w:r>
    </w:p>
    <w:p w14:paraId="7184E8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C6D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Ковровский завод получил задание по освоению серийного производства пушек ВЯ А.А.Волкова и С.Я.Ярцева для Ил-2 (1857,102).</w:t>
      </w:r>
    </w:p>
    <w:p w14:paraId="47A2EE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47B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 поднят вопрос о переносе серии Ту-2 из Омска (166 завод) в Казань на 22. А.Н.Т. ездил в Москву пытаясь доказать ошибочность этого решения, так как оно означало фактически прекращение серии (1835,24).</w:t>
      </w:r>
    </w:p>
    <w:p w14:paraId="512546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6DFBD" w14:textId="77777777" w:rsidR="0088597D" w:rsidRPr="008127F8" w:rsidRDefault="0088597D"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феврале 1942 г. Наркомату внешней торговли (НКВТ) предписали выяснить возможность закупки для нового бомбар</w:t>
      </w:r>
      <w:r w:rsidRPr="008127F8">
        <w:rPr>
          <w:rFonts w:ascii="Times New Roman" w:hAnsi="Times New Roman"/>
          <w:color w:val="000000" w:themeColor="text1"/>
          <w:sz w:val="16"/>
          <w:szCs w:val="16"/>
          <w:lang w:eastAsia="ru-RU" w:bidi="ru-RU"/>
        </w:rPr>
        <w:softHyphen/>
        <w:t>дировщика 103ВС колес в США (21061).</w:t>
      </w:r>
    </w:p>
    <w:p w14:paraId="7DF227EE" w14:textId="77777777" w:rsidR="0088597D" w:rsidRPr="008127F8" w:rsidRDefault="0088597D" w:rsidP="001E0A84">
      <w:pPr>
        <w:spacing w:after="0" w:line="240" w:lineRule="auto"/>
        <w:jc w:val="both"/>
        <w:rPr>
          <w:rFonts w:ascii="Times New Roman" w:hAnsi="Times New Roman"/>
          <w:color w:val="000000" w:themeColor="text1"/>
          <w:sz w:val="16"/>
          <w:szCs w:val="16"/>
        </w:rPr>
      </w:pPr>
    </w:p>
    <w:p w14:paraId="1DFDAC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на 166 заводе был выпущен головной серийный 103, получивший индекс 103ВС (1835,20).</w:t>
      </w:r>
    </w:p>
    <w:p w14:paraId="27C513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554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 готов Як-7В (1046,37).</w:t>
      </w:r>
    </w:p>
    <w:p w14:paraId="51C724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D49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 сделан вывозной вариант Як-7 с неубирающимся шасси (196,18).</w:t>
      </w:r>
    </w:p>
    <w:p w14:paraId="7BA765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65F40"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 ОКБ А.С. Яков</w:t>
      </w:r>
      <w:r w:rsidRPr="008A2E5A">
        <w:rPr>
          <w:rFonts w:ascii="Times New Roman" w:hAnsi="Times New Roman"/>
          <w:color w:val="0070C0"/>
          <w:sz w:val="16"/>
          <w:szCs w:val="16"/>
        </w:rPr>
        <w:softHyphen/>
        <w:t>лева срочным порядком представило на совместные заводские и государ</w:t>
      </w:r>
      <w:r w:rsidRPr="008A2E5A">
        <w:rPr>
          <w:rFonts w:ascii="Times New Roman" w:hAnsi="Times New Roman"/>
          <w:color w:val="0070C0"/>
          <w:sz w:val="16"/>
          <w:szCs w:val="16"/>
        </w:rPr>
        <w:softHyphen/>
        <w:t>ственные испытания одну из ма</w:t>
      </w:r>
      <w:r w:rsidRPr="008A2E5A">
        <w:rPr>
          <w:rFonts w:ascii="Times New Roman" w:hAnsi="Times New Roman"/>
          <w:color w:val="0070C0"/>
          <w:sz w:val="16"/>
          <w:szCs w:val="16"/>
        </w:rPr>
        <w:softHyphen/>
        <w:t>шин Як-7В №1540, модифицированных в вывозной самолет. В отличие от учебно-боевых и бо</w:t>
      </w:r>
      <w:r w:rsidRPr="008A2E5A">
        <w:rPr>
          <w:rFonts w:ascii="Times New Roman" w:hAnsi="Times New Roman"/>
          <w:color w:val="0070C0"/>
          <w:sz w:val="16"/>
          <w:szCs w:val="16"/>
        </w:rPr>
        <w:softHyphen/>
        <w:t>евых Як-7 неубирающееся шасси вывозного вариан</w:t>
      </w:r>
      <w:r w:rsidRPr="008A2E5A">
        <w:rPr>
          <w:rFonts w:ascii="Times New Roman" w:hAnsi="Times New Roman"/>
          <w:color w:val="0070C0"/>
          <w:sz w:val="16"/>
          <w:szCs w:val="16"/>
        </w:rPr>
        <w:softHyphen/>
        <w:t>та устанавливалось с устранением всех его несоосностей: ось шкворня амортстоек основных опор и пло</w:t>
      </w:r>
      <w:r w:rsidRPr="008A2E5A">
        <w:rPr>
          <w:rFonts w:ascii="Times New Roman" w:hAnsi="Times New Roman"/>
          <w:color w:val="0070C0"/>
          <w:sz w:val="16"/>
          <w:szCs w:val="16"/>
        </w:rPr>
        <w:softHyphen/>
        <w:t>скость вращения колеса выполнили параллельными плоскости симметрии самолета. Вместо ниш шасси на нижней поверхности крыла оставили несколько лю</w:t>
      </w:r>
      <w:r w:rsidRPr="008A2E5A">
        <w:rPr>
          <w:rFonts w:ascii="Times New Roman" w:hAnsi="Times New Roman"/>
          <w:color w:val="0070C0"/>
          <w:sz w:val="16"/>
          <w:szCs w:val="16"/>
        </w:rPr>
        <w:softHyphen/>
        <w:t>ков для осмотра узлов крепления шасси и крыла. Хво</w:t>
      </w:r>
      <w:r w:rsidRPr="008A2E5A">
        <w:rPr>
          <w:rFonts w:ascii="Times New Roman" w:hAnsi="Times New Roman"/>
          <w:color w:val="0070C0"/>
          <w:sz w:val="16"/>
          <w:szCs w:val="16"/>
        </w:rPr>
        <w:softHyphen/>
        <w:t>стовое колесо также выполнили неубирающимся и уве</w:t>
      </w:r>
      <w:r w:rsidRPr="008A2E5A">
        <w:rPr>
          <w:rFonts w:ascii="Times New Roman" w:hAnsi="Times New Roman"/>
          <w:color w:val="0070C0"/>
          <w:sz w:val="16"/>
          <w:szCs w:val="16"/>
        </w:rPr>
        <w:softHyphen/>
        <w:t>личили его размер (исходя из опыта эксплуатации) до 300x125 мм. По сравнению с учебным вариантом Як-7 существенным образом улучшили рабочее место ин</w:t>
      </w:r>
      <w:r w:rsidRPr="008A2E5A">
        <w:rPr>
          <w:rFonts w:ascii="Times New Roman" w:hAnsi="Times New Roman"/>
          <w:color w:val="0070C0"/>
          <w:sz w:val="16"/>
          <w:szCs w:val="16"/>
        </w:rPr>
        <w:softHyphen/>
        <w:t>структора. Для удобства посадки в кабину установили подножку в нижнем заднем зализе крыла, а в самой ка</w:t>
      </w:r>
      <w:r w:rsidRPr="008A2E5A">
        <w:rPr>
          <w:rFonts w:ascii="Times New Roman" w:hAnsi="Times New Roman"/>
          <w:color w:val="0070C0"/>
          <w:sz w:val="16"/>
          <w:szCs w:val="16"/>
        </w:rPr>
        <w:softHyphen/>
        <w:t>бине - такие же поручни над приборной доской, как и в передней кабине. Педали ножного управления опустили на 35 мм. Приборная доска инструктора пополнилась термометрами масла и воды, а управление - специальным краном, позволяющими инструктору от</w:t>
      </w:r>
      <w:r w:rsidRPr="008A2E5A">
        <w:rPr>
          <w:rFonts w:ascii="Times New Roman" w:hAnsi="Times New Roman"/>
          <w:color w:val="0070C0"/>
          <w:sz w:val="16"/>
          <w:szCs w:val="16"/>
        </w:rPr>
        <w:softHyphen/>
        <w:t>ключить управление тормозами из передней кабины. Кроме того, для уменьшения полетного веса с самоле</w:t>
      </w:r>
      <w:r w:rsidRPr="008A2E5A">
        <w:rPr>
          <w:rFonts w:ascii="Times New Roman" w:hAnsi="Times New Roman"/>
          <w:color w:val="0070C0"/>
          <w:sz w:val="16"/>
          <w:szCs w:val="16"/>
        </w:rPr>
        <w:softHyphen/>
        <w:t>та сняли установку вооружения и проводку управления огнем, бронеспинку, управление триммерами руля по</w:t>
      </w:r>
      <w:r w:rsidRPr="008A2E5A">
        <w:rPr>
          <w:rFonts w:ascii="Times New Roman" w:hAnsi="Times New Roman"/>
          <w:color w:val="0070C0"/>
          <w:sz w:val="16"/>
          <w:szCs w:val="16"/>
        </w:rPr>
        <w:softHyphen/>
        <w:t>ворота и элеронов (заменены, как на Як-1, регулиру</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ющимися на земле), кислородное оборудование, ге</w:t>
      </w:r>
      <w:r w:rsidRPr="008A2E5A">
        <w:rPr>
          <w:rFonts w:ascii="Times New Roman" w:hAnsi="Times New Roman"/>
          <w:color w:val="0070C0"/>
          <w:sz w:val="16"/>
          <w:szCs w:val="16"/>
        </w:rPr>
        <w:softHyphen/>
        <w:t>нератор, компрессор воздушной системы, а бензоба</w:t>
      </w:r>
      <w:r w:rsidRPr="008A2E5A">
        <w:rPr>
          <w:rFonts w:ascii="Times New Roman" w:hAnsi="Times New Roman"/>
          <w:color w:val="0070C0"/>
          <w:sz w:val="16"/>
          <w:szCs w:val="16"/>
        </w:rPr>
        <w:softHyphen/>
        <w:t>ки установили без протектора. В результате внесенных изменений полетный вес машины Як-7В по сравнению с Як-7 уменьшился на 75 кг (до 2725 кг) (23381).</w:t>
      </w:r>
    </w:p>
    <w:p w14:paraId="41B11E93" w14:textId="77777777" w:rsidR="00497A37" w:rsidRPr="008A2E5A" w:rsidRDefault="00497A37" w:rsidP="00497A37">
      <w:pPr>
        <w:spacing w:after="0" w:line="240" w:lineRule="auto"/>
        <w:jc w:val="both"/>
        <w:rPr>
          <w:rFonts w:ascii="Times New Roman" w:hAnsi="Times New Roman"/>
          <w:color w:val="0070C0"/>
          <w:sz w:val="16"/>
          <w:szCs w:val="16"/>
        </w:rPr>
      </w:pPr>
    </w:p>
    <w:p w14:paraId="42EEBED9"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цехом №45 завода №153 при участии бригады специалистов ВИАМ под руководст</w:t>
      </w:r>
      <w:r w:rsidRPr="008A2E5A">
        <w:rPr>
          <w:rFonts w:ascii="Times New Roman" w:hAnsi="Times New Roman"/>
          <w:color w:val="0070C0"/>
          <w:sz w:val="16"/>
          <w:szCs w:val="16"/>
        </w:rPr>
        <w:softHyphen/>
        <w:t xml:space="preserve">вом старшего инженера ВИАМ П.И. Алексеева были изготовленные опытные фибровые бензобаки для Як-7. С 14 по 26 марта 1942 г. они успешно выдержали испытания на прочность и вибропрочность. Разрушение бака произошло только при избыточном давлении 0,7 атм., а вибрацию он выдерживал </w:t>
      </w:r>
      <w:proofErr w:type="gramStart"/>
      <w:r w:rsidRPr="008A2E5A">
        <w:rPr>
          <w:rFonts w:ascii="Times New Roman" w:hAnsi="Times New Roman"/>
          <w:color w:val="0070C0"/>
          <w:sz w:val="16"/>
          <w:szCs w:val="16"/>
        </w:rPr>
        <w:t>непрерыв</w:t>
      </w:r>
      <w:proofErr w:type="gramEnd"/>
      <w:r w:rsidRPr="008A2E5A">
        <w:rPr>
          <w:rFonts w:ascii="Times New Roman" w:hAnsi="Times New Roman"/>
          <w:color w:val="0070C0"/>
          <w:sz w:val="16"/>
          <w:szCs w:val="16"/>
        </w:rPr>
        <w:t xml:space="preserve"> но в течение 133 часов 30 минут. В заключении комиссии по испытаниям указывалось, что показатели прочности и надежности фибровых баков лучше, чем металлических, в связи с чем испытания на вибропрочность, обязатель</w:t>
      </w:r>
      <w:r w:rsidRPr="008A2E5A">
        <w:rPr>
          <w:rFonts w:ascii="Times New Roman" w:hAnsi="Times New Roman"/>
          <w:color w:val="0070C0"/>
          <w:sz w:val="16"/>
          <w:szCs w:val="16"/>
        </w:rPr>
        <w:softHyphen/>
        <w:t>ные для всех металлических бензобаков, на фибровых баках можно не проводить совсем, сокращая временной цикл изготовления самолета (23381).</w:t>
      </w:r>
    </w:p>
    <w:p w14:paraId="5C1C75AE" w14:textId="77777777" w:rsidR="00497A37" w:rsidRPr="008A2E5A" w:rsidRDefault="00497A37" w:rsidP="00497A37">
      <w:pPr>
        <w:spacing w:after="0" w:line="240" w:lineRule="auto"/>
        <w:jc w:val="both"/>
        <w:rPr>
          <w:rFonts w:ascii="Times New Roman" w:hAnsi="Times New Roman"/>
          <w:color w:val="0070C0"/>
          <w:sz w:val="16"/>
          <w:szCs w:val="16"/>
        </w:rPr>
      </w:pPr>
    </w:p>
    <w:p w14:paraId="5FE96A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и Дружинин подготовил расчет и справку по техническим дальностям Як-1, Як-7, ЛаГГ-3 и МиГ-3 у земли и на 5000 м (1684,75).</w:t>
      </w:r>
    </w:p>
    <w:p w14:paraId="18AC1F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994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когда закончились сравнительные испытания МиГ-3 с Bf 109F-3: "Хотя "мессершмитт" еще раз продемонстрировал свое преимущество в летных данных, высотные характеристики "МиГа" заслуживают уважения". Вероятно, трофеем вермахта оказался самолет одной из первых серий с большим запасом горючего, поскольку испытатели отметили: по максимальной дальности на высоте 6500 м МиГ-3 почти в полтора раза превосходил Bf 109. Что касается вооружения, то Bf 109F-3 с 15-мм пушкой MG 151 и двумя 7,92-мм пулеметами MG 17 был практически равноценен МиГу и по массе секундного залпа, и по эффективной дальности ведения огня.</w:t>
      </w:r>
    </w:p>
    <w:p w14:paraId="07C0ED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справочников по советской технике, изданном в Германии в 1943 г. доктором К.-Х. Штайнике при участии министерства авиации, утверждалось: максимальная скорость лучшего большевистского истребителя МиГ-3 на высоте 7500 м не превосходит 570 км/ч. Те немецкие летчики, которые сами сталкивались с МиГами в небе, полагали, что этот истребитель значительно быстроходнее. Во всяком случае, генерал инспектор люфтваффе Э. Мильх отметил: "Брошюра несколько преуменьшает".</w:t>
      </w:r>
    </w:p>
    <w:p w14:paraId="0F760E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Вызывает серьезное сомнение и другое утверждение Штайнике, будто конструкция МиГ-3, как и других удачных советских самолетов, базировалась на американских и британских авиационных новациях, а при его производстве использовался передовой немецкий опыт. Как видно из предыдущих глав, МиГ-3 создавался в расчете на массовый выпуск с учетом технологии и оснастки именно завода № 1. Вероятно, работа немецкого доктора носила в определенной мере пропагандистский характер (12045).</w:t>
      </w:r>
    </w:p>
    <w:p w14:paraId="3F1BC7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FF88E"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когда угроза захвата Москвы миновала, вышло правительственное постановление о реэвакуации большого количества пред</w:t>
      </w:r>
      <w:r w:rsidRPr="008A2E5A">
        <w:rPr>
          <w:rFonts w:ascii="Times New Roman" w:hAnsi="Times New Roman"/>
          <w:color w:val="0070C0"/>
          <w:sz w:val="16"/>
          <w:szCs w:val="16"/>
        </w:rPr>
        <w:softHyphen/>
        <w:t>приятий на исходные места. Для кол</w:t>
      </w:r>
      <w:r w:rsidRPr="008A2E5A">
        <w:rPr>
          <w:rFonts w:ascii="Times New Roman" w:hAnsi="Times New Roman"/>
          <w:color w:val="0070C0"/>
          <w:sz w:val="16"/>
          <w:szCs w:val="16"/>
        </w:rPr>
        <w:softHyphen/>
        <w:t>лектива А.И. Микояна и М.И. Гуревича настало тревожное время. Бюро не имело серийных машин, те двадцать два МиГ-3, что выпустил завод № 1 в 1942 году, соби</w:t>
      </w:r>
      <w:r w:rsidRPr="008A2E5A">
        <w:rPr>
          <w:rFonts w:ascii="Times New Roman" w:hAnsi="Times New Roman"/>
          <w:color w:val="0070C0"/>
          <w:sz w:val="16"/>
          <w:szCs w:val="16"/>
        </w:rPr>
        <w:softHyphen/>
        <w:t>рались из оставшегося задела, опытные самолёты МиГ-5, МиГ-7 и МиГ-9 не бли</w:t>
      </w:r>
      <w:r w:rsidRPr="008A2E5A">
        <w:rPr>
          <w:rFonts w:ascii="Times New Roman" w:hAnsi="Times New Roman"/>
          <w:color w:val="0070C0"/>
          <w:sz w:val="16"/>
          <w:szCs w:val="16"/>
        </w:rPr>
        <w:softHyphen/>
        <w:t>стали высокими характеристиками. Риск ликвидации ОКО был очень велик</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23379).</w:t>
      </w:r>
    </w:p>
    <w:p w14:paraId="76EF2138" w14:textId="77777777" w:rsidR="00497A37" w:rsidRPr="008A2E5A" w:rsidRDefault="00497A37" w:rsidP="00497A37">
      <w:pPr>
        <w:spacing w:after="0" w:line="240" w:lineRule="auto"/>
        <w:jc w:val="both"/>
        <w:rPr>
          <w:rFonts w:ascii="Times New Roman" w:hAnsi="Times New Roman"/>
          <w:color w:val="0070C0"/>
          <w:sz w:val="16"/>
          <w:szCs w:val="16"/>
        </w:rPr>
      </w:pPr>
    </w:p>
    <w:p w14:paraId="4EDA660B"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w:t>
      </w:r>
      <w:r w:rsidRPr="008A2E5A">
        <w:rPr>
          <w:rFonts w:ascii="Times New Roman" w:hAnsi="Times New Roman"/>
          <w:color w:val="0070C0"/>
          <w:sz w:val="16"/>
          <w:szCs w:val="16"/>
        </w:rPr>
        <w:softHyphen/>
        <w:t>ле 1942 г., когда в находящийся в эвакуа</w:t>
      </w:r>
      <w:r w:rsidRPr="008A2E5A">
        <w:rPr>
          <w:rFonts w:ascii="Times New Roman" w:hAnsi="Times New Roman"/>
          <w:color w:val="0070C0"/>
          <w:sz w:val="16"/>
          <w:szCs w:val="16"/>
        </w:rPr>
        <w:softHyphen/>
        <w:t>ции в Куйбышеве ОКО-1 пришли резуль</w:t>
      </w:r>
      <w:r w:rsidRPr="008A2E5A">
        <w:rPr>
          <w:rFonts w:ascii="Times New Roman" w:hAnsi="Times New Roman"/>
          <w:color w:val="0070C0"/>
          <w:sz w:val="16"/>
          <w:szCs w:val="16"/>
        </w:rPr>
        <w:softHyphen/>
        <w:t>таты продувок в аэродинамической трубе ЦАГИ Т-104 опытного истребителя И-210 М-82А «ИХ» (самолёт «Х» в компоновке «И»), в ОКБ МиГ началась работа над МиГ, обозначенным безликой буквой «Е».</w:t>
      </w:r>
    </w:p>
    <w:p w14:paraId="2B898D63"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Новый проект первоначально рас</w:t>
      </w:r>
      <w:r w:rsidRPr="008A2E5A">
        <w:rPr>
          <w:rFonts w:ascii="Times New Roman" w:hAnsi="Times New Roman"/>
          <w:color w:val="0070C0"/>
          <w:sz w:val="16"/>
          <w:szCs w:val="16"/>
        </w:rPr>
        <w:softHyphen/>
        <w:t>сматривался как модификация И-210 М-82А, который в свою очередь пред</w:t>
      </w:r>
      <w:r w:rsidRPr="008A2E5A">
        <w:rPr>
          <w:rFonts w:ascii="Times New Roman" w:hAnsi="Times New Roman"/>
          <w:color w:val="0070C0"/>
          <w:sz w:val="16"/>
          <w:szCs w:val="16"/>
        </w:rPr>
        <w:softHyphen/>
        <w:t>ставлялся развитием крупносерийно</w:t>
      </w:r>
      <w:r w:rsidRPr="008A2E5A">
        <w:rPr>
          <w:rFonts w:ascii="Times New Roman" w:hAnsi="Times New Roman"/>
          <w:color w:val="0070C0"/>
          <w:sz w:val="16"/>
          <w:szCs w:val="16"/>
        </w:rPr>
        <w:softHyphen/>
        <w:t>го МиГ-3 АМ-35А / АМ-38, и обозначался магах НКАП в 1942-1943 гг. встречается и шифр «Б» - как следующий после само</w:t>
      </w:r>
      <w:r w:rsidRPr="008A2E5A">
        <w:rPr>
          <w:rFonts w:ascii="Times New Roman" w:hAnsi="Times New Roman"/>
          <w:color w:val="0070C0"/>
          <w:sz w:val="16"/>
          <w:szCs w:val="16"/>
        </w:rPr>
        <w:softHyphen/>
        <w:t>лёта «А» - И-220. Однако общепринятыми стали только два обозначения этого само</w:t>
      </w:r>
      <w:r w:rsidRPr="008A2E5A">
        <w:rPr>
          <w:rFonts w:ascii="Times New Roman" w:hAnsi="Times New Roman"/>
          <w:color w:val="0070C0"/>
          <w:sz w:val="16"/>
          <w:szCs w:val="16"/>
        </w:rPr>
        <w:softHyphen/>
        <w:t>лёта - И-211 и «Е», вопрос же о том, явля</w:t>
      </w:r>
      <w:r w:rsidRPr="008A2E5A">
        <w:rPr>
          <w:rFonts w:ascii="Times New Roman" w:hAnsi="Times New Roman"/>
          <w:color w:val="0070C0"/>
          <w:sz w:val="16"/>
          <w:szCs w:val="16"/>
        </w:rPr>
        <w:softHyphen/>
        <w:t>ется ли он модификацией МиГ-9 «ИХ» или новым типом, похоже, даже не поднимал</w:t>
      </w:r>
      <w:r w:rsidRPr="008A2E5A">
        <w:rPr>
          <w:rFonts w:ascii="Times New Roman" w:hAnsi="Times New Roman"/>
          <w:color w:val="0070C0"/>
          <w:sz w:val="16"/>
          <w:szCs w:val="16"/>
        </w:rPr>
        <w:softHyphen/>
        <w:t>ся - недосуг было.</w:t>
      </w:r>
    </w:p>
    <w:p w14:paraId="5701DD30"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получил обозначение по ли</w:t>
      </w:r>
      <w:r w:rsidRPr="008A2E5A">
        <w:rPr>
          <w:rFonts w:ascii="Times New Roman" w:hAnsi="Times New Roman"/>
          <w:color w:val="0070C0"/>
          <w:sz w:val="16"/>
          <w:szCs w:val="16"/>
        </w:rPr>
        <w:softHyphen/>
        <w:t>нии ОКБ и Наркомата авиапромышлен</w:t>
      </w:r>
      <w:r w:rsidRPr="008A2E5A">
        <w:rPr>
          <w:rFonts w:ascii="Times New Roman" w:hAnsi="Times New Roman"/>
          <w:color w:val="0070C0"/>
          <w:sz w:val="16"/>
          <w:szCs w:val="16"/>
        </w:rPr>
        <w:softHyphen/>
        <w:t>ности И-211, а чуть позже (вероятно уже во второй половине 1942 г. или даже в конце его) и шифр «Е» как следующий после проекта «Д» - И-230, который пошёл в работу в апреле 1942-го. В то же время обозна</w:t>
      </w:r>
      <w:r w:rsidRPr="008A2E5A">
        <w:rPr>
          <w:rFonts w:ascii="Times New Roman" w:hAnsi="Times New Roman"/>
          <w:color w:val="0070C0"/>
          <w:sz w:val="16"/>
          <w:szCs w:val="16"/>
        </w:rPr>
        <w:softHyphen/>
        <w:t>чение «И-211» некоторое время исполь</w:t>
      </w:r>
      <w:r w:rsidRPr="008A2E5A">
        <w:rPr>
          <w:rFonts w:ascii="Times New Roman" w:hAnsi="Times New Roman"/>
          <w:color w:val="0070C0"/>
          <w:sz w:val="16"/>
          <w:szCs w:val="16"/>
        </w:rPr>
        <w:softHyphen/>
        <w:t>зовалось и для самолёта «А», впослед</w:t>
      </w:r>
      <w:r w:rsidRPr="008A2E5A">
        <w:rPr>
          <w:rFonts w:ascii="Times New Roman" w:hAnsi="Times New Roman"/>
          <w:color w:val="0070C0"/>
          <w:sz w:val="16"/>
          <w:szCs w:val="16"/>
        </w:rPr>
        <w:softHyphen/>
        <w:t>ствии ставшего И-220, а в документах ОКБ-155 машина «Е» иногда именовалась МиГ-9Е, но это обозначение, по-видимому, не было принято Заказчиком (23958).</w:t>
      </w:r>
    </w:p>
    <w:p w14:paraId="7D8F6C8D" w14:textId="77777777" w:rsidR="00497A37" w:rsidRPr="008A2E5A" w:rsidRDefault="00497A37" w:rsidP="00497A37">
      <w:pPr>
        <w:spacing w:after="0" w:line="240" w:lineRule="auto"/>
        <w:jc w:val="both"/>
        <w:rPr>
          <w:rFonts w:ascii="Times New Roman" w:hAnsi="Times New Roman"/>
          <w:color w:val="0070C0"/>
          <w:sz w:val="16"/>
          <w:szCs w:val="16"/>
        </w:rPr>
      </w:pPr>
    </w:p>
    <w:p w14:paraId="02444F91"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в связи со снятием непосредственной уг</w:t>
      </w:r>
      <w:r w:rsidRPr="008A2E5A">
        <w:rPr>
          <w:rFonts w:ascii="Times New Roman" w:hAnsi="Times New Roman"/>
          <w:color w:val="0070C0"/>
          <w:sz w:val="16"/>
          <w:szCs w:val="16"/>
        </w:rPr>
        <w:softHyphen/>
        <w:t>розы захвата Москвы противником, выш</w:t>
      </w:r>
      <w:r w:rsidRPr="008A2E5A">
        <w:rPr>
          <w:rFonts w:ascii="Times New Roman" w:hAnsi="Times New Roman"/>
          <w:color w:val="0070C0"/>
          <w:sz w:val="16"/>
          <w:szCs w:val="16"/>
        </w:rPr>
        <w:softHyphen/>
        <w:t>ло Постановление Государственного ко</w:t>
      </w:r>
      <w:r w:rsidRPr="008A2E5A">
        <w:rPr>
          <w:rFonts w:ascii="Times New Roman" w:hAnsi="Times New Roman"/>
          <w:color w:val="0070C0"/>
          <w:sz w:val="16"/>
          <w:szCs w:val="16"/>
        </w:rPr>
        <w:softHyphen/>
        <w:t>митета обороны о возвращении туда из эвакуации ряда предприятий оборон</w:t>
      </w:r>
      <w:r w:rsidRPr="008A2E5A">
        <w:rPr>
          <w:rFonts w:ascii="Times New Roman" w:hAnsi="Times New Roman"/>
          <w:color w:val="0070C0"/>
          <w:sz w:val="16"/>
          <w:szCs w:val="16"/>
        </w:rPr>
        <w:softHyphen/>
        <w:t>ной промышленности и их отдельных по</w:t>
      </w:r>
      <w:r w:rsidRPr="008A2E5A">
        <w:rPr>
          <w:rFonts w:ascii="Times New Roman" w:hAnsi="Times New Roman"/>
          <w:color w:val="0070C0"/>
          <w:sz w:val="16"/>
          <w:szCs w:val="16"/>
        </w:rPr>
        <w:softHyphen/>
        <w:t>дразделений. Касалось оно и Опытного конструкторского отдела авиазавода №1 под руководством А.И. Микояна и М.И. Гу</w:t>
      </w:r>
      <w:r w:rsidRPr="008A2E5A">
        <w:rPr>
          <w:rFonts w:ascii="Times New Roman" w:hAnsi="Times New Roman"/>
          <w:color w:val="0070C0"/>
          <w:sz w:val="16"/>
          <w:szCs w:val="16"/>
        </w:rPr>
        <w:softHyphen/>
        <w:t>ревича. При этом сам 1-й завод оставал</w:t>
      </w:r>
      <w:r w:rsidRPr="008A2E5A">
        <w:rPr>
          <w:rFonts w:ascii="Times New Roman" w:hAnsi="Times New Roman"/>
          <w:color w:val="0070C0"/>
          <w:sz w:val="16"/>
          <w:szCs w:val="16"/>
        </w:rPr>
        <w:softHyphen/>
        <w:t>ся в Куйбышеве, получив основную зада</w:t>
      </w:r>
      <w:r w:rsidRPr="008A2E5A">
        <w:rPr>
          <w:rFonts w:ascii="Times New Roman" w:hAnsi="Times New Roman"/>
          <w:color w:val="0070C0"/>
          <w:sz w:val="16"/>
          <w:szCs w:val="16"/>
        </w:rPr>
        <w:softHyphen/>
        <w:t>чу расширить производство штурмови</w:t>
      </w:r>
      <w:r w:rsidRPr="008A2E5A">
        <w:rPr>
          <w:rFonts w:ascii="Times New Roman" w:hAnsi="Times New Roman"/>
          <w:color w:val="0070C0"/>
          <w:sz w:val="16"/>
          <w:szCs w:val="16"/>
        </w:rPr>
        <w:softHyphen/>
        <w:t>ков Ил-2.</w:t>
      </w:r>
    </w:p>
    <w:p w14:paraId="11AD2859" w14:textId="77777777" w:rsidR="00497A37" w:rsidRPr="008A2E5A" w:rsidRDefault="00497A37" w:rsidP="00497A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 Микояна и Гуревича, как и другие подобные в Наркомавиапроме, не имеющие самолётов в серийном про</w:t>
      </w:r>
      <w:r w:rsidRPr="008A2E5A">
        <w:rPr>
          <w:rFonts w:ascii="Times New Roman" w:hAnsi="Times New Roman"/>
          <w:color w:val="0070C0"/>
          <w:sz w:val="16"/>
          <w:szCs w:val="16"/>
        </w:rPr>
        <w:softHyphen/>
        <w:t>изводстве, расформирован не был (23958)</w:t>
      </w:r>
    </w:p>
    <w:p w14:paraId="3AF19A6D" w14:textId="77777777" w:rsidR="00497A37" w:rsidRPr="008A2E5A" w:rsidRDefault="00497A37" w:rsidP="00497A37">
      <w:pPr>
        <w:spacing w:after="0" w:line="240" w:lineRule="auto"/>
        <w:jc w:val="both"/>
        <w:rPr>
          <w:rFonts w:ascii="Times New Roman" w:hAnsi="Times New Roman"/>
          <w:color w:val="0070C0"/>
          <w:sz w:val="16"/>
          <w:szCs w:val="16"/>
        </w:rPr>
      </w:pPr>
    </w:p>
    <w:p w14:paraId="5A6B647D" w14:textId="77777777" w:rsidR="0088597D" w:rsidRPr="008127F8" w:rsidRDefault="0088597D" w:rsidP="001E0A84">
      <w:pPr>
        <w:shd w:val="clear" w:color="auto" w:fill="FFFFFF"/>
        <w:spacing w:after="0" w:line="240" w:lineRule="auto"/>
        <w:jc w:val="both"/>
        <w:rPr>
          <w:rFonts w:ascii="Times New Roman" w:hAnsi="Times New Roman"/>
          <w:color w:val="000000" w:themeColor="text1"/>
          <w:sz w:val="16"/>
          <w:szCs w:val="16"/>
        </w:rPr>
      </w:pPr>
      <w:r w:rsidRPr="008127F8">
        <w:rPr>
          <w:rStyle w:val="1380"/>
          <w:rFonts w:ascii="Times New Roman" w:hAnsi="Times New Roman" w:cs="Times New Roman"/>
          <w:color w:val="000000" w:themeColor="text1"/>
          <w:sz w:val="16"/>
          <w:szCs w:val="16"/>
        </w:rPr>
        <w:t>В феврале 1942 года вооруженный УТ-1б проходил испытания. С зимним капотом - с закрытыми окнами охлаждения</w:t>
      </w:r>
      <w:r w:rsidRPr="008127F8">
        <w:rPr>
          <w:rStyle w:val="1390"/>
          <w:rFonts w:ascii="Times New Roman" w:hAnsi="Times New Roman" w:cs="Times New Roman"/>
          <w:color w:val="000000" w:themeColor="text1"/>
          <w:sz w:val="16"/>
          <w:szCs w:val="16"/>
          <w:lang w:val="ru"/>
        </w:rPr>
        <w:t xml:space="preserve"> </w:t>
      </w:r>
      <w:r w:rsidRPr="008127F8">
        <w:rPr>
          <w:rStyle w:val="1380"/>
          <w:rFonts w:ascii="Times New Roman" w:hAnsi="Times New Roman" w:cs="Times New Roman"/>
          <w:color w:val="000000" w:themeColor="text1"/>
          <w:sz w:val="16"/>
          <w:szCs w:val="16"/>
        </w:rPr>
        <w:t>цилиндров, как и у</w:t>
      </w:r>
      <w:r w:rsidRPr="008127F8">
        <w:rPr>
          <w:rStyle w:val="1390"/>
          <w:rFonts w:ascii="Times New Roman" w:hAnsi="Times New Roman" w:cs="Times New Roman"/>
          <w:color w:val="000000" w:themeColor="text1"/>
          <w:sz w:val="16"/>
          <w:szCs w:val="16"/>
          <w:lang w:val="ru"/>
        </w:rPr>
        <w:t xml:space="preserve"> </w:t>
      </w:r>
      <w:r w:rsidRPr="008127F8">
        <w:rPr>
          <w:rStyle w:val="1380"/>
          <w:rFonts w:ascii="Times New Roman" w:hAnsi="Times New Roman" w:cs="Times New Roman"/>
          <w:color w:val="000000" w:themeColor="text1"/>
          <w:sz w:val="16"/>
          <w:szCs w:val="16"/>
        </w:rPr>
        <w:t>красного УТ-1 в музее ОКБ им. А.С. Яковлева,</w:t>
      </w:r>
      <w:r w:rsidRPr="008127F8">
        <w:rPr>
          <w:rStyle w:val="1390"/>
          <w:rFonts w:ascii="Times New Roman" w:hAnsi="Times New Roman" w:cs="Times New Roman"/>
          <w:color w:val="000000" w:themeColor="text1"/>
          <w:sz w:val="16"/>
          <w:szCs w:val="16"/>
          <w:lang w:val="ru"/>
        </w:rPr>
        <w:t xml:space="preserve"> </w:t>
      </w:r>
      <w:r w:rsidRPr="008127F8">
        <w:rPr>
          <w:rStyle w:val="1380"/>
          <w:rFonts w:ascii="Times New Roman" w:hAnsi="Times New Roman" w:cs="Times New Roman"/>
          <w:color w:val="000000" w:themeColor="text1"/>
          <w:sz w:val="16"/>
          <w:szCs w:val="16"/>
        </w:rPr>
        <w:t>который теперь подвешен в Музее техники</w:t>
      </w:r>
      <w:r w:rsidRPr="008127F8">
        <w:rPr>
          <w:rStyle w:val="1390"/>
          <w:rFonts w:ascii="Times New Roman" w:hAnsi="Times New Roman" w:cs="Times New Roman"/>
          <w:color w:val="000000" w:themeColor="text1"/>
          <w:sz w:val="16"/>
          <w:szCs w:val="16"/>
          <w:lang w:val="ru"/>
        </w:rPr>
        <w:t xml:space="preserve"> </w:t>
      </w:r>
      <w:r w:rsidRPr="008127F8">
        <w:rPr>
          <w:rStyle w:val="1380"/>
          <w:rFonts w:ascii="Times New Roman" w:hAnsi="Times New Roman" w:cs="Times New Roman"/>
          <w:color w:val="000000" w:themeColor="text1"/>
          <w:sz w:val="16"/>
          <w:szCs w:val="16"/>
        </w:rPr>
        <w:t>Вадима Задорожного (19897).</w:t>
      </w:r>
    </w:p>
    <w:p w14:paraId="64FB07D1" w14:textId="77777777" w:rsidR="0088597D" w:rsidRPr="008127F8" w:rsidRDefault="0088597D" w:rsidP="001E0A84">
      <w:pPr>
        <w:shd w:val="clear" w:color="auto" w:fill="FFFFFF"/>
        <w:spacing w:after="0" w:line="240" w:lineRule="auto"/>
        <w:jc w:val="both"/>
        <w:rPr>
          <w:rFonts w:ascii="Times New Roman" w:hAnsi="Times New Roman"/>
          <w:color w:val="000000" w:themeColor="text1"/>
          <w:sz w:val="16"/>
          <w:szCs w:val="16"/>
        </w:rPr>
      </w:pPr>
    </w:p>
    <w:p w14:paraId="2CAE453D"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была введена новая система оплаты авиастро</w:t>
      </w:r>
      <w:r w:rsidRPr="008A2E5A">
        <w:rPr>
          <w:rFonts w:ascii="Times New Roman" w:hAnsi="Times New Roman"/>
          <w:color w:val="0070C0"/>
          <w:sz w:val="16"/>
          <w:szCs w:val="16"/>
        </w:rPr>
        <w:softHyphen/>
        <w:t>ительным заводам за поставленную продукцию сократи</w:t>
      </w:r>
      <w:r w:rsidRPr="008A2E5A">
        <w:rPr>
          <w:rFonts w:ascii="Times New Roman" w:hAnsi="Times New Roman"/>
          <w:color w:val="0070C0"/>
          <w:sz w:val="16"/>
          <w:szCs w:val="16"/>
        </w:rPr>
        <w:softHyphen/>
        <w:t>ло срок нахождения машины на заводе после выхода из сборочного цеха с 19-78 до 2-9 дней. Во многом сокра</w:t>
      </w:r>
      <w:r w:rsidRPr="008A2E5A">
        <w:rPr>
          <w:rFonts w:ascii="Times New Roman" w:hAnsi="Times New Roman"/>
          <w:color w:val="0070C0"/>
          <w:sz w:val="16"/>
          <w:szCs w:val="16"/>
        </w:rPr>
        <w:softHyphen/>
        <w:t>щению сроков способствовала специальная премиаль</w:t>
      </w:r>
      <w:r w:rsidRPr="008A2E5A">
        <w:rPr>
          <w:rFonts w:ascii="Times New Roman" w:hAnsi="Times New Roman"/>
          <w:color w:val="0070C0"/>
          <w:sz w:val="16"/>
          <w:szCs w:val="16"/>
        </w:rPr>
        <w:softHyphen/>
        <w:t>ная система для работников аэродромного цеха, введен</w:t>
      </w:r>
      <w:r w:rsidRPr="008A2E5A">
        <w:rPr>
          <w:rFonts w:ascii="Times New Roman" w:hAnsi="Times New Roman"/>
          <w:color w:val="0070C0"/>
          <w:sz w:val="16"/>
          <w:szCs w:val="16"/>
        </w:rPr>
        <w:softHyphen/>
        <w:t>ная приказом наркома авиапромышленности № 232с от 25 марта на март и апрель 1942 г. За каждый сданный го</w:t>
      </w:r>
      <w:r w:rsidRPr="008A2E5A">
        <w:rPr>
          <w:rFonts w:ascii="Times New Roman" w:hAnsi="Times New Roman"/>
          <w:color w:val="0070C0"/>
          <w:sz w:val="16"/>
          <w:szCs w:val="16"/>
        </w:rPr>
        <w:softHyphen/>
        <w:t>товым к бою истребитель в течение суток бригады преми</w:t>
      </w:r>
      <w:r w:rsidRPr="008A2E5A">
        <w:rPr>
          <w:rFonts w:ascii="Times New Roman" w:hAnsi="Times New Roman"/>
          <w:color w:val="0070C0"/>
          <w:sz w:val="16"/>
          <w:szCs w:val="16"/>
        </w:rPr>
        <w:softHyphen/>
        <w:t>ровались 300 рублями, а в течение двух суток - 200 ру</w:t>
      </w:r>
      <w:r w:rsidRPr="008A2E5A">
        <w:rPr>
          <w:rFonts w:ascii="Times New Roman" w:hAnsi="Times New Roman"/>
          <w:color w:val="0070C0"/>
          <w:sz w:val="16"/>
          <w:szCs w:val="16"/>
        </w:rPr>
        <w:softHyphen/>
        <w:t>блями. Летчики-испытатели за каждый сданный само</w:t>
      </w:r>
      <w:r w:rsidRPr="008A2E5A">
        <w:rPr>
          <w:rFonts w:ascii="Times New Roman" w:hAnsi="Times New Roman"/>
          <w:color w:val="0070C0"/>
          <w:sz w:val="16"/>
          <w:szCs w:val="16"/>
        </w:rPr>
        <w:softHyphen/>
        <w:t>лет получали дополнительно 100 рублей. Такая же сумма выделялась за каждый сданный в течение двух суток са</w:t>
      </w:r>
      <w:r w:rsidRPr="008A2E5A">
        <w:rPr>
          <w:rFonts w:ascii="Times New Roman" w:hAnsi="Times New Roman"/>
          <w:color w:val="0070C0"/>
          <w:sz w:val="16"/>
          <w:szCs w:val="16"/>
        </w:rPr>
        <w:softHyphen/>
        <w:t>молет начальникам летно-испытательных станций (ЛИС) для премирования вспомогательных аэродромных рабо</w:t>
      </w:r>
      <w:r w:rsidRPr="008A2E5A">
        <w:rPr>
          <w:rFonts w:ascii="Times New Roman" w:hAnsi="Times New Roman"/>
          <w:color w:val="0070C0"/>
          <w:sz w:val="16"/>
          <w:szCs w:val="16"/>
        </w:rPr>
        <w:softHyphen/>
        <w:t>чих (трактористов, шоферов, кладовщиков и прочих). Од</w:t>
      </w:r>
      <w:r w:rsidRPr="008A2E5A">
        <w:rPr>
          <w:rFonts w:ascii="Times New Roman" w:hAnsi="Times New Roman"/>
          <w:color w:val="0070C0"/>
          <w:sz w:val="16"/>
          <w:szCs w:val="16"/>
        </w:rPr>
        <w:softHyphen/>
        <w:t>новременно организовывалась система перевозки само</w:t>
      </w:r>
      <w:r w:rsidRPr="008A2E5A">
        <w:rPr>
          <w:rFonts w:ascii="Times New Roman" w:hAnsi="Times New Roman"/>
          <w:color w:val="0070C0"/>
          <w:sz w:val="16"/>
          <w:szCs w:val="16"/>
        </w:rPr>
        <w:softHyphen/>
        <w:t>летов в Европейскую часть страны таким образом, что</w:t>
      </w:r>
      <w:r w:rsidRPr="008A2E5A">
        <w:rPr>
          <w:rFonts w:ascii="Times New Roman" w:hAnsi="Times New Roman"/>
          <w:color w:val="0070C0"/>
          <w:sz w:val="16"/>
          <w:szCs w:val="16"/>
        </w:rPr>
        <w:softHyphen/>
        <w:t>бы время в пути из Новосибирска в Москву не превышало 7 суток, а на разгрузку, сборку и сдачу на аэродром ка</w:t>
      </w:r>
      <w:r w:rsidRPr="008A2E5A">
        <w:rPr>
          <w:rFonts w:ascii="Times New Roman" w:hAnsi="Times New Roman"/>
          <w:color w:val="0070C0"/>
          <w:sz w:val="16"/>
          <w:szCs w:val="16"/>
        </w:rPr>
        <w:softHyphen/>
        <w:t>ждых 10 машин затрачивалось не более 36 часов с мо</w:t>
      </w:r>
      <w:r w:rsidRPr="008A2E5A">
        <w:rPr>
          <w:rFonts w:ascii="Times New Roman" w:hAnsi="Times New Roman"/>
          <w:color w:val="0070C0"/>
          <w:sz w:val="16"/>
          <w:szCs w:val="16"/>
        </w:rPr>
        <w:softHyphen/>
        <w:t>мента прибытия эшелона (23381).</w:t>
      </w:r>
    </w:p>
    <w:p w14:paraId="34A3125F" w14:textId="77777777" w:rsidR="00D04D90" w:rsidRPr="008A2E5A" w:rsidRDefault="00D04D90" w:rsidP="00D04D90">
      <w:pPr>
        <w:spacing w:after="0" w:line="240" w:lineRule="auto"/>
        <w:jc w:val="both"/>
        <w:rPr>
          <w:rFonts w:ascii="Times New Roman" w:hAnsi="Times New Roman"/>
          <w:color w:val="0070C0"/>
          <w:sz w:val="16"/>
          <w:szCs w:val="16"/>
        </w:rPr>
      </w:pPr>
    </w:p>
    <w:p w14:paraId="27B5B6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к нам через базу Шуайба в Ираке к нам поступили первые Бостон-111 (1085,207).</w:t>
      </w:r>
    </w:p>
    <w:p w14:paraId="0123AD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CB5D7"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советская военная миссия приняла первый «Бостон» А-20 в Ираке. До 1 мая успе</w:t>
      </w:r>
      <w:r w:rsidRPr="008A2E5A">
        <w:rPr>
          <w:rFonts w:ascii="Times New Roman" w:hAnsi="Times New Roman"/>
          <w:color w:val="0070C0"/>
          <w:sz w:val="16"/>
          <w:szCs w:val="16"/>
        </w:rPr>
        <w:softHyphen/>
        <w:t>ли собрать 92 машины, после чего работы перенесли на базу Шуайба. Оттуда самоле</w:t>
      </w:r>
      <w:r w:rsidRPr="008A2E5A">
        <w:rPr>
          <w:rFonts w:ascii="Times New Roman" w:hAnsi="Times New Roman"/>
          <w:color w:val="0070C0"/>
          <w:sz w:val="16"/>
          <w:szCs w:val="16"/>
        </w:rPr>
        <w:softHyphen/>
        <w:t>ты перегоняли в 11 -й зап в Кировабаде.</w:t>
      </w:r>
    </w:p>
    <w:p w14:paraId="0448BB45"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все эти самолеты обозначались как «Бостон» III (Б-3), на самом деле сре</w:t>
      </w:r>
      <w:r w:rsidRPr="008A2E5A">
        <w:rPr>
          <w:rFonts w:ascii="Times New Roman" w:hAnsi="Times New Roman"/>
          <w:color w:val="0070C0"/>
          <w:sz w:val="16"/>
          <w:szCs w:val="16"/>
        </w:rPr>
        <w:softHyphen/>
        <w:t>ди них встречались и DB-7B, и подобные им А-20С. Попадались и DB-7C голланд</w:t>
      </w:r>
      <w:r w:rsidRPr="008A2E5A">
        <w:rPr>
          <w:rFonts w:ascii="Times New Roman" w:hAnsi="Times New Roman"/>
          <w:color w:val="0070C0"/>
          <w:sz w:val="16"/>
          <w:szCs w:val="16"/>
        </w:rPr>
        <w:softHyphen/>
        <w:t>ского заказа, которые не успели отпра</w:t>
      </w:r>
      <w:r w:rsidRPr="008A2E5A">
        <w:rPr>
          <w:rFonts w:ascii="Times New Roman" w:hAnsi="Times New Roman"/>
          <w:color w:val="0070C0"/>
          <w:sz w:val="16"/>
          <w:szCs w:val="16"/>
        </w:rPr>
        <w:softHyphen/>
        <w:t>вить в Нидерланды до их разгрома нем</w:t>
      </w:r>
      <w:r w:rsidRPr="008A2E5A">
        <w:rPr>
          <w:rFonts w:ascii="Times New Roman" w:hAnsi="Times New Roman"/>
          <w:color w:val="0070C0"/>
          <w:sz w:val="16"/>
          <w:szCs w:val="16"/>
        </w:rPr>
        <w:softHyphen/>
        <w:t>цами. Часть самолетов прибыла прямо с американских заводов, а часть — из Великобритании. Среди-последних было немало уже побывавших в употреблении и даже в ремонте.</w:t>
      </w:r>
    </w:p>
    <w:p w14:paraId="75450873"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Позднее бомбардировщики стали пе</w:t>
      </w:r>
      <w:r w:rsidRPr="008A2E5A">
        <w:rPr>
          <w:rFonts w:ascii="Times New Roman" w:hAnsi="Times New Roman"/>
          <w:color w:val="0070C0"/>
          <w:sz w:val="16"/>
          <w:szCs w:val="16"/>
        </w:rPr>
        <w:softHyphen/>
        <w:t>ревозить в собранном виде на переобору</w:t>
      </w:r>
      <w:r w:rsidRPr="008A2E5A">
        <w:rPr>
          <w:rFonts w:ascii="Times New Roman" w:hAnsi="Times New Roman"/>
          <w:color w:val="0070C0"/>
          <w:sz w:val="16"/>
          <w:szCs w:val="16"/>
        </w:rPr>
        <w:softHyphen/>
        <w:t>дованных танкерах, а после создания про</w:t>
      </w:r>
      <w:r w:rsidRPr="008A2E5A">
        <w:rPr>
          <w:rFonts w:ascii="Times New Roman" w:hAnsi="Times New Roman"/>
          <w:color w:val="0070C0"/>
          <w:sz w:val="16"/>
          <w:szCs w:val="16"/>
        </w:rPr>
        <w:softHyphen/>
        <w:t>межуточной базы на острове Вознесения перегоняли по воздуху из Флориды через Бразилию, западное побережье Африки и Ближний Восток. Их сдавали советским приемщикам в Абадане или Тегеране. В Абадане фирма «Дуглас» построила сбо</w:t>
      </w:r>
      <w:r w:rsidRPr="008A2E5A">
        <w:rPr>
          <w:rFonts w:ascii="Times New Roman" w:hAnsi="Times New Roman"/>
          <w:color w:val="0070C0"/>
          <w:sz w:val="16"/>
          <w:szCs w:val="16"/>
        </w:rPr>
        <w:softHyphen/>
        <w:t>рочный и авиаремонтный завод, который проводил окончательную подготовку ма</w:t>
      </w:r>
      <w:r w:rsidRPr="008A2E5A">
        <w:rPr>
          <w:rFonts w:ascii="Times New Roman" w:hAnsi="Times New Roman"/>
          <w:color w:val="0070C0"/>
          <w:sz w:val="16"/>
          <w:szCs w:val="16"/>
        </w:rPr>
        <w:softHyphen/>
        <w:t>шин перед сдачей.</w:t>
      </w:r>
    </w:p>
    <w:p w14:paraId="7462216E"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Переучивание личного состава на аме</w:t>
      </w:r>
      <w:r w:rsidRPr="008A2E5A">
        <w:rPr>
          <w:rFonts w:ascii="Times New Roman" w:hAnsi="Times New Roman"/>
          <w:color w:val="0070C0"/>
          <w:sz w:val="16"/>
          <w:szCs w:val="16"/>
        </w:rPr>
        <w:softHyphen/>
        <w:t>риканскую технику сразу поставили на широкую ногу. С фронта отводили полки, потерявшие в боях технику, из тыла при</w:t>
      </w:r>
      <w:r w:rsidRPr="008A2E5A">
        <w:rPr>
          <w:rFonts w:ascii="Times New Roman" w:hAnsi="Times New Roman"/>
          <w:color w:val="0070C0"/>
          <w:sz w:val="16"/>
          <w:szCs w:val="16"/>
        </w:rPr>
        <w:softHyphen/>
        <w:t>бывали части, оставившие за Уралом уста</w:t>
      </w:r>
      <w:r w:rsidRPr="008A2E5A">
        <w:rPr>
          <w:rFonts w:ascii="Times New Roman" w:hAnsi="Times New Roman"/>
          <w:color w:val="0070C0"/>
          <w:sz w:val="16"/>
          <w:szCs w:val="16"/>
        </w:rPr>
        <w:softHyphen/>
        <w:t>ревшие СБ, формировались новые полки, в основном укомплектованные поспеш</w:t>
      </w:r>
      <w:r w:rsidRPr="008A2E5A">
        <w:rPr>
          <w:rFonts w:ascii="Times New Roman" w:hAnsi="Times New Roman"/>
          <w:color w:val="0070C0"/>
          <w:sz w:val="16"/>
          <w:szCs w:val="16"/>
        </w:rPr>
        <w:softHyphen/>
        <w:t>но выпущенной из училищ молодежью. Основным центром переподготовки на «Бостоны» поначалу являлся Кировабад, где дислоцировался 11-й зап майора Саломахи.</w:t>
      </w:r>
    </w:p>
    <w:p w14:paraId="73A96A53"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переучивании экипажей на новые машины имелись некоторые трудности, так как на А-20 было одно пилотское ме</w:t>
      </w:r>
      <w:r w:rsidRPr="008A2E5A">
        <w:rPr>
          <w:rFonts w:ascii="Times New Roman" w:hAnsi="Times New Roman"/>
          <w:color w:val="0070C0"/>
          <w:sz w:val="16"/>
          <w:szCs w:val="16"/>
        </w:rPr>
        <w:softHyphen/>
        <w:t>сто, а специальных учебно-тренировоч</w:t>
      </w:r>
      <w:r w:rsidRPr="008A2E5A">
        <w:rPr>
          <w:rFonts w:ascii="Times New Roman" w:hAnsi="Times New Roman"/>
          <w:color w:val="0070C0"/>
          <w:sz w:val="16"/>
          <w:szCs w:val="16"/>
        </w:rPr>
        <w:softHyphen/>
        <w:t>ных вариантов американские заводы не выпускали. Приходилось учить летчиков «вприглядку» — обучаемый ложился в от</w:t>
      </w:r>
      <w:r w:rsidRPr="008A2E5A">
        <w:rPr>
          <w:rFonts w:ascii="Times New Roman" w:hAnsi="Times New Roman"/>
          <w:color w:val="0070C0"/>
          <w:sz w:val="16"/>
          <w:szCs w:val="16"/>
        </w:rPr>
        <w:softHyphen/>
        <w:t>секе за головой инструктора и наблюдал за его действиями, потом они менялись местами. Все самолеты ранних модифи</w:t>
      </w:r>
      <w:r w:rsidRPr="008A2E5A">
        <w:rPr>
          <w:rFonts w:ascii="Times New Roman" w:hAnsi="Times New Roman"/>
          <w:color w:val="0070C0"/>
          <w:sz w:val="16"/>
          <w:szCs w:val="16"/>
        </w:rPr>
        <w:softHyphen/>
        <w:t>каций имели второе управление, но по</w:t>
      </w:r>
      <w:r w:rsidRPr="008A2E5A">
        <w:rPr>
          <w:rFonts w:ascii="Times New Roman" w:hAnsi="Times New Roman"/>
          <w:color w:val="0070C0"/>
          <w:sz w:val="16"/>
          <w:szCs w:val="16"/>
        </w:rPr>
        <w:softHyphen/>
        <w:t>мещалось оно не у штурмана, а у стрелка, который почти ничего не видел вперед. Использовать его было практически не</w:t>
      </w:r>
      <w:r w:rsidRPr="008A2E5A">
        <w:rPr>
          <w:rFonts w:ascii="Times New Roman" w:hAnsi="Times New Roman"/>
          <w:color w:val="0070C0"/>
          <w:sz w:val="16"/>
          <w:szCs w:val="16"/>
        </w:rPr>
        <w:softHyphen/>
        <w:t>возможно, и в конце концов американцы его упразднили. Впоследствии кое-где самостоятельно изготовляли машины со вторым управлением в кабине штурмана; их называли УА-20 или УБ-3.</w:t>
      </w:r>
    </w:p>
    <w:p w14:paraId="4560EB9C"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Два полка закончили переподготовку в мае 1942 г. Первым освоил заокеанские бомбардировщики 794-й бап. В марте 1942 г. он получил в Кировабаде 22 Б-3. Летчики сперва совершили по несколько ознакомительных полетов на другом американском бомбардировщике, В-25В, имевшем два пилотских места бок о бок. При этом они привыкали к трехколесно</w:t>
      </w:r>
      <w:r w:rsidRPr="008A2E5A">
        <w:rPr>
          <w:rFonts w:ascii="Times New Roman" w:hAnsi="Times New Roman"/>
          <w:color w:val="0070C0"/>
          <w:sz w:val="16"/>
          <w:szCs w:val="16"/>
        </w:rPr>
        <w:softHyphen/>
        <w:t>му шасси и непривычным обозначениям на приборах — футам, фунтам, милям. Затем экипажи пересели на «Бостоны» (23513).</w:t>
      </w:r>
    </w:p>
    <w:p w14:paraId="323BAA72" w14:textId="77777777" w:rsidR="00D04D90" w:rsidRPr="008A2E5A" w:rsidRDefault="00D04D90" w:rsidP="00D04D90">
      <w:pPr>
        <w:spacing w:after="0" w:line="240" w:lineRule="auto"/>
        <w:jc w:val="both"/>
        <w:rPr>
          <w:rFonts w:ascii="Times New Roman" w:hAnsi="Times New Roman"/>
          <w:color w:val="0070C0"/>
          <w:sz w:val="16"/>
          <w:szCs w:val="16"/>
        </w:rPr>
      </w:pPr>
    </w:p>
    <w:p w14:paraId="007B27A1"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советская военная комиссия приняла от англичан первый самолет «Бостон-3». В начале советские специалисты могли принимать самолеты лишь на одном аэро</w:t>
      </w:r>
      <w:r w:rsidRPr="008A2E5A">
        <w:rPr>
          <w:rFonts w:ascii="Times New Roman" w:hAnsi="Times New Roman"/>
          <w:color w:val="0070C0"/>
          <w:sz w:val="16"/>
          <w:szCs w:val="16"/>
        </w:rPr>
        <w:softHyphen/>
        <w:t>дроме— Маргиле. Сборку самолетов осуществляли англий</w:t>
      </w:r>
      <w:r w:rsidRPr="008A2E5A">
        <w:rPr>
          <w:rFonts w:ascii="Times New Roman" w:hAnsi="Times New Roman"/>
          <w:color w:val="0070C0"/>
          <w:sz w:val="16"/>
          <w:szCs w:val="16"/>
        </w:rPr>
        <w:softHyphen/>
        <w:t>ские специалисты. До 1 мая 1942 года они собрали 92 самолета «Бостон-3». Аэродром Маргил не справлялся со сборкой посту</w:t>
      </w:r>
      <w:r w:rsidRPr="008A2E5A">
        <w:rPr>
          <w:rFonts w:ascii="Times New Roman" w:hAnsi="Times New Roman"/>
          <w:color w:val="0070C0"/>
          <w:sz w:val="16"/>
          <w:szCs w:val="16"/>
        </w:rPr>
        <w:softHyphen/>
        <w:t>пающих самолетов, так как просто не был приспособлен для такого количества самолетов. Надо было думать о создании бо</w:t>
      </w:r>
      <w:r w:rsidRPr="008A2E5A">
        <w:rPr>
          <w:rFonts w:ascii="Times New Roman" w:hAnsi="Times New Roman"/>
          <w:color w:val="0070C0"/>
          <w:sz w:val="16"/>
          <w:szCs w:val="16"/>
        </w:rPr>
        <w:softHyphen/>
        <w:t xml:space="preserve">лее мощной авиабазы. Подходящим местом оказался военный аэродром английской армии в Шуайбе, примерно в 20 милях от порта Басра вглубь Аравийской пустыни. Не </w:t>
      </w:r>
      <w:r w:rsidRPr="008A2E5A">
        <w:rPr>
          <w:rFonts w:ascii="Times New Roman" w:hAnsi="Times New Roman"/>
          <w:color w:val="0070C0"/>
          <w:sz w:val="16"/>
          <w:szCs w:val="16"/>
        </w:rPr>
        <w:lastRenderedPageBreak/>
        <w:t>останавливая сборку в Маргиле, советские специалисты начали оборудовать авиационную базу в Шуайбе и направлять туда прибывшие из- за океана на кораблях ящики с самолетами. Рядом с аэродро</w:t>
      </w:r>
      <w:r w:rsidRPr="008A2E5A">
        <w:rPr>
          <w:rFonts w:ascii="Times New Roman" w:hAnsi="Times New Roman"/>
          <w:color w:val="0070C0"/>
          <w:sz w:val="16"/>
          <w:szCs w:val="16"/>
        </w:rPr>
        <w:softHyphen/>
        <w:t>мом Шуайба был развернут палаточный советский военный лагерь. Обслуживание лагеря англичане поручили подразде</w:t>
      </w:r>
      <w:r w:rsidRPr="008A2E5A">
        <w:rPr>
          <w:rFonts w:ascii="Times New Roman" w:hAnsi="Times New Roman"/>
          <w:color w:val="0070C0"/>
          <w:sz w:val="16"/>
          <w:szCs w:val="16"/>
        </w:rPr>
        <w:softHyphen/>
        <w:t>лению индийских войск.</w:t>
      </w:r>
    </w:p>
    <w:p w14:paraId="0FABE9D6"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17 февраля 1942 по 23 июня 1945 года личный состав 9 АОН обслужил 6924 импортных боевых самолета, 2485 марш</w:t>
      </w:r>
      <w:r w:rsidRPr="008A2E5A">
        <w:rPr>
          <w:rFonts w:ascii="Times New Roman" w:hAnsi="Times New Roman"/>
          <w:color w:val="0070C0"/>
          <w:sz w:val="16"/>
          <w:szCs w:val="16"/>
        </w:rPr>
        <w:softHyphen/>
        <w:t>рутных и 855 особо важных перелетов, в том числе перелет И. В. Сталина на Тегеранскую конференцию (23342).</w:t>
      </w:r>
    </w:p>
    <w:p w14:paraId="51367FDF" w14:textId="77777777" w:rsidR="00BA1D96" w:rsidRPr="008A2E5A" w:rsidRDefault="00BA1D96" w:rsidP="00BA1D96">
      <w:pPr>
        <w:spacing w:after="0" w:line="240" w:lineRule="auto"/>
        <w:jc w:val="both"/>
        <w:rPr>
          <w:rFonts w:ascii="Times New Roman" w:hAnsi="Times New Roman"/>
          <w:color w:val="0070C0"/>
          <w:sz w:val="16"/>
          <w:szCs w:val="16"/>
        </w:rPr>
      </w:pPr>
    </w:p>
    <w:p w14:paraId="50C567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НИИ ВВС поставил вопрос о возобновлении работ по реактивному двигателю А.М.Люльки. Конструктора командировали на 293 завод в Свердловск к В.Ф.Б. и вскоре В.Ф.Б. и нач. НИИ ВВС писали А.И.Ш. о необходимости возобновления работ по ТРД (2168,3).</w:t>
      </w:r>
    </w:p>
    <w:p w14:paraId="401A57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DB9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АУ ВМФ выдало задание СКБ завода Компрессор (733) на проектирование корабельной АУ для М-13 и М-8 (4305,34).</w:t>
      </w:r>
    </w:p>
    <w:p w14:paraId="511415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A65D5" w14:textId="77777777" w:rsidR="0088597D" w:rsidRPr="008127F8" w:rsidRDefault="0088597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феврале 1942 года сотрудники СКБ «Компрессор» под руководством ведущего конструктора Александра Николаевича Васильева приступили к проекту серийной пусковой установки для ВМФ. Специфические условия эксплуатации (качка, ограниченная площадь размещения и обслуживания, необходимость обеспечения безопасности корабля при стрельбе и наведения на цель из-под палубы, проблема крепления снарядов и т. п.) предопределили разработку принципиально новой конструкции.</w:t>
      </w:r>
    </w:p>
    <w:p w14:paraId="0F814405" w14:textId="77777777" w:rsidR="0088597D" w:rsidRPr="008127F8" w:rsidRDefault="0088597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Первой по времени, в марте, была создана пусковая установка надпалубного типа М-13-МI для снарядов калибра 132 мм. Она крепилась на крыше боевой рубки в корме большого бронекатера вместо устанавливаемой ранее башни танка Т-34 и конструктивно представляла собой артиллерийскую часть установки М-13, смонтированную на специальном основании с шаровым погоном танкового типа и механизмом поворота. Наведение на цель и заряжание осуществлялись с надпалубной части крыши боевой рубки, огороженной защитным устройством, а стрельба — непосредственно из рубки. В мае М-13-МI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w:t>
      </w:r>
    </w:p>
    <w:p w14:paraId="6D1B2AAA" w14:textId="77777777" w:rsidR="0088597D" w:rsidRPr="008127F8" w:rsidRDefault="0088597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Второй по времени, в апреле,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4640AB1A" w14:textId="77777777" w:rsidR="0088597D" w:rsidRPr="008127F8" w:rsidRDefault="0088597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августе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39F0DB4A" w14:textId="110742DC" w:rsidR="0088597D" w:rsidRPr="008127F8" w:rsidRDefault="0088597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8127F8">
        <w:rPr>
          <w:color w:val="000000" w:themeColor="text1"/>
          <w:sz w:val="16"/>
          <w:szCs w:val="16"/>
        </w:rPr>
        <w:t xml:space="preserve">  </w:t>
      </w:r>
      <w:hyperlink r:id="rId67" w:history="1">
        <w:r w:rsidRPr="008127F8">
          <w:rPr>
            <w:rStyle w:val="a6"/>
            <w:rFonts w:eastAsia="Franklin Gothic Book"/>
            <w:color w:val="000000" w:themeColor="text1"/>
            <w:sz w:val="16"/>
            <w:szCs w:val="16"/>
            <w:bdr w:val="none" w:sz="0" w:space="0" w:color="auto" w:frame="1"/>
          </w:rPr>
          <w:t>битве за Сталинград</w:t>
        </w:r>
      </w:hyperlink>
      <w:r w:rsidRPr="008127F8">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68196D5D" w14:textId="77777777" w:rsidR="0088597D" w:rsidRPr="008127F8" w:rsidRDefault="0088597D" w:rsidP="001E0A84">
      <w:pPr>
        <w:pStyle w:val="af"/>
        <w:shd w:val="clear" w:color="auto" w:fill="FFFFFF"/>
        <w:spacing w:before="0" w:after="0"/>
        <w:jc w:val="both"/>
        <w:textAlignment w:val="baseline"/>
        <w:rPr>
          <w:color w:val="000000" w:themeColor="text1"/>
          <w:sz w:val="16"/>
          <w:szCs w:val="16"/>
        </w:rPr>
      </w:pPr>
    </w:p>
    <w:p w14:paraId="0A9974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февраля 1942 года все строительные работы на заводе № 268 велись, исходя из необходимости скорейшего размещения эвакуированного оборудования Комбината № 150 и ввода его в эксплуатацию. 16 февраля 1942 года состоялось решение ГКО за № 1294 о реэвакуации Комбината № 150 в Ступино. 1942 год характеризовался массовым разворотом работ и началом сдачи в эксплуатацию. Год 1943 характеризовался прежде всего работами по сдаче в эксплуатацию основных производственных зданий и сооружений, значительным увеличением монтажных работ на базе поступающего импортного оборудования и первой выдачей готовой продукции. 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 В 1944 году выпускались лопасти, профили и прутки. 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 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w:t>
      </w:r>
      <w:proofErr w:type="gramStart"/>
      <w:r w:rsidRPr="008127F8">
        <w:rPr>
          <w:rFonts w:ascii="Times New Roman" w:hAnsi="Times New Roman"/>
          <w:color w:val="000000" w:themeColor="text1"/>
          <w:sz w:val="16"/>
          <w:szCs w:val="16"/>
        </w:rPr>
        <w:t>кузнечно-прессового</w:t>
      </w:r>
      <w:proofErr w:type="gramEnd"/>
      <w:r w:rsidRPr="008127F8">
        <w:rPr>
          <w:rFonts w:ascii="Times New Roman" w:hAnsi="Times New Roman"/>
          <w:color w:val="000000" w:themeColor="text1"/>
          <w:sz w:val="16"/>
          <w:szCs w:val="16"/>
        </w:rPr>
        <w:t xml:space="preserve"> (9599).</w:t>
      </w:r>
    </w:p>
    <w:p w14:paraId="3C1BBD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555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было выпущено всего 74 машины. В марте выпуск почти удвоился - было выпущено за месяц 118 Пе-2. Такой резкий скачок был закономерен, ибо в конце марта практически закончился монтаж тяжёлого оборудования и завод входил в нормальный режим работы (5764,39).</w:t>
      </w:r>
    </w:p>
    <w:p w14:paraId="71E05F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EFD78" w14:textId="77777777" w:rsidR="00F46F29" w:rsidRPr="008127F8" w:rsidRDefault="00F46F29" w:rsidP="001E0A84">
      <w:pPr>
        <w:pStyle w:val="rtejustify"/>
        <w:shd w:val="clear" w:color="auto" w:fill="FFFFFF"/>
        <w:spacing w:before="0" w:after="0"/>
        <w:textAlignment w:val="baseline"/>
        <w:rPr>
          <w:color w:val="000000" w:themeColor="text1"/>
          <w:sz w:val="16"/>
          <w:szCs w:val="16"/>
        </w:rPr>
      </w:pPr>
      <w:r w:rsidRPr="008127F8">
        <w:rPr>
          <w:rStyle w:val="af1"/>
          <w:i w:val="0"/>
          <w:color w:val="000000" w:themeColor="text1"/>
          <w:sz w:val="16"/>
          <w:szCs w:val="16"/>
          <w:bdr w:val="none" w:sz="0" w:space="0" w:color="auto" w:frame="1"/>
        </w:rPr>
        <w:t>В феврале 1942 года ЛаГГ-3 (с.н. 312197) с НС-37 оказался на полигоне. Ведущими по самолету были инженер С.П.Мохов и летчик С.К.Воробьев.</w:t>
      </w:r>
    </w:p>
    <w:p w14:paraId="6ADEC3FA" w14:textId="77777777" w:rsidR="00F46F29" w:rsidRPr="008127F8" w:rsidRDefault="00F46F29" w:rsidP="001E0A84">
      <w:pPr>
        <w:pStyle w:val="rtejustify"/>
        <w:shd w:val="clear" w:color="auto" w:fill="FFFFFF"/>
        <w:spacing w:before="0" w:after="0"/>
        <w:textAlignment w:val="baseline"/>
        <w:rPr>
          <w:rStyle w:val="af1"/>
          <w:i w:val="0"/>
          <w:color w:val="000000" w:themeColor="text1"/>
          <w:sz w:val="16"/>
          <w:szCs w:val="16"/>
          <w:bdr w:val="none" w:sz="0" w:space="0" w:color="auto" w:frame="1"/>
        </w:rPr>
      </w:pPr>
      <w:r w:rsidRPr="008127F8">
        <w:rPr>
          <w:rStyle w:val="af1"/>
          <w:i w:val="0"/>
          <w:color w:val="000000" w:themeColor="text1"/>
          <w:sz w:val="16"/>
          <w:szCs w:val="16"/>
          <w:bdr w:val="none" w:sz="0" w:space="0" w:color="auto" w:frame="1"/>
        </w:rPr>
        <w:t>Государственные испытания завершились в марте 1942 года.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7F11306C" w14:textId="77777777" w:rsidR="00F46F29" w:rsidRPr="008127F8" w:rsidRDefault="00F46F29" w:rsidP="001E0A84">
      <w:pPr>
        <w:pStyle w:val="rtejustify"/>
        <w:shd w:val="clear" w:color="auto" w:fill="FFFFFF"/>
        <w:spacing w:before="0" w:after="0"/>
        <w:textAlignment w:val="baseline"/>
        <w:rPr>
          <w:rStyle w:val="af1"/>
          <w:i w:val="0"/>
          <w:color w:val="000000" w:themeColor="text1"/>
          <w:sz w:val="16"/>
          <w:szCs w:val="16"/>
          <w:bdr w:val="none" w:sz="0" w:space="0" w:color="auto" w:frame="1"/>
        </w:rPr>
      </w:pPr>
    </w:p>
    <w:p w14:paraId="517BA0EF" w14:textId="77777777" w:rsidR="00F46F29" w:rsidRPr="008127F8" w:rsidRDefault="00F46F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А. Д. Швецов направил в Горький группу инженеров под руководством А. И. Валединского и прислал два мотора. Не проводились расчеты, не разрабатывались чертежи, работы вели прямо в цеху. 4 марта ГКО принял решение прекратить выпуск истребителей ЛаГГ-3, а 21 марта самолет ЛаГГ-3 с двигателем М-82 вышел на летные испытания. Полу чен ные в первых полетах данные были направлены в Москву. 19 мая вышло новое постановление ГКО, которое отменяло выпуск в Горьком истребителей Як-7 и нацеливало завод на выпуск новых истребителей с двигателем М-82, получивших с сентября 1942 г. обозначение Ла-5. До 1944 г. включительно было построено 10 002 экземпляра (19727).</w:t>
      </w:r>
    </w:p>
    <w:p w14:paraId="0ED9DADA" w14:textId="77777777" w:rsidR="00F46F29" w:rsidRPr="008127F8" w:rsidRDefault="00F46F29" w:rsidP="001E0A84">
      <w:pPr>
        <w:spacing w:after="0" w:line="240" w:lineRule="auto"/>
        <w:jc w:val="both"/>
        <w:rPr>
          <w:rFonts w:ascii="Times New Roman" w:hAnsi="Times New Roman"/>
          <w:color w:val="000000" w:themeColor="text1"/>
          <w:sz w:val="16"/>
          <w:szCs w:val="16"/>
        </w:rPr>
      </w:pPr>
    </w:p>
    <w:p w14:paraId="56AD917F" w14:textId="77777777" w:rsidR="0071448C" w:rsidRPr="008127F8" w:rsidRDefault="0071448C" w:rsidP="001E0A84">
      <w:pPr>
        <w:pStyle w:val="a4"/>
        <w:rPr>
          <w:color w:val="000000" w:themeColor="text1"/>
          <w:lang w:val="ru-RU"/>
        </w:rPr>
      </w:pPr>
      <w:r w:rsidRPr="008127F8">
        <w:rPr>
          <w:color w:val="000000" w:themeColor="text1"/>
          <w:lang w:val="ru-RU"/>
        </w:rPr>
        <w:t>В феврале 1942 г. В.П. Горбунов в Тби</w:t>
      </w:r>
      <w:r w:rsidRPr="008127F8">
        <w:rPr>
          <w:color w:val="000000" w:themeColor="text1"/>
          <w:lang w:val="ru-RU"/>
        </w:rPr>
        <w:softHyphen/>
        <w:t>лиси на заводе № 31 начал собственную работу по установке мото</w:t>
      </w:r>
      <w:r w:rsidRPr="008127F8">
        <w:rPr>
          <w:color w:val="000000" w:themeColor="text1"/>
        </w:rPr>
        <w:t>pa</w:t>
      </w:r>
      <w:r w:rsidRPr="008127F8">
        <w:rPr>
          <w:color w:val="000000" w:themeColor="text1"/>
          <w:lang w:val="ru-RU"/>
        </w:rPr>
        <w:t xml:space="preserve"> М-82 на самолёт ЛаГГ-3. Он получил обозначение «Г» или позднее «Г-1». Сведений о деталях ус</w:t>
      </w:r>
      <w:r w:rsidRPr="008127F8">
        <w:rPr>
          <w:color w:val="000000" w:themeColor="text1"/>
          <w:lang w:val="ru-RU"/>
        </w:rPr>
        <w:softHyphen/>
        <w:t>тановки М-82 на этой машине найти не удалось. Извест</w:t>
      </w:r>
      <w:r w:rsidRPr="008127F8">
        <w:rPr>
          <w:color w:val="000000" w:themeColor="text1"/>
          <w:lang w:val="ru-RU"/>
        </w:rPr>
        <w:softHyphen/>
        <w:t>но лишь, что взяли серийный ЛаГГ-3, на нем установили две несинхронные пушки ШВАК МП-20 в дополнительных отсеках крыла, размещённых между центропланом и консолями. Этим самым размах крыла увеличился на 1200 мм. На моторе установили 2 штатных УБС. В процессе сборки самолёта появились затруднения по монтажу крыльевой пневмопроводки вооружения, в результате чего пушки не установили. Несмотря на это, полётн вес получился весьма внушительным — 3521 кг (15788).</w:t>
      </w:r>
    </w:p>
    <w:p w14:paraId="5BB386BB" w14:textId="77777777" w:rsidR="0071448C" w:rsidRPr="008127F8" w:rsidRDefault="0071448C" w:rsidP="001E0A84">
      <w:pPr>
        <w:pStyle w:val="a4"/>
        <w:rPr>
          <w:color w:val="000000" w:themeColor="text1"/>
          <w:lang w:val="ru-RU"/>
        </w:rPr>
      </w:pPr>
    </w:p>
    <w:p w14:paraId="1144AC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февраль 1942 года был подготовлен Паспорт завода № 183</w:t>
      </w:r>
    </w:p>
    <w:p w14:paraId="12A2E1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территории УВЗ в настоящее время размещаются заводы: №№ 183, 381, 184 и 120</w:t>
      </w:r>
    </w:p>
    <w:p w14:paraId="0DA5E0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Максарев (9674).</w:t>
      </w:r>
    </w:p>
    <w:p w14:paraId="2F9614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22A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завод № 47 вновь возвращается на выпуск самолета УТ-2. Из полученного задела от завода № 292 завод собрал 2 самолета ЯК-1. 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217E8D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 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0F0DC060"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w:t>
      </w:r>
    </w:p>
    <w:p w14:paraId="1D99E1E4"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Дизельный (с двумя дизельмоторами)</w:t>
      </w:r>
    </w:p>
    <w:p w14:paraId="337BB874"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Модернизированный</w:t>
      </w:r>
    </w:p>
    <w:p w14:paraId="2C5FFEB4"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79BAFA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152C13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56E1BD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w:t>
      </w:r>
      <w:r w:rsidRPr="008127F8">
        <w:rPr>
          <w:rFonts w:ascii="Times New Roman" w:hAnsi="Times New Roman"/>
          <w:color w:val="000000" w:themeColor="text1"/>
          <w:sz w:val="16"/>
          <w:szCs w:val="16"/>
        </w:rPr>
        <w:lastRenderedPageBreak/>
        <w:t>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2D428E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 Шевченко А.М.</w:t>
      </w:r>
    </w:p>
    <w:p w14:paraId="6D68F8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Оренбург, п/я 936</w:t>
      </w:r>
    </w:p>
    <w:p w14:paraId="6F1F10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реактивная техника</w:t>
      </w:r>
    </w:p>
    <w:p w14:paraId="15B947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FF331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BBB07"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главу британ</w:t>
      </w:r>
      <w:r w:rsidRPr="008127F8">
        <w:rPr>
          <w:rFonts w:ascii="Times New Roman" w:hAnsi="Times New Roman"/>
          <w:color w:val="000000" w:themeColor="text1"/>
          <w:sz w:val="16"/>
          <w:szCs w:val="16"/>
        </w:rPr>
        <w:softHyphen/>
        <w:t>ской военно-морской миссии в СССР контр-адмирала Майлза запросили о возможности предоставления трех де</w:t>
      </w:r>
      <w:r w:rsidRPr="008127F8">
        <w:rPr>
          <w:rFonts w:ascii="Times New Roman" w:hAnsi="Times New Roman"/>
          <w:color w:val="000000" w:themeColor="text1"/>
          <w:sz w:val="16"/>
          <w:szCs w:val="16"/>
        </w:rPr>
        <w:softHyphen/>
        <w:t>сятков «Москито» в варианте дальнего истребителя для ВВС Северного флота. Эти машины предназначались для уве</w:t>
      </w:r>
      <w:r w:rsidRPr="008127F8">
        <w:rPr>
          <w:rFonts w:ascii="Times New Roman" w:hAnsi="Times New Roman"/>
          <w:color w:val="000000" w:themeColor="text1"/>
          <w:sz w:val="16"/>
          <w:szCs w:val="16"/>
        </w:rPr>
        <w:softHyphen/>
        <w:t>личения радиуса воздушного прикрытия арктических конвоев, следовавших в Мурманск и Архангельск. Майлз свя</w:t>
      </w:r>
      <w:r w:rsidRPr="008127F8">
        <w:rPr>
          <w:rFonts w:ascii="Times New Roman" w:hAnsi="Times New Roman"/>
          <w:color w:val="000000" w:themeColor="text1"/>
          <w:sz w:val="16"/>
          <w:szCs w:val="16"/>
        </w:rPr>
        <w:softHyphen/>
        <w:t>зался с Лондоном и позже дал ответ, что против передачи истребителей возра</w:t>
      </w:r>
      <w:r w:rsidRPr="008127F8">
        <w:rPr>
          <w:rFonts w:ascii="Times New Roman" w:hAnsi="Times New Roman"/>
          <w:color w:val="000000" w:themeColor="text1"/>
          <w:sz w:val="16"/>
          <w:szCs w:val="16"/>
        </w:rPr>
        <w:softHyphen/>
        <w:t>жает министерство авиации - дескать, самим очень нужны.</w:t>
      </w:r>
    </w:p>
    <w:p w14:paraId="5002B769"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Осенью того же года советская сторона официально запросила один экземпляр бомбардировщика для изуче</w:t>
      </w:r>
      <w:r w:rsidRPr="008127F8">
        <w:rPr>
          <w:rFonts w:ascii="Times New Roman" w:hAnsi="Times New Roman"/>
          <w:color w:val="000000" w:themeColor="text1"/>
          <w:sz w:val="16"/>
          <w:szCs w:val="16"/>
        </w:rPr>
        <w:softHyphen/>
        <w:t>ния. На этот раз британское правитель</w:t>
      </w:r>
      <w:r w:rsidRPr="008127F8">
        <w:rPr>
          <w:rFonts w:ascii="Times New Roman" w:hAnsi="Times New Roman"/>
          <w:color w:val="000000" w:themeColor="text1"/>
          <w:sz w:val="16"/>
          <w:szCs w:val="16"/>
        </w:rPr>
        <w:softHyphen/>
        <w:t>ство ответило согласием (19655).</w:t>
      </w:r>
    </w:p>
    <w:p w14:paraId="13431602"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0FAFFC8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февраля 1942 г. завод № 154 начал сдавать двигатели, полностью изготовленные в Средней Азии. Нехватка оборудования, квалифицированных рабочих и неприспособленность производственных площадей привели к резкому удорожанию продукции. М-11Д, сделанный в Андижане, обходился в полтора раза дороже воронежского "собрата". А моторов требовалось все больше: с осени 1941 г. У-2 стал применяться на фронте не только как самолет связи, но и как легкий ночной бомбардировщик. Чтобы удовлетворить запросы военных, НКАП превратил в авиамоторный московский завод № 41, ранее изготовлявший оснастку и различные приспособления. С конца лета 1942 г. там начали собирать М-11Д. На заводе № 41 имелось свое конструкторское бюро, которым руководил И.А. Мужилов. Таким образом, возникла возможность двух параллельных ветвей эволюции М-11. На первом плане стояло наращивание серийного выпуска. Для этого в 1943 г. М-11Д подвергся значительному упрощению с целью удешевления и ускорения производства - изменили конструкцию головок цилиндров, коленчатого вала, комплектацию агрегатами, сняли пневмопуск. В Москве даже работали над переводом мотора на газ. Собирался ли Мужилов укомплектовать У-2 газогенератором, или хранить уже выработанный газ в баллонах, по документам выяснить не удалось. В первом случае это был бы первый в мире самолет на дровах! (11479).</w:t>
      </w:r>
    </w:p>
    <w:p w14:paraId="6D78A56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486E6E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О.К.А. испытал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Летчик-испытатель М.Л.Галлай опробовал в ЛИИ в мае-июне 1942 г. буксировку ВПИ за истребителем ЛаГГ-3 и «кукурузником» По-2. Прицеп поступил в серийное производство. Всего завод №388 построил 22 воздушных прицепа. К сожалению, практического применения воздушные прицепы не получили из-за сложности обучения их буксировке — планер сильно раскачивал самолет. Озабоченное загрузкой производственных мощностей завода №388 руководство НКАП решило, в соответствии с актуальной в то время программой замены дюралюминиевых частей самолетов на более дешевые деревянные, попутно выпускать на заводе какие-либо деревянные агрегаты. Сначала на завод пришел приказ об освоении выпуска крыльев для истребителя Як-7, но уже через несколько дней вместо него поступило распоряжение начать строительство фюзеляжей пикирующего бомбардировщика Пе-2 для казанского авиазавода №22. Однако испытания Пе-2, оснащенных тяжелыми деревянными фюзеляжами, показали их непригодность для боевого использования. После сдачи 36-го фюзеляжа их выпуск на заводе №388 прекратили. В конце августа 1942 г. опытный цех воздушно-десантного оборудования переехал с завода №388 на завод №464 в Тушино и вскоре завод на 2-й Рыбинской перестал существовать как самостоятельное предприятие (10752).</w:t>
      </w:r>
    </w:p>
    <w:p w14:paraId="4F82EE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A20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О.К.Антонов построил и успешно испытал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(11242).</w:t>
      </w:r>
    </w:p>
    <w:p w14:paraId="52CD25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4E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из состава полигона НИИ ВВС, который располагался в то время в Оренбурге (Чкалове) был выделен филиал, который был перебазирован в Ногинск. Большинство работ по испытаниям авиационного вооружения были проведены этим филиалом. Всего научно- испытательным полигоном (НИП АВ) было проведено 899 испытаний авиационного вооружения, обучено и переучено на новую материальную часть 305 человек из строевых частей ВВС (11017).</w:t>
      </w:r>
    </w:p>
    <w:p w14:paraId="741CEE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A70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руководство авиационной промышленности Германии отмечало: "Захваченные в качестве трофеев советские самолеты доказывают, что в последние годы имел место неожиданный технический рывок в развитии самолетостроения в СССР. Причем в отдельных областях отмечается их конкурентоспособность по сравнению с лучшими изделиями Европы и Америки". А вот строки из документа, датируемого апрелем 1942 года: "Необходимо отметить, что советское моторостроение сделало неожиданно большой рывок и не только в количественном, но и в качественном отношении по сравнению с другими воюющими государствами" (3573).</w:t>
      </w:r>
    </w:p>
    <w:p w14:paraId="66B5D2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7A8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Научно-техническим журналом ВВС № 010 для МАБ-250 утвердили номер чертежа 3-01080 и индекс ВВС 7-М-329.</w:t>
      </w:r>
    </w:p>
    <w:p w14:paraId="200C42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применения МАБ-250 в Великой Отечественной войне показал, что этот боеприпас не оправдал своего назначения из-за малой эффективности - в условиях бомбометания с малых высот требовалось длительное время выдерживать курс для выхода на цель, что приводило к большим потерям самолетов. Между тем в некоторых изданиях упоминается, что в 1943 г. разработчики этого боеприпаса стали лауреатами Государственной премии СССР. Однако необходимо уточнить, что столь высокой награды они были удостоены за морские фугасные МФАБ и противолодочные МПЛАБ. В 1945 г. авиабомбы МАБ-250 сняли с вооружения, а их немногочисленные запасы было предписано использовать как обычные ФАБ-250 (7453).</w:t>
      </w:r>
    </w:p>
    <w:p w14:paraId="115F4A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CB1B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В.П. Горбунов в Тбилиси на заводе № 31 начал собствен</w:t>
      </w:r>
      <w:r w:rsidRPr="008127F8">
        <w:rPr>
          <w:rFonts w:ascii="Times New Roman" w:hAnsi="Times New Roman"/>
          <w:color w:val="000000" w:themeColor="text1"/>
          <w:sz w:val="16"/>
          <w:szCs w:val="16"/>
        </w:rPr>
        <w:softHyphen/>
        <w:t>ную работу по установке мотора М-82 на самолет ЛаГГ-3. Он получил обо</w:t>
      </w:r>
      <w:r w:rsidRPr="008127F8">
        <w:rPr>
          <w:rFonts w:ascii="Times New Roman" w:hAnsi="Times New Roman"/>
          <w:color w:val="000000" w:themeColor="text1"/>
          <w:sz w:val="16"/>
          <w:szCs w:val="16"/>
        </w:rPr>
        <w:softHyphen/>
        <w:t>значение «Г» или позднее «Г-1». Све</w:t>
      </w:r>
      <w:r w:rsidRPr="008127F8">
        <w:rPr>
          <w:rFonts w:ascii="Times New Roman" w:hAnsi="Times New Roman"/>
          <w:color w:val="000000" w:themeColor="text1"/>
          <w:sz w:val="16"/>
          <w:szCs w:val="16"/>
        </w:rPr>
        <w:softHyphen/>
        <w:t>дений о деталях установки мотора М-82 на этой машине найти не уда</w:t>
      </w:r>
      <w:r w:rsidRPr="008127F8">
        <w:rPr>
          <w:rFonts w:ascii="Times New Roman" w:hAnsi="Times New Roman"/>
          <w:color w:val="000000" w:themeColor="text1"/>
          <w:sz w:val="16"/>
          <w:szCs w:val="16"/>
        </w:rPr>
        <w:softHyphen/>
        <w:t>лось. Известно лишь, что был взят се</w:t>
      </w:r>
      <w:r w:rsidRPr="008127F8">
        <w:rPr>
          <w:rFonts w:ascii="Times New Roman" w:hAnsi="Times New Roman"/>
          <w:color w:val="000000" w:themeColor="text1"/>
          <w:sz w:val="16"/>
          <w:szCs w:val="16"/>
        </w:rPr>
        <w:softHyphen/>
        <w:t>рийный самолет ЛаГГ-3, на котором были установлены 2 несинхронные пушки ШВАК МП-20 в дополнитель</w:t>
      </w:r>
      <w:r w:rsidRPr="008127F8">
        <w:rPr>
          <w:rFonts w:ascii="Times New Roman" w:hAnsi="Times New Roman"/>
          <w:color w:val="000000" w:themeColor="text1"/>
          <w:sz w:val="16"/>
          <w:szCs w:val="16"/>
        </w:rPr>
        <w:softHyphen/>
        <w:t>ных отсеках крыла, размещенных меж</w:t>
      </w:r>
      <w:r w:rsidRPr="008127F8">
        <w:rPr>
          <w:rFonts w:ascii="Times New Roman" w:hAnsi="Times New Roman"/>
          <w:color w:val="000000" w:themeColor="text1"/>
          <w:sz w:val="16"/>
          <w:szCs w:val="16"/>
        </w:rPr>
        <w:softHyphen/>
        <w:t>ду центропланом и консолями. Этим самым размах крыла увеличился на 1200 мм. На моторе были установ</w:t>
      </w:r>
      <w:r w:rsidRPr="008127F8">
        <w:rPr>
          <w:rFonts w:ascii="Times New Roman" w:hAnsi="Times New Roman"/>
          <w:color w:val="000000" w:themeColor="text1"/>
          <w:sz w:val="16"/>
          <w:szCs w:val="16"/>
        </w:rPr>
        <w:softHyphen/>
        <w:t>лены 2 штатных УБС. В процессе сборки самолета появились затруд</w:t>
      </w:r>
      <w:r w:rsidRPr="008127F8">
        <w:rPr>
          <w:rFonts w:ascii="Times New Roman" w:hAnsi="Times New Roman"/>
          <w:color w:val="000000" w:themeColor="text1"/>
          <w:sz w:val="16"/>
          <w:szCs w:val="16"/>
        </w:rPr>
        <w:softHyphen/>
        <w:t>нения по монтажу крыльевой пнев-мопроводки вооружения, в результа</w:t>
      </w:r>
      <w:r w:rsidRPr="008127F8">
        <w:rPr>
          <w:rFonts w:ascii="Times New Roman" w:hAnsi="Times New Roman"/>
          <w:color w:val="000000" w:themeColor="text1"/>
          <w:sz w:val="16"/>
          <w:szCs w:val="16"/>
        </w:rPr>
        <w:softHyphen/>
        <w:t>те чего пушки не были установлены. Несмотря на это, полетный вес само</w:t>
      </w:r>
      <w:r w:rsidRPr="008127F8">
        <w:rPr>
          <w:rFonts w:ascii="Times New Roman" w:hAnsi="Times New Roman"/>
          <w:color w:val="000000" w:themeColor="text1"/>
          <w:sz w:val="16"/>
          <w:szCs w:val="16"/>
        </w:rPr>
        <w:softHyphen/>
        <w:t>лета получился весьма внушительным - 3521 кг (10686).</w:t>
      </w:r>
    </w:p>
    <w:p w14:paraId="3ACB73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239F22" w14:textId="77777777" w:rsidR="0071448C" w:rsidRPr="008127F8" w:rsidRDefault="0071448C" w:rsidP="001E0A84">
      <w:pPr>
        <w:pStyle w:val="a4"/>
        <w:rPr>
          <w:color w:val="000000" w:themeColor="text1"/>
          <w:lang w:val="ru-RU"/>
        </w:rPr>
      </w:pPr>
      <w:r w:rsidRPr="008127F8">
        <w:rPr>
          <w:color w:val="000000" w:themeColor="text1"/>
          <w:lang w:val="ru-RU"/>
        </w:rPr>
        <w:t>В феврале 1942 г. В.П. Горбунов в Тби</w:t>
      </w:r>
      <w:r w:rsidRPr="008127F8">
        <w:rPr>
          <w:color w:val="000000" w:themeColor="text1"/>
          <w:lang w:val="ru-RU"/>
        </w:rPr>
        <w:softHyphen/>
        <w:t>лиси на заводе № 31 начал собственную работу по установке мото</w:t>
      </w:r>
      <w:r w:rsidRPr="008127F8">
        <w:rPr>
          <w:color w:val="000000" w:themeColor="text1"/>
        </w:rPr>
        <w:t>pa</w:t>
      </w:r>
      <w:r w:rsidRPr="008127F8">
        <w:rPr>
          <w:color w:val="000000" w:themeColor="text1"/>
          <w:lang w:val="ru-RU"/>
        </w:rPr>
        <w:t xml:space="preserve"> М-82 на самолёт ЛаГГ-3. Он получил обозначение «Г» или позднее «Г-1». Сведений о деталях ус</w:t>
      </w:r>
      <w:r w:rsidRPr="008127F8">
        <w:rPr>
          <w:color w:val="000000" w:themeColor="text1"/>
          <w:lang w:val="ru-RU"/>
        </w:rPr>
        <w:softHyphen/>
        <w:t>тановки М-82 на этой машине найти не удалось. Извест</w:t>
      </w:r>
      <w:r w:rsidRPr="008127F8">
        <w:rPr>
          <w:color w:val="000000" w:themeColor="text1"/>
          <w:lang w:val="ru-RU"/>
        </w:rPr>
        <w:softHyphen/>
        <w:t>но лишь, что взяли серийный ЛаГГ-3, на нем установили две несинхронные пушки ШВАК МП-20 в дополнительных отсеках крыла, размещённых между центропланом и консолями. Этим самым размах крыла увеличился на 1200 мм. На моторе установили 2 штатных УБС. В процессе сборки самолёта появились затруднения по монтажу крыльевой пневмопроводки вооружения, в результате чего пушки не установили. Несмотря на это, полётн вес получился весьма внушительным — 3521 кг (15788).</w:t>
      </w:r>
    </w:p>
    <w:p w14:paraId="339C98CB" w14:textId="77777777" w:rsidR="0071448C" w:rsidRPr="008127F8" w:rsidRDefault="0071448C" w:rsidP="001E0A84">
      <w:pPr>
        <w:pStyle w:val="a4"/>
        <w:rPr>
          <w:color w:val="000000" w:themeColor="text1"/>
          <w:lang w:val="ru-RU"/>
        </w:rPr>
      </w:pPr>
    </w:p>
    <w:p w14:paraId="199E7B7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w:t>
      </w:r>
      <w:r w:rsidRPr="008127F8">
        <w:rPr>
          <w:rFonts w:ascii="Times New Roman" w:hAnsi="Times New Roman"/>
          <w:color w:val="000000" w:themeColor="text1"/>
          <w:sz w:val="16"/>
          <w:szCs w:val="16"/>
        </w:rPr>
        <w:softHyphen/>
        <w:t>рале 1942 г. тюменский фанерный комбинат должен был произвести 48 тонн дельта-древесины. Фронту требова</w:t>
      </w:r>
      <w:r w:rsidRPr="008127F8">
        <w:rPr>
          <w:rFonts w:ascii="Times New Roman" w:hAnsi="Times New Roman"/>
          <w:color w:val="000000" w:themeColor="text1"/>
          <w:sz w:val="16"/>
          <w:szCs w:val="16"/>
        </w:rPr>
        <w:softHyphen/>
        <w:t>лось это стратегическое сырье для производ</w:t>
      </w:r>
      <w:r w:rsidRPr="008127F8">
        <w:rPr>
          <w:rFonts w:ascii="Times New Roman" w:hAnsi="Times New Roman"/>
          <w:color w:val="000000" w:themeColor="text1"/>
          <w:sz w:val="16"/>
          <w:szCs w:val="16"/>
        </w:rPr>
        <w:softHyphen/>
        <w:t>ства самолетов «ЛАГГ-3», «ЯК-3», а позже и для «ЛА-5» и «ЛА-7». В декабре 1943 г. на Тюменском авиафанерном комбинате № 15 было выпущено 95 тонн дельта-древесины и 225 кубометров авиафанеры. Проектирование узлов из древесины было значительно слож</w:t>
      </w:r>
      <w:r w:rsidRPr="008127F8">
        <w:rPr>
          <w:rFonts w:ascii="Times New Roman" w:hAnsi="Times New Roman"/>
          <w:color w:val="000000" w:themeColor="text1"/>
          <w:sz w:val="16"/>
          <w:szCs w:val="16"/>
        </w:rPr>
        <w:softHyphen/>
        <w:t>нее, чем из металла, поскольку дерево явля</w:t>
      </w:r>
      <w:r w:rsidRPr="008127F8">
        <w:rPr>
          <w:rFonts w:ascii="Times New Roman" w:hAnsi="Times New Roman"/>
          <w:color w:val="000000" w:themeColor="text1"/>
          <w:sz w:val="16"/>
          <w:szCs w:val="16"/>
        </w:rPr>
        <w:softHyphen/>
        <w:t>ется анизотропным материалом, у которого свойства в различных направлениях суще</w:t>
      </w:r>
      <w:r w:rsidRPr="008127F8">
        <w:rPr>
          <w:rFonts w:ascii="Times New Roman" w:hAnsi="Times New Roman"/>
          <w:color w:val="000000" w:themeColor="text1"/>
          <w:sz w:val="16"/>
          <w:szCs w:val="16"/>
        </w:rPr>
        <w:softHyphen/>
        <w:t>ственно различаются между собой. Нужны были свои специфические методы расчета на прочность и соответствующие приемы кон</w:t>
      </w:r>
      <w:r w:rsidRPr="008127F8">
        <w:rPr>
          <w:rFonts w:ascii="Times New Roman" w:hAnsi="Times New Roman"/>
          <w:color w:val="000000" w:themeColor="text1"/>
          <w:sz w:val="16"/>
          <w:szCs w:val="16"/>
        </w:rPr>
        <w:softHyphen/>
        <w:t>струирования узлов из дерева. Это теперь со</w:t>
      </w:r>
      <w:r w:rsidRPr="008127F8">
        <w:rPr>
          <w:rFonts w:ascii="Times New Roman" w:hAnsi="Times New Roman"/>
          <w:color w:val="000000" w:themeColor="text1"/>
          <w:sz w:val="16"/>
          <w:szCs w:val="16"/>
        </w:rPr>
        <w:softHyphen/>
        <w:t>ставляет основу расчета и конструирования узлов и деталей из современных наиболее перспективных композиционных материа</w:t>
      </w:r>
      <w:r w:rsidRPr="008127F8">
        <w:rPr>
          <w:rFonts w:ascii="Times New Roman" w:hAnsi="Times New Roman"/>
          <w:color w:val="000000" w:themeColor="text1"/>
          <w:sz w:val="16"/>
          <w:szCs w:val="16"/>
        </w:rPr>
        <w:softHyphen/>
        <w:t>лов. Тогда, перед войной, специалистами раз</w:t>
      </w:r>
      <w:r w:rsidRPr="008127F8">
        <w:rPr>
          <w:rFonts w:ascii="Times New Roman" w:hAnsi="Times New Roman"/>
          <w:color w:val="000000" w:themeColor="text1"/>
          <w:sz w:val="16"/>
          <w:szCs w:val="16"/>
        </w:rPr>
        <w:softHyphen/>
        <w:t>личных направлений была разработана спе</w:t>
      </w:r>
      <w:r w:rsidRPr="008127F8">
        <w:rPr>
          <w:rFonts w:ascii="Times New Roman" w:hAnsi="Times New Roman"/>
          <w:color w:val="000000" w:themeColor="text1"/>
          <w:sz w:val="16"/>
          <w:szCs w:val="16"/>
        </w:rPr>
        <w:softHyphen/>
        <w:t>циальная авиационная фанера из так назы</w:t>
      </w:r>
      <w:r w:rsidRPr="008127F8">
        <w:rPr>
          <w:rFonts w:ascii="Times New Roman" w:hAnsi="Times New Roman"/>
          <w:color w:val="000000" w:themeColor="text1"/>
          <w:sz w:val="16"/>
          <w:szCs w:val="16"/>
        </w:rPr>
        <w:softHyphen/>
        <w:t>ваемой дельта-древесины и клей ВИАМ-Б3 для ее склейки. Были разработаны научные основы расчета и конструирования узлов из древесины. Все это в значительной мере спо</w:t>
      </w:r>
      <w:r w:rsidRPr="008127F8">
        <w:rPr>
          <w:rFonts w:ascii="Times New Roman" w:hAnsi="Times New Roman"/>
          <w:color w:val="000000" w:themeColor="text1"/>
          <w:sz w:val="16"/>
          <w:szCs w:val="16"/>
        </w:rPr>
        <w:softHyphen/>
        <w:t>собствовало преодолению дефицита во время войны на алюминий. В конструкции крыльев и фюзеляжа многих истребителей в больших объемах использовалась дельта-древесина. Автором этих работ о древесине был Иосиф Григорьевич Неман. Авиафанера направлялась в отдел аэро</w:t>
      </w:r>
      <w:r w:rsidRPr="008127F8">
        <w:rPr>
          <w:rFonts w:ascii="Times New Roman" w:hAnsi="Times New Roman"/>
          <w:color w:val="000000" w:themeColor="text1"/>
          <w:sz w:val="16"/>
          <w:szCs w:val="16"/>
        </w:rPr>
        <w:softHyphen/>
        <w:t>дромного строительства ВВС Приволжского военного округа и в действующую армию. Эшелоны с тюменской дельта-древесиной и фанерой получали также отделы аэродром</w:t>
      </w:r>
      <w:r w:rsidRPr="008127F8">
        <w:rPr>
          <w:rFonts w:ascii="Times New Roman" w:hAnsi="Times New Roman"/>
          <w:color w:val="000000" w:themeColor="text1"/>
          <w:sz w:val="16"/>
          <w:szCs w:val="16"/>
        </w:rPr>
        <w:softHyphen/>
        <w:t>ного строительства 8-й и 16-й воздушных армий, которыми командовали генералы Т. Т. Хрюкин и С. И. Руденко (Тыл – это половина Победы. С. 63.) (11896).</w:t>
      </w:r>
    </w:p>
    <w:p w14:paraId="6FF438C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073350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только на авиазаводы Куйбышева были направлены 5 тыс. старшеклассников, 500 студентов, 6 тыс. рабочих с гражданских производств, 5 тыс. служащих и 1500 выпускников ремесленных училищ. Видимо, это не привело к кардинальному улучшению дел, во всяком случае, ещё 20 февраля 1942 г. НКАП докладывал, что «куйбышев</w:t>
      </w:r>
      <w:r w:rsidRPr="008127F8">
        <w:rPr>
          <w:rFonts w:ascii="Times New Roman" w:hAnsi="Times New Roman"/>
          <w:color w:val="000000" w:themeColor="text1"/>
          <w:sz w:val="16"/>
          <w:szCs w:val="16"/>
        </w:rPr>
        <w:softHyphen/>
        <w:t>ская группа заводов испытывает острый недостаток в рабо</w:t>
      </w:r>
      <w:r w:rsidRPr="008127F8">
        <w:rPr>
          <w:rFonts w:ascii="Times New Roman" w:hAnsi="Times New Roman"/>
          <w:color w:val="000000" w:themeColor="text1"/>
          <w:sz w:val="16"/>
          <w:szCs w:val="16"/>
        </w:rPr>
        <w:softHyphen/>
        <w:t xml:space="preserve">чей силе, даже при наличии рабочих колон </w:t>
      </w:r>
      <w:proofErr w:type="gramStart"/>
      <w:r w:rsidRPr="008127F8">
        <w:rPr>
          <w:rFonts w:ascii="Times New Roman" w:hAnsi="Times New Roman"/>
          <w:color w:val="000000" w:themeColor="text1"/>
          <w:sz w:val="16"/>
          <w:szCs w:val="16"/>
        </w:rPr>
        <w:t>НКО..</w:t>
      </w:r>
      <w:proofErr w:type="gramEnd"/>
      <w:r w:rsidRPr="008127F8">
        <w:rPr>
          <w:rFonts w:ascii="Times New Roman" w:hAnsi="Times New Roman"/>
          <w:color w:val="000000" w:themeColor="text1"/>
          <w:sz w:val="16"/>
          <w:szCs w:val="16"/>
        </w:rPr>
        <w:t xml:space="preserve"> .»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1). Весной 1942 г. к ним прибавились 14 тыс. чел., мобилизованных в Чкаловской, Пензенской и Куйбышевской областях и 40 тыс. рабочих и учащихся ремесленных училищ, эвакуирован</w:t>
      </w:r>
      <w:r w:rsidRPr="008127F8">
        <w:rPr>
          <w:rFonts w:ascii="Times New Roman" w:hAnsi="Times New Roman"/>
          <w:color w:val="000000" w:themeColor="text1"/>
          <w:sz w:val="16"/>
          <w:szCs w:val="16"/>
        </w:rPr>
        <w:softHyphen/>
        <w:t>ных из Ленинграда. Всего из блокадного Ленинграда весной 1942 г. было вывезено 25 тыс. рабочих, которым, ввиду их из</w:t>
      </w:r>
      <w:r w:rsidRPr="008127F8">
        <w:rPr>
          <w:rFonts w:ascii="Times New Roman" w:hAnsi="Times New Roman"/>
          <w:color w:val="000000" w:themeColor="text1"/>
          <w:sz w:val="16"/>
          <w:szCs w:val="16"/>
        </w:rPr>
        <w:softHyphen/>
        <w:t xml:space="preserve">мождённости, обеспечивали усиленное питание в пути и ещё в течение месяца на новом месте. Наибольшая компактная группа ленинградских рабочих (4500 чел.) была распределена в Куйбышев, на завод № 24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147-148) (12011).</w:t>
      </w:r>
    </w:p>
    <w:p w14:paraId="56AC19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B81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эти ВВ приняли на вооружение разработанные в 1940 г. инженером Е.Г. Лединым взрывчатые составы на основе флегматизированного гексогена с целью снижения его чувствительности к удару, а также раздельно-шашечную технологию снаряжания бронебойных снарядов. По мощности взрыва эти составы, получившие наименование А-1Х-1 и А-1Х-2, в два и более раза превосходили тротил и отличались высокой зажигательной способностью в отношении жидких топлив, а так-же повышенной стойкостью при проникании снаряда и броне преграду, в августе эти сплавы испытывали в последней предвоенной евпаторийской экспедиции НИПАВ ВВС в составе снаряжения БЕТАБ-150ДС (11402).</w:t>
      </w:r>
    </w:p>
    <w:p w14:paraId="6E5B79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C77C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 вооружение поступил очередной вариант М-8 (модели ТЗ-0080), в конструкции которого учли пожелания артиллери</w:t>
      </w:r>
      <w:r w:rsidRPr="008127F8">
        <w:rPr>
          <w:rFonts w:ascii="Times New Roman" w:hAnsi="Times New Roman"/>
          <w:color w:val="000000" w:themeColor="text1"/>
          <w:sz w:val="16"/>
          <w:szCs w:val="16"/>
        </w:rPr>
        <w:softHyphen/>
        <w:t>стов по усилению огневой мощи. Возросшая в полтора раза масса ВВ при сохранении дальности стрельбы не потребовала увеличения РЗ и длины всего боеприпаса.</w:t>
      </w:r>
    </w:p>
    <w:p w14:paraId="7E9BB2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Спустя год, испытали два варианта еще более мощного и дальнобой</w:t>
      </w:r>
      <w:r w:rsidRPr="008127F8">
        <w:rPr>
          <w:rFonts w:ascii="Times New Roman" w:hAnsi="Times New Roman"/>
          <w:color w:val="000000" w:themeColor="text1"/>
          <w:sz w:val="16"/>
          <w:szCs w:val="16"/>
        </w:rPr>
        <w:softHyphen/>
        <w:t>ного М-8 модели ТЗ-0095. Его РЗ состоял из пяти 287-мм пороховых ша</w:t>
      </w:r>
      <w:r w:rsidRPr="008127F8">
        <w:rPr>
          <w:rFonts w:ascii="Times New Roman" w:hAnsi="Times New Roman"/>
          <w:color w:val="000000" w:themeColor="text1"/>
          <w:sz w:val="16"/>
          <w:szCs w:val="16"/>
        </w:rPr>
        <w:softHyphen/>
        <w:t>шек марки НМ2 диаметром 26,6 мм и внутренним 6-мм каналом. С при</w:t>
      </w:r>
      <w:r w:rsidRPr="008127F8">
        <w:rPr>
          <w:rFonts w:ascii="Times New Roman" w:hAnsi="Times New Roman"/>
          <w:color w:val="000000" w:themeColor="text1"/>
          <w:sz w:val="16"/>
          <w:szCs w:val="16"/>
        </w:rPr>
        <w:softHyphen/>
        <w:t>менением этого заряда дальность полета снаряда, выпущенного с наземой пусковой, достигала 5900 м (11402).</w:t>
      </w:r>
    </w:p>
    <w:p w14:paraId="3617301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9BED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в РНИИ была закончена отработка 82-мм РС, что позволило двое увеличить заряд, а затем и дальность, которая велась с сентября 1941 (384,195).</w:t>
      </w:r>
    </w:p>
    <w:p w14:paraId="22FA80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73F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февраля 1942 года по май 1942 года была разработана пусковая установка М-8-М башенно-палубного типа для стрельбы неуправляемыми реактивными снарядами М-8 калибра 82 мм использованных для стрельбы с сухопутных установок М-8-36 и железнодорожных установок. Она предназначалась для обеспечения выполнения боевых задач по поражению массированным огнем незащищенных береговых и морских целей, а также защиты катера или корабля от низколетящих самолетов противника. В состав метательной установки входил пакет из 12 направляющих типа “балка” длиной 2000 мм каждая. Направляющие крепились на каркасной ферме, собранной из трубчатых заготовок. Наведение по углу возвышения в пределах от 0 до 45°. Залп производился в результате вращения маховичка ПУО. За один поворот маховичка с боевой установки сходили два неуправляемых реактивных снаряда М-8. Пуск снаряда (выстрел) производился после подачи импульса электрического тока от батареи через прибор управления огнем и электрический контакт пиротехнического пистолета к пиротехническому патрону, который взрываясь (срабатывая), воспламенял пороховой заряд ракетного двигателя реактивного снаряда М-8. Под палубой, в трюме, предусматривалось помещение для хранения комплекта снарядов. Ведущим конструктором был Александр Николаевич Васильев. 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39EA8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37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в период с февраля по май 1942 года по заданию Наркомата минометного вооружения и исходным данным, полученным из Артиллерийского Управления Военно-Морского Флота, была разработана установка М-13-МI надпалубного типа и затем смонтирована на речном катере. Ведущим конструктором был А.Н. Васильев. Запуск снарядов обеспечивался оператором, находившимся в рубке. При стрельбе неуправляемыми реактивными снарядами калибра 132 мм могло быть обеспечено уничтожение живой силы и боевой техники противника при подготовке к высадке десанта, а также при проведении оборонительных операций. Установка крепилась на крыше боевой рубки, огороженной защитным устройством. Метательная установка, за исключением фермы, была унифицированной метательной установкой установки М-13, монтировавшейся на модифицированном шасси грузового автомобиля ЗИС-6. Использовалась ферма от установки М-13, метательная установка которой монтировалась на модифицированном шасси трактора СТЗ-5. Снаряды М-13 запускались с помощью установок на модифицированных шасси грузовых автомобилей, танков и железнодорожных платформ.</w:t>
      </w:r>
    </w:p>
    <w:p w14:paraId="01BE9D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Метательная установка монтировалась на специальный подрамник в виде каркаса из швеллерных балок, в нижней части которого располагался шариковый погон. Нижняя часть шарикового погона крепилась на верхней части палубы бронекатера. Внутри нижней (неподвижной) части погона имелось цевочное зацепление, а на верхней (поворотной) части погона закреплялось колесо с приводом. Это позволяло осуществлять круговой поворот всей метательной установки по азимуту. Горизонтальный механизм наведения в поворотном устройстве в этом случае являлся доводочным. Система прицеливания была унифицирована с системой установки М-13 на модифицированном шасси трактора СТЗ-5. Электрооборудование метательной установки было максимально унифицировано с электрооборудованием серийной установки М-13 на модифицированном шасси грузового автомобиля ЗИС-6, с увеличением длины приводов и размещением аккумуляторных батарей и переключателя прибора управления огнем в подпалубном положении. В трюме имелось помещение для хранения боеприпасов. Опытный образец был изготовлен в мае 1942 года на московском заводе “Компрессор”,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089F5F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32B2D" w14:textId="39E112F8" w:rsidR="00F46F29" w:rsidRPr="008127F8" w:rsidRDefault="00F46F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 Таганроге на териитории завода № 31 действовал филиал фирмы «Юнкерс». Директор было немец Гофман, а русским директором стал П.Г. Кулаков, работавший войны бухгалтером на предприятии. Стали функционировать некоторые цехи и участки. Потом сюда согнали русских пленных из ближних лагерей и выздоравливающих из госпиталей. Начальником русской охраны завода, а была и немецкая охрана, стал эмигрант бывший белый генерал</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К.А. Васнецкий. Всего на заводе работало около 500 человек, русских и немцев. Были созданы две большие бригады по ремонту самолетов, чаще всего «юнкерсов». Действовал механический цех, большой цех был занят ремонтом автомобильной техники. Запчасти для самолетов делала </w:t>
      </w:r>
      <w:proofErr w:type="gramStart"/>
      <w:r w:rsidRPr="008127F8">
        <w:rPr>
          <w:rFonts w:ascii="Times New Roman" w:hAnsi="Times New Roman"/>
          <w:color w:val="000000" w:themeColor="text1"/>
          <w:sz w:val="16"/>
          <w:szCs w:val="16"/>
        </w:rPr>
        <w:t>бригада</w:t>
      </w:r>
      <w:proofErr w:type="gramEnd"/>
      <w:r w:rsidRPr="008127F8">
        <w:rPr>
          <w:rFonts w:ascii="Times New Roman" w:hAnsi="Times New Roman"/>
          <w:color w:val="000000" w:themeColor="text1"/>
          <w:sz w:val="16"/>
          <w:szCs w:val="16"/>
        </w:rPr>
        <w:t xml:space="preserve"> во главе которой стоял Клочков, племянник Кулакова. Его не любили в бригаде, он был немецкий прихвостень. Однажды в его бригаде случалась авария, сорвался с крепления почти готовый самолет лет и сильно помялся. Клочкова отстранили от работы, а мастера-немца отправили на фронт. Всех рабочих вызвали на допрос. Больше недели гестаповцы искали виновных. Причину аварии все же установили. Нашли подпилы в креплении стапеля. Отдельная бригада ремонтировала наши самолеты, но руководил ею немецкий мастер, которого за глаза звали «12-головый </w:t>
      </w:r>
      <w:proofErr w:type="gramStart"/>
      <w:r w:rsidRPr="008127F8">
        <w:rPr>
          <w:rFonts w:ascii="Times New Roman" w:hAnsi="Times New Roman"/>
          <w:color w:val="000000" w:themeColor="text1"/>
          <w:sz w:val="16"/>
          <w:szCs w:val="16"/>
        </w:rPr>
        <w:t>змей»…</w:t>
      </w:r>
      <w:proofErr w:type="gramEnd"/>
      <w:r w:rsidRPr="008127F8">
        <w:rPr>
          <w:rFonts w:ascii="Times New Roman" w:hAnsi="Times New Roman"/>
          <w:color w:val="000000" w:themeColor="text1"/>
          <w:sz w:val="16"/>
          <w:szCs w:val="16"/>
        </w:rPr>
        <w:t xml:space="preserve"> Летом 1942 года на заводе обнаружили листовки, в «Карантине» был подожжен склад с бензином.</w:t>
      </w:r>
    </w:p>
    <w:p w14:paraId="113C4FD5" w14:textId="72D49B3C" w:rsidR="00F46F29" w:rsidRPr="008127F8" w:rsidRDefault="00F46F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Осенью 1942 года завод стало лихорадить. Поступало много разбитой техники: самолетов, автомашин из-под Сталинграда. Было налажено какое-то сотрудничество с Запорожским заводом. Биржа труда присылала новых рабочих. Периодически на заводе что-то «случалось». В октябре сгорел цех с ацетоновыми красителями, там взорвалась цистерна с краской, сгорело несколько автомашин, и готовый к покраске самолет. Вскоре на железнодорожном участке взорвалась цистерна с бензином и сгорел паровоз с несколькими вагонами. В тот же день гестапо арестовало 50 рабочих. Большинство из них не вернулись.</w:t>
      </w:r>
      <w:r w:rsidR="008127F8">
        <w:rPr>
          <w:rFonts w:ascii="Times New Roman" w:hAnsi="Times New Roman"/>
          <w:color w:val="000000" w:themeColor="text1"/>
          <w:sz w:val="16"/>
          <w:szCs w:val="16"/>
        </w:rPr>
        <w:t xml:space="preserve">  </w:t>
      </w:r>
    </w:p>
    <w:p w14:paraId="51CF578C" w14:textId="78CD59BF" w:rsidR="00F46F29" w:rsidRPr="008127F8" w:rsidRDefault="00F46F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Осенью 1942 года на заводе ввели двухсменную работу. Увеличилось число мастеров-немцев. Завод был забит разбитой техникой, а город ранеными гитлеровцами. Позже на заводе увеличен рабочий день, введены карцеры (их фашисты называли «комнаты отдыха»). Туда сажали рабочих за малейшую провинность (за малейший брак, за пререкания с мастером, за перекур в работе). Мордобой был обычным делом.</w:t>
      </w:r>
      <w:r w:rsidR="008127F8">
        <w:rPr>
          <w:rFonts w:ascii="Times New Roman" w:hAnsi="Times New Roman"/>
          <w:color w:val="000000" w:themeColor="text1"/>
          <w:sz w:val="16"/>
          <w:szCs w:val="16"/>
        </w:rPr>
        <w:t xml:space="preserve">  </w:t>
      </w:r>
    </w:p>
    <w:p w14:paraId="1A5E8667" w14:textId="7FACCF1E" w:rsidR="00F46F29" w:rsidRPr="008127F8" w:rsidRDefault="00F46F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разгрома под Сталинградом фашисты ввели строгий режим на заводе. </w:t>
      </w:r>
      <w:proofErr w:type="gramStart"/>
      <w:r w:rsidRPr="008127F8">
        <w:rPr>
          <w:rFonts w:ascii="Times New Roman" w:hAnsi="Times New Roman"/>
          <w:color w:val="000000" w:themeColor="text1"/>
          <w:sz w:val="16"/>
          <w:szCs w:val="16"/>
        </w:rPr>
        <w:t>12 часовой</w:t>
      </w:r>
      <w:proofErr w:type="gramEnd"/>
      <w:r w:rsidRPr="008127F8">
        <w:rPr>
          <w:rFonts w:ascii="Times New Roman" w:hAnsi="Times New Roman"/>
          <w:color w:val="000000" w:themeColor="text1"/>
          <w:sz w:val="16"/>
          <w:szCs w:val="16"/>
        </w:rPr>
        <w:t xml:space="preserve"> рабочий день, за неявку на работу – арест, за простой и брак лишали недельного пайка хлеба, а это было самое страшное наказание тогда. Город голодал. Бригадиры и мастера имели права бить рабочих. С новогодней ночи 1943 года начались бомбежки Таганрога нашей авиацией. Особенно доставалось комбайновому заводу и нашему. На заводе № 31 возник сильный пожар, сгорел механический цех и бензосклад на аэродроме. В январе 1943 года участились аресты, облавы, расстрелы. В феврале 1943 немцы стали вывозить оборудование в Запорожье. Готовили списки рабочих для эвакуации туда же. Забрали у всех работающих паспорта. Часто стали арестовывать рабочих прямо на рабочих местах. Завод снова заминировали теперь фашисты и готовили его к взрыву. Это было поручено гестаповцу и генералу Васнецкому. В ночь на 19 февраля 1943 года гестапо арестовали группу рабочих прямо дома на Лермонтовском переулке.</w:t>
      </w:r>
      <w:r w:rsidR="008127F8">
        <w:rPr>
          <w:rFonts w:ascii="Times New Roman" w:hAnsi="Times New Roman"/>
          <w:color w:val="000000" w:themeColor="text1"/>
          <w:sz w:val="16"/>
          <w:szCs w:val="16"/>
        </w:rPr>
        <w:t xml:space="preserve">  </w:t>
      </w:r>
    </w:p>
    <w:p w14:paraId="3756F084" w14:textId="77777777" w:rsidR="00F46F29" w:rsidRPr="008127F8" w:rsidRDefault="00F46F2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завод «Юнкерс» был эвакуирован, а на предприятии разместились мастерские по ремонту автотранспорта. Вернулся русский директор Кулаков. Он продолжал руководить русскими рабочими. Были попытки украсть оружие из караульного помещения русской охраны. Поймали двух молодых ребят и забили до смерти. После появления листовок в цехах было арестовано 10 заложников, и их больше никто не видел. Летом фашистов на заводе снова залихорадило. Близился конец их власти. Снова сгоняли рабочих и вывозили на автомашинах, на баржах из порта в Севастополь, Запорожье, Сталино. Многие рабочие просто прятались. В августе фашисты заминировали в очередной раз главный корпус завода. 27 августа началось бегство немцев с завода. Перед самым приходом наших войск заводские корпуса были взорваны (18580).</w:t>
      </w:r>
    </w:p>
    <w:p w14:paraId="1D55BC4A" w14:textId="77777777" w:rsidR="00F46F29" w:rsidRPr="008127F8" w:rsidRDefault="00F46F29" w:rsidP="001E0A84">
      <w:pPr>
        <w:spacing w:after="0" w:line="240" w:lineRule="auto"/>
        <w:jc w:val="both"/>
        <w:rPr>
          <w:rFonts w:ascii="Times New Roman" w:hAnsi="Times New Roman"/>
          <w:color w:val="000000" w:themeColor="text1"/>
          <w:sz w:val="16"/>
          <w:szCs w:val="16"/>
        </w:rPr>
      </w:pPr>
    </w:p>
    <w:p w14:paraId="38FE9DE3"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феврале 1942 года из состава НИП АВ в Оренбурге был выделен филиал, который был перебазирован в город Ногинск. Большинство испытаний АВ были проведены этим филиалом. Начальником полигона был Л.П. Лобачёв.</w:t>
      </w:r>
    </w:p>
    <w:p w14:paraId="1AFBEAC1"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год. Вышло постановление ГКО СССР о возвращении НИП АВ в город Ногинск. В его составе было тогда 20 боевых самолетов. Сотни пилотов действующей армии прошли здесь боевую переподготовку. Испытателями Полигона были разработаны таблицы стрельбы для авиационных пушек и пулеметов, траектории стрельбы, таблицы бомбометания с пикирования.</w:t>
      </w:r>
    </w:p>
    <w:p w14:paraId="4D69A70F"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ГКО СССР № 2915 от 18 февраля 1943 года НИП АВ ВВС КА преобразовывается в Научно-испытательный институт АВ (НИИ АВ ВВС) Красной Армии. Начальником института назначается полковник М.В. Гуревич, впоследствии генерал-майор, руководивший институтом до 1949 года. В организационно-штатную структуру НИИ АВ вошла группа отделов по испытательной, исследовательской и летной частям:</w:t>
      </w:r>
    </w:p>
    <w:p w14:paraId="693AC616"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1-й отдел – испытаний стрелково-пушечного вооружения (СПВ) с отделениями вооружения, боеприпасов и установок;</w:t>
      </w:r>
    </w:p>
    <w:p w14:paraId="0ECE1974"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отдел – испытаний прицелов и приборов с отделениями стрелковых и бомбардировочных прицелов и тренировочно-контрольной аппаратуры;</w:t>
      </w:r>
    </w:p>
    <w:p w14:paraId="13B33A5B"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3-й отдел – испытаний бомбардировочного и химического вооружения с отделениями авиабомб, взрывателей, установок и химического вооружения;</w:t>
      </w:r>
    </w:p>
    <w:p w14:paraId="5DD265E9"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научно-испытательный полигон;</w:t>
      </w:r>
    </w:p>
    <w:p w14:paraId="6B9C85F7"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испытательный авиаполк в составе истребительной и бомбардировочной эскадрилий;</w:t>
      </w:r>
    </w:p>
    <w:p w14:paraId="6ECC4B44"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отдел МТО.</w:t>
      </w:r>
    </w:p>
    <w:p w14:paraId="2E705755"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группу отделов научно-исследовательской работы вошли:</w:t>
      </w:r>
    </w:p>
    <w:p w14:paraId="26D31373"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4-й отдел – научно-исследовательский, в составе отделений СПВ, бомбардировочного вооружения, прицелов и приборов, исследований материалов: баллистическая лаборатория порохов и взрывчатых веществ, пиротехники;</w:t>
      </w:r>
    </w:p>
    <w:p w14:paraId="0A9DE5C4"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отдел – высотных испытаний, в составе отделений высотных испытаний приборов, обработки эксплуатационных и врачебно-медицинских материалов;</w:t>
      </w:r>
    </w:p>
    <w:p w14:paraId="66845283"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6-й отдел – электромеханический, в составе электромеханического отделения, отделения испытаний приборов и экспериментальной мастерской;</w:t>
      </w:r>
    </w:p>
    <w:p w14:paraId="7D5E6246"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7-й отдел – боевого применения, в составе отделений боевого применения в составе отделений боевого применения и войсковых испытаний;</w:t>
      </w:r>
    </w:p>
    <w:p w14:paraId="28ED0CD8"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8-й отдел – редакционно-информационный и лаборатория материальной части (музей).</w:t>
      </w:r>
    </w:p>
    <w:p w14:paraId="29128639"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этот период в НИИ АВ ВВС было проведено 498 испытательных и 55 научно-исследовательских работ (НИР) по стрелково-пушечному и бомбардировочному вооружению, в том числе по автоматическим авиапушкам калибра 37 и 45 мм, противотанковым авиабомбам кумулятивного действия, мощным фугасным авиабомбам массой 5000 кг, другим новым АБ и химическим приборам (23585).</w:t>
      </w:r>
    </w:p>
    <w:p w14:paraId="46B404AF" w14:textId="77777777" w:rsidR="00D04D90" w:rsidRPr="008A2E5A" w:rsidRDefault="00D04D90" w:rsidP="00D04D90">
      <w:pPr>
        <w:spacing w:after="0" w:line="240" w:lineRule="auto"/>
        <w:jc w:val="both"/>
        <w:rPr>
          <w:rFonts w:ascii="Times New Roman" w:hAnsi="Times New Roman"/>
          <w:color w:val="0070C0"/>
          <w:sz w:val="16"/>
          <w:szCs w:val="16"/>
        </w:rPr>
      </w:pPr>
    </w:p>
    <w:p w14:paraId="7D252F8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69D6D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40286" w14:textId="1EAE77A8"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 1942 г. Госплан представил докладную записку заместителю председателя СНК Н. А. Вознесенскому. Аналитики Госплана считали, что удовлетворение заявок наркоматов в полном объёме потребовало бы возвращения в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с Урала, из Западной Сибири, Казахстана и Поволжья большого количества оборудования (до 40% станков, ушедших в эвакуацию, и т. д.). По их мнению, целе — сообразно было организовать в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на свободных мощностях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производство отраслей, которые работали на нужды «Крас — ной армии Западного фронта», на развитие хозяйства г.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 В целом Госплан считал возможным восстановить производство только на 57 предприятиях (общая площадь 210 тысяч м2). Прежде всего намечалось восстановление военных производств, в частности:</w:t>
      </w:r>
    </w:p>
    <w:p w14:paraId="53618F44" w14:textId="2C0F7B1A"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 НКАП планировалось восстановление на четырёх предприятиях ремонта самолётов и моторов (к 1 сентября 1942 г. восстановить мощности ремонтных мастерских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84, 207, 301; к 1 октября –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482 для ремонта самолётов, изготовления запчастей, агрега — тов на сумму 20 млн руб. в квартал);</w:t>
      </w:r>
    </w:p>
    <w:p w14:paraId="60C21392" w14:textId="1B3D6B0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по НКБ – на двух предприятиях производство порохов, взры- вателей и снаряжения (к 1 апреля –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358 – производство снаряжения взрывателей, к 1 мая на госзаводе НИИ-6 – производ — ство пороха);</w:t>
      </w:r>
    </w:p>
    <w:p w14:paraId="1075A926" w14:textId="1B5BC066"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по Наркомсудпрому – на одном предприятии производство минных тралов («за счёт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239»);</w:t>
      </w:r>
    </w:p>
    <w:p w14:paraId="0CE6D9DE" w14:textId="46919EE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 Наркомату миномётного вооружения –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Арматура» производство редукторов кислородных и другой продукции на 23 млн руб.;</w:t>
      </w:r>
    </w:p>
    <w:p w14:paraId="0F40E2EE" w14:textId="5793E13D"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по Наркомтяжмашу –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Стальмост» восстановить мощности по производству кранов и боеприпасов в сумме 7,6 млн руб., при условии возвращения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неиспользованного эвакуированно — го оборудования;</w:t>
      </w:r>
    </w:p>
    <w:p w14:paraId="474E90AA" w14:textId="407F4D96"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по Наркомэлектропрому – организовать производство </w:t>
      </w:r>
      <w:proofErr w:type="gramStart"/>
      <w:r w:rsidRPr="008127F8">
        <w:rPr>
          <w:rFonts w:ascii="Times New Roman" w:hAnsi="Times New Roman"/>
          <w:color w:val="000000" w:themeColor="text1"/>
          <w:sz w:val="16"/>
          <w:szCs w:val="16"/>
        </w:rPr>
        <w:t>боепри- пасов</w:t>
      </w:r>
      <w:proofErr w:type="gramEnd"/>
      <w:r w:rsidRPr="008127F8">
        <w:rPr>
          <w:rFonts w:ascii="Times New Roman" w:hAnsi="Times New Roman"/>
          <w:color w:val="000000" w:themeColor="text1"/>
          <w:sz w:val="16"/>
          <w:szCs w:val="16"/>
        </w:rPr>
        <w:t xml:space="preserve">, радиоаппаратуры и др. на семи предприятиях, «продукция ко — торых является наиболее дефицитной и восстановление этих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на востоке требует длительного времени»;</w:t>
      </w:r>
    </w:p>
    <w:p w14:paraId="2C10992F" w14:textId="5E93B77F"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по Наркомату резиновой промышленности – на двух предприя- тиях организовать производство средств химзащиты (в том числе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Красный богатырь» – лицевой части противогазов и дру- гих средств химзащиты в количестве 35 тысяч шт. в сутки, и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145 – мощностей по производству изделий санитарии и гигиены);</w:t>
      </w:r>
    </w:p>
    <w:p w14:paraId="13D1683C" w14:textId="0C657975"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по Наркомстрою – на семи предприятиях производство спец- продукции («в течение первого полугодия 1942 г. организовать за счёт установки неиспользуемого оборудования производство боеприпасов и автобензоцистерн на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proofErr w:type="gramStart"/>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 xml:space="preserve">Металлоконструкция» (Тюфелева роща), спецукупорки и прочей военной продукции на ДОЗ № 2, запчастей и спецпродукции на механическом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 2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ОСМЧ</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Строитель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
    <w:p w14:paraId="63987633" w14:textId="7777777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 — ятий Наркомэлектропрома, Наркомлегпрома, Наркомчермета и др.</w:t>
      </w:r>
    </w:p>
    <w:p w14:paraId="6AFB6967" w14:textId="1431D03A"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записке Госплана указывалось на необходимость использовать для восстановления производств только свободные производ — ственные помещения без строительства новых цехов и подсобных помещений, а также «запретить всем наркоматам без специально — го распоряжения СНК завозить в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Москву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оборудование и рабочих эвакуированных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заводов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w:t>
      </w:r>
    </w:p>
    <w:p w14:paraId="4A077D51" w14:textId="019FA9B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Уже в 1942 г. началась частичная реэвакуация предприятий в Москву, в том числе авиационных предприятий, заводов боеприпасов и т. д. В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1942 гг. из Москвы было вывезено в различные районы страны 211 предприятий, из которых 80 были частично или полностью реэвакуированы, а остальные дали начало 179 новым предприятиям. Так, часть оборудования по производству танков с Московского завода</w:t>
      </w:r>
    </w:p>
    <w:p w14:paraId="1C5F71A8" w14:textId="7777777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 им. Орджоникидзе, вывезенная в Свердловск, была подключена к производству танков Т-34 на Уральском заводе тяжёлого машинострое- ния (УЗТМ) сначала на правах филиала. С октября 1943 г. был создан самостоятельный завод № 50, производивший узлы и агрегаты к тан — кам Т-34, выпускавшимся УЗТМ, и артиллерийские детали – для завода № 916. В целом война способствовала значительному развитию военно — го производства «вширь».</w:t>
      </w:r>
    </w:p>
    <w:p w14:paraId="1497FCB8" w14:textId="7777777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Проблемы реэвакуации были сходны с трудностями эвакуации. В качестве примера можно привести ситуацию с восстановлением Нагатинского завода. Постановлением ГКО от 15 января 1942 г 1937 вышел приказ НКОП № 1152сс Наркомату речного флота было предписано «восстановить в Москве эвакуированный Нагатинский завод для изготовления элементов боеприпасов». Из документа Наркомата речного флота следовало, что часть станков завода при эвакуации замёрзла в барже, зазимовавшей в Белгородском затоне. В связи с заносом дорог Наркомат обратился с просьбой «обязать Горьковский облисполком […] выделить 3 трактора "Челябинца" и 50 шт. лошадей с горючим и фуражом для вывоза станочного парка с Белгородского затона». Кроме того, для ускорения пуска Нагатинского завода заместитель народного комиссара речного флота В. Рахманин просил разрешить вывезти в Нагатино 20 токарных станков с Саратовского судоремонтного завода («Саратовский завод получил 19 станков с эвакобазы и 4 станка, прибывших к нему с Запорожского завода, оборудованием для имеющихся у него заказов будет обеспечен»)17. Так шёл сложный процесс перемещения, «заимствования» оборудования между предприятиями.</w:t>
      </w:r>
    </w:p>
    <w:p w14:paraId="25C6EBA6" w14:textId="77777777"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период наименьшего производства военной продукции за всю войну пришёлся на ноябрь – декабрь 1941 г., и потребовался почти год, чтобы восстановить и заметно увеличить её выпуск (15525).</w:t>
      </w:r>
    </w:p>
    <w:p w14:paraId="5B4AF9BF" w14:textId="77777777" w:rsidR="00B2545F" w:rsidRPr="008127F8" w:rsidRDefault="00B2545F" w:rsidP="001E0A84">
      <w:pPr>
        <w:spacing w:after="0" w:line="240" w:lineRule="auto"/>
        <w:jc w:val="both"/>
        <w:rPr>
          <w:rFonts w:ascii="Times New Roman" w:hAnsi="Times New Roman"/>
          <w:color w:val="000000" w:themeColor="text1"/>
          <w:sz w:val="16"/>
          <w:szCs w:val="16"/>
        </w:rPr>
      </w:pPr>
    </w:p>
    <w:p w14:paraId="665C084C" w14:textId="77777777" w:rsidR="00F06FA1" w:rsidRPr="008127F8" w:rsidRDefault="00F06FA1" w:rsidP="001E0A84">
      <w:pPr>
        <w:spacing w:after="0" w:line="240" w:lineRule="auto"/>
        <w:jc w:val="both"/>
        <w:rPr>
          <w:rFonts w:ascii="Times New Roman" w:hAnsi="Times New Roman"/>
          <w:iCs/>
          <w:color w:val="000000" w:themeColor="text1"/>
          <w:sz w:val="16"/>
          <w:szCs w:val="16"/>
          <w:shd w:val="clear" w:color="auto" w:fill="FFFFFF"/>
        </w:rPr>
      </w:pPr>
      <w:r w:rsidRPr="008127F8">
        <w:rPr>
          <w:rFonts w:ascii="Times New Roman" w:hAnsi="Times New Roman"/>
          <w:iCs/>
          <w:color w:val="000000" w:themeColor="text1"/>
          <w:sz w:val="16"/>
          <w:szCs w:val="16"/>
          <w:shd w:val="clear" w:color="auto" w:fill="FFFFFF"/>
        </w:rPr>
        <w:t>В феврале 1942 б. маршал Кулик писал:</w:t>
      </w:r>
    </w:p>
    <w:p w14:paraId="73B74BBC"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shd w:val="clear" w:color="auto" w:fill="FFFFFF"/>
        </w:rPr>
        <w:t>«</w:t>
      </w:r>
      <w:r w:rsidRPr="008127F8">
        <w:rPr>
          <w:rFonts w:ascii="Times New Roman" w:hAnsi="Times New Roman"/>
          <w:bCs/>
          <w:iCs/>
          <w:color w:val="000000" w:themeColor="text1"/>
          <w:sz w:val="16"/>
          <w:szCs w:val="16"/>
          <w:shd w:val="clear" w:color="auto" w:fill="FFFFFF"/>
        </w:rPr>
        <w:t>Т. Сталин!</w:t>
      </w:r>
    </w:p>
    <w:p w14:paraId="59E15C5D" w14:textId="27ADFD24"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shd w:val="clear" w:color="auto" w:fill="FFFFFF"/>
        </w:rPr>
        <w:t xml:space="preserve">Со второй половины 37 года я имею клеймо вредителя после показания Ефимова, Бондаря, Ванникова и других. Я точно знаю, что выпущенные командиры с тюрьмы (так и тексте) принуждались органами НКВД дать на меня показания, что я вредитель. Я знаю, что меня даже хотели сделать немцем, что я не Кулик, а немец, окончил немецкую военную школу и заслан в СССР как шпион. Я чувствовал, </w:t>
      </w:r>
      <w:proofErr w:type="gramStart"/>
      <w:r w:rsidRPr="008127F8">
        <w:rPr>
          <w:rFonts w:ascii="Times New Roman" w:hAnsi="Times New Roman"/>
          <w:iCs/>
          <w:color w:val="000000" w:themeColor="text1"/>
          <w:sz w:val="16"/>
          <w:szCs w:val="16"/>
          <w:shd w:val="clear" w:color="auto" w:fill="FFFFFF"/>
        </w:rPr>
        <w:t>что</w:t>
      </w:r>
      <w:proofErr w:type="gramEnd"/>
      <w:r w:rsidRPr="008127F8">
        <w:rPr>
          <w:rFonts w:ascii="Times New Roman" w:hAnsi="Times New Roman"/>
          <w:iCs/>
          <w:color w:val="000000" w:themeColor="text1"/>
          <w:sz w:val="16"/>
          <w:szCs w:val="16"/>
          <w:shd w:val="clear" w:color="auto" w:fill="FFFFFF"/>
        </w:rPr>
        <w:t xml:space="preserve"> когда меня снимали с ГАУ (Главное артиллерийское управление.</w:t>
      </w:r>
      <w:r w:rsidR="008127F8">
        <w:rPr>
          <w:rFonts w:ascii="Times New Roman" w:hAnsi="Times New Roman"/>
          <w:iCs/>
          <w:color w:val="000000" w:themeColor="text1"/>
          <w:sz w:val="16"/>
          <w:szCs w:val="16"/>
          <w:shd w:val="clear" w:color="auto" w:fill="FFFFFF"/>
        </w:rPr>
        <w:t xml:space="preserve">  </w:t>
      </w:r>
      <w:r w:rsidRPr="008127F8">
        <w:rPr>
          <w:rFonts w:ascii="Times New Roman" w:hAnsi="Times New Roman"/>
          <w:iCs/>
          <w:color w:val="000000" w:themeColor="text1"/>
          <w:sz w:val="16"/>
          <w:szCs w:val="16"/>
          <w:shd w:val="clear" w:color="auto" w:fill="FFFFFF"/>
        </w:rPr>
        <w:t xml:space="preserve">— Н. 3.) тоже по политическим соображениям. Я знаю, </w:t>
      </w:r>
      <w:proofErr w:type="gramStart"/>
      <w:r w:rsidRPr="008127F8">
        <w:rPr>
          <w:rFonts w:ascii="Times New Roman" w:hAnsi="Times New Roman"/>
          <w:iCs/>
          <w:color w:val="000000" w:themeColor="text1"/>
          <w:sz w:val="16"/>
          <w:szCs w:val="16"/>
          <w:shd w:val="clear" w:color="auto" w:fill="FFFFFF"/>
        </w:rPr>
        <w:t>что</w:t>
      </w:r>
      <w:proofErr w:type="gramEnd"/>
      <w:r w:rsidRPr="008127F8">
        <w:rPr>
          <w:rFonts w:ascii="Times New Roman" w:hAnsi="Times New Roman"/>
          <w:iCs/>
          <w:color w:val="000000" w:themeColor="text1"/>
          <w:sz w:val="16"/>
          <w:szCs w:val="16"/>
          <w:shd w:val="clear" w:color="auto" w:fill="FFFFFF"/>
        </w:rPr>
        <w:t xml:space="preserve"> когда я был в окружении, распространили слухи, что я сдался немцам, и, наконец, мне говорят и сейчас, что я в связи с немцами.</w:t>
      </w:r>
    </w:p>
    <w:p w14:paraId="35A1395F"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shd w:val="clear" w:color="auto" w:fill="FFFFFF"/>
        </w:rPr>
        <w:t>Я еще со своих молодых лет вступил в подполье в ряды большевистской партии. Честно, как настоящий большевик, боролся за установление в нашем Советском Союзе Советской власти и социалистического строя. Был всегда на боевом посту, куда меня посылала партия, прослужил честно партии 24 года, ни в каких оппозициях против партии я не состоял.</w:t>
      </w:r>
    </w:p>
    <w:p w14:paraId="0522C656" w14:textId="77777777" w:rsidR="00F06FA1" w:rsidRPr="008127F8" w:rsidRDefault="00F06F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shd w:val="clear" w:color="auto" w:fill="FFFFFF"/>
        </w:rPr>
        <w:lastRenderedPageBreak/>
        <w:t>Прошу вас, т. Сталин, назначить специальную комиссию ЦК ВКП и расследовать все обвинения против меня. Если я вредитель и веду какую подпольную работу, то меня нужно немедленно расстрелять. Если же нет, то строго наказать клеветников, вскрыть, кто они и чего они хотят. Пусть они знают, что никакая травля на меня не повлияет, я был, есть и умру большевиком» (17348).</w:t>
      </w:r>
    </w:p>
    <w:p w14:paraId="221F7609" w14:textId="77777777" w:rsidR="00F06FA1" w:rsidRPr="008127F8" w:rsidRDefault="00F06FA1" w:rsidP="001E0A84">
      <w:pPr>
        <w:spacing w:after="0" w:line="240" w:lineRule="auto"/>
        <w:jc w:val="both"/>
        <w:rPr>
          <w:rFonts w:ascii="Times New Roman" w:hAnsi="Times New Roman"/>
          <w:color w:val="000000" w:themeColor="text1"/>
          <w:sz w:val="16"/>
          <w:szCs w:val="16"/>
        </w:rPr>
      </w:pPr>
    </w:p>
    <w:p w14:paraId="2BFFF1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среднеуральскому пороховому заводу (№ 98 им. Кирова, Пермь)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(11209).</w:t>
      </w:r>
    </w:p>
    <w:p w14:paraId="14EE86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75278"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w:t>
      </w:r>
      <w:r w:rsidRPr="008A2E5A">
        <w:rPr>
          <w:rFonts w:ascii="Times New Roman" w:hAnsi="Times New Roman"/>
          <w:color w:val="0070C0"/>
          <w:sz w:val="16"/>
          <w:szCs w:val="16"/>
        </w:rPr>
        <w:softHyphen/>
        <w:t>ле 1942 года, когда положение дел на фронтах было особенно напряженным, И.В.С. послал на завод № 98 телеграмму: «Невы</w:t>
      </w:r>
      <w:r w:rsidRPr="008A2E5A">
        <w:rPr>
          <w:rFonts w:ascii="Times New Roman" w:hAnsi="Times New Roman"/>
          <w:color w:val="0070C0"/>
          <w:sz w:val="16"/>
          <w:szCs w:val="16"/>
        </w:rPr>
        <w:softHyphen/>
        <w:t>полнение задания будет рассматриваться как измена Родине». Все понимали, что за измену Родине предусмотрено только одно наказание - расстрел. Люди работали из последних сил, но производство в цехе велось по старому методу вальцева</w:t>
      </w:r>
      <w:r w:rsidRPr="008A2E5A">
        <w:rPr>
          <w:rFonts w:ascii="Times New Roman" w:hAnsi="Times New Roman"/>
          <w:color w:val="0070C0"/>
          <w:sz w:val="16"/>
          <w:szCs w:val="16"/>
        </w:rPr>
        <w:softHyphen/>
        <w:t>ния с последующим прессованием на гидравлических прессах. Добиться резкого повышения мощности на старой техноло</w:t>
      </w:r>
      <w:r w:rsidRPr="008A2E5A">
        <w:rPr>
          <w:rFonts w:ascii="Times New Roman" w:hAnsi="Times New Roman"/>
          <w:color w:val="0070C0"/>
          <w:sz w:val="16"/>
          <w:szCs w:val="16"/>
        </w:rPr>
        <w:softHyphen/>
        <w:t>гии было невозможно. Выходом могло стать внедрение новой технологии (23510).</w:t>
      </w:r>
    </w:p>
    <w:p w14:paraId="0EC3CDF7" w14:textId="77777777" w:rsidR="00D04D90" w:rsidRPr="008A2E5A" w:rsidRDefault="00D04D90" w:rsidP="00D04D90">
      <w:pPr>
        <w:spacing w:after="0" w:line="240" w:lineRule="auto"/>
        <w:jc w:val="both"/>
        <w:rPr>
          <w:rFonts w:ascii="Times New Roman" w:hAnsi="Times New Roman"/>
          <w:color w:val="0070C0"/>
          <w:sz w:val="16"/>
          <w:szCs w:val="16"/>
        </w:rPr>
      </w:pPr>
    </w:p>
    <w:p w14:paraId="1DB52B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брак на фазе прессования зарядов М-8 и M-13 на среднеуральском заводе (№ 98 им. Кирова, Пермь)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(11209).</w:t>
      </w:r>
    </w:p>
    <w:p w14:paraId="4A50CC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5B9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мастерские были возвращены из Москвы на Софринский полигон и до конца войны продолжали выпуск боеприпасов для фронта. В общей сложности за годы войны на полигоне было собраны и направлены на фронт около 25 миллионов выстрелов разного калибра (12071).</w:t>
      </w:r>
    </w:p>
    <w:p w14:paraId="74715F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A7392" w14:textId="77777777" w:rsidR="00CB6E72" w:rsidRPr="008127F8" w:rsidRDefault="00CB6E72" w:rsidP="001E0A84">
      <w:pPr>
        <w:pStyle w:val="a4"/>
        <w:rPr>
          <w:color w:val="000000" w:themeColor="text1"/>
          <w:lang w:val="ru-RU"/>
        </w:rPr>
      </w:pPr>
      <w:r w:rsidRPr="008127F8">
        <w:rPr>
          <w:color w:val="000000" w:themeColor="text1"/>
          <w:lang w:val="ru-RU"/>
        </w:rPr>
        <w:t>В феврале 1942 года артиллерийское производство на УЗТМ было передано эвакуированному осенью 1941 года в Свердловск заво</w:t>
      </w:r>
      <w:r w:rsidRPr="008127F8">
        <w:rPr>
          <w:color w:val="000000" w:themeColor="text1"/>
          <w:lang w:val="ru-RU"/>
        </w:rPr>
        <w:softHyphen/>
        <w:t>ду №8 НКВ, его директором, как и до эвакуации, стал Б.А. Фрадкин. В марте 1942 года конструкторское бюро завода №8 разработало 85-мм танковую пушку ЗИК-1 для установки на танки Т-34 и КВ-1. В итоге пушка ЗИК-1 так и осталась проектом, но она стала первенцем кон</w:t>
      </w:r>
      <w:r w:rsidRPr="008127F8">
        <w:rPr>
          <w:color w:val="000000" w:themeColor="text1"/>
          <w:lang w:val="ru-RU"/>
        </w:rPr>
        <w:softHyphen/>
        <w:t>структорского бюро, которое возглавил Ф.Ф. Петров. Ни одной си</w:t>
      </w:r>
      <w:r w:rsidRPr="008127F8">
        <w:rPr>
          <w:color w:val="000000" w:themeColor="text1"/>
          <w:lang w:val="ru-RU"/>
        </w:rPr>
        <w:softHyphen/>
        <w:t>стемы под индексом ЗИК (завод им. Калинина) не было принято на вооружение, но уже в 1943 году творения КБ завода №9, отделенного осенью 1942 года от завода №8, стали крушить врага. Это знаменитые танковые и самоходные пушки Д-5 (СУ-85, КВ-85 и первые Т-34-85), Д-25 (ИС-2, ИСУ-122 и ИС-3) и Д-10 (СУ-100), а также 152-мм гауби</w:t>
      </w:r>
      <w:r w:rsidRPr="008127F8">
        <w:rPr>
          <w:color w:val="000000" w:themeColor="text1"/>
          <w:lang w:val="ru-RU"/>
        </w:rPr>
        <w:softHyphen/>
        <w:t>ца Д-1. Творения ОКБ-9 во главе с Петровым в конкурентной борьбе обошли детища знаменитого конструктора В. Г. Грабина. Но это будет потом, а в 1942 году коллектив Отдела главного конструктора завода №8 работал в самых разных направлениях (17484).</w:t>
      </w:r>
    </w:p>
    <w:p w14:paraId="40B08BC5" w14:textId="77777777" w:rsidR="00CB6E72" w:rsidRPr="008127F8" w:rsidRDefault="00CB6E72" w:rsidP="001E0A84">
      <w:pPr>
        <w:pStyle w:val="af"/>
        <w:spacing w:before="0" w:after="0"/>
        <w:jc w:val="both"/>
        <w:rPr>
          <w:color w:val="000000" w:themeColor="text1"/>
          <w:sz w:val="16"/>
          <w:szCs w:val="16"/>
        </w:rPr>
      </w:pPr>
    </w:p>
    <w:p w14:paraId="4FEED557" w14:textId="77777777" w:rsidR="00B2545F" w:rsidRPr="008127F8" w:rsidRDefault="00B2545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феврале 1942 года артиллерийское производство на УЗТМ было передано эвакуированному заводу № 8. Уже в марте коллектив представил первую свою работу – 85-мм танковую пушку ЗИК-1. Впрочем, ещё до этого момента КБ разработало проект, напрямую связанный с работами завода №8 довоенного периода (15615).</w:t>
      </w:r>
    </w:p>
    <w:p w14:paraId="187B3D1B" w14:textId="77777777" w:rsidR="00B2545F" w:rsidRPr="008127F8" w:rsidRDefault="00B2545F" w:rsidP="001E0A84">
      <w:pPr>
        <w:pStyle w:val="af"/>
        <w:shd w:val="clear" w:color="auto" w:fill="FFFFFF"/>
        <w:spacing w:before="0" w:after="0"/>
        <w:jc w:val="both"/>
        <w:rPr>
          <w:color w:val="000000" w:themeColor="text1"/>
          <w:sz w:val="16"/>
          <w:szCs w:val="16"/>
        </w:rPr>
      </w:pPr>
    </w:p>
    <w:p w14:paraId="4AE3E7C2" w14:textId="77777777" w:rsidR="00B2545F" w:rsidRPr="008127F8" w:rsidRDefault="00B2545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феврале 1942 года артиллерийское производство на Уральском заводе тяжелого машиностроения (УЗТМ) было передано эвакуированному осенью 1941 года из подмосковного Калининграда (ныне г. Королев) в Свердловск заводу №8 Народного комиссариата вооружения (НКВ). Директором завода, как и до эвакуации, был Б.А. Фрадкин. Главным конструктором конструкторского бюро на новом месте назначили Ф.Ф. Петрова.</w:t>
      </w:r>
    </w:p>
    <w:p w14:paraId="243EEB19" w14:textId="77777777" w:rsidR="00B2545F" w:rsidRPr="008127F8" w:rsidRDefault="00B2545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Новые разработки КБ завода №8 получали индекс «ЗИК», то есть «завод им. Калинина». Первенцем новоиспеченного КБ стал проект 85-мм танковой пушки ЗИК-1 для установки на танки Т-34 и КВ-1. Под индексом ЗИК проектировались танковые и противотанковые пушки, гаубичная артиллерия и артиллерия РГК, а также самоходные артиллерийские установки. Так получилось, что ни один проект ЗИК так и не был принят на вооружение. Но говорить, что Петров и возглавляемый им коллектив работали в стол, нельзя. Наработки КБ завода №8, включая гаубицу Д-1, позже были реализованы образованным осенью 1942 года КБ завода №9 (15806).</w:t>
      </w:r>
    </w:p>
    <w:p w14:paraId="1CCDEDF5" w14:textId="77777777" w:rsidR="00B2545F" w:rsidRPr="008127F8" w:rsidRDefault="00B2545F" w:rsidP="001E0A84">
      <w:pPr>
        <w:pStyle w:val="af"/>
        <w:shd w:val="clear" w:color="auto" w:fill="FFFFFF"/>
        <w:spacing w:before="0" w:after="0"/>
        <w:jc w:val="both"/>
        <w:rPr>
          <w:color w:val="000000" w:themeColor="text1"/>
          <w:sz w:val="16"/>
          <w:szCs w:val="16"/>
        </w:rPr>
      </w:pPr>
    </w:p>
    <w:p w14:paraId="232E9B9C"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артиллерийское производство на УЗТМ было передано эвакуированному предприятию - заводу №8, эвакуированному в Свердловск. Уже в марте коллектив представил первую свою работу – 85-мм танковую пушку ЗИК-1. Впрочем, ещё до этого момента КБ разработало проект, напрямую связанный с работами завода №8 довоенного периода (17641).</w:t>
      </w:r>
    </w:p>
    <w:p w14:paraId="4E146DB6" w14:textId="77777777" w:rsidR="00605125" w:rsidRPr="008127F8" w:rsidRDefault="00605125" w:rsidP="001E0A84">
      <w:pPr>
        <w:spacing w:after="0" w:line="240" w:lineRule="auto"/>
        <w:jc w:val="both"/>
        <w:rPr>
          <w:rFonts w:ascii="Times New Roman" w:eastAsia="Times New Roman" w:hAnsi="Times New Roman"/>
          <w:color w:val="000000" w:themeColor="text1"/>
          <w:sz w:val="16"/>
          <w:szCs w:val="16"/>
          <w:lang w:eastAsia="ru-RU"/>
        </w:rPr>
      </w:pPr>
    </w:p>
    <w:p w14:paraId="00C1C83F"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артиллерийское производство на Уральском заводе тяжёлого машиностроения (УЗТМ) было передано эвакуированному осенью 1941 года из подмосковного Калининграда (ныне г. Королёв) в Свердловск заводу №8 Народного комиссариата вооружения (НКВ). Директором завода, как и до эвакуации, был Б. А. Фрадкин. Главным конструктором конструкторского бюро на новом месте назначили Ф. Ф. Петрова.</w:t>
      </w:r>
    </w:p>
    <w:p w14:paraId="252BC64C"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Новые разработки КБ завода №8 получали индекс «ЗИК», то есть «завод им. Калинина». Первенцем новоиспечённого КБ стал проект 85-мм танковой пушки ЗИК-1 для установки на танки Т-34 и КВ-1. Под индексом ЗИК проектировались танковые и противотанковые пушки, гаубичная артиллерия и артиллерия РГК, а также самоходные артиллерийские установки. Так получилось, что ни один проект ЗИК так и не был принят на вооружение. Но говорить, что Петров и возглавляемый им коллектив работали в стол, нельзя. Наработки КБ завода №8, включая гаубицу Д-1, позже были реализованы образованным осенью 1942 года КБ завода №9 (17649).</w:t>
      </w:r>
    </w:p>
    <w:p w14:paraId="1B6307F0"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8FB0A4"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неудачные испытания КВ привели к тому, что в конце месяца появились первые постановления ГКО, которые регламентировали снижение массы (23354).</w:t>
      </w:r>
    </w:p>
    <w:p w14:paraId="157843B8" w14:textId="77777777" w:rsidR="00D04D90" w:rsidRPr="008A2E5A" w:rsidRDefault="00D04D90" w:rsidP="00D04D90">
      <w:pPr>
        <w:spacing w:after="0" w:line="240" w:lineRule="auto"/>
        <w:jc w:val="both"/>
        <w:rPr>
          <w:rFonts w:ascii="Times New Roman" w:hAnsi="Times New Roman"/>
          <w:color w:val="0070C0"/>
          <w:sz w:val="16"/>
          <w:szCs w:val="16"/>
        </w:rPr>
      </w:pPr>
    </w:p>
    <w:p w14:paraId="41343540"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эвакуированный из Москвы завод №37, который первое время продолжал выпускать из задела Т-30, приступив к выпуску собственно Т-60. А уже 9 марта 1942 года вышло постановление ГКО №1417 «Об организации производства танков Т-70 на заводах № 37 и 38 Наркомтанкопрома». С таким трудом налаженное производство Т-60 следовало перестраивать под новый танк.</w:t>
      </w:r>
    </w:p>
    <w:p w14:paraId="0AEBBD25"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Заводское руководство по вполне понятным причинам вступило с ГАБТУ КА в жёсткую полемику. На сторону завода встал С. А. Гинзбург, прекрасно понимавший состояние дел на заводе (17668).</w:t>
      </w:r>
    </w:p>
    <w:p w14:paraId="10C3EAFE"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70170A0"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Т-60, наконец, встал на производство в Свердловске. Из 147 танков, сданных заводом №37 за февраль, 67 являлись Т-60, кроме того, было принято 125 новых корпусов.</w:t>
      </w:r>
    </w:p>
    <w:p w14:paraId="6D4A7E7E"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Поначалу свердловские Т-60 ничем не отличались от эталонных ГАЗ-овских машин. Несмотря на то, что по утолщенным корпусам и башням работы проводились, фактически в работу пошли экранированные комплекты. Занятным моментом стало то, что в определенный момент завод перешел с серийных номеров 30XX на 10XXX. Вот только, в отличие от завода №38, где Т-30 и Т-60 по серийным номерам отличались, со свердловскими танками ситуация сложилась иначе. Там просто в какой-то момент взяли и перешли на новые номера, по ним Т-30 и Т-60 не отличались. Впрочем, выглядел свердловский Т-60, как все, недолго. Дело в том, что отдел "22", после критики со стороны ГАБТУ КА, подвергся реформированию (23355).</w:t>
      </w:r>
    </w:p>
    <w:p w14:paraId="5DE395D7" w14:textId="77777777" w:rsidR="00D04D90" w:rsidRPr="008A2E5A" w:rsidRDefault="00D04D90" w:rsidP="00D04D90">
      <w:pPr>
        <w:spacing w:after="0" w:line="240" w:lineRule="auto"/>
        <w:jc w:val="both"/>
        <w:rPr>
          <w:rFonts w:ascii="Times New Roman" w:hAnsi="Times New Roman"/>
          <w:color w:val="0070C0"/>
          <w:sz w:val="16"/>
          <w:szCs w:val="16"/>
        </w:rPr>
      </w:pPr>
    </w:p>
    <w:p w14:paraId="7EF852DC"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феврале 1942 главным тормозящим фактором выпуска Т-60 на заводе № 264 стали моторы. Прислали их всего 67 штук, столько же сдали и танков (при плане 200 штук). Понимая, что "Красный Октябрь" не справится, к производству корпусов подключили завод №180 в Саратове. Изначально он должен был выпускать корпуса Т-50, но после решения о снятии его с производства завод переключили на Т-60. Правда, в феврале из Саратова ни одного корпуса не пришло, а "Красный Октябрь" прислал 159 штук при плане в 250 (23360). </w:t>
      </w:r>
    </w:p>
    <w:p w14:paraId="178FC87F" w14:textId="77777777" w:rsidR="00D04D90" w:rsidRPr="008A2E5A" w:rsidRDefault="00D04D90" w:rsidP="00D04D90">
      <w:pPr>
        <w:spacing w:after="0" w:line="240" w:lineRule="auto"/>
        <w:jc w:val="both"/>
        <w:rPr>
          <w:rFonts w:ascii="Times New Roman" w:hAnsi="Times New Roman"/>
          <w:color w:val="0070C0"/>
          <w:sz w:val="16"/>
          <w:szCs w:val="16"/>
        </w:rPr>
      </w:pPr>
    </w:p>
    <w:p w14:paraId="471ACEBE"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выделили конструкторское бюро завода №8, руководителем стал Ф.Ф. Петров. Что же касается Горлицкого, то он возглавил КБ УЗТМ. Так появились два КБ, расположенные на двух этажах одного здания заводоуправления и активно друг с другом конкурировавших.</w:t>
      </w:r>
    </w:p>
    <w:p w14:paraId="6A7A18E7"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Аббревиатура «ЗИК» в обозначении системы расшифровывалась как «Завод им. Калинина», такое обозначение имел завод №8 еще на старом месте (17675).</w:t>
      </w:r>
    </w:p>
    <w:p w14:paraId="691A3380"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36B0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 1942 года завод N 37 в Свердловске желая внести свой вклад в совершенствование конструкции танка T-60, в частности повысить его подвижность на местности и в соответствии с заданием правительства построил и испытали образец усовершенствованной модели Т-60-1 ("061" или Т-60-ЗИС) с силовым агрегатом ЗИС-60, мощностью повышенной до 95 л.с. (а в перспективе - до 110 л.с.). К его производству предполагалось привлечь расположенный недалеко Миасский автомоторный завод, который в то время достраивался. Всего же до сентября 1942 года на Урале было выпущено 1144 танков Т-60, после чего завод №37, некоторое </w:t>
      </w:r>
      <w:r w:rsidRPr="008127F8">
        <w:rPr>
          <w:rFonts w:ascii="Times New Roman" w:hAnsi="Times New Roman"/>
          <w:color w:val="000000" w:themeColor="text1"/>
          <w:sz w:val="16"/>
          <w:szCs w:val="16"/>
        </w:rPr>
        <w:lastRenderedPageBreak/>
        <w:t>время выпускал танк Т-70. Затем завод прекратил самостоятельное танкостроение, перейдя на производство узлов и агрегатов к танку Т-34, а также различных боеприпасов. Головным же и самым крупным заводом по выпуску Т-60 стал ГАЗ, куда 16 октября 1941 года на постоянную работу прибыл Н.А. Астров с небольшой группой московских коллег, (основной коллектив выехал в Свердловск) для конструкторского обеспечения производства. Вскоре его назначили заместителем главного конструктора завода по танкостроению, а в начале 1942 года он получил Сталинскую премию за создание легких танков Т-40 и Т-60 (3862).</w:t>
      </w:r>
    </w:p>
    <w:p w14:paraId="2624F4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D64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 за</w:t>
      </w:r>
      <w:r w:rsidRPr="008127F8">
        <w:rPr>
          <w:rFonts w:ascii="Times New Roman" w:hAnsi="Times New Roman"/>
          <w:color w:val="000000" w:themeColor="text1"/>
          <w:sz w:val="16"/>
          <w:szCs w:val="16"/>
        </w:rPr>
        <w:softHyphen/>
        <w:t xml:space="preserve">воде № 37 в Свердловске был собран один опытный образец Т-60-1 (заводское обозначение — 0-61). Дальнейшие работы по танку Т-60-1 развития не получили. </w:t>
      </w:r>
      <w:proofErr w:type="gramStart"/>
      <w:r w:rsidRPr="008127F8">
        <w:rPr>
          <w:rFonts w:ascii="Times New Roman" w:hAnsi="Times New Roman"/>
          <w:color w:val="000000" w:themeColor="text1"/>
          <w:sz w:val="16"/>
          <w:szCs w:val="16"/>
        </w:rPr>
        <w:t>Согласно техническому проекту</w:t>
      </w:r>
      <w:proofErr w:type="gramEnd"/>
      <w:r w:rsidRPr="008127F8">
        <w:rPr>
          <w:rFonts w:ascii="Times New Roman" w:hAnsi="Times New Roman"/>
          <w:color w:val="000000" w:themeColor="text1"/>
          <w:sz w:val="16"/>
          <w:szCs w:val="16"/>
        </w:rPr>
        <w:t xml:space="preserve"> танк Т-60-1 полностью повторял компоновочную схему танка Т-60 и отличался от последнего оригиналь</w:t>
      </w:r>
      <w:r w:rsidRPr="008127F8">
        <w:rPr>
          <w:rFonts w:ascii="Times New Roman" w:hAnsi="Times New Roman"/>
          <w:color w:val="000000" w:themeColor="text1"/>
          <w:sz w:val="16"/>
          <w:szCs w:val="16"/>
        </w:rPr>
        <w:softHyphen/>
        <w:t>ной конструкцией башни и несколько увеличенными размерами корпу</w:t>
      </w:r>
      <w:r w:rsidRPr="008127F8">
        <w:rPr>
          <w:rFonts w:ascii="Times New Roman" w:hAnsi="Times New Roman"/>
          <w:color w:val="000000" w:themeColor="text1"/>
          <w:sz w:val="16"/>
          <w:szCs w:val="16"/>
        </w:rPr>
        <w:softHyphen/>
        <w:t>са, связанными с использованием более громоздкого и тяжелого авто</w:t>
      </w:r>
      <w:r w:rsidRPr="008127F8">
        <w:rPr>
          <w:rFonts w:ascii="Times New Roman" w:hAnsi="Times New Roman"/>
          <w:color w:val="000000" w:themeColor="text1"/>
          <w:sz w:val="16"/>
          <w:szCs w:val="16"/>
        </w:rPr>
        <w:softHyphen/>
        <w:t>бусного карбюраторного двигателя ЗИС-16 мощностью 88 л.с. (65 кВт). На опытном образце был установлен двигатель ЗИС-60 мощностью 95 л.с. (70 кВт), а в перспективе предусматривалось форсировать двига</w:t>
      </w:r>
      <w:r w:rsidRPr="008127F8">
        <w:rPr>
          <w:rFonts w:ascii="Times New Roman" w:hAnsi="Times New Roman"/>
          <w:color w:val="000000" w:themeColor="text1"/>
          <w:sz w:val="16"/>
          <w:szCs w:val="16"/>
        </w:rPr>
        <w:softHyphen/>
        <w:t>тель до мощности 110 л.с. (81 кВт). Установка нового силового агрегата была связана с возросшей боевой массой танка Т-60 при усилении его броневой защиты путем экранирования. В остальном боевые и техниче</w:t>
      </w:r>
      <w:r w:rsidRPr="008127F8">
        <w:rPr>
          <w:rFonts w:ascii="Times New Roman" w:hAnsi="Times New Roman"/>
          <w:color w:val="000000" w:themeColor="text1"/>
          <w:sz w:val="16"/>
          <w:szCs w:val="16"/>
        </w:rPr>
        <w:softHyphen/>
        <w:t>ские характеристики танка Т-60-1 были сохранены на уровне танка Т-60 (10703).</w:t>
      </w:r>
    </w:p>
    <w:p w14:paraId="4C966A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1B501"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КБ завода 264 была разработана улучшенная конструкция башни Т-60, которая, подобно проекту модернизации ГАЗ, лишилась воздухопритока в лобовой части. Его переместили на башенный люк. Переработанные конструкции башни и корпуса 15 апреля были утверждены, но после жалобы «Красного Октября» в серию они не попали. Тем не менее отдельные узлы данного проекта всё же оказались на серийных танках (17677).</w:t>
      </w:r>
    </w:p>
    <w:p w14:paraId="2809B9C9" w14:textId="77777777" w:rsidR="00605125" w:rsidRPr="008127F8" w:rsidRDefault="00605125" w:rsidP="001E0A84">
      <w:pPr>
        <w:spacing w:after="0" w:line="240" w:lineRule="auto"/>
        <w:jc w:val="both"/>
        <w:rPr>
          <w:rFonts w:ascii="Times New Roman" w:eastAsia="Times New Roman" w:hAnsi="Times New Roman"/>
          <w:color w:val="000000" w:themeColor="text1"/>
          <w:sz w:val="16"/>
          <w:szCs w:val="16"/>
          <w:lang w:eastAsia="ru-RU"/>
        </w:rPr>
      </w:pPr>
    </w:p>
    <w:p w14:paraId="1829265E"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феврале 1942 завод № 264 должен был сдать 200 танков, но в реальности удалось выпустить всего 67 штук. Привлечение завода № 180 к поставкам корпусов на февральскую программу не повлияло никак — ни одного комплекта за февраль из Саратова так и не при</w:t>
      </w:r>
      <w:r w:rsidRPr="008127F8">
        <w:rPr>
          <w:rFonts w:eastAsia="Calibri"/>
          <w:color w:val="000000" w:themeColor="text1"/>
          <w:sz w:val="16"/>
          <w:szCs w:val="16"/>
        </w:rPr>
        <w:softHyphen/>
        <w:t>шло. Что же касается «Красного Октября», то вместо 250 корпусов было прислано всего 159, из них за первую половину февраля всего 61 штука. Еще большей проблемой оказались двигатели: число выпу</w:t>
      </w:r>
      <w:r w:rsidRPr="008127F8">
        <w:rPr>
          <w:rFonts w:eastAsia="Calibri"/>
          <w:color w:val="000000" w:themeColor="text1"/>
          <w:sz w:val="16"/>
          <w:szCs w:val="16"/>
        </w:rPr>
        <w:softHyphen/>
        <w:t>щенных танков в феврале равнялось количеству имевшихся на заводе двигателей. Не меньшие проблемы возникли и по поставкам запчастей с СТЗ. Вместо 300 радиаторов пришло 90 штук, из 600 бензобаков все</w:t>
      </w:r>
      <w:r w:rsidRPr="008127F8">
        <w:rPr>
          <w:rFonts w:eastAsia="Calibri"/>
          <w:color w:val="000000" w:themeColor="text1"/>
          <w:sz w:val="16"/>
          <w:szCs w:val="16"/>
        </w:rPr>
        <w:softHyphen/>
        <w:t>го 183 штуки, из 1200 тормозных лент СТЗ прислал 165 штук, а вместо 2000 опорных катков всего 256 (то есть комплект на 32 танка), причем еще требовалась их обрезинка.</w:t>
      </w:r>
    </w:p>
    <w:p w14:paraId="7DB1AF86"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Ненамного лучше оказалась и ситуация в марте: вместо 250 танков завод смог изготовить лишь 80. В марте наконец начались поставки корпусов из Саратова. Уже по состоянию на 1 апреля на заводе имелось 380 корпусов, из них 215 производства «Красного Октября» и 70 штук с завода № 180. На сей раз главной головной болью завода № 264 стал СТЗ, который в очередной раз сорвал выпуск запчастей. Особенно критично выглядела ситуация с радиаторами: вместо 350 штук за март пришло всего 35, то есть в 10 раз меньше запланированного. Вместо 670 бензобаков пришло 170 штук, из 1600 тормозных лент за март при</w:t>
      </w:r>
      <w:r w:rsidRPr="008127F8">
        <w:rPr>
          <w:rFonts w:eastAsia="Calibri"/>
          <w:color w:val="000000" w:themeColor="text1"/>
          <w:sz w:val="16"/>
          <w:szCs w:val="16"/>
        </w:rPr>
        <w:softHyphen/>
        <w:t>шло 133 штуки, а из 5000 катков — 1257 (157 комплектов) (17485).</w:t>
      </w:r>
    </w:p>
    <w:p w14:paraId="24A79D8B" w14:textId="77777777" w:rsidR="00CB6E72" w:rsidRPr="008127F8" w:rsidRDefault="00CB6E72" w:rsidP="001E0A84">
      <w:pPr>
        <w:pStyle w:val="af"/>
        <w:spacing w:before="0" w:after="0"/>
        <w:jc w:val="both"/>
        <w:rPr>
          <w:color w:val="000000" w:themeColor="text1"/>
          <w:sz w:val="16"/>
          <w:szCs w:val="16"/>
        </w:rPr>
      </w:pPr>
    </w:p>
    <w:p w14:paraId="4D53ACB2"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вместо 200 запланированных танков завод 264 сдал 67 штук, в марте ожидалось уже 250 Т-60, а в реальности было сдано 80. И виноват был не завод № 264: вместо 200 корпусов «Красный Октябрь» за первую половину февраля сдал 61, а в общей сложности было получено всего 159 корпусов. Но самой большой проблемой стал «моторный голод». Фактически количество сданных заводом № 264 танков равнялось количеству имевшихся моторов.</w:t>
      </w:r>
    </w:p>
    <w:p w14:paraId="1E150248"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больше проблем доставил срыва поставок комплектующих со стороны СТЗ. Особенно критично выглядела ситуация с радиаторами: вместо 350 штук за март было получено всего 35, то есть в 10 раз меньше запланированного. За этот же месяц вместо 670 бензобаков пришло 170, вместо 600 тормозных лент — 133, а вместо 5000 катков — 1257 (157 комплектов).</w:t>
      </w:r>
    </w:p>
    <w:p w14:paraId="270540ED"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Вместе с тем как раз в марте начались поставки корпусов от нового смежника — завода № 180 (г. Саратов). К сожалению, подключение нового смежника означало и появление новых проблем. Дефекты саратовских корпусов сыпались в изобилии. Насколько критичным оказались эти дефекты, наглядно показывает следующий факт. С 1 марта по 4 апреля завод № 264 получил рекламации на 47 танков, отправленных в войска. Жалобы шли на трещины, при этом в случае с продукцией завода № 180 дефектной оказалась половина корпусов (17677).</w:t>
      </w:r>
    </w:p>
    <w:p w14:paraId="0F98837E"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8F91F82"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на заводе № 37, согласно отчету:</w:t>
      </w:r>
    </w:p>
    <w:p w14:paraId="383ABAE8"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«Если в декабре-январе заводу хватало помещений, то в феврале и марте стало недостаточно, и завод буквально задыхается в тесных сборочных и сдаточных помещениях. Десятки машин стоят на морозе. Заводу негде организовать сдачу машин. Строители уже срывают пятые сроки пуска в эксплуатацию сборочных цехов, полигона, насосоаккумуляторной станции и т.д.</w:t>
      </w:r>
    </w:p>
    <w:p w14:paraId="402139B6"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 шестой раз строители обещают сдать эти помещения в марте месяце.</w:t>
      </w:r>
    </w:p>
    <w:p w14:paraId="55AFD661"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Качество строительства отвратительно плохое, фундаменты под станками, прессами рассыпаются или трескаются. Деревянные полы, уложенные на мерзлую землю в механических цехах, прогибаются под станками и станки приходится перетаскивать в другие места. Строители ужасно медленно строят, с плохим качеством исполнения, о всем этом сообщено Наркому Танкопрома тов. Малышеву, Наркому строительства тов. Гинзбургу и тов. Маленкову».</w:t>
      </w:r>
    </w:p>
    <w:p w14:paraId="55C02A38"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Дополнительные трудности оказались связаны с недостатком квалифицированных рабочих. Для того, чтобы их обучить, также требовалось время. Еще хуже дела обстояли со смежниками, в роли которых выступали ЧКЗ и завод №183. Они обеспечивали завод №37 рядом важных элементов, в том числе траками, катками и другими литыми деталями. Для того, чтобы минимизировать зависимость от этих поставок, на заводе еще в феврале начали работы по производству собственных деталей из ковкого чугуна (17686).</w:t>
      </w:r>
    </w:p>
    <w:p w14:paraId="48207E29"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437FC52" w14:textId="77777777" w:rsidR="00487530" w:rsidRPr="008127F8" w:rsidRDefault="00487530" w:rsidP="001E0A84">
      <w:pPr>
        <w:shd w:val="clear" w:color="auto" w:fill="FFFFFF"/>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В феврале 1942 года выпуск Т-60 шел на четырех предприятиях: ГАЗ им. Молотова (Горький), завод №264 (Красноармейск, пригород Сталинграда), завод №37 (Свердловск) и завод №38 (Киров). При этом в Свердловске полностью перешли на производство башен, у которых воздуховод перенесли на створку люка. Эта башня изначально была утолщенной, зато часть корпусов еще произвели экранированными. В результате даже на заводе, который полностью обеспечивал корпусами сам, имелось, скажем так, некое разнообразие внешнего вида. Ровно то же самое происходило и на заводе №38 в Кирове. Экранированный корпус и утолщенная башня (а порой и вообще без усиления). Какие только танки не выходили с завода в период с февраля по апрель 1942 года. Танк мог быть вообще без экранировки, например, именно такая машина, выпущенная в феврале 1942 года, находится в парке "Патриот". Ранее считалось, что это танк завода №37, но выяснилось, что вместо номера танка на нем набили номер корпуса. А сам танк горьковский. Могла быть комбинация, когда танк имеет обычный корпус, но экранированную башню. Попадаются варианты, когда башня уже утолщенная, а бронировка под экранированную башню (22726).</w:t>
      </w:r>
    </w:p>
    <w:p w14:paraId="02D7A73D" w14:textId="77777777" w:rsidR="00487530" w:rsidRPr="008127F8" w:rsidRDefault="00487530" w:rsidP="001E0A84">
      <w:pPr>
        <w:shd w:val="clear" w:color="auto" w:fill="FFFFFF"/>
        <w:spacing w:after="0" w:line="240" w:lineRule="auto"/>
        <w:jc w:val="both"/>
        <w:rPr>
          <w:rFonts w:ascii="Times New Roman" w:hAnsi="Times New Roman"/>
          <w:color w:val="000000" w:themeColor="text1"/>
          <w:sz w:val="16"/>
          <w:szCs w:val="16"/>
          <w:shd w:val="clear" w:color="auto" w:fill="FFFFFF"/>
        </w:rPr>
      </w:pPr>
    </w:p>
    <w:p w14:paraId="263793A6" w14:textId="77777777" w:rsidR="00487530" w:rsidRPr="008127F8" w:rsidRDefault="00487530"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С февраля 1942 года завод №264 начал работы над собственной модернизацией Т-60. Башня завода №264 тоже имела скос, но грибок вентиляции получился меньше, а верхняя лобовая деталь состояла из 2 деталей, а не 1 гнутой. Прорабатывалось и несколько вариантов утолщенной бронировки орудийной установки, включая и гнутую конструкцию.</w:t>
      </w:r>
    </w:p>
    <w:p w14:paraId="3D27FB88" w14:textId="77777777" w:rsidR="00487530" w:rsidRPr="008127F8" w:rsidRDefault="00487530"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Имелись отличия и по модернизации корпуса. На заводе №264 прекрасно были в курсе насчет того, как изготавливали корпуса на заводе "Красный Октябрь". Там и штамповали-то нехотя, не то, что клепали. Поэтому клепаных соединений было минимальное количество. Также завод проработал несколько вариантов люка механика-водителя, включая и литой. Впрочем, все эти предложения, в отличие от ГАЗ, завод так реализовать не смог. Дело в том, что окончательно документация по модернизации была готова в марте 1942 года, а по факту ее утвердили 15 апреля. К тому моменту заводу №264, в порядке исключения, разрешили его производить до июля месяца. Но про какие-то модернизации уже можно было забыть. Кроме того, в Красноармейск весной 1942 года хлынул поток корпусов и башен, которые ранее предназначались ГАЗ. (23032).</w:t>
      </w:r>
    </w:p>
    <w:p w14:paraId="41E9720A" w14:textId="77777777" w:rsidR="00487530" w:rsidRPr="008127F8" w:rsidRDefault="00487530" w:rsidP="001E0A84">
      <w:pPr>
        <w:spacing w:after="0" w:line="240" w:lineRule="auto"/>
        <w:jc w:val="both"/>
        <w:rPr>
          <w:rFonts w:ascii="Times New Roman" w:hAnsi="Times New Roman"/>
          <w:color w:val="000000" w:themeColor="text1"/>
          <w:sz w:val="16"/>
          <w:szCs w:val="16"/>
          <w:shd w:val="clear" w:color="auto" w:fill="FFFFFF"/>
        </w:rPr>
      </w:pPr>
    </w:p>
    <w:p w14:paraId="2194C03D" w14:textId="77777777" w:rsidR="00CB6E72" w:rsidRPr="008127F8" w:rsidRDefault="00CB6E72" w:rsidP="001E0A84">
      <w:pPr>
        <w:pStyle w:val="162"/>
        <w:shd w:val="clear" w:color="auto" w:fill="auto"/>
        <w:tabs>
          <w:tab w:val="left" w:pos="5877"/>
        </w:tabs>
        <w:spacing w:line="240" w:lineRule="auto"/>
        <w:jc w:val="both"/>
        <w:rPr>
          <w:rFonts w:eastAsia="Calibri"/>
          <w:color w:val="000000" w:themeColor="text1"/>
          <w:sz w:val="16"/>
          <w:szCs w:val="16"/>
        </w:rPr>
      </w:pPr>
      <w:r w:rsidRPr="008127F8">
        <w:rPr>
          <w:rFonts w:eastAsia="Calibri"/>
          <w:color w:val="000000" w:themeColor="text1"/>
          <w:sz w:val="16"/>
          <w:szCs w:val="16"/>
        </w:rPr>
        <w:t>С февраля 1942 основной продукцией завода № 38 в Кирове стали танки «060», впрочем, имелись и изготовленные «030». Все произведенные танки обознача</w:t>
      </w:r>
      <w:r w:rsidRPr="008127F8">
        <w:rPr>
          <w:rFonts w:eastAsia="Calibri"/>
          <w:color w:val="000000" w:themeColor="text1"/>
          <w:sz w:val="16"/>
          <w:szCs w:val="16"/>
        </w:rPr>
        <w:softHyphen/>
        <w:t>лись заводом как Т-60, и понять, к какому типу они относятся, можно лишь по серийным номерам (Т-30 завода № 38 имели серийные номера 2###). Согласно отгрузкам за февраль, Т-30 было выпущено не менее десятка. В последующем Т-30 эпизодически встречаются в отгрузках, можно уверенно говорить примерно о 49 выпущенных в Кирове танках данного типа. С очень большой долей вероятности среди построенных Т-30 могли быть машины с литыми башнями; не исключен вариант установки таких башен и на Т-60.</w:t>
      </w:r>
    </w:p>
    <w:p w14:paraId="629FB9BA" w14:textId="77777777" w:rsidR="00CB6E72" w:rsidRPr="008127F8" w:rsidRDefault="00CB6E72" w:rsidP="001E0A84">
      <w:pPr>
        <w:pStyle w:val="162"/>
        <w:shd w:val="clear" w:color="auto" w:fill="auto"/>
        <w:spacing w:line="240" w:lineRule="auto"/>
        <w:jc w:val="both"/>
        <w:rPr>
          <w:color w:val="000000" w:themeColor="text1"/>
          <w:sz w:val="16"/>
          <w:szCs w:val="16"/>
        </w:rPr>
      </w:pPr>
      <w:r w:rsidRPr="008127F8">
        <w:rPr>
          <w:rStyle w:val="6c"/>
          <w:rFonts w:ascii="Times New Roman" w:hAnsi="Times New Roman" w:cs="Times New Roman"/>
          <w:color w:val="000000" w:themeColor="text1"/>
          <w:sz w:val="16"/>
          <w:szCs w:val="16"/>
        </w:rPr>
        <w:t>Подготовку к мартовской программе, предусматривавшей изго</w:t>
      </w:r>
      <w:r w:rsidRPr="008127F8">
        <w:rPr>
          <w:rFonts w:eastAsia="Calibri"/>
          <w:color w:val="000000" w:themeColor="text1"/>
          <w:sz w:val="16"/>
          <w:szCs w:val="16"/>
        </w:rPr>
        <w:t>товление 150 танков, старший военпред завода военинженер 2-го ранга Куликов оценивал как низкую. По ряду позиций отставало производство, до конца не было налажено энергетическое хозяй</w:t>
      </w:r>
      <w:r w:rsidRPr="008127F8">
        <w:rPr>
          <w:rFonts w:eastAsia="Calibri"/>
          <w:color w:val="000000" w:themeColor="text1"/>
          <w:sz w:val="16"/>
          <w:szCs w:val="16"/>
        </w:rPr>
        <w:softHyphen/>
        <w:t>ство. Низко оценивалась производственная дисциплина и работа ОТК. Тем не менее к концу марта объем выпуска резко вырос, в ре</w:t>
      </w:r>
      <w:r w:rsidRPr="008127F8">
        <w:rPr>
          <w:rFonts w:eastAsia="Calibri"/>
          <w:color w:val="000000" w:themeColor="text1"/>
          <w:sz w:val="16"/>
          <w:szCs w:val="16"/>
        </w:rPr>
        <w:softHyphen/>
        <w:t>зультате вместо 150 Т-60 было сдано 160 танков, в немалой степени этому способствовала энергичная работа Куликова. Был выполнен план и по производству бронекорпусов: вместо 170 комплектов завод изготовил 174 штуки (17485).</w:t>
      </w:r>
    </w:p>
    <w:p w14:paraId="24A4FF0C" w14:textId="77777777" w:rsidR="00CB6E72" w:rsidRPr="008127F8" w:rsidRDefault="00CB6E72" w:rsidP="001E0A84">
      <w:pPr>
        <w:pStyle w:val="162"/>
        <w:shd w:val="clear" w:color="auto" w:fill="auto"/>
        <w:tabs>
          <w:tab w:val="left" w:pos="5877"/>
        </w:tabs>
        <w:spacing w:line="240" w:lineRule="auto"/>
        <w:jc w:val="both"/>
        <w:rPr>
          <w:color w:val="000000" w:themeColor="text1"/>
          <w:sz w:val="16"/>
          <w:szCs w:val="16"/>
        </w:rPr>
      </w:pPr>
    </w:p>
    <w:p w14:paraId="68D9271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башня Т-50 без командирской башенки находилась в серийном производстве: «6 февраля 1942 г. Поскольку решением сове</w:t>
      </w:r>
      <w:r w:rsidRPr="008127F8">
        <w:rPr>
          <w:rFonts w:ascii="Times New Roman" w:hAnsi="Times New Roman"/>
          <w:color w:val="000000" w:themeColor="text1"/>
          <w:sz w:val="16"/>
          <w:szCs w:val="16"/>
        </w:rPr>
        <w:softHyphen/>
        <w:t>щания от 14.12.41 г. на заводе № 180 в г. Саратове стоит в производстве литая башня Т-50 с исключенной командирской башенкой, просим Вас исключить из состава экипажа 3-го человека в башне, так как его размещение затруднено». После войны многие авторы стара</w:t>
      </w:r>
      <w:r w:rsidRPr="008127F8">
        <w:rPr>
          <w:rFonts w:ascii="Times New Roman" w:hAnsi="Times New Roman"/>
          <w:color w:val="000000" w:themeColor="text1"/>
          <w:sz w:val="16"/>
          <w:szCs w:val="16"/>
        </w:rPr>
        <w:softHyphen/>
        <w:t>тельно переписывали друг у друга фразу о том, что танк Т-50 оказался чрезвычайно сложным, что трудоемкость его про</w:t>
      </w:r>
      <w:r w:rsidRPr="008127F8">
        <w:rPr>
          <w:rFonts w:ascii="Times New Roman" w:hAnsi="Times New Roman"/>
          <w:color w:val="000000" w:themeColor="text1"/>
          <w:sz w:val="16"/>
          <w:szCs w:val="16"/>
        </w:rPr>
        <w:softHyphen/>
        <w:t>изводства и цена были сопоставимы с таковой у Т-34, и пото</w:t>
      </w:r>
      <w:r w:rsidRPr="008127F8">
        <w:rPr>
          <w:rFonts w:ascii="Times New Roman" w:hAnsi="Times New Roman"/>
          <w:color w:val="000000" w:themeColor="text1"/>
          <w:sz w:val="16"/>
          <w:szCs w:val="16"/>
        </w:rPr>
        <w:softHyphen/>
        <w:t>му-де этот танк и «не пошел». Принято было указывать стои</w:t>
      </w:r>
      <w:r w:rsidRPr="008127F8">
        <w:rPr>
          <w:rFonts w:ascii="Times New Roman" w:hAnsi="Times New Roman"/>
          <w:color w:val="000000" w:themeColor="text1"/>
          <w:sz w:val="16"/>
          <w:szCs w:val="16"/>
        </w:rPr>
        <w:softHyphen/>
        <w:t>мость Т-</w:t>
      </w:r>
      <w:r w:rsidRPr="008127F8">
        <w:rPr>
          <w:rFonts w:ascii="Times New Roman" w:hAnsi="Times New Roman"/>
          <w:color w:val="000000" w:themeColor="text1"/>
          <w:sz w:val="16"/>
          <w:szCs w:val="16"/>
        </w:rPr>
        <w:lastRenderedPageBreak/>
        <w:t>50 в 160 тыс. руб., а стоимость Т-34 - 135 тыс. руб. Здесь налицо имеется некое лукавство, призванное объ</w:t>
      </w:r>
      <w:r w:rsidRPr="008127F8">
        <w:rPr>
          <w:rFonts w:ascii="Times New Roman" w:hAnsi="Times New Roman"/>
          <w:color w:val="000000" w:themeColor="text1"/>
          <w:sz w:val="16"/>
          <w:szCs w:val="16"/>
        </w:rPr>
        <w:softHyphen/>
        <w:t>яснить отказ от выпуска Т-50 недостатками самого танка, а не какими-то иными причинами. В самом деле, разве может шестицилиндровый двигатель быть сопоставимым по трудо</w:t>
      </w:r>
      <w:r w:rsidRPr="008127F8">
        <w:rPr>
          <w:rFonts w:ascii="Times New Roman" w:hAnsi="Times New Roman"/>
          <w:color w:val="000000" w:themeColor="text1"/>
          <w:sz w:val="16"/>
          <w:szCs w:val="16"/>
        </w:rPr>
        <w:softHyphen/>
        <w:t>емкости с 12-цйлиндровым? Разве может 45-мм орудие вдруг оказаться дороже имеющего калибр 76-мм? Да и вообще, как это танк массой в 13-18 т оказывается сравнимым по цене с 28-32 тонным? Из чего же он? Неужто из вольфрама? Достаточно взглянуть на цены указанных танков в динамике, чтобы понять, каким же образом меньшее ста</w:t>
      </w:r>
      <w:r w:rsidRPr="008127F8">
        <w:rPr>
          <w:rFonts w:ascii="Times New Roman" w:hAnsi="Times New Roman"/>
          <w:color w:val="000000" w:themeColor="text1"/>
          <w:sz w:val="16"/>
          <w:szCs w:val="16"/>
        </w:rPr>
        <w:softHyphen/>
        <w:t>новится большим в сравнении указанных боевых машин. Итак, не вполне понятно, откуда взята стоимость танка Т-34 в 135 тыс. руб., так как в отчете В. Малышева такая цифра отсутствует. Наиболее близкие значения - стои</w:t>
      </w:r>
      <w:r w:rsidRPr="008127F8">
        <w:rPr>
          <w:rFonts w:ascii="Times New Roman" w:hAnsi="Times New Roman"/>
          <w:color w:val="000000" w:themeColor="text1"/>
          <w:sz w:val="16"/>
          <w:szCs w:val="16"/>
        </w:rPr>
        <w:softHyphen/>
        <w:t>мость Т-34 завода № 183 за 1943 г. - 136,5 тыс. руб. или сто</w:t>
      </w:r>
      <w:r w:rsidRPr="008127F8">
        <w:rPr>
          <w:rFonts w:ascii="Times New Roman" w:hAnsi="Times New Roman"/>
          <w:color w:val="000000" w:themeColor="text1"/>
          <w:sz w:val="16"/>
          <w:szCs w:val="16"/>
        </w:rPr>
        <w:softHyphen/>
        <w:t>имость Т-34-85 в 1945 г. - 130,5 тыс. руб. В то же самое вре</w:t>
      </w:r>
      <w:r w:rsidRPr="008127F8">
        <w:rPr>
          <w:rFonts w:ascii="Times New Roman" w:hAnsi="Times New Roman"/>
          <w:color w:val="000000" w:themeColor="text1"/>
          <w:sz w:val="16"/>
          <w:szCs w:val="16"/>
        </w:rPr>
        <w:softHyphen/>
        <w:t>мя стоимость Т-50 в 165 тыс. руб. зафиксирована как расчетная для первой партии машин в июле 1941 г. Однако в аналогичных условиях цена Т-34 в 1940-м достигала без малого 500 тыс. руб.! (10782). Кто-то скажет, что в 1942-м стоимость Т-34 на заводе № 183 составляла 166 тыс. руб. и это тоже «хорошо сопоста</w:t>
      </w:r>
      <w:r w:rsidRPr="008127F8">
        <w:rPr>
          <w:rFonts w:ascii="Times New Roman" w:hAnsi="Times New Roman"/>
          <w:color w:val="000000" w:themeColor="text1"/>
          <w:sz w:val="16"/>
          <w:szCs w:val="16"/>
        </w:rPr>
        <w:softHyphen/>
        <w:t>вимо» с Т-50! Э, нет, дорогой читатель, не сопоставимо. Ведь 166 тыс. руб. — это в условиях конвейера и сварки автоматом, а в том же {9.42 г. Т-34 завода № 112 (где конвейера не было) стоил 209 тыс руб., завода № 174 — 312 тыс. руб., а завода УЗТМ — 273 тыс. руб. А Т-50, производимый в это же время заводе № 174 (в условиях эвакуации), был оценен лишь в 92 тыс. руб., то есть почти вдвое дешевле, чем самый деше</w:t>
      </w:r>
      <w:r w:rsidRPr="008127F8">
        <w:rPr>
          <w:rFonts w:ascii="Times New Roman" w:hAnsi="Times New Roman"/>
          <w:color w:val="000000" w:themeColor="text1"/>
          <w:sz w:val="16"/>
          <w:szCs w:val="16"/>
        </w:rPr>
        <w:softHyphen/>
        <w:t>вый вариант Т-34 завода № 183. А во сколько раз это ниже, чем у Т-34 того же самого завода № 174? В три? Однако, как бы ни была упрощена конструкция Т-50, узким местом для его изготовления являлся двигатель. Он хоть и был «половинкой» от В-2 и стоил дешевле, но произ</w:t>
      </w:r>
      <w:r w:rsidRPr="008127F8">
        <w:rPr>
          <w:rFonts w:ascii="Times New Roman" w:hAnsi="Times New Roman"/>
          <w:color w:val="000000" w:themeColor="text1"/>
          <w:sz w:val="16"/>
          <w:szCs w:val="16"/>
        </w:rPr>
        <w:softHyphen/>
        <w:t>водить его было просто негде. Ведь В-2 требовался сразу для четырех танковых заводов и его все равно не хватало, а В-4 только для одного. Задел двигателей (около 200 шт.), выве</w:t>
      </w:r>
      <w:r w:rsidRPr="008127F8">
        <w:rPr>
          <w:rFonts w:ascii="Times New Roman" w:hAnsi="Times New Roman"/>
          <w:color w:val="000000" w:themeColor="text1"/>
          <w:sz w:val="16"/>
          <w:szCs w:val="16"/>
        </w:rPr>
        <w:softHyphen/>
        <w:t>зенный из Ленинграда в Челябинск, был самовольно захва</w:t>
      </w:r>
      <w:r w:rsidRPr="008127F8">
        <w:rPr>
          <w:rFonts w:ascii="Times New Roman" w:hAnsi="Times New Roman"/>
          <w:color w:val="000000" w:themeColor="text1"/>
          <w:sz w:val="16"/>
          <w:szCs w:val="16"/>
        </w:rPr>
        <w:softHyphen/>
        <w:t>чен директором ЧКЗ И. Зальцманом и использован для вы</w:t>
      </w:r>
      <w:r w:rsidRPr="008127F8">
        <w:rPr>
          <w:rFonts w:ascii="Times New Roman" w:hAnsi="Times New Roman"/>
          <w:color w:val="000000" w:themeColor="text1"/>
          <w:sz w:val="16"/>
          <w:szCs w:val="16"/>
        </w:rPr>
        <w:softHyphen/>
        <w:t>полнения плана отгрузки фронту танков КВ. А без двигате</w:t>
      </w:r>
      <w:r w:rsidRPr="008127F8">
        <w:rPr>
          <w:rFonts w:ascii="Times New Roman" w:hAnsi="Times New Roman"/>
          <w:color w:val="000000" w:themeColor="text1"/>
          <w:sz w:val="16"/>
          <w:szCs w:val="16"/>
        </w:rPr>
        <w:softHyphen/>
        <w:t>лей никакой танк не мог производиться серийно. Попытка оснастить Т-50 параллельной спаркой карбюраторных двигателей ГАЗ-202 закончилась неудачно (10782).</w:t>
      </w:r>
    </w:p>
    <w:p w14:paraId="6DBE16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6078A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завод № 112 се</w:t>
      </w:r>
      <w:r w:rsidRPr="008127F8">
        <w:rPr>
          <w:rFonts w:ascii="Times New Roman" w:hAnsi="Times New Roman"/>
          <w:color w:val="000000" w:themeColor="text1"/>
          <w:sz w:val="16"/>
          <w:szCs w:val="16"/>
        </w:rPr>
        <w:softHyphen/>
        <w:t>товал, что на территории завода скопилась готовая партия Т-34, которые не могут быть отправлены заказчику по при</w:t>
      </w:r>
      <w:r w:rsidRPr="008127F8">
        <w:rPr>
          <w:rFonts w:ascii="Times New Roman" w:hAnsi="Times New Roman"/>
          <w:color w:val="000000" w:themeColor="text1"/>
          <w:sz w:val="16"/>
          <w:szCs w:val="16"/>
        </w:rPr>
        <w:softHyphen/>
        <w:t>чине отсутствия на заводе и в наркомате свечей зажигания к ним. Свечей не было совсем, так как их производство в СССР временно не велось. Для выполнения плана отгрузки нарком танковой промышленности буквально выпросил у наркома авиапрома необходимые свечи из числа получен</w:t>
      </w:r>
      <w:r w:rsidRPr="008127F8">
        <w:rPr>
          <w:rFonts w:ascii="Times New Roman" w:hAnsi="Times New Roman"/>
          <w:color w:val="000000" w:themeColor="text1"/>
          <w:sz w:val="16"/>
          <w:szCs w:val="16"/>
        </w:rPr>
        <w:softHyphen/>
        <w:t>ных по ленд-лизу для истребителей. Но применение бензомотора на Т-34 было особо не</w:t>
      </w:r>
      <w:r w:rsidRPr="008127F8">
        <w:rPr>
          <w:rFonts w:ascii="Times New Roman" w:hAnsi="Times New Roman"/>
          <w:color w:val="000000" w:themeColor="text1"/>
          <w:sz w:val="16"/>
          <w:szCs w:val="16"/>
        </w:rPr>
        <w:softHyphen/>
        <w:t>приятным, поскольку бензобаки находились в боевом от</w:t>
      </w:r>
      <w:r w:rsidRPr="008127F8">
        <w:rPr>
          <w:rFonts w:ascii="Times New Roman" w:hAnsi="Times New Roman"/>
          <w:color w:val="000000" w:themeColor="text1"/>
          <w:sz w:val="16"/>
          <w:szCs w:val="16"/>
        </w:rPr>
        <w:softHyphen/>
        <w:t>делении танка и представляли большую опасность даже в случае, когда броня танка не пробивалась бронебойным снарядом, но от ее тыльной поверхности откалывалась т.н. «окалина» («вторичные осколки»), могущая вызвать вспышку бензиновых паров. Поэтому 5 января 1942 г. нарком В. Малышев предписал осуществить дополнительное бронирование лба и бортов корпуса Т-34, укомплектованного бензиновым двигателем, листами брони высокой твердости толщиной 15-20 мм. Но исследования НИИ-48 показали, что искры, срывающи</w:t>
      </w:r>
      <w:r w:rsidRPr="008127F8">
        <w:rPr>
          <w:rFonts w:ascii="Times New Roman" w:hAnsi="Times New Roman"/>
          <w:color w:val="000000" w:themeColor="text1"/>
          <w:sz w:val="16"/>
          <w:szCs w:val="16"/>
        </w:rPr>
        <w:softHyphen/>
        <w:t>еся при отколе «вторичных осколков» от тыльной стороны башни, также опасны при закрытых люках танка, так как мо</w:t>
      </w:r>
      <w:r w:rsidRPr="008127F8">
        <w:rPr>
          <w:rFonts w:ascii="Times New Roman" w:hAnsi="Times New Roman"/>
          <w:color w:val="000000" w:themeColor="text1"/>
          <w:sz w:val="16"/>
          <w:szCs w:val="16"/>
        </w:rPr>
        <w:softHyphen/>
        <w:t>гут вызвать взрыв паров бензина в башне танка при закрытых люках. Поэтому весной 1942 г. завод № 112 экранирует кор</w:t>
      </w:r>
      <w:r w:rsidRPr="008127F8">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8127F8">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8127F8">
        <w:rPr>
          <w:rFonts w:ascii="Times New Roman" w:hAnsi="Times New Roman"/>
          <w:color w:val="000000" w:themeColor="text1"/>
          <w:sz w:val="16"/>
          <w:szCs w:val="16"/>
        </w:rPr>
        <w:softHyphen/>
        <w:t>прягаются друг с другом по оборудованию. Не раз случа</w:t>
      </w:r>
      <w:r w:rsidRPr="008127F8">
        <w:rPr>
          <w:rFonts w:ascii="Times New Roman" w:hAnsi="Times New Roman"/>
          <w:color w:val="000000" w:themeColor="text1"/>
          <w:sz w:val="16"/>
          <w:szCs w:val="16"/>
        </w:rPr>
        <w:softHyphen/>
        <w:t>лось так, что в ходе ремонта техники, поврежденной в бо</w:t>
      </w:r>
      <w:r w:rsidRPr="008127F8">
        <w:rPr>
          <w:rFonts w:ascii="Times New Roman" w:hAnsi="Times New Roman"/>
          <w:color w:val="000000" w:themeColor="text1"/>
          <w:sz w:val="16"/>
          <w:szCs w:val="16"/>
        </w:rPr>
        <w:softHyphen/>
        <w:t xml:space="preserve">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совместная комиссия НИИ-48 и за</w:t>
      </w:r>
      <w:r w:rsidRPr="008127F8">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8127F8">
        <w:rPr>
          <w:rFonts w:ascii="Times New Roman" w:hAnsi="Times New Roman"/>
          <w:color w:val="000000" w:themeColor="text1"/>
          <w:sz w:val="16"/>
          <w:szCs w:val="16"/>
        </w:rPr>
        <w:softHyphen/>
        <w:t>ней толщиной 60 мм. А уже 28 декабря группа НИИ-48 на за</w:t>
      </w:r>
      <w:r w:rsidRPr="008127F8">
        <w:rPr>
          <w:rFonts w:ascii="Times New Roman" w:hAnsi="Times New Roman"/>
          <w:color w:val="000000" w:themeColor="text1"/>
          <w:sz w:val="16"/>
          <w:szCs w:val="16"/>
        </w:rPr>
        <w:softHyphen/>
        <w:t>воде № 264 под руководством Кофмана провела исследова</w:t>
      </w:r>
      <w:r w:rsidRPr="008127F8">
        <w:rPr>
          <w:rFonts w:ascii="Times New Roman" w:hAnsi="Times New Roman"/>
          <w:color w:val="000000" w:themeColor="text1"/>
          <w:sz w:val="16"/>
          <w:szCs w:val="16"/>
        </w:rPr>
        <w:softHyphen/>
        <w:t>ния броневых листов толщиной 45 мм, применявшихся заво</w:t>
      </w:r>
      <w:r w:rsidRPr="008127F8">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8127F8">
        <w:rPr>
          <w:rFonts w:ascii="Times New Roman" w:hAnsi="Times New Roman"/>
          <w:color w:val="000000" w:themeColor="text1"/>
          <w:sz w:val="16"/>
          <w:szCs w:val="16"/>
        </w:rPr>
        <w:softHyphen/>
        <w:t>ли весьма высокую стойкость к воздействию малокалибер</w:t>
      </w:r>
      <w:r w:rsidRPr="008127F8">
        <w:rPr>
          <w:rFonts w:ascii="Times New Roman" w:hAnsi="Times New Roman"/>
          <w:color w:val="000000" w:themeColor="text1"/>
          <w:sz w:val="16"/>
          <w:szCs w:val="16"/>
        </w:rPr>
        <w:softHyphen/>
        <w:t>ных бронебойных снарядов (37-мм, 45-мм), они недоста</w:t>
      </w:r>
      <w:r w:rsidRPr="008127F8">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8127F8">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8127F8">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0001F5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38D2E" w14:textId="77777777" w:rsidR="00E05935" w:rsidRPr="008127F8" w:rsidRDefault="00E0593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стало ясно, что на утолщение катаной брони рассчитывать не стоит. Перегруженные заказами и испытывающие трудности заводы просто физически не могли перейти на броню толщиной 60 мм. Что же касается экранировки, то она отнимала у заводов много времени, сил и ресурсов.</w:t>
      </w:r>
    </w:p>
    <w:p w14:paraId="62BC1692" w14:textId="77777777" w:rsidR="00E05935" w:rsidRPr="008127F8" w:rsidRDefault="00E0593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Существенной выгоды экранировка не давала. Оставшиеся экранированные корпуса и башни расходовались постепенно, например, на СТЗ подобными корпусами оснащались танки выпуска лета 1942 года.</w:t>
      </w:r>
    </w:p>
    <w:p w14:paraId="64BAC637" w14:textId="77777777" w:rsidR="00E05935" w:rsidRPr="008127F8" w:rsidRDefault="00E0593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Тем не менее на заводе №112 к экранировке вынужденно возвратились. На сей раз причиной тому стало не усиление брони, а брак по броневым листам, которого было много в 1942 году. Прежде всего это касалось верхнего лобового листа корпуса. Сложная деталь с кучей вырезов стала настоящей головной болью заводчан. Именно по этой причине на верхний лобовой лист стали ставить экраны. Это была скорее заплатка, правда, часто имевшая размер всей лобовой детали. От более ранних экранов они отличались формой, часто выполняясь цельными (18883).</w:t>
      </w:r>
    </w:p>
    <w:p w14:paraId="6C530A63" w14:textId="77777777" w:rsidR="00E05935" w:rsidRPr="008127F8" w:rsidRDefault="00E05935" w:rsidP="001E0A84">
      <w:pPr>
        <w:spacing w:after="0" w:line="240" w:lineRule="auto"/>
        <w:jc w:val="both"/>
        <w:rPr>
          <w:rFonts w:ascii="Times New Roman" w:eastAsia="Times New Roman" w:hAnsi="Times New Roman"/>
          <w:color w:val="000000" w:themeColor="text1"/>
          <w:sz w:val="16"/>
          <w:szCs w:val="16"/>
          <w:lang w:eastAsia="ru-RU"/>
        </w:rPr>
      </w:pPr>
    </w:p>
    <w:p w14:paraId="48C27312" w14:textId="77777777" w:rsidR="005456A8" w:rsidRPr="008127F8" w:rsidRDefault="005456A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за заводом № 183 был закреплен самолет ПС-84 (Ли-2) и экипаж летчика Соколова. Главной его задачей была оперативная переброска дефицитных деталей и материалов, отсутствие которых угрожало остановкой конвейера (18250).</w:t>
      </w:r>
    </w:p>
    <w:p w14:paraId="66C56429" w14:textId="77777777" w:rsidR="005456A8" w:rsidRPr="008127F8" w:rsidRDefault="005456A8" w:rsidP="001E0A84">
      <w:pPr>
        <w:spacing w:after="0" w:line="240" w:lineRule="auto"/>
        <w:jc w:val="both"/>
        <w:rPr>
          <w:rFonts w:ascii="Times New Roman" w:hAnsi="Times New Roman"/>
          <w:color w:val="000000" w:themeColor="text1"/>
          <w:sz w:val="16"/>
          <w:szCs w:val="16"/>
        </w:rPr>
      </w:pPr>
    </w:p>
    <w:p w14:paraId="3DA064F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 территории УТЗ был организован опытный участок, который представлял собой часть проле</w:t>
      </w:r>
      <w:r w:rsidRPr="008127F8">
        <w:rPr>
          <w:rFonts w:ascii="Times New Roman" w:hAnsi="Times New Roman"/>
          <w:color w:val="000000" w:themeColor="text1"/>
          <w:sz w:val="16"/>
          <w:szCs w:val="16"/>
        </w:rPr>
        <w:softHyphen/>
        <w:t>та между корпусным и сборочным цехами длиной около 18 метров, навес над которым был построен только осенью. Свободной площади этого, с позволения сказать, «цеха» хватало лишь для установки двух корпусов размером с танк Т-34. Испытательный же участок цеха не имел крыши до 50-х годов. Это быо лтгороженный забором участок 10Х5.5 м, к которому было подведено электричество (напряжением 12 и 24 В), сжатый воздух и вода. Здесь запускали опытные танки и проводили испыта</w:t>
      </w:r>
      <w:r w:rsidRPr="008127F8">
        <w:rPr>
          <w:rFonts w:ascii="Times New Roman" w:hAnsi="Times New Roman"/>
          <w:color w:val="000000" w:themeColor="text1"/>
          <w:sz w:val="16"/>
          <w:szCs w:val="16"/>
        </w:rPr>
        <w:softHyphen/>
        <w:t>ния воздухоочистителей и подогревателей. Стенда для об</w:t>
      </w:r>
      <w:r w:rsidRPr="008127F8">
        <w:rPr>
          <w:rFonts w:ascii="Times New Roman" w:hAnsi="Times New Roman"/>
          <w:color w:val="000000" w:themeColor="text1"/>
          <w:sz w:val="16"/>
          <w:szCs w:val="16"/>
        </w:rPr>
        <w:softHyphen/>
        <w:t>катки двигателя и трансмиссии не было (10782). Впрочем, на первых порах от всех конструкторских служб завода требовалась далеко не творческая работа. До февраля 1942 г. весь состав КБ превратился в рабочих, стре</w:t>
      </w:r>
      <w:r w:rsidRPr="008127F8">
        <w:rPr>
          <w:rFonts w:ascii="Times New Roman" w:hAnsi="Times New Roman"/>
          <w:color w:val="000000" w:themeColor="text1"/>
          <w:sz w:val="16"/>
          <w:szCs w:val="16"/>
        </w:rPr>
        <w:softHyphen/>
        <w:t xml:space="preserve">мясь кик можно скорее дать Красной Армии необходимые танки. </w:t>
      </w:r>
      <w:proofErr w:type="gramStart"/>
      <w:r w:rsidRPr="008127F8">
        <w:rPr>
          <w:rFonts w:ascii="Times New Roman" w:hAnsi="Times New Roman"/>
          <w:color w:val="000000" w:themeColor="text1"/>
          <w:sz w:val="16"/>
          <w:szCs w:val="16"/>
        </w:rPr>
        <w:t>О..недостатках</w:t>
      </w:r>
      <w:proofErr w:type="gramEnd"/>
      <w:r w:rsidRPr="008127F8">
        <w:rPr>
          <w:rFonts w:ascii="Times New Roman" w:hAnsi="Times New Roman"/>
          <w:color w:val="000000" w:themeColor="text1"/>
          <w:sz w:val="16"/>
          <w:szCs w:val="16"/>
        </w:rPr>
        <w:t xml:space="preserve"> Т-34 временно забыли и стремились лишь к одному — любой ценой организовать поточное про</w:t>
      </w:r>
      <w:r w:rsidRPr="008127F8">
        <w:rPr>
          <w:rFonts w:ascii="Times New Roman" w:hAnsi="Times New Roman"/>
          <w:color w:val="000000" w:themeColor="text1"/>
          <w:sz w:val="16"/>
          <w:szCs w:val="16"/>
        </w:rPr>
        <w:softHyphen/>
        <w:t>изводство танков на новых площадях с суточной програм</w:t>
      </w:r>
      <w:r w:rsidRPr="008127F8">
        <w:rPr>
          <w:rFonts w:ascii="Times New Roman" w:hAnsi="Times New Roman"/>
          <w:color w:val="000000" w:themeColor="text1"/>
          <w:sz w:val="16"/>
          <w:szCs w:val="16"/>
        </w:rPr>
        <w:softHyphen/>
        <w:t>мой 20 танков. 20 декабря из ворот завода вышли первые 25 боевых машин, собранных из деталей, привезенных из Харькова. Интересно то, что лишь пять Т-34 получили штатные танковые дизели В-2, а двадцать - их усеченную версию В-2В (от тягача «Ворошиловец»). Но танки второй серии, несомненно, радовали. По внешнему виду они мало походили на своих собратьев из Сталинграда и Горького. Их броня казалась гладкой, свар</w:t>
      </w:r>
      <w:r w:rsidRPr="008127F8">
        <w:rPr>
          <w:rFonts w:ascii="Times New Roman" w:hAnsi="Times New Roman"/>
          <w:color w:val="000000" w:themeColor="text1"/>
          <w:sz w:val="16"/>
          <w:szCs w:val="16"/>
        </w:rPr>
        <w:softHyphen/>
        <w:t>ные швы — ровными и одинаковыми. Литые башни выгля</w:t>
      </w:r>
      <w:r w:rsidRPr="008127F8">
        <w:rPr>
          <w:rFonts w:ascii="Times New Roman" w:hAnsi="Times New Roman"/>
          <w:color w:val="000000" w:themeColor="text1"/>
          <w:sz w:val="16"/>
          <w:szCs w:val="16"/>
        </w:rPr>
        <w:softHyphen/>
        <w:t>дели аккуратными, ведь их отливали в лучшие пески, кото</w:t>
      </w:r>
      <w:r w:rsidRPr="008127F8">
        <w:rPr>
          <w:rFonts w:ascii="Times New Roman" w:hAnsi="Times New Roman"/>
          <w:color w:val="000000" w:themeColor="text1"/>
          <w:sz w:val="16"/>
          <w:szCs w:val="16"/>
        </w:rPr>
        <w:softHyphen/>
        <w:t>рые смогли найти на Урале. Но не только внешностью отличалась нижнетагильская машина от себе подобных. Она была еще самой дешевой и вдобавок наиболее надежной и безотказной среди средних и тяжелых танков отечественной постройки. Благодаря тому что распоряжением СНК СССР в июле 1941 г. в Нижний Тагил был эвакуирован Институт Электро</w:t>
      </w:r>
      <w:r w:rsidRPr="008127F8">
        <w:rPr>
          <w:rFonts w:ascii="Times New Roman" w:hAnsi="Times New Roman"/>
          <w:color w:val="000000" w:themeColor="text1"/>
          <w:sz w:val="16"/>
          <w:szCs w:val="16"/>
        </w:rPr>
        <w:softHyphen/>
        <w:t>сварки АН СССР, именно на УТЗ в производстве бронекор-пусов Т-34 впервые был внедрен в серию метод полуавтома</w:t>
      </w:r>
      <w:r w:rsidRPr="008127F8">
        <w:rPr>
          <w:rFonts w:ascii="Times New Roman" w:hAnsi="Times New Roman"/>
          <w:color w:val="000000" w:themeColor="text1"/>
          <w:sz w:val="16"/>
          <w:szCs w:val="16"/>
        </w:rPr>
        <w:softHyphen/>
        <w:t>тической сварки сталей под флюсом. Собственно, метод был отработан ранее, но только для низкоуглеродистой конст</w:t>
      </w:r>
      <w:r w:rsidRPr="008127F8">
        <w:rPr>
          <w:rFonts w:ascii="Times New Roman" w:hAnsi="Times New Roman"/>
          <w:color w:val="000000" w:themeColor="text1"/>
          <w:sz w:val="16"/>
          <w:szCs w:val="16"/>
        </w:rPr>
        <w:softHyphen/>
        <w:t>рукционной стали. Варить броневую сталь еще не пробовали. Технологический процесс сварки корпуса Т-34 на сбо</w:t>
      </w:r>
      <w:r w:rsidRPr="008127F8">
        <w:rPr>
          <w:rFonts w:ascii="Times New Roman" w:hAnsi="Times New Roman"/>
          <w:color w:val="000000" w:themeColor="text1"/>
          <w:sz w:val="16"/>
          <w:szCs w:val="16"/>
        </w:rPr>
        <w:softHyphen/>
        <w:t>рочном стапеле был отработан совместно технологическим отделом УТЗ и отделом Главного конструктора института (10782).</w:t>
      </w:r>
    </w:p>
    <w:p w14:paraId="4D4D48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4D1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 (11982).</w:t>
      </w:r>
    </w:p>
    <w:p w14:paraId="6D55DA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DECD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на СТЗ приняли 250 Т-34, из которых 135 имели карбюраторные двигатели М-17 (12217).</w:t>
      </w:r>
    </w:p>
    <w:p w14:paraId="58641F77"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141801E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в отчете об итогах работы завода за 1941 года старший военпред Левин докладывал в ГАБТУ КА:</w:t>
      </w:r>
    </w:p>
    <w:p w14:paraId="780CF2EC"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изменения, внесенный в танк заводом СТЗ в 1941 г.</w:t>
      </w:r>
    </w:p>
    <w:p w14:paraId="23D02DF0"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Весь выпуск Т-34 разбит на отдельные партии, в каждой партии по 200 машин со своим индексом партии, расположенном в следующем порядке:</w:t>
      </w:r>
    </w:p>
    <w:p w14:paraId="047F20BD"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 - Ф, 2-я - Е. 3-я - Л. 4-я - И. 5-я - К; 6-я - С и 7-я - Д.</w:t>
      </w:r>
    </w:p>
    <w:p w14:paraId="1C17B04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 машины № Ф1405134 установлено ТПУ-3, с машины № Ф1401001 по 1405134 устанавливалось ТПУ-2.</w:t>
      </w:r>
    </w:p>
    <w:p w14:paraId="53D16CED"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С машины № Ф1401001 по 1409039 устанавливались прицелы ТОД-7, ПТ-7 и ПТК.</w:t>
      </w:r>
    </w:p>
    <w:p w14:paraId="244CAC9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машины № И1409039 по С1412090 установлены ТМФД-7 и ПТ-4-7.</w:t>
      </w:r>
    </w:p>
    <w:p w14:paraId="2C861DA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 машины № 0412179 вместо ТМФД-7 начали устанавливать ТОД-1, 2, 3 и 6 (заменители). Вместо ПТ-4-7 стали устанавливать зеркальную панораму или ПТК.</w:t>
      </w:r>
    </w:p>
    <w:p w14:paraId="302C991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 машины № Е1407174 введена гребенка для предохранения тяг коробки перемены передач от изгиба.</w:t>
      </w:r>
    </w:p>
    <w:p w14:paraId="39F9BFC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 машины № Л1409165 установлен новый воздухоочиститель и изменено устройство для регулирования тормозных лент.</w:t>
      </w:r>
    </w:p>
    <w:p w14:paraId="3D3F068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 машины № И1410109 введена новая боеукладка (чемоданы на 9 снарядов вместо 3).</w:t>
      </w:r>
    </w:p>
    <w:p w14:paraId="35E9CBE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 машины № К1410013 введены опорные катки с металлическим ободом и внутренней амортизацией.</w:t>
      </w:r>
    </w:p>
    <w:p w14:paraId="653FF72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 машины № Л1409182 установлена новая гусеница под новый опорный каток и чугунный картер коробки перемены передач.</w:t>
      </w:r>
    </w:p>
    <w:p w14:paraId="61F90FF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С машины № И1410199 установлен на машины двигатель М-17Ф (всего за 1941 г. было установлено ремонтных моторов М-17Ф 120 шт.). Ввиду необеспеченности В-2 установка двигателей М-17Ф ремонта Сталинградской авиашколы продолжалось и в 1942 г.</w:t>
      </w:r>
    </w:p>
    <w:p w14:paraId="2AE5980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 машины № К1411104 устанавливался генератор ГТС-1000 производства СТЗ вместо ГТ-1000.</w:t>
      </w:r>
    </w:p>
    <w:p w14:paraId="4505E13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С машины № К1412123 вместо амперметра и вольтметра устанавливалась контрольная лампочка.</w:t>
      </w:r>
    </w:p>
    <w:p w14:paraId="0D9ED0C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С машины № 1412028 устанавливался двигатель М-17Т с генератором ДСФ-500Т, введена новая схема электрооборудования для генератора ДСФ. В 1941 г. было установлено в танк 97 двигателей М- 17Т.</w:t>
      </w:r>
    </w:p>
    <w:p w14:paraId="20BD3B0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С машины № С1412123 не устанавливались моторчики поворота башни и моторчики вентиляции боевого отделения до 1 февраля 1942 г. включительно.</w:t>
      </w:r>
    </w:p>
    <w:p w14:paraId="168EBE0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танках № Ф2401052, Ф2401053, Ф2401054, Ф2401055, Ф2401058, Ф2401061, Ф2401063, Ф2401068, Д1412006, Ф24001038 - установлены огнеметы АТО-41. 10 огнеметных тан ков Т-34 отправлены 2.02.1942 г. на Юго-Западный фронт.</w:t>
      </w:r>
    </w:p>
    <w:p w14:paraId="7D1E0D9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дефекты машин:</w:t>
      </w:r>
    </w:p>
    <w:p w14:paraId="04FCCA1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Скол зубьев КПП, поломка шестерен 3 - 1 скорости.</w:t>
      </w:r>
    </w:p>
    <w:p w14:paraId="70E121ED"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Выход из строя главного фрикциона.</w:t>
      </w:r>
    </w:p>
    <w:p w14:paraId="07DF77F0"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Система охлаждения двигателя М-17.</w:t>
      </w:r>
    </w:p>
    <w:p w14:paraId="2308E8F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ноября 1941 г. завод начал изготавливать отдельные элементы электрооборудования: генераторы ГТС-1000, выключатель массы, сборка РР по типу РРТ-4576А из деталей РР-РРА.</w:t>
      </w:r>
    </w:p>
    <w:p w14:paraId="27DDF6B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1941 г. переделано реле РС-371 для работы в схеме на 12 В с двигателем М-17. кнопки стартера и тумблера, штепсельные розетки. ВКУ.</w:t>
      </w:r>
    </w:p>
    <w:p w14:paraId="094F948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Экспериментальные работы по танку Т-34 в 1941 г.</w:t>
      </w:r>
    </w:p>
    <w:p w14:paraId="4D0250D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Экспериментальная группа главного конструктора выполнила 91 задание (из них 14 до войны): центробежный воздухоочиститель вместо инерционного, опорные катки по типу КВ, гусеница с плоской дорожкой применительно к опорным каткам со стальным ободом и шплинтовкой пальца заклепкой вместо шплинта.</w:t>
      </w:r>
    </w:p>
    <w:p w14:paraId="6CE438B8"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Испытывался дизель в машине с чугунным картером, маслонасосом, блоком и крышкой. В виду отсутствия на заводе двухрядных сферических подшипников бортового фрикциона № 1412 были испытаны подшипники средней серии № 1312, показавших удовлетворительные результаты.</w:t>
      </w:r>
    </w:p>
    <w:p w14:paraId="0A60EB4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ведутся экспериментальные работы:</w:t>
      </w:r>
    </w:p>
    <w:p w14:paraId="432E9CC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Устройство, облегчающее запуск двигателя зимой.</w:t>
      </w:r>
    </w:p>
    <w:p w14:paraId="6E41F2B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Бесструнное крепление большой и малой бортовой передачи упрощенной технологии.</w:t>
      </w:r>
    </w:p>
    <w:p w14:paraId="7308F73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Изготавливается инерционный стартер.</w:t>
      </w:r>
    </w:p>
    <w:p w14:paraId="3A012E1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экспериментальном отделе имеется три танка Т-34, один из них с двигателем М-17Ф» (12217).</w:t>
      </w:r>
    </w:p>
    <w:p w14:paraId="5A51B684"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0BD3CC7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ситуация с производством дизеля В-2 была еще не очень обнадеживающей, о чем заместитель наркома танковой промышленности Котин докладывал В. Молотову:</w:t>
      </w:r>
    </w:p>
    <w:p w14:paraId="57576A90"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выпуска КВ и Т-34 за последние 4-5 месяцев тормозится т.о. недостатком танковых дизелей В-2.</w:t>
      </w:r>
    </w:p>
    <w:p w14:paraId="4F9FE9C8"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эвакуации танковых заводов из Харькова и Ленинграда производство В-2 несколько опережало производство танков КВ и Т-34. В последующий период все время производство В-2 отстает от производства танков».</w:t>
      </w:r>
    </w:p>
    <w:p w14:paraId="44D884D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уже в марте 1942 года ситуация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416CBDC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в котором говорилось:</w:t>
      </w:r>
    </w:p>
    <w:p w14:paraId="03B9C32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087F8D2D"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2057B61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5FF05EEC"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23767F2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8127F8">
        <w:rPr>
          <w:rFonts w:ascii="Times New Roman" w:hAnsi="Times New Roman"/>
          <w:color w:val="000000" w:themeColor="text1"/>
          <w:sz w:val="16"/>
          <w:szCs w:val="16"/>
        </w:rPr>
        <w:t>машина с М-17</w:t>
      </w:r>
      <w:proofErr w:type="gramEnd"/>
      <w:r w:rsidRPr="008127F8">
        <w:rPr>
          <w:rFonts w:ascii="Times New Roman" w:hAnsi="Times New Roman"/>
          <w:color w:val="000000" w:themeColor="text1"/>
          <w:sz w:val="16"/>
          <w:szCs w:val="16"/>
        </w:rPr>
        <w:t xml:space="preserve"> прошедшая пробег, но требу- юшие небольших доделок.</w:t>
      </w:r>
    </w:p>
    <w:p w14:paraId="13F8682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3BBFDB4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ТанкТ-34 выпуска завода №183 апреля 1943года (ЦАМО).</w:t>
      </w:r>
    </w:p>
    <w:p w14:paraId="4A4D424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10F5BE06"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3E87A02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от приварки бортов Т-34 постепенно перешли к сварке автоматом также носового узла танка, а позднее - к приварке башенного погона. К ноябрю 1942 г. на УТЗ работало уже шесть полуавтоматов, а на ЧКЗ - два (10782).</w:t>
      </w:r>
    </w:p>
    <w:p w14:paraId="7418E0C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4D503"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было выдано задание на проектирование 5-скоростной коробки перемены передач, так что постановление ГКО от 5 июня 1942 фактически только дало «добро» на ее введение в производство. По тактико-техническим требованиям новая коробка должна была полностью взаимозаменять- ся со старой 4-скоростной. Основным отличием 5-скоростной КПП от прежней стало наличие постоянного зацепления шестерен, большая легкость переключения и, соответственно, дополнительная скорость (12217).</w:t>
      </w:r>
    </w:p>
    <w:p w14:paraId="121CCB4E"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75B0228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 1942 года под руководством главного металлурга завода №183 П. Малярова и начальника цеха «563» И. Атопова была решена введением машинной формовки башен проблема сложной башни Т-34. При этом техпроцессе вся форма для отливки башен собиралась из четырех частей, три из которых изготавливались на машинах (за исключением центрального стержня, который делали вручную). Это позволило резко повысить производственные возможности цеха и освободить значительное число рабочих и оборудования, а вместе с тем повысить и качество отливки. С марта 1942 года цех «563» полностью перешел на машинную формовку башен. Кстати, именно башня, отлитая в форму </w:t>
      </w:r>
      <w:proofErr w:type="gramStart"/>
      <w:r w:rsidRPr="008127F8">
        <w:rPr>
          <w:rFonts w:ascii="Times New Roman" w:hAnsi="Times New Roman"/>
          <w:color w:val="000000" w:themeColor="text1"/>
          <w:sz w:val="16"/>
          <w:szCs w:val="16"/>
        </w:rPr>
        <w:t>машинной формовки</w:t>
      </w:r>
      <w:proofErr w:type="gramEnd"/>
      <w:r w:rsidRPr="008127F8">
        <w:rPr>
          <w:rFonts w:ascii="Times New Roman" w:hAnsi="Times New Roman"/>
          <w:color w:val="000000" w:themeColor="text1"/>
          <w:sz w:val="16"/>
          <w:szCs w:val="16"/>
        </w:rPr>
        <w:t xml:space="preserve"> получила название «улучшенной» - из-за упрощения технологии ее изготовления.</w:t>
      </w:r>
    </w:p>
    <w:p w14:paraId="0128D7C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Шестигранная башня по заключению военных была признана лучшей, чем башня Мариупольского завода с одним люком. В заключении по литой башне танка Т-34 конструкции завода № 183 от 16 мая 1942 года отмечалось: «Необходимо ускорить отработку и внедрение в производство на всех заводах башен новой конструкции для Т-34.</w:t>
      </w:r>
    </w:p>
    <w:p w14:paraId="16E9CAC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 июля 1942 года разрешить заводам выпускать Т-34 со старой башней без заднего люка, после чего все заводы перевести на выпуск новой башни».</w:t>
      </w:r>
    </w:p>
    <w:p w14:paraId="2214E89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Чертежи для введения в серию шестигранной башни утвердили с,1 июля 1942 года. Однако далеко не все предприятия перешли на ее изготовление - и завод № 264, и «Красное Сормово» продолжали производство башен по старым чертежам (завод № 112 выпускал такие башни до лета 1943 года).</w:t>
      </w:r>
    </w:p>
    <w:p w14:paraId="172BEC5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Изменения конструкции с целью упрощения в производстве вводили не только на заводе № 183</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но и на других предприятиях. Например, из-за особенностей производства литых башен на заводе «Красное Сормово» кормовую часть башни отливали вместе с бортами, посте чего фрезеровали в задней стенке место под установку люка для демонтажа пушки. </w:t>
      </w:r>
      <w:proofErr w:type="gramStart"/>
      <w:r w:rsidRPr="008127F8">
        <w:rPr>
          <w:rFonts w:ascii="Times New Roman" w:hAnsi="Times New Roman"/>
          <w:color w:val="000000" w:themeColor="text1"/>
          <w:sz w:val="16"/>
          <w:szCs w:val="16"/>
        </w:rPr>
        <w:t>Естественно</w:t>
      </w:r>
      <w:proofErr w:type="gramEnd"/>
      <w:r w:rsidRPr="008127F8">
        <w:rPr>
          <w:rFonts w:ascii="Times New Roman" w:hAnsi="Times New Roman"/>
          <w:color w:val="000000" w:themeColor="text1"/>
          <w:sz w:val="16"/>
          <w:szCs w:val="16"/>
        </w:rPr>
        <w:t xml:space="preserve"> это усложняло и удорожало конструкцию. Для того чтобы избежать фрезерной операции на заводе № 112 под руководством начальника сектора вооружения А. Окунева разработали технологию монтажа и демонтажа пушки при отсутствии люка в корме башни. Для этого двумя танковыми домкратами поднимали кормовую часть башни, и в отверстие между ее погоном и крышей корпуса свободно проходила снятая с цапф пушка. А чтобы при этом башня не сползла вперед, на крыше корпуса приварили специальные упоры. Предложение завода № 112 утвердили, и с марта 1942 года сормовчане перешли на производство башен без заднего кормового люка (12217).</w:t>
      </w:r>
    </w:p>
    <w:p w14:paraId="0B15C080"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5C869AE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проект Т-34М был представлен на заседании 2-го отдела НКТП, но утвержден не был (10782).</w:t>
      </w:r>
    </w:p>
    <w:p w14:paraId="32F121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73575"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за заводом № 183 был закреплен самолет ПС-84 (Ли-2) и экипаж летчика Соколова. Главной его задачей была оперативная переброска дефицитных деталей и материалов, отсутствие которых угрожало остановкой конвейера (18250).</w:t>
      </w:r>
    </w:p>
    <w:p w14:paraId="14BAAA64" w14:textId="77777777" w:rsidR="002926F3" w:rsidRPr="008127F8" w:rsidRDefault="002926F3" w:rsidP="001E0A84">
      <w:pPr>
        <w:spacing w:after="0" w:line="240" w:lineRule="auto"/>
        <w:jc w:val="both"/>
        <w:rPr>
          <w:rFonts w:ascii="Times New Roman" w:hAnsi="Times New Roman"/>
          <w:color w:val="000000" w:themeColor="text1"/>
          <w:sz w:val="16"/>
          <w:szCs w:val="16"/>
        </w:rPr>
      </w:pPr>
    </w:p>
    <w:p w14:paraId="58276C7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танк КВ-9 успешно прошел поли</w:t>
      </w:r>
      <w:r w:rsidRPr="008127F8">
        <w:rPr>
          <w:rFonts w:ascii="Times New Roman" w:hAnsi="Times New Roman"/>
          <w:color w:val="000000" w:themeColor="text1"/>
          <w:sz w:val="16"/>
          <w:szCs w:val="16"/>
        </w:rPr>
        <w:softHyphen/>
        <w:t>гонные испытания под Челябинском. Дополнительные артиллерийские испытания гаубицы, установленной в танке, были проведены в период с 14 по 25 марта 1942 г. В то время снижение качества изготовления аг</w:t>
      </w:r>
      <w:r w:rsidRPr="008127F8">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8127F8">
        <w:rPr>
          <w:rFonts w:ascii="Times New Roman" w:hAnsi="Times New Roman"/>
          <w:color w:val="000000" w:themeColor="text1"/>
          <w:sz w:val="16"/>
          <w:szCs w:val="16"/>
        </w:rPr>
        <w:softHyphen/>
        <w:t>миссии танка КВ-1 при увеличении его массы на 0,5 т послужило при</w:t>
      </w:r>
      <w:r w:rsidRPr="008127F8">
        <w:rPr>
          <w:rFonts w:ascii="Times New Roman" w:hAnsi="Times New Roman"/>
          <w:color w:val="000000" w:themeColor="text1"/>
          <w:sz w:val="16"/>
          <w:szCs w:val="16"/>
        </w:rPr>
        <w:softHyphen/>
        <w:t>чиной отказа от вооружения машины 122-мм гаубицей У-11 (10703).</w:t>
      </w:r>
    </w:p>
    <w:p w14:paraId="7B79A6B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89241" w14:textId="77777777" w:rsidR="00487530" w:rsidRPr="008127F8" w:rsidRDefault="00487530" w:rsidP="001E0A84">
      <w:pPr>
        <w:pStyle w:val="af"/>
        <w:shd w:val="clear" w:color="auto" w:fill="FFFFFF"/>
        <w:spacing w:before="0" w:after="0"/>
        <w:jc w:val="both"/>
        <w:textAlignment w:val="baseline"/>
        <w:rPr>
          <w:color w:val="000000" w:themeColor="text1"/>
          <w:sz w:val="16"/>
          <w:szCs w:val="16"/>
          <w:shd w:val="clear" w:color="auto" w:fill="FFFFFF"/>
        </w:rPr>
      </w:pPr>
      <w:r w:rsidRPr="008127F8">
        <w:rPr>
          <w:color w:val="000000" w:themeColor="text1"/>
          <w:sz w:val="16"/>
          <w:szCs w:val="16"/>
          <w:shd w:val="clear" w:color="auto" w:fill="FFFFFF"/>
        </w:rPr>
        <w:t>За февраль 1942 года по итогам месяца ЧКЗ сдал только 2 танка КВ-8, но не отправил. При этом на завод №222 из Челябинска пошли письма с требованием доделок АТО-41. Испытания выявили необходимость переделки насадки, поршня, выхлопного клапана и так далее, всего 8 пунктов. При такой ситуации немудрено, что АТО-41 задержались. В Тогузаке Кустанайской области лихорадочно продолжали работать над организацией выпуска огнеметов, но на ЧКЗ.</w:t>
      </w:r>
    </w:p>
    <w:p w14:paraId="412FA1AD" w14:textId="77777777" w:rsidR="00487530" w:rsidRPr="008127F8" w:rsidRDefault="00487530"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shd w:val="clear" w:color="auto" w:fill="FFFFFF"/>
        </w:rPr>
        <w:t>За март 1942 года, отправили всего 10 АТО-41. Между тем, во втором квартале 1942 года ожидалось получить аж 300 КВ-8. При таком положении дел цифры слегка так фантастические. По планам, в каждой танковой бригаде должно было находиться по 5 КВ-8, то есть половина от штатной численности тяжелых танков. При сложившейся ситуации эти планы были попросту нереальными. Кроме того, завод №222 ругался на низкое качество литых деталей, приходящих с ЧКЗ. За апрель завод сдал 50 огнеметов, из них 14 для КВ-8, а отгрузил всего 8. (22806)</w:t>
      </w:r>
    </w:p>
    <w:p w14:paraId="5B5A506C" w14:textId="77777777" w:rsidR="00487530" w:rsidRPr="008127F8" w:rsidRDefault="00487530" w:rsidP="001E0A84">
      <w:pPr>
        <w:pStyle w:val="af"/>
        <w:shd w:val="clear" w:color="auto" w:fill="FFFFFF"/>
        <w:spacing w:before="0" w:after="0"/>
        <w:jc w:val="both"/>
        <w:textAlignment w:val="baseline"/>
        <w:rPr>
          <w:color w:val="000000" w:themeColor="text1"/>
          <w:sz w:val="16"/>
          <w:szCs w:val="16"/>
        </w:rPr>
      </w:pPr>
    </w:p>
    <w:p w14:paraId="04FC9F6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w:t>
      </w:r>
      <w:r w:rsidRPr="008127F8">
        <w:rPr>
          <w:rFonts w:ascii="Times New Roman" w:hAnsi="Times New Roman"/>
          <w:color w:val="000000" w:themeColor="text1"/>
          <w:sz w:val="16"/>
          <w:szCs w:val="16"/>
        </w:rPr>
        <w:softHyphen/>
        <w:t>рале 1942 г. под руководством начальника кафедры С.Д. Давидовича в на</w:t>
      </w:r>
      <w:r w:rsidRPr="008127F8">
        <w:rPr>
          <w:rFonts w:ascii="Times New Roman" w:hAnsi="Times New Roman"/>
          <w:color w:val="000000" w:themeColor="text1"/>
          <w:sz w:val="16"/>
          <w:szCs w:val="16"/>
        </w:rPr>
        <w:softHyphen/>
        <w:t>учно-исследовательском отделе ВАММ им. Сталина был разработан проект самоходной установки, предназначавшейся для артиллерийской поддержки войск при преодолении укрепленных по</w:t>
      </w:r>
      <w:r w:rsidRPr="008127F8">
        <w:rPr>
          <w:rFonts w:ascii="Times New Roman" w:hAnsi="Times New Roman"/>
          <w:color w:val="000000" w:themeColor="text1"/>
          <w:sz w:val="16"/>
          <w:szCs w:val="16"/>
        </w:rPr>
        <w:softHyphen/>
        <w:t>лос обороны противника и разрушения железобетонных ДОТов. Со</w:t>
      </w:r>
      <w:r w:rsidRPr="008127F8">
        <w:rPr>
          <w:rFonts w:ascii="Times New Roman" w:hAnsi="Times New Roman"/>
          <w:color w:val="000000" w:themeColor="text1"/>
          <w:sz w:val="16"/>
          <w:szCs w:val="16"/>
        </w:rPr>
        <w:softHyphen/>
        <w:t>гласно проекту машина, созданная на базе танка КВ-1, должна была быть вооружена 107-мм пушкой ЗИС-6, иметь броню толщиной 150 мм в лобовой части, бортовую броню толщиной 10 мм. Этот проект был от</w:t>
      </w:r>
      <w:r w:rsidRPr="008127F8">
        <w:rPr>
          <w:rFonts w:ascii="Times New Roman" w:hAnsi="Times New Roman"/>
          <w:color w:val="000000" w:themeColor="text1"/>
          <w:sz w:val="16"/>
          <w:szCs w:val="16"/>
        </w:rPr>
        <w:softHyphen/>
        <w:t>правлен на ЧКЗ, где было принято решение о необходимости иметь на машине более мощное вооружение калибра 152 мм. Таким орудием ста</w:t>
      </w:r>
      <w:r w:rsidRPr="008127F8">
        <w:rPr>
          <w:rFonts w:ascii="Times New Roman" w:hAnsi="Times New Roman"/>
          <w:color w:val="000000" w:themeColor="text1"/>
          <w:sz w:val="16"/>
          <w:szCs w:val="16"/>
        </w:rPr>
        <w:softHyphen/>
        <w:t>ла 152,4-мм пушка-гаубица МЛ-20. Суровой критике была подвергнута и база установки - танк КВ-1, имевший недостаточную надежность ра</w:t>
      </w:r>
      <w:r w:rsidRPr="008127F8">
        <w:rPr>
          <w:rFonts w:ascii="Times New Roman" w:hAnsi="Times New Roman"/>
          <w:color w:val="000000" w:themeColor="text1"/>
          <w:sz w:val="16"/>
          <w:szCs w:val="16"/>
        </w:rPr>
        <w:softHyphen/>
        <w:t>боты отдельных агрегатов и низкую маневренность. Однако учитывая острую необходимость в данной самоходной установке на фронте, пред</w:t>
      </w:r>
      <w:r w:rsidRPr="008127F8">
        <w:rPr>
          <w:rFonts w:ascii="Times New Roman" w:hAnsi="Times New Roman"/>
          <w:color w:val="000000" w:themeColor="text1"/>
          <w:sz w:val="16"/>
          <w:szCs w:val="16"/>
        </w:rPr>
        <w:softHyphen/>
        <w:t>лагалось изготовить небольшую серию таких машин, вооруженных пушкой-гаубицей МЛ-20 в короткие сроки - за 1,5 месяца (10703).</w:t>
      </w:r>
    </w:p>
    <w:p w14:paraId="6A7B26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7C1E6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Челябинске и Ко</w:t>
      </w:r>
      <w:r w:rsidRPr="008127F8">
        <w:rPr>
          <w:rFonts w:ascii="Times New Roman" w:hAnsi="Times New Roman"/>
          <w:color w:val="000000" w:themeColor="text1"/>
          <w:sz w:val="16"/>
          <w:szCs w:val="16"/>
        </w:rPr>
        <w:softHyphen/>
        <w:t>пейске всесторонние полигон</w:t>
      </w:r>
      <w:r w:rsidRPr="008127F8">
        <w:rPr>
          <w:rFonts w:ascii="Times New Roman" w:hAnsi="Times New Roman"/>
          <w:color w:val="000000" w:themeColor="text1"/>
          <w:sz w:val="16"/>
          <w:szCs w:val="16"/>
        </w:rPr>
        <w:softHyphen/>
        <w:t>ные испытания прошел огнеметный танк КВ-8. Серийное производство машины было организовано на Челя</w:t>
      </w:r>
      <w:r w:rsidRPr="008127F8">
        <w:rPr>
          <w:rFonts w:ascii="Times New Roman" w:hAnsi="Times New Roman"/>
          <w:color w:val="000000" w:themeColor="text1"/>
          <w:sz w:val="16"/>
          <w:szCs w:val="16"/>
        </w:rPr>
        <w:softHyphen/>
        <w:t>бинском Кировском заводе в марте — апреле 1942 г. и продолжалось в течение 1942 г. Всего было выпущено 102 огнеметных танка КВ-8, кото</w:t>
      </w:r>
      <w:r w:rsidRPr="008127F8">
        <w:rPr>
          <w:rFonts w:ascii="Times New Roman" w:hAnsi="Times New Roman"/>
          <w:color w:val="000000" w:themeColor="text1"/>
          <w:sz w:val="16"/>
          <w:szCs w:val="16"/>
        </w:rPr>
        <w:softHyphen/>
        <w:t>рые использовались на фронтах Великой Отечественной войны (10703).</w:t>
      </w:r>
    </w:p>
    <w:p w14:paraId="61A7DE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1DACE"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на испытания вышли три танка КВ-1. Один из них, №25818, был серийным и использовался в качестве эталона. Второй, с серийным номером 6728, получил ведущие колеса с уменьшенным числом зубьев. Кроме того, ему изменили передаточные числа бортовой передачи. Наконец, танк с серийным номером 10033, кроме изменений, аналогичных изменениям танка №6728, получил мотор В-2КФ, форсированный до 650 л.с., а также пневматический регулятор Настенко.</w:t>
      </w:r>
    </w:p>
    <w:p w14:paraId="6233CE80"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Испытания выявили, что танк с форсированным двигателем имел наименьшую среднюю скорость. Перегрев двигателя стал постоянным спутником этого танка, внесенные в его конструкцию изменения не смогли каким-то особым образом улучшить ситуацию. Оказалось, что простое форсирование мотора не давало преимуществ. По результатам испытаний изменения по ходовой части были одобрены (но в серию их так и не пустили). Кроме того, было указано на необходимость переделки системы охлаждения (17682).</w:t>
      </w:r>
    </w:p>
    <w:p w14:paraId="7885F125" w14:textId="77777777" w:rsidR="00605125" w:rsidRPr="008127F8" w:rsidRDefault="00605125" w:rsidP="001E0A84">
      <w:pPr>
        <w:spacing w:after="0" w:line="240" w:lineRule="auto"/>
        <w:jc w:val="both"/>
        <w:rPr>
          <w:rFonts w:ascii="Times New Roman" w:hAnsi="Times New Roman"/>
          <w:color w:val="000000" w:themeColor="text1"/>
          <w:sz w:val="16"/>
          <w:szCs w:val="16"/>
        </w:rPr>
      </w:pPr>
    </w:p>
    <w:p w14:paraId="45810EAE"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начались работы по повышению мощности В-2К. Быстро выяснилось, что подобной меры явно мало, поскольку система охлаждения танка с таким мотором быстро перегревалась. Требовалось переделать и систему охлаждения. 23 февраля 1942 года вышло постановление ГКО №1331, которое предусматривало снижение массы КВ на 1,3 тонны. К тому моменту на первый план вылезла куда более серьезная проблема. Коробки передач на перегруженных танках стали часто выходить из строя. Стало ясно, что КВ-1 требуется серьезная переделка конструкции (17637).</w:t>
      </w:r>
    </w:p>
    <w:p w14:paraId="031CF4F8"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EE73B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на базе двигателя В-2К началась разработ</w:t>
      </w:r>
      <w:r w:rsidRPr="008127F8">
        <w:rPr>
          <w:rFonts w:ascii="Times New Roman" w:hAnsi="Times New Roman"/>
          <w:color w:val="000000" w:themeColor="text1"/>
          <w:sz w:val="16"/>
          <w:szCs w:val="16"/>
        </w:rPr>
        <w:softHyphen/>
        <w:t>ка дизеля В-12 мощностью 750 л.с. (551 кВт) с приводным нагнетате</w:t>
      </w:r>
      <w:r w:rsidRPr="008127F8">
        <w:rPr>
          <w:rFonts w:ascii="Times New Roman" w:hAnsi="Times New Roman"/>
          <w:color w:val="000000" w:themeColor="text1"/>
          <w:sz w:val="16"/>
          <w:szCs w:val="16"/>
        </w:rPr>
        <w:softHyphen/>
        <w:t>лем. Различные модификации дизеля позднее устанавливались в опыт</w:t>
      </w:r>
      <w:r w:rsidRPr="008127F8">
        <w:rPr>
          <w:rFonts w:ascii="Times New Roman" w:hAnsi="Times New Roman"/>
          <w:color w:val="000000" w:themeColor="text1"/>
          <w:sz w:val="16"/>
          <w:szCs w:val="16"/>
        </w:rPr>
        <w:softHyphen/>
        <w:t>ных тяжелых танках. В 1944 г. прошел испытания и был принят в се</w:t>
      </w:r>
      <w:r w:rsidRPr="008127F8">
        <w:rPr>
          <w:rFonts w:ascii="Times New Roman" w:hAnsi="Times New Roman"/>
          <w:color w:val="000000" w:themeColor="text1"/>
          <w:sz w:val="16"/>
          <w:szCs w:val="16"/>
        </w:rPr>
        <w:softHyphen/>
        <w:t>рийное производство дизель В-11 мощностью 520 л.с. (382 кВт), кото</w:t>
      </w:r>
      <w:r w:rsidRPr="008127F8">
        <w:rPr>
          <w:rFonts w:ascii="Times New Roman" w:hAnsi="Times New Roman"/>
          <w:color w:val="000000" w:themeColor="text1"/>
          <w:sz w:val="16"/>
          <w:szCs w:val="16"/>
        </w:rPr>
        <w:softHyphen/>
        <w:t>рый послужил основой для создания двигателя В-И-ИСЗ танка ИС-3 и двигателя В-44 танка Т-44. Технические решения, реализованные в двигателе В-11, были использованы при модернизации дизелей В-2-34 (В-11-34), В-2ИС (В-11ИСЗ) и В-12. В годы войны активное участие в исследовании и совершенствовании конструкции дизеля В-2 приняли ученые Академии БТ и МВ, работавшие в тесном контакте с двигатели-стами Челябинского Кировского завода и Опытного завода № 100. В 1944 г. конструкторским бюро завода № 76 под руководством Т.П. Чупахина на основе дизеля В-2-34 бьи разработан и испытан дизель В-14 мощностью 800 л.с (588 кВт). Двигатель серийно не выпускался, так как было принято решение о производстве дизеля В-12 с августа 1944 г. В конце войны конструкторское бюро завода № 77, которое возглавлял Е.М. Лев, на базе двигателя В-2-34 разработало дизели В-16, В-16Ф и В-16НФ мощностью соответственно 600,700 и 800 л.с. (441,515 и 588 кВт). Эти двигатели остались на стадии разработки в связи с прекращением ра</w:t>
      </w:r>
      <w:r w:rsidRPr="008127F8">
        <w:rPr>
          <w:rFonts w:ascii="Times New Roman" w:hAnsi="Times New Roman"/>
          <w:color w:val="000000" w:themeColor="text1"/>
          <w:sz w:val="16"/>
          <w:szCs w:val="16"/>
        </w:rPr>
        <w:softHyphen/>
        <w:t>бот по опытному танку. В результате совершенствования серийных дизе</w:t>
      </w:r>
      <w:r w:rsidRPr="008127F8">
        <w:rPr>
          <w:rFonts w:ascii="Times New Roman" w:hAnsi="Times New Roman"/>
          <w:color w:val="000000" w:themeColor="text1"/>
          <w:sz w:val="16"/>
          <w:szCs w:val="16"/>
        </w:rPr>
        <w:softHyphen/>
        <w:t>лей была значительно повышена надежность работы двигателей. Для дизеля танка Т-34-85 к 1945 г. ресурс работы составлял 250 м/ч до среднего ремонта и 600 м/ч - до капитального ремонта, а для дизеля танка ИС-2 -соответственно 200 и 500 м/ч. Трудоемкость изготовления дизеля снизилась за годы войны в среднем в 2,5 раза. В условиях войны ставка на дизель типа В-2 как основной тип тан</w:t>
      </w:r>
      <w:r w:rsidRPr="008127F8">
        <w:rPr>
          <w:rFonts w:ascii="Times New Roman" w:hAnsi="Times New Roman"/>
          <w:color w:val="000000" w:themeColor="text1"/>
          <w:sz w:val="16"/>
          <w:szCs w:val="16"/>
        </w:rPr>
        <w:softHyphen/>
        <w:t>кового двигателя была вполне оп» равданной (10703).</w:t>
      </w:r>
    </w:p>
    <w:p w14:paraId="3ED9C7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танковых дизелей семейства В-2,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725"/>
        <w:gridCol w:w="1123"/>
        <w:gridCol w:w="970"/>
        <w:gridCol w:w="1123"/>
        <w:gridCol w:w="1133"/>
        <w:gridCol w:w="1277"/>
        <w:gridCol w:w="682"/>
      </w:tblGrid>
      <w:tr w:rsidR="006F4095" w:rsidRPr="008127F8" w14:paraId="156703FF" w14:textId="77777777">
        <w:trPr>
          <w:trHeight w:val="221"/>
        </w:trPr>
        <w:tc>
          <w:tcPr>
            <w:tcW w:w="3725" w:type="dxa"/>
            <w:tcBorders>
              <w:top w:val="single" w:sz="12" w:space="0" w:color="auto"/>
            </w:tcBorders>
          </w:tcPr>
          <w:p w14:paraId="43CCA3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предприятия</w:t>
            </w:r>
          </w:p>
        </w:tc>
        <w:tc>
          <w:tcPr>
            <w:tcW w:w="5626" w:type="dxa"/>
            <w:gridSpan w:val="5"/>
            <w:tcBorders>
              <w:top w:val="single" w:sz="12" w:space="0" w:color="auto"/>
            </w:tcBorders>
          </w:tcPr>
          <w:p w14:paraId="1CB1FA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 выпуска</w:t>
            </w:r>
          </w:p>
        </w:tc>
        <w:tc>
          <w:tcPr>
            <w:tcW w:w="682" w:type="dxa"/>
            <w:tcBorders>
              <w:top w:val="single" w:sz="12" w:space="0" w:color="auto"/>
            </w:tcBorders>
          </w:tcPr>
          <w:p w14:paraId="72D94C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65711CB5" w14:textId="77777777">
        <w:trPr>
          <w:trHeight w:val="202"/>
        </w:trPr>
        <w:tc>
          <w:tcPr>
            <w:tcW w:w="3725" w:type="dxa"/>
          </w:tcPr>
          <w:p w14:paraId="2C1100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234208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970" w:type="dxa"/>
          </w:tcPr>
          <w:p w14:paraId="3756DE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1123" w:type="dxa"/>
          </w:tcPr>
          <w:p w14:paraId="1AB426B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w:t>
            </w:r>
          </w:p>
        </w:tc>
        <w:tc>
          <w:tcPr>
            <w:tcW w:w="1133" w:type="dxa"/>
          </w:tcPr>
          <w:p w14:paraId="0C3EC9F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w:t>
            </w:r>
          </w:p>
        </w:tc>
        <w:tc>
          <w:tcPr>
            <w:tcW w:w="1277" w:type="dxa"/>
          </w:tcPr>
          <w:p w14:paraId="5FD625F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1945(1 кв.)</w:t>
            </w:r>
          </w:p>
        </w:tc>
        <w:tc>
          <w:tcPr>
            <w:tcW w:w="682" w:type="dxa"/>
          </w:tcPr>
          <w:p w14:paraId="357BB2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4D89A2" w14:textId="77777777">
        <w:trPr>
          <w:trHeight w:val="202"/>
        </w:trPr>
        <w:tc>
          <w:tcPr>
            <w:tcW w:w="3725" w:type="dxa"/>
          </w:tcPr>
          <w:p w14:paraId="3F672A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75 (Харьков)</w:t>
            </w:r>
          </w:p>
        </w:tc>
        <w:tc>
          <w:tcPr>
            <w:tcW w:w="1123" w:type="dxa"/>
          </w:tcPr>
          <w:p w14:paraId="73C682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4293</w:t>
            </w:r>
          </w:p>
        </w:tc>
        <w:tc>
          <w:tcPr>
            <w:tcW w:w="970" w:type="dxa"/>
          </w:tcPr>
          <w:p w14:paraId="217B1A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3" w:type="dxa"/>
          </w:tcPr>
          <w:p w14:paraId="0ABA83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3" w:type="dxa"/>
          </w:tcPr>
          <w:p w14:paraId="305F81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77" w:type="dxa"/>
          </w:tcPr>
          <w:p w14:paraId="5B037B0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82" w:type="dxa"/>
          </w:tcPr>
          <w:p w14:paraId="2F928D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4293</w:t>
            </w:r>
          </w:p>
        </w:tc>
      </w:tr>
      <w:tr w:rsidR="006F4095" w:rsidRPr="008127F8" w14:paraId="084DA221" w14:textId="77777777">
        <w:trPr>
          <w:trHeight w:val="192"/>
        </w:trPr>
        <w:tc>
          <w:tcPr>
            <w:tcW w:w="3725" w:type="dxa"/>
          </w:tcPr>
          <w:p w14:paraId="4DA5C7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Челябинский Кировский завод</w:t>
            </w:r>
          </w:p>
        </w:tc>
        <w:tc>
          <w:tcPr>
            <w:tcW w:w="1123" w:type="dxa"/>
          </w:tcPr>
          <w:p w14:paraId="6BEE9C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173</w:t>
            </w:r>
          </w:p>
        </w:tc>
        <w:tc>
          <w:tcPr>
            <w:tcW w:w="970" w:type="dxa"/>
          </w:tcPr>
          <w:p w14:paraId="3BF987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9115</w:t>
            </w:r>
          </w:p>
        </w:tc>
        <w:tc>
          <w:tcPr>
            <w:tcW w:w="1123" w:type="dxa"/>
          </w:tcPr>
          <w:p w14:paraId="6ECEFF4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13868</w:t>
            </w:r>
          </w:p>
        </w:tc>
        <w:tc>
          <w:tcPr>
            <w:tcW w:w="1133" w:type="dxa"/>
          </w:tcPr>
          <w:p w14:paraId="16251E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15292</w:t>
            </w:r>
          </w:p>
        </w:tc>
        <w:tc>
          <w:tcPr>
            <w:tcW w:w="1277" w:type="dxa"/>
          </w:tcPr>
          <w:p w14:paraId="2918222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3800</w:t>
            </w:r>
          </w:p>
        </w:tc>
        <w:tc>
          <w:tcPr>
            <w:tcW w:w="682" w:type="dxa"/>
          </w:tcPr>
          <w:p w14:paraId="1DE2290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42248</w:t>
            </w:r>
          </w:p>
        </w:tc>
      </w:tr>
      <w:tr w:rsidR="006F4095" w:rsidRPr="008127F8" w14:paraId="450805A2" w14:textId="77777777">
        <w:trPr>
          <w:trHeight w:val="202"/>
        </w:trPr>
        <w:tc>
          <w:tcPr>
            <w:tcW w:w="3725" w:type="dxa"/>
          </w:tcPr>
          <w:p w14:paraId="25518D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Сталинградский тракторный завод</w:t>
            </w:r>
          </w:p>
        </w:tc>
        <w:tc>
          <w:tcPr>
            <w:tcW w:w="1123" w:type="dxa"/>
          </w:tcPr>
          <w:p w14:paraId="44B311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w:t>
            </w:r>
          </w:p>
        </w:tc>
        <w:tc>
          <w:tcPr>
            <w:tcW w:w="970" w:type="dxa"/>
          </w:tcPr>
          <w:p w14:paraId="24B1A9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2553</w:t>
            </w:r>
          </w:p>
        </w:tc>
        <w:tc>
          <w:tcPr>
            <w:tcW w:w="1123" w:type="dxa"/>
          </w:tcPr>
          <w:p w14:paraId="4EC5E7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133" w:type="dxa"/>
          </w:tcPr>
          <w:p w14:paraId="194540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551</w:t>
            </w:r>
          </w:p>
        </w:tc>
        <w:tc>
          <w:tcPr>
            <w:tcW w:w="1277" w:type="dxa"/>
          </w:tcPr>
          <w:p w14:paraId="10CBBF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203</w:t>
            </w:r>
          </w:p>
        </w:tc>
        <w:tc>
          <w:tcPr>
            <w:tcW w:w="682" w:type="dxa"/>
          </w:tcPr>
          <w:p w14:paraId="737E080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3544</w:t>
            </w:r>
          </w:p>
        </w:tc>
      </w:tr>
      <w:tr w:rsidR="006F4095" w:rsidRPr="008127F8" w14:paraId="40462B0D" w14:textId="77777777">
        <w:trPr>
          <w:trHeight w:val="202"/>
        </w:trPr>
        <w:tc>
          <w:tcPr>
            <w:tcW w:w="3725" w:type="dxa"/>
          </w:tcPr>
          <w:p w14:paraId="5FCCFE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76 (Свердловск)</w:t>
            </w:r>
          </w:p>
        </w:tc>
        <w:tc>
          <w:tcPr>
            <w:tcW w:w="1123" w:type="dxa"/>
          </w:tcPr>
          <w:p w14:paraId="563E0F8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204</w:t>
            </w:r>
          </w:p>
        </w:tc>
        <w:tc>
          <w:tcPr>
            <w:tcW w:w="970" w:type="dxa"/>
          </w:tcPr>
          <w:p w14:paraId="25E5A7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5165</w:t>
            </w:r>
          </w:p>
        </w:tc>
        <w:tc>
          <w:tcPr>
            <w:tcW w:w="1123" w:type="dxa"/>
          </w:tcPr>
          <w:p w14:paraId="765F3D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6667</w:t>
            </w:r>
          </w:p>
        </w:tc>
        <w:tc>
          <w:tcPr>
            <w:tcW w:w="1133" w:type="dxa"/>
          </w:tcPr>
          <w:p w14:paraId="3ECF7E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7846</w:t>
            </w:r>
          </w:p>
        </w:tc>
        <w:tc>
          <w:tcPr>
            <w:tcW w:w="1277" w:type="dxa"/>
          </w:tcPr>
          <w:p w14:paraId="393314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1860</w:t>
            </w:r>
          </w:p>
        </w:tc>
        <w:tc>
          <w:tcPr>
            <w:tcW w:w="682" w:type="dxa"/>
          </w:tcPr>
          <w:p w14:paraId="77A2EC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21742</w:t>
            </w:r>
          </w:p>
        </w:tc>
      </w:tr>
      <w:tr w:rsidR="006F4095" w:rsidRPr="008127F8" w14:paraId="54806796" w14:textId="77777777">
        <w:trPr>
          <w:trHeight w:val="202"/>
        </w:trPr>
        <w:tc>
          <w:tcPr>
            <w:tcW w:w="3725" w:type="dxa"/>
          </w:tcPr>
          <w:p w14:paraId="5EEE6F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77 (Барнаул)</w:t>
            </w:r>
          </w:p>
        </w:tc>
        <w:tc>
          <w:tcPr>
            <w:tcW w:w="1123" w:type="dxa"/>
          </w:tcPr>
          <w:p w14:paraId="7C36BE4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70" w:type="dxa"/>
          </w:tcPr>
          <w:p w14:paraId="5B2DD3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1123" w:type="dxa"/>
          </w:tcPr>
          <w:p w14:paraId="080E20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2380</w:t>
            </w:r>
          </w:p>
        </w:tc>
        <w:tc>
          <w:tcPr>
            <w:tcW w:w="1133" w:type="dxa"/>
          </w:tcPr>
          <w:p w14:paraId="20EFAE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4431</w:t>
            </w:r>
          </w:p>
        </w:tc>
        <w:tc>
          <w:tcPr>
            <w:tcW w:w="1277" w:type="dxa"/>
          </w:tcPr>
          <w:p w14:paraId="25FF4A5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w:t>
            </w:r>
          </w:p>
        </w:tc>
        <w:tc>
          <w:tcPr>
            <w:tcW w:w="682" w:type="dxa"/>
          </w:tcPr>
          <w:p w14:paraId="4DD3E1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7968</w:t>
            </w:r>
          </w:p>
        </w:tc>
      </w:tr>
      <w:tr w:rsidR="006F4095" w:rsidRPr="008127F8" w14:paraId="661FF39E" w14:textId="77777777">
        <w:trPr>
          <w:trHeight w:val="230"/>
        </w:trPr>
        <w:tc>
          <w:tcPr>
            <w:tcW w:w="3725" w:type="dxa"/>
            <w:tcBorders>
              <w:bottom w:val="single" w:sz="12" w:space="0" w:color="auto"/>
            </w:tcBorders>
          </w:tcPr>
          <w:p w14:paraId="5D12DA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123" w:type="dxa"/>
            <w:tcBorders>
              <w:bottom w:val="single" w:sz="12" w:space="0" w:color="auto"/>
            </w:tcBorders>
          </w:tcPr>
          <w:p w14:paraId="3750A2D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4867</w:t>
            </w:r>
          </w:p>
        </w:tc>
        <w:tc>
          <w:tcPr>
            <w:tcW w:w="970" w:type="dxa"/>
            <w:tcBorders>
              <w:bottom w:val="single" w:sz="12" w:space="0" w:color="auto"/>
            </w:tcBorders>
          </w:tcPr>
          <w:p w14:paraId="2B84DA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16890</w:t>
            </w:r>
          </w:p>
        </w:tc>
        <w:tc>
          <w:tcPr>
            <w:tcW w:w="1123" w:type="dxa"/>
            <w:tcBorders>
              <w:bottom w:val="single" w:sz="12" w:space="0" w:color="auto"/>
            </w:tcBorders>
          </w:tcPr>
          <w:p w14:paraId="22B179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22955</w:t>
            </w:r>
          </w:p>
        </w:tc>
        <w:tc>
          <w:tcPr>
            <w:tcW w:w="1133" w:type="dxa"/>
            <w:tcBorders>
              <w:bottom w:val="single" w:sz="12" w:space="0" w:color="auto"/>
            </w:tcBorders>
          </w:tcPr>
          <w:p w14:paraId="0D8D6A4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28120</w:t>
            </w:r>
          </w:p>
        </w:tc>
        <w:tc>
          <w:tcPr>
            <w:tcW w:w="1277" w:type="dxa"/>
            <w:tcBorders>
              <w:bottom w:val="single" w:sz="12" w:space="0" w:color="auto"/>
            </w:tcBorders>
          </w:tcPr>
          <w:p w14:paraId="0533DB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6963</w:t>
            </w:r>
          </w:p>
        </w:tc>
        <w:tc>
          <w:tcPr>
            <w:tcW w:w="682" w:type="dxa"/>
            <w:tcBorders>
              <w:bottom w:val="single" w:sz="12" w:space="0" w:color="auto"/>
            </w:tcBorders>
          </w:tcPr>
          <w:p w14:paraId="3188BF4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79795</w:t>
            </w:r>
          </w:p>
        </w:tc>
      </w:tr>
    </w:tbl>
    <w:p w14:paraId="72D1DD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(10703).</w:t>
      </w:r>
    </w:p>
    <w:p w14:paraId="783A90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1F6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танк КВ-9 про</w:t>
      </w:r>
      <w:r w:rsidRPr="008127F8">
        <w:rPr>
          <w:rFonts w:ascii="Times New Roman" w:hAnsi="Times New Roman"/>
          <w:color w:val="000000" w:themeColor="text1"/>
          <w:sz w:val="16"/>
          <w:szCs w:val="16"/>
        </w:rPr>
        <w:softHyphen/>
        <w:t>шел испытания обкаткой и стрельбой, причем 122-мм гау</w:t>
      </w:r>
      <w:r w:rsidRPr="008127F8">
        <w:rPr>
          <w:rFonts w:ascii="Times New Roman" w:hAnsi="Times New Roman"/>
          <w:color w:val="000000" w:themeColor="text1"/>
          <w:sz w:val="16"/>
          <w:szCs w:val="16"/>
        </w:rPr>
        <w:softHyphen/>
        <w:t>бица выдержала их великолепно, но общий вес танка воз</w:t>
      </w:r>
      <w:r w:rsidRPr="008127F8">
        <w:rPr>
          <w:rFonts w:ascii="Times New Roman" w:hAnsi="Times New Roman"/>
          <w:color w:val="000000" w:themeColor="text1"/>
          <w:sz w:val="16"/>
          <w:szCs w:val="16"/>
        </w:rPr>
        <w:softHyphen/>
        <w:t>рос более чем на 500 кг. Однако это было неприемлемо, так как качество изго</w:t>
      </w:r>
      <w:r w:rsidRPr="008127F8">
        <w:rPr>
          <w:rFonts w:ascii="Times New Roman" w:hAnsi="Times New Roman"/>
          <w:color w:val="000000" w:themeColor="text1"/>
          <w:sz w:val="16"/>
          <w:szCs w:val="16"/>
        </w:rPr>
        <w:softHyphen/>
        <w:t>товления трансмиссии КВ к этому времени упало и увели</w:t>
      </w:r>
      <w:r w:rsidRPr="008127F8">
        <w:rPr>
          <w:rFonts w:ascii="Times New Roman" w:hAnsi="Times New Roman"/>
          <w:color w:val="000000" w:themeColor="text1"/>
          <w:sz w:val="16"/>
          <w:szCs w:val="16"/>
        </w:rPr>
        <w:softHyphen/>
        <w:t>чение массы танка на полтонны могло вызвать катастро</w:t>
      </w:r>
      <w:r w:rsidRPr="008127F8">
        <w:rPr>
          <w:rFonts w:ascii="Times New Roman" w:hAnsi="Times New Roman"/>
          <w:color w:val="000000" w:themeColor="text1"/>
          <w:sz w:val="16"/>
          <w:szCs w:val="16"/>
        </w:rPr>
        <w:softHyphen/>
        <w:t>фический результат. Поэтому работы над КВ-9 были вре</w:t>
      </w:r>
      <w:r w:rsidRPr="008127F8">
        <w:rPr>
          <w:rFonts w:ascii="Times New Roman" w:hAnsi="Times New Roman"/>
          <w:color w:val="000000" w:themeColor="text1"/>
          <w:sz w:val="16"/>
          <w:szCs w:val="16"/>
        </w:rPr>
        <w:softHyphen/>
        <w:t>менно прекращены (10782).</w:t>
      </w:r>
    </w:p>
    <w:p w14:paraId="06FD45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5157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КВ-9 прошел испытания обкаткой и стрельбой, причем 122-мм гаубица выдержала их удовлетво</w:t>
      </w:r>
      <w:r w:rsidRPr="008127F8">
        <w:rPr>
          <w:rFonts w:ascii="Times New Roman" w:hAnsi="Times New Roman"/>
          <w:color w:val="000000" w:themeColor="text1"/>
          <w:sz w:val="16"/>
          <w:szCs w:val="16"/>
        </w:rPr>
        <w:softHyphen/>
        <w:t>рительно, но вес танка при этом вырос более чем на 500 кг. Даже столь «несерьезный» перегруз был признан неприем</w:t>
      </w:r>
      <w:r w:rsidRPr="008127F8">
        <w:rPr>
          <w:rFonts w:ascii="Times New Roman" w:hAnsi="Times New Roman"/>
          <w:color w:val="000000" w:themeColor="text1"/>
          <w:sz w:val="16"/>
          <w:szCs w:val="16"/>
        </w:rPr>
        <w:softHyphen/>
        <w:t>лемым, так как качество изготовления трансмиссии КВ к то</w:t>
      </w:r>
      <w:r w:rsidRPr="008127F8">
        <w:rPr>
          <w:rFonts w:ascii="Times New Roman" w:hAnsi="Times New Roman"/>
          <w:color w:val="000000" w:themeColor="text1"/>
          <w:sz w:val="16"/>
          <w:szCs w:val="16"/>
        </w:rPr>
        <w:softHyphen/>
        <w:t>му времени упало донельзя и увеличение массы танка даже на полтонны могло вызвать катастрофический результат. Ра</w:t>
      </w:r>
      <w:r w:rsidRPr="008127F8">
        <w:rPr>
          <w:rFonts w:ascii="Times New Roman" w:hAnsi="Times New Roman"/>
          <w:color w:val="000000" w:themeColor="text1"/>
          <w:sz w:val="16"/>
          <w:szCs w:val="16"/>
        </w:rPr>
        <w:softHyphen/>
        <w:t>боты над КВ-9 были прекращены (11417).</w:t>
      </w:r>
    </w:p>
    <w:p w14:paraId="7494E8E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72D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в научно-исследовательском отделе ВАММ им. Сталина под руководством начальника кафедры С.Д.Давидовича разработали проект самоходной установки для артиллерийской поддержки войск при преодолении укрепленных полос обороны противника и разрушении железобетонных дотов. Машина, созданная на базе танка КВ-1, должна была вооружаться 107-мм пушкой ЗИС-6, иметь броню толщиной 150 мм в лобовой части, бортовую броню толщиной 10 мм. Этот проект отправили на ЧКЗ, где было принято решение об установке на САУ более мощного вооружения — калибра 152 мм. Таким орудием стала пушка-гаубица МЛ-20. Учитывая острую необходимость в данной самоходной установке на фронте, предлагалось изготовить небольшую серию таких машин, вооруженных пушкой-гаубицей МЛ-20, в короткие сроки — за 1,5 месяца (11638).</w:t>
      </w:r>
    </w:p>
    <w:p w14:paraId="016A82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C46D5" w14:textId="11BF4D55" w:rsidR="00B2545F" w:rsidRPr="008127F8" w:rsidRDefault="00B2545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научно-исследовательский отдел Военной академии механизации и моторизации имени И.В. Сталина представил в наркомтанкпром проект танка прорыва массой в 70–75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т, защищенный броней в 150–100 мм, со 107-мм пушкой, спаренной с пулеметом ДТ в башне и двумя ДТ и огнеметом в корпусе. Экипаж машины состоял из пяти человек, в качестве силовой установки предполагалось использовать форсированный до 600–750 л.с. дизель В-2К, расчетная скорость </w:t>
      </w:r>
      <w:r w:rsidRPr="008127F8">
        <w:rPr>
          <w:rFonts w:ascii="Times New Roman" w:hAnsi="Times New Roman"/>
          <w:color w:val="000000" w:themeColor="text1"/>
          <w:sz w:val="16"/>
          <w:szCs w:val="16"/>
        </w:rPr>
        <w:lastRenderedPageBreak/>
        <w:t xml:space="preserve">движения — </w:t>
      </w:r>
      <w:proofErr w:type="gramStart"/>
      <w:r w:rsidRPr="008127F8">
        <w:rPr>
          <w:rFonts w:ascii="Times New Roman" w:hAnsi="Times New Roman"/>
          <w:color w:val="000000" w:themeColor="text1"/>
          <w:sz w:val="16"/>
          <w:szCs w:val="16"/>
        </w:rPr>
        <w:t>30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w:t>
      </w:r>
      <w:proofErr w:type="gramEnd"/>
      <w:r w:rsidRPr="008127F8">
        <w:rPr>
          <w:rFonts w:ascii="Times New Roman" w:hAnsi="Times New Roman"/>
          <w:color w:val="000000" w:themeColor="text1"/>
          <w:sz w:val="16"/>
          <w:szCs w:val="16"/>
        </w:rPr>
        <w:t>/ч. В проекте предполагалось значительное использование узлов и агрегатов серийных танков КВ, что, по мнению разработчиков, должно было облегчить серийное производство. В целом это фактически являлось некоей реинкарнацией вариантов КВ-3/КВ-4/КВ-5, но выполненных другими людьми. Все материалы по танку прорыва ВАММ направили в конструкторское бюро Кировского завода, но дальше рассмотрения проекта дело не пошло (17434).</w:t>
      </w:r>
    </w:p>
    <w:p w14:paraId="33A649B3" w14:textId="77777777" w:rsidR="00B2545F" w:rsidRPr="008127F8" w:rsidRDefault="00B2545F" w:rsidP="001E0A84">
      <w:pPr>
        <w:spacing w:after="0" w:line="240" w:lineRule="auto"/>
        <w:jc w:val="both"/>
        <w:rPr>
          <w:rFonts w:ascii="Times New Roman" w:hAnsi="Times New Roman"/>
          <w:color w:val="000000" w:themeColor="text1"/>
          <w:sz w:val="16"/>
          <w:szCs w:val="16"/>
        </w:rPr>
      </w:pPr>
    </w:p>
    <w:p w14:paraId="0D6621D6"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года был поднят вопрос о перевооружении трофейных танков и самоходных установок на отечественные артиллерийские системы. Согласно архивным документам, Артиллерийский комитет ГАУ КА возложил эту задачу на конструкторов Е. В. Синильщикова и С. Г. Перерушева. Работали они на заводе №592 Народного комиссариата вооружения (НКВ), который в 1941 году был создан на базе Мытищинского машиностроительного завода в городе Мытищи Московской области.</w:t>
      </w:r>
    </w:p>
    <w:p w14:paraId="222CBF00"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Формально на этом заводе находился филиал «артиллерийского» ОКБ-16, но на деле завод №592 занимался самыми разными направлениями, например проектировал и даже строил тяжёлые бронесани. Да и Синильщиков с Перерушевым до того работали не в ОКБ-16, а на заводе «Большевик».</w:t>
      </w:r>
    </w:p>
    <w:p w14:paraId="29A81594"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Среди поставленных перед коллективом завода №592 задач оказалось перевооружение лёгкого танка </w:t>
      </w:r>
      <w:hyperlink r:id="rId68" w:history="1">
        <w:r w:rsidRPr="008127F8">
          <w:rPr>
            <w:rFonts w:ascii="Times New Roman" w:eastAsia="Times New Roman" w:hAnsi="Times New Roman"/>
            <w:color w:val="000000" w:themeColor="text1"/>
            <w:sz w:val="16"/>
            <w:szCs w:val="16"/>
            <w:lang w:eastAsia="ru-RU"/>
          </w:rPr>
          <w:t>Pz.Kpfw.38(t)</w:t>
        </w:r>
      </w:hyperlink>
      <w:r w:rsidRPr="008127F8">
        <w:rPr>
          <w:rFonts w:ascii="Times New Roman" w:eastAsia="Times New Roman" w:hAnsi="Times New Roman"/>
          <w:color w:val="000000" w:themeColor="text1"/>
          <w:sz w:val="16"/>
          <w:szCs w:val="16"/>
          <w:lang w:eastAsia="ru-RU"/>
        </w:rPr>
        <w:t xml:space="preserve"> на 45-мм пушку или 20-мм автоматическую пушку ТНШ. «Сорокопятку» предполагалось установить и в средний танк Pz.Kpfw.III, а Pz.Kpfw.IV планировалось перевооружить 76-мм пушкой Ф-34. Что же касается StuG III, то на неё в ГАУ хотели установить 122-мм гаубицу М-30.</w:t>
      </w:r>
    </w:p>
    <w:p w14:paraId="3050998C"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Фактически работы велись только по последнему пункту (17663).</w:t>
      </w:r>
    </w:p>
    <w:p w14:paraId="1F1F4DFA" w14:textId="77777777" w:rsidR="00605125" w:rsidRPr="008127F8" w:rsidRDefault="0060512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EFF398E" w14:textId="77777777" w:rsidR="004B7989" w:rsidRPr="008127F8" w:rsidRDefault="004B7989"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феврале 1942 года появилась идея перевооружения трофейных танков советскими орудийными системами. В случае с «Прагой» предполагалось поставить либо 20-мм автоматическую пушку ТНШ, либо 45-мм танковую пушку. В качестве исполнителя работ выступало КБ завода №592 под руководством Е. В. Синильщикова и С. Г. Перерушева. Судя по документам, дальше задания дело здесь не продвинулось, поскольку более приоритетной задачей являлся проект САУ </w:t>
      </w:r>
      <w:hyperlink r:id="rId69" w:history="1">
        <w:r w:rsidRPr="008127F8">
          <w:rPr>
            <w:rFonts w:ascii="Times New Roman" w:eastAsia="Times New Roman" w:hAnsi="Times New Roman"/>
            <w:color w:val="000000" w:themeColor="text1"/>
            <w:sz w:val="16"/>
            <w:szCs w:val="16"/>
            <w:lang w:eastAsia="ru-RU"/>
          </w:rPr>
          <w:t>122-СГ</w:t>
        </w:r>
      </w:hyperlink>
      <w:r w:rsidRPr="008127F8">
        <w:rPr>
          <w:rFonts w:ascii="Times New Roman" w:eastAsia="Times New Roman" w:hAnsi="Times New Roman"/>
          <w:color w:val="000000" w:themeColor="text1"/>
          <w:sz w:val="16"/>
          <w:szCs w:val="16"/>
          <w:lang w:eastAsia="ru-RU"/>
        </w:rPr>
        <w:t xml:space="preserve"> (СГ-122) на базе StuG III. Вместе с тем, часть танков, судя по фотографиям, получила советские пулеметы ДТ. Для обеспечения экипажей информацией об устройстве трофейных танков была издана краткая инструкция по эксплуатации (17687).</w:t>
      </w:r>
    </w:p>
    <w:p w14:paraId="704FA5DE" w14:textId="77777777" w:rsidR="004B7989" w:rsidRPr="008127F8" w:rsidRDefault="004B7989"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F94F176"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февраля 1942 г. ЦНИИ-48 разработал комплекс мероприятий по организации изготовления литых башен Т-60 на Верх- Исетском заводе для завода № 37[406]. Кроме того, ЦНИИ-48 вплотную занимался вопросами внедрения в массовое производство закалки брони токами высокой частоты и кокильного литья, сварки танковых корпусов и многим другим (23536).</w:t>
      </w:r>
    </w:p>
    <w:p w14:paraId="50001E19" w14:textId="77777777" w:rsidR="00BA1D96" w:rsidRPr="008A2E5A" w:rsidRDefault="00BA1D96" w:rsidP="00BA1D96">
      <w:pPr>
        <w:spacing w:after="0" w:line="240" w:lineRule="auto"/>
        <w:jc w:val="both"/>
        <w:rPr>
          <w:rFonts w:ascii="Times New Roman" w:hAnsi="Times New Roman"/>
          <w:color w:val="0070C0"/>
          <w:sz w:val="16"/>
          <w:szCs w:val="16"/>
        </w:rPr>
      </w:pPr>
    </w:p>
    <w:p w14:paraId="2F8F83F1"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впервые был поднят вопрос о переделке трофейных немецких танков. Из всего списка переделок утвердили только перевооружение StuG III на 122-мм гаубицу М-30. На свет появилась 122-СГ (позже переименована в СГ-122), ставшая первой советской средней САУ, принятой на вооружение Красной Армии и запущенной в серийное производство. По ряду причин, в том числе производственных, крупной серии СГ-122 не случилось. Далее на вооружение Красной Армии приняли СУ-35 (СУ-122), поэтому необходимость в штурмовой САУ на зарубежной базе отпала. Тем не менее, на этом трофейные базы не забросили. 18 января 1943 года было подписано постановление ГКО №2758сс "Об организации производства самоходных артиллерийских установок СУ-76 на базе трофейных танков "Артштурм" и Т-3 с 76-мм пушкой Ф-34". Так на свет появилась СУ-76И, выпущенная крупным тиражом и вполне себе повоевавшая (23460).</w:t>
      </w:r>
    </w:p>
    <w:p w14:paraId="2FC58CBE" w14:textId="77777777" w:rsidR="00BA1D96" w:rsidRPr="008A2E5A" w:rsidRDefault="00BA1D96" w:rsidP="00BA1D96">
      <w:pPr>
        <w:spacing w:after="0" w:line="240" w:lineRule="auto"/>
        <w:jc w:val="both"/>
        <w:rPr>
          <w:rFonts w:ascii="Times New Roman" w:hAnsi="Times New Roman"/>
          <w:color w:val="0070C0"/>
          <w:sz w:val="16"/>
          <w:szCs w:val="16"/>
        </w:rPr>
      </w:pPr>
    </w:p>
    <w:p w14:paraId="48B526D8"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появилось задание перевооружения немецких танков. Как и в прошлый раз, инициаторов выступило ГАУ КА, а исполнителем Наркомат Вооружений (НКВ). Работу доверили конструкторскому бюро завода №592 НКВ. Так, после начала войны, стала называться площадка Мытищенского Машиностроительного Завода. Сам завод эвакуировали в октябре 1941 года, а его площади стали использовать для производства противотанковых ежей, гранат и артиллерийских боеприпасов. Работали здесь и по иным направлениям. В частности, завод №592 проходил как изготовитель больших десантных бронесаней Б-65 (разработаны заводом "Большевик"). Часть инженеров-конструкторов также прибыло с "Большевика". Среди них оказались Е.В. Синильщиков и С.Г. Перерушев, которые и возглавили работы по перевооружению.</w:t>
      </w:r>
    </w:p>
    <w:p w14:paraId="68A013CB"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Формально КБ завода №592 числилось филиалом ОКБ-16, но по факту к нему оно отношение не имело. Надо сказать, что прибывшие из Ленинграда инженеры ранее занимались не танковыми системами. Тем не менее, у того же Синильщикова к тому моменту за плечами было уже почти 10 лет работы на "Большевике". Вопрос перевооружения был отработан заводом №592 оперативно. Уже к середине марта 1942 были готовы проекты перевооружения Pz.Kpfw.38(t), Pz.Kpfw.III, Pz.Kpfw.IV и StuG III. Из них ГАУ КА по-настоящему заинтересовал только четвертый по списку проект - "немецкую самоходную установку Артштурм перевооружить 122 мм гаубицей М-30". Синильщиков получил от Артиллерийского комитета ГАУ КА указание о более детальной проработке проекта перевооружения немецкой САУ. Объяснялось это несколькими причинами. Во-первых, самоходная артиллерия не входила в ведение ГАБТУ КА. Посему никто ГАУ и НКВ палки в колеса вставить не мог. Во-вторых, StuG III выглядела как кандидат №1 на такие переделки. Наши артиллеристы вполне логично рассуждали, что такое шасси достойно более мощного орудия (23368).</w:t>
      </w:r>
    </w:p>
    <w:p w14:paraId="60243F17" w14:textId="77777777" w:rsidR="00BA1D96" w:rsidRPr="008A2E5A" w:rsidRDefault="00BA1D96" w:rsidP="00BA1D96">
      <w:pPr>
        <w:spacing w:after="0" w:line="240" w:lineRule="auto"/>
        <w:jc w:val="both"/>
        <w:rPr>
          <w:rFonts w:ascii="Times New Roman" w:hAnsi="Times New Roman"/>
          <w:color w:val="0070C0"/>
          <w:sz w:val="16"/>
          <w:szCs w:val="16"/>
        </w:rPr>
      </w:pPr>
    </w:p>
    <w:p w14:paraId="3A9B3913" w14:textId="596349F4" w:rsidR="002926F3" w:rsidRPr="008127F8" w:rsidRDefault="002926F3" w:rsidP="001E0A84">
      <w:pPr>
        <w:pStyle w:val="af"/>
        <w:shd w:val="clear" w:color="auto" w:fill="FFFFFF"/>
        <w:spacing w:before="0" w:after="0"/>
        <w:jc w:val="both"/>
        <w:textAlignment w:val="baseline"/>
        <w:rPr>
          <w:bCs/>
          <w:i/>
          <w:iCs/>
          <w:noProof/>
          <w:color w:val="000000" w:themeColor="text1"/>
          <w:sz w:val="16"/>
          <w:szCs w:val="16"/>
          <w:bdr w:val="none" w:sz="0" w:space="0" w:color="auto" w:frame="1"/>
        </w:rPr>
      </w:pPr>
      <w:r w:rsidRPr="008127F8">
        <w:rPr>
          <w:color w:val="000000" w:themeColor="text1"/>
          <w:sz w:val="16"/>
          <w:szCs w:val="16"/>
        </w:rPr>
        <w:t>С февраля 1942 года разработка новой лёгкой штурмовой САУ на базе агрегатов Т-60 передавалась КБ завода №37. Первый вариант машины,</w:t>
      </w:r>
      <w:r w:rsidR="008127F8">
        <w:rPr>
          <w:color w:val="000000" w:themeColor="text1"/>
          <w:sz w:val="16"/>
          <w:szCs w:val="16"/>
        </w:rPr>
        <w:t xml:space="preserve">  </w:t>
      </w:r>
      <w:hyperlink r:id="rId70" w:history="1">
        <w:r w:rsidRPr="008127F8">
          <w:rPr>
            <w:rStyle w:val="a6"/>
            <w:rFonts w:eastAsiaTheme="majorEastAsia"/>
            <w:bCs/>
            <w:i/>
            <w:iCs/>
            <w:color w:val="000000" w:themeColor="text1"/>
            <w:sz w:val="16"/>
            <w:szCs w:val="16"/>
            <w:bdr w:val="none" w:sz="0" w:space="0" w:color="auto" w:frame="1"/>
          </w:rPr>
          <w:t>СУ-31</w:t>
        </w:r>
      </w:hyperlink>
      <w:r w:rsidRPr="008127F8">
        <w:rPr>
          <w:color w:val="000000" w:themeColor="text1"/>
          <w:sz w:val="16"/>
          <w:szCs w:val="16"/>
        </w:rPr>
        <w:t>, был сделан на базе Т-70, а второй, СУ-32 — из агрегатов Т-60 и с параллельно расположенными моторами ГАЗ-202. Собственно говоря, СУ-32 как раз и соответствовала тому самому «универсальному шасси», которое продвигал Гинзбург. СУ-31 была построена в июне 1942 года, а СУ-32 — в июле. Испытания же проходили ещё позже — с 21 августа по 3 сентября 1942 года. Они являлись, скорее, способом выбора шасси, поскольку завод №37 уже к тому времени стал заводом №50 и готовился выпускать Т-34. То есть будущего у СУ-31/СУ-42 уже не было. Поскольку СУ-31 сильнее перегревалась, выбор для дальнейших работ пал на СУ-32. К тому же Гинзбург, естественно, продвигал свою идею с двумя параллельно расположенными моторами, что потом ему дорого обошлось.</w:t>
      </w:r>
    </w:p>
    <w:p w14:paraId="6FE95874" w14:textId="77777777" w:rsidR="002926F3" w:rsidRPr="008127F8" w:rsidRDefault="002926F3"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Наработки по самоходным установкам завода №37, а также КБ завода №8 (ЗИК-5 и ЗИК-7), передали на завод №38. Там под общим руководством Гинзбурга были разработаны самоходная установка СУ-12 и её зенитный вариант — СУ-11. Именно на данную разработку военные и поставили, приняв на вооружение Красной армии 2 декабря 1942 года, ещё даже не испытав (19602).</w:t>
      </w:r>
    </w:p>
    <w:p w14:paraId="65F35013" w14:textId="77777777" w:rsidR="002926F3" w:rsidRPr="008127F8" w:rsidRDefault="002926F3" w:rsidP="001E0A84">
      <w:pPr>
        <w:pStyle w:val="af"/>
        <w:shd w:val="clear" w:color="auto" w:fill="FFFFFF"/>
        <w:spacing w:before="0" w:after="0"/>
        <w:jc w:val="both"/>
        <w:textAlignment w:val="baseline"/>
        <w:rPr>
          <w:color w:val="000000" w:themeColor="text1"/>
          <w:sz w:val="16"/>
          <w:szCs w:val="16"/>
        </w:rPr>
      </w:pPr>
    </w:p>
    <w:p w14:paraId="4253E582" w14:textId="77777777" w:rsidR="004B7989" w:rsidRPr="008127F8" w:rsidRDefault="004B7989"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1942 советские военные попали за завод Vauxhall, который был головным разработчиком и производителем Churchill. На тот момент здесь выпускалось по 10 танков этого типа в неделю. 28–30 апреля года комиссия попала на завод Leyland, также задействованный в программе производства Churchill. По оценке комиссии, здесь производилось 7 танков в неделю.</w:t>
      </w:r>
    </w:p>
    <w:p w14:paraId="279888B1" w14:textId="77777777" w:rsidR="004B7989" w:rsidRPr="008127F8" w:rsidRDefault="004B7989"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Таким образом, советские военные представители смогли попасть на три из четырёх заводов, на которых выпускались Churchill. Кроме того, им удалось поприсутствовать на испытаниях Churchill IV, производство которых на тот момент только осваивалось на предприятиях (17691).</w:t>
      </w:r>
    </w:p>
    <w:p w14:paraId="21C0A753" w14:textId="77777777" w:rsidR="004B7989" w:rsidRPr="008127F8" w:rsidRDefault="004B7989" w:rsidP="001E0A84">
      <w:pPr>
        <w:pStyle w:val="12a"/>
        <w:shd w:val="clear" w:color="auto" w:fill="auto"/>
        <w:spacing w:after="0" w:line="240" w:lineRule="auto"/>
        <w:jc w:val="both"/>
        <w:rPr>
          <w:color w:val="000000" w:themeColor="text1"/>
          <w:sz w:val="16"/>
          <w:szCs w:val="16"/>
        </w:rPr>
      </w:pPr>
    </w:p>
    <w:p w14:paraId="76DFD764"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бронеавтомотриса Коломенского завода, получившая имя «Красная звезда», была готова.</w:t>
      </w:r>
    </w:p>
    <w:p w14:paraId="04571908" w14:textId="43FB9B1D"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Ее корпус состоял из двух продольных двутавровых балок и каркаса из уголков, к которым крепились 45 мм броневые плиты. Корпус устанавливался на двух двухосных тележках одинаковой конструкции. На каждой из них устанавливался двигатель В-2К, коробка перемены передач, радиаторы и бортовые передачи от танка КБ, топливный и масляный баки, пусковые баллоны со сжатым воздухом, аккумуляторные батареи и тормозное устройство. Двигатель через главный фрикцион соединялся с коробкой перемены передач и бортовыми редукторами, от которых «вращающий момент передавался цепями Галля при помощи звездочек, на колеса первой сцепной оси». Первая и вторая оси, используемые от паровоза серии Су, связывались между собой спарниками. Кроме того, от тендера паровоза Су были заимствованы рессоры, колодки и элементы подвески.</w:t>
      </w:r>
      <w:r w:rsidR="008127F8">
        <w:rPr>
          <w:rFonts w:ascii="Times New Roman" w:hAnsi="Times New Roman"/>
          <w:color w:val="000000" w:themeColor="text1"/>
          <w:sz w:val="16"/>
          <w:szCs w:val="16"/>
        </w:rPr>
        <w:t xml:space="preserve">  </w:t>
      </w:r>
    </w:p>
    <w:p w14:paraId="1C680B92" w14:textId="474034D6"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управления движением бронедрезины находился в центральной части кузова. Водитель мог наблюдать за движением через специальные окошки и смотровые щели. Передний и задний двигатели выключались ножными педалями, действующими на главные фрикционы. Приборы управления движением целиком использовались от танка КВ. Вооружение «Красной звезды» состояло из 76-мм пушки ЗИС-5, четырех пулеметов ДТ -два в башне и два в бортах корпуса - и одного ДШК на специальной зенитной установке.</w:t>
      </w:r>
      <w:r w:rsidR="008127F8">
        <w:rPr>
          <w:rFonts w:ascii="Times New Roman" w:hAnsi="Times New Roman"/>
          <w:color w:val="000000" w:themeColor="text1"/>
          <w:sz w:val="16"/>
          <w:szCs w:val="16"/>
        </w:rPr>
        <w:t xml:space="preserve">  </w:t>
      </w:r>
    </w:p>
    <w:p w14:paraId="5E909456" w14:textId="0BB6401D"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Использование двух ведущих тележек и двух двигателей для переднего и заднего хода объяснялось очень просто - после эвакуации на заводе в Коломне не сталось </w:t>
      </w:r>
      <w:proofErr w:type="gramStart"/>
      <w:r w:rsidRPr="008127F8">
        <w:rPr>
          <w:rFonts w:ascii="Times New Roman" w:hAnsi="Times New Roman"/>
          <w:color w:val="000000" w:themeColor="text1"/>
          <w:sz w:val="16"/>
          <w:szCs w:val="16"/>
        </w:rPr>
        <w:t>зуборезных</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станков</w:t>
      </w:r>
      <w:proofErr w:type="gramEnd"/>
      <w:r w:rsidRPr="008127F8">
        <w:rPr>
          <w:rFonts w:ascii="Times New Roman" w:hAnsi="Times New Roman"/>
          <w:color w:val="000000" w:themeColor="text1"/>
          <w:sz w:val="16"/>
          <w:szCs w:val="16"/>
        </w:rPr>
        <w:t>, пригодных для изготовления деталей реверсной коробки передач. Тем не менее, конструкторы завода предусмотрели возможность дальнейшей модернизации «Красной звезды». Так, в своем письме в ГАБТУ в феврале 1942 года Лебедянский писал: «В дальнейшем машина может быть легко модернизирована на базе первого опытного образца: поднята скорость переднего и заднего ходов конструкцией нового реверсивного редуктора, оставлена одна движущая тележка, взамен же второго мотора поднята огневая мощь и запасы вооружения. Форма брони также может быть улучшена заменой плоских стенок наклонными».</w:t>
      </w:r>
      <w:r w:rsidR="008127F8">
        <w:rPr>
          <w:rFonts w:ascii="Times New Roman" w:hAnsi="Times New Roman"/>
          <w:color w:val="000000" w:themeColor="text1"/>
          <w:sz w:val="16"/>
          <w:szCs w:val="16"/>
        </w:rPr>
        <w:t xml:space="preserve">  </w:t>
      </w:r>
    </w:p>
    <w:p w14:paraId="6B979F33" w14:textId="77815F35"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Испытания бронеавтомотрисы выявили ряд существенных недостатков в конструкции ведущих тележек и силовой установки в целом. В результате, машина большую часть времени чинилась на заводе, и только к </w:t>
      </w:r>
      <w:proofErr w:type="gramStart"/>
      <w:r w:rsidRPr="008127F8">
        <w:rPr>
          <w:rFonts w:ascii="Times New Roman" w:hAnsi="Times New Roman"/>
          <w:color w:val="000000" w:themeColor="text1"/>
          <w:sz w:val="16"/>
          <w:szCs w:val="16"/>
        </w:rPr>
        <w:t>июню</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1942</w:t>
      </w:r>
      <w:proofErr w:type="gramEnd"/>
      <w:r w:rsidRPr="008127F8">
        <w:rPr>
          <w:rFonts w:ascii="Times New Roman" w:hAnsi="Times New Roman"/>
          <w:color w:val="000000" w:themeColor="text1"/>
          <w:sz w:val="16"/>
          <w:szCs w:val="16"/>
        </w:rPr>
        <w:t xml:space="preserve"> года удалось довести «Красную звезду» до рабочего состояния (18626).</w:t>
      </w:r>
    </w:p>
    <w:p w14:paraId="32C36050" w14:textId="77777777" w:rsidR="002926F3" w:rsidRPr="008127F8" w:rsidRDefault="002926F3" w:rsidP="001E0A84">
      <w:pPr>
        <w:spacing w:after="0" w:line="240" w:lineRule="auto"/>
        <w:jc w:val="both"/>
        <w:rPr>
          <w:rFonts w:ascii="Times New Roman" w:hAnsi="Times New Roman"/>
          <w:color w:val="000000" w:themeColor="text1"/>
          <w:sz w:val="16"/>
          <w:szCs w:val="16"/>
        </w:rPr>
      </w:pPr>
    </w:p>
    <w:p w14:paraId="0C52AF6A" w14:textId="77777777" w:rsidR="000E6375" w:rsidRPr="008127F8" w:rsidRDefault="000E637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 1942 года рабочие депо Горький-Пассажирский завершили строительство бронепоезда «Козьма Минин». В его составе имелись две открытые бронеплощадки, на каждой из которых располагались зенитные орудия калибра 25 и 37 мм, а также пусковая установка М-8-24. Таким образом, экипаж бронепоезда «Козьма Минин» располагал набором ударного вооружения в виде 76-мм пушек и 82-мм реактивных снарядов. В общей сложности было построено не более 50-60 </w:t>
      </w:r>
      <w:r w:rsidRPr="008127F8">
        <w:rPr>
          <w:rFonts w:ascii="Times New Roman" w:hAnsi="Times New Roman"/>
          <w:color w:val="000000" w:themeColor="text1"/>
          <w:sz w:val="16"/>
          <w:szCs w:val="16"/>
        </w:rPr>
        <w:lastRenderedPageBreak/>
        <w:t>боевых машин БМ-8-24 на базе танков Т-40 и Т-60. Несколько пусковых установок М-8-24 также использовались в составе комплекса вооружений бронепоезда «Козьма Минин». Такое вооружение по своим характеристикам заметно уступало реактивному миномету БМ-13, однако все же смогло сыграть свою роль на фронте. Несмотря на малое количество, машины БМ-8-24 активно применялись на различных участках фронта и стали хорошим дополнением к другим артиллерийским системам с более высокими характеристиками. Со временем возможности промышленности позволили увеличить выпуск более совершенных БМ-13 и благодаря этому отказаться от реактивных минометов, стреляющих доработанными авиационными ракетами (15121).</w:t>
      </w:r>
    </w:p>
    <w:p w14:paraId="5B201A85" w14:textId="77777777" w:rsidR="000E6375" w:rsidRPr="008127F8" w:rsidRDefault="000E6375" w:rsidP="001E0A84">
      <w:pPr>
        <w:spacing w:after="0" w:line="240" w:lineRule="auto"/>
        <w:jc w:val="both"/>
        <w:rPr>
          <w:rFonts w:ascii="Times New Roman" w:hAnsi="Times New Roman"/>
          <w:color w:val="000000" w:themeColor="text1"/>
          <w:sz w:val="16"/>
          <w:szCs w:val="16"/>
        </w:rPr>
      </w:pPr>
    </w:p>
    <w:p w14:paraId="79A6562D" w14:textId="77777777" w:rsidR="000E6375" w:rsidRPr="008127F8" w:rsidRDefault="000E637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на основе опыта боевого применения бронепоездов в течение первого года войны отдел был переформирован в Управление бронепоездов. Руководить им был назначен генерал-майор танковых войск П.Г. Чернов (15218).</w:t>
      </w:r>
    </w:p>
    <w:p w14:paraId="7D44F1D5" w14:textId="77777777" w:rsidR="000E6375" w:rsidRPr="008127F8" w:rsidRDefault="000E6375" w:rsidP="001E0A84">
      <w:pPr>
        <w:spacing w:after="0" w:line="240" w:lineRule="auto"/>
        <w:jc w:val="both"/>
        <w:rPr>
          <w:rFonts w:ascii="Times New Roman" w:hAnsi="Times New Roman"/>
          <w:color w:val="000000" w:themeColor="text1"/>
          <w:sz w:val="16"/>
          <w:szCs w:val="16"/>
        </w:rPr>
      </w:pPr>
    </w:p>
    <w:p w14:paraId="58FE71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было принято решение о создании на производственных площадях завода имени В. И. Ленина в Павшино нового оптикомеханического предприятия. Летом 1942 г. и оборудование, и личный состав завода значительно пополнились за счет предприятий, эвакуированных из Москвы и Ленинграда (9691).</w:t>
      </w:r>
    </w:p>
    <w:p w14:paraId="3450CA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D65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по приказу НКТМ образован филиал завода (Завод № 45 НКТП, НКРП, Завод «Шефер и К</w:t>
      </w:r>
      <w:r w:rsidRPr="008127F8">
        <w:rPr>
          <w:rFonts w:ascii="Times New Roman" w:hAnsi="Times New Roman"/>
          <w:color w:val="000000" w:themeColor="text1"/>
          <w:sz w:val="16"/>
          <w:szCs w:val="16"/>
          <w:vertAlign w:val="superscript"/>
        </w:rPr>
        <w:t>0</w:t>
      </w:r>
      <w:r w:rsidRPr="008127F8">
        <w:rPr>
          <w:rFonts w:ascii="Times New Roman" w:hAnsi="Times New Roman"/>
          <w:color w:val="000000" w:themeColor="text1"/>
          <w:sz w:val="16"/>
          <w:szCs w:val="16"/>
        </w:rPr>
        <w:t xml:space="preserve">», Завод «Возрождение», Машиностроительный завод «Коммунист» СНХ, НКТМ, ОАО «Волгодизельаппарат» /г. Екатериненпггадт,  г. Марксштадт/ /413090  г. Маркс Саратовской обл. 4-я линия, 2/) на базе Ремонтно-механического завода ( г. Энгельс). В 05.1943 г. завод «Коммунист» с филиалом передан в ведение НКТП и получил литерный № 45. 13.11.1943 г. филиал завода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71D154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06B440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4C0CC3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20AD12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2AB9F4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завод преобразован в ОАО «Волгодизельаппарат».</w:t>
      </w:r>
    </w:p>
    <w:p w14:paraId="3AD8D2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2B0EE5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(1895 г.)- 99 чел., (1896 г.)- 125 чел., (1898 г.)- 156 чел.</w:t>
      </w:r>
    </w:p>
    <w:p w14:paraId="758A9A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(-2003-05 г.-)- В.В. Покровский.</w:t>
      </w:r>
    </w:p>
    <w:p w14:paraId="6162DA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2862B4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C08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1942г. на базе части завода «Красная заря», эвакуированного из Ленинграда в Москву на площадку бывшего завода ЗАТЭМ, (завода № 205 НКВ), эвакуированного ранее в Саратов, был создан Завод № 1 НКО, МВС, Опытный завод № 1 НИИ-885, Опытный завод НИИАП, ГУП «НПО конверсионного приборостроения» /г. Москва ул. Авиамоторная/ /117342 г. Москва ул. Обручева, 29 тел. 330-82-92/. Производство телефонных и телеграфных аппаратов. При заводе действовало СКБ.</w:t>
      </w:r>
    </w:p>
    <w:p w14:paraId="7BC838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СМ СССР № 1017-419сс от 13.05.1946г. завод передан в МПСС для образования на его базе и площадях НИИ-885 </w:t>
      </w:r>
      <w:r w:rsidRPr="008127F8">
        <w:rPr>
          <w:rFonts w:ascii="Times New Roman" w:hAnsi="Times New Roman"/>
          <w:color w:val="000000" w:themeColor="text1"/>
          <w:sz w:val="16"/>
          <w:szCs w:val="16"/>
          <w:lang w:val="en-US"/>
        </w:rPr>
        <w:t>MIICC</w:t>
      </w:r>
      <w:r w:rsidRPr="008127F8">
        <w:rPr>
          <w:rFonts w:ascii="Times New Roman" w:hAnsi="Times New Roman"/>
          <w:color w:val="000000" w:themeColor="text1"/>
          <w:sz w:val="16"/>
          <w:szCs w:val="16"/>
        </w:rPr>
        <w:t>. Завод стал опытной базой института, а СКБ влито в состав НИИ-885. До 1948г. входил в состав института, затем стал самостоятельным предприятием. В 1958г. стал опытным заводом № 1, когда в качестве второго опытного завода был подключен завод «Радиоприбор». В 1961г. завод состоял из 14 цехов, имел 965 станков и обеспечивал замкнутый цикл производства.</w:t>
      </w:r>
    </w:p>
    <w:p w14:paraId="4B3B23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w:t>
      </w:r>
      <w:proofErr w:type="gramStart"/>
      <w:r w:rsidRPr="008127F8">
        <w:rPr>
          <w:rFonts w:ascii="Times New Roman" w:hAnsi="Times New Roman"/>
          <w:color w:val="000000" w:themeColor="text1"/>
          <w:sz w:val="16"/>
          <w:szCs w:val="16"/>
        </w:rPr>
        <w:t>3)г.</w:t>
      </w:r>
      <w:proofErr w:type="gramEnd"/>
      <w:r w:rsidRPr="008127F8">
        <w:rPr>
          <w:rFonts w:ascii="Times New Roman" w:hAnsi="Times New Roman"/>
          <w:color w:val="000000" w:themeColor="text1"/>
          <w:sz w:val="16"/>
          <w:szCs w:val="16"/>
        </w:rPr>
        <w:t xml:space="preserve"> при разделении НИИ-885 Опытный завод № 1 отошел к НИИАП.</w:t>
      </w:r>
    </w:p>
    <w:p w14:paraId="36BF41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05.1998г. Завод НИИАП преобразован в дочернее предприятие - НПО конверсионного приборостроения. Занимался изготовлением элементов опытных образцов систем управления РКТ.</w:t>
      </w:r>
    </w:p>
    <w:p w14:paraId="6234C1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программах: «Космос», «Мир», «Протон», «Буран», «Марс», «Луна», «Бега». «Фобос».</w:t>
      </w:r>
    </w:p>
    <w:p w14:paraId="1D0271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(2002г.): системы управления различного назначения; медицинское оборудование (инкубаторы детской терапии, хирургические мониторы, термокроватки для новорожденных, медицинские весы).</w:t>
      </w:r>
    </w:p>
    <w:p w14:paraId="01B9F8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(-2000-02г.-)- Ю.А. Новиков.</w:t>
      </w:r>
    </w:p>
    <w:p w14:paraId="567072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(2002г.)- Ю.А. Новиков.</w:t>
      </w:r>
    </w:p>
    <w:p w14:paraId="32E6D1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(2002г.)- Г.Е. Крючков. Зам. гендиректора: по научно-технической работе (2002г.)- А.И. Каспин; по производству (2002г.)- О.И. Ефремов.</w:t>
      </w:r>
    </w:p>
    <w:p w14:paraId="5BF59E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(2002г.)- Г.Е. Крючков.</w:t>
      </w:r>
      <w:r w:rsidRPr="008127F8">
        <w:rPr>
          <w:rFonts w:ascii="Times New Roman" w:hAnsi="Times New Roman"/>
          <w:color w:val="000000" w:themeColor="text1"/>
          <w:sz w:val="16"/>
          <w:szCs w:val="16"/>
          <w:vertAlign w:val="superscript"/>
        </w:rPr>
        <w:t>69</w:t>
      </w:r>
    </w:p>
    <w:p w14:paraId="78D41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ФГУП «Сосенский приборостроительный завод» /Калужская обл./</w:t>
      </w:r>
    </w:p>
    <w:p w14:paraId="7B2191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Ракетно-космическая техника. По Указу Президента РФ № 1009 от 4.08.2004г. вошел в число стратегических оборонных предприятий. В соответствии с Указом Президента РФ № 804 от 26.06.2007г. и распоряжением правительства № 1066-р от 17.08.2007г. завод с 10.10.2008г. вошел в состав НПЦАП в качестве филиала.</w:t>
      </w:r>
    </w:p>
    <w:p w14:paraId="51CF94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кассовый аппарат «Астра-100Ф» (11982).</w:t>
      </w:r>
    </w:p>
    <w:p w14:paraId="2372A4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DE5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фронтовые разведчики обнаружили в саквояже захваченного офицера тетради с расчетами по созданию атомного оружия (3304,189).</w:t>
      </w:r>
    </w:p>
    <w:p w14:paraId="160D28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A22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ГКО принял постановление о разработке РЛС орудийной наводки и в НКЭП был организован радиолокационный завод-институт (384,221).</w:t>
      </w:r>
    </w:p>
    <w:p w14:paraId="12A246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A1DA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в войска стала поступать радиостанция РБМ (модификация РБ). За компактность, небольшую массу, простоту эксплуатации и малую энергоемкость она получила высокую оценку радистов. РБМ имела выносные устройства, позволявшие вести переговоры на удалении до 3 км от радиостанции. Радиус действия РБМ - 250 км. Ее применяли и в качестве личных радиостанций командиры дивизий и корпусов и даже командующие армиями (9923).</w:t>
      </w:r>
    </w:p>
    <w:p w14:paraId="2BA04F1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4007E7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 месте эвакуированного ГС завода № 7 НКЭП в Туле группой вернувшихся специалистов началось восстановление производства, и создан Тульский радиозавод (Тульский радиозавод, Тульский завод «Октава» МПСС, ОАО «Октава» /300000 г. Тула ул. Каминского, 24 тел. 20-00-04, 36-01-77/). С 05.1942 г. начат выпуск миноискателей, рупорных динамиков, с 06.1942 г. - динамических микрофонов, затем - трансляционных громкоговорителей на пьезоэлементах.</w:t>
      </w:r>
    </w:p>
    <w:p w14:paraId="0A47E1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1943г. завод- в ведении НКЭП. В 1946г. получил название Тульский завод «Октава».</w:t>
      </w:r>
    </w:p>
    <w:p w14:paraId="02B31A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2C007C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29A7C0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238D37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7B8DEB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(2007г.)- 1200 чел.</w:t>
      </w:r>
    </w:p>
    <w:p w14:paraId="0E8684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(1942г.-)- К.А. Глазков, (1967г.)- С.М. Шалашников, (1980-е)- М.А. Макжанов. Гендиректор (1990- е)- Г.И. Ульянов, (2007г.)- С.Н. Беляев.</w:t>
      </w:r>
    </w:p>
    <w:p w14:paraId="599856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4439D8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(1942-45г.-)- А.И. Верба.</w:t>
      </w:r>
    </w:p>
    <w:p w14:paraId="7A20E1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сбыта (2007г.)- Н.Ю. Ермакова.</w:t>
      </w:r>
    </w:p>
    <w:p w14:paraId="5A79BE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0B96E3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8127F8">
        <w:rPr>
          <w:rFonts w:ascii="Times New Roman" w:hAnsi="Times New Roman"/>
          <w:iCs/>
          <w:color w:val="000000" w:themeColor="text1"/>
          <w:sz w:val="16"/>
          <w:szCs w:val="16"/>
        </w:rPr>
        <w:t xml:space="preserve"> микрофоны:</w:t>
      </w:r>
      <w:r w:rsidRPr="008127F8">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w:t>
      </w:r>
      <w:r w:rsidRPr="008127F8">
        <w:rPr>
          <w:rFonts w:ascii="Times New Roman" w:hAnsi="Times New Roman"/>
          <w:color w:val="000000" w:themeColor="text1"/>
          <w:sz w:val="16"/>
          <w:szCs w:val="16"/>
        </w:rPr>
        <w:lastRenderedPageBreak/>
        <w:t>-78А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8127F8">
        <w:rPr>
          <w:rFonts w:ascii="Times New Roman" w:hAnsi="Times New Roman"/>
          <w:iCs/>
          <w:color w:val="000000" w:themeColor="text1"/>
          <w:sz w:val="16"/>
          <w:szCs w:val="16"/>
        </w:rPr>
        <w:t xml:space="preserve"> телефоны:</w:t>
      </w:r>
      <w:r w:rsidRPr="008127F8">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36B4B1B5" w14:textId="77777777" w:rsidR="000E6375" w:rsidRPr="008127F8" w:rsidRDefault="000E6375" w:rsidP="001E0A84">
      <w:pPr>
        <w:autoSpaceDE w:val="0"/>
        <w:autoSpaceDN w:val="0"/>
        <w:adjustRightInd w:val="0"/>
        <w:spacing w:after="0" w:line="240" w:lineRule="auto"/>
        <w:jc w:val="both"/>
        <w:rPr>
          <w:rFonts w:ascii="Times New Roman" w:hAnsi="Times New Roman"/>
          <w:color w:val="000000" w:themeColor="text1"/>
          <w:sz w:val="16"/>
          <w:szCs w:val="16"/>
        </w:rPr>
      </w:pPr>
    </w:p>
    <w:p w14:paraId="4D1235F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было изготовлено 17 ("Сталинский Урал", "Свердловский железнодорожник", "Советская Сибирь", "Железнодорожник Кузбасса", "Победа", "За Родину!", "Сибиряк-Барабинец" и др.) и в марте 26 ("Лунинец", "Комсомол Чувашии", "Сибиряк", "Металлург Кузбасса", "Североказахстанец", "Сталинец", "Москвич" и др.) бронепоездов типа ОБ-3 (9642).</w:t>
      </w:r>
    </w:p>
    <w:p w14:paraId="4EACE39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59A45E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на площадке эвакуированного завода № 252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в Москве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11C9CF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лабораторная установка бездымного парогенератора для экспериментальной энергоустановки ПЛ (ВОВ).</w:t>
      </w:r>
      <w:r w:rsidRPr="008127F8">
        <w:rPr>
          <w:rFonts w:ascii="Times New Roman" w:hAnsi="Times New Roman"/>
          <w:color w:val="000000" w:themeColor="text1"/>
          <w:sz w:val="16"/>
          <w:szCs w:val="16"/>
          <w:vertAlign w:val="superscript"/>
        </w:rPr>
        <w:t>61</w:t>
      </w:r>
    </w:p>
    <w:p w14:paraId="062C54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производство РЛ средств для ВМФ.</w:t>
      </w:r>
    </w:p>
    <w:p w14:paraId="6DC0EA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завод определен головным по выпуску корабельной РЛС «Редан-3», начато строительство новых корпусов и оснащение оборудованием. В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головной завод по производству ЗРК «Клинок».</w:t>
      </w:r>
    </w:p>
    <w:p w14:paraId="1CF0CA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5CA0EB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24650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(2008 г.)- около 2 тыс. чел.</w:t>
      </w:r>
    </w:p>
    <w:p w14:paraId="522825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(05.1938 г.)- Петренко,</w:t>
      </w:r>
      <w:r w:rsidRPr="008127F8">
        <w:rPr>
          <w:rFonts w:ascii="Times New Roman" w:hAnsi="Times New Roman"/>
          <w:color w:val="000000" w:themeColor="text1"/>
          <w:sz w:val="16"/>
          <w:szCs w:val="16"/>
          <w:vertAlign w:val="superscript"/>
        </w:rPr>
        <w:t>139</w:t>
      </w:r>
      <w:r w:rsidRPr="008127F8">
        <w:rPr>
          <w:rFonts w:ascii="Times New Roman" w:hAnsi="Times New Roman"/>
          <w:color w:val="000000" w:themeColor="text1"/>
          <w:sz w:val="16"/>
          <w:szCs w:val="16"/>
        </w:rPr>
        <w:t xml:space="preserve"> (1939 г.-)- Р. Г. Сомхиян, (1944-48 г.)- Н.А. </w:t>
      </w:r>
      <w:proofErr w:type="gramStart"/>
      <w:r w:rsidRPr="008127F8">
        <w:rPr>
          <w:rFonts w:ascii="Times New Roman" w:hAnsi="Times New Roman"/>
          <w:color w:val="000000" w:themeColor="text1"/>
          <w:sz w:val="16"/>
          <w:szCs w:val="16"/>
        </w:rPr>
        <w:t>Федоров,,</w:t>
      </w:r>
      <w:proofErr w:type="gramEnd"/>
      <w:r w:rsidRPr="008127F8">
        <w:rPr>
          <w:rFonts w:ascii="Times New Roman" w:hAnsi="Times New Roman"/>
          <w:color w:val="000000" w:themeColor="text1"/>
          <w:sz w:val="16"/>
          <w:szCs w:val="16"/>
        </w:rPr>
        <w:t xml:space="preserve"> .(1980-е)- Ю.Д. Гончаров. Гендиректор (-2003-06 Г.-)- В.Н. Байбаков.</w:t>
      </w:r>
    </w:p>
    <w:p w14:paraId="6929A8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7E1FA2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(03-6.06.2003 г.)- С. Щитко (убит).</w:t>
      </w:r>
    </w:p>
    <w:p w14:paraId="1EA07A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(17.12.1938-39 г.-)- С.М. Владимирский.</w:t>
      </w:r>
    </w:p>
    <w:p w14:paraId="0D8ED10F" w14:textId="77777777" w:rsidR="007E67CF" w:rsidRPr="008127F8" w:rsidRDefault="007E67CF" w:rsidP="001E0A84">
      <w:pPr>
        <w:widowControl w:val="0"/>
        <w:tabs>
          <w:tab w:val="left" w:pos="763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(-1946 г.)- В.Е. Краснов.</w:t>
      </w:r>
    </w:p>
    <w:p w14:paraId="3AF6E5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СУ корабельного артвооружения «Союз», «Союз-ЗОбис»;</w:t>
      </w:r>
      <w:r w:rsidRPr="008127F8">
        <w:rPr>
          <w:rFonts w:ascii="Times New Roman" w:hAnsi="Times New Roman"/>
          <w:iCs/>
          <w:color w:val="000000" w:themeColor="text1"/>
          <w:sz w:val="16"/>
          <w:szCs w:val="16"/>
        </w:rPr>
        <w:t xml:space="preserve"> РИС:</w:t>
      </w:r>
      <w:r w:rsidRPr="008127F8">
        <w:rPr>
          <w:rFonts w:ascii="Times New Roman" w:hAnsi="Times New Roman"/>
          <w:color w:val="000000" w:themeColor="text1"/>
          <w:sz w:val="16"/>
          <w:szCs w:val="16"/>
        </w:rPr>
        <w:t xml:space="preserve"> РУС-</w:t>
      </w:r>
      <w:r w:rsidRPr="008127F8">
        <w:rPr>
          <w:rFonts w:ascii="Times New Roman" w:hAnsi="Times New Roman"/>
          <w:color w:val="000000" w:themeColor="text1"/>
          <w:sz w:val="16"/>
          <w:szCs w:val="16"/>
          <w:lang w:val="en-US"/>
        </w:rPr>
        <w:t>iq</w:t>
      </w:r>
      <w:r w:rsidRPr="008127F8">
        <w:rPr>
          <w:rFonts w:ascii="Times New Roman" w:hAnsi="Times New Roman"/>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8127F8">
        <w:rPr>
          <w:rFonts w:ascii="Times New Roman" w:hAnsi="Times New Roman"/>
          <w:color w:val="000000" w:themeColor="text1"/>
          <w:sz w:val="16"/>
          <w:szCs w:val="16"/>
          <w:vertAlign w:val="superscript"/>
        </w:rPr>
        <w:t>Ъ</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906&lt;Ь</w:t>
      </w:r>
      <w:r w:rsidRPr="008127F8">
        <w:rPr>
          <w:rFonts w:ascii="Times New Roman" w:hAnsi="Times New Roman"/>
          <w:color w:val="000000" w:themeColor="text1"/>
          <w:sz w:val="16"/>
          <w:szCs w:val="16"/>
        </w:rPr>
        <w:t xml:space="preserve"> СУ комплексов: «Берег», «Клинок», артиллерийского 5П-10Э (2003).</w:t>
      </w:r>
    </w:p>
    <w:p w14:paraId="2CC56F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252 НКСП, КБ СРТЗ, Особое КБ (ОКБ) «Ратеп» /г. Серпухов Московской обл./</w:t>
      </w:r>
    </w:p>
    <w:p w14:paraId="2D56B5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(до середины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РЛ средств для ВМФ. В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отработка производства ЗРК «Клинок».</w:t>
      </w:r>
    </w:p>
    <w:p w14:paraId="727201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1AB535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 г.)- О.Б. Федоров, (1980-е)- В.А. Макашов.</w:t>
      </w:r>
      <w:r w:rsidRPr="008127F8">
        <w:rPr>
          <w:rFonts w:ascii="Times New Roman" w:hAnsi="Times New Roman"/>
          <w:color w:val="000000" w:themeColor="text1"/>
          <w:sz w:val="16"/>
          <w:szCs w:val="16"/>
          <w:vertAlign w:val="superscript"/>
        </w:rPr>
        <w:t>103</w:t>
      </w:r>
    </w:p>
    <w:p w14:paraId="34CDDD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(1956 г.)- О.Б. Федоров («Турель»).</w:t>
      </w:r>
    </w:p>
    <w:p w14:paraId="58C781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78B078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EEC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проект был одобрен в Наркомате ВМФ, а в декаб</w:t>
      </w:r>
      <w:r w:rsidRPr="008127F8">
        <w:rPr>
          <w:rFonts w:ascii="Times New Roman" w:hAnsi="Times New Roman"/>
          <w:color w:val="000000" w:themeColor="text1"/>
          <w:sz w:val="16"/>
          <w:szCs w:val="16"/>
        </w:rPr>
        <w:softHyphen/>
        <w:t>ре того же года завод 340 спустил на воду новый катер, который получил буквенное обозначение СТК-ДД (стальной торпедный ка</w:t>
      </w:r>
      <w:r w:rsidRPr="008127F8">
        <w:rPr>
          <w:rFonts w:ascii="Times New Roman" w:hAnsi="Times New Roman"/>
          <w:color w:val="000000" w:themeColor="text1"/>
          <w:sz w:val="16"/>
          <w:szCs w:val="16"/>
        </w:rPr>
        <w:softHyphen/>
        <w:t>тер дальнего действия). В качестве двигателей на катере предус</w:t>
      </w:r>
      <w:r w:rsidRPr="008127F8">
        <w:rPr>
          <w:rFonts w:ascii="Times New Roman" w:hAnsi="Times New Roman"/>
          <w:color w:val="000000" w:themeColor="text1"/>
          <w:sz w:val="16"/>
          <w:szCs w:val="16"/>
        </w:rPr>
        <w:softHyphen/>
        <w:t>матривались три дизеля М-50 (3898).</w:t>
      </w:r>
    </w:p>
    <w:p w14:paraId="62C4C7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A370"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феврале 1942 г. занимавшаяся выполнением указания Первухина группа работников ВЭИ уже в Свердловске смогла продолжить разработку принципов и лабораторных образцов самонаправляющихся боевых средств. Надо отметить, что предприятия-смежники, привлекавшиеся к выполнению отдельных заказов по СБ-1, также находились в состоянии эвакуации, утратили часть мощностей и потеряли ряд сотрудников. В этой связи в 1942 г. работы по СБ-1 велись в низком темпе. О ходе работ авторы сообщали позднее: «Важнейшей и самой трудной частью оказалась разработка автоматической системы самонаведения – замкнутой системы регулирования без участия человека, которая под влиянием импульса индикатора любого типа (оптического, теплового, радиолокационного и т.п.) воздействовала бы на органы управления таким образом, чтобы не только ось боевого средства, например авиабомбы, непрерывно направлялась на цель , но и направление касательной к траектории непрерывно совмещалось бы с направлением на цель. При этом должна быть обеспечена полная статическая и динамическая устойчивость боевого средства в полёте и достаточная управляемость его с учетом как маневров цели, так и могущих иметь место возмущений, сбивающих боевое средство с направления на цель. \для обеспечения разработки таких систем нами была изобретена система с так называемыми «независимыми координатами». Авторское свидетельство Свечарник Д.В., Лебедев С.А., Чебышев П.В., Бояров А.И., Фельдбаум А.А., Карасев В.А., Васильев А.И. Введение принципа «независимых координат» потребовало создания новой аэродинамической формы т.н. симметричной аэродинамики, т.е. разработки </w:t>
      </w:r>
      <w:proofErr w:type="gramStart"/>
      <w:r w:rsidRPr="008A2E5A">
        <w:rPr>
          <w:rFonts w:ascii="Times New Roman" w:hAnsi="Times New Roman"/>
          <w:color w:val="0070C0"/>
          <w:sz w:val="16"/>
          <w:szCs w:val="16"/>
        </w:rPr>
        <w:t>планера</w:t>
      </w:r>
      <w:proofErr w:type="gramEnd"/>
      <w:r w:rsidRPr="008A2E5A">
        <w:rPr>
          <w:rFonts w:ascii="Times New Roman" w:hAnsi="Times New Roman"/>
          <w:color w:val="0070C0"/>
          <w:sz w:val="16"/>
          <w:szCs w:val="16"/>
        </w:rPr>
        <w:t xml:space="preserve"> у которого величина под’емной силы в продольной и боковой плоскостях одинакова, и вообще, не зависит от угла крена. Три одинаковых полукрыла, расположенных под углом 120 град друг к другу, четыре полукрыла под 90 град друг к другу, шесть полукрыльев под 60 град друг к другу и т.п. соответствующее оперение создают такую аэродинамическую систему».</w:t>
      </w:r>
    </w:p>
    <w:p w14:paraId="4E3FDF38"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Экспериментального материала и математических описаний по симметричным аэродинамическим формам планера (за исключением бомб и мин со стабилизатором, но без крыльев) не имелось. Поэтому в аэродинамических трубах ЦАГИ и ГК НИИ ВВС было организовано испытание моделей. </w:t>
      </w:r>
      <w:proofErr w:type="gramStart"/>
      <w:r w:rsidRPr="008A2E5A">
        <w:rPr>
          <w:rFonts w:ascii="Times New Roman" w:hAnsi="Times New Roman"/>
          <w:color w:val="0070C0"/>
          <w:sz w:val="16"/>
          <w:szCs w:val="16"/>
        </w:rPr>
        <w:t>Кроме того</w:t>
      </w:r>
      <w:proofErr w:type="gramEnd"/>
      <w:r w:rsidRPr="008A2E5A">
        <w:rPr>
          <w:rFonts w:ascii="Times New Roman" w:hAnsi="Times New Roman"/>
          <w:color w:val="0070C0"/>
          <w:sz w:val="16"/>
          <w:szCs w:val="16"/>
        </w:rPr>
        <w:t xml:space="preserve"> производилось испытание моделей сбросом с фиксацией траектории полета кинотеодолитом. </w:t>
      </w:r>
    </w:p>
    <w:p w14:paraId="036357E4"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1943 г. был накоплен достаточный объём экспериментальных материалов по аэродинамике для получения расчетных данных при проектировании. С определёнными проблемами были связаны поиск метода индикации цели и создание автоматической следящей системы, а также выбор объекта, могущего служить самой целью. Позднее (в 1947 г.), Свечарник писал «Следовало выбрать цель достаточно важную, чтобы разработанное боевое средство, будучи относительно дорогим и сложным, представляло не только принципиальный, но и практический интерес». После ряда согласований и совещаний, на одном </w:t>
      </w:r>
      <w:proofErr w:type="gramStart"/>
      <w:r w:rsidRPr="008A2E5A">
        <w:rPr>
          <w:rFonts w:ascii="Times New Roman" w:hAnsi="Times New Roman"/>
          <w:color w:val="0070C0"/>
          <w:sz w:val="16"/>
          <w:szCs w:val="16"/>
        </w:rPr>
        <w:t>их</w:t>
      </w:r>
      <w:proofErr w:type="gramEnd"/>
      <w:r w:rsidRPr="008A2E5A">
        <w:rPr>
          <w:rFonts w:ascii="Times New Roman" w:hAnsi="Times New Roman"/>
          <w:color w:val="0070C0"/>
          <w:sz w:val="16"/>
          <w:szCs w:val="16"/>
        </w:rPr>
        <w:t xml:space="preserve"> которых присутствовал академик Вавилов С.И., была выбрана индикация по контрасту на фоне моря, а в качестве цели выбран корабль. Потребный боезаряд был определён эквивалентным бомбе ФАБ-250. В 1943 г. отработали принципиальную схему и основные технические решения СБ-1. Это была «планирующая самонаправляющаяся на цель авиационная бомба с двумя одинаковыми взаимно перпендикулярными крыльями, двумя одинаковыми взаимно перпендикулярными рулями, двумя одинаковыми системами самонаведения, воздействующими каждая на соответствующий руль, и двумя одинаковыми фотоэлектрическими индикаторами, реагирующими на смещение наибольшего светового пятна от центра поля зрения в двух взаимно перпендикулярных направлениях». Оптический индикатор цели состоял из фотоэлемента с диском Нипкова. Качество передаваемого изображения в установках с дисками Нипкова, как и у всех механических телевизоров, весьма низкое, однако его было достаточно для определения силуэта корабля на фоне моря. С фотоэлементов через усилитель и компенсаторы помех, сигнал передавался на автоматическую следящую систему самонаведения, которая давала команды на моторы для привода рулевых поверхностей.</w:t>
      </w:r>
    </w:p>
    <w:p w14:paraId="152F7290"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отработки системы управления натурный образец СБ-1 с установленной действующей системой самонаведения прошёл испытания в аэродинамической трубе НИИ ВВС. Образец был смонтирован на допускающей свободные перемещения штанге. В потоке устанавливался перемещавшийся источник света, а реакция рулей и перемещение оси СБ-1 фиксировались приборами (23539).</w:t>
      </w:r>
    </w:p>
    <w:p w14:paraId="584AC2A5" w14:textId="77777777" w:rsidR="00D04D90" w:rsidRPr="008A2E5A" w:rsidRDefault="00D04D90" w:rsidP="00D04D90">
      <w:pPr>
        <w:spacing w:after="0" w:line="240" w:lineRule="auto"/>
        <w:jc w:val="both"/>
        <w:rPr>
          <w:rFonts w:ascii="Times New Roman" w:hAnsi="Times New Roman"/>
          <w:color w:val="0070C0"/>
          <w:sz w:val="16"/>
          <w:szCs w:val="16"/>
        </w:rPr>
      </w:pPr>
    </w:p>
    <w:p w14:paraId="471A26F5"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московский филиал завода «Компрессор» возобновил выпуск «Катюш». Производство направляющих было восстановлено на «Красном пролетарии». К производству подключились заводы «Красная Пресня», Пресненский механический, пожарных машин, трико</w:t>
      </w:r>
      <w:r w:rsidRPr="008A2E5A">
        <w:rPr>
          <w:rFonts w:ascii="Times New Roman" w:hAnsi="Times New Roman"/>
          <w:color w:val="0070C0"/>
          <w:sz w:val="16"/>
          <w:szCs w:val="16"/>
        </w:rPr>
        <w:softHyphen/>
        <w:t>тажных машин, часовой и другие.</w:t>
      </w:r>
    </w:p>
    <w:p w14:paraId="515557E0"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одном из совещаний заместитель наркома В.П.Андреев предложил вместо одного завода с филиалом сделать два: Мо</w:t>
      </w:r>
      <w:r w:rsidRPr="008A2E5A">
        <w:rPr>
          <w:rFonts w:ascii="Times New Roman" w:hAnsi="Times New Roman"/>
          <w:color w:val="0070C0"/>
          <w:sz w:val="16"/>
          <w:szCs w:val="16"/>
        </w:rPr>
        <w:softHyphen/>
        <w:t>сковский завод «Компрессор» и «Челябкомпрессор». Предло</w:t>
      </w:r>
      <w:r w:rsidRPr="008A2E5A">
        <w:rPr>
          <w:rFonts w:ascii="Times New Roman" w:hAnsi="Times New Roman"/>
          <w:color w:val="0070C0"/>
          <w:sz w:val="16"/>
          <w:szCs w:val="16"/>
        </w:rPr>
        <w:softHyphen/>
        <w:t>жение нашло поддержку. 19 марта 1942 года филиал был пре</w:t>
      </w:r>
      <w:r w:rsidRPr="008A2E5A">
        <w:rPr>
          <w:rFonts w:ascii="Times New Roman" w:hAnsi="Times New Roman"/>
          <w:color w:val="0070C0"/>
          <w:sz w:val="16"/>
          <w:szCs w:val="16"/>
        </w:rPr>
        <w:softHyphen/>
        <w:t>образован в самостоятельное предприятие - Московский завод «Компрессор» № 733. Его директором стал И.А.Дорожкин.</w:t>
      </w:r>
    </w:p>
    <w:p w14:paraId="5219022B"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снарядного завода имени Владимира Ильича было также эвакуировано частично. После непродол</w:t>
      </w:r>
      <w:r w:rsidRPr="008A2E5A">
        <w:rPr>
          <w:rFonts w:ascii="Times New Roman" w:hAnsi="Times New Roman"/>
          <w:color w:val="0070C0"/>
          <w:sz w:val="16"/>
          <w:szCs w:val="16"/>
        </w:rPr>
        <w:softHyphen/>
        <w:t>жительной паузы производство корпусов возобновилось на оставшихся в Москве мощностях. Темп работ непрерывно воз</w:t>
      </w:r>
      <w:r w:rsidRPr="008A2E5A">
        <w:rPr>
          <w:rFonts w:ascii="Times New Roman" w:hAnsi="Times New Roman"/>
          <w:color w:val="0070C0"/>
          <w:sz w:val="16"/>
          <w:szCs w:val="16"/>
        </w:rPr>
        <w:softHyphen/>
        <w:t>растал. Заводская смена продолжалась 14 часов. Особенно тя</w:t>
      </w:r>
      <w:r w:rsidRPr="008A2E5A">
        <w:rPr>
          <w:rFonts w:ascii="Times New Roman" w:hAnsi="Times New Roman"/>
          <w:color w:val="0070C0"/>
          <w:sz w:val="16"/>
          <w:szCs w:val="16"/>
        </w:rPr>
        <w:softHyphen/>
        <w:t>жело приходилось молодым девушкам, обтачивавшим медные пояски снарядов. За смену через их руки проходило 1 100 сна</w:t>
      </w:r>
      <w:r w:rsidRPr="008A2E5A">
        <w:rPr>
          <w:rFonts w:ascii="Times New Roman" w:hAnsi="Times New Roman"/>
          <w:color w:val="0070C0"/>
          <w:sz w:val="16"/>
          <w:szCs w:val="16"/>
        </w:rPr>
        <w:softHyphen/>
        <w:t>рядных корпусов весом по 9 килограммов каждый. К декабрю 1941 года оставшимся на местах и эвакуированным предпри</w:t>
      </w:r>
      <w:r w:rsidRPr="008A2E5A">
        <w:rPr>
          <w:rFonts w:ascii="Times New Roman" w:hAnsi="Times New Roman"/>
          <w:color w:val="0070C0"/>
          <w:sz w:val="16"/>
          <w:szCs w:val="16"/>
        </w:rPr>
        <w:softHyphen/>
        <w:t>ятиям удалось нарастить выпуск как пусковых установок, так и снарядных корпусов (23510).</w:t>
      </w:r>
    </w:p>
    <w:p w14:paraId="247504A3" w14:textId="77777777" w:rsidR="00D04D90" w:rsidRPr="008A2E5A" w:rsidRDefault="00D04D90" w:rsidP="00D04D90">
      <w:pPr>
        <w:spacing w:after="0" w:line="240" w:lineRule="auto"/>
        <w:jc w:val="both"/>
        <w:rPr>
          <w:rFonts w:ascii="Times New Roman" w:hAnsi="Times New Roman"/>
          <w:color w:val="0070C0"/>
          <w:sz w:val="16"/>
          <w:szCs w:val="16"/>
        </w:rPr>
      </w:pPr>
    </w:p>
    <w:p w14:paraId="383FB2F6"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1941 года М-13 установили на шасси Studebaker. Этот грузовик почти идеально подходил для реактивной пусковой установки. Полный привод, неприхотливый мотор Hercules, ранняя модификация такого двигателя устанавливалась на отече</w:t>
      </w:r>
      <w:r w:rsidRPr="008A2E5A">
        <w:rPr>
          <w:rFonts w:ascii="Times New Roman" w:hAnsi="Times New Roman"/>
          <w:color w:val="0070C0"/>
          <w:sz w:val="16"/>
          <w:szCs w:val="16"/>
        </w:rPr>
        <w:softHyphen/>
        <w:t>ственные грузовики ЯГ-10. В результате Studebaker US6 становится основным шасси для «Катюши», но первое вре</w:t>
      </w:r>
      <w:r w:rsidRPr="008A2E5A">
        <w:rPr>
          <w:rFonts w:ascii="Times New Roman" w:hAnsi="Times New Roman"/>
          <w:color w:val="0070C0"/>
          <w:sz w:val="16"/>
          <w:szCs w:val="16"/>
        </w:rPr>
        <w:softHyphen/>
        <w:t>мя их было мало, всего в 1942 году в СССР поставили около 3800 машин. М-13 даже устанавливали на шасси Studebaker US6 с колесной формулой 6x4. Такую модификацию начали вы</w:t>
      </w:r>
      <w:r w:rsidRPr="008A2E5A">
        <w:rPr>
          <w:rFonts w:ascii="Times New Roman" w:hAnsi="Times New Roman"/>
          <w:color w:val="0070C0"/>
          <w:sz w:val="16"/>
          <w:szCs w:val="16"/>
        </w:rPr>
        <w:softHyphen/>
        <w:t>пускать в начале 1942 года, изначально она предназначалась для использо</w:t>
      </w:r>
      <w:r w:rsidRPr="008A2E5A">
        <w:rPr>
          <w:rFonts w:ascii="Times New Roman" w:hAnsi="Times New Roman"/>
          <w:color w:val="0070C0"/>
          <w:sz w:val="16"/>
          <w:szCs w:val="16"/>
        </w:rPr>
        <w:softHyphen/>
        <w:t>вания в тыловых подразделениях. Но все равно машин не хватало, и тогда в СКВ завода «Компрессор» приступили к разработке унифицированной пуско</w:t>
      </w:r>
      <w:r w:rsidRPr="008A2E5A">
        <w:rPr>
          <w:rFonts w:ascii="Times New Roman" w:hAnsi="Times New Roman"/>
          <w:color w:val="0070C0"/>
          <w:sz w:val="16"/>
          <w:szCs w:val="16"/>
        </w:rPr>
        <w:softHyphen/>
        <w:t>вой установки, которую можно было бы монтировать на различные шасси без переделок. Также необходимо было снизить вес конструкции, металлоем</w:t>
      </w:r>
      <w:r w:rsidRPr="008A2E5A">
        <w:rPr>
          <w:rFonts w:ascii="Times New Roman" w:hAnsi="Times New Roman"/>
          <w:color w:val="0070C0"/>
          <w:sz w:val="16"/>
          <w:szCs w:val="16"/>
        </w:rPr>
        <w:softHyphen/>
        <w:t>кость, себестоимость продукции. Новая конструкция получила название М-13Н (нормализованная). Основное ново</w:t>
      </w:r>
      <w:r w:rsidRPr="008A2E5A">
        <w:rPr>
          <w:rFonts w:ascii="Times New Roman" w:hAnsi="Times New Roman"/>
          <w:color w:val="0070C0"/>
          <w:sz w:val="16"/>
          <w:szCs w:val="16"/>
        </w:rPr>
        <w:softHyphen/>
        <w:t>введение - наличие подрамника, на нем в условиях массового производства осуществлялась сборка артиллерийской части, а не на шасси автомобиля, как прежде. При этом по сравнению с М-13 вес М-13Н удалось снизить на 250 кг, а стоимость уменьшить на четверть. Так</w:t>
      </w:r>
      <w:r w:rsidRPr="008A2E5A">
        <w:rPr>
          <w:rFonts w:ascii="Times New Roman" w:hAnsi="Times New Roman"/>
          <w:color w:val="0070C0"/>
          <w:sz w:val="16"/>
          <w:szCs w:val="16"/>
        </w:rPr>
        <w:softHyphen/>
        <w:t>же были разработаны комплекты допол</w:t>
      </w:r>
      <w:r w:rsidRPr="008A2E5A">
        <w:rPr>
          <w:rFonts w:ascii="Times New Roman" w:hAnsi="Times New Roman"/>
          <w:color w:val="0070C0"/>
          <w:sz w:val="16"/>
          <w:szCs w:val="16"/>
        </w:rPr>
        <w:softHyphen/>
        <w:t>нительного бронирования кабин и бен</w:t>
      </w:r>
      <w:r w:rsidRPr="008A2E5A">
        <w:rPr>
          <w:rFonts w:ascii="Times New Roman" w:hAnsi="Times New Roman"/>
          <w:color w:val="0070C0"/>
          <w:sz w:val="16"/>
          <w:szCs w:val="16"/>
        </w:rPr>
        <w:softHyphen/>
        <w:t>зобаков. В ходе испытаний на полигоне пришли к сомнительному решению, что дополнительных домкратов, которыми оснащались шасси ЗИС-6, не требуется, кучность стрельбы примерно одинако</w:t>
      </w:r>
      <w:r w:rsidRPr="008A2E5A">
        <w:rPr>
          <w:rFonts w:ascii="Times New Roman" w:hAnsi="Times New Roman"/>
          <w:color w:val="0070C0"/>
          <w:sz w:val="16"/>
          <w:szCs w:val="16"/>
        </w:rPr>
        <w:softHyphen/>
        <w:t>вая. Но в реальных боевых условиях, особенно в горной местности, домкраты были необходимы, поэтому позднее на многих машинах их стали устанавли</w:t>
      </w:r>
      <w:r w:rsidRPr="008A2E5A">
        <w:rPr>
          <w:rFonts w:ascii="Times New Roman" w:hAnsi="Times New Roman"/>
          <w:color w:val="0070C0"/>
          <w:sz w:val="16"/>
          <w:szCs w:val="16"/>
        </w:rPr>
        <w:softHyphen/>
        <w:t>вать. На архивных фото можно увидеть «Катюши» на шасси Studebaker US6 как с домкратами, так и без них. После испытаний установка М-13Н в апреле 1943 года была принята на вооружение.</w:t>
      </w:r>
    </w:p>
    <w:p w14:paraId="7EC167B9"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большинстве публикаций указано, что М-13Н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установка на шасси Studebaker, что не совсем верно, ведь разрабатывалась она именно как уни</w:t>
      </w:r>
      <w:r w:rsidRPr="008A2E5A">
        <w:rPr>
          <w:rFonts w:ascii="Times New Roman" w:hAnsi="Times New Roman"/>
          <w:color w:val="0070C0"/>
          <w:sz w:val="16"/>
          <w:szCs w:val="16"/>
        </w:rPr>
        <w:softHyphen/>
        <w:t>версальная, для различных носителей. Но что львиная доля «Катюш» смонти</w:t>
      </w:r>
      <w:r w:rsidRPr="008A2E5A">
        <w:rPr>
          <w:rFonts w:ascii="Times New Roman" w:hAnsi="Times New Roman"/>
          <w:color w:val="0070C0"/>
          <w:sz w:val="16"/>
          <w:szCs w:val="16"/>
        </w:rPr>
        <w:softHyphen/>
        <w:t>рована на шасси американской маши</w:t>
      </w:r>
      <w:r w:rsidRPr="008A2E5A">
        <w:rPr>
          <w:rFonts w:ascii="Times New Roman" w:hAnsi="Times New Roman"/>
          <w:color w:val="0070C0"/>
          <w:sz w:val="16"/>
          <w:szCs w:val="16"/>
        </w:rPr>
        <w:softHyphen/>
        <w:t xml:space="preserve">ны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факт. В боевых условиях часто срок службы установок залпового огня был больше, чем у шасси. Часто уста</w:t>
      </w:r>
      <w:r w:rsidRPr="008A2E5A">
        <w:rPr>
          <w:rFonts w:ascii="Times New Roman" w:hAnsi="Times New Roman"/>
          <w:color w:val="0070C0"/>
          <w:sz w:val="16"/>
          <w:szCs w:val="16"/>
        </w:rPr>
        <w:softHyphen/>
        <w:t>новки М-13 старого образца снимали с поврежденных шасси и переставляли на новые грузовики. Также, помимо М-13Н, на шасси Studebaker устанавливали и другие системы залпового огня: БМ-8-48 и БМ-31-12 (23592).</w:t>
      </w:r>
    </w:p>
    <w:p w14:paraId="5CB514AC" w14:textId="77777777" w:rsidR="00D04D90" w:rsidRPr="008A2E5A" w:rsidRDefault="00D04D90" w:rsidP="00D04D90">
      <w:pPr>
        <w:spacing w:after="0" w:line="240" w:lineRule="auto"/>
        <w:jc w:val="both"/>
        <w:rPr>
          <w:rFonts w:ascii="Times New Roman" w:hAnsi="Times New Roman"/>
          <w:color w:val="0070C0"/>
          <w:sz w:val="16"/>
          <w:szCs w:val="16"/>
        </w:rPr>
      </w:pPr>
    </w:p>
    <w:p w14:paraId="36F054E2"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на вооружение был принят новый реактивный снаряд М-8 по чертежу № 3-0052 мч. Как и первый, он имел максимальную дальность полета 5,2 километра, но масса взрывчатого вещества была увеличена почти в два раза - до 581 грамма. Постепенно к сборке М-8 подключились более десяти заводов страны (23510).</w:t>
      </w:r>
    </w:p>
    <w:p w14:paraId="3CF53F2A" w14:textId="77777777" w:rsidR="00D04D90" w:rsidRPr="008A2E5A" w:rsidRDefault="00D04D90" w:rsidP="00D04D90">
      <w:pPr>
        <w:spacing w:after="0" w:line="240" w:lineRule="auto"/>
        <w:jc w:val="both"/>
        <w:rPr>
          <w:rFonts w:ascii="Times New Roman" w:hAnsi="Times New Roman"/>
          <w:color w:val="0070C0"/>
          <w:sz w:val="16"/>
          <w:szCs w:val="16"/>
        </w:rPr>
      </w:pPr>
    </w:p>
    <w:p w14:paraId="2784F8AA" w14:textId="77777777" w:rsidR="00D04D90" w:rsidRPr="008A2E5A" w:rsidRDefault="00D04D90" w:rsidP="00D04D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было официально отдано разрешение на использование кумулятивных снарядов. После этого их стали "замечать". Советские исследования показывали, что кумулятивный снаряд был поражал броню советских танков на дистанции 1000 метров, причем его начальная скорость никак не влияла на эффективность поражения (23384).</w:t>
      </w:r>
    </w:p>
    <w:p w14:paraId="33445365" w14:textId="77777777" w:rsidR="00D04D90" w:rsidRPr="008A2E5A" w:rsidRDefault="00D04D90" w:rsidP="00D04D90">
      <w:pPr>
        <w:spacing w:after="0" w:line="240" w:lineRule="auto"/>
        <w:jc w:val="both"/>
        <w:rPr>
          <w:rFonts w:ascii="Times New Roman" w:hAnsi="Times New Roman"/>
          <w:color w:val="0070C0"/>
          <w:sz w:val="16"/>
          <w:szCs w:val="16"/>
        </w:rPr>
      </w:pPr>
    </w:p>
    <w:p w14:paraId="32354F4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22FC5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647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районе Демянска, где была окружена армия противника, Ил-2 использовались для борьбы с транспортными Ю-52, причем четырьмя пилотами было сбито по три машины, а младший лейтенант Жигарин уничтожил три в воздухе и семь на земле за один вылет (5,115).</w:t>
      </w:r>
    </w:p>
    <w:p w14:paraId="14E8D0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3F1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в 97-м бап на бомбардировщиках смонтировали десять направляющих для пуска РС- 82 и проверили в боях на Брянском фронте. После нескольких успешных штурмовок летчикам дважды объявлял благодарность командующий ВВС 3-й армии генерал-лейтенант Г.П.Кравченко. Он же отметил, что надо "достичь максимальных усилий в восстановлении материальной части". Действительно, наибольшую активность проявили авиаторы 2 марта - 14 вылетов пятью самолетами. Всего четыре исправных Су-2 имелось в сражавшемся поблизости 209-м бап.</w:t>
      </w:r>
    </w:p>
    <w:p w14:paraId="2672FB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авиаторы 103-го, 210- го, 211-го, 226-го, 227-го и 289-го бап закончили боевые действия на Су-2, переучившись, в основном, на Ил-2. Большинство летчиков положительно воспринимали переход, как они часто шутили, "с фанеры на чугунку". В некоторых штурмовых полках самолеты Сухого использовали как учебно-тренировочные для отработки техники посадки на Ил-2 - ведь двухместных учебных штурмовиков к тому времени заводы еще не выпускали.</w:t>
      </w:r>
    </w:p>
    <w:p w14:paraId="2431FF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авиаторы пополнили другие части. Лейтенант А.В.Самочкин, которого накануне перевели из 289-го в 209-й бап, вспоминал о необычном бое с вражеским разведчиком 16 февраля: "Вместо истребителей прикрытия над нами оказались "фокке-вульфы" (FW 189) и давай рубить нас на боевом курсе. Мой штурман ничего не сообщил, вероятно, оборвалась связь, а уходить с задания было не в моих правилах, поэтому я продолжил сбрасывать бомбы. С первой атаки вражеский стрелок отрубил очередью половину руля высоты и часть стабилизатора. Полетели стекла в приборах, дым заполнил кабину. Слева вижу знакомые кресты со свастикой... Посмотрел вправо - там развернувшись, сверкая крестами, заходит в атаку на мой самолет еще один "фоккер". Моя машина стала плохо управляемой, сделать какой- либо резкий маневр не удалось. Тем не менее, стараюсь выбраться из боя и взять курс домой.</w:t>
      </w:r>
    </w:p>
    <w:p w14:paraId="2D171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Нофашистскиесамолетынаседают. Бензин горит как на противне, огромной черной лентой дым от него стелется за самолетом. Еще одна вражеская очередь пробивает левый бензобак - уже два шлейфа тянутся за машиной. Слава Богу, мотор пока тянет. Но огонь с правого борта уже подбирается к кабине, я открываю фонарь, и выбрасываю за борт загоревшийся планшет. Тут одна из очередей преследующего "фоккера" пробила маслобак. Масляный туман заволакивает кабину </w:t>
      </w:r>
      <w:proofErr w:type="gramStart"/>
      <w:r w:rsidRPr="008127F8">
        <w:rPr>
          <w:rFonts w:ascii="Times New Roman" w:hAnsi="Times New Roman"/>
          <w:color w:val="000000" w:themeColor="text1"/>
          <w:sz w:val="16"/>
          <w:szCs w:val="16"/>
        </w:rPr>
        <w:t>штурмана Ко</w:t>
      </w:r>
      <w:proofErr w:type="gramEnd"/>
      <w:r w:rsidRPr="008127F8">
        <w:rPr>
          <w:rFonts w:ascii="Times New Roman" w:hAnsi="Times New Roman"/>
          <w:color w:val="000000" w:themeColor="text1"/>
          <w:sz w:val="16"/>
          <w:szCs w:val="16"/>
        </w:rPr>
        <w:t>- сынкина, но я продолжаю лететь, не хочется производить вынужденную посадку на вражеской территории". Экипажу удалось перетянуть линию фронта; вскоре Само- чкину, имевшему к тому времени 127 боевых вылетов на Су-2, присвоили звание Героя Советского Союза.</w:t>
      </w:r>
    </w:p>
    <w:p w14:paraId="6A6CA9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к действующим на фронте полкам "сушек" добавился еще один - в феврале 1942 г. в Молотове подготовили 826-й бап майора A.M. Бокуна. Его основу составляли вырвавшиеся из вражеского окружения под Киевом экипажи 227-го бап. Новая часть имела 16 машин с моторами М- 88Б и четыре новенькие с мотором М-82. На последних самолетах (зав. №№ 11114, 12116, 07117 и 35117) было решено провести войсковые испытания. В целом, экипажи положительно оценили модифицированную машину Сухого. Но за время обучения и при перелете на фронт с 28 февраля по 9 марта произошли одна катастрофа, одна авария и множество вынужденных посадок по вине двигателя. (Всего же в запасных полках и учебных центрах в 1941- 1942 гг. с машинами Су-2 случились 6 катастроф и 17 аварий - цифры неприятные, но налет на одно серьезное летное происшествие оказался на 25 - 30% больше, чем для Пе-2 или Ил-2.) (12028).</w:t>
      </w:r>
    </w:p>
    <w:p w14:paraId="65C1C4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78B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советская военная миссия приняла первый "Бостон". До мая успели собрать 92 машины, которые затем перегоняли в 4-ю запасную бригаду в Азербайджане. Хотя эти самолеты обозначались как "Бостон" III, на самом деле среди них встречались и DB-7B, и подобные им А-20С. Попадались и DB-7C голландского заказа, которые не успели отправить в Нидерланды до их разгрома немцами. Часть самолетов прибыла прямо с американских заводов, а часть из Великобритании. Среди последних было немало уже побывавших в употреблении и даже в ремонте. У нас их все обычно именовали Б-3 (3457,100).</w:t>
      </w:r>
    </w:p>
    <w:p w14:paraId="17B081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418DC" w14:textId="77777777" w:rsidR="002926F3" w:rsidRPr="008127F8" w:rsidRDefault="002926F3"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феврале 1942 г. 604-й и 605-й полки, которые базировались в Быкове, Пушкине, Клину, сдали последние бипланы И-5 (На Западном фронте даже попробовали применить И-5 как ночные истребители, но, разумеется, безуспешно (19176).</w:t>
      </w:r>
    </w:p>
    <w:p w14:paraId="401A8D35" w14:textId="77777777" w:rsidR="002926F3" w:rsidRPr="008127F8" w:rsidRDefault="002926F3" w:rsidP="001E0A84">
      <w:pPr>
        <w:pStyle w:val="af"/>
        <w:shd w:val="clear" w:color="auto" w:fill="FFFFFF"/>
        <w:spacing w:before="0" w:after="0"/>
        <w:jc w:val="both"/>
        <w:textAlignment w:val="baseline"/>
        <w:rPr>
          <w:color w:val="000000" w:themeColor="text1"/>
          <w:sz w:val="16"/>
          <w:szCs w:val="16"/>
        </w:rPr>
      </w:pPr>
    </w:p>
    <w:p w14:paraId="55A80990"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на базе звена 16-го воздухоплавательного отряда артиллерийского наблюдения был сформирован 1-й Отдельный воздухоплавательный дивизион Воздушно-десантных войск - ОВД ВДВ, в задачу которого входило обеспечение всей парашютной подготовки воинов-десантников, и, особенно, перед непосредственным десантированием в тыл противника. Командиром дивизиона был назначен Попов С.А., начальником штаба - Рощин А.И., старшим инженером дивизиона - инженер-капитан Устинович В.А.</w:t>
      </w:r>
    </w:p>
    <w:p w14:paraId="2A83B4F4"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дивизионе первоначально было 3 воздухоплавательных отряда с дислокацией в городах Раменское, Звенигород и Нахабино, где с привязных аэростатов, почти круглосуточно, совершались учебные и тренировочные парашютные прыжки воинов-десантников. Штаб дивизиона и его службы находились в Долгопрудном.</w:t>
      </w:r>
    </w:p>
    <w:p w14:paraId="19C1ADBD"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действующих воздухоплавательных отрядов газом (водородом), горючим и другими эксплуатационными материалами, нужны были специальные высокоманевренные средства. И кто бы мог подумать, что этим уникальным средством в годы Великой Отечественной войны, станут малообъемные дирижабли. Веди считалось анахронизмом применять дирижабли в боевой обстановке войны. Это повторная история "оценки возможности" применения в качестве ночных бомбардировщиков тихоходных учебных самолетов У-2. А что показала война? И самолеты У-2 и малообъемные дирижабли нашли свое поле деятельности, успешно использовались в выполнении основной задачи - разгрома фашистской Германии.</w:t>
      </w:r>
    </w:p>
    <w:p w14:paraId="3632EEDF"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1-го Отдельного воздухоплавательного дивизиона ВДВ было создано подразделение дирижаблей. В короткое время была произведена сборка дирижабля СССР-В12 объемом 3000 </w:t>
      </w:r>
      <w:proofErr w:type="gramStart"/>
      <w:r w:rsidRPr="008127F8">
        <w:rPr>
          <w:rFonts w:ascii="Times New Roman" w:hAnsi="Times New Roman"/>
          <w:color w:val="000000" w:themeColor="text1"/>
          <w:sz w:val="16"/>
          <w:szCs w:val="16"/>
        </w:rPr>
        <w:t>куб.метров</w:t>
      </w:r>
      <w:proofErr w:type="gramEnd"/>
      <w:r w:rsidRPr="008127F8">
        <w:rPr>
          <w:rFonts w:ascii="Times New Roman" w:hAnsi="Times New Roman"/>
          <w:color w:val="000000" w:themeColor="text1"/>
          <w:sz w:val="16"/>
          <w:szCs w:val="16"/>
        </w:rPr>
        <w:t>, который еще в 1940 году был разобран, законсервирован и находился на хранении в эллинге бывшего Дирижаблестроя в Долгопрудном. В мае 1942 года на этом дирижабле стали выполняться регулярные транспортные полеты по доставке водорода и других грузов в действующие воздухоплавательные отряды ВДВ.</w:t>
      </w:r>
    </w:p>
    <w:p w14:paraId="5B02B83A"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период Великой Отечественной войны на дирижаблях было перевезено свыше 250.000 </w:t>
      </w:r>
      <w:proofErr w:type="gramStart"/>
      <w:r w:rsidRPr="008127F8">
        <w:rPr>
          <w:rFonts w:ascii="Times New Roman" w:hAnsi="Times New Roman"/>
          <w:color w:val="000000" w:themeColor="text1"/>
          <w:sz w:val="16"/>
          <w:szCs w:val="16"/>
        </w:rPr>
        <w:t>куб.метров</w:t>
      </w:r>
      <w:proofErr w:type="gramEnd"/>
      <w:r w:rsidRPr="008127F8">
        <w:rPr>
          <w:rFonts w:ascii="Times New Roman" w:hAnsi="Times New Roman"/>
          <w:color w:val="000000" w:themeColor="text1"/>
          <w:sz w:val="16"/>
          <w:szCs w:val="16"/>
        </w:rPr>
        <w:t xml:space="preserve"> водорода и около 300 тонн грузов, совершено более 1500 полетов. В ходе полетов, из состава офицеров дивизиона было подготовлено 3 командира дирижабля (капитаны Попов С.А., Рощин А.И., Прохоров П.Р.), которые в дальнейшем обеспечивали все транспортные полеты на дирижаблях.</w:t>
      </w:r>
    </w:p>
    <w:p w14:paraId="12627366"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войны на дирижаблях выполнялись экспериментальные полеты по обеспечению заданий различных родов войск Советской армии. Введение в состав Воздушно-десантных войск воздухоплавательных частей позволило, начиная с 1942 года, полностью высвободить боевые самолеты ВВС и Дальней авиации от необходимости выполнять полеты для парашютной подготовки личного состава ВДВ и использовать их по прямому назначению - для нужд фронта.</w:t>
      </w:r>
    </w:p>
    <w:p w14:paraId="65F1B9DD"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Всю парашютную подготовку войск во время войны и послевоенный период выполняли специальные десантные аэростаты, работу которых обеспечивали дирижабли. Применение аэростатов и дирижаблей в Воздушно-десантных войсках было исключительно эффективным, стоимость человека-прыжка снизилась по сравнению с самолетами более чем в 60 раз, что приносило стране многомиллионную экономию. Кроме этого, возможность размещения и работы аэростатов непосредственно в местах дислокации частей ВДВ исключало необходимость транспортировки большого количества людей к самолетам на аэродромы ВВС (как это было в прошлом), что значительно упрощало всю организацию парашютных прыжков.</w:t>
      </w:r>
    </w:p>
    <w:p w14:paraId="05743AC4"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Великой Отечественной войны количество отрядов в составе воздухоплавательного дивизиона ВДВ было значительно увеличено, был расширен и парк транспортных дирижаблей. В частях и соединениях ВДВ действовало около 30-ти воздухоплавательных звеньев.</w:t>
      </w:r>
    </w:p>
    <w:p w14:paraId="56FF1EC2"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1943-45 годах силами личного состава Воздухоплавательного дивизиона ВДВ были построены и эксплуатировались дирижабли:</w:t>
      </w:r>
    </w:p>
    <w:p w14:paraId="144BE31A"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"Победа" объемом 5000 </w:t>
      </w:r>
      <w:proofErr w:type="gramStart"/>
      <w:r w:rsidRPr="008127F8">
        <w:rPr>
          <w:rFonts w:ascii="Times New Roman" w:hAnsi="Times New Roman"/>
          <w:color w:val="000000" w:themeColor="text1"/>
          <w:sz w:val="16"/>
          <w:szCs w:val="16"/>
        </w:rPr>
        <w:t>куб.метров</w:t>
      </w:r>
      <w:proofErr w:type="gramEnd"/>
      <w:r w:rsidRPr="008127F8">
        <w:rPr>
          <w:rFonts w:ascii="Times New Roman" w:hAnsi="Times New Roman"/>
          <w:color w:val="000000" w:themeColor="text1"/>
          <w:sz w:val="16"/>
          <w:szCs w:val="16"/>
        </w:rPr>
        <w:t>;</w:t>
      </w:r>
    </w:p>
    <w:p w14:paraId="3E542221"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"Патриот" объемом 3100 </w:t>
      </w:r>
      <w:proofErr w:type="gramStart"/>
      <w:r w:rsidRPr="008127F8">
        <w:rPr>
          <w:rFonts w:ascii="Times New Roman" w:hAnsi="Times New Roman"/>
          <w:color w:val="000000" w:themeColor="text1"/>
          <w:sz w:val="16"/>
          <w:szCs w:val="16"/>
        </w:rPr>
        <w:t>куб.метров</w:t>
      </w:r>
      <w:proofErr w:type="gramEnd"/>
      <w:r w:rsidRPr="008127F8">
        <w:rPr>
          <w:rFonts w:ascii="Times New Roman" w:hAnsi="Times New Roman"/>
          <w:color w:val="000000" w:themeColor="text1"/>
          <w:sz w:val="16"/>
          <w:szCs w:val="16"/>
        </w:rPr>
        <w:t>;</w:t>
      </w:r>
    </w:p>
    <w:p w14:paraId="3CAE22FB"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"Малыш" объемом 1050 </w:t>
      </w:r>
      <w:proofErr w:type="gramStart"/>
      <w:r w:rsidRPr="008127F8">
        <w:rPr>
          <w:rFonts w:ascii="Times New Roman" w:hAnsi="Times New Roman"/>
          <w:color w:val="000000" w:themeColor="text1"/>
          <w:sz w:val="16"/>
          <w:szCs w:val="16"/>
        </w:rPr>
        <w:t>куб.метров</w:t>
      </w:r>
      <w:proofErr w:type="gramEnd"/>
      <w:r w:rsidRPr="008127F8">
        <w:rPr>
          <w:rFonts w:ascii="Times New Roman" w:hAnsi="Times New Roman"/>
          <w:color w:val="000000" w:themeColor="text1"/>
          <w:sz w:val="16"/>
          <w:szCs w:val="16"/>
        </w:rPr>
        <w:t>.</w:t>
      </w:r>
    </w:p>
    <w:p w14:paraId="7F80CC99"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Позднее, 1-й ОВД ВДВ был преобразован в 37-й Отдельный авиационно-воздухоплавательный полк ВДВ, который кроме аэростатов и дирижаблей имел отряд самолетов связи Управления командующего ВДВ. Все это явилось результатом успешной, высокоэффективной работы воздухоплавательных средств в условиях Великой Отечественной войны.</w:t>
      </w:r>
    </w:p>
    <w:p w14:paraId="0B360C7C"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полка вначале был подполковник Багров, затем полковник-инженер Егоров А.В., начальником штаба - подполковник Щеголихин Н.Г., заместителем командира полка по эксплуатации - подполковник Устинович В.А. Все командиры воздухоплавательных отрядов, пилоты дирижаблей и аэростатов, основной состав технической службы дивизиона и полка были офицеры-воздухоплаватели, бывшие специалисты Дирижаблестроя.</w:t>
      </w:r>
    </w:p>
    <w:p w14:paraId="3389B11D"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году дирижабль "Победа" успешно выполнил задание Главного штаба Военно-морских сил по отысканию мин и затонувших судов в районе акватории Севастополя. Дирижабль СССР-В12 после войны использовался на экспериментальной работе по таксации и аэрофотосъемке лесов в районе Кировской области/</w:t>
      </w:r>
    </w:p>
    <w:p w14:paraId="445C64A0" w14:textId="77777777" w:rsidR="002926F3" w:rsidRPr="008127F8" w:rsidRDefault="002926F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году 37-й Отдельный авиационно-воздухоплавательный полк был преобразован в 101-ю Учебную и ремонтную воздухоплавательную базу ВДВ, а в 1951 году - в 25-ю школу младших воздухоплавательных специалистов ВДВ, которая в 195.. году передислоцировалась из Долгопрудного в поселок Дятьково Дмитровского района Московской области. (19612).</w:t>
      </w:r>
    </w:p>
    <w:p w14:paraId="278D25B8" w14:textId="77777777" w:rsidR="002926F3" w:rsidRPr="008127F8" w:rsidRDefault="002926F3" w:rsidP="001E0A84">
      <w:pPr>
        <w:spacing w:after="0" w:line="240" w:lineRule="auto"/>
        <w:jc w:val="both"/>
        <w:rPr>
          <w:rFonts w:ascii="Times New Roman" w:hAnsi="Times New Roman"/>
          <w:color w:val="000000" w:themeColor="text1"/>
          <w:sz w:val="16"/>
          <w:szCs w:val="16"/>
        </w:rPr>
      </w:pPr>
    </w:p>
    <w:p w14:paraId="6CECC4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первую минную постановку выполнила авиация северного флота. В качестве носителей мин использовались самолеты ДБ-3Ф, Ил-4 и A-20G "Boston". Действовали они на подходах к портам и в узкостях па выявленных маршрутах противника в районах, допускавших по своим глубинам постановку мин АМГ-1. Всего за время войны на минные постановки было сделано 126 самолетовылетов. При этом поставлено 111 мин АМГ-1. Главный результат применения минного оружия на Северном флоте заключается в том, что на 2161 выставленной мине противник потерял 36 кораблей и транспортов. На одни уничтоженный корабль приходится, таким образом, около 60 мин. что является наивысшим показателем в советском флоте. Кроме того, только Северный флот в активных минных постановках выставил почти в полтора раза больше мин, чем в оборонительных заграждениях (3364,29).</w:t>
      </w:r>
    </w:p>
    <w:p w14:paraId="5232E0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CB95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ДБА была преобразована в АДД. Командующим стал А.Голованов - личный сталинский пилот, Маршал авиации с 1944 (69,191).</w:t>
      </w:r>
    </w:p>
    <w:p w14:paraId="112FF3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Интересно, что американцы признают наш приоритет в создании стратегической авиации как первой реализации самой идеи, хотя и отмечают, что по составу самолетов она стратегической быть не могла (1115).</w:t>
      </w:r>
    </w:p>
    <w:p w14:paraId="778FEB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456A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февраля 1942 г. бывшие гражданские машины П-5 подключились к ночным бомбовым ударам. П-5 Карело-Финской группы бомбили казармы в Суомуссалми, здания и аэродром в Кестеные. В конце августа им удалось сорвать один из налетов немецкой авиации на Архангельск. Немцы сосредоточили свои самолеты на аэродроме </w:t>
      </w:r>
      <w:proofErr w:type="gramStart"/>
      <w:r w:rsidRPr="008127F8">
        <w:rPr>
          <w:rFonts w:ascii="Times New Roman" w:hAnsi="Times New Roman"/>
          <w:color w:val="000000" w:themeColor="text1"/>
          <w:sz w:val="16"/>
          <w:szCs w:val="16"/>
        </w:rPr>
        <w:t>Ругозе- ро</w:t>
      </w:r>
      <w:proofErr w:type="gramEnd"/>
      <w:r w:rsidRPr="008127F8">
        <w:rPr>
          <w:rFonts w:ascii="Times New Roman" w:hAnsi="Times New Roman"/>
          <w:color w:val="000000" w:themeColor="text1"/>
          <w:sz w:val="16"/>
          <w:szCs w:val="16"/>
        </w:rPr>
        <w:t>, там их обнаружила наша разведка. П-5 подходили к цели скрытно, с интервалом 25-30 мин. Первый бомбардировщик вызвал пожар, осветивший все вокруг. Это дало бипланам возможность прицельно работать по стоянкам и аэродромным сооружениям. Противнику ничего не оставалось, как наутро эвакуировать площадку. Подобным образом вывели из строя аэродром Тикша. Но на этот раз самолеты прилетели все вместе, построились в круг, а затем поодиночке бомбили цель (12034).</w:t>
      </w:r>
    </w:p>
    <w:p w14:paraId="6D2441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EBA3B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«Густав» был передан в распоряжение командования 11-й немецкой армии, перед которой была поставлена задача овладеть Севастополем. Группа офицеров заранее вылетела в Крым и выбрала место для размещения артустановки в 16 километрах севернее Севастополя, в двух километрах восточнее Бахчисарая. Для инженерного оборудования площадки было выделено 1000 саперов и привлечено 1500 рабочих из числа местных жителей. От основной железнодорожной линии к боевой позиции был проложен специальный подъездной путь протяженностью 16 километров. Оборудование боевой позиции заняло четыре недели. В целях дезинформации разведки Красной армии одновременно создавалась ложная позиция. Подготовка орудия к стрельбе была закончена 26 мая 1942 года. Непосредственное обслуживание железнодорожной артустановки «80 см К(Е)» было возложено на специально созданную для этого вой­ сковую часть — 672-й артдивизион численностью около 500 человек. Охрану осуществляла караульная рота в 300 человек, а также подразделение военной полиции с собаками. Кроме того, орудию было приданы военно-химическое подразделение в количестве 500 человек, предназначенное для постановки дымовой завесы, и усиленный артдивизион ПВО в 400 человек. Таким образом, общая численность личного состава, привлеченного к обслуживанию «сверхорудия», составляла более 4000 человек (11454).</w:t>
      </w:r>
    </w:p>
    <w:p w14:paraId="44F54A5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113122A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несколько само</w:t>
      </w:r>
      <w:r w:rsidRPr="008127F8">
        <w:rPr>
          <w:rFonts w:ascii="Times New Roman" w:hAnsi="Times New Roman"/>
          <w:color w:val="000000" w:themeColor="text1"/>
          <w:sz w:val="16"/>
          <w:szCs w:val="16"/>
        </w:rPr>
        <w:softHyphen/>
        <w:t>лётов Р-6 перелетело на аэродром Стрыгино в Горьковской области, где уже находились несколько планеров и планеристы из СВАПШ. В начале марта туда дополнительно перебро</w:t>
      </w:r>
      <w:r w:rsidRPr="008127F8">
        <w:rPr>
          <w:rFonts w:ascii="Times New Roman" w:hAnsi="Times New Roman"/>
          <w:color w:val="000000" w:themeColor="text1"/>
          <w:sz w:val="16"/>
          <w:szCs w:val="16"/>
        </w:rPr>
        <w:softHyphen/>
        <w:t>сили планёры Г-11 и А-7. Так был сформирован 1-й отдельный авиационно-планёрный полк (1-й оапп). Позже иногда его называли 1-м учебным авиационно-планёрным полком (1-м уапп). Подчинялся он командованию Воздуш</w:t>
      </w:r>
      <w:r w:rsidRPr="008127F8">
        <w:rPr>
          <w:rFonts w:ascii="Times New Roman" w:hAnsi="Times New Roman"/>
          <w:color w:val="000000" w:themeColor="text1"/>
          <w:sz w:val="16"/>
          <w:szCs w:val="16"/>
        </w:rPr>
        <w:softHyphen/>
        <w:t>но-десантных войск. Две эскадрильи полка насчитывали по десять экипажей самолётов-буксировщиков, а также по 60 пилотов-планеристов и соответству</w:t>
      </w:r>
      <w:r w:rsidRPr="008127F8">
        <w:rPr>
          <w:rFonts w:ascii="Times New Roman" w:hAnsi="Times New Roman"/>
          <w:color w:val="000000" w:themeColor="text1"/>
          <w:sz w:val="16"/>
          <w:szCs w:val="16"/>
        </w:rPr>
        <w:softHyphen/>
        <w:t>ющее количество планёров. В качестве буксировщиков использо</w:t>
      </w:r>
      <w:r w:rsidRPr="008127F8">
        <w:rPr>
          <w:rFonts w:ascii="Times New Roman" w:hAnsi="Times New Roman"/>
          <w:color w:val="000000" w:themeColor="text1"/>
          <w:sz w:val="16"/>
          <w:szCs w:val="16"/>
        </w:rPr>
        <w:softHyphen/>
        <w:t>вали самолёты ПС-84 (Ли-2), СБ, ДБ-ЗФ (Ил-4) и Р-6. Первые два, оснащённые более мощными моторами, могли тя</w:t>
      </w:r>
      <w:r w:rsidRPr="008127F8">
        <w:rPr>
          <w:rFonts w:ascii="Times New Roman" w:hAnsi="Times New Roman"/>
          <w:color w:val="000000" w:themeColor="text1"/>
          <w:sz w:val="16"/>
          <w:szCs w:val="16"/>
        </w:rPr>
        <w:softHyphen/>
        <w:t>нуть по два планёра А-7 или Г-11 (12266).</w:t>
      </w:r>
    </w:p>
    <w:p w14:paraId="250A311D"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130AE8F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экипаж танка Т-34 3-я гвардейская танковая бригада, которым командовал младший лейтенант Курлянд, отразил атаку 17 немецких танков, уничтожив 7 из них (12217).</w:t>
      </w:r>
    </w:p>
    <w:p w14:paraId="24985E38"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046341F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гол в 5-й армии Западного фронта проходили испытания танковые волокуши (из листового железа с загнутым передним и задним краем) с 20 ФОГами на каждой. Волокуши буксировались танками Т-34</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из которых можно было приводить в действие огнеметы (все или по выбору). Всего испытывал ось до 10 волокуш, но широкого распространения они не получили (12217).</w:t>
      </w:r>
    </w:p>
    <w:p w14:paraId="6EE58BD8"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7732E0BD"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огнеметные танки приняли боевое крещение, а затем в июле. По итогам первых боев начальник управления боевой лодготовки ГАБТУ КА генерал-майор Кривошеий составил «Краткий отчет об использовании огнеметных танков ТО-34 за период февраль - июль 1942 года», в котором говорилось следующее:</w:t>
      </w:r>
    </w:p>
    <w:p w14:paraId="75E4BBD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«Огнеметные танки ТО-34 применялись на Юго-Западном фронте в районе Барвенково в феврале 1942 года в составе 121 танковой бригады, и 2 батальона по 18 танков на Волховском фронте в районах Кириши, Парк Грузино, Дымно в июле 1942 года во взаимодействии с 185 и 29 танковыми бригадами.</w:t>
      </w:r>
    </w:p>
    <w:p w14:paraId="63078A83"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Ограниченный опыт применения огнеметных танков показал:</w:t>
      </w:r>
    </w:p>
    <w:p w14:paraId="3359A838"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 действии по живой силе противника, как открытой, так и в щелях, блиндажах, домах, огнемет дает большой моральный эффект и наносит большой материальный ущерб противнику.</w:t>
      </w:r>
    </w:p>
    <w:p w14:paraId="11974403"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Действие огнемета вызывало панику в рядах противника, который бросал оружие и бежал с поля боя, расстреливаемый пулеметами из танков.</w:t>
      </w:r>
    </w:p>
    <w:p w14:paraId="7318EE7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попадании горящей смеси на людей они сжигались, блиндажи, постройки загорались и вынуждали живую силу противника выходить из них и попадать под расстрел пулеметного и артиллерийского огня танков. Примеров действий огнеметных танков по танкам противника не было, и в этом отношении их действие в бою не проверено. Учитывая боевой эффект по другим целям, надо считать, что попадание огневой струи в танки противника будет вызывать пожар.</w:t>
      </w:r>
    </w:p>
    <w:p w14:paraId="1E825BF3"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Действие огнеметных танков лает хороший эффект с дистанции 50100 метров до объекта атаки. Подход на эту дистанцию не всегда и не везде возможен. На Волховском фронте очень часто огнеметным танкам приходилось действовать пулеметом и пушкой пока ими преодолевались противотанковые препятствия, минные поля и водные преграды; в ряде случаев танки не достигали цели, так как поражались противотанковой артиллерией, подрывались на минах и застревали в болотах и противотанковых препятствиях.</w:t>
      </w:r>
    </w:p>
    <w:p w14:paraId="0A0E3CA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Применение огнеметных танков возможно только при условии тщательной разведки местности и при обязательном взаимодействии с артиллерией и линейными танками, обеспечивающими подход огнеметных танков к объектам атаки.</w:t>
      </w:r>
    </w:p>
    <w:p w14:paraId="5F391E5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Отсутствие радийных танков Т-34 у командиров взводов роты ТО-34 затрудняет управление в бою.</w:t>
      </w:r>
    </w:p>
    <w:p w14:paraId="2D4EDE3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Практика показала, что размещение огнемета АТО-41 в носовой части танка и вследствие этого ограниченность горизонтального сектора (15 градусов) огнеметания снижает боевые качества огнеметного танка ТО-34 (огнеметание из засад и при вынужденных остановках танка на поле боя).</w:t>
      </w:r>
    </w:p>
    <w:p w14:paraId="45B04E5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Желательно в огнеметном танке ТО-34 огнемет установить в башне.</w:t>
      </w:r>
    </w:p>
    <w:p w14:paraId="17BAD97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Огнемет, установленный на машине ТО-34 и КВ-8, имеет ряд конструктивных и эксплуатационных недостатков, которые снижают боевые качества огнеметных танков ТО-34 и КВ-8. Основные из них:</w:t>
      </w:r>
    </w:p>
    <w:p w14:paraId="763687D8"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w:t>
      </w:r>
      <w:r w:rsidRPr="008127F8">
        <w:rPr>
          <w:rFonts w:ascii="Times New Roman" w:hAnsi="Times New Roman"/>
          <w:color w:val="000000" w:themeColor="text1"/>
          <w:sz w:val="16"/>
          <w:szCs w:val="16"/>
        </w:rPr>
        <w:tab/>
        <w:t>Течь огнесмеси в задвижку и случаи неполного закрывания задвижки;</w:t>
      </w:r>
    </w:p>
    <w:p w14:paraId="250657D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w:t>
      </w:r>
      <w:r w:rsidRPr="008127F8">
        <w:rPr>
          <w:rFonts w:ascii="Times New Roman" w:hAnsi="Times New Roman"/>
          <w:color w:val="000000" w:themeColor="text1"/>
          <w:sz w:val="16"/>
          <w:szCs w:val="16"/>
        </w:rPr>
        <w:tab/>
        <w:t>Ненадежная система выхлопа пороховых газов, вследствие чего происходит заедание выхлопного клапана и выброс недогоревшего патрона из патронника при воздушных выстрелах;</w:t>
      </w:r>
    </w:p>
    <w:p w14:paraId="7F649C0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w:t>
      </w:r>
      <w:r w:rsidRPr="008127F8">
        <w:rPr>
          <w:rFonts w:ascii="Times New Roman" w:hAnsi="Times New Roman"/>
          <w:color w:val="000000" w:themeColor="text1"/>
          <w:sz w:val="16"/>
          <w:szCs w:val="16"/>
        </w:rPr>
        <w:tab/>
        <w:t>В огнеметных установках танков ТО-34 течь огнесмеси в соединении жидкостного трубопровода, вследствие жесткой системы, течь в сальниковое уплотнение шарового соединения и трудность его подтяжки.</w:t>
      </w:r>
    </w:p>
    <w:p w14:paraId="51C1EED0"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w:t>
      </w:r>
      <w:r w:rsidRPr="008127F8">
        <w:rPr>
          <w:rFonts w:ascii="Times New Roman" w:hAnsi="Times New Roman"/>
          <w:color w:val="000000" w:themeColor="text1"/>
          <w:sz w:val="16"/>
          <w:szCs w:val="16"/>
        </w:rPr>
        <w:tab/>
        <w:t>Для овладения огнеметом АТО-41 в совершенстве требуется много времени и средств (патроны, огнесмесь).</w:t>
      </w:r>
    </w:p>
    <w:p w14:paraId="17F38598"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w:t>
      </w:r>
      <w:r w:rsidRPr="008127F8">
        <w:rPr>
          <w:rFonts w:ascii="Times New Roman" w:hAnsi="Times New Roman"/>
          <w:color w:val="000000" w:themeColor="text1"/>
          <w:sz w:val="16"/>
          <w:szCs w:val="16"/>
        </w:rPr>
        <w:tab/>
        <w:t>Большие габариты огнемета АТО-41 не позволяют спарить его с 76 мм пушкой в башне танка без существенных изменений в конструкции башни.</w:t>
      </w:r>
    </w:p>
    <w:p w14:paraId="7458DE80"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w:t>
      </w:r>
      <w:r w:rsidRPr="008127F8">
        <w:rPr>
          <w:rFonts w:ascii="Times New Roman" w:hAnsi="Times New Roman"/>
          <w:color w:val="000000" w:themeColor="text1"/>
          <w:sz w:val="16"/>
          <w:szCs w:val="16"/>
        </w:rPr>
        <w:tab/>
        <w:t>Трудоемкость изготовления АТО-41 слишком большая.</w:t>
      </w:r>
    </w:p>
    <w:p w14:paraId="105CBCE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50C6B843"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Огнемет АТО-41, смонтированный в танках ТО-34 и КВ-8. оправдывает себя как дополнительное вооружение танковых войск.</w:t>
      </w:r>
    </w:p>
    <w:p w14:paraId="7297C8D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наличие же конструктивных и эксплуатационных недостатков огнемета АТО-41 снижает боевые качества огнеметных танков.</w:t>
      </w:r>
    </w:p>
    <w:p w14:paraId="4400CC8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Предложения.</w:t>
      </w:r>
    </w:p>
    <w:p w14:paraId="6DB32A9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Потребовать от заводов Нар- комтанкопрома выполнения выпуска огнеметных танков с тем, чтобы иметь возможность их широкого применения.</w:t>
      </w:r>
    </w:p>
    <w:p w14:paraId="0D75AAA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целях повышения боевых и эксплуатационных качеств огнеметных танков обязать Наркомтан- копром:</w:t>
      </w:r>
    </w:p>
    <w:p w14:paraId="762009A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кратчайшее время устранить дефекты и недостатки огнемета</w:t>
      </w:r>
    </w:p>
    <w:p w14:paraId="461F2EB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АТО-41 по задвижке, системе выхлопа пороховых газов, а также недостатки огнеметных установок.</w:t>
      </w:r>
    </w:p>
    <w:p w14:paraId="35504E2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Ускорить отработку и испытание огнеметного танка Т-34, в котором для выброса огнесмеси используется сжатый воздух (газ, сгораемый от 1-2 цилиндров дизеля танка.</w:t>
      </w:r>
    </w:p>
    <w:p w14:paraId="64D29A3C"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такого огнемета должна быть значительно проще в изготовлении, эксплуатации и освоении.</w:t>
      </w:r>
    </w:p>
    <w:p w14:paraId="7E73E3D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Организацию отдельных огнеметных танковых батальонов иметь следующую: одна рота КВ-8 в составе 5 машин и две роты танков ТО-34, имея в каждой роте 9 танков ТО-34 (3 взвода) и 4 радийных танка для командиров взводов и роты.</w:t>
      </w:r>
    </w:p>
    <w:p w14:paraId="3EF9569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командования батальона - 2 радийных Т-34.</w:t>
      </w:r>
    </w:p>
    <w:p w14:paraId="7E7CFA9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в батальоне иметь 33 танка, из них: 5 танков КВ-8, 18 танков ТО-34, 10 радио-танков Т-34».</w:t>
      </w:r>
    </w:p>
    <w:p w14:paraId="1BA62AC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недостатках в конструкции АТО-41 докладывали и из учебных частей, которые только готовились еще для отправки на фронт:</w:t>
      </w:r>
    </w:p>
    <w:p w14:paraId="50C2F51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Тросовое управление (зажигание, подача магазина, утапливание шептала) ненадежное, сложное в регулировке и вызывает частые отказы в работе.</w:t>
      </w:r>
    </w:p>
    <w:p w14:paraId="62408DE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 огнеметании были случаи произвольной автоматической перезарядки с выбросом горящих патронов во внутрь танка и с поджиганием находящихся в приемнике (магазине) патронов, что приводит к поражению экипажа и пожару в танке.</w:t>
      </w:r>
    </w:p>
    <w:p w14:paraId="6190B30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Происходят отказы в работе выхлопного клапана.</w:t>
      </w:r>
    </w:p>
    <w:p w14:paraId="0730104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Имеются случаи поломки извле- кателей затвора, течи огнесмеси через задвижку, разрегулировки рычагов автоматики и отказов в работе зажигалки.</w:t>
      </w:r>
    </w:p>
    <w:p w14:paraId="59ECF7E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Монтаж огнеметов в танках производится плохо, в результате чего происходит подтекание огнесме- си в соединении передней крышки с цилиндром АТО-41, пропуск воздуха в воздушных вентилях воздухопроводов, засорение бензофорсунок. течь в шаровом соединении ВКУ» (12217).</w:t>
      </w:r>
    </w:p>
    <w:p w14:paraId="72EFA578"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6EABE8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Согласноамериканцам</w:t>
      </w:r>
      <w:r w:rsidRPr="008127F8">
        <w:rPr>
          <w:rFonts w:ascii="Times New Roman" w:hAnsi="Times New Roman"/>
          <w:color w:val="000000" w:themeColor="text1"/>
          <w:sz w:val="16"/>
          <w:szCs w:val="16"/>
          <w:lang w:val="en-US"/>
        </w:rPr>
        <w:t>, By December 1940, the Luftwaffe had failed to accomplish its strategic mission and had suffered heavy losses. In its subsequent campaigns against the Soviet Union, it continued to lack long-range bombers and was powerless to prevent the Russians from rebuilding an air force at factories and bases beyond the Ural Mountains. According to the United States Strategic Bombing Survey, the first factor in the ultimate defeat of the German Air Force was that: "The German Air Force was originally designed for direct support of ground operations, and a lack of a long-range bomber force proved a grave strategic error (1115).</w:t>
      </w:r>
    </w:p>
    <w:p w14:paraId="53F5E7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CD4F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американцам, к декабрю 1940 Люфтваффе показали, что они не способны решать стратегические задачи и несут тяжелые потери. В компании против СССР у Люфтваффе не было АДД и не смогла помешать эвакуации и восстановлению советской военной промышленности за Уралом. Потом американцы пришли к выводу, что отсутствие ДБ явилось ошибкой, но что немецкий ВВС были построены для поддержки наземных войск (1115).</w:t>
      </w:r>
    </w:p>
    <w:p w14:paraId="2E7A18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546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задолго до вскрытия ото льда Финского залива, противник начал подготовку к кампании на Балтике. Первым в плане мероприятий стоял захват островов: Гогланда, Большого и Малого Тютерса. Овладение ими позволяло создать мощную морскую позицию в восточной части Финского залива и таким образом заблокировать советский флот в районе Ленинграда - Кронштадта. В связи с ожесточенными боями, которые в это время вела 18-я германская армия западнее Волхова и в районе Погостья, выделенные для операции сухопутные силы пришлось использовать в другом месте. В конце концов задачу по захвату островов возложили на финнов. Единственное, о чем они просили своего могучего союзника, так это о поддержке с воздуха. Данный вопрос решался на самом высоком уровне и в финале выглядел так: Люфтваффе поддерживали финнов небольшим нарядом самолетов в течение двух дней, но при любом исходе боев Геринг был вынужден пообещать фюреру, что по мере возникновения возможности 1-й воздушный флот обязательно предпримет операцию по уничтожению сил Балтфлота в Ленинграде (6414).</w:t>
      </w:r>
    </w:p>
    <w:p w14:paraId="543CF1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F78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советская подводная лодка торпедировала румынское судно Struma, которое с 12 декабря 1941 пыталось перевезти 769 евреев в Палестину, но не получило разрешения английских властей и возвращалось назад (1798).</w:t>
      </w:r>
    </w:p>
    <w:p w14:paraId="23CCAF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7965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29F21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6328E"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с целью улучшения и упорядочения снабжения рабочих крупных предприятий были организованы отделы рабочего снабжения (орсы). Они получали по государственным планам снабжения продовольственные товары и централизованно направляли их на конкретные предприятия. Также крупные эвакуированные предприятия прикреплялись к сельскохозяйственным районам области, к конкретным совхозам с целью децентрализованных заготовок овощей и мяса (19555).</w:t>
      </w:r>
    </w:p>
    <w:p w14:paraId="3D5E2463"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5FA6C9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был в 1.5 раза повышен обязательный минимум трудодней в колхозах (338,34).</w:t>
      </w:r>
    </w:p>
    <w:p w14:paraId="1C92BD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9A3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 1942 г. в составе ГКО был образован транспортный комитет, на который возлагались задачи по общему планированию и координации работы всех видов транспорта, а ЦУП </w:t>
      </w:r>
      <w:proofErr w:type="gramStart"/>
      <w:r w:rsidRPr="008127F8">
        <w:rPr>
          <w:rFonts w:ascii="Times New Roman" w:hAnsi="Times New Roman"/>
          <w:color w:val="000000" w:themeColor="text1"/>
          <w:sz w:val="16"/>
          <w:szCs w:val="16"/>
        </w:rPr>
        <w:t>ВОСО по существу</w:t>
      </w:r>
      <w:proofErr w:type="gramEnd"/>
      <w:r w:rsidRPr="008127F8">
        <w:rPr>
          <w:rFonts w:ascii="Times New Roman" w:hAnsi="Times New Roman"/>
          <w:color w:val="000000" w:themeColor="text1"/>
          <w:sz w:val="16"/>
          <w:szCs w:val="16"/>
        </w:rPr>
        <w:t xml:space="preserve"> выполняло функции штаба транспортного комитета (9090).</w:t>
      </w:r>
    </w:p>
    <w:p w14:paraId="09726E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3AA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была введена "Инструкция о режиме содержания и охране заключенных в исправительно-трудовых лагерях и колониях НКВД СССР в военное время" (8983).</w:t>
      </w:r>
    </w:p>
    <w:p w14:paraId="55B6E5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C136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CD17F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0DBD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советские фронтовые разведчики захватили в качестве «языка» немецкого офицера, в портфеле которого была обнаружена тетрадь с непонятными записями. Эта тетрадь пересылается в наркомат обороны, а оттуда — уполномоченному по науке ГКО. Было установлено, что речь идет о планах гитлеровцев по использованию атомной энергии в военных целях. Досконально изучив разведывательные данные из Лондона, Квасников вместе с Фитиным доложил информацию Л. П. Берия. Берия решил передать сообщение Сталину в форме записки и поручил составление ее Квасникову в ниью-йоркской резидентуре (11765).</w:t>
      </w:r>
    </w:p>
    <w:p w14:paraId="76208D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E22AD"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 1942 г. американский президент Ф. Рузвельт принял решение о предоставлении СССР второго кредита в размере 1 млрд долл. для оплаты поставок по ленд-лизу на прежних условиях. Вместе с тем американцы не очень торопились форсировать сами поставки. Более того, летом 1942 г. американское правительство всеми возможными способами затягивало отправку в СССР обещанной помощи. Еще весной 1942 г. советские представители подготовили соответствующий запрос, в котором просили США с 1 июля 1942 г. в течение года поставить Советскому Союзу 8 млн т грузов, необходимых фронту и тылу, в том числе 36 000 т толуола и 24 000 т ТНТ (около 86 000 т при перерасчете на ТНТ) (13). Ссылаясь на недостаток судов (тоннажа), американцы дали согласие отправить в указанный срок через Мурманск, Архангельск и Басру лишь 4400 млн т. Из них 2600 млн т представляли собой сырье и другую продукцию, в которых СССР нуждался для производства вооружения и боеприпасов. Для снаряжения последних тротилом союзники согласились поставить 24 000 т толуола и 24 т готового ТНТ (13). Таким образом, данные грузы не могли в готовом виде быть использованы Советским Союзом непосредственно летом - осенью 1942 г., т.е. в самый активный период боевых действий. Поэтому американцы настаивали на отправке в СССР только готовой продукции - танков, самолетов, орудий и снаряженных боеприпасов в количестве около 2 млн </w:t>
      </w:r>
      <w:r w:rsidRPr="008127F8">
        <w:rPr>
          <w:rFonts w:ascii="Times New Roman" w:hAnsi="Times New Roman"/>
          <w:color w:val="000000" w:themeColor="text1"/>
          <w:sz w:val="16"/>
          <w:szCs w:val="16"/>
        </w:rPr>
        <w:lastRenderedPageBreak/>
        <w:t>т. Высвободившиеся же суда американское правительство обещало использовать для отправки своих войск в Англию для подготовки вторжения оттуда в Западную Европу в том же 1942 г. (19151).</w:t>
      </w:r>
    </w:p>
    <w:p w14:paraId="39E53AC3"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2A0C24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теплоход "Двинолес", шедший в караване из Галифакса в Мурманск с грузом бензина, столкнулся с норвежским танкером и затонул (11910).</w:t>
      </w:r>
    </w:p>
    <w:p w14:paraId="2EE519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D659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52F92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F6B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произошли изменения в структуре и подчиненности разведывательной авиации Германии. До этого разведчики подчинялись командованию сухопутных войск и потеряли за шесть месяцев войны треть своего состава. Теперь созданные 35 групп ближней и 23 группы дальней разведки передавались воздушным корпусам и дивизиям. Несколько ранее последние эскадрильи морской авиации были также выведены из состава флота и вошли в Люфтваффе (3573).</w:t>
      </w:r>
    </w:p>
    <w:p w14:paraId="09676F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37621" w14:textId="77777777" w:rsidR="00AA5A5A" w:rsidRPr="008127F8" w:rsidRDefault="00AA5A5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феврале 1942 г. командующий британскими ВВС сэр Чарльз Портал письменно обратился к командующему бомбардировочной авиации Артуру Харрису: «Я полагаю, Вам ясно, что целями должны быть районы жилой застройки, а не верфи, заводы, электростанции и прочая ерунда».</w:t>
      </w:r>
    </w:p>
    <w:p w14:paraId="48F7D9C8" w14:textId="77777777" w:rsidR="00AA5A5A" w:rsidRPr="008127F8" w:rsidRDefault="00AA5A5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«Мы выбомбим Германию - один город за другим. Мы будем бомбить вас все сильнее и сильнее, пока вы не перестанете вести войну. Это наша цель. Мы будем безжалостно её преследовать...». Данный текст был напечатан на листовках, миллионами разбрасываемых над Германией (19845).</w:t>
      </w:r>
    </w:p>
    <w:p w14:paraId="676AA8FE" w14:textId="77777777" w:rsidR="00AA5A5A" w:rsidRPr="008127F8" w:rsidRDefault="00AA5A5A"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1E2023A"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Февраль 1942 Военно-воздушные силы США переименовывают различные организации в Пятую (на Дальнем </w:t>
      </w:r>
      <w:proofErr w:type="gramStart"/>
      <w:r w:rsidRPr="008127F8">
        <w:rPr>
          <w:rFonts w:ascii="Times New Roman" w:hAnsi="Times New Roman"/>
          <w:color w:val="000000" w:themeColor="text1"/>
          <w:sz w:val="16"/>
          <w:szCs w:val="16"/>
        </w:rPr>
        <w:t>Востоке )</w:t>
      </w:r>
      <w:proofErr w:type="gramEnd"/>
      <w:r w:rsidRPr="008127F8">
        <w:rPr>
          <w:rFonts w:ascii="Times New Roman" w:hAnsi="Times New Roman"/>
          <w:color w:val="000000" w:themeColor="text1"/>
          <w:sz w:val="16"/>
          <w:szCs w:val="16"/>
        </w:rPr>
        <w:t>, Шестую (в зоне Панамского канала ), Седьмую (на территории Гавайев ) и Одиннадцатую (на территории Аляски ) армии ВВС. Commanding генерал армии ВВС США, Генри Х. Арнольд, говорит президенту Франклин Д. Рузвельт, что должен быть создан воздушные грузовой маршрут между Индией и Китаем, чтобы компенсировать вероятную неминуемую потерю Рангуна, Бирма. Рузвельт приказывает Арнольду реквизировать 25 гражданских Douglas DC-3, чтобы начать воздушные перевозки (20793).</w:t>
      </w:r>
    </w:p>
    <w:p w14:paraId="567C1867"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5F9398FB"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 был начат выпуск первой серийной модификацией Bf I09G-I, Этот вариант существенно от</w:t>
      </w:r>
      <w:r w:rsidRPr="008A2E5A">
        <w:rPr>
          <w:rFonts w:ascii="Times New Roman" w:hAnsi="Times New Roman"/>
          <w:color w:val="0070C0"/>
          <w:sz w:val="16"/>
          <w:szCs w:val="16"/>
        </w:rPr>
        <w:softHyphen/>
        <w:t>личался от предсерийных машин, поскольку он оснащался мотором DB 605А и предназна</w:t>
      </w:r>
      <w:r w:rsidRPr="008A2E5A">
        <w:rPr>
          <w:rFonts w:ascii="Times New Roman" w:hAnsi="Times New Roman"/>
          <w:color w:val="0070C0"/>
          <w:sz w:val="16"/>
          <w:szCs w:val="16"/>
        </w:rPr>
        <w:softHyphen/>
        <w:t>чался для борьбы с высотными самолетами противника. Гермокабина типа «холодные стенки» образовывалась герметичными пе</w:t>
      </w:r>
      <w:r w:rsidRPr="008A2E5A">
        <w:rPr>
          <w:rFonts w:ascii="Times New Roman" w:hAnsi="Times New Roman"/>
          <w:color w:val="0070C0"/>
          <w:sz w:val="16"/>
          <w:szCs w:val="16"/>
        </w:rPr>
        <w:softHyphen/>
        <w:t>редней противопожарной перегородкой, бо</w:t>
      </w:r>
      <w:r w:rsidRPr="008A2E5A">
        <w:rPr>
          <w:rFonts w:ascii="Times New Roman" w:hAnsi="Times New Roman"/>
          <w:color w:val="0070C0"/>
          <w:sz w:val="16"/>
          <w:szCs w:val="16"/>
        </w:rPr>
        <w:softHyphen/>
        <w:t>ковыми стенками и полом, а также наклон</w:t>
      </w:r>
      <w:r w:rsidRPr="008A2E5A">
        <w:rPr>
          <w:rFonts w:ascii="Times New Roman" w:hAnsi="Times New Roman"/>
          <w:color w:val="0070C0"/>
          <w:sz w:val="16"/>
          <w:szCs w:val="16"/>
        </w:rPr>
        <w:softHyphen/>
        <w:t>ной задней перегородкой, частично представ</w:t>
      </w:r>
      <w:r w:rsidRPr="008A2E5A">
        <w:rPr>
          <w:rFonts w:ascii="Times New Roman" w:hAnsi="Times New Roman"/>
          <w:color w:val="0070C0"/>
          <w:sz w:val="16"/>
          <w:szCs w:val="16"/>
        </w:rPr>
        <w:softHyphen/>
        <w:t>лявшей собой бронеплиту. Все стекла фонаря выполнялись двойными, воздух в зазоре меж</w:t>
      </w:r>
      <w:r w:rsidRPr="008A2E5A">
        <w:rPr>
          <w:rFonts w:ascii="Times New Roman" w:hAnsi="Times New Roman"/>
          <w:color w:val="0070C0"/>
          <w:sz w:val="16"/>
          <w:szCs w:val="16"/>
        </w:rPr>
        <w:softHyphen/>
        <w:t>ду ними осушался капсулами с хлоридом кальция во избежание образования изморози и обмерзания. Герметизация фонаря осуще</w:t>
      </w:r>
      <w:r w:rsidRPr="008A2E5A">
        <w:rPr>
          <w:rFonts w:ascii="Times New Roman" w:hAnsi="Times New Roman"/>
          <w:color w:val="0070C0"/>
          <w:sz w:val="16"/>
          <w:szCs w:val="16"/>
        </w:rPr>
        <w:softHyphen/>
        <w:t>ствлялась с помощью резиновых шлангов. В проводку управления встраивались соответст</w:t>
      </w:r>
      <w:r w:rsidRPr="008A2E5A">
        <w:rPr>
          <w:rFonts w:ascii="Times New Roman" w:hAnsi="Times New Roman"/>
          <w:color w:val="0070C0"/>
          <w:sz w:val="16"/>
          <w:szCs w:val="16"/>
        </w:rPr>
        <w:softHyphen/>
        <w:t>вующие герметизирующие прокладки. В це</w:t>
      </w:r>
      <w:r w:rsidRPr="008A2E5A">
        <w:rPr>
          <w:rFonts w:ascii="Times New Roman" w:hAnsi="Times New Roman"/>
          <w:color w:val="0070C0"/>
          <w:sz w:val="16"/>
          <w:szCs w:val="16"/>
        </w:rPr>
        <w:softHyphen/>
        <w:t>лом, кабина, наддуваемая воздухом от при</w:t>
      </w:r>
      <w:r w:rsidRPr="008A2E5A">
        <w:rPr>
          <w:rFonts w:ascii="Times New Roman" w:hAnsi="Times New Roman"/>
          <w:color w:val="0070C0"/>
          <w:sz w:val="16"/>
          <w:szCs w:val="16"/>
        </w:rPr>
        <w:softHyphen/>
        <w:t>водного нагнетателя, обеспечивала перепад давления 0,3 кг/см2; следовательно, при поле</w:t>
      </w:r>
      <w:r w:rsidRPr="008A2E5A">
        <w:rPr>
          <w:rFonts w:ascii="Times New Roman" w:hAnsi="Times New Roman"/>
          <w:color w:val="0070C0"/>
          <w:sz w:val="16"/>
          <w:szCs w:val="16"/>
        </w:rPr>
        <w:softHyphen/>
        <w:t>те на высоте около 10000 м давление воздуха в ней соответствовало атмосферному на высоте приблизительно 5500 м.</w:t>
      </w:r>
    </w:p>
    <w:p w14:paraId="3C60AB80"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Одной из первых доработок истребителя Bf 109G-1/R2 явилось оснащение двигателя DB 605А/1 системой форсирования GM-1, обеспечивавшей подачу закиси азота в цилин</w:t>
      </w:r>
      <w:r w:rsidRPr="008A2E5A">
        <w:rPr>
          <w:rFonts w:ascii="Times New Roman" w:hAnsi="Times New Roman"/>
          <w:color w:val="0070C0"/>
          <w:sz w:val="16"/>
          <w:szCs w:val="16"/>
        </w:rPr>
        <w:softHyphen/>
        <w:t>дры двигателя на больших высотах. Действие этого химического соединения оказывалось двояким. Во-первых, разлагаясь при высокой температуре, закись выделяла кислород, поз</w:t>
      </w:r>
      <w:r w:rsidRPr="008A2E5A">
        <w:rPr>
          <w:rFonts w:ascii="Times New Roman" w:hAnsi="Times New Roman"/>
          <w:color w:val="0070C0"/>
          <w:sz w:val="16"/>
          <w:szCs w:val="16"/>
        </w:rPr>
        <w:softHyphen/>
        <w:t>волявший сжигать в цилиндрах дополнитель</w:t>
      </w:r>
      <w:r w:rsidRPr="008A2E5A">
        <w:rPr>
          <w:rFonts w:ascii="Times New Roman" w:hAnsi="Times New Roman"/>
          <w:color w:val="0070C0"/>
          <w:sz w:val="16"/>
          <w:szCs w:val="16"/>
        </w:rPr>
        <w:softHyphen/>
        <w:t>ное количество бензина. Во-вторых, при гази</w:t>
      </w:r>
      <w:r w:rsidRPr="008A2E5A">
        <w:rPr>
          <w:rFonts w:ascii="Times New Roman" w:hAnsi="Times New Roman"/>
          <w:color w:val="0070C0"/>
          <w:sz w:val="16"/>
          <w:szCs w:val="16"/>
        </w:rPr>
        <w:softHyphen/>
        <w:t>фикации закиси происходило снижение тем</w:t>
      </w:r>
      <w:r w:rsidRPr="008A2E5A">
        <w:rPr>
          <w:rFonts w:ascii="Times New Roman" w:hAnsi="Times New Roman"/>
          <w:color w:val="0070C0"/>
          <w:sz w:val="16"/>
          <w:szCs w:val="16"/>
        </w:rPr>
        <w:softHyphen/>
        <w:t xml:space="preserve">пературы </w:t>
      </w:r>
      <w:proofErr w:type="gramStart"/>
      <w:r w:rsidRPr="008A2E5A">
        <w:rPr>
          <w:rFonts w:ascii="Times New Roman" w:hAnsi="Times New Roman"/>
          <w:color w:val="0070C0"/>
          <w:sz w:val="16"/>
          <w:szCs w:val="16"/>
        </w:rPr>
        <w:t>топливо-воздушной</w:t>
      </w:r>
      <w:proofErr w:type="gramEnd"/>
      <w:r w:rsidRPr="008A2E5A">
        <w:rPr>
          <w:rFonts w:ascii="Times New Roman" w:hAnsi="Times New Roman"/>
          <w:color w:val="0070C0"/>
          <w:sz w:val="16"/>
          <w:szCs w:val="16"/>
        </w:rPr>
        <w:t xml:space="preserve"> смеси, что поз</w:t>
      </w:r>
      <w:r w:rsidRPr="008A2E5A">
        <w:rPr>
          <w:rFonts w:ascii="Times New Roman" w:hAnsi="Times New Roman"/>
          <w:color w:val="0070C0"/>
          <w:sz w:val="16"/>
          <w:szCs w:val="16"/>
        </w:rPr>
        <w:softHyphen/>
        <w:t>воляло при одинаковом давлении подавать в камеру сгорания больше топлива, а значит, снимать большую мощность с мотора. Ци</w:t>
      </w:r>
      <w:r w:rsidRPr="008A2E5A">
        <w:rPr>
          <w:rFonts w:ascii="Times New Roman" w:hAnsi="Times New Roman"/>
          <w:color w:val="0070C0"/>
          <w:sz w:val="16"/>
          <w:szCs w:val="16"/>
        </w:rPr>
        <w:softHyphen/>
        <w:t>линдрический баллон с закисью азота монти</w:t>
      </w:r>
      <w:r w:rsidRPr="008A2E5A">
        <w:rPr>
          <w:rFonts w:ascii="Times New Roman" w:hAnsi="Times New Roman"/>
          <w:color w:val="0070C0"/>
          <w:sz w:val="16"/>
          <w:szCs w:val="16"/>
        </w:rPr>
        <w:softHyphen/>
        <w:t>ровался позади кабины пилота на пятом шпангоуте.</w:t>
      </w:r>
    </w:p>
    <w:p w14:paraId="63A030EE"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установка системы GM-I влекла за собой увеличение взлетной массы истребите</w:t>
      </w:r>
      <w:r w:rsidRPr="008A2E5A">
        <w:rPr>
          <w:rFonts w:ascii="Times New Roman" w:hAnsi="Times New Roman"/>
          <w:color w:val="0070C0"/>
          <w:sz w:val="16"/>
          <w:szCs w:val="16"/>
        </w:rPr>
        <w:softHyphen/>
        <w:t>ля до 3200 кг (масса всей системы с 115-литро- вым баллоном и трубопроводами составляла 195 кг), рост высотных характеристик окупал все. При нормальном впрыске закиси азота с темпом 3,6 кг/мин мощность двигателя на вы</w:t>
      </w:r>
      <w:r w:rsidRPr="008A2E5A">
        <w:rPr>
          <w:rFonts w:ascii="Times New Roman" w:hAnsi="Times New Roman"/>
          <w:color w:val="0070C0"/>
          <w:sz w:val="16"/>
          <w:szCs w:val="16"/>
        </w:rPr>
        <w:softHyphen/>
        <w:t>соте 8700 м составляла 1250 л.с., позволяя на высотах 8500—10000 м развивать скорость почти на 50 км/ч больше, чем развивали ис</w:t>
      </w:r>
      <w:r w:rsidRPr="008A2E5A">
        <w:rPr>
          <w:rFonts w:ascii="Times New Roman" w:hAnsi="Times New Roman"/>
          <w:color w:val="0070C0"/>
          <w:sz w:val="16"/>
          <w:szCs w:val="16"/>
        </w:rPr>
        <w:softHyphen/>
        <w:t>требители, не имевшие подобного устройства. Входе испытаний одного из Bf 109G-1/R2 бы</w:t>
      </w:r>
      <w:r w:rsidRPr="008A2E5A">
        <w:rPr>
          <w:rFonts w:ascii="Times New Roman" w:hAnsi="Times New Roman"/>
          <w:color w:val="0070C0"/>
          <w:sz w:val="16"/>
          <w:szCs w:val="16"/>
        </w:rPr>
        <w:softHyphen/>
        <w:t>ла получена максимальная скорость 660 км/ч на высоте 12000 м и практический потолок 13800 м.</w:t>
      </w:r>
    </w:p>
    <w:p w14:paraId="1381F5BA"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Заводской доработочный комплект U1 предусматривал установку флюгируемого винта МеР 6, облегчавшего выполнение взлетно-посадочных операций с короткой по</w:t>
      </w:r>
      <w:r w:rsidRPr="008A2E5A">
        <w:rPr>
          <w:rFonts w:ascii="Times New Roman" w:hAnsi="Times New Roman"/>
          <w:color w:val="0070C0"/>
          <w:sz w:val="16"/>
          <w:szCs w:val="16"/>
        </w:rPr>
        <w:softHyphen/>
        <w:t>лосы, однако с таким винтом истребитель не</w:t>
      </w:r>
      <w:r w:rsidRPr="008A2E5A">
        <w:rPr>
          <w:rFonts w:ascii="Times New Roman" w:hAnsi="Times New Roman"/>
          <w:color w:val="0070C0"/>
          <w:sz w:val="16"/>
          <w:szCs w:val="16"/>
        </w:rPr>
        <w:softHyphen/>
        <w:t>сколько проигрывал в максимальной скоро</w:t>
      </w:r>
      <w:r w:rsidRPr="008A2E5A">
        <w:rPr>
          <w:rFonts w:ascii="Times New Roman" w:hAnsi="Times New Roman"/>
          <w:color w:val="0070C0"/>
          <w:sz w:val="16"/>
          <w:szCs w:val="16"/>
        </w:rPr>
        <w:softHyphen/>
        <w:t>сти машине с винтом VDM; вследствие этого самолетов Bf 109G-1/U1 выпустили считан</w:t>
      </w:r>
      <w:r w:rsidRPr="008A2E5A">
        <w:rPr>
          <w:rFonts w:ascii="Times New Roman" w:hAnsi="Times New Roman"/>
          <w:color w:val="0070C0"/>
          <w:sz w:val="16"/>
          <w:szCs w:val="16"/>
        </w:rPr>
        <w:softHyphen/>
        <w:t>ное число, в основном для применения с не</w:t>
      </w:r>
      <w:r w:rsidRPr="008A2E5A">
        <w:rPr>
          <w:rFonts w:ascii="Times New Roman" w:hAnsi="Times New Roman"/>
          <w:color w:val="0070C0"/>
          <w:sz w:val="16"/>
          <w:szCs w:val="16"/>
        </w:rPr>
        <w:softHyphen/>
        <w:t>больших норвежских и датских аэродромов. Вариант истребителя Bf 109G-1/U2 предусма</w:t>
      </w:r>
      <w:r w:rsidRPr="008A2E5A">
        <w:rPr>
          <w:rFonts w:ascii="Times New Roman" w:hAnsi="Times New Roman"/>
          <w:color w:val="0070C0"/>
          <w:sz w:val="16"/>
          <w:szCs w:val="16"/>
        </w:rPr>
        <w:softHyphen/>
        <w:t>тривал оснащение его устройством GM-1 не</w:t>
      </w:r>
      <w:r w:rsidRPr="008A2E5A">
        <w:rPr>
          <w:rFonts w:ascii="Times New Roman" w:hAnsi="Times New Roman"/>
          <w:color w:val="0070C0"/>
          <w:sz w:val="16"/>
          <w:szCs w:val="16"/>
        </w:rPr>
        <w:softHyphen/>
        <w:t>посредственно на заводе-изготовителе, но эта модификация распространения не получила</w:t>
      </w:r>
    </w:p>
    <w:p w14:paraId="7BBC9D2F"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Было выпущено 167 машин, из которых 20 экземпляров построил завод «Эрла», а остальные завод «Мессерш</w:t>
      </w:r>
      <w:r w:rsidRPr="008A2E5A">
        <w:rPr>
          <w:rFonts w:ascii="Times New Roman" w:hAnsi="Times New Roman"/>
          <w:color w:val="0070C0"/>
          <w:sz w:val="16"/>
          <w:szCs w:val="16"/>
        </w:rPr>
        <w:softHyphen/>
        <w:t>митт» в Регенсбурге. Практически все истре</w:t>
      </w:r>
      <w:r w:rsidRPr="008A2E5A">
        <w:rPr>
          <w:rFonts w:ascii="Times New Roman" w:hAnsi="Times New Roman"/>
          <w:color w:val="0070C0"/>
          <w:sz w:val="16"/>
          <w:szCs w:val="16"/>
        </w:rPr>
        <w:softHyphen/>
        <w:t>бители отправили на Западный фронт, и лишь ограниченное участие они приняли в боях на Востоке (24195).</w:t>
      </w:r>
    </w:p>
    <w:p w14:paraId="0DE71242" w14:textId="77777777" w:rsidR="00BA1D96" w:rsidRPr="008A2E5A" w:rsidRDefault="00BA1D96" w:rsidP="00BA1D96">
      <w:pPr>
        <w:spacing w:after="0" w:line="240" w:lineRule="auto"/>
        <w:jc w:val="both"/>
        <w:rPr>
          <w:rFonts w:ascii="Times New Roman" w:hAnsi="Times New Roman"/>
          <w:color w:val="0070C0"/>
          <w:sz w:val="16"/>
          <w:szCs w:val="16"/>
        </w:rPr>
      </w:pPr>
    </w:p>
    <w:p w14:paraId="74B41CF4"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года выпуск начался наиболее массового американского танка Medium Tank M4. Изначально танк оснащался радиальным мотором Continental R975 воздушного охлаждения. Но еще в 1941 года появилось сразу несколько альтернативных силовых установок. В результате только серийных моторов для Medium Tank M4 было 5 штук (</w:t>
      </w:r>
      <w:proofErr w:type="gramStart"/>
      <w:r w:rsidRPr="008A2E5A">
        <w:rPr>
          <w:rFonts w:ascii="Times New Roman" w:hAnsi="Times New Roman"/>
          <w:color w:val="0070C0"/>
          <w:sz w:val="16"/>
          <w:szCs w:val="16"/>
        </w:rPr>
        <w:t>это</w:t>
      </w:r>
      <w:proofErr w:type="gramEnd"/>
      <w:r w:rsidRPr="008A2E5A">
        <w:rPr>
          <w:rFonts w:ascii="Times New Roman" w:hAnsi="Times New Roman"/>
          <w:color w:val="0070C0"/>
          <w:sz w:val="16"/>
          <w:szCs w:val="16"/>
        </w:rPr>
        <w:t xml:space="preserve"> не считая опытных). Среди них оказался и весьма необычного вида мотор Chrysler A57 Multibank. Он ставился в Medium Tank M4A4, большинство из которых отправилось в английскую армию. Еще два танка уехало в Советский Союз, где они проходили испытания (23446).</w:t>
      </w:r>
    </w:p>
    <w:p w14:paraId="3CC7B893" w14:textId="77777777" w:rsidR="00BA1D96" w:rsidRPr="008A2E5A" w:rsidRDefault="00BA1D96" w:rsidP="00BA1D96">
      <w:pPr>
        <w:spacing w:after="0" w:line="240" w:lineRule="auto"/>
        <w:jc w:val="both"/>
        <w:rPr>
          <w:rFonts w:ascii="Times New Roman" w:hAnsi="Times New Roman"/>
          <w:color w:val="0070C0"/>
          <w:sz w:val="16"/>
          <w:szCs w:val="16"/>
        </w:rPr>
      </w:pPr>
    </w:p>
    <w:p w14:paraId="71C0FD23"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1942 Командование бомбардировщиков Королевских ВВС начинает использовать " Шейкер " - ракеты длительного горения - для освещения целей для своих самолетов (20793).</w:t>
      </w:r>
    </w:p>
    <w:p w14:paraId="13BC10C4"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30DBFC28"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1942 Fliegerkorps II Люфтваффе значительно усиливает свою кампанию по бомбардировке Мальты (20793).</w:t>
      </w:r>
    </w:p>
    <w:p w14:paraId="026552EB"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042AA052"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1942 года состоялся первый полет Bell XP-39E, позже переименованного в XP-76, прототипа запланированного Bell P-76 и раннего предшественника Bell P-63 Kingcobra (20793).</w:t>
      </w:r>
    </w:p>
    <w:p w14:paraId="72551DF0"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466A8134"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Февраль1942 состоялся первый полет Miles M.30 X-Minor (20793).</w:t>
      </w:r>
    </w:p>
    <w:p w14:paraId="7EEB90B6"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2E1B9ABE" w14:textId="77777777" w:rsidR="00AA5A5A" w:rsidRPr="008127F8" w:rsidRDefault="00AA5A5A"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феврале 1942 года, авианесущая лодка 1-25, под ко</w:t>
      </w:r>
      <w:r w:rsidRPr="008127F8">
        <w:rPr>
          <w:rFonts w:ascii="Times New Roman" w:hAnsi="Times New Roman"/>
          <w:color w:val="000000" w:themeColor="text1"/>
          <w:sz w:val="16"/>
          <w:szCs w:val="16"/>
          <w:lang w:eastAsia="ru-RU" w:bidi="ru-RU"/>
        </w:rPr>
        <w:softHyphen/>
        <w:t>мандованием капитана Тагами, была направлена в полуторамесячный поход в южную часть Тихого океана для разведки портов на побережье Австралии. В течение этого похода ее бортовой самолет (пилот — мичман Набуо Фудзита) провел облет Сиднея, Мельбурна, Хобарта и Веллингтона. 7 апреля 1942 года 1-25 благополучно возвратилась на базу (22807).</w:t>
      </w:r>
    </w:p>
    <w:p w14:paraId="740C31FA" w14:textId="77777777" w:rsidR="00AA5A5A" w:rsidRPr="008127F8" w:rsidRDefault="00AA5A5A" w:rsidP="001E0A84">
      <w:pPr>
        <w:spacing w:after="0" w:line="240" w:lineRule="auto"/>
        <w:jc w:val="both"/>
        <w:rPr>
          <w:rFonts w:ascii="Times New Roman" w:hAnsi="Times New Roman"/>
          <w:color w:val="000000" w:themeColor="text1"/>
          <w:sz w:val="16"/>
          <w:szCs w:val="16"/>
          <w:lang w:eastAsia="ru-RU" w:bidi="ru-RU"/>
        </w:rPr>
      </w:pPr>
    </w:p>
    <w:p w14:paraId="12E6448D"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командующий Объединенным флотом адмирал Ямомото подписал план строитель</w:t>
      </w:r>
      <w:r w:rsidRPr="008127F8">
        <w:rPr>
          <w:rFonts w:ascii="Times New Roman" w:hAnsi="Times New Roman"/>
          <w:color w:val="000000" w:themeColor="text1"/>
          <w:sz w:val="16"/>
          <w:szCs w:val="16"/>
        </w:rPr>
        <w:softHyphen/>
        <w:t>ства подводной авианосной флоти</w:t>
      </w:r>
      <w:r w:rsidRPr="008127F8">
        <w:rPr>
          <w:rFonts w:ascii="Times New Roman" w:hAnsi="Times New Roman"/>
          <w:color w:val="000000" w:themeColor="text1"/>
          <w:sz w:val="16"/>
          <w:szCs w:val="16"/>
        </w:rPr>
        <w:softHyphen/>
        <w:t>лии особого назначения Sen Токи (Sensuican Токи — подводная лодка специального назначения), в составе 18 лодок типа STo или 1-400 (по назва</w:t>
      </w:r>
      <w:r w:rsidRPr="008127F8">
        <w:rPr>
          <w:rFonts w:ascii="Times New Roman" w:hAnsi="Times New Roman"/>
          <w:color w:val="000000" w:themeColor="text1"/>
          <w:sz w:val="16"/>
          <w:szCs w:val="16"/>
        </w:rPr>
        <w:softHyphen/>
        <w:t>нию головного корабля серии). Лодки этого типа должны были нести по 3-4 бомбардировщика-торпедоносца (с боевой нагрузкой до 1 т), обладать че</w:t>
      </w:r>
      <w:r w:rsidRPr="008127F8">
        <w:rPr>
          <w:rFonts w:ascii="Times New Roman" w:hAnsi="Times New Roman"/>
          <w:color w:val="000000" w:themeColor="text1"/>
          <w:sz w:val="16"/>
          <w:szCs w:val="16"/>
        </w:rPr>
        <w:softHyphen/>
        <w:t>тырехмесячной автономностью, и дальностью плавания до 40000 миль. Ямомото определил и ос</w:t>
      </w:r>
      <w:r w:rsidRPr="008127F8">
        <w:rPr>
          <w:rFonts w:ascii="Times New Roman" w:hAnsi="Times New Roman"/>
          <w:color w:val="000000" w:themeColor="text1"/>
          <w:sz w:val="16"/>
          <w:szCs w:val="16"/>
        </w:rPr>
        <w:softHyphen/>
        <w:t>новную цель для этих ударных подлодок — разрушение шлю</w:t>
      </w:r>
      <w:r w:rsidRPr="008127F8">
        <w:rPr>
          <w:rFonts w:ascii="Times New Roman" w:hAnsi="Times New Roman"/>
          <w:color w:val="000000" w:themeColor="text1"/>
          <w:sz w:val="16"/>
          <w:szCs w:val="16"/>
        </w:rPr>
        <w:softHyphen/>
        <w:t>зов Панамского канала. Если бы удалось блокировать этот крат</w:t>
      </w:r>
      <w:r w:rsidRPr="008127F8">
        <w:rPr>
          <w:rFonts w:ascii="Times New Roman" w:hAnsi="Times New Roman"/>
          <w:color w:val="000000" w:themeColor="text1"/>
          <w:sz w:val="16"/>
          <w:szCs w:val="16"/>
        </w:rPr>
        <w:softHyphen/>
        <w:t>чайший путь из Атлантическо</w:t>
      </w:r>
      <w:r w:rsidRPr="008127F8">
        <w:rPr>
          <w:rFonts w:ascii="Times New Roman" w:hAnsi="Times New Roman"/>
          <w:color w:val="000000" w:themeColor="text1"/>
          <w:sz w:val="16"/>
          <w:szCs w:val="16"/>
        </w:rPr>
        <w:softHyphen/>
        <w:t>го в Тихий океан, то японский флот имел бы шансы сохранить на более длительный период то превосходство, которого он до</w:t>
      </w:r>
      <w:r w:rsidRPr="008127F8">
        <w:rPr>
          <w:rFonts w:ascii="Times New Roman" w:hAnsi="Times New Roman"/>
          <w:color w:val="000000" w:themeColor="text1"/>
          <w:sz w:val="16"/>
          <w:szCs w:val="16"/>
        </w:rPr>
        <w:softHyphen/>
        <w:t>бился на тихоокеанском театре, нанеся неожиданный удар по Перл-Харбору (22807).</w:t>
      </w:r>
    </w:p>
    <w:p w14:paraId="26E08B19"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0F450890"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года, чтобы не затягивать дело, было решено передать постройку Ме264 фирме «Дорнье», подключив к работе и завод «Везер Флюгцойгбау». Однако директорат «Дорнье» был озабочен собственным бомбардировщиком Do217 и тихо саботировал стороннее задание.</w:t>
      </w:r>
    </w:p>
    <w:p w14:paraId="666644EA"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фирмы Мессершмитт на главной базе в Аугсбурге не было цеха, подходившего для серийной сборки самолета таких размеров и Мессершмитт только начал возводить завод тяжелого самолетостроения в Нойе-Оффине, в районе Ульма.</w:t>
      </w:r>
    </w:p>
    <w:p w14:paraId="7C6EC595"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Мессершмитт также не выполнял своих обязательств, что и констатировала комиссия, нагрянувшая в Аугсбург апреле 1942 года. Был поставлен вопрос о закрытии программы, но Мессершмитт вовремя вновь выдвинул идею атомной бомбардировки США, а также дальней разведки в Атлантике, Экваториальной Африке и вдоль Транссибирской магистрали. В связи с этим было принято решение сократить число прорабатываемых вариантов, отказавшись от буксировки и дозаправки в полете, а также снизить требования по дальности и боевой нагрузке. Число заказанных опытных образцов было сокращено до трех.</w:t>
      </w:r>
    </w:p>
    <w:p w14:paraId="409ED9A5"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первым опытным были заложены еще пять самолетов. Три последних строились за счет фирмы и сильно отставали, но и «казенные» Me264V2 и V3 тоже опаздывали. На них было много изменений, в частности установили увеличенное крыло и звездообразные моторы BMW801D с устройством впрыска закиси азота GM1, для повышения высотности за счет насыщения топливной смеси кислородом. Второй прототип строился как стратегический разведчик, а третий — вновь как бомбардировщик. На нем была предусмотрена установка двух сбрасываемых баков на 5000 л бензина в каждом и стартовые ракетные ускорители, которые сбрасывались на парашютах и использовались повторно. Эти самолеты несли оборонительное вооружение и 1000 кг брони (22883).</w:t>
      </w:r>
    </w:p>
    <w:p w14:paraId="291053CD"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726BB689"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февраля 1942 был возобновлен выпуск Bf-110. В серию пошли истребитель-бомбардировщик Bf-110E-2 (отличался от E-1 наличием спасательной лодки по образцу D-3), дальний разведчик Bf-110E-3 (устанавливалось фотооборудование, пушки и подфюзеляжные бомбодержатели снимались, мог нести подкрыльевые сбрасываемые баки), Bf-110F-2 — «охотник» без держателей ETC и Bf-110F-3 — дальний разведчик, аналогичный E-3 (22894).</w:t>
      </w:r>
    </w:p>
    <w:p w14:paraId="2946A885"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16BBCECF"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сдали первый FW 200C-4, и до конца года их выпустили 84 штуки. Наряду с KG 40 самолеты этого типа пошли в бомбардировочную группу II/KG 100 и в разведывательные эскадрильи. Возможности поиска целей стали существенно шире. Именно FW 200C из 3/KG 40 первым обнаружил шедший в Мурманск конвой P.Q. 17, который потом подвергался непрерывным атакам авиации и подлодок и понес тяжелейшие потери.</w:t>
      </w:r>
    </w:p>
    <w:p w14:paraId="3DF9A288" w14:textId="77777777" w:rsidR="00AA5A5A" w:rsidRPr="008127F8" w:rsidRDefault="00AA5A5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первых самолетах модификации FW 200C-4 появилась серийная РЛС FuG 200 «Росток» с широким полем обзора и дальностью обнаружения транспорта до 60 км. Но минимальная дальность видения у нее была лишь 5 км, и пока самолет выходил на боевой курс, бомбардир часто терял цель. Локатор FuG 203 «Хохентвиль» имел узкое поле обзора, но контакт с целью сохранялся до дистанции 1,5 км, а максимальная дальность обнаружения судна с высоты 1000 м достигала 100 км. В позиции «А» снова была смонтирована турель HDL 151 с пушкой MG 121/20. В точке «D» при установке прицела «Лотфе» ставили пулемет MG 131, а если самолет комплектовался старым «Реви» — пушку MG 151/20 (22969).</w:t>
      </w:r>
    </w:p>
    <w:p w14:paraId="3811E8BB" w14:textId="77777777" w:rsidR="00AA5A5A" w:rsidRPr="008127F8" w:rsidRDefault="00AA5A5A" w:rsidP="001E0A84">
      <w:pPr>
        <w:spacing w:after="0" w:line="240" w:lineRule="auto"/>
        <w:jc w:val="both"/>
        <w:rPr>
          <w:rFonts w:ascii="Times New Roman" w:hAnsi="Times New Roman"/>
          <w:color w:val="000000" w:themeColor="text1"/>
          <w:sz w:val="16"/>
          <w:szCs w:val="16"/>
        </w:rPr>
      </w:pPr>
    </w:p>
    <w:p w14:paraId="60213D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Карлсхафене начались испытания радиоуправляемой планирующей УАБ FX1400 (или, как ее еще называли, Fritz X), разработанной доктором Максом Крамером, но из-за потребности в “чистом небе” спустя два месяца были перенесены в солнечную Италию на учебный полигон Фоджа. Могли ли тогда итальянцы догадываться, какие потери их флоту нанесут эти бомбы полтора года спустя! Снабженный крестообразными стабилизаторами Fritz X мог применятся с высот не менее 4000 м. Бомба имела корпус из закалённой стали с толщиной стенок в оживальной части до 15 см. С высоты 6000 м она пробивала 130-мм палубную броню. Взрыватель был ударного действия с задержкой инициирования заряда взрывчатого вещества на время проникновения бомбы внутрь цели. Ускоритель, подобный тому, какой был на Hs293, у FX1400 отсутствовал. Бомба имела хвостовой огонь-трассер, служивший для обозначения ее курса в условиях пониженной видимости. Это создавало ошибочное впечатление наличия ракетного двигателя (9524).</w:t>
      </w:r>
    </w:p>
    <w:p w14:paraId="763134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1C00E" w14:textId="77777777" w:rsidR="000E6375" w:rsidRPr="008127F8" w:rsidRDefault="000E637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в Карлсхафене начались испытания FX1400, но из-за потребности в "чистом небе" спустя два месяца были перенесены в солнечную Италию на учебный полигон Фоджа (15139).</w:t>
      </w:r>
    </w:p>
    <w:p w14:paraId="1BF1C150" w14:textId="77777777" w:rsidR="000E6375" w:rsidRPr="008127F8" w:rsidRDefault="000E6375" w:rsidP="001E0A84">
      <w:pPr>
        <w:spacing w:after="0" w:line="240" w:lineRule="auto"/>
        <w:jc w:val="both"/>
        <w:rPr>
          <w:rFonts w:ascii="Times New Roman" w:hAnsi="Times New Roman"/>
          <w:color w:val="000000" w:themeColor="text1"/>
          <w:sz w:val="16"/>
          <w:szCs w:val="16"/>
        </w:rPr>
      </w:pPr>
    </w:p>
    <w:p w14:paraId="2491E6F1" w14:textId="77777777" w:rsidR="000E6375" w:rsidRPr="008127F8" w:rsidRDefault="000E6375" w:rsidP="001E0A84">
      <w:pPr>
        <w:pStyle w:val="book"/>
        <w:ind w:firstLine="0"/>
        <w:jc w:val="both"/>
        <w:rPr>
          <w:color w:val="000000" w:themeColor="text1"/>
          <w:sz w:val="16"/>
          <w:szCs w:val="16"/>
        </w:rPr>
      </w:pPr>
      <w:r w:rsidRPr="008127F8">
        <w:rPr>
          <w:color w:val="000000" w:themeColor="text1"/>
          <w:sz w:val="16"/>
          <w:szCs w:val="16"/>
        </w:rPr>
        <w:t>В феврале 1942 г. начальник генерального штаба сухопутных войск генерал Гальдер приказал отправить «Дору» в Крым и передать в распоряжение командующего 11-й армией для усиления осадной артиллерии.</w:t>
      </w:r>
    </w:p>
    <w:p w14:paraId="0C556CF7" w14:textId="77777777" w:rsidR="000E6375" w:rsidRPr="008127F8" w:rsidRDefault="000E6375" w:rsidP="001E0A84">
      <w:pPr>
        <w:pStyle w:val="book"/>
        <w:ind w:firstLine="0"/>
        <w:jc w:val="both"/>
        <w:rPr>
          <w:color w:val="000000" w:themeColor="text1"/>
          <w:sz w:val="16"/>
          <w:szCs w:val="16"/>
        </w:rPr>
      </w:pPr>
      <w:r w:rsidRPr="008127F8">
        <w:rPr>
          <w:color w:val="000000" w:themeColor="text1"/>
          <w:sz w:val="16"/>
          <w:szCs w:val="16"/>
        </w:rPr>
        <w:t>К этому времени «Дора» находилась на полигоне Рюгенвальд на побережье Балтийского моря. В апреле 1942 г. пушка и дивизион 672, обслуживавший ее (всего пять эшелонов), были перебазированы в Крым по маршруту: Рюгенвальд — Бремберг — Краков — Лемберг (Львов) — Запорожье — Днепропетровск — Мелитополь — Крым (15225).</w:t>
      </w:r>
    </w:p>
    <w:p w14:paraId="44420929" w14:textId="77777777" w:rsidR="000E6375" w:rsidRPr="008127F8" w:rsidRDefault="000E6375" w:rsidP="001E0A84">
      <w:pPr>
        <w:pStyle w:val="book"/>
        <w:ind w:firstLine="0"/>
        <w:jc w:val="both"/>
        <w:rPr>
          <w:color w:val="000000" w:themeColor="text1"/>
          <w:sz w:val="16"/>
          <w:szCs w:val="16"/>
        </w:rPr>
      </w:pPr>
    </w:p>
    <w:p w14:paraId="34664409" w14:textId="29DE148D" w:rsidR="003C341D" w:rsidRPr="008127F8" w:rsidRDefault="003C341D"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феврале 1942 года началась История перевооружения</w:t>
      </w:r>
      <w:r w:rsidR="008127F8">
        <w:rPr>
          <w:color w:val="000000" w:themeColor="text1"/>
          <w:sz w:val="16"/>
          <w:szCs w:val="16"/>
        </w:rPr>
        <w:t xml:space="preserve">  </w:t>
      </w:r>
      <w:hyperlink r:id="rId71" w:history="1">
        <w:r w:rsidRPr="008127F8">
          <w:rPr>
            <w:rStyle w:val="a6"/>
            <w:rFonts w:eastAsiaTheme="majorEastAsia"/>
            <w:bCs/>
            <w:iCs/>
            <w:color w:val="000000" w:themeColor="text1"/>
            <w:sz w:val="16"/>
            <w:szCs w:val="16"/>
            <w:u w:val="none"/>
            <w:bdr w:val="none" w:sz="0" w:space="0" w:color="auto" w:frame="1"/>
          </w:rPr>
          <w:t>StuG III</w:t>
        </w:r>
      </w:hyperlink>
      <w:r w:rsidR="008127F8">
        <w:rPr>
          <w:color w:val="000000" w:themeColor="text1"/>
          <w:sz w:val="16"/>
          <w:szCs w:val="16"/>
        </w:rPr>
        <w:t xml:space="preserve">  </w:t>
      </w:r>
      <w:r w:rsidRPr="008127F8">
        <w:rPr>
          <w:color w:val="000000" w:themeColor="text1"/>
          <w:sz w:val="16"/>
          <w:szCs w:val="16"/>
        </w:rPr>
        <w:t>(советское обозначение — Артштурм, артиллерийский штурмовой танк), а к началу апреля уже был готов эскизный проект. Иашина являлась творением Е.В. Синильщикова и С.Г. Перерушева. Каштанов появился среди разработчиков только летом 1942 года, когда уже шли работы по изготовлению машины, поэтому его нет среди награждённых Сталинской премией, в отличие от Синильщикова и Перерушева. 14 машин попало в состав 1435-го САП, но реально на фронте оказались 8 машин, из которых в бой ходили 7. Остальные самоходки действительно ушли в учебные части. Позже уцелевшие СГ-122 изъяли из учебных частей и переделали в СУ-76И (19602).</w:t>
      </w:r>
    </w:p>
    <w:p w14:paraId="524CD473" w14:textId="77777777" w:rsidR="003C341D" w:rsidRPr="008127F8" w:rsidRDefault="003C341D" w:rsidP="001E0A84">
      <w:pPr>
        <w:shd w:val="clear" w:color="auto" w:fill="FFFFFF"/>
        <w:spacing w:after="0" w:line="240" w:lineRule="auto"/>
        <w:jc w:val="both"/>
        <w:textAlignment w:val="baseline"/>
        <w:rPr>
          <w:rFonts w:ascii="Times New Roman" w:hAnsi="Times New Roman"/>
          <w:bCs/>
          <w:i/>
          <w:iCs/>
          <w:noProof/>
          <w:color w:val="000000" w:themeColor="text1"/>
          <w:sz w:val="16"/>
          <w:szCs w:val="16"/>
          <w:bdr w:val="none" w:sz="0" w:space="0" w:color="auto" w:frame="1"/>
          <w:lang w:eastAsia="ru-RU"/>
        </w:rPr>
      </w:pPr>
    </w:p>
    <w:p w14:paraId="687F2F0B"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Лодка Вальтера была продемонстрирована командующему кригсмарине гросс-адмиралу Эриху Редеру, но Редер не проявил к революционной субмарине ни малейшего интереса. Субмарина Вальтера не вызвала энтузиазма и у «официальных» субмариностроителей из расположенного в Берлине управления кораблестроения. В последнем случае не помогло даже личное вмешательство Денпца. Управление кораблестроения сосредоточило все свои усилия на проектировании и постройке лодок типов VII и IX традиционной конструкции. Людей из управления кораблестроения понять можно – они не хотели тратить ограниченные ресурсы на сомнительные в условиях военного времени эксперименты. Кстати – после войны с двигателями Вальтера много экспериментировали в разных странах, но ни одна субмарина с такой силовой установкой не пошла в массовое производство; минусы перевесили плюсы (19683).</w:t>
      </w:r>
    </w:p>
    <w:p w14:paraId="723CAF15"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1D159C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немецкие ученые подготовили для Министерства вооружений отчет по состоянию работ в области деления. В отчете указывалось на возможность получения плутония в ядерном реакторе (2221).</w:t>
      </w:r>
    </w:p>
    <w:p w14:paraId="6127C5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A461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якобы в одной из лабораторий Лейпцигского института был построен и заработал опытный реактор (11686).</w:t>
      </w:r>
    </w:p>
    <w:p w14:paraId="49BFDD6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609DE5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февралю 1942 года первый немецкий реактор был построен. Пока это была еще опытная установка, собранная под руководством профессора Гейзенберга и профессора Депеля в лаборатории Лейпцигского института. «Урановая машина» состояла из двух алюминиевых полусфер, крепко привинченных друг к другу. Внутрь поместили 572 килограмма уранового порошка и 140 килограмм тяжелой воды. Общий вес агрегата, полностью погруженного в резервуар с водой, при этом составлял почти тонну. Радий-бериллиевый источник нейтронов находился посередине реактора.</w:t>
      </w:r>
    </w:p>
    <w:p w14:paraId="246910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же измерения показали, что поверхности реактора достигало гораздо больше нейтронов, чем излучал их источник. Физики послали победный рапорт в отдел вооружений вермахта и засели за новые расчеты.</w:t>
      </w:r>
    </w:p>
    <w:p w14:paraId="6DB42D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увеличить реактор, загрузив в него пять тонн тяжелой воды и десять тонн литого урана, – писали они, – мы получим первый в мире „самовозбуждающийся“ ядерный реактор, то есть реактор, внутри которого будет протекать цепная ядерная реакция» (11688).</w:t>
      </w:r>
    </w:p>
    <w:p w14:paraId="3450D6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2E3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1942 г. был построен опытный экземпляр танка Шерман, а спустя еще два месяца началось серийное производство этого самого массового американского танка. Потребовалось всего 13 месяцев от момента принятия решения до начала выпуска. Танк строился до конца войны, поступал в больших количествах в английскую армию, по ленд-лизу в Советский Союз (4102 единиц), а также во все армии антигитлеровской коалиции (3905).</w:t>
      </w:r>
    </w:p>
    <w:p w14:paraId="32EA7F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DC54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BF543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A2D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г. с опозданием из-за эвакуации прошли госиспытания Ил-2 М-82. Они в целом подтвердили основные выводы заводских летных испытаний. Летчик М.А.Нюхтиков и штурман Т.Ф.Горбунов отмечали хорошую бронезащиту экипажа. Однако воздушный бой с истребителем Як-1 показал, что ограниченные углы обстрела из задней стрелковой установки не обеспечивают достаточной защиты одиночного самолета и взаимной огневой поддержки самолетов в строю. В связи с этим испытатели рекомендовали доработать оборонительную установку с целью максимально возможного увеличения углов обстрела.</w:t>
      </w:r>
    </w:p>
    <w:p w14:paraId="265FCB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все же военные посчитали целесообразным запустить Ил-2 М-82 в серийное производство. Летные качества серийных машин предполагалось улучшить установкой невысотного двигателя М-82-112И с односкоростным нагнетателем взлетной мощностью 1800 л.с. и номинальной - 1600 л.с. на высоте 1900 м. Появилось решение о постройке серии из 50 самолетов с этим двигателем, но оно не было выполнено, т.к. к этому времени уже полностью развернули серийное Производство Ил-2 и двигателей АМ-38 на новых заводах. К тому же боевой опыт показал, что применение защищенного броней двигателя жидкостного охлаждения является лучшим решением, чем установка незащищенного двигателя воздушного охлаждения, даже несмотря на его более высокую боевую живучесть (9528).</w:t>
      </w:r>
    </w:p>
    <w:p w14:paraId="4400DD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BA9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по В.Б.Ш. испытания Ил-4 - Ил-2 с М-82 начались в Куйбышеве (182). С двигателем мощностью 1675 л.с. и винтом АВ-5В была достигнута скорость у земли 365 км/час и дальность - 700 км (5).</w:t>
      </w:r>
    </w:p>
    <w:p w14:paraId="21AE60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начались в конце февраля и шли до апреля 1942 (241,21).</w:t>
      </w:r>
    </w:p>
    <w:p w14:paraId="39ACB2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7F6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февраля и до конца 1942 года завод № 81 собрал 77 машин ДБ-3, а 23-й начал со сборки в мае 1942 г., а потом и стал делать ДБ-3Ф целиком (10734,69).</w:t>
      </w:r>
    </w:p>
    <w:p w14:paraId="30C829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CD2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г., после почти полугодового пребывания в Казани, завод N 240 был реэвакуирован в Москву. И тут оказалось, что прежняя территория завода и даже его номер "экспроприированы" конструкторским коллективом С.В.Ильюшина. Ермолаев пытался "бороться за правду", но в результате сложившееся положение было закреплено приказом НКАП N 304 от 21 апреля 1942 г. Ермолаевцы вместе с чертежным хозяйством и станочным парком оказались "в подвешенном состоянии". Впрочем, вскоре их положение "существенно облегчилось" - станки и оборудование отобрали (3322,38).</w:t>
      </w:r>
    </w:p>
    <w:p w14:paraId="5D4C42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1CE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февраля-марта 1942 на основе результатов работ по М-89 взл. мощность серийного М-88 была повышена до 1250 л.с., а ресурс - до 250 час. (395,137).</w:t>
      </w:r>
    </w:p>
    <w:p w14:paraId="2D51BD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05F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февраля-марта 1942 в Новосибирске проходили совместные испытания И-185 М-71 №6204. Удалось достичь максимальной скорости 630 км/ч на рас</w:t>
      </w:r>
      <w:r w:rsidRPr="008127F8">
        <w:rPr>
          <w:rFonts w:ascii="Times New Roman" w:hAnsi="Times New Roman"/>
          <w:color w:val="000000" w:themeColor="text1"/>
          <w:sz w:val="16"/>
          <w:szCs w:val="16"/>
        </w:rPr>
        <w:softHyphen/>
        <w:t>четной высоте. Отмечалось, что самолет по своим лет</w:t>
      </w:r>
      <w:r w:rsidRPr="008127F8">
        <w:rPr>
          <w:rFonts w:ascii="Times New Roman" w:hAnsi="Times New Roman"/>
          <w:color w:val="000000" w:themeColor="text1"/>
          <w:sz w:val="16"/>
          <w:szCs w:val="16"/>
        </w:rPr>
        <w:softHyphen/>
        <w:t>ным характеристикам превосходит все отече</w:t>
      </w:r>
      <w:r w:rsidRPr="008127F8">
        <w:rPr>
          <w:rFonts w:ascii="Times New Roman" w:hAnsi="Times New Roman"/>
          <w:color w:val="000000" w:themeColor="text1"/>
          <w:sz w:val="16"/>
          <w:szCs w:val="16"/>
        </w:rPr>
        <w:softHyphen/>
        <w:t>ственные и иностранные самолеты-истребите</w:t>
      </w:r>
      <w:r w:rsidRPr="008127F8">
        <w:rPr>
          <w:rFonts w:ascii="Times New Roman" w:hAnsi="Times New Roman"/>
          <w:color w:val="000000" w:themeColor="text1"/>
          <w:sz w:val="16"/>
          <w:szCs w:val="16"/>
        </w:rPr>
        <w:softHyphen/>
        <w:t>ли. В заключении НИИ ВВС рекомендовалось принять И-185 М-71 на вооружение, в отноше</w:t>
      </w:r>
      <w:r w:rsidRPr="008127F8">
        <w:rPr>
          <w:rFonts w:ascii="Times New Roman" w:hAnsi="Times New Roman"/>
          <w:color w:val="000000" w:themeColor="text1"/>
          <w:sz w:val="16"/>
          <w:szCs w:val="16"/>
        </w:rPr>
        <w:softHyphen/>
        <w:t>нии И-185 М-82А говорилось, что он также пре</w:t>
      </w:r>
      <w:r w:rsidRPr="008127F8">
        <w:rPr>
          <w:rFonts w:ascii="Times New Roman" w:hAnsi="Times New Roman"/>
          <w:color w:val="000000" w:themeColor="text1"/>
          <w:sz w:val="16"/>
          <w:szCs w:val="16"/>
        </w:rPr>
        <w:softHyphen/>
        <w:t>восходит все серийные истребители и уступая только машине с двигателем М-71. При облете И-185 М-71 фронтовыми лет</w:t>
      </w:r>
      <w:r w:rsidRPr="008127F8">
        <w:rPr>
          <w:rFonts w:ascii="Times New Roman" w:hAnsi="Times New Roman"/>
          <w:color w:val="000000" w:themeColor="text1"/>
          <w:sz w:val="16"/>
          <w:szCs w:val="16"/>
        </w:rPr>
        <w:softHyphen/>
        <w:t>чиками в марте 1942 г. командир 18 Гвардейс</w:t>
      </w:r>
      <w:r w:rsidRPr="008127F8">
        <w:rPr>
          <w:rFonts w:ascii="Times New Roman" w:hAnsi="Times New Roman"/>
          <w:color w:val="000000" w:themeColor="text1"/>
          <w:sz w:val="16"/>
          <w:szCs w:val="16"/>
        </w:rPr>
        <w:softHyphen/>
        <w:t>кого иап майор Чертов и его заместитель ка</w:t>
      </w:r>
      <w:r w:rsidRPr="008127F8">
        <w:rPr>
          <w:rFonts w:ascii="Times New Roman" w:hAnsi="Times New Roman"/>
          <w:color w:val="000000" w:themeColor="text1"/>
          <w:sz w:val="16"/>
          <w:szCs w:val="16"/>
        </w:rPr>
        <w:softHyphen/>
        <w:t xml:space="preserve">питан Цветков дали следущую оценку И-185 как истребителю: </w:t>
      </w:r>
      <w:r w:rsidRPr="008127F8">
        <w:rPr>
          <w:rFonts w:ascii="Times New Roman" w:hAnsi="Times New Roman"/>
          <w:iCs/>
          <w:color w:val="000000" w:themeColor="text1"/>
          <w:sz w:val="16"/>
          <w:szCs w:val="16"/>
        </w:rPr>
        <w:t>«Преимущества данного са</w:t>
      </w:r>
      <w:r w:rsidRPr="008127F8">
        <w:rPr>
          <w:rFonts w:ascii="Times New Roman" w:hAnsi="Times New Roman"/>
          <w:iCs/>
          <w:color w:val="000000" w:themeColor="text1"/>
          <w:sz w:val="16"/>
          <w:szCs w:val="16"/>
        </w:rPr>
        <w:softHyphen/>
        <w:t>молета перед имеющимися очевидны. Любой летчик средней квалификации, в особенность летающий на И-16, легко может летать на дан ном самолете. Разбег и пробег являются осо бенно положительной чертой для боевой ра боты... В отличие от имеющихся самолетов ка бина комфортна»</w:t>
      </w:r>
      <w:r w:rsidRPr="008127F8">
        <w:rPr>
          <w:rFonts w:ascii="Times New Roman" w:hAnsi="Times New Roman"/>
          <w:color w:val="000000" w:themeColor="text1"/>
          <w:sz w:val="16"/>
          <w:szCs w:val="16"/>
        </w:rPr>
        <w:t xml:space="preserve"> (9979).</w:t>
      </w:r>
    </w:p>
    <w:p w14:paraId="5BED39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BCED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проходили гос. испытания М-71 N 24 и N 36. Первый из них был снят с испытаний после 45 часов режимной работы, по поломке передней мотылевой шейки коленвала. Поломка произошла по причине грубой обработки отверстия под маслопроводящую трубку. Второй мотор прошел 100 часов режимной работы, но испытания не были зачтены из-за наличия выгорания фасок на клапанах выхлопа (1684,169).</w:t>
      </w:r>
    </w:p>
    <w:p w14:paraId="0902A54E"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5F5CCC4E"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феврале-марте 1942 г. перед началом серийного выпуска истребителей Як- 7Б старший инженер ЦАГИ Е.А. Покровский произвел сравнительный расчет этой машины на штопор статисти</w:t>
      </w:r>
      <w:r w:rsidRPr="008A2E5A">
        <w:rPr>
          <w:rFonts w:ascii="Times New Roman" w:hAnsi="Times New Roman"/>
          <w:color w:val="0070C0"/>
          <w:sz w:val="16"/>
          <w:szCs w:val="16"/>
        </w:rPr>
        <w:softHyphen/>
        <w:t>ческими методами профессора А.И. Журавченко и про</w:t>
      </w:r>
      <w:r w:rsidRPr="008A2E5A">
        <w:rPr>
          <w:rFonts w:ascii="Times New Roman" w:hAnsi="Times New Roman"/>
          <w:color w:val="0070C0"/>
          <w:sz w:val="16"/>
          <w:szCs w:val="16"/>
        </w:rPr>
        <w:softHyphen/>
        <w:t>фессора В.С. Пышнова. В целях расчета сравнивались основные конструктивные параметры ЛаГГ-3, прошед</w:t>
      </w:r>
      <w:r w:rsidRPr="008A2E5A">
        <w:rPr>
          <w:rFonts w:ascii="Times New Roman" w:hAnsi="Times New Roman"/>
          <w:color w:val="0070C0"/>
          <w:sz w:val="16"/>
          <w:szCs w:val="16"/>
        </w:rPr>
        <w:softHyphen/>
        <w:t>шего в 1941 г. испытания на штопор, и Як-7Б. Анализ ма</w:t>
      </w:r>
      <w:r w:rsidRPr="008A2E5A">
        <w:rPr>
          <w:rFonts w:ascii="Times New Roman" w:hAnsi="Times New Roman"/>
          <w:color w:val="0070C0"/>
          <w:sz w:val="16"/>
          <w:szCs w:val="16"/>
        </w:rPr>
        <w:softHyphen/>
        <w:t>териалов расчета показал для Як-7Б лучшие, чем у ЛаГГ- 3 характеристики штопора, в соответствии с чем Ново</w:t>
      </w:r>
      <w:r w:rsidRPr="008A2E5A">
        <w:rPr>
          <w:rFonts w:ascii="Times New Roman" w:hAnsi="Times New Roman"/>
          <w:color w:val="0070C0"/>
          <w:sz w:val="16"/>
          <w:szCs w:val="16"/>
        </w:rPr>
        <w:softHyphen/>
        <w:t>сибирский филиал ЦАГИ дал заключение о безопасности штопора для самолетов Як-7 (23381).</w:t>
      </w:r>
    </w:p>
    <w:p w14:paraId="0616BE9B" w14:textId="77777777" w:rsidR="00BA1D96" w:rsidRPr="008A2E5A" w:rsidRDefault="00BA1D96" w:rsidP="00BA1D96">
      <w:pPr>
        <w:spacing w:after="0" w:line="240" w:lineRule="auto"/>
        <w:jc w:val="both"/>
        <w:rPr>
          <w:rFonts w:ascii="Times New Roman" w:hAnsi="Times New Roman"/>
          <w:color w:val="0070C0"/>
          <w:sz w:val="16"/>
          <w:szCs w:val="16"/>
        </w:rPr>
      </w:pPr>
    </w:p>
    <w:p w14:paraId="458C631F"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г. удалось провести государственные испытания ЛаГГ-3 зав. № 312197 с пушкой 11П в НИП АВ. При положительных выводах имелся и «подводный камень»: рекомендовалось переделать пушку под патрон от Ш-37, отличавшийся отсутствием буртика на гильзе. Повторно пушка 11П с патроном без буртика успешно прошла испытания на том же ЛаГГ-3 в июле-августе 1942 г. (18999).</w:t>
      </w:r>
    </w:p>
    <w:p w14:paraId="35C38889"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2959B5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февраля-марта 1942 года была проведена реэвакуация завода № 150 (9504).</w:t>
      </w:r>
    </w:p>
    <w:p w14:paraId="718D3A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5EBFD"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период с февраля 1942 года по май 1942 года была разработана пусковая установка М-8-М башенно-палубного типа для стрельбы неуправляемыми реактивными снарядами М-8 калибра 82 мм использованных для стрельбы с сухопутных установок М-8-36 и железнодорожных установок. Она предназначалась для обеспечения выполнения боевых задач по поражению массированным огнем незащищенных береговых и морских целей, а также защиты катера или корабля от низколетящих самолетов противника. В состав метательной установки входил пакет из 12 направляющих типа “балка” длиной 2000 мм каждая. Направляющие крепились на каркасной ферме, собранной из трубчатых заготовок. Наведение по углу возвышения в пределах от 0 до 45°. Залп производился в результате вращения маховичка ПУО. За один поворот маховичка с боевой установки сходили два неуправляемых реактивных снаряда М-8. Пуск снаряда (выстрел) производился после подачи импульса электрического тока от батареи через прибор управления огнем и электрический контакт пиротехнического пистолета к пиротехническому патрону, который взрываясь (срабатывая), воспламенял пороховой заряд ракетного двигателя реактивного снаряда М-8. Под палубой, в трюме, предусматривалось помещение для хранения комплекта снарядов. Ведущим конструктором был Александр Николаевич Васильев. 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483B24D9"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p>
    <w:p w14:paraId="20016DCE" w14:textId="77777777" w:rsidR="003C7F51" w:rsidRPr="008127F8" w:rsidRDefault="003C7F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период с февраля по май 1942 года по заданию Наркомата минометного вооружения и исходным данным, полученным из Артиллерийского Управления Военно-Морского Флота, была разработана установка М-13-МI надпалубного типа и затем смонтирована на речном катере. Ведущим конструктором был А.Н. Васильев. Запуск снарядов обеспечивался оператором, находившимся в рубке. При стрельбе неуправляемыми реактивными снарядами калибра 132 мм могло быть обеспечено уничтожение живой силы и боевой техники противника при подготовке к высадке десанта, а также при проведении оборонительных операций. Установка крепилась на крыше боевой рубки, огороженной защитным устройством. Метательная установка, за исключением фермы, была унифицированной метательной установкой установки </w:t>
      </w:r>
      <w:hyperlink r:id="rId72" w:history="1">
        <w:r w:rsidRPr="008127F8">
          <w:rPr>
            <w:rStyle w:val="a6"/>
            <w:rFonts w:ascii="Times New Roman" w:hAnsi="Times New Roman"/>
            <w:color w:val="000000" w:themeColor="text1"/>
            <w:sz w:val="16"/>
            <w:szCs w:val="16"/>
          </w:rPr>
          <w:t>М-13</w:t>
        </w:r>
      </w:hyperlink>
      <w:r w:rsidRPr="008127F8">
        <w:rPr>
          <w:rFonts w:ascii="Times New Roman" w:hAnsi="Times New Roman"/>
          <w:color w:val="000000" w:themeColor="text1"/>
          <w:sz w:val="16"/>
          <w:szCs w:val="16"/>
        </w:rPr>
        <w:t>, монтировавшейся на доработанном шасси грузового автомобиля ЗИС-6. Использовалась ферма от установки М-13, метательная установка которой монтировалась на доработанном шасси трактора СТЗ-5. Снаряды М-13 запускались с помощью установок на доработанных шасси грузовых автомобилей, танков и железнодорожных платформ.</w:t>
      </w:r>
    </w:p>
    <w:p w14:paraId="71DE2A8F" w14:textId="77777777" w:rsidR="003C7F51" w:rsidRPr="008127F8" w:rsidRDefault="003C7F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Метательная установка монтировалась на специальный подрамник в виде каркаса из швеллерных балок, в нижней части которого располагался шариковый погон. Нижняя часть шарикового погона крепилась на верхней части палубы бронекатера. Внутри нижней (неподвижной) части погона имелось цевочное зацепление, а на верхней (поворотной) части погона закреплялось колесо с приводом. Это позволяло осуществлять круговой поворот всей метательной установки по азимуту. Горизонтальный механизм наведения в поворотном устройстве в этом случае являлся доводочным. Система прицеливания была унифицирована с системой установки М-13 на доработанном шасси трактора СТЗ-5. Электрооборудование метательной установки было максимально унифицировано с электрооборудованием серийной установки М-13 на дорботанном шасси грузового автомобиля ЗИС-6, с увеличением длины приводов и размещением аккумуляторных батарей и переключателя прибора управления огнем в подпалубном положении. В трюме имелось помещение для хранения боеприпасов. Опытный образец был изготовлен в мае 1942 года на московском заводе “Компрессор”,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7313AF06" w14:textId="77777777" w:rsidR="003C7F51" w:rsidRPr="008127F8" w:rsidRDefault="003C7F51" w:rsidP="001E0A84">
      <w:pPr>
        <w:spacing w:after="0" w:line="240" w:lineRule="auto"/>
        <w:jc w:val="both"/>
        <w:rPr>
          <w:rFonts w:ascii="Times New Roman" w:hAnsi="Times New Roman"/>
          <w:color w:val="000000" w:themeColor="text1"/>
          <w:sz w:val="16"/>
          <w:szCs w:val="16"/>
        </w:rPr>
      </w:pPr>
    </w:p>
    <w:p w14:paraId="552E7BC7"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феврале-июне 1942 года по заданию Наркомата минометного вооружения СССР и исходным данным, представленным из Артиллерийского управления ВМФ, была разработана боевая 32-зарядная установка М-13-МII башенно-палубного типа для пуска неуправляемых реактивных снарядов М-13 калибра 132 мм. Снаряды предназначались для тех же целей, что и при пуске с помощью установки М-13-МI. Опытный образец поставили вместо кормовой пушки Лендера на волжский “БКА-315”. Появилась возможность обеспечивать большую огневую мощь. Благодаря конструктивной переработке всей метательной установки, за исключением направляющих, конструкция которых была сохранена без изменений, было увеличено количество снарядов в залпе. Двойное количество направляющих расположили в два яруса, по восемь направляющих в одном ярусе.</w:t>
      </w:r>
    </w:p>
    <w:p w14:paraId="734F7235"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Сиденья располагались в подпалубном помещении и перемещались в горизонтальной плоскости вместе с поворотным устройством, механизмами наведения и прицелом.</w:t>
      </w:r>
    </w:p>
    <w:p w14:paraId="49DD5131"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Электрооборудование состояло из аккумуляторных батарей, размещаемых под сиденьем, переключателя прибора управления огнем и приводов, соединяющих их с электрическими контактами на направляющих.</w:t>
      </w:r>
    </w:p>
    <w:p w14:paraId="4A809B0B"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Пуск снарядов со сдвоенных направляющих осуществлялся посредством переключателя ПУО – по два снаряда одновременно. В трюме бронекатера имелось помещение для боеприпасов. 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(15982).</w:t>
      </w:r>
    </w:p>
    <w:p w14:paraId="42C8D175" w14:textId="77777777" w:rsidR="003C7F51" w:rsidRPr="008127F8" w:rsidRDefault="003C7F51" w:rsidP="001E0A84">
      <w:pPr>
        <w:spacing w:after="0" w:line="240" w:lineRule="auto"/>
        <w:jc w:val="both"/>
        <w:rPr>
          <w:rFonts w:ascii="Times New Roman" w:eastAsia="Times New Roman" w:hAnsi="Times New Roman"/>
          <w:color w:val="000000" w:themeColor="text1"/>
          <w:sz w:val="16"/>
          <w:szCs w:val="16"/>
        </w:rPr>
      </w:pPr>
    </w:p>
    <w:p w14:paraId="2D1854E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97D6B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16CE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марте 1942 г. с целью значительного повышения бронебойного действия снарядов по заданию ГАУ РККА группой инженеров, возглавляемой И.О. Бурмистровым и В.Н. Константиновым, был разработан 45-мм подкалиберный бронебойно-трассирующий снаряд, который решением ГКО был принят на вооружение РККА с 1 апреля 1942 г. В дальнейшем группа И.С. Бурмистрова разработала 76- и 57-мм подкалиберные бронебойные снаряды с сердечниками из карбидвольфрамового твердого сплава, имевших диаметр соответственно 28 и 25 мм. В апреле - мае 1943 г. решением ГКО оба снаряда были приняты на вооружение РККА. При дальностях стрельбы от 300 до 500 м и угле встречи 90° толщина пробиваемой брони для 45-мм подкалиберного снаряда изменялась соответственно от 77 до 66 мм, для 57-мм снаряда - от 165 до 146 мм и для 76-мм подкалиберного снаряда - от 114 до 96 мм. В дальнейшем в НИИ-24 НКБ СССР был разработан бронебойно-трассирующий подкалиберный снаряд БР-365П к 85-мм пушке. Он был принят на вооружение РККА в феврале 1944 г. Специализированные заводы Наркомата боеприпасов быстро осво</w:t>
      </w:r>
      <w:r w:rsidRPr="008127F8">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8127F8">
        <w:rPr>
          <w:rFonts w:ascii="Times New Roman" w:hAnsi="Times New Roman"/>
          <w:color w:val="000000" w:themeColor="text1"/>
          <w:sz w:val="16"/>
          <w:szCs w:val="16"/>
        </w:rPr>
        <w:softHyphen/>
        <w:t>рядов, около 0,5 млн - 57-мм, более 1 млн - 76-мм, 95 тыс. - 85-мм сна</w:t>
      </w:r>
      <w:r w:rsidRPr="008127F8">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8127F8">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8127F8">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8127F8">
        <w:rPr>
          <w:rFonts w:ascii="Times New Roman" w:hAnsi="Times New Roman"/>
          <w:color w:val="000000" w:themeColor="text1"/>
          <w:sz w:val="16"/>
          <w:szCs w:val="16"/>
        </w:rPr>
        <w:softHyphen/>
        <w:t xml:space="preserve">ной массой и всеми свойствами сверхтвердых сплавов. Сам сердечник имел остроголовую цилиндро-оживальную </w:t>
      </w:r>
      <w:r w:rsidRPr="008127F8">
        <w:rPr>
          <w:rFonts w:ascii="Times New Roman" w:hAnsi="Times New Roman"/>
          <w:color w:val="000000" w:themeColor="text1"/>
          <w:sz w:val="16"/>
          <w:szCs w:val="16"/>
        </w:rPr>
        <w:lastRenderedPageBreak/>
        <w:t>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8127F8">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8127F8">
        <w:rPr>
          <w:rFonts w:ascii="Times New Roman" w:hAnsi="Times New Roman"/>
          <w:color w:val="000000" w:themeColor="text1"/>
          <w:sz w:val="16"/>
          <w:szCs w:val="16"/>
        </w:rPr>
        <w:softHyphen/>
        <w:t>не и придания головной части снаряда удобообтекаемой формы (10703).</w:t>
      </w:r>
    </w:p>
    <w:p w14:paraId="2F3AB7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97BE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марте 1942 года под руководством Бурмистрова И.С. и Константинова В.И. был спроектирован бронебойный подкалиберный снаряд БР-240П (3861).</w:t>
      </w:r>
    </w:p>
    <w:p w14:paraId="2A8720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EA734"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Февраль-июль 1942. Начато производство авиационной пушки ВЯ калибра 23 мм, разработанной тульскими конструкторами АА Волковым и С.А. Ярцевым. Для выполнения срочного задания всем отделам и цехам предписывалось развернуть организационно-подготовительные работы.</w:t>
      </w:r>
    </w:p>
    <w:p w14:paraId="0A913416"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Ответственным за подготовку производства и выпуск изделий был назначен главный инженер ПИ. Маркелов.</w:t>
      </w:r>
    </w:p>
    <w:p w14:paraId="7F87DA53"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Усовершенствование пулемета ГШ. Горюнова (со штампованным приемником). Полученные после отстрела результаты доказывают, что пулемет отвечает всем тактикотехническим требованиям, по которым определяется степень пригодности системы для принятия ее на вооружение.</w:t>
      </w:r>
    </w:p>
    <w:p w14:paraId="19CF940C"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Задание Наркомата обязывало завод с первых месяцев 1942 года увеличить выпуск противотанковых ружей на 10%, пушек ШВАК на 15%.</w:t>
      </w:r>
    </w:p>
    <w:p w14:paraId="4B6F476E"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Завод получил срочное задание - освоить и наладить выпуск пистолетов-пулеметов системы Г.С. Шпагина.</w:t>
      </w:r>
    </w:p>
    <w:p w14:paraId="07143436"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Для выполнения заказа было организовано самость-тельное производство «ППШ», а его надальнивдфшначен инженер М.В. Горячий.</w:t>
      </w:r>
    </w:p>
    <w:p w14:paraId="2D23A8A7" w14:textId="77777777" w:rsidR="0014562F" w:rsidRPr="008127F8" w:rsidRDefault="0014562F" w:rsidP="001E0A84">
      <w:pPr>
        <w:pStyle w:val="af"/>
        <w:spacing w:before="0" w:after="0"/>
        <w:jc w:val="both"/>
        <w:rPr>
          <w:color w:val="000000" w:themeColor="text1"/>
          <w:sz w:val="16"/>
          <w:szCs w:val="16"/>
        </w:rPr>
      </w:pPr>
      <w:r w:rsidRPr="008127F8">
        <w:rPr>
          <w:color w:val="000000" w:themeColor="text1"/>
          <w:sz w:val="16"/>
          <w:szCs w:val="16"/>
        </w:rPr>
        <w:t>На фронт отправлено 144879 противотанковых ружей (12221).</w:t>
      </w:r>
    </w:p>
    <w:p w14:paraId="4C09C883" w14:textId="77777777" w:rsidR="0014562F" w:rsidRPr="008127F8" w:rsidRDefault="0014562F" w:rsidP="001E0A84">
      <w:pPr>
        <w:pStyle w:val="af"/>
        <w:spacing w:before="0" w:after="0"/>
        <w:jc w:val="both"/>
        <w:rPr>
          <w:color w:val="000000" w:themeColor="text1"/>
          <w:sz w:val="16"/>
          <w:szCs w:val="16"/>
        </w:rPr>
      </w:pPr>
    </w:p>
    <w:p w14:paraId="2E5E2C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марте 1942 г. выпускались танки Т-34 (около 300 машин) с усиленной броневой защитой за счет приварки дополнительных 15-м броневых листов на лобовой части корпуса и бортах башни. Начиная с 20 мая 1942 г., корпуса танков производства завода № 112 стали выпускаться с приваренными к лобовому и бортовым листам отражательными планками, которые полностью перекрывали зазор между и подбашенным листом корпуса и тем самым было исключено ивание башни при обстреле. С апреля того же года, на том же заводе на бортах и лобовом листе корпуса, а также бортах башни танков устанавливаться десантные поручни (10703).</w:t>
      </w:r>
    </w:p>
    <w:p w14:paraId="6DCF75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E08F8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марте 1942 г. на ЧКЗ были предприняты попытки по</w:t>
      </w:r>
      <w:r w:rsidRPr="008127F8">
        <w:rPr>
          <w:rFonts w:ascii="Times New Roman" w:hAnsi="Times New Roman"/>
          <w:color w:val="000000" w:themeColor="text1"/>
          <w:sz w:val="16"/>
          <w:szCs w:val="16"/>
        </w:rPr>
        <w:softHyphen/>
        <w:t>высить динамику танка КВ-1 за счет установки форсированного до 650 л.с. (478 кВт) дизеля В-2КФ с пневматическим регулятором конст</w:t>
      </w:r>
      <w:r w:rsidRPr="008127F8">
        <w:rPr>
          <w:rFonts w:ascii="Times New Roman" w:hAnsi="Times New Roman"/>
          <w:color w:val="000000" w:themeColor="text1"/>
          <w:sz w:val="16"/>
          <w:szCs w:val="16"/>
        </w:rPr>
        <w:softHyphen/>
        <w:t>рукции инженера Носенко, новых бортовых редукторов с измененным передаточным отношением (16,13 против 14,69) и венцов ведущих ко</w:t>
      </w:r>
      <w:r w:rsidRPr="008127F8">
        <w:rPr>
          <w:rFonts w:ascii="Times New Roman" w:hAnsi="Times New Roman"/>
          <w:color w:val="000000" w:themeColor="text1"/>
          <w:sz w:val="16"/>
          <w:szCs w:val="16"/>
        </w:rPr>
        <w:softHyphen/>
        <w:t>лес с уменьшенным числом зубьев (с 16 до 14). В результате испытаний двух опытных образцов танка КВ-1 с установленными новыми агрегата</w:t>
      </w:r>
      <w:r w:rsidRPr="008127F8">
        <w:rPr>
          <w:rFonts w:ascii="Times New Roman" w:hAnsi="Times New Roman"/>
          <w:color w:val="000000" w:themeColor="text1"/>
          <w:sz w:val="16"/>
          <w:szCs w:val="16"/>
        </w:rPr>
        <w:softHyphen/>
        <w:t>ми были выявлены: повышенная тепловая напряженность форсирован</w:t>
      </w:r>
      <w:r w:rsidRPr="008127F8">
        <w:rPr>
          <w:rFonts w:ascii="Times New Roman" w:hAnsi="Times New Roman"/>
          <w:color w:val="000000" w:themeColor="text1"/>
          <w:sz w:val="16"/>
          <w:szCs w:val="16"/>
        </w:rPr>
        <w:softHyphen/>
        <w:t>ного дизеля, неприемлемая для условий его установки в танке; увеличе</w:t>
      </w:r>
      <w:r w:rsidRPr="008127F8">
        <w:rPr>
          <w:rFonts w:ascii="Times New Roman" w:hAnsi="Times New Roman"/>
          <w:color w:val="000000" w:themeColor="text1"/>
          <w:sz w:val="16"/>
          <w:szCs w:val="16"/>
        </w:rPr>
        <w:softHyphen/>
        <w:t>ние средней скорости движения по проселку и целине на 6 - 14 %; сни</w:t>
      </w:r>
      <w:r w:rsidRPr="008127F8">
        <w:rPr>
          <w:rFonts w:ascii="Times New Roman" w:hAnsi="Times New Roman"/>
          <w:color w:val="000000" w:themeColor="text1"/>
          <w:sz w:val="16"/>
          <w:szCs w:val="16"/>
        </w:rPr>
        <w:softHyphen/>
        <w:t>жение потребного числа переключений передач в 10 - 14 раз, что благо</w:t>
      </w:r>
      <w:r w:rsidRPr="008127F8">
        <w:rPr>
          <w:rFonts w:ascii="Times New Roman" w:hAnsi="Times New Roman"/>
          <w:color w:val="000000" w:themeColor="text1"/>
          <w:sz w:val="16"/>
          <w:szCs w:val="16"/>
        </w:rPr>
        <w:softHyphen/>
        <w:t>приятно влияло на работу трансмиссии (напряженность работы агрега</w:t>
      </w:r>
      <w:r w:rsidRPr="008127F8">
        <w:rPr>
          <w:rFonts w:ascii="Times New Roman" w:hAnsi="Times New Roman"/>
          <w:color w:val="000000" w:themeColor="text1"/>
          <w:sz w:val="16"/>
          <w:szCs w:val="16"/>
        </w:rPr>
        <w:softHyphen/>
        <w:t>тов трансмиссии снизилась на 15 - 20 %). Конструкция новых бортовых редукторов и ведущих колес по результатам испытаний была рекомен</w:t>
      </w:r>
      <w:r w:rsidRPr="008127F8">
        <w:rPr>
          <w:rFonts w:ascii="Times New Roman" w:hAnsi="Times New Roman"/>
          <w:color w:val="000000" w:themeColor="text1"/>
          <w:sz w:val="16"/>
          <w:szCs w:val="16"/>
        </w:rPr>
        <w:softHyphen/>
        <w:t>дована к серийному производству (10703).</w:t>
      </w:r>
    </w:p>
    <w:p w14:paraId="23F0345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16390" w14:textId="77777777" w:rsidR="001C42EC" w:rsidRPr="008127F8" w:rsidRDefault="001C42EC"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За февраль-март 1942 года танк КВ с серийным номером 6728 в ходе испытания двигателя преодолел 652,7 км, из которых зачли 464 км. Средняя скорость по шоссе составила 20 км/ч, на проселке 15,9 км/ч, а на местности - 14,8 км/ч. При этом у танка, в ходе испытаний, заклинило коробку передач и вышла из строя правая бортовая передача. Также у обоих танков (10033 и 6728) наблюдались поломки опорных катков, а у машины 10033 сломался торсионный вал (20404).</w:t>
      </w:r>
    </w:p>
    <w:p w14:paraId="25D55E8F" w14:textId="77777777" w:rsidR="001C42EC" w:rsidRPr="008127F8" w:rsidRDefault="001C42EC"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Больше всех прошел (710 километров, зачтено 534,5) серийный КВ-1 с номером 25810. Средняя скорость по шоссе составила 27 км/ч, по проселку 13,9 км/ч, а по целине - те же 13,9 км/ч. Испытатели отмечали, что за счет измененного передаточного числа бортовых переда и венцов с меньшим числом зубьев КВ-1 №6728 имел преимущество над серийным танком на сложной местности. В 10-14 раз уменьшалось число переключений коробки передач, что улучшало ситуацию с работой трансмиссии. Еще одним моментом стало то, что под конец испытаний мотор В-2К танка 25810 начал "сыпаться". В итоге мотор пришлось менять на новый. Также пришлось менять левую тормозную ленту, 4 опорных катка и 1 торсион. В виду того, что поломка опорных катков происходила на местности, где не было экстремальных нагрузок, комиссия сделала вывод, что проблема именно в катках.</w:t>
      </w:r>
    </w:p>
    <w:p w14:paraId="05996639" w14:textId="77777777" w:rsidR="001C42EC" w:rsidRPr="008127F8" w:rsidRDefault="001C42EC"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Для полноты эксперимента одновременно испытывался Т-34 с серийным номером 05345. И вот тут было сразу понятно, что такое "как ласточка ходит". Средняя скорость по шоссе составила 42 км/ч, по проселку 30,7 км/ч, а по целине - 24,3 км/ч. Причем машина шла по такой же заснеженной местности, штурмовала те же косогоры и сносила те же противотанковые ежи. Можно сказать, что Т-34 послужил лакмусовой бумажкой, хотя и так всё было понятно с идеей форсировать мотор В-2К.</w:t>
      </w:r>
    </w:p>
    <w:p w14:paraId="68F35D1D" w14:textId="77777777" w:rsidR="001C42EC" w:rsidRPr="008127F8" w:rsidRDefault="001C42EC"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По итогам испытаний комиссия указала на то, что тему В-2КФ можно смело закрывать. Форсирование двигателя проблему не решало. Даже усиление системы охлаждения не давала результатов. Рекомендовалось ввести измененные бортовые передачи и ведущие колеса, но этого так и не сделали. А в это время с фронтов пошли массовые жалобы на "вылетающие" коробки передач. Это было связано и с конструкцией КПП, и с рядом упрощений, что сделало шестерни менее надежными. (20404).</w:t>
      </w:r>
    </w:p>
    <w:p w14:paraId="5B481B84" w14:textId="77777777" w:rsidR="001C42EC" w:rsidRPr="008127F8" w:rsidRDefault="001C42EC" w:rsidP="001E0A84">
      <w:pPr>
        <w:pStyle w:val="article-renderblock"/>
        <w:shd w:val="clear" w:color="auto" w:fill="FFFFFF"/>
        <w:spacing w:before="0" w:beforeAutospacing="0" w:after="0" w:afterAutospacing="0"/>
        <w:jc w:val="both"/>
        <w:rPr>
          <w:color w:val="000000" w:themeColor="text1"/>
          <w:sz w:val="16"/>
          <w:szCs w:val="16"/>
        </w:rPr>
      </w:pPr>
    </w:p>
    <w:p w14:paraId="5114F42D" w14:textId="77777777" w:rsidR="002927ED" w:rsidRPr="008127F8" w:rsidRDefault="002927ED"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феврале — марте 1942 года с фронтов ста</w:t>
      </w:r>
      <w:r w:rsidRPr="008127F8">
        <w:rPr>
          <w:rFonts w:ascii="Times New Roman" w:cs="Times New Roman"/>
          <w:color w:val="000000" w:themeColor="text1"/>
          <w:spacing w:val="0"/>
        </w:rPr>
        <w:softHyphen/>
        <w:t>ли поступать многочисленные жалобы на ка</w:t>
      </w:r>
      <w:r w:rsidRPr="008127F8">
        <w:rPr>
          <w:rFonts w:ascii="Times New Roman" w:cs="Times New Roman"/>
          <w:color w:val="000000" w:themeColor="text1"/>
          <w:spacing w:val="0"/>
        </w:rPr>
        <w:softHyphen/>
        <w:t>чество танков КВ. Во многих воинских ча</w:t>
      </w:r>
      <w:r w:rsidRPr="008127F8">
        <w:rPr>
          <w:rFonts w:ascii="Times New Roman" w:cs="Times New Roman"/>
          <w:color w:val="000000" w:themeColor="text1"/>
          <w:spacing w:val="0"/>
        </w:rPr>
        <w:softHyphen/>
        <w:t xml:space="preserve">стях наблюдались случаи частых поломок коробок перемены передач у машин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прибывших с Челябинского Кировского за</w:t>
      </w:r>
      <w:r w:rsidRPr="008127F8">
        <w:rPr>
          <w:rFonts w:ascii="Times New Roman" w:cs="Times New Roman"/>
          <w:color w:val="000000" w:themeColor="text1"/>
          <w:spacing w:val="0"/>
        </w:rPr>
        <w:softHyphen/>
        <w:t>вода. При этом некоторые танки прошли все</w:t>
      </w:r>
      <w:r w:rsidRPr="008127F8">
        <w:rPr>
          <w:rFonts w:ascii="Times New Roman" w:cs="Times New Roman"/>
          <w:color w:val="000000" w:themeColor="text1"/>
          <w:spacing w:val="0"/>
        </w:rPr>
        <w:softHyphen/>
        <w:t>го по 120-130 километров, после чего выхо</w:t>
      </w:r>
      <w:r w:rsidRPr="008127F8">
        <w:rPr>
          <w:rFonts w:ascii="Times New Roman" w:cs="Times New Roman"/>
          <w:color w:val="000000" w:themeColor="text1"/>
          <w:spacing w:val="0"/>
        </w:rPr>
        <w:softHyphen/>
        <w:t>дили из строя. В ходе проверки выяснилось, что из-за раз</w:t>
      </w:r>
      <w:r w:rsidRPr="008127F8">
        <w:rPr>
          <w:rFonts w:ascii="Times New Roman" w:cs="Times New Roman"/>
          <w:color w:val="000000" w:themeColor="text1"/>
          <w:spacing w:val="0"/>
        </w:rPr>
        <w:softHyphen/>
        <w:t>личных нарушений технологического поряд</w:t>
      </w:r>
      <w:r w:rsidRPr="008127F8">
        <w:rPr>
          <w:rFonts w:ascii="Times New Roman" w:cs="Times New Roman"/>
          <w:color w:val="000000" w:themeColor="text1"/>
          <w:spacing w:val="0"/>
        </w:rPr>
        <w:softHyphen/>
        <w:t>ка качество «кэвэшных» коробок переме</w:t>
      </w:r>
      <w:r w:rsidRPr="008127F8">
        <w:rPr>
          <w:rFonts w:ascii="Times New Roman" w:cs="Times New Roman"/>
          <w:color w:val="000000" w:themeColor="text1"/>
          <w:spacing w:val="0"/>
        </w:rPr>
        <w:softHyphen/>
        <w:t>ны передач значительно снизилось. Резуль</w:t>
      </w:r>
      <w:r w:rsidRPr="008127F8">
        <w:rPr>
          <w:rFonts w:ascii="Times New Roman" w:cs="Times New Roman"/>
          <w:color w:val="000000" w:themeColor="text1"/>
          <w:spacing w:val="0"/>
        </w:rPr>
        <w:softHyphen/>
        <w:t>таты были доложены «наверх», и 20 марта 1942 года появилось постановление Госу</w:t>
      </w:r>
      <w:r w:rsidRPr="008127F8">
        <w:rPr>
          <w:rFonts w:ascii="Times New Roman" w:cs="Times New Roman"/>
          <w:color w:val="000000" w:themeColor="text1"/>
          <w:spacing w:val="0"/>
        </w:rPr>
        <w:softHyphen/>
        <w:t>дарственного Комитета Обороны № 1472сс «Об улучшении качества танков КВ». Имен</w:t>
      </w:r>
      <w:r w:rsidRPr="008127F8">
        <w:rPr>
          <w:rFonts w:ascii="Times New Roman" w:cs="Times New Roman"/>
          <w:color w:val="000000" w:themeColor="text1"/>
          <w:spacing w:val="0"/>
        </w:rPr>
        <w:softHyphen/>
        <w:t xml:space="preserve">но этот документ и стал отправной точкой в проектировании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Это поста</w:t>
      </w:r>
      <w:r w:rsidRPr="008127F8">
        <w:rPr>
          <w:rFonts w:ascii="Times New Roman" w:cs="Times New Roman"/>
          <w:color w:val="000000" w:themeColor="text1"/>
          <w:spacing w:val="0"/>
        </w:rPr>
        <w:softHyphen/>
        <w:t>новление обязывало руководство ЧКЗ спро</w:t>
      </w:r>
      <w:r w:rsidRPr="008127F8">
        <w:rPr>
          <w:rFonts w:ascii="Times New Roman" w:cs="Times New Roman"/>
          <w:color w:val="000000" w:themeColor="text1"/>
          <w:spacing w:val="0"/>
        </w:rPr>
        <w:softHyphen/>
        <w:t>ектировать и ввести в серийное производ</w:t>
      </w:r>
      <w:r w:rsidRPr="008127F8">
        <w:rPr>
          <w:rFonts w:ascii="Times New Roman" w:cs="Times New Roman"/>
          <w:color w:val="000000" w:themeColor="text1"/>
          <w:spacing w:val="0"/>
        </w:rPr>
        <w:softHyphen/>
        <w:t>ство новую улучшенную коробку перемены передач, а также провести работы по повы</w:t>
      </w:r>
      <w:r w:rsidRPr="008127F8">
        <w:rPr>
          <w:rFonts w:ascii="Times New Roman" w:cs="Times New Roman"/>
          <w:color w:val="000000" w:themeColor="text1"/>
          <w:spacing w:val="0"/>
        </w:rPr>
        <w:softHyphen/>
        <w:t>шению надежности работы главного фрик</w:t>
      </w:r>
      <w:r w:rsidRPr="008127F8">
        <w:rPr>
          <w:rFonts w:ascii="Times New Roman" w:cs="Times New Roman"/>
          <w:color w:val="000000" w:themeColor="text1"/>
          <w:spacing w:val="0"/>
        </w:rPr>
        <w:softHyphen/>
        <w:t>циона, дизельного двигателя В-2К, измене</w:t>
      </w:r>
      <w:r w:rsidRPr="008127F8">
        <w:rPr>
          <w:rFonts w:ascii="Times New Roman" w:cs="Times New Roman"/>
          <w:color w:val="000000" w:themeColor="text1"/>
          <w:spacing w:val="0"/>
        </w:rPr>
        <w:softHyphen/>
        <w:t>нию его системы охлаждения и ряду других механизмов. Сроки исполнения и введения в серию были достаточно жесткие - до 1 мая 1942 года (15226).</w:t>
      </w:r>
    </w:p>
    <w:p w14:paraId="2BE844E1" w14:textId="77777777" w:rsidR="002927ED" w:rsidRPr="008127F8" w:rsidRDefault="002927ED" w:rsidP="001E0A84">
      <w:pPr>
        <w:pStyle w:val="27"/>
        <w:shd w:val="clear" w:color="auto" w:fill="auto"/>
        <w:spacing w:after="0" w:line="240" w:lineRule="auto"/>
        <w:ind w:firstLine="0"/>
        <w:rPr>
          <w:rFonts w:ascii="Times New Roman" w:cs="Times New Roman"/>
          <w:color w:val="000000" w:themeColor="text1"/>
          <w:spacing w:val="0"/>
        </w:rPr>
      </w:pPr>
    </w:p>
    <w:p w14:paraId="08A7401C" w14:textId="77777777" w:rsidR="002927ED" w:rsidRPr="008127F8" w:rsidRDefault="002927ED"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феврале-марте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ГКО, подводя итоги битвы под Москвой, отмечал общий недостаток танков и недостаточную подвижность артиллерии для развития наступления. Но положение дел в Наркомате танковой промышленности не радовало. Во-первых, значительное число танков, выпускаемых наркоматом, были легкие Т-60, имевшие крайне слабое пушечное вооружение. Значительное наращивание выпуска танков ограничивалось недостаточной мощностью развернутого производства, недостатком сырья и материалов и, в частности, двигателей (15218).</w:t>
      </w:r>
    </w:p>
    <w:p w14:paraId="135339E2" w14:textId="77777777" w:rsidR="002927ED" w:rsidRPr="008127F8" w:rsidRDefault="002927ED" w:rsidP="001E0A84">
      <w:pPr>
        <w:widowControl w:val="0"/>
        <w:spacing w:after="0" w:line="240" w:lineRule="auto"/>
        <w:jc w:val="both"/>
        <w:rPr>
          <w:rFonts w:ascii="Times New Roman" w:hAnsi="Times New Roman"/>
          <w:color w:val="000000" w:themeColor="text1"/>
          <w:sz w:val="16"/>
          <w:szCs w:val="16"/>
        </w:rPr>
      </w:pPr>
    </w:p>
    <w:p w14:paraId="7AE0400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февраля - апреля 1942 г. оставшейся на УЗТМ частью КБ был выполнен ряд проектных работ по созданию новых САУ. В их числе были проекты тя</w:t>
      </w:r>
      <w:r w:rsidRPr="008127F8">
        <w:rPr>
          <w:rFonts w:ascii="Times New Roman" w:hAnsi="Times New Roman"/>
          <w:color w:val="000000" w:themeColor="text1"/>
          <w:sz w:val="16"/>
          <w:szCs w:val="16"/>
        </w:rPr>
        <w:softHyphen/>
        <w:t>желых самоходных установок, получивших индексы "У-18" и "У-19" (10703).</w:t>
      </w:r>
    </w:p>
    <w:p w14:paraId="080658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53E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г. ГКО, подводя итоги битвы под Москвой, отмечал общий недостаток танков и недостаточ</w:t>
      </w:r>
      <w:r w:rsidRPr="008127F8">
        <w:rPr>
          <w:rFonts w:ascii="Times New Roman" w:hAnsi="Times New Roman"/>
          <w:color w:val="000000" w:themeColor="text1"/>
          <w:sz w:val="16"/>
          <w:szCs w:val="16"/>
        </w:rPr>
        <w:softHyphen/>
        <w:t>ную подвижность артиллерии для развития наступления. Но положение вещей в Наркомате танковой промышленности йе радовало. Во-первых, значительное число танков, выпус</w:t>
      </w:r>
      <w:r w:rsidRPr="008127F8">
        <w:rPr>
          <w:rFonts w:ascii="Times New Roman" w:hAnsi="Times New Roman"/>
          <w:color w:val="000000" w:themeColor="text1"/>
          <w:sz w:val="16"/>
          <w:szCs w:val="16"/>
        </w:rPr>
        <w:softHyphen/>
        <w:t>каемых наркоматом, были легкие Т-60, имевшие крайне сла</w:t>
      </w:r>
      <w:r w:rsidRPr="008127F8">
        <w:rPr>
          <w:rFonts w:ascii="Times New Roman" w:hAnsi="Times New Roman"/>
          <w:color w:val="000000" w:themeColor="text1"/>
          <w:sz w:val="16"/>
          <w:szCs w:val="16"/>
        </w:rPr>
        <w:softHyphen/>
        <w:t>бое пушечное вооружение. Значительное наращивание вы</w:t>
      </w:r>
      <w:r w:rsidRPr="008127F8">
        <w:rPr>
          <w:rFonts w:ascii="Times New Roman" w:hAnsi="Times New Roman"/>
          <w:color w:val="000000" w:themeColor="text1"/>
          <w:sz w:val="16"/>
          <w:szCs w:val="16"/>
        </w:rPr>
        <w:softHyphen/>
        <w:t>пуска танков ограничивалось недостаточной мощностью развернутого производства, недостатком сырья и материалов и, в частности, двигателей (11417).</w:t>
      </w:r>
    </w:p>
    <w:p w14:paraId="70C1DA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F0B276" w14:textId="77777777" w:rsidR="00C61E86" w:rsidRPr="008127F8" w:rsidRDefault="00C61E8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феврале и марте 1942 года вовсю шли консультации и уточнения по тактико-техническим требованиям, предъявляемым к лёгкому шасси для САУ. Собственно говоря, именно здесь интересы Гинзбурга и руководства завода №37 совпали. Завод хотел сохранить производство Т-60. Гинзбург же получал площадку для реализации собственных разработок, которую он потерял после эвакуации завода №174 из Ленинграда и прекращения выпуска Т-50 (17668).</w:t>
      </w:r>
    </w:p>
    <w:p w14:paraId="47FB4F2E" w14:textId="77777777" w:rsidR="00C61E86" w:rsidRPr="008127F8" w:rsidRDefault="00C61E8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196A49" w14:textId="77777777" w:rsidR="00C61E86" w:rsidRPr="008127F8" w:rsidRDefault="00C61E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года «Амторг» подготовил инструкцию по эксплуатации американского среднего танка М3</w:t>
      </w:r>
    </w:p>
    <w:p w14:paraId="5D0F2C70" w14:textId="77777777" w:rsidR="00C61E86" w:rsidRPr="008127F8" w:rsidRDefault="00C61E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Первой трудностью, с которой столкнулись в СССР при эксплуатации М3Ср, стало топливо. Как сообщал генерал Файмонвилл, курировавший поставки американской бронетехники в СССР, авиационный двигатель этого среднего танка потреблял бензин с октановым числом 91. Решением проблемы стало использование авиабензина, в который добавлялась авиационная присадка Р-9. Для бензина Б-78 требовался 1см3 присадки на литр, для Б-74 – 2 см3, а для Б-70 – 3 см3.</w:t>
      </w:r>
    </w:p>
    <w:p w14:paraId="2A28AE30" w14:textId="77777777" w:rsidR="00C61E86" w:rsidRPr="008127F8" w:rsidRDefault="00C61E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Не меньшей проблемой было отсутствие литературы. Всё, что прибыло с танками – это несколько кратких инструкций на английском языке. «Амторгу» в феврале 1942 года было дано срочное задание подготовить инструкции по эксплуатации на русском языке. Задание удалось оперативно выполнить, но к изданному руководству имелся ряд претензий.</w:t>
      </w:r>
    </w:p>
    <w:p w14:paraId="75AF37AF" w14:textId="77777777" w:rsidR="00C61E86" w:rsidRPr="008127F8" w:rsidRDefault="00C61E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Отдельно стоит рассмотреть вопрос о комплектации прибывавших американских машин. Сохранились воспоминания о том, как в стволах орудий приёмщики </w:t>
      </w:r>
      <w:r w:rsidRPr="008127F8">
        <w:rPr>
          <w:color w:val="000000" w:themeColor="text1"/>
          <w:sz w:val="16"/>
          <w:szCs w:val="16"/>
        </w:rPr>
        <w:lastRenderedPageBreak/>
        <w:t>находили бутылки и другие презенты от американских рабочих. Всё это действительно имело место, но в случае с военными грузами все же важнее штатная комплектация. И вот с этим дела обстояли далеко не гладко. Причиной тому был резко выросший объём выпуска американских средних танков.</w:t>
      </w:r>
    </w:p>
    <w:p w14:paraId="5DF82304" w14:textId="77777777" w:rsidR="00C61E86" w:rsidRPr="008127F8" w:rsidRDefault="00C61E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критичной оказалась ситуация с боеприпасами. В первых партиях бронебойные снаряды к 75-мм пушке отсутствовали вообще. Поначалу у руководства ГАБТУ КА даже возникла мысль, что 75-мм пушка предназначена только для поддержки пехоты. Правда, уже с конвоем PQ-14 к 20-м числам апреля 1942 года прибыли первые бронебойные снаряды, целых 1200 штук. Для комплектации уже прибывших танков в соответствии с нормами боекомплектов не хватало самой малости – всего 40 800 снарядов.</w:t>
      </w:r>
    </w:p>
    <w:p w14:paraId="136446C5" w14:textId="77777777" w:rsidR="00C61E86" w:rsidRPr="008127F8" w:rsidRDefault="00C61E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Ситуация с осколочно-фугасными снарядами была лучше. К 5 марта прибыло 153 694 снаряда, а вот взрывателей к ним – всего 132 500. Критичной оказалась ситуация и со снарядами калибра 37 мм. К 10 мая их доставили 69 160 штук при потребности 347 790 штук. Следует напомнить, что нужны они были не только для М3Ср, но и для </w:t>
      </w:r>
      <w:hyperlink r:id="rId73" w:history="1">
        <w:r w:rsidRPr="008127F8">
          <w:rPr>
            <w:rStyle w:val="a6"/>
            <w:rFonts w:eastAsiaTheme="majorEastAsia"/>
            <w:color w:val="000000" w:themeColor="text1"/>
            <w:sz w:val="16"/>
            <w:szCs w:val="16"/>
          </w:rPr>
          <w:t>М3л</w:t>
        </w:r>
      </w:hyperlink>
      <w:r w:rsidRPr="008127F8">
        <w:rPr>
          <w:color w:val="000000" w:themeColor="text1"/>
          <w:sz w:val="16"/>
          <w:szCs w:val="16"/>
        </w:rPr>
        <w:t>. Снарядный голод стал одной из причин, по которым боевой дебют американских средних танков состоялся только в мае 1942 года, хотя уже к концу марта их хватало для комплектации как минимум двух бригад.</w:t>
      </w:r>
    </w:p>
    <w:p w14:paraId="08FB9FC7" w14:textId="77777777" w:rsidR="00C61E86" w:rsidRPr="008127F8" w:rsidRDefault="00C61E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Нередко, танки и запасные части к ним поступали отдельно. В июне 1942 года обнаружилась пропажа сразу 15-ти командирских башенок, которые шли в караване PQ-15 отдельно от танков. Точно такая же ситуация сложилась и с 29-ю танками, прибывшими караваном PQ-16. Проблему удалось разрешить, но она стоила немалого количества потраченных нервов. Предлагалось даже заварить отверстия под башенки и отправить танки на фронт в таком виде.</w:t>
      </w:r>
    </w:p>
    <w:p w14:paraId="382D4F37" w14:textId="77777777" w:rsidR="00C61E86" w:rsidRPr="008127F8" w:rsidRDefault="00C61E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Кроме того, 29 танков из конвоя PQ-16 имели неисправные масляные радиаторы. Очень частыми были случаи неполной комплектности внутреннего оборудования, включая гильзоулавливатели и радиостанции. Особенно критичной оказалась ситуация с шанцевым инструментом, который пришлось изготовлять силами советских предприятий. Постепенно положение выправлялось, но первая половина 1942 года оказалась крайне нервной (17705).</w:t>
      </w:r>
    </w:p>
    <w:p w14:paraId="3D44B41E" w14:textId="77777777" w:rsidR="00C61E86" w:rsidRPr="008127F8" w:rsidRDefault="00C61E8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BEB32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 апре</w:t>
      </w:r>
      <w:r w:rsidRPr="008127F8">
        <w:rPr>
          <w:rFonts w:ascii="Times New Roman" w:hAnsi="Times New Roman"/>
          <w:color w:val="000000" w:themeColor="text1"/>
          <w:sz w:val="16"/>
          <w:szCs w:val="16"/>
        </w:rPr>
        <w:softHyphen/>
        <w:t>ле 1942 г. на заводе № 592 НКВ (г. Мытищи) конструкторской группой под руководством Г.И. Каштанова на базе трофейного штурмового ору</w:t>
      </w:r>
      <w:r w:rsidRPr="008127F8">
        <w:rPr>
          <w:rFonts w:ascii="Times New Roman" w:hAnsi="Times New Roman"/>
          <w:color w:val="000000" w:themeColor="text1"/>
          <w:sz w:val="16"/>
          <w:szCs w:val="16"/>
        </w:rPr>
        <w:softHyphen/>
        <w:t>дия "Артштурм III", а затем и танка Т-Ш была разработана Самоходная установка СГ-122. Первый опытный образец ус</w:t>
      </w:r>
      <w:r w:rsidRPr="008127F8">
        <w:rPr>
          <w:rFonts w:ascii="Times New Roman" w:hAnsi="Times New Roman"/>
          <w:color w:val="000000" w:themeColor="text1"/>
          <w:sz w:val="16"/>
          <w:szCs w:val="16"/>
        </w:rPr>
        <w:softHyphen/>
        <w:t>тановки был изготовлен заводом в апреле - мае 1942 г. и поступил на за</w:t>
      </w:r>
      <w:r w:rsidRPr="008127F8">
        <w:rPr>
          <w:rFonts w:ascii="Times New Roman" w:hAnsi="Times New Roman"/>
          <w:color w:val="000000" w:themeColor="text1"/>
          <w:sz w:val="16"/>
          <w:szCs w:val="16"/>
        </w:rPr>
        <w:softHyphen/>
        <w:t>водские испытания. По результатам испытаний опытного образца в сен</w:t>
      </w:r>
      <w:r w:rsidRPr="008127F8">
        <w:rPr>
          <w:rFonts w:ascii="Times New Roman" w:hAnsi="Times New Roman"/>
          <w:color w:val="000000" w:themeColor="text1"/>
          <w:sz w:val="16"/>
          <w:szCs w:val="16"/>
        </w:rPr>
        <w:softHyphen/>
        <w:t>тябре того же года на базе танка Т-Ш были изготовлены два улучшен</w:t>
      </w:r>
      <w:r w:rsidRPr="008127F8">
        <w:rPr>
          <w:rFonts w:ascii="Times New Roman" w:hAnsi="Times New Roman"/>
          <w:color w:val="000000" w:themeColor="text1"/>
          <w:sz w:val="16"/>
          <w:szCs w:val="16"/>
        </w:rPr>
        <w:softHyphen/>
        <w:t>ных образца машины, один из которых прошел испытания на Гороховецком АНИОПе в период с 5 по 19 декабря 1942 г. В связи с развертыва</w:t>
      </w:r>
      <w:r w:rsidRPr="008127F8">
        <w:rPr>
          <w:rFonts w:ascii="Times New Roman" w:hAnsi="Times New Roman"/>
          <w:color w:val="000000" w:themeColor="text1"/>
          <w:sz w:val="16"/>
          <w:szCs w:val="16"/>
        </w:rPr>
        <w:softHyphen/>
        <w:t>нием серийного производства само</w:t>
      </w:r>
      <w:r w:rsidRPr="008127F8">
        <w:rPr>
          <w:rFonts w:ascii="Times New Roman" w:hAnsi="Times New Roman"/>
          <w:color w:val="000000" w:themeColor="text1"/>
          <w:sz w:val="16"/>
          <w:szCs w:val="16"/>
        </w:rPr>
        <w:softHyphen/>
        <w:t>ходных установок СУ-122 на базе танка Т-34 и недостаточного количе</w:t>
      </w:r>
      <w:r w:rsidRPr="008127F8">
        <w:rPr>
          <w:rFonts w:ascii="Times New Roman" w:hAnsi="Times New Roman"/>
          <w:color w:val="000000" w:themeColor="text1"/>
          <w:sz w:val="16"/>
          <w:szCs w:val="16"/>
        </w:rPr>
        <w:softHyphen/>
        <w:t>ства исправных трофейных танков (штурмовых орудий), а также запас</w:t>
      </w:r>
      <w:r w:rsidRPr="008127F8">
        <w:rPr>
          <w:rFonts w:ascii="Times New Roman" w:hAnsi="Times New Roman"/>
          <w:color w:val="000000" w:themeColor="text1"/>
          <w:sz w:val="16"/>
          <w:szCs w:val="16"/>
        </w:rPr>
        <w:softHyphen/>
        <w:t>ных частей к ним, заводом № 592 в 1942 - 1943 гг. была выпущена не</w:t>
      </w:r>
      <w:r w:rsidRPr="008127F8">
        <w:rPr>
          <w:rFonts w:ascii="Times New Roman" w:hAnsi="Times New Roman"/>
          <w:color w:val="000000" w:themeColor="text1"/>
          <w:sz w:val="16"/>
          <w:szCs w:val="16"/>
        </w:rPr>
        <w:softHyphen/>
        <w:t>большая партия самоходных установок (10703).</w:t>
      </w:r>
    </w:p>
    <w:p w14:paraId="21EB80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BC54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феврале-марте 1942 года на омский завод № 634 из Ленинграда прибыли квалифицированные специалисты института ВИЭП - бывшей Отраслевой лаборатории - ОЛИЗ.</w:t>
      </w:r>
    </w:p>
    <w:p w14:paraId="6DF979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 киевлянина, 293 краснодарца и 14 специалистов из Ленинграда стояли у истоков будущего флагмана отечественного приборостроения. За годы войны коллектив пополнился сотнями омичей.</w:t>
      </w:r>
    </w:p>
    <w:p w14:paraId="16B0C0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началом Великой Отечественной войны в невиданных масштабах развернулось производство военной техники, возросла потребность в электроизмерительных приборах. Задача обеспечения нужд обороны приборами была решена приборостроительными заводами страны. ОмЗЭТА выпустил 80 процентов электроизмерительных приборов от общего числа, произведенных в годы войны. Неконтактные взрыватели для морских мин "МИРАБ" и авиационных мин АМД-500, приборы для радиостанций - М63 и другие изделия специального назначения были основной продукцией ОмЗЭТА. В 1946 году коллективу завода было передано на вечное хранение переходящее Красное знамя Государственного Комитета Обороны СССР, не покидавшее завод с ноября 1942 года и до конца войны. Завод-воин вписал достойную строку в историю Великой Победы.</w:t>
      </w:r>
    </w:p>
    <w:p w14:paraId="15E008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годы восстановления разрушенного войной народного хозяйства завод стал одним из крупнейших предприятий приборостроения. Его продукцию можно было встретить в самых различных отраслях. В 1957 году предприятий было переименовано в "завод Омэлектроточприбор". В 1958 году началась "космическая эра" предприятия. Завод получил правительственное задание на освоение приборов для ракетно-космической техники.</w:t>
      </w:r>
    </w:p>
    <w:p w14:paraId="4EA0D2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поколения приборостроителей гордятся тем, что при запуске первого пилотируемого космического корабля "Восток" с космонавтом №1 Юрием Гагариным, главный конструктор С.П. Королев момент пуска определял по стрелке нашего измерительного прибора. И сегодня приборы ПО "Электроточприбор" работают в космосе и на земле при подготовке к полетам.</w:t>
      </w:r>
    </w:p>
    <w:p w14:paraId="0AC3EF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150 работников предприятия награждены медалями и грамотами Федерации космонавтики СССР, РФ, предприятие дважды награждено Дипломами имени Юрия Гагарина. В 1963 году Министерством приборостроения было принято решение об организации производства приборов для шахтеров. Высокие технологические возможности, квалифицированный технически персонал и опыт специалистов СКБ определили выбор. Перед коллективом "Электроточприбора" была поставлена задача создать приборы безопасности коллективного и индивидуального пользования для контроля концентрации метана в атмосфере горных выработок и современные средства электровзрывания для шахт. В 1964 году первые сигнализаторы метана СМП-1 были отправлены на шахты. Следующим шагом в решении задачи стало объединение сигнализатора метана с головным светильником. В 1973 году был разработан сигнализатор метана СМС-1. Авторский коллектив предприятия был удостоен Государственной премии СССР.</w:t>
      </w:r>
    </w:p>
    <w:p w14:paraId="19CD59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последующий период заводом был освоен целый ряд приборов для угольной промышленности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взрывной прибор ИВП-1/12 (1967 год), малогабаритный сигнализатор метана СММ-1 (1974 год), специально для взрывников создан ИМС-1, совмещающий сигнализатор метана и омметр (1976 год). Работы, выполненные объединением по созданию средств безопасности, отмечены Государственными премиями СССР и Украинской ССР. В 1971 году коллектив завода удостоен высшей награды СССР - ордена Ленина.</w:t>
      </w:r>
    </w:p>
    <w:p w14:paraId="75EA4F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История ПО "Электроточприбор"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история отечественного приборостроения, от первых образцов военной техники до сложнейших информационно-измерительных и информационно-вычислительных комплексов.</w:t>
      </w:r>
    </w:p>
    <w:p w14:paraId="38F7DD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яркими примерами использования наших изделий являются: использование приборов при проведении прочностных испытаний сложных технических объектов, авиационной и космической техники, в том числе космического корабля многоразового пользования "Буран" и сверхзвукового пассажирского лайнера ТУ-144; измерительная АСУ Абаканской ТЭЦ выполненная на блоках аналоговых сигналов ЦТ2170-1; использование Ш711 для температурного контроля реакторной установки Нововоронежской АЭС.</w:t>
      </w:r>
    </w:p>
    <w:p w14:paraId="17F869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Современные приборы </w:t>
      </w:r>
      <w:proofErr w:type="gramStart"/>
      <w:r w:rsidRPr="008127F8">
        <w:rPr>
          <w:rFonts w:ascii="Times New Roman" w:hAnsi="Times New Roman"/>
          <w:color w:val="000000" w:themeColor="text1"/>
          <w:sz w:val="16"/>
          <w:szCs w:val="16"/>
        </w:rPr>
        <w:t>- это третье и четвертое поколение</w:t>
      </w:r>
      <w:proofErr w:type="gramEnd"/>
      <w:r w:rsidRPr="008127F8">
        <w:rPr>
          <w:rFonts w:ascii="Times New Roman" w:hAnsi="Times New Roman"/>
          <w:color w:val="000000" w:themeColor="text1"/>
          <w:sz w:val="16"/>
          <w:szCs w:val="16"/>
        </w:rPr>
        <w:t xml:space="preserve"> номенклатуры предприятия. Приборы исправно работают на многочисленных энергетических объектах (в том числе на атомных станциях), в угольной, нефтегазоперерабатывающей, металлургической, пищевой и легкой промышленности, на железнодорожном и городском электротранспорте. Светильники СМС-4, СГГ-8 и ряд других входят в группу - "100 Лучших товаров России".</w:t>
      </w:r>
    </w:p>
    <w:p w14:paraId="2FEED8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потребитель широкой гаммы щитовых приборов для тяжелых условий эксплуатации серии "Прочность" - Министерство обороны РФ.</w:t>
      </w:r>
    </w:p>
    <w:p w14:paraId="78FB07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644042, г.Омск-42, Проспект К. Маркса 18 (9687).</w:t>
      </w:r>
    </w:p>
    <w:p w14:paraId="5162D6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D1950"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 ноябрь 1942 г. Дислокация ОСМЧ на Урале</w:t>
      </w:r>
    </w:p>
    <w:p w14:paraId="72510034"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Область Название ОСМЧ Место дислокации</w:t>
      </w:r>
    </w:p>
    <w:p w14:paraId="2881CB8B"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Свердловская область ОСМЧ № 11, 61, 67, «Азовстальстрой», «Донбасстяжстрой», «Свердловскпромстрой», «Союзтеплострой», «Уралмашстрой», «Уралсибспецстрой», «Уралсибэлектромонтаж», «Уралтяжстрой», «Уралстроймонтаж», «Союзхиммонтаж» Реж, КаменскУральский, Первоуральск, Свердловск, Ревда, Нижний Тагил, Красноуральск, Красногорск, Среднеуральск, Алапаевск, НейваРудянка</w:t>
      </w:r>
    </w:p>
    <w:p w14:paraId="166A68B1"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Челябинская область ОСМЧ № 8, 14, 20, 22, 102, «Коксохоммонтаж», «Запорожстрой», «Магнитострой», «Стальконструкция», «Южтяжстрой», «Союзмонтажстрой», «Союзэкскавация» Челябинск, Миасс, Златоуст, Чебаркуль, Магнитогорск, Троицк </w:t>
      </w:r>
    </w:p>
    <w:p w14:paraId="0B3F15F0"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Молотовская область ОСМЧ №18, 29, 48, 63, «Севуралтяжстрой» Молотов, Лысьва, Чусовой </w:t>
      </w:r>
    </w:p>
    <w:p w14:paraId="0E393E2E"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Чкаловская область ОСМЧ № 23, 25, «Южуралтяжстрой» Орск, Чкалов </w:t>
      </w:r>
    </w:p>
    <w:p w14:paraId="451321B5"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Удмуртская АССР ОСМЧ № 66 Глазов </w:t>
      </w:r>
    </w:p>
    <w:p w14:paraId="0A010309"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Курганская область ОСМЧ № 70 Шадринск </w:t>
      </w:r>
    </w:p>
    <w:p w14:paraId="63DE216C"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Башкирская АССР ОСМЧ № 50 Стерлитамак, Уфа</w:t>
      </w:r>
    </w:p>
    <w:p w14:paraId="5BB50C11" w14:textId="77777777"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Уралу 36 ОСМЧ</w:t>
      </w:r>
    </w:p>
    <w:p w14:paraId="4B9CCE3A" w14:textId="40864919" w:rsidR="003C341D" w:rsidRPr="008127F8" w:rsidRDefault="003C34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феврале-ноябре 1942 г. на территории СССР было создано и действовало 70 особых строительно-монтажных частей</w:t>
      </w:r>
      <w:proofErr w:type="gramStart"/>
      <w:r w:rsidRPr="008127F8">
        <w:rPr>
          <w:rFonts w:ascii="Times New Roman" w:hAnsi="Times New Roman"/>
          <w:color w:val="000000" w:themeColor="text1"/>
          <w:sz w:val="16"/>
          <w:szCs w:val="16"/>
        </w:rPr>
        <w:t>6 .</w:t>
      </w:r>
      <w:proofErr w:type="gramEnd"/>
      <w:r w:rsidRPr="008127F8">
        <w:rPr>
          <w:rFonts w:ascii="Times New Roman" w:hAnsi="Times New Roman"/>
          <w:color w:val="000000" w:themeColor="text1"/>
          <w:sz w:val="16"/>
          <w:szCs w:val="16"/>
        </w:rPr>
        <w:t xml:space="preserve"> Значительная часть ОСМЧ была сосредоточена на Урале. Об этом свидетельствуют данные таблицы: В феврале-ноябре 1942 г. в уральским регионе было размещено 36 особых строительно-монтажных частей, что составляло более </w:t>
      </w:r>
      <w:proofErr w:type="gramStart"/>
      <w:r w:rsidRPr="008127F8">
        <w:rPr>
          <w:rFonts w:ascii="Times New Roman" w:hAnsi="Times New Roman"/>
          <w:color w:val="000000" w:themeColor="text1"/>
          <w:sz w:val="16"/>
          <w:szCs w:val="16"/>
        </w:rPr>
        <w:t>50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от их общей численности. Основная их часть располагалась в Свердловской (13 ОСМЧ) и Челябинской (12 ОСМЧ) областях (19618).</w:t>
      </w:r>
    </w:p>
    <w:p w14:paraId="59A0700B" w14:textId="77777777" w:rsidR="003C341D" w:rsidRPr="008127F8" w:rsidRDefault="003C341D" w:rsidP="001E0A84">
      <w:pPr>
        <w:spacing w:after="0" w:line="240" w:lineRule="auto"/>
        <w:jc w:val="both"/>
        <w:rPr>
          <w:rFonts w:ascii="Times New Roman" w:hAnsi="Times New Roman"/>
          <w:color w:val="000000" w:themeColor="text1"/>
          <w:sz w:val="16"/>
          <w:szCs w:val="16"/>
        </w:rPr>
      </w:pPr>
    </w:p>
    <w:p w14:paraId="7AF742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феврале-июне 1942 года по заданию Наркомата минометного вооружения СССР и исходным данным, представленным из Артиллерийского управления ВМФ, была разработана боевая 32-зарядная установка М-13-МII башенно-палубного типа для пуска неуправляемых реактивных снарядов М-13 калибра 132 мм. Снаряды предназначались для тех же целей, что и при пуске с помощью установки М-13-МI. Опытный образец поставили вместо кормовой пушки Лендера на волжский “БКА-315”. Появилась возможность обеспечивать большую огневую мощь. Благодаря конструктивной переработке всей метательной установки, за исключением </w:t>
      </w:r>
      <w:r w:rsidRPr="008127F8">
        <w:rPr>
          <w:rFonts w:ascii="Times New Roman" w:hAnsi="Times New Roman"/>
          <w:color w:val="000000" w:themeColor="text1"/>
          <w:sz w:val="16"/>
          <w:szCs w:val="16"/>
        </w:rPr>
        <w:lastRenderedPageBreak/>
        <w:t>направляющих, конструкция которых была сохранена без изменений, было увеличено количество снарядов в залпе. Двойное количество направляющих расположили в два яруса, по восемь направляющих в одном ярусе.</w:t>
      </w:r>
    </w:p>
    <w:p w14:paraId="7AB336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Сиденья располагались в подпалубном помещении и перемещались в горизонтальной плоскости вместе с поворотным устройством, механизмами наведения и прицелом.</w:t>
      </w:r>
    </w:p>
    <w:p w14:paraId="484771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Электрооборудование состояло из аккумуляторных батарей, размещаемых под сиденьем, переключателя прибора управления огнем и приводов, соединяющих их с электрическими контактами на направляющих.</w:t>
      </w:r>
    </w:p>
    <w:p w14:paraId="77CDFC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Пуск снарядов со сдвоенных направляющих осуществлялся посредством переключателя ПУО – по два снаряда одновременно. В трюме бронекатера имелось помещение для боеприпасов. 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(11772).</w:t>
      </w:r>
    </w:p>
    <w:p w14:paraId="3458DD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287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BD161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8E90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феврале-марте 1942 г. начальником кафедры стрелково-пушечного вооружения самолетов ВВА им. Н. Е. Жуковского вое-нинженером 1-го ранга Е. Б. Лунцем был проведен анализ боевого опыта частей Западного и Юго-Западного фронтов (19-я, 46-я, 47-я и 63-я сад}, б-го и 7-го иак ПВО за период июнь-декабрь 1941 г., который показал, что во многих случаях бомбы применялись главным образом исходя из удобства и быстроты подготовки самолетов к боевым вылетам, при этом совершенно не учитывались защищенность целей и эффективность действия бомб (убойная сила осколков, фугасное действие и т.д.). По данным Лунца, в течение первых б месяцев войны на выполнение боевой задачи по уничтожению танков, мотомеханизированных войск, артиллерии на позиции и живой силы противника все рода авиации затратили </w:t>
      </w:r>
      <w:proofErr w:type="gramStart"/>
      <w:r w:rsidRPr="008127F8">
        <w:rPr>
          <w:rFonts w:ascii="Times New Roman" w:hAnsi="Times New Roman"/>
          <w:color w:val="000000" w:themeColor="text1"/>
          <w:sz w:val="16"/>
          <w:szCs w:val="16"/>
        </w:rPr>
        <w:t>41,б</w:t>
      </w:r>
      <w:proofErr w:type="gramEnd"/>
      <w:r w:rsidRPr="008127F8">
        <w:rPr>
          <w:rFonts w:ascii="Times New Roman" w:hAnsi="Times New Roman"/>
          <w:color w:val="000000" w:themeColor="text1"/>
          <w:sz w:val="16"/>
          <w:szCs w:val="16"/>
        </w:rPr>
        <w:t>% боевых вылетов, на действия по аэродромам противника - 2,5% и по ж.д. объектам - 1,6%. Остальные вылеты были связаны с выполнением боевых задач без применения авиабомб. То есть вместо применения осколочных авиабомб типа А0-25с, А0-25м и фугасных типа ФАБ-50, ФАБ-50м бомбардировочные авиачасти использовали бомбы типа ФАБ-100 - 56 % от веса всех авиабомб, сброшенных по противнику. В заключение своего доклада профессор Лун ц предлагал "...снять с вооружения ФАБ-100" и "...запретить частям в погоне за тоннажем применять бомбы, не соответствующие характеру цели (например, ФАБ-100 вместо ФАБ-50м или АО-25)".</w:t>
      </w:r>
    </w:p>
    <w:p w14:paraId="7A3DF9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другой стороны, наземных целей противника, для поражения которых необходимо применение авиабомб крупного калибра (ДОТ, ДЗОТ, мосты, склады и т.д.), в начале войны было немного, а вносить изменения в конструкцию боевых самолетов с целью обеспечения максимальной загрузки бомбами калибра 50-25 кг было "хлопотно", да и рискованно. Вот и пришлось для исправления ситуации срочно создавать более эффективные в осколочном отношении 100-кг бомбы. Наиболее удачными, как известно, оказались осколочно-фугасная ОФАБ-100 и зажигательная ЗАБ-ЮОЦК. ОФАБ-100 обладала мощным фугасным эффектом при разрыве и давала множество тяжелых осколков, которые на расстоянии до 10 м от точки подрыва могли пробить немецкую танковую броню толщиной до 30-мм и выводили из строя 155-мм полевые орудия. В свою очередь, зажигательная "сотка" - легко пробивала перекрытия зданий, вышибая фугасным ударом окна и двери, обеспечивая тем самым приток воздуха для распространения пожара. Положение изменилось в 1944-45 гг., когда Красная Армия и ВВС КА столкнулись с особенно сильной обороной вермахта. Как известно, немецкие укрепленные районы представляли собой довольно трудноуязвимую для авиации цель вследствие большой насыщенности средствами ПВО, малых размеров и высокой прочности долговременных железобетонных оборонительных сооружений. Обычной была плотность до 6 ДОТ и ДЗОТ на 1 км фронта, хотя в некоторых случаях их число доходило до 20 на 1 км фронта. Полоса УР по фронту колебалась от 30 до 140 км, а полное число ДОТ и ДЗОТ - от 60 до 900. В то же время возможности основного фронтового бомбардировщика ВВС КА Пе-2 были все же недостаточными - две ФАБ-250 стандартной бомбовой нагрузки (4 ФАБ-250 "таскали" редко) не обеспечивали требуемые вероятности поражения фортификационных сооружений вермахта, а бомбардировщик Ту-2 2М-82, как отмечалось выше, к этому времени уже утратил свои пикирующие свойства (9660).</w:t>
      </w:r>
    </w:p>
    <w:p w14:paraId="36AA8C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B52B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40164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5970C"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зимний пе</w:t>
      </w:r>
      <w:r w:rsidRPr="008A2E5A">
        <w:rPr>
          <w:rFonts w:ascii="Times New Roman" w:hAnsi="Times New Roman"/>
          <w:color w:val="0070C0"/>
          <w:sz w:val="16"/>
          <w:szCs w:val="16"/>
        </w:rPr>
        <w:softHyphen/>
        <w:t>риод 1941-1942 гг. в 1 заб было было 24 случая течи маслорадиаторов. Тогда обвинили технический состав 1-й запасной авиабригады в неумении грамотно обслуживать маслорадиаторы при отрицательных температурах воздуха. Но в период с 1 по 15 мая при плюсовой температуре воз</w:t>
      </w:r>
      <w:r w:rsidRPr="008A2E5A">
        <w:rPr>
          <w:rFonts w:ascii="Times New Roman" w:hAnsi="Times New Roman"/>
          <w:color w:val="0070C0"/>
          <w:sz w:val="16"/>
          <w:szCs w:val="16"/>
        </w:rPr>
        <w:softHyphen/>
        <w:t>духа в частях 1-й заб официально зарегистрировали 9 слу</w:t>
      </w:r>
      <w:r w:rsidRPr="008A2E5A">
        <w:rPr>
          <w:rFonts w:ascii="Times New Roman" w:hAnsi="Times New Roman"/>
          <w:color w:val="0070C0"/>
          <w:sz w:val="16"/>
          <w:szCs w:val="16"/>
        </w:rPr>
        <w:softHyphen/>
        <w:t>чаев течи маслорадиаторов.</w:t>
      </w:r>
    </w:p>
    <w:p w14:paraId="3F20A10B"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Технический состав запасных полков бригады указывал на ряд «крупных недостатков конструкции маслорадиатора и брони маслорадиатора».</w:t>
      </w:r>
    </w:p>
    <w:p w14:paraId="61CEFC3C"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на Ил-2 пробка слива масла располагалась в пе</w:t>
      </w:r>
      <w:r w:rsidRPr="008A2E5A">
        <w:rPr>
          <w:rFonts w:ascii="Times New Roman" w:hAnsi="Times New Roman"/>
          <w:color w:val="0070C0"/>
          <w:sz w:val="16"/>
          <w:szCs w:val="16"/>
        </w:rPr>
        <w:softHyphen/>
        <w:t>редней части маслорадиатора. Поэтому, когда «самолет стоит под углом, при сливе масла из маслорадиатора - масло в количестве 3-4 литров остается в радиаторе» в его нижней части. В то же время обеспечить эффектив</w:t>
      </w:r>
      <w:r w:rsidRPr="008A2E5A">
        <w:rPr>
          <w:rFonts w:ascii="Times New Roman" w:hAnsi="Times New Roman"/>
          <w:color w:val="0070C0"/>
          <w:sz w:val="16"/>
          <w:szCs w:val="16"/>
        </w:rPr>
        <w:softHyphen/>
        <w:t>ный прогрев маслорадиатора при низких температурах воздуха было очень сложно. В результате масло замер</w:t>
      </w:r>
      <w:r w:rsidRPr="008A2E5A">
        <w:rPr>
          <w:rFonts w:ascii="Times New Roman" w:hAnsi="Times New Roman"/>
          <w:color w:val="0070C0"/>
          <w:sz w:val="16"/>
          <w:szCs w:val="16"/>
        </w:rPr>
        <w:softHyphen/>
        <w:t>зало. Как следствие, «при запуске и прогреве мотора масло не циркулирует по всей системе, в радиаторе на</w:t>
      </w:r>
      <w:r w:rsidRPr="008A2E5A">
        <w:rPr>
          <w:rFonts w:ascii="Times New Roman" w:hAnsi="Times New Roman"/>
          <w:color w:val="0070C0"/>
          <w:sz w:val="16"/>
          <w:szCs w:val="16"/>
        </w:rPr>
        <w:softHyphen/>
        <w:t>растает высокое давление, от которого маслорадиаторы дают трещины, и образуется течь».</w:t>
      </w:r>
    </w:p>
    <w:p w14:paraId="5CAF7072"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Имелись многочисленные случаи, когда, «отвернув пробку маслорадиатора завернуть ее потом просто не</w:t>
      </w:r>
      <w:r w:rsidRPr="008A2E5A">
        <w:rPr>
          <w:rFonts w:ascii="Times New Roman" w:hAnsi="Times New Roman"/>
          <w:color w:val="0070C0"/>
          <w:sz w:val="16"/>
          <w:szCs w:val="16"/>
        </w:rPr>
        <w:softHyphen/>
        <w:t>возможно из-за несовпадения отверстия в броне с проб</w:t>
      </w:r>
      <w:r w:rsidRPr="008A2E5A">
        <w:rPr>
          <w:rFonts w:ascii="Times New Roman" w:hAnsi="Times New Roman"/>
          <w:color w:val="0070C0"/>
          <w:sz w:val="16"/>
          <w:szCs w:val="16"/>
        </w:rPr>
        <w:softHyphen/>
        <w:t>кой маслорадиатора». По этой причине самолеты задер</w:t>
      </w:r>
      <w:r w:rsidRPr="008A2E5A">
        <w:rPr>
          <w:rFonts w:ascii="Times New Roman" w:hAnsi="Times New Roman"/>
          <w:color w:val="0070C0"/>
          <w:sz w:val="16"/>
          <w:szCs w:val="16"/>
        </w:rPr>
        <w:softHyphen/>
        <w:t>живались с отправкой на фронт.</w:t>
      </w:r>
    </w:p>
    <w:p w14:paraId="5179BFC5"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плохой затяжки гаек наблюдалась течь масла в соединениях петрофлексов, «особенно это ска</w:t>
      </w:r>
      <w:r w:rsidRPr="008A2E5A">
        <w:rPr>
          <w:rFonts w:ascii="Times New Roman" w:hAnsi="Times New Roman"/>
          <w:color w:val="0070C0"/>
          <w:sz w:val="16"/>
          <w:szCs w:val="16"/>
        </w:rPr>
        <w:softHyphen/>
        <w:t>зывается после налета самолета в 5-10 часов». Кроме того, имели место «случаи порывов маслопетрофлексов из-за недоброкачественного их изготовления» (23346).</w:t>
      </w:r>
    </w:p>
    <w:p w14:paraId="46BEDA28" w14:textId="77777777" w:rsidR="00BA1D96" w:rsidRPr="008A2E5A" w:rsidRDefault="00BA1D96" w:rsidP="00BA1D96">
      <w:pPr>
        <w:spacing w:after="0" w:line="240" w:lineRule="auto"/>
        <w:jc w:val="both"/>
        <w:rPr>
          <w:rFonts w:ascii="Times New Roman" w:hAnsi="Times New Roman"/>
          <w:color w:val="0070C0"/>
          <w:sz w:val="16"/>
          <w:szCs w:val="16"/>
        </w:rPr>
      </w:pPr>
    </w:p>
    <w:p w14:paraId="0477FA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1942 г. начались испытания ЛаГГ-3 с М-107. В ходе полетов букет недостатков М-107 проявился в полной мере - двигатель имел слишком теплонапряженный режим (4707).</w:t>
      </w:r>
    </w:p>
    <w:p w14:paraId="09C76A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C70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1942 установкой новых лобовых жалюзи с поворотными створками была решена проблема переохлаждения головок цилиндров двигателей М-88Б при их работе на малых режимах при низких температурах. Эти жалюзи выполнялись в виде вращающихся на оси отдельных створок, которые в закрытом положении полностью перекрывали входное отверстие капота. При необходимости понизить температуру цилиндров двигателя створки устанавливались под углом около 20° к набегающему потоку, улучшая обдув цилиндров. Новые лобовые жалюзи применялись на самолетах Ил-4, в основном, в период холодной погоды (9528).</w:t>
      </w:r>
    </w:p>
    <w:p w14:paraId="099463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7C8D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BD12D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362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зимы 1942 года немцы начали широко применять бутылки с горючей смесью (коктейль Молотова). Было предложено закрывать корпус танка Т-60 двойной сеткой "Дэви", служащей своеобразным экраном. Испытания такой защиты под Чкаловом (Оренбург) в конце февраля 1942 года дали хорошие результаты. Однако ввиду технических трудностей оборудования танка сеткой "Дэви" во фронтовых условиях она практически не применялась (3862).</w:t>
      </w:r>
    </w:p>
    <w:p w14:paraId="128147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ED67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6C6AE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17EC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1942 г. Ил-2 33-го Гвардейского штурмового авиаполка впервые успешно использовали для уничтожения транспортных самолетов Юнкере Ju-52, снабжавших окруженную в районе Демянска вражескую группировку. Не менее эффективно Ил-2 в качестве истребителей действовали в Сталинградской битве против бомбардировщиков Не-111 и транспортников Ju-52 (9528).</w:t>
      </w:r>
    </w:p>
    <w:p w14:paraId="13E056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1FD5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01183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B87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 положение с выпуском ДБ-3 начало восстанавливать</w:t>
      </w:r>
      <w:r w:rsidRPr="008127F8">
        <w:rPr>
          <w:rFonts w:ascii="Times New Roman" w:hAnsi="Times New Roman"/>
          <w:color w:val="000000" w:themeColor="text1"/>
          <w:sz w:val="16"/>
          <w:szCs w:val="16"/>
        </w:rPr>
        <w:softHyphen/>
        <w:t>ся. Завод № 126 заработал в полную силу. Самолеты с Дальнего Востока перегоняли по возду</w:t>
      </w:r>
      <w:r w:rsidRPr="008127F8">
        <w:rPr>
          <w:rFonts w:ascii="Times New Roman" w:hAnsi="Times New Roman"/>
          <w:color w:val="000000" w:themeColor="text1"/>
          <w:sz w:val="16"/>
          <w:szCs w:val="16"/>
        </w:rPr>
        <w:softHyphen/>
        <w:t>ху. Эту работу поручили ГВФ. Из граж</w:t>
      </w:r>
      <w:r w:rsidRPr="008127F8">
        <w:rPr>
          <w:rFonts w:ascii="Times New Roman" w:hAnsi="Times New Roman"/>
          <w:color w:val="000000" w:themeColor="text1"/>
          <w:sz w:val="16"/>
          <w:szCs w:val="16"/>
        </w:rPr>
        <w:softHyphen/>
        <w:t>данских летчиков сформировали 12-ю перегоночную авиагруппу. В нее входи</w:t>
      </w:r>
      <w:r w:rsidRPr="008127F8">
        <w:rPr>
          <w:rFonts w:ascii="Times New Roman" w:hAnsi="Times New Roman"/>
          <w:color w:val="000000" w:themeColor="text1"/>
          <w:sz w:val="16"/>
          <w:szCs w:val="16"/>
        </w:rPr>
        <w:softHyphen/>
        <w:t>ли девять эскадрилий по семь экипажей в каждой. За год она доставила к фрон</w:t>
      </w:r>
      <w:r w:rsidRPr="008127F8">
        <w:rPr>
          <w:rFonts w:ascii="Times New Roman" w:hAnsi="Times New Roman"/>
          <w:color w:val="000000" w:themeColor="text1"/>
          <w:sz w:val="16"/>
          <w:szCs w:val="16"/>
        </w:rPr>
        <w:softHyphen/>
        <w:t>ту 562 самолета, потеряв в авариях лишь десять. Но мощностей одного завода № 126 было явно недостаточно для восполне</w:t>
      </w:r>
      <w:r w:rsidRPr="008127F8">
        <w:rPr>
          <w:rFonts w:ascii="Times New Roman" w:hAnsi="Times New Roman"/>
          <w:color w:val="000000" w:themeColor="text1"/>
          <w:sz w:val="16"/>
          <w:szCs w:val="16"/>
        </w:rPr>
        <w:softHyphen/>
        <w:t>ния потерь (10734,69).</w:t>
      </w:r>
    </w:p>
    <w:p w14:paraId="48B155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EBCBC"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весне 1942 года ресурс М-88Б был доведен до 200 часов, </w:t>
      </w:r>
      <w:proofErr w:type="gramStart"/>
      <w:r w:rsidRPr="008A2E5A">
        <w:rPr>
          <w:rFonts w:ascii="Times New Roman" w:hAnsi="Times New Roman"/>
          <w:color w:val="0070C0"/>
          <w:sz w:val="16"/>
          <w:szCs w:val="16"/>
        </w:rPr>
        <w:t>но</w:t>
      </w:r>
      <w:proofErr w:type="gramEnd"/>
      <w:r w:rsidRPr="008A2E5A">
        <w:rPr>
          <w:rFonts w:ascii="Times New Roman" w:hAnsi="Times New Roman"/>
          <w:color w:val="0070C0"/>
          <w:sz w:val="16"/>
          <w:szCs w:val="16"/>
        </w:rPr>
        <w:t xml:space="preserve"> чтобы силовая установка работала на</w:t>
      </w:r>
      <w:r w:rsidRPr="008A2E5A">
        <w:rPr>
          <w:rFonts w:ascii="Times New Roman" w:hAnsi="Times New Roman"/>
          <w:color w:val="0070C0"/>
          <w:sz w:val="16"/>
          <w:szCs w:val="16"/>
        </w:rPr>
        <w:softHyphen/>
        <w:t>дежно, летчик должен был правильно ее эксплуатировать. Особая осторож</w:t>
      </w:r>
      <w:r w:rsidRPr="008A2E5A">
        <w:rPr>
          <w:rFonts w:ascii="Times New Roman" w:hAnsi="Times New Roman"/>
          <w:color w:val="0070C0"/>
          <w:sz w:val="16"/>
          <w:szCs w:val="16"/>
        </w:rPr>
        <w:softHyphen/>
        <w:t>ность требовалась при пользовании второй скоростью приводных центро</w:t>
      </w:r>
      <w:r w:rsidRPr="008A2E5A">
        <w:rPr>
          <w:rFonts w:ascii="Times New Roman" w:hAnsi="Times New Roman"/>
          <w:color w:val="0070C0"/>
          <w:sz w:val="16"/>
          <w:szCs w:val="16"/>
        </w:rPr>
        <w:softHyphen/>
        <w:t>бежных нагнетателей. Максимальный наддув нельзя было включать на ма</w:t>
      </w:r>
      <w:r w:rsidRPr="008A2E5A">
        <w:rPr>
          <w:rFonts w:ascii="Times New Roman" w:hAnsi="Times New Roman"/>
          <w:color w:val="0070C0"/>
          <w:sz w:val="16"/>
          <w:szCs w:val="16"/>
        </w:rPr>
        <w:softHyphen/>
        <w:t>лых высотах, а летчики игнорировали запрет ради небольшой прибавки ско</w:t>
      </w:r>
      <w:r w:rsidRPr="008A2E5A">
        <w:rPr>
          <w:rFonts w:ascii="Times New Roman" w:hAnsi="Times New Roman"/>
          <w:color w:val="0070C0"/>
          <w:sz w:val="16"/>
          <w:szCs w:val="16"/>
        </w:rPr>
        <w:softHyphen/>
        <w:t>рости. Если позволяла полоса, взле</w:t>
      </w:r>
      <w:r w:rsidRPr="008A2E5A">
        <w:rPr>
          <w:rFonts w:ascii="Times New Roman" w:hAnsi="Times New Roman"/>
          <w:color w:val="0070C0"/>
          <w:sz w:val="16"/>
          <w:szCs w:val="16"/>
        </w:rPr>
        <w:softHyphen/>
        <w:t>тать также лучше на первой скорости ПЦН. Между тем нормальный взлет</w:t>
      </w:r>
      <w:r w:rsidRPr="008A2E5A">
        <w:rPr>
          <w:rFonts w:ascii="Times New Roman" w:hAnsi="Times New Roman"/>
          <w:color w:val="0070C0"/>
          <w:sz w:val="16"/>
          <w:szCs w:val="16"/>
        </w:rPr>
        <w:softHyphen/>
        <w:t>ный вес Ил-4 с новым крылом достиг 10055 кг, а перегрузочный — 12130 кг, из-за чего длина разбега увеличилась до 800 м, ухудшился набор высоты.   Вопрос мощности резко обострился (24139).</w:t>
      </w:r>
    </w:p>
    <w:p w14:paraId="55BB3091" w14:textId="77777777" w:rsidR="00BA1D96" w:rsidRPr="008A2E5A" w:rsidRDefault="00BA1D96" w:rsidP="00BA1D96">
      <w:pPr>
        <w:spacing w:after="0" w:line="240" w:lineRule="auto"/>
        <w:jc w:val="both"/>
        <w:rPr>
          <w:rFonts w:ascii="Times New Roman" w:hAnsi="Times New Roman"/>
          <w:color w:val="0070C0"/>
          <w:sz w:val="16"/>
          <w:szCs w:val="16"/>
        </w:rPr>
      </w:pPr>
    </w:p>
    <w:p w14:paraId="562558FB" w14:textId="77777777" w:rsidR="00C61E86" w:rsidRPr="008127F8" w:rsidRDefault="00C61E8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К. весне 1942 г. работники ОКБ и завода № 51 под руководством Н. Н. Поли</w:t>
      </w:r>
      <w:r w:rsidRPr="008127F8">
        <w:rPr>
          <w:color w:val="000000" w:themeColor="text1"/>
          <w:sz w:val="16"/>
          <w:szCs w:val="16"/>
        </w:rPr>
        <w:softHyphen/>
        <w:t>карпова, несмотря на огромные трудности, все же создали опытное производство на новой площадке в Новосибирске (17500).</w:t>
      </w:r>
    </w:p>
    <w:p w14:paraId="71D380DA" w14:textId="77777777" w:rsidR="00C61E86" w:rsidRPr="008127F8" w:rsidRDefault="00C61E86" w:rsidP="001E0A84">
      <w:pPr>
        <w:spacing w:after="0" w:line="240" w:lineRule="auto"/>
        <w:jc w:val="both"/>
        <w:rPr>
          <w:rFonts w:ascii="Times New Roman" w:hAnsi="Times New Roman"/>
          <w:color w:val="000000" w:themeColor="text1"/>
          <w:sz w:val="16"/>
          <w:szCs w:val="16"/>
        </w:rPr>
      </w:pPr>
    </w:p>
    <w:p w14:paraId="4B79538D" w14:textId="1AE06E43" w:rsidR="00E979F2" w:rsidRPr="008127F8" w:rsidRDefault="00E979F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 когда Государственные испытания истребителя И-210 (МиГ-3 с М-82) были завершены, с мотором М-82А было уже сделано еще четыре типа модифицированных истребителей. Это были И-185 в варианте «И» ОКБ-51 Н.Н. Поликарпова, Гу-82 конструкции ОКБ-301 М.И. Гудкова, представлявший собой модификацию серийного ЛаГГ-3, сделанный ОКБ-115 А.С. Яковлева Як-7 М-82 и разработанный С.М. Алексеевым по указанию С.А. Лавочкина в ОКБ-21 ЛаГГ-5. Еще один подобный самолет – ЛаГ-5 разработки ОКБ-31 В.П. Горбунова был почти готов, но испытания его задерживались – они начнутся только в августе 1942 г. Однако сравнение И-210 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ними, по-видимому, даже не проводилось, 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ориентиром для его оценки был взят серийный МиГ-3 с мотором АМ-35А выпуска лета 141 г. И был он для новой машины «противником» отнюдь не легким (23187).</w:t>
      </w:r>
    </w:p>
    <w:p w14:paraId="088732ED" w14:textId="77777777" w:rsidR="00E979F2" w:rsidRPr="008127F8" w:rsidRDefault="00E979F2" w:rsidP="001E0A84">
      <w:pPr>
        <w:shd w:val="clear" w:color="auto" w:fill="FFFFFF"/>
        <w:spacing w:after="0" w:line="240" w:lineRule="auto"/>
        <w:jc w:val="both"/>
        <w:rPr>
          <w:rFonts w:ascii="Times New Roman" w:hAnsi="Times New Roman"/>
          <w:color w:val="000000" w:themeColor="text1"/>
          <w:sz w:val="16"/>
          <w:szCs w:val="16"/>
        </w:rPr>
      </w:pPr>
    </w:p>
    <w:p w14:paraId="5A032C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весне—лету 1942 г. относится и ещё один важный аспект кадровой политики в отношении ИТР. Для этого периода ха</w:t>
      </w:r>
      <w:r w:rsidRPr="008127F8">
        <w:rPr>
          <w:rFonts w:ascii="Times New Roman" w:hAnsi="Times New Roman"/>
          <w:color w:val="000000" w:themeColor="text1"/>
          <w:sz w:val="16"/>
          <w:szCs w:val="16"/>
        </w:rPr>
        <w:softHyphen/>
        <w:t>рактерны две синхронные, но фактически противоположные по тренду тенденции. С одной стороны, реалии военного времени вели к ужесточению режима. Соответственно, с во</w:t>
      </w:r>
      <w:r w:rsidRPr="008127F8">
        <w:rPr>
          <w:rFonts w:ascii="Times New Roman" w:hAnsi="Times New Roman"/>
          <w:color w:val="000000" w:themeColor="text1"/>
          <w:sz w:val="16"/>
          <w:szCs w:val="16"/>
        </w:rPr>
        <w:softHyphen/>
        <w:t>енных предприятий вообще и с авиазаводов в особенности «вычищали» всех подозрительных и потенциально нело</w:t>
      </w:r>
      <w:r w:rsidRPr="008127F8">
        <w:rPr>
          <w:rFonts w:ascii="Times New Roman" w:hAnsi="Times New Roman"/>
          <w:color w:val="000000" w:themeColor="text1"/>
          <w:sz w:val="16"/>
          <w:szCs w:val="16"/>
        </w:rPr>
        <w:softHyphen/>
        <w:t xml:space="preserve">яльных специалистов. Так, в связи с «компрометирующими обстоятельствами в биографии» с авиапредеприятий были уволены 42 инженера, в том числе известный авиаконструктор И.Ф. Флоров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xml:space="preserve">. 1. Д. 6432. Л. 12—13). Достаточно распространённой практикой было недопущение до работы с секретной перепиской лиц, имевших родственников «непролетарского происхождения»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Д. 6431. Л. 38). С другой стороны, ряд уже «сидевших» авиаспециалистов освобождались и возвращались на прежние места работы. Например, 31 декабря 1941 г. из IV Спецотдела НКВД были досрочно освобождены и направлены в НКАП 19 конструк</w:t>
      </w:r>
      <w:r w:rsidRPr="008127F8">
        <w:rPr>
          <w:rFonts w:ascii="Times New Roman" w:hAnsi="Times New Roman"/>
          <w:color w:val="000000" w:themeColor="text1"/>
          <w:sz w:val="16"/>
          <w:szCs w:val="16"/>
        </w:rPr>
        <w:softHyphen/>
        <w:t xml:space="preserve">торов, работавших на заводе № 166 над внедрением в серию самолёта 103у (Туполев, Саукке, Надашкевич, Френкель и др.)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xml:space="preserve">. 1. Д. Д. 6431. Л. 11). Несколько позднее, в июне 1942 г. той же процедуре подверглись ещё 9 инженеров, и среди них «отец советского авиадизеля» А. Д. Чаромский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Д. 6432. Л. 126) (12011).</w:t>
      </w:r>
    </w:p>
    <w:p w14:paraId="46BE98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792B7"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весны 1942 года отдел "22" на заводе № 37 возглавил Н.А. Попов, до эвакуации работавший старшим конструктором по теме Т-40. На посту начальника отдела "22" он сменил Г.С. Суреняна, который возглавлял его еще до эвакуации (также до Попова он возглавлял заводское КБ). Судя по всему, Суреняном оказались не особо довольны, как до того Постниковым (23355).</w:t>
      </w:r>
    </w:p>
    <w:p w14:paraId="4B443DBD" w14:textId="77777777" w:rsidR="001B52D5" w:rsidRPr="008A2E5A" w:rsidRDefault="001B52D5" w:rsidP="001B52D5">
      <w:pPr>
        <w:spacing w:after="0" w:line="240" w:lineRule="auto"/>
        <w:jc w:val="both"/>
        <w:rPr>
          <w:rFonts w:ascii="Times New Roman" w:hAnsi="Times New Roman"/>
          <w:color w:val="0070C0"/>
          <w:sz w:val="16"/>
          <w:szCs w:val="16"/>
        </w:rPr>
      </w:pPr>
    </w:p>
    <w:p w14:paraId="18EFA6FA" w14:textId="77777777" w:rsidR="00CB6E72"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CE5966B" w14:textId="77777777" w:rsidR="00CB6E72" w:rsidRPr="008127F8" w:rsidRDefault="00CB6E72"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8594B"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 перебазирование промышленности в восточные районы страны было в основном завершено. Свыше 1300 предприятий «гражданского» и «военного» машиностроения, черной и цветной – металлургии, химической и нефтеперерабатывающей промышленности вступили в строй. В начале лета 1942 г. валовая продукция наркоматов оборонной промышленности, при расчете в «неизменных» ценах 1926/27 г., либо превысила довоенный уровень, либо приблизилась к нему. То есть предвоенный уровень можно назвать сугубо военным. Затем рост военного производства продолжился (18406).</w:t>
      </w:r>
    </w:p>
    <w:p w14:paraId="77166497" w14:textId="77777777" w:rsidR="00985751" w:rsidRPr="008127F8" w:rsidRDefault="00985751" w:rsidP="001E0A84">
      <w:pPr>
        <w:spacing w:after="0" w:line="240" w:lineRule="auto"/>
        <w:jc w:val="both"/>
        <w:rPr>
          <w:rFonts w:ascii="Times New Roman" w:hAnsi="Times New Roman"/>
          <w:color w:val="000000" w:themeColor="text1"/>
          <w:sz w:val="16"/>
          <w:szCs w:val="16"/>
        </w:rPr>
      </w:pPr>
    </w:p>
    <w:p w14:paraId="311DE699" w14:textId="77777777" w:rsidR="00CB6E72" w:rsidRPr="008127F8" w:rsidRDefault="00CB6E72" w:rsidP="001E0A84">
      <w:pPr>
        <w:pStyle w:val="a4"/>
        <w:rPr>
          <w:color w:val="000000" w:themeColor="text1"/>
          <w:lang w:val="ru-RU"/>
        </w:rPr>
      </w:pPr>
      <w:r w:rsidRPr="008127F8">
        <w:rPr>
          <w:color w:val="000000" w:themeColor="text1"/>
          <w:lang w:val="ru-RU"/>
        </w:rPr>
        <w:t xml:space="preserve">К весне 1942 года тема «212» была закрыта окончательно, и ЧКЗ к ней возвращаться не собирался. То же самое касалось и КВ-3, на базе которого разрабатывался истребитель ДОТов. Даже если бы на данной САУ настаивало руководство СНК, построить опытный образец, а уж тем более запустить его в серию было вещью абсолютно нереальной. Нереальным было в тот момент и возобновление производства 152-мм корпусной пушки БР-2. Поэтому нравилось ГАУ или нет, но единственным вариантом на тот момент была разработка истребителя ДОТ </w:t>
      </w:r>
      <w:proofErr w:type="gramStart"/>
      <w:r w:rsidRPr="008127F8">
        <w:rPr>
          <w:color w:val="000000" w:themeColor="text1"/>
          <w:lang w:val="ru-RU"/>
        </w:rPr>
        <w:t>в на</w:t>
      </w:r>
      <w:proofErr w:type="gramEnd"/>
      <w:r w:rsidRPr="008127F8">
        <w:rPr>
          <w:color w:val="000000" w:themeColor="text1"/>
          <w:lang w:val="ru-RU"/>
        </w:rPr>
        <w:t xml:space="preserve"> базе КВ-7. К тому же предлагавшаяся в каче</w:t>
      </w:r>
      <w:r w:rsidRPr="008127F8">
        <w:rPr>
          <w:color w:val="000000" w:themeColor="text1"/>
          <w:lang w:val="ru-RU"/>
        </w:rPr>
        <w:softHyphen/>
        <w:t xml:space="preserve">стве вооружения нового истребителя ДОТов 152-мм пушка-гаубица </w:t>
      </w:r>
      <w:r w:rsidRPr="008127F8">
        <w:rPr>
          <w:color w:val="000000" w:themeColor="text1"/>
        </w:rPr>
        <w:t>MJ</w:t>
      </w:r>
      <w:r w:rsidRPr="008127F8">
        <w:rPr>
          <w:color w:val="000000" w:themeColor="text1"/>
          <w:lang w:val="ru-RU"/>
        </w:rPr>
        <w:t>1-20 хоть и была на треть короче БР-2, тем не менее являлась весьма грозным орудием (17484).</w:t>
      </w:r>
    </w:p>
    <w:p w14:paraId="63244B3B" w14:textId="77777777" w:rsidR="00CB6E72" w:rsidRPr="008127F8" w:rsidRDefault="00CB6E72" w:rsidP="001E0A84">
      <w:pPr>
        <w:pStyle w:val="af"/>
        <w:spacing w:before="0" w:after="0"/>
        <w:jc w:val="both"/>
        <w:rPr>
          <w:color w:val="000000" w:themeColor="text1"/>
          <w:sz w:val="16"/>
          <w:szCs w:val="16"/>
        </w:rPr>
      </w:pPr>
    </w:p>
    <w:p w14:paraId="0266F380"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года тему КВ-3 похоронили окончательно, а в качестве базы для истребителя ДОТов стали рассматривать совсем другую машину (12264).</w:t>
      </w:r>
    </w:p>
    <w:p w14:paraId="4298198A" w14:textId="77777777" w:rsidR="00985751" w:rsidRPr="008127F8" w:rsidRDefault="00985751" w:rsidP="001E0A84">
      <w:pPr>
        <w:spacing w:after="0" w:line="240" w:lineRule="auto"/>
        <w:jc w:val="both"/>
        <w:rPr>
          <w:rFonts w:ascii="Times New Roman" w:hAnsi="Times New Roman"/>
          <w:color w:val="000000" w:themeColor="text1"/>
          <w:sz w:val="16"/>
          <w:szCs w:val="16"/>
        </w:rPr>
      </w:pPr>
    </w:p>
    <w:p w14:paraId="5D414702" w14:textId="77777777" w:rsidR="00C61E86" w:rsidRPr="008127F8" w:rsidRDefault="00C61E8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 xml:space="preserve">К весне 1942 года стало ясно, что работы над средней самоходной артиллерийской установкой (САУ) с 85-мм пушкой во вращающейся башне на базе танка Т-34 зашли в тупик. Результатом разработок, начатых еще летом 1940 года, стала самоходка </w:t>
      </w:r>
      <w:hyperlink r:id="rId74" w:history="1">
        <w:r w:rsidRPr="008127F8">
          <w:rPr>
            <w:rFonts w:ascii="Times New Roman" w:eastAsia="Times New Roman" w:hAnsi="Times New Roman"/>
            <w:iCs/>
            <w:color w:val="000000" w:themeColor="text1"/>
            <w:sz w:val="16"/>
            <w:szCs w:val="16"/>
            <w:lang w:eastAsia="ru-RU"/>
          </w:rPr>
          <w:t>У-20</w:t>
        </w:r>
      </w:hyperlink>
      <w:r w:rsidRPr="008127F8">
        <w:rPr>
          <w:rFonts w:ascii="Times New Roman" w:eastAsia="Times New Roman" w:hAnsi="Times New Roman"/>
          <w:iCs/>
          <w:color w:val="000000" w:themeColor="text1"/>
          <w:sz w:val="16"/>
          <w:szCs w:val="16"/>
          <w:lang w:eastAsia="ru-RU"/>
        </w:rPr>
        <w:t xml:space="preserve">, которая военных не устроила. Проект даже не покинул чертежных досок. Далее развитие советских самоходных установок пошло совсем по другому пути. В значительной степени на дальнейшие работы повлияло </w:t>
      </w:r>
      <w:hyperlink r:id="rId75" w:history="1">
        <w:r w:rsidRPr="008127F8">
          <w:rPr>
            <w:rFonts w:ascii="Times New Roman" w:eastAsia="Times New Roman" w:hAnsi="Times New Roman"/>
            <w:iCs/>
            <w:color w:val="000000" w:themeColor="text1"/>
            <w:sz w:val="16"/>
            <w:szCs w:val="16"/>
            <w:lang w:eastAsia="ru-RU"/>
          </w:rPr>
          <w:t>изучение трофейной немецкой самоходной установки StuG III Ausf.B</w:t>
        </w:r>
      </w:hyperlink>
      <w:r w:rsidRPr="008127F8">
        <w:rPr>
          <w:rFonts w:ascii="Times New Roman" w:eastAsia="Times New Roman" w:hAnsi="Times New Roman"/>
          <w:iCs/>
          <w:color w:val="000000" w:themeColor="text1"/>
          <w:sz w:val="16"/>
          <w:szCs w:val="16"/>
          <w:lang w:eastAsia="ru-RU"/>
        </w:rPr>
        <w:t xml:space="preserve">. Позже на её базе КБ завода №592 спроектировало советскую версию, известную как </w:t>
      </w:r>
      <w:hyperlink r:id="rId76" w:history="1">
        <w:r w:rsidRPr="008127F8">
          <w:rPr>
            <w:rFonts w:ascii="Times New Roman" w:eastAsia="Times New Roman" w:hAnsi="Times New Roman"/>
            <w:iCs/>
            <w:color w:val="000000" w:themeColor="text1"/>
            <w:sz w:val="16"/>
            <w:szCs w:val="16"/>
            <w:lang w:eastAsia="ru-RU"/>
          </w:rPr>
          <w:t>СГ-122</w:t>
        </w:r>
      </w:hyperlink>
      <w:r w:rsidRPr="008127F8">
        <w:rPr>
          <w:rFonts w:ascii="Times New Roman" w:eastAsia="Times New Roman" w:hAnsi="Times New Roman"/>
          <w:iCs/>
          <w:color w:val="000000" w:themeColor="text1"/>
          <w:sz w:val="16"/>
          <w:szCs w:val="16"/>
          <w:lang w:eastAsia="ru-RU"/>
        </w:rPr>
        <w:t xml:space="preserve"> (17679).</w:t>
      </w:r>
    </w:p>
    <w:p w14:paraId="2C4E0739" w14:textId="77777777" w:rsidR="00C61E86" w:rsidRPr="008127F8" w:rsidRDefault="00C61E86" w:rsidP="001E0A84">
      <w:pPr>
        <w:spacing w:after="0" w:line="240" w:lineRule="auto"/>
        <w:jc w:val="both"/>
        <w:rPr>
          <w:rFonts w:ascii="Times New Roman" w:hAnsi="Times New Roman"/>
          <w:color w:val="000000" w:themeColor="text1"/>
          <w:sz w:val="16"/>
          <w:szCs w:val="16"/>
        </w:rPr>
      </w:pPr>
    </w:p>
    <w:p w14:paraId="7873CABF"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весне 1942 года толстая броня КВ-1 перестала быть серьёзным аргументом. Появление 75-мм противотанковых пушек Pak 40, а также танковых/самоходных орудий KwK 40/StuK 40 позволило немцам уверенно поражать КВ-1 с ближних и частично со средних дистанций. При этом у КВ-1 имелись проблемы с подвижностью, надежностью и обзорностью. Поэтому про ошибочность решения относительно КВ-1с точно говорить не стоит. Иллюзий по его поводу мало кто строил, о чем говорит постепенное форсирование программы КВ-13 (23364).</w:t>
      </w:r>
    </w:p>
    <w:p w14:paraId="0D35F109" w14:textId="77777777" w:rsidR="001B52D5" w:rsidRPr="008A2E5A" w:rsidRDefault="001B52D5" w:rsidP="001B52D5">
      <w:pPr>
        <w:spacing w:after="0" w:line="240" w:lineRule="auto"/>
        <w:jc w:val="both"/>
        <w:rPr>
          <w:rFonts w:ascii="Times New Roman" w:hAnsi="Times New Roman"/>
          <w:color w:val="0070C0"/>
          <w:sz w:val="16"/>
          <w:szCs w:val="16"/>
        </w:rPr>
      </w:pPr>
    </w:p>
    <w:p w14:paraId="696C8C42"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весне 1942 г. Уральский комбинат тяжелых танков КВ (УКТТ), созданный 6 октября 1941 г. включил в себя челябинский Кировский завод, Ижорский завод (УЗТМ) и </w:t>
      </w:r>
      <w:proofErr w:type="gramStart"/>
      <w:r w:rsidRPr="008A2E5A">
        <w:rPr>
          <w:rFonts w:ascii="Times New Roman" w:hAnsi="Times New Roman"/>
          <w:color w:val="0070C0"/>
          <w:sz w:val="16"/>
          <w:szCs w:val="16"/>
        </w:rPr>
        <w:t>Уралтурбозавод[</w:t>
      </w:r>
      <w:proofErr w:type="gramEnd"/>
      <w:r w:rsidRPr="008A2E5A">
        <w:rPr>
          <w:rFonts w:ascii="Times New Roman" w:hAnsi="Times New Roman"/>
          <w:color w:val="0070C0"/>
          <w:sz w:val="16"/>
          <w:szCs w:val="16"/>
        </w:rPr>
        <w:t>335], фактически прекратил свое существование. Такая концентрация управления в условиях военного времени себя не оправдала. УКТТ создавался в рамках формирования на Урале единого комплекса по производству тяжелого танка КВ. После того как в регион пришлось эвакуировать все ведущие предприятия танкостроения, функции Уральского комбината оказались слишком размыты.</w:t>
      </w:r>
    </w:p>
    <w:p w14:paraId="044D9D57"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Примечательно, что после начала эвакуации ленинградских предприятий УЗТМ был переименован в Ижорский завод. С октября 1941 г. по начало следующего года Уралмаш в документах обозначается именно как «Ижорский завод». Но уже в январе 1942 г. Уралмаш смог вернуть свое прежнее </w:t>
      </w:r>
      <w:proofErr w:type="gramStart"/>
      <w:r w:rsidRPr="008A2E5A">
        <w:rPr>
          <w:rFonts w:ascii="Times New Roman" w:hAnsi="Times New Roman"/>
          <w:color w:val="0070C0"/>
          <w:sz w:val="16"/>
          <w:szCs w:val="16"/>
        </w:rPr>
        <w:t>имя[</w:t>
      </w:r>
      <w:proofErr w:type="gramEnd"/>
      <w:r w:rsidRPr="008A2E5A">
        <w:rPr>
          <w:rFonts w:ascii="Times New Roman" w:hAnsi="Times New Roman"/>
          <w:color w:val="0070C0"/>
          <w:sz w:val="16"/>
          <w:szCs w:val="16"/>
        </w:rPr>
        <w:t>336]. Случай достаточно уникальный для восточных предприятий Наркомтанкопрома, поскольку все остальные местные промышленные площадки были так или иначе переименованы. Они либо получали название одного из эвакуируемых предприятий (челябинский Кировский завод, свердловский завод № 37), либо принимали новое обозначение (УТЗ, завод № 200). Более того, УЗТМ сохранил свое довоенное руководство: Б.Г. Музруков стал единственным «местным» танковым директором в регионе.</w:t>
      </w:r>
    </w:p>
    <w:p w14:paraId="3099D285"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 количественном и качественном составе кадров восточных танковых заводов говорят следующие данные. На нижнетагильский Уралвагонзавод с различных предприятий страны были перемещены сотрудники 13 предприятий. Основной костяк танкового производства составили работники бывшего харьковского завода № 183: из 12140 человек, подлежащих эвакуации с ХПЗ, прибыло только 5234. На Урал удалось эвакуировать только 10 % рабочих и 20 % инженерно-технических работников. Из 6344 работников Мариупольского завода в Нижний Тагил приехали только 732 (11,5 %), из них 589 рабочих, занятых на корпусном производстве. В Нижний Тагил прибыл Московский станкостроительный завод № 184 им. С. Орджоникидзе. Первоначально он должен был существовать как самостоятельное предприятие, но впоследствии вошел в состав УТЗ. Всего к концу 1941 г. на УВЗ прибыло около 9 тыс. работников с различных предприятий </w:t>
      </w:r>
      <w:proofErr w:type="gramStart"/>
      <w:r w:rsidRPr="008A2E5A">
        <w:rPr>
          <w:rFonts w:ascii="Times New Roman" w:hAnsi="Times New Roman"/>
          <w:color w:val="0070C0"/>
          <w:sz w:val="16"/>
          <w:szCs w:val="16"/>
        </w:rPr>
        <w:t>страны[</w:t>
      </w:r>
      <w:proofErr w:type="gramEnd"/>
      <w:r w:rsidRPr="008A2E5A">
        <w:rPr>
          <w:rFonts w:ascii="Times New Roman" w:hAnsi="Times New Roman"/>
          <w:color w:val="0070C0"/>
          <w:sz w:val="16"/>
          <w:szCs w:val="16"/>
        </w:rPr>
        <w:t>337].</w:t>
      </w:r>
    </w:p>
    <w:p w14:paraId="182E0FD6"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Уралмашзавод всего с июля 1941 г. по январь 1942 г. принял 3 757 человек: с Ижорского - 1885, ленинградского Кировского - 854, Краматорского - 79, «Красный Профинтерн» - 830 и «Большевик» - 109[338]. Всего коллектив Уралмаша на 1 января 1942 г. составляли 23547 </w:t>
      </w:r>
      <w:proofErr w:type="gramStart"/>
      <w:r w:rsidRPr="008A2E5A">
        <w:rPr>
          <w:rFonts w:ascii="Times New Roman" w:hAnsi="Times New Roman"/>
          <w:color w:val="0070C0"/>
          <w:sz w:val="16"/>
          <w:szCs w:val="16"/>
        </w:rPr>
        <w:t>человек[</w:t>
      </w:r>
      <w:proofErr w:type="gramEnd"/>
      <w:r w:rsidRPr="008A2E5A">
        <w:rPr>
          <w:rFonts w:ascii="Times New Roman" w:hAnsi="Times New Roman"/>
          <w:color w:val="0070C0"/>
          <w:sz w:val="16"/>
          <w:szCs w:val="16"/>
        </w:rPr>
        <w:t>339].</w:t>
      </w:r>
    </w:p>
    <w:p w14:paraId="3A223E36"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Уральский турбинный завод в течение августа-ноября прибыло 3737 человек, из них 3260 с ленинградского Кировского </w:t>
      </w:r>
      <w:proofErr w:type="gramStart"/>
      <w:r w:rsidRPr="008A2E5A">
        <w:rPr>
          <w:rFonts w:ascii="Times New Roman" w:hAnsi="Times New Roman"/>
          <w:color w:val="0070C0"/>
          <w:sz w:val="16"/>
          <w:szCs w:val="16"/>
        </w:rPr>
        <w:t>завода[</w:t>
      </w:r>
      <w:proofErr w:type="gramEnd"/>
      <w:r w:rsidRPr="008A2E5A">
        <w:rPr>
          <w:rFonts w:ascii="Times New Roman" w:hAnsi="Times New Roman"/>
          <w:color w:val="0070C0"/>
          <w:sz w:val="16"/>
          <w:szCs w:val="16"/>
        </w:rPr>
        <w:t>340] (23536).</w:t>
      </w:r>
    </w:p>
    <w:p w14:paraId="4EB983AB" w14:textId="77777777" w:rsidR="001B52D5" w:rsidRPr="008A2E5A" w:rsidRDefault="001B52D5" w:rsidP="001B52D5">
      <w:pPr>
        <w:spacing w:after="0" w:line="240" w:lineRule="auto"/>
        <w:jc w:val="both"/>
        <w:rPr>
          <w:rFonts w:ascii="Times New Roman" w:hAnsi="Times New Roman"/>
          <w:color w:val="0070C0"/>
          <w:sz w:val="16"/>
          <w:szCs w:val="16"/>
        </w:rPr>
      </w:pPr>
    </w:p>
    <w:p w14:paraId="3DFD2019"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весне 1942 года в Советском Союзе сформировался облик легкой САУ. Базой для нее предполагалось шасси с использованием агрегатов танка Т-60, позже к нему присоединился Т-70. Разработавший эту концепцию С.А. Гинзбург действовал по единственно верному пути. Использование агрегатов танка вместо готовой базы позволило получить САУ с более-менее просторным боевым отделением. Главной проблемой стала спешка, с которой создавались новые САУ. В полной мере это касалось СУ-12 (СУ-76), принятой на вооружение Красной Армии еще до начала полигонных испытаний. Данное решение позже стало для главного идеолога СУ-12 роковым.</w:t>
      </w:r>
    </w:p>
    <w:p w14:paraId="32C524EB"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Штурмовщина, с которой создавалась СУ-12, не являлась чем-то уникальным. Подобный подход практиковался в целом ряде стран, включая Германию и США. Концепция эта была рискованной, но порой риск оправдывался. Достаточно вспомнить Т-60 и Medium Tank M3, которые запускали в серию еще до того, как машина окончательно сформировалась. Стоит также напомнить, что одновременно с СУ-12 на вооружение приняли и У-35 (будущая СУ-122), которая также еще не прошла испытания. Машина точно так же пострадала от спешки. Разница заключалась в том, что и Т-60, и Medium Tank M3, и У-35 создавались на уже отработанной агрегатной базе. Поэтому У-35 имела проблемы с боевым отделением, но не имела проблем с мотором, трансмиссией и ходовой частью.</w:t>
      </w:r>
    </w:p>
    <w:p w14:paraId="502609F0" w14:textId="77777777" w:rsidR="001B52D5" w:rsidRPr="008A2E5A" w:rsidRDefault="001B52D5" w:rsidP="001B52D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Совсем иная ситуация образовалась вокруг СУ-12. На 400-м километре полигонных испытаний опытного образца произошла поломка КПП правого двигателя. Похожие проблемы были и у СУ-31, прародителя СУ-12. Вопрос в том, что СУ-31 имела боевую массу 10,5 тонн, а СУ-12 потяжелела до 11 тонн. Кому-то может показаться, что полтонны массы особо роли не играет. На самом деле еще как играет. Что СУ-31, что СУ-32 получились тяжелее Т-70, а это уже повлияло на тепловой режим мотора. И если у САУ с параллельным расположением мотора тепловой режим мотора оказался в разумных пределах, то СУ-32, которая оснащалась мотором ГАЗ-203, на испытаниях перегревалась. Гинзбург не просто так решил использовать параллельную схему размещения моторов и диковатого вида систему переключения скоростей (23477).</w:t>
      </w:r>
    </w:p>
    <w:p w14:paraId="5E58095D" w14:textId="77777777" w:rsidR="001B52D5" w:rsidRPr="008A2E5A" w:rsidRDefault="001B52D5" w:rsidP="001B52D5">
      <w:pPr>
        <w:spacing w:after="0" w:line="240" w:lineRule="auto"/>
        <w:jc w:val="both"/>
        <w:rPr>
          <w:rFonts w:ascii="Times New Roman" w:hAnsi="Times New Roman"/>
          <w:color w:val="0070C0"/>
          <w:sz w:val="16"/>
          <w:szCs w:val="16"/>
        </w:rPr>
      </w:pPr>
    </w:p>
    <w:p w14:paraId="4877D3F9" w14:textId="77777777" w:rsidR="00985751" w:rsidRPr="008127F8" w:rsidRDefault="0098575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Армия:</w:t>
      </w:r>
    </w:p>
    <w:p w14:paraId="380BCF20" w14:textId="77777777" w:rsidR="00985751" w:rsidRPr="008127F8" w:rsidRDefault="0098575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5C608" w14:textId="77777777" w:rsidR="00985751" w:rsidRPr="008127F8" w:rsidRDefault="0098575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 с учетом сложившейся производственной базы серийного выпуска Ил-2 сформировалась и дислокация запасных авиаполков, в которых летчики, окончившие летные школы и училища или побывавшие в боях, совершенствовались в техни ке пилотирования и проходили обучение боевому применению. Здесь же происходило в запасном авиаполку переформирование и укомплектование маршевых штурмовых авиаполков летным составом и матчастью.</w:t>
      </w:r>
    </w:p>
    <w:p w14:paraId="365AFEB8" w14:textId="77777777" w:rsidR="00985751" w:rsidRPr="008127F8" w:rsidRDefault="0098575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подчеркнуть, что поскольку ни один самолет и мотор фронтовой авиации не вырабатывал в военное время свой ресурс, то было экономически выгодно самолеты, принимаемые с заводов, прежде всего, использовать для обучения, а уже затем, сняв с них некоторый ресурс, направлять на фронт. Кроме того, одновременно с обучением в запасных авиаполках происходила и своеобразная обкатка самолетов и моторов, устранялись неизбежные в условиях массового производства дефекты, которые появлялись в первые часы эксплуатации (12020).</w:t>
      </w:r>
    </w:p>
    <w:p w14:paraId="5BEA9C34" w14:textId="77777777" w:rsidR="00985751" w:rsidRPr="008127F8" w:rsidRDefault="0098575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1B4FF5" w14:textId="637552F6" w:rsidR="00E979F2" w:rsidRPr="008127F8" w:rsidRDefault="00E979F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За рубежом:</w:t>
      </w:r>
    </w:p>
    <w:p w14:paraId="0E4FD2C9" w14:textId="77777777" w:rsidR="00E979F2" w:rsidRPr="008127F8" w:rsidRDefault="00E979F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6FC8FBF" w14:textId="77777777" w:rsidR="00E979F2" w:rsidRPr="008127F8" w:rsidRDefault="00E979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года США удалось не только восстановить, но и значительно усилить свою группировку гидроавиации на Тихом океане (22816).</w:t>
      </w:r>
    </w:p>
    <w:p w14:paraId="422346D6" w14:textId="77777777" w:rsidR="00E979F2" w:rsidRPr="008127F8" w:rsidRDefault="00E979F2" w:rsidP="001E0A84">
      <w:pPr>
        <w:spacing w:after="0" w:line="240" w:lineRule="auto"/>
        <w:jc w:val="both"/>
        <w:rPr>
          <w:rFonts w:ascii="Times New Roman" w:hAnsi="Times New Roman"/>
          <w:color w:val="000000" w:themeColor="text1"/>
          <w:sz w:val="16"/>
          <w:szCs w:val="16"/>
        </w:rPr>
      </w:pPr>
    </w:p>
    <w:p w14:paraId="52775C0B" w14:textId="5AD73D19" w:rsidR="00985751" w:rsidRPr="008127F8" w:rsidRDefault="0098575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812F414" w14:textId="77777777" w:rsidR="00985751" w:rsidRPr="008127F8" w:rsidRDefault="0098575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1210BC"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марту 1942 г. довоенный уровень численности ра</w:t>
      </w:r>
      <w:r w:rsidRPr="008A2E5A">
        <w:rPr>
          <w:rFonts w:ascii="Times New Roman" w:hAnsi="Times New Roman"/>
          <w:color w:val="0070C0"/>
          <w:sz w:val="16"/>
          <w:szCs w:val="16"/>
        </w:rPr>
        <w:softHyphen/>
        <w:t>бочих на заводах №№ 1, 18 и 24 был практически вос</w:t>
      </w:r>
      <w:r w:rsidRPr="008A2E5A">
        <w:rPr>
          <w:rFonts w:ascii="Times New Roman" w:hAnsi="Times New Roman"/>
          <w:color w:val="0070C0"/>
          <w:sz w:val="16"/>
          <w:szCs w:val="16"/>
        </w:rPr>
        <w:softHyphen/>
        <w:t>становлен. Однако подавляющая часть вновь пришедших рабочих была малоквалифицированной и без достаточных производственных навыков. Рабочих высокой квалифика</w:t>
      </w:r>
      <w:r w:rsidRPr="008A2E5A">
        <w:rPr>
          <w:rFonts w:ascii="Times New Roman" w:hAnsi="Times New Roman"/>
          <w:color w:val="0070C0"/>
          <w:sz w:val="16"/>
          <w:szCs w:val="16"/>
        </w:rPr>
        <w:softHyphen/>
        <w:t>ции на заводах было всего 10-12% от общей численности, средней и ниже квалификации - около 40-42%, остальные нуждались в серьезном обучении. Это обстоятельство «сильно сказывалось на качестве выпускаемой продукции» поскольку качество сырья, материалов и комплектующих, поступающих на заводы от смежников, неуклонно снижа</w:t>
      </w:r>
      <w:r w:rsidRPr="008A2E5A">
        <w:rPr>
          <w:rFonts w:ascii="Times New Roman" w:hAnsi="Times New Roman"/>
          <w:color w:val="0070C0"/>
          <w:sz w:val="16"/>
          <w:szCs w:val="16"/>
        </w:rPr>
        <w:softHyphen/>
        <w:t>лось. Соответственно, возможности по их использованию в технологическом процессе изготовления Ил-2 определя</w:t>
      </w:r>
      <w:r w:rsidRPr="008A2E5A">
        <w:rPr>
          <w:rFonts w:ascii="Times New Roman" w:hAnsi="Times New Roman"/>
          <w:color w:val="0070C0"/>
          <w:sz w:val="16"/>
          <w:szCs w:val="16"/>
        </w:rPr>
        <w:softHyphen/>
        <w:t>лись исключительно уровнем квалификации рабочих (23346).</w:t>
      </w:r>
    </w:p>
    <w:p w14:paraId="4118B47E" w14:textId="77777777" w:rsidR="00BA1D96" w:rsidRPr="008A2E5A" w:rsidRDefault="00BA1D96" w:rsidP="00BA1D96">
      <w:pPr>
        <w:spacing w:after="0" w:line="240" w:lineRule="auto"/>
        <w:jc w:val="both"/>
        <w:rPr>
          <w:rFonts w:ascii="Times New Roman" w:hAnsi="Times New Roman"/>
          <w:color w:val="0070C0"/>
          <w:sz w:val="16"/>
          <w:szCs w:val="16"/>
        </w:rPr>
      </w:pPr>
    </w:p>
    <w:p w14:paraId="1A2A7431"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К марту 1942г бывшим заводом №125 выпущено 40 Пе-2 серии 28, 29 с серийными номерами завода №39. Оборудование завода №39 установлено и завод готов, пусть не на 100%, к выпуску самолетов. По Постановлению ГКО № 1376сс от 3.03.1942г. заводу утвержден план выпуска на 03.1942г. по выпуску Пе-2: с 1 по 5 марта – 12 машин, с 6 по 10 – 13, с 11 по 20 – 20 и с 21 по 31 марта – 25 машин. На 1942г. заводу дан план на 587 Пе-2. И вдруг 4.03.1942г. выходит Постановление ГКО № 1385 о выпуске на заводе самолета Пе-3. Возникает вопрос: зачем нужно дублировать п.3а, п3б приказа НКАП №1139сс?</w:t>
      </w:r>
    </w:p>
    <w:p w14:paraId="69B835DE" w14:textId="77777777" w:rsidR="00985751" w:rsidRPr="008127F8" w:rsidRDefault="00985751"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 xml:space="preserve">Учитывая известный факт, что в Иркутске на заводе №39 с апреля 1942г стали собираться истребители Пе-3бис, а </w:t>
      </w:r>
      <w:proofErr w:type="gramStart"/>
      <w:r w:rsidRPr="008127F8">
        <w:rPr>
          <w:rFonts w:ascii="Times New Roman" w:hAnsi="Times New Roman"/>
          <w:color w:val="000000" w:themeColor="text1"/>
          <w:sz w:val="16"/>
          <w:szCs w:val="16"/>
          <w:shd w:val="clear" w:color="auto" w:fill="FFFFFF"/>
        </w:rPr>
        <w:t>так же</w:t>
      </w:r>
      <w:proofErr w:type="gramEnd"/>
      <w:r w:rsidRPr="008127F8">
        <w:rPr>
          <w:rFonts w:ascii="Times New Roman" w:hAnsi="Times New Roman"/>
          <w:color w:val="000000" w:themeColor="text1"/>
          <w:sz w:val="16"/>
          <w:szCs w:val="16"/>
          <w:shd w:val="clear" w:color="auto" w:fill="FFFFFF"/>
        </w:rPr>
        <w:t xml:space="preserve"> учитывая известные номера Пе-3бис и Пе-2 выпущенных в 1942г, можно предположить, что Постановлением ГКО №1385 от 04.03.1942г запускался в производство истребитель Пе-3бис после прохождения Государственных Испытаний. К сожалению, текст документа найти не удалось. Вероятно, именно Пе-3бис стал основной продукцией завода в апреле 1942г. Всего успели сделать 121 самолет.</w:t>
      </w:r>
    </w:p>
    <w:p w14:paraId="5AF77D15"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У меня нет точной и 100% информации по выпуску самолетов Пе-2 и Пе-3бис в Иркутске. Поэтому все изложенное выше является только предположением, которое тем не менее выглядит вполне логичным.</w:t>
      </w:r>
    </w:p>
    <w:p w14:paraId="63867CFF" w14:textId="331F459D" w:rsidR="00985751" w:rsidRPr="008127F8" w:rsidRDefault="00985751"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По номерам Пе-3 бис выпуска 1944г заводом №22 информация отсутствует. Серия в 19 самолетов видимо оказалась слишком маленькой, и тип самолета ей не присваивали. Известен серийный номер только одного Пе-3бис выпуска завода №22: 15\298. Расшифровывается он как 15 самолет 298 серии.</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Проходил испытания в НИИ ВВС в июле – августе 1944г. Была ли Пе-3 бис присвоена 298 серия или они шли в потоке Пе-2 298 и последующих серий – точно не известно.</w:t>
      </w:r>
    </w:p>
    <w:p w14:paraId="397631D5"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Еще один момент, связанный с выпуском, который иногда вызывает вопросы, является утверждение, что опытный Пе-3 был сделан из Пе-2, соответствующего 31 серии. Хотя серийный номер опытного Пе-3 №391606 говорит о том, что Пе-2 был 16 серии.</w:t>
      </w:r>
    </w:p>
    <w:p w14:paraId="06628123"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Противоречия в этом нет. Завод №22 был головным и все изменения, которые вносились в конструкцию Пе-2, сначала внедрялись на нем, а затем документация рассылалась на другие заводы. В связи с разными мощностями заводов, выпускающих Пе-2, серии по времени выпуска на разных заводах не соответствовали друг другу. Поэтому было принято решение, классифицировать изменения конструкции Пе-2 по сериям завода №22. 16 серия завода №39 как раз соответствовала изменениям конструкции самолета 31 серии завода №22.</w:t>
      </w:r>
    </w:p>
    <w:p w14:paraId="0C00DD81"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Подводя итоги главы, приведем данные суммарного выпуска самолета Пе-3 в разных модификациях:</w:t>
      </w:r>
    </w:p>
    <w:p w14:paraId="183E63C6"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Завод №39.</w:t>
      </w:r>
    </w:p>
    <w:p w14:paraId="2C866877"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августе – октябре 1941г было выпущено 197 самолетов Пе-3. В апреле 1942г было выпущено еще 11 самолетов Пе-3 из привезенного задела. Всего выпущено 208 Пе-3.</w:t>
      </w:r>
    </w:p>
    <w:p w14:paraId="3B626649"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апреле 1942г начался выпуск Пе-3бис, образца 1941г. За 1942г было выпущен 121 самолет. Еще 13 было выпущено в начале 1943г, после чего завод прекратил выпуск Пе-2 и Пе-3 бис и перешел на выпуск Ил-4</w:t>
      </w:r>
    </w:p>
    <w:p w14:paraId="48FADC2E"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Завод №22.</w:t>
      </w:r>
    </w:p>
    <w:p w14:paraId="5ADDAC7F" w14:textId="0DEAA0AD" w:rsidR="00985751" w:rsidRPr="008127F8" w:rsidRDefault="008127F8" w:rsidP="001E0A84">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shd w:val="clear" w:color="auto" w:fill="FFFFFF"/>
        </w:rPr>
        <w:t xml:space="preserve">  </w:t>
      </w:r>
      <w:r w:rsidR="00985751" w:rsidRPr="008127F8">
        <w:rPr>
          <w:rFonts w:ascii="Times New Roman" w:hAnsi="Times New Roman"/>
          <w:color w:val="000000" w:themeColor="text1"/>
          <w:sz w:val="16"/>
          <w:szCs w:val="16"/>
          <w:shd w:val="clear" w:color="auto" w:fill="FFFFFF"/>
        </w:rPr>
        <w:t>В июле – августе 1944г было выпущено 19 самолетов. ТТХ самолетов признали не удовлетворительными, и дальнейший выпуск был прекращен. Сделанные самолеты распределили в 48 и 98 Гв.ДРАП.</w:t>
      </w:r>
    </w:p>
    <w:p w14:paraId="052F7189"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Всего было выпущен 361 Пе-3 в модификациях Пе-3, Пе-3бис (завод №39) и Пе-3бис (завод№22) (19207).</w:t>
      </w:r>
    </w:p>
    <w:p w14:paraId="08234FBE" w14:textId="77777777" w:rsidR="00985751" w:rsidRPr="008127F8" w:rsidRDefault="00985751" w:rsidP="001E0A84">
      <w:pPr>
        <w:spacing w:after="0" w:line="240" w:lineRule="auto"/>
        <w:jc w:val="both"/>
        <w:rPr>
          <w:rFonts w:ascii="Times New Roman" w:hAnsi="Times New Roman"/>
          <w:color w:val="000000" w:themeColor="text1"/>
          <w:sz w:val="16"/>
          <w:szCs w:val="16"/>
        </w:rPr>
      </w:pPr>
    </w:p>
    <w:p w14:paraId="34F74B2A"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марту 1942 и моменту окончания испытаний в ОКБ А.С.Я. уже были изготовле</w:t>
      </w:r>
      <w:r w:rsidRPr="008A2E5A">
        <w:rPr>
          <w:rFonts w:ascii="Times New Roman" w:hAnsi="Times New Roman"/>
          <w:color w:val="0070C0"/>
          <w:sz w:val="16"/>
          <w:szCs w:val="16"/>
        </w:rPr>
        <w:softHyphen/>
        <w:t>ны серийные чертежи, и доработанный Як-7В запусти</w:t>
      </w:r>
      <w:r w:rsidRPr="008A2E5A">
        <w:rPr>
          <w:rFonts w:ascii="Times New Roman" w:hAnsi="Times New Roman"/>
          <w:color w:val="0070C0"/>
          <w:sz w:val="16"/>
          <w:szCs w:val="16"/>
        </w:rPr>
        <w:softHyphen/>
        <w:t>ли в мае 1942 г. в производство, установив для этих ма</w:t>
      </w:r>
      <w:r w:rsidRPr="008A2E5A">
        <w:rPr>
          <w:rFonts w:ascii="Times New Roman" w:hAnsi="Times New Roman"/>
          <w:color w:val="0070C0"/>
          <w:sz w:val="16"/>
          <w:szCs w:val="16"/>
        </w:rPr>
        <w:softHyphen/>
        <w:t>шин собственную серийную нумерацию и включив их вы</w:t>
      </w:r>
      <w:r w:rsidRPr="008A2E5A">
        <w:rPr>
          <w:rFonts w:ascii="Times New Roman" w:hAnsi="Times New Roman"/>
          <w:color w:val="0070C0"/>
          <w:sz w:val="16"/>
          <w:szCs w:val="16"/>
        </w:rPr>
        <w:softHyphen/>
        <w:t>пуск в договор с ВВС КА (собранные ранее Як-7В не име</w:t>
      </w:r>
      <w:r w:rsidRPr="008A2E5A">
        <w:rPr>
          <w:rFonts w:ascii="Times New Roman" w:hAnsi="Times New Roman"/>
          <w:color w:val="0070C0"/>
          <w:sz w:val="16"/>
          <w:szCs w:val="16"/>
        </w:rPr>
        <w:softHyphen/>
        <w:t>ли собственной серийной нумерации и учитывались за</w:t>
      </w:r>
      <w:r w:rsidRPr="008A2E5A">
        <w:rPr>
          <w:rFonts w:ascii="Times New Roman" w:hAnsi="Times New Roman"/>
          <w:color w:val="0070C0"/>
          <w:sz w:val="16"/>
          <w:szCs w:val="16"/>
        </w:rPr>
        <w:softHyphen/>
        <w:t>водом в план по выпуску Як-7А). На машины первой се</w:t>
      </w:r>
      <w:r w:rsidRPr="008A2E5A">
        <w:rPr>
          <w:rFonts w:ascii="Times New Roman" w:hAnsi="Times New Roman"/>
          <w:color w:val="0070C0"/>
          <w:sz w:val="16"/>
          <w:szCs w:val="16"/>
        </w:rPr>
        <w:softHyphen/>
        <w:t>рии вернули установку компрессора АК-50 и генерато</w:t>
      </w:r>
      <w:r w:rsidRPr="008A2E5A">
        <w:rPr>
          <w:rFonts w:ascii="Times New Roman" w:hAnsi="Times New Roman"/>
          <w:color w:val="0070C0"/>
          <w:sz w:val="16"/>
          <w:szCs w:val="16"/>
        </w:rPr>
        <w:softHyphen/>
        <w:t>ра ГС-350 для полного обеспечения необходимых функ</w:t>
      </w:r>
      <w:r w:rsidRPr="008A2E5A">
        <w:rPr>
          <w:rFonts w:ascii="Times New Roman" w:hAnsi="Times New Roman"/>
          <w:color w:val="0070C0"/>
          <w:sz w:val="16"/>
          <w:szCs w:val="16"/>
        </w:rPr>
        <w:softHyphen/>
        <w:t>ций учебного самолета (для обеспечения многократного выпуска и уборки щитков при взлете и посадке и питания фары при полетах ночью соответственно). На приборные доски обеих кабин поставили часы. В отличие от эталона №1540 в передней кабине (обучаемого) установили лож</w:t>
      </w:r>
      <w:r w:rsidRPr="008A2E5A">
        <w:rPr>
          <w:rFonts w:ascii="Times New Roman" w:hAnsi="Times New Roman"/>
          <w:color w:val="0070C0"/>
          <w:sz w:val="16"/>
          <w:szCs w:val="16"/>
        </w:rPr>
        <w:softHyphen/>
        <w:t>ный кран шасси с красной и зеленой лампами сигнализа</w:t>
      </w:r>
      <w:r w:rsidRPr="008A2E5A">
        <w:rPr>
          <w:rFonts w:ascii="Times New Roman" w:hAnsi="Times New Roman"/>
          <w:color w:val="0070C0"/>
          <w:sz w:val="16"/>
          <w:szCs w:val="16"/>
        </w:rPr>
        <w:softHyphen/>
        <w:t>ции (для выработки навыка операций по выпуску и убор</w:t>
      </w:r>
      <w:r w:rsidRPr="008A2E5A">
        <w:rPr>
          <w:rFonts w:ascii="Times New Roman" w:hAnsi="Times New Roman"/>
          <w:color w:val="0070C0"/>
          <w:sz w:val="16"/>
          <w:szCs w:val="16"/>
        </w:rPr>
        <w:softHyphen/>
        <w:t>ке шасси), а в задней кабине - выключатель зажигания. Кроме этого, выключатель тормозов в кабине инструкто</w:t>
      </w:r>
      <w:r w:rsidRPr="008A2E5A">
        <w:rPr>
          <w:rFonts w:ascii="Times New Roman" w:hAnsi="Times New Roman"/>
          <w:color w:val="0070C0"/>
          <w:sz w:val="16"/>
          <w:szCs w:val="16"/>
        </w:rPr>
        <w:softHyphen/>
        <w:t>ра перенесли на ручку управления. В связи с отсутстви</w:t>
      </w:r>
      <w:r w:rsidRPr="008A2E5A">
        <w:rPr>
          <w:rFonts w:ascii="Times New Roman" w:hAnsi="Times New Roman"/>
          <w:color w:val="0070C0"/>
          <w:sz w:val="16"/>
          <w:szCs w:val="16"/>
        </w:rPr>
        <w:softHyphen/>
        <w:t>ем мотор-пушки на винт установили укороченный храпо</w:t>
      </w:r>
      <w:r w:rsidRPr="008A2E5A">
        <w:rPr>
          <w:rFonts w:ascii="Times New Roman" w:hAnsi="Times New Roman"/>
          <w:color w:val="0070C0"/>
          <w:sz w:val="16"/>
          <w:szCs w:val="16"/>
        </w:rPr>
        <w:softHyphen/>
        <w:t>вик. Машина Як-7В №0170 с введенными изменениями успешно прошла контрольные испытания.</w:t>
      </w:r>
    </w:p>
    <w:p w14:paraId="0E0B5783"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Як-7В 2-й серии по результатам испытаний эталон</w:t>
      </w:r>
      <w:r w:rsidRPr="008A2E5A">
        <w:rPr>
          <w:rFonts w:ascii="Times New Roman" w:hAnsi="Times New Roman"/>
          <w:color w:val="0070C0"/>
          <w:sz w:val="16"/>
          <w:szCs w:val="16"/>
        </w:rPr>
        <w:softHyphen/>
        <w:t>ного самолета провели следующий этап доработки кон</w:t>
      </w:r>
      <w:r w:rsidRPr="008A2E5A">
        <w:rPr>
          <w:rFonts w:ascii="Times New Roman" w:hAnsi="Times New Roman"/>
          <w:color w:val="0070C0"/>
          <w:sz w:val="16"/>
          <w:szCs w:val="16"/>
        </w:rPr>
        <w:softHyphen/>
        <w:t>струкции. На этих машинах, как ранее на учебных Як-7, в бортовом люке задней кабины установили специальную подножку для удобства посадки в нее. Сиденья, наклон сидений и поручни в обеих кабинах сделали одинаковы</w:t>
      </w:r>
      <w:r w:rsidRPr="008A2E5A">
        <w:rPr>
          <w:rFonts w:ascii="Times New Roman" w:hAnsi="Times New Roman"/>
          <w:color w:val="0070C0"/>
          <w:sz w:val="16"/>
          <w:szCs w:val="16"/>
        </w:rPr>
        <w:softHyphen/>
        <w:t>ми. Лючки осмотра узлов шасси и крепления крыла для удобства обслуживания самолета изменили по форме, увеличили их число до шести и сделали легкосъемными на замках Дзус. В целях экономии цветных металлов при</w:t>
      </w:r>
      <w:r w:rsidRPr="008A2E5A">
        <w:rPr>
          <w:rFonts w:ascii="Times New Roman" w:hAnsi="Times New Roman"/>
          <w:color w:val="0070C0"/>
          <w:sz w:val="16"/>
          <w:szCs w:val="16"/>
        </w:rPr>
        <w:softHyphen/>
        <w:t>борные доски кабин выполнили из древесного пластика - балинита, а дюралевые бензобаки заменили фибровыми (см. главу «Работы по фибровым бензобакам»). Введение фибровых бензобаков устранило такой распространен</w:t>
      </w:r>
      <w:r w:rsidRPr="008A2E5A">
        <w:rPr>
          <w:rFonts w:ascii="Times New Roman" w:hAnsi="Times New Roman"/>
          <w:color w:val="0070C0"/>
          <w:sz w:val="16"/>
          <w:szCs w:val="16"/>
        </w:rPr>
        <w:softHyphen/>
        <w:t>ный дефект машин Як, как течь бензина по местам точеч</w:t>
      </w:r>
      <w:r w:rsidRPr="008A2E5A">
        <w:rPr>
          <w:rFonts w:ascii="Times New Roman" w:hAnsi="Times New Roman"/>
          <w:color w:val="0070C0"/>
          <w:sz w:val="16"/>
          <w:szCs w:val="16"/>
        </w:rPr>
        <w:softHyphen/>
        <w:t>ной сварки, особенно проявлявшийся на учебных маши</w:t>
      </w:r>
      <w:r w:rsidRPr="008A2E5A">
        <w:rPr>
          <w:rFonts w:ascii="Times New Roman" w:hAnsi="Times New Roman"/>
          <w:color w:val="0070C0"/>
          <w:sz w:val="16"/>
          <w:szCs w:val="16"/>
        </w:rPr>
        <w:softHyphen/>
        <w:t>нах, баки которых не протектировали. Кран переключе</w:t>
      </w:r>
      <w:r w:rsidRPr="008A2E5A">
        <w:rPr>
          <w:rFonts w:ascii="Times New Roman" w:hAnsi="Times New Roman"/>
          <w:color w:val="0070C0"/>
          <w:sz w:val="16"/>
          <w:szCs w:val="16"/>
        </w:rPr>
        <w:softHyphen/>
        <w:t>ния тормозов снабдили кнопкой, смонтированной на руч</w:t>
      </w:r>
      <w:r w:rsidRPr="008A2E5A">
        <w:rPr>
          <w:rFonts w:ascii="Times New Roman" w:hAnsi="Times New Roman"/>
          <w:color w:val="0070C0"/>
          <w:sz w:val="16"/>
          <w:szCs w:val="16"/>
        </w:rPr>
        <w:softHyphen/>
        <w:t>ке управления самолетом в задней кабине (для отключе</w:t>
      </w:r>
      <w:r w:rsidRPr="008A2E5A">
        <w:rPr>
          <w:rFonts w:ascii="Times New Roman" w:hAnsi="Times New Roman"/>
          <w:color w:val="0070C0"/>
          <w:sz w:val="16"/>
          <w:szCs w:val="16"/>
        </w:rPr>
        <w:softHyphen/>
        <w:t>ния тормозной системы в кабине обучаемого инструкто ру достаточно было нажать на кнопку). При этом полет</w:t>
      </w:r>
      <w:r w:rsidRPr="008A2E5A">
        <w:rPr>
          <w:rFonts w:ascii="Times New Roman" w:hAnsi="Times New Roman"/>
          <w:color w:val="0070C0"/>
          <w:sz w:val="16"/>
          <w:szCs w:val="16"/>
        </w:rPr>
        <w:softHyphen/>
        <w:t>ный вес самолета практически не изменился и даже стал чуть меньше. Машина Як-7В №0266 с 22 по 26 июля 1942 г.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8A2E5A">
        <w:rPr>
          <w:rFonts w:ascii="Times New Roman" w:hAnsi="Times New Roman"/>
          <w:color w:val="0070C0"/>
          <w:sz w:val="16"/>
          <w:szCs w:val="16"/>
        </w:rPr>
        <w:softHyphen/>
        <w:t>вие максимальной скорости самолета договорной вели</w:t>
      </w:r>
      <w:r w:rsidRPr="008A2E5A">
        <w:rPr>
          <w:rFonts w:ascii="Times New Roman" w:hAnsi="Times New Roman"/>
          <w:color w:val="0070C0"/>
          <w:sz w:val="16"/>
          <w:szCs w:val="16"/>
        </w:rPr>
        <w:softHyphen/>
        <w:t>чине (таблица 18.)</w:t>
      </w:r>
    </w:p>
    <w:p w14:paraId="6428FA7B"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конструкция Як-7В претерпевала мини</w:t>
      </w:r>
      <w:r w:rsidRPr="008A2E5A">
        <w:rPr>
          <w:rFonts w:ascii="Times New Roman" w:hAnsi="Times New Roman"/>
          <w:color w:val="0070C0"/>
          <w:sz w:val="16"/>
          <w:szCs w:val="16"/>
        </w:rPr>
        <w:softHyphen/>
        <w:t>мальные изменения, имевшие целью максимальную уни</w:t>
      </w:r>
      <w:r w:rsidRPr="008A2E5A">
        <w:rPr>
          <w:rFonts w:ascii="Times New Roman" w:hAnsi="Times New Roman"/>
          <w:color w:val="0070C0"/>
          <w:sz w:val="16"/>
          <w:szCs w:val="16"/>
        </w:rPr>
        <w:softHyphen/>
        <w:t>фикацию с боевыми машинами. С 4-й серии ввели улуч</w:t>
      </w:r>
      <w:r w:rsidRPr="008A2E5A">
        <w:rPr>
          <w:rFonts w:ascii="Times New Roman" w:hAnsi="Times New Roman"/>
          <w:color w:val="0070C0"/>
          <w:sz w:val="16"/>
          <w:szCs w:val="16"/>
        </w:rPr>
        <w:softHyphen/>
        <w:t>шения, связанные с эксплуатацией моторной установ</w:t>
      </w:r>
      <w:r w:rsidRPr="008A2E5A">
        <w:rPr>
          <w:rFonts w:ascii="Times New Roman" w:hAnsi="Times New Roman"/>
          <w:color w:val="0070C0"/>
          <w:sz w:val="16"/>
          <w:szCs w:val="16"/>
        </w:rPr>
        <w:softHyphen/>
        <w:t>ки и введенные на боевых самолетах, а также новую руч</w:t>
      </w:r>
      <w:r w:rsidRPr="008A2E5A">
        <w:rPr>
          <w:rFonts w:ascii="Times New Roman" w:hAnsi="Times New Roman"/>
          <w:color w:val="0070C0"/>
          <w:sz w:val="16"/>
          <w:szCs w:val="16"/>
        </w:rPr>
        <w:softHyphen/>
        <w:t>ку управления. Следующий комплекс доработок произо</w:t>
      </w:r>
      <w:r w:rsidRPr="008A2E5A">
        <w:rPr>
          <w:rFonts w:ascii="Times New Roman" w:hAnsi="Times New Roman"/>
          <w:color w:val="0070C0"/>
          <w:sz w:val="16"/>
          <w:szCs w:val="16"/>
        </w:rPr>
        <w:softHyphen/>
        <w:t>шел с 7-й серии и включал в себя установку прицела ПБП- 1А в передней кабине и фотокинопулемета ПАУ-22 с про</w:t>
      </w:r>
      <w:r w:rsidRPr="008A2E5A">
        <w:rPr>
          <w:rFonts w:ascii="Times New Roman" w:hAnsi="Times New Roman"/>
          <w:color w:val="0070C0"/>
          <w:sz w:val="16"/>
          <w:szCs w:val="16"/>
        </w:rPr>
        <w:softHyphen/>
        <w:t>водкой управления, монтаж однопроводной электросети, введение унифицированной моторамы и рукояток штур</w:t>
      </w:r>
      <w:r w:rsidRPr="008A2E5A">
        <w:rPr>
          <w:rFonts w:ascii="Times New Roman" w:hAnsi="Times New Roman"/>
          <w:color w:val="0070C0"/>
          <w:sz w:val="16"/>
          <w:szCs w:val="16"/>
        </w:rPr>
        <w:softHyphen/>
        <w:t>валов, выполненных из пластмасс (23381).</w:t>
      </w:r>
    </w:p>
    <w:p w14:paraId="131E1BE0" w14:textId="77777777" w:rsidR="00BA1D96" w:rsidRPr="008A2E5A" w:rsidRDefault="00BA1D96" w:rsidP="00BA1D96">
      <w:pPr>
        <w:spacing w:after="0" w:line="240" w:lineRule="auto"/>
        <w:jc w:val="both"/>
        <w:rPr>
          <w:rFonts w:ascii="Times New Roman" w:hAnsi="Times New Roman"/>
          <w:color w:val="0070C0"/>
          <w:sz w:val="16"/>
          <w:szCs w:val="16"/>
        </w:rPr>
      </w:pPr>
    </w:p>
    <w:p w14:paraId="05201607" w14:textId="77777777" w:rsidR="00BA1D96" w:rsidRPr="008A2E5A" w:rsidRDefault="00BA1D96" w:rsidP="00BA1D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марту 1942 г. опытную установку с ртутными лампами МЭЛ-3 смонти</w:t>
      </w:r>
      <w:r w:rsidRPr="008A2E5A">
        <w:rPr>
          <w:rFonts w:ascii="Times New Roman" w:hAnsi="Times New Roman"/>
          <w:color w:val="0070C0"/>
          <w:sz w:val="16"/>
          <w:szCs w:val="16"/>
        </w:rPr>
        <w:softHyphen/>
        <w:t>ровали на одном из серийных самолетов Як-7 и провели ее наземные испытания. Они показали, что при наличии достаточного количества ртутных ламп низкого давле</w:t>
      </w:r>
      <w:r w:rsidRPr="008A2E5A">
        <w:rPr>
          <w:rFonts w:ascii="Times New Roman" w:hAnsi="Times New Roman"/>
          <w:color w:val="0070C0"/>
          <w:sz w:val="16"/>
          <w:szCs w:val="16"/>
        </w:rPr>
        <w:softHyphen/>
        <w:t>ния с увиолевым стеклом и пуско-коммутирующей ап</w:t>
      </w:r>
      <w:r w:rsidRPr="008A2E5A">
        <w:rPr>
          <w:rFonts w:ascii="Times New Roman" w:hAnsi="Times New Roman"/>
          <w:color w:val="0070C0"/>
          <w:sz w:val="16"/>
          <w:szCs w:val="16"/>
        </w:rPr>
        <w:softHyphen/>
        <w:t>паратуры возможен серийный выпуск самолетов, обо</w:t>
      </w:r>
      <w:r w:rsidRPr="008A2E5A">
        <w:rPr>
          <w:rFonts w:ascii="Times New Roman" w:hAnsi="Times New Roman"/>
          <w:color w:val="0070C0"/>
          <w:sz w:val="16"/>
          <w:szCs w:val="16"/>
        </w:rPr>
        <w:softHyphen/>
        <w:t>рудованных ультрафиолетовым подсветом приборной доски. Дальнейшие работы производились как иссле</w:t>
      </w:r>
      <w:r w:rsidRPr="008A2E5A">
        <w:rPr>
          <w:rFonts w:ascii="Times New Roman" w:hAnsi="Times New Roman"/>
          <w:color w:val="0070C0"/>
          <w:sz w:val="16"/>
          <w:szCs w:val="16"/>
        </w:rPr>
        <w:softHyphen/>
        <w:t>довательские в части отработки системы обозначений и составления чертежей для серийного производства. В сентябре 1942 г. ВВС КА, на основании проведенной ЛИИ НКАП работы, утвердили тактико-технические тре</w:t>
      </w:r>
      <w:r w:rsidRPr="008A2E5A">
        <w:rPr>
          <w:rFonts w:ascii="Times New Roman" w:hAnsi="Times New Roman"/>
          <w:color w:val="0070C0"/>
          <w:sz w:val="16"/>
          <w:szCs w:val="16"/>
        </w:rPr>
        <w:softHyphen/>
        <w:t>бования по оборудованию самолетов ВВС КА системой ультрафиолетового освещения светосоставов. Соглас</w:t>
      </w:r>
      <w:r w:rsidRPr="008A2E5A">
        <w:rPr>
          <w:rFonts w:ascii="Times New Roman" w:hAnsi="Times New Roman"/>
          <w:color w:val="0070C0"/>
          <w:sz w:val="16"/>
          <w:szCs w:val="16"/>
        </w:rPr>
        <w:softHyphen/>
        <w:t>но этому документу для основных органов управления и приборов следовало использовать светосоставы зе</w:t>
      </w:r>
      <w:r w:rsidRPr="008A2E5A">
        <w:rPr>
          <w:rFonts w:ascii="Times New Roman" w:hAnsi="Times New Roman"/>
          <w:color w:val="0070C0"/>
          <w:sz w:val="16"/>
          <w:szCs w:val="16"/>
        </w:rPr>
        <w:softHyphen/>
        <w:t>леного цвета, а аварийных - оранжевого. Несмотря на отданное директору завода №153 еще в августе 1943 г. распоряжение об изготовлении эталонной машины в ва</w:t>
      </w:r>
      <w:r w:rsidRPr="008A2E5A">
        <w:rPr>
          <w:rFonts w:ascii="Times New Roman" w:hAnsi="Times New Roman"/>
          <w:color w:val="0070C0"/>
          <w:sz w:val="16"/>
          <w:szCs w:val="16"/>
        </w:rPr>
        <w:softHyphen/>
        <w:t>рианте для ПВО с УФО в кабине, результаты этой работы удалось применить только после войны (23381).</w:t>
      </w:r>
    </w:p>
    <w:p w14:paraId="3AF9C01E" w14:textId="77777777" w:rsidR="00BA1D96" w:rsidRPr="008A2E5A" w:rsidRDefault="00BA1D96" w:rsidP="00BA1D96">
      <w:pPr>
        <w:spacing w:after="0" w:line="240" w:lineRule="auto"/>
        <w:jc w:val="both"/>
        <w:rPr>
          <w:rFonts w:ascii="Times New Roman" w:hAnsi="Times New Roman"/>
          <w:color w:val="0070C0"/>
          <w:sz w:val="16"/>
          <w:szCs w:val="16"/>
        </w:rPr>
      </w:pPr>
    </w:p>
    <w:p w14:paraId="4DB6DDA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Другие оборонные отрасли:</w:t>
      </w:r>
    </w:p>
    <w:p w14:paraId="7B612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0B311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марту 1942 года все основные заводы НКТП превзошли свой уровень производства на старом месте расположения. С этой точки зрения негативные последствия эвакуации были преодолены достаточно быстро. Произошло это, во-первых, благодаря использованию производственных мощностей принимающих предприятий, а во-вторых, благодаря перестройке технологии производства. Но тот вред, который эвакуация нанесла промышленности, не исчерпывался только лишь потерянным временем из-за остановленного производства.</w:t>
      </w:r>
    </w:p>
    <w:p w14:paraId="1D67C40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потери кадров, то НКТП удалось восполнить их количественно, но не качественно, так как почти все новые работники наркомата представляли собой неквалифицированную рабочую силу. Потери оборудования частично были восполнены за счёт предприятий, на которые эвакуировали заводы, частично - за счёт присвоения так называемых «бездокументных грузов» (грузов, чью принадлежность установить было невозможно), которые тогда в большом количестве можно было найти на железной дороге. Другим негативным последствием эвакуации стало нарушение снабжения и распад системы хозяйственных связей, существовавшей к тому моменту в СССР.</w:t>
      </w:r>
    </w:p>
    <w:p w14:paraId="30D83DF9"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Можно ли на основании всего этого признать результаты эвакуации предприятий НКТП неудачными? Осознавая все её негативные последствия, мы должны всё же помнить, что эвакуация спасла значительное количество оборудования и рабочих. Благодаря этому спасённому оборудованию и сохранённым кадрам удалось организовать масштабное военное производство, которое, в конечном счете, создало материальную основу для победы СССР в войне. В частности, эвакуация позволила создать такие крупные центры производства танков, как знаменитый завод № 183, выпустивший в годы войны больше всего танков, и ещё более знаменитый Танкоград (Кировский завод), занимавший по выпуску танков в годы войны второе место. Организация производства на новом месте протекала в очень сложных условиях, но без эвакуируемого оборудования она вообще вряд ли завершилась бы успешно. Негативные последствия были объективно неизбежны, и они все же были преодолены благодаря усилиям работников советской промышленности всех уровней.</w:t>
      </w:r>
    </w:p>
    <w:p w14:paraId="72CE55D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Нельзя забывать, что при строительстве завода обычно не учитывается, что его оборудование придётся когда-либо срочно вывозить. Завод строится годами и затем расширяется и развивается на всём протяжении своего существования. За это время на нём скапливается огромное количество различного оборудования. Вывезти всё имущество, скопившееся за это время на заводе, невозможно. Размер потерь будет при этом тем больше, чем меньше сроки, которые обстановка позволит использовать для эвакуации. Нельзя забывать, что эвакуация - процесс, охвативший в той или иной мере всю страну. Железные дороги были забиты огромным количеством эшелонов с самым разнообразным имуществом. Понёсшие наибольшие потери харьковские заводы НКТП находились на территории одного из крупнейших промышленных районов СССР. В Харькове был, помимо предприятий НКТП, ряд других важных заводов, подлежащих эвакуации, в том числе, и военных, например, крупный авиационный завод. Всё это эвакуировалось одновременно, что привносило дополнительные элементы дезорганизации (12290).</w:t>
      </w:r>
    </w:p>
    <w:p w14:paraId="70C017E2"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14611FD5" w14:textId="77777777" w:rsidR="00985751" w:rsidRPr="008127F8" w:rsidRDefault="009857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марту 1942 г. все основные заводы НКТП превзошли свой уровень производства на старом месте. Произошло это, во-первых, благодаря использованию производственных мощностей принимающих предприятий, а во-вторых, благодаря перестройке технологии производства. Но тот вред, который эвакуация нанесла промышленности, не исчерпывался только лишь потерянным временем из-за остановленного производства. Потери кадров, то НКТП удалось восполнить их количественно, но не качественно, так как почти все новые работники наркомата представляли собой неквалифицированную рабочую силу. Потери оборудования частично были восполнены за счёт предприятий, на которые эвакуировали заводы, частично - за счёт присвоения так называемых "бездокументных грузов" (грузов, чью принадлежность установить было невозможно), которые тогда в большом количестве можно было найти на железной дороге. Другим негативным последствием эвакуации стало нарушение снабжения и распад системы хозяйственных связей, существовавшей к тому моменту в СССР (19507).</w:t>
      </w:r>
    </w:p>
    <w:p w14:paraId="6D0EE30D" w14:textId="77777777" w:rsidR="00985751" w:rsidRPr="008127F8" w:rsidRDefault="00985751" w:rsidP="001E0A84">
      <w:pPr>
        <w:spacing w:after="0" w:line="240" w:lineRule="auto"/>
        <w:jc w:val="both"/>
        <w:rPr>
          <w:rFonts w:ascii="Times New Roman" w:hAnsi="Times New Roman"/>
          <w:color w:val="000000" w:themeColor="text1"/>
          <w:sz w:val="16"/>
          <w:szCs w:val="16"/>
        </w:rPr>
      </w:pPr>
    </w:p>
    <w:p w14:paraId="4CAFE389" w14:textId="77777777" w:rsidR="00E979F2" w:rsidRPr="008127F8" w:rsidRDefault="00E979F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марту 1942 года выпуск Т-60 на ГАЗ им. Молотова обеспечивался пятью заводами. По иронии судьбы к этому моменту над Т-60 стали сгущаться тучи, причём «виновником» происходящего было КБ ГАЗ им. Молотова. Работы по модернизации Т-60 закончились разработкой лёгкого танка ГАЗ-70, принятого 6-го марта 1942 года на вооружение Красной армии как </w:t>
      </w:r>
      <w:hyperlink r:id="rId77" w:history="1">
        <w:r w:rsidRPr="008127F8">
          <w:rPr>
            <w:rFonts w:ascii="Times New Roman" w:eastAsia="Times New Roman" w:hAnsi="Times New Roman"/>
            <w:color w:val="000000" w:themeColor="text1"/>
            <w:sz w:val="16"/>
            <w:szCs w:val="16"/>
            <w:lang w:eastAsia="ru-RU"/>
          </w:rPr>
          <w:t>Т-70</w:t>
        </w:r>
      </w:hyperlink>
      <w:r w:rsidRPr="008127F8">
        <w:rPr>
          <w:rFonts w:ascii="Times New Roman" w:eastAsia="Times New Roman" w:hAnsi="Times New Roman"/>
          <w:color w:val="000000" w:themeColor="text1"/>
          <w:sz w:val="16"/>
          <w:szCs w:val="16"/>
          <w:lang w:eastAsia="ru-RU"/>
        </w:rPr>
        <w:t>. Согласно постановлению ГКО №1394, уже в марте ожидался выпуск первых 20 таких танков. Заводы-смежники, за исключением завода №180, с апреля 1942 года полностью переключались на изготовление корпусов и башен к Т-70. И, хотя по ряду причин в марте ни одного Т-70 так и не выпустили, дни Т-60 на ГАЗ были сочтены (17672).</w:t>
      </w:r>
    </w:p>
    <w:p w14:paraId="12B8D7DD" w14:textId="77777777" w:rsidR="00E979F2" w:rsidRPr="008127F8" w:rsidRDefault="00E979F2" w:rsidP="001E0A84">
      <w:pPr>
        <w:spacing w:after="0" w:line="240" w:lineRule="auto"/>
        <w:jc w:val="both"/>
        <w:rPr>
          <w:rFonts w:ascii="Times New Roman" w:hAnsi="Times New Roman"/>
          <w:color w:val="000000" w:themeColor="text1"/>
          <w:sz w:val="16"/>
          <w:szCs w:val="16"/>
        </w:rPr>
      </w:pPr>
    </w:p>
    <w:p w14:paraId="35D8E2DF" w14:textId="77777777" w:rsidR="00E979F2" w:rsidRPr="008127F8" w:rsidRDefault="00E979F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марту 1942 года часть производства завода № 174 оказа</w:t>
      </w:r>
      <w:r w:rsidRPr="008127F8">
        <w:rPr>
          <w:rFonts w:ascii="Times New Roman" w:hAnsi="Times New Roman"/>
          <w:color w:val="000000" w:themeColor="text1"/>
          <w:sz w:val="16"/>
          <w:szCs w:val="16"/>
        </w:rPr>
        <w:softHyphen/>
        <w:t>лась в Омске, где была объединена с местным заводом №173 под одним номером - завод №174. К слову, и сам танкостроительный завод №173 был создан на базе мощностей омского паровозоремонтного завода им. Рудзутака (ПВРЗ), в который влился еще ранее ленинградского эвакуированный Ворошиловградский паровозостроительный завод имени Октябрьской революции (ВЗОР) - Ворошиловградом с 1935 по 1958 года назывался город Луганск. С июня 1942 года созданное таким образом из трех заводов предприятие приступило к выпуску танков Т- 34. В 1944-46 гг. 174-й завод выпускал танки Т-34-85. В 1947 году и самом начале 1948-го омские танкостроители построили «вдруг» сравнительно небольшую партию СУ-100 - 204 машины. Количество, сопоставимое с месячным выпуском этих самоходок на свердловском УЗТМ. Кажущееся отсутствие логики в такой передаче производства из Свердловска в Омск привело некоторых современных исследователей к заключению о том, что Омск, де, вообще СУ-100 не строил. В частности, сомнение в возможности разо</w:t>
      </w:r>
      <w:r w:rsidRPr="008127F8">
        <w:rPr>
          <w:rFonts w:ascii="Times New Roman" w:hAnsi="Times New Roman"/>
          <w:color w:val="000000" w:themeColor="text1"/>
          <w:sz w:val="16"/>
          <w:szCs w:val="16"/>
        </w:rPr>
        <w:softHyphen/>
        <w:t>вого возобновления производства СУ-100 в 1947 году высказывал М. Барятинский в книге «Самоходки в одном строю с танками» и других изданиях. Действительно, подобно тому, как появление Т-34 с 85-мм орудием положило конец карьере СУ-85 с пушкой ана</w:t>
      </w:r>
      <w:r w:rsidRPr="008127F8">
        <w:rPr>
          <w:rFonts w:ascii="Times New Roman" w:hAnsi="Times New Roman"/>
          <w:color w:val="000000" w:themeColor="text1"/>
          <w:sz w:val="16"/>
          <w:szCs w:val="16"/>
        </w:rPr>
        <w:softHyphen/>
        <w:t>логичного калибра, так после разработки танка Т-54 со 100-мм пушкой утратила акту</w:t>
      </w:r>
      <w:r w:rsidRPr="008127F8">
        <w:rPr>
          <w:rFonts w:ascii="Times New Roman" w:hAnsi="Times New Roman"/>
          <w:color w:val="000000" w:themeColor="text1"/>
          <w:sz w:val="16"/>
          <w:szCs w:val="16"/>
        </w:rPr>
        <w:softHyphen/>
        <w:t>альность и самоходка СУ-100 - при равной огневой мощи танк для военных всегда пред</w:t>
      </w:r>
      <w:r w:rsidRPr="008127F8">
        <w:rPr>
          <w:rFonts w:ascii="Times New Roman" w:hAnsi="Times New Roman"/>
          <w:color w:val="000000" w:themeColor="text1"/>
          <w:sz w:val="16"/>
          <w:szCs w:val="16"/>
        </w:rPr>
        <w:softHyphen/>
        <w:t>почтительнее. Однако сведения о количестве построенных 174-м заводом «сушек» хранят</w:t>
      </w:r>
      <w:r w:rsidRPr="008127F8">
        <w:rPr>
          <w:rFonts w:ascii="Times New Roman" w:hAnsi="Times New Roman"/>
          <w:color w:val="000000" w:themeColor="text1"/>
          <w:sz w:val="16"/>
          <w:szCs w:val="16"/>
        </w:rPr>
        <w:softHyphen/>
        <w:t>ся в РГАЭ, существуют музейные СУ-100 с серийными номерами именно омского заво</w:t>
      </w:r>
      <w:r w:rsidRPr="008127F8">
        <w:rPr>
          <w:rFonts w:ascii="Times New Roman" w:hAnsi="Times New Roman"/>
          <w:color w:val="000000" w:themeColor="text1"/>
          <w:sz w:val="16"/>
          <w:szCs w:val="16"/>
        </w:rPr>
        <w:softHyphen/>
        <w:t>да и с характерными конструктивными при</w:t>
      </w:r>
      <w:r w:rsidRPr="008127F8">
        <w:rPr>
          <w:rFonts w:ascii="Times New Roman" w:hAnsi="Times New Roman"/>
          <w:color w:val="000000" w:themeColor="text1"/>
          <w:sz w:val="16"/>
          <w:szCs w:val="16"/>
        </w:rPr>
        <w:softHyphen/>
        <w:t>знаками (в частности, в ЦМВС, в Ленино-Сне- гиревском музее, в Кубинке). Как все это понимать? Понимать так, что кажущееся нам сегодня странным решение на самом деле было вполне разумным в 1947 году.</w:t>
      </w:r>
    </w:p>
    <w:p w14:paraId="5C8452DC" w14:textId="77777777" w:rsidR="00E979F2" w:rsidRPr="008127F8" w:rsidRDefault="00E979F2"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 завершении программы Т-34-85 завод №174 должен был в 1947 году перейти на новый тип танка - Т-54. В этом году три заво</w:t>
      </w:r>
      <w:r w:rsidRPr="008127F8">
        <w:rPr>
          <w:rFonts w:ascii="Times New Roman" w:hAnsi="Times New Roman" w:cs="Times New Roman"/>
          <w:color w:val="000000" w:themeColor="text1"/>
          <w:sz w:val="16"/>
          <w:szCs w:val="16"/>
        </w:rPr>
        <w:softHyphen/>
        <w:t>да - нижнетагильский №183, харьковский №75 и омский №174 по плану должны были бы выпустить совместно 400 Т-54, но на деле только головной завод №183 построил 22 таких машины. В Омск первые чертежи ново</w:t>
      </w:r>
      <w:r w:rsidRPr="008127F8">
        <w:rPr>
          <w:rFonts w:ascii="Times New Roman" w:hAnsi="Times New Roman" w:cs="Times New Roman"/>
          <w:color w:val="000000" w:themeColor="text1"/>
          <w:sz w:val="16"/>
          <w:szCs w:val="16"/>
        </w:rPr>
        <w:softHyphen/>
        <w:t>го танка из Тагила попали в сентябре, а пол</w:t>
      </w:r>
      <w:r w:rsidRPr="008127F8">
        <w:rPr>
          <w:rFonts w:ascii="Times New Roman" w:hAnsi="Times New Roman" w:cs="Times New Roman"/>
          <w:color w:val="000000" w:themeColor="text1"/>
          <w:sz w:val="16"/>
          <w:szCs w:val="16"/>
        </w:rPr>
        <w:softHyphen/>
        <w:t>ный утвержденный комплект документации и технологические условия - вообще лишь в конце ноября 1947 года. При этом после Победы ситуация на заводе складывалась еще худшая, чем на УЗТМ в Свердловске. Уже в мае 1945 года партийные органы доклады</w:t>
      </w:r>
      <w:r w:rsidRPr="008127F8">
        <w:rPr>
          <w:rFonts w:ascii="Times New Roman" w:hAnsi="Times New Roman" w:cs="Times New Roman"/>
          <w:color w:val="000000" w:themeColor="text1"/>
          <w:sz w:val="16"/>
          <w:szCs w:val="16"/>
        </w:rPr>
        <w:softHyphen/>
        <w:t>вали в ЦК ВКП(б), что рабочие самовольно покидают предприятие «по мотивам оконча</w:t>
      </w:r>
      <w:r w:rsidRPr="008127F8">
        <w:rPr>
          <w:rFonts w:ascii="Times New Roman" w:hAnsi="Times New Roman" w:cs="Times New Roman"/>
          <w:color w:val="000000" w:themeColor="text1"/>
          <w:sz w:val="16"/>
          <w:szCs w:val="16"/>
        </w:rPr>
        <w:softHyphen/>
        <w:t>ния войны». Фиксировались далеко не еди</w:t>
      </w:r>
      <w:r w:rsidRPr="008127F8">
        <w:rPr>
          <w:rFonts w:ascii="Times New Roman" w:hAnsi="Times New Roman" w:cs="Times New Roman"/>
          <w:color w:val="000000" w:themeColor="text1"/>
          <w:sz w:val="16"/>
          <w:szCs w:val="16"/>
        </w:rPr>
        <w:softHyphen/>
        <w:t>ничные случаи коллективного отказа рабо</w:t>
      </w:r>
      <w:r w:rsidRPr="008127F8">
        <w:rPr>
          <w:rFonts w:ascii="Times New Roman" w:hAnsi="Times New Roman" w:cs="Times New Roman"/>
          <w:color w:val="000000" w:themeColor="text1"/>
          <w:sz w:val="16"/>
          <w:szCs w:val="16"/>
        </w:rPr>
        <w:softHyphen/>
        <w:t>тать более восьми часов в день. Из 12 тыс.</w:t>
      </w:r>
    </w:p>
    <w:p w14:paraId="5B6BB78F" w14:textId="77777777" w:rsidR="00E979F2" w:rsidRPr="008127F8" w:rsidRDefault="00E979F2"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385 человек рабочих завода №174 до 96% были эвакуированы из Ленинграда, Вороши</w:t>
      </w:r>
      <w:r w:rsidRPr="008127F8">
        <w:rPr>
          <w:rFonts w:ascii="Times New Roman" w:hAnsi="Times New Roman" w:cs="Times New Roman"/>
          <w:color w:val="000000" w:themeColor="text1"/>
          <w:sz w:val="16"/>
          <w:szCs w:val="16"/>
        </w:rPr>
        <w:softHyphen/>
        <w:t>ловграда, Сталинграда и других городов, и они, естественно, хотели вернуться домой. Тем более что в Омске для этих людей были созданы, мягко сказать, спартанские усло</w:t>
      </w:r>
      <w:r w:rsidRPr="008127F8">
        <w:rPr>
          <w:rFonts w:ascii="Times New Roman" w:hAnsi="Times New Roman" w:cs="Times New Roman"/>
          <w:color w:val="000000" w:themeColor="text1"/>
          <w:sz w:val="16"/>
          <w:szCs w:val="16"/>
        </w:rPr>
        <w:softHyphen/>
        <w:t>вия: подселение в частные дома «в порядке уплотнения», общежития и землянки с двухъ</w:t>
      </w:r>
      <w:r w:rsidRPr="008127F8">
        <w:rPr>
          <w:rFonts w:ascii="Times New Roman" w:hAnsi="Times New Roman" w:cs="Times New Roman"/>
          <w:color w:val="000000" w:themeColor="text1"/>
          <w:sz w:val="16"/>
          <w:szCs w:val="16"/>
        </w:rPr>
        <w:softHyphen/>
        <w:t>ярусными койками. С уменьшением объемов военного производства резко упали и зар</w:t>
      </w:r>
      <w:r w:rsidRPr="008127F8">
        <w:rPr>
          <w:rFonts w:ascii="Times New Roman" w:hAnsi="Times New Roman" w:cs="Times New Roman"/>
          <w:color w:val="000000" w:themeColor="text1"/>
          <w:sz w:val="16"/>
          <w:szCs w:val="16"/>
        </w:rPr>
        <w:softHyphen/>
        <w:t>платы, а многие товары покупать приходи</w:t>
      </w:r>
      <w:r w:rsidRPr="008127F8">
        <w:rPr>
          <w:rFonts w:ascii="Times New Roman" w:hAnsi="Times New Roman" w:cs="Times New Roman"/>
          <w:color w:val="000000" w:themeColor="text1"/>
          <w:sz w:val="16"/>
          <w:szCs w:val="16"/>
        </w:rPr>
        <w:softHyphen/>
        <w:t>лось на рынках - карточки отоваривались заменителями и с большим опозданием. Во время войны все это воспринималось как неизбежность, но теперь терпеть далее рабо</w:t>
      </w:r>
      <w:r w:rsidRPr="008127F8">
        <w:rPr>
          <w:rFonts w:ascii="Times New Roman" w:hAnsi="Times New Roman" w:cs="Times New Roman"/>
          <w:color w:val="000000" w:themeColor="text1"/>
          <w:sz w:val="16"/>
          <w:szCs w:val="16"/>
        </w:rPr>
        <w:softHyphen/>
        <w:t>чие смысла не видели.</w:t>
      </w:r>
    </w:p>
    <w:p w14:paraId="4E6DC988" w14:textId="77777777" w:rsidR="00E979F2" w:rsidRPr="008127F8" w:rsidRDefault="00E979F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ситуации для сохранения кадров танкостроителей и было принято решение развернуть временное производство СУ-100: шасси от давно освоенного в Омске Т-34, ору</w:t>
      </w:r>
      <w:r w:rsidRPr="008127F8">
        <w:rPr>
          <w:rFonts w:ascii="Times New Roman" w:hAnsi="Times New Roman"/>
          <w:color w:val="000000" w:themeColor="text1"/>
          <w:sz w:val="16"/>
          <w:szCs w:val="16"/>
        </w:rPr>
        <w:softHyphen/>
        <w:t>дие - то же самое, каким будет вооружен пер</w:t>
      </w:r>
      <w:r w:rsidRPr="008127F8">
        <w:rPr>
          <w:rFonts w:ascii="Times New Roman" w:hAnsi="Times New Roman"/>
          <w:color w:val="000000" w:themeColor="text1"/>
          <w:sz w:val="16"/>
          <w:szCs w:val="16"/>
        </w:rPr>
        <w:softHyphen/>
        <w:t>спективный танк Т-54 (та же Д-10, только у танка с индексом «Т» - танковая). Чертежи СУ-100 передали с УЗТМ, но завод №174 адап</w:t>
      </w:r>
      <w:r w:rsidRPr="008127F8">
        <w:rPr>
          <w:rFonts w:ascii="Times New Roman" w:hAnsi="Times New Roman"/>
          <w:color w:val="000000" w:themeColor="text1"/>
          <w:sz w:val="16"/>
          <w:szCs w:val="16"/>
        </w:rPr>
        <w:softHyphen/>
        <w:t>тировал самоходку к имеющимся технологи</w:t>
      </w:r>
      <w:r w:rsidRPr="008127F8">
        <w:rPr>
          <w:rFonts w:ascii="Times New Roman" w:hAnsi="Times New Roman"/>
          <w:color w:val="000000" w:themeColor="text1"/>
          <w:sz w:val="16"/>
          <w:szCs w:val="16"/>
        </w:rPr>
        <w:softHyphen/>
        <w:t>ческим возможностям и максимально использовал свои наработки по «тридцать</w:t>
      </w:r>
      <w:r w:rsidRPr="008127F8">
        <w:rPr>
          <w:rFonts w:ascii="Times New Roman" w:hAnsi="Times New Roman"/>
          <w:color w:val="000000" w:themeColor="text1"/>
          <w:sz w:val="16"/>
          <w:szCs w:val="16"/>
        </w:rPr>
        <w:softHyphen/>
        <w:t>четверке». Так что омские «сотки», получив</w:t>
      </w:r>
      <w:r w:rsidRPr="008127F8">
        <w:rPr>
          <w:rFonts w:ascii="Times New Roman" w:hAnsi="Times New Roman"/>
          <w:color w:val="000000" w:themeColor="text1"/>
          <w:sz w:val="16"/>
          <w:szCs w:val="16"/>
        </w:rPr>
        <w:softHyphen/>
        <w:t>шие обозначение «объект 138», имели днище из трех бронедеталей (вместо пяти у СУ-100 УЗТМ), коробчатые передние грязевые щитки, буксирные крюки характерной формы, короткие бронеколпаки выхлопных труб, унифицированные с круглым люком петли откидной кормовой плиты и т.д. Изменения конструкции в течение недолгого периода производства СУ-100 в Омске не выявлены, что вполне объяснимо (19931).</w:t>
      </w:r>
    </w:p>
    <w:p w14:paraId="64D9456A" w14:textId="77777777" w:rsidR="00E979F2" w:rsidRPr="008127F8" w:rsidRDefault="00E979F2" w:rsidP="001E0A84">
      <w:pPr>
        <w:shd w:val="clear" w:color="auto" w:fill="FFFFFF"/>
        <w:spacing w:after="0" w:line="240" w:lineRule="auto"/>
        <w:jc w:val="both"/>
        <w:rPr>
          <w:rFonts w:ascii="Times New Roman" w:hAnsi="Times New Roman"/>
          <w:color w:val="000000" w:themeColor="text1"/>
          <w:sz w:val="16"/>
          <w:szCs w:val="16"/>
        </w:rPr>
      </w:pPr>
    </w:p>
    <w:p w14:paraId="6F295E2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 xml:space="preserve">К марту 1942 г. бедственная ситуация с надежностью и подвижностью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в войсках достигла своего апогея. Треть тан</w:t>
      </w:r>
      <w:r w:rsidRPr="008127F8">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8127F8">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8127F8">
        <w:rPr>
          <w:rFonts w:ascii="Times New Roman" w:hAnsi="Times New Roman"/>
          <w:noProof/>
          <w:color w:val="000000" w:themeColor="text1"/>
          <w:sz w:val="16"/>
          <w:szCs w:val="16"/>
        </w:rPr>
        <w:softHyphen/>
        <w:t>ственных сотрудников.В низкой надежности и неудовлетвори</w:t>
      </w:r>
      <w:r w:rsidRPr="008127F8">
        <w:rPr>
          <w:rFonts w:ascii="Times New Roman" w:hAnsi="Times New Roman"/>
          <w:noProof/>
          <w:color w:val="000000" w:themeColor="text1"/>
          <w:sz w:val="16"/>
          <w:szCs w:val="16"/>
        </w:rPr>
        <w:softHyphen/>
        <w:t xml:space="preserve">тельной подвижности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как уже го</w:t>
      </w:r>
      <w:r w:rsidRPr="008127F8">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8127F8">
        <w:rPr>
          <w:rFonts w:ascii="Times New Roman" w:hAnsi="Times New Roman"/>
          <w:noProof/>
          <w:color w:val="000000" w:themeColor="text1"/>
          <w:sz w:val="16"/>
          <w:szCs w:val="16"/>
        </w:rPr>
        <w:softHyphen/>
        <w:t xml:space="preserve">ции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было возложено на Челябин</w:t>
      </w:r>
      <w:r w:rsidRPr="008127F8">
        <w:rPr>
          <w:rFonts w:ascii="Times New Roman" w:hAnsi="Times New Roman"/>
          <w:noProof/>
          <w:color w:val="000000" w:themeColor="text1"/>
          <w:sz w:val="16"/>
          <w:szCs w:val="16"/>
        </w:rPr>
        <w:softHyphen/>
        <w:t>ский опытный завод, основанный в марте 1942 г. на базе СКБ-2</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210E2F3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38367FF0"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К марту 1942 года в корпусном производстве Т-60 для обеспечения ГАЗ было задействовано 5 предприятий, вклю</w:t>
      </w:r>
      <w:r w:rsidRPr="008127F8">
        <w:rPr>
          <w:color w:val="000000" w:themeColor="text1"/>
          <w:sz w:val="16"/>
          <w:szCs w:val="16"/>
        </w:rPr>
        <w:softHyphen/>
        <w:t>чая завод-изготовитель. Несмотря на ряд проблем, обеспечение кор</w:t>
      </w:r>
      <w:r w:rsidRPr="008127F8">
        <w:rPr>
          <w:color w:val="000000" w:themeColor="text1"/>
          <w:sz w:val="16"/>
          <w:szCs w:val="16"/>
        </w:rPr>
        <w:softHyphen/>
        <w:t>пусами в значительной степени перестало быть головной болью. Тем не менее в марте 1942 года производство Т-60 на ГАЗ пришлось карди</w:t>
      </w:r>
      <w:r w:rsidRPr="008127F8">
        <w:rPr>
          <w:color w:val="000000" w:themeColor="text1"/>
          <w:sz w:val="16"/>
          <w:szCs w:val="16"/>
        </w:rPr>
        <w:softHyphen/>
        <w:t>нально корректировать, причем совсем по иным причинам – из-за пушек ШВАК (17485).</w:t>
      </w:r>
    </w:p>
    <w:p w14:paraId="1DD6F90D" w14:textId="77777777" w:rsidR="007E272D" w:rsidRPr="008127F8" w:rsidRDefault="007E272D" w:rsidP="001E0A84">
      <w:pPr>
        <w:pStyle w:val="af"/>
        <w:spacing w:before="0" w:after="0"/>
        <w:jc w:val="both"/>
        <w:rPr>
          <w:color w:val="000000" w:themeColor="text1"/>
          <w:sz w:val="16"/>
          <w:szCs w:val="16"/>
        </w:rPr>
      </w:pPr>
    </w:p>
    <w:p w14:paraId="5B1D198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66A08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C375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С.В.И сделал двухместный Ил-2, а 10 марта - второй (74,254).</w:t>
      </w:r>
    </w:p>
    <w:p w14:paraId="6178B7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Есть данные, что 1 марта 1942 начались государственные испытания (7,12), однако, ОКБ считает, что это были не государственные, а заводские испытания (5,107).</w:t>
      </w:r>
    </w:p>
    <w:p w14:paraId="6F1686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7D7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ОКБ С.В.И. передало техдокументацию на двухместный Ил-2 на серийный завод (3846,16).</w:t>
      </w:r>
    </w:p>
    <w:p w14:paraId="697A9C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F49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марта 1942 г. было письмо главного конструктора самолета Ил-2 С.В.Ильюшина </w:t>
      </w:r>
      <w:proofErr w:type="gramStart"/>
      <w:r w:rsidRPr="008127F8">
        <w:rPr>
          <w:rFonts w:ascii="Times New Roman" w:hAnsi="Times New Roman"/>
          <w:color w:val="000000" w:themeColor="text1"/>
          <w:sz w:val="16"/>
          <w:szCs w:val="16"/>
        </w:rPr>
        <w:t>И.В</w:t>
      </w:r>
      <w:proofErr w:type="gramEnd"/>
      <w:r w:rsidRPr="008127F8">
        <w:rPr>
          <w:rFonts w:ascii="Times New Roman" w:hAnsi="Times New Roman"/>
          <w:color w:val="000000" w:themeColor="text1"/>
          <w:sz w:val="16"/>
          <w:szCs w:val="16"/>
        </w:rPr>
        <w:t>.Сталину: «На основании ознакомления с работой самолетов Ил-2 в действующих частях, вношу на Ваше рассмотрение следующие предложения:</w:t>
      </w:r>
    </w:p>
    <w:p w14:paraId="540B27F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 расходовать самолеты Ил-2 в течение ближайших двух месяцев</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а начать производить накопление их к весенним операциям для истреб</w:t>
      </w:r>
      <w:r w:rsidRPr="008127F8">
        <w:rPr>
          <w:rFonts w:ascii="Times New Roman" w:hAnsi="Times New Roman"/>
          <w:color w:val="000000" w:themeColor="text1"/>
          <w:sz w:val="16"/>
          <w:szCs w:val="16"/>
        </w:rPr>
        <w:softHyphen/>
        <w:t xml:space="preserve">ления танков врага. За март и апрель авиационная промышленность </w:t>
      </w:r>
      <w:proofErr w:type="gramStart"/>
      <w:r w:rsidRPr="008127F8">
        <w:rPr>
          <w:rFonts w:ascii="Times New Roman" w:hAnsi="Times New Roman"/>
          <w:color w:val="000000" w:themeColor="text1"/>
          <w:sz w:val="16"/>
          <w:szCs w:val="16"/>
        </w:rPr>
        <w:t>даст</w:t>
      </w:r>
      <w:proofErr w:type="gramEnd"/>
      <w:r w:rsidRPr="008127F8">
        <w:rPr>
          <w:rFonts w:ascii="Times New Roman" w:hAnsi="Times New Roman"/>
          <w:color w:val="000000" w:themeColor="text1"/>
          <w:sz w:val="16"/>
          <w:szCs w:val="16"/>
        </w:rPr>
        <w:t xml:space="preserve"> Не менее 1000 самолетов Ил-2, что составит 50 штурмовых авиаполков.</w:t>
      </w:r>
    </w:p>
    <w:p w14:paraId="4B0852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нанесения сокрушительных ударов по танкам врага необходи</w:t>
      </w:r>
      <w:r w:rsidRPr="008127F8">
        <w:rPr>
          <w:rFonts w:ascii="Times New Roman" w:hAnsi="Times New Roman"/>
          <w:color w:val="000000" w:themeColor="text1"/>
          <w:sz w:val="16"/>
          <w:szCs w:val="16"/>
        </w:rPr>
        <w:softHyphen/>
        <w:t>мо вместо 82-мм реактивных снарядов самолеты Ил-2 снабдить в достаточном количестве реактивными снарядами М-13. 82-мм реактивные снаряды снять с самолета Ил-2 совсем, как малоэффективные для стрельбы по танкам. Точно так же необходимо за эти два месяца, во что бы то ни стало накопить достаточное количество снарядов М-13» (11402).</w:t>
      </w:r>
    </w:p>
    <w:p w14:paraId="194335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CDDBE" w14:textId="3B66A8BC" w:rsidR="004F2CAA" w:rsidRPr="008127F8" w:rsidRDefault="004F2C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года, учитывая положительные результаты боевого применения под Москвой ракетных снарядов с осколочно-фугасной боевой частью типа М-13, состоящих на вооружении гвардейских минометных частей, Ильюшин направил письмо Сталину с предложением снабдить самолеты Ил-2 в достаточном количестве боеприпасами этого типа. Ракетные снаряды калибра 82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как малоэффективные при действии по бронетехнике, считалось необходимым снять с вооружения самолета Ил-2. Одновременно предлагалось не расходовать самолеты Ил-2 и снаряды М-13 «в течение ближайших 2 месяцев, а начать производить накопление их к весенним операциям для истребления танков врага». По расчетам, получалось, что за март и апрель можно будет вооружить самолетами Ил-2 около 50 штурмовых авиаполков (порядка 1000 Ил-2) и обеспечить их необходимым количеством снарядов М-13. Такой группировки штурмовиков при условии их массированного применения на танкоопасном направлении было вполне достаточно для нанесения сокрушительного удара по танковым колоннам противника (17490).</w:t>
      </w:r>
    </w:p>
    <w:p w14:paraId="658398B7" w14:textId="77777777" w:rsidR="004F2CAA" w:rsidRPr="008127F8" w:rsidRDefault="004F2CAA" w:rsidP="001E0A84">
      <w:pPr>
        <w:spacing w:after="0" w:line="240" w:lineRule="auto"/>
        <w:jc w:val="both"/>
        <w:rPr>
          <w:rFonts w:ascii="Times New Roman" w:eastAsia="Times New Roman" w:hAnsi="Times New Roman"/>
          <w:color w:val="000000" w:themeColor="text1"/>
          <w:sz w:val="16"/>
          <w:szCs w:val="16"/>
          <w:lang w:eastAsia="ru-RU"/>
        </w:rPr>
      </w:pPr>
    </w:p>
    <w:p w14:paraId="04868465" w14:textId="77777777" w:rsidR="004F2CAA" w:rsidRPr="008127F8" w:rsidRDefault="004F2CA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марта 1942 г., учитывая положительные результаты боевого применения под Москвой ракетных снарядов типа М-13 с осколочно-фугасной боевой частью, Илью</w:t>
      </w:r>
      <w:r w:rsidRPr="008127F8">
        <w:rPr>
          <w:color w:val="000000" w:themeColor="text1"/>
          <w:sz w:val="16"/>
          <w:szCs w:val="16"/>
        </w:rPr>
        <w:softHyphen/>
        <w:t>шин обратился к Сталину с пред</w:t>
      </w:r>
      <w:r w:rsidRPr="008127F8">
        <w:rPr>
          <w:color w:val="000000" w:themeColor="text1"/>
          <w:sz w:val="16"/>
          <w:szCs w:val="16"/>
        </w:rPr>
        <w:softHyphen/>
        <w:t>ложением снабдить самолеты Ил-2 в достаточном количестве реактивными снарядами этого типа. Ра</w:t>
      </w:r>
      <w:r w:rsidRPr="008127F8">
        <w:rPr>
          <w:color w:val="000000" w:themeColor="text1"/>
          <w:sz w:val="16"/>
          <w:szCs w:val="16"/>
        </w:rPr>
        <w:softHyphen/>
        <w:t>кетные снаряды калибра 82 мм как малоэффектив</w:t>
      </w:r>
      <w:r w:rsidRPr="008127F8">
        <w:rPr>
          <w:color w:val="000000" w:themeColor="text1"/>
          <w:sz w:val="16"/>
          <w:szCs w:val="16"/>
        </w:rPr>
        <w:softHyphen/>
        <w:t>ные при действии по бронетехнике считалось необ</w:t>
      </w:r>
      <w:r w:rsidRPr="008127F8">
        <w:rPr>
          <w:color w:val="000000" w:themeColor="text1"/>
          <w:sz w:val="16"/>
          <w:szCs w:val="16"/>
        </w:rPr>
        <w:softHyphen/>
        <w:t>ходимым снять с вооружения самолета Ил-2. Одно</w:t>
      </w:r>
      <w:r w:rsidRPr="008127F8">
        <w:rPr>
          <w:color w:val="000000" w:themeColor="text1"/>
          <w:sz w:val="16"/>
          <w:szCs w:val="16"/>
        </w:rPr>
        <w:softHyphen/>
        <w:t>временно предлагалось не расходовать самолеты Ил-2 и снаряды М-13 «в течение ближайших 2 меся</w:t>
      </w:r>
      <w:r w:rsidRPr="008127F8">
        <w:rPr>
          <w:color w:val="000000" w:themeColor="text1"/>
          <w:sz w:val="16"/>
          <w:szCs w:val="16"/>
        </w:rPr>
        <w:softHyphen/>
        <w:t>цев, а начать производить накопление их к весен</w:t>
      </w:r>
      <w:r w:rsidRPr="008127F8">
        <w:rPr>
          <w:color w:val="000000" w:themeColor="text1"/>
          <w:sz w:val="16"/>
          <w:szCs w:val="16"/>
        </w:rPr>
        <w:softHyphen/>
        <w:t>ним операциям для истребления танков врага». По расчетам получалось, что за март и апрель можно будет вооружить самолетами Ил-2 около 50 штур</w:t>
      </w:r>
      <w:r w:rsidRPr="008127F8">
        <w:rPr>
          <w:color w:val="000000" w:themeColor="text1"/>
          <w:sz w:val="16"/>
          <w:szCs w:val="16"/>
        </w:rPr>
        <w:softHyphen/>
        <w:t>мовых авиаполков (порядка 1000 Ил-2) и обеспе</w:t>
      </w:r>
      <w:r w:rsidRPr="008127F8">
        <w:rPr>
          <w:color w:val="000000" w:themeColor="text1"/>
          <w:sz w:val="16"/>
          <w:szCs w:val="16"/>
        </w:rPr>
        <w:softHyphen/>
        <w:t>чить их необходимым количеством снарядов М-13. Такой группировки штурмовиков при условии их массированного применения на танкоопасном на</w:t>
      </w:r>
      <w:r w:rsidRPr="008127F8">
        <w:rPr>
          <w:color w:val="000000" w:themeColor="text1"/>
          <w:sz w:val="16"/>
          <w:szCs w:val="16"/>
        </w:rPr>
        <w:softHyphen/>
        <w:t>правлении было вполне достаточно для нанесения сокрушительного удара по танковым колоннам противника.</w:t>
      </w:r>
    </w:p>
    <w:p w14:paraId="3791B6FD" w14:textId="77777777" w:rsidR="004F2CAA" w:rsidRPr="008127F8" w:rsidRDefault="004F2CA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«Эти 50 штурмовых авиаполков» должны были находиться в распоряжении Ставки ВГК и прида</w:t>
      </w:r>
      <w:r w:rsidRPr="008127F8">
        <w:rPr>
          <w:color w:val="000000" w:themeColor="text1"/>
          <w:sz w:val="16"/>
          <w:szCs w:val="16"/>
        </w:rPr>
        <w:softHyphen/>
        <w:t>ваться «в нужный момент фронтовому или армей</w:t>
      </w:r>
      <w:r w:rsidRPr="008127F8">
        <w:rPr>
          <w:color w:val="000000" w:themeColor="text1"/>
          <w:sz w:val="16"/>
          <w:szCs w:val="16"/>
        </w:rPr>
        <w:softHyphen/>
        <w:t>скому командованию» для действий «только по танкам и в исключительных случаях по целям, име</w:t>
      </w:r>
      <w:r w:rsidRPr="008127F8">
        <w:rPr>
          <w:color w:val="000000" w:themeColor="text1"/>
          <w:sz w:val="16"/>
          <w:szCs w:val="16"/>
        </w:rPr>
        <w:softHyphen/>
        <w:t>ющим решающее значение для данной операции, и то лишь при условии, что /. / другие самолеты этой задачи выполнить не могут».</w:t>
      </w:r>
    </w:p>
    <w:p w14:paraId="6C25C666" w14:textId="77777777" w:rsidR="004F2CAA" w:rsidRPr="008127F8" w:rsidRDefault="004F2CA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Считалось необходимым «сажать на самоле</w:t>
      </w:r>
      <w:r w:rsidRPr="008127F8">
        <w:rPr>
          <w:color w:val="000000" w:themeColor="text1"/>
          <w:sz w:val="16"/>
          <w:szCs w:val="16"/>
        </w:rPr>
        <w:softHyphen/>
        <w:t>ты Ил-2 только летчиков, уже воевавших на Ил-2, и даже среди них сделать отбор лучших». Новичков сажать на Ил-2 предполагалось «только после того, как будет исчерпан резерв воевавших на Ил-2». По мере формирования полков необходимо было «да</w:t>
      </w:r>
      <w:r w:rsidRPr="008127F8">
        <w:rPr>
          <w:color w:val="000000" w:themeColor="text1"/>
          <w:sz w:val="16"/>
          <w:szCs w:val="16"/>
        </w:rPr>
        <w:softHyphen/>
        <w:t>вать им небольшую подготовку, обратив внимание на то, чтобы летчик умел как можно эффективнее использовать оружие самолета Ил-2 и преподать всем единство способов атаки различных целей». Для этого следовало «составить краткую инструк</w:t>
      </w:r>
      <w:r w:rsidRPr="008127F8">
        <w:rPr>
          <w:color w:val="000000" w:themeColor="text1"/>
          <w:sz w:val="16"/>
          <w:szCs w:val="16"/>
        </w:rPr>
        <w:softHyphen/>
        <w:t>цию о методах и приемах атаки основных целей». Прикрытие штурмовиков Ил-2 требовалось обе</w:t>
      </w:r>
      <w:r w:rsidRPr="008127F8">
        <w:rPr>
          <w:color w:val="000000" w:themeColor="text1"/>
          <w:sz w:val="16"/>
          <w:szCs w:val="16"/>
        </w:rPr>
        <w:softHyphen/>
        <w:t>спечить из расчета 3 истребителя на 9 самоле</w:t>
      </w:r>
      <w:r w:rsidRPr="008127F8">
        <w:rPr>
          <w:color w:val="000000" w:themeColor="text1"/>
          <w:sz w:val="16"/>
          <w:szCs w:val="16"/>
        </w:rPr>
        <w:softHyphen/>
        <w:t>тов Ил-2.</w:t>
      </w:r>
    </w:p>
    <w:p w14:paraId="003923A1" w14:textId="77777777" w:rsidR="004F2CAA" w:rsidRPr="008127F8" w:rsidRDefault="004F2CA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Утверждалось, «что если провести эти меропри</w:t>
      </w:r>
      <w:r w:rsidRPr="008127F8">
        <w:rPr>
          <w:color w:val="000000" w:themeColor="text1"/>
          <w:sz w:val="16"/>
          <w:szCs w:val="16"/>
        </w:rPr>
        <w:softHyphen/>
        <w:t>ятия со всей неукоснительностью, то можно с пол</w:t>
      </w:r>
      <w:r w:rsidRPr="008127F8">
        <w:rPr>
          <w:color w:val="000000" w:themeColor="text1"/>
          <w:sz w:val="16"/>
          <w:szCs w:val="16"/>
        </w:rPr>
        <w:softHyphen/>
        <w:t>ной уверенностью сказать, что танковые колонны врага будут разбиты» (17500).</w:t>
      </w:r>
    </w:p>
    <w:p w14:paraId="2B18929C" w14:textId="77777777" w:rsidR="004F2CAA" w:rsidRPr="008127F8" w:rsidRDefault="004F2CAA" w:rsidP="001E0A84">
      <w:pPr>
        <w:spacing w:after="0" w:line="240" w:lineRule="auto"/>
        <w:jc w:val="both"/>
        <w:rPr>
          <w:rFonts w:ascii="Times New Roman" w:eastAsia="Times New Roman" w:hAnsi="Times New Roman"/>
          <w:color w:val="000000" w:themeColor="text1"/>
          <w:sz w:val="16"/>
          <w:szCs w:val="16"/>
          <w:lang w:eastAsia="ru-RU"/>
        </w:rPr>
      </w:pPr>
    </w:p>
    <w:p w14:paraId="68BD2A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была подготовлена справка о сдаче Ил-2 в феврале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0A8C5E00" w14:textId="77777777">
        <w:tc>
          <w:tcPr>
            <w:tcW w:w="3757" w:type="dxa"/>
            <w:tcBorders>
              <w:top w:val="single" w:sz="12" w:space="0" w:color="auto"/>
            </w:tcBorders>
          </w:tcPr>
          <w:p w14:paraId="3C0943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w:t>
            </w:r>
          </w:p>
        </w:tc>
        <w:tc>
          <w:tcPr>
            <w:tcW w:w="3757" w:type="dxa"/>
            <w:tcBorders>
              <w:top w:val="single" w:sz="12" w:space="0" w:color="auto"/>
            </w:tcBorders>
          </w:tcPr>
          <w:p w14:paraId="4A5DC6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r>
      <w:tr w:rsidR="006F4095" w:rsidRPr="008127F8" w14:paraId="3546E0DD" w14:textId="77777777">
        <w:tc>
          <w:tcPr>
            <w:tcW w:w="3757" w:type="dxa"/>
          </w:tcPr>
          <w:p w14:paraId="45FECF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18</w:t>
            </w:r>
          </w:p>
        </w:tc>
        <w:tc>
          <w:tcPr>
            <w:tcW w:w="3757" w:type="dxa"/>
          </w:tcPr>
          <w:p w14:paraId="5B5A60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181</w:t>
            </w:r>
          </w:p>
        </w:tc>
      </w:tr>
      <w:tr w:rsidR="006F4095" w:rsidRPr="008127F8" w14:paraId="4D668EF4" w14:textId="77777777">
        <w:tc>
          <w:tcPr>
            <w:tcW w:w="3757" w:type="dxa"/>
            <w:tcBorders>
              <w:bottom w:val="single" w:sz="12" w:space="0" w:color="auto"/>
            </w:tcBorders>
          </w:tcPr>
          <w:p w14:paraId="7B2D3E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3757" w:type="dxa"/>
            <w:tcBorders>
              <w:bottom w:val="single" w:sz="12" w:space="0" w:color="auto"/>
            </w:tcBorders>
          </w:tcPr>
          <w:p w14:paraId="11CF0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223</w:t>
            </w:r>
          </w:p>
        </w:tc>
      </w:tr>
    </w:tbl>
    <w:p w14:paraId="72870F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Израсходовано 446 пушек ВЯ (2493,60).</w:t>
      </w:r>
    </w:p>
    <w:p w14:paraId="4271C6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9B4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НКАП Дементьев писал Ком. ВВС П.Ф.Жигареву письмо N Н-36/696 о том, что на ЛаГГ-3, Пе-2 и Ил-2 ставится двустрелочный манометр контроля тормозных колес. Он не используется и предлагалось снять, но один класть в групповой комплект для 10 машин." (1635,75).</w:t>
      </w:r>
    </w:p>
    <w:p w14:paraId="5217CF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E61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П.Дементьев писал письмо № Н-36/696 Командующему ВВС КА Генерал - Полковнику авиации товарищу ЖИГАРЕВУ П.Ф.</w:t>
      </w:r>
    </w:p>
    <w:p w14:paraId="03AF19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самолетах ЛаГГ-3, Пе-2 и Ил-2 при поставке тормозных колес ставился двухстрелочшй манометр, ко</w:t>
      </w:r>
      <w:r w:rsidRPr="008127F8">
        <w:rPr>
          <w:rFonts w:ascii="Times New Roman" w:hAnsi="Times New Roman"/>
          <w:color w:val="000000" w:themeColor="text1"/>
          <w:sz w:val="16"/>
          <w:szCs w:val="16"/>
        </w:rPr>
        <w:softHyphen/>
        <w:t>торым определялась при монтаже регулировка давления воздуха на тормозные колодки. В полете же и при попосадке летчики этим манометром не пользуются поэтому на самолетах Як-1 и МиГ-3 этот манометро не ставится.</w:t>
      </w:r>
    </w:p>
    <w:p w14:paraId="6F623B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производство манометров в настоящее вреня сильно сократилось, а также явную ненадобность этого манометра при эксплоатации, т.к. та само</w:t>
      </w:r>
      <w:r w:rsidRPr="008127F8">
        <w:rPr>
          <w:rFonts w:ascii="Times New Roman" w:hAnsi="Times New Roman"/>
          <w:color w:val="000000" w:themeColor="text1"/>
          <w:sz w:val="16"/>
          <w:szCs w:val="16"/>
        </w:rPr>
        <w:softHyphen/>
        <w:t>летах МиГ-3 и Як-1 его нет и решением главных конструкторов т.т. Ильюшина, Изаксона, и Флерова о ненадобности при полетах этого манометра, прошу дать указа</w:t>
      </w:r>
      <w:r w:rsidRPr="008127F8">
        <w:rPr>
          <w:rFonts w:ascii="Times New Roman" w:hAnsi="Times New Roman"/>
          <w:color w:val="000000" w:themeColor="text1"/>
          <w:sz w:val="16"/>
          <w:szCs w:val="16"/>
        </w:rPr>
        <w:softHyphen/>
        <w:t>ние о приемке самолетов ЛаГГ-3, Пе-2 и Ил-2 без двух-стрелочных манометров с условием чтобы один манометр прикладывался в грушювой комплекг на 10 самолетов для проверки и регулировки торшзов на земле.</w:t>
      </w:r>
    </w:p>
    <w:p w14:paraId="26834E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Прилагаю справку главных конструкторов (1635).</w:t>
      </w:r>
    </w:p>
    <w:p w14:paraId="1668A6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4CA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18 марта 1942 ТИС (А) Н.Н.П. находился на заводе № 51 в Новосибирске для доводок. Установили увеличенное по площади вертикальное оперение и стали называть ТИС (2А) (10535,34).</w:t>
      </w:r>
    </w:p>
    <w:p w14:paraId="49623A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884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18 марта 1942 г. самолет ТИС (А) находился на заводе, где в числе прочих доработок на нем установили увеличенное по площади вертикальное оперение. После этого в за</w:t>
      </w:r>
      <w:r w:rsidRPr="008127F8">
        <w:rPr>
          <w:rFonts w:ascii="Times New Roman" w:hAnsi="Times New Roman"/>
          <w:color w:val="000000" w:themeColor="text1"/>
          <w:sz w:val="16"/>
          <w:szCs w:val="16"/>
        </w:rPr>
        <w:softHyphen/>
        <w:t>водской документации он иногда обозначался как «2А». Новый цикл испытаний продолжался до 8 мая 1942 г. (10667).</w:t>
      </w:r>
    </w:p>
    <w:p w14:paraId="22758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0B00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марта 1942 закончилась проверка производственной деятельности завода № 21.</w:t>
      </w:r>
    </w:p>
    <w:p w14:paraId="4C1CC12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АКТ ПРОВЕРКИ ПРОИЗВОДСТВЕННОЙ ДЕЯТЕЛЬНОСТИ ЗАВОДА НАРКОМАТОМ ГОСКОНТРОЛЯ СССР</w:t>
      </w:r>
    </w:p>
    <w:p w14:paraId="062A9DC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сокращении)</w:t>
      </w:r>
    </w:p>
    <w:p w14:paraId="2BF3C65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3</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 xml:space="preserve"> На основании предписания Народного Комиссариата госконтроля Союза ССР от 9 февраля 1942 г. за № 256 - старший контролер Наркомата госконтроля бриг[адный] инженер Горшков Н.П. и контролер НКГК СССР Вакуленко Д.К. провели проверку производственной деятельности завода № 21 НКАП.</w:t>
      </w:r>
    </w:p>
    <w:p w14:paraId="420DCD4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Проверка начата 15-го февраля и закончена 1-го марта 1942 г.</w:t>
      </w:r>
    </w:p>
    <w:p w14:paraId="2689016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Проверка проведена в присутствии директора завода № 21 НКАП Гостинцева </w:t>
      </w:r>
      <w:proofErr w:type="gramStart"/>
      <w:r w:rsidRPr="008A2E5A">
        <w:rPr>
          <w:rFonts w:ascii="Times New Roman" w:hAnsi="Times New Roman"/>
          <w:color w:val="0070C0"/>
          <w:sz w:val="16"/>
          <w:szCs w:val="16"/>
        </w:rPr>
        <w:t>А.Ф</w:t>
      </w:r>
      <w:proofErr w:type="gramEnd"/>
      <w:r w:rsidRPr="008A2E5A">
        <w:rPr>
          <w:rFonts w:ascii="Times New Roman" w:hAnsi="Times New Roman"/>
          <w:color w:val="0070C0"/>
          <w:sz w:val="16"/>
          <w:szCs w:val="16"/>
        </w:rPr>
        <w:t xml:space="preserve"> и главного инженера того же завода Резникова Д.И.</w:t>
      </w:r>
    </w:p>
    <w:p w14:paraId="710863E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Проверкой установлено:</w:t>
      </w:r>
    </w:p>
    <w:p w14:paraId="69ED5C5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Производственная программа по обороной продукции заводом № 21 НКАП выполнена: в декабре 1941 года на 42567 тыс. руб. или 79,7% плана, в том числе: выпущено 214 самолетов ЛАГТ-3 при плане 383, или 56% плана; в январе 1942 г. выпущено 275 самолетов при плане 300, или 90%.</w:t>
      </w:r>
    </w:p>
    <w:p w14:paraId="51FBBA0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график сдачи самолетов по выводу из цеха № 40 (сборочного) выполнен на 79,4% - сдано 207 самолетов при задании 260 самолетов.</w:t>
      </w:r>
    </w:p>
    <w:p w14:paraId="411CDBF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просчет производственных мощностей завода показывает, что завод в настоящее время располагает оборудованием, оснасткой и рабочей силой на выпуск в месяц не менее 450-500 самолетов ЛаГг-3 или 18 самолетов ежесуточно.</w:t>
      </w:r>
    </w:p>
    <w:p w14:paraId="0B2F4D6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суточного графика сдачи машин сборочным цехом систематически не выполняется и не соблюдается ритмичность. Так, 1, 2, 4, 9, 1, 20 и 24 декабря 1941 г. не выпущено ни одного самолета при суточном задании 12-14 самолетов, 2 и 23-го выпущено по одному самолету при задании 12-13 единиц &lt;...&gt;</w:t>
      </w:r>
    </w:p>
    <w:p w14:paraId="30B9248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 то же время, сданные военпреду самолеты длительное время задерживаются на заводе и своевременно не отправляются в воинские части.</w:t>
      </w:r>
    </w:p>
    <w:p w14:paraId="49BA82F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этого на заводском аэродроме систематически находится большое количество самолетов, не отправленных для нужд фронта. Так, на 1 января с.г. на аэродроме завода находилось 146 самолетов; на 10 января - 133; на 20-е января - 187; на 1 февраля - 232: на 10 февраля - 237 и на 27-е февраля - 205 самолетов, нормально же завод должен иметь не более 60-ти самолетов. &lt;...&gt;</w:t>
      </w:r>
    </w:p>
    <w:p w14:paraId="1340161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разгрузки аэродрома от скопившихся машин в феврале с.г. было переброшено на помощь ЛИСу завода значительное количество руководящих работников завода, в том числе начальник производства, главный технолог, главный инженерии, значительное количество работников с основных цехов. Кроме того, ГУ ВВС КА была </w:t>
      </w:r>
      <w:r w:rsidRPr="008A2E5A">
        <w:rPr>
          <w:rFonts w:ascii="Times New Roman" w:hAnsi="Times New Roman"/>
          <w:color w:val="0070C0"/>
          <w:sz w:val="16"/>
          <w:szCs w:val="16"/>
        </w:rPr>
        <w:lastRenderedPageBreak/>
        <w:t>прикреплена для работы на ЛИСе 23-я авиабригада со всем личным составом, которая только с 1-го по 23 (Л.5) февраля своими силами произвела доводку и облет 172 самолетов, несмотря на это все же на 27-е февраля продолжало оставаться на заводском аэродроме 205 самолетов.</w:t>
      </w:r>
    </w:p>
    <w:p w14:paraId="1C9CB66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Проверка показала, что большинство самолетов, предъявляемых сборочным цехом военпреду, имеют от 25 до 60 крупных дефектов, исправление которых требует в отдельных случаях затраты времени до 12 часов на самолет.</w:t>
      </w:r>
    </w:p>
    <w:p w14:paraId="430DF71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даже на сданных военпреду самолетах при подготовке к облету на ЛИС обнаруживаются дефекты, тормозящие своевременную их сдачу в воинские части и загружают ЛИС несвойственными ему работами. Из числа подготовленных к облету 23-х самолетов в феврале м[еся]це с.г., взятых на выдержку, - обнаружены следующие дефекты:</w:t>
      </w:r>
    </w:p>
    <w:p w14:paraId="09CD024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самолете № 1954: обрыв троса выворота лыж, вываливается левая лыжа в полете, течь водяного радиатора; по исправлению лыж самолет имеет три контрольных полета.</w:t>
      </w:r>
    </w:p>
    <w:p w14:paraId="18DC236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самолете № 2158: течь бензобака, утечка воздуха из амортизационной системы, не убирается левая лыжа, по неисправности лыж произведено 4 контрольных полета.</w:t>
      </w:r>
    </w:p>
    <w:p w14:paraId="5045D05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самолете № 2166: не убирается правая лыжа, в результате машина имеет 2 контрольных полета.</w:t>
      </w:r>
    </w:p>
    <w:p w14:paraId="2156C23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самолете № 2046: течь масла и воды, не убираются лыжи в полете, в результате чего было 5 контрольных полетов.</w:t>
      </w:r>
    </w:p>
    <w:p w14:paraId="1864C62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6) В 1941 году на заводском аэродроме было 66 аварий и в январе - феврале 1942 г. - 26 аварий. Такое большое число аварий произошло по причинам плохой организации технической службы на заводском аэродроме, нарушения технологического процесса и халатности работающего персонала на ЛИСе.</w:t>
      </w:r>
    </w:p>
    <w:p w14:paraId="6D13167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Освоение самолета ЛаГГ-3 заводом № 21 начато в конце 1940г. и в настоящее время выпускают их большими сериями, однако, серийных чертежей, окончательно отработанных по эталону, ни в одном отделе и цехе не имеется. Самолет строится в основном по опытным чертежам или смешанным.</w:t>
      </w:r>
    </w:p>
    <w:p w14:paraId="1051D1F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7</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 xml:space="preserve"> Ввиду отсутствия эталона и сборочных чертежей на него имеющаяся в цехах оснастка, стапеля, приспособления и шаблоны окончательно не отработаны. Вследствие этого в сборочном цехе большинство агрегатов, узлов и деталей при постановке их на самолет подгоняется по месту и делает их невзаимозаменяемыми. Так, например, руль глубины, руль поворота, щитки, крыло, щитки шасси, ленты разъема крыла с центропланом, носки разъема, крышки капота мотора </w:t>
      </w:r>
      <w:proofErr w:type="gramStart"/>
      <w:r w:rsidRPr="008A2E5A">
        <w:rPr>
          <w:rFonts w:ascii="Times New Roman" w:hAnsi="Times New Roman"/>
          <w:color w:val="0070C0"/>
          <w:sz w:val="16"/>
          <w:szCs w:val="16"/>
        </w:rPr>
        <w:t>- все это</w:t>
      </w:r>
      <w:proofErr w:type="gramEnd"/>
      <w:r w:rsidRPr="008A2E5A">
        <w:rPr>
          <w:rFonts w:ascii="Times New Roman" w:hAnsi="Times New Roman"/>
          <w:color w:val="0070C0"/>
          <w:sz w:val="16"/>
          <w:szCs w:val="16"/>
        </w:rPr>
        <w:t xml:space="preserve"> ставится по месту, и является индивидуальностью каждого самолета; крыло также требует подгонки стыковых болтов не только по высоте, но и по диаметру.</w:t>
      </w:r>
    </w:p>
    <w:p w14:paraId="2DEF9DA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Наличие в производстве одновременно конструктивных и серийных чертежей, которые по конструкции самолета должны стыковаться и увязываться между собой, а также доработка конструкции в процессе эксплуатации и применение заменителей, породили на заводе дополнительный выпуск большого количества временных, увязочных и переходных чертежей в виде: эскизов, листков изменений и листков допустимости, которые создают дополнительные переделки, порождают брак и вводят дополнительные работы в сборочных и агрегатных цехах.</w:t>
      </w:r>
    </w:p>
    <w:p w14:paraId="5C801C1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выполнить по чертежу тот или иной монтаж на самолете в сборочном цехе, необходимо пользоваться несколькими чертежами, эскизами и листками допустимости.</w:t>
      </w:r>
    </w:p>
    <w:p w14:paraId="39C23A9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(Л.8) Исправленные чертежи своевременно не попадают на рабочее место в цехи-заготовители, что приводит к массовому браку деталей на целые серии. Так, например: листок изменения ШУ-1234 поступил в цеховой архив цеха № 40</w:t>
      </w:r>
      <w:r w:rsidRPr="008A2E5A">
        <w:rPr>
          <w:rFonts w:ascii="Times New Roman" w:hAnsi="Times New Roman"/>
          <w:color w:val="0070C0"/>
          <w:sz w:val="16"/>
          <w:szCs w:val="16"/>
        </w:rPr>
        <w:tab/>
        <w:t>19 февраля 1941 г. для изменения чертежей, [начиная] с 19-й серии, которая собиралась в декабре 1941 г., тогда как цех на 19 февраля 1942 г. собирает уже машины 23-й серии.</w:t>
      </w:r>
    </w:p>
    <w:p w14:paraId="6B4F122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9</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 xml:space="preserve"> Благодаря такому положению качество сборки самолетов находится на низком уровне. На целый ряд деталей, как, например, на заборник всасывающего патрубка нагнетателя, троса прокладки, бобышки и жгуты эл[ектро]проводки, чертежи частично или полностью отсутствуют и детали изготовляются по эталонам или технологическим картам.</w:t>
      </w:r>
    </w:p>
    <w:p w14:paraId="5377D40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настоящего времени в цехах завода нет полной, детально разработанной технологии и инструкций. Спускаемая в цехи технология параллельно не оснащается необходимым инструментом и приспособлениями.</w:t>
      </w:r>
    </w:p>
    <w:p w14:paraId="370D1DFA"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Внедрением в производство спущенной в цехи технологией технические отделы цехов не занимаются, что влечет к частым нарушениям технологического процесса. Так: в цехе № 40 монтаж винтомоторной группы происходит на самолете. Имеющиеся же в цехе 18 стенды для полной сборки и доводки винтомоторной группы с моторамой, лафетом и капотами стоят в бездействии и ими при сборке не пользуются. Моторы ставились на самолет без предварительной расконсервации. &lt;...&gt;</w:t>
      </w:r>
    </w:p>
    <w:p w14:paraId="0D43E41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Нарушается режим склейки и температура окружающего воздуха, нет приспособлений для проверки установки направляющих на фонарь, нет приспособлений для проверки контура фюзеляжа...</w:t>
      </w:r>
    </w:p>
    <w:p w14:paraId="0091881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 10) ...Сборочный цех имеет дополнительно 20-25 % от общей трудоемкости внеплановых работ, которые складываются из нарушений цехами технологии (технологических маршрутов), некомплектности сдачи узлов, исправления брака деталей, готовых изделий и материалов, конструктивной недоработки чертежей, неправильно назначенных технологических </w:t>
      </w:r>
    </w:p>
    <w:p w14:paraId="6A1EB65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маршрутов.</w:t>
      </w:r>
    </w:p>
    <w:p w14:paraId="3747101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Кроме того, </w:t>
      </w:r>
      <w:proofErr w:type="gramStart"/>
      <w:r w:rsidRPr="008A2E5A">
        <w:rPr>
          <w:rFonts w:ascii="Times New Roman" w:hAnsi="Times New Roman"/>
          <w:color w:val="0070C0"/>
          <w:sz w:val="16"/>
          <w:szCs w:val="16"/>
        </w:rPr>
        <w:t>в сборочным цехе</w:t>
      </w:r>
      <w:proofErr w:type="gramEnd"/>
      <w:r w:rsidRPr="008A2E5A">
        <w:rPr>
          <w:rFonts w:ascii="Times New Roman" w:hAnsi="Times New Roman"/>
          <w:color w:val="0070C0"/>
          <w:sz w:val="16"/>
          <w:szCs w:val="16"/>
        </w:rPr>
        <w:t xml:space="preserve"> производится большое количество несвойственных ему столярных и клеевых работ по доработке фюзеляжа деталей самолета из-за конструктивных и технологических упущений, что увеличивает трудоемкость работ в сборочном цехе.</w:t>
      </w:r>
    </w:p>
    <w:p w14:paraId="3C40FC6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большинство монтажных работ в цехе № 40 (сборочном) происходит по месту - вручную с отступлениями от технологии, что тормозит снижение цикла сборки самолета и рост его выпуска».</w:t>
      </w:r>
    </w:p>
    <w:p w14:paraId="2420B2A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11) «На заводе брак не изолируется, существующие в отдельных цехах для изоляции брака помещения настолько малы по своей площади, что не могут вместить крупного агрегата.</w:t>
      </w:r>
    </w:p>
    <w:p w14:paraId="1573387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в цехе № 20 в изоляторе не помещается даже одна моторама, такое же положение и в цехе № 40. Площади изоляторов в этих цехах составляют примерно 4-5 кв[адратных] мет[ров] и совершенно отсутствуют изоляторы в цехах: №№ 10, 30, 21, 200, 150, 250, 31 и 100. В этих цехах брак лежит у рабочих мест.</w:t>
      </w:r>
    </w:p>
    <w:p w14:paraId="004B029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учет брака и отчетные данные по нему не отражают действительного состояния на заводе.</w:t>
      </w:r>
    </w:p>
    <w:p w14:paraId="58AFBD1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основном сборочном цехе завода отсутствует элементарная культура в работе и организации производства. Во время проверки состояние этого цеха было следующее: в ночное время цех освещен плохо, переносных электроламп на рабочих местах недостаточно.</w:t>
      </w:r>
    </w:p>
    <w:p w14:paraId="68F4F6F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Площадка перед ангарными воротами загромождена самолетами, поставленными на ремонт. Снятые детали с этих самолетов небрежно валяются на полу. Вытекающее масло из моторов разлито на полу.</w:t>
      </w:r>
    </w:p>
    <w:p w14:paraId="18B3360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потоков производится окраска и окончательная отделка собранных самолетов. Лакокрасочная пыль осаждается на близстоящие самолеты, ф[юзеля]жи и на готовые детали, сложенные для временного хранения на стапельном участке сборки и винтомоторной группы.</w:t>
      </w:r>
    </w:p>
    <w:p w14:paraId="2E2C6B4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Освободившиеся конвейерные тележки не переводятся на специально] приспособленный для этого путь возврата и находятся в хаотическом состоянии на площадке у ангарных ворот.</w:t>
      </w:r>
    </w:p>
    <w:p w14:paraId="791C809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Стапельный участок сборки винтомоторной группы на время простоев с моторами превращен в свалку готовых деталей. Вместе с годными деталями разбросан по всему участку брак и некондиционные детали (даже разбитый картер мотора). В указанном месте находятся ценные и крупные детали к самолетам, принадлежащие к отделу № 6, как-то: лафеты, (Л. 11) моторамы, ограждающие трубы БС, каркасы капота, патронные коробки, рули поворота, крышка капота, звеньевые коробки, лыжи и совки водорадиаторов, бронеспинки, закрылки, подвесные баки, коки винта (Л. 12), всасывающие патрубки нагнетателя и др[угое] на 100 и более комплектов самолетов.</w:t>
      </w:r>
    </w:p>
    <w:p w14:paraId="557E467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Указанное место хранения никак не охраняется, а поэтому тот или иной рабочий, сделавший брак, может свободно взять взамен новую деталь.</w:t>
      </w:r>
    </w:p>
    <w:p w14:paraId="68616DB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(стапеля) разрушается... За разбросанными деталями спят безделыцики, так, в момент проверки был обнаружен спящим рабочий т. Румянцев Н.А., - пропуск № 12169, мастера Колчина, объяснивший, что спал ввиду отсутствия работы. Фюзеляжи на запасной площади потока № 1 размещены беспорядочно.</w:t>
      </w:r>
    </w:p>
    <w:p w14:paraId="7CBBBBD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шкафах (и за ними), служащими пристендовыми пунктами выдачи деталей, разбросаны бракованные детали (трубки, болты, бензокраны, хомуты и т.д.).</w:t>
      </w:r>
    </w:p>
    <w:p w14:paraId="4921C1D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мастерской подготовки моторов и винтов грязно. Тара после распаковки моторов своевременно на вывозится и захламляет участок...</w:t>
      </w:r>
    </w:p>
    <w:p w14:paraId="2F16C28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одном из помещений стихийно организован склад брака. Изолятор (помещение) брака очень мал и является промежуточным пунктом по отправке брака в цехи и утильбазу. Использованием же отдельных деталей с забракованных агрегатов цех не занимается.</w:t>
      </w:r>
    </w:p>
    <w:p w14:paraId="17328CD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мастерской механика свалка материала, поломанного оборудования и др[угих] предметов. Остальные участки цеха также загрязнены и мало отличаются от вышеприведенных...</w:t>
      </w:r>
    </w:p>
    <w:p w14:paraId="0950EF7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Содержание оборудования на заводе поставлено неудовлетворительно - планово-предупредительного ремонта в течение ноября-декабря 1941 г. не производилось. Из общего числа оборудования на заводе 15%</w:t>
      </w:r>
    </w:p>
    <w:p w14:paraId="010065C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его находится в плохом состоянии.</w:t>
      </w:r>
    </w:p>
    <w:p w14:paraId="074D553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14) Аэродром завода, без специально оборудованной взлетнопосадочной площадки, для эксплуатации в весенне-осенний период непригоден.</w:t>
      </w:r>
    </w:p>
    <w:p w14:paraId="3CCA00B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Строительство ВПП простейшего типа по указаниям НКАП от 16 сентября 1941 г завод не выполнил - взлетно-посадочную площадку не построил.</w:t>
      </w:r>
    </w:p>
    <w:p w14:paraId="2C8AF9A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приказу наркома авиационной промышленности тов. Шахурина от 31 января 1942 г. завод обязан к 1 мая построить взлетно-посадочную полосу из железобетонных] плит, размером 70 х 800 метров.</w:t>
      </w:r>
    </w:p>
    <w:p w14:paraId="6A98A3F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постройке ВПП в этом году завод приступил. Однако намеченный график работы на февраль м[еся]ц завод уже сорвал. На строительстве ВПП должны были работать 10 автомашин, 8 тракторов и 1500 </w:t>
      </w:r>
      <w:proofErr w:type="gramStart"/>
      <w:r w:rsidRPr="008A2E5A">
        <w:rPr>
          <w:rFonts w:ascii="Times New Roman" w:hAnsi="Times New Roman"/>
          <w:color w:val="0070C0"/>
          <w:sz w:val="16"/>
          <w:szCs w:val="16"/>
        </w:rPr>
        <w:t>чел</w:t>
      </w:r>
      <w:proofErr w:type="gramEnd"/>
      <w:r w:rsidRPr="008A2E5A">
        <w:rPr>
          <w:rFonts w:ascii="Times New Roman" w:hAnsi="Times New Roman"/>
          <w:color w:val="0070C0"/>
          <w:sz w:val="16"/>
          <w:szCs w:val="16"/>
        </w:rPr>
        <w:t xml:space="preserve">[овек] рабочих. Фактически же до 27 февраля ни автомашины, ни трактора заводом не выделены, число рабочих не превышало 1200 </w:t>
      </w:r>
      <w:proofErr w:type="gramStart"/>
      <w:r w:rsidRPr="008A2E5A">
        <w:rPr>
          <w:rFonts w:ascii="Times New Roman" w:hAnsi="Times New Roman"/>
          <w:color w:val="0070C0"/>
          <w:sz w:val="16"/>
          <w:szCs w:val="16"/>
        </w:rPr>
        <w:t>чел</w:t>
      </w:r>
      <w:proofErr w:type="gramEnd"/>
      <w:r w:rsidRPr="008A2E5A">
        <w:rPr>
          <w:rFonts w:ascii="Times New Roman" w:hAnsi="Times New Roman"/>
          <w:color w:val="0070C0"/>
          <w:sz w:val="16"/>
          <w:szCs w:val="16"/>
        </w:rPr>
        <w:t>[овек].</w:t>
      </w:r>
    </w:p>
    <w:p w14:paraId="7CD6C67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График по изготовлению ж[елезобетонных] плит также не выполняется. </w:t>
      </w:r>
    </w:p>
    <w:p w14:paraId="5689BD7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февраль должно быть изготовлено - 1140 м2, изготовлено только 466 м2 или 14% предусмотренных по графику.</w:t>
      </w:r>
    </w:p>
    <w:p w14:paraId="7D367B6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Старший контролер Наркомата госконтроля Союза ССР – бригинженер (Г оршков)</w:t>
      </w:r>
    </w:p>
    <w:p w14:paraId="2E2A3F2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Контролер Наркомата госконтроля Союза ССР - (Вакуленко)</w:t>
      </w:r>
    </w:p>
    <w:p w14:paraId="25C6398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проверке присутствовали:</w:t>
      </w:r>
    </w:p>
    <w:p w14:paraId="409AA36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21 НКАП - (Гостинцев)</w:t>
      </w:r>
    </w:p>
    <w:p w14:paraId="077B5D5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инженер (Резников)</w:t>
      </w:r>
    </w:p>
    <w:p w14:paraId="22B8B1E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ЦАНО. Ф. 2066.Оп. 6. Д. 706. Л. 3-14. Копия. Машинопись.</w:t>
      </w:r>
    </w:p>
    <w:p w14:paraId="228E39A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ОБЪЯСНЕНИЕ К АКТУ, СОСТАВЛЕННОМУ СТАРШИМ КОНТРОЛЕРОМ НАРКОМАТА ГОСКОНТРОЛЯ СОЮЗА ССР БРИГ[АДНЫМ] ИНЖЕНЕРОМ ГОРШКОВЫМ Н.П. И КОНТРОЛЕРОМ НКГК ВАКУЛЕНКО Д.К. О ПРОИЗВОДСТВЕННОЙ ДЕЯТЕЛЬНОСТИ ЗАВОДА № 21 НКАП</w:t>
      </w:r>
    </w:p>
    <w:p w14:paraId="45464E6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15) Основными причинами срыва выполнения программы является отсутствие материалов, готовых изделий, как-то: винтов, моторов, радиаторов, баллонов др., а также неудовлетворительная работа транспорта.</w:t>
      </w:r>
    </w:p>
    <w:p w14:paraId="353A88A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Потребность на выпуск моторов</w:t>
      </w:r>
      <w:r w:rsidRPr="008A2E5A">
        <w:rPr>
          <w:rFonts w:ascii="Times New Roman" w:hAnsi="Times New Roman"/>
          <w:color w:val="0070C0"/>
          <w:sz w:val="16"/>
          <w:szCs w:val="16"/>
        </w:rPr>
        <w:tab/>
        <w:t>- 360</w:t>
      </w:r>
    </w:p>
    <w:p w14:paraId="21985FB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фактически на 1 февраля [1942 г.]</w:t>
      </w:r>
      <w:r w:rsidRPr="008A2E5A">
        <w:rPr>
          <w:rFonts w:ascii="Times New Roman" w:hAnsi="Times New Roman"/>
          <w:color w:val="0070C0"/>
          <w:sz w:val="16"/>
          <w:szCs w:val="16"/>
        </w:rPr>
        <w:tab/>
        <w:t>- 38</w:t>
      </w:r>
    </w:p>
    <w:p w14:paraId="6D9C66B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Потребность винтов на выпуск</w:t>
      </w:r>
      <w:r w:rsidRPr="008A2E5A">
        <w:rPr>
          <w:rFonts w:ascii="Times New Roman" w:hAnsi="Times New Roman"/>
          <w:color w:val="0070C0"/>
          <w:sz w:val="16"/>
          <w:szCs w:val="16"/>
        </w:rPr>
        <w:tab/>
      </w:r>
      <w:r w:rsidRPr="008A2E5A">
        <w:rPr>
          <w:rFonts w:ascii="Times New Roman" w:hAnsi="Times New Roman"/>
          <w:color w:val="0070C0"/>
          <w:sz w:val="16"/>
          <w:szCs w:val="16"/>
        </w:rPr>
        <w:tab/>
        <w:t>- 360</w:t>
      </w:r>
    </w:p>
    <w:p w14:paraId="241D4AA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фактически винтов на 1 февраля</w:t>
      </w:r>
      <w:r w:rsidRPr="008A2E5A">
        <w:rPr>
          <w:rFonts w:ascii="Times New Roman" w:hAnsi="Times New Roman"/>
          <w:color w:val="0070C0"/>
          <w:sz w:val="16"/>
          <w:szCs w:val="16"/>
        </w:rPr>
        <w:tab/>
        <w:t>- 0» (23679).</w:t>
      </w:r>
    </w:p>
    <w:p w14:paraId="12C5D04C" w14:textId="77777777" w:rsidR="006E2015" w:rsidRPr="008A2E5A" w:rsidRDefault="006E2015" w:rsidP="006E2015">
      <w:pPr>
        <w:spacing w:after="0" w:line="240" w:lineRule="auto"/>
        <w:jc w:val="both"/>
        <w:rPr>
          <w:rFonts w:ascii="Times New Roman" w:hAnsi="Times New Roman"/>
          <w:color w:val="0070C0"/>
          <w:sz w:val="16"/>
          <w:szCs w:val="16"/>
        </w:rPr>
      </w:pPr>
    </w:p>
    <w:p w14:paraId="11B1F5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15 марта 1942, согласно журналу оперативной справки по мотору 120 на заводе № 26, мотор М-120ТК установлен на станок для длительных испытаний горячей части ТК. Далее записи обрываются (998).</w:t>
      </w:r>
    </w:p>
    <w:p w14:paraId="731F93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91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вышло Постановление ГКО № 1356 Об изготовлении полуфабрикатов для НКАП из мартеновской стали. РГАНИР, Фонд ГКО, д. 22, лл. 52 (11012).</w:t>
      </w:r>
    </w:p>
    <w:p w14:paraId="48C4C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5B1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марта 1942:</w:t>
      </w:r>
    </w:p>
    <w:p w14:paraId="2F91CC72" w14:textId="77777777" w:rsidR="0091390A" w:rsidRPr="008127F8" w:rsidRDefault="0091390A"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Кадровая ситуация на ряде авиапредприятий па март 1942 г.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w:t>
      </w:r>
      <w:r w:rsidRPr="008127F8">
        <w:rPr>
          <w:rFonts w:ascii="Times New Roman" w:hAnsi="Times New Roman"/>
          <w:iCs/>
          <w:color w:val="000000" w:themeColor="text1"/>
          <w:sz w:val="16"/>
          <w:szCs w:val="16"/>
        </w:rPr>
        <w:t xml:space="preserve"> Л</w:t>
      </w:r>
      <w:r w:rsidRPr="008127F8">
        <w:rPr>
          <w:rFonts w:ascii="Times New Roman" w:hAnsi="Times New Roman"/>
          <w:color w:val="000000" w:themeColor="text1"/>
          <w:sz w:val="16"/>
          <w:szCs w:val="16"/>
        </w:rPr>
        <w:t xml:space="preserve"> 165—288; Д. 4467. Л. 6)</w:t>
      </w:r>
    </w:p>
    <w:tbl>
      <w:tblPr>
        <w:tblW w:w="0" w:type="auto"/>
        <w:tblInd w:w="8" w:type="dxa"/>
        <w:tblLayout w:type="fixed"/>
        <w:tblCellMar>
          <w:left w:w="0" w:type="dxa"/>
          <w:right w:w="0" w:type="dxa"/>
        </w:tblCellMar>
        <w:tblLook w:val="0000" w:firstRow="0" w:lastRow="0" w:firstColumn="0" w:lastColumn="0" w:noHBand="0" w:noVBand="0"/>
      </w:tblPr>
      <w:tblGrid>
        <w:gridCol w:w="557"/>
        <w:gridCol w:w="1080"/>
        <w:gridCol w:w="1090"/>
        <w:gridCol w:w="1085"/>
        <w:gridCol w:w="1080"/>
        <w:gridCol w:w="1070"/>
      </w:tblGrid>
      <w:tr w:rsidR="006F4095" w:rsidRPr="008127F8" w14:paraId="7F48AEA8" w14:textId="77777777">
        <w:trPr>
          <w:trHeight w:val="80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75D09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w:t>
            </w:r>
            <w:r w:rsidRPr="008127F8">
              <w:rPr>
                <w:rFonts w:ascii="Times New Roman" w:hAnsi="Times New Roman"/>
                <w:color w:val="000000" w:themeColor="text1"/>
                <w:sz w:val="16"/>
                <w:szCs w:val="16"/>
              </w:rPr>
              <w:softHyphen/>
              <w:t>вода</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74EF0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работаю</w:t>
            </w:r>
            <w:r w:rsidRPr="008127F8">
              <w:rPr>
                <w:rFonts w:ascii="Times New Roman" w:hAnsi="Times New Roman"/>
                <w:color w:val="000000" w:themeColor="text1"/>
                <w:sz w:val="16"/>
                <w:szCs w:val="16"/>
              </w:rPr>
              <w:softHyphen/>
              <w:t xml:space="preserve">щим заводе </w:t>
            </w:r>
            <w:proofErr w:type="gramStart"/>
            <w:r w:rsidRPr="008127F8">
              <w:rPr>
                <w:rFonts w:ascii="Times New Roman" w:hAnsi="Times New Roman"/>
                <w:color w:val="000000" w:themeColor="text1"/>
                <w:sz w:val="16"/>
                <w:szCs w:val="16"/>
              </w:rPr>
              <w:t>до эвакуация</w:t>
            </w:r>
            <w:proofErr w:type="gramEnd"/>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A7683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эва</w:t>
            </w:r>
            <w:r w:rsidRPr="008127F8">
              <w:rPr>
                <w:rFonts w:ascii="Times New Roman" w:hAnsi="Times New Roman"/>
                <w:color w:val="000000" w:themeColor="text1"/>
                <w:sz w:val="16"/>
                <w:szCs w:val="16"/>
              </w:rPr>
              <w:softHyphen/>
              <w:t>куированных сотрудников</w:t>
            </w:r>
            <w:r w:rsidRPr="008127F8">
              <w:rPr>
                <w:rFonts w:ascii="Times New Roman" w:hAnsi="Times New Roman"/>
                <w:color w:val="000000" w:themeColor="text1"/>
                <w:sz w:val="16"/>
                <w:szCs w:val="16"/>
                <w:vertAlign w:val="superscript"/>
              </w:rPr>
              <w:t>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FB248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рабочих на заводе на 1 марта 1942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581A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Рабочих и уче</w:t>
            </w:r>
            <w:r w:rsidRPr="008127F8">
              <w:rPr>
                <w:rFonts w:ascii="Times New Roman" w:hAnsi="Times New Roman"/>
                <w:color w:val="000000" w:themeColor="text1"/>
                <w:sz w:val="16"/>
                <w:szCs w:val="16"/>
              </w:rPr>
              <w:softHyphen/>
              <w:t>ников на 1 марта 1942 г.</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A5A24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 на 1 марта 1942 г.</w:t>
            </w:r>
          </w:p>
        </w:tc>
      </w:tr>
      <w:tr w:rsidR="006F4095" w:rsidRPr="008127F8" w14:paraId="6B301B08"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26153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AC1A2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19931</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1791E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6695(33,5)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E8A6A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11564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F1BBD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19023»</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651CC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2542</w:t>
            </w:r>
          </w:p>
        </w:tc>
      </w:tr>
      <w:tr w:rsidR="006F4095" w:rsidRPr="008127F8" w14:paraId="0762F0A9"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F89E7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88ECB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18433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917B1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5592 (303)</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CF72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15287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1D201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17739</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0819C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2743</w:t>
            </w:r>
          </w:p>
        </w:tc>
      </w:tr>
      <w:tr w:rsidR="006F4095" w:rsidRPr="008127F8" w14:paraId="545F1327"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9B735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49B87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DB820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352(41,1)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BC941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2DC99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1544</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1409BB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r>
      <w:tr w:rsidR="006F4095" w:rsidRPr="008127F8" w14:paraId="6FCAE0B3"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E6E9C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477CD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1712+720*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30C9A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615+459+98*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658882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0F691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2222</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E3F5C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w:t>
            </w:r>
          </w:p>
        </w:tc>
      </w:tr>
      <w:tr w:rsidR="006F4095" w:rsidRPr="008127F8" w14:paraId="7DA703B0"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51B17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B72DF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0EBA4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533 (34,2)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B20B3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09FF4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843</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37D6C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219</w:t>
            </w:r>
          </w:p>
        </w:tc>
      </w:tr>
      <w:tr w:rsidR="006F4095" w:rsidRPr="008127F8" w14:paraId="0424A890"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B4576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2DBB3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4363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17369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1654(37,9)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0393F7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E7E0C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2062</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4B66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r>
      <w:tr w:rsidR="006F4095" w:rsidRPr="008127F8" w14:paraId="75BD752A"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D633C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3160B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21257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FBC06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8435(39,7)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B5516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12612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A4A82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16367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8ADF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3626</w:t>
            </w:r>
          </w:p>
        </w:tc>
      </w:tr>
      <w:tr w:rsidR="006F4095" w:rsidRPr="008127F8" w14:paraId="7F27B942"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044C5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96A87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36E837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345(71)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059436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2016B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344</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B7694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r>
      <w:tr w:rsidR="006F4095" w:rsidRPr="008127F8" w14:paraId="70186DAB"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31FB1F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9F900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308EBA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354(9,85)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6E9404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F8A09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D8F5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231</w:t>
            </w:r>
          </w:p>
        </w:tc>
      </w:tr>
      <w:tr w:rsidR="006F4095" w:rsidRPr="008127F8" w14:paraId="54636E27"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4341B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E0FEA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39F15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1966(84,9)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908CB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16B65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3720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50291D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686</w:t>
            </w:r>
          </w:p>
        </w:tc>
      </w:tr>
      <w:tr w:rsidR="006F4095" w:rsidRPr="008127F8" w14:paraId="3CC340EC"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585A9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3D303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22700</w:t>
            </w:r>
            <w:r w:rsidRPr="008127F8">
              <w:rPr>
                <w:rFonts w:ascii="Times New Roman" w:hAnsi="Times New Roman"/>
                <w:color w:val="000000" w:themeColor="text1"/>
                <w:sz w:val="16"/>
                <w:szCs w:val="16"/>
                <w:vertAlign w:val="superscript"/>
              </w:rPr>
              <w:t>й</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12D47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(60)</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4124E8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21954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0060E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24990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35F5E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4814</w:t>
            </w:r>
          </w:p>
        </w:tc>
      </w:tr>
      <w:tr w:rsidR="006F4095" w:rsidRPr="008127F8" w14:paraId="0A2DD339"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99E6E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E0803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479BD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1456(38,</w:t>
            </w:r>
            <w:proofErr w:type="gramStart"/>
            <w:r w:rsidRPr="008127F8">
              <w:rPr>
                <w:rFonts w:ascii="Times New Roman" w:hAnsi="Times New Roman"/>
                <w:color w:val="000000" w:themeColor="text1"/>
                <w:sz w:val="16"/>
                <w:szCs w:val="16"/>
              </w:rPr>
              <w:t>2)*</w:t>
            </w:r>
            <w:proofErr w:type="gramEnd"/>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D6021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6139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BEBF5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7177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364182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1209</w:t>
            </w:r>
          </w:p>
        </w:tc>
      </w:tr>
      <w:tr w:rsidR="006F4095" w:rsidRPr="008127F8" w14:paraId="7234139C"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1B0CF7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B842D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13135'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8E2F2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5266* (40,1)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58C7F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7175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047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10251</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7D6B0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1773</w:t>
            </w:r>
          </w:p>
        </w:tc>
      </w:tr>
      <w:tr w:rsidR="006F4095" w:rsidRPr="008127F8" w14:paraId="04F613CA"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2E146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2170" w:type="dxa"/>
            <w:gridSpan w:val="2"/>
            <w:tcBorders>
              <w:top w:val="single" w:sz="6" w:space="0" w:color="auto"/>
              <w:left w:val="single" w:sz="6" w:space="0" w:color="auto"/>
              <w:bottom w:val="single" w:sz="6" w:space="0" w:color="auto"/>
              <w:right w:val="single" w:sz="6" w:space="0" w:color="auto"/>
            </w:tcBorders>
            <w:shd w:val="clear" w:color="auto" w:fill="FFFFFF"/>
          </w:tcPr>
          <w:p w14:paraId="27640F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эвакуировался</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44C627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13131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0E1EF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15121</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76BE7E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2615</w:t>
            </w:r>
          </w:p>
        </w:tc>
      </w:tr>
      <w:tr w:rsidR="006F4095" w:rsidRPr="008127F8" w14:paraId="1B5A1145"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F61D6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76B9C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66E9E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2450(33,2)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CBF01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3350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6A394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5126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3C90D5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929</w:t>
            </w:r>
          </w:p>
        </w:tc>
      </w:tr>
      <w:tr w:rsidR="006F4095" w:rsidRPr="008127F8" w14:paraId="7F43DBA6"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95552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93D13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7730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7189F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2664(34,5)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6A021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82A3C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12850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7533C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Ид.</w:t>
            </w:r>
          </w:p>
        </w:tc>
      </w:tr>
      <w:tr w:rsidR="006F4095" w:rsidRPr="008127F8" w14:paraId="0769E5BA"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94E6C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0A5A5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DBD68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1970(36,8)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652DA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3A55A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799C97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919</w:t>
            </w:r>
          </w:p>
        </w:tc>
      </w:tr>
      <w:tr w:rsidR="006F4095" w:rsidRPr="008127F8" w14:paraId="25EF5C6E" w14:textId="77777777">
        <w:trPr>
          <w:trHeight w:val="600"/>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49EBB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1(Оргавиапром)</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897A0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2468</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BEBD6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1457(59)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189F9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1744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36A5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н/д.</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C8784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326</w:t>
            </w:r>
          </w:p>
        </w:tc>
      </w:tr>
      <w:tr w:rsidR="006F4095" w:rsidRPr="008127F8" w14:paraId="7551A22F"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AB9A8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F9252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989</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B63BC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412(41,7)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C3529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E8093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5A490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186</w:t>
            </w:r>
          </w:p>
        </w:tc>
      </w:tr>
      <w:tr w:rsidR="006F4095" w:rsidRPr="008127F8" w14:paraId="2343AAE0" w14:textId="77777777">
        <w:trPr>
          <w:trHeight w:val="245"/>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7C7EB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B93DC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2342</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27D1F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1031(44)</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54007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473FD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3698</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0D695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574</w:t>
            </w:r>
          </w:p>
        </w:tc>
      </w:tr>
    </w:tbl>
    <w:p w14:paraId="75FF2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 xml:space="preserve"> Для наглядности в скобках приводится удельный вес (в %) эвакуированных по отношению к довоенной численности персонала.</w:t>
      </w:r>
    </w:p>
    <w:p w14:paraId="58DB2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vertAlign w:val="superscript"/>
        </w:rPr>
        <w:t>н</w:t>
      </w:r>
      <w:proofErr w:type="gramEnd"/>
      <w:r w:rsidRPr="008127F8">
        <w:rPr>
          <w:rFonts w:ascii="Times New Roman" w:hAnsi="Times New Roman"/>
          <w:color w:val="000000" w:themeColor="text1"/>
          <w:sz w:val="16"/>
          <w:szCs w:val="16"/>
        </w:rPr>
        <w:t xml:space="preserve"> В данной таблице под понятием «ученики» собрано несколько достаточно раз</w:t>
      </w:r>
      <w:r w:rsidRPr="008127F8">
        <w:rPr>
          <w:rFonts w:ascii="Times New Roman" w:hAnsi="Times New Roman"/>
          <w:color w:val="000000" w:themeColor="text1"/>
          <w:sz w:val="16"/>
          <w:szCs w:val="16"/>
        </w:rPr>
        <w:softHyphen/>
        <w:t>ношёрстных категорий работников, не подпадающих под определение «рабочий». Т.к. давать подробную разбивку по каждому заводу нецелесообразно из соображений чита</w:t>
      </w:r>
      <w:r w:rsidRPr="008127F8">
        <w:rPr>
          <w:rFonts w:ascii="Times New Roman" w:hAnsi="Times New Roman"/>
          <w:color w:val="000000" w:themeColor="text1"/>
          <w:sz w:val="16"/>
          <w:szCs w:val="16"/>
        </w:rPr>
        <w:softHyphen/>
        <w:t>бельности таблицы, мы ограничимся примером завода № 18. Кроме 11564 рабочих, на нём трудилось 980 учеников школ ФЗО и РУ; 5009 рабочих из числа рабочих батальо</w:t>
      </w:r>
      <w:r w:rsidRPr="008127F8">
        <w:rPr>
          <w:rFonts w:ascii="Times New Roman" w:hAnsi="Times New Roman"/>
          <w:color w:val="000000" w:themeColor="text1"/>
          <w:sz w:val="16"/>
          <w:szCs w:val="16"/>
        </w:rPr>
        <w:softHyphen/>
        <w:t>нов (так в документе, хотя официальным термином было — рабочие колонны) НКО; 1060 учеников на производстве; и 410 рабочих из ВТУЗов и техникумов.</w:t>
      </w:r>
    </w:p>
    <w:p w14:paraId="6BBF51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vertAlign w:val="superscript"/>
        </w:rPr>
        <w:t>ш</w:t>
      </w:r>
      <w:r w:rsidRPr="008127F8">
        <w:rPr>
          <w:rFonts w:ascii="Times New Roman" w:hAnsi="Times New Roman"/>
          <w:color w:val="000000" w:themeColor="text1"/>
          <w:sz w:val="16"/>
          <w:szCs w:val="16"/>
        </w:rPr>
        <w:t xml:space="preserve"> Завод № 145 образовался в результате слияния в эвакуации заводов № 145 и 455.</w:t>
      </w:r>
    </w:p>
    <w:p w14:paraId="25B82A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Соответственно с заводов № 145, 455 и 261 в среднем было эвакуировано ок. 44 % персонала предприятий (12011).</w:t>
      </w:r>
    </w:p>
    <w:p w14:paraId="254BEB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2D7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марта 1942 г. по приказу НКАП на площадке эвакуированного завода № 26 в Рыбинске был образован завод № 36 НКАП. В 04.1942 г. из Уфы на новый завод переведено 130 чел. Приказом директора завода от 14.11.1941 г. уполномоченным управляющим в Рыбинске остался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Кустов (11982).</w:t>
      </w:r>
    </w:p>
    <w:p w14:paraId="3E3A6E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D0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марта 1942 г. на заводе № 19 в число инженерно-технических работников вошли: 658 лиц с высшим техническим образованием; 1031 со средним тех</w:t>
      </w:r>
      <w:r w:rsidRPr="008127F8">
        <w:rPr>
          <w:rFonts w:ascii="Times New Roman" w:hAnsi="Times New Roman"/>
          <w:color w:val="000000" w:themeColor="text1"/>
          <w:sz w:val="16"/>
          <w:szCs w:val="16"/>
        </w:rPr>
        <w:softHyphen/>
        <w:t>ническим образованием и 926 так называемых «практиков». Из общего числа ИТР 32 занимали должности начальников цехов, причём дипломированных инженеров среди них было лишь 15, а 7 цехов возглавляли «практики». Из 1108 мастеров на заводе инженерами было 100, а 733 также относились к «практикам» (12011).</w:t>
      </w:r>
    </w:p>
    <w:p w14:paraId="3C77B1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E2DE9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88115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58B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г. вышло Постановление ГОКО СССР о производстве и поставке средств химического нападения и защиты на март 1942 г. Установлены месячные объемы выпуска ОВ: заводу N 96 - 2000 т иприта и 670 т люизита...(10769).</w:t>
      </w:r>
    </w:p>
    <w:p w14:paraId="1A6106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00C38" w14:textId="77777777" w:rsidR="007216D1" w:rsidRPr="008127F8" w:rsidRDefault="007216D1"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bCs/>
          <w:iCs/>
          <w:color w:val="000000" w:themeColor="text1"/>
          <w:sz w:val="16"/>
          <w:szCs w:val="16"/>
        </w:rPr>
        <w:t>1 марта 1942 г</w:t>
      </w:r>
      <w:r w:rsidRPr="008127F8">
        <w:rPr>
          <w:rFonts w:ascii="Times New Roman" w:hAnsi="Times New Roman"/>
          <w:color w:val="000000" w:themeColor="text1"/>
          <w:sz w:val="16"/>
          <w:szCs w:val="16"/>
        </w:rPr>
        <w:t>. Постановление ГОКО СССР о производстве и поставке средств химического нападения и защиты на март1942 г. Установлены месячные объемы выпуска ОВ: заводу № 91 (Сталинград) — 750 тонн иприта, заводу № 96 (Дзержинск) — 2000 тонн иприта и 670 тонн люизита, заводу № 102 (Чапаевск) — 950 тонн иприта и 330 тонн люизита (17133).</w:t>
      </w:r>
    </w:p>
    <w:p w14:paraId="0F216F8D" w14:textId="77777777" w:rsidR="007216D1" w:rsidRPr="008127F8" w:rsidRDefault="007216D1" w:rsidP="001E0A84">
      <w:pPr>
        <w:shd w:val="clear" w:color="auto" w:fill="FFFFFF"/>
        <w:spacing w:after="0" w:line="240" w:lineRule="auto"/>
        <w:jc w:val="both"/>
        <w:rPr>
          <w:rFonts w:ascii="Times New Roman" w:hAnsi="Times New Roman"/>
          <w:color w:val="000000" w:themeColor="text1"/>
          <w:sz w:val="16"/>
          <w:szCs w:val="16"/>
        </w:rPr>
      </w:pPr>
    </w:p>
    <w:p w14:paraId="10C1385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постановление ГОКО СССР о производстве и поставке средств химического нападения и защиты на март 1942 г. Установлены месячные объемы выпуска ОВ: заводу N 96 - 2000 т иприта и 670 т люизита... Принято решение о выпуске в течение года на заводе N 96 НКХП (город Дзержинск, Горьковская область) 200 тонн иприта Зайкова в смеси с люизитом (1:1) и 107 тонн люизита (15055).</w:t>
      </w:r>
    </w:p>
    <w:p w14:paraId="5F9AF2FD"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5668B3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марта 1942 вышло Постановление ГКО № 1355 О плане производства металла на март 1942 г. РГАНИР, Фонд ГКО, д. 22, лл. 45-51 (11012).</w:t>
      </w:r>
    </w:p>
    <w:p w14:paraId="09AD67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980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марта 1942 г. все литые башни танка Т-34 на заводе № 112 стали изготавливаться без кормового люка, предназначавшегося для демонта</w:t>
      </w:r>
      <w:r w:rsidRPr="008127F8">
        <w:rPr>
          <w:rFonts w:ascii="Times New Roman" w:hAnsi="Times New Roman"/>
          <w:color w:val="000000" w:themeColor="text1"/>
          <w:sz w:val="16"/>
          <w:szCs w:val="16"/>
        </w:rPr>
        <w:softHyphen/>
        <w:t>жа и монтажа пушки в полевых условиях. Опыт боевого применения танков Т-34 показал, что в войсках имелись лишь единичные случаи выхода из строя артиллерийских орудий, а наличие кормового люка резко ослабляло прочность конструкции башни (10703).</w:t>
      </w:r>
    </w:p>
    <w:p w14:paraId="70AD2EF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EFB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г. вышло Постановление ГКО № 1357 «О производстве и поставках основных химических продуктов и средств противохимической защиты в марте 1942 г.» (Д. 38. Л. 113–127, 129).</w:t>
      </w:r>
    </w:p>
    <w:p w14:paraId="7120A1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0EAF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8D3BA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CBB9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утреннее сообщение Совинформбюро:</w:t>
      </w:r>
    </w:p>
    <w:p w14:paraId="06A458C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 марта наши войска продолжали вести активные боевые действия против немецко-фашистских войск.</w:t>
      </w:r>
    </w:p>
    <w:p w14:paraId="69EFBA5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батареи под командованием тов. Волынича, действующей на одном из участков Западного фронта, отражая вражескую танковую атаку, прямой наводкой уничтожили 3 немецких танка. В этот же день артиллеристы разгромили миномётную батарею противника и подбили противотанковое орудие.</w:t>
      </w:r>
    </w:p>
    <w:p w14:paraId="2CCC7DD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немцы перешли в контратаку на позиции подразделения части тов. Дьяконова. Когда противник приблизился на расстояние в 100 метров, на него обрушился меткий огонь наших бойцов. Оставив на поле боя свыше 200 трупов, гитлеровцы поспешно отступили.</w:t>
      </w:r>
    </w:p>
    <w:p w14:paraId="3C04599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действующая на Ленинградском фронте, за день уничтожила 600 вражеских солдат и офицеров. Действиями артиллерии и разведывательных групп разрушено 4 немецких ДЗОТа, 5 блиндажей и землянок, уничтожено полевое орудие, 7 станковых и ручных пулемётов, 3 наблюдательных пункта и склад боеприпасов.</w:t>
      </w:r>
    </w:p>
    <w:p w14:paraId="0DEE412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Артиллеристы-гвардейцы одной нашей части, действующей на Юго-Западном фронте, в бою за населённый пункт 0. подавили две немецкие артиллерийские и 4 миномётные батареи, подбили танк и разрушили 2 ДЗОТа противника. Рассеяно и частью уничтожено до двух батальонов вражеской пехоты.</w:t>
      </w:r>
    </w:p>
    <w:p w14:paraId="0845AD8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объединённых партизанских отрядов Ленинградской области под руководством товарищей H. и Б. внезапно атаковали группу немцев. Во время боя партизаны перебили 20 оказавших сопротивление немецких солдат, а 40 солдат и 1 офицера взяли в плен. Отряд захватил 7 пулемётов, 5 автоматов, 10 винтовок, 2 ящика гранат, 16.000 патронов, 3 радиостанции и 64 подводы с продовольствием и обмундированием.</w:t>
      </w:r>
    </w:p>
    <w:p w14:paraId="741F4818"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лейтенант 230 полка 76 немецкой пехотной дивизии Карл Вендель рассказал: «За время войны 230 полк потерял до 60 процентов личного состава офицеров. Некоторыми ротами сейчас командуют фельдфебели. В дивизии преобладают офицеры запаса. Большинство из них тяготится военной службой. Офицеры жалуются на усталость и говорят о необходимости смены».</w:t>
      </w:r>
    </w:p>
    <w:p w14:paraId="6F1DAD1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обер-фельдфебель 2 роты 60 немецкого танкового батальона Шульц Гейнц рассказал: «После отступления из-под Ростова в 14 танковой дивизии из 132 танков осталось только 30, в том числе 15 неисправных. Затем было получено пополнение и сформирован танковый батальон с 33 танками. В первом же бою мы потеряли 15 танков».</w:t>
      </w:r>
    </w:p>
    <w:p w14:paraId="608531D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Жители села Потапово, Смоленской области, совместно с представителями Красной Армии составили акт о чудовищных преступлениях гитлеровских мерзавцев. В акте говорится: «Отступая под натиском Красной Армии, немцы согнали 47 жителей сёл Дорохи и Потапова в два дома, заперли их, а под дома заложили мины замедленного действия. Среди запертых в домах находились семьи Гранина (четыре человека) и Желтовой (три человека), Куз-нецова М. П. с сыном, Киселёв Е. Е., Фёдоров А. Е., Горькова А. Н., Гринияа А. Л., семья Кузина из пяти человек, семья Фадеевых из десяти человек, семьи Фёдорова, Афонина, Куренина, Иванова. Через несколько часов после минирования оба дома взлетели на воздух. Все 47 стариков, женщин и детей погибли. Совершив это преступление, гитлеровцы подожгли деревню. Пожаром уничтожен 41 дом». Акт подписали: Лисиков Д. И., Фомичева М. Я., Волчкова У. Р., Рогаткина А. Г., Фомичева Т. В., Волчкова </w:t>
      </w:r>
      <w:proofErr w:type="gramStart"/>
      <w:r w:rsidRPr="008127F8">
        <w:rPr>
          <w:rFonts w:ascii="Times New Roman" w:hAnsi="Times New Roman"/>
          <w:color w:val="000000" w:themeColor="text1"/>
          <w:sz w:val="16"/>
          <w:szCs w:val="16"/>
        </w:rPr>
        <w:t>А..</w:t>
      </w:r>
      <w:proofErr w:type="gramEnd"/>
      <w:r w:rsidRPr="008127F8">
        <w:rPr>
          <w:rFonts w:ascii="Times New Roman" w:hAnsi="Times New Roman"/>
          <w:color w:val="000000" w:themeColor="text1"/>
          <w:sz w:val="16"/>
          <w:szCs w:val="16"/>
        </w:rPr>
        <w:t xml:space="preserve"> Г., Бондарчук Д. Г. и старший лейтенант Савченко М. И.</w:t>
      </w:r>
    </w:p>
    <w:p w14:paraId="70D564F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Слесари Новокузнецкого вагонного депо тт. Корнев и Ключагин добились замечательного производственного успеха. Они отремонтировали один вагон за 8 часов вместо 72 часов по норме.» (15055).</w:t>
      </w:r>
    </w:p>
    <w:p w14:paraId="458F0E21"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1C1DDD0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вечернее сообщение Совинформбюро:</w:t>
      </w:r>
    </w:p>
    <w:p w14:paraId="40B55BF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 марта наши войска, преодолевая сопротивление и отбивая контратаки противника, на некоторых участках фронта заняли несколько населённых пунктов.</w:t>
      </w:r>
    </w:p>
    <w:p w14:paraId="0895E75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февраля уничтожено не 38 немецких самолётов, как об этом сообщалось ранее, а 47 самолётов противника.</w:t>
      </w:r>
    </w:p>
    <w:p w14:paraId="79D837C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февраля сбито в воздушных боях 34 немецких самолёта, огнём зенитной артиллерии — 1 самолёт и уничтожено на аэродромах 33 самолёта противника. Всего за этот день уничтожено 68 немецких самолётов. Наши потери — 14 самолётов.</w:t>
      </w:r>
    </w:p>
    <w:p w14:paraId="76E02128"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марта под Москвой сбито 2 немецких самолёта.</w:t>
      </w:r>
    </w:p>
    <w:p w14:paraId="0F64FC5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февраля частями нашей авиации уничтожено и повреждено 12 немецких танков, 410 автомашин с войсками и грузами, свыше 280 повозок с боеприпасами, 5 автоцистерн и 7 железнодорожных цистерн с горючим, 26 орудий, 8 зенитно-пулемётных точек, 7 миномётов, 18 пулемётов, взорвано 2 склада с боеприпасами, разрушено 53 железнодорожных вагона и 2 паровоза, повреждён 1 железнодорожный эшелон, рассеяно и частью уничтожено до эскадрона конницы и свыше 3 батальонов пехоты противника.</w:t>
      </w:r>
    </w:p>
    <w:p w14:paraId="30312C0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Танкисты части, которой командует тов. Юрченко (Юго-Западный фронт), взаимодействуя с кавалерийской частью, за один день боёв уничтожили 7 немецких орудий, 4 миномёта и захватили много трофеев. Противник потерял убитыми 650 солдат и офицеров.</w:t>
      </w:r>
    </w:p>
    <w:p w14:paraId="69722E7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населённый пункт К. подразделение, где командиром тов. Вознесенский (Калининский фронт), наголову разбило немецкую часть. На поле боя осталось 360 вражеских трупов, 10 солдат и офицеров сдались в плен. Подразделение захватило большие трофеи.</w:t>
      </w:r>
    </w:p>
    <w:p w14:paraId="5C6DF1C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Тяжёлый танк лейтенанта тов. Лисовец, ворвавшись в расположение противника, огнём и гусеницами уничтожил более 200 немецких солдат и офицеров, смял два противотанковых орудия, 4 миномёта, 4 пулемётные точки и разгромил немецкий обоз с продовольствием.</w:t>
      </w:r>
    </w:p>
    <w:p w14:paraId="00E1825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Шесть красноармейцев-разведчиков во главе с тов. Ерешевым вступили в бой с вражеским дозором. Тов. Ерешев уничтожил в этом бою офицера и трёх солдат. 10 немцев сдались в плен.</w:t>
      </w:r>
    </w:p>
    <w:p w14:paraId="665200A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карело-финских партизан под командованием тов. С. атаковал проходившую через лес мотомеханизированную колонну белофиннов. Несколькими связками гранат партизаны подорвали, два неприятельских танка и уничтожили их экипажи. Обстрелянная из автоматов и пулемётов финская пехота разбежалась, оставив на снегу большое количество трупов.</w:t>
      </w:r>
    </w:p>
    <w:p w14:paraId="72F0A1B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Гребнево, Дзержинского района, Смоленской области, немецко-фашистские мерзавцы расстреляли группу пленных раненых красноармейцев.</w:t>
      </w:r>
    </w:p>
    <w:p w14:paraId="147A0AD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Известно, что немецкая промышленность испытывает острый недостаток меди. Проводимая гитлеровцами кампания по сбору меди и медных монет позорно провалилась. Тогда германское правительство объявило с 1 марта все медные монеты недействительными и предложило обменять их на бумажные. Однако население упорно хранит медную монету, не желая обменивать её на ничего не стоящие бумажные деньги. В связи с этим германское информационное бюро 28, февраля выступило с угрозами по адресу тех, кто саботирует это распоряжение немецких властей. Гитлеровцы требуют, «чтобы дети пересмотрели содержимое своих копилок и своевременно обменяли медные пфенниги!» Германское информационное бюро предупреждает, что несдача монет повлечёт «за собой привлечение к ответственности». Плохи, по-видимому, у гитлеровцев дела, если они взялись и за детские копилки.</w:t>
      </w:r>
    </w:p>
    <w:p w14:paraId="28FE5D5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Стахановец машиностроительного завода в Комсомольске-на-Амуре тов. Сазонов, получив срочное задание, больше суток не выходил из цеха и закончил работу за 28 часов вместо 93 часов по норме.» (15055).</w:t>
      </w:r>
    </w:p>
    <w:p w14:paraId="414F3216"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1641564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советские войска начинают наступление в Крыму (15055).</w:t>
      </w:r>
    </w:p>
    <w:p w14:paraId="6397A4ED"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4B9F0E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г. приказом Наркома обороны 95-й иап на Пе-3 был передан в состав ВВС Северного флота. 5 марта большая группа летчиков и штурманов полка получила ордена (в том числе командир полка майор А. Жатьков и его штурман капитан Н. Морозов - ордена Ленина). Спустя еще два дня полк вылетел на Север (4476).</w:t>
      </w:r>
    </w:p>
    <w:p w14:paraId="300424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D88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вышло Постановление ГКО № 1358 Об улучшении доставки продовольствия и фуража частям действующей армии. РГАНИР, Фонд ГКО, д. 22, лл. 69-70 (11012).</w:t>
      </w:r>
    </w:p>
    <w:p w14:paraId="1893C3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2715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вышло Постановление ГКО № 1359 О сосредоточении на Можайской оборонительной линии 12 стрелковых бригад. (7023, 71).</w:t>
      </w:r>
    </w:p>
    <w:p w14:paraId="13B28C4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BBE42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советские войска начали наступление в Крыму (4962).</w:t>
      </w:r>
    </w:p>
    <w:p w14:paraId="1A2C384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8F2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началось контрнаступление КА в Крыму (2261).</w:t>
      </w:r>
    </w:p>
    <w:p w14:paraId="13FC4D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2875F" w14:textId="77777777" w:rsidR="0091390A" w:rsidRPr="008127F8" w:rsidRDefault="0091390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0501AB0" w14:textId="77777777" w:rsidR="0091390A" w:rsidRPr="008127F8" w:rsidRDefault="0091390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1C76E1" w14:textId="77777777" w:rsidR="0091390A" w:rsidRPr="008127F8" w:rsidRDefault="0091390A"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1 марта 1942. Из дневника врача Е. Сахаровой: "Начались прививки, но нас не снабжают ни спиртом, ни шприцами, ни иглами, не говоря уже о мыле. А план прививок увеличен ровно вдвое, т.е. вместо 6 тыс. нужно сделать 12 тыс. да еще неорганизованному населению" </w:t>
      </w:r>
      <w:r w:rsidRPr="008127F8">
        <w:rPr>
          <w:rFonts w:ascii="Times New Roman" w:hAnsi="Times New Roman"/>
          <w:color w:val="000000" w:themeColor="text1"/>
          <w:sz w:val="16"/>
          <w:szCs w:val="16"/>
          <w:lang w:val="en-US"/>
        </w:rPr>
        <w:t>(18696).</w:t>
      </w:r>
    </w:p>
    <w:p w14:paraId="0B095E46" w14:textId="77777777" w:rsidR="0091390A" w:rsidRPr="008127F8" w:rsidRDefault="0091390A" w:rsidP="001E0A84">
      <w:pPr>
        <w:spacing w:after="0" w:line="240" w:lineRule="auto"/>
        <w:jc w:val="both"/>
        <w:rPr>
          <w:rFonts w:ascii="Times New Roman" w:hAnsi="Times New Roman"/>
          <w:color w:val="000000" w:themeColor="text1"/>
          <w:sz w:val="16"/>
          <w:szCs w:val="16"/>
          <w:lang w:val="en-US"/>
        </w:rPr>
      </w:pPr>
    </w:p>
    <w:p w14:paraId="01725EB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1BA7C6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E7715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1 1942 Ensign William Tepuni, USNR, piloting a Lockheed Hudson, PBO, of VP-82 based at Argentia, attacked and sank the U-656 southwest of Newfoundland; the first German submarine sunk by U.S. forces in World War II (1090).</w:t>
      </w:r>
    </w:p>
    <w:p w14:paraId="0986CE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B554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Локхид Хадсон атаковал и потопил подлодку У-656, которая стала первой немецкой подлодкой, потопленной американцами во время ВМВ (1090).</w:t>
      </w:r>
    </w:p>
    <w:p w14:paraId="2E7C76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C349E" w14:textId="77777777" w:rsidR="00E979F2" w:rsidRPr="008127F8" w:rsidRDefault="00E979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ВМС США потопили немецкую подводную лодку впервые во Второй мировой войне, когда Lockheed ПБО-1 Хадсон Patrol Squadron 82 (VP-82), пилотируемый мичманом Уильяма Tepuni USNR разбомбил U-656 у Ньюфаундленд (20793).</w:t>
      </w:r>
    </w:p>
    <w:p w14:paraId="079B805F" w14:textId="77777777" w:rsidR="00E979F2" w:rsidRPr="008127F8" w:rsidRDefault="00E979F2" w:rsidP="001E0A84">
      <w:pPr>
        <w:spacing w:after="0" w:line="240" w:lineRule="auto"/>
        <w:jc w:val="both"/>
        <w:rPr>
          <w:rFonts w:ascii="Times New Roman" w:hAnsi="Times New Roman"/>
          <w:color w:val="000000" w:themeColor="text1"/>
          <w:sz w:val="16"/>
          <w:szCs w:val="16"/>
        </w:rPr>
      </w:pPr>
    </w:p>
    <w:p w14:paraId="227B817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марта 1942 г. началась интенсивная подготовка экипажей для миссии Дулитла, продолжавшаяся до 25-го марта. Параллельно велась модернизация и доработка самолетов. Для помощи в обучении был прикомандирован летный инструктор лейтенант Генри Л. Миллер из авиации военно-морского флота. Летчики обучались взлету с ограниченной площадки небольшой длины и ширины. Для этого на взлетно-посадочной полосе краской нарисовали полосы по форме и размеру напоминающие палубу авианосца. Вдоль края этой импровизированной палубы были поставлены флажки через каждые 30 метров. Летчики проводили взлеты с этой импровизированной палубы, тренируясь и вырабатывая методику взлета. Лейтенант Дональд Смит со</w:t>
      </w:r>
      <w:r w:rsidRPr="008A2E5A">
        <w:rPr>
          <w:rFonts w:ascii="Times New Roman" w:hAnsi="Times New Roman"/>
          <w:color w:val="0070C0"/>
          <w:sz w:val="16"/>
          <w:szCs w:val="16"/>
        </w:rPr>
        <w:softHyphen/>
        <w:t>вершил самый короткий взлет равный 287 футам (около 90 метров). Один самолет был поврежден во время этих тренировочных взлетов, само</w:t>
      </w:r>
      <w:r w:rsidRPr="008A2E5A">
        <w:rPr>
          <w:rFonts w:ascii="Times New Roman" w:hAnsi="Times New Roman"/>
          <w:color w:val="0070C0"/>
          <w:sz w:val="16"/>
          <w:szCs w:val="16"/>
        </w:rPr>
        <w:softHyphen/>
        <w:t>лёт лейтенанта Бейтса (он в рейде не участвовал) сразу же после отрыва от земли, не успев набрать высоты и ско</w:t>
      </w:r>
      <w:r w:rsidRPr="008A2E5A">
        <w:rPr>
          <w:rFonts w:ascii="Times New Roman" w:hAnsi="Times New Roman"/>
          <w:color w:val="0070C0"/>
          <w:sz w:val="16"/>
          <w:szCs w:val="16"/>
        </w:rPr>
        <w:softHyphen/>
        <w:t>рости, упал на полосу.</w:t>
      </w:r>
    </w:p>
    <w:p w14:paraId="7723006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Методика взлета, которую вырабо</w:t>
      </w:r>
      <w:r w:rsidRPr="008A2E5A">
        <w:rPr>
          <w:rFonts w:ascii="Times New Roman" w:hAnsi="Times New Roman"/>
          <w:color w:val="0070C0"/>
          <w:sz w:val="16"/>
          <w:szCs w:val="16"/>
        </w:rPr>
        <w:softHyphen/>
        <w:t>тали на испытаниях, состояла в сле</w:t>
      </w:r>
      <w:r w:rsidRPr="008A2E5A">
        <w:rPr>
          <w:rFonts w:ascii="Times New Roman" w:hAnsi="Times New Roman"/>
          <w:color w:val="0070C0"/>
          <w:sz w:val="16"/>
          <w:szCs w:val="16"/>
        </w:rPr>
        <w:softHyphen/>
        <w:t>дующем. Самолет ставился в центре палубы авианосца, идущего полным ходом против ветра, носовое колесо должно было быть совмещено с белой линией, которую нарисовали по цен</w:t>
      </w:r>
      <w:r w:rsidRPr="008A2E5A">
        <w:rPr>
          <w:rFonts w:ascii="Times New Roman" w:hAnsi="Times New Roman"/>
          <w:color w:val="0070C0"/>
          <w:sz w:val="16"/>
          <w:szCs w:val="16"/>
        </w:rPr>
        <w:softHyphen/>
        <w:t>тру и вдоль всей палубы. Закрылки самолета полностью были опущены. Самолет ставился на тормоза, дви</w:t>
      </w:r>
      <w:r w:rsidRPr="008A2E5A">
        <w:rPr>
          <w:rFonts w:ascii="Times New Roman" w:hAnsi="Times New Roman"/>
          <w:color w:val="0070C0"/>
          <w:sz w:val="16"/>
          <w:szCs w:val="16"/>
        </w:rPr>
        <w:softHyphen/>
        <w:t>гателям давалась полная мощность. Как только достигались максималь</w:t>
      </w:r>
      <w:r w:rsidRPr="008A2E5A">
        <w:rPr>
          <w:rFonts w:ascii="Times New Roman" w:hAnsi="Times New Roman"/>
          <w:color w:val="0070C0"/>
          <w:sz w:val="16"/>
          <w:szCs w:val="16"/>
        </w:rPr>
        <w:softHyphen/>
        <w:t>ные обороты двигателя и приходило разрешение на взлет, снимались тормоза. Самолет немного катился по палубе и почти сразу же летчик тянул штурвал на себя. Как только самолет отрывался от палубы, самолет пере</w:t>
      </w:r>
      <w:r w:rsidRPr="008A2E5A">
        <w:rPr>
          <w:rFonts w:ascii="Times New Roman" w:hAnsi="Times New Roman"/>
          <w:color w:val="0070C0"/>
          <w:sz w:val="16"/>
          <w:szCs w:val="16"/>
        </w:rPr>
        <w:softHyphen/>
        <w:t>водился в горизонтальный полет, уби</w:t>
      </w:r>
      <w:r w:rsidRPr="008A2E5A">
        <w:rPr>
          <w:rFonts w:ascii="Times New Roman" w:hAnsi="Times New Roman"/>
          <w:color w:val="0070C0"/>
          <w:sz w:val="16"/>
          <w:szCs w:val="16"/>
        </w:rPr>
        <w:softHyphen/>
        <w:t>ралось шасси, мощность двигателей переводилась до нужной.</w:t>
      </w:r>
    </w:p>
    <w:p w14:paraId="14D4775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как предполагалось, что основная часть миссии будет проходить ночью, то экипажи летали по ночам и тре</w:t>
      </w:r>
      <w:r w:rsidRPr="008A2E5A">
        <w:rPr>
          <w:rFonts w:ascii="Times New Roman" w:hAnsi="Times New Roman"/>
          <w:color w:val="0070C0"/>
          <w:sz w:val="16"/>
          <w:szCs w:val="16"/>
        </w:rPr>
        <w:softHyphen/>
        <w:t>нировались в ночной навигации. Один самолет был повре</w:t>
      </w:r>
      <w:r w:rsidRPr="008A2E5A">
        <w:rPr>
          <w:rFonts w:ascii="Times New Roman" w:hAnsi="Times New Roman"/>
          <w:color w:val="0070C0"/>
          <w:sz w:val="16"/>
          <w:szCs w:val="16"/>
        </w:rPr>
        <w:softHyphen/>
        <w:t>жден в ходе одного из таких полетов.</w:t>
      </w:r>
    </w:p>
    <w:p w14:paraId="35F4314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Многие полеты проводились над морем, целью которых было обучение штурманов навигации над морем.</w:t>
      </w:r>
    </w:p>
    <w:p w14:paraId="741372B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как полет до цели предполагалось выполнять на низкой высоте, чтобы избежать обнаружения самолетов средствами ПВО, то летчики тренировались полетам на малой высоте, в том числе и над морем.</w:t>
      </w:r>
    </w:p>
    <w:p w14:paraId="2924D55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Стрелки тренировались обращаться с пулеметами, стреляя по неподвижным целям, установленным на окра</w:t>
      </w:r>
      <w:r w:rsidRPr="008A2E5A">
        <w:rPr>
          <w:rFonts w:ascii="Times New Roman" w:hAnsi="Times New Roman"/>
          <w:color w:val="0070C0"/>
          <w:sz w:val="16"/>
          <w:szCs w:val="16"/>
        </w:rPr>
        <w:softHyphen/>
        <w:t>ине аэродрома. Также проводились тренировки по учеб</w:t>
      </w:r>
      <w:r w:rsidRPr="008A2E5A">
        <w:rPr>
          <w:rFonts w:ascii="Times New Roman" w:hAnsi="Times New Roman"/>
          <w:color w:val="0070C0"/>
          <w:sz w:val="16"/>
          <w:szCs w:val="16"/>
        </w:rPr>
        <w:softHyphen/>
        <w:t xml:space="preserve">ному бомбометанию, в том числе и с низких высот, так как предполагалось, что полет </w:t>
      </w:r>
      <w:proofErr w:type="gramStart"/>
      <w:r w:rsidRPr="008A2E5A">
        <w:rPr>
          <w:rFonts w:ascii="Times New Roman" w:hAnsi="Times New Roman"/>
          <w:color w:val="0070C0"/>
          <w:sz w:val="16"/>
          <w:szCs w:val="16"/>
        </w:rPr>
        <w:t>к цели</w:t>
      </w:r>
      <w:proofErr w:type="gramEnd"/>
      <w:r w:rsidRPr="008A2E5A">
        <w:rPr>
          <w:rFonts w:ascii="Times New Roman" w:hAnsi="Times New Roman"/>
          <w:color w:val="0070C0"/>
          <w:sz w:val="16"/>
          <w:szCs w:val="16"/>
        </w:rPr>
        <w:t xml:space="preserve"> должен проходить на малой высоте и незадолго до выхода на цель само</w:t>
      </w:r>
      <w:r w:rsidRPr="008A2E5A">
        <w:rPr>
          <w:rFonts w:ascii="Times New Roman" w:hAnsi="Times New Roman"/>
          <w:color w:val="0070C0"/>
          <w:sz w:val="16"/>
          <w:szCs w:val="16"/>
        </w:rPr>
        <w:softHyphen/>
        <w:t>лет должен был подняться на высоту минимум 1500 фу</w:t>
      </w:r>
      <w:r w:rsidRPr="008A2E5A">
        <w:rPr>
          <w:rFonts w:ascii="Times New Roman" w:hAnsi="Times New Roman"/>
          <w:color w:val="0070C0"/>
          <w:sz w:val="16"/>
          <w:szCs w:val="16"/>
        </w:rPr>
        <w:softHyphen/>
        <w:t>тов. Эта высота была минимальной высотой для сброса 500-фунтовых бомб.</w:t>
      </w:r>
    </w:p>
    <w:p w14:paraId="05190BA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самолеты несли по четыре таких бомбы. Одиннад</w:t>
      </w:r>
      <w:r w:rsidRPr="008A2E5A">
        <w:rPr>
          <w:rFonts w:ascii="Times New Roman" w:hAnsi="Times New Roman"/>
          <w:color w:val="0070C0"/>
          <w:sz w:val="16"/>
          <w:szCs w:val="16"/>
        </w:rPr>
        <w:softHyphen/>
        <w:t>цать самолетов несли по три осколочно-фугасных бомбы и одну зажигательную. Пять самолетов несли четыре зажига</w:t>
      </w:r>
      <w:r w:rsidRPr="008A2E5A">
        <w:rPr>
          <w:rFonts w:ascii="Times New Roman" w:hAnsi="Times New Roman"/>
          <w:color w:val="0070C0"/>
          <w:sz w:val="16"/>
          <w:szCs w:val="16"/>
        </w:rPr>
        <w:softHyphen/>
        <w:t>тельные бомбы (23348).</w:t>
      </w:r>
    </w:p>
    <w:p w14:paraId="2CE0BD1E" w14:textId="77777777" w:rsidR="006E2015" w:rsidRPr="008A2E5A" w:rsidRDefault="006E2015" w:rsidP="006E2015">
      <w:pPr>
        <w:spacing w:after="0" w:line="240" w:lineRule="auto"/>
        <w:jc w:val="both"/>
        <w:rPr>
          <w:rFonts w:ascii="Times New Roman" w:hAnsi="Times New Roman"/>
          <w:color w:val="0070C0"/>
          <w:sz w:val="16"/>
          <w:szCs w:val="16"/>
        </w:rPr>
      </w:pPr>
    </w:p>
    <w:p w14:paraId="77D22C1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около Суматры погиб тяжелый крейсер "Эксетер" (15055).</w:t>
      </w:r>
    </w:p>
    <w:p w14:paraId="54F24994"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6DFDA57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крейсер Хьюстон, вместе с австралийским крейсером “Перт” при попытке вырваться из Яванского моря, в проливе Сунда столкнулись с превосходящими силами японцев и были потоплены артогнем и торпедами тяжелых крейсеров “Могами” и “Микума” (15055).</w:t>
      </w:r>
    </w:p>
    <w:p w14:paraId="36C23D0C"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54ACB56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в проливе Сумба японская эскадра потопила американский крейсер "Хюстон" и австралийский крейсер "Перт" (15055).</w:t>
      </w:r>
    </w:p>
    <w:p w14:paraId="00B8D5B1"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4DEA98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 1942 японцы высадились на Яве (2100).</w:t>
      </w:r>
    </w:p>
    <w:p w14:paraId="3BEA59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5A0DE"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марта</w:t>
      </w:r>
      <w:r w:rsidRPr="008127F8">
        <w:rPr>
          <w:rFonts w:ascii="Times New Roman" w:hAnsi="Times New Roman"/>
          <w:color w:val="000000" w:themeColor="text1"/>
          <w:sz w:val="16"/>
          <w:szCs w:val="16"/>
        </w:rPr>
        <w:t xml:space="preserve"> в 1942 году японская армия высадилась на острове Ява, к 10 марта остров был захвачен (15055).</w:t>
      </w:r>
    </w:p>
    <w:p w14:paraId="29791F9E"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26BEC85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0197B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308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года зам. начальника 7-го главного управления Алексеев писал письмо N 2068 Шахурину.</w:t>
      </w:r>
    </w:p>
    <w:p w14:paraId="5FBA01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Вашего задания</w:t>
      </w:r>
      <w:proofErr w:type="gramEnd"/>
      <w:r w:rsidRPr="008127F8">
        <w:rPr>
          <w:rFonts w:ascii="Times New Roman" w:hAnsi="Times New Roman"/>
          <w:color w:val="000000" w:themeColor="text1"/>
          <w:sz w:val="16"/>
          <w:szCs w:val="16"/>
        </w:rPr>
        <w:t xml:space="preserve"> представляю проектные данные дальнего бомбардировщика "102" конструкции Мясищева с двумя моторами М-120 с Т.К.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544"/>
        <w:gridCol w:w="3260"/>
      </w:tblGrid>
      <w:tr w:rsidR="006F4095" w:rsidRPr="008127F8" w14:paraId="52850970" w14:textId="77777777">
        <w:tc>
          <w:tcPr>
            <w:tcW w:w="3794" w:type="dxa"/>
            <w:tcBorders>
              <w:top w:val="single" w:sz="12" w:space="0" w:color="auto"/>
            </w:tcBorders>
          </w:tcPr>
          <w:p w14:paraId="7DE0FA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Характеристика</w:t>
            </w:r>
          </w:p>
        </w:tc>
        <w:tc>
          <w:tcPr>
            <w:tcW w:w="3544" w:type="dxa"/>
            <w:tcBorders>
              <w:top w:val="single" w:sz="12" w:space="0" w:color="auto"/>
            </w:tcBorders>
          </w:tcPr>
          <w:p w14:paraId="3B097B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Borders>
              <w:top w:val="single" w:sz="12" w:space="0" w:color="auto"/>
            </w:tcBorders>
          </w:tcPr>
          <w:p w14:paraId="75C646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w:t>
            </w:r>
          </w:p>
        </w:tc>
      </w:tr>
      <w:tr w:rsidR="006F4095" w:rsidRPr="008127F8" w14:paraId="5F00D191" w14:textId="77777777">
        <w:tc>
          <w:tcPr>
            <w:tcW w:w="3794" w:type="dxa"/>
          </w:tcPr>
          <w:p w14:paraId="54C7F0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мотора</w:t>
            </w:r>
          </w:p>
        </w:tc>
        <w:tc>
          <w:tcPr>
            <w:tcW w:w="3544" w:type="dxa"/>
          </w:tcPr>
          <w:p w14:paraId="1562E8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w:t>
            </w:r>
          </w:p>
        </w:tc>
        <w:tc>
          <w:tcPr>
            <w:tcW w:w="3260" w:type="dxa"/>
          </w:tcPr>
          <w:p w14:paraId="0E72A3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 л.с.</w:t>
            </w:r>
          </w:p>
        </w:tc>
      </w:tr>
      <w:tr w:rsidR="006F4095" w:rsidRPr="008127F8" w14:paraId="10A1E341" w14:textId="77777777">
        <w:tc>
          <w:tcPr>
            <w:tcW w:w="3794" w:type="dxa"/>
          </w:tcPr>
          <w:p w14:paraId="3D7499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D25CD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3000 м</w:t>
            </w:r>
          </w:p>
        </w:tc>
        <w:tc>
          <w:tcPr>
            <w:tcW w:w="3260" w:type="dxa"/>
          </w:tcPr>
          <w:p w14:paraId="6E5366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л.с.</w:t>
            </w:r>
          </w:p>
        </w:tc>
      </w:tr>
      <w:tr w:rsidR="006F4095" w:rsidRPr="008127F8" w14:paraId="65CFFCEF" w14:textId="77777777">
        <w:tc>
          <w:tcPr>
            <w:tcW w:w="3794" w:type="dxa"/>
          </w:tcPr>
          <w:p w14:paraId="2D9800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B4762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w:t>
            </w:r>
          </w:p>
        </w:tc>
        <w:tc>
          <w:tcPr>
            <w:tcW w:w="3260" w:type="dxa"/>
          </w:tcPr>
          <w:p w14:paraId="3CA01E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r>
      <w:tr w:rsidR="006F4095" w:rsidRPr="008127F8" w14:paraId="0623376E" w14:textId="77777777">
        <w:tc>
          <w:tcPr>
            <w:tcW w:w="3794" w:type="dxa"/>
          </w:tcPr>
          <w:p w14:paraId="772740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7E458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Т.К. -"- 10000 м</w:t>
            </w:r>
          </w:p>
        </w:tc>
        <w:tc>
          <w:tcPr>
            <w:tcW w:w="3260" w:type="dxa"/>
          </w:tcPr>
          <w:p w14:paraId="4E1E94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1420 л.с.</w:t>
            </w:r>
          </w:p>
        </w:tc>
      </w:tr>
      <w:tr w:rsidR="006F4095" w:rsidRPr="008127F8" w14:paraId="0DE7CF04" w14:textId="77777777">
        <w:tc>
          <w:tcPr>
            <w:tcW w:w="3794" w:type="dxa"/>
          </w:tcPr>
          <w:p w14:paraId="101235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w:t>
            </w:r>
          </w:p>
        </w:tc>
        <w:tc>
          <w:tcPr>
            <w:tcW w:w="3544" w:type="dxa"/>
          </w:tcPr>
          <w:p w14:paraId="25AD88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нормальный</w:t>
            </w:r>
          </w:p>
        </w:tc>
        <w:tc>
          <w:tcPr>
            <w:tcW w:w="3260" w:type="dxa"/>
          </w:tcPr>
          <w:p w14:paraId="0D5841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15000 кг</w:t>
            </w:r>
          </w:p>
        </w:tc>
      </w:tr>
      <w:tr w:rsidR="006F4095" w:rsidRPr="008127F8" w14:paraId="15F43ED4" w14:textId="77777777">
        <w:tc>
          <w:tcPr>
            <w:tcW w:w="3794" w:type="dxa"/>
          </w:tcPr>
          <w:p w14:paraId="10FD92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6AFBBE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перегрузкой</w:t>
            </w:r>
          </w:p>
        </w:tc>
        <w:tc>
          <w:tcPr>
            <w:tcW w:w="3260" w:type="dxa"/>
          </w:tcPr>
          <w:p w14:paraId="56BFC4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16200 кг</w:t>
            </w:r>
          </w:p>
        </w:tc>
      </w:tr>
      <w:tr w:rsidR="006F4095" w:rsidRPr="008127F8" w14:paraId="0E6487C5" w14:textId="77777777">
        <w:tc>
          <w:tcPr>
            <w:tcW w:w="3794" w:type="dxa"/>
          </w:tcPr>
          <w:p w14:paraId="561B11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крыло при нормальном</w:t>
            </w:r>
          </w:p>
        </w:tc>
        <w:tc>
          <w:tcPr>
            <w:tcW w:w="3544" w:type="dxa"/>
          </w:tcPr>
          <w:p w14:paraId="677EF8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D0EDD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4D2F21" w14:textId="77777777">
        <w:tc>
          <w:tcPr>
            <w:tcW w:w="3794" w:type="dxa"/>
          </w:tcPr>
          <w:p w14:paraId="41B94C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полетном весе</w:t>
            </w:r>
          </w:p>
        </w:tc>
        <w:tc>
          <w:tcPr>
            <w:tcW w:w="3544" w:type="dxa"/>
          </w:tcPr>
          <w:p w14:paraId="7CBEBC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C5DA9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 кг/м кв.</w:t>
            </w:r>
          </w:p>
        </w:tc>
      </w:tr>
      <w:tr w:rsidR="006F4095" w:rsidRPr="008127F8" w14:paraId="4739A93F" w14:textId="77777777">
        <w:tc>
          <w:tcPr>
            <w:tcW w:w="3794" w:type="dxa"/>
          </w:tcPr>
          <w:p w14:paraId="5C1608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w:t>
            </w:r>
          </w:p>
        </w:tc>
        <w:tc>
          <w:tcPr>
            <w:tcW w:w="3544" w:type="dxa"/>
          </w:tcPr>
          <w:p w14:paraId="544215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642AE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460-480 км/час</w:t>
            </w:r>
          </w:p>
        </w:tc>
      </w:tr>
      <w:tr w:rsidR="006F4095" w:rsidRPr="008127F8" w14:paraId="0A6591BD" w14:textId="77777777">
        <w:tc>
          <w:tcPr>
            <w:tcW w:w="3794" w:type="dxa"/>
          </w:tcPr>
          <w:p w14:paraId="0A1EB2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56B29F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10000 м</w:t>
            </w:r>
          </w:p>
        </w:tc>
        <w:tc>
          <w:tcPr>
            <w:tcW w:w="3260" w:type="dxa"/>
          </w:tcPr>
          <w:p w14:paraId="1D9C25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 км/час</w:t>
            </w:r>
          </w:p>
        </w:tc>
      </w:tr>
      <w:tr w:rsidR="006F4095" w:rsidRPr="008127F8" w14:paraId="26F5DBB1" w14:textId="77777777">
        <w:tc>
          <w:tcPr>
            <w:tcW w:w="3794" w:type="dxa"/>
          </w:tcPr>
          <w:p w14:paraId="7594BC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 с закрылками</w:t>
            </w:r>
          </w:p>
        </w:tc>
        <w:tc>
          <w:tcPr>
            <w:tcW w:w="3544" w:type="dxa"/>
          </w:tcPr>
          <w:p w14:paraId="6604E7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653B17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 км/час</w:t>
            </w:r>
          </w:p>
        </w:tc>
      </w:tr>
      <w:tr w:rsidR="006F4095" w:rsidRPr="008127F8" w14:paraId="51B9AAE1" w14:textId="77777777">
        <w:tc>
          <w:tcPr>
            <w:tcW w:w="3794" w:type="dxa"/>
          </w:tcPr>
          <w:p w14:paraId="40F9D8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4BFF70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без закрылок</w:t>
            </w:r>
            <w:proofErr w:type="gramEnd"/>
          </w:p>
        </w:tc>
        <w:tc>
          <w:tcPr>
            <w:tcW w:w="3260" w:type="dxa"/>
          </w:tcPr>
          <w:p w14:paraId="2183A0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 км/час</w:t>
            </w:r>
          </w:p>
        </w:tc>
      </w:tr>
      <w:tr w:rsidR="006F4095" w:rsidRPr="008127F8" w14:paraId="44FD9C59" w14:textId="77777777">
        <w:tc>
          <w:tcPr>
            <w:tcW w:w="3794" w:type="dxa"/>
          </w:tcPr>
          <w:p w14:paraId="5ADD53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практический</w:t>
            </w:r>
          </w:p>
        </w:tc>
        <w:tc>
          <w:tcPr>
            <w:tcW w:w="3544" w:type="dxa"/>
          </w:tcPr>
          <w:p w14:paraId="77CAE7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E14F4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11400 м</w:t>
            </w:r>
          </w:p>
        </w:tc>
      </w:tr>
      <w:tr w:rsidR="006F4095" w:rsidRPr="008127F8" w14:paraId="5D257E60" w14:textId="77777777">
        <w:tc>
          <w:tcPr>
            <w:tcW w:w="3794" w:type="dxa"/>
          </w:tcPr>
          <w:p w14:paraId="5063EA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на 0,8 максим. скорости</w:t>
            </w:r>
          </w:p>
        </w:tc>
        <w:tc>
          <w:tcPr>
            <w:tcW w:w="3544" w:type="dxa"/>
          </w:tcPr>
          <w:p w14:paraId="241BDD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C0C40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 км</w:t>
            </w:r>
          </w:p>
        </w:tc>
      </w:tr>
      <w:tr w:rsidR="006F4095" w:rsidRPr="008127F8" w14:paraId="398638A4" w14:textId="77777777">
        <w:tc>
          <w:tcPr>
            <w:tcW w:w="3794" w:type="dxa"/>
          </w:tcPr>
          <w:p w14:paraId="026E14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w:t>
            </w:r>
          </w:p>
        </w:tc>
        <w:tc>
          <w:tcPr>
            <w:tcW w:w="3544" w:type="dxa"/>
          </w:tcPr>
          <w:p w14:paraId="5419F9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закрылками</w:t>
            </w:r>
          </w:p>
        </w:tc>
        <w:tc>
          <w:tcPr>
            <w:tcW w:w="3260" w:type="dxa"/>
          </w:tcPr>
          <w:p w14:paraId="037BA5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575 м</w:t>
            </w:r>
          </w:p>
        </w:tc>
      </w:tr>
      <w:tr w:rsidR="006F4095" w:rsidRPr="008127F8" w14:paraId="30D19652" w14:textId="77777777">
        <w:tc>
          <w:tcPr>
            <w:tcW w:w="3794" w:type="dxa"/>
          </w:tcPr>
          <w:p w14:paraId="6D37B0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0C7E4F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без закрылок</w:t>
            </w:r>
            <w:proofErr w:type="gramEnd"/>
          </w:p>
        </w:tc>
        <w:tc>
          <w:tcPr>
            <w:tcW w:w="3260" w:type="dxa"/>
          </w:tcPr>
          <w:p w14:paraId="64BC8F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 м</w:t>
            </w:r>
          </w:p>
        </w:tc>
      </w:tr>
      <w:tr w:rsidR="006F4095" w:rsidRPr="008127F8" w14:paraId="5AE99B8F" w14:textId="77777777">
        <w:tc>
          <w:tcPr>
            <w:tcW w:w="3794" w:type="dxa"/>
          </w:tcPr>
          <w:p w14:paraId="7380A7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w:t>
            </w:r>
          </w:p>
        </w:tc>
        <w:tc>
          <w:tcPr>
            <w:tcW w:w="3544" w:type="dxa"/>
          </w:tcPr>
          <w:p w14:paraId="29A5A5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3260" w:type="dxa"/>
          </w:tcPr>
          <w:p w14:paraId="52BA94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A4CE9D" w14:textId="77777777">
        <w:tc>
          <w:tcPr>
            <w:tcW w:w="3794" w:type="dxa"/>
          </w:tcPr>
          <w:p w14:paraId="4F01A8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0DBA35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12,7 мм</w:t>
            </w:r>
          </w:p>
        </w:tc>
        <w:tc>
          <w:tcPr>
            <w:tcW w:w="3260" w:type="dxa"/>
          </w:tcPr>
          <w:p w14:paraId="3BAD2D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B1C341" w14:textId="77777777">
        <w:tc>
          <w:tcPr>
            <w:tcW w:w="3794" w:type="dxa"/>
          </w:tcPr>
          <w:p w14:paraId="369746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648825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2 -"-7,62 мм</w:t>
            </w:r>
          </w:p>
        </w:tc>
        <w:tc>
          <w:tcPr>
            <w:tcW w:w="3260" w:type="dxa"/>
          </w:tcPr>
          <w:p w14:paraId="561167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02EF42" w14:textId="77777777">
        <w:tc>
          <w:tcPr>
            <w:tcW w:w="3794" w:type="dxa"/>
          </w:tcPr>
          <w:p w14:paraId="629C94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2C0307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3260" w:type="dxa"/>
          </w:tcPr>
          <w:p w14:paraId="0B5207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F4EB4F0" w14:textId="77777777">
        <w:tc>
          <w:tcPr>
            <w:tcW w:w="3794" w:type="dxa"/>
          </w:tcPr>
          <w:p w14:paraId="3CA1AD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2184A2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7,62 мм</w:t>
            </w:r>
          </w:p>
        </w:tc>
        <w:tc>
          <w:tcPr>
            <w:tcW w:w="3260" w:type="dxa"/>
          </w:tcPr>
          <w:p w14:paraId="785426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023975" w14:textId="77777777">
        <w:tc>
          <w:tcPr>
            <w:tcW w:w="3794" w:type="dxa"/>
          </w:tcPr>
          <w:p w14:paraId="198027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3544" w:type="dxa"/>
          </w:tcPr>
          <w:p w14:paraId="648AF5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w:t>
            </w:r>
          </w:p>
        </w:tc>
        <w:tc>
          <w:tcPr>
            <w:tcW w:w="3260" w:type="dxa"/>
          </w:tcPr>
          <w:p w14:paraId="420161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кг</w:t>
            </w:r>
          </w:p>
        </w:tc>
      </w:tr>
      <w:tr w:rsidR="006F4095" w:rsidRPr="008127F8" w14:paraId="1FAA275D" w14:textId="77777777">
        <w:tc>
          <w:tcPr>
            <w:tcW w:w="3794" w:type="dxa"/>
          </w:tcPr>
          <w:p w14:paraId="52630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C3EB6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перегрузкой</w:t>
            </w:r>
          </w:p>
        </w:tc>
        <w:tc>
          <w:tcPr>
            <w:tcW w:w="3260" w:type="dxa"/>
          </w:tcPr>
          <w:p w14:paraId="4CF64B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кг</w:t>
            </w:r>
          </w:p>
        </w:tc>
      </w:tr>
      <w:tr w:rsidR="006F4095" w:rsidRPr="008127F8" w14:paraId="39E6CD3C" w14:textId="77777777">
        <w:tc>
          <w:tcPr>
            <w:tcW w:w="3794" w:type="dxa"/>
          </w:tcPr>
          <w:p w14:paraId="5DB4D5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w:t>
            </w:r>
          </w:p>
        </w:tc>
        <w:tc>
          <w:tcPr>
            <w:tcW w:w="3544" w:type="dxa"/>
          </w:tcPr>
          <w:p w14:paraId="7D5C66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CD030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 м</w:t>
            </w:r>
          </w:p>
        </w:tc>
      </w:tr>
      <w:tr w:rsidR="006F4095" w:rsidRPr="008127F8" w14:paraId="1C0F685A" w14:textId="77777777">
        <w:tc>
          <w:tcPr>
            <w:tcW w:w="3794" w:type="dxa"/>
            <w:tcBorders>
              <w:bottom w:val="single" w:sz="12" w:space="0" w:color="auto"/>
            </w:tcBorders>
          </w:tcPr>
          <w:p w14:paraId="665C3F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Расчетный коэффициент перегрузки</w:t>
            </w:r>
          </w:p>
        </w:tc>
        <w:tc>
          <w:tcPr>
            <w:tcW w:w="3544" w:type="dxa"/>
            <w:tcBorders>
              <w:bottom w:val="single" w:sz="12" w:space="0" w:color="auto"/>
            </w:tcBorders>
          </w:tcPr>
          <w:p w14:paraId="7BFC0C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Borders>
              <w:bottom w:val="single" w:sz="12" w:space="0" w:color="auto"/>
            </w:tcBorders>
          </w:tcPr>
          <w:p w14:paraId="0F787A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7,125</w:t>
            </w:r>
          </w:p>
        </w:tc>
      </w:tr>
    </w:tbl>
    <w:p w14:paraId="162311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"102" - моноплан с высокорасположенным крылом, моноблочной конструкции с кессонами для горючего. Имеет 3-х колесное шасси, убирающиеся в полете. Профиль крыла "ЦАГИ-ББС" (1684,68).</w:t>
      </w:r>
    </w:p>
    <w:p w14:paraId="5A5A76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A74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1363 План и график производства самолетов и авиационных моторов в марте месяце 1942 года. РГАНИР, Фонд ГКО, д. 23, лл. 1-2, 3-4 (11012).</w:t>
      </w:r>
    </w:p>
    <w:p w14:paraId="03DF68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473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г. в соответствии с пост. ГКО № 4367с и приказом № 177с от 8.03.1942г. институт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21B593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608сс от 8.08.1942г.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15.12.1942г.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4DE478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50E766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584AAE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441035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3CDE51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37FA5E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1944г. создан универсальный регулятор температуры авиамоторов УРТ-НИСО.</w:t>
      </w:r>
    </w:p>
    <w:p w14:paraId="1B1B2B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8127F8">
        <w:rPr>
          <w:rFonts w:ascii="Times New Roman" w:hAnsi="Times New Roman"/>
          <w:color w:val="000000" w:themeColor="text1"/>
          <w:sz w:val="16"/>
          <w:szCs w:val="16"/>
          <w:lang w:val="en-US"/>
        </w:rPr>
        <w:t>PJI</w:t>
      </w:r>
      <w:r w:rsidRPr="008127F8">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7C596B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0D74C2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1955г. НИСО передан из 7ГУ в 11ГУ МАП.</w:t>
      </w:r>
    </w:p>
    <w:p w14:paraId="5367ED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Воссоздан в 1982г</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как НИИАО (авиационного оборудования) из филиала ЛИИ.</w:t>
      </w:r>
    </w:p>
    <w:p w14:paraId="551984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электрооборудованию для РКТ.</w:t>
      </w:r>
    </w:p>
    <w:p w14:paraId="4EF60A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500CA3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(1955г.)- Н.Д. Рязанцев.</w:t>
      </w:r>
    </w:p>
    <w:p w14:paraId="0FDBA5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(1930-е)- Г.А. Левин, (1947г.-)- Н.Д. Рязанцев.</w:t>
      </w:r>
    </w:p>
    <w:p w14:paraId="787737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ОКБ - А.С. Абрамов.</w:t>
      </w:r>
    </w:p>
    <w:p w14:paraId="10905B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сектора (-1937г.)- Л.М. Кофман (11982).</w:t>
      </w:r>
    </w:p>
    <w:p w14:paraId="0D0FA3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E6C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1371 Об организации второй базы по изготовлению 23 мм авиационных пушек конструкции Волкова-Ярцева. РГАНИР, Фонд ГКО, д. 23, лл. 18-19 (11012).</w:t>
      </w:r>
    </w:p>
    <w:p w14:paraId="74C861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42F4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6A584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EBB67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г. был подготовлен ДОКЛАД КОМАНДОВАНИЯ ВОЕННО-МОРСКОЙ АКАДЕМИИ ЗАМЕСТИТЕЛЮ НАРКОМА ВМФ О ПРИСПОСОБЛЕНИИ ТАНКА ДЛЯ ДВИЖЕНИЯ ПО ГРУНТУ ВОДНОГО РУБЕЖА</w:t>
      </w:r>
    </w:p>
    <w:p w14:paraId="0BC434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Астрахань</w:t>
      </w:r>
    </w:p>
    <w:p w14:paraId="01238A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Кафедра двигателей внутреннего горения Военно-морской академии им. Ворошилова раз</w:t>
      </w:r>
      <w:r w:rsidRPr="008127F8">
        <w:rPr>
          <w:rFonts w:ascii="Times New Roman" w:hAnsi="Times New Roman"/>
          <w:color w:val="000000" w:themeColor="text1"/>
          <w:sz w:val="16"/>
          <w:szCs w:val="16"/>
        </w:rPr>
        <w:softHyphen/>
        <w:t>работала схему приспособления танка для автономного движения его по грунту водного рубе</w:t>
      </w:r>
      <w:r w:rsidRPr="008127F8">
        <w:rPr>
          <w:rFonts w:ascii="Times New Roman" w:hAnsi="Times New Roman"/>
          <w:color w:val="000000" w:themeColor="text1"/>
          <w:sz w:val="16"/>
          <w:szCs w:val="16"/>
        </w:rPr>
        <w:softHyphen/>
        <w:t>жа. Схема конструктивно проста, не требует каких-либо переделок двигателя, может быстро (приблизительно в течение часа) устанавливаться на танк перед операцией по преодолению водной преграды и позволяет переключать двигатель на подводное положение и обратно на хо</w:t>
      </w:r>
      <w:r w:rsidRPr="008127F8">
        <w:rPr>
          <w:rFonts w:ascii="Times New Roman" w:hAnsi="Times New Roman"/>
          <w:color w:val="000000" w:themeColor="text1"/>
          <w:sz w:val="16"/>
          <w:szCs w:val="16"/>
        </w:rPr>
        <w:softHyphen/>
        <w:t>ду машины. Такое устройство может получить любой танк, имеющий двигатель с водяным ох</w:t>
      </w:r>
      <w:r w:rsidRPr="008127F8">
        <w:rPr>
          <w:rFonts w:ascii="Times New Roman" w:hAnsi="Times New Roman"/>
          <w:color w:val="000000" w:themeColor="text1"/>
          <w:sz w:val="16"/>
          <w:szCs w:val="16"/>
        </w:rPr>
        <w:softHyphen/>
        <w:t>лаждением.</w:t>
      </w:r>
    </w:p>
    <w:p w14:paraId="4B847E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показали расчеты, танк Т-34 при наличии 4 нормальных (40 л) баллонов с кислородом будет иметь возможность двигаться на горизонтальном участке под водой со скоростью до 7 км/ч, на глу</w:t>
      </w:r>
      <w:r w:rsidRPr="008127F8">
        <w:rPr>
          <w:rFonts w:ascii="Times New Roman" w:hAnsi="Times New Roman"/>
          <w:color w:val="000000" w:themeColor="text1"/>
          <w:sz w:val="16"/>
          <w:szCs w:val="16"/>
        </w:rPr>
        <w:softHyphen/>
        <w:t>бине до 25 метров в течение 30 минут.</w:t>
      </w:r>
    </w:p>
    <w:p w14:paraId="3505452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Предварительные эксперименты показали, что двигатель этого танка обеспечит движение при глубинах до 25 метров без нарушения его динамики.</w:t>
      </w:r>
    </w:p>
    <w:p w14:paraId="263BAB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Результаты расчетов и экспериментов кафедры были рассмотрены на объединенном за</w:t>
      </w:r>
      <w:r w:rsidRPr="008127F8">
        <w:rPr>
          <w:rFonts w:ascii="Times New Roman" w:hAnsi="Times New Roman"/>
          <w:color w:val="000000" w:themeColor="text1"/>
          <w:sz w:val="16"/>
          <w:szCs w:val="16"/>
        </w:rPr>
        <w:softHyphen/>
        <w:t>седании специалистов Военно-морской академии управления кораблестроения г. Астрахани и бронетанковой ремонтной базы № 7. Здесь было признано, что предложенное решение за</w:t>
      </w:r>
      <w:r w:rsidRPr="008127F8">
        <w:rPr>
          <w:rFonts w:ascii="Times New Roman" w:hAnsi="Times New Roman"/>
          <w:color w:val="000000" w:themeColor="text1"/>
          <w:sz w:val="16"/>
          <w:szCs w:val="16"/>
        </w:rPr>
        <w:softHyphen/>
        <w:t>дачи о танке, движущемся автономно под водой, является удачным и что необходимо прове</w:t>
      </w:r>
      <w:r w:rsidRPr="008127F8">
        <w:rPr>
          <w:rFonts w:ascii="Times New Roman" w:hAnsi="Times New Roman"/>
          <w:color w:val="000000" w:themeColor="text1"/>
          <w:sz w:val="16"/>
          <w:szCs w:val="16"/>
        </w:rPr>
        <w:softHyphen/>
        <w:t>сти обстоятельные эксперименты по двигателю и разработать вопрос о герметичности кор</w:t>
      </w:r>
      <w:r w:rsidRPr="008127F8">
        <w:rPr>
          <w:rFonts w:ascii="Times New Roman" w:hAnsi="Times New Roman"/>
          <w:color w:val="000000" w:themeColor="text1"/>
          <w:sz w:val="16"/>
          <w:szCs w:val="16"/>
        </w:rPr>
        <w:softHyphen/>
        <w:t>пуса. При этом была подчеркнута важность и срочность данной исследовательской работы для фронта.</w:t>
      </w:r>
    </w:p>
    <w:p w14:paraId="5A3B03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вышеизложенным прошу Вас выяснить у заместителя народного комиссара обороны генерал-лейтенанта т. Федоренко, насколько актуально сейчас выдвинутое кафедрой предложение.</w:t>
      </w:r>
    </w:p>
    <w:p w14:paraId="25054D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подтверждения важности этого вопроса и необходимости провести опыты прошу хода</w:t>
      </w:r>
      <w:r w:rsidRPr="008127F8">
        <w:rPr>
          <w:rFonts w:ascii="Times New Roman" w:hAnsi="Times New Roman"/>
          <w:color w:val="000000" w:themeColor="text1"/>
          <w:sz w:val="16"/>
          <w:szCs w:val="16"/>
        </w:rPr>
        <w:softHyphen/>
        <w:t>тайствовать перед наркомом обороны о следующем:</w:t>
      </w:r>
    </w:p>
    <w:p w14:paraId="578400A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Передать бронетанковой рембазе № 7, находящейся в ведении командования Юго-Западного фронта, отсутствующий в рембазе танк Т-34 и дополнительно к нему двигатель В-2 и чертежи корпу</w:t>
      </w:r>
      <w:r w:rsidRPr="008127F8">
        <w:rPr>
          <w:rFonts w:ascii="Times New Roman" w:hAnsi="Times New Roman"/>
          <w:color w:val="000000" w:themeColor="text1"/>
          <w:sz w:val="16"/>
          <w:szCs w:val="16"/>
        </w:rPr>
        <w:softHyphen/>
        <w:t>са Т-34 для проведения необходимых экспериментов.</w:t>
      </w:r>
    </w:p>
    <w:p w14:paraId="7E1930C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Указать рембазе № 7 средства и сроки экспериментальных работ, уточнив при этом, какую техническую характеристику должен иметь Т-34 при движении под водой.</w:t>
      </w:r>
    </w:p>
    <w:p w14:paraId="2771FC2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3. Разрешить Военно-морской академии ставить на выделенных объектах неограниченные с технической стороны эксперименты, вплоть до таких, которые будут связаны с полным износом двигателя.</w:t>
      </w:r>
    </w:p>
    <w:p w14:paraId="5AE3D3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ускорения экспериментальных работ в случае положительной оценки предложения прошу Вашего ходатайства перед Наркоматом обороны все последующие распоряжения передавать теле</w:t>
      </w:r>
      <w:r w:rsidRPr="008127F8">
        <w:rPr>
          <w:rFonts w:ascii="Times New Roman" w:hAnsi="Times New Roman"/>
          <w:color w:val="000000" w:themeColor="text1"/>
          <w:sz w:val="16"/>
          <w:szCs w:val="16"/>
        </w:rPr>
        <w:softHyphen/>
        <w:t>графно.</w:t>
      </w:r>
    </w:p>
    <w:p w14:paraId="713262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Инженер-капитан 1 ранга Штейнберг</w:t>
      </w:r>
    </w:p>
    <w:p w14:paraId="34FA806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Военком академии военный комиссар Игнатьев</w:t>
      </w:r>
    </w:p>
    <w:p w14:paraId="091DB6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935. Л. 71 с об. Подлинник (11211).</w:t>
      </w:r>
    </w:p>
    <w:p w14:paraId="53DD21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D62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г. была получена ЗАЯВКА В ГАБТУ НА ВЫДАЧУ АВТОМОТОТЕХНИКИ 33 НИИ ВВС ДЛЯ ПРОВЕДЕНИЯ ИСПЫТАНИЙ</w:t>
      </w:r>
    </w:p>
    <w:p w14:paraId="305CBAA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распоряжения о выдаче двух мотоциклов типа М-72 1-й категории и одной авто</w:t>
      </w:r>
      <w:r w:rsidRPr="008127F8">
        <w:rPr>
          <w:rFonts w:ascii="Times New Roman" w:hAnsi="Times New Roman"/>
          <w:color w:val="000000" w:themeColor="text1"/>
          <w:sz w:val="16"/>
          <w:szCs w:val="16"/>
        </w:rPr>
        <w:softHyphen/>
        <w:t>машины типа ГАЗ-64 (Пигмей) 1-й категории НИИ ВВС Красной Армии, необходимых для изготов</w:t>
      </w:r>
      <w:r w:rsidRPr="008127F8">
        <w:rPr>
          <w:rFonts w:ascii="Times New Roman" w:hAnsi="Times New Roman"/>
          <w:color w:val="000000" w:themeColor="text1"/>
          <w:sz w:val="16"/>
          <w:szCs w:val="16"/>
        </w:rPr>
        <w:softHyphen/>
        <w:t>ления парашютных подвесок к ним и проведения заводских и государственных испытаний по сбра</w:t>
      </w:r>
      <w:r w:rsidRPr="008127F8">
        <w:rPr>
          <w:rFonts w:ascii="Times New Roman" w:hAnsi="Times New Roman"/>
          <w:color w:val="000000" w:themeColor="text1"/>
          <w:sz w:val="16"/>
          <w:szCs w:val="16"/>
        </w:rPr>
        <w:softHyphen/>
        <w:t>сыванию этих машин с самолетов на парашютах.</w:t>
      </w:r>
    </w:p>
    <w:p w14:paraId="7070A1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парашютных подвесок мотоциклов типа АМ-600 прекращено в связи с прекраще</w:t>
      </w:r>
      <w:r w:rsidRPr="008127F8">
        <w:rPr>
          <w:rFonts w:ascii="Times New Roman" w:hAnsi="Times New Roman"/>
          <w:color w:val="000000" w:themeColor="text1"/>
          <w:sz w:val="16"/>
          <w:szCs w:val="16"/>
        </w:rPr>
        <w:softHyphen/>
        <w:t>нием изготовления этих мотоциклов.</w:t>
      </w:r>
    </w:p>
    <w:p w14:paraId="2BF49F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Означенные машины занарядить по адресу: г. Свердловск, Стахановская ул. 33 НИИ ВВС Крас</w:t>
      </w:r>
      <w:r w:rsidRPr="008127F8">
        <w:rPr>
          <w:rFonts w:ascii="Times New Roman" w:hAnsi="Times New Roman"/>
          <w:color w:val="000000" w:themeColor="text1"/>
          <w:sz w:val="16"/>
          <w:szCs w:val="16"/>
        </w:rPr>
        <w:softHyphen/>
        <w:t>ной Армии.</w:t>
      </w:r>
    </w:p>
    <w:p w14:paraId="629637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ГУ ВВС Красной Армии бригинженер Лешуков</w:t>
      </w:r>
    </w:p>
    <w:p w14:paraId="37EC52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ГУ ВВС Красной Армии бригадный комиссар Руденко</w:t>
      </w:r>
    </w:p>
    <w:p w14:paraId="00286B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118. Л. 118. Подлинник (11211).</w:t>
      </w:r>
    </w:p>
    <w:p w14:paraId="29BE68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FD7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1360 О плане производства и поставок артиллерийского и стрелкового вооружения и военных приборов на март месяц 1942 г. РГАНИР, Фонд ГКО, д. 22, лл. 72-82 (11012).</w:t>
      </w:r>
    </w:p>
    <w:p w14:paraId="42AA06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E3B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марта 1942 вышло Постановление ГКО № 1361 О плане производства минометов на март месяц 1942 года. РГАНИР, Фонд ГКО, д. 22, лл. 83-91 (11012).</w:t>
      </w:r>
    </w:p>
    <w:p w14:paraId="75C655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D45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1362 О плане производства боеприпасов на март месяц 1942 года. РГАНИР, Фонд ГКО, д. 22, лл. 92-102, 103-211 (11012).</w:t>
      </w:r>
    </w:p>
    <w:p w14:paraId="61F26D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E6B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1364 О производстве листов и лент из цветных сплавов на заводе № 519 Наркомцветмета. в марте месяце 1942 г. РГАНИР, Фонд ГКО, д. 23, лл. 5-9, 10 (11012).</w:t>
      </w:r>
    </w:p>
    <w:p w14:paraId="3D498F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0B3F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1365 О возврате в Москву кабельного оборудования завода № 198 НКЭП. РГАНИР, Фонд ГКО, д. 23, лл. 11 (11012).</w:t>
      </w:r>
    </w:p>
    <w:p w14:paraId="2C9043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78A2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1366 О переводе в Москву центрального аппарата Наркомата текстильной промышленности. РГАНИР, Фонд ГКО, д. 23, лл. 12 (11012).</w:t>
      </w:r>
    </w:p>
    <w:p w14:paraId="6FF2FE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E3AC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1367 О возврате из г. Ульяновска в г. Москву станочного и лабораторного оборудования и работников НИИ-12. (7024, 13).</w:t>
      </w:r>
    </w:p>
    <w:p w14:paraId="1AC0CBA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5212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1368 О возврате эвакуированного оборудования НКздрава СССР, НКЛП СССР и НКлеса СССР. РГАНИР, Фонд ГКО, д. 23, лл. 14, 15 (11012).</w:t>
      </w:r>
    </w:p>
    <w:p w14:paraId="749D69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0B2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1369 О возврате в Москву эвакуированного оборудования завода "Динамо". РГАНИР, Фонд ГКО, д. 23, лл. 16 (11012).</w:t>
      </w:r>
    </w:p>
    <w:p w14:paraId="2820B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97F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г. вышло постановление ГКО № 1369 о возврате эвакуированного оборудования завода «Динамо» в Москву. Завод «Динамо» восстановлен после войны, был в 1975 г.</w:t>
      </w:r>
    </w:p>
    <w:p w14:paraId="3229FF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была изготовлена электромеханическая трансмиссия для опытного тяжелого танка ИС-6. В 04.1945 г. работы по опытным образцам электротрансмиссий тяжелых танков продолжались.</w:t>
      </w:r>
    </w:p>
    <w:p w14:paraId="104890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 АЭК «Динамо». В составе АЭК - ВНИИПКТИ Кранового и тягового электрооборудования (ВНИПТИ АЭК «Динамо»).</w:t>
      </w:r>
    </w:p>
    <w:p w14:paraId="4AE058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(1940-41 г.)- И. Г. Кабанов, (07.1942 г.)- Бриль, (1955-56 г.)- С.В. Скориков.</w:t>
      </w:r>
    </w:p>
    <w:p w14:paraId="1BA8AB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(-1940 г.)- И. Г. Кабанов.</w:t>
      </w:r>
    </w:p>
    <w:p w14:paraId="30D7E1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тяговых моторов (1932 г.-)- И. Г. Кабанов.</w:t>
      </w:r>
    </w:p>
    <w:p w14:paraId="650560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технического (-1937 г.)- И. Г. Кабанов.</w:t>
      </w:r>
    </w:p>
    <w:p w14:paraId="1A4C6F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ЦЗЛ (1930-е)- И. Г. Кабанов.</w:t>
      </w:r>
    </w:p>
    <w:p w14:paraId="015B48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центробежные помпы и электродвигатели рулевых приводов для ПЛ (1916); вагоны для метро (1934); индукционная катушка для речной мины «Ремин» (1939); детали для минометов (1942).</w:t>
      </w:r>
    </w:p>
    <w:p w14:paraId="260B17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ВНИИПКТИ Кранового и тягового электрооборудования (ВНИПТИ АЭК «Динамо») /г. Москва ул. Мастеркова, 4 тел. 275-61-66/</w:t>
      </w:r>
    </w:p>
    <w:p w14:paraId="129364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(2000 г.)- Ю.И. Фельдман (11982).</w:t>
      </w:r>
    </w:p>
    <w:p w14:paraId="3B8A07C5" w14:textId="77777777" w:rsidR="007216D1" w:rsidRPr="008127F8" w:rsidRDefault="007216D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8D4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1370 О возврате на Шахтинскую ГРЭС им.Артема турбогенератора № 3 и котлов № 9 и 10. РГАНИР, Фонд ГКО, д. 23, лл. 17 (11012).</w:t>
      </w:r>
    </w:p>
    <w:p w14:paraId="1FD3F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2B5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1372 Об изготовлении на Московском инструментальном заводе крешерных приборов и столбиков. РГАНИР, Фонд ГКО, д. 23, лл. 20, 21-22 (11012).</w:t>
      </w:r>
    </w:p>
    <w:p w14:paraId="3A0946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CC3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1373 О строительстве установок для производства жидкого кислорода по методу академика Капица П.Л. РГАНИР, Фонд ГКО, д. 23, лл. 23-24 (11012).</w:t>
      </w:r>
    </w:p>
    <w:p w14:paraId="6626B0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77D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вышло Постановление ГКО № 1374 О научно-исследовательской работе по оксиликвитам и организации снаряжения и применения оксиликвитных взрывчатых веществ. РГАНИР, Фонд ГКО, д. 23, лл. 25, 26 (11012).</w:t>
      </w:r>
    </w:p>
    <w:p w14:paraId="386F05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2D84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1CF4F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35D7B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марта</w:t>
      </w:r>
      <w:r w:rsidRPr="008127F8">
        <w:rPr>
          <w:rFonts w:ascii="Times New Roman" w:hAnsi="Times New Roman"/>
          <w:color w:val="000000" w:themeColor="text1"/>
          <w:sz w:val="16"/>
          <w:szCs w:val="16"/>
        </w:rPr>
        <w:t xml:space="preserve"> в 1942 году утреннее сообщение Совинформбюро:</w:t>
      </w:r>
    </w:p>
    <w:p w14:paraId="41A1A308"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 марта наши войска продолжали вести активные боевые действия против немецко-фашистских войск.</w:t>
      </w:r>
    </w:p>
    <w:p w14:paraId="70F8470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Ленинградского фронта, за два дня боевых действий разрушили 2 немецких ДЗОТа, 15 блиндажей и землянок, 2 наблюдательных пункта, уничтожили 2 немецких танка и несколько станковых пулемётов. Наши бойцы захватили ручные пулемёты, автоматы и боеприпасы. На поле боя враг оставил 1.200 трупов своих солдат и офицеров.</w:t>
      </w:r>
    </w:p>
    <w:p w14:paraId="7FCA425D"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стрелковой части, которой командует тов. Коротков (Западный фронт), за последние 10 дней сбили 3 вражеских самолета.</w:t>
      </w:r>
    </w:p>
    <w:p w14:paraId="0D60F42E"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Окружённые в районе Старой Руссы части 16 немецкой армии испытывают огромные трудности в снабжении. Немецкое командование пытается доставить им продовольствие и боеприпасы на самолётах. Наши лётчики срывают эти попытки врага. Недавно разведка доложила, что на аэродроме в районе Г. находится значительное количество вражеских транспортных самолётов. Вскоре над этим аэродромом появились 4 наших штурмовика под прикрытием 9 истребителей. Штурмовики произвели две атаки и уничтожили 10 самолётов противника, 2 орудия зенитной артиллерии и бензосклад. В этот же день другое наше авиазвено уничтожило на земле и в воздухе 5 немецких самолётов «Ю-52».</w:t>
      </w:r>
    </w:p>
    <w:p w14:paraId="5B844F1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Большой урон немецким оккупантам наносит отряд полтавских партизан под командованием тов. С. За время своей деятельности отважные советские патриоты уничтожили 260 гитлеровцев, в том числе 3 комендантов оккупированных городов, 4 начальников полиции, более 10 офицеров и 26 полицейских, взорвали в тылу у немцев два моста, паровоз и несколько автомашин. Недавно партизаны были очевидцами следующего эпизода: немецкая часть приняла полицейский карательный отряд за партизан и обстреляла его. Во время ожесточённой перестрелки обе стороны понесли большие потери.</w:t>
      </w:r>
    </w:p>
    <w:p w14:paraId="7DDA2E8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12 роты 4 полка «ОС» Курт Кекштадт рассказал: «Наш полк 26 декабря был переброшен на самолётах из Кракова на фронт. Бои измотали полк. Наши потери очень велики. В 12 роте из 180 солдат осталось не более 40. Из офицеров уцелел только обер-лейтенант Граун. В 11 роте осталось 30, а в 3 роте — 15—20 солдат. Санитаров сейчас фактически в полку нет, так как всех их направили в роты стрелками. Недавно в первом батальоне офицер застрелил одного солдата за невыполнение приказа. Из нашей роты дезертировали унтер-офицер Штеелятер, обер-ефрейтор Каффнер и ещё два солдата. Все четверо сбежали в первые же дни нашего пребывания на фронте. Немецкие солдаты и офицеры очень боятся партизан. В начале января партизаны обстреляли одну из наших рот и убили 5 солдат, а нескольких ранили».</w:t>
      </w:r>
    </w:p>
    <w:p w14:paraId="36377B0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Военнослужащие Энского санитарного батальона совместно с группой колхозников составили акт о зверствах гитлеровских бандитов над пленными красноармейцами. В акте указывается, что при занятии нашими частями деревни Богданове, Дзержинского района, Смоленской области, в подвале разрушенного немцами дома Прохоровой У. 0. найдены 8 трупов красноармейцев. При медицинском осмотре на трупах было обнаружено большое количество колото-резаных ран, кровоподтёки, ожоги и переломы костей конечностей. Характер этих ранений свидетельствует о том, что немецко-фашистские изверги подвергали пленных красноармейцев мучительным пыткам, в результате которых и последовала смерть всех восьми военнопленных. Акт подписали: командир роты санбатальона Васильев, политрук Половинкин, военврач 3-го ранга Травин, председатель колхоза «Красный флот» Чекменев, депутаты Остроженского сельсовета Мурашёва и Пискарёва, красноармейцы Разуваев и Комков.» (15056).</w:t>
      </w:r>
    </w:p>
    <w:p w14:paraId="0976DBB7"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2FD7A2B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марта</w:t>
      </w:r>
      <w:r w:rsidRPr="008127F8">
        <w:rPr>
          <w:rFonts w:ascii="Times New Roman" w:hAnsi="Times New Roman"/>
          <w:color w:val="000000" w:themeColor="text1"/>
          <w:sz w:val="16"/>
          <w:szCs w:val="16"/>
        </w:rPr>
        <w:t xml:space="preserve"> в 1942 году вечернее сообщение Совинформбюро:</w:t>
      </w:r>
    </w:p>
    <w:p w14:paraId="7E8B33C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 марта наши войска продолжали вести наступательные бои и на некоторых участках фронта заняли несколько населённых пунктов.</w:t>
      </w:r>
    </w:p>
    <w:p w14:paraId="3D4D600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марта в воздушных боях сбито 10 и уничтожено на аэродромах 67 самолётов противника. Всего за этот день уничтожено 77 немецких самолётов. Наши потери — 8 самолётов.</w:t>
      </w:r>
    </w:p>
    <w:p w14:paraId="5C6AFD7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марта частями нашей авиации уничтожено и повреждено 11 немецких танков. 375 автомашин с войсками и грузами, 100 повозок с боеприпасами, 31 орудие, 11 зенитно-пулемётных точек, 11 миномётов, 15 пулемётов, взорвано 6 складов с боеприпасами, сожжено 3 железнодорожных эшелона, разбито и повреждено 50 железнодорожных вагонов и 4 паровоза, разрушен ангар, рассеяно и частью уничтожено до 5 батальонов пехоты противника.</w:t>
      </w:r>
    </w:p>
    <w:p w14:paraId="0F8B565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Наши войска, действующие на одном из участков Северо-Западного фронта, продолжают теснить противника. Одна наша гвардейская часть овладела населённым пунктом К., разгромила оказавший сопротивление гарнизон противника и захватила 7 автомашин, 8 пулемётов, 100 ящиков мин и много других трофеев. На другом участке подразделение лыжников, где командиром тов. Хорушин, совершив внезапный налёт на расположение противника, перебило 50 немецких солдат и 3 офицеров. В этом бою отличился боец тов. Красиков, уничтоживший 8 немцев.</w:t>
      </w:r>
    </w:p>
    <w:p w14:paraId="6F7B13D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под командованием тов. Усачёва (Калининский фронт) нанесла гитлеровцам большой урон. Только за один день противник потерял убитыми 600 солдат и офицеров.</w:t>
      </w:r>
    </w:p>
    <w:p w14:paraId="5FB5756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выбили немцев из 11 населённых пунктов, уничтожили 5 немецких орудий, 3 танка, 7 миномётов, 9 пулемётов и 2 бронемашины. Противник оставил на поле боя 220 солдат и офицеров. На другом участке наша часть захватила 11 немецких орудий, 11 пулемётов и 3 автомашины.</w:t>
      </w:r>
    </w:p>
    <w:p w14:paraId="4F65B6C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Южном фронте появились итальянские истребители «Макки-200». С ними встретились лётчики авиачасти тов. Попова. Четыре наших лётчика вступили в бой с пятью вражескими самолётами. Истребители тт. Смирнов и Шапиро метким огнём сбили два «Макки-200». Две итальянские машины сбил лейтенант Цикин.</w:t>
      </w:r>
    </w:p>
    <w:p w14:paraId="0C21B94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объединённых партизанских отрядов Ленинградской области под руководством тт. В. и 0. на днях совершили внезапное нападение на крупный пункт Н. Ворвавшись в селение, партизаны уничтожили огневые точки и блиндажи противника. В результате этой умело, проведённой операции гитлеровцы потеряли убитыми 650 солдат и офицеров. Партизаны уничтожили большой склад боеприпасов, 13 огневых точек и взорвали железнодорожный мост.</w:t>
      </w:r>
    </w:p>
    <w:p w14:paraId="04CD892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Красный Шахтёр, Изюмского района, Харьковской области, гитлеровцы ограбили, разрушили и сожгли хозяйство колхоза и личное имущество колхозников на сумму 2.323.880 рублей. Отступая из села, фашистские изверги расстреляли колхозниц Дружовецкую А.Н., Гниевскую Е.П., Петренко О.И. и Киценко Т.М.</w:t>
      </w:r>
    </w:p>
    <w:p w14:paraId="5C124A2B"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Поражения гитлеровской армии на советско-германском фронте создали в Германии обстановку необычайного напряжения, и нервозности. В стране нарастает ропот и возмущение. Дело дошло до того, что растерявшиеся гитлеровцы затеяли идиотскую кампанию «за экономию капитала нервов». 27 февраля берлинское радио сообщило, что в Германии «люди нервничают, проявляя часто ненужную грубость». «Но это </w:t>
      </w:r>
      <w:proofErr w:type="gramStart"/>
      <w:r w:rsidRPr="008127F8">
        <w:rPr>
          <w:rFonts w:ascii="Times New Roman" w:hAnsi="Times New Roman"/>
          <w:color w:val="000000" w:themeColor="text1"/>
          <w:sz w:val="16"/>
          <w:szCs w:val="16"/>
        </w:rPr>
        <w:t>означает,—</w:t>
      </w:r>
      <w:proofErr w:type="gramEnd"/>
      <w:r w:rsidRPr="008127F8">
        <w:rPr>
          <w:rFonts w:ascii="Times New Roman" w:hAnsi="Times New Roman"/>
          <w:color w:val="000000" w:themeColor="text1"/>
          <w:sz w:val="16"/>
          <w:szCs w:val="16"/>
        </w:rPr>
        <w:t xml:space="preserve"> поучает радио,— злоупотреблять своими и чужими нервами, злоупотреблять национальным капиталом нервов. А национальный капитал нервов для нас сегодня так же важен, как кухонные отбросы, тряпки, старое железо, бутылки». Гитлеровцам, возможно, удастся собрать остатки тряпок, бутылок и старого железа. Что же касается нервов, то можно с полной уверенностью сказать, что последний «национальный капитал» гитлеровцев будет в недалёком будущем полностью растрачен в результате новых ударов Красной Армии. Призывы гитлеровцев к экономии кухонных отбросов и нервов хорошо показывают внутреннее положение в фашистской Германии после восьми месяцев советско-германской войны.</w:t>
      </w:r>
    </w:p>
    <w:p w14:paraId="44B440A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огромным подъёмом готовили трудящиеся городов и сёл нашей страны подарки бойцам, командирам и политработникам ко дню XXIV годовщины Красной Армии. По неполным данным, к этому дню на фронт направлено около 4.000.000 посылок с подарками. В посылках бойцам Красной Армии и Военно-Морского Флота трудящиеся послали: колбасы, ветчину, копчёное мясо, рыбу, икру, сало, сыр, мёд, масло, консервы, махорку, папиросы, сухие фрукты, конфеты, вино, печенье, шерстяные перчатки, носки, тёплые портянки, полотенца, носовые платки, бритвенные приборы, мыло и другие предметы личного обихода.» (15056).</w:t>
      </w:r>
    </w:p>
    <w:p w14:paraId="5220B86E"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4C5040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в сводке Совинформбюро от сообщалось, что на Южном фронте появились итальянские истребители Макки-200 и ВВС сбили 4 машины (1684,67).</w:t>
      </w:r>
    </w:p>
    <w:p w14:paraId="3DC882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F44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1942г. вышел ПРИКАЗ НКО № 0041 О КУЛИКЕ Г. И.</w:t>
      </w:r>
    </w:p>
    <w:p w14:paraId="0C039B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Кулик Г. И., бывший маршал, Герой Советского Союза и заместитель Наркома обороны, будучи в ноябре 1941 г. уполномоченным Ставки Верховного Главнокомандования по Керченскому направлению, вместо честного и безусловного выполнения приказа Ставки “удержать Керчь во что бы то ни стало и не дать противнику занять этот район”, самовольно, в нарушение приказа Ставки и своего воинского долга без предупреждения Ставки, отдал 12 ноября 1941 г. преступное распоряжение об эвакуации из Керчи в течение двух суток всех войск и оставлении Керченского района противнику, в результате чего и была сдана Керчь 15 ноября 1941 года.</w:t>
      </w:r>
    </w:p>
    <w:p w14:paraId="016980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Кулик, по прибытии 12 ноября 1941 г. в г. Керчь, не только не принял на месте решительных мер против панических настроений командования крымских войск, но своим пораженческим поведением в Керчи только усилил панику и деморализацию в среде командования крымских войск.</w:t>
      </w:r>
    </w:p>
    <w:p w14:paraId="476C3E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поведение Кулика не случайно, так как аналогичное его пораженческое поведение имело место также при самовольной сдаче в ноябре 1941 г. г. Ростова, без санкции Ставки и вопреки приказу Ставки.</w:t>
      </w:r>
    </w:p>
    <w:p w14:paraId="1EA2B7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как установлено, Кулик во время пребывания на фронте систематически пьянствовал, вел развратный образ жизни и злоупотреблял званием Маршала Советского Союза и зам. Наркома обороны, занимался самоснабжением и расхищением государственной собственности, растрачивая сотни тысяч рублей на пьянки из средств государства и внося разложение в ряды нашего начсостава.</w:t>
      </w:r>
    </w:p>
    <w:p w14:paraId="63751C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Кулик Г. И., допустив в ноябре 1941 г. самовольную сдачу противнику городов Керчи и Ростова, нарушил военную присягу, забыл свой воинский долг и нанес серьезный ущерб делу обороны страны. Дальнейшие боевые события на Южном и Крымском фронтах, когда в результате умелых и решительных действий наших войск, Ростов и Керчь вскоре же были отбиты у противника, со всей очевидностью доказали, что имелась полная возможность отстоять эти города и не сдавать их врагу. Преступление Кулика заключается в том, что он никак не использовал имеющихся возможностей по защите Керчи, Ростова, не организовал их оборону и вел себя как трус, перепуганный немцами, как пораженец, потерявший перспективу и неверящий в нашу победу над немецкими захватчиками.</w:t>
      </w:r>
    </w:p>
    <w:p w14:paraId="1ED1C0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все эти преступные действия Государственный Комитет Обороны отдал Кулика Г. И. под суд.</w:t>
      </w:r>
    </w:p>
    <w:p w14:paraId="6FC061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Специальное присутствие Верховного суда СССР установило виновность Кулика Г. И. в предъявленных ему обвинениях. На суде Кулик Г. И. признал себя виновным.</w:t>
      </w:r>
    </w:p>
    <w:p w14:paraId="427885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Верховный суд 16 февраля 1942 г. приговорил лишить Кулика Г. И. званий маршала и Героя Советского Союза, а также лишить его орденов Союза ССР и медали “XX лет РККА”.</w:t>
      </w:r>
    </w:p>
    <w:p w14:paraId="24A57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Кулик Г. И. обратился в Президиум Верховного Совета СССР с просьбой об отмене приговора. Президиум отклонил просьбу Кулика Г. И. и 19 февраля 1942 г. вынес следующее постановление: “В соответствии с приговором Специального Присутствия Верховного суда СССР лишить Кулика Г. И. воинского звания “Маршал Советского Союза”, звания Героя Советского Союза, трех орденов Ленина, трех орденов Красного Знамени и юбилейной медали “XX лет РККА”.</w:t>
      </w:r>
    </w:p>
    <w:p w14:paraId="7B3CB2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На основании изложенного Центральный Комитет ВКП(б) исключил Кулика Г. И. из состава членов ЦК ВКП(б) и снял его с поста зам. наркома.</w:t>
      </w:r>
    </w:p>
    <w:p w14:paraId="628CA3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Предупреждаю, что и впредь будут приниматься решительные меры в отношении тех командиров и начальников, не взирая на лица и заслуги в прошлом, которые не выполняют или недобросовестно выполняют приказы командования, проявляют трусость, деморализуют войска своими пораженческими настроениями и будучи запуганы немцами, сеют панику и подрывают веру в нашу победу над немецкими захватчиками.</w:t>
      </w:r>
    </w:p>
    <w:p w14:paraId="486715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Настоящий приказ довести до военных советов Западного и Юго-</w:t>
      </w:r>
      <w:proofErr w:type="gramStart"/>
      <w:r w:rsidRPr="008127F8">
        <w:rPr>
          <w:rFonts w:ascii="Times New Roman" w:hAnsi="Times New Roman"/>
          <w:color w:val="000000" w:themeColor="text1"/>
          <w:sz w:val="16"/>
          <w:szCs w:val="16"/>
        </w:rPr>
        <w:t>Запад-ного</w:t>
      </w:r>
      <w:proofErr w:type="gramEnd"/>
      <w:r w:rsidRPr="008127F8">
        <w:rPr>
          <w:rFonts w:ascii="Times New Roman" w:hAnsi="Times New Roman"/>
          <w:color w:val="000000" w:themeColor="text1"/>
          <w:sz w:val="16"/>
          <w:szCs w:val="16"/>
        </w:rPr>
        <w:t xml:space="preserve"> направлений, военных советов фронтов, армий и округов.</w:t>
      </w:r>
    </w:p>
    <w:p w14:paraId="35A9BA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И. СТАЛИН </w:t>
      </w:r>
      <w:r w:rsidRPr="008127F8">
        <w:rPr>
          <w:rFonts w:ascii="Times New Roman" w:hAnsi="Times New Roman"/>
          <w:color w:val="000000" w:themeColor="text1"/>
          <w:sz w:val="16"/>
          <w:szCs w:val="16"/>
        </w:rPr>
        <w:t>(9844).</w:t>
      </w:r>
    </w:p>
    <w:p w14:paraId="4B6517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7F5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г. Верховный Главнокомандующий и нарком обороны мог подписать приказ с такими словами:</w:t>
      </w:r>
    </w:p>
    <w:p w14:paraId="63908F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Кулик по прибытии 12 ноября 1941 года в г. Керчь, не только не принял на месте решительных мер против панических настроений командования крымских войск, но своим пораженческим поведением в Керчи только усилил панику и деморализацию в среде командования крымских войск (3573).</w:t>
      </w:r>
    </w:p>
    <w:p w14:paraId="3BD90A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Верховный Суд 16 февраля 1942 г. приговорил лишить Кулика Г.И. званий Маршала и Героя Советского Союза, а также лишить его орденов Союза ССР и медали "ХХ лет РККА" (3573).</w:t>
      </w:r>
    </w:p>
    <w:p w14:paraId="106E00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Предупреждаю, что и впредь будут приниматься решительные меры в отношении тех командиров и начальников, невзирая на лица и заслуги в прошлом, которые не выполняют или недобросовестно выполняют приказы командования, проявляют трусость, деморализуют войска своими пораженческими настроениями и, будучи запуганы немцами, сеют панику и подрывают веру в нашу победу над немецкими захватчиками (3573).</w:t>
      </w:r>
    </w:p>
    <w:p w14:paraId="67059E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Настоящий приказ довести до военных советов Западного и Юго-Западного направлений, военных советов фронтов, армий и округов (3573).</w:t>
      </w:r>
    </w:p>
    <w:p w14:paraId="5D9638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И.В.Сталин" (3573).</w:t>
      </w:r>
    </w:p>
    <w:p w14:paraId="66EF3D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6A1F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C2002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FC9D7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фашистами расстреляно до 5 тыс. человек в Минске (4962).</w:t>
      </w:r>
    </w:p>
    <w:p w14:paraId="603109A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B89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приказом № 067 в ИТЛ и ИТК создавались “оздоровительно-профилактические пункты (ОПП)”, имевшие “задачей восстановление физического состояния здоровья и сохранение работоспособности заключенных, ослабевших на производстве, в пути следования и после перенесенных заболеваний” (в том числе истощение “в результате неполноценного питания” и цинга); находящихся в ОПП (в течение 2-6 недель) запрещалось привлекать к каким-либо работам. Характерно, что направлению в ОПП вовсе не подлежали инвалиды и злостные отказчики от работ.</w:t>
      </w:r>
    </w:p>
    <w:p w14:paraId="70E14B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зам. наркома Круглов подписал директиву НКВД № 105:</w:t>
      </w:r>
    </w:p>
    <w:p w14:paraId="0E16F5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приказ НКВД СССР № 792/к от 8 декабря 1941 года и неоднократные указания ГУЛАГа НКВД СССР о том, что продолжительность сна заключенных не должна быть менее 8 часов, в ряде лагерей и колоний это правило грубо нарушается. Заключенные фактически имеют время для сна 4-5 часов. Происходят эти безобразные явления вследствие несоблюдения начальниками лагерных подразделений внутреннего распорядка дня и отсутствия должного контроля со стороны </w:t>
      </w:r>
      <w:r w:rsidRPr="008127F8">
        <w:rPr>
          <w:rFonts w:ascii="Times New Roman" w:hAnsi="Times New Roman"/>
          <w:color w:val="000000" w:themeColor="text1"/>
          <w:sz w:val="16"/>
          <w:szCs w:val="16"/>
        </w:rPr>
        <w:lastRenderedPageBreak/>
        <w:t>руководства лагерей. В результате отсутствия нормального отдыха заключенные теряют работоспособность и переходят в категорию слабосильных, инвалидов и т. д.</w:t>
      </w:r>
    </w:p>
    <w:p w14:paraId="21E0A0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Категорически приказываю:</w:t>
      </w:r>
    </w:p>
    <w:p w14:paraId="417FDE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Установить внутренний распорядок дня во всех лагерных подразделениях и колоннах с таким расчетом, чтобы заключенные имели время для сна не менее 8 часов.</w:t>
      </w:r>
    </w:p>
    <w:p w14:paraId="618FE7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Привлекать к строгой ответственности начальников лагерных подразделений за нарушение этого правила. Запретить кому бы то ни было в лагере-колонии производить подъем заключенных или отбой на сон не в установленное время (в исключительных случаях, вызываемых действительной необходимостью, это может быть произведено только личным распоряжением начальника лагеря-колонии).</w:t>
      </w:r>
    </w:p>
    <w:p w14:paraId="68A660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Начальникам оперативных отделов (отделений) лагерей и колоний строго проследить за выполнением настоящей директивы и всех нарушителей привлекать к ответственности через начальников лагерей-колоний, одновременно сообщая в Оперативный отдел ГУЛАГа НКВД СССР.</w:t>
      </w:r>
    </w:p>
    <w:p w14:paraId="51C782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3-х дневный срок по получении донести мне о введении в действие настоящей директивы” (7560).</w:t>
      </w:r>
    </w:p>
    <w:p w14:paraId="6DED9B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0068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7B82F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D91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марта 1942 японцы высадились на Mindanao (2261).</w:t>
      </w:r>
    </w:p>
    <w:p w14:paraId="0DC859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4D9F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CF9EF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6FAC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ГИ ВВС И.Ф.П. писал А.И.Ш. письмо N 372820с:</w:t>
      </w:r>
    </w:p>
    <w:p w14:paraId="164B17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ВВС поручено провести в Свердловске контрольные испытания серийных самолетов (в т.ч. Ил-2 завода 18) (1635,196).</w:t>
      </w:r>
    </w:p>
    <w:p w14:paraId="59E1F90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4D1A52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1942г. Пост. ГКО № 1376сс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 (11982).</w:t>
      </w:r>
    </w:p>
    <w:p w14:paraId="05D399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135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Пост. ГКО № 1376сс заводу (Завод № 381 НКАП, МАП /г. Ленинград ст. Ижора;  г. Нижний Тагил Свердловской обл.;  г. Москва Ленинградское ш., 31/33/)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0C3427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47CDE0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401EDB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7AE0F2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22BE10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08C0C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заводе организован филиал ОКБ-21 С.А. Лавочкина.</w:t>
      </w:r>
    </w:p>
    <w:p w14:paraId="47C7F9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5DB288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25213A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06C14B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4073A8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1.12.1946 г. завод передан из 1ГУ в ЮГУ, затем с 1.11.1948 г. обратно, из ЮГУ в 1ГУ.</w:t>
      </w:r>
    </w:p>
    <w:p w14:paraId="3020F2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B166D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26807E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(05.1943-10.1946 г.)- П.Д. Грушин, (1947 г.)- В.И. Засульский.</w:t>
      </w:r>
    </w:p>
    <w:p w14:paraId="2A8AE3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(1945 г.)- А.К. Кулагин.</w:t>
      </w:r>
    </w:p>
    <w:p w14:paraId="2D5843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2E1934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Заводской номер: Ил-2 М 381355 (11982).</w:t>
      </w:r>
    </w:p>
    <w:p w14:paraId="180330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293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Пост. ГКО № 1376сс заводу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был утвержден суточный план на 03.1942 г. по выпуску ЛаГГ-3: с 1 по 15 марта - 50 машин, с 16 по 20 - 60 и с 21 по 31 марта - 73 машины. По постановлению ГКО № 1786 от 19.05.1942 г. заводу необходимо было немедленно приступить к выпуску ЛаГТ-З с М-82 (11982).</w:t>
      </w:r>
    </w:p>
    <w:p w14:paraId="3F95C1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318C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закончились испытания на аэродроме НИИ ВВС с-та Пе-2 № 2601 2М-105 ВИШ-61Б, которые шли с 28 февраля 1942</w:t>
      </w:r>
    </w:p>
    <w:p w14:paraId="164A86D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Нач. НИИ ВВС ви1р Вахрушев и за комиссара бк Сизов подписал Отчет по сравнительным испытаниям с-та Пе-2 № 2601 2М-105 ВИШ-61Б</w:t>
      </w:r>
    </w:p>
    <w:p w14:paraId="4423224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 2601 производства завода № 125</w:t>
      </w:r>
    </w:p>
    <w:p w14:paraId="12E788B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исполнитель ви2р Г.В.Грибакин, в-н М.П.Субботин</w:t>
      </w:r>
    </w:p>
    <w:p w14:paraId="5773A1E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сравнению с Пе-2 № 2311 отличия:</w:t>
      </w:r>
    </w:p>
    <w:p w14:paraId="0A17E0B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изменена установка патронного ящика (постоянного питания)</w:t>
      </w:r>
    </w:p>
    <w:p w14:paraId="511450E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ухваты наружных бомб - легкосъемные</w:t>
      </w:r>
    </w:p>
    <w:p w14:paraId="13707CE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задний обтекатель фонаря кабины выполнен из дюраля</w:t>
      </w:r>
    </w:p>
    <w:p w14:paraId="5D7421E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Снят механизм УПР-2 (управление заслонкой </w:t>
      </w:r>
      <w:proofErr w:type="gramStart"/>
      <w:r w:rsidRPr="008127F8">
        <w:rPr>
          <w:rFonts w:ascii="Times New Roman" w:hAnsi="Times New Roman"/>
          <w:color w:val="000000" w:themeColor="text1"/>
          <w:sz w:val="16"/>
          <w:szCs w:val="16"/>
        </w:rPr>
        <w:t>маслорадиатора</w:t>
      </w:r>
      <w:proofErr w:type="gramEnd"/>
      <w:r w:rsidRPr="008127F8">
        <w:rPr>
          <w:rFonts w:ascii="Times New Roman" w:hAnsi="Times New Roman"/>
          <w:color w:val="000000" w:themeColor="text1"/>
          <w:sz w:val="16"/>
          <w:szCs w:val="16"/>
        </w:rPr>
        <w:t xml:space="preserve"> и заслонка имеет механизм, регулируемый на земле</w:t>
      </w:r>
    </w:p>
    <w:p w14:paraId="4B45640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Окраска с-та аналогична окраске серии 10/35 завода № 22</w:t>
      </w:r>
    </w:p>
    <w:p w14:paraId="401C04F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Произведено 18 полетов, налет 6:31</w:t>
      </w:r>
    </w:p>
    <w:p w14:paraId="0DF8359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Взвешивание не производилосьВес с-та с полной заправкой горючим без бомб принят равным весу серийного с-та з-да № 22 - 7700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996"/>
        <w:gridCol w:w="1996"/>
        <w:gridCol w:w="1996"/>
        <w:gridCol w:w="1996"/>
      </w:tblGrid>
      <w:tr w:rsidR="006F4095" w:rsidRPr="008127F8" w14:paraId="3BC2B598" w14:textId="77777777">
        <w:tc>
          <w:tcPr>
            <w:tcW w:w="3227" w:type="dxa"/>
            <w:tcBorders>
              <w:top w:val="single" w:sz="12" w:space="0" w:color="auto"/>
            </w:tcBorders>
          </w:tcPr>
          <w:p w14:paraId="062C362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w:t>
            </w:r>
          </w:p>
        </w:tc>
        <w:tc>
          <w:tcPr>
            <w:tcW w:w="1996" w:type="dxa"/>
            <w:tcBorders>
              <w:top w:val="single" w:sz="12" w:space="0" w:color="auto"/>
            </w:tcBorders>
          </w:tcPr>
          <w:p w14:paraId="692713C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 2601 завода № 125</w:t>
            </w:r>
          </w:p>
        </w:tc>
        <w:tc>
          <w:tcPr>
            <w:tcW w:w="1996" w:type="dxa"/>
            <w:tcBorders>
              <w:top w:val="single" w:sz="12" w:space="0" w:color="auto"/>
            </w:tcBorders>
          </w:tcPr>
          <w:p w14:paraId="1B2F3C7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 2311 завода № 125</w:t>
            </w:r>
          </w:p>
        </w:tc>
        <w:tc>
          <w:tcPr>
            <w:tcW w:w="1996" w:type="dxa"/>
            <w:tcBorders>
              <w:top w:val="single" w:sz="12" w:space="0" w:color="auto"/>
            </w:tcBorders>
          </w:tcPr>
          <w:p w14:paraId="7E2FACB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№10/35завода № 22</w:t>
            </w:r>
          </w:p>
        </w:tc>
        <w:tc>
          <w:tcPr>
            <w:tcW w:w="1996" w:type="dxa"/>
            <w:tcBorders>
              <w:top w:val="single" w:sz="12" w:space="0" w:color="auto"/>
            </w:tcBorders>
          </w:tcPr>
          <w:p w14:paraId="0602FD7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с-т Пе-2</w:t>
            </w:r>
          </w:p>
        </w:tc>
      </w:tr>
      <w:tr w:rsidR="006F4095" w:rsidRPr="008127F8" w14:paraId="413912A4" w14:textId="77777777">
        <w:tc>
          <w:tcPr>
            <w:tcW w:w="3227" w:type="dxa"/>
          </w:tcPr>
          <w:p w14:paraId="37BD494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у земли</w:t>
            </w:r>
          </w:p>
        </w:tc>
        <w:tc>
          <w:tcPr>
            <w:tcW w:w="1996" w:type="dxa"/>
          </w:tcPr>
          <w:p w14:paraId="73B035E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448</w:t>
            </w:r>
          </w:p>
        </w:tc>
        <w:tc>
          <w:tcPr>
            <w:tcW w:w="1996" w:type="dxa"/>
          </w:tcPr>
          <w:p w14:paraId="4A11B3D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443</w:t>
            </w:r>
          </w:p>
        </w:tc>
        <w:tc>
          <w:tcPr>
            <w:tcW w:w="1996" w:type="dxa"/>
          </w:tcPr>
          <w:p w14:paraId="242D2AE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96" w:type="dxa"/>
          </w:tcPr>
          <w:p w14:paraId="73D4AE8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 (вес 7500)</w:t>
            </w:r>
          </w:p>
        </w:tc>
      </w:tr>
      <w:tr w:rsidR="006F4095" w:rsidRPr="008127F8" w14:paraId="55135701" w14:textId="77777777">
        <w:tc>
          <w:tcPr>
            <w:tcW w:w="3227" w:type="dxa"/>
          </w:tcPr>
          <w:p w14:paraId="458CF91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1 гр. высотности</w:t>
            </w:r>
          </w:p>
        </w:tc>
        <w:tc>
          <w:tcPr>
            <w:tcW w:w="1996" w:type="dxa"/>
          </w:tcPr>
          <w:p w14:paraId="4C3BD2B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510/3000</w:t>
            </w:r>
          </w:p>
        </w:tc>
        <w:tc>
          <w:tcPr>
            <w:tcW w:w="1996" w:type="dxa"/>
          </w:tcPr>
          <w:p w14:paraId="2E0EE87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513/3000</w:t>
            </w:r>
          </w:p>
        </w:tc>
        <w:tc>
          <w:tcPr>
            <w:tcW w:w="1996" w:type="dxa"/>
          </w:tcPr>
          <w:p w14:paraId="0CF98D2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510/3100</w:t>
            </w:r>
          </w:p>
        </w:tc>
        <w:tc>
          <w:tcPr>
            <w:tcW w:w="1996" w:type="dxa"/>
          </w:tcPr>
          <w:p w14:paraId="5CA8DC2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516/3000</w:t>
            </w:r>
          </w:p>
        </w:tc>
      </w:tr>
      <w:tr w:rsidR="006F4095" w:rsidRPr="008127F8" w14:paraId="593153DF" w14:textId="77777777">
        <w:tc>
          <w:tcPr>
            <w:tcW w:w="3227" w:type="dxa"/>
          </w:tcPr>
          <w:p w14:paraId="61FDA51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2 гр. высотности</w:t>
            </w:r>
          </w:p>
        </w:tc>
        <w:tc>
          <w:tcPr>
            <w:tcW w:w="1996" w:type="dxa"/>
          </w:tcPr>
          <w:p w14:paraId="5AB35A7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530/5000</w:t>
            </w:r>
          </w:p>
        </w:tc>
        <w:tc>
          <w:tcPr>
            <w:tcW w:w="1996" w:type="dxa"/>
          </w:tcPr>
          <w:p w14:paraId="2DA3664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530/4900</w:t>
            </w:r>
          </w:p>
        </w:tc>
        <w:tc>
          <w:tcPr>
            <w:tcW w:w="1996" w:type="dxa"/>
          </w:tcPr>
          <w:p w14:paraId="70973E6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530/5100</w:t>
            </w:r>
          </w:p>
        </w:tc>
        <w:tc>
          <w:tcPr>
            <w:tcW w:w="1996" w:type="dxa"/>
          </w:tcPr>
          <w:p w14:paraId="7540FCD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540/5000</w:t>
            </w:r>
          </w:p>
        </w:tc>
      </w:tr>
      <w:tr w:rsidR="006F4095" w:rsidRPr="008127F8" w14:paraId="69D5CECE" w14:textId="77777777">
        <w:tc>
          <w:tcPr>
            <w:tcW w:w="3227" w:type="dxa"/>
          </w:tcPr>
          <w:p w14:paraId="546B64A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подъема на 5000 м</w:t>
            </w:r>
          </w:p>
        </w:tc>
        <w:tc>
          <w:tcPr>
            <w:tcW w:w="1996" w:type="dxa"/>
          </w:tcPr>
          <w:p w14:paraId="3701684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996" w:type="dxa"/>
          </w:tcPr>
          <w:p w14:paraId="4C0A778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996" w:type="dxa"/>
          </w:tcPr>
          <w:p w14:paraId="4898936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996" w:type="dxa"/>
          </w:tcPr>
          <w:p w14:paraId="205B4E4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r>
      <w:tr w:rsidR="006F4095" w:rsidRPr="008127F8" w14:paraId="7BC27966" w14:textId="77777777">
        <w:tc>
          <w:tcPr>
            <w:tcW w:w="3227" w:type="dxa"/>
          </w:tcPr>
          <w:p w14:paraId="4A6BA1B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w:t>
            </w:r>
          </w:p>
        </w:tc>
        <w:tc>
          <w:tcPr>
            <w:tcW w:w="1996" w:type="dxa"/>
          </w:tcPr>
          <w:p w14:paraId="1E2773A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9200</w:t>
            </w:r>
          </w:p>
        </w:tc>
        <w:tc>
          <w:tcPr>
            <w:tcW w:w="1996" w:type="dxa"/>
          </w:tcPr>
          <w:p w14:paraId="6A8D5BE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96" w:type="dxa"/>
          </w:tcPr>
          <w:p w14:paraId="4C0CC07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996" w:type="dxa"/>
          </w:tcPr>
          <w:p w14:paraId="204114A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r>
      <w:tr w:rsidR="006F4095" w:rsidRPr="008127F8" w14:paraId="53BFCF83" w14:textId="77777777">
        <w:tc>
          <w:tcPr>
            <w:tcW w:w="3227" w:type="dxa"/>
            <w:tcBorders>
              <w:bottom w:val="single" w:sz="12" w:space="0" w:color="auto"/>
            </w:tcBorders>
          </w:tcPr>
          <w:p w14:paraId="6EB82E5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(увеличен за счет бокового ветра)</w:t>
            </w:r>
          </w:p>
        </w:tc>
        <w:tc>
          <w:tcPr>
            <w:tcW w:w="1996" w:type="dxa"/>
            <w:tcBorders>
              <w:bottom w:val="single" w:sz="12" w:space="0" w:color="auto"/>
            </w:tcBorders>
          </w:tcPr>
          <w:p w14:paraId="2AD7D72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578</w:t>
            </w:r>
          </w:p>
        </w:tc>
        <w:tc>
          <w:tcPr>
            <w:tcW w:w="1996" w:type="dxa"/>
            <w:tcBorders>
              <w:bottom w:val="single" w:sz="12" w:space="0" w:color="auto"/>
            </w:tcBorders>
          </w:tcPr>
          <w:p w14:paraId="356557D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96" w:type="dxa"/>
            <w:tcBorders>
              <w:bottom w:val="single" w:sz="12" w:space="0" w:color="auto"/>
            </w:tcBorders>
          </w:tcPr>
          <w:p w14:paraId="0BE6E1A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96" w:type="dxa"/>
            <w:tcBorders>
              <w:bottom w:val="single" w:sz="12" w:space="0" w:color="auto"/>
            </w:tcBorders>
          </w:tcPr>
          <w:p w14:paraId="336C107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w:t>
            </w:r>
          </w:p>
        </w:tc>
      </w:tr>
    </w:tbl>
    <w:p w14:paraId="0088B63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Слабыми сторонами с-та Пе-2 по опыту боевых действий являются:</w:t>
      </w:r>
    </w:p>
    <w:p w14:paraId="17C3763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отсутствие у ш крупнокалиберного с-та. Установка под универсальный крупнокалиберный Березина была испытаниа на НАПАВ в октябре 1941 и рекомендована для установки на с-т </w:t>
      </w:r>
      <w:proofErr w:type="gramStart"/>
      <w:r w:rsidRPr="008127F8">
        <w:rPr>
          <w:rFonts w:ascii="Times New Roman" w:hAnsi="Times New Roman"/>
          <w:color w:val="000000" w:themeColor="text1"/>
          <w:sz w:val="16"/>
          <w:szCs w:val="16"/>
        </w:rPr>
        <w:t>Пе-2 Однако</w:t>
      </w:r>
      <w:proofErr w:type="gramEnd"/>
      <w:r w:rsidRPr="008127F8">
        <w:rPr>
          <w:rFonts w:ascii="Times New Roman" w:hAnsi="Times New Roman"/>
          <w:color w:val="000000" w:themeColor="text1"/>
          <w:sz w:val="16"/>
          <w:szCs w:val="16"/>
        </w:rPr>
        <w:t>, до сих пор как на заводе № 22, так и на заводе № 125 эта установка отсутствует</w:t>
      </w:r>
    </w:p>
    <w:p w14:paraId="4099BBD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Малый запас патронов</w:t>
      </w:r>
    </w:p>
    <w:p w14:paraId="64C9345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Неудовлетворительное бронирование ш и стрелка-радиста</w:t>
      </w:r>
    </w:p>
    <w:p w14:paraId="15E9B2F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была рекомендована схема бронирования экипажа, но до сих пор эта схема не осуществлена</w:t>
      </w:r>
    </w:p>
    <w:p w14:paraId="4184756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имеет установку для заполнения б/ь азотом. В августе 1942 была испытана и рекомендована для с-та Пе-2 установка заполнения б/б нейтральными газами от выхлопа мотора.</w:t>
      </w:r>
    </w:p>
    <w:p w14:paraId="1198633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 22 до переезда в Казань начало выпускать с-т с установками нейтрального газа от выхлопа. После переезда стал выпускать с установками для азота. З-д № 125 выпускает с-ты с установками для азота.</w:t>
      </w:r>
    </w:p>
    <w:p w14:paraId="1E23A97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 качество протектора б/б Протектор ставится образца 1938 г.</w:t>
      </w:r>
    </w:p>
    <w:p w14:paraId="5929550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21AFF81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ЛТД с-та № 2601 завода № 125 и ранее испытанного в НИИ ВВС с-тов № 10/35 завода № 22 и№ 2311 завода № 125 одинаковы.</w:t>
      </w:r>
    </w:p>
    <w:p w14:paraId="76CD383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Просить НКАП обязать заводы № 22 и 125 в самое близкое время:</w:t>
      </w:r>
    </w:p>
    <w:p w14:paraId="39F24FC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устранить на с-те Пе-2 для штурмана крупнокалибпрный </w:t>
      </w:r>
      <w:proofErr w:type="gramStart"/>
      <w:r w:rsidRPr="008127F8">
        <w:rPr>
          <w:rFonts w:ascii="Times New Roman" w:hAnsi="Times New Roman"/>
          <w:color w:val="000000" w:themeColor="text1"/>
          <w:sz w:val="16"/>
          <w:szCs w:val="16"/>
        </w:rPr>
        <w:t>пулемет..</w:t>
      </w:r>
      <w:proofErr w:type="gramEnd"/>
    </w:p>
    <w:p w14:paraId="1FEA546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вместо установки заполнения б/б азотом ввести установку заполнения от системы выхлопа</w:t>
      </w:r>
    </w:p>
    <w:p w14:paraId="7BB4396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повышения живучести с-та Пе-2 и более надежной защиты от загорания в воздухе при протектировании б/б необходимо перейти на протектирование б/б комбинированным протектором НИИ РП (состоящим ХО, Х1, Х2), а вместо протектора образца 1938 проработать вопрос установки фибровых б/б с протектором ВИАМ (808).</w:t>
      </w:r>
    </w:p>
    <w:p w14:paraId="4C0BCDC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7BE355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Пост. ГКО № 1376сс заводу № 22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 (11982).</w:t>
      </w:r>
    </w:p>
    <w:p w14:paraId="5B538D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FFE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А.С.Я. вернулся из Новосибирска в Москву и попал к И.В.С. (74,250).</w:t>
      </w:r>
    </w:p>
    <w:p w14:paraId="76811C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99BD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марта 1942 г. А.С. Яковлев вернулся из Новосибирс</w:t>
      </w:r>
      <w:r w:rsidRPr="008A2E5A">
        <w:rPr>
          <w:rFonts w:ascii="Times New Roman" w:hAnsi="Times New Roman"/>
          <w:color w:val="0070C0"/>
          <w:sz w:val="16"/>
          <w:szCs w:val="16"/>
        </w:rPr>
        <w:softHyphen/>
        <w:t>ка в Москву и сразу же был принят И.В. Сталиным. След</w:t>
      </w:r>
      <w:r w:rsidRPr="008A2E5A">
        <w:rPr>
          <w:rFonts w:ascii="Times New Roman" w:hAnsi="Times New Roman"/>
          <w:color w:val="0070C0"/>
          <w:sz w:val="16"/>
          <w:szCs w:val="16"/>
        </w:rPr>
        <w:softHyphen/>
        <w:t>ствием двухчасового обмена информацией и состоявше</w:t>
      </w:r>
      <w:r w:rsidRPr="008A2E5A">
        <w:rPr>
          <w:rFonts w:ascii="Times New Roman" w:hAnsi="Times New Roman"/>
          <w:color w:val="0070C0"/>
          <w:sz w:val="16"/>
          <w:szCs w:val="16"/>
        </w:rPr>
        <w:softHyphen/>
        <w:t>гося на следующий день (в ночь с 4 на 5 марта) обсужде</w:t>
      </w:r>
      <w:r w:rsidRPr="008A2E5A">
        <w:rPr>
          <w:rFonts w:ascii="Times New Roman" w:hAnsi="Times New Roman"/>
          <w:color w:val="0070C0"/>
          <w:sz w:val="16"/>
          <w:szCs w:val="16"/>
        </w:rPr>
        <w:softHyphen/>
        <w:t>ния между членами ГКО и руководством НКАП (в совеща</w:t>
      </w:r>
      <w:r w:rsidRPr="008A2E5A">
        <w:rPr>
          <w:rFonts w:ascii="Times New Roman" w:hAnsi="Times New Roman"/>
          <w:color w:val="0070C0"/>
          <w:sz w:val="16"/>
          <w:szCs w:val="16"/>
        </w:rPr>
        <w:softHyphen/>
        <w:t>нии участвовали Г.М. Маленков, Л.П. Берия, А.С. Щер</w:t>
      </w:r>
      <w:r w:rsidRPr="008A2E5A">
        <w:rPr>
          <w:rFonts w:ascii="Times New Roman" w:hAnsi="Times New Roman"/>
          <w:color w:val="0070C0"/>
          <w:sz w:val="16"/>
          <w:szCs w:val="16"/>
        </w:rPr>
        <w:softHyphen/>
        <w:t>баков, а А.С. Яковлева вызвали на прием вместе с А.И. Шахуриным и П.В. Дементьевым) стало постановление ГКО №1388сс. По этому документу к выпуску истребите</w:t>
      </w:r>
      <w:r w:rsidRPr="008A2E5A">
        <w:rPr>
          <w:rFonts w:ascii="Times New Roman" w:hAnsi="Times New Roman"/>
          <w:color w:val="0070C0"/>
          <w:sz w:val="16"/>
          <w:szCs w:val="16"/>
        </w:rPr>
        <w:softHyphen/>
        <w:t>лей Як-7, кроме получившего ранее такое задание заво</w:t>
      </w:r>
      <w:r w:rsidRPr="008A2E5A">
        <w:rPr>
          <w:rFonts w:ascii="Times New Roman" w:hAnsi="Times New Roman"/>
          <w:color w:val="0070C0"/>
          <w:sz w:val="16"/>
          <w:szCs w:val="16"/>
        </w:rPr>
        <w:softHyphen/>
        <w:t>да №23, присоединялся также авиазавод №21. При этом ОКБ С.А. Лавочкина переводилось с завода №21 на завод №31 в г. Тбилиси.</w:t>
      </w:r>
    </w:p>
    <w:p w14:paraId="2A0CCF5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многих публикациях данное событие рассматри</w:t>
      </w:r>
      <w:r w:rsidRPr="008A2E5A">
        <w:rPr>
          <w:rFonts w:ascii="Times New Roman" w:hAnsi="Times New Roman"/>
          <w:color w:val="0070C0"/>
          <w:sz w:val="16"/>
          <w:szCs w:val="16"/>
        </w:rPr>
        <w:softHyphen/>
        <w:t>вается исключительно в свете личных амбиций главно</w:t>
      </w:r>
      <w:r w:rsidRPr="008A2E5A">
        <w:rPr>
          <w:rFonts w:ascii="Times New Roman" w:hAnsi="Times New Roman"/>
          <w:color w:val="0070C0"/>
          <w:sz w:val="16"/>
          <w:szCs w:val="16"/>
        </w:rPr>
        <w:softHyphen/>
        <w:t>го конструктора истребителей марки «Як» и протекцио</w:t>
      </w:r>
      <w:r w:rsidRPr="008A2E5A">
        <w:rPr>
          <w:rFonts w:ascii="Times New Roman" w:hAnsi="Times New Roman"/>
          <w:color w:val="0070C0"/>
          <w:sz w:val="16"/>
          <w:szCs w:val="16"/>
        </w:rPr>
        <w:softHyphen/>
        <w:t>низма к нему И.В. Сталина. Тем более что накануне даты принятия следующего постановления ГКО по заводу №21 (12 марта 1942 г. по журналу посещений) А.С. Яковлев и И.В. Сталин также встречались с глазу на глаз. Если по</w:t>
      </w:r>
      <w:r w:rsidRPr="008A2E5A">
        <w:rPr>
          <w:rFonts w:ascii="Times New Roman" w:hAnsi="Times New Roman"/>
          <w:color w:val="0070C0"/>
          <w:sz w:val="16"/>
          <w:szCs w:val="16"/>
        </w:rPr>
        <w:softHyphen/>
        <w:t>смотреть на происходящее с точки зрения экономических интересов войны, то решение свернуть массовый выпуск истребителей ЛаГГ-3 на заводе №21 в пользу истребите</w:t>
      </w:r>
      <w:r w:rsidRPr="008A2E5A">
        <w:rPr>
          <w:rFonts w:ascii="Times New Roman" w:hAnsi="Times New Roman"/>
          <w:color w:val="0070C0"/>
          <w:sz w:val="16"/>
          <w:szCs w:val="16"/>
        </w:rPr>
        <w:softHyphen/>
        <w:t>ля Як-7 имело подсобой достаточные основания.</w:t>
      </w:r>
    </w:p>
    <w:p w14:paraId="487A171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февралю 1942 г. Новосибирский авиазавод № 153 полно</w:t>
      </w:r>
      <w:r w:rsidRPr="008A2E5A">
        <w:rPr>
          <w:rFonts w:ascii="Times New Roman" w:hAnsi="Times New Roman"/>
          <w:color w:val="0070C0"/>
          <w:sz w:val="16"/>
          <w:szCs w:val="16"/>
        </w:rPr>
        <w:softHyphen/>
        <w:t>стью освоил выпуск истребителя Як-7, выйдя на темп сборки в три самолета в сутки (сдача самолетов ВВС в феврале была сорвана недопоставками моторов, винтов, радиаторов, бронеспинок и других готовых изделий). ОКБ А.С. Яковлева на заводе №153 провело работы по улуч</w:t>
      </w:r>
      <w:r w:rsidRPr="008A2E5A">
        <w:rPr>
          <w:rFonts w:ascii="Times New Roman" w:hAnsi="Times New Roman"/>
          <w:color w:val="0070C0"/>
          <w:sz w:val="16"/>
          <w:szCs w:val="16"/>
        </w:rPr>
        <w:softHyphen/>
        <w:t>шению своего истребителя в части аэродинамики, экс</w:t>
      </w:r>
      <w:r w:rsidRPr="008A2E5A">
        <w:rPr>
          <w:rFonts w:ascii="Times New Roman" w:hAnsi="Times New Roman"/>
          <w:color w:val="0070C0"/>
          <w:sz w:val="16"/>
          <w:szCs w:val="16"/>
        </w:rPr>
        <w:softHyphen/>
        <w:t>плуатационных качеств, вооружения, и к началу марта машина №1415313 (с мотор-пушкой ШВАК и двумя син</w:t>
      </w:r>
      <w:r w:rsidRPr="008A2E5A">
        <w:rPr>
          <w:rFonts w:ascii="Times New Roman" w:hAnsi="Times New Roman"/>
          <w:color w:val="0070C0"/>
          <w:sz w:val="16"/>
          <w:szCs w:val="16"/>
        </w:rPr>
        <w:softHyphen/>
        <w:t>хронными крупнокалиберными пулеметами БС) успешно прошла совместные заводские и государственные испы</w:t>
      </w:r>
      <w:r w:rsidRPr="008A2E5A">
        <w:rPr>
          <w:rFonts w:ascii="Times New Roman" w:hAnsi="Times New Roman"/>
          <w:color w:val="0070C0"/>
          <w:sz w:val="16"/>
          <w:szCs w:val="16"/>
        </w:rPr>
        <w:softHyphen/>
        <w:t>тания, как эталон серии 1942 г. Платформа конструкции Як-7 позволяла модифицировать ее в соответствии с ну</w:t>
      </w:r>
      <w:r w:rsidRPr="008A2E5A">
        <w:rPr>
          <w:rFonts w:ascii="Times New Roman" w:hAnsi="Times New Roman"/>
          <w:color w:val="0070C0"/>
          <w:sz w:val="16"/>
          <w:szCs w:val="16"/>
        </w:rPr>
        <w:softHyphen/>
        <w:t>ждами ВВС в широких пределах, в то время как с ЛаГГ-3, в процессе облегчения для улучшения скоростных и манев</w:t>
      </w:r>
      <w:r w:rsidRPr="008A2E5A">
        <w:rPr>
          <w:rFonts w:ascii="Times New Roman" w:hAnsi="Times New Roman"/>
          <w:color w:val="0070C0"/>
          <w:sz w:val="16"/>
          <w:szCs w:val="16"/>
        </w:rPr>
        <w:softHyphen/>
        <w:t>ренных качеств, последовательно сняли дополнительные бензобаки с горючим, установку подвесных бензобаков и радикально сократили состав вооружения, оставив толь</w:t>
      </w:r>
      <w:r w:rsidRPr="008A2E5A">
        <w:rPr>
          <w:rFonts w:ascii="Times New Roman" w:hAnsi="Times New Roman"/>
          <w:color w:val="0070C0"/>
          <w:sz w:val="16"/>
          <w:szCs w:val="16"/>
        </w:rPr>
        <w:softHyphen/>
        <w:t>ко мотор-пушку и один пулемет БС. То есть ЛаГГ-3 лишил</w:t>
      </w:r>
      <w:r w:rsidRPr="008A2E5A">
        <w:rPr>
          <w:rFonts w:ascii="Times New Roman" w:hAnsi="Times New Roman"/>
          <w:color w:val="0070C0"/>
          <w:sz w:val="16"/>
          <w:szCs w:val="16"/>
        </w:rPr>
        <w:softHyphen/>
        <w:t>ся того, что ранее выгодно отличало его от истребителей ОКБ А.С. Яковлева. Причем требуемого результата при</w:t>
      </w:r>
      <w:r w:rsidRPr="008A2E5A">
        <w:rPr>
          <w:rFonts w:ascii="Times New Roman" w:hAnsi="Times New Roman"/>
          <w:color w:val="0070C0"/>
          <w:sz w:val="16"/>
          <w:szCs w:val="16"/>
        </w:rPr>
        <w:softHyphen/>
        <w:t>нятыми для «лаггам» мерами получить, увы, не удалось. В условиях войны и эвакуации обострился дефицит фе</w:t>
      </w:r>
      <w:r w:rsidRPr="008A2E5A">
        <w:rPr>
          <w:rFonts w:ascii="Times New Roman" w:hAnsi="Times New Roman"/>
          <w:color w:val="0070C0"/>
          <w:sz w:val="16"/>
          <w:szCs w:val="16"/>
        </w:rPr>
        <w:softHyphen/>
        <w:t>нольных клеев и смол, использовавшихся для изготовле</w:t>
      </w:r>
      <w:r w:rsidRPr="008A2E5A">
        <w:rPr>
          <w:rFonts w:ascii="Times New Roman" w:hAnsi="Times New Roman"/>
          <w:color w:val="0070C0"/>
          <w:sz w:val="16"/>
          <w:szCs w:val="16"/>
        </w:rPr>
        <w:softHyphen/>
        <w:t>ния дельта-древесины - «изюминки» и основы деревян</w:t>
      </w:r>
      <w:r w:rsidRPr="008A2E5A">
        <w:rPr>
          <w:rFonts w:ascii="Times New Roman" w:hAnsi="Times New Roman"/>
          <w:color w:val="0070C0"/>
          <w:sz w:val="16"/>
          <w:szCs w:val="16"/>
        </w:rPr>
        <w:softHyphen/>
        <w:t>ных конструкций ЛаГГа. Дефицит моторов М-105П и вин</w:t>
      </w:r>
      <w:r w:rsidRPr="008A2E5A">
        <w:rPr>
          <w:rFonts w:ascii="Times New Roman" w:hAnsi="Times New Roman"/>
          <w:color w:val="0070C0"/>
          <w:sz w:val="16"/>
          <w:szCs w:val="16"/>
        </w:rPr>
        <w:softHyphen/>
        <w:t>тов ВИШ-61П, создавшийся в конце 1941 г. - начале 1942 г., обязывал руководство НКАП использовать имеющееся количество самым эффективным образом, а именно для установки в первую очередь на те машины, которые лучшим образом отвечают потребностям военной экономи</w:t>
      </w:r>
      <w:r w:rsidRPr="008A2E5A">
        <w:rPr>
          <w:rFonts w:ascii="Times New Roman" w:hAnsi="Times New Roman"/>
          <w:color w:val="0070C0"/>
          <w:sz w:val="16"/>
          <w:szCs w:val="16"/>
        </w:rPr>
        <w:softHyphen/>
        <w:t>ки (дешевле и проще в производстве, эксплуатации и ре</w:t>
      </w:r>
      <w:r w:rsidRPr="008A2E5A">
        <w:rPr>
          <w:rFonts w:ascii="Times New Roman" w:hAnsi="Times New Roman"/>
          <w:color w:val="0070C0"/>
          <w:sz w:val="16"/>
          <w:szCs w:val="16"/>
        </w:rPr>
        <w:softHyphen/>
        <w:t>монте, заслужили хорошую репутацию в боях и пользуют</w:t>
      </w:r>
      <w:r w:rsidRPr="008A2E5A">
        <w:rPr>
          <w:rFonts w:ascii="Times New Roman" w:hAnsi="Times New Roman"/>
          <w:color w:val="0070C0"/>
          <w:sz w:val="16"/>
          <w:szCs w:val="16"/>
        </w:rPr>
        <w:softHyphen/>
        <w:t>ся повышенным спросом у летчиков ВВС - в этой связи какую-то роль в принятии решения, вероятно, сыграл со</w:t>
      </w:r>
      <w:r w:rsidRPr="008A2E5A">
        <w:rPr>
          <w:rFonts w:ascii="Times New Roman" w:hAnsi="Times New Roman"/>
          <w:color w:val="0070C0"/>
          <w:sz w:val="16"/>
          <w:szCs w:val="16"/>
        </w:rPr>
        <w:softHyphen/>
        <w:t>стоявшийся 9 марта 1942 г. успешный бой семерки Як-1 296-го иап под командованием Б.Н. Еремина против 25 немецких самолетов).</w:t>
      </w:r>
    </w:p>
    <w:p w14:paraId="0ED49DD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при проверке производственной деятель</w:t>
      </w:r>
      <w:r w:rsidRPr="008A2E5A">
        <w:rPr>
          <w:rFonts w:ascii="Times New Roman" w:hAnsi="Times New Roman"/>
          <w:color w:val="0070C0"/>
          <w:sz w:val="16"/>
          <w:szCs w:val="16"/>
        </w:rPr>
        <w:softHyphen/>
        <w:t>ности завода №21, проведенной Наркоматом госконтро</w:t>
      </w:r>
      <w:r w:rsidRPr="008A2E5A">
        <w:rPr>
          <w:rFonts w:ascii="Times New Roman" w:hAnsi="Times New Roman"/>
          <w:color w:val="0070C0"/>
          <w:sz w:val="16"/>
          <w:szCs w:val="16"/>
        </w:rPr>
        <w:softHyphen/>
        <w:t>ля СССР в период с 15 февраля по 1 марта 1942 г. выясни</w:t>
      </w:r>
      <w:r w:rsidRPr="008A2E5A">
        <w:rPr>
          <w:rFonts w:ascii="Times New Roman" w:hAnsi="Times New Roman"/>
          <w:color w:val="0070C0"/>
          <w:sz w:val="16"/>
          <w:szCs w:val="16"/>
        </w:rPr>
        <w:softHyphen/>
        <w:t>лось, что на заводе, несмотря на значительный срок из</w:t>
      </w:r>
      <w:r w:rsidRPr="008A2E5A">
        <w:rPr>
          <w:rFonts w:ascii="Times New Roman" w:hAnsi="Times New Roman"/>
          <w:color w:val="0070C0"/>
          <w:sz w:val="16"/>
          <w:szCs w:val="16"/>
        </w:rPr>
        <w:softHyphen/>
        <w:t>готовления ЛаГГ-3, отсутствуют эталоны и серийные чер</w:t>
      </w:r>
      <w:r w:rsidRPr="008A2E5A">
        <w:rPr>
          <w:rFonts w:ascii="Times New Roman" w:hAnsi="Times New Roman"/>
          <w:color w:val="0070C0"/>
          <w:sz w:val="16"/>
          <w:szCs w:val="16"/>
        </w:rPr>
        <w:softHyphen/>
        <w:t>тежи машины. В результате оснастка, стапели, приспо</w:t>
      </w:r>
      <w:r w:rsidRPr="008A2E5A">
        <w:rPr>
          <w:rFonts w:ascii="Times New Roman" w:hAnsi="Times New Roman"/>
          <w:color w:val="0070C0"/>
          <w:sz w:val="16"/>
          <w:szCs w:val="16"/>
        </w:rPr>
        <w:softHyphen/>
        <w:t>собления и шаблоны не были отработаны и выверены. Вследствие этого в сборочном цехе большинство агрега</w:t>
      </w:r>
      <w:r w:rsidRPr="008A2E5A">
        <w:rPr>
          <w:rFonts w:ascii="Times New Roman" w:hAnsi="Times New Roman"/>
          <w:color w:val="0070C0"/>
          <w:sz w:val="16"/>
          <w:szCs w:val="16"/>
        </w:rPr>
        <w:softHyphen/>
        <w:t>тов, узлов и деталей при постановке на самолет подгоня</w:t>
      </w:r>
      <w:r w:rsidRPr="008A2E5A">
        <w:rPr>
          <w:rFonts w:ascii="Times New Roman" w:hAnsi="Times New Roman"/>
          <w:color w:val="0070C0"/>
          <w:sz w:val="16"/>
          <w:szCs w:val="16"/>
        </w:rPr>
        <w:softHyphen/>
        <w:t>лись по месту вручную и заранее выпускались с припуска</w:t>
      </w:r>
      <w:r w:rsidRPr="008A2E5A">
        <w:rPr>
          <w:rFonts w:ascii="Times New Roman" w:hAnsi="Times New Roman"/>
          <w:color w:val="0070C0"/>
          <w:sz w:val="16"/>
          <w:szCs w:val="16"/>
        </w:rPr>
        <w:softHyphen/>
        <w:t>ми на подгонку. Из общего количества чертежей в сбороч</w:t>
      </w:r>
      <w:r w:rsidRPr="008A2E5A">
        <w:rPr>
          <w:rFonts w:ascii="Times New Roman" w:hAnsi="Times New Roman"/>
          <w:color w:val="0070C0"/>
          <w:sz w:val="16"/>
          <w:szCs w:val="16"/>
        </w:rPr>
        <w:softHyphen/>
        <w:t>ном цехе в 9000 штук с начала производства ЛаГГ-3 от</w:t>
      </w:r>
      <w:r w:rsidRPr="008A2E5A">
        <w:rPr>
          <w:rFonts w:ascii="Times New Roman" w:hAnsi="Times New Roman"/>
          <w:color w:val="0070C0"/>
          <w:sz w:val="16"/>
          <w:szCs w:val="16"/>
        </w:rPr>
        <w:softHyphen/>
        <w:t>дельные изменялись по 10 раз. В чертежи также внесли до 5000 исправлений, выпустили в дополнение к ним 1949 эскизов, 1022 листков изменений и 827 листков допусти</w:t>
      </w:r>
      <w:r w:rsidRPr="008A2E5A">
        <w:rPr>
          <w:rFonts w:ascii="Times New Roman" w:hAnsi="Times New Roman"/>
          <w:color w:val="0070C0"/>
          <w:sz w:val="16"/>
          <w:szCs w:val="16"/>
        </w:rPr>
        <w:softHyphen/>
        <w:t>мости, которые следовало использовать вместе с черте</w:t>
      </w:r>
      <w:r w:rsidRPr="008A2E5A">
        <w:rPr>
          <w:rFonts w:ascii="Times New Roman" w:hAnsi="Times New Roman"/>
          <w:color w:val="0070C0"/>
          <w:sz w:val="16"/>
          <w:szCs w:val="16"/>
        </w:rPr>
        <w:softHyphen/>
        <w:t>жами для производства монтажей. Это приводило к боль</w:t>
      </w:r>
      <w:r w:rsidRPr="008A2E5A">
        <w:rPr>
          <w:rFonts w:ascii="Times New Roman" w:hAnsi="Times New Roman"/>
          <w:color w:val="0070C0"/>
          <w:sz w:val="16"/>
          <w:szCs w:val="16"/>
        </w:rPr>
        <w:softHyphen/>
        <w:t>шим потерям времени, из-за чего, имея производствен</w:t>
      </w:r>
      <w:r w:rsidRPr="008A2E5A">
        <w:rPr>
          <w:rFonts w:ascii="Times New Roman" w:hAnsi="Times New Roman"/>
          <w:color w:val="0070C0"/>
          <w:sz w:val="16"/>
          <w:szCs w:val="16"/>
        </w:rPr>
        <w:softHyphen/>
        <w:t>ные мощности, по мнению инспекторов, для выпуска не менее 450-500 самолетов в месяц, завод даже не справ</w:t>
      </w:r>
      <w:r w:rsidRPr="008A2E5A">
        <w:rPr>
          <w:rFonts w:ascii="Times New Roman" w:hAnsi="Times New Roman"/>
          <w:color w:val="0070C0"/>
          <w:sz w:val="16"/>
          <w:szCs w:val="16"/>
        </w:rPr>
        <w:softHyphen/>
        <w:t>лялся с плановым заданием в 10-12 машин в сутки, соби</w:t>
      </w:r>
      <w:r w:rsidRPr="008A2E5A">
        <w:rPr>
          <w:rFonts w:ascii="Times New Roman" w:hAnsi="Times New Roman"/>
          <w:color w:val="0070C0"/>
          <w:sz w:val="16"/>
          <w:szCs w:val="16"/>
        </w:rPr>
        <w:softHyphen/>
        <w:t>рая по 8-9 штук в день. Высокой была аварийность на за</w:t>
      </w:r>
      <w:r w:rsidRPr="008A2E5A">
        <w:rPr>
          <w:rFonts w:ascii="Times New Roman" w:hAnsi="Times New Roman"/>
          <w:color w:val="0070C0"/>
          <w:sz w:val="16"/>
          <w:szCs w:val="16"/>
        </w:rPr>
        <w:softHyphen/>
        <w:t>воде. За 1941 г. и два месяца 1942 г. произошло 88 ава</w:t>
      </w:r>
      <w:r w:rsidRPr="008A2E5A">
        <w:rPr>
          <w:rFonts w:ascii="Times New Roman" w:hAnsi="Times New Roman"/>
          <w:color w:val="0070C0"/>
          <w:sz w:val="16"/>
          <w:szCs w:val="16"/>
        </w:rPr>
        <w:softHyphen/>
        <w:t>рий самолетов ЛаГГ-3. Справедивости ради следует ска</w:t>
      </w:r>
      <w:r w:rsidRPr="008A2E5A">
        <w:rPr>
          <w:rFonts w:ascii="Times New Roman" w:hAnsi="Times New Roman"/>
          <w:color w:val="0070C0"/>
          <w:sz w:val="16"/>
          <w:szCs w:val="16"/>
        </w:rPr>
        <w:softHyphen/>
        <w:t>зать, что из этого числа 55 аварий случилось по вине мо</w:t>
      </w:r>
      <w:r w:rsidRPr="008A2E5A">
        <w:rPr>
          <w:rFonts w:ascii="Times New Roman" w:hAnsi="Times New Roman"/>
          <w:color w:val="0070C0"/>
          <w:sz w:val="16"/>
          <w:szCs w:val="16"/>
        </w:rPr>
        <w:softHyphen/>
        <w:t>торов М-105П первых серий выпуска, полученных заво</w:t>
      </w:r>
      <w:r w:rsidRPr="008A2E5A">
        <w:rPr>
          <w:rFonts w:ascii="Times New Roman" w:hAnsi="Times New Roman"/>
          <w:color w:val="0070C0"/>
          <w:sz w:val="16"/>
          <w:szCs w:val="16"/>
        </w:rPr>
        <w:softHyphen/>
        <w:t>дом № 21 из мобилизационного запаса страны и, как вы</w:t>
      </w:r>
      <w:r w:rsidRPr="008A2E5A">
        <w:rPr>
          <w:rFonts w:ascii="Times New Roman" w:hAnsi="Times New Roman"/>
          <w:color w:val="0070C0"/>
          <w:sz w:val="16"/>
          <w:szCs w:val="16"/>
        </w:rPr>
        <w:softHyphen/>
        <w:t>яснилось впоследствии, требовавших специальной регу</w:t>
      </w:r>
      <w:r w:rsidRPr="008A2E5A">
        <w:rPr>
          <w:rFonts w:ascii="Times New Roman" w:hAnsi="Times New Roman"/>
          <w:color w:val="0070C0"/>
          <w:sz w:val="16"/>
          <w:szCs w:val="16"/>
        </w:rPr>
        <w:softHyphen/>
        <w:t>лировки на месте бригадами моторного завода. По вине дефектов самолета произошло всего 14 аварий, но и это число намного превышало аналогичные цифры заводов, выпускавших самолеты Як. Постановка производства Як- 75 должна была перевести существующую на заводе тех</w:t>
      </w:r>
      <w:r w:rsidRPr="008A2E5A">
        <w:rPr>
          <w:rFonts w:ascii="Times New Roman" w:hAnsi="Times New Roman"/>
          <w:color w:val="0070C0"/>
          <w:sz w:val="16"/>
          <w:szCs w:val="16"/>
        </w:rPr>
        <w:softHyphen/>
        <w:t>нологию на более высокую ступень. (Как впоследствии отмечали заводские специалисты: «по скоростным мето</w:t>
      </w:r>
      <w:r w:rsidRPr="008A2E5A">
        <w:rPr>
          <w:rFonts w:ascii="Times New Roman" w:hAnsi="Times New Roman"/>
          <w:color w:val="0070C0"/>
          <w:sz w:val="16"/>
          <w:szCs w:val="16"/>
        </w:rPr>
        <w:softHyphen/>
        <w:t>дам оснащения и уровню технической культуры внедре</w:t>
      </w:r>
      <w:r w:rsidRPr="008A2E5A">
        <w:rPr>
          <w:rFonts w:ascii="Times New Roman" w:hAnsi="Times New Roman"/>
          <w:color w:val="0070C0"/>
          <w:sz w:val="16"/>
          <w:szCs w:val="16"/>
        </w:rPr>
        <w:softHyphen/>
        <w:t>ние новой машины резко отличалось в лучшую сторону от всех предыдущих изделий».) Конструкция новой маши</w:t>
      </w:r>
      <w:r w:rsidRPr="008A2E5A">
        <w:rPr>
          <w:rFonts w:ascii="Times New Roman" w:hAnsi="Times New Roman"/>
          <w:color w:val="0070C0"/>
          <w:sz w:val="16"/>
          <w:szCs w:val="16"/>
        </w:rPr>
        <w:softHyphen/>
        <w:t>ны потребовала пересмотреть состав рабочей силы заво</w:t>
      </w:r>
      <w:r w:rsidRPr="008A2E5A">
        <w:rPr>
          <w:rFonts w:ascii="Times New Roman" w:hAnsi="Times New Roman"/>
          <w:color w:val="0070C0"/>
          <w:sz w:val="16"/>
          <w:szCs w:val="16"/>
        </w:rPr>
        <w:softHyphen/>
        <w:t>да, часть из которой (только первая очередь насчитывала 1380 человек) должна была пройти переквалификацию на требуемые специальности. Чтобы уменьшить «голод» на клепальщиков и дюральщиков, приняли решение об уста</w:t>
      </w:r>
      <w:r w:rsidRPr="008A2E5A">
        <w:rPr>
          <w:rFonts w:ascii="Times New Roman" w:hAnsi="Times New Roman"/>
          <w:color w:val="0070C0"/>
          <w:sz w:val="16"/>
          <w:szCs w:val="16"/>
        </w:rPr>
        <w:softHyphen/>
        <w:t>новке деревянного (как на Як-1) оперения на машины Як- 7, выпускаемые заводом.</w:t>
      </w:r>
    </w:p>
    <w:p w14:paraId="0DB7AB0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стоит сбрасывать со счетов и тот факт, что под не</w:t>
      </w:r>
      <w:r w:rsidRPr="008A2E5A">
        <w:rPr>
          <w:rFonts w:ascii="Times New Roman" w:hAnsi="Times New Roman"/>
          <w:color w:val="0070C0"/>
          <w:sz w:val="16"/>
          <w:szCs w:val="16"/>
        </w:rPr>
        <w:softHyphen/>
        <w:t>посредственным руководством А.С. Яковлева в Новоси</w:t>
      </w:r>
      <w:r w:rsidRPr="008A2E5A">
        <w:rPr>
          <w:rFonts w:ascii="Times New Roman" w:hAnsi="Times New Roman"/>
          <w:color w:val="0070C0"/>
          <w:sz w:val="16"/>
          <w:szCs w:val="16"/>
        </w:rPr>
        <w:softHyphen/>
        <w:t>бирске вначале восстановили производство и сдачу ВВС истребителей ЛаГГ-3 и лишь потом приступили к перево</w:t>
      </w:r>
      <w:r w:rsidRPr="008A2E5A">
        <w:rPr>
          <w:rFonts w:ascii="Times New Roman" w:hAnsi="Times New Roman"/>
          <w:color w:val="0070C0"/>
          <w:sz w:val="16"/>
          <w:szCs w:val="16"/>
        </w:rPr>
        <w:softHyphen/>
        <w:t>ду завода на выпуск новой продукции. Таким образом, за</w:t>
      </w:r>
      <w:r w:rsidRPr="008A2E5A">
        <w:rPr>
          <w:rFonts w:ascii="Times New Roman" w:hAnsi="Times New Roman"/>
          <w:color w:val="0070C0"/>
          <w:sz w:val="16"/>
          <w:szCs w:val="16"/>
        </w:rPr>
        <w:softHyphen/>
        <w:t>меститель наркома авиапромышленности, хорошо пред</w:t>
      </w:r>
      <w:r w:rsidRPr="008A2E5A">
        <w:rPr>
          <w:rFonts w:ascii="Times New Roman" w:hAnsi="Times New Roman"/>
          <w:color w:val="0070C0"/>
          <w:sz w:val="16"/>
          <w:szCs w:val="16"/>
        </w:rPr>
        <w:softHyphen/>
        <w:t>ставляя себе процесс изготовления как ЛаГГ-3, так и Як- 7, вполне мог организовать переход Горьковского авиаза</w:t>
      </w:r>
      <w:r w:rsidRPr="008A2E5A">
        <w:rPr>
          <w:rFonts w:ascii="Times New Roman" w:hAnsi="Times New Roman"/>
          <w:color w:val="0070C0"/>
          <w:sz w:val="16"/>
          <w:szCs w:val="16"/>
        </w:rPr>
        <w:softHyphen/>
        <w:t>вода на изготовление другого типа самолета, не снижая ежесуточного выпуска. Именно эта задача ставилась во главу угла постановлениями ГКО от 4 и 13 марта 1942 г. Последним из них (№1438сс от 13.03.42 г., дублирующий приказ НКАП №213сс от 16.03.42 г.) заводу №21 на 1942 г., начиная с мая месяца, устанавливалась программа по выпуску 1450 самолетов Як-7 (23381).</w:t>
      </w:r>
    </w:p>
    <w:p w14:paraId="5A2808CC" w14:textId="77777777" w:rsidR="006E2015" w:rsidRPr="008A2E5A" w:rsidRDefault="006E2015" w:rsidP="006E2015">
      <w:pPr>
        <w:spacing w:after="0" w:line="240" w:lineRule="auto"/>
        <w:jc w:val="both"/>
        <w:rPr>
          <w:rFonts w:ascii="Times New Roman" w:hAnsi="Times New Roman"/>
          <w:color w:val="0070C0"/>
          <w:sz w:val="16"/>
          <w:szCs w:val="16"/>
        </w:rPr>
      </w:pPr>
    </w:p>
    <w:p w14:paraId="523E9A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года командующий войсками СИБВО генерал-лейтенант Медведев и член военного совета СИБВО бригадный комиссар Кузьмин писал письмо N 2/00650 зам. наркома армейскому комиссару 1 ранга Мехлис.</w:t>
      </w:r>
    </w:p>
    <w:p w14:paraId="46B2EB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постройки десантного планера конструкции Поликарпова.</w:t>
      </w:r>
    </w:p>
    <w:p w14:paraId="59021B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Герой социалистического труда, директор и гл. конструктор завода N 51 НКАП Поликарпов Н.Н. сконструировал и построил опытный экземпляр парашютно-десантного планера.</w:t>
      </w:r>
    </w:p>
    <w:p w14:paraId="40F2EE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вмещает десант, состоящий из 16 человек, вооруженных автоматами или ручными пулеметами и для защиты в полете имеет 5 пулеметных установок.</w:t>
      </w:r>
    </w:p>
    <w:p w14:paraId="42BD5D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прошел летно-тактические испытания в ЛИИ ЦАГИ г. Новосибирск и при буксировке самолетом СБ показал следующие данные:</w:t>
      </w:r>
    </w:p>
    <w:p w14:paraId="75C3F0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горизонтальная скорость - 193 км/час</w:t>
      </w:r>
    </w:p>
    <w:p w14:paraId="78F855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наивыгоднейшая скорость планирования - 146 км/час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6F4095" w:rsidRPr="008127F8" w14:paraId="06F69C2C" w14:textId="77777777">
        <w:tc>
          <w:tcPr>
            <w:tcW w:w="5070" w:type="dxa"/>
            <w:tcBorders>
              <w:top w:val="single" w:sz="12" w:space="0" w:color="auto"/>
            </w:tcBorders>
          </w:tcPr>
          <w:p w14:paraId="69FA1E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полезная нагрузка</w:t>
            </w:r>
          </w:p>
        </w:tc>
        <w:tc>
          <w:tcPr>
            <w:tcW w:w="5386" w:type="dxa"/>
            <w:tcBorders>
              <w:top w:val="single" w:sz="12" w:space="0" w:color="auto"/>
            </w:tcBorders>
          </w:tcPr>
          <w:p w14:paraId="3B6403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 кг</w:t>
            </w:r>
          </w:p>
        </w:tc>
      </w:tr>
      <w:tr w:rsidR="006F4095" w:rsidRPr="008127F8" w14:paraId="28C7A9B0" w14:textId="77777777">
        <w:tc>
          <w:tcPr>
            <w:tcW w:w="5070" w:type="dxa"/>
          </w:tcPr>
          <w:p w14:paraId="3DD203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w:t>
            </w:r>
          </w:p>
        </w:tc>
        <w:tc>
          <w:tcPr>
            <w:tcW w:w="5386" w:type="dxa"/>
          </w:tcPr>
          <w:p w14:paraId="3CC9E7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3407 кг</w:t>
            </w:r>
          </w:p>
        </w:tc>
      </w:tr>
      <w:tr w:rsidR="006F4095" w:rsidRPr="008127F8" w14:paraId="0030F4D8" w14:textId="77777777">
        <w:tc>
          <w:tcPr>
            <w:tcW w:w="5070" w:type="dxa"/>
          </w:tcPr>
          <w:p w14:paraId="0EC580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 полном полетном весе планер имеет:</w:t>
            </w:r>
          </w:p>
        </w:tc>
        <w:tc>
          <w:tcPr>
            <w:tcW w:w="5386" w:type="dxa"/>
          </w:tcPr>
          <w:p w14:paraId="49D15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CB40E2" w14:textId="77777777">
        <w:tc>
          <w:tcPr>
            <w:tcW w:w="5070" w:type="dxa"/>
          </w:tcPr>
          <w:p w14:paraId="712DAA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при ветре</w:t>
            </w:r>
            <w:proofErr w:type="gramEnd"/>
            <w:r w:rsidRPr="008127F8">
              <w:rPr>
                <w:rFonts w:ascii="Times New Roman" w:hAnsi="Times New Roman"/>
                <w:color w:val="000000" w:themeColor="text1"/>
                <w:sz w:val="16"/>
                <w:szCs w:val="16"/>
              </w:rPr>
              <w:t xml:space="preserve"> приведенном к 0</w:t>
            </w:r>
          </w:p>
        </w:tc>
        <w:tc>
          <w:tcPr>
            <w:tcW w:w="5386" w:type="dxa"/>
          </w:tcPr>
          <w:p w14:paraId="7FF4EA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94D4F5" w14:textId="77777777">
        <w:tc>
          <w:tcPr>
            <w:tcW w:w="5070" w:type="dxa"/>
          </w:tcPr>
          <w:p w14:paraId="1D8521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при взлете</w:t>
            </w:r>
          </w:p>
        </w:tc>
        <w:tc>
          <w:tcPr>
            <w:tcW w:w="5386" w:type="dxa"/>
          </w:tcPr>
          <w:p w14:paraId="176CA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 м</w:t>
            </w:r>
          </w:p>
        </w:tc>
      </w:tr>
      <w:tr w:rsidR="006F4095" w:rsidRPr="008127F8" w14:paraId="63DF2847" w14:textId="77777777">
        <w:tc>
          <w:tcPr>
            <w:tcW w:w="5070" w:type="dxa"/>
          </w:tcPr>
          <w:p w14:paraId="11BA96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 щитков</w:t>
            </w:r>
          </w:p>
        </w:tc>
        <w:tc>
          <w:tcPr>
            <w:tcW w:w="5386" w:type="dxa"/>
          </w:tcPr>
          <w:p w14:paraId="3E2671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м</w:t>
            </w:r>
          </w:p>
        </w:tc>
      </w:tr>
      <w:tr w:rsidR="006F4095" w:rsidRPr="008127F8" w14:paraId="77339B1A" w14:textId="77777777">
        <w:tc>
          <w:tcPr>
            <w:tcW w:w="5070" w:type="dxa"/>
          </w:tcPr>
          <w:p w14:paraId="031927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w:t>
            </w:r>
          </w:p>
        </w:tc>
        <w:tc>
          <w:tcPr>
            <w:tcW w:w="5386" w:type="dxa"/>
          </w:tcPr>
          <w:p w14:paraId="771B8E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0CDA6B" w14:textId="77777777">
        <w:tc>
          <w:tcPr>
            <w:tcW w:w="5070" w:type="dxa"/>
            <w:tcBorders>
              <w:bottom w:val="single" w:sz="12" w:space="0" w:color="auto"/>
            </w:tcBorders>
          </w:tcPr>
          <w:p w14:paraId="11D22B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щитками</w:t>
            </w:r>
          </w:p>
        </w:tc>
        <w:tc>
          <w:tcPr>
            <w:tcW w:w="5386" w:type="dxa"/>
            <w:tcBorders>
              <w:bottom w:val="single" w:sz="12" w:space="0" w:color="auto"/>
            </w:tcBorders>
          </w:tcPr>
          <w:p w14:paraId="46DBE5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м</w:t>
            </w:r>
          </w:p>
        </w:tc>
      </w:tr>
    </w:tbl>
    <w:p w14:paraId="712423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планирования с высоты 4000 м 100 км с запасом для посадки.</w:t>
      </w:r>
    </w:p>
    <w:p w14:paraId="1285C1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в полете устойчив, легко управляем и может пилотироваться летчиком, летающим только на У-2.</w:t>
      </w:r>
    </w:p>
    <w:p w14:paraId="305C6F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Теоретические расчеты показали, что самолет ДБ-3 или ПС-84 можно буксировать одновременно 2 планера.</w:t>
      </w:r>
    </w:p>
    <w:p w14:paraId="652B06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Аналогичный планер может быть изготовлен в бомбардировочном варианте с бомбовой нагрузкой до 2000 кг.</w:t>
      </w:r>
    </w:p>
    <w:p w14:paraId="3E9CCA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планера деревянная: из сосны, ели и березы. Он может быть легко изготовлен на деревообделочном заводе или мебельной фабрике. Для изготовления серии 100 шт. планеров потребно 726 тысяч нормо-часов и стоимость одного планера 41425 руб. при заказе не менее 100 шт.</w:t>
      </w:r>
    </w:p>
    <w:p w14:paraId="201741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производство планеров может быть организовано после дополнительного оборудования на деревообделочных заводах в г. Красноярске, в г. Абакане и г. Канске Красноярского края, на что имеется согласие первого секретаря Красноярского крайкома ВКП(б), а также на одном из лесозаводов г. Новосибирска и на Омском планерном заводе. С завода планеры могут поставлять по железной дороге.</w:t>
      </w:r>
    </w:p>
    <w:p w14:paraId="374B27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легко грузится на одну четырехосную платформу.</w:t>
      </w:r>
    </w:p>
    <w:p w14:paraId="5942D9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Лесматериал найдется на месте, а металлические детали, до оснастки указанных предприятий могут быть изготовлены на заводе N 51.</w:t>
      </w:r>
    </w:p>
    <w:p w14:paraId="74A6E6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Предполагая наличие относительно подготовленной базы для немедленного начала работ, развертывание производства может обеспечить следующий минимальный вариант серийного выпуска планеров по месяцам на каждом 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tblGrid>
      <w:tr w:rsidR="006F4095" w:rsidRPr="008127F8" w14:paraId="79DB7D58" w14:textId="77777777">
        <w:tc>
          <w:tcPr>
            <w:tcW w:w="1252" w:type="dxa"/>
            <w:tcBorders>
              <w:top w:val="single" w:sz="12" w:space="0" w:color="auto"/>
            </w:tcBorders>
          </w:tcPr>
          <w:p w14:paraId="41EE05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w:t>
            </w:r>
          </w:p>
        </w:tc>
        <w:tc>
          <w:tcPr>
            <w:tcW w:w="1252" w:type="dxa"/>
            <w:tcBorders>
              <w:top w:val="single" w:sz="12" w:space="0" w:color="auto"/>
            </w:tcBorders>
          </w:tcPr>
          <w:p w14:paraId="634C2B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2-й</w:t>
            </w:r>
          </w:p>
        </w:tc>
        <w:tc>
          <w:tcPr>
            <w:tcW w:w="1252" w:type="dxa"/>
            <w:tcBorders>
              <w:top w:val="single" w:sz="12" w:space="0" w:color="auto"/>
            </w:tcBorders>
          </w:tcPr>
          <w:p w14:paraId="7C1AE5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3-й</w:t>
            </w:r>
          </w:p>
        </w:tc>
        <w:tc>
          <w:tcPr>
            <w:tcW w:w="1252" w:type="dxa"/>
            <w:tcBorders>
              <w:top w:val="single" w:sz="12" w:space="0" w:color="auto"/>
            </w:tcBorders>
          </w:tcPr>
          <w:p w14:paraId="2EF105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4-й</w:t>
            </w:r>
          </w:p>
        </w:tc>
        <w:tc>
          <w:tcPr>
            <w:tcW w:w="1252" w:type="dxa"/>
            <w:tcBorders>
              <w:top w:val="single" w:sz="12" w:space="0" w:color="auto"/>
            </w:tcBorders>
          </w:tcPr>
          <w:p w14:paraId="6F70FF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5-й</w:t>
            </w:r>
          </w:p>
        </w:tc>
        <w:tc>
          <w:tcPr>
            <w:tcW w:w="1252" w:type="dxa"/>
            <w:tcBorders>
              <w:top w:val="single" w:sz="12" w:space="0" w:color="auto"/>
            </w:tcBorders>
          </w:tcPr>
          <w:p w14:paraId="5D0D46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6-й</w:t>
            </w:r>
          </w:p>
        </w:tc>
        <w:tc>
          <w:tcPr>
            <w:tcW w:w="1252" w:type="dxa"/>
            <w:tcBorders>
              <w:top w:val="single" w:sz="12" w:space="0" w:color="auto"/>
            </w:tcBorders>
          </w:tcPr>
          <w:p w14:paraId="615DF3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7-й</w:t>
            </w:r>
          </w:p>
        </w:tc>
        <w:tc>
          <w:tcPr>
            <w:tcW w:w="1252" w:type="dxa"/>
            <w:tcBorders>
              <w:top w:val="single" w:sz="12" w:space="0" w:color="auto"/>
            </w:tcBorders>
          </w:tcPr>
          <w:p w14:paraId="6C404D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8-й</w:t>
            </w:r>
          </w:p>
        </w:tc>
      </w:tr>
      <w:tr w:rsidR="006F4095" w:rsidRPr="008127F8" w14:paraId="30D38566" w14:textId="77777777">
        <w:tc>
          <w:tcPr>
            <w:tcW w:w="1252" w:type="dxa"/>
            <w:tcBorders>
              <w:bottom w:val="single" w:sz="12" w:space="0" w:color="auto"/>
            </w:tcBorders>
          </w:tcPr>
          <w:p w14:paraId="746486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w:t>
            </w:r>
          </w:p>
        </w:tc>
        <w:tc>
          <w:tcPr>
            <w:tcW w:w="1252" w:type="dxa"/>
            <w:tcBorders>
              <w:bottom w:val="single" w:sz="12" w:space="0" w:color="auto"/>
            </w:tcBorders>
          </w:tcPr>
          <w:p w14:paraId="4F7ADF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252" w:type="dxa"/>
            <w:tcBorders>
              <w:bottom w:val="single" w:sz="12" w:space="0" w:color="auto"/>
            </w:tcBorders>
          </w:tcPr>
          <w:p w14:paraId="37E01C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52" w:type="dxa"/>
            <w:tcBorders>
              <w:bottom w:val="single" w:sz="12" w:space="0" w:color="auto"/>
            </w:tcBorders>
          </w:tcPr>
          <w:p w14:paraId="2BA44F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252" w:type="dxa"/>
            <w:tcBorders>
              <w:bottom w:val="single" w:sz="12" w:space="0" w:color="auto"/>
            </w:tcBorders>
          </w:tcPr>
          <w:p w14:paraId="599319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252" w:type="dxa"/>
            <w:tcBorders>
              <w:bottom w:val="single" w:sz="12" w:space="0" w:color="auto"/>
            </w:tcBorders>
          </w:tcPr>
          <w:p w14:paraId="7B58D8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252" w:type="dxa"/>
            <w:tcBorders>
              <w:bottom w:val="single" w:sz="12" w:space="0" w:color="auto"/>
            </w:tcBorders>
          </w:tcPr>
          <w:p w14:paraId="1A6630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252" w:type="dxa"/>
            <w:tcBorders>
              <w:bottom w:val="single" w:sz="12" w:space="0" w:color="auto"/>
            </w:tcBorders>
          </w:tcPr>
          <w:p w14:paraId="5D62C2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шт.</w:t>
            </w:r>
          </w:p>
        </w:tc>
      </w:tr>
    </w:tbl>
    <w:p w14:paraId="3DB15B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определения конкретного плана выпуска на каждом заводе необходимо после первого месяца работы командирование на каждый завод представителя НКАП.</w:t>
      </w:r>
    </w:p>
    <w:p w14:paraId="57FD94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Инструктаж и техническая помощь в налаживании производства будет обеспечиваться заводом N 51.</w:t>
      </w:r>
    </w:p>
    <w:p w14:paraId="364248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важность и эффективность парашютно-десантных операций с применением планеров и ценность данного планера для этих целей, Военный совет Сибирского военного округа просит Вашего содействия перед правительством в практическом осуществлении серийного производства планеров конструкции Поликарпова, путем принятия данного планера на вооружение и дачи заказа НКАП для серийного производства.</w:t>
      </w:r>
    </w:p>
    <w:p w14:paraId="27F663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на 21 листах (2178,287).</w:t>
      </w:r>
    </w:p>
    <w:p w14:paraId="325DC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7A71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36136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E17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1377 Об отнесении Наркомхимпрома к числу наркоматов военной промышленности. РГАНИР, Фонд ГКО, д. 23, лл. 49 (11012).</w:t>
      </w:r>
    </w:p>
    <w:p w14:paraId="6190DA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D2F9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марта 1942 г. Постановление ГКО СССР № 1377с «Об отнесении Наркомата химической промышленности к числу наркоматов военной промышленности»</w:t>
      </w:r>
    </w:p>
    <w:p w14:paraId="6847D81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273A16E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7A8DF50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Отнести Наркомат химической промышленности к числу наркоматов военной промышленности.</w:t>
      </w:r>
    </w:p>
    <w:p w14:paraId="32FF296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наркоматы и предприятия, поставляющие материалы, сырье, топливо, электроэнергию и оборудование предприятиям и стройкам химической промышленности: а) выделять и реализовывать фонды на материалы, топливо и оборудование наравне со снабжением боеприпасов. Госплану СССР выделять фонды на материалы, оборудование и топливо Наркомату химической промышленности наравне с военными наркоматами; б) железнодорожные и водные перевозки сырья, полуфабрикатов для заводов химической промышленности, а также перевозки готовой продукции производить наравне с воинскими перевозками. Перевозки кислот и спецхимикатов производить постоянно закрепленными цистернами, вагонами; в) обязать НКПС реорганизовать отдел перевозок грузов химической промышленности по типу отдела перевозок боеприпасов, возложив на него диспетчерский контроль за подачей вагонов, погрузкой и продвижением в пути грузов химической промышленности.</w:t>
      </w:r>
    </w:p>
    <w:p w14:paraId="01E5008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Наркомторгу СССР с марта месяца 1942 г. производить снабжение рабочих, служащих и ИТР предприятий Наркомхимпрома (по списку, утвержденному CHK СССР) продовольственными и промышленными товарами по нормам особого списка^через закрытую торговую сеть.</w:t>
      </w:r>
    </w:p>
    <w:p w14:paraId="495140C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Сталину</w:t>
      </w:r>
    </w:p>
    <w:p w14:paraId="4D2E41E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23. Л. 49. Подлинник (24029).</w:t>
      </w:r>
    </w:p>
    <w:p w14:paraId="02A2E2DC" w14:textId="77777777" w:rsidR="006E2015" w:rsidRPr="008A2E5A" w:rsidRDefault="006E2015" w:rsidP="006E2015">
      <w:pPr>
        <w:spacing w:after="0" w:line="240" w:lineRule="auto"/>
        <w:jc w:val="both"/>
        <w:rPr>
          <w:rFonts w:ascii="Times New Roman" w:hAnsi="Times New Roman"/>
          <w:color w:val="0070C0"/>
          <w:sz w:val="16"/>
          <w:szCs w:val="16"/>
        </w:rPr>
      </w:pPr>
    </w:p>
    <w:p w14:paraId="0D1DB5B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года нарком танковой про</w:t>
      </w:r>
      <w:r w:rsidRPr="008127F8">
        <w:rPr>
          <w:rFonts w:ascii="Times New Roman" w:hAnsi="Times New Roman"/>
          <w:color w:val="000000" w:themeColor="text1"/>
          <w:sz w:val="16"/>
          <w:szCs w:val="16"/>
        </w:rPr>
        <w:softHyphen/>
        <w:t>мышленности И. Зальцман направил в ко</w:t>
      </w:r>
      <w:r w:rsidRPr="008127F8">
        <w:rPr>
          <w:rFonts w:ascii="Times New Roman" w:hAnsi="Times New Roman"/>
          <w:color w:val="000000" w:themeColor="text1"/>
          <w:sz w:val="16"/>
          <w:szCs w:val="16"/>
        </w:rPr>
        <w:softHyphen/>
        <w:t>митет по Сталинским премиям при СНК Союза ССР письмо, в котором просил рас</w:t>
      </w:r>
      <w:r w:rsidRPr="008127F8">
        <w:rPr>
          <w:rFonts w:ascii="Times New Roman" w:hAnsi="Times New Roman"/>
          <w:color w:val="000000" w:themeColor="text1"/>
          <w:sz w:val="16"/>
          <w:szCs w:val="16"/>
        </w:rPr>
        <w:softHyphen/>
        <w:t xml:space="preserve">смотреть возможность получения премии первой степени за работу «Создание тяжелого танка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-1С». В этом документе Заль</w:t>
      </w:r>
      <w:r w:rsidRPr="008127F8">
        <w:rPr>
          <w:rFonts w:ascii="Times New Roman" w:hAnsi="Times New Roman"/>
          <w:color w:val="000000" w:themeColor="text1"/>
          <w:sz w:val="16"/>
          <w:szCs w:val="16"/>
        </w:rPr>
        <w:softHyphen/>
        <w:t>цман писал:</w:t>
      </w:r>
    </w:p>
    <w:p w14:paraId="47D1A498"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«Авторским коллективом по объединен</w:t>
      </w:r>
      <w:r w:rsidRPr="008127F8">
        <w:rPr>
          <w:rFonts w:ascii="Times New Roman" w:cs="Times New Roman"/>
          <w:color w:val="000000" w:themeColor="text1"/>
          <w:spacing w:val="0"/>
        </w:rPr>
        <w:softHyphen/>
        <w:t>ной теме являются:</w:t>
      </w:r>
    </w:p>
    <w:p w14:paraId="50A43701"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Духов Николай Леонидович - заместитель главного конструктора Кировского завода;</w:t>
      </w:r>
    </w:p>
    <w:p w14:paraId="46DF0EC2"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Ермолаев Афанасий Семенович - главный конструктор опытного завода № 100;</w:t>
      </w:r>
    </w:p>
    <w:p w14:paraId="764609CE"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Благонравов Александр Иванович - ин</w:t>
      </w:r>
      <w:r w:rsidRPr="008127F8">
        <w:rPr>
          <w:rFonts w:ascii="Times New Roman" w:cs="Times New Roman"/>
          <w:color w:val="000000" w:themeColor="text1"/>
          <w:spacing w:val="0"/>
        </w:rPr>
        <w:softHyphen/>
        <w:t>женер-подполковник, преподаватель ВАММ им. Сталина;</w:t>
      </w:r>
    </w:p>
    <w:p w14:paraId="77F32229"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Шашмурин Николай Федорович — старший инженер-конструктор Кировского завода;</w:t>
      </w:r>
    </w:p>
    <w:p w14:paraId="457288B0"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Сычев Леонид Ефимович - старший инже- нер-конструктор Кировского завода;</w:t>
      </w:r>
    </w:p>
    <w:p w14:paraId="55F2A346"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Михайлов Герман Александрович — веду</w:t>
      </w:r>
      <w:r w:rsidRPr="008127F8">
        <w:rPr>
          <w:rFonts w:ascii="Times New Roman" w:cs="Times New Roman"/>
          <w:color w:val="000000" w:themeColor="text1"/>
          <w:spacing w:val="0"/>
        </w:rPr>
        <w:softHyphen/>
        <w:t>щий конструктор Кировского завода;</w:t>
      </w:r>
    </w:p>
    <w:p w14:paraId="586E9E61"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Стрекин Александр Натанович — инженер- конструктор Кировского завода;</w:t>
      </w:r>
    </w:p>
    <w:p w14:paraId="26BEC2EF"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Дедов Евгений Пантелеймонович - веду</w:t>
      </w:r>
      <w:r w:rsidRPr="008127F8">
        <w:rPr>
          <w:rFonts w:ascii="Times New Roman" w:cs="Times New Roman"/>
          <w:color w:val="000000" w:themeColor="text1"/>
          <w:spacing w:val="0"/>
        </w:rPr>
        <w:softHyphen/>
        <w:t>щий конструктор Кировского завода;</w:t>
      </w:r>
    </w:p>
    <w:p w14:paraId="7F49208A"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proofErr w:type="gramStart"/>
      <w:r w:rsidRPr="008127F8">
        <w:rPr>
          <w:rFonts w:ascii="Times New Roman" w:cs="Times New Roman"/>
          <w:color w:val="000000" w:themeColor="text1"/>
          <w:spacing w:val="0"/>
        </w:rPr>
        <w:t>Синев</w:t>
      </w:r>
      <w:proofErr w:type="gramEnd"/>
      <w:r w:rsidRPr="008127F8">
        <w:rPr>
          <w:rFonts w:ascii="Times New Roman" w:cs="Times New Roman"/>
          <w:color w:val="000000" w:themeColor="text1"/>
          <w:spacing w:val="0"/>
        </w:rPr>
        <w:t xml:space="preserve"> Николай Михайлович — замести</w:t>
      </w:r>
      <w:r w:rsidRPr="008127F8">
        <w:rPr>
          <w:rFonts w:ascii="Times New Roman" w:cs="Times New Roman"/>
          <w:color w:val="000000" w:themeColor="text1"/>
          <w:spacing w:val="0"/>
        </w:rPr>
        <w:softHyphen/>
        <w:t>тель главного инженера завода № 100;</w:t>
      </w:r>
    </w:p>
    <w:p w14:paraId="3372468B"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Лесохин Абрам Фалкович - ведущий кон</w:t>
      </w:r>
      <w:r w:rsidRPr="008127F8">
        <w:rPr>
          <w:rFonts w:ascii="Times New Roman" w:cs="Times New Roman"/>
          <w:color w:val="000000" w:themeColor="text1"/>
          <w:spacing w:val="0"/>
        </w:rPr>
        <w:softHyphen/>
        <w:t>структор Кировского завода.</w:t>
      </w:r>
    </w:p>
    <w:p w14:paraId="4209187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Содержание проделанной работы:</w:t>
      </w:r>
    </w:p>
    <w:p w14:paraId="71FB67A3"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Опыт боевой эксплуатации в Отечествен</w:t>
      </w:r>
      <w:r w:rsidRPr="008127F8">
        <w:rPr>
          <w:rFonts w:ascii="Times New Roman" w:cs="Times New Roman"/>
          <w:color w:val="000000" w:themeColor="text1"/>
          <w:spacing w:val="0"/>
        </w:rPr>
        <w:softHyphen/>
        <w:t xml:space="preserve">ной войне нашего тяжелого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пока</w:t>
      </w:r>
      <w:r w:rsidRPr="008127F8">
        <w:rPr>
          <w:rFonts w:ascii="Times New Roman" w:cs="Times New Roman"/>
          <w:color w:val="000000" w:themeColor="text1"/>
          <w:spacing w:val="0"/>
        </w:rPr>
        <w:softHyphen/>
        <w:t>зал, что наряду с высокими боевыми каче</w:t>
      </w:r>
      <w:r w:rsidRPr="008127F8">
        <w:rPr>
          <w:rFonts w:ascii="Times New Roman" w:cs="Times New Roman"/>
          <w:color w:val="000000" w:themeColor="text1"/>
          <w:spacing w:val="0"/>
        </w:rPr>
        <w:softHyphen/>
        <w:t>ствами, этот танк обладает и недостатками, затрудняющими в полной мере использовать высокие боевые качества танка. Рядом реше</w:t>
      </w:r>
      <w:r w:rsidRPr="008127F8">
        <w:rPr>
          <w:rFonts w:ascii="Times New Roman" w:cs="Times New Roman"/>
          <w:color w:val="000000" w:themeColor="text1"/>
          <w:spacing w:val="0"/>
        </w:rPr>
        <w:softHyphen/>
        <w:t>ний ГКО и по прямому указанию товарища Сталина, Кировский завод был обязан мо</w:t>
      </w:r>
      <w:r w:rsidRPr="008127F8">
        <w:rPr>
          <w:rFonts w:ascii="Times New Roman" w:cs="Times New Roman"/>
          <w:color w:val="000000" w:themeColor="text1"/>
          <w:spacing w:val="0"/>
        </w:rPr>
        <w:softHyphen/>
        <w:t>дернизировать тяжелый танк.</w:t>
      </w:r>
    </w:p>
    <w:p w14:paraId="54C3C815"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Эта работа в виде тяжелого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была выполнена указанным выше авторским коллективом под непосредственным руко</w:t>
      </w:r>
      <w:r w:rsidRPr="008127F8">
        <w:rPr>
          <w:rFonts w:ascii="Times New Roman" w:cs="Times New Roman"/>
          <w:color w:val="000000" w:themeColor="text1"/>
          <w:spacing w:val="0"/>
        </w:rPr>
        <w:softHyphen/>
        <w:t>водством главного конструктора т. Коти</w:t>
      </w:r>
      <w:r w:rsidRPr="008127F8">
        <w:rPr>
          <w:rFonts w:ascii="Times New Roman" w:cs="Times New Roman"/>
          <w:color w:val="000000" w:themeColor="text1"/>
          <w:spacing w:val="0"/>
        </w:rPr>
        <w:softHyphen/>
        <w:t>на Ж.Я.</w:t>
      </w:r>
    </w:p>
    <w:p w14:paraId="75DFAECF"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Новый тяжелый танк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при одном и том же вооружении, что и у его предше</w:t>
      </w:r>
      <w:r w:rsidRPr="008127F8">
        <w:rPr>
          <w:rFonts w:ascii="Times New Roman" w:cs="Times New Roman"/>
          <w:color w:val="000000" w:themeColor="text1"/>
          <w:spacing w:val="0"/>
        </w:rPr>
        <w:softHyphen/>
        <w:t>ственника - танка КВ-1, отличается от по</w:t>
      </w:r>
      <w:r w:rsidRPr="008127F8">
        <w:rPr>
          <w:rFonts w:ascii="Times New Roman" w:cs="Times New Roman"/>
          <w:color w:val="000000" w:themeColor="text1"/>
          <w:spacing w:val="0"/>
        </w:rPr>
        <w:softHyphen/>
        <w:t>следнего следующими улучшениями:</w:t>
      </w:r>
    </w:p>
    <w:p w14:paraId="21422B98" w14:textId="77777777" w:rsidR="007216D1" w:rsidRPr="008127F8" w:rsidRDefault="007216D1" w:rsidP="001E0A84">
      <w:pPr>
        <w:pStyle w:val="27"/>
        <w:shd w:val="clear" w:color="auto" w:fill="auto"/>
        <w:tabs>
          <w:tab w:val="left" w:pos="33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1. Вес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снижен на 11 %.</w:t>
      </w:r>
    </w:p>
    <w:p w14:paraId="028F2B62" w14:textId="77777777" w:rsidR="007216D1" w:rsidRPr="008127F8" w:rsidRDefault="007216D1" w:rsidP="001E0A84">
      <w:pPr>
        <w:pStyle w:val="27"/>
        <w:shd w:val="clear" w:color="auto" w:fill="auto"/>
        <w:tabs>
          <w:tab w:val="left" w:pos="342"/>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2. В танке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установлена новая 8-ско</w:t>
      </w:r>
      <w:r w:rsidRPr="008127F8">
        <w:rPr>
          <w:rFonts w:ascii="Times New Roman" w:cs="Times New Roman"/>
          <w:color w:val="000000" w:themeColor="text1"/>
          <w:spacing w:val="0"/>
        </w:rPr>
        <w:softHyphen/>
        <w:t>ростная коробка перемены передач и новое многодисковое главное сцепление, значи</w:t>
      </w:r>
      <w:r w:rsidRPr="008127F8">
        <w:rPr>
          <w:rFonts w:ascii="Times New Roman" w:cs="Times New Roman"/>
          <w:color w:val="000000" w:themeColor="text1"/>
          <w:spacing w:val="0"/>
        </w:rPr>
        <w:softHyphen/>
        <w:t>тельно повысившее гибкость и надежность управления.</w:t>
      </w:r>
    </w:p>
    <w:p w14:paraId="497FF4D1" w14:textId="77777777" w:rsidR="007216D1" w:rsidRPr="008127F8" w:rsidRDefault="007216D1" w:rsidP="001E0A84">
      <w:pPr>
        <w:pStyle w:val="27"/>
        <w:shd w:val="clear" w:color="auto" w:fill="auto"/>
        <w:tabs>
          <w:tab w:val="left" w:pos="332"/>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В танке КВ-1С основные агрегаты транс</w:t>
      </w:r>
      <w:r w:rsidRPr="008127F8">
        <w:rPr>
          <w:rFonts w:ascii="Times New Roman" w:cs="Times New Roman"/>
          <w:color w:val="000000" w:themeColor="text1"/>
          <w:spacing w:val="0"/>
        </w:rPr>
        <w:softHyphen/>
        <w:t>миссии: бортовые передачи, тормоза и ре</w:t>
      </w:r>
      <w:r w:rsidRPr="008127F8">
        <w:rPr>
          <w:rFonts w:ascii="Times New Roman" w:cs="Times New Roman"/>
          <w:color w:val="000000" w:themeColor="text1"/>
          <w:spacing w:val="0"/>
        </w:rPr>
        <w:softHyphen/>
        <w:t>дукторы использовались из танка КВ-1 после их значительной конструктивной переработ</w:t>
      </w:r>
      <w:r w:rsidRPr="008127F8">
        <w:rPr>
          <w:rFonts w:ascii="Times New Roman" w:cs="Times New Roman"/>
          <w:color w:val="000000" w:themeColor="text1"/>
          <w:spacing w:val="0"/>
        </w:rPr>
        <w:softHyphen/>
        <w:t>ки, в результате чего были устранены ранее обнаруженные недостатки.</w:t>
      </w:r>
    </w:p>
    <w:p w14:paraId="4CDFC1D4" w14:textId="77777777" w:rsidR="007216D1" w:rsidRPr="008127F8" w:rsidRDefault="007216D1" w:rsidP="001E0A84">
      <w:pPr>
        <w:pStyle w:val="27"/>
        <w:shd w:val="clear" w:color="auto" w:fill="auto"/>
        <w:tabs>
          <w:tab w:val="left" w:pos="351"/>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4. В танке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установлена оригиналь</w:t>
      </w:r>
      <w:r w:rsidRPr="008127F8">
        <w:rPr>
          <w:rFonts w:ascii="Times New Roman" w:cs="Times New Roman"/>
          <w:color w:val="000000" w:themeColor="text1"/>
          <w:spacing w:val="0"/>
        </w:rPr>
        <w:softHyphen/>
        <w:t>ная схема охлаждения мотора с новым ти</w:t>
      </w:r>
      <w:r w:rsidRPr="008127F8">
        <w:rPr>
          <w:rFonts w:ascii="Times New Roman" w:cs="Times New Roman"/>
          <w:color w:val="000000" w:themeColor="text1"/>
          <w:spacing w:val="0"/>
        </w:rPr>
        <w:softHyphen/>
        <w:t>пом пластинчатых масляного и водяных радиаторов; и вентиляторной установкой, что позволило: радикально улучшить каче</w:t>
      </w:r>
      <w:r w:rsidRPr="008127F8">
        <w:rPr>
          <w:rFonts w:ascii="Times New Roman" w:cs="Times New Roman"/>
          <w:color w:val="000000" w:themeColor="text1"/>
          <w:spacing w:val="0"/>
        </w:rPr>
        <w:softHyphen/>
        <w:t>ство системы охлаждения моторной уста</w:t>
      </w:r>
      <w:r w:rsidRPr="008127F8">
        <w:rPr>
          <w:rFonts w:ascii="Times New Roman" w:cs="Times New Roman"/>
          <w:color w:val="000000" w:themeColor="text1"/>
          <w:spacing w:val="0"/>
        </w:rPr>
        <w:softHyphen/>
        <w:t>новки, использовать полностью мощность двигателя и исключило ранее имевшиеся недостатки.</w:t>
      </w:r>
    </w:p>
    <w:p w14:paraId="3F1BD2EF" w14:textId="77777777" w:rsidR="007216D1" w:rsidRPr="008127F8" w:rsidRDefault="007216D1" w:rsidP="001E0A84">
      <w:pPr>
        <w:pStyle w:val="27"/>
        <w:shd w:val="clear" w:color="auto" w:fill="auto"/>
        <w:tabs>
          <w:tab w:val="left" w:pos="462"/>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5. Уменьшенный вес, надежная работа и более высокие технические данные новых и улучшенных агрегатов трансмиссии и си</w:t>
      </w:r>
      <w:r w:rsidRPr="008127F8">
        <w:rPr>
          <w:rFonts w:ascii="Times New Roman" w:cs="Times New Roman"/>
          <w:color w:val="000000" w:themeColor="text1"/>
          <w:spacing w:val="0"/>
        </w:rPr>
        <w:softHyphen/>
        <w:t>стемы охлаждения моторной установки, по</w:t>
      </w:r>
      <w:r w:rsidRPr="008127F8">
        <w:rPr>
          <w:rFonts w:ascii="Times New Roman" w:cs="Times New Roman"/>
          <w:color w:val="000000" w:themeColor="text1"/>
          <w:spacing w:val="0"/>
        </w:rPr>
        <w:softHyphen/>
        <w:t>зволили значительно повысить динамиче</w:t>
      </w:r>
      <w:r w:rsidRPr="008127F8">
        <w:rPr>
          <w:rFonts w:ascii="Times New Roman" w:cs="Times New Roman"/>
          <w:color w:val="000000" w:themeColor="text1"/>
          <w:spacing w:val="0"/>
        </w:rPr>
        <w:softHyphen/>
        <w:t xml:space="preserve">скую характеристику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против его предшественника - танка КВ-1.</w:t>
      </w:r>
    </w:p>
    <w:p w14:paraId="2977EA66" w14:textId="77777777" w:rsidR="007216D1" w:rsidRPr="008127F8" w:rsidRDefault="007216D1" w:rsidP="001E0A84">
      <w:pPr>
        <w:pStyle w:val="27"/>
        <w:shd w:val="clear" w:color="auto" w:fill="auto"/>
        <w:tabs>
          <w:tab w:val="left" w:pos="50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 Максимальная скорость повышена на 40%.</w:t>
      </w:r>
    </w:p>
    <w:p w14:paraId="78682125" w14:textId="77777777" w:rsidR="007216D1" w:rsidRPr="008127F8" w:rsidRDefault="007216D1" w:rsidP="001E0A84">
      <w:pPr>
        <w:pStyle w:val="27"/>
        <w:shd w:val="clear" w:color="auto" w:fill="auto"/>
        <w:tabs>
          <w:tab w:val="left" w:pos="50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Средняя скорость движения повыше</w:t>
      </w:r>
      <w:r w:rsidRPr="008127F8">
        <w:rPr>
          <w:rFonts w:ascii="Times New Roman" w:cs="Times New Roman"/>
          <w:color w:val="000000" w:themeColor="text1"/>
          <w:spacing w:val="0"/>
        </w:rPr>
        <w:softHyphen/>
        <w:t>на на 25-30%.</w:t>
      </w:r>
    </w:p>
    <w:p w14:paraId="4DCC7D54" w14:textId="77777777" w:rsidR="007216D1" w:rsidRPr="008127F8" w:rsidRDefault="007216D1" w:rsidP="001E0A84">
      <w:pPr>
        <w:pStyle w:val="27"/>
        <w:shd w:val="clear" w:color="auto" w:fill="auto"/>
        <w:tabs>
          <w:tab w:val="left" w:pos="49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Расход топлива и смазки на 1 км пути уменьшен на 10—12%.</w:t>
      </w:r>
    </w:p>
    <w:p w14:paraId="38F0E724" w14:textId="77777777" w:rsidR="007216D1" w:rsidRPr="008127F8" w:rsidRDefault="007216D1" w:rsidP="001E0A84">
      <w:pPr>
        <w:pStyle w:val="27"/>
        <w:shd w:val="clear" w:color="auto" w:fill="auto"/>
        <w:tabs>
          <w:tab w:val="left" w:pos="42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lastRenderedPageBreak/>
        <w:t xml:space="preserve">5. Конструктивной разработкой агрегатов и деталей нового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обеспечено также значительное упрощение технологич</w:t>
      </w:r>
      <w:r w:rsidRPr="008127F8">
        <w:rPr>
          <w:rFonts w:ascii="Times New Roman" w:cs="Times New Roman"/>
          <w:color w:val="000000" w:themeColor="text1"/>
          <w:spacing w:val="0"/>
        </w:rPr>
        <w:softHyphen/>
        <w:t>ности конструкции, снижение трудоемкости производства и сокращение расхода дефи</w:t>
      </w:r>
      <w:r w:rsidRPr="008127F8">
        <w:rPr>
          <w:rFonts w:ascii="Times New Roman" w:cs="Times New Roman"/>
          <w:color w:val="000000" w:themeColor="text1"/>
          <w:spacing w:val="0"/>
        </w:rPr>
        <w:softHyphen/>
        <w:t>цитных материалов. Так, например, изготов</w:t>
      </w:r>
      <w:r w:rsidRPr="008127F8">
        <w:rPr>
          <w:rFonts w:ascii="Times New Roman" w:cs="Times New Roman"/>
          <w:color w:val="000000" w:themeColor="text1"/>
          <w:spacing w:val="0"/>
        </w:rPr>
        <w:softHyphen/>
        <w:t>ление нового типа пластинчатых радиато</w:t>
      </w:r>
      <w:r w:rsidRPr="008127F8">
        <w:rPr>
          <w:rFonts w:ascii="Times New Roman" w:cs="Times New Roman"/>
          <w:color w:val="000000" w:themeColor="text1"/>
          <w:spacing w:val="0"/>
        </w:rPr>
        <w:softHyphen/>
        <w:t>ров сокращает расход листового алюминия на 100 кг на каждый танк.</w:t>
      </w:r>
    </w:p>
    <w:p w14:paraId="0CE031F0"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Постановлением ГКО № 2192сс от 20.08.42 г. новая конструкция танка КВ-1С была утверждена и принята для серийного производства» (15226).</w:t>
      </w:r>
    </w:p>
    <w:p w14:paraId="0FE88035" w14:textId="77777777" w:rsidR="007216D1" w:rsidRPr="008127F8" w:rsidRDefault="007216D1" w:rsidP="001E0A84">
      <w:pPr>
        <w:pStyle w:val="27"/>
        <w:shd w:val="clear" w:color="auto" w:fill="auto"/>
        <w:spacing w:after="0" w:line="240" w:lineRule="auto"/>
        <w:ind w:firstLine="0"/>
        <w:rPr>
          <w:rFonts w:ascii="Times New Roman" w:cs="Times New Roman"/>
          <w:color w:val="000000" w:themeColor="text1"/>
          <w:spacing w:val="0"/>
        </w:rPr>
      </w:pPr>
    </w:p>
    <w:p w14:paraId="658B37A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вышел приказ НКТП об образовании на базе техотдела специального бюро самоходной артиллерии. В качестве пробы пера спецбюро под руководством С А Гинзбурга должно было в кратчайший срок разработать унифицированное шасси и силовой агрегат САУ из узлов легкого танка Т-60 и грузовых автомобилей. Шасси должно было вооружаться при необходимости дивизионной 76-мм пушкой обр. 1939 г. (Ф-22 УСВ) или 122-мм гаубицей обр. 1938 г. (М-30). Однако С.А. Гинзбург составил более обшир</w:t>
      </w:r>
      <w:r w:rsidRPr="008127F8">
        <w:rPr>
          <w:rFonts w:ascii="Times New Roman" w:hAnsi="Times New Roman"/>
          <w:color w:val="000000" w:themeColor="text1"/>
          <w:sz w:val="16"/>
          <w:szCs w:val="16"/>
        </w:rPr>
        <w:softHyphen/>
        <w:t>ный план работ в данном направлении. В частности, он предлагал в трехмесячный срок совместно с МВТУ им Бау</w:t>
      </w:r>
      <w:r w:rsidRPr="008127F8">
        <w:rPr>
          <w:rFonts w:ascii="Times New Roman" w:hAnsi="Times New Roman"/>
          <w:color w:val="000000" w:themeColor="text1"/>
          <w:sz w:val="16"/>
          <w:szCs w:val="16"/>
        </w:rPr>
        <w:softHyphen/>
        <w:t>мана и НАТИ провести проектирование следующих машин с использованием узлов шасси Т-60 и моторов ГАЗ и ЗИС:</w:t>
      </w:r>
    </w:p>
    <w:p w14:paraId="28E42A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76-мм штурмового самоходного орудия поддержки;</w:t>
      </w:r>
    </w:p>
    <w:p w14:paraId="544E19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зенитного самоходного автомата;</w:t>
      </w:r>
    </w:p>
    <w:p w14:paraId="53234E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зенитного танка с башенной установкой конст</w:t>
      </w:r>
      <w:r w:rsidRPr="008127F8">
        <w:rPr>
          <w:rFonts w:ascii="Times New Roman" w:hAnsi="Times New Roman"/>
          <w:color w:val="000000" w:themeColor="text1"/>
          <w:sz w:val="16"/>
          <w:szCs w:val="16"/>
        </w:rPr>
        <w:softHyphen/>
        <w:t>рукции Савина; ~ легкого танка с 45-мм пушкой и броней 45 мм;</w:t>
      </w:r>
    </w:p>
    <w:p w14:paraId="0C8960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бронированного транспортера пехоты и боеприпасов (он же — санитарная машина, машина технической по</w:t>
      </w:r>
      <w:r w:rsidRPr="008127F8">
        <w:rPr>
          <w:rFonts w:ascii="Times New Roman" w:hAnsi="Times New Roman"/>
          <w:color w:val="000000" w:themeColor="text1"/>
          <w:sz w:val="16"/>
          <w:szCs w:val="16"/>
        </w:rPr>
        <w:softHyphen/>
        <w:t>мощи и самоходный миномет</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Разместить на даном шасси 122-мм гаубицу не удалось. Схема унифицированного шасси предполагала приме</w:t>
      </w:r>
      <w:r w:rsidRPr="008127F8">
        <w:rPr>
          <w:rFonts w:ascii="Times New Roman" w:hAnsi="Times New Roman"/>
          <w:color w:val="000000" w:themeColor="text1"/>
          <w:sz w:val="16"/>
          <w:szCs w:val="16"/>
        </w:rPr>
        <w:softHyphen/>
        <w:t>нение 2 двигателей ЗИС, ГАЗ-АА, или ГАЗ-ММ со своими КПП по бортам в передней части САУ (весьма привлека</w:t>
      </w:r>
      <w:r w:rsidRPr="008127F8">
        <w:rPr>
          <w:rFonts w:ascii="Times New Roman" w:hAnsi="Times New Roman"/>
          <w:color w:val="000000" w:themeColor="text1"/>
          <w:sz w:val="16"/>
          <w:szCs w:val="16"/>
        </w:rPr>
        <w:softHyphen/>
        <w:t>тельное с точки зрения компактного размещения), простор</w:t>
      </w:r>
      <w:r w:rsidRPr="008127F8">
        <w:rPr>
          <w:rFonts w:ascii="Times New Roman" w:hAnsi="Times New Roman"/>
          <w:color w:val="000000" w:themeColor="text1"/>
          <w:sz w:val="16"/>
          <w:szCs w:val="16"/>
        </w:rPr>
        <w:softHyphen/>
        <w:t>ное боевое отделение, расположенное в корме машины (гру</w:t>
      </w:r>
      <w:r w:rsidRPr="008127F8">
        <w:rPr>
          <w:rFonts w:ascii="Times New Roman" w:hAnsi="Times New Roman"/>
          <w:color w:val="000000" w:themeColor="text1"/>
          <w:sz w:val="16"/>
          <w:szCs w:val="16"/>
        </w:rPr>
        <w:softHyphen/>
        <w:t>зовой платформы или бронированной кабины для стрелков) и подвеску на 5—6 опорных катках.</w:t>
      </w:r>
    </w:p>
    <w:p w14:paraId="0D5069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внимание уделялось разработке предельно деше</w:t>
      </w:r>
      <w:r w:rsidRPr="008127F8">
        <w:rPr>
          <w:rFonts w:ascii="Times New Roman" w:hAnsi="Times New Roman"/>
          <w:color w:val="000000" w:themeColor="text1"/>
          <w:sz w:val="16"/>
          <w:szCs w:val="16"/>
        </w:rPr>
        <w:softHyphen/>
        <w:t>вых заменителей танков хотя бы в стрелковых войсках. Именно поэтому «зеленая улица» давалась главным образом безбашенным цельнобронированным штурмовым маши</w:t>
      </w:r>
      <w:r w:rsidRPr="008127F8">
        <w:rPr>
          <w:rFonts w:ascii="Times New Roman" w:hAnsi="Times New Roman"/>
          <w:color w:val="000000" w:themeColor="text1"/>
          <w:sz w:val="16"/>
          <w:szCs w:val="16"/>
        </w:rPr>
        <w:softHyphen/>
        <w:t>нам, вооруженным 76-мм пушкой или 122-мм гаубицей (11417).</w:t>
      </w:r>
    </w:p>
    <w:p w14:paraId="60EA75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ADCB4B"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марта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xml:space="preserve">. вышел приказ НКТП об образовании на базе техотдела специального бюро самоходной артиллерии. В качестве пробы пера спецбюро под руководством С.А. Гинзбурга должно было в кратчайший срок разработать унифицированное шасси и силовой агрегат САУ из узлов легкого танка Т-60 и грузовых автомобилей. Шасси должно было вооружаться при необходимости дивизионной пушкой обр.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1939 г</w:t>
        </w:r>
      </w:smartTag>
      <w:r w:rsidRPr="008127F8">
        <w:rPr>
          <w:rFonts w:ascii="Times New Roman" w:hAnsi="Times New Roman"/>
          <w:color w:val="000000" w:themeColor="text1"/>
          <w:sz w:val="16"/>
          <w:szCs w:val="16"/>
        </w:rPr>
        <w:t xml:space="preserve">. (Ф-22УСВ) или 122-мм гаубицей обр.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1938 г</w:t>
        </w:r>
      </w:smartTag>
      <w:r w:rsidRPr="008127F8">
        <w:rPr>
          <w:rFonts w:ascii="Times New Roman" w:hAnsi="Times New Roman"/>
          <w:color w:val="000000" w:themeColor="text1"/>
          <w:sz w:val="16"/>
          <w:szCs w:val="16"/>
        </w:rPr>
        <w:t>. (М-30). Однако С.А. Гинзбург составил более обширный план работ в данном направлении. В частности, он предлагал в трехмесячный срок совместно с МВТУ им. Баумана и НАТИ провести проектирование следующих машин с использованием узлов шасси Т-60 и моторов ГАЗ и ЗИС:</w:t>
      </w:r>
    </w:p>
    <w:p w14:paraId="2F5CC0E2"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76-мм штурмового самоходного орудия поддержки;</w:t>
      </w:r>
    </w:p>
    <w:p w14:paraId="14606044"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зенитного самоходного автомата;</w:t>
      </w:r>
    </w:p>
    <w:p w14:paraId="5059D317"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 зенитного танка с башенной установкой конструкции Савина;</w:t>
      </w:r>
    </w:p>
    <w:p w14:paraId="2103F0A6"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легкого танка с 45-мм пушкой и броней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45 мм</w:t>
        </w:r>
      </w:smartTag>
      <w:r w:rsidRPr="008127F8">
        <w:rPr>
          <w:rFonts w:ascii="Times New Roman" w:hAnsi="Times New Roman"/>
          <w:color w:val="000000" w:themeColor="text1"/>
          <w:sz w:val="16"/>
          <w:szCs w:val="16"/>
        </w:rPr>
        <w:t>;</w:t>
      </w:r>
    </w:p>
    <w:p w14:paraId="2F33DB3C"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артиллерийского тягача;</w:t>
      </w:r>
    </w:p>
    <w:p w14:paraId="736E58D9"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бронированного транспортера пехоты и боеприпасов (он же санитарная машина, машина технической помощи и самоходный миномет).</w:t>
      </w:r>
    </w:p>
    <w:p w14:paraId="6B5364AE"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Разместить на данном шасси 122-мм гаубицу не удалось.</w:t>
      </w:r>
    </w:p>
    <w:p w14:paraId="794A5E1E"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унифицированного шасси предполагала применение 2 двигателей ЗИС, ГАЗ-АА, или ГАЗ-ММ со своими КПП по бортам в передней части САУ (весьма привлекательнее с точки зрения компактного размещения), просторное боевое отделение, расположенное в корме машины (грузовой платформы или бронированной кабины для стрелков) и подвеску на 5-6 опорных катках.</w:t>
      </w:r>
    </w:p>
    <w:p w14:paraId="3509AF4B"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Особое внимание уделялось разработке предельно дешевых заменителей танков хотя бы в стрелковых войсках. Именно поэтому «зеленая улица» давалась главным образом безбашенным цельнобронированным штурмовым машинам, вооруженным 76-мм пушкой или 122-мм гаубицей. 14-15 апреля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xml:space="preserve">. состоялся пленум арткомитета ГАУ, на котором поднимались вопросы создания САУ. Артиллеристы выработали свои требования к самоходным установкам, выдвинув и собственные ТТТ, которые немного отличались от выдвинутых 2-м отделом НКТП. В июне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распоряжением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требования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установками. Общая координация работ по САУ осуществлялась спецбюро САУ под руководством С.А. Гинзбурга (15218).</w:t>
      </w:r>
    </w:p>
    <w:p w14:paraId="4F96969A"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p>
    <w:p w14:paraId="5F1C81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выполняя приказ наркома танковой промышленности, группа Савина совместно с КБ УЗТМ про</w:t>
      </w:r>
      <w:r w:rsidRPr="008127F8">
        <w:rPr>
          <w:rFonts w:ascii="Times New Roman" w:hAnsi="Times New Roman"/>
          <w:color w:val="000000" w:themeColor="text1"/>
          <w:sz w:val="16"/>
          <w:szCs w:val="16"/>
        </w:rPr>
        <w:softHyphen/>
        <w:t>извела проектирование зенитной башни кругового вращения У-32 на самоходном шасси спецбюро САУ. В мае 1942 г. пер</w:t>
      </w:r>
      <w:r w:rsidRPr="008127F8">
        <w:rPr>
          <w:rFonts w:ascii="Times New Roman" w:hAnsi="Times New Roman"/>
          <w:color w:val="000000" w:themeColor="text1"/>
          <w:sz w:val="16"/>
          <w:szCs w:val="16"/>
        </w:rPr>
        <w:softHyphen/>
        <w:t>вая отечественная зенитная самоходная установка вышла на испытания, но показала неудовлетворительный результат. В частности, в плане установки орудия рекомендовалось при</w:t>
      </w:r>
      <w:r w:rsidRPr="008127F8">
        <w:rPr>
          <w:rFonts w:ascii="Times New Roman" w:hAnsi="Times New Roman"/>
          <w:color w:val="000000" w:themeColor="text1"/>
          <w:sz w:val="16"/>
          <w:szCs w:val="16"/>
        </w:rPr>
        <w:softHyphen/>
        <w:t>дать большую жесткость дну машины, а также недостаточной признавалась скорость горизонтального наведения.</w:t>
      </w:r>
    </w:p>
    <w:p w14:paraId="6398CA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Следующий шаг на этом пути сделали автозаводцы, ко</w:t>
      </w:r>
      <w:r w:rsidRPr="008127F8">
        <w:rPr>
          <w:rFonts w:ascii="Times New Roman" w:hAnsi="Times New Roman"/>
          <w:color w:val="000000" w:themeColor="text1"/>
          <w:sz w:val="16"/>
          <w:szCs w:val="16"/>
        </w:rPr>
        <w:softHyphen/>
        <w:t>торые в ноябре 1942 г. помимо штурмовой САУ ГАЗ-71 про</w:t>
      </w:r>
      <w:r w:rsidRPr="008127F8">
        <w:rPr>
          <w:rFonts w:ascii="Times New Roman" w:hAnsi="Times New Roman"/>
          <w:color w:val="000000" w:themeColor="text1"/>
          <w:sz w:val="16"/>
          <w:szCs w:val="16"/>
        </w:rPr>
        <w:softHyphen/>
        <w:t>вели демонстрацию также зенитной САУ ГАЗ-72. Ее конст</w:t>
      </w:r>
      <w:r w:rsidRPr="008127F8">
        <w:rPr>
          <w:rFonts w:ascii="Times New Roman" w:hAnsi="Times New Roman"/>
          <w:color w:val="000000" w:themeColor="text1"/>
          <w:sz w:val="16"/>
          <w:szCs w:val="16"/>
        </w:rPr>
        <w:softHyphen/>
        <w:t>рукция была во многом подобна штурмовой ГАЗ-71, но вместо рубки монтировалась вращающаяся платформа с " качающейся частью автомата 61-К, разработанная по эски</w:t>
      </w:r>
      <w:r w:rsidRPr="008127F8">
        <w:rPr>
          <w:rFonts w:ascii="Times New Roman" w:hAnsi="Times New Roman"/>
          <w:color w:val="000000" w:themeColor="text1"/>
          <w:sz w:val="16"/>
          <w:szCs w:val="16"/>
        </w:rPr>
        <w:softHyphen/>
        <w:t>зу орудийной зенитной башни Савина.</w:t>
      </w:r>
    </w:p>
    <w:p w14:paraId="77A049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38 также продемонстрировал свой вариант зе</w:t>
      </w:r>
      <w:r w:rsidRPr="008127F8">
        <w:rPr>
          <w:rFonts w:ascii="Times New Roman" w:hAnsi="Times New Roman"/>
          <w:color w:val="000000" w:themeColor="text1"/>
          <w:sz w:val="16"/>
          <w:szCs w:val="16"/>
        </w:rPr>
        <w:softHyphen/>
        <w:t>нитной установки СУ-11, во многом повторяющей изделия конкурентов. Но ни один из предложенных образцов испытаний не выдержал по причине недостаточной прочности Инструкции и недостаточной маневренности орудий для со</w:t>
      </w:r>
      <w:r w:rsidRPr="008127F8">
        <w:rPr>
          <w:rFonts w:ascii="Times New Roman" w:hAnsi="Times New Roman"/>
          <w:color w:val="000000" w:themeColor="text1"/>
          <w:sz w:val="16"/>
          <w:szCs w:val="16"/>
        </w:rPr>
        <w:softHyphen/>
        <w:t>провождения самолетов. Кроме того, в 1942 г. 37-мм и 25-мм зенитные автоматы находились в жесточайшем дефи</w:t>
      </w:r>
      <w:r w:rsidRPr="008127F8">
        <w:rPr>
          <w:rFonts w:ascii="Times New Roman" w:hAnsi="Times New Roman"/>
          <w:color w:val="000000" w:themeColor="text1"/>
          <w:sz w:val="16"/>
          <w:szCs w:val="16"/>
        </w:rPr>
        <w:softHyphen/>
        <w:t>ците. Поэтому работы по зенитным САУ были отложены, а наркомат был больше заинтересован в выпуске легких зенитных танков с вооружением из крупнокалиберных пулеметов, так как таковое решение могло быстрее дать результат (11417).</w:t>
      </w:r>
    </w:p>
    <w:p w14:paraId="5B294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79F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 Кремле состоялся показ БА-64 (название "БА-64" было утверждено 17 февраля 1942 года) и легкого танка Т-70 (3862).</w:t>
      </w:r>
    </w:p>
    <w:p w14:paraId="40193C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3B519"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опытный образец БА-64-125 продемонстрировали в Кремле членам правительства ССР. Машина произвела благоприятное впечатление, и 14 марта постановлением Государственного Комитета Обороны бронеавтомобиль под индексом БА-64 был принят на вооружение Красной Армии с организацией его производства на Горьковском автозаводе (15218).</w:t>
      </w:r>
    </w:p>
    <w:p w14:paraId="2BE73907" w14:textId="77777777" w:rsidR="007216D1" w:rsidRPr="008127F8" w:rsidRDefault="007216D1" w:rsidP="001E0A84">
      <w:pPr>
        <w:widowControl w:val="0"/>
        <w:spacing w:after="0" w:line="240" w:lineRule="auto"/>
        <w:jc w:val="both"/>
        <w:rPr>
          <w:rFonts w:ascii="Times New Roman" w:hAnsi="Times New Roman"/>
          <w:color w:val="000000" w:themeColor="text1"/>
          <w:sz w:val="16"/>
          <w:szCs w:val="16"/>
        </w:rPr>
      </w:pPr>
    </w:p>
    <w:p w14:paraId="60839D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года приказом НКТП были начаты работы над новой легкой САУ семейства СУ-76 (3862).</w:t>
      </w:r>
    </w:p>
    <w:p w14:paraId="3431CD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8D4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года приказом НКТП были начаты работы над легкой САУ семейства СУ-76, а уже в мае того же года первый опытный образец поступил на испытания, однако провалил их: ни шасси ни артсистема испытаний не выдержали (3862).</w:t>
      </w:r>
    </w:p>
    <w:p w14:paraId="031159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EC8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к созданию легких САУ приступил НКТП по инициативе недавно назначенного сюда начальника спецбюро ОГК НКТП С.Гинзбурга. В эскизном проекте спецбюро предлагало использовать для САУ унифицированное шасси из узлов легкого танка Т-60 и грузовых автомобилей (5742, 14).</w:t>
      </w:r>
    </w:p>
    <w:p w14:paraId="25810C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8EF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по наркомату танковой промышленности вышел приказ, предписывающий образовать на базе техотдела специальное бюро самоходной артиллерии. В качестве пробы пера спецбюро должно было в короткий срок разработать унифицированное шасси и силовой агрегат из узлов легкого танка Т-бО и грузовых автомобилей, на которое можно было бы установить 76-мм пушку с баллистикой дивизионного орудия обр. 1939 г. (УСВ) или танковой пушки обр. 1940 г. (Ф-34). Однако С.Гинзбург составил более обширный план работ в данном направлении. В частности, он предполагал в трехмесячный срок совместно с МВТУ им Баумана и НАТИ провести проектирование следующих машин с использованием узлов шасси Т-60 и моторов ГАЗ и ЗИС:</w:t>
      </w:r>
    </w:p>
    <w:p w14:paraId="5199D8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- 76-мм штурмового самоходного орудия поддержки;</w:t>
      </w:r>
    </w:p>
    <w:p w14:paraId="1622B4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зенитного самоходного автомата;</w:t>
      </w:r>
    </w:p>
    <w:p w14:paraId="4C78BD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зенитного танка с башенной установкой конструкции Савина;</w:t>
      </w:r>
    </w:p>
    <w:p w14:paraId="4EFEAA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легкого танка с 45-мм пушкой большой мощности и броней 45 мм;</w:t>
      </w:r>
    </w:p>
    <w:p w14:paraId="1ADE4A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бронированного транспортера пехоты и боеприпасов (он же - санитарная машина, машина технической помощи и самоходный миномет);</w:t>
      </w:r>
    </w:p>
    <w:p w14:paraId="5CD953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артиллерийского тягача (6205, 14).</w:t>
      </w:r>
    </w:p>
    <w:p w14:paraId="18762E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унифицированного шасси предполагала применение 2-х двигателей ЗИС, ГАЗ-АА, или ГАЗ-ММ со своими КПП по бортам в передней части САУ (весьма привлекательное с точки зрения компактного размещения), просторное боевое отделение (грузовую платформу, или бронированную кабину для стрелков), расположенное в корме машины и подвеску на 5-6 опорных катках (6205, 14).</w:t>
      </w:r>
    </w:p>
    <w:p w14:paraId="08DFD8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AC1F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марта 1942 вышло Постановление ГКО № 1375 Об обеспечении строительства железнодорожной линии Саратов-Ульяновск. (7024, 27-35,36-45).</w:t>
      </w:r>
    </w:p>
    <w:p w14:paraId="1670FEF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1634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1378 Об освобождении от призыва по мобилизации в армию рабочих и ИТР заводов Наркомхимпрома. (7024, 50).</w:t>
      </w:r>
    </w:p>
    <w:p w14:paraId="527B758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59E110" w14:textId="77777777" w:rsidR="0091390A" w:rsidRPr="008127F8" w:rsidRDefault="0091390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марта 1942 заместитель начальника 5-го стройуправления и секретарь городского комитета партии обратились к начальнику ГУЛАГа с такой просьбой: «Для выполнения правительственного решения по достройке и восстановлению ранее законсервированных заводов № 303, 328 и 387, просим вашего указания Ивановскому областному управлению НКВД о создании на строительстве этих заводов в г. Владимире исправительно-трудовой колонии численностью 1500 - 2000 человек. Завод № 303 Наркомата вооружений и завод № 387 Наркомата авиапромышленности имеют особое значение для обороны страны и потому восстановление их должно быть проведено в кратчайший срок. При отсутствии на месте достаточных кадров рабсилы, создание НТК является единственным источником получения её с целью быстрейшего выполнения указанного решения. На строительстве этих заводов в прошлом году до ноября месяца работала НТК, и потому для размещения таковой имеются все необходимые условия. При формировании НТК желательно иметь рабочих всех квалификаций». Говоря об имеющихся «необходимых условиях», авторы имели в виду наличие построенных в 1940 - 41 годах бараках, где жили заключённые, строившие заводы накануне войны. Рабочая сила привлекалась также путём оргнабора в сельской местности. В августе того же 1942 года председатель ГКО говорил о том, что завод № 328 «вступил в частичную эксплуатацию (18775).</w:t>
      </w:r>
    </w:p>
    <w:p w14:paraId="441C1527" w14:textId="77777777" w:rsidR="0091390A" w:rsidRPr="008127F8" w:rsidRDefault="0091390A" w:rsidP="001E0A84">
      <w:pPr>
        <w:spacing w:after="0" w:line="240" w:lineRule="auto"/>
        <w:jc w:val="both"/>
        <w:rPr>
          <w:rFonts w:ascii="Times New Roman" w:hAnsi="Times New Roman"/>
          <w:color w:val="000000" w:themeColor="text1"/>
          <w:sz w:val="16"/>
          <w:szCs w:val="16"/>
        </w:rPr>
      </w:pPr>
    </w:p>
    <w:p w14:paraId="04645A0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8DF79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3B152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утреннее сообщение Совинформбюро:</w:t>
      </w:r>
    </w:p>
    <w:p w14:paraId="05A7DDB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 марта наши войска продолжали вести активные боевые действия против немецко-фашистских войск.</w:t>
      </w:r>
    </w:p>
    <w:p w14:paraId="13F0F60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22 по 28 февраля немецкая армия потеряла 238 самолётов. Из них в воздушных боях сбито 137 самолётов, зенитным огнём — 9, на аэродромах противника уничтожено 92 самолёта. Наши потери за этот же период — 62 самолёта.</w:t>
      </w:r>
    </w:p>
    <w:p w14:paraId="1E1AD71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одной гвардейской части, действующей на Западном фронте, преодолевая упорное сопротивление врага, продвинулись вперёд и захватили 16 немецких орудий, 15 пулемётов, 5 миномётов, около 100 винтовок и автоматов, 43 повозки с воинскими грузами, 10 прицепов со снарядами, 10.000 патронов, около 500 снарядов, 2 радиостанции и 121 лошадь. На другом участке фронта стрелковая часть, которой командует т. Бобров, за один день выбила немецких оккупантов из 3 населённых пунктов. В бою за деревню X. бойцы этой части уничтожили 150 вражеских солдат и офицеров.</w:t>
      </w:r>
    </w:p>
    <w:p w14:paraId="06B951F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наши части заняли 9 населённых пунктов, превращенных неприятелем в оборонительные узлы сопротивления. При отступлении враг оставил на полях сражений свыше 700 трупов, одно орудие, 3 танка, 2 миномёта и другие трофеи.</w:t>
      </w:r>
    </w:p>
    <w:p w14:paraId="0E8A1958"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красноармейцев под командованием младшего лейтенанта Курильчука в бою за населённый пункт Н. уничтожила 100 солдат и офицеров противника. Тов. Курильчук истребил в этом бою 17 гитлеровцев.</w:t>
      </w:r>
    </w:p>
    <w:p w14:paraId="62FB09AD"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Мужественно сражается с врагом на одном из участков Северо-Западного фронта сержант Н.Я.Самойлов. Во время наступления нашей части тов. Самойлов первым ворвался в населённый пункт и уничтожил гранатами 14 немецких автоматчиков. В другом бою тов. Самойлов истребил 11 немцев и уничтожил миномётный расчёт противника. Гитлеровцы, отступая, оставили в тылу нашей части несколько автоматчиков и ручной пулемёт. Тов. Самойлов незаметно подобрался и уничтожил немецкого пулемётчика. Из трофейного пулемёта он расстрелял ещё 19 немецких автоматчиков.</w:t>
      </w:r>
    </w:p>
    <w:p w14:paraId="53AF215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Отважно действуют в тылу противника партизаны Орловской области. За последнее время они уничтожили, по неполным данным, 475 немецких солдат и офицеров. Партизаны взорвали 4 железнодорожных моста, пустили под откос 3 воинских эшелона, разгромили 3 немецких штаба, уничтожили 71 грузовую автомашину с боеприпасами, несколько танков и подожгли немецкий самолёт. Партизаны отряда тов. Г. пробрались в город 0. и совершили нападение на полицейское управление. Почти все полицейские и агенты гестапо были уничтожены.</w:t>
      </w:r>
    </w:p>
    <w:p w14:paraId="009EEB3D"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краткие выдержки из дневника убитого немецкого ефрейтора 1 роты 226 полка 79 немецкой пехотной дивизии Депаоли:</w:t>
      </w:r>
    </w:p>
    <w:p w14:paraId="6BB3347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августа. Едем на Восток. Хотелось бы знать, что нам предстоит.</w:t>
      </w:r>
    </w:p>
    <w:p w14:paraId="54F080A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августа. Перемышль. Население питает к нам тихую ненависть. Эти места никогда не станут немецкими.</w:t>
      </w:r>
    </w:p>
    <w:p w14:paraId="2983D6A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августа. Безобразие — в наш поезд кто-то бросал гранаты.</w:t>
      </w:r>
    </w:p>
    <w:p w14:paraId="41CE1AD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сентября. Выступаем. Встречаем группу жителей; расстреливаем их.</w:t>
      </w:r>
    </w:p>
    <w:p w14:paraId="1AE9362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сентября. В 9 часов приказ: самоснабжение. К огорчению </w:t>
      </w:r>
      <w:proofErr w:type="gramStart"/>
      <w:r w:rsidRPr="008127F8">
        <w:rPr>
          <w:rFonts w:ascii="Times New Roman" w:hAnsi="Times New Roman"/>
          <w:color w:val="000000" w:themeColor="text1"/>
          <w:sz w:val="16"/>
          <w:szCs w:val="16"/>
        </w:rPr>
        <w:t>хозяйки</w:t>
      </w:r>
      <w:proofErr w:type="gramEnd"/>
      <w:r w:rsidRPr="008127F8">
        <w:rPr>
          <w:rFonts w:ascii="Times New Roman" w:hAnsi="Times New Roman"/>
          <w:color w:val="000000" w:themeColor="text1"/>
          <w:sz w:val="16"/>
          <w:szCs w:val="16"/>
        </w:rPr>
        <w:t xml:space="preserve"> зарезали единственную свинью.</w:t>
      </w:r>
    </w:p>
    <w:p w14:paraId="7FCE390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сентября. Уже неделю не раздеваюсь. Меня знобит.</w:t>
      </w:r>
    </w:p>
    <w:p w14:paraId="256F6FE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сентября. В 8 ч. 45 м. наш батальон идёт в наступление. Сумасшедшая история. Русские бешено обстреливают нас из артиллерии. Русские отбили все наши атаки. В батальоне большие потери.</w:t>
      </w:r>
    </w:p>
    <w:p w14:paraId="3F23E19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сентября. В 208 пехотном полку партизаны убили 20 человек.</w:t>
      </w:r>
    </w:p>
    <w:p w14:paraId="5E91D89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сентября. Расстреляли пленного комиссара.</w:t>
      </w:r>
    </w:p>
    <w:p w14:paraId="1C2FBD7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сентября. Карл Р. совершил членовредительство. По всей вероятности, военно-полевой суд.</w:t>
      </w:r>
    </w:p>
    <w:p w14:paraId="6E83CA6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октября. По дороге поймали трёх русских. Вырыли ямы, расстреляли.</w:t>
      </w:r>
    </w:p>
    <w:p w14:paraId="50F7D0C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октября. Большое решающее сражение началось позавчера. По мнению фюрера, через несколько недель всё будет кончено.</w:t>
      </w:r>
    </w:p>
    <w:p w14:paraId="4E10CDD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декабря. Тревога. Русские нападают. Отходим вправо. Пулемёты и автоматы русских обстреливают нас. Бежим с высоты: Номер первый падает. Ганс тоже убит.</w:t>
      </w:r>
    </w:p>
    <w:p w14:paraId="75B5746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января. Взгляд назад. Старый год принёс много неожиданностей. Это был год самого жестокого удара для меня. Альберт убит. После войны наступит ужасное пробуждение.</w:t>
      </w:r>
    </w:p>
    <w:p w14:paraId="4D3EFE8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Ночью мы выгнали старуху из дома; она, наверное, замёрзла».</w:t>
      </w:r>
    </w:p>
    <w:p w14:paraId="04B6CDD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сожгли село Жовтнево, Печенежского района, Харьковской области. В огне сгорел скот, хлеб и все вещи колхозников. В ряд домов гитлеровцы бросили гранаты. Во время взрывов погибли Балабай Г.Е., Данильченко Г.Я., Седины Костя и Мария, Гела А.И. и её дети — Василий и Мария, Ковтунова А.А., Маринич А.О., Криворучко М.Г. Многие колхозники получили тяжёлые увечья.» (15057).</w:t>
      </w:r>
    </w:p>
    <w:p w14:paraId="74049529"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6EDB4C1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вечернее сообщение Совинформбюро:</w:t>
      </w:r>
    </w:p>
    <w:p w14:paraId="6E02F47B"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 течение 3 марта наши войска вели упорные бои с противником, охватывая и уничтожая созданные немецко-фашистскими войсками узлы сопротивления. На некоторых участках фронта наши части продвинулись вперёд.</w:t>
      </w:r>
    </w:p>
    <w:p w14:paraId="026A02B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марта в воздушных боях сбито 8 и уничтожено на аэродромах 52 самолёта противника. Всего за этот день уничтожено 60 немецких самолётов. Наши потери — 11 самолётов.</w:t>
      </w:r>
    </w:p>
    <w:p w14:paraId="37F67C2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марта частями нашей авиации уничтожено и повреждено до 300 немецких автомашин с войсками и грузами, около 90 повозок с боеприпасами, 14 орудий, 7 зенитно-пулемётных точек, 5 миномётов, взорвано 5 складов с боеприпасами, разбито 23 железнодорожных вагона и 3 паровоза, рассеяно и частью уничтожено свыше 2 батальонов пехоты противника.</w:t>
      </w:r>
    </w:p>
    <w:p w14:paraId="06057F9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10 немецких ДЗОТов, 14 блиндажей и землянок и захватили многочисленные трофеи. На полях сражений противник оставил 2.000 убитых.</w:t>
      </w:r>
    </w:p>
    <w:p w14:paraId="1BFCC72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дни боёв наши части, действующие на одном из участков Калининского фронта, разрушили 96 вражеских ДЗОТов, захватили 124 автомашины, 15 миномётов, 42 автомата, 4 орудия, 27 пулемётов, 3.800 гранат, 1.657.000 винтовочных патронов и 4 радиостанции. Наши бойцы уничтожили 4 вещевых и продовольственных склада и 2 склада с боеприпасами. Немцы потеряли убитыми свыше 1.400 солдат и офицеров.</w:t>
      </w:r>
    </w:p>
    <w:p w14:paraId="4B701FD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освободив от немецко-фашистских оккупантов два населенных пункта, захватили 4 немецких танка, 18 орудий, 2 миномёта, 10 станковых и ручных пулемётов, 35.000 винтовочных патронов, 73 автомашины и уничтожили 850 солдат и офицеров противника.</w:t>
      </w:r>
    </w:p>
    <w:p w14:paraId="2781852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части, действующей на одном из участков Западного фронта, за один день боёв захватили 200 вражеских повозок и саней с воинскими грузами, 56 лошадей и другое воинское имущество. Немцы оставили на поле боя 200 трупов своих солдат и офицеров.</w:t>
      </w:r>
    </w:p>
    <w:p w14:paraId="2EDEA03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штабной роты 192 полка 56 немецкой пехотной дивизии Вильгельм Вальтер рассказал: «Немецкие войска уничтожают мирное население в захваченных районах. Это делается по приказу германского командования и самого Гитлера.</w:t>
      </w:r>
    </w:p>
    <w:p w14:paraId="2DB4E61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 было предложено подавить в себе всякие человеческие чувства и беспощадно истреблять мирных жителей. Я был пулемётчиком карательного отряда и могу подтвердить, что часто мы расстреливали ни в чём не повинных жителей».</w:t>
      </w:r>
    </w:p>
    <w:p w14:paraId="0FEB320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Германское информационное бюро 2 марта опубликовало несусветную чушь о мифических победах немецких парашютистов на Ленинградском фронте. Потерявшие всякое чувство меры гитлеровские врали утверждают, что «парашютные части за 6 недель отразили 167 большевистских атак, разбив при этом 12 большевистских дивизий». Чтобы придать этой брехне видимость правды, гитлеровцы перечислили первые пришедшие им в голову номера советских дивизий, якобы разбитых немцами. Советским бойцам и командирам, действующим на Ленинградском фронте, хорошо известно, что во всём этом сообщении нет ни слова правды. Но это не хуже известно и гитлеровскому командованию, ибо действовавшая некоторое время тому назад на этом участке фронта немецкая авиадесантная дивизия вскоре же </w:t>
      </w:r>
      <w:r w:rsidRPr="008127F8">
        <w:rPr>
          <w:rFonts w:ascii="Times New Roman" w:hAnsi="Times New Roman"/>
          <w:color w:val="000000" w:themeColor="text1"/>
          <w:sz w:val="16"/>
          <w:szCs w:val="16"/>
        </w:rPr>
        <w:lastRenderedPageBreak/>
        <w:t>по прибытии на фронт была буквально перемолота нашими войсками и бесславно закончила своё существование. Глупые сказки о мнимых победах немецких парашютных частей, распространяемые гитлеровцами в то время, когда от этих парашютных немецко-фашистских войск остались одни воспоминания, имеют определённую цель. С тех пор, как Гитлер назначил самого себя главнокомандующим немецкой армией, последняя терпит одно поражение за другим. В связи с этим германское информационное бюро из кожи лезет вон, чтобы поддержать авторитет этого незадачливого ефрейтора, сильно подмоченный прежде и ещё более подорванный теперь в результате провала гитлеровских военных планов.</w:t>
      </w:r>
    </w:p>
    <w:p w14:paraId="4CEC240B"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Юшково, Смоленской области, гитлеровские мерзавцы расстреляли 21 колхозника, в том числе Решетникова А., Фролова Н., его жену Ефросинью, их сыновей — Сергея 17 лет и Николая 13 лет, Лапина Г. с двухлетним сыном Колей и Решетникову М. Остальных 95 человек жителей деревни немцы загнали в один дом и продержали под охраной семь дней без пищи. Колхозников освободили бойцы Красной Армии, выбившие из этого села немецких оккупантов.» (15057).</w:t>
      </w:r>
    </w:p>
    <w:p w14:paraId="1A2F957C"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2E8687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1376 О формировании авиаполков в резерв Ставки Верховного Главного Командования. РГАНИР, Фонд ГКО, д. 23, лл. 46-48 (11012).</w:t>
      </w:r>
    </w:p>
    <w:p w14:paraId="7A0BB7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B33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г. вышло ПОСТАНОВЛЕНИЕ № ГОКО-1376сс</w:t>
      </w:r>
    </w:p>
    <w:p w14:paraId="2D399C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163C79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формировании авиаполков в резерв Ставки Верховного Главного Командования</w:t>
      </w:r>
    </w:p>
    <w:p w14:paraId="2919AF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ВВС Красной Армии (т.т. Жигарева и Никитина) сформировать в марте 1942 г. в резерв Ставки Верховного Главного Командования следующее количество авиаполков: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413"/>
        <w:gridCol w:w="1042"/>
        <w:gridCol w:w="2260"/>
        <w:gridCol w:w="2472"/>
      </w:tblGrid>
      <w:tr w:rsidR="006F4095" w:rsidRPr="008127F8" w14:paraId="771249D8" w14:textId="77777777">
        <w:trPr>
          <w:jc w:val="center"/>
        </w:trPr>
        <w:tc>
          <w:tcPr>
            <w:tcW w:w="1413" w:type="dxa"/>
            <w:tcBorders>
              <w:top w:val="single" w:sz="12" w:space="0" w:color="auto"/>
            </w:tcBorders>
          </w:tcPr>
          <w:p w14:paraId="5967D4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Borders>
              <w:top w:val="single" w:sz="12" w:space="0" w:color="auto"/>
            </w:tcBorders>
          </w:tcPr>
          <w:p w14:paraId="7F56BC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2260" w:type="dxa"/>
            <w:tcBorders>
              <w:top w:val="single" w:sz="12" w:space="0" w:color="auto"/>
            </w:tcBorders>
          </w:tcPr>
          <w:p w14:paraId="3D82AC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Borders>
              <w:top w:val="single" w:sz="12" w:space="0" w:color="auto"/>
            </w:tcBorders>
          </w:tcPr>
          <w:p w14:paraId="591E36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r>
      <w:tr w:rsidR="006F4095" w:rsidRPr="008127F8" w14:paraId="399E3484" w14:textId="77777777">
        <w:trPr>
          <w:jc w:val="center"/>
        </w:trPr>
        <w:tc>
          <w:tcPr>
            <w:tcW w:w="1413" w:type="dxa"/>
          </w:tcPr>
          <w:p w14:paraId="13A7E5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2B154C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260" w:type="dxa"/>
          </w:tcPr>
          <w:p w14:paraId="6B2044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Pr>
          <w:p w14:paraId="4FEC5C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и Як-3</w:t>
            </w:r>
          </w:p>
        </w:tc>
      </w:tr>
      <w:tr w:rsidR="006F4095" w:rsidRPr="008127F8" w14:paraId="41515AD3" w14:textId="77777777">
        <w:trPr>
          <w:jc w:val="center"/>
        </w:trPr>
        <w:tc>
          <w:tcPr>
            <w:tcW w:w="1413" w:type="dxa"/>
          </w:tcPr>
          <w:p w14:paraId="055182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230534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260" w:type="dxa"/>
          </w:tcPr>
          <w:p w14:paraId="19B1DB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Pr>
          <w:p w14:paraId="573257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r>
      <w:tr w:rsidR="006F4095" w:rsidRPr="008127F8" w14:paraId="2BB33F68" w14:textId="77777777">
        <w:trPr>
          <w:jc w:val="center"/>
        </w:trPr>
        <w:tc>
          <w:tcPr>
            <w:tcW w:w="1413" w:type="dxa"/>
          </w:tcPr>
          <w:p w14:paraId="691623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114F42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2260" w:type="dxa"/>
          </w:tcPr>
          <w:p w14:paraId="28A866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Pr>
          <w:p w14:paraId="5F71CC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r>
      <w:tr w:rsidR="006F4095" w:rsidRPr="008127F8" w14:paraId="2CF19D9D" w14:textId="77777777">
        <w:trPr>
          <w:jc w:val="center"/>
        </w:trPr>
        <w:tc>
          <w:tcPr>
            <w:tcW w:w="1413" w:type="dxa"/>
          </w:tcPr>
          <w:p w14:paraId="169436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4F07FF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2260" w:type="dxa"/>
          </w:tcPr>
          <w:p w14:paraId="00DE59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Pr>
          <w:p w14:paraId="6D13D5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Харрикейн</w:t>
            </w:r>
          </w:p>
        </w:tc>
      </w:tr>
      <w:tr w:rsidR="006F4095" w:rsidRPr="008127F8" w14:paraId="35E64EC3" w14:textId="77777777">
        <w:trPr>
          <w:jc w:val="center"/>
        </w:trPr>
        <w:tc>
          <w:tcPr>
            <w:tcW w:w="1413" w:type="dxa"/>
          </w:tcPr>
          <w:p w14:paraId="4C384B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26B37C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2260" w:type="dxa"/>
          </w:tcPr>
          <w:p w14:paraId="4EBE1E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авиаполка</w:t>
            </w:r>
          </w:p>
        </w:tc>
        <w:tc>
          <w:tcPr>
            <w:tcW w:w="2472" w:type="dxa"/>
          </w:tcPr>
          <w:p w14:paraId="6E971A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Аэрокобра</w:t>
            </w:r>
          </w:p>
        </w:tc>
      </w:tr>
      <w:tr w:rsidR="006F4095" w:rsidRPr="008127F8" w14:paraId="61319567" w14:textId="77777777">
        <w:trPr>
          <w:jc w:val="center"/>
        </w:trPr>
        <w:tc>
          <w:tcPr>
            <w:tcW w:w="1413" w:type="dxa"/>
          </w:tcPr>
          <w:p w14:paraId="5F685D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41D580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2260" w:type="dxa"/>
          </w:tcPr>
          <w:p w14:paraId="36A727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Pr>
          <w:p w14:paraId="45B238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w:t>
            </w:r>
          </w:p>
        </w:tc>
      </w:tr>
      <w:tr w:rsidR="006F4095" w:rsidRPr="008127F8" w14:paraId="7F70F252" w14:textId="77777777">
        <w:trPr>
          <w:jc w:val="center"/>
        </w:trPr>
        <w:tc>
          <w:tcPr>
            <w:tcW w:w="1413" w:type="dxa"/>
            <w:tcBorders>
              <w:bottom w:val="single" w:sz="12" w:space="0" w:color="auto"/>
            </w:tcBorders>
          </w:tcPr>
          <w:p w14:paraId="463D72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042" w:type="dxa"/>
            <w:tcBorders>
              <w:bottom w:val="single" w:sz="12" w:space="0" w:color="auto"/>
            </w:tcBorders>
          </w:tcPr>
          <w:p w14:paraId="3E500A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2260" w:type="dxa"/>
            <w:tcBorders>
              <w:bottom w:val="single" w:sz="12" w:space="0" w:color="auto"/>
            </w:tcBorders>
          </w:tcPr>
          <w:p w14:paraId="1F9F23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авиаполков</w:t>
            </w:r>
          </w:p>
        </w:tc>
        <w:tc>
          <w:tcPr>
            <w:tcW w:w="2472" w:type="dxa"/>
            <w:tcBorders>
              <w:bottom w:val="single" w:sz="12" w:space="0" w:color="auto"/>
            </w:tcBorders>
          </w:tcPr>
          <w:p w14:paraId="3716C4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B0D3D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следующие сроки готовности авиаполков к отлету на фронт с аэродромов базирования авиации резерва Ставки Верховного Главного Командования:</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992"/>
        <w:gridCol w:w="2078"/>
        <w:gridCol w:w="3118"/>
      </w:tblGrid>
      <w:tr w:rsidR="006F4095" w:rsidRPr="008127F8" w14:paraId="0D350F9F" w14:textId="77777777" w:rsidTr="007E67CF">
        <w:trPr>
          <w:jc w:val="center"/>
        </w:trPr>
        <w:tc>
          <w:tcPr>
            <w:tcW w:w="1992" w:type="dxa"/>
            <w:gridSpan w:val="3"/>
            <w:tcBorders>
              <w:top w:val="single" w:sz="12" w:space="0" w:color="auto"/>
            </w:tcBorders>
          </w:tcPr>
          <w:p w14:paraId="35F4D8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Ил-2:</w:t>
            </w:r>
          </w:p>
        </w:tc>
      </w:tr>
      <w:tr w:rsidR="006F4095" w:rsidRPr="008127F8" w14:paraId="6BC4D21B" w14:textId="77777777">
        <w:trPr>
          <w:jc w:val="center"/>
        </w:trPr>
        <w:tc>
          <w:tcPr>
            <w:tcW w:w="1992" w:type="dxa"/>
          </w:tcPr>
          <w:p w14:paraId="47A4F2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w:t>
            </w:r>
          </w:p>
        </w:tc>
        <w:tc>
          <w:tcPr>
            <w:tcW w:w="2078" w:type="dxa"/>
          </w:tcPr>
          <w:p w14:paraId="1DFB95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790DE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4.III.42 г.</w:t>
            </w:r>
          </w:p>
        </w:tc>
      </w:tr>
      <w:tr w:rsidR="006F4095" w:rsidRPr="008127F8" w14:paraId="0D3BEB05" w14:textId="77777777">
        <w:trPr>
          <w:jc w:val="center"/>
        </w:trPr>
        <w:tc>
          <w:tcPr>
            <w:tcW w:w="1992" w:type="dxa"/>
          </w:tcPr>
          <w:p w14:paraId="78BD55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568</w:t>
            </w:r>
          </w:p>
        </w:tc>
        <w:tc>
          <w:tcPr>
            <w:tcW w:w="2078" w:type="dxa"/>
          </w:tcPr>
          <w:p w14:paraId="1293C3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9B058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5.III.42 г.</w:t>
            </w:r>
          </w:p>
        </w:tc>
      </w:tr>
      <w:tr w:rsidR="006F4095" w:rsidRPr="008127F8" w14:paraId="58DED1DE" w14:textId="77777777">
        <w:trPr>
          <w:jc w:val="center"/>
        </w:trPr>
        <w:tc>
          <w:tcPr>
            <w:tcW w:w="1992" w:type="dxa"/>
          </w:tcPr>
          <w:p w14:paraId="4EB3C7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w:t>
            </w:r>
          </w:p>
        </w:tc>
        <w:tc>
          <w:tcPr>
            <w:tcW w:w="2078" w:type="dxa"/>
          </w:tcPr>
          <w:p w14:paraId="61F96B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89F78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7.III.42 г.</w:t>
            </w:r>
          </w:p>
        </w:tc>
      </w:tr>
      <w:tr w:rsidR="006F4095" w:rsidRPr="008127F8" w14:paraId="3C4A0D60" w14:textId="77777777">
        <w:trPr>
          <w:jc w:val="center"/>
        </w:trPr>
        <w:tc>
          <w:tcPr>
            <w:tcW w:w="1992" w:type="dxa"/>
          </w:tcPr>
          <w:p w14:paraId="772605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299</w:t>
            </w:r>
          </w:p>
        </w:tc>
        <w:tc>
          <w:tcPr>
            <w:tcW w:w="2078" w:type="dxa"/>
          </w:tcPr>
          <w:p w14:paraId="08B915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F8A6B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7.III.42 г.</w:t>
            </w:r>
          </w:p>
        </w:tc>
      </w:tr>
      <w:tr w:rsidR="006F4095" w:rsidRPr="008127F8" w14:paraId="693FE151" w14:textId="77777777">
        <w:trPr>
          <w:jc w:val="center"/>
        </w:trPr>
        <w:tc>
          <w:tcPr>
            <w:tcW w:w="1992" w:type="dxa"/>
          </w:tcPr>
          <w:p w14:paraId="7FEFDE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2078" w:type="dxa"/>
          </w:tcPr>
          <w:p w14:paraId="303727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EE95A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13.III.42 г.</w:t>
            </w:r>
          </w:p>
        </w:tc>
      </w:tr>
      <w:tr w:rsidR="006F4095" w:rsidRPr="008127F8" w14:paraId="2AF76842" w14:textId="77777777">
        <w:trPr>
          <w:jc w:val="center"/>
        </w:trPr>
        <w:tc>
          <w:tcPr>
            <w:tcW w:w="1992" w:type="dxa"/>
          </w:tcPr>
          <w:p w14:paraId="52B3BD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w:t>
            </w:r>
          </w:p>
        </w:tc>
        <w:tc>
          <w:tcPr>
            <w:tcW w:w="2078" w:type="dxa"/>
          </w:tcPr>
          <w:p w14:paraId="5481CE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2D907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15.III.42 г.</w:t>
            </w:r>
          </w:p>
        </w:tc>
      </w:tr>
      <w:tr w:rsidR="006F4095" w:rsidRPr="008127F8" w14:paraId="1BFA8373" w14:textId="77777777">
        <w:trPr>
          <w:jc w:val="center"/>
        </w:trPr>
        <w:tc>
          <w:tcPr>
            <w:tcW w:w="1992" w:type="dxa"/>
          </w:tcPr>
          <w:p w14:paraId="70676F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2078" w:type="dxa"/>
          </w:tcPr>
          <w:p w14:paraId="4B215B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9C5FF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19.III.42 г.</w:t>
            </w:r>
          </w:p>
        </w:tc>
      </w:tr>
      <w:tr w:rsidR="006F4095" w:rsidRPr="008127F8" w14:paraId="59BBA7C6" w14:textId="77777777">
        <w:trPr>
          <w:jc w:val="center"/>
        </w:trPr>
        <w:tc>
          <w:tcPr>
            <w:tcW w:w="1992" w:type="dxa"/>
          </w:tcPr>
          <w:p w14:paraId="749193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w:t>
            </w:r>
          </w:p>
        </w:tc>
        <w:tc>
          <w:tcPr>
            <w:tcW w:w="2078" w:type="dxa"/>
          </w:tcPr>
          <w:p w14:paraId="0FE365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1C33B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20.III.42 г.</w:t>
            </w:r>
          </w:p>
        </w:tc>
      </w:tr>
      <w:tr w:rsidR="006F4095" w:rsidRPr="008127F8" w14:paraId="38F32FBE" w14:textId="77777777">
        <w:trPr>
          <w:jc w:val="center"/>
        </w:trPr>
        <w:tc>
          <w:tcPr>
            <w:tcW w:w="1992" w:type="dxa"/>
          </w:tcPr>
          <w:p w14:paraId="0F202D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2078" w:type="dxa"/>
          </w:tcPr>
          <w:p w14:paraId="608E8C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7A390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23.III.42 г.</w:t>
            </w:r>
          </w:p>
        </w:tc>
      </w:tr>
      <w:tr w:rsidR="006F4095" w:rsidRPr="008127F8" w14:paraId="51CD4D90" w14:textId="77777777">
        <w:trPr>
          <w:jc w:val="center"/>
        </w:trPr>
        <w:tc>
          <w:tcPr>
            <w:tcW w:w="1992" w:type="dxa"/>
          </w:tcPr>
          <w:p w14:paraId="647B6A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505</w:t>
            </w:r>
          </w:p>
        </w:tc>
        <w:tc>
          <w:tcPr>
            <w:tcW w:w="2078" w:type="dxa"/>
          </w:tcPr>
          <w:p w14:paraId="6DB1D8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ADC55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25.III.42 г.</w:t>
            </w:r>
          </w:p>
        </w:tc>
      </w:tr>
      <w:tr w:rsidR="006F4095" w:rsidRPr="008127F8" w14:paraId="346B7423" w14:textId="77777777">
        <w:trPr>
          <w:jc w:val="center"/>
        </w:trPr>
        <w:tc>
          <w:tcPr>
            <w:tcW w:w="1992" w:type="dxa"/>
          </w:tcPr>
          <w:p w14:paraId="4C256B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w:t>
            </w:r>
          </w:p>
        </w:tc>
        <w:tc>
          <w:tcPr>
            <w:tcW w:w="2078" w:type="dxa"/>
          </w:tcPr>
          <w:p w14:paraId="52A82C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8C764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26.III.42 г.</w:t>
            </w:r>
          </w:p>
        </w:tc>
      </w:tr>
      <w:tr w:rsidR="006F4095" w:rsidRPr="008127F8" w14:paraId="6F323AC2" w14:textId="77777777">
        <w:trPr>
          <w:jc w:val="center"/>
        </w:trPr>
        <w:tc>
          <w:tcPr>
            <w:tcW w:w="1992" w:type="dxa"/>
          </w:tcPr>
          <w:p w14:paraId="195336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237</w:t>
            </w:r>
          </w:p>
        </w:tc>
        <w:tc>
          <w:tcPr>
            <w:tcW w:w="2078" w:type="dxa"/>
          </w:tcPr>
          <w:p w14:paraId="28698F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4A814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27.III.42 г.</w:t>
            </w:r>
          </w:p>
        </w:tc>
      </w:tr>
      <w:tr w:rsidR="006F4095" w:rsidRPr="008127F8" w14:paraId="00528DF2" w14:textId="77777777">
        <w:trPr>
          <w:jc w:val="center"/>
        </w:trPr>
        <w:tc>
          <w:tcPr>
            <w:tcW w:w="1992" w:type="dxa"/>
          </w:tcPr>
          <w:p w14:paraId="750519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w:t>
            </w:r>
          </w:p>
        </w:tc>
        <w:tc>
          <w:tcPr>
            <w:tcW w:w="2078" w:type="dxa"/>
          </w:tcPr>
          <w:p w14:paraId="5FA80C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CF8D0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28.III.42 г.</w:t>
            </w:r>
          </w:p>
        </w:tc>
      </w:tr>
      <w:tr w:rsidR="006F4095" w:rsidRPr="008127F8" w14:paraId="73021F98" w14:textId="77777777">
        <w:trPr>
          <w:jc w:val="center"/>
        </w:trPr>
        <w:tc>
          <w:tcPr>
            <w:tcW w:w="1992" w:type="dxa"/>
          </w:tcPr>
          <w:p w14:paraId="7A1C1C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w:t>
            </w:r>
          </w:p>
        </w:tc>
        <w:tc>
          <w:tcPr>
            <w:tcW w:w="2078" w:type="dxa"/>
          </w:tcPr>
          <w:p w14:paraId="23881F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83C0E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29.III.42 г.</w:t>
            </w:r>
          </w:p>
        </w:tc>
      </w:tr>
      <w:tr w:rsidR="006F4095" w:rsidRPr="008127F8" w14:paraId="301C9FAF" w14:textId="77777777">
        <w:trPr>
          <w:jc w:val="center"/>
        </w:trPr>
        <w:tc>
          <w:tcPr>
            <w:tcW w:w="1992" w:type="dxa"/>
          </w:tcPr>
          <w:p w14:paraId="33830C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235</w:t>
            </w:r>
          </w:p>
        </w:tc>
        <w:tc>
          <w:tcPr>
            <w:tcW w:w="2078" w:type="dxa"/>
          </w:tcPr>
          <w:p w14:paraId="4589DF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540C0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29.III.42 г.</w:t>
            </w:r>
          </w:p>
        </w:tc>
      </w:tr>
      <w:tr w:rsidR="006F4095" w:rsidRPr="008127F8" w14:paraId="4CD2601D" w14:textId="77777777">
        <w:trPr>
          <w:jc w:val="center"/>
        </w:trPr>
        <w:tc>
          <w:tcPr>
            <w:tcW w:w="1992" w:type="dxa"/>
          </w:tcPr>
          <w:p w14:paraId="5526D2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c>
          <w:tcPr>
            <w:tcW w:w="2078" w:type="dxa"/>
          </w:tcPr>
          <w:p w14:paraId="4D5899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B0794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30.III.42 г.</w:t>
            </w:r>
          </w:p>
        </w:tc>
      </w:tr>
      <w:tr w:rsidR="006F4095" w:rsidRPr="008127F8" w14:paraId="4ACCF97C" w14:textId="77777777">
        <w:trPr>
          <w:jc w:val="center"/>
        </w:trPr>
        <w:tc>
          <w:tcPr>
            <w:tcW w:w="1992" w:type="dxa"/>
          </w:tcPr>
          <w:p w14:paraId="3DBE0D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571</w:t>
            </w:r>
          </w:p>
        </w:tc>
        <w:tc>
          <w:tcPr>
            <w:tcW w:w="2078" w:type="dxa"/>
          </w:tcPr>
          <w:p w14:paraId="3F0D67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00474F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31.III.42 г.</w:t>
            </w:r>
          </w:p>
        </w:tc>
      </w:tr>
      <w:tr w:rsidR="006F4095" w:rsidRPr="008127F8" w14:paraId="75817DB8" w14:textId="77777777" w:rsidTr="007E67CF">
        <w:trPr>
          <w:jc w:val="center"/>
        </w:trPr>
        <w:tc>
          <w:tcPr>
            <w:tcW w:w="1992" w:type="dxa"/>
            <w:gridSpan w:val="3"/>
          </w:tcPr>
          <w:p w14:paraId="348BE2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Як-1 и Як-3:</w:t>
            </w:r>
          </w:p>
        </w:tc>
      </w:tr>
      <w:tr w:rsidR="006F4095" w:rsidRPr="008127F8" w14:paraId="6F59B798" w14:textId="77777777">
        <w:trPr>
          <w:jc w:val="center"/>
        </w:trPr>
        <w:tc>
          <w:tcPr>
            <w:tcW w:w="1992" w:type="dxa"/>
          </w:tcPr>
          <w:p w14:paraId="03C0F0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w:t>
            </w:r>
          </w:p>
        </w:tc>
        <w:tc>
          <w:tcPr>
            <w:tcW w:w="2078" w:type="dxa"/>
          </w:tcPr>
          <w:p w14:paraId="1BC91E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0DA789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4.III.42 г.</w:t>
            </w:r>
          </w:p>
        </w:tc>
      </w:tr>
      <w:tr w:rsidR="006F4095" w:rsidRPr="008127F8" w14:paraId="09D027C5" w14:textId="77777777">
        <w:trPr>
          <w:jc w:val="center"/>
        </w:trPr>
        <w:tc>
          <w:tcPr>
            <w:tcW w:w="1992" w:type="dxa"/>
          </w:tcPr>
          <w:p w14:paraId="5FE524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774</w:t>
            </w:r>
          </w:p>
        </w:tc>
        <w:tc>
          <w:tcPr>
            <w:tcW w:w="2078" w:type="dxa"/>
          </w:tcPr>
          <w:p w14:paraId="74C28D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6CE0C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9.III.42 г.</w:t>
            </w:r>
          </w:p>
        </w:tc>
      </w:tr>
      <w:tr w:rsidR="006F4095" w:rsidRPr="008127F8" w14:paraId="354FD261" w14:textId="77777777">
        <w:trPr>
          <w:jc w:val="center"/>
        </w:trPr>
        <w:tc>
          <w:tcPr>
            <w:tcW w:w="1992" w:type="dxa"/>
          </w:tcPr>
          <w:p w14:paraId="11926D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581</w:t>
            </w:r>
          </w:p>
        </w:tc>
        <w:tc>
          <w:tcPr>
            <w:tcW w:w="2078" w:type="dxa"/>
          </w:tcPr>
          <w:p w14:paraId="398D5A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EDE6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10.III.42 г.</w:t>
            </w:r>
          </w:p>
        </w:tc>
      </w:tr>
      <w:tr w:rsidR="006F4095" w:rsidRPr="008127F8" w14:paraId="2CA39484" w14:textId="77777777">
        <w:trPr>
          <w:jc w:val="center"/>
        </w:trPr>
        <w:tc>
          <w:tcPr>
            <w:tcW w:w="1992" w:type="dxa"/>
          </w:tcPr>
          <w:p w14:paraId="52469E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c>
          <w:tcPr>
            <w:tcW w:w="2078" w:type="dxa"/>
          </w:tcPr>
          <w:p w14:paraId="7A2BC3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C037B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10.III.42 г.</w:t>
            </w:r>
          </w:p>
        </w:tc>
      </w:tr>
      <w:tr w:rsidR="006F4095" w:rsidRPr="008127F8" w14:paraId="0CD39B00" w14:textId="77777777">
        <w:trPr>
          <w:jc w:val="center"/>
        </w:trPr>
        <w:tc>
          <w:tcPr>
            <w:tcW w:w="1992" w:type="dxa"/>
          </w:tcPr>
          <w:p w14:paraId="1A8546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605</w:t>
            </w:r>
          </w:p>
        </w:tc>
        <w:tc>
          <w:tcPr>
            <w:tcW w:w="2078" w:type="dxa"/>
          </w:tcPr>
          <w:p w14:paraId="05E1E4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61ACA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11.III.42 г.</w:t>
            </w:r>
          </w:p>
        </w:tc>
      </w:tr>
      <w:tr w:rsidR="006F4095" w:rsidRPr="008127F8" w14:paraId="5DF41E82" w14:textId="77777777">
        <w:trPr>
          <w:jc w:val="center"/>
        </w:trPr>
        <w:tc>
          <w:tcPr>
            <w:tcW w:w="1992" w:type="dxa"/>
          </w:tcPr>
          <w:p w14:paraId="2CEE10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2078" w:type="dxa"/>
          </w:tcPr>
          <w:p w14:paraId="4403FB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7D127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13.III.42 г.</w:t>
            </w:r>
          </w:p>
        </w:tc>
      </w:tr>
      <w:tr w:rsidR="006F4095" w:rsidRPr="008127F8" w14:paraId="78DC5ECD" w14:textId="77777777">
        <w:trPr>
          <w:jc w:val="center"/>
        </w:trPr>
        <w:tc>
          <w:tcPr>
            <w:tcW w:w="1992" w:type="dxa"/>
          </w:tcPr>
          <w:p w14:paraId="794342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705</w:t>
            </w:r>
          </w:p>
        </w:tc>
        <w:tc>
          <w:tcPr>
            <w:tcW w:w="2078" w:type="dxa"/>
          </w:tcPr>
          <w:p w14:paraId="245780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BDD03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16.III.42 г.</w:t>
            </w:r>
          </w:p>
        </w:tc>
      </w:tr>
      <w:tr w:rsidR="006F4095" w:rsidRPr="008127F8" w14:paraId="7774E127" w14:textId="77777777">
        <w:trPr>
          <w:jc w:val="center"/>
        </w:trPr>
        <w:tc>
          <w:tcPr>
            <w:tcW w:w="1992" w:type="dxa"/>
          </w:tcPr>
          <w:p w14:paraId="392DD0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w:t>
            </w:r>
          </w:p>
        </w:tc>
        <w:tc>
          <w:tcPr>
            <w:tcW w:w="2078" w:type="dxa"/>
          </w:tcPr>
          <w:p w14:paraId="2DADBC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D2B0B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23.III.42 г.</w:t>
            </w:r>
          </w:p>
        </w:tc>
      </w:tr>
      <w:tr w:rsidR="006F4095" w:rsidRPr="008127F8" w14:paraId="212EAB26" w14:textId="77777777">
        <w:trPr>
          <w:jc w:val="center"/>
        </w:trPr>
        <w:tc>
          <w:tcPr>
            <w:tcW w:w="1992" w:type="dxa"/>
          </w:tcPr>
          <w:p w14:paraId="59EE8A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c>
          <w:tcPr>
            <w:tcW w:w="2078" w:type="dxa"/>
          </w:tcPr>
          <w:p w14:paraId="2F4741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BB747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26.III.42 г.</w:t>
            </w:r>
          </w:p>
        </w:tc>
      </w:tr>
      <w:tr w:rsidR="006F4095" w:rsidRPr="008127F8" w14:paraId="035E3A6E" w14:textId="77777777">
        <w:trPr>
          <w:jc w:val="center"/>
        </w:trPr>
        <w:tc>
          <w:tcPr>
            <w:tcW w:w="1992" w:type="dxa"/>
          </w:tcPr>
          <w:p w14:paraId="1668A5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439</w:t>
            </w:r>
          </w:p>
        </w:tc>
        <w:tc>
          <w:tcPr>
            <w:tcW w:w="2078" w:type="dxa"/>
          </w:tcPr>
          <w:p w14:paraId="479B36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891FB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29.III.42 г.</w:t>
            </w:r>
          </w:p>
        </w:tc>
      </w:tr>
      <w:tr w:rsidR="006F4095" w:rsidRPr="008127F8" w14:paraId="465C8D67" w14:textId="77777777" w:rsidTr="007E67CF">
        <w:trPr>
          <w:jc w:val="center"/>
        </w:trPr>
        <w:tc>
          <w:tcPr>
            <w:tcW w:w="1992" w:type="dxa"/>
            <w:gridSpan w:val="3"/>
          </w:tcPr>
          <w:p w14:paraId="50F447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Лагг-3:</w:t>
            </w:r>
          </w:p>
        </w:tc>
      </w:tr>
      <w:tr w:rsidR="006F4095" w:rsidRPr="008127F8" w14:paraId="606CE97D" w14:textId="77777777">
        <w:trPr>
          <w:jc w:val="center"/>
        </w:trPr>
        <w:tc>
          <w:tcPr>
            <w:tcW w:w="1992" w:type="dxa"/>
          </w:tcPr>
          <w:p w14:paraId="67A977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426</w:t>
            </w:r>
          </w:p>
        </w:tc>
        <w:tc>
          <w:tcPr>
            <w:tcW w:w="2078" w:type="dxa"/>
          </w:tcPr>
          <w:p w14:paraId="6B5622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2729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7.III.42 г.</w:t>
            </w:r>
          </w:p>
        </w:tc>
      </w:tr>
      <w:tr w:rsidR="006F4095" w:rsidRPr="008127F8" w14:paraId="592948F8" w14:textId="77777777">
        <w:trPr>
          <w:jc w:val="center"/>
        </w:trPr>
        <w:tc>
          <w:tcPr>
            <w:tcW w:w="1992" w:type="dxa"/>
          </w:tcPr>
          <w:p w14:paraId="4D4638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425</w:t>
            </w:r>
          </w:p>
        </w:tc>
        <w:tc>
          <w:tcPr>
            <w:tcW w:w="2078" w:type="dxa"/>
          </w:tcPr>
          <w:p w14:paraId="19E21E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2BF8A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9.III.42 г.</w:t>
            </w:r>
          </w:p>
        </w:tc>
      </w:tr>
      <w:tr w:rsidR="006F4095" w:rsidRPr="008127F8" w14:paraId="3BE61DE3" w14:textId="77777777">
        <w:trPr>
          <w:jc w:val="center"/>
        </w:trPr>
        <w:tc>
          <w:tcPr>
            <w:tcW w:w="1992" w:type="dxa"/>
          </w:tcPr>
          <w:p w14:paraId="1FE137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2078" w:type="dxa"/>
          </w:tcPr>
          <w:p w14:paraId="1E114D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8E8F4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10.III.42 г.</w:t>
            </w:r>
          </w:p>
        </w:tc>
      </w:tr>
      <w:tr w:rsidR="006F4095" w:rsidRPr="008127F8" w14:paraId="78B68866" w14:textId="77777777">
        <w:trPr>
          <w:jc w:val="center"/>
        </w:trPr>
        <w:tc>
          <w:tcPr>
            <w:tcW w:w="1992" w:type="dxa"/>
          </w:tcPr>
          <w:p w14:paraId="06155E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078" w:type="dxa"/>
          </w:tcPr>
          <w:p w14:paraId="7CD89C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CEAD9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10.III.42 г.</w:t>
            </w:r>
          </w:p>
        </w:tc>
      </w:tr>
      <w:tr w:rsidR="006F4095" w:rsidRPr="008127F8" w14:paraId="27F58496" w14:textId="77777777">
        <w:trPr>
          <w:jc w:val="center"/>
        </w:trPr>
        <w:tc>
          <w:tcPr>
            <w:tcW w:w="1992" w:type="dxa"/>
          </w:tcPr>
          <w:p w14:paraId="0D9B99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796</w:t>
            </w:r>
          </w:p>
        </w:tc>
        <w:tc>
          <w:tcPr>
            <w:tcW w:w="2078" w:type="dxa"/>
          </w:tcPr>
          <w:p w14:paraId="25514C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AE96C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12.III.42 г.</w:t>
            </w:r>
          </w:p>
        </w:tc>
      </w:tr>
      <w:tr w:rsidR="006F4095" w:rsidRPr="008127F8" w14:paraId="0DEAC1D1" w14:textId="77777777">
        <w:trPr>
          <w:jc w:val="center"/>
        </w:trPr>
        <w:tc>
          <w:tcPr>
            <w:tcW w:w="1992" w:type="dxa"/>
          </w:tcPr>
          <w:p w14:paraId="10EC26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c>
          <w:tcPr>
            <w:tcW w:w="2078" w:type="dxa"/>
          </w:tcPr>
          <w:p w14:paraId="4E8F50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B1E8B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13.III.42 г.</w:t>
            </w:r>
          </w:p>
        </w:tc>
      </w:tr>
      <w:tr w:rsidR="006F4095" w:rsidRPr="008127F8" w14:paraId="35D31A44" w14:textId="77777777">
        <w:trPr>
          <w:jc w:val="center"/>
        </w:trPr>
        <w:tc>
          <w:tcPr>
            <w:tcW w:w="1992" w:type="dxa"/>
          </w:tcPr>
          <w:p w14:paraId="021A23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2078" w:type="dxa"/>
          </w:tcPr>
          <w:p w14:paraId="3FDA58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68C0C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13.III.42 г.</w:t>
            </w:r>
          </w:p>
        </w:tc>
      </w:tr>
      <w:tr w:rsidR="006F4095" w:rsidRPr="008127F8" w14:paraId="033217A1" w14:textId="77777777">
        <w:trPr>
          <w:jc w:val="center"/>
        </w:trPr>
        <w:tc>
          <w:tcPr>
            <w:tcW w:w="1992" w:type="dxa"/>
          </w:tcPr>
          <w:p w14:paraId="7EA372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789</w:t>
            </w:r>
          </w:p>
        </w:tc>
        <w:tc>
          <w:tcPr>
            <w:tcW w:w="2078" w:type="dxa"/>
          </w:tcPr>
          <w:p w14:paraId="5F7523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BD0C5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15.III.42 г.</w:t>
            </w:r>
          </w:p>
        </w:tc>
      </w:tr>
      <w:tr w:rsidR="006F4095" w:rsidRPr="008127F8" w14:paraId="1C1B8816" w14:textId="77777777">
        <w:trPr>
          <w:jc w:val="center"/>
        </w:trPr>
        <w:tc>
          <w:tcPr>
            <w:tcW w:w="1992" w:type="dxa"/>
          </w:tcPr>
          <w:p w14:paraId="33C11D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078" w:type="dxa"/>
          </w:tcPr>
          <w:p w14:paraId="129E69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234BB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15.III.42 г.</w:t>
            </w:r>
          </w:p>
        </w:tc>
      </w:tr>
      <w:tr w:rsidR="006F4095" w:rsidRPr="008127F8" w14:paraId="235420A2" w14:textId="77777777">
        <w:trPr>
          <w:jc w:val="center"/>
        </w:trPr>
        <w:tc>
          <w:tcPr>
            <w:tcW w:w="1992" w:type="dxa"/>
          </w:tcPr>
          <w:p w14:paraId="674084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263</w:t>
            </w:r>
          </w:p>
        </w:tc>
        <w:tc>
          <w:tcPr>
            <w:tcW w:w="2078" w:type="dxa"/>
          </w:tcPr>
          <w:p w14:paraId="3137E5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869F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18.III.42 г.</w:t>
            </w:r>
          </w:p>
        </w:tc>
      </w:tr>
      <w:tr w:rsidR="006F4095" w:rsidRPr="008127F8" w14:paraId="613A08E6" w14:textId="77777777">
        <w:trPr>
          <w:jc w:val="center"/>
        </w:trPr>
        <w:tc>
          <w:tcPr>
            <w:tcW w:w="1992" w:type="dxa"/>
          </w:tcPr>
          <w:p w14:paraId="6D74AF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078" w:type="dxa"/>
          </w:tcPr>
          <w:p w14:paraId="308495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9619F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23.III.42 г.</w:t>
            </w:r>
          </w:p>
        </w:tc>
      </w:tr>
      <w:tr w:rsidR="006F4095" w:rsidRPr="008127F8" w14:paraId="46FA884A" w14:textId="77777777">
        <w:trPr>
          <w:jc w:val="center"/>
        </w:trPr>
        <w:tc>
          <w:tcPr>
            <w:tcW w:w="1992" w:type="dxa"/>
          </w:tcPr>
          <w:p w14:paraId="0A7447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w:t>
            </w:r>
          </w:p>
        </w:tc>
        <w:tc>
          <w:tcPr>
            <w:tcW w:w="2078" w:type="dxa"/>
          </w:tcPr>
          <w:p w14:paraId="29E151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3F91D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26.III.42 г.</w:t>
            </w:r>
          </w:p>
        </w:tc>
      </w:tr>
      <w:tr w:rsidR="006F4095" w:rsidRPr="008127F8" w14:paraId="7C12B163" w14:textId="77777777">
        <w:trPr>
          <w:jc w:val="center"/>
        </w:trPr>
        <w:tc>
          <w:tcPr>
            <w:tcW w:w="1992" w:type="dxa"/>
          </w:tcPr>
          <w:p w14:paraId="144B47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078" w:type="dxa"/>
          </w:tcPr>
          <w:p w14:paraId="270DE0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A5B4F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28.III.42 г.</w:t>
            </w:r>
          </w:p>
        </w:tc>
      </w:tr>
      <w:tr w:rsidR="006F4095" w:rsidRPr="008127F8" w14:paraId="6C722CB8" w14:textId="77777777">
        <w:trPr>
          <w:jc w:val="center"/>
        </w:trPr>
        <w:tc>
          <w:tcPr>
            <w:tcW w:w="1992" w:type="dxa"/>
          </w:tcPr>
          <w:p w14:paraId="742C0B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509</w:t>
            </w:r>
          </w:p>
        </w:tc>
        <w:tc>
          <w:tcPr>
            <w:tcW w:w="2078" w:type="dxa"/>
          </w:tcPr>
          <w:p w14:paraId="58BBE3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B133F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28.III.42 г.</w:t>
            </w:r>
          </w:p>
        </w:tc>
      </w:tr>
      <w:tr w:rsidR="006F4095" w:rsidRPr="008127F8" w14:paraId="6D34D435" w14:textId="77777777">
        <w:trPr>
          <w:jc w:val="center"/>
        </w:trPr>
        <w:tc>
          <w:tcPr>
            <w:tcW w:w="1992" w:type="dxa"/>
          </w:tcPr>
          <w:p w14:paraId="732A84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508</w:t>
            </w:r>
          </w:p>
        </w:tc>
        <w:tc>
          <w:tcPr>
            <w:tcW w:w="2078" w:type="dxa"/>
          </w:tcPr>
          <w:p w14:paraId="412C23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54FB0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31.III.42 г.</w:t>
            </w:r>
          </w:p>
        </w:tc>
      </w:tr>
      <w:tr w:rsidR="006F4095" w:rsidRPr="008127F8" w14:paraId="74F7C3DB" w14:textId="77777777" w:rsidTr="007E67CF">
        <w:trPr>
          <w:jc w:val="center"/>
        </w:trPr>
        <w:tc>
          <w:tcPr>
            <w:tcW w:w="1992" w:type="dxa"/>
            <w:gridSpan w:val="3"/>
          </w:tcPr>
          <w:p w14:paraId="1EBDDD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Пе-2:</w:t>
            </w:r>
          </w:p>
        </w:tc>
      </w:tr>
      <w:tr w:rsidR="006F4095" w:rsidRPr="008127F8" w14:paraId="1732E512" w14:textId="77777777">
        <w:trPr>
          <w:jc w:val="center"/>
        </w:trPr>
        <w:tc>
          <w:tcPr>
            <w:tcW w:w="1992" w:type="dxa"/>
          </w:tcPr>
          <w:p w14:paraId="6021A4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2078" w:type="dxa"/>
          </w:tcPr>
          <w:p w14:paraId="05C179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A4FEC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14.III.42 г.</w:t>
            </w:r>
          </w:p>
        </w:tc>
      </w:tr>
      <w:tr w:rsidR="006F4095" w:rsidRPr="008127F8" w14:paraId="4827BF53" w14:textId="77777777">
        <w:trPr>
          <w:jc w:val="center"/>
        </w:trPr>
        <w:tc>
          <w:tcPr>
            <w:tcW w:w="1992" w:type="dxa"/>
          </w:tcPr>
          <w:p w14:paraId="168AA3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723</w:t>
            </w:r>
          </w:p>
        </w:tc>
        <w:tc>
          <w:tcPr>
            <w:tcW w:w="2078" w:type="dxa"/>
          </w:tcPr>
          <w:p w14:paraId="5F9F11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467AB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15.III.42 г.</w:t>
            </w:r>
          </w:p>
        </w:tc>
      </w:tr>
      <w:tr w:rsidR="006F4095" w:rsidRPr="008127F8" w14:paraId="5610DD8E" w14:textId="77777777">
        <w:trPr>
          <w:jc w:val="center"/>
        </w:trPr>
        <w:tc>
          <w:tcPr>
            <w:tcW w:w="1992" w:type="dxa"/>
          </w:tcPr>
          <w:p w14:paraId="37E3A7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w:t>
            </w:r>
          </w:p>
        </w:tc>
        <w:tc>
          <w:tcPr>
            <w:tcW w:w="2078" w:type="dxa"/>
          </w:tcPr>
          <w:p w14:paraId="339BA7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5764A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20.III.42 г.</w:t>
            </w:r>
          </w:p>
        </w:tc>
      </w:tr>
      <w:tr w:rsidR="006F4095" w:rsidRPr="008127F8" w14:paraId="3310646A" w14:textId="77777777">
        <w:trPr>
          <w:jc w:val="center"/>
        </w:trPr>
        <w:tc>
          <w:tcPr>
            <w:tcW w:w="1992" w:type="dxa"/>
          </w:tcPr>
          <w:p w14:paraId="60107A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205</w:t>
            </w:r>
          </w:p>
        </w:tc>
        <w:tc>
          <w:tcPr>
            <w:tcW w:w="2078" w:type="dxa"/>
          </w:tcPr>
          <w:p w14:paraId="73480C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E2095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25.III.42 г.</w:t>
            </w:r>
          </w:p>
        </w:tc>
      </w:tr>
      <w:tr w:rsidR="006F4095" w:rsidRPr="008127F8" w14:paraId="7FB9FDCC" w14:textId="77777777">
        <w:trPr>
          <w:jc w:val="center"/>
        </w:trPr>
        <w:tc>
          <w:tcPr>
            <w:tcW w:w="1992" w:type="dxa"/>
          </w:tcPr>
          <w:p w14:paraId="16E901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507</w:t>
            </w:r>
          </w:p>
        </w:tc>
        <w:tc>
          <w:tcPr>
            <w:tcW w:w="2078" w:type="dxa"/>
          </w:tcPr>
          <w:p w14:paraId="03F471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3A86F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26.III.42 г.</w:t>
            </w:r>
          </w:p>
        </w:tc>
      </w:tr>
      <w:tr w:rsidR="006F4095" w:rsidRPr="008127F8" w14:paraId="67A943B3" w14:textId="77777777">
        <w:trPr>
          <w:jc w:val="center"/>
        </w:trPr>
        <w:tc>
          <w:tcPr>
            <w:tcW w:w="1992" w:type="dxa"/>
          </w:tcPr>
          <w:p w14:paraId="1D4A69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2078" w:type="dxa"/>
          </w:tcPr>
          <w:p w14:paraId="4ABA7C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F4C92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27.III.42 г.</w:t>
            </w:r>
          </w:p>
        </w:tc>
      </w:tr>
      <w:tr w:rsidR="006F4095" w:rsidRPr="008127F8" w14:paraId="24C3DA8D" w14:textId="77777777">
        <w:trPr>
          <w:jc w:val="center"/>
        </w:trPr>
        <w:tc>
          <w:tcPr>
            <w:tcW w:w="1992" w:type="dxa"/>
          </w:tcPr>
          <w:p w14:paraId="639719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745</w:t>
            </w:r>
          </w:p>
        </w:tc>
        <w:tc>
          <w:tcPr>
            <w:tcW w:w="2078" w:type="dxa"/>
          </w:tcPr>
          <w:p w14:paraId="36C947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2C118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28.III.42 г.</w:t>
            </w:r>
          </w:p>
        </w:tc>
      </w:tr>
      <w:tr w:rsidR="006F4095" w:rsidRPr="008127F8" w14:paraId="50859802" w14:textId="77777777">
        <w:trPr>
          <w:jc w:val="center"/>
        </w:trPr>
        <w:tc>
          <w:tcPr>
            <w:tcW w:w="1992" w:type="dxa"/>
          </w:tcPr>
          <w:p w14:paraId="08A41F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138</w:t>
            </w:r>
          </w:p>
        </w:tc>
        <w:tc>
          <w:tcPr>
            <w:tcW w:w="2078" w:type="dxa"/>
          </w:tcPr>
          <w:p w14:paraId="1B5668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CE176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31.III.42 г.</w:t>
            </w:r>
          </w:p>
        </w:tc>
      </w:tr>
      <w:tr w:rsidR="006F4095" w:rsidRPr="008127F8" w14:paraId="269DDBD9" w14:textId="77777777" w:rsidTr="007E67CF">
        <w:trPr>
          <w:jc w:val="center"/>
        </w:trPr>
        <w:tc>
          <w:tcPr>
            <w:tcW w:w="1992" w:type="dxa"/>
            <w:gridSpan w:val="3"/>
          </w:tcPr>
          <w:p w14:paraId="30256B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Харрикейн:</w:t>
            </w:r>
          </w:p>
        </w:tc>
      </w:tr>
      <w:tr w:rsidR="006F4095" w:rsidRPr="008127F8" w14:paraId="2E76770A" w14:textId="77777777">
        <w:trPr>
          <w:jc w:val="center"/>
        </w:trPr>
        <w:tc>
          <w:tcPr>
            <w:tcW w:w="1992" w:type="dxa"/>
          </w:tcPr>
          <w:p w14:paraId="1107D2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2078" w:type="dxa"/>
          </w:tcPr>
          <w:p w14:paraId="742ADF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BD53C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5.III.42 г.</w:t>
            </w:r>
          </w:p>
        </w:tc>
      </w:tr>
      <w:tr w:rsidR="006F4095" w:rsidRPr="008127F8" w14:paraId="0C846B92" w14:textId="77777777">
        <w:trPr>
          <w:jc w:val="center"/>
        </w:trPr>
        <w:tc>
          <w:tcPr>
            <w:tcW w:w="1992" w:type="dxa"/>
          </w:tcPr>
          <w:p w14:paraId="11C18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w:t>
            </w:r>
          </w:p>
        </w:tc>
        <w:tc>
          <w:tcPr>
            <w:tcW w:w="2078" w:type="dxa"/>
          </w:tcPr>
          <w:p w14:paraId="499DA0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F2F16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6.III.42 г.</w:t>
            </w:r>
          </w:p>
        </w:tc>
      </w:tr>
      <w:tr w:rsidR="006F4095" w:rsidRPr="008127F8" w14:paraId="57C9BCCA" w14:textId="77777777">
        <w:trPr>
          <w:jc w:val="center"/>
        </w:trPr>
        <w:tc>
          <w:tcPr>
            <w:tcW w:w="1992" w:type="dxa"/>
          </w:tcPr>
          <w:p w14:paraId="4F1F79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c>
          <w:tcPr>
            <w:tcW w:w="2078" w:type="dxa"/>
          </w:tcPr>
          <w:p w14:paraId="057CB6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C788D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9.III.42 г.</w:t>
            </w:r>
          </w:p>
        </w:tc>
      </w:tr>
      <w:tr w:rsidR="006F4095" w:rsidRPr="008127F8" w14:paraId="05E44630" w14:textId="77777777">
        <w:trPr>
          <w:jc w:val="center"/>
        </w:trPr>
        <w:tc>
          <w:tcPr>
            <w:tcW w:w="1992" w:type="dxa"/>
          </w:tcPr>
          <w:p w14:paraId="715C80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2078" w:type="dxa"/>
          </w:tcPr>
          <w:p w14:paraId="04C8F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C925C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10.III.42 г.</w:t>
            </w:r>
          </w:p>
        </w:tc>
      </w:tr>
      <w:tr w:rsidR="006F4095" w:rsidRPr="008127F8" w14:paraId="6E3409C3" w14:textId="77777777">
        <w:trPr>
          <w:jc w:val="center"/>
        </w:trPr>
        <w:tc>
          <w:tcPr>
            <w:tcW w:w="1992" w:type="dxa"/>
          </w:tcPr>
          <w:p w14:paraId="216552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2078" w:type="dxa"/>
          </w:tcPr>
          <w:p w14:paraId="4724EC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EA294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20.III.42 г.</w:t>
            </w:r>
          </w:p>
        </w:tc>
      </w:tr>
      <w:tr w:rsidR="006F4095" w:rsidRPr="008127F8" w14:paraId="2995E10E" w14:textId="77777777">
        <w:trPr>
          <w:jc w:val="center"/>
        </w:trPr>
        <w:tc>
          <w:tcPr>
            <w:tcW w:w="1992" w:type="dxa"/>
          </w:tcPr>
          <w:p w14:paraId="5D6777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2078" w:type="dxa"/>
          </w:tcPr>
          <w:p w14:paraId="6552C9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40E74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25.III.42 г.</w:t>
            </w:r>
          </w:p>
        </w:tc>
      </w:tr>
      <w:tr w:rsidR="006F4095" w:rsidRPr="008127F8" w14:paraId="4F16852A" w14:textId="77777777" w:rsidTr="007E67CF">
        <w:trPr>
          <w:jc w:val="center"/>
        </w:trPr>
        <w:tc>
          <w:tcPr>
            <w:tcW w:w="1992" w:type="dxa"/>
            <w:gridSpan w:val="3"/>
          </w:tcPr>
          <w:p w14:paraId="75E78C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Аэрокобра:</w:t>
            </w:r>
          </w:p>
        </w:tc>
      </w:tr>
      <w:tr w:rsidR="006F4095" w:rsidRPr="008127F8" w14:paraId="5AE2224F" w14:textId="77777777">
        <w:trPr>
          <w:jc w:val="center"/>
        </w:trPr>
        <w:tc>
          <w:tcPr>
            <w:tcW w:w="1992" w:type="dxa"/>
          </w:tcPr>
          <w:p w14:paraId="2DFF7C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2078" w:type="dxa"/>
          </w:tcPr>
          <w:p w14:paraId="3D4864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D40D2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20.III.42 г.</w:t>
            </w:r>
          </w:p>
        </w:tc>
      </w:tr>
      <w:tr w:rsidR="006F4095" w:rsidRPr="008127F8" w14:paraId="77BC9E4D" w14:textId="77777777">
        <w:trPr>
          <w:jc w:val="center"/>
        </w:trPr>
        <w:tc>
          <w:tcPr>
            <w:tcW w:w="1992" w:type="dxa"/>
          </w:tcPr>
          <w:p w14:paraId="304B15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w:t>
            </w:r>
          </w:p>
        </w:tc>
        <w:tc>
          <w:tcPr>
            <w:tcW w:w="2078" w:type="dxa"/>
          </w:tcPr>
          <w:p w14:paraId="4B898E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7732ED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28.III.42 г.</w:t>
            </w:r>
          </w:p>
        </w:tc>
      </w:tr>
      <w:tr w:rsidR="006F4095" w:rsidRPr="008127F8" w14:paraId="3D7CBCFE" w14:textId="77777777" w:rsidTr="007E67CF">
        <w:trPr>
          <w:jc w:val="center"/>
        </w:trPr>
        <w:tc>
          <w:tcPr>
            <w:tcW w:w="1992" w:type="dxa"/>
            <w:gridSpan w:val="3"/>
          </w:tcPr>
          <w:p w14:paraId="1A11F1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 У-2:</w:t>
            </w:r>
          </w:p>
        </w:tc>
      </w:tr>
      <w:tr w:rsidR="006F4095" w:rsidRPr="008127F8" w14:paraId="282857A9" w14:textId="77777777">
        <w:trPr>
          <w:jc w:val="center"/>
        </w:trPr>
        <w:tc>
          <w:tcPr>
            <w:tcW w:w="1992" w:type="dxa"/>
          </w:tcPr>
          <w:p w14:paraId="756B26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2078" w:type="dxa"/>
          </w:tcPr>
          <w:p w14:paraId="2AAF03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171BFF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8.III.42 г.</w:t>
            </w:r>
          </w:p>
        </w:tc>
      </w:tr>
      <w:tr w:rsidR="006F4095" w:rsidRPr="008127F8" w14:paraId="4588A6C3" w14:textId="77777777">
        <w:trPr>
          <w:jc w:val="center"/>
        </w:trPr>
        <w:tc>
          <w:tcPr>
            <w:tcW w:w="1992" w:type="dxa"/>
          </w:tcPr>
          <w:p w14:paraId="2EB7BD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642</w:t>
            </w:r>
          </w:p>
        </w:tc>
        <w:tc>
          <w:tcPr>
            <w:tcW w:w="2078" w:type="dxa"/>
          </w:tcPr>
          <w:p w14:paraId="59E00A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0303D8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12.III.42 г.</w:t>
            </w:r>
          </w:p>
        </w:tc>
      </w:tr>
      <w:tr w:rsidR="006F4095" w:rsidRPr="008127F8" w14:paraId="792F2224" w14:textId="77777777">
        <w:trPr>
          <w:jc w:val="center"/>
        </w:trPr>
        <w:tc>
          <w:tcPr>
            <w:tcW w:w="1992" w:type="dxa"/>
          </w:tcPr>
          <w:p w14:paraId="267269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597</w:t>
            </w:r>
          </w:p>
        </w:tc>
        <w:tc>
          <w:tcPr>
            <w:tcW w:w="2078" w:type="dxa"/>
          </w:tcPr>
          <w:p w14:paraId="0E35CD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4115B7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15.III.42 г.</w:t>
            </w:r>
          </w:p>
        </w:tc>
      </w:tr>
      <w:tr w:rsidR="006F4095" w:rsidRPr="008127F8" w14:paraId="4F72B86A" w14:textId="77777777">
        <w:trPr>
          <w:jc w:val="center"/>
        </w:trPr>
        <w:tc>
          <w:tcPr>
            <w:tcW w:w="1992" w:type="dxa"/>
          </w:tcPr>
          <w:p w14:paraId="203DA6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634</w:t>
            </w:r>
          </w:p>
        </w:tc>
        <w:tc>
          <w:tcPr>
            <w:tcW w:w="2078" w:type="dxa"/>
          </w:tcPr>
          <w:p w14:paraId="7822CA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69ADE6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20.III.42 г.</w:t>
            </w:r>
          </w:p>
        </w:tc>
      </w:tr>
      <w:tr w:rsidR="006F4095" w:rsidRPr="008127F8" w14:paraId="191235D7" w14:textId="77777777">
        <w:trPr>
          <w:jc w:val="center"/>
        </w:trPr>
        <w:tc>
          <w:tcPr>
            <w:tcW w:w="1992" w:type="dxa"/>
          </w:tcPr>
          <w:p w14:paraId="7F19AA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715</w:t>
            </w:r>
          </w:p>
        </w:tc>
        <w:tc>
          <w:tcPr>
            <w:tcW w:w="2078" w:type="dxa"/>
          </w:tcPr>
          <w:p w14:paraId="16B86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3B1469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25.III.42 г.</w:t>
            </w:r>
          </w:p>
        </w:tc>
      </w:tr>
      <w:tr w:rsidR="006F4095" w:rsidRPr="008127F8" w14:paraId="0D060AA0" w14:textId="77777777">
        <w:trPr>
          <w:jc w:val="center"/>
        </w:trPr>
        <w:tc>
          <w:tcPr>
            <w:tcW w:w="1992" w:type="dxa"/>
          </w:tcPr>
          <w:p w14:paraId="6AA82F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2078" w:type="dxa"/>
          </w:tcPr>
          <w:p w14:paraId="51361C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23F51A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22.III.42 г.</w:t>
            </w:r>
          </w:p>
        </w:tc>
      </w:tr>
      <w:tr w:rsidR="006F4095" w:rsidRPr="008127F8" w14:paraId="6170D58D" w14:textId="77777777">
        <w:trPr>
          <w:jc w:val="center"/>
        </w:trPr>
        <w:tc>
          <w:tcPr>
            <w:tcW w:w="1992" w:type="dxa"/>
          </w:tcPr>
          <w:p w14:paraId="3BD24E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716</w:t>
            </w:r>
          </w:p>
        </w:tc>
        <w:tc>
          <w:tcPr>
            <w:tcW w:w="2078" w:type="dxa"/>
          </w:tcPr>
          <w:p w14:paraId="0E0B1B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Pr>
          <w:p w14:paraId="5B1F78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27.III.42 г.</w:t>
            </w:r>
          </w:p>
        </w:tc>
      </w:tr>
      <w:tr w:rsidR="006F4095" w:rsidRPr="008127F8" w14:paraId="4287B894" w14:textId="77777777">
        <w:trPr>
          <w:jc w:val="center"/>
        </w:trPr>
        <w:tc>
          <w:tcPr>
            <w:tcW w:w="1992" w:type="dxa"/>
            <w:tcBorders>
              <w:bottom w:val="single" w:sz="12" w:space="0" w:color="auto"/>
            </w:tcBorders>
          </w:tcPr>
          <w:p w14:paraId="40BD6E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717</w:t>
            </w:r>
          </w:p>
        </w:tc>
        <w:tc>
          <w:tcPr>
            <w:tcW w:w="2078" w:type="dxa"/>
            <w:tcBorders>
              <w:bottom w:val="single" w:sz="12" w:space="0" w:color="auto"/>
            </w:tcBorders>
          </w:tcPr>
          <w:p w14:paraId="3E3384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авиаполк</w:t>
            </w:r>
          </w:p>
        </w:tc>
        <w:tc>
          <w:tcPr>
            <w:tcW w:w="3118" w:type="dxa"/>
            <w:tcBorders>
              <w:bottom w:val="single" w:sz="12" w:space="0" w:color="auto"/>
            </w:tcBorders>
          </w:tcPr>
          <w:p w14:paraId="596CEB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30.III.42 г.</w:t>
            </w:r>
          </w:p>
        </w:tc>
      </w:tr>
    </w:tbl>
    <w:p w14:paraId="6BC0D0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наркома авиационной промышленности т. Шахурина сдать ВВС Красной Армии в марте с.г. 1.460 облетанных и готовых к бою самолетов, из них: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143"/>
        <w:gridCol w:w="400"/>
        <w:gridCol w:w="2645"/>
      </w:tblGrid>
      <w:tr w:rsidR="006F4095" w:rsidRPr="008127F8" w14:paraId="10036DC0" w14:textId="77777777">
        <w:trPr>
          <w:jc w:val="center"/>
        </w:trPr>
        <w:tc>
          <w:tcPr>
            <w:tcW w:w="4143" w:type="dxa"/>
            <w:tcBorders>
              <w:top w:val="single" w:sz="12" w:space="0" w:color="auto"/>
            </w:tcBorders>
          </w:tcPr>
          <w:p w14:paraId="5F04A9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400" w:type="dxa"/>
            <w:tcBorders>
              <w:top w:val="single" w:sz="12" w:space="0" w:color="auto"/>
            </w:tcBorders>
          </w:tcPr>
          <w:p w14:paraId="50E22B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645" w:type="dxa"/>
            <w:tcBorders>
              <w:top w:val="single" w:sz="12" w:space="0" w:color="auto"/>
            </w:tcBorders>
          </w:tcPr>
          <w:p w14:paraId="0F9988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 шт.</w:t>
            </w:r>
          </w:p>
        </w:tc>
      </w:tr>
      <w:tr w:rsidR="006F4095" w:rsidRPr="008127F8" w14:paraId="7D0A6E53" w14:textId="77777777">
        <w:trPr>
          <w:jc w:val="center"/>
        </w:trPr>
        <w:tc>
          <w:tcPr>
            <w:tcW w:w="4143" w:type="dxa"/>
          </w:tcPr>
          <w:p w14:paraId="6E961A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и Як-3</w:t>
            </w:r>
          </w:p>
        </w:tc>
        <w:tc>
          <w:tcPr>
            <w:tcW w:w="400" w:type="dxa"/>
          </w:tcPr>
          <w:p w14:paraId="0F965D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645" w:type="dxa"/>
          </w:tcPr>
          <w:p w14:paraId="169213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шт.</w:t>
            </w:r>
          </w:p>
        </w:tc>
      </w:tr>
      <w:tr w:rsidR="006F4095" w:rsidRPr="008127F8" w14:paraId="27B646F7" w14:textId="77777777">
        <w:trPr>
          <w:jc w:val="center"/>
        </w:trPr>
        <w:tc>
          <w:tcPr>
            <w:tcW w:w="4143" w:type="dxa"/>
          </w:tcPr>
          <w:p w14:paraId="14375E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w:t>
            </w:r>
          </w:p>
        </w:tc>
        <w:tc>
          <w:tcPr>
            <w:tcW w:w="400" w:type="dxa"/>
          </w:tcPr>
          <w:p w14:paraId="2B2251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645" w:type="dxa"/>
          </w:tcPr>
          <w:p w14:paraId="5E8B79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шт.</w:t>
            </w:r>
          </w:p>
        </w:tc>
      </w:tr>
      <w:tr w:rsidR="006F4095" w:rsidRPr="008127F8" w14:paraId="15EA1A7D" w14:textId="77777777">
        <w:trPr>
          <w:jc w:val="center"/>
        </w:trPr>
        <w:tc>
          <w:tcPr>
            <w:tcW w:w="4143" w:type="dxa"/>
            <w:tcBorders>
              <w:bottom w:val="single" w:sz="12" w:space="0" w:color="auto"/>
            </w:tcBorders>
          </w:tcPr>
          <w:p w14:paraId="16CD41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400" w:type="dxa"/>
            <w:tcBorders>
              <w:bottom w:val="single" w:sz="12" w:space="0" w:color="auto"/>
            </w:tcBorders>
          </w:tcPr>
          <w:p w14:paraId="5B5AA2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645" w:type="dxa"/>
            <w:tcBorders>
              <w:bottom w:val="single" w:sz="12" w:space="0" w:color="auto"/>
            </w:tcBorders>
          </w:tcPr>
          <w:p w14:paraId="3F28A9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 шт.</w:t>
            </w:r>
          </w:p>
        </w:tc>
      </w:tr>
    </w:tbl>
    <w:p w14:paraId="5106DA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Утвердить на март месяц 1942 г. следующий календарный план сдачи наркоматом авиационной промышленности для ВВС Красной Армии облетанных и готовых к бою самолетов:</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800"/>
        <w:gridCol w:w="800"/>
        <w:gridCol w:w="950"/>
        <w:gridCol w:w="950"/>
        <w:gridCol w:w="1098"/>
        <w:gridCol w:w="1247"/>
        <w:gridCol w:w="1247"/>
        <w:gridCol w:w="1247"/>
        <w:gridCol w:w="1247"/>
      </w:tblGrid>
      <w:tr w:rsidR="006F4095" w:rsidRPr="008127F8" w14:paraId="42E6D3E1" w14:textId="77777777">
        <w:trPr>
          <w:jc w:val="center"/>
        </w:trPr>
        <w:tc>
          <w:tcPr>
            <w:tcW w:w="800" w:type="dxa"/>
            <w:tcBorders>
              <w:top w:val="single" w:sz="12" w:space="0" w:color="auto"/>
            </w:tcBorders>
          </w:tcPr>
          <w:p w14:paraId="0F0560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5C5834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tcPr>
          <w:p w14:paraId="3EF497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tcPr>
          <w:p w14:paraId="486918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5</w:t>
            </w:r>
            <w:r w:rsidRPr="008127F8">
              <w:rPr>
                <w:rFonts w:ascii="Times New Roman" w:hAnsi="Times New Roman"/>
                <w:color w:val="000000" w:themeColor="text1"/>
                <w:sz w:val="16"/>
                <w:szCs w:val="16"/>
              </w:rPr>
              <w:br/>
            </w:r>
            <w:r w:rsidRPr="008127F8">
              <w:rPr>
                <w:rFonts w:ascii="Times New Roman" w:hAnsi="Times New Roman"/>
                <w:color w:val="000000" w:themeColor="text1"/>
                <w:sz w:val="16"/>
                <w:szCs w:val="16"/>
                <w:u w:val="single"/>
              </w:rPr>
              <w:t>марта</w:t>
            </w:r>
          </w:p>
        </w:tc>
        <w:tc>
          <w:tcPr>
            <w:tcW w:w="1098" w:type="dxa"/>
            <w:tcBorders>
              <w:top w:val="single" w:sz="12" w:space="0" w:color="auto"/>
            </w:tcBorders>
          </w:tcPr>
          <w:p w14:paraId="02CFAF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6 по 10</w:t>
            </w:r>
            <w:r w:rsidRPr="008127F8">
              <w:rPr>
                <w:rFonts w:ascii="Times New Roman" w:hAnsi="Times New Roman"/>
                <w:color w:val="000000" w:themeColor="text1"/>
                <w:sz w:val="16"/>
                <w:szCs w:val="16"/>
              </w:rPr>
              <w:br/>
            </w:r>
            <w:r w:rsidRPr="008127F8">
              <w:rPr>
                <w:rFonts w:ascii="Times New Roman" w:hAnsi="Times New Roman"/>
                <w:color w:val="000000" w:themeColor="text1"/>
                <w:sz w:val="16"/>
                <w:szCs w:val="16"/>
                <w:u w:val="single"/>
              </w:rPr>
              <w:t>марта</w:t>
            </w:r>
          </w:p>
        </w:tc>
        <w:tc>
          <w:tcPr>
            <w:tcW w:w="1247" w:type="dxa"/>
            <w:tcBorders>
              <w:top w:val="single" w:sz="12" w:space="0" w:color="auto"/>
            </w:tcBorders>
          </w:tcPr>
          <w:p w14:paraId="7495A1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 по 15</w:t>
            </w:r>
            <w:r w:rsidRPr="008127F8">
              <w:rPr>
                <w:rFonts w:ascii="Times New Roman" w:hAnsi="Times New Roman"/>
                <w:color w:val="000000" w:themeColor="text1"/>
                <w:sz w:val="16"/>
                <w:szCs w:val="16"/>
              </w:rPr>
              <w:br/>
            </w:r>
            <w:r w:rsidRPr="008127F8">
              <w:rPr>
                <w:rFonts w:ascii="Times New Roman" w:hAnsi="Times New Roman"/>
                <w:color w:val="000000" w:themeColor="text1"/>
                <w:sz w:val="16"/>
                <w:szCs w:val="16"/>
                <w:u w:val="single"/>
              </w:rPr>
              <w:t>марта</w:t>
            </w:r>
          </w:p>
        </w:tc>
        <w:tc>
          <w:tcPr>
            <w:tcW w:w="1247" w:type="dxa"/>
            <w:tcBorders>
              <w:top w:val="single" w:sz="12" w:space="0" w:color="auto"/>
            </w:tcBorders>
          </w:tcPr>
          <w:p w14:paraId="2B70F6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16 по 20</w:t>
            </w:r>
            <w:r w:rsidRPr="008127F8">
              <w:rPr>
                <w:rFonts w:ascii="Times New Roman" w:hAnsi="Times New Roman"/>
                <w:color w:val="000000" w:themeColor="text1"/>
                <w:sz w:val="16"/>
                <w:szCs w:val="16"/>
              </w:rPr>
              <w:br/>
            </w:r>
            <w:r w:rsidRPr="008127F8">
              <w:rPr>
                <w:rFonts w:ascii="Times New Roman" w:hAnsi="Times New Roman"/>
                <w:color w:val="000000" w:themeColor="text1"/>
                <w:sz w:val="16"/>
                <w:szCs w:val="16"/>
                <w:u w:val="single"/>
              </w:rPr>
              <w:t>марта</w:t>
            </w:r>
          </w:p>
        </w:tc>
        <w:tc>
          <w:tcPr>
            <w:tcW w:w="1247" w:type="dxa"/>
            <w:tcBorders>
              <w:top w:val="single" w:sz="12" w:space="0" w:color="auto"/>
            </w:tcBorders>
          </w:tcPr>
          <w:p w14:paraId="27A41C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25</w:t>
            </w:r>
            <w:r w:rsidRPr="008127F8">
              <w:rPr>
                <w:rFonts w:ascii="Times New Roman" w:hAnsi="Times New Roman"/>
                <w:color w:val="000000" w:themeColor="text1"/>
                <w:sz w:val="16"/>
                <w:szCs w:val="16"/>
              </w:rPr>
              <w:br/>
            </w:r>
            <w:r w:rsidRPr="008127F8">
              <w:rPr>
                <w:rFonts w:ascii="Times New Roman" w:hAnsi="Times New Roman"/>
                <w:color w:val="000000" w:themeColor="text1"/>
                <w:sz w:val="16"/>
                <w:szCs w:val="16"/>
                <w:u w:val="single"/>
              </w:rPr>
              <w:t>марта</w:t>
            </w:r>
          </w:p>
        </w:tc>
        <w:tc>
          <w:tcPr>
            <w:tcW w:w="1247" w:type="dxa"/>
            <w:tcBorders>
              <w:top w:val="single" w:sz="12" w:space="0" w:color="auto"/>
            </w:tcBorders>
          </w:tcPr>
          <w:p w14:paraId="5DE8B1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по 31</w:t>
            </w:r>
            <w:r w:rsidRPr="008127F8">
              <w:rPr>
                <w:rFonts w:ascii="Times New Roman" w:hAnsi="Times New Roman"/>
                <w:color w:val="000000" w:themeColor="text1"/>
                <w:sz w:val="16"/>
                <w:szCs w:val="16"/>
              </w:rPr>
              <w:br/>
            </w:r>
            <w:r w:rsidRPr="008127F8">
              <w:rPr>
                <w:rFonts w:ascii="Times New Roman" w:hAnsi="Times New Roman"/>
                <w:color w:val="000000" w:themeColor="text1"/>
                <w:sz w:val="16"/>
                <w:szCs w:val="16"/>
                <w:u w:val="single"/>
              </w:rPr>
              <w:t>марта</w:t>
            </w:r>
          </w:p>
        </w:tc>
      </w:tr>
      <w:tr w:rsidR="006F4095" w:rsidRPr="008127F8" w14:paraId="1C78D6E6" w14:textId="77777777">
        <w:trPr>
          <w:jc w:val="center"/>
        </w:trPr>
        <w:tc>
          <w:tcPr>
            <w:tcW w:w="800" w:type="dxa"/>
          </w:tcPr>
          <w:p w14:paraId="2C5B30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416885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w:t>
            </w:r>
          </w:p>
        </w:tc>
        <w:tc>
          <w:tcPr>
            <w:tcW w:w="950" w:type="dxa"/>
          </w:tcPr>
          <w:p w14:paraId="61C3CE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950" w:type="dxa"/>
          </w:tcPr>
          <w:p w14:paraId="2FD811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098" w:type="dxa"/>
          </w:tcPr>
          <w:p w14:paraId="0F18B5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247" w:type="dxa"/>
          </w:tcPr>
          <w:p w14:paraId="420294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247" w:type="dxa"/>
          </w:tcPr>
          <w:p w14:paraId="7814FE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247" w:type="dxa"/>
          </w:tcPr>
          <w:p w14:paraId="587390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247" w:type="dxa"/>
          </w:tcPr>
          <w:p w14:paraId="647FF8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r>
      <w:tr w:rsidR="006F4095" w:rsidRPr="008127F8" w14:paraId="106F7A1F" w14:textId="77777777">
        <w:trPr>
          <w:jc w:val="center"/>
        </w:trPr>
        <w:tc>
          <w:tcPr>
            <w:tcW w:w="800" w:type="dxa"/>
          </w:tcPr>
          <w:p w14:paraId="62D8E3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35A772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381</w:t>
            </w:r>
          </w:p>
        </w:tc>
        <w:tc>
          <w:tcPr>
            <w:tcW w:w="950" w:type="dxa"/>
          </w:tcPr>
          <w:p w14:paraId="73E577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950" w:type="dxa"/>
          </w:tcPr>
          <w:p w14:paraId="45321A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098" w:type="dxa"/>
          </w:tcPr>
          <w:p w14:paraId="2E31E2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247" w:type="dxa"/>
          </w:tcPr>
          <w:p w14:paraId="4ACD05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247" w:type="dxa"/>
          </w:tcPr>
          <w:p w14:paraId="366092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247" w:type="dxa"/>
          </w:tcPr>
          <w:p w14:paraId="31F41A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247" w:type="dxa"/>
          </w:tcPr>
          <w:p w14:paraId="7CB6EB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35C6AE1C" w14:textId="77777777">
        <w:trPr>
          <w:jc w:val="center"/>
        </w:trPr>
        <w:tc>
          <w:tcPr>
            <w:tcW w:w="800" w:type="dxa"/>
          </w:tcPr>
          <w:p w14:paraId="1FACA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3CAEF6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tc>
        <w:tc>
          <w:tcPr>
            <w:tcW w:w="950" w:type="dxa"/>
          </w:tcPr>
          <w:p w14:paraId="1F4232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950" w:type="dxa"/>
          </w:tcPr>
          <w:p w14:paraId="498F1F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098" w:type="dxa"/>
          </w:tcPr>
          <w:p w14:paraId="12B20E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247" w:type="dxa"/>
          </w:tcPr>
          <w:p w14:paraId="53ED5D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247" w:type="dxa"/>
          </w:tcPr>
          <w:p w14:paraId="543A30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247" w:type="dxa"/>
          </w:tcPr>
          <w:p w14:paraId="57740B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247" w:type="dxa"/>
          </w:tcPr>
          <w:p w14:paraId="19F3B7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r>
      <w:tr w:rsidR="006F4095" w:rsidRPr="008127F8" w14:paraId="057273FC" w14:textId="77777777">
        <w:trPr>
          <w:jc w:val="center"/>
        </w:trPr>
        <w:tc>
          <w:tcPr>
            <w:tcW w:w="800" w:type="dxa"/>
          </w:tcPr>
          <w:p w14:paraId="221238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30110F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292</w:t>
            </w:r>
          </w:p>
        </w:tc>
        <w:tc>
          <w:tcPr>
            <w:tcW w:w="950" w:type="dxa"/>
          </w:tcPr>
          <w:p w14:paraId="197B7A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950" w:type="dxa"/>
          </w:tcPr>
          <w:p w14:paraId="310464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98" w:type="dxa"/>
          </w:tcPr>
          <w:p w14:paraId="108167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247" w:type="dxa"/>
          </w:tcPr>
          <w:p w14:paraId="4F7257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247" w:type="dxa"/>
          </w:tcPr>
          <w:p w14:paraId="709657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247" w:type="dxa"/>
          </w:tcPr>
          <w:p w14:paraId="529768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247" w:type="dxa"/>
          </w:tcPr>
          <w:p w14:paraId="158AB5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r>
      <w:tr w:rsidR="006F4095" w:rsidRPr="008127F8" w14:paraId="260A58F4" w14:textId="77777777">
        <w:trPr>
          <w:jc w:val="center"/>
        </w:trPr>
        <w:tc>
          <w:tcPr>
            <w:tcW w:w="800" w:type="dxa"/>
          </w:tcPr>
          <w:p w14:paraId="12D83C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0C8581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153</w:t>
            </w:r>
          </w:p>
        </w:tc>
        <w:tc>
          <w:tcPr>
            <w:tcW w:w="950" w:type="dxa"/>
          </w:tcPr>
          <w:p w14:paraId="78BAEC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Як-3</w:t>
            </w:r>
          </w:p>
        </w:tc>
        <w:tc>
          <w:tcPr>
            <w:tcW w:w="950" w:type="dxa"/>
          </w:tcPr>
          <w:p w14:paraId="360CFC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98" w:type="dxa"/>
          </w:tcPr>
          <w:p w14:paraId="2B3D7C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7" w:type="dxa"/>
          </w:tcPr>
          <w:p w14:paraId="70D0BC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47" w:type="dxa"/>
          </w:tcPr>
          <w:p w14:paraId="12E54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247" w:type="dxa"/>
          </w:tcPr>
          <w:p w14:paraId="00D22E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247" w:type="dxa"/>
          </w:tcPr>
          <w:p w14:paraId="1A4A0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6F4095" w:rsidRPr="008127F8" w14:paraId="2B237C11" w14:textId="77777777">
        <w:trPr>
          <w:jc w:val="center"/>
        </w:trPr>
        <w:tc>
          <w:tcPr>
            <w:tcW w:w="800" w:type="dxa"/>
          </w:tcPr>
          <w:p w14:paraId="76033F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759A87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21</w:t>
            </w:r>
          </w:p>
        </w:tc>
        <w:tc>
          <w:tcPr>
            <w:tcW w:w="950" w:type="dxa"/>
          </w:tcPr>
          <w:p w14:paraId="4446A7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950" w:type="dxa"/>
          </w:tcPr>
          <w:p w14:paraId="6585D8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098" w:type="dxa"/>
          </w:tcPr>
          <w:p w14:paraId="5AC706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247" w:type="dxa"/>
          </w:tcPr>
          <w:p w14:paraId="204B1C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247" w:type="dxa"/>
          </w:tcPr>
          <w:p w14:paraId="7C9840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247" w:type="dxa"/>
          </w:tcPr>
          <w:p w14:paraId="77F674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1247" w:type="dxa"/>
          </w:tcPr>
          <w:p w14:paraId="44F2A1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r>
      <w:tr w:rsidR="006F4095" w:rsidRPr="008127F8" w14:paraId="4926BB33" w14:textId="77777777">
        <w:trPr>
          <w:jc w:val="center"/>
        </w:trPr>
        <w:tc>
          <w:tcPr>
            <w:tcW w:w="800" w:type="dxa"/>
          </w:tcPr>
          <w:p w14:paraId="0B5B51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4949AD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31</w:t>
            </w:r>
          </w:p>
        </w:tc>
        <w:tc>
          <w:tcPr>
            <w:tcW w:w="950" w:type="dxa"/>
          </w:tcPr>
          <w:p w14:paraId="2A9743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950" w:type="dxa"/>
          </w:tcPr>
          <w:p w14:paraId="0810AD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98" w:type="dxa"/>
          </w:tcPr>
          <w:p w14:paraId="02CC5B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7" w:type="dxa"/>
          </w:tcPr>
          <w:p w14:paraId="74E73C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7" w:type="dxa"/>
          </w:tcPr>
          <w:p w14:paraId="660C67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247" w:type="dxa"/>
          </w:tcPr>
          <w:p w14:paraId="04DDAB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47" w:type="dxa"/>
          </w:tcPr>
          <w:p w14:paraId="4705EB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r>
      <w:tr w:rsidR="006F4095" w:rsidRPr="008127F8" w14:paraId="170219ED" w14:textId="77777777">
        <w:trPr>
          <w:jc w:val="center"/>
        </w:trPr>
        <w:tc>
          <w:tcPr>
            <w:tcW w:w="800" w:type="dxa"/>
          </w:tcPr>
          <w:p w14:paraId="6DE869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081A67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153</w:t>
            </w:r>
          </w:p>
        </w:tc>
        <w:tc>
          <w:tcPr>
            <w:tcW w:w="950" w:type="dxa"/>
          </w:tcPr>
          <w:p w14:paraId="781211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950" w:type="dxa"/>
          </w:tcPr>
          <w:p w14:paraId="684073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098" w:type="dxa"/>
          </w:tcPr>
          <w:p w14:paraId="0B8E8F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7" w:type="dxa"/>
          </w:tcPr>
          <w:p w14:paraId="7717ED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247" w:type="dxa"/>
          </w:tcPr>
          <w:p w14:paraId="6BF079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247" w:type="dxa"/>
          </w:tcPr>
          <w:p w14:paraId="0361E4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7" w:type="dxa"/>
          </w:tcPr>
          <w:p w14:paraId="5D90CC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86B079B" w14:textId="77777777">
        <w:trPr>
          <w:jc w:val="center"/>
        </w:trPr>
        <w:tc>
          <w:tcPr>
            <w:tcW w:w="800" w:type="dxa"/>
          </w:tcPr>
          <w:p w14:paraId="46A961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Pr>
          <w:p w14:paraId="6B04D1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22</w:t>
            </w:r>
          </w:p>
        </w:tc>
        <w:tc>
          <w:tcPr>
            <w:tcW w:w="950" w:type="dxa"/>
          </w:tcPr>
          <w:p w14:paraId="32E15D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950" w:type="dxa"/>
          </w:tcPr>
          <w:p w14:paraId="0ABE0A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98" w:type="dxa"/>
          </w:tcPr>
          <w:p w14:paraId="37A609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247" w:type="dxa"/>
          </w:tcPr>
          <w:p w14:paraId="77C459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247" w:type="dxa"/>
          </w:tcPr>
          <w:p w14:paraId="429D6D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247" w:type="dxa"/>
          </w:tcPr>
          <w:p w14:paraId="2C7C18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247" w:type="dxa"/>
          </w:tcPr>
          <w:p w14:paraId="2FCEB7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6F4095" w:rsidRPr="008127F8" w14:paraId="4EC46B1A" w14:textId="77777777">
        <w:trPr>
          <w:jc w:val="center"/>
        </w:trPr>
        <w:tc>
          <w:tcPr>
            <w:tcW w:w="800" w:type="dxa"/>
            <w:tcBorders>
              <w:bottom w:val="single" w:sz="12" w:space="0" w:color="auto"/>
            </w:tcBorders>
          </w:tcPr>
          <w:p w14:paraId="2D0F7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800" w:type="dxa"/>
            <w:tcBorders>
              <w:bottom w:val="single" w:sz="12" w:space="0" w:color="auto"/>
            </w:tcBorders>
          </w:tcPr>
          <w:p w14:paraId="468DDD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39</w:t>
            </w:r>
          </w:p>
        </w:tc>
        <w:tc>
          <w:tcPr>
            <w:tcW w:w="950" w:type="dxa"/>
            <w:tcBorders>
              <w:bottom w:val="single" w:sz="12" w:space="0" w:color="auto"/>
            </w:tcBorders>
          </w:tcPr>
          <w:p w14:paraId="4B7EF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950" w:type="dxa"/>
            <w:tcBorders>
              <w:bottom w:val="single" w:sz="12" w:space="0" w:color="auto"/>
            </w:tcBorders>
          </w:tcPr>
          <w:p w14:paraId="5FD940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098" w:type="dxa"/>
            <w:tcBorders>
              <w:bottom w:val="single" w:sz="12" w:space="0" w:color="auto"/>
            </w:tcBorders>
          </w:tcPr>
          <w:p w14:paraId="2C964C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247" w:type="dxa"/>
            <w:tcBorders>
              <w:bottom w:val="single" w:sz="12" w:space="0" w:color="auto"/>
            </w:tcBorders>
          </w:tcPr>
          <w:p w14:paraId="1CF49A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247" w:type="dxa"/>
            <w:tcBorders>
              <w:bottom w:val="single" w:sz="12" w:space="0" w:color="auto"/>
            </w:tcBorders>
          </w:tcPr>
          <w:p w14:paraId="6EC9F1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247" w:type="dxa"/>
            <w:tcBorders>
              <w:bottom w:val="single" w:sz="12" w:space="0" w:color="auto"/>
            </w:tcBorders>
          </w:tcPr>
          <w:p w14:paraId="542F87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247" w:type="dxa"/>
            <w:tcBorders>
              <w:bottom w:val="single" w:sz="12" w:space="0" w:color="auto"/>
            </w:tcBorders>
          </w:tcPr>
          <w:p w14:paraId="3E689F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bl>
    <w:p w14:paraId="604D97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Утвердить план распределения облетанных и готовых к бою самолетов, поступающих от авиапромышленности в марте 1942 года: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694"/>
        <w:gridCol w:w="1244"/>
        <w:gridCol w:w="1418"/>
        <w:gridCol w:w="1297"/>
        <w:gridCol w:w="1518"/>
        <w:gridCol w:w="1417"/>
      </w:tblGrid>
      <w:tr w:rsidR="006F4095" w:rsidRPr="008127F8" w14:paraId="3C48FEE7" w14:textId="77777777">
        <w:trPr>
          <w:jc w:val="center"/>
        </w:trPr>
        <w:tc>
          <w:tcPr>
            <w:tcW w:w="2694" w:type="dxa"/>
            <w:tcBorders>
              <w:top w:val="single" w:sz="12" w:space="0" w:color="auto"/>
            </w:tcBorders>
          </w:tcPr>
          <w:p w14:paraId="1BC133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Borders>
              <w:top w:val="single" w:sz="12" w:space="0" w:color="auto"/>
            </w:tcBorders>
          </w:tcPr>
          <w:p w14:paraId="5DE452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Лагг-3</w:t>
            </w:r>
          </w:p>
        </w:tc>
        <w:tc>
          <w:tcPr>
            <w:tcW w:w="1418" w:type="dxa"/>
            <w:tcBorders>
              <w:top w:val="single" w:sz="12" w:space="0" w:color="auto"/>
            </w:tcBorders>
          </w:tcPr>
          <w:p w14:paraId="1B49C9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Як-1 и Як-3</w:t>
            </w:r>
          </w:p>
        </w:tc>
        <w:tc>
          <w:tcPr>
            <w:tcW w:w="1297" w:type="dxa"/>
            <w:tcBorders>
              <w:top w:val="single" w:sz="12" w:space="0" w:color="auto"/>
            </w:tcBorders>
          </w:tcPr>
          <w:p w14:paraId="78B7DE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Ил-2</w:t>
            </w:r>
          </w:p>
        </w:tc>
        <w:tc>
          <w:tcPr>
            <w:tcW w:w="1518" w:type="dxa"/>
            <w:tcBorders>
              <w:top w:val="single" w:sz="12" w:space="0" w:color="auto"/>
            </w:tcBorders>
          </w:tcPr>
          <w:p w14:paraId="40EC1A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Пе-2</w:t>
            </w:r>
          </w:p>
        </w:tc>
        <w:tc>
          <w:tcPr>
            <w:tcW w:w="1417" w:type="dxa"/>
            <w:tcBorders>
              <w:top w:val="single" w:sz="12" w:space="0" w:color="auto"/>
            </w:tcBorders>
          </w:tcPr>
          <w:p w14:paraId="3CCDBF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У-2</w:t>
            </w:r>
          </w:p>
        </w:tc>
      </w:tr>
      <w:tr w:rsidR="006F4095" w:rsidRPr="008127F8" w14:paraId="2315B080" w14:textId="77777777">
        <w:trPr>
          <w:jc w:val="center"/>
        </w:trPr>
        <w:tc>
          <w:tcPr>
            <w:tcW w:w="2694" w:type="dxa"/>
          </w:tcPr>
          <w:p w14:paraId="5767BD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укомплектование авиаполков, </w:t>
            </w:r>
            <w:r w:rsidRPr="008127F8">
              <w:rPr>
                <w:rFonts w:ascii="Times New Roman" w:hAnsi="Times New Roman"/>
                <w:color w:val="000000" w:themeColor="text1"/>
                <w:sz w:val="16"/>
                <w:szCs w:val="16"/>
              </w:rPr>
              <w:br/>
              <w:t xml:space="preserve">формируемых в резерв Ставки </w:t>
            </w:r>
            <w:r w:rsidRPr="008127F8">
              <w:rPr>
                <w:rFonts w:ascii="Times New Roman" w:hAnsi="Times New Roman"/>
                <w:color w:val="000000" w:themeColor="text1"/>
                <w:sz w:val="16"/>
                <w:szCs w:val="16"/>
              </w:rPr>
              <w:br/>
              <w:t>Верховного Главнокомандования</w:t>
            </w:r>
          </w:p>
        </w:tc>
        <w:tc>
          <w:tcPr>
            <w:tcW w:w="1244" w:type="dxa"/>
          </w:tcPr>
          <w:p w14:paraId="41ED4C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418" w:type="dxa"/>
          </w:tcPr>
          <w:p w14:paraId="47AB97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1297" w:type="dxa"/>
          </w:tcPr>
          <w:p w14:paraId="1CF220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w:t>
            </w:r>
          </w:p>
        </w:tc>
        <w:tc>
          <w:tcPr>
            <w:tcW w:w="1518" w:type="dxa"/>
          </w:tcPr>
          <w:p w14:paraId="0FE0F6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1417" w:type="dxa"/>
          </w:tcPr>
          <w:p w14:paraId="44699F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22AB3444" w14:textId="77777777">
        <w:trPr>
          <w:jc w:val="center"/>
        </w:trPr>
        <w:tc>
          <w:tcPr>
            <w:tcW w:w="2694" w:type="dxa"/>
          </w:tcPr>
          <w:p w14:paraId="1220F6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пополнения ВВС фронтов, </w:t>
            </w:r>
            <w:r w:rsidRPr="008127F8">
              <w:rPr>
                <w:rFonts w:ascii="Times New Roman" w:hAnsi="Times New Roman"/>
                <w:color w:val="000000" w:themeColor="text1"/>
                <w:sz w:val="16"/>
                <w:szCs w:val="16"/>
              </w:rPr>
              <w:br/>
              <w:t xml:space="preserve">в том числе ВВС Юго-Западного направления, </w:t>
            </w:r>
            <w:r w:rsidRPr="008127F8">
              <w:rPr>
                <w:rFonts w:ascii="Times New Roman" w:hAnsi="Times New Roman"/>
                <w:color w:val="000000" w:themeColor="text1"/>
                <w:sz w:val="16"/>
                <w:szCs w:val="16"/>
              </w:rPr>
              <w:br/>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НКО</w:t>
            </w:r>
          </w:p>
        </w:tc>
        <w:tc>
          <w:tcPr>
            <w:tcW w:w="1244" w:type="dxa"/>
          </w:tcPr>
          <w:p w14:paraId="159097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w:t>
            </w:r>
          </w:p>
        </w:tc>
        <w:tc>
          <w:tcPr>
            <w:tcW w:w="1418" w:type="dxa"/>
          </w:tcPr>
          <w:p w14:paraId="66FEC5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1297" w:type="dxa"/>
          </w:tcPr>
          <w:p w14:paraId="56E5F7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518" w:type="dxa"/>
          </w:tcPr>
          <w:p w14:paraId="4F51A9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417" w:type="dxa"/>
          </w:tcPr>
          <w:p w14:paraId="0ACE2D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1A940255" w14:textId="77777777">
        <w:trPr>
          <w:jc w:val="center"/>
        </w:trPr>
        <w:tc>
          <w:tcPr>
            <w:tcW w:w="2694" w:type="dxa"/>
          </w:tcPr>
          <w:p w14:paraId="1D00CE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особой группы ВВС </w:t>
            </w:r>
            <w:r w:rsidRPr="008127F8">
              <w:rPr>
                <w:rFonts w:ascii="Times New Roman" w:hAnsi="Times New Roman"/>
                <w:color w:val="000000" w:themeColor="text1"/>
                <w:sz w:val="16"/>
                <w:szCs w:val="16"/>
              </w:rPr>
              <w:br/>
              <w:t xml:space="preserve">Ленинградского фронта </w:t>
            </w:r>
            <w:r w:rsidRPr="008127F8">
              <w:rPr>
                <w:rFonts w:ascii="Times New Roman" w:hAnsi="Times New Roman"/>
                <w:color w:val="000000" w:themeColor="text1"/>
                <w:sz w:val="16"/>
                <w:szCs w:val="16"/>
              </w:rPr>
              <w:br/>
              <w:t>(постановление ГОКО № 1353 от 27.II.42 г.)</w:t>
            </w:r>
          </w:p>
        </w:tc>
        <w:tc>
          <w:tcPr>
            <w:tcW w:w="1244" w:type="dxa"/>
          </w:tcPr>
          <w:p w14:paraId="430953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18" w:type="dxa"/>
          </w:tcPr>
          <w:p w14:paraId="57C215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1297" w:type="dxa"/>
          </w:tcPr>
          <w:p w14:paraId="4BBAA6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518" w:type="dxa"/>
          </w:tcPr>
          <w:p w14:paraId="528C46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1417" w:type="dxa"/>
          </w:tcPr>
          <w:p w14:paraId="6A820F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192B005C" w14:textId="77777777">
        <w:trPr>
          <w:jc w:val="center"/>
        </w:trPr>
        <w:tc>
          <w:tcPr>
            <w:tcW w:w="2694" w:type="dxa"/>
          </w:tcPr>
          <w:p w14:paraId="3B2A3C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запасных авиаполков</w:t>
            </w:r>
          </w:p>
        </w:tc>
        <w:tc>
          <w:tcPr>
            <w:tcW w:w="1244" w:type="dxa"/>
          </w:tcPr>
          <w:p w14:paraId="5E5C77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18" w:type="dxa"/>
          </w:tcPr>
          <w:p w14:paraId="1C63AC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97" w:type="dxa"/>
          </w:tcPr>
          <w:p w14:paraId="36EFA8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518" w:type="dxa"/>
          </w:tcPr>
          <w:p w14:paraId="23163F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17" w:type="dxa"/>
          </w:tcPr>
          <w:p w14:paraId="279EFB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C1FAE2A" w14:textId="77777777">
        <w:trPr>
          <w:jc w:val="center"/>
        </w:trPr>
        <w:tc>
          <w:tcPr>
            <w:tcW w:w="2694" w:type="dxa"/>
          </w:tcPr>
          <w:p w14:paraId="21B986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школ и курсов ВВС </w:t>
            </w:r>
            <w:r w:rsidRPr="008127F8">
              <w:rPr>
                <w:rFonts w:ascii="Times New Roman" w:hAnsi="Times New Roman"/>
                <w:color w:val="000000" w:themeColor="text1"/>
                <w:sz w:val="16"/>
                <w:szCs w:val="16"/>
              </w:rPr>
              <w:br/>
              <w:t xml:space="preserve">(согласно ранее принятых </w:t>
            </w:r>
            <w:r w:rsidRPr="008127F8">
              <w:rPr>
                <w:rFonts w:ascii="Times New Roman" w:hAnsi="Times New Roman"/>
                <w:color w:val="000000" w:themeColor="text1"/>
                <w:sz w:val="16"/>
                <w:szCs w:val="16"/>
              </w:rPr>
              <w:br/>
              <w:t>решений ГОКО)</w:t>
            </w:r>
          </w:p>
        </w:tc>
        <w:tc>
          <w:tcPr>
            <w:tcW w:w="1244" w:type="dxa"/>
          </w:tcPr>
          <w:p w14:paraId="656384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1418" w:type="dxa"/>
          </w:tcPr>
          <w:p w14:paraId="35EF89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c>
          <w:tcPr>
            <w:tcW w:w="1297" w:type="dxa"/>
          </w:tcPr>
          <w:p w14:paraId="4181D5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518" w:type="dxa"/>
          </w:tcPr>
          <w:p w14:paraId="2CEDD0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17" w:type="dxa"/>
          </w:tcPr>
          <w:p w14:paraId="3A766C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r>
      <w:tr w:rsidR="006F4095" w:rsidRPr="008127F8" w14:paraId="26A254E7" w14:textId="77777777">
        <w:trPr>
          <w:jc w:val="center"/>
        </w:trPr>
        <w:tc>
          <w:tcPr>
            <w:tcW w:w="2694" w:type="dxa"/>
          </w:tcPr>
          <w:p w14:paraId="166982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разведывательной авиации</w:t>
            </w:r>
          </w:p>
        </w:tc>
        <w:tc>
          <w:tcPr>
            <w:tcW w:w="1244" w:type="dxa"/>
          </w:tcPr>
          <w:p w14:paraId="68C37B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18" w:type="dxa"/>
          </w:tcPr>
          <w:p w14:paraId="2E6F44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97" w:type="dxa"/>
          </w:tcPr>
          <w:p w14:paraId="7DA879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518" w:type="dxa"/>
          </w:tcPr>
          <w:p w14:paraId="4352B8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417" w:type="dxa"/>
          </w:tcPr>
          <w:p w14:paraId="578F11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FEE28A1" w14:textId="77777777">
        <w:trPr>
          <w:jc w:val="center"/>
        </w:trPr>
        <w:tc>
          <w:tcPr>
            <w:tcW w:w="2694" w:type="dxa"/>
          </w:tcPr>
          <w:p w14:paraId="3C9FD8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учебно-тренировочных полков</w:t>
            </w:r>
          </w:p>
        </w:tc>
        <w:tc>
          <w:tcPr>
            <w:tcW w:w="1244" w:type="dxa"/>
          </w:tcPr>
          <w:p w14:paraId="5B3790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418" w:type="dxa"/>
          </w:tcPr>
          <w:p w14:paraId="7DAD62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97" w:type="dxa"/>
          </w:tcPr>
          <w:p w14:paraId="7F9636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518" w:type="dxa"/>
          </w:tcPr>
          <w:p w14:paraId="40AD21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17" w:type="dxa"/>
          </w:tcPr>
          <w:p w14:paraId="4CE45D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C86DF9E" w14:textId="77777777">
        <w:trPr>
          <w:jc w:val="center"/>
        </w:trPr>
        <w:tc>
          <w:tcPr>
            <w:tcW w:w="2694" w:type="dxa"/>
            <w:tcBorders>
              <w:bottom w:val="single" w:sz="12" w:space="0" w:color="auto"/>
            </w:tcBorders>
          </w:tcPr>
          <w:p w14:paraId="1E998F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ПВО г. Москвы</w:t>
            </w:r>
          </w:p>
        </w:tc>
        <w:tc>
          <w:tcPr>
            <w:tcW w:w="1244" w:type="dxa"/>
            <w:tcBorders>
              <w:bottom w:val="single" w:sz="12" w:space="0" w:color="auto"/>
            </w:tcBorders>
          </w:tcPr>
          <w:p w14:paraId="04124C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18" w:type="dxa"/>
            <w:tcBorders>
              <w:bottom w:val="single" w:sz="12" w:space="0" w:color="auto"/>
            </w:tcBorders>
          </w:tcPr>
          <w:p w14:paraId="4D0516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297" w:type="dxa"/>
            <w:tcBorders>
              <w:bottom w:val="single" w:sz="12" w:space="0" w:color="auto"/>
            </w:tcBorders>
          </w:tcPr>
          <w:p w14:paraId="572E13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518" w:type="dxa"/>
            <w:tcBorders>
              <w:bottom w:val="single" w:sz="12" w:space="0" w:color="auto"/>
            </w:tcBorders>
          </w:tcPr>
          <w:p w14:paraId="1DB2D6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17" w:type="dxa"/>
            <w:tcBorders>
              <w:bottom w:val="single" w:sz="12" w:space="0" w:color="auto"/>
            </w:tcBorders>
          </w:tcPr>
          <w:p w14:paraId="70D092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bl>
    <w:p w14:paraId="2D3D5F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Маленкову, Жигареву, Шапошникову - все, Шахурину - п.п. 3, 4 (11434).</w:t>
      </w:r>
    </w:p>
    <w:p w14:paraId="2680E1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386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согласно сообщению Совинформбюро б ст.л. Беклемищев заметил 4 транспортных Ю-52, направлявшихся к окруженной 16А, пристроился, вышел на аэродром и разбомбил 5 самолетов (438,836).</w:t>
      </w:r>
    </w:p>
    <w:p w14:paraId="3A2462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F7E6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1379 Об охране военного имущества Красной Армии в военное время. (7024, 51-52).</w:t>
      </w:r>
    </w:p>
    <w:p w14:paraId="1ED23CF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ABF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1380 О сформировании артполков. РГАНИР, Фонд ГКО, д. 23, лл. 53 (11012).</w:t>
      </w:r>
    </w:p>
    <w:p w14:paraId="3A1EF7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5B86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1381 О введении персональных воинских званий инженерно-техническому составу артиллерии Красной Армии. (7024, 54-55).</w:t>
      </w:r>
    </w:p>
    <w:p w14:paraId="6381438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87DA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Распоряжение ГКО № 1382 Об усилении противоэпидемической работы в войсках Красной Армии. (7024, 56,57).</w:t>
      </w:r>
    </w:p>
    <w:p w14:paraId="6DC8D01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5237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вышло Постановление ГКО № 1383 [Об отклонении просьбы ВС ЮФ о присвоении 395 сд наименования Ворошиловградской.] (7024, 58).</w:t>
      </w:r>
    </w:p>
    <w:p w14:paraId="308F070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0CFC6A"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 марта 1942 года вышел приказ НКО о мерах наказания расхитителям.</w:t>
      </w:r>
    </w:p>
    <w:p w14:paraId="5F3C7826"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Судя по стилю, правил документ сам вождь:</w:t>
      </w:r>
    </w:p>
    <w:p w14:paraId="2DDA3D92"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 последнее время на фронтах и в прифронтовых районах обнаружены безобразнейшие факты хищений и разбазаривания военного имущества. Народное добро часто воруют лица, непосредственно отвечающие за его сохранность и сбережение — сопровождающие грузы, складские работники, водители грузовых автомашин, </w:t>
      </w:r>
      <w:r w:rsidRPr="008127F8">
        <w:rPr>
          <w:rFonts w:ascii="Times New Roman" w:eastAsia="Times New Roman" w:hAnsi="Times New Roman"/>
          <w:color w:val="000000" w:themeColor="text1"/>
          <w:sz w:val="16"/>
          <w:szCs w:val="16"/>
          <w:lang w:eastAsia="ru-RU"/>
        </w:rPr>
        <w:lastRenderedPageBreak/>
        <w:t>повозочные. Много военного имущества расхищается также из безнадзорных хранилищ, транспортов и обозов. Примазавшиеся к Красной Армии разного рода враждебные элементы расхищают жизненно необходимое снабжение — мясо, консервы, сахар, горючее, обмундирование, обувь...</w:t>
      </w:r>
    </w:p>
    <w:p w14:paraId="2878D5DE"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Происходит все это, во-первых, оттого, что продовольствие, обмундирование, горючее и другое военное имущество при переездах, на станциях разгрузки, на временных полевых складах, перевалочных пунктах размещают как попало, не устраивая простейших хранилищ, укрытий и ограждений, и что в полевых условиях военное имущество плохо охраняется в местах хранения и в пути следования по дорогам подвоза и эвакуации.</w:t>
      </w:r>
    </w:p>
    <w:p w14:paraId="3EB17898"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Во-вторых, происходит это оттого, что водители грузовых автомашин, повозочные, а часто и сопровождающие неизвестно за что отвечают, так как не имеют при себе документов, из которых можно было бы установить — какие грузы и в каком количестве они везут, когда и кому их сдают. Пользуясь неразберихой, отдельные сопровождающие, водители и повозочные умышленно отстают от своих транспортов и колонн, задерживаются на тех или других пунктах, где совершают свои грязные делишки.</w:t>
      </w:r>
    </w:p>
    <w:p w14:paraId="396C3BFB"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В-третьих, происходит это потому, что учет военного имущества и продовольствия, который должен отражать наличие учитываемых ценностей на каждый день и в любой обстановке — на базах, складах и других местах </w:t>
      </w:r>
      <w:proofErr w:type="gramStart"/>
      <w:r w:rsidRPr="008127F8">
        <w:rPr>
          <w:rFonts w:ascii="Times New Roman" w:eastAsia="Times New Roman" w:hAnsi="Times New Roman"/>
          <w:color w:val="000000" w:themeColor="text1"/>
          <w:sz w:val="16"/>
          <w:szCs w:val="16"/>
          <w:lang w:eastAsia="ru-RU"/>
        </w:rPr>
        <w:t>хранения,—</w:t>
      </w:r>
      <w:proofErr w:type="gramEnd"/>
      <w:r w:rsidRPr="008127F8">
        <w:rPr>
          <w:rFonts w:ascii="Times New Roman" w:eastAsia="Times New Roman" w:hAnsi="Times New Roman"/>
          <w:color w:val="000000" w:themeColor="text1"/>
          <w:sz w:val="16"/>
          <w:szCs w:val="16"/>
          <w:lang w:eastAsia="ru-RU"/>
        </w:rPr>
        <w:t xml:space="preserve"> поставлен очень плохо.</w:t>
      </w:r>
    </w:p>
    <w:p w14:paraId="0845E115"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 наконец, на фронтах и в прифронтовых районах не уделяется должного внимания подбору людей, которым непосредственно вверяется величайшая ценность государства — военное имущество. Это факт, что в военных складах и базах, в транспортных организациях войск еще есть проходимцы и другие ненадежные элементы, подрывающие мощь Красной Армии, чего не хотят понять, с чем не хотят считаться некоторые командиры, политические и хозяйственные работники армии".</w:t>
      </w:r>
    </w:p>
    <w:p w14:paraId="7BD88E62" w14:textId="77777777" w:rsidR="0091390A" w:rsidRPr="008127F8" w:rsidRDefault="0091390A" w:rsidP="001E0A84">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приказе говорилось лишь о повышении ответственности командиров и политработников всех уровней. Но к нему прилагалось постановление ГКО, в котором верховный главнокомандующий был куда более конкретен. Согласно этому документу, практически любое хищение хранителями армейского имущества или сопровождающими его при перевозках лицами каралось "высшей мерой наказания — расстрелом с конфискацией всего личного имущества преступника". Ту же меру предписывалось применять за умышленную порчу имущества или продовольствия. Расстрелом карались и скупка или хранение украденного у Красной армии. А за сверхнормативную выдачу продуктов или иного армейского добра, оставление имущества при отступлении и даже за невозврат тары народному хозяйству полагалось "подвергать лишению свободы не ниже 5 лет с удержанием стоимости утраченного или испорченного имущества". Причем командиры всех обвиненных в хищениях и халатности должны были нести такое же наказание, как и непосредственные преступники (19658).</w:t>
      </w:r>
    </w:p>
    <w:p w14:paraId="3DDB48CD" w14:textId="77777777" w:rsidR="0091390A" w:rsidRPr="008127F8" w:rsidRDefault="0091390A" w:rsidP="001E0A84">
      <w:pPr>
        <w:spacing w:after="0" w:line="240" w:lineRule="auto"/>
        <w:jc w:val="both"/>
        <w:rPr>
          <w:rFonts w:ascii="Times New Roman" w:hAnsi="Times New Roman"/>
          <w:color w:val="000000" w:themeColor="text1"/>
          <w:sz w:val="16"/>
          <w:szCs w:val="16"/>
        </w:rPr>
      </w:pPr>
    </w:p>
    <w:p w14:paraId="2084BC6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F3CDD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FB7A9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испытания ракеты «HS-293G». Всего выпустили 10 «HS-293G» и всего несколько носителей «Hе.111h-12», которые никогда не использовались в бою. Чуть ранее с «Hе.111h-6» испытывалась ракета «HS-293G», на которой испытали ряд решений более удачной ракеты "Фриц-Х". Так ракета "Хеншеля" на конечном этапе траектории атаковала цель с пикирования под углом 60-80°, как и "Фриц-Х". В начале октября 1944 года в Пенемюнде проводились испытания управляемых по телеканалу «Hs.293D», запускаемых с «Hе.111h-12» (15057).</w:t>
      </w:r>
    </w:p>
    <w:p w14:paraId="569C24D7"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3F3E28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погибла французская п/л Сюркуф (3481).</w:t>
      </w:r>
    </w:p>
    <w:p w14:paraId="4E9E82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F3E6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подводная лодка "Сюркуф" затонула у острова Мартиника (15057).</w:t>
      </w:r>
    </w:p>
    <w:p w14:paraId="28090FD1"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7EB093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3rd, 1942: RAF Bomber Command, under its new C-i-C, Air Vice Marshal Harris (Bomber Harris), attacks the Renault plant in the Paris suburb of Bilancourt, causing serious damage to production facilities and killing many French workers (3819).</w:t>
      </w:r>
    </w:p>
    <w:p w14:paraId="57072B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0B61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британская авиация бомбила промышленные предприятия в пригородах Парижа (2100).</w:t>
      </w:r>
    </w:p>
    <w:p w14:paraId="54BA55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705E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марта 1942 г. «Ланкастер» открыл счет боевым вылетам, когда 4 бомбардировщика 44-й эскадрильи сбросили мины в Северном море. Самолеты 97-й эскадрильи начали военную службу 20 марта, также минируя с воздуха акваторию у Фрианских островов. Эксплуатация в строевых частях выявила и недостатки бомбардировщика. Так, на одном «Ланкастере» 97-й эскадрильи во время энергичного разворота в результате перегрузки отлетели законцовки крыльев, и во время посадки на побережье самолет был полностью разрушен. Не меньшую тревогу вызывали сообщения с испытаний прототипов в Боскомбе, где одну машину потеряли </w:t>
      </w:r>
      <w:proofErr w:type="gramStart"/>
      <w:r w:rsidRPr="008127F8">
        <w:rPr>
          <w:rFonts w:ascii="Times New Roman" w:hAnsi="Times New Roman"/>
          <w:color w:val="000000" w:themeColor="text1"/>
          <w:sz w:val="16"/>
          <w:szCs w:val="16"/>
        </w:rPr>
        <w:t>из-за срыва</w:t>
      </w:r>
      <w:proofErr w:type="gramEnd"/>
      <w:r w:rsidRPr="008127F8">
        <w:rPr>
          <w:rFonts w:ascii="Times New Roman" w:hAnsi="Times New Roman"/>
          <w:color w:val="000000" w:themeColor="text1"/>
          <w:sz w:val="16"/>
          <w:szCs w:val="16"/>
        </w:rPr>
        <w:t xml:space="preserve"> обшивки сверху крыла. Поэтому на всех выпущенных «Ланкастерах» усилили слабые элементы конструкции. Доработки предусмотрели и на последующих выпусках. Кроме того, на верхней турели поставили обтекатель, который улучшал аэродинамику выступающей огневой точки, а главное, имел ограничитель, не позволяющий стрелку в горячке боя вести огонь через хвостовое оперение (такое случалось). Была увеличена емкость топливной системы до 9792 л за счет установки дополнительных баков в крыльях. Помимо двигателей «Мерлин» XX на модификации Мк1 ставились и «Мерлин» 22. С этими мото ра ми максимальный взлетный вес ограничивался 28600 кг, а максимальная скорость на высоте 5791 м достигла 434 км/ч. Еще значительней улучшались характеристики Мк1 с двигателями «Мерлин» 24 (1640 л.с.) - здесь взлетный вес достигал 30872 кг, а в перегрузочном варианте-32688 кг. Первая модификация стала самой массовой-построил и 3434 экземпляра «Ланкастера» I. Второе место по количеству занимает вариант МкШ с двигателями «Мерлин» 28 (38 или 224). Моторы были идентичны «Мерлинам» 22 и 24. Но собирались по лицензии в США на фирме «Паккард». Серийный выпуск «Ланкастеров» только разворачивался, но стало ясно, что машин будет много и могут возникнуть трудности с поставками необходимого количества двигателей «Мерлин». Поэтому одновременно разработали вариант МкП с моторами воздушного охлаждения Бристоль «Геркулес» (Bristol «Hercules»). Первый «Ланкастер» МкИ с двигателями «Геркулес» VI (1725 л.с.) поднялся в Вудфорде еще 26 ноября 1941 г. Триста МкИ собрали на заводе «Армстронг-Уитворт», а на части самолетов поздних выпусков стояли «Геркулес» XVI. Со временем фирма «Роллс-Ройс» смогла обеспечить все самолеты двигателями «Мерлин», и необходимость использовать «Геркулесы» отпала. 3наменитый «Ланкастер» - 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w:t>
      </w:r>
      <w:proofErr w:type="gramStart"/>
      <w:r w:rsidRPr="008127F8">
        <w:rPr>
          <w:rFonts w:ascii="Times New Roman" w:hAnsi="Times New Roman"/>
          <w:color w:val="000000" w:themeColor="text1"/>
          <w:sz w:val="16"/>
          <w:szCs w:val="16"/>
        </w:rPr>
        <w:t>3M»(</w:t>
      </w:r>
      <w:proofErr w:type="gramEnd"/>
      <w:r w:rsidRPr="008127F8">
        <w:rPr>
          <w:rFonts w:ascii="Times New Roman" w:hAnsi="Times New Roman"/>
          <w:color w:val="000000" w:themeColor="text1"/>
          <w:sz w:val="16"/>
          <w:szCs w:val="16"/>
        </w:rPr>
        <w:t xml:space="preserve">«GrandSlam») весом почти в 10 тонн. «Ланкастер» оправдал надежды военных. Темп выпуска бомбардировщиков нарастал с каждым днем: в начале 1942 г. в месяц выкатывали 23 самолета, а к концу года эта цифра достигла 91 машины. К концу 1944 г. вышли вообще на рекордный результат - 260 «Ланкастеров» в месяц! </w:t>
      </w:r>
      <w:proofErr w:type="gramStart"/>
      <w:r w:rsidRPr="008127F8">
        <w:rPr>
          <w:rFonts w:ascii="Times New Roman" w:hAnsi="Times New Roman"/>
          <w:color w:val="000000" w:themeColor="text1"/>
          <w:sz w:val="16"/>
          <w:szCs w:val="16"/>
        </w:rPr>
        <w:t>Цифра</w:t>
      </w:r>
      <w:proofErr w:type="gramEnd"/>
      <w:r w:rsidRPr="008127F8">
        <w:rPr>
          <w:rFonts w:ascii="Times New Roman" w:hAnsi="Times New Roman"/>
          <w:color w:val="000000" w:themeColor="text1"/>
          <w:sz w:val="16"/>
          <w:szCs w:val="16"/>
        </w:rPr>
        <w:t xml:space="preserve"> очень впечатляющая - ведь в Англии более высокими темпами до этого выпускали лишь истребители «Харрикейн» («Hurricane») и «Спит-файр» («Spitfire»), которые по сложности никак нельзя сравнивать с четырехмоторными «авро» (11860).</w:t>
      </w:r>
    </w:p>
    <w:p w14:paraId="70F6BB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260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в США открылись лагеря для интернирования 100 тыс. американцев японского происхождения (3481).</w:t>
      </w:r>
    </w:p>
    <w:p w14:paraId="58AAD5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8556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в США открывают лагеря для интернирования 100 000 американцев японского происхождения во время второй мировой войны (15057).</w:t>
      </w:r>
    </w:p>
    <w:p w14:paraId="1C8163F4"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194F12FE" w14:textId="77777777" w:rsidR="00E979F2" w:rsidRPr="008127F8" w:rsidRDefault="00E979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1942 три Mitsubishi A6M Зеро Императорского флота Японии сбили Douglas DC-3 Pelikaan (бортовой номер PK-AFV) KNILM при его приближении к Брум, Австралия, принуждая его сделать посадку на брюхо на мелководье в заливе Карно. Погибли или серьезно ранены четыре из 12 человек на борту. На следующий день японская летающая лодка Kawanishi H6K (союзническое название "Мавис") разбомбила обломки. Груз алмазов на сумму в размере £ 150,000 до А £ 300000 на борту самолета исчезает, видимо, похищен (20793).</w:t>
      </w:r>
    </w:p>
    <w:p w14:paraId="09984A88" w14:textId="77777777" w:rsidR="00E979F2" w:rsidRPr="008127F8" w:rsidRDefault="00E979F2" w:rsidP="001E0A84">
      <w:pPr>
        <w:spacing w:after="0" w:line="240" w:lineRule="auto"/>
        <w:jc w:val="both"/>
        <w:rPr>
          <w:rFonts w:ascii="Times New Roman" w:hAnsi="Times New Roman"/>
          <w:color w:val="000000" w:themeColor="text1"/>
          <w:sz w:val="16"/>
          <w:szCs w:val="16"/>
        </w:rPr>
      </w:pPr>
    </w:p>
    <w:p w14:paraId="326FF5FC" w14:textId="77777777" w:rsidR="00E979F2" w:rsidRPr="008127F8" w:rsidRDefault="00E979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 марта (ночь) 1942 235 британских бомбардировщиков - наибольшее количество на тот день, направленных против одной цели - атакуют автомобильный завод Renault в Булонь-Бийанкур в Париже в попытке нанести высокоточную бомбардировку ночью. Три четверти бомб попали на фабрику, но 367 французских мирных жителей были убиты и 10 000 остались без крова в результате взрыва бомбы. Число погибших на самом деле больше, чем при любой атаке на немецкий город за время войны (20793).</w:t>
      </w:r>
    </w:p>
    <w:p w14:paraId="0C3C8F54" w14:textId="77777777" w:rsidR="00E979F2" w:rsidRPr="008127F8" w:rsidRDefault="00E979F2" w:rsidP="001E0A84">
      <w:pPr>
        <w:spacing w:after="0" w:line="240" w:lineRule="auto"/>
        <w:jc w:val="both"/>
        <w:rPr>
          <w:rFonts w:ascii="Times New Roman" w:hAnsi="Times New Roman"/>
          <w:color w:val="000000" w:themeColor="text1"/>
          <w:sz w:val="16"/>
          <w:szCs w:val="16"/>
        </w:rPr>
      </w:pPr>
    </w:p>
    <w:p w14:paraId="2AE4541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США предоставили Бразилии заем на 100 млн. долларов (15057).</w:t>
      </w:r>
    </w:p>
    <w:p w14:paraId="1479F482"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25A5DB0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в Великобритании запрещена выпечка белого хлеба (15057).</w:t>
      </w:r>
    </w:p>
    <w:p w14:paraId="66D026B5"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5A69CA1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марта</w:t>
      </w:r>
      <w:r w:rsidRPr="008127F8">
        <w:rPr>
          <w:rFonts w:ascii="Times New Roman" w:hAnsi="Times New Roman"/>
          <w:color w:val="000000" w:themeColor="text1"/>
          <w:sz w:val="16"/>
          <w:szCs w:val="16"/>
        </w:rPr>
        <w:t xml:space="preserve"> в 1942 году США и Великобритания выделили зоны ответственности в войне с Германией, Италией и Японией. Китай, Австралия, Новая Зеландия и Япония стали американской зоной ответственности, Ближний и Средний Восток – британской, а Европа – совместной зоной ответственности (15057).</w:t>
      </w:r>
    </w:p>
    <w:p w14:paraId="2779BFA0"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04B9219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D4B38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BA2CF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 командующий ВВС Калининского фронта генерал М.М. Громов докладывал в штаб ВВС КА: «Не</w:t>
      </w:r>
      <w:r w:rsidRPr="008127F8">
        <w:rPr>
          <w:rFonts w:ascii="Times New Roman" w:hAnsi="Times New Roman"/>
          <w:color w:val="000000" w:themeColor="text1"/>
          <w:sz w:val="16"/>
          <w:szCs w:val="16"/>
        </w:rPr>
        <w:softHyphen/>
        <w:t>смотря на принятые меры по форсированию ремонта неисправных самолетов, в результате которых количественные показатели за отчетные пятидневки неуклонно растут, в настоящий момент еще простаивает значительное количество неисправных самоле</w:t>
      </w:r>
      <w:r w:rsidRPr="008127F8">
        <w:rPr>
          <w:rFonts w:ascii="Times New Roman" w:hAnsi="Times New Roman"/>
          <w:color w:val="000000" w:themeColor="text1"/>
          <w:sz w:val="16"/>
          <w:szCs w:val="16"/>
        </w:rPr>
        <w:softHyphen/>
        <w:t>тов. &lt;...&gt; Анализ простоев показывает, что большой процент их слагается в связи с отсутствием авиационных моторов. &lt;...&gt; При</w:t>
      </w:r>
      <w:r w:rsidRPr="008127F8">
        <w:rPr>
          <w:rFonts w:ascii="Times New Roman" w:hAnsi="Times New Roman"/>
          <w:color w:val="000000" w:themeColor="text1"/>
          <w:sz w:val="16"/>
          <w:szCs w:val="16"/>
        </w:rPr>
        <w:softHyphen/>
        <w:t>данными фронту 116, 123, 204 стационарными мастерскими обеспечить потребность, особенно по основным типам моторов М-105 и АМ-38, в марте месяце не представляется возможным. &lt;„.&gt; Ремонт моторов АМ-38 не освоен, и инструмента по этому типу мотора нет» (11474,264).</w:t>
      </w:r>
    </w:p>
    <w:p w14:paraId="565BFC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7CB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1387 Об организации на площади эвакуированного завода № 39 в г.Москве производства самолетов ДБ-3Ф с моторами М-88. РГАНИР, Фонд ГКО, д. 23, лл. 64-65, 66-71 (11012).</w:t>
      </w:r>
    </w:p>
    <w:p w14:paraId="3A3ABF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ED0F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марта 1942 Постановлением ГКО №1387сс стихийные ре</w:t>
      </w:r>
      <w:r w:rsidRPr="008A2E5A">
        <w:rPr>
          <w:rFonts w:ascii="Times New Roman" w:hAnsi="Times New Roman"/>
          <w:color w:val="0070C0"/>
          <w:sz w:val="16"/>
          <w:szCs w:val="16"/>
        </w:rPr>
        <w:softHyphen/>
        <w:t>монтные мастерские, организованные на базе эвакуированного завода № 39, были преобразованы в завод НКАП №81, которому было поручено достроить задел и в июне начать вы</w:t>
      </w:r>
      <w:r w:rsidRPr="008A2E5A">
        <w:rPr>
          <w:rFonts w:ascii="Times New Roman" w:hAnsi="Times New Roman"/>
          <w:color w:val="0070C0"/>
          <w:sz w:val="16"/>
          <w:szCs w:val="16"/>
        </w:rPr>
        <w:softHyphen/>
        <w:t>пускать Ил-4 «с нуля», а до конца года дать 138 самолетов. Но одно дело ремонт, и совершенно иное — производство: ни один бомбардировщик завод №81 так и не сделал и был вскоре пере</w:t>
      </w:r>
      <w:r w:rsidRPr="008A2E5A">
        <w:rPr>
          <w:rFonts w:ascii="Times New Roman" w:hAnsi="Times New Roman"/>
          <w:color w:val="0070C0"/>
          <w:sz w:val="16"/>
          <w:szCs w:val="16"/>
        </w:rPr>
        <w:softHyphen/>
        <w:t>профилирован (24139).</w:t>
      </w:r>
    </w:p>
    <w:p w14:paraId="4673A757" w14:textId="77777777" w:rsidR="006E2015" w:rsidRPr="008A2E5A" w:rsidRDefault="006E2015" w:rsidP="006E2015">
      <w:pPr>
        <w:spacing w:after="0" w:line="240" w:lineRule="auto"/>
        <w:jc w:val="both"/>
        <w:rPr>
          <w:rFonts w:ascii="Times New Roman" w:hAnsi="Times New Roman"/>
          <w:color w:val="0070C0"/>
          <w:sz w:val="16"/>
          <w:szCs w:val="16"/>
        </w:rPr>
      </w:pPr>
    </w:p>
    <w:p w14:paraId="7ACB2A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N 1387сс, обязавшее НКАП наладить производство ДБ-3(Ф) на 81 заводе (1543,70).</w:t>
      </w:r>
    </w:p>
    <w:p w14:paraId="5F2465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59E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ГКО постановлением за N 1387сс обязал НКАП организовать в Москве на площади эвакуированного завода 39 НКАП самолетостроительный завод для производства двухмоторных бомбардировщиков ДБ-3Ф с М-88, присвоив ему номер 81 (1546,18).</w:t>
      </w:r>
    </w:p>
    <w:p w14:paraId="1E5E0F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B9E4A"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1387 Об организации на площади эвакуированного завода № 39 в г.Москве производства самолетов ДБ-3Ф с моторами М-88</w:t>
      </w:r>
    </w:p>
    <w:p w14:paraId="1C4432D5"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7F5EE6D3"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Наркомавиапром -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xml:space="preserve"> организовать в гор.Москве, на площади эвакуированного завода № 39 НКАП самолетостроительный завод для производства двухмоторных бом</w:t>
      </w:r>
      <w:r w:rsidRPr="008127F8">
        <w:rPr>
          <w:rFonts w:ascii="Times New Roman" w:hAnsi="Times New Roman"/>
          <w:color w:val="000000" w:themeColor="text1"/>
          <w:sz w:val="16"/>
          <w:szCs w:val="16"/>
        </w:rPr>
        <w:softHyphen/>
        <w:t>бардировщиков ДБ-ЗФ с моторами Ы-88 с деревянным фюзеляжем, присвоив этому заводу № 81.</w:t>
      </w:r>
    </w:p>
    <w:p w14:paraId="76CA177F"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Утвердить директором завода № 81 </w:t>
      </w:r>
      <w:proofErr w:type="gramStart"/>
      <w:r w:rsidRPr="008127F8">
        <w:rPr>
          <w:rFonts w:ascii="Times New Roman" w:hAnsi="Times New Roman"/>
          <w:color w:val="000000" w:themeColor="text1"/>
          <w:sz w:val="16"/>
          <w:szCs w:val="16"/>
        </w:rPr>
        <w:t>тов.Филимончук</w:t>
      </w:r>
      <w:proofErr w:type="gramEnd"/>
      <w:r w:rsidRPr="008127F8">
        <w:rPr>
          <w:rFonts w:ascii="Times New Roman" w:hAnsi="Times New Roman"/>
          <w:color w:val="000000" w:themeColor="text1"/>
          <w:sz w:val="16"/>
          <w:szCs w:val="16"/>
        </w:rPr>
        <w:t xml:space="preserve"> Т.Х. к главным инженером 8авода - тов.Мосолова П.М.</w:t>
      </w:r>
    </w:p>
    <w:p w14:paraId="41F4643D"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заводу № 81 на 1942 год программу выпуска самолетов ДБ-ЭФ с моторами М-88 в количестве 138 единиц, в том числе:</w:t>
      </w:r>
    </w:p>
    <w:p w14:paraId="57B650CD"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- 2 самолета</w:t>
      </w:r>
    </w:p>
    <w:p w14:paraId="08469DBF"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- 6</w:t>
      </w:r>
    </w:p>
    <w:p w14:paraId="181E50A0"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- 10</w:t>
      </w:r>
    </w:p>
    <w:p w14:paraId="5E07D25B"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сентябре- 20</w:t>
      </w:r>
    </w:p>
    <w:p w14:paraId="6D1DCACB"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- 30</w:t>
      </w:r>
    </w:p>
    <w:p w14:paraId="2AF9B081"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- 30</w:t>
      </w:r>
    </w:p>
    <w:p w14:paraId="47F507ED"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- 40.</w:t>
      </w:r>
    </w:p>
    <w:p w14:paraId="1E3DD861"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Госплан СССР - </w:t>
      </w:r>
      <w:proofErr w:type="gramStart"/>
      <w:r w:rsidRPr="008127F8">
        <w:rPr>
          <w:rFonts w:ascii="Times New Roman" w:hAnsi="Times New Roman"/>
          <w:color w:val="000000" w:themeColor="text1"/>
          <w:sz w:val="16"/>
          <w:szCs w:val="16"/>
        </w:rPr>
        <w:t>тов.Сабурова</w:t>
      </w:r>
      <w:proofErr w:type="gramEnd"/>
      <w:r w:rsidRPr="008127F8">
        <w:rPr>
          <w:rFonts w:ascii="Times New Roman" w:hAnsi="Times New Roman"/>
          <w:color w:val="000000" w:themeColor="text1"/>
          <w:sz w:val="16"/>
          <w:szCs w:val="16"/>
        </w:rPr>
        <w:t xml:space="preserve"> к 12 марта выделить для завода № 81 металлорежущее, кузнечно-прессовое, энергети</w:t>
      </w:r>
      <w:r w:rsidRPr="008127F8">
        <w:rPr>
          <w:rFonts w:ascii="Times New Roman" w:hAnsi="Times New Roman"/>
          <w:color w:val="000000" w:themeColor="text1"/>
          <w:sz w:val="16"/>
          <w:szCs w:val="16"/>
        </w:rPr>
        <w:softHyphen/>
        <w:t>ческое, электросварочное и термическое оборудование в количест</w:t>
      </w:r>
      <w:r w:rsidRPr="008127F8">
        <w:rPr>
          <w:rFonts w:ascii="Times New Roman" w:hAnsi="Times New Roman"/>
          <w:color w:val="000000" w:themeColor="text1"/>
          <w:sz w:val="16"/>
          <w:szCs w:val="16"/>
        </w:rPr>
        <w:softHyphen/>
        <w:t>вах и сроки, согласно приложений №№ 1,2,3,4.</w:t>
      </w:r>
    </w:p>
    <w:p w14:paraId="45A2CD71"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использовать для этой цели оборудование, посту</w:t>
      </w:r>
      <w:r w:rsidRPr="008127F8">
        <w:rPr>
          <w:rFonts w:ascii="Times New Roman" w:hAnsi="Times New Roman"/>
          <w:color w:val="000000" w:themeColor="text1"/>
          <w:sz w:val="16"/>
          <w:szCs w:val="16"/>
        </w:rPr>
        <w:softHyphen/>
        <w:t>пающее по импорту для других наркоматов, оборудование, находя</w:t>
      </w:r>
      <w:r w:rsidRPr="008127F8">
        <w:rPr>
          <w:rFonts w:ascii="Times New Roman" w:hAnsi="Times New Roman"/>
          <w:color w:val="000000" w:themeColor="text1"/>
          <w:sz w:val="16"/>
          <w:szCs w:val="16"/>
        </w:rPr>
        <w:softHyphen/>
        <w:t>щееся на эвакобазах, оборудование не установленное и не исполь</w:t>
      </w:r>
      <w:r w:rsidRPr="008127F8">
        <w:rPr>
          <w:rFonts w:ascii="Times New Roman" w:hAnsi="Times New Roman"/>
          <w:color w:val="000000" w:themeColor="text1"/>
          <w:sz w:val="16"/>
          <w:szCs w:val="16"/>
        </w:rPr>
        <w:softHyphen/>
        <w:t>зуемое на эвакуированных заводах, ддя чего послать на места представителей Госплана СССР и НКАП.</w:t>
      </w:r>
    </w:p>
    <w:p w14:paraId="11B0377A"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Обязать Наркомавиапром -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w:t>
      </w:r>
    </w:p>
    <w:p w14:paraId="304D0B7A"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перебросить с завода № 39 (г.Иркутск) на завод № 81 несмонтированное оборудование (паровые котлы, трансформаторы- силовые, компрессоры и </w:t>
      </w:r>
      <w:proofErr w:type="gramStart"/>
      <w:r w:rsidRPr="008127F8">
        <w:rPr>
          <w:rFonts w:ascii="Times New Roman" w:hAnsi="Times New Roman"/>
          <w:color w:val="000000" w:themeColor="text1"/>
          <w:sz w:val="16"/>
          <w:szCs w:val="16"/>
        </w:rPr>
        <w:t>пр.оборудование</w:t>
      </w:r>
      <w:proofErr w:type="gramEnd"/>
      <w:r w:rsidRPr="008127F8">
        <w:rPr>
          <w:rFonts w:ascii="Times New Roman" w:hAnsi="Times New Roman"/>
          <w:color w:val="000000" w:themeColor="text1"/>
          <w:sz w:val="16"/>
          <w:szCs w:val="16"/>
        </w:rPr>
        <w:t>);</w:t>
      </w:r>
    </w:p>
    <w:p w14:paraId="16BE1E17"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перебросить для усиления завода К? 81 - 500 человек квалифицированных рабочих и ИТР с заводов №8? 39,126 и 18.</w:t>
      </w:r>
    </w:p>
    <w:p w14:paraId="169518DF"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Обязать директора завода № 126 - </w:t>
      </w:r>
      <w:proofErr w:type="gramStart"/>
      <w:r w:rsidRPr="008127F8">
        <w:rPr>
          <w:rFonts w:ascii="Times New Roman" w:hAnsi="Times New Roman"/>
          <w:color w:val="000000" w:themeColor="text1"/>
          <w:sz w:val="16"/>
          <w:szCs w:val="16"/>
        </w:rPr>
        <w:t>тов.Тимофеева</w:t>
      </w:r>
      <w:proofErr w:type="gramEnd"/>
      <w:r w:rsidRPr="008127F8">
        <w:rPr>
          <w:rFonts w:ascii="Times New Roman" w:hAnsi="Times New Roman"/>
          <w:color w:val="000000" w:themeColor="text1"/>
          <w:sz w:val="16"/>
          <w:szCs w:val="16"/>
        </w:rPr>
        <w:t>:</w:t>
      </w:r>
    </w:p>
    <w:p w14:paraId="70E7E58C"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выделить 40 человек технологов, конструкторов и масте</w:t>
      </w:r>
      <w:r w:rsidRPr="008127F8">
        <w:rPr>
          <w:rFonts w:ascii="Times New Roman" w:hAnsi="Times New Roman"/>
          <w:color w:val="000000" w:themeColor="text1"/>
          <w:sz w:val="16"/>
          <w:szCs w:val="16"/>
        </w:rPr>
        <w:softHyphen/>
        <w:t>ров для раооты на заводе № 81 в Москве по внедрению в производ</w:t>
      </w:r>
      <w:r w:rsidRPr="008127F8">
        <w:rPr>
          <w:rFonts w:ascii="Times New Roman" w:hAnsi="Times New Roman"/>
          <w:color w:val="000000" w:themeColor="text1"/>
          <w:sz w:val="16"/>
          <w:szCs w:val="16"/>
        </w:rPr>
        <w:softHyphen/>
        <w:t>ство самолетов ДБ-ЗФ с моторами М-88;</w:t>
      </w:r>
    </w:p>
    <w:p w14:paraId="0B5E1117"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передать заводу № 81 до 15 апреля 1942 года десять комплектов деталей самолета ДБ-ЗФ, эа исключением крыльев, фюзеляжей и оперения.</w:t>
      </w:r>
    </w:p>
    <w:p w14:paraId="32C2621E"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Обязать главного конструктора - </w:t>
      </w:r>
      <w:proofErr w:type="gramStart"/>
      <w:r w:rsidRPr="008127F8">
        <w:rPr>
          <w:rFonts w:ascii="Times New Roman" w:hAnsi="Times New Roman"/>
          <w:color w:val="000000" w:themeColor="text1"/>
          <w:sz w:val="16"/>
          <w:szCs w:val="16"/>
        </w:rPr>
        <w:t>тов.Ильюшина</w:t>
      </w:r>
      <w:proofErr w:type="gramEnd"/>
      <w:r w:rsidRPr="008127F8">
        <w:rPr>
          <w:rFonts w:ascii="Times New Roman" w:hAnsi="Times New Roman"/>
          <w:color w:val="000000" w:themeColor="text1"/>
          <w:sz w:val="16"/>
          <w:szCs w:val="16"/>
        </w:rPr>
        <w:t xml:space="preserve"> передать к 15 марта 1942 года заводу № 81 чертежи на самолет ДБ-</w:t>
      </w:r>
      <w:r w:rsidR="00403FD7" w:rsidRPr="008127F8">
        <w:rPr>
          <w:rFonts w:ascii="Times New Roman" w:hAnsi="Times New Roman"/>
          <w:color w:val="000000" w:themeColor="text1"/>
          <w:sz w:val="16"/>
          <w:szCs w:val="16"/>
        </w:rPr>
        <w:t>3</w:t>
      </w:r>
      <w:r w:rsidRPr="008127F8">
        <w:rPr>
          <w:rFonts w:ascii="Times New Roman" w:hAnsi="Times New Roman"/>
          <w:color w:val="000000" w:themeColor="text1"/>
          <w:sz w:val="16"/>
          <w:szCs w:val="16"/>
        </w:rPr>
        <w:t>Б с мотором М-88 с деревянным фюзеляжем.</w:t>
      </w:r>
    </w:p>
    <w:p w14:paraId="663AECAB"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Обяэать директора завода № 81 </w:t>
      </w:r>
      <w:proofErr w:type="gramStart"/>
      <w:r w:rsidRPr="008127F8">
        <w:rPr>
          <w:rFonts w:ascii="Times New Roman" w:hAnsi="Times New Roman"/>
          <w:color w:val="000000" w:themeColor="text1"/>
          <w:sz w:val="16"/>
          <w:szCs w:val="16"/>
        </w:rPr>
        <w:t>тов.Филимончук</w:t>
      </w:r>
      <w:proofErr w:type="gramEnd"/>
      <w:r w:rsidRPr="008127F8">
        <w:rPr>
          <w:rFonts w:ascii="Times New Roman" w:hAnsi="Times New Roman"/>
          <w:color w:val="000000" w:themeColor="text1"/>
          <w:sz w:val="16"/>
          <w:szCs w:val="16"/>
        </w:rPr>
        <w:t xml:space="preserve"> и глав</w:t>
      </w:r>
      <w:r w:rsidRPr="008127F8">
        <w:rPr>
          <w:rFonts w:ascii="Times New Roman" w:hAnsi="Times New Roman"/>
          <w:color w:val="000000" w:themeColor="text1"/>
          <w:sz w:val="16"/>
          <w:szCs w:val="16"/>
        </w:rPr>
        <w:softHyphen/>
        <w:t>ного конструктора тов.Ильюшина не позже 15 июля изготовить на заводе № 81 и испытать самолет ДБ-ЗФ с мотором М-82, деревян</w:t>
      </w:r>
      <w:r w:rsidRPr="008127F8">
        <w:rPr>
          <w:rFonts w:ascii="Times New Roman" w:hAnsi="Times New Roman"/>
          <w:color w:val="000000" w:themeColor="text1"/>
          <w:sz w:val="16"/>
          <w:szCs w:val="16"/>
        </w:rPr>
        <w:softHyphen/>
        <w:t>ным фюзеляжем и крыльями, с увеличенной дальностью на 800 километров.</w:t>
      </w:r>
    </w:p>
    <w:p w14:paraId="7D9638CE"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Обязать директора завода №т18 </w:t>
      </w:r>
      <w:proofErr w:type="gramStart"/>
      <w:r w:rsidRPr="008127F8">
        <w:rPr>
          <w:rFonts w:ascii="Times New Roman" w:hAnsi="Times New Roman"/>
          <w:color w:val="000000" w:themeColor="text1"/>
          <w:sz w:val="16"/>
          <w:szCs w:val="16"/>
        </w:rPr>
        <w:t>тов.Шенкман</w:t>
      </w:r>
      <w:proofErr w:type="gramEnd"/>
      <w:r w:rsidRPr="008127F8">
        <w:rPr>
          <w:rFonts w:ascii="Times New Roman" w:hAnsi="Times New Roman"/>
          <w:color w:val="000000" w:themeColor="text1"/>
          <w:sz w:val="16"/>
          <w:szCs w:val="16"/>
        </w:rPr>
        <w:t xml:space="preserve"> направить для работы на заводе № 81 - десять человек технологов и десять человек конструкторов по приспособлениям для налаживания производства самолета ДБ-ЗФ на заводе № 81.</w:t>
      </w:r>
    </w:p>
    <w:p w14:paraId="070E2B21"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Обязать Наркомсредмаш - </w:t>
      </w:r>
      <w:proofErr w:type="gramStart"/>
      <w:r w:rsidRPr="008127F8">
        <w:rPr>
          <w:rFonts w:ascii="Times New Roman" w:hAnsi="Times New Roman"/>
          <w:color w:val="000000" w:themeColor="text1"/>
          <w:sz w:val="16"/>
          <w:szCs w:val="16"/>
        </w:rPr>
        <w:t>тов.Акопова</w:t>
      </w:r>
      <w:proofErr w:type="gramEnd"/>
      <w:r w:rsidRPr="008127F8">
        <w:rPr>
          <w:rFonts w:ascii="Times New Roman" w:hAnsi="Times New Roman"/>
          <w:color w:val="000000" w:themeColor="text1"/>
          <w:sz w:val="16"/>
          <w:szCs w:val="16"/>
        </w:rPr>
        <w:t xml:space="preserve"> выделить заводу № 81 НКАП 30 полуторатонных машин марки ГАЗ-АА с отгрузкой до 15 апселя 1942 года.</w:t>
      </w:r>
    </w:p>
    <w:p w14:paraId="459940DE"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Обязать Наркомстанкопром - </w:t>
      </w:r>
      <w:proofErr w:type="gramStart"/>
      <w:r w:rsidRPr="008127F8">
        <w:rPr>
          <w:rFonts w:ascii="Times New Roman" w:hAnsi="Times New Roman"/>
          <w:color w:val="000000" w:themeColor="text1"/>
          <w:sz w:val="16"/>
          <w:szCs w:val="16"/>
        </w:rPr>
        <w:t>тов.Ефремова</w:t>
      </w:r>
      <w:proofErr w:type="gramEnd"/>
      <w:r w:rsidRPr="008127F8">
        <w:rPr>
          <w:rFonts w:ascii="Times New Roman" w:hAnsi="Times New Roman"/>
          <w:color w:val="000000" w:themeColor="text1"/>
          <w:sz w:val="16"/>
          <w:szCs w:val="16"/>
        </w:rPr>
        <w:t xml:space="preserve"> выделить за</w:t>
      </w:r>
      <w:r w:rsidRPr="008127F8">
        <w:rPr>
          <w:rFonts w:ascii="Times New Roman" w:hAnsi="Times New Roman"/>
          <w:color w:val="000000" w:themeColor="text1"/>
          <w:sz w:val="16"/>
          <w:szCs w:val="16"/>
        </w:rPr>
        <w:softHyphen/>
        <w:t>воду № 81 НКАП инструмент и измерительные приборы в количест</w:t>
      </w:r>
      <w:r w:rsidRPr="008127F8">
        <w:rPr>
          <w:rFonts w:ascii="Times New Roman" w:hAnsi="Times New Roman"/>
          <w:color w:val="000000" w:themeColor="text1"/>
          <w:sz w:val="16"/>
          <w:szCs w:val="16"/>
        </w:rPr>
        <w:softHyphen/>
        <w:t>вах и сроки, согласно приложения № 5.</w:t>
      </w:r>
    </w:p>
    <w:p w14:paraId="235A611D"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Поставку инструмента произвести за счет наличия имеюще</w:t>
      </w:r>
      <w:r w:rsidRPr="008127F8">
        <w:rPr>
          <w:rFonts w:ascii="Times New Roman" w:hAnsi="Times New Roman"/>
          <w:color w:val="000000" w:themeColor="text1"/>
          <w:sz w:val="16"/>
          <w:szCs w:val="16"/>
        </w:rPr>
        <w:softHyphen/>
        <w:t>гося на базах Наркомстанкопрома и отгрузки с заводов-поставщи</w:t>
      </w:r>
      <w:r w:rsidRPr="008127F8">
        <w:rPr>
          <w:rFonts w:ascii="Times New Roman" w:hAnsi="Times New Roman"/>
          <w:color w:val="000000" w:themeColor="text1"/>
          <w:sz w:val="16"/>
          <w:szCs w:val="16"/>
        </w:rPr>
        <w:softHyphen/>
        <w:t>ков за счет любых потребителей, кроме НКАП.</w:t>
      </w:r>
    </w:p>
    <w:p w14:paraId="5D4C4E8E"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Обязать НКПС - </w:t>
      </w:r>
      <w:proofErr w:type="gramStart"/>
      <w:r w:rsidRPr="008127F8">
        <w:rPr>
          <w:rFonts w:ascii="Times New Roman" w:hAnsi="Times New Roman"/>
          <w:color w:val="000000" w:themeColor="text1"/>
          <w:sz w:val="16"/>
          <w:szCs w:val="16"/>
        </w:rPr>
        <w:t>тов.Кагановича</w:t>
      </w:r>
      <w:proofErr w:type="gramEnd"/>
      <w:r w:rsidRPr="008127F8">
        <w:rPr>
          <w:rFonts w:ascii="Times New Roman" w:hAnsi="Times New Roman"/>
          <w:color w:val="000000" w:themeColor="text1"/>
          <w:sz w:val="16"/>
          <w:szCs w:val="16"/>
        </w:rPr>
        <w:t xml:space="preserve"> Л.М. выделить для пере</w:t>
      </w:r>
      <w:r w:rsidRPr="008127F8">
        <w:rPr>
          <w:rFonts w:ascii="Times New Roman" w:hAnsi="Times New Roman"/>
          <w:color w:val="000000" w:themeColor="text1"/>
          <w:sz w:val="16"/>
          <w:szCs w:val="16"/>
        </w:rPr>
        <w:softHyphen/>
        <w:t>возки оборудования, материалов и рабочих на завод № 81 НКАП в г.Москву 400 вагонов по заявке НКАП.</w:t>
      </w:r>
    </w:p>
    <w:p w14:paraId="536E8031"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Обязать председателя Моссовета - </w:t>
      </w:r>
      <w:proofErr w:type="gramStart"/>
      <w:r w:rsidRPr="008127F8">
        <w:rPr>
          <w:rFonts w:ascii="Times New Roman" w:hAnsi="Times New Roman"/>
          <w:color w:val="000000" w:themeColor="text1"/>
          <w:sz w:val="16"/>
          <w:szCs w:val="16"/>
        </w:rPr>
        <w:t>тов.Пронина</w:t>
      </w:r>
      <w:proofErr w:type="gramEnd"/>
      <w:r w:rsidRPr="008127F8">
        <w:rPr>
          <w:rFonts w:ascii="Times New Roman" w:hAnsi="Times New Roman"/>
          <w:color w:val="000000" w:themeColor="text1"/>
          <w:sz w:val="16"/>
          <w:szCs w:val="16"/>
        </w:rPr>
        <w:t>:</w:t>
      </w:r>
    </w:p>
    <w:p w14:paraId="5138B323"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выделить заводу № 81 - 25.000 </w:t>
      </w:r>
      <w:proofErr w:type="gramStart"/>
      <w:r w:rsidRPr="008127F8">
        <w:rPr>
          <w:rFonts w:ascii="Times New Roman" w:hAnsi="Times New Roman"/>
          <w:color w:val="000000" w:themeColor="text1"/>
          <w:sz w:val="16"/>
          <w:szCs w:val="16"/>
        </w:rPr>
        <w:t>кв.метров</w:t>
      </w:r>
      <w:proofErr w:type="gramEnd"/>
      <w:r w:rsidRPr="008127F8">
        <w:rPr>
          <w:rFonts w:ascii="Times New Roman" w:hAnsi="Times New Roman"/>
          <w:color w:val="000000" w:themeColor="text1"/>
          <w:sz w:val="16"/>
          <w:szCs w:val="16"/>
        </w:rPr>
        <w:t xml:space="preserve"> жилой площади для расселения рабочих завода;</w:t>
      </w:r>
    </w:p>
    <w:p w14:paraId="073D2FAB"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выделить к 10 марта на завод № 81 для производства восстановительных и монтажных работ 250 человек монтажников из организации "Мосэнергомонтаж" на срок - до окончания монта</w:t>
      </w:r>
      <w:r w:rsidRPr="008127F8">
        <w:rPr>
          <w:rFonts w:ascii="Times New Roman" w:hAnsi="Times New Roman"/>
          <w:color w:val="000000" w:themeColor="text1"/>
          <w:sz w:val="16"/>
          <w:szCs w:val="16"/>
        </w:rPr>
        <w:softHyphen/>
        <w:t>жа оборудования иэдергосилового хозяйства.</w:t>
      </w:r>
    </w:p>
    <w:p w14:paraId="515A6074" w14:textId="77777777" w:rsidR="002B48EA" w:rsidRPr="008127F8" w:rsidRDefault="002B48E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Обязать Наркомфин СССР - </w:t>
      </w:r>
      <w:proofErr w:type="gramStart"/>
      <w:r w:rsidRPr="008127F8">
        <w:rPr>
          <w:rFonts w:ascii="Times New Roman" w:hAnsi="Times New Roman"/>
          <w:color w:val="000000" w:themeColor="text1"/>
          <w:sz w:val="16"/>
          <w:szCs w:val="16"/>
        </w:rPr>
        <w:t>тов.Зверева</w:t>
      </w:r>
      <w:proofErr w:type="gramEnd"/>
      <w:r w:rsidRPr="008127F8">
        <w:rPr>
          <w:rFonts w:ascii="Times New Roman" w:hAnsi="Times New Roman"/>
          <w:color w:val="000000" w:themeColor="text1"/>
          <w:sz w:val="16"/>
          <w:szCs w:val="16"/>
        </w:rPr>
        <w:t xml:space="preserve"> выделить из ре</w:t>
      </w:r>
      <w:r w:rsidRPr="008127F8">
        <w:rPr>
          <w:rFonts w:ascii="Times New Roman" w:hAnsi="Times New Roman"/>
          <w:color w:val="000000" w:themeColor="text1"/>
          <w:sz w:val="16"/>
          <w:szCs w:val="16"/>
        </w:rPr>
        <w:softHyphen/>
        <w:t>зервного фонда СНК СССР - 15 млн.руб. на постановку производ</w:t>
      </w:r>
      <w:r w:rsidRPr="008127F8">
        <w:rPr>
          <w:rFonts w:ascii="Times New Roman" w:hAnsi="Times New Roman"/>
          <w:color w:val="000000" w:themeColor="text1"/>
          <w:sz w:val="16"/>
          <w:szCs w:val="16"/>
        </w:rPr>
        <w:softHyphen/>
        <w:t>ства самолета ДБ-ЗФ на заводе № 81 (19217).</w:t>
      </w:r>
    </w:p>
    <w:p w14:paraId="133317DD" w14:textId="77777777" w:rsidR="00CD29EB" w:rsidRPr="008127F8" w:rsidRDefault="00CD29E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724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года генерал-майор авиации Голованов писал письмо N 00362 Маленкову.</w:t>
      </w:r>
    </w:p>
    <w:p w14:paraId="3AC213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самолеты ДБ-3ф, выпускаемые заводом N 126, идут летом по предназначенным частям, на что уходит до 30% ресурса моторов. Кроме того, предстоящая весенняя распутица исключит возможность перегонки самолетов.</w:t>
      </w:r>
    </w:p>
    <w:p w14:paraId="4284A4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приказания НКАП - часть самолетов направлять ж.д. эшелонами и производить их сборку в Москве на заводе N 81, против чего НКАП возражений не имеет (2160,111).</w:t>
      </w:r>
    </w:p>
    <w:p w14:paraId="75A1DE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DAD0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года П. Дементьев писал письмо Маленкову.</w:t>
      </w:r>
    </w:p>
    <w:p w14:paraId="2E7E6B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Предложения Горьковского обкома ВКП(б) по решению от 10 февраля об улучшении качества самолетов Лагг-3, выпускаемых на заводе N 21 НКАП, приняты заводом N 21 к исполнению.</w:t>
      </w:r>
    </w:p>
    <w:p w14:paraId="42E8A7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Главному конструктору Лавочкину, в связи со снятием с производства самолета Лагг-3 на заводе N 21 и переездом ОКБ Лавочкина на завод N 31, даны указания о проведении необходимых мероприятий в производстве самолета Лагг-3 на заводе N 31 (2160,148).</w:t>
      </w:r>
    </w:p>
    <w:p w14:paraId="725F30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C68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 Новосибирске закончились совместные заводские и гос. испытания Як-7В, проводимые с 18 февраля. Испытания вели бригадой в составе л П.Я.Федрови, ви А.Т.Степанца из НИИ ВВС и и П.С.Лимар из ЛИИ. В облете участвовали л НИИ ВВС Г.Я.Бахчиванджи, К.А.Груздев, А.А.Зайцев и три др. летчика. На лыжном и колесном шасси выполнили 23 полета продолжительностью 9:35. Рекомендовали в серию и строили с мая 1942 по декабрь 1943 сделав 597 (65,101).</w:t>
      </w:r>
    </w:p>
    <w:p w14:paraId="64C9BD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3DA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1388 О налаживании производства самолета Як-7 на заводах № 21 в г.Горьком и № 23 в г.Москве. РГАНИР, Фонд ГКО, д. 23, лл. 72 (11012).</w:t>
      </w:r>
    </w:p>
    <w:p w14:paraId="1F524B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EAD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N 1388сс, обязавшее зам. наркома авиапрома А.С.Я. помочь наладить серийное производство самолета Як-7 на заводах 21 в г. Горьком и 23 в Москве (1531,95).</w:t>
      </w:r>
    </w:p>
    <w:p w14:paraId="20AFC1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4667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 марта 1942 вышло поста</w:t>
      </w:r>
      <w:r w:rsidRPr="008A2E5A">
        <w:rPr>
          <w:rFonts w:ascii="Times New Roman" w:hAnsi="Times New Roman"/>
          <w:color w:val="0070C0"/>
          <w:sz w:val="16"/>
          <w:szCs w:val="16"/>
        </w:rPr>
        <w:softHyphen/>
        <w:t>новление ГКО № 1388сс. «Об организации производства самолетов Як-7 на заводах № 21 в г. Горьком и № 23 в г. Москве», так ска</w:t>
      </w:r>
      <w:r w:rsidRPr="008A2E5A">
        <w:rPr>
          <w:rFonts w:ascii="Times New Roman" w:hAnsi="Times New Roman"/>
          <w:color w:val="0070C0"/>
          <w:sz w:val="16"/>
          <w:szCs w:val="16"/>
        </w:rPr>
        <w:softHyphen/>
        <w:t>зать, с постановкой задачи. 13 марта 1942 г. было подписано постановление ГКО № 1438сс «Об организации производства само</w:t>
      </w:r>
      <w:r w:rsidRPr="008A2E5A">
        <w:rPr>
          <w:rFonts w:ascii="Times New Roman" w:hAnsi="Times New Roman"/>
          <w:color w:val="0070C0"/>
          <w:sz w:val="16"/>
          <w:szCs w:val="16"/>
        </w:rPr>
        <w:softHyphen/>
        <w:t>летов ЯК-7 на заводе № 21 Наркомата авиа</w:t>
      </w:r>
      <w:r w:rsidRPr="008A2E5A">
        <w:rPr>
          <w:rFonts w:ascii="Times New Roman" w:hAnsi="Times New Roman"/>
          <w:color w:val="0070C0"/>
          <w:sz w:val="16"/>
          <w:szCs w:val="16"/>
        </w:rPr>
        <w:softHyphen/>
        <w:t>ционной промышленности». В нем уже уста</w:t>
      </w:r>
      <w:r w:rsidRPr="008A2E5A">
        <w:rPr>
          <w:rFonts w:ascii="Times New Roman" w:hAnsi="Times New Roman"/>
          <w:color w:val="0070C0"/>
          <w:sz w:val="16"/>
          <w:szCs w:val="16"/>
        </w:rPr>
        <w:softHyphen/>
        <w:t>навливался график перехода на выпуск Як-7. Последние ЛаГГ-3 в Горьком планировалось изготовить в августе 1942 года. Хотя при об</w:t>
      </w:r>
      <w:r w:rsidRPr="008A2E5A">
        <w:rPr>
          <w:rFonts w:ascii="Times New Roman" w:hAnsi="Times New Roman"/>
          <w:color w:val="0070C0"/>
          <w:sz w:val="16"/>
          <w:szCs w:val="16"/>
        </w:rPr>
        <w:softHyphen/>
        <w:t>суждении и подписании обоих постановле</w:t>
      </w:r>
      <w:r w:rsidRPr="008A2E5A">
        <w:rPr>
          <w:rFonts w:ascii="Times New Roman" w:hAnsi="Times New Roman"/>
          <w:color w:val="0070C0"/>
          <w:sz w:val="16"/>
          <w:szCs w:val="16"/>
        </w:rPr>
        <w:softHyphen/>
        <w:t>ний в Кремле находились А.И Шахурин, П.В. Дементьев и А.С. Яковлев, 4 марта вопрос явно возник для них неожиданно. Текст по</w:t>
      </w:r>
      <w:r w:rsidRPr="008A2E5A">
        <w:rPr>
          <w:rFonts w:ascii="Times New Roman" w:hAnsi="Times New Roman"/>
          <w:color w:val="0070C0"/>
          <w:sz w:val="16"/>
          <w:szCs w:val="16"/>
        </w:rPr>
        <w:softHyphen/>
        <w:t>становления кому-то пришлось писать каран</w:t>
      </w:r>
      <w:r w:rsidRPr="008A2E5A">
        <w:rPr>
          <w:rFonts w:ascii="Times New Roman" w:hAnsi="Times New Roman"/>
          <w:color w:val="0070C0"/>
          <w:sz w:val="16"/>
          <w:szCs w:val="16"/>
        </w:rPr>
        <w:softHyphen/>
        <w:t>дашом от руки (23389).</w:t>
      </w:r>
    </w:p>
    <w:p w14:paraId="75EB43C2" w14:textId="77777777" w:rsidR="006E2015" w:rsidRPr="008A2E5A" w:rsidRDefault="006E2015" w:rsidP="006E2015">
      <w:pPr>
        <w:spacing w:after="0" w:line="240" w:lineRule="auto"/>
        <w:jc w:val="both"/>
        <w:rPr>
          <w:rFonts w:ascii="Times New Roman" w:hAnsi="Times New Roman"/>
          <w:color w:val="0070C0"/>
          <w:sz w:val="16"/>
          <w:szCs w:val="16"/>
        </w:rPr>
      </w:pPr>
    </w:p>
    <w:p w14:paraId="11AB99EA" w14:textId="77777777" w:rsidR="00403FD7" w:rsidRPr="008127F8" w:rsidRDefault="00403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N 1388сс</w:t>
      </w:r>
    </w:p>
    <w:p w14:paraId="7F3C6CD0" w14:textId="77777777" w:rsidR="00403FD7" w:rsidRPr="008127F8" w:rsidRDefault="00403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Поручить Заместителю Народного Комиссара Авиа</w:t>
      </w:r>
      <w:r w:rsidRPr="008127F8">
        <w:rPr>
          <w:rFonts w:ascii="Times New Roman" w:hAnsi="Times New Roman"/>
          <w:color w:val="000000" w:themeColor="text1"/>
          <w:sz w:val="16"/>
          <w:szCs w:val="16"/>
        </w:rPr>
        <w:softHyphen/>
        <w:t xml:space="preserve">ционной Промышленности </w:t>
      </w:r>
      <w:proofErr w:type="gramStart"/>
      <w:r w:rsidRPr="008127F8">
        <w:rPr>
          <w:rFonts w:ascii="Times New Roman" w:hAnsi="Times New Roman"/>
          <w:color w:val="000000" w:themeColor="text1"/>
          <w:sz w:val="16"/>
          <w:szCs w:val="16"/>
        </w:rPr>
        <w:t>тов.Яковлеву</w:t>
      </w:r>
      <w:proofErr w:type="gramEnd"/>
      <w:r w:rsidRPr="008127F8">
        <w:rPr>
          <w:rFonts w:ascii="Times New Roman" w:hAnsi="Times New Roman"/>
          <w:color w:val="000000" w:themeColor="text1"/>
          <w:sz w:val="16"/>
          <w:szCs w:val="16"/>
        </w:rPr>
        <w:t xml:space="preserve"> помочь наладить серийное производство самолета Як-7 на заводах № 21 в Горьком и № 23 в Москве.</w:t>
      </w:r>
    </w:p>
    <w:p w14:paraId="4C275A5A" w14:textId="77777777" w:rsidR="00403FD7" w:rsidRPr="008127F8" w:rsidRDefault="00403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Переход на производство самолета Як-7 в Горьком осуществить без снижения достигнутого выпуска (10 само</w:t>
      </w:r>
      <w:r w:rsidRPr="008127F8">
        <w:rPr>
          <w:rFonts w:ascii="Times New Roman" w:hAnsi="Times New Roman"/>
          <w:color w:val="000000" w:themeColor="text1"/>
          <w:sz w:val="16"/>
          <w:szCs w:val="16"/>
        </w:rPr>
        <w:softHyphen/>
        <w:t>летов в день).</w:t>
      </w:r>
    </w:p>
    <w:p w14:paraId="1CC21307" w14:textId="77777777" w:rsidR="00403FD7" w:rsidRPr="008127F8" w:rsidRDefault="00403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Конструкторское бюро завода № 21 во главе с главным конструктором т.Лавочкиным перевести на завод № 31 в Тбилиси.</w:t>
      </w:r>
    </w:p>
    <w:p w14:paraId="5C60AF56" w14:textId="77777777" w:rsidR="00403FD7" w:rsidRPr="008127F8" w:rsidRDefault="00403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Самолеты Як-7 на заводах № 21 и 23 выпускать с предкрылками (19218).</w:t>
      </w:r>
    </w:p>
    <w:p w14:paraId="04334E23" w14:textId="77777777" w:rsidR="00403FD7" w:rsidRPr="008127F8" w:rsidRDefault="00403FD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94A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1388, которым заместителю наркома авиационной промышленности Яковлеву поручалось «помочь наладить серийное производ</w:t>
      </w:r>
      <w:r w:rsidRPr="008127F8">
        <w:rPr>
          <w:rFonts w:ascii="Times New Roman" w:hAnsi="Times New Roman"/>
          <w:color w:val="000000" w:themeColor="text1"/>
          <w:sz w:val="16"/>
          <w:szCs w:val="16"/>
        </w:rPr>
        <w:softHyphen/>
        <w:t>ство самолета Як-7» на заводах № 21 в Горьком и № 23 в Москве. Опыт</w:t>
      </w:r>
      <w:r w:rsidRPr="008127F8">
        <w:rPr>
          <w:rFonts w:ascii="Times New Roman" w:hAnsi="Times New Roman"/>
          <w:color w:val="000000" w:themeColor="text1"/>
          <w:sz w:val="16"/>
          <w:szCs w:val="16"/>
        </w:rPr>
        <w:softHyphen/>
        <w:t>но-конструкторское бюро завода №21 во главе с Лавочкиным пере</w:t>
      </w:r>
      <w:r w:rsidRPr="008127F8">
        <w:rPr>
          <w:rFonts w:ascii="Times New Roman" w:hAnsi="Times New Roman"/>
          <w:color w:val="000000" w:themeColor="text1"/>
          <w:sz w:val="16"/>
          <w:szCs w:val="16"/>
        </w:rPr>
        <w:softHyphen/>
        <w:t>водилось на завод № 31 в Тбилиси (10686).</w:t>
      </w:r>
    </w:p>
    <w:p w14:paraId="79C22D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252B1"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w:t>
      </w:r>
    </w:p>
    <w:p w14:paraId="694B1203"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ОБ ИСПОЛЬЗОВАНИИ ПОЛНОЙ ПРАКТИЧЕСКОЙ ДАЛЬНОСТИ И ПРОДОЛЖИТЕЛЬНОСТИ ПОЛЕТА САМОЛЕТОВ Як-1 и ЛаГГ-3 В СТРОЕВЫХ ЧАСТЯХ ВВС КРАСНОЙ АРМИИ № 0171</w:t>
      </w:r>
    </w:p>
    <w:p w14:paraId="7FFEE264"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w:t>
      </w:r>
    </w:p>
    <w:p w14:paraId="70400658"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последнее время со стороны командующих фронтов и армий </w:t>
      </w:r>
      <w:proofErr w:type="gramStart"/>
      <w:r w:rsidRPr="008127F8">
        <w:rPr>
          <w:rFonts w:ascii="Times New Roman" w:hAnsi="Times New Roman"/>
          <w:color w:val="000000" w:themeColor="text1"/>
          <w:sz w:val="16"/>
          <w:szCs w:val="16"/>
        </w:rPr>
        <w:t>участились  жалобы</w:t>
      </w:r>
      <w:proofErr w:type="gramEnd"/>
      <w:r w:rsidRPr="008127F8">
        <w:rPr>
          <w:rFonts w:ascii="Times New Roman" w:hAnsi="Times New Roman"/>
          <w:color w:val="000000" w:themeColor="text1"/>
          <w:sz w:val="16"/>
          <w:szCs w:val="16"/>
        </w:rPr>
        <w:t xml:space="preserve"> на то, что наши истребители находятся мало времени на поле боя.</w:t>
      </w:r>
    </w:p>
    <w:p w14:paraId="63404D16"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Проверкой Управления ВВС установлено, что действительно за последние 1—2 месяца наши истребители при вылетах на прикрытие войск в течение своего полета очень часто появлялись на поле боя всего лишь на 10—15 минут. </w:t>
      </w:r>
    </w:p>
    <w:p w14:paraId="34DA2D38"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Вместо того, чтобы вскрыть действительные причины такого безобразного положения, командующие фронтами и командующие ВВС стали жаловаться на то, что наши истребители имеют небольшую дальность полета и не могут поэтому прикрывать наступающие войска.</w:t>
      </w:r>
    </w:p>
    <w:p w14:paraId="31058A39"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Каковы же действительные причины, отчего наши истребители мало времени бывают над полем боя?</w:t>
      </w:r>
    </w:p>
    <w:p w14:paraId="3C946E1F"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причина заключается в том, что наши истребительные части расположены на аэродромах, удаленных от линии фронта свыше 100 км, например на Волховском и Северо-Западном фронтах, чем искусственно уменьшается продолжительность полета истребителей над полем боя.</w:t>
      </w:r>
    </w:p>
    <w:p w14:paraId="255164B2"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Вторая причина заключается в том, что многие летчики без всякой нужды весь свой полет производят на скоростях, близких к максимальным, что также уменьшает дальность полета и время пребывания самолета в воздухе.</w:t>
      </w:r>
    </w:p>
    <w:p w14:paraId="3E90B471"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Перечисленные причины опровергают всю болтовню о том, что наши истребители имеют небольшую дальность. Такая болтовня приносит только вред. Утверждать то, что наши истребительные самолеты имеют небольшую дальность и небольшую продолжительность полета могут только люди, не знающие наших самолетов и авиационной техники.</w:t>
      </w:r>
    </w:p>
    <w:p w14:paraId="50671A3B"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покончить с неправильными «теориями» о малой дальности полета наших современных истребителей, необходимо:</w:t>
      </w:r>
    </w:p>
    <w:p w14:paraId="1E6638B4"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во-первых, истребительную авиацию приблизить к линии фронта, расположив ее на аэродромах в 20—50 км от линии фронта;</w:t>
      </w:r>
    </w:p>
    <w:p w14:paraId="529A211D"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во-вторых, решительными мерами прекратить полеты без нужды на максимальных скоростях. На этих скоростях разрешить работать только для нагона самолетов врага, для воздушного маневра воздушного боя;</w:t>
      </w:r>
    </w:p>
    <w:p w14:paraId="7DF53990"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в-третьих, покончить с техническим невежеством летчиков в части правильного расхода топлива и продолжительности полета.</w:t>
      </w:r>
    </w:p>
    <w:p w14:paraId="43AE35F5"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Наши истребительные самолеты Як-1 и ЛаГГ-3 на колесах помимо </w:t>
      </w:r>
      <w:proofErr w:type="gramStart"/>
      <w:r w:rsidRPr="008127F8">
        <w:rPr>
          <w:rFonts w:ascii="Times New Roman" w:hAnsi="Times New Roman"/>
          <w:color w:val="000000" w:themeColor="text1"/>
          <w:sz w:val="16"/>
          <w:szCs w:val="16"/>
        </w:rPr>
        <w:t>топлива,  расходуемого</w:t>
      </w:r>
      <w:proofErr w:type="gramEnd"/>
      <w:r w:rsidRPr="008127F8">
        <w:rPr>
          <w:rFonts w:ascii="Times New Roman" w:hAnsi="Times New Roman"/>
          <w:color w:val="000000" w:themeColor="text1"/>
          <w:sz w:val="16"/>
          <w:szCs w:val="16"/>
        </w:rPr>
        <w:t xml:space="preserve"> на подогрев и пробу мотора перед полетом, рулежку, взлет, имеют следующую дальность и продолжительность полета:</w:t>
      </w:r>
    </w:p>
    <w:p w14:paraId="0D58E088"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Як-1 при полете на скорости 300—320 км в час по прибору в диапазоне высот от 100 до 2000 м, при оборотах мотора 2200—2300 об/мин имеет дальность одиночного самолета 700—750 км и время полета 2 часа — 2 часа 10 минут. Оставляя 10 % запаса топлива для гарантии летчику безопасного полета, дальность полета будет 630—675 км и продолжительность полета 1 час 50 мин — 2 часа.</w:t>
      </w:r>
    </w:p>
    <w:p w14:paraId="25AA83CB"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ЛаГТ-3 с 5 бензобаками при полете на скорости 300—320 км в час по прибору в диапазоне высот от 100 до 2000 м и при оборотах мотора 2200—2300 об/мин имеет дальность одиночного самолета 700—750 км, время полета 2 часа—2 часа 10 минут. Оставляя 10 % запаса топлива для гарантии летчику безопасного полета, дальность полета будет 630—675 км и продолжительность полета 1 час 50 минут—2 часа.</w:t>
      </w:r>
    </w:p>
    <w:p w14:paraId="198EDA0A"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ЛаГГ-3 с 3 бензобаками без подвесных баков при полете на скорости 300—320 км в час по прибору в диапазоне высот от 100 до 2000 м при оборотах мотора 2200—2300 об/мин имеет дальность одиночного самолета 550—600 км, время полета 1 час 35 минут — 1 час 45 минут. Оставляя 10 % запаса топлива для гарантии летчику безопасного полета, дальность полета будет 495—540 км и продолжительность полета 1 час 25 минут — 1 час 35 минут.</w:t>
      </w:r>
    </w:p>
    <w:p w14:paraId="184F7C90"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ЛаГГ-3 с 3 бензобаками и 2 подвесными баками при полете на скорости 300—320 км в час по прибору в диапазоне высот от 100 до 2000 м при оборотах мотора 2200—2300 об/мин имеет дальность одиночного самолета 720—770 км и продолжительность полета 2 часа — 2 часа 15 минут.</w:t>
      </w:r>
    </w:p>
    <w:p w14:paraId="3C6A6C5E"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Оставляя 10 % запаса топлива для гарантии летчику безопасного полета, дальность полета будет 650—690 км и продолжительность полета 1 час 50 минут — 2 часа.</w:t>
      </w:r>
    </w:p>
    <w:p w14:paraId="59CC13A2"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051A249E"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1.Немедленно приступить к оборудованию и подготовке передовых аэродромов на удалении от линии фронта на 20—30 км или во всяком случае не более 50 км и до 20 марта 1942 г. перебазировать всю истребительную авиацию фронтов и армий на аэродромы.</w:t>
      </w:r>
    </w:p>
    <w:p w14:paraId="56FB710D"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2.Запретить летчикам совершать полеты без нужды на скоростях, близких к максимальным, и к 15 марта 1942 г. добиться, чтобы наши истребители при вылетах на прикрытие войск в течение своего полета находились над полем боя на самолетах Як-1 минимум 1 час 15 минут; на самолетах ЛаГГ-3 с 5 бензобаками — минимум 1 час 15 минут и с 3 бензобаками — минимум 45 минут.</w:t>
      </w:r>
    </w:p>
    <w:p w14:paraId="072CEDA5"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3.За выполнение настоящего приказа отвечают:</w:t>
      </w:r>
    </w:p>
    <w:p w14:paraId="61A59853"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военные советы фронтов — в части подготовки передовых аэродромов и перебазирования на них истребительной авиации;</w:t>
      </w:r>
    </w:p>
    <w:p w14:paraId="28D189A3"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командующие ВВС армий и командиры полков — за прекращение полетов без нужды на скоростях, близких к максимальным, и за продолжительность полета над полем боя.</w:t>
      </w:r>
    </w:p>
    <w:p w14:paraId="0999F1C2"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Командующему ВВС Красной Армии организовать контроль за выполнением настоящего приказа.</w:t>
      </w:r>
    </w:p>
    <w:p w14:paraId="71DC5426"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Приказ передать по телеграфу и довести до всего летного состава.</w:t>
      </w:r>
    </w:p>
    <w:p w14:paraId="2C952A3F"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Получение подтвердить. Об исполнении донести 16 марта 1942 г.</w:t>
      </w:r>
    </w:p>
    <w:p w14:paraId="718270DA"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СССР</w:t>
      </w:r>
    </w:p>
    <w:p w14:paraId="34303D5A"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39AE7DBD"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4, оп. 11, д. 69, л. 444—448. Подлинник (20473).</w:t>
      </w:r>
    </w:p>
    <w:p w14:paraId="761A7F8B" w14:textId="77777777" w:rsidR="00C71322" w:rsidRPr="008127F8" w:rsidRDefault="00C71322" w:rsidP="001E0A84">
      <w:pPr>
        <w:spacing w:after="0" w:line="240" w:lineRule="auto"/>
        <w:jc w:val="both"/>
        <w:rPr>
          <w:rFonts w:ascii="Times New Roman" w:hAnsi="Times New Roman"/>
          <w:color w:val="000000" w:themeColor="text1"/>
          <w:sz w:val="16"/>
          <w:szCs w:val="16"/>
        </w:rPr>
      </w:pPr>
    </w:p>
    <w:p w14:paraId="294D0E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 и 13.03.1942 г. в соответствии с постановлениями ГКО № 1388 и № 1438 на заводе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было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 За годы войны завод выпустил 17.691 самолет (11982).</w:t>
      </w:r>
    </w:p>
    <w:p w14:paraId="0C3B43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578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года приказами командующего ВВС КА № 7 от 12 февраля 1942 года и НКАП Шахурина А.И. № 160с от 28 февраля 1942 года на Авиатрест НКАП возложено – сбор на фронте трофейных и аварийных самолетов, агрегатов, приборов и вооружения, разделка их на базах НКАП и организация ремонта (9151).</w:t>
      </w:r>
    </w:p>
    <w:p w14:paraId="79413A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D4A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1385 О выпуске самолетов Пе-3 на заводе № 39. РГАНИР, Фонд ГКО, д. 23, лл. 60 (11012).</w:t>
      </w:r>
    </w:p>
    <w:p w14:paraId="540131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9A862" w14:textId="77777777" w:rsidR="0084615E" w:rsidRPr="008127F8" w:rsidRDefault="0084615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1385 О выпуске самолетов Пе-3 на заводе № 39</w:t>
      </w:r>
    </w:p>
    <w:p w14:paraId="551D8899" w14:textId="77777777" w:rsidR="0084615E" w:rsidRPr="008127F8" w:rsidRDefault="0084615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Государственный Комитет Обороны постановляет:</w:t>
      </w:r>
    </w:p>
    <w:p w14:paraId="690E3CFB" w14:textId="77777777" w:rsidR="0084615E" w:rsidRPr="008127F8" w:rsidRDefault="0084615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Обяэать НКАП - </w:t>
      </w:r>
      <w:proofErr w:type="gramStart"/>
      <w:r w:rsidRPr="008127F8">
        <w:rPr>
          <w:rFonts w:ascii="Times New Roman" w:hAnsi="Times New Roman"/>
          <w:color w:val="000000" w:themeColor="text1"/>
          <w:sz w:val="16"/>
          <w:szCs w:val="16"/>
        </w:rPr>
        <w:t>тсв.Шахурина</w:t>
      </w:r>
      <w:proofErr w:type="gramEnd"/>
      <w:r w:rsidRPr="008127F8">
        <w:rPr>
          <w:rFonts w:ascii="Times New Roman" w:hAnsi="Times New Roman"/>
          <w:color w:val="000000" w:themeColor="text1"/>
          <w:sz w:val="16"/>
          <w:szCs w:val="16"/>
        </w:rPr>
        <w:t xml:space="preserve"> и директора эавода № 39 - тов. Иосиловича выпускать на заводе № 39 в Иркутске от об</w:t>
      </w:r>
      <w:r w:rsidRPr="008127F8">
        <w:rPr>
          <w:rFonts w:ascii="Times New Roman" w:hAnsi="Times New Roman"/>
          <w:color w:val="000000" w:themeColor="text1"/>
          <w:sz w:val="16"/>
          <w:szCs w:val="16"/>
        </w:rPr>
        <w:softHyphen/>
        <w:t>щего месячного плана выпуска две трети бомбардировщиков Пе-2 и одну треть самолетов Ие-З. в варианте истребителя.</w:t>
      </w:r>
    </w:p>
    <w:p w14:paraId="62465C7F" w14:textId="77777777" w:rsidR="0084615E" w:rsidRPr="008127F8" w:rsidRDefault="0084615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самолетов Пе-З на эаводе № 39 в Иркутске с существующим серийным стрелковым вооружением, т.е. два пулемета Березина вперед, один пулемет Шкас у штурмана и один пулемет Шкас в хвосте самолета - начать с 15 марта 1942 года и с 20 апреля с.г. начать выпуск самолетов Пе-З со следующим вооружением: вперед одна пушка Швак и два пулемета Бере</w:t>
      </w:r>
      <w:r w:rsidR="004E4D1A" w:rsidRPr="008127F8">
        <w:rPr>
          <w:rFonts w:ascii="Times New Roman" w:hAnsi="Times New Roman"/>
          <w:color w:val="000000" w:themeColor="text1"/>
          <w:sz w:val="16"/>
          <w:szCs w:val="16"/>
        </w:rPr>
        <w:t>з</w:t>
      </w:r>
      <w:r w:rsidRPr="008127F8">
        <w:rPr>
          <w:rFonts w:ascii="Times New Roman" w:hAnsi="Times New Roman"/>
          <w:color w:val="000000" w:themeColor="text1"/>
          <w:sz w:val="16"/>
          <w:szCs w:val="16"/>
        </w:rPr>
        <w:t>ина,у штурмана пулемет Березина и в хвосте самолета пулемет Шкас (19215).</w:t>
      </w:r>
    </w:p>
    <w:p w14:paraId="405762E2" w14:textId="77777777" w:rsidR="0084615E" w:rsidRPr="008127F8" w:rsidRDefault="0084615E" w:rsidP="001E0A84">
      <w:pPr>
        <w:spacing w:after="0" w:line="240" w:lineRule="auto"/>
        <w:jc w:val="both"/>
        <w:rPr>
          <w:rFonts w:ascii="Times New Roman" w:hAnsi="Times New Roman"/>
          <w:color w:val="000000" w:themeColor="text1"/>
          <w:sz w:val="16"/>
          <w:szCs w:val="16"/>
        </w:rPr>
      </w:pPr>
    </w:p>
    <w:p w14:paraId="73793D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Государственный Комитет Обороны принял постановление № 1385, в соответствии с которым завод № 39 обязывался с апреля 1942 г. восстановить серийное производство двухмоторных истребителей.</w:t>
      </w:r>
    </w:p>
    <w:p w14:paraId="0D35BF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 нехватка Пе-3 стала остро ощущаться в строевых частях ВВС и авиации ВМФ, ведь с ноября не поступило ни одной новой машины.</w:t>
      </w:r>
    </w:p>
    <w:p w14:paraId="62067A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Даже относительно небольшая задержка с началом выпуска вызвала сильную реакцию: начальник Главного управления заказов и технического снабжения бригинже- нер Селезнев 6 апреля лично обратился к наркому авиапромышленности А.И. Шахурину с просьбой "подтянуть" подчиненных: "Учитывая большую нужду в двухмоторных истребителях, прошу Вас обязать завод № 39 форсировать выпуск самолетов Пе-3..." (12042).</w:t>
      </w:r>
    </w:p>
    <w:p w14:paraId="2D8545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1A8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Государственный Комитет Обороны принял постановление № 1385, в соответствии с которым завод № 39 обязывался с апреля 1942 г. восстановить серийное производство двухмоторных истребителей. Даже относительно небольшая задержка с началом выпуска вызвала мгновенную реакцию: начальник Главного управления заказов и технического снабжения ВВС бригинженер Селезнев б апреля лично обратился к наркому авиапромышленности А. Шахурину с просьбой “подтянуть” подчиненных: “Учитывая большую нужду в двухмоторных истребителях, прошу Вас обязать завод № 39 форсировать выпуск самолетов Пе-3...”</w:t>
      </w:r>
    </w:p>
    <w:p w14:paraId="423430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Стремление улучшить боевые и эксплуатационные качества самолета привело к созданию второго варианта Пе-3бис (4476).</w:t>
      </w:r>
    </w:p>
    <w:p w14:paraId="673F2E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630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 вышел ПРИКАЗ НКО № 0171 ОБ ИСПОЛЬЗОВАНИИ ПОЛНОЙ ПРАКТИЧЕСКОЙ ДАЛЬНОСТИ И ПРОДОЛЖИТЕЛЬНОСТИ ПОЛЕТА САМОЛЕТОВ Як-1 и ЛаГГ-3 В СТРОЕВЫХ ЧАСТЯХ ВВС КРАСНОЙ АРМИИ</w:t>
      </w:r>
    </w:p>
    <w:p w14:paraId="02D5B0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со стороны командующих фронтов и армий участились жалобы на то, что наши истребители находятся мало времени на поле боя.</w:t>
      </w:r>
    </w:p>
    <w:p w14:paraId="5ADC95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Проверкой Управления ВВС установлено, что действительно за последние 1—2 месяца наши истребители при вылетах на прикрытие войск в течение своего полета очень часто появлялись на поле боя всего лишь на 10—15 минут. Вместо того, чтобы вскрыть действительные причины такого безобразного положения, командующие фронтами и командующие ВВС стали жаловаться на то, что наши истребители имеют небольшую дальность полета и не могут поэтому прикрывать наступающие войска.</w:t>
      </w:r>
    </w:p>
    <w:p w14:paraId="5B5345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Каковы же действительные причины, отчего наши истребители мало времени бывают над полем боя?</w:t>
      </w:r>
    </w:p>
    <w:p w14:paraId="24AC76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причина заключается в том, что наши истребительные части расположены на аэродромах, удаленных от линии фронта свыше 100 км, например на Волховском и Северо-Западном фронтах, чем искусственно уменьшается продолжительность полета истребителей над полем боя.</w:t>
      </w:r>
    </w:p>
    <w:p w14:paraId="073D46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Вторая причина заключается в том, что многие летчики без всякой нужды весь свой полет производят на скоростях, близких к максимальным, что также уменьшает дальность полета и время пребывания самолета в воздухе.</w:t>
      </w:r>
    </w:p>
    <w:p w14:paraId="54B82D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Перечисленные причины опровергают всю болтовню о том, что наши истребители имеют небольшую дальность. Такая болтовня приносит только вред. Утверждать то, что наши истребительные самолеты имеют небольшую дальность и небольшую продолжительность полета могут только люди, не знающие наших самолетов и авиационной техники.</w:t>
      </w:r>
    </w:p>
    <w:p w14:paraId="38C640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покончить с неправильными “теориями” о малой дальности полета наших современных истребителей, необходимо:</w:t>
      </w:r>
    </w:p>
    <w:p w14:paraId="289BB3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во-первых, истребительную авиацию приблизить к линии фронта, расположив ее на аэродромах в 20—50 км от линии фронта;</w:t>
      </w:r>
    </w:p>
    <w:p w14:paraId="784A2C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во-вторых, решительными мерами прекратить полеты без нужды на максимальных скоростях. На этих скоростях разрешить работать только для нагона самолетов врага, для воздушного маневра воздушного боя;</w:t>
      </w:r>
    </w:p>
    <w:p w14:paraId="509A0D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в-третьих, покончить с техническим невежеством летчиков в части правильного расхода топлива и продолжительности полета.</w:t>
      </w:r>
    </w:p>
    <w:p w14:paraId="40F5A0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истребительные самолеты Як-1 и ЛаГГ-3 на колесах помимо топлива, расходуемого на подогрев и пробу мотора перед полетом, рулежку, взлет, имеют следующую дальность и продолжительность полета:</w:t>
      </w:r>
    </w:p>
    <w:p w14:paraId="2A0D95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Як-1 при полете на скорости 300—320 км в час по прибору в диапазоне высот от 100 до 2000 м, при оборотах мотора 2200—2300 об/мин имеет дальность одиночного самолета 700—750 км и время полета 2 часа — 2 часа 10 минут. Оставляя 10 % запаса топлива для гарантии летчику безопасного полета, дальность полета будет 630—675 км и продолжительность полета 1 час 50 мин — 2 часа.</w:t>
      </w:r>
    </w:p>
    <w:p w14:paraId="6628F1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Самолет ЛаГГ-3 с 5 бензобаками при полете на скорости 300—320 км в час по прибору в диапазоне высот от 100 до 2000 м и при оборотах мотора 2200—2300 об/мин имеет дальность одиночного самолета 700—750 км, время полета 2 часа—2 часа 10 минут. Оставляя 10 % запаса топлива для гарантии летчику безопасного полета, дальность полета будет 630—675 км и продолжительность полета 1 час 50 минут—2 </w:t>
      </w:r>
      <w:proofErr w:type="gramStart"/>
      <w:r w:rsidRPr="008127F8">
        <w:rPr>
          <w:rFonts w:ascii="Times New Roman" w:hAnsi="Times New Roman"/>
          <w:color w:val="000000" w:themeColor="text1"/>
          <w:sz w:val="16"/>
          <w:szCs w:val="16"/>
        </w:rPr>
        <w:t>часа..</w:t>
      </w:r>
      <w:proofErr w:type="gramEnd"/>
    </w:p>
    <w:p w14:paraId="4BB348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ЛаГГ-3 с 3 бензобаками без подвесных баков при полете на скорости 300—320 км в час по прибору в диапазоне высот от 100 до 2000 м при оборотах мотора 2200—2300 об/мин имеет дальность одиночного самолета 550—600 км, время полета 1 час 35 минут — 1 час 45 минут. Оставляя 10 % запаса топлива для гарантии летчику безопасного полета, дальность полета будет 495—540 км и продолжительность полета 1 час 25 минут — 1 час 35 минут.</w:t>
      </w:r>
    </w:p>
    <w:p w14:paraId="380071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ЛаГГ-3 с 3 бензобаками и 2 подвесными баками при полете на скорости 300—320 км в час по прибору в диапазоне высот от 100 до 2000 м при оборотах мотора 2200—2300 об/мин имеет дальность одиночного самолета 720—770 км и продолжительность полета 2 часа — 2 часа 15 минут. Оставляя 10 % запаса топлива для гарантии летчику безопасного полета, дальность полета будет 650—690 км и продолжительность полета 1 час 50 минут — 2 часа.</w:t>
      </w:r>
    </w:p>
    <w:p w14:paraId="0412F6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669369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Немедленно приступить к оборудованию и подготовке передовых аэродромов на удалении от линии фронта на 20—30 км или во всяком случае не более 50 км и до 20 марта 1942 г. перебазировать всю истребительную авиацию фронтов и армий на аэродромы.</w:t>
      </w:r>
    </w:p>
    <w:p w14:paraId="4044ED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Запретить летчикам совершать полеты без нужды на скоростях, близких к максимальным, и к 15 марта 1942 г. добиться, чтобы наши истребители при вылетах на прикрытие войск в течение своего полета находились над полем боя на самолетах Як-1 минимум 1 час 15 минут; на самолетах ЛаГГ-3 с 5 бензобаками — минимум 1 час 15 минут и с 3 бензобаками — минимум 45 минут.</w:t>
      </w:r>
    </w:p>
    <w:p w14:paraId="2F578E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 выполнение настоящего приказа отвечают:</w:t>
      </w:r>
    </w:p>
    <w:p w14:paraId="4D0D55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военные советы фронтов — в части подготовки передовых аэродромов и перебазирования на них истребительной авиации;</w:t>
      </w:r>
    </w:p>
    <w:p w14:paraId="138BE3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командующие ВВС армий и командиры полков — за прекращение полетов без нужды на скоростях, близких к максимальным, и за продолжительность полета над полем боя.</w:t>
      </w:r>
    </w:p>
    <w:p w14:paraId="78920D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Командующему ВВС Красной Армии организовать контроль за выполнением настоящего приказа.</w:t>
      </w:r>
    </w:p>
    <w:p w14:paraId="1623F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Приказ передать по телеграфу и довести до всего летного состава. Получение подтвердить. Об исполнении донести 16 марта 1942 г.</w:t>
      </w:r>
    </w:p>
    <w:p w14:paraId="7D3981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СССР И. СТАЛИН </w:t>
      </w:r>
      <w:r w:rsidRPr="008127F8">
        <w:rPr>
          <w:rFonts w:ascii="Times New Roman" w:hAnsi="Times New Roman"/>
          <w:color w:val="000000" w:themeColor="text1"/>
          <w:sz w:val="16"/>
          <w:szCs w:val="16"/>
        </w:rPr>
        <w:t>(9844).</w:t>
      </w:r>
    </w:p>
    <w:p w14:paraId="222EAB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5EE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1386 О заводе № 16 НКАП в г.Казани. РГАНИР, Фонд ГКО, д. 23, лл. 61-63 (11012).</w:t>
      </w:r>
    </w:p>
    <w:p w14:paraId="0E5E67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69D8D" w14:textId="77777777" w:rsidR="000A12B2" w:rsidRPr="008127F8" w:rsidRDefault="000A12B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1386 О заводе № 16 НКАП в г.Казани. РГАНИР, Фонд ГКО, д. 23, лл. 61-63 (11012).</w:t>
      </w:r>
    </w:p>
    <w:p w14:paraId="36C71F90" w14:textId="77777777" w:rsidR="000A12B2" w:rsidRPr="008127F8" w:rsidRDefault="000A12B2" w:rsidP="001E0A84">
      <w:pPr>
        <w:pStyle w:val="47"/>
        <w:shd w:val="clear" w:color="auto" w:fill="auto"/>
        <w:tabs>
          <w:tab w:val="left" w:pos="115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Обязать Наркомавиапром - тов.Шахурина и директоэа завода 16 - т.Сухорукова обеспечить достижение устойчиво</w:t>
      </w:r>
      <w:r w:rsidRPr="008127F8">
        <w:rPr>
          <w:rFonts w:ascii="Times New Roman" w:hAnsi="Times New Roman" w:cs="Times New Roman"/>
          <w:color w:val="000000" w:themeColor="text1"/>
          <w:sz w:val="16"/>
          <w:szCs w:val="16"/>
        </w:rPr>
        <w:softHyphen/>
        <w:t>сти суточного выпуска моторов М-105Р на заводе № 16: к 25 ап</w:t>
      </w:r>
      <w:r w:rsidRPr="008127F8">
        <w:rPr>
          <w:rFonts w:ascii="Times New Roman" w:hAnsi="Times New Roman" w:cs="Times New Roman"/>
          <w:color w:val="000000" w:themeColor="text1"/>
          <w:sz w:val="16"/>
          <w:szCs w:val="16"/>
        </w:rPr>
        <w:softHyphen/>
        <w:t>реля 1942 года - 15 моторов, к концу мая - 18 моторов, в июне - 20 моторов, в июле - 22 мотора, в августе - 25 моторов и к 1 ноября - 30 моторов в сутки.</w:t>
      </w:r>
    </w:p>
    <w:p w14:paraId="10129C06" w14:textId="77777777" w:rsidR="000A12B2" w:rsidRPr="008127F8" w:rsidRDefault="000A12B2" w:rsidP="001E0A84">
      <w:pPr>
        <w:pStyle w:val="47"/>
        <w:shd w:val="clear" w:color="auto" w:fill="auto"/>
        <w:tabs>
          <w:tab w:val="left" w:pos="112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2. Установить программу заводу № 16 на П, Ш и 1У кварталы - 1942 года в количестве 6.300 моторов </w:t>
      </w:r>
      <w:r w:rsidRPr="008127F8">
        <w:rPr>
          <w:rFonts w:ascii="Times New Roman" w:hAnsi="Times New Roman" w:cs="Times New Roman"/>
          <w:color w:val="000000" w:themeColor="text1"/>
          <w:sz w:val="16"/>
          <w:szCs w:val="16"/>
          <w:lang w:val="en-US"/>
        </w:rPr>
        <w:t>M</w:t>
      </w:r>
      <w:r w:rsidRPr="008127F8">
        <w:rPr>
          <w:rFonts w:ascii="Times New Roman" w:hAnsi="Times New Roman" w:cs="Times New Roman"/>
          <w:color w:val="000000" w:themeColor="text1"/>
          <w:sz w:val="16"/>
          <w:szCs w:val="16"/>
        </w:rPr>
        <w:t>-105</w:t>
      </w:r>
      <w:r w:rsidRPr="008127F8">
        <w:rPr>
          <w:rFonts w:ascii="Times New Roman" w:hAnsi="Times New Roman" w:cs="Times New Roman"/>
          <w:color w:val="000000" w:themeColor="text1"/>
          <w:sz w:val="16"/>
          <w:szCs w:val="16"/>
          <w:lang w:val="en-US"/>
        </w:rPr>
        <w:t>P</w:t>
      </w:r>
      <w:r w:rsidRPr="008127F8">
        <w:rPr>
          <w:rFonts w:ascii="Times New Roman" w:hAnsi="Times New Roman" w:cs="Times New Roman"/>
          <w:color w:val="000000" w:themeColor="text1"/>
          <w:sz w:val="16"/>
          <w:szCs w:val="16"/>
        </w:rPr>
        <w:t>, в том чис</w:t>
      </w:r>
      <w:r w:rsidRPr="008127F8">
        <w:rPr>
          <w:rFonts w:ascii="Times New Roman" w:hAnsi="Times New Roman" w:cs="Times New Roman"/>
          <w:color w:val="000000" w:themeColor="text1"/>
          <w:sz w:val="16"/>
          <w:szCs w:val="16"/>
        </w:rPr>
        <w:softHyphen/>
        <w:t>ле:</w:t>
      </w:r>
    </w:p>
    <w:p w14:paraId="34F85B50"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апреле 1942 - 386 штук</w:t>
      </w:r>
    </w:p>
    <w:p w14:paraId="36D3CA54"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мае -"- - 455</w:t>
      </w:r>
    </w:p>
    <w:p w14:paraId="7605D02E" w14:textId="77777777" w:rsidR="000A12B2" w:rsidRPr="008127F8" w:rsidRDefault="00A34F1D" w:rsidP="001E0A84">
      <w:pPr>
        <w:tabs>
          <w:tab w:val="left" w:pos="4135"/>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fldChar w:fldCharType="begin"/>
      </w:r>
      <w:r w:rsidR="000A12B2" w:rsidRPr="008127F8">
        <w:rPr>
          <w:rFonts w:ascii="Times New Roman" w:hAnsi="Times New Roman"/>
          <w:color w:val="000000" w:themeColor="text1"/>
          <w:sz w:val="16"/>
          <w:szCs w:val="16"/>
        </w:rPr>
        <w:instrText xml:space="preserve"> TOC \o "1-3" \h \z </w:instrText>
      </w:r>
      <w:r w:rsidRPr="008127F8">
        <w:rPr>
          <w:rFonts w:ascii="Times New Roman" w:hAnsi="Times New Roman"/>
          <w:color w:val="000000" w:themeColor="text1"/>
          <w:sz w:val="16"/>
          <w:szCs w:val="16"/>
        </w:rPr>
        <w:fldChar w:fldCharType="separate"/>
      </w:r>
      <w:r w:rsidR="000A12B2" w:rsidRPr="008127F8">
        <w:rPr>
          <w:rFonts w:ascii="Times New Roman" w:hAnsi="Times New Roman"/>
          <w:color w:val="000000" w:themeColor="text1"/>
          <w:sz w:val="16"/>
          <w:szCs w:val="16"/>
        </w:rPr>
        <w:t>в июне 510</w:t>
      </w:r>
    </w:p>
    <w:p w14:paraId="5810627B" w14:textId="77777777" w:rsidR="000A12B2" w:rsidRPr="008127F8" w:rsidRDefault="000A12B2" w:rsidP="001E0A84">
      <w:pPr>
        <w:tabs>
          <w:tab w:val="left" w:pos="4135"/>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590</w:t>
      </w:r>
    </w:p>
    <w:p w14:paraId="079EE693" w14:textId="77777777" w:rsidR="000A12B2" w:rsidRPr="008127F8" w:rsidRDefault="000A12B2" w:rsidP="001E0A84">
      <w:pPr>
        <w:tabs>
          <w:tab w:val="left" w:pos="4135"/>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675</w:t>
      </w:r>
    </w:p>
    <w:p w14:paraId="7600395D" w14:textId="77777777" w:rsidR="000A12B2" w:rsidRPr="008127F8" w:rsidRDefault="000A12B2" w:rsidP="001E0A84">
      <w:pPr>
        <w:tabs>
          <w:tab w:val="left" w:pos="4135"/>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720</w:t>
      </w:r>
    </w:p>
    <w:p w14:paraId="01A5AC2F" w14:textId="77777777" w:rsidR="000A12B2" w:rsidRPr="008127F8" w:rsidRDefault="000A12B2" w:rsidP="001E0A84">
      <w:pPr>
        <w:tabs>
          <w:tab w:val="left" w:pos="4135"/>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800</w:t>
      </w:r>
    </w:p>
    <w:p w14:paraId="4BCB433E" w14:textId="77777777" w:rsidR="000A12B2" w:rsidRPr="008127F8" w:rsidRDefault="000A12B2" w:rsidP="001E0A84">
      <w:pPr>
        <w:tabs>
          <w:tab w:val="left" w:pos="4135"/>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810</w:t>
      </w:r>
    </w:p>
    <w:p w14:paraId="4FDF75E5" w14:textId="77777777" w:rsidR="000A12B2" w:rsidRPr="008127F8" w:rsidRDefault="000A12B2" w:rsidP="001E0A84">
      <w:pPr>
        <w:tabs>
          <w:tab w:val="left" w:pos="4143"/>
          <w:tab w:val="right" w:pos="50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- 840</w:t>
      </w:r>
      <w:r w:rsidR="00A34F1D" w:rsidRPr="008127F8">
        <w:rPr>
          <w:rFonts w:ascii="Times New Roman" w:hAnsi="Times New Roman"/>
          <w:color w:val="000000" w:themeColor="text1"/>
          <w:sz w:val="16"/>
          <w:szCs w:val="16"/>
        </w:rPr>
        <w:fldChar w:fldCharType="end"/>
      </w:r>
    </w:p>
    <w:p w14:paraId="4ABAA55D"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3. Обязать Наркомавиапром </w:t>
      </w:r>
      <w:proofErr w:type="gramStart"/>
      <w:r w:rsidRPr="008127F8">
        <w:rPr>
          <w:rFonts w:ascii="Times New Roman" w:hAnsi="Times New Roman" w:cs="Times New Roman"/>
          <w:color w:val="000000" w:themeColor="text1"/>
          <w:sz w:val="16"/>
          <w:szCs w:val="16"/>
        </w:rPr>
        <w:t>тов.Шахурина</w:t>
      </w:r>
      <w:proofErr w:type="gramEnd"/>
      <w:r w:rsidRPr="008127F8">
        <w:rPr>
          <w:rFonts w:ascii="Times New Roman" w:hAnsi="Times New Roman" w:cs="Times New Roman"/>
          <w:color w:val="000000" w:themeColor="text1"/>
          <w:sz w:val="16"/>
          <w:szCs w:val="16"/>
        </w:rPr>
        <w:t xml:space="preserve"> и управляющего 14-м стройтрестом НКАЛ - тов .Ястребалова закончить строи</w:t>
      </w:r>
      <w:r w:rsidRPr="008127F8">
        <w:rPr>
          <w:rFonts w:ascii="Times New Roman" w:hAnsi="Times New Roman" w:cs="Times New Roman"/>
          <w:color w:val="000000" w:themeColor="text1"/>
          <w:sz w:val="16"/>
          <w:szCs w:val="16"/>
        </w:rPr>
        <w:softHyphen/>
        <w:t>тельство и сдать в эксплоатацию в 1942 году следующие об</w:t>
      </w:r>
      <w:r w:rsidRPr="008127F8">
        <w:rPr>
          <w:rFonts w:ascii="Times New Roman" w:hAnsi="Times New Roman" w:cs="Times New Roman"/>
          <w:color w:val="000000" w:themeColor="text1"/>
          <w:sz w:val="16"/>
          <w:szCs w:val="16"/>
          <w:vertAlign w:val="superscript"/>
        </w:rPr>
        <w:t>и</w:t>
      </w:r>
      <w:r w:rsidRPr="008127F8">
        <w:rPr>
          <w:rFonts w:ascii="Times New Roman" w:hAnsi="Times New Roman" w:cs="Times New Roman"/>
          <w:color w:val="000000" w:themeColor="text1"/>
          <w:sz w:val="16"/>
          <w:szCs w:val="16"/>
        </w:rPr>
        <w:t>екты завода 16:</w:t>
      </w:r>
    </w:p>
    <w:p w14:paraId="7566AC16" w14:textId="77777777" w:rsidR="000A12B2" w:rsidRPr="008127F8" w:rsidRDefault="000A12B2" w:rsidP="001E0A84">
      <w:pPr>
        <w:pStyle w:val="47"/>
        <w:shd w:val="clear" w:color="auto" w:fill="auto"/>
        <w:tabs>
          <w:tab w:val="left" w:pos="110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а) Литейный корпус 1-я очередь 8500 кв/мт - 25.Ш.1942г.</w:t>
      </w:r>
    </w:p>
    <w:p w14:paraId="7EE4B6E2"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П-я очередь 10400кв/мт - 15.У1.42г. с земледелкой </w:t>
      </w:r>
    </w:p>
    <w:p w14:paraId="2748F5B6" w14:textId="77777777" w:rsidR="000A12B2" w:rsidRPr="008127F8" w:rsidRDefault="000A12B2" w:rsidP="001E0A84">
      <w:pPr>
        <w:pStyle w:val="47"/>
        <w:framePr w:w="1547" w:h="376" w:hSpace="625" w:vSpace="59" w:wrap="around" w:vAnchor="text" w:hAnchor="margin" w:x="5399" w:y="16"/>
        <w:numPr>
          <w:ilvl w:val="0"/>
          <w:numId w:val="8"/>
        </w:numPr>
        <w:shd w:val="clear" w:color="auto" w:fill="auto"/>
        <w:tabs>
          <w:tab w:val="left" w:pos="340"/>
        </w:tabs>
        <w:autoSpaceDE/>
        <w:autoSpaceDN/>
        <w:adjustRightInd/>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1.1У.42г.</w:t>
      </w:r>
    </w:p>
    <w:p w14:paraId="35071977" w14:textId="77777777" w:rsidR="000A12B2" w:rsidRPr="008127F8" w:rsidRDefault="000A12B2" w:rsidP="001E0A84">
      <w:pPr>
        <w:pStyle w:val="47"/>
        <w:framePr w:w="1547" w:h="376" w:hSpace="625" w:vSpace="59" w:wrap="around" w:vAnchor="text" w:hAnchor="margin" w:x="5399" w:y="16"/>
        <w:numPr>
          <w:ilvl w:val="0"/>
          <w:numId w:val="8"/>
        </w:numPr>
        <w:shd w:val="clear" w:color="auto" w:fill="auto"/>
        <w:tabs>
          <w:tab w:val="left" w:pos="325"/>
        </w:tabs>
        <w:autoSpaceDE/>
        <w:autoSpaceDN/>
        <w:adjustRightInd/>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20.1У.42г.</w:t>
      </w:r>
    </w:p>
    <w:p w14:paraId="6C68B59B" w14:textId="77777777" w:rsidR="000A12B2" w:rsidRPr="008127F8" w:rsidRDefault="000A12B2" w:rsidP="001E0A84">
      <w:pPr>
        <w:pStyle w:val="47"/>
        <w:shd w:val="clear" w:color="auto" w:fill="auto"/>
        <w:tabs>
          <w:tab w:val="left" w:pos="55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б) 5 кабин ВИС"а</w:t>
      </w:r>
    </w:p>
    <w:p w14:paraId="080BF12D" w14:textId="77777777" w:rsidR="000A12B2" w:rsidRPr="008127F8" w:rsidRDefault="000A12B2" w:rsidP="001E0A84">
      <w:pPr>
        <w:pStyle w:val="47"/>
        <w:shd w:val="clear" w:color="auto" w:fill="auto"/>
        <w:tabs>
          <w:tab w:val="left" w:pos="55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кабин</w:t>
      </w:r>
    </w:p>
    <w:p w14:paraId="4D2FF42F"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новую испытательную станцию на 10 боксов- 1.УШ.42г.</w:t>
      </w:r>
    </w:p>
    <w:p w14:paraId="43B788B0" w14:textId="77777777" w:rsidR="000A12B2" w:rsidRPr="008127F8" w:rsidRDefault="000A12B2" w:rsidP="001E0A84">
      <w:pPr>
        <w:pStyle w:val="47"/>
        <w:shd w:val="clear" w:color="auto" w:fill="auto"/>
        <w:tabs>
          <w:tab w:val="left" w:pos="34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г) чугунно-литейный корпус - 15.УШ.42 г.</w:t>
      </w:r>
    </w:p>
    <w:p w14:paraId="7303AB11" w14:textId="77777777" w:rsidR="000A12B2" w:rsidRPr="008127F8" w:rsidRDefault="000A12B2" w:rsidP="001E0A84">
      <w:pPr>
        <w:pStyle w:val="47"/>
        <w:shd w:val="clear" w:color="auto" w:fill="auto"/>
        <w:tabs>
          <w:tab w:val="left" w:pos="34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д) расширение бывш. высокой зоны главного корпуса с бытовками - 1.1Х.42 г.</w:t>
      </w:r>
    </w:p>
    <w:p w14:paraId="6EC690ED"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е) жилдома:</w:t>
      </w:r>
    </w:p>
    <w:p w14:paraId="52B2C7B6"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капитальные (10000 </w:t>
      </w:r>
      <w:proofErr w:type="gramStart"/>
      <w:r w:rsidRPr="008127F8">
        <w:rPr>
          <w:rFonts w:ascii="Times New Roman" w:hAnsi="Times New Roman" w:cs="Times New Roman"/>
          <w:color w:val="000000" w:themeColor="text1"/>
          <w:sz w:val="16"/>
          <w:szCs w:val="16"/>
        </w:rPr>
        <w:t>кв.мт</w:t>
      </w:r>
      <w:proofErr w:type="gramEnd"/>
      <w:r w:rsidRPr="008127F8">
        <w:rPr>
          <w:rFonts w:ascii="Times New Roman" w:hAnsi="Times New Roman" w:cs="Times New Roman"/>
          <w:color w:val="000000" w:themeColor="text1"/>
          <w:sz w:val="16"/>
          <w:szCs w:val="16"/>
        </w:rPr>
        <w:t>) - УШ-ХП.42 г.</w:t>
      </w:r>
    </w:p>
    <w:p w14:paraId="2FA47573" w14:textId="77777777" w:rsidR="000A12B2" w:rsidRPr="008127F8" w:rsidRDefault="000A12B2"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упрощенные (20000 </w:t>
      </w:r>
      <w:proofErr w:type="gramStart"/>
      <w:r w:rsidRPr="008127F8">
        <w:rPr>
          <w:rFonts w:ascii="Times New Roman" w:hAnsi="Times New Roman" w:cs="Times New Roman"/>
          <w:color w:val="000000" w:themeColor="text1"/>
          <w:sz w:val="16"/>
          <w:szCs w:val="16"/>
        </w:rPr>
        <w:t>кв.мт</w:t>
      </w:r>
      <w:proofErr w:type="gramEnd"/>
      <w:r w:rsidRPr="008127F8">
        <w:rPr>
          <w:rFonts w:ascii="Times New Roman" w:hAnsi="Times New Roman" w:cs="Times New Roman"/>
          <w:color w:val="000000" w:themeColor="text1"/>
          <w:sz w:val="16"/>
          <w:szCs w:val="16"/>
        </w:rPr>
        <w:t>) - У1-Х.42 г.</w:t>
      </w:r>
    </w:p>
    <w:p w14:paraId="533A7892" w14:textId="77777777" w:rsidR="000A12B2" w:rsidRPr="008127F8" w:rsidRDefault="000A12B2" w:rsidP="001E0A84">
      <w:pPr>
        <w:tabs>
          <w:tab w:val="left" w:pos="18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Установить об"ем капитальных работ по заводу 16 на 1942 год в сумме 50 </w:t>
      </w:r>
      <w:proofErr w:type="gramStart"/>
      <w:r w:rsidRPr="008127F8">
        <w:rPr>
          <w:rFonts w:ascii="Times New Roman" w:hAnsi="Times New Roman"/>
          <w:color w:val="000000" w:themeColor="text1"/>
          <w:sz w:val="16"/>
          <w:szCs w:val="16"/>
        </w:rPr>
        <w:t>млн.рублей</w:t>
      </w:r>
      <w:proofErr w:type="gramEnd"/>
      <w:r w:rsidRPr="008127F8">
        <w:rPr>
          <w:rFonts w:ascii="Times New Roman" w:hAnsi="Times New Roman"/>
          <w:color w:val="000000" w:themeColor="text1"/>
          <w:sz w:val="16"/>
          <w:szCs w:val="16"/>
        </w:rPr>
        <w:t xml:space="preserve"> (в том числе на жилстроитель</w:t>
      </w:r>
      <w:r w:rsidRPr="008127F8">
        <w:rPr>
          <w:rFonts w:ascii="Times New Roman" w:hAnsi="Times New Roman"/>
          <w:color w:val="000000" w:themeColor="text1"/>
          <w:sz w:val="16"/>
          <w:szCs w:val="16"/>
        </w:rPr>
        <w:softHyphen/>
        <w:t>ство 15 млн.рублей).</w:t>
      </w:r>
    </w:p>
    <w:p w14:paraId="053050EF" w14:textId="77777777" w:rsidR="000A12B2" w:rsidRPr="008127F8" w:rsidRDefault="000A12B2" w:rsidP="001E0A84">
      <w:pPr>
        <w:tabs>
          <w:tab w:val="left" w:pos="18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Обяэать Наркомат по Строительству - т.Гинзбурга, Наркомтяжмаш - т.Казакова и Наркомат Электропромышленности - т.Кабанова обеспечить окончание всех монтажных работ по за</w:t>
      </w:r>
      <w:r w:rsidRPr="008127F8">
        <w:rPr>
          <w:rFonts w:ascii="Times New Roman" w:hAnsi="Times New Roman"/>
          <w:color w:val="000000" w:themeColor="text1"/>
          <w:sz w:val="16"/>
          <w:szCs w:val="16"/>
        </w:rPr>
        <w:softHyphen/>
        <w:t>воду № 16 в сроки, указанные в пункте № 3.</w:t>
      </w:r>
    </w:p>
    <w:p w14:paraId="299D96C6" w14:textId="77777777" w:rsidR="000A12B2" w:rsidRPr="008127F8" w:rsidRDefault="000A12B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Секретаря Татарского обкома ВКП(б) - т.Алемасова и Председателя Совнаркома Татарской АССР - т.Гафиатуллина:</w:t>
      </w:r>
    </w:p>
    <w:p w14:paraId="1DADFB61" w14:textId="77777777" w:rsidR="000A12B2" w:rsidRPr="008127F8" w:rsidRDefault="000A12B2" w:rsidP="001E0A84">
      <w:pPr>
        <w:tabs>
          <w:tab w:val="left" w:pos="187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освободить и передать заводу Ш 16 для расселения ра</w:t>
      </w:r>
      <w:r w:rsidRPr="008127F8">
        <w:rPr>
          <w:rFonts w:ascii="Times New Roman" w:hAnsi="Times New Roman"/>
          <w:color w:val="000000" w:themeColor="text1"/>
          <w:sz w:val="16"/>
          <w:szCs w:val="16"/>
        </w:rPr>
        <w:softHyphen/>
        <w:t>бочих и служащих завода следующие дома в г.Казани:</w:t>
      </w:r>
    </w:p>
    <w:p w14:paraId="36917CB9" w14:textId="77777777" w:rsidR="000A12B2" w:rsidRPr="008127F8" w:rsidRDefault="000A12B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дом № 2 по улице Чернышевского, здание школы $ 91 Ленин</w:t>
      </w:r>
      <w:r w:rsidRPr="008127F8">
        <w:rPr>
          <w:rFonts w:ascii="Times New Roman" w:hAnsi="Times New Roman"/>
          <w:color w:val="000000" w:themeColor="text1"/>
          <w:sz w:val="16"/>
          <w:szCs w:val="16"/>
        </w:rPr>
        <w:softHyphen/>
        <w:t>ского района, дома №№ 32,34,36 и 38 по Пионерской улице;</w:t>
      </w:r>
    </w:p>
    <w:p w14:paraId="066A9FCD" w14:textId="77777777" w:rsidR="000A12B2" w:rsidRPr="008127F8" w:rsidRDefault="000A12B2" w:rsidP="001E0A84">
      <w:pPr>
        <w:tabs>
          <w:tab w:val="left" w:pos="186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перевести на завод № 16 из числа рабочих, работающих в необоронной промышленности г.Казани:</w:t>
      </w:r>
    </w:p>
    <w:p w14:paraId="43811FBD" w14:textId="77777777" w:rsidR="000A12B2" w:rsidRPr="008127F8" w:rsidRDefault="000A12B2" w:rsidP="001E0A84">
      <w:pPr>
        <w:tabs>
          <w:tab w:val="left" w:pos="494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- 300 человек</w:t>
      </w:r>
    </w:p>
    <w:p w14:paraId="4BAB6C34" w14:textId="77777777" w:rsidR="000A12B2" w:rsidRPr="008127F8" w:rsidRDefault="000A12B2" w:rsidP="001E0A84">
      <w:pPr>
        <w:tabs>
          <w:tab w:val="left" w:pos="493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- 300</w:t>
      </w:r>
    </w:p>
    <w:p w14:paraId="0A62D8DE" w14:textId="77777777" w:rsidR="000A12B2" w:rsidRPr="008127F8" w:rsidRDefault="000A12B2" w:rsidP="001E0A84">
      <w:pPr>
        <w:tabs>
          <w:tab w:val="left" w:pos="492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- 500</w:t>
      </w:r>
    </w:p>
    <w:p w14:paraId="0D266530" w14:textId="77777777" w:rsidR="000A12B2" w:rsidRPr="008127F8" w:rsidRDefault="000A12B2" w:rsidP="001E0A84">
      <w:pPr>
        <w:tabs>
          <w:tab w:val="left" w:pos="187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мобилизовать и перевести на завод 16, в соответствии с Указом от </w:t>
      </w:r>
      <w:proofErr w:type="gramStart"/>
      <w:r w:rsidRPr="008127F8">
        <w:rPr>
          <w:rFonts w:ascii="Times New Roman" w:hAnsi="Times New Roman"/>
          <w:color w:val="000000" w:themeColor="text1"/>
          <w:sz w:val="16"/>
          <w:szCs w:val="16"/>
        </w:rPr>
        <w:t>13.П.</w:t>
      </w:r>
      <w:proofErr w:type="gramEnd"/>
      <w:r w:rsidRPr="008127F8">
        <w:rPr>
          <w:rFonts w:ascii="Times New Roman" w:hAnsi="Times New Roman"/>
          <w:color w:val="000000" w:themeColor="text1"/>
          <w:sz w:val="16"/>
          <w:szCs w:val="16"/>
        </w:rPr>
        <w:t>1942 года, из числа трудоспособного населе</w:t>
      </w:r>
      <w:r w:rsidRPr="008127F8">
        <w:rPr>
          <w:rFonts w:ascii="Times New Roman" w:hAnsi="Times New Roman"/>
          <w:color w:val="000000" w:themeColor="text1"/>
          <w:sz w:val="16"/>
          <w:szCs w:val="16"/>
        </w:rPr>
        <w:softHyphen/>
        <w:t>ния, проживающего в г.Казани:</w:t>
      </w:r>
    </w:p>
    <w:p w14:paraId="1504A02E" w14:textId="77777777" w:rsidR="000A12B2" w:rsidRPr="008127F8" w:rsidRDefault="000A12B2" w:rsidP="001E0A84">
      <w:pPr>
        <w:tabs>
          <w:tab w:val="left" w:pos="493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- 1000 человек</w:t>
      </w:r>
    </w:p>
    <w:p w14:paraId="6D81D1F6" w14:textId="77777777" w:rsidR="000A12B2" w:rsidRPr="008127F8" w:rsidRDefault="000A12B2" w:rsidP="001E0A84">
      <w:pPr>
        <w:tabs>
          <w:tab w:val="left" w:pos="493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- 600 "</w:t>
      </w:r>
    </w:p>
    <w:p w14:paraId="2860AE9F" w14:textId="77777777" w:rsidR="000A12B2" w:rsidRPr="008127F8" w:rsidRDefault="000A12B2" w:rsidP="001E0A84">
      <w:pPr>
        <w:tabs>
          <w:tab w:val="left" w:pos="492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- 1000 </w:t>
      </w:r>
      <w:proofErr w:type="gramStart"/>
      <w:r w:rsidRPr="008127F8">
        <w:rPr>
          <w:rFonts w:ascii="Times New Roman" w:hAnsi="Times New Roman"/>
          <w:color w:val="000000" w:themeColor="text1"/>
          <w:sz w:val="16"/>
          <w:szCs w:val="16"/>
        </w:rPr>
        <w:t>" .</w:t>
      </w:r>
      <w:proofErr w:type="gramEnd"/>
    </w:p>
    <w:p w14:paraId="2017E51A" w14:textId="77777777" w:rsidR="000A12B2" w:rsidRPr="008127F8" w:rsidRDefault="000A12B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Глазное Управление Трудовых Резервов - т.Москатова досрочно выпустить иэ ремесленных училищ и пере</w:t>
      </w:r>
      <w:r w:rsidRPr="008127F8">
        <w:rPr>
          <w:rFonts w:ascii="Times New Roman" w:hAnsi="Times New Roman"/>
          <w:color w:val="000000" w:themeColor="text1"/>
          <w:sz w:val="16"/>
          <w:szCs w:val="16"/>
        </w:rPr>
        <w:softHyphen/>
        <w:t>вести на завод № 16:</w:t>
      </w:r>
    </w:p>
    <w:p w14:paraId="4FBCDA08" w14:textId="77777777" w:rsidR="000A12B2" w:rsidRPr="008127F8" w:rsidRDefault="000A12B2" w:rsidP="001E0A84">
      <w:pPr>
        <w:tabs>
          <w:tab w:val="left" w:pos="493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- 1000 человек</w:t>
      </w:r>
    </w:p>
    <w:p w14:paraId="1B05389B" w14:textId="77777777" w:rsidR="000A12B2" w:rsidRPr="008127F8" w:rsidRDefault="000A12B2" w:rsidP="001E0A84">
      <w:pPr>
        <w:tabs>
          <w:tab w:val="left" w:pos="3395"/>
          <w:tab w:val="left" w:pos="492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- 1200</w:t>
      </w:r>
    </w:p>
    <w:p w14:paraId="325941AA" w14:textId="77777777" w:rsidR="000A12B2" w:rsidRPr="008127F8" w:rsidRDefault="000A12B2" w:rsidP="001E0A84">
      <w:pPr>
        <w:tabs>
          <w:tab w:val="left" w:pos="461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1000 "</w:t>
      </w:r>
    </w:p>
    <w:p w14:paraId="2538E8CE" w14:textId="77777777" w:rsidR="000A12B2" w:rsidRPr="008127F8" w:rsidRDefault="000A12B2" w:rsidP="001E0A84">
      <w:pPr>
        <w:tabs>
          <w:tab w:val="left" w:pos="4618"/>
        </w:tabs>
        <w:spacing w:after="0" w:line="240" w:lineRule="auto"/>
        <w:jc w:val="both"/>
        <w:rPr>
          <w:rFonts w:ascii="Times New Roman" w:hAnsi="Times New Roman"/>
          <w:color w:val="000000" w:themeColor="text1"/>
          <w:sz w:val="16"/>
          <w:szCs w:val="16"/>
        </w:rPr>
      </w:pPr>
      <w:bookmarkStart w:id="20" w:name="bookmark0"/>
      <w:r w:rsidRPr="008127F8">
        <w:rPr>
          <w:rFonts w:ascii="Times New Roman" w:hAnsi="Times New Roman"/>
          <w:color w:val="000000" w:themeColor="text1"/>
          <w:sz w:val="16"/>
          <w:szCs w:val="16"/>
        </w:rPr>
        <w:t xml:space="preserve">8. Обязать Наркомторг - </w:t>
      </w:r>
      <w:proofErr w:type="gramStart"/>
      <w:r w:rsidRPr="008127F8">
        <w:rPr>
          <w:rFonts w:ascii="Times New Roman" w:hAnsi="Times New Roman"/>
          <w:color w:val="000000" w:themeColor="text1"/>
          <w:sz w:val="16"/>
          <w:szCs w:val="16"/>
        </w:rPr>
        <w:t>тов.Любимова</w:t>
      </w:r>
      <w:proofErr w:type="gramEnd"/>
      <w:r w:rsidRPr="008127F8">
        <w:rPr>
          <w:rFonts w:ascii="Times New Roman" w:hAnsi="Times New Roman"/>
          <w:color w:val="000000" w:themeColor="text1"/>
          <w:sz w:val="16"/>
          <w:szCs w:val="16"/>
        </w:rPr>
        <w:t>:</w:t>
      </w:r>
      <w:bookmarkEnd w:id="20"/>
    </w:p>
    <w:p w14:paraId="1347FCB5" w14:textId="77777777" w:rsidR="000A12B2" w:rsidRPr="008127F8" w:rsidRDefault="000A12B2" w:rsidP="001E0A84">
      <w:pPr>
        <w:tabs>
          <w:tab w:val="left" w:pos="18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выделить заводу </w:t>
      </w:r>
      <w:r w:rsidR="00A26F32"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 xml:space="preserve"> 16 специальный фонд мясных и коу- пяных продуктов для обеспечения питания в заводской столовой без продуктовых карточек:</w:t>
      </w:r>
    </w:p>
    <w:p w14:paraId="4BB66560" w14:textId="77777777" w:rsidR="000A12B2" w:rsidRPr="008127F8" w:rsidRDefault="000A12B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стахановцев, ИТР и рабочих;</w:t>
      </w:r>
    </w:p>
    <w:p w14:paraId="2F5BE181" w14:textId="77777777" w:rsidR="000A12B2" w:rsidRPr="008127F8" w:rsidRDefault="000A12B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рабочих и ИТР, работающих на сверхурочной работе в количестве 3000 человек ежедневно;</w:t>
      </w:r>
    </w:p>
    <w:p w14:paraId="72E6CC3B" w14:textId="77777777" w:rsidR="000A12B2" w:rsidRPr="008127F8" w:rsidRDefault="000A12B2" w:rsidP="001E0A84">
      <w:pPr>
        <w:tabs>
          <w:tab w:val="left" w:pos="18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организовать при заводе 16 закрытую торговую сеть коммерческих магазинов.</w:t>
      </w:r>
    </w:p>
    <w:p w14:paraId="1B35E062" w14:textId="77777777" w:rsidR="000A12B2" w:rsidRPr="008127F8" w:rsidRDefault="000A12B2" w:rsidP="001E0A84">
      <w:pPr>
        <w:tabs>
          <w:tab w:val="left" w:pos="18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Совнарком Татарской АССР - т.Гафиатулина передать заводу № 16 совхоз № 6 пригородного хозяйства при СНК Татарской АССР.</w:t>
      </w:r>
    </w:p>
    <w:p w14:paraId="7CEDC745" w14:textId="77777777" w:rsidR="000A12B2" w:rsidRPr="008127F8" w:rsidRDefault="000A12B2" w:rsidP="001E0A84">
      <w:pPr>
        <w:tabs>
          <w:tab w:val="left" w:pos="19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Обязать Наркомзем СССР - т.Бенедиктова выделить для завода № 16 - 150 и для стройтреста № 14 НКАД - 200 рабочих лошадей.</w:t>
      </w:r>
    </w:p>
    <w:p w14:paraId="4902A0B2" w14:textId="77777777" w:rsidR="000A12B2" w:rsidRPr="008127F8" w:rsidRDefault="000A12B2" w:rsidP="001E0A84">
      <w:pPr>
        <w:tabs>
          <w:tab w:val="left" w:pos="19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Обязать начальника Казанской железной дороги - т.Пичугина отгружать и перевозить со Свияжского карьера формовоч</w:t>
      </w:r>
      <w:r w:rsidRPr="008127F8">
        <w:rPr>
          <w:rFonts w:ascii="Times New Roman" w:hAnsi="Times New Roman"/>
          <w:color w:val="000000" w:themeColor="text1"/>
          <w:sz w:val="16"/>
          <w:szCs w:val="16"/>
        </w:rPr>
        <w:softHyphen/>
        <w:t>ного песка по 300 вагонов ежемесячно.</w:t>
      </w:r>
    </w:p>
    <w:p w14:paraId="04DBA59C" w14:textId="77777777" w:rsidR="000A12B2" w:rsidRPr="008127F8" w:rsidRDefault="000A12B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Обявать Наркомавиапром -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xml:space="preserve"> передать за</w:t>
      </w:r>
      <w:r w:rsidR="00A26F32" w:rsidRPr="008127F8">
        <w:rPr>
          <w:rFonts w:ascii="Times New Roman" w:hAnsi="Times New Roman"/>
          <w:color w:val="000000" w:themeColor="text1"/>
          <w:sz w:val="16"/>
          <w:szCs w:val="16"/>
        </w:rPr>
        <w:t>воду №</w:t>
      </w:r>
      <w:r w:rsidRPr="008127F8">
        <w:rPr>
          <w:rFonts w:ascii="Times New Roman" w:hAnsi="Times New Roman"/>
          <w:color w:val="000000" w:themeColor="text1"/>
          <w:sz w:val="16"/>
          <w:szCs w:val="16"/>
        </w:rPr>
        <w:t xml:space="preserve"> 16:</w:t>
      </w:r>
    </w:p>
    <w:p w14:paraId="796CF615" w14:textId="77777777" w:rsidR="000A12B2" w:rsidRPr="008127F8" w:rsidRDefault="000A12B2" w:rsidP="001E0A84">
      <w:pPr>
        <w:tabs>
          <w:tab w:val="left" w:pos="9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один деревянный корпус бывшего завода № 489 для орга</w:t>
      </w:r>
      <w:r w:rsidRPr="008127F8">
        <w:rPr>
          <w:rFonts w:ascii="Times New Roman" w:hAnsi="Times New Roman"/>
          <w:color w:val="000000" w:themeColor="text1"/>
          <w:sz w:val="16"/>
          <w:szCs w:val="16"/>
        </w:rPr>
        <w:softHyphen/>
        <w:t>низации цеха железных конструкций;</w:t>
      </w:r>
    </w:p>
    <w:p w14:paraId="64298E78" w14:textId="77777777" w:rsidR="000A12B2" w:rsidRPr="008127F8" w:rsidRDefault="000A12B2" w:rsidP="001E0A84">
      <w:pPr>
        <w:tabs>
          <w:tab w:val="left" w:pos="9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корпус ТОП бывшего завода № 82.</w:t>
      </w:r>
    </w:p>
    <w:p w14:paraId="294B81C3" w14:textId="77777777" w:rsidR="000A12B2" w:rsidRPr="008127F8" w:rsidRDefault="000A12B2" w:rsidP="001E0A84">
      <w:pPr>
        <w:tabs>
          <w:tab w:val="left" w:pos="108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Обязать начальника Главуглесбыта Наркомата Угольной Промышленности т.Дубровского, обеспечить отгрузку тресту 14 Наркомавиапрома по его фондам в марте месяце 800*тонн и тресту № 41 Наркомавиапрома для завода силикатного кирпича, по его фондам 900 тонн кузнецкого угля.</w:t>
      </w:r>
    </w:p>
    <w:p w14:paraId="50BDEC75" w14:textId="77777777" w:rsidR="000A12B2" w:rsidRPr="008127F8" w:rsidRDefault="000A12B2" w:rsidP="001E0A84">
      <w:pPr>
        <w:tabs>
          <w:tab w:val="left" w:pos="109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Обязать Нарко.мтоог СССР - т.Любимова выделить тресту № 14 Наркомавиапрома на второй квартал 1000 пар ботинок для рабочих стройбатальонов и 3000 комплектов постельного белья для организации общежития завода № 16.</w:t>
      </w:r>
    </w:p>
    <w:p w14:paraId="21251D72" w14:textId="77777777" w:rsidR="000A12B2" w:rsidRPr="008127F8" w:rsidRDefault="000A12B2" w:rsidP="001E0A84">
      <w:pPr>
        <w:tabs>
          <w:tab w:val="left" w:pos="108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Обявать НКПС - т.Арутюнова и начальника Ряэано-Уральской железной дороги - </w:t>
      </w:r>
      <w:proofErr w:type="gramStart"/>
      <w:r w:rsidRPr="008127F8">
        <w:rPr>
          <w:rFonts w:ascii="Times New Roman" w:hAnsi="Times New Roman"/>
          <w:color w:val="000000" w:themeColor="text1"/>
          <w:sz w:val="16"/>
          <w:szCs w:val="16"/>
        </w:rPr>
        <w:t>тов.Столяренко</w:t>
      </w:r>
      <w:proofErr w:type="gramEnd"/>
      <w:r w:rsidRPr="008127F8">
        <w:rPr>
          <w:rFonts w:ascii="Times New Roman" w:hAnsi="Times New Roman"/>
          <w:color w:val="000000" w:themeColor="text1"/>
          <w:sz w:val="16"/>
          <w:szCs w:val="16"/>
        </w:rPr>
        <w:t xml:space="preserve"> обеспечить подачу </w:t>
      </w:r>
      <w:r w:rsidRPr="008127F8">
        <w:rPr>
          <w:rFonts w:ascii="Times New Roman" w:hAnsi="Times New Roman"/>
          <w:color w:val="000000" w:themeColor="text1"/>
          <w:sz w:val="16"/>
          <w:szCs w:val="16"/>
          <w:lang w:val="en-US"/>
        </w:rPr>
        <w:t>l</w:t>
      </w:r>
      <w:r w:rsidRPr="008127F8">
        <w:rPr>
          <w:rFonts w:ascii="Times New Roman" w:hAnsi="Times New Roman"/>
          <w:color w:val="000000" w:themeColor="text1"/>
          <w:sz w:val="16"/>
          <w:szCs w:val="16"/>
        </w:rPr>
        <w:t>£5 вагонов целевым назначением на ст.Зольск по плану перевозок на март 1942 года для отгрузки цемента тресту 14 Наркомавиа</w:t>
      </w:r>
      <w:r w:rsidRPr="008127F8">
        <w:rPr>
          <w:rFonts w:ascii="Times New Roman" w:hAnsi="Times New Roman"/>
          <w:color w:val="000000" w:themeColor="text1"/>
          <w:sz w:val="16"/>
          <w:szCs w:val="16"/>
        </w:rPr>
        <w:softHyphen/>
        <w:t>прома.</w:t>
      </w:r>
    </w:p>
    <w:p w14:paraId="27E76932" w14:textId="77777777" w:rsidR="000A12B2" w:rsidRPr="008127F8" w:rsidRDefault="000A12B2" w:rsidP="001E0A84">
      <w:pPr>
        <w:tabs>
          <w:tab w:val="left" w:pos="10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Обявать НКПС - т.Арутюнова выделить тресту В? 14 поми</w:t>
      </w:r>
      <w:r w:rsidRPr="008127F8">
        <w:rPr>
          <w:rFonts w:ascii="Times New Roman" w:hAnsi="Times New Roman"/>
          <w:color w:val="000000" w:themeColor="text1"/>
          <w:sz w:val="16"/>
          <w:szCs w:val="16"/>
        </w:rPr>
        <w:softHyphen/>
        <w:t>мо его основного плана под перевозку нерудных материалов (ка</w:t>
      </w:r>
      <w:r w:rsidRPr="008127F8">
        <w:rPr>
          <w:rFonts w:ascii="Times New Roman" w:hAnsi="Times New Roman"/>
          <w:color w:val="000000" w:themeColor="text1"/>
          <w:sz w:val="16"/>
          <w:szCs w:val="16"/>
        </w:rPr>
        <w:softHyphen/>
        <w:t>мень, песок) со ст.Хромпик, дороги им.Кагановича, назначением на ст.Восстание Казанской железной дороги - в марте 300 ваго</w:t>
      </w:r>
      <w:r w:rsidRPr="008127F8">
        <w:rPr>
          <w:rFonts w:ascii="Times New Roman" w:hAnsi="Times New Roman"/>
          <w:color w:val="000000" w:themeColor="text1"/>
          <w:sz w:val="16"/>
          <w:szCs w:val="16"/>
        </w:rPr>
        <w:softHyphen/>
        <w:t>нов, в апреле 200 вагонов.</w:t>
      </w:r>
    </w:p>
    <w:p w14:paraId="73BB6147" w14:textId="77777777" w:rsidR="000A12B2" w:rsidRPr="008127F8" w:rsidRDefault="000A12B2" w:rsidP="001E0A84">
      <w:pPr>
        <w:tabs>
          <w:tab w:val="left" w:pos="10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Обязать Наркомрезинпром - </w:t>
      </w:r>
      <w:proofErr w:type="gramStart"/>
      <w:r w:rsidRPr="008127F8">
        <w:rPr>
          <w:rFonts w:ascii="Times New Roman" w:hAnsi="Times New Roman"/>
          <w:color w:val="000000" w:themeColor="text1"/>
          <w:sz w:val="16"/>
          <w:szCs w:val="16"/>
        </w:rPr>
        <w:t>тов.Митрохина</w:t>
      </w:r>
      <w:proofErr w:type="gramEnd"/>
      <w:r w:rsidRPr="008127F8">
        <w:rPr>
          <w:rFonts w:ascii="Times New Roman" w:hAnsi="Times New Roman"/>
          <w:color w:val="000000" w:themeColor="text1"/>
          <w:sz w:val="16"/>
          <w:szCs w:val="16"/>
        </w:rPr>
        <w:t xml:space="preserve"> выделить во втором квартале 1942 года тресту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- 14 - 150 комплектов авто</w:t>
      </w:r>
      <w:r w:rsidRPr="008127F8">
        <w:rPr>
          <w:rFonts w:ascii="Times New Roman" w:hAnsi="Times New Roman"/>
          <w:color w:val="000000" w:themeColor="text1"/>
          <w:sz w:val="16"/>
          <w:szCs w:val="16"/>
        </w:rPr>
        <w:softHyphen/>
        <w:t>обуви и заводу № 16 - 500 комплектов.</w:t>
      </w:r>
    </w:p>
    <w:p w14:paraId="768FD0E2" w14:textId="77777777" w:rsidR="000A12B2" w:rsidRPr="008127F8" w:rsidRDefault="000A12B2" w:rsidP="001E0A84">
      <w:pPr>
        <w:tabs>
          <w:tab w:val="left" w:pos="108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Обявать Председателя Воронежского Облисполкома пере</w:t>
      </w:r>
      <w:r w:rsidRPr="008127F8">
        <w:rPr>
          <w:rFonts w:ascii="Times New Roman" w:hAnsi="Times New Roman"/>
          <w:color w:val="000000" w:themeColor="text1"/>
          <w:sz w:val="16"/>
          <w:szCs w:val="16"/>
        </w:rPr>
        <w:softHyphen/>
        <w:t>дать 9-му Районному трамвайному управлению г.Казани десять мо</w:t>
      </w:r>
      <w:r w:rsidRPr="008127F8">
        <w:rPr>
          <w:rFonts w:ascii="Times New Roman" w:hAnsi="Times New Roman"/>
          <w:color w:val="000000" w:themeColor="text1"/>
          <w:sz w:val="16"/>
          <w:szCs w:val="16"/>
        </w:rPr>
        <w:softHyphen/>
        <w:t>торных и 20 прицепных трамвайных вагонов и одну ртутную под</w:t>
      </w:r>
      <w:r w:rsidRPr="008127F8">
        <w:rPr>
          <w:rFonts w:ascii="Times New Roman" w:hAnsi="Times New Roman"/>
          <w:color w:val="000000" w:themeColor="text1"/>
          <w:sz w:val="16"/>
          <w:szCs w:val="16"/>
        </w:rPr>
        <w:softHyphen/>
        <w:t>станцию для лбслуживания рабочих завода № 16 (19303).</w:t>
      </w:r>
    </w:p>
    <w:p w14:paraId="064D641E" w14:textId="77777777" w:rsidR="000A12B2" w:rsidRPr="008127F8" w:rsidRDefault="000A12B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689AB" w14:textId="77777777" w:rsidR="00A756B1" w:rsidRPr="008127F8" w:rsidRDefault="00A756B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г. по распоряжению СНК СССР заместителю наркома электропромышленности В.А. Восканяну ставится задача в течение второй декады марта осуществить вывоз из Ленинграда около 600 т. различного электрослаботочного оборудования, материалов для вакуумного производства, радиотехнических деталей и приборов, проводов и кабеля с шести предприятий города (18297).</w:t>
      </w:r>
    </w:p>
    <w:p w14:paraId="2FDC5CDC" w14:textId="77777777" w:rsidR="00A756B1" w:rsidRPr="008127F8" w:rsidRDefault="00A756B1" w:rsidP="001E0A84">
      <w:pPr>
        <w:spacing w:after="0" w:line="240" w:lineRule="auto"/>
        <w:jc w:val="both"/>
        <w:rPr>
          <w:rFonts w:ascii="Times New Roman" w:hAnsi="Times New Roman"/>
          <w:color w:val="000000" w:themeColor="text1"/>
          <w:sz w:val="16"/>
          <w:szCs w:val="16"/>
        </w:rPr>
      </w:pPr>
    </w:p>
    <w:p w14:paraId="0ABF323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марта 1942г. ЗАПИСЬ БЕСЕДЫ ПЕРВОГО ЗАМЕСТИТЕЛЯ НАРОДНОГО КОМИССАРА ВНЕШНЕЙ ТОРГОВЛИ СССР А.Д. КРУТИКОВА С БРИГАДНЫМ ГЕНЕРАЛОМ АРМИИ США Ф. ФЕЙМОНВИЛЛОМ О ПОСТАВКАХ АМЕРИКАНСКИХ САМОЛЕТОВ, ТАНКОВ И ДРУГОЙ ТЕХНИКИ В СССР</w:t>
      </w:r>
    </w:p>
    <w:p w14:paraId="63F5927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ПРИЕМКЕ САМОЛЕТОВ В БАСРЕ</w:t>
      </w:r>
    </w:p>
    <w:p w14:paraId="5F01959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заявил, что между нашим представителем по приемке самолетов в Басре тов. Кормилицыным и американским представителем г-ном Гиллисом имеется несколько несогласованных вопросов:</w:t>
      </w:r>
    </w:p>
    <w:p w14:paraId="5AD45C9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 испытании самолетов.</w:t>
      </w:r>
    </w:p>
    <w:p w14:paraId="1FF17A3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Советские представители утверждают, что испытание принимаемых самолетов должно производиться не только на земле, но и в воздухе, и что, следовательно, документ о приемке может быть подписан лишь после удовлетворительного исхода испытаний самолета в воздухе.</w:t>
      </w:r>
    </w:p>
    <w:p w14:paraId="0DEAEDB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Американские представители утверждают, что самолет должен быть принят и приемка оформлена актом без испытаний в воздухе.</w:t>
      </w:r>
    </w:p>
    <w:p w14:paraId="08AD8B5A"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заявил, что Наркомвнешторг поддерживает порядок приемки самолетов, предложенный советскими представителями, и просит г-на Феймонвилла через Вашингтон или непосредственно сделать указания представителю Американского Правительства в Басре.</w:t>
      </w:r>
    </w:p>
    <w:p w14:paraId="04C7AC5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согласился с высказанным тов. Крутиковым предложением и обещал дать требуемые указания через посредство Вашингтона.</w:t>
      </w:r>
    </w:p>
    <w:p w14:paraId="7B2AC19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 поставке запчастей.</w:t>
      </w:r>
    </w:p>
    <w:p w14:paraId="3250DA9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Далее тов. Крутиков заявил, что вторым несогласованным вопросом между представителями в Басре является поставка запасных частей.</w:t>
      </w:r>
    </w:p>
    <w:p w14:paraId="62DE1FD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Гиллис настаивает на том, чтобы этот вопрос был решен лишь после заключения особого договора в Москве.</w:t>
      </w:r>
    </w:p>
    <w:p w14:paraId="7E77ED7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высказал предложение решить этот вопрос следующим образом:</w:t>
      </w:r>
    </w:p>
    <w:p w14:paraId="59DDEC2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Советская сторона вручает г-ну Феймонвиллу список необходимых запасных частей.</w:t>
      </w:r>
    </w:p>
    <w:p w14:paraId="31BAADF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со своей стороны, запрашивает Вашингтон с целью получения списка тех запчастей, которые американская сторона считает необходимым поставить в соответствии с принятыми в США нормами.</w:t>
      </w:r>
    </w:p>
    <w:p w14:paraId="61B02C2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согласился с этим и обещал сделать соответствующий запрос.</w:t>
      </w:r>
    </w:p>
    <w:p w14:paraId="3E9B9F9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ПУЛЕМЕТНЫХ ЗВЕНЬЯХ</w:t>
      </w:r>
    </w:p>
    <w:p w14:paraId="7345B37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в ответ на запрос г-на Феймонвилла заявил, что в действительности было несколько случаев недоброкачественной упаковки пулеметных звеньев со стороны американских поставщиков, в результате которой указанные звенья были изъедены коррозией. Однако эти случаи незначительны. По поступившим сведениям, пулеметные звенья в основном поставляются американцами в хорошем состоянии.</w:t>
      </w:r>
    </w:p>
    <w:p w14:paraId="540235F1"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просил, однако, сообщить, кем конкретно была допущена плохая упаковка в упомянутых конкретных случаях.</w:t>
      </w:r>
    </w:p>
    <w:p w14:paraId="73DC3F6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ТАНКАХ И АМГРИКАНСКИХ СПШ1ИАЛИСТАХ-ТАНКИСТАХ</w:t>
      </w:r>
    </w:p>
    <w:p w14:paraId="637A59D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заявил, что представители Бронетанкового управления сообщают, что в таком виде, в каком прибывают американские танки в СССР, к ним нельзя сейчас предъявить каких-либо претензий. Что же касается их поведения в бою, то это можно будет сказать лишь после их участия в военных операциях.</w:t>
      </w:r>
    </w:p>
    <w:p w14:paraId="67D5891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заметил, что, возможно, кто-либо высказывал свое предположение относительно возможного плохого поведения американских танков в бою на основании предварительного осмотра.</w:t>
      </w:r>
    </w:p>
    <w:p w14:paraId="05F9E89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Кроме того, г-н Феймонвилл подчеркнул, что этот вопрос следует рассматривать шире, а именно в связи с вопросом об отправке в Советский Союз американских специалистов. Этого факта попадания отзывов советских военных об американских танках в Вашингтон через англичан можно было бы избежать, если бы здесь на месте имелись американские консультанты-танкисты, которые бы имели возможность непосредственно получать замечания об американских танках от советских танкистов.</w:t>
      </w:r>
    </w:p>
    <w:p w14:paraId="5F5DA906"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указал на то, что т. Федоренко после встречи с ним 12.1.42 г. обещал на следующий день, 13 января, прислать письмо с ответом советской стороны по поводу приезда американских консультантов по танкам. Между тем до сих пор г-н Феймонвилл такого письма не получал.</w:t>
      </w:r>
    </w:p>
    <w:p w14:paraId="272A2ACA"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заметил, что отъезжающему в Америку т. Беляеву придется встретиться с американскими военными, которые, несомненно, поставят перед ним этот вопрос, так как у американцев складывается впечатление о нежелании советской стороны согласиться на въезд американских специалистов, но прямо об этом не говорят. Тем не менее, однако, американская сторона желает получить определенный ответ.</w:t>
      </w:r>
    </w:p>
    <w:p w14:paraId="17B8588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спросил, о каких именно недостатках американских танков говорят в Вашингтоне.</w:t>
      </w:r>
    </w:p>
    <w:p w14:paraId="1629286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ничего определенного не ответил, указав в общих чертах, что якобы была ссылка на то, что на американские танки нельзя будет положиться ввиду недостаточной пуленепроницаемости брони, ограниченного обстреливаемого пространства пулеметного огня и др.</w:t>
      </w:r>
    </w:p>
    <w:p w14:paraId="43FEFC5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заявил, что в отношении конструкции американских танков, которая, несомненно, в некоторых отношениях отличается от конструкции советских танков, наши представители сейчас не могут предъявить каких-либо претензий.</w:t>
      </w:r>
    </w:p>
    <w:p w14:paraId="2822523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просил пригласить кого-либо от американской стороны для того, чтобы он лично смог наблюдать работу американских танков.</w:t>
      </w:r>
    </w:p>
    <w:p w14:paraId="47B8066E"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обещал это выяснить.</w:t>
      </w:r>
    </w:p>
    <w:p w14:paraId="79DB81A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ВСТРЕЧЕ г-на ФГЙМОНВИЛЛА С тов. БЕЛЯЕВЫМ</w:t>
      </w:r>
    </w:p>
    <w:p w14:paraId="7508C4E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заявил, что перед тов. Беляевым по его приезде в США поставят целый ряд и других вопросов. В частности, одним из таких вопросов, который остается до сих пор неотвеченным, является вопрос об авиалинии Москва — Вашингтон.</w:t>
      </w:r>
    </w:p>
    <w:p w14:paraId="6C76631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Другим таким вопросом является вопрос о разрешении американскому атташе в СССР г. Микелла посетить фронт. Этот вопрос ставился неоднократно военным министром США г. Стимсоном. Впервые этот запрос был сделан тов.</w:t>
      </w:r>
    </w:p>
    <w:p w14:paraId="14C3C0A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Уманскому. 23 июля от Советского Правительства последовал ответ о его согласии на посылку г. Микелла на фронт. 8 августа во время пребывания тов. Голикова в Вашингтоне было повторено еще раз, что американский атташе посылается на фронт. До сих пор, однако, г-ну Микелла не была предоставлена возможность побывать на фронте.</w:t>
      </w:r>
    </w:p>
    <w:p w14:paraId="34C3483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предварительного обсуждения этих вопросов г-н Феймонвилл выразил пожелание встретиться с тов. Беляевым.</w:t>
      </w:r>
    </w:p>
    <w:p w14:paraId="42B58B7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СОВЕТСКИХ ПОТРЕБНОСТЯХ</w:t>
      </w:r>
    </w:p>
    <w:p w14:paraId="49B4443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сославшись на планирование американской экономики, заявил, что Вашингтон просит советскую сторону сообщить о своих потребностях в различных материалах к импорту из США на период приблизительно 2—3 года.</w:t>
      </w:r>
    </w:p>
    <w:p w14:paraId="23AB13E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Речь идет о поставках вне Протокола.</w:t>
      </w:r>
    </w:p>
    <w:p w14:paraId="752872A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подчеркнул, что главное сейчас установить потребности Советского Союза на период до конца 1942 г.</w:t>
      </w:r>
    </w:p>
    <w:p w14:paraId="2BC2EDF9"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Крутиков ответил, что составить заявку на 2—3 года в данный момент затруднительно ввиду невозможности предвидеть все потребности, которые могут возникнуть в течение этого периода.</w:t>
      </w:r>
    </w:p>
    <w:p w14:paraId="70302E9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касается потребностей до конца 1942 г., то такую заявку возможно будет составить.</w:t>
      </w:r>
    </w:p>
    <w:p w14:paraId="03792FF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Г-н Феймонвилл просил поставить его в известность, как только советская сторона сможет дать ответ по этому вопросу.</w:t>
      </w:r>
    </w:p>
    <w:p w14:paraId="5B3255DF"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Записал Смоляниченко</w:t>
      </w:r>
    </w:p>
    <w:p w14:paraId="351533D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документе имеется зачеркнутая помета: «Тов. Сталину. На утверждение (вместо</w:t>
      </w:r>
    </w:p>
    <w:p w14:paraId="097375B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ранее посланного). В. Молотов. З.Ш», а также помета: «Видимо, решено оставить без</w:t>
      </w:r>
    </w:p>
    <w:p w14:paraId="2D76909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ответа. Козырев. 6.III».</w:t>
      </w:r>
    </w:p>
    <w:p w14:paraId="3895DEC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документе имеется помета: «Тов. Молотову. Для ознакомления. А. Микоян.</w:t>
      </w:r>
    </w:p>
    <w:p w14:paraId="68903DAD" w14:textId="77777777" w:rsidR="006E2015" w:rsidRPr="0016279C" w:rsidRDefault="006E2015" w:rsidP="006E2015">
      <w:pPr>
        <w:spacing w:after="0" w:line="240" w:lineRule="auto"/>
        <w:jc w:val="both"/>
        <w:rPr>
          <w:rFonts w:ascii="Times New Roman" w:hAnsi="Times New Roman"/>
          <w:color w:val="0070C0"/>
          <w:sz w:val="16"/>
          <w:szCs w:val="16"/>
          <w:lang w:val="en-US"/>
        </w:rPr>
      </w:pPr>
      <w:r w:rsidRPr="0016279C">
        <w:rPr>
          <w:rFonts w:ascii="Times New Roman" w:hAnsi="Times New Roman"/>
          <w:color w:val="0070C0"/>
          <w:sz w:val="16"/>
          <w:szCs w:val="16"/>
          <w:lang w:val="en-US"/>
        </w:rPr>
        <w:t>6.III.42».</w:t>
      </w:r>
    </w:p>
    <w:p w14:paraId="009AF75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АВП</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РФ</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06. On. 4. </w:t>
      </w:r>
      <w:r w:rsidRPr="008A2E5A">
        <w:rPr>
          <w:rFonts w:ascii="Times New Roman" w:hAnsi="Times New Roman"/>
          <w:color w:val="0070C0"/>
          <w:sz w:val="16"/>
          <w:szCs w:val="16"/>
        </w:rPr>
        <w:t>П. 11. Д. 102. Л. 38-42. Подлинник (23791).</w:t>
      </w:r>
    </w:p>
    <w:p w14:paraId="540F376B" w14:textId="77777777" w:rsidR="006E2015" w:rsidRPr="008A2E5A" w:rsidRDefault="006E2015" w:rsidP="006E2015">
      <w:pPr>
        <w:spacing w:after="0" w:line="240" w:lineRule="auto"/>
        <w:jc w:val="both"/>
        <w:rPr>
          <w:rFonts w:ascii="Times New Roman" w:hAnsi="Times New Roman"/>
          <w:color w:val="0070C0"/>
          <w:sz w:val="16"/>
          <w:szCs w:val="16"/>
        </w:rPr>
      </w:pPr>
    </w:p>
    <w:p w14:paraId="33E32170" w14:textId="77777777" w:rsidR="007216D1"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B86A466" w14:textId="77777777" w:rsidR="007216D1" w:rsidRPr="008127F8" w:rsidRDefault="007216D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5DA74E"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МАРТА 1942 УТРЕННЕЕ СООБЩЕНИЕ Совинформбюро:</w:t>
      </w:r>
    </w:p>
    <w:p w14:paraId="0EE85BC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4 марта наши войска продолжали вести активные боевые действия против немецко-фашистских войск.</w:t>
      </w:r>
    </w:p>
    <w:p w14:paraId="03152E6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Ленинградского фронта, продолжая теснить противника, разрушили до 50 вражеских укреплённых огневых точек, блиндажей, землянок и уничтожили 2 немецких танка и 12 автомашин. Среди захваченных трофеев — 3 станковых и 10 ручных пулемётов. На поле боя гитлеровцы оставили 650 трупов солдат и офицеров.</w:t>
      </w:r>
    </w:p>
    <w:p w14:paraId="5EA28BE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Взвод нашей пехоты под командованием младшего лейтенанта Роя окружил каменный дом, в котором находилось до 60 вражеских солдат и офицеров. После отказа немцев сдаться в плен тов. Рой бросил в здание несколько гранат. Из дома выскочили 20 гитлеровцев, и пыталась скрыться, но все они были уничтожены нашими бойцами. Внутри здания оказалось 40 убитых и раненых немцев.</w:t>
      </w:r>
    </w:p>
    <w:p w14:paraId="1CDDC5E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в последние дни отличились пулемётчики Энской латвийской части тт. Лацис и Бронис. Первый из них уничтожил 50, а второй — 32 немецких солдат и офицеров.</w:t>
      </w:r>
    </w:p>
    <w:p w14:paraId="02FE2D7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Активно помогала Красной Армии громить ненавистных немецко-фашистских оккупантов небольшая группа молодых партизан, действовавшая в ныне освобожденном от немцев Износковском районе, Смоленской области. Только за 5 недель боевых действий группа партизан под руководством тов. В. взорвала 2 немецких склада с оружием и боеприпасами, вырезала тысячи метров телефонного провода и совершила несколько налётов на немецкие обозы, во время которых уничтожено 9 автомашин и истреблено 23 немецких солдата.</w:t>
      </w:r>
    </w:p>
    <w:p w14:paraId="6C234CC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8 роты 55 полка 17 пехотной дивизии Эмиль Генгель рассказал: «В начале этого года я был зачислен в маршевый батальон и направлен на советско-германский фронт. Батальон формировался наспех. Набрали главным образом 35—40-летних рабочих с предприятий. Из винтовки они кое-как умели стрелять, но пулемёта никто не знал. У солдат маршевого батальона было чрезвычайно подавленное настроение. Никто никогда не думал, что он так скоро и неожиданно попадёт на фронт. Зимнего обмундирования никому не выдали. 13 февраля мы были введены в бой. Накануне нас предупредили, что всякого, кто не будет стрелять в русских, офицеры немедленно расстреляют. В бою, продолжавшемся несколько часов, наш батальон был разгромлен, а меня взяли в плен».</w:t>
      </w:r>
    </w:p>
    <w:p w14:paraId="214555A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5 егерского полка 1 румынской пехотной дивизии Вандер Штеффан рассказал: «Румынские солдаты не хотят отдавать свою жизнь за Гитлера и его шайку. Многие ждут удобного случая, чтобы сдаться в плен. Нас, 20 человек, послали патрулировать вдоль железной дороги. Приближаясь к своим постам, мы услышали стрельбу. Все догадались, что это наступают русские. Лейтенант Криконеску приказал принять боевой порядок, но никто не выполнил его приказания. Трёх солдат Криконеску застрели, а остальные спрятались в ближайших домах и стали ждать прихода русских. Вскоре подоспели красноармейцы. Я и 16 моих товарищей сложили оружие и подняли руки. Мы все очень рады, что очутились в советском плену».</w:t>
      </w:r>
    </w:p>
    <w:p w14:paraId="7BF291B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Население оккупированных немцами европейских стран, ограбленное гитлеровцами, испытывает неслыханные лишения. Во Франции население совершенно не получает хлеба, мяса и овощей. Смертность детей в Париже увеличилась за последнее время на 29 процентов. В Греции из-за недостатка продовольствия ежедневно умирает голодной смертью больше 1.000 человек. Тысячи людей умирают голодной смертью в Югославии, Голландии и Норвегии.</w:t>
      </w:r>
    </w:p>
    <w:p w14:paraId="23CE363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Бригады тт. Осьмушникова и Моторина, работающие в цехе режущего инструмента Горьковского автозавода имени Молотова, в ответ на приказ Народного Комиссара Обороны товарища Сталина обязались ежедневно выполнять не менее двух норм. Это обязательство они успешно выполняют. Тт. Солоцухин, Карпов, Земсков и другие выполняют за смену по 3—4 нормы (15058).</w:t>
      </w:r>
    </w:p>
    <w:p w14:paraId="39019532"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0CC57D2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МАРТА 1942 ВЕЧЕРНЕЕ СООБЩЕНИЕ Совинформбюро</w:t>
      </w:r>
    </w:p>
    <w:p w14:paraId="0F5E05ED"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4 марта наши войска вели упорные бои с противником и на некоторых участках фронта заняли несколько населённых пунктов.</w:t>
      </w:r>
    </w:p>
    <w:p w14:paraId="25160BA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марта сбито в воздушных боях 3 немецких самолёта, огнём зенитной артиллерии — 1 самолёт и уничтожено на аэродромах 14 самолётов противника. Всего за этот день уничтожено 18 немецких самолётов. Наши потери — 6 самолётов.</w:t>
      </w:r>
    </w:p>
    <w:p w14:paraId="59C99BC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марта частями нашей авиации уничтожено и повреждено 6 немецких, танков, 120 автомашин с войсками и грузами, около 50 повозок с боеприпасами, 67 орудий, 7 зенитно-пулемётных точек, взорвано 2 склада с боеприпасами, разрушено 7 железнодорожных вагонов, рассеяно и частью уничтожено до батальона пехоты противника.</w:t>
      </w:r>
    </w:p>
    <w:p w14:paraId="2669C4D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Западного фронта, в результате ожесточённых боёв прорвали укрепленный район противника и нанесли большой урон 17 немецкой пехотной дивизии. Разгромлены штабы двух полков этой дивизия. Захвачены пленные и много трофеев.</w:t>
      </w:r>
    </w:p>
    <w:p w14:paraId="42B016C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Артиллеристы подразделения, которым командует старший лейтенант Свиридов (Западный фронт), за последнюю неделю боёв уничтожили 25 немецких миномётов с их расчётами, 11 полевых орудий, 3 противотанковых орудия, 32 пулемёта, 12 автомашин с боеприпасами, 79 подвод с различным воинским грузом, рассеяли и частично уничтожили до 3 батальонов пехоты противника.</w:t>
      </w:r>
    </w:p>
    <w:p w14:paraId="7866F1D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Кавалерийская часть под командованием тов. Москаленко (Юго-Западный фронт) за последние дни уничтожила 940 румынских и немецких солдат и захватила много трофеев.</w:t>
      </w:r>
    </w:p>
    <w:p w14:paraId="2058904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 старший лейтенант тов. Беклишев, находясь в воздухе, заметил 4 немецких транспортных самолёта, направлявшихся в район, где находится окружённая советскими войсками 16 гитлеровская армия. Пристроившись к немецким машинам, лётчик достиг вражеского аэродрома и обрушил на него весь запас бомб. Зенитчики противника открыли огонь, но было уже поздно. На аэродроме было уничтожено 5 немецких самолётов.</w:t>
      </w:r>
    </w:p>
    <w:p w14:paraId="00A3150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Шакиров забросал гранатами здание, в котором находились немцы. 10 гитлеровцев были убиты, а 3 немецких солдата сдались в плен и доставлены тов. Шакировым в штаб нашей части.</w:t>
      </w:r>
    </w:p>
    <w:p w14:paraId="0B69D03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под командованием тов. Н., действующий в Курской области, захватил в тылу у врага один населённый пункт. Четыре раза пытались гитлеровцы выбить из села партизан, но каждый раз встречали сильный огневой отпор и отходили, оставляя большое количество убитых и раненых. На днях партизаны совершили нападение на немецкую воинскую часть. Советские патриоты, подпустив врага на близкое расстояние, отмыли пулемётный и ружейный огонь. Потеряв несколько десятков солдат, немцы разбежались.</w:t>
      </w:r>
    </w:p>
    <w:p w14:paraId="7564687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частями захвачен «десятидневный рапорт о медицинском состоянии» 3 батальона 480 немецкого пехотного полка, подписанный батальонным врачом Велюром. В рапорте сообщается, что за декаду батальонный медпункт принял 105 раневых и больных. В заключение Келлер пишет: «Состояние здоровья людей батальона плохое. Сказывается длительное пребывание в боях и отсутствие зимнего обмундирования. Большинство офицеров и рядовых нуждается в госпитальном лечении. Велико число обмороженных. Очень много заболеваний среди раненых».</w:t>
      </w:r>
    </w:p>
    <w:p w14:paraId="2808E7A7"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8 роты 2 мотострелкового полка 2 немецкой танковой дивизии Эрвин Шаль заявил: «Утром 22 февраля в блиндаже, в котором мы спали, взорвалась ручная граната. Мы выскочили наружу и увидели красноармейцев. Я, обер-ефрейтор и унтер-офицер подняли руки и сдались в плен. Остальные пытались удрать, но были убиты. За время отступления в нашей роте из 200 солдат осталось 40. Среди убитых 2 командира взводов: Фельдзенштарн и Колаус».</w:t>
      </w:r>
    </w:p>
    <w:p w14:paraId="78ABACEF"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химическом заводе вблизи Дюссельдорфа (Германия) произошёл пожар и взрыв в цехе, где работало несколько сот иностранных рабочих. Из-под обломков до сих пор извлечено 192 трупа. После взрыва рабочие соседнего химического завода забастовали и, несмотря на угрозы властей, отказались приступить к работе, требуя отправки на родину, Гитлеровцы расстреляли до 40 итальянцев, считая их зачинщиками забастовки (15058).</w:t>
      </w:r>
    </w:p>
    <w:p w14:paraId="6D1640A9"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09BB8CB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B11B2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EF36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вышло Постановление ГКО № 1384 О возврате из г.Куйбышева в г.Москву эвакуированного оборудования и кадров 1-й Образцовой типографии. РГАНИР, Фонд ГКО, д. 23, лл. 59 (11012).</w:t>
      </w:r>
    </w:p>
    <w:p w14:paraId="241B3C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F07A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9D675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A8302"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самолеты с авианосца ВМС США USS Enterprise (CV-6) совершают налет на японские базы на острове Маркус (20793).</w:t>
      </w:r>
    </w:p>
    <w:p w14:paraId="2490DC10" w14:textId="77777777" w:rsidR="00C71322" w:rsidRPr="008127F8" w:rsidRDefault="00C71322" w:rsidP="001E0A84">
      <w:pPr>
        <w:spacing w:after="0" w:line="240" w:lineRule="auto"/>
        <w:jc w:val="both"/>
        <w:rPr>
          <w:rFonts w:ascii="Times New Roman" w:hAnsi="Times New Roman"/>
          <w:color w:val="000000" w:themeColor="text1"/>
          <w:sz w:val="16"/>
          <w:szCs w:val="16"/>
        </w:rPr>
      </w:pPr>
    </w:p>
    <w:p w14:paraId="645720DC" w14:textId="77777777" w:rsidR="00C71322" w:rsidRPr="008127F8" w:rsidRDefault="00C71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 марта (ночь) 1942 две летающие лодки Императорского флота Японии Kawanishi H8K (союзники называли «Эмили») вылетают из Вотье, дозаправляются с подводной лодки на Французском Фрегат-Шолсе и летят, чтобы бомбить Оаху на Гавайских островах, благополучно возвращаясь. Миссия не удалась из-за сильной облачности в районе Гонолулу. Это первый боевой вылет H8K (20793).</w:t>
      </w:r>
    </w:p>
    <w:p w14:paraId="7D9489F6" w14:textId="77777777" w:rsidR="00C71322" w:rsidRPr="008127F8" w:rsidRDefault="00C71322" w:rsidP="001E0A84">
      <w:pPr>
        <w:spacing w:after="0" w:line="240" w:lineRule="auto"/>
        <w:jc w:val="both"/>
        <w:rPr>
          <w:rFonts w:ascii="Times New Roman" w:hAnsi="Times New Roman"/>
          <w:color w:val="000000" w:themeColor="text1"/>
          <w:sz w:val="16"/>
          <w:szCs w:val="16"/>
        </w:rPr>
      </w:pPr>
    </w:p>
    <w:p w14:paraId="235E012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марта 1942 из-за взрыва динамита на военном заводе в Барлингтоне (Айова, США) погиб 21 рабочий (4962).</w:t>
      </w:r>
    </w:p>
    <w:p w14:paraId="68601A2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D7245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D9A6B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BC7BD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5 по 15 фев</w:t>
      </w:r>
      <w:r w:rsidRPr="008A2E5A">
        <w:rPr>
          <w:rFonts w:ascii="Times New Roman" w:hAnsi="Times New Roman"/>
          <w:color w:val="0070C0"/>
          <w:sz w:val="16"/>
          <w:szCs w:val="16"/>
        </w:rPr>
        <w:softHyphen/>
        <w:t>раля 1942 г. на Центральном аэродроме испытали Харрикейн, поставленный на заводе № 81 на лыжи. Летал В.А. Степанчонок из НИИ ВВС, а также пилоты из 10-го гв. иап и 736-го иап. Но подобная переделка других истребите</w:t>
      </w:r>
      <w:r w:rsidRPr="008A2E5A">
        <w:rPr>
          <w:rFonts w:ascii="Times New Roman" w:hAnsi="Times New Roman"/>
          <w:color w:val="0070C0"/>
          <w:sz w:val="16"/>
          <w:szCs w:val="16"/>
        </w:rPr>
        <w:softHyphen/>
        <w:t>лей не производилась, в зимних условиях «Харрикейны» продолжали летать на ко</w:t>
      </w:r>
      <w:r w:rsidRPr="008A2E5A">
        <w:rPr>
          <w:rFonts w:ascii="Times New Roman" w:hAnsi="Times New Roman"/>
          <w:color w:val="0070C0"/>
          <w:sz w:val="16"/>
          <w:szCs w:val="16"/>
        </w:rPr>
        <w:softHyphen/>
        <w:t>лесах по утрамбованному снегу (23513).</w:t>
      </w:r>
    </w:p>
    <w:p w14:paraId="7EE80C65" w14:textId="77777777" w:rsidR="006E2015" w:rsidRPr="008A2E5A" w:rsidRDefault="006E2015" w:rsidP="006E2015">
      <w:pPr>
        <w:spacing w:after="0" w:line="240" w:lineRule="auto"/>
        <w:jc w:val="both"/>
        <w:rPr>
          <w:rFonts w:ascii="Times New Roman" w:hAnsi="Times New Roman"/>
          <w:color w:val="0070C0"/>
          <w:sz w:val="16"/>
          <w:szCs w:val="16"/>
        </w:rPr>
      </w:pPr>
    </w:p>
    <w:p w14:paraId="2730735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5 марта 1942 оба самолета </w:t>
      </w:r>
      <w:r>
        <w:rPr>
          <w:rFonts w:ascii="Times New Roman" w:hAnsi="Times New Roman"/>
          <w:color w:val="0070C0"/>
          <w:sz w:val="16"/>
          <w:szCs w:val="16"/>
        </w:rPr>
        <w:t>В</w:t>
      </w:r>
      <w:r w:rsidRPr="008A2E5A">
        <w:rPr>
          <w:rFonts w:ascii="Times New Roman" w:hAnsi="Times New Roman"/>
          <w:color w:val="0070C0"/>
          <w:sz w:val="16"/>
          <w:szCs w:val="16"/>
        </w:rPr>
        <w:t>-25В перелетели под Москву.</w:t>
      </w:r>
    </w:p>
    <w:p w14:paraId="08C63CDC"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два В-25В прибыли в Архангельск на палубах американских судов. Их сборкой с 15 января 1942 г. занималась группа капитана Г.А. Осипова. Транспорты вмер</w:t>
      </w:r>
      <w:r w:rsidRPr="008A2E5A">
        <w:rPr>
          <w:rFonts w:ascii="Times New Roman" w:hAnsi="Times New Roman"/>
          <w:color w:val="0070C0"/>
          <w:sz w:val="16"/>
          <w:szCs w:val="16"/>
        </w:rPr>
        <w:softHyphen/>
        <w:t>зли в лед в 30-40 км от берега. Самолеты со снятыми крыльями перенесли краном на тракторные сани и повезли в Кегостров. По дороге один трактор провалился и утонул, но сопровождавшие груз два техника успе</w:t>
      </w:r>
      <w:r w:rsidRPr="008A2E5A">
        <w:rPr>
          <w:rFonts w:ascii="Times New Roman" w:hAnsi="Times New Roman"/>
          <w:color w:val="0070C0"/>
          <w:sz w:val="16"/>
          <w:szCs w:val="16"/>
        </w:rPr>
        <w:softHyphen/>
        <w:t>ли перерубить тросы, и сани не последова</w:t>
      </w:r>
      <w:r w:rsidRPr="008A2E5A">
        <w:rPr>
          <w:rFonts w:ascii="Times New Roman" w:hAnsi="Times New Roman"/>
          <w:color w:val="0070C0"/>
          <w:sz w:val="16"/>
          <w:szCs w:val="16"/>
        </w:rPr>
        <w:softHyphen/>
        <w:t>ли за ним. С 19 января в Кегострове бом</w:t>
      </w:r>
      <w:r w:rsidRPr="008A2E5A">
        <w:rPr>
          <w:rFonts w:ascii="Times New Roman" w:hAnsi="Times New Roman"/>
          <w:color w:val="0070C0"/>
          <w:sz w:val="16"/>
          <w:szCs w:val="16"/>
        </w:rPr>
        <w:softHyphen/>
        <w:t>бардировщики стали собирать самолет. В кабинах нашли инструкции по эксплу</w:t>
      </w:r>
      <w:r w:rsidRPr="008A2E5A">
        <w:rPr>
          <w:rFonts w:ascii="Times New Roman" w:hAnsi="Times New Roman"/>
          <w:color w:val="0070C0"/>
          <w:sz w:val="16"/>
          <w:szCs w:val="16"/>
        </w:rPr>
        <w:softHyphen/>
        <w:t>атации и пилотированию, но на англий</w:t>
      </w:r>
      <w:r w:rsidRPr="008A2E5A">
        <w:rPr>
          <w:rFonts w:ascii="Times New Roman" w:hAnsi="Times New Roman"/>
          <w:color w:val="0070C0"/>
          <w:sz w:val="16"/>
          <w:szCs w:val="16"/>
        </w:rPr>
        <w:softHyphen/>
        <w:t>ском языке. На помощь 21 января присла</w:t>
      </w:r>
      <w:r w:rsidRPr="008A2E5A">
        <w:rPr>
          <w:rFonts w:ascii="Times New Roman" w:hAnsi="Times New Roman"/>
          <w:color w:val="0070C0"/>
          <w:sz w:val="16"/>
          <w:szCs w:val="16"/>
        </w:rPr>
        <w:softHyphen/>
        <w:t>ли переводчика, а затем четырех техников, побывавших с И.О. Громовым в Америке. Сборку В-25В завершили к концу февра</w:t>
      </w:r>
      <w:r w:rsidRPr="008A2E5A">
        <w:rPr>
          <w:rFonts w:ascii="Times New Roman" w:hAnsi="Times New Roman"/>
          <w:color w:val="0070C0"/>
          <w:sz w:val="16"/>
          <w:szCs w:val="16"/>
        </w:rPr>
        <w:softHyphen/>
        <w:t>ля. Первую машину И.О. Осипов облетал совместно с майором Н.К. Романовым. Далее И.О. Осипова и его людей отозвали, а работу завершила группа специалистов, прибывшая с Романовым.</w:t>
      </w:r>
    </w:p>
    <w:p w14:paraId="38196C62"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 один из пяти первых В-25В не был использован как боевая машина. Один передали в НИИ ВВС, где его испытывали в апреле 1942 г Все остальные В-25В служили для учеб</w:t>
      </w:r>
      <w:r w:rsidRPr="008A2E5A">
        <w:rPr>
          <w:rFonts w:ascii="Times New Roman" w:hAnsi="Times New Roman"/>
          <w:color w:val="0070C0"/>
          <w:sz w:val="16"/>
          <w:szCs w:val="16"/>
        </w:rPr>
        <w:softHyphen/>
        <w:t>ных целей. Один самолет попал в 11-й зап в Кировабаде, три — в 6-ю заб в Иванове. Один бомбардировщик из этой пятерки впоследствии вновь посетил США: он стал персональным самолетом И.П. Мазурука и в сентябре 1942 г. прибыл в Фэрбенкс во главе группы пассажирских ПС-84, доста</w:t>
      </w:r>
      <w:r w:rsidRPr="008A2E5A">
        <w:rPr>
          <w:rFonts w:ascii="Times New Roman" w:hAnsi="Times New Roman"/>
          <w:color w:val="0070C0"/>
          <w:sz w:val="16"/>
          <w:szCs w:val="16"/>
        </w:rPr>
        <w:softHyphen/>
        <w:t>вивших туда советских летчиков-перегон</w:t>
      </w:r>
      <w:r w:rsidRPr="008A2E5A">
        <w:rPr>
          <w:rFonts w:ascii="Times New Roman" w:hAnsi="Times New Roman"/>
          <w:color w:val="0070C0"/>
          <w:sz w:val="16"/>
          <w:szCs w:val="16"/>
        </w:rPr>
        <w:softHyphen/>
        <w:t>щиков (23513).</w:t>
      </w:r>
    </w:p>
    <w:p w14:paraId="425FC8BD" w14:textId="77777777" w:rsidR="006E2015" w:rsidRPr="008A2E5A" w:rsidRDefault="006E2015" w:rsidP="006E2015">
      <w:pPr>
        <w:spacing w:after="0" w:line="240" w:lineRule="auto"/>
        <w:jc w:val="both"/>
        <w:rPr>
          <w:rFonts w:ascii="Times New Roman" w:hAnsi="Times New Roman"/>
          <w:color w:val="0070C0"/>
          <w:sz w:val="16"/>
          <w:szCs w:val="16"/>
        </w:rPr>
      </w:pPr>
    </w:p>
    <w:p w14:paraId="0820F981" w14:textId="77777777" w:rsidR="00B35EC1" w:rsidRPr="008127F8" w:rsidRDefault="00B35E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 марта 1942 автожир А-7 №1 встал на модернизацию, которая первоначально включала 13 пунктов. Помимо устранения недостатков, отмеченных во время применения на фронте, машины получили усиленное вооружение. Под крылом появились направляющие под четыре РС-82, а также два бомбодержателя под осветительные бомбы САБ-25. Оговаривалось, что при установке РС-82 пулемёт демонтировался. Позже количество РС-82 выросло до шести штук (18227).</w:t>
      </w:r>
    </w:p>
    <w:p w14:paraId="74108BCC" w14:textId="77777777" w:rsidR="00B35EC1" w:rsidRPr="008127F8" w:rsidRDefault="00B35EC1" w:rsidP="001E0A84">
      <w:pPr>
        <w:spacing w:after="0" w:line="240" w:lineRule="auto"/>
        <w:jc w:val="both"/>
        <w:rPr>
          <w:rFonts w:ascii="Times New Roman" w:hAnsi="Times New Roman"/>
          <w:color w:val="000000" w:themeColor="text1"/>
          <w:sz w:val="16"/>
          <w:szCs w:val="16"/>
        </w:rPr>
      </w:pPr>
    </w:p>
    <w:p w14:paraId="39D00B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 возвратившись в Челябинск, Люлька и его сподвижник Вольпер обратились к Шахурину с еще одним письмом. Однако никакой реакции не последовало. (9016).</w:t>
      </w:r>
    </w:p>
    <w:p w14:paraId="7D4F06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BFD4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 возвратившись из Билибая в Челябинск, Люль</w:t>
      </w:r>
      <w:r w:rsidRPr="008127F8">
        <w:rPr>
          <w:rFonts w:ascii="Times New Roman" w:hAnsi="Times New Roman"/>
          <w:color w:val="000000" w:themeColor="text1"/>
          <w:sz w:val="16"/>
          <w:szCs w:val="16"/>
        </w:rPr>
        <w:softHyphen/>
        <w:t>ка и его сподвижник Вольпер обратились к Шахурину с еще одним письмом. Однако никакой реак</w:t>
      </w:r>
      <w:r w:rsidRPr="008127F8">
        <w:rPr>
          <w:rFonts w:ascii="Times New Roman" w:hAnsi="Times New Roman"/>
          <w:color w:val="000000" w:themeColor="text1"/>
          <w:sz w:val="16"/>
          <w:szCs w:val="16"/>
        </w:rPr>
        <w:softHyphen/>
        <w:t>ции не последовало. Прождав более двух месяцев, 18 мая Люлька и Вольпер направили следую</w:t>
      </w:r>
      <w:r w:rsidRPr="008127F8">
        <w:rPr>
          <w:rFonts w:ascii="Times New Roman" w:hAnsi="Times New Roman"/>
          <w:color w:val="000000" w:themeColor="text1"/>
          <w:sz w:val="16"/>
          <w:szCs w:val="16"/>
        </w:rPr>
        <w:softHyphen/>
        <w:t>щее обращение, на этот раз в адрес Председателя ГКО СССР И.В.Сталина (11158).</w:t>
      </w:r>
    </w:p>
    <w:p w14:paraId="70216B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863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года Багирова писал телеграмму секретарю ЦК КП (б) Маленкову: “Правительство Азербайджана возбудило перед союзным правительством вопрос о передаче заводу N 458 235 металлорежущих станков, электрокабельную продукцию и электрообрудование, находящиеся на эвакобазах Баку. Многие из этих станков отремонтированы, приведены в порядок и работают на нашем заводе. Часть эвакуированных предприятий уже выехала из Баку на место назначения. А другие отгружаются и требуют возврата станков. Но не имея решения союзного правительства о закреплении этого оборудования за заводом N458, мы будем вынужденны возвратить эти станки. Если в ближайшее дни постановление правительства не будет, оборудование будет изъято и отправлено вместе с заводом. Прошу немедленно решить этот вопрос” (10684).</w:t>
      </w:r>
    </w:p>
    <w:p w14:paraId="074B7E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E4FC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55681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E2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вышло Постановление ГКО № 1390 О т.т.Зуеве И.В. и Михайлове А.И. (назначение). РГАНИР, Фонд ГКО, д. 23, лл. 75 (11012).</w:t>
      </w:r>
    </w:p>
    <w:p w14:paraId="648957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B9A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 вышло Постановление ГКО № 1391 «О восстановлении производства вискозных порохов на заводе № 507 («Клинволокно») Наркомтекстиля» (Д. 40. Л. 110–114, 116–117.)</w:t>
      </w:r>
    </w:p>
    <w:p w14:paraId="0086CF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8CD3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E45ED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A9E5F8"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5 марта</w:t>
      </w:r>
      <w:r w:rsidRPr="008127F8">
        <w:rPr>
          <w:rFonts w:ascii="Times New Roman" w:hAnsi="Times New Roman"/>
          <w:color w:val="000000" w:themeColor="text1"/>
          <w:sz w:val="16"/>
          <w:szCs w:val="16"/>
        </w:rPr>
        <w:t xml:space="preserve"> в 1942 году утреннее сообщение Совинформбюро:</w:t>
      </w:r>
    </w:p>
    <w:p w14:paraId="0FE81B2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5 марта наши войска продолжали вести активные боевые действия против немецко-фашистских войск.</w:t>
      </w:r>
    </w:p>
    <w:p w14:paraId="5666B2F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 командованием тов. Полова (Северо-Западный фронт) успешно отбили атаку противника, а затем, преследуя отходящих немцев, захватили у них несколько орудий и открыли из них огонь по врагу. Развивая успех, наши бойцы заняли 3 населённых пункта, захватили ещё 10 немецких орудий, несколько пулемётов и много боеприпасов. На поле боя осталось свыше ста вражеских трупов.</w:t>
      </w:r>
    </w:p>
    <w:p w14:paraId="3CED452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в районе окружённой советскими войсками 16 немецкой армии приземлились два фашистских транспортных самолёта «Ю-52». Об этом было сообщено на командный пункт нашего артиллерийского подразделения. Артиллеристы открыли огонь по аэродрому и с первых же выстрелов уничтожили немецкие самолёты.</w:t>
      </w:r>
    </w:p>
    <w:p w14:paraId="7582368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тов. Иовлева (Западный фронт) за один день подавили немецкую миномётную батарею, уничтожили орудие, 2 пулемёта и рассеяли до роты пехоты противника.</w:t>
      </w:r>
    </w:p>
    <w:p w14:paraId="1F7247E3"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группа советских разведчиков во главе с сержантом Беляевым забросала гранатами землянки, в которых укрывались гитлеровцы. Разведчики уничтожили 25 немецких солдат и офицеров. Захватив пленного, пулемет и несколько винтовок, группа разведчиков без потерь вернулась в свою часть.</w:t>
      </w:r>
    </w:p>
    <w:p w14:paraId="7E3C9286"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Подведены итоги боевой деятельности отряда белорусских партизан под командованием тов. Ч. Бойцы отряда вывели из строя более 700 гитлеровских солдат, офицеров и полицейских, разбили и сожгли 19 автомашин с грузом, 2 бронемашины, 30 мотоциклов. Партизаны 14 раз разбирали железнодорожное полотно, взорвали и сожгли 9 мостов. В одном из боёв советские патриоты захватили у противника радиостанцию и использовали её для нужд отряда.</w:t>
      </w:r>
    </w:p>
    <w:p w14:paraId="74CE0E5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9 роты 164 полка 62 немецкой пехотной дивизии Георг Дранке рассказал: «Огромные потери немецких войск приводят солдат в ужас. В нашем 3 батальоне, насчитывавшем около 1.000 человек, сейчас едва ли наберётся две сотни солдат. В 12 роте осталось всего-навсего 18 человек. В последних боях были разгромлены и уничтожены остатки нашего полка».</w:t>
      </w:r>
    </w:p>
    <w:p w14:paraId="2008528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вражеском окопе найдено письмо немецкого солдата Ганса. В нём он писал своим родным: «Я нахожусь в районе, где сейчас идут большие бои. Все мои товарищи погибли. Среди них Конрад Пфау и Шамбергер. Я ношу валенки, снятые с ног одной русской, которую я расстрелял недавно. Завтра мы ожидаем атаки русских на наши позиции. Мы определенно погибнем. Нам некуда отступать: всюду русские».</w:t>
      </w:r>
    </w:p>
    <w:p w14:paraId="7A51FC4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разграбили и сожгли деревню Костино, Смоленской области. Из 118 домов в деревне осталось только 8. Немецко-фашистские изверги расстреляли колхозника Пасенкова Ф.А., загнали в дом и заживо сожгли Победина А.М., его жену — учительницу Веру Петровну, её мать—учительницу Елену Ивановну, детей — Люсю, Надю и Мишу.</w:t>
      </w:r>
    </w:p>
    <w:p w14:paraId="3648DCDB"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больницы Дортмунда (Германия) переполнены больными сыпным тифом. Ежедневно от сыпняка умирают десятки людей. В городе закрыты театры, кино, школы. На въезд в Дортмунд требуется особое разрешение германских властей.</w:t>
      </w:r>
    </w:p>
    <w:p w14:paraId="244D911B"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Токарь судоремонтного завода в Комсомольске-на-Амуре тов. Бундов, изготовляя срочный заказ, выработал 6 норм в смену.» (15059).</w:t>
      </w:r>
    </w:p>
    <w:p w14:paraId="4EC48097"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6385FB24"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марта</w:t>
      </w:r>
      <w:r w:rsidRPr="008127F8">
        <w:rPr>
          <w:rFonts w:ascii="Times New Roman" w:hAnsi="Times New Roman"/>
          <w:color w:val="000000" w:themeColor="text1"/>
          <w:sz w:val="16"/>
          <w:szCs w:val="16"/>
        </w:rPr>
        <w:t xml:space="preserve"> в 1942 году вечернее сообщение Совинформбюро:</w:t>
      </w:r>
    </w:p>
    <w:p w14:paraId="26008F9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5 марта наши войска вели наступательные бои против немецко-фашистских войск. Противник на отдельных участках фронта пытался контратаками приостановить продвижение наших частей, но, потерпев большой урон в людях и технике, отошёл на запад. Наши войска заняли несколько населённых пунктов и в числе их г. Юхнов (Смоленская область).</w:t>
      </w:r>
    </w:p>
    <w:p w14:paraId="7E9047F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4 марта сбито в воздушных боях и уничтожено па аэродромах 43 немецких самолёта. Наши потери — 13 самолётов.</w:t>
      </w:r>
    </w:p>
    <w:p w14:paraId="0026124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марта под Москвой сбито 4 немецких самолёта.</w:t>
      </w:r>
    </w:p>
    <w:p w14:paraId="4F98A46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4 марта частями нашей авиации уничтожено и повреждено свыше 350 немецких автомашин с войсками и грузами, около 130 повозок с боеприпасами, 2 автоцистерны с горючим, 37 орудий, 9 зенитно-пулемётных точек, 20 миномётов, рассеяно и частью уничтожено до 2 батальонов пехоты противника.</w:t>
      </w:r>
    </w:p>
    <w:p w14:paraId="2DE714F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(Западный фронт) в боях за деревню Г., превращенную противником в опорный пункт сопротивления, разгромила 55 немецкий пехотный полк и 1 батальон 21 немецкого пехотного полка. Участвовавшие в этой операции танкисты части, которой командует тов. Дружинин, захватили вражеский танк, 3 орудия, 10 станковых пулемётов и склад с боеприпасами. Поле боя усеяно трупами вражеских солдат и офицеров.</w:t>
      </w:r>
    </w:p>
    <w:p w14:paraId="151C86B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воздушно-десантная часть, действующая на Западном фронте, за последние дни боёв захватила 4 немецких орудия, 32 пулемёта, 300 винтовок, 25.000 патронов, вагон с боеприпасами, 10 вагонов авиабомб, 1 вагон велосипедов, 40 автомашин и 100 лошадей. Противник потерял убитыми свыше 800 солдат и офицеров.</w:t>
      </w:r>
    </w:p>
    <w:p w14:paraId="02694120"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противник, не выдержав удара наших частей, оставил населённый пункт Н. и стал отходить в направлении П. Ночью в районе этого пункта развернулись сильные бои. Сломив сопротивление немцев, наши части, развивая наступление, заняли ещё три населённых пункта и уничтожили 6 немецких танков и 5 орудий. Среди захваченных трофеев 5 пулеметов, минометы, 4 противотанковых ружья и документы двух штабов батальонов. Над полем боя наземными частями сбиты 3 вражеских самолёта. Противник потерял убитыми 650 солдат и офицеров.</w:t>
      </w:r>
    </w:p>
    <w:p w14:paraId="1AF41AE8"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Н., действующий в одном из районов Ленинградской области, оккупированных немцами, нанёс большой урон противнику. Партизаны уничтожили 136 немецких солдат и офицеров, расстреляли нескольких шпионов, взорвали 3 склада с боеприпасами, 16 железнодорожных и шоссейных мостов, пустили под откос 5 поездов с грузами и войсками противника, в 12 местах нарушили телефонную связь и вырезали до 2.400 метров телефонного кабеля. Отряд уничтожил 2 грузовые и 2 легковые автомашины, 8 повозок, 11 мотоциклов, 6 велосипедов, транспорт с лыжами и другим грузом. В боях с немцами партизаны захватили 2 орудия и 300 снарядов, 6 пулемётов, 64 винтовки, 4 автомата и много мин.</w:t>
      </w:r>
    </w:p>
    <w:p w14:paraId="21B8E531"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обер-ефрейтора Вальтера Эйкерта найдено письмо к сестре Марте Зигер. Эйкерт пишет: «Русские доставляют нам много хлопот. Их самолёты действуют у нас в тылу, партизаны нападают на наши обозы, закладывают мины на дорогах. Мы никогда не могли себе представить, что у нас будет так много убитых и что наша рота уменьшится до такой степени. Русские всё время нападают на нас. Ночь — их излюбленное время для атак. Они подкрадываются к нашим позициям, налетают на деревни и врываются с гранатами в дома. Мы были вынуждены оставить много деревень, так как не могли устоять против многочисленных атак русских. Мы слишком слабы».</w:t>
      </w:r>
    </w:p>
    <w:p w14:paraId="4D3D480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4 роты 92 мотополка 60 немецкой мотодивизии Иозеф Шрайбер рассказал: «17 февраля я с обозом прибыл на командный пункт батальона. Здесь же находилась и 4 пулемётная рота. На другой день к нам прорвались русские танки и пехотинцы. Пулемётная рота, насчитывавшая около 100 солдат, почти полностью уничтожена. В бою были убиты командир батальона капитан Шенберг, батальонный врач, фельдфебель Нодель и другие. Из 9 офицеров в батальоне осталось 5».</w:t>
      </w:r>
    </w:p>
    <w:p w14:paraId="43018D2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Варваровка, Ямского района, Сталинской области, немцы подожгли и взорвали минами 38 домов из 49. Под угрозой оружия гитлеровцы заставляли мирных жителей тащить на себе пушки к огневым позициям, подносить снаряды, рыть окопы. Уходя из села, немецко-фашистские мерзавцы силою угнали с собой 283 человека мирного населения.</w:t>
      </w:r>
    </w:p>
    <w:p w14:paraId="2D913C75"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Котельщики Мичуринского паровозоремонтного завода тт. Свешников А., Розов В. и Сахновский И. в ответ на приказ Народного Комиссара Обороны товарища Сталина добились нового производственного успеха. Выполняя заказ для фронта, котельщики выполнили план на 1.109 процентов.».</w:t>
      </w:r>
    </w:p>
    <w:p w14:paraId="37C910D2"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37972A9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Западного фронта за период с 6 февраля по 5 марта 1942 года.</w:t>
      </w:r>
    </w:p>
    <w:p w14:paraId="3D49EF0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6 февраля по 5 марта войсками Западного фронта захвачены у противника следующие трофеи: танков — 43, орудий — 285, миномётов — 83, пулемётов — 491, автоматов — 236, винтовок — 3.804, самолётов — 28, планёров — 4 автомашин — 794, мотоциклов и велосипедов—189 и 1 вагон с велосипедами, тракторов и тягачей—13, повозок и саней — 653, лошадей — 1.012, раций — 6, сёдел — 153, проволоки — 50 тонн, бензобочек — 13.361, бронеплощадок — 2, снарядов артиллерийских — 10.400, кроме того, 249 ящиков со снарядами, 2 склада со снарядами (ещё не подсчитаны) и 160 вагонов со снарядами, мин — 4.166 и 113 ящиков с минами, гранат — 2.915 и 14 ящиков с гранатами, патронов — 991.000 и 35 ящиков с патронами, авиабомб — 10 вагонов и неподсчитанный склад с авиабомбами, гильз снарядных — 7.090, паровозов — 16, вагонов — 599.</w:t>
      </w:r>
    </w:p>
    <w:p w14:paraId="5864736E"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немцы потеряли в районе Западного фронта убитыми не менее 40 тысяч солдат и офицеров.</w:t>
      </w:r>
    </w:p>
    <w:p w14:paraId="20AD1529"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Освобождено от противника войсками Западного фронта 263 населённых пункта, в том числе города Сухиничи, Юхнов, Дорогобуж.» (15059).</w:t>
      </w:r>
    </w:p>
    <w:p w14:paraId="2B118356"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59E851FB"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марта</w:t>
      </w:r>
      <w:r w:rsidRPr="008127F8">
        <w:rPr>
          <w:rFonts w:ascii="Times New Roman" w:hAnsi="Times New Roman"/>
          <w:color w:val="000000" w:themeColor="text1"/>
          <w:sz w:val="16"/>
          <w:szCs w:val="16"/>
        </w:rPr>
        <w:t xml:space="preserve"> в 1942 году создана авиация дальнего действия (АДД). Полки и дивизии дальнебомбардировочной авиации (ДБА) выведены из подчинения ВВС, объединены в авиацию дальнего действия (АДД – в дальнейшем Дальняя авиация) с подчинением непосредственно Ставке Верховного </w:t>
      </w:r>
      <w:proofErr w:type="gramStart"/>
      <w:r w:rsidRPr="008127F8">
        <w:rPr>
          <w:rFonts w:ascii="Times New Roman" w:hAnsi="Times New Roman"/>
          <w:color w:val="000000" w:themeColor="text1"/>
          <w:sz w:val="16"/>
          <w:szCs w:val="16"/>
        </w:rPr>
        <w:t>Главнокомандования ;</w:t>
      </w:r>
      <w:proofErr w:type="gramEnd"/>
    </w:p>
    <w:p w14:paraId="409DFEEC"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постановлением ГКО СССР № 1392 от 5 марта при Ставке Верховного Главнокомандования была создана авиация дальнего действия, которую возглавил генерал-майор А.Е.Голованов.</w:t>
      </w:r>
    </w:p>
    <w:p w14:paraId="08497D6D"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с целью выполнения задач стратегического значения: нанесения бомбовых ударов по административно-политическим и военным объектам глубокого тыла противника, нарушения транспортного сообщения противника, уничтожение складов в ближнем тылу, бомбардировка противника на линии фронта для обеспечения стратегических операций. Кроме того, АДД (в том числе и входящий в её состав Гражданский воздушный флот (ГВФ)) широко использовалась для обеспечения партизанского движения как на оккупированной территории СССР, так и в Югославии. Всё время своего существования авиация дальнего действия была резервом Верховного главнокомандующего (ВГК). Командующий АДД получал распоряжения только от Верховного главнокомандующего И.В.Сталина. Было создано пять дальних и бомбардировочных корпусов, имевших на вооружении в разное время почти до 3 000 воздушных кораблей, из которых боевых — около 1 800</w:t>
      </w:r>
    </w:p>
    <w:p w14:paraId="065D8256"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4C5DD8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вышло Постановление ГКО № 1392 Об авиации дальнего действия при Ставке Верховного Главнокомандования. РГАНИР, Фонд ГКО, д. 23, лл. 80-81, 82 (11012).</w:t>
      </w:r>
    </w:p>
    <w:p w14:paraId="4747E7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84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 вышло ПОСТАНОВЛЕНИЕ № ГОКО-1392сс</w:t>
      </w:r>
    </w:p>
    <w:p w14:paraId="1DBAA4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1C3D3B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авиации дальнего действия при Ставке Верховного Главнокомандования</w:t>
      </w:r>
    </w:p>
    <w:p w14:paraId="74187D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Усилить и расширить авиацию дальнего действия при Ставке Верховного Главнокомандования. </w:t>
      </w:r>
    </w:p>
    <w:p w14:paraId="6A97FA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На усиление и расширение авиации дальнего действия обратить: </w:t>
      </w:r>
    </w:p>
    <w:p w14:paraId="636954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3 авиадивизию дальнего действия; </w:t>
      </w:r>
    </w:p>
    <w:p w14:paraId="5ADE82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w:t>
      </w:r>
      <w:proofErr w:type="gramStart"/>
      <w:r w:rsidRPr="008127F8">
        <w:rPr>
          <w:rFonts w:ascii="Times New Roman" w:hAnsi="Times New Roman"/>
          <w:color w:val="000000" w:themeColor="text1"/>
          <w:sz w:val="16"/>
          <w:szCs w:val="16"/>
        </w:rPr>
        <w:t>дальне-бомбардировочную</w:t>
      </w:r>
      <w:proofErr w:type="gramEnd"/>
      <w:r w:rsidRPr="008127F8">
        <w:rPr>
          <w:rFonts w:ascii="Times New Roman" w:hAnsi="Times New Roman"/>
          <w:color w:val="000000" w:themeColor="text1"/>
          <w:sz w:val="16"/>
          <w:szCs w:val="16"/>
        </w:rPr>
        <w:t xml:space="preserve"> и тяжело-бомбардировочную авиацию ВВС КА; </w:t>
      </w:r>
    </w:p>
    <w:p w14:paraId="2553F9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 высшую школу штурманов ВВС КА. </w:t>
      </w:r>
    </w:p>
    <w:p w14:paraId="21A507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Сформировать в авиации дальнего действия пять авиадивизий ДБ-3ф по 2 полка 30-ти самолетного состава в каждой по штатам, утвержденным для 3 авиадивизии дальнего действия, 2 авиадивизии ТБ-3, одну авиадивизию ПС-84 и одну запасную авиабригаду. </w:t>
      </w:r>
    </w:p>
    <w:p w14:paraId="531006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Полк самолетов ТБ-7 и полк самолетов ЕР-2 сохранить в утвержденных штатах, подчинив их непосредственно командующему авиацией дальнего действия. </w:t>
      </w:r>
    </w:p>
    <w:p w14:paraId="28CEE5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Создать в составе авиации дальнего действия управление транспортной авиации из самолетов ТБ-3 и ПС-84. </w:t>
      </w:r>
    </w:p>
    <w:p w14:paraId="2452F9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Утвердить прилагаемую схему организации управления авиацией дальнего действия. </w:t>
      </w:r>
    </w:p>
    <w:p w14:paraId="1E3148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Авиацию дальнего действия, за исключением запасной авиабригады и школы штурманов, считать в составе действующей армии. </w:t>
      </w:r>
    </w:p>
    <w:p w14:paraId="63BBC7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Обязать Командующего авиацией дальнего действия в трехдневный срок разработать штаты формируемых частей. </w:t>
      </w:r>
    </w:p>
    <w:p w14:paraId="35F31E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Назначить: </w:t>
      </w:r>
    </w:p>
    <w:p w14:paraId="4AD8AC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штаба авиации дальнего действия - полковника т. ШЕВЕЛЕВА</w:t>
      </w:r>
    </w:p>
    <w:p w14:paraId="7565B2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Заместителем командующего авиации </w:t>
      </w:r>
    </w:p>
    <w:p w14:paraId="59858A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дальнего действия по тылу - полковника т. ЛЮБИМОВА</w:t>
      </w:r>
    </w:p>
    <w:p w14:paraId="73163B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Главным инженером авиации дальнего действия - военинженера 1 ранга т. МАРКОВА</w:t>
      </w:r>
    </w:p>
    <w:p w14:paraId="36FC48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1-й высшей школы штурманов и летчиков авиации дальнего действия - генерал-майора авиации т. БЕЛЯКОВА</w:t>
      </w:r>
    </w:p>
    <w:p w14:paraId="0764B2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3 авиадивизии ДБ-3ф - полковника т. НОВОДРАНОВА</w:t>
      </w:r>
    </w:p>
    <w:p w14:paraId="3D30FB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17 авиадивизии ДБ-3ф - полковника т. ЛОГИНОВА</w:t>
      </w:r>
    </w:p>
    <w:p w14:paraId="1B2489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24 авиадивизии ДБ-3ф - генерал-майора авиации т. ДУБОШИНА</w:t>
      </w:r>
    </w:p>
    <w:p w14:paraId="63C410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36 авиадивизии ДБ-3ф - полковника т. ДРЯНИНА</w:t>
      </w:r>
    </w:p>
    <w:p w14:paraId="73C4F1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50 авиадивизии ДБ-3ф - полковника т. ЛЕБЕДЕВА</w:t>
      </w:r>
    </w:p>
    <w:p w14:paraId="655F2C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53 авиадивизии ТБ-3 - полковника т. ГЕОРГИЕВА</w:t>
      </w:r>
    </w:p>
    <w:p w14:paraId="0F3263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62 авиадивизии ТБ-3 - полковника т. ТУПИКОВА</w:t>
      </w:r>
    </w:p>
    <w:p w14:paraId="1B12B4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запасной авиабригады - полковника т. КАРТАКОВА</w:t>
      </w:r>
    </w:p>
    <w:p w14:paraId="379C8F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Весь личный состав, оставшийся без назначения, после сформирования частей, указанных в п. 3, свести в запасную авиабригаду, на базе которой производить пополнение существующих и формирование новых частей авиации дальнего действия, по мере поступления матчасти. </w:t>
      </w:r>
    </w:p>
    <w:p w14:paraId="0C482E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Предоставить командующему авиацией дальнего действия право: </w:t>
      </w:r>
    </w:p>
    <w:p w14:paraId="483D67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назначать и перемещать личный состав авиации дальнего действия; </w:t>
      </w:r>
    </w:p>
    <w:p w14:paraId="76AF20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присваивать воинские звания, включительно до майора и ему соответствующих. </w:t>
      </w:r>
    </w:p>
    <w:p w14:paraId="376D5A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Назначения на должности командира полка и выше, присвоения воинских званий от подполковника и выше - представлять на утверждение Народному Комиссару Обороны СССР. </w:t>
      </w:r>
    </w:p>
    <w:p w14:paraId="793E80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Обязать командующего ВВС КА тов. Жигарева: </w:t>
      </w:r>
    </w:p>
    <w:p w14:paraId="6DE187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передать авиации дальнего действия, вместе с дальне- и </w:t>
      </w:r>
      <w:proofErr w:type="gramStart"/>
      <w:r w:rsidRPr="008127F8">
        <w:rPr>
          <w:rFonts w:ascii="Times New Roman" w:hAnsi="Times New Roman"/>
          <w:color w:val="000000" w:themeColor="text1"/>
          <w:sz w:val="16"/>
          <w:szCs w:val="16"/>
        </w:rPr>
        <w:t>тяжело-бомбардировочной</w:t>
      </w:r>
      <w:proofErr w:type="gramEnd"/>
      <w:r w:rsidRPr="008127F8">
        <w:rPr>
          <w:rFonts w:ascii="Times New Roman" w:hAnsi="Times New Roman"/>
          <w:color w:val="000000" w:themeColor="text1"/>
          <w:sz w:val="16"/>
          <w:szCs w:val="16"/>
        </w:rPr>
        <w:t xml:space="preserve"> авиацией, батальоны аэродромного обслуживания и службу земного обеспечения самолетовождения, обслуживающие эти дивизии; </w:t>
      </w:r>
    </w:p>
    <w:p w14:paraId="0024B4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обеспечивать по заявкам авиации дальнего действия снабжение: материально-техническое, боеприпасами и горюче-смазочными материалами, непосредственно из складов Управления Технического Снабжения ВВС КА; </w:t>
      </w:r>
    </w:p>
    <w:p w14:paraId="1B1BF6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придать авиации дальнего действия стационарные авиамастерские №№ 13, 16, 115, 138, 282, 292 и подвижные мастерские ПАМ №№ 10, 11, 14 и 19, для производства текущего и восстановительного ремонта материальной части и специального оборудования. </w:t>
      </w:r>
    </w:p>
    <w:p w14:paraId="1AD4B9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Обязать Наркомавиапром т. Шахурина оборудовать все самолеты ДБ-3ф, поступающие в авиацию дальнего действия, дополнительными масло и бензобаками и </w:t>
      </w:r>
      <w:proofErr w:type="gramStart"/>
      <w:r w:rsidRPr="008127F8">
        <w:rPr>
          <w:rFonts w:ascii="Times New Roman" w:hAnsi="Times New Roman"/>
          <w:color w:val="000000" w:themeColor="text1"/>
          <w:sz w:val="16"/>
          <w:szCs w:val="16"/>
        </w:rPr>
        <w:t>крупно-калиберными</w:t>
      </w:r>
      <w:proofErr w:type="gramEnd"/>
      <w:r w:rsidRPr="008127F8">
        <w:rPr>
          <w:rFonts w:ascii="Times New Roman" w:hAnsi="Times New Roman"/>
          <w:color w:val="000000" w:themeColor="text1"/>
          <w:sz w:val="16"/>
          <w:szCs w:val="16"/>
        </w:rPr>
        <w:t xml:space="preserve"> пулеметными установками (Березина). </w:t>
      </w:r>
    </w:p>
    <w:p w14:paraId="6DE9B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Обязать Начальника ГУ ГВФ т. Молокова: </w:t>
      </w:r>
    </w:p>
    <w:p w14:paraId="3A60B9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перегонять с завода № 126, для авиации дальнего действия - самолеты ДБ-3ф; </w:t>
      </w:r>
    </w:p>
    <w:p w14:paraId="2BA7D6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передать авиации дальнего действия 30 летчиков, летающих днем и ночью на двухмоторных самолетах и 30 опытных радистов; </w:t>
      </w:r>
    </w:p>
    <w:p w14:paraId="60D90D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8 дугласов, принятых с завода № 84, передать авиации дальнего действия вместе с экипажами. </w:t>
      </w:r>
    </w:p>
    <w:p w14:paraId="01E6D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0FA94E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Маленкову, Жигареву, Голованову, Шапошникову - все; Шахурину - 14; Молокову - 15 (11434).</w:t>
      </w:r>
    </w:p>
    <w:p w14:paraId="6D39F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4B4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завершилось объединение частей и соединения ДБА в АДД (172,158). Вышло постановление ГКО N 1392 и формировали на базе 3 ад А.Е.Голованова (4827,7).</w:t>
      </w:r>
    </w:p>
    <w:p w14:paraId="15124E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286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марта 1942 г. образовали Авиацию дальнего действия (АДД), выведенную из состава ВВС и подчиненную непосредственно Ставке. В нее первоначально вошли восемь дивизий, из них пять - на Ил-4. АДД поглотила не все машины этого типа, отдельные полки остались в составе ВВС. Например, Ил-4 имелись в частях 132-й БАД на Северо-Кавказском фронте (впоследствии в 5-й Воздушной армии). Ильюшинскими бомбардировщиками располагали и некоторые дальнеразведывательные полки и </w:t>
      </w:r>
      <w:proofErr w:type="gramStart"/>
      <w:r w:rsidRPr="008127F8">
        <w:rPr>
          <w:rFonts w:ascii="Times New Roman" w:hAnsi="Times New Roman"/>
          <w:color w:val="000000" w:themeColor="text1"/>
          <w:sz w:val="16"/>
          <w:szCs w:val="16"/>
        </w:rPr>
        <w:t>эскадрильи(</w:t>
      </w:r>
      <w:proofErr w:type="gramEnd"/>
      <w:r w:rsidRPr="008127F8">
        <w:rPr>
          <w:rFonts w:ascii="Times New Roman" w:hAnsi="Times New Roman"/>
          <w:color w:val="000000" w:themeColor="text1"/>
          <w:sz w:val="16"/>
          <w:szCs w:val="16"/>
        </w:rPr>
        <w:t>7666).</w:t>
      </w:r>
    </w:p>
    <w:p w14:paraId="30DACC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71C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года постановлением ГКО было принято решение о создании отдельного рода войск - АДД. Соединения АДД выделялись из ВВС КА и непосредственно подчинялись СВК. В АДД передали 8 авиадивизий, несколько аэродромов с твердым покрытием, создали независимую от ВВС систему управления и и материально-технического обеспечения</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ремонта (7685).</w:t>
      </w:r>
    </w:p>
    <w:p w14:paraId="41454E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FE2A2" w14:textId="49863164"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 образовали Авиацию дальнего действия (А</w:t>
      </w:r>
      <w:r w:rsidR="006E2015">
        <w:rPr>
          <w:rFonts w:ascii="Times New Roman" w:hAnsi="Times New Roman"/>
          <w:color w:val="000000" w:themeColor="text1"/>
          <w:sz w:val="16"/>
          <w:szCs w:val="16"/>
        </w:rPr>
        <w:t>ДД</w:t>
      </w:r>
      <w:r w:rsidRPr="008127F8">
        <w:rPr>
          <w:rFonts w:ascii="Times New Roman" w:hAnsi="Times New Roman"/>
          <w:color w:val="000000" w:themeColor="text1"/>
          <w:sz w:val="16"/>
          <w:szCs w:val="16"/>
        </w:rPr>
        <w:t>), выведенную из состава ВВС и подчиненную непосредственно Ставке. В нее первоначально вошли восемь ди</w:t>
      </w:r>
      <w:r w:rsidRPr="008127F8">
        <w:rPr>
          <w:rFonts w:ascii="Times New Roman" w:hAnsi="Times New Roman"/>
          <w:color w:val="000000" w:themeColor="text1"/>
          <w:sz w:val="16"/>
          <w:szCs w:val="16"/>
        </w:rPr>
        <w:softHyphen/>
        <w:t>визий, из них пять — на Ил-4. АДД по</w:t>
      </w:r>
      <w:r w:rsidRPr="008127F8">
        <w:rPr>
          <w:rFonts w:ascii="Times New Roman" w:hAnsi="Times New Roman"/>
          <w:color w:val="000000" w:themeColor="text1"/>
          <w:sz w:val="16"/>
          <w:szCs w:val="16"/>
        </w:rPr>
        <w:softHyphen/>
        <w:t>глотила не все машины этого типа, от</w:t>
      </w:r>
      <w:r w:rsidRPr="008127F8">
        <w:rPr>
          <w:rFonts w:ascii="Times New Roman" w:hAnsi="Times New Roman"/>
          <w:color w:val="000000" w:themeColor="text1"/>
          <w:sz w:val="16"/>
          <w:szCs w:val="16"/>
        </w:rPr>
        <w:softHyphen/>
        <w:t>дельные полки остались в ВВС. Например, Ил-4 имелись в частях 132-й бад на Северо-Кавказском фронте (впос</w:t>
      </w:r>
      <w:r w:rsidRPr="008127F8">
        <w:rPr>
          <w:rFonts w:ascii="Times New Roman" w:hAnsi="Times New Roman"/>
          <w:color w:val="000000" w:themeColor="text1"/>
          <w:sz w:val="16"/>
          <w:szCs w:val="16"/>
        </w:rPr>
        <w:softHyphen/>
        <w:t>ледствии в 5-й воздушной армии). Иль-юшинскими бомбардировщиками рас</w:t>
      </w:r>
      <w:r w:rsidRPr="008127F8">
        <w:rPr>
          <w:rFonts w:ascii="Times New Roman" w:hAnsi="Times New Roman"/>
          <w:color w:val="000000" w:themeColor="text1"/>
          <w:sz w:val="16"/>
          <w:szCs w:val="16"/>
        </w:rPr>
        <w:softHyphen/>
        <w:t>полагали и некоторые дальнеразведывательные полки и эскадрильи. На 1 мая 1942 г. АЛЛ имела 319 Ил-4, со</w:t>
      </w:r>
      <w:r w:rsidRPr="008127F8">
        <w:rPr>
          <w:rFonts w:ascii="Times New Roman" w:hAnsi="Times New Roman"/>
          <w:color w:val="000000" w:themeColor="text1"/>
          <w:sz w:val="16"/>
          <w:szCs w:val="16"/>
        </w:rPr>
        <w:softHyphen/>
        <w:t>ставлявших более 90% ее парка. Вначале АДД действовала по-старо</w:t>
      </w:r>
      <w:r w:rsidRPr="008127F8">
        <w:rPr>
          <w:rFonts w:ascii="Times New Roman" w:hAnsi="Times New Roman"/>
          <w:color w:val="000000" w:themeColor="text1"/>
          <w:sz w:val="16"/>
          <w:szCs w:val="16"/>
        </w:rPr>
        <w:softHyphen/>
        <w:t>му, выступая в роли мобильного резерва, усиливающего ВВС фронтов (10734,69).</w:t>
      </w:r>
    </w:p>
    <w:p w14:paraId="7FD632F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6E57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 постановлением Государственного Комитета Обороны было принято решение о создании отдельного рода войск - Авиации Дальнего Действия (АДД). Отныне, дальняя и тяжелая бомбардировочная авиация изыматись из подчинения ВВС, преобразовывались в АДД с непосредственным подчинением Ставке Верховного Главнокомандующего. В АДД передавались восемь дальнебомбардировочных авиадивизий, несколько лучших аэродромов с твердым покрытием, за ней закреплялись авиазаводы, создавалась новая структура тыла, имеющая органы управления, снабжения и ремонта. Командовать Авиацией Дальнего Действия Сталин назначил Голованова.</w:t>
      </w:r>
    </w:p>
    <w:p w14:paraId="3F17B4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Проблем при формировании АДД на самом деле имелось предостаточно, особенно остро не хватало опытных летчиков. Известный в 1930-е годы полярный пилот Василий Сергеевич Молоков, до июня </w:t>
      </w:r>
      <w:proofErr w:type="gramStart"/>
      <w:r w:rsidRPr="008127F8">
        <w:rPr>
          <w:rFonts w:ascii="Times New Roman" w:hAnsi="Times New Roman"/>
          <w:color w:val="000000" w:themeColor="text1"/>
          <w:sz w:val="16"/>
          <w:szCs w:val="16"/>
        </w:rPr>
        <w:t>1942 г.</w:t>
      </w:r>
      <w:proofErr w:type="gramEnd"/>
      <w:r w:rsidRPr="008127F8">
        <w:rPr>
          <w:rFonts w:ascii="Times New Roman" w:hAnsi="Times New Roman"/>
          <w:color w:val="000000" w:themeColor="text1"/>
          <w:sz w:val="16"/>
          <w:szCs w:val="16"/>
        </w:rPr>
        <w:t xml:space="preserve"> занимающий должность начальника Главного управления ГВФ. так описал этот период:</w:t>
      </w:r>
    </w:p>
    <w:p w14:paraId="0B6844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февраля 1942 года Голованов возглавил авиацию дальнего действия. Хорошо зная летчиков ГВФ. он отобрал лучших из них и представил мне список на восемьдесят человек. Но я всячески оттягивал передачу этих пилотов. Ведь задания-то гражданскому флоту не уменьшались, а становились все сложней.</w:t>
      </w:r>
    </w:p>
    <w:p w14:paraId="3A0733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Наконец А.Е.Голованов не выдержал и пожаловался на меня И.В.Сталину. Вызывают меня ночью в Кремль. Голованов уже там. Сталин обратился ко мне: "Что же вы не даете летчиков Голованову? Почему задерживаете исполнение приказа?" Я объяснил, что уже передал тридцать человек, а остальных собираю. Не вдаваясь в </w:t>
      </w:r>
      <w:r w:rsidRPr="008127F8">
        <w:rPr>
          <w:rFonts w:ascii="Times New Roman" w:hAnsi="Times New Roman"/>
          <w:color w:val="000000" w:themeColor="text1"/>
          <w:sz w:val="16"/>
          <w:szCs w:val="16"/>
        </w:rPr>
        <w:lastRenderedPageBreak/>
        <w:t>подробности, Сталин оторвал листок из блокнота и быстро написал карандашом: "Товарищу Молокову. 50 экипажей (кроме 30-ти) передать т. Голованову в течение 10 дней (то есть к 30 апреля). И. Сталин. 20.4.42". Я, конечно, выполнил приказ".</w:t>
      </w:r>
    </w:p>
    <w:p w14:paraId="413FAB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Место и роль четырехмоторных бомбардировщиков Пе-8 в Авиации Дальнего Действия поначалу являлось малозаметным. Сведенные к этому времени в 746-й авиаполк, в апреле 1942 г. Пе-8 перебазировались из Коврова на аэродром Кратово (иногда использовалось наименование Раменское) под Москвой. Поначалу этот аэродром принадлежал 8-му отделу ЦАГИ, затем, незадолго до войны здесь организовали летно-испытательный институт наркомата авиапромышленности (ЛИИ НКАП). Теперь это место более известно как аэродром ЛИИ в городе Жуковском, где раз в два года проводятся международные авиакосмические салоны (МАКС). Базирование бомбардировщиков Пе-8 в Кратово продолжалось до 30 мая 1944 г. (12025).</w:t>
      </w:r>
    </w:p>
    <w:p w14:paraId="42AB1A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1AB43"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марта 1942 г. Постановлением ГКО №1392 на базе частей и соединений ДБА была образована Авиация Дальнего Действия Ставки Верховного Главнокомандо</w:t>
      </w:r>
      <w:r w:rsidRPr="008A2E5A">
        <w:rPr>
          <w:rFonts w:ascii="Times New Roman" w:hAnsi="Times New Roman"/>
          <w:color w:val="0070C0"/>
          <w:sz w:val="16"/>
          <w:szCs w:val="16"/>
        </w:rPr>
        <w:softHyphen/>
        <w:t>вания, и к лету Ил-4 изъяли из ВВС под начало Командующего АДД СВГК генерал-лейтенанта Голованова. Немецкий солдат позирует на сбитом дальнем бомбардировщике Ил-4 Стратегия АДД была ясна и вытекала из указанных в Поста</w:t>
      </w:r>
      <w:r w:rsidRPr="008A2E5A">
        <w:rPr>
          <w:rFonts w:ascii="Times New Roman" w:hAnsi="Times New Roman"/>
          <w:color w:val="0070C0"/>
          <w:sz w:val="16"/>
          <w:szCs w:val="16"/>
        </w:rPr>
        <w:softHyphen/>
        <w:t>новлении ГКО задач, но приемы и методы, использовавшиеся летом-осенью 1941 года частями ДБА, не годились. Стихийно сложившаяся тактика дальних бомбардировщиков значительно отличалась от изложенной в боевом уставе ДБА. Большинство операций проводилось на уровне эскадрильи — обычно в вы</w:t>
      </w:r>
      <w:r w:rsidRPr="008A2E5A">
        <w:rPr>
          <w:rFonts w:ascii="Times New Roman" w:hAnsi="Times New Roman"/>
          <w:color w:val="0070C0"/>
          <w:sz w:val="16"/>
          <w:szCs w:val="16"/>
        </w:rPr>
        <w:softHyphen/>
        <w:t>лете участвовали от двух до десяти самолетов. Реже удар по одной цели наносил полк и лишь в исключительных случаях — дивизия. Скоординированные действия нескольких дивизий ДБА обычно организовать не удавалось.   Дальние бомбардировщики перешли к действиям в тем</w:t>
      </w:r>
      <w:r w:rsidRPr="008A2E5A">
        <w:rPr>
          <w:rFonts w:ascii="Times New Roman" w:hAnsi="Times New Roman"/>
          <w:color w:val="0070C0"/>
          <w:sz w:val="16"/>
          <w:szCs w:val="16"/>
        </w:rPr>
        <w:softHyphen/>
        <w:t xml:space="preserve">ное время суток, экипажи шли к цели одиночно, с расчетом на минимальный интервал выхода на цель. Бомбили с малых и средних высот. Первыми атаковали самые опытные, </w:t>
      </w:r>
      <w:proofErr w:type="gramStart"/>
      <w:r w:rsidRPr="008A2E5A">
        <w:rPr>
          <w:rFonts w:ascii="Times New Roman" w:hAnsi="Times New Roman"/>
          <w:color w:val="0070C0"/>
          <w:sz w:val="16"/>
          <w:szCs w:val="16"/>
        </w:rPr>
        <w:t>и</w:t>
      </w:r>
      <w:proofErr w:type="gramEnd"/>
      <w:r w:rsidRPr="008A2E5A">
        <w:rPr>
          <w:rFonts w:ascii="Times New Roman" w:hAnsi="Times New Roman"/>
          <w:color w:val="0070C0"/>
          <w:sz w:val="16"/>
          <w:szCs w:val="16"/>
        </w:rPr>
        <w:t xml:space="preserve"> если им удавалось вызвать на земле пожар — попадание считалось результативным и туда бросали бомбы остальные. Для обнару</w:t>
      </w:r>
      <w:r w:rsidRPr="008A2E5A">
        <w:rPr>
          <w:rFonts w:ascii="Times New Roman" w:hAnsi="Times New Roman"/>
          <w:color w:val="0070C0"/>
          <w:sz w:val="16"/>
          <w:szCs w:val="16"/>
        </w:rPr>
        <w:softHyphen/>
        <w:t>жения целей ночью применяли светящиеся авиабомбы САБ-50</w:t>
      </w:r>
      <w:r w:rsidRPr="008A2E5A">
        <w:rPr>
          <w:rFonts w:ascii="Times New Roman" w:hAnsi="Times New Roman"/>
          <w:color w:val="0070C0"/>
          <w:sz w:val="16"/>
          <w:szCs w:val="16"/>
        </w:rPr>
        <w:softHyphen/>
        <w:t>15 и САБ-100-35. Основным ударным боеприпасом оставалась бомба ФАБ-100 образца 1932 года. Реже под фюзеляж подве</w:t>
      </w:r>
      <w:r w:rsidRPr="008A2E5A">
        <w:rPr>
          <w:rFonts w:ascii="Times New Roman" w:hAnsi="Times New Roman"/>
          <w:color w:val="0070C0"/>
          <w:sz w:val="16"/>
          <w:szCs w:val="16"/>
        </w:rPr>
        <w:softHyphen/>
        <w:t xml:space="preserve">шивались более мощные ФАБ-250, ФАБ-500 или ФАБ-1000. Ротативно-рассеивающие бомбы РРАБ были эффективны против незащищенных рассредоточенных целей, но их снаряжение было очень трудоемким, а наружная подвеска сильно снижала скорость (24139). </w:t>
      </w:r>
    </w:p>
    <w:p w14:paraId="72B3EC53" w14:textId="77777777" w:rsidR="006E2015" w:rsidRPr="008A2E5A" w:rsidRDefault="006E2015" w:rsidP="006E2015">
      <w:pPr>
        <w:spacing w:after="0" w:line="240" w:lineRule="auto"/>
        <w:jc w:val="both"/>
        <w:rPr>
          <w:rFonts w:ascii="Times New Roman" w:hAnsi="Times New Roman"/>
          <w:color w:val="0070C0"/>
          <w:sz w:val="16"/>
          <w:szCs w:val="16"/>
        </w:rPr>
      </w:pPr>
    </w:p>
    <w:p w14:paraId="39374C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оба первых бомбардировщика В-25В перелетели под Москву. Ни один из В-25В не был использован как боевая машина. Все они служили для учебных целей. Одни попал в 11-й запасной полк в Кировабаде, три - в 6-ю запасную бригаду в Иванове. Один бомбардировщик из этой пятерки впоследствии вновь посетил США: он стал персональным самолетом И.П.Мазурука и в сентябре 1942 года прибыл в Фэрбенкс во главе группы пассажирских ПС-84, доставивших туда советских летчиков-перегонщиков (3457,91).</w:t>
      </w:r>
    </w:p>
    <w:p w14:paraId="198850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D7D0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советские войска освободили от фашистов г. Юхнов (4962).</w:t>
      </w:r>
    </w:p>
    <w:p w14:paraId="5803769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9B6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вышло Постановление ГКО № 1393 О снабжении вещевым имуществом Красной Армии на март месяц 1942 года. РГАНИР, Фонд ГКО, д. 23, лл. 83, 84-92 (11012).</w:t>
      </w:r>
    </w:p>
    <w:p w14:paraId="7C13F4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5B7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5 марта 1942 после двухмесячного перерыва возобновились налеты на столицу. На центральные кварталы города были сброшены 16 фугасных и 80 зажигательных бомб, разрушившие два жилых дома и ситценабивную фабрику. Были убиты и ранены 88 москвичей (11774).</w:t>
      </w:r>
    </w:p>
    <w:p w14:paraId="38DA35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45261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вышло Постановление ГКО № 1389 О военизации морского торгового флота и создании аппарата Наркомвоенморфлота в США, Великобритании и Иране для охраны советских судов и грузов в пути и на стоянках. (7024, 73-74).</w:t>
      </w:r>
    </w:p>
    <w:p w14:paraId="45D3C96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15378" w14:textId="77777777" w:rsidR="008440B1" w:rsidRPr="008127F8" w:rsidRDefault="008440B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74C1C81" w14:textId="77777777" w:rsidR="008440B1" w:rsidRPr="008127F8" w:rsidRDefault="008440B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EE48A5" w14:textId="77777777" w:rsidR="008440B1" w:rsidRPr="008127F8" w:rsidRDefault="008440B1"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марта 1942 г. к секретарю ГК и ОК ВКП(б), члену Военного совета Ленфронта А.А. Жда</w:t>
      </w:r>
      <w:r w:rsidRPr="008127F8">
        <w:rPr>
          <w:rFonts w:ascii="Times New Roman" w:hAnsi="Times New Roman" w:cs="Times New Roman"/>
          <w:color w:val="000000" w:themeColor="text1"/>
          <w:sz w:val="16"/>
          <w:szCs w:val="16"/>
        </w:rPr>
        <w:softHyphen/>
        <w:t>нову обратился и.о. начальника цеха №2 Ин</w:t>
      </w:r>
      <w:r w:rsidRPr="008127F8">
        <w:rPr>
          <w:rFonts w:ascii="Times New Roman" w:hAnsi="Times New Roman" w:cs="Times New Roman"/>
          <w:color w:val="000000" w:themeColor="text1"/>
          <w:sz w:val="16"/>
          <w:szCs w:val="16"/>
        </w:rPr>
        <w:softHyphen/>
        <w:t>ститута радиовещательного приема (ИРПА) Я.Я. Феберман. Он представил описание само</w:t>
      </w:r>
      <w:r w:rsidRPr="008127F8">
        <w:rPr>
          <w:rFonts w:ascii="Times New Roman" w:hAnsi="Times New Roman" w:cs="Times New Roman"/>
          <w:color w:val="000000" w:themeColor="text1"/>
          <w:sz w:val="16"/>
          <w:szCs w:val="16"/>
        </w:rPr>
        <w:softHyphen/>
        <w:t>ходной гусеничной тележки,</w:t>
      </w:r>
      <w:r w:rsidRPr="008127F8">
        <w:rPr>
          <w:rStyle w:val="BodytextItalic8"/>
          <w:rFonts w:ascii="Times New Roman" w:eastAsiaTheme="minorHAnsi" w:hAnsi="Times New Roman" w:cs="Times New Roman"/>
          <w:i w:val="0"/>
          <w:color w:val="000000" w:themeColor="text1"/>
          <w:sz w:val="16"/>
          <w:szCs w:val="16"/>
        </w:rPr>
        <w:t xml:space="preserve"> «весьма полезной в борьбе с вооруженными силами фашистских бандитов... с двояким назначением:</w:t>
      </w:r>
    </w:p>
    <w:p w14:paraId="2965BC3B" w14:textId="77777777" w:rsidR="008440B1" w:rsidRPr="008127F8" w:rsidRDefault="008440B1" w:rsidP="001E0A84">
      <w:pPr>
        <w:pStyle w:val="Bodytext21"/>
        <w:shd w:val="clear" w:color="auto" w:fill="auto"/>
        <w:tabs>
          <w:tab w:val="left" w:pos="486"/>
        </w:tabs>
        <w:spacing w:line="240" w:lineRule="auto"/>
        <w:ind w:firstLine="0"/>
        <w:rPr>
          <w:color w:val="000000" w:themeColor="text1"/>
          <w:sz w:val="16"/>
          <w:szCs w:val="16"/>
        </w:rPr>
      </w:pPr>
      <w:r w:rsidRPr="008127F8">
        <w:rPr>
          <w:color w:val="000000" w:themeColor="text1"/>
          <w:sz w:val="16"/>
          <w:szCs w:val="16"/>
        </w:rPr>
        <w:t>а) Для уничтожения ДОТов, ДЗОТов, тан</w:t>
      </w:r>
      <w:r w:rsidRPr="008127F8">
        <w:rPr>
          <w:color w:val="000000" w:themeColor="text1"/>
          <w:sz w:val="16"/>
          <w:szCs w:val="16"/>
        </w:rPr>
        <w:softHyphen/>
        <w:t>ков, ... блиндажей и скоплений живой силы про</w:t>
      </w:r>
      <w:r w:rsidRPr="008127F8">
        <w:rPr>
          <w:color w:val="000000" w:themeColor="text1"/>
          <w:sz w:val="16"/>
          <w:szCs w:val="16"/>
        </w:rPr>
        <w:softHyphen/>
        <w:t>тивника.</w:t>
      </w:r>
    </w:p>
    <w:p w14:paraId="3EF2F88D" w14:textId="77777777" w:rsidR="008440B1" w:rsidRPr="008127F8" w:rsidRDefault="008440B1" w:rsidP="001E0A84">
      <w:pPr>
        <w:pStyle w:val="Bodytext21"/>
        <w:shd w:val="clear" w:color="auto" w:fill="auto"/>
        <w:tabs>
          <w:tab w:val="left" w:pos="529"/>
        </w:tabs>
        <w:spacing w:line="240" w:lineRule="auto"/>
        <w:ind w:firstLine="0"/>
        <w:rPr>
          <w:color w:val="000000" w:themeColor="text1"/>
          <w:sz w:val="16"/>
          <w:szCs w:val="16"/>
        </w:rPr>
      </w:pPr>
      <w:r w:rsidRPr="008127F8">
        <w:rPr>
          <w:color w:val="000000" w:themeColor="text1"/>
          <w:sz w:val="16"/>
          <w:szCs w:val="16"/>
        </w:rPr>
        <w:t>б) Для агитации среди войск против</w:t>
      </w:r>
      <w:r w:rsidRPr="008127F8">
        <w:rPr>
          <w:color w:val="000000" w:themeColor="text1"/>
          <w:sz w:val="16"/>
          <w:szCs w:val="16"/>
        </w:rPr>
        <w:softHyphen/>
        <w:t>ника...».</w:t>
      </w:r>
    </w:p>
    <w:p w14:paraId="0A362041" w14:textId="77777777" w:rsidR="008440B1" w:rsidRPr="008127F8" w:rsidRDefault="008440B1"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Феберман подробно излагал принципы управления своей тележки, приводил ее элек</w:t>
      </w:r>
      <w:r w:rsidRPr="008127F8">
        <w:rPr>
          <w:rFonts w:ascii="Times New Roman" w:hAnsi="Times New Roman" w:cs="Times New Roman"/>
          <w:color w:val="000000" w:themeColor="text1"/>
          <w:sz w:val="16"/>
          <w:szCs w:val="16"/>
        </w:rPr>
        <w:softHyphen/>
        <w:t>трическую схему, конструктивные особенно</w:t>
      </w:r>
      <w:r w:rsidRPr="008127F8">
        <w:rPr>
          <w:rFonts w:ascii="Times New Roman" w:hAnsi="Times New Roman" w:cs="Times New Roman"/>
          <w:color w:val="000000" w:themeColor="text1"/>
          <w:sz w:val="16"/>
          <w:szCs w:val="16"/>
        </w:rPr>
        <w:softHyphen/>
        <w:t>сти, называл предполагаемую стоимость изго</w:t>
      </w:r>
      <w:r w:rsidRPr="008127F8">
        <w:rPr>
          <w:rFonts w:ascii="Times New Roman" w:hAnsi="Times New Roman" w:cs="Times New Roman"/>
          <w:color w:val="000000" w:themeColor="text1"/>
          <w:sz w:val="16"/>
          <w:szCs w:val="16"/>
        </w:rPr>
        <w:softHyphen/>
        <w:t>товления и даже выразил готовность принять самое активное участие в постройке натурных образцов (17745).</w:t>
      </w:r>
    </w:p>
    <w:p w14:paraId="598007B9" w14:textId="77777777" w:rsidR="008440B1" w:rsidRPr="008127F8" w:rsidRDefault="008440B1" w:rsidP="001E0A84">
      <w:pPr>
        <w:spacing w:after="0" w:line="240" w:lineRule="auto"/>
        <w:jc w:val="both"/>
        <w:rPr>
          <w:rFonts w:ascii="Times New Roman" w:eastAsia="Times New Roman" w:hAnsi="Times New Roman"/>
          <w:color w:val="000000" w:themeColor="text1"/>
          <w:sz w:val="16"/>
          <w:szCs w:val="16"/>
          <w:lang w:eastAsia="ru-RU"/>
        </w:rPr>
      </w:pPr>
    </w:p>
    <w:p w14:paraId="1FB5213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2C73E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B95FB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в блокадном Ленинграде состоялась премьера Седьмой симфонии Д. Шостаковича (4962).</w:t>
      </w:r>
    </w:p>
    <w:p w14:paraId="52995A5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C16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в Ленинграде впервые была исполнена 7 симфония Д.Шостаковича (3263,116).</w:t>
      </w:r>
    </w:p>
    <w:p w14:paraId="167B08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13A58" w14:textId="77777777" w:rsidR="00B35EC1" w:rsidRPr="008127F8" w:rsidRDefault="00B35E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 марта 1942. Ночью немецкие самолеты прорвались к Москве и сбросили 144 бомбы (18696).</w:t>
      </w:r>
    </w:p>
    <w:p w14:paraId="0F27E56A" w14:textId="77777777" w:rsidR="00B35EC1" w:rsidRPr="008127F8" w:rsidRDefault="00B35EC1" w:rsidP="001E0A84">
      <w:pPr>
        <w:spacing w:after="0" w:line="240" w:lineRule="auto"/>
        <w:jc w:val="both"/>
        <w:rPr>
          <w:rFonts w:ascii="Times New Roman" w:hAnsi="Times New Roman"/>
          <w:color w:val="000000" w:themeColor="text1"/>
          <w:sz w:val="16"/>
          <w:szCs w:val="16"/>
        </w:rPr>
      </w:pPr>
    </w:p>
    <w:p w14:paraId="0898C3C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79AE8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29535F" w14:textId="77777777" w:rsidR="00F80D60" w:rsidRPr="008127F8" w:rsidRDefault="00F80D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были облетаны два первых В-25В, которые прибыли в СССР в январе 1942. На одном оказалось повреждено носовое колесо, но первую партию было решено заказать без испытаний; 11 февраля был получен положительный ответ президента США: «В январе и феврале нами было или будет отгружено 449 легких танков, 408 средних танков, 244 истребителя, 24 В-25 и 233 А-20. Я сознаю всю важность доставки Вам нашего вооружения в возможно более короткий срок, и все усилия прилагаются к тому, чтобы отправить эти грузы. Имеющиеся здесь сообщения указывают на то, что Вы успешно отгоняете нацистов. 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(22856).</w:t>
      </w:r>
    </w:p>
    <w:p w14:paraId="45703F99" w14:textId="77777777" w:rsidR="00F80D60" w:rsidRPr="008127F8" w:rsidRDefault="00F80D60" w:rsidP="001E0A84">
      <w:pPr>
        <w:spacing w:after="0" w:line="240" w:lineRule="auto"/>
        <w:jc w:val="both"/>
        <w:rPr>
          <w:rFonts w:ascii="Times New Roman" w:hAnsi="Times New Roman"/>
          <w:color w:val="000000" w:themeColor="text1"/>
          <w:sz w:val="16"/>
          <w:szCs w:val="16"/>
        </w:rPr>
      </w:pPr>
    </w:p>
    <w:p w14:paraId="7E44B37C" w14:textId="77777777" w:rsidR="00F80D60" w:rsidRPr="008127F8" w:rsidRDefault="00F80D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гражданский воздушный патруль начинает морское патрулирование у восточного побережья США (20793).</w:t>
      </w:r>
    </w:p>
    <w:p w14:paraId="2CA69342" w14:textId="77777777" w:rsidR="00F80D60" w:rsidRPr="008127F8" w:rsidRDefault="00F80D60" w:rsidP="001E0A84">
      <w:pPr>
        <w:spacing w:after="0" w:line="240" w:lineRule="auto"/>
        <w:jc w:val="both"/>
        <w:rPr>
          <w:rFonts w:ascii="Times New Roman" w:hAnsi="Times New Roman"/>
          <w:color w:val="000000" w:themeColor="text1"/>
          <w:sz w:val="16"/>
          <w:szCs w:val="16"/>
        </w:rPr>
      </w:pPr>
    </w:p>
    <w:p w14:paraId="3CE10B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5th, 1942: The RAF launches an attack against Essen in the Ruhr, but with disappointing results (3819).</w:t>
      </w:r>
    </w:p>
    <w:p w14:paraId="208085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99F9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Королевские ВВС нанесли удар по Эссену в Руре, но в разочаровывающими результатами (3819).</w:t>
      </w:r>
    </w:p>
    <w:p w14:paraId="1707FF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AF04A" w14:textId="77777777" w:rsidR="007216D1" w:rsidRPr="008127F8" w:rsidRDefault="007216D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марта</w:t>
      </w:r>
      <w:r w:rsidRPr="008127F8">
        <w:rPr>
          <w:rFonts w:ascii="Times New Roman" w:hAnsi="Times New Roman"/>
          <w:color w:val="000000" w:themeColor="text1"/>
          <w:sz w:val="16"/>
          <w:szCs w:val="16"/>
        </w:rPr>
        <w:t xml:space="preserve"> в 1942 году (по 14 марта) японские войска заняли Яву (15059).</w:t>
      </w:r>
    </w:p>
    <w:p w14:paraId="72411841" w14:textId="77777777" w:rsidR="007216D1" w:rsidRPr="008127F8" w:rsidRDefault="007216D1" w:rsidP="001E0A84">
      <w:pPr>
        <w:spacing w:after="0" w:line="240" w:lineRule="auto"/>
        <w:jc w:val="both"/>
        <w:rPr>
          <w:rFonts w:ascii="Times New Roman" w:hAnsi="Times New Roman"/>
          <w:color w:val="000000" w:themeColor="text1"/>
          <w:sz w:val="16"/>
          <w:szCs w:val="16"/>
        </w:rPr>
      </w:pPr>
    </w:p>
    <w:p w14:paraId="464C597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A1215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1E0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1400 О премировании инженерно-технических работников и рабочих завода № 30. за каждый самолет Ил-2, выпущенный сверх плана. РГАНИР, Фонд ГКО, д. 23, лл. 120 (11012).</w:t>
      </w:r>
    </w:p>
    <w:p w14:paraId="6891CD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5E40D" w14:textId="77777777" w:rsidR="00CC69F6" w:rsidRPr="008127F8" w:rsidRDefault="00CC69F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1400 О премировании инженерно-технических работников и рабочих завода № 30. за каждый самолет Ил-2, выпущенный сверх плана</w:t>
      </w:r>
    </w:p>
    <w:p w14:paraId="5D5A903A" w14:textId="77777777" w:rsidR="00CC69F6" w:rsidRPr="008127F8" w:rsidRDefault="00CC69F6"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MS Mincho" w:hAnsi="Times New Roman"/>
          <w:color w:val="000000" w:themeColor="text1"/>
          <w:sz w:val="16"/>
          <w:szCs w:val="16"/>
          <w:lang w:eastAsia="ru-RU"/>
        </w:rPr>
        <w:t>Установить для завода № 30 НКАП на март, апрель и май месяцы премиальную оплату для инженерно-технических работ</w:t>
      </w:r>
      <w:r w:rsidRPr="008127F8">
        <w:rPr>
          <w:rFonts w:ascii="Times New Roman" w:eastAsia="MS Mincho" w:hAnsi="Times New Roman"/>
          <w:color w:val="000000" w:themeColor="text1"/>
          <w:sz w:val="16"/>
          <w:szCs w:val="16"/>
          <w:lang w:eastAsia="ru-RU"/>
        </w:rPr>
        <w:softHyphen/>
        <w:t xml:space="preserve">ников и рабочих завода </w:t>
      </w:r>
      <w:r w:rsidRPr="008127F8">
        <w:rPr>
          <w:rFonts w:ascii="Times New Roman" w:eastAsia="MS Mincho" w:hAnsi="Times New Roman"/>
          <w:color w:val="000000" w:themeColor="text1"/>
          <w:sz w:val="16"/>
          <w:szCs w:val="16"/>
          <w:lang w:val="en-US"/>
        </w:rPr>
        <w:t>sa</w:t>
      </w:r>
      <w:r w:rsidRPr="008127F8">
        <w:rPr>
          <w:rFonts w:ascii="Times New Roman" w:eastAsia="MS Mincho" w:hAnsi="Times New Roman"/>
          <w:color w:val="000000" w:themeColor="text1"/>
          <w:sz w:val="16"/>
          <w:szCs w:val="16"/>
        </w:rPr>
        <w:t xml:space="preserve"> </w:t>
      </w:r>
      <w:r w:rsidRPr="008127F8">
        <w:rPr>
          <w:rFonts w:ascii="Times New Roman" w:eastAsia="MS Mincho" w:hAnsi="Times New Roman"/>
          <w:color w:val="000000" w:themeColor="text1"/>
          <w:sz w:val="16"/>
          <w:szCs w:val="16"/>
          <w:lang w:eastAsia="ru-RU"/>
        </w:rPr>
        <w:t>перевыполнение программы по вы</w:t>
      </w:r>
      <w:r w:rsidRPr="008127F8">
        <w:rPr>
          <w:rFonts w:ascii="Times New Roman" w:eastAsia="MS Mincho" w:hAnsi="Times New Roman"/>
          <w:color w:val="000000" w:themeColor="text1"/>
          <w:sz w:val="16"/>
          <w:szCs w:val="16"/>
          <w:lang w:eastAsia="ru-RU"/>
        </w:rPr>
        <w:softHyphen/>
        <w:t>пуску самолетов Ил-2, выплачивая 100.000 рублей за каждый самолет, выпущенный сверх плана, из них - 70.000 рублей ра</w:t>
      </w:r>
      <w:r w:rsidRPr="008127F8">
        <w:rPr>
          <w:rFonts w:ascii="Times New Roman" w:eastAsia="MS Mincho" w:hAnsi="Times New Roman"/>
          <w:color w:val="000000" w:themeColor="text1"/>
          <w:sz w:val="16"/>
          <w:szCs w:val="16"/>
          <w:lang w:eastAsia="ru-RU"/>
        </w:rPr>
        <w:softHyphen/>
        <w:t>бочим и 30.000 рублей административным и инженерно-техничес</w:t>
      </w:r>
      <w:r w:rsidRPr="008127F8">
        <w:rPr>
          <w:rFonts w:ascii="Times New Roman" w:eastAsia="MS Mincho" w:hAnsi="Times New Roman"/>
          <w:color w:val="000000" w:themeColor="text1"/>
          <w:sz w:val="16"/>
          <w:szCs w:val="16"/>
          <w:lang w:eastAsia="ru-RU"/>
        </w:rPr>
        <w:softHyphen/>
        <w:t>ким работникам.</w:t>
      </w:r>
    </w:p>
    <w:p w14:paraId="765BE22D" w14:textId="77777777" w:rsidR="00CC69F6" w:rsidRPr="008127F8" w:rsidRDefault="00CC69F6"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MS Mincho" w:hAnsi="Times New Roman"/>
          <w:color w:val="000000" w:themeColor="text1"/>
          <w:sz w:val="16"/>
          <w:szCs w:val="16"/>
          <w:lang w:eastAsia="ru-RU"/>
        </w:rPr>
        <w:t>Размер премий и лица, которым выплачиваются премии, устанавливаются приказом директора завода № 30 (19224).</w:t>
      </w:r>
    </w:p>
    <w:p w14:paraId="3E00C1C6" w14:textId="77777777" w:rsidR="00CC69F6" w:rsidRPr="008127F8" w:rsidRDefault="00CC69F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E3888"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марта 1942 г. ПОСТАНОВЛЕНИЕ ГОСУДАРСТВЕННОГО КОМИТЕТА ОБОРОНЫ N5 Г0К0-І400С от 6. III. 42 г.</w:t>
      </w:r>
    </w:p>
    <w:p w14:paraId="1A4B687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40. Л. 178. автограф И.В. Сталина. Подлинник Машинописный текст. Подпись</w:t>
      </w:r>
    </w:p>
    <w:p w14:paraId="59F35367"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Секретно</w:t>
      </w:r>
    </w:p>
    <w:p w14:paraId="66D37CC5"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премировании инженерно-технических работников и рабочих завода N8 30 за каждый самолет Ил-2, выпущенный сверх плана</w:t>
      </w:r>
    </w:p>
    <w:p w14:paraId="5A66700D"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для завода N 30 НКАП на март, апрель и май месяцы премиальную оплату для инженерно-технических работников и рабочих завода за перевыполнение программы по выпуску самолетов Ил—2, выплачивая 100 000 рублей за каждый самолет, выпущенный сверх плана, из них — 70 000 рублей рабочим и 30 000 рублей административным и инженерно-техническим работникам.</w:t>
      </w:r>
    </w:p>
    <w:p w14:paraId="26E57E7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Размер премий и лица, которым выплачиваются премии, устанавливаются приказом директора завода Ш 30.</w:t>
      </w:r>
    </w:p>
    <w:p w14:paraId="4D304EC0"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ПРЕДСЕДАТЕЛЬ ГОСУДАРСТВЕННОГО КОМИТЕТА </w:t>
      </w:r>
      <w:proofErr w:type="gramStart"/>
      <w:r w:rsidRPr="008A2E5A">
        <w:rPr>
          <w:rFonts w:ascii="Times New Roman" w:hAnsi="Times New Roman"/>
          <w:color w:val="0070C0"/>
          <w:sz w:val="16"/>
          <w:szCs w:val="16"/>
        </w:rPr>
        <w:t>ОБОРОНЫ</w:t>
      </w:r>
      <w:proofErr w:type="gramEnd"/>
      <w:r w:rsidRPr="008A2E5A">
        <w:rPr>
          <w:rFonts w:ascii="Times New Roman" w:hAnsi="Times New Roman"/>
          <w:color w:val="0070C0"/>
          <w:sz w:val="16"/>
          <w:szCs w:val="16"/>
        </w:rPr>
        <w:tab/>
        <w:t>И. Сталин</w:t>
      </w:r>
    </w:p>
    <w:p w14:paraId="514A0134"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Вып[иски]: Шахурину, Маленкову, Жигареву + Молотову, Звереву, Чадаеву (23894).</w:t>
      </w:r>
    </w:p>
    <w:p w14:paraId="1F1CFF7C" w14:textId="77777777" w:rsidR="006E2015" w:rsidRPr="008A2E5A" w:rsidRDefault="006E2015" w:rsidP="006E2015">
      <w:pPr>
        <w:spacing w:after="0" w:line="240" w:lineRule="auto"/>
        <w:jc w:val="both"/>
        <w:rPr>
          <w:rFonts w:ascii="Times New Roman" w:hAnsi="Times New Roman"/>
          <w:color w:val="0070C0"/>
          <w:sz w:val="16"/>
          <w:szCs w:val="16"/>
        </w:rPr>
      </w:pPr>
    </w:p>
    <w:p w14:paraId="3E1692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1401 О ремонте самолетов ДБ-3 и ДБ-3Ф. РГАНИР, Фонд ГКО, д. 23, лл. 121, 122-125 (11012).</w:t>
      </w:r>
    </w:p>
    <w:p w14:paraId="02F6CD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DCA9A" w14:textId="77777777" w:rsidR="005B3C0B" w:rsidRPr="008127F8" w:rsidRDefault="005B3C0B" w:rsidP="001E0A84">
      <w:pPr>
        <w:tabs>
          <w:tab w:val="left" w:pos="159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1401 О ремонте самолетов ДБ-3 и ДБ-3Ф</w:t>
      </w:r>
    </w:p>
    <w:p w14:paraId="4A9264D7" w14:textId="77777777" w:rsidR="005B3C0B" w:rsidRPr="008127F8" w:rsidRDefault="005B3C0B" w:rsidP="001E0A84">
      <w:pPr>
        <w:pStyle w:val="8a"/>
        <w:shd w:val="clear" w:color="auto" w:fill="auto"/>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Для приведения в боевую готовность </w:t>
      </w:r>
      <w:r w:rsidRPr="008127F8">
        <w:rPr>
          <w:rStyle w:val="5f1"/>
          <w:rFonts w:ascii="Times New Roman" w:hAnsi="Times New Roman" w:cs="Times New Roman"/>
          <w:color w:val="000000" w:themeColor="text1"/>
          <w:spacing w:val="0"/>
          <w:sz w:val="16"/>
          <w:szCs w:val="16"/>
        </w:rPr>
        <w:t>130</w:t>
      </w:r>
      <w:r w:rsidRPr="008127F8">
        <w:rPr>
          <w:rFonts w:ascii="Times New Roman" w:hAnsi="Times New Roman" w:cs="Times New Roman"/>
          <w:color w:val="000000" w:themeColor="text1"/>
          <w:spacing w:val="0"/>
          <w:sz w:val="16"/>
          <w:szCs w:val="16"/>
        </w:rPr>
        <w:t xml:space="preserve"> самолетов ДБ-3 и ДБ-зФ ВВС Красной Армии, требующих ремонта, Государствен</w:t>
      </w:r>
      <w:r w:rsidRPr="008127F8">
        <w:rPr>
          <w:rFonts w:ascii="Times New Roman" w:hAnsi="Times New Roman" w:cs="Times New Roman"/>
          <w:color w:val="000000" w:themeColor="text1"/>
          <w:spacing w:val="0"/>
          <w:sz w:val="16"/>
          <w:szCs w:val="16"/>
        </w:rPr>
        <w:softHyphen/>
        <w:t>ный Комитет Обороны постановляет:</w:t>
      </w:r>
    </w:p>
    <w:p w14:paraId="6D33765A" w14:textId="77777777" w:rsidR="005B3C0B" w:rsidRPr="008127F8" w:rsidRDefault="005B3C0B" w:rsidP="001E0A84">
      <w:pPr>
        <w:pStyle w:val="8a"/>
        <w:shd w:val="clear" w:color="auto" w:fill="auto"/>
        <w:tabs>
          <w:tab w:val="left" w:pos="950"/>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1. Обязать ВВС Красной Армии отправить до 15 марта </w:t>
      </w:r>
      <w:r w:rsidRPr="008127F8">
        <w:rPr>
          <w:rStyle w:val="5f1"/>
          <w:rFonts w:ascii="Times New Roman" w:hAnsi="Times New Roman" w:cs="Times New Roman"/>
          <w:color w:val="000000" w:themeColor="text1"/>
          <w:spacing w:val="0"/>
          <w:sz w:val="16"/>
          <w:szCs w:val="16"/>
        </w:rPr>
        <w:t>1942</w:t>
      </w:r>
      <w:r w:rsidRPr="008127F8">
        <w:rPr>
          <w:rFonts w:ascii="Times New Roman" w:hAnsi="Times New Roman" w:cs="Times New Roman"/>
          <w:color w:val="000000" w:themeColor="text1"/>
          <w:spacing w:val="0"/>
          <w:sz w:val="16"/>
          <w:szCs w:val="16"/>
        </w:rPr>
        <w:t xml:space="preserve"> года в части ВВС запасные части к самолетам ДБ-3 и ДБ-ЗФ и моторам </w:t>
      </w:r>
      <w:r w:rsidRPr="008127F8">
        <w:rPr>
          <w:rStyle w:val="5f1"/>
          <w:rFonts w:ascii="Times New Roman" w:hAnsi="Times New Roman" w:cs="Times New Roman"/>
          <w:color w:val="000000" w:themeColor="text1"/>
          <w:spacing w:val="0"/>
          <w:sz w:val="16"/>
          <w:szCs w:val="16"/>
        </w:rPr>
        <w:t>М-87 и М-88,</w:t>
      </w:r>
      <w:r w:rsidRPr="008127F8">
        <w:rPr>
          <w:rFonts w:ascii="Times New Roman" w:hAnsi="Times New Roman" w:cs="Times New Roman"/>
          <w:color w:val="000000" w:themeColor="text1"/>
          <w:spacing w:val="0"/>
          <w:sz w:val="16"/>
          <w:szCs w:val="16"/>
        </w:rPr>
        <w:t xml:space="preserve"> согласно приложеиию № 1.</w:t>
      </w:r>
    </w:p>
    <w:p w14:paraId="6A504A43" w14:textId="77777777" w:rsidR="005B3C0B" w:rsidRPr="008127F8" w:rsidRDefault="005B3C0B" w:rsidP="001E0A84">
      <w:pPr>
        <w:pStyle w:val="8a"/>
        <w:shd w:val="clear" w:color="auto" w:fill="auto"/>
        <w:tabs>
          <w:tab w:val="left" w:pos="938"/>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2. Обязать Наркомавиапром - тов. Шахурина:</w:t>
      </w:r>
    </w:p>
    <w:p w14:paraId="253DD804" w14:textId="77777777" w:rsidR="005B3C0B" w:rsidRPr="008127F8" w:rsidRDefault="005B3C0B" w:rsidP="001E0A84">
      <w:pPr>
        <w:pStyle w:val="8a"/>
        <w:shd w:val="clear" w:color="auto" w:fill="auto"/>
        <w:tabs>
          <w:tab w:val="left" w:pos="950"/>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а) </w:t>
      </w:r>
      <w:r w:rsidRPr="008127F8">
        <w:rPr>
          <w:rStyle w:val="Sylfaen9pt0pt"/>
          <w:rFonts w:ascii="Times New Roman" w:hAnsi="Times New Roman" w:cs="Times New Roman"/>
          <w:color w:val="000000" w:themeColor="text1"/>
          <w:sz w:val="16"/>
          <w:szCs w:val="16"/>
        </w:rPr>
        <w:t>отгрузить</w:t>
      </w:r>
      <w:r w:rsidRPr="008127F8">
        <w:rPr>
          <w:rFonts w:ascii="Times New Roman" w:hAnsi="Times New Roman" w:cs="Times New Roman"/>
          <w:color w:val="000000" w:themeColor="text1"/>
          <w:spacing w:val="0"/>
          <w:sz w:val="16"/>
          <w:szCs w:val="16"/>
        </w:rPr>
        <w:t xml:space="preserve"> до 25 марта </w:t>
      </w:r>
      <w:r w:rsidRPr="008127F8">
        <w:rPr>
          <w:rStyle w:val="6c"/>
          <w:rFonts w:ascii="Times New Roman" w:hAnsi="Times New Roman" w:cs="Times New Roman"/>
          <w:color w:val="000000" w:themeColor="text1"/>
          <w:sz w:val="16"/>
          <w:szCs w:val="16"/>
        </w:rPr>
        <w:t>с.г.</w:t>
      </w:r>
      <w:r w:rsidRPr="008127F8">
        <w:rPr>
          <w:rFonts w:ascii="Times New Roman" w:hAnsi="Times New Roman" w:cs="Times New Roman"/>
          <w:color w:val="000000" w:themeColor="text1"/>
          <w:spacing w:val="0"/>
          <w:sz w:val="16"/>
          <w:szCs w:val="16"/>
        </w:rPr>
        <w:t xml:space="preserve"> запасные части к самолетам</w:t>
      </w:r>
      <w:r w:rsidRPr="008127F8">
        <w:rPr>
          <w:rStyle w:val="Sylfaen9pt0pt"/>
          <w:rFonts w:ascii="Times New Roman" w:hAnsi="Times New Roman" w:cs="Times New Roman"/>
          <w:color w:val="000000" w:themeColor="text1"/>
          <w:sz w:val="16"/>
          <w:szCs w:val="16"/>
        </w:rPr>
        <w:t xml:space="preserve"> ДБ-3</w:t>
      </w:r>
      <w:r w:rsidRPr="008127F8">
        <w:rPr>
          <w:rFonts w:ascii="Times New Roman" w:hAnsi="Times New Roman" w:cs="Times New Roman"/>
          <w:color w:val="000000" w:themeColor="text1"/>
          <w:spacing w:val="0"/>
          <w:sz w:val="16"/>
          <w:szCs w:val="16"/>
        </w:rPr>
        <w:t xml:space="preserve"> и</w:t>
      </w:r>
      <w:r w:rsidRPr="008127F8">
        <w:rPr>
          <w:rStyle w:val="Sylfaen9pt0pt"/>
          <w:rFonts w:ascii="Times New Roman" w:hAnsi="Times New Roman" w:cs="Times New Roman"/>
          <w:color w:val="000000" w:themeColor="text1"/>
          <w:sz w:val="16"/>
          <w:szCs w:val="16"/>
        </w:rPr>
        <w:t xml:space="preserve"> </w:t>
      </w:r>
      <w:proofErr w:type="gramStart"/>
      <w:r w:rsidRPr="008127F8">
        <w:rPr>
          <w:rStyle w:val="Sylfaen9pt0pt"/>
          <w:rFonts w:ascii="Times New Roman" w:hAnsi="Times New Roman" w:cs="Times New Roman"/>
          <w:color w:val="000000" w:themeColor="text1"/>
          <w:sz w:val="16"/>
          <w:szCs w:val="16"/>
        </w:rPr>
        <w:t>ДБ</w:t>
      </w:r>
      <w:r w:rsidRPr="008127F8">
        <w:rPr>
          <w:rFonts w:ascii="Times New Roman" w:hAnsi="Times New Roman" w:cs="Times New Roman"/>
          <w:color w:val="000000" w:themeColor="text1"/>
          <w:spacing w:val="0"/>
          <w:sz w:val="16"/>
          <w:szCs w:val="16"/>
        </w:rPr>
        <w:t>-ЗФ</w:t>
      </w:r>
      <w:proofErr w:type="gramEnd"/>
      <w:r w:rsidRPr="008127F8">
        <w:rPr>
          <w:rFonts w:ascii="Times New Roman" w:hAnsi="Times New Roman" w:cs="Times New Roman"/>
          <w:color w:val="000000" w:themeColor="text1"/>
          <w:spacing w:val="0"/>
          <w:sz w:val="16"/>
          <w:szCs w:val="16"/>
        </w:rPr>
        <w:t xml:space="preserve"> и моторам М-87 </w:t>
      </w:r>
      <w:r w:rsidRPr="008127F8">
        <w:rPr>
          <w:rStyle w:val="5f1"/>
          <w:rFonts w:ascii="Times New Roman" w:hAnsi="Times New Roman" w:cs="Times New Roman"/>
          <w:color w:val="000000" w:themeColor="text1"/>
          <w:spacing w:val="0"/>
          <w:sz w:val="16"/>
          <w:szCs w:val="16"/>
        </w:rPr>
        <w:t>и М-88,</w:t>
      </w:r>
      <w:r w:rsidRPr="008127F8">
        <w:rPr>
          <w:rFonts w:ascii="Times New Roman" w:hAnsi="Times New Roman" w:cs="Times New Roman"/>
          <w:color w:val="000000" w:themeColor="text1"/>
          <w:spacing w:val="0"/>
          <w:sz w:val="16"/>
          <w:szCs w:val="16"/>
        </w:rPr>
        <w:t xml:space="preserve"> согласно приложению № 2;</w:t>
      </w:r>
    </w:p>
    <w:p w14:paraId="5094C59A" w14:textId="77777777" w:rsidR="005B3C0B" w:rsidRPr="008127F8" w:rsidRDefault="005B3C0B" w:rsidP="001E0A84">
      <w:pPr>
        <w:pStyle w:val="8a"/>
        <w:shd w:val="clear" w:color="auto" w:fill="auto"/>
        <w:tabs>
          <w:tab w:val="left" w:pos="945"/>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б) отправить до 20 марта </w:t>
      </w:r>
      <w:r w:rsidRPr="008127F8">
        <w:rPr>
          <w:rStyle w:val="6c"/>
          <w:rFonts w:ascii="Times New Roman" w:hAnsi="Times New Roman" w:cs="Times New Roman"/>
          <w:color w:val="000000" w:themeColor="text1"/>
          <w:sz w:val="16"/>
          <w:szCs w:val="16"/>
        </w:rPr>
        <w:t>с.г.</w:t>
      </w:r>
      <w:r w:rsidRPr="008127F8">
        <w:rPr>
          <w:rFonts w:ascii="Times New Roman" w:hAnsi="Times New Roman" w:cs="Times New Roman"/>
          <w:color w:val="000000" w:themeColor="text1"/>
          <w:spacing w:val="0"/>
          <w:sz w:val="16"/>
          <w:szCs w:val="16"/>
        </w:rPr>
        <w:t xml:space="preserve"> в части ВВС </w:t>
      </w:r>
      <w:r w:rsidRPr="008127F8">
        <w:rPr>
          <w:rStyle w:val="5f1"/>
          <w:rFonts w:ascii="Times New Roman" w:hAnsi="Times New Roman" w:cs="Times New Roman"/>
          <w:color w:val="000000" w:themeColor="text1"/>
          <w:spacing w:val="0"/>
          <w:sz w:val="16"/>
          <w:szCs w:val="16"/>
        </w:rPr>
        <w:t>150</w:t>
      </w:r>
      <w:r w:rsidRPr="008127F8">
        <w:rPr>
          <w:rFonts w:ascii="Times New Roman" w:hAnsi="Times New Roman" w:cs="Times New Roman"/>
          <w:color w:val="000000" w:themeColor="text1"/>
          <w:spacing w:val="0"/>
          <w:sz w:val="16"/>
          <w:szCs w:val="16"/>
        </w:rPr>
        <w:t xml:space="preserve"> моторов М</w:t>
      </w:r>
      <w:r w:rsidRPr="008127F8">
        <w:rPr>
          <w:rStyle w:val="5f1"/>
          <w:rFonts w:ascii="Times New Roman" w:hAnsi="Times New Roman" w:cs="Times New Roman"/>
          <w:color w:val="000000" w:themeColor="text1"/>
          <w:spacing w:val="0"/>
          <w:sz w:val="16"/>
          <w:szCs w:val="16"/>
        </w:rPr>
        <w:t>-88</w:t>
      </w:r>
    </w:p>
    <w:p w14:paraId="766D8EF7" w14:textId="77777777" w:rsidR="005B3C0B" w:rsidRPr="008127F8" w:rsidRDefault="005B3C0B" w:rsidP="001E0A84">
      <w:pPr>
        <w:pStyle w:val="8a"/>
        <w:shd w:val="clear" w:color="auto" w:fill="auto"/>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3. Отгрузку запасных частей к самолетам ДБ-3 и </w:t>
      </w:r>
      <w:proofErr w:type="gramStart"/>
      <w:r w:rsidRPr="008127F8">
        <w:rPr>
          <w:rFonts w:ascii="Times New Roman" w:hAnsi="Times New Roman" w:cs="Times New Roman"/>
          <w:color w:val="000000" w:themeColor="text1"/>
          <w:spacing w:val="0"/>
          <w:sz w:val="16"/>
          <w:szCs w:val="16"/>
        </w:rPr>
        <w:t>ДБ-ЗФ</w:t>
      </w:r>
      <w:proofErr w:type="gramEnd"/>
      <w:r w:rsidRPr="008127F8">
        <w:rPr>
          <w:rFonts w:ascii="Times New Roman" w:hAnsi="Times New Roman" w:cs="Times New Roman"/>
          <w:color w:val="000000" w:themeColor="text1"/>
          <w:spacing w:val="0"/>
          <w:sz w:val="16"/>
          <w:szCs w:val="16"/>
        </w:rPr>
        <w:t xml:space="preserve"> и моторам </w:t>
      </w:r>
      <w:r w:rsidRPr="008127F8">
        <w:rPr>
          <w:rStyle w:val="5f1"/>
          <w:rFonts w:ascii="Times New Roman" w:hAnsi="Times New Roman" w:cs="Times New Roman"/>
          <w:color w:val="000000" w:themeColor="text1"/>
          <w:spacing w:val="0"/>
          <w:sz w:val="16"/>
          <w:szCs w:val="16"/>
        </w:rPr>
        <w:t>М-87 и М-88</w:t>
      </w:r>
      <w:r w:rsidRPr="008127F8">
        <w:rPr>
          <w:rFonts w:ascii="Times New Roman" w:hAnsi="Times New Roman" w:cs="Times New Roman"/>
          <w:color w:val="000000" w:themeColor="text1"/>
          <w:spacing w:val="0"/>
          <w:sz w:val="16"/>
          <w:szCs w:val="16"/>
        </w:rPr>
        <w:t xml:space="preserve"> произвести в счет заказа ГУ ВВС Крас</w:t>
      </w:r>
      <w:r w:rsidRPr="008127F8">
        <w:rPr>
          <w:rFonts w:ascii="Times New Roman" w:hAnsi="Times New Roman" w:cs="Times New Roman"/>
          <w:color w:val="000000" w:themeColor="text1"/>
          <w:spacing w:val="0"/>
          <w:sz w:val="16"/>
          <w:szCs w:val="16"/>
        </w:rPr>
        <w:softHyphen/>
        <w:t>ной Армии по россыпи на запасные части.</w:t>
      </w:r>
    </w:p>
    <w:p w14:paraId="64129AC1" w14:textId="77777777" w:rsidR="005B3C0B" w:rsidRPr="008127F8" w:rsidRDefault="005B3C0B" w:rsidP="001E0A84">
      <w:pPr>
        <w:pStyle w:val="8a"/>
        <w:shd w:val="clear" w:color="auto" w:fill="auto"/>
        <w:tabs>
          <w:tab w:val="left" w:pos="935"/>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4. Обязать НКПС - тов. Кагановича выделить необходимое количество вагонов для доставки запасных частей к самолетам и моторам в части, </w:t>
      </w:r>
      <w:proofErr w:type="gramStart"/>
      <w:r w:rsidRPr="008127F8">
        <w:rPr>
          <w:rFonts w:ascii="Times New Roman" w:hAnsi="Times New Roman" w:cs="Times New Roman"/>
          <w:color w:val="000000" w:themeColor="text1"/>
          <w:spacing w:val="0"/>
          <w:sz w:val="16"/>
          <w:szCs w:val="16"/>
        </w:rPr>
        <w:t>согласно заявки</w:t>
      </w:r>
      <w:proofErr w:type="gramEnd"/>
      <w:r w:rsidRPr="008127F8">
        <w:rPr>
          <w:rFonts w:ascii="Times New Roman" w:hAnsi="Times New Roman" w:cs="Times New Roman"/>
          <w:color w:val="000000" w:themeColor="text1"/>
          <w:spacing w:val="0"/>
          <w:sz w:val="16"/>
          <w:szCs w:val="16"/>
        </w:rPr>
        <w:t xml:space="preserve"> ГУ ВВС Красной Армии.</w:t>
      </w:r>
    </w:p>
    <w:p w14:paraId="38C7D639" w14:textId="77777777" w:rsidR="005B3C0B" w:rsidRPr="008127F8" w:rsidRDefault="005B3C0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Обязать заместителя командующего ВВС и главного инженера ВВС т.Петрова восстановить до 10 апреля </w:t>
      </w:r>
      <w:r w:rsidRPr="008127F8">
        <w:rPr>
          <w:rStyle w:val="5f1"/>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года </w:t>
      </w:r>
      <w:r w:rsidRPr="008127F8">
        <w:rPr>
          <w:rStyle w:val="Sylfaen9pt0pt"/>
          <w:rFonts w:ascii="Times New Roman" w:hAnsi="Times New Roman" w:cs="Times New Roman"/>
          <w:color w:val="000000" w:themeColor="text1"/>
          <w:sz w:val="16"/>
          <w:szCs w:val="16"/>
        </w:rPr>
        <w:t>есс</w:t>
      </w:r>
      <w:r w:rsidRPr="008127F8">
        <w:rPr>
          <w:rStyle w:val="5f1"/>
          <w:rFonts w:ascii="Times New Roman" w:hAnsi="Times New Roman" w:cs="Times New Roman"/>
          <w:color w:val="000000" w:themeColor="text1"/>
          <w:spacing w:val="0"/>
          <w:sz w:val="16"/>
          <w:szCs w:val="16"/>
        </w:rPr>
        <w:t xml:space="preserve"> 130</w:t>
      </w:r>
      <w:r w:rsidRPr="008127F8">
        <w:rPr>
          <w:rStyle w:val="Sylfaen9pt0pt"/>
          <w:rFonts w:ascii="Times New Roman" w:hAnsi="Times New Roman" w:cs="Times New Roman"/>
          <w:color w:val="000000" w:themeColor="text1"/>
          <w:sz w:val="16"/>
          <w:szCs w:val="16"/>
        </w:rPr>
        <w:t xml:space="preserve"> cамолетов</w:t>
      </w:r>
      <w:r w:rsidRPr="008127F8">
        <w:rPr>
          <w:rStyle w:val="7e"/>
          <w:rFonts w:ascii="Times New Roman" w:hAnsi="Times New Roman" w:cs="Times New Roman"/>
          <w:color w:val="000000" w:themeColor="text1"/>
          <w:spacing w:val="0"/>
          <w:sz w:val="16"/>
          <w:szCs w:val="16"/>
          <w:lang w:val="ru-RU"/>
        </w:rPr>
        <w:t xml:space="preserve"> </w:t>
      </w:r>
      <w:r w:rsidRPr="008127F8">
        <w:rPr>
          <w:rFonts w:ascii="Times New Roman" w:hAnsi="Times New Roman"/>
          <w:color w:val="000000" w:themeColor="text1"/>
          <w:sz w:val="16"/>
          <w:szCs w:val="16"/>
        </w:rPr>
        <w:t>ДБ-3 и ДБ-ЗФ, находящихся в настоящее (19228).</w:t>
      </w:r>
    </w:p>
    <w:p w14:paraId="65722910" w14:textId="77777777" w:rsidR="005B3C0B" w:rsidRPr="008127F8" w:rsidRDefault="005B3C0B"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E3B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1397 О сохранении производства моторов М-88 на заводе № 29 в Омске. РГАНИР, Фонд ГКО, д. 23, лл. 117 (11012).</w:t>
      </w:r>
    </w:p>
    <w:p w14:paraId="3C550549" w14:textId="77777777" w:rsidR="00E645CF" w:rsidRPr="008127F8" w:rsidRDefault="00E645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889FA" w14:textId="77777777" w:rsidR="00E645CF" w:rsidRPr="008127F8" w:rsidRDefault="00E645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1397 О сохранении производства моторов М-88 на заводе № 29 в Омске</w:t>
      </w:r>
    </w:p>
    <w:p w14:paraId="56920819" w14:textId="77777777" w:rsidR="00E645CF" w:rsidRPr="008127F8" w:rsidRDefault="00E645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отмену постановления ГОКО № 1263сс от 9 февраля 1942 года, Государственный Комитет Обороны постановляет:</w:t>
      </w:r>
    </w:p>
    <w:p w14:paraId="3B4D7D7A" w14:textId="77777777" w:rsidR="00E645CF" w:rsidRPr="008127F8" w:rsidRDefault="00E645CF" w:rsidP="001E0A84">
      <w:pPr>
        <w:tabs>
          <w:tab w:val="left" w:pos="131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Производство моторов М-88 на эаводе К? 29 не со</w:t>
      </w:r>
      <w:r w:rsidRPr="008127F8">
        <w:rPr>
          <w:rFonts w:ascii="Times New Roman" w:hAnsi="Times New Roman"/>
          <w:color w:val="000000" w:themeColor="text1"/>
          <w:sz w:val="16"/>
          <w:szCs w:val="16"/>
        </w:rPr>
        <w:softHyphen/>
        <w:t>кращать, а развивать его с тем, чтобы в мае м-це 1942 г. достигнуть выпуска 14 моторов в день и прочно закрепить этот выпуск.</w:t>
      </w:r>
    </w:p>
    <w:p w14:paraId="26D3755B" w14:textId="77777777" w:rsidR="00E645CF" w:rsidRPr="008127F8" w:rsidRDefault="00E645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Установить программу на 1942 год заводу 3? 29' по выпуску моторов М-82 в количестве 85 </w:t>
      </w:r>
      <w:r w:rsidRPr="008127F8">
        <w:rPr>
          <w:rStyle w:val="1pt"/>
          <w:rFonts w:ascii="Times New Roman" w:hAnsi="Times New Roman" w:cs="Times New Roman"/>
          <w:color w:val="000000" w:themeColor="text1"/>
          <w:spacing w:val="0"/>
          <w:sz w:val="16"/>
          <w:szCs w:val="16"/>
        </w:rPr>
        <w:t>шт.,</w:t>
      </w:r>
      <w:r w:rsidRPr="008127F8">
        <w:rPr>
          <w:rFonts w:ascii="Times New Roman" w:hAnsi="Times New Roman"/>
          <w:color w:val="000000" w:themeColor="text1"/>
          <w:sz w:val="16"/>
          <w:szCs w:val="16"/>
        </w:rPr>
        <w:t xml:space="preserve"> в том числе: - в октябре - 10, - в ноябре - 25 и в декабре - 50 моторов (19219).</w:t>
      </w:r>
    </w:p>
    <w:p w14:paraId="1949FB34" w14:textId="77777777" w:rsidR="00E645CF" w:rsidRPr="008127F8" w:rsidRDefault="00E645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6B6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года вышло Постановление ГКО № 1397 «О сохранении производ</w:t>
      </w:r>
      <w:r w:rsidRPr="008127F8">
        <w:rPr>
          <w:rFonts w:ascii="Times New Roman" w:hAnsi="Times New Roman"/>
          <w:color w:val="000000" w:themeColor="text1"/>
          <w:sz w:val="16"/>
          <w:szCs w:val="16"/>
        </w:rPr>
        <w:softHyphen/>
        <w:t>ства моторов М-88 на заводе № 29 в Омске», которое отменяло постановление от 9 февраля 1942 «О пере</w:t>
      </w:r>
      <w:r w:rsidRPr="008127F8">
        <w:rPr>
          <w:rFonts w:ascii="Times New Roman" w:hAnsi="Times New Roman"/>
          <w:color w:val="000000" w:themeColor="text1"/>
          <w:sz w:val="16"/>
          <w:szCs w:val="16"/>
        </w:rPr>
        <w:softHyphen/>
        <w:t>воде завода №29 в Омске на про</w:t>
      </w:r>
      <w:r w:rsidRPr="008127F8">
        <w:rPr>
          <w:rFonts w:ascii="Times New Roman" w:hAnsi="Times New Roman"/>
          <w:color w:val="000000" w:themeColor="text1"/>
          <w:sz w:val="16"/>
          <w:szCs w:val="16"/>
        </w:rPr>
        <w:softHyphen/>
        <w:t>изводство моторов М-82 и о разви</w:t>
      </w:r>
      <w:r w:rsidRPr="008127F8">
        <w:rPr>
          <w:rFonts w:ascii="Times New Roman" w:hAnsi="Times New Roman"/>
          <w:color w:val="000000" w:themeColor="text1"/>
          <w:sz w:val="16"/>
          <w:szCs w:val="16"/>
        </w:rPr>
        <w:softHyphen/>
        <w:t>тии производства моторов М-62ИР на заводе № 19» и постановляло произ</w:t>
      </w:r>
      <w:r w:rsidRPr="008127F8">
        <w:rPr>
          <w:rFonts w:ascii="Times New Roman" w:hAnsi="Times New Roman"/>
          <w:color w:val="000000" w:themeColor="text1"/>
          <w:sz w:val="16"/>
          <w:szCs w:val="16"/>
        </w:rPr>
        <w:softHyphen/>
        <w:t>водство моторов М-88 на заводе 29 не сокращать, а развивать его с тем, чтобы в мае 1942 года достигнуть выпуска 14 моторов в день и прочно закрепить этот выпуск. Программа заводу № 29 на 1942 год по выпуску моторов М-82 должна была составить всего 85 штук, в том числе в октябре - 10, в ноябре - 25, декабре - 50 (10686).</w:t>
      </w:r>
    </w:p>
    <w:p w14:paraId="3C12D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199CB" w14:textId="77777777" w:rsidR="00DE624F" w:rsidRPr="008127F8" w:rsidRDefault="00DE624F" w:rsidP="001E0A84">
      <w:pPr>
        <w:pStyle w:val="a4"/>
        <w:rPr>
          <w:color w:val="000000" w:themeColor="text1"/>
          <w:lang w:val="ru-RU"/>
        </w:rPr>
      </w:pPr>
      <w:r w:rsidRPr="008127F8">
        <w:rPr>
          <w:color w:val="000000" w:themeColor="text1"/>
          <w:lang w:val="ru-RU"/>
        </w:rPr>
        <w:t>6 марта 1942 г. вышло Постановление ГКО № 1397 «О со</w:t>
      </w:r>
      <w:r w:rsidRPr="008127F8">
        <w:rPr>
          <w:color w:val="000000" w:themeColor="text1"/>
          <w:lang w:val="ru-RU"/>
        </w:rPr>
        <w:softHyphen/>
        <w:t>хранении производства моторов М-88 на заводе № 29 в Омске», которое отменяло постановле</w:t>
      </w:r>
      <w:r w:rsidRPr="008127F8">
        <w:rPr>
          <w:color w:val="000000" w:themeColor="text1"/>
          <w:lang w:val="ru-RU"/>
        </w:rPr>
        <w:softHyphen/>
        <w:t>ние от 9 февраля и постановило производство моторов М-88 на заводе № 29 не сокращать, а развивать его с тем, чтобы в мае 1942 г. достигнуть выпуска 14 моторов в нь и прочно закрепить этот выпуск. Программа заводу № 29 на 1942 г. по выпуску торов М-82 должна была составить всего 85 штук, в том числе в октябре — 10, в ноябре — 25, декабре — 50 (15788).</w:t>
      </w:r>
    </w:p>
    <w:p w14:paraId="5C05D830" w14:textId="77777777" w:rsidR="00DE624F" w:rsidRPr="008127F8" w:rsidRDefault="00DE624F" w:rsidP="001E0A84">
      <w:pPr>
        <w:pStyle w:val="a4"/>
        <w:rPr>
          <w:color w:val="000000" w:themeColor="text1"/>
          <w:lang w:val="ru-RU"/>
        </w:rPr>
      </w:pPr>
    </w:p>
    <w:p w14:paraId="674382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начальник Главного управления заказов и технического снабжения бригинженер Селезнев лично обратился к наркому авиапромышленности А.И. Шахурину с просьбой "подтянуть" подчиненных: "Учитывая большую нужду в двухмоторных истребителях, прошу Вас обязать завод № 39 форсировать выпуск самолетов Пе-3..." (12042).</w:t>
      </w:r>
    </w:p>
    <w:p w14:paraId="23EAAE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7AA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1396 Об отмене постановления ГКО о постановке производства самолета 103 на заводе № 22 в Казани. РГАНИР, Фонд ГКО, д. 23, лл. 116 (11012).</w:t>
      </w:r>
    </w:p>
    <w:p w14:paraId="75B331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91C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 пост. ГКО № 1396 было отменено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от 3 января 1942(11982).</w:t>
      </w:r>
    </w:p>
    <w:p w14:paraId="1F581B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312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N 1396сс о постановке производства самолета 103 ГК А.Н.Т. на заводе 22 в Казани (1531,95).</w:t>
      </w:r>
    </w:p>
    <w:p w14:paraId="4C46AD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F222B" w14:textId="77777777" w:rsidR="00350FD7" w:rsidRPr="008127F8" w:rsidRDefault="00350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N 1396сс о постановке производства самолета 103 ГК А.Н.Т. на заводе 22 в Казани</w:t>
      </w:r>
    </w:p>
    <w:p w14:paraId="187E9EA5" w14:textId="77777777" w:rsidR="00350FD7" w:rsidRPr="008127F8" w:rsidRDefault="00350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4C98DD4F" w14:textId="77777777" w:rsidR="00350FD7" w:rsidRPr="008127F8" w:rsidRDefault="00350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 ГОКО от 3 января 1942 года W 1094сс о по</w:t>
      </w:r>
      <w:r w:rsidRPr="008127F8">
        <w:rPr>
          <w:rFonts w:ascii="Times New Roman" w:hAnsi="Times New Roman"/>
          <w:color w:val="000000" w:themeColor="text1"/>
          <w:sz w:val="16"/>
          <w:szCs w:val="16"/>
        </w:rPr>
        <w:softHyphen/>
        <w:t>становке производства самолета "103й главного конструкто</w:t>
      </w:r>
      <w:r w:rsidRPr="008127F8">
        <w:rPr>
          <w:rFonts w:ascii="Times New Roman" w:hAnsi="Times New Roman"/>
          <w:color w:val="000000" w:themeColor="text1"/>
          <w:sz w:val="16"/>
          <w:szCs w:val="16"/>
        </w:rPr>
        <w:softHyphen/>
        <w:t xml:space="preserve">ра </w:t>
      </w:r>
      <w:proofErr w:type="gramStart"/>
      <w:r w:rsidRPr="008127F8">
        <w:rPr>
          <w:rFonts w:ascii="Times New Roman" w:hAnsi="Times New Roman"/>
          <w:color w:val="000000" w:themeColor="text1"/>
          <w:sz w:val="16"/>
          <w:szCs w:val="16"/>
        </w:rPr>
        <w:t>тов.Туполева</w:t>
      </w:r>
      <w:proofErr w:type="gramEnd"/>
      <w:r w:rsidRPr="008127F8">
        <w:rPr>
          <w:rFonts w:ascii="Times New Roman" w:hAnsi="Times New Roman"/>
          <w:color w:val="000000" w:themeColor="text1"/>
          <w:sz w:val="16"/>
          <w:szCs w:val="16"/>
        </w:rPr>
        <w:t xml:space="preserve"> на заводе N? 22 в Казани - отменить.</w:t>
      </w:r>
    </w:p>
    <w:p w14:paraId="1F6EF079" w14:textId="77777777" w:rsidR="00350FD7" w:rsidRPr="008127F8" w:rsidRDefault="00350FD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Наркомавиапром- </w:t>
      </w:r>
      <w:proofErr w:type="gramStart"/>
      <w:r w:rsidRPr="008127F8">
        <w:rPr>
          <w:rFonts w:ascii="Times New Roman" w:hAnsi="Times New Roman"/>
          <w:color w:val="000000" w:themeColor="text1"/>
          <w:sz w:val="16"/>
          <w:szCs w:val="16"/>
        </w:rPr>
        <w:t>тов.Иахурина</w:t>
      </w:r>
      <w:proofErr w:type="gramEnd"/>
      <w:r w:rsidRPr="008127F8">
        <w:rPr>
          <w:rFonts w:ascii="Times New Roman" w:hAnsi="Times New Roman"/>
          <w:color w:val="000000" w:themeColor="text1"/>
          <w:sz w:val="16"/>
          <w:szCs w:val="16"/>
        </w:rPr>
        <w:t xml:space="preserve"> и директора завода № 22 - тов.Карпова развивать на полную мощность производство самолетов Пе-2 на заводе № 22 в гор.Казани с тем, чтобы к концу марта прочно выйти на выпуск б само</w:t>
      </w:r>
      <w:r w:rsidRPr="008127F8">
        <w:rPr>
          <w:rFonts w:ascii="Times New Roman" w:hAnsi="Times New Roman"/>
          <w:color w:val="000000" w:themeColor="text1"/>
          <w:sz w:val="16"/>
          <w:szCs w:val="16"/>
        </w:rPr>
        <w:softHyphen/>
        <w:t>летов в день и в апреле - 8 самолетов в день (19216).</w:t>
      </w:r>
    </w:p>
    <w:p w14:paraId="7E0C2473" w14:textId="77777777" w:rsidR="00350FD7" w:rsidRPr="008127F8" w:rsidRDefault="00350FD7" w:rsidP="001E0A84">
      <w:pPr>
        <w:spacing w:after="0" w:line="240" w:lineRule="auto"/>
        <w:jc w:val="both"/>
        <w:rPr>
          <w:rFonts w:ascii="Times New Roman" w:hAnsi="Times New Roman"/>
          <w:color w:val="000000" w:themeColor="text1"/>
          <w:sz w:val="16"/>
          <w:szCs w:val="16"/>
        </w:rPr>
      </w:pPr>
    </w:p>
    <w:p w14:paraId="32DF4F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закончились гос. испытания ЛаГГ-3 на лыжах, которые проходили с 30 декабря 1941 (796,8).</w:t>
      </w:r>
    </w:p>
    <w:p w14:paraId="3BF802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EC2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года во время учебно-тренировочных полетов на самолете Ил-2 776 штурмового полка по причине обрыва штока второго выхлопного клапана 6-го цилиндра правой группы возник пожар. Самолет сгорел. Летчик погиб (1634,138).</w:t>
      </w:r>
    </w:p>
    <w:p w14:paraId="63D0B2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CB4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1398 О переводе завода № 458. из г. Баку в г. Москву. РГАНИР, Фонд ГКО, д. 23, лл. 118 (11012).</w:t>
      </w:r>
    </w:p>
    <w:p w14:paraId="11A380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386AD" w14:textId="77777777" w:rsidR="00C61B40" w:rsidRPr="008127F8" w:rsidRDefault="00C61B4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1398 О переводе завода № 458. из г. Баку в г. Москву</w:t>
      </w:r>
    </w:p>
    <w:p w14:paraId="13027789" w14:textId="77777777" w:rsidR="00C61B40" w:rsidRPr="008127F8" w:rsidRDefault="00C61B40"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целях быстрейшего создания баэы для производства самолетов ДБ-ЗФ в Москве, Государственный Комитет Оборо</w:t>
      </w:r>
      <w:r w:rsidRPr="008127F8">
        <w:rPr>
          <w:rFonts w:ascii="Times New Roman" w:cs="Times New Roman"/>
          <w:color w:val="000000" w:themeColor="text1"/>
          <w:spacing w:val="0"/>
          <w:sz w:val="16"/>
          <w:szCs w:val="16"/>
        </w:rPr>
        <w:softHyphen/>
        <w:t>ны постановляет:</w:t>
      </w:r>
    </w:p>
    <w:p w14:paraId="60B090B1" w14:textId="77777777" w:rsidR="00C61B40" w:rsidRPr="008127F8" w:rsidRDefault="00C61B40" w:rsidP="001E0A84">
      <w:pPr>
        <w:pStyle w:val="36"/>
        <w:shd w:val="clear" w:color="auto" w:fill="auto"/>
        <w:tabs>
          <w:tab w:val="left" w:pos="161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1. Обязать Наркомавиапром - </w:t>
      </w:r>
      <w:proofErr w:type="gramStart"/>
      <w:r w:rsidRPr="008127F8">
        <w:rPr>
          <w:rFonts w:ascii="Times New Roman" w:cs="Times New Roman"/>
          <w:color w:val="000000" w:themeColor="text1"/>
          <w:spacing w:val="0"/>
          <w:sz w:val="16"/>
          <w:szCs w:val="16"/>
        </w:rPr>
        <w:t>тов.Шахурина</w:t>
      </w:r>
      <w:proofErr w:type="gramEnd"/>
      <w:r w:rsidRPr="008127F8">
        <w:rPr>
          <w:rFonts w:ascii="Times New Roman" w:cs="Times New Roman"/>
          <w:color w:val="000000" w:themeColor="text1"/>
          <w:spacing w:val="0"/>
          <w:sz w:val="16"/>
          <w:szCs w:val="16"/>
        </w:rPr>
        <w:t xml:space="preserve"> перевести ив Баку завод $ </w:t>
      </w:r>
      <w:r w:rsidRPr="008127F8">
        <w:rPr>
          <w:rStyle w:val="0pt"/>
          <w:rFonts w:ascii="Times New Roman" w:cs="Times New Roman"/>
          <w:color w:val="000000" w:themeColor="text1"/>
          <w:spacing w:val="0"/>
          <w:sz w:val="16"/>
          <w:szCs w:val="16"/>
        </w:rPr>
        <w:t>458</w:t>
      </w:r>
      <w:r w:rsidRPr="008127F8">
        <w:rPr>
          <w:rFonts w:ascii="Times New Roman" w:cs="Times New Roman"/>
          <w:color w:val="000000" w:themeColor="text1"/>
          <w:spacing w:val="0"/>
          <w:sz w:val="16"/>
          <w:szCs w:val="16"/>
        </w:rPr>
        <w:t xml:space="preserve"> с оборудованием, материалами и кадра</w:t>
      </w:r>
      <w:r w:rsidRPr="008127F8">
        <w:rPr>
          <w:rFonts w:ascii="Times New Roman" w:cs="Times New Roman"/>
          <w:color w:val="000000" w:themeColor="text1"/>
          <w:spacing w:val="0"/>
          <w:sz w:val="16"/>
          <w:szCs w:val="16"/>
        </w:rPr>
        <w:softHyphen/>
        <w:t>ми в Москву на завод № 81 для постановки производства ДБ-ЗФ.</w:t>
      </w:r>
    </w:p>
    <w:p w14:paraId="70ABD2E7" w14:textId="77777777" w:rsidR="00C61B40" w:rsidRPr="008127F8" w:rsidRDefault="00C61B40"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Инструмент, приспособления и заделы по самолету Як-7 передать с завода № </w:t>
      </w:r>
      <w:r w:rsidRPr="008127F8">
        <w:rPr>
          <w:rStyle w:val="0pt"/>
          <w:rFonts w:ascii="Times New Roman" w:cs="Times New Roman"/>
          <w:color w:val="000000" w:themeColor="text1"/>
          <w:spacing w:val="0"/>
          <w:sz w:val="16"/>
          <w:szCs w:val="16"/>
        </w:rPr>
        <w:t>458</w:t>
      </w:r>
      <w:r w:rsidRPr="008127F8">
        <w:rPr>
          <w:rFonts w:ascii="Times New Roman" w:cs="Times New Roman"/>
          <w:color w:val="000000" w:themeColor="text1"/>
          <w:spacing w:val="0"/>
          <w:sz w:val="16"/>
          <w:szCs w:val="16"/>
        </w:rPr>
        <w:t xml:space="preserve"> для производства Як-7 в Москве.</w:t>
      </w:r>
    </w:p>
    <w:p w14:paraId="0AC6EABF" w14:textId="77777777" w:rsidR="00C61B40" w:rsidRPr="008127F8" w:rsidRDefault="00C61B40" w:rsidP="001E0A84">
      <w:pPr>
        <w:pStyle w:val="36"/>
        <w:shd w:val="clear" w:color="auto" w:fill="auto"/>
        <w:tabs>
          <w:tab w:val="left" w:pos="159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2. Оборудование, переданное заводу № </w:t>
      </w:r>
      <w:r w:rsidRPr="008127F8">
        <w:rPr>
          <w:rStyle w:val="0pt"/>
          <w:rFonts w:ascii="Times New Roman" w:cs="Times New Roman"/>
          <w:color w:val="000000" w:themeColor="text1"/>
          <w:spacing w:val="0"/>
          <w:sz w:val="16"/>
          <w:szCs w:val="16"/>
        </w:rPr>
        <w:t>458</w:t>
      </w:r>
      <w:r w:rsidRPr="008127F8">
        <w:rPr>
          <w:rFonts w:ascii="Times New Roman" w:cs="Times New Roman"/>
          <w:color w:val="000000" w:themeColor="text1"/>
          <w:spacing w:val="0"/>
          <w:sz w:val="16"/>
          <w:szCs w:val="16"/>
        </w:rPr>
        <w:t xml:space="preserve"> с эвакобаэ города Баку в количестве </w:t>
      </w:r>
      <w:r w:rsidRPr="008127F8">
        <w:rPr>
          <w:rStyle w:val="0pt"/>
          <w:rFonts w:ascii="Times New Roman" w:cs="Times New Roman"/>
          <w:color w:val="000000" w:themeColor="text1"/>
          <w:spacing w:val="0"/>
          <w:sz w:val="16"/>
          <w:szCs w:val="16"/>
        </w:rPr>
        <w:t>228</w:t>
      </w:r>
      <w:r w:rsidRPr="008127F8">
        <w:rPr>
          <w:rFonts w:ascii="Times New Roman" w:cs="Times New Roman"/>
          <w:color w:val="000000" w:themeColor="text1"/>
          <w:spacing w:val="0"/>
          <w:sz w:val="16"/>
          <w:szCs w:val="16"/>
        </w:rPr>
        <w:t xml:space="preserve"> единиц металлорежущих станков, закрепить за НКАП и передать вместе с заводом № </w:t>
      </w:r>
      <w:r w:rsidRPr="008127F8">
        <w:rPr>
          <w:rStyle w:val="0pt"/>
          <w:rFonts w:ascii="Times New Roman" w:cs="Times New Roman"/>
          <w:color w:val="000000" w:themeColor="text1"/>
          <w:spacing w:val="0"/>
          <w:sz w:val="16"/>
          <w:szCs w:val="16"/>
        </w:rPr>
        <w:t xml:space="preserve">458 на </w:t>
      </w:r>
      <w:r w:rsidRPr="008127F8">
        <w:rPr>
          <w:rFonts w:ascii="Times New Roman" w:cs="Times New Roman"/>
          <w:color w:val="000000" w:themeColor="text1"/>
          <w:spacing w:val="0"/>
          <w:sz w:val="16"/>
          <w:szCs w:val="16"/>
        </w:rPr>
        <w:t xml:space="preserve">завод № </w:t>
      </w:r>
      <w:r w:rsidRPr="008127F8">
        <w:rPr>
          <w:rStyle w:val="0pt"/>
          <w:rFonts w:ascii="Times New Roman" w:cs="Times New Roman"/>
          <w:color w:val="000000" w:themeColor="text1"/>
          <w:spacing w:val="0"/>
          <w:sz w:val="16"/>
          <w:szCs w:val="16"/>
        </w:rPr>
        <w:t>81.</w:t>
      </w:r>
    </w:p>
    <w:p w14:paraId="0C285A8F" w14:textId="77777777" w:rsidR="00C61B40" w:rsidRPr="008127F8" w:rsidRDefault="00C61B4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Обязать НКПС - </w:t>
      </w:r>
      <w:proofErr w:type="gramStart"/>
      <w:r w:rsidRPr="008127F8">
        <w:rPr>
          <w:rFonts w:ascii="Times New Roman" w:hAnsi="Times New Roman"/>
          <w:color w:val="000000" w:themeColor="text1"/>
          <w:sz w:val="16"/>
          <w:szCs w:val="16"/>
        </w:rPr>
        <w:t>тов.Кагановича</w:t>
      </w:r>
      <w:proofErr w:type="gramEnd"/>
      <w:r w:rsidRPr="008127F8">
        <w:rPr>
          <w:rFonts w:ascii="Times New Roman" w:hAnsi="Times New Roman"/>
          <w:color w:val="000000" w:themeColor="text1"/>
          <w:sz w:val="16"/>
          <w:szCs w:val="16"/>
        </w:rPr>
        <w:t xml:space="preserve"> выделить для пере</w:t>
      </w:r>
      <w:r w:rsidRPr="008127F8">
        <w:rPr>
          <w:rFonts w:ascii="Times New Roman" w:hAnsi="Times New Roman"/>
          <w:color w:val="000000" w:themeColor="text1"/>
          <w:sz w:val="16"/>
          <w:szCs w:val="16"/>
        </w:rPr>
        <w:softHyphen/>
        <w:t xml:space="preserve">возки завода </w:t>
      </w:r>
      <w:r w:rsidRPr="008127F8">
        <w:rPr>
          <w:rFonts w:ascii="Times New Roman" w:hAnsi="Times New Roman"/>
          <w:color w:val="000000" w:themeColor="text1"/>
          <w:sz w:val="16"/>
          <w:szCs w:val="16"/>
          <w:lang w:val="en-US"/>
        </w:rPr>
        <w:t>Iff</w:t>
      </w:r>
      <w:r w:rsidRPr="008127F8">
        <w:rPr>
          <w:rFonts w:ascii="Times New Roman" w:hAnsi="Times New Roman"/>
          <w:color w:val="000000" w:themeColor="text1"/>
          <w:sz w:val="16"/>
          <w:szCs w:val="16"/>
        </w:rPr>
        <w:t xml:space="preserve"> </w:t>
      </w:r>
      <w:r w:rsidRPr="008127F8">
        <w:rPr>
          <w:rStyle w:val="0pt"/>
          <w:rFonts w:ascii="Times New Roman" w:hAnsi="Times New Roman" w:cs="Times New Roman"/>
          <w:color w:val="000000" w:themeColor="text1"/>
          <w:spacing w:val="0"/>
          <w:sz w:val="16"/>
          <w:szCs w:val="16"/>
        </w:rPr>
        <w:t>458</w:t>
      </w:r>
      <w:r w:rsidRPr="008127F8">
        <w:rPr>
          <w:rFonts w:ascii="Times New Roman" w:hAnsi="Times New Roman"/>
          <w:color w:val="000000" w:themeColor="text1"/>
          <w:sz w:val="16"/>
          <w:szCs w:val="16"/>
        </w:rPr>
        <w:t xml:space="preserve"> из гор.Баку в гор.Москву </w:t>
      </w:r>
      <w:r w:rsidRPr="008127F8">
        <w:rPr>
          <w:rStyle w:val="0pt"/>
          <w:rFonts w:ascii="Times New Roman" w:hAnsi="Times New Roman" w:cs="Times New Roman"/>
          <w:color w:val="000000" w:themeColor="text1"/>
          <w:spacing w:val="0"/>
          <w:sz w:val="16"/>
          <w:szCs w:val="16"/>
        </w:rPr>
        <w:t>600</w:t>
      </w:r>
      <w:r w:rsidRPr="008127F8">
        <w:rPr>
          <w:rFonts w:ascii="Times New Roman" w:hAnsi="Times New Roman"/>
          <w:color w:val="000000" w:themeColor="text1"/>
          <w:sz w:val="16"/>
          <w:szCs w:val="16"/>
        </w:rPr>
        <w:t xml:space="preserve"> вагонов, закончив перевозку завода в марте месяце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года (19221)</w:t>
      </w:r>
    </w:p>
    <w:p w14:paraId="0326EA22" w14:textId="77777777" w:rsidR="00C61B40" w:rsidRPr="008127F8" w:rsidRDefault="00C61B4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0C7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года Решением ГКО за № 1398сс и 9 марта 1942 года приказом НКАП был расформирован завод № 458, эвакуированный из Ростова-на-Дону в Баку, часть оборудования и рабочей силы были переданы заводу № 23.</w:t>
      </w:r>
    </w:p>
    <w:p w14:paraId="5E125B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01468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0A08CA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Постановлением СМ № 1627-682сс от 17 мая 1948 года и приказа МАП № 331сс от 27 мая 1948 года заводу дано новое производственное задание по выпуску самолетов </w:t>
      </w:r>
      <w:r w:rsidRPr="008127F8">
        <w:rPr>
          <w:rFonts w:ascii="Times New Roman" w:hAnsi="Times New Roman"/>
          <w:color w:val="000000" w:themeColor="text1"/>
          <w:sz w:val="16"/>
          <w:szCs w:val="16"/>
        </w:rPr>
        <w:lastRenderedPageBreak/>
        <w:t>ТУ-14 со снятием с производства самолета ТУ-2.</w:t>
      </w:r>
    </w:p>
    <w:p w14:paraId="0E580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6256F4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CF69D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5C0452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2CCC72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A4F62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5435A7D3" w14:textId="77777777">
        <w:tc>
          <w:tcPr>
            <w:tcW w:w="817" w:type="dxa"/>
          </w:tcPr>
          <w:p w14:paraId="127BB4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изделий</w:t>
            </w:r>
          </w:p>
        </w:tc>
        <w:tc>
          <w:tcPr>
            <w:tcW w:w="1348" w:type="dxa"/>
          </w:tcPr>
          <w:p w14:paraId="2ECDAA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 количество двигателей установлен. на самолете</w:t>
            </w:r>
          </w:p>
        </w:tc>
        <w:tc>
          <w:tcPr>
            <w:tcW w:w="920" w:type="dxa"/>
          </w:tcPr>
          <w:p w14:paraId="2319AA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w:t>
            </w:r>
          </w:p>
        </w:tc>
        <w:tc>
          <w:tcPr>
            <w:tcW w:w="851" w:type="dxa"/>
          </w:tcPr>
          <w:p w14:paraId="2AAB1F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w:t>
            </w:r>
          </w:p>
        </w:tc>
        <w:tc>
          <w:tcPr>
            <w:tcW w:w="850" w:type="dxa"/>
          </w:tcPr>
          <w:p w14:paraId="01E0F1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w:t>
            </w:r>
          </w:p>
        </w:tc>
        <w:tc>
          <w:tcPr>
            <w:tcW w:w="851" w:type="dxa"/>
          </w:tcPr>
          <w:p w14:paraId="2DAB62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1955 год</w:t>
            </w:r>
          </w:p>
        </w:tc>
        <w:tc>
          <w:tcPr>
            <w:tcW w:w="850" w:type="dxa"/>
          </w:tcPr>
          <w:p w14:paraId="22E64A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1956 год</w:t>
            </w:r>
          </w:p>
        </w:tc>
        <w:tc>
          <w:tcPr>
            <w:tcW w:w="851" w:type="dxa"/>
          </w:tcPr>
          <w:p w14:paraId="77C272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w:t>
            </w:r>
          </w:p>
        </w:tc>
        <w:tc>
          <w:tcPr>
            <w:tcW w:w="850" w:type="dxa"/>
          </w:tcPr>
          <w:p w14:paraId="79BC9F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1958 год</w:t>
            </w:r>
          </w:p>
        </w:tc>
      </w:tr>
      <w:tr w:rsidR="006F4095" w:rsidRPr="008127F8" w14:paraId="3F4695D2" w14:textId="77777777">
        <w:tc>
          <w:tcPr>
            <w:tcW w:w="817" w:type="dxa"/>
          </w:tcPr>
          <w:p w14:paraId="29741A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Ту-4</w:t>
            </w:r>
          </w:p>
        </w:tc>
        <w:tc>
          <w:tcPr>
            <w:tcW w:w="1348" w:type="dxa"/>
          </w:tcPr>
          <w:p w14:paraId="661DFA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4АШ73МК</w:t>
            </w:r>
          </w:p>
        </w:tc>
        <w:tc>
          <w:tcPr>
            <w:tcW w:w="920" w:type="dxa"/>
          </w:tcPr>
          <w:p w14:paraId="271F26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851" w:type="dxa"/>
          </w:tcPr>
          <w:p w14:paraId="710F83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7B44A8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CF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6CAC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1C80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68D1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C08C67A" w14:textId="77777777">
        <w:tc>
          <w:tcPr>
            <w:tcW w:w="817" w:type="dxa"/>
          </w:tcPr>
          <w:p w14:paraId="11EE71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ИЛ-28</w:t>
            </w:r>
          </w:p>
        </w:tc>
        <w:tc>
          <w:tcPr>
            <w:tcW w:w="1348" w:type="dxa"/>
          </w:tcPr>
          <w:p w14:paraId="03730E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2АШ73МК</w:t>
            </w:r>
          </w:p>
        </w:tc>
        <w:tc>
          <w:tcPr>
            <w:tcW w:w="920" w:type="dxa"/>
          </w:tcPr>
          <w:p w14:paraId="6FF7B9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A17D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0" w:type="dxa"/>
          </w:tcPr>
          <w:p w14:paraId="075B05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775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8712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FE4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74E1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CA588E" w14:textId="77777777">
        <w:tc>
          <w:tcPr>
            <w:tcW w:w="817" w:type="dxa"/>
          </w:tcPr>
          <w:p w14:paraId="37B31A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1348" w:type="dxa"/>
          </w:tcPr>
          <w:p w14:paraId="6D00F5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4АМ3</w:t>
            </w:r>
          </w:p>
        </w:tc>
        <w:tc>
          <w:tcPr>
            <w:tcW w:w="920" w:type="dxa"/>
          </w:tcPr>
          <w:p w14:paraId="58CCEF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1" w:type="dxa"/>
          </w:tcPr>
          <w:p w14:paraId="49098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0ED89A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AB76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E6D1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F282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9212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FE95962" w14:textId="77777777">
        <w:tc>
          <w:tcPr>
            <w:tcW w:w="817" w:type="dxa"/>
          </w:tcPr>
          <w:p w14:paraId="64B41A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М-4</w:t>
            </w:r>
          </w:p>
        </w:tc>
        <w:tc>
          <w:tcPr>
            <w:tcW w:w="1348" w:type="dxa"/>
          </w:tcPr>
          <w:p w14:paraId="6C659A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tc>
        <w:tc>
          <w:tcPr>
            <w:tcW w:w="920" w:type="dxa"/>
          </w:tcPr>
          <w:p w14:paraId="10E85D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45F5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E89B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1" w:type="dxa"/>
          </w:tcPr>
          <w:p w14:paraId="5997C4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50" w:type="dxa"/>
          </w:tcPr>
          <w:p w14:paraId="2E5976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851" w:type="dxa"/>
          </w:tcPr>
          <w:p w14:paraId="391C5D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02BEB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E86747" w14:textId="77777777">
        <w:tc>
          <w:tcPr>
            <w:tcW w:w="817" w:type="dxa"/>
          </w:tcPr>
          <w:p w14:paraId="36170E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3М</w:t>
            </w:r>
          </w:p>
        </w:tc>
        <w:tc>
          <w:tcPr>
            <w:tcW w:w="1348" w:type="dxa"/>
          </w:tcPr>
          <w:p w14:paraId="2D92F3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p w14:paraId="79A0C4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4АВД-7</w:t>
            </w:r>
          </w:p>
        </w:tc>
        <w:tc>
          <w:tcPr>
            <w:tcW w:w="920" w:type="dxa"/>
          </w:tcPr>
          <w:p w14:paraId="279FA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DAA3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C146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B1E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8197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851" w:type="dxa"/>
          </w:tcPr>
          <w:p w14:paraId="49A13D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850" w:type="dxa"/>
          </w:tcPr>
          <w:p w14:paraId="49B849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bl>
    <w:p w14:paraId="17CED5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Г-87, п/я 222</w:t>
      </w:r>
    </w:p>
    <w:p w14:paraId="74F3A0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Осипов (1959)</w:t>
      </w:r>
    </w:p>
    <w:p w14:paraId="4169CF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металлическое самолетостроение (9754).</w:t>
      </w:r>
    </w:p>
    <w:p w14:paraId="134254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7EE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 в соответствии с постановлением № ГОКО-1398сс и приказом № 227сс от 21.03.1942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 (10776).</w:t>
      </w:r>
    </w:p>
    <w:p w14:paraId="2F6537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679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1399 О выделении самолетостроительным и моторостроительным заводам НКАП 17 транспортных самолетов ПС-84. РГАНИР, Фонд ГКО, д. 23, лл. 119 (11012).</w:t>
      </w:r>
    </w:p>
    <w:p w14:paraId="6876EE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0A88A" w14:textId="77777777" w:rsidR="00C61B40" w:rsidRPr="008127F8" w:rsidRDefault="00C61B4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1399 О выделении самолетостроительным и моторостроительным заводам НКАП 17 транспортных самолетов ПС-84</w:t>
      </w:r>
    </w:p>
    <w:p w14:paraId="553E899A"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целях улучшения материально-технического снабжения авиационных заводов, Государственный Комитет Обороны поста</w:t>
      </w:r>
      <w:r w:rsidRPr="008127F8">
        <w:rPr>
          <w:rFonts w:ascii="Times New Roman" w:hAnsi="Times New Roman" w:cs="Times New Roman"/>
          <w:color w:val="000000" w:themeColor="text1"/>
          <w:sz w:val="16"/>
          <w:szCs w:val="16"/>
        </w:rPr>
        <w:softHyphen/>
        <w:t>новляет:</w:t>
      </w:r>
    </w:p>
    <w:p w14:paraId="5B31C01F"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Выделить в счет мартовской программы эавода № 84 9 самолетов ПС-84 следующим заводам НКАП:</w:t>
      </w:r>
    </w:p>
    <w:p w14:paraId="1EA443AC"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Заводу № 1 - 1 самолет</w:t>
      </w:r>
    </w:p>
    <w:p w14:paraId="1EC4F23B" w14:textId="77777777" w:rsidR="00CC69F6" w:rsidRPr="008127F8" w:rsidRDefault="00CC69F6"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16 - 1</w:t>
      </w:r>
    </w:p>
    <w:p w14:paraId="048D859F"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18 - 1</w:t>
      </w:r>
    </w:p>
    <w:p w14:paraId="444BE37A"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Style w:val="2Batang85pt"/>
          <w:rFonts w:ascii="Times New Roman" w:hAnsi="Times New Roman" w:cs="Times New Roman"/>
          <w:color w:val="000000" w:themeColor="text1"/>
          <w:sz w:val="16"/>
          <w:szCs w:val="16"/>
        </w:rPr>
        <w:t>24 - 1</w:t>
      </w:r>
    </w:p>
    <w:p w14:paraId="2E629A6F"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26 - 1</w:t>
      </w:r>
    </w:p>
    <w:p w14:paraId="17CB695F"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31 - 1</w:t>
      </w:r>
    </w:p>
    <w:p w14:paraId="71961B34"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39 - 1</w:t>
      </w:r>
    </w:p>
    <w:p w14:paraId="269E94DA"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30 - 1</w:t>
      </w:r>
    </w:p>
    <w:p w14:paraId="2CC12585"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153 - 1</w:t>
      </w:r>
    </w:p>
    <w:p w14:paraId="08C92D3F"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Обязать т.Голованова передать в распоряжение НКАП 8 самолетов ПС-84 для следующих заводов:</w:t>
      </w:r>
    </w:p>
    <w:p w14:paraId="28D979C5"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Заводу № </w:t>
      </w:r>
      <w:r w:rsidR="00CC69F6" w:rsidRPr="008127F8">
        <w:rPr>
          <w:rFonts w:ascii="Times New Roman" w:hAnsi="Times New Roman" w:cs="Times New Roman"/>
          <w:color w:val="000000" w:themeColor="text1"/>
          <w:sz w:val="16"/>
          <w:szCs w:val="16"/>
        </w:rPr>
        <w:t>2</w:t>
      </w:r>
      <w:r w:rsidRPr="008127F8">
        <w:rPr>
          <w:rFonts w:ascii="Times New Roman" w:hAnsi="Times New Roman" w:cs="Times New Roman"/>
          <w:color w:val="000000" w:themeColor="text1"/>
          <w:sz w:val="16"/>
          <w:szCs w:val="16"/>
        </w:rPr>
        <w:t>1 - 1 самолет</w:t>
      </w:r>
    </w:p>
    <w:p w14:paraId="3A2130AA"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w:t>
      </w:r>
      <w:r w:rsidR="00CC69F6" w:rsidRPr="008127F8">
        <w:rPr>
          <w:rFonts w:ascii="Times New Roman" w:hAnsi="Times New Roman" w:cs="Times New Roman"/>
          <w:color w:val="000000" w:themeColor="text1"/>
          <w:sz w:val="16"/>
          <w:szCs w:val="16"/>
        </w:rPr>
        <w:t>53</w:t>
      </w:r>
      <w:r w:rsidRPr="008127F8">
        <w:rPr>
          <w:rFonts w:ascii="Times New Roman" w:hAnsi="Times New Roman" w:cs="Times New Roman"/>
          <w:color w:val="000000" w:themeColor="text1"/>
          <w:sz w:val="16"/>
          <w:szCs w:val="16"/>
        </w:rPr>
        <w:t xml:space="preserve"> - 1</w:t>
      </w:r>
    </w:p>
    <w:p w14:paraId="2654C925" w14:textId="77777777" w:rsidR="00CC69F6" w:rsidRPr="008127F8" w:rsidRDefault="00CC69F6"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39 - 1</w:t>
      </w:r>
    </w:p>
    <w:p w14:paraId="1DB54CB0"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Style w:val="2Batang85pt"/>
          <w:rFonts w:ascii="Times New Roman" w:hAnsi="Times New Roman" w:cs="Times New Roman"/>
          <w:color w:val="000000" w:themeColor="text1"/>
          <w:sz w:val="16"/>
          <w:szCs w:val="16"/>
        </w:rPr>
        <w:t>24 - 1</w:t>
      </w:r>
    </w:p>
    <w:p w14:paraId="4F4BB0E9" w14:textId="77777777" w:rsidR="00C61B40" w:rsidRPr="008127F8" w:rsidRDefault="00C61B40"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26 - 1</w:t>
      </w:r>
    </w:p>
    <w:p w14:paraId="25CEC498" w14:textId="77777777" w:rsidR="00C61B40" w:rsidRPr="008127F8" w:rsidRDefault="00CC69F6"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292</w:t>
      </w:r>
      <w:r w:rsidR="00C61B40" w:rsidRPr="008127F8">
        <w:rPr>
          <w:rFonts w:ascii="Times New Roman" w:hAnsi="Times New Roman" w:cs="Times New Roman"/>
          <w:color w:val="000000" w:themeColor="text1"/>
          <w:sz w:val="16"/>
          <w:szCs w:val="16"/>
        </w:rPr>
        <w:t xml:space="preserve"> - 1</w:t>
      </w:r>
    </w:p>
    <w:p w14:paraId="0858CEEB" w14:textId="77777777" w:rsidR="00C61B40" w:rsidRPr="008127F8" w:rsidRDefault="00CC69F6"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29</w:t>
      </w:r>
      <w:r w:rsidR="00C61B40" w:rsidRPr="008127F8">
        <w:rPr>
          <w:rFonts w:ascii="Times New Roman" w:hAnsi="Times New Roman" w:cs="Times New Roman"/>
          <w:color w:val="000000" w:themeColor="text1"/>
          <w:sz w:val="16"/>
          <w:szCs w:val="16"/>
        </w:rPr>
        <w:t xml:space="preserve"> - 1</w:t>
      </w:r>
    </w:p>
    <w:p w14:paraId="5206BCBA" w14:textId="77777777" w:rsidR="00C61B40" w:rsidRPr="008127F8" w:rsidRDefault="00CC69F6"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33</w:t>
      </w:r>
      <w:r w:rsidR="00C61B40" w:rsidRPr="008127F8">
        <w:rPr>
          <w:rFonts w:ascii="Times New Roman" w:hAnsi="Times New Roman" w:cs="Times New Roman"/>
          <w:color w:val="000000" w:themeColor="text1"/>
          <w:sz w:val="16"/>
          <w:szCs w:val="16"/>
        </w:rPr>
        <w:t xml:space="preserve"> - 1 (19223).</w:t>
      </w:r>
    </w:p>
    <w:p w14:paraId="6782FD9D" w14:textId="77777777" w:rsidR="00C61B40" w:rsidRPr="008127F8" w:rsidRDefault="00C61B4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86C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1402 О продлении срока представления заключений по выделению металлорежущих станков за счет эвакуированного и неиспользуемого оборудования для НКАП, НКБ, НКВ и Наркомсредмаша по постановлениям ГОКО.РГАНИР, Фонд ГКО, д. 23, лл. 126 (11012).</w:t>
      </w:r>
    </w:p>
    <w:p w14:paraId="206E4C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0C99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1C17A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3E4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1394 Об организации производства танков Т-70 на Горьковском автозаводе имени Молотова Hаркомсредмаша. РГАНИР, Фонд ГКО, д. 23, лл. 93-102, 103-114 (11012).</w:t>
      </w:r>
    </w:p>
    <w:p w14:paraId="3722CF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CC60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года по постановлению ГКО № 1377 после завершения испытаний танк Т-70 был принят на вооружение, а его производство поручено организовать ГАЗу (РГАСПИ. Ф. 644. Оп. 1. Д. 23. Л. 93-102).</w:t>
      </w:r>
    </w:p>
    <w:p w14:paraId="46C5687C"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А. Астров, возглавивший танковое конструкторское бюро ГАЗа, осенью 1941 начал работу над новым танком на основе Т-60, но с более мощной пушкой калибра 45-мм. Вес такого танка неизбежно должен был возрасти, и мощность автомобильного двигателя ГАЗ-202 уже переставала быть удовлетворительной. Поэтому на танк решено было установить спарку таких двигателей общей мощностью 140 л.с. Рост мощности двигателя позволил несколько усилить броню. Новый танк, получивший обозначение Т-70, был готов в начале 1942 года. По своим характеристикам он приблизился к лёгким танкам 30-х годов Т-26 и БТ, за исключением более низкой стоимости и отсутствия третьего члена экипажа. Последнее значительно снижало эффективность Т-70 - ведь один человек должен был совмещать обязанности наводчика, заряжающего и командира.</w:t>
      </w:r>
    </w:p>
    <w:p w14:paraId="1E463F8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Т-70 должны были выйти из ворот завода уже в марте, а с 1 мая завод должен был полностью прекратить производство Т-60 и начать производство Т-70. Через три дня в постановлении ГКО № 1417 было решено поручить перейти к производству этого танка с апреля 1942 года заводы № 37 и № 38. С 1 мая выпуск Т-60 должен был прекратить завод № 37, а с 1 июня - № 38. Но в действительности освоение этого танка затянулось на больший срок. В связи со сложностью освоения Т-70 12 апреля заводу № 37 постановлением ГКО № 1581сс было разрешено отложить начало его производства до июля, а производство Т-60 сохранить до августа. Трудности наблюдались и с освоением нового танкового двигателя, из-за чего на заводе № 38 вынуждены были урезать программу производства Т-70 на май (12290).</w:t>
      </w:r>
    </w:p>
    <w:p w14:paraId="07FF0545"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0AC11A6A" w14:textId="77777777" w:rsidR="00F80D60" w:rsidRPr="008127F8" w:rsidRDefault="00F80D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марта 1942 года на вооружение Красной Армии приняли </w:t>
      </w:r>
      <w:proofErr w:type="gramStart"/>
      <w:r w:rsidRPr="008127F8">
        <w:rPr>
          <w:rFonts w:ascii="Times New Roman" w:eastAsia="Times New Roman" w:hAnsi="Times New Roman"/>
          <w:color w:val="000000" w:themeColor="text1"/>
          <w:sz w:val="16"/>
          <w:szCs w:val="16"/>
          <w:lang w:eastAsia="ru-RU"/>
        </w:rPr>
        <w:t>Т-70</w:t>
      </w:r>
      <w:proofErr w:type="gramEnd"/>
      <w:r w:rsidRPr="008127F8">
        <w:rPr>
          <w:rFonts w:ascii="Times New Roman" w:eastAsia="Times New Roman" w:hAnsi="Times New Roman"/>
          <w:color w:val="000000" w:themeColor="text1"/>
          <w:sz w:val="16"/>
          <w:szCs w:val="16"/>
          <w:lang w:eastAsia="ru-RU"/>
        </w:rPr>
        <w:t xml:space="preserve"> и ситуация вокруг программы создания советских легких САУ изменилась. Этот танк стал финалом работ по установке в башню Т-60 танкового орудия калибра 45 мм. По итогам получился совершенно новый танк на переработанных агрегатах Т-60, со спаренным мотором ГАЗ-203, являвшимся более разумным решением, нежели параллельное расположение двух ГАЗ-202. Вместо двух коробок передач ГАЗ-АА использовалась одна, от ЗИС-5, а также не требовалась хитроумная система переключения двух КПП одновременно. Вполне логично, что именно Т-70 теперь предполагался как потенциальная база для легкой САУ (21099).</w:t>
      </w:r>
    </w:p>
    <w:p w14:paraId="2D1EFADF" w14:textId="77777777" w:rsidR="00F80D60" w:rsidRPr="008127F8" w:rsidRDefault="00F80D60"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D79CD87"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lastRenderedPageBreak/>
        <w:t>6 марта 1942 года вышло постановление № 1395 «Об организации производства танков Т-70 на Горьковском автозаводе имени Молотова Наркомсредмаша». Согласно ему, производство Т-60 на заводе свора</w:t>
      </w:r>
      <w:r w:rsidRPr="008127F8">
        <w:rPr>
          <w:rFonts w:eastAsia="Calibri"/>
          <w:color w:val="000000" w:themeColor="text1"/>
          <w:sz w:val="16"/>
          <w:szCs w:val="16"/>
        </w:rPr>
        <w:softHyphen/>
        <w:t>чивалось, а вместо него с марта начинался выпуск Т-70. Подготовка производства Т-70 на ГАЗ привела к тому, что темпы выпуска Т-60 ста</w:t>
      </w:r>
      <w:r w:rsidRPr="008127F8">
        <w:rPr>
          <w:rFonts w:eastAsia="Calibri"/>
          <w:color w:val="000000" w:themeColor="text1"/>
          <w:sz w:val="16"/>
          <w:szCs w:val="16"/>
        </w:rPr>
        <w:softHyphen/>
        <w:t>ли снижаться, более того, в течение 12 дней танки вообще не сдавались. Дополнительные проблемы создавали перебои по поставкам деталей, особенно узким местом стали торсионы. Помимо проблем с поставкой металла на торсионы, имелись массовые случаи брака, что не могло не сказаться на темпах выпуска. Что же касается Т-70, то вместо запла</w:t>
      </w:r>
      <w:r w:rsidRPr="008127F8">
        <w:rPr>
          <w:rFonts w:eastAsia="Calibri"/>
          <w:color w:val="000000" w:themeColor="text1"/>
          <w:sz w:val="16"/>
          <w:szCs w:val="16"/>
        </w:rPr>
        <w:softHyphen/>
        <w:t>нированных 20 танков было собрано 3 машины, из них две без башен. Танки выпускались по обходной технологии, реальный пуск серии планировался на 14 апреля. Тем не менее уже 11 марта ГАЗ прекратил выпуск корпусов к Т-60, изготовив вместо 150 комплектов только 47. По состоянию на 1 апреля 1942 года на заводе имелось 608 корпусов Т-60, из них 379 с броней 20 мм, 97 экранированных и 132 сусиленным бронированием.</w:t>
      </w:r>
    </w:p>
    <w:p w14:paraId="24CEAD5B"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 xml:space="preserve">Несмотря на </w:t>
      </w:r>
      <w:proofErr w:type="gramStart"/>
      <w:r w:rsidRPr="008127F8">
        <w:rPr>
          <w:color w:val="000000" w:themeColor="text1"/>
          <w:sz w:val="16"/>
          <w:szCs w:val="16"/>
        </w:rPr>
        <w:t>то</w:t>
      </w:r>
      <w:proofErr w:type="gramEnd"/>
      <w:r w:rsidRPr="008127F8">
        <w:rPr>
          <w:color w:val="000000" w:themeColor="text1"/>
          <w:sz w:val="16"/>
          <w:szCs w:val="16"/>
        </w:rPr>
        <w:t xml:space="preserve"> что с 6 марта начался обратный отсчет времени окончания производства Т-60 на ГАЗ, танк продолжали модернизиро</w:t>
      </w:r>
      <w:r w:rsidRPr="008127F8">
        <w:rPr>
          <w:color w:val="000000" w:themeColor="text1"/>
          <w:sz w:val="16"/>
          <w:szCs w:val="16"/>
        </w:rPr>
        <w:softHyphen/>
        <w:t>вать.</w:t>
      </w:r>
    </w:p>
    <w:p w14:paraId="27DD3275"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Уже к февралю на танк вернулась значительная часть оборудо</w:t>
      </w:r>
      <w:r w:rsidRPr="008127F8">
        <w:rPr>
          <w:rFonts w:eastAsia="Calibri"/>
          <w:color w:val="000000" w:themeColor="text1"/>
          <w:sz w:val="16"/>
          <w:szCs w:val="16"/>
        </w:rPr>
        <w:softHyphen/>
        <w:t>вания, которого он лишился в ходе упрощений. Наиболее заметным отличием танков весеннего выпуска стала модернизация выхлопной системы с установкой глушителя, позаимствованного у легкого танка Т-70. Новая выхлопная система в сочетании со штампованными опор</w:t>
      </w:r>
      <w:r w:rsidRPr="008127F8">
        <w:rPr>
          <w:rFonts w:eastAsia="Calibri"/>
          <w:color w:val="000000" w:themeColor="text1"/>
          <w:sz w:val="16"/>
          <w:szCs w:val="16"/>
        </w:rPr>
        <w:softHyphen/>
        <w:t>ными катками стала визитной карточкой горьковских Т-60 крайне</w:t>
      </w:r>
      <w:r w:rsidRPr="008127F8">
        <w:rPr>
          <w:rFonts w:eastAsia="Calibri"/>
          <w:color w:val="000000" w:themeColor="text1"/>
          <w:sz w:val="16"/>
          <w:szCs w:val="16"/>
        </w:rPr>
        <w:softHyphen/>
        <w:t>го выпуска, по которой можно их легко отличить от танков выпуска других заводов. В марте ГАЗ изготовил 320 Т-60 (из них 20 без башен), в апреле еще 138 (14 без башен), после чего производство танков дан</w:t>
      </w:r>
      <w:r w:rsidRPr="008127F8">
        <w:rPr>
          <w:rFonts w:eastAsia="Calibri"/>
          <w:color w:val="000000" w:themeColor="text1"/>
          <w:sz w:val="16"/>
          <w:szCs w:val="16"/>
        </w:rPr>
        <w:softHyphen/>
        <w:t>ного типа прекратилось. По состоянию на 1 июля на заводе оставалось еще 13 Т-60, имевших серьезные производственные дефекты, послед</w:t>
      </w:r>
      <w:r w:rsidRPr="008127F8">
        <w:rPr>
          <w:rFonts w:eastAsia="Calibri"/>
          <w:color w:val="000000" w:themeColor="text1"/>
          <w:sz w:val="16"/>
          <w:szCs w:val="16"/>
        </w:rPr>
        <w:softHyphen/>
        <w:t>ние 5 танков были отправлены 15 августа в 1-е Горьковское танковое училище. Всего же за 8 месяцев Горьковский автозавод им. Молотова изготовил 2913 Т-60.</w:t>
      </w:r>
    </w:p>
    <w:p w14:paraId="6BE58765"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Выход постановления ГКО № 1395 не остановил работы на заводе № 92 по установке в Т-60 пушки ЗИС-19. Поскольку к размещению командира орудия в башне было предъявлено немало претензий, за</w:t>
      </w:r>
      <w:r w:rsidRPr="008127F8">
        <w:rPr>
          <w:color w:val="000000" w:themeColor="text1"/>
          <w:sz w:val="16"/>
          <w:szCs w:val="16"/>
        </w:rPr>
        <w:softHyphen/>
        <w:t>водское КБ внесло в исходный проект значительное число изменений, что потребовало времени. В результате перевооруженный танк прибыл на Гороховецкий полигон лишь 27 марта, и его башня к тому момен</w:t>
      </w:r>
      <w:r w:rsidRPr="008127F8">
        <w:rPr>
          <w:color w:val="000000" w:themeColor="text1"/>
          <w:sz w:val="16"/>
          <w:szCs w:val="16"/>
        </w:rPr>
        <w:softHyphen/>
        <w:t>ту претерпела массу метаморфоз. Получившаяся в результате пере</w:t>
      </w:r>
      <w:r w:rsidRPr="008127F8">
        <w:rPr>
          <w:color w:val="000000" w:themeColor="text1"/>
          <w:sz w:val="16"/>
          <w:szCs w:val="16"/>
        </w:rPr>
        <w:softHyphen/>
        <w:t>делок конструкция имела не много общего со штатной башней Т-60, по сути, от нее осталась лишь нижняя часть. Башенный люк с крыши был перенесен на корму, вместо него установили смотровой прибор от Т-70. Сама башня получила весьма оригинальную, клиновидную фор</w:t>
      </w:r>
      <w:r w:rsidRPr="008127F8">
        <w:rPr>
          <w:color w:val="000000" w:themeColor="text1"/>
          <w:sz w:val="16"/>
          <w:szCs w:val="16"/>
        </w:rPr>
        <w:softHyphen/>
        <w:t>му, орудийная маска стала литой и по форме напоминала аналогичную деталь Т-70. С Т-70 башню роднило и размещение вооружения: при</w:t>
      </w:r>
      <w:r w:rsidRPr="008127F8">
        <w:rPr>
          <w:color w:val="000000" w:themeColor="text1"/>
          <w:sz w:val="16"/>
          <w:szCs w:val="16"/>
        </w:rPr>
        <w:softHyphen/>
        <w:t>цел сместили влево, а на его место установили пулемет ДТ. Благодаря подобным метаморфозам внутренний объем башни увеличился, но об</w:t>
      </w:r>
    </w:p>
    <w:p w14:paraId="5F88262D"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(17485).</w:t>
      </w:r>
    </w:p>
    <w:p w14:paraId="052D6930" w14:textId="77777777" w:rsidR="007E272D" w:rsidRPr="008127F8" w:rsidRDefault="007E272D" w:rsidP="001E0A84">
      <w:pPr>
        <w:pStyle w:val="af"/>
        <w:spacing w:before="0" w:after="0"/>
        <w:jc w:val="both"/>
        <w:rPr>
          <w:color w:val="000000" w:themeColor="text1"/>
          <w:sz w:val="16"/>
          <w:szCs w:val="16"/>
        </w:rPr>
      </w:pPr>
    </w:p>
    <w:p w14:paraId="3A290BF0"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 марта 1942 года вышло постановление Государственного комитета обороны (ГКО) №1394 «Об организации производства танков Т-70 на Горьковском автозаводе имени Молотова Hаркомсредмаша». Согласно этому документу, производство Т-60 на заводе постепенно сворачивалось. С 1 мая 1942 года выпуск Т-60 прекращался, а первые 20 танков Т-70 ожидались уже в марте. В апреле их должны были выпустить 150 штук, в мае – 260, и 390 – в июне.</w:t>
      </w:r>
    </w:p>
    <w:p w14:paraId="53BBC430"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Спустя три дня число предприятий, выпускающих новый танк, было увеличено до трёх. 9 марта вышло постановление №1417сс «Об организации производства танков Т-70 на заводах №37 и 38 Наркомтанкопрома». В соответствии с ним предполагалось прекратить выпуск Т-60 на заводе №38 в Свердловске с 1 мая, а на заводе №37 в Кирове – с 1 июня 1942 года. В Свердловске планировалось выпустить первые 10 танков Т-70 в апреле, 75 в мае, 125 в июне и 175 в июле. В Кирове за это же время должны были выпустить 20, 70, 120 и 150 танков соответственно. Впрочем, руководство завода №37 всё же смогло убедить Молотова в том, что в такие сроки освоить Т-70 они не могут, потому начало выпуска новых машин на этом предприятии было перенесено на 3-й квартал 1942 года.</w:t>
      </w:r>
    </w:p>
    <w:p w14:paraId="656242A5"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устранения обнаруженных в ходе испытаний недостатков, постановление ГКО №1394 подразумевало выпуск с 1 июня 1942 года Т-70 с уширенным траком, расширенными катками и увеличенной шпорой. Связано это было с тем, что нагрузка на опорные катки выросла, по сравнению с Т-60, с 700 до 900 кг. Но на первых сериях, как посчитала испытательная комиссия, вполне можно было использовать имеющиеся элементы ходовой части от Т-60.</w:t>
      </w:r>
    </w:p>
    <w:p w14:paraId="05A3B2A6"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Ещё одно пожелание комиссии было связано с бронированием танка. Толщина его бортов осталась на уроне Т-60 и составляла 15 мм. Предлагалось толщину бортов увеличить до 25 мм, даже чуть «срезав» бронирование верхней лобовой детали корпуса (с 35 до 30 мм). От этой идеи в итоге отказались, и Т-70 пошел в производство с тем же бронированием, что и опытный образец. Что же касается усиления ходовой части, то оно было реализовано гораздо позже назначенного постановлением ГКО срока.</w:t>
      </w:r>
    </w:p>
    <w:p w14:paraId="740943B2"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Как и в случае с Т-60, организация серийного производства Т-70 была задачей непростой. Критичным оказались производство корпусов и башен. В качестве заводов-смежников по этой линии выступали заводы №176 (Муромский паровозостроительный завод им. Дзержинского) и №177 (Выксунский завод дробильно-размольного оборудования). В Муроме предполагалось выпустить в марте 1942 года 25 корпусов Т-70, в апреле 135, в мае 190 и в июне 290. В Выксе за этот же период планировалось сделать, соответственно, 10, 40, 90 и 150 корпусов.</w:t>
      </w:r>
    </w:p>
    <w:p w14:paraId="2277091D"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Остро стоял вопрос и с башнями. Первоначально предполагалось, что танки будут оснащаться башнями литой конструкции, практически ничем не отличающимися от опытной и имеющими толщину брони 40–45 мм. Но в постановлении ГКО №1394 появилась также и сварная башня, имевшая толщину стенок 30–35 мм. Такую башню в срочном порядке спроектировало КБ ГАЗ, работы были закончены к 20 марта. Между тем, и от литых башен не отказывались: согласно тому же постановлению, завод №178 (Кулебакский металлургический завод им С. М. Кирова) к 10 марта должен был выпустить 10 башен, плюс ещё 10 к 20 марта.</w:t>
      </w:r>
    </w:p>
    <w:p w14:paraId="4BA56458"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практике всё оказалось несколько сложнее. Подготовка производства Т-70 на ГАЗ привела к тому, что темпы выпуска Т-60 стали снижаться, более того, в течение 12 дней танки вообще не сдавались. Дополнительные проблемы создавали перебои с поставками комплектующих.</w:t>
      </w:r>
    </w:p>
    <w:p w14:paraId="23075066"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Особенно узким местом были торсионы. Помимо проблем с поставкой металла для них, имелись массовые случаи брака, что не могло не сказаться на темпах выпуска Т-60.</w:t>
      </w:r>
    </w:p>
    <w:p w14:paraId="6AA41705"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же касается Т-70, то вместо запланированных 20 танков в марте было собрано всего 3 машины, из них 2 без башен. Обещанные корпуса с башнями с заводов-смежников так и не пришли. В результате на ГАЗ решили выпускать их самостоятельно. Была заложена серия из 25 корпусов, но в виду отсутствия металла необходимой толщины работы сорвались. Удалось собрать всего 5 корпусов, из которых 2 оказались без подбашенных листов. Верхний лобовой лист в виду отсутствия брони толщиной 35 мм собирали из двух листов (20+13 мм). Также все корпуса оказались без люков механиков-водителей (их установили уже позже).</w:t>
      </w:r>
    </w:p>
    <w:p w14:paraId="3413FCF9"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Первые из собранных сварных башен также изготавливались из двух листов (20+13 мм). Всего таких башен было заложено 17 штук, но ни одной до конца марта не сдали. Что же касается литых башен, то их за март было изготовлено 8 штук, при этом полностью готовой оказалась всего одна.</w:t>
      </w:r>
    </w:p>
    <w:p w14:paraId="7DDCB458"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Поставки корпусов с заводов-смежников начались только в конце марта. 5 комплектов корпусов пришло с завода №176, по состоянию на 1 апреля 1942 года они находились на сборке.</w:t>
      </w:r>
    </w:p>
    <w:p w14:paraId="16FF96A6"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проблем с корпусами и башнями, появились неприятности, связанные с силовыми установками. Дело в том, что ЗИС не подал на ГАЗ им. Молотова коробки передач ЗИС-5. Танки продолжали производится по обходной технологии, а реальный запуск серийного производства, по прикидкам старшего военпреда Окунева, ожидался к 10 апреля (17664).</w:t>
      </w:r>
    </w:p>
    <w:p w14:paraId="66430963" w14:textId="77777777" w:rsidR="008440B1" w:rsidRPr="008127F8" w:rsidRDefault="008440B1" w:rsidP="001E0A84">
      <w:pPr>
        <w:spacing w:after="0" w:line="240" w:lineRule="auto"/>
        <w:jc w:val="both"/>
        <w:rPr>
          <w:rFonts w:ascii="Times New Roman" w:eastAsia="Times New Roman" w:hAnsi="Times New Roman"/>
          <w:color w:val="000000" w:themeColor="text1"/>
          <w:sz w:val="16"/>
          <w:szCs w:val="16"/>
          <w:lang w:eastAsia="ru-RU"/>
        </w:rPr>
      </w:pPr>
    </w:p>
    <w:p w14:paraId="34CC05D0"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6-го марта 1942 года ГАЗ-70 был принят на вооружение Красной армии как </w:t>
      </w:r>
      <w:hyperlink r:id="rId78" w:history="1">
        <w:r w:rsidRPr="008127F8">
          <w:rPr>
            <w:rFonts w:ascii="Times New Roman" w:eastAsia="Times New Roman" w:hAnsi="Times New Roman"/>
            <w:color w:val="000000" w:themeColor="text1"/>
            <w:sz w:val="16"/>
            <w:szCs w:val="16"/>
            <w:lang w:eastAsia="ru-RU"/>
          </w:rPr>
          <w:t>Т-70</w:t>
        </w:r>
      </w:hyperlink>
      <w:r w:rsidRPr="008127F8">
        <w:rPr>
          <w:rFonts w:ascii="Times New Roman" w:eastAsia="Times New Roman" w:hAnsi="Times New Roman"/>
          <w:color w:val="000000" w:themeColor="text1"/>
          <w:sz w:val="16"/>
          <w:szCs w:val="16"/>
          <w:lang w:eastAsia="ru-RU"/>
        </w:rPr>
        <w:t>. Согласно постановлению ГКО №1394, уже в марте ожидался выпуск первых 20 таких танков. Заводы-смежники, за исключением завода №180, с апреля 1942 года полностью переключались на изготовление корпусов и башен к Т-70. И, хотя по ряду причин в марте ни одного Т-70 так и не выпустили, дни Т-60 на ГАЗ были сочтены (17672).</w:t>
      </w:r>
    </w:p>
    <w:p w14:paraId="1207D727" w14:textId="77777777" w:rsidR="008440B1" w:rsidRPr="008127F8" w:rsidRDefault="008440B1" w:rsidP="001E0A84">
      <w:pPr>
        <w:spacing w:after="0" w:line="240" w:lineRule="auto"/>
        <w:jc w:val="both"/>
        <w:rPr>
          <w:rFonts w:ascii="Times New Roman" w:hAnsi="Times New Roman"/>
          <w:color w:val="000000" w:themeColor="text1"/>
          <w:sz w:val="16"/>
          <w:szCs w:val="16"/>
        </w:rPr>
      </w:pPr>
    </w:p>
    <w:p w14:paraId="185554C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марта 1942 года на вооружение Красной Армии был принят легкий танк Т-70. Созданная на базе Т-60 боевая машина получилась более чем в полтора раза тяжелее прародителя. По этой причине еще в ходе испытаний комиссия предлагала проработать вопрос модернизации ходовой части танка. Поначалу этот вопрос отчасти спустили на тормоза. Конечно, торсионы первых и последних пар опорных катков усилили, но в целом ходовая часть осталась та же. Работы по модернизации в полной мере запустили в середине лета 1942 года, когда стали поступать сообщения о проблемах. Итогом стало появление танка Т-70Б. 8 сентября 1942 года Сталин подписал постановление ГКО №2276сс "О танках Т-70", согласно которому модернизированный танк запускался в серию (23363).</w:t>
      </w:r>
    </w:p>
    <w:p w14:paraId="1CA2A805" w14:textId="77777777" w:rsidR="006E2015" w:rsidRPr="008A2E5A" w:rsidRDefault="006E2015" w:rsidP="006E2015">
      <w:pPr>
        <w:spacing w:after="0" w:line="240" w:lineRule="auto"/>
        <w:jc w:val="both"/>
        <w:rPr>
          <w:rFonts w:ascii="Times New Roman" w:hAnsi="Times New Roman"/>
          <w:color w:val="0070C0"/>
          <w:sz w:val="16"/>
          <w:szCs w:val="16"/>
        </w:rPr>
      </w:pPr>
    </w:p>
    <w:p w14:paraId="27148B1B" w14:textId="77777777" w:rsidR="006E2015" w:rsidRPr="008A2E5A" w:rsidRDefault="006E2015" w:rsidP="006E20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марта 1942 года Т-70 приняли на вооружение Красной Армии. Уже к концу месяца ГАЗ подготовил первые танки, которые сдали уже в апреле. Освоение машины потребовало некоторого времени, кроме того, в ходе эксплуатации стали выявляться различные проблемы, которые привели к запуску малой и большой модернизации танка. Тем не менее, само по себе появление Т-70 стало правильным решением. Да, этот танк появился уже на закате карьеры машин легкого класса, он уступал "полноценным" танкам, таким, как Light Tank M3, тот же Т-50, Pz.Kpfw.38(t). Но как мобилизационная машина детище Астрова стало тем самым, что требовалось. Кроме того, не стоит забывать одну простую вещь. Дальнейшее развитие конструкции Т-70 привело к созданию модернизированной ходовой части. Без нее не появилась бы ни СУ-76, ни столь любимые некоторыми адептами "Т-60 не нужен" тягачи. Наконец, Т-70, как и Т-60, внесли свою лепту в Победу (24235).</w:t>
      </w:r>
    </w:p>
    <w:p w14:paraId="5A2942A1" w14:textId="77777777" w:rsidR="006E2015" w:rsidRPr="008A2E5A" w:rsidRDefault="006E2015" w:rsidP="006E2015">
      <w:pPr>
        <w:spacing w:after="0" w:line="240" w:lineRule="auto"/>
        <w:jc w:val="both"/>
        <w:rPr>
          <w:rFonts w:ascii="Times New Roman" w:hAnsi="Times New Roman"/>
          <w:color w:val="0070C0"/>
          <w:sz w:val="16"/>
          <w:szCs w:val="16"/>
        </w:rPr>
      </w:pPr>
    </w:p>
    <w:p w14:paraId="3B1BEEA1"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6 марта 1942 года И.В. Сталин подписал постановление Государственного комитета обороны (ГКО) №1394 "Об организации производства танков Т-70 на Горьковском автозаводе имени Молотова Hаркомсредмаша". Вместо малого танка Т-60 в серию запускался Т-70. В кратчайшие сроки коллектив КЭО ГАЗ им. Молотова под руководством Н.А. Астрова создал легкий танк, который стал заменой не только Т-60, но и отмененного Т-50. Безусловно, танк этот был "мобилизационным", тем не менее, достоинств у него оказалось куда больше, чем недостатков. Главное, что его можно было массово выпускать на тех заводах, где не имелось возможности выпускать более тяжелые боевые машины.</w:t>
      </w:r>
    </w:p>
    <w:p w14:paraId="399E58F3"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lastRenderedPageBreak/>
        <w:t>Согласно подписанному 6 марта постановлению ГКО №1394, первые 20 Т-70 ожидалось получить до конца месяца. Для обеспечения производства танка с марта запускалось и корпусное производство на заводах №176 (г. Муром), №177 (г. Выкса) и №178 (Кулебаки). Также из Мурома и Кулебак поставлялись литые башни. За март их объем выглядел небольшим - по 20 штук за март. С апреля корпусное производство по линии Т-60 прекращалось, а с 1 мая 1942 года выпуск Т-60 на ГАЗ им. Молотова заканчивался. При этом за апрель ожидалось получить 150 Т-70, за май 260, и за июнь 390 штук (24898).</w:t>
      </w:r>
    </w:p>
    <w:p w14:paraId="0AC7408A" w14:textId="77777777" w:rsidR="00D8717E" w:rsidRPr="007155F3" w:rsidRDefault="00D8717E" w:rsidP="00D8717E">
      <w:pPr>
        <w:spacing w:after="0" w:line="240" w:lineRule="auto"/>
        <w:jc w:val="both"/>
        <w:rPr>
          <w:rFonts w:ascii="Times New Roman" w:hAnsi="Times New Roman"/>
          <w:color w:val="0070C0"/>
          <w:sz w:val="16"/>
          <w:szCs w:val="16"/>
        </w:rPr>
      </w:pPr>
    </w:p>
    <w:p w14:paraId="51D5BDCC"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 марта 1942 состоялось совещание военных представителей, посвященное эксплуатации, ремонту и выявлению дефектных машин. В ходе совещания была озвучена поистине шокирующая цифра – доля КПП с дефектами доходила до 40%!</w:t>
      </w:r>
    </w:p>
    <w:p w14:paraId="0FDF11A8"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Еще до начала этого разбирательства вышло постановление ГКО №1331 от 23 февраля 1942 года,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7BB505A3" w14:textId="77777777" w:rsidR="008440B1" w:rsidRPr="008127F8" w:rsidRDefault="008440B1"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A633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вышло Постановление ГКО № 1395 О т. Боброве А.Ф. РГАНИР, Фонд ГКО, д. 23, лл. 115 (11012).</w:t>
      </w:r>
    </w:p>
    <w:p w14:paraId="0511B3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009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года была подготовлена справка:</w:t>
      </w:r>
    </w:p>
    <w:p w14:paraId="4F21B7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Эвакуированные заводы № 354 из Ленинграда и № 353 из Изюма в Никольскую-Пестровку Пензенской области на бывш. завод “Красный гигант” (9213).</w:t>
      </w:r>
    </w:p>
    <w:p w14:paraId="5B9BCD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30119"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w:t>
      </w:r>
    </w:p>
    <w:p w14:paraId="70EDBD0C"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ВОПРОСЫ, РЕШЕННЫЕ ОПРОСОМ ЧЛЕНОВ БЮРО ГК ВКП(б)</w:t>
      </w:r>
    </w:p>
    <w:p w14:paraId="6B7A7291"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6 марта 1942 г.</w:t>
      </w:r>
    </w:p>
    <w:p w14:paraId="538A0329"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48гс. — О ремонте воздушных винтов для ВВС Ленинградского фронта (особая папка).</w:t>
      </w:r>
    </w:p>
    <w:p w14:paraId="70A817AE"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директора завода им. Ворошилова НКУЦМ1 т. Власова отремонтировать и сдать ВВС Ленинградского фронта в течение марта месяца 120 воздушных винтов.</w:t>
      </w:r>
    </w:p>
    <w:p w14:paraId="7BA15B9A"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Ленэнерго т. Карась с 582.III–1942 г. ежедневно отпускать заводу им. Ворошилова НКУЦМ по 420 киловатт/часов.</w:t>
      </w:r>
    </w:p>
    <w:p w14:paraId="78442AA3"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директора ликеро-водочного завода т. Бурдукова отпустить 50 тн. кг3. спирта ректификата заводу им. Ворошилова НКУЦМ.</w:t>
      </w:r>
    </w:p>
    <w:p w14:paraId="6A24AD9E"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Подписи — Кузнецов, Попков, Капустин.</w:t>
      </w:r>
    </w:p>
    <w:p w14:paraId="1C2570B9"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ЦГАИПД СПб. Ф. 25. Оп. 2а. Д. 195. Л. 103. Бланк опросного голосования. Оригинал, машинопись. Подписи — </w:t>
      </w:r>
      <w:proofErr w:type="gramStart"/>
      <w:r w:rsidRPr="008127F8">
        <w:rPr>
          <w:rFonts w:ascii="Times New Roman" w:hAnsi="Times New Roman"/>
          <w:color w:val="000000" w:themeColor="text1"/>
          <w:sz w:val="16"/>
          <w:szCs w:val="16"/>
        </w:rPr>
        <w:t>автографы  (</w:t>
      </w:r>
      <w:proofErr w:type="gramEnd"/>
      <w:r w:rsidRPr="008127F8">
        <w:rPr>
          <w:rFonts w:ascii="Times New Roman" w:hAnsi="Times New Roman"/>
          <w:color w:val="000000" w:themeColor="text1"/>
          <w:sz w:val="16"/>
          <w:szCs w:val="16"/>
        </w:rPr>
        <w:t>19720).</w:t>
      </w:r>
    </w:p>
    <w:p w14:paraId="63623961" w14:textId="77777777" w:rsidR="0084479F" w:rsidRPr="008127F8" w:rsidRDefault="0084479F" w:rsidP="001E0A84">
      <w:pPr>
        <w:autoSpaceDE w:val="0"/>
        <w:autoSpaceDN w:val="0"/>
        <w:adjustRightInd w:val="0"/>
        <w:spacing w:after="0" w:line="240" w:lineRule="auto"/>
        <w:jc w:val="both"/>
        <w:rPr>
          <w:rFonts w:ascii="Times New Roman" w:hAnsi="Times New Roman"/>
          <w:color w:val="000000" w:themeColor="text1"/>
          <w:sz w:val="16"/>
          <w:szCs w:val="16"/>
        </w:rPr>
      </w:pPr>
    </w:p>
    <w:p w14:paraId="4A4025B7" w14:textId="77777777" w:rsidR="00DE624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9F3B167" w14:textId="77777777" w:rsidR="00DE624F" w:rsidRPr="008127F8" w:rsidRDefault="00DE624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980A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марта</w:t>
      </w:r>
      <w:r w:rsidRPr="008127F8">
        <w:rPr>
          <w:rFonts w:ascii="Times New Roman" w:hAnsi="Times New Roman"/>
          <w:color w:val="000000" w:themeColor="text1"/>
          <w:sz w:val="16"/>
          <w:szCs w:val="16"/>
        </w:rPr>
        <w:t xml:space="preserve"> в 1942 году утреннее сообщение Совинформбюро:</w:t>
      </w:r>
    </w:p>
    <w:p w14:paraId="7CFA58E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6 марта наши войска продолжали вести активные боевые действия против немецко-фашистских войск.</w:t>
      </w:r>
    </w:p>
    <w:p w14:paraId="2B31202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один день боёв с противником уничтожила около 400 немецких солдат и офицеров. На другом участке артиллеристы подразделения лейтенанта Несина отразили ночную контратаку крупной вражеской части. Немцы отступили, оставив на поле боя свыше 300 трупов солдат и офицеров.</w:t>
      </w:r>
    </w:p>
    <w:p w14:paraId="16AC809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наше подразделение (Калининский фронт) отбило контратаку немцев в районе деревни С. На поле боя осталось 270 убитых солдат и офицеров противника.</w:t>
      </w:r>
    </w:p>
    <w:p w14:paraId="72CD1E2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красноармейцев-автоматчиков под командованием младшего лейтенанта Ужаснова внезапным налётом выбила противника из деревни Н. Убито несколько десятков гитлеровцев. Захвачены пленные.</w:t>
      </w:r>
    </w:p>
    <w:p w14:paraId="420BACF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Мужество и отвагу проявляют в боях с врагом танкисты подразделения тов. Грибачёва. Танковый экипаж старшины Серёмина ворвался в деревню Б., огнём и гусеницами подавил 4 противотанковых пушки, разрушил 2 блиндажа и уничтожил до двух взводов пехоты противника. Танковый экипаж лейтенанта Козулина во время атаки сильно укреплённого немцами населённого пункта уничтожил 2 орудия, разрушил 20 блиндажей, разбил 5 автомашин, и уничтожил до роты пехоты противника.</w:t>
      </w:r>
    </w:p>
    <w:p w14:paraId="54F6787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смоленских партизан под командованием тов. П. за 25 дней боевой деятельности 120 раз прерывала телеграфную и телефонную связь между вражескими частями, взорвала крупный мост на шоссе, подожгла 2 автоцистерны с горючим и уничтожила 39 вражеских солдат и офицеров.</w:t>
      </w:r>
    </w:p>
    <w:p w14:paraId="0E790C3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дневника лейтенанта 11 батареи 257 артполка 257 немецкой пехотной дивизии Карла Шульце:</w:t>
      </w:r>
    </w:p>
    <w:p w14:paraId="54D61AF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января. Русские ведут точный </w:t>
      </w:r>
      <w:proofErr w:type="gramStart"/>
      <w:r w:rsidRPr="008127F8">
        <w:rPr>
          <w:rFonts w:ascii="Times New Roman" w:hAnsi="Times New Roman"/>
          <w:color w:val="000000" w:themeColor="text1"/>
          <w:sz w:val="16"/>
          <w:szCs w:val="16"/>
        </w:rPr>
        <w:t>арт-огонь</w:t>
      </w:r>
      <w:proofErr w:type="gramEnd"/>
      <w:r w:rsidRPr="008127F8">
        <w:rPr>
          <w:rFonts w:ascii="Times New Roman" w:hAnsi="Times New Roman"/>
          <w:color w:val="000000" w:themeColor="text1"/>
          <w:sz w:val="16"/>
          <w:szCs w:val="16"/>
        </w:rPr>
        <w:t xml:space="preserve"> по нашей позиции. В наше убежище попал снаряд. Первый дивизион разгромлен и больше не существует, 457 пехотный полк под командованием майора Визнер окружён. Танковый дивизион разгромлен. 10 батарея тоже разгромлена. Потери в людях ещё точно не выяснены.</w:t>
      </w:r>
    </w:p>
    <w:p w14:paraId="34D4EA58"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января. Поблизости раздался выстрел. Вахмистр Битлер, который находился в соседнем доме, убит наповал... Хочется знать, что сталось с нашей разгромленной дивизией.</w:t>
      </w:r>
    </w:p>
    <w:p w14:paraId="672EF46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Положение ещё не выяснено. Секретные документы уничтожены. Франц Ванкер из штаба 3 дивизиона рассказывал ужасные вещи.</w:t>
      </w:r>
    </w:p>
    <w:p w14:paraId="0F63FE3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Утром русские начали наступление. Прямо ужасно, как далеко русские прорвались слева и справа.</w:t>
      </w:r>
    </w:p>
    <w:p w14:paraId="0A1C978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февраля. Вечером русские с трёх сторон повели наступление.</w:t>
      </w:r>
    </w:p>
    <w:p w14:paraId="05ED6F6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Снабжение продовольствием всё ухудшается. Ничего не поступает».</w:t>
      </w:r>
    </w:p>
    <w:p w14:paraId="00D6C09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Ульяново, Погорельского района, Калининской области, гитлеровцы сожгли 117 домов, 4 школы, клуб, льнозавод, 2 детских дома, больницу, аптеку, 2 хлебопекарни, ветеринарную больницу, магазин, почту и другие учреждения и предприятия. Фашистские бандиты отняли у жителей села одежду, продовольствие, бельё, посуду и другую домашнюю утварь.</w:t>
      </w:r>
    </w:p>
    <w:p w14:paraId="49A65CD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Смена грузчиц Кемеровского погрузочного пункта Томской железной дороги систематически перевыполняет нормы погрузки в два с половиной раза. Грузчица тов. Виноградова выполнила на днях сменное задание на 2.000 процентов.» (15060).</w:t>
      </w:r>
    </w:p>
    <w:p w14:paraId="0E442F46"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68D651D7"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марта</w:t>
      </w:r>
      <w:r w:rsidRPr="008127F8">
        <w:rPr>
          <w:rFonts w:ascii="Times New Roman" w:hAnsi="Times New Roman"/>
          <w:color w:val="000000" w:themeColor="text1"/>
          <w:sz w:val="16"/>
          <w:szCs w:val="16"/>
        </w:rPr>
        <w:t xml:space="preserve"> в 1942 году вечернее сообщение Совинформбюро:</w:t>
      </w:r>
    </w:p>
    <w:p w14:paraId="010E94E7"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6 марта наши войска, отбивая контратаки противника, продолжали продвигаться вперёд и на некоторых участках фронта заняли несколько населённых пунктов.</w:t>
      </w:r>
    </w:p>
    <w:p w14:paraId="277315B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марта сбито в воздушных боях и уничтожено на аэродромах противника 79 немецких самолётов. Наши потери — 14 самолётов.</w:t>
      </w:r>
    </w:p>
    <w:p w14:paraId="051414D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марта частями нашей авиации уничтожено и повреждено 10 немецких танков, более 400 автомашин с войсками и грузами, 135 повозок с боеприпасами, 13 автоцистерн и 2 железнодорожных цистерны с горючим, 38 орудий, 13 зенитно-пулемётных точек, взорвано 6 складов с боеприпасами, разбиты 35 железнодорожных вагонов и паровоз, разрушен ангар, рассеяно и частью уничтожено свыше 4 батальонов пехоты противника.</w:t>
      </w:r>
    </w:p>
    <w:p w14:paraId="6E709D3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тесня упорно сопротивляющегося противника, заняли два населённых пункта. В ходе боя подбито 13 танков и разгромлено два батальона пехоты противника. Попытки немцев при помощи ожесточённых контратак пехоты, поддержанных танками, вернуть потерянные позиции успеха не имели. Все контратаки отбиты с большими для врага потерями.</w:t>
      </w:r>
    </w:p>
    <w:p w14:paraId="714D0B88"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прорвала укреплённую полосу противника и заняла 4 населённых пункта. Захвачено 3 орудия, 16 пулемётов, 11 миномётов, 36 автомашин и много другого вооружения. В бою уничтожено свыше 500 немецких солдат и офицеров. 15 немцев взято в плен. На другом участке наши бойцы разгромили эскадрон кавалерийской бригады СС. Потери немцев убитыми — 200 солдат и офицеров.</w:t>
      </w:r>
    </w:p>
    <w:p w14:paraId="33C044E3"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гвардейцев-разведчиков под командованием старшего политрука П. И. Митрофанова, несмотря на сильный пулемётный огонь, ворвалась в деревню К. и после ожесточённого уличного боя заняла её. Немцы потеряли убитыми 100 солдат и офицеров. Наши бойцы захватили 15 автомашин с боеприпасами и большой склад с горючим.</w:t>
      </w:r>
    </w:p>
    <w:p w14:paraId="721F824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наших бойцов под командованием старшего сержанта тов. Орлова (Калининский фронт) выбили немцев из одного укреплённого дома в населённом пункте Б. Решив во что бы то ни стало вернуть очень важную для обороны позицию, гитлеровцы бросили против наших бойцов отряд в 150 человек. Завязалась ожесточённая борьба. Расстреливая немцев в упор, отбиваясь гранатами, красноармейцы в течение нескольких часов вели неравную борьбу. Немцам казалось, что они уже близки к победе. В это время подоспела другая группа наших короткой схватки все гитлеровцы были уничтожены.</w:t>
      </w:r>
    </w:p>
    <w:p w14:paraId="3DD567A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Действующий в Смоленской области партизанский отряд «Бей врага» ночью напал на немецкий гарнизон, расквартированный в деревне Е. Немецко-фашистские захватчики, потеряв свыше 30 солдат, отступили из деревни. Партизаны другого отряда, атаковав карательный отряд, уничтожили 17 эсэсовцев и захватили 4 пулемёта и 7 автоматов.</w:t>
      </w:r>
    </w:p>
    <w:p w14:paraId="3EF77D8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комендатуре одного из сёл, оккупированных белофиннами, партизанами захвачено неотправленное письмо коменданта Вейно Сааринен к родным. В письме говорится: «Жизнь надоела. Самое страшное— это партизаны. Вчера они подожгли наши склады и скрылись. Погибли последние остатки продовольствия».</w:t>
      </w:r>
    </w:p>
    <w:p w14:paraId="3796FBB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Наши части захватили донесение командира 6 роты 2 батальона 52 немецкого мотострелкового полка. Командир роты докладывает штабу полка, сколько и какого оружия потеряло его подразделение в последних боях. 6 рота потеряла: штыков — 91, винтовок — 20, противотанковых ружей — 3, пистолетов — 44, автоматов — 10, пулемётов «МГ-34» — 9, пулемётов «МГ-34» на лафете — 2, лёгких миномётов — 3, противогазов — 94.</w:t>
      </w:r>
    </w:p>
    <w:p w14:paraId="3644196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частей Красной Армии, озверелые гитлеровцы уничтожают мирное население советских сёл и городов. В поселке Охват Ленинградской области, бойцов во главе с т. Крутиковым. После гитлеровцы под угрозой расстрела заставили стариков и женщин сесть в сани и ехать по заминированной дороге. Во время взрывов погибло много жителей поселка.</w:t>
      </w:r>
    </w:p>
    <w:p w14:paraId="6D8FC13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работает коллектив рудника Кий треста «Забайкалзолото». Бурщик Михаил Федотов на днях дал 647 процентов нормы, а его ученик Георгий Решетников выполнил задание на 523 процента. Рудник досрочно закончил выполнение квартального плана золотодобычи.» (15060).</w:t>
      </w:r>
    </w:p>
    <w:p w14:paraId="3EF510CF"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086CFDDD" w14:textId="19DAA05C" w:rsidR="00F80D60" w:rsidRPr="008127F8" w:rsidRDefault="00F80D60"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1D1434D4" w14:textId="77777777" w:rsidR="00F80D60" w:rsidRPr="008127F8" w:rsidRDefault="00F80D60"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346A01E" w14:textId="77777777" w:rsidR="00F80D60" w:rsidRPr="008127F8" w:rsidRDefault="00F80D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в 01.10 на Кремль были сброшены три фугасные бомбы. Бомба весом в 500 кг упала около Набатной башни, близ Спасских ворот, и попала в щель, где укрывались восемь бойцов полка специального назначения. Одна из 50-килограммовых бомб упала на площади против здания УКМК, другая - на проезжей части против Архангельского собора. Сброшенными фугасными бомбами были убиты восемь человек, умерли впоследствии от ран четверо, ранены и контужены 32 человека. Взрывами также был причинен ущерб ряду зданий на территории Кремля (21004).</w:t>
      </w:r>
    </w:p>
    <w:p w14:paraId="77798FAA" w14:textId="77777777" w:rsidR="00F80D60" w:rsidRPr="008127F8" w:rsidRDefault="00F80D60" w:rsidP="001E0A84">
      <w:pPr>
        <w:spacing w:after="0" w:line="240" w:lineRule="auto"/>
        <w:jc w:val="both"/>
        <w:rPr>
          <w:rFonts w:ascii="Times New Roman" w:hAnsi="Times New Roman"/>
          <w:color w:val="000000" w:themeColor="text1"/>
          <w:sz w:val="16"/>
          <w:szCs w:val="16"/>
        </w:rPr>
      </w:pPr>
    </w:p>
    <w:p w14:paraId="5A92B255" w14:textId="5853ACAC"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8D05E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CA90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самолеты с авианосца Виктория остановили атаку Тирпица на конвой PQ-12 (2261).</w:t>
      </w:r>
    </w:p>
    <w:p w14:paraId="02263F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7401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марта</w:t>
      </w:r>
      <w:r w:rsidRPr="008127F8">
        <w:rPr>
          <w:rFonts w:ascii="Times New Roman" w:hAnsi="Times New Roman"/>
          <w:color w:val="000000" w:themeColor="text1"/>
          <w:sz w:val="16"/>
          <w:szCs w:val="16"/>
        </w:rPr>
        <w:t xml:space="preserve"> в 1942 году (по 13 марта) – рейд германского линкора «Тирпиц» в район британских военных конвоев в Баренцевом море (15060).</w:t>
      </w:r>
    </w:p>
    <w:p w14:paraId="6412D925"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42215E0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520D0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DC5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марта 1942 года.</w:t>
      </w:r>
    </w:p>
    <w:p w14:paraId="24E50F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ГКО</w:t>
      </w:r>
    </w:p>
    <w:p w14:paraId="029926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организации на площади эвакуированного завода N 39 в г. Москве производства самолетов ДБ-3Ф с моторами М-88.</w:t>
      </w:r>
    </w:p>
    <w:p w14:paraId="486674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постановляет:</w:t>
      </w:r>
    </w:p>
    <w:p w14:paraId="1D7E42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Наркомавиапрома - Шахурина организовать в г. Москве, на площади эвакуированного завода N 39 НКАП, самолетостроительный завод для производства двухмоторных бомбардировщиков ДБ-3Ф с моторами М-88 с деревянным фюзеляжем, присвоив этому заводу N 81.</w:t>
      </w:r>
    </w:p>
    <w:p w14:paraId="0FDB78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директором завода N 81 Филимончук Т.Х. и гл. инженером завода - Морозова П.М.</w:t>
      </w:r>
    </w:p>
    <w:p w14:paraId="71AFD1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заводу N 81 на 1942 год программу выпуска самолетов ДБ-3Ф с моторами М-88 в количестве 138 единиц,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23C6E21F" w14:textId="77777777">
        <w:tc>
          <w:tcPr>
            <w:tcW w:w="3757" w:type="dxa"/>
            <w:tcBorders>
              <w:top w:val="single" w:sz="12" w:space="0" w:color="auto"/>
            </w:tcBorders>
          </w:tcPr>
          <w:p w14:paraId="010785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w:t>
            </w:r>
          </w:p>
        </w:tc>
        <w:tc>
          <w:tcPr>
            <w:tcW w:w="3757" w:type="dxa"/>
            <w:tcBorders>
              <w:top w:val="single" w:sz="12" w:space="0" w:color="auto"/>
            </w:tcBorders>
          </w:tcPr>
          <w:p w14:paraId="188790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самолета</w:t>
            </w:r>
          </w:p>
        </w:tc>
      </w:tr>
      <w:tr w:rsidR="006F4095" w:rsidRPr="008127F8" w14:paraId="576441C4" w14:textId="77777777">
        <w:tc>
          <w:tcPr>
            <w:tcW w:w="3757" w:type="dxa"/>
          </w:tcPr>
          <w:p w14:paraId="1FDD7B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w:t>
            </w:r>
          </w:p>
        </w:tc>
        <w:tc>
          <w:tcPr>
            <w:tcW w:w="3757" w:type="dxa"/>
          </w:tcPr>
          <w:p w14:paraId="0EEA8E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w:t>
            </w:r>
          </w:p>
        </w:tc>
      </w:tr>
      <w:tr w:rsidR="006F4095" w:rsidRPr="008127F8" w14:paraId="646BD0FC" w14:textId="77777777">
        <w:tc>
          <w:tcPr>
            <w:tcW w:w="3757" w:type="dxa"/>
          </w:tcPr>
          <w:p w14:paraId="3C3BD2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w:t>
            </w:r>
          </w:p>
        </w:tc>
        <w:tc>
          <w:tcPr>
            <w:tcW w:w="3757" w:type="dxa"/>
          </w:tcPr>
          <w:p w14:paraId="5E00EC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w:t>
            </w:r>
          </w:p>
        </w:tc>
      </w:tr>
      <w:tr w:rsidR="006F4095" w:rsidRPr="008127F8" w14:paraId="5554D5A2" w14:textId="77777777">
        <w:tc>
          <w:tcPr>
            <w:tcW w:w="3757" w:type="dxa"/>
          </w:tcPr>
          <w:p w14:paraId="173D4A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w:t>
            </w:r>
          </w:p>
        </w:tc>
        <w:tc>
          <w:tcPr>
            <w:tcW w:w="3757" w:type="dxa"/>
          </w:tcPr>
          <w:p w14:paraId="256CAD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w:t>
            </w:r>
          </w:p>
        </w:tc>
      </w:tr>
      <w:tr w:rsidR="006F4095" w:rsidRPr="008127F8" w14:paraId="6F9A63E3" w14:textId="77777777">
        <w:tc>
          <w:tcPr>
            <w:tcW w:w="3757" w:type="dxa"/>
          </w:tcPr>
          <w:p w14:paraId="329496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w:t>
            </w:r>
          </w:p>
        </w:tc>
        <w:tc>
          <w:tcPr>
            <w:tcW w:w="3757" w:type="dxa"/>
          </w:tcPr>
          <w:p w14:paraId="0953D1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w:t>
            </w:r>
          </w:p>
        </w:tc>
      </w:tr>
      <w:tr w:rsidR="006F4095" w:rsidRPr="008127F8" w14:paraId="54DD5DF9" w14:textId="77777777">
        <w:tc>
          <w:tcPr>
            <w:tcW w:w="3757" w:type="dxa"/>
          </w:tcPr>
          <w:p w14:paraId="10F6E3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w:t>
            </w:r>
          </w:p>
        </w:tc>
        <w:tc>
          <w:tcPr>
            <w:tcW w:w="3757" w:type="dxa"/>
          </w:tcPr>
          <w:p w14:paraId="6A86EA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w:t>
            </w:r>
          </w:p>
        </w:tc>
      </w:tr>
      <w:tr w:rsidR="006F4095" w:rsidRPr="008127F8" w14:paraId="31165016" w14:textId="77777777">
        <w:tc>
          <w:tcPr>
            <w:tcW w:w="3757" w:type="dxa"/>
            <w:tcBorders>
              <w:bottom w:val="single" w:sz="12" w:space="0" w:color="auto"/>
            </w:tcBorders>
          </w:tcPr>
          <w:p w14:paraId="4B6B00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w:t>
            </w:r>
          </w:p>
        </w:tc>
        <w:tc>
          <w:tcPr>
            <w:tcW w:w="3757" w:type="dxa"/>
            <w:tcBorders>
              <w:bottom w:val="single" w:sz="12" w:space="0" w:color="auto"/>
            </w:tcBorders>
          </w:tcPr>
          <w:p w14:paraId="630425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w:t>
            </w:r>
          </w:p>
        </w:tc>
      </w:tr>
    </w:tbl>
    <w:p w14:paraId="400B20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директора завода N 126 - Тимофеева:</w:t>
      </w:r>
    </w:p>
    <w:p w14:paraId="05DE43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выделить 40 человек технологов, конструкторов и мастеров для работы на заводе N 81 в Москве по внедрению в производство самолетов ДБ-3Ф с моторами М-88;</w:t>
      </w:r>
    </w:p>
    <w:p w14:paraId="3ACD87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передать заводу N 81 до 15 апреля 1942 года десять комплектов деталей самолета ДБ-3Ф, за исключением крыльев, фюзеляжей и оперения.</w:t>
      </w:r>
    </w:p>
    <w:p w14:paraId="79DC26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гл. конструктора - С.В.И. передать к 15 марта 1942 года заводу N 81 чертежи на самолет ДБ-3Ф с мотором М-88 с деревянным фюзеляжем.</w:t>
      </w:r>
    </w:p>
    <w:p w14:paraId="0DB0D2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директора завода N 81 Филимончук и гл. конструктора С.В.И. не позже 15 июля изготовить на заводе N 81 и испытать самолет ДБ-3Ф с мотором М-82, с деревянным фюзеляжем и крыльями, с увеличенной дальностью на 800 км (2760,280).</w:t>
      </w:r>
    </w:p>
    <w:p w14:paraId="5399AF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A2D26" w14:textId="77777777" w:rsidR="00DE624F" w:rsidRPr="008127F8" w:rsidRDefault="00DE624F"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марта 1942 года Нарком приказывает директору завода № 39 И.Б. Иосиловичу немедленно отгрузить на завод № 81 «все несмонтированное и неиспользованное оборудование завода № 39, а для усиления кадров завода № 81 перебросить 160 квалифицированных специалистов, из них рабочих - 100, ИТР - 60 человек». Своими воспоминаниями о работе завода № 81 в тот период поделился ветеран Б. Антонов (204). По его словам, с 1942 года по май 1943 года завод, кроме ремонта боевых самолетов, в большей степени занимался «переоборудованием английских самолетов «Харикейн», устанавливая на них пушки стандартного отечественного калибра. (Поступавшие по Ленд-Лизу английские «Харикейны», имели слабое вооружение, которое и заменяли на отечественные авиационные пушки ШВАК, НС-37 и крупнокалиберные пулеметы УБ-12,7 Березина. Прим. автора) (15223).</w:t>
      </w:r>
    </w:p>
    <w:p w14:paraId="37D2EFE2" w14:textId="77777777" w:rsidR="00DE624F" w:rsidRPr="008127F8" w:rsidRDefault="00DE624F" w:rsidP="001E0A84">
      <w:pPr>
        <w:shd w:val="clear" w:color="auto" w:fill="FFFFFF"/>
        <w:spacing w:after="0" w:line="240" w:lineRule="auto"/>
        <w:jc w:val="both"/>
        <w:rPr>
          <w:rFonts w:ascii="Times New Roman" w:hAnsi="Times New Roman"/>
          <w:color w:val="000000" w:themeColor="text1"/>
          <w:sz w:val="16"/>
          <w:szCs w:val="16"/>
        </w:rPr>
      </w:pPr>
    </w:p>
    <w:p w14:paraId="32498C37" w14:textId="77777777" w:rsidR="0084479F" w:rsidRPr="008127F8" w:rsidRDefault="008447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марта 1942 года Нарком приказывает директору завода № 39 И.Б. Иосиловичу немедленно отгрузить на завод № 81 «все несмонтированное и неиспользованное оборудование завода № 39, а для усиления кадров завода № 81 перебросить 160 квалифицированных специалистов, из них рабочих - 100, ИТР - 60 человек» (18293).</w:t>
      </w:r>
    </w:p>
    <w:p w14:paraId="4A94EF06" w14:textId="77777777" w:rsidR="0084479F" w:rsidRPr="008127F8" w:rsidRDefault="0084479F" w:rsidP="001E0A84">
      <w:pPr>
        <w:spacing w:after="0" w:line="240" w:lineRule="auto"/>
        <w:jc w:val="both"/>
        <w:rPr>
          <w:rFonts w:ascii="Times New Roman" w:hAnsi="Times New Roman"/>
          <w:color w:val="000000" w:themeColor="text1"/>
          <w:sz w:val="16"/>
          <w:szCs w:val="16"/>
        </w:rPr>
      </w:pPr>
    </w:p>
    <w:p w14:paraId="4EA299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марта 1942 г. успешно закончил 50-часовые стендовые испытания М-30 с комбинированным наддувом: от турбокомпрессора и приводного центробежного нагнетателя, который предназначался для устранения основного дефекта мотора: самовыключения при планировании на высотах более 4000 м (3322,37).</w:t>
      </w:r>
    </w:p>
    <w:p w14:paraId="4EDD8D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401B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D1303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B2C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при возвращении английских бомбардировщиков после налета на Эссен, один из них на высоте 4500 м подвергся преследованию неизвестного светящегося объекта, имеющего форму шара ярко-оранжевого цвета. Когда объект приблизился на 150 м по нему открыли огонь из пулеметов. Через несколько минут на тгромной скорости скрылся (7579).</w:t>
      </w:r>
    </w:p>
    <w:p w14:paraId="39636D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1CA03" w14:textId="609D9FBC" w:rsidR="00DB7795" w:rsidRDefault="00DB779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Авиапромыщленность:</w:t>
      </w:r>
    </w:p>
    <w:p w14:paraId="61A2422B" w14:textId="77777777" w:rsidR="00DB7795" w:rsidRDefault="00DB779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8D1514D"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марта 1942 г. в СССР проведены испытания дальнего бомбардировщика Ильюшин Ил-4, доработанного с целью увеличения запаса топлива подвеской под крыло двух дополнительных топливных баков ПТБ-325 объемом по 325 л и увеличенным на 140 л запасом масла за счет дополнительных баков для него в мотоотсеках. Высотно-скоростные данные из-за добавочного сопротивления внешней подвески несколько ухудшились, но дальность возросла на 600 км (при нормальной выработке баков). Испытания завершились с удовлетворительной их оценкой. Работа была задана еще в конце 1941 г. и была сравнительно небольшой, но загруженность другими заданиями не позволила ОКБ С.В. Ильюшина выполнить ее до конца года. И теперь эти испытания пришлось проводить в предельно сжатые сроки, что сказалось на их качестве: в строевой эксплуатации с подвесными баками часто возникали различные неисправности – предпосылки к летным происшествиям, и даже аварии (21145).</w:t>
      </w:r>
    </w:p>
    <w:p w14:paraId="0128BD1C" w14:textId="77777777" w:rsidR="00DB7795" w:rsidRPr="008A2E5A" w:rsidRDefault="00DB7795" w:rsidP="00DB7795">
      <w:pPr>
        <w:spacing w:after="0" w:line="240" w:lineRule="auto"/>
        <w:jc w:val="both"/>
        <w:rPr>
          <w:rFonts w:ascii="Times New Roman" w:hAnsi="Times New Roman"/>
          <w:color w:val="0070C0"/>
          <w:sz w:val="16"/>
          <w:szCs w:val="16"/>
        </w:rPr>
      </w:pPr>
    </w:p>
    <w:p w14:paraId="1452199A"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марта 1942 г. А.С. Яковлев по</w:t>
      </w:r>
      <w:r w:rsidRPr="008A2E5A">
        <w:rPr>
          <w:rFonts w:ascii="Times New Roman" w:hAnsi="Times New Roman"/>
          <w:color w:val="0070C0"/>
          <w:sz w:val="16"/>
          <w:szCs w:val="16"/>
        </w:rPr>
        <w:softHyphen/>
        <w:t>вторно рассмотрел и утвердил доработанную документацию проекта самолета «А» МиГ, а затем 10 мар</w:t>
      </w:r>
      <w:r w:rsidRPr="008A2E5A">
        <w:rPr>
          <w:rFonts w:ascii="Times New Roman" w:hAnsi="Times New Roman"/>
          <w:color w:val="0070C0"/>
          <w:sz w:val="16"/>
          <w:szCs w:val="16"/>
        </w:rPr>
        <w:softHyphen/>
        <w:t>та 1942 г. и Заказчик в лице началь</w:t>
      </w:r>
      <w:r w:rsidRPr="008A2E5A">
        <w:rPr>
          <w:rFonts w:ascii="Times New Roman" w:hAnsi="Times New Roman"/>
          <w:color w:val="0070C0"/>
          <w:sz w:val="16"/>
          <w:szCs w:val="16"/>
        </w:rPr>
        <w:softHyphen/>
        <w:t>ника Научно-испытательного института Военно-воздушных сил Красной Ар</w:t>
      </w:r>
      <w:r w:rsidRPr="008A2E5A">
        <w:rPr>
          <w:rFonts w:ascii="Times New Roman" w:hAnsi="Times New Roman"/>
          <w:color w:val="0070C0"/>
          <w:sz w:val="16"/>
          <w:szCs w:val="16"/>
        </w:rPr>
        <w:softHyphen/>
        <w:t>мии генерала И.Ф. Петрова (23400).</w:t>
      </w:r>
    </w:p>
    <w:p w14:paraId="2CACE69D" w14:textId="77777777" w:rsidR="00DB7795" w:rsidRPr="008A2E5A" w:rsidRDefault="00DB7795" w:rsidP="00DB7795">
      <w:pPr>
        <w:spacing w:after="0" w:line="240" w:lineRule="auto"/>
        <w:jc w:val="both"/>
        <w:rPr>
          <w:rFonts w:ascii="Times New Roman" w:hAnsi="Times New Roman"/>
          <w:color w:val="0070C0"/>
          <w:sz w:val="16"/>
          <w:szCs w:val="16"/>
        </w:rPr>
      </w:pPr>
    </w:p>
    <w:p w14:paraId="367AC08E" w14:textId="229FA5A4"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E39D8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30F3CA"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самом начале марта 1942 года по различным причинам из строя вышло 22 танка КВ-1 из состава бронетанковых соединений Крымского фронта. Об инциденте стало известно по той причине, что в дело лично вмешался заместитель народного комиссара обороны, армейский комиссар 1-го ранга Л.З. Мехлис. Лев Захарович потребовал срочно прислать для ремонта новые КПП, а также командировать на фронт Ж.Я. Котина. 6 марта состоялось совещание военных представителей, </w:t>
      </w:r>
      <w:r w:rsidRPr="008127F8">
        <w:rPr>
          <w:rFonts w:ascii="Times New Roman" w:eastAsia="Times New Roman" w:hAnsi="Times New Roman"/>
          <w:color w:val="000000" w:themeColor="text1"/>
          <w:sz w:val="16"/>
          <w:szCs w:val="16"/>
          <w:lang w:eastAsia="ru-RU"/>
        </w:rPr>
        <w:lastRenderedPageBreak/>
        <w:t>посвященное эксплуатации, ремонту и выявлению дефектных машин. В ходе совещания была озвучена поистине шокирующая цифра – доля КПП с дефектами доходила до 40%!</w:t>
      </w:r>
    </w:p>
    <w:p w14:paraId="6D056193"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Еще до начала этого разбирательства вышло постановление ГКО №1331 от 23 февраля 1942 года,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027D3267"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8033F69"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марта 1942 года танки Тетрарх (20) передали в распоряжение 21-го отдельного учебного танкового полка, располагавшегося в городе Шаумян рядом с Ереваном (Армения).</w:t>
      </w:r>
    </w:p>
    <w:p w14:paraId="4FA45625"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этим эпизодом в судьбе советских «Тетрархов» связана история небольшого скандала. В марте 1942 года в расположение полка приехал фотокорреспондент ТАСС Марк Редькин, один из главных фотолетописцев Великой Отечественной войны. Шустрые английские машины, рассекающие по горным дорогам, привлекли внимание Марка Степановича. Он сделал серию кадров и отбыл в Москву. 5 мая 1942 года в отдел внешний сношений НКО прибыло письмо от генерала Мейсона-Макфарлейна:</w:t>
      </w:r>
    </w:p>
    <w:p w14:paraId="6E89A05B"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«Британское Министерство Информации сообщает, что Агенство ТАСС в Лондоне получило от ТАСС из Москвы фотографию британского лёгкого танка марк семь, называемого Тетрарх. Мне также сообщают, что эта фотография была отправлена по радио.</w:t>
      </w:r>
    </w:p>
    <w:p w14:paraId="30D9B7E0"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Этот танк ещё состоит в секретном списке.</w:t>
      </w:r>
    </w:p>
    <w:p w14:paraId="2B6FC6BF"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Прошу Вас прекратить опубликование каких-либо фотографий этого танка в советской печати и озаботиться тем, чтобы таковые не выставлялись напоказ публике. Известно, что такая фотография была выставлена в окнах ТАСС.</w:t>
      </w:r>
    </w:p>
    <w:p w14:paraId="7A2853F7"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Прошу Вас срочно сообщить мне, были ли какие-либо фотографии этого танка уже опубликованы в советской печати. Если так, то прошу Вас сообщить мне даты и названия газет».</w:t>
      </w:r>
    </w:p>
    <w:p w14:paraId="782A2EFA"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Разразился скандал, который довольно быстро удалось погасить. По итогам разбирательств было дано указание не публиковать снимков «Тетрархов» и «Черчиллей», как секретных машин. История имела продолжение. В июле 1942 года фотографии Редькина были переданы американскому агентству Associated Press, которое их тут же опубликовало. Последовало ещё одно письмо из Британской миссии, разбирательства шли больше месяца (17648).</w:t>
      </w:r>
    </w:p>
    <w:p w14:paraId="05591D97" w14:textId="77777777" w:rsidR="00EE149C" w:rsidRPr="008127F8" w:rsidRDefault="00EE149C" w:rsidP="001E0A84">
      <w:pPr>
        <w:pStyle w:val="12a"/>
        <w:shd w:val="clear" w:color="auto" w:fill="auto"/>
        <w:spacing w:after="0" w:line="240" w:lineRule="auto"/>
        <w:jc w:val="both"/>
        <w:rPr>
          <w:color w:val="000000" w:themeColor="text1"/>
          <w:sz w:val="16"/>
          <w:szCs w:val="16"/>
        </w:rPr>
      </w:pPr>
    </w:p>
    <w:p w14:paraId="46D0EB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марта 1942 г. к созданию легких самоходных установок приступило специальное бюро самоходной артиллерии, организован</w:t>
      </w:r>
      <w:r w:rsidRPr="008127F8">
        <w:rPr>
          <w:rFonts w:ascii="Times New Roman" w:hAnsi="Times New Roman"/>
          <w:color w:val="000000" w:themeColor="text1"/>
          <w:sz w:val="16"/>
          <w:szCs w:val="16"/>
        </w:rPr>
        <w:softHyphen/>
        <w:t>ное на базе технического отдела НКТП во главе с С.А. Гинзбургом. С ис</w:t>
      </w:r>
      <w:r w:rsidRPr="008127F8">
        <w:rPr>
          <w:rFonts w:ascii="Times New Roman" w:hAnsi="Times New Roman"/>
          <w:color w:val="000000" w:themeColor="text1"/>
          <w:sz w:val="16"/>
          <w:szCs w:val="16"/>
        </w:rPr>
        <w:softHyphen/>
        <w:t>пользованием базы легкого танка Т-60 и агрегатов грузовых автомоби</w:t>
      </w:r>
      <w:r w:rsidRPr="008127F8">
        <w:rPr>
          <w:rFonts w:ascii="Times New Roman" w:hAnsi="Times New Roman"/>
          <w:color w:val="000000" w:themeColor="text1"/>
          <w:sz w:val="16"/>
          <w:szCs w:val="16"/>
        </w:rPr>
        <w:softHyphen/>
        <w:t>лей ЗИС и ГАЗ этим бюро был разработан эскизный проект унифици</w:t>
      </w:r>
      <w:r w:rsidRPr="008127F8">
        <w:rPr>
          <w:rFonts w:ascii="Times New Roman" w:hAnsi="Times New Roman"/>
          <w:color w:val="000000" w:themeColor="text1"/>
          <w:sz w:val="16"/>
          <w:szCs w:val="16"/>
        </w:rPr>
        <w:softHyphen/>
        <w:t>рованного шасси, предназначавшегося для создания различных типов самоходных установок включая и противотанковые. В качестве основ</w:t>
      </w:r>
      <w:r w:rsidRPr="008127F8">
        <w:rPr>
          <w:rFonts w:ascii="Times New Roman" w:hAnsi="Times New Roman"/>
          <w:color w:val="000000" w:themeColor="text1"/>
          <w:sz w:val="16"/>
          <w:szCs w:val="16"/>
        </w:rPr>
        <w:softHyphen/>
        <w:t>ного оружия на данном шасси предполагалось установить 76,2-мм пуш</w:t>
      </w:r>
      <w:r w:rsidRPr="008127F8">
        <w:rPr>
          <w:rFonts w:ascii="Times New Roman" w:hAnsi="Times New Roman"/>
          <w:color w:val="000000" w:themeColor="text1"/>
          <w:sz w:val="16"/>
          <w:szCs w:val="16"/>
        </w:rPr>
        <w:softHyphen/>
        <w:t>ку с баллистикой дивизионного орудия обр. 1939 г. (УСВ) или 76,2-мм танковую пушку обр. 1940 г. (Ф-34). Однако С.А. Гинзбург предполагал значительно шире использовать унифицированное шасси и предложил в трехмесячный срок совместно с конструкторами из МВТУ им. Баума</w:t>
      </w:r>
      <w:r w:rsidRPr="008127F8">
        <w:rPr>
          <w:rFonts w:ascii="Times New Roman" w:hAnsi="Times New Roman"/>
          <w:color w:val="000000" w:themeColor="text1"/>
          <w:sz w:val="16"/>
          <w:szCs w:val="16"/>
        </w:rPr>
        <w:softHyphen/>
        <w:t>на и НАТИ разработать целый ряд боевых машин:</w:t>
      </w:r>
    </w:p>
    <w:p w14:paraId="57E9FE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- 76,2-мм штурмовое самоходное орудие поддержки пехоты;</w:t>
      </w:r>
    </w:p>
    <w:p w14:paraId="46E7ACD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зенитный самоходный автомат;</w:t>
      </w:r>
    </w:p>
    <w:p w14:paraId="40DE7C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- 37-мм зенитный танк с башенной установкой конструкции Савина;</w:t>
      </w:r>
    </w:p>
    <w:p w14:paraId="32660C3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легкий танк с 45-мм пушкой большой мощности и 45-мм броней;</w:t>
      </w:r>
    </w:p>
    <w:p w14:paraId="0FEEF0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бронированный транспортер пехоты и боеприпасов, на базе кото</w:t>
      </w:r>
      <w:r w:rsidRPr="008127F8">
        <w:rPr>
          <w:rFonts w:ascii="Times New Roman" w:hAnsi="Times New Roman"/>
          <w:color w:val="000000" w:themeColor="text1"/>
          <w:sz w:val="16"/>
          <w:szCs w:val="16"/>
        </w:rPr>
        <w:softHyphen/>
        <w:t>рого могли быть созданы санитарная машина, машина технической по</w:t>
      </w:r>
      <w:r w:rsidRPr="008127F8">
        <w:rPr>
          <w:rFonts w:ascii="Times New Roman" w:hAnsi="Times New Roman"/>
          <w:color w:val="000000" w:themeColor="text1"/>
          <w:sz w:val="16"/>
          <w:szCs w:val="16"/>
        </w:rPr>
        <w:softHyphen/>
        <w:t>мощи и самоходный миномет;</w:t>
      </w:r>
    </w:p>
    <w:p w14:paraId="5C9D52E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артиллерийский тягач (10703).</w:t>
      </w:r>
    </w:p>
    <w:p w14:paraId="1A81E7C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53C7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20DA1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F9D0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марта 1942 г. ВВС Северного флота получили заметное пополнение в виде двадцати “пешек”. Сюда прибыл 95-й иап майора А.В. Жатькова, переданный из состава ВВС Красной Армии. Полк, вооруженный тяжелыми истребителями Пе-3, в течение месяца знакомился с районом боевых действий. В предвидении прихода на Север очередных конвоев союзников (19 апреля в Мурманск прибыли пять судов из каравана PQ-14, а 6 мая - 20 судов из состава конвоя PQ-15) командованием ВВС СФ было принято решение о нанесении ряда ударов по неприятельским аэродромам (4476).</w:t>
      </w:r>
    </w:p>
    <w:p w14:paraId="5DCEA9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96B1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D6F5A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D0374" w14:textId="77777777" w:rsidR="0084479F" w:rsidRPr="008127F8" w:rsidRDefault="0084479F" w:rsidP="001E0A84">
      <w:pPr>
        <w:spacing w:after="0" w:line="240" w:lineRule="auto"/>
        <w:jc w:val="both"/>
        <w:rPr>
          <w:rFonts w:ascii="Times New Roman" w:hAnsi="Times New Roman"/>
          <w:color w:val="000000" w:themeColor="text1"/>
          <w:sz w:val="16"/>
          <w:szCs w:val="16"/>
          <w:shd w:val="clear" w:color="auto" w:fill="F9F9F9"/>
        </w:rPr>
      </w:pPr>
      <w:r w:rsidRPr="008127F8">
        <w:rPr>
          <w:rFonts w:ascii="Times New Roman" w:hAnsi="Times New Roman"/>
          <w:color w:val="000000" w:themeColor="text1"/>
          <w:sz w:val="16"/>
          <w:szCs w:val="16"/>
          <w:shd w:val="clear" w:color="auto" w:fill="F9F9F9"/>
        </w:rPr>
        <w:t>7 марта 1942 г.</w:t>
      </w:r>
    </w:p>
    <w:p w14:paraId="16AA5CB9" w14:textId="77777777" w:rsidR="0084479F" w:rsidRPr="008127F8" w:rsidRDefault="008447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9F9F9"/>
        </w:rPr>
        <w:t>Справка отдела оборонной промышленности Куйбышевского горкома ВКП(б) о заводах НКАП, перебазированных на Безымянскую площадку г. Куйбышева</w:t>
      </w:r>
    </w:p>
    <w:p w14:paraId="20B3E80C"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СЕКРЕТАРЮ ОБКОМА В.К.П.(б)</w:t>
      </w:r>
    </w:p>
    <w:p w14:paraId="30D9C8BC"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тов. НИКИТИНУ (поступила 10 марта 1942)</w:t>
      </w:r>
    </w:p>
    <w:p w14:paraId="2DF6ACDD"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СПРАВКА</w:t>
      </w:r>
    </w:p>
    <w:p w14:paraId="6B526895"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xml:space="preserve">о заводах </w:t>
      </w:r>
      <w:proofErr w:type="gramStart"/>
      <w:r w:rsidRPr="008127F8">
        <w:rPr>
          <w:rFonts w:ascii="Times New Roman" w:eastAsia="Gungsuh" w:hAnsi="Times New Roman"/>
          <w:color w:val="000000" w:themeColor="text1"/>
          <w:sz w:val="16"/>
          <w:szCs w:val="16"/>
          <w:lang w:eastAsia="ru-RU"/>
        </w:rPr>
        <w:t>НКАП,перебазированных</w:t>
      </w:r>
      <w:proofErr w:type="gramEnd"/>
      <w:r w:rsidRPr="008127F8">
        <w:rPr>
          <w:rFonts w:ascii="Times New Roman" w:eastAsia="Gungsuh" w:hAnsi="Times New Roman"/>
          <w:color w:val="000000" w:themeColor="text1"/>
          <w:sz w:val="16"/>
          <w:szCs w:val="16"/>
          <w:lang w:eastAsia="ru-RU"/>
        </w:rPr>
        <w:t xml:space="preserve"> на безымянскую площадку.</w:t>
      </w:r>
    </w:p>
    <w:p w14:paraId="53831536"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 имени Сталина (самолетостроение)</w:t>
      </w:r>
    </w:p>
    <w:p w14:paraId="66D1A6D6"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 перебазирован из г.Моск ы на площадку завода № 122,</w:t>
      </w:r>
    </w:p>
    <w:p w14:paraId="13FA4101"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122, в свою очередь, комплектовался из сле</w:t>
      </w:r>
      <w:r w:rsidRPr="008127F8">
        <w:rPr>
          <w:rFonts w:ascii="Times New Roman" w:eastAsia="Gungsuh" w:hAnsi="Times New Roman"/>
          <w:color w:val="000000" w:themeColor="text1"/>
          <w:sz w:val="16"/>
          <w:szCs w:val="16"/>
          <w:lang w:eastAsia="ru-RU"/>
        </w:rPr>
        <w:softHyphen/>
        <w:t>дующих заводов:</w:t>
      </w:r>
    </w:p>
    <w:p w14:paraId="029C6E00"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Самолетных заводов:</w:t>
      </w:r>
    </w:p>
    <w:p w14:paraId="4634B70A"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463, находившегося в г.Таллине,</w:t>
      </w:r>
    </w:p>
    <w:p w14:paraId="6F5EC795"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464, находишегося в г.Риге,</w:t>
      </w:r>
    </w:p>
    <w:p w14:paraId="221BA4E1"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xml:space="preserve">№ </w:t>
      </w:r>
      <w:proofErr w:type="gramStart"/>
      <w:r w:rsidRPr="008127F8">
        <w:rPr>
          <w:rFonts w:ascii="Times New Roman" w:eastAsia="Gungsuh" w:hAnsi="Times New Roman"/>
          <w:color w:val="000000" w:themeColor="text1"/>
          <w:sz w:val="16"/>
          <w:szCs w:val="16"/>
          <w:lang w:eastAsia="ru-RU"/>
        </w:rPr>
        <w:t>465,находившегося</w:t>
      </w:r>
      <w:proofErr w:type="gramEnd"/>
      <w:r w:rsidRPr="008127F8">
        <w:rPr>
          <w:rFonts w:ascii="Times New Roman" w:eastAsia="Gungsuh" w:hAnsi="Times New Roman"/>
          <w:color w:val="000000" w:themeColor="text1"/>
          <w:sz w:val="16"/>
          <w:szCs w:val="16"/>
          <w:lang w:eastAsia="ru-RU"/>
        </w:rPr>
        <w:t xml:space="preserve"> в г.Каунасе,</w:t>
      </w:r>
    </w:p>
    <w:p w14:paraId="1991080F"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xml:space="preserve">№ </w:t>
      </w:r>
      <w:proofErr w:type="gramStart"/>
      <w:r w:rsidRPr="008127F8">
        <w:rPr>
          <w:rFonts w:ascii="Times New Roman" w:eastAsia="Gungsuh" w:hAnsi="Times New Roman"/>
          <w:color w:val="000000" w:themeColor="text1"/>
          <w:sz w:val="16"/>
          <w:szCs w:val="16"/>
          <w:lang w:eastAsia="ru-RU"/>
        </w:rPr>
        <w:t>450,находишегося</w:t>
      </w:r>
      <w:proofErr w:type="gramEnd"/>
      <w:r w:rsidRPr="008127F8">
        <w:rPr>
          <w:rFonts w:ascii="Times New Roman" w:eastAsia="Gungsuh" w:hAnsi="Times New Roman"/>
          <w:color w:val="000000" w:themeColor="text1"/>
          <w:sz w:val="16"/>
          <w:szCs w:val="16"/>
          <w:lang w:eastAsia="ru-RU"/>
        </w:rPr>
        <w:t xml:space="preserve"> в г. Минске,</w:t>
      </w:r>
    </w:p>
    <w:p w14:paraId="6BEEE364"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35, находившегося в г.Смоленске</w:t>
      </w:r>
    </w:p>
    <w:p w14:paraId="46965928" w14:textId="77777777" w:rsidR="0084479F" w:rsidRPr="008127F8" w:rsidRDefault="0084479F" w:rsidP="001E0A84">
      <w:pPr>
        <w:spacing w:after="0" w:line="240" w:lineRule="auto"/>
        <w:jc w:val="both"/>
        <w:rPr>
          <w:rFonts w:ascii="Times New Roman" w:eastAsia="Gungsuh"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 8 0</w:t>
      </w:r>
      <w:proofErr w:type="gramStart"/>
      <w:r w:rsidRPr="008127F8">
        <w:rPr>
          <w:rFonts w:ascii="Times New Roman" w:eastAsia="Gungsuh" w:hAnsi="Times New Roman"/>
          <w:color w:val="000000" w:themeColor="text1"/>
          <w:sz w:val="16"/>
          <w:szCs w:val="16"/>
          <w:lang w:eastAsia="ru-RU"/>
        </w:rPr>
        <w:t>ргавиапрома(</w:t>
      </w:r>
      <w:proofErr w:type="gramEnd"/>
      <w:r w:rsidRPr="008127F8">
        <w:rPr>
          <w:rFonts w:ascii="Times New Roman" w:eastAsia="Gungsuh" w:hAnsi="Times New Roman"/>
          <w:color w:val="000000" w:themeColor="text1"/>
          <w:sz w:val="16"/>
          <w:szCs w:val="16"/>
          <w:lang w:eastAsia="ru-RU"/>
        </w:rPr>
        <w:t>з-д приспособлений), находившегося в г.Днепропотровске</w:t>
      </w:r>
    </w:p>
    <w:p w14:paraId="10E727AE"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Вся эта группа заводов располагала небольшим количеством оборудования и рабочей силы,</w:t>
      </w:r>
    </w:p>
    <w:p w14:paraId="0EE9F104"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В обшей сложности эти заводы привезли не более 400-500 единиц оборудования, а такие заводы, как № 450 в г. Минске</w:t>
      </w:r>
      <w:r w:rsidRPr="008127F8">
        <w:rPr>
          <w:rFonts w:ascii="Times New Roman" w:eastAsia="Times New Roman" w:hAnsi="Times New Roman"/>
          <w:bCs/>
          <w:color w:val="000000" w:themeColor="text1"/>
          <w:sz w:val="16"/>
          <w:szCs w:val="16"/>
        </w:rPr>
        <w:t xml:space="preserve"> </w:t>
      </w:r>
      <w:r w:rsidRPr="008127F8">
        <w:rPr>
          <w:rFonts w:ascii="Times New Roman" w:eastAsia="Times New Roman" w:hAnsi="Times New Roman"/>
          <w:bCs/>
          <w:color w:val="000000" w:themeColor="text1"/>
          <w:sz w:val="16"/>
          <w:szCs w:val="16"/>
          <w:lang w:eastAsia="ru-RU"/>
        </w:rPr>
        <w:t>и №</w:t>
      </w:r>
      <w:r w:rsidRPr="008127F8">
        <w:rPr>
          <w:rFonts w:ascii="Times New Roman" w:eastAsia="Gungsuh" w:hAnsi="Times New Roman"/>
          <w:color w:val="000000" w:themeColor="text1"/>
          <w:sz w:val="16"/>
          <w:szCs w:val="16"/>
          <w:lang w:eastAsia="ru-RU"/>
        </w:rPr>
        <w:t xml:space="preserve"> 465 в г. Каунаое - оборудования совершенно не прилезли.</w:t>
      </w:r>
    </w:p>
    <w:p w14:paraId="3FCFDFC6"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Эвакуация всей этой группы заводов проходила в течении июля и августа месяцев 1941 года,</w:t>
      </w:r>
    </w:p>
    <w:p w14:paraId="24C8870C"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К моменту приезда завода № 1 им. Сталина, завод И 122 уже располагал: кадрами рабочих и инженеррно-технического состава в количестве около 5,000 человек и оборудованием в количестве около 1000 единиц.</w:t>
      </w:r>
    </w:p>
    <w:p w14:paraId="3BF1A237"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До прибытия завода №</w:t>
      </w:r>
      <w:r w:rsidRPr="008127F8">
        <w:rPr>
          <w:rFonts w:ascii="Times New Roman" w:eastAsia="Gungsuh" w:hAnsi="Times New Roman"/>
          <w:color w:val="000000" w:themeColor="text1"/>
          <w:sz w:val="16"/>
          <w:szCs w:val="16"/>
        </w:rPr>
        <w:t xml:space="preserve"> </w:t>
      </w:r>
      <w:r w:rsidRPr="008127F8">
        <w:rPr>
          <w:rFonts w:ascii="Times New Roman" w:eastAsia="Gungsuh" w:hAnsi="Times New Roman"/>
          <w:color w:val="000000" w:themeColor="text1"/>
          <w:sz w:val="16"/>
          <w:szCs w:val="16"/>
          <w:lang w:eastAsia="ru-RU"/>
        </w:rPr>
        <w:t>1 им.Сталина, завод 122 занимался подготовкой производства на самолет МиГ и производил оборку 5-10 самолетов МИГ из деталей завода № 1.</w:t>
      </w:r>
    </w:p>
    <w:p w14:paraId="3FE8DD11"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w:t>
      </w:r>
      <w:r w:rsidRPr="008127F8">
        <w:rPr>
          <w:rFonts w:ascii="Times New Roman" w:eastAsia="Times New Roman" w:hAnsi="Times New Roman"/>
          <w:i/>
          <w:iCs/>
          <w:color w:val="000000" w:themeColor="text1"/>
          <w:sz w:val="16"/>
          <w:szCs w:val="16"/>
          <w:lang w:eastAsia="ru-RU"/>
        </w:rPr>
        <w:t xml:space="preserve"> № 24</w:t>
      </w:r>
      <w:r w:rsidRPr="008127F8">
        <w:rPr>
          <w:rFonts w:ascii="Times New Roman" w:eastAsia="Gungsuh" w:hAnsi="Times New Roman"/>
          <w:color w:val="000000" w:themeColor="text1"/>
          <w:sz w:val="16"/>
          <w:szCs w:val="16"/>
          <w:lang w:eastAsia="ru-RU"/>
        </w:rPr>
        <w:t xml:space="preserve"> имени Фрунзе (моторостроение}</w:t>
      </w:r>
    </w:p>
    <w:p w14:paraId="63759AC8"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24 перебазировался на плошедку завода № 337.</w:t>
      </w:r>
    </w:p>
    <w:p w14:paraId="31BFE10B" w14:textId="77777777" w:rsidR="0084479F" w:rsidRPr="008127F8" w:rsidRDefault="0084479F" w:rsidP="001E0A84">
      <w:pPr>
        <w:spacing w:after="0" w:line="240" w:lineRule="auto"/>
        <w:jc w:val="both"/>
        <w:rPr>
          <w:rFonts w:ascii="Times New Roman" w:hAnsi="Times New Roman"/>
          <w:color w:val="000000" w:themeColor="text1"/>
          <w:sz w:val="16"/>
          <w:szCs w:val="16"/>
        </w:rPr>
      </w:pPr>
      <w:r w:rsidRPr="008127F8">
        <w:rPr>
          <w:rFonts w:ascii="Times New Roman" w:eastAsia="Gungsuh" w:hAnsi="Times New Roman"/>
          <w:color w:val="000000" w:themeColor="text1"/>
          <w:sz w:val="16"/>
          <w:szCs w:val="16"/>
          <w:lang w:eastAsia="ru-RU"/>
        </w:rPr>
        <w:t>Завод № 337 впитал в сеобя строившиеся моторные заводы № 459 в г</w:t>
      </w:r>
      <w:r w:rsidRPr="008127F8">
        <w:rPr>
          <w:rFonts w:ascii="Times New Roman" w:eastAsia="Gungsuh" w:hAnsi="Times New Roman"/>
          <w:color w:val="000000" w:themeColor="text1"/>
          <w:sz w:val="16"/>
          <w:szCs w:val="16"/>
        </w:rPr>
        <w:t xml:space="preserve">. </w:t>
      </w:r>
      <w:r w:rsidRPr="008127F8">
        <w:rPr>
          <w:rFonts w:ascii="Times New Roman" w:eastAsia="Gungsuh" w:hAnsi="Times New Roman"/>
          <w:color w:val="000000" w:themeColor="text1"/>
          <w:sz w:val="16"/>
          <w:szCs w:val="16"/>
          <w:lang w:val="en-US"/>
        </w:rPr>
        <w:t>Mo</w:t>
      </w:r>
      <w:r w:rsidRPr="008127F8">
        <w:rPr>
          <w:rFonts w:ascii="Times New Roman" w:eastAsia="Gungsuh" w:hAnsi="Times New Roman"/>
          <w:color w:val="000000" w:themeColor="text1"/>
          <w:sz w:val="16"/>
          <w:szCs w:val="16"/>
        </w:rPr>
        <w:t>г</w:t>
      </w:r>
      <w:r w:rsidRPr="008127F8">
        <w:rPr>
          <w:rFonts w:ascii="Times New Roman" w:eastAsia="Gungsuh" w:hAnsi="Times New Roman"/>
          <w:color w:val="000000" w:themeColor="text1"/>
          <w:sz w:val="16"/>
          <w:szCs w:val="16"/>
          <w:lang w:eastAsia="ru-RU"/>
        </w:rPr>
        <w:t>илеве и завод № 452 в г. Днепропетровске</w:t>
      </w:r>
      <w:proofErr w:type="gramStart"/>
      <w:r w:rsidRPr="008127F8">
        <w:rPr>
          <w:rFonts w:ascii="Times New Roman" w:eastAsia="Gungsuh" w:hAnsi="Times New Roman"/>
          <w:color w:val="000000" w:themeColor="text1"/>
          <w:sz w:val="16"/>
          <w:szCs w:val="16"/>
          <w:lang w:eastAsia="ru-RU"/>
        </w:rPr>
        <w:t>, Частично</w:t>
      </w:r>
      <w:proofErr w:type="gramEnd"/>
      <w:r w:rsidRPr="008127F8">
        <w:rPr>
          <w:rFonts w:ascii="Times New Roman" w:eastAsia="Gungsuh" w:hAnsi="Times New Roman"/>
          <w:color w:val="000000" w:themeColor="text1"/>
          <w:sz w:val="16"/>
          <w:szCs w:val="16"/>
          <w:lang w:eastAsia="ru-RU"/>
        </w:rPr>
        <w:t xml:space="preserve"> был принят завод № 181 (торпедные вооружения) из г. Ленинграда.</w:t>
      </w:r>
    </w:p>
    <w:p w14:paraId="29293C8A"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К моменту приезда завода № 24, завод № 337 располагал уже около 1,500 единицами оборудования и свыше 5.000 рабочих и инженерно-технического состава.</w:t>
      </w:r>
    </w:p>
    <w:p w14:paraId="2E042FEF"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До приезда завода № 24, завод № 337 занимался подготов</w:t>
      </w:r>
      <w:r w:rsidRPr="008127F8">
        <w:rPr>
          <w:rFonts w:ascii="Times New Roman" w:eastAsia="Gungsuh" w:hAnsi="Times New Roman"/>
          <w:color w:val="000000" w:themeColor="text1"/>
          <w:sz w:val="16"/>
          <w:szCs w:val="16"/>
          <w:lang w:eastAsia="ru-RU"/>
        </w:rPr>
        <w:softHyphen/>
        <w:t>кой производства на машину АМ-35 и постановкой производства клапанов.</w:t>
      </w:r>
    </w:p>
    <w:p w14:paraId="71AFA755"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К моменту приезда завода № 24, завод № 337 производство клапанов уже в основном освоил.</w:t>
      </w:r>
    </w:p>
    <w:p w14:paraId="7AB35AF7"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w:t>
      </w:r>
      <w:r w:rsidRPr="008127F8">
        <w:rPr>
          <w:rFonts w:ascii="Times New Roman" w:eastAsia="Times New Roman" w:hAnsi="Times New Roman"/>
          <w:i/>
          <w:iCs/>
          <w:color w:val="000000" w:themeColor="text1"/>
          <w:sz w:val="16"/>
          <w:szCs w:val="16"/>
          <w:lang w:eastAsia="ru-RU"/>
        </w:rPr>
        <w:t xml:space="preserve"> №</w:t>
      </w:r>
      <w:r w:rsidRPr="008127F8">
        <w:rPr>
          <w:rFonts w:ascii="Times New Roman" w:eastAsia="Gungsuh" w:hAnsi="Times New Roman"/>
          <w:color w:val="000000" w:themeColor="text1"/>
          <w:sz w:val="16"/>
          <w:szCs w:val="16"/>
          <w:lang w:eastAsia="ru-RU"/>
        </w:rPr>
        <w:t xml:space="preserve"> 18 имени Ворошилова</w:t>
      </w:r>
    </w:p>
    <w:p w14:paraId="4DB5B5EF"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18 перебазировался из г. Воронежа и расположился на свободных площадках.</w:t>
      </w:r>
    </w:p>
    <w:p w14:paraId="4F116392"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Из оборудования, находящегося в г.КуЙбышеве, принадло- жащего заводам №№</w:t>
      </w:r>
      <w:r w:rsidRPr="008127F8">
        <w:rPr>
          <w:rFonts w:ascii="Times New Roman" w:eastAsia="Gungsuh" w:hAnsi="Times New Roman"/>
          <w:color w:val="000000" w:themeColor="text1"/>
          <w:sz w:val="16"/>
          <w:szCs w:val="16"/>
        </w:rPr>
        <w:t xml:space="preserve"> </w:t>
      </w:r>
      <w:r w:rsidRPr="008127F8">
        <w:rPr>
          <w:rFonts w:ascii="Times New Roman" w:eastAsia="Gungsuh" w:hAnsi="Times New Roman"/>
          <w:color w:val="000000" w:themeColor="text1"/>
          <w:sz w:val="16"/>
          <w:szCs w:val="16"/>
          <w:lang w:eastAsia="ru-RU"/>
        </w:rPr>
        <w:t>122 и 337, заводу № 18 было передано по</w:t>
      </w:r>
      <w:r w:rsidRPr="008127F8">
        <w:rPr>
          <w:rFonts w:ascii="Times New Roman" w:eastAsia="Gungsuh" w:hAnsi="Times New Roman"/>
          <w:color w:val="000000" w:themeColor="text1"/>
          <w:sz w:val="16"/>
          <w:szCs w:val="16"/>
          <w:lang w:eastAsia="ru-RU"/>
        </w:rPr>
        <w:softHyphen/>
        <w:t>рядка 200-250 единиц металлорежущих станков.</w:t>
      </w:r>
    </w:p>
    <w:p w14:paraId="6925B865"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454 (стрелковое и бомбардировочное вооружение)</w:t>
      </w:r>
    </w:p>
    <w:p w14:paraId="671FEB28"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454 перебазировался из г.Киева в июле месяце 1941 года и расположился на территории бывш. Артельхода.</w:t>
      </w:r>
    </w:p>
    <w:p w14:paraId="4E8D5005"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В течении месячного срока завод был восстановлен и начал выполнять заданную ему программу.</w:t>
      </w:r>
    </w:p>
    <w:p w14:paraId="1E43BEA3"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lastRenderedPageBreak/>
        <w:t>В ноябре-декабре месяцах на заводе 454 был перебазирован частично завод № 487 имени КПГ из г.Москвы.</w:t>
      </w:r>
    </w:p>
    <w:p w14:paraId="27F53F7E"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145 (химическое вооружение)</w:t>
      </w:r>
    </w:p>
    <w:p w14:paraId="06919B2B"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145 прибил из г.Москвы и расположился на терри</w:t>
      </w:r>
      <w:r w:rsidRPr="008127F8">
        <w:rPr>
          <w:rFonts w:ascii="Times New Roman" w:eastAsia="Gungsuh" w:hAnsi="Times New Roman"/>
          <w:color w:val="000000" w:themeColor="text1"/>
          <w:sz w:val="16"/>
          <w:szCs w:val="16"/>
          <w:lang w:eastAsia="ru-RU"/>
        </w:rPr>
        <w:softHyphen/>
        <w:t>тории бывшего завода № 455, прибывпего в иоле месяце из г.Киева;</w:t>
      </w:r>
    </w:p>
    <w:p w14:paraId="1AFA84A9"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Частично в этот завод была влита часть завода №</w:t>
      </w:r>
      <w:r w:rsidRPr="008127F8">
        <w:rPr>
          <w:rFonts w:ascii="Times New Roman" w:eastAsia="Gungsuh" w:hAnsi="Times New Roman"/>
          <w:color w:val="000000" w:themeColor="text1"/>
          <w:sz w:val="16"/>
          <w:szCs w:val="16"/>
        </w:rPr>
        <w:t xml:space="preserve"> </w:t>
      </w:r>
      <w:r w:rsidRPr="008127F8">
        <w:rPr>
          <w:rFonts w:ascii="Times New Roman" w:eastAsia="Gungsuh" w:hAnsi="Times New Roman"/>
          <w:color w:val="000000" w:themeColor="text1"/>
          <w:sz w:val="16"/>
          <w:szCs w:val="16"/>
          <w:lang w:eastAsia="ru-RU"/>
        </w:rPr>
        <w:t>261 из из г.Москвы, который был занят производством химического вооружения.</w:t>
      </w:r>
    </w:p>
    <w:p w14:paraId="17BFF82D"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Запод № 35 (воздушные винты)</w:t>
      </w:r>
    </w:p>
    <w:p w14:paraId="3AA09357"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35 прибыл в ноябре месяце 1941 года и расположил</w:t>
      </w:r>
      <w:r w:rsidRPr="008127F8">
        <w:rPr>
          <w:rFonts w:ascii="Times New Roman" w:eastAsia="Gungsuh" w:hAnsi="Times New Roman"/>
          <w:color w:val="000000" w:themeColor="text1"/>
          <w:sz w:val="16"/>
          <w:szCs w:val="16"/>
          <w:lang w:eastAsia="ru-RU"/>
        </w:rPr>
        <w:softHyphen/>
        <w:t>ся на территории завода № 18 в корпусе 128. Он представляет из себя винтовое производство Комбината № 150, находивпегося ранее под Москвой (станция Ступино).</w:t>
      </w:r>
    </w:p>
    <w:p w14:paraId="3D4144E6"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305 (производство нормалей)</w:t>
      </w:r>
    </w:p>
    <w:p w14:paraId="0BFD12A9"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305 перебазирован из г.Москвы на площадке скла</w:t>
      </w:r>
      <w:r w:rsidRPr="008127F8">
        <w:rPr>
          <w:rFonts w:ascii="Times New Roman" w:eastAsia="Gungsuh" w:hAnsi="Times New Roman"/>
          <w:color w:val="000000" w:themeColor="text1"/>
          <w:sz w:val="16"/>
          <w:szCs w:val="16"/>
          <w:lang w:eastAsia="ru-RU"/>
        </w:rPr>
        <w:softHyphen/>
        <w:t>дов завода № 1.</w:t>
      </w:r>
    </w:p>
    <w:p w14:paraId="06C18E7A"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 1 Оргавиапрома (производство лафетов, пневмо-инструмента и изделий М—13)</w:t>
      </w:r>
    </w:p>
    <w:p w14:paraId="4A8390D2"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Перебазирован из г. Москвы в ноябре месяце 1941 года на площадке гаражей заводов №№ 1 и 24,</w:t>
      </w:r>
    </w:p>
    <w:p w14:paraId="3457B277" w14:textId="77777777" w:rsidR="0084479F" w:rsidRPr="008127F8" w:rsidRDefault="0084479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Gungsuh" w:hAnsi="Times New Roman"/>
          <w:color w:val="000000" w:themeColor="text1"/>
          <w:sz w:val="16"/>
          <w:szCs w:val="16"/>
          <w:lang w:eastAsia="ru-RU"/>
        </w:rPr>
        <w:t>Завод №207. (</w:t>
      </w:r>
      <w:proofErr w:type="gramStart"/>
      <w:r w:rsidRPr="008127F8">
        <w:rPr>
          <w:rFonts w:ascii="Times New Roman" w:eastAsia="Gungsuh" w:hAnsi="Times New Roman"/>
          <w:color w:val="000000" w:themeColor="text1"/>
          <w:sz w:val="16"/>
          <w:szCs w:val="16"/>
          <w:lang w:eastAsia="ru-RU"/>
        </w:rPr>
        <w:t>броне-корпуса</w:t>
      </w:r>
      <w:proofErr w:type="gramEnd"/>
      <w:r w:rsidRPr="008127F8">
        <w:rPr>
          <w:rFonts w:ascii="Times New Roman" w:eastAsia="Gungsuh" w:hAnsi="Times New Roman"/>
          <w:color w:val="000000" w:themeColor="text1"/>
          <w:sz w:val="16"/>
          <w:szCs w:val="16"/>
          <w:lang w:eastAsia="ru-RU"/>
        </w:rPr>
        <w:t>)</w:t>
      </w:r>
    </w:p>
    <w:p w14:paraId="23664178" w14:textId="77777777" w:rsidR="0084479F" w:rsidRPr="008127F8" w:rsidRDefault="0084479F" w:rsidP="001E0A84">
      <w:pPr>
        <w:spacing w:after="0" w:line="240" w:lineRule="auto"/>
        <w:jc w:val="both"/>
        <w:rPr>
          <w:rFonts w:ascii="Times New Roman" w:hAnsi="Times New Roman"/>
          <w:color w:val="000000" w:themeColor="text1"/>
          <w:sz w:val="16"/>
          <w:szCs w:val="16"/>
        </w:rPr>
      </w:pPr>
      <w:r w:rsidRPr="008127F8">
        <w:rPr>
          <w:rFonts w:ascii="Times New Roman" w:eastAsia="Gungsuh" w:hAnsi="Times New Roman"/>
          <w:color w:val="000000" w:themeColor="text1"/>
          <w:sz w:val="16"/>
          <w:szCs w:val="16"/>
          <w:lang w:eastAsia="ru-RU"/>
        </w:rPr>
        <w:t>Завод № 207 представляет из себя часть Подольского заво</w:t>
      </w:r>
      <w:r w:rsidRPr="008127F8">
        <w:rPr>
          <w:rFonts w:ascii="Times New Roman" w:eastAsia="Gungsuh" w:hAnsi="Times New Roman"/>
          <w:color w:val="000000" w:themeColor="text1"/>
          <w:sz w:val="16"/>
          <w:szCs w:val="16"/>
          <w:lang w:eastAsia="ru-RU"/>
        </w:rPr>
        <w:softHyphen/>
        <w:t>да, производящего в прошлом броне—корпуса. Эта часть завода была вначале из Подольска</w:t>
      </w:r>
      <w:proofErr w:type="gramStart"/>
      <w:r w:rsidRPr="008127F8">
        <w:rPr>
          <w:rFonts w:ascii="Times New Roman" w:eastAsia="Gungsuh" w:hAnsi="Times New Roman"/>
          <w:color w:val="000000" w:themeColor="text1"/>
          <w:sz w:val="16"/>
          <w:szCs w:val="16"/>
          <w:lang w:eastAsia="ru-RU"/>
        </w:rPr>
        <w:t>.</w:t>
      </w:r>
      <w:proofErr w:type="gramEnd"/>
      <w:r w:rsidRPr="008127F8">
        <w:rPr>
          <w:rFonts w:ascii="Times New Roman" w:eastAsia="Gungsuh" w:hAnsi="Times New Roman"/>
          <w:color w:val="000000" w:themeColor="text1"/>
          <w:sz w:val="16"/>
          <w:szCs w:val="16"/>
          <w:lang w:eastAsia="ru-RU"/>
        </w:rPr>
        <w:t xml:space="preserve">перебазирована в Свердловск, а затем, последующими решениями, была перебазирована на Безымянку, с располокениом на торритории бывшего механического завода НЩМ НКВД </w:t>
      </w:r>
      <w:r w:rsidRPr="008127F8">
        <w:rPr>
          <w:rFonts w:ascii="Times New Roman" w:hAnsi="Times New Roman"/>
          <w:color w:val="000000" w:themeColor="text1"/>
          <w:sz w:val="16"/>
          <w:szCs w:val="16"/>
        </w:rPr>
        <w:t>(19789).</w:t>
      </w:r>
    </w:p>
    <w:p w14:paraId="24EA61F3" w14:textId="77777777" w:rsidR="0084479F" w:rsidRPr="008127F8" w:rsidRDefault="0084479F" w:rsidP="001E0A84">
      <w:pPr>
        <w:spacing w:after="0" w:line="240" w:lineRule="auto"/>
        <w:jc w:val="both"/>
        <w:rPr>
          <w:rFonts w:ascii="Times New Roman" w:hAnsi="Times New Roman"/>
          <w:color w:val="000000" w:themeColor="text1"/>
          <w:sz w:val="16"/>
          <w:szCs w:val="16"/>
        </w:rPr>
      </w:pPr>
    </w:p>
    <w:p w14:paraId="4A84B684"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марта 1942 г. Справка отдела оборонной промышленности Куйбышевского горкома ВКП(б) о заводах НКАП, перебазированных на Безымянскую площадку г. Куйбышева</w:t>
      </w:r>
    </w:p>
    <w:p w14:paraId="605AC1D0"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Сов.секретно</w:t>
      </w:r>
    </w:p>
    <w:p w14:paraId="14CA3CEE"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 имени Сталина (самолетостроение)</w:t>
      </w:r>
    </w:p>
    <w:p w14:paraId="2D902D4F"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 перебазирован из г. Москвы на площадку завода № 122.</w:t>
      </w:r>
    </w:p>
    <w:p w14:paraId="0F27080B"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122, в свою очередь, комплектовался из следующих заводов:</w:t>
      </w:r>
    </w:p>
    <w:p w14:paraId="676C4764"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Самолетных заводов: № 463, находившегося в г. Таллине,</w:t>
      </w:r>
    </w:p>
    <w:p w14:paraId="3FFBA66A"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464, находившегося в г. Риге,</w:t>
      </w:r>
    </w:p>
    <w:p w14:paraId="342BF73E"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465, находившегося в г. Каунасе,</w:t>
      </w:r>
    </w:p>
    <w:p w14:paraId="15B8CAFC"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450, находившегося в г. Минске,</w:t>
      </w:r>
    </w:p>
    <w:p w14:paraId="6D4FE7A2"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35, находившегося в г. Смоленске,</w:t>
      </w:r>
    </w:p>
    <w:p w14:paraId="2D7613A2"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8 Оргавиапрома (з-д приспособлений),</w:t>
      </w:r>
    </w:p>
    <w:p w14:paraId="25DC0957"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находившегося в г. Днепропетровске.</w:t>
      </w:r>
    </w:p>
    <w:p w14:paraId="055F2022"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Вся эта группа заводов располагала небольшим количеством оборудования и рабочей силы.</w:t>
      </w:r>
    </w:p>
    <w:p w14:paraId="2D605D71"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общей сложности эти заводы привезли не более 400-500 единиц оборудования, а такие заводы, как: № 450 в г. Минске и № 465 в г. Каунасе - оборудования совершенно не привезли.</w:t>
      </w:r>
    </w:p>
    <w:p w14:paraId="64ED8E84"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Эвакуация всей этой группы заводов проходила в течение июля и августа месяцев 1941 года.</w:t>
      </w:r>
    </w:p>
    <w:p w14:paraId="08814F53"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моменту приезда завода № 1 им. Сталина, завод № 122 уже располагал: кадрами рабочих и инженерно-технического состава в количестве около 5000 человек и оборудованием в количестве около 1000 единиц.</w:t>
      </w:r>
    </w:p>
    <w:p w14:paraId="63CCCFCF"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прибытия завода № 1 им. Сталина, завод № 122 занимался подготовкой производства на самолет МИГ и производил сборку 5-10 самолетов МИГ из деталей завода № 1.</w:t>
      </w:r>
    </w:p>
    <w:p w14:paraId="434D1BEE"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24 имени Фрунзе (моторостроение)</w:t>
      </w:r>
    </w:p>
    <w:p w14:paraId="00354A3D"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24 перебазировался на площадке завода № 337.</w:t>
      </w:r>
    </w:p>
    <w:p w14:paraId="176DB24C"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337 впитал в себя строившиеся моторы завода № 459 в г. Могилеве и завод № 452 в г. Днепропетровске. Частично был принят завод № 181 (торпедные вооружения) из г. Ленинграда.</w:t>
      </w:r>
    </w:p>
    <w:p w14:paraId="665DC08F"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моменту приезда завода № 24, завод № 337 располагал уже около 1500 единицами оборудования и свыше 5000 рабочих и инженерно-технического состава.</w:t>
      </w:r>
    </w:p>
    <w:p w14:paraId="35B129F0"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приезда завода № 24, завод № 337 занимался подготовкой производства на машину АМ-35 и постановкой производства клапанов.</w:t>
      </w:r>
    </w:p>
    <w:p w14:paraId="68A2AF22"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моменту приезда завода № 24, завод № 337 производство клапанов уже в основном освоил.</w:t>
      </w:r>
    </w:p>
    <w:p w14:paraId="4425881D"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 имени Ворошилова (самолетостроение)</w:t>
      </w:r>
    </w:p>
    <w:p w14:paraId="6EE3956D"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 перебазировался из г. Воронежа и расположился на свободных площадках.</w:t>
      </w:r>
    </w:p>
    <w:p w14:paraId="2BE86F15"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оборудования, находящегося в г. Куйбышеве, принадлежащего заводам №№ 132 и 337, заводу № 18 было передано порядка 200-250 единиц металлорежущих станков.</w:t>
      </w:r>
    </w:p>
    <w:p w14:paraId="0EFA5578"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454 (стрелковое и бомбардировочное вооружение)</w:t>
      </w:r>
    </w:p>
    <w:p w14:paraId="34AD9218"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454 перебазировался из г. Киева в июле месяце 1941 года и расположился на территории бывш. Артельхода.</w:t>
      </w:r>
    </w:p>
    <w:p w14:paraId="01CA70B9"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месячного срока завод был восстановлен и начал выполнять заданную ему программу.</w:t>
      </w:r>
    </w:p>
    <w:p w14:paraId="4E53200E"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ноябре-декабре месяцах на заводе № 454 был перебазирован частично завод № 487 имени КПГ из г. Москвы.</w:t>
      </w:r>
    </w:p>
    <w:p w14:paraId="6601916D"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145 (химическое вооружение)</w:t>
      </w:r>
    </w:p>
    <w:p w14:paraId="6534F95B"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145 прибыл из г. Москвы и расположился на территории бывшего завода № 455, прибывшего в июле месяце из г. Киева.</w:t>
      </w:r>
    </w:p>
    <w:p w14:paraId="3C4F1471"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Частично в этот завод была влита часть завода № 261 из г. Москвы, </w:t>
      </w:r>
    </w:p>
    <w:p w14:paraId="40CFFA9C"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который был занят производством химического вооружения.</w:t>
      </w:r>
    </w:p>
    <w:p w14:paraId="05CDF80F"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35 (воздушные винты)</w:t>
      </w:r>
    </w:p>
    <w:p w14:paraId="49B21291"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35 прибыл в ноябре месяце 1941 года и расположился на территории завода № 18 в корпусе 128. Он представляет из себя винтовое производство Комбината № 150, находившегося ранее под Москвой (станция Ступино).</w:t>
      </w:r>
    </w:p>
    <w:p w14:paraId="4F7F2A94"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305 (производство нормалей)</w:t>
      </w:r>
    </w:p>
    <w:p w14:paraId="5C914ACD"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305 перебазирован из г. Москвы на площадке складов завода № 1.</w:t>
      </w:r>
    </w:p>
    <w:p w14:paraId="4CEF8EE9"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 Оргавиапрома (производство лафетов, пневмо-инструмента и изделий М-13)</w:t>
      </w:r>
    </w:p>
    <w:p w14:paraId="1D4A64D3"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Перебазирован из г. Москвы в ноябре месяце 1941 года на площадке гаражей заводов №№ 1 и 24.</w:t>
      </w:r>
    </w:p>
    <w:p w14:paraId="4A0AC6DF"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207 (бронекорпуса)</w:t>
      </w:r>
    </w:p>
    <w:p w14:paraId="1A7C3926"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207 представляет из себя часть Подольского завода, производящего в прошлом бронекорпуса. Эта часть завода была вначале из Подольска перебазирована в Свердловск, а затем, последующими решениями, была перебазирована на Безымянку, с расположением на территории бывшего механического завода УОС НКВД.</w:t>
      </w:r>
    </w:p>
    <w:p w14:paraId="2AA91C01" w14:textId="77777777" w:rsidR="00EA208C" w:rsidRPr="008A2E5A" w:rsidRDefault="00EA208C" w:rsidP="00EA208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ГАСПИ. Ф. 714. On. 1.Д. 900. Л. 29-31. Подлинник (23933).</w:t>
      </w:r>
    </w:p>
    <w:p w14:paraId="34A42ADB" w14:textId="77777777" w:rsidR="00EA208C" w:rsidRPr="008A2E5A" w:rsidRDefault="00EA208C" w:rsidP="00EA208C">
      <w:pPr>
        <w:spacing w:after="0" w:line="240" w:lineRule="auto"/>
        <w:jc w:val="both"/>
        <w:rPr>
          <w:rFonts w:ascii="Times New Roman" w:hAnsi="Times New Roman"/>
          <w:color w:val="0070C0"/>
          <w:sz w:val="16"/>
          <w:szCs w:val="16"/>
        </w:rPr>
      </w:pPr>
    </w:p>
    <w:p w14:paraId="4EBC7A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7 марта 1942 г. ракетное орудие, рассчитанное на тандемную подвеску двух РС-82 было разработано и с успехом испытано Под каждой плоскостью Ил-2 (на нервюрах с 9 по 12) устанавливались 8 РОТ-82 (РО-82 тандем) по два РС-82 на каждое орудие. Стрельба из РОТ-82 могла вестись залпами из двух, четырех и восьми снарядов. Для управления стрельбой из РОТ-82 в кабине пилота устанавливался дополнительный электробомбосбрасыватель ЭСБР-Зп, а на ручке управления са</w:t>
      </w:r>
      <w:r w:rsidRPr="008127F8">
        <w:rPr>
          <w:rFonts w:ascii="Times New Roman" w:hAnsi="Times New Roman"/>
          <w:color w:val="000000" w:themeColor="text1"/>
          <w:sz w:val="16"/>
          <w:szCs w:val="16"/>
        </w:rPr>
        <w:softHyphen/>
        <w:t>молетом монтировалась кнопка. Однако дальнейшего развития эта работа не получила (11474,324).</w:t>
      </w:r>
    </w:p>
    <w:p w14:paraId="2FB259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043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7 марта 1942 г. ракетное орудие, рассчитанное на подвеску двух РС-82 в тандем, было разработано и с успехом испытано Под каждой плоскостью Ил-2 (на нервюрах с 9 по 12) устанавливались 8 РОТ-82 (РО-82 тандем) по два РС-82 на каждое орудие. Стрельба из РОТ-82 могла вестись залпами из двух, четырех и восьми снарядов. Для управления стрельбой из РОТ-82 в кабине пилота устанавливался дополнительный ЭСБР-Зп, а на ручке управления монтировалась кнопка. Однако дальнейшее развитие эта работа не получила. Ильюшин активно возражал против доработок Ил-2, направленных на увеличение числа РС в частях, соглашаясь на установку ракетных орудий в тандем, </w:t>
      </w:r>
      <w:proofErr w:type="gramStart"/>
      <w:r w:rsidRPr="008127F8">
        <w:rPr>
          <w:rFonts w:ascii="Times New Roman" w:hAnsi="Times New Roman"/>
          <w:color w:val="000000" w:themeColor="text1"/>
          <w:sz w:val="16"/>
          <w:szCs w:val="16"/>
        </w:rPr>
        <w:t>что бы</w:t>
      </w:r>
      <w:proofErr w:type="gramEnd"/>
      <w:r w:rsidRPr="008127F8">
        <w:rPr>
          <w:rFonts w:ascii="Times New Roman" w:hAnsi="Times New Roman"/>
          <w:color w:val="000000" w:themeColor="text1"/>
          <w:sz w:val="16"/>
          <w:szCs w:val="16"/>
        </w:rPr>
        <w:t xml:space="preserve"> не так сильно снижалась скорость полета. В план опытного самолетостроения на 1942 г. была даже включена постройка варианта Ил-2 с подвеской 16 реактивных снарядов PC-132 в тандем (скорость у земли - 360 км/ч).</w:t>
      </w:r>
    </w:p>
    <w:p w14:paraId="52ED4F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в серийное производство уже начал внедряться двухместный вариант Ил-2. В связи с ухудшением летных данных самолета вопрос об установке восьми РО-132 отпал. Наоборот, ракетное вооружение Ил-2 сокращалось до четырех РО-82 (12020).</w:t>
      </w:r>
    </w:p>
    <w:p w14:paraId="7501E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8431A"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7 марта 1942 г. ракетное орудие, рассчи</w:t>
      </w:r>
      <w:r w:rsidRPr="008127F8">
        <w:rPr>
          <w:color w:val="000000" w:themeColor="text1"/>
          <w:sz w:val="16"/>
          <w:szCs w:val="16"/>
        </w:rPr>
        <w:softHyphen/>
        <w:t>танное на подвеску 2 РС-82 в тандем, было разра</w:t>
      </w:r>
      <w:r w:rsidRPr="008127F8">
        <w:rPr>
          <w:color w:val="000000" w:themeColor="text1"/>
          <w:sz w:val="16"/>
          <w:szCs w:val="16"/>
        </w:rPr>
        <w:softHyphen/>
        <w:t>ботано в ОКБ завода № 464 НКАП и прошло заводские испытания.</w:t>
      </w:r>
    </w:p>
    <w:p w14:paraId="37833681" w14:textId="77777777" w:rsidR="009500E6" w:rsidRPr="008127F8" w:rsidRDefault="009500E6" w:rsidP="001E0A84">
      <w:pPr>
        <w:pStyle w:val="12a"/>
        <w:shd w:val="clear" w:color="auto" w:fill="auto"/>
        <w:tabs>
          <w:tab w:val="left" w:pos="198"/>
        </w:tabs>
        <w:spacing w:after="0" w:line="240" w:lineRule="auto"/>
        <w:jc w:val="both"/>
        <w:rPr>
          <w:color w:val="000000" w:themeColor="text1"/>
          <w:sz w:val="16"/>
          <w:szCs w:val="16"/>
        </w:rPr>
      </w:pPr>
      <w:r w:rsidRPr="008127F8">
        <w:rPr>
          <w:color w:val="000000" w:themeColor="text1"/>
          <w:sz w:val="16"/>
          <w:szCs w:val="16"/>
        </w:rPr>
        <w:lastRenderedPageBreak/>
        <w:t>Под каждой плоскостью Ил-2 устанавливались 8 РОТ-82 (РО-82 тандем) по 2 РС-82 на каждое ору</w:t>
      </w:r>
      <w:r w:rsidRPr="008127F8">
        <w:rPr>
          <w:color w:val="000000" w:themeColor="text1"/>
          <w:sz w:val="16"/>
          <w:szCs w:val="16"/>
        </w:rPr>
        <w:softHyphen/>
        <w:t>дие. Стрельба из РОТ-82 велась одиночно, залпами из 2, 4 и 8 снарядов. Для управления стрельбой из РОТ-82 в кабине пилота устанавливался дополни</w:t>
      </w:r>
      <w:r w:rsidRPr="008127F8">
        <w:rPr>
          <w:color w:val="000000" w:themeColor="text1"/>
          <w:sz w:val="16"/>
          <w:szCs w:val="16"/>
        </w:rPr>
        <w:softHyphen/>
        <w:t>тельный электросбрасыватель ЭСБР-3п, а на ручке управления самолетом монтировалась кнопка.</w:t>
      </w:r>
    </w:p>
    <w:p w14:paraId="3FCEC895"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период с 11 мая по 8 июня 1 942 г. РОТ-82 дважды проходили полигонные испытания на НИП АВ ВВС. И оба раза неудачно. Дело в том, что под воздействием газовой струи переднего РС в мо</w:t>
      </w:r>
      <w:r w:rsidRPr="008127F8">
        <w:rPr>
          <w:color w:val="000000" w:themeColor="text1"/>
          <w:sz w:val="16"/>
          <w:szCs w:val="16"/>
        </w:rPr>
        <w:softHyphen/>
        <w:t>мент выстрела ветрянка взрывателя заднего сна</w:t>
      </w:r>
      <w:r w:rsidRPr="008127F8">
        <w:rPr>
          <w:color w:val="000000" w:themeColor="text1"/>
          <w:sz w:val="16"/>
          <w:szCs w:val="16"/>
        </w:rPr>
        <w:softHyphen/>
        <w:t>ряда деформировалась и даже срывалась совсем. Установка предохранительной заслонки хотя и за</w:t>
      </w:r>
      <w:r w:rsidRPr="008127F8">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8127F8">
        <w:rPr>
          <w:color w:val="000000" w:themeColor="text1"/>
          <w:sz w:val="16"/>
          <w:szCs w:val="16"/>
        </w:rPr>
        <w:softHyphen/>
        <w:t>ки, деформировались и даже срезались.</w:t>
      </w:r>
    </w:p>
    <w:p w14:paraId="7AF1CE2C"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Испытания проводили: от НИП АВ ВВС — на</w:t>
      </w:r>
      <w:r w:rsidRPr="008127F8">
        <w:rPr>
          <w:color w:val="000000" w:themeColor="text1"/>
          <w:sz w:val="16"/>
          <w:szCs w:val="16"/>
        </w:rPr>
        <w:softHyphen/>
        <w:t>чальник стрелково-пушечной группы инженер-май</w:t>
      </w:r>
      <w:r w:rsidRPr="008127F8">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8127F8">
        <w:rPr>
          <w:color w:val="000000" w:themeColor="text1"/>
          <w:sz w:val="16"/>
          <w:szCs w:val="16"/>
        </w:rPr>
        <w:softHyphen/>
        <w:t>жению Воробей.</w:t>
      </w:r>
    </w:p>
    <w:p w14:paraId="297F6A38"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заключении акта по испытаниям констатиро</w:t>
      </w:r>
      <w:r w:rsidRPr="008127F8">
        <w:rPr>
          <w:color w:val="000000" w:themeColor="text1"/>
          <w:sz w:val="16"/>
          <w:szCs w:val="16"/>
        </w:rPr>
        <w:softHyphen/>
        <w:t>валось, что «ракетная установка под РС-82 с рас</w:t>
      </w:r>
      <w:r w:rsidRPr="008127F8">
        <w:rPr>
          <w:color w:val="000000" w:themeColor="text1"/>
          <w:sz w:val="16"/>
          <w:szCs w:val="16"/>
        </w:rPr>
        <w:softHyphen/>
        <w:t>положением их тандемом (один за другим) /.../ испытаний не выдержала, как конструктивно недо</w:t>
      </w:r>
      <w:r w:rsidRPr="008127F8">
        <w:rPr>
          <w:color w:val="000000" w:themeColor="text1"/>
          <w:sz w:val="16"/>
          <w:szCs w:val="16"/>
        </w:rPr>
        <w:softHyphen/>
        <w:t>работанная». Дальнейшее развитие эта работа не получила (17500).</w:t>
      </w:r>
    </w:p>
    <w:p w14:paraId="181AA01E" w14:textId="77777777" w:rsidR="009500E6" w:rsidRPr="008127F8" w:rsidRDefault="009500E6" w:rsidP="001E0A84">
      <w:pPr>
        <w:spacing w:after="0" w:line="240" w:lineRule="auto"/>
        <w:jc w:val="both"/>
        <w:rPr>
          <w:rFonts w:ascii="Times New Roman" w:eastAsia="Times New Roman" w:hAnsi="Times New Roman"/>
          <w:color w:val="000000" w:themeColor="text1"/>
          <w:sz w:val="16"/>
          <w:szCs w:val="16"/>
          <w:lang w:eastAsia="ru-RU"/>
        </w:rPr>
      </w:pPr>
    </w:p>
    <w:p w14:paraId="507D541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в докладе на</w:t>
      </w:r>
      <w:r w:rsidRPr="008127F8">
        <w:rPr>
          <w:rFonts w:ascii="Times New Roman" w:hAnsi="Times New Roman"/>
          <w:color w:val="000000" w:themeColor="text1"/>
          <w:sz w:val="16"/>
          <w:szCs w:val="16"/>
        </w:rPr>
        <w:softHyphen/>
        <w:t>чальнику управления эксплуатации и ремонта ГУ ВВС КА от главного инженера ВВС Северо-Западного фронта военинженера 1 ранга Кобликова изложено как в нештатном варианте вооружения использовали ночные бомбардировщики По-2: «Для держания под ударом противника круглосуточно боевая жизнь вынесла в действие все виды нескоростной авиации, так как все преиму</w:t>
      </w:r>
      <w:r w:rsidRPr="008127F8">
        <w:rPr>
          <w:rFonts w:ascii="Times New Roman" w:hAnsi="Times New Roman"/>
          <w:color w:val="000000" w:themeColor="text1"/>
          <w:sz w:val="16"/>
          <w:szCs w:val="16"/>
        </w:rPr>
        <w:softHyphen/>
        <w:t>щества скоростной современной авиации при действиях в СМУ и ночью сводится к нулю ввиду невозможности ее использования. Жизнь показа</w:t>
      </w:r>
      <w:r w:rsidRPr="008127F8">
        <w:rPr>
          <w:rFonts w:ascii="Times New Roman" w:hAnsi="Times New Roman"/>
          <w:color w:val="000000" w:themeColor="text1"/>
          <w:sz w:val="16"/>
          <w:szCs w:val="16"/>
        </w:rPr>
        <w:softHyphen/>
        <w:t>ла, что полет в СМУ днем и даже в ПМУ, но ночью для нескоростных са</w:t>
      </w:r>
      <w:r w:rsidRPr="008127F8">
        <w:rPr>
          <w:rFonts w:ascii="Times New Roman" w:hAnsi="Times New Roman"/>
          <w:color w:val="000000" w:themeColor="text1"/>
          <w:sz w:val="16"/>
          <w:szCs w:val="16"/>
        </w:rPr>
        <w:softHyphen/>
        <w:t>молетов совершенно безопасен. Полеты проходят почти без поврежде</w:t>
      </w:r>
      <w:r w:rsidRPr="008127F8">
        <w:rPr>
          <w:rFonts w:ascii="Times New Roman" w:hAnsi="Times New Roman"/>
          <w:color w:val="000000" w:themeColor="text1"/>
          <w:sz w:val="16"/>
          <w:szCs w:val="16"/>
        </w:rPr>
        <w:softHyphen/>
        <w:t>ний матчасти и летного состава. Таким образом, в данной обстановке не</w:t>
      </w:r>
      <w:r w:rsidRPr="008127F8">
        <w:rPr>
          <w:rFonts w:ascii="Times New Roman" w:hAnsi="Times New Roman"/>
          <w:color w:val="000000" w:themeColor="text1"/>
          <w:sz w:val="16"/>
          <w:szCs w:val="16"/>
        </w:rPr>
        <w:softHyphen/>
        <w:t>скоростная авиация приносит большую пользу тем, что почти в л юную погоду днем и ночью имеет возможность противозенитной маневренно</w:t>
      </w:r>
      <w:r w:rsidRPr="008127F8">
        <w:rPr>
          <w:rFonts w:ascii="Times New Roman" w:hAnsi="Times New Roman"/>
          <w:color w:val="000000" w:themeColor="text1"/>
          <w:sz w:val="16"/>
          <w:szCs w:val="16"/>
        </w:rPr>
        <w:softHyphen/>
        <w:t>сти, не требует сложного, демаскирующего ночного оборудования аэродромов, невзыскательна к размерам аэродромов, обладая меньшими скоростями, имеет большую точность бомбометания».</w:t>
      </w:r>
    </w:p>
    <w:p w14:paraId="73101B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ВВС СЗФ оборудовали 14 самолетов У-2 бомбардировочным воо</w:t>
      </w:r>
      <w:r w:rsidRPr="008127F8">
        <w:rPr>
          <w:rFonts w:ascii="Times New Roman" w:hAnsi="Times New Roman"/>
          <w:color w:val="000000" w:themeColor="text1"/>
          <w:sz w:val="16"/>
          <w:szCs w:val="16"/>
        </w:rPr>
        <w:softHyphen/>
        <w:t>ружением. Работая главным образом ночью, они продолжительный пе</w:t>
      </w:r>
      <w:r w:rsidRPr="008127F8">
        <w:rPr>
          <w:rFonts w:ascii="Times New Roman" w:hAnsi="Times New Roman"/>
          <w:color w:val="000000" w:themeColor="text1"/>
          <w:sz w:val="16"/>
          <w:szCs w:val="16"/>
        </w:rPr>
        <w:softHyphen/>
        <w:t>риод применяли фугасные авиабомбы ФАБ-100, ФАБ-50 и ФАБ-70, ос</w:t>
      </w:r>
      <w:r w:rsidRPr="008127F8">
        <w:rPr>
          <w:rFonts w:ascii="Times New Roman" w:hAnsi="Times New Roman"/>
          <w:color w:val="000000" w:themeColor="text1"/>
          <w:sz w:val="16"/>
          <w:szCs w:val="16"/>
        </w:rPr>
        <w:softHyphen/>
        <w:t>колочные АО-25, АО-20 и АО-2,5, зажигательные ЗАБ-50, ЗАБ-1э иАЖ-2КС, а также ракетные снаряды РС-82, РС-132. Характерно, что за это время, несмотря на усиленный огонь зенитной артиллерии и зенит</w:t>
      </w:r>
      <w:r w:rsidRPr="008127F8">
        <w:rPr>
          <w:rFonts w:ascii="Times New Roman" w:hAnsi="Times New Roman"/>
          <w:color w:val="000000" w:themeColor="text1"/>
          <w:sz w:val="16"/>
          <w:szCs w:val="16"/>
        </w:rPr>
        <w:softHyphen/>
        <w:t>ных пулеметов, усиление противником освещения прожекторами перед</w:t>
      </w:r>
      <w:r w:rsidRPr="008127F8">
        <w:rPr>
          <w:rFonts w:ascii="Times New Roman" w:hAnsi="Times New Roman"/>
          <w:color w:val="000000" w:themeColor="text1"/>
          <w:sz w:val="16"/>
          <w:szCs w:val="16"/>
        </w:rPr>
        <w:softHyphen/>
        <w:t>него края, по существу, боевых потерь не имели, а повреждения и по ко</w:t>
      </w:r>
      <w:r w:rsidRPr="008127F8">
        <w:rPr>
          <w:rFonts w:ascii="Times New Roman" w:hAnsi="Times New Roman"/>
          <w:color w:val="000000" w:themeColor="text1"/>
          <w:sz w:val="16"/>
          <w:szCs w:val="16"/>
        </w:rPr>
        <w:softHyphen/>
        <w:t>личеству, и по качеству были незначительными. Следует отметить, что в ответ на применение самолетов У-2 по переднему краю противник, как контрмеру, усилил количество действующих прожекторов.</w:t>
      </w:r>
    </w:p>
    <w:p w14:paraId="4BFE9D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как части У-2 летали ночью даже в плохую погоду, для облегчения ориентировки в первом боевом вылете (еще в сумерки) они специально поджигали цели. Практиковались и полеты одиночных самолетов, но оказалось, что желательно вылет делать 5-6 самолетами. Тогда 3-4 са</w:t>
      </w:r>
      <w:r w:rsidRPr="008127F8">
        <w:rPr>
          <w:rFonts w:ascii="Times New Roman" w:hAnsi="Times New Roman"/>
          <w:color w:val="000000" w:themeColor="text1"/>
          <w:sz w:val="16"/>
          <w:szCs w:val="16"/>
        </w:rPr>
        <w:softHyphen/>
        <w:t>молета группы с авиабомбами шли на высоте 200-300 м, а за ними 1-2 са</w:t>
      </w:r>
      <w:r w:rsidRPr="008127F8">
        <w:rPr>
          <w:rFonts w:ascii="Times New Roman" w:hAnsi="Times New Roman"/>
          <w:color w:val="000000" w:themeColor="text1"/>
          <w:sz w:val="16"/>
          <w:szCs w:val="16"/>
        </w:rPr>
        <w:softHyphen/>
        <w:t>молета, вооруженные РС. Противник брал передовую группу в лучи про</w:t>
      </w:r>
      <w:r w:rsidRPr="008127F8">
        <w:rPr>
          <w:rFonts w:ascii="Times New Roman" w:hAnsi="Times New Roman"/>
          <w:color w:val="000000" w:themeColor="text1"/>
          <w:sz w:val="16"/>
          <w:szCs w:val="16"/>
        </w:rPr>
        <w:softHyphen/>
        <w:t>жекторов и начинал действовать по ним МЗА и ЗП, чем вскрывал свои силы ПВО перед идущими сзади самолетами, вооруженными РС. Имен</w:t>
      </w:r>
      <w:r w:rsidRPr="008127F8">
        <w:rPr>
          <w:rFonts w:ascii="Times New Roman" w:hAnsi="Times New Roman"/>
          <w:color w:val="000000" w:themeColor="text1"/>
          <w:sz w:val="16"/>
          <w:szCs w:val="16"/>
        </w:rPr>
        <w:softHyphen/>
        <w:t>но эта группа уничтожала прожектора и зенитные средства. Эффект от Действия этой группы — исключительно большой. Такое эшелонирова</w:t>
      </w:r>
      <w:r w:rsidRPr="008127F8">
        <w:rPr>
          <w:rFonts w:ascii="Times New Roman" w:hAnsi="Times New Roman"/>
          <w:color w:val="000000" w:themeColor="text1"/>
          <w:sz w:val="16"/>
          <w:szCs w:val="16"/>
        </w:rPr>
        <w:softHyphen/>
        <w:t>ние обеспечивало безопасность полета группы бомбардировщиков, так как от нескольких РС, как правило, огневые точки противника и проже</w:t>
      </w:r>
      <w:r w:rsidRPr="008127F8">
        <w:rPr>
          <w:rFonts w:ascii="Times New Roman" w:hAnsi="Times New Roman"/>
          <w:color w:val="000000" w:themeColor="text1"/>
          <w:sz w:val="16"/>
          <w:szCs w:val="16"/>
        </w:rPr>
        <w:softHyphen/>
        <w:t>ктора прекращали работу. Придя на цель, группа бомбардировщиков становилась в круг и начинала поочередно бомбардировать объект. Как правило, самолеты разгружались не полностью, а бомбили залпами.</w:t>
      </w:r>
    </w:p>
    <w:p w14:paraId="01F60C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Бомбардировочное вооружение самолетов было полностью выполне</w:t>
      </w:r>
      <w:r w:rsidRPr="008127F8">
        <w:rPr>
          <w:rFonts w:ascii="Times New Roman" w:hAnsi="Times New Roman"/>
          <w:color w:val="000000" w:themeColor="text1"/>
          <w:sz w:val="16"/>
          <w:szCs w:val="16"/>
        </w:rPr>
        <w:softHyphen/>
        <w:t>но в полевых условиях силами технического состава и персоналом мас</w:t>
      </w:r>
      <w:r w:rsidRPr="008127F8">
        <w:rPr>
          <w:rFonts w:ascii="Times New Roman" w:hAnsi="Times New Roman"/>
          <w:color w:val="000000" w:themeColor="text1"/>
          <w:sz w:val="16"/>
          <w:szCs w:val="16"/>
        </w:rPr>
        <w:softHyphen/>
        <w:t>терских. Оно состояло из балок с замками, изготовленными по типу Дер-7, и кассет для осколочных авиабомб из штатных БАС. Управление держателями и кассетами — тросовое в трубках или оболочках Баудена.</w:t>
      </w:r>
    </w:p>
    <w:p w14:paraId="573C888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бомбодержателей, на некоторых самолетах подвесили РО для стрельбы РС-82 или РС-132. Первые модификации самолетов осна</w:t>
      </w:r>
      <w:r w:rsidRPr="008127F8">
        <w:rPr>
          <w:rFonts w:ascii="Times New Roman" w:hAnsi="Times New Roman"/>
          <w:color w:val="000000" w:themeColor="text1"/>
          <w:sz w:val="16"/>
          <w:szCs w:val="16"/>
        </w:rPr>
        <w:softHyphen/>
        <w:t>стили четырьмя держателями Дер-7 под фюзеляжем и у корневых нер</w:t>
      </w:r>
      <w:r w:rsidRPr="008127F8">
        <w:rPr>
          <w:rFonts w:ascii="Times New Roman" w:hAnsi="Times New Roman"/>
          <w:color w:val="000000" w:themeColor="text1"/>
          <w:sz w:val="16"/>
          <w:szCs w:val="16"/>
        </w:rPr>
        <w:softHyphen/>
        <w:t>вюр крыла. На них в замки подвешивали четыре ФАБ-50 или две ФАБ-100 и две АО-25. Кроме того, под нижними плоскостями ближе к элеронам (вне площади, сметаемой винтом) устанавливали четыре РО для стрельбы РС-82 (по два под каждой консолью). Управляли бомбовым вооружением из кабины штурмана, а реактивным — из кабины летчика (гашетка на ручке управления самолетом). Электросхемой были преду</w:t>
      </w:r>
      <w:r w:rsidRPr="008127F8">
        <w:rPr>
          <w:rFonts w:ascii="Times New Roman" w:hAnsi="Times New Roman"/>
          <w:color w:val="000000" w:themeColor="text1"/>
          <w:sz w:val="16"/>
          <w:szCs w:val="16"/>
        </w:rPr>
        <w:softHyphen/>
        <w:t>смотрены все возможные комбинации разгрузки РС — от одиночных до залпового в любой последовательности. Электропитание — от самолет</w:t>
      </w:r>
      <w:r w:rsidRPr="008127F8">
        <w:rPr>
          <w:rFonts w:ascii="Times New Roman" w:hAnsi="Times New Roman"/>
          <w:color w:val="000000" w:themeColor="text1"/>
          <w:sz w:val="16"/>
          <w:szCs w:val="16"/>
        </w:rPr>
        <w:softHyphen/>
        <w:t>ного аккумулятора. После удачных боевых испытаний самолета У-2 с во</w:t>
      </w:r>
      <w:r w:rsidRPr="008127F8">
        <w:rPr>
          <w:rFonts w:ascii="Times New Roman" w:hAnsi="Times New Roman"/>
          <w:color w:val="000000" w:themeColor="text1"/>
          <w:sz w:val="16"/>
          <w:szCs w:val="16"/>
        </w:rPr>
        <w:softHyphen/>
        <w:t>семью ракетными установками РО-82 (по четыре под каждой консолью нижнего крыла), машины оборудовали также и восемью орудиями РО-132. В этом случае масса ракетной системы составила около 2М&gt; кг (при массе одного снаряда РС-132 в 23,1 кг).</w:t>
      </w:r>
    </w:p>
    <w:p w14:paraId="484FBA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ЭСБР-3 «разгружал» РС поочередно с левой и правой плоскостей. При стрельбе залпом по два снаряда разгрузка шла одновременно из-под обеих плоскостей. Для «предотвращения повреждения обшивки крыла взрывной волной» вся нижняя часть крыла в районе крепления </w:t>
      </w:r>
      <w:proofErr w:type="gramStart"/>
      <w:r w:rsidRPr="008127F8">
        <w:rPr>
          <w:rFonts w:ascii="Times New Roman" w:hAnsi="Times New Roman"/>
          <w:color w:val="000000" w:themeColor="text1"/>
          <w:sz w:val="16"/>
          <w:szCs w:val="16"/>
        </w:rPr>
        <w:t>орудии</w:t>
      </w:r>
      <w:proofErr w:type="gramEnd"/>
      <w:r w:rsidRPr="008127F8">
        <w:rPr>
          <w:rFonts w:ascii="Times New Roman" w:hAnsi="Times New Roman"/>
          <w:color w:val="000000" w:themeColor="text1"/>
          <w:sz w:val="16"/>
          <w:szCs w:val="16"/>
        </w:rPr>
        <w:t xml:space="preserve"> и передняя кромка крыла были обтянуты листовым дюралем. В этом вы</w:t>
      </w:r>
      <w:r w:rsidRPr="008127F8">
        <w:rPr>
          <w:rFonts w:ascii="Times New Roman" w:hAnsi="Times New Roman"/>
          <w:color w:val="000000" w:themeColor="text1"/>
          <w:sz w:val="16"/>
          <w:szCs w:val="16"/>
        </w:rPr>
        <w:softHyphen/>
        <w:t>явилась необходимость при эксплуатации. Так как на все самолеты не смогли достать ЭСБР-3, несколько машин оборудовали, включив в элек</w:t>
      </w:r>
      <w:r w:rsidRPr="008127F8">
        <w:rPr>
          <w:rFonts w:ascii="Times New Roman" w:hAnsi="Times New Roman"/>
          <w:color w:val="000000" w:themeColor="text1"/>
          <w:sz w:val="16"/>
          <w:szCs w:val="16"/>
        </w:rPr>
        <w:softHyphen/>
        <w:t>тросеть на каждое РО отдельный тумблер. В практике это иногда по ха</w:t>
      </w:r>
      <w:r w:rsidRPr="008127F8">
        <w:rPr>
          <w:rFonts w:ascii="Times New Roman" w:hAnsi="Times New Roman"/>
          <w:color w:val="000000" w:themeColor="text1"/>
          <w:sz w:val="16"/>
          <w:szCs w:val="16"/>
        </w:rPr>
        <w:softHyphen/>
        <w:t>латности летчиков приводит к залповой стрельбе до семи снарядов РС-132. На самолете это, однако, не отразилось. В ходе испытаний и в боевой работе «никаких вибраций самолета при стрельбе РС не обна</w:t>
      </w:r>
      <w:r w:rsidRPr="008127F8">
        <w:rPr>
          <w:rFonts w:ascii="Times New Roman" w:hAnsi="Times New Roman"/>
          <w:color w:val="000000" w:themeColor="text1"/>
          <w:sz w:val="16"/>
          <w:szCs w:val="16"/>
        </w:rPr>
        <w:softHyphen/>
        <w:t>ружено».</w:t>
      </w:r>
    </w:p>
    <w:p w14:paraId="35BB6E2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боевых испытаний можно было считать установивши</w:t>
      </w:r>
      <w:r w:rsidRPr="008127F8">
        <w:rPr>
          <w:rFonts w:ascii="Times New Roman" w:hAnsi="Times New Roman"/>
          <w:color w:val="000000" w:themeColor="text1"/>
          <w:sz w:val="16"/>
          <w:szCs w:val="16"/>
        </w:rPr>
        <w:softHyphen/>
        <w:t>мися следующие варианты бомбовой оснастки самолета У-2: четыре РО-82 и четыре Дер-7 либо два Дер-7 и две кассеты, либо восемь РО-132 или восемь РО-82 и два Дер-7, либо шесть Дер-7. Эти варианты призна</w:t>
      </w:r>
      <w:r w:rsidRPr="008127F8">
        <w:rPr>
          <w:rFonts w:ascii="Times New Roman" w:hAnsi="Times New Roman"/>
          <w:color w:val="000000" w:themeColor="text1"/>
          <w:sz w:val="16"/>
          <w:szCs w:val="16"/>
        </w:rPr>
        <w:softHyphen/>
        <w:t>ли наиболее универсальными для действия по переднему краю обороны.</w:t>
      </w:r>
    </w:p>
    <w:p w14:paraId="727E90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«Авиации, вооруженной самолетами У-2, желательно состоять из от</w:t>
      </w:r>
      <w:r w:rsidRPr="008127F8">
        <w:rPr>
          <w:rFonts w:ascii="Times New Roman" w:hAnsi="Times New Roman"/>
          <w:color w:val="000000" w:themeColor="text1"/>
          <w:sz w:val="16"/>
          <w:szCs w:val="16"/>
        </w:rPr>
        <w:softHyphen/>
        <w:t>дельных полков трехэскадрильного состава по 12 машин в каждой. Пол</w:t>
      </w:r>
      <w:r w:rsidRPr="008127F8">
        <w:rPr>
          <w:rFonts w:ascii="Times New Roman" w:hAnsi="Times New Roman"/>
          <w:color w:val="000000" w:themeColor="text1"/>
          <w:sz w:val="16"/>
          <w:szCs w:val="16"/>
        </w:rPr>
        <w:softHyphen/>
        <w:t>ки придавать, а тем работать в интересах армии. Руководят ими ВВС ар</w:t>
      </w:r>
      <w:r w:rsidRPr="008127F8">
        <w:rPr>
          <w:rFonts w:ascii="Times New Roman" w:hAnsi="Times New Roman"/>
          <w:color w:val="000000" w:themeColor="text1"/>
          <w:sz w:val="16"/>
          <w:szCs w:val="16"/>
        </w:rPr>
        <w:softHyphen/>
        <w:t>мии. В интересах отдельных армейских участков полки могут быть рас</w:t>
      </w:r>
      <w:r w:rsidRPr="008127F8">
        <w:rPr>
          <w:rFonts w:ascii="Times New Roman" w:hAnsi="Times New Roman"/>
          <w:color w:val="000000" w:themeColor="text1"/>
          <w:sz w:val="16"/>
          <w:szCs w:val="16"/>
        </w:rPr>
        <w:softHyphen/>
        <w:t>членены на эскадрильи для выполнения отдельных задач на участках Фронта. Каждая эскадрилья должна быть вооружена следующими вари</w:t>
      </w:r>
      <w:r w:rsidRPr="008127F8">
        <w:rPr>
          <w:rFonts w:ascii="Times New Roman" w:hAnsi="Times New Roman"/>
          <w:color w:val="000000" w:themeColor="text1"/>
          <w:sz w:val="16"/>
          <w:szCs w:val="16"/>
        </w:rPr>
        <w:softHyphen/>
        <w:t xml:space="preserve">антами: три самолета с двумя Дер-7 и двумя кассетами, три самолета </w:t>
      </w:r>
      <w:r w:rsidRPr="008127F8">
        <w:rPr>
          <w:rFonts w:ascii="Times New Roman" w:hAnsi="Times New Roman"/>
          <w:color w:val="000000" w:themeColor="text1"/>
          <w:sz w:val="16"/>
          <w:szCs w:val="16"/>
          <w:vertAlign w:val="superscript"/>
        </w:rPr>
        <w:t>с</w:t>
      </w:r>
      <w:r w:rsidRPr="008127F8">
        <w:rPr>
          <w:rFonts w:ascii="Times New Roman" w:hAnsi="Times New Roman"/>
          <w:color w:val="000000" w:themeColor="text1"/>
          <w:sz w:val="16"/>
          <w:szCs w:val="16"/>
        </w:rPr>
        <w:t xml:space="preserve"> четырьмя Дер-7 и четырьмя РО-82 или восемью РО-132 (восемью РО-82) и шесть самолетов с шестью Дер-7. При такой комбинации вари</w:t>
      </w:r>
      <w:r w:rsidRPr="008127F8">
        <w:rPr>
          <w:rFonts w:ascii="Times New Roman" w:hAnsi="Times New Roman"/>
          <w:color w:val="000000" w:themeColor="text1"/>
          <w:sz w:val="16"/>
          <w:szCs w:val="16"/>
        </w:rPr>
        <w:softHyphen/>
        <w:t>антов эскадрилья вполне самостоятельно может действовать, одновре</w:t>
      </w:r>
      <w:r w:rsidRPr="008127F8">
        <w:rPr>
          <w:rFonts w:ascii="Times New Roman" w:hAnsi="Times New Roman"/>
          <w:color w:val="000000" w:themeColor="text1"/>
          <w:sz w:val="16"/>
          <w:szCs w:val="16"/>
        </w:rPr>
        <w:softHyphen/>
        <w:t>менно обеспечивая себя от огня МЗА и ЗП противника.</w:t>
      </w:r>
    </w:p>
    <w:p w14:paraId="7C86349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У-2, как бомбардировщик по переднему краю обороны про</w:t>
      </w:r>
      <w:r w:rsidRPr="008127F8">
        <w:rPr>
          <w:rFonts w:ascii="Times New Roman" w:hAnsi="Times New Roman"/>
          <w:color w:val="000000" w:themeColor="text1"/>
          <w:sz w:val="16"/>
          <w:szCs w:val="16"/>
        </w:rPr>
        <w:softHyphen/>
        <w:t>тивника, в СМУ и особенно ночью себя целиком оправдал, и его следу</w:t>
      </w:r>
      <w:r w:rsidRPr="008127F8">
        <w:rPr>
          <w:rFonts w:ascii="Times New Roman" w:hAnsi="Times New Roman"/>
          <w:color w:val="000000" w:themeColor="text1"/>
          <w:sz w:val="16"/>
          <w:szCs w:val="16"/>
        </w:rPr>
        <w:softHyphen/>
        <w:t>ет всячески доводить, максимально используя все» (11402).</w:t>
      </w:r>
    </w:p>
    <w:p w14:paraId="439C1AC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D5994" w14:textId="77777777" w:rsidR="0050778F" w:rsidRPr="008127F8" w:rsidRDefault="0050778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7 марта 1942 г. на НИП АВ ВВС поступили первые пять опытных экземпляров прототипа про</w:t>
      </w:r>
      <w:r w:rsidRPr="008127F8">
        <w:rPr>
          <w:rFonts w:ascii="Times New Roman" w:cs="Times New Roman"/>
          <w:color w:val="000000" w:themeColor="text1"/>
          <w:spacing w:val="0"/>
        </w:rPr>
        <w:softHyphen/>
        <w:t>тивотанковой кумулятивной авиационной бомбы ПТАБ-5 конструкции ГСКБ-47 для производства заводских испытаний. Чуть позже известный конструктор взрывателей старший инженер ЦКБ-22 И.А. Ларионов также предложил конструкцию мелкока</w:t>
      </w:r>
      <w:r w:rsidRPr="008127F8">
        <w:rPr>
          <w:rFonts w:ascii="Times New Roman" w:cs="Times New Roman"/>
          <w:color w:val="000000" w:themeColor="text1"/>
          <w:spacing w:val="0"/>
        </w:rPr>
        <w:softHyphen/>
        <w:t>либерной противотанковой кумулятивной авиационной бомбы и донный взрыватель к ней. К 6 августа 1942 г. в целом успешно завершились полигонные испытания про</w:t>
      </w:r>
      <w:r w:rsidRPr="008127F8">
        <w:rPr>
          <w:rFonts w:ascii="Times New Roman" w:cs="Times New Roman"/>
          <w:color w:val="000000" w:themeColor="text1"/>
          <w:spacing w:val="0"/>
        </w:rPr>
        <w:softHyphen/>
        <w:t>тотипа такой бомбы.</w:t>
      </w:r>
    </w:p>
    <w:p w14:paraId="39226F90" w14:textId="77777777" w:rsidR="0050778F" w:rsidRPr="008127F8" w:rsidRDefault="0050778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Основные результаты первых экспери</w:t>
      </w:r>
      <w:r w:rsidRPr="008127F8">
        <w:rPr>
          <w:rFonts w:ascii="Times New Roman" w:cs="Times New Roman"/>
          <w:color w:val="000000" w:themeColor="text1"/>
          <w:spacing w:val="0"/>
        </w:rPr>
        <w:softHyphen/>
        <w:t>ментов с кумулятивными бомбами своди</w:t>
      </w:r>
      <w:r w:rsidRPr="008127F8">
        <w:rPr>
          <w:rFonts w:ascii="Times New Roman" w:cs="Times New Roman"/>
          <w:color w:val="000000" w:themeColor="text1"/>
          <w:spacing w:val="0"/>
        </w:rPr>
        <w:softHyphen/>
        <w:t>лись к следующему. Отмечалось, что при весе взрывчатого вещества массой всего 100 г, боеприпасы пробивали в цементи</w:t>
      </w:r>
      <w:r w:rsidRPr="008127F8">
        <w:rPr>
          <w:rFonts w:ascii="Times New Roman" w:cs="Times New Roman"/>
          <w:color w:val="000000" w:themeColor="text1"/>
          <w:spacing w:val="0"/>
        </w:rPr>
        <w:softHyphen/>
        <w:t>рованной броне толщиной 30 мм сквозное отверстие диаметром около 50 мм. При увеличении заряда в два раза толщина пробиваемой брони возрастала до 40 мм. Основная проблема заключалась в созда</w:t>
      </w:r>
      <w:r w:rsidRPr="008127F8">
        <w:rPr>
          <w:rFonts w:ascii="Times New Roman" w:cs="Times New Roman"/>
          <w:color w:val="000000" w:themeColor="text1"/>
          <w:spacing w:val="0"/>
        </w:rPr>
        <w:softHyphen/>
        <w:t>нии для бомбы донного взрывателя мгно</w:t>
      </w:r>
      <w:r w:rsidRPr="008127F8">
        <w:rPr>
          <w:rFonts w:ascii="Times New Roman" w:cs="Times New Roman"/>
          <w:color w:val="000000" w:themeColor="text1"/>
          <w:spacing w:val="0"/>
        </w:rPr>
        <w:softHyphen/>
        <w:t>венного действия с высокой чувствительно</w:t>
      </w:r>
      <w:r w:rsidRPr="008127F8">
        <w:rPr>
          <w:rFonts w:ascii="Times New Roman" w:cs="Times New Roman"/>
          <w:color w:val="000000" w:themeColor="text1"/>
          <w:spacing w:val="0"/>
        </w:rPr>
        <w:softHyphen/>
        <w:t>стью ударного механизма. Дело в том, что взэыватель должен был обеспечивать своевременное срабатывание при соударении головной части бомбы с броневым покрыти</w:t>
      </w:r>
      <w:r w:rsidRPr="008127F8">
        <w:rPr>
          <w:rFonts w:ascii="Times New Roman" w:cs="Times New Roman"/>
          <w:color w:val="000000" w:themeColor="text1"/>
          <w:spacing w:val="0"/>
        </w:rPr>
        <w:softHyphen/>
        <w:t>ем а значит, формирование кумулятивной струи на оптимальном расстоянии от брони. При этом взрыватель должен был обеспе</w:t>
      </w:r>
      <w:r w:rsidRPr="008127F8">
        <w:rPr>
          <w:rFonts w:ascii="Times New Roman" w:cs="Times New Roman"/>
          <w:color w:val="000000" w:themeColor="text1"/>
          <w:spacing w:val="0"/>
        </w:rPr>
        <w:softHyphen/>
        <w:t>чить безопасность бомб при обслуживании (снаряжение, транспортировка, загрузка в самолет) и боевом применении (растряска в полете, безопасный сброс).</w:t>
      </w:r>
    </w:p>
    <w:p w14:paraId="791EB742" w14:textId="77777777" w:rsidR="0050778F" w:rsidRPr="008127F8" w:rsidRDefault="0050778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Отметим, что к этому времени на НИП АВ ВВС в целом успешно прошел испыта</w:t>
      </w:r>
      <w:r w:rsidRPr="008127F8">
        <w:rPr>
          <w:rFonts w:ascii="Times New Roman" w:cs="Times New Roman"/>
          <w:color w:val="000000" w:themeColor="text1"/>
          <w:spacing w:val="0"/>
        </w:rPr>
        <w:softHyphen/>
        <w:t>ния (25 и 26 июля) ракетный бронебойный снаряд с кумулятивной боевой частью ка</w:t>
      </w:r>
      <w:r w:rsidRPr="008127F8">
        <w:rPr>
          <w:rFonts w:ascii="Times New Roman" w:cs="Times New Roman"/>
          <w:color w:val="000000" w:themeColor="text1"/>
          <w:spacing w:val="0"/>
        </w:rPr>
        <w:softHyphen/>
        <w:t>либра 82 мм - РБСК-82. Снаряд был раз</w:t>
      </w:r>
      <w:r w:rsidRPr="008127F8">
        <w:rPr>
          <w:rFonts w:ascii="Times New Roman" w:cs="Times New Roman"/>
          <w:color w:val="000000" w:themeColor="text1"/>
          <w:spacing w:val="0"/>
        </w:rPr>
        <w:softHyphen/>
        <w:t>работан совместными усилиями НИИ-3 и НИИ-6. Немецкую танковую броню толщи</w:t>
      </w:r>
      <w:r w:rsidRPr="008127F8">
        <w:rPr>
          <w:rFonts w:ascii="Times New Roman" w:cs="Times New Roman"/>
          <w:color w:val="000000" w:themeColor="text1"/>
          <w:spacing w:val="0"/>
        </w:rPr>
        <w:softHyphen/>
        <w:t>ной 30 мм боеприпас разрушал при любых углах встречи, а 50-мм броню - при нор</w:t>
      </w:r>
      <w:r w:rsidRPr="008127F8">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8127F8">
        <w:rPr>
          <w:rFonts w:ascii="Times New Roman" w:cs="Times New Roman"/>
          <w:color w:val="000000" w:themeColor="text1"/>
          <w:spacing w:val="0"/>
        </w:rPr>
        <w:softHyphen/>
        <w:t>лятивного снаряда не отличалось от та</w:t>
      </w:r>
      <w:r w:rsidRPr="008127F8">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2A6957EA" w14:textId="77777777" w:rsidR="0050778F" w:rsidRPr="008127F8" w:rsidRDefault="0050778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период с 15 октября по 24 ноября 1942 г. РБСК-82 прошел на НИП АВ по</w:t>
      </w:r>
      <w:r w:rsidRPr="008127F8">
        <w:rPr>
          <w:rFonts w:ascii="Times New Roman" w:cs="Times New Roman"/>
          <w:color w:val="000000" w:themeColor="text1"/>
          <w:spacing w:val="0"/>
        </w:rPr>
        <w:softHyphen/>
        <w:t>вторные полигонные испытания. По ре</w:t>
      </w:r>
      <w:r w:rsidRPr="008127F8">
        <w:rPr>
          <w:rFonts w:ascii="Times New Roman" w:cs="Times New Roman"/>
          <w:color w:val="000000" w:themeColor="text1"/>
          <w:spacing w:val="0"/>
        </w:rPr>
        <w:softHyphen/>
        <w:t>зультатам стрельб специалисты полиго</w:t>
      </w:r>
      <w:r w:rsidRPr="008127F8">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265E6614" w14:textId="77777777" w:rsidR="0050778F" w:rsidRPr="008127F8" w:rsidRDefault="0050778F" w:rsidP="001E0A84">
      <w:pPr>
        <w:pStyle w:val="27"/>
        <w:shd w:val="clear" w:color="auto" w:fill="auto"/>
        <w:spacing w:after="0" w:line="240" w:lineRule="auto"/>
        <w:ind w:firstLine="0"/>
        <w:rPr>
          <w:rFonts w:ascii="Times New Roman" w:cs="Times New Roman"/>
          <w:color w:val="000000" w:themeColor="text1"/>
          <w:spacing w:val="0"/>
        </w:rPr>
      </w:pPr>
    </w:p>
    <w:p w14:paraId="0E7EDE57"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7 марта 1942 г. на НИП АВ ВВС поступили первые 5 опытных экзем</w:t>
      </w:r>
      <w:r w:rsidRPr="008127F8">
        <w:rPr>
          <w:color w:val="000000" w:themeColor="text1"/>
          <w:sz w:val="16"/>
          <w:szCs w:val="16"/>
        </w:rPr>
        <w:softHyphen/>
        <w:t>пляров прототипа противотанковой кумулятивной авиационной бомбы ПТАБ-5 конструкции ГСКБ-47 для производства заводских испытаний.</w:t>
      </w:r>
    </w:p>
    <w:p w14:paraId="3424779D"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Свой вариант конструкции противотанковой ку</w:t>
      </w:r>
      <w:r w:rsidRPr="008127F8">
        <w:rPr>
          <w:color w:val="000000" w:themeColor="text1"/>
          <w:sz w:val="16"/>
          <w:szCs w:val="16"/>
        </w:rPr>
        <w:softHyphen/>
        <w:t>мулятивной авиабомбы предложил И. А. Ларионов. К 6 августа 1942 г. в целом успешно завершились заводские испытания прототипа такой бомбы.</w:t>
      </w:r>
    </w:p>
    <w:p w14:paraId="760D8ADD" w14:textId="77777777" w:rsidR="009500E6" w:rsidRPr="008127F8" w:rsidRDefault="009500E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Основные результаты первых экспериментов с кумулятивными бомбами сводились к следующе</w:t>
      </w:r>
      <w:r w:rsidRPr="008127F8">
        <w:rPr>
          <w:color w:val="000000" w:themeColor="text1"/>
          <w:sz w:val="16"/>
          <w:szCs w:val="16"/>
        </w:rPr>
        <w:softHyphen/>
        <w:t>му. Получалось, что при весе взрывчатого вещества 0,1 кг боеприпасы пробивали в цементированной броне толщиной 30 мм сквозное отверстие диа</w:t>
      </w:r>
      <w:r w:rsidRPr="008127F8">
        <w:rPr>
          <w:color w:val="000000" w:themeColor="text1"/>
          <w:sz w:val="16"/>
          <w:szCs w:val="16"/>
        </w:rPr>
        <w:softHyphen/>
        <w:t>метром около 50 мм. При увеличении заряда в два раза толщина пробиваемой брони возрастала до 40 мм. Основная проблема заключалась в созда</w:t>
      </w:r>
      <w:r w:rsidRPr="008127F8">
        <w:rPr>
          <w:color w:val="000000" w:themeColor="text1"/>
          <w:sz w:val="16"/>
          <w:szCs w:val="16"/>
        </w:rPr>
        <w:softHyphen/>
        <w:t>нии для бомбы донного взрывателя мгновенного действия с высокой чувствительностью ударного механизма. Дело в том, что взрыватель должен был обеспечивать своевременное срабатывание при соударении головной части бомбы с броневым по</w:t>
      </w:r>
      <w:r w:rsidRPr="008127F8">
        <w:rPr>
          <w:color w:val="000000" w:themeColor="text1"/>
          <w:sz w:val="16"/>
          <w:szCs w:val="16"/>
        </w:rPr>
        <w:softHyphen/>
        <w:t xml:space="preserve">крытием, а </w:t>
      </w:r>
      <w:r w:rsidRPr="008127F8">
        <w:rPr>
          <w:color w:val="000000" w:themeColor="text1"/>
          <w:sz w:val="16"/>
          <w:szCs w:val="16"/>
        </w:rPr>
        <w:lastRenderedPageBreak/>
        <w:t>значит, формирование кумулятивной струи на оптимальном расстоянии от брони и од</w:t>
      </w:r>
      <w:r w:rsidRPr="008127F8">
        <w:rPr>
          <w:color w:val="000000" w:themeColor="text1"/>
          <w:sz w:val="16"/>
          <w:szCs w:val="16"/>
        </w:rPr>
        <w:softHyphen/>
        <w:t xml:space="preserve">новременно безопасность бомб при </w:t>
      </w:r>
      <w:proofErr w:type="gramStart"/>
      <w:r w:rsidRPr="008127F8">
        <w:rPr>
          <w:color w:val="000000" w:themeColor="text1"/>
          <w:sz w:val="16"/>
          <w:szCs w:val="16"/>
        </w:rPr>
        <w:t>обслуживании(</w:t>
      </w:r>
      <w:proofErr w:type="gramEnd"/>
      <w:r w:rsidRPr="008127F8">
        <w:rPr>
          <w:color w:val="000000" w:themeColor="text1"/>
          <w:sz w:val="16"/>
          <w:szCs w:val="16"/>
        </w:rPr>
        <w:t>снаряжение, транспортировка, загрузка в самолет) и боевом применении (растряска в полете, безо</w:t>
      </w:r>
      <w:r w:rsidRPr="008127F8">
        <w:rPr>
          <w:color w:val="000000" w:themeColor="text1"/>
          <w:sz w:val="16"/>
          <w:szCs w:val="16"/>
        </w:rPr>
        <w:softHyphen/>
        <w:t>пасный сброс) (17500).</w:t>
      </w:r>
    </w:p>
    <w:p w14:paraId="00952F68" w14:textId="77777777" w:rsidR="009500E6" w:rsidRPr="008127F8" w:rsidRDefault="009500E6" w:rsidP="001E0A84">
      <w:pPr>
        <w:spacing w:after="0" w:line="240" w:lineRule="auto"/>
        <w:jc w:val="both"/>
        <w:rPr>
          <w:rFonts w:ascii="Times New Roman" w:eastAsia="Times New Roman" w:hAnsi="Times New Roman"/>
          <w:color w:val="000000" w:themeColor="text1"/>
          <w:sz w:val="16"/>
          <w:szCs w:val="16"/>
          <w:lang w:eastAsia="ru-RU"/>
        </w:rPr>
      </w:pPr>
    </w:p>
    <w:p w14:paraId="76486A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марта по 24 апреля 1942 в НИИ ВВС испытывался Як-1 N 38-55 с РО и бомбами. Выполнили 27 полетов продолжительностью 14:50. Бригада включала ли А.Г.Прошакова, и М.В.Пронина, т В.Ф.Сбитнева (65,55). Самолет N 3855 и испытания проводились до 4 апреля 1942 (796,4).</w:t>
      </w:r>
    </w:p>
    <w:p w14:paraId="53300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F2D3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марта по 24 апреля 1942 г. Як-1 №38-55 проходил госиспытания в НИИ ВВС Было выполнено 27 полетов общей продолжительностью 14 ч 50 мин. Испытания проводила бригада НИИ ВВС в составе летчика-испытателя А.Г.Прошакова, инженера по самолету М.П.Пронина и тех</w:t>
      </w:r>
      <w:r w:rsidRPr="008127F8">
        <w:rPr>
          <w:rFonts w:ascii="Times New Roman" w:hAnsi="Times New Roman"/>
          <w:color w:val="000000" w:themeColor="text1"/>
          <w:sz w:val="16"/>
          <w:szCs w:val="16"/>
        </w:rPr>
        <w:softHyphen/>
        <w:t>ника В.Ф.Сбитнева (11402).</w:t>
      </w:r>
    </w:p>
    <w:p w14:paraId="4B076B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C368B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марта</w:t>
      </w:r>
      <w:r w:rsidRPr="008127F8">
        <w:rPr>
          <w:rFonts w:ascii="Times New Roman" w:hAnsi="Times New Roman"/>
          <w:color w:val="000000" w:themeColor="text1"/>
          <w:sz w:val="16"/>
          <w:szCs w:val="16"/>
        </w:rPr>
        <w:t xml:space="preserve"> в 1942 году начались (по 2 апреля) контрольные испытания истребителя </w:t>
      </w:r>
      <w:hyperlink r:id="rId79" w:tgtFrame="_blank" w:history="1">
        <w:r w:rsidRPr="008127F8">
          <w:rPr>
            <w:rFonts w:ascii="Times New Roman" w:hAnsi="Times New Roman"/>
            <w:color w:val="000000" w:themeColor="text1"/>
            <w:sz w:val="16"/>
            <w:szCs w:val="16"/>
          </w:rPr>
          <w:t xml:space="preserve">«Як-1» (Зимний), </w:t>
        </w:r>
      </w:hyperlink>
      <w:r w:rsidRPr="008127F8">
        <w:rPr>
          <w:rFonts w:ascii="Times New Roman" w:hAnsi="Times New Roman"/>
          <w:color w:val="000000" w:themeColor="text1"/>
          <w:sz w:val="16"/>
          <w:szCs w:val="16"/>
        </w:rPr>
        <w:t>ОКБ Яковлева. Самолёт «Як-1» серийный номер 3855 с лыжами развил скорость 532 км/ч, что было меньше на 27 км/ч, чем у прошедшего ранее контрольные испытания однотипного серийного самолета с колесным шасси. Это объяснялось, главным образом, увеличением аэродинамического сопротивления из-за неплотного прилегания лыж к крылу и увеличения полетной массы самолёта. Увеличение длины разбега и уменьшение длины пробега являлись следствием более высокого коэффициента трения лыж о снег, чем колес о землю. Зимняя меловая окраска увеличивала шероховатость поверхности и, как следствие, тоже снижала максимальную скорость на 7...10 км/ч и несколько ухудшала остальные летные характеристики. Однако при зачистке ("прошкуривании") поверхности самолёта ее сопротивление становилось практически таким же, как до нанесения зимней окраски. По технике пилотирования «Як-1» с лыжным шасси и зимней окраской в основном не отличался от «Як-1» с колесным шасси. Что же касается посадки, то она стала даже проще, так как в случае ошибок (например, посадки с креном на лыжи) самолёт почти не "козлил", как в случае с колесным шасси. К тому же противокапотажный угол стал больше, и составлял 28,5</w:t>
      </w:r>
      <w:r w:rsidR="001F05F6" w:rsidRPr="008127F8">
        <w:rPr>
          <w:rFonts w:ascii="Times New Roman" w:hAnsi="Times New Roman"/>
          <w:color w:val="000000" w:themeColor="text1"/>
          <w:sz w:val="16"/>
          <w:szCs w:val="16"/>
        </w:rPr>
        <w:t>гр</w:t>
      </w:r>
      <w:r w:rsidRPr="008127F8">
        <w:rPr>
          <w:rFonts w:ascii="Times New Roman" w:hAnsi="Times New Roman"/>
          <w:color w:val="000000" w:themeColor="text1"/>
          <w:sz w:val="16"/>
          <w:szCs w:val="16"/>
        </w:rPr>
        <w:t>. Поэтому опасность капотирования самолёта на пробеге, несмотря на более сильное торможение, практически полностью исключалась (15061).</w:t>
      </w:r>
    </w:p>
    <w:p w14:paraId="4196031C"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33022B1B" w14:textId="77777777" w:rsidR="009500E6" w:rsidRPr="008127F8" w:rsidRDefault="009500E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марта по 2 апреля 1942 г. в НИИ ВВС КА прошли контрольные испытания серийного самолета Як-1 № 3855 с лыжами, которые показали снижение максимальной скорости на 27 км/ч (до 532 км/ч), по сравнению с прошедшим ранее контрольные испытания однотипным серийным самолетом с колесным шасси (12048).</w:t>
      </w:r>
    </w:p>
    <w:p w14:paraId="753C6DCB" w14:textId="77777777" w:rsidR="009500E6" w:rsidRPr="008127F8" w:rsidRDefault="009500E6"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4CED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1404 О переводе в Москву завода № 291 НКАП. РГАНИР, Фонд ГКО, д. 23, лл. 131 (11012).</w:t>
      </w:r>
    </w:p>
    <w:p w14:paraId="643D18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6D4DF" w14:textId="77777777" w:rsidR="001F05F6" w:rsidRPr="008127F8" w:rsidRDefault="001F05F6"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7 марта 1942 вышло Постановление ГКО № 1404 О переводе в Москву завода № 291 НКАП</w:t>
      </w:r>
    </w:p>
    <w:p w14:paraId="30813692" w14:textId="77777777" w:rsidR="001F05F6" w:rsidRPr="008127F8" w:rsidRDefault="001F05F6" w:rsidP="001E0A84">
      <w:pPr>
        <w:tabs>
          <w:tab w:val="left" w:pos="11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необходимость ускорения работ по восстановле</w:t>
      </w:r>
      <w:r w:rsidRPr="008127F8">
        <w:rPr>
          <w:rFonts w:ascii="Times New Roman" w:hAnsi="Times New Roman"/>
          <w:color w:val="000000" w:themeColor="text1"/>
          <w:sz w:val="16"/>
          <w:szCs w:val="16"/>
        </w:rPr>
        <w:softHyphen/>
        <w:t>нию завода № 45 в Москве по производству моторов М-38 и помощь серийным авиамоторным заводам НКАП испытательным оборудованием, Государственна Комитет Обороны постановляет:</w:t>
      </w:r>
    </w:p>
    <w:p w14:paraId="6817446C" w14:textId="77777777" w:rsidR="001F05F6" w:rsidRPr="008127F8" w:rsidRDefault="001F05F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1.Разрешить Наркому авиационной промышленности т.Шахурину перевезти оборудование, материальные ценности и люд</w:t>
      </w:r>
      <w:r w:rsidRPr="008127F8">
        <w:rPr>
          <w:rFonts w:ascii="Times New Roman" w:hAnsi="Times New Roman"/>
          <w:color w:val="000000" w:themeColor="text1"/>
          <w:sz w:val="16"/>
          <w:szCs w:val="16"/>
        </w:rPr>
        <w:softHyphen/>
        <w:t>ские кадры в количестве 200 человек завода № 291 из г.Уфы в г.Москву, влив последний на завод 45.</w:t>
      </w:r>
    </w:p>
    <w:p w14:paraId="5FA8C4B7" w14:textId="77777777" w:rsidR="001F05F6" w:rsidRPr="008127F8" w:rsidRDefault="001F05F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Перевозку и монтаж оборудования на завод № 45 закон</w:t>
      </w:r>
      <w:r w:rsidRPr="008127F8">
        <w:rPr>
          <w:rFonts w:ascii="Times New Roman" w:hAnsi="Times New Roman"/>
          <w:color w:val="000000" w:themeColor="text1"/>
          <w:sz w:val="16"/>
          <w:szCs w:val="16"/>
        </w:rPr>
        <w:softHyphen/>
        <w:t>чить 15 апреля 1942 года.</w:t>
      </w:r>
    </w:p>
    <w:p w14:paraId="688F8661" w14:textId="77777777" w:rsidR="001F05F6" w:rsidRPr="008127F8" w:rsidRDefault="001F05F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2.НКПС т.Кагановичу предоставить НКАП для перевозки завода № 291 из г.Уфы в г.Москву к 15 марта с.г. необходи</w:t>
      </w:r>
      <w:r w:rsidRPr="008127F8">
        <w:rPr>
          <w:rFonts w:ascii="Times New Roman" w:hAnsi="Times New Roman"/>
          <w:color w:val="000000" w:themeColor="text1"/>
          <w:sz w:val="16"/>
          <w:szCs w:val="16"/>
        </w:rPr>
        <w:softHyphen/>
        <w:t>мое количество товарных платформ, крытых вагонов и пассажир</w:t>
      </w:r>
      <w:r w:rsidRPr="008127F8">
        <w:rPr>
          <w:rFonts w:ascii="Times New Roman" w:hAnsi="Times New Roman"/>
          <w:color w:val="000000" w:themeColor="text1"/>
          <w:sz w:val="16"/>
          <w:szCs w:val="16"/>
        </w:rPr>
        <w:softHyphen/>
        <w:t>ских вагонов.</w:t>
      </w:r>
    </w:p>
    <w:p w14:paraId="652338A3" w14:textId="77777777" w:rsidR="001F05F6" w:rsidRPr="008127F8" w:rsidRDefault="001F05F6" w:rsidP="001E0A84">
      <w:pPr>
        <w:tabs>
          <w:tab w:val="left" w:pos="159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3.Директору завода В 291 т. Евангулову сдать, а директору завода № 45 т.Комарову принять оборудование и материаль</w:t>
      </w:r>
      <w:r w:rsidRPr="008127F8">
        <w:rPr>
          <w:rFonts w:ascii="Times New Roman" w:hAnsi="Times New Roman"/>
          <w:color w:val="000000" w:themeColor="text1"/>
          <w:sz w:val="16"/>
          <w:szCs w:val="16"/>
        </w:rPr>
        <w:softHyphen/>
        <w:t>ные ценности завода№ 291 по балансу на 1-е марта 1942 года (19225).</w:t>
      </w:r>
    </w:p>
    <w:p w14:paraId="1340B9A8" w14:textId="77777777" w:rsidR="001F05F6" w:rsidRPr="008127F8" w:rsidRDefault="001F05F6" w:rsidP="001E0A84">
      <w:pPr>
        <w:tabs>
          <w:tab w:val="left" w:pos="1595"/>
        </w:tabs>
        <w:spacing w:after="0" w:line="240" w:lineRule="auto"/>
        <w:jc w:val="both"/>
        <w:rPr>
          <w:rFonts w:ascii="Times New Roman" w:hAnsi="Times New Roman"/>
          <w:color w:val="000000" w:themeColor="text1"/>
          <w:sz w:val="16"/>
          <w:szCs w:val="16"/>
        </w:rPr>
      </w:pPr>
    </w:p>
    <w:p w14:paraId="351F1FD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1405 [О переводе из Уфы в Москву части Центрального института авиационного моторостроения.] (7024, 132).</w:t>
      </w:r>
    </w:p>
    <w:p w14:paraId="06159C0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107EDC" w14:textId="77777777" w:rsidR="001F05F6" w:rsidRPr="008127F8" w:rsidRDefault="001F05F6" w:rsidP="001E0A84">
      <w:pPr>
        <w:tabs>
          <w:tab w:val="left" w:pos="159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1405 [О переводе из Уфы в Москву части Центрального института авиационного моторостроения.]</w:t>
      </w:r>
    </w:p>
    <w:p w14:paraId="41DF731F" w14:textId="77777777" w:rsidR="001F05F6" w:rsidRPr="008127F8" w:rsidRDefault="001F05F6" w:rsidP="001E0A84">
      <w:pPr>
        <w:tabs>
          <w:tab w:val="left" w:pos="45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Разрешить Наркомавиапрому - т.Шахурину перевести часть ЦИАМ'а из </w:t>
      </w:r>
      <w:proofErr w:type="gramStart"/>
      <w:r w:rsidRPr="008127F8">
        <w:rPr>
          <w:rFonts w:ascii="Times New Roman" w:hAnsi="Times New Roman"/>
          <w:color w:val="000000" w:themeColor="text1"/>
          <w:sz w:val="16"/>
          <w:szCs w:val="16"/>
        </w:rPr>
        <w:t>гор.Уфы</w:t>
      </w:r>
      <w:proofErr w:type="gramEnd"/>
      <w:r w:rsidRPr="008127F8">
        <w:rPr>
          <w:rFonts w:ascii="Times New Roman" w:hAnsi="Times New Roman"/>
          <w:color w:val="000000" w:themeColor="text1"/>
          <w:sz w:val="16"/>
          <w:szCs w:val="16"/>
        </w:rPr>
        <w:t xml:space="preserve"> в гор.Москву в следующем составе:</w:t>
      </w:r>
    </w:p>
    <w:p w14:paraId="345044C1" w14:textId="77777777" w:rsidR="001F05F6" w:rsidRPr="008127F8" w:rsidRDefault="001F05F6" w:rsidP="001E0A84">
      <w:pPr>
        <w:tabs>
          <w:tab w:val="left" w:pos="45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рабочих, ИТР и служащих</w:t>
      </w:r>
      <w:r w:rsidRPr="008127F8">
        <w:rPr>
          <w:rFonts w:ascii="Times New Roman" w:hAnsi="Times New Roman"/>
          <w:color w:val="000000" w:themeColor="text1"/>
          <w:sz w:val="16"/>
          <w:szCs w:val="16"/>
        </w:rPr>
        <w:tab/>
        <w:t xml:space="preserve">- </w:t>
      </w:r>
      <w:r w:rsidRPr="008127F8">
        <w:rPr>
          <w:rStyle w:val="0pt"/>
          <w:rFonts w:ascii="Times New Roman" w:hAnsi="Times New Roman" w:cs="Times New Roman"/>
          <w:color w:val="000000" w:themeColor="text1"/>
          <w:spacing w:val="0"/>
          <w:sz w:val="16"/>
          <w:szCs w:val="16"/>
        </w:rPr>
        <w:t>400</w:t>
      </w:r>
      <w:r w:rsidRPr="008127F8">
        <w:rPr>
          <w:rFonts w:ascii="Times New Roman" w:hAnsi="Times New Roman"/>
          <w:color w:val="000000" w:themeColor="text1"/>
          <w:sz w:val="16"/>
          <w:szCs w:val="16"/>
        </w:rPr>
        <w:t xml:space="preserve"> человек</w:t>
      </w:r>
    </w:p>
    <w:p w14:paraId="066A6773" w14:textId="77777777" w:rsidR="001F05F6" w:rsidRPr="008127F8" w:rsidRDefault="001F05F6" w:rsidP="001E0A84">
      <w:pPr>
        <w:tabs>
          <w:tab w:val="left" w:pos="4580"/>
        </w:tabs>
        <w:spacing w:after="0" w:line="240" w:lineRule="auto"/>
        <w:jc w:val="both"/>
        <w:rPr>
          <w:rFonts w:ascii="Times New Roman" w:hAnsi="Times New Roman"/>
          <w:color w:val="000000" w:themeColor="text1"/>
          <w:sz w:val="16"/>
          <w:szCs w:val="16"/>
        </w:rPr>
      </w:pPr>
      <w:r w:rsidRPr="008127F8">
        <w:rPr>
          <w:rStyle w:val="1pt"/>
          <w:rFonts w:ascii="Times New Roman" w:hAnsi="Times New Roman" w:cs="Times New Roman"/>
          <w:color w:val="000000" w:themeColor="text1"/>
          <w:spacing w:val="0"/>
          <w:sz w:val="16"/>
          <w:szCs w:val="16"/>
        </w:rPr>
        <w:t>станков</w:t>
      </w:r>
      <w:r w:rsidRPr="008127F8">
        <w:rPr>
          <w:rStyle w:val="1pt"/>
          <w:rFonts w:ascii="Times New Roman" w:hAnsi="Times New Roman" w:cs="Times New Roman"/>
          <w:color w:val="000000" w:themeColor="text1"/>
          <w:spacing w:val="0"/>
          <w:sz w:val="16"/>
          <w:szCs w:val="16"/>
        </w:rPr>
        <w:tab/>
        <w:t>- 70</w:t>
      </w:r>
      <w:r w:rsidRPr="008127F8">
        <w:rPr>
          <w:rFonts w:ascii="Times New Roman" w:hAnsi="Times New Roman"/>
          <w:color w:val="000000" w:themeColor="text1"/>
          <w:sz w:val="16"/>
          <w:szCs w:val="16"/>
        </w:rPr>
        <w:t xml:space="preserve"> единиц</w:t>
      </w:r>
    </w:p>
    <w:p w14:paraId="3B0F5742" w14:textId="77777777" w:rsidR="001F05F6" w:rsidRPr="008127F8" w:rsidRDefault="001F05F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различные лабораторные установки</w:t>
      </w:r>
      <w:r w:rsidRPr="008127F8">
        <w:rPr>
          <w:rFonts w:ascii="Times New Roman" w:hAnsi="Times New Roman"/>
          <w:color w:val="000000" w:themeColor="text1"/>
          <w:sz w:val="16"/>
          <w:szCs w:val="16"/>
        </w:rPr>
        <w:tab/>
        <w:t>- 40 единиц</w:t>
      </w:r>
    </w:p>
    <w:p w14:paraId="56934675" w14:textId="77777777" w:rsidR="001F05F6" w:rsidRPr="008127F8" w:rsidRDefault="001F05F6" w:rsidP="001E0A84">
      <w:pPr>
        <w:tabs>
          <w:tab w:val="left" w:pos="15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НКПС - т.Кагановича </w:t>
      </w:r>
      <w:r w:rsidRPr="008127F8">
        <w:rPr>
          <w:rStyle w:val="0pt"/>
          <w:rFonts w:ascii="Times New Roman" w:hAnsi="Times New Roman" w:cs="Times New Roman"/>
          <w:color w:val="000000" w:themeColor="text1"/>
          <w:spacing w:val="0"/>
          <w:sz w:val="16"/>
          <w:szCs w:val="16"/>
        </w:rPr>
        <w:t>J</w:t>
      </w:r>
      <w:proofErr w:type="gramStart"/>
      <w:r w:rsidRPr="008127F8">
        <w:rPr>
          <w:rStyle w:val="0pt"/>
          <w:rFonts w:ascii="Times New Roman" w:hAnsi="Times New Roman" w:cs="Times New Roman"/>
          <w:color w:val="000000" w:themeColor="text1"/>
          <w:spacing w:val="0"/>
          <w:sz w:val="16"/>
          <w:szCs w:val="16"/>
        </w:rPr>
        <w:t>1.U.</w:t>
      </w:r>
      <w:proofErr w:type="gramEnd"/>
      <w:r w:rsidRPr="008127F8">
        <w:rPr>
          <w:rFonts w:ascii="Times New Roman" w:hAnsi="Times New Roman"/>
          <w:color w:val="000000" w:themeColor="text1"/>
          <w:sz w:val="16"/>
          <w:szCs w:val="16"/>
        </w:rPr>
        <w:t xml:space="preserve"> обеспечить перевозку оборудования и работников ЦИАН'а из гор.Уфы в гор.Москву, для чего выделить необходимое количество товарных и пассажирских вагонов.</w:t>
      </w:r>
    </w:p>
    <w:p w14:paraId="6B02DB48" w14:textId="77777777" w:rsidR="001F05F6" w:rsidRPr="008127F8" w:rsidRDefault="001F05F6" w:rsidP="001E0A84">
      <w:pPr>
        <w:tabs>
          <w:tab w:val="left" w:pos="159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производства восстановительных и ремонтно-монтажных работ на территории института в гор. Москве отпустить из резервного фонда СНК Союэа ССР в распоряжение Наркомавиапроыа один миллион пятьсот тысяч рублей (19226).</w:t>
      </w:r>
    </w:p>
    <w:p w14:paraId="67A33EC2" w14:textId="77777777" w:rsidR="001F05F6" w:rsidRPr="008127F8" w:rsidRDefault="001F05F6" w:rsidP="001E0A84">
      <w:pPr>
        <w:tabs>
          <w:tab w:val="left" w:pos="1595"/>
        </w:tabs>
        <w:spacing w:after="0" w:line="240" w:lineRule="auto"/>
        <w:jc w:val="both"/>
        <w:rPr>
          <w:rFonts w:ascii="Times New Roman" w:hAnsi="Times New Roman"/>
          <w:color w:val="000000" w:themeColor="text1"/>
          <w:sz w:val="16"/>
          <w:szCs w:val="16"/>
        </w:rPr>
      </w:pPr>
    </w:p>
    <w:p w14:paraId="7CAB7E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в соответствии с постановлением ГКО № 1405с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(10776).</w:t>
      </w:r>
    </w:p>
    <w:p w14:paraId="5A0DCA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87F5B" w14:textId="64B3696F" w:rsidR="00F80D60" w:rsidRPr="008127F8" w:rsidRDefault="00F80D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С.А.Чаплыгин в письме Наркому А.И.Шахурину предложил сделать одной из ведущих задач ЦАГИ создание реактивного самолета (22577).</w:t>
      </w:r>
    </w:p>
    <w:p w14:paraId="6FEA8C1D" w14:textId="77777777" w:rsidR="00F80D60" w:rsidRPr="008127F8" w:rsidRDefault="00F80D60" w:rsidP="001E0A84">
      <w:pPr>
        <w:spacing w:after="0" w:line="240" w:lineRule="auto"/>
        <w:jc w:val="both"/>
        <w:rPr>
          <w:rFonts w:ascii="Times New Roman" w:hAnsi="Times New Roman"/>
          <w:color w:val="000000" w:themeColor="text1"/>
          <w:sz w:val="16"/>
          <w:szCs w:val="16"/>
        </w:rPr>
      </w:pPr>
    </w:p>
    <w:p w14:paraId="5E2EA29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E1F5E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7B4B2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года вышел приказ № 80 НКБ</w:t>
      </w:r>
    </w:p>
    <w:p w14:paraId="18FFABC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 ГКО-1345с от 24 февраля 1942 года разрешил возвратить часть эвакуированного оборудования и людей завода № 561 из Миасс в Москву и завода № 260 из Молотова во Владимир Ивановской обл.</w:t>
      </w:r>
    </w:p>
    <w:p w14:paraId="236EC8F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316 отгрузить часть эвакуированного оборудования завода № 561 ……</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w:t>
      </w:r>
    </w:p>
    <w:p w14:paraId="6C2172D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260А отгрузить часть эвакуированного оборудования завода № 260…</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.(5797, 29-30).</w:t>
      </w:r>
    </w:p>
    <w:p w14:paraId="5A408A2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0324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Наркомфина А.Зверева подготовил записку Заместителю председателя СНК СССР А.И.Микояну «По вопросу о стоимости поставок вооружения, боеприпасов и про</w:t>
      </w:r>
      <w:r w:rsidRPr="008127F8">
        <w:rPr>
          <w:rFonts w:ascii="Times New Roman" w:hAnsi="Times New Roman"/>
          <w:color w:val="000000" w:themeColor="text1"/>
          <w:sz w:val="16"/>
          <w:szCs w:val="16"/>
        </w:rPr>
        <w:softHyphen/>
        <w:t>чих предметов боевой техники (военной продукции)», в которой отмечалось, что «возможность Наркомата Обороны влиять на уровень цен из</w:t>
      </w:r>
      <w:r w:rsidRPr="008127F8">
        <w:rPr>
          <w:rFonts w:ascii="Times New Roman" w:hAnsi="Times New Roman"/>
          <w:color w:val="000000" w:themeColor="text1"/>
          <w:sz w:val="16"/>
          <w:szCs w:val="16"/>
        </w:rPr>
        <w:softHyphen/>
        <w:t>делий военной промышленности, которые определяются прей</w:t>
      </w:r>
      <w:r w:rsidRPr="008127F8">
        <w:rPr>
          <w:rFonts w:ascii="Times New Roman" w:hAnsi="Times New Roman"/>
          <w:color w:val="000000" w:themeColor="text1"/>
          <w:sz w:val="16"/>
          <w:szCs w:val="16"/>
        </w:rPr>
        <w:softHyphen/>
        <w:t>скурантами, значительно ослабла, поскольку всякое изменение оптовых цен влечет за собой изменение утвержденных по бюд</w:t>
      </w:r>
      <w:r w:rsidRPr="008127F8">
        <w:rPr>
          <w:rFonts w:ascii="Times New Roman" w:hAnsi="Times New Roman"/>
          <w:color w:val="000000" w:themeColor="text1"/>
          <w:sz w:val="16"/>
          <w:szCs w:val="16"/>
        </w:rPr>
        <w:softHyphen/>
        <w:t>жету для наркомата (завода) накоплений, на что требуется раз</w:t>
      </w:r>
      <w:r w:rsidRPr="008127F8">
        <w:rPr>
          <w:rFonts w:ascii="Times New Roman" w:hAnsi="Times New Roman"/>
          <w:color w:val="000000" w:themeColor="text1"/>
          <w:sz w:val="16"/>
          <w:szCs w:val="16"/>
        </w:rPr>
        <w:softHyphen/>
        <w:t>решение правительства» (РГАЭ ф. 7733Э оп. 36, д. 985, л. 8).</w:t>
      </w:r>
    </w:p>
    <w:p w14:paraId="1796F9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договорных цен, то, как считает Зверев, их сни</w:t>
      </w:r>
      <w:r w:rsidRPr="008127F8">
        <w:rPr>
          <w:rFonts w:ascii="Times New Roman" w:hAnsi="Times New Roman"/>
          <w:color w:val="000000" w:themeColor="text1"/>
          <w:sz w:val="16"/>
          <w:szCs w:val="16"/>
        </w:rPr>
        <w:softHyphen/>
        <w:t>жение зависит исключительно от самого НКО, за которым Нар</w:t>
      </w:r>
      <w:r w:rsidRPr="008127F8">
        <w:rPr>
          <w:rFonts w:ascii="Times New Roman" w:hAnsi="Times New Roman"/>
          <w:color w:val="000000" w:themeColor="text1"/>
          <w:sz w:val="16"/>
          <w:szCs w:val="16"/>
        </w:rPr>
        <w:softHyphen/>
        <w:t>ком финансов предлагал «установить такой контроль, чтобы уро</w:t>
      </w:r>
      <w:r w:rsidRPr="008127F8">
        <w:rPr>
          <w:rFonts w:ascii="Times New Roman" w:hAnsi="Times New Roman"/>
          <w:color w:val="000000" w:themeColor="text1"/>
          <w:sz w:val="16"/>
          <w:szCs w:val="16"/>
        </w:rPr>
        <w:softHyphen/>
        <w:t>вень договорных цен не превышал утвержденные прейскурант</w:t>
      </w:r>
      <w:r w:rsidRPr="008127F8">
        <w:rPr>
          <w:rFonts w:ascii="Times New Roman" w:hAnsi="Times New Roman"/>
          <w:color w:val="000000" w:themeColor="text1"/>
          <w:sz w:val="16"/>
          <w:szCs w:val="16"/>
        </w:rPr>
        <w:softHyphen/>
        <w:t>ные цены на другие образцы военной продукции» (РГАЭ ф. 7733Э оп. 36, д. 985, л. 9).</w:t>
      </w:r>
    </w:p>
    <w:p w14:paraId="15EDDC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 записке излагались предложения по ужесточению контроля за военно-промышленными наркоматами в вопросах пе</w:t>
      </w:r>
      <w:r w:rsidRPr="008127F8">
        <w:rPr>
          <w:rFonts w:ascii="Times New Roman" w:hAnsi="Times New Roman"/>
          <w:color w:val="000000" w:themeColor="text1"/>
          <w:sz w:val="16"/>
          <w:szCs w:val="16"/>
        </w:rPr>
        <w:softHyphen/>
        <w:t>ресмотра цен на военную продукцию: «Поставщик, как правило, не заинтересован в действительном снижении оптовых цен, ко</w:t>
      </w:r>
      <w:r w:rsidRPr="008127F8">
        <w:rPr>
          <w:rFonts w:ascii="Times New Roman" w:hAnsi="Times New Roman"/>
          <w:color w:val="000000" w:themeColor="text1"/>
          <w:sz w:val="16"/>
          <w:szCs w:val="16"/>
        </w:rPr>
        <w:softHyphen/>
        <w:t>торое давило бы на них и заставляло бы снижать себестоимость. Требуется каждый раз специальное решение СНК СССР, обязы</w:t>
      </w:r>
      <w:r w:rsidRPr="008127F8">
        <w:rPr>
          <w:rFonts w:ascii="Times New Roman" w:hAnsi="Times New Roman"/>
          <w:color w:val="000000" w:themeColor="text1"/>
          <w:sz w:val="16"/>
          <w:szCs w:val="16"/>
        </w:rPr>
        <w:softHyphen/>
        <w:t>вающее наркоматы пересматривать цены на военную продукцию. В свою очередь, установление цены раз в год приводит на прак</w:t>
      </w:r>
      <w:r w:rsidRPr="008127F8">
        <w:rPr>
          <w:rFonts w:ascii="Times New Roman" w:hAnsi="Times New Roman"/>
          <w:color w:val="000000" w:themeColor="text1"/>
          <w:sz w:val="16"/>
          <w:szCs w:val="16"/>
        </w:rPr>
        <w:softHyphen/>
        <w:t>тике к тому, что по отдельным изделиям к концу года оптовые цены отрываются от себестоимости». Нарком финансов предла</w:t>
      </w:r>
      <w:r w:rsidRPr="008127F8">
        <w:rPr>
          <w:rFonts w:ascii="Times New Roman" w:hAnsi="Times New Roman"/>
          <w:color w:val="000000" w:themeColor="text1"/>
          <w:sz w:val="16"/>
          <w:szCs w:val="16"/>
        </w:rPr>
        <w:softHyphen/>
        <w:t>гал разрешить соответствующим правительственным органам (в первую очередь, Госплану и Наркомфину), по мере надобности, пересматривать сложившиеся цены и вносить поправки «в хозяй</w:t>
      </w:r>
      <w:r w:rsidRPr="008127F8">
        <w:rPr>
          <w:rFonts w:ascii="Times New Roman" w:hAnsi="Times New Roman"/>
          <w:color w:val="000000" w:themeColor="text1"/>
          <w:sz w:val="16"/>
          <w:szCs w:val="16"/>
        </w:rPr>
        <w:softHyphen/>
        <w:t>ственные и финансовые планы наркоматов-поставщиков и заказ</w:t>
      </w:r>
      <w:r w:rsidRPr="008127F8">
        <w:rPr>
          <w:rFonts w:ascii="Times New Roman" w:hAnsi="Times New Roman"/>
          <w:color w:val="000000" w:themeColor="text1"/>
          <w:sz w:val="16"/>
          <w:szCs w:val="16"/>
        </w:rPr>
        <w:softHyphen/>
        <w:t>чиков» (РГАЭ ф. 7733Э оп. 36, д. 985, л. 9) (1566).</w:t>
      </w:r>
    </w:p>
    <w:p w14:paraId="612CDA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Посредством снижения цен на военную продукцию уровень рентабельности производства наркоматов военной промышленно</w:t>
      </w:r>
      <w:r w:rsidRPr="008127F8">
        <w:rPr>
          <w:rFonts w:ascii="Times New Roman" w:hAnsi="Times New Roman"/>
          <w:color w:val="000000" w:themeColor="text1"/>
          <w:sz w:val="16"/>
          <w:szCs w:val="16"/>
        </w:rPr>
        <w:softHyphen/>
        <w:t>сти, по сравнению с 1940-1941 гг., как показано в таблице, в 1942-1944 гг. в целом понизился.</w:t>
      </w:r>
    </w:p>
    <w:p w14:paraId="10B6B40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Динамика рентабельности производства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97"/>
        <w:gridCol w:w="480"/>
        <w:gridCol w:w="326"/>
        <w:gridCol w:w="384"/>
        <w:gridCol w:w="384"/>
        <w:gridCol w:w="710"/>
        <w:gridCol w:w="336"/>
        <w:gridCol w:w="384"/>
        <w:gridCol w:w="336"/>
        <w:gridCol w:w="432"/>
        <w:gridCol w:w="384"/>
        <w:gridCol w:w="250"/>
      </w:tblGrid>
      <w:tr w:rsidR="006F4095" w:rsidRPr="008127F8" w14:paraId="068574A0" w14:textId="77777777">
        <w:trPr>
          <w:trHeight w:val="259"/>
        </w:trPr>
        <w:tc>
          <w:tcPr>
            <w:tcW w:w="1997" w:type="dxa"/>
            <w:tcBorders>
              <w:top w:val="single" w:sz="12" w:space="0" w:color="auto"/>
            </w:tcBorders>
          </w:tcPr>
          <w:p w14:paraId="4C25B2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12" w:space="0" w:color="auto"/>
            </w:tcBorders>
          </w:tcPr>
          <w:p w14:paraId="5D478F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1940 г.</w:t>
            </w:r>
          </w:p>
          <w:p w14:paraId="1D4A7F8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12" w:space="0" w:color="auto"/>
            </w:tcBorders>
          </w:tcPr>
          <w:p w14:paraId="4E0AA9F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p w14:paraId="0A275F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12" w:space="0" w:color="auto"/>
            </w:tcBorders>
          </w:tcPr>
          <w:p w14:paraId="238FDA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720" w:type="dxa"/>
            <w:gridSpan w:val="2"/>
            <w:tcBorders>
              <w:top w:val="single" w:sz="12" w:space="0" w:color="auto"/>
            </w:tcBorders>
          </w:tcPr>
          <w:p w14:paraId="60BA82F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 г.</w:t>
            </w:r>
          </w:p>
        </w:tc>
        <w:tc>
          <w:tcPr>
            <w:tcW w:w="768" w:type="dxa"/>
            <w:gridSpan w:val="2"/>
            <w:tcBorders>
              <w:top w:val="single" w:sz="12" w:space="0" w:color="auto"/>
            </w:tcBorders>
          </w:tcPr>
          <w:p w14:paraId="6E3F77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 г.</w:t>
            </w:r>
          </w:p>
          <w:p w14:paraId="13D1A86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2"/>
            <w:tcBorders>
              <w:top w:val="single" w:sz="12" w:space="0" w:color="auto"/>
            </w:tcBorders>
          </w:tcPr>
          <w:p w14:paraId="6D3778C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 г.</w:t>
            </w:r>
          </w:p>
          <w:p w14:paraId="0421249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C0DCC5F" w14:textId="77777777">
        <w:trPr>
          <w:trHeight w:val="259"/>
        </w:trPr>
        <w:tc>
          <w:tcPr>
            <w:tcW w:w="1997" w:type="dxa"/>
          </w:tcPr>
          <w:p w14:paraId="48D7C15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НКАвиапром</w:t>
            </w:r>
          </w:p>
          <w:p w14:paraId="18210EA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473D0E8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p w14:paraId="0C62A79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3FC4D4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p w14:paraId="7D1361E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B9EBEC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+ 13</w:t>
            </w:r>
          </w:p>
          <w:p w14:paraId="440950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346ABC3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p w14:paraId="7DC3A9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64D688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-0,98</w:t>
            </w:r>
          </w:p>
          <w:p w14:paraId="72B10F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D9ACB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w:t>
            </w:r>
          </w:p>
          <w:p w14:paraId="0677F1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427B38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0C340E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42D4DF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p w14:paraId="1914316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36B90DB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745128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688AFD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372E08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254A16" w14:textId="77777777">
        <w:trPr>
          <w:trHeight w:val="221"/>
        </w:trPr>
        <w:tc>
          <w:tcPr>
            <w:tcW w:w="1997" w:type="dxa"/>
          </w:tcPr>
          <w:p w14:paraId="386648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НКБоеприпасов</w:t>
            </w:r>
          </w:p>
          <w:p w14:paraId="46E812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502B5B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2A69CC0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37C5E96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,03</w:t>
            </w:r>
          </w:p>
          <w:p w14:paraId="3E974C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4D6102B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w:t>
            </w:r>
          </w:p>
          <w:p w14:paraId="1DB2B8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C625D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p w14:paraId="14A2E2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7D000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p w14:paraId="119FFF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420FD0A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73C47C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53E608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p w14:paraId="3ADAA1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7077AE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3A64A46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20373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p w14:paraId="197CB4B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02E99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76C9006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1820F8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p w14:paraId="43D846E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6BB1F1" w14:textId="77777777">
        <w:trPr>
          <w:trHeight w:val="240"/>
        </w:trPr>
        <w:tc>
          <w:tcPr>
            <w:tcW w:w="1997" w:type="dxa"/>
          </w:tcPr>
          <w:p w14:paraId="409807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НКВооружения</w:t>
            </w:r>
          </w:p>
          <w:p w14:paraId="237707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2872C7E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p w14:paraId="566B6B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71FB155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p w14:paraId="486E270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44DB5C5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w:t>
            </w:r>
          </w:p>
          <w:p w14:paraId="2E72E6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090A34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p w14:paraId="679F38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624C62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p w14:paraId="276096C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3F84E5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686AE2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775AB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p w14:paraId="284144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6AFE733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3E960DF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DA3B8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p w14:paraId="2CE5BC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047C80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375E0C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2E1C11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05CB7C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C202D63" w14:textId="77777777">
        <w:trPr>
          <w:trHeight w:val="221"/>
        </w:trPr>
        <w:tc>
          <w:tcPr>
            <w:tcW w:w="1997" w:type="dxa"/>
          </w:tcPr>
          <w:p w14:paraId="409657F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НКСудостроения</w:t>
            </w:r>
          </w:p>
          <w:p w14:paraId="62B8C03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64B408D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p w14:paraId="69C476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3101F3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p w14:paraId="32ECEC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Pr>
          <w:p w14:paraId="462CDE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p w14:paraId="4259F2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FBA70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+2,42</w:t>
            </w:r>
          </w:p>
          <w:p w14:paraId="7E7C91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0BEA02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p w14:paraId="2B6D09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111C4D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w:t>
            </w:r>
          </w:p>
          <w:p w14:paraId="05DE311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380DD7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p w14:paraId="05FF37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EF01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p w14:paraId="2E2026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227323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362D39E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001355B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00CD396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339C6C" w14:textId="77777777">
        <w:trPr>
          <w:trHeight w:val="221"/>
        </w:trPr>
        <w:tc>
          <w:tcPr>
            <w:tcW w:w="1997" w:type="dxa"/>
          </w:tcPr>
          <w:p w14:paraId="597A17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НКМинвооружений</w:t>
            </w:r>
          </w:p>
          <w:p w14:paraId="3BF5F0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651D86D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BAA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7857A3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3399A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379AA6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+ 16</w:t>
            </w:r>
          </w:p>
          <w:p w14:paraId="42E17A1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5F15D31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p w14:paraId="63501A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316B2F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+ 12,7</w:t>
            </w:r>
          </w:p>
          <w:p w14:paraId="68DB91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4A72860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268CA53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7CAC082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p w14:paraId="6EC2793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35B12F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696FEA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0585CD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p w14:paraId="792312D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519792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3ECC1B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375172B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4AAA81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27CE2D4" w14:textId="77777777">
        <w:trPr>
          <w:trHeight w:val="221"/>
        </w:trPr>
        <w:tc>
          <w:tcPr>
            <w:tcW w:w="1997" w:type="dxa"/>
            <w:tcBorders>
              <w:bottom w:val="single" w:sz="12" w:space="0" w:color="auto"/>
            </w:tcBorders>
          </w:tcPr>
          <w:p w14:paraId="790497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НКТанкпром</w:t>
            </w:r>
          </w:p>
          <w:p w14:paraId="403C9E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bottom w:val="single" w:sz="12" w:space="0" w:color="auto"/>
            </w:tcBorders>
          </w:tcPr>
          <w:p w14:paraId="70909AC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F8D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Borders>
              <w:bottom w:val="single" w:sz="12" w:space="0" w:color="auto"/>
            </w:tcBorders>
          </w:tcPr>
          <w:p w14:paraId="7C29D3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378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79524D0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+ 14</w:t>
            </w:r>
          </w:p>
          <w:p w14:paraId="65618B2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6A2495B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p w14:paraId="18903D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70976E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+6,57</w:t>
            </w:r>
          </w:p>
          <w:p w14:paraId="7C76D12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bottom w:val="single" w:sz="12" w:space="0" w:color="auto"/>
            </w:tcBorders>
          </w:tcPr>
          <w:p w14:paraId="7542CF4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1F160E3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2C2B20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p w14:paraId="0D9CF2F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bottom w:val="single" w:sz="12" w:space="0" w:color="auto"/>
            </w:tcBorders>
          </w:tcPr>
          <w:p w14:paraId="5922710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p w14:paraId="1958192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63CAAD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7162DC1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Borders>
              <w:bottom w:val="single" w:sz="12" w:space="0" w:color="auto"/>
            </w:tcBorders>
          </w:tcPr>
          <w:p w14:paraId="78A2F78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1F001D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C16D43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Источник: РГАЭ ф.7733, оп.36, </w:t>
      </w:r>
      <w:proofErr w:type="gramStart"/>
      <w:r w:rsidRPr="008127F8">
        <w:rPr>
          <w:rFonts w:ascii="Times New Roman" w:hAnsi="Times New Roman"/>
          <w:color w:val="000000" w:themeColor="text1"/>
          <w:sz w:val="16"/>
          <w:szCs w:val="16"/>
        </w:rPr>
        <w:t>д.1309,л.</w:t>
      </w:r>
      <w:proofErr w:type="gramEnd"/>
      <w:r w:rsidRPr="008127F8">
        <w:rPr>
          <w:rFonts w:ascii="Times New Roman" w:hAnsi="Times New Roman"/>
          <w:color w:val="000000" w:themeColor="text1"/>
          <w:sz w:val="16"/>
          <w:szCs w:val="16"/>
        </w:rPr>
        <w:t>243; д.1927, л.32</w:t>
      </w:r>
    </w:p>
    <w:p w14:paraId="42D7AC0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это не парадоксально, но наибольшее снижение уровня рентабельности приходится как раз на те периоды, когда военно-промышленные наркоматы достигали наибольших производствен</w:t>
      </w:r>
      <w:r w:rsidRPr="008127F8">
        <w:rPr>
          <w:rFonts w:ascii="Times New Roman" w:hAnsi="Times New Roman"/>
          <w:color w:val="000000" w:themeColor="text1"/>
          <w:sz w:val="16"/>
          <w:szCs w:val="16"/>
        </w:rPr>
        <w:softHyphen/>
        <w:t>ных успехов в деле резкого увеличения объемов производства военной продукции и снижения внутризаводской себестоимости и непроизводительных расходов. Пик производительности НКАП приходится на 1944 г., — уровень рентабельности сокращается, по сравнению с 1943 г. на 2,18%; пик производительности НКТП приходится на 1943 г., — уровень рентабельности падает, по сравнению с предыдущим годом аж до минусовой отметки, означающей убыточность производства! (РГАЭ ф 7733, оп. 36, д. 1309, л. 243).</w:t>
      </w:r>
    </w:p>
    <w:p w14:paraId="66EF59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Наименее экономически оправданным являлось снижение цен на военную продукцию в 1943 году. Большинство военных заво</w:t>
      </w:r>
      <w:r w:rsidRPr="008127F8">
        <w:rPr>
          <w:rFonts w:ascii="Times New Roman" w:hAnsi="Times New Roman"/>
          <w:color w:val="000000" w:themeColor="text1"/>
          <w:sz w:val="16"/>
          <w:szCs w:val="16"/>
        </w:rPr>
        <w:softHyphen/>
        <w:t>дов уже прошли пик наивысшей производительности, о чем, в ча</w:t>
      </w:r>
      <w:r w:rsidRPr="008127F8">
        <w:rPr>
          <w:rFonts w:ascii="Times New Roman" w:hAnsi="Times New Roman"/>
          <w:color w:val="000000" w:themeColor="text1"/>
          <w:sz w:val="16"/>
          <w:szCs w:val="16"/>
        </w:rPr>
        <w:softHyphen/>
        <w:t>стности, свидетельствует общее для всех наркоматов недовыпол</w:t>
      </w:r>
      <w:r w:rsidRPr="008127F8">
        <w:rPr>
          <w:rFonts w:ascii="Times New Roman" w:hAnsi="Times New Roman"/>
          <w:color w:val="000000" w:themeColor="text1"/>
          <w:sz w:val="16"/>
          <w:szCs w:val="16"/>
        </w:rPr>
        <w:softHyphen/>
        <w:t>нение установленного плана по валовой продукции (по НКМВ план был выполнен на 87,7%, по НКВ и НКБ — на 94%), сни</w:t>
      </w:r>
      <w:r w:rsidRPr="008127F8">
        <w:rPr>
          <w:rFonts w:ascii="Times New Roman" w:hAnsi="Times New Roman"/>
          <w:color w:val="000000" w:themeColor="text1"/>
          <w:sz w:val="16"/>
          <w:szCs w:val="16"/>
        </w:rPr>
        <w:softHyphen/>
        <w:t>жению себестоимости и использованию амортизационных отчис</w:t>
      </w:r>
      <w:r w:rsidRPr="008127F8">
        <w:rPr>
          <w:rFonts w:ascii="Times New Roman" w:hAnsi="Times New Roman"/>
          <w:color w:val="000000" w:themeColor="text1"/>
          <w:sz w:val="16"/>
          <w:szCs w:val="16"/>
        </w:rPr>
        <w:softHyphen/>
        <w:t>лений для капитального ремонта (РГАЭ ф 7733, оп. 36, д. 1309, л. 243) (1566).</w:t>
      </w:r>
    </w:p>
    <w:p w14:paraId="075C29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BAD2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А.Ермолаев докладывал наркому, что «...разработана ком</w:t>
      </w:r>
      <w:r w:rsidRPr="008127F8">
        <w:rPr>
          <w:rFonts w:ascii="Times New Roman" w:hAnsi="Times New Roman"/>
          <w:color w:val="000000" w:themeColor="text1"/>
          <w:sz w:val="16"/>
          <w:szCs w:val="16"/>
        </w:rPr>
        <w:softHyphen/>
        <w:t>поновочная схема нового танка, в котором... за счет примене</w:t>
      </w:r>
      <w:r w:rsidRPr="008127F8">
        <w:rPr>
          <w:rFonts w:ascii="Times New Roman" w:hAnsi="Times New Roman"/>
          <w:color w:val="000000" w:themeColor="text1"/>
          <w:sz w:val="16"/>
          <w:szCs w:val="16"/>
        </w:rPr>
        <w:softHyphen/>
        <w:t>ния жидкой брони, уплотнения компоновки... сокращения га</w:t>
      </w:r>
      <w:r w:rsidRPr="008127F8">
        <w:rPr>
          <w:rFonts w:ascii="Times New Roman" w:hAnsi="Times New Roman"/>
          <w:color w:val="000000" w:themeColor="text1"/>
          <w:sz w:val="16"/>
          <w:szCs w:val="16"/>
        </w:rPr>
        <w:softHyphen/>
        <w:t>баритов корпуса и башни удалось значительно уменьшить вес тяжелого танка до у ровня среднего». Интересно отметить, что конструкция бронекорпуса имела значительно меньшее, чем КВ-1, число деталей, на по</w:t>
      </w:r>
      <w:r w:rsidRPr="008127F8">
        <w:rPr>
          <w:rFonts w:ascii="Times New Roman" w:hAnsi="Times New Roman"/>
          <w:color w:val="000000" w:themeColor="text1"/>
          <w:sz w:val="16"/>
          <w:szCs w:val="16"/>
        </w:rPr>
        <w:softHyphen/>
        <w:t>рядок уменьшено число винтовых, болтовых и гужонных со</w:t>
      </w:r>
      <w:r w:rsidRPr="008127F8">
        <w:rPr>
          <w:rFonts w:ascii="Times New Roman" w:hAnsi="Times New Roman"/>
          <w:color w:val="000000" w:themeColor="text1"/>
          <w:sz w:val="16"/>
          <w:szCs w:val="16"/>
        </w:rPr>
        <w:softHyphen/>
        <w:t>единений, сварные швы упрощены. Расточка соединитель</w:t>
      </w:r>
      <w:r w:rsidRPr="008127F8">
        <w:rPr>
          <w:rFonts w:ascii="Times New Roman" w:hAnsi="Times New Roman"/>
          <w:color w:val="000000" w:themeColor="text1"/>
          <w:sz w:val="16"/>
          <w:szCs w:val="16"/>
        </w:rPr>
        <w:softHyphen/>
        <w:t>ных отверстий осуществлялась теперь не в собранном корпу</w:t>
      </w:r>
      <w:r w:rsidRPr="008127F8">
        <w:rPr>
          <w:rFonts w:ascii="Times New Roman" w:hAnsi="Times New Roman"/>
          <w:color w:val="000000" w:themeColor="text1"/>
          <w:sz w:val="16"/>
          <w:szCs w:val="16"/>
        </w:rPr>
        <w:softHyphen/>
        <w:t xml:space="preserve">се, как на танке КВ-1, а в деталях, до их подачи на сборку. За счет плотной компоновки удалось снизить высоту танка на 205—212 мм и сделать его короче на 700 мм. </w:t>
      </w:r>
      <w:proofErr w:type="gramStart"/>
      <w:r w:rsidRPr="008127F8">
        <w:rPr>
          <w:rFonts w:ascii="Times New Roman" w:hAnsi="Times New Roman"/>
          <w:color w:val="000000" w:themeColor="text1"/>
          <w:sz w:val="16"/>
          <w:szCs w:val="16"/>
        </w:rPr>
        <w:t>Согласно первоначальному проекту</w:t>
      </w:r>
      <w:proofErr w:type="gramEnd"/>
      <w:r w:rsidRPr="008127F8">
        <w:rPr>
          <w:rFonts w:ascii="Times New Roman" w:hAnsi="Times New Roman"/>
          <w:color w:val="000000" w:themeColor="text1"/>
          <w:sz w:val="16"/>
          <w:szCs w:val="16"/>
        </w:rPr>
        <w:t xml:space="preserve"> численность экипажа танков КВ-13 и Т-34М предполагалась по заданию 3 чело</w:t>
      </w:r>
      <w:r w:rsidRPr="008127F8">
        <w:rPr>
          <w:rFonts w:ascii="Times New Roman" w:hAnsi="Times New Roman"/>
          <w:color w:val="000000" w:themeColor="text1"/>
          <w:sz w:val="16"/>
          <w:szCs w:val="16"/>
        </w:rPr>
        <w:softHyphen/>
        <w:t>века, что позволяло значительно уменьшить габариты баш</w:t>
      </w:r>
      <w:r w:rsidRPr="008127F8">
        <w:rPr>
          <w:rFonts w:ascii="Times New Roman" w:hAnsi="Times New Roman"/>
          <w:color w:val="000000" w:themeColor="text1"/>
          <w:sz w:val="16"/>
          <w:szCs w:val="16"/>
        </w:rPr>
        <w:softHyphen/>
        <w:t>ни и диаметр погона в свету. Башня отливалась практически одной деталью и в од</w:t>
      </w:r>
      <w:r w:rsidRPr="008127F8">
        <w:rPr>
          <w:rFonts w:ascii="Times New Roman" w:hAnsi="Times New Roman"/>
          <w:color w:val="000000" w:themeColor="text1"/>
          <w:sz w:val="16"/>
          <w:szCs w:val="16"/>
        </w:rPr>
        <w:softHyphen/>
        <w:t>ной изложнице вместе с рамкой пушки. Максимальная толщина лобовой брони корпуса и башни составляла до 80-мм, что соответствовало бронестойкости 60—75-мм ка</w:t>
      </w:r>
      <w:r w:rsidRPr="008127F8">
        <w:rPr>
          <w:rFonts w:ascii="Times New Roman" w:hAnsi="Times New Roman"/>
          <w:color w:val="000000" w:themeColor="text1"/>
          <w:sz w:val="16"/>
          <w:szCs w:val="16"/>
        </w:rPr>
        <w:softHyphen/>
        <w:t>таной брони, защищавшей от снарядов 76-мм отечествен</w:t>
      </w:r>
      <w:r w:rsidRPr="008127F8">
        <w:rPr>
          <w:rFonts w:ascii="Times New Roman" w:hAnsi="Times New Roman"/>
          <w:color w:val="000000" w:themeColor="text1"/>
          <w:sz w:val="16"/>
          <w:szCs w:val="16"/>
        </w:rPr>
        <w:softHyphen/>
        <w:t>ной дивизионной пушки. Вооружение КВ-13 осталось таким же, что и КВ-1 -76,2-мм танковая пушка обр. 1941 г. (ЗИС-5), спаренный с ней пулемет ДТ и два пистолет-пулемета ППШ. Монтаж орудия в башне осуществлялся через съемную крышу баш</w:t>
      </w:r>
      <w:r w:rsidRPr="008127F8">
        <w:rPr>
          <w:rFonts w:ascii="Times New Roman" w:hAnsi="Times New Roman"/>
          <w:color w:val="000000" w:themeColor="text1"/>
          <w:sz w:val="16"/>
          <w:szCs w:val="16"/>
        </w:rPr>
        <w:softHyphen/>
        <w:t>ни. В бортовых и кормовой стенках башни располагались четыре амбразуры для стрельбы из пистолетов или писто</w:t>
      </w:r>
      <w:r w:rsidRPr="008127F8">
        <w:rPr>
          <w:rFonts w:ascii="Times New Roman" w:hAnsi="Times New Roman"/>
          <w:color w:val="000000" w:themeColor="text1"/>
          <w:sz w:val="16"/>
          <w:szCs w:val="16"/>
        </w:rPr>
        <w:softHyphen/>
        <w:t>лет-пулеметов ППШ при самообороне танка (10782).</w:t>
      </w:r>
    </w:p>
    <w:p w14:paraId="1B19A0C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3AD56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7 марта 1942 года подготовили Программу испытаний модернизированного КВ-7. Предполагалось произвести 400 выстрелов и провести 50-километровый пробег, но в реальности всё оказалось иначе. Ввиду загруженности ЧТЗ и снятия с КВ-7 высшего приоритета испытания на Копейском полигоне прошли лишь 14 мая.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 (15838).</w:t>
      </w:r>
    </w:p>
    <w:p w14:paraId="0918BC37" w14:textId="77777777" w:rsidR="00DE624F" w:rsidRPr="008127F8" w:rsidRDefault="00DE624F" w:rsidP="001E0A84">
      <w:pPr>
        <w:spacing w:after="0" w:line="240" w:lineRule="auto"/>
        <w:jc w:val="both"/>
        <w:rPr>
          <w:rFonts w:ascii="Times New Roman" w:eastAsia="Times New Roman" w:hAnsi="Times New Roman"/>
          <w:color w:val="000000" w:themeColor="text1"/>
          <w:sz w:val="16"/>
          <w:szCs w:val="16"/>
        </w:rPr>
      </w:pPr>
    </w:p>
    <w:p w14:paraId="24288D2E"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марта 1942 года подготовили программу испытаний спаренной установки пушек ЗИС-5, но ждать доработанный КВ-7 пришлось больше 2 месяцев. Связано это с рядом процессов. Во-первых, ЧКЗ был занят более важными задачами, а именно доводкой КВ-1. Во-вторых, тема КВ-7 постепенно становилась неинтересной высшему руководству. Да и неудачи программой КВ-9 сыграли свою роль. Тем не менее, работы по переделке КВ-7 довели до конца, а испытания провели. Правда, закончились они примерно так же, как и ранее. Спаренная установка пушек ЗИС-5 показала себя лучше, но всё равно неудовлетворительно (23551).</w:t>
      </w:r>
    </w:p>
    <w:p w14:paraId="42BCE1E5" w14:textId="77777777" w:rsidR="00DB7795" w:rsidRPr="008A2E5A" w:rsidRDefault="00DB7795" w:rsidP="00DB7795">
      <w:pPr>
        <w:spacing w:after="0" w:line="240" w:lineRule="auto"/>
        <w:jc w:val="both"/>
        <w:rPr>
          <w:rFonts w:ascii="Times New Roman" w:hAnsi="Times New Roman"/>
          <w:color w:val="0070C0"/>
          <w:sz w:val="16"/>
          <w:szCs w:val="16"/>
        </w:rPr>
      </w:pPr>
    </w:p>
    <w:p w14:paraId="14F93285"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К 7 марта 1942 года под</w:t>
      </w:r>
      <w:r w:rsidRPr="008127F8">
        <w:rPr>
          <w:color w:val="000000" w:themeColor="text1"/>
          <w:sz w:val="16"/>
          <w:szCs w:val="16"/>
        </w:rPr>
        <w:softHyphen/>
        <w:t>готовили Программу испытаний модернизированного варианта КВ-7. Помимо огневых испытаний, в ходе которых планировалось произвести 400 выстрелов, предполагал</w:t>
      </w:r>
      <w:r w:rsidRPr="008127F8">
        <w:rPr>
          <w:color w:val="000000" w:themeColor="text1"/>
          <w:sz w:val="16"/>
          <w:szCs w:val="16"/>
        </w:rPr>
        <w:softHyphen/>
        <w:t>ся пробег общей сложностью 50 километров. Испытания, впрочем, пришлось переносить, поскольку ЧКЗ в этот момент был занят дру</w:t>
      </w:r>
      <w:r w:rsidRPr="008127F8">
        <w:rPr>
          <w:color w:val="000000" w:themeColor="text1"/>
          <w:sz w:val="16"/>
          <w:szCs w:val="16"/>
        </w:rPr>
        <w:softHyphen/>
        <w:t>гими работами. В итоге огневые испытания прошли значительно позже и без пробега (17484).</w:t>
      </w:r>
    </w:p>
    <w:p w14:paraId="3713D60F" w14:textId="77777777" w:rsidR="007E272D" w:rsidRPr="008127F8" w:rsidRDefault="007E272D" w:rsidP="001E0A84">
      <w:pPr>
        <w:pStyle w:val="af"/>
        <w:spacing w:before="0" w:after="0"/>
        <w:jc w:val="both"/>
        <w:rPr>
          <w:color w:val="000000" w:themeColor="text1"/>
          <w:sz w:val="16"/>
          <w:szCs w:val="16"/>
        </w:rPr>
      </w:pPr>
    </w:p>
    <w:p w14:paraId="0F07CAB4"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7 марта 1942 года подготовили Программу испытаний модернизированного КВ-7. Предполагалось произвести 400 выстрелов и провести 50-километровый пробег, но в реальности всё оказалось иначе. Ввиду загруженности ЧТЗ и снятия с КВ-7 высшего приоритета испытания на Копейском полигоне прошли лишь 14 мая.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 (17647).</w:t>
      </w:r>
    </w:p>
    <w:p w14:paraId="38F81948"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0EEB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1410 Об организации производства танков Т-34 на заводе № 174 в г. Омске. РГАНИР, Фонд ГКО, д. 23, лл. 138-144, 145-151 (11012).</w:t>
      </w:r>
    </w:p>
    <w:p w14:paraId="016F9D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C821F"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постановлением ГКО № 1410 было принято решение о слиянии завода № 174, эвакуированного в Оренбург, с Омским заводом № 173. Объединённый завод должен был перейти к производству танка Т-34, так как от производства танка Т-50 окончательно отказались. Для перехода к производству Т-34 заводу предстояло начать серьёзные работы по расширению Омского завода. Производство танков должно было начаться в мае (в реальности началось в июне) и дойти до 250 штук в месяц в конце года (в реальности в декабре 1942 г. выпущено 110 машин) (19507).</w:t>
      </w:r>
    </w:p>
    <w:p w14:paraId="24E8B43C" w14:textId="77777777" w:rsidR="00C8054D" w:rsidRPr="008127F8" w:rsidRDefault="00C8054D" w:rsidP="001E0A84">
      <w:pPr>
        <w:spacing w:after="0" w:line="240" w:lineRule="auto"/>
        <w:jc w:val="both"/>
        <w:rPr>
          <w:rFonts w:ascii="Times New Roman" w:hAnsi="Times New Roman"/>
          <w:color w:val="000000" w:themeColor="text1"/>
          <w:sz w:val="16"/>
          <w:szCs w:val="16"/>
        </w:rPr>
      </w:pPr>
    </w:p>
    <w:p w14:paraId="65F5A7CF"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марта 1942 г. постановлением ГКО № 1410 было принято решение о слиянии зпавода № 174, эвакуированного в Оренбург (Чкалов) с Омским заводом № 173. Объединѐнный завод должен был перейти к производству танка Т-34, так как от производства танка Т-50 окончательно отказались. Для перехода к производству Т-34 заводу предстояло начать серьѐзные работы по расширению Омского завода. Производство танков должно было начаться в мае (в реальности началось в июне) и дойти до 250 штук в месяц в конце года (в реальности в декабре 1942 г. выпущено 110 машин) (24157).</w:t>
      </w:r>
    </w:p>
    <w:p w14:paraId="1C339355" w14:textId="77777777" w:rsidR="00DB7795" w:rsidRPr="008A2E5A" w:rsidRDefault="00DB7795" w:rsidP="00DB7795">
      <w:pPr>
        <w:spacing w:after="0" w:line="240" w:lineRule="auto"/>
        <w:jc w:val="both"/>
        <w:rPr>
          <w:rFonts w:ascii="Times New Roman" w:hAnsi="Times New Roman"/>
          <w:color w:val="0070C0"/>
          <w:sz w:val="16"/>
          <w:szCs w:val="16"/>
        </w:rPr>
      </w:pPr>
    </w:p>
    <w:p w14:paraId="0E57200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новое постановление № 1410сс «О организации производства танков Т-34 на заводе № 174», в соответствии с которым оба завода сливались в один, расположенный в Омске. Перевозка завода № 174 в Омск должна была завершиться к 15 апреля. Для неё выделялось 1500 вагонов для оборудования и 500 вагонов для людей. Для размещения работников завода из Омска предполагалось выселить 20.000 человек, а также выделить 100 стандартных брусовых домика.</w:t>
      </w:r>
    </w:p>
    <w:p w14:paraId="3F746D8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Объединённый завод должен был иметь собственное бронекорпусное производство, а в перспективе - создать свою металлургическую базу (в том числе, построить 6 мартеновских печей), литейное и кузнечное производство, то есть, стать ещё одним танкостроительным заводом-комбинатом. Для оснащения завода предусматривалось выделить ему 179 металлообрабатывающих станка разных типов и 4 штамповочных молота из числа неустановленного и неиспользованного оборудования с других заводов. Заводу предоставлялось право забирать оборудование неустановленной принадлежности с Омской эвакобазы. Наркомвнешторгу поручалось закупить для Омского завода 12 станков «Глиссон» для нарезки конических спиральных шестерён (производство станков такого типа в СССР было налажено только после войны).</w:t>
      </w:r>
    </w:p>
    <w:p w14:paraId="709B4A24"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завод дал первую продукцию - 9 танков Т-34. Правда, ранее в постановлении ГКО сроком начала производства был установлен май. В октябре месячное производство танков на заводе достигло 105 штук. Можно считать, что к этому моменту организация производства Т-34 на заводе завершилась, хотя установленный постановлением ГКО № 1144сс уровень производства 250 танков в месяц так и не был достигнут (12290).</w:t>
      </w:r>
    </w:p>
    <w:p w14:paraId="10784B1B"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71E600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1407 О передаче НКВ 250 электромоторов, хранящихся на льняной фабрике им. Карла Либкнехта. РГАНИР, Фонд ГКО, д. 23, лл. 134 (11012).</w:t>
      </w:r>
    </w:p>
    <w:p w14:paraId="1FA984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FAE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вышло ПОСТАНОВЛЕНИЕ № ГОКО-1407с</w:t>
      </w:r>
    </w:p>
    <w:p w14:paraId="1CDDC0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022CA9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передаче НКВ 250 электромоторов, хранящихся на льняной фабрике им. Карла Либкнехта</w:t>
      </w:r>
    </w:p>
    <w:p w14:paraId="066BEC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Обязать Наркомтекстиль СССР (т. Акимова) передать для завода № 2 Наркомфооружения 250 электромоторов напряжением 500 вольт, хранящихся на льняной фабрике им. Карла Либкнехта (г. Вязники). </w:t>
      </w:r>
    </w:p>
    <w:p w14:paraId="7557E0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474A17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Берия, Устинову, Акимову, Сабурову, Чадаеву (11434).</w:t>
      </w:r>
    </w:p>
    <w:p w14:paraId="006307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D88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1409 О неотложных мерах по обеспечению поставки угля заводам НКвооружения. РГАНИР, Фонд ГКО, д. 23, лл. 136-137 (11012).</w:t>
      </w:r>
    </w:p>
    <w:p w14:paraId="720E0F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86D8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1411 О производстве гексогена в марте и апреле 1942 г. РГАНИР, Фонд ГКО, д. 23, лл. 152-159, 160-166 (11012).</w:t>
      </w:r>
    </w:p>
    <w:p w14:paraId="703391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9A85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года вышел приказ № 82 НКБ</w:t>
      </w:r>
    </w:p>
    <w:p w14:paraId="416B041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 ГКО-1377с от 3 марта 1942 года отнес Наркомат химической промышленности к числу наркоматов военной промышленности (5797, 37).</w:t>
      </w:r>
    </w:p>
    <w:p w14:paraId="4187D57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1445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года был утвержден Директор завода № 525 – Руднев (9210)</w:t>
      </w:r>
    </w:p>
    <w:p w14:paraId="0BA872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44814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72196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5C96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марта</w:t>
      </w:r>
      <w:r w:rsidRPr="008127F8">
        <w:rPr>
          <w:rFonts w:ascii="Times New Roman" w:hAnsi="Times New Roman"/>
          <w:color w:val="000000" w:themeColor="text1"/>
          <w:sz w:val="16"/>
          <w:szCs w:val="16"/>
        </w:rPr>
        <w:t xml:space="preserve"> в 1942 году утреннее сообщение Совинформбюро:</w:t>
      </w:r>
    </w:p>
    <w:p w14:paraId="135CC938"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7 марта на ряде участков фронта советские войска вели наступательные бои против немецко-фашистских войск.</w:t>
      </w:r>
    </w:p>
    <w:p w14:paraId="69A0176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капитана Линёва (Западный фронт) за один день боёв уничтожило до 350 вражеских солдат и офицеров. На другом участке немцы перешли в контратаку на позиции нашей части, которой командует тов. Мартиросян. Подпустив гитлеровцев на близкое расстояние, советские бойцы открыли ураганный огонь. Противник отступил, оставив на поле боя сони убитых солдат и офицеров.</w:t>
      </w:r>
    </w:p>
    <w:p w14:paraId="3DAF7F4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подразделения тов. Григорьева (Юго-Западный фронт) в боях за населенный пункт Т., отражая контратаки противника, истребили до 250 гитлеровцев. В этом бою отличился орудийный расчёт тов. Погребникова. Наши артиллеристы подавили немецкую миномётную батарею и уничтожили два станковых пулемёта.</w:t>
      </w:r>
    </w:p>
    <w:p w14:paraId="10B26FA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которым командует тов. Анашкин (Западный фронт), за один день боёв уничтожили 9 вражеских пулемётных точек, взорвали склад с горючим и рассеяли роту пехоты противника.</w:t>
      </w:r>
    </w:p>
    <w:p w14:paraId="28714D1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десять дней партизаны отряда под командованием тов. Ф., действующего в одном из районов Смоленской области, совершили внезапный ночной налёт на немецкую часть, расположенную в селе А. Партизаны уничтожили 8 вражеских солдат, захватили 12 немецких винтовок и 2.000 патронов.</w:t>
      </w:r>
    </w:p>
    <w:p w14:paraId="1DA7C19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6 роты 458 полка 258 немецкой пехотной дивизии Курт Вилле заявил: «Наш полк понёс большие потери ещё в боях под Наро-Фоминском. В 6 роте в начале боёв было 180 солдат. Большая часть этих солдат погибла. В ходе боёв рота дважды пополнялась. Первый раз мы получили 75 солдат, второй—90. Сейчас в роте осталось не больше трёх десятков солдат. Мы понесли огромные потери и в вооружении. У нас осталось 5 ручных пулемётов и несколько винтовок. За небольшой срок в роте сменилось 3 командира. Один был убит, а два ранены. Крупные потери понесли и другие подразделения нашего полка. Я это знаю от командира полка капитана Лемпке и командира батальона капитана Гоше, у которых я был шофёром».</w:t>
      </w:r>
    </w:p>
    <w:p w14:paraId="47BA0A28"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ефрейтора С.Поммеринга найдено письмо, в котором он сообщал своим родным: «Паёк хлеба сокращён до 300 граммов. Картофеля у нас нет. Уже 4-й день нас кормят кислой капустой. Последнюю крошку хлеба я проглотил ещё вчера. Мы всё туже подтягиваем ремень».</w:t>
      </w:r>
    </w:p>
    <w:p w14:paraId="47246DA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найдено письмо неизвестного немецкого солдата к жене, написанное 20 февраля. В письме говорится: «Как бесцеремонно и жестоко ведёт себя немецкий солдат. Это даже не поддаётся описанию. Наши солдаты убивают раненых русских якобы из-за отсутствия помещения. То же самое делают, когда мало пленных. Говорят, что не стоит отрывать солдат, чтобы их конвоировать. Когда же двигаются колонны пленных, расстреливают тех, кто отстаёт из-за слабости».</w:t>
      </w:r>
    </w:p>
    <w:p w14:paraId="5B8EB62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банды, отступая из села Никифоровка, Калининской области, ограбили всё население, сожгли 130 домов, 4 школы, церковь и различные хозяйственные постройки.» (15061).</w:t>
      </w:r>
    </w:p>
    <w:p w14:paraId="0CEF730E"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591D94F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марта</w:t>
      </w:r>
      <w:r w:rsidRPr="008127F8">
        <w:rPr>
          <w:rFonts w:ascii="Times New Roman" w:hAnsi="Times New Roman"/>
          <w:color w:val="000000" w:themeColor="text1"/>
          <w:sz w:val="16"/>
          <w:szCs w:val="16"/>
        </w:rPr>
        <w:t xml:space="preserve"> в 1942 году вечернее сообщение Совинформбюро:</w:t>
      </w:r>
    </w:p>
    <w:p w14:paraId="5EE96A87"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7 марта наши войска вели наступательные бои против немецко-фашистских войск. В результате ожесточённых боёв, в ходе которых противник понёс тяжёлые потери, наши части на отдельных участках фронта продвинулись вперёд и заняли несколько населённых пунктов.</w:t>
      </w:r>
    </w:p>
    <w:p w14:paraId="3BA894D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марта уничтожено 35 немецких самолётов. Наши потери — 7 самолётов.</w:t>
      </w:r>
    </w:p>
    <w:p w14:paraId="4D63914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марта под Москвой сбито 3 немецких самолёта.</w:t>
      </w:r>
    </w:p>
    <w:p w14:paraId="7FC8B34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марта частями нашей авиации уничтожено и повреждено 4 немецких танка, 210 автомашин с войсками и грузами, 125 повозок с боеприпасами, 4 автоцистерны с горючим, 7 орудий, 11 зенитно-пулемётных точек, 42 миномёта, разрушено 14 железнодорожных вагонов, рассеяно и частью уничтожено 100 всадников и до 3 батальонов пехоты противника.</w:t>
      </w:r>
    </w:p>
    <w:p w14:paraId="5192488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немецкие части предприняли контратаку против наших войск, накануне занявших два важных населённых пункта. Подпустив немецкие танки и следовавшую за ними пехоту на близкое расстояние, советские артиллеристы и пулемётчики открыли огонь. Противник отступил, оставив на поле боя 2 подбитых танка и около 200 трупов солдат и офицеров. Захвачено много винтовок, пулемётов и другое вооружение немецких оккупантов.</w:t>
      </w:r>
    </w:p>
    <w:p w14:paraId="73F5B45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Красноармейцы-пулемётчики под командованием политрука С. Р. Хаба (Западный фронт) отбили атаку крупной вражеской части. На поле боя осталось до 150 трупов солдат и офицеров противника.</w:t>
      </w:r>
    </w:p>
    <w:p w14:paraId="34136DA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смоленских партизан под командованием тов. К. успешно уничтожает живую силу противника и его боевую технику. Со времени организации отряда партизаны уничтожили 1.074 немецко-фашистских захватчика. Захвачены трофеи и в числе их: 18 ручных и 16 станковых пулемётов, 148 винтовок, 26 автоматов, 330 ручных гранат, 5 миномётов, 23.000 патронов, одно орудие, 58 повозок и 7 автомашин с грузом, 71 лошадь. Отряд партизан уничтожил большое количество вражеских автомашин и взорвал несколько мостов и складов.</w:t>
      </w:r>
    </w:p>
    <w:p w14:paraId="68618A0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10 роты 436 полка 132 немецкой дивизии Пауль Порумбак рассказал: «В декабре прошлого года я, в составе маршевого батальона, прибыл на фронт под Севастополь. Везли нас через Румынию. В Николаеве я видел расклеенные на улицах списки расстрелянных русских, и среди них были врачи, инженеры, рабочие и служащие. Солдаты мне рассказывали, что гестапо и жандармерия расстреляли в Николаеве много женщин и детей. Наш маршевый батальон пополнил 132 немецкую дивизию, которая понесла очень большие потери под Севастополем. Один батальон нашего полка был полностью уничтожен и перестал существовать. В оставшихся батальонах в ротах в среднем насчитывалось по 30 человек. B Германии народ терпит невыносимые страдания и лишения. Моя бедная мать осталась совсем босая и не может купить хотя бы старые ботинки. Всё это породило во мне желание любой ценой избавиться от ужасов войны. В Карасубазаре я умышленно отстал от своей части и целый месяц добирался до Севастополя. 12 февраля ночью я с оружием перешёл фронт и сдался красноармейцам одного миномётного расчёта. По Крыму шатается очень много немецких и румынских солдат, которые якобы разыскивают свои подразделения. На самом деле это солдаты, не желающие больше воевать».</w:t>
      </w:r>
    </w:p>
    <w:p w14:paraId="00F95F3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Эриха Ульке найдено письмо, адресованное Эрне Шоблик. В нём сообщается: «Русские самолёты не дают нам никакого покоя, по всему фронту стоит жуткий грохот. Повсеместно русские пытаются прорвать фронт, что им и удаётся. Везде нам приходится оплакивать жертвы. Особенно скверно раненым. В большинстве случаев им не оказывают никакой помощи».</w:t>
      </w:r>
    </w:p>
    <w:p w14:paraId="79C6F36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меховом комбинате в гор. Казани свыше 100 советских патриоток систематически выполняет за смену по две—три трудовые нормы. Среди них — стахановки Бикмуллина, Сайфутдинова, Хасанова, Сафина, Жуланова, Нигмануллина и многие другие. Коллектив комбината, борясь за досрочное выполнение фронтовых заказов, намного увеличил выпуск продукции.» (15061).</w:t>
      </w:r>
    </w:p>
    <w:p w14:paraId="6073E319"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58DC1C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4 шап, первый вооруженный Ил-2, стал 7 гшап (241,16).</w:t>
      </w:r>
    </w:p>
    <w:p w14:paraId="0F2D4D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14B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совершили первый боевой вылет с минами на Балкике. Хотя требова</w:t>
      </w:r>
      <w:r w:rsidRPr="008127F8">
        <w:rPr>
          <w:rFonts w:ascii="Times New Roman" w:hAnsi="Times New Roman"/>
          <w:color w:val="000000" w:themeColor="text1"/>
          <w:sz w:val="16"/>
          <w:szCs w:val="16"/>
        </w:rPr>
        <w:softHyphen/>
        <w:t>лось уложиться в полосу шириной 30-50 м — канал, пробитый ледоколом, экипажи успешно справились с задачей. ПВО финнов отвлекли одиночные бом</w:t>
      </w:r>
      <w:r w:rsidRPr="008127F8">
        <w:rPr>
          <w:rFonts w:ascii="Times New Roman" w:hAnsi="Times New Roman"/>
          <w:color w:val="000000" w:themeColor="text1"/>
          <w:sz w:val="16"/>
          <w:szCs w:val="16"/>
        </w:rPr>
        <w:softHyphen/>
        <w:t>бардировщики, атаковавшие цели в Хельсинки (10734,84).</w:t>
      </w:r>
    </w:p>
    <w:p w14:paraId="44B8AC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AD8C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ночь с 7 на 8 марта 1942 на Балтике были выставлены на рейде у Хельсинки первые мины, а окончание минной постановки было 27 августа 1942. В 1942 году по сравнению с 1941 на БФ ситуация с минными постановками с воздуха принципиально не изменилась. Самолетов было мало, и они задействовались, в основном, для бомбардировок наземных целей. Постановки начались Всего за 1942 г. ВВС КБФ поставили у Хельсинки, Котки и в проливе Бьеркезунд 94 мины, из них 46 английских и 48 советских АМГ-1. Достоверных данных о потерях на них нет. И это неудивительно. Растянутые на полгода во времени, не особенно привязанные к конкретному месту, заграждения не могли дать значительного эффекта. Противник успевал их вытралить без какого-либо перенапряжения своих минно-тральных сил. К тому же, </w:t>
      </w:r>
      <w:r w:rsidRPr="008127F8">
        <w:rPr>
          <w:rFonts w:ascii="Times New Roman" w:hAnsi="Times New Roman"/>
          <w:color w:val="000000" w:themeColor="text1"/>
          <w:sz w:val="16"/>
          <w:szCs w:val="16"/>
        </w:rPr>
        <w:lastRenderedPageBreak/>
        <w:t>характерные для Балтики "белые ночи" не позволяли вести операции скрытно (2867,32).</w:t>
      </w:r>
    </w:p>
    <w:p w14:paraId="4BE659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DEF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ночи на 7 и 8 марта 1942 близ Хельсинки было выставлено 5 мин (еще один ДБ вернулся из-за неисправности матчасти и сел с миной на аэродроме), на которых, по данным нашей разведки, получил тяжелые повреждения вражеский транспорт (зарубежных данных, подтверждающих этот успех, нет). К сожалению, из первой постановки не вернулось два самолета, один из которых пилотировал командир 3-й эскадрильи Герой Советского Союза майор М.Н. Плоткин. Через сутки выяснилось, что при возвращении уже над нашей территорией "ильюшины" столкнулись в воздухе. По-видимому, понесенные потери показались командованию неприемлемыми, и от продолжения ледовых постановок отказались. В дальнейшем до середины мая вся деятельность полка на морском направлении сводилась к эпизодическим вылетам звеньев или отдельных машин для бомбардировки портов и кораблей со средних высот - без какого-либо успеха (12002).</w:t>
      </w:r>
    </w:p>
    <w:p w14:paraId="4ED2BD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553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г. совершили первый боевой вылет с минами. Хотя требовалось уложиться в полосу шириной 30-50 м - канал, пробитый ледоколом, экипажи успешно справились с задачей. ПВО финнов отвлекли одиночные бомбардировщики, атаковавшие цели в Хельсинки (12021).</w:t>
      </w:r>
    </w:p>
    <w:p w14:paraId="18419F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129A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1403 Об отпуске продовольственных пайков для Красной Армии, Военно-Морского Флота и войск НКВД в марте 1942 года. (7024, 127-129,130).</w:t>
      </w:r>
    </w:p>
    <w:p w14:paraId="49C6D9D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A094A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1408 О введении персональных воинских званий инженерно-техническому составу автобронетанковых войск Красной Армии. (7024, 135).</w:t>
      </w:r>
    </w:p>
    <w:p w14:paraId="6772B7C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2597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1251 О делении летно-технического состава ВВС Красной Армии по категориям. (7022, 13,14).</w:t>
      </w:r>
    </w:p>
    <w:p w14:paraId="702E045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9519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36C4C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B5FB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вышло Постановление ГКО № 1406 Об увеличении численности внутренних войск НКВД СССР на 50 тыс. человек. РГАНИР, Фонд ГКО, д. 23, лл. 133 (11012).</w:t>
      </w:r>
    </w:p>
    <w:p w14:paraId="6C88FA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E42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в Куйбышеве впервые была исполнена седьмая симфония Д.Шостаковича (512,289).</w:t>
      </w:r>
    </w:p>
    <w:p w14:paraId="6410F6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032F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D7152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93154D" w14:textId="77777777" w:rsidR="00F80D60" w:rsidRPr="008127F8" w:rsidRDefault="00F80D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марта 1942 Королевские ВВС впервые направляют Supermarine Spitfires на защиту Мальты, доставив 15 из них на остров на авианосцах HMS Argus и HMS Eagle (20793). </w:t>
      </w:r>
    </w:p>
    <w:p w14:paraId="6BA51DFC" w14:textId="77777777" w:rsidR="00F80D60" w:rsidRPr="008127F8" w:rsidRDefault="00F80D60" w:rsidP="001E0A84">
      <w:pPr>
        <w:spacing w:after="0" w:line="240" w:lineRule="auto"/>
        <w:jc w:val="both"/>
        <w:rPr>
          <w:rFonts w:ascii="Times New Roman" w:hAnsi="Times New Roman"/>
          <w:color w:val="000000" w:themeColor="text1"/>
          <w:sz w:val="16"/>
          <w:szCs w:val="16"/>
        </w:rPr>
      </w:pPr>
    </w:p>
    <w:p w14:paraId="5F63C3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японцы высадились в Новой Гвинее (2100).</w:t>
      </w:r>
    </w:p>
    <w:p w14:paraId="114E4A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179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1942 англичане эвакуировались из Бирмы (2245,3).</w:t>
      </w:r>
    </w:p>
    <w:p w14:paraId="19209C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B97F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4A0D1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479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в Узбекистане разбился Л-760, управляемый И.И.Говязом (438,837).</w:t>
      </w:r>
    </w:p>
    <w:p w14:paraId="030304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405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 приказом № 177с в соответствии с пост. ГКО № 4367с от 2.03.1942 г. Институт авиационного приборостроения (НИИ-12) был возвращен из Ульяновска на старую площадку с оборудованием и личным составом (11982).</w:t>
      </w:r>
    </w:p>
    <w:p w14:paraId="51DD0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362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 по приказу № М3-70с/180с и по распоряжению СНК № 3814-рс от 6.03.1942 г. площадка эвакуированного завода № 305 со всеми сооружениями передана в НКЭП (11982).</w:t>
      </w:r>
    </w:p>
    <w:p w14:paraId="21FB0A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2D9E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1FDC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4CEC8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года СНК своим постановлением дал НКТП преимущественные права на получение оборудования и материалов с эвакобаз Челябинского, Свердловского, Чкаловского и Сталинградского облисполкомов (РГАЭ. Ф. 8752. Оп. 1. Д. 617. Л. 46).</w:t>
      </w:r>
    </w:p>
    <w:p w14:paraId="151BEB11"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Бездокументные грузы иногда удавалось получить непосредственно с железной дороги, о чём свидетельствует переписка НКТП с СНК. Зачастую для получения этих грузов было достаточно только одной санкции В. А. Малышева, благодаря его посту заместителя председателя СНК. Например, 11 января 1942 года он в качестве заместителя председателя СНК разрешил передать в распоряжение Уральского завода тяжелого машиностроения 58 станков, вывезенных ранее с разных ленинградских заводов и находящихся в тот момент на территории завода (РГАЭ. Ф. 8752. Оп. 1. Д. 24. Л. 11). Встаёт вопрос - а как они оказались на территории завода до того, как были переданы в его распоряжение?</w:t>
      </w:r>
    </w:p>
    <w:p w14:paraId="6B1598BB"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Инициативные руководители советских предприятий активно занимались поиском возможности получить бездокументные грузы. Особенно настойчиво в этом направлении действовал заместитель наркома И. М. Зальцман. Вот как он, по собственным воспоминаниям, поступил сразу же после того, как был назначен новым директором завода № 183: «Я выехал в Свердловск, посмотрел, какие из эвакуированных заводов стоят на железнодорожных путях. По моему указанию эшелоны с пригодным для производства танков оборудованием, инженерными и рабочими кадрами в несколько дней были доставлены в Нижний Тагил» (Зальцман И. М. Срочное задание// Т-34. Путь к победе: воспоминания танкостроителей и танкистов/Сост. К. М. Слободкин, В. Д. Листровой. С. 109). Заметим, что в этом отрывке речь идёт уже не о бездокументном оборудовании, но об оборудовании, относящемся к конкретным заводам, при этом передача осуществляется на основе самовольных указаний И. М. Зальцмана, принимавшего решения уже вообще без всяких санкций от вышестоящих органов.</w:t>
      </w:r>
    </w:p>
    <w:p w14:paraId="3691288F"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бездокументным оборудованием связана история, интересная тем, что хорошо показывает обстановку хаоса, царившую в этот кризисный период. 31 декабря 1941 года судьба преподнесла руководству НКТП новогодний подарок. Работники Главснаба НКТП обнаружили в районе Саратова вмёрзшую в лёд баржу с вальцами от прокатного стана и металлорежущим оборудованием, установить количество и тип которого было невозможно, так как вся она была засыпана снегом (РГАЭ. Ф. 8752. Оп. 1. Д. 617. Л. 59). Оборудование не имело никаких сопроводительных документов, и по предположениям сотрудников НКТП происходило с судостроительного завода в Николаеве. Дальше вокруг баржи разгорелась борьба. Выявилось несколько претендентов на её содержимое. Заместитель Наркома танковой промышленности И. И. Носенко приказал разгрузить баржу и отправить груз на завод НКТП № 180 в том же Саратове. Однако распоряжение заместителя Наркома выполнено не было. 5 февраля судьбой баржи заинтересовался другой заместитель Наркома танковой промышленности А. М. Петросянц. Он решил передать оборудование с баржи заводу № 183. Петросянц, видимо, хорошо разбирался в том, какими способами надо управлять людьми, и поэтому сообщил в телеграмме, что в ближайшее время вышлет в Саратов 200 литров спирта, 500 пачек махорки и 200 пачек папирос для раздачи участникам разгрузки баржи. Однако то ли Петросянц не выполнил обещание, то ли вмешались ещё какие-то обстоятельства, но 5 марта проблема баржи встала вновь, когда её опять, уже во второй раз обнаружили в Саратове. На этот раз на её груз нашлось два претендента. Во-первых, бывший заместитель Наркома танковой промышленности И. И. Носенко, который занял свой прежний пост Наркома судостроительной промышленности, но не забыл о барже и теперь хотел передать её груз заводу № 238 НКСП. Другими претендентами на сокровища баржи стали главный инженер завода № 112 Д. В. Михалёв и глава Главснаба НКТП Розин (РГАЭ. Ф. 8752. Оп. 1. Д. 24. Л. 118).</w:t>
      </w:r>
    </w:p>
    <w:p w14:paraId="79CDBBB4"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64A6ECB6"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w:t>
      </w:r>
    </w:p>
    <w:p w14:paraId="72D3F9ED" w14:textId="341D3CB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9 – 10</w:t>
      </w:r>
      <w:r w:rsidR="008127F8">
        <w:rPr>
          <w:rFonts w:ascii="Times New Roman" w:hAnsi="Times New Roman"/>
          <w:color w:val="000000" w:themeColor="text1"/>
          <w:sz w:val="16"/>
          <w:szCs w:val="16"/>
        </w:rPr>
        <w:t xml:space="preserve">  </w:t>
      </w:r>
    </w:p>
    <w:p w14:paraId="4927E3F2" w14:textId="2475FF3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1A6095A8"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65A003D"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НАРКОМАТУ ТАНКОВОЙ ПРОМЫШЛЕННОСТИ</w:t>
      </w:r>
    </w:p>
    <w:p w14:paraId="45C7CC19"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253-Мс</w:t>
      </w:r>
    </w:p>
    <w:p w14:paraId="1CEDADCE"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"8" марта 1942 г.</w:t>
      </w:r>
    </w:p>
    <w:p w14:paraId="65317FB1" w14:textId="3F7F11BE"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Несмотря на неоднократные приказы и предупреждения директорам заводов: Кировского, СТЗ, № 183, № 174, № 112, № 37, № 38 и № 264 об особой оборонной важности выполнения плана по запчастям для танков, все заводы выполняют план по запчастям крайне плохо и этим наносят большой ущерб делу боеспособности армии.</w:t>
      </w:r>
      <w:r w:rsidR="008127F8">
        <w:rPr>
          <w:rFonts w:ascii="Times New Roman" w:hAnsi="Times New Roman"/>
          <w:color w:val="000000" w:themeColor="text1"/>
          <w:sz w:val="16"/>
          <w:szCs w:val="16"/>
        </w:rPr>
        <w:t xml:space="preserve">  </w:t>
      </w:r>
    </w:p>
    <w:p w14:paraId="36FC8A8F" w14:textId="75F00478"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план по запчастям за январь и февраль выполнен: по Кировскому заводу – на 56%, по заводу № 183: по танку Т-34 на 44%, по танку БТ – план сорван полностью, по СТЗ – на 84%, по заводу № 174 по танку Т-26 – на 5,7%, по заводу №112 – на 34%, по заводу № 38 – на 5%, по заводу № 264 – на 43%, по заводу № 37 – на 33%.</w:t>
      </w:r>
      <w:r w:rsidR="008127F8">
        <w:rPr>
          <w:rFonts w:ascii="Times New Roman" w:hAnsi="Times New Roman"/>
          <w:color w:val="000000" w:themeColor="text1"/>
          <w:sz w:val="16"/>
          <w:szCs w:val="16"/>
        </w:rPr>
        <w:t xml:space="preserve">  </w:t>
      </w:r>
    </w:p>
    <w:p w14:paraId="115C60F3" w14:textId="56D679B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 (директор т. Кочетков, главный инженер т. Дефонтейнис) – план выполнил на 200%.</w:t>
      </w:r>
      <w:r w:rsidR="008127F8">
        <w:rPr>
          <w:rFonts w:ascii="Times New Roman" w:hAnsi="Times New Roman"/>
          <w:color w:val="000000" w:themeColor="text1"/>
          <w:sz w:val="16"/>
          <w:szCs w:val="16"/>
        </w:rPr>
        <w:t xml:space="preserve">  </w:t>
      </w:r>
    </w:p>
    <w:p w14:paraId="20000B51" w14:textId="2BEA500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недопустимое положение с выполнением плана по запчастям явилось результатом пренебрежения директоров заводов к выполнению важнейшего задания Партии и Правительства.</w:t>
      </w:r>
      <w:r w:rsidR="008127F8">
        <w:rPr>
          <w:rFonts w:ascii="Times New Roman" w:hAnsi="Times New Roman"/>
          <w:color w:val="000000" w:themeColor="text1"/>
          <w:sz w:val="16"/>
          <w:szCs w:val="16"/>
        </w:rPr>
        <w:t xml:space="preserve">  </w:t>
      </w:r>
    </w:p>
    <w:p w14:paraId="3CBEEF61" w14:textId="14273C2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Директора заводов: т.т. Зальцман, Задорожный, Махонин, Михалев, Фрезеров, Рубинчик, Кордунер и Кацнельсон должны, наконец, понять, что без регулярного снабжения действующей армии запасными частями не может быть обеспечена боеспособность танковых частей,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срывая план поставки запчастей, директора заводов серьезно обесценивают всю нашу работу по выпуску новых танков.</w:t>
      </w:r>
      <w:r w:rsidR="008127F8">
        <w:rPr>
          <w:rFonts w:ascii="Times New Roman" w:hAnsi="Times New Roman"/>
          <w:color w:val="000000" w:themeColor="text1"/>
          <w:sz w:val="16"/>
          <w:szCs w:val="16"/>
        </w:rPr>
        <w:t xml:space="preserve">  </w:t>
      </w:r>
    </w:p>
    <w:p w14:paraId="03F2249F" w14:textId="5389813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r w:rsidR="008127F8">
        <w:rPr>
          <w:rFonts w:ascii="Times New Roman" w:hAnsi="Times New Roman"/>
          <w:color w:val="000000" w:themeColor="text1"/>
          <w:sz w:val="16"/>
          <w:szCs w:val="16"/>
        </w:rPr>
        <w:t xml:space="preserve">  </w:t>
      </w:r>
    </w:p>
    <w:p w14:paraId="7B73AD11" w14:textId="47A1A188"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всех танковых заводов при всех условиях выполнить в марте установленный на 1 квартал план по танковым запчастям, обеспечив до 20 марта выполнение плана января и февраля и к 1 апреля выполнить полностью план марта строго по утвержденной номенклатуре.</w:t>
      </w:r>
      <w:r w:rsidR="008127F8">
        <w:rPr>
          <w:rFonts w:ascii="Times New Roman" w:hAnsi="Times New Roman"/>
          <w:color w:val="000000" w:themeColor="text1"/>
          <w:sz w:val="16"/>
          <w:szCs w:val="16"/>
        </w:rPr>
        <w:t xml:space="preserve">  </w:t>
      </w:r>
    </w:p>
    <w:p w14:paraId="1FC3660E" w14:textId="1472E8C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 10 марта ввести:</w:t>
      </w:r>
      <w:r w:rsidR="008127F8">
        <w:rPr>
          <w:rFonts w:ascii="Times New Roman" w:hAnsi="Times New Roman"/>
          <w:color w:val="000000" w:themeColor="text1"/>
          <w:sz w:val="16"/>
          <w:szCs w:val="16"/>
        </w:rPr>
        <w:t xml:space="preserve">  </w:t>
      </w:r>
    </w:p>
    <w:p w14:paraId="262EEAC0" w14:textId="54FA968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ежесуточную отчетность по ВЧ по сдаче в запасные части следующих основных узлов и агрегатов: 1) двигателей (В-2 и М-17), 2) коробок перемены передач, 3) главных фрикционов, 4) бортовых фрикционов, 5) тормозных лент, 6) поддерживающих катков, 7) нижних опорных катков, 8) ведущих колес, 9) ленивцев, 10) прокладок головок блока;</w:t>
      </w:r>
      <w:r w:rsidR="008127F8">
        <w:rPr>
          <w:rFonts w:ascii="Times New Roman" w:hAnsi="Times New Roman"/>
          <w:color w:val="000000" w:themeColor="text1"/>
          <w:sz w:val="16"/>
          <w:szCs w:val="16"/>
        </w:rPr>
        <w:t xml:space="preserve">  </w:t>
      </w:r>
    </w:p>
    <w:p w14:paraId="70F07C0C" w14:textId="011C0BA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отчетность за каждые пять дней в ценностном выражении по сдаче запчастей к танкам.</w:t>
      </w:r>
      <w:r w:rsidR="008127F8">
        <w:rPr>
          <w:rFonts w:ascii="Times New Roman" w:hAnsi="Times New Roman"/>
          <w:color w:val="000000" w:themeColor="text1"/>
          <w:sz w:val="16"/>
          <w:szCs w:val="16"/>
        </w:rPr>
        <w:t xml:space="preserve">  </w:t>
      </w:r>
    </w:p>
    <w:p w14:paraId="54D3D052" w14:textId="30346E0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выполнение в срок установленной отчетности отвечают лично директора и главные инженеры заводов.</w:t>
      </w:r>
      <w:r w:rsidR="008127F8">
        <w:rPr>
          <w:rFonts w:ascii="Times New Roman" w:hAnsi="Times New Roman"/>
          <w:color w:val="000000" w:themeColor="text1"/>
          <w:sz w:val="16"/>
          <w:szCs w:val="16"/>
        </w:rPr>
        <w:t xml:space="preserve">  </w:t>
      </w:r>
    </w:p>
    <w:p w14:paraId="5CEBAC49"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Предупреждаю,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если в течение третьей пятидневки марта не будет сделано надлежащего перелома по сдаче запчастей, принужден буду на виновных наложить строгие взыскания, вплоть до отстранения от работы.</w:t>
      </w:r>
    </w:p>
    <w:p w14:paraId="583D45D5"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 ТАНКОВОЙ ПРОМЫШЛЕННОСТИ</w:t>
      </w:r>
    </w:p>
    <w:p w14:paraId="41ACEA00"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2199D1E0"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(18609).</w:t>
      </w:r>
    </w:p>
    <w:p w14:paraId="251549FB" w14:textId="77777777" w:rsidR="00C8054D" w:rsidRPr="008127F8" w:rsidRDefault="00C8054D" w:rsidP="001E0A84">
      <w:pPr>
        <w:spacing w:after="0" w:line="240" w:lineRule="auto"/>
        <w:jc w:val="both"/>
        <w:rPr>
          <w:rFonts w:ascii="Times New Roman" w:hAnsi="Times New Roman"/>
          <w:color w:val="000000" w:themeColor="text1"/>
          <w:sz w:val="16"/>
          <w:szCs w:val="16"/>
        </w:rPr>
      </w:pPr>
    </w:p>
    <w:p w14:paraId="3CC3E0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возраставшая потребность фронта в мотоциклах побудила ру</w:t>
      </w:r>
      <w:r w:rsidRPr="008127F8">
        <w:rPr>
          <w:rFonts w:ascii="Times New Roman" w:hAnsi="Times New Roman"/>
          <w:color w:val="000000" w:themeColor="text1"/>
          <w:sz w:val="16"/>
          <w:szCs w:val="16"/>
        </w:rPr>
        <w:softHyphen/>
        <w:t>ководство НКСМ приказом № М-172с на ГМЗ планировать в 1942 г. значительный выпуск мотоциклов М-72 от развёрнутых в эвакуации мотозаводов: ГМЗ и ИМЗ - по 5 тыс., ТМЗ - 1000 [5.23]. Однако реальное состояние мотопромышлен</w:t>
      </w:r>
      <w:r w:rsidRPr="008127F8">
        <w:rPr>
          <w:rFonts w:ascii="Times New Roman" w:hAnsi="Times New Roman"/>
          <w:color w:val="000000" w:themeColor="text1"/>
          <w:sz w:val="16"/>
          <w:szCs w:val="16"/>
        </w:rPr>
        <w:softHyphen/>
        <w:t>ности не позволяло выполнить это задание, поэтому указанную цифру скорректировали приказом № 19сс Главмотовелопрома от 31 июля 1942 г., и утвердили план для ГМЗ на 1942 г. по выпуску 2 тыс. мотоциклов М-72 [5.24]. В первом квартале предстояло из</w:t>
      </w:r>
      <w:r w:rsidRPr="008127F8">
        <w:rPr>
          <w:rFonts w:ascii="Times New Roman" w:hAnsi="Times New Roman"/>
          <w:color w:val="000000" w:themeColor="text1"/>
          <w:sz w:val="16"/>
          <w:szCs w:val="16"/>
        </w:rPr>
        <w:softHyphen/>
        <w:t>готовить 700 мотоциклов: в январе 400 и в марте 300. Но даже та</w:t>
      </w:r>
      <w:r w:rsidRPr="008127F8">
        <w:rPr>
          <w:rFonts w:ascii="Times New Roman" w:hAnsi="Times New Roman"/>
          <w:color w:val="000000" w:themeColor="text1"/>
          <w:sz w:val="16"/>
          <w:szCs w:val="16"/>
        </w:rPr>
        <w:softHyphen/>
        <w:t>кой урезанный план выполнить не удалось. В январе не сделали ни одного М-72, в феврале - только 17, а в марте - 130, всего же за 1-й квартал - 147 мотоциклов, всего же за 1942 г. - 1284 [5.25]. Причин невыполнения плана было множество: неподготовлен</w:t>
      </w:r>
      <w:r w:rsidRPr="008127F8">
        <w:rPr>
          <w:rFonts w:ascii="Times New Roman" w:hAnsi="Times New Roman"/>
          <w:color w:val="000000" w:themeColor="text1"/>
          <w:sz w:val="16"/>
          <w:szCs w:val="16"/>
        </w:rPr>
        <w:softHyphen/>
        <w:t>ность производства, дефицит инструментов, материалов, компле</w:t>
      </w:r>
      <w:r w:rsidRPr="008127F8">
        <w:rPr>
          <w:rFonts w:ascii="Times New Roman" w:hAnsi="Times New Roman"/>
          <w:color w:val="000000" w:themeColor="text1"/>
          <w:sz w:val="16"/>
          <w:szCs w:val="16"/>
        </w:rPr>
        <w:softHyphen/>
        <w:t>ктующих изделий, квалифицированных кадров, их бытовая неуст</w:t>
      </w:r>
      <w:r w:rsidRPr="008127F8">
        <w:rPr>
          <w:rFonts w:ascii="Times New Roman" w:hAnsi="Times New Roman"/>
          <w:color w:val="000000" w:themeColor="text1"/>
          <w:sz w:val="16"/>
          <w:szCs w:val="16"/>
        </w:rPr>
        <w:softHyphen/>
        <w:t>роенность и пр. Руководители ГМЗ, Главмотовелопрома и НКСМ прикладывали огромные усилия для преодоления производственных трудностей. В начале 1942 предполагалось, что ГМЗ потребунтся 1200 двигателей М-72. На ГМЗ планировалось изготовить 900 и получить со стороны 200 - сделанных на ИМЗ и 700 трофейных, снятых с мотоциала БМЫ, отремонтированных на ММЗ (5.26) (11429).</w:t>
      </w:r>
    </w:p>
    <w:p w14:paraId="417DD3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4662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 Приказом № М-172с НКСМ поручалось ИМЗ ввести в строй к 1 мая 1942 г., директору ЗИС И.А. Лихаче</w:t>
      </w:r>
      <w:r w:rsidRPr="008127F8">
        <w:rPr>
          <w:rFonts w:ascii="Times New Roman" w:hAnsi="Times New Roman"/>
          <w:color w:val="000000" w:themeColor="text1"/>
          <w:sz w:val="16"/>
          <w:szCs w:val="16"/>
        </w:rPr>
        <w:softHyphen/>
        <w:t>ву отправить на ИМЗ 19 специальных станков и инструмент для изготовления двигателей к мотоциклу М-72, а также всю «неза</w:t>
      </w:r>
      <w:r w:rsidRPr="008127F8">
        <w:rPr>
          <w:rFonts w:ascii="Times New Roman" w:hAnsi="Times New Roman"/>
          <w:color w:val="000000" w:themeColor="text1"/>
          <w:sz w:val="16"/>
          <w:szCs w:val="16"/>
        </w:rPr>
        <w:softHyphen/>
        <w:t>вершенку» и персонал, участвовавший в изготовлении этой про</w:t>
      </w:r>
      <w:r w:rsidRPr="008127F8">
        <w:rPr>
          <w:rFonts w:ascii="Times New Roman" w:hAnsi="Times New Roman"/>
          <w:color w:val="000000" w:themeColor="text1"/>
          <w:sz w:val="16"/>
          <w:szCs w:val="16"/>
        </w:rPr>
        <w:softHyphen/>
        <w:t>дукции; руководителю НКВ Д.Ф. Устинову - до 18 марта 1942 г. отправить на ИМЗ с завода № 524 (бывшего ИжМЗ) доставлен</w:t>
      </w:r>
      <w:r w:rsidRPr="008127F8">
        <w:rPr>
          <w:rFonts w:ascii="Times New Roman" w:hAnsi="Times New Roman"/>
          <w:color w:val="000000" w:themeColor="text1"/>
          <w:sz w:val="16"/>
          <w:szCs w:val="16"/>
        </w:rPr>
        <w:softHyphen/>
        <w:t>ное с КМЗ в Ижевск спецоборудование и «незавершенку», отно</w:t>
      </w:r>
      <w:r w:rsidRPr="008127F8">
        <w:rPr>
          <w:rFonts w:ascii="Times New Roman" w:hAnsi="Times New Roman"/>
          <w:color w:val="000000" w:themeColor="text1"/>
          <w:sz w:val="16"/>
          <w:szCs w:val="16"/>
        </w:rPr>
        <w:softHyphen/>
        <w:t>сившиеся к выпуску мотоциклов; директору Челябинского метал</w:t>
      </w:r>
      <w:r w:rsidRPr="008127F8">
        <w:rPr>
          <w:rFonts w:ascii="Times New Roman" w:hAnsi="Times New Roman"/>
          <w:color w:val="000000" w:themeColor="text1"/>
          <w:sz w:val="16"/>
          <w:szCs w:val="16"/>
        </w:rPr>
        <w:softHyphen/>
        <w:t>лургического завода - поставлять на ИМЗ поковки и холодную штамповку [5.23]. Руководство Главмотовелопрома обязало ди</w:t>
      </w:r>
      <w:r w:rsidRPr="008127F8">
        <w:rPr>
          <w:rFonts w:ascii="Times New Roman" w:hAnsi="Times New Roman"/>
          <w:color w:val="000000" w:themeColor="text1"/>
          <w:sz w:val="16"/>
          <w:szCs w:val="16"/>
        </w:rPr>
        <w:softHyphen/>
        <w:t>ректора ИМЗ В.Н. Полевского приказом № 53с от 24 марта 1942 г. начать выпуск мотоциклов М-72, КП и моторов к ним до 15 апреля 1942 г. [5.33]. На ИМЗ принимали в основном старшеклассников, домохозя</w:t>
      </w:r>
      <w:r w:rsidRPr="008127F8">
        <w:rPr>
          <w:rFonts w:ascii="Times New Roman" w:hAnsi="Times New Roman"/>
          <w:color w:val="000000" w:themeColor="text1"/>
          <w:sz w:val="16"/>
          <w:szCs w:val="16"/>
        </w:rPr>
        <w:softHyphen/>
        <w:t>ек и стариков, освобожденных от призыва в Красную Армию, благодаря которым количество работавших на ИМЗ не отлича</w:t>
      </w:r>
      <w:r w:rsidRPr="008127F8">
        <w:rPr>
          <w:rFonts w:ascii="Times New Roman" w:hAnsi="Times New Roman"/>
          <w:color w:val="000000" w:themeColor="text1"/>
          <w:sz w:val="16"/>
          <w:szCs w:val="16"/>
        </w:rPr>
        <w:softHyphen/>
        <w:t>лось от плана так разительно, как на ГМЗ (табл. 16), а по ряду специальностей существенно превышало. Благополучно разре</w:t>
      </w:r>
      <w:r w:rsidRPr="008127F8">
        <w:rPr>
          <w:rFonts w:ascii="Times New Roman" w:hAnsi="Times New Roman"/>
          <w:color w:val="000000" w:themeColor="text1"/>
          <w:sz w:val="16"/>
          <w:szCs w:val="16"/>
        </w:rPr>
        <w:softHyphen/>
        <w:t>шалась кадровая политика учениками по мере освоения ими про</w:t>
      </w:r>
      <w:r w:rsidRPr="008127F8">
        <w:rPr>
          <w:rFonts w:ascii="Times New Roman" w:hAnsi="Times New Roman"/>
          <w:color w:val="000000" w:themeColor="text1"/>
          <w:sz w:val="16"/>
          <w:szCs w:val="16"/>
        </w:rPr>
        <w:softHyphen/>
        <w:t>изводственных профессий (табл. 17) [5.35]. Приказом № 172с от 8 марта 1942 г. коллективу ИМЗ постави</w:t>
      </w:r>
      <w:r w:rsidRPr="008127F8">
        <w:rPr>
          <w:rFonts w:ascii="Times New Roman" w:hAnsi="Times New Roman"/>
          <w:color w:val="000000" w:themeColor="text1"/>
          <w:sz w:val="16"/>
          <w:szCs w:val="16"/>
        </w:rPr>
        <w:softHyphen/>
        <w:t>ли следующую задачу: во втором квартале 1942 г. изготовить -600 экземпляров М-72, а всего в 1942 г. - 5 тыс. и повысить мощ ность завода до 15 тыс. мотоциклов к апрелю 1943 года [5.23]. Осу</w:t>
      </w:r>
      <w:r w:rsidRPr="008127F8">
        <w:rPr>
          <w:rFonts w:ascii="Times New Roman" w:hAnsi="Times New Roman"/>
          <w:color w:val="000000" w:themeColor="text1"/>
          <w:sz w:val="16"/>
          <w:szCs w:val="16"/>
        </w:rPr>
        <w:softHyphen/>
        <w:t>ществить это в тот период представлялось невозможным, ведь ИМЗ находился в стороне от промышленно развитых центров, и на заводе приходилось налаживать выпуск многих комплектующих из</w:t>
      </w:r>
      <w:r w:rsidRPr="008127F8">
        <w:rPr>
          <w:rFonts w:ascii="Times New Roman" w:hAnsi="Times New Roman"/>
          <w:color w:val="000000" w:themeColor="text1"/>
          <w:sz w:val="16"/>
          <w:szCs w:val="16"/>
        </w:rPr>
        <w:softHyphen/>
        <w:t>делий при дефиците кадров, ресурсов и финансов. И всё же в 1942 г. удалось сделать 1587 мотоциклов М-72 [5.36], что превысило вы</w:t>
      </w:r>
      <w:r w:rsidRPr="008127F8">
        <w:rPr>
          <w:rFonts w:ascii="Times New Roman" w:hAnsi="Times New Roman"/>
          <w:color w:val="000000" w:themeColor="text1"/>
          <w:sz w:val="16"/>
          <w:szCs w:val="16"/>
        </w:rPr>
        <w:softHyphen/>
        <w:t>пуск мотоциклов на ГМЗ за тот же год (1284), потому что на ИМЗ была выше численность персонала, завод бесперебойно снабжали электроэнергией от собственных источников, руководство обеспе</w:t>
      </w:r>
      <w:r w:rsidRPr="008127F8">
        <w:rPr>
          <w:rFonts w:ascii="Times New Roman" w:hAnsi="Times New Roman"/>
          <w:color w:val="000000" w:themeColor="text1"/>
          <w:sz w:val="16"/>
          <w:szCs w:val="16"/>
        </w:rPr>
        <w:softHyphen/>
        <w:t>чивало развитие производства. Так, в июне 1942 г. на ИМЗ постро</w:t>
      </w:r>
      <w:r w:rsidRPr="008127F8">
        <w:rPr>
          <w:rFonts w:ascii="Times New Roman" w:hAnsi="Times New Roman"/>
          <w:color w:val="000000" w:themeColor="text1"/>
          <w:sz w:val="16"/>
          <w:szCs w:val="16"/>
        </w:rPr>
        <w:softHyphen/>
        <w:t>или и ввели в строй цеха по сборке моторов и КП [5.30].</w:t>
      </w:r>
    </w:p>
    <w:p w14:paraId="5C3F9C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17</w:t>
      </w:r>
    </w:p>
    <w:p w14:paraId="0F635BB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работающих на ИМЗ,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701"/>
        <w:gridCol w:w="1559"/>
      </w:tblGrid>
      <w:tr w:rsidR="006F4095" w:rsidRPr="008127F8" w14:paraId="4B397303" w14:textId="77777777">
        <w:tc>
          <w:tcPr>
            <w:tcW w:w="2802" w:type="dxa"/>
            <w:tcBorders>
              <w:top w:val="single" w:sz="12" w:space="0" w:color="auto"/>
            </w:tcBorders>
          </w:tcPr>
          <w:p w14:paraId="71C1B8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кадры</w:t>
            </w:r>
          </w:p>
        </w:tc>
        <w:tc>
          <w:tcPr>
            <w:tcW w:w="1701" w:type="dxa"/>
            <w:tcBorders>
              <w:top w:val="single" w:sz="12" w:space="0" w:color="auto"/>
            </w:tcBorders>
          </w:tcPr>
          <w:p w14:paraId="2FC70B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w:t>
            </w:r>
          </w:p>
        </w:tc>
        <w:tc>
          <w:tcPr>
            <w:tcW w:w="1701" w:type="dxa"/>
            <w:tcBorders>
              <w:top w:val="single" w:sz="12" w:space="0" w:color="auto"/>
            </w:tcBorders>
          </w:tcPr>
          <w:p w14:paraId="021219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0B6C0C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94442C" w14:textId="77777777">
        <w:tc>
          <w:tcPr>
            <w:tcW w:w="2802" w:type="dxa"/>
          </w:tcPr>
          <w:p w14:paraId="75FE15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8884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плановая</w:t>
            </w:r>
          </w:p>
        </w:tc>
        <w:tc>
          <w:tcPr>
            <w:tcW w:w="1701" w:type="dxa"/>
          </w:tcPr>
          <w:p w14:paraId="23514D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реальная</w:t>
            </w:r>
          </w:p>
        </w:tc>
        <w:tc>
          <w:tcPr>
            <w:tcW w:w="1559" w:type="dxa"/>
          </w:tcPr>
          <w:p w14:paraId="0117A1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2044B70" w14:textId="77777777">
        <w:tc>
          <w:tcPr>
            <w:tcW w:w="2802" w:type="dxa"/>
          </w:tcPr>
          <w:p w14:paraId="0D07F1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Рабочие</w:t>
            </w:r>
          </w:p>
        </w:tc>
        <w:tc>
          <w:tcPr>
            <w:tcW w:w="1701" w:type="dxa"/>
          </w:tcPr>
          <w:p w14:paraId="04D226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c>
          <w:tcPr>
            <w:tcW w:w="1701" w:type="dxa"/>
          </w:tcPr>
          <w:p w14:paraId="0D23B1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837</w:t>
            </w:r>
          </w:p>
        </w:tc>
        <w:tc>
          <w:tcPr>
            <w:tcW w:w="1559" w:type="dxa"/>
          </w:tcPr>
          <w:p w14:paraId="2D6475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64,4</w:t>
            </w:r>
          </w:p>
        </w:tc>
      </w:tr>
      <w:tr w:rsidR="006F4095" w:rsidRPr="008127F8" w14:paraId="3085E497" w14:textId="77777777">
        <w:tc>
          <w:tcPr>
            <w:tcW w:w="2802" w:type="dxa"/>
          </w:tcPr>
          <w:p w14:paraId="79CEC8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рабочие</w:t>
            </w:r>
          </w:p>
          <w:p w14:paraId="0CE6154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CBFC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w:t>
            </w:r>
          </w:p>
        </w:tc>
        <w:tc>
          <w:tcPr>
            <w:tcW w:w="1701" w:type="dxa"/>
          </w:tcPr>
          <w:p w14:paraId="39AAFF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559" w:type="dxa"/>
          </w:tcPr>
          <w:p w14:paraId="700D382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77,5</w:t>
            </w:r>
          </w:p>
          <w:p w14:paraId="462FBD8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35B1DC" w14:textId="77777777">
        <w:tc>
          <w:tcPr>
            <w:tcW w:w="2802" w:type="dxa"/>
          </w:tcPr>
          <w:p w14:paraId="1B9F4F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Ученики рабочих</w:t>
            </w:r>
          </w:p>
          <w:p w14:paraId="49C5F2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9F0F4F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3BF3881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8B9CA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w:t>
            </w:r>
          </w:p>
        </w:tc>
        <w:tc>
          <w:tcPr>
            <w:tcW w:w="1559" w:type="dxa"/>
          </w:tcPr>
          <w:p w14:paraId="5A9C736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182,0</w:t>
            </w:r>
          </w:p>
          <w:p w14:paraId="3F0399F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2EE2D17" w14:textId="77777777">
        <w:tc>
          <w:tcPr>
            <w:tcW w:w="2802" w:type="dxa"/>
          </w:tcPr>
          <w:p w14:paraId="0EF4E95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w:t>
            </w:r>
          </w:p>
          <w:p w14:paraId="64A86C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C5FBE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p w14:paraId="702CCC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1BB0A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c>
          <w:tcPr>
            <w:tcW w:w="1559" w:type="dxa"/>
          </w:tcPr>
          <w:p w14:paraId="7F9A4B6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102,0</w:t>
            </w:r>
          </w:p>
          <w:p w14:paraId="5D4B0A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376E7B" w14:textId="77777777">
        <w:tc>
          <w:tcPr>
            <w:tcW w:w="2802" w:type="dxa"/>
          </w:tcPr>
          <w:p w14:paraId="264497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Служащие</w:t>
            </w:r>
          </w:p>
          <w:p w14:paraId="307FB7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EC220B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p w14:paraId="686D714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99FB3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1559" w:type="dxa"/>
          </w:tcPr>
          <w:p w14:paraId="0EB4D4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83,5</w:t>
            </w:r>
          </w:p>
        </w:tc>
      </w:tr>
      <w:tr w:rsidR="006F4095" w:rsidRPr="008127F8" w14:paraId="32B984E1" w14:textId="77777777">
        <w:tc>
          <w:tcPr>
            <w:tcW w:w="2802" w:type="dxa"/>
          </w:tcPr>
          <w:p w14:paraId="4B963F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Малооплачиваемый персонал</w:t>
            </w:r>
          </w:p>
          <w:p w14:paraId="5E062B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DAEB4F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p w14:paraId="226246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2DAD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559" w:type="dxa"/>
          </w:tcPr>
          <w:p w14:paraId="0670DC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92,0</w:t>
            </w:r>
          </w:p>
        </w:tc>
      </w:tr>
      <w:tr w:rsidR="006F4095" w:rsidRPr="008127F8" w14:paraId="0757D312" w14:textId="77777777">
        <w:tc>
          <w:tcPr>
            <w:tcW w:w="2802" w:type="dxa"/>
          </w:tcPr>
          <w:p w14:paraId="122B69A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Пожарные</w:t>
            </w:r>
          </w:p>
          <w:p w14:paraId="268020A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C7268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1701" w:type="dxa"/>
          </w:tcPr>
          <w:p w14:paraId="6C2D9B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1559" w:type="dxa"/>
          </w:tcPr>
          <w:p w14:paraId="2CC11B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w:t>
            </w:r>
          </w:p>
        </w:tc>
      </w:tr>
      <w:tr w:rsidR="006F4095" w:rsidRPr="008127F8" w14:paraId="2F246723" w14:textId="77777777">
        <w:tc>
          <w:tcPr>
            <w:tcW w:w="2802" w:type="dxa"/>
            <w:tcBorders>
              <w:bottom w:val="single" w:sz="12" w:space="0" w:color="auto"/>
            </w:tcBorders>
          </w:tcPr>
          <w:p w14:paraId="4F4919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701" w:type="dxa"/>
            <w:tcBorders>
              <w:bottom w:val="single" w:sz="12" w:space="0" w:color="auto"/>
            </w:tcBorders>
          </w:tcPr>
          <w:p w14:paraId="4270AE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2460</w:t>
            </w:r>
          </w:p>
        </w:tc>
        <w:tc>
          <w:tcPr>
            <w:tcW w:w="1701" w:type="dxa"/>
            <w:tcBorders>
              <w:bottom w:val="single" w:sz="12" w:space="0" w:color="auto"/>
            </w:tcBorders>
          </w:tcPr>
          <w:p w14:paraId="77D074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1861</w:t>
            </w:r>
          </w:p>
        </w:tc>
        <w:tc>
          <w:tcPr>
            <w:tcW w:w="1559" w:type="dxa"/>
            <w:tcBorders>
              <w:bottom w:val="single" w:sz="12" w:space="0" w:color="auto"/>
            </w:tcBorders>
          </w:tcPr>
          <w:p w14:paraId="130B2F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75,7</w:t>
            </w:r>
          </w:p>
        </w:tc>
      </w:tr>
    </w:tbl>
    <w:p w14:paraId="229582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(11429).</w:t>
      </w:r>
    </w:p>
    <w:p w14:paraId="5CBF51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74CC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 в соответствии с приказом № М-172с НКСМ от ТМЗ потребова</w:t>
      </w:r>
      <w:r w:rsidRPr="008127F8">
        <w:rPr>
          <w:rFonts w:ascii="Times New Roman" w:hAnsi="Times New Roman"/>
          <w:color w:val="000000" w:themeColor="text1"/>
          <w:sz w:val="16"/>
          <w:szCs w:val="16"/>
        </w:rPr>
        <w:softHyphen/>
        <w:t>ли в 1942 г. освоить изготовление запчастей к ТИЗ-АМ-600 и вы</w:t>
      </w:r>
      <w:r w:rsidRPr="008127F8">
        <w:rPr>
          <w:rFonts w:ascii="Times New Roman" w:hAnsi="Times New Roman"/>
          <w:color w:val="000000" w:themeColor="text1"/>
          <w:sz w:val="16"/>
          <w:szCs w:val="16"/>
        </w:rPr>
        <w:softHyphen/>
        <w:t>пустить 1 тыс. экземпляров М-72, а также довести мощность заво</w:t>
      </w:r>
      <w:r w:rsidRPr="008127F8">
        <w:rPr>
          <w:rFonts w:ascii="Times New Roman" w:hAnsi="Times New Roman"/>
          <w:color w:val="000000" w:themeColor="text1"/>
          <w:sz w:val="16"/>
          <w:szCs w:val="16"/>
        </w:rPr>
        <w:softHyphen/>
        <w:t>да до 6 тыс. мотоциклов к июлю 1943 года [5.23]. Руководство Главмотовелопрома форсировало работы по восстановлению эва</w:t>
      </w:r>
      <w:r w:rsidRPr="008127F8">
        <w:rPr>
          <w:rFonts w:ascii="Times New Roman" w:hAnsi="Times New Roman"/>
          <w:color w:val="000000" w:themeColor="text1"/>
          <w:sz w:val="16"/>
          <w:szCs w:val="16"/>
        </w:rPr>
        <w:softHyphen/>
        <w:t>куированного в Тюмень мотопроизводства. Приказом № 5 от 21 января 1942 г. директору ТМЗ И.Г. Мизрухину предписали лич</w:t>
      </w:r>
      <w:r w:rsidRPr="008127F8">
        <w:rPr>
          <w:rFonts w:ascii="Times New Roman" w:hAnsi="Times New Roman"/>
          <w:color w:val="000000" w:themeColor="text1"/>
          <w:sz w:val="16"/>
          <w:szCs w:val="16"/>
        </w:rPr>
        <w:softHyphen/>
        <w:t>но получить в Новосибирске дизель-генератор мощностью 600 кВт [5.37]. Позже на ТМЗ передали дублеры оснастки для М-72, эвакуированные с ЛМЗ и ХМЗ, с ГМЗ - техническую докумен</w:t>
      </w:r>
      <w:r w:rsidRPr="008127F8">
        <w:rPr>
          <w:rFonts w:ascii="Times New Roman" w:hAnsi="Times New Roman"/>
          <w:color w:val="000000" w:themeColor="text1"/>
          <w:sz w:val="16"/>
          <w:szCs w:val="16"/>
        </w:rPr>
        <w:softHyphen/>
        <w:t>тацию по М-72, с ИМЗ - спецификацию на М-72 и прочие матери</w:t>
      </w:r>
      <w:r w:rsidRPr="008127F8">
        <w:rPr>
          <w:rFonts w:ascii="Times New Roman" w:hAnsi="Times New Roman"/>
          <w:color w:val="000000" w:themeColor="text1"/>
          <w:sz w:val="16"/>
          <w:szCs w:val="16"/>
        </w:rPr>
        <w:softHyphen/>
        <w:t>алы [5.38].</w:t>
      </w:r>
    </w:p>
    <w:p w14:paraId="3D09AA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НКСМ № 172с от 18 марта 1942 г.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8127F8">
        <w:rPr>
          <w:rFonts w:ascii="Times New Roman" w:hAnsi="Times New Roman"/>
          <w:color w:val="000000" w:themeColor="text1"/>
          <w:sz w:val="16"/>
          <w:szCs w:val="16"/>
        </w:rPr>
        <w:softHyphen/>
        <w:t>венных возможностей показал, что на ТМЗ выпуск М-72 невоз</w:t>
      </w:r>
      <w:r w:rsidRPr="008127F8">
        <w:rPr>
          <w:rFonts w:ascii="Times New Roman" w:hAnsi="Times New Roman"/>
          <w:color w:val="000000" w:themeColor="text1"/>
          <w:sz w:val="16"/>
          <w:szCs w:val="16"/>
        </w:rPr>
        <w:softHyphen/>
        <w:t>можен, поэтому с ТМЗ на ГМЗ передали специальное оборудова</w:t>
      </w:r>
      <w:r w:rsidRPr="008127F8">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8127F8">
        <w:rPr>
          <w:rFonts w:ascii="Times New Roman" w:hAnsi="Times New Roman"/>
          <w:color w:val="000000" w:themeColor="text1"/>
          <w:sz w:val="16"/>
          <w:szCs w:val="16"/>
        </w:rPr>
        <w:softHyphen/>
        <w:t>брали в сентябре [5.41]. Однако до конца 1942 г. на ТМЗ поступа</w:t>
      </w:r>
      <w:r w:rsidRPr="008127F8">
        <w:rPr>
          <w:rFonts w:ascii="Times New Roman" w:hAnsi="Times New Roman"/>
          <w:color w:val="000000" w:themeColor="text1"/>
          <w:sz w:val="16"/>
          <w:szCs w:val="16"/>
        </w:rPr>
        <w:softHyphen/>
        <w:t>ли заготовки деталей к М-72 [5.39].</w:t>
      </w:r>
    </w:p>
    <w:p w14:paraId="36E7E7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на ТМЗ для М-72 кое-что сделали. По собствен</w:t>
      </w:r>
      <w:r w:rsidRPr="008127F8">
        <w:rPr>
          <w:rFonts w:ascii="Times New Roman" w:hAnsi="Times New Roman"/>
          <w:color w:val="000000" w:themeColor="text1"/>
          <w:sz w:val="16"/>
          <w:szCs w:val="16"/>
        </w:rPr>
        <w:softHyphen/>
        <w:t>ной инициативе специалисты ТМЗ спроектировали новое двух</w:t>
      </w:r>
      <w:r w:rsidRPr="008127F8">
        <w:rPr>
          <w:rFonts w:ascii="Times New Roman" w:hAnsi="Times New Roman"/>
          <w:color w:val="000000" w:themeColor="text1"/>
          <w:sz w:val="16"/>
          <w:szCs w:val="16"/>
        </w:rPr>
        <w:softHyphen/>
        <w:t>дисковое сухое сцепление. От директора завода Г.Р. Ударова, на</w:t>
      </w:r>
      <w:r w:rsidRPr="008127F8">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8127F8">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79B5A1A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Изготовление мотоциклов АМ-600 протекало трудно из-за утраты значительной части «незавершенки» и технологических приспособлений во время эвакуации </w:t>
      </w:r>
      <w:r w:rsidRPr="008127F8">
        <w:rPr>
          <w:rFonts w:ascii="Times New Roman" w:hAnsi="Times New Roman"/>
          <w:color w:val="000000" w:themeColor="text1"/>
          <w:sz w:val="16"/>
          <w:szCs w:val="16"/>
        </w:rPr>
        <w:lastRenderedPageBreak/>
        <w:t>мотопроизводства из Таган</w:t>
      </w:r>
      <w:r w:rsidRPr="008127F8">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48087F1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Великой Отечественной войны изготовленные мото</w:t>
      </w:r>
      <w:r w:rsidRPr="008127F8">
        <w:rPr>
          <w:rFonts w:ascii="Times New Roman" w:hAnsi="Times New Roman"/>
          <w:color w:val="000000" w:themeColor="text1"/>
          <w:sz w:val="16"/>
          <w:szCs w:val="16"/>
        </w:rPr>
        <w:softHyphen/>
        <w:t>циклы поступали на ММЗ, где к ним крепили мотоколяски, воо</w:t>
      </w:r>
      <w:r w:rsidRPr="008127F8">
        <w:rPr>
          <w:rFonts w:ascii="Times New Roman" w:hAnsi="Times New Roman"/>
          <w:color w:val="000000" w:themeColor="text1"/>
          <w:sz w:val="16"/>
          <w:szCs w:val="16"/>
        </w:rPr>
        <w:softHyphen/>
        <w:t>ружали и передавали представителям ГБТУ Красной Армии, ко</w:t>
      </w:r>
      <w:r w:rsidRPr="008127F8">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8127F8">
        <w:rPr>
          <w:rFonts w:ascii="Times New Roman" w:hAnsi="Times New Roman"/>
          <w:color w:val="000000" w:themeColor="text1"/>
          <w:sz w:val="16"/>
          <w:szCs w:val="16"/>
        </w:rPr>
        <w:softHyphen/>
        <w:t>товленной на заводах, не совпадали. Сведения ГБТУ, отража</w:t>
      </w:r>
      <w:r w:rsidRPr="008127F8">
        <w:rPr>
          <w:rFonts w:ascii="Times New Roman" w:hAnsi="Times New Roman"/>
          <w:color w:val="000000" w:themeColor="text1"/>
          <w:sz w:val="16"/>
          <w:szCs w:val="16"/>
        </w:rPr>
        <w:softHyphen/>
        <w:t>вшие оснащение вооруженных сил мотоциклами в 1942 г., приве</w:t>
      </w:r>
      <w:r w:rsidRPr="008127F8">
        <w:rPr>
          <w:rFonts w:ascii="Times New Roman" w:hAnsi="Times New Roman"/>
          <w:color w:val="000000" w:themeColor="text1"/>
          <w:sz w:val="16"/>
          <w:szCs w:val="16"/>
        </w:rPr>
        <w:softHyphen/>
        <w:t>дены в табл. 18 [5.45] (11429).</w:t>
      </w:r>
    </w:p>
    <w:p w14:paraId="090102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8A5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испытания 8 марта 1942 г. при температуре -1С с нагрузкой в два челове</w:t>
      </w:r>
      <w:r w:rsidRPr="008127F8">
        <w:rPr>
          <w:rFonts w:ascii="Times New Roman" w:hAnsi="Times New Roman"/>
          <w:color w:val="000000" w:themeColor="text1"/>
          <w:sz w:val="16"/>
          <w:szCs w:val="16"/>
        </w:rPr>
        <w:softHyphen/>
        <w:t>ка аэросани РФ-7 на лесной целине свободно тро</w:t>
      </w:r>
      <w:r w:rsidRPr="008127F8">
        <w:rPr>
          <w:rFonts w:ascii="Times New Roman" w:hAnsi="Times New Roman"/>
          <w:color w:val="000000" w:themeColor="text1"/>
          <w:sz w:val="16"/>
          <w:szCs w:val="16"/>
        </w:rPr>
        <w:softHyphen/>
        <w:t>гались с места. Эксплуатация РФ-7 зимой 1941 -1942 гг. показала, что в условиях слабой производ</w:t>
      </w:r>
      <w:r w:rsidRPr="008127F8">
        <w:rPr>
          <w:rFonts w:ascii="Times New Roman" w:hAnsi="Times New Roman"/>
          <w:color w:val="000000" w:themeColor="text1"/>
          <w:sz w:val="16"/>
          <w:szCs w:val="16"/>
        </w:rPr>
        <w:softHyphen/>
        <w:t>ственной базы существующая конструкция ВМГ неприемлема. Карбюратор двигателя не допускал подачи топлива под давлением. К январю 1943 г. спроектировали и уста</w:t>
      </w:r>
      <w:r w:rsidRPr="008127F8">
        <w:rPr>
          <w:rFonts w:ascii="Times New Roman" w:hAnsi="Times New Roman"/>
          <w:color w:val="000000" w:themeColor="text1"/>
          <w:sz w:val="16"/>
          <w:szCs w:val="16"/>
        </w:rPr>
        <w:softHyphen/>
        <w:t>новили привод от мотора к винту мотоцик</w:t>
      </w:r>
      <w:r w:rsidRPr="008127F8">
        <w:rPr>
          <w:rFonts w:ascii="Times New Roman" w:hAnsi="Times New Roman"/>
          <w:color w:val="000000" w:themeColor="text1"/>
          <w:sz w:val="16"/>
          <w:szCs w:val="16"/>
        </w:rPr>
        <w:softHyphen/>
        <w:t>летной цепью. На вале мотора были раз</w:t>
      </w:r>
      <w:r w:rsidRPr="008127F8">
        <w:rPr>
          <w:rFonts w:ascii="Times New Roman" w:hAnsi="Times New Roman"/>
          <w:color w:val="000000" w:themeColor="text1"/>
          <w:sz w:val="16"/>
          <w:szCs w:val="16"/>
        </w:rPr>
        <w:softHyphen/>
        <w:t>мещены маховик и пружинная эластичная муфта. Подача топлива теперь производи</w:t>
      </w:r>
      <w:r w:rsidRPr="008127F8">
        <w:rPr>
          <w:rFonts w:ascii="Times New Roman" w:hAnsi="Times New Roman"/>
          <w:color w:val="000000" w:themeColor="text1"/>
          <w:sz w:val="16"/>
          <w:szCs w:val="16"/>
        </w:rPr>
        <w:softHyphen/>
        <w:t>лась самотеком. Усовершенствованная си</w:t>
      </w:r>
      <w:r w:rsidRPr="008127F8">
        <w:rPr>
          <w:rFonts w:ascii="Times New Roman" w:hAnsi="Times New Roman"/>
          <w:color w:val="000000" w:themeColor="text1"/>
          <w:sz w:val="16"/>
          <w:szCs w:val="16"/>
        </w:rPr>
        <w:softHyphen/>
        <w:t>ловая установка была испытана сначала на аэросанях РФ-7, а летом опробована на глиссере. В результате проведенных ме</w:t>
      </w:r>
      <w:r w:rsidRPr="008127F8">
        <w:rPr>
          <w:rFonts w:ascii="Times New Roman" w:hAnsi="Times New Roman"/>
          <w:color w:val="000000" w:themeColor="text1"/>
          <w:sz w:val="16"/>
          <w:szCs w:val="16"/>
        </w:rPr>
        <w:softHyphen/>
        <w:t>роприятий работа ВМГ стала значительно более стабильной. Хотя после доработки аэросани РФ-7 в целом соответствовали ТТТ ГАБТУ, в ОКБ НКРФ пришли к выводу о неприемлемости традиционных конструктивных схем и ре</w:t>
      </w:r>
      <w:r w:rsidRPr="008127F8">
        <w:rPr>
          <w:rFonts w:ascii="Times New Roman" w:hAnsi="Times New Roman"/>
          <w:color w:val="000000" w:themeColor="text1"/>
          <w:sz w:val="16"/>
          <w:szCs w:val="16"/>
        </w:rPr>
        <w:softHyphen/>
        <w:t>шений для постройки маломощных аэро</w:t>
      </w:r>
      <w:r w:rsidRPr="008127F8">
        <w:rPr>
          <w:rFonts w:ascii="Times New Roman" w:hAnsi="Times New Roman"/>
          <w:color w:val="000000" w:themeColor="text1"/>
          <w:sz w:val="16"/>
          <w:szCs w:val="16"/>
        </w:rPr>
        <w:softHyphen/>
        <w:t>саней. Главными принципами при созда</w:t>
      </w:r>
      <w:r w:rsidRPr="008127F8">
        <w:rPr>
          <w:rFonts w:ascii="Times New Roman" w:hAnsi="Times New Roman"/>
          <w:color w:val="000000" w:themeColor="text1"/>
          <w:sz w:val="16"/>
          <w:szCs w:val="16"/>
        </w:rPr>
        <w:softHyphen/>
        <w:t>нии новых аэросаней, названных РФ-12, стали снижение веса и поиск новой конст</w:t>
      </w:r>
      <w:r w:rsidRPr="008127F8">
        <w:rPr>
          <w:rFonts w:ascii="Times New Roman" w:hAnsi="Times New Roman"/>
          <w:color w:val="000000" w:themeColor="text1"/>
          <w:sz w:val="16"/>
          <w:szCs w:val="16"/>
        </w:rPr>
        <w:softHyphen/>
        <w:t>руктивной схемы. Новые аэросани отличали открытая по</w:t>
      </w:r>
      <w:r w:rsidRPr="008127F8">
        <w:rPr>
          <w:rFonts w:ascii="Times New Roman" w:hAnsi="Times New Roman"/>
          <w:color w:val="000000" w:themeColor="text1"/>
          <w:sz w:val="16"/>
          <w:szCs w:val="16"/>
        </w:rPr>
        <w:softHyphen/>
        <w:t>садка экипажа (как на мотоцикле), мото</w:t>
      </w:r>
      <w:r w:rsidRPr="008127F8">
        <w:rPr>
          <w:rFonts w:ascii="Times New Roman" w:hAnsi="Times New Roman"/>
          <w:color w:val="000000" w:themeColor="text1"/>
          <w:sz w:val="16"/>
          <w:szCs w:val="16"/>
        </w:rPr>
        <w:softHyphen/>
        <w:t>циклетный руль с размещением на нем всех агрегатов управления, недефицитные конструкционные материалы, трехлыжная схема при сохранении двух колей. Простей</w:t>
      </w:r>
      <w:r w:rsidRPr="008127F8">
        <w:rPr>
          <w:rFonts w:ascii="Times New Roman" w:hAnsi="Times New Roman"/>
          <w:color w:val="000000" w:themeColor="text1"/>
          <w:sz w:val="16"/>
          <w:szCs w:val="16"/>
        </w:rPr>
        <w:softHyphen/>
        <w:t>шая технология изготовления и доступные конструкционные материалы делали пост</w:t>
      </w:r>
      <w:r w:rsidRPr="008127F8">
        <w:rPr>
          <w:rFonts w:ascii="Times New Roman" w:hAnsi="Times New Roman"/>
          <w:color w:val="000000" w:themeColor="text1"/>
          <w:sz w:val="16"/>
          <w:szCs w:val="16"/>
        </w:rPr>
        <w:softHyphen/>
        <w:t>ройку аэросаней такого типа возможной даже на слабо оснащенном ремонтном предпри</w:t>
      </w:r>
      <w:r w:rsidRPr="008127F8">
        <w:rPr>
          <w:rFonts w:ascii="Times New Roman" w:hAnsi="Times New Roman"/>
          <w:color w:val="000000" w:themeColor="text1"/>
          <w:sz w:val="16"/>
          <w:szCs w:val="16"/>
        </w:rPr>
        <w:softHyphen/>
        <w:t>ятии. Даже внешне аэросани РФ-12 похо</w:t>
      </w:r>
      <w:r w:rsidRPr="008127F8">
        <w:rPr>
          <w:rFonts w:ascii="Times New Roman" w:hAnsi="Times New Roman"/>
          <w:color w:val="000000" w:themeColor="text1"/>
          <w:sz w:val="16"/>
          <w:szCs w:val="16"/>
        </w:rPr>
        <w:softHyphen/>
        <w:t>дили на поставленный на лыжи мотоцикл с коляской. Это сходство усиливалось при замене летом лыж на колеса. Сохранение двух колей при трех лыжах позволило объединить преимущества че-тырехлыжных и трехлыжных аэросаней. Две расположенные слева лыжи прокладывали одну колею, что существенно снижало со</w:t>
      </w:r>
      <w:r w:rsidRPr="008127F8">
        <w:rPr>
          <w:rFonts w:ascii="Times New Roman" w:hAnsi="Times New Roman"/>
          <w:color w:val="000000" w:themeColor="text1"/>
          <w:sz w:val="16"/>
          <w:szCs w:val="16"/>
        </w:rPr>
        <w:softHyphen/>
        <w:t>противление движению. Отсутствие чет</w:t>
      </w:r>
      <w:r w:rsidRPr="008127F8">
        <w:rPr>
          <w:rFonts w:ascii="Times New Roman" w:hAnsi="Times New Roman"/>
          <w:color w:val="000000" w:themeColor="text1"/>
          <w:sz w:val="16"/>
          <w:szCs w:val="16"/>
        </w:rPr>
        <w:softHyphen/>
        <w:t>вертой лыжи и связанных с ней деталей подвески и управления позволило значи</w:t>
      </w:r>
      <w:r w:rsidRPr="008127F8">
        <w:rPr>
          <w:rFonts w:ascii="Times New Roman" w:hAnsi="Times New Roman"/>
          <w:color w:val="000000" w:themeColor="text1"/>
          <w:sz w:val="16"/>
          <w:szCs w:val="16"/>
        </w:rPr>
        <w:softHyphen/>
        <w:t>тельно снизить массу конструкции. Колея была принята равной колее массовых аэро</w:t>
      </w:r>
      <w:r w:rsidRPr="008127F8">
        <w:rPr>
          <w:rFonts w:ascii="Times New Roman" w:hAnsi="Times New Roman"/>
          <w:color w:val="000000" w:themeColor="text1"/>
          <w:sz w:val="16"/>
          <w:szCs w:val="16"/>
        </w:rPr>
        <w:softHyphen/>
        <w:t>саней НКЛ-16, что позволяло использовать РФ-12 в одной колонне с транспортными аэросанями (11955).</w:t>
      </w:r>
    </w:p>
    <w:p w14:paraId="74AC7E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A85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года была подготовлена справка:</w:t>
      </w:r>
    </w:p>
    <w:p w14:paraId="151D1F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543 – Казань (9213).</w:t>
      </w:r>
    </w:p>
    <w:p w14:paraId="1957DE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FB2D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44DAB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4469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марта</w:t>
      </w:r>
      <w:r w:rsidRPr="008127F8">
        <w:rPr>
          <w:rFonts w:ascii="Times New Roman" w:hAnsi="Times New Roman"/>
          <w:color w:val="000000" w:themeColor="text1"/>
          <w:sz w:val="16"/>
          <w:szCs w:val="16"/>
        </w:rPr>
        <w:t xml:space="preserve"> в 1942 году утреннее сообщение Совинформбюро:</w:t>
      </w:r>
    </w:p>
    <w:p w14:paraId="2ED5D3E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8 марта на ряде участков фронта советские войска вели наступательные бои против немецко-фашистских войск.</w:t>
      </w:r>
    </w:p>
    <w:p w14:paraId="5C2ED06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двух дней немецкие части, прибывшие из глубокого тыла, пытались вернуть обратно занятый советскими войсками населенный пункт С. (Западный фронт). Отчаянные контратаки противника закончились для него неудачей. Меткий артиллерийский и пулемётный огонь вынуждал немцев откатываться назад, оставляя на поле боя сотни трупов. На третий день утром наши бойцы неожиданно для врага перешли в наступление, стремительным ударом отбросили немцев, заняли два населённых пункта и захватили 3 немецких танка, 9 орудий, 13 пулемётов и 26 автомашин с боеприпасами. Противник потерял убитыми свыше 650 солдат и офицеров.</w:t>
      </w:r>
    </w:p>
    <w:p w14:paraId="0AFD116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подразделение под командованием тов. Коваль (Юго-Западный фронт) совершило внезапный налёт на село К., где расположилась немецкая пехота. Гитлеровцы, беспорядочно отстреливаясь, отступили, оставив на месте боя 60 трупов, 3 орудия, 16 пулемётов, 6.000 патронов и другое имущество. Захвачено 14 пленных.</w:t>
      </w:r>
    </w:p>
    <w:p w14:paraId="29924390"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старшего сержанта Кривохижа в ночном бою подбил 5 немецких танков, уничтожил орудие и рассеял взвод вражеской пехоты.</w:t>
      </w:r>
    </w:p>
    <w:p w14:paraId="6B36B14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Артиллеристы-зенитчики подразделения старшего лейтенанта Гриняка (Калининский фронт) сбили два вражеских самолёта. Четыре немецких лётчика взяты в плен.</w:t>
      </w:r>
    </w:p>
    <w:p w14:paraId="2C3C7D1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отрядов партизан Украины за четыре месяца боевых действий уничтожили 1.674 вражеских солдата, 53 офицера и взяли в плен 14 солдат и 7 офицеров. Советские патриоты взорвали свыше 30 грузовых автомашин и 40 подвод с боеприпасами и продовольствием, 14 цистерн с горючим, железнодорожный мост, динамитный склад, 2 немецкие хлебопекарни и мельницу. Партизаны сожгли крупный продовольственный склад 9 немецкой дивизии. Среди захваченных отрядами трофеев — 21 станковый пулемёт, 2 ручных пулемёта, 15 автомашин, 2 повозки со штабными документами, 2 миномёта, пистолеты, много патронов и другое вооружение.</w:t>
      </w:r>
    </w:p>
    <w:p w14:paraId="2798868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108 немецкой дивизии поляк Франц Яблонка рассказал: «Поляки не хотят служить в немецкой армии и воевать против России. Из нашего взвода за последнее время дезертировало 8 поляков. В 3 роте 22-летний солдат-поляк, доведённый до отчаяния, покончил жизнь самоубийством. Другой солдат, поляк Востицкий, покушавшийся на самоубийство, был арестован. Несколько дней спустя военно-полевой суд приговорил его к смертной казни. Недавно в нашем подразделении был такой случай. Лейтенант Маршалек остановил солдата-поляка Франца Латинского и начал его ругать за нарушение устава. Лашинский выслушал ругань и поток угроз, а потом схватил лейтенанта за шиворот и несколько раз ткнул его лицом в снег. Лашинского арестовали, продержали две недели, а потом выпустили до суда. Через несколько дней тот же лейтенант Маршалек собственноручно застрелил Лашинского и ещё 3 солдат-поляков— Алоиза Махула, Эдуарда Косада и Югефа Пакули за отказ идти в бой».</w:t>
      </w:r>
    </w:p>
    <w:p w14:paraId="216E6780"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Голод в Финляндии обостряется с каждым днём. Запасы хлеба в стране исчерпаны. Пытаясь предотвратить катастрофу, финское правительство реквизирует у крестьян семенное зерно, оставленное для весеннего сева. В связи с этим в ряде мест прошли волнения. В одной деревне, недалеко от города Хумппила, крестьяне убили трёх шюцкоровцев, пытавшихся силой отобрать зерно. Сообщения о таких же кровавых стычках крестьян с полицией и шюцкоровцами поступают и из других районов Финляндии.</w:t>
      </w:r>
    </w:p>
    <w:p w14:paraId="23856DA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Забойщик Шерловогорского оловокомбината (Читинская область) т. Осипов выполнил на днях свою сменную норму на 1.820 процентов, а забойщик т. Чернышёв — на 1.353 процента.» (15062).</w:t>
      </w:r>
    </w:p>
    <w:p w14:paraId="50CC2C1B"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43C4E77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марта</w:t>
      </w:r>
      <w:r w:rsidRPr="008127F8">
        <w:rPr>
          <w:rFonts w:ascii="Times New Roman" w:hAnsi="Times New Roman"/>
          <w:color w:val="000000" w:themeColor="text1"/>
          <w:sz w:val="16"/>
          <w:szCs w:val="16"/>
        </w:rPr>
        <w:t xml:space="preserve"> в 1942 году вечернее сообщение Совинформбюро:</w:t>
      </w:r>
    </w:p>
    <w:p w14:paraId="73F1A4E3"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8 марта наши войска на ряде участков фронта с боями продвигались вперёд и заняли несколько населённых пунктов.</w:t>
      </w:r>
    </w:p>
    <w:p w14:paraId="184F89A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марта уничтожено не 35 немецких самолётов, как об этом сообщалось ранее, а 45 немецких самолётов.</w:t>
      </w:r>
    </w:p>
    <w:p w14:paraId="3E61C3B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марта уничтожено 29 немецких самолётов. Наши потери — 6 самолётов.</w:t>
      </w:r>
    </w:p>
    <w:p w14:paraId="479ECFE0"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марта под Москвой сбито 2 немецких самолёта.</w:t>
      </w:r>
    </w:p>
    <w:p w14:paraId="32999047"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7 марта частями нашей авиация уничтожено и повреждено 5 немецких танков, 375 автомашин с войсками и грузами, 100 повозок с боеприпасами, автоцистерна с горючим, 25 орудий, 6 зенитно-пулемётных точек, 29 миномётов, взорван склад с боеприпасами, рассеяно и частью уничтожено 60 всадников и до 3 рот пехоты противника.</w:t>
      </w:r>
    </w:p>
    <w:p w14:paraId="4840CDB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 где командиром тов. Юшкевич (Калининский фронт), выбили противника из 9 населенных пунктов и продолжают продвигаться вперёд. В числе захваченных у врага трофеев: 4 орудия, 18 пулемётов, 9 автоматов, 21 винтовка, более 30.000 патронов, 2 миномёта, 30 лошадей. Гитлеровцы потеряли убитыми и ранеными сотни солдат и офицеров. Взяты пленные. На этом же участке фронта сержант Игнаткин метким орудийным выстрелом сбил самолёт противника «Ю-88». Три лётчика взяты в плен.</w:t>
      </w:r>
    </w:p>
    <w:p w14:paraId="7920716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Советские войска всё больше и больше сжимают кольцо вокруг 16 немецкой армии. На одном из участков противник силою до 2 батальонов предпринял контратаку. Однако ваши пехотинцы и лыжный батальон успешно отбросили немцев. Противник отступил, оставив на поле боя до 550 солдат и офицеров. Развивая наступление, наши бойцы заняли 3 населённых пункта. Упорные бои идут на другом участке, где наши части уничтожают гарнизоны укреплённых пунктов врага. В бою за населённый пункт В. бойцы противотанковой батареи лейтенанта Кокаурова уничтожили 2 немецкие противотанковые пушки, 2 станковых пулемёта, разрушили 7 блиндажей и истребили 150 немецких солдат и офицеров.</w:t>
      </w:r>
    </w:p>
    <w:p w14:paraId="6CAB04F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гвардейцев под руководством заместителя политрука тов. Максакова на трёх танках ворвалась в сильно укреплённый немцами район. Наши бойцы смело атаковали ДЗОТы, забрасывая амбразуры гранатами, расстреляли свыше 70 гитлеровцев и разгромили огневые точки противника. Тов. Максаков был дважды ранен, однако не покинул поля боя.</w:t>
      </w:r>
    </w:p>
    <w:p w14:paraId="77EA201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Ф., действующий на Украине, за время своих боевых операций, истребил 772 немецко-фашистских захватчика, уничтожил 69 немецких автомашин, 24 мотоцикла, сжёг 5 складов с боеприпасами и горючим, (взорвал 5 железнодорожных мостов и пустил под откос 5 эшелонов с военными грузами. Партизаны захватили трофеи: 100 лошадей и 120 сёдел, 4 станковых и 16 ручных пулемётов, 150 винтовок, много патронов и другое военное имущество.</w:t>
      </w:r>
    </w:p>
    <w:p w14:paraId="6BDEF523"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фельдфебель 11 роты 445 полка 134 немецкой пехотной дивизии Христиан Брюске рассказал: «При отступлении наша дивизия понесла очень большие потери. Наш противотанковый батальон имел 3 роты. В каждой роте было по 150 человек и по 12 пушек. Теперь в ротах осталась по 50 человек и по 4—5 орудий. В 11 роте, в которой я служил, осталось не более 25 штыков. Настроение солдат очень подавленное. Все стали раздражительными, нервными. Солдаты озлоблены и выражают недовольство, что так долго тянется война».</w:t>
      </w:r>
    </w:p>
    <w:p w14:paraId="636F429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Немецкий лейтенант Рудольф Шрапбер пишет своему отцу в город Фуле: «Мы не знаем ни одного спокойного вечера. У нас больше нет ни лошадей, ни машин. Русские напали на нас, и нам едва удалось спастись бегством. Всё пришлось бросить. Даже моя солдатская книжка и 186 марок, имевшихся у меня, достались русским».</w:t>
      </w:r>
    </w:p>
    <w:p w14:paraId="3E5B677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Граждане села Доброволье, Близнецовского района, Харьковской области, составили акт, в котором отмечают: «За время пребывания гитлеровских бандитов в нашем селе они разрушили школу, контору МТС, магазин сельпо, почту, детский дом, две конюшни, конторы двух колхозов. Немцы забрали 70 голов крупного рогатого скота, 30 овец, 80 свиней, большое количество кур и гусей. Фашистские изверги расстреляли жителя нашего села Товстогрея Андрея Федотовича, избили Девятку Т. С, Нечепуренко Ефросинью и её 12-летнего сына, Горбач Л. 3. и многих других стариков, женщин и детей».</w:t>
      </w:r>
    </w:p>
    <w:p w14:paraId="539CFF5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Токарь Бакинского вагонного участка тов. Пиявкин, вытачивая муфты и гайки, выполнил сменную норму на 1.050 процентов. Замечательный рекорд поставила на станции Баку-Товарная бригада тов. Яныкина, произведя подачу и налив очередного нефтемаршрута за 30 минут вместо 4 часов 16 минут по норме.» (15062).</w:t>
      </w:r>
    </w:p>
    <w:p w14:paraId="48FBC461"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7DA9A4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была поставлена задача по проведению 10-20 марта массированных ударов для 4, 59, 2-й ударных армий Волховского фронта и 54 армии Ленинградского фронта, попавших в критическое положение. Помогло, но не очень, но А.А.Новиков стал 11 апреля командующим (340,75).</w:t>
      </w:r>
    </w:p>
    <w:p w14:paraId="7006F5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77E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вышло Постановление ГКО № 1412 О строительстве оперативных аэродромов и взлетно-посадочных полос для ВВС Красной Армии в 1942 году. РГАНИР, Фонд ГКО, д. 23, лл. 167-170, 171-208 (11012).</w:t>
      </w:r>
    </w:p>
    <w:p w14:paraId="7895E2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C86A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09573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FCB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 марта 1942 было первое крупное применение английского навигационного радара TR1335 Gee для наводки 74 Велингтонов - передового отряда из 211 бомбардировщиков, направляющихся в Эссен (2605).</w:t>
      </w:r>
    </w:p>
    <w:p w14:paraId="21A487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B618D" w14:textId="77777777" w:rsidR="00F80D60" w:rsidRPr="008127F8" w:rsidRDefault="00F80D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8 по 9 марта (ночь) по 10-11 марта (ночь) 1942 бомбардировочное командование Королевских ВВС проводит бомбардировало Эссен, Германия, три ночи подряд, задействуя 211, 187 и 126 самолетов соответственно, потеряв в общей сложности 16 бомбардировщиков. Эти налеты являются боевым дебютом навигационной помощи Gee, вселяя в британцев надежду на то, что прицельная бомбардировка завода по производству вооружений Krupp будет достигнута. Но не получилось, и фактически бомбы наносят гораздо больший урон соседним городам, чем самому Эссену. Третий рейд включает в себя два Avro Lancasters, первое использование Lancaster против немецкой цели (20793).</w:t>
      </w:r>
    </w:p>
    <w:p w14:paraId="0DAA5297" w14:textId="77777777" w:rsidR="00F80D60" w:rsidRPr="008127F8" w:rsidRDefault="00F80D60" w:rsidP="001E0A84">
      <w:pPr>
        <w:spacing w:after="0" w:line="240" w:lineRule="auto"/>
        <w:jc w:val="both"/>
        <w:rPr>
          <w:rFonts w:ascii="Times New Roman" w:hAnsi="Times New Roman"/>
          <w:color w:val="000000" w:themeColor="text1"/>
          <w:sz w:val="16"/>
          <w:szCs w:val="16"/>
        </w:rPr>
      </w:pPr>
    </w:p>
    <w:p w14:paraId="3FFA967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японцы захватили столицу Бирмы Рангун (4962).</w:t>
      </w:r>
    </w:p>
    <w:p w14:paraId="0B6C438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667C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марта 1942 японцы захватили Рангун в Бирме (2100) и высадились на Lae и Salmuau (2261).</w:t>
      </w:r>
    </w:p>
    <w:p w14:paraId="1DC84B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D5E6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марта</w:t>
      </w:r>
      <w:r w:rsidRPr="008127F8">
        <w:rPr>
          <w:rFonts w:ascii="Times New Roman" w:hAnsi="Times New Roman"/>
          <w:color w:val="000000" w:themeColor="text1"/>
          <w:sz w:val="16"/>
          <w:szCs w:val="16"/>
        </w:rPr>
        <w:t xml:space="preserve"> в 1942 году японские войска высадились в Саламауа – центре австралийской Новой Гвинеи (15062).</w:t>
      </w:r>
    </w:p>
    <w:p w14:paraId="23EC8F95"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454D170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9784C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2D842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к производ</w:t>
      </w:r>
      <w:r w:rsidRPr="008127F8">
        <w:rPr>
          <w:rFonts w:ascii="Times New Roman" w:hAnsi="Times New Roman"/>
          <w:color w:val="000000" w:themeColor="text1"/>
          <w:sz w:val="16"/>
          <w:szCs w:val="16"/>
        </w:rPr>
        <w:softHyphen/>
        <w:t>ству ДБ-3Ф начал готовиться завод № 81, расположившийся в цехах эвакуи</w:t>
      </w:r>
      <w:r w:rsidRPr="008127F8">
        <w:rPr>
          <w:rFonts w:ascii="Times New Roman" w:hAnsi="Times New Roman"/>
          <w:color w:val="000000" w:themeColor="text1"/>
          <w:sz w:val="16"/>
          <w:szCs w:val="16"/>
        </w:rPr>
        <w:softHyphen/>
        <w:t>рованного завода № 39. Затем эту зада</w:t>
      </w:r>
      <w:r w:rsidRPr="008127F8">
        <w:rPr>
          <w:rFonts w:ascii="Times New Roman" w:hAnsi="Times New Roman"/>
          <w:color w:val="000000" w:themeColor="text1"/>
          <w:sz w:val="16"/>
          <w:szCs w:val="16"/>
        </w:rPr>
        <w:softHyphen/>
        <w:t>чу передали другому подобному москов</w:t>
      </w:r>
      <w:r w:rsidRPr="008127F8">
        <w:rPr>
          <w:rFonts w:ascii="Times New Roman" w:hAnsi="Times New Roman"/>
          <w:color w:val="000000" w:themeColor="text1"/>
          <w:sz w:val="16"/>
          <w:szCs w:val="16"/>
        </w:rPr>
        <w:softHyphen/>
        <w:t>скому заводу, № 23. Завод № 81 дол</w:t>
      </w:r>
      <w:r w:rsidRPr="008127F8">
        <w:rPr>
          <w:rFonts w:ascii="Times New Roman" w:hAnsi="Times New Roman"/>
          <w:color w:val="000000" w:themeColor="text1"/>
          <w:sz w:val="16"/>
          <w:szCs w:val="16"/>
        </w:rPr>
        <w:softHyphen/>
        <w:t>жен был обеспечивать его консолями, элеронами, щитками и бензобаками. Но вскоре функции полностью разделили. 81-й стал только собирать ДБ-3Ф из привозных узлов (с февраля и до конца года он собрал 77 машин), а 23-й начал со сборки в мае 1942 г., а потом и стал делать ДБ-3Ф целиком (10734,69).</w:t>
      </w:r>
    </w:p>
    <w:p w14:paraId="0832F5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001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вышел приказ НКАП N 188сс в исполнение постановления ГКО N 1387сс от 4 марта 1942 о постановке производства самолета ДБ-3 Ф на заводе 81 (1543,70).</w:t>
      </w:r>
    </w:p>
    <w:p w14:paraId="6D68D8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за N 1387сс от 4 марта 1942 обязал НКАП организовать в Москве на площади эвакуированного завода 39 НКАП самолетостроительный завод для производства двухмоторных бомбардировщиков ДБ-3Ф с М-88, присвоив ему номер 81.</w:t>
      </w:r>
    </w:p>
    <w:p w14:paraId="6A34EB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Утвердил директором завода 81 Т.Х.Филимончука и ГИ П.М.Морозова.</w:t>
      </w:r>
    </w:p>
    <w:p w14:paraId="0B4B92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Установил заводу 81 на 1942 программу выпуска самолетов ДБ-3Ф с М-88 в количестве 138,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7D23FACF" w14:textId="77777777">
        <w:tc>
          <w:tcPr>
            <w:tcW w:w="3757" w:type="dxa"/>
            <w:tcBorders>
              <w:top w:val="single" w:sz="12" w:space="0" w:color="auto"/>
            </w:tcBorders>
          </w:tcPr>
          <w:p w14:paraId="6D525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w:t>
            </w:r>
          </w:p>
        </w:tc>
        <w:tc>
          <w:tcPr>
            <w:tcW w:w="3757" w:type="dxa"/>
            <w:tcBorders>
              <w:top w:val="single" w:sz="12" w:space="0" w:color="auto"/>
            </w:tcBorders>
          </w:tcPr>
          <w:p w14:paraId="0BD172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7E537563" w14:textId="77777777">
        <w:tc>
          <w:tcPr>
            <w:tcW w:w="3757" w:type="dxa"/>
          </w:tcPr>
          <w:p w14:paraId="6859DF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w:t>
            </w:r>
          </w:p>
        </w:tc>
        <w:tc>
          <w:tcPr>
            <w:tcW w:w="3757" w:type="dxa"/>
          </w:tcPr>
          <w:p w14:paraId="5AEE2D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76E06BA8" w14:textId="77777777">
        <w:tc>
          <w:tcPr>
            <w:tcW w:w="3757" w:type="dxa"/>
          </w:tcPr>
          <w:p w14:paraId="62CB4F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w:t>
            </w:r>
          </w:p>
        </w:tc>
        <w:tc>
          <w:tcPr>
            <w:tcW w:w="3757" w:type="dxa"/>
          </w:tcPr>
          <w:p w14:paraId="2CB6AB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687FE2" w:rsidRPr="008127F8" w14:paraId="7FBE4A98" w14:textId="77777777">
        <w:tc>
          <w:tcPr>
            <w:tcW w:w="3757" w:type="dxa"/>
            <w:tcBorders>
              <w:bottom w:val="single" w:sz="12" w:space="0" w:color="auto"/>
            </w:tcBorders>
          </w:tcPr>
          <w:p w14:paraId="1A8EFC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w:t>
            </w:r>
          </w:p>
        </w:tc>
        <w:tc>
          <w:tcPr>
            <w:tcW w:w="3757" w:type="dxa"/>
            <w:tcBorders>
              <w:bottom w:val="single" w:sz="12" w:space="0" w:color="auto"/>
            </w:tcBorders>
          </w:tcPr>
          <w:p w14:paraId="7A7F46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(1546,18)</w:t>
            </w:r>
          </w:p>
        </w:tc>
      </w:tr>
    </w:tbl>
    <w:p w14:paraId="424098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C82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марта 1942 продолжились совместные гос. и заводские испытания ДБ-3Ф 2М-82 N 7103. Первый вылет был выполнен 10 января 1942 на ДБ-3Ф 2М-82 N 7102. В первых полетах было обнаружено выбрасывание масла и при устранении дефекта сделали 17 полетов налетав 10:30, но на 18 полете 8 февраля оба мотора потерпели аварию и машина, по-видимому, была разбита. Вообще на испытания поступило 3 машины (+ N 6614 и 7103), но при наземных испытаниях на 6614 была повреждена крыльчатка нагнетателя левого мотора. Фактически испытания по программе начались 5 апреля 1942, т.к. только к этому времени устранили дефект на М-82 - выбрасывание масла. Участвовали ви Г.В.Грибакин, ви Н.Н.Фингеров, нач. сер. КБ А.М.Вульман, ви ЛИИ </w:t>
      </w:r>
      <w:proofErr w:type="gramStart"/>
      <w:r w:rsidRPr="008127F8">
        <w:rPr>
          <w:rFonts w:ascii="Times New Roman" w:hAnsi="Times New Roman"/>
          <w:color w:val="000000" w:themeColor="text1"/>
          <w:sz w:val="16"/>
          <w:szCs w:val="16"/>
        </w:rPr>
        <w:t>С.С</w:t>
      </w:r>
      <w:proofErr w:type="gramEnd"/>
      <w:r w:rsidRPr="008127F8">
        <w:rPr>
          <w:rFonts w:ascii="Times New Roman" w:hAnsi="Times New Roman"/>
          <w:color w:val="000000" w:themeColor="text1"/>
          <w:sz w:val="16"/>
          <w:szCs w:val="16"/>
        </w:rPr>
        <w:t>.Юданов (2084).</w:t>
      </w:r>
    </w:p>
    <w:p w14:paraId="1DA887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127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к производству ДБ-3Ф начал готовиться завод №81, расположившийся в цехах эвакуированного завода №39. Затем эту задачу передали другому подобному московскому заводу №23. Завод №81 должен был обеспечивать его консолями, элеронами, щитками и бензобаками. Но вскоре функции полностью разделили, 81-й стал только собирать ДБ-3Ф из привозных узлов (с февраля и до конца года он собрал 77 машин), а 23-й начал со сборки в мае 1942 г., а потом и стал делать ДБ-3Ф целиком. Подобное задание дали и заводу №166 в Омске, но тот начать его реализацию не успел - через неделю новый приказ предписал ему заняться освоением фронтовых бомбардировщиков Ту-2 (7666).</w:t>
      </w:r>
    </w:p>
    <w:p w14:paraId="7558F1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26A50" w14:textId="77777777" w:rsidR="005D559D" w:rsidRPr="008127F8" w:rsidRDefault="005D559D" w:rsidP="001E0A84">
      <w:pPr>
        <w:pStyle w:val="af"/>
        <w:shd w:val="clear" w:color="auto" w:fill="FFFFFF"/>
        <w:spacing w:before="0" w:after="0"/>
        <w:jc w:val="both"/>
        <w:rPr>
          <w:color w:val="000000" w:themeColor="text1"/>
          <w:sz w:val="16"/>
          <w:szCs w:val="16"/>
        </w:rPr>
      </w:pPr>
      <w:r w:rsidRPr="008127F8">
        <w:rPr>
          <w:color w:val="000000" w:themeColor="text1"/>
          <w:sz w:val="16"/>
          <w:szCs w:val="16"/>
        </w:rPr>
        <w:t>9 марта 1942 вышел приказ НКАП № 188сс</w:t>
      </w:r>
    </w:p>
    <w:p w14:paraId="5925742D" w14:textId="77777777" w:rsidR="005D559D" w:rsidRPr="008127F8" w:rsidRDefault="005D559D"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Об организации на площади 39го завода НКАП самолетостроительного завода № 81 по производству ДБ-3Ф (19706).</w:t>
      </w:r>
    </w:p>
    <w:p w14:paraId="0CE6B898" w14:textId="77777777" w:rsidR="005D559D" w:rsidRPr="008127F8" w:rsidRDefault="005D559D" w:rsidP="001E0A84">
      <w:pPr>
        <w:pStyle w:val="af"/>
        <w:shd w:val="clear" w:color="auto" w:fill="FFFFFF"/>
        <w:spacing w:before="0" w:after="0"/>
        <w:jc w:val="both"/>
        <w:rPr>
          <w:color w:val="000000" w:themeColor="text1"/>
          <w:sz w:val="16"/>
          <w:szCs w:val="16"/>
        </w:rPr>
      </w:pPr>
    </w:p>
    <w:p w14:paraId="0A4455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к производству ДБ-ЗФ начал готовиться завод № 81, расположившийся в цехах эвакуированного завода № 39. Затем эту задачу передали другому подобному московскому заводу, № 23. Завод № 81 должен был обеспечивать его консолями, элеронами, щитками и бензобаками. Но вскоре функции полностью разделили. 81-й стал только собирать ДБ-ЗФ из привозных узлов (с февраля и до конца года он собрал 77 машин), а 23-й начал со сборки в мае 1942 г., а потом и стал делать ДБ-ЗФ целиком. Подобное задание дали и заводу № 166 в Омске, но тот начать его реализацию не успел - через неделю новый приказ предписал ему заняться освоением Ту-2. Несколько позже, с августа 1942 г., ильюшинские бомбардировщики начали вытеснять Пе-2 и Пе-3 из цехов завода № 39, эвакуированного в Иркутск с заводом № 125. Делали их там поначалу немного. Так, в октябре сдали всего четыре самолета (правда, в плане стояли два). Собственно, это были уже не ДБ-ЗФ, так как с 26 марта самолету присвоили новое обозначение - Ил-4 (12021).</w:t>
      </w:r>
    </w:p>
    <w:p w14:paraId="7A89E3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F55E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приказом № 188сс в соответствии с пост. ГКО № 1387с от 4.03.1942 г. был организован самолетостроительный завод № 81 НКАП. Поставлена задача освоения производства ДБ-ЗФ, для чего в помощь заводу передано оборудование, кадры и документация с заводов № 39, № 126, № 18 и его филиала. Кроме того, с 09.1942 г. проводилась модернизация и перевооружение самолетов «Харрикейн», «Бостон-3», которьм занималось КБ А.П. Голубкова. Производился ремонт Пе-2. С февраля до конца 1942 г. собрано 77 ДБ-ЗФ.</w:t>
      </w:r>
      <w:r w:rsidRPr="008127F8">
        <w:rPr>
          <w:rFonts w:ascii="Times New Roman" w:hAnsi="Times New Roman"/>
          <w:color w:val="000000" w:themeColor="text1"/>
          <w:sz w:val="16"/>
          <w:szCs w:val="16"/>
          <w:vertAlign w:val="superscript"/>
        </w:rPr>
        <w:t>85</w:t>
      </w:r>
    </w:p>
    <w:p w14:paraId="5E42E0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3028сс от 12.03.1943 г. и приказом № 174с от 27.03.1943 г. кадры и оборудование завода № 381 1ГУ НКАП из Нижнего Тагила переведены в Москву на площадку завода № 81 и подлежали передаче в его состав. В связи с этим единый завод № 81 должен был передаваться из ЮГУ в 1ГУ. По этому же приказу весь задел работ по иностранным самолетам вместе с КБ А.П. Голубкова были переведены на завод № 89 НКАП. Одновременно (тот же приказ) на площадку завода № 81 переведены кадры и оборудование по деревообработке с завода № 445 НКАП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Алапаевск).</w:t>
      </w:r>
    </w:p>
    <w:p w14:paraId="469EE1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 итоге объединенный завод получил название завод № 381 НКАП. Директор (1942-43 г.)- Т.А. Филимончук.</w:t>
      </w:r>
    </w:p>
    <w:p w14:paraId="584E61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В.М. Курылев. Гл. инженер (1942 г.-)- П.М. Морозов (11982).</w:t>
      </w:r>
    </w:p>
    <w:p w14:paraId="52000109" w14:textId="77777777" w:rsidR="00DE624F" w:rsidRPr="008127F8" w:rsidRDefault="00DE624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488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вышел приказ НКАП N 184сс в исполнение постановления ГКО от 6 марта 1942 N 1396сс и в отмену приказа НКАП N 15 от 6 января 1942 о постановке производства самолета 103 ГК А.Н.Т. на заводе 22 в Казани:</w:t>
      </w:r>
    </w:p>
    <w:p w14:paraId="2B5E61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10 ГУ Тарасевичу и директору завода 22 Карпову развивать на полную мощность производство самолетов Пе-2 на заводе 22 в Казани с тем, чтобы к концу марта прочно выйти на выпуск 6-ти самолетов в день и в апреле 8 самолетов в день (1531,90).</w:t>
      </w:r>
    </w:p>
    <w:p w14:paraId="5EC75A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D57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вышел приказ НКАП N 185сс</w:t>
      </w:r>
    </w:p>
    <w:p w14:paraId="6661BB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своим постановлением от 4 марта 1942 N 1388сс обязал зам. наркома авиапрома А.С.Я. помочь наладить серийное производство самолета Як-7 на заводах 21 в г. Горьком и 23 в Москве:</w:t>
      </w:r>
    </w:p>
    <w:p w14:paraId="4E56C0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Обязал переход на производство самолета Як-7 в Горьком осуществить без снижения достигнутого выпуска (10 самолетов в день).</w:t>
      </w:r>
    </w:p>
    <w:p w14:paraId="7129CA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Обязал КБ завода 21 во главе с ГК С.А.Л. перевести на завод в 31 Тбилиси</w:t>
      </w:r>
    </w:p>
    <w:p w14:paraId="6B5A63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Обязал выпускать самолеты Як-7 с предкрылками на заводах 21 и 23</w:t>
      </w:r>
    </w:p>
    <w:p w14:paraId="05AFAB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w:t>
      </w:r>
    </w:p>
    <w:p w14:paraId="3F4240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Назначить ГК завода 31 С.А.Л., зам. ГК завода 31 В.П.Горбунова (1531,95).</w:t>
      </w:r>
    </w:p>
    <w:p w14:paraId="6BC3B1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F5C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приказом НКАП № 185сс во исполнение пост. ГКО № 1388сс от 4.03.1942 г. в связи с решением о развертывании на заводе производства Як-7 вместо ЛаГТ-3основной состав ОКБ был отправлен на завод № 31. Небольшая часть коллектива во главе с Лавочкиным осталась в Горьком для завершения серии ЛаГГ-3. Затем Лавочкину удалось добиться у руководства продолжения производства на заводе Ла-5. В связи с этим уже размещенная на новом месте часть ОКБ и опытное производство были направлены обратно на завод № 21 в соответствии с пост. ГКО № 1786сс от 19.05.1942 г. и приказом № 412с от 30.05.1942 г. Опытная база ОКБ на заводе № 21 была восстановлена лишь к 07.1942 г., а полностью коллектив возвратился из Тбилиси только осенью 1942 г. Эти непродуманные перемещения, виновником которых был прежде всего зам. наркома А.С. Яковлев, пагубно сказывались на работе коллектива. 2.11.1942 г. вышло постановление ГКО № 2467сс об улучшении летных данных самолета ЛаГГ-3. 15.11.1942 г. вышло постановление ГКО № 2514 об улучшении летных и эксплуатационных данных Ла-5. 9.12.1942 г. -новое постановление ГКО № 2604 об улучшении Ла-5.</w:t>
      </w:r>
    </w:p>
    <w:p w14:paraId="2A047C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487с от 10.08.1943 г.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092E7F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57E924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262C09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(11.1940-12.1945 г.)- С.А. Лавочкин.</w:t>
      </w:r>
    </w:p>
    <w:p w14:paraId="0278D3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(1941-43 г.)- П.Д. Грушин, (1943-45 г.-)- С.М. Алексеев.</w:t>
      </w:r>
    </w:p>
    <w:p w14:paraId="7066FE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М.И. Гудкова на заводе № 21 НКАП</w:t>
      </w:r>
    </w:p>
    <w:p w14:paraId="3A3B28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12.1941 г. на завод № 21 с завода № 153 НКАП переведено КБ М.И. Гудкова для внедрения в серию самолетов Гу-37 (К-37) и Гу-82. Затем КБ переведено в Москву на территорию завода № 156 (было там весной 1943 г.) (11982).</w:t>
      </w:r>
    </w:p>
    <w:p w14:paraId="0A7EB7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F0A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вышел приказ НКАП N 186сс также по производству Як-3 на заводе 23 (1544,14).</w:t>
      </w:r>
    </w:p>
    <w:p w14:paraId="6B33B1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C1F85"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1942 года появился приказ НКАП № 185сс, который в соответствии с постановлением ГКО № 1388сс от 4 марта 1942 года предписывал представителю НКАП товарищу А. С. Яковлеву оказать помощь с запуском в серийное производство истребителей Як-7 на заводах № 21 в Горьком и № 23 в Москве. Тем же приказом ОКБ С. А. Лавочкина переводилось на завод № 31 в Тбилиси, где Лавочкин был назначен главным конструктором завода. Ранее занимавший эту должность В. П. Горбунов становился заместителем Лавочкина. Затем последовал еще один приказ, № 216сс от 16 марта 1942 года, в соответствии с которым прекращался выпуск ЛаГГ-3 на заводе № 153.</w:t>
      </w:r>
    </w:p>
    <w:p w14:paraId="25021A71"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Эго случилось в тот момент, когда работы по ЛаГГ-3 с мотором М-82 уже близились к завершению. Условия, в которых работали преданные Лавочкину специалисты, так описывались в воспоминаниях В. П. Ефремова: «Лавочкин был лишен даже бензина, за которым приходилось ходить на заводской аэродром. Конструкторам приходилось вести свои работы в тайне и поверх кáлек с узлами ЛаГГ-3 с М-82 накалывать чертежи Як-7. В случае опасности они делали вид, что разбираются с документацией Яковлева».</w:t>
      </w:r>
    </w:p>
    <w:p w14:paraId="5CBD34D2" w14:textId="77777777" w:rsidR="00DB7795" w:rsidRPr="008A2E5A" w:rsidRDefault="00DB7795" w:rsidP="00DB7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Главную проблему представляло совмещение мотора диаметром 1260 мм с фюзеляжем шириной 800 мм с сохранением гладких аэродинамических обводов. Здесь Алексеев предложил решение, которое хоть и увеличило массу машины, но позволило сэкономить время и не вносить существенных изменений в технологию: с каждого борта, от 5-го шпангоута перед кабиной, сделали опалубку, обшитую металлом, которая к 1 шпангоуту (месту крепления моторамы) делала сечение фюзеляжа из овального круглым. Вторую проблему представляло охлаждение цилиндров мотора, особенно во втором ряду. Обычно у самолетов с моторами воздушного охлаждения створки жалюзи системы охлаждения размещались почти по всему периметру задней кромки капота, но на ЛаГГе такая доработка потребовала бы слишком серьезных изменении в конструкции и, соответственно, времени. Поэтому для выхода охлаждающего воздуха пришлось сделать два больших щитка по бортам капота, что привело к перегреву верхних и нижних цилиндров. Выход из ситуации нашел специалист КБ Швецова (КБ-19) В. И. Валединский, переделавший направляющие дефлекторы рубашки охлаждения так, чтобы вверху и внизу задней части капота не возникало застойных зон. Вооружение истребителя состояло из двух синхронных пушек ШВАК калибром 20 мм, взятых (включая синхронизатор) от истребителя И-16ПС, выпускавшегося на заводе до этого. Синхронизаторы пришлось переделывать, поскольку на И-16 использовались двухлопастные винты, а на ЛаГГе — трехлопастный (23547).</w:t>
      </w:r>
    </w:p>
    <w:p w14:paraId="61A038F9" w14:textId="77777777" w:rsidR="00DB7795" w:rsidRPr="008A2E5A" w:rsidRDefault="00DB7795" w:rsidP="00DB7795">
      <w:pPr>
        <w:spacing w:after="0" w:line="240" w:lineRule="auto"/>
        <w:jc w:val="both"/>
        <w:rPr>
          <w:rFonts w:ascii="Times New Roman" w:hAnsi="Times New Roman"/>
          <w:color w:val="0070C0"/>
          <w:sz w:val="16"/>
          <w:szCs w:val="16"/>
        </w:rPr>
      </w:pPr>
    </w:p>
    <w:p w14:paraId="393F38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 Завод № 21 по приказу НКАП перешел на выпуск ис- по рекомендации ЦАГИ требителя Як-7 с планом 10 машин в сутки. Одновременно тем же приказом ОКБ Лавочкина переводилось на завод №31, эвакуированный в Тбилиси. Но приказ так и остался не выполненным, а причина - все в той же телеграмме от 13 апреля.</w:t>
      </w:r>
    </w:p>
    <w:p w14:paraId="496A7C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Полвека спустя С.М. Алексеев рассказывал:</w:t>
      </w:r>
    </w:p>
    <w:p w14:paraId="153DDC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"Апрельским 1942 года постановлением ГКО для проведения совместных государственных испытаний опытного самолета Лавочкина назначили комиссию.</w:t>
      </w:r>
    </w:p>
    <w:p w14:paraId="014C8A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НИИ ВВС ее представляли ведущие инженер А.Н. Фролов (председатель комиссии) и летчик А.Г. Кубыш- кин, а от промышленности - ведущие летчик ЛИИ А.П. Якимов и инженер В.Н. Сагинов. Срок испытаний установили пять летных дней.</w:t>
      </w:r>
    </w:p>
    <w:p w14:paraId="705CC0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первые полеты по каждому заданию предстояло сделать Якимову, а Ку- бышкину - повторять их и давать заключение.</w:t>
      </w:r>
    </w:p>
    <w:p w14:paraId="314A24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Лавочкин встретил комиссию без энтузиазма, был хмур и предложил довольно сжатую программу работы, сразу предупредив, что перегревается масло. Программа предусматривала испытания на сверхмаксимальной скорости, определение скороподъемности, максимальных скоростей по высотам, маневренных и взлетно-посадочных характеристик, дальности и отстрел оружия. </w:t>
      </w:r>
    </w:p>
    <w:p w14:paraId="019C16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штопор Лавочкин решил не проводить, все-таки единственный экземпляр машины, а недостроенный дублер уже погрузили на железнодорожную платформу для отправки в Тбилиси. Кроме того, согласно приказу наркома Лавочкин должен был немедленно выехать туда же.</w:t>
      </w:r>
    </w:p>
    <w:p w14:paraId="5C0F0D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Сагинов предложил попросить Ша- хурина позволить Лавочкину задержаться в Горьком до окончания испытаний. Позвонили по ВЧ и получили ответ: "Эшелон отправить, главному конструктору остаться до окончания испытаний" (12032).</w:t>
      </w:r>
    </w:p>
    <w:p w14:paraId="487F85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065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было написано письмо N 75сс Зам. НКАП В.Р.Положинцеву О работе самолетно-сборочного завода 600 в 1941 (г. Урумчи, Западный Китай).</w:t>
      </w:r>
    </w:p>
    <w:p w14:paraId="4481D7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расположен в 900 км от ст. Сары-Озек и в 43 км от г. Урумчи, на площади 125000 кв. м, включая жилпоселок, и окружен 5 км запретной зоной, прирезанной местными властями в к. 1941 (1648,249).</w:t>
      </w:r>
    </w:p>
    <w:p w14:paraId="443556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РАБОТЕ СМОЛЕТНО-СБОРОЧНОГО ЗАВОДА № 600 1941 году</w:t>
      </w:r>
    </w:p>
    <w:p w14:paraId="4D339A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Город Урумчи, Западный Китай</w:t>
      </w:r>
    </w:p>
    <w:p w14:paraId="4FC38F2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 xml:space="preserve">1. </w:t>
      </w:r>
      <w:r w:rsidRPr="008127F8">
        <w:rPr>
          <w:rFonts w:ascii="Times New Roman" w:hAnsi="Times New Roman"/>
          <w:color w:val="000000" w:themeColor="text1"/>
          <w:sz w:val="16"/>
          <w:szCs w:val="16"/>
        </w:rPr>
        <w:t>ОБЩАЯ ЧАСТЬ.</w:t>
      </w:r>
    </w:p>
    <w:p w14:paraId="1C57FD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Самолетно-сборочный- завод № 600 /Западный Китай/ расположен в 900 километрах от </w:t>
      </w:r>
      <w:proofErr w:type="gramStart"/>
      <w:r w:rsidRPr="008127F8">
        <w:rPr>
          <w:rFonts w:ascii="Times New Roman" w:hAnsi="Times New Roman"/>
          <w:color w:val="000000" w:themeColor="text1"/>
          <w:sz w:val="16"/>
          <w:szCs w:val="16"/>
        </w:rPr>
        <w:t>железно-дорожной</w:t>
      </w:r>
      <w:proofErr w:type="gramEnd"/>
      <w:r w:rsidRPr="008127F8">
        <w:rPr>
          <w:rFonts w:ascii="Times New Roman" w:hAnsi="Times New Roman"/>
          <w:color w:val="000000" w:themeColor="text1"/>
          <w:sz w:val="16"/>
          <w:szCs w:val="16"/>
        </w:rPr>
        <w:t xml:space="preserve"> станции Сары-Озек и в 43 километрах от города Урумчи, на площади в 120.000 кв. метров, включая жилпоселок, и окружен 5-ти километровой запретной зоной, прирезан</w:t>
      </w:r>
      <w:r w:rsidRPr="008127F8">
        <w:rPr>
          <w:rFonts w:ascii="Times New Roman" w:hAnsi="Times New Roman"/>
          <w:color w:val="000000" w:themeColor="text1"/>
          <w:sz w:val="16"/>
          <w:szCs w:val="16"/>
        </w:rPr>
        <w:softHyphen/>
        <w:t>ной местными властями в конце 1941 года.</w:t>
      </w:r>
    </w:p>
    <w:p w14:paraId="76A7B6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Связь с городом осуществляется по шоссе Урумчи-Хоргос до 24-го километра, а далее в сторону от лоссе -16 километров по специально построенной шоссейной до</w:t>
      </w:r>
      <w:r w:rsidRPr="008127F8">
        <w:rPr>
          <w:rFonts w:ascii="Times New Roman" w:hAnsi="Times New Roman"/>
          <w:color w:val="000000" w:themeColor="text1"/>
          <w:sz w:val="16"/>
          <w:szCs w:val="16"/>
        </w:rPr>
        <w:softHyphen/>
        <w:t>роге до площадки завода.</w:t>
      </w:r>
    </w:p>
    <w:p w14:paraId="1B1280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завод строительствомзакончен ираспологает следующлми об"ектами иплощадями:</w:t>
      </w:r>
    </w:p>
    <w:p w14:paraId="2FCD546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Основными производственными площадями в коли</w:t>
      </w:r>
      <w:r w:rsidRPr="008127F8">
        <w:rPr>
          <w:rFonts w:ascii="Times New Roman" w:hAnsi="Times New Roman"/>
          <w:color w:val="000000" w:themeColor="text1"/>
          <w:sz w:val="16"/>
          <w:szCs w:val="16"/>
        </w:rPr>
        <w:softHyphen/>
        <w:t>честве 4.300 кв</w:t>
      </w:r>
      <w:r w:rsidRPr="008127F8">
        <w:rPr>
          <w:rFonts w:ascii="Times New Roman" w:hAnsi="Times New Roman"/>
          <w:smallCaps/>
          <w:color w:val="000000" w:themeColor="text1"/>
          <w:sz w:val="16"/>
          <w:szCs w:val="16"/>
        </w:rPr>
        <w:t xml:space="preserve">. </w:t>
      </w:r>
      <w:r w:rsidRPr="008127F8">
        <w:rPr>
          <w:rFonts w:ascii="Times New Roman" w:hAnsi="Times New Roman"/>
          <w:color w:val="000000" w:themeColor="text1"/>
          <w:sz w:val="16"/>
          <w:szCs w:val="16"/>
        </w:rPr>
        <w:t>метров, на которых расположены цеха: сборочный, заготовительный, слесарно-сварочной, меха</w:t>
      </w:r>
      <w:r w:rsidRPr="008127F8">
        <w:rPr>
          <w:rFonts w:ascii="Times New Roman" w:hAnsi="Times New Roman"/>
          <w:color w:val="000000" w:themeColor="text1"/>
          <w:sz w:val="16"/>
          <w:szCs w:val="16"/>
        </w:rPr>
        <w:softHyphen/>
        <w:t>нический, деревообделочный, покрытий и горячей обра</w:t>
      </w:r>
      <w:r w:rsidRPr="008127F8">
        <w:rPr>
          <w:rFonts w:ascii="Times New Roman" w:hAnsi="Times New Roman"/>
          <w:color w:val="000000" w:themeColor="text1"/>
          <w:sz w:val="16"/>
          <w:szCs w:val="16"/>
        </w:rPr>
        <w:softHyphen/>
        <w:t>ботки, с литейной, термической и кузницей.</w:t>
      </w:r>
    </w:p>
    <w:p w14:paraId="732B19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2. </w:t>
      </w:r>
      <w:r w:rsidRPr="008127F8">
        <w:rPr>
          <w:rFonts w:ascii="Times New Roman" w:hAnsi="Times New Roman"/>
          <w:color w:val="000000" w:themeColor="text1"/>
          <w:sz w:val="16"/>
          <w:szCs w:val="16"/>
        </w:rPr>
        <w:t xml:space="preserve">Складским помещением, площадью в 1.463 </w:t>
      </w:r>
      <w:proofErr w:type="gramStart"/>
      <w:r w:rsidRPr="008127F8">
        <w:rPr>
          <w:rFonts w:ascii="Times New Roman" w:hAnsi="Times New Roman"/>
          <w:color w:val="000000" w:themeColor="text1"/>
          <w:sz w:val="16"/>
          <w:szCs w:val="16"/>
        </w:rPr>
        <w:t>кв</w:t>
      </w:r>
      <w:r w:rsidRPr="008127F8">
        <w:rPr>
          <w:rFonts w:ascii="Times New Roman" w:hAnsi="Times New Roman"/>
          <w:smallCaps/>
          <w:color w:val="000000" w:themeColor="text1"/>
          <w:sz w:val="16"/>
          <w:szCs w:val="16"/>
        </w:rPr>
        <w:t>.</w:t>
      </w:r>
      <w:r w:rsidRPr="008127F8">
        <w:rPr>
          <w:rFonts w:ascii="Times New Roman" w:hAnsi="Times New Roman"/>
          <w:color w:val="000000" w:themeColor="text1"/>
          <w:sz w:val="16"/>
          <w:szCs w:val="16"/>
        </w:rPr>
        <w:t>метра</w:t>
      </w:r>
      <w:proofErr w:type="gramEnd"/>
      <w:r w:rsidRPr="008127F8">
        <w:rPr>
          <w:rFonts w:ascii="Times New Roman" w:hAnsi="Times New Roman"/>
          <w:color w:val="000000" w:themeColor="text1"/>
          <w:sz w:val="16"/>
          <w:szCs w:val="16"/>
        </w:rPr>
        <w:t>.</w:t>
      </w:r>
    </w:p>
    <w:p w14:paraId="5778852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Аэродромом с якорнымя стоянками, девиациовиым кругом, тиром, метеостанцией и бензохранилищем, вме</w:t>
      </w:r>
      <w:r w:rsidRPr="008127F8">
        <w:rPr>
          <w:rFonts w:ascii="Times New Roman" w:hAnsi="Times New Roman"/>
          <w:color w:val="000000" w:themeColor="text1"/>
          <w:sz w:val="16"/>
          <w:szCs w:val="16"/>
        </w:rPr>
        <w:softHyphen/>
        <w:t>стимость» в 160 тонн.</w:t>
      </w:r>
    </w:p>
    <w:p w14:paraId="45994C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Электростанцией, мощностью в 602 кв (1678,249).</w:t>
      </w:r>
    </w:p>
    <w:p w14:paraId="251076E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EEC8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1419 Об организации ОРСов на предприятиях Наркомата авиационной промышленности. (7025, 36,37-44).</w:t>
      </w:r>
    </w:p>
    <w:p w14:paraId="68B440F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2C5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w:t>
      </w:r>
    </w:p>
    <w:p w14:paraId="4E40D0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строительства Каменских заводов НКАП, организованное согласно приказу НКАП от 28 февраля 1942 года № 162 с, является составной частью завода № 268, осуществляет также строительство завода № 286 (8912).</w:t>
      </w:r>
    </w:p>
    <w:p w14:paraId="27860A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DA9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 приказом НКАП во исполнение Решения ГКО за № 1398сс от 6 марта 1942 года был расформирован завод № 458, эвакуированный из Ростова-на-Дону в Баку, а часть оборудования и рабочей силы были переданы заводу № 23.</w:t>
      </w:r>
    </w:p>
    <w:p w14:paraId="2A673E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55E725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1F9A74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037A70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B4B25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5CF498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2E9437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723A1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7D01C6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50FFF9BC" w14:textId="77777777">
        <w:tc>
          <w:tcPr>
            <w:tcW w:w="817" w:type="dxa"/>
          </w:tcPr>
          <w:p w14:paraId="483B38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изделий</w:t>
            </w:r>
          </w:p>
        </w:tc>
        <w:tc>
          <w:tcPr>
            <w:tcW w:w="1348" w:type="dxa"/>
          </w:tcPr>
          <w:p w14:paraId="22F115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 количество двигателей установлен. на самолете</w:t>
            </w:r>
          </w:p>
        </w:tc>
        <w:tc>
          <w:tcPr>
            <w:tcW w:w="920" w:type="dxa"/>
          </w:tcPr>
          <w:p w14:paraId="15DE2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w:t>
            </w:r>
          </w:p>
        </w:tc>
        <w:tc>
          <w:tcPr>
            <w:tcW w:w="851" w:type="dxa"/>
          </w:tcPr>
          <w:p w14:paraId="07D67C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w:t>
            </w:r>
          </w:p>
        </w:tc>
        <w:tc>
          <w:tcPr>
            <w:tcW w:w="850" w:type="dxa"/>
          </w:tcPr>
          <w:p w14:paraId="4A62A2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w:t>
            </w:r>
          </w:p>
        </w:tc>
        <w:tc>
          <w:tcPr>
            <w:tcW w:w="851" w:type="dxa"/>
          </w:tcPr>
          <w:p w14:paraId="44EF62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1955 год</w:t>
            </w:r>
          </w:p>
        </w:tc>
        <w:tc>
          <w:tcPr>
            <w:tcW w:w="850" w:type="dxa"/>
          </w:tcPr>
          <w:p w14:paraId="2E9829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1956 год</w:t>
            </w:r>
          </w:p>
        </w:tc>
        <w:tc>
          <w:tcPr>
            <w:tcW w:w="851" w:type="dxa"/>
          </w:tcPr>
          <w:p w14:paraId="1E8D67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w:t>
            </w:r>
          </w:p>
        </w:tc>
        <w:tc>
          <w:tcPr>
            <w:tcW w:w="850" w:type="dxa"/>
          </w:tcPr>
          <w:p w14:paraId="31CE43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1958 год</w:t>
            </w:r>
          </w:p>
        </w:tc>
      </w:tr>
      <w:tr w:rsidR="006F4095" w:rsidRPr="008127F8" w14:paraId="18F68632" w14:textId="77777777">
        <w:tc>
          <w:tcPr>
            <w:tcW w:w="817" w:type="dxa"/>
          </w:tcPr>
          <w:p w14:paraId="071C8D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Ту-4</w:t>
            </w:r>
          </w:p>
        </w:tc>
        <w:tc>
          <w:tcPr>
            <w:tcW w:w="1348" w:type="dxa"/>
          </w:tcPr>
          <w:p w14:paraId="6D72BF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4АШ73МК</w:t>
            </w:r>
          </w:p>
        </w:tc>
        <w:tc>
          <w:tcPr>
            <w:tcW w:w="920" w:type="dxa"/>
          </w:tcPr>
          <w:p w14:paraId="66273D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851" w:type="dxa"/>
          </w:tcPr>
          <w:p w14:paraId="0A695D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072FB7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9C36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DBE4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E5EC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A675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3666BE" w14:textId="77777777">
        <w:tc>
          <w:tcPr>
            <w:tcW w:w="817" w:type="dxa"/>
          </w:tcPr>
          <w:p w14:paraId="4486E5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ИЛ-28</w:t>
            </w:r>
          </w:p>
        </w:tc>
        <w:tc>
          <w:tcPr>
            <w:tcW w:w="1348" w:type="dxa"/>
          </w:tcPr>
          <w:p w14:paraId="062A1D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2АШ73МК</w:t>
            </w:r>
          </w:p>
        </w:tc>
        <w:tc>
          <w:tcPr>
            <w:tcW w:w="920" w:type="dxa"/>
          </w:tcPr>
          <w:p w14:paraId="18C023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256A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0" w:type="dxa"/>
          </w:tcPr>
          <w:p w14:paraId="1C70DB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EDE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8DAB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0985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5565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496971" w14:textId="77777777">
        <w:tc>
          <w:tcPr>
            <w:tcW w:w="817" w:type="dxa"/>
          </w:tcPr>
          <w:p w14:paraId="12103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1348" w:type="dxa"/>
          </w:tcPr>
          <w:p w14:paraId="12989E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4АМ3</w:t>
            </w:r>
          </w:p>
        </w:tc>
        <w:tc>
          <w:tcPr>
            <w:tcW w:w="920" w:type="dxa"/>
          </w:tcPr>
          <w:p w14:paraId="03F4ED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1" w:type="dxa"/>
          </w:tcPr>
          <w:p w14:paraId="66458D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15502B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9812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7FBB0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B054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0B8F9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04D2DF" w14:textId="77777777">
        <w:tc>
          <w:tcPr>
            <w:tcW w:w="817" w:type="dxa"/>
          </w:tcPr>
          <w:p w14:paraId="525ECC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М-4</w:t>
            </w:r>
          </w:p>
        </w:tc>
        <w:tc>
          <w:tcPr>
            <w:tcW w:w="1348" w:type="dxa"/>
          </w:tcPr>
          <w:p w14:paraId="19E28E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tc>
        <w:tc>
          <w:tcPr>
            <w:tcW w:w="920" w:type="dxa"/>
          </w:tcPr>
          <w:p w14:paraId="2387D5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B87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5768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1" w:type="dxa"/>
          </w:tcPr>
          <w:p w14:paraId="6A5A1C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50" w:type="dxa"/>
          </w:tcPr>
          <w:p w14:paraId="1E01BF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851" w:type="dxa"/>
          </w:tcPr>
          <w:p w14:paraId="44127D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55FE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88764E" w14:textId="77777777">
        <w:tc>
          <w:tcPr>
            <w:tcW w:w="817" w:type="dxa"/>
          </w:tcPr>
          <w:p w14:paraId="4E1A9C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3М</w:t>
            </w:r>
          </w:p>
        </w:tc>
        <w:tc>
          <w:tcPr>
            <w:tcW w:w="1348" w:type="dxa"/>
          </w:tcPr>
          <w:p w14:paraId="6DF7FB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p w14:paraId="5D67C3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4АВД-7</w:t>
            </w:r>
          </w:p>
        </w:tc>
        <w:tc>
          <w:tcPr>
            <w:tcW w:w="920" w:type="dxa"/>
          </w:tcPr>
          <w:p w14:paraId="70D3FB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5A50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CCCD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F488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184C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851" w:type="dxa"/>
          </w:tcPr>
          <w:p w14:paraId="503BF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850" w:type="dxa"/>
          </w:tcPr>
          <w:p w14:paraId="27D53C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bl>
    <w:p w14:paraId="202F5F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Г-87, п/я 222</w:t>
      </w:r>
    </w:p>
    <w:p w14:paraId="545DA7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Осипов (1959)</w:t>
      </w:r>
    </w:p>
    <w:p w14:paraId="27FB1A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металлическое самолетостроение (9754).</w:t>
      </w:r>
    </w:p>
    <w:p w14:paraId="673633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6BD36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49A90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9631C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 вышел приказ № 255мссс НКТП</w:t>
      </w:r>
    </w:p>
    <w:p w14:paraId="2501337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 1410сс от 7 марта 1942 года об организации производства танков Т-34 на заводе № 174:</w:t>
      </w:r>
    </w:p>
    <w:p w14:paraId="3A20BD6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Объединить заводы № 173 в Омске и № 174 в Чкалове в один завод с расположением его в Омске на площадях завода № 173.</w:t>
      </w:r>
    </w:p>
    <w:p w14:paraId="150E78A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Объединенный завод именовать – завод № 174 им Ворошилова (6120, 39).</w:t>
      </w:r>
    </w:p>
    <w:p w14:paraId="6737518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02826" w14:textId="77777777" w:rsidR="00EE149C" w:rsidRPr="008127F8" w:rsidRDefault="00EE149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9 марта 1942 года вышло постановление ГКО №1417 «Об организации производства танков Т-70 на заводах № 37 и 38 Наркомтанкопрома». Согласно этому документу, производство Т-60, который с таким трудом осваивали на заводе №37, сворачивалось, а вместо него налаживался выпуск Т-70. К такому повороту событий завод оказался совершенно не готов. В течение месяца руководство завода убеждало НКТП в том, что на текущий момент завод №37 не в состоянии освоить Т-70. Наконец, 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 (17636).</w:t>
      </w:r>
    </w:p>
    <w:p w14:paraId="48510DCD" w14:textId="77777777" w:rsidR="00EE149C" w:rsidRPr="008127F8" w:rsidRDefault="00EE149C" w:rsidP="001E0A84">
      <w:pPr>
        <w:spacing w:after="0" w:line="240" w:lineRule="auto"/>
        <w:jc w:val="both"/>
        <w:rPr>
          <w:rFonts w:ascii="Times New Roman" w:eastAsia="Times New Roman" w:hAnsi="Times New Roman"/>
          <w:color w:val="000000" w:themeColor="text1"/>
          <w:sz w:val="16"/>
          <w:szCs w:val="16"/>
          <w:lang w:eastAsia="ru-RU"/>
        </w:rPr>
      </w:pPr>
    </w:p>
    <w:p w14:paraId="25CFB23B"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1942 года вышло постановление ГКО №1417 "Об организации производства танков Т-70 на заводах №37 и 38 Наркомтанкопрома". После него в Свердловск можно было отправлять цистерну валидола. В соответствующие инстанции посыпались письма, в которых указывалась ошибочность принятого решения. Больше всего скепсиса оказалось связано с моторами. За первый квартал 1942 года ГАЗ недопоставил 664 мотора ГАЗ-11 модель 202. У Т-70 таких моторов было два. В итоге НКТП было вынуждено признать ошибочность решения. 9 апреля 1942 года на стол Молотову легла служебная записка, подписанная В.А. Малышевым, наркомом танковой промышленности. В ней указывалось, что такой резкий переход грозит срывам поставок танков в Красную Армию. На следующий день состоялось совещание, а 12 апреля Молотов подписал постановление ГКО №1581 "О выпуске танков Т-60 на заводе №37 Наркомсредмаша". Выпуск Т-70 сдвигался на июль (23355).</w:t>
      </w:r>
    </w:p>
    <w:p w14:paraId="2BF548C4" w14:textId="77777777" w:rsidR="00870F3F" w:rsidRPr="008A2E5A" w:rsidRDefault="00870F3F" w:rsidP="00870F3F">
      <w:pPr>
        <w:spacing w:after="0" w:line="240" w:lineRule="auto"/>
        <w:jc w:val="both"/>
        <w:rPr>
          <w:rFonts w:ascii="Times New Roman" w:hAnsi="Times New Roman"/>
          <w:color w:val="0070C0"/>
          <w:sz w:val="16"/>
          <w:szCs w:val="16"/>
        </w:rPr>
      </w:pPr>
    </w:p>
    <w:p w14:paraId="013A2D94"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9 марта 1942 г., спустя 3 дня Сталин подписал постановление ГКО №1417сс "Об организации производства танков Т-70 на заводах № 37 и 38 Наркомтанкопрома". На заводе № 38 выпуск Т-60 прекращался с 1 мая, а на заводе № 37 с 1 июня 1942 года. В апреле 1942 года завод №38 должен был выпустить 20 Т-70, еще 70 в мае 120 в июне и 150 в июле. График завода №37 за тот же период составлял 10, 75, 125 и 175 танков соответственно. Последовавший 10 марта приказ НКТП №254 оговаривал, что башни выпускались как литой, так и сварной конструкции. В отличие от ГАЗ им. Молотова, корпусное производство шло исключительно за счет мощностей заводов.</w:t>
      </w:r>
    </w:p>
    <w:p w14:paraId="2FF33F1D"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Руководство завода № 37 встретило идею запуска в серию Т-70 в штыки. Возмущение можно понять: только в феврале 1942 года в Свердловске, наконец, освоили выпуск Т-60 (до того там выпускались Т-30), и тут новая задача. Также имелась существенная проблема с поставкой двигателей, а на Т-70 их требовалось в 2 раза больше. Руководство завода № 37 убедило наркома танковой промышленности В.Я. Малышева в том, что решение явно преждевременное. Он поставил в известность Молотова, который дал согласие на отсрочку. 12 апреля 1942 года Сталин подписал постановление ГКО №1581сс "О выпуске танков Т-60 на заводе № 37 Наркомтанкопрома". Согласно ему, первые Т-70 в Свердловске выпускались в июле 1942 года, а в августе завод сдавал уже 75 танков данного типа. (24898).</w:t>
      </w:r>
    </w:p>
    <w:p w14:paraId="21C905CB" w14:textId="77777777" w:rsidR="00D8717E" w:rsidRPr="007155F3" w:rsidRDefault="00D8717E" w:rsidP="00D8717E">
      <w:pPr>
        <w:spacing w:after="0" w:line="240" w:lineRule="auto"/>
        <w:jc w:val="both"/>
        <w:rPr>
          <w:rFonts w:ascii="Times New Roman" w:hAnsi="Times New Roman"/>
          <w:color w:val="0070C0"/>
          <w:sz w:val="16"/>
          <w:szCs w:val="16"/>
        </w:rPr>
      </w:pPr>
    </w:p>
    <w:p w14:paraId="688B3CB3"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w:t>
      </w:r>
    </w:p>
    <w:p w14:paraId="40A486F4" w14:textId="28E0134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33 – 39</w:t>
      </w:r>
      <w:r w:rsidR="008127F8">
        <w:rPr>
          <w:rFonts w:ascii="Times New Roman" w:hAnsi="Times New Roman"/>
          <w:color w:val="000000" w:themeColor="text1"/>
          <w:sz w:val="16"/>
          <w:szCs w:val="16"/>
        </w:rPr>
        <w:t xml:space="preserve">  </w:t>
      </w:r>
    </w:p>
    <w:p w14:paraId="02DA1603" w14:textId="360E67B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038B1CA1"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AD5EE10"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СССР</w:t>
      </w:r>
    </w:p>
    <w:p w14:paraId="4C1A8E4E"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255-Мсс</w:t>
      </w:r>
    </w:p>
    <w:p w14:paraId="31D22141"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 Москва</w:t>
      </w:r>
    </w:p>
    <w:p w14:paraId="6552822B"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w:t>
      </w:r>
    </w:p>
    <w:p w14:paraId="2958975F" w14:textId="0D39F97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 1410сс от 7 марта с.г. об организации производства танков Т-34 на заводе № 174 ПРИКАЗЫВАЮ:</w:t>
      </w:r>
      <w:r w:rsidR="008127F8">
        <w:rPr>
          <w:rFonts w:ascii="Times New Roman" w:hAnsi="Times New Roman"/>
          <w:color w:val="000000" w:themeColor="text1"/>
          <w:sz w:val="16"/>
          <w:szCs w:val="16"/>
        </w:rPr>
        <w:t xml:space="preserve">  </w:t>
      </w:r>
    </w:p>
    <w:p w14:paraId="46B3D2A1" w14:textId="6F706C7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Объединить заводы № 173 в г. Омске и № 174 в г. Чкалове в один завод с расположением его в г. Омске на площадях завода № 173.</w:t>
      </w:r>
      <w:r w:rsidR="008127F8">
        <w:rPr>
          <w:rFonts w:ascii="Times New Roman" w:hAnsi="Times New Roman"/>
          <w:color w:val="000000" w:themeColor="text1"/>
          <w:sz w:val="16"/>
          <w:szCs w:val="16"/>
        </w:rPr>
        <w:t xml:space="preserve">  </w:t>
      </w:r>
    </w:p>
    <w:p w14:paraId="7BA45063" w14:textId="24E859D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Объединенный завод именовать впредь – Государственный ордена Трудового Красного Знамени завод № 174 им. Ворошилова К.Е. Завод № 173 исключить из числа действующих предприятий Наркомтанкопрома.</w:t>
      </w:r>
      <w:r w:rsidR="008127F8">
        <w:rPr>
          <w:rFonts w:ascii="Times New Roman" w:hAnsi="Times New Roman"/>
          <w:color w:val="000000" w:themeColor="text1"/>
          <w:sz w:val="16"/>
          <w:szCs w:val="16"/>
        </w:rPr>
        <w:t xml:space="preserve">  </w:t>
      </w:r>
    </w:p>
    <w:p w14:paraId="69ACE75D" w14:textId="70FA708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Назначить директором завода № 174 – т. КАЦНЕЛЬСОНА М.З., главным инженером т. ШОР М.И.</w:t>
      </w:r>
      <w:r w:rsidR="008127F8">
        <w:rPr>
          <w:rFonts w:ascii="Times New Roman" w:hAnsi="Times New Roman"/>
          <w:color w:val="000000" w:themeColor="text1"/>
          <w:sz w:val="16"/>
          <w:szCs w:val="16"/>
        </w:rPr>
        <w:t xml:space="preserve">  </w:t>
      </w:r>
    </w:p>
    <w:p w14:paraId="2934CF4D" w14:textId="383E294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Перевести завод № 174 в г. Омске в первую категорию.</w:t>
      </w:r>
      <w:r w:rsidR="008127F8">
        <w:rPr>
          <w:rFonts w:ascii="Times New Roman" w:hAnsi="Times New Roman"/>
          <w:color w:val="000000" w:themeColor="text1"/>
          <w:sz w:val="16"/>
          <w:szCs w:val="16"/>
        </w:rPr>
        <w:t xml:space="preserve">  </w:t>
      </w:r>
    </w:p>
    <w:p w14:paraId="6A0181C1" w14:textId="251AC58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завода № 174 тов. КАЦНЕЛЬСОН и главному инженеру т. ШОР:</w:t>
      </w:r>
      <w:r w:rsidR="008127F8">
        <w:rPr>
          <w:rFonts w:ascii="Times New Roman" w:hAnsi="Times New Roman"/>
          <w:color w:val="000000" w:themeColor="text1"/>
          <w:sz w:val="16"/>
          <w:szCs w:val="16"/>
        </w:rPr>
        <w:t xml:space="preserve">  </w:t>
      </w:r>
    </w:p>
    <w:p w14:paraId="56DBBF93" w14:textId="550A4A2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выпуск танков Т-34 в 1942 г. по следующему графику, утвержденному ГКО:</w:t>
      </w:r>
      <w:r w:rsidR="008127F8">
        <w:rPr>
          <w:rFonts w:ascii="Times New Roman" w:hAnsi="Times New Roman"/>
          <w:color w:val="000000" w:themeColor="text1"/>
          <w:sz w:val="16"/>
          <w:szCs w:val="16"/>
        </w:rPr>
        <w:t xml:space="preserve">  </w:t>
      </w:r>
    </w:p>
    <w:p w14:paraId="47514AE9" w14:textId="46007BB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начать подготовку производства танков Т-34 и провести ее в сроки, обеспечивающие выпуск машин по графику;</w:t>
      </w:r>
      <w:r w:rsidR="008127F8">
        <w:rPr>
          <w:rFonts w:ascii="Times New Roman" w:hAnsi="Times New Roman"/>
          <w:color w:val="000000" w:themeColor="text1"/>
          <w:sz w:val="16"/>
          <w:szCs w:val="16"/>
        </w:rPr>
        <w:t xml:space="preserve">  </w:t>
      </w:r>
    </w:p>
    <w:p w14:paraId="14B3A4B0" w14:textId="645FE5D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организовать подготовку производства и освоения основных узлов по утвержденному мною графику;</w:t>
      </w:r>
      <w:r w:rsidR="008127F8">
        <w:rPr>
          <w:rFonts w:ascii="Times New Roman" w:hAnsi="Times New Roman"/>
          <w:color w:val="000000" w:themeColor="text1"/>
          <w:sz w:val="16"/>
          <w:szCs w:val="16"/>
        </w:rPr>
        <w:t xml:space="preserve">  </w:t>
      </w:r>
    </w:p>
    <w:p w14:paraId="4AC1B7D2" w14:textId="7AEBAB4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организовать перевозку из г. Чкалова оборудования, материалов, инструмента и приспособлений, а также рабочих, служащих и ИТР, с оставлением на месте в г. Чкалове производства боеприпасов. Работы по перевозке вести в последовательности и в сроки, согласно приложению № 1 и закончить к 15.IV.42 г.;</w:t>
      </w:r>
      <w:r w:rsidR="008127F8">
        <w:rPr>
          <w:rFonts w:ascii="Times New Roman" w:hAnsi="Times New Roman"/>
          <w:color w:val="000000" w:themeColor="text1"/>
          <w:sz w:val="16"/>
          <w:szCs w:val="16"/>
        </w:rPr>
        <w:t xml:space="preserve">  </w:t>
      </w:r>
    </w:p>
    <w:p w14:paraId="04B5E2DC" w14:textId="2A2FB2C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обеспечить ввод в эксплоатацию вновь строящихся цехов и переоборудование под танковое производство существующих в сроки, согласно приложению № 2.</w:t>
      </w:r>
      <w:r w:rsidR="008127F8">
        <w:rPr>
          <w:rFonts w:ascii="Times New Roman" w:hAnsi="Times New Roman"/>
          <w:color w:val="000000" w:themeColor="text1"/>
          <w:sz w:val="16"/>
          <w:szCs w:val="16"/>
        </w:rPr>
        <w:t xml:space="preserve">  </w:t>
      </w:r>
    </w:p>
    <w:p w14:paraId="50CCD728" w14:textId="7E2EC6D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Сталинградского тракторного завода тов. ЗАДОРОЖНОМУ:</w:t>
      </w:r>
      <w:r w:rsidR="008127F8">
        <w:rPr>
          <w:rFonts w:ascii="Times New Roman" w:hAnsi="Times New Roman"/>
          <w:color w:val="000000" w:themeColor="text1"/>
          <w:sz w:val="16"/>
          <w:szCs w:val="16"/>
        </w:rPr>
        <w:t xml:space="preserve">  </w:t>
      </w:r>
    </w:p>
    <w:p w14:paraId="5D66ED13" w14:textId="6CDE8BE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 позднее 20.III-42 г. отгрузить заводу № 174 в гор. Омск десять комплектов узлов: коробок скоростей, бортовых фрикционов, главных фрикционов, тормозов, механизмов управления машиной, вооружением и башней и к 15.IV-42 г. еще 25 комплектов тех же узлов;</w:t>
      </w:r>
      <w:r w:rsidR="008127F8">
        <w:rPr>
          <w:rFonts w:ascii="Times New Roman" w:hAnsi="Times New Roman"/>
          <w:color w:val="000000" w:themeColor="text1"/>
          <w:sz w:val="16"/>
          <w:szCs w:val="16"/>
        </w:rPr>
        <w:t xml:space="preserve">  </w:t>
      </w:r>
    </w:p>
    <w:p w14:paraId="50A1E00C" w14:textId="0871287E"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поставить заводу № 174 полуфабрикаты и заготовки в номенклатуре, количествах и сроки, согласно приложению № 3;</w:t>
      </w:r>
      <w:r w:rsidR="008127F8">
        <w:rPr>
          <w:rFonts w:ascii="Times New Roman" w:hAnsi="Times New Roman"/>
          <w:color w:val="000000" w:themeColor="text1"/>
          <w:sz w:val="16"/>
          <w:szCs w:val="16"/>
        </w:rPr>
        <w:t xml:space="preserve">  </w:t>
      </w:r>
    </w:p>
    <w:p w14:paraId="6D1D06A5" w14:textId="2AF97BC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для организации и освоения производства танков Т-34 перевести на постоянную работу на завод № 174 в гор. Омск 20 человек инженерно-технических работников следующих специальностей:</w:t>
      </w:r>
      <w:r w:rsidR="008127F8">
        <w:rPr>
          <w:rFonts w:ascii="Times New Roman" w:hAnsi="Times New Roman"/>
          <w:color w:val="000000" w:themeColor="text1"/>
          <w:sz w:val="16"/>
          <w:szCs w:val="16"/>
        </w:rPr>
        <w:t xml:space="preserve">  </w:t>
      </w:r>
    </w:p>
    <w:p w14:paraId="0D94E36D" w14:textId="2D9B406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Конструкторов по моделям – 3 чел.</w:t>
      </w:r>
      <w:r w:rsidR="008127F8">
        <w:rPr>
          <w:rFonts w:ascii="Times New Roman" w:hAnsi="Times New Roman"/>
          <w:color w:val="000000" w:themeColor="text1"/>
          <w:sz w:val="16"/>
          <w:szCs w:val="16"/>
        </w:rPr>
        <w:t xml:space="preserve">  </w:t>
      </w:r>
    </w:p>
    <w:p w14:paraId="23E58D43" w14:textId="47DC0A7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Конструкторов по холодным штампам – 3 чел.</w:t>
      </w:r>
      <w:r w:rsidR="008127F8">
        <w:rPr>
          <w:rFonts w:ascii="Times New Roman" w:hAnsi="Times New Roman"/>
          <w:color w:val="000000" w:themeColor="text1"/>
          <w:sz w:val="16"/>
          <w:szCs w:val="16"/>
        </w:rPr>
        <w:t xml:space="preserve">  </w:t>
      </w:r>
    </w:p>
    <w:p w14:paraId="386913D0" w14:textId="4F5F186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Конструкторов по горячим штампам – 4 чел.</w:t>
      </w:r>
      <w:r w:rsidR="008127F8">
        <w:rPr>
          <w:rFonts w:ascii="Times New Roman" w:hAnsi="Times New Roman"/>
          <w:color w:val="000000" w:themeColor="text1"/>
          <w:sz w:val="16"/>
          <w:szCs w:val="16"/>
        </w:rPr>
        <w:t xml:space="preserve">  </w:t>
      </w:r>
    </w:p>
    <w:p w14:paraId="3229EF8D" w14:textId="252ADF2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Технологов по термообработке и сварке – 2 чел.</w:t>
      </w:r>
      <w:r w:rsidR="008127F8">
        <w:rPr>
          <w:rFonts w:ascii="Times New Roman" w:hAnsi="Times New Roman"/>
          <w:color w:val="000000" w:themeColor="text1"/>
          <w:sz w:val="16"/>
          <w:szCs w:val="16"/>
        </w:rPr>
        <w:t xml:space="preserve">  </w:t>
      </w:r>
    </w:p>
    <w:p w14:paraId="0DD7B7A9" w14:textId="6169AB5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Технологов по холодной штамповке – 2 чел.</w:t>
      </w:r>
      <w:r w:rsidR="008127F8">
        <w:rPr>
          <w:rFonts w:ascii="Times New Roman" w:hAnsi="Times New Roman"/>
          <w:color w:val="000000" w:themeColor="text1"/>
          <w:sz w:val="16"/>
          <w:szCs w:val="16"/>
        </w:rPr>
        <w:t xml:space="preserve">  </w:t>
      </w:r>
    </w:p>
    <w:p w14:paraId="27AD9428" w14:textId="4F70593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Мастеров зуборезчиков – 2 чел.</w:t>
      </w:r>
      <w:r w:rsidR="008127F8">
        <w:rPr>
          <w:rFonts w:ascii="Times New Roman" w:hAnsi="Times New Roman"/>
          <w:color w:val="000000" w:themeColor="text1"/>
          <w:sz w:val="16"/>
          <w:szCs w:val="16"/>
        </w:rPr>
        <w:t xml:space="preserve">  </w:t>
      </w:r>
    </w:p>
    <w:p w14:paraId="49197A21" w14:textId="78E9371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Мастеров термистов – 2 чел.</w:t>
      </w:r>
      <w:r w:rsidR="008127F8">
        <w:rPr>
          <w:rFonts w:ascii="Times New Roman" w:hAnsi="Times New Roman"/>
          <w:color w:val="000000" w:themeColor="text1"/>
          <w:sz w:val="16"/>
          <w:szCs w:val="16"/>
        </w:rPr>
        <w:t xml:space="preserve">  </w:t>
      </w:r>
    </w:p>
    <w:p w14:paraId="716F1548" w14:textId="7D44C5D8"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Мастеров по пирометрии – 2 чел.</w:t>
      </w:r>
      <w:r w:rsidR="008127F8">
        <w:rPr>
          <w:rFonts w:ascii="Times New Roman" w:hAnsi="Times New Roman"/>
          <w:color w:val="000000" w:themeColor="text1"/>
          <w:sz w:val="16"/>
          <w:szCs w:val="16"/>
        </w:rPr>
        <w:t xml:space="preserve">  </w:t>
      </w:r>
    </w:p>
    <w:p w14:paraId="4D906E6E" w14:textId="5111164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подавать заводу № 174 конические шестерни (со спиральным зубом):</w:t>
      </w:r>
      <w:r w:rsidR="008127F8">
        <w:rPr>
          <w:rFonts w:ascii="Times New Roman" w:hAnsi="Times New Roman"/>
          <w:color w:val="000000" w:themeColor="text1"/>
          <w:sz w:val="16"/>
          <w:szCs w:val="16"/>
        </w:rPr>
        <w:t xml:space="preserve">  </w:t>
      </w:r>
    </w:p>
    <w:p w14:paraId="38E954CB" w14:textId="3C687C82"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И.о. директора Кировского завода т. МАХОНИНУ и директору завода № 183 т. ЗАЛЬЦМАН поставить заводу № 174 в г. Омске штамповку и литье в номенклатуре, количествах и сроки, согласно приложению № 4 и № 5.</w:t>
      </w:r>
      <w:r w:rsidR="008127F8">
        <w:rPr>
          <w:rFonts w:ascii="Times New Roman" w:hAnsi="Times New Roman"/>
          <w:color w:val="000000" w:themeColor="text1"/>
          <w:sz w:val="16"/>
          <w:szCs w:val="16"/>
        </w:rPr>
        <w:t xml:space="preserve">  </w:t>
      </w:r>
    </w:p>
    <w:p w14:paraId="6A66B9A0" w14:textId="54DF9EEE"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Директору завода № 183 т. ЗАЛЬЦМАН откомандировать на завод № 174 в г. Омск на постоянную работу:</w:t>
      </w:r>
      <w:r w:rsidR="008127F8">
        <w:rPr>
          <w:rFonts w:ascii="Times New Roman" w:hAnsi="Times New Roman"/>
          <w:color w:val="000000" w:themeColor="text1"/>
          <w:sz w:val="16"/>
          <w:szCs w:val="16"/>
        </w:rPr>
        <w:t xml:space="preserve">  </w:t>
      </w:r>
    </w:p>
    <w:p w14:paraId="01EC0CB7" w14:textId="4C4D005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Старшего технолога по машине Т-34.</w:t>
      </w:r>
      <w:r w:rsidR="008127F8">
        <w:rPr>
          <w:rFonts w:ascii="Times New Roman" w:hAnsi="Times New Roman"/>
          <w:color w:val="000000" w:themeColor="text1"/>
          <w:sz w:val="16"/>
          <w:szCs w:val="16"/>
        </w:rPr>
        <w:t xml:space="preserve">  </w:t>
      </w:r>
    </w:p>
    <w:p w14:paraId="57B076EF" w14:textId="2AD262D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 Соколянского А.И. – ст. конструктора по приспособлениям по машине.</w:t>
      </w:r>
      <w:r w:rsidR="008127F8">
        <w:rPr>
          <w:rFonts w:ascii="Times New Roman" w:hAnsi="Times New Roman"/>
          <w:color w:val="000000" w:themeColor="text1"/>
          <w:sz w:val="16"/>
          <w:szCs w:val="16"/>
        </w:rPr>
        <w:t xml:space="preserve">  </w:t>
      </w:r>
    </w:p>
    <w:p w14:paraId="27CFA058" w14:textId="4397ED4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 Померанцева В.Г. – ст. инженера-технолога.</w:t>
      </w:r>
      <w:r w:rsidR="008127F8">
        <w:rPr>
          <w:rFonts w:ascii="Times New Roman" w:hAnsi="Times New Roman"/>
          <w:color w:val="000000" w:themeColor="text1"/>
          <w:sz w:val="16"/>
          <w:szCs w:val="16"/>
        </w:rPr>
        <w:t xml:space="preserve">  </w:t>
      </w:r>
    </w:p>
    <w:p w14:paraId="63472190" w14:textId="5CE7F95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Мастеров по сварке корпусов – 3 чел.</w:t>
      </w:r>
      <w:r w:rsidR="008127F8">
        <w:rPr>
          <w:rFonts w:ascii="Times New Roman" w:hAnsi="Times New Roman"/>
          <w:color w:val="000000" w:themeColor="text1"/>
          <w:sz w:val="16"/>
          <w:szCs w:val="16"/>
        </w:rPr>
        <w:t xml:space="preserve">  </w:t>
      </w:r>
    </w:p>
    <w:p w14:paraId="3ADF8A19" w14:textId="4315AE4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Рабочих калильщиков брони – 5 чел.</w:t>
      </w:r>
      <w:r w:rsidR="008127F8">
        <w:rPr>
          <w:rFonts w:ascii="Times New Roman" w:hAnsi="Times New Roman"/>
          <w:color w:val="000000" w:themeColor="text1"/>
          <w:sz w:val="16"/>
          <w:szCs w:val="16"/>
        </w:rPr>
        <w:t xml:space="preserve">  </w:t>
      </w:r>
    </w:p>
    <w:p w14:paraId="2CC1B36E" w14:textId="0118ABD2"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Технологов по корпусному производству – 3 чел.</w:t>
      </w:r>
      <w:r w:rsidR="008127F8">
        <w:rPr>
          <w:rFonts w:ascii="Times New Roman" w:hAnsi="Times New Roman"/>
          <w:color w:val="000000" w:themeColor="text1"/>
          <w:sz w:val="16"/>
          <w:szCs w:val="16"/>
        </w:rPr>
        <w:t xml:space="preserve">  </w:t>
      </w:r>
    </w:p>
    <w:p w14:paraId="1E0D4E57" w14:textId="310129B2"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Директору завода № 112 т. МИХАЛЕВУ до 1 апреля с/г отгрузить заводу № 174 в г. Омск 5 комплектов бронекорпусов с башнями, бронемасками, бронедеталями и деталями россыпью (комплектно).</w:t>
      </w:r>
      <w:r w:rsidR="008127F8">
        <w:rPr>
          <w:rFonts w:ascii="Times New Roman" w:hAnsi="Times New Roman"/>
          <w:color w:val="000000" w:themeColor="text1"/>
          <w:sz w:val="16"/>
          <w:szCs w:val="16"/>
        </w:rPr>
        <w:t xml:space="preserve">  </w:t>
      </w:r>
    </w:p>
    <w:p w14:paraId="7F832F1A" w14:textId="409B4BF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Директору завода № 178 т. СКИБА подавать заводу № 174 заготовки согласно приложению № 9.</w:t>
      </w:r>
      <w:r w:rsidR="008127F8">
        <w:rPr>
          <w:rFonts w:ascii="Times New Roman" w:hAnsi="Times New Roman"/>
          <w:color w:val="000000" w:themeColor="text1"/>
          <w:sz w:val="16"/>
          <w:szCs w:val="16"/>
        </w:rPr>
        <w:t xml:space="preserve">  </w:t>
      </w:r>
    </w:p>
    <w:p w14:paraId="66B2EDEE" w14:textId="4493C1E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И.о. директора Кировского завода тов. МАХОНИНУ поставить заводу № 174 дизельмоторы В-2 по следующему графику:</w:t>
      </w:r>
      <w:r w:rsidR="008127F8">
        <w:rPr>
          <w:rFonts w:ascii="Times New Roman" w:hAnsi="Times New Roman"/>
          <w:color w:val="000000" w:themeColor="text1"/>
          <w:sz w:val="16"/>
          <w:szCs w:val="16"/>
        </w:rPr>
        <w:t xml:space="preserve">  </w:t>
      </w:r>
    </w:p>
    <w:p w14:paraId="795EBC78" w14:textId="7363AA3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Начальнику Главснаба т. РОЗИНУ:</w:t>
      </w:r>
      <w:r w:rsidR="008127F8">
        <w:rPr>
          <w:rFonts w:ascii="Times New Roman" w:hAnsi="Times New Roman"/>
          <w:color w:val="000000" w:themeColor="text1"/>
          <w:sz w:val="16"/>
          <w:szCs w:val="16"/>
        </w:rPr>
        <w:t xml:space="preserve">  </w:t>
      </w:r>
    </w:p>
    <w:p w14:paraId="42712ED8" w14:textId="1B186FF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завод № 174 металлом, материалами и инструментальными сталями для проведения подготовки производства, переоборудования цехов и монтажа оборудования в количествах и сроки, согласно приложению № 6;</w:t>
      </w:r>
      <w:r w:rsidR="008127F8">
        <w:rPr>
          <w:rFonts w:ascii="Times New Roman" w:hAnsi="Times New Roman"/>
          <w:color w:val="000000" w:themeColor="text1"/>
          <w:sz w:val="16"/>
          <w:szCs w:val="16"/>
        </w:rPr>
        <w:t xml:space="preserve">  </w:t>
      </w:r>
    </w:p>
    <w:p w14:paraId="0B1EFA00" w14:textId="7ED5006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завод № 174 фондами на металл, материалы, инструменты и готовые изделия в количествах и сроки, обеспечивающие выполнение установленного ГКО графика выпуска танков и создание необходимых заделов. Закрепить за заводом № 174 постоянных поставщиков по готовым изделиям и кооперированным поставкам преимущественно в районе Урала и Сибири;</w:t>
      </w:r>
      <w:r w:rsidR="008127F8">
        <w:rPr>
          <w:rFonts w:ascii="Times New Roman" w:hAnsi="Times New Roman"/>
          <w:color w:val="000000" w:themeColor="text1"/>
          <w:sz w:val="16"/>
          <w:szCs w:val="16"/>
        </w:rPr>
        <w:t xml:space="preserve">  </w:t>
      </w:r>
    </w:p>
    <w:p w14:paraId="3E698A32" w14:textId="7900CDB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выделить заводу № 174 для размножения технической документации светочувствительной бумаги 5000 рулонов и кальки 1000 рулонов;</w:t>
      </w:r>
      <w:r w:rsidR="008127F8">
        <w:rPr>
          <w:rFonts w:ascii="Times New Roman" w:hAnsi="Times New Roman"/>
          <w:color w:val="000000" w:themeColor="text1"/>
          <w:sz w:val="16"/>
          <w:szCs w:val="16"/>
        </w:rPr>
        <w:t xml:space="preserve">  </w:t>
      </w:r>
    </w:p>
    <w:p w14:paraId="71E782D8" w14:textId="188179F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реализовать через Наркомвнешторг СССР получение комплекта зубострогательных станков Глиссон для обработки конических шестерен, согласно постановлению ГКО в количестве: Глиссон 25" – 8 шт., Глиссон заточной для фрез – 2 шт. и Глиссон контр. для фрез – 2 шт.</w:t>
      </w:r>
      <w:r w:rsidR="008127F8">
        <w:rPr>
          <w:rFonts w:ascii="Times New Roman" w:hAnsi="Times New Roman"/>
          <w:color w:val="000000" w:themeColor="text1"/>
          <w:sz w:val="16"/>
          <w:szCs w:val="16"/>
        </w:rPr>
        <w:t xml:space="preserve">  </w:t>
      </w:r>
    </w:p>
    <w:p w14:paraId="59937AC6" w14:textId="62C4D6D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Начальнику Финансово-бухгалтерского отдела т. ШАГАЛОВУ:</w:t>
      </w:r>
      <w:r w:rsidR="008127F8">
        <w:rPr>
          <w:rFonts w:ascii="Times New Roman" w:hAnsi="Times New Roman"/>
          <w:color w:val="000000" w:themeColor="text1"/>
          <w:sz w:val="16"/>
          <w:szCs w:val="16"/>
        </w:rPr>
        <w:t xml:space="preserve">  </w:t>
      </w:r>
    </w:p>
    <w:p w14:paraId="09D9E3C3" w14:textId="38E46BE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выделить заводу № 174 необходимые средства на перевозку завода из гор. Чкалова в гор. Омск, </w:t>
      </w:r>
      <w:proofErr w:type="gramStart"/>
      <w:r w:rsidRPr="008127F8">
        <w:rPr>
          <w:rFonts w:ascii="Times New Roman" w:hAnsi="Times New Roman"/>
          <w:color w:val="000000" w:themeColor="text1"/>
          <w:sz w:val="16"/>
          <w:szCs w:val="16"/>
        </w:rPr>
        <w:t>согласно сметного расчета</w:t>
      </w:r>
      <w:proofErr w:type="gramEnd"/>
      <w:r w:rsidRPr="008127F8">
        <w:rPr>
          <w:rFonts w:ascii="Times New Roman" w:hAnsi="Times New Roman"/>
          <w:color w:val="000000" w:themeColor="text1"/>
          <w:sz w:val="16"/>
          <w:szCs w:val="16"/>
        </w:rPr>
        <w:t>, представляемого заводом № 174;</w:t>
      </w:r>
      <w:r w:rsidR="008127F8">
        <w:rPr>
          <w:rFonts w:ascii="Times New Roman" w:hAnsi="Times New Roman"/>
          <w:color w:val="000000" w:themeColor="text1"/>
          <w:sz w:val="16"/>
          <w:szCs w:val="16"/>
        </w:rPr>
        <w:t xml:space="preserve">  </w:t>
      </w:r>
    </w:p>
    <w:p w14:paraId="07035D8D" w14:textId="56254A6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полностью обеспечить завод № 174 оборотными средствами;</w:t>
      </w:r>
      <w:r w:rsidR="008127F8">
        <w:rPr>
          <w:rFonts w:ascii="Times New Roman" w:hAnsi="Times New Roman"/>
          <w:color w:val="000000" w:themeColor="text1"/>
          <w:sz w:val="16"/>
          <w:szCs w:val="16"/>
        </w:rPr>
        <w:t xml:space="preserve">  </w:t>
      </w:r>
    </w:p>
    <w:p w14:paraId="2728960F" w14:textId="2830C32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директору завода № 174 т. КАЦНЕЛЬСОН разрешить израсходовать 100.000 рублей для оказания единовременной помощи рабочим, служащим и ИТР завода, пострадавшим от бомбардировки при эвакуации из гор. Ленинграда;</w:t>
      </w:r>
      <w:r w:rsidR="008127F8">
        <w:rPr>
          <w:rFonts w:ascii="Times New Roman" w:hAnsi="Times New Roman"/>
          <w:color w:val="000000" w:themeColor="text1"/>
          <w:sz w:val="16"/>
          <w:szCs w:val="16"/>
        </w:rPr>
        <w:t xml:space="preserve">  </w:t>
      </w:r>
    </w:p>
    <w:p w14:paraId="5B117AE4" w14:textId="5441971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выделить в распоряжение директора завода № 174 тов. КАЦНЕЛЬСОН 2,0 милл. рублей для премирования особо отличившихся рабочих, служащих и ИТР в освоении производства танков Т-34 и за выполнение графика.</w:t>
      </w:r>
      <w:r w:rsidR="008127F8">
        <w:rPr>
          <w:rFonts w:ascii="Times New Roman" w:hAnsi="Times New Roman"/>
          <w:color w:val="000000" w:themeColor="text1"/>
          <w:sz w:val="16"/>
          <w:szCs w:val="16"/>
        </w:rPr>
        <w:t xml:space="preserve">  </w:t>
      </w:r>
    </w:p>
    <w:p w14:paraId="48A45492" w14:textId="718B38C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Разрешить директору завода № 174 т. КАЦНЕЛЬСОН:</w:t>
      </w:r>
      <w:r w:rsidR="008127F8">
        <w:rPr>
          <w:rFonts w:ascii="Times New Roman" w:hAnsi="Times New Roman"/>
          <w:color w:val="000000" w:themeColor="text1"/>
          <w:sz w:val="16"/>
          <w:szCs w:val="16"/>
        </w:rPr>
        <w:t xml:space="preserve">  </w:t>
      </w:r>
    </w:p>
    <w:p w14:paraId="634D336A" w14:textId="5FB6944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утверждение титулов по строительству завода в объеме сумм, выделяемых на строительство Наркомтанкопрома;</w:t>
      </w:r>
      <w:r w:rsidR="008127F8">
        <w:rPr>
          <w:rFonts w:ascii="Times New Roman" w:hAnsi="Times New Roman"/>
          <w:color w:val="000000" w:themeColor="text1"/>
          <w:sz w:val="16"/>
          <w:szCs w:val="16"/>
        </w:rPr>
        <w:t xml:space="preserve">  </w:t>
      </w:r>
    </w:p>
    <w:p w14:paraId="23BA4333" w14:textId="2B04DB2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применение аккордных и сверхурочных работ для ИТР и служащих на период подготовки производства и освоения танка Т-34 до 1 июня 1942 г.</w:t>
      </w:r>
      <w:r w:rsidR="008127F8">
        <w:rPr>
          <w:rFonts w:ascii="Times New Roman" w:hAnsi="Times New Roman"/>
          <w:color w:val="000000" w:themeColor="text1"/>
          <w:sz w:val="16"/>
          <w:szCs w:val="16"/>
        </w:rPr>
        <w:t xml:space="preserve">  </w:t>
      </w:r>
    </w:p>
    <w:p w14:paraId="3BB0BF43" w14:textId="24C100B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Начальнику Планового отдела т. ВАСИНУ пересмотреть промфинплан завода № 174, предусмотрев средства и лимиты на подготовку производства.</w:t>
      </w:r>
      <w:r w:rsidR="008127F8">
        <w:rPr>
          <w:rFonts w:ascii="Times New Roman" w:hAnsi="Times New Roman"/>
          <w:color w:val="000000" w:themeColor="text1"/>
          <w:sz w:val="16"/>
          <w:szCs w:val="16"/>
        </w:rPr>
        <w:t xml:space="preserve">  </w:t>
      </w:r>
    </w:p>
    <w:p w14:paraId="06A64EFA" w14:textId="35498B1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Начальнику ОКСа т. КОРНЕВУ предусмотреть в плане на 1942 г. выделение заводу № 174 средств на капитальное строительство, обеспечивающее финансированием утвержденного ГКО плана ввода новых цехов, в том числе во II квартале 1942 г. – 20,0 миллионов рублей.</w:t>
      </w:r>
      <w:r w:rsidR="008127F8">
        <w:rPr>
          <w:rFonts w:ascii="Times New Roman" w:hAnsi="Times New Roman"/>
          <w:color w:val="000000" w:themeColor="text1"/>
          <w:sz w:val="16"/>
          <w:szCs w:val="16"/>
        </w:rPr>
        <w:t xml:space="preserve">  </w:t>
      </w:r>
    </w:p>
    <w:p w14:paraId="353073EF" w14:textId="213D974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Контроль за ходом перевозки завода № 174 из гор. Чкалова в гор. Омск, обеспечение подачи заводу вагонов и быстрейшим продвижением эшелонов в пути возлагаю на моего заместителя т. ПЕТРОСЬЯНЦ.</w:t>
      </w:r>
      <w:r w:rsidR="008127F8">
        <w:rPr>
          <w:rFonts w:ascii="Times New Roman" w:hAnsi="Times New Roman"/>
          <w:color w:val="000000" w:themeColor="text1"/>
          <w:sz w:val="16"/>
          <w:szCs w:val="16"/>
        </w:rPr>
        <w:t xml:space="preserve">  </w:t>
      </w:r>
    </w:p>
    <w:p w14:paraId="1EDC6A9F" w14:textId="3E25A94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Начальнику Производственного отдела – моему заместителю тов. СТЕПАНОВУ создать в Производственном отделе Наркомата специальную группу по обслуживанию завода № 174. Ответственность за обеспечение завода № 174 полуфабрикатами и готовыми изделиями с кооперированных заводов Наркомтанкопрома возлагаю на зам. начальника Производственного отдела т. ДАВТЯН.</w:t>
      </w:r>
      <w:r w:rsidR="008127F8">
        <w:rPr>
          <w:rFonts w:ascii="Times New Roman" w:hAnsi="Times New Roman"/>
          <w:color w:val="000000" w:themeColor="text1"/>
          <w:sz w:val="16"/>
          <w:szCs w:val="16"/>
        </w:rPr>
        <w:t xml:space="preserve">  </w:t>
      </w:r>
    </w:p>
    <w:p w14:paraId="08F32497" w14:textId="3058B15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Начальнику Главснаба т. РОЗИНУ взять под личное наблюдение обеспечение всеми материалами и покупными изделиями завода № 174. Для постоянного контроля за ходом поставок заводу № 174 выделить в Главснабе старшего диспетчера.</w:t>
      </w:r>
      <w:r w:rsidR="008127F8">
        <w:rPr>
          <w:rFonts w:ascii="Times New Roman" w:hAnsi="Times New Roman"/>
          <w:color w:val="000000" w:themeColor="text1"/>
          <w:sz w:val="16"/>
          <w:szCs w:val="16"/>
        </w:rPr>
        <w:t xml:space="preserve">  </w:t>
      </w:r>
    </w:p>
    <w:p w14:paraId="72CF6BA0" w14:textId="1F6947B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Директору завода № 174 т. КАЦНЕЛЬСОН учесть, что решением ГКО № 1410сс от 7 марта с/г:</w:t>
      </w:r>
      <w:r w:rsidR="008127F8">
        <w:rPr>
          <w:rFonts w:ascii="Times New Roman" w:hAnsi="Times New Roman"/>
          <w:color w:val="000000" w:themeColor="text1"/>
          <w:sz w:val="16"/>
          <w:szCs w:val="16"/>
        </w:rPr>
        <w:t xml:space="preserve">  </w:t>
      </w:r>
    </w:p>
    <w:p w14:paraId="1A60D0DD" w14:textId="3542333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проектирование и строительство завода № 174 возложено на Наркомстрой и строительство завода включено в план работ Наркомстроя на 1942 г., начиная с марта месяца;</w:t>
      </w:r>
      <w:r w:rsidR="008127F8">
        <w:rPr>
          <w:rFonts w:ascii="Times New Roman" w:hAnsi="Times New Roman"/>
          <w:color w:val="000000" w:themeColor="text1"/>
          <w:sz w:val="16"/>
          <w:szCs w:val="16"/>
        </w:rPr>
        <w:t xml:space="preserve">  </w:t>
      </w:r>
    </w:p>
    <w:p w14:paraId="0F396BF4" w14:textId="4064EDD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Промбанку разрешено финансирование строительства до 1 сентября с/г без проектов и смет по единичным расценкам, согласованным стройорганизацией с заводом № 174;</w:t>
      </w:r>
      <w:r w:rsidR="008127F8">
        <w:rPr>
          <w:rFonts w:ascii="Times New Roman" w:hAnsi="Times New Roman"/>
          <w:color w:val="000000" w:themeColor="text1"/>
          <w:sz w:val="16"/>
          <w:szCs w:val="16"/>
        </w:rPr>
        <w:t xml:space="preserve">  </w:t>
      </w:r>
    </w:p>
    <w:p w14:paraId="28EF35ED" w14:textId="663D7C0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работу термопечей до пуска газогенераторной станции разрешено вести на мазуте;</w:t>
      </w:r>
      <w:r w:rsidR="008127F8">
        <w:rPr>
          <w:rFonts w:ascii="Times New Roman" w:hAnsi="Times New Roman"/>
          <w:color w:val="000000" w:themeColor="text1"/>
          <w:sz w:val="16"/>
          <w:szCs w:val="16"/>
        </w:rPr>
        <w:t xml:space="preserve">  </w:t>
      </w:r>
    </w:p>
    <w:p w14:paraId="7BF4871B" w14:textId="419C8AC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НКО т. ЩАДЕНКО обязан сформировать и передать заводу к 15.III-42 г. две рабочих колонны местного формирования, а Облисполком – ЕВСТИГНЕЕВ обязан обеспечить выделенные колонны жильем;</w:t>
      </w:r>
      <w:r w:rsidR="008127F8">
        <w:rPr>
          <w:rFonts w:ascii="Times New Roman" w:hAnsi="Times New Roman"/>
          <w:color w:val="000000" w:themeColor="text1"/>
          <w:sz w:val="16"/>
          <w:szCs w:val="16"/>
        </w:rPr>
        <w:t xml:space="preserve">  </w:t>
      </w:r>
    </w:p>
    <w:p w14:paraId="6EF017FC" w14:textId="46CB678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НКПС обязан:</w:t>
      </w:r>
      <w:r w:rsidR="008127F8">
        <w:rPr>
          <w:rFonts w:ascii="Times New Roman" w:hAnsi="Times New Roman"/>
          <w:color w:val="000000" w:themeColor="text1"/>
          <w:sz w:val="16"/>
          <w:szCs w:val="16"/>
        </w:rPr>
        <w:t xml:space="preserve">  </w:t>
      </w:r>
    </w:p>
    <w:p w14:paraId="0BD4FE15" w14:textId="693D074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представить для перевозки оборудования, материалов и рабочих завода № 174 из г. Чкалова в г. Омск 2000 вагонов, в т.ч. 500 для перевозки людей.</w:t>
      </w:r>
      <w:r w:rsidR="008127F8">
        <w:rPr>
          <w:rFonts w:ascii="Times New Roman" w:hAnsi="Times New Roman"/>
          <w:color w:val="000000" w:themeColor="text1"/>
          <w:sz w:val="16"/>
          <w:szCs w:val="16"/>
        </w:rPr>
        <w:t xml:space="preserve">  </w:t>
      </w:r>
    </w:p>
    <w:p w14:paraId="052435E3" w14:textId="0AC3EFF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Предоставить на Оренбургской жел. дор. для погрузки и Омской для разгрузки необходимое количество кранов и маневровых паровозов по заявке завода № 174.</w:t>
      </w:r>
      <w:r w:rsidR="008127F8">
        <w:rPr>
          <w:rFonts w:ascii="Times New Roman" w:hAnsi="Times New Roman"/>
          <w:color w:val="000000" w:themeColor="text1"/>
          <w:sz w:val="16"/>
          <w:szCs w:val="16"/>
        </w:rPr>
        <w:t xml:space="preserve">  </w:t>
      </w:r>
    </w:p>
    <w:p w14:paraId="5933F92A" w14:textId="3CD677D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 15.III-42 г. очистить площадку, прилегающую к заводу № 174 и занимаемую складскими помещениями Омской дороги и освободить территорию завода № 174 от находящихся там грузов НКПС к 1 апреля с/г.</w:t>
      </w:r>
      <w:r w:rsidR="008127F8">
        <w:rPr>
          <w:rFonts w:ascii="Times New Roman" w:hAnsi="Times New Roman"/>
          <w:color w:val="000000" w:themeColor="text1"/>
          <w:sz w:val="16"/>
          <w:szCs w:val="16"/>
        </w:rPr>
        <w:t xml:space="preserve">  </w:t>
      </w:r>
    </w:p>
    <w:p w14:paraId="39EAA6D6" w14:textId="0E71704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 Разыскать и доставить заводу № 174 четырнадцать платформ с кузнечнопрессовым оборудованием согласно приложению № 7.</w:t>
      </w:r>
      <w:r w:rsidR="008127F8">
        <w:rPr>
          <w:rFonts w:ascii="Times New Roman" w:hAnsi="Times New Roman"/>
          <w:color w:val="000000" w:themeColor="text1"/>
          <w:sz w:val="16"/>
          <w:szCs w:val="16"/>
        </w:rPr>
        <w:t xml:space="preserve">  </w:t>
      </w:r>
    </w:p>
    <w:p w14:paraId="7A0F2CC4" w14:textId="2C7CEE5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Омский Обком ВКП(б) – т. Кудинов и Облисполком – т. Евстигнеев обязаны обеспечить рабочих, служащих и ИТР завода № 174, перевозимых из гор. Чкалова, жилплощадью, для чего им предоставлено право выселить из г. Омска 20.000 жителей, не связанных с работой в промышленности и на жел. дор. транспорте и временно занять под жилье помещения четырех школ.</w:t>
      </w:r>
      <w:r w:rsidR="008127F8">
        <w:rPr>
          <w:rFonts w:ascii="Times New Roman" w:hAnsi="Times New Roman"/>
          <w:color w:val="000000" w:themeColor="text1"/>
          <w:sz w:val="16"/>
          <w:szCs w:val="16"/>
        </w:rPr>
        <w:t xml:space="preserve">  </w:t>
      </w:r>
    </w:p>
    <w:p w14:paraId="333550EB" w14:textId="1C5F861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Госплан СССР обязан подобрать до 25.IV-с.г. из числа неустановленного и неиспользуемого оборудования станки для доукомплектования завода № 174 ориентировочно согласно приложению № 8.</w:t>
      </w:r>
      <w:r w:rsidR="008127F8">
        <w:rPr>
          <w:rFonts w:ascii="Times New Roman" w:hAnsi="Times New Roman"/>
          <w:color w:val="000000" w:themeColor="text1"/>
          <w:sz w:val="16"/>
          <w:szCs w:val="16"/>
        </w:rPr>
        <w:t xml:space="preserve">  </w:t>
      </w:r>
    </w:p>
    <w:p w14:paraId="1F6E08A3" w14:textId="3D11EC7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Наркомэлектростанций т. ЖИМЕРИН обязан полностью обеспечить завод электроэнергией, не допуская ограничений и отклонений.</w:t>
      </w:r>
      <w:r w:rsidR="008127F8">
        <w:rPr>
          <w:rFonts w:ascii="Times New Roman" w:hAnsi="Times New Roman"/>
          <w:color w:val="000000" w:themeColor="text1"/>
          <w:sz w:val="16"/>
          <w:szCs w:val="16"/>
        </w:rPr>
        <w:t xml:space="preserve">  </w:t>
      </w:r>
    </w:p>
    <w:p w14:paraId="5B4E10B5" w14:textId="682F9398"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Наркомат станкостроения – т. ЕФРЕМОВ обязан поставить заводу № 174 до 1.IV-42 г. дополнительно к выделенным фондам, за счет отодвижки поставки другим потребителям, нормальный и специальный режущий и мерительный инструмент и абразивы, согласно приложению № 9.</w:t>
      </w:r>
      <w:r w:rsidR="008127F8">
        <w:rPr>
          <w:rFonts w:ascii="Times New Roman" w:hAnsi="Times New Roman"/>
          <w:color w:val="000000" w:themeColor="text1"/>
          <w:sz w:val="16"/>
          <w:szCs w:val="16"/>
        </w:rPr>
        <w:t xml:space="preserve">  </w:t>
      </w:r>
    </w:p>
    <w:p w14:paraId="5CE3D222" w14:textId="5B18758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Наркомсредмаш т. АКОПОВ обязан в марте с/г отгрузить заводу № 174 10 грузовых автомашин ГАЗ-АА.</w:t>
      </w:r>
      <w:r w:rsidR="008127F8">
        <w:rPr>
          <w:rFonts w:ascii="Times New Roman" w:hAnsi="Times New Roman"/>
          <w:color w:val="000000" w:themeColor="text1"/>
          <w:sz w:val="16"/>
          <w:szCs w:val="16"/>
        </w:rPr>
        <w:t xml:space="preserve">  </w:t>
      </w:r>
    </w:p>
    <w:p w14:paraId="2B014F26" w14:textId="1664E19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Наркомхимпром т. ПЕРВУХИН обязан отгрузить заводу № 174 до 15.III-42 г. 50 тонн натриевой селитры и 50 тонн калиевой селитры.</w:t>
      </w:r>
      <w:r w:rsidR="008127F8">
        <w:rPr>
          <w:rFonts w:ascii="Times New Roman" w:hAnsi="Times New Roman"/>
          <w:color w:val="000000" w:themeColor="text1"/>
          <w:sz w:val="16"/>
          <w:szCs w:val="16"/>
        </w:rPr>
        <w:t xml:space="preserve">  </w:t>
      </w:r>
    </w:p>
    <w:p w14:paraId="6C4634C0" w14:textId="0D15C04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Наркомчермет – т. ТЕВОСЯН обязан поставить заводу № 174 для строительства термических и мартеновских печей огнеупоров до 1 апреля с/г 1000 тонн, до 5 апреля с/г – 1200 тонн и глины огнеупорной до 1 апреля 220 тонн, а с 1 мая по сентябрь с/г ежемесячно шамотного кирпича – 750 тонн, динасового кирпича 540 тонн, магнезитового кирпича – 170 тонн и глины комовой – 36 тонн.</w:t>
      </w:r>
      <w:r w:rsidR="008127F8">
        <w:rPr>
          <w:rFonts w:ascii="Times New Roman" w:hAnsi="Times New Roman"/>
          <w:color w:val="000000" w:themeColor="text1"/>
          <w:sz w:val="16"/>
          <w:szCs w:val="16"/>
        </w:rPr>
        <w:t xml:space="preserve">  </w:t>
      </w:r>
    </w:p>
    <w:p w14:paraId="5C62A2AF" w14:textId="7BBA617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Наркомморфлот т. ШИРШОВ и НКПС т. КАГАНОВИЧ обязаны к 25.III-42 г. доставить в Омск заводу № 174 находящиеся в Баку три эшелона с эвакуированным оборудованием Ворошиловградского завода.</w:t>
      </w:r>
      <w:r w:rsidR="008127F8">
        <w:rPr>
          <w:rFonts w:ascii="Times New Roman" w:hAnsi="Times New Roman"/>
          <w:color w:val="000000" w:themeColor="text1"/>
          <w:sz w:val="16"/>
          <w:szCs w:val="16"/>
        </w:rPr>
        <w:t xml:space="preserve">  </w:t>
      </w:r>
    </w:p>
    <w:p w14:paraId="4F07F402" w14:textId="3C20896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Наркомвнешторг – т. МИКОЯН обязан закупить и доставить в СССР в самом срочном порядке комплект станков Глиссон для нарезки конических спиральных шестерен:</w:t>
      </w:r>
      <w:r w:rsidR="008127F8">
        <w:rPr>
          <w:rFonts w:ascii="Times New Roman" w:hAnsi="Times New Roman"/>
          <w:color w:val="000000" w:themeColor="text1"/>
          <w:sz w:val="16"/>
          <w:szCs w:val="16"/>
        </w:rPr>
        <w:t xml:space="preserve">  </w:t>
      </w:r>
    </w:p>
    <w:p w14:paraId="7F28C1CC" w14:textId="017A794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Глиссон 25" – 8 шт.</w:t>
      </w:r>
      <w:r w:rsidR="008127F8">
        <w:rPr>
          <w:rFonts w:ascii="Times New Roman" w:hAnsi="Times New Roman"/>
          <w:color w:val="000000" w:themeColor="text1"/>
          <w:sz w:val="16"/>
          <w:szCs w:val="16"/>
        </w:rPr>
        <w:t xml:space="preserve">  </w:t>
      </w:r>
    </w:p>
    <w:p w14:paraId="599F9D7A" w14:textId="6181DC1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Глиссон заточные д/фрез – 2 шт.</w:t>
      </w:r>
      <w:r w:rsidR="008127F8">
        <w:rPr>
          <w:rFonts w:ascii="Times New Roman" w:hAnsi="Times New Roman"/>
          <w:color w:val="000000" w:themeColor="text1"/>
          <w:sz w:val="16"/>
          <w:szCs w:val="16"/>
        </w:rPr>
        <w:t xml:space="preserve">  </w:t>
      </w:r>
    </w:p>
    <w:p w14:paraId="5B694096" w14:textId="1D8A806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Глиссон контр. д/фрез – 2 шт.</w:t>
      </w:r>
      <w:r w:rsidR="008127F8">
        <w:rPr>
          <w:rFonts w:ascii="Times New Roman" w:hAnsi="Times New Roman"/>
          <w:color w:val="000000" w:themeColor="text1"/>
          <w:sz w:val="16"/>
          <w:szCs w:val="16"/>
        </w:rPr>
        <w:t xml:space="preserve">  </w:t>
      </w:r>
    </w:p>
    <w:p w14:paraId="6FDFB094" w14:textId="07DC452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Наркомлес т. САЛТЫКОВ обязан выделить Наркомтанкопрому для завода № 174 сто стандартных брусковых домов с поставкой:</w:t>
      </w:r>
      <w:r w:rsidR="008127F8">
        <w:rPr>
          <w:rFonts w:ascii="Times New Roman" w:hAnsi="Times New Roman"/>
          <w:color w:val="000000" w:themeColor="text1"/>
          <w:sz w:val="16"/>
          <w:szCs w:val="16"/>
        </w:rPr>
        <w:t xml:space="preserve">  </w:t>
      </w:r>
    </w:p>
    <w:p w14:paraId="738601CB" w14:textId="1B1C1C5C"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1.IV – 25 домов</w:t>
      </w:r>
      <w:r w:rsidR="008127F8">
        <w:rPr>
          <w:rFonts w:ascii="Times New Roman" w:hAnsi="Times New Roman"/>
          <w:color w:val="000000" w:themeColor="text1"/>
          <w:sz w:val="16"/>
          <w:szCs w:val="16"/>
        </w:rPr>
        <w:t xml:space="preserve">  </w:t>
      </w:r>
    </w:p>
    <w:p w14:paraId="76FFB577" w14:textId="522D779F"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1.V – 25 домов</w:t>
      </w:r>
      <w:r w:rsidR="008127F8">
        <w:rPr>
          <w:rFonts w:ascii="Times New Roman" w:hAnsi="Times New Roman"/>
          <w:color w:val="000000" w:themeColor="text1"/>
          <w:sz w:val="16"/>
          <w:szCs w:val="16"/>
        </w:rPr>
        <w:t xml:space="preserve">  </w:t>
      </w:r>
    </w:p>
    <w:p w14:paraId="4AE185A6" w14:textId="4714403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1.VI – 50 домов</w:t>
      </w:r>
      <w:r w:rsidR="008127F8">
        <w:rPr>
          <w:rFonts w:ascii="Times New Roman" w:hAnsi="Times New Roman"/>
          <w:color w:val="000000" w:themeColor="text1"/>
          <w:sz w:val="16"/>
          <w:szCs w:val="16"/>
        </w:rPr>
        <w:t xml:space="preserve">  </w:t>
      </w:r>
    </w:p>
    <w:p w14:paraId="48D10F0A" w14:textId="3A84F96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НКСП т. КАГАНОВИЧ обеспечить доставку их в гор. Омск.</w:t>
      </w:r>
      <w:r w:rsidR="008127F8">
        <w:rPr>
          <w:rFonts w:ascii="Times New Roman" w:hAnsi="Times New Roman"/>
          <w:color w:val="000000" w:themeColor="text1"/>
          <w:sz w:val="16"/>
          <w:szCs w:val="16"/>
        </w:rPr>
        <w:t xml:space="preserve">  </w:t>
      </w:r>
    </w:p>
    <w:p w14:paraId="173AD564" w14:textId="1714C10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 Разрешено Наркомтанкопрому вывезти из г. Ленинграда принадлежащие заводу № 174 50 автомашин и 150 тонн дефицитных материалов и изделий.</w:t>
      </w:r>
      <w:r w:rsidR="008127F8">
        <w:rPr>
          <w:rFonts w:ascii="Times New Roman" w:hAnsi="Times New Roman"/>
          <w:color w:val="000000" w:themeColor="text1"/>
          <w:sz w:val="16"/>
          <w:szCs w:val="16"/>
        </w:rPr>
        <w:t xml:space="preserve">  </w:t>
      </w:r>
    </w:p>
    <w:p w14:paraId="4719203D" w14:textId="0DB3831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Наркмзаг СССР т. СУББОТИН обязан взять на централизованное снабжение фуражом конный парк завода № 174 и ОСМЧ Моспромстроя.</w:t>
      </w:r>
      <w:r w:rsidR="008127F8">
        <w:rPr>
          <w:rFonts w:ascii="Times New Roman" w:hAnsi="Times New Roman"/>
          <w:color w:val="000000" w:themeColor="text1"/>
          <w:sz w:val="16"/>
          <w:szCs w:val="16"/>
        </w:rPr>
        <w:t xml:space="preserve">  </w:t>
      </w:r>
    </w:p>
    <w:p w14:paraId="29F6A5DE" w14:textId="0230536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Наркомтяжмаш т. КАЗАКОВ обязан немедленно отгрузить заводу № 174 не вывезенные с Ворошиловградского завода подшаботные плиты для молотов свободной ковки, а НКПС – т. КАГАНОВИЧ обязан обеспечить срочную доставку указанного оборудования в г. Омск.</w:t>
      </w:r>
      <w:r w:rsidR="008127F8">
        <w:rPr>
          <w:rFonts w:ascii="Times New Roman" w:hAnsi="Times New Roman"/>
          <w:color w:val="000000" w:themeColor="text1"/>
          <w:sz w:val="16"/>
          <w:szCs w:val="16"/>
        </w:rPr>
        <w:t xml:space="preserve">  </w:t>
      </w:r>
    </w:p>
    <w:p w14:paraId="76460A17" w14:textId="07A281EE"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Производство узлов КВ и Т-34 для завода № 183 и Кировского завода с завода № 174 снято.</w:t>
      </w:r>
      <w:r w:rsidR="008127F8">
        <w:rPr>
          <w:rFonts w:ascii="Times New Roman" w:hAnsi="Times New Roman"/>
          <w:color w:val="000000" w:themeColor="text1"/>
          <w:sz w:val="16"/>
          <w:szCs w:val="16"/>
        </w:rPr>
        <w:t xml:space="preserve">  </w:t>
      </w:r>
    </w:p>
    <w:p w14:paraId="77FE0964" w14:textId="5E0C15E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Госплан – т. САБУРОВ обязан предусмотреть в плане на III кв. 1942 г. и 1942 г. поставку заводу № 174 Наркомтанкопрома материалов, изделий и полуфабрикатов, необходимых для производства танков Т-34 с опережением поставок на полтора месяца для создания необходимых запасов.</w:t>
      </w:r>
      <w:r w:rsidR="008127F8">
        <w:rPr>
          <w:rFonts w:ascii="Times New Roman" w:hAnsi="Times New Roman"/>
          <w:color w:val="000000" w:themeColor="text1"/>
          <w:sz w:val="16"/>
          <w:szCs w:val="16"/>
        </w:rPr>
        <w:t xml:space="preserve">  </w:t>
      </w:r>
    </w:p>
    <w:p w14:paraId="67BB370A"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Начальнику Главснаба – т. РОЗИНУ реализовать постановление ГКО, обязывающее Наркомбумпром выделить до 10 марта с/г Наркомтанкопрому 5000 рулонов светочувствительной бумаги.</w:t>
      </w:r>
    </w:p>
    <w:p w14:paraId="143B6243"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45355FD5"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2BAA50C3"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3 экз. (18608).</w:t>
      </w:r>
    </w:p>
    <w:p w14:paraId="3FE90F46"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32</w:t>
      </w:r>
    </w:p>
    <w:p w14:paraId="6AFBC060"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9.III-42 г. № 1618</w:t>
      </w:r>
    </w:p>
    <w:p w14:paraId="57101BCF" w14:textId="6097764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2007B4A2" w14:textId="3D4090C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1</w:t>
      </w:r>
      <w:r w:rsidR="008127F8">
        <w:rPr>
          <w:rFonts w:ascii="Times New Roman" w:hAnsi="Times New Roman"/>
          <w:color w:val="000000" w:themeColor="text1"/>
          <w:sz w:val="16"/>
          <w:szCs w:val="16"/>
        </w:rPr>
        <w:t xml:space="preserve">  </w:t>
      </w:r>
    </w:p>
    <w:p w14:paraId="62A97BEC"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НКТП № 255-Мсс от 9/III-1942 г.</w:t>
      </w:r>
    </w:p>
    <w:p w14:paraId="1B03FB1B"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p w14:paraId="02C503A5" w14:textId="5DC56D0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перевозки завода № 174 из г. Чкалова в г. Омск</w:t>
      </w:r>
      <w:r w:rsidR="008127F8">
        <w:rPr>
          <w:rFonts w:ascii="Times New Roman" w:hAnsi="Times New Roman"/>
          <w:color w:val="000000" w:themeColor="text1"/>
          <w:sz w:val="16"/>
          <w:szCs w:val="16"/>
        </w:rPr>
        <w:t xml:space="preserve">  </w:t>
      </w:r>
    </w:p>
    <w:p w14:paraId="5B297355" w14:textId="1D0DAA08"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3 экз.</w:t>
      </w:r>
      <w:r w:rsidR="008127F8">
        <w:rPr>
          <w:rFonts w:ascii="Times New Roman" w:hAnsi="Times New Roman"/>
          <w:color w:val="000000" w:themeColor="text1"/>
          <w:sz w:val="16"/>
          <w:szCs w:val="16"/>
        </w:rPr>
        <w:t xml:space="preserve">  </w:t>
      </w:r>
    </w:p>
    <w:p w14:paraId="603A6C08"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30 – 31</w:t>
      </w:r>
    </w:p>
    <w:p w14:paraId="3C4F4BD1"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мч. 9.III-42 г. № 1618</w:t>
      </w:r>
    </w:p>
    <w:p w14:paraId="491C73C2" w14:textId="3DE9EDD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6391A35B" w14:textId="66F58080"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2</w:t>
      </w:r>
      <w:r w:rsidR="008127F8">
        <w:rPr>
          <w:rFonts w:ascii="Times New Roman" w:hAnsi="Times New Roman"/>
          <w:color w:val="000000" w:themeColor="text1"/>
          <w:sz w:val="16"/>
          <w:szCs w:val="16"/>
        </w:rPr>
        <w:t xml:space="preserve">  </w:t>
      </w:r>
    </w:p>
    <w:p w14:paraId="6534B7A4"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приказу НКТП № 255-Мсс от 9/III-1942 г.</w:t>
      </w:r>
    </w:p>
    <w:p w14:paraId="327609C3"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w:t>
      </w:r>
    </w:p>
    <w:p w14:paraId="756148FD" w14:textId="4E2B37E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объектов, подлежащих строительству на заводе № 174 в г. Омске</w:t>
      </w:r>
      <w:r w:rsidR="008127F8">
        <w:rPr>
          <w:rFonts w:ascii="Times New Roman" w:hAnsi="Times New Roman"/>
          <w:color w:val="000000" w:themeColor="text1"/>
          <w:sz w:val="16"/>
          <w:szCs w:val="16"/>
        </w:rPr>
        <w:t xml:space="preserve">  </w:t>
      </w:r>
    </w:p>
    <w:p w14:paraId="303A193B" w14:textId="4F352EE2"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Использовать для строительства:</w:t>
      </w:r>
      <w:r w:rsidR="008127F8">
        <w:rPr>
          <w:rFonts w:ascii="Times New Roman" w:hAnsi="Times New Roman"/>
          <w:color w:val="000000" w:themeColor="text1"/>
          <w:sz w:val="16"/>
          <w:szCs w:val="16"/>
        </w:rPr>
        <w:t xml:space="preserve">  </w:t>
      </w:r>
    </w:p>
    <w:p w14:paraId="3FE6C812" w14:textId="3204717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сталелитейного цеха электропечи, мартены и металлические конструкции и колонны, вывезенные с Ворошиловградского завода;</w:t>
      </w:r>
      <w:r w:rsidR="008127F8">
        <w:rPr>
          <w:rFonts w:ascii="Times New Roman" w:hAnsi="Times New Roman"/>
          <w:color w:val="000000" w:themeColor="text1"/>
          <w:sz w:val="16"/>
          <w:szCs w:val="16"/>
        </w:rPr>
        <w:t xml:space="preserve">  </w:t>
      </w:r>
    </w:p>
    <w:p w14:paraId="13963A00" w14:textId="59D1CCFE"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металлоконструкции кузнечного и механосборочного цехов, изготовленные Златоустовским заводом для завода № 174 в г. Чкалове.</w:t>
      </w:r>
      <w:r w:rsidR="008127F8">
        <w:rPr>
          <w:rFonts w:ascii="Times New Roman" w:hAnsi="Times New Roman"/>
          <w:color w:val="000000" w:themeColor="text1"/>
          <w:sz w:val="16"/>
          <w:szCs w:val="16"/>
        </w:rPr>
        <w:t xml:space="preserve">  </w:t>
      </w:r>
    </w:p>
    <w:p w14:paraId="053BD537" w14:textId="2B5EB8A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3 экз.</w:t>
      </w:r>
      <w:r w:rsidR="008127F8">
        <w:rPr>
          <w:rFonts w:ascii="Times New Roman" w:hAnsi="Times New Roman"/>
          <w:color w:val="000000" w:themeColor="text1"/>
          <w:sz w:val="16"/>
          <w:szCs w:val="16"/>
        </w:rPr>
        <w:t xml:space="preserve">  </w:t>
      </w:r>
    </w:p>
    <w:p w14:paraId="636F4FD5" w14:textId="591173A4"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19</w:t>
      </w:r>
      <w:r w:rsidR="008127F8">
        <w:rPr>
          <w:rFonts w:ascii="Times New Roman" w:hAnsi="Times New Roman"/>
          <w:color w:val="000000" w:themeColor="text1"/>
          <w:sz w:val="16"/>
          <w:szCs w:val="16"/>
        </w:rPr>
        <w:t xml:space="preserve">  </w:t>
      </w:r>
    </w:p>
    <w:p w14:paraId="405688B4" w14:textId="24D6AF0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52C73190" w14:textId="76DE720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"УТВЕРЖДАЮ"</w:t>
      </w:r>
      <w:r w:rsidR="008127F8">
        <w:rPr>
          <w:rFonts w:ascii="Times New Roman" w:hAnsi="Times New Roman"/>
          <w:color w:val="000000" w:themeColor="text1"/>
          <w:sz w:val="16"/>
          <w:szCs w:val="16"/>
        </w:rPr>
        <w:t xml:space="preserve">  </w:t>
      </w:r>
    </w:p>
    <w:p w14:paraId="3EC548CA" w14:textId="142A6CE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 (Малышев)</w:t>
      </w:r>
      <w:r w:rsidR="008127F8">
        <w:rPr>
          <w:rFonts w:ascii="Times New Roman" w:hAnsi="Times New Roman"/>
          <w:color w:val="000000" w:themeColor="text1"/>
          <w:sz w:val="16"/>
          <w:szCs w:val="16"/>
        </w:rPr>
        <w:t xml:space="preserve">  </w:t>
      </w:r>
    </w:p>
    <w:p w14:paraId="3186414E"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 ПОДГОТОВКИ ПРОИЗВОДСТВА И ОСВОЕНИЯ</w:t>
      </w:r>
    </w:p>
    <w:p w14:paraId="06841199"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ОСНОВНЫХ УЗЛОВ Т-34 на 174 заводе</w:t>
      </w:r>
    </w:p>
    <w:p w14:paraId="13A3E045" w14:textId="4EE6F7D8"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Разработка рабочей технологии – </w:t>
      </w:r>
      <w:proofErr w:type="gramStart"/>
      <w:r w:rsidRPr="008127F8">
        <w:rPr>
          <w:rFonts w:ascii="Times New Roman" w:hAnsi="Times New Roman"/>
          <w:color w:val="000000" w:themeColor="text1"/>
          <w:sz w:val="16"/>
          <w:szCs w:val="16"/>
        </w:rPr>
        <w:t>25.IV.</w:t>
      </w:r>
      <w:proofErr w:type="gramEnd"/>
      <w:r w:rsidR="008127F8">
        <w:rPr>
          <w:rFonts w:ascii="Times New Roman" w:hAnsi="Times New Roman"/>
          <w:color w:val="000000" w:themeColor="text1"/>
          <w:sz w:val="16"/>
          <w:szCs w:val="16"/>
        </w:rPr>
        <w:t xml:space="preserve">  </w:t>
      </w:r>
    </w:p>
    <w:p w14:paraId="10DF67B3" w14:textId="752F2556"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Изготовление приспособлений 1 очереди (500 пр.) – 1.V.</w:t>
      </w:r>
      <w:r w:rsidR="008127F8">
        <w:rPr>
          <w:rFonts w:ascii="Times New Roman" w:hAnsi="Times New Roman"/>
          <w:color w:val="000000" w:themeColor="text1"/>
          <w:sz w:val="16"/>
          <w:szCs w:val="16"/>
        </w:rPr>
        <w:t xml:space="preserve">  </w:t>
      </w:r>
    </w:p>
    <w:p w14:paraId="6599ED15" w14:textId="36FC863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Изготовление приспособлений 2 очереди – 15.VII.</w:t>
      </w:r>
      <w:r w:rsidR="008127F8">
        <w:rPr>
          <w:rFonts w:ascii="Times New Roman" w:hAnsi="Times New Roman"/>
          <w:color w:val="000000" w:themeColor="text1"/>
          <w:sz w:val="16"/>
          <w:szCs w:val="16"/>
        </w:rPr>
        <w:t xml:space="preserve">  </w:t>
      </w:r>
    </w:p>
    <w:p w14:paraId="5D291B2A" w14:textId="06E2FD85"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Изготовление штампов 1 очереди и 2 очереди – 1.V и 15.VII.</w:t>
      </w:r>
      <w:r w:rsidR="008127F8">
        <w:rPr>
          <w:rFonts w:ascii="Times New Roman" w:hAnsi="Times New Roman"/>
          <w:color w:val="000000" w:themeColor="text1"/>
          <w:sz w:val="16"/>
          <w:szCs w:val="16"/>
        </w:rPr>
        <w:t xml:space="preserve">  </w:t>
      </w:r>
    </w:p>
    <w:p w14:paraId="0D04009D" w14:textId="0E57BAA3"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Освоение основных узлов:</w:t>
      </w:r>
      <w:r w:rsidR="008127F8">
        <w:rPr>
          <w:rFonts w:ascii="Times New Roman" w:hAnsi="Times New Roman"/>
          <w:color w:val="000000" w:themeColor="text1"/>
          <w:sz w:val="16"/>
          <w:szCs w:val="16"/>
        </w:rPr>
        <w:t xml:space="preserve">  </w:t>
      </w:r>
    </w:p>
    <w:p w14:paraId="6D983F27" w14:textId="47AB2111"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корпусов 2 – III, 10 – IV, 20 – V, 40 – VI, 60 – VII, 100 – VIII.</w:t>
      </w:r>
      <w:r w:rsidR="008127F8">
        <w:rPr>
          <w:rFonts w:ascii="Times New Roman" w:hAnsi="Times New Roman"/>
          <w:color w:val="000000" w:themeColor="text1"/>
          <w:sz w:val="16"/>
          <w:szCs w:val="16"/>
        </w:rPr>
        <w:t xml:space="preserve">  </w:t>
      </w:r>
    </w:p>
    <w:p w14:paraId="04BBBD3F" w14:textId="75DF3279"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коробок скоростей с 15 июня</w:t>
      </w:r>
      <w:r w:rsidR="008127F8">
        <w:rPr>
          <w:rFonts w:ascii="Times New Roman" w:hAnsi="Times New Roman"/>
          <w:color w:val="000000" w:themeColor="text1"/>
          <w:sz w:val="16"/>
          <w:szCs w:val="16"/>
        </w:rPr>
        <w:t xml:space="preserve">  </w:t>
      </w:r>
    </w:p>
    <w:p w14:paraId="3157D9F4" w14:textId="3688335D"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бортовых фрикционов с 1 июня</w:t>
      </w:r>
      <w:r w:rsidR="008127F8">
        <w:rPr>
          <w:rFonts w:ascii="Times New Roman" w:hAnsi="Times New Roman"/>
          <w:color w:val="000000" w:themeColor="text1"/>
          <w:sz w:val="16"/>
          <w:szCs w:val="16"/>
        </w:rPr>
        <w:t xml:space="preserve">  </w:t>
      </w:r>
    </w:p>
    <w:p w14:paraId="125124BC" w14:textId="58A9032B"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главных фрикционов с 1 июня</w:t>
      </w:r>
      <w:r w:rsidR="008127F8">
        <w:rPr>
          <w:rFonts w:ascii="Times New Roman" w:hAnsi="Times New Roman"/>
          <w:color w:val="000000" w:themeColor="text1"/>
          <w:sz w:val="16"/>
          <w:szCs w:val="16"/>
        </w:rPr>
        <w:t xml:space="preserve">  </w:t>
      </w:r>
    </w:p>
    <w:p w14:paraId="4DFAF186" w14:textId="6FD0F32A"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ходовую часть с 1 мая</w:t>
      </w:r>
      <w:r w:rsidR="008127F8">
        <w:rPr>
          <w:rFonts w:ascii="Times New Roman" w:hAnsi="Times New Roman"/>
          <w:color w:val="000000" w:themeColor="text1"/>
          <w:sz w:val="16"/>
          <w:szCs w:val="16"/>
        </w:rPr>
        <w:t xml:space="preserve">  </w:t>
      </w:r>
    </w:p>
    <w:p w14:paraId="2F10887C" w14:textId="77777777" w:rsidR="00C8054D" w:rsidRPr="008127F8" w:rsidRDefault="00C805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Верно: подпись (18608).</w:t>
      </w:r>
    </w:p>
    <w:p w14:paraId="2850B89E" w14:textId="77777777" w:rsidR="00C8054D" w:rsidRPr="008127F8" w:rsidRDefault="00C8054D" w:rsidP="001E0A84">
      <w:pPr>
        <w:spacing w:after="0" w:line="240" w:lineRule="auto"/>
        <w:jc w:val="both"/>
        <w:rPr>
          <w:rFonts w:ascii="Times New Roman" w:hAnsi="Times New Roman"/>
          <w:color w:val="000000" w:themeColor="text1"/>
          <w:sz w:val="16"/>
          <w:szCs w:val="16"/>
        </w:rPr>
      </w:pPr>
    </w:p>
    <w:p w14:paraId="3B80F5FC"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9 марта 1942 г. Постановление ГКО СССР № 1416сс «Об усилении производства запасных частей к танкам» </w:t>
      </w:r>
    </w:p>
    <w:p w14:paraId="5D69A8E0"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9807B88"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устанавливает, что план производства запасныхчастей и агрегатов к танкам КВ, Т-34 и Т-60, к дизелям В-2 и к танковым моторам 02», установленный на I квартал сего года, в январе и феврале Наркомтанкопромом Наркомсредмашем выполнен совершенно неудовлетворительно, а план по запасным частям к танкам ВТ и Т-26 Наркомтанкопромом, Наркомсредмашем, Наркомтяжмашем, Наркомэлектропромом и Наркомрыбпромом сорван.</w:t>
      </w:r>
    </w:p>
    <w:p w14:paraId="110FE84D"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причинами срыва плана производства запасных частей для ремонта танков являются: слабый контроль со стороны народных комиссаров за выполнением плана запасных частей и безответственное отношение ряда директоров заводов к выполнению этого важнейшего задания.</w:t>
      </w:r>
    </w:p>
    <w:p w14:paraId="2A4F87EC"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481E3A2E"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 Обязать Наркомтанкопром (т. Малышева), Наркомсредмаш (т. Акопова), Нармтяжмаш (т. Казакова), Наркомэлектропром (т. Кабанова), Наркомрыбпром (т. Ишва), Наркомрезинпром (т. Митрохина), под их личную ответственность, немедленно принять меры к выполнению плана производства запасных частей к танкам, к дизелям и моторам для танков, обеспечив отгрузку их полностью по плану I квартала не позднее 10 апреля с. г.</w:t>
      </w:r>
    </w:p>
    <w:p w14:paraId="4AAAE18F"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Считать важнейшей задачей Наркомтанкопрома выполнение плана I кварта по запасным частям и агрегатам к танкам Т-34, КВ и дизель-моторам В-2.</w:t>
      </w:r>
    </w:p>
    <w:p w14:paraId="189C058A"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Предупредить директоров заводов: Кировского (т. Махонина), Сталинградской тракторного (т. Задорожного), завода № 183 (т. Зальцмана), завода № 112 (т. Михалева) и завода №76 (т. Кочеткова) об особой ответственности их за выполнен данного задания.</w:t>
      </w:r>
    </w:p>
    <w:p w14:paraId="348D49C3"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Установить 5-дневную отчетность директоров заводов, изготовляющих танковые запасные части, перед наркомами, а наркомов — перед ГОКО о ходе выполнени плана производства и отгрузки запасных частей и агрегатов к танкам, к дизелям и моторам для танков.</w:t>
      </w:r>
    </w:p>
    <w:p w14:paraId="2B539462"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программу по запасным частям к танкам БТ и Т-26 на март меся сего года в сумме 7 млн руб., в том числе: по Наркомтанкопрому — 3,5 млн руб., по Накомсредмашу — 2 млн руб., по Наркомэлектропрому — 0,4 млн руб., по Наркомтяжма шу — 0,4 млн руб., по Наркомрыбпрому — 0,2 млн руб. НКО (ГАБТУ КА) в суточные срок сократить номенклатурное количество деталей к танкам БТ и Т-26 совместно указанными наркоматами в соответствии с программой.</w:t>
      </w:r>
    </w:p>
    <w:p w14:paraId="40704593"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секретарей обкомов ВКП(б): Свердловского (т. Андрианова), Челябинского (т. Патоличева), Сталинградского (т. Чуянова), Горьковского (т. Родионова), Саратовского (т. Власова), Ярославского (т. Канунникова), Тамбовского (т. Логинава), Омского (т. Кудинова), Чкаловского (т. Дубровского), Куйбышевского (т. Ништина), Краснодарского крайкома (т. Селезнева) — установить контроль за выполни нием заводами плана производства и отгрузки запасных частей и агрегатов к танкам оказать директорам заводов необходимую помощь.</w:t>
      </w:r>
    </w:p>
    <w:p w14:paraId="2E29E74E"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Стлала»</w:t>
      </w:r>
    </w:p>
    <w:p w14:paraId="189B5914"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24. Л. 25-26. Подлинник (24082).</w:t>
      </w:r>
    </w:p>
    <w:p w14:paraId="1AB52185" w14:textId="77777777" w:rsidR="00870F3F" w:rsidRPr="008A2E5A" w:rsidRDefault="00870F3F" w:rsidP="00870F3F">
      <w:pPr>
        <w:spacing w:after="0" w:line="240" w:lineRule="auto"/>
        <w:jc w:val="both"/>
        <w:rPr>
          <w:rFonts w:ascii="Times New Roman" w:hAnsi="Times New Roman"/>
          <w:color w:val="0070C0"/>
          <w:sz w:val="16"/>
          <w:szCs w:val="16"/>
        </w:rPr>
      </w:pPr>
    </w:p>
    <w:p w14:paraId="3BC748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1415 Об организации производства бронеавтомобилей БА-64 на Горьковском ордена Ленина автомобильном заводе имени Молотова Наркомсредмаша. РГАНИР, Фонд ГКО, д. 24, лл. 16-19, 20-24 (11012).</w:t>
      </w:r>
    </w:p>
    <w:p w14:paraId="6730C0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D34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выпустили приказ о проведении доработок по БА-64 (3862).</w:t>
      </w:r>
    </w:p>
    <w:p w14:paraId="30D531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A02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1416 Об усилении производства запасных частей к танкам. РГАНИР, Фонд ГКО, д. 24, лл. 25-26 (11012).</w:t>
      </w:r>
    </w:p>
    <w:p w14:paraId="158036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4F6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1417 Об организации производства танков Т-70 на заводах № 37 и 38 Наркомтанкопрома. РГАНИР, Фонд ГКО, д. 24, лл. 27-30 (11012).</w:t>
      </w:r>
    </w:p>
    <w:p w14:paraId="3D84AA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6C358"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9 марта 1942 года вышло постановление ГКО №1417 «Об организации производства танков Т-70 на заводах № 37 и 38 Наркомтанкопрома». Согласно этому документу, производство Т-60, который с таким трудом осваивали на заводе №37, сворачивалось, а вместо него налаживался выпуск Т-70. К такому повороту событий завод оказался совершенно не готов. В течение месяца руководство завода убеждало НКТП в том, что на текущий момент завод №37 не в состоянии освоить Т-70. Наконец, 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w:t>
      </w:r>
    </w:p>
    <w:p w14:paraId="23D0C0AA"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Между тем, завод столкнулся с ещё одной проблемой, которой стали моторы. За 1-й квартал 1942 года ГАЗ им. Молотова недопоставил 664 двигателя. Из-за проблем с поставками моторов сборочный цех завода №37 простаивал в течение апреля 8 дней. При этом за тот же апрель было изготовлено 230 корпусов (100% плана), так что задержка с двигателями очень сильно повлияла на выпуск Т-60. Именно в этот момент пригодилась теоретическая возможность установки в Т-60 двигателя ЗИС-5, которая предусматривалась на момент проработки корпуса танка проекта 060 ещё в июле 1941 года.</w:t>
      </w:r>
    </w:p>
    <w:p w14:paraId="1A7C0E5B"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Работой над установкой двигателя ЗИС-5/ЗИС-16 в Т-60 занялось конструкторского бюро завода №37. Костяк КБ составляли конструкторы, ранее работавшие в отделе 22 завода №37 до его эвакуации в Свердловск (данный отдел был ответственным за опытные работы по танковой тематике). К весне 1942 года КБ возглавил Н. А. Попов, до эвакуации работавший старшим конструктором по теме Т-40. На посту начальника отдела №22 он сменил Г. С. Суреняна, возглавлявшего отдел ещё до эвакуации (также до Попова он возглавлял заводское КБ) (17468).</w:t>
      </w:r>
    </w:p>
    <w:p w14:paraId="243F6F4F" w14:textId="77777777" w:rsidR="007E272D" w:rsidRPr="008127F8" w:rsidRDefault="007E272D" w:rsidP="001E0A84">
      <w:pPr>
        <w:pStyle w:val="af"/>
        <w:spacing w:before="0" w:after="0"/>
        <w:jc w:val="both"/>
        <w:rPr>
          <w:color w:val="000000" w:themeColor="text1"/>
          <w:sz w:val="16"/>
          <w:szCs w:val="16"/>
        </w:rPr>
      </w:pPr>
    </w:p>
    <w:p w14:paraId="309DF0A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года постановлением ГКО № 1415сс заводу № 177 (бывший Выксунский ДРО) предписывалось прекра</w:t>
      </w:r>
      <w:r w:rsidRPr="008127F8">
        <w:rPr>
          <w:rFonts w:ascii="Times New Roman" w:hAnsi="Times New Roman"/>
          <w:color w:val="000000" w:themeColor="text1"/>
          <w:sz w:val="16"/>
          <w:szCs w:val="16"/>
        </w:rPr>
        <w:softHyphen/>
        <w:t>тить выпуск бронеавтомобилей БА-20М (11284).</w:t>
      </w:r>
    </w:p>
    <w:p w14:paraId="362637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9EE57"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1942 г. постановлением ГКО № 1415сс заводу № 177 в Выксе предписывалось прекратить выпуск бронеавтомобилей БА-20М. 11 марта это постановление было продублировано приказом № 268 по наркомату танковой промышленности: «Директору завода № 177 т. Волкову прекратить с 16. 05. 42 г. производство БА-20. Весь специальный инструмент, приспособления, штампы и техническую документацию сохранить. В. Малышев».</w:t>
      </w:r>
    </w:p>
    <w:p w14:paraId="31195327"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мгновенного прекращения производства бронеавтомобилей не произошло. Заводской план по изготовлению БА-20М в мае был перевыполнен - вместо 25 было сдано 26 машин. В июне из имеющегося задела корпусов и шасси были изготовлены ещё два БА-20М, после чего выпуск бронемашин на заводе № 177 был прекращен (Коломиец, М.В. Броня на колесах. История советского бронеавтомобиля 1925-1945 гг. - С. 203-204.) (23540).</w:t>
      </w:r>
    </w:p>
    <w:p w14:paraId="3397C6F3" w14:textId="77777777" w:rsidR="00870F3F" w:rsidRPr="008A2E5A" w:rsidRDefault="00870F3F" w:rsidP="00870F3F">
      <w:pPr>
        <w:spacing w:after="0" w:line="240" w:lineRule="auto"/>
        <w:jc w:val="both"/>
        <w:rPr>
          <w:rFonts w:ascii="Times New Roman" w:hAnsi="Times New Roman"/>
          <w:color w:val="0070C0"/>
          <w:sz w:val="16"/>
          <w:szCs w:val="16"/>
        </w:rPr>
      </w:pPr>
    </w:p>
    <w:p w14:paraId="7327F9C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1418 О плане распределения автомашин на март 1942 года. (7025, 31,32-35).</w:t>
      </w:r>
    </w:p>
    <w:p w14:paraId="5FA62A3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FAB80"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1942</w:t>
      </w:r>
    </w:p>
    <w:p w14:paraId="29D34503"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Противогазы «ГП-1» для гражданского населения</w:t>
      </w:r>
    </w:p>
    <w:p w14:paraId="290B5324"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Московская городская местная промышленность, городская и областная промысловая кооперация освоили производство проти</w:t>
      </w:r>
      <w:r w:rsidRPr="008A2E5A">
        <w:rPr>
          <w:rFonts w:ascii="Times New Roman" w:hAnsi="Times New Roman"/>
          <w:color w:val="0070C0"/>
          <w:sz w:val="16"/>
          <w:szCs w:val="16"/>
        </w:rPr>
        <w:softHyphen/>
        <w:t>вогаза «ГП-1», предназначенного для гражданского населения города и деревни.</w:t>
      </w:r>
    </w:p>
    <w:p w14:paraId="328157C2"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Экспериментальные образцы, изготовленные предприятиями мест</w:t>
      </w:r>
      <w:r w:rsidRPr="008A2E5A">
        <w:rPr>
          <w:rFonts w:ascii="Times New Roman" w:hAnsi="Times New Roman"/>
          <w:color w:val="0070C0"/>
          <w:sz w:val="16"/>
          <w:szCs w:val="16"/>
        </w:rPr>
        <w:softHyphen/>
        <w:t>ной промышленности и промысловой кооперации, прошли специальные испытания и показали хорошие защитные противохимические свойства.</w:t>
      </w:r>
    </w:p>
    <w:p w14:paraId="2710727D"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сравнению с боевым противогазом «ГП-1» легче, меньше, применение его много проще. Он выпускается трёх размеров.</w:t>
      </w:r>
    </w:p>
    <w:p w14:paraId="3D04E40D"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днях противогаз «ГП-1» поступает в массовую продажу. Цена его - 20 руб.</w:t>
      </w:r>
    </w:p>
    <w:p w14:paraId="7FAD9ADD" w14:textId="77777777" w:rsidR="00870F3F" w:rsidRPr="008A2E5A" w:rsidRDefault="00870F3F" w:rsidP="00870F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Вечерняя Москва. 1942. 9 марта (23479).</w:t>
      </w:r>
    </w:p>
    <w:p w14:paraId="421B0FD0" w14:textId="77777777" w:rsidR="00870F3F" w:rsidRPr="008A2E5A" w:rsidRDefault="00870F3F" w:rsidP="00870F3F">
      <w:pPr>
        <w:spacing w:after="0" w:line="240" w:lineRule="auto"/>
        <w:jc w:val="both"/>
        <w:rPr>
          <w:rFonts w:ascii="Times New Roman" w:hAnsi="Times New Roman"/>
          <w:color w:val="0070C0"/>
          <w:sz w:val="16"/>
          <w:szCs w:val="16"/>
        </w:rPr>
      </w:pPr>
    </w:p>
    <w:p w14:paraId="04ADB76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760B7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6659C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марта</w:t>
      </w:r>
      <w:r w:rsidRPr="008127F8">
        <w:rPr>
          <w:rFonts w:ascii="Times New Roman" w:hAnsi="Times New Roman"/>
          <w:color w:val="000000" w:themeColor="text1"/>
          <w:sz w:val="16"/>
          <w:szCs w:val="16"/>
        </w:rPr>
        <w:t xml:space="preserve"> в 1942 году утреннее сообщение Совинформбюро:</w:t>
      </w:r>
    </w:p>
    <w:p w14:paraId="158FD51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9 марта на ряде участков фронта советские войска вели наступательные бои против немецко-фашистских войск.</w:t>
      </w:r>
    </w:p>
    <w:p w14:paraId="49EF392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три дня боёв уничтожили до 2.500 вражеских солдат и офицеров. Артиллерия и разведывательные группы разрушили 6 немецких ДЗОТов, свыше 20 блиндажей и землянок.</w:t>
      </w:r>
    </w:p>
    <w:p w14:paraId="7970B74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Отражая контратаку вражеской части, поддержанной танками, красноармеец-наводчик Пётр Ошурков выкатил орудие на открытую позицию и прямой наводкой начал расстреливать танки противника. В этом бою меткий наводчик поджёг 2 немецких танка.</w:t>
      </w:r>
    </w:p>
    <w:p w14:paraId="74331EE3"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огневую позицию орудия сержанта Лопаева налетели вражеские бомбардировщики. От зажигательной бомбы загорелись ящики со снарядами. Рискуя жизнью, сержант Лопаев бросился к ящикам и потушил огонь, предотвратив взрыв боеприпасов.</w:t>
      </w:r>
    </w:p>
    <w:p w14:paraId="6834E86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большим успехом действует в тылу у немецких оккупантов отряд смоленских партизан под командованием тов. Г. Партизаны сожгли 2 немецких склада с боеприпасами и один склад с оружием, уничтожили около 100 гитлеровцев, захватили 140 винтовок, 5 ручных пулемётов, несколько ящиков гранат и много патронов.</w:t>
      </w:r>
    </w:p>
    <w:p w14:paraId="50C537B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Германа Нивенера найдено неотправленное письмо к брату. Герман сообщает: «Наша рота полностью уничтожена. Из 27 унтер-офицеров 25 убито, а двое ранено».</w:t>
      </w:r>
    </w:p>
    <w:p w14:paraId="38F8834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11 румынского батальона горных стрелков Пырву Думитру рассказал: «Меня мобилизовали в румынскую армию 11 января. В этот день в воинском присутствии был настоящий базар. Богатых за взятки освобождали от военной службы или зачисляли в тыловые части. Бедных признавали годными, несмотря ни на какие болезни или физические недостатки. Я больной человек и не имею никакого понятия ни о телефоне, ни о лыжах, но комиссия меня зачислила телефонистом-лыжником. На советско-германский фронт я попал в конце января. Нас сразу же погнали в бой. Три раза наша рота пыталась атаковать кирпичный завод, в котором засели русские пулемётчики. Встреченные убийственным огнём, мы каждый раз откатывались, оставляя много убитых и раненых. Тогда нам в помощь прислали роту немецких сапёр, но и они ничего не могли сделать. Когда же русские предприняли наступление, сапёры забрались в дома и стали отстреливаться, а затем под натиском русских удрали. Немецкие офицеры приказали нам тоже отступать, но мы отказались. Тогда один немецкий офицер бросил гранату в дом, где находилась группа </w:t>
      </w:r>
      <w:r w:rsidRPr="008127F8">
        <w:rPr>
          <w:rFonts w:ascii="Times New Roman" w:hAnsi="Times New Roman"/>
          <w:color w:val="000000" w:themeColor="text1"/>
          <w:sz w:val="16"/>
          <w:szCs w:val="16"/>
        </w:rPr>
        <w:lastRenderedPageBreak/>
        <w:t>румынских солдат. Осколками были ранены 3 человека, в том числе сержант Балтяну. Несмотря на угрозы немцев и их подлые действия, наша группа в количестве 11 человек не двинулась с места. Мы дождались прихода русских и добровольно сдались в плен».</w:t>
      </w:r>
    </w:p>
    <w:p w14:paraId="30D16CC0"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Карла Арнольда найдено письмо от жены из Штейнберга. Вот что она ему пишет: «Слышал ли ты, что все должны сдавать все тёплые вещи, какие только у них имеются. Пока ты вернёшься, у тебя всё заберут. Кто не сдаёт добровольно — принуждается к этому силой».</w:t>
      </w:r>
    </w:p>
    <w:p w14:paraId="6D45C46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Мастер Борисоглебской машинно-тракторной мастерской С. Т. Самохин овладел токарным, фрезерным, болторезным, расточным и шлифовальным станками, научился выполнять кузнечные работы. Тов. Самохин на любом из этих станков перевыполняет нормы. Он внёс десятки рационализаторских предложений. Последнее его усовершенствование дало возможность в два раза ускорить нарезку зубцов шестерни.» (15063).</w:t>
      </w:r>
    </w:p>
    <w:p w14:paraId="288DC97E"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6277A14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марта</w:t>
      </w:r>
      <w:r w:rsidRPr="008127F8">
        <w:rPr>
          <w:rFonts w:ascii="Times New Roman" w:hAnsi="Times New Roman"/>
          <w:color w:val="000000" w:themeColor="text1"/>
          <w:sz w:val="16"/>
          <w:szCs w:val="16"/>
        </w:rPr>
        <w:t xml:space="preserve"> в 1942 году вечернее сообщение Совинформбюро:</w:t>
      </w:r>
    </w:p>
    <w:p w14:paraId="22738EC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марта наши войска, преодолевая сопротивление противника, продолжали продвигаться вперёд и заняли несколько населённых пунктов.</w:t>
      </w:r>
    </w:p>
    <w:p w14:paraId="4638CAD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марта уничтожено не 29 немецких самолётов, как об этом сообщалось ранее, a 36 немецких самолётов.</w:t>
      </w:r>
    </w:p>
    <w:p w14:paraId="0BCAB1E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марта сбито в воздушных боях и уничтожено на аэродромах 39 самолётов противника. Наши потери—10 самолётов.</w:t>
      </w:r>
    </w:p>
    <w:p w14:paraId="7A1811A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марта под Москвой сбито 4 немецких самолёта.</w:t>
      </w:r>
    </w:p>
    <w:p w14:paraId="08695377"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8 марта частями нашей авиации уничтожено и повреждено 13 немецких танков, 210 автомашин с войсками и грузами, около 70 повозок с боеприпасами, 3 бензозаправщика, 3 автоцистерны с горючим, 31 орудие, 12 зенитно-пулемётных точек, 49 миномётов, взорвано 8 окладов с боеприпасами, сожжено 5 складов с горючим, рассеяны и частью уничтожены эскадрон конницы и до 5 рот пехоты противника.</w:t>
      </w:r>
    </w:p>
    <w:p w14:paraId="4BB3A70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 по 7 марта немецкая авиация потеряла 358 самолётов. Наши потери за этот же период — 65 самолётов.</w:t>
      </w:r>
    </w:p>
    <w:p w14:paraId="461B136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Ленинградского фронта, продолжая развивать наступательные операции, уничтожили 2 немецких танка, артиллерийскую и миномётную батареи, два противотанковых орудия, 6 станковых и ручных пулемётов и 2 бронемашины. Противник потерял убитыми свыше 800 солдат и офицеров.</w:t>
      </w:r>
    </w:p>
    <w:p w14:paraId="17C527A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действующая на Юго-Западном фронте, сломив упорное сопротивление противника, заняла населённый пункт Т. На поле боя осталось около 700 вражеских трупов. В бою отличился старший сержант тов. Гоженко. Он уничтожил два немецких пулемётных расчёта и захватил их пулемёты.</w:t>
      </w:r>
    </w:p>
    <w:p w14:paraId="018FBA9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во главе со старшим лейтенантом Рябченко внезапным налётом заняла один населённый пункт и захватила 25 автомашин, 150 велосипедов, 10 мотоциклов и другое военное имущество.</w:t>
      </w:r>
    </w:p>
    <w:p w14:paraId="01F6FDA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П. истребил 23 гитлеровских солдата и 2 офицеров, уничтожил 2 немецких автомашины с ценным военным грузом. Партизанами захвачено большое количество трофеев.</w:t>
      </w:r>
    </w:p>
    <w:p w14:paraId="7B6E3A6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Иоганна Комада найдено неотправленное письмо к Йозефе Кембейр. В нём говорится: «Нам приходится голодать и мёрзнуть, к тому же рискуя каждую минуту получить пулю... Верь мне, мы здесь достаточно настрадались. Из 280 человек нас остаюсь 96. Одни пали, другие ранены».</w:t>
      </w:r>
    </w:p>
    <w:p w14:paraId="4EC43A8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Мобилизация многих квалифицированных рабочих на фронт приводит к дальнейшему снижению производительности труда на предприятиях Германии. По предварительным данным магистрата города Герне, металлургический завод, шахты и коксовые печи, находящиеся в этом районе, дали в феврале продукции на 14 процентов меньше, чем в январе. Резко ухудшилось качество продукции и увеличилось число несчастных случаев. В январе несчастных случаев со смертельным исходом было 196, а в феврале — 239.</w:t>
      </w:r>
    </w:p>
    <w:p w14:paraId="59053C5B"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Семь колхозов Новосибирской области выделили для районов, освобождённых от немецких оккупантов, 114 лошадей и коров.» (15063).</w:t>
      </w:r>
    </w:p>
    <w:p w14:paraId="38E95290"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6A1140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на ЮЗФ 7 Як-1 под командованием к Б.Н.Еремина встретила 7 б Ю-87 и Ю-88 в сопровождении 18 и Ме-109, вступила в бой и сбила 7 без потерь (438,837).</w:t>
      </w:r>
    </w:p>
    <w:p w14:paraId="32E5F3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5C2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в районе Харькова был бой семерки Як-1 из 296-го иап под командованием Еремина против группы из 25 самолетов противника. Немецкая группа состояла из семи Ju-88 и Ju-87, двенадцати Bf. 109Е, приспособленных для бомбометания и несших бомбы, и шести Bf. I09F прикрытия. В первой же внезапной атаке сзади с использованием РС-82 было уничтожено четыре самолета (из них два Ju-88). Боевой порядок немцев распался, и при преследовании наши летчики сбили еше три Bf. 109. Для весны 1942 г., когда численное и техническое превосходство было на стороне противника, этот выдающийся бой стал мощным средством пропаганды. Б.Н. Еремин так описывал свои ощущения после боя: "Поскольку бой проходил на предельных режимах двигателей, горючего уже почти не было. Я понял, что надо собирать группу - подаю сигнал сбора. Подходит слева Саломатин, смотрю, конфигурация самолета у него какая-то необычная - снарядом фонарь сбило. Сам он, спасаясь от встречной струи воздуха, пригнулся так, что его и не видно. Справа - вижу, подходит Скотной - за ним белый шлейф, видимо, радиатор подбили осколками. Потом мимо меня - один, второй, третий... все наши! После такой схватки - и все пристраиваются! Все - в полном порядке! Я чувствовал радость победы, удовлетворение необычное, какого никогда и не испытывал! Первые-то дни мы чаще в побежденных были" (12048).</w:t>
      </w:r>
    </w:p>
    <w:p w14:paraId="69E9E3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910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вышел ПРИКАЗ НКО № 0184 ОБ УПОРЯДОЧЕНИИ ПОЛЕТОВ НАД СВОЕЙ ТЕРРИТОРИЕЙ</w:t>
      </w:r>
    </w:p>
    <w:p w14:paraId="72C8DA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Наблюдаются многочисленные случаи, когда экипажи при полетах над своей территорией не соблюдают маршрутов, на которые сделаны заявки. Особенно часто это имеет место при полетах ночью. Отмечаются случаи, когда производятся маршрутные полеты без заявок. Маршруты полетов выбираются каждой частью самостоятельно. Командующие ВВС фронтов не назначают мест перелета фронта (входных и выходных ворот).</w:t>
      </w:r>
    </w:p>
    <w:p w14:paraId="1E7845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это мешает нормальной работе ПВО, затрудняет распознавание своих самолетов от самолетов противника и приводит к тому, что самолеты противника опознаются с опозданием, а свои самолеты принимаются за противника, подвергаются обстрелу зенитной артиллерией и на них высылаются истребители.</w:t>
      </w:r>
    </w:p>
    <w:p w14:paraId="070979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117666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 вылеты без предварительной заявки и подтверждения гарантии безопасности от оперативного дежурного района (зоны) ПВО виновников предавать суду военного трибунала. Предоставить право вылетать без предварительной заявки только истребителям на перехват противника и в отдельных случаях штурмовиков для боевых действий, не связанных с перелетом фронта, когда невозможно заранее предусмотреть маршрут полета над своей территорией (вылеты по тревоге для борьбы с десантами и прорвавшимися подвижными частями противника).</w:t>
      </w:r>
    </w:p>
    <w:p w14:paraId="063AC6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Заявку давать не </w:t>
      </w:r>
      <w:proofErr w:type="gramStart"/>
      <w:r w:rsidRPr="008127F8">
        <w:rPr>
          <w:rFonts w:ascii="Times New Roman" w:hAnsi="Times New Roman"/>
          <w:color w:val="000000" w:themeColor="text1"/>
          <w:sz w:val="16"/>
          <w:szCs w:val="16"/>
        </w:rPr>
        <w:t>позже</w:t>
      </w:r>
      <w:proofErr w:type="gramEnd"/>
      <w:r w:rsidRPr="008127F8">
        <w:rPr>
          <w:rFonts w:ascii="Times New Roman" w:hAnsi="Times New Roman"/>
          <w:color w:val="000000" w:themeColor="text1"/>
          <w:sz w:val="16"/>
          <w:szCs w:val="16"/>
        </w:rPr>
        <w:t xml:space="preserve"> чем за 1 час до взлета. В тех случаях, когда невозможно заранее наметить время взлета (для дежурных частей, вылетающих по вызову), в заявке указывать маршрут. В этом случае, так </w:t>
      </w:r>
      <w:proofErr w:type="gramStart"/>
      <w:r w:rsidRPr="008127F8">
        <w:rPr>
          <w:rFonts w:ascii="Times New Roman" w:hAnsi="Times New Roman"/>
          <w:color w:val="000000" w:themeColor="text1"/>
          <w:sz w:val="16"/>
          <w:szCs w:val="16"/>
        </w:rPr>
        <w:t>же</w:t>
      </w:r>
      <w:proofErr w:type="gramEnd"/>
      <w:r w:rsidRPr="008127F8">
        <w:rPr>
          <w:rFonts w:ascii="Times New Roman" w:hAnsi="Times New Roman"/>
          <w:color w:val="000000" w:themeColor="text1"/>
          <w:sz w:val="16"/>
          <w:szCs w:val="16"/>
        </w:rPr>
        <w:t xml:space="preserve"> как и при взлете без заявок в случаях, оговоренных в п. 1, о времени взлета извещать систему ПВО немедленно по принятии решения на вылет. Об отмене или переносе назначенного вылета извещать ОД района (зоны) ПВО не позднее срока, намеченного для взлета.</w:t>
      </w:r>
    </w:p>
    <w:p w14:paraId="17EB9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заявках указывать маршрут полета только над своей территорией.</w:t>
      </w:r>
    </w:p>
    <w:p w14:paraId="444ED0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подачи заявок разрешить использование передачи по паролю “Воздух”.</w:t>
      </w:r>
    </w:p>
    <w:p w14:paraId="1EB092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тех случаях, когда полет совершается за пределами границы района (зоны) ПВО, в каковой поступила заявка, командующий районом (зоной) ПВО обязан обеспечить уведомление соседних районов по маршруту полета.</w:t>
      </w:r>
    </w:p>
    <w:p w14:paraId="770218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Маршруты полетов над своей территорией устанавливать командующим ВВС фронтов и округов. Маршруты выбирать вне крупных населенных пунктов и железнодорожных узлов.</w:t>
      </w:r>
    </w:p>
    <w:p w14:paraId="267D02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Маршруты перелетов центрального назначения, проходящие более чем через 2 района (зоны) ПВО, устанавливает штаб ВВС Красной Армии, который обязан дать заявку штабу войск ПВО территории страны, а последний обязан обеспечить предупреждение системы ПВО на всем маршруте, в целях обеспечения безопасности перелета.</w:t>
      </w:r>
    </w:p>
    <w:p w14:paraId="24DB86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Командующим ВВС фронтов устанавливать на каждый день места перелета фронта (“входные и выходные ворота”), со сменой их 2—3 раза в день. Не допускать трафарета в назначении места и момента смены входных и выходных ворот.</w:t>
      </w:r>
    </w:p>
    <w:p w14:paraId="14C0E1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Для ночных полетов командующим ВВС фронтов организовать выставление простейших маяков на маршруте через 10—30 км, в зависимости от метеоусловий и силы света маяков. Для маяков использовать фигуры из костров, автомобильные фары с окрашенными стеклами и другие имеющиеся подручные средства. Для указанной цели использовать роты ЗОС (земного обеспечения самолетовождения) при районах аэродромного базирования. Ответственность за организацию маячной службы возложить на флагманских штурманов фронтов.</w:t>
      </w:r>
    </w:p>
    <w:p w14:paraId="4699FC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Командующим ВВС фронтов связать командный пункт каждого авиаполка с ближайшим ротным или батальонным постом ВНОС.</w:t>
      </w:r>
    </w:p>
    <w:p w14:paraId="1C6ED9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Начальнику связи ВВС Красной Армии по согласованию со штабом войск ПВО территории страны установить на каждый день единую волну взаимодействия между самолетами ВВС, ПВО и средствами ПВО и разработать краткую радиосигнальную таблицу. Указанные данные разослать в части с расчетом получения не позднее 15 марта 1942 года.</w:t>
      </w:r>
    </w:p>
    <w:p w14:paraId="63A649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Экипаж, сбившийся с маршрута, обязан на этой волне донести системе ПВО о потере ориентировки. Оперативные дежурные ПВО обязаны установить по донесениям постов ВНОС место самолета и сообщить экипажу его местонахождение.</w:t>
      </w:r>
    </w:p>
    <w:p w14:paraId="7D6F6C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На связь по этим же радиоданным переходить самолетам, получившим от наших истребителей требование посадки или попавшим в зону огня своей зенитной артиллерии.</w:t>
      </w:r>
    </w:p>
    <w:p w14:paraId="369F95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Начальнику штаба ВВС Красной Армии пересмотреть пароль “я свой самолет”. Установить отдельные сигналы для пароля и отзыва истребителей.</w:t>
      </w:r>
    </w:p>
    <w:p w14:paraId="2338F0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12. Обязать ПВО сажать самолеты, летящие не по указанному маршруту и без заявок. Сигналом требования посадки со стороны истребителей установить выход истребителей слева на один уровень с самолетом и подача сигнала отзыва. По этому сигналу экипаж обязан следовать за истребителем и перейти на радиосвязь в соответствии с п. 10.</w:t>
      </w:r>
    </w:p>
    <w:p w14:paraId="5A78EE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Истребителям ПВО по неподчиняющимся давать предупредительную очередь с трассирующими пулями в 50 м в стороне, и, если экипаж не подчиняется и после этого, открывать по нему огонь.</w:t>
      </w:r>
    </w:p>
    <w:p w14:paraId="6C5850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 посаженных истребителями самолетах доносить в штаб ВВС фронта и округа; последним проверять правильность сведений о принадлежности экипажа и только после подтверждения их разрешать перелет в свою часть.</w:t>
      </w:r>
    </w:p>
    <w:p w14:paraId="131A32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Командующим районами (зонами) ПВО пересмотреть состав оперативных дежурных, назначать оперативными дежурными знающих, распорядительных командиров с развитым чувством ответственности за поручаемое им дело.</w:t>
      </w:r>
    </w:p>
    <w:p w14:paraId="6F1864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Командирам авиачастей разъяснить всему летному составу весь вред, наносимый обороне Союза ССР неорганизованными полетами над своей территорией, и требовать точного соблюдения настоящего приказа.</w:t>
      </w:r>
    </w:p>
    <w:p w14:paraId="15D95F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Приказ ввести в действие с 6.00 15 марта 1942 года.</w:t>
      </w:r>
    </w:p>
    <w:p w14:paraId="4F36C0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Заместитель Народного комиссара обороны СССР</w:t>
      </w:r>
    </w:p>
    <w:p w14:paraId="02825D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генерал-полковник авиации ЖИГАРЕВ</w:t>
      </w:r>
    </w:p>
    <w:p w14:paraId="5E4295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Заместитель Народного комиссара обороны СССР</w:t>
      </w:r>
    </w:p>
    <w:p w14:paraId="3B7C03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генерал-лейтенант ГРОМАДИН </w:t>
      </w:r>
      <w:r w:rsidRPr="008127F8">
        <w:rPr>
          <w:rFonts w:ascii="Times New Roman" w:hAnsi="Times New Roman"/>
          <w:color w:val="000000" w:themeColor="text1"/>
          <w:sz w:val="16"/>
          <w:szCs w:val="16"/>
        </w:rPr>
        <w:t>(9844).</w:t>
      </w:r>
    </w:p>
    <w:p w14:paraId="1FAF4D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C50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1413 О формировании 20 гвардейских минометных полков М-8 и М-13. РГАНИР, Фонд ГКО, д. 24, лл. 1, 2-14 (11012).</w:t>
      </w:r>
    </w:p>
    <w:p w14:paraId="41AF0C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6CAA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F4907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AD4D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вышло Постановление ГКО № 1414 О возвращении в Ростовскую область эвакуированных тракторов. РГАНИР, Фонд ГКО, д. 24, лл. 15 (11012).</w:t>
      </w:r>
    </w:p>
    <w:p w14:paraId="567322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0BBF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F06C3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778E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г. была ДОКЛАДНАЯ ЗАПИСКА ЗАМЕСТИТЕЛЯ НАЧАЛЬНИКА ИНЖЕНЕРНОГО ОТДЕЛА НКВТ В ГАБТУ КА О ПОВРЕЖДЕНИЯХ ПРИБЫВШИХ В МУРМАНСК ТАНКОВ</w:t>
      </w:r>
    </w:p>
    <w:p w14:paraId="2F6672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Сообщаю, что прибывшие в Мурманск на пароходе Мерлин 7 английских танков вследствие плохого крепления имеют следующие повреждения:</w:t>
      </w:r>
    </w:p>
    <w:p w14:paraId="08524C0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помяты крылья,</w:t>
      </w:r>
    </w:p>
    <w:p w14:paraId="583C63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сломано левое направляющее колесо,</w:t>
      </w:r>
    </w:p>
    <w:p w14:paraId="1FC396A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оборвана гусеница,</w:t>
      </w:r>
    </w:p>
    <w:p w14:paraId="2D773F4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помят запасной бак топлива. Тоже было и на пароходе «Бот Эйвон».</w:t>
      </w:r>
    </w:p>
    <w:p w14:paraId="52C2C8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выслать акт приемки на все поврежденные танки с указанием потребных запчастей на восстановление.</w:t>
      </w:r>
    </w:p>
    <w:p w14:paraId="159F3E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инженерного отдела НКВТ Рябченко</w:t>
      </w:r>
    </w:p>
    <w:p w14:paraId="192EFF9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670. Л. 19. Подлинник (11211).</w:t>
      </w:r>
    </w:p>
    <w:p w14:paraId="3B0FF3F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0EEF5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E01E2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F65DA" w14:textId="77777777" w:rsidR="00037960" w:rsidRPr="008127F8" w:rsidRDefault="000379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двенадцать торпедоносцев Fairey Albacore с авианосца HMS Победоносца выполнили атаку на немецкий линкор Тирпиц, пока он находился в море у Норвегии. Они не попадают, и Тирпиц сбивает двух альбакоров. Это единственный раз, когда союзные войска атакуют Тирпиц, когда он находится в открытом море (20793).</w:t>
      </w:r>
    </w:p>
    <w:p w14:paraId="59C3198F" w14:textId="77777777" w:rsidR="00037960" w:rsidRPr="008127F8" w:rsidRDefault="00037960" w:rsidP="001E0A84">
      <w:pPr>
        <w:spacing w:after="0" w:line="240" w:lineRule="auto"/>
        <w:jc w:val="both"/>
        <w:rPr>
          <w:rFonts w:ascii="Times New Roman" w:hAnsi="Times New Roman"/>
          <w:color w:val="000000" w:themeColor="text1"/>
          <w:sz w:val="16"/>
          <w:szCs w:val="16"/>
        </w:rPr>
      </w:pPr>
    </w:p>
    <w:p w14:paraId="2CB87A16" w14:textId="77777777" w:rsidR="00037960" w:rsidRPr="008127F8" w:rsidRDefault="000379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Военно -воздушные силы армии США реорганизованы, при этом отдельное боевое командование ВВС (боевой элемент) и армейский авиационный корпус США (элемент материально-технического обеспечения и подготовки) распущены. Генерал Генри Х. Арнольд, бывший главнокомандующий ВВС, становится командующим ВВС армии. Термин «воздушный корпус» сохранился до 1947 года, но только в качестве ссылки на авиационную ветвь службы армии США без указания какой-либо официальной организации. ВМС США вводят в эксплуатацию 1-ю воздушно-транспортную эскадрилью (VR-1), первую из 13 эскадрилий, которую они создадут для Военно-морской авиатранспортной службы во время Второй мировой войны, в Норфолке, штат Вирджиния (20793).</w:t>
      </w:r>
    </w:p>
    <w:p w14:paraId="3C30707D" w14:textId="77777777" w:rsidR="00037960" w:rsidRPr="008127F8" w:rsidRDefault="00037960" w:rsidP="001E0A84">
      <w:pPr>
        <w:spacing w:after="0" w:line="240" w:lineRule="auto"/>
        <w:jc w:val="both"/>
        <w:rPr>
          <w:rFonts w:ascii="Times New Roman" w:hAnsi="Times New Roman"/>
          <w:color w:val="000000" w:themeColor="text1"/>
          <w:sz w:val="16"/>
          <w:szCs w:val="16"/>
        </w:rPr>
      </w:pPr>
    </w:p>
    <w:p w14:paraId="395C5F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Vannevar Bush в письме Ф.Д.Р. рекомендовал построить завод по разделению изотов урана производительностью 1 бомба в месяц и стоимостью 20 млн. долл. с завершением строительства к концу 1943. Критическая масса оценивалась в 2-5 кг как это было недавно вычислено Р.Опенгеймером и Gregory Breit (2220).</w:t>
      </w:r>
    </w:p>
    <w:p w14:paraId="27BA92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297E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японцы заняли остров Ява (4962).</w:t>
      </w:r>
    </w:p>
    <w:p w14:paraId="01DA789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14C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марта 1942 американские, английские и голландские войска сдали Яву японцам (2245,3). Правительство Голландской Восточной Индии капитулировало (2261).</w:t>
      </w:r>
    </w:p>
    <w:p w14:paraId="0AFDA3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8B6C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AD93E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4802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С.В.Ильюшин предложил другой вариант двухместной машины с полностью бронированной кабиной стрелка, сдвигающейся крышкой и блистерной установкой под пулемет УБТ, более простой, чем предложенный ранее для штурмовика Ил-4, так как включал бронестекло только в блистере. В этом варианте кабина стрелка была более просторной, чем на ЦКБ-55 и это позволило снабдить стрелка еще одним ручным пулеметом ДА калибра 7,62 мм для защиты от боковых атак и действия по наземным целям (5,106).</w:t>
      </w:r>
    </w:p>
    <w:p w14:paraId="149FF9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позднее появился вариант с экранированной турельной установкой МВ-3 с УБТ, обеспечивающей большие вертикальные и горизонтальные углы обстрела, но создающей значительное аэродинамическое сопротивление (5,108).</w:t>
      </w:r>
    </w:p>
    <w:p w14:paraId="5836F9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1C0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И.Ф.Петров утвердил Заключение по эскизному проекту одноместного одномоторного истребителя МиГ-11 с Ам-37 (993,3).</w:t>
      </w:r>
    </w:p>
    <w:p w14:paraId="5409C3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Назначение с-та: </w:t>
      </w:r>
    </w:p>
    <w:p w14:paraId="159254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Ведение воздушного боя и уничтожение самолетов противника мощным огнем в сочетании с преимуществом в скорости полета,</w:t>
      </w:r>
    </w:p>
    <w:p w14:paraId="29CDA9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Перехватчик самолетов противника на больших высотах,</w:t>
      </w:r>
    </w:p>
    <w:p w14:paraId="51F514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Краткое ТО (дополнение - отличие от МиГ-3)</w:t>
      </w:r>
    </w:p>
    <w:p w14:paraId="421E25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управленгие фонарем лебедкой по типу Кертис Р-40,</w:t>
      </w:r>
    </w:p>
    <w:p w14:paraId="197EE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предусмотрено аварийное открывани фонаря,</w:t>
      </w:r>
    </w:p>
    <w:p w14:paraId="359E30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летчик защищен (кроме бронеспинки) надголовником</w:t>
      </w:r>
    </w:p>
    <w:p w14:paraId="10BE7D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козырек кабины имеет прозрачную броню</w:t>
      </w:r>
    </w:p>
    <w:p w14:paraId="76DB75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Крыло: смешанной конструкции. Центроплан (как и на МиГ-3) цельнометаллический трехлонжеронной конструкции. Консоли - двухлонжеронные, лонжероны стальные, основной набор - деревянный. Элероны имеют дюралевый каркас с полотныной обшивкой (как на МиГ-3). Закрылки - дюралевые.</w:t>
      </w:r>
    </w:p>
    <w:p w14:paraId="5C3D7B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Оперение: смешанной конструкции. Киль и стабилизатор - дюралевые. Стадилизатор с изменяемым углом установки в полете, осуществляемом штурвалом из кабины пилота.</w:t>
      </w:r>
    </w:p>
    <w:p w14:paraId="3DC93C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Шасси: Колеса 600х200, костылб 400х160. Уборка - пневматическая</w:t>
      </w:r>
    </w:p>
    <w:p w14:paraId="6C1919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ВМГ: мотор АМ-37 с редукцией 0,732. Винт - автомат, д. 3,2 м. Б\баки - 600 л, расположен за сидением пилота в спец. Герметичном отсеке, с заполнение нейтральным газом как быка, так и отсека. Бензобак протектирован губкой “аназот” и защищен бронезащитой 4,5 мм от поражения сзади. Маслобак емкостью 75 л расположен между приборной доской и мотором. Водяной и масляный радиатор расположены в одном тоннеле в центроплане под фюзеляжем и имеют отдельную регулировку охлаждения. Водорадиатор пластинчатого типа с фронтом 0,3 м2 глубиной 285 мм. На </w:t>
      </w:r>
      <w:proofErr w:type="gramStart"/>
      <w:r w:rsidRPr="008127F8">
        <w:rPr>
          <w:rFonts w:ascii="Times New Roman" w:hAnsi="Times New Roman"/>
          <w:color w:val="000000" w:themeColor="text1"/>
          <w:sz w:val="16"/>
          <w:szCs w:val="16"/>
        </w:rPr>
        <w:t>самолете кроме того</w:t>
      </w:r>
      <w:proofErr w:type="gramEnd"/>
      <w:r w:rsidRPr="008127F8">
        <w:rPr>
          <w:rFonts w:ascii="Times New Roman" w:hAnsi="Times New Roman"/>
          <w:color w:val="000000" w:themeColor="text1"/>
          <w:sz w:val="16"/>
          <w:szCs w:val="16"/>
        </w:rPr>
        <w:t xml:space="preserve"> установлены поверхностные водорадиаторы. Эта дополнительная система охлаждения служит для понижения температуры воздуха, поступающего в мотор после нагнетателя.</w:t>
      </w:r>
    </w:p>
    <w:p w14:paraId="19EE4A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2 сенронных УБ 12,7 мм, установленных в центроплане, с емкостью патронных коробок по 200 шт. и двух крыльевых ШВАК 20мм с емкостью патронных коробок по 150 на каждый. Спуск - электропневматический, перезарядка - пневматическая.</w:t>
      </w:r>
    </w:p>
    <w:p w14:paraId="65B531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перегруз под крялья можно повесить 2х100 кг бомб (или более мелких). Вместо бом на подвески завода 32 можно установить шесть РО.</w:t>
      </w:r>
    </w:p>
    <w:p w14:paraId="732BD4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варианта как основного на самолете может быть еще вооружение в вариантах:</w:t>
      </w:r>
    </w:p>
    <w:p w14:paraId="73788E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2хШВАК синхронные с боезапасом по 150 на каждую</w:t>
      </w:r>
    </w:p>
    <w:p w14:paraId="72FA0D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2хШВАК крыльевые с тем же боезапасом</w:t>
      </w:r>
    </w:p>
    <w:p w14:paraId="7DD95D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2хБС синхронные с боезапасом по 200 шт.</w:t>
      </w:r>
    </w:p>
    <w:p w14:paraId="16D6A1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2хВЯ с боезапасом по 70 на каждую крыльевых</w:t>
      </w:r>
    </w:p>
    <w:p w14:paraId="4306C4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2хШВАК синхронные с боезапасом по 150 шт.</w:t>
      </w:r>
    </w:p>
    <w:p w14:paraId="75ADF0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2хВЯ с боезапасом по 70 на каждую крыльевых</w:t>
      </w:r>
    </w:p>
    <w:p w14:paraId="2CEC10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параметры:</w:t>
      </w:r>
    </w:p>
    <w:p w14:paraId="77421F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- 10.800, длина - 9.200, пл. Крыда - 19,7, профиль - НАСА 230 12%, угол установки - 1, поперечное У - 6. Длина САХ 1940, площадь гороперения - 3,05, пл. Вертикального - 1,52, пл. РВ 1,22, пл РН 0,8, пл. Стаб. 1,83, пл. Киля - 0,72. Стояночный угол - 13, нагрузка на 1 м - 185, нагр. На 1 лс 2,53.</w:t>
      </w:r>
    </w:p>
    <w:p w14:paraId="3EC018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Весовые данные: полный с нагрузкой (без перегрузки) - 3357, вес пустого - 2919, вес полной нагрузки - 738.</w:t>
      </w:r>
    </w:p>
    <w:p w14:paraId="6A7598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Вес пустого: конструкция - 1133, сил. Уст. - 1504 кг, оборуд. - 182 кг, итого -2819.</w:t>
      </w:r>
    </w:p>
    <w:p w14:paraId="3C610D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Вес полной нагрузки: снаряжение - 227 кг, топливо и смазочное - 395 кг, боеприпася - 126, л с парашютом - 90, итого 738.</w:t>
      </w:r>
    </w:p>
    <w:p w14:paraId="726027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Весовые данные конструкции: крыло с центропланом - 436, фюзеляж - 208, посадочные устройства - 187, оперение - 54, управление - 75, окраска - 15, всего 1133.</w:t>
      </w:r>
    </w:p>
    <w:p w14:paraId="6DCF6A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Запроектированные ЛТД скор. макс у земли 522 км/час, на 7600 - 680 км/час, время подъема на 5000 м - 5,3 мин, на 8000 - 9,4 м, дальность на 0,9 - 850, разбег - 405, пробег - 258, скор. посад. 141, время виража 24, потолок 11200.</w:t>
      </w:r>
    </w:p>
    <w:p w14:paraId="493BEB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Анализ запроектированных данных: </w:t>
      </w:r>
    </w:p>
    <w:p w14:paraId="1AC57A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штурмовых действий самолет данной конструкции малопригоден из-за сравнительно большой уязвимости от зенитного огня, имея ввиду дополнительный контур поверхностного охлаждения и малую защиту снизу бензобака.</w:t>
      </w:r>
    </w:p>
    <w:p w14:paraId="24FBDE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конструкции: необходимо развивать вариант в целом</w:t>
      </w:r>
    </w:p>
    <w:p w14:paraId="6DA4D4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Дер. Консоли крыла в целях экономии металла и простоты ремонта аварийных самолетов. При установке б/б сзади л противокапотажный угол будет чрезвычайно мал при выработке горючего - 24 гр. Самллеты данного типа имеют этот угол не менее 28 гр.</w:t>
      </w:r>
    </w:p>
    <w:p w14:paraId="678037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предкрылков на ст-те была бы безусловно вып.</w:t>
      </w:r>
    </w:p>
    <w:p w14:paraId="3CE037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 брони в проекте не указан...Необходимо установить бронещиток на левом борту для защиты левой руки л</w:t>
      </w:r>
    </w:p>
    <w:p w14:paraId="00C5A4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разработан аварийный вариант выпуска шасси</w:t>
      </w:r>
    </w:p>
    <w:p w14:paraId="3938E7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Колеса д.б установлены 700х200.</w:t>
      </w:r>
    </w:p>
    <w:p w14:paraId="571BFB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Пушки и пулеметы д. Иметь механическую перезярядку для работы на земле.</w:t>
      </w:r>
    </w:p>
    <w:p w14:paraId="678DA4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 Установка д. Допускать бомбометание как с гор. Полета, так и с пикирования.</w:t>
      </w:r>
    </w:p>
    <w:p w14:paraId="3FEB40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Запроектированная длиа разбега 405 м неудовлетворительна.</w:t>
      </w:r>
    </w:p>
    <w:p w14:paraId="3F05E0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 занижен примерно на 35% (ожидается 370-400 м).</w:t>
      </w:r>
    </w:p>
    <w:p w14:paraId="5F7DF4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Моторная установка не удовлетворяет ТТТ (крепление мотора не обеспечивает замены мотора вместе с подмоторной рамой). Трубопроводы не имеют панелей разъемов на пожарной перегородке. Не установлена сигнализация ...</w:t>
      </w:r>
    </w:p>
    <w:p w14:paraId="7E1512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Маслосистема не удовлетворяет ТТТ (нет приспособлений для расжижения масла бензином, не обеспечено пеногашение, нет приспособления сброса давления масла при перегреве ...) В проекте не указаны сечения трубопроводов маслосистемы.</w:t>
      </w:r>
    </w:p>
    <w:p w14:paraId="0980A7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Дополнительный контур системы охлаждения воздуха, поступающего в двигатель, в проекте не разработан.</w:t>
      </w:r>
    </w:p>
    <w:p w14:paraId="27ABD0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спецоборудованию: в проекте материала по спецоборудованию не представлены, а имеются лишь указания, что оно устанавливается.</w:t>
      </w:r>
    </w:p>
    <w:p w14:paraId="056A0E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Кстанавливается р/станция РСИ-4 и радиополукомпая РПК-10 Чаенок</w:t>
      </w:r>
    </w:p>
    <w:p w14:paraId="50C2A0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основных требований для облегчения полета в любое время суток и в плохих метеоусловиях - наличие авиагоризонта и гиромагнитного полукомпаяса</w:t>
      </w:r>
    </w:p>
    <w:p w14:paraId="55A18B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315FA8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Представленный в эскизном проектн с-т МиГ-11 с мотором АМ-37 целесообразно включить в план опытного стро-ва на 1942, имея в виду возможность установки на этом с-те пушечного мотора АМ-38ЗИФ-1 и АМ-38ЗИФ-2</w:t>
      </w:r>
    </w:p>
    <w:p w14:paraId="3DDC3D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НИИ ВВС КА Федоров, за вонкома Холодков (993,3).</w:t>
      </w:r>
    </w:p>
    <w:p w14:paraId="453EC6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EBD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г. главный инженер ВВС генерал-лейтенант авиации И.Ф. Петров утвердил заключение по эскизному проекту истребителя И-220 (МиГ-11) с мотором АМ-37. в котором специалисты НИИ ВВС рекомендовали включить самолет в план опытного самолетостроения на 1942 г. Однако в дальнейшем, в связи с тем</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работы по двигателю АМ-37 были прекращены, на самолет решили установить новый мотор АМ-39. Также изменения коснулись и вооружения самолета (5669).</w:t>
      </w:r>
    </w:p>
    <w:p w14:paraId="2BB5A9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00086"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состоянию на 10 марта 1942 г. на ИТП (М-1) продолжала доводиться винтомоторная группа. Первый вылет самолета намечался на 12— 13 марта (17500).</w:t>
      </w:r>
    </w:p>
    <w:p w14:paraId="796119D3" w14:textId="77777777" w:rsidR="004015CD" w:rsidRPr="008127F8" w:rsidRDefault="004015CD" w:rsidP="001E0A84">
      <w:pPr>
        <w:spacing w:after="0" w:line="240" w:lineRule="auto"/>
        <w:jc w:val="both"/>
        <w:rPr>
          <w:rFonts w:ascii="Times New Roman" w:eastAsia="Times New Roman" w:hAnsi="Times New Roman"/>
          <w:color w:val="000000" w:themeColor="text1"/>
          <w:sz w:val="16"/>
          <w:szCs w:val="16"/>
          <w:lang w:eastAsia="ru-RU"/>
        </w:rPr>
      </w:pPr>
    </w:p>
    <w:p w14:paraId="0B23172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w:t>
      </w:r>
      <w:r w:rsidRPr="008A2E5A">
        <w:rPr>
          <w:rFonts w:ascii="Times New Roman" w:hAnsi="Times New Roman"/>
          <w:color w:val="0070C0"/>
          <w:sz w:val="16"/>
          <w:szCs w:val="16"/>
        </w:rPr>
        <w:softHyphen/>
        <w:t>стоянию на 10 марта 1942 г. на ИТП (М-1) продолжала доводиться винтомоторная группа. Первый вылет самолета намечал</w:t>
      </w:r>
      <w:r w:rsidRPr="008A2E5A">
        <w:rPr>
          <w:rFonts w:ascii="Times New Roman" w:hAnsi="Times New Roman"/>
          <w:color w:val="0070C0"/>
          <w:sz w:val="16"/>
          <w:szCs w:val="16"/>
        </w:rPr>
        <w:softHyphen/>
        <w:t>ся на 12-13 марта (24308).</w:t>
      </w:r>
    </w:p>
    <w:p w14:paraId="5C3C4B29" w14:textId="77777777" w:rsidR="00F71F22" w:rsidRPr="008A2E5A" w:rsidRDefault="00F71F22" w:rsidP="00F71F22">
      <w:pPr>
        <w:spacing w:after="0" w:line="240" w:lineRule="auto"/>
        <w:jc w:val="both"/>
        <w:rPr>
          <w:rFonts w:ascii="Times New Roman" w:hAnsi="Times New Roman"/>
          <w:color w:val="0070C0"/>
          <w:sz w:val="16"/>
          <w:szCs w:val="16"/>
        </w:rPr>
      </w:pPr>
    </w:p>
    <w:p w14:paraId="1D28AB51"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 10 марта 1942 г. в очередной сводке «О выполнении основных работ НИИ ВВС КА» отмечается, что к этому дню на самолете ТИС (А) было выполнено 6 до</w:t>
      </w:r>
      <w:r w:rsidRPr="008127F8">
        <w:rPr>
          <w:color w:val="000000" w:themeColor="text1"/>
          <w:sz w:val="16"/>
          <w:szCs w:val="16"/>
        </w:rPr>
        <w:softHyphen/>
        <w:t>водочных полетов, «совместные испытания задер</w:t>
      </w:r>
      <w:r w:rsidRPr="008127F8">
        <w:rPr>
          <w:color w:val="000000" w:themeColor="text1"/>
          <w:sz w:val="16"/>
          <w:szCs w:val="16"/>
        </w:rPr>
        <w:softHyphen/>
        <w:t>живаются неполадками ВМГ».</w:t>
      </w:r>
    </w:p>
    <w:p w14:paraId="3C40F90D"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ходе испытаний выявилась совершенно неудо</w:t>
      </w:r>
      <w:r w:rsidRPr="008127F8">
        <w:rPr>
          <w:color w:val="000000" w:themeColor="text1"/>
          <w:sz w:val="16"/>
          <w:szCs w:val="16"/>
        </w:rPr>
        <w:softHyphen/>
        <w:t>влетворительная работа моторов АМ-37. По этой причине происходил большой недобор скорости по высотам. Были проблемы с устойчивостью само</w:t>
      </w:r>
      <w:r w:rsidRPr="008127F8">
        <w:rPr>
          <w:color w:val="000000" w:themeColor="text1"/>
          <w:sz w:val="16"/>
          <w:szCs w:val="16"/>
        </w:rPr>
        <w:softHyphen/>
        <w:t>лета при центровке 24% САХ и более. При меньшей центровке — не хватало рулей высоты. К 23 марта на самолет установили новое вертикальное опере</w:t>
      </w:r>
      <w:r w:rsidRPr="008127F8">
        <w:rPr>
          <w:color w:val="000000" w:themeColor="text1"/>
          <w:sz w:val="16"/>
          <w:szCs w:val="16"/>
        </w:rPr>
        <w:softHyphen/>
        <w:t>ние увеличенной площади и высоты и выполнили контрольный полет. Путевая устойчивость несколь</w:t>
      </w:r>
      <w:r w:rsidRPr="008127F8">
        <w:rPr>
          <w:color w:val="000000" w:themeColor="text1"/>
          <w:sz w:val="16"/>
          <w:szCs w:val="16"/>
        </w:rPr>
        <w:softHyphen/>
        <w:t>ко улучшилась. После этой доработки самолет в за</w:t>
      </w:r>
      <w:r w:rsidRPr="008127F8">
        <w:rPr>
          <w:color w:val="000000" w:themeColor="text1"/>
          <w:sz w:val="16"/>
          <w:szCs w:val="16"/>
        </w:rPr>
        <w:softHyphen/>
        <w:t>водской документации и в переписке стали обозна</w:t>
      </w:r>
      <w:r w:rsidRPr="008127F8">
        <w:rPr>
          <w:color w:val="000000" w:themeColor="text1"/>
          <w:sz w:val="16"/>
          <w:szCs w:val="16"/>
        </w:rPr>
        <w:softHyphen/>
        <w:t>чать как ТИС (2А).</w:t>
      </w:r>
    </w:p>
    <w:p w14:paraId="239F2B29"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5 мая 1942 г. была завершена программа первого этапа совместных заводских испытаний. Со слов сотрудников ОКБ Поликарпова, ЛИИ НКАП был настроен «угробить машину».</w:t>
      </w:r>
    </w:p>
    <w:p w14:paraId="2C4789A8"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Полученные летные данные на малых высотах «весьма близко подходили к расчетным значени</w:t>
      </w:r>
      <w:r w:rsidRPr="008127F8">
        <w:rPr>
          <w:color w:val="000000" w:themeColor="text1"/>
          <w:sz w:val="16"/>
          <w:szCs w:val="16"/>
        </w:rPr>
        <w:softHyphen/>
        <w:t>ям». Так, фактически замеренная в полете мак</w:t>
      </w:r>
      <w:r w:rsidRPr="008127F8">
        <w:rPr>
          <w:color w:val="000000" w:themeColor="text1"/>
          <w:sz w:val="16"/>
          <w:szCs w:val="16"/>
        </w:rPr>
        <w:softHyphen/>
        <w:t>симальная скорость у земли составила 490 км/ч (на высоте 450 м), а по расчетам должна была быть 527 км/ч. На больших высотах картина была хуже. Вместо 652 км/ч на высоте 7400 м получили только 575 км/ч.</w:t>
      </w:r>
    </w:p>
    <w:p w14:paraId="4F78A9A1"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Но главное — это ненадежная работа мото</w:t>
      </w:r>
      <w:r w:rsidRPr="008127F8">
        <w:rPr>
          <w:color w:val="000000" w:themeColor="text1"/>
          <w:sz w:val="16"/>
          <w:szCs w:val="16"/>
        </w:rPr>
        <w:softHyphen/>
        <w:t>ров. Из-за отсутствия летных экземпляров мотора АМ-37 самолет ТИС (2А) в начале июня был закон</w:t>
      </w:r>
      <w:r w:rsidRPr="008127F8">
        <w:rPr>
          <w:color w:val="000000" w:themeColor="text1"/>
          <w:sz w:val="16"/>
          <w:szCs w:val="16"/>
        </w:rPr>
        <w:softHyphen/>
        <w:t>сервирован. Работы по доводке машины по переч</w:t>
      </w:r>
      <w:r w:rsidRPr="008127F8">
        <w:rPr>
          <w:color w:val="000000" w:themeColor="text1"/>
          <w:sz w:val="16"/>
          <w:szCs w:val="16"/>
        </w:rPr>
        <w:softHyphen/>
        <w:t>ню недостатков и дефектов, согласно отчету ЛИИ НКАП, начались только в августе.</w:t>
      </w:r>
    </w:p>
    <w:p w14:paraId="631056C9" w14:textId="77777777" w:rsidR="004015CD" w:rsidRPr="008127F8" w:rsidRDefault="004015CD"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улучшения устойчивости на самолет были установлены новое вертикальное и горизонтальное оперение с увеличенной площадью и уменьшено (с 7° до 4°) поперечное «V» консолей крыла. Изме</w:t>
      </w:r>
      <w:r w:rsidRPr="008127F8">
        <w:rPr>
          <w:color w:val="000000" w:themeColor="text1"/>
          <w:sz w:val="16"/>
          <w:szCs w:val="16"/>
        </w:rPr>
        <w:softHyphen/>
        <w:t>нили угол установки стабилизатора с 0° до —1°30', что увеличило запас рулей на посадке. Переделали механизм управления створками шасси, улучшили обводы фонаря стрелка-радиста, изменили фор</w:t>
      </w:r>
      <w:r w:rsidRPr="008127F8">
        <w:rPr>
          <w:color w:val="000000" w:themeColor="text1"/>
          <w:sz w:val="16"/>
          <w:szCs w:val="16"/>
        </w:rPr>
        <w:softHyphen/>
        <w:t>му тоннелей маслорадиаторов. Были выполнены и другие менее значительные доработки само</w:t>
      </w:r>
      <w:r w:rsidRPr="008127F8">
        <w:rPr>
          <w:color w:val="000000" w:themeColor="text1"/>
          <w:sz w:val="16"/>
          <w:szCs w:val="16"/>
        </w:rPr>
        <w:softHyphen/>
        <w:t>лета (17500).</w:t>
      </w:r>
    </w:p>
    <w:p w14:paraId="04DE39EF" w14:textId="77777777" w:rsidR="004015CD" w:rsidRPr="008127F8" w:rsidRDefault="004015CD" w:rsidP="001E0A84">
      <w:pPr>
        <w:spacing w:after="0" w:line="240" w:lineRule="auto"/>
        <w:jc w:val="both"/>
        <w:rPr>
          <w:rFonts w:ascii="Times New Roman" w:eastAsia="Times New Roman" w:hAnsi="Times New Roman"/>
          <w:color w:val="000000" w:themeColor="text1"/>
          <w:sz w:val="16"/>
          <w:szCs w:val="16"/>
          <w:lang w:eastAsia="ru-RU"/>
        </w:rPr>
      </w:pPr>
    </w:p>
    <w:p w14:paraId="5C61424A" w14:textId="77777777" w:rsidR="00DE624F" w:rsidRPr="008127F8" w:rsidRDefault="00DE624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На 10 мар</w:t>
      </w:r>
      <w:r w:rsidRPr="008127F8">
        <w:rPr>
          <w:rFonts w:ascii="Times New Roman" w:cs="Times New Roman"/>
          <w:color w:val="000000" w:themeColor="text1"/>
          <w:spacing w:val="0"/>
        </w:rPr>
        <w:softHyphen/>
        <w:t>та 1942 г. в очередной сводке «О выполнении основных работ НИИ ВВС КА» отмечается, что к этому дню на самолете ТИС было выполнено шесть до</w:t>
      </w:r>
      <w:r w:rsidRPr="008127F8">
        <w:rPr>
          <w:rFonts w:ascii="Times New Roman" w:cs="Times New Roman"/>
          <w:color w:val="000000" w:themeColor="text1"/>
          <w:spacing w:val="0"/>
        </w:rPr>
        <w:softHyphen/>
        <w:t>водочных полетов, «совместные испыта</w:t>
      </w:r>
      <w:r w:rsidRPr="008127F8">
        <w:rPr>
          <w:rFonts w:ascii="Times New Roman" w:cs="Times New Roman"/>
          <w:color w:val="000000" w:themeColor="text1"/>
          <w:spacing w:val="0"/>
        </w:rPr>
        <w:softHyphen/>
        <w:t>ния задерживаются неполадками ВМГ»</w:t>
      </w:r>
    </w:p>
    <w:p w14:paraId="1A390121" w14:textId="77777777" w:rsidR="00DE624F" w:rsidRPr="008127F8" w:rsidRDefault="00DE624F"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ходе испытаний выявилась совер</w:t>
      </w:r>
      <w:r w:rsidRPr="008127F8">
        <w:rPr>
          <w:rFonts w:ascii="Times New Roman" w:cs="Times New Roman"/>
          <w:color w:val="000000" w:themeColor="text1"/>
          <w:spacing w:val="0"/>
        </w:rPr>
        <w:softHyphen/>
        <w:t>шенно неудовлетворительная работа моторов. По этой причине происходил большой недобор скорости по высо</w:t>
      </w:r>
      <w:r w:rsidRPr="008127F8">
        <w:rPr>
          <w:rFonts w:ascii="Times New Roman" w:cs="Times New Roman"/>
          <w:color w:val="000000" w:themeColor="text1"/>
          <w:spacing w:val="0"/>
        </w:rPr>
        <w:softHyphen/>
        <w:t>там. Были проблемы с устойчивостью самолета при центровке 24% САХ и бо</w:t>
      </w:r>
      <w:r w:rsidRPr="008127F8">
        <w:rPr>
          <w:rFonts w:ascii="Times New Roman" w:cs="Times New Roman"/>
          <w:color w:val="000000" w:themeColor="text1"/>
          <w:spacing w:val="0"/>
        </w:rPr>
        <w:softHyphen/>
      </w:r>
      <w:r w:rsidRPr="008127F8">
        <w:rPr>
          <w:rStyle w:val="0pt1"/>
          <w:rFonts w:eastAsia="Arial Narrow"/>
          <w:b w:val="0"/>
          <w:color w:val="000000" w:themeColor="text1"/>
          <w:spacing w:val="0"/>
          <w:sz w:val="16"/>
          <w:szCs w:val="16"/>
        </w:rPr>
        <w:t>лее.</w:t>
      </w:r>
      <w:r w:rsidRPr="008127F8">
        <w:rPr>
          <w:rFonts w:ascii="Times New Roman" w:cs="Times New Roman"/>
          <w:color w:val="000000" w:themeColor="text1"/>
          <w:spacing w:val="0"/>
        </w:rPr>
        <w:t xml:space="preserve"> При меньшей центровке не хвата</w:t>
      </w:r>
      <w:r w:rsidRPr="008127F8">
        <w:rPr>
          <w:rFonts w:ascii="Times New Roman" w:cs="Times New Roman"/>
          <w:color w:val="000000" w:themeColor="text1"/>
          <w:spacing w:val="0"/>
        </w:rPr>
        <w:softHyphen/>
        <w:t>ло рулей высоты (15755).</w:t>
      </w:r>
    </w:p>
    <w:p w14:paraId="17ED0637" w14:textId="77777777" w:rsidR="00DE624F" w:rsidRPr="008127F8" w:rsidRDefault="00DE624F" w:rsidP="001E0A84">
      <w:pPr>
        <w:pStyle w:val="27"/>
        <w:shd w:val="clear" w:color="auto" w:fill="auto"/>
        <w:spacing w:after="0" w:line="240" w:lineRule="auto"/>
        <w:ind w:firstLine="0"/>
        <w:rPr>
          <w:rFonts w:ascii="Times New Roman" w:cs="Times New Roman"/>
          <w:color w:val="000000" w:themeColor="text1"/>
          <w:spacing w:val="0"/>
        </w:rPr>
      </w:pPr>
    </w:p>
    <w:p w14:paraId="7B141A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10 марта 1942 года были следующие заводы НКАП в Москве:</w:t>
      </w:r>
    </w:p>
    <w:p w14:paraId="4D4705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20, 23, 25, 27, 30, 33, 41, 43, 45, 81, 115, 132, 156, 164, 213, 214, 230, 266, 337/45, 383, 474, 476, 478, 480, 482, 487, завод “Точизмеритель”, НИИ-12 (9151).</w:t>
      </w:r>
    </w:p>
    <w:p w14:paraId="38B7EA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E232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7B81C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25CDCC" w14:textId="77777777" w:rsidR="00284E99" w:rsidRPr="008127F8" w:rsidRDefault="00284E99"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 состоянию на 10 марта 1942 г. только Ижорский завод изготовил для 55-й армии 3493 стрелковых щитка и 64 щитка на лыжах, для 125-й сд - 560 щитков, для 72-й сд (7-я ОБМП) - 710 щитков, для 43-й кед - 150 щитков, для 56-й сд - 12 щит</w:t>
      </w:r>
      <w:r w:rsidRPr="008127F8">
        <w:rPr>
          <w:rFonts w:ascii="Times New Roman" w:hAnsi="Times New Roman" w:cs="Times New Roman"/>
          <w:color w:val="000000" w:themeColor="text1"/>
          <w:sz w:val="16"/>
          <w:szCs w:val="16"/>
        </w:rPr>
        <w:softHyphen/>
        <w:t>ков и для 268-й сд -150 щитков (17746).</w:t>
      </w:r>
    </w:p>
    <w:p w14:paraId="6E54CEAF" w14:textId="77777777" w:rsidR="00284E99" w:rsidRPr="008127F8" w:rsidRDefault="00284E99" w:rsidP="001E0A84">
      <w:pPr>
        <w:spacing w:after="0" w:line="240" w:lineRule="auto"/>
        <w:jc w:val="both"/>
        <w:rPr>
          <w:rFonts w:ascii="Times New Roman" w:eastAsia="Times New Roman" w:hAnsi="Times New Roman"/>
          <w:color w:val="000000" w:themeColor="text1"/>
          <w:sz w:val="16"/>
          <w:szCs w:val="16"/>
          <w:lang w:eastAsia="ru-RU"/>
        </w:rPr>
      </w:pPr>
    </w:p>
    <w:p w14:paraId="4689FA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Основан Томский завод радиомашин (ныне электротехнический) (11858).</w:t>
      </w:r>
    </w:p>
    <w:p w14:paraId="3655FC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26E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10 марта 1942 г. по приказу НКЭП № 7 филиал завода № 266 НКАП был преобразован в самостоятельный завод № 690 НКЭП (Завод № 690 НКЭП, п/я 16, Томский завод радиомашин, Томский электротехнический завод, ФГУП «Томский электротехнический завод» /634041  г. Томск пр. Кирова, 51А/). Далее он переименован в Томский завод радиомашин, имел наименование «п/я 16». Затем переименован в Томский электротехнический завод.</w:t>
      </w:r>
    </w:p>
    <w:p w14:paraId="273CD2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(2005 г.)- М.А. Родин (11982).</w:t>
      </w:r>
    </w:p>
    <w:p w14:paraId="635FF5D5" w14:textId="77777777" w:rsidR="00DE624F" w:rsidRPr="008127F8" w:rsidRDefault="00DE624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6CC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НКВД в лице Л.П.Б. представил в ГКО доклад о деятельности английского Уранового комитета (1566,210).</w:t>
      </w:r>
    </w:p>
    <w:p w14:paraId="49BAD9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37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вышло Постановление ГКО № 1420 О поставке НКВД СССР линейных материалов для организации обходных связей и приведения в техническое состояние линий правительственной телефонной ВЧ-связи между Москвой и штабами фронтов. РГАНИР, Фонд ГКО, д. 24, лл. 45, 46 (11012).</w:t>
      </w:r>
    </w:p>
    <w:p w14:paraId="70A48B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1A6A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FE405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AA505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марта</w:t>
      </w:r>
      <w:r w:rsidRPr="008127F8">
        <w:rPr>
          <w:rFonts w:ascii="Times New Roman" w:hAnsi="Times New Roman"/>
          <w:color w:val="000000" w:themeColor="text1"/>
          <w:sz w:val="16"/>
          <w:szCs w:val="16"/>
        </w:rPr>
        <w:t xml:space="preserve"> в 1942 году утреннее сообщение Совинформбюро:</w:t>
      </w:r>
    </w:p>
    <w:p w14:paraId="15D8657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 течение ночи на 10 марта на ряде участков фронта советские войска вели наступательные бои против немецко-фашистских войск.</w:t>
      </w:r>
    </w:p>
    <w:p w14:paraId="29B9032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Западного фронта, за два дня упорных боёв с противником заняли несколько населённых пунктов. Немцы понесли значительные потери в технике и живой силе. Наши бойцы уничтожили 1 вражеский танк, 10 орудий, 13 миномётов, 16 пулемётов и захватали 5 танков, 4 пулемёта, 30 ящиков мин, 3 ящика ручных гранат, 25.000 патронов и другое военное имущество. Противник потерял свыше 2.000 человек убитыми и ранеными. На другом участке наша часть в бою за опорный пункт обороны противника уничтожила 1 танк, подбила самолёт и захватила 6 орудий, 2 миномёта, 5 пулемётов, 40 винтовок, 10 автоматов и различное военное имущество. Захвачены пленные.</w:t>
      </w:r>
    </w:p>
    <w:p w14:paraId="39BB0493"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за один день освободила от немцев 4 населённых пункта. Враг понёс большие потери. Взяты пленные.</w:t>
      </w:r>
    </w:p>
    <w:p w14:paraId="56AB5C9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после упорных боёв овладели тремя населёнными пунктами. Среди захваченных трофеев 5 противотанковых орудий, 2 миномёта и 20 пулемётов. Только на подступах к одному из населённых пунктов немцы оставили около 100 трупов солдат и офицеров.</w:t>
      </w:r>
    </w:p>
    <w:p w14:paraId="070BB08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 сержант Кузнецов за одну ночь произвёл 4 боевых вылета на бомбёжку вражеского аэродрома. Утром наши разведчики донесли, что на немецком аэродроме в результате боевых действий экипажа тов. Кузнецова уничтожено 14 немецких самолётов.</w:t>
      </w:r>
    </w:p>
    <w:p w14:paraId="667FC9D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разминировании минных полей на одном из участков Крымского фронта младший сержант Копанюк и четыре красноармейца извлекли до 1.200 мин. Ими же были сделаны четыре прохода через минное поле.</w:t>
      </w:r>
    </w:p>
    <w:p w14:paraId="4F6F09A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известного норвежского патриота X. Ларсена совершил в районе Салмиярви нападение на финский склад боеприпасов. Во время боя на командира отряда набросились восемь солдат из числа охраны склада. Белофинны решили взять вожака партизан в плен. Обладая исключительной силой и ловкостью, Ларсен заколол штыком трёх солдат, двух убил прикладом и трёх застрелил из револьвера. Перебив охрану склада, партизаны взорвали боеприпасы. Партизанский отряд во главе со своим командиром вернулся на свою базу без потерь.</w:t>
      </w:r>
    </w:p>
    <w:p w14:paraId="71D34A79"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2 роты 460 полка 260 пехотной дивизии Рудольф Петтингер рассказал: «До последнего времени я, как рабочий военного предприятия, пользовался отсрочкой. Но в связи с огромными потерями нашей армии на Восточном фронте меня мобилизовали и 23 января 1942 года направили в Россию. Я и ещё 18 других солдат оказались во 2 роте 460 полка, который действовал под Юхновом. Через три дня из 18 человек, прибывших вместе со мной, невредимым остался один я. Все остальные убиты или ранены. Русская артиллерия днём и ночью обстреливала нас и заставляла часами лежать на снегу. А как только мы пытались встать, нас косили пулемёты».</w:t>
      </w:r>
    </w:p>
    <w:p w14:paraId="51DD043C"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Карл Беме недавно писал Лине Вильхельм: «Полгода мы уже находимся на войне, но, когда кончается день и сгущается тьма, мне постоянно бывает страшно. Повсюду в лесах и деревнях кишат партизаны. Они нападают на нас».</w:t>
      </w:r>
    </w:p>
    <w:p w14:paraId="26F84A70"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деревни Звонково, Сталинской области, составили акт о чудовищных преступлениях гитлеровских извергов. В акте говорится, что за время своего пребывания в Звонкове немцы убили 11 крестьян, в том числе 8 подростков. Убит Овсянников Иван Константинович — 40 лет, замучен Максименко Никита Филимонович — 45 лет. Ему изрезали всё лицо, выкололи глаза, разбили череп, выкрутили руки и ноги. Пересечного Григория—17 лет избили прикладами, поломали руки и ноги, а затем расстреляли. Убиты прикладами Васищев Иван — 16 лет, Васищев Степан—14 лет, расстреляны Лабунько Андрей—17 лет, Олейников Иван — 16 лет, Иваненко Виктор — 16 лет, Иваненко Николай — 20 лет, Максименко Михаил — 16 лет. Гитлеровские кровопийцы забрали у крестьян все продукты, домашние вещи, одежду, весь скот и птицу. При отступлении немцы сожгли 36 домов, 4 конюшни, взорвали здание правления колхоза, колхозную лабораторию, клуб, 2 школы, сельсовет, магазин, больницу, кладовую колхоза, 13 зернохранилищ, мельницу и увели с собой 42 колхозника.» (15064).</w:t>
      </w:r>
    </w:p>
    <w:p w14:paraId="1E4C7FF5"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77D5A89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марта</w:t>
      </w:r>
      <w:r w:rsidRPr="008127F8">
        <w:rPr>
          <w:rFonts w:ascii="Times New Roman" w:hAnsi="Times New Roman"/>
          <w:color w:val="000000" w:themeColor="text1"/>
          <w:sz w:val="16"/>
          <w:szCs w:val="16"/>
        </w:rPr>
        <w:t xml:space="preserve"> в 1942 году вечернее сообщение Совинформбюро:</w:t>
      </w:r>
    </w:p>
    <w:p w14:paraId="5AB20A8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марта наши войска продолжали вести наступательные бои против немецко-фашистских войск. В результате ударов наших частей противник был выбит из нескольких населённых пунктов и понёс большие потери в технике и живой силе.</w:t>
      </w:r>
    </w:p>
    <w:p w14:paraId="7B4B2DDD"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марта уничтожено 30 немецких самолётов. Наши потери — 11 самолётов.</w:t>
      </w:r>
    </w:p>
    <w:p w14:paraId="0E2B8068"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марта частями нашей авиации уничтожено и повреждено 180 автомашин с войсками и грузами, 130 подвод с боеприпасами, 3 автоцистерны с бензином, 40 орудий, 10 зенитно-пулемётных точек, 40 миномётов, в ряде мест разрушено железнодорожное полотно, рассеяны и частью уничтожены эскадрон всадников и 6 рот пехоты противника.</w:t>
      </w:r>
    </w:p>
    <w:p w14:paraId="35E9D8D8"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8 марта, преодолев упорное сопротивление противника, взломали его линию обороны. В течение дня наши бойцы заняли на этом участке 9 населённых пунктов и нанесли врагу большой урон в технике и живой силе. Развивая наступление, наши части 9 марта с боем взяли ещё 8 населённых пунктов. Только за один день 9 марта, по неполным данным, захвачены следующие трофеи: 84 орудия, самолёт, 65 автомашин, 4 штабных автобуса, 21 мотоцикл, 4 трактора, бронемашина, 10 километров кабеля и другое военное имущество. На поле боя осталось большое количество трупов вражеских солдат и офицеров. Взято много пленных.</w:t>
      </w:r>
    </w:p>
    <w:p w14:paraId="67309FB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бойцы окружили противника, укрепившегося в деревне Л. Преодолев сопротивление немцев, бойцы ворвались в деревню и захватили её. В этом бою уничтожено свыше 200 немецко-фашистских оккупантов. На другом участке советские артиллеристы, ведя огневой бой с противником, в течение одного дня разрушили 6 вражеских блиндажей и 3 ДЗОТа, уничтожили 2 огневые точки и до 150 немецких солдат и офицеров.</w:t>
      </w:r>
    </w:p>
    <w:p w14:paraId="4F6D54F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Юго-Западного фронта, за один день освободили 4 населённых пункта и захватили 5 немецких орудий, 21 пулемёт, 14 автоматов, 3 миномёта, 200 винтовок, более 60.000 патронов. Противник потерял убитыми свыше 600 солдат и офицеров. Успешно действовали танкисты части, которой командует тов. Поляков. Они уничтожили 6 вражеских орудий, 8 миномётов, 12 пулемётов, танк и много солдат противника.</w:t>
      </w:r>
    </w:p>
    <w:p w14:paraId="3060E41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немецких офицера вели из блиндажа сильный пулемётный огонь по наступавшей на пункт У. советской пехоте. Красноармеец Никита Иванович Тумаков скрытно подполз к вражеской огневой точке, вскочил в блиндаж и вступил в рукопашную схватку с немецкими офицерами. Один из офицеров схватил бойца за горло и начал его душить. Изловчившись, Тумаков выхватил висевший на поясе у врага кинжал и заколол гитлеровца. Другой офицер пытался убежать, но был настигнут и убит бойцом. Огневая точка врага была подавлена. Наша пехота перешла в атаку и заняла населённый пункт.</w:t>
      </w:r>
    </w:p>
    <w:p w14:paraId="101A2856"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369 хорватского полка 100 немецкой дивизии Николи Янжек рассказал: «В июле Павелич по приказу Гитлера направил в распоряжение германского командования 6.000 хорватских солдат. Одна тысяча из них вскоре вернулась из Германии, где производился окончательный отбор. Их признали политически неблагонадёжными. На советско-германский фронт выехало 5.000 солдат и офицеров, но на место прибыло лишь 4 тысячи. 800 солдат во время пути убежали. 200 человек были приговорены военно-полевым судом к каторжным работам и отправлены в Германию. В первых же боях русская кавалерия почти целиком уничтожила 1 батальон хорватского полка. Из тысячи солдат и офицеров уцелело не более одной десятой части. Из полка дезертировало ещё 500 человек. Большинство солдат ненавидит Гитлера и хочет поражения фашистской Германии».</w:t>
      </w:r>
    </w:p>
    <w:p w14:paraId="568A1BA5"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мерзавцы творят неслыханные зверства и издевательства над пленными красноармейцами. Освободив деревню Отвидино, Ленинградской области, от немецких захватчиков, наши бойцы обнаружили в сарае и двух банях трупы 23 красноармейцев, растерзанных гитлеровцами. Один красноармеец раздет догола и повешен в сарае. Всё его тело исполосовано ножами. Двух красноармейцев гитлеровцы пытали раскалёнными железными прутьями. Все части тела сильно обожжены. Остальные красноармейцы были облиты горючей жидкостью, и тела их полуобгорели.</w:t>
      </w:r>
    </w:p>
    <w:p w14:paraId="0B536FD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Близ Саланген (Норвегия) на строительстве немецкой оборонительной линии большая группа строителей-норвежцев перебила немецкую охрану и подожгла несколько складов строительных материалов. Захватив оружие убитых немецких солдат и офицеров, норвежские патриоты скрылись в горах.</w:t>
      </w:r>
    </w:p>
    <w:p w14:paraId="1AF58DD4"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Новым трудовым подъёмом ответили бакинские нефтяники на приказ товарища Сталина в связи с 24-й годовщиной Красной Армии. Коллектив шестого промысла треста «Лениннефть» добыл сверх плана 900 тонн нефти. Коллектив нефтеперегонного завода имени Сталина на днях отправил в Действующую армию ещё два эшелона авиационного бензина, выработанного сверх плана.».</w:t>
      </w:r>
    </w:p>
    <w:p w14:paraId="594EBCE1"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3CB0ECCA"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Калининского фронта за период с 5 февраля по 8 марта 1942 года.</w:t>
      </w:r>
    </w:p>
    <w:p w14:paraId="6A78CE2F"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период с 5 февраля по 8 марта войсками Калининского фронта захвачены у противника следующие трофеи: танков — 78, орудий разных калибров — 172, миномётов — 209, станковых и ручных пулемётов — 824, противотанковых ружей — 181, автоматов — 568, винтовок—3.432, автомашин — 1.177, повозок — 300, кухонь — 8, радиостанций — 30, паровозов — 2, гранат — 9.000, мин — 10.500, снарядов — 7.000, патронов винтовочных — 2.000.000, 2 эшелона и 2 склада с боеприпасами, 2 вещевых склада.</w:t>
      </w:r>
    </w:p>
    <w:p w14:paraId="378AC1E2"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сбито в воздушных боях, огнём зенитной артиллерии и уничтожено на аэродромах 277 немецких самолётов, подорван бронепоезд с десантом автоматчиков, уничтожено 39 танков, 142 орудия, 70 пулемётов, 2.629 автомашин, 27 мотоциклов, 1.374 повозки, 2 паровоза, 104 железнодорожных вагона, 17 цистерн, склад горючего и 7 складов со снарядами.</w:t>
      </w:r>
    </w:p>
    <w:p w14:paraId="613CC8A7"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5 февраля по 8 марта немцы потеряли в районе Калининского фронта убитыми 49.700 солдат и офицеров.</w:t>
      </w:r>
    </w:p>
    <w:p w14:paraId="73EA886E" w14:textId="77777777" w:rsidR="00DE624F" w:rsidRPr="008127F8" w:rsidRDefault="00DE62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Освобождён от немецких оккупантов 161 населённый пункт.» (15064).</w:t>
      </w:r>
    </w:p>
    <w:p w14:paraId="0780D508" w14:textId="77777777" w:rsidR="00DE624F" w:rsidRPr="008127F8" w:rsidRDefault="00DE624F" w:rsidP="001E0A84">
      <w:pPr>
        <w:spacing w:after="0" w:line="240" w:lineRule="auto"/>
        <w:jc w:val="both"/>
        <w:rPr>
          <w:rFonts w:ascii="Times New Roman" w:hAnsi="Times New Roman"/>
          <w:color w:val="000000" w:themeColor="text1"/>
          <w:sz w:val="16"/>
          <w:szCs w:val="16"/>
        </w:rPr>
      </w:pPr>
    </w:p>
    <w:p w14:paraId="74794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г. у финнов из вылета в район Ругозеро не вернулись два истребителя Fokker D-XXI из LeLv 14 (борта FR-105 и FR-106), а также пропали без вести их летчики мл. л-ты Е.Линден и К.Метсавайнио. Согласно советским данным, в этой местности вели бой “Харрикейны” 152-го ИАП. Комзвена л-т Сорокин Алексей Власович, израсходовав патроны, на бреющем полете нагнал уходивший вражеский самолет и таранным ударом сбил его. Сам же благополучно вернулся на свой аэродром и был награжден орденом Красного Знамени (10205).</w:t>
      </w:r>
    </w:p>
    <w:p w14:paraId="6C4405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FA15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EFDDA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BCF4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года, как официально считается, первые сведения о начале работы по созданию атомной бомбы были получены советской разведкой и доложены Л. П. Берия Сталину. К концу следующего года, наряду с множеством сообщений о ходе осуществления проекта «Манхэттен», среди которых находился отчет Б. Понтекорво о впервые осуществленной Э. Ферми управляемой ядерной реакции, в Москву было доставлено около 300 секретных отчетов и материалов по проблемам исследования в области атомной энергии.</w:t>
      </w:r>
    </w:p>
    <w:p w14:paraId="3AEA7E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самом деле внешняя разведка начала информировать Москву о ведущихся в США и Великобритании работах по проектам «Манхэттен» и «Тьюб эллойз» («Трубный сплав») значительно раньше.</w:t>
      </w:r>
    </w:p>
    <w:p w14:paraId="50F438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из первых сообщений по этой теме поступило еще до второй мировой войны. Англичанин лорд Хэнки был сверхэнергичным политиком-администратором и с радостью брался за решение любой проблемы, начиная от оптимизации работы британской почты и заканчивая разработкой ядерного оружия. Кроме этого, он славился прекрасными аналитическими прогнозами — они почти всегда исполнялись.</w:t>
      </w:r>
    </w:p>
    <w:p w14:paraId="4427B7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Может быть, уже тогда он понял важность нового проекта, связанного с атомной физикой, и приложил максимум сил к его реализации. И его личный секретарь тоже не бездельничал, а активно копировал сверхсекретные документы по этой теме для своего шефа и передавал их в Москву, начиная с осени 1940 года. Звали этого человека Д. Кэрнкрос (Карел). Продолжала информация поступать от него и в 1942 году (Рыбалкин Ю. Операция «X». Советская военная помощь республиканской Испании (1936—1939). — М., 2000. — 150 с.).</w:t>
      </w:r>
    </w:p>
    <w:p w14:paraId="42C11E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Проблемой расщепления атомного ядра и получения нового источника атомной энергии ученые Германии, Великобритании, США, Франции и других стран вплотную стали заниматься с 1939 года. Подобные работы велись и в Советском Союзе учеными-ядерщиками Я. Зельдовичем, Ю. Харитоном и другими, но начавшаяся война и эвакуация научных институтов в Казань прервали работы по созданию атомного оружия. Однако наличие в Германии сильной школы физики свидетельствовало об опасности появления у нее подобного оружия и о необходимости создания его в других странах.</w:t>
      </w:r>
    </w:p>
    <w:p w14:paraId="05B2BE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войны и в военные годы резидентуру советской внешней разведки на калифорнийском побережье США возглавлял Г. Хейфец (Харон), вице-консул в Сан-Франциско. Еще в бытность свою заместителем резидента НКВД в Италии он первым заметил и начал осторожную разработку знаменитого физика Э. Ферми и его молодого ученика будущего советского физика и академика Б. Понтекорво. Позже оба они, спасаясь от фашизма, оказались в Америке.</w:t>
      </w:r>
    </w:p>
    <w:p w14:paraId="35372D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Сотрудник советской внешней разведки С. Семенов установил контакт с членами семьи Понтекорво, привлек итальянца к сотрудничеству и много лет получал от него информацию. В 1950 году связник встречал своего агента в ленинградском порту, когда Понтекорво по каналам разведки перебрался в СССР.</w:t>
      </w:r>
    </w:p>
    <w:p w14:paraId="20C912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Семенов и Хейфец сообщали в центр, что американские власти намереваются привлечь выдающихся ученых, включая нескольких лауреатов Нобелевской премии, к разработке особо секретного оружия. И что на эти цели выделяется до четверти от общей суммы расходов США на военно-технические исследования. Хейфец установил, что связанный с Компартией США физик из Беркли Р. Оппенгеймер и его коллеги покидают Калифорнию</w:t>
      </w:r>
      <w:proofErr w:type="gramStart"/>
      <w:r w:rsidRPr="008127F8">
        <w:rPr>
          <w:rFonts w:ascii="Times New Roman" w:hAnsi="Times New Roman"/>
          <w:color w:val="000000" w:themeColor="text1"/>
          <w:sz w:val="16"/>
          <w:szCs w:val="16"/>
        </w:rPr>
        <w:t>…( Рык</w:t>
      </w:r>
      <w:proofErr w:type="gramEnd"/>
      <w:r w:rsidRPr="008127F8">
        <w:rPr>
          <w:rFonts w:ascii="Times New Roman" w:hAnsi="Times New Roman"/>
          <w:color w:val="000000" w:themeColor="text1"/>
          <w:sz w:val="16"/>
          <w:szCs w:val="16"/>
        </w:rPr>
        <w:t xml:space="preserve"> Е. Но разведка доложила точно // Моск. правда. — 2000.) (11765).</w:t>
      </w:r>
    </w:p>
    <w:p w14:paraId="5CD6F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33CE9" w14:textId="6588B91C" w:rsidR="00037960" w:rsidRPr="008127F8" w:rsidRDefault="00037960"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За рубежом:</w:t>
      </w:r>
    </w:p>
    <w:p w14:paraId="4E21C110" w14:textId="77777777" w:rsidR="00037960" w:rsidRPr="008127F8" w:rsidRDefault="00037960"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93251A5" w14:textId="77777777" w:rsidR="00037960" w:rsidRPr="008127F8" w:rsidRDefault="0003796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1942 авианосцы ВМС США USS Lexington (CV-2) и USS Yorktown (CV-5) выполняют 104 самолетов с юга Новой Гвинеи и над горами Оуэн-Стэнли через 7500 футов (2286 метров), чтобы нанести удар по японскому судоходству у берегов Лаэ и Саламауа, Новая Гвинея (20793).</w:t>
      </w:r>
    </w:p>
    <w:p w14:paraId="2A73050E" w14:textId="77777777" w:rsidR="00037960" w:rsidRPr="008127F8" w:rsidRDefault="00037960" w:rsidP="001E0A84">
      <w:pPr>
        <w:spacing w:after="0" w:line="240" w:lineRule="auto"/>
        <w:jc w:val="both"/>
        <w:rPr>
          <w:rFonts w:ascii="Times New Roman" w:hAnsi="Times New Roman"/>
          <w:color w:val="000000" w:themeColor="text1"/>
          <w:sz w:val="16"/>
          <w:szCs w:val="16"/>
        </w:rPr>
      </w:pPr>
    </w:p>
    <w:p w14:paraId="0275B69D"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марта 1942 года США официально распространили действие закона о ленд-ли</w:t>
      </w:r>
      <w:r w:rsidRPr="008A2E5A">
        <w:rPr>
          <w:rFonts w:ascii="Times New Roman" w:hAnsi="Times New Roman"/>
          <w:color w:val="0070C0"/>
          <w:sz w:val="16"/>
          <w:szCs w:val="16"/>
        </w:rPr>
        <w:softHyphen/>
        <w:t>зе на Иран (24342).</w:t>
      </w:r>
    </w:p>
    <w:p w14:paraId="78EB4F84" w14:textId="77777777" w:rsidR="00F71F22" w:rsidRPr="008A2E5A" w:rsidRDefault="00F71F22" w:rsidP="00F71F22">
      <w:pPr>
        <w:spacing w:after="0" w:line="240" w:lineRule="auto"/>
        <w:jc w:val="both"/>
        <w:rPr>
          <w:rFonts w:ascii="Times New Roman" w:hAnsi="Times New Roman"/>
          <w:color w:val="0070C0"/>
          <w:sz w:val="16"/>
          <w:szCs w:val="16"/>
        </w:rPr>
      </w:pPr>
    </w:p>
    <w:p w14:paraId="3EDD4537" w14:textId="0A648A7E"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9B518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7C0E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вышел приказ НКАП N 194сс:</w:t>
      </w:r>
    </w:p>
    <w:p w14:paraId="0932E1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улучшения серийных самолетов:</w:t>
      </w:r>
    </w:p>
    <w:p w14:paraId="00011B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Нач. ЦАГИ А.С.Шишкину, нач. ЦИАМ А.В.Каширину и и.о. нач. ЛИИ </w:t>
      </w:r>
      <w:proofErr w:type="gramStart"/>
      <w:r w:rsidRPr="008127F8">
        <w:rPr>
          <w:rFonts w:ascii="Times New Roman" w:hAnsi="Times New Roman"/>
          <w:color w:val="000000" w:themeColor="text1"/>
          <w:sz w:val="16"/>
          <w:szCs w:val="16"/>
        </w:rPr>
        <w:t>А.В</w:t>
      </w:r>
      <w:proofErr w:type="gramEnd"/>
      <w:r w:rsidRPr="008127F8">
        <w:rPr>
          <w:rFonts w:ascii="Times New Roman" w:hAnsi="Times New Roman"/>
          <w:color w:val="000000" w:themeColor="text1"/>
          <w:sz w:val="16"/>
          <w:szCs w:val="16"/>
        </w:rPr>
        <w:t>.Чесалову:</w:t>
      </w:r>
    </w:p>
    <w:p w14:paraId="459091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основную работу НИИ направить на устранение дефектов и выявление ресурсов серийных самолетов для улучшения их ЛД и повышения надежности эксплуатации, имея в виду доведение серийных самолетов и в особенности их ВМГ до полной безотказности в условиях боевого применения.</w:t>
      </w:r>
    </w:p>
    <w:p w14:paraId="561A40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проводить со следующими машинами: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4C905C23" w14:textId="77777777">
        <w:tc>
          <w:tcPr>
            <w:tcW w:w="3757" w:type="dxa"/>
            <w:tcBorders>
              <w:top w:val="single" w:sz="12" w:space="0" w:color="auto"/>
            </w:tcBorders>
          </w:tcPr>
          <w:p w14:paraId="4831D1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Истребители</w:t>
            </w:r>
          </w:p>
        </w:tc>
        <w:tc>
          <w:tcPr>
            <w:tcW w:w="3757" w:type="dxa"/>
            <w:tcBorders>
              <w:top w:val="single" w:sz="12" w:space="0" w:color="auto"/>
            </w:tcBorders>
          </w:tcPr>
          <w:p w14:paraId="3A2F88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Як-7</w:t>
            </w:r>
          </w:p>
        </w:tc>
      </w:tr>
      <w:tr w:rsidR="006F4095" w:rsidRPr="008127F8" w14:paraId="6E3E5B8B" w14:textId="77777777">
        <w:tc>
          <w:tcPr>
            <w:tcW w:w="3757" w:type="dxa"/>
          </w:tcPr>
          <w:p w14:paraId="592B95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Штурмовики</w:t>
            </w:r>
          </w:p>
        </w:tc>
        <w:tc>
          <w:tcPr>
            <w:tcW w:w="3757" w:type="dxa"/>
          </w:tcPr>
          <w:p w14:paraId="78158F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r>
      <w:tr w:rsidR="006F4095" w:rsidRPr="008127F8" w14:paraId="39322819" w14:textId="77777777">
        <w:tc>
          <w:tcPr>
            <w:tcW w:w="3757" w:type="dxa"/>
          </w:tcPr>
          <w:p w14:paraId="694AE0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ББ</w:t>
            </w:r>
          </w:p>
        </w:tc>
        <w:tc>
          <w:tcPr>
            <w:tcW w:w="3757" w:type="dxa"/>
          </w:tcPr>
          <w:p w14:paraId="788FA1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r>
      <w:tr w:rsidR="006F4095" w:rsidRPr="008127F8" w14:paraId="7F2C60FC" w14:textId="77777777">
        <w:tc>
          <w:tcPr>
            <w:tcW w:w="3757" w:type="dxa"/>
            <w:tcBorders>
              <w:bottom w:val="single" w:sz="12" w:space="0" w:color="auto"/>
            </w:tcBorders>
          </w:tcPr>
          <w:p w14:paraId="543927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w:t>
            </w:r>
          </w:p>
        </w:tc>
        <w:tc>
          <w:tcPr>
            <w:tcW w:w="3757" w:type="dxa"/>
            <w:tcBorders>
              <w:bottom w:val="single" w:sz="12" w:space="0" w:color="auto"/>
            </w:tcBorders>
          </w:tcPr>
          <w:p w14:paraId="2FA24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w:t>
            </w:r>
          </w:p>
        </w:tc>
      </w:tr>
    </w:tbl>
    <w:p w14:paraId="649191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взять под особое внимание модификацию серийных самолетов Як-7 с М-82, Ил-2 с М-82, 103 с М-82, Пе-2 с М-105Ф и принять все меры к доводке их и в особенности их ВМГ и моторов, для обеспечения надежности запуска самолетов в серию.</w:t>
      </w:r>
    </w:p>
    <w:p w14:paraId="3F7DCE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Направить на соответствующие заводы бригады ЦАГИ-ЦИАМ-ЛИИ </w:t>
      </w:r>
      <w:proofErr w:type="gramStart"/>
      <w:r w:rsidRPr="008127F8">
        <w:rPr>
          <w:rFonts w:ascii="Times New Roman" w:hAnsi="Times New Roman"/>
          <w:color w:val="000000" w:themeColor="text1"/>
          <w:sz w:val="16"/>
          <w:szCs w:val="16"/>
        </w:rPr>
        <w:t>и кроме того</w:t>
      </w:r>
      <w:proofErr w:type="gramEnd"/>
      <w:r w:rsidRPr="008127F8">
        <w:rPr>
          <w:rFonts w:ascii="Times New Roman" w:hAnsi="Times New Roman"/>
          <w:color w:val="000000" w:themeColor="text1"/>
          <w:sz w:val="16"/>
          <w:szCs w:val="16"/>
        </w:rPr>
        <w:t xml:space="preserve"> регулярно проводить в институтах необходимые испытания.</w:t>
      </w:r>
    </w:p>
    <w:p w14:paraId="5862B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руководит. бригад утвердить: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1E46FFDE" w14:textId="77777777">
        <w:tc>
          <w:tcPr>
            <w:tcW w:w="3757" w:type="dxa"/>
            <w:tcBorders>
              <w:top w:val="single" w:sz="12" w:space="0" w:color="auto"/>
            </w:tcBorders>
          </w:tcPr>
          <w:p w14:paraId="5D920C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Як-7</w:t>
            </w:r>
          </w:p>
        </w:tc>
        <w:tc>
          <w:tcPr>
            <w:tcW w:w="3757" w:type="dxa"/>
            <w:tcBorders>
              <w:top w:val="single" w:sz="12" w:space="0" w:color="auto"/>
            </w:tcBorders>
          </w:tcPr>
          <w:p w14:paraId="46ED72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В.Н.Матвеев</w:t>
            </w:r>
          </w:p>
        </w:tc>
      </w:tr>
      <w:tr w:rsidR="006F4095" w:rsidRPr="008127F8" w14:paraId="3BEB081C" w14:textId="77777777">
        <w:tc>
          <w:tcPr>
            <w:tcW w:w="3757" w:type="dxa"/>
          </w:tcPr>
          <w:p w14:paraId="24D29F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и Пе-2 М-105Ф</w:t>
            </w:r>
          </w:p>
        </w:tc>
        <w:tc>
          <w:tcPr>
            <w:tcW w:w="3757" w:type="dxa"/>
          </w:tcPr>
          <w:p w14:paraId="3F4B04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В.С.Ведров</w:t>
            </w:r>
          </w:p>
        </w:tc>
      </w:tr>
      <w:tr w:rsidR="006F4095" w:rsidRPr="008127F8" w14:paraId="7F2B88BB" w14:textId="77777777">
        <w:tc>
          <w:tcPr>
            <w:tcW w:w="3757" w:type="dxa"/>
          </w:tcPr>
          <w:p w14:paraId="42A300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3757" w:type="dxa"/>
          </w:tcPr>
          <w:p w14:paraId="0243D4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В.И.Поликовский</w:t>
            </w:r>
          </w:p>
        </w:tc>
      </w:tr>
      <w:tr w:rsidR="006F4095" w:rsidRPr="008127F8" w14:paraId="19D338FC" w14:textId="77777777">
        <w:tc>
          <w:tcPr>
            <w:tcW w:w="3757" w:type="dxa"/>
          </w:tcPr>
          <w:p w14:paraId="442978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ДБ-3Ф и ДБ-3Ф М-82</w:t>
            </w:r>
          </w:p>
        </w:tc>
        <w:tc>
          <w:tcPr>
            <w:tcW w:w="3757" w:type="dxa"/>
          </w:tcPr>
          <w:p w14:paraId="05F16C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И.В.Остославский</w:t>
            </w:r>
          </w:p>
        </w:tc>
      </w:tr>
      <w:tr w:rsidR="006F4095" w:rsidRPr="008127F8" w14:paraId="3A067F9D" w14:textId="77777777">
        <w:tc>
          <w:tcPr>
            <w:tcW w:w="3757" w:type="dxa"/>
            <w:tcBorders>
              <w:bottom w:val="single" w:sz="12" w:space="0" w:color="auto"/>
            </w:tcBorders>
          </w:tcPr>
          <w:p w14:paraId="573DCB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 и 102</w:t>
            </w:r>
          </w:p>
        </w:tc>
        <w:tc>
          <w:tcPr>
            <w:tcW w:w="3757" w:type="dxa"/>
            <w:tcBorders>
              <w:bottom w:val="single" w:sz="12" w:space="0" w:color="auto"/>
            </w:tcBorders>
          </w:tcPr>
          <w:p w14:paraId="78B7B0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Н.С.Строев (подписал А.И.Ш.) (1546,88)</w:t>
            </w:r>
          </w:p>
        </w:tc>
      </w:tr>
    </w:tbl>
    <w:p w14:paraId="265A8D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 соответствии с приказом НКАП из специалистов ЦАГИ, ЦИАМ, ЛИИ сформированы научные бригады во главе с ответственными научными руководителями для научного сопровождения всех работ по совершенствованию закрепленного за каждой бригадой типа боевого самолета (80,16).</w:t>
      </w:r>
    </w:p>
    <w:p w14:paraId="7AF1E9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769C1"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 Шахурин подписал приказ НКАП №194: «Для улучшения серийных самолетов:</w:t>
      </w:r>
    </w:p>
    <w:p w14:paraId="24C0E902"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ЦАГИ А. С. Шишкину, нач. ЦИАМ А. В. Каширину и и.о. нач. ЛИИ А. В. Чесалову:</w:t>
      </w:r>
    </w:p>
    <w:p w14:paraId="17B7A7AD"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Основную работу НИИ направить на устранение дефектов и выявление ресурсов серийных самолетов для улучшения их ЛД и повышения надежности эксплуатации, имея в виду доведение серийных самолетов и в особенности их ВМГ до полной безотказности в условиях боевого применения. Работы проводить со следующими машинами: истребители Як-1 и Як-7, штурмовик Ил-2, бомбардировщики Пе-2 и ДБ-3Ф.</w:t>
      </w:r>
    </w:p>
    <w:p w14:paraId="7BA8694B"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Взять под особое внимание модификацию серийных самолетов Як-7 с М-82, Ил-2 с М-82, 103 с М-82, Пе-2 с М-105Ф и принять все меры к доводке их и в особенности их ВМГ и моторов, для обеспечения надежности запуска самолетов в серию.</w:t>
      </w:r>
    </w:p>
    <w:p w14:paraId="06DC4D19"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Направить на соответствующие заводы бригады ЦАГИ-ЦИАМ-ЛИИ </w:t>
      </w:r>
      <w:proofErr w:type="gramStart"/>
      <w:r w:rsidRPr="008127F8">
        <w:rPr>
          <w:rFonts w:ascii="Times New Roman" w:hAnsi="Times New Roman"/>
          <w:color w:val="000000" w:themeColor="text1"/>
          <w:sz w:val="16"/>
          <w:szCs w:val="16"/>
        </w:rPr>
        <w:t>и кроме того</w:t>
      </w:r>
      <w:proofErr w:type="gramEnd"/>
      <w:r w:rsidRPr="008127F8">
        <w:rPr>
          <w:rFonts w:ascii="Times New Roman" w:hAnsi="Times New Roman"/>
          <w:color w:val="000000" w:themeColor="text1"/>
          <w:sz w:val="16"/>
          <w:szCs w:val="16"/>
        </w:rPr>
        <w:t xml:space="preserve"> регулярно проводить в институтах необходимые испытания.</w:t>
      </w:r>
    </w:p>
    <w:p w14:paraId="4C866C75"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Отв. руководит. бригад утвердить: по Як-1 и Як-7 — В. Н. Матвеев, по Пе-2 и Пе-2 М-105Ф — В. С. Ведров, по Ил-2 — В. И. Поликовский, по ДБ-3Ф и ДБ-3Ф М-82 — И. В. Остославский, по самолетам «103» и «102» — Н. С. Строев» (19727).</w:t>
      </w:r>
    </w:p>
    <w:p w14:paraId="5BFB9D11" w14:textId="77777777" w:rsidR="005D559D" w:rsidRPr="008127F8" w:rsidRDefault="005D559D" w:rsidP="001E0A84">
      <w:pPr>
        <w:spacing w:after="0" w:line="240" w:lineRule="auto"/>
        <w:jc w:val="both"/>
        <w:rPr>
          <w:rFonts w:ascii="Times New Roman" w:hAnsi="Times New Roman"/>
          <w:color w:val="000000" w:themeColor="text1"/>
          <w:sz w:val="16"/>
          <w:szCs w:val="16"/>
        </w:rPr>
      </w:pPr>
    </w:p>
    <w:p w14:paraId="5EC589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 вышел приказ НКАП, который предписывал основную работу Научно-исследовательских институтов направить на устранение дефектов и выявление ресурсов серийных самолетов для улучшения их летных данных. Эта задача решалась силами комплексных бригад ЦАГИ, ЦИАМ, ЛИИ, которые должны были регулярно проводить в институтах, лабораториях и в полетах все необходимые испытания, связанные с усовершенствованием серийных самолетов. Ответственным руководителем такой бригады по бомбардировщикам Ил-4 был И.В.Остославский.</w:t>
      </w:r>
    </w:p>
    <w:p w14:paraId="5B45CF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испытаниями Ил-4, имеющего крыло со “стрелкой”, в НИИ ВВС проводились исследования по улучшению условий пилотирования самолетов Ил-4 более ранних модификаций в дальних полетах. Прежде всего это касалась улучшения характеристик продольной устойчивости самолета. В процессе испытаний были выработаны рекомендации об установке в системе управления рулем высоты амортизаторов (обычных резиновых нитей диаметром 8 мм, связывавших штурвал летчика с сидением штурмана) или пружин. По оценке летчика-испытателя В.В.Лисицына, применение амортизатора улучшало устойчивость самолета в продольном отношении, а пилотирование самолета в сложных метеорологических условиях значительно облегчалось.</w:t>
      </w:r>
    </w:p>
    <w:p w14:paraId="2042BF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Проводились работы и по обеспечению длительного полета самолетов Ил-4 с одним работающим двигателем, что было нередким явлением в практике боевых полетов. Исследования, проведенные летчиками-испытателями НИИ ВВС Г.А.Ашитковым и М.А.Нюхтико-вым, показали, что увеличение триммера руля направления на 40% по хорде сделало его более эффективным. Нагрузки с педалей при однодвигательном полете самолета стали сниматься значительно больше, чем серийным триммером, и горизонтальный полет на одном двигателе стал менее утомительным. В результате по рекомендации НИИ ВВС на Ил-4 стали устанавливать увеличенный триммер руля направления (9528).</w:t>
      </w:r>
    </w:p>
    <w:p w14:paraId="3BC7AF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BBB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 докладной на имя Г.М.Маленкова на</w:t>
      </w:r>
      <w:r w:rsidRPr="008127F8">
        <w:rPr>
          <w:rFonts w:ascii="Times New Roman" w:hAnsi="Times New Roman"/>
          <w:color w:val="000000" w:themeColor="text1"/>
          <w:sz w:val="16"/>
          <w:szCs w:val="16"/>
        </w:rPr>
        <w:softHyphen/>
        <w:t>чальник Главного управления заказов и технического снабжения бригинженер Н.П.Селезнев от</w:t>
      </w:r>
      <w:r w:rsidRPr="008127F8">
        <w:rPr>
          <w:rFonts w:ascii="Times New Roman" w:hAnsi="Times New Roman"/>
          <w:color w:val="000000" w:themeColor="text1"/>
          <w:sz w:val="16"/>
          <w:szCs w:val="16"/>
        </w:rPr>
        <w:softHyphen/>
        <w:t>метил, что особо неудовлетворительное положение наблюдается с моторами завода № 24 (АМ—35А и АМ—38) из-за недопоставки комплектов, необходи</w:t>
      </w:r>
      <w:r w:rsidRPr="008127F8">
        <w:rPr>
          <w:rFonts w:ascii="Times New Roman" w:hAnsi="Times New Roman"/>
          <w:color w:val="000000" w:themeColor="text1"/>
          <w:sz w:val="16"/>
          <w:szCs w:val="16"/>
        </w:rPr>
        <w:softHyphen/>
        <w:t>мых для проведения ремонтов. Указывалось, что ни на этом заводе, ни на других предприятиях НКАП не смог организовать изготовления ряда важных дета</w:t>
      </w:r>
      <w:r w:rsidRPr="008127F8">
        <w:rPr>
          <w:rFonts w:ascii="Times New Roman" w:hAnsi="Times New Roman"/>
          <w:color w:val="000000" w:themeColor="text1"/>
          <w:sz w:val="16"/>
          <w:szCs w:val="16"/>
        </w:rPr>
        <w:softHyphen/>
        <w:t>лей и узлов, прежде всего литых. Для АМ—35А недо</w:t>
      </w:r>
      <w:r w:rsidRPr="008127F8">
        <w:rPr>
          <w:rFonts w:ascii="Times New Roman" w:hAnsi="Times New Roman"/>
          <w:color w:val="000000" w:themeColor="text1"/>
          <w:sz w:val="16"/>
          <w:szCs w:val="16"/>
        </w:rPr>
        <w:softHyphen/>
        <w:t>ставало картеров, блоков и головок блоков. Отсутст</w:t>
      </w:r>
      <w:r w:rsidRPr="008127F8">
        <w:rPr>
          <w:rFonts w:ascii="Times New Roman" w:hAnsi="Times New Roman"/>
          <w:color w:val="000000" w:themeColor="text1"/>
          <w:sz w:val="16"/>
          <w:szCs w:val="16"/>
        </w:rPr>
        <w:softHyphen/>
        <w:t>вие оборотного фонда моторов выводило самолеты из боевой работы на длительное время (9984).</w:t>
      </w:r>
    </w:p>
    <w:p w14:paraId="4F643C3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66D6E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 в Новосибирске (куда удалось вывезти и поврежденный около Каширы первый эк</w:t>
      </w:r>
      <w:r w:rsidRPr="008127F8">
        <w:rPr>
          <w:rFonts w:ascii="Times New Roman" w:hAnsi="Times New Roman"/>
          <w:color w:val="000000" w:themeColor="text1"/>
          <w:sz w:val="16"/>
          <w:szCs w:val="16"/>
        </w:rPr>
        <w:softHyphen/>
        <w:t>земпляр, и недостроенный второй) закончились совместные испы</w:t>
      </w:r>
      <w:r w:rsidRPr="008127F8">
        <w:rPr>
          <w:rFonts w:ascii="Times New Roman" w:hAnsi="Times New Roman"/>
          <w:color w:val="000000" w:themeColor="text1"/>
          <w:sz w:val="16"/>
          <w:szCs w:val="16"/>
        </w:rPr>
        <w:softHyphen/>
        <w:t>тания восстановленного первого БДП (С) (летчик И.И.Шелест), которые проходили с 10 февраля. Отмечалось, что планер «...в технике пилоти</w:t>
      </w:r>
      <w:r w:rsidRPr="008127F8">
        <w:rPr>
          <w:rFonts w:ascii="Times New Roman" w:hAnsi="Times New Roman"/>
          <w:color w:val="000000" w:themeColor="text1"/>
          <w:sz w:val="16"/>
          <w:szCs w:val="16"/>
        </w:rPr>
        <w:softHyphen/>
        <w:t>рования очень прост и приятен, не требует от летчика высокой квалификации. Доступен летчику, прошедше</w:t>
      </w:r>
      <w:r w:rsidRPr="008127F8">
        <w:rPr>
          <w:rFonts w:ascii="Times New Roman" w:hAnsi="Times New Roman"/>
          <w:color w:val="000000" w:themeColor="text1"/>
          <w:sz w:val="16"/>
          <w:szCs w:val="16"/>
        </w:rPr>
        <w:softHyphen/>
        <w:t>му тренировку на учебных планерах». Выявленные недостатки (тряска хвостового оперения при выпуске щитков и др.) удалось устранить с минимальными пере</w:t>
      </w:r>
      <w:r w:rsidRPr="008127F8">
        <w:rPr>
          <w:rFonts w:ascii="Times New Roman" w:hAnsi="Times New Roman"/>
          <w:color w:val="000000" w:themeColor="text1"/>
          <w:sz w:val="16"/>
          <w:szCs w:val="16"/>
        </w:rPr>
        <w:softHyphen/>
        <w:t>делками конструкции. Испытания прошли успешно, и в мае 1942 г. чертежи планера передали на завод № 490 в Сталинграде для се</w:t>
      </w:r>
      <w:r w:rsidRPr="008127F8">
        <w:rPr>
          <w:rFonts w:ascii="Times New Roman" w:hAnsi="Times New Roman"/>
          <w:color w:val="000000" w:themeColor="text1"/>
          <w:sz w:val="16"/>
          <w:szCs w:val="16"/>
        </w:rPr>
        <w:softHyphen/>
        <w:t>рийного производства. Одновременно туда направили бригаду конструкторов и рабочих во главе с М.О.Фасолькиным. Наркомат назначил В.С.Вахмистрова главным конструктором завода. В связи с приближением линии фронта к городу бомбежки Сталинграда с возду</w:t>
      </w:r>
      <w:r w:rsidRPr="008127F8">
        <w:rPr>
          <w:rFonts w:ascii="Times New Roman" w:hAnsi="Times New Roman"/>
          <w:color w:val="000000" w:themeColor="text1"/>
          <w:sz w:val="16"/>
          <w:szCs w:val="16"/>
        </w:rPr>
        <w:softHyphen/>
        <w:t>ха усилились, и во время одной из них завод был прак</w:t>
      </w:r>
      <w:r w:rsidRPr="008127F8">
        <w:rPr>
          <w:rFonts w:ascii="Times New Roman" w:hAnsi="Times New Roman"/>
          <w:color w:val="000000" w:themeColor="text1"/>
          <w:sz w:val="16"/>
          <w:szCs w:val="16"/>
        </w:rPr>
        <w:softHyphen/>
        <w:t>тически уничтожен. Второй экземпляр отличался от прототипа немного удлиненной носовой частью и формой остекления ка</w:t>
      </w:r>
      <w:r w:rsidRPr="008127F8">
        <w:rPr>
          <w:rFonts w:ascii="Times New Roman" w:hAnsi="Times New Roman"/>
          <w:color w:val="000000" w:themeColor="text1"/>
          <w:sz w:val="16"/>
          <w:szCs w:val="16"/>
        </w:rPr>
        <w:softHyphen/>
        <w:t>бины, удлиненными посадочными полозьями, более широкими дверями. Он обозначался как БДП-2. У первого экземпляра также переделали носовую часть по типу БДП-2. 30 апреля 1942 г. его передали ВВС для летных испытаний, во время которых он разбился по независящим от конструкции причинам. В июле-ав</w:t>
      </w:r>
      <w:r w:rsidRPr="008127F8">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8127F8">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8127F8">
        <w:rPr>
          <w:rFonts w:ascii="Times New Roman" w:hAnsi="Times New Roman"/>
          <w:color w:val="000000" w:themeColor="text1"/>
          <w:sz w:val="16"/>
          <w:szCs w:val="16"/>
        </w:rPr>
        <w:softHyphen/>
        <w:t>раниченные мощности не позволили развернуть широ</w:t>
      </w:r>
      <w:r w:rsidRPr="008127F8">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2B5057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2E51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вышло Постановление ГКО № 1425 О строительстве взлетно-посадочной полосы на Иркутском аэродроме ГУГВФ. РГАНИР, Фонд ГКО, д. 24, лл. 58 (11012).</w:t>
      </w:r>
    </w:p>
    <w:p w14:paraId="3FFBDB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D17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майор Сорокин подготовил письмо:</w:t>
      </w:r>
    </w:p>
    <w:p w14:paraId="28F2228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Отп.11.03.42 Нач.2 отд. 9упр. ГУ ВВСКА Бригинженеру т.Левину</w:t>
      </w:r>
    </w:p>
    <w:p w14:paraId="6C22CD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Направляю Вам проект письма НКАП по вопросу доводки ГТРД </w:t>
      </w:r>
      <w:proofErr w:type="gramStart"/>
      <w:r w:rsidRPr="008127F8">
        <w:rPr>
          <w:rFonts w:ascii="Times New Roman" w:hAnsi="Times New Roman"/>
          <w:color w:val="000000" w:themeColor="text1"/>
          <w:sz w:val="16"/>
          <w:szCs w:val="16"/>
        </w:rPr>
        <w:t>инж.Люлькой</w:t>
      </w:r>
      <w:proofErr w:type="gramEnd"/>
      <w:r w:rsidRPr="008127F8">
        <w:rPr>
          <w:rFonts w:ascii="Times New Roman" w:hAnsi="Times New Roman"/>
          <w:color w:val="000000" w:themeColor="text1"/>
          <w:sz w:val="16"/>
          <w:szCs w:val="16"/>
        </w:rPr>
        <w:t>.</w:t>
      </w:r>
    </w:p>
    <w:p w14:paraId="0E267CD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СКВ-1 работы по доводке РД не проводит и весь ИТС передан в СКБ-2 Кировского завода, ко</w:t>
      </w:r>
      <w:r w:rsidRPr="008127F8">
        <w:rPr>
          <w:rFonts w:ascii="Times New Roman" w:hAnsi="Times New Roman"/>
          <w:color w:val="000000" w:themeColor="text1"/>
          <w:sz w:val="16"/>
          <w:szCs w:val="16"/>
        </w:rPr>
        <w:softHyphen/>
        <w:t>торый находится в г. Челябинске (473).</w:t>
      </w:r>
    </w:p>
    <w:p w14:paraId="7590D64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крайнюю важность и не</w:t>
      </w:r>
      <w:r w:rsidRPr="008127F8">
        <w:rPr>
          <w:rFonts w:ascii="Times New Roman" w:hAnsi="Times New Roman"/>
          <w:color w:val="000000" w:themeColor="text1"/>
          <w:sz w:val="16"/>
          <w:szCs w:val="16"/>
        </w:rPr>
        <w:softHyphen/>
        <w:t>обходимость внедрения в авиацию реактивных двигателей, особенно с до</w:t>
      </w:r>
      <w:r w:rsidRPr="008127F8">
        <w:rPr>
          <w:rFonts w:ascii="Times New Roman" w:hAnsi="Times New Roman"/>
          <w:color w:val="000000" w:themeColor="text1"/>
          <w:sz w:val="16"/>
          <w:szCs w:val="16"/>
        </w:rPr>
        <w:softHyphen/>
        <w:t>полнительным поджатуем воздуха с по</w:t>
      </w:r>
      <w:r w:rsidRPr="008127F8">
        <w:rPr>
          <w:rFonts w:ascii="Times New Roman" w:hAnsi="Times New Roman"/>
          <w:color w:val="000000" w:themeColor="text1"/>
          <w:sz w:val="16"/>
          <w:szCs w:val="16"/>
        </w:rPr>
        <w:softHyphen/>
        <w:t>мощью осевого нагнетателя, с приво</w:t>
      </w:r>
      <w:r w:rsidRPr="008127F8">
        <w:rPr>
          <w:rFonts w:ascii="Times New Roman" w:hAnsi="Times New Roman"/>
          <w:color w:val="000000" w:themeColor="text1"/>
          <w:sz w:val="16"/>
          <w:szCs w:val="16"/>
        </w:rPr>
        <w:softHyphen/>
        <w:t>дом от ГТ, прошу Вас доложить Зам. НКО о необходимости включения в те</w:t>
      </w:r>
      <w:r w:rsidRPr="008127F8">
        <w:rPr>
          <w:rFonts w:ascii="Times New Roman" w:hAnsi="Times New Roman"/>
          <w:color w:val="000000" w:themeColor="text1"/>
          <w:sz w:val="16"/>
          <w:szCs w:val="16"/>
        </w:rPr>
        <w:softHyphen/>
        <w:t xml:space="preserve">матику работ з-да 293 НКАП работы по доводке ГТРД </w:t>
      </w:r>
      <w:proofErr w:type="gramStart"/>
      <w:r w:rsidRPr="008127F8">
        <w:rPr>
          <w:rFonts w:ascii="Times New Roman" w:hAnsi="Times New Roman"/>
          <w:color w:val="000000" w:themeColor="text1"/>
          <w:sz w:val="16"/>
          <w:szCs w:val="16"/>
        </w:rPr>
        <w:t>инж.Люлькой</w:t>
      </w:r>
      <w:proofErr w:type="gramEnd"/>
      <w:r w:rsidRPr="008127F8">
        <w:rPr>
          <w:rFonts w:ascii="Times New Roman" w:hAnsi="Times New Roman"/>
          <w:color w:val="000000" w:themeColor="text1"/>
          <w:sz w:val="16"/>
          <w:szCs w:val="16"/>
        </w:rPr>
        <w:t>.</w:t>
      </w:r>
    </w:p>
    <w:p w14:paraId="5078E0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и гл. конструктор з-да № 293 т.Болховитинов считает целесо</w:t>
      </w:r>
      <w:r w:rsidRPr="008127F8">
        <w:rPr>
          <w:rFonts w:ascii="Times New Roman" w:hAnsi="Times New Roman"/>
          <w:color w:val="000000" w:themeColor="text1"/>
          <w:sz w:val="16"/>
          <w:szCs w:val="16"/>
        </w:rPr>
        <w:softHyphen/>
        <w:t xml:space="preserve">образным и возможным развертывание работ группы </w:t>
      </w:r>
      <w:proofErr w:type="gramStart"/>
      <w:r w:rsidRPr="008127F8">
        <w:rPr>
          <w:rFonts w:ascii="Times New Roman" w:hAnsi="Times New Roman"/>
          <w:color w:val="000000" w:themeColor="text1"/>
          <w:sz w:val="16"/>
          <w:szCs w:val="16"/>
        </w:rPr>
        <w:t>инж.Люльки</w:t>
      </w:r>
      <w:proofErr w:type="gramEnd"/>
      <w:r w:rsidRPr="008127F8">
        <w:rPr>
          <w:rFonts w:ascii="Times New Roman" w:hAnsi="Times New Roman"/>
          <w:color w:val="000000" w:themeColor="text1"/>
          <w:sz w:val="16"/>
          <w:szCs w:val="16"/>
        </w:rPr>
        <w:t xml:space="preserve"> на базе за</w:t>
      </w:r>
      <w:r w:rsidRPr="008127F8">
        <w:rPr>
          <w:rFonts w:ascii="Times New Roman" w:hAnsi="Times New Roman"/>
          <w:color w:val="000000" w:themeColor="text1"/>
          <w:sz w:val="16"/>
          <w:szCs w:val="16"/>
        </w:rPr>
        <w:softHyphen/>
        <w:t>вода 293 и обещал со своей стороны возбудить ходатайство перед НКАП о передаче этой группы заводу.</w:t>
      </w:r>
    </w:p>
    <w:p w14:paraId="484745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Инж.Люлька считает также целе</w:t>
      </w:r>
      <w:r w:rsidRPr="008127F8">
        <w:rPr>
          <w:rFonts w:ascii="Times New Roman" w:hAnsi="Times New Roman"/>
          <w:color w:val="000000" w:themeColor="text1"/>
          <w:sz w:val="16"/>
          <w:szCs w:val="16"/>
        </w:rPr>
        <w:softHyphen/>
        <w:t>сообразным закончить постройку и до</w:t>
      </w:r>
      <w:r w:rsidRPr="008127F8">
        <w:rPr>
          <w:rFonts w:ascii="Times New Roman" w:hAnsi="Times New Roman"/>
          <w:color w:val="000000" w:themeColor="text1"/>
          <w:sz w:val="16"/>
          <w:szCs w:val="16"/>
        </w:rPr>
        <w:softHyphen/>
        <w:t>водку своего РД на базе з-да 293 и со</w:t>
      </w:r>
      <w:r w:rsidRPr="008127F8">
        <w:rPr>
          <w:rFonts w:ascii="Times New Roman" w:hAnsi="Times New Roman"/>
          <w:color w:val="000000" w:themeColor="text1"/>
          <w:sz w:val="16"/>
          <w:szCs w:val="16"/>
        </w:rPr>
        <w:softHyphen/>
        <w:t>гласен со всей группой перейти на з-д Болховитинова.</w:t>
      </w:r>
    </w:p>
    <w:p w14:paraId="713153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Нач.группы </w:t>
      </w:r>
      <w:proofErr w:type="gramStart"/>
      <w:r w:rsidRPr="008127F8">
        <w:rPr>
          <w:rFonts w:ascii="Times New Roman" w:hAnsi="Times New Roman"/>
          <w:color w:val="000000" w:themeColor="text1"/>
          <w:sz w:val="16"/>
          <w:szCs w:val="16"/>
        </w:rPr>
        <w:t>отд.моторов</w:t>
      </w:r>
      <w:proofErr w:type="gramEnd"/>
      <w:r w:rsidRPr="008127F8">
        <w:rPr>
          <w:rFonts w:ascii="Times New Roman" w:hAnsi="Times New Roman"/>
          <w:color w:val="000000" w:themeColor="text1"/>
          <w:sz w:val="16"/>
          <w:szCs w:val="16"/>
        </w:rPr>
        <w:t xml:space="preserve"> и топлив НИИ ВВС КА военинженер 1-го ранга Фокин (11158).</w:t>
      </w:r>
    </w:p>
    <w:p w14:paraId="0C6B82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4F4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 вышло РЕШЕНИЕ О ВЫДЕЛЕНИИ ГЛАВНОМУ КОНСТРУКТОРУ ОСОБОГО КОНСТРУКТОРСКОГО БЮРО ГЕРОЮ СОЦИАЛИСТИЧЕСКОГО ТРУДА ИЛЬЮШИНУ ТРОФЕЙНОГО АВТОМОБИЛЯ</w:t>
      </w:r>
    </w:p>
    <w:p w14:paraId="6E9F9F7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Автотракторное управление ГАБТУ КА может предоставить в Ваше распоряжение одну легко</w:t>
      </w:r>
      <w:r w:rsidRPr="008127F8">
        <w:rPr>
          <w:rFonts w:ascii="Times New Roman" w:hAnsi="Times New Roman"/>
          <w:color w:val="000000" w:themeColor="text1"/>
          <w:sz w:val="16"/>
          <w:szCs w:val="16"/>
        </w:rPr>
        <w:softHyphen/>
        <w:t>вую автомашину из числа трофейных, имеющихся на филиале № 2 рембазы № 82, системы: «Опель», «БМВ», «Рено».</w:t>
      </w:r>
    </w:p>
    <w:p w14:paraId="7CB4EE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Вышлите Вашего представителя во 2 отдел АТУ ГАБТУ КА с доверенностью для подбора машин и получения на нее наряда.</w:t>
      </w:r>
    </w:p>
    <w:p w14:paraId="4439D0D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2 отдела АТУ ГАБТУ КА полковник Артеменко</w:t>
      </w:r>
    </w:p>
    <w:p w14:paraId="790E968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134. Л. 51. Копия (11211).</w:t>
      </w:r>
    </w:p>
    <w:p w14:paraId="3FB0EC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C792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970CA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4AB74"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года.</w:t>
      </w:r>
    </w:p>
    <w:p w14:paraId="14D2548A" w14:textId="28F2339D"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46</w:t>
      </w:r>
      <w:r w:rsidR="008127F8">
        <w:rPr>
          <w:rFonts w:ascii="Times New Roman" w:hAnsi="Times New Roman"/>
          <w:color w:val="000000" w:themeColor="text1"/>
          <w:sz w:val="16"/>
          <w:szCs w:val="16"/>
        </w:rPr>
        <w:t xml:space="preserve">  </w:t>
      </w:r>
    </w:p>
    <w:p w14:paraId="6401EBFA" w14:textId="5F1A7DB2"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38C6B85A"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A9B2911"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6D8338E1"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258-Мс</w:t>
      </w:r>
    </w:p>
    <w:p w14:paraId="5E2A096C"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DB84D7A"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года.</w:t>
      </w:r>
    </w:p>
    <w:p w14:paraId="7281019B" w14:textId="5363BA4F"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распоряжения СНК СССР от 7.III-с.г. за № 3881-рс ПРИКАЗЫВАЮ:</w:t>
      </w:r>
      <w:r w:rsidR="008127F8">
        <w:rPr>
          <w:rFonts w:ascii="Times New Roman" w:hAnsi="Times New Roman"/>
          <w:color w:val="000000" w:themeColor="text1"/>
          <w:sz w:val="16"/>
          <w:szCs w:val="16"/>
        </w:rPr>
        <w:t xml:space="preserve">  </w:t>
      </w:r>
    </w:p>
    <w:p w14:paraId="5A2791AA" w14:textId="007BCFE8"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НКТП – Кировского т. МАХОНИНУ, СТЗ – т. ЗАДОРОЖНОМУ, № 183 – т. ЗАЛЬЦМАНУ, № 112 – т. МИХАЛЕВУ, № 264 – т. КОРДУНЕР, № 38 – т. РУБИНЧИКУ, № 37 – т. ФРЕЗЕРОВУ:</w:t>
      </w:r>
      <w:r w:rsidR="008127F8">
        <w:rPr>
          <w:rFonts w:ascii="Times New Roman" w:hAnsi="Times New Roman"/>
          <w:color w:val="000000" w:themeColor="text1"/>
          <w:sz w:val="16"/>
          <w:szCs w:val="16"/>
        </w:rPr>
        <w:t xml:space="preserve">  </w:t>
      </w:r>
    </w:p>
    <w:p w14:paraId="3B0C186D" w14:textId="4228D9FE"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обеспечить полную укомплектовку ротных комплектов запчастей и индивидуальных ЗИПов </w:t>
      </w:r>
      <w:proofErr w:type="gramStart"/>
      <w:r w:rsidRPr="008127F8">
        <w:rPr>
          <w:rFonts w:ascii="Times New Roman" w:hAnsi="Times New Roman"/>
          <w:color w:val="000000" w:themeColor="text1"/>
          <w:sz w:val="16"/>
          <w:szCs w:val="16"/>
        </w:rPr>
        <w:t>к танка</w:t>
      </w:r>
      <w:proofErr w:type="gramEnd"/>
      <w:r w:rsidRPr="008127F8">
        <w:rPr>
          <w:rFonts w:ascii="Times New Roman" w:hAnsi="Times New Roman"/>
          <w:color w:val="000000" w:themeColor="text1"/>
          <w:sz w:val="16"/>
          <w:szCs w:val="16"/>
        </w:rPr>
        <w:t xml:space="preserve"> "КВ", Т-34 и Т-60, отправляемых в марте 1942 г. для формируемых танковых бригад;</w:t>
      </w:r>
      <w:r w:rsidR="008127F8">
        <w:rPr>
          <w:rFonts w:ascii="Times New Roman" w:hAnsi="Times New Roman"/>
          <w:color w:val="000000" w:themeColor="text1"/>
          <w:sz w:val="16"/>
          <w:szCs w:val="16"/>
        </w:rPr>
        <w:t xml:space="preserve">  </w:t>
      </w:r>
    </w:p>
    <w:p w14:paraId="5A11D621" w14:textId="0DABD0A3"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отправку танков произвести в необходимые сроки по заявкам ГАБТУ КА, не допуская случаев простоя готовых танков на заводах из-за отсутствия индивидуальных ЗИПов и ротных комплектов запчастей.</w:t>
      </w:r>
      <w:r w:rsidR="008127F8">
        <w:rPr>
          <w:rFonts w:ascii="Times New Roman" w:hAnsi="Times New Roman"/>
          <w:color w:val="000000" w:themeColor="text1"/>
          <w:sz w:val="16"/>
          <w:szCs w:val="16"/>
        </w:rPr>
        <w:t xml:space="preserve">  </w:t>
      </w:r>
    </w:p>
    <w:p w14:paraId="7950833B"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76 т. КОЧЕТКОВУ обеспечить полную укомплектовку ротных комплектов запчастей и индивидуальных ЗИПов к дизельмоторам В-2, отправляемым на фронты и танковым заводам и не допускать простоя готовых дизельмоторов из-за отсутствия запчастей в комплекты.</w:t>
      </w:r>
    </w:p>
    <w:p w14:paraId="20C76712"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СССР</w:t>
      </w:r>
    </w:p>
    <w:p w14:paraId="1CC9E21A"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07F3BAA4" w14:textId="77777777" w:rsidR="005D559D" w:rsidRPr="008127F8" w:rsidRDefault="005D559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(18607).</w:t>
      </w:r>
    </w:p>
    <w:p w14:paraId="2C4BEC16" w14:textId="77777777" w:rsidR="005D559D" w:rsidRPr="008127F8" w:rsidRDefault="005D559D" w:rsidP="001E0A84">
      <w:pPr>
        <w:spacing w:after="0" w:line="240" w:lineRule="auto"/>
        <w:jc w:val="both"/>
        <w:rPr>
          <w:rFonts w:ascii="Times New Roman" w:hAnsi="Times New Roman"/>
          <w:color w:val="000000" w:themeColor="text1"/>
          <w:sz w:val="16"/>
          <w:szCs w:val="16"/>
        </w:rPr>
      </w:pPr>
    </w:p>
    <w:p w14:paraId="71DEB2E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марта 1942 г. Справка начальника экономического отдела УНКВД о производственной деятельности СТЗ в марте и причинах невыполнения программы по танкам Т-34</w:t>
      </w:r>
    </w:p>
    <w:p w14:paraId="0782AB41"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гор. Сталинград</w:t>
      </w:r>
      <w:r w:rsidRPr="008A2E5A">
        <w:rPr>
          <w:rFonts w:ascii="Times New Roman" w:hAnsi="Times New Roman"/>
          <w:color w:val="0070C0"/>
          <w:sz w:val="16"/>
          <w:szCs w:val="16"/>
        </w:rPr>
        <w:tab/>
        <w:t>Совершенно секретно</w:t>
      </w:r>
    </w:p>
    <w:p w14:paraId="3AF093FC"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По постановлению правительства Сталинградский тракторный завод должен изготовить и сдать Красной</w:t>
      </w:r>
    </w:p>
    <w:p w14:paraId="3A6A0D4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Армии 430 танков Т-34.</w:t>
      </w:r>
    </w:p>
    <w:p w14:paraId="118D2C4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 завода в первой декаде марта дала неудовлетворительные результаты.</w:t>
      </w:r>
    </w:p>
    <w:p w14:paraId="6FE74E9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при задании собрать в течение 10 дней 117</w:t>
      </w:r>
    </w:p>
    <w:p w14:paraId="17BEF1A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 цех Ns 5 собрал 87 танков, или недодал стране 30 машин.</w:t>
      </w:r>
    </w:p>
    <w:p w14:paraId="1349D58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причинами неудовлетворительной работы завода являются:</w:t>
      </w:r>
    </w:p>
    <w:p w14:paraId="1290B26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отсутствие на заводе нужного количества и профилей металла,</w:t>
      </w:r>
    </w:p>
    <w:p w14:paraId="5418A22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неудовлетворительное снабжение СТЗ покупными материалами и изделиями.</w:t>
      </w:r>
    </w:p>
    <w:p w14:paraId="5012C894"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необеспеченности металлом в нужном количестве СТЗ срывает работу не только по выпуску танков Т-34, но и по ряду других изделий, а также выпуск оборонной продукции другим заводам.</w:t>
      </w:r>
    </w:p>
    <w:p w14:paraId="7BA5B7F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Металлургический завод «Красный Октябрь», являющийся основным поставщиком легированного металла для производства танковых деталей и деталей дизельмотора, в течение последних месяцев систематически не выполняет плана поставки СТЗ проката и других профилей металла.</w:t>
      </w:r>
    </w:p>
    <w:p w14:paraId="1F90908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Кузнечный цех СТЗ, являющийся наиболее перегруженным по заказам цехом завода, казалось, не должен иметь простоев оборудования, а между тем пресса и молота из-за отсутствия металла простаивают.</w:t>
      </w:r>
    </w:p>
    <w:p w14:paraId="0804307B"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первой декады марта «Красный Октябрь» не подал прокат марки 40СХ, 18ХГТ по профилю 0 115, 110, 105 и 90 мм, что срывает работу цеха Ns 5 по выпуску танков.</w:t>
      </w:r>
    </w:p>
    <w:p w14:paraId="23C4981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 Ns 10, создававший в течение нескольких месяцев заделы по основным деталям (балансир, кривошип, ось балансира и другие), простаивает, а имевшиеся запасы деталей использованы цехом № 5 и из-за отсутствия металла не только не пополняются, но и срывают выполнение суточного графика.</w:t>
      </w:r>
    </w:p>
    <w:p w14:paraId="480B165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Простои оборудования в кузнечном цехе (12.000—5.000 молота), чрезвычайно перегруженного, приведут к тому, что цех сорвет выполнение других оборонных заказов, так как запасов мощности не имеется.</w:t>
      </w:r>
    </w:p>
    <w:p w14:paraId="6C65416D"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Первостепенной важности задачей необходимо считать — коренное улучшение работы завода «Красный Октябрь» и выполнение им плана по всем профилям и маркам сталей.</w:t>
      </w:r>
    </w:p>
    <w:p w14:paraId="038BDE6C"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менее важным вопросом, решающим выполнение производственной программы, является и снабжение СТЗ покупными материалами и изделиями.</w:t>
      </w:r>
    </w:p>
    <w:p w14:paraId="27E0976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 время войны с фашистской Германией количество этих материалов уменьшилось в несколько раз, однако </w:t>
      </w:r>
    </w:p>
    <w:p w14:paraId="6E1CE67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ряд материалов и готовых изделий завод сам изготовлять не может.</w:t>
      </w:r>
    </w:p>
    <w:p w14:paraId="65C1545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февраля и марта месяца СТЗ ощущает острый недостаток шариковых подшипников, топливной аппаратуры к дизель-моторам (начато освоение) и др.</w:t>
      </w:r>
    </w:p>
    <w:p w14:paraId="44CD7EF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Перебои в снабжении подсобными материалами (магнезитовый порошок, кирпич) ухудшили работу сталефасонного цеха СТЗ.</w:t>
      </w:r>
    </w:p>
    <w:p w14:paraId="1A8CE97B"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Отсутствует на заводе радиаторная лента, срывающая выпуск танков СТЗ и заводу Ns 264.</w:t>
      </w:r>
    </w:p>
    <w:p w14:paraId="2AE5D10D"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отметить, что Главснаб Наркомтанкопрома (начальник Розин) плохо помогает заводу в снабжении покупными материалами.</w:t>
      </w:r>
    </w:p>
    <w:p w14:paraId="4D91B07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Транспортируемые самолетами с Кировского завода форсунки и насосы в адрес СТЗ были разгружены в гор. Куйбышеве, и самолеты вылетели с грузом подшипников в гор. Челябинск, а СТЗ в данное время не имеет топливной аппаратуры.</w:t>
      </w:r>
    </w:p>
    <w:p w14:paraId="692CCAA1"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Способствует срыву программы также и плохая работа железных дорог.</w:t>
      </w:r>
    </w:p>
    <w:p w14:paraId="7666822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Имеется целый ряд вагонов, отгруженных с материалами в адрес СТЗ в первые дни войны и до сегодняшнего дня не прибывших в Сталинград.</w:t>
      </w:r>
    </w:p>
    <w:p w14:paraId="559C72E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таких вагонов с грузами, находящихся в пути, для завода имеется около 900.</w:t>
      </w:r>
    </w:p>
    <w:p w14:paraId="6DEFF1A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Абсолютно ненормальным является нахождение в пути поездов и отдельных вагонов свыше месяца.</w:t>
      </w:r>
    </w:p>
    <w:p w14:paraId="2917BF8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Большинство воинских транспортов с пушками, отгружаемыми из гор. Горького, находятся в пути около месяца, а то и выше.</w:t>
      </w:r>
    </w:p>
    <w:p w14:paraId="0F1ABEA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Вагон Ns 447148, отгруженный 21 января из Свердловска, только 11 марта прибыл в Сталинград, причем железные дороги утеряли на него </w:t>
      </w:r>
      <w:proofErr w:type="gramStart"/>
      <w:r w:rsidRPr="008A2E5A">
        <w:rPr>
          <w:rFonts w:ascii="Times New Roman" w:hAnsi="Times New Roman"/>
          <w:color w:val="0070C0"/>
          <w:sz w:val="16"/>
          <w:szCs w:val="16"/>
        </w:rPr>
        <w:t>документы</w:t>
      </w:r>
      <w:proofErr w:type="gramEnd"/>
      <w:r w:rsidRPr="008A2E5A">
        <w:rPr>
          <w:rFonts w:ascii="Times New Roman" w:hAnsi="Times New Roman"/>
          <w:color w:val="0070C0"/>
          <w:sz w:val="16"/>
          <w:szCs w:val="16"/>
        </w:rPr>
        <w:t xml:space="preserve"> и он следовал как эвакогруз.</w:t>
      </w:r>
    </w:p>
    <w:p w14:paraId="10112A78"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Вагон Ns 470946 по накладной Ns 955500 с радиаторной лентой как эвакогруз разгружен на ст. Сердобск.</w:t>
      </w:r>
    </w:p>
    <w:p w14:paraId="7D97059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Аналогичных примеров можно привести еще множество.</w:t>
      </w:r>
    </w:p>
    <w:p w14:paraId="25BEADC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приведенными выше фактами, отражающимися на производственной деятельности завода, имеется ряд и внутризаводских факторов, тормозящих выполнение производственной программы.</w:t>
      </w:r>
    </w:p>
    <w:p w14:paraId="1F1D740D"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Чугунолитейный цех СТЗ (начальник Малыш) снизил качество выпускаемой продукции.</w:t>
      </w:r>
    </w:p>
    <w:p w14:paraId="47F9D88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Отливаемые им корпуса коробок скоростей к танку Т-34 имеют высокий процент брака.</w:t>
      </w:r>
    </w:p>
    <w:p w14:paraId="56F3DF7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из 15 коробок скоростей, запущенных 10 марта цехом Ns 10 в механическую обработку, были приняты</w:t>
      </w:r>
    </w:p>
    <w:p w14:paraId="64D1F708"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3, а остальные забракованы по имеющимся усадочным раковинам.</w:t>
      </w:r>
    </w:p>
    <w:p w14:paraId="65FEDD5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 начальником которого является Атопов (сталефасонный), дает деталь 09002 (барабан бортового фрикциона) с большим процентом брака и большими припусками, что загружает излишнее количество оборудования.</w:t>
      </w:r>
    </w:p>
    <w:p w14:paraId="7D7D96C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Изготовленная новая модель с гораздо меньшими припусками не употребляется, так как первые сделанные по ней отливки вышли бракованными, а начальник цеха и техбюро не принимают мер к усовершенствованию технологического процесса и быстрейшему освоению новой модели.</w:t>
      </w:r>
    </w:p>
    <w:p w14:paraId="560F855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на должном уровне находится на заводе и организация труда.</w:t>
      </w:r>
    </w:p>
    <w:p w14:paraId="2C7B94C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простои в январе месяце выразились в 210.057 часах, из которых часть явилась вследствие неудовлетворительной организации труда.</w:t>
      </w:r>
    </w:p>
    <w:p w14:paraId="1C0864C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Существенным моментом, отражающимся на производительности труда, является низкое качество обедов, изготовляемых в столовых ОРСа завода.</w:t>
      </w:r>
    </w:p>
    <w:p w14:paraId="090ED3C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Столовые находятся в антисанитарном состоянии, не обеспечивают пропускной способностью потребность цехов. Качество приготовляемых обедов низкое и</w:t>
      </w:r>
    </w:p>
    <w:p w14:paraId="18DF369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выдаваемое для рабочих, не удовлетворяет их потребности.</w:t>
      </w:r>
    </w:p>
    <w:p w14:paraId="463DE24C"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последнее время в столовых стали практиковать выдачу только одних первых блюд.</w:t>
      </w:r>
    </w:p>
    <w:p w14:paraId="4F1F543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Безусловно, указанные факты приводят к недовольству среди рабочих как качеством питания, так и порядками, существующими в столовых.</w:t>
      </w:r>
    </w:p>
    <w:p w14:paraId="7FEF0E0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 может выполнить программу марта по выпуску танков, однако заводу необходима помощь по следующим вопросам:</w:t>
      </w:r>
    </w:p>
    <w:p w14:paraId="10F953D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бесперебойное снабжение металлом с завода «Красный Октябрь»,</w:t>
      </w:r>
    </w:p>
    <w:p w14:paraId="4813504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быстрейшее продвижение грузов, следующих железной дорогой в адрес СТЗ.</w:t>
      </w:r>
    </w:p>
    <w:p w14:paraId="27FB8B7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этим завод должен довести борьбу за улучшение организации труда, уменьшение брака на производстве и ОРС завода должен улучшить питание рабочих.</w:t>
      </w:r>
    </w:p>
    <w:p w14:paraId="7821F54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ЭКО УНКВД старший лейтенант госбезопасности Конненков</w:t>
      </w:r>
    </w:p>
    <w:p w14:paraId="49CB5C3D"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ЦДНИВО. Ф. 171. On. 1.Д. 13. Л. 80—81 об. Подлинник.</w:t>
      </w:r>
    </w:p>
    <w:p w14:paraId="199E79E3" w14:textId="77777777" w:rsidR="00F71F22" w:rsidRPr="008A2E5A" w:rsidRDefault="00F71F22" w:rsidP="00F71F22">
      <w:pPr>
        <w:spacing w:after="0" w:line="240" w:lineRule="auto"/>
        <w:jc w:val="both"/>
        <w:rPr>
          <w:rFonts w:ascii="Times New Roman" w:hAnsi="Times New Roman"/>
          <w:color w:val="0070C0"/>
          <w:sz w:val="16"/>
          <w:szCs w:val="16"/>
        </w:rPr>
      </w:pPr>
    </w:p>
    <w:p w14:paraId="77ACDEE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приказом № 268 по нарко</w:t>
      </w:r>
      <w:r w:rsidRPr="008127F8">
        <w:rPr>
          <w:rFonts w:ascii="Times New Roman" w:hAnsi="Times New Roman"/>
          <w:color w:val="000000" w:themeColor="text1"/>
          <w:sz w:val="16"/>
          <w:szCs w:val="16"/>
        </w:rPr>
        <w:softHyphen/>
        <w:t>мату танковой промышленности было продублировано Постановление ГКО № 1415с от 9 марта, в котором говорилось:</w:t>
      </w:r>
    </w:p>
    <w:p w14:paraId="3DF05F1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177 т. Волкову прекратить с 16.05.42 г. производство БА-20. Весь специальный инстру</w:t>
      </w:r>
      <w:r w:rsidRPr="008127F8">
        <w:rPr>
          <w:rFonts w:ascii="Times New Roman" w:hAnsi="Times New Roman"/>
          <w:color w:val="000000" w:themeColor="text1"/>
          <w:sz w:val="16"/>
          <w:szCs w:val="16"/>
        </w:rPr>
        <w:softHyphen/>
        <w:t>мент, приспособления, штампы и техническую документа</w:t>
      </w:r>
      <w:r w:rsidRPr="008127F8">
        <w:rPr>
          <w:rFonts w:ascii="Times New Roman" w:hAnsi="Times New Roman"/>
          <w:color w:val="000000" w:themeColor="text1"/>
          <w:sz w:val="16"/>
          <w:szCs w:val="16"/>
        </w:rPr>
        <w:softHyphen/>
        <w:t>цию сохранить.</w:t>
      </w:r>
    </w:p>
    <w:p w14:paraId="497CFC7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Малышев».</w:t>
      </w:r>
    </w:p>
    <w:p w14:paraId="5AEDB4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эти приказы, план по изготовле</w:t>
      </w:r>
      <w:r w:rsidRPr="008127F8">
        <w:rPr>
          <w:rFonts w:ascii="Times New Roman" w:hAnsi="Times New Roman"/>
          <w:color w:val="000000" w:themeColor="text1"/>
          <w:sz w:val="16"/>
          <w:szCs w:val="16"/>
        </w:rPr>
        <w:softHyphen/>
        <w:t>нию БА-20М на заводе № 177 в мае был перевыполнен — вместо 25 было сдано 66 машин. Кроме того, из имеющего</w:t>
      </w:r>
      <w:r w:rsidRPr="008127F8">
        <w:rPr>
          <w:rFonts w:ascii="Times New Roman" w:hAnsi="Times New Roman"/>
          <w:color w:val="000000" w:themeColor="text1"/>
          <w:sz w:val="16"/>
          <w:szCs w:val="16"/>
        </w:rPr>
        <w:softHyphen/>
        <w:t>ся задела корпусов и шасси в июне сумели изготовить 2 БА-20М, еще 14 машин сдали Красной Армии в июле, по</w:t>
      </w:r>
      <w:r w:rsidRPr="008127F8">
        <w:rPr>
          <w:rFonts w:ascii="Times New Roman" w:hAnsi="Times New Roman"/>
          <w:color w:val="000000" w:themeColor="text1"/>
          <w:sz w:val="16"/>
          <w:szCs w:val="16"/>
        </w:rPr>
        <w:softHyphen/>
        <w:t>сле чего выпуск бронемашин на заводе № 177 был прекра</w:t>
      </w:r>
      <w:r w:rsidRPr="008127F8">
        <w:rPr>
          <w:rFonts w:ascii="Times New Roman" w:hAnsi="Times New Roman"/>
          <w:color w:val="000000" w:themeColor="text1"/>
          <w:sz w:val="16"/>
          <w:szCs w:val="16"/>
        </w:rPr>
        <w:softHyphen/>
        <w:t>щен. Таким образом, за все время серийного производства с 1936-го по июль 1942 года на заводе ДРО (№ 177) изгото</w:t>
      </w:r>
      <w:r w:rsidRPr="008127F8">
        <w:rPr>
          <w:rFonts w:ascii="Times New Roman" w:hAnsi="Times New Roman"/>
          <w:color w:val="000000" w:themeColor="text1"/>
          <w:sz w:val="16"/>
          <w:szCs w:val="16"/>
        </w:rPr>
        <w:softHyphen/>
        <w:t>вили 1567 бронеавтомобилей БА-20 и БА-20М всех типов (11284).</w:t>
      </w:r>
    </w:p>
    <w:p w14:paraId="6C3AFB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F92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года Указом Президиума Верховного Совета СССР на личный состав военизированной охраны распространено действие Дисциплинарного Устава Красной Армии (8983).</w:t>
      </w:r>
    </w:p>
    <w:p w14:paraId="2952B7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259C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вышло Постановление ГКО № 1423 О подготовке к завозу грузов в г. Ленинград через Ладожское озеро в навигацию 1942 года. (7025, 54-55).</w:t>
      </w:r>
    </w:p>
    <w:p w14:paraId="234B416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1998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 постановление "О подготовке к завозу грузов в город Ленинград через Ладожское озеро в навигацию 1942 г." предусматривало по</w:t>
      </w:r>
      <w:r w:rsidRPr="008127F8">
        <w:rPr>
          <w:rFonts w:ascii="Times New Roman" w:hAnsi="Times New Roman"/>
          <w:color w:val="000000" w:themeColor="text1"/>
          <w:sz w:val="16"/>
          <w:szCs w:val="16"/>
        </w:rPr>
        <w:softHyphen/>
        <w:t>стройку в Ленинграде и сборку на Ладоге 10 стальных барж по 600 т, а на вновь создаваемой Сясьской судоверфи — 30 деревян</w:t>
      </w:r>
      <w:r w:rsidRPr="008127F8">
        <w:rPr>
          <w:rFonts w:ascii="Times New Roman" w:hAnsi="Times New Roman"/>
          <w:color w:val="000000" w:themeColor="text1"/>
          <w:sz w:val="16"/>
          <w:szCs w:val="16"/>
        </w:rPr>
        <w:softHyphen/>
        <w:t>ных барж общей грузоподъемностью 10 тыс. т. В 1942 г. вступили в строй всего 23 самоходных судна суммарной мощностью 3700 л. с. и несамоходные суда общей грузоподъемностью 149 100 т про</w:t>
      </w:r>
      <w:r w:rsidRPr="008127F8">
        <w:rPr>
          <w:rFonts w:ascii="Times New Roman" w:hAnsi="Times New Roman"/>
          <w:color w:val="000000" w:themeColor="text1"/>
          <w:sz w:val="16"/>
          <w:szCs w:val="16"/>
        </w:rPr>
        <w:softHyphen/>
        <w:t>тив 86 судов (14 600 л. с.) и 208 200 т соответственно в 1941 г. (3898).</w:t>
      </w:r>
    </w:p>
    <w:p w14:paraId="05EB70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19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ГКО. принял решение о строительстве 10 металлических барж грузоподъемностью 600 т каждая на ленинградских судостроительных заводах и 30 деревянных барж общей грузоподъемностью 10 тыс. т - на верфи Северо-Западного пароходства (10671).</w:t>
      </w:r>
    </w:p>
    <w:p w14:paraId="3A56BC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целях обеспечения завоза грузов в г. Ленинград через Ладожское озеро в навигацию 1942 г., Государственный Комитет Обороны постановляет:</w:t>
      </w:r>
    </w:p>
    <w:p w14:paraId="2C7937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Наркомречфлот (т. Шашкова):</w:t>
      </w:r>
    </w:p>
    <w:p w14:paraId="4147C9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построить для Ладожского озера на территории Сясьского комбината 30 деревянных озерных барж упрошенной конструкции, общей грузоподъемностью 10 000 тонн, со сдачей в эксплуатацию 10 барж к 15 мая, 10 барж к 1 июля и 10 барж к 15 августа 1942 г.;</w:t>
      </w:r>
    </w:p>
    <w:p w14:paraId="79FA53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организовать на территории Сясьского целлюлозно-бумажного комбината Наркомбумпрома временную судостроительную верфь, произведя первую закладку судов не позднее 15 марта 1942 г.</w:t>
      </w:r>
    </w:p>
    <w:p w14:paraId="135759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Наркомсудпром (т. Носенко) построить для Ладожского озера 10 металлических озерных барж грузоподъемностью до 600 тонн каждая со сдачей в эксплуатацию к 15 мая 1942 г. Разрешить Наркомсудпрому использовать для этой цели листовую сталь, имеющуюся на ленинградских судостроительных заводах.</w:t>
      </w:r>
    </w:p>
    <w:p w14:paraId="190B62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Наркомлес в марте 1942 г. заготовить и вывезти к линии по Северной железной дороге 5500 куб.м судостроительного леса по спецификации Наркомречфлота, а Главлесосбыту отгрузить 2500 куб.м из числа заготовленного трестом Ленлес до 15 марта на ст. Сясьстрой и 5500 куб.м в марте и апреле, возложив персональную ответственность за своевременную заготовку и отгрузку по Наркомлесу на т. Салтыкова и по Главлесосбыту на т. Лопухова.</w:t>
      </w:r>
    </w:p>
    <w:p w14:paraId="64C536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Предложить НКПС (т. Кагановичу):</w:t>
      </w:r>
    </w:p>
    <w:p w14:paraId="7CD8D7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обязать Управление строительства № 42 построить перевалочные базы на Ладожском озере в районе маяка Кареджи (Песчаная Коса) к 1 апреля и в районе села Кабоны к 1 мая 1942 г. с расчетом стоянки под погрузкой одновременно шести барж, а также восстановить причалы на пристани Гостинополье к 15 апреля;</w:t>
      </w:r>
    </w:p>
    <w:p w14:paraId="25CB36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достроить железнодорожную ветку от ст. Войбокала до окончания Песчаной Косы в Ладожском озере у маяка Кареджи, приведя ее в состояние, пригодное к эксплуатации в летних условиях с постройкой моста через Новоладожский канал, обеспечивающий нормальное судоходство;</w:t>
      </w:r>
    </w:p>
    <w:p w14:paraId="0008B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обеспечить подачу Главлесосбыту при Совнаркоме СССР 400 платформ (в марте 200, в апреле 200) для перевозок судостроительного леса, поставляемого Наркомречфлоту для строительства барж.</w:t>
      </w:r>
    </w:p>
    <w:p w14:paraId="689A84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НКО (т. Щаденко) выделить Наркомречфлоту для строительства барж не позднее 15 марта на срок по 1 августа 1942 г. два батальона рабочих-строителей, из них 1200 плотников.</w:t>
      </w:r>
    </w:p>
    <w:p w14:paraId="0AC9D5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Выделить на строительство флота на Ладожском озере, перевалочных баз, организацию и оборудование временных судостроительных верфей, предусмотренных настоящим постановлением, а также на восстановление разрушенных объектов — Наркомречфлоту 30 млн рублей и Наркомсудпрому 1,5 млн рублей.</w:t>
      </w:r>
    </w:p>
    <w:p w14:paraId="7C0A95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Наркомвоенморфлот (т. Кузнецова) вооружить буксиры и баржи Наркомречфлота, работающие по перевозке грузов по Ладожскому озеру, зенитными установками и укомплектовать их боевыми расчетами.</w:t>
      </w:r>
    </w:p>
    <w:p w14:paraId="3D252E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Наркомторг СССР организовать питание 4500 чел. рабочих и ИТР, занятых на строительстве барж на Сясьском комбинате, по норме: хлеба — 600 граммов, мяса — 100 граммов, жиров — 50 граммов, сухих овощей — 30 граммов, крупы — 200 граммов, сахара — 30 граммов, кофе — 25 граммов, с получением продовольствия на ст. Волхов из подходов грузов, адресованных Ленинграду.</w:t>
      </w:r>
    </w:p>
    <w:p w14:paraId="567613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Ленинградский совет депутатов трудящихся выделить к 15 марта 1942 г. Северо-Западному пароходству Наркомречфлота 12 грузовых трехтонных автомашин, Наркомсудпрому 20 трехтонных и 10 пятитонных автомашин из числа полученных Для перевозки угля через Ладожское озеро.</w:t>
      </w:r>
    </w:p>
    <w:p w14:paraId="0ADB0E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Разрешить Наркомречфлоту и Наркомсудпрому:</w:t>
      </w:r>
    </w:p>
    <w:p w14:paraId="10B8F1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производить строительство барж, организации оборудование временных судостроительных верфей без технических проектов и смет по рабочим чертежам на отдельные конструктивные узлы и сметным расчетам по укрупненным нормам;</w:t>
      </w:r>
    </w:p>
    <w:p w14:paraId="221F72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применять аккордную оплату труда рабочих, занятых на постройке барж для Ладожского озера.</w:t>
      </w:r>
    </w:p>
    <w:p w14:paraId="2B6716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И.СТАЛИН</w:t>
      </w:r>
    </w:p>
    <w:p w14:paraId="2CDC7B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Микояну, Жданову, Косыгину, Шашкову,</w:t>
      </w:r>
    </w:p>
    <w:p w14:paraId="216A7E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Чадаеву. Наркомам — соответственно</w:t>
      </w:r>
    </w:p>
    <w:p w14:paraId="0D8456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РГАСПИ. Ф. 644. Оп. 1. Д. 24. Л. 54—55 (12013).</w:t>
      </w:r>
    </w:p>
    <w:p w14:paraId="28E567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FE22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D849A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855F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марта</w:t>
      </w:r>
      <w:r w:rsidRPr="008127F8">
        <w:rPr>
          <w:rFonts w:ascii="Times New Roman" w:hAnsi="Times New Roman"/>
          <w:color w:val="000000" w:themeColor="text1"/>
          <w:sz w:val="16"/>
          <w:szCs w:val="16"/>
        </w:rPr>
        <w:t xml:space="preserve"> в 1942 году утреннее сообщение Совинформбюро:</w:t>
      </w:r>
    </w:p>
    <w:p w14:paraId="2D772F1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11 марта на ряде участков фронта советские войска вели наступательные бои против немецко-фашистских войск.</w:t>
      </w:r>
    </w:p>
    <w:p w14:paraId="5057367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гвардейской части под командованием тов. Миронова за один день боёв заняли три населённых пункта и захватили вражеский танк, 4 пулемёта, 3 орудия. Гитлеровцы понесли большие потери. Захвачены пленные.</w:t>
      </w:r>
    </w:p>
    <w:p w14:paraId="3CD13F49"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противником разрушили 12 деревоземляных огневых точек, 27 блиндажей и землянок и взорвали крупный немецкий склад с боеприпасами. Противник за это время потерял убитыми 1.500 солдат и офицеров.</w:t>
      </w:r>
    </w:p>
    <w:p w14:paraId="4275950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Санитар Горячев под огнём врага вынес с поля боя 14 раненых бойцов вместе с их оружием и оказал им первую медицинскую помощь.</w:t>
      </w:r>
    </w:p>
    <w:p w14:paraId="33E23E20"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действовали в бою за населённый пункт С. бойцы миномётной роты. В этом районе противник предпринял несколько контратак, но каждый раз был вынужден откатываться, встречая ураганный огонь миномётчиков. Немцы оставили на поле боя до 75 трупов. Особенно отличились в бою расчёт младшего сержанта Кесарина и наводчик Крутихин.</w:t>
      </w:r>
    </w:p>
    <w:p w14:paraId="097627A5"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8 роты 460 полка 260 немецкой пехотной дивизии Вильгельм Денгер рассказал: «Наша рота понесла тяжёлые потери. Несмотря на неоднократное пополнение, в ней осталось лишь 60 человек. Прибывающие в нашу часть резервисты, как правило, в возрасте от 35 до 45 лет. Они плохо обучены и мало боеспособны. Большие потери наша рота понесла и в командном составе. Выбыли из строя два командира роты. Сейчас ею командует Фельдфебель. Условия, в которых находятся наши солдаты, буквально невыносимы. Мы все завшивели. Каждый день уносит кого-нибудь в могилу. Теперь уже почти никто не верит в победу Германии. Все разговоры между солдатами сводятся к одному: «Когда мы вернёмся домой?».</w:t>
      </w:r>
    </w:p>
    <w:p w14:paraId="14DBAC80"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11 роты 318 полка 213 немецкой пехотной дивизии Адольф Бойм рассказал: «23 февраля русские предприняли сильную атаку на деревню, в которой стояли подразделения нашего полка. Русские танки косили наших солдат огнём и давили гусеницами. Поднялась невообразимая паника. Бросив оружие, солдаты и офицеры пытались скрыться, но бежать было некуда. В живых осталась только небольшая группа солдат. Они подняли руки и сдались в плен».</w:t>
      </w:r>
    </w:p>
    <w:p w14:paraId="4A756FE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унтер-офицера Вильгельма Ор найдено неотправленное письмо к жене в Берлин. В нём говорится: «Русские атакуют нас, и мы должны отступать. Что же будет весной? При одной этой мысли мне становится страшно... Сегодня я сам не свой; я не знаю, что со мной творится».</w:t>
      </w:r>
    </w:p>
    <w:p w14:paraId="1652129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 тонн нефтепродуктов сверх нормы перевозят за каждый рейс передовой танкер Каспийского моря, где капитаном тов. Носков.» (15065).</w:t>
      </w:r>
    </w:p>
    <w:p w14:paraId="659FC408"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3D3041F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марта</w:t>
      </w:r>
      <w:r w:rsidRPr="008127F8">
        <w:rPr>
          <w:rFonts w:ascii="Times New Roman" w:hAnsi="Times New Roman"/>
          <w:color w:val="000000" w:themeColor="text1"/>
          <w:sz w:val="16"/>
          <w:szCs w:val="16"/>
        </w:rPr>
        <w:t xml:space="preserve"> в 1942 году вечернее сообщение Совинформбюро:</w:t>
      </w:r>
    </w:p>
    <w:p w14:paraId="7F5EAEFC"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марта наши войска вели упорные наступательные бои на многих участках фронта. Вражеские войска несут большие потери в людях и технике.</w:t>
      </w:r>
    </w:p>
    <w:p w14:paraId="6E6C041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8 марта советской авиацией уничтожено не 39 немецких самолётов, как об этом сообщалось ранее, а 83 немецких самолёта, в том числе 39 трёхмоторных транспортных самолетов «Ю-52».</w:t>
      </w:r>
    </w:p>
    <w:p w14:paraId="40E5BAA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марта уничтожено 19 немецких самолётов. Наши потери — 5 самолётов.</w:t>
      </w:r>
    </w:p>
    <w:p w14:paraId="4836597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марта частями нашей авиации уничтожено и повреждено около 180 автомашин с войсками и грузами, 45 повозок с боеприпасами, 5 орудий, 2 зенитно-пулемётные точки, взорвано 2 склада с боеприпасами и 1 склад с горючим, разрушен железнодорожный эшелон, рассеяно и частью уничтожено до батальона пехоты противника.</w:t>
      </w:r>
    </w:p>
    <w:p w14:paraId="6813A217"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(Юго-Западный фронт) заняла несколько населённых пунктов.</w:t>
      </w:r>
    </w:p>
    <w:p w14:paraId="543E477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оставил на поле боя 650 трупов. Среди захваченных трофеев: 11 орудий, 55 пулемётов, 32 автомата, 400 винтовок, 25 миномётов, 4 противотанковых ружья, 60.000 патронов, 6.800 мин, 1.800 гранат, 100 лошадей, один танк, 5 радиостанций и другое военное имущество.</w:t>
      </w:r>
    </w:p>
    <w:p w14:paraId="7448646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гвардейская часть, действующая на Калининском фронте, за два дня уничтожила 450 немецких солдат и офицеров. Артиллеристы этой части прямой наводкой подбили 4 вражеских танка. На. другом участке наши бойцы, прорвав укреплённую полосу противника, захватили 21 пулемёт, 4 орудия, 100 винтовок и много боеприпасов. На поле боя немецкие войска оставили сотни трупов.</w:t>
      </w:r>
    </w:p>
    <w:p w14:paraId="18411B97"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авиачасти, где командиром тов. Немцевич, 9 марта уничтожили 5 немецких полевых орудий, 8 миномётов, 26 автомашин, 6 пулемётов, 8 повозок, разрушили 37 опорных пунктов противника, рассеяли и частью уничтожили до 350 немецких солдат и офицеров. В этот день экипажи лейтенантов Шалаева и Корчагина по 5 раз летали на бомбёжку войск противника. По 4—5 боевых вылетов сделали лейтенанты Харитонов, Панфилов и Кореев.</w:t>
      </w:r>
    </w:p>
    <w:p w14:paraId="14CC24A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атаки укреплённого противником населённого пункта В. один из наших танков был подбит и остановился в расположении противника. В танке остался механик-водитель Коваленок. Два дня т. Коваленок пробыл в машине, отстреливаясь от врага. Выбив немцев из населённого пункта, наши бойцы выручили отважного танкиста.</w:t>
      </w:r>
    </w:p>
    <w:p w14:paraId="76A8033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товарища К., действующий в одном из районов Харьковской области, оккупированных немцами, за полтора месяца уничтожил 24 немецкие автомашины и 7 повозок с боеприпасами, снаряжением и продовольствием, порвал в нескольких местах телеграфную линию и вырезал 10 километров полевого телефонного кабеля. За это же время партизаны уничтожили более 150 немецко-фашистских оккупантов.</w:t>
      </w:r>
    </w:p>
    <w:p w14:paraId="26907DA5"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донесении командира батальона 21 пехотного полка 17 немецкой пехотной дивизии обер-лейтенанта Фрусайта «О состоянии подразделения на 20 февраля 1942 года» говорится: «В результате ожесточённых боёв, имевших место со времени подачи последнего донесения, пополнение, полученное 3 января 1942 года за счёт артиллеристов, полностью выведено из строя, а пополнение, поступившее 12 февраля из Германии, имеет большие потери. Три четверти всех людей батальона требуют продолжительного содержания в лазарете, но в связи с большим недостатком личного состава они не могут быть освобождены от несения тяжёлой службы. Моральное состояние солдат сильно поколеблено. Пополнение, прибывшее 12 </w:t>
      </w:r>
      <w:proofErr w:type="gramStart"/>
      <w:r w:rsidRPr="008127F8">
        <w:rPr>
          <w:rFonts w:ascii="Times New Roman" w:hAnsi="Times New Roman"/>
          <w:color w:val="000000" w:themeColor="text1"/>
          <w:sz w:val="16"/>
          <w:szCs w:val="16"/>
        </w:rPr>
        <w:t>февраля,—</w:t>
      </w:r>
      <w:proofErr w:type="gramEnd"/>
      <w:r w:rsidRPr="008127F8">
        <w:rPr>
          <w:rFonts w:ascii="Times New Roman" w:hAnsi="Times New Roman"/>
          <w:color w:val="000000" w:themeColor="text1"/>
          <w:sz w:val="16"/>
          <w:szCs w:val="16"/>
        </w:rPr>
        <w:t xml:space="preserve"> в большинстве своём пожилые люди с недостаточной военной подготовкой, и лишь единицы знают пулемёт. Для наступления эти люди не годятся, а для обороны приходится их использовать при строжайшем наблюдении со стороны начальников. Частично эти люди приходят на фронт уже обмороженными и больными».</w:t>
      </w:r>
    </w:p>
    <w:p w14:paraId="1030F7F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нашу сторону финский солдат Вяйне Неваранта из отдельного финского батальона «Пярми» рассказал: «В стране и армии нарастает возмущение против правящей клики Маннергейма—Рюти, продавшейся Гитлеру. В некоторых воинских частях имели место стихийные выступления против войны. Солдаты 26 полка «С» отказались идти в бой. Командование армии отдало многих солдат под суд, а полк расформировало. Дезертирство из армии принимает всё более широкие размеры. Тюрьмы и лагери переполнены арестованными. Например, в тюрьме местечка Сукева было 700 заключённых дезертиров. Многие вооружённые дезертиры скрываются в землянках, в лесных избушках. Они ведут партизанскую борьбу против шюцкоровцев и полиции, совершают диверсионные акты. Недалеко от деревни Карккила действовал отряд дезертиров численностью в 100 человек. Этот отряд взорвал железнодорожный мост в Карккила».</w:t>
      </w:r>
    </w:p>
    <w:p w14:paraId="41A65E9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К.Вернер писал Георгу Кунцу в Берлин: «Надеемся, что к весне нас отведут в тыл. Ведь мы представляем собой какой-то сброд».</w:t>
      </w:r>
    </w:p>
    <w:p w14:paraId="268834E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требованию германского командования венгерские лакеи Гитлера подготовили для отправки на советско-германский фронт маршевую роту 1 гонведского полка. Узнав об этом, солдаты отказались ехать на фронт. Несмотря на угрозы командования, они категорически заявили, что не будут воевать против советской армии. Венгерские власти жестоко расправились с отказавшимися повиноваться солдатами. Унтер-офицеры были арестованы и брошены в тюрьму. Солдаты под усиленной охраной отправлены из г. Будапешта в г. Сегед.</w:t>
      </w:r>
    </w:p>
    <w:p w14:paraId="52625E87"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Узбекистана за время войны внесли в фонд обороны СССР 57.492 тысячи рублей деньгами, на 56.327 тысяч рублей облигаций государственных займов, много золотых и серебряных вещей. В фонд обороны внесено также 2.777.518 килограммов хлопка-сырца, 17.962 килограмма коконов, большое количество кож, зерна и других сельскохозяйственных продуктов.» (15065).</w:t>
      </w:r>
    </w:p>
    <w:p w14:paraId="22D14E5E"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52B820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вышло Постановление ГКО № 1421 Об обеспечении мехтягой и автотранспортом формируемых артиллерийских полков резерва Главного Командования. РГАНИР, Фонд ГКО, д. 24, лл. 47 (11012).</w:t>
      </w:r>
    </w:p>
    <w:p w14:paraId="7CB62D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B66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вышло Постановление ГКО№ 1422 Об утверждении плана отпуска боеприпасов ГАУ фронтам на март месяц 1942 г. РГАНИР, Фонд ГКО, д. 24, лл. 48-50, 51-53 (11012).</w:t>
      </w:r>
    </w:p>
    <w:p w14:paraId="74710B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563F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29970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7AA9B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вышло Постановление ГКО № 1424 Об оформлении и назначении пенсий семьям погибшего начальствующего состава Красной Армии. (7025, 56-57).</w:t>
      </w:r>
    </w:p>
    <w:p w14:paraId="63CD9A1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9D183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2B677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0F959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 Англии объявлено о прекращении производства белого хлеба на период войны (4962).</w:t>
      </w:r>
    </w:p>
    <w:p w14:paraId="29E9ABC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6FAB7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американским войскам предписано эвакуироваться с Филиппин (4962).</w:t>
      </w:r>
    </w:p>
    <w:p w14:paraId="4B10BFB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982CD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в Бразилии конфисковано имущество Германии в связи с ущербом, наносимым немецкими подлодками бразильским судам в Атлантике (4962).</w:t>
      </w:r>
    </w:p>
    <w:p w14:paraId="54FC3D7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FF6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марта 1942 г МакАртур оставил Батаан (2100).</w:t>
      </w:r>
    </w:p>
    <w:p w14:paraId="242B6E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29FD4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2E77A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56EA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года А. Никитин и Огнев писали письмо N 357490сс Маленкову и командующему ВВС генерал-полковнику авиации Жигареву.</w:t>
      </w:r>
    </w:p>
    <w:p w14:paraId="226427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1 по 10 марта включительно было принято от заводов НКАП NN 1, 18 и 381 следующее количество самолетов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34"/>
        <w:gridCol w:w="1134"/>
        <w:gridCol w:w="1276"/>
        <w:gridCol w:w="2692"/>
      </w:tblGrid>
      <w:tr w:rsidR="006F4095" w:rsidRPr="008127F8" w14:paraId="2AF2AA31" w14:textId="77777777">
        <w:tc>
          <w:tcPr>
            <w:tcW w:w="4219" w:type="dxa"/>
            <w:tcBorders>
              <w:top w:val="single" w:sz="12" w:space="0" w:color="auto"/>
            </w:tcBorders>
          </w:tcPr>
          <w:p w14:paraId="7747A7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12F3BA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1134" w:type="dxa"/>
            <w:tcBorders>
              <w:top w:val="single" w:sz="12" w:space="0" w:color="auto"/>
            </w:tcBorders>
          </w:tcPr>
          <w:p w14:paraId="2B5881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1276" w:type="dxa"/>
            <w:tcBorders>
              <w:top w:val="single" w:sz="12" w:space="0" w:color="auto"/>
            </w:tcBorders>
          </w:tcPr>
          <w:p w14:paraId="7D6EE6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692" w:type="dxa"/>
            <w:tcBorders>
              <w:top w:val="single" w:sz="12" w:space="0" w:color="auto"/>
            </w:tcBorders>
          </w:tcPr>
          <w:p w14:paraId="229436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r>
      <w:tr w:rsidR="006F4095" w:rsidRPr="008127F8" w14:paraId="6E78D116" w14:textId="77777777">
        <w:tc>
          <w:tcPr>
            <w:tcW w:w="4219" w:type="dxa"/>
          </w:tcPr>
          <w:p w14:paraId="3A77EB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8B9A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N1</w:t>
            </w:r>
          </w:p>
        </w:tc>
        <w:tc>
          <w:tcPr>
            <w:tcW w:w="1134" w:type="dxa"/>
          </w:tcPr>
          <w:p w14:paraId="77B70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18</w:t>
            </w:r>
          </w:p>
        </w:tc>
        <w:tc>
          <w:tcPr>
            <w:tcW w:w="1276" w:type="dxa"/>
          </w:tcPr>
          <w:p w14:paraId="42F257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381</w:t>
            </w:r>
          </w:p>
        </w:tc>
        <w:tc>
          <w:tcPr>
            <w:tcW w:w="2692" w:type="dxa"/>
          </w:tcPr>
          <w:p w14:paraId="660BD1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555800" w14:textId="77777777">
        <w:tc>
          <w:tcPr>
            <w:tcW w:w="4219" w:type="dxa"/>
          </w:tcPr>
          <w:p w14:paraId="2BFA2C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771B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134" w:type="dxa"/>
          </w:tcPr>
          <w:p w14:paraId="6F6D72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w:t>
            </w:r>
          </w:p>
        </w:tc>
        <w:tc>
          <w:tcPr>
            <w:tcW w:w="1276" w:type="dxa"/>
          </w:tcPr>
          <w:p w14:paraId="54C4AF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w:t>
            </w:r>
          </w:p>
        </w:tc>
        <w:tc>
          <w:tcPr>
            <w:tcW w:w="2692" w:type="dxa"/>
          </w:tcPr>
          <w:p w14:paraId="18985D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9C6C26" w14:textId="77777777">
        <w:tc>
          <w:tcPr>
            <w:tcW w:w="4219" w:type="dxa"/>
          </w:tcPr>
          <w:p w14:paraId="6D1DCF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B77A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DF74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F9446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Тагил</w:t>
            </w:r>
          </w:p>
        </w:tc>
        <w:tc>
          <w:tcPr>
            <w:tcW w:w="2692" w:type="dxa"/>
          </w:tcPr>
          <w:p w14:paraId="266F65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D9A87DA" w14:textId="77777777">
        <w:tc>
          <w:tcPr>
            <w:tcW w:w="4219" w:type="dxa"/>
          </w:tcPr>
          <w:p w14:paraId="7DEDC0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Полагалось получить, согласно</w:t>
            </w:r>
          </w:p>
        </w:tc>
        <w:tc>
          <w:tcPr>
            <w:tcW w:w="1134" w:type="dxa"/>
          </w:tcPr>
          <w:p w14:paraId="24FFC2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2E4D2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7B26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527E2D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6EEBF3" w14:textId="77777777">
        <w:tc>
          <w:tcPr>
            <w:tcW w:w="4219" w:type="dxa"/>
          </w:tcPr>
          <w:p w14:paraId="3C5A98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графика, утвержденного постан.</w:t>
            </w:r>
          </w:p>
        </w:tc>
        <w:tc>
          <w:tcPr>
            <w:tcW w:w="1134" w:type="dxa"/>
          </w:tcPr>
          <w:p w14:paraId="7A938C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98532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5FADA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1394E7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95C1DE" w14:textId="77777777">
        <w:tc>
          <w:tcPr>
            <w:tcW w:w="4219" w:type="dxa"/>
          </w:tcPr>
          <w:p w14:paraId="045EBA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N 1376 от 3.III.42 г.</w:t>
            </w:r>
          </w:p>
        </w:tc>
        <w:tc>
          <w:tcPr>
            <w:tcW w:w="1134" w:type="dxa"/>
          </w:tcPr>
          <w:p w14:paraId="411CBF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134" w:type="dxa"/>
          </w:tcPr>
          <w:p w14:paraId="06EF95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1276" w:type="dxa"/>
          </w:tcPr>
          <w:p w14:paraId="304CA9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692" w:type="dxa"/>
          </w:tcPr>
          <w:p w14:paraId="081C81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w:t>
            </w:r>
          </w:p>
        </w:tc>
      </w:tr>
      <w:tr w:rsidR="006F4095" w:rsidRPr="008127F8" w14:paraId="335E27B9" w14:textId="77777777">
        <w:tc>
          <w:tcPr>
            <w:tcW w:w="4219" w:type="dxa"/>
          </w:tcPr>
          <w:p w14:paraId="343B45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 получено самолетов</w:t>
            </w:r>
          </w:p>
        </w:tc>
        <w:tc>
          <w:tcPr>
            <w:tcW w:w="1134" w:type="dxa"/>
          </w:tcPr>
          <w:p w14:paraId="60F58A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6C009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4599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19141B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819E4D" w14:textId="77777777">
        <w:tc>
          <w:tcPr>
            <w:tcW w:w="4219" w:type="dxa"/>
          </w:tcPr>
          <w:p w14:paraId="3E26B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10 марта включительно</w:t>
            </w:r>
          </w:p>
        </w:tc>
        <w:tc>
          <w:tcPr>
            <w:tcW w:w="1134" w:type="dxa"/>
          </w:tcPr>
          <w:p w14:paraId="6F2A85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134" w:type="dxa"/>
          </w:tcPr>
          <w:p w14:paraId="4D626B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1276" w:type="dxa"/>
          </w:tcPr>
          <w:p w14:paraId="53D39E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692" w:type="dxa"/>
          </w:tcPr>
          <w:p w14:paraId="78856B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r>
      <w:tr w:rsidR="006F4095" w:rsidRPr="008127F8" w14:paraId="6582C60A" w14:textId="77777777">
        <w:tc>
          <w:tcPr>
            <w:tcW w:w="4219" w:type="dxa"/>
          </w:tcPr>
          <w:p w14:paraId="54A2B5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Недополучено самолетов за время</w:t>
            </w:r>
          </w:p>
        </w:tc>
        <w:tc>
          <w:tcPr>
            <w:tcW w:w="1134" w:type="dxa"/>
          </w:tcPr>
          <w:p w14:paraId="011CE5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8FE2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6F91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5CCAA7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AE83FC" w14:textId="77777777">
        <w:tc>
          <w:tcPr>
            <w:tcW w:w="4219" w:type="dxa"/>
            <w:tcBorders>
              <w:bottom w:val="single" w:sz="12" w:space="0" w:color="auto"/>
            </w:tcBorders>
          </w:tcPr>
          <w:p w14:paraId="64F45D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10 марта</w:t>
            </w:r>
          </w:p>
        </w:tc>
        <w:tc>
          <w:tcPr>
            <w:tcW w:w="1134" w:type="dxa"/>
            <w:tcBorders>
              <w:bottom w:val="single" w:sz="12" w:space="0" w:color="auto"/>
            </w:tcBorders>
          </w:tcPr>
          <w:p w14:paraId="0DA579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134" w:type="dxa"/>
            <w:tcBorders>
              <w:bottom w:val="single" w:sz="12" w:space="0" w:color="auto"/>
            </w:tcBorders>
          </w:tcPr>
          <w:p w14:paraId="20298A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276" w:type="dxa"/>
            <w:tcBorders>
              <w:bottom w:val="single" w:sz="12" w:space="0" w:color="auto"/>
            </w:tcBorders>
          </w:tcPr>
          <w:p w14:paraId="74AAB3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692" w:type="dxa"/>
            <w:tcBorders>
              <w:bottom w:val="single" w:sz="12" w:space="0" w:color="auto"/>
            </w:tcBorders>
          </w:tcPr>
          <w:p w14:paraId="53B779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r>
    </w:tbl>
    <w:p w14:paraId="020A3F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Недополучение самолетов Ил-2 от авиазаводов НКАП в течение первой декады марта ставит под угрозу срыва формирование и укомплектование авиаполков в намеченные сроки, утвержденные постановлением ГКО N 1376 от 3 марта 1942 года (2160,245).</w:t>
      </w:r>
    </w:p>
    <w:p w14:paraId="5E3A98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A3B1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марта 1942 самолет Ил-2 с мотором М-82 перелетел из Перми в НИИ ВВС </w:t>
      </w:r>
      <w:proofErr w:type="gramStart"/>
      <w:r w:rsidRPr="008127F8">
        <w:rPr>
          <w:rFonts w:ascii="Times New Roman" w:hAnsi="Times New Roman"/>
          <w:color w:val="000000" w:themeColor="text1"/>
          <w:sz w:val="16"/>
          <w:szCs w:val="16"/>
        </w:rPr>
        <w:t>на аэродромом</w:t>
      </w:r>
      <w:proofErr w:type="gramEnd"/>
      <w:r w:rsidRPr="008127F8">
        <w:rPr>
          <w:rFonts w:ascii="Times New Roman" w:hAnsi="Times New Roman"/>
          <w:color w:val="000000" w:themeColor="text1"/>
          <w:sz w:val="16"/>
          <w:szCs w:val="16"/>
        </w:rPr>
        <w:t xml:space="preserve"> Кольцове, где полеты по программе госиспытаний были продолжены. К 21 марта удалось выполнить еше 20 полетов (налет 8 ч 40 мин.). За это время на самолете пришлось заменить маслорадиатор и бензопомпу БНК-10. Кроме того, имели место 16 случаев про</w:t>
      </w:r>
      <w:r w:rsidRPr="008127F8">
        <w:rPr>
          <w:rFonts w:ascii="Times New Roman" w:hAnsi="Times New Roman"/>
          <w:color w:val="000000" w:themeColor="text1"/>
          <w:sz w:val="16"/>
          <w:szCs w:val="16"/>
        </w:rPr>
        <w:softHyphen/>
        <w:t>гара выхлопных патрубков. Полученные данные по-прежнему были хуже серийного Ил-2 с АМ-38. К тому же высказывалось мнение, что «уязви</w:t>
      </w:r>
      <w:r w:rsidRPr="008127F8">
        <w:rPr>
          <w:rFonts w:ascii="Times New Roman" w:hAnsi="Times New Roman"/>
          <w:color w:val="000000" w:themeColor="text1"/>
          <w:sz w:val="16"/>
          <w:szCs w:val="16"/>
        </w:rPr>
        <w:softHyphen/>
        <w:t>мость самолета увеличена, так как мотор и агрегаты не защи</w:t>
      </w:r>
      <w:r w:rsidRPr="008127F8">
        <w:rPr>
          <w:rFonts w:ascii="Times New Roman" w:hAnsi="Times New Roman"/>
          <w:color w:val="000000" w:themeColor="text1"/>
          <w:sz w:val="16"/>
          <w:szCs w:val="16"/>
        </w:rPr>
        <w:softHyphen/>
        <w:t>щены броней». Тем не менее в акте по испытаниям от 23 марта военные рекомендовали «испытанный в НИИ ВВС двухмест</w:t>
      </w:r>
      <w:r w:rsidRPr="008127F8">
        <w:rPr>
          <w:rFonts w:ascii="Times New Roman" w:hAnsi="Times New Roman"/>
          <w:color w:val="000000" w:themeColor="text1"/>
          <w:sz w:val="16"/>
          <w:szCs w:val="16"/>
        </w:rPr>
        <w:softHyphen/>
        <w:t>ный самолет Ил-2 с мотором М-82... внедрить в серийное про</w:t>
      </w:r>
      <w:r w:rsidRPr="008127F8">
        <w:rPr>
          <w:rFonts w:ascii="Times New Roman" w:hAnsi="Times New Roman"/>
          <w:color w:val="000000" w:themeColor="text1"/>
          <w:sz w:val="16"/>
          <w:szCs w:val="16"/>
        </w:rPr>
        <w:softHyphen/>
        <w:t>изводство». При этом установка М-82 на самолет Ил-2 «допус</w:t>
      </w:r>
      <w:r w:rsidRPr="008127F8">
        <w:rPr>
          <w:rFonts w:ascii="Times New Roman" w:hAnsi="Times New Roman"/>
          <w:color w:val="000000" w:themeColor="text1"/>
          <w:sz w:val="16"/>
          <w:szCs w:val="16"/>
        </w:rPr>
        <w:softHyphen/>
        <w:t>калась как временное мероприятие на период отсутствия дос</w:t>
      </w:r>
      <w:r w:rsidRPr="008127F8">
        <w:rPr>
          <w:rFonts w:ascii="Times New Roman" w:hAnsi="Times New Roman"/>
          <w:color w:val="000000" w:themeColor="text1"/>
          <w:sz w:val="16"/>
          <w:szCs w:val="16"/>
        </w:rPr>
        <w:softHyphen/>
        <w:t>таточного количества АМ-38» (11474,284).</w:t>
      </w:r>
    </w:p>
    <w:p w14:paraId="1CE9F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E69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12 марта 1942 г. начались государственные испытания Ил-2 с мотором М-82ИР.</w:t>
      </w:r>
    </w:p>
    <w:p w14:paraId="70539B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Полученные данные по-прежнему были хуже серийного Ил-2 с АМ-38. К тому же высказывалось мнение, что "уязвимость самолета увеличена, так как мотор и агрегаты не защищены броней". Тем не менее, в акте по испытаниям от 23 марта военные рекомендовали "...испытанный в НИИ ВВС двухместный самолет Ил-2 с мотором М-82... внедрить в серийное производство". При этом установка М-82 на самолет Ил-2 "допускалась как временное мероприятие на период отсутствия достаточного количества АМ-38".</w:t>
      </w:r>
    </w:p>
    <w:p w14:paraId="52931B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июля обратился к Шаху- рину с предложением, установить на Ил-2 мотор воздушного охлаждения М-82 с взлетной мощностью 1675 л.с.</w:t>
      </w:r>
    </w:p>
    <w:p w14:paraId="70924C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мотор в мае был запущен в серийное производство на заводе №19 в Перми, но у него пока не было своего самолета.</w:t>
      </w:r>
    </w:p>
    <w:p w14:paraId="3784E6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установку такого мотора на штурмовике выступал также и ряд специалистов ВВС КА и НКАП, считавших, что он более живучий при поражении, чем мотор жидкостного Мотор М-82 охлаждения.</w:t>
      </w:r>
    </w:p>
    <w:p w14:paraId="008426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при переделке Ил-2 под мотор М-82 предполагалось "...на основании опыта войны ...сделать самолет двухместным. Второй член экипажа будет ...вести защиту хвоста самолета от воздушного нападения. При этом условии самолет будет почти неуязвим".</w:t>
      </w:r>
    </w:p>
    <w:p w14:paraId="68BCAF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Обсуждение было недолгим. Постановление ГКО и соответствующий ему приказ НКАП вышли 29 июля, а уже 8 сентября Ил-2 с М-82 с аэродрома ЛИИ НКАП совершил свой первый полет.</w:t>
      </w:r>
    </w:p>
    <w:p w14:paraId="29AD84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постройки этого самолета был взят серийный Ил-2, у которого бронекорпус до переднего лонжерона центроплана был срезан и установлена двойная бронеперегородка, воспринимавшая нагрузки от моторамы. Мотор не бронировался. Вместо заднего бензобака оборудовали кабину стрелка с блистерной установкой под пулемет УБТ калибра 12,7 мм. Стрелок защищался броней почти также как и летчик. Кроме этого, на блистере устанавливалось 64-мм бронестекло.</w:t>
      </w:r>
    </w:p>
    <w:p w14:paraId="00C6C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Программа заводских испытаний была завершена быстро - за 8 дней. Летные данные Ил-2 снизились, но особых дефектов не было и самолет можно было передавать </w:t>
      </w:r>
      <w:r w:rsidRPr="008127F8">
        <w:rPr>
          <w:rFonts w:ascii="Times New Roman" w:hAnsi="Times New Roman"/>
          <w:color w:val="000000" w:themeColor="text1"/>
          <w:sz w:val="16"/>
          <w:szCs w:val="16"/>
        </w:rPr>
        <w:lastRenderedPageBreak/>
        <w:t>на госиспытания.</w:t>
      </w:r>
    </w:p>
    <w:p w14:paraId="65DC1C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Сразу же Ильюшин предложил выпустить 30 самолетов Ил-2 М-82 с целью проведения войсковых испытаний. Предлагалось сформировать один авиаполк полностью на новых машинах и один смешанный, укомплектованный одноместными и двухместными Ил-2 в пропорции 2:1. При этом "...двухместный Ил-2, ... решал бы задачи лидера группы".</w:t>
      </w:r>
    </w:p>
    <w:p w14:paraId="482BCE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Было решено, сначала дождаться результатов испытаний в НИИ ВВС.</w:t>
      </w:r>
    </w:p>
    <w:p w14:paraId="53980C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примерно в это же время специалисты НИИ ВВС вышли с инициативой установить на Ил-2 мотор М-82ИР с односкоростным нагнетателем и форсированным по мощности на малых высотах, который в ноябре успешно прошел 100-часовые испытания. Предложение было принято.</w:t>
      </w:r>
    </w:p>
    <w:p w14:paraId="0B178D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уже было принято решение о расформировании завода № 135. Одновременно Постановлением ГКО от 23 марта завод № 381 обязывался с 1 мая начать выпуск Ил-2 с М-82ИР. Однако через месяц все работы по Ил-2 на этом заводе были прекращены. Решили в двухместный вариант переделывать Ил-2 с АМ-38.</w:t>
      </w:r>
    </w:p>
    <w:p w14:paraId="2194F8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История умалчивает, сколько было выпущено Ил-2 с М-82ИР. Известно лишь, что к Государственные 28 апреля на 381 -м заводе действительно был построен один экземпляр такого самолета, но в одноместном варианте. К началу июня самолет прошел заводские испытания, перелетел на аэродром НИИ ВВС в Кольцово, где доводился в течение августа-сентября.</w:t>
      </w:r>
    </w:p>
    <w:p w14:paraId="6B14CA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летал с полной загрузкой горючим и маслом, без бомб и боеприпасов. Общий налет к 17 августа составил 6 ч 6 мин (8 полетов). В воздухе самолет вел себя устойчиво. Максимальная скорость у земли достигала 375 км/ч. Мотор работал хорошо. Однако после каждого полета появлялись трещины на секциях выхлопного коллектора. Пришлось поставить коллектор из нержавеющей стали толщиной 1,5 мм. Усилили крепление броневых нижних крышек капота мотора. 25 августа при проведении испытаний на определение границ высотности прогорел выхлопной клапан и обнаружился задир поршня. "Пропала" компрессия. Мотор признали непригодным к эксплуатации. Планировалась его замена и продолжение полетов. Что с самолетом стало в дальнейшем не ясно (12020).</w:t>
      </w:r>
    </w:p>
    <w:p w14:paraId="17B05A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EE4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Нач. ГУ заказов и техснабжения ВВС Селезнев и воен. комиссар ГУ Руденко писали Воронину письмо N 374916:</w:t>
      </w:r>
    </w:p>
    <w:p w14:paraId="160A4E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боевого применения самолетов Ил-2 на фронте был выявлен дефект, снижающий боеспособность самолетов и состоящий в невозможности при одном заходе на цель, после стрельбы РС по два, сбросить бомбы по одной. В связи с этим завод 18 по требованию ГУЗ и ТС ВВС с ведома и согласия ГК С.В.И. и по его чертежам, с самолета N 18700102 внедрил в серию постановку 2-го ЭСБР-3П полностью, то есть устранив указанный дефект (1635,214).</w:t>
      </w:r>
    </w:p>
    <w:p w14:paraId="247CB6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BE6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закончились гос. испытания штурмовика Су-6 (СА) П.О.С. с М-71, которые шли с 24 февраля 1942. Л А.Долгов и и К.Калилец и А.Синельников. Выполнили 32 полета. Решили изготовить 5-6 для войсковых испытаний. Скорость была ваше, чем у Ил-2 и при освобождении от бомб и РС машина могла на скорости 480 км/час уходить от истребителей (1454,60).</w:t>
      </w:r>
    </w:p>
    <w:p w14:paraId="2F3835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A766D" w14:textId="77777777" w:rsidR="00DD4457" w:rsidRPr="008127F8" w:rsidRDefault="00DD445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12 марта 1942 при полете второго опытного самолета Су-6 М-71 («82») на километраж (26-й полете начала ис</w:t>
      </w:r>
      <w:r w:rsidRPr="008127F8">
        <w:rPr>
          <w:rFonts w:ascii="Times New Roman" w:hAnsi="Times New Roman" w:cs="Times New Roman"/>
          <w:color w:val="000000" w:themeColor="text1"/>
          <w:sz w:val="16"/>
          <w:szCs w:val="16"/>
        </w:rPr>
        <w:softHyphen/>
        <w:t>пытаний) из-за обрыва штуцера у маслопомпы МШ-8 вытекло ма</w:t>
      </w:r>
      <w:r w:rsidRPr="008127F8">
        <w:rPr>
          <w:rFonts w:ascii="Times New Roman" w:hAnsi="Times New Roman" w:cs="Times New Roman"/>
          <w:color w:val="000000" w:themeColor="text1"/>
          <w:sz w:val="16"/>
          <w:szCs w:val="16"/>
        </w:rPr>
        <w:softHyphen/>
        <w:t>сло и мотор заклинило. Вынужден</w:t>
      </w:r>
      <w:r w:rsidRPr="008127F8">
        <w:rPr>
          <w:rFonts w:ascii="Times New Roman" w:hAnsi="Times New Roman" w:cs="Times New Roman"/>
          <w:color w:val="000000" w:themeColor="text1"/>
          <w:sz w:val="16"/>
          <w:szCs w:val="16"/>
        </w:rPr>
        <w:softHyphen/>
        <w:t>ная посадка прошла благополучно. Дальнейшие полеты приостано</w:t>
      </w:r>
      <w:r w:rsidRPr="008127F8">
        <w:rPr>
          <w:rFonts w:ascii="Times New Roman" w:hAnsi="Times New Roman" w:cs="Times New Roman"/>
          <w:color w:val="000000" w:themeColor="text1"/>
          <w:sz w:val="16"/>
          <w:szCs w:val="16"/>
        </w:rPr>
        <w:softHyphen/>
        <w:t>вили. Самолет встал в ремонт. На за</w:t>
      </w:r>
      <w:r w:rsidRPr="008127F8">
        <w:rPr>
          <w:rFonts w:ascii="Times New Roman" w:hAnsi="Times New Roman" w:cs="Times New Roman"/>
          <w:color w:val="000000" w:themeColor="text1"/>
          <w:sz w:val="16"/>
          <w:szCs w:val="16"/>
        </w:rPr>
        <w:softHyphen/>
        <w:t>вод №289 отправили заявку «об от</w:t>
      </w:r>
      <w:r w:rsidRPr="008127F8">
        <w:rPr>
          <w:rFonts w:ascii="Times New Roman" w:hAnsi="Times New Roman" w:cs="Times New Roman"/>
          <w:color w:val="000000" w:themeColor="text1"/>
          <w:sz w:val="16"/>
          <w:szCs w:val="16"/>
        </w:rPr>
        <w:softHyphen/>
        <w:t>грузке мотора в адрес НИИ» (19844).</w:t>
      </w:r>
    </w:p>
    <w:p w14:paraId="133E2CC3" w14:textId="77777777" w:rsidR="00DD4457" w:rsidRPr="008127F8" w:rsidRDefault="00DD445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A6BAA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года в испыта</w:t>
      </w:r>
      <w:r w:rsidRPr="008127F8">
        <w:rPr>
          <w:rFonts w:ascii="Times New Roman" w:hAnsi="Times New Roman"/>
          <w:color w:val="000000" w:themeColor="text1"/>
          <w:sz w:val="16"/>
          <w:szCs w:val="16"/>
        </w:rPr>
        <w:softHyphen/>
        <w:t>тельном полете (32-й с начала ис</w:t>
      </w:r>
      <w:r w:rsidRPr="008127F8">
        <w:rPr>
          <w:rFonts w:ascii="Times New Roman" w:hAnsi="Times New Roman"/>
          <w:color w:val="000000" w:themeColor="text1"/>
          <w:sz w:val="16"/>
          <w:szCs w:val="16"/>
        </w:rPr>
        <w:softHyphen/>
        <w:t>пытаний) заклинил мотор М-71, А.К. Долгов благополучно совершил посадку на аэродром.</w:t>
      </w:r>
    </w:p>
    <w:p w14:paraId="2F7065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программа испытаний была практически выполнена, при</w:t>
      </w:r>
      <w:r w:rsidRPr="008127F8">
        <w:rPr>
          <w:rFonts w:ascii="Times New Roman" w:hAnsi="Times New Roman"/>
          <w:color w:val="000000" w:themeColor="text1"/>
          <w:sz w:val="16"/>
          <w:szCs w:val="16"/>
        </w:rPr>
        <w:softHyphen/>
        <w:t>няли решение испытания приоста</w:t>
      </w:r>
      <w:r w:rsidRPr="008127F8">
        <w:rPr>
          <w:rFonts w:ascii="Times New Roman" w:hAnsi="Times New Roman"/>
          <w:color w:val="000000" w:themeColor="text1"/>
          <w:sz w:val="16"/>
          <w:szCs w:val="16"/>
        </w:rPr>
        <w:softHyphen/>
        <w:t>новить и по полученным результа</w:t>
      </w:r>
      <w:r w:rsidRPr="008127F8">
        <w:rPr>
          <w:rFonts w:ascii="Times New Roman" w:hAnsi="Times New Roman"/>
          <w:color w:val="000000" w:themeColor="text1"/>
          <w:sz w:val="16"/>
          <w:szCs w:val="16"/>
        </w:rPr>
        <w:softHyphen/>
        <w:t>там составить Акт.</w:t>
      </w:r>
    </w:p>
    <w:p w14:paraId="05E8FA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Акта отмечалось, что:</w:t>
      </w:r>
    </w:p>
    <w:p w14:paraId="55E2C2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Опытный самолет Су-6 М-71...по максимальной горизонтальной скорости, стрелково-пушечному и реактивному вооружению и емкос</w:t>
      </w:r>
      <w:r w:rsidRPr="008127F8">
        <w:rPr>
          <w:rFonts w:ascii="Times New Roman" w:hAnsi="Times New Roman"/>
          <w:color w:val="000000" w:themeColor="text1"/>
          <w:sz w:val="16"/>
          <w:szCs w:val="16"/>
        </w:rPr>
        <w:softHyphen/>
        <w:t>ти бомбовой нагрузки отвечает тре</w:t>
      </w:r>
      <w:r w:rsidRPr="008127F8">
        <w:rPr>
          <w:rFonts w:ascii="Times New Roman" w:hAnsi="Times New Roman"/>
          <w:color w:val="000000" w:themeColor="text1"/>
          <w:sz w:val="16"/>
          <w:szCs w:val="16"/>
        </w:rPr>
        <w:softHyphen/>
        <w:t>бованиям ВВС Красной Армии.</w:t>
      </w:r>
    </w:p>
    <w:p w14:paraId="77404F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Дальность самолета Су-6 М-71, равная 450 км на скорости 0,9 от максимальной, недостаточна. Дальность самолета Су-6 с М-71 довести до дальности самолета Ил-2 с АМ-38.</w:t>
      </w:r>
    </w:p>
    <w:p w14:paraId="7938C3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Бронирование самолета Су-6 с М-71 выполнить по схеме, утвер</w:t>
      </w:r>
      <w:r w:rsidRPr="008127F8">
        <w:rPr>
          <w:rFonts w:ascii="Times New Roman" w:hAnsi="Times New Roman"/>
          <w:color w:val="000000" w:themeColor="text1"/>
          <w:sz w:val="16"/>
          <w:szCs w:val="16"/>
        </w:rPr>
        <w:softHyphen/>
        <w:t>жденной НИИ ВВС КА.</w:t>
      </w:r>
    </w:p>
    <w:p w14:paraId="11A5091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Считать целесообразным по</w:t>
      </w:r>
      <w:r w:rsidRPr="008127F8">
        <w:rPr>
          <w:rFonts w:ascii="Times New Roman" w:hAnsi="Times New Roman"/>
          <w:color w:val="000000" w:themeColor="text1"/>
          <w:sz w:val="16"/>
          <w:szCs w:val="16"/>
        </w:rPr>
        <w:softHyphen/>
        <w:t>стройку небольшой войсковой се</w:t>
      </w:r>
      <w:r w:rsidRPr="008127F8">
        <w:rPr>
          <w:rFonts w:ascii="Times New Roman" w:hAnsi="Times New Roman"/>
          <w:color w:val="000000" w:themeColor="text1"/>
          <w:sz w:val="16"/>
          <w:szCs w:val="16"/>
        </w:rPr>
        <w:softHyphen/>
        <w:t>рии самолетов Су-6 с М-71, как представляющих интерес по срав</w:t>
      </w:r>
      <w:r w:rsidRPr="008127F8">
        <w:rPr>
          <w:rFonts w:ascii="Times New Roman" w:hAnsi="Times New Roman"/>
          <w:color w:val="000000" w:themeColor="text1"/>
          <w:sz w:val="16"/>
          <w:szCs w:val="16"/>
        </w:rPr>
        <w:softHyphen/>
        <w:t>нительно большой максимальной горизонтальной скорости и имею</w:t>
      </w:r>
      <w:r w:rsidRPr="008127F8">
        <w:rPr>
          <w:rFonts w:ascii="Times New Roman" w:hAnsi="Times New Roman"/>
          <w:color w:val="000000" w:themeColor="text1"/>
          <w:sz w:val="16"/>
          <w:szCs w:val="16"/>
        </w:rPr>
        <w:softHyphen/>
        <w:t>щих мощное стрелково-пушечное и реактивное вооружение...» (11845).</w:t>
      </w:r>
    </w:p>
    <w:p w14:paraId="035A8C8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CEC4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 закончились совместные испытания модифицированного Су-6 М-71, которые проводили НИИ ВВС совместно с заводом № 289 с 24 февраля 24 февраля. Испытания вели ведущий инженер А.В.Синельников и ведущий летчик А.К.Долгов. Было выполнено 24 полета с суммарным налетом 15 ч 30 мин. (9649).</w:t>
      </w:r>
    </w:p>
    <w:p w14:paraId="6E62D1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BB5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года Шахурин писал письмо N Н-20/890 Сталину.</w:t>
      </w:r>
    </w:p>
    <w:p w14:paraId="21FBCD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ГКО N 1243).</w:t>
      </w:r>
    </w:p>
    <w:p w14:paraId="5412A3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График выпуска боевых самолетов в марте требует увеличения производства установок авиационного вооружения.</w:t>
      </w:r>
    </w:p>
    <w:p w14:paraId="6A242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32, который является основным по производству этих установок, перебазирован в г. Киров и в настоящее время не работает на полную мощность, так как он не обеспечен электроэнергией.</w:t>
      </w:r>
    </w:p>
    <w:p w14:paraId="06F943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ГКО от 23 декабря 1941 года, в Москве организуется завод N 43 - дублер завода N 32. Мощности завода N 43 загружены производством пистолетов-пулеметов Шпагина и звеньев 23 мм пушки и поэтому завод не может выполнять основную программу.</w:t>
      </w:r>
    </w:p>
    <w:p w14:paraId="23A64C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освободить завод N 43 от производства пистолетов-пулеметов Шпагина и звеньев калибра 23 мм, а также разрешить дополнительно перебросить с завода N 32 - Киров на завод N 43 г. Москва - 150 единиц оборудования и 300 человек рабочих и ИТР (2760,288).</w:t>
      </w:r>
    </w:p>
    <w:p w14:paraId="3DC3EA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E4EE1"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12 по 29 марта летчик-1942 г. испытатель старший лейте</w:t>
      </w:r>
      <w:r w:rsidRPr="008A2E5A">
        <w:rPr>
          <w:rFonts w:ascii="Times New Roman" w:hAnsi="Times New Roman"/>
          <w:color w:val="0070C0"/>
          <w:sz w:val="16"/>
          <w:szCs w:val="16"/>
        </w:rPr>
        <w:softHyphen/>
        <w:t>нант С.К. Воробьев выполнил летную часть испытаний ЛаГГ-3 № 3132197 с 37 мм пушкой 11П на зенитном полигоне в районе станции Донгузская (НИЗАП), где размещался и НИПАВ.</w:t>
      </w:r>
    </w:p>
    <w:p w14:paraId="6F94CF7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февраля 1942 г. начальник Управления опытного строительства ГУ ВВС утвердил программу испытаний ЛаГГ-3 № 3132197, которая была рас</w:t>
      </w:r>
      <w:r w:rsidRPr="008A2E5A">
        <w:rPr>
          <w:rFonts w:ascii="Times New Roman" w:hAnsi="Times New Roman"/>
          <w:color w:val="0070C0"/>
          <w:sz w:val="16"/>
          <w:szCs w:val="16"/>
        </w:rPr>
        <w:softHyphen/>
        <w:t>считана на 972 выстрела, включая отладоч</w:t>
      </w:r>
      <w:r w:rsidRPr="008A2E5A">
        <w:rPr>
          <w:rFonts w:ascii="Times New Roman" w:hAnsi="Times New Roman"/>
          <w:color w:val="0070C0"/>
          <w:sz w:val="16"/>
          <w:szCs w:val="16"/>
        </w:rPr>
        <w:softHyphen/>
        <w:t>ные стрельбы. Перед началом полигонных испытаний общий настрел пушки № 1 соста</w:t>
      </w:r>
      <w:r w:rsidRPr="008A2E5A">
        <w:rPr>
          <w:rFonts w:ascii="Times New Roman" w:hAnsi="Times New Roman"/>
          <w:color w:val="0070C0"/>
          <w:sz w:val="16"/>
          <w:szCs w:val="16"/>
        </w:rPr>
        <w:softHyphen/>
        <w:t xml:space="preserve">вил 1321 выстрел, в том числе на земле - 771 и в воздухе – 550 </w:t>
      </w:r>
    </w:p>
    <w:p w14:paraId="3AE7541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Ведущий инженер - С.П. Мохов. Всего состоялись 24 полета со стрель</w:t>
      </w:r>
      <w:r w:rsidRPr="008A2E5A">
        <w:rPr>
          <w:rFonts w:ascii="Times New Roman" w:hAnsi="Times New Roman"/>
          <w:color w:val="0070C0"/>
          <w:sz w:val="16"/>
          <w:szCs w:val="16"/>
        </w:rPr>
        <w:softHyphen/>
        <w:t>бой в горизонтальном полете, на пикирова</w:t>
      </w:r>
      <w:r w:rsidRPr="008A2E5A">
        <w:rPr>
          <w:rFonts w:ascii="Times New Roman" w:hAnsi="Times New Roman"/>
          <w:color w:val="0070C0"/>
          <w:sz w:val="16"/>
          <w:szCs w:val="16"/>
        </w:rPr>
        <w:softHyphen/>
        <w:t>нии под углами 30-70 градусов, после вира</w:t>
      </w:r>
      <w:r w:rsidRPr="008A2E5A">
        <w:rPr>
          <w:rFonts w:ascii="Times New Roman" w:hAnsi="Times New Roman"/>
          <w:color w:val="0070C0"/>
          <w:sz w:val="16"/>
          <w:szCs w:val="16"/>
        </w:rPr>
        <w:softHyphen/>
        <w:t>жей и боевых разворотов, с кабрирования до 45 градусов, после горки с последующим пи</w:t>
      </w:r>
      <w:r w:rsidRPr="008A2E5A">
        <w:rPr>
          <w:rFonts w:ascii="Times New Roman" w:hAnsi="Times New Roman"/>
          <w:color w:val="0070C0"/>
          <w:sz w:val="16"/>
          <w:szCs w:val="16"/>
        </w:rPr>
        <w:softHyphen/>
        <w:t>кированием, а также одна стрельба в гори</w:t>
      </w:r>
      <w:r w:rsidRPr="008A2E5A">
        <w:rPr>
          <w:rFonts w:ascii="Times New Roman" w:hAnsi="Times New Roman"/>
          <w:color w:val="0070C0"/>
          <w:sz w:val="16"/>
          <w:szCs w:val="16"/>
        </w:rPr>
        <w:softHyphen/>
        <w:t>зонтальном полете на высоте 8000 метров. Поведение самолета на всех режимах и высо</w:t>
      </w:r>
      <w:r w:rsidRPr="008A2E5A">
        <w:rPr>
          <w:rFonts w:ascii="Times New Roman" w:hAnsi="Times New Roman"/>
          <w:color w:val="0070C0"/>
          <w:sz w:val="16"/>
          <w:szCs w:val="16"/>
        </w:rPr>
        <w:softHyphen/>
        <w:t>тах не отличалось от серийного ЛаГГ-3. При стрельбе летчик отмечал отдачу на самолет, что в некоторой степени затрудняло ведение прицельного огня, но, тем не менее, возмож</w:t>
      </w:r>
      <w:r w:rsidRPr="008A2E5A">
        <w:rPr>
          <w:rFonts w:ascii="Times New Roman" w:hAnsi="Times New Roman"/>
          <w:color w:val="0070C0"/>
          <w:sz w:val="16"/>
          <w:szCs w:val="16"/>
        </w:rPr>
        <w:softHyphen/>
        <w:t>ность прицельной стрельбы сохранялась как короткими, так и длинными очередями. Не совсем удачным оказалось расположение га</w:t>
      </w:r>
      <w:r w:rsidRPr="008A2E5A">
        <w:rPr>
          <w:rFonts w:ascii="Times New Roman" w:hAnsi="Times New Roman"/>
          <w:color w:val="0070C0"/>
          <w:sz w:val="16"/>
          <w:szCs w:val="16"/>
        </w:rPr>
        <w:softHyphen/>
        <w:t>шеток. Пожарная перегородка была недоста</w:t>
      </w:r>
      <w:r w:rsidRPr="008A2E5A">
        <w:rPr>
          <w:rFonts w:ascii="Times New Roman" w:hAnsi="Times New Roman"/>
          <w:color w:val="0070C0"/>
          <w:sz w:val="16"/>
          <w:szCs w:val="16"/>
        </w:rPr>
        <w:softHyphen/>
        <w:t>точно герметична и при стрельбе пороховые газы проникали в кабину.</w:t>
      </w:r>
    </w:p>
    <w:p w14:paraId="57917348"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Автоматика пушки за весь период испыта</w:t>
      </w:r>
      <w:r w:rsidRPr="008A2E5A">
        <w:rPr>
          <w:rFonts w:ascii="Times New Roman" w:hAnsi="Times New Roman"/>
          <w:color w:val="0070C0"/>
          <w:sz w:val="16"/>
          <w:szCs w:val="16"/>
        </w:rPr>
        <w:softHyphen/>
        <w:t>ний работала безотказно, по ее вине задер</w:t>
      </w:r>
      <w:r w:rsidRPr="008A2E5A">
        <w:rPr>
          <w:rFonts w:ascii="Times New Roman" w:hAnsi="Times New Roman"/>
          <w:color w:val="0070C0"/>
          <w:sz w:val="16"/>
          <w:szCs w:val="16"/>
        </w:rPr>
        <w:softHyphen/>
        <w:t>жек не было вообще. Всего же на земле и в воздухе произошло 20 задержек. Однократ</w:t>
      </w:r>
      <w:r w:rsidRPr="008A2E5A">
        <w:rPr>
          <w:rFonts w:ascii="Times New Roman" w:hAnsi="Times New Roman"/>
          <w:color w:val="0070C0"/>
          <w:sz w:val="16"/>
          <w:szCs w:val="16"/>
        </w:rPr>
        <w:softHyphen/>
        <w:t>ные - по причине поломок шплинта и шпиль</w:t>
      </w:r>
      <w:r w:rsidRPr="008A2E5A">
        <w:rPr>
          <w:rFonts w:ascii="Times New Roman" w:hAnsi="Times New Roman"/>
          <w:color w:val="0070C0"/>
          <w:sz w:val="16"/>
          <w:szCs w:val="16"/>
        </w:rPr>
        <w:softHyphen/>
        <w:t>ки, блокировки тракта боепитания, отказа электроспуска и утыкания патрона. Причи</w:t>
      </w:r>
      <w:r w:rsidRPr="008A2E5A">
        <w:rPr>
          <w:rFonts w:ascii="Times New Roman" w:hAnsi="Times New Roman"/>
          <w:color w:val="0070C0"/>
          <w:sz w:val="16"/>
          <w:szCs w:val="16"/>
        </w:rPr>
        <w:softHyphen/>
        <w:t>ной четырех задержек стали ошибки в экс</w:t>
      </w:r>
      <w:r w:rsidRPr="008A2E5A">
        <w:rPr>
          <w:rFonts w:ascii="Times New Roman" w:hAnsi="Times New Roman"/>
          <w:color w:val="0070C0"/>
          <w:sz w:val="16"/>
          <w:szCs w:val="16"/>
        </w:rPr>
        <w:softHyphen/>
        <w:t>плуатации артсистемы персоналом. Настоя</w:t>
      </w:r>
      <w:r w:rsidRPr="008A2E5A">
        <w:rPr>
          <w:rFonts w:ascii="Times New Roman" w:hAnsi="Times New Roman"/>
          <w:color w:val="0070C0"/>
          <w:sz w:val="16"/>
          <w:szCs w:val="16"/>
        </w:rPr>
        <w:softHyphen/>
        <w:t>щим «слабым звеном» оказались звенья рассыпной патронной ленты. Они явно требова</w:t>
      </w:r>
      <w:r w:rsidRPr="008A2E5A">
        <w:rPr>
          <w:rFonts w:ascii="Times New Roman" w:hAnsi="Times New Roman"/>
          <w:color w:val="0070C0"/>
          <w:sz w:val="16"/>
          <w:szCs w:val="16"/>
        </w:rPr>
        <w:softHyphen/>
        <w:t>ли доработки, поскольку стали причиной 11 задержек.</w:t>
      </w:r>
    </w:p>
    <w:p w14:paraId="02008034"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продемонстрированные ору</w:t>
      </w:r>
      <w:r w:rsidRPr="008A2E5A">
        <w:rPr>
          <w:rFonts w:ascii="Times New Roman" w:hAnsi="Times New Roman"/>
          <w:color w:val="0070C0"/>
          <w:sz w:val="16"/>
          <w:szCs w:val="16"/>
        </w:rPr>
        <w:softHyphen/>
        <w:t>дием 11-П, говорили сами за себя. При при</w:t>
      </w:r>
      <w:r w:rsidRPr="008A2E5A">
        <w:rPr>
          <w:rFonts w:ascii="Times New Roman" w:hAnsi="Times New Roman"/>
          <w:color w:val="0070C0"/>
          <w:sz w:val="16"/>
          <w:szCs w:val="16"/>
        </w:rPr>
        <w:softHyphen/>
        <w:t>мерно равных начальных скоростях и весе снаряда, орудие весило на 27 кг меньше пушки Шпитального, было короче на 21 сан</w:t>
      </w:r>
      <w:r w:rsidRPr="008A2E5A">
        <w:rPr>
          <w:rFonts w:ascii="Times New Roman" w:hAnsi="Times New Roman"/>
          <w:color w:val="0070C0"/>
          <w:sz w:val="16"/>
          <w:szCs w:val="16"/>
        </w:rPr>
        <w:softHyphen/>
        <w:t>тиметр, имело скорострельность выше на 76 выстрелов в минуту и почти вдвое больший боекомплект - 36 снарядов против 20. Выво</w:t>
      </w:r>
      <w:r w:rsidRPr="008A2E5A">
        <w:rPr>
          <w:rFonts w:ascii="Times New Roman" w:hAnsi="Times New Roman"/>
          <w:color w:val="0070C0"/>
          <w:sz w:val="16"/>
          <w:szCs w:val="16"/>
        </w:rPr>
        <w:softHyphen/>
        <w:t>ды специалистов НИПАВ были очевидны: «По своим основным данным пушка ОКБ-16 наиболее близко подходит к удовлетворе</w:t>
      </w:r>
      <w:r w:rsidRPr="008A2E5A">
        <w:rPr>
          <w:rFonts w:ascii="Times New Roman" w:hAnsi="Times New Roman"/>
          <w:color w:val="0070C0"/>
          <w:sz w:val="16"/>
          <w:szCs w:val="16"/>
        </w:rPr>
        <w:softHyphen/>
        <w:t>нию требований СНК СССР». В заключении к отчету по испытаниям было сказано: «Предъ</w:t>
      </w:r>
      <w:r w:rsidRPr="008A2E5A">
        <w:rPr>
          <w:rFonts w:ascii="Times New Roman" w:hAnsi="Times New Roman"/>
          <w:color w:val="0070C0"/>
          <w:sz w:val="16"/>
          <w:szCs w:val="16"/>
        </w:rPr>
        <w:softHyphen/>
        <w:t>явленная на полигонные испытания авто</w:t>
      </w:r>
      <w:r w:rsidRPr="008A2E5A">
        <w:rPr>
          <w:rFonts w:ascii="Times New Roman" w:hAnsi="Times New Roman"/>
          <w:color w:val="0070C0"/>
          <w:sz w:val="16"/>
          <w:szCs w:val="16"/>
        </w:rPr>
        <w:softHyphen/>
        <w:t>матическая авиационная 37-мм пушка ОКБ- 16 НКВ «11-П» (ведущие конструктора - А.Э. Нудельман и А.С. Суранов), установлен</w:t>
      </w:r>
      <w:r w:rsidRPr="008A2E5A">
        <w:rPr>
          <w:rFonts w:ascii="Times New Roman" w:hAnsi="Times New Roman"/>
          <w:color w:val="0070C0"/>
          <w:sz w:val="16"/>
          <w:szCs w:val="16"/>
        </w:rPr>
        <w:softHyphen/>
        <w:t>ная в развале мотора М-105П самолета ЛаГГ-3 завода № 21 ПОЛИГОННЫЕ ИСПЫТА</w:t>
      </w:r>
      <w:r w:rsidRPr="008A2E5A">
        <w:rPr>
          <w:rFonts w:ascii="Times New Roman" w:hAnsi="Times New Roman"/>
          <w:color w:val="0070C0"/>
          <w:sz w:val="16"/>
          <w:szCs w:val="16"/>
        </w:rPr>
        <w:softHyphen/>
        <w:t>НИЯ ВЫДЕРЖАЛА и может быть рекомендо</w:t>
      </w:r>
      <w:r w:rsidRPr="008A2E5A">
        <w:rPr>
          <w:rFonts w:ascii="Times New Roman" w:hAnsi="Times New Roman"/>
          <w:color w:val="0070C0"/>
          <w:sz w:val="16"/>
          <w:szCs w:val="16"/>
        </w:rPr>
        <w:softHyphen/>
        <w:t>вана... для проведения войсковых испыта</w:t>
      </w:r>
      <w:r w:rsidRPr="008A2E5A">
        <w:rPr>
          <w:rFonts w:ascii="Times New Roman" w:hAnsi="Times New Roman"/>
          <w:color w:val="0070C0"/>
          <w:sz w:val="16"/>
          <w:szCs w:val="16"/>
        </w:rPr>
        <w:softHyphen/>
        <w:t>ний» (23480).</w:t>
      </w:r>
    </w:p>
    <w:p w14:paraId="684305B5" w14:textId="77777777" w:rsidR="00F71F22" w:rsidRPr="008A2E5A" w:rsidRDefault="00F71F22" w:rsidP="00F71F22">
      <w:pPr>
        <w:spacing w:after="0" w:line="240" w:lineRule="auto"/>
        <w:jc w:val="both"/>
        <w:rPr>
          <w:rFonts w:ascii="Times New Roman" w:hAnsi="Times New Roman"/>
          <w:color w:val="0070C0"/>
          <w:sz w:val="16"/>
          <w:szCs w:val="16"/>
        </w:rPr>
      </w:pPr>
    </w:p>
    <w:p w14:paraId="270462F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марта 1942 г. при</w:t>
      </w:r>
      <w:r w:rsidRPr="008A2E5A">
        <w:rPr>
          <w:rFonts w:ascii="Times New Roman" w:hAnsi="Times New Roman"/>
          <w:color w:val="0070C0"/>
          <w:sz w:val="16"/>
          <w:szCs w:val="16"/>
        </w:rPr>
        <w:softHyphen/>
        <w:t>няли решение ставить на самолеты Харрикей пу</w:t>
      </w:r>
      <w:r w:rsidRPr="008A2E5A">
        <w:rPr>
          <w:rFonts w:ascii="Times New Roman" w:hAnsi="Times New Roman"/>
          <w:color w:val="0070C0"/>
          <w:sz w:val="16"/>
          <w:szCs w:val="16"/>
        </w:rPr>
        <w:softHyphen/>
        <w:t>леметы УБТ (турельного варианта). Они имелись в достаточном количестве, а кро</w:t>
      </w:r>
      <w:r w:rsidRPr="008A2E5A">
        <w:rPr>
          <w:rFonts w:ascii="Times New Roman" w:hAnsi="Times New Roman"/>
          <w:color w:val="0070C0"/>
          <w:sz w:val="16"/>
          <w:szCs w:val="16"/>
        </w:rPr>
        <w:softHyphen/>
        <w:t>ме того, механизм перезаряжания у них лучше подходил к «Харрикейну» по по</w:t>
      </w:r>
      <w:r w:rsidRPr="008A2E5A">
        <w:rPr>
          <w:rFonts w:ascii="Times New Roman" w:hAnsi="Times New Roman"/>
          <w:color w:val="0070C0"/>
          <w:sz w:val="16"/>
          <w:szCs w:val="16"/>
        </w:rPr>
        <w:softHyphen/>
        <w:t>требным усилиям. Пришлось переделать схему питания патронами и гильзоотвод.</w:t>
      </w:r>
    </w:p>
    <w:p w14:paraId="6E551C4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и УБТ на заводском складе завода № 81 отсут</w:t>
      </w:r>
      <w:r w:rsidRPr="008A2E5A">
        <w:rPr>
          <w:rFonts w:ascii="Times New Roman" w:hAnsi="Times New Roman"/>
          <w:color w:val="0070C0"/>
          <w:sz w:val="16"/>
          <w:szCs w:val="16"/>
        </w:rPr>
        <w:softHyphen/>
        <w:t>ствовали. Зато там лежала партия пушек ШВАК. Воспользовавшись чертежами ранее отвергнутого, но более доведенно</w:t>
      </w:r>
      <w:r w:rsidRPr="008A2E5A">
        <w:rPr>
          <w:rFonts w:ascii="Times New Roman" w:hAnsi="Times New Roman"/>
          <w:color w:val="0070C0"/>
          <w:sz w:val="16"/>
          <w:szCs w:val="16"/>
        </w:rPr>
        <w:softHyphen/>
        <w:t>го варианта, первые машины выпустили из цеха с комплектом из четырех пушек. Все эти неполадки задержали выполнение программы: к 18 апреля сдали всего 32 го</w:t>
      </w:r>
      <w:r w:rsidRPr="008A2E5A">
        <w:rPr>
          <w:rFonts w:ascii="Times New Roman" w:hAnsi="Times New Roman"/>
          <w:color w:val="0070C0"/>
          <w:sz w:val="16"/>
          <w:szCs w:val="16"/>
        </w:rPr>
        <w:softHyphen/>
        <w:t>товых истребителя, хотя довели темп до семи машин в день (23513).</w:t>
      </w:r>
    </w:p>
    <w:p w14:paraId="522BCB3B" w14:textId="77777777" w:rsidR="00F71F22" w:rsidRPr="008A2E5A" w:rsidRDefault="00F71F22" w:rsidP="00F71F22">
      <w:pPr>
        <w:spacing w:after="0" w:line="240" w:lineRule="auto"/>
        <w:jc w:val="both"/>
        <w:rPr>
          <w:rFonts w:ascii="Times New Roman" w:hAnsi="Times New Roman"/>
          <w:color w:val="0070C0"/>
          <w:sz w:val="16"/>
          <w:szCs w:val="16"/>
        </w:rPr>
      </w:pPr>
    </w:p>
    <w:p w14:paraId="200540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Зам. Нач. 7 ГУ Алексеев подготовил для А.И.Ш. справку по итальянскому истребителю Макки С.200 (1684,67).</w:t>
      </w:r>
    </w:p>
    <w:p w14:paraId="047F8D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DF42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12 марта 1942 года приказом по Наркомату авиационной промышленности Казанскими авиазаводами № 16 и № 22 предписывалось использовать на серийном производстве военных самолетов реактивные двигатели Глушко. Замеры показали, что включение установки РД-1 сокращает длину разбега самолета более чем на 70 метров. </w:t>
      </w:r>
    </w:p>
    <w:p w14:paraId="113CBAF0"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Были достигнуты существенные успехи при испытании бомбардировщика Пе-2РД, который помимо двух поршневых двигателей ВК-105РАв 1100 л. с. был оснащен жидкостно-реактивным двигателем РД-1 с тягой в 300 кг. </w:t>
      </w:r>
    </w:p>
    <w:p w14:paraId="61DC4E3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Выполняя свои работы в Казанской шарашке ОКБ-16, Валентин Глушко увлек своими идеями лучших специалистов из Тушинской шарашки ОТБ-82 по созданию реактивных двигателей ЖРД-1 (12129).</w:t>
      </w:r>
    </w:p>
    <w:p w14:paraId="5BB0B92B"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25BC7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года на основании приказа НКАП № 192с от ЦИАМ к концу 1943 года полностью был реэвакуирован в Москву (9431).</w:t>
      </w:r>
    </w:p>
    <w:p w14:paraId="4ABE8A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F17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 приказом НКАП № 192с в соответствии с постановлением ГКО № 1405с от 7.03.1942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(10776).</w:t>
      </w:r>
    </w:p>
    <w:p w14:paraId="45D21E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8B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 приказом НКАП № 192с в соответствии с пост. ГКО № 1405с от 7.03.1942 г. завод № 41 (Завод № 41 НКАП, МАП, МОП, Московский машиностроительный завод (ММЗ), НПО, ММПО «Авангард», ГП, ОАО «ММЗ «Авангард» / г. Москва ул. Авиамоторная, 2 (1942 г.); Старопетровский пр., 41 (1947 г.)/ /125130  г. Москва ул. Клары Цеткин, 33 тел. 450-97-55/)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возле ст. Братцево Московской окружной ж/д).</w:t>
      </w:r>
    </w:p>
    <w:p w14:paraId="030DAD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3EC068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7663CA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146с от 26.02.1944 г. </w:t>
      </w:r>
      <w:proofErr w:type="gramStart"/>
      <w:r w:rsidRPr="008127F8">
        <w:rPr>
          <w:rFonts w:ascii="Times New Roman" w:hAnsi="Times New Roman"/>
          <w:color w:val="000000" w:themeColor="text1"/>
          <w:sz w:val="16"/>
          <w:szCs w:val="16"/>
        </w:rPr>
        <w:t>из  г.</w:t>
      </w:r>
      <w:proofErr w:type="gramEnd"/>
      <w:r w:rsidRPr="008127F8">
        <w:rPr>
          <w:rFonts w:ascii="Times New Roman" w:hAnsi="Times New Roman"/>
          <w:color w:val="000000" w:themeColor="text1"/>
          <w:sz w:val="16"/>
          <w:szCs w:val="16"/>
        </w:rPr>
        <w:t xml:space="preserve"> Андижана на завод № 41 переведено ОКБ завода № 154 НКАП.</w:t>
      </w:r>
    </w:p>
    <w:p w14:paraId="6D6CFD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08.1946п на заводе № 500 МАП сформировано ОКБ гл. конструктора С.С. Баландина.</w:t>
      </w:r>
    </w:p>
    <w:p w14:paraId="0932E2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ЗГУ в 8ГУ. В связи с этим производство моторов М-11 передали на завод № 154 МАП. С 1.07.1948 г. завод передан из 8ГУ в 4ГУ, с 1.07.1949 г.- во 2ГУ МАП. Началась подготовка к производству стрелково-пушечного вооружения для Ту-4.</w:t>
      </w:r>
    </w:p>
    <w:p w14:paraId="002C4D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Двигателестроительный завод № 41 МАП с 31.12.1952 г. переведен на новую тематику - ракетостроение (как серийный завод), началась подготовка к выпуску ЗУР В-300.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3E9384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w:t>
      </w:r>
    </w:p>
    <w:p w14:paraId="3C4341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7B3AF4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ГСН для ККР «Дракон» П-15.</w:t>
      </w:r>
      <w:r w:rsidRPr="008127F8">
        <w:rPr>
          <w:rFonts w:ascii="Times New Roman" w:hAnsi="Times New Roman"/>
          <w:color w:val="000000" w:themeColor="text1"/>
          <w:sz w:val="16"/>
          <w:szCs w:val="16"/>
          <w:vertAlign w:val="superscript"/>
        </w:rPr>
        <w:t>58</w:t>
      </w:r>
    </w:p>
    <w:p w14:paraId="1FB9C8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началась подготовка к производству противоракет А-350Ж, с 1980 г.- к производству А-925.</w:t>
      </w:r>
    </w:p>
    <w:p w14:paraId="355DAE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1963 г.- ММЗ «Авангард, затем- НПО «Авангард». В состав НПО «Авангард» входили филиал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Гомеле и филиал в  г. Торжке (Торжокский завод металлоизделий).</w:t>
      </w:r>
    </w:p>
    <w:p w14:paraId="6604B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на заводе действовал филиал ОКБ-2 (МКБ «Факел»),</w:t>
      </w:r>
    </w:p>
    <w:p w14:paraId="5CEFED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01.1967 г. на базе ОГК создано ОКБ завода «Авангард».</w:t>
      </w:r>
    </w:p>
    <w:p w14:paraId="7B7A2D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разработана конструкция ТПК 81Р6 для противоракеты А-925, спроектировано и изготовлено технологическое оснащение для производства стеклопластиковых ТПК.</w:t>
      </w:r>
    </w:p>
    <w:p w14:paraId="192776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10.2002 г. предприятие акционировано и преобразовано в ОАО «ММЗ «Авангард». ММЗ «Авангард» входил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19EB7D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авиационные импульсные механизмы; оборудование для АПК и текстильной промышленности.</w:t>
      </w:r>
      <w:r w:rsidRPr="008127F8">
        <w:rPr>
          <w:rFonts w:ascii="Times New Roman" w:hAnsi="Times New Roman"/>
          <w:color w:val="000000" w:themeColor="text1"/>
          <w:sz w:val="16"/>
          <w:szCs w:val="16"/>
          <w:vertAlign w:val="superscript"/>
        </w:rPr>
        <w:t>69</w:t>
      </w:r>
    </w:p>
    <w:p w14:paraId="7A2DC8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Гендиректор (1975-2000 г.)- В.П. Пасько, (2000-03 г.)- Л.А. Брюханов, (05.2003-05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Кожин.</w:t>
      </w:r>
    </w:p>
    <w:p w14:paraId="497BE1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М.Л. Кононенко, (1946 г.)- Размат, (1953-69 г.)- А.В. Малютин, (1980-е)- Р.Х. Каримов.</w:t>
      </w:r>
    </w:p>
    <w:p w14:paraId="308673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(1944-46 г.)- Е.В. Урмин, (1948-49 г.)- В.В. Уваров, (2004 г.)- Н.Н. Ермолов.</w:t>
      </w:r>
    </w:p>
    <w:p w14:paraId="311BB8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А.И. Березин.</w:t>
      </w:r>
    </w:p>
    <w:p w14:paraId="0F8A83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(1980-е-2004 г.-)- М.М. Яковлев.</w:t>
      </w:r>
    </w:p>
    <w:p w14:paraId="4FF3D2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(1980-е)- Н.И. Якунченков, (1980-е)- Н.Н. Ермолов.</w:t>
      </w:r>
    </w:p>
    <w:p w14:paraId="57CFC8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кузнечно-литейного- Я.И. Гаврилов; (1960-е)- В.В. Игнатов.</w:t>
      </w:r>
    </w:p>
    <w:p w14:paraId="595EB6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агрегатного (1960-е)- Л.П. Афонин.</w:t>
      </w:r>
    </w:p>
    <w:p w14:paraId="217ED6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пластмасс- П.В. Гулянский; КИС (1960-е)- М.М. Яковлев.</w:t>
      </w:r>
    </w:p>
    <w:p w14:paraId="19E4A4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(1960-е)- Е.Я. Ааронов.</w:t>
      </w:r>
    </w:p>
    <w:p w14:paraId="73766F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технологического (-1948 г.)- Я.И. Гаврилов.</w:t>
      </w:r>
    </w:p>
    <w:p w14:paraId="21A7EB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моторы М-11 (1942), М-11Д (1943-46), М-11ФН (1945-46);</w:t>
      </w:r>
    </w:p>
    <w:p w14:paraId="42103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ЗУР: В-300 («205», 1953-54), «207» (1954-56), МКР «Буря» (1956), В-755 («1Д», 1956-58), В-750ВН (1958-61). В-755 (I960-), «20Д», ЗУР 500Р, 5В55 для С-300П (1970-е), 48Н6 для С-300ПМ; противоракеты: А-350Ж для А- 35 (5В61, 1973-), А-350Р (5В61Р, -1983), А-925 (5</w:t>
      </w:r>
      <w:r w:rsidRPr="008127F8">
        <w:rPr>
          <w:rFonts w:ascii="Times New Roman" w:hAnsi="Times New Roman"/>
          <w:color w:val="000000" w:themeColor="text1"/>
          <w:sz w:val="16"/>
          <w:szCs w:val="16"/>
          <w:lang w:val="en-US"/>
        </w:rPr>
        <w:t>IT</w:t>
      </w:r>
      <w:r w:rsidRPr="008127F8">
        <w:rPr>
          <w:rFonts w:ascii="Times New Roman" w:hAnsi="Times New Roman"/>
          <w:color w:val="000000" w:themeColor="text1"/>
          <w:sz w:val="16"/>
          <w:szCs w:val="16"/>
        </w:rPr>
        <w:t>6, 1980-), 53Т6 для А-135 (1990-92); стартовый ускоритель СУМ (опытный, 1950-е); мишени «Синица», «Коршун», «Бекас»;</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ТПК 81Р6 для А-925 (1980-е) (11982).</w:t>
      </w:r>
    </w:p>
    <w:p w14:paraId="03D4E760" w14:textId="77777777" w:rsidR="00165913" w:rsidRPr="008127F8" w:rsidRDefault="0016591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BD04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 приказом НКАП № 191с в соответствии с пост. ГКО № 1404с от 7.03.1942 г. завод № 291 НКАП со всем оборудованием и кадрами переведен из Уфы в Москву и влит в состав завода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(11982).</w:t>
      </w:r>
    </w:p>
    <w:p w14:paraId="036DE5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715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г. приказом № 191с в соответствии с пост. ГКО № 1404с от 7.03.1942 г. завод № 291 НКАП со всем оборудованием и кадрами переведен из Уфы в Москву и влит в состав завода № 45 НКАП.</w:t>
      </w:r>
    </w:p>
    <w:p w14:paraId="6CD0FB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площадке эвакуированного завода планировалось начать разделку самолетов и моторов. Однако по приказу № 487с от 3.07.1942 г. здания и сооружения бывшего завода № 291 НКАП в Тушино были переданы заводу № 453 НКАП.</w:t>
      </w:r>
    </w:p>
    <w:p w14:paraId="285452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(-05.1940; 03.1942 г.)- Л.Б. Евангулов, (05.1940 г.- С.В. Михайлов.</w:t>
      </w:r>
    </w:p>
    <w:p w14:paraId="45E053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ОКБ-291 НКАП /г. Москва/</w:t>
      </w:r>
    </w:p>
    <w:p w14:paraId="49E0B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Спецоборудование. Эвакуировано в 1941 г. в Уфу (11982).</w:t>
      </w:r>
    </w:p>
    <w:p w14:paraId="4BF38C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428E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марта</w:t>
      </w:r>
      <w:r w:rsidRPr="008127F8">
        <w:rPr>
          <w:rFonts w:ascii="Times New Roman" w:hAnsi="Times New Roman"/>
          <w:color w:val="000000" w:themeColor="text1"/>
          <w:sz w:val="16"/>
          <w:szCs w:val="16"/>
        </w:rPr>
        <w:t xml:space="preserve"> в 1942 году выпущена первая продукция на Каменск-Уральском заводе № 286 Наркомата министерства авиационной промышленности. С 1994 г. - ОАО "Каменск-Уральский литейный завод" ("КУЛЗ", Свердловская область) - одно из передовых предприятий Росавиакосмоса</w:t>
      </w:r>
    </w:p>
    <w:p w14:paraId="0CB302DD"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4A8187F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648F0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0278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вышло Постановление ГКО № 1426 Об уполномоченных ГКО на заводах, изготовляющих боеприпасы. (7025, 59-61).</w:t>
      </w:r>
    </w:p>
    <w:p w14:paraId="2D6A541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1BBA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марта 1942 г. Постановление ГКО СССР № 1427с «О введении должности заместителя наркома по боеприпасам в некоторых наркоматах, а также должности заместителя директора по производству элементов боеприпасов на ряде заводов, не входящих в систему Наркомата боеприпасов»</w:t>
      </w:r>
    </w:p>
    <w:p w14:paraId="43F9138B"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Секретно</w:t>
      </w:r>
    </w:p>
    <w:p w14:paraId="456F8A78"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отмечает, что целый ряд предприятий систематически срывает выполнение заданий ГОКО по производству элементов боеприпасов. Директора предприятий не уделяют повседневного внимания цехам, производящим боеприпасы. Наркоматы не всегда оказывают этим предприятиям своевременную помощь в снабжении сырьем, топливом и инструментом, полагая, что заказы по боеприпасам являются второстепенным заданием и что работу наркомата и предприятий можно оценивать без учета выполнения заданий по производству боеприпасов.</w:t>
      </w:r>
    </w:p>
    <w:p w14:paraId="632008A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ликвидации отставания производства боеприпасов, улучшения руководства и усиления помощи предприятиям, производящим боеприпасы, Государственный комитет обороны постановляет:</w:t>
      </w:r>
    </w:p>
    <w:p w14:paraId="5EF9514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Возложить ответственность за выполнение заданий ГОКО по производству боеприпасов на следующих заместителей наркомов, с освобождением их в основном от других обязанностей: НКМВ — на заместителя наркома т. Андреева, Наркомтяжмаш — на заместителя наркома т. Юшина, Наркомсредмаш — на заместителя наркома т. Кучумова, НКСС — на заместителя наркома т. Фомина, НКТП — на заместителя наркома т. Попова, НКВ — на заместителя наркома т. Сергеева, Наркомнефть — на заместителя наркома т. Акишина, Наркомуголь —- на заместителя наркома т. Горшкова, НКСП — на заместителя наркома т. Каплуна, Наркомцветмет — на заместителя наркома т. Орловского, Наркомтекстильпром — на заместителя наркома т. Чеснокова, Наркомстройматериалов — на заместителя наркома т. Горидько, Наркомместпром РСФСР — на заместителя наркома т. Непомнящего, НКПС — на заместителя наркома т. Архангельского, Наркомлес — на заместителя наркома т. Меньшикова, Наркомречфлот — на заместителя наркома т. Рахманина, Наркомчермет — на заместителя наркома т. Меркулова.</w:t>
      </w:r>
    </w:p>
    <w:p w14:paraId="1DAEE8E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Ввести на предприятиях, не входящих в систему НКБ (по прилагаемому списку), имеющих значительные задания по изготовлению элементов боеприпасов, должность заместителя директора завода по боеприпасам. Возложить на заместителей директоров по производству боеприпасов ответственность за повседневное руковолство цехами, производящими боеприпасы, за выполнение планов производства и сдачи боеприпасов.</w:t>
      </w:r>
    </w:p>
    <w:p w14:paraId="5A28D76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народных комиссаров и руководителей центральных учреждений, выполняющих заказы по производству боеприпасов, в пятидневный срок подобрать и утвердить заместителей директоров по боеприпасам на предприятиях по списку, уставновленному настоящим постановлением.</w:t>
      </w:r>
    </w:p>
    <w:p w14:paraId="6BDC783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что выделение заместителей наркомов и введение должности замстителя директора предприятия по боеприпасам не снимает с наркомов и директоров предприй ответственности за выполнение заданий по боеприпасам.</w:t>
      </w:r>
    </w:p>
    <w:p w14:paraId="03FBA74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Первым секретарям ЦК компартии, крайкомов и обкомов ВКП(б) системаески следить за работой предприятий, производящих боеприпасы, оказывать им седневную помощь в деле снабжения и обеспечения их кадрами, рабочей силой и в частности — принять непосредственное участие в подборе замдиректоров предятий по боеприпасам.</w:t>
      </w:r>
    </w:p>
    <w:p w14:paraId="684C059C"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478016D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24. Л. 62-64. Подлинник (24081).</w:t>
      </w:r>
    </w:p>
    <w:p w14:paraId="17F87EBC" w14:textId="77777777" w:rsidR="00F71F22" w:rsidRPr="008A2E5A" w:rsidRDefault="00F71F22" w:rsidP="00F71F22">
      <w:pPr>
        <w:spacing w:after="0" w:line="240" w:lineRule="auto"/>
        <w:jc w:val="both"/>
        <w:rPr>
          <w:rFonts w:ascii="Times New Roman" w:hAnsi="Times New Roman"/>
          <w:color w:val="0070C0"/>
          <w:sz w:val="16"/>
          <w:szCs w:val="16"/>
        </w:rPr>
      </w:pPr>
    </w:p>
    <w:p w14:paraId="6327F6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вышло Постановление ГКО № 1427 О введении должности заместителя наркома по боеприпасам в некоторых наркоматах, а также должности заместителя директора по производству элементов боеприпасов на ряде заводов, не входящих в систему НКБ. РГАНИР, Фонд ГКО, д. 24, лл. 62-64, 65-67 (11012).</w:t>
      </w:r>
    </w:p>
    <w:p w14:paraId="0F1838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4D66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вышло Распоряжение ГКО № 1428 О поставке НКВД дров для железных дорог. (7025, 68).</w:t>
      </w:r>
    </w:p>
    <w:p w14:paraId="19125E5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96A5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вышло Постановление ГКО № 1429 [О назначении Белевича С.Г. уполномоченным ГКО по дровозаготовкам по Мордовской АССР.] (7025, 69).</w:t>
      </w:r>
    </w:p>
    <w:p w14:paraId="14329EA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FCFB9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вышло Постановление ГКО № 1430 О мероприятиях по расширению импортно-экспортных операций в Архангельском порту. (7025, 70-74,75-82).</w:t>
      </w:r>
    </w:p>
    <w:p w14:paraId="284C3C3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AF406F" w14:textId="77777777" w:rsidR="0016591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147A11D" w14:textId="77777777" w:rsidR="00165913" w:rsidRPr="008127F8" w:rsidRDefault="0016591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FCB79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марта</w:t>
      </w:r>
      <w:r w:rsidRPr="008127F8">
        <w:rPr>
          <w:rFonts w:ascii="Times New Roman" w:hAnsi="Times New Roman"/>
          <w:color w:val="000000" w:themeColor="text1"/>
          <w:sz w:val="16"/>
          <w:szCs w:val="16"/>
        </w:rPr>
        <w:t xml:space="preserve"> в 1942 году утреннее сообщение Совинформбюро:</w:t>
      </w:r>
    </w:p>
    <w:p w14:paraId="511CF95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12 марта на некоторых участках фронта советские войска вели наступательные бои против немецко-фашистских войск.</w:t>
      </w:r>
    </w:p>
    <w:p w14:paraId="5F959F3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за один день упорных боёв с противником уничтожила 4 немецких орудия, 5 пулемётов, 5 миномётов, 12 повозок с военным грузом и захватила 3 орудия, 7 миномётов, 8 пулемётов, 25 автоматов и много боеприпасов. Противник потерял убитыми 450 солдат и офицеров.</w:t>
      </w:r>
    </w:p>
    <w:p w14:paraId="0A0A1EC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наши части с боями продвигаются вперёд и за два дня заняли пять населённых пунктов. На полях сражений враг оставил не менее 400 трупов солдат и офицеров. Захвачены трофеи: 11 орудий, 2 миномёта, пулемёты, автоматы и винтовки. На другом участке наши бойцы разгромили 457 полк 257 немецкой пехотной дивизии, взяли пленных и много трофеев.</w:t>
      </w:r>
    </w:p>
    <w:p w14:paraId="414BA6A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Юго-Западного фронта, за один день боёв заняла 4 населённых пункта и нанесла противнику большой урон в живой силе и технике. В бою отличилось подразделение лейтенанта Болдинова. Отразив несколько ожесточённых контратак врага, оно первым ворвалось в сильно укрепленный пункт противника и в уличной схватке уничтожило более 50 немцев.</w:t>
      </w:r>
    </w:p>
    <w:p w14:paraId="0E459097"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Черноморского флота за последние дни совершили несколько налётов на вражеские аэродромы. В результате прямых попаданий бомб уничтожено 18 немецких самолётов и, кроме того, 10 самолётам противника нанесены серьёзные повреждения.</w:t>
      </w:r>
    </w:p>
    <w:p w14:paraId="1DC8B99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боя на одном из участков Южного фронта был ранен командир взвода. Взяв на себя командование, красноармеец Бузаев во главе взвода ворвался в населённый пункт и рассеял превосходящие силы противника. Тов. Бузаев в этом бою лично уничтожил 5 немецких автоматчиков.</w:t>
      </w:r>
    </w:p>
    <w:p w14:paraId="38857DD3"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168 артполка Вилли Каменс рассказал: «За последние два месяца наша дивизия потеряла до 70 процентов личного состава. В стрелковых ротах осталось в среднем по 50 человек. Пулеметов и миномётов осталось не больше половины. Сильно пострадал и артиллерийский полк. Большинство артиллерийских лошадей выбыло из строя. Командованию пришлось расформировать дивизион тяжёлых орудий. Солдаты изнеможенны. Уже много дней подряд они не имеют ни отдыха, ни сна. Их преследуют части Красной Армии, не прекращающие своих атак. Многие солдаты говорят: «Если нам не дадут смены, мы побежим, куда глаза глядят».</w:t>
      </w:r>
    </w:p>
    <w:p w14:paraId="7438CD8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Жена немецкого обер-ефрейтора Карла Витмера пишет мужу: «Здесь на предприятиях теперь вводят систему принудительных вкладов. Это называется «железные сбережения». Каждый должен еженедельно делать из своего заработка определённые отчисления. Вклады можно получить обратно только через год после окончания войны. Из своего заработка я ничего не могу отдавать. Какие я могу делать сбережения? Они с ума сошли».</w:t>
      </w:r>
    </w:p>
    <w:p w14:paraId="4232D2D9"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наших частей из села Киров, Сталинской области, гитлеровские бандиты сожгли и разрушили 168 домов, 4 школы, колхозный клуб, родильный дом, ветеринарную лечебницу и магазин. Немцы отняли у жителей села весь скот, домашние вещи, продукты. За время своего пребывания в Кирове немцы расстреляли и замучили десятки мирных граждан.» (15066).</w:t>
      </w:r>
    </w:p>
    <w:p w14:paraId="32CF97E3"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411E506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марта</w:t>
      </w:r>
      <w:r w:rsidRPr="008127F8">
        <w:rPr>
          <w:rFonts w:ascii="Times New Roman" w:hAnsi="Times New Roman"/>
          <w:color w:val="000000" w:themeColor="text1"/>
          <w:sz w:val="16"/>
          <w:szCs w:val="16"/>
        </w:rPr>
        <w:t xml:space="preserve"> в 1942 году вечернее сообщение Совинформбюро:</w:t>
      </w:r>
    </w:p>
    <w:p w14:paraId="42FFB98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марта наши войска, преодолевая сопротивление немецко-фашистских войск, продвинулись вперёд и на некоторых участках фронта заняли несколько населённых пунктов. Противник несёт большие потери в технике и живой силе.</w:t>
      </w:r>
    </w:p>
    <w:p w14:paraId="677DC47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марта уничтожено 8 немецких самолётов. Наши потери — 4 самолёта.</w:t>
      </w:r>
    </w:p>
    <w:p w14:paraId="5EE6E13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марта одна наша авиачасть уничтожила и повредила свыше 20 автомашин с войсками и грузами, несколько десятков повозок с боеприпасами, полевое орудие, разрушила 6 железнодорожных вагонов и уничтожила 2 взвода пехоты противника.</w:t>
      </w:r>
    </w:p>
    <w:p w14:paraId="5A5A1E71"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(Западный фронт) за 5 дней боёв с противником захватила 10 немецких танков, 26 орудий, 10 станковых и 3 ручных пулемёта, 3 крупнокалиберных пулемёта, 1 миномёт, 18.000 патронов, 11 ящиков гранат и другое военное имущество. Противник оставил на поле боя сотни трупов.</w:t>
      </w:r>
    </w:p>
    <w:p w14:paraId="4E4EC8B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занятых нашими войсками укреплённых пунктов (Северо-Западный фронт) обнаружено 80 свежих могил. В каждой из них зарыто до 30—40 немецких солдат и офицеров. Наши части, действующие на этом участке фронта, продолжают развивать наступление. Советские лётчики непрерывно штурмуют вражескую пехоту и ведут воздушные бои с самолётами противника. Только за один день нашей авиацией на этом участке сбито 9 вражеских самолётов.</w:t>
      </w:r>
    </w:p>
    <w:p w14:paraId="3F77E5E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наши бойцы овладели пунктом Г. Немцы отступили, оставив на поле боя 150 трупов своих солдат и офицеров. Среди захваченных трофеев — танк, 6 орудий, 22 пулемёта, 150 винтовок, 4 миномёта, 100 ящиков мин и 7 противотанковых ружей.</w:t>
      </w:r>
    </w:p>
    <w:p w14:paraId="75BAE62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Политрук взвода пешей разведки тов. Горбатов, заметив, что продвижению нашей пехоты мешает пулемёт противника, незаметно подкрался к нему и уничтожил немецких пулемётчиков. Из захваченного пулемёта тов. Горбатов открыл огонь по врагу. Потеряв до десятка солдат, немцы отступили. Путь для продвижения нашей пехоты был открыт.</w:t>
      </w:r>
    </w:p>
    <w:p w14:paraId="1E1CDC03"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Курской области, действующий под командованием тов. И., взорвал мост на дороге, по которой немцы перебрасывали к фронту свои танки. Гитлеровцы пытались переправлять танки по льду, но после того, как две машины провалились под лёд и затонули, начали спешно восстанавливать мост. Через три дня восстановленный мост вновь был разрушен партизанами.</w:t>
      </w:r>
    </w:p>
    <w:p w14:paraId="54311137"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сокращённые выписки из дневника фельдфебеля 5 роты 85 полка 1 румынской пехотной дивизии Росса, немца по национальности:</w:t>
      </w:r>
    </w:p>
    <w:p w14:paraId="796E58AC"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«26 января 1942 года. Говорят, что кругом очень много партизан. Недавно здесь укокошили 3 итальянцев.</w:t>
      </w:r>
    </w:p>
    <w:p w14:paraId="194CBBB1"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февраля. Вечером узнали, что наша рота отброшена назад. Старший лейтенант и два отделения попали к русским в плен. Дело повернулось иначе, чем я ожидал.</w:t>
      </w:r>
    </w:p>
    <w:p w14:paraId="2FC93CDC"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февраля. Мы штурмовали село, занятое русскими. Два раза мы откатывались назад с кровавыми потерями. Неприятель стрелял нас, как зайцев. Очень много убитых и раненых. Мой старший лейтенант ранен. Со всех сторон несутся стоны и плач. Люди потеряли рассудок.</w:t>
      </w:r>
    </w:p>
    <w:p w14:paraId="5630894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Из 44 человек в моём взводе осталось 28. В 6 часов вечера прибыл приказ: завтра генеральное наступление.</w:t>
      </w:r>
    </w:p>
    <w:p w14:paraId="1F1056D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февраля. В 13 часов началось наступление. Неприятельские миномёты открыли огонь. Среди нас сразу же появились раненые. Поминутно кто-то вскрикивает. Один офицер пытался заставить людей пойти вперёд, но всё напрасно. Паника охватила всех. Ничто больше не могло нас удержать. Все бежали назад.</w:t>
      </w:r>
    </w:p>
    <w:p w14:paraId="50DF75D4"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февраля. Вчерашний день ещё у всех перед глазами. В моём взводе два убитых, 8 раненых, 5 обмороженных, 4 в отлучке. Два солдата дезертировали».</w:t>
      </w:r>
    </w:p>
    <w:p w14:paraId="27B8210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Французские «добровольцы», завербованные в гитлеровскую армию, вызывают всеобщее презрение и насмешки. Даже немецкие обыватели издеваются над ними. В письме, адресованном немецкому солдату Гейнцу Бергеру, говорится: «В недельном обозрении в кино показывали французов, направлявшихся на Восточный фронт. Какое это комичное зрелище. С одной стороны, французские пленные даром работают на нас в поте лица, а с другой стороны, французы в форме немецких солдат. У меня нахватает в голове ума, чтобы понять это».</w:t>
      </w:r>
    </w:p>
    <w:p w14:paraId="5DD8E429"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64B5DD1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Северо-Западного фронта за период с 22 февраля по 10 марта 1942 года.</w:t>
      </w:r>
    </w:p>
    <w:p w14:paraId="2FEEF620"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22 февраля по 10 марта войсками Северо-Западного фронта захвачены у противника следующие трофеи: орудий — 157, танков — 20, минометов — 75, пулемётов — 329, противотанковых ружей — 26, винтовок — более 2.000, один самолет, автомашин — 617, мотоциклов и велосипедов — 354, радиостанций — 12, мин — более 5.000, снарядов — 6.000, гранат — 1.345, винтовочных патронов — около 1.500.000, несколько ящиков взрывчатки, один прожектор, парашютов— 109, лыж — 300 пар, тракторов-тягачей — 8, походных кухонь — 8, лошадей с повозками — 226, 300 железных бочек и 70 бидонов с бензином, один бензозаправщик, паровозов — 2, железнодорожных вагонов с военным снаряжением —14, 5 складов с разным военным имуществом и много другого военного имущества и снаряжения.</w:t>
      </w:r>
    </w:p>
    <w:p w14:paraId="7D64E364"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уничтожено: 91 немецкий самолёт (из них 60 трёхмоторных транспортных самолётов), 67 орудий, 27 миномётов, свыше 150 пулемётов, 14 танков, 17 железнодорожных вагонов с грузом, 169 автомашин, 78 повозок, 18 складов, в том числе склад горючего и 3 склада с боеприпасами.</w:t>
      </w:r>
    </w:p>
    <w:p w14:paraId="2274754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22 февраля по 10 марта немцы потеряли в районе Северо-Западного фронта убитыми не менее 14.000 солдат и офицеров.</w:t>
      </w:r>
    </w:p>
    <w:p w14:paraId="68C31740"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Освобождено от немецких оккупантов 84 населённых пункта.» (15066).</w:t>
      </w:r>
    </w:p>
    <w:p w14:paraId="1F5FEDE2"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3E35C5B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FEE52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A532B" w14:textId="77777777" w:rsidR="00DD4457" w:rsidRPr="008127F8" w:rsidRDefault="00DD44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12–13 марта (ночь) 1942 68 британских бомбардировщиков Vickers Wellington совершили налет на Киль, Германия, потеряв пять из своего числа (20793).</w:t>
      </w:r>
    </w:p>
    <w:p w14:paraId="2E859B13" w14:textId="77777777" w:rsidR="00DD4457" w:rsidRPr="008127F8" w:rsidRDefault="00DD4457" w:rsidP="001E0A84">
      <w:pPr>
        <w:spacing w:after="0" w:line="240" w:lineRule="auto"/>
        <w:jc w:val="both"/>
        <w:rPr>
          <w:rFonts w:ascii="Times New Roman" w:hAnsi="Times New Roman"/>
          <w:color w:val="000000" w:themeColor="text1"/>
          <w:sz w:val="16"/>
          <w:szCs w:val="16"/>
        </w:rPr>
      </w:pPr>
    </w:p>
    <w:p w14:paraId="64E47B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английский гарнизон эвакуировался с Адамановых островов (2261).</w:t>
      </w:r>
    </w:p>
    <w:p w14:paraId="2C6299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6A9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1942 завершился захват Японией Голландской Индии (3186).</w:t>
      </w:r>
    </w:p>
    <w:p w14:paraId="43822C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4A89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6255D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8DE7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года закончились госиспытания Ил-2 с М-82, которые проходили с 20 февраля. НИИ ВВС сделал вывод, что полученные резуль</w:t>
      </w:r>
      <w:r w:rsidRPr="008127F8">
        <w:rPr>
          <w:rFonts w:ascii="Times New Roman" w:hAnsi="Times New Roman"/>
          <w:color w:val="000000" w:themeColor="text1"/>
          <w:sz w:val="16"/>
          <w:szCs w:val="16"/>
        </w:rPr>
        <w:softHyphen/>
        <w:t>таты по-прежнему хуже, чем у серий</w:t>
      </w:r>
      <w:r w:rsidRPr="008127F8">
        <w:rPr>
          <w:rFonts w:ascii="Times New Roman" w:hAnsi="Times New Roman"/>
          <w:color w:val="000000" w:themeColor="text1"/>
          <w:sz w:val="16"/>
          <w:szCs w:val="16"/>
        </w:rPr>
        <w:softHyphen/>
        <w:t>ного Ил-2 с АМ-38, и нет доказательств большей живучести небронированно</w:t>
      </w:r>
      <w:r w:rsidRPr="008127F8">
        <w:rPr>
          <w:rFonts w:ascii="Times New Roman" w:hAnsi="Times New Roman"/>
          <w:color w:val="000000" w:themeColor="text1"/>
          <w:sz w:val="16"/>
          <w:szCs w:val="16"/>
        </w:rPr>
        <w:softHyphen/>
        <w:t>го мотора М-82 по сравнению с заб</w:t>
      </w:r>
      <w:r w:rsidRPr="008127F8">
        <w:rPr>
          <w:rFonts w:ascii="Times New Roman" w:hAnsi="Times New Roman"/>
          <w:color w:val="000000" w:themeColor="text1"/>
          <w:sz w:val="16"/>
          <w:szCs w:val="16"/>
        </w:rPr>
        <w:softHyphen/>
        <w:t>ронированным АМ-38. Директор завода № 19 Кожевни</w:t>
      </w:r>
      <w:r w:rsidRPr="008127F8">
        <w:rPr>
          <w:rFonts w:ascii="Times New Roman" w:hAnsi="Times New Roman"/>
          <w:color w:val="000000" w:themeColor="text1"/>
          <w:sz w:val="16"/>
          <w:szCs w:val="16"/>
        </w:rPr>
        <w:softHyphen/>
        <w:t>ков категорически не согласился с такой позицией (10686).</w:t>
      </w:r>
    </w:p>
    <w:p w14:paraId="57CB62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996D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r w:rsidR="00165913" w:rsidRPr="008127F8">
        <w:rPr>
          <w:rFonts w:ascii="Times New Roman" w:hAnsi="Times New Roman"/>
          <w:color w:val="000000" w:themeColor="text1"/>
          <w:sz w:val="16"/>
          <w:szCs w:val="16"/>
        </w:rPr>
        <w:t xml:space="preserve"> марта</w:t>
      </w:r>
      <w:r w:rsidRPr="008127F8">
        <w:rPr>
          <w:rFonts w:ascii="Times New Roman" w:hAnsi="Times New Roman"/>
          <w:color w:val="000000" w:themeColor="text1"/>
          <w:sz w:val="16"/>
          <w:szCs w:val="16"/>
        </w:rPr>
        <w:t xml:space="preserve"> 1942 вышло Постановление ГКО № 1435 О повышении скорости серийных истребителей и форсировании мотора М-105П. РГАНИР, Фонд ГКО, д. 24, лл. 89-90 (11012).</w:t>
      </w:r>
    </w:p>
    <w:p w14:paraId="090C6B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1C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ГКО своим постановлением предложил КБ Климова форсировать мощность мотора М-105ПА путем увеличения давления наддува с 930 до 1050 мм рт.ст. При этом ставилась задача получить номинальную мощность у земли 1180-1200 л.е., на высоте 800 м - 1210 л.е., а на высоте 2800 м - 1150 л.с. и подготовить серийный выпуск мотора к 1 апреля 1942 г. В перечне необходимых мероприятий предписывалось:</w:t>
      </w:r>
    </w:p>
    <w:p w14:paraId="7339F1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директору завода № 153, начальнику ЛИИ НКАП совместно с НИИ ВВС к 25 марта 1942 г. провести летные испытания Як-7 с этим мотором;</w:t>
      </w:r>
    </w:p>
    <w:p w14:paraId="10ECF0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директору завода № 26 и заместителю наркома В.П. Баландину к I апреля 1942 г. провести 100-часовые стендовые испытания;</w:t>
      </w:r>
    </w:p>
    <w:p w14:paraId="6CDE99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пятидневный срок перевести один из полков Як-1 на пробную эксплуатацию М-105П, приспособленных для работы на повышенном давлении наддува.</w:t>
      </w:r>
    </w:p>
    <w:p w14:paraId="32B58F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были проведены на Як-7А № 1411 и Як-7Б № 1413, отчет утвержден 29 марта 1942 г. На самолетах проверялась работа мотора с наддувом 920, 1020 и 1050 мм рт.ст., но форсированный режим не использовался более пяти-восьми минут. Управление форсажем, как и раньше, производили вручную из кабины. Летные характеристики на повышенном наддуве существенно улучшились. Совместным решением от 15 марта 1942 г. НКАП и ВВС пробную эксплуатацию организовали в 236-м иап ВВС Западного фронта. В полку форсирование двигателя производилось другим методом. На повышенный наддув перестраивался регулятор постоянного давления нагнетателя. Управление - от сектора газа; при полном газе - максимальный наддув. В испытаниях получили устойчивое увеличение скорости примерно на 20 км/ч.</w:t>
      </w:r>
    </w:p>
    <w:p w14:paraId="7A3F29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стендовых испытаниях модернизированный мотор имел показатели лучшие, чем были заданы ГКО. Взлетная мощность равнялась 1210, номинальная мощность на высоте 700 м составила 1260, а на высоте 2700 м - 1180 л.с. Вместе с тем ресурс мотора был уменьшен до 100 ч (со 125 ч), но весь этот срок мотор гарантированно мог работать на повышенном наддуве (имеется в виду ресурс до первого ремонта). Это оказалось возможным лишь под нажимом A.С.Яковлева как заместителя наркома.</w:t>
      </w:r>
    </w:p>
    <w:p w14:paraId="6420D8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B.Я.Климов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Точку в споре поставили стендовые испытания М-105ПА с наддувом 1050 мм рт. ст., которые начались 24 апреля 1942 г. Мотор успешно их выдержал, проработав до разрушения 203 часа.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5B224D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4DF8CC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5CBB30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проявлявшееся как раз на малых высотах.</w:t>
      </w:r>
    </w:p>
    <w:p w14:paraId="14427E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8127F8">
        <w:rPr>
          <w:rFonts w:ascii="Times New Roman" w:hAnsi="Times New Roman"/>
          <w:color w:val="000000" w:themeColor="text1"/>
          <w:sz w:val="16"/>
          <w:szCs w:val="16"/>
        </w:rPr>
        <w:t>техничес- кого</w:t>
      </w:r>
      <w:proofErr w:type="gramEnd"/>
      <w:r w:rsidRPr="008127F8">
        <w:rPr>
          <w:rFonts w:ascii="Times New Roman" w:hAnsi="Times New Roman"/>
          <w:color w:val="000000" w:themeColor="text1"/>
          <w:sz w:val="16"/>
          <w:szCs w:val="16"/>
        </w:rPr>
        <w:t xml:space="preserve"> состава (12048).</w:t>
      </w:r>
    </w:p>
    <w:p w14:paraId="55E955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C12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о переводе ОКО завода 1 А.И.М. и М.И.Г. в Москву (3951,3).</w:t>
      </w:r>
    </w:p>
    <w:p w14:paraId="5FB916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5FF3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1436 О конструкторском бюро т. Микояна А.И. (7025, 91).</w:t>
      </w:r>
    </w:p>
    <w:p w14:paraId="476BD20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64CDC8"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13 марта 1942 вышло Постановление ГКО № 1436 О конструкторском бюро т. Микояна А.И.</w:t>
      </w:r>
    </w:p>
    <w:p w14:paraId="4C371B77" w14:textId="77777777" w:rsidR="003A6F23" w:rsidRPr="008127F8" w:rsidRDefault="003A6F23" w:rsidP="001E0A84">
      <w:pPr>
        <w:pStyle w:val="47"/>
        <w:shd w:val="clear" w:color="auto" w:fill="auto"/>
        <w:tabs>
          <w:tab w:val="left" w:pos="93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1. Обязать Наркомавиапрома т. Шахурину организовать в г.Москве на площадях </w:t>
      </w:r>
      <w:proofErr w:type="gramStart"/>
      <w:r w:rsidRPr="008127F8">
        <w:rPr>
          <w:rFonts w:ascii="Times New Roman" w:hAnsi="Times New Roman" w:cs="Times New Roman"/>
          <w:color w:val="000000" w:themeColor="text1"/>
          <w:sz w:val="16"/>
          <w:szCs w:val="16"/>
        </w:rPr>
        <w:t>быв.эавода</w:t>
      </w:r>
      <w:proofErr w:type="gramEnd"/>
      <w:r w:rsidRPr="008127F8">
        <w:rPr>
          <w:rFonts w:ascii="Times New Roman" w:hAnsi="Times New Roman" w:cs="Times New Roman"/>
          <w:color w:val="000000" w:themeColor="text1"/>
          <w:sz w:val="16"/>
          <w:szCs w:val="16"/>
        </w:rPr>
        <w:t xml:space="preserve"> № </w:t>
      </w:r>
      <w:r w:rsidRPr="008127F8">
        <w:rPr>
          <w:rStyle w:val="16"/>
          <w:rFonts w:ascii="Times New Roman" w:hAnsi="Times New Roman" w:cs="Times New Roman"/>
          <w:color w:val="000000" w:themeColor="text1"/>
          <w:spacing w:val="0"/>
          <w:u w:val="none"/>
        </w:rPr>
        <w:t>294</w:t>
      </w:r>
      <w:r w:rsidRPr="008127F8">
        <w:rPr>
          <w:rFonts w:ascii="Times New Roman" w:hAnsi="Times New Roman" w:cs="Times New Roman"/>
          <w:color w:val="000000" w:themeColor="text1"/>
          <w:sz w:val="16"/>
          <w:szCs w:val="16"/>
        </w:rPr>
        <w:t xml:space="preserve"> НКАП опытный завод Кон</w:t>
      </w:r>
      <w:r w:rsidRPr="008127F8">
        <w:rPr>
          <w:rFonts w:ascii="Times New Roman" w:hAnsi="Times New Roman" w:cs="Times New Roman"/>
          <w:color w:val="000000" w:themeColor="text1"/>
          <w:sz w:val="16"/>
          <w:szCs w:val="16"/>
        </w:rPr>
        <w:softHyphen/>
        <w:t xml:space="preserve">структорского бюро т.Микояна </w:t>
      </w:r>
      <w:r w:rsidRPr="008127F8">
        <w:rPr>
          <w:rStyle w:val="16"/>
          <w:rFonts w:ascii="Times New Roman" w:hAnsi="Times New Roman" w:cs="Times New Roman"/>
          <w:color w:val="000000" w:themeColor="text1"/>
          <w:spacing w:val="0"/>
          <w:u w:val="none"/>
        </w:rPr>
        <w:t>А.И.</w:t>
      </w:r>
      <w:r w:rsidRPr="008127F8">
        <w:rPr>
          <w:rFonts w:ascii="Times New Roman" w:hAnsi="Times New Roman" w:cs="Times New Roman"/>
          <w:color w:val="000000" w:themeColor="text1"/>
          <w:sz w:val="16"/>
          <w:szCs w:val="16"/>
        </w:rPr>
        <w:t xml:space="preserve"> и Гуревича </w:t>
      </w:r>
      <w:r w:rsidRPr="008127F8">
        <w:rPr>
          <w:rStyle w:val="16"/>
          <w:rFonts w:ascii="Times New Roman" w:hAnsi="Times New Roman" w:cs="Times New Roman"/>
          <w:color w:val="000000" w:themeColor="text1"/>
          <w:spacing w:val="0"/>
          <w:u w:val="none"/>
        </w:rPr>
        <w:t>М.О.,</w:t>
      </w:r>
      <w:r w:rsidRPr="008127F8">
        <w:rPr>
          <w:rFonts w:ascii="Times New Roman" w:hAnsi="Times New Roman" w:cs="Times New Roman"/>
          <w:color w:val="000000" w:themeColor="text1"/>
          <w:sz w:val="16"/>
          <w:szCs w:val="16"/>
        </w:rPr>
        <w:t xml:space="preserve"> присвоив ему № </w:t>
      </w:r>
      <w:r w:rsidRPr="008127F8">
        <w:rPr>
          <w:rStyle w:val="16"/>
          <w:rFonts w:ascii="Times New Roman" w:hAnsi="Times New Roman" w:cs="Times New Roman"/>
          <w:color w:val="000000" w:themeColor="text1"/>
          <w:spacing w:val="0"/>
          <w:u w:val="none"/>
        </w:rPr>
        <w:t>155.</w:t>
      </w:r>
      <w:r w:rsidRPr="008127F8">
        <w:rPr>
          <w:rFonts w:ascii="Times New Roman" w:hAnsi="Times New Roman" w:cs="Times New Roman"/>
          <w:color w:val="000000" w:themeColor="text1"/>
          <w:sz w:val="16"/>
          <w:szCs w:val="16"/>
        </w:rPr>
        <w:t xml:space="preserve"> Разрешить НКАП перевести из г.Куйбышева в г.Москву Конструкторское бюро и опытный цех с оборудованием.</w:t>
      </w:r>
    </w:p>
    <w:p w14:paraId="79258BB4" w14:textId="77777777" w:rsidR="003A6F23" w:rsidRPr="008127F8" w:rsidRDefault="003A6F23" w:rsidP="001E0A84">
      <w:pPr>
        <w:pStyle w:val="47"/>
        <w:shd w:val="clear" w:color="auto" w:fill="auto"/>
        <w:tabs>
          <w:tab w:val="left" w:pos="100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2. Назначить главным конструктором и директором опытного завода № </w:t>
      </w:r>
      <w:r w:rsidRPr="008127F8">
        <w:rPr>
          <w:rStyle w:val="16"/>
          <w:rFonts w:ascii="Times New Roman" w:hAnsi="Times New Roman" w:cs="Times New Roman"/>
          <w:color w:val="000000" w:themeColor="text1"/>
          <w:spacing w:val="0"/>
          <w:u w:val="none"/>
        </w:rPr>
        <w:t>155</w:t>
      </w:r>
      <w:r w:rsidRPr="008127F8">
        <w:rPr>
          <w:rFonts w:ascii="Times New Roman" w:hAnsi="Times New Roman" w:cs="Times New Roman"/>
          <w:color w:val="000000" w:themeColor="text1"/>
          <w:sz w:val="16"/>
          <w:szCs w:val="16"/>
        </w:rPr>
        <w:t xml:space="preserve"> т.Микояна </w:t>
      </w:r>
      <w:r w:rsidRPr="008127F8">
        <w:rPr>
          <w:rStyle w:val="16"/>
          <w:rFonts w:ascii="Times New Roman" w:hAnsi="Times New Roman" w:cs="Times New Roman"/>
          <w:color w:val="000000" w:themeColor="text1"/>
          <w:spacing w:val="0"/>
          <w:u w:val="none"/>
        </w:rPr>
        <w:t>А.И.</w:t>
      </w:r>
    </w:p>
    <w:p w14:paraId="306D72AD" w14:textId="77777777" w:rsidR="003A6F23" w:rsidRPr="008127F8" w:rsidRDefault="003A6F23" w:rsidP="001E0A84">
      <w:pPr>
        <w:pStyle w:val="47"/>
        <w:shd w:val="clear" w:color="auto" w:fill="auto"/>
        <w:tabs>
          <w:tab w:val="left" w:pos="101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3. Обязать т.Микояна организовать на заводе № </w:t>
      </w:r>
      <w:proofErr w:type="gramStart"/>
      <w:r w:rsidRPr="008127F8">
        <w:rPr>
          <w:rFonts w:ascii="Times New Roman" w:hAnsi="Times New Roman" w:cs="Times New Roman"/>
          <w:color w:val="000000" w:themeColor="text1"/>
          <w:sz w:val="16"/>
          <w:szCs w:val="16"/>
        </w:rPr>
        <w:t>155,кроме</w:t>
      </w:r>
      <w:proofErr w:type="gramEnd"/>
      <w:r w:rsidRPr="008127F8">
        <w:rPr>
          <w:rFonts w:ascii="Times New Roman" w:hAnsi="Times New Roman" w:cs="Times New Roman"/>
          <w:color w:val="000000" w:themeColor="text1"/>
          <w:sz w:val="16"/>
          <w:szCs w:val="16"/>
        </w:rPr>
        <w:t xml:space="preserve"> опытных работ, производство самолетов Миг-3 из заделов завода № 1 в количестве 50 машин, остальной эадел использовать, как запчасти для ВВС КА.</w:t>
      </w:r>
    </w:p>
    <w:p w14:paraId="71D51B1B" w14:textId="77777777" w:rsidR="003A6F23" w:rsidRPr="008127F8" w:rsidRDefault="003A6F23" w:rsidP="001E0A84">
      <w:pPr>
        <w:pStyle w:val="47"/>
        <w:shd w:val="clear" w:color="auto" w:fill="auto"/>
        <w:tabs>
          <w:tab w:val="left" w:pos="101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4. Обязать НКПС - т.Кагановича до 20 марта выделить для перевозки из г.Куйбышева КБ т.т.Микояна и Гуревича, опытного цеха и задела по самолету Миг-3 в г.Москву 30 вагонов.</w:t>
      </w:r>
    </w:p>
    <w:p w14:paraId="177DC6DC" w14:textId="77777777" w:rsidR="003A6F23" w:rsidRPr="008127F8" w:rsidRDefault="003A6F23" w:rsidP="001E0A84">
      <w:pPr>
        <w:pStyle w:val="47"/>
        <w:shd w:val="clear" w:color="auto" w:fill="auto"/>
        <w:tabs>
          <w:tab w:val="left" w:pos="100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Обязать Наркомфин - т.Зверева выделить НКАП на поста</w:t>
      </w:r>
      <w:r w:rsidRPr="008127F8">
        <w:rPr>
          <w:rFonts w:ascii="Times New Roman" w:hAnsi="Times New Roman" w:cs="Times New Roman"/>
          <w:color w:val="000000" w:themeColor="text1"/>
          <w:sz w:val="16"/>
          <w:szCs w:val="16"/>
        </w:rPr>
        <w:softHyphen/>
        <w:t xml:space="preserve">новку производства на заводе ~ </w:t>
      </w:r>
      <w:r w:rsidRPr="008127F8">
        <w:rPr>
          <w:rStyle w:val="16"/>
          <w:rFonts w:ascii="Times New Roman" w:hAnsi="Times New Roman" w:cs="Times New Roman"/>
          <w:color w:val="000000" w:themeColor="text1"/>
          <w:spacing w:val="0"/>
          <w:u w:val="none"/>
        </w:rPr>
        <w:t>1 551500</w:t>
      </w:r>
      <w:r w:rsidRPr="008127F8">
        <w:rPr>
          <w:rFonts w:ascii="Times New Roman" w:hAnsi="Times New Roman" w:cs="Times New Roman"/>
          <w:color w:val="000000" w:themeColor="text1"/>
          <w:sz w:val="16"/>
          <w:szCs w:val="16"/>
        </w:rPr>
        <w:t xml:space="preserve"> </w:t>
      </w:r>
      <w:proofErr w:type="gramStart"/>
      <w:r w:rsidRPr="008127F8">
        <w:rPr>
          <w:rFonts w:ascii="Times New Roman" w:hAnsi="Times New Roman" w:cs="Times New Roman"/>
          <w:color w:val="000000" w:themeColor="text1"/>
          <w:sz w:val="16"/>
          <w:szCs w:val="16"/>
        </w:rPr>
        <w:t>тыс.рублей</w:t>
      </w:r>
      <w:proofErr w:type="gramEnd"/>
      <w:r w:rsidRPr="008127F8">
        <w:rPr>
          <w:rFonts w:ascii="Times New Roman" w:hAnsi="Times New Roman" w:cs="Times New Roman"/>
          <w:color w:val="000000" w:themeColor="text1"/>
          <w:sz w:val="16"/>
          <w:szCs w:val="16"/>
        </w:rPr>
        <w:t xml:space="preserve"> (19304).</w:t>
      </w:r>
    </w:p>
    <w:p w14:paraId="4F4296B3" w14:textId="77777777" w:rsidR="003A6F23" w:rsidRPr="008127F8" w:rsidRDefault="003A6F23"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9C3462" w14:textId="77777777" w:rsidR="00165913" w:rsidRPr="008127F8" w:rsidRDefault="00165913" w:rsidP="001E0A84">
      <w:pPr>
        <w:pStyle w:val="a4"/>
        <w:rPr>
          <w:color w:val="000000" w:themeColor="text1"/>
          <w:lang w:val="ru-RU"/>
        </w:rPr>
      </w:pPr>
      <w:r w:rsidRPr="008127F8">
        <w:rPr>
          <w:color w:val="000000" w:themeColor="text1"/>
          <w:lang w:val="ru-RU"/>
        </w:rPr>
        <w:t>13 марта 1942 г. вышло Постановление ГКО №1436, а 16 марта последовал приказом НКАП № 207, в соответсвии с которыми коллектив ОКО МиГ вместе с опытным производ</w:t>
      </w:r>
      <w:r w:rsidRPr="008127F8">
        <w:rPr>
          <w:color w:val="000000" w:themeColor="text1"/>
          <w:lang w:val="ru-RU"/>
        </w:rPr>
        <w:softHyphen/>
        <w:t>ством возвращался в Москву. Для организации нового опытного завода, получившего номер 155, выделили территорию завода № 480. Директором и главным конструктором вновь орга</w:t>
      </w:r>
      <w:r w:rsidRPr="008127F8">
        <w:rPr>
          <w:color w:val="000000" w:themeColor="text1"/>
          <w:lang w:val="ru-RU"/>
        </w:rPr>
        <w:softHyphen/>
        <w:t>низованного завода № 155 (ОКБ-155) назначили А.И. Микояна, а его заместителем М.И. Гуревича. Также на завод № 155 перевели и ремонтную базу по самолётам МиГ-3 с личным составом во главе с А.Т. Каревым (15976).</w:t>
      </w:r>
    </w:p>
    <w:p w14:paraId="2B9267E6" w14:textId="77777777" w:rsidR="00165913" w:rsidRPr="008127F8" w:rsidRDefault="00165913" w:rsidP="001E0A84">
      <w:pPr>
        <w:pStyle w:val="a4"/>
        <w:rPr>
          <w:color w:val="000000" w:themeColor="text1"/>
          <w:lang w:val="ru-RU"/>
        </w:rPr>
      </w:pPr>
    </w:p>
    <w:p w14:paraId="2AA8A34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вышло Постановле</w:t>
      </w:r>
      <w:r w:rsidRPr="008127F8">
        <w:rPr>
          <w:rFonts w:ascii="Times New Roman" w:hAnsi="Times New Roman"/>
          <w:color w:val="000000" w:themeColor="text1"/>
          <w:sz w:val="16"/>
          <w:szCs w:val="16"/>
        </w:rPr>
        <w:softHyphen/>
        <w:t>ние ГКО № 1436 «О конструкторском бюро Микоя</w:t>
      </w:r>
      <w:r w:rsidRPr="008127F8">
        <w:rPr>
          <w:rFonts w:ascii="Times New Roman" w:hAnsi="Times New Roman"/>
          <w:color w:val="000000" w:themeColor="text1"/>
          <w:sz w:val="16"/>
          <w:szCs w:val="16"/>
        </w:rPr>
        <w:softHyphen/>
        <w:t>на». Оно обязывало руководство НКАП на площадях бывшего завода № 294 создать опытный завод, при</w:t>
      </w:r>
      <w:r w:rsidRPr="008127F8">
        <w:rPr>
          <w:rFonts w:ascii="Times New Roman" w:hAnsi="Times New Roman"/>
          <w:color w:val="000000" w:themeColor="text1"/>
          <w:sz w:val="16"/>
          <w:szCs w:val="16"/>
        </w:rPr>
        <w:softHyphen/>
        <w:t>своив ему номер 155. Туда надлежало перевести ос</w:t>
      </w:r>
      <w:r w:rsidRPr="008127F8">
        <w:rPr>
          <w:rFonts w:ascii="Times New Roman" w:hAnsi="Times New Roman"/>
          <w:color w:val="000000" w:themeColor="text1"/>
          <w:sz w:val="16"/>
          <w:szCs w:val="16"/>
        </w:rPr>
        <w:softHyphen/>
        <w:t>тавшиеся детали и узлы с завода № 1, а также опыт</w:t>
      </w:r>
      <w:r w:rsidRPr="008127F8">
        <w:rPr>
          <w:rFonts w:ascii="Times New Roman" w:hAnsi="Times New Roman"/>
          <w:color w:val="000000" w:themeColor="text1"/>
          <w:sz w:val="16"/>
          <w:szCs w:val="16"/>
        </w:rPr>
        <w:softHyphen/>
        <w:t>ный цех с оборудованием. Главным конструктором назначили Микояна, которому надлежало наряду с опытными работами выпустить 50 машин, а остав</w:t>
      </w:r>
      <w:r w:rsidRPr="008127F8">
        <w:rPr>
          <w:rFonts w:ascii="Times New Roman" w:hAnsi="Times New Roman"/>
          <w:color w:val="000000" w:themeColor="text1"/>
          <w:sz w:val="16"/>
          <w:szCs w:val="16"/>
        </w:rPr>
        <w:softHyphen/>
        <w:t>шийся задел использовать как запасные части для ВВСКА. Вскоре КБ вернулось из эвакуации. Погрузив лю</w:t>
      </w:r>
      <w:r w:rsidRPr="008127F8">
        <w:rPr>
          <w:rFonts w:ascii="Times New Roman" w:hAnsi="Times New Roman"/>
          <w:color w:val="000000" w:themeColor="text1"/>
          <w:sz w:val="16"/>
          <w:szCs w:val="16"/>
        </w:rPr>
        <w:softHyphen/>
        <w:t>дей и оборудование в теплушки и дождавшись от</w:t>
      </w:r>
      <w:r w:rsidRPr="008127F8">
        <w:rPr>
          <w:rFonts w:ascii="Times New Roman" w:hAnsi="Times New Roman"/>
          <w:color w:val="000000" w:themeColor="text1"/>
          <w:sz w:val="16"/>
          <w:szCs w:val="16"/>
        </w:rPr>
        <w:softHyphen/>
        <w:t>правления эшелона, Микоян и Гуревич на самолете быстро прибыли в Москву. Им выделили небольшой двухэтажный домик, доставшийся от прежних хозя</w:t>
      </w:r>
      <w:r w:rsidRPr="008127F8">
        <w:rPr>
          <w:rFonts w:ascii="Times New Roman" w:hAnsi="Times New Roman"/>
          <w:color w:val="000000" w:themeColor="text1"/>
          <w:sz w:val="16"/>
          <w:szCs w:val="16"/>
        </w:rPr>
        <w:softHyphen/>
        <w:t>ев. Конструкторы понимали: предстоит все начинать заново. С сожалением узнал Микоян, что бывшая территория завода № 1 уже отдана другим коллекти</w:t>
      </w:r>
      <w:r w:rsidRPr="008127F8">
        <w:rPr>
          <w:rFonts w:ascii="Times New Roman" w:hAnsi="Times New Roman"/>
          <w:color w:val="000000" w:themeColor="text1"/>
          <w:sz w:val="16"/>
          <w:szCs w:val="16"/>
        </w:rPr>
        <w:softHyphen/>
        <w:t>вам для производства истребителей Як—1, а затем штурмовиков Ил—2. «Площадку, на которой и сегодня стоит наш за</w:t>
      </w:r>
      <w:r w:rsidRPr="008127F8">
        <w:rPr>
          <w:rFonts w:ascii="Times New Roman" w:hAnsi="Times New Roman"/>
          <w:color w:val="000000" w:themeColor="text1"/>
          <w:sz w:val="16"/>
          <w:szCs w:val="16"/>
        </w:rPr>
        <w:softHyphen/>
        <w:t>вод, разыскал Артем Иванович, — вспоминала одна из старейших сотрудников, технолог З.И.Журбина. — Было на ней только одно желтое здание в глубине двора, а за ним деревянный ангар. До нас здесь как будто собирались организовать завод синтетических материалов. Стояло еще одно каменное здание, толь</w:t>
      </w:r>
      <w:r w:rsidRPr="008127F8">
        <w:rPr>
          <w:rFonts w:ascii="Times New Roman" w:hAnsi="Times New Roman"/>
          <w:color w:val="000000" w:themeColor="text1"/>
          <w:sz w:val="16"/>
          <w:szCs w:val="16"/>
        </w:rPr>
        <w:softHyphen/>
        <w:t>ко недостроенное, и несколько бараков. Между ни</w:t>
      </w:r>
      <w:r w:rsidRPr="008127F8">
        <w:rPr>
          <w:rFonts w:ascii="Times New Roman" w:hAnsi="Times New Roman"/>
          <w:color w:val="000000" w:themeColor="text1"/>
          <w:sz w:val="16"/>
          <w:szCs w:val="16"/>
        </w:rPr>
        <w:softHyphen/>
        <w:t>ми пустырь и какая-то свалка...» (9984).</w:t>
      </w:r>
    </w:p>
    <w:p w14:paraId="228D4B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D77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в соответ</w:t>
      </w:r>
      <w:r w:rsidRPr="008127F8">
        <w:rPr>
          <w:rFonts w:ascii="Times New Roman" w:hAnsi="Times New Roman"/>
          <w:color w:val="000000" w:themeColor="text1"/>
          <w:sz w:val="16"/>
          <w:szCs w:val="16"/>
        </w:rPr>
        <w:softHyphen/>
        <w:t>ствии с Постановлением ГКО №1436 и пос</w:t>
      </w:r>
      <w:r w:rsidRPr="008127F8">
        <w:rPr>
          <w:rFonts w:ascii="Times New Roman" w:hAnsi="Times New Roman"/>
          <w:color w:val="000000" w:themeColor="text1"/>
          <w:sz w:val="16"/>
          <w:szCs w:val="16"/>
        </w:rPr>
        <w:softHyphen/>
        <w:t>ледовавшим 16 марта приказом НКАП №207 коллектив ОКО А.И.М. вмес</w:t>
      </w:r>
      <w:r w:rsidRPr="008127F8">
        <w:rPr>
          <w:rFonts w:ascii="Times New Roman" w:hAnsi="Times New Roman"/>
          <w:color w:val="000000" w:themeColor="text1"/>
          <w:sz w:val="16"/>
          <w:szCs w:val="16"/>
        </w:rPr>
        <w:softHyphen/>
        <w:t>те с опытным производством воз</w:t>
      </w:r>
      <w:r w:rsidRPr="008127F8">
        <w:rPr>
          <w:rFonts w:ascii="Times New Roman" w:hAnsi="Times New Roman"/>
          <w:color w:val="000000" w:themeColor="text1"/>
          <w:sz w:val="16"/>
          <w:szCs w:val="16"/>
        </w:rPr>
        <w:softHyphen/>
        <w:t>вращался в Москву. Для организа</w:t>
      </w:r>
      <w:r w:rsidRPr="008127F8">
        <w:rPr>
          <w:rFonts w:ascii="Times New Roman" w:hAnsi="Times New Roman"/>
          <w:color w:val="000000" w:themeColor="text1"/>
          <w:sz w:val="16"/>
          <w:szCs w:val="16"/>
        </w:rPr>
        <w:softHyphen/>
        <w:t>ции нового опытного завода, полу</w:t>
      </w:r>
      <w:r w:rsidRPr="008127F8">
        <w:rPr>
          <w:rFonts w:ascii="Times New Roman" w:hAnsi="Times New Roman"/>
          <w:color w:val="000000" w:themeColor="text1"/>
          <w:sz w:val="16"/>
          <w:szCs w:val="16"/>
        </w:rPr>
        <w:softHyphen/>
        <w:t>чившего номер 155, выделили тер</w:t>
      </w:r>
      <w:r w:rsidRPr="008127F8">
        <w:rPr>
          <w:rFonts w:ascii="Times New Roman" w:hAnsi="Times New Roman"/>
          <w:color w:val="000000" w:themeColor="text1"/>
          <w:sz w:val="16"/>
          <w:szCs w:val="16"/>
        </w:rPr>
        <w:softHyphen/>
        <w:t>риторию завода №480. Директо</w:t>
      </w:r>
      <w:r w:rsidRPr="008127F8">
        <w:rPr>
          <w:rFonts w:ascii="Times New Roman" w:hAnsi="Times New Roman"/>
          <w:color w:val="000000" w:themeColor="text1"/>
          <w:sz w:val="16"/>
          <w:szCs w:val="16"/>
        </w:rPr>
        <w:softHyphen/>
        <w:t>ром и главным конструктором вновь организованного завода №155 (ОКБ-155) назначили А.И. Микояна, а его заместителем М.И. Гуревича. Также на завод №155 перевели и ремонтную базу по самолётам МиГ-3 с личным составом во главе с А.Т. Каревым. Творческая деятельность ОКБ на новом месте началась в мае 1942 г. Основные силы были направлены на дальнейшее совершенствование истребителя МиГ-3, а также на со</w:t>
      </w:r>
      <w:r w:rsidRPr="008127F8">
        <w:rPr>
          <w:rFonts w:ascii="Times New Roman" w:hAnsi="Times New Roman"/>
          <w:color w:val="000000" w:themeColor="text1"/>
          <w:sz w:val="16"/>
          <w:szCs w:val="16"/>
        </w:rPr>
        <w:softHyphen/>
        <w:t>здание машин с более высокими лётно-тактическими данными, обла</w:t>
      </w:r>
      <w:r w:rsidRPr="008127F8">
        <w:rPr>
          <w:rFonts w:ascii="Times New Roman" w:hAnsi="Times New Roman"/>
          <w:color w:val="000000" w:themeColor="text1"/>
          <w:sz w:val="16"/>
          <w:szCs w:val="16"/>
        </w:rPr>
        <w:softHyphen/>
        <w:t>давших большими скоростями по</w:t>
      </w:r>
      <w:r w:rsidRPr="008127F8">
        <w:rPr>
          <w:rFonts w:ascii="Times New Roman" w:hAnsi="Times New Roman"/>
          <w:color w:val="000000" w:themeColor="text1"/>
          <w:sz w:val="16"/>
          <w:szCs w:val="16"/>
        </w:rPr>
        <w:softHyphen/>
        <w:t>лёта и большим практическим по</w:t>
      </w:r>
      <w:r w:rsidRPr="008127F8">
        <w:rPr>
          <w:rFonts w:ascii="Times New Roman" w:hAnsi="Times New Roman"/>
          <w:color w:val="000000" w:themeColor="text1"/>
          <w:sz w:val="16"/>
          <w:szCs w:val="16"/>
        </w:rPr>
        <w:softHyphen/>
        <w:t>толком. Одновременно с развёр</w:t>
      </w:r>
      <w:r w:rsidRPr="008127F8">
        <w:rPr>
          <w:rFonts w:ascii="Times New Roman" w:hAnsi="Times New Roman"/>
          <w:color w:val="000000" w:themeColor="text1"/>
          <w:sz w:val="16"/>
          <w:szCs w:val="16"/>
        </w:rPr>
        <w:softHyphen/>
        <w:t>тыванием опытно-конструкторских работ ОКБ занималось и развити</w:t>
      </w:r>
      <w:r w:rsidRPr="008127F8">
        <w:rPr>
          <w:rFonts w:ascii="Times New Roman" w:hAnsi="Times New Roman"/>
          <w:color w:val="000000" w:themeColor="text1"/>
          <w:sz w:val="16"/>
          <w:szCs w:val="16"/>
        </w:rPr>
        <w:softHyphen/>
        <w:t>ем производственной базы (11761).</w:t>
      </w:r>
    </w:p>
    <w:p w14:paraId="3109DD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7B78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года постановлением ГКО № 1436 и последо</w:t>
      </w:r>
      <w:r w:rsidRPr="008A2E5A">
        <w:rPr>
          <w:rFonts w:ascii="Times New Roman" w:hAnsi="Times New Roman"/>
          <w:color w:val="0070C0"/>
          <w:sz w:val="16"/>
          <w:szCs w:val="16"/>
        </w:rPr>
        <w:softHyphen/>
        <w:t>вавшим через три дня приказом НКАП № 207 ОКО завода № 1 численностью в несколько десятков человек выделили в само</w:t>
      </w:r>
      <w:r w:rsidRPr="008A2E5A">
        <w:rPr>
          <w:rFonts w:ascii="Times New Roman" w:hAnsi="Times New Roman"/>
          <w:color w:val="0070C0"/>
          <w:sz w:val="16"/>
          <w:szCs w:val="16"/>
        </w:rPr>
        <w:softHyphen/>
        <w:t>стоятельный опытный завод. На основании этих документов ОКО и опытный цех в марте—апреле реэвакуировали в Москву на террито</w:t>
      </w:r>
      <w:r w:rsidRPr="008A2E5A">
        <w:rPr>
          <w:rFonts w:ascii="Times New Roman" w:hAnsi="Times New Roman"/>
          <w:color w:val="0070C0"/>
          <w:sz w:val="16"/>
          <w:szCs w:val="16"/>
        </w:rPr>
        <w:softHyphen/>
        <w:t>рию завода № 480, который перевели из б-го ГУ в состав 7-го ГУ НКАП со всеми зданиями, сооружениями, транспортом, инвентарём, кадрами и оборудованием для организа</w:t>
      </w:r>
      <w:r w:rsidRPr="008A2E5A">
        <w:rPr>
          <w:rFonts w:ascii="Times New Roman" w:hAnsi="Times New Roman"/>
          <w:color w:val="0070C0"/>
          <w:sz w:val="16"/>
          <w:szCs w:val="16"/>
        </w:rPr>
        <w:softHyphen/>
        <w:t>ции на его базе нового опытного завода № 155. Возгла</w:t>
      </w:r>
      <w:r w:rsidRPr="008A2E5A">
        <w:rPr>
          <w:rFonts w:ascii="Times New Roman" w:hAnsi="Times New Roman"/>
          <w:color w:val="0070C0"/>
          <w:sz w:val="16"/>
          <w:szCs w:val="16"/>
        </w:rPr>
        <w:softHyphen/>
        <w:t>вили новый завод А.И. Микоян в должности директора и главного конструктора и М.И. Гуревич в качестве его заместителя. Вскоре ОКО получил название ОКБ-155.</w:t>
      </w:r>
    </w:p>
    <w:p w14:paraId="6EA80FC1"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Новая площадка располагалась возле пересечения Ленинградского шоссе с Рижским направлением Калининской железной дороги напротив корпусов Мо</w:t>
      </w:r>
      <w:r w:rsidRPr="008A2E5A">
        <w:rPr>
          <w:rFonts w:ascii="Times New Roman" w:hAnsi="Times New Roman"/>
          <w:color w:val="0070C0"/>
          <w:sz w:val="16"/>
          <w:szCs w:val="16"/>
        </w:rPr>
        <w:softHyphen/>
        <w:t>сковского авиационного института. Территория заво</w:t>
      </w:r>
      <w:r w:rsidRPr="008A2E5A">
        <w:rPr>
          <w:rFonts w:ascii="Times New Roman" w:hAnsi="Times New Roman"/>
          <w:color w:val="0070C0"/>
          <w:sz w:val="16"/>
          <w:szCs w:val="16"/>
        </w:rPr>
        <w:softHyphen/>
        <w:t>да № 480 площадью 72 000 м2 представляла собой в то время скорее стройплощадку, загромождённую строи</w:t>
      </w:r>
      <w:r w:rsidRPr="008A2E5A">
        <w:rPr>
          <w:rFonts w:ascii="Times New Roman" w:hAnsi="Times New Roman"/>
          <w:color w:val="0070C0"/>
          <w:sz w:val="16"/>
          <w:szCs w:val="16"/>
        </w:rPr>
        <w:softHyphen/>
        <w:t>тельными материалами, отходами, мусором и земля</w:t>
      </w:r>
      <w:r w:rsidRPr="008A2E5A">
        <w:rPr>
          <w:rFonts w:ascii="Times New Roman" w:hAnsi="Times New Roman"/>
          <w:color w:val="0070C0"/>
          <w:sz w:val="16"/>
          <w:szCs w:val="16"/>
        </w:rPr>
        <w:softHyphen/>
        <w:t>ными валами.</w:t>
      </w:r>
    </w:p>
    <w:p w14:paraId="40713FEC"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36-летний директор и главный конструктор, осма</w:t>
      </w:r>
      <w:r w:rsidRPr="008A2E5A">
        <w:rPr>
          <w:rFonts w:ascii="Times New Roman" w:hAnsi="Times New Roman"/>
          <w:color w:val="0070C0"/>
          <w:sz w:val="16"/>
          <w:szCs w:val="16"/>
        </w:rPr>
        <w:softHyphen/>
        <w:t>тривая вверенный ему «завод», понимал, что в первую очередь необходимо заниматься зданиями, а не само</w:t>
      </w:r>
      <w:r w:rsidRPr="008A2E5A">
        <w:rPr>
          <w:rFonts w:ascii="Times New Roman" w:hAnsi="Times New Roman"/>
          <w:color w:val="0070C0"/>
          <w:sz w:val="16"/>
          <w:szCs w:val="16"/>
        </w:rPr>
        <w:softHyphen/>
        <w:t>лётами. Вчерне были закончены три корпуса (№. 1, № 2 и № 3), котельная и временные здания лёгкого типа, которые в будущем, безусловно, предстояло снести. На момент создания завода № 155 его производствен</w:t>
      </w:r>
      <w:r w:rsidRPr="008A2E5A">
        <w:rPr>
          <w:rFonts w:ascii="Times New Roman" w:hAnsi="Times New Roman"/>
          <w:color w:val="0070C0"/>
          <w:sz w:val="16"/>
          <w:szCs w:val="16"/>
        </w:rPr>
        <w:softHyphen/>
        <w:t>ную базу можно было охарактеризовать так: производ</w:t>
      </w:r>
      <w:r w:rsidRPr="008A2E5A">
        <w:rPr>
          <w:rFonts w:ascii="Times New Roman" w:hAnsi="Times New Roman"/>
          <w:color w:val="0070C0"/>
          <w:sz w:val="16"/>
          <w:szCs w:val="16"/>
        </w:rPr>
        <w:softHyphen/>
        <w:t>ственная площадь — 2590 м2, непроизводственная пло</w:t>
      </w:r>
      <w:r w:rsidRPr="008A2E5A">
        <w:rPr>
          <w:rFonts w:ascii="Times New Roman" w:hAnsi="Times New Roman"/>
          <w:color w:val="0070C0"/>
          <w:sz w:val="16"/>
          <w:szCs w:val="16"/>
        </w:rPr>
        <w:softHyphen/>
        <w:t>щадь — 3330 м2, наличие оборудования — 48 единиц.</w:t>
      </w:r>
    </w:p>
    <w:p w14:paraId="53AE19D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корпусе № 1, построенном в 1937 году, размести</w:t>
      </w:r>
      <w:r w:rsidRPr="008A2E5A">
        <w:rPr>
          <w:rFonts w:ascii="Times New Roman" w:hAnsi="Times New Roman"/>
          <w:color w:val="0070C0"/>
          <w:sz w:val="16"/>
          <w:szCs w:val="16"/>
        </w:rPr>
        <w:softHyphen/>
        <w:t>лись дирекция, ОКО, все отделы заводоуправления, в корпусе № 2 — механический цех и инструмен</w:t>
      </w:r>
      <w:r w:rsidRPr="008A2E5A">
        <w:rPr>
          <w:rFonts w:ascii="Times New Roman" w:hAnsi="Times New Roman"/>
          <w:color w:val="0070C0"/>
          <w:sz w:val="16"/>
          <w:szCs w:val="16"/>
        </w:rPr>
        <w:softHyphen/>
        <w:t>тальная мастерская, в корпусе № 3 — сборочный цех, мастерская вооружения, деревообделочная и плазово-шаблонная мастерские. Во временных зданиях лёгкого типа расположили отдел найма и увольнения, проходную, помещения комендатуры и медпункта, библиотеку, столовую и склады (23379).</w:t>
      </w:r>
    </w:p>
    <w:p w14:paraId="59218C5E" w14:textId="77777777" w:rsidR="00F71F22" w:rsidRPr="008A2E5A" w:rsidRDefault="00F71F22" w:rsidP="00F71F22">
      <w:pPr>
        <w:spacing w:after="0" w:line="240" w:lineRule="auto"/>
        <w:jc w:val="both"/>
        <w:rPr>
          <w:rFonts w:ascii="Times New Roman" w:hAnsi="Times New Roman"/>
          <w:color w:val="0070C0"/>
          <w:sz w:val="16"/>
          <w:szCs w:val="16"/>
        </w:rPr>
      </w:pPr>
    </w:p>
    <w:p w14:paraId="36594DF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 Постановлением ГКО № 1436сс ОКО-1 был преобразован в са</w:t>
      </w:r>
      <w:r w:rsidRPr="008A2E5A">
        <w:rPr>
          <w:rFonts w:ascii="Times New Roman" w:hAnsi="Times New Roman"/>
          <w:color w:val="0070C0"/>
          <w:sz w:val="16"/>
          <w:szCs w:val="16"/>
        </w:rPr>
        <w:softHyphen/>
        <w:t>мостоятельное Опытное конструктор</w:t>
      </w:r>
      <w:r w:rsidRPr="008A2E5A">
        <w:rPr>
          <w:rFonts w:ascii="Times New Roman" w:hAnsi="Times New Roman"/>
          <w:color w:val="0070C0"/>
          <w:sz w:val="16"/>
          <w:szCs w:val="16"/>
        </w:rPr>
        <w:softHyphen/>
        <w:t>ское бюро. В качестве производственной базы ему выделили территорию завода №480 на Ленинградском шоссе - агрегат</w:t>
      </w:r>
      <w:r w:rsidRPr="008A2E5A">
        <w:rPr>
          <w:rFonts w:ascii="Times New Roman" w:hAnsi="Times New Roman"/>
          <w:color w:val="0070C0"/>
          <w:sz w:val="16"/>
          <w:szCs w:val="16"/>
        </w:rPr>
        <w:softHyphen/>
        <w:t>ного, из системы 6-го Главного управле</w:t>
      </w:r>
      <w:r w:rsidRPr="008A2E5A">
        <w:rPr>
          <w:rFonts w:ascii="Times New Roman" w:hAnsi="Times New Roman"/>
          <w:color w:val="0070C0"/>
          <w:sz w:val="16"/>
          <w:szCs w:val="16"/>
        </w:rPr>
        <w:softHyphen/>
        <w:t>ния НКАП. Для организации на этой пло</w:t>
      </w:r>
      <w:r w:rsidRPr="008A2E5A">
        <w:rPr>
          <w:rFonts w:ascii="Times New Roman" w:hAnsi="Times New Roman"/>
          <w:color w:val="0070C0"/>
          <w:sz w:val="16"/>
          <w:szCs w:val="16"/>
        </w:rPr>
        <w:softHyphen/>
        <w:t>щадке нового опытного самолётострои</w:t>
      </w:r>
      <w:r w:rsidRPr="008A2E5A">
        <w:rPr>
          <w:rFonts w:ascii="Times New Roman" w:hAnsi="Times New Roman"/>
          <w:color w:val="0070C0"/>
          <w:sz w:val="16"/>
          <w:szCs w:val="16"/>
        </w:rPr>
        <w:softHyphen/>
        <w:t>тельного завода № 155 он передавался в 7-е ГУ НКАП (опытное самолётострое</w:t>
      </w:r>
      <w:r w:rsidRPr="008A2E5A">
        <w:rPr>
          <w:rFonts w:ascii="Times New Roman" w:hAnsi="Times New Roman"/>
          <w:color w:val="0070C0"/>
          <w:sz w:val="16"/>
          <w:szCs w:val="16"/>
        </w:rPr>
        <w:softHyphen/>
        <w:t>ние) со всеми наличными кадрами, мощ</w:t>
      </w:r>
      <w:r w:rsidRPr="008A2E5A">
        <w:rPr>
          <w:rFonts w:ascii="Times New Roman" w:hAnsi="Times New Roman"/>
          <w:color w:val="0070C0"/>
          <w:sz w:val="16"/>
          <w:szCs w:val="16"/>
        </w:rPr>
        <w:softHyphen/>
        <w:t>ностями, недвижимым и движимым имуществом.</w:t>
      </w:r>
    </w:p>
    <w:p w14:paraId="1B1126D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с этим было пока не густо. Завод № 480 организовали только в октябре 1941 г. на месте эвакуированного 161-го, который выпускал воздушные винты и де</w:t>
      </w:r>
      <w:r w:rsidRPr="008A2E5A">
        <w:rPr>
          <w:rFonts w:ascii="Times New Roman" w:hAnsi="Times New Roman"/>
          <w:color w:val="0070C0"/>
          <w:sz w:val="16"/>
          <w:szCs w:val="16"/>
        </w:rPr>
        <w:softHyphen/>
        <w:t>валась задача поддержания в строевой эксплуатации парка МиГ-3, доводки опыт</w:t>
      </w:r>
      <w:r w:rsidRPr="008A2E5A">
        <w:rPr>
          <w:rFonts w:ascii="Times New Roman" w:hAnsi="Times New Roman"/>
          <w:color w:val="0070C0"/>
          <w:sz w:val="16"/>
          <w:szCs w:val="16"/>
        </w:rPr>
        <w:softHyphen/>
        <w:t>ных МиГ-5 (ДИС-200) и МиГ-9 (И-210) и разработки нового высотного перехватчи</w:t>
      </w:r>
      <w:r w:rsidRPr="008A2E5A">
        <w:rPr>
          <w:rFonts w:ascii="Times New Roman" w:hAnsi="Times New Roman"/>
          <w:color w:val="0070C0"/>
          <w:sz w:val="16"/>
          <w:szCs w:val="16"/>
        </w:rPr>
        <w:softHyphen/>
        <w:t>ка И-220, так что имея меньше полусотни конструкторов и чертежников, начинать новый проект было крайне затруднитель</w:t>
      </w:r>
      <w:r w:rsidRPr="008A2E5A">
        <w:rPr>
          <w:rFonts w:ascii="Times New Roman" w:hAnsi="Times New Roman"/>
          <w:color w:val="0070C0"/>
          <w:sz w:val="16"/>
          <w:szCs w:val="16"/>
        </w:rPr>
        <w:softHyphen/>
        <w:t>но. Да и поддержит ли его руководство в Наркомате, а уж Государственному Ко</w:t>
      </w:r>
      <w:r w:rsidRPr="008A2E5A">
        <w:rPr>
          <w:rFonts w:ascii="Times New Roman" w:hAnsi="Times New Roman"/>
          <w:color w:val="0070C0"/>
          <w:sz w:val="16"/>
          <w:szCs w:val="16"/>
        </w:rPr>
        <w:softHyphen/>
        <w:t>митету Обороны точно не до того...</w:t>
      </w:r>
    </w:p>
    <w:p w14:paraId="7C0B0633"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всегда можно использовать ре</w:t>
      </w:r>
      <w:r w:rsidRPr="008A2E5A">
        <w:rPr>
          <w:rFonts w:ascii="Times New Roman" w:hAnsi="Times New Roman"/>
          <w:color w:val="0070C0"/>
          <w:sz w:val="16"/>
          <w:szCs w:val="16"/>
        </w:rPr>
        <w:softHyphen/>
        <w:t>зервы рабочего времени, возникающие из-за непредвиденных перерывов в ос</w:t>
      </w:r>
      <w:r w:rsidRPr="008A2E5A">
        <w:rPr>
          <w:rFonts w:ascii="Times New Roman" w:hAnsi="Times New Roman"/>
          <w:color w:val="0070C0"/>
          <w:sz w:val="16"/>
          <w:szCs w:val="16"/>
        </w:rPr>
        <w:softHyphen/>
        <w:t>новных заданиях, чтобы подумать о пер</w:t>
      </w:r>
      <w:r w:rsidRPr="008A2E5A">
        <w:rPr>
          <w:rFonts w:ascii="Times New Roman" w:hAnsi="Times New Roman"/>
          <w:color w:val="0070C0"/>
          <w:sz w:val="16"/>
          <w:szCs w:val="16"/>
        </w:rPr>
        <w:softHyphen/>
        <w:t>спективах и просчитать возможные пути и в других направлениях кроме плановых. А более трудоемкую детальную конструк</w:t>
      </w:r>
      <w:r w:rsidRPr="008A2E5A">
        <w:rPr>
          <w:rFonts w:ascii="Times New Roman" w:hAnsi="Times New Roman"/>
          <w:color w:val="0070C0"/>
          <w:sz w:val="16"/>
          <w:szCs w:val="16"/>
        </w:rPr>
        <w:softHyphen/>
        <w:t>торскую проработку нескольких новых проектов одновременно ускоряет унифи</w:t>
      </w:r>
      <w:r w:rsidRPr="008A2E5A">
        <w:rPr>
          <w:rFonts w:ascii="Times New Roman" w:hAnsi="Times New Roman"/>
          <w:color w:val="0070C0"/>
          <w:sz w:val="16"/>
          <w:szCs w:val="16"/>
        </w:rPr>
        <w:softHyphen/>
        <w:t>кация их, что упрощает и строительство опытных образцов.</w:t>
      </w:r>
    </w:p>
    <w:p w14:paraId="4DF9D068"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Территория состав</w:t>
      </w:r>
      <w:r w:rsidRPr="008A2E5A">
        <w:rPr>
          <w:rFonts w:ascii="Times New Roman" w:hAnsi="Times New Roman"/>
          <w:color w:val="0070C0"/>
          <w:sz w:val="16"/>
          <w:szCs w:val="16"/>
        </w:rPr>
        <w:softHyphen/>
        <w:t>ляла 72000 кв. м, из них цехов - 2950 м2, и на ней были три корпуса, в которых оставалось 48 единиц оборудования.</w:t>
      </w:r>
    </w:p>
    <w:p w14:paraId="03BD059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корпусе №1 разместились дирекция, за</w:t>
      </w:r>
      <w:r w:rsidRPr="008A2E5A">
        <w:rPr>
          <w:rFonts w:ascii="Times New Roman" w:hAnsi="Times New Roman"/>
          <w:color w:val="0070C0"/>
          <w:sz w:val="16"/>
          <w:szCs w:val="16"/>
        </w:rPr>
        <w:softHyphen/>
        <w:t>водоуправление и ОКБ, во 2-м - механи</w:t>
      </w:r>
      <w:r w:rsidRPr="008A2E5A">
        <w:rPr>
          <w:rFonts w:ascii="Times New Roman" w:hAnsi="Times New Roman"/>
          <w:color w:val="0070C0"/>
          <w:sz w:val="16"/>
          <w:szCs w:val="16"/>
        </w:rPr>
        <w:softHyphen/>
        <w:t>ческий цех и инструментальная мастер</w:t>
      </w:r>
      <w:r w:rsidRPr="008A2E5A">
        <w:rPr>
          <w:rFonts w:ascii="Times New Roman" w:hAnsi="Times New Roman"/>
          <w:color w:val="0070C0"/>
          <w:sz w:val="16"/>
          <w:szCs w:val="16"/>
        </w:rPr>
        <w:softHyphen/>
        <w:t>ская, в 3-м - плазово-шаблонный, дере</w:t>
      </w:r>
      <w:r w:rsidRPr="008A2E5A">
        <w:rPr>
          <w:rFonts w:ascii="Times New Roman" w:hAnsi="Times New Roman"/>
          <w:color w:val="0070C0"/>
          <w:sz w:val="16"/>
          <w:szCs w:val="16"/>
        </w:rPr>
        <w:softHyphen/>
        <w:t>вообделочный и сборочный цеха и мас</w:t>
      </w:r>
      <w:r w:rsidRPr="008A2E5A">
        <w:rPr>
          <w:rFonts w:ascii="Times New Roman" w:hAnsi="Times New Roman"/>
          <w:color w:val="0070C0"/>
          <w:sz w:val="16"/>
          <w:szCs w:val="16"/>
        </w:rPr>
        <w:softHyphen/>
        <w:t>терская монтажа вооружения, остальные подразделения разместили во времен</w:t>
      </w:r>
      <w:r w:rsidRPr="008A2E5A">
        <w:rPr>
          <w:rFonts w:ascii="Times New Roman" w:hAnsi="Times New Roman"/>
          <w:color w:val="0070C0"/>
          <w:sz w:val="16"/>
          <w:szCs w:val="16"/>
        </w:rPr>
        <w:softHyphen/>
        <w:t>ных бараках.</w:t>
      </w:r>
    </w:p>
    <w:p w14:paraId="058D3E1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№155 ввели в строй в мае 1942 г., но на деле строить самолёты на его территории было пока невозмож</w:t>
      </w:r>
      <w:r w:rsidRPr="008A2E5A">
        <w:rPr>
          <w:rFonts w:ascii="Times New Roman" w:hAnsi="Times New Roman"/>
          <w:color w:val="0070C0"/>
          <w:sz w:val="16"/>
          <w:szCs w:val="16"/>
        </w:rPr>
        <w:softHyphen/>
        <w:t>но и об этом в первую очередь «болела голова» у его Главного конструктора и ди</w:t>
      </w:r>
      <w:r w:rsidRPr="008A2E5A">
        <w:rPr>
          <w:rFonts w:ascii="Times New Roman" w:hAnsi="Times New Roman"/>
          <w:color w:val="0070C0"/>
          <w:sz w:val="16"/>
          <w:szCs w:val="16"/>
        </w:rPr>
        <w:softHyphen/>
        <w:t>ректора Микояна (23958).</w:t>
      </w:r>
    </w:p>
    <w:p w14:paraId="1693BAF8" w14:textId="77777777" w:rsidR="00F71F22" w:rsidRPr="008A2E5A" w:rsidRDefault="00F71F22" w:rsidP="00F71F22">
      <w:pPr>
        <w:spacing w:after="0" w:line="240" w:lineRule="auto"/>
        <w:jc w:val="both"/>
        <w:rPr>
          <w:rFonts w:ascii="Times New Roman" w:hAnsi="Times New Roman"/>
          <w:color w:val="0070C0"/>
          <w:sz w:val="16"/>
          <w:szCs w:val="16"/>
        </w:rPr>
      </w:pPr>
    </w:p>
    <w:p w14:paraId="6288EB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ОКБ В.Я.Климова получило задание форсировать М-105 к 1 апреля (198,47).</w:t>
      </w:r>
    </w:p>
    <w:p w14:paraId="39C0FC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F5498"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 Постановление ГКО СССР № 1435 «О повышении скорости серийных истребителей и форсировании мотора М—І05П».</w:t>
      </w:r>
    </w:p>
    <w:p w14:paraId="0CFD2FD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 Hi 1435сс от ІЗ/ІІІ-42 ГОСУДАРСТВЕННОГО КОМИТЕТА ОБОРОНЫ</w:t>
      </w:r>
    </w:p>
    <w:p w14:paraId="681FFF9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2E9D83E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повышении скорости серийных истребителей и форсировании мотора М—І05П.</w:t>
      </w:r>
    </w:p>
    <w:p w14:paraId="6BD9D6E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целью повышения боеспособности советских серийных истребителей без существенных</w:t>
      </w:r>
    </w:p>
    <w:p w14:paraId="1F177A80"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изменений в серийном производстве и в кратчайший срок Государственный Комитет</w:t>
      </w:r>
    </w:p>
    <w:p w14:paraId="62C334B9"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Обороны ПОСТАНОВЛЯЕТ:</w:t>
      </w:r>
    </w:p>
    <w:p w14:paraId="75CA8E3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Обязать народного комиссара авиационной промышленности тов. ШАХУРИНА и главного конструктора тов. КЛИМОВА форсировать мощность мотора І05П путем повышения наддува нагнетателя с 930 мм рт. столба до 1050 мм и к I.IV.1942 года обеспечить подготовку серийного выпуска форсированных моторов І05П со следующими характеристиками:</w:t>
      </w:r>
    </w:p>
    <w:p w14:paraId="76BE1111"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номинальная мощность у земли — 1180 - 1200 л.с.</w:t>
      </w:r>
    </w:p>
    <w:p w14:paraId="74A1B19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номинальная мощность на высоте 800 мт* — 1210 л.с.</w:t>
      </w:r>
    </w:p>
    <w:p w14:paraId="7A269D6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номинальная мощность на высоте 2800 мт* — 1150 л.с.</w:t>
      </w:r>
    </w:p>
    <w:p w14:paraId="3672925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Для выявления необходимых конструктивных мероприятий по М-І05П с наддувом 1050 хмм ртутного столба до его запуска в серийное производство обязать НКАП и НКО провести следующие работы:</w:t>
      </w:r>
    </w:p>
    <w:p w14:paraId="6465573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Заводу № 153 совместно с ЛИИ НКАП и НИИ ВВС КА к 25 *марта 1942 года провести летные испытания самолета ЯК—7 с моторохМ І05П, отрегулированньш на наддув 1050 мм ртутного столба.</w:t>
      </w:r>
    </w:p>
    <w:p w14:paraId="1ED0C97B"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б) ВВС КА в пятидневный срок перевести один из полков на пробную эксплуатацию ЯК—I с </w:t>
      </w:r>
      <w:proofErr w:type="gramStart"/>
      <w:r w:rsidRPr="008A2E5A">
        <w:rPr>
          <w:rFonts w:ascii="Times New Roman" w:hAnsi="Times New Roman"/>
          <w:color w:val="0070C0"/>
          <w:sz w:val="16"/>
          <w:szCs w:val="16"/>
        </w:rPr>
        <w:t>мотора*ми</w:t>
      </w:r>
      <w:proofErr w:type="gramEnd"/>
      <w:r w:rsidRPr="008A2E5A">
        <w:rPr>
          <w:rFonts w:ascii="Times New Roman" w:hAnsi="Times New Roman"/>
          <w:color w:val="0070C0"/>
          <w:sz w:val="16"/>
          <w:szCs w:val="16"/>
        </w:rPr>
        <w:t xml:space="preserve"> І05П, приспособленныхми для работы на повышеннОхМ наддуве.</w:t>
      </w:r>
    </w:p>
    <w:p w14:paraId="4ACE32F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Заводу № 26 к I.IV.42 года провести 100—часовые стендовые испытания моторов І05П с наддувОхМ 1050 м*м рт• столба с целью проверки надежности и выявления срока службы мотора.</w:t>
      </w:r>
    </w:p>
    <w:p w14:paraId="63874D2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Форсировать доводку и испытания мотора МІ05Ф на самолете Пе-2. Работу провести совместно заводам НІНІ 26, 22, ЛИИ НКАП и НИИ ВВС.</w:t>
      </w:r>
    </w:p>
    <w:p w14:paraId="58A6EBC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народного комиссара авиационной прохмышленности тов. ШАХУРИНА и Начальника ЦИАМ тов. КАШИРИНА обеспечить к I5.IV.42 г. сборку и сдачу заводу № 115 5 моторов, а к I.V.42 г. 10 моторов І05П с нагнетателем Доллежаля, для их доводки и летных испытаний на самолетах ЯК—7.</w:t>
      </w:r>
    </w:p>
    <w:p w14:paraId="16B08771"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Доводку и летные испытания этих моторов поручить ЦИАМ, ЛИИ НКАП и заводу № 115.</w:t>
      </w:r>
    </w:p>
    <w:p w14:paraId="0D48B27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Всвхмерно форсировать доводку самолета ЛАГГ—3 с мотором 107 и его летные испытания, для чего дополнительно к работам, проводящимся главным конструктором три самолета ЛАГГ-3 с этим мотором.</w:t>
      </w:r>
    </w:p>
    <w:p w14:paraId="38F39D2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w:t>
      </w:r>
    </w:p>
    <w:p w14:paraId="74E1C3A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«За (с поправкой). И. Сталин»</w:t>
      </w:r>
    </w:p>
    <w:p w14:paraId="141BC49F"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[Выписки]: Маленкову, Шахурину + Молотову, Жигареву, Попову (МГК), Климову, Каширину — 4.</w:t>
      </w:r>
    </w:p>
    <w:p w14:paraId="0852D16C"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6C38BE8D"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On. 2, Д. 42, Л* 64-</w:t>
      </w:r>
      <w:proofErr w:type="gramStart"/>
      <w:r w:rsidRPr="008A2E5A">
        <w:rPr>
          <w:rFonts w:ascii="Times New Roman" w:hAnsi="Times New Roman"/>
          <w:color w:val="0070C0"/>
          <w:sz w:val="16"/>
          <w:szCs w:val="16"/>
        </w:rPr>
        <w:t>65« Подлинник</w:t>
      </w:r>
      <w:proofErr w:type="gramEnd"/>
      <w:r w:rsidRPr="008A2E5A">
        <w:rPr>
          <w:rFonts w:ascii="Times New Roman" w:hAnsi="Times New Roman"/>
          <w:color w:val="0070C0"/>
          <w:sz w:val="16"/>
          <w:szCs w:val="16"/>
        </w:rPr>
        <w:t>. Машинописный текст, Подпись и</w:t>
      </w:r>
    </w:p>
    <w:p w14:paraId="57F3086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 автограф И.В. Сталина (23718).</w:t>
      </w:r>
    </w:p>
    <w:p w14:paraId="219647E3" w14:textId="77777777" w:rsidR="00F71F22" w:rsidRPr="008A2E5A" w:rsidRDefault="00F71F22" w:rsidP="00F71F22">
      <w:pPr>
        <w:spacing w:after="0" w:line="240" w:lineRule="auto"/>
        <w:jc w:val="both"/>
        <w:rPr>
          <w:rFonts w:ascii="Times New Roman" w:hAnsi="Times New Roman"/>
          <w:color w:val="0070C0"/>
          <w:sz w:val="16"/>
          <w:szCs w:val="16"/>
        </w:rPr>
      </w:pPr>
    </w:p>
    <w:p w14:paraId="3BB10A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1438 Об организации производства самолетов Як-7 на заводе № 21 НКАП. РГАНИР, Фонд ГКО, д. 24, лл. 94 (11012).</w:t>
      </w:r>
    </w:p>
    <w:p w14:paraId="11E783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AC1AB"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1438 Об организации производства самолетов Як-7 на заводе № 21 НКАП</w:t>
      </w:r>
    </w:p>
    <w:p w14:paraId="26D4B6BB"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 т.Шахурина, Главного Кон</w:t>
      </w:r>
      <w:r w:rsidRPr="008127F8">
        <w:rPr>
          <w:rFonts w:ascii="Times New Roman" w:hAnsi="Times New Roman"/>
          <w:color w:val="000000" w:themeColor="text1"/>
          <w:sz w:val="16"/>
          <w:szCs w:val="16"/>
        </w:rPr>
        <w:softHyphen/>
        <w:t xml:space="preserve">структора - т.Яковлева и директора завода № 21 - т.Гостинева организовать на заводе № 21 производство самолетов </w:t>
      </w:r>
      <w:r w:rsidRPr="008127F8">
        <w:rPr>
          <w:rStyle w:val="0pt"/>
          <w:rFonts w:ascii="Times New Roman" w:hAnsi="Times New Roman" w:cs="Times New Roman"/>
          <w:color w:val="000000" w:themeColor="text1"/>
          <w:spacing w:val="0"/>
          <w:sz w:val="16"/>
          <w:szCs w:val="16"/>
        </w:rPr>
        <w:t>к-7.</w:t>
      </w:r>
      <w:r w:rsidRPr="008127F8">
        <w:rPr>
          <w:rFonts w:ascii="Times New Roman" w:hAnsi="Times New Roman"/>
          <w:color w:val="000000" w:themeColor="text1"/>
          <w:sz w:val="16"/>
          <w:szCs w:val="16"/>
        </w:rPr>
        <w:t xml:space="preserve"> Внедрение самолета Як-7 в производство осуществлять не снижая достигнутого уровня ежесуточного выпуска 10 самолетов в день.</w:t>
      </w:r>
    </w:p>
    <w:p w14:paraId="4972F648"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директора эавода № </w:t>
      </w:r>
      <w:r w:rsidRPr="008127F8">
        <w:rPr>
          <w:rStyle w:val="0pt"/>
          <w:rFonts w:ascii="Times New Roman" w:hAnsi="Times New Roman" w:cs="Times New Roman"/>
          <w:color w:val="000000" w:themeColor="text1"/>
          <w:spacing w:val="0"/>
          <w:sz w:val="16"/>
          <w:szCs w:val="16"/>
        </w:rPr>
        <w:t>153 -</w:t>
      </w:r>
      <w:r w:rsidRPr="008127F8">
        <w:rPr>
          <w:rFonts w:ascii="Times New Roman" w:hAnsi="Times New Roman"/>
          <w:color w:val="000000" w:themeColor="text1"/>
          <w:sz w:val="16"/>
          <w:szCs w:val="16"/>
        </w:rPr>
        <w:t xml:space="preserve"> т.Романова пере</w:t>
      </w:r>
      <w:r w:rsidRPr="008127F8">
        <w:rPr>
          <w:rFonts w:ascii="Times New Roman" w:hAnsi="Times New Roman"/>
          <w:color w:val="000000" w:themeColor="text1"/>
          <w:sz w:val="16"/>
          <w:szCs w:val="16"/>
        </w:rPr>
        <w:softHyphen/>
        <w:t xml:space="preserve">дать до </w:t>
      </w:r>
      <w:r w:rsidRPr="008127F8">
        <w:rPr>
          <w:rStyle w:val="0pt"/>
          <w:rFonts w:ascii="Times New Roman" w:hAnsi="Times New Roman" w:cs="Times New Roman"/>
          <w:color w:val="000000" w:themeColor="text1"/>
          <w:spacing w:val="0"/>
          <w:sz w:val="16"/>
          <w:szCs w:val="16"/>
        </w:rPr>
        <w:t>15.1У</w:t>
      </w:r>
      <w:r w:rsidRPr="008127F8">
        <w:rPr>
          <w:rFonts w:ascii="Times New Roman" w:hAnsi="Times New Roman"/>
          <w:color w:val="000000" w:themeColor="text1"/>
          <w:sz w:val="16"/>
          <w:szCs w:val="16"/>
        </w:rPr>
        <w:t xml:space="preserve"> с.г. заводу № 21 в счет программы двадцать пять комплектов деталей самолета Як-7.</w:t>
      </w:r>
    </w:p>
    <w:p w14:paraId="5A5EF388" w14:textId="77777777" w:rsidR="003A6F23" w:rsidRPr="008127F8" w:rsidRDefault="003A6F23" w:rsidP="001E0A84">
      <w:pPr>
        <w:tabs>
          <w:tab w:val="left" w:pos="223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Установить программу по выпуску самолетов Як-7 на ваводе № 21 на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 в количестве </w:t>
      </w:r>
      <w:r w:rsidRPr="008127F8">
        <w:rPr>
          <w:rStyle w:val="0pt"/>
          <w:rFonts w:ascii="Times New Roman" w:hAnsi="Times New Roman" w:cs="Times New Roman"/>
          <w:color w:val="000000" w:themeColor="text1"/>
          <w:spacing w:val="0"/>
          <w:sz w:val="16"/>
          <w:szCs w:val="16"/>
        </w:rPr>
        <w:t>1450</w:t>
      </w:r>
      <w:r w:rsidRPr="008127F8">
        <w:rPr>
          <w:rFonts w:ascii="Times New Roman" w:hAnsi="Times New Roman"/>
          <w:color w:val="000000" w:themeColor="text1"/>
          <w:sz w:val="16"/>
          <w:szCs w:val="16"/>
        </w:rPr>
        <w:t xml:space="preserve"> самолетов, из них:</w:t>
      </w:r>
    </w:p>
    <w:p w14:paraId="07B19E46" w14:textId="77777777" w:rsidR="003A6F23" w:rsidRPr="008127F8" w:rsidRDefault="003A6F23" w:rsidP="001E0A84">
      <w:pPr>
        <w:tabs>
          <w:tab w:val="left" w:pos="463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b/>
        <w:t>Як-7</w:t>
      </w:r>
      <w:r w:rsidRPr="008127F8">
        <w:rPr>
          <w:rFonts w:ascii="Times New Roman" w:hAnsi="Times New Roman"/>
          <w:color w:val="000000" w:themeColor="text1"/>
          <w:sz w:val="16"/>
          <w:szCs w:val="16"/>
        </w:rPr>
        <w:tab/>
        <w:t>Лагг-3</w:t>
      </w:r>
    </w:p>
    <w:p w14:paraId="44118C31" w14:textId="77777777" w:rsidR="003A6F23" w:rsidRPr="008127F8" w:rsidRDefault="003A6F23" w:rsidP="001E0A84">
      <w:pPr>
        <w:tabs>
          <w:tab w:val="right" w:pos="34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t>10 самол.</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t xml:space="preserve"> </w:t>
      </w:r>
      <w:r w:rsidRPr="008127F8">
        <w:rPr>
          <w:rStyle w:val="0pt"/>
          <w:rFonts w:ascii="Times New Roman" w:hAnsi="Times New Roman" w:cs="Times New Roman"/>
          <w:color w:val="000000" w:themeColor="text1"/>
          <w:spacing w:val="0"/>
          <w:sz w:val="16"/>
          <w:szCs w:val="16"/>
        </w:rPr>
        <w:t>270</w:t>
      </w:r>
      <w:r w:rsidRPr="008127F8">
        <w:rPr>
          <w:rFonts w:ascii="Times New Roman" w:hAnsi="Times New Roman"/>
          <w:color w:val="000000" w:themeColor="text1"/>
          <w:sz w:val="16"/>
          <w:szCs w:val="16"/>
        </w:rPr>
        <w:t xml:space="preserve"> самол.</w:t>
      </w:r>
    </w:p>
    <w:p w14:paraId="703C0672" w14:textId="77777777" w:rsidR="003A6F23" w:rsidRPr="008127F8" w:rsidRDefault="00A34F1D" w:rsidP="001E0A84">
      <w:pPr>
        <w:tabs>
          <w:tab w:val="right" w:pos="3438"/>
          <w:tab w:val="left" w:pos="3843"/>
          <w:tab w:val="right" w:pos="513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fldChar w:fldCharType="begin"/>
      </w:r>
      <w:r w:rsidR="003A6F23" w:rsidRPr="008127F8">
        <w:rPr>
          <w:rFonts w:ascii="Times New Roman" w:hAnsi="Times New Roman"/>
          <w:color w:val="000000" w:themeColor="text1"/>
          <w:sz w:val="16"/>
          <w:szCs w:val="16"/>
        </w:rPr>
        <w:instrText xml:space="preserve"> TOC \o "1-3" \h \z </w:instrText>
      </w:r>
      <w:r w:rsidRPr="008127F8">
        <w:rPr>
          <w:rFonts w:ascii="Times New Roman" w:hAnsi="Times New Roman"/>
          <w:color w:val="000000" w:themeColor="text1"/>
          <w:sz w:val="16"/>
          <w:szCs w:val="16"/>
        </w:rPr>
        <w:fldChar w:fldCharType="separate"/>
      </w:r>
      <w:r w:rsidR="003A6F23" w:rsidRPr="008127F8">
        <w:rPr>
          <w:rFonts w:ascii="Times New Roman" w:hAnsi="Times New Roman"/>
          <w:color w:val="000000" w:themeColor="text1"/>
          <w:sz w:val="16"/>
          <w:szCs w:val="16"/>
        </w:rPr>
        <w:t>В июне</w:t>
      </w:r>
      <w:r w:rsidR="003A6F23" w:rsidRPr="008127F8">
        <w:rPr>
          <w:rFonts w:ascii="Times New Roman" w:hAnsi="Times New Roman"/>
          <w:color w:val="000000" w:themeColor="text1"/>
          <w:sz w:val="16"/>
          <w:szCs w:val="16"/>
        </w:rPr>
        <w:tab/>
        <w:t>40</w:t>
      </w:r>
      <w:r w:rsidR="003A6F23" w:rsidRPr="008127F8">
        <w:rPr>
          <w:rFonts w:ascii="Times New Roman" w:hAnsi="Times New Roman"/>
          <w:color w:val="000000" w:themeColor="text1"/>
          <w:sz w:val="16"/>
          <w:szCs w:val="16"/>
        </w:rPr>
        <w:tab/>
        <w:t>"</w:t>
      </w:r>
      <w:r w:rsidR="003A6F23" w:rsidRPr="008127F8">
        <w:rPr>
          <w:rFonts w:ascii="Times New Roman" w:hAnsi="Times New Roman"/>
          <w:color w:val="000000" w:themeColor="text1"/>
          <w:sz w:val="16"/>
          <w:szCs w:val="16"/>
        </w:rPr>
        <w:tab/>
      </w:r>
      <w:r w:rsidR="003A6F23" w:rsidRPr="008127F8">
        <w:rPr>
          <w:rStyle w:val="0pt4"/>
          <w:rFonts w:ascii="Times New Roman" w:hAnsi="Times New Roman" w:cs="Times New Roman"/>
          <w:color w:val="000000" w:themeColor="text1"/>
          <w:sz w:val="16"/>
          <w:szCs w:val="16"/>
        </w:rPr>
        <w:t>240</w:t>
      </w:r>
    </w:p>
    <w:p w14:paraId="49D02AAA" w14:textId="77777777" w:rsidR="003A6F23" w:rsidRPr="008127F8" w:rsidRDefault="003A6F23" w:rsidP="001E0A84">
      <w:pPr>
        <w:tabs>
          <w:tab w:val="right" w:pos="3423"/>
          <w:tab w:val="left" w:pos="3828"/>
          <w:tab w:val="right" w:pos="513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100</w:t>
      </w:r>
      <w:r w:rsidRPr="008127F8">
        <w:rPr>
          <w:rStyle w:val="0pt4"/>
          <w:rFonts w:ascii="Times New Roman" w:hAnsi="Times New Roman" w:cs="Times New Roman"/>
          <w:color w:val="000000" w:themeColor="text1"/>
          <w:sz w:val="16"/>
          <w:szCs w:val="16"/>
        </w:rPr>
        <w:tab/>
      </w:r>
      <w:r w:rsidRPr="008127F8">
        <w:rPr>
          <w:rStyle w:val="0pt4"/>
          <w:rFonts w:ascii="Times New Roman" w:hAnsi="Times New Roman" w:cs="Times New Roman"/>
          <w:color w:val="000000" w:themeColor="text1"/>
          <w:sz w:val="16"/>
          <w:szCs w:val="16"/>
          <w:vertAlign w:val="superscript"/>
        </w:rPr>
        <w:t>н</w:t>
      </w:r>
      <w:r w:rsidRPr="008127F8">
        <w:rPr>
          <w:rStyle w:val="0pt4"/>
          <w:rFonts w:ascii="Times New Roman" w:hAnsi="Times New Roman" w:cs="Times New Roman"/>
          <w:color w:val="000000" w:themeColor="text1"/>
          <w:sz w:val="16"/>
          <w:szCs w:val="16"/>
        </w:rPr>
        <w:tab/>
        <w:t>180</w:t>
      </w:r>
    </w:p>
    <w:p w14:paraId="5201A149" w14:textId="77777777" w:rsidR="003A6F23" w:rsidRPr="008127F8" w:rsidRDefault="003A6F23" w:rsidP="001E0A84">
      <w:pPr>
        <w:tabs>
          <w:tab w:val="right" w:pos="3423"/>
          <w:tab w:val="left" w:pos="3828"/>
          <w:tab w:val="left" w:pos="47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августе</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180</w:t>
      </w:r>
      <w:r w:rsidRPr="008127F8">
        <w:rPr>
          <w:rStyle w:val="0pt4"/>
          <w:rFonts w:ascii="Times New Roman" w:hAnsi="Times New Roman" w:cs="Times New Roman"/>
          <w:color w:val="000000" w:themeColor="text1"/>
          <w:sz w:val="16"/>
          <w:szCs w:val="16"/>
        </w:rPr>
        <w:tab/>
        <w:t>"</w:t>
      </w:r>
      <w:r w:rsidRPr="008127F8">
        <w:rPr>
          <w:rStyle w:val="0pt4"/>
          <w:rFonts w:ascii="Times New Roman" w:hAnsi="Times New Roman" w:cs="Times New Roman"/>
          <w:color w:val="000000" w:themeColor="text1"/>
          <w:sz w:val="16"/>
          <w:szCs w:val="16"/>
        </w:rPr>
        <w:tab/>
        <w:t>100 "</w:t>
      </w:r>
    </w:p>
    <w:p w14:paraId="23954C15" w14:textId="77777777" w:rsidR="003A6F23" w:rsidRPr="008127F8" w:rsidRDefault="003A6F23" w:rsidP="001E0A84">
      <w:pPr>
        <w:tabs>
          <w:tab w:val="right" w:pos="3438"/>
          <w:tab w:val="right" w:pos="396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250</w:t>
      </w:r>
      <w:r w:rsidRPr="008127F8">
        <w:rPr>
          <w:rStyle w:val="0pt4"/>
          <w:rFonts w:ascii="Times New Roman" w:hAnsi="Times New Roman" w:cs="Times New Roman"/>
          <w:color w:val="000000" w:themeColor="text1"/>
          <w:sz w:val="16"/>
          <w:szCs w:val="16"/>
        </w:rPr>
        <w:tab/>
        <w:t>"</w:t>
      </w:r>
    </w:p>
    <w:p w14:paraId="31947DF3" w14:textId="77777777" w:rsidR="003A6F23" w:rsidRPr="008127F8" w:rsidRDefault="003A6F23" w:rsidP="001E0A84">
      <w:pPr>
        <w:tabs>
          <w:tab w:val="right" w:pos="3423"/>
          <w:tab w:val="right" w:pos="396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280</w:t>
      </w:r>
      <w:r w:rsidRPr="008127F8">
        <w:rPr>
          <w:rStyle w:val="0pt4"/>
          <w:rFonts w:ascii="Times New Roman" w:hAnsi="Times New Roman" w:cs="Times New Roman"/>
          <w:color w:val="000000" w:themeColor="text1"/>
          <w:sz w:val="16"/>
          <w:szCs w:val="16"/>
        </w:rPr>
        <w:tab/>
        <w:t>"</w:t>
      </w:r>
    </w:p>
    <w:p w14:paraId="28B08F39" w14:textId="77777777" w:rsidR="003A6F23" w:rsidRPr="008127F8" w:rsidRDefault="003A6F23" w:rsidP="001E0A84">
      <w:pPr>
        <w:tabs>
          <w:tab w:val="right" w:pos="3430"/>
          <w:tab w:val="right" w:pos="396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290</w:t>
      </w:r>
      <w:r w:rsidRPr="008127F8">
        <w:rPr>
          <w:rStyle w:val="0pt4"/>
          <w:rFonts w:ascii="Times New Roman" w:hAnsi="Times New Roman" w:cs="Times New Roman"/>
          <w:color w:val="000000" w:themeColor="text1"/>
          <w:sz w:val="16"/>
          <w:szCs w:val="16"/>
        </w:rPr>
        <w:tab/>
        <w:t>"</w:t>
      </w:r>
    </w:p>
    <w:p w14:paraId="18733D2D" w14:textId="77777777" w:rsidR="003A6F23" w:rsidRPr="008127F8" w:rsidRDefault="003A6F23" w:rsidP="001E0A84">
      <w:pPr>
        <w:tabs>
          <w:tab w:val="right" w:pos="3430"/>
          <w:tab w:val="left" w:pos="3835"/>
          <w:tab w:val="right" w:pos="513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300</w:t>
      </w:r>
      <w:r w:rsidRPr="008127F8">
        <w:rPr>
          <w:rStyle w:val="0pt4"/>
          <w:rFonts w:ascii="Times New Roman" w:hAnsi="Times New Roman" w:cs="Times New Roman"/>
          <w:color w:val="000000" w:themeColor="text1"/>
          <w:sz w:val="16"/>
          <w:szCs w:val="16"/>
        </w:rPr>
        <w:tab/>
        <w:t>"</w:t>
      </w:r>
      <w:r w:rsidRPr="008127F8">
        <w:rPr>
          <w:rStyle w:val="0pt4"/>
          <w:rFonts w:ascii="Times New Roman" w:hAnsi="Times New Roman" w:cs="Times New Roman"/>
          <w:color w:val="000000" w:themeColor="text1"/>
          <w:sz w:val="16"/>
          <w:szCs w:val="16"/>
        </w:rPr>
        <w:tab/>
        <w:t>-</w:t>
      </w:r>
      <w:r w:rsidR="00A34F1D" w:rsidRPr="008127F8">
        <w:rPr>
          <w:rFonts w:ascii="Times New Roman" w:hAnsi="Times New Roman"/>
          <w:color w:val="000000" w:themeColor="text1"/>
          <w:sz w:val="16"/>
          <w:szCs w:val="16"/>
        </w:rPr>
        <w:fldChar w:fldCharType="end"/>
      </w:r>
    </w:p>
    <w:p w14:paraId="17FE950F" w14:textId="77777777" w:rsidR="003A6F23" w:rsidRPr="008127F8" w:rsidRDefault="003A6F23" w:rsidP="001E0A84">
      <w:pPr>
        <w:tabs>
          <w:tab w:val="left" w:pos="222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для завода № 21 НКАП премиальную оп</w:t>
      </w:r>
      <w:r w:rsidRPr="008127F8">
        <w:rPr>
          <w:rFonts w:ascii="Times New Roman" w:hAnsi="Times New Roman"/>
          <w:color w:val="000000" w:themeColor="text1"/>
          <w:sz w:val="16"/>
          <w:szCs w:val="16"/>
        </w:rPr>
        <w:softHyphen/>
        <w:t xml:space="preserve">лату для инженерно-технических работников и рабочих эа </w:t>
      </w:r>
      <w:r w:rsidRPr="008127F8">
        <w:rPr>
          <w:rStyle w:val="Batang8pt0pt0"/>
          <w:rFonts w:ascii="Times New Roman" w:hAnsi="Times New Roman" w:cs="Times New Roman"/>
          <w:color w:val="000000" w:themeColor="text1"/>
          <w:spacing w:val="0"/>
        </w:rPr>
        <w:t>выпуск</w:t>
      </w:r>
      <w:r w:rsidRPr="008127F8">
        <w:rPr>
          <w:rFonts w:ascii="Times New Roman" w:hAnsi="Times New Roman"/>
          <w:color w:val="000000" w:themeColor="text1"/>
          <w:sz w:val="16"/>
          <w:szCs w:val="16"/>
        </w:rPr>
        <w:t xml:space="preserve"> двадцати готовых самолетов Як-7 из своих деталей к 10 июня - три миллиона рублей, из них: инженерно-техническому и руководящему составу - один миллион рублей и рабочим - два миллиона рублей.</w:t>
      </w:r>
    </w:p>
    <w:p w14:paraId="1CA90C49"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5.Обязать Наркомфин - т.Зверева выделить НКАП на постановку производства самолетов Як-7 на заводе №21 - десять миллионов рублей (19305).</w:t>
      </w:r>
    </w:p>
    <w:p w14:paraId="1C4909F7" w14:textId="77777777" w:rsidR="003A6F23" w:rsidRPr="008127F8" w:rsidRDefault="003A6F23" w:rsidP="001E0A84">
      <w:pPr>
        <w:spacing w:after="0" w:line="240" w:lineRule="auto"/>
        <w:jc w:val="both"/>
        <w:rPr>
          <w:rFonts w:ascii="Times New Roman" w:hAnsi="Times New Roman"/>
          <w:color w:val="000000" w:themeColor="text1"/>
          <w:sz w:val="16"/>
          <w:szCs w:val="16"/>
        </w:rPr>
      </w:pPr>
    </w:p>
    <w:p w14:paraId="390FFA1C" w14:textId="77777777" w:rsidR="003A6F23" w:rsidRPr="008127F8" w:rsidRDefault="003A6F2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AD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ГКО постановлением N ГКО-1438сс обязал НКАП организовать на заводе 21 производство самолетов Як-7 (1544,31).</w:t>
      </w:r>
    </w:p>
    <w:p w14:paraId="156C1E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CCA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о запуске на заводе 21 самолетов Як-7 вместо ЛаГГ-3 (924,84).</w:t>
      </w:r>
    </w:p>
    <w:p w14:paraId="0462FA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A6D0E"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 было подписано постановление ГКО № 1438сс «Об организации производства само</w:t>
      </w:r>
      <w:r w:rsidRPr="008A2E5A">
        <w:rPr>
          <w:rFonts w:ascii="Times New Roman" w:hAnsi="Times New Roman"/>
          <w:color w:val="0070C0"/>
          <w:sz w:val="16"/>
          <w:szCs w:val="16"/>
        </w:rPr>
        <w:softHyphen/>
        <w:t>летов ЯК-7 на заводе № 21 Наркомата авиа</w:t>
      </w:r>
      <w:r w:rsidRPr="008A2E5A">
        <w:rPr>
          <w:rFonts w:ascii="Times New Roman" w:hAnsi="Times New Roman"/>
          <w:color w:val="0070C0"/>
          <w:sz w:val="16"/>
          <w:szCs w:val="16"/>
        </w:rPr>
        <w:softHyphen/>
        <w:t>ционной промышленности». В нем уже уста</w:t>
      </w:r>
      <w:r w:rsidRPr="008A2E5A">
        <w:rPr>
          <w:rFonts w:ascii="Times New Roman" w:hAnsi="Times New Roman"/>
          <w:color w:val="0070C0"/>
          <w:sz w:val="16"/>
          <w:szCs w:val="16"/>
        </w:rPr>
        <w:softHyphen/>
        <w:t>навливался график перехода на выпуск Як-7. Последние ЛаГГ-3 в Горьком планировалось изготовить в августе 1942 года. Хотя при об</w:t>
      </w:r>
      <w:r w:rsidRPr="008A2E5A">
        <w:rPr>
          <w:rFonts w:ascii="Times New Roman" w:hAnsi="Times New Roman"/>
          <w:color w:val="0070C0"/>
          <w:sz w:val="16"/>
          <w:szCs w:val="16"/>
        </w:rPr>
        <w:softHyphen/>
        <w:t>суждении и подписании обоих постановле</w:t>
      </w:r>
      <w:r w:rsidRPr="008A2E5A">
        <w:rPr>
          <w:rFonts w:ascii="Times New Roman" w:hAnsi="Times New Roman"/>
          <w:color w:val="0070C0"/>
          <w:sz w:val="16"/>
          <w:szCs w:val="16"/>
        </w:rPr>
        <w:softHyphen/>
        <w:t>ний в Кремле находились А.И Шахурин, П.В. Дементьев и А.С. Яковлев, 4 марта вопрос явно возник для них неожиданно. Текст по</w:t>
      </w:r>
      <w:r w:rsidRPr="008A2E5A">
        <w:rPr>
          <w:rFonts w:ascii="Times New Roman" w:hAnsi="Times New Roman"/>
          <w:color w:val="0070C0"/>
          <w:sz w:val="16"/>
          <w:szCs w:val="16"/>
        </w:rPr>
        <w:softHyphen/>
        <w:t>становления кому-то пришлось писать каран</w:t>
      </w:r>
      <w:r w:rsidRPr="008A2E5A">
        <w:rPr>
          <w:rFonts w:ascii="Times New Roman" w:hAnsi="Times New Roman"/>
          <w:color w:val="0070C0"/>
          <w:sz w:val="16"/>
          <w:szCs w:val="16"/>
        </w:rPr>
        <w:softHyphen/>
        <w:t>дашом от руки (23389).</w:t>
      </w:r>
    </w:p>
    <w:p w14:paraId="63D6A6BF" w14:textId="77777777" w:rsidR="00F71F22" w:rsidRPr="008A2E5A" w:rsidRDefault="00F71F22" w:rsidP="00F71F22">
      <w:pPr>
        <w:spacing w:after="0" w:line="240" w:lineRule="auto"/>
        <w:jc w:val="both"/>
        <w:rPr>
          <w:rFonts w:ascii="Times New Roman" w:hAnsi="Times New Roman"/>
          <w:color w:val="0070C0"/>
          <w:sz w:val="16"/>
          <w:szCs w:val="16"/>
        </w:rPr>
      </w:pPr>
    </w:p>
    <w:p w14:paraId="240551D5"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 ГКО своим постановлением №1435сс (дублирующий приказ НКАП №214сс от 16 марта 1942 г.) «с целью повышения боеспособности советских серийных истребителей без существенных изменений в серийном производстве и в кратчайший срок» предложил КБ Климова форсировать мощность мотора М-105ПА путем увеличения давления наддува с 930 до 1050 мм рт.ст. При этом ставилась за</w:t>
      </w:r>
      <w:r w:rsidRPr="008A2E5A">
        <w:rPr>
          <w:rFonts w:ascii="Times New Roman" w:hAnsi="Times New Roman"/>
          <w:color w:val="0070C0"/>
          <w:sz w:val="16"/>
          <w:szCs w:val="16"/>
        </w:rPr>
        <w:softHyphen/>
        <w:t>дача получить номинальную мощность у земли 1180-1200 л.с., на высоте 800 м - 1210 л.с., а на высоте 2800 м - 1150 л.с. и подготовить серийный выпуск мотора к 1 апреля 1942 г. В перечне необходимых мероприятий предписы</w:t>
      </w:r>
      <w:r w:rsidRPr="008A2E5A">
        <w:rPr>
          <w:rFonts w:ascii="Times New Roman" w:hAnsi="Times New Roman"/>
          <w:color w:val="0070C0"/>
          <w:sz w:val="16"/>
          <w:szCs w:val="16"/>
        </w:rPr>
        <w:softHyphen/>
        <w:t>валось:</w:t>
      </w:r>
    </w:p>
    <w:p w14:paraId="7B211046"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директору завода №153, начальнику ЛИИ Н</w:t>
      </w:r>
      <w:proofErr w:type="gramStart"/>
      <w:r w:rsidRPr="008A2E5A">
        <w:rPr>
          <w:rFonts w:ascii="Times New Roman" w:hAnsi="Times New Roman"/>
          <w:color w:val="0070C0"/>
          <w:sz w:val="16"/>
          <w:szCs w:val="16"/>
        </w:rPr>
        <w:t>'.АП</w:t>
      </w:r>
      <w:proofErr w:type="gramEnd"/>
      <w:r w:rsidRPr="008A2E5A">
        <w:rPr>
          <w:rFonts w:ascii="Times New Roman" w:hAnsi="Times New Roman"/>
          <w:color w:val="0070C0"/>
          <w:sz w:val="16"/>
          <w:szCs w:val="16"/>
        </w:rPr>
        <w:t xml:space="preserve"> А.В. Чесалову совместно с НИИ ВВС к 25 марта 1942 г. провес</w:t>
      </w:r>
      <w:r w:rsidRPr="008A2E5A">
        <w:rPr>
          <w:rFonts w:ascii="Times New Roman" w:hAnsi="Times New Roman"/>
          <w:color w:val="0070C0"/>
          <w:sz w:val="16"/>
          <w:szCs w:val="16"/>
        </w:rPr>
        <w:softHyphen/>
        <w:t>ти летные испытания Як-7 с этим мотором;</w:t>
      </w:r>
    </w:p>
    <w:p w14:paraId="3E7A3A9A"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директору завода №26 и заместителю наркома В.П. Баландину к 1 апреля 1942 г. провести 100-часовые стендовые испытания;</w:t>
      </w:r>
    </w:p>
    <w:p w14:paraId="7226F272"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 пятидневный срок перевести один из полков Як-1 на пробную эксплуатацию М-105П, приспособленных для работы на повышенном давлении наддува (23381).</w:t>
      </w:r>
    </w:p>
    <w:p w14:paraId="5B2FEAB6" w14:textId="77777777" w:rsidR="00F71F22" w:rsidRPr="008A2E5A" w:rsidRDefault="00F71F22" w:rsidP="00F71F22">
      <w:pPr>
        <w:spacing w:after="0" w:line="240" w:lineRule="auto"/>
        <w:jc w:val="both"/>
        <w:rPr>
          <w:rFonts w:ascii="Times New Roman" w:hAnsi="Times New Roman"/>
          <w:color w:val="0070C0"/>
          <w:sz w:val="16"/>
          <w:szCs w:val="16"/>
        </w:rPr>
      </w:pPr>
    </w:p>
    <w:p w14:paraId="584C2627" w14:textId="77777777" w:rsidR="00F71F22" w:rsidRPr="008A2E5A" w:rsidRDefault="00F71F22" w:rsidP="00F71F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 вышло постановление ГКО №1435сс и дублирующий приказ НКАП №214сс от 16 марта 1942 г., которыми заместителя наркома авиапромыш</w:t>
      </w:r>
      <w:r w:rsidRPr="008A2E5A">
        <w:rPr>
          <w:rFonts w:ascii="Times New Roman" w:hAnsi="Times New Roman"/>
          <w:color w:val="0070C0"/>
          <w:sz w:val="16"/>
          <w:szCs w:val="16"/>
        </w:rPr>
        <w:softHyphen/>
        <w:t>ленности В.П. Кузнецова и начальника ЦИАМ А.В. Каши</w:t>
      </w:r>
      <w:r w:rsidRPr="008A2E5A">
        <w:rPr>
          <w:rFonts w:ascii="Times New Roman" w:hAnsi="Times New Roman"/>
          <w:color w:val="0070C0"/>
          <w:sz w:val="16"/>
          <w:szCs w:val="16"/>
        </w:rPr>
        <w:softHyphen/>
        <w:t>рина обязали обеспечить изготовление и передачу за</w:t>
      </w:r>
      <w:r w:rsidRPr="008A2E5A">
        <w:rPr>
          <w:rFonts w:ascii="Times New Roman" w:hAnsi="Times New Roman"/>
          <w:color w:val="0070C0"/>
          <w:sz w:val="16"/>
          <w:szCs w:val="16"/>
        </w:rPr>
        <w:softHyphen/>
        <w:t>воду №115 к 15 апреля пяти моторов с нагнетателем В.А. Доллежаля, а к 1 мая 1942 г. еще 10 таких моторов для летной доводки на самолете Як-7. С этой целью в апре</w:t>
      </w:r>
      <w:r w:rsidRPr="008A2E5A">
        <w:rPr>
          <w:rFonts w:ascii="Times New Roman" w:hAnsi="Times New Roman"/>
          <w:color w:val="0070C0"/>
          <w:sz w:val="16"/>
          <w:szCs w:val="16"/>
        </w:rPr>
        <w:softHyphen/>
        <w:t>ле 1942 г. Як-5 возвратили в Москву в ОКБ А.С. Яковле</w:t>
      </w:r>
      <w:r w:rsidRPr="008A2E5A">
        <w:rPr>
          <w:rFonts w:ascii="Times New Roman" w:hAnsi="Times New Roman"/>
          <w:color w:val="0070C0"/>
          <w:sz w:val="16"/>
          <w:szCs w:val="16"/>
        </w:rPr>
        <w:softHyphen/>
        <w:t>ва. После возвращения мотора из ремонта и его уста</w:t>
      </w:r>
      <w:r w:rsidRPr="008A2E5A">
        <w:rPr>
          <w:rFonts w:ascii="Times New Roman" w:hAnsi="Times New Roman"/>
          <w:color w:val="0070C0"/>
          <w:sz w:val="16"/>
          <w:szCs w:val="16"/>
        </w:rPr>
        <w:softHyphen/>
        <w:t>новке на самолет потребовались дополнительные рабо</w:t>
      </w:r>
      <w:r w:rsidRPr="008A2E5A">
        <w:rPr>
          <w:rFonts w:ascii="Times New Roman" w:hAnsi="Times New Roman"/>
          <w:color w:val="0070C0"/>
          <w:sz w:val="16"/>
          <w:szCs w:val="16"/>
        </w:rPr>
        <w:softHyphen/>
        <w:t>ты по доводке ВМГ Як-5 (иногда также называемом в до</w:t>
      </w:r>
      <w:r w:rsidRPr="008A2E5A">
        <w:rPr>
          <w:rFonts w:ascii="Times New Roman" w:hAnsi="Times New Roman"/>
          <w:color w:val="0070C0"/>
          <w:sz w:val="16"/>
          <w:szCs w:val="16"/>
        </w:rPr>
        <w:softHyphen/>
        <w:t>кументах Як-7Д опытный №1). По плану опытного стро</w:t>
      </w:r>
      <w:r w:rsidRPr="008A2E5A">
        <w:rPr>
          <w:rFonts w:ascii="Times New Roman" w:hAnsi="Times New Roman"/>
          <w:color w:val="0070C0"/>
          <w:sz w:val="16"/>
          <w:szCs w:val="16"/>
        </w:rPr>
        <w:softHyphen/>
        <w:t>ительства машину Як-7 с мотором М-105ПД следовало предъявить на государственные испытания к 15 июня1942 г. Из-за отсутствия мотора срок выдержать не уда</w:t>
      </w:r>
      <w:r w:rsidRPr="008A2E5A">
        <w:rPr>
          <w:rFonts w:ascii="Times New Roman" w:hAnsi="Times New Roman"/>
          <w:color w:val="0070C0"/>
          <w:sz w:val="16"/>
          <w:szCs w:val="16"/>
        </w:rPr>
        <w:softHyphen/>
        <w:t>лось (23381).</w:t>
      </w:r>
    </w:p>
    <w:p w14:paraId="7C607E6E" w14:textId="77777777" w:rsidR="00F71F22" w:rsidRPr="008A2E5A" w:rsidRDefault="00F71F22" w:rsidP="00F71F22">
      <w:pPr>
        <w:spacing w:after="0" w:line="240" w:lineRule="auto"/>
        <w:jc w:val="both"/>
        <w:rPr>
          <w:rFonts w:ascii="Times New Roman" w:hAnsi="Times New Roman"/>
          <w:color w:val="0070C0"/>
          <w:sz w:val="16"/>
          <w:szCs w:val="16"/>
        </w:rPr>
      </w:pPr>
    </w:p>
    <w:p w14:paraId="64360C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стало несчастливым днем для С.А.Лавочкина. В этот день ГКО принял решение прекратить производство ЛаГГ-3 на заводах №21 в Горьком и №153 в Новосибирске. Несмотря на огромный размах работ по улучшению истребителя, Лавочкину, по мнению руководства авиапромышленности, не удалось добиться решающего успеха и сделать ЛаГГ-3 достойным противником Bf109F. На обоих заводах в массовую серию запускали “младшего брата" Як-1 - истребитель ЯК-7, который возник в результате удачной импровизации, превратившей двухместный учебно-тренировочный истребитель в одноместный боевой. Лавочкину надлежало к 10 апреля перевезти задел, оснастку, материалы и уже собранные истребители ЛаГГ-3 на небольшой завод №31 в Тбилиси (4537).</w:t>
      </w:r>
    </w:p>
    <w:p w14:paraId="089494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3B8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и 4.03.1942 г. в соответствии с постановлениями ГКО № 1438 и № 1388 на заводе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было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 За годы войны завод выпустил 17.691 самолет (11982).</w:t>
      </w:r>
    </w:p>
    <w:p w14:paraId="407547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96C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с аэродрома в Новосибирске первый полет ИТП М-1 Н.Н.П. выполнил летчик А.И.Никашин. Уже при заходе на посадку произошло повреждение масляной магистрали,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11D892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w:t>
      </w:r>
      <w:r w:rsidRPr="008127F8">
        <w:rPr>
          <w:rFonts w:ascii="Times New Roman" w:hAnsi="Times New Roman"/>
          <w:color w:val="000000" w:themeColor="text1"/>
          <w:sz w:val="16"/>
          <w:szCs w:val="16"/>
        </w:rPr>
        <w:lastRenderedPageBreak/>
        <w:t>подшипников вала двигателя.</w:t>
      </w:r>
    </w:p>
    <w:p w14:paraId="3C71C1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731685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421BF3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454C83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8127F8" w14:paraId="47180D05" w14:textId="77777777">
        <w:tc>
          <w:tcPr>
            <w:tcW w:w="3736" w:type="dxa"/>
            <w:tcBorders>
              <w:top w:val="single" w:sz="12" w:space="0" w:color="auto"/>
            </w:tcBorders>
          </w:tcPr>
          <w:p w14:paraId="234B65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1E7574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w:t>
            </w:r>
          </w:p>
        </w:tc>
        <w:tc>
          <w:tcPr>
            <w:tcW w:w="3736" w:type="dxa"/>
            <w:tcBorders>
              <w:top w:val="single" w:sz="12" w:space="0" w:color="auto"/>
            </w:tcBorders>
          </w:tcPr>
          <w:p w14:paraId="1AF1BE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w:t>
            </w:r>
          </w:p>
        </w:tc>
      </w:tr>
      <w:tr w:rsidR="006F4095" w:rsidRPr="008127F8" w14:paraId="390B91BF" w14:textId="77777777">
        <w:tc>
          <w:tcPr>
            <w:tcW w:w="3736" w:type="dxa"/>
          </w:tcPr>
          <w:p w14:paraId="00B85D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w:t>
            </w:r>
          </w:p>
        </w:tc>
        <w:tc>
          <w:tcPr>
            <w:tcW w:w="3736" w:type="dxa"/>
          </w:tcPr>
          <w:p w14:paraId="3BE895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3736" w:type="dxa"/>
          </w:tcPr>
          <w:p w14:paraId="64CD74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0092767F" w14:textId="77777777">
        <w:tc>
          <w:tcPr>
            <w:tcW w:w="3736" w:type="dxa"/>
          </w:tcPr>
          <w:p w14:paraId="0BE32A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в линии полета (м)</w:t>
            </w:r>
          </w:p>
        </w:tc>
        <w:tc>
          <w:tcPr>
            <w:tcW w:w="3736" w:type="dxa"/>
          </w:tcPr>
          <w:p w14:paraId="24E509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c>
          <w:tcPr>
            <w:tcW w:w="3736" w:type="dxa"/>
          </w:tcPr>
          <w:p w14:paraId="01A060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r>
      <w:tr w:rsidR="006F4095" w:rsidRPr="008127F8" w14:paraId="70B16995" w14:textId="77777777">
        <w:tc>
          <w:tcPr>
            <w:tcW w:w="3736" w:type="dxa"/>
          </w:tcPr>
          <w:p w14:paraId="0DD8A5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(м2)</w:t>
            </w:r>
          </w:p>
        </w:tc>
        <w:tc>
          <w:tcPr>
            <w:tcW w:w="3736" w:type="dxa"/>
          </w:tcPr>
          <w:p w14:paraId="4B5024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c>
          <w:tcPr>
            <w:tcW w:w="3736" w:type="dxa"/>
          </w:tcPr>
          <w:p w14:paraId="5C9F92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r>
      <w:tr w:rsidR="006F4095" w:rsidRPr="008127F8" w14:paraId="008DEDC8" w14:textId="77777777">
        <w:tc>
          <w:tcPr>
            <w:tcW w:w="3736" w:type="dxa"/>
          </w:tcPr>
          <w:p w14:paraId="612C79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(кг)</w:t>
            </w:r>
          </w:p>
        </w:tc>
        <w:tc>
          <w:tcPr>
            <w:tcW w:w="3736" w:type="dxa"/>
          </w:tcPr>
          <w:p w14:paraId="024E82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2598</w:t>
            </w:r>
          </w:p>
        </w:tc>
        <w:tc>
          <w:tcPr>
            <w:tcW w:w="3736" w:type="dxa"/>
          </w:tcPr>
          <w:p w14:paraId="18F4C0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3095</w:t>
            </w:r>
          </w:p>
        </w:tc>
      </w:tr>
      <w:tr w:rsidR="006F4095" w:rsidRPr="008127F8" w14:paraId="1D557E62" w14:textId="77777777">
        <w:tc>
          <w:tcPr>
            <w:tcW w:w="3736" w:type="dxa"/>
          </w:tcPr>
          <w:p w14:paraId="5FE7B2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3736" w:type="dxa"/>
          </w:tcPr>
          <w:p w14:paraId="56AE1B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3750 (3366)</w:t>
            </w:r>
          </w:p>
        </w:tc>
        <w:tc>
          <w:tcPr>
            <w:tcW w:w="3736" w:type="dxa"/>
          </w:tcPr>
          <w:p w14:paraId="70663D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3820</w:t>
            </w:r>
          </w:p>
        </w:tc>
      </w:tr>
      <w:tr w:rsidR="006F4095" w:rsidRPr="008127F8" w14:paraId="25C4EB77" w14:textId="77777777">
        <w:tc>
          <w:tcPr>
            <w:tcW w:w="3736" w:type="dxa"/>
          </w:tcPr>
          <w:p w14:paraId="73DE35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крыло (кг/м2)</w:t>
            </w:r>
          </w:p>
        </w:tc>
        <w:tc>
          <w:tcPr>
            <w:tcW w:w="3736" w:type="dxa"/>
          </w:tcPr>
          <w:p w14:paraId="2EC35F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3736" w:type="dxa"/>
          </w:tcPr>
          <w:p w14:paraId="1844E2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w:t>
            </w:r>
          </w:p>
        </w:tc>
      </w:tr>
      <w:tr w:rsidR="006F4095" w:rsidRPr="008127F8" w14:paraId="003F8CFA" w14:textId="77777777">
        <w:tc>
          <w:tcPr>
            <w:tcW w:w="3736" w:type="dxa"/>
          </w:tcPr>
          <w:p w14:paraId="0E89E8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(км/ч)</w:t>
            </w:r>
          </w:p>
        </w:tc>
        <w:tc>
          <w:tcPr>
            <w:tcW w:w="3736" w:type="dxa"/>
          </w:tcPr>
          <w:p w14:paraId="5BB31A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541</w:t>
            </w:r>
          </w:p>
        </w:tc>
        <w:tc>
          <w:tcPr>
            <w:tcW w:w="3736" w:type="dxa"/>
          </w:tcPr>
          <w:p w14:paraId="0110E5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r>
      <w:tr w:rsidR="006F4095" w:rsidRPr="008127F8" w14:paraId="2851301F" w14:textId="77777777">
        <w:tc>
          <w:tcPr>
            <w:tcW w:w="3736" w:type="dxa"/>
          </w:tcPr>
          <w:p w14:paraId="211013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 скорость у земли на форсаже (км/ч)</w:t>
            </w:r>
          </w:p>
        </w:tc>
        <w:tc>
          <w:tcPr>
            <w:tcW w:w="3736" w:type="dxa"/>
          </w:tcPr>
          <w:p w14:paraId="00CE17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w:t>
            </w:r>
          </w:p>
        </w:tc>
        <w:tc>
          <w:tcPr>
            <w:tcW w:w="3736" w:type="dxa"/>
          </w:tcPr>
          <w:p w14:paraId="7D7263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61FCFCC9" w14:textId="77777777">
        <w:tc>
          <w:tcPr>
            <w:tcW w:w="3736" w:type="dxa"/>
          </w:tcPr>
          <w:p w14:paraId="4DAFD9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5000 м (км/ч)</w:t>
            </w:r>
          </w:p>
        </w:tc>
        <w:tc>
          <w:tcPr>
            <w:tcW w:w="3736" w:type="dxa"/>
          </w:tcPr>
          <w:p w14:paraId="6E38AF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645*</w:t>
            </w:r>
          </w:p>
        </w:tc>
        <w:tc>
          <w:tcPr>
            <w:tcW w:w="3736" w:type="dxa"/>
          </w:tcPr>
          <w:p w14:paraId="0FAC59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r>
      <w:tr w:rsidR="006F4095" w:rsidRPr="008127F8" w14:paraId="50261E0E" w14:textId="77777777">
        <w:tc>
          <w:tcPr>
            <w:tcW w:w="3736" w:type="dxa"/>
          </w:tcPr>
          <w:p w14:paraId="417A8E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3736" w:type="dxa"/>
          </w:tcPr>
          <w:p w14:paraId="15BA8C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3736" w:type="dxa"/>
          </w:tcPr>
          <w:p w14:paraId="30BCA5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6F4095" w:rsidRPr="008127F8" w14:paraId="04E31A89" w14:textId="77777777">
        <w:tc>
          <w:tcPr>
            <w:tcW w:w="3736" w:type="dxa"/>
            <w:tcBorders>
              <w:bottom w:val="single" w:sz="12" w:space="0" w:color="auto"/>
            </w:tcBorders>
          </w:tcPr>
          <w:p w14:paraId="615BD0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(м)</w:t>
            </w:r>
          </w:p>
        </w:tc>
        <w:tc>
          <w:tcPr>
            <w:tcW w:w="3736" w:type="dxa"/>
            <w:tcBorders>
              <w:bottom w:val="single" w:sz="12" w:space="0" w:color="auto"/>
            </w:tcBorders>
          </w:tcPr>
          <w:p w14:paraId="1A6A3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736" w:type="dxa"/>
            <w:tcBorders>
              <w:bottom w:val="single" w:sz="12" w:space="0" w:color="auto"/>
            </w:tcBorders>
          </w:tcPr>
          <w:p w14:paraId="787D95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11500</w:t>
            </w:r>
          </w:p>
        </w:tc>
      </w:tr>
    </w:tbl>
    <w:p w14:paraId="177DBE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Скорость на высоте 6200 м</w:t>
      </w:r>
    </w:p>
    <w:p w14:paraId="4E0CBD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на 2500 м. на форсаже 650 км/ч</w:t>
      </w:r>
    </w:p>
    <w:p w14:paraId="59C6E0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Время набора высоты (12016).</w:t>
      </w:r>
    </w:p>
    <w:p w14:paraId="3DA925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7F47B" w14:textId="77777777" w:rsidR="00284E99" w:rsidRPr="008127F8" w:rsidRDefault="00284E99"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13 мар</w:t>
      </w:r>
      <w:r w:rsidRPr="008127F8">
        <w:rPr>
          <w:color w:val="000000" w:themeColor="text1"/>
          <w:sz w:val="16"/>
          <w:szCs w:val="16"/>
        </w:rPr>
        <w:softHyphen/>
        <w:t>та 1942, как следует из сводок НИИ ВВС по опытным работам, при первом же полете ИТП (М-1) произошло повреждение масляной магистрали с последующим выбросом масла. Летчику-испы</w:t>
      </w:r>
      <w:r w:rsidRPr="008127F8">
        <w:rPr>
          <w:color w:val="000000" w:themeColor="text1"/>
          <w:sz w:val="16"/>
          <w:szCs w:val="16"/>
        </w:rPr>
        <w:softHyphen/>
        <w:t>тателю А. И. Никашину пришлось вынужденно са</w:t>
      </w:r>
      <w:r w:rsidRPr="008127F8">
        <w:rPr>
          <w:color w:val="000000" w:themeColor="text1"/>
          <w:sz w:val="16"/>
          <w:szCs w:val="16"/>
        </w:rPr>
        <w:softHyphen/>
        <w:t>диться на аэродром. После небольшого ремонта испытания продолжились. До 3 апреля удалось выполнить 5 кратковременных доводочных и кон</w:t>
      </w:r>
      <w:r w:rsidRPr="008127F8">
        <w:rPr>
          <w:color w:val="000000" w:themeColor="text1"/>
          <w:sz w:val="16"/>
          <w:szCs w:val="16"/>
        </w:rPr>
        <w:softHyphen/>
        <w:t>трольных полетов, которые сопровождались край</w:t>
      </w:r>
      <w:r w:rsidRPr="008127F8">
        <w:rPr>
          <w:color w:val="000000" w:themeColor="text1"/>
          <w:sz w:val="16"/>
          <w:szCs w:val="16"/>
        </w:rPr>
        <w:softHyphen/>
        <w:t>не ненормальной работой мотора. Наблюдались перебои в работе мотора и его обрезания, пре</w:t>
      </w:r>
      <w:r w:rsidRPr="008127F8">
        <w:rPr>
          <w:color w:val="000000" w:themeColor="text1"/>
          <w:sz w:val="16"/>
          <w:szCs w:val="16"/>
        </w:rPr>
        <w:softHyphen/>
        <w:t>ждевременный выход из строя свечей, прорыв га</w:t>
      </w:r>
      <w:r w:rsidRPr="008127F8">
        <w:rPr>
          <w:color w:val="000000" w:themeColor="text1"/>
          <w:sz w:val="16"/>
          <w:szCs w:val="16"/>
        </w:rPr>
        <w:softHyphen/>
        <w:t>зовых уплотнений. Фактическая мощность мотора была существенно ниже заявленной. Замена мото</w:t>
      </w:r>
      <w:r w:rsidRPr="008127F8">
        <w:rPr>
          <w:color w:val="000000" w:themeColor="text1"/>
          <w:sz w:val="16"/>
          <w:szCs w:val="16"/>
        </w:rPr>
        <w:softHyphen/>
        <w:t>ра практически ничего не дала. Новый экземпляр М-107П работал также неустойчиво. К тому же обнаружилась раскрутка винта. Мотор ежеднев</w:t>
      </w:r>
      <w:r w:rsidRPr="008127F8">
        <w:rPr>
          <w:color w:val="000000" w:themeColor="text1"/>
          <w:sz w:val="16"/>
          <w:szCs w:val="16"/>
        </w:rPr>
        <w:softHyphen/>
        <w:t>но разбирали, регулировали зазоры, настраивали карбюратор и т.д. Самолет больше стоял на земле, чем летал. По этим причинам консольные бензоба</w:t>
      </w:r>
      <w:r w:rsidRPr="008127F8">
        <w:rPr>
          <w:color w:val="000000" w:themeColor="text1"/>
          <w:sz w:val="16"/>
          <w:szCs w:val="16"/>
        </w:rPr>
        <w:softHyphen/>
        <w:t>ки топливом не заполнялись, а вооружение с само</w:t>
      </w:r>
      <w:r w:rsidRPr="008127F8">
        <w:rPr>
          <w:color w:val="000000" w:themeColor="text1"/>
          <w:sz w:val="16"/>
          <w:szCs w:val="16"/>
        </w:rPr>
        <w:softHyphen/>
        <w:t>лета сняли (17500).</w:t>
      </w:r>
    </w:p>
    <w:p w14:paraId="553AC46F" w14:textId="77777777" w:rsidR="00284E99" w:rsidRPr="008127F8" w:rsidRDefault="00284E99" w:rsidP="001E0A84">
      <w:pPr>
        <w:spacing w:after="0" w:line="240" w:lineRule="auto"/>
        <w:jc w:val="both"/>
        <w:rPr>
          <w:rFonts w:ascii="Times New Roman" w:eastAsia="Times New Roman" w:hAnsi="Times New Roman"/>
          <w:color w:val="000000" w:themeColor="text1"/>
          <w:sz w:val="16"/>
          <w:szCs w:val="16"/>
          <w:lang w:eastAsia="ru-RU"/>
        </w:rPr>
      </w:pPr>
    </w:p>
    <w:p w14:paraId="5818DAC8" w14:textId="77777777" w:rsidR="00F06A0E" w:rsidRPr="008A2E5A" w:rsidRDefault="00F06A0E" w:rsidP="00F06A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1942 г., как следует из сводок НИИ ВВС по опытным работам, при первом же по</w:t>
      </w:r>
      <w:r w:rsidRPr="008A2E5A">
        <w:rPr>
          <w:rFonts w:ascii="Times New Roman" w:hAnsi="Times New Roman"/>
          <w:color w:val="0070C0"/>
          <w:sz w:val="16"/>
          <w:szCs w:val="16"/>
        </w:rPr>
        <w:softHyphen/>
        <w:t>лете ИТП (М-1) произошло по</w:t>
      </w:r>
      <w:r w:rsidRPr="008A2E5A">
        <w:rPr>
          <w:rFonts w:ascii="Times New Roman" w:hAnsi="Times New Roman"/>
          <w:color w:val="0070C0"/>
          <w:sz w:val="16"/>
          <w:szCs w:val="16"/>
        </w:rPr>
        <w:softHyphen/>
        <w:t>вреждение масляной магистрали с по</w:t>
      </w:r>
      <w:r w:rsidRPr="008A2E5A">
        <w:rPr>
          <w:rFonts w:ascii="Times New Roman" w:hAnsi="Times New Roman"/>
          <w:color w:val="0070C0"/>
          <w:sz w:val="16"/>
          <w:szCs w:val="16"/>
        </w:rPr>
        <w:softHyphen/>
        <w:t>следующим выбросом масла. Никашину пришлось вынужденно садиться на аэро</w:t>
      </w:r>
      <w:r w:rsidRPr="008A2E5A">
        <w:rPr>
          <w:rFonts w:ascii="Times New Roman" w:hAnsi="Times New Roman"/>
          <w:color w:val="0070C0"/>
          <w:sz w:val="16"/>
          <w:szCs w:val="16"/>
        </w:rPr>
        <w:softHyphen/>
        <w:t>дром. После небольшого ремонта испы</w:t>
      </w:r>
      <w:r w:rsidRPr="008A2E5A">
        <w:rPr>
          <w:rFonts w:ascii="Times New Roman" w:hAnsi="Times New Roman"/>
          <w:color w:val="0070C0"/>
          <w:sz w:val="16"/>
          <w:szCs w:val="16"/>
        </w:rPr>
        <w:softHyphen/>
        <w:t>тания продолжились. До 3 апреля уда</w:t>
      </w:r>
      <w:r w:rsidRPr="008A2E5A">
        <w:rPr>
          <w:rFonts w:ascii="Times New Roman" w:hAnsi="Times New Roman"/>
          <w:color w:val="0070C0"/>
          <w:sz w:val="16"/>
          <w:szCs w:val="16"/>
        </w:rPr>
        <w:softHyphen/>
        <w:t>лось выполнить пять кратковременных доводочных и контрольных полетов, кото</w:t>
      </w:r>
      <w:r w:rsidRPr="008A2E5A">
        <w:rPr>
          <w:rFonts w:ascii="Times New Roman" w:hAnsi="Times New Roman"/>
          <w:color w:val="0070C0"/>
          <w:sz w:val="16"/>
          <w:szCs w:val="16"/>
        </w:rPr>
        <w:softHyphen/>
        <w:t>рые сопровождались крайне ненормаль</w:t>
      </w:r>
      <w:r w:rsidRPr="008A2E5A">
        <w:rPr>
          <w:rFonts w:ascii="Times New Roman" w:hAnsi="Times New Roman"/>
          <w:color w:val="0070C0"/>
          <w:sz w:val="16"/>
          <w:szCs w:val="16"/>
        </w:rPr>
        <w:softHyphen/>
        <w:t>ной работой мотора. Наблюдались пе</w:t>
      </w:r>
      <w:r w:rsidRPr="008A2E5A">
        <w:rPr>
          <w:rFonts w:ascii="Times New Roman" w:hAnsi="Times New Roman"/>
          <w:color w:val="0070C0"/>
          <w:sz w:val="16"/>
          <w:szCs w:val="16"/>
        </w:rPr>
        <w:softHyphen/>
        <w:t>ребои в работе мотора и его обрезания, преждевременный выход из строя свечей, прорыв газовых уплотнений. Фактическая мощность мотора была существенно ниже заявленной. Замена мотора, практически ничего не дала. Новый экземпляр М-107П работал также неустойчиво. К тому же об</w:t>
      </w:r>
      <w:r w:rsidRPr="008A2E5A">
        <w:rPr>
          <w:rFonts w:ascii="Times New Roman" w:hAnsi="Times New Roman"/>
          <w:color w:val="0070C0"/>
          <w:sz w:val="16"/>
          <w:szCs w:val="16"/>
        </w:rPr>
        <w:softHyphen/>
        <w:t>наружилась раскрутка винта. Мотор пра</w:t>
      </w:r>
      <w:r w:rsidRPr="008A2E5A">
        <w:rPr>
          <w:rFonts w:ascii="Times New Roman" w:hAnsi="Times New Roman"/>
          <w:color w:val="0070C0"/>
          <w:sz w:val="16"/>
          <w:szCs w:val="16"/>
        </w:rPr>
        <w:softHyphen/>
        <w:t>ктически ежедневно разбирали, регули</w:t>
      </w:r>
      <w:r w:rsidRPr="008A2E5A">
        <w:rPr>
          <w:rFonts w:ascii="Times New Roman" w:hAnsi="Times New Roman"/>
          <w:color w:val="0070C0"/>
          <w:sz w:val="16"/>
          <w:szCs w:val="16"/>
        </w:rPr>
        <w:softHyphen/>
        <w:t>ровали зазоры, настраивали карбюратор и т.д. Самолет больше стоял на земле, чем летал. По этим причинам консольные бен</w:t>
      </w:r>
      <w:r w:rsidRPr="008A2E5A">
        <w:rPr>
          <w:rFonts w:ascii="Times New Roman" w:hAnsi="Times New Roman"/>
          <w:color w:val="0070C0"/>
          <w:sz w:val="16"/>
          <w:szCs w:val="16"/>
        </w:rPr>
        <w:softHyphen/>
        <w:t>зобаки топливом не заполнялись, а воо</w:t>
      </w:r>
      <w:r w:rsidRPr="008A2E5A">
        <w:rPr>
          <w:rFonts w:ascii="Times New Roman" w:hAnsi="Times New Roman"/>
          <w:color w:val="0070C0"/>
          <w:sz w:val="16"/>
          <w:szCs w:val="16"/>
        </w:rPr>
        <w:softHyphen/>
        <w:t>ружение с самолета сняли (24308).</w:t>
      </w:r>
    </w:p>
    <w:p w14:paraId="4C8E0F82" w14:textId="77777777" w:rsidR="00F06A0E" w:rsidRPr="008A2E5A" w:rsidRDefault="00F06A0E" w:rsidP="00F06A0E">
      <w:pPr>
        <w:spacing w:after="0" w:line="240" w:lineRule="auto"/>
        <w:jc w:val="both"/>
        <w:rPr>
          <w:rFonts w:ascii="Times New Roman" w:hAnsi="Times New Roman"/>
          <w:color w:val="0070C0"/>
          <w:sz w:val="16"/>
          <w:szCs w:val="16"/>
        </w:rPr>
      </w:pPr>
    </w:p>
    <w:p w14:paraId="4A8EC7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в соответствии с постановлением ГКО № 1436с и приказом НКАП № 207с от 16.03.1942 г. ОКБ-1 завода № 1 НКАП гл. конструктора А.И.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 Директором/ гл. конструктором завода назначен А.И. Микоян. Деятельность завода началась в 05.1942 г. Сюда переведена ремонтная база завода № 30 НКАП по МиГ-3 с личным составом (во главе с А.Т. Каревым).</w:t>
      </w:r>
    </w:p>
    <w:p w14:paraId="6289E4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на заводе созданы опытные модификации МиГ-3: И-230 (Д) с АМ-35А, И-231 (2Д) с АМ-39, И-211 (Е) с М-82Ф. Разработаны и испытаны новые истребители И-220 (А) и И-225 (5А), высотные перехватчики И-221 (2А), И-222 (3А) и И-224 (4А), модификация истребителя сопровождения ДИС-200 (ИТ) с моторами М-82. Кроме проведения опытных работ, в 1942-43 г. заводом выпущено 36 машин МиГ-3. В конце войны создан истребитель с ВРДК И-250, который выпускался малой серией как МиГ-13.</w:t>
      </w:r>
    </w:p>
    <w:p w14:paraId="5F12ED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началось расширение конструкторских и производственных площадей.</w:t>
      </w:r>
    </w:p>
    <w:p w14:paraId="74373B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Следующим серийным реактивным истребителем стал И-300 (МиГ-9). Далее разработаны и переданы в крупносерийное производство истребители МиГ-15 и МиГ-17, а также несколько их модификаций, ставшие своего рода эпохальными. Первым в СССР серийным свехзвуковым истребителем стал МиГ-19. В массовом производстве долгие годы находились истребители МиГ-21 и МиГ-23 и их модификации. Коллективом ОКБ созданы скоростные высотные перехватчики, не имеющие аналогов, МиГ-25 и МиГ-31 с модификациями и фронтовой истребитель МиГ-29. Всего за годы деятельности коллектива в СССР и России серийно построено около 55 тысяч самолетов марки "МиГ". Коллективом создано значительное число опытных самолетов.</w:t>
      </w:r>
    </w:p>
    <w:p w14:paraId="05F982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50016E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МОП № 229сс от 21.02.1953 г. заводу № 155 МОП в качестве филиала передан завод № 51 (был филиалом до 10.1953 г.).</w:t>
      </w:r>
    </w:p>
    <w:p w14:paraId="62036C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Существовал также Калязинский филиал ОКБ-155.</w:t>
      </w:r>
    </w:p>
    <w:p w14:paraId="3862C0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6.04.1949 г. вышло Постановление СМ СССР о создании МиГ-15УТИ. </w:t>
      </w:r>
    </w:p>
    <w:p w14:paraId="3F895F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Имелась летная база ОКБ в Ахтубинске (1970-е). ОКБ имеет лётно-доводочную базу в Жуковском.</w:t>
      </w:r>
    </w:p>
    <w:p w14:paraId="143354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создания истребителей, ОКБ-155 проводило разработки и по ракетной технике. Создавался опытный беспилотный высотный перехватчик Р-500 (КР-500, 1959-60 г.) для ЗРК С-500 с маршевым СПВРД РД-085, работы прекращены в 1961 г. в стадии проекта.57 УРВВ К-9-155 (изд."90") для системы вооружения К-9 (конец 1950-х – начало 1960-х г.). Однако дальнейшее развитие получили работы только по УРВП. Руководителем этой темы был М.И. Гуревич. В 1947 г. ОКБ-155 приступило к первым работам по данной тематике - КР "КС". До конца 1960-х г. в ОКБ совместно с филиалами созданы КР: К-10, Х-20, Х-22 и др. Для отработки систем построены пилотируемые аналоги КР: МиГ-9Л (ФК), К, СДК-7, СМ-20, СМК и др. Кроме того, разработан ряд проектов ракет (снаряды П-40, М-2 и др.).</w:t>
      </w:r>
    </w:p>
    <w:p w14:paraId="104C26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Комплекс СМ-12П-51 с перехватчиком СМ-12-51 под систему вооружения К-51 (ЦД-30 с ракетой К-5МС). Комплекс МиГ-12П-13 в системе "Каскад". </w:t>
      </w:r>
    </w:p>
    <w:p w14:paraId="547CA2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принимало участие в программе создания ОК «Буран».</w:t>
      </w:r>
    </w:p>
    <w:p w14:paraId="4C754E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Самостоятельным направлением работ стала программа ВКС "Спираль" (тема "50", далее "105-205"). Работы по ней начались после передачи в ОКБ-155 аналогичных работ из ОКБ-52 ГКАТ и ОКБ-1 ГКОТ в конце 1964 г. Программа предусматривала создание экспериментального пилотируемого орбитального самолета ЭПОС. Руководителем темы назначен гл. конструктор Г.Е. Лозино-Лозинский. Построен аналог орбитального самолета - изд.105-11. Для проведения рабочего проектирования в Дубне в 04.1967 г. создан филиал под руководством П.А. Шустера. </w:t>
      </w:r>
    </w:p>
    <w:p w14:paraId="4B5DA6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 проект беспилотного перехватчика многоразового применения «901».</w:t>
      </w:r>
    </w:p>
    <w:p w14:paraId="62C2CE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1966 г. предприятие получило название ММЗ "Зенит", с 1971 г.- ММЗ "Зениит" им. А.И. Микояна, с 1978 г.- ММЗ им. А.И. Микояна. Затем, до 1995 г., предприятие называлось АНПК "МИГ" им. А.И. Микояна. </w:t>
      </w:r>
    </w:p>
    <w:p w14:paraId="6682F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создано дочернее предприятие «Русавиа».</w:t>
      </w:r>
    </w:p>
    <w:p w14:paraId="4A66C7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05.1995 г. по распоряжению Правительства АНПК "МИГ" объединилось с МАПО им. П.В. Дементьева, образовав Московское авиационное производственно-научное объединение "МиГ" (МАПНО "МИГ"). В него также вошли Луховицкий машиностроительный завод и Калязинский филиал ОКБ. В 01.1996 г. образовалось </w:t>
      </w:r>
      <w:r w:rsidRPr="008127F8">
        <w:rPr>
          <w:rFonts w:ascii="Times New Roman" w:hAnsi="Times New Roman"/>
          <w:color w:val="000000" w:themeColor="text1"/>
          <w:sz w:val="16"/>
          <w:szCs w:val="16"/>
        </w:rPr>
        <w:lastRenderedPageBreak/>
        <w:t>ГУП «Военно-промышленный комплекс (ВПК) МАПО». В него вошли: МАПО "МиГ" (АНПК "МиГ" переименован в Инженерный центр «ОКБ им. Микояна»), Производственный центр им. П.А. Воронина, ОКБ Камова, ОКБ "Электроавтоматика", АООТ "Пермская приборостроительная компания", НПП "Завод им. Климова", АООТ "ММПП им. Чернышёва", ГУП «ТМКБ "Союз"», ГРПЗ, АООТ «Объединение «Прибор», АООТ "МП "Красный Октябрь", АООТ "НТП "Авиатест", Летно-испытательный центр им. Федотова. Распоряжением правительства от 8.12.1999 г. МАПО преобразовано в Российскую самолетостроительную корпорацию (РСК) «МиГ», куда вертолетостроители не вошли. По Указу Президента РФ № 1009 от 4.08.2004 г. вошла в число стратегических оборонных предприятий.</w:t>
      </w:r>
    </w:p>
    <w:p w14:paraId="63FBA7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разработка модификаций истребителей МиГ-29 и МиГ-31, работы по доводке изд."1-42", учебно-тренировочный самолет "821" (МиГ-АТ), легкий транспортный самолет "110". В стадии проектирования: самолет-перехватчик "701", гиперзвуковые самолеты "301" и "321", разработка истребителя пятого поколения.</w:t>
      </w:r>
    </w:p>
    <w:p w14:paraId="486091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(2002 г.)- более 15.000 чел.69 </w:t>
      </w:r>
    </w:p>
    <w:p w14:paraId="3BC63F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(1942-56 г.)- А.И. Микоян. Ген. конструктор (20.12.1956-71 г.)- А.И. Микоян, (1971 г.-)-Р.А. Беляков, (1996 г.-)- М.Р. Вальденберг. Ген. конструктор АНПК «МиГ», ВПК «МАПО»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3F88F0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(1942-56 г.)- А.И. Микоян. Гендиректор АНПК «МиГ», ВПК «МАПО»- А. Безруков,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0390CE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ген. конструктора (1942-64 г.)- М.И. Гуревич, (1949 г.-)- П.В. Яценко (с 1953 г.- зам. Ильюшина), (1952 г.)- П.Е. Сыровой, А.В. Минаев (затем- зам. министра), (1967-74 г.)- Г.П. Дементьев, (1967 г.)- П.А. Шустер, (2000 г.)- В. Степанов, (2002 г.)- А. Карасев, (-2002-04 г.-)- В.И. Барковский, В. Меницкий, (2005 г.)- С. Цивилев. </w:t>
      </w:r>
    </w:p>
    <w:p w14:paraId="653CD9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А. Карасев, (09.2004-05 г.-)- С. Цивилев. Зам. гендиректора – В.Е. Трудерунг, (2003 г.)- В. Милешко, (2003 г.)- А. Новиков, (2005 г.)- М.В. Коржуев, В. Меницкий, (2005 г.)- В.И. Барковский, (2005 г.)- П. Власов (шеф-пилот); по маркетингу, продажам и послепродажному обслуживанию (2005 г.)- В. Выпряжкин.</w:t>
      </w:r>
    </w:p>
    <w:p w14:paraId="6A6C3B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Инженерного центра (ИЦ) «ОКБ им. Микояна» (-2002-03 г.-; 09.2004-05 г.-)- В.И. Барковский. Исполнительный директор РСК по гражданским программам (2004 г.)- В. Ходырев.</w:t>
      </w:r>
    </w:p>
    <w:p w14:paraId="5528E3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ИЦ (2005 г.)- А. Карасев.</w:t>
      </w:r>
    </w:p>
    <w:p w14:paraId="1CACB7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Н.З. Матюк (МиГ-25), (1965-76 г.)- Г.Е. Лозино-Лозинский (МиГ-31; затем- гл. конструктор НПО «Молния»), (1970-е)- А.А. Чумаченко, К.К. Васильченко (МиГ-31), (2005 г.)- Н. Бунтин (МиГ-29К).</w:t>
      </w:r>
    </w:p>
    <w:p w14:paraId="291B1C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 общих видов (1970-е)- А.А. Чумаченко; вооружения- Н.Н. Завидонов.</w:t>
      </w:r>
    </w:p>
    <w:p w14:paraId="102178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(1941 г.-)- Г.Е. Лозино-Лозинский (зам. Гл. конструктора).</w:t>
      </w:r>
    </w:p>
    <w:p w14:paraId="6F1989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 НКАП, МОП, МАП, ОКБ-155 МАП, ММЗ "Зенит", ММЗ "Зенит" им. А.И. Микояна, ММЗ им. А.И. Микояна, АНПК "МИГ" им. А.И. Микояна, АНПК "МиГ", МАПО «МиГ», В-2616, ФГУП «РСК МиГ»</w:t>
      </w:r>
    </w:p>
    <w:p w14:paraId="41C048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Ленинградское ш., 238 (1940 г.), 238А (1947 г.), 125299 Ленинградское ш., 6</w:t>
      </w:r>
    </w:p>
    <w:p w14:paraId="08B151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125040 г. Москва, 1-й Боткинский пр., 7 тел. 252-80-10</w:t>
      </w:r>
    </w:p>
    <w:p w14:paraId="159F7C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РСК МиГ: 103045 г. Москва а/я 1 тел. 207-04-76 www.migavia.ru</w:t>
      </w:r>
    </w:p>
    <w:p w14:paraId="22738C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ОКБ-155 МАП </w:t>
      </w:r>
    </w:p>
    <w:p w14:paraId="45DA31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решению правительства от 19.02.1953 г. в подчинение ОКБ-155 передан завод № 51 (при ликвидации ОКБ В.Н. Челомея). Образован филиал ОКБ. Здесь продолжались работы по ракетной технике. Дорабатывались снаряды "10ХН", "16Х", шли опытные работы по КР конструкции ОКБ-155. По приказу № 135 от 26.10.53 г. площади филиала переданы в качестве производственной базы ОКБ-1 гл. конструктора П.О. Сухого и к 12.1953 г. все работы по тематике ОКБ-155 здесь прекращены и переведены в филиал на заводе №256 МАП. В 02-05.1953 г. здесь размещалось ОКБ-1 Кондратьева, занимавшегося копированием истребителя "Sabre". </w:t>
      </w:r>
    </w:p>
    <w:p w14:paraId="5EA9D8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ОКБ-155 МАП на заводе № 256</w:t>
      </w:r>
    </w:p>
    <w:p w14:paraId="34F436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Дубна Тверской обл.</w:t>
      </w:r>
    </w:p>
    <w:p w14:paraId="17CB2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 в 04.1967 г. для работ по ВКС «Спираль». В 1972 г. филиал вошел в состав ДПКО «Радуга». В 1976 г. вся аэрокосмическая тематика передана во вновь образованное НПО «Молния».</w:t>
      </w:r>
    </w:p>
    <w:p w14:paraId="672E68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филиала (1967 г.-)- П.А. Шустер (зам. гл. конструктора ОКБ).</w:t>
      </w:r>
    </w:p>
    <w:p w14:paraId="7A59DD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(-1965-76 г.)- Г.Е. Лозино-Лозинский (затем- гл. конструктор НПО «Молния»).</w:t>
      </w:r>
    </w:p>
    <w:p w14:paraId="6490E6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(-1976 г.)- Г.П. Дементьев.</w:t>
      </w:r>
    </w:p>
    <w:p w14:paraId="25D695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ОКБ филиала (1967-76 г.)- Ю.Д. Блохин.</w:t>
      </w:r>
    </w:p>
    <w:p w14:paraId="342AB2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(1967-76 г.)- Д.А. Решетников.</w:t>
      </w:r>
    </w:p>
    <w:p w14:paraId="651242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ОКБ-2-155 гл. конструктора А.Я. Березняка, В-2680, Машиностроительное КБ "Радуга", ФГУП «МКБ «Радуга», ОАО «ГосМКБ «Радуга» им. А.Я. Березняка»</w:t>
      </w:r>
    </w:p>
    <w:p w14:paraId="08831F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Подберезье, г. Дубна Тверской обл.</w:t>
      </w:r>
    </w:p>
    <w:p w14:paraId="2957BF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141980 г. Дубна-3 Московской обл, ул. Жуковского, 2А тел. (09621) 2-46-47, 5-16-39</w:t>
      </w:r>
    </w:p>
    <w:p w14:paraId="265C72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ОКБ-155 на опытном заводе № 1 был образован по решению СМ СССР и приказу МАП № 1010 от 12.10.1951 г. на базе мощностей и коллектива ОКБ-2 опытного завода № 1 МАП, как специализированное по работам над КР класса "воздух- поверхность". Первоначально состав коллектива был небольшим (всего 20 чел.): М.Н. Гальперин, А.Н. Елецкий, Б.Д. Иванов, Г.К. Самохвалов, К.Н. Субботин, Б.В. Куликов, Л.Н. Боголюбский, Н.Г. Соколов, Т.С. Овчарова, В.С. Демидович, С.Ш. Лифшиц, О.В. Мельников, М.Ф. Шоев, З.М. Александрова, З.А. Макотченко, М.Т. Панкова, Е.Г. Елецкая, В.И. Емельянова, К.И. Киселева. Елецкий, Самохвалов, Боголюбский, Мельников и Гальперин стали затем начальниками бригад.</w:t>
      </w:r>
    </w:p>
    <w:p w14:paraId="43B359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филиале шли доработки отдельных узлов, испытания, отработка и внедрение в серию, а также дальнейшая модификация УРВП "КС" (пнв. в 1953 г.). </w:t>
      </w:r>
    </w:p>
    <w:p w14:paraId="52799E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Далее при реорганизации завода № 1 в завод № 256 и ввиду передачи сюда опытных работ по тематике КР, проводившихся в ОКБ-155 и его московском филиале (на территории завода № 51 МАП), по приказу № 155 от 31.10.1953 г. образовано ОКБ-2-155 в статусе филиала завода № 155 на заводе № 256 МАП как специализированная организация по разработке КР различных классов. А.Я. Березняк назначен зам. гл. конструктора/ начальником филиала ОКБ-155 А.И. Микояна. В конце 1953 г. часть советских специалистов закрытого "немецкого" ОКБ-1 этого завода влита в состав филиала (в т.ч. П.Н. Обрубов). </w:t>
      </w:r>
    </w:p>
    <w:p w14:paraId="1ED2FA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Велись работы по модификациям КР, созданным в ОКБ-155, и самостоятельные работы по КР не авиационного базирования. Строительство опытных образцов КР "16Х" (работы достались от ОКБ-51 В.Н. Челомея). </w:t>
      </w:r>
    </w:p>
    <w:p w14:paraId="1EE041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864-372 от 11.05.1954 г. началась разработка фронтовой КР КС-7 (ФКР-1) "Метеор" с ядерной БЧ, Постановлением СМ № 320-154 от 3.03.1957 г. ФКР-1 принята на воружение.</w:t>
      </w:r>
    </w:p>
    <w:p w14:paraId="1C45B4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береговой системы вооружения «Стрела» начата по распоряжению СМ № 3346 от 21.04.1954 г. 1.12.1955 г. вышло постановление СМ СССР о создании КР «КСС». В 1956-1957 г. на заводе построены опытные экземпляры модификации ракеты КС с ТГС - КС-ТГ, а в 1957-1958 г.- КСС-ТГ. На ее основе создана С-2 "Сопка". </w:t>
      </w:r>
    </w:p>
    <w:p w14:paraId="3932A2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1955 г. велась разработка корабельной КР П-15 и ее вариантов (П-15Т, П-15У, П-15М) совместно с ОКБ-283.</w:t>
      </w:r>
    </w:p>
    <w:p w14:paraId="66A04A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решениями ВПК № 34 от 4.02.1966 г. и № 99 от 24.05.1967 г. проводились работы по модернизации ПКР П-15У в вариант П-15М «Термит» (4К51).</w:t>
      </w:r>
    </w:p>
    <w:p w14:paraId="2E4DDE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101 от 19.3.1957 г. А.Я. Березняк назначен гл. конструктором филиала ОКБ-155 на заводе № 256, сам филиал получил большую самостоятельность по проведению работ. С 08.1957 г. филиал передан в 1ГУ МАП.</w:t>
      </w:r>
    </w:p>
    <w:p w14:paraId="7C4D9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17.06.1958 г. вышло постановление СМ СССР № 426-201 о разработке КР Х-22.</w:t>
      </w:r>
    </w:p>
    <w:p w14:paraId="484510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 г. филиалу ОКБ-155 передана часть мощностей и личного состава ОКБ-256 гл. конструктора П.В. Цыбина. По приказу № 159 от 12.5.1961 г. А.Я. Березняку присвоено звание гл. конструктор II степени.</w:t>
      </w:r>
    </w:p>
    <w:p w14:paraId="1C87FB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118 от 10.6.1965 г. принято решение о выделении филиала в самостоятельную конструкторскую организацию ОКБ-2-155 во главе с А.Я. Березняком. Тем же приказом образован филиал ОКБ на заводе № 475 (в 50 чел.) для сопровождения серийного производства КР. Вскоре в 04.1966 г. ОКБ получает название МКБ "Радуга". С 04.1967 г. А.Я. Березняк становится гл. конструктором/ руководителем предприятия.</w:t>
      </w:r>
    </w:p>
    <w:p w14:paraId="27BBFA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авиационных УРВП, крылатых, противокорабельных и противолодочных ракет.</w:t>
      </w:r>
    </w:p>
    <w:p w14:paraId="719794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1967 г. МКБ имело наименование «предприятие-п/я» В-2680. В 1972 г. МКБ было объединено с ДМЗ в Дубненское производственно-конструкторское объединение "Радуга", предприятие Р-6498. </w:t>
      </w:r>
    </w:p>
    <w:p w14:paraId="5F3234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12.05.1982 г. ДПО «Радуга» вновь разделено на самостоятельные предприятия ДМЗ и Машиностроительное КБ "Радуга". Входит в Корпорацию ТРВ (2004 г.). По Указу Президента РФ № 1009 от 4.08.2004 г. ОАО вошло в число стратегических оборонных предприятий.</w:t>
      </w:r>
    </w:p>
    <w:p w14:paraId="24021B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1989 г. является головным разработчиком авиационно-космического комплекса «Бурлак».</w:t>
      </w:r>
    </w:p>
    <w:p w14:paraId="7FEB90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г.)- 2500 чел.</w:t>
      </w:r>
    </w:p>
    <w:p w14:paraId="0B2134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ОКБ (1957-74 г.) - А.Я. Березняк {1912-1974}. Ген. Конструктор (1974-2002 г.-)- академик И.С. Селезнев.</w:t>
      </w:r>
    </w:p>
    <w:p w14:paraId="13F326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(1951-74 г.)- А.Я. Березняк. Гендиректор (1993-2002 г.-)- В.Н. Трусов.</w:t>
      </w:r>
    </w:p>
    <w:p w14:paraId="7221F6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(-1974 г.)- И.С. Селезнев, (1977 г.-)- Г. Самохвалов, (1993 г.)- В.А. Ковальчук. Зам. Ген. Конструктора (2002 г.)- В.А. Ларионов.</w:t>
      </w:r>
    </w:p>
    <w:p w14:paraId="1BEA39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конструктор (2002 г.)- В.А. Ковальчук, В.Н. Троицкий.</w:t>
      </w:r>
    </w:p>
    <w:p w14:paraId="03B853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по экономике (2002 г.)- И.А. Шец.</w:t>
      </w:r>
    </w:p>
    <w:p w14:paraId="517784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(2002 г.)- В.И. Яровой.</w:t>
      </w:r>
    </w:p>
    <w:p w14:paraId="711018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УРВП: «Комета» КС (КС-1, пнв в 1953 г.); КСР (опытная, 1958 г.) для К-16; К-10С («352», пнв в 1961 г.), К-10П (проект, 1958 г.), К-10М (К-10СН, пнв в 1966 г.); К-14 (проект, 1960 г.); КСР-2 («085», пнв в 1961 г.); КСР-5 для К-26 (пнв в 1969 г.), КСР-5П для К-26П (пнв в 1973 г.), КСР-5Н для К-26Н (пнв в 1972 г.); КС-7 (ФКР-1); КСР-11 («086», пнв в 1962 г.) для К-11; Х-20 («Комета-20», пнв в 1960 г.) для К-20, Х-20М; Х-22ПСИ (пнв в 1967 г.) для К-22 «Буря», Х-22ПГ, -П, -Н (пнв в 1987 г.), -НА, -М (пнв в 1974 г.), -МА, -МП, -Б (экспериментальная, 1960-е); Х-28 (пнв в 1973 г.); Х-41 (3М80); Х-45 (проект, 1962 г.); Х-58У (1980 г.), -Э, -ЭМ; Х-59 (пнв в 1980 г.), Х-59М «Овод-М»; Х-55 (РКВ-500пнв в 1983 г.), Х-55СМ (РКВ-500Б, пнв в 1987 г.); Х-15 (РКВ-15, пнв в 1980 г.), Х-15П (пнв в 1988 г.), Х-15С (пнв в 1988 г.); Х-90 (опытная); Х-65 (опытная, 1992 г.); Х-101; КР: 4К87 для С-2 «Сопка» (пнв в 1958 г.); КСС для «Стрела» (пнв в 1957 г.); КС-7 (ФКР-1 "Метеор", "602", пнв в 1957 г.); ККР: П-15 «Дракон» (4К30, 4К40, пнв в 1960 г.), П-15Т, -ТГ, -У (4К40У, пнв в 1965 г.), П-15М «Термит» (4К51, пнв в 1975 г.), «Рубеж» (пнв в 1978 г.); 85Р для УРПК-3 (пнв в 1969 г.) и УРПК-4 (пнв в 1973 г.) «Метель», 85РУ для УРК-5 «Раструб» (пнв в 1984 г.); 86Р (3М80) для «Москит» (пнв в 1980 г.), 3М80Е для «Москит-Е» (пнв в 1990-е); Д-9;58 УРВВ Р-9 (К-9, К-155, опытная, 1960-е); самолет-имитатор МиГ-17 СДК с системой "Рубикон" (К-4);</w:t>
      </w:r>
    </w:p>
    <w:p w14:paraId="1181C2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авиационно-космический комплекс «Бурлак</w:t>
      </w:r>
      <w:proofErr w:type="gramStart"/>
      <w:r w:rsidRPr="008127F8">
        <w:rPr>
          <w:rFonts w:ascii="Times New Roman" w:hAnsi="Times New Roman"/>
          <w:color w:val="000000" w:themeColor="text1"/>
          <w:sz w:val="16"/>
          <w:szCs w:val="16"/>
        </w:rPr>
        <w:t>/»Диана</w:t>
      </w:r>
      <w:proofErr w:type="gramEnd"/>
      <w:r w:rsidRPr="008127F8">
        <w:rPr>
          <w:rFonts w:ascii="Times New Roman" w:hAnsi="Times New Roman"/>
          <w:color w:val="000000" w:themeColor="text1"/>
          <w:sz w:val="16"/>
          <w:szCs w:val="16"/>
        </w:rPr>
        <w:t xml:space="preserve">»; дельтаплан А-100; спортивный планер «Радуга» СТ-33-1; легкий учебный самолет «Радуга» РЛ-1; выдувной агрегат АВ-68 для изделий из полиэтилена (1950-е); агрегат релаксации и сушки АРИС для Минлегпрома (1980-е); сельскохозяйственные машины, электроустановки.69 </w:t>
      </w:r>
    </w:p>
    <w:p w14:paraId="3A050D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ОКБ-155 на заводе № 21</w:t>
      </w:r>
    </w:p>
    <w:p w14:paraId="6ED0A2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Горький</w:t>
      </w:r>
    </w:p>
    <w:p w14:paraId="54F119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405932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ОКБ-3-155 МАП</w:t>
      </w:r>
    </w:p>
    <w:p w14:paraId="38E4CB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(1958-66 г.)- Е.Н. Миндров.</w:t>
      </w:r>
    </w:p>
    <w:p w14:paraId="3C6540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ЗАО «ОКБ "Русская авионика"»</w:t>
      </w:r>
    </w:p>
    <w:p w14:paraId="136833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Жуковский</w:t>
      </w:r>
    </w:p>
    <w:p w14:paraId="1F9B46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Создана в 1992 г. на базе лаборатории РЭО лётно-доводочной базы ОКБ-155. </w:t>
      </w:r>
    </w:p>
    <w:p w14:paraId="22EFA8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вошла в авиастроительную корпорацию «Иркут».</w:t>
      </w:r>
    </w:p>
    <w:p w14:paraId="5F0E15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(2004 г.): разработка и производство интегрированных комплексов бортового радиоэлектронного оборудования для различных типов самолетов и вертолетов, а также модернизация ЛА посредством интеграции отечественного и импортного бортового оборудования. </w:t>
      </w:r>
    </w:p>
    <w:p w14:paraId="3A6CB2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авионика МФИ.</w:t>
      </w:r>
    </w:p>
    <w:p w14:paraId="771B78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 конструктор (1990-е-)- М.В. Коржуев. </w:t>
      </w:r>
    </w:p>
    <w:p w14:paraId="73DADE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(2005 г.)- М.В. Коржуев (зам. гендиректора РСК МиГ).</w:t>
      </w:r>
    </w:p>
    <w:p w14:paraId="2E998D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АООТ, ОАО «Научно-техническое предприятие (НТП) «Авиатест»</w:t>
      </w:r>
    </w:p>
    <w:p w14:paraId="53D79C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Ростов-на-Дону</w:t>
      </w:r>
    </w:p>
    <w:p w14:paraId="119821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01.1996 г. АООТ вошло в ВПК «МАПО». По решению правительства № 22-р от 9.01.2004 г. ОАО вошло в перечень стратегических предприятий.</w:t>
      </w:r>
    </w:p>
    <w:p w14:paraId="14400A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Инженерная компания «Трансал-АКС» </w:t>
      </w:r>
    </w:p>
    <w:p w14:paraId="77E8A5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603106 г. Нижний Новгород Советская пл., 3 тел. 68-49-89</w:t>
      </w:r>
    </w:p>
    <w:p w14:paraId="33227C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коллективом конструкторов МиГа и ЦКБ по СПК.</w:t>
      </w:r>
    </w:p>
    <w:p w14:paraId="4D1EED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нетрадиционных ЛА. Создан 4-местный самолет безаэродромного базирования на воздушной подушке МиГ-ТА-4.</w:t>
      </w:r>
    </w:p>
    <w:p w14:paraId="3680C5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В.В. Латышенко.</w:t>
      </w:r>
    </w:p>
    <w:p w14:paraId="0514A0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В.И. Шадрин.</w:t>
      </w:r>
    </w:p>
    <w:p w14:paraId="03547B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В.В. Плешивцев.</w:t>
      </w:r>
    </w:p>
    <w:p w14:paraId="5B2175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Русское авиационное АО «Русавиа»</w:t>
      </w:r>
    </w:p>
    <w:p w14:paraId="2DAA63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125299 г. Москва Ленинградское ш., 6 тел. 155-24-07</w:t>
      </w:r>
    </w:p>
    <w:p w14:paraId="7CC676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Основано в 1991 г. как дочернее предприятие РСК МиГ для конверсии оборонной продукции.</w:t>
      </w:r>
    </w:p>
    <w:p w14:paraId="64C366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утилизация военной техники; разработка документации на УТС ТМ-501; технология продления ресурса самолетов МиГ; геоинформационная система FASTMAP; железнодорожный вагон из композитных материалов.</w:t>
      </w:r>
    </w:p>
    <w:p w14:paraId="373A31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С.Н. Баранов (107776).</w:t>
      </w:r>
    </w:p>
    <w:p w14:paraId="4E8185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AB4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последовало постановление правительства, согласно которому КБ переводилось обратно в Москву, где на площадке бывшего завода №294 следовало создать новый опытный завод №155. Здесь в 1942 г. удалось выпустить 30 новых МиГ-3, основным отличием которых стала замена пулеметного вооружения на две синхронные пушки ШВАК калибра 20 мм. Еще шесть таких машин произвели в 1943 г. В том же году авиазавод №1 в Куйбышеве смог собрать 22 новых МиГа. Тем самым суммарный выпуск МиГ-1 и МиГ-3 на заводе №1 составил 3242 самолета, а с учетом выпущенных 155-м заводом - 3278 экземпляров (11954).</w:t>
      </w:r>
    </w:p>
    <w:p w14:paraId="01E0EF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411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1942г. в соответствии с пост. ГКО № 1436с и приказом НКАП № 207с от 16.03.1942г.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w:t>
      </w:r>
    </w:p>
    <w:p w14:paraId="0D22DF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(12.1939г.-)-А.И. Микоян.</w:t>
      </w:r>
    </w:p>
    <w:p w14:paraId="0DF1D6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 г.-)- А.И. Микоян.</w:t>
      </w:r>
    </w:p>
    <w:p w14:paraId="11D12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(1940 г.-)- М.И. Гуревич, В.А. Ромодин (11982).</w:t>
      </w:r>
    </w:p>
    <w:p w14:paraId="1F7395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39C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 вышло постановление ГКО № 1436 "О конструкторском бюро Микояна". Оно обязывало руководство НКАП на площадях бывшего завода № 294 создать опытный завод, присвоив ему номер 155. Туда надлежало перевести оставшиеся детали и узлы с завода № 1, а также опытный цех с оборудованием. Главным конструктором назначили Микояна, которому надлежало наряду с опытными работами выпустить 50 истребителей, а оставшийся задел использовать в качестве запасных частей для ВВС КА.</w:t>
      </w:r>
    </w:p>
    <w:p w14:paraId="470D08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КБ вернулось из эвакуации. Погрузив людей и оборудование в теплушки и дождавшись отправления эшелона, Микоян и Гуревич на самолете быстро прибыли в Москву. Им выделили небольшой двухэтажный домик, доставшийся от прежних хозяев. Конструкторы понимали: предстоит все начинать заново. С сожалением узнал Микоян, что бывшая территория завода № 1 уже отдана другим коллективам для производства истребителей Як-1, а затем штурмовиков Ил-2.</w:t>
      </w:r>
    </w:p>
    <w:p w14:paraId="59FCED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"Площадку, на которой и сегодня стоит наш завод, разыскал Артем Иванович, - вспоминала одна из старейших сотрудников, технолог З.И. Журбина. - Было на ней только одно желтое здание в глубине двора, а за ним деревянный ангар. До нас здесь как будто собирались организовать завод синтетических материалов. Стояло еще одно каменное здание, только недостроенное, и несколько бараков. Между ними пустырь и какая-то свалка..."</w:t>
      </w:r>
    </w:p>
    <w:p w14:paraId="572CF4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Выполняя решение правительства, в 1942 г. опытный завод № 115 изготовил 30 МиГ-3. Машины отличались от последних серийных производства завода № 1 главным образом вооружением: вместо двух БС над мотором смонтировали две синхронные пушки ШВАКс боезапасом 300 снарядов. В основном машины попали в 34-й иап 6-го иак П ВО. Там первоначально столкнулись с ненадежной работой синхронных пушек. В одном из вылетов 21 июля 1942 г. у старшего лейтенанта Тихонова снаряды пробили все три лопасти винта из-за так называемого эффекта "затяжного выстрела" (12045).</w:t>
      </w:r>
    </w:p>
    <w:p w14:paraId="729EF3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DC5D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1437 О дополнительном обеспечении жилплощадью рабочих, прибывающих на заводы авиационной промышленности в г. Куйбышев. (7025, 92,93).</w:t>
      </w:r>
    </w:p>
    <w:p w14:paraId="609AB1A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9F100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6363E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9AD6A"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13 марта 1952 ЗИС-41 прибыл на Гороховецкий артиллерийский полигон (АНИОП</w:t>
      </w:r>
      <w:proofErr w:type="gramStart"/>
      <w:r w:rsidRPr="008127F8">
        <w:rPr>
          <w:rFonts w:ascii="Times New Roman" w:eastAsia="Times New Roman" w:hAnsi="Times New Roman"/>
          <w:color w:val="000000" w:themeColor="text1"/>
          <w:sz w:val="16"/>
          <w:szCs w:val="16"/>
          <w:lang w:eastAsia="ru-RU"/>
        </w:rPr>
        <w:t>),а</w:t>
      </w:r>
      <w:proofErr w:type="gramEnd"/>
      <w:r w:rsidRPr="008127F8">
        <w:rPr>
          <w:rFonts w:ascii="Times New Roman" w:eastAsia="Times New Roman" w:hAnsi="Times New Roman"/>
          <w:color w:val="000000" w:themeColor="text1"/>
          <w:sz w:val="16"/>
          <w:szCs w:val="16"/>
          <w:lang w:eastAsia="ru-RU"/>
        </w:rPr>
        <w:t xml:space="preserve"> документация по ней поступила еще через неделю. За основу конструкции ЗИС-41 был взят один из опытных образцов ЗИС-22М. Машина оказалась бывалой: согласно документам, к моменту начала ходовых испытаний она уже прошла 16,5 тысяч километров.</w:t>
      </w:r>
    </w:p>
    <w:p w14:paraId="461EC41A"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Предписание Арткома ГАУ и программу испытаний на полигон прислали 24 февраля 1942 года.</w:t>
      </w:r>
    </w:p>
    <w:p w14:paraId="2555F862"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В заданные требования по боевой массе на заводе №92 не вписались: вместо 6,5 тонн боевая масса ЗИС-41 оказалась 7,5 тонн. Справедливости ради, вписаться в эти требования было попросту невозможно. Переделка ГАЗ-ААА в ЗИС-31 подняла снаряженную массу машины с 2,5 до 5 тонн. С учетом того, что ЗИС-22М имел снаряженную массу 5150 кг, меньше 7,5 тонн ЗИС-41 весить не могла.</w:t>
      </w:r>
    </w:p>
    <w:p w14:paraId="6E268065"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Как и требовало задание, машина получила бронированную кабину, которая прикрывала не только отделение управления, но и моторное отделение. В кабине размещались механик-водитель и пулеметчик. Правда, на опытном образце установки пулеметы ДТ не было. Бронирование носовой части имело рациональные углы наклона, а вот с рациональностью компоновки отделения управления дело явно не задалось. Этому был даже посвящен отдельный доклад об организации рабочих мест и условиях боевого обслуживания ЗИС-41.</w:t>
      </w:r>
    </w:p>
    <w:p w14:paraId="561896C1"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Традиционно для конструкций, которые разрабатывались под руководством Грабина, на удобство работы экипажа смотрели в последнюю очередь. В результате места для ног водителя в кабине практически не оказалось. Водитель сидел внутри, согнувшись в три погибели и задевая коленями руль. Какое расстояние в таком положении он мог проехать – вопрос крайне интересный.</w:t>
      </w:r>
    </w:p>
    <w:p w14:paraId="085C51E5"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Военврач 2-го ранга Александров, который изучал рабочие места ЗИС-41, явно не считал, что механик-водитель обязан стойко и мужественно переносить абсолютно все тяготы и лишения военной службы. Он вполне справедливо указал, что рабочее место надо переделать, освободив место для ног. Эту переделку, впрочем, завод №92 в конструкцию машины так и не внес.</w:t>
      </w:r>
    </w:p>
    <w:p w14:paraId="58BE6142"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Боевое отделение ЗИС-41 сильно отличалось по устройству от того, что было сделано на ЗИС-30. За основу инженеры КБ завода №92 взяли грузовую платформу ЗИС-22М, отказавшись от откидных бортов. Вместо них по углам появились невысокие ограждения, выполнявшие, скорее, символические функции. Сама платформа была выполнена из броневой стали, а сверху имела деревянный погон. По центру платформы установили тумбу, на которой крепилась качающаяся часть противотанковой пушки ЗИС-2. Благодаря этому орудие имело круговой сектор обстрела. Для защиты расчета было установлено развитое щитовое прикрытие, имевшее откидную верхнюю секцию. При ее поднятии расчет мог работать стоя.</w:t>
      </w:r>
    </w:p>
    <w:p w14:paraId="1AA5FB1E"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Требование удобно разместить боезапас в размере не менее 100 выстрелов на заводе №92 поняли весьма своеобразно. Как таковой боеукладки у этой САУ не было. Штатные снарядные ящики лежали прямо на платформе. Помимо наводчика и заряжающего, в состав расчета входил наблюдатель, который тоже стоял на платформе.</w:t>
      </w:r>
    </w:p>
    <w:p w14:paraId="6C9F7514" w14:textId="77777777" w:rsidR="00AB1948" w:rsidRPr="008127F8" w:rsidRDefault="00AB1948"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Различные накладки привели к тому, что первые испытания начались только 14 апреля (17671).</w:t>
      </w:r>
    </w:p>
    <w:p w14:paraId="3C5B6F89" w14:textId="77777777" w:rsidR="00AB1948" w:rsidRPr="008127F8" w:rsidRDefault="00AB1948" w:rsidP="001E0A84">
      <w:pPr>
        <w:spacing w:after="0" w:line="240" w:lineRule="auto"/>
        <w:jc w:val="both"/>
        <w:rPr>
          <w:rFonts w:ascii="Times New Roman" w:eastAsia="Times New Roman" w:hAnsi="Times New Roman"/>
          <w:color w:val="000000" w:themeColor="text1"/>
          <w:sz w:val="16"/>
          <w:szCs w:val="16"/>
          <w:lang w:eastAsia="ru-RU"/>
        </w:rPr>
      </w:pPr>
    </w:p>
    <w:p w14:paraId="1AD2AA92"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года.</w:t>
      </w:r>
    </w:p>
    <w:p w14:paraId="1EE667AD" w14:textId="42555FE2"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123 – 125</w:t>
      </w:r>
      <w:r w:rsidR="008127F8">
        <w:rPr>
          <w:rFonts w:ascii="Times New Roman" w:hAnsi="Times New Roman"/>
          <w:color w:val="000000" w:themeColor="text1"/>
          <w:sz w:val="16"/>
          <w:szCs w:val="16"/>
        </w:rPr>
        <w:t xml:space="preserve">  </w:t>
      </w:r>
    </w:p>
    <w:p w14:paraId="08241A03" w14:textId="65B215EA"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6C06A779"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5653CA9C"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КОМИССАРИАТА ТАНКОВОЙ ПРОМЫШЛЕННОСТИ СОЮЗА ССР</w:t>
      </w:r>
    </w:p>
    <w:p w14:paraId="6790B409"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280-Мс</w:t>
      </w:r>
    </w:p>
    <w:p w14:paraId="3557B6A8"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1070867"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года.</w:t>
      </w:r>
    </w:p>
    <w:p w14:paraId="05DA01D5" w14:textId="16A789DE"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Довожу до сведения результаты обследования Народным Комиссариатом Государственного Контроля завода "Электропривод":</w:t>
      </w:r>
      <w:r w:rsidR="008127F8">
        <w:rPr>
          <w:rFonts w:ascii="Times New Roman" w:hAnsi="Times New Roman"/>
          <w:color w:val="000000" w:themeColor="text1"/>
          <w:sz w:val="16"/>
          <w:szCs w:val="16"/>
        </w:rPr>
        <w:t xml:space="preserve">  </w:t>
      </w:r>
    </w:p>
    <w:p w14:paraId="1784F484" w14:textId="001BB11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"Произведенной Народным Комиссариатом Государственного Контроля Союза ССР проверкой установлено, что поставки заводу № 112 электрооборудования для танка Т-34 заводом "Электропривод" Наркомтанкопрома – сорваны.</w:t>
      </w:r>
      <w:r w:rsidR="008127F8">
        <w:rPr>
          <w:rFonts w:ascii="Times New Roman" w:hAnsi="Times New Roman"/>
          <w:color w:val="000000" w:themeColor="text1"/>
          <w:sz w:val="16"/>
          <w:szCs w:val="16"/>
        </w:rPr>
        <w:t xml:space="preserve">  </w:t>
      </w:r>
    </w:p>
    <w:p w14:paraId="62A52A66" w14:textId="6E154E7A"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 1174сс от 18 января 1942 г. завод "Электропривод" обязан был, начиная с 20 января с.г. ежедневно поставлять заводу № 112 по 10 комплектов стартеров СТ-61а, моторов-вентиляторов МВ-12, моторов-генераторов ГТ-500, пусковых магнето ПСЭ и бабин КП-4716. По состоянию на 3 февраля завод не поставил ни одного изделия, а изготовил лишь 3 опытных образца стартеров и 10 опытных образцов бабин.</w:t>
      </w:r>
      <w:r w:rsidR="008127F8">
        <w:rPr>
          <w:rFonts w:ascii="Times New Roman" w:hAnsi="Times New Roman"/>
          <w:color w:val="000000" w:themeColor="text1"/>
          <w:sz w:val="16"/>
          <w:szCs w:val="16"/>
        </w:rPr>
        <w:t xml:space="preserve">  </w:t>
      </w:r>
    </w:p>
    <w:p w14:paraId="75587FB2" w14:textId="75394F8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Организационно-технические мероприятия по обеспечению графика изготовления и поставки электрооборудования на заводе "Электропривод" до сих пор не закончены. Подготовка производства идет крайне медленно. Штампами, приспособлениями, инструментом и испытательной аппаратурой цеха завода не оснащены. По состоянию на 3 февраля 1942 года, из требующихся 170 штампов, 158 приспособлений, 280 единиц режущего инструмента, 115 единиц специального мерительного инструмента и 25 единиц специальной испытательной аппаратуры, в цехах имелось: штампов – 76, приспособлений – 33, режущего инструмента – 21 единица, специальной испытательной аппаратуры – 5 единиц. Специальный мерительный инструмент отсутствовал совершенно.</w:t>
      </w:r>
      <w:r w:rsidR="008127F8">
        <w:rPr>
          <w:rFonts w:ascii="Times New Roman" w:hAnsi="Times New Roman"/>
          <w:color w:val="000000" w:themeColor="text1"/>
          <w:sz w:val="16"/>
          <w:szCs w:val="16"/>
        </w:rPr>
        <w:t xml:space="preserve">  </w:t>
      </w:r>
    </w:p>
    <w:p w14:paraId="5F27D09D" w14:textId="2DC9E965"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не укомплектован кадрами рабочих и ИТР. Из потребных 377 человек рабочих и 35 человек ИТР завод на 3 февраля 1942 года располагал только 107 рабочими (менее 30%) и 30 ИТР.</w:t>
      </w:r>
      <w:r w:rsidR="008127F8">
        <w:rPr>
          <w:rFonts w:ascii="Times New Roman" w:hAnsi="Times New Roman"/>
          <w:color w:val="000000" w:themeColor="text1"/>
          <w:sz w:val="16"/>
          <w:szCs w:val="16"/>
        </w:rPr>
        <w:t xml:space="preserve">  </w:t>
      </w:r>
    </w:p>
    <w:p w14:paraId="157B081B" w14:textId="72B48474"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завода материалами, полуфабрикатами и инструментом проходит неудовлетворительно. На I квартал 1942 года Главснабом НКТП были выделены заводу лишь фонды на черные металлы. На остальные материалы, полуфабрикаты и инструмент фонды не были выделены даже по состоянию на 3 февраля 1942 года.</w:t>
      </w:r>
      <w:r w:rsidR="008127F8">
        <w:rPr>
          <w:rFonts w:ascii="Times New Roman" w:hAnsi="Times New Roman"/>
          <w:color w:val="000000" w:themeColor="text1"/>
          <w:sz w:val="16"/>
          <w:szCs w:val="16"/>
        </w:rPr>
        <w:t xml:space="preserve">  </w:t>
      </w:r>
    </w:p>
    <w:p w14:paraId="2BF2AAF5" w14:textId="45F6C123"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Отделы Наркомтанкопрома необходимой технической и организационной помощи заводу не оказывают. Чертежи, технические условия и технологическая документация на производство электрооборудования для танков Т-34 заводу не представлены. Впервые осваивая эти изделия, и располагая штатом технического отдела в количестве 5 человек, завод вынужден был разрабатывать всю техническую документацию своими силами – по образцам электрооборудования, представленных ему в период с 27 ноября по 16 декабря 1941 года".</w:t>
      </w:r>
      <w:r w:rsidR="008127F8">
        <w:rPr>
          <w:rFonts w:ascii="Times New Roman" w:hAnsi="Times New Roman"/>
          <w:color w:val="000000" w:themeColor="text1"/>
          <w:sz w:val="16"/>
          <w:szCs w:val="16"/>
        </w:rPr>
        <w:t xml:space="preserve">  </w:t>
      </w:r>
    </w:p>
    <w:p w14:paraId="179546DB" w14:textId="396886CE"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немедленного выправления положения с поставкой электрооборудования для выпуска танков заводу № 112, – ПРИКАЗЫВАЮ:</w:t>
      </w:r>
      <w:r w:rsidR="008127F8">
        <w:rPr>
          <w:rFonts w:ascii="Times New Roman" w:hAnsi="Times New Roman"/>
          <w:color w:val="000000" w:themeColor="text1"/>
          <w:sz w:val="16"/>
          <w:szCs w:val="16"/>
        </w:rPr>
        <w:t xml:space="preserve">  </w:t>
      </w:r>
    </w:p>
    <w:p w14:paraId="54CC0ED5" w14:textId="2BF0D3B5"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112 т. МИХАЛЕВУ и директору завода № 113 т. РЯБОВУ полностью обеспечить подачу заводу № 238 заготовок и механически обработанных деталей для выпуска электрооборудования по совестно согласованному графику.</w:t>
      </w:r>
      <w:r w:rsidR="008127F8">
        <w:rPr>
          <w:rFonts w:ascii="Times New Roman" w:hAnsi="Times New Roman"/>
          <w:color w:val="000000" w:themeColor="text1"/>
          <w:sz w:val="16"/>
          <w:szCs w:val="16"/>
        </w:rPr>
        <w:t xml:space="preserve">  </w:t>
      </w:r>
    </w:p>
    <w:p w14:paraId="3361E1F6" w14:textId="1DD5576A"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ЗЭМ т. МОРОЗ немедленно командировать на завод № 238 в гор. Горький 2-х опытных инженеров – технолога и конструктора, сроком на один месяц с технической документацией по стартерам СТ-61 и реле к ним, для оказания помощи в освоении производства электрооборудования.</w:t>
      </w:r>
      <w:r w:rsidR="008127F8">
        <w:rPr>
          <w:rFonts w:ascii="Times New Roman" w:hAnsi="Times New Roman"/>
          <w:color w:val="000000" w:themeColor="text1"/>
          <w:sz w:val="16"/>
          <w:szCs w:val="16"/>
        </w:rPr>
        <w:t xml:space="preserve">  </w:t>
      </w:r>
    </w:p>
    <w:p w14:paraId="4D267960" w14:textId="0B632EB8"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Главснаба т. РОЗИНУ полностью обеспечить завод № 238 обмоточными проводами, коллекторной медью, миканитом и в первую очередь меднографитовыми щетками С-4 для выпуска стартеров СТ-61.</w:t>
      </w:r>
      <w:r w:rsidR="008127F8">
        <w:rPr>
          <w:rFonts w:ascii="Times New Roman" w:hAnsi="Times New Roman"/>
          <w:color w:val="000000" w:themeColor="text1"/>
          <w:sz w:val="16"/>
          <w:szCs w:val="16"/>
        </w:rPr>
        <w:t xml:space="preserve">  </w:t>
      </w:r>
    </w:p>
    <w:p w14:paraId="580B3E00" w14:textId="70A893CD"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 112 в декадный срок обеспечить изготовление и подачу прессформ заводу № 238 по согласованной между заводами спецификации.</w:t>
      </w:r>
      <w:r w:rsidR="008127F8">
        <w:rPr>
          <w:rFonts w:ascii="Times New Roman" w:hAnsi="Times New Roman"/>
          <w:color w:val="000000" w:themeColor="text1"/>
          <w:sz w:val="16"/>
          <w:szCs w:val="16"/>
        </w:rPr>
        <w:t xml:space="preserve">  </w:t>
      </w:r>
    </w:p>
    <w:p w14:paraId="425675F1" w14:textId="0B4C97D8"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завода № 238 т. ГАЛУНИНУ при всех обстоятельствах обеспечить выпуск первой партии электрооборудования в март месяце и начиная с апреля 1942 года полностью обеспечить выпуск танков на заводе № 112 электрооборудованием.</w:t>
      </w:r>
      <w:r w:rsidR="008127F8">
        <w:rPr>
          <w:rFonts w:ascii="Times New Roman" w:hAnsi="Times New Roman"/>
          <w:color w:val="000000" w:themeColor="text1"/>
          <w:sz w:val="16"/>
          <w:szCs w:val="16"/>
        </w:rPr>
        <w:t xml:space="preserve">  </w:t>
      </w:r>
    </w:p>
    <w:p w14:paraId="09F786A1"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Начальнику отдела кадров т. ЛОГИНОВУ в течение марта месяца укомплектовать завод № 238 квалифицированными кадрами ИТР и рабочих для обеспечения выпуска танкового электрооборудования.</w:t>
      </w:r>
    </w:p>
    <w:p w14:paraId="77F48D6D"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СОЮЗА ССР</w:t>
      </w:r>
    </w:p>
    <w:p w14:paraId="7BE27E9D"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(С. СТЕПАНОВ)</w:t>
      </w:r>
    </w:p>
    <w:p w14:paraId="3B203C28"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(18605).</w:t>
      </w:r>
    </w:p>
    <w:p w14:paraId="5EB08C64" w14:textId="77777777" w:rsidR="00D77322" w:rsidRPr="008127F8" w:rsidRDefault="00D77322" w:rsidP="001E0A84">
      <w:pPr>
        <w:spacing w:after="0" w:line="240" w:lineRule="auto"/>
        <w:jc w:val="both"/>
        <w:rPr>
          <w:rFonts w:ascii="Times New Roman" w:hAnsi="Times New Roman"/>
          <w:color w:val="000000" w:themeColor="text1"/>
          <w:sz w:val="16"/>
          <w:szCs w:val="16"/>
        </w:rPr>
      </w:pPr>
    </w:p>
    <w:p w14:paraId="3606CB92"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w:t>
      </w:r>
    </w:p>
    <w:p w14:paraId="3DBC6174" w14:textId="3CAB88FF"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57</w:t>
      </w:r>
      <w:r w:rsidR="008127F8">
        <w:rPr>
          <w:rFonts w:ascii="Times New Roman" w:hAnsi="Times New Roman"/>
          <w:color w:val="000000" w:themeColor="text1"/>
          <w:sz w:val="16"/>
          <w:szCs w:val="16"/>
        </w:rPr>
        <w:t xml:space="preserve">  </w:t>
      </w:r>
    </w:p>
    <w:p w14:paraId="7EF36891" w14:textId="4BDD37A0"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5AFF832D"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75842F8"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300DF3F8"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261с</w:t>
      </w:r>
    </w:p>
    <w:p w14:paraId="22553CB3"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3B065D12"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предоставлении отсрочек от призыва по мобилизации на 1942 год</w:t>
      </w:r>
    </w:p>
    <w:p w14:paraId="7E2D3E4C" w14:textId="5B9CBAFA"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Комиссии при СНК СССР по освобождениям и отсрочкам от призыва по мобилизации от 10 марта 1942 г. за № 43 изменен пункт 9 постановления № 24 от 17 февраля 1942 г. Комиссии при СНК по освобождению и отсрочкам в части, касающейся предоставления отсрочек от призыва по мобилизации работникам системы Наркомтанкопрома СССР и утвержден в следующей редакции:</w:t>
      </w:r>
      <w:r w:rsidR="008127F8">
        <w:rPr>
          <w:rFonts w:ascii="Times New Roman" w:hAnsi="Times New Roman"/>
          <w:color w:val="000000" w:themeColor="text1"/>
          <w:sz w:val="16"/>
          <w:szCs w:val="16"/>
        </w:rPr>
        <w:t xml:space="preserve">  </w:t>
      </w:r>
    </w:p>
    <w:p w14:paraId="28BBE3BF" w14:textId="5FAA13A3"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"Предоставить отсрочки от призыва по мобилизации на 1942 год всем производственным рабочим из числа военнообязанных рядового и младшего начсостава запаса и всем ИТР, работающим на заводах и производственных мастерских при научно-исследовательских институтах Наркомтанкопрома СССР, за исключением призывников 1922, 1923 и 1924 гг. рождения".</w:t>
      </w:r>
      <w:r w:rsidR="008127F8">
        <w:rPr>
          <w:rFonts w:ascii="Times New Roman" w:hAnsi="Times New Roman"/>
          <w:color w:val="000000" w:themeColor="text1"/>
          <w:sz w:val="16"/>
          <w:szCs w:val="16"/>
        </w:rPr>
        <w:t xml:space="preserve">  </w:t>
      </w:r>
    </w:p>
    <w:p w14:paraId="4B1CCCDC" w14:textId="5E1A6E0F"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r w:rsidR="008127F8">
        <w:rPr>
          <w:rFonts w:ascii="Times New Roman" w:hAnsi="Times New Roman"/>
          <w:color w:val="000000" w:themeColor="text1"/>
          <w:sz w:val="16"/>
          <w:szCs w:val="16"/>
        </w:rPr>
        <w:t xml:space="preserve">  </w:t>
      </w:r>
    </w:p>
    <w:p w14:paraId="2AEBEFC9"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Директорам заводов и научно-исследовательских институтов представить в местные военкоматы требуемые учетные данные для взятия на спец. учет рабочих и ИТР, на коих распространяется указанное постановление.</w:t>
      </w:r>
    </w:p>
    <w:p w14:paraId="385AC005"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СССР</w:t>
      </w:r>
    </w:p>
    <w:p w14:paraId="0C855D08"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734EADE1" w14:textId="2A4DE15C"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w:t>
      </w:r>
      <w:r w:rsidR="008127F8">
        <w:rPr>
          <w:rFonts w:ascii="Times New Roman" w:hAnsi="Times New Roman"/>
          <w:color w:val="000000" w:themeColor="text1"/>
          <w:sz w:val="16"/>
          <w:szCs w:val="16"/>
        </w:rPr>
        <w:t xml:space="preserve">  </w:t>
      </w:r>
    </w:p>
    <w:p w14:paraId="2C7196DD" w14:textId="77777777" w:rsidR="00D77322" w:rsidRPr="008127F8" w:rsidRDefault="00D7732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Исп. Волынец (18606).</w:t>
      </w:r>
    </w:p>
    <w:p w14:paraId="1CB55529" w14:textId="77777777" w:rsidR="00D77322" w:rsidRPr="008127F8" w:rsidRDefault="00D77322" w:rsidP="001E0A84">
      <w:pPr>
        <w:spacing w:after="0" w:line="240" w:lineRule="auto"/>
        <w:jc w:val="both"/>
        <w:rPr>
          <w:rFonts w:ascii="Times New Roman" w:hAnsi="Times New Roman"/>
          <w:color w:val="000000" w:themeColor="text1"/>
          <w:sz w:val="16"/>
          <w:szCs w:val="16"/>
        </w:rPr>
      </w:pPr>
    </w:p>
    <w:p w14:paraId="7390B43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года вышел приказ № 104с НКБ</w:t>
      </w:r>
    </w:p>
    <w:p w14:paraId="115DEC1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к приказу НКБ от 21 августа 1941 года № 437с категорировать по подготовке к местной ПВО предприятия НКБ ……………….</w:t>
      </w:r>
    </w:p>
    <w:p w14:paraId="5B37B11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311 – Саратов</w:t>
      </w:r>
    </w:p>
    <w:p w14:paraId="0291545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530 – Куйбышев</w:t>
      </w:r>
    </w:p>
    <w:p w14:paraId="1C5D3BB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550 - пос. Саров Мордовской АССР</w:t>
      </w:r>
    </w:p>
    <w:p w14:paraId="3FC79D9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560 – Люберцы Московской обл.</w:t>
      </w:r>
    </w:p>
    <w:p w14:paraId="67F6763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570 – Сумгаит Азербайджанской ССР</w:t>
      </w:r>
    </w:p>
    <w:p w14:paraId="7522D2B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596 – Ярославль</w:t>
      </w:r>
    </w:p>
    <w:p w14:paraId="53FA4DB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602 – Саратов</w:t>
      </w:r>
    </w:p>
    <w:p w14:paraId="4483FE9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610 – Баку (5797, 116-117).</w:t>
      </w:r>
    </w:p>
    <w:p w14:paraId="16CA6E3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26CB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1431 [Об образовании группы в составе: Каганович л. М., Берия л. П., Маленков Г.М., Арутюнов Б.H., Ковалев И.В., ответственной за все перевозки по HКПС.] (7025, 83-85).</w:t>
      </w:r>
    </w:p>
    <w:p w14:paraId="6541D90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F1F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1432 О т.т. Ефимове П.И., Чарквиани К.Н., Бачирове М.А., Арутинове Г.А. и Шишкине П.Н. РГАНИР, Фонд ГКО, д. 24, лл. 86 (11012).</w:t>
      </w:r>
    </w:p>
    <w:p w14:paraId="6CE4FC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151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1433 О т.т. Мартыненко И.М. и Паньшине С.З. РГАНИР, Фонд ГКО, д. 24, лл. 87 (11012).</w:t>
      </w:r>
    </w:p>
    <w:p w14:paraId="3E6C0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115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вышло Постановление ГКО № 1434 О возвращении в Москву аппарата Наркомата минометного вооружения. РГАНИР, Фонд ГКО, д. 24, лл. 88 (11012).</w:t>
      </w:r>
    </w:p>
    <w:p w14:paraId="08C43E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C045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13055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4B0BB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марта</w:t>
      </w:r>
      <w:r w:rsidRPr="008127F8">
        <w:rPr>
          <w:rFonts w:ascii="Times New Roman" w:hAnsi="Times New Roman"/>
          <w:color w:val="000000" w:themeColor="text1"/>
          <w:sz w:val="16"/>
          <w:szCs w:val="16"/>
        </w:rPr>
        <w:t xml:space="preserve"> в 1942 году утреннее сообщение Совинформбюро:</w:t>
      </w:r>
    </w:p>
    <w:p w14:paraId="380E789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13 марта на ряде участков фронта советские войска вели активные действия против немецко-фашистских войск.</w:t>
      </w:r>
    </w:p>
    <w:p w14:paraId="1E357A19"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 стрелковый батальон после упорного ночного боя овладел важным узлом сопротивления противника. Оставив на поле сражения сотни трупов, немцы отступили. На другом участке наша стрелковая часть в течение дня отразила несколько контратак противника, пытавшегося вернуть ранее потерянные позиции. Оставив на поле боя свыше 200 трупов своих солдат и офицеров, немцы были вынуждены отказаться от дальнейших попыток сломить сопротивление наших бойцов.</w:t>
      </w:r>
    </w:p>
    <w:p w14:paraId="0499D5D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один день боёв уничтожили 1.120 немецких солдат и офицеров. В результате огневого налёта нашей артиллерии разрушено 7 деревоземляных огневых точек, 12 блиндажей и землянок, уничтожено 4 пулемётных гнезда и несколько автомашин с боеприпасами и продовольствием.</w:t>
      </w:r>
    </w:p>
    <w:p w14:paraId="1CAE75C0"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Калининского фронта, за один день уничтожили 420 немецких солдат и офицеров, разгромили обоз из 38 повозок, захватили оружие и полевую почту.</w:t>
      </w:r>
    </w:p>
    <w:p w14:paraId="6BE800E4"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младший лейтенант Вамбуль огнём из винтовки сбил немецкий самолёт.</w:t>
      </w:r>
    </w:p>
    <w:p w14:paraId="3E77293C"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Фельдфебель 13 роты 55 пехотного полка 17 пехотной дивизии Фридрих Эмтер рассказал: «Наша рота за последнее время потеряла почти всю материальную часть. Из шести 75-мм пушек и двух 150-мм остались только одна 75-мм и одна 150-мм пушки. Остальные орудия либо подбиты, либо брошены нами во время отступления. Потери людьми также велики. Из 118 человек в нашей роте осталось лишь 40. В других ротах потери ещё больше. Последние месяцы войны в корне изменили наше мнение о русской армии. Даже офицеры сейчас избегают упоминать заявление Гитлера о скором достижении победы».</w:t>
      </w:r>
    </w:p>
    <w:p w14:paraId="7C75A6C1"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капрал финской армии Матти Август Рюхянен рассказал: «Недавно нам опять уменьшили паёк. В знак протеста наш взвод демонстративно не вышел на занятия. Чем дело кончилось, я не знаю, так как вскоре попал в плен».</w:t>
      </w:r>
    </w:p>
    <w:p w14:paraId="488B30A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Ефрейтор 103 артиллерийского полка 4 немецкой танковой дивизии Хейно Эндельман заявил: «Мы, 16 немецких солдат, выехали в деревню К. для того, чтобы добыть там продуктов. У деревни нас встретили огнём из пулемётов и винтовок русские партизаны. Я лёг в снег. Когда поднял голову, то увидел, что 14 наших солдат убито. Я и мой товарищ Резнер без сопротивления сдались в плен».</w:t>
      </w:r>
    </w:p>
    <w:p w14:paraId="1ED637E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Прикарпатской Руси ведут самоотверженную борьбу против венгерских поработителей. Партизанский отряд, действующий у местечка З., за последний месяц совершил 5 нападений на продовольственные транспорты, взорвал два склада с оружием, поджёг 9 железнодорожных цистерн с горючим, уничтожил 17 грузовых автомашин и истребил около 100 фашистских солдат и офицеров. Другой партизанский отряд у местечка К. взорвал эшелон железнодорожных цистерн с горючим, направлявшийся на советско-германский фронт. Близ местечка Б. партизанский отряд ночью напал на венгерскую танковую колонну и бутылками с горючим поджёг 11 танков. Бой длился более двух часов. Венгерцы потеряли убитыми 60 солдат и офицеров. Партизаны напали на аэродром и уничтожили три венгерских самолёта. На одном железнодорожном вокзале партизаны подожгли склад угля и взорвали склад с военным имуществом. Возле С. партизаны захватили венгерский транспорт с продовольствием и роздали продукты голодающему местному населению.</w:t>
      </w:r>
    </w:p>
    <w:p w14:paraId="1B2C875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алюминиевом заводе в Лауте (Германия) произошли волнения иностранных рабочих. Рабочие остановили завод и привели в негодность ряд сложных машин. Забастовка была подавлена гитлеровцами силой оружия. Гестаповцы заковали в кандалы всех поляков, итальянцев и французов. Иностранные рабочие за невыполнение норм подвергаются публичной порке.» (15067).</w:t>
      </w:r>
    </w:p>
    <w:p w14:paraId="165010CF"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18A19BA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марта</w:t>
      </w:r>
      <w:r w:rsidRPr="008127F8">
        <w:rPr>
          <w:rFonts w:ascii="Times New Roman" w:hAnsi="Times New Roman"/>
          <w:color w:val="000000" w:themeColor="text1"/>
          <w:sz w:val="16"/>
          <w:szCs w:val="16"/>
        </w:rPr>
        <w:t xml:space="preserve"> в 1942 году вечернее сообщение Совинформбюро:</w:t>
      </w:r>
    </w:p>
    <w:p w14:paraId="0ADC65C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марта наши войска продолжали наступательные бои против немецко-фашистских войск, и продвинулась вперёд. На некоторых участках фронта противник переходил в контратаки, которые были отбиты с большими для противника потерями.</w:t>
      </w:r>
    </w:p>
    <w:p w14:paraId="443A3C0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марта уничтожено 24 немецких самолёта. Наши потери — 7 самолётов.</w:t>
      </w:r>
    </w:p>
    <w:p w14:paraId="091E524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марта частями нашей авиации уничтожено и повреждено около 110 автомашин с войсками и грузами, 65 повозок с боеприпасами, 39 орудий, 12 зенитно-пулемётных точек, 23 миномёта, взорвано 2 склада с горючим и 1 склад с боеприпасами, разбито 15 железнодорожных вагонов, рассеяно и частью уничтожено 2 батальона пехоты противника.</w:t>
      </w:r>
    </w:p>
    <w:p w14:paraId="6B47574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Иовлева (Западный фронт) за последние дни освободила от немцев 11 населённых пунктов. Враг понёс большие потери. Среди захваченных трофеев 3 легковых и 12 грузовых автомашин, 2 орудия, 3 пулемёта, трактор, 4 кухни, 20 км телефонного кабеля и другое военное имущество. На другом участке наша гвардейская часть уничтожила немецкую миномётную батарею, 4 орудия, 5 пулемётов и несколько подвод с воинскими грузами. На поле боя осталось свыше 100 вражеских трупов.</w:t>
      </w:r>
    </w:p>
    <w:p w14:paraId="2AECA87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Ленинградского фронта, в течение одного дня разрушили 39 блиндажей и землянок, уничтожили 8 немецких танков, 10 орудий, 3 миномёта и 3 автомашины с военным грузом. Огнём артиллерии подавлено и уничтожено 5 вражеских артиллерийских и 6 миномётных батарей. На поле боя противник оставил свыше 500 трупов, 3 орудия, 38 пулемётов, 360 ящиков ружейных патронов и 2.000 мин. Взяты пленные.</w:t>
      </w:r>
    </w:p>
    <w:p w14:paraId="5408D84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Преодолевая упорное сопротивление противника, наши части, действующие на одном из участков Юго-Западного фронта, заняли два населённых пункта и захватили 10 немецких орудий, 4 миномета, 5 радиостанций, склад боеприпасов, большое количество винтовок и другого оружия. На улицах селений осталось много трупов вражеских солдат и офицеров. Взяты пленные. На другом участке наши бойцы захватили в плен 250 солдат противника.</w:t>
      </w:r>
    </w:p>
    <w:p w14:paraId="725E8C03"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Пленные сообщили, что перед наступлением ряд солдат был расстрелян офицерами за отказ идти в бой.</w:t>
      </w:r>
    </w:p>
    <w:p w14:paraId="302E35F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которой командует тов. Кащеев (Северо-Западный фронт), разгромила вражеский гарнизон и заняла один населённый пункт. На подступах и улицах селения противник оставил более 270 трупов солдат и офицеров. Захвачены 50 автомашин с различным грузом, 150 велосипедов, 12 мотоциклов, 4 орудия, склады с боеприпасами и продовольствием.</w:t>
      </w:r>
    </w:p>
    <w:p w14:paraId="77D92DB4"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Зенитный расчёт, которым командует тов. Пеньков, сбил в течение нескольких дней два немецких бомбардировщика.</w:t>
      </w:r>
    </w:p>
    <w:p w14:paraId="61BB3E9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К., действующий в одном из районов Ленинградской области, оккупированных немцами, организовал взрывы железнодорожного полотна в момент прохождения немецких воинских эшелонов. Два немецких поезда, гружённых танками, артиллерией и войсками, разбиты в щепы.</w:t>
      </w:r>
    </w:p>
    <w:p w14:paraId="675CE56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9 роты 55 полка 17 пехотной дивизии Артур Фрис сообщил: «Я прибыл на Восточный фронт в конце января 1942 года и пробыл в бою всего 8 дней. За это время из 48 человек в нашей роте убито и ранено 30 человек. В связи с такими огромными потерями настроение солдат резко упало. Большинство из нас, солдат пополнения, — люди в возрасте от 30 до 40 лет. Обучены мы очень плохо. Меня, например, научили кое-как стрелять из винтовки. С другим оружием я обращаться </w:t>
      </w:r>
      <w:r w:rsidRPr="008127F8">
        <w:rPr>
          <w:rFonts w:ascii="Times New Roman" w:hAnsi="Times New Roman"/>
          <w:color w:val="000000" w:themeColor="text1"/>
          <w:sz w:val="16"/>
          <w:szCs w:val="16"/>
        </w:rPr>
        <w:lastRenderedPageBreak/>
        <w:t>не умею. В эшелоне, с которым я приехал в Россию, почти все были солдаты, имевшие освобождение от военной службы, как работавшие на военных предприятиях. Теперь все отсрочки отменены, и они попали на фронт».</w:t>
      </w:r>
    </w:p>
    <w:p w14:paraId="71DA2D6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бумаг, подобранных на поле боя, найдено письмо командира 3 батальона 415 полка 123 немецкой пехотной дивизия обер-лейтенанта Сиверса — командиру бригады «СС» Кристенсену. Сиверс в письме пишет: «Русские лучше и надёжнее обмундированы для зимы, чем мы. У них два вида обмундирования: для лета и для зимы! Трудности походов они переносят лучше нас. Командиры храбры и располагают большим опытом. Как обстоит дело у нас? Нет уже в живых большей части наших старых солдат и офицеров и почти всех младших командиров. Русские предпринимают массированные удары артиллерии, танков и авиации. Сплошной линии фронта нет, повсюду опорные пункты под постоянной угрозой нападения партизан и отборных истребительных отрядов. У нас большие потери, причём среди погибших такие солдаты, которых невозможно заменить. Нет транспорта для эвакуации раненых. Никакого покоя, никакого питания. Так обстоит дело у нас. Конечно, мы все устали, обовшивели и покрылись грязью».</w:t>
      </w:r>
    </w:p>
    <w:p w14:paraId="5A0CF26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посёлка Близнецы, Харьковской области, освобождённого от немецких захватчиков, сообщают многочисленные факты чудовищных преступлений гитлеровских захватчиков. Огнём и взрывами в посёлке уничтожены все школы, клуб, библиотеки, почта, аптека, детские сады и детские ясли. Когда граждане пытались потушить пожар, немецкие автоматчики открыли по ним стрельбу. Гитлеровцы ограбили всех жителей посёлка.».</w:t>
      </w:r>
    </w:p>
    <w:p w14:paraId="3DBD455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211A2394"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некоторых частей войск Юго-Западного и Южного фронтов за период с 7 по 12 марта 1942 года.</w:t>
      </w:r>
    </w:p>
    <w:p w14:paraId="02D399B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7 по 12 марта некоторыми частями войск Юго-Западного и Южного фронтов, ведущими наступательные бои, захвачены у противника следующие трофеи: орудий — 129, миномётов — ИЗ, пулемётов — 394, автоматов — 173, винтовок — 1.485, пистолетов —127, противотанковых ружей — 22, снарядов — 20.000, винтовочных патронов свыше 3 миллионов, ручных гранат — 4.000, мин — 22.500 и отдельно 115 ящиков, танков — 2, радиостанций — 27, телефонных аппаратов — 58, телефонного кабеля — 121 километр, противотанковых и противопехотных мин — 25 штабелей, складов с боеприпасами — 19, вещевых складов — 12, продовольственных складов — 14.</w:t>
      </w:r>
    </w:p>
    <w:p w14:paraId="0ABDD19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Взято в плен 539 солдат и офицеров.</w:t>
      </w:r>
    </w:p>
    <w:p w14:paraId="2F1F215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этот же период уничтожено: танков — 49, орудий—-58, пулемётов — 142, минометов — 60, складов с боеприпасами — 2, повозок с боеприпасами — 320, автомашин — 370, цистерн с горючим — 1, железнодорожных вагонов с имуществом — 15, ДЗОТов — 43.</w:t>
      </w:r>
    </w:p>
    <w:p w14:paraId="584FFFDC" w14:textId="77777777" w:rsidR="00165913" w:rsidRPr="008127F8" w:rsidRDefault="00165913"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За период с 7 по 12 марта немцы потеряли в районе наступательных действий Юго-Западного и Южного фронтов убитыми около 10.000 солдат и офицеров.» </w:t>
      </w:r>
      <w:r w:rsidRPr="008127F8">
        <w:rPr>
          <w:rFonts w:ascii="Times New Roman" w:hAnsi="Times New Roman"/>
          <w:color w:val="000000" w:themeColor="text1"/>
          <w:sz w:val="16"/>
          <w:szCs w:val="16"/>
          <w:lang w:val="en-US"/>
        </w:rPr>
        <w:t>(15067).</w:t>
      </w:r>
    </w:p>
    <w:p w14:paraId="10177B05" w14:textId="77777777" w:rsidR="00165913" w:rsidRPr="008127F8" w:rsidRDefault="00165913" w:rsidP="001E0A84">
      <w:pPr>
        <w:spacing w:after="0" w:line="240" w:lineRule="auto"/>
        <w:jc w:val="both"/>
        <w:rPr>
          <w:rFonts w:ascii="Times New Roman" w:hAnsi="Times New Roman"/>
          <w:color w:val="000000" w:themeColor="text1"/>
          <w:sz w:val="16"/>
          <w:szCs w:val="16"/>
          <w:lang w:val="en-US"/>
        </w:rPr>
      </w:pPr>
    </w:p>
    <w:p w14:paraId="6FD733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13th, 1942: The Red Army launches an attack against Heeresgruppe B (von Manstein) from the Kerch peninsula in the eastern Crimea (3819).</w:t>
      </w:r>
    </w:p>
    <w:p w14:paraId="2DE92A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1B39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КА начала наступление против Группу Б (фон Манштейн) на Керченском п/о (3819).</w:t>
      </w:r>
    </w:p>
    <w:p w14:paraId="60745E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DE9C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70EFD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D0C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1440 О заводе № 45. РГАНИР, Фонд ГКО, д. 24, лл. 96 (11012).</w:t>
      </w:r>
    </w:p>
    <w:p w14:paraId="2C55C8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FB84A3"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1440 О заводе № 45</w:t>
      </w:r>
    </w:p>
    <w:p w14:paraId="591C62FD" w14:textId="77777777" w:rsidR="003A6F23" w:rsidRPr="008127F8" w:rsidRDefault="003A6F2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 целях наиболее быстрой организации завода - дублера по производству моторов </w:t>
      </w:r>
      <w:r w:rsidRPr="008127F8">
        <w:rPr>
          <w:rStyle w:val="16"/>
          <w:rFonts w:ascii="Times New Roman" w:hAnsi="Times New Roman" w:cs="Times New Roman"/>
          <w:color w:val="000000" w:themeColor="text1"/>
          <w:spacing w:val="0"/>
        </w:rPr>
        <w:t>АМ-38</w:t>
      </w:r>
      <w:r w:rsidRPr="008127F8">
        <w:rPr>
          <w:rFonts w:ascii="Times New Roman" w:hAnsi="Times New Roman"/>
          <w:color w:val="000000" w:themeColor="text1"/>
          <w:sz w:val="16"/>
          <w:szCs w:val="16"/>
        </w:rPr>
        <w:t xml:space="preserve"> немедленно пе</w:t>
      </w:r>
      <w:r w:rsidRPr="008127F8">
        <w:rPr>
          <w:rFonts w:ascii="Times New Roman" w:hAnsi="Times New Roman"/>
          <w:color w:val="000000" w:themeColor="text1"/>
          <w:sz w:val="16"/>
          <w:szCs w:val="16"/>
        </w:rPr>
        <w:softHyphen/>
        <w:t>редать Московскому эаводу № 45 все оборудование, ин</w:t>
      </w:r>
      <w:r w:rsidRPr="008127F8">
        <w:rPr>
          <w:rFonts w:ascii="Times New Roman" w:hAnsi="Times New Roman"/>
          <w:color w:val="000000" w:themeColor="text1"/>
          <w:sz w:val="16"/>
          <w:szCs w:val="16"/>
        </w:rPr>
        <w:softHyphen/>
        <w:t xml:space="preserve">струмент и материалы, а также рабочих и инженерно- технический персонал завода № 82 по состоянию на </w:t>
      </w:r>
      <w:r w:rsidRPr="008127F8">
        <w:rPr>
          <w:rStyle w:val="16"/>
          <w:rFonts w:ascii="Times New Roman" w:hAnsi="Times New Roman" w:cs="Times New Roman"/>
          <w:color w:val="000000" w:themeColor="text1"/>
          <w:spacing w:val="0"/>
        </w:rPr>
        <w:t>1.Ш.1942 г.</w:t>
      </w:r>
    </w:p>
    <w:p w14:paraId="310E74D4" w14:textId="77777777" w:rsidR="003A6F23" w:rsidRPr="008127F8" w:rsidRDefault="003A6F23" w:rsidP="001E0A84">
      <w:pPr>
        <w:tabs>
          <w:tab w:val="left" w:pos="202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Производство дизелей </w:t>
      </w:r>
      <w:r w:rsidRPr="008127F8">
        <w:rPr>
          <w:rStyle w:val="16"/>
          <w:rFonts w:ascii="Times New Roman" w:hAnsi="Times New Roman" w:cs="Times New Roman"/>
          <w:color w:val="000000" w:themeColor="text1"/>
          <w:spacing w:val="0"/>
        </w:rPr>
        <w:t>М-30</w:t>
      </w:r>
      <w:r w:rsidRPr="008127F8">
        <w:rPr>
          <w:rFonts w:ascii="Times New Roman" w:hAnsi="Times New Roman"/>
          <w:color w:val="000000" w:themeColor="text1"/>
          <w:sz w:val="16"/>
          <w:szCs w:val="16"/>
        </w:rPr>
        <w:t xml:space="preserve"> временно прекратить и завод № 82 ликвидировать.</w:t>
      </w:r>
    </w:p>
    <w:p w14:paraId="12A4B898" w14:textId="77777777" w:rsidR="003A6F23" w:rsidRPr="008127F8" w:rsidRDefault="003A6F23" w:rsidP="001E0A84">
      <w:pPr>
        <w:tabs>
          <w:tab w:val="left" w:pos="20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Передать опытные образцы, техническую докумен</w:t>
      </w:r>
      <w:r w:rsidRPr="008127F8">
        <w:rPr>
          <w:rFonts w:ascii="Times New Roman" w:hAnsi="Times New Roman"/>
          <w:color w:val="000000" w:themeColor="text1"/>
          <w:sz w:val="16"/>
          <w:szCs w:val="16"/>
        </w:rPr>
        <w:softHyphen/>
        <w:t xml:space="preserve">тацию и конструкторские кадры по </w:t>
      </w:r>
      <w:r w:rsidRPr="008127F8">
        <w:rPr>
          <w:rStyle w:val="16"/>
          <w:rFonts w:ascii="Times New Roman" w:hAnsi="Times New Roman" w:cs="Times New Roman"/>
          <w:color w:val="000000" w:themeColor="text1"/>
          <w:spacing w:val="0"/>
        </w:rPr>
        <w:t>М-30</w:t>
      </w:r>
      <w:r w:rsidRPr="008127F8">
        <w:rPr>
          <w:rFonts w:ascii="Times New Roman" w:hAnsi="Times New Roman"/>
          <w:color w:val="000000" w:themeColor="text1"/>
          <w:sz w:val="16"/>
          <w:szCs w:val="16"/>
        </w:rPr>
        <w:t xml:space="preserve"> ЦИАМ (19306).</w:t>
      </w:r>
    </w:p>
    <w:p w14:paraId="544A4EF2" w14:textId="77777777" w:rsidR="003A6F23" w:rsidRPr="008127F8" w:rsidRDefault="003A6F2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38E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N 1440сс по созданию завода-дублера на базе 45 (наверное, в Москве) для производства АМ-38 (1545,60).</w:t>
      </w:r>
    </w:p>
    <w:p w14:paraId="064A36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решение предполагало ликвидировать последнее из занимавшихся авиационными дизелями предприятий - завод N 82. Это решение мотивировалось необходимостью укрепления производственной базы завода N 45, дублировавшего производство моторов АМ-38 для штурмовиков Ил-2 (3322,37).</w:t>
      </w:r>
    </w:p>
    <w:p w14:paraId="680A3E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D5F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Постановлением ГКО № 1440сс было предписано расформировать завод спецоборудования № 291 и авиамоторный завод № 82, а все их оборудование, включая станочный парк, передать 45-му заводу (10225,120).</w:t>
      </w:r>
    </w:p>
    <w:p w14:paraId="3DE82A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233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вышло Постановление ГОКО за № 1440с и 16 марта 1942 вышел приказ НКАП за № 206сс которыми , завод № 82, реэвакуированный из Казани в Тушино,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657E1D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324C14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2BBA75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на заводе № 500 было организовано в 1942 году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B46C9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Тушино. Производственный профиль – авиамоторный (9861).</w:t>
      </w:r>
    </w:p>
    <w:p w14:paraId="55AE7B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9BCC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[Справка о выдаче мандата Попову Г.М. - уполномоченному ГКО по производству авиамоторов АМ-38 на заводе № 24 в Куйбышеве]. № 1441 (7025, 97).</w:t>
      </w:r>
    </w:p>
    <w:p w14:paraId="6D8C094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4D44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марта 1942 вышло Постановление ГКО № 1444 О постановке производства самолета ДБ-3Ф на заводе № </w:t>
      </w:r>
      <w:proofErr w:type="gramStart"/>
      <w:r w:rsidRPr="008127F8">
        <w:rPr>
          <w:rFonts w:ascii="Times New Roman" w:hAnsi="Times New Roman"/>
          <w:color w:val="000000" w:themeColor="text1"/>
          <w:sz w:val="16"/>
          <w:szCs w:val="16"/>
        </w:rPr>
        <w:t>23.РГАНИР</w:t>
      </w:r>
      <w:proofErr w:type="gramEnd"/>
      <w:r w:rsidRPr="008127F8">
        <w:rPr>
          <w:rFonts w:ascii="Times New Roman" w:hAnsi="Times New Roman"/>
          <w:color w:val="000000" w:themeColor="text1"/>
          <w:sz w:val="16"/>
          <w:szCs w:val="16"/>
        </w:rPr>
        <w:t>, Фонд ГКО, д. 24, лл. 100 (11012).</w:t>
      </w:r>
    </w:p>
    <w:p w14:paraId="1F4632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04291" w14:textId="77777777" w:rsidR="0022730C" w:rsidRPr="008127F8" w:rsidRDefault="0022730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1444 О постановке производства самолета ДБ-3Ф на заводе № 23</w:t>
      </w:r>
    </w:p>
    <w:p w14:paraId="01D6A1DA" w14:textId="77777777" w:rsidR="0022730C" w:rsidRPr="008127F8" w:rsidRDefault="0022730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постановления ГОКО о постановке произ</w:t>
      </w:r>
      <w:r w:rsidRPr="008127F8">
        <w:rPr>
          <w:rFonts w:ascii="Times New Roman" w:hAnsi="Times New Roman"/>
          <w:color w:val="000000" w:themeColor="text1"/>
          <w:sz w:val="16"/>
          <w:szCs w:val="16"/>
        </w:rPr>
        <w:softHyphen/>
        <w:t>водства самолета ДБ-ЗФ на заводе № 81 от 4 марта 1942 го</w:t>
      </w:r>
      <w:r w:rsidRPr="008127F8">
        <w:rPr>
          <w:rFonts w:ascii="Times New Roman" w:hAnsi="Times New Roman"/>
          <w:color w:val="000000" w:themeColor="text1"/>
          <w:sz w:val="16"/>
          <w:szCs w:val="16"/>
        </w:rPr>
        <w:softHyphen/>
        <w:t>да $ 1387сс, Государственный Комитет Обороны постановляет:</w:t>
      </w:r>
    </w:p>
    <w:p w14:paraId="220BCE43" w14:textId="77777777" w:rsidR="0022730C" w:rsidRPr="008127F8" w:rsidRDefault="0022730C" w:rsidP="001E0A84">
      <w:pPr>
        <w:tabs>
          <w:tab w:val="left" w:pos="9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Наркомавиапром -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xml:space="preserve"> организовать производство самолетов ДБ-ЗФ в бомбардировочном и тран</w:t>
      </w:r>
      <w:r w:rsidRPr="008127F8">
        <w:rPr>
          <w:rFonts w:ascii="Times New Roman" w:hAnsi="Times New Roman"/>
          <w:color w:val="000000" w:themeColor="text1"/>
          <w:sz w:val="16"/>
          <w:szCs w:val="16"/>
        </w:rPr>
        <w:softHyphen/>
        <w:t xml:space="preserve">спортном вариантах на заводе № </w:t>
      </w:r>
      <w:r w:rsidRPr="008127F8">
        <w:rPr>
          <w:rStyle w:val="0pt"/>
          <w:rFonts w:ascii="Times New Roman" w:hAnsi="Times New Roman" w:cs="Times New Roman"/>
          <w:color w:val="000000" w:themeColor="text1"/>
          <w:spacing w:val="0"/>
          <w:sz w:val="16"/>
          <w:szCs w:val="16"/>
        </w:rPr>
        <w:t>23.</w:t>
      </w:r>
    </w:p>
    <w:p w14:paraId="39F49E4F" w14:textId="77777777" w:rsidR="0022730C" w:rsidRPr="008127F8" w:rsidRDefault="0022730C" w:rsidP="001E0A84">
      <w:pPr>
        <w:tabs>
          <w:tab w:val="left" w:pos="9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Бакинский эавод № </w:t>
      </w:r>
      <w:r w:rsidRPr="008127F8">
        <w:rPr>
          <w:rStyle w:val="0pt"/>
          <w:rFonts w:ascii="Times New Roman" w:hAnsi="Times New Roman" w:cs="Times New Roman"/>
          <w:color w:val="000000" w:themeColor="text1"/>
          <w:spacing w:val="0"/>
          <w:sz w:val="16"/>
          <w:szCs w:val="16"/>
        </w:rPr>
        <w:t>458,</w:t>
      </w:r>
      <w:r w:rsidRPr="008127F8">
        <w:rPr>
          <w:rFonts w:ascii="Times New Roman" w:hAnsi="Times New Roman"/>
          <w:color w:val="000000" w:themeColor="text1"/>
          <w:sz w:val="16"/>
          <w:szCs w:val="16"/>
        </w:rPr>
        <w:t xml:space="preserve"> ранее направленный на за</w:t>
      </w:r>
      <w:r w:rsidRPr="008127F8">
        <w:rPr>
          <w:rFonts w:ascii="Times New Roman" w:hAnsi="Times New Roman"/>
          <w:color w:val="000000" w:themeColor="text1"/>
          <w:sz w:val="16"/>
          <w:szCs w:val="16"/>
        </w:rPr>
        <w:softHyphen/>
        <w:t xml:space="preserve">вод </w:t>
      </w:r>
      <w:r w:rsidRPr="008127F8">
        <w:rPr>
          <w:rStyle w:val="0pt"/>
          <w:rFonts w:ascii="Times New Roman" w:hAnsi="Times New Roman" w:cs="Times New Roman"/>
          <w:color w:val="000000" w:themeColor="text1"/>
          <w:spacing w:val="0"/>
          <w:sz w:val="16"/>
          <w:szCs w:val="16"/>
        </w:rPr>
        <w:t>81,</w:t>
      </w:r>
      <w:r w:rsidRPr="008127F8">
        <w:rPr>
          <w:rFonts w:ascii="Times New Roman" w:hAnsi="Times New Roman"/>
          <w:color w:val="000000" w:themeColor="text1"/>
          <w:sz w:val="16"/>
          <w:szCs w:val="16"/>
        </w:rPr>
        <w:t xml:space="preserve"> направить на завод № </w:t>
      </w:r>
      <w:r w:rsidRPr="008127F8">
        <w:rPr>
          <w:rStyle w:val="0pt"/>
          <w:rFonts w:ascii="Times New Roman" w:hAnsi="Times New Roman" w:cs="Times New Roman"/>
          <w:color w:val="000000" w:themeColor="text1"/>
          <w:spacing w:val="0"/>
          <w:sz w:val="16"/>
          <w:szCs w:val="16"/>
        </w:rPr>
        <w:t>23.</w:t>
      </w:r>
    </w:p>
    <w:p w14:paraId="786A0F7E" w14:textId="77777777" w:rsidR="0022730C" w:rsidRPr="008127F8" w:rsidRDefault="0022730C" w:rsidP="001E0A84">
      <w:pPr>
        <w:tabs>
          <w:tab w:val="left" w:pos="9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Развернуть мощность завода № 23 по производству самолетов ДБ-ЗФ на пять самолетов в день, из них два са</w:t>
      </w:r>
      <w:r w:rsidRPr="008127F8">
        <w:rPr>
          <w:rFonts w:ascii="Times New Roman" w:hAnsi="Times New Roman"/>
          <w:color w:val="000000" w:themeColor="text1"/>
          <w:sz w:val="16"/>
          <w:szCs w:val="16"/>
        </w:rPr>
        <w:softHyphen/>
        <w:t>молета в транспортном варианте и три самолета в бомбар</w:t>
      </w:r>
      <w:r w:rsidRPr="008127F8">
        <w:rPr>
          <w:rFonts w:ascii="Times New Roman" w:hAnsi="Times New Roman"/>
          <w:color w:val="000000" w:themeColor="text1"/>
          <w:sz w:val="16"/>
          <w:szCs w:val="16"/>
        </w:rPr>
        <w:softHyphen/>
        <w:t>дировочном варианте.</w:t>
      </w:r>
    </w:p>
    <w:p w14:paraId="17E149F7" w14:textId="77777777" w:rsidR="0022730C" w:rsidRPr="008127F8" w:rsidRDefault="0022730C" w:rsidP="001E0A84">
      <w:pPr>
        <w:tabs>
          <w:tab w:val="left" w:pos="93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Утвердить директором завода В 23 тов. Окулова В.А. и главным инженером </w:t>
      </w:r>
      <w:proofErr w:type="gramStart"/>
      <w:r w:rsidRPr="008127F8">
        <w:rPr>
          <w:rFonts w:ascii="Times New Roman" w:hAnsi="Times New Roman"/>
          <w:color w:val="000000" w:themeColor="text1"/>
          <w:sz w:val="16"/>
          <w:szCs w:val="16"/>
        </w:rPr>
        <w:t>тов.Морозова</w:t>
      </w:r>
      <w:proofErr w:type="gramEnd"/>
      <w:r w:rsidRPr="008127F8">
        <w:rPr>
          <w:rFonts w:ascii="Times New Roman" w:hAnsi="Times New Roman"/>
          <w:color w:val="000000" w:themeColor="text1"/>
          <w:sz w:val="16"/>
          <w:szCs w:val="16"/>
        </w:rPr>
        <w:t xml:space="preserve"> П.М.Все пункты постановления ГОКО от 4 марта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года</w:t>
      </w:r>
      <w:r w:rsidR="00016539"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 1387сс о постановке производства самолета ДБ-ЗФ на за</w:t>
      </w:r>
      <w:r w:rsidRPr="008127F8">
        <w:rPr>
          <w:rFonts w:ascii="Times New Roman" w:hAnsi="Times New Roman"/>
          <w:color w:val="000000" w:themeColor="text1"/>
          <w:sz w:val="16"/>
          <w:szCs w:val="16"/>
        </w:rPr>
        <w:softHyphen/>
        <w:t xml:space="preserve">воде </w:t>
      </w:r>
      <w:r w:rsidRPr="008127F8">
        <w:rPr>
          <w:rFonts w:ascii="Times New Roman" w:hAnsi="Times New Roman"/>
          <w:color w:val="000000" w:themeColor="text1"/>
          <w:sz w:val="16"/>
          <w:szCs w:val="16"/>
          <w:lang w:val="en-US"/>
        </w:rPr>
        <w:t>tff</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Si</w:t>
      </w:r>
      <w:r w:rsidRPr="008127F8">
        <w:rPr>
          <w:rFonts w:ascii="Times New Roman" w:hAnsi="Times New Roman"/>
          <w:color w:val="000000" w:themeColor="text1"/>
          <w:sz w:val="16"/>
          <w:szCs w:val="16"/>
        </w:rPr>
        <w:t xml:space="preserve">-^ставить в силе для завода № </w:t>
      </w:r>
      <w:r w:rsidRPr="008127F8">
        <w:rPr>
          <w:rStyle w:val="0pt"/>
          <w:rFonts w:ascii="Times New Roman" w:hAnsi="Times New Roman" w:cs="Times New Roman"/>
          <w:color w:val="000000" w:themeColor="text1"/>
          <w:spacing w:val="0"/>
          <w:sz w:val="16"/>
          <w:szCs w:val="16"/>
        </w:rPr>
        <w:t>23 (19310).</w:t>
      </w:r>
    </w:p>
    <w:p w14:paraId="38DF3F81" w14:textId="77777777" w:rsidR="0022730C" w:rsidRPr="008127F8" w:rsidRDefault="0022730C"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09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марта 1942 ГКО постановлением N 1444 обязал НКАП организовать производство самолетов ДБ-3Ф в бомбардировочном и транспортном вариантах на заводе 23 и утвердил директором завода В.А.Окулова и ГИ П.М.Морозова (1543,70). Этим же приказом прекратили временно производство авиадизелей М-30 на заводе 81 </w:t>
      </w:r>
      <w:r w:rsidRPr="008127F8">
        <w:rPr>
          <w:rFonts w:ascii="Times New Roman" w:hAnsi="Times New Roman"/>
          <w:color w:val="000000" w:themeColor="text1"/>
          <w:sz w:val="16"/>
          <w:szCs w:val="16"/>
        </w:rPr>
        <w:lastRenderedPageBreak/>
        <w:t>(1648,261).</w:t>
      </w:r>
    </w:p>
    <w:p w14:paraId="353326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F99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марта 1942 г. в соответствии с пост. ГКО № 1444 на заводе № 23 (Завод № 23 НКАП, МАП, ГКАТ, Машиностроительный завод им. М.В. Хруничева (ЗИХ) СНХ,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начата подготовка производства самолета ДБ-ЗФ. 16.03.1942 г. вышло постановление ГКО № 1465 об укомплектовании завода оборудованием. В соответствии с пост. ГКО № 2936 от 24.02.1943 г. и приказом № 117сс от 25.02.1943 г. заводу было поручено к 20.03.1943 г. построить Ил-4 с М-82 (11982).</w:t>
      </w:r>
    </w:p>
    <w:p w14:paraId="1C92CD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1D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вышел приказ НКАП N 197сс:</w:t>
      </w:r>
    </w:p>
    <w:p w14:paraId="45A500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1353сс от 27 февраля 1942 о поставке НКАП к 1 апреля 1942 ВВС ВМФ 58 самолетов ДБ-3Ф в варианте торпедоносца и миноносца:</w:t>
      </w:r>
    </w:p>
    <w:p w14:paraId="660631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Назначить местом сборки самолетов ДБ-3Ф и доработки их под вариант торпедоносца завод 81 (по-видимому, новый).</w:t>
      </w:r>
    </w:p>
    <w:p w14:paraId="16A0D8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126 Тимофееву 6 самолетов ДБ-3Ф, оформленных ВВС в феврале с.г. и находящихся на аэродроме завода, немедленно, без доработки, отправить в Москву на завод 81 согласно указанию ВВС. Оставшиеся 34 самолета взять из выпуска марта, доработать по имеющимся на заводе чертежам, проведя все необходимые усиления, поставив дополнительные узлы крепления, проводку к прицелу ПТН-5 и управление сбрасыванием. Поставить на всех боевых самолетах по чертежам, утвержденным ВВС, доп. маслобаки и бензопроводку к подвесным бакам, упаковать самолеты и отправить в адрес 81 завода в Москву по ж/д с таким расчетом, чтобы первый эшелон из 9-10 самолетов вышел бы не позже 16 марта. Остальные эшелоны отправлять не позже, чем через 3 дня после предыдущего (Подписал Дементьев) (1546,143).</w:t>
      </w:r>
    </w:p>
    <w:p w14:paraId="33AC57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A497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Решением ГКО за № 1442сс и 16 марта 1942 года приказом НКАП за № 210сс заводу № 23 было дано производственное задание по выпуску самолета ИЛ-4, который заводом выпускался до июля 1943 года.</w:t>
      </w:r>
    </w:p>
    <w:p w14:paraId="46621F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3D7159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4083F0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20AB46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65B908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068A04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77D4F5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FCA4B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621047CD" w14:textId="77777777">
        <w:tc>
          <w:tcPr>
            <w:tcW w:w="817" w:type="dxa"/>
          </w:tcPr>
          <w:p w14:paraId="4ECE45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изделий</w:t>
            </w:r>
          </w:p>
        </w:tc>
        <w:tc>
          <w:tcPr>
            <w:tcW w:w="1348" w:type="dxa"/>
          </w:tcPr>
          <w:p w14:paraId="5A3A86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 количество двигателей установлен. на самолете</w:t>
            </w:r>
          </w:p>
        </w:tc>
        <w:tc>
          <w:tcPr>
            <w:tcW w:w="920" w:type="dxa"/>
          </w:tcPr>
          <w:p w14:paraId="12455F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w:t>
            </w:r>
          </w:p>
        </w:tc>
        <w:tc>
          <w:tcPr>
            <w:tcW w:w="851" w:type="dxa"/>
          </w:tcPr>
          <w:p w14:paraId="0A60C9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w:t>
            </w:r>
          </w:p>
        </w:tc>
        <w:tc>
          <w:tcPr>
            <w:tcW w:w="850" w:type="dxa"/>
          </w:tcPr>
          <w:p w14:paraId="3E227E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w:t>
            </w:r>
          </w:p>
        </w:tc>
        <w:tc>
          <w:tcPr>
            <w:tcW w:w="851" w:type="dxa"/>
          </w:tcPr>
          <w:p w14:paraId="4C6CE2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1955 год</w:t>
            </w:r>
          </w:p>
        </w:tc>
        <w:tc>
          <w:tcPr>
            <w:tcW w:w="850" w:type="dxa"/>
          </w:tcPr>
          <w:p w14:paraId="083F16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1956 год</w:t>
            </w:r>
          </w:p>
        </w:tc>
        <w:tc>
          <w:tcPr>
            <w:tcW w:w="851" w:type="dxa"/>
          </w:tcPr>
          <w:p w14:paraId="7757A8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w:t>
            </w:r>
          </w:p>
        </w:tc>
        <w:tc>
          <w:tcPr>
            <w:tcW w:w="850" w:type="dxa"/>
          </w:tcPr>
          <w:p w14:paraId="78D6C3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1958 год</w:t>
            </w:r>
          </w:p>
        </w:tc>
      </w:tr>
      <w:tr w:rsidR="006F4095" w:rsidRPr="008127F8" w14:paraId="0184E309" w14:textId="77777777">
        <w:tc>
          <w:tcPr>
            <w:tcW w:w="817" w:type="dxa"/>
          </w:tcPr>
          <w:p w14:paraId="259F7F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Ту-4</w:t>
            </w:r>
          </w:p>
        </w:tc>
        <w:tc>
          <w:tcPr>
            <w:tcW w:w="1348" w:type="dxa"/>
          </w:tcPr>
          <w:p w14:paraId="72D91D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4АШ73МК</w:t>
            </w:r>
          </w:p>
        </w:tc>
        <w:tc>
          <w:tcPr>
            <w:tcW w:w="920" w:type="dxa"/>
          </w:tcPr>
          <w:p w14:paraId="0E4F03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851" w:type="dxa"/>
          </w:tcPr>
          <w:p w14:paraId="084589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6EB820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D41D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C8A3A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033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8C891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98B2AD" w14:textId="77777777">
        <w:tc>
          <w:tcPr>
            <w:tcW w:w="817" w:type="dxa"/>
          </w:tcPr>
          <w:p w14:paraId="620679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ИЛ-28</w:t>
            </w:r>
          </w:p>
        </w:tc>
        <w:tc>
          <w:tcPr>
            <w:tcW w:w="1348" w:type="dxa"/>
          </w:tcPr>
          <w:p w14:paraId="2D77D9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2АШ73МК</w:t>
            </w:r>
          </w:p>
        </w:tc>
        <w:tc>
          <w:tcPr>
            <w:tcW w:w="920" w:type="dxa"/>
          </w:tcPr>
          <w:p w14:paraId="69DB9E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DD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0" w:type="dxa"/>
          </w:tcPr>
          <w:p w14:paraId="75EC4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0B1A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0038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8D45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EC0C0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FAAFFF5" w14:textId="77777777">
        <w:tc>
          <w:tcPr>
            <w:tcW w:w="817" w:type="dxa"/>
          </w:tcPr>
          <w:p w14:paraId="140B38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1348" w:type="dxa"/>
          </w:tcPr>
          <w:p w14:paraId="0D8E82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4АМ3</w:t>
            </w:r>
          </w:p>
        </w:tc>
        <w:tc>
          <w:tcPr>
            <w:tcW w:w="920" w:type="dxa"/>
          </w:tcPr>
          <w:p w14:paraId="2F2164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1" w:type="dxa"/>
          </w:tcPr>
          <w:p w14:paraId="2F1E37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354E85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558F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7816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F8D3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CB7D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7687A29" w14:textId="77777777">
        <w:tc>
          <w:tcPr>
            <w:tcW w:w="817" w:type="dxa"/>
          </w:tcPr>
          <w:p w14:paraId="6E2A34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М-4</w:t>
            </w:r>
          </w:p>
        </w:tc>
        <w:tc>
          <w:tcPr>
            <w:tcW w:w="1348" w:type="dxa"/>
          </w:tcPr>
          <w:p w14:paraId="642AB6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tc>
        <w:tc>
          <w:tcPr>
            <w:tcW w:w="920" w:type="dxa"/>
          </w:tcPr>
          <w:p w14:paraId="559908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F140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3818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1" w:type="dxa"/>
          </w:tcPr>
          <w:p w14:paraId="371B4B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50" w:type="dxa"/>
          </w:tcPr>
          <w:p w14:paraId="2D342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851" w:type="dxa"/>
          </w:tcPr>
          <w:p w14:paraId="44F66D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C89E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5CD50F" w14:textId="77777777">
        <w:tc>
          <w:tcPr>
            <w:tcW w:w="817" w:type="dxa"/>
          </w:tcPr>
          <w:p w14:paraId="7E236C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3М</w:t>
            </w:r>
          </w:p>
        </w:tc>
        <w:tc>
          <w:tcPr>
            <w:tcW w:w="1348" w:type="dxa"/>
          </w:tcPr>
          <w:p w14:paraId="3018BD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p w14:paraId="401FAD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4АВД-7</w:t>
            </w:r>
          </w:p>
        </w:tc>
        <w:tc>
          <w:tcPr>
            <w:tcW w:w="920" w:type="dxa"/>
          </w:tcPr>
          <w:p w14:paraId="1A49AB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4870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049A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BA7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3BBB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851" w:type="dxa"/>
          </w:tcPr>
          <w:p w14:paraId="3F9E54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850" w:type="dxa"/>
          </w:tcPr>
          <w:p w14:paraId="38202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bl>
    <w:p w14:paraId="15667F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Г-87, п/я 222</w:t>
      </w:r>
    </w:p>
    <w:p w14:paraId="183A51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Осипов (1959)</w:t>
      </w:r>
    </w:p>
    <w:p w14:paraId="105091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металлическое самолетостроение (9754).</w:t>
      </w:r>
    </w:p>
    <w:p w14:paraId="7DDFAD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DA6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командир 747-го дбап подполковник Гусев и военком старший батальонный комиссар Кошелев в письме Ермолаеву сообщали: "За шесть месяцев боевой работы полка на самолетах "Ер-2" совершено около 500 боевых вылетов днем и ночью с налетом 2000 часов и успешным решением разнообразных боевых задач, включительно до полетов на радиус (11 - 12 час.).</w:t>
      </w:r>
    </w:p>
    <w:p w14:paraId="6BB212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Весь летный состав боевых экипажей единодушно оценивает высокие летно- тактические качества самолета "Ер-2" как дальнего бомбардировщика. Наряду с этим в процессе боевого использования самолета выявлена необходимость производства по самолету некоторых второстепенных работ, указанных на совещании летного состава... Основным недостатком... "Ер-2" на сегодня является тяжелый старт (длинный разбег), особенно тяжело это сказывалось при взлетах с аэродромов без бетонных дорожек на размякшем или снеговом насте, т.е. в действительных боевых условиях. Это, пожалуй, единственная серьезная претензия к самолету, которую и необходимо решить за счет увеличения мощности моторов и диаметра винтов.</w:t>
      </w:r>
    </w:p>
    <w:p w14:paraId="296A24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 полка считает, [что] в интересах войны, самолет "Ер-2" является крайне необходимым как один из лучших бомбардировщиков дальнего действия" (11994).</w:t>
      </w:r>
    </w:p>
    <w:p w14:paraId="67FAD4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838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1443 О выпуске самолетов Як-1 в облегченном варианте. РГАНИР, Фонд ГКО, д. 24, лл. 99 (11012).</w:t>
      </w:r>
    </w:p>
    <w:p w14:paraId="483633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286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ГКО поручило заводу 292 сделать облегченные 10 Як-1 (198,44). Это был вариант перехватчика и надо было сделать к 1 апреля 1942 (65,62).</w:t>
      </w:r>
    </w:p>
    <w:p w14:paraId="130BDA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ECA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в целях повышения летных качеств истребителя Як-1 и проверки возможности его использования как истребителя-перехватчика, согласно постановлению ГКО, завод № 292 выпустил 10 самолетов 60-й серии (№ 3260, 3360, 3460, 3560, 3760, 3860. 3960, 4060. 4360, 4760). Самолеты изготовили в облегченном варианте без пулеметов ШКАС и боекомплекта к ним, с непро- тектированными бензобаками и металлическим хвостовым оперением от Як-7. Облегченные "яки" собрали и сдали досрочно к 23-24 марта (срок сдачи - 1 апреля), но без оперения, которое поступило с завода № 153 только 7 апреля и было сразу установлено на самолеты.</w:t>
      </w:r>
    </w:p>
    <w:p w14:paraId="403D2C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год начался под флагом облегчения веса конструкции Як-1. Лыжное шасси, установка РО-82, мачты и антенны радиостанции "съедали" скорость, ухудшали маневренность. Самолет стал еще больше уступать В Г. 109F-2 и появившимся на фронте его новым вариантам F-3 и F-4 с более мощным мотором DB-60IE. Сотрудники технологического и конструкторского отделов завода, мастера и рабочие в цехах напряженно искали пути, как облегчить самолет. О "достигнутой за сутки" экономии веса ежедневно докладывали в наркомат и правительству. К маю 1942 г. экономия металла на одну машину составила по черным металлам 13,9 кг, по цветным - 6,2 кг. Экономия была весьма существенной, если учесть, что нормы расходов материалов на одну машину были следующими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F4095" w:rsidRPr="008127F8" w14:paraId="36E36ABD" w14:textId="77777777">
        <w:tc>
          <w:tcPr>
            <w:tcW w:w="5605" w:type="dxa"/>
            <w:tcBorders>
              <w:top w:val="single" w:sz="12" w:space="0" w:color="auto"/>
            </w:tcBorders>
          </w:tcPr>
          <w:p w14:paraId="05F293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Сталь</w:t>
            </w:r>
          </w:p>
        </w:tc>
        <w:tc>
          <w:tcPr>
            <w:tcW w:w="5605" w:type="dxa"/>
            <w:tcBorders>
              <w:top w:val="single" w:sz="12" w:space="0" w:color="auto"/>
            </w:tcBorders>
          </w:tcPr>
          <w:p w14:paraId="4611E0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114,682 кг</w:t>
            </w:r>
          </w:p>
        </w:tc>
      </w:tr>
      <w:tr w:rsidR="006F4095" w:rsidRPr="008127F8" w14:paraId="3CB43BA6" w14:textId="77777777">
        <w:tc>
          <w:tcPr>
            <w:tcW w:w="5605" w:type="dxa"/>
          </w:tcPr>
          <w:p w14:paraId="4D829D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Стальные трубы</w:t>
            </w:r>
          </w:p>
        </w:tc>
        <w:tc>
          <w:tcPr>
            <w:tcW w:w="5605" w:type="dxa"/>
          </w:tcPr>
          <w:p w14:paraId="26EF12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233,017 м</w:t>
            </w:r>
          </w:p>
        </w:tc>
      </w:tr>
      <w:tr w:rsidR="006F4095" w:rsidRPr="008127F8" w14:paraId="69CF7C46" w14:textId="77777777">
        <w:tc>
          <w:tcPr>
            <w:tcW w:w="5605" w:type="dxa"/>
          </w:tcPr>
          <w:p w14:paraId="696117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Алюминиевый прокат</w:t>
            </w:r>
          </w:p>
        </w:tc>
        <w:tc>
          <w:tcPr>
            <w:tcW w:w="5605" w:type="dxa"/>
          </w:tcPr>
          <w:p w14:paraId="4CBF81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658,378 кг</w:t>
            </w:r>
          </w:p>
        </w:tc>
      </w:tr>
      <w:tr w:rsidR="006F4095" w:rsidRPr="008127F8" w14:paraId="7A673BCE" w14:textId="77777777">
        <w:tc>
          <w:tcPr>
            <w:tcW w:w="5605" w:type="dxa"/>
          </w:tcPr>
          <w:p w14:paraId="57DF70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Цветные металлы</w:t>
            </w:r>
          </w:p>
        </w:tc>
        <w:tc>
          <w:tcPr>
            <w:tcW w:w="5605" w:type="dxa"/>
          </w:tcPr>
          <w:p w14:paraId="31EA08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81,67 кг</w:t>
            </w:r>
          </w:p>
        </w:tc>
      </w:tr>
      <w:tr w:rsidR="006F4095" w:rsidRPr="008127F8" w14:paraId="0845876C" w14:textId="77777777">
        <w:tc>
          <w:tcPr>
            <w:tcW w:w="5605" w:type="dxa"/>
          </w:tcPr>
          <w:p w14:paraId="656E37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Авиадревесина</w:t>
            </w:r>
          </w:p>
        </w:tc>
        <w:tc>
          <w:tcPr>
            <w:tcW w:w="5605" w:type="dxa"/>
          </w:tcPr>
          <w:p w14:paraId="50592D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6,725 м3</w:t>
            </w:r>
          </w:p>
        </w:tc>
      </w:tr>
      <w:tr w:rsidR="006F4095" w:rsidRPr="008127F8" w14:paraId="4B25673C" w14:textId="77777777">
        <w:tc>
          <w:tcPr>
            <w:tcW w:w="5605" w:type="dxa"/>
          </w:tcPr>
          <w:p w14:paraId="6E68E5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Тросы</w:t>
            </w:r>
          </w:p>
        </w:tc>
        <w:tc>
          <w:tcPr>
            <w:tcW w:w="5605" w:type="dxa"/>
          </w:tcPr>
          <w:p w14:paraId="492C7F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164,95 м</w:t>
            </w:r>
          </w:p>
        </w:tc>
      </w:tr>
      <w:tr w:rsidR="006F4095" w:rsidRPr="008127F8" w14:paraId="2D3BE33D" w14:textId="77777777">
        <w:tc>
          <w:tcPr>
            <w:tcW w:w="5605" w:type="dxa"/>
          </w:tcPr>
          <w:p w14:paraId="74F659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Нормальные детали</w:t>
            </w:r>
          </w:p>
        </w:tc>
        <w:tc>
          <w:tcPr>
            <w:tcW w:w="5605" w:type="dxa"/>
          </w:tcPr>
          <w:p w14:paraId="29C2B2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CDCF36" w14:textId="77777777">
        <w:tc>
          <w:tcPr>
            <w:tcW w:w="5605" w:type="dxa"/>
          </w:tcPr>
          <w:p w14:paraId="6D896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(штуцеры, отводы, угольники, тройники и проч.)</w:t>
            </w:r>
          </w:p>
        </w:tc>
        <w:tc>
          <w:tcPr>
            <w:tcW w:w="5605" w:type="dxa"/>
          </w:tcPr>
          <w:p w14:paraId="4C323F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 шт.</w:t>
            </w:r>
          </w:p>
        </w:tc>
      </w:tr>
      <w:tr w:rsidR="006F4095" w:rsidRPr="008127F8" w14:paraId="1FB0AAEC" w14:textId="77777777">
        <w:tc>
          <w:tcPr>
            <w:tcW w:w="5605" w:type="dxa"/>
            <w:tcBorders>
              <w:bottom w:val="single" w:sz="12" w:space="0" w:color="auto"/>
            </w:tcBorders>
          </w:tcPr>
          <w:p w14:paraId="78931F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Метизы</w:t>
            </w:r>
          </w:p>
        </w:tc>
        <w:tc>
          <w:tcPr>
            <w:tcW w:w="5605" w:type="dxa"/>
            <w:tcBorders>
              <w:bottom w:val="single" w:sz="12" w:space="0" w:color="auto"/>
            </w:tcBorders>
          </w:tcPr>
          <w:p w14:paraId="3F2F96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33,428 кг</w:t>
            </w:r>
          </w:p>
        </w:tc>
      </w:tr>
    </w:tbl>
    <w:p w14:paraId="5799DC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и этой экономии было мало: следовало изыскивать более радикальные средства (12048).</w:t>
      </w:r>
    </w:p>
    <w:p w14:paraId="44AFE0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5F4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N 1443сс о повышении летных качеств истребителя Як-1 путем выпуска в облегченном варианте без пулемета ШКАС и с непротектированными бензобаками, а также о проверке возможности его использования в качестве истребителя-перехватчика (1544,19).</w:t>
      </w:r>
    </w:p>
    <w:p w14:paraId="72F5B4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DA0E8" w14:textId="77777777" w:rsidR="00174158" w:rsidRPr="008127F8" w:rsidRDefault="001741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марта 1942 вышло постановление ГКО N </w:t>
      </w:r>
      <w:proofErr w:type="gramStart"/>
      <w:r w:rsidRPr="008127F8">
        <w:rPr>
          <w:rFonts w:ascii="Times New Roman" w:hAnsi="Times New Roman"/>
          <w:color w:val="000000" w:themeColor="text1"/>
          <w:sz w:val="16"/>
          <w:szCs w:val="16"/>
        </w:rPr>
        <w:t>1443сс О</w:t>
      </w:r>
      <w:proofErr w:type="gramEnd"/>
      <w:r w:rsidRPr="008127F8">
        <w:rPr>
          <w:rFonts w:ascii="Times New Roman" w:hAnsi="Times New Roman"/>
          <w:color w:val="000000" w:themeColor="text1"/>
          <w:sz w:val="16"/>
          <w:szCs w:val="16"/>
        </w:rPr>
        <w:t xml:space="preserve"> выпуске самолета Як-1 в облегченном варианте</w:t>
      </w:r>
    </w:p>
    <w:p w14:paraId="0C82D14E" w14:textId="77777777" w:rsidR="00174158" w:rsidRPr="008127F8" w:rsidRDefault="001741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целью повышения летных качеств истребителя Як-1 в облегченном варианте, бее пулеметов ШКАС и с непротектированными бензобаками, а также для проверки возможности его использования в качестве истребителя - перехватчика, Госу</w:t>
      </w:r>
      <w:r w:rsidRPr="008127F8">
        <w:rPr>
          <w:rFonts w:ascii="Times New Roman" w:hAnsi="Times New Roman"/>
          <w:color w:val="000000" w:themeColor="text1"/>
          <w:sz w:val="16"/>
          <w:szCs w:val="16"/>
        </w:rPr>
        <w:softHyphen/>
        <w:t>дарственный Комитет Обороны постановляет:</w:t>
      </w:r>
    </w:p>
    <w:p w14:paraId="11A45BD4" w14:textId="77777777" w:rsidR="00174158" w:rsidRPr="008127F8" w:rsidRDefault="00174158" w:rsidP="001E0A84">
      <w:pPr>
        <w:tabs>
          <w:tab w:val="left" w:pos="13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Заместителю Народного Комисоара Авиационной Промыш</w:t>
      </w:r>
      <w:r w:rsidRPr="008127F8">
        <w:rPr>
          <w:rFonts w:ascii="Times New Roman" w:hAnsi="Times New Roman"/>
          <w:color w:val="000000" w:themeColor="text1"/>
          <w:sz w:val="16"/>
          <w:szCs w:val="16"/>
        </w:rPr>
        <w:softHyphen/>
        <w:t xml:space="preserve">ленности, Главному Конструктору </w:t>
      </w:r>
      <w:proofErr w:type="gramStart"/>
      <w:r w:rsidRPr="008127F8">
        <w:rPr>
          <w:rFonts w:ascii="Times New Roman" w:hAnsi="Times New Roman"/>
          <w:color w:val="000000" w:themeColor="text1"/>
          <w:sz w:val="16"/>
          <w:szCs w:val="16"/>
        </w:rPr>
        <w:t>тов.Яковлеву</w:t>
      </w:r>
      <w:proofErr w:type="gramEnd"/>
      <w:r w:rsidRPr="008127F8">
        <w:rPr>
          <w:rFonts w:ascii="Times New Roman" w:hAnsi="Times New Roman"/>
          <w:color w:val="000000" w:themeColor="text1"/>
          <w:sz w:val="16"/>
          <w:szCs w:val="16"/>
        </w:rPr>
        <w:t xml:space="preserve"> А.С. и дирек</w:t>
      </w:r>
      <w:r w:rsidRPr="008127F8">
        <w:rPr>
          <w:rFonts w:ascii="Times New Roman" w:hAnsi="Times New Roman"/>
          <w:color w:val="000000" w:themeColor="text1"/>
          <w:sz w:val="16"/>
          <w:szCs w:val="16"/>
        </w:rPr>
        <w:softHyphen/>
        <w:t>тору завода № 292 тов.Левину И.О. изготовить и сдать НКО истребитель Як-1 в облегченном варианте: без пулеметов ШКАС с непротектированными бензобаками, в количестве 10 самоле</w:t>
      </w:r>
      <w:r w:rsidRPr="008127F8">
        <w:rPr>
          <w:rFonts w:ascii="Times New Roman" w:hAnsi="Times New Roman"/>
          <w:color w:val="000000" w:themeColor="text1"/>
          <w:sz w:val="16"/>
          <w:szCs w:val="16"/>
        </w:rPr>
        <w:softHyphen/>
        <w:t>тов к 1 апреля с.г.</w:t>
      </w:r>
    </w:p>
    <w:p w14:paraId="69639A39" w14:textId="77777777" w:rsidR="00174158" w:rsidRPr="008127F8" w:rsidRDefault="001741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Во изменение постановления ГОКС о выпуске на заводе 21 самолета Як-7 с предкрылками - выпускать с завода № 21 </w:t>
      </w:r>
      <w:r w:rsidRPr="008127F8">
        <w:rPr>
          <w:rFonts w:ascii="Times New Roman" w:hAnsi="Times New Roman"/>
          <w:color w:val="000000" w:themeColor="text1"/>
          <w:sz w:val="16"/>
          <w:szCs w:val="16"/>
          <w:lang w:val="en-US"/>
        </w:rPr>
        <w:t>ca</w:t>
      </w:r>
      <w:r w:rsidRPr="008127F8">
        <w:rPr>
          <w:rFonts w:ascii="Times New Roman" w:hAnsi="Times New Roman"/>
          <w:color w:val="000000" w:themeColor="text1"/>
          <w:sz w:val="16"/>
          <w:szCs w:val="16"/>
        </w:rPr>
        <w:t>молеты Як-7 без предкрылков (19308).</w:t>
      </w:r>
    </w:p>
    <w:p w14:paraId="2D205E1E" w14:textId="77777777" w:rsidR="00174158" w:rsidRPr="008127F8" w:rsidRDefault="001741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75D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1442 О производстве самолетов Як-7. РГАНИР, Фонд ГКО, д. 24, лл. 98 (11012).</w:t>
      </w:r>
    </w:p>
    <w:p w14:paraId="7459A3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BF0D1" w14:textId="77777777" w:rsidR="00174158" w:rsidRPr="008127F8" w:rsidRDefault="001741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1442 О производстве самолетов Як-7</w:t>
      </w:r>
    </w:p>
    <w:p w14:paraId="4F824356" w14:textId="77777777" w:rsidR="00174158" w:rsidRPr="008127F8" w:rsidRDefault="001741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постановления ГОКО от 15 февраля 1942 года Ю 1285сс о производстве самолета Як-7 на заводе № 23, Государственный Комитет Обороны постановляет:</w:t>
      </w:r>
    </w:p>
    <w:p w14:paraId="535E2A09" w14:textId="77777777" w:rsidR="00174158" w:rsidRPr="008127F8" w:rsidRDefault="00174158" w:rsidP="001E0A84">
      <w:pPr>
        <w:tabs>
          <w:tab w:val="left" w:pos="13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Обяэать Наркомавиалром -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xml:space="preserve"> и замести</w:t>
      </w:r>
      <w:r w:rsidRPr="008127F8">
        <w:rPr>
          <w:rFonts w:ascii="Times New Roman" w:hAnsi="Times New Roman"/>
          <w:color w:val="000000" w:themeColor="text1"/>
          <w:sz w:val="16"/>
          <w:szCs w:val="16"/>
        </w:rPr>
        <w:softHyphen/>
        <w:t>теля Наркома - главного конструктора тов.Яковлева, орга</w:t>
      </w:r>
      <w:r w:rsidRPr="008127F8">
        <w:rPr>
          <w:rFonts w:ascii="Times New Roman" w:hAnsi="Times New Roman"/>
          <w:color w:val="000000" w:themeColor="text1"/>
          <w:sz w:val="16"/>
          <w:szCs w:val="16"/>
        </w:rPr>
        <w:softHyphen/>
        <w:t>низовать производство самолета Як-7 на площади бывшего завода № 81 в Тушино.</w:t>
      </w:r>
    </w:p>
    <w:p w14:paraId="5E7F7568" w14:textId="77777777" w:rsidR="00174158" w:rsidRPr="008127F8" w:rsidRDefault="0017415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Укомплектование завода по производству самолета Як-7 произвести после оснащения оборудованием завода № 23 на полную мощность производства самолетов ДБ-ЗФ, в свяви с чем обязать тов.Шахурина и тов.Яковлева представить к 10 апреля 1942 года в ГОКО предложения по развертыванию эавода по производству самолета Як-7 и программе на 1942  год (19307).</w:t>
      </w:r>
    </w:p>
    <w:p w14:paraId="5AC80453" w14:textId="77777777" w:rsidR="00174158" w:rsidRPr="008127F8" w:rsidRDefault="0017415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AD3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N 1442сс, касающееся производства самолетов Як-3 и Як-7 на заводе 23 (1544,14).</w:t>
      </w:r>
    </w:p>
    <w:p w14:paraId="256DA5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52462" w14:textId="77777777" w:rsidR="00F06A0E" w:rsidRPr="008A2E5A" w:rsidRDefault="00F06A0E" w:rsidP="00F06A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14 по 26 марта 1942 г. опытные фибровые бензобаки для Як-7 успешно выдержали испытания на прочность и вибропрочность. Разрушение бака произошло только при избыточном давлении 0,7 атм., а вибрацию он выдерживал непрерывно в течение 133 часов 30 минут. В заключении комиссии по испытаниям указывалось, что показатели прочности и надежности фибровых баков лучше, чем металлических, в связи с чем испытания на вибропрочность, обязатель</w:t>
      </w:r>
      <w:r w:rsidRPr="008A2E5A">
        <w:rPr>
          <w:rFonts w:ascii="Times New Roman" w:hAnsi="Times New Roman"/>
          <w:color w:val="0070C0"/>
          <w:sz w:val="16"/>
          <w:szCs w:val="16"/>
        </w:rPr>
        <w:softHyphen/>
        <w:t>ные для всех металлических бензобаков, на фибровых баках можно не проводить совсем, сокращая временной цикл изготовления самолета (23381).</w:t>
      </w:r>
    </w:p>
    <w:p w14:paraId="7441A3A8" w14:textId="77777777" w:rsidR="00F06A0E" w:rsidRPr="008A2E5A" w:rsidRDefault="00F06A0E" w:rsidP="00F06A0E">
      <w:pPr>
        <w:spacing w:after="0" w:line="240" w:lineRule="auto"/>
        <w:jc w:val="both"/>
        <w:rPr>
          <w:rFonts w:ascii="Times New Roman" w:hAnsi="Times New Roman"/>
          <w:color w:val="0070C0"/>
          <w:sz w:val="16"/>
          <w:szCs w:val="16"/>
        </w:rPr>
      </w:pPr>
    </w:p>
    <w:p w14:paraId="7A848C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по постановлению ГКО за № 1442 на площади завода № 81 МАП (эвакуированного в Омск) в г. Тушино Московской области. был организован Завод № 82.</w:t>
      </w:r>
    </w:p>
    <w:p w14:paraId="49FCFB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за № 210 от 16 марта 1942 года было поручено зам. наркома Дементьеву П.В. и Яковлеву А.С. – гл. конструктору организовать на заводе № 82 производство самолетов ЯК-7.</w:t>
      </w:r>
    </w:p>
    <w:p w14:paraId="094B38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этого момента завод № 82 начал свое существование.</w:t>
      </w:r>
    </w:p>
    <w:p w14:paraId="25CCE0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здания и проч. Были предназначены к самолетостроению еще в период строительства завода № 62, входившего в систему ГВФ в 1932 году, имевшего специальное назначение выпуска цельносварных самолетов Сталь-2 и Сталь-3 из нержавеющей стали – конструкции инженера Путилова А.И., затем переданного в систему НКАП и переименованного в завод № 81.</w:t>
      </w:r>
    </w:p>
    <w:p w14:paraId="3FBF7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строительства завода, а затем первым директором был Вальцев А.Д., гл. конструктором Путилов А.И.</w:t>
      </w:r>
    </w:p>
    <w:p w14:paraId="2F1EF5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1932 года по 1941 год директорами были Кофман Д.Е., затем Климовицкий Н.В.</w:t>
      </w:r>
    </w:p>
    <w:p w14:paraId="51C2FA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года приказом НКАП № 291 директором был назначен Бугров А.П.</w:t>
      </w:r>
    </w:p>
    <w:p w14:paraId="4000DF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1943 года завод достиг полной производственной мощности и с 1943 года перешел к серийному производству самолетов ЯК-7Б с внедрением поточного метода производства. Среднесуточный выпуск составил 2 самолета в день, а со второй половины года достиг выпуска 3-х самолетов ежедневно.</w:t>
      </w:r>
    </w:p>
    <w:p w14:paraId="7C8A42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постановления ГКО за № 4649 от 27 декабря 1943 года и приказа НКАП за № 784 от 31 декабря 1943 года, завод с февраля 1944 года приступил к производству самолетов ЯК-9 с мотором ВК-107А, продолжая изготовление самолета ЯК-7, постепенно уменьшая его выпуск и наращивая выпуск самолетов ЯК-9.</w:t>
      </w:r>
    </w:p>
    <w:p w14:paraId="5F15F5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ВОВ на заводе было 2 пожара. Первый пожар произошел в январе 1942 года, 2-ой – 10 апреля 1944 года. Пожары принесли очень большие потери.</w:t>
      </w:r>
    </w:p>
    <w:p w14:paraId="687DA8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августа 1945 года завод прекратил выпуск самолетов, перестроив производство на гражданскую продукцию.</w:t>
      </w:r>
    </w:p>
    <w:p w14:paraId="37C3EB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w:t>
      </w:r>
    </w:p>
    <w:p w14:paraId="7234E0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было организовано на основании приказа МАП за № 176 от 28 февраля 1946 года ОКБ-82 с целью усовершенствования троллейбусов цельнометаллической конструкции завода № 82.</w:t>
      </w:r>
    </w:p>
    <w:p w14:paraId="719959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производством троллейбусов, завод с 1947 года изготовляет трамвайные вагоны.</w:t>
      </w:r>
    </w:p>
    <w:p w14:paraId="2318B4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1950 года завод прекращает выпуск гражданской продукции и вновь возвращается к самолетостроению (постановление Правительства от 25 февраля 1950 года за № 1707-664 и приказа МАП от 3 мая 1950 года за № 326). Завод осваивает изготовление самолетов ТУ-2.</w:t>
      </w:r>
    </w:p>
    <w:p w14:paraId="05DF9D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6E9D19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Бугров А.П. – с 9 апреля 1942 года</w:t>
      </w:r>
    </w:p>
    <w:p w14:paraId="1BD68B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Нестеров – с 20 октября 1942 года</w:t>
      </w:r>
    </w:p>
    <w:p w14:paraId="10A2F8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Климовицкий Н.В. – с 15 февраля 1943 года</w:t>
      </w:r>
    </w:p>
    <w:p w14:paraId="571C80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Агуреев А.В. – с 30 ноября 1944 года</w:t>
      </w:r>
    </w:p>
    <w:p w14:paraId="7B8D03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Засульский В.И. – с 11 октября 1947 года</w:t>
      </w:r>
    </w:p>
    <w:p w14:paraId="6BC4DD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Коротков Б.Н. – с 31 мая 1952 года</w:t>
      </w:r>
    </w:p>
    <w:p w14:paraId="7A77C4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Лещенко С.М. – с 6 октября 1952 года</w:t>
      </w:r>
    </w:p>
    <w:p w14:paraId="5FC5DF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Хачатурян П.Е. – с 13 февраля 1954 года</w:t>
      </w:r>
    </w:p>
    <w:p w14:paraId="452710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Аремаев М.Я. – с 11 апреля 1955 года (9460).</w:t>
      </w:r>
    </w:p>
    <w:p w14:paraId="06BDD4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989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вышло постановление ГКО № 1442 о производстве самолетов Як-7. На территории эвакуированного завода № 81 НКАП в Тушино по приказу № 210сс от 16.03.1942 г. был образован новый самолетостроительный ГС завод № 82 НКАП при 1ГУ (ГС Завод № 82 НКАП, МАП, МосСНХ, МОП, Тушинский Машиностроительный Завод (ТМЗ) ГЬСАТ, ОАО «ТМЗ» / г. Тушино Московской обл. ул. Молотова (1947 г.)/ /123362  г. Москва ул. Свободы, 35 тел. 493-30-47). Начато освоение производства Як-7. 16.03.1942 г. вышло постановление ГКО № 1465 об укомплектовании завода оборудованием; 23.04.1942 г. - постановление ГКО № 1631 об обеспечении завода рабочей силой. По постановлению ГКО № 1659 от 26.04.1942 г. завод к 30.05.1942 г. должен был быть пущен в эксплуатацию, в 1942 г. завод обязан был выпустать 400 самолетов Як-7. В соответствии с пост. ГКО № 1789 от 19.05.1942 г. на заводе начато освоение производства Як-7 с мотором М- 105ПФ. 11.08.1942 г. вышло постановление ГКО №2169 об увеличении выпуска Як-7 на заводе, а 9.09.1942 г. - новое постановление ГКО № 2281 о программе выпуска Як-7 на заводе. В соответствии с пост. ГКО № 4429 от 26.10.1943 г. завод переведен на выпуск Як-9.</w:t>
      </w:r>
    </w:p>
    <w:p w14:paraId="267FBF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14с от 13.01.1943 г. в состав завода № 82 влит завод № 290 НКАП со всем оборудованием и личным составом. 9.05.1944 г. вышло постановление ГКО № 5850 о строительстве заводской ВПП.</w:t>
      </w:r>
    </w:p>
    <w:p w14:paraId="0DE900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войны на заводе восстанавливались для летных испытаний два трофейных «Арадо-234».</w:t>
      </w:r>
    </w:p>
    <w:p w14:paraId="3EC9DD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на заводе изготовлен опытный троллейбус МТБ-10 на шасси ярославского ЯТБ, с 1946 г. развернуто их серийное производство как МТБ-82.</w:t>
      </w:r>
    </w:p>
    <w:p w14:paraId="61428B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поставлено 5 трофейных прессов фирмы «Шуллер» для глубокой вытяжки.</w:t>
      </w:r>
    </w:p>
    <w:p w14:paraId="5100D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1.04.1950 г. завод передан из 1ГУ в 10ГУ, а с 1.10.1951 г.- в 6ГУ.</w:t>
      </w:r>
    </w:p>
    <w:p w14:paraId="292821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991 от 17.06.1951 г. ОКБ-2 завода № 3 МАП переведено на завод № 82 МАП в Тушино и продолжило работу как ОКБ-4 МАП гл. конструктора Н.И. Камова (далее - МКБ «Молния», гл. конструктор- М.Р. Бисноват).</w:t>
      </w:r>
    </w:p>
    <w:p w14:paraId="038D94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1.04.1955 г. завод № 82 передан из 6ГУ в ведение МОП (приказ № 268сс/оп от 19.04.1955 г.). С 1963 г. получил название- Тушинский машиностроительный завод (ТМЗ). В 1997 г. преобразован в ОАО ТМЗ.</w:t>
      </w:r>
    </w:p>
    <w:p w14:paraId="697BC5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Являлся производственной базой ОКБ-82 Потопалова. В 1962-65 г. при заводе действовало СКВ гл. конструктора </w:t>
      </w:r>
      <w:proofErr w:type="gramStart"/>
      <w:r w:rsidRPr="008127F8">
        <w:rPr>
          <w:rFonts w:ascii="Times New Roman" w:hAnsi="Times New Roman"/>
          <w:color w:val="000000" w:themeColor="text1"/>
          <w:sz w:val="16"/>
          <w:szCs w:val="16"/>
        </w:rPr>
        <w:t>Г .</w:t>
      </w:r>
      <w:proofErr w:type="gramEnd"/>
      <w:r w:rsidRPr="008127F8">
        <w:rPr>
          <w:rFonts w:ascii="Times New Roman" w:hAnsi="Times New Roman"/>
          <w:color w:val="000000" w:themeColor="text1"/>
          <w:sz w:val="16"/>
          <w:szCs w:val="16"/>
        </w:rPr>
        <w:t xml:space="preserve"> Г. Бубнова.</w:t>
      </w:r>
    </w:p>
    <w:p w14:paraId="4C5FBE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(1939-41 г.; 1943-44 г.)- Н.В. Климовицкий, (И.1941-04.1942 г.)- В.М. Дубов, (04.1942 г.-)- Бугров, (11.1944- 02.1947 г.)- А.В. Атурьев, (1982-99 г.)- С. Г. Арутюнов. Гендиректор (1990-е)- С. Аргунов, (-2000-02 г.)- Н.В. Волков, (2002 г.)- С. Г. Арутюнов,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(7.02.2003-05 г.-)- А.С. Башилов.</w:t>
      </w:r>
    </w:p>
    <w:p w14:paraId="102E92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(1955-58 г.)- А.В. Потопалов.</w:t>
      </w:r>
    </w:p>
    <w:p w14:paraId="65C67B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(1952-55 г.)- А.В. Потопалов. Начальнок КО (08.1943 г.)- Н.С. Черняков.</w:t>
      </w:r>
    </w:p>
    <w:p w14:paraId="0A6CEC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бригады: (1963-64 г.)- С.Х. Нарбиков.</w:t>
      </w:r>
    </w:p>
    <w:p w14:paraId="0FBFD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Як-7 (1942-44)-1320, Як-9 (1944-45)- 817, Ту-2 (1951-52), Ли-2, опытные образцы самолета Т-4 («100») (конец 1960-х), «105.12» (1976), планеры ОКС «Буран» (-1988), модели «Бор-4» (1980-е); спортивно-пилотажный самолет И-3 (СП-91) (2002); крыло и топливные баки МиГ-23, узлы для истребителей МиГ;</w:t>
      </w:r>
      <w:r w:rsidRPr="008127F8">
        <w:rPr>
          <w:rFonts w:ascii="Times New Roman" w:hAnsi="Times New Roman"/>
          <w:iCs/>
          <w:color w:val="000000" w:themeColor="text1"/>
          <w:sz w:val="16"/>
          <w:szCs w:val="16"/>
        </w:rPr>
        <w:t xml:space="preserve"> ЗУР:</w:t>
      </w:r>
      <w:r w:rsidRPr="008127F8">
        <w:rPr>
          <w:rFonts w:ascii="Times New Roman" w:hAnsi="Times New Roman"/>
          <w:color w:val="000000" w:themeColor="text1"/>
          <w:sz w:val="16"/>
          <w:szCs w:val="16"/>
        </w:rPr>
        <w:t xml:space="preserve"> изд. «32Б» (1952)- 40, «205» (В-300, 1952-54), «207» (1954-60), «217М» (1960-61), «400» (1961)- опытная партия, ракеты-мишени (2005);</w:t>
      </w:r>
      <w:r w:rsidRPr="008127F8">
        <w:rPr>
          <w:rFonts w:ascii="Times New Roman" w:hAnsi="Times New Roman"/>
          <w:iCs/>
          <w:color w:val="000000" w:themeColor="text1"/>
          <w:sz w:val="16"/>
          <w:szCs w:val="16"/>
        </w:rPr>
        <w:t xml:space="preserve"> ЖРД: </w:t>
      </w:r>
      <w:r w:rsidRPr="008127F8">
        <w:rPr>
          <w:rFonts w:ascii="Times New Roman" w:hAnsi="Times New Roman"/>
          <w:iCs/>
          <w:color w:val="000000" w:themeColor="text1"/>
          <w:sz w:val="16"/>
          <w:szCs w:val="16"/>
          <w:lang w:val="en-US"/>
        </w:rPr>
        <w:t>Cl</w:t>
      </w:r>
      <w:r w:rsidRPr="008127F8">
        <w:rPr>
          <w:rFonts w:ascii="Times New Roman" w:hAnsi="Times New Roman"/>
          <w:iCs/>
          <w:color w:val="000000" w:themeColor="text1"/>
          <w:sz w:val="16"/>
          <w:szCs w:val="16"/>
        </w:rPr>
        <w:t>.</w:t>
      </w:r>
      <w:r w:rsidRPr="008127F8">
        <w:rPr>
          <w:rFonts w:ascii="Times New Roman" w:hAnsi="Times New Roman"/>
          <w:iCs/>
          <w:color w:val="000000" w:themeColor="text1"/>
          <w:sz w:val="16"/>
          <w:szCs w:val="16"/>
          <w:lang w:val="en-US"/>
        </w:rPr>
        <w:t>ll</w:t>
      </w:r>
      <w:r w:rsidRPr="008127F8">
        <w:rPr>
          <w:rFonts w:ascii="Times New Roman" w:hAnsi="Times New Roman"/>
          <w:color w:val="000000" w:themeColor="text1"/>
          <w:sz w:val="16"/>
          <w:szCs w:val="16"/>
        </w:rPr>
        <w:t xml:space="preserve"> 1 (1955-); антенный передвижной комплекс «Нева»;</w:t>
      </w:r>
    </w:p>
    <w:p w14:paraId="4DCB72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троллейбус МТБ-82 (1945-49); ветроэнергетические установки мощностью-1 МВт (1990-е), оборудование для малых ГЭС (2005); промышленный комплекс по переработке автошин (1998-2005-), городские автобусы (2005) (11982).</w:t>
      </w:r>
    </w:p>
    <w:p w14:paraId="10EE6C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B4A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Зам. Нач. 7 ГУ Алексеев подготовил Справку о проведенных мероприятиях по лыжам для МиГ-3 (1684,71).</w:t>
      </w:r>
    </w:p>
    <w:p w14:paraId="1D3686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092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был пробный полет 103 с вновь установленными двигателями, но опять ждали с 15 марта по 17 марта из-за ремонта двигателя (1835,18).</w:t>
      </w:r>
    </w:p>
    <w:p w14:paraId="0F842B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2CA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начальник ГУГВФ генерал-майор авиации Молоков писал письмо № 0312/см председателю ГКО Сталину И.В.</w:t>
      </w:r>
    </w:p>
    <w:p w14:paraId="208FB7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управление ГВФ просит разрешить использовать для работы на тыловых воздушных линиях Аэрофлота трофейные транспортные самолеты.</w:t>
      </w:r>
    </w:p>
    <w:p w14:paraId="448D55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восстановления подбитых немецких транспортных самолетов Аэрофлотом будут созданы специальные ремонтные бригады, которые будут проводить работы по восстановлению на месте (7852, 47).</w:t>
      </w:r>
    </w:p>
    <w:p w14:paraId="7D0898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D1C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закончились испытания второго экз. планёра БДП - БДП-2, достроенного в Новосибирске, куда был эвакуирован авиазавод № 51 и КБ Поликарпова, которые проходили в филиале ЛИИ с 6 февраля 1942 г. Летал И. И. Шелест. Конструкция БДП-2 была усилена по сравнению с первым экземпляром, соответственно несколько возрос вес. Изменился и внешний облик. Фонарь пилота был теперь выполнен со ступенчатым козырьком, некоторые элементы были упрощены, в частности, задняя кромка рулей поворота и высоты была выполнена из стальной проволоки, как это делалось на заре авиастроения. В этот период проводились мероприятия по уменьшению бафтинга хвостового оперения. В некоторой степени эту проблему удалось решить, прорезав в щитках ряд отверстий, которые уменьшали возмущенность потока. В Заключении по результатам испытаний в очередной раз отмечалась простота пилотирования БДП-2, большая полезная нагрузка, достаточная маневренность и устойчивость относительно всех осей при большом диапазоне центровок (27 - 41 %). Планёр рекомендовался к запуску в серийное производство. Практически с началом летных испытаний приступили к поискам производства для серийного выпуска БДП. После осмотра ряда мелких предприятий в районе Новосибирска представители КБ Поликарпова остановили свой выбор на мастерских Сибирского военного округа. До недавнего времени мастерские являлись вспомогательным производством для авиазавода № 153 - выпускали лыжи для самолетов. Теперь здесь предполагалось развернуть серию БДП, общее количество которых в первом заказе определялось в 100 экземпляров. Стоимость одного планёра в серии оценивалась в 41125 рублей. Пока шли согласования, определилось новое место для производства БДП - на заводе № 490 в Сталинграде (4540).</w:t>
      </w:r>
    </w:p>
    <w:p w14:paraId="6B042A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38819"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марта</w:t>
      </w:r>
      <w:r w:rsidRPr="008127F8">
        <w:rPr>
          <w:rFonts w:ascii="Times New Roman" w:hAnsi="Times New Roman"/>
          <w:color w:val="000000" w:themeColor="text1"/>
          <w:sz w:val="16"/>
          <w:szCs w:val="16"/>
        </w:rPr>
        <w:t xml:space="preserve"> в 1942 году завершились испытания большого десантного планера конструкции Поликарпова </w:t>
      </w:r>
      <w:hyperlink r:id="rId80" w:tgtFrame="_blank" w:history="1">
        <w:r w:rsidRPr="008127F8">
          <w:rPr>
            <w:rFonts w:ascii="Times New Roman" w:hAnsi="Times New Roman"/>
            <w:color w:val="000000" w:themeColor="text1"/>
            <w:sz w:val="16"/>
            <w:szCs w:val="16"/>
          </w:rPr>
          <w:t xml:space="preserve">«БДП-2» </w:t>
        </w:r>
      </w:hyperlink>
      <w:r w:rsidRPr="008127F8">
        <w:rPr>
          <w:rFonts w:ascii="Times New Roman" w:hAnsi="Times New Roman"/>
          <w:color w:val="000000" w:themeColor="text1"/>
          <w:sz w:val="16"/>
          <w:szCs w:val="16"/>
        </w:rPr>
        <w:t>на лыжах. В тот же период проводились мероприятия по уменьшению бафтинга хвостового оперения. В некоторой степени эту проблему удалось решить, прорезав в щитках ряд отверстий, которые уменьшали возмущенность потока. В Заключении по результатам испытаний в очередной раз отмечалась простота пилотирования «БДП-2», большая полезная нагрузка, достаточная маневренность и устойчивость относительно всех осей при большом диапазоне центровок (27 - 41 %). Планёр рекомендовался к запуску в серийное производство (15068).</w:t>
      </w:r>
    </w:p>
    <w:p w14:paraId="6318E8F1" w14:textId="77777777" w:rsidR="00161D13" w:rsidRPr="008127F8" w:rsidRDefault="00161D13" w:rsidP="001E0A84">
      <w:pPr>
        <w:spacing w:after="0" w:line="240" w:lineRule="auto"/>
        <w:jc w:val="both"/>
        <w:rPr>
          <w:rFonts w:ascii="Times New Roman" w:hAnsi="Times New Roman"/>
          <w:color w:val="000000" w:themeColor="text1"/>
          <w:sz w:val="16"/>
          <w:szCs w:val="16"/>
        </w:rPr>
      </w:pPr>
    </w:p>
    <w:p w14:paraId="4DAD58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после реэвакуации оборудования в Тушино, на площадях завода № 81 образован Государственный союзный завод № 82 НКАП. На территорию предприятия переведена часть оборудования Харьковского авиазавода № 135. Из Баку в Тушино переведены часть работников завода № 458, а также выпускники ленинградских ремесленных училищ, училищ Московской области, Сталинграда, Николаева, Краснодара и других городов юга Советского Союза. Началась кропотливая работа по восстановлению завода. Необходимо было перевести сотни станков с работы от трансмиссии на электропитание. Был создан целый ряд новых производств, цехов и конвейерных линий (цеха №№ 1, 3 и 4). Восстановление завода было проведено под руководством директоров А.И.Бугрова, Ф.С.Нестерова, Н.В.Климовицкого, А.В.Агуреева. Секретарями парткома завода в те годы были Лекманов, Н.М.Дрондин, В.В.Бережной, начальниками цехов З.З.Посошенко, В.К.Клименко, С.И.Лесных, другие руководители, сведения о которых, к сожалению, не сохранились. Общая организация и режим работы были те же, что и у заводов всей страны в ту пору. Успех дела решали молодые рабочие. Предприятию был поручен ремонт фронтовых самолетов. Приказом наркома авиапромышленности заводу также поручена организация выпуска истребителей Як-7 (11200).</w:t>
      </w:r>
    </w:p>
    <w:p w14:paraId="0E3425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25F54"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после реэвакуации оборудования в Тушино, на площадях завода № 81 образован Государственный союзный завод № 82 НКАП. На территорию предприятия переведена часть оборудования Харьковского авиазавода № 135. Из Баку в Тушино переведены часть работников завода № 458, а также выпускники ленинградских ремесленных училищ, училищ Московской области, Сталинграда, Николаева, Краснодара и других городов юга Советского Союза. Началась кропотливая работа по восстановлению завода. Необходимо было перевести сотни станков с работы от трансмиссии на электропитание. Был создан целый ряд новых производств, цехов и конвейерных линий (цеха №№ 1, 3 и 4). Восстановление завода было проведено под руководством директоров А.И.Бугрова, Ф.С.Нестерова, Н.В.Климовицкого, А.В.Агуреева. Секретарями парткома завода в те годы были Лекманов, Н.М.Дрондин, В.В.Бережной, начальниками цехов З.З.Посошенко, В.К.Клименко, С.И.Лесных, другие руководители (19602).</w:t>
      </w:r>
    </w:p>
    <w:p w14:paraId="018FCD4C" w14:textId="77777777" w:rsidR="006912D4" w:rsidRPr="008127F8" w:rsidRDefault="006912D4" w:rsidP="001E0A84">
      <w:pPr>
        <w:spacing w:after="0" w:line="240" w:lineRule="auto"/>
        <w:jc w:val="both"/>
        <w:rPr>
          <w:rFonts w:ascii="Times New Roman" w:hAnsi="Times New Roman"/>
          <w:color w:val="000000" w:themeColor="text1"/>
          <w:sz w:val="16"/>
          <w:szCs w:val="16"/>
        </w:rPr>
      </w:pPr>
    </w:p>
    <w:p w14:paraId="04C37D6F"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14 марта 1942 года начальник ГУ ГВФ Молоков направил Сталину письмо с просьбой разрешить использовать в тылу трофейные немецкие самолёты (19686).</w:t>
      </w:r>
    </w:p>
    <w:p w14:paraId="5AAFB95D" w14:textId="77777777" w:rsidR="006912D4" w:rsidRPr="008127F8" w:rsidRDefault="006912D4" w:rsidP="001E0A84">
      <w:pPr>
        <w:spacing w:after="0" w:line="240" w:lineRule="auto"/>
        <w:jc w:val="both"/>
        <w:rPr>
          <w:rFonts w:ascii="Times New Roman" w:hAnsi="Times New Roman"/>
          <w:color w:val="000000" w:themeColor="text1"/>
          <w:sz w:val="16"/>
          <w:szCs w:val="16"/>
        </w:rPr>
      </w:pPr>
    </w:p>
    <w:p w14:paraId="226712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1445 Об авиамоторном заводе в Горьком. РГАНИР, Фонд ГКО, д. 24, лл. 101 (11012).</w:t>
      </w:r>
    </w:p>
    <w:p w14:paraId="673E9B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DBB8" w14:textId="77777777" w:rsidR="00BB49EC" w:rsidRPr="008127F8" w:rsidRDefault="00BB49E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1445 Об авиамоторном заводе в Горьком</w:t>
      </w:r>
    </w:p>
    <w:p w14:paraId="45431F59" w14:textId="77777777" w:rsidR="00BB49EC" w:rsidRPr="008127F8" w:rsidRDefault="00BB49EC"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целях повышения выпуска моторов М-105Р в Горьком Государственный Комитет Обороны постановляет:</w:t>
      </w:r>
    </w:p>
    <w:p w14:paraId="3B167CB0" w14:textId="77777777" w:rsidR="00BB49EC" w:rsidRPr="008127F8" w:rsidRDefault="00BB49EC" w:rsidP="001E0A84">
      <w:pPr>
        <w:pStyle w:val="47"/>
        <w:shd w:val="clear" w:color="auto" w:fill="auto"/>
        <w:tabs>
          <w:tab w:val="left" w:pos="94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Авиамоторный цех Горьковского автозавода по произ</w:t>
      </w:r>
      <w:r w:rsidRPr="008127F8">
        <w:rPr>
          <w:rFonts w:ascii="Times New Roman" w:hAnsi="Times New Roman" w:cs="Times New Roman"/>
          <w:color w:val="000000" w:themeColor="text1"/>
          <w:sz w:val="16"/>
          <w:szCs w:val="16"/>
        </w:rPr>
        <w:softHyphen/>
        <w:t>водству моторов М-105Р выделить в самостоятельный завод по производству моторов М-105Р, подчинив этот завод Наркомату авиационной промышленности.</w:t>
      </w:r>
    </w:p>
    <w:p w14:paraId="68BA403B" w14:textId="77777777" w:rsidR="00BB49EC" w:rsidRPr="008127F8" w:rsidRDefault="00BB49EC" w:rsidP="001E0A84">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Обяэать Наркомсредмаш тов.Акопова и директора ГАЗ тов.Лоскутова передать в самостоятельный моторный завод ШШ все производственные цехи со всем оборудованием кадрами и материалами, занятые под производство моторов М-105Р и М-17, т.е. сборочный цех с испытательными станциями и бензохрани</w:t>
      </w:r>
      <w:r w:rsidRPr="008127F8">
        <w:rPr>
          <w:rFonts w:ascii="Times New Roman" w:hAnsi="Times New Roman" w:cs="Times New Roman"/>
          <w:color w:val="000000" w:themeColor="text1"/>
          <w:sz w:val="16"/>
          <w:szCs w:val="16"/>
        </w:rPr>
        <w:softHyphen/>
        <w:t>лищем и маслохранилищем, литейную цветного литья,механичес</w:t>
      </w:r>
      <w:r w:rsidRPr="008127F8">
        <w:rPr>
          <w:rFonts w:ascii="Times New Roman" w:hAnsi="Times New Roman" w:cs="Times New Roman"/>
          <w:color w:val="000000" w:themeColor="text1"/>
          <w:sz w:val="16"/>
          <w:szCs w:val="16"/>
        </w:rPr>
        <w:softHyphen/>
        <w:t>кий и термические цеха по мотору М-105Р и М-17, инструмен</w:t>
      </w:r>
      <w:r w:rsidRPr="008127F8">
        <w:rPr>
          <w:rFonts w:ascii="Times New Roman" w:hAnsi="Times New Roman" w:cs="Times New Roman"/>
          <w:color w:val="000000" w:themeColor="text1"/>
          <w:sz w:val="16"/>
          <w:szCs w:val="16"/>
        </w:rPr>
        <w:softHyphen/>
        <w:t>тальный цех авиамоторного производства и кроме того свобод</w:t>
      </w:r>
      <w:r w:rsidRPr="008127F8">
        <w:rPr>
          <w:rFonts w:ascii="Times New Roman" w:hAnsi="Times New Roman" w:cs="Times New Roman"/>
          <w:color w:val="000000" w:themeColor="text1"/>
          <w:sz w:val="16"/>
          <w:szCs w:val="16"/>
        </w:rPr>
        <w:softHyphen/>
        <w:t>ные площади обрубочного отделения площадью 12.000 кв.метров.</w:t>
      </w:r>
    </w:p>
    <w:p w14:paraId="4C3EFE89" w14:textId="77777777" w:rsidR="00BB49EC" w:rsidRPr="008127F8" w:rsidRDefault="00BB49EC"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Передачу произвести по состоянию на 1 марта с.г.</w:t>
      </w:r>
    </w:p>
    <w:p w14:paraId="27B7A536" w14:textId="77777777" w:rsidR="00BB49EC" w:rsidRPr="008127F8" w:rsidRDefault="00BB49EC" w:rsidP="001E0A84">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3. Проведение размежевания производственных помещений, жилья и общего хозяйства заводов поручить произвести зам. Наркомсредмаш </w:t>
      </w:r>
      <w:proofErr w:type="gramStart"/>
      <w:r w:rsidRPr="008127F8">
        <w:rPr>
          <w:rFonts w:ascii="Times New Roman" w:hAnsi="Times New Roman" w:cs="Times New Roman"/>
          <w:color w:val="000000" w:themeColor="text1"/>
          <w:sz w:val="16"/>
          <w:szCs w:val="16"/>
        </w:rPr>
        <w:t>тов.Кучумову</w:t>
      </w:r>
      <w:proofErr w:type="gramEnd"/>
      <w:r w:rsidRPr="008127F8">
        <w:rPr>
          <w:rFonts w:ascii="Times New Roman" w:hAnsi="Times New Roman" w:cs="Times New Roman"/>
          <w:color w:val="000000" w:themeColor="text1"/>
          <w:sz w:val="16"/>
          <w:szCs w:val="16"/>
        </w:rPr>
        <w:t xml:space="preserve"> </w:t>
      </w:r>
      <w:r w:rsidR="00016539" w:rsidRPr="008127F8">
        <w:rPr>
          <w:rFonts w:ascii="Times New Roman" w:hAnsi="Times New Roman" w:cs="Times New Roman"/>
          <w:color w:val="000000" w:themeColor="text1"/>
          <w:sz w:val="16"/>
          <w:szCs w:val="16"/>
        </w:rPr>
        <w:t>и вам.Наркомавиапрома т.Завитае</w:t>
      </w:r>
      <w:r w:rsidRPr="008127F8">
        <w:rPr>
          <w:rFonts w:ascii="Times New Roman" w:hAnsi="Times New Roman" w:cs="Times New Roman"/>
          <w:color w:val="000000" w:themeColor="text1"/>
          <w:sz w:val="16"/>
          <w:szCs w:val="16"/>
        </w:rPr>
        <w:t>ву. Передачу завода НКАП закончить к 23 марта 1942 года.</w:t>
      </w:r>
    </w:p>
    <w:p w14:paraId="4B49E17B" w14:textId="77777777" w:rsidR="00BB49EC" w:rsidRPr="008127F8" w:rsidRDefault="00BB49EC" w:rsidP="001E0A84">
      <w:pPr>
        <w:pStyle w:val="47"/>
        <w:shd w:val="clear" w:color="auto" w:fill="auto"/>
        <w:tabs>
          <w:tab w:val="left" w:pos="94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4. Производство моторов М-17 на Горьковском автозаводе снять немедленно, обязав НКАП всю документацию и имеющиеся ваделы по мотору М-17 передать </w:t>
      </w:r>
      <w:proofErr w:type="gramStart"/>
      <w:r w:rsidRPr="008127F8">
        <w:rPr>
          <w:rFonts w:ascii="Times New Roman" w:hAnsi="Times New Roman" w:cs="Times New Roman"/>
          <w:color w:val="000000" w:themeColor="text1"/>
          <w:sz w:val="16"/>
          <w:szCs w:val="16"/>
        </w:rPr>
        <w:t>Наркомтанкопрому,а</w:t>
      </w:r>
      <w:proofErr w:type="gramEnd"/>
      <w:r w:rsidRPr="008127F8">
        <w:rPr>
          <w:rFonts w:ascii="Times New Roman" w:hAnsi="Times New Roman" w:cs="Times New Roman"/>
          <w:color w:val="000000" w:themeColor="text1"/>
          <w:sz w:val="16"/>
          <w:szCs w:val="16"/>
        </w:rPr>
        <w:t xml:space="preserve"> оборудо</w:t>
      </w:r>
      <w:r w:rsidRPr="008127F8">
        <w:rPr>
          <w:rFonts w:ascii="Times New Roman" w:hAnsi="Times New Roman" w:cs="Times New Roman"/>
          <w:color w:val="000000" w:themeColor="text1"/>
          <w:sz w:val="16"/>
          <w:szCs w:val="16"/>
        </w:rPr>
        <w:softHyphen/>
        <w:t xml:space="preserve">вание и кадры, занятые на производстве моторов </w:t>
      </w:r>
      <w:r w:rsidR="00016539" w:rsidRPr="008127F8">
        <w:rPr>
          <w:rFonts w:ascii="Times New Roman" w:hAnsi="Times New Roman" w:cs="Times New Roman"/>
          <w:color w:val="000000" w:themeColor="text1"/>
          <w:sz w:val="16"/>
          <w:szCs w:val="16"/>
        </w:rPr>
        <w:t>М</w:t>
      </w:r>
      <w:r w:rsidRPr="008127F8">
        <w:rPr>
          <w:rFonts w:ascii="Times New Roman" w:hAnsi="Times New Roman" w:cs="Times New Roman"/>
          <w:color w:val="000000" w:themeColor="text1"/>
          <w:sz w:val="16"/>
          <w:szCs w:val="16"/>
        </w:rPr>
        <w:t>-17,</w:t>
      </w:r>
      <w:r w:rsidR="00016539" w:rsidRPr="008127F8">
        <w:rPr>
          <w:rFonts w:ascii="Times New Roman" w:hAnsi="Times New Roman" w:cs="Times New Roman"/>
          <w:color w:val="000000" w:themeColor="text1"/>
          <w:sz w:val="16"/>
          <w:szCs w:val="16"/>
        </w:rPr>
        <w:t xml:space="preserve"> </w:t>
      </w:r>
      <w:r w:rsidRPr="008127F8">
        <w:rPr>
          <w:rFonts w:ascii="Times New Roman" w:hAnsi="Times New Roman" w:cs="Times New Roman"/>
          <w:color w:val="000000" w:themeColor="text1"/>
          <w:sz w:val="16"/>
          <w:szCs w:val="16"/>
        </w:rPr>
        <w:t>исполь</w:t>
      </w:r>
      <w:r w:rsidRPr="008127F8">
        <w:rPr>
          <w:rFonts w:ascii="Times New Roman" w:hAnsi="Times New Roman" w:cs="Times New Roman"/>
          <w:color w:val="000000" w:themeColor="text1"/>
          <w:sz w:val="16"/>
          <w:szCs w:val="16"/>
        </w:rPr>
        <w:softHyphen/>
        <w:t>зовать на увеличение выпуска моторов М-105Р.</w:t>
      </w:r>
    </w:p>
    <w:p w14:paraId="6C5C15DB" w14:textId="77777777" w:rsidR="00BB49EC" w:rsidRPr="008127F8" w:rsidRDefault="00BB49EC"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Собранные моторы М-17 обязать НКАП испытать и сдать Наркомтанкопрому.</w:t>
      </w:r>
    </w:p>
    <w:p w14:paraId="23BF5B29" w14:textId="77777777" w:rsidR="00BB49EC" w:rsidRPr="008127F8" w:rsidRDefault="00BB49EC" w:rsidP="001E0A84">
      <w:pPr>
        <w:pStyle w:val="47"/>
        <w:shd w:val="clear" w:color="auto" w:fill="auto"/>
        <w:tabs>
          <w:tab w:val="left" w:pos="94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Назначить директором Горьковского авиамоторного за</w:t>
      </w:r>
      <w:r w:rsidRPr="008127F8">
        <w:rPr>
          <w:rFonts w:ascii="Times New Roman" w:hAnsi="Times New Roman" w:cs="Times New Roman"/>
          <w:color w:val="000000" w:themeColor="text1"/>
          <w:sz w:val="16"/>
          <w:szCs w:val="16"/>
        </w:rPr>
        <w:softHyphen/>
        <w:t xml:space="preserve">вода </w:t>
      </w:r>
      <w:proofErr w:type="gramStart"/>
      <w:r w:rsidRPr="008127F8">
        <w:rPr>
          <w:rFonts w:ascii="Times New Roman" w:hAnsi="Times New Roman" w:cs="Times New Roman"/>
          <w:color w:val="000000" w:themeColor="text1"/>
          <w:sz w:val="16"/>
          <w:szCs w:val="16"/>
        </w:rPr>
        <w:t>тов.Петрова</w:t>
      </w:r>
      <w:proofErr w:type="gramEnd"/>
      <w:r w:rsidRPr="008127F8">
        <w:rPr>
          <w:rFonts w:ascii="Times New Roman" w:hAnsi="Times New Roman" w:cs="Times New Roman"/>
          <w:color w:val="000000" w:themeColor="text1"/>
          <w:sz w:val="16"/>
          <w:szCs w:val="16"/>
        </w:rPr>
        <w:t>.</w:t>
      </w:r>
    </w:p>
    <w:p w14:paraId="7F18FD3F" w14:textId="77777777" w:rsidR="00BB49EC" w:rsidRPr="008127F8" w:rsidRDefault="00BB49EC" w:rsidP="001E0A84">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6. Обязать Наркомавиапром т.Шахурина и директора завода т.Петрова обеспечить выпуск моторов М-105Р к концу марта 5 моторов в сутки, не менее 8 моторов в сутки в первой полови</w:t>
      </w:r>
      <w:r w:rsidRPr="008127F8">
        <w:rPr>
          <w:rFonts w:ascii="Times New Roman" w:hAnsi="Times New Roman" w:cs="Times New Roman"/>
          <w:color w:val="000000" w:themeColor="text1"/>
          <w:sz w:val="16"/>
          <w:szCs w:val="16"/>
        </w:rPr>
        <w:softHyphen/>
        <w:t>не апреля и в третьей декаде апреля выйти на производство 10 моторов в сутки.</w:t>
      </w:r>
    </w:p>
    <w:p w14:paraId="7CB8536B" w14:textId="77777777" w:rsidR="00BB49EC" w:rsidRPr="008127F8" w:rsidRDefault="00BB49E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Обязать тов. Завитаева обеспечить помощь </w:t>
      </w:r>
      <w:proofErr w:type="gramStart"/>
      <w:r w:rsidRPr="008127F8">
        <w:rPr>
          <w:rFonts w:ascii="Times New Roman" w:hAnsi="Times New Roman"/>
          <w:color w:val="000000" w:themeColor="text1"/>
          <w:sz w:val="16"/>
          <w:szCs w:val="16"/>
        </w:rPr>
        <w:t>тов.Петрову</w:t>
      </w:r>
      <w:proofErr w:type="gramEnd"/>
      <w:r w:rsidRPr="008127F8">
        <w:rPr>
          <w:rFonts w:ascii="Times New Roman" w:hAnsi="Times New Roman"/>
          <w:color w:val="000000" w:themeColor="text1"/>
          <w:sz w:val="16"/>
          <w:szCs w:val="16"/>
        </w:rPr>
        <w:t xml:space="preserve"> оде в Горьком в течение не менее 10 дней (19309).</w:t>
      </w:r>
    </w:p>
    <w:p w14:paraId="466521B0" w14:textId="77777777" w:rsidR="00016539" w:rsidRPr="008127F8" w:rsidRDefault="0001653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7649B" w14:textId="77777777" w:rsidR="00F06A0E" w:rsidRPr="008A2E5A" w:rsidRDefault="00F06A0E" w:rsidP="00F06A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1942 г. постановлением ГКО № 1440сс на площадке эвакуированного завода № 24 был организован завод № 45 по производству моторов АМ-38 (23346).</w:t>
      </w:r>
    </w:p>
    <w:p w14:paraId="59DB4143" w14:textId="77777777" w:rsidR="00F06A0E" w:rsidRPr="008A2E5A" w:rsidRDefault="00F06A0E" w:rsidP="00F06A0E">
      <w:pPr>
        <w:spacing w:after="0" w:line="240" w:lineRule="auto"/>
        <w:jc w:val="both"/>
        <w:rPr>
          <w:rFonts w:ascii="Times New Roman" w:hAnsi="Times New Roman"/>
          <w:color w:val="0070C0"/>
          <w:sz w:val="16"/>
          <w:szCs w:val="16"/>
        </w:rPr>
      </w:pPr>
    </w:p>
    <w:p w14:paraId="4B637CFC" w14:textId="77777777" w:rsidR="00F06A0E" w:rsidRPr="008A2E5A" w:rsidRDefault="00F06A0E" w:rsidP="00F06A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1942 г. выйдет решение ГКО N1440-сс о снятии с серийного производства дизеля М-30 и перепрофилировании завода N 82 на выпуск другой продукции. В этой сложной обстановки найдутся люди, которые будут отстаивать авиационный дизель Чаромского. Это директор завода N82 Ф.Я.Тулупов, начальник ГУ заказов и снабжения ВВС бригинженер Н.П.Селезнев, инженер-подполковник Н.К. Кокорин и наконец командующий АДД маршал А.Е.Голованов (24107).</w:t>
      </w:r>
    </w:p>
    <w:p w14:paraId="42BE9AA0" w14:textId="77777777" w:rsidR="00F06A0E" w:rsidRPr="008A2E5A" w:rsidRDefault="00F06A0E" w:rsidP="00F06A0E">
      <w:pPr>
        <w:spacing w:after="0" w:line="240" w:lineRule="auto"/>
        <w:jc w:val="both"/>
        <w:rPr>
          <w:rFonts w:ascii="Times New Roman" w:hAnsi="Times New Roman"/>
          <w:color w:val="0070C0"/>
          <w:sz w:val="16"/>
          <w:szCs w:val="16"/>
        </w:rPr>
      </w:pPr>
    </w:p>
    <w:p w14:paraId="253EC61E" w14:textId="77777777" w:rsidR="00F06A0E" w:rsidRPr="008A2E5A" w:rsidRDefault="00F06A0E" w:rsidP="00F06A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1942 г. Постановлением ГКО производство моторов М-17Т на ГАЗе прекращалось.</w:t>
      </w:r>
    </w:p>
    <w:p w14:paraId="74432624" w14:textId="77777777" w:rsidR="00F06A0E" w:rsidRPr="008A2E5A" w:rsidRDefault="00F06A0E" w:rsidP="00F06A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Начальнику цеха № 5 завода № 112 Гайзеру было приказано начать выпуск танков с дизель-мотором В-2 с 27-го марта 1942 г. (ЦАНО. Ф. Р-15. Оп. 4. Д. 164. Л. 30.). Всего в 1942 г. завод «Красное Сормово» выпустил 465 танков Т-34 с карбюраторным мотором М-17Т и 2115 машин с дизелем В-2 (ЦАНО. Ф. Р-15. Оп. 4. Д. 183. Л. 2.). Решение правительства о постановке в танк Т-34 и другие машины в критический период войны двигателя М-17Т следует признать правильным (Драбкин А. Я дрался на Т-34. Первое полное издание / А. Драбкин. - М.: Яуза: Эксмо, 2009. - С. 17-18; Мельников, Н.Н. Танковая промышленность СССР в годы Великой Отечественной войны / Н.Н. Мельников. - М.: Яуза-Каталог, 2019. - </w:t>
      </w:r>
      <w:proofErr w:type="gramStart"/>
      <w:r w:rsidRPr="008A2E5A">
        <w:rPr>
          <w:rFonts w:ascii="Times New Roman" w:hAnsi="Times New Roman"/>
          <w:color w:val="0070C0"/>
          <w:sz w:val="16"/>
          <w:szCs w:val="16"/>
        </w:rPr>
        <w:t>С..</w:t>
      </w:r>
      <w:proofErr w:type="gramEnd"/>
      <w:r w:rsidRPr="008A2E5A">
        <w:rPr>
          <w:rFonts w:ascii="Times New Roman" w:hAnsi="Times New Roman"/>
          <w:color w:val="0070C0"/>
          <w:sz w:val="16"/>
          <w:szCs w:val="16"/>
        </w:rPr>
        <w:t xml:space="preserve"> 123.) (23540.</w:t>
      </w:r>
    </w:p>
    <w:p w14:paraId="4F1B2A97" w14:textId="77777777" w:rsidR="00F06A0E" w:rsidRPr="008A2E5A" w:rsidRDefault="00F06A0E" w:rsidP="00F06A0E">
      <w:pPr>
        <w:spacing w:after="0" w:line="240" w:lineRule="auto"/>
        <w:jc w:val="both"/>
        <w:rPr>
          <w:rFonts w:ascii="Times New Roman" w:hAnsi="Times New Roman"/>
          <w:color w:val="0070C0"/>
          <w:sz w:val="16"/>
          <w:szCs w:val="16"/>
        </w:rPr>
      </w:pPr>
    </w:p>
    <w:p w14:paraId="30CA337B" w14:textId="77777777" w:rsidR="00016539" w:rsidRPr="008127F8" w:rsidRDefault="00016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1446 О НИИ ВВС Красной Армии</w:t>
      </w:r>
    </w:p>
    <w:p w14:paraId="5825C7A7" w14:textId="77777777" w:rsidR="00016539" w:rsidRPr="008127F8" w:rsidRDefault="00016539" w:rsidP="001E0A84">
      <w:pPr>
        <w:tabs>
          <w:tab w:val="left" w:pos="14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Разрешить ВВС КА т.Жигареву дополнительно к </w:t>
      </w:r>
      <w:r w:rsidRPr="008127F8">
        <w:rPr>
          <w:rStyle w:val="0pt"/>
          <w:rFonts w:ascii="Times New Roman" w:hAnsi="Times New Roman" w:cs="Times New Roman"/>
          <w:color w:val="000000" w:themeColor="text1"/>
          <w:spacing w:val="0"/>
          <w:sz w:val="16"/>
          <w:szCs w:val="16"/>
        </w:rPr>
        <w:t xml:space="preserve">220 </w:t>
      </w:r>
      <w:r w:rsidRPr="008127F8">
        <w:rPr>
          <w:rFonts w:ascii="Times New Roman" w:hAnsi="Times New Roman"/>
          <w:color w:val="000000" w:themeColor="text1"/>
          <w:sz w:val="16"/>
          <w:szCs w:val="16"/>
        </w:rPr>
        <w:t>че</w:t>
      </w:r>
      <w:r w:rsidRPr="008127F8">
        <w:rPr>
          <w:rFonts w:ascii="Times New Roman" w:hAnsi="Times New Roman"/>
          <w:color w:val="000000" w:themeColor="text1"/>
          <w:sz w:val="16"/>
          <w:szCs w:val="16"/>
        </w:rPr>
        <w:softHyphen/>
        <w:t xml:space="preserve">ловекам работников НИИ ВВС КА перевести часть НИИ из г.Свердловска в г.Москву (Чкаловский азиагарнизон) в следующем </w:t>
      </w:r>
      <w:proofErr w:type="gramStart"/>
      <w:r w:rsidRPr="008127F8">
        <w:rPr>
          <w:rFonts w:ascii="Times New Roman" w:hAnsi="Times New Roman"/>
          <w:color w:val="000000" w:themeColor="text1"/>
          <w:sz w:val="16"/>
          <w:szCs w:val="16"/>
        </w:rPr>
        <w:t>сос</w:t>
      </w:r>
      <w:r w:rsidRPr="008127F8">
        <w:rPr>
          <w:rFonts w:ascii="Times New Roman" w:hAnsi="Times New Roman"/>
          <w:color w:val="000000" w:themeColor="text1"/>
          <w:sz w:val="16"/>
          <w:szCs w:val="16"/>
        </w:rPr>
        <w:softHyphen/>
        <w:t>таве :</w:t>
      </w:r>
      <w:proofErr w:type="gramEnd"/>
    </w:p>
    <w:p w14:paraId="3C6946EE" w14:textId="77777777" w:rsidR="00016539" w:rsidRPr="008127F8" w:rsidRDefault="00016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летного и инженерно-технического состава и служащих - </w:t>
      </w:r>
      <w:r w:rsidRPr="008127F8">
        <w:rPr>
          <w:rStyle w:val="0pt"/>
          <w:rFonts w:ascii="Times New Roman" w:hAnsi="Times New Roman" w:cs="Times New Roman"/>
          <w:color w:val="000000" w:themeColor="text1"/>
          <w:spacing w:val="0"/>
          <w:sz w:val="16"/>
          <w:szCs w:val="16"/>
        </w:rPr>
        <w:t>100</w:t>
      </w:r>
      <w:r w:rsidRPr="008127F8">
        <w:rPr>
          <w:rFonts w:ascii="Times New Roman" w:hAnsi="Times New Roman"/>
          <w:color w:val="000000" w:themeColor="text1"/>
          <w:sz w:val="16"/>
          <w:szCs w:val="16"/>
        </w:rPr>
        <w:t xml:space="preserve"> чел.</w:t>
      </w:r>
    </w:p>
    <w:p w14:paraId="2DD2FC91" w14:textId="77777777" w:rsidR="00016539" w:rsidRPr="008127F8" w:rsidRDefault="00016539" w:rsidP="001E0A84">
      <w:pPr>
        <w:pStyle w:val="45"/>
        <w:shd w:val="clear" w:color="auto" w:fill="auto"/>
        <w:spacing w:before="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различные лабораторные установки - 15 единиц</w:t>
      </w:r>
    </w:p>
    <w:p w14:paraId="123013EE" w14:textId="77777777" w:rsidR="00016539" w:rsidRPr="008127F8" w:rsidRDefault="00016539" w:rsidP="001E0A84">
      <w:pPr>
        <w:pStyle w:val="45"/>
        <w:shd w:val="clear" w:color="auto" w:fill="auto"/>
        <w:spacing w:before="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спецавтотранспорт - 7 единиц</w:t>
      </w:r>
    </w:p>
    <w:p w14:paraId="59794F5A" w14:textId="77777777" w:rsidR="00016539" w:rsidRPr="008127F8" w:rsidRDefault="00016539" w:rsidP="001E0A84">
      <w:pPr>
        <w:tabs>
          <w:tab w:val="left" w:pos="14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НКПС т.Кагановича Л.М. обеспечить перевозку оборудования и работников НИИ ВВС из г.Свердловска (</w:t>
      </w:r>
      <w:proofErr w:type="gramStart"/>
      <w:r w:rsidRPr="008127F8">
        <w:rPr>
          <w:rFonts w:ascii="Times New Roman" w:hAnsi="Times New Roman"/>
          <w:color w:val="000000" w:themeColor="text1"/>
          <w:sz w:val="16"/>
          <w:szCs w:val="16"/>
        </w:rPr>
        <w:t>ст.Коль</w:t>
      </w:r>
      <w:r w:rsidRPr="008127F8">
        <w:rPr>
          <w:rFonts w:ascii="Times New Roman" w:hAnsi="Times New Roman"/>
          <w:color w:val="000000" w:themeColor="text1"/>
          <w:sz w:val="16"/>
          <w:szCs w:val="16"/>
        </w:rPr>
        <w:softHyphen/>
        <w:t>цо</w:t>
      </w:r>
      <w:proofErr w:type="gramEnd"/>
      <w:r w:rsidRPr="008127F8">
        <w:rPr>
          <w:rFonts w:ascii="Times New Roman" w:hAnsi="Times New Roman"/>
          <w:color w:val="000000" w:themeColor="text1"/>
          <w:sz w:val="16"/>
          <w:szCs w:val="16"/>
        </w:rPr>
        <w:t xml:space="preserve"> во; в г.Москву (ст.Чкаловская Ярославской х.д.), для чего выделить необходимое количество товарных загонов и платформ.</w:t>
      </w:r>
    </w:p>
    <w:p w14:paraId="1DE60AE3" w14:textId="77777777" w:rsidR="00016539" w:rsidRPr="008127F8" w:rsidRDefault="00016539" w:rsidP="001E0A84">
      <w:pPr>
        <w:tabs>
          <w:tab w:val="left" w:pos="14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испытательные работы, производство ремонта и монтаж лабораторного оборудования отпустить из фонда НКО в распоряжение начальника ШС: ВВС 2 миллиона рублей. Весь лич</w:t>
      </w:r>
      <w:r w:rsidRPr="008127F8">
        <w:rPr>
          <w:rFonts w:ascii="Times New Roman" w:hAnsi="Times New Roman"/>
          <w:color w:val="000000" w:themeColor="text1"/>
          <w:sz w:val="16"/>
          <w:szCs w:val="16"/>
        </w:rPr>
        <w:softHyphen/>
        <w:t>ный состав военнослужащих Института, работающий на Чкалов</w:t>
      </w:r>
      <w:r w:rsidRPr="008127F8">
        <w:rPr>
          <w:rStyle w:val="affb"/>
          <w:rFonts w:ascii="Times New Roman" w:hAnsi="Times New Roman" w:cs="Times New Roman"/>
          <w:b w:val="0"/>
          <w:smallCaps w:val="0"/>
          <w:color w:val="000000" w:themeColor="text1"/>
          <w:spacing w:val="0"/>
          <w:sz w:val="16"/>
          <w:szCs w:val="16"/>
        </w:rPr>
        <w:t>ском</w:t>
      </w:r>
      <w:r w:rsidRPr="008127F8">
        <w:rPr>
          <w:rStyle w:val="affb"/>
          <w:rFonts w:ascii="Times New Roman" w:hAnsi="Times New Roman" w:cs="Times New Roman"/>
          <w:b w:val="0"/>
          <w:color w:val="000000" w:themeColor="text1"/>
          <w:spacing w:val="0"/>
          <w:sz w:val="16"/>
          <w:szCs w:val="16"/>
        </w:rPr>
        <w:t xml:space="preserve"> </w:t>
      </w:r>
      <w:r w:rsidRPr="008127F8">
        <w:rPr>
          <w:rStyle w:val="affb"/>
          <w:rFonts w:ascii="Times New Roman" w:hAnsi="Times New Roman" w:cs="Times New Roman"/>
          <w:b w:val="0"/>
          <w:smallCaps w:val="0"/>
          <w:color w:val="000000" w:themeColor="text1"/>
          <w:spacing w:val="0"/>
          <w:sz w:val="16"/>
          <w:szCs w:val="16"/>
        </w:rPr>
        <w:t>аэродроме, обесп</w:t>
      </w:r>
      <w:r w:rsidR="000059DD" w:rsidRPr="008127F8">
        <w:rPr>
          <w:rStyle w:val="affb"/>
          <w:rFonts w:ascii="Times New Roman" w:hAnsi="Times New Roman" w:cs="Times New Roman"/>
          <w:b w:val="0"/>
          <w:smallCaps w:val="0"/>
          <w:color w:val="000000" w:themeColor="text1"/>
          <w:spacing w:val="0"/>
          <w:sz w:val="16"/>
          <w:szCs w:val="16"/>
        </w:rPr>
        <w:t>е</w:t>
      </w:r>
      <w:r w:rsidRPr="008127F8">
        <w:rPr>
          <w:rStyle w:val="affb"/>
          <w:rFonts w:ascii="Times New Roman" w:hAnsi="Times New Roman" w:cs="Times New Roman"/>
          <w:b w:val="0"/>
          <w:smallCaps w:val="0"/>
          <w:color w:val="000000" w:themeColor="text1"/>
          <w:spacing w:val="0"/>
          <w:sz w:val="16"/>
          <w:szCs w:val="16"/>
        </w:rPr>
        <w:t>чить питанием наравне</w:t>
      </w:r>
      <w:r w:rsidRPr="008127F8">
        <w:rPr>
          <w:rFonts w:ascii="Times New Roman" w:hAnsi="Times New Roman"/>
          <w:color w:val="000000" w:themeColor="text1"/>
          <w:sz w:val="16"/>
          <w:szCs w:val="16"/>
        </w:rPr>
        <w:t xml:space="preserve"> со строевыми частями (19311)</w:t>
      </w:r>
      <w:r w:rsidR="00E37521" w:rsidRPr="008127F8">
        <w:rPr>
          <w:rFonts w:ascii="Times New Roman" w:hAnsi="Times New Roman"/>
          <w:color w:val="000000" w:themeColor="text1"/>
          <w:sz w:val="16"/>
          <w:szCs w:val="16"/>
        </w:rPr>
        <w:t>.</w:t>
      </w:r>
    </w:p>
    <w:p w14:paraId="1D3C5C1E" w14:textId="77777777" w:rsidR="00016539" w:rsidRPr="008127F8" w:rsidRDefault="0001653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6A0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в соответствии с постановлением ГКО № 1445сс и приказом НКАП № 215сс/ М-168 от 17.03.1942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266716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5BE75B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55A219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6ABC9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475A65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71EB83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7331B5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54FE81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42AD06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02EFFC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4BAD26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4C97A6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70D82E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072AC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3A3F83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31A2E8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Горький; г. Ленинград</w:t>
      </w:r>
    </w:p>
    <w:p w14:paraId="51B7F3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194100 г. Ленинград, г. Санкт-Петербург ул. Политехническая, 13/15 тел. 247-50-39, 247-42-33 koavia.com</w:t>
      </w:r>
    </w:p>
    <w:p w14:paraId="191865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ОКБ-45, Филиал ОКБ-500, ОКБ завода № 466 МАП, ОКБ-466 МАП</w:t>
      </w:r>
    </w:p>
    <w:p w14:paraId="5805BC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F154E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1F7C17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76A67E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6C5D53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(1959-63 г.)- А.С. Мевиус (10776).</w:t>
      </w:r>
    </w:p>
    <w:p w14:paraId="536A7A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214B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012B6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4C12E9" w14:textId="77777777" w:rsidR="00DD4457" w:rsidRPr="008127F8" w:rsidRDefault="00DD4457"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14 марта 1942 на заводе №172 построили опытный образец орудия М-42 (20344).</w:t>
      </w:r>
    </w:p>
    <w:p w14:paraId="017E2C78" w14:textId="77777777" w:rsidR="00DD4457" w:rsidRPr="008127F8" w:rsidRDefault="00DD4457" w:rsidP="001E0A84">
      <w:pPr>
        <w:pStyle w:val="article-renderblock"/>
        <w:shd w:val="clear" w:color="auto" w:fill="FFFFFF"/>
        <w:spacing w:before="0" w:beforeAutospacing="0" w:after="0" w:afterAutospacing="0"/>
        <w:jc w:val="both"/>
        <w:rPr>
          <w:color w:val="000000" w:themeColor="text1"/>
          <w:sz w:val="16"/>
          <w:szCs w:val="16"/>
        </w:rPr>
      </w:pPr>
    </w:p>
    <w:p w14:paraId="68F257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14 по 25 марта 1942 г. были проведены дополнительные артиллерийские испытания гаубицы, установленной в танке КВ-9. В то время снижение качества изготовления аг</w:t>
      </w:r>
      <w:r w:rsidRPr="008127F8">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8127F8">
        <w:rPr>
          <w:rFonts w:ascii="Times New Roman" w:hAnsi="Times New Roman"/>
          <w:color w:val="000000" w:themeColor="text1"/>
          <w:sz w:val="16"/>
          <w:szCs w:val="16"/>
        </w:rPr>
        <w:softHyphen/>
        <w:t>миссии танка КВ-1 при увеличении его массы на 0,5 т послужило при</w:t>
      </w:r>
      <w:r w:rsidRPr="008127F8">
        <w:rPr>
          <w:rFonts w:ascii="Times New Roman" w:hAnsi="Times New Roman"/>
          <w:color w:val="000000" w:themeColor="text1"/>
          <w:sz w:val="16"/>
          <w:szCs w:val="16"/>
        </w:rPr>
        <w:softHyphen/>
        <w:t>чиной отказа от вооружения машины 122-мм гаубицей У-11 (10703).</w:t>
      </w:r>
    </w:p>
    <w:p w14:paraId="340A21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6695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вышел приказ № 270сс НКТП</w:t>
      </w:r>
    </w:p>
    <w:p w14:paraId="222369A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безусловного обеспечения выпуска танкового электрооборудования и максимального использования для этого возможностей завода № 112:</w:t>
      </w:r>
    </w:p>
    <w:p w14:paraId="4399C12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завод № 238 (бывший завод “Электропривод”) заводу № 112, оставив его функционировать на самостоятельном балансе.</w:t>
      </w:r>
    </w:p>
    <w:p w14:paraId="7C92DA1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Впредь завод № 238 именовать филиалом завода № 112 (6120, 101).</w:t>
      </w:r>
    </w:p>
    <w:p w14:paraId="28C4982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E62F2"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w:t>
      </w:r>
    </w:p>
    <w:p w14:paraId="57F68FAA" w14:textId="7B335349"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101</w:t>
      </w:r>
      <w:r w:rsidR="008127F8">
        <w:rPr>
          <w:rFonts w:ascii="Times New Roman" w:hAnsi="Times New Roman"/>
          <w:color w:val="000000" w:themeColor="text1"/>
          <w:sz w:val="16"/>
          <w:szCs w:val="16"/>
        </w:rPr>
        <w:t xml:space="preserve">  </w:t>
      </w:r>
    </w:p>
    <w:p w14:paraId="28F25DFA" w14:textId="0EEB107D"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750C04E7"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6924FDE3"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СССР</w:t>
      </w:r>
    </w:p>
    <w:p w14:paraId="4B2CE3ED"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270-Мс</w:t>
      </w:r>
    </w:p>
    <w:p w14:paraId="1430DB9C"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3165A15A"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w:t>
      </w:r>
    </w:p>
    <w:p w14:paraId="22EBBD95" w14:textId="534185A2"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Освоение производства танкового электрооборудования на заводе № 238 проходит крайне неудовлетворительно и значительно тормозится некомплектностью оборудования, неподачей заготовок и механически обработанных деталей заводами № 112 и № 113, что срывает выпуск танков на заводе № 112.</w:t>
      </w:r>
      <w:r w:rsidR="008127F8">
        <w:rPr>
          <w:rFonts w:ascii="Times New Roman" w:hAnsi="Times New Roman"/>
          <w:color w:val="000000" w:themeColor="text1"/>
          <w:sz w:val="16"/>
          <w:szCs w:val="16"/>
        </w:rPr>
        <w:t xml:space="preserve">  </w:t>
      </w:r>
    </w:p>
    <w:p w14:paraId="48D4C655" w14:textId="74BB5150"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безусловного обеспечения выпуска танкового электрооборудования и максимального использования для этого возможностей завода № 112 – ПРИКАЗЫВАЮ:</w:t>
      </w:r>
      <w:r w:rsidR="008127F8">
        <w:rPr>
          <w:rFonts w:ascii="Times New Roman" w:hAnsi="Times New Roman"/>
          <w:color w:val="000000" w:themeColor="text1"/>
          <w:sz w:val="16"/>
          <w:szCs w:val="16"/>
        </w:rPr>
        <w:t xml:space="preserve">  </w:t>
      </w:r>
    </w:p>
    <w:p w14:paraId="25C9967A" w14:textId="07A45AF5"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Передать завод № 238 (бывший завод "Электропривод") заводу № 112, оставив его функционировать на самостоятельном балансе.</w:t>
      </w:r>
      <w:r w:rsidR="008127F8">
        <w:rPr>
          <w:rFonts w:ascii="Times New Roman" w:hAnsi="Times New Roman"/>
          <w:color w:val="000000" w:themeColor="text1"/>
          <w:sz w:val="16"/>
          <w:szCs w:val="16"/>
        </w:rPr>
        <w:t xml:space="preserve">  </w:t>
      </w:r>
    </w:p>
    <w:p w14:paraId="419E99DE" w14:textId="4D7F5589"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Впредь завод № 238 именовать филиалом завода № 112.</w:t>
      </w:r>
      <w:r w:rsidR="008127F8">
        <w:rPr>
          <w:rFonts w:ascii="Times New Roman" w:hAnsi="Times New Roman"/>
          <w:color w:val="000000" w:themeColor="text1"/>
          <w:sz w:val="16"/>
          <w:szCs w:val="16"/>
        </w:rPr>
        <w:t xml:space="preserve">  </w:t>
      </w:r>
    </w:p>
    <w:p w14:paraId="7C81A16D" w14:textId="33EEA39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что выпуск продукции и программу по заводу № 238 планирует завод № 112.</w:t>
      </w:r>
      <w:r w:rsidR="008127F8">
        <w:rPr>
          <w:rFonts w:ascii="Times New Roman" w:hAnsi="Times New Roman"/>
          <w:color w:val="000000" w:themeColor="text1"/>
          <w:sz w:val="16"/>
          <w:szCs w:val="16"/>
        </w:rPr>
        <w:t xml:space="preserve">  </w:t>
      </w:r>
    </w:p>
    <w:p w14:paraId="141AD341"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директора завода № 112 т. МИХАЛЕВА максимально использовать возможности завода № 112 и при всех обстоятельствах, начиная с апреля месяца, полностью обеспечить выпуск танков электрооборудованием.</w:t>
      </w:r>
    </w:p>
    <w:p w14:paraId="64271371"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4A21C40C"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0C6ACCB7" w14:textId="64B81884"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w:t>
      </w:r>
      <w:r w:rsidR="008127F8">
        <w:rPr>
          <w:rFonts w:ascii="Times New Roman" w:hAnsi="Times New Roman"/>
          <w:color w:val="000000" w:themeColor="text1"/>
          <w:sz w:val="16"/>
          <w:szCs w:val="16"/>
        </w:rPr>
        <w:t xml:space="preserve">  </w:t>
      </w:r>
    </w:p>
    <w:p w14:paraId="783C3F7A"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Фрадкин (18604).</w:t>
      </w:r>
    </w:p>
    <w:p w14:paraId="3A5C1199" w14:textId="77777777" w:rsidR="006912D4" w:rsidRPr="008127F8" w:rsidRDefault="006912D4" w:rsidP="001E0A84">
      <w:pPr>
        <w:spacing w:after="0" w:line="240" w:lineRule="auto"/>
        <w:jc w:val="both"/>
        <w:rPr>
          <w:rFonts w:ascii="Times New Roman" w:hAnsi="Times New Roman"/>
          <w:color w:val="000000" w:themeColor="text1"/>
          <w:sz w:val="16"/>
          <w:szCs w:val="16"/>
        </w:rPr>
      </w:pPr>
    </w:p>
    <w:p w14:paraId="791BF2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о принятии БА-64 на вооружение (3862).</w:t>
      </w:r>
    </w:p>
    <w:p w14:paraId="402668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EC8F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Постановлением ГКО бронеавтомобиль БА-64 был принят на вооружение и находился в серийном производстве на заводе ГАЗ с апреля 1942 г. до августа 1943 г.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8127F8">
        <w:rPr>
          <w:rFonts w:ascii="Times New Roman" w:hAnsi="Times New Roman"/>
          <w:color w:val="000000" w:themeColor="text1"/>
          <w:sz w:val="16"/>
          <w:szCs w:val="16"/>
        </w:rPr>
        <w:softHyphen/>
        <w:t>биль БА-64, из них 1352 машины с радиостанцией (10703).</w:t>
      </w:r>
    </w:p>
    <w:p w14:paraId="2CBFFB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2511C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вышло Постановление ГКО № 1439 [О введении в состав руководящей пятерки по делам НКПС Микояна А.И. и Хрулева А.В.]. (7025, 95).</w:t>
      </w:r>
    </w:p>
    <w:p w14:paraId="1528B5C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3222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FD24A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83AE69"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марта</w:t>
      </w:r>
      <w:r w:rsidRPr="008127F8">
        <w:rPr>
          <w:rFonts w:ascii="Times New Roman" w:hAnsi="Times New Roman"/>
          <w:color w:val="000000" w:themeColor="text1"/>
          <w:sz w:val="16"/>
          <w:szCs w:val="16"/>
        </w:rPr>
        <w:t xml:space="preserve"> в 1942 году утреннее сообщение Совинформбюро:</w:t>
      </w:r>
    </w:p>
    <w:p w14:paraId="13C6D727"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14 марта на ряде участков фронта советские войска вели наступательные бои против немецко-фашистских войск.</w:t>
      </w:r>
    </w:p>
    <w:p w14:paraId="4E38A0F3"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преодолевая сопротивление противника, продвинулись вперёд и заняли 6 населённых пунктов. Захвачены трофеи — 4 противотанковых орудия, 5 миномётов и много ящиков снарядов. Немцы потеряли убитыми 310 солдат и офицеров. На другом участке в боях за три населённых пункта наш лыжный батальон за несколько дней уничтожил до 1.500 гитлеровцев.</w:t>
      </w:r>
    </w:p>
    <w:p w14:paraId="6D836371"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Юго-Западного фронта наши части нанесли противнику большой урон. За один день боёв уничтожено 4 вражеских танка, 3 дальнобойных орудия, 8 противотанковых орудий, 8 пулемётов, 3 миномёта, разрушены 33 деревоземляные огневые точки. Немцы потеряли убитыми не менее 1.500 солдат и офицеров. Нашими частями захвачены трофеи: 15 пулемётов, 295 винтовок, 4 радиостанции, орудие, 2 миномёта и много боеприпасов.</w:t>
      </w:r>
    </w:p>
    <w:p w14:paraId="648AC5B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артиллеристы, поддерживая наступающую пехоту, за один день разрушили 4 ДЗОТа, блиндаж с пехотой противника, уничтожили 12 немецких автомашин и 15 подвод с военным грузом.</w:t>
      </w:r>
    </w:p>
    <w:p w14:paraId="3AD0957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 младший лейтенант Усенко встретил в воздухе три немецких самолёта и смело атаковал их. Два «Ю-88» были подбиты, третий вражеский самолёт поспешно скрылся.</w:t>
      </w:r>
    </w:p>
    <w:p w14:paraId="6F03AE3B"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Г. младший лейтенант Николаев с группой красноармейцев взял в плен 19 немецких солдат и захватил 3 подводы с продовольствием.</w:t>
      </w:r>
    </w:p>
    <w:p w14:paraId="7B3FF4C2"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действует в одном из районов Украины, оккупированных немцами, партизанский отряд тов. Ч. За последние дни отряд совершил ряд удачных налётов, во время которых уничтожено несколько десятков вражеских солдат. Партизаны захватили у противника 2 орудия, 7 миномётов, 3 ручных пулемёта и важные оперативные документы. Партизанам сдался в плен немецкий унтер-офицер.</w:t>
      </w:r>
    </w:p>
    <w:p w14:paraId="5F9DA2E5"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3 немецкой моторизованной дивизии Антон Полингер рассказал: «23 февраля мы находились в деревне Л. Неожиданно появились русские танки. Унтер-офицер приказал всем остаться на местах и отбить танковую атаку. Но никто его не послушал. Все солдаты побежали, кто куда; меня взяли в плен».</w:t>
      </w:r>
    </w:p>
    <w:p w14:paraId="3D7F251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отступая под ударами Красной Армии из Кармановского района, Смоленской области, уничтожили дома и хозяйственные постройки колхоза имени XVII партсъезда. Колхоз и колхозники потерпели огромные убытки. Сожжено 59 дворов вместе со всем имуществом крестьян, 4 колхозных конюшни, 22 амбара, 62 различные сельскохозяйственные машины.» (15068).</w:t>
      </w:r>
    </w:p>
    <w:p w14:paraId="51BF1E3A"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2BF7715C"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марта</w:t>
      </w:r>
      <w:r w:rsidRPr="008127F8">
        <w:rPr>
          <w:rFonts w:ascii="Times New Roman" w:hAnsi="Times New Roman"/>
          <w:color w:val="000000" w:themeColor="text1"/>
          <w:sz w:val="16"/>
          <w:szCs w:val="16"/>
        </w:rPr>
        <w:t xml:space="preserve"> в 1942 году вечернее сообщение Совинформбюро:</w:t>
      </w:r>
    </w:p>
    <w:p w14:paraId="4EC4AB8A"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марта на фронте каких-либо существенных изменений не произошло.</w:t>
      </w:r>
    </w:p>
    <w:p w14:paraId="69F5B428"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марта уничтожено 23 немецких самолета. Наши потери — 11 самолётов.</w:t>
      </w:r>
    </w:p>
    <w:p w14:paraId="120D595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марта частями нашей авиации уничтожено и повреждено 2 немецких танка, 2 бронемашины, 38 орудий, 8 зенитно-пулемётных точек, около 90 автомашин с войсками и грузами, 85 повозок с боеприпасами, автоцистерна с горючим, подавлен огонь 4 артиллерийских и 6 миномётных батарей, рассеяно и частью уничтожено до батальона пехоты противника.</w:t>
      </w:r>
    </w:p>
    <w:p w14:paraId="252A4823"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в течение суток трижды переходил в контратаки. Наши бойцы во главе с командирами Бахметьевым и Марковым подпускали немцев на близкое расстояние, а затем огнём всех видов оружия отражали контратаки врага. Потеряв свыше 300 человек убитыми, немцы были вынуждены отойти. В этом бою отличился находившийся в дозоре красноармеец тов. Клячко. На него напали 30 вражеских автоматчиков. Красноармеец Клячко смело вступил в бой и метким огнём уничтожил 7 немецких солдат.</w:t>
      </w:r>
    </w:p>
    <w:p w14:paraId="621E2A26"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другом участке фронта наша гвардейская стрелковая часть захватила 3 немецких орудия, 22 автомашины, 3 миномёта, 3 пулемёта, 1.000 мин, 12.000 патронов и 12 походных кухонь. Взяты пленные.</w:t>
      </w:r>
    </w:p>
    <w:p w14:paraId="3A43DFED"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П.Д.Долгов, находясь в разведке, заметил вблизи немецких позиций наш подбитый танк. Из танка доносились стоны раненых танкистов. Боец стал пробираться к танку, чтобы оказать помощь раненым товарищам. Немцы заметили отважного разведчика и открыли по нему огонь из автоматов и пулемётов. Несмотря на угрожавшую опасность, тов. Долгов подполз к танку, вынес из него двух раненых танкистов, положил их на связанные лыжи и вывез в расположение своей части.</w:t>
      </w:r>
    </w:p>
    <w:p w14:paraId="58F2650E"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М., действующий в одном из районов Курской области, совершил внезапный налёт на село, занятое немцами, и истребил 60 немецко-фашистских оккупантов. Этот же отряд взорвал железнодорожный мост и в нескольких местах разрушил железнодорожное полотно. На днях партизаны атаковали немцев и уничтожили не меньше 150 вражеских солдат и офицеров.</w:t>
      </w:r>
    </w:p>
    <w:p w14:paraId="661BC1BF"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солдат 513 и 524 немецких пехотных полков в количестве 9 человек добровольно сдалась в плен. Пленные заявили: «На днях мы слушали вашу радиопередачу для немецких солдат. Передавался приказ Сталина на немецком языке. Из этого официального приказа мы узнали, что русские не расстреливают пленных, и решили сдаться в плен. Мы не желаем больше воевать и проливать свою кровь за интересы Гитлера и его шайки».</w:t>
      </w:r>
    </w:p>
    <w:p w14:paraId="51E4994C"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руки наших войск попало письмо-руководителя штурмовых отрядов Восточной Пруссии Шене штурмовикам, находящимся на советско-германском фронте. Это письмо является ответом на многочисленные жалобы и нарекания солдат. Шене призывает фашистских бандитов к терпению. В письме говорится: «Относительно голода я уже писал в одном из предыдущих писем. Нужда, которую мы испытываем в настоящее время, будет затяжной. Среди наших товарищей, может быть, есть такие, которые говорят: «Нам теперь всё безразлично. Нам теперь всё равно. Мы не знаем, сколько нам осталось жить». Таких мыслей быть не должно, так как они приведут нас к гибели». Шене далее заклинает штурмовиков держать под своим наблюдением всех солдат, особенно теперь, «во время войны, когда взгляды масс так легко изменяются».</w:t>
      </w:r>
    </w:p>
    <w:p w14:paraId="49D9DB71" w14:textId="77777777" w:rsidR="00165913" w:rsidRPr="008127F8" w:rsidRDefault="00165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Греческие патриоты организовали недавно большое крушение немецкого воинского эшелона, направлявшегося из Серры в Драма. Под обломками вагонов погибло до-100 гитлеровцев и много вооружения. В момент крушения железнодорожный состав подвергся пулемётному обстрелу греческих патриотов.» (15068).</w:t>
      </w:r>
    </w:p>
    <w:p w14:paraId="45C447EE" w14:textId="77777777" w:rsidR="00165913" w:rsidRPr="008127F8" w:rsidRDefault="00165913" w:rsidP="001E0A84">
      <w:pPr>
        <w:spacing w:after="0" w:line="240" w:lineRule="auto"/>
        <w:jc w:val="both"/>
        <w:rPr>
          <w:rFonts w:ascii="Times New Roman" w:hAnsi="Times New Roman"/>
          <w:color w:val="000000" w:themeColor="text1"/>
          <w:sz w:val="16"/>
          <w:szCs w:val="16"/>
        </w:rPr>
      </w:pPr>
    </w:p>
    <w:p w14:paraId="160853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 на советско-германском фронте находилось всего 370 немецких одномоторных истребителей, то 20 мая их было уже более 600. Все эскадры пополнились и были доведены практически до штатной численности. Части усилили отдельные наиболее опытные летчики-асы, вернувшиеся из отпусков</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переведенные с других фронтов, отозванные с учебной и испытательной работы. На счету некоторых из них имелось по 80-100 воздушных побед. Сконцентрировав большую часть своих сил на южном фланге советско-германского фронта, немцы сумели сразу же вернуть себе господство в воздухе</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которого они лишились в ходе зимних боев под Москвой. Ростовом и Тихвином. Не менее агоессивно они стали действовать и на других участках (4537).</w:t>
      </w:r>
    </w:p>
    <w:p w14:paraId="5866C8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Потери самолетов Люфтваффе на фронтах с 22 июня 1941 г. по 14 марта 1942 г (3573).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235"/>
        <w:gridCol w:w="945"/>
        <w:gridCol w:w="1757"/>
        <w:gridCol w:w="1053"/>
        <w:gridCol w:w="1053"/>
        <w:gridCol w:w="1811"/>
        <w:gridCol w:w="1213"/>
      </w:tblGrid>
      <w:tr w:rsidR="006F4095" w:rsidRPr="008127F8" w14:paraId="0B871B3E" w14:textId="77777777">
        <w:tc>
          <w:tcPr>
            <w:tcW w:w="1384" w:type="dxa"/>
            <w:tcBorders>
              <w:top w:val="single" w:sz="12" w:space="0" w:color="auto"/>
            </w:tcBorders>
          </w:tcPr>
          <w:p w14:paraId="7A1A57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Borders>
              <w:top w:val="single" w:sz="12" w:space="0" w:color="auto"/>
            </w:tcBorders>
          </w:tcPr>
          <w:p w14:paraId="5FA99A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Borders>
              <w:top w:val="single" w:sz="12" w:space="0" w:color="auto"/>
            </w:tcBorders>
          </w:tcPr>
          <w:p w14:paraId="088F18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12" w:space="0" w:color="auto"/>
            </w:tcBorders>
          </w:tcPr>
          <w:p w14:paraId="749EBC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Borders>
              <w:top w:val="single" w:sz="12" w:space="0" w:color="auto"/>
            </w:tcBorders>
          </w:tcPr>
          <w:p w14:paraId="08ACB2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Borders>
              <w:top w:val="single" w:sz="12" w:space="0" w:color="auto"/>
            </w:tcBorders>
          </w:tcPr>
          <w:p w14:paraId="643FD8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Borders>
              <w:top w:val="single" w:sz="12" w:space="0" w:color="auto"/>
            </w:tcBorders>
          </w:tcPr>
          <w:p w14:paraId="005C0C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Уточненные данные</w:t>
            </w:r>
          </w:p>
        </w:tc>
        <w:tc>
          <w:tcPr>
            <w:tcW w:w="1213" w:type="dxa"/>
            <w:tcBorders>
              <w:top w:val="single" w:sz="12" w:space="0" w:color="auto"/>
            </w:tcBorders>
          </w:tcPr>
          <w:p w14:paraId="6652A4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22F014" w14:textId="77777777">
        <w:tc>
          <w:tcPr>
            <w:tcW w:w="1384" w:type="dxa"/>
          </w:tcPr>
          <w:p w14:paraId="592CD1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Период</w:t>
            </w:r>
          </w:p>
        </w:tc>
        <w:tc>
          <w:tcPr>
            <w:tcW w:w="1235" w:type="dxa"/>
          </w:tcPr>
          <w:p w14:paraId="277F0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Общие потери</w:t>
            </w:r>
          </w:p>
        </w:tc>
        <w:tc>
          <w:tcPr>
            <w:tcW w:w="945" w:type="dxa"/>
          </w:tcPr>
          <w:p w14:paraId="4E81CE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64E1E9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 потери на</w:t>
            </w:r>
          </w:p>
        </w:tc>
        <w:tc>
          <w:tcPr>
            <w:tcW w:w="1053" w:type="dxa"/>
          </w:tcPr>
          <w:p w14:paraId="49DA32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52BEFD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041C97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потерь нарастающим</w:t>
            </w:r>
          </w:p>
        </w:tc>
        <w:tc>
          <w:tcPr>
            <w:tcW w:w="1213" w:type="dxa"/>
          </w:tcPr>
          <w:p w14:paraId="57EA93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C482E4" w14:textId="77777777">
        <w:tc>
          <w:tcPr>
            <w:tcW w:w="1384" w:type="dxa"/>
          </w:tcPr>
          <w:p w14:paraId="206125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49D752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неделю</w:t>
            </w:r>
          </w:p>
        </w:tc>
        <w:tc>
          <w:tcPr>
            <w:tcW w:w="945" w:type="dxa"/>
          </w:tcPr>
          <w:p w14:paraId="647AEB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5AA15C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советско-германском</w:t>
            </w:r>
          </w:p>
        </w:tc>
        <w:tc>
          <w:tcPr>
            <w:tcW w:w="1053" w:type="dxa"/>
          </w:tcPr>
          <w:p w14:paraId="7B7067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223AB3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40F5D5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итогом на советско-</w:t>
            </w:r>
          </w:p>
        </w:tc>
        <w:tc>
          <w:tcPr>
            <w:tcW w:w="1213" w:type="dxa"/>
          </w:tcPr>
          <w:p w14:paraId="320F15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3924B32" w14:textId="77777777">
        <w:tc>
          <w:tcPr>
            <w:tcW w:w="1384" w:type="dxa"/>
          </w:tcPr>
          <w:p w14:paraId="18DE0C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198E2E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E9D73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7964D4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фронте</w:t>
            </w:r>
          </w:p>
        </w:tc>
        <w:tc>
          <w:tcPr>
            <w:tcW w:w="1053" w:type="dxa"/>
          </w:tcPr>
          <w:p w14:paraId="2C47C4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58550F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522EB9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германском фронте</w:t>
            </w:r>
          </w:p>
        </w:tc>
        <w:tc>
          <w:tcPr>
            <w:tcW w:w="1213" w:type="dxa"/>
          </w:tcPr>
          <w:p w14:paraId="657E9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020993" w14:textId="77777777">
        <w:tc>
          <w:tcPr>
            <w:tcW w:w="1384" w:type="dxa"/>
          </w:tcPr>
          <w:p w14:paraId="5E5B9D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7BB407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4A06C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5965E8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358737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1F5A60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693F74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3" w:type="dxa"/>
          </w:tcPr>
          <w:p w14:paraId="4271CE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5C8AA3" w14:textId="77777777">
        <w:tc>
          <w:tcPr>
            <w:tcW w:w="1384" w:type="dxa"/>
          </w:tcPr>
          <w:p w14:paraId="203619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5671C0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полностью</w:t>
            </w:r>
          </w:p>
        </w:tc>
        <w:tc>
          <w:tcPr>
            <w:tcW w:w="945" w:type="dxa"/>
          </w:tcPr>
          <w:p w14:paraId="64FA60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повреж-</w:t>
            </w:r>
          </w:p>
        </w:tc>
        <w:tc>
          <w:tcPr>
            <w:tcW w:w="1757" w:type="dxa"/>
          </w:tcPr>
          <w:p w14:paraId="7457E7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полностью</w:t>
            </w:r>
          </w:p>
        </w:tc>
        <w:tc>
          <w:tcPr>
            <w:tcW w:w="1053" w:type="dxa"/>
          </w:tcPr>
          <w:p w14:paraId="6B5A17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повреж-</w:t>
            </w:r>
          </w:p>
        </w:tc>
        <w:tc>
          <w:tcPr>
            <w:tcW w:w="1053" w:type="dxa"/>
          </w:tcPr>
          <w:p w14:paraId="7A356A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w:t>
            </w:r>
          </w:p>
        </w:tc>
        <w:tc>
          <w:tcPr>
            <w:tcW w:w="1811" w:type="dxa"/>
          </w:tcPr>
          <w:p w14:paraId="6E4D69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полностью</w:t>
            </w:r>
          </w:p>
        </w:tc>
        <w:tc>
          <w:tcPr>
            <w:tcW w:w="1213" w:type="dxa"/>
          </w:tcPr>
          <w:p w14:paraId="2AD033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повреж-</w:t>
            </w:r>
          </w:p>
        </w:tc>
      </w:tr>
      <w:tr w:rsidR="006F4095" w:rsidRPr="008127F8" w14:paraId="2D38669A" w14:textId="77777777">
        <w:tc>
          <w:tcPr>
            <w:tcW w:w="1384" w:type="dxa"/>
          </w:tcPr>
          <w:p w14:paraId="493F47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1BA929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w:t>
            </w:r>
          </w:p>
        </w:tc>
        <w:tc>
          <w:tcPr>
            <w:tcW w:w="945" w:type="dxa"/>
          </w:tcPr>
          <w:p w14:paraId="43AC79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дено</w:t>
            </w:r>
          </w:p>
        </w:tc>
        <w:tc>
          <w:tcPr>
            <w:tcW w:w="1757" w:type="dxa"/>
          </w:tcPr>
          <w:p w14:paraId="4AC72E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w:t>
            </w:r>
          </w:p>
        </w:tc>
        <w:tc>
          <w:tcPr>
            <w:tcW w:w="1053" w:type="dxa"/>
          </w:tcPr>
          <w:p w14:paraId="5645A7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дено</w:t>
            </w:r>
          </w:p>
        </w:tc>
        <w:tc>
          <w:tcPr>
            <w:tcW w:w="1053" w:type="dxa"/>
          </w:tcPr>
          <w:p w14:paraId="492BAB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общим</w:t>
            </w:r>
          </w:p>
        </w:tc>
        <w:tc>
          <w:tcPr>
            <w:tcW w:w="1811" w:type="dxa"/>
          </w:tcPr>
          <w:p w14:paraId="2B6A25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w:t>
            </w:r>
          </w:p>
        </w:tc>
        <w:tc>
          <w:tcPr>
            <w:tcW w:w="1213" w:type="dxa"/>
          </w:tcPr>
          <w:p w14:paraId="22302C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дено</w:t>
            </w:r>
          </w:p>
        </w:tc>
      </w:tr>
      <w:tr w:rsidR="006F4095" w:rsidRPr="008127F8" w14:paraId="01FF8EFE" w14:textId="77777777">
        <w:tc>
          <w:tcPr>
            <w:tcW w:w="1384" w:type="dxa"/>
          </w:tcPr>
          <w:p w14:paraId="67C4E8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 (3573).</w:t>
            </w:r>
          </w:p>
        </w:tc>
        <w:tc>
          <w:tcPr>
            <w:tcW w:w="1235" w:type="dxa"/>
          </w:tcPr>
          <w:p w14:paraId="080541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CBB6F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4DB378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7935A3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19C9AA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68A9C6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3" w:type="dxa"/>
          </w:tcPr>
          <w:p w14:paraId="542747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9F00BC" w14:textId="77777777">
        <w:tc>
          <w:tcPr>
            <w:tcW w:w="1384" w:type="dxa"/>
          </w:tcPr>
          <w:p w14:paraId="441D6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22.06-28.06</w:t>
            </w:r>
          </w:p>
        </w:tc>
        <w:tc>
          <w:tcPr>
            <w:tcW w:w="1235" w:type="dxa"/>
          </w:tcPr>
          <w:p w14:paraId="361440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335</w:t>
            </w:r>
          </w:p>
        </w:tc>
        <w:tc>
          <w:tcPr>
            <w:tcW w:w="945" w:type="dxa"/>
          </w:tcPr>
          <w:p w14:paraId="41F753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1757" w:type="dxa"/>
          </w:tcPr>
          <w:p w14:paraId="484997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c>
          <w:tcPr>
            <w:tcW w:w="1053" w:type="dxa"/>
          </w:tcPr>
          <w:p w14:paraId="4A460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1053" w:type="dxa"/>
          </w:tcPr>
          <w:p w14:paraId="7C9B88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85,5</w:t>
            </w:r>
          </w:p>
        </w:tc>
        <w:tc>
          <w:tcPr>
            <w:tcW w:w="1811" w:type="dxa"/>
          </w:tcPr>
          <w:p w14:paraId="75C8E0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13" w:type="dxa"/>
          </w:tcPr>
          <w:p w14:paraId="365ED8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87515FD" w14:textId="77777777">
        <w:tc>
          <w:tcPr>
            <w:tcW w:w="1384" w:type="dxa"/>
          </w:tcPr>
          <w:p w14:paraId="41EC18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29.06-05.07</w:t>
            </w:r>
          </w:p>
        </w:tc>
        <w:tc>
          <w:tcPr>
            <w:tcW w:w="1235" w:type="dxa"/>
          </w:tcPr>
          <w:p w14:paraId="197FFE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w:t>
            </w:r>
          </w:p>
        </w:tc>
        <w:tc>
          <w:tcPr>
            <w:tcW w:w="945" w:type="dxa"/>
          </w:tcPr>
          <w:p w14:paraId="5E4734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1757" w:type="dxa"/>
          </w:tcPr>
          <w:p w14:paraId="6CA7B4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w:t>
            </w:r>
          </w:p>
        </w:tc>
        <w:tc>
          <w:tcPr>
            <w:tcW w:w="1053" w:type="dxa"/>
          </w:tcPr>
          <w:p w14:paraId="78CEE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w:t>
            </w:r>
          </w:p>
        </w:tc>
        <w:tc>
          <w:tcPr>
            <w:tcW w:w="1053" w:type="dxa"/>
          </w:tcPr>
          <w:p w14:paraId="33A06B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85,7</w:t>
            </w:r>
          </w:p>
        </w:tc>
        <w:tc>
          <w:tcPr>
            <w:tcW w:w="1811" w:type="dxa"/>
          </w:tcPr>
          <w:p w14:paraId="2C39F8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429</w:t>
            </w:r>
          </w:p>
        </w:tc>
        <w:tc>
          <w:tcPr>
            <w:tcW w:w="1213" w:type="dxa"/>
          </w:tcPr>
          <w:p w14:paraId="46F38D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w:t>
            </w:r>
          </w:p>
        </w:tc>
      </w:tr>
      <w:tr w:rsidR="006F4095" w:rsidRPr="008127F8" w14:paraId="724E0562" w14:textId="77777777">
        <w:tc>
          <w:tcPr>
            <w:tcW w:w="1384" w:type="dxa"/>
          </w:tcPr>
          <w:p w14:paraId="0ED94E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06.07-12.07</w:t>
            </w:r>
          </w:p>
        </w:tc>
        <w:tc>
          <w:tcPr>
            <w:tcW w:w="1235" w:type="dxa"/>
          </w:tcPr>
          <w:p w14:paraId="419F72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w:t>
            </w:r>
          </w:p>
        </w:tc>
        <w:tc>
          <w:tcPr>
            <w:tcW w:w="945" w:type="dxa"/>
          </w:tcPr>
          <w:p w14:paraId="1CE8BA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1757" w:type="dxa"/>
          </w:tcPr>
          <w:p w14:paraId="274086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w:t>
            </w:r>
          </w:p>
        </w:tc>
        <w:tc>
          <w:tcPr>
            <w:tcW w:w="1053" w:type="dxa"/>
          </w:tcPr>
          <w:p w14:paraId="717D44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053" w:type="dxa"/>
          </w:tcPr>
          <w:p w14:paraId="6DAB15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63,5</w:t>
            </w:r>
          </w:p>
        </w:tc>
        <w:tc>
          <w:tcPr>
            <w:tcW w:w="1811" w:type="dxa"/>
          </w:tcPr>
          <w:p w14:paraId="576D70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213" w:type="dxa"/>
          </w:tcPr>
          <w:p w14:paraId="1C9099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w:t>
            </w:r>
          </w:p>
        </w:tc>
      </w:tr>
      <w:tr w:rsidR="006F4095" w:rsidRPr="008127F8" w14:paraId="634370A2" w14:textId="77777777">
        <w:tc>
          <w:tcPr>
            <w:tcW w:w="1384" w:type="dxa"/>
          </w:tcPr>
          <w:p w14:paraId="36316E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13.07-19.07</w:t>
            </w:r>
          </w:p>
        </w:tc>
        <w:tc>
          <w:tcPr>
            <w:tcW w:w="1235" w:type="dxa"/>
          </w:tcPr>
          <w:p w14:paraId="216410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945" w:type="dxa"/>
          </w:tcPr>
          <w:p w14:paraId="16D5E3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1757" w:type="dxa"/>
          </w:tcPr>
          <w:p w14:paraId="268107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1053" w:type="dxa"/>
          </w:tcPr>
          <w:p w14:paraId="3F0EB4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053" w:type="dxa"/>
          </w:tcPr>
          <w:p w14:paraId="322808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1811" w:type="dxa"/>
          </w:tcPr>
          <w:p w14:paraId="44CB99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719</w:t>
            </w:r>
          </w:p>
        </w:tc>
        <w:tc>
          <w:tcPr>
            <w:tcW w:w="1213" w:type="dxa"/>
          </w:tcPr>
          <w:p w14:paraId="51C3E5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w:t>
            </w:r>
          </w:p>
        </w:tc>
      </w:tr>
      <w:tr w:rsidR="006F4095" w:rsidRPr="008127F8" w14:paraId="720A644F" w14:textId="77777777">
        <w:tc>
          <w:tcPr>
            <w:tcW w:w="1384" w:type="dxa"/>
          </w:tcPr>
          <w:p w14:paraId="2D44F2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20.07-26.07</w:t>
            </w:r>
          </w:p>
        </w:tc>
        <w:tc>
          <w:tcPr>
            <w:tcW w:w="1235" w:type="dxa"/>
          </w:tcPr>
          <w:p w14:paraId="4908EE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w:t>
            </w:r>
          </w:p>
        </w:tc>
        <w:tc>
          <w:tcPr>
            <w:tcW w:w="945" w:type="dxa"/>
          </w:tcPr>
          <w:p w14:paraId="76AA90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1757" w:type="dxa"/>
          </w:tcPr>
          <w:p w14:paraId="086651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c>
          <w:tcPr>
            <w:tcW w:w="1053" w:type="dxa"/>
          </w:tcPr>
          <w:p w14:paraId="58511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1053" w:type="dxa"/>
          </w:tcPr>
          <w:p w14:paraId="3ACF74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74,7</w:t>
            </w:r>
          </w:p>
        </w:tc>
        <w:tc>
          <w:tcPr>
            <w:tcW w:w="1811" w:type="dxa"/>
          </w:tcPr>
          <w:p w14:paraId="43C3D2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849</w:t>
            </w:r>
          </w:p>
        </w:tc>
        <w:tc>
          <w:tcPr>
            <w:tcW w:w="1213" w:type="dxa"/>
          </w:tcPr>
          <w:p w14:paraId="4A63CF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532</w:t>
            </w:r>
          </w:p>
        </w:tc>
      </w:tr>
      <w:tr w:rsidR="006F4095" w:rsidRPr="008127F8" w14:paraId="0857849A" w14:textId="77777777">
        <w:tc>
          <w:tcPr>
            <w:tcW w:w="1384" w:type="dxa"/>
          </w:tcPr>
          <w:p w14:paraId="13B714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27.07-02.08</w:t>
            </w:r>
          </w:p>
        </w:tc>
        <w:tc>
          <w:tcPr>
            <w:tcW w:w="1235" w:type="dxa"/>
          </w:tcPr>
          <w:p w14:paraId="71AB77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945" w:type="dxa"/>
          </w:tcPr>
          <w:p w14:paraId="5A1955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1757" w:type="dxa"/>
          </w:tcPr>
          <w:p w14:paraId="18DF92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c>
          <w:tcPr>
            <w:tcW w:w="1053" w:type="dxa"/>
          </w:tcPr>
          <w:p w14:paraId="540927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053" w:type="dxa"/>
          </w:tcPr>
          <w:p w14:paraId="7E363F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80,7</w:t>
            </w:r>
          </w:p>
        </w:tc>
        <w:tc>
          <w:tcPr>
            <w:tcW w:w="1811" w:type="dxa"/>
          </w:tcPr>
          <w:p w14:paraId="023A21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968</w:t>
            </w:r>
          </w:p>
        </w:tc>
        <w:tc>
          <w:tcPr>
            <w:tcW w:w="1213" w:type="dxa"/>
          </w:tcPr>
          <w:p w14:paraId="0B2E3F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606</w:t>
            </w:r>
          </w:p>
        </w:tc>
      </w:tr>
      <w:tr w:rsidR="006F4095" w:rsidRPr="008127F8" w14:paraId="26105D09" w14:textId="77777777">
        <w:tc>
          <w:tcPr>
            <w:tcW w:w="1384" w:type="dxa"/>
          </w:tcPr>
          <w:p w14:paraId="2086CB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03.08-09.08</w:t>
            </w:r>
          </w:p>
        </w:tc>
        <w:tc>
          <w:tcPr>
            <w:tcW w:w="1235" w:type="dxa"/>
          </w:tcPr>
          <w:p w14:paraId="6E2958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945" w:type="dxa"/>
          </w:tcPr>
          <w:p w14:paraId="434416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757" w:type="dxa"/>
          </w:tcPr>
          <w:p w14:paraId="26239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053" w:type="dxa"/>
          </w:tcPr>
          <w:p w14:paraId="3D832C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053" w:type="dxa"/>
          </w:tcPr>
          <w:p w14:paraId="6C4292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67,9</w:t>
            </w:r>
          </w:p>
        </w:tc>
        <w:tc>
          <w:tcPr>
            <w:tcW w:w="1811" w:type="dxa"/>
          </w:tcPr>
          <w:p w14:paraId="510DC9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1063</w:t>
            </w:r>
          </w:p>
        </w:tc>
        <w:tc>
          <w:tcPr>
            <w:tcW w:w="1213" w:type="dxa"/>
          </w:tcPr>
          <w:p w14:paraId="18EBB8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662</w:t>
            </w:r>
          </w:p>
        </w:tc>
      </w:tr>
      <w:tr w:rsidR="006F4095" w:rsidRPr="008127F8" w14:paraId="1BD24A98" w14:textId="77777777">
        <w:tc>
          <w:tcPr>
            <w:tcW w:w="1384" w:type="dxa"/>
          </w:tcPr>
          <w:p w14:paraId="5CCDF7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10.08-16.08</w:t>
            </w:r>
          </w:p>
        </w:tc>
        <w:tc>
          <w:tcPr>
            <w:tcW w:w="1235" w:type="dxa"/>
          </w:tcPr>
          <w:p w14:paraId="64A6D7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945" w:type="dxa"/>
          </w:tcPr>
          <w:p w14:paraId="6FA02D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1757" w:type="dxa"/>
          </w:tcPr>
          <w:p w14:paraId="6EF2DC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1053" w:type="dxa"/>
          </w:tcPr>
          <w:p w14:paraId="75FD9A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1053" w:type="dxa"/>
          </w:tcPr>
          <w:p w14:paraId="1D1582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c>
          <w:tcPr>
            <w:tcW w:w="1811" w:type="dxa"/>
          </w:tcPr>
          <w:p w14:paraId="5D2F91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1148</w:t>
            </w:r>
          </w:p>
        </w:tc>
        <w:tc>
          <w:tcPr>
            <w:tcW w:w="1213" w:type="dxa"/>
          </w:tcPr>
          <w:p w14:paraId="04F73C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721</w:t>
            </w:r>
          </w:p>
        </w:tc>
      </w:tr>
      <w:tr w:rsidR="006F4095" w:rsidRPr="008127F8" w14:paraId="4EFE3789" w14:textId="77777777">
        <w:tc>
          <w:tcPr>
            <w:tcW w:w="1384" w:type="dxa"/>
          </w:tcPr>
          <w:p w14:paraId="6D8468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17.08-23.08</w:t>
            </w:r>
          </w:p>
        </w:tc>
        <w:tc>
          <w:tcPr>
            <w:tcW w:w="1235" w:type="dxa"/>
          </w:tcPr>
          <w:p w14:paraId="0B9CB6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w:t>
            </w:r>
          </w:p>
        </w:tc>
        <w:tc>
          <w:tcPr>
            <w:tcW w:w="945" w:type="dxa"/>
          </w:tcPr>
          <w:p w14:paraId="161407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757" w:type="dxa"/>
          </w:tcPr>
          <w:p w14:paraId="1982E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053" w:type="dxa"/>
          </w:tcPr>
          <w:p w14:paraId="4E56BB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053" w:type="dxa"/>
          </w:tcPr>
          <w:p w14:paraId="705ECA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66,4</w:t>
            </w:r>
          </w:p>
        </w:tc>
        <w:tc>
          <w:tcPr>
            <w:tcW w:w="1811" w:type="dxa"/>
          </w:tcPr>
          <w:p w14:paraId="7F9264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1211</w:t>
            </w:r>
          </w:p>
        </w:tc>
        <w:tc>
          <w:tcPr>
            <w:tcW w:w="1213" w:type="dxa"/>
          </w:tcPr>
          <w:p w14:paraId="2E2B52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767</w:t>
            </w:r>
          </w:p>
        </w:tc>
      </w:tr>
      <w:tr w:rsidR="006F4095" w:rsidRPr="008127F8" w14:paraId="168ADF75" w14:textId="77777777">
        <w:tc>
          <w:tcPr>
            <w:tcW w:w="1384" w:type="dxa"/>
          </w:tcPr>
          <w:p w14:paraId="09A573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24.08-30.08</w:t>
            </w:r>
          </w:p>
        </w:tc>
        <w:tc>
          <w:tcPr>
            <w:tcW w:w="1235" w:type="dxa"/>
          </w:tcPr>
          <w:p w14:paraId="2B3A17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945" w:type="dxa"/>
          </w:tcPr>
          <w:p w14:paraId="6EAB1C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1757" w:type="dxa"/>
          </w:tcPr>
          <w:p w14:paraId="357797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1053" w:type="dxa"/>
          </w:tcPr>
          <w:p w14:paraId="47F33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053" w:type="dxa"/>
          </w:tcPr>
          <w:p w14:paraId="58F046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78,8</w:t>
            </w:r>
          </w:p>
        </w:tc>
        <w:tc>
          <w:tcPr>
            <w:tcW w:w="1811" w:type="dxa"/>
          </w:tcPr>
          <w:p w14:paraId="14C6AB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1283</w:t>
            </w:r>
          </w:p>
        </w:tc>
        <w:tc>
          <w:tcPr>
            <w:tcW w:w="1213" w:type="dxa"/>
          </w:tcPr>
          <w:p w14:paraId="24B032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812</w:t>
            </w:r>
          </w:p>
        </w:tc>
      </w:tr>
      <w:tr w:rsidR="006F4095" w:rsidRPr="008127F8" w14:paraId="3F4B2A65" w14:textId="77777777">
        <w:tc>
          <w:tcPr>
            <w:tcW w:w="1384" w:type="dxa"/>
          </w:tcPr>
          <w:p w14:paraId="68AB41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31.08-06.09</w:t>
            </w:r>
          </w:p>
        </w:tc>
        <w:tc>
          <w:tcPr>
            <w:tcW w:w="1235" w:type="dxa"/>
          </w:tcPr>
          <w:p w14:paraId="0D0C0F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945" w:type="dxa"/>
          </w:tcPr>
          <w:p w14:paraId="22C770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757" w:type="dxa"/>
          </w:tcPr>
          <w:p w14:paraId="583AC6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1053" w:type="dxa"/>
          </w:tcPr>
          <w:p w14:paraId="61DA86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053" w:type="dxa"/>
          </w:tcPr>
          <w:p w14:paraId="1753C8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67,9</w:t>
            </w:r>
          </w:p>
        </w:tc>
        <w:tc>
          <w:tcPr>
            <w:tcW w:w="1811" w:type="dxa"/>
          </w:tcPr>
          <w:p w14:paraId="044864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1356</w:t>
            </w:r>
          </w:p>
        </w:tc>
        <w:tc>
          <w:tcPr>
            <w:tcW w:w="1213" w:type="dxa"/>
          </w:tcPr>
          <w:p w14:paraId="684F24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852</w:t>
            </w:r>
          </w:p>
        </w:tc>
      </w:tr>
      <w:tr w:rsidR="006F4095" w:rsidRPr="008127F8" w14:paraId="5B09ADCD" w14:textId="77777777">
        <w:tc>
          <w:tcPr>
            <w:tcW w:w="1384" w:type="dxa"/>
          </w:tcPr>
          <w:p w14:paraId="41A643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07.09-13.09</w:t>
            </w:r>
          </w:p>
        </w:tc>
        <w:tc>
          <w:tcPr>
            <w:tcW w:w="1235" w:type="dxa"/>
          </w:tcPr>
          <w:p w14:paraId="2282F0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w:t>
            </w:r>
          </w:p>
        </w:tc>
        <w:tc>
          <w:tcPr>
            <w:tcW w:w="945" w:type="dxa"/>
          </w:tcPr>
          <w:p w14:paraId="143F02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1757" w:type="dxa"/>
          </w:tcPr>
          <w:p w14:paraId="503CA2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1053" w:type="dxa"/>
          </w:tcPr>
          <w:p w14:paraId="4130F7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053" w:type="dxa"/>
          </w:tcPr>
          <w:p w14:paraId="0E9604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71,9</w:t>
            </w:r>
          </w:p>
        </w:tc>
        <w:tc>
          <w:tcPr>
            <w:tcW w:w="1811" w:type="dxa"/>
          </w:tcPr>
          <w:p w14:paraId="2C322E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1445</w:t>
            </w:r>
          </w:p>
        </w:tc>
        <w:tc>
          <w:tcPr>
            <w:tcW w:w="1213" w:type="dxa"/>
          </w:tcPr>
          <w:p w14:paraId="1C288F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912</w:t>
            </w:r>
          </w:p>
        </w:tc>
      </w:tr>
      <w:tr w:rsidR="006F4095" w:rsidRPr="008127F8" w14:paraId="18C7B483" w14:textId="77777777">
        <w:tc>
          <w:tcPr>
            <w:tcW w:w="1384" w:type="dxa"/>
          </w:tcPr>
          <w:p w14:paraId="1D5D86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14.09-20.09</w:t>
            </w:r>
          </w:p>
        </w:tc>
        <w:tc>
          <w:tcPr>
            <w:tcW w:w="1235" w:type="dxa"/>
          </w:tcPr>
          <w:p w14:paraId="27F85F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c>
          <w:tcPr>
            <w:tcW w:w="945" w:type="dxa"/>
          </w:tcPr>
          <w:p w14:paraId="7E6331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757" w:type="dxa"/>
          </w:tcPr>
          <w:p w14:paraId="3E63ED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1053" w:type="dxa"/>
          </w:tcPr>
          <w:p w14:paraId="1A95C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53" w:type="dxa"/>
          </w:tcPr>
          <w:p w14:paraId="003E47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74,1</w:t>
            </w:r>
          </w:p>
        </w:tc>
        <w:tc>
          <w:tcPr>
            <w:tcW w:w="1811" w:type="dxa"/>
          </w:tcPr>
          <w:p w14:paraId="703CE4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1510</w:t>
            </w:r>
          </w:p>
        </w:tc>
        <w:tc>
          <w:tcPr>
            <w:tcW w:w="1213" w:type="dxa"/>
          </w:tcPr>
          <w:p w14:paraId="6B1ED4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948</w:t>
            </w:r>
          </w:p>
        </w:tc>
      </w:tr>
      <w:tr w:rsidR="006F4095" w:rsidRPr="008127F8" w14:paraId="7F2DC4F5" w14:textId="77777777">
        <w:tc>
          <w:tcPr>
            <w:tcW w:w="1384" w:type="dxa"/>
          </w:tcPr>
          <w:p w14:paraId="4064BC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21.09-27.09</w:t>
            </w:r>
          </w:p>
        </w:tc>
        <w:tc>
          <w:tcPr>
            <w:tcW w:w="1235" w:type="dxa"/>
          </w:tcPr>
          <w:p w14:paraId="73A0CC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945" w:type="dxa"/>
          </w:tcPr>
          <w:p w14:paraId="7AE16F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757" w:type="dxa"/>
          </w:tcPr>
          <w:p w14:paraId="35738A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053" w:type="dxa"/>
          </w:tcPr>
          <w:p w14:paraId="2C8ECF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7DBB15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87,5</w:t>
            </w:r>
          </w:p>
        </w:tc>
        <w:tc>
          <w:tcPr>
            <w:tcW w:w="1811" w:type="dxa"/>
          </w:tcPr>
          <w:p w14:paraId="0D292C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1578</w:t>
            </w:r>
          </w:p>
        </w:tc>
        <w:tc>
          <w:tcPr>
            <w:tcW w:w="1213" w:type="dxa"/>
          </w:tcPr>
          <w:p w14:paraId="7F8DD4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983</w:t>
            </w:r>
          </w:p>
        </w:tc>
      </w:tr>
      <w:tr w:rsidR="006F4095" w:rsidRPr="008127F8" w14:paraId="428BFBCD" w14:textId="77777777">
        <w:tc>
          <w:tcPr>
            <w:tcW w:w="1384" w:type="dxa"/>
          </w:tcPr>
          <w:p w14:paraId="19E9F4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28.09-04.10</w:t>
            </w:r>
          </w:p>
        </w:tc>
        <w:tc>
          <w:tcPr>
            <w:tcW w:w="1235" w:type="dxa"/>
          </w:tcPr>
          <w:p w14:paraId="3F6111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945" w:type="dxa"/>
          </w:tcPr>
          <w:p w14:paraId="09E72C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757" w:type="dxa"/>
          </w:tcPr>
          <w:p w14:paraId="049DBF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1053" w:type="dxa"/>
          </w:tcPr>
          <w:p w14:paraId="32C7A7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306DEC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77,9</w:t>
            </w:r>
          </w:p>
        </w:tc>
        <w:tc>
          <w:tcPr>
            <w:tcW w:w="1811" w:type="dxa"/>
          </w:tcPr>
          <w:p w14:paraId="041567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1640</w:t>
            </w:r>
          </w:p>
        </w:tc>
        <w:tc>
          <w:tcPr>
            <w:tcW w:w="1213" w:type="dxa"/>
          </w:tcPr>
          <w:p w14:paraId="44210A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1026</w:t>
            </w:r>
          </w:p>
        </w:tc>
      </w:tr>
      <w:tr w:rsidR="006F4095" w:rsidRPr="008127F8" w14:paraId="3ECB7D15" w14:textId="77777777">
        <w:tc>
          <w:tcPr>
            <w:tcW w:w="1384" w:type="dxa"/>
          </w:tcPr>
          <w:p w14:paraId="0F47C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05.10-11.10</w:t>
            </w:r>
          </w:p>
        </w:tc>
        <w:tc>
          <w:tcPr>
            <w:tcW w:w="1235" w:type="dxa"/>
          </w:tcPr>
          <w:p w14:paraId="4FD85F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945" w:type="dxa"/>
          </w:tcPr>
          <w:p w14:paraId="3AE172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757" w:type="dxa"/>
          </w:tcPr>
          <w:p w14:paraId="75F754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053" w:type="dxa"/>
          </w:tcPr>
          <w:p w14:paraId="2C7DB6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053" w:type="dxa"/>
          </w:tcPr>
          <w:p w14:paraId="6DE0B7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83,3</w:t>
            </w:r>
          </w:p>
        </w:tc>
        <w:tc>
          <w:tcPr>
            <w:tcW w:w="1811" w:type="dxa"/>
          </w:tcPr>
          <w:p w14:paraId="60EDD7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1713</w:t>
            </w:r>
          </w:p>
        </w:tc>
        <w:tc>
          <w:tcPr>
            <w:tcW w:w="1213" w:type="dxa"/>
          </w:tcPr>
          <w:p w14:paraId="1F6347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1076</w:t>
            </w:r>
          </w:p>
        </w:tc>
      </w:tr>
      <w:tr w:rsidR="006F4095" w:rsidRPr="008127F8" w14:paraId="2B21CBC0" w14:textId="77777777">
        <w:tc>
          <w:tcPr>
            <w:tcW w:w="1384" w:type="dxa"/>
          </w:tcPr>
          <w:p w14:paraId="1F8A5F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12.10-18.10</w:t>
            </w:r>
          </w:p>
        </w:tc>
        <w:tc>
          <w:tcPr>
            <w:tcW w:w="1235" w:type="dxa"/>
          </w:tcPr>
          <w:p w14:paraId="1A8364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w:t>
            </w:r>
          </w:p>
        </w:tc>
        <w:tc>
          <w:tcPr>
            <w:tcW w:w="945" w:type="dxa"/>
          </w:tcPr>
          <w:p w14:paraId="3DB45B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757" w:type="dxa"/>
          </w:tcPr>
          <w:p w14:paraId="4B3A0E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053" w:type="dxa"/>
          </w:tcPr>
          <w:p w14:paraId="0D389B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53" w:type="dxa"/>
          </w:tcPr>
          <w:p w14:paraId="4FA3F5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69,7</w:t>
            </w:r>
          </w:p>
        </w:tc>
        <w:tc>
          <w:tcPr>
            <w:tcW w:w="1811" w:type="dxa"/>
          </w:tcPr>
          <w:p w14:paraId="600029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1783</w:t>
            </w:r>
          </w:p>
        </w:tc>
        <w:tc>
          <w:tcPr>
            <w:tcW w:w="1213" w:type="dxa"/>
          </w:tcPr>
          <w:p w14:paraId="014E12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1118</w:t>
            </w:r>
          </w:p>
        </w:tc>
      </w:tr>
      <w:tr w:rsidR="006F4095" w:rsidRPr="008127F8" w14:paraId="23B6E0FE" w14:textId="77777777">
        <w:tc>
          <w:tcPr>
            <w:tcW w:w="1384" w:type="dxa"/>
          </w:tcPr>
          <w:p w14:paraId="4A9257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19.10-25.10</w:t>
            </w:r>
          </w:p>
        </w:tc>
        <w:tc>
          <w:tcPr>
            <w:tcW w:w="1235" w:type="dxa"/>
          </w:tcPr>
          <w:p w14:paraId="6B2710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945" w:type="dxa"/>
          </w:tcPr>
          <w:p w14:paraId="54BD95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757" w:type="dxa"/>
          </w:tcPr>
          <w:p w14:paraId="081AF6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053" w:type="dxa"/>
          </w:tcPr>
          <w:p w14:paraId="0D7A0B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053" w:type="dxa"/>
          </w:tcPr>
          <w:p w14:paraId="1E0EAA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59,7</w:t>
            </w:r>
          </w:p>
        </w:tc>
        <w:tc>
          <w:tcPr>
            <w:tcW w:w="1811" w:type="dxa"/>
          </w:tcPr>
          <w:p w14:paraId="339FCF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1826</w:t>
            </w:r>
          </w:p>
        </w:tc>
        <w:tc>
          <w:tcPr>
            <w:tcW w:w="1213" w:type="dxa"/>
          </w:tcPr>
          <w:p w14:paraId="14F8B1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1155</w:t>
            </w:r>
          </w:p>
        </w:tc>
      </w:tr>
      <w:tr w:rsidR="006F4095" w:rsidRPr="008127F8" w14:paraId="1EE37A06" w14:textId="77777777">
        <w:tc>
          <w:tcPr>
            <w:tcW w:w="1384" w:type="dxa"/>
          </w:tcPr>
          <w:p w14:paraId="39E23A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26.10-01.11</w:t>
            </w:r>
          </w:p>
        </w:tc>
        <w:tc>
          <w:tcPr>
            <w:tcW w:w="1235" w:type="dxa"/>
          </w:tcPr>
          <w:p w14:paraId="36DAE7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945" w:type="dxa"/>
          </w:tcPr>
          <w:p w14:paraId="06FEA2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757" w:type="dxa"/>
          </w:tcPr>
          <w:p w14:paraId="719B4A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053" w:type="dxa"/>
          </w:tcPr>
          <w:p w14:paraId="6D9072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5981EF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67,3</w:t>
            </w:r>
          </w:p>
        </w:tc>
        <w:tc>
          <w:tcPr>
            <w:tcW w:w="1811" w:type="dxa"/>
          </w:tcPr>
          <w:p w14:paraId="68DF13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1889</w:t>
            </w:r>
          </w:p>
        </w:tc>
        <w:tc>
          <w:tcPr>
            <w:tcW w:w="1213" w:type="dxa"/>
          </w:tcPr>
          <w:p w14:paraId="510DF1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1198</w:t>
            </w:r>
          </w:p>
        </w:tc>
      </w:tr>
      <w:tr w:rsidR="006F4095" w:rsidRPr="008127F8" w14:paraId="0F80AD71" w14:textId="77777777">
        <w:tc>
          <w:tcPr>
            <w:tcW w:w="1384" w:type="dxa"/>
          </w:tcPr>
          <w:p w14:paraId="17CCF6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02.11-08.11</w:t>
            </w:r>
          </w:p>
        </w:tc>
        <w:tc>
          <w:tcPr>
            <w:tcW w:w="1235" w:type="dxa"/>
          </w:tcPr>
          <w:p w14:paraId="2D1FEA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945" w:type="dxa"/>
          </w:tcPr>
          <w:p w14:paraId="3C7B69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757" w:type="dxa"/>
          </w:tcPr>
          <w:p w14:paraId="659323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053" w:type="dxa"/>
          </w:tcPr>
          <w:p w14:paraId="58CCF6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053" w:type="dxa"/>
          </w:tcPr>
          <w:p w14:paraId="4A09EA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62,3</w:t>
            </w:r>
          </w:p>
        </w:tc>
        <w:tc>
          <w:tcPr>
            <w:tcW w:w="1811" w:type="dxa"/>
          </w:tcPr>
          <w:p w14:paraId="7980E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1948</w:t>
            </w:r>
          </w:p>
        </w:tc>
        <w:tc>
          <w:tcPr>
            <w:tcW w:w="1213" w:type="dxa"/>
          </w:tcPr>
          <w:p w14:paraId="6078A5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1242</w:t>
            </w:r>
          </w:p>
        </w:tc>
      </w:tr>
      <w:tr w:rsidR="006F4095" w:rsidRPr="008127F8" w14:paraId="327FAE3F" w14:textId="77777777">
        <w:tc>
          <w:tcPr>
            <w:tcW w:w="1384" w:type="dxa"/>
          </w:tcPr>
          <w:p w14:paraId="568A6F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09.11-15.11</w:t>
            </w:r>
          </w:p>
        </w:tc>
        <w:tc>
          <w:tcPr>
            <w:tcW w:w="1235" w:type="dxa"/>
          </w:tcPr>
          <w:p w14:paraId="17E2F0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945" w:type="dxa"/>
          </w:tcPr>
          <w:p w14:paraId="78329C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757" w:type="dxa"/>
          </w:tcPr>
          <w:p w14:paraId="48A9AC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053" w:type="dxa"/>
          </w:tcPr>
          <w:p w14:paraId="304F06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053" w:type="dxa"/>
          </w:tcPr>
          <w:p w14:paraId="62BC40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72,7</w:t>
            </w:r>
          </w:p>
        </w:tc>
        <w:tc>
          <w:tcPr>
            <w:tcW w:w="1811" w:type="dxa"/>
          </w:tcPr>
          <w:p w14:paraId="6B1359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1979</w:t>
            </w:r>
          </w:p>
        </w:tc>
        <w:tc>
          <w:tcPr>
            <w:tcW w:w="1213" w:type="dxa"/>
          </w:tcPr>
          <w:p w14:paraId="605B88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1280</w:t>
            </w:r>
          </w:p>
        </w:tc>
      </w:tr>
      <w:tr w:rsidR="006F4095" w:rsidRPr="008127F8" w14:paraId="1C924377" w14:textId="77777777">
        <w:tc>
          <w:tcPr>
            <w:tcW w:w="1384" w:type="dxa"/>
          </w:tcPr>
          <w:p w14:paraId="674C77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16.11-22.11</w:t>
            </w:r>
          </w:p>
        </w:tc>
        <w:tc>
          <w:tcPr>
            <w:tcW w:w="1235" w:type="dxa"/>
          </w:tcPr>
          <w:p w14:paraId="7BA2E0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945" w:type="dxa"/>
          </w:tcPr>
          <w:p w14:paraId="32868B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757" w:type="dxa"/>
          </w:tcPr>
          <w:p w14:paraId="6EAA67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1A51CE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4F6725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64,0</w:t>
            </w:r>
          </w:p>
        </w:tc>
        <w:tc>
          <w:tcPr>
            <w:tcW w:w="1811" w:type="dxa"/>
          </w:tcPr>
          <w:p w14:paraId="430EA8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2026</w:t>
            </w:r>
          </w:p>
        </w:tc>
        <w:tc>
          <w:tcPr>
            <w:tcW w:w="1213" w:type="dxa"/>
          </w:tcPr>
          <w:p w14:paraId="2452EE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1305</w:t>
            </w:r>
          </w:p>
        </w:tc>
      </w:tr>
      <w:tr w:rsidR="006F4095" w:rsidRPr="008127F8" w14:paraId="250D02E0" w14:textId="77777777">
        <w:tc>
          <w:tcPr>
            <w:tcW w:w="1384" w:type="dxa"/>
          </w:tcPr>
          <w:p w14:paraId="3232DA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23.11-29.11</w:t>
            </w:r>
          </w:p>
        </w:tc>
        <w:tc>
          <w:tcPr>
            <w:tcW w:w="1235" w:type="dxa"/>
          </w:tcPr>
          <w:p w14:paraId="63F97D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945" w:type="dxa"/>
          </w:tcPr>
          <w:p w14:paraId="7545B2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757" w:type="dxa"/>
          </w:tcPr>
          <w:p w14:paraId="0DDAB4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53" w:type="dxa"/>
          </w:tcPr>
          <w:p w14:paraId="1A458F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53" w:type="dxa"/>
          </w:tcPr>
          <w:p w14:paraId="799A35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67,8</w:t>
            </w:r>
          </w:p>
        </w:tc>
        <w:tc>
          <w:tcPr>
            <w:tcW w:w="1811" w:type="dxa"/>
          </w:tcPr>
          <w:p w14:paraId="2C13E6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2055</w:t>
            </w:r>
          </w:p>
        </w:tc>
        <w:tc>
          <w:tcPr>
            <w:tcW w:w="1213" w:type="dxa"/>
          </w:tcPr>
          <w:p w14:paraId="127B73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1330</w:t>
            </w:r>
          </w:p>
        </w:tc>
      </w:tr>
      <w:tr w:rsidR="006F4095" w:rsidRPr="008127F8" w14:paraId="6B19FE06" w14:textId="77777777">
        <w:tc>
          <w:tcPr>
            <w:tcW w:w="1384" w:type="dxa"/>
          </w:tcPr>
          <w:p w14:paraId="7F3421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30.11-06.12</w:t>
            </w:r>
          </w:p>
        </w:tc>
        <w:tc>
          <w:tcPr>
            <w:tcW w:w="1235" w:type="dxa"/>
          </w:tcPr>
          <w:p w14:paraId="0DFA86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945" w:type="dxa"/>
          </w:tcPr>
          <w:p w14:paraId="5F1485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757" w:type="dxa"/>
          </w:tcPr>
          <w:p w14:paraId="3150A3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053" w:type="dxa"/>
          </w:tcPr>
          <w:p w14:paraId="7DA443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053" w:type="dxa"/>
          </w:tcPr>
          <w:p w14:paraId="21C4E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53,3</w:t>
            </w:r>
          </w:p>
        </w:tc>
        <w:tc>
          <w:tcPr>
            <w:tcW w:w="1811" w:type="dxa"/>
          </w:tcPr>
          <w:p w14:paraId="191801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2081</w:t>
            </w:r>
          </w:p>
        </w:tc>
        <w:tc>
          <w:tcPr>
            <w:tcW w:w="1213" w:type="dxa"/>
          </w:tcPr>
          <w:p w14:paraId="490F4D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1344</w:t>
            </w:r>
          </w:p>
        </w:tc>
      </w:tr>
      <w:tr w:rsidR="006F4095" w:rsidRPr="008127F8" w14:paraId="3AC07E48" w14:textId="77777777">
        <w:tc>
          <w:tcPr>
            <w:tcW w:w="1384" w:type="dxa"/>
          </w:tcPr>
          <w:p w14:paraId="5F332B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07.12-13.12</w:t>
            </w:r>
          </w:p>
        </w:tc>
        <w:tc>
          <w:tcPr>
            <w:tcW w:w="1235" w:type="dxa"/>
          </w:tcPr>
          <w:p w14:paraId="491ADE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945" w:type="dxa"/>
          </w:tcPr>
          <w:p w14:paraId="26DE33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757" w:type="dxa"/>
          </w:tcPr>
          <w:p w14:paraId="355837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053" w:type="dxa"/>
          </w:tcPr>
          <w:p w14:paraId="144DB7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053" w:type="dxa"/>
          </w:tcPr>
          <w:p w14:paraId="048B2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65,6</w:t>
            </w:r>
          </w:p>
        </w:tc>
        <w:tc>
          <w:tcPr>
            <w:tcW w:w="1811" w:type="dxa"/>
          </w:tcPr>
          <w:p w14:paraId="68E7BC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2110</w:t>
            </w:r>
          </w:p>
        </w:tc>
        <w:tc>
          <w:tcPr>
            <w:tcW w:w="1213" w:type="dxa"/>
          </w:tcPr>
          <w:p w14:paraId="1D28A1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1366</w:t>
            </w:r>
          </w:p>
        </w:tc>
      </w:tr>
      <w:tr w:rsidR="006F4095" w:rsidRPr="008127F8" w14:paraId="46AF24F2" w14:textId="77777777">
        <w:tc>
          <w:tcPr>
            <w:tcW w:w="1384" w:type="dxa"/>
          </w:tcPr>
          <w:p w14:paraId="05B967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14.12-20.12</w:t>
            </w:r>
          </w:p>
        </w:tc>
        <w:tc>
          <w:tcPr>
            <w:tcW w:w="1235" w:type="dxa"/>
          </w:tcPr>
          <w:p w14:paraId="34BCB1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945" w:type="dxa"/>
          </w:tcPr>
          <w:p w14:paraId="460425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757" w:type="dxa"/>
          </w:tcPr>
          <w:p w14:paraId="280D3E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1F1B27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53" w:type="dxa"/>
          </w:tcPr>
          <w:p w14:paraId="6FCAF1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58,2</w:t>
            </w:r>
          </w:p>
        </w:tc>
        <w:tc>
          <w:tcPr>
            <w:tcW w:w="1811" w:type="dxa"/>
          </w:tcPr>
          <w:p w14:paraId="579D8C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2151</w:t>
            </w:r>
          </w:p>
        </w:tc>
        <w:tc>
          <w:tcPr>
            <w:tcW w:w="1213" w:type="dxa"/>
          </w:tcPr>
          <w:p w14:paraId="52273F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1379</w:t>
            </w:r>
          </w:p>
        </w:tc>
      </w:tr>
      <w:tr w:rsidR="006F4095" w:rsidRPr="008127F8" w14:paraId="5131A690" w14:textId="77777777">
        <w:tc>
          <w:tcPr>
            <w:tcW w:w="1384" w:type="dxa"/>
          </w:tcPr>
          <w:p w14:paraId="482926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21.12-27.12</w:t>
            </w:r>
          </w:p>
        </w:tc>
        <w:tc>
          <w:tcPr>
            <w:tcW w:w="1235" w:type="dxa"/>
          </w:tcPr>
          <w:p w14:paraId="6DC89D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945" w:type="dxa"/>
          </w:tcPr>
          <w:p w14:paraId="444B8A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757" w:type="dxa"/>
          </w:tcPr>
          <w:p w14:paraId="20FFDF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053" w:type="dxa"/>
          </w:tcPr>
          <w:p w14:paraId="13244F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053" w:type="dxa"/>
          </w:tcPr>
          <w:p w14:paraId="72F788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58,3</w:t>
            </w:r>
          </w:p>
        </w:tc>
        <w:tc>
          <w:tcPr>
            <w:tcW w:w="1811" w:type="dxa"/>
          </w:tcPr>
          <w:p w14:paraId="1D2AE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2178</w:t>
            </w:r>
          </w:p>
        </w:tc>
        <w:tc>
          <w:tcPr>
            <w:tcW w:w="1213" w:type="dxa"/>
          </w:tcPr>
          <w:p w14:paraId="12FB63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1406</w:t>
            </w:r>
          </w:p>
        </w:tc>
      </w:tr>
      <w:tr w:rsidR="006F4095" w:rsidRPr="008127F8" w14:paraId="18718680" w14:textId="77777777">
        <w:tc>
          <w:tcPr>
            <w:tcW w:w="1384" w:type="dxa"/>
          </w:tcPr>
          <w:p w14:paraId="78CFC7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28.12-03.01.42 г.</w:t>
            </w:r>
          </w:p>
        </w:tc>
        <w:tc>
          <w:tcPr>
            <w:tcW w:w="1235" w:type="dxa"/>
          </w:tcPr>
          <w:p w14:paraId="562122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945" w:type="dxa"/>
          </w:tcPr>
          <w:p w14:paraId="50331E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757" w:type="dxa"/>
          </w:tcPr>
          <w:p w14:paraId="54165E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053" w:type="dxa"/>
          </w:tcPr>
          <w:p w14:paraId="793ECC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053" w:type="dxa"/>
          </w:tcPr>
          <w:p w14:paraId="7946FD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65,5</w:t>
            </w:r>
          </w:p>
        </w:tc>
        <w:tc>
          <w:tcPr>
            <w:tcW w:w="1811" w:type="dxa"/>
          </w:tcPr>
          <w:p w14:paraId="3367AF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2213</w:t>
            </w:r>
          </w:p>
        </w:tc>
        <w:tc>
          <w:tcPr>
            <w:tcW w:w="1213" w:type="dxa"/>
          </w:tcPr>
          <w:p w14:paraId="2BB9F8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1435</w:t>
            </w:r>
          </w:p>
        </w:tc>
      </w:tr>
      <w:tr w:rsidR="006F4095" w:rsidRPr="008127F8" w14:paraId="1DEACF83" w14:textId="77777777">
        <w:tc>
          <w:tcPr>
            <w:tcW w:w="1384" w:type="dxa"/>
          </w:tcPr>
          <w:p w14:paraId="564194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 (3573).</w:t>
            </w:r>
          </w:p>
        </w:tc>
        <w:tc>
          <w:tcPr>
            <w:tcW w:w="1235" w:type="dxa"/>
          </w:tcPr>
          <w:p w14:paraId="2CFAF2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24776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7AAB08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0E7FF6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5E1317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1D73A1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3" w:type="dxa"/>
          </w:tcPr>
          <w:p w14:paraId="781021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9A51CCE" w14:textId="77777777">
        <w:tc>
          <w:tcPr>
            <w:tcW w:w="1384" w:type="dxa"/>
          </w:tcPr>
          <w:p w14:paraId="5427A0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04.01-10.01</w:t>
            </w:r>
          </w:p>
        </w:tc>
        <w:tc>
          <w:tcPr>
            <w:tcW w:w="1235" w:type="dxa"/>
          </w:tcPr>
          <w:p w14:paraId="0F4A9B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945" w:type="dxa"/>
          </w:tcPr>
          <w:p w14:paraId="3C399B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757" w:type="dxa"/>
          </w:tcPr>
          <w:p w14:paraId="0909EE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053" w:type="dxa"/>
          </w:tcPr>
          <w:p w14:paraId="5D0D2C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053" w:type="dxa"/>
          </w:tcPr>
          <w:p w14:paraId="5D7522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69,6</w:t>
            </w:r>
          </w:p>
        </w:tc>
        <w:tc>
          <w:tcPr>
            <w:tcW w:w="1811" w:type="dxa"/>
          </w:tcPr>
          <w:p w14:paraId="71A854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2259</w:t>
            </w:r>
          </w:p>
        </w:tc>
        <w:tc>
          <w:tcPr>
            <w:tcW w:w="1213" w:type="dxa"/>
          </w:tcPr>
          <w:p w14:paraId="61C124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1475</w:t>
            </w:r>
          </w:p>
        </w:tc>
      </w:tr>
      <w:tr w:rsidR="006F4095" w:rsidRPr="008127F8" w14:paraId="33F44A1E" w14:textId="77777777">
        <w:tc>
          <w:tcPr>
            <w:tcW w:w="1384" w:type="dxa"/>
          </w:tcPr>
          <w:p w14:paraId="5E4ED8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11.01-17.01</w:t>
            </w:r>
          </w:p>
        </w:tc>
        <w:tc>
          <w:tcPr>
            <w:tcW w:w="1235" w:type="dxa"/>
          </w:tcPr>
          <w:p w14:paraId="11E446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945" w:type="dxa"/>
          </w:tcPr>
          <w:p w14:paraId="7D7DE0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757" w:type="dxa"/>
          </w:tcPr>
          <w:p w14:paraId="6128AB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053" w:type="dxa"/>
          </w:tcPr>
          <w:p w14:paraId="703A86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053" w:type="dxa"/>
          </w:tcPr>
          <w:p w14:paraId="10368C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811" w:type="dxa"/>
          </w:tcPr>
          <w:p w14:paraId="17C17E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213" w:type="dxa"/>
          </w:tcPr>
          <w:p w14:paraId="752F55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1493</w:t>
            </w:r>
          </w:p>
        </w:tc>
      </w:tr>
      <w:tr w:rsidR="006F4095" w:rsidRPr="008127F8" w14:paraId="30EE4125" w14:textId="77777777">
        <w:tc>
          <w:tcPr>
            <w:tcW w:w="1384" w:type="dxa"/>
          </w:tcPr>
          <w:p w14:paraId="3DCC31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18.01-24.01</w:t>
            </w:r>
          </w:p>
        </w:tc>
        <w:tc>
          <w:tcPr>
            <w:tcW w:w="1235" w:type="dxa"/>
          </w:tcPr>
          <w:p w14:paraId="5DA305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945" w:type="dxa"/>
          </w:tcPr>
          <w:p w14:paraId="521A65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757" w:type="dxa"/>
          </w:tcPr>
          <w:p w14:paraId="59A811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1053" w:type="dxa"/>
          </w:tcPr>
          <w:p w14:paraId="1FAF08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053" w:type="dxa"/>
          </w:tcPr>
          <w:p w14:paraId="18E44B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79,7</w:t>
            </w:r>
          </w:p>
        </w:tc>
        <w:tc>
          <w:tcPr>
            <w:tcW w:w="1811" w:type="dxa"/>
          </w:tcPr>
          <w:p w14:paraId="091EC2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2350</w:t>
            </w:r>
          </w:p>
        </w:tc>
        <w:tc>
          <w:tcPr>
            <w:tcW w:w="1213" w:type="dxa"/>
          </w:tcPr>
          <w:p w14:paraId="7C179C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1522</w:t>
            </w:r>
          </w:p>
        </w:tc>
      </w:tr>
      <w:tr w:rsidR="006F4095" w:rsidRPr="008127F8" w14:paraId="42DD3E6D" w14:textId="77777777">
        <w:tc>
          <w:tcPr>
            <w:tcW w:w="1384" w:type="dxa"/>
          </w:tcPr>
          <w:p w14:paraId="3F45FA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25.01-31.01</w:t>
            </w:r>
          </w:p>
        </w:tc>
        <w:tc>
          <w:tcPr>
            <w:tcW w:w="1235" w:type="dxa"/>
          </w:tcPr>
          <w:p w14:paraId="7AB8A2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945" w:type="dxa"/>
          </w:tcPr>
          <w:p w14:paraId="183EF6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757" w:type="dxa"/>
          </w:tcPr>
          <w:p w14:paraId="4274D3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053" w:type="dxa"/>
          </w:tcPr>
          <w:p w14:paraId="16D791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053" w:type="dxa"/>
          </w:tcPr>
          <w:p w14:paraId="66E9BE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58,7</w:t>
            </w:r>
          </w:p>
        </w:tc>
        <w:tc>
          <w:tcPr>
            <w:tcW w:w="1811" w:type="dxa"/>
          </w:tcPr>
          <w:p w14:paraId="304682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2381</w:t>
            </w:r>
          </w:p>
        </w:tc>
        <w:tc>
          <w:tcPr>
            <w:tcW w:w="1213" w:type="dxa"/>
          </w:tcPr>
          <w:p w14:paraId="1C033A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1539</w:t>
            </w:r>
          </w:p>
        </w:tc>
      </w:tr>
      <w:tr w:rsidR="006F4095" w:rsidRPr="008127F8" w14:paraId="159316F5" w14:textId="77777777">
        <w:tc>
          <w:tcPr>
            <w:tcW w:w="1384" w:type="dxa"/>
          </w:tcPr>
          <w:p w14:paraId="3CB0AB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01.02-07.02</w:t>
            </w:r>
          </w:p>
        </w:tc>
        <w:tc>
          <w:tcPr>
            <w:tcW w:w="1235" w:type="dxa"/>
          </w:tcPr>
          <w:p w14:paraId="60AC2C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945" w:type="dxa"/>
          </w:tcPr>
          <w:p w14:paraId="483B44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757" w:type="dxa"/>
          </w:tcPr>
          <w:p w14:paraId="24BE4B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053" w:type="dxa"/>
          </w:tcPr>
          <w:p w14:paraId="3367C3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053" w:type="dxa"/>
          </w:tcPr>
          <w:p w14:paraId="2ECB28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68,6</w:t>
            </w:r>
          </w:p>
        </w:tc>
        <w:tc>
          <w:tcPr>
            <w:tcW w:w="1811" w:type="dxa"/>
          </w:tcPr>
          <w:p w14:paraId="42D32B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2428</w:t>
            </w:r>
          </w:p>
        </w:tc>
        <w:tc>
          <w:tcPr>
            <w:tcW w:w="1213" w:type="dxa"/>
          </w:tcPr>
          <w:p w14:paraId="3A381B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1567</w:t>
            </w:r>
          </w:p>
        </w:tc>
      </w:tr>
      <w:tr w:rsidR="006F4095" w:rsidRPr="008127F8" w14:paraId="0D9DA858" w14:textId="77777777">
        <w:tc>
          <w:tcPr>
            <w:tcW w:w="1384" w:type="dxa"/>
          </w:tcPr>
          <w:p w14:paraId="46E464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08.02-14.02</w:t>
            </w:r>
          </w:p>
        </w:tc>
        <w:tc>
          <w:tcPr>
            <w:tcW w:w="1235" w:type="dxa"/>
          </w:tcPr>
          <w:p w14:paraId="42F66E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945" w:type="dxa"/>
          </w:tcPr>
          <w:p w14:paraId="030B4C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757" w:type="dxa"/>
          </w:tcPr>
          <w:p w14:paraId="637063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053" w:type="dxa"/>
          </w:tcPr>
          <w:p w14:paraId="69AC30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053" w:type="dxa"/>
          </w:tcPr>
          <w:p w14:paraId="0DC5C5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52,6</w:t>
            </w:r>
          </w:p>
        </w:tc>
        <w:tc>
          <w:tcPr>
            <w:tcW w:w="1811" w:type="dxa"/>
          </w:tcPr>
          <w:p w14:paraId="773C5C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2482</w:t>
            </w:r>
          </w:p>
        </w:tc>
        <w:tc>
          <w:tcPr>
            <w:tcW w:w="1213" w:type="dxa"/>
          </w:tcPr>
          <w:p w14:paraId="61BC3D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1606</w:t>
            </w:r>
          </w:p>
        </w:tc>
      </w:tr>
      <w:tr w:rsidR="006F4095" w:rsidRPr="008127F8" w14:paraId="4B68B318" w14:textId="77777777">
        <w:tc>
          <w:tcPr>
            <w:tcW w:w="1384" w:type="dxa"/>
          </w:tcPr>
          <w:p w14:paraId="744FE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15.02-21.02</w:t>
            </w:r>
          </w:p>
        </w:tc>
        <w:tc>
          <w:tcPr>
            <w:tcW w:w="1235" w:type="dxa"/>
          </w:tcPr>
          <w:p w14:paraId="38EE67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945" w:type="dxa"/>
          </w:tcPr>
          <w:p w14:paraId="2CFBDA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757" w:type="dxa"/>
          </w:tcPr>
          <w:p w14:paraId="54F7F2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053" w:type="dxa"/>
          </w:tcPr>
          <w:p w14:paraId="472D3C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053" w:type="dxa"/>
          </w:tcPr>
          <w:p w14:paraId="2D709B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77,9</w:t>
            </w:r>
          </w:p>
        </w:tc>
        <w:tc>
          <w:tcPr>
            <w:tcW w:w="1811" w:type="dxa"/>
          </w:tcPr>
          <w:p w14:paraId="540DBC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2525</w:t>
            </w:r>
          </w:p>
        </w:tc>
        <w:tc>
          <w:tcPr>
            <w:tcW w:w="1213" w:type="dxa"/>
          </w:tcPr>
          <w:p w14:paraId="2DFFDA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1634</w:t>
            </w:r>
          </w:p>
        </w:tc>
      </w:tr>
      <w:tr w:rsidR="006F4095" w:rsidRPr="008127F8" w14:paraId="668B059A" w14:textId="77777777">
        <w:tc>
          <w:tcPr>
            <w:tcW w:w="1384" w:type="dxa"/>
          </w:tcPr>
          <w:p w14:paraId="0AAB77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22.02-28.02</w:t>
            </w:r>
          </w:p>
        </w:tc>
        <w:tc>
          <w:tcPr>
            <w:tcW w:w="1235" w:type="dxa"/>
          </w:tcPr>
          <w:p w14:paraId="6F26D7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w:t>
            </w:r>
          </w:p>
        </w:tc>
        <w:tc>
          <w:tcPr>
            <w:tcW w:w="945" w:type="dxa"/>
          </w:tcPr>
          <w:p w14:paraId="401FE1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757" w:type="dxa"/>
          </w:tcPr>
          <w:p w14:paraId="2218BF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1053" w:type="dxa"/>
          </w:tcPr>
          <w:p w14:paraId="2A696A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c>
          <w:tcPr>
            <w:tcW w:w="1053" w:type="dxa"/>
          </w:tcPr>
          <w:p w14:paraId="292F05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69,9</w:t>
            </w:r>
          </w:p>
        </w:tc>
        <w:tc>
          <w:tcPr>
            <w:tcW w:w="1811" w:type="dxa"/>
          </w:tcPr>
          <w:p w14:paraId="0BED53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2547</w:t>
            </w:r>
          </w:p>
        </w:tc>
        <w:tc>
          <w:tcPr>
            <w:tcW w:w="1213" w:type="dxa"/>
          </w:tcPr>
          <w:p w14:paraId="2ABB17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1691</w:t>
            </w:r>
          </w:p>
        </w:tc>
      </w:tr>
      <w:tr w:rsidR="006F4095" w:rsidRPr="008127F8" w14:paraId="3DF97108" w14:textId="77777777">
        <w:tc>
          <w:tcPr>
            <w:tcW w:w="1384" w:type="dxa"/>
          </w:tcPr>
          <w:p w14:paraId="7E62D1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01.03-07.03</w:t>
            </w:r>
          </w:p>
        </w:tc>
        <w:tc>
          <w:tcPr>
            <w:tcW w:w="1235" w:type="dxa"/>
          </w:tcPr>
          <w:p w14:paraId="300C96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945" w:type="dxa"/>
          </w:tcPr>
          <w:p w14:paraId="6DF126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757" w:type="dxa"/>
          </w:tcPr>
          <w:p w14:paraId="575950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w:t>
            </w:r>
          </w:p>
        </w:tc>
        <w:tc>
          <w:tcPr>
            <w:tcW w:w="1053" w:type="dxa"/>
          </w:tcPr>
          <w:p w14:paraId="186742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1053" w:type="dxa"/>
          </w:tcPr>
          <w:p w14:paraId="4C6347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80,5</w:t>
            </w:r>
          </w:p>
        </w:tc>
        <w:tc>
          <w:tcPr>
            <w:tcW w:w="1811" w:type="dxa"/>
          </w:tcPr>
          <w:p w14:paraId="17B874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2650</w:t>
            </w:r>
          </w:p>
        </w:tc>
        <w:tc>
          <w:tcPr>
            <w:tcW w:w="1213" w:type="dxa"/>
          </w:tcPr>
          <w:p w14:paraId="1A515A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1768</w:t>
            </w:r>
          </w:p>
        </w:tc>
      </w:tr>
      <w:tr w:rsidR="00687FE2" w:rsidRPr="008127F8" w14:paraId="115EDE71" w14:textId="77777777">
        <w:tc>
          <w:tcPr>
            <w:tcW w:w="1384" w:type="dxa"/>
            <w:tcBorders>
              <w:bottom w:val="single" w:sz="12" w:space="0" w:color="auto"/>
            </w:tcBorders>
          </w:tcPr>
          <w:p w14:paraId="257209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08.03-14.03</w:t>
            </w:r>
          </w:p>
        </w:tc>
        <w:tc>
          <w:tcPr>
            <w:tcW w:w="1235" w:type="dxa"/>
            <w:tcBorders>
              <w:bottom w:val="single" w:sz="12" w:space="0" w:color="auto"/>
            </w:tcBorders>
          </w:tcPr>
          <w:p w14:paraId="22E2C2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945" w:type="dxa"/>
            <w:tcBorders>
              <w:bottom w:val="single" w:sz="12" w:space="0" w:color="auto"/>
            </w:tcBorders>
          </w:tcPr>
          <w:p w14:paraId="703E04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757" w:type="dxa"/>
            <w:tcBorders>
              <w:bottom w:val="single" w:sz="12" w:space="0" w:color="auto"/>
            </w:tcBorders>
          </w:tcPr>
          <w:p w14:paraId="1641F8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053" w:type="dxa"/>
            <w:tcBorders>
              <w:bottom w:val="single" w:sz="12" w:space="0" w:color="auto"/>
            </w:tcBorders>
          </w:tcPr>
          <w:p w14:paraId="7BE09D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053" w:type="dxa"/>
            <w:tcBorders>
              <w:bottom w:val="single" w:sz="12" w:space="0" w:color="auto"/>
            </w:tcBorders>
          </w:tcPr>
          <w:p w14:paraId="730C38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53,6</w:t>
            </w:r>
          </w:p>
        </w:tc>
        <w:tc>
          <w:tcPr>
            <w:tcW w:w="1811" w:type="dxa"/>
            <w:tcBorders>
              <w:bottom w:val="single" w:sz="12" w:space="0" w:color="auto"/>
            </w:tcBorders>
          </w:tcPr>
          <w:p w14:paraId="36CD44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2687</w:t>
            </w:r>
          </w:p>
        </w:tc>
        <w:tc>
          <w:tcPr>
            <w:tcW w:w="1213" w:type="dxa"/>
            <w:tcBorders>
              <w:bottom w:val="single" w:sz="12" w:space="0" w:color="auto"/>
            </w:tcBorders>
          </w:tcPr>
          <w:p w14:paraId="7BC6B6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1810 (3573)</w:t>
            </w:r>
          </w:p>
        </w:tc>
      </w:tr>
    </w:tbl>
    <w:p w14:paraId="7F8849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A33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в донесении командующего 30-й армией генерал-лейтенанта Лелюшенко:</w:t>
      </w:r>
    </w:p>
    <w:p w14:paraId="474D79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“...Практика применения в армии собак 1-го Истребительного отряда показала, что при наличии массированного применения противником танков противотанковые собаки являются неотъемлемой частью противотанковой обороны. В период разгрома немцев под Москвой пущенные в атаку танки противника были обращены в бегство собаками истребительного отряда. Противник боится противотанковых собак и специально за ними охотится” (10697).</w:t>
      </w:r>
    </w:p>
    <w:p w14:paraId="022D5F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964A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056F5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A94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года было отправлено:</w:t>
      </w:r>
    </w:p>
    <w:p w14:paraId="2DBC2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У. ЧЕРЧИЛЛЮ *</w:t>
      </w:r>
    </w:p>
    <w:p w14:paraId="2762F4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Очень благодарен Вам за Ваше послание, переданное в Куйбышеве 12 марта.</w:t>
      </w:r>
    </w:p>
    <w:p w14:paraId="1A48E9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Приношу Вам признательность Советского Правительства за сообщения о принятых Вами мерах по обеспечению поставок для СССР и по усилению воздушного наступления на Германию.</w:t>
      </w:r>
    </w:p>
    <w:p w14:paraId="7A3281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Выражаю твердую уверенность в том, что совместные усилия наших войск, несмотря на отдельные неудачи, в конечном счете сломят силы нашего общего врага и что 1942 год будет решающим в повороте событий на фронте борьбы с гитлеризмом.</w:t>
      </w:r>
    </w:p>
    <w:p w14:paraId="7E9C40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первого пункта Вашего послания — о границах СССР, то я думаю, что придется еще обменяться мнениями о тексте соответствующего договора в случае, если он будет принят обеими сторонами для подписания (7430).</w:t>
      </w:r>
    </w:p>
    <w:p w14:paraId="4B527D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BFF8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9A7B5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595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 в 15:35 на немецкой базе Banak взлетал Ме-109 5 флота (hauptman Fisher) на перехват обнаруженного радарами объекта. На высоте 3500 м обнаружил: чужой аппарат представлялся сделанным из металла и имел форму фюзеляжа самолета длиной 100 м и диаметром в сечении 15 м. Впереди виднелось что-то похожее на антенны. Хотя он не имел видимых извне моторов, летел горизонтально. Я преследовал его несколько минут, после чего он молниеносно набрал высоту и исчез (7579).</w:t>
      </w:r>
    </w:p>
    <w:p w14:paraId="6F9C1B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540F9"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марта</w:t>
      </w:r>
      <w:r w:rsidRPr="008127F8">
        <w:rPr>
          <w:rFonts w:ascii="Times New Roman" w:hAnsi="Times New Roman"/>
          <w:color w:val="000000" w:themeColor="text1"/>
          <w:sz w:val="16"/>
          <w:szCs w:val="16"/>
        </w:rPr>
        <w:t xml:space="preserve"> в 1942 году в условиях военного времени президент США Франклин Рузвельт обратился к губернаторам с просьбой ограничить на дорогах скорость 40 милями в час для большой сохранности покрышек (15068).</w:t>
      </w:r>
    </w:p>
    <w:p w14:paraId="5A2A6D97" w14:textId="77777777" w:rsidR="00161D13" w:rsidRPr="008127F8" w:rsidRDefault="00161D13" w:rsidP="001E0A84">
      <w:pPr>
        <w:spacing w:after="0" w:line="240" w:lineRule="auto"/>
        <w:jc w:val="both"/>
        <w:rPr>
          <w:rFonts w:ascii="Times New Roman" w:hAnsi="Times New Roman"/>
          <w:color w:val="000000" w:themeColor="text1"/>
          <w:sz w:val="16"/>
          <w:szCs w:val="16"/>
        </w:rPr>
      </w:pPr>
    </w:p>
    <w:p w14:paraId="28BB319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06A51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CE78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Нач. ГУ заказов и техснабжения ВВС Селезнев, военком ГУ Руденко писали письмо N 386052 А.И.Ш., директору завода 18 Шенкману и С.В.И.:</w:t>
      </w:r>
    </w:p>
    <w:p w14:paraId="00DEA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18 просит разрешения о сокращении комплектации самолетов Ил-2 кассетами КМБ-Ил-2, установив норму 1 комплект на 10 самолетов.</w:t>
      </w:r>
    </w:p>
    <w:p w14:paraId="79EBAD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Заявление директора завода 18 о совершенной ненужности кассет не соответствует действительности. В практике боевого применения самолета Ил-2, кассеты для мелких бомб применялись и будут применяться при штурмовых действиях по живой силе противника с осколочными бомбами малых калибров.</w:t>
      </w:r>
    </w:p>
    <w:p w14:paraId="616510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Исходя из вышеизложенного, считаю необходимым оставить существующую норму комплектации - 1 комплект кассет на два самолета.</w:t>
      </w:r>
    </w:p>
    <w:p w14:paraId="7D3087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целях экономии дюраля рекомендую изготовлять кассеты КМБ-Ил-2 из дерева. Образцы кассет деревянной конструкции изготовления завода 32 выдержали испытания на НИП АВ ВВС 6 октября 1941 (1635,184).</w:t>
      </w:r>
    </w:p>
    <w:p w14:paraId="49D239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90B6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Нач. НИИ ВВС ви1р Вахрушев и за комиссара бк Сизов подписал Отчет по сравнительным испытаниям с-та Пе-2 № 2601 2М-105 ВИШ-61Б</w:t>
      </w:r>
    </w:p>
    <w:p w14:paraId="0D36962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 2601 производства завода № 125</w:t>
      </w:r>
    </w:p>
    <w:p w14:paraId="022B310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исполнитель ви2р Г.В.Грибакин, в-н М.П.Субботин</w:t>
      </w:r>
    </w:p>
    <w:p w14:paraId="4E05CC9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сравнению с Пе-2 № 2311 отличия:</w:t>
      </w:r>
    </w:p>
    <w:p w14:paraId="4F8682E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изменена установка патронного ящика (постоянного питания)</w:t>
      </w:r>
    </w:p>
    <w:p w14:paraId="7659357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ухваты наружных бомб - легкосъемные</w:t>
      </w:r>
    </w:p>
    <w:p w14:paraId="57658DC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задний обтекатель фонаря кабины выполнен из дюраля</w:t>
      </w:r>
    </w:p>
    <w:p w14:paraId="6DFD83F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Снят механизм УПР-2 (управление заслонкой </w:t>
      </w:r>
      <w:proofErr w:type="gramStart"/>
      <w:r w:rsidRPr="008127F8">
        <w:rPr>
          <w:rFonts w:ascii="Times New Roman" w:hAnsi="Times New Roman"/>
          <w:color w:val="000000" w:themeColor="text1"/>
          <w:sz w:val="16"/>
          <w:szCs w:val="16"/>
        </w:rPr>
        <w:t>маслорадиатора</w:t>
      </w:r>
      <w:proofErr w:type="gramEnd"/>
      <w:r w:rsidRPr="008127F8">
        <w:rPr>
          <w:rFonts w:ascii="Times New Roman" w:hAnsi="Times New Roman"/>
          <w:color w:val="000000" w:themeColor="text1"/>
          <w:sz w:val="16"/>
          <w:szCs w:val="16"/>
        </w:rPr>
        <w:t xml:space="preserve"> и заслонка имеет механизм, регулируемый на земле</w:t>
      </w:r>
    </w:p>
    <w:p w14:paraId="31BD08D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Окраска с-та аналогична окраске серии 10/35 завода № 22</w:t>
      </w:r>
    </w:p>
    <w:p w14:paraId="3C0976E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проходили на аэродроме НИИ ВВС с 28 февраля по 3 марта 1942</w:t>
      </w:r>
    </w:p>
    <w:p w14:paraId="522432D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Произведено 18 полетов, налет 6:31</w:t>
      </w:r>
    </w:p>
    <w:p w14:paraId="51C0678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Взвешивание не производилосьВес с-та с полной заправкой горючим без бомб принят равным весу серийного с-та з-да № 22 - 7700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996"/>
        <w:gridCol w:w="1996"/>
        <w:gridCol w:w="1996"/>
        <w:gridCol w:w="1996"/>
      </w:tblGrid>
      <w:tr w:rsidR="006F4095" w:rsidRPr="008127F8" w14:paraId="32FF6C66" w14:textId="77777777">
        <w:tc>
          <w:tcPr>
            <w:tcW w:w="3227" w:type="dxa"/>
            <w:tcBorders>
              <w:top w:val="single" w:sz="12" w:space="0" w:color="auto"/>
            </w:tcBorders>
          </w:tcPr>
          <w:p w14:paraId="5D4FBF8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w:t>
            </w:r>
          </w:p>
        </w:tc>
        <w:tc>
          <w:tcPr>
            <w:tcW w:w="1996" w:type="dxa"/>
            <w:tcBorders>
              <w:top w:val="single" w:sz="12" w:space="0" w:color="auto"/>
            </w:tcBorders>
          </w:tcPr>
          <w:p w14:paraId="5773FEC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 2601 завода № 125</w:t>
            </w:r>
          </w:p>
        </w:tc>
        <w:tc>
          <w:tcPr>
            <w:tcW w:w="1996" w:type="dxa"/>
            <w:tcBorders>
              <w:top w:val="single" w:sz="12" w:space="0" w:color="auto"/>
            </w:tcBorders>
          </w:tcPr>
          <w:p w14:paraId="180101F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 2311 завода № 125</w:t>
            </w:r>
          </w:p>
        </w:tc>
        <w:tc>
          <w:tcPr>
            <w:tcW w:w="1996" w:type="dxa"/>
            <w:tcBorders>
              <w:top w:val="single" w:sz="12" w:space="0" w:color="auto"/>
            </w:tcBorders>
          </w:tcPr>
          <w:p w14:paraId="79B6128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 Пе-2 №10/35завода № 22</w:t>
            </w:r>
          </w:p>
        </w:tc>
        <w:tc>
          <w:tcPr>
            <w:tcW w:w="1996" w:type="dxa"/>
            <w:tcBorders>
              <w:top w:val="single" w:sz="12" w:space="0" w:color="auto"/>
            </w:tcBorders>
          </w:tcPr>
          <w:p w14:paraId="58F10FF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с-т Пе-2</w:t>
            </w:r>
          </w:p>
        </w:tc>
      </w:tr>
      <w:tr w:rsidR="006F4095" w:rsidRPr="008127F8" w14:paraId="3304CF97" w14:textId="77777777">
        <w:tc>
          <w:tcPr>
            <w:tcW w:w="3227" w:type="dxa"/>
          </w:tcPr>
          <w:p w14:paraId="0BEE58D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у земли</w:t>
            </w:r>
          </w:p>
        </w:tc>
        <w:tc>
          <w:tcPr>
            <w:tcW w:w="1996" w:type="dxa"/>
          </w:tcPr>
          <w:p w14:paraId="51D2735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448</w:t>
            </w:r>
          </w:p>
        </w:tc>
        <w:tc>
          <w:tcPr>
            <w:tcW w:w="1996" w:type="dxa"/>
          </w:tcPr>
          <w:p w14:paraId="119F9E8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443</w:t>
            </w:r>
          </w:p>
        </w:tc>
        <w:tc>
          <w:tcPr>
            <w:tcW w:w="1996" w:type="dxa"/>
          </w:tcPr>
          <w:p w14:paraId="33919DA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96" w:type="dxa"/>
          </w:tcPr>
          <w:p w14:paraId="7459C5C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452 (вес 7500)</w:t>
            </w:r>
          </w:p>
        </w:tc>
      </w:tr>
      <w:tr w:rsidR="006F4095" w:rsidRPr="008127F8" w14:paraId="23908D46" w14:textId="77777777">
        <w:tc>
          <w:tcPr>
            <w:tcW w:w="3227" w:type="dxa"/>
          </w:tcPr>
          <w:p w14:paraId="5A9C902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1 гр. высотности</w:t>
            </w:r>
          </w:p>
        </w:tc>
        <w:tc>
          <w:tcPr>
            <w:tcW w:w="1996" w:type="dxa"/>
          </w:tcPr>
          <w:p w14:paraId="4353CA4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510/3000</w:t>
            </w:r>
          </w:p>
        </w:tc>
        <w:tc>
          <w:tcPr>
            <w:tcW w:w="1996" w:type="dxa"/>
          </w:tcPr>
          <w:p w14:paraId="00845EB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513/3000</w:t>
            </w:r>
          </w:p>
        </w:tc>
        <w:tc>
          <w:tcPr>
            <w:tcW w:w="1996" w:type="dxa"/>
          </w:tcPr>
          <w:p w14:paraId="7132402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510/3100</w:t>
            </w:r>
          </w:p>
        </w:tc>
        <w:tc>
          <w:tcPr>
            <w:tcW w:w="1996" w:type="dxa"/>
          </w:tcPr>
          <w:p w14:paraId="2FD543A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516/3000</w:t>
            </w:r>
          </w:p>
        </w:tc>
      </w:tr>
      <w:tr w:rsidR="006F4095" w:rsidRPr="008127F8" w14:paraId="3BC80538" w14:textId="77777777">
        <w:tc>
          <w:tcPr>
            <w:tcW w:w="3227" w:type="dxa"/>
          </w:tcPr>
          <w:p w14:paraId="7B886DB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2 гр. высотности</w:t>
            </w:r>
          </w:p>
        </w:tc>
        <w:tc>
          <w:tcPr>
            <w:tcW w:w="1996" w:type="dxa"/>
          </w:tcPr>
          <w:p w14:paraId="3BE6545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530/5000</w:t>
            </w:r>
          </w:p>
        </w:tc>
        <w:tc>
          <w:tcPr>
            <w:tcW w:w="1996" w:type="dxa"/>
          </w:tcPr>
          <w:p w14:paraId="0E3F148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530/4900</w:t>
            </w:r>
          </w:p>
        </w:tc>
        <w:tc>
          <w:tcPr>
            <w:tcW w:w="1996" w:type="dxa"/>
          </w:tcPr>
          <w:p w14:paraId="2503675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530/5100</w:t>
            </w:r>
          </w:p>
        </w:tc>
        <w:tc>
          <w:tcPr>
            <w:tcW w:w="1996" w:type="dxa"/>
          </w:tcPr>
          <w:p w14:paraId="0EA06ED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540/5000</w:t>
            </w:r>
          </w:p>
        </w:tc>
      </w:tr>
      <w:tr w:rsidR="006F4095" w:rsidRPr="008127F8" w14:paraId="1908E34D" w14:textId="77777777">
        <w:tc>
          <w:tcPr>
            <w:tcW w:w="3227" w:type="dxa"/>
          </w:tcPr>
          <w:p w14:paraId="037CFF2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подъема на 5000 м</w:t>
            </w:r>
          </w:p>
        </w:tc>
        <w:tc>
          <w:tcPr>
            <w:tcW w:w="1996" w:type="dxa"/>
          </w:tcPr>
          <w:p w14:paraId="6D552B6B"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996" w:type="dxa"/>
          </w:tcPr>
          <w:p w14:paraId="776FA72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996" w:type="dxa"/>
          </w:tcPr>
          <w:p w14:paraId="116D343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996" w:type="dxa"/>
          </w:tcPr>
          <w:p w14:paraId="2578740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r>
      <w:tr w:rsidR="006F4095" w:rsidRPr="008127F8" w14:paraId="029EAB0C" w14:textId="77777777">
        <w:tc>
          <w:tcPr>
            <w:tcW w:w="3227" w:type="dxa"/>
          </w:tcPr>
          <w:p w14:paraId="0504CCE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w:t>
            </w:r>
          </w:p>
        </w:tc>
        <w:tc>
          <w:tcPr>
            <w:tcW w:w="1996" w:type="dxa"/>
          </w:tcPr>
          <w:p w14:paraId="2434874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9200</w:t>
            </w:r>
          </w:p>
        </w:tc>
        <w:tc>
          <w:tcPr>
            <w:tcW w:w="1996" w:type="dxa"/>
          </w:tcPr>
          <w:p w14:paraId="0E36FA8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96" w:type="dxa"/>
          </w:tcPr>
          <w:p w14:paraId="6E35BBF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996" w:type="dxa"/>
          </w:tcPr>
          <w:p w14:paraId="1E7827E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r>
      <w:tr w:rsidR="006F4095" w:rsidRPr="008127F8" w14:paraId="42FC3CCE" w14:textId="77777777">
        <w:tc>
          <w:tcPr>
            <w:tcW w:w="3227" w:type="dxa"/>
            <w:tcBorders>
              <w:bottom w:val="single" w:sz="12" w:space="0" w:color="auto"/>
            </w:tcBorders>
          </w:tcPr>
          <w:p w14:paraId="1C14A9B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(увеличен за счет бокового ветра)</w:t>
            </w:r>
          </w:p>
        </w:tc>
        <w:tc>
          <w:tcPr>
            <w:tcW w:w="1996" w:type="dxa"/>
            <w:tcBorders>
              <w:bottom w:val="single" w:sz="12" w:space="0" w:color="auto"/>
            </w:tcBorders>
          </w:tcPr>
          <w:p w14:paraId="5FBF16A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578</w:t>
            </w:r>
          </w:p>
        </w:tc>
        <w:tc>
          <w:tcPr>
            <w:tcW w:w="1996" w:type="dxa"/>
            <w:tcBorders>
              <w:bottom w:val="single" w:sz="12" w:space="0" w:color="auto"/>
            </w:tcBorders>
          </w:tcPr>
          <w:p w14:paraId="40D5520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96" w:type="dxa"/>
            <w:tcBorders>
              <w:bottom w:val="single" w:sz="12" w:space="0" w:color="auto"/>
            </w:tcBorders>
          </w:tcPr>
          <w:p w14:paraId="52B96B7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96" w:type="dxa"/>
            <w:tcBorders>
              <w:bottom w:val="single" w:sz="12" w:space="0" w:color="auto"/>
            </w:tcBorders>
          </w:tcPr>
          <w:p w14:paraId="2E5D0E5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w:t>
            </w:r>
          </w:p>
        </w:tc>
      </w:tr>
    </w:tbl>
    <w:p w14:paraId="61B587D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Слабыми сторонами с-та Пе-2 по опыту боевых действий являются:</w:t>
      </w:r>
    </w:p>
    <w:p w14:paraId="0C286D17"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отсутствие у ш крупнокалиберного с-та. Установка под универсальный крупнокалиберный Березина была испытаниа на НАПАВ в октябре 1941 и рекомендована для установки на с-т </w:t>
      </w:r>
      <w:proofErr w:type="gramStart"/>
      <w:r w:rsidRPr="008127F8">
        <w:rPr>
          <w:rFonts w:ascii="Times New Roman" w:hAnsi="Times New Roman"/>
          <w:color w:val="000000" w:themeColor="text1"/>
          <w:sz w:val="16"/>
          <w:szCs w:val="16"/>
        </w:rPr>
        <w:t>Пе-2 Однако</w:t>
      </w:r>
      <w:proofErr w:type="gramEnd"/>
      <w:r w:rsidRPr="008127F8">
        <w:rPr>
          <w:rFonts w:ascii="Times New Roman" w:hAnsi="Times New Roman"/>
          <w:color w:val="000000" w:themeColor="text1"/>
          <w:sz w:val="16"/>
          <w:szCs w:val="16"/>
        </w:rPr>
        <w:t>, до сих пор как на заводе № 22, так и на заводе № 125 эта установка отсутствует</w:t>
      </w:r>
    </w:p>
    <w:p w14:paraId="05EDD11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Малый запас патронов</w:t>
      </w:r>
    </w:p>
    <w:p w14:paraId="0F7C238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Неудовлетворительное бронирование ш и стрелка-радиста</w:t>
      </w:r>
    </w:p>
    <w:p w14:paraId="286A9070"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была рекомендована схема бронирования экипажа, но до сих пор эта схема не осуществлена</w:t>
      </w:r>
    </w:p>
    <w:p w14:paraId="1B33CF3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имеет установку для заполнения б/ь азотом. В августе 1942 была испытана и рекомендована для с-та Пе-2 установка заполнения б/б нейтральными газами от выхлопа мотора.</w:t>
      </w:r>
    </w:p>
    <w:p w14:paraId="2DA213A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 22 до переезда в Казань начало выпускать с-т с установками нейтрального газа от выхлопа. После переезда стал выпускать с установками для азота. З-д № 125 выпускает с-ты с установками для азота.</w:t>
      </w:r>
    </w:p>
    <w:p w14:paraId="3DD7D15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 качество протектора б/б Протектор ставится образца 1938 г.</w:t>
      </w:r>
    </w:p>
    <w:p w14:paraId="1B87E0B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46C5611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ЛТД с-та № 2601 завода № 125 и ранее испытанного в НИИ ВВС с-тов № 10/35 завода № 22 и№ 2311 завода № 125 одинаковы.</w:t>
      </w:r>
    </w:p>
    <w:p w14:paraId="1D2B870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Просить НКАП обязать заводы № 22 и 125 в самое близкое время:</w:t>
      </w:r>
    </w:p>
    <w:p w14:paraId="29E8DEA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устранить на с-те Пе-2 для штурмана крупнокалибпрный </w:t>
      </w:r>
      <w:proofErr w:type="gramStart"/>
      <w:r w:rsidRPr="008127F8">
        <w:rPr>
          <w:rFonts w:ascii="Times New Roman" w:hAnsi="Times New Roman"/>
          <w:color w:val="000000" w:themeColor="text1"/>
          <w:sz w:val="16"/>
          <w:szCs w:val="16"/>
        </w:rPr>
        <w:t>пулемет..</w:t>
      </w:r>
      <w:proofErr w:type="gramEnd"/>
    </w:p>
    <w:p w14:paraId="65B394B2"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вместо установки заполнения б/б азотом ввести установку заполнения от системы выхлопа</w:t>
      </w:r>
    </w:p>
    <w:p w14:paraId="355C688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повышения живучести с-та Пе-2 и более надежной защиты от загорания в воздухе при протектировании б/б необходимо перейти на протектирование б/б комбинированным протектором НИИ РП (состоящим ХО, Х1, Х2), а вместо протектора образца 1938 проработать вопрос установки фибровых б/б с протектором ВИАМ (808).</w:t>
      </w:r>
    </w:p>
    <w:p w14:paraId="3523B4A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35D727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 летчик-испытатель К.Груздев, ранее летавший в НИИ ВВС на Ме-109Е и МиГ-3 в 1940 г., в порядке рекомендации, как, летая на истребителе Як-1, лучше организовать с таким "мессером" воздушный бой, выступил со статьей в газете "Сталинский Сокол" "Как вести воздушный бой с мессершмиттом-115" (рекомендовался вертикальный маневр и использование эшелонирования истребителей по высоте). Впоследствии выяснилось, что условно названный "мессер"-115, был Ме-109Ф, захваченный на аэродроме Тушино при вынужденной посадке немецкого летчика. После ремонта Ме-109Ф проходил испытания в НИИ ВВС, которые закончились в апреле 1942 г (3573).</w:t>
      </w:r>
    </w:p>
    <w:p w14:paraId="1A0C19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863F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марта</w:t>
      </w:r>
      <w:r w:rsidRPr="008127F8">
        <w:rPr>
          <w:rFonts w:ascii="Times New Roman" w:hAnsi="Times New Roman"/>
          <w:color w:val="000000" w:themeColor="text1"/>
          <w:sz w:val="16"/>
          <w:szCs w:val="16"/>
        </w:rPr>
        <w:t xml:space="preserve"> в 1942 году состоялся первый полет истребителя «Ла-5», лётчик-испытатель Г.М.Мищенко. Главное новшество самолета «Ла-5»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его двигатель (мотор «М-82» мощностью 1850 л.с.). В результате «Ла-5» превратился в один из лучших истребителей Второй мировой войны. Самолет развивал у земли скорость 515 км/ч, на высоте 3200 м - 567 км/ч, на высоте 6450 м - 600 км/ч. Время виража на высоте 1000 м - 25 секунд. Самолет был менее уязвим и более живуч, по сравнению с предыдущими. Вооружение: две 20-миллиметровые пушки «СП-20» ("ШВАК") с боезапасом в 340 снарядов. На таком самолете летал Иван Кожедуб (15069).</w:t>
      </w:r>
    </w:p>
    <w:p w14:paraId="576077E9"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2AE51CC8"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марта</w:t>
      </w:r>
      <w:r w:rsidRPr="008127F8">
        <w:rPr>
          <w:rFonts w:ascii="Times New Roman" w:hAnsi="Times New Roman"/>
          <w:color w:val="000000" w:themeColor="text1"/>
          <w:sz w:val="16"/>
          <w:szCs w:val="16"/>
        </w:rPr>
        <w:t xml:space="preserve"> в 1942 году в городе Чебаркуле Челябинской области вступил в строй металлургической завод, организованный на базе эвакуированного на Урал оборудования предприятия "Электросталь" Московской области; продукцией завода с первых дней стали штамповки авиационного назначения. Ныне — ОАО "Уральская кузница" — один из крупнейших в России производителей штамповок из легированных сталей, жаропрочных и титановых сплавов</w:t>
      </w:r>
    </w:p>
    <w:p w14:paraId="328DF727"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0B4F6C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 Совместным решением НКАП и ВВС организовали пробную эксплуатацию М-105ПФ в 236-м иап ВВС Западного фронта. В полку форсирование двигателя производилось другим методом. На повышенный наддув перестраивался регулятор постоянного давления нагнетателя. Управление - от сектора газа; при полном газе - максимальный наддув. В испытаниях получили устойчивое увеличение скорости примерно на 20 км/ч.</w:t>
      </w:r>
    </w:p>
    <w:p w14:paraId="010198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стендовых испытаниях модернизированный мотор имел показатели лучшие, чем были заданы ГКО. Взлетная мощность равнялась 1210, номинальная мощность на высоте 700 м составила 1260, а на высоте 2700 м - 1180 л.с. Вместе с тем ресурс мотора был уменьшен до 100 ч (со 125 ч), но весь этот срок мотор гарантированно мог работать на повышенном наддуве (имеется в виду ресурс до первого ремонта). Это оказалось возможным лишь под нажимом A.С.Яковлева как заместителя наркома.</w:t>
      </w:r>
    </w:p>
    <w:p w14:paraId="353CB8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B.Я.Климов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Точку в споре поставили стендовые испытания М-105ПА с наддувом 1050 мм рт. ст., которые начались 24 апреля 1942 г. Мотор успешно их выдержал, проработав до разрушения 203 часа.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7573BB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73E243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4A3ABF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проявлявшееся как раз на малых высотах.</w:t>
      </w:r>
    </w:p>
    <w:p w14:paraId="4AD8FA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Указанный недостаток системы охлаждения стал хроническим. Проведенные 12 марта 1943 г. испытания Як-1 № 02119, 20120, 10123, 17124. 38124, 17125, 25125, </w:t>
      </w:r>
      <w:r w:rsidRPr="008127F8">
        <w:rPr>
          <w:rFonts w:ascii="Times New Roman" w:hAnsi="Times New Roman"/>
          <w:color w:val="000000" w:themeColor="text1"/>
          <w:sz w:val="16"/>
          <w:szCs w:val="16"/>
        </w:rPr>
        <w:lastRenderedPageBreak/>
        <w:t>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8127F8">
        <w:rPr>
          <w:rFonts w:ascii="Times New Roman" w:hAnsi="Times New Roman"/>
          <w:color w:val="000000" w:themeColor="text1"/>
          <w:sz w:val="16"/>
          <w:szCs w:val="16"/>
        </w:rPr>
        <w:t>техничес- кого</w:t>
      </w:r>
      <w:proofErr w:type="gramEnd"/>
      <w:r w:rsidRPr="008127F8">
        <w:rPr>
          <w:rFonts w:ascii="Times New Roman" w:hAnsi="Times New Roman"/>
          <w:color w:val="000000" w:themeColor="text1"/>
          <w:sz w:val="16"/>
          <w:szCs w:val="16"/>
        </w:rPr>
        <w:t xml:space="preserve"> состава (12048).</w:t>
      </w:r>
    </w:p>
    <w:p w14:paraId="01122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2616D"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1942 г. совместным решением НКАП и ВВС организовали пробную эксплуатацию на самолетах Як-1 с повышенным с 910 до 1050 мм рт.ст. наддувом в 236-м иап ВВС Западного фронта. При этом форсиро</w:t>
      </w:r>
      <w:r w:rsidRPr="008A2E5A">
        <w:rPr>
          <w:rFonts w:ascii="Times New Roman" w:hAnsi="Times New Roman"/>
          <w:color w:val="0070C0"/>
          <w:sz w:val="16"/>
          <w:szCs w:val="16"/>
        </w:rPr>
        <w:softHyphen/>
        <w:t>вание двигателя производилось, как на Як-7Б №1413, пе</w:t>
      </w:r>
      <w:r w:rsidRPr="008A2E5A">
        <w:rPr>
          <w:rFonts w:ascii="Times New Roman" w:hAnsi="Times New Roman"/>
          <w:color w:val="0070C0"/>
          <w:sz w:val="16"/>
          <w:szCs w:val="16"/>
        </w:rPr>
        <w:softHyphen/>
        <w:t>рестройкой РПД нагнетателя на повышенный наддув, за счет чего упрощалось управление мотором. Для получе</w:t>
      </w:r>
      <w:r w:rsidRPr="008A2E5A">
        <w:rPr>
          <w:rFonts w:ascii="Times New Roman" w:hAnsi="Times New Roman"/>
          <w:color w:val="0070C0"/>
          <w:sz w:val="16"/>
          <w:szCs w:val="16"/>
        </w:rPr>
        <w:softHyphen/>
        <w:t>ния максимального наддува следовало просто переме</w:t>
      </w:r>
      <w:r w:rsidRPr="008A2E5A">
        <w:rPr>
          <w:rFonts w:ascii="Times New Roman" w:hAnsi="Times New Roman"/>
          <w:color w:val="0070C0"/>
          <w:sz w:val="16"/>
          <w:szCs w:val="16"/>
        </w:rPr>
        <w:softHyphen/>
        <w:t>стить рычаг управления мотором на упор полного газа. В испытательных полетах получили устойчивое увеличение скорости примерно на 20 км/ч.</w:t>
      </w:r>
    </w:p>
    <w:p w14:paraId="5D407919"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стендовых испытаниях модернизированный мотор имел показатели лучшие, чем задавались ГКО. Взлетная мощность равнялась 1210, номинальная мощность на вы</w:t>
      </w:r>
      <w:r w:rsidRPr="008A2E5A">
        <w:rPr>
          <w:rFonts w:ascii="Times New Roman" w:hAnsi="Times New Roman"/>
          <w:color w:val="0070C0"/>
          <w:sz w:val="16"/>
          <w:szCs w:val="16"/>
        </w:rPr>
        <w:softHyphen/>
        <w:t>соте 700 м составила 1260, а на высоте 2700 м - 1180 л.с. Вместе с тем ресурс мотора уменьшили до 100 ч (со 125 ч), но весь этот срок мотор гарантированно мог работать на повышенном наддуве (имеется в виду ресурс до пер</w:t>
      </w:r>
      <w:r w:rsidRPr="008A2E5A">
        <w:rPr>
          <w:rFonts w:ascii="Times New Roman" w:hAnsi="Times New Roman"/>
          <w:color w:val="0070C0"/>
          <w:sz w:val="16"/>
          <w:szCs w:val="16"/>
        </w:rPr>
        <w:softHyphen/>
        <w:t>вого ремонта). Это оказалось возможным лишь под на</w:t>
      </w:r>
      <w:r w:rsidRPr="008A2E5A">
        <w:rPr>
          <w:rFonts w:ascii="Times New Roman" w:hAnsi="Times New Roman"/>
          <w:color w:val="0070C0"/>
          <w:sz w:val="16"/>
          <w:szCs w:val="16"/>
        </w:rPr>
        <w:softHyphen/>
        <w:t>жимом А.С. Яковлева как заместителя наркома. В.Я. Кли</w:t>
      </w:r>
      <w:r w:rsidRPr="008A2E5A">
        <w:rPr>
          <w:rFonts w:ascii="Times New Roman" w:hAnsi="Times New Roman"/>
          <w:color w:val="0070C0"/>
          <w:sz w:val="16"/>
          <w:szCs w:val="16"/>
        </w:rPr>
        <w:softHyphen/>
        <w:t>мов настаивал на доводке М-107, считая, что М-105ПА на повышенном наддуве без значительного снижения ре</w:t>
      </w:r>
      <w:r w:rsidRPr="008A2E5A">
        <w:rPr>
          <w:rFonts w:ascii="Times New Roman" w:hAnsi="Times New Roman"/>
          <w:color w:val="0070C0"/>
          <w:sz w:val="16"/>
          <w:szCs w:val="16"/>
        </w:rPr>
        <w:softHyphen/>
        <w:t>сурса может работать лишь кратковременно (пять-во</w:t>
      </w:r>
      <w:r w:rsidRPr="008A2E5A">
        <w:rPr>
          <w:rFonts w:ascii="Times New Roman" w:hAnsi="Times New Roman"/>
          <w:color w:val="0070C0"/>
          <w:sz w:val="16"/>
          <w:szCs w:val="16"/>
        </w:rPr>
        <w:softHyphen/>
        <w:t>семь минут). Точку в споре поставили стендовые испы</w:t>
      </w:r>
      <w:r w:rsidRPr="008A2E5A">
        <w:rPr>
          <w:rFonts w:ascii="Times New Roman" w:hAnsi="Times New Roman"/>
          <w:color w:val="0070C0"/>
          <w:sz w:val="16"/>
          <w:szCs w:val="16"/>
        </w:rPr>
        <w:softHyphen/>
        <w:t>тания М-105ПА с наддувом 1050 мм рт.ст., которые на</w:t>
      </w:r>
      <w:r w:rsidRPr="008A2E5A">
        <w:rPr>
          <w:rFonts w:ascii="Times New Roman" w:hAnsi="Times New Roman"/>
          <w:color w:val="0070C0"/>
          <w:sz w:val="16"/>
          <w:szCs w:val="16"/>
        </w:rPr>
        <w:softHyphen/>
        <w:t>чались 24 апреля 1942 г. Мотор успешно их выдержал, проработав до разрушения 203 часа. Благодаря резуль</w:t>
      </w:r>
      <w:r w:rsidRPr="008A2E5A">
        <w:rPr>
          <w:rFonts w:ascii="Times New Roman" w:hAnsi="Times New Roman"/>
          <w:color w:val="0070C0"/>
          <w:sz w:val="16"/>
          <w:szCs w:val="16"/>
        </w:rPr>
        <w:softHyphen/>
        <w:t>татам этих испытаний и на основании доклада директо</w:t>
      </w:r>
      <w:r w:rsidRPr="008A2E5A">
        <w:rPr>
          <w:rFonts w:ascii="Times New Roman" w:hAnsi="Times New Roman"/>
          <w:color w:val="0070C0"/>
          <w:sz w:val="16"/>
          <w:szCs w:val="16"/>
        </w:rPr>
        <w:softHyphen/>
        <w:t>ра завода № 26 В.П. Баландина, гланого инженера заво</w:t>
      </w:r>
      <w:r w:rsidRPr="008A2E5A">
        <w:rPr>
          <w:rFonts w:ascii="Times New Roman" w:hAnsi="Times New Roman"/>
          <w:color w:val="0070C0"/>
          <w:sz w:val="16"/>
          <w:szCs w:val="16"/>
        </w:rPr>
        <w:softHyphen/>
        <w:t>да Лаврентьева, главного конструктора завода В.Я Кли</w:t>
      </w:r>
      <w:r w:rsidRPr="008A2E5A">
        <w:rPr>
          <w:rFonts w:ascii="Times New Roman" w:hAnsi="Times New Roman"/>
          <w:color w:val="0070C0"/>
          <w:sz w:val="16"/>
          <w:szCs w:val="16"/>
        </w:rPr>
        <w:softHyphen/>
        <w:t>мова, главного контролера завода Карабазы, районного инженера ГУ ВВС КА Белобородова и старшего военного представителя на заводе Смирнова Государственный Ко</w:t>
      </w:r>
      <w:r w:rsidRPr="008A2E5A">
        <w:rPr>
          <w:rFonts w:ascii="Times New Roman" w:hAnsi="Times New Roman"/>
          <w:color w:val="0070C0"/>
          <w:sz w:val="16"/>
          <w:szCs w:val="16"/>
        </w:rPr>
        <w:softHyphen/>
        <w:t>митет Обороны своим постановлением № 1725сс от 11 мая 1942 г. увеличил срок службы моторов М-105ПФ до первой переборки до 150 часов включая все моторы это</w:t>
      </w:r>
      <w:r w:rsidRPr="008A2E5A">
        <w:rPr>
          <w:rFonts w:ascii="Times New Roman" w:hAnsi="Times New Roman"/>
          <w:color w:val="0070C0"/>
          <w:sz w:val="16"/>
          <w:szCs w:val="16"/>
        </w:rPr>
        <w:softHyphen/>
        <w:t>го типа, выпущенные с начала производства. По поста</w:t>
      </w:r>
      <w:r w:rsidRPr="008A2E5A">
        <w:rPr>
          <w:rFonts w:ascii="Times New Roman" w:hAnsi="Times New Roman"/>
          <w:color w:val="0070C0"/>
          <w:sz w:val="16"/>
          <w:szCs w:val="16"/>
        </w:rPr>
        <w:softHyphen/>
        <w:t>новлению ГКО № 1673с от 28 апреля 1942 г. завод № 26 (г. Уфа) с 1 мая перешел на выпуск моторов М-105ПФ, как начали называть серийные моторы с повышенным над</w:t>
      </w:r>
      <w:r w:rsidRPr="008A2E5A">
        <w:rPr>
          <w:rFonts w:ascii="Times New Roman" w:hAnsi="Times New Roman"/>
          <w:color w:val="0070C0"/>
          <w:sz w:val="16"/>
          <w:szCs w:val="16"/>
        </w:rPr>
        <w:softHyphen/>
        <w:t>дувом (23381).</w:t>
      </w:r>
    </w:p>
    <w:p w14:paraId="0D72A082" w14:textId="77777777" w:rsidR="00213148" w:rsidRPr="008A2E5A" w:rsidRDefault="00213148" w:rsidP="00213148">
      <w:pPr>
        <w:spacing w:after="0" w:line="240" w:lineRule="auto"/>
        <w:jc w:val="both"/>
        <w:rPr>
          <w:rFonts w:ascii="Times New Roman" w:hAnsi="Times New Roman"/>
          <w:color w:val="0070C0"/>
          <w:sz w:val="16"/>
          <w:szCs w:val="16"/>
        </w:rPr>
      </w:pPr>
    </w:p>
    <w:p w14:paraId="317D6F3B" w14:textId="384D82F5" w:rsidR="00161D13" w:rsidRPr="008127F8" w:rsidRDefault="00161D13"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марта 1942 года вышел приказ НКСМ №163сс во исполнение Постановления ГКО от 14 марта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о создании на территории автозавода им. Молотова самостоятельного завода №466 по производству авиационных моторов М-105Р и М-17 с подчинением Наркомату авиационной промышленности СССР, включающего в себя сборочный цех с испытательными станциями, бензохранилищем и маслохранилищем, литейный цех цветного литья, механический и термический цеха по мотору М-105Р и М-17, инструментальный цех авиамоторного производства, свободные площади обрубочного отделения площадью 12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000 квадратных метров. За период войны темп выпуска авиационных моторов составил 18 моторов в сутки. Всего за время Великой Отечественной войны в Горьком было произведено 8840 авиационных моторов; среднегодовой выпуск составил 2210 штук. В октябре 1945 года предприятие было закрыто и перебазировано в Ленинград. На этих площадях стали монтировать оборудование на выпуск 6-цилиндровых моторов для ГАЗ-51, 4-цилиндровых – для М-20 и ГАЗ-67 (15218).</w:t>
      </w:r>
    </w:p>
    <w:p w14:paraId="3421015A" w14:textId="77777777" w:rsidR="00161D13" w:rsidRPr="008127F8" w:rsidRDefault="00161D13" w:rsidP="001E0A84">
      <w:pPr>
        <w:widowControl w:val="0"/>
        <w:spacing w:after="0" w:line="240" w:lineRule="auto"/>
        <w:jc w:val="both"/>
        <w:rPr>
          <w:rFonts w:ascii="Times New Roman" w:hAnsi="Times New Roman"/>
          <w:color w:val="000000" w:themeColor="text1"/>
          <w:sz w:val="16"/>
          <w:szCs w:val="16"/>
        </w:rPr>
      </w:pPr>
    </w:p>
    <w:p w14:paraId="713DB3A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вышло Постановление ГКО № 1446 [О разрешении перевести в Москву из Свердловска дополнительно часть НИИ ВВС.] (7025, 102).</w:t>
      </w:r>
    </w:p>
    <w:p w14:paraId="6721B03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3475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вышло Постановление ГКО № 1447 О ремонте материальной части истребительной авиации ПВО г. Москвы. (7025, 103,104).</w:t>
      </w:r>
    </w:p>
    <w:p w14:paraId="6B83AD8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A478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года был составлен Паспорт завода № 22 по состоянию на 1 января 1942</w:t>
      </w:r>
    </w:p>
    <w:p w14:paraId="01B153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Окулов</w:t>
      </w:r>
    </w:p>
    <w:p w14:paraId="0AD84C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Казань 36, п/я 732</w:t>
      </w:r>
    </w:p>
    <w:p w14:paraId="26F83D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1941 года завод № 22 был эвакуирован в Казань и разместился на территории бывш. завода № 124 (9477).</w:t>
      </w:r>
    </w:p>
    <w:p w14:paraId="1C5765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FD3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вышло постановление ГКО N ГКО-1450сс по организации 14 ГУ НКАП по винтам (1544,60).</w:t>
      </w:r>
    </w:p>
    <w:p w14:paraId="28BF3F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4D2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вышло Постановление ГКО № 1450 Об организации Главного управления по производству авиавинтов в системе Наркомавиапрома. РГАНИР, Фонд ГКО, д. 24, лл. 115 (11012).</w:t>
      </w:r>
    </w:p>
    <w:p w14:paraId="0A4D4A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11B3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0EE2F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FDB4B"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w:t>
      </w:r>
    </w:p>
    <w:p w14:paraId="05DC905C" w14:textId="40E28EF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82 – 83</w:t>
      </w:r>
      <w:r w:rsidR="008127F8">
        <w:rPr>
          <w:rFonts w:ascii="Times New Roman" w:hAnsi="Times New Roman"/>
          <w:color w:val="000000" w:themeColor="text1"/>
          <w:sz w:val="16"/>
          <w:szCs w:val="16"/>
        </w:rPr>
        <w:t xml:space="preserve">  </w:t>
      </w:r>
    </w:p>
    <w:p w14:paraId="799AD12A" w14:textId="2071149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43573DDB"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4ECCF4E"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0BD9A786"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268с</w:t>
      </w:r>
    </w:p>
    <w:p w14:paraId="37FC7E65"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"15" марта 1942 г.</w:t>
      </w:r>
    </w:p>
    <w:p w14:paraId="6C89C3CD" w14:textId="2D8B16D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прекращением, по решению ГКО от 14 марта с.г., производства моторов М-17 на заводе ГАЗ и указанием Правительства перейти на заводе № 112 на выпуск танков Т-34 с дизелем В-2 ПРИКАЗЫВАЮ:</w:t>
      </w:r>
      <w:r w:rsidR="008127F8">
        <w:rPr>
          <w:rFonts w:ascii="Times New Roman" w:hAnsi="Times New Roman"/>
          <w:color w:val="000000" w:themeColor="text1"/>
          <w:sz w:val="16"/>
          <w:szCs w:val="16"/>
        </w:rPr>
        <w:t xml:space="preserve">  </w:t>
      </w:r>
    </w:p>
    <w:p w14:paraId="7C298AE0" w14:textId="027AD74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 112 т. Михалеву немедленно начать подготовку производства к выпуску танков Т-34 с дизелем В-2 и с 1 апреля с.г. перейти на выпуск танков Т-34 с дизелем В-2.</w:t>
      </w:r>
      <w:r w:rsidR="008127F8">
        <w:rPr>
          <w:rFonts w:ascii="Times New Roman" w:hAnsi="Times New Roman"/>
          <w:color w:val="000000" w:themeColor="text1"/>
          <w:sz w:val="16"/>
          <w:szCs w:val="16"/>
        </w:rPr>
        <w:t xml:space="preserve">  </w:t>
      </w:r>
    </w:p>
    <w:p w14:paraId="60C1B9DF" w14:textId="74538221"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113 т. Рябову немедленно начать подготовку к изготовлению главных фрикционов для танков с дизелем В-2, обеспечив выпуск новых главных фрикционов с 25 марта с.г. по утвержденному ранее графику.</w:t>
      </w:r>
      <w:r w:rsidR="008127F8">
        <w:rPr>
          <w:rFonts w:ascii="Times New Roman" w:hAnsi="Times New Roman"/>
          <w:color w:val="000000" w:themeColor="text1"/>
          <w:sz w:val="16"/>
          <w:szCs w:val="16"/>
        </w:rPr>
        <w:t xml:space="preserve">  </w:t>
      </w:r>
    </w:p>
    <w:p w14:paraId="03047BA7" w14:textId="11728F32"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Кировского завода – т. Махонину:</w:t>
      </w:r>
      <w:r w:rsidR="008127F8">
        <w:rPr>
          <w:rFonts w:ascii="Times New Roman" w:hAnsi="Times New Roman"/>
          <w:color w:val="000000" w:themeColor="text1"/>
          <w:sz w:val="16"/>
          <w:szCs w:val="16"/>
        </w:rPr>
        <w:t xml:space="preserve">  </w:t>
      </w:r>
    </w:p>
    <w:p w14:paraId="5E086EC3" w14:textId="66E4E928"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отгрузку заводу № 112 дизелей В-2 в следующие сроки и количествах:</w:t>
      </w:r>
      <w:r w:rsidR="008127F8">
        <w:rPr>
          <w:rFonts w:ascii="Times New Roman" w:hAnsi="Times New Roman"/>
          <w:color w:val="000000" w:themeColor="text1"/>
          <w:sz w:val="16"/>
          <w:szCs w:val="16"/>
        </w:rPr>
        <w:t xml:space="preserve">  </w:t>
      </w:r>
    </w:p>
    <w:p w14:paraId="048E186C" w14:textId="5EEE69B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с.г – 30 шт.</w:t>
      </w:r>
      <w:r w:rsidR="008127F8">
        <w:rPr>
          <w:rFonts w:ascii="Times New Roman" w:hAnsi="Times New Roman"/>
          <w:color w:val="000000" w:themeColor="text1"/>
          <w:sz w:val="16"/>
          <w:szCs w:val="16"/>
        </w:rPr>
        <w:t xml:space="preserve">  </w:t>
      </w:r>
    </w:p>
    <w:p w14:paraId="5A4B88BA" w14:textId="728A3B48"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с.г – 36 шт.</w:t>
      </w:r>
      <w:r w:rsidR="008127F8">
        <w:rPr>
          <w:rFonts w:ascii="Times New Roman" w:hAnsi="Times New Roman"/>
          <w:color w:val="000000" w:themeColor="text1"/>
          <w:sz w:val="16"/>
          <w:szCs w:val="16"/>
        </w:rPr>
        <w:t xml:space="preserve">  </w:t>
      </w:r>
    </w:p>
    <w:p w14:paraId="1EC928D4" w14:textId="7B1A5871"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с.г – 30 шт.</w:t>
      </w:r>
      <w:r w:rsidR="008127F8">
        <w:rPr>
          <w:rFonts w:ascii="Times New Roman" w:hAnsi="Times New Roman"/>
          <w:color w:val="000000" w:themeColor="text1"/>
          <w:sz w:val="16"/>
          <w:szCs w:val="16"/>
        </w:rPr>
        <w:t xml:space="preserve">  </w:t>
      </w:r>
    </w:p>
    <w:p w14:paraId="26301E04" w14:textId="29599776"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с.г – 30 шт.</w:t>
      </w:r>
      <w:r w:rsidR="008127F8">
        <w:rPr>
          <w:rFonts w:ascii="Times New Roman" w:hAnsi="Times New Roman"/>
          <w:color w:val="000000" w:themeColor="text1"/>
          <w:sz w:val="16"/>
          <w:szCs w:val="16"/>
        </w:rPr>
        <w:t xml:space="preserve">  </w:t>
      </w:r>
    </w:p>
    <w:p w14:paraId="1EFC407E" w14:textId="41929051"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с.г – 30 шт.</w:t>
      </w:r>
      <w:r w:rsidR="008127F8">
        <w:rPr>
          <w:rFonts w:ascii="Times New Roman" w:hAnsi="Times New Roman"/>
          <w:color w:val="000000" w:themeColor="text1"/>
          <w:sz w:val="16"/>
          <w:szCs w:val="16"/>
        </w:rPr>
        <w:t xml:space="preserve">  </w:t>
      </w:r>
    </w:p>
    <w:p w14:paraId="4E42EEB9" w14:textId="467B59A3"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далее по графику, который будет утвержден на апрель;</w:t>
      </w:r>
      <w:r w:rsidR="008127F8">
        <w:rPr>
          <w:rFonts w:ascii="Times New Roman" w:hAnsi="Times New Roman"/>
          <w:color w:val="000000" w:themeColor="text1"/>
          <w:sz w:val="16"/>
          <w:szCs w:val="16"/>
        </w:rPr>
        <w:t xml:space="preserve">  </w:t>
      </w:r>
    </w:p>
    <w:p w14:paraId="78CD1DF3" w14:textId="4F698E7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командировать на завод № 112 двух конструкторов дизелистов, трех мастеров дизелистов, сборщиков и регулировщиков.</w:t>
      </w:r>
      <w:r w:rsidR="008127F8">
        <w:rPr>
          <w:rFonts w:ascii="Times New Roman" w:hAnsi="Times New Roman"/>
          <w:color w:val="000000" w:themeColor="text1"/>
          <w:sz w:val="16"/>
          <w:szCs w:val="16"/>
        </w:rPr>
        <w:t xml:space="preserve">  </w:t>
      </w:r>
    </w:p>
    <w:p w14:paraId="7002DEF2" w14:textId="548B44DA"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СТЗ – т. Задорожному:</w:t>
      </w:r>
      <w:r w:rsidR="008127F8">
        <w:rPr>
          <w:rFonts w:ascii="Times New Roman" w:hAnsi="Times New Roman"/>
          <w:color w:val="000000" w:themeColor="text1"/>
          <w:sz w:val="16"/>
          <w:szCs w:val="16"/>
        </w:rPr>
        <w:t xml:space="preserve">  </w:t>
      </w:r>
    </w:p>
    <w:p w14:paraId="392FEADE" w14:textId="297D6FF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немедленно выслать самолетом заводу № 112 всю техническую документацию на установку дизеля В-2 в танк Т-34 и техническую документацию на электрооборудование для дизеля В-2;</w:t>
      </w:r>
      <w:r w:rsidR="008127F8">
        <w:rPr>
          <w:rFonts w:ascii="Times New Roman" w:hAnsi="Times New Roman"/>
          <w:color w:val="000000" w:themeColor="text1"/>
          <w:sz w:val="16"/>
          <w:szCs w:val="16"/>
        </w:rPr>
        <w:t xml:space="preserve">  </w:t>
      </w:r>
    </w:p>
    <w:p w14:paraId="7E521159" w14:textId="7588475F"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командировать на завод № 112 2-х монтажников по установке дизеля В-2;</w:t>
      </w:r>
      <w:r w:rsidR="008127F8">
        <w:rPr>
          <w:rFonts w:ascii="Times New Roman" w:hAnsi="Times New Roman"/>
          <w:color w:val="000000" w:themeColor="text1"/>
          <w:sz w:val="16"/>
          <w:szCs w:val="16"/>
        </w:rPr>
        <w:t xml:space="preserve">  </w:t>
      </w:r>
    </w:p>
    <w:p w14:paraId="2D708735" w14:textId="5B3A966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 22 марта с.г. отгрузить заводу № 112 – 50 комплектов вентиляторов и до 30 марта еще 50 комплектов.</w:t>
      </w:r>
      <w:r w:rsidR="008127F8">
        <w:rPr>
          <w:rFonts w:ascii="Times New Roman" w:hAnsi="Times New Roman"/>
          <w:color w:val="000000" w:themeColor="text1"/>
          <w:sz w:val="16"/>
          <w:szCs w:val="16"/>
        </w:rPr>
        <w:t xml:space="preserve">  </w:t>
      </w:r>
    </w:p>
    <w:p w14:paraId="50FFCA1B" w14:textId="0AAACF63"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Начальнику Главснаба т. Розину:</w:t>
      </w:r>
      <w:r w:rsidR="008127F8">
        <w:rPr>
          <w:rFonts w:ascii="Times New Roman" w:hAnsi="Times New Roman"/>
          <w:color w:val="000000" w:themeColor="text1"/>
          <w:sz w:val="16"/>
          <w:szCs w:val="16"/>
        </w:rPr>
        <w:t xml:space="preserve">  </w:t>
      </w:r>
    </w:p>
    <w:p w14:paraId="7FF93D14" w14:textId="766F8C34"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к 25 марта с.г. завоз на завод № 112 необходимого количества горючего и смазки для дизелей В-2;</w:t>
      </w:r>
      <w:r w:rsidR="008127F8">
        <w:rPr>
          <w:rFonts w:ascii="Times New Roman" w:hAnsi="Times New Roman"/>
          <w:color w:val="000000" w:themeColor="text1"/>
          <w:sz w:val="16"/>
          <w:szCs w:val="16"/>
        </w:rPr>
        <w:t xml:space="preserve">  </w:t>
      </w:r>
    </w:p>
    <w:p w14:paraId="17A92F37" w14:textId="512772B1"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к 25 марта с.г. доставку заводу № 112 электрооборудования для дизелей В-2 (кроме получаемого комплектно с дизелем).</w:t>
      </w:r>
      <w:r w:rsidR="008127F8">
        <w:rPr>
          <w:rFonts w:ascii="Times New Roman" w:hAnsi="Times New Roman"/>
          <w:color w:val="000000" w:themeColor="text1"/>
          <w:sz w:val="16"/>
          <w:szCs w:val="16"/>
        </w:rPr>
        <w:t xml:space="preserve">  </w:t>
      </w:r>
    </w:p>
    <w:p w14:paraId="508509B3"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Контроль за выполнением приказа возложить на т. ДАВТЯН.</w:t>
      </w:r>
    </w:p>
    <w:p w14:paraId="1AD20520"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061B6216"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638EA814"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(18602).</w:t>
      </w:r>
    </w:p>
    <w:p w14:paraId="72D2E90B" w14:textId="77777777" w:rsidR="006912D4" w:rsidRPr="008127F8" w:rsidRDefault="006912D4" w:rsidP="001E0A84">
      <w:pPr>
        <w:spacing w:after="0" w:line="240" w:lineRule="auto"/>
        <w:jc w:val="both"/>
        <w:rPr>
          <w:rFonts w:ascii="Times New Roman" w:hAnsi="Times New Roman"/>
          <w:color w:val="000000" w:themeColor="text1"/>
          <w:sz w:val="16"/>
          <w:szCs w:val="16"/>
        </w:rPr>
      </w:pPr>
    </w:p>
    <w:p w14:paraId="20434CC6"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w:t>
      </w:r>
    </w:p>
    <w:p w14:paraId="50E5127C" w14:textId="3854DB23"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66 – 68</w:t>
      </w:r>
      <w:r w:rsidR="008127F8">
        <w:rPr>
          <w:rFonts w:ascii="Times New Roman" w:hAnsi="Times New Roman"/>
          <w:color w:val="000000" w:themeColor="text1"/>
          <w:sz w:val="16"/>
          <w:szCs w:val="16"/>
        </w:rPr>
        <w:t xml:space="preserve">  </w:t>
      </w:r>
    </w:p>
    <w:p w14:paraId="7F02EE9E" w14:textId="6212EC9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2E891FDB"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Срочно</w:t>
      </w:r>
    </w:p>
    <w:p w14:paraId="5D97E328"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6F26421"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3BF7FD5C"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264-Мс</w:t>
      </w:r>
    </w:p>
    <w:p w14:paraId="33BF952E"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 Москва</w:t>
      </w:r>
    </w:p>
    <w:p w14:paraId="57CAC89F"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w:t>
      </w:r>
    </w:p>
    <w:p w14:paraId="197F5D79"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производстве дизелей В-2 на Кировском заводе.</w:t>
      </w:r>
    </w:p>
    <w:p w14:paraId="4631990A" w14:textId="6222B21C"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неудовлетворительного руководства дизельным производством со стороны дирекции Кировского завода, бывший завод № 75, размещенный на площадях Кировского завода, в настоящее время выпускает дизелей В-2 в два раза меньше, чем выпускал в г. Харькове.</w:t>
      </w:r>
      <w:r w:rsidR="008127F8">
        <w:rPr>
          <w:rFonts w:ascii="Times New Roman" w:hAnsi="Times New Roman"/>
          <w:color w:val="000000" w:themeColor="text1"/>
          <w:sz w:val="16"/>
          <w:szCs w:val="16"/>
        </w:rPr>
        <w:t xml:space="preserve">  </w:t>
      </w:r>
    </w:p>
    <w:p w14:paraId="77C8E34E" w14:textId="7240D0A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Такая работа бывшего завода № 75 объясняется тем, что дирекция Кировского завода все свое внимание и материальные ресурсы направляет, главным образом, на танковое производство, игнорируя нужды дизельного производства. </w:t>
      </w: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в работе дирекции Кировского завода наблюдается явно антигосударственная тенденция, заключающаяся в том, что удовлетворяя производство танков КВ дизелями, дирекция не заинтересована в том, чтобы увеличить выпуск дизелей для других танковых заводов.</w:t>
      </w:r>
      <w:r w:rsidR="008127F8">
        <w:rPr>
          <w:rFonts w:ascii="Times New Roman" w:hAnsi="Times New Roman"/>
          <w:color w:val="000000" w:themeColor="text1"/>
          <w:sz w:val="16"/>
          <w:szCs w:val="16"/>
        </w:rPr>
        <w:t xml:space="preserve">  </w:t>
      </w:r>
    </w:p>
    <w:p w14:paraId="70C51CE5" w14:textId="5B0AFE1F"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указание Правительства о том, чтобы прекратить производство танков Т-34 на заводе № 112 с моторами М-17 и перейти на выпуск танков с дизелями, и вследствие этого жизненную необходимость уже в ближайшее время резко увеличить выпуск дизелей В-2 для нужд 112 и 183 заводов, ПРИКАЗЫВАЮ:</w:t>
      </w:r>
      <w:r w:rsidR="008127F8">
        <w:rPr>
          <w:rFonts w:ascii="Times New Roman" w:hAnsi="Times New Roman"/>
          <w:color w:val="000000" w:themeColor="text1"/>
          <w:sz w:val="16"/>
          <w:szCs w:val="16"/>
        </w:rPr>
        <w:t xml:space="preserve">  </w:t>
      </w:r>
    </w:p>
    <w:p w14:paraId="54F27D3E" w14:textId="2436AA94"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Кировского завода т. Махонину и Главному инженеру т. Кизельштейну провести следующие мероприятия по дизельному производству завода:</w:t>
      </w:r>
      <w:r w:rsidR="008127F8">
        <w:rPr>
          <w:rFonts w:ascii="Times New Roman" w:hAnsi="Times New Roman"/>
          <w:color w:val="000000" w:themeColor="text1"/>
          <w:sz w:val="16"/>
          <w:szCs w:val="16"/>
        </w:rPr>
        <w:t xml:space="preserve">  </w:t>
      </w:r>
    </w:p>
    <w:p w14:paraId="75BB9DB2" w14:textId="44C07141"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3-дневный срок выделить и закрепить штамповочные и ковочные молота в кузнице только на дизельное производство. Допустить на этих молотах частичное выполнение штамповок для завода № 183, т.е. восстановить то положение с использованием кузнечных средств, которое было на заводе № 75 в г. Харькове до эвакуации.</w:t>
      </w:r>
      <w:r w:rsidR="008127F8">
        <w:rPr>
          <w:rFonts w:ascii="Times New Roman" w:hAnsi="Times New Roman"/>
          <w:color w:val="000000" w:themeColor="text1"/>
          <w:sz w:val="16"/>
          <w:szCs w:val="16"/>
        </w:rPr>
        <w:t xml:space="preserve">  </w:t>
      </w:r>
    </w:p>
    <w:p w14:paraId="399D9E44" w14:textId="2C6D8ED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 25 марта совместно с Наркомстроем закончить все строительно-монтажные работы в цехе цветного литья.</w:t>
      </w:r>
      <w:r w:rsidR="008127F8">
        <w:rPr>
          <w:rFonts w:ascii="Times New Roman" w:hAnsi="Times New Roman"/>
          <w:color w:val="000000" w:themeColor="text1"/>
          <w:sz w:val="16"/>
          <w:szCs w:val="16"/>
        </w:rPr>
        <w:t xml:space="preserve">  </w:t>
      </w:r>
    </w:p>
    <w:p w14:paraId="6ECD600E" w14:textId="73A888FF"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Главного механика завода к 25 марта закончить изготовление 6-ти станков типа "Уикс" и к 1 апреля установить их в линии коленчатого вала дизельного производства.</w:t>
      </w:r>
      <w:r w:rsidR="008127F8">
        <w:rPr>
          <w:rFonts w:ascii="Times New Roman" w:hAnsi="Times New Roman"/>
          <w:color w:val="000000" w:themeColor="text1"/>
          <w:sz w:val="16"/>
          <w:szCs w:val="16"/>
        </w:rPr>
        <w:t xml:space="preserve">  </w:t>
      </w:r>
    </w:p>
    <w:p w14:paraId="57EAF29E" w14:textId="4A0AEC6A"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3-дневный срок передать из танковых цехов для дизельного производства 300 станков, в том числе 150 станков цеху топливной аппаратуры, 100 станков цеху 300 и 50 станков инструментальному цеху, а также передать из танковых цехов 300 человек квалифицированных рабочих в цех топливной аппаратуры.</w:t>
      </w:r>
      <w:r w:rsidR="008127F8">
        <w:rPr>
          <w:rFonts w:ascii="Times New Roman" w:hAnsi="Times New Roman"/>
          <w:color w:val="000000" w:themeColor="text1"/>
          <w:sz w:val="16"/>
          <w:szCs w:val="16"/>
        </w:rPr>
        <w:t xml:space="preserve">  </w:t>
      </w:r>
    </w:p>
    <w:p w14:paraId="6B6A8936" w14:textId="026F3B69"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 1 апреля установить в термическом отделении механического цеха дизельного производства 2 цементационные печи для ликвидации кооперации с танковыми цехами.</w:t>
      </w:r>
      <w:r w:rsidR="008127F8">
        <w:rPr>
          <w:rFonts w:ascii="Times New Roman" w:hAnsi="Times New Roman"/>
          <w:color w:val="000000" w:themeColor="text1"/>
          <w:sz w:val="16"/>
          <w:szCs w:val="16"/>
        </w:rPr>
        <w:t xml:space="preserve">  </w:t>
      </w:r>
    </w:p>
    <w:p w14:paraId="711ED972" w14:textId="3778C6B9"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Немедленно возвратить дизельному производству все ранее принадлежавшие 75 заводу пресса для холодной штамповки с тем, чтобы полностью обеспечивать холодной штамповкой, в частности штамповкой коллекторов, все нужды дизельного производства Кировского завода и завода № 76.</w:t>
      </w:r>
      <w:r w:rsidR="008127F8">
        <w:rPr>
          <w:rFonts w:ascii="Times New Roman" w:hAnsi="Times New Roman"/>
          <w:color w:val="000000" w:themeColor="text1"/>
          <w:sz w:val="16"/>
          <w:szCs w:val="16"/>
        </w:rPr>
        <w:t xml:space="preserve">  </w:t>
      </w:r>
    </w:p>
    <w:p w14:paraId="4788DBEE" w14:textId="7214F398"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УРС завода к 1 апреля закончить монтаж сборочного цеха и 4-х дополнительных стендов (всего 14 стендов) для испытания моторов.</w:t>
      </w:r>
      <w:r w:rsidR="008127F8">
        <w:rPr>
          <w:rFonts w:ascii="Times New Roman" w:hAnsi="Times New Roman"/>
          <w:color w:val="000000" w:themeColor="text1"/>
          <w:sz w:val="16"/>
          <w:szCs w:val="16"/>
        </w:rPr>
        <w:t xml:space="preserve">  </w:t>
      </w:r>
    </w:p>
    <w:p w14:paraId="686A1A7E" w14:textId="1B3E510E"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Главного механика завода обеспечить необходимый ремонт всего оборудования дизельного производства. Для этой цели закрепить в ремонтно-механических цехах необходимое количество станочного оборудования и рабочих, запретив их загружать какими бы то ни было работами, кроме ремонта оборудования дизельного производства.</w:t>
      </w:r>
      <w:r w:rsidR="008127F8">
        <w:rPr>
          <w:rFonts w:ascii="Times New Roman" w:hAnsi="Times New Roman"/>
          <w:color w:val="000000" w:themeColor="text1"/>
          <w:sz w:val="16"/>
          <w:szCs w:val="16"/>
        </w:rPr>
        <w:t xml:space="preserve">  </w:t>
      </w:r>
    </w:p>
    <w:p w14:paraId="4987363B" w14:textId="7631BEBB"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Зам. директора завода по рабочему снабжению приравнять по питанию рабочих дизельного производства к рабочим танкового производства. В дальнейшем не допускать никаких ухудшений в части снабжения и питания рабочих дизельного производства по сравнению с рабочими танкового производства.</w:t>
      </w:r>
      <w:r w:rsidR="008127F8">
        <w:rPr>
          <w:rFonts w:ascii="Times New Roman" w:hAnsi="Times New Roman"/>
          <w:color w:val="000000" w:themeColor="text1"/>
          <w:sz w:val="16"/>
          <w:szCs w:val="16"/>
        </w:rPr>
        <w:t xml:space="preserve">  </w:t>
      </w:r>
    </w:p>
    <w:p w14:paraId="633842D5" w14:textId="58C9C588"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Всю прибывающую на завод в марте и апреле рабочую силу направлять в первую очередь в дизельные цехи с тем, чтобы до 15 апреля дать дизельным цехам 1000 человек станочников и 400 человек слесарей.</w:t>
      </w:r>
      <w:r w:rsidR="008127F8">
        <w:rPr>
          <w:rFonts w:ascii="Times New Roman" w:hAnsi="Times New Roman"/>
          <w:color w:val="000000" w:themeColor="text1"/>
          <w:sz w:val="16"/>
          <w:szCs w:val="16"/>
        </w:rPr>
        <w:t xml:space="preserve">  </w:t>
      </w:r>
    </w:p>
    <w:p w14:paraId="0068D793" w14:textId="0E7C4AE8"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Немедленно выделить дизельному производству необходимое количество материалов, в особенности быстрореза и инструментальной стали. Впредь выделять для дизельного производства все материалы и все материальное снабжение отдельной строчкой и запретить передавать фонды, выделенные для дизельного производства на другие нужды завода.</w:t>
      </w:r>
      <w:r w:rsidR="008127F8">
        <w:rPr>
          <w:rFonts w:ascii="Times New Roman" w:hAnsi="Times New Roman"/>
          <w:color w:val="000000" w:themeColor="text1"/>
          <w:sz w:val="16"/>
          <w:szCs w:val="16"/>
        </w:rPr>
        <w:t xml:space="preserve">  </w:t>
      </w:r>
    </w:p>
    <w:p w14:paraId="5122CEFC" w14:textId="5D560FA6"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Обязать Начальника Главснаба наркомата т. Розина с 1 апреля с.г. все материальные фонды для дизельного производства Кировского завода выделять отдельной строчкой, запретив дирекции Кировского завода передавать материалы, выделенные для дизельного производства, на </w:t>
      </w:r>
      <w:proofErr w:type="gramStart"/>
      <w:r w:rsidRPr="008127F8">
        <w:rPr>
          <w:rFonts w:ascii="Times New Roman" w:hAnsi="Times New Roman"/>
          <w:color w:val="000000" w:themeColor="text1"/>
          <w:sz w:val="16"/>
          <w:szCs w:val="16"/>
        </w:rPr>
        <w:t>какие либо</w:t>
      </w:r>
      <w:proofErr w:type="gramEnd"/>
      <w:r w:rsidRPr="008127F8">
        <w:rPr>
          <w:rFonts w:ascii="Times New Roman" w:hAnsi="Times New Roman"/>
          <w:color w:val="000000" w:themeColor="text1"/>
          <w:sz w:val="16"/>
          <w:szCs w:val="16"/>
        </w:rPr>
        <w:t xml:space="preserve"> другие нужды завода.</w:t>
      </w:r>
      <w:r w:rsidR="008127F8">
        <w:rPr>
          <w:rFonts w:ascii="Times New Roman" w:hAnsi="Times New Roman"/>
          <w:color w:val="000000" w:themeColor="text1"/>
          <w:sz w:val="16"/>
          <w:szCs w:val="16"/>
        </w:rPr>
        <w:t xml:space="preserve">  </w:t>
      </w:r>
    </w:p>
    <w:p w14:paraId="3F6B764F" w14:textId="17F0091C"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Начальнику Планового отдела т. Васину с 1 апреля планировать рабочую силу по основным и вспомогательным цехам дизельного производства отдельной строчкой, запретив дирекции Кировского завода использовать выделяемую для дизельного производства рабочую силу и ИТР на </w:t>
      </w:r>
      <w:proofErr w:type="gramStart"/>
      <w:r w:rsidRPr="008127F8">
        <w:rPr>
          <w:rFonts w:ascii="Times New Roman" w:hAnsi="Times New Roman"/>
          <w:color w:val="000000" w:themeColor="text1"/>
          <w:sz w:val="16"/>
          <w:szCs w:val="16"/>
        </w:rPr>
        <w:t>какие либо</w:t>
      </w:r>
      <w:proofErr w:type="gramEnd"/>
      <w:r w:rsidRPr="008127F8">
        <w:rPr>
          <w:rFonts w:ascii="Times New Roman" w:hAnsi="Times New Roman"/>
          <w:color w:val="000000" w:themeColor="text1"/>
          <w:sz w:val="16"/>
          <w:szCs w:val="16"/>
        </w:rPr>
        <w:t xml:space="preserve"> другие нужды завода.</w:t>
      </w:r>
      <w:r w:rsidR="008127F8">
        <w:rPr>
          <w:rFonts w:ascii="Times New Roman" w:hAnsi="Times New Roman"/>
          <w:color w:val="000000" w:themeColor="text1"/>
          <w:sz w:val="16"/>
          <w:szCs w:val="16"/>
        </w:rPr>
        <w:t xml:space="preserve">  </w:t>
      </w:r>
    </w:p>
    <w:p w14:paraId="18A697FB" w14:textId="2EDE0BE3"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Ликвидировать существующую на Кировском заводе многоступенчатую систему управления дизельным производством, назначив главного инженера дизельного производства Начальником дизельного отдела. Главного инженера дизельного производства назначить вторым заместителем директора завода.</w:t>
      </w:r>
      <w:r w:rsidR="008127F8">
        <w:rPr>
          <w:rFonts w:ascii="Times New Roman" w:hAnsi="Times New Roman"/>
          <w:color w:val="000000" w:themeColor="text1"/>
          <w:sz w:val="16"/>
          <w:szCs w:val="16"/>
        </w:rPr>
        <w:t xml:space="preserve">  </w:t>
      </w:r>
    </w:p>
    <w:p w14:paraId="4A214582" w14:textId="5DBCDFB3"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Возложить контроль за выполнением данного Приказа на Начальника моторного сектора Производственного отдела – т. Москалевского. Тов. Москалевскому каждые пять дней докладывать мне по ВЧ о ходе выполнения этого Приказа.</w:t>
      </w:r>
      <w:r w:rsidR="008127F8">
        <w:rPr>
          <w:rFonts w:ascii="Times New Roman" w:hAnsi="Times New Roman"/>
          <w:color w:val="000000" w:themeColor="text1"/>
          <w:sz w:val="16"/>
          <w:szCs w:val="16"/>
        </w:rPr>
        <w:t xml:space="preserve">  </w:t>
      </w:r>
    </w:p>
    <w:p w14:paraId="79747772"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Предупредить директора завода т. Махонина, Главного инженера т. Кизельштейна и Главного инженера дизельного производства т. Невяжского, что оценка их работы, как руководителей завода, будет зависеть от их способности быстро улучшить дело с выпуском дизелей В-2.</w:t>
      </w:r>
    </w:p>
    <w:p w14:paraId="04174DD9"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СССР</w:t>
      </w:r>
    </w:p>
    <w:p w14:paraId="0D123402"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 (18603).</w:t>
      </w:r>
    </w:p>
    <w:p w14:paraId="0E61F0B8" w14:textId="77777777" w:rsidR="006912D4" w:rsidRPr="008127F8" w:rsidRDefault="006912D4" w:rsidP="001E0A84">
      <w:pPr>
        <w:spacing w:after="0" w:line="240" w:lineRule="auto"/>
        <w:jc w:val="both"/>
        <w:rPr>
          <w:rFonts w:ascii="Times New Roman" w:hAnsi="Times New Roman"/>
          <w:color w:val="000000" w:themeColor="text1"/>
          <w:sz w:val="16"/>
          <w:szCs w:val="16"/>
        </w:rPr>
      </w:pPr>
    </w:p>
    <w:p w14:paraId="4AD22241"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1942 г. Приказом по НКТП отмечалось, что Кировский завод производил дизелей ровно в два раза меньше, чем харьковский завод № 75. И хотя у завода есть все производственные возможности расширить дизельное производство, он, полностью удовлетворяя свои потребности в двигателях, недопоставляет этот вид продукции прикрепленным по кооперации предприятиям (заводам № 112 и 183)[476] (23536).</w:t>
      </w:r>
    </w:p>
    <w:p w14:paraId="7A78E9E2" w14:textId="77777777" w:rsidR="00213148" w:rsidRPr="008A2E5A" w:rsidRDefault="00213148" w:rsidP="00213148">
      <w:pPr>
        <w:spacing w:after="0" w:line="240" w:lineRule="auto"/>
        <w:jc w:val="both"/>
        <w:rPr>
          <w:rFonts w:ascii="Times New Roman" w:hAnsi="Times New Roman"/>
          <w:color w:val="0070C0"/>
          <w:sz w:val="16"/>
          <w:szCs w:val="16"/>
        </w:rPr>
      </w:pPr>
    </w:p>
    <w:p w14:paraId="5E5C7AF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в котором говорилось:</w:t>
      </w:r>
    </w:p>
    <w:p w14:paraId="1CE63172"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4603A27A"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147D07C7"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1BA00E8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6659EB1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8127F8">
        <w:rPr>
          <w:rFonts w:ascii="Times New Roman" w:hAnsi="Times New Roman"/>
          <w:color w:val="000000" w:themeColor="text1"/>
          <w:sz w:val="16"/>
          <w:szCs w:val="16"/>
        </w:rPr>
        <w:t>машина с М-17</w:t>
      </w:r>
      <w:proofErr w:type="gramEnd"/>
      <w:r w:rsidRPr="008127F8">
        <w:rPr>
          <w:rFonts w:ascii="Times New Roman" w:hAnsi="Times New Roman"/>
          <w:color w:val="000000" w:themeColor="text1"/>
          <w:sz w:val="16"/>
          <w:szCs w:val="16"/>
        </w:rPr>
        <w:t xml:space="preserve"> прошедшая пробег, но требу- юшие небольших доделок.</w:t>
      </w:r>
    </w:p>
    <w:p w14:paraId="229DBFD5"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18D5115E"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ТанкТ-34 выпуска завода №183 апреля 1943года (ЦАМО).</w:t>
      </w:r>
    </w:p>
    <w:p w14:paraId="41080576" w14:textId="77777777" w:rsidR="0014562F" w:rsidRPr="008127F8" w:rsidRDefault="00145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6BC65030" w14:textId="77777777" w:rsidR="0014562F" w:rsidRPr="008127F8" w:rsidRDefault="0014562F" w:rsidP="001E0A84">
      <w:pPr>
        <w:spacing w:after="0" w:line="240" w:lineRule="auto"/>
        <w:jc w:val="both"/>
        <w:rPr>
          <w:rFonts w:ascii="Times New Roman" w:hAnsi="Times New Roman"/>
          <w:color w:val="000000" w:themeColor="text1"/>
          <w:sz w:val="16"/>
          <w:szCs w:val="16"/>
        </w:rPr>
      </w:pPr>
    </w:p>
    <w:p w14:paraId="31FF36D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марта 1942 г. вышел ПРИКАЗ ПО АТУ ГАБТУ КА ПО РЕЗУЛЬТАТАМ ПРОВЕРКИ РАБОТЫ ВОЕННОЙ ПРИЕМКИ НА ЗАВОДЕ ГАЗ №22 </w:t>
      </w:r>
    </w:p>
    <w:p w14:paraId="26E814F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по управлению № 4 от 13.01.1942 г. на районного инженера АТУ ГАБТУ КА бригинже-нера т. Кузнецова возлагалось наведение порядка в деле приема и сдачи импортных машин на ГАЗ им. Молотова, а также их перегона на трассе Горький — Москва.</w:t>
      </w:r>
    </w:p>
    <w:p w14:paraId="30787A4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Произведенной проверкой в феврале с.г. установлено, что приказ районным инженером т. Куз</w:t>
      </w:r>
      <w:r w:rsidRPr="008127F8">
        <w:rPr>
          <w:rFonts w:ascii="Times New Roman" w:hAnsi="Times New Roman"/>
          <w:color w:val="000000" w:themeColor="text1"/>
          <w:sz w:val="16"/>
          <w:szCs w:val="16"/>
        </w:rPr>
        <w:softHyphen/>
        <w:t>нецовым не выполнен:</w:t>
      </w:r>
    </w:p>
    <w:p w14:paraId="18F6F0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 сдаче машин на заводе начальникам колонн описи положенного на каждую машину ин</w:t>
      </w:r>
      <w:r w:rsidRPr="008127F8">
        <w:rPr>
          <w:rFonts w:ascii="Times New Roman" w:hAnsi="Times New Roman"/>
          <w:color w:val="000000" w:themeColor="text1"/>
          <w:sz w:val="16"/>
          <w:szCs w:val="16"/>
        </w:rPr>
        <w:softHyphen/>
        <w:t>струмента и оборудования не выдается, вследствие чего пропадает значительное количество имуще</w:t>
      </w:r>
      <w:r w:rsidRPr="008127F8">
        <w:rPr>
          <w:rFonts w:ascii="Times New Roman" w:hAnsi="Times New Roman"/>
          <w:color w:val="000000" w:themeColor="text1"/>
          <w:sz w:val="16"/>
          <w:szCs w:val="16"/>
        </w:rPr>
        <w:softHyphen/>
        <w:t>ства в каждой прибывающей в часть колонне.</w:t>
      </w:r>
    </w:p>
    <w:p w14:paraId="54750CA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Транспорты с автоимуществом из северных портов прибывают с небрежно составленными сопроводительными документами, не отражающими действительного состояния отправляемых ма</w:t>
      </w:r>
      <w:r w:rsidRPr="008127F8">
        <w:rPr>
          <w:rFonts w:ascii="Times New Roman" w:hAnsi="Times New Roman"/>
          <w:color w:val="000000" w:themeColor="text1"/>
          <w:sz w:val="16"/>
          <w:szCs w:val="16"/>
        </w:rPr>
        <w:softHyphen/>
        <w:t>шин, внося тем самым путаницу в учет и создавая условия для расхищения имущества.</w:t>
      </w:r>
    </w:p>
    <w:p w14:paraId="29735E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Принимая прибывшие импортные автомашины с различными дефектами (механические повре</w:t>
      </w:r>
      <w:r w:rsidRPr="008127F8">
        <w:rPr>
          <w:rFonts w:ascii="Times New Roman" w:hAnsi="Times New Roman"/>
          <w:color w:val="000000" w:themeColor="text1"/>
          <w:sz w:val="16"/>
          <w:szCs w:val="16"/>
        </w:rPr>
        <w:softHyphen/>
        <w:t>ждения, разморожены аккумуляторы и др.), районный инженер АТУ бригинженер т. Кузнецов не принял действенных мер к устранению всех недостатков в дальнейшем и не донес мне о них свое</w:t>
      </w:r>
      <w:r w:rsidRPr="008127F8">
        <w:rPr>
          <w:rFonts w:ascii="Times New Roman" w:hAnsi="Times New Roman"/>
          <w:color w:val="000000" w:themeColor="text1"/>
          <w:sz w:val="16"/>
          <w:szCs w:val="16"/>
        </w:rPr>
        <w:softHyphen/>
        <w:t>временно.</w:t>
      </w:r>
    </w:p>
    <w:p w14:paraId="4A03DD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маршрутных листах, выдаваемых начальникам колонн, как правило, не указывается время прибытия колонн к месту назначения и режим движения, что приводит к нарушению установлен</w:t>
      </w:r>
      <w:r w:rsidRPr="008127F8">
        <w:rPr>
          <w:rFonts w:ascii="Times New Roman" w:hAnsi="Times New Roman"/>
          <w:color w:val="000000" w:themeColor="text1"/>
          <w:sz w:val="16"/>
          <w:szCs w:val="16"/>
        </w:rPr>
        <w:softHyphen/>
        <w:t>ных правил обкатки машин и к преждевременному выходу их из строя.</w:t>
      </w:r>
    </w:p>
    <w:p w14:paraId="1165A7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Колонны, отправляемые из Горького, по-прежнему растягиваются по трассе, отдельные маши</w:t>
      </w:r>
      <w:r w:rsidRPr="008127F8">
        <w:rPr>
          <w:rFonts w:ascii="Times New Roman" w:hAnsi="Times New Roman"/>
          <w:color w:val="000000" w:themeColor="text1"/>
          <w:sz w:val="16"/>
          <w:szCs w:val="16"/>
        </w:rPr>
        <w:softHyphen/>
        <w:t xml:space="preserve">ны прибывают в пункты сдачи в течение одного — двух </w:t>
      </w:r>
      <w:proofErr w:type="gramStart"/>
      <w:r w:rsidRPr="008127F8">
        <w:rPr>
          <w:rFonts w:ascii="Times New Roman" w:hAnsi="Times New Roman"/>
          <w:color w:val="000000" w:themeColor="text1"/>
          <w:sz w:val="16"/>
          <w:szCs w:val="16"/>
        </w:rPr>
        <w:t>дней</w:t>
      </w:r>
      <w:proofErr w:type="gramEnd"/>
      <w:r w:rsidRPr="008127F8">
        <w:rPr>
          <w:rFonts w:ascii="Times New Roman" w:hAnsi="Times New Roman"/>
          <w:color w:val="000000" w:themeColor="text1"/>
          <w:sz w:val="16"/>
          <w:szCs w:val="16"/>
        </w:rPr>
        <w:t xml:space="preserve"> не имея на это уважительных причин.</w:t>
      </w:r>
    </w:p>
    <w:p w14:paraId="03C7D6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непринятие своевременных мер по наведению порядка в деле приемки и отправки импорт</w:t>
      </w:r>
      <w:r w:rsidRPr="008127F8">
        <w:rPr>
          <w:rFonts w:ascii="Times New Roman" w:hAnsi="Times New Roman"/>
          <w:color w:val="000000" w:themeColor="text1"/>
          <w:sz w:val="16"/>
          <w:szCs w:val="16"/>
        </w:rPr>
        <w:softHyphen/>
        <w:t>ных машин районному инженеру на ГАЗ им. Молотова бригинженеру т. Кузнецову А.Ф. — объяв</w:t>
      </w:r>
      <w:r w:rsidRPr="008127F8">
        <w:rPr>
          <w:rFonts w:ascii="Times New Roman" w:hAnsi="Times New Roman"/>
          <w:color w:val="000000" w:themeColor="text1"/>
          <w:sz w:val="16"/>
          <w:szCs w:val="16"/>
        </w:rPr>
        <w:softHyphen/>
        <w:t>ляю выговор.</w:t>
      </w:r>
    </w:p>
    <w:p w14:paraId="2480A31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Бригинженеру т. Кузнецову приказываю немедленно организовать всю работу по приемке, сборке, хранению и отправке машин на автозаводе им. Молотова строго в соответствии с приказом НКО № 0169 от 2 марта 1942 г.</w:t>
      </w:r>
    </w:p>
    <w:p w14:paraId="75FD9E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исполнении донести к 1 апреля с.г.</w:t>
      </w:r>
    </w:p>
    <w:p w14:paraId="1DBDD7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Начальник АТУ ГАБТУ КА бригинженер Тягунов</w:t>
      </w:r>
    </w:p>
    <w:p w14:paraId="16FC47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АТУ ГАБТУ КА полковой комиссар Лозовский</w:t>
      </w:r>
    </w:p>
    <w:p w14:paraId="673FB5DC"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140. Л. 42 с об. Подлинник (11211).</w:t>
      </w:r>
    </w:p>
    <w:p w14:paraId="1230B2D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71495D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вышло Постановление ГКО № 1448 О передаче артелью "Автоштамп" заводу САМ НКМВ производства дисковых магазинов к ППШ. РГАНИР, Фонд ГКО, д. 24, лл. 105 (11012).</w:t>
      </w:r>
    </w:p>
    <w:p w14:paraId="2687C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788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вышло Постановление ГКО № 1449 Об обеспечении производства аппаратуры ВЧ-связи для нужд фронта и для восстановления ВЧ-связи в освобожденных районах. РГАНИР, Фонд ГКО, д. 24, лл. 106-109, 110-114 (11012).</w:t>
      </w:r>
    </w:p>
    <w:p w14:paraId="1BD386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B86A0"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1942 г. Постановление ГКО СССР № 1449сс «Об обеспечении производства аппаратуры ВЧ-связи для нужд фронта и для восстановления ВЧ-связи в освобожденных районах»</w:t>
      </w:r>
    </w:p>
    <w:p w14:paraId="17988590"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5148AC32"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производства ВЧ-аппаратуры для нужд фронта и для восстановления ВЧ-связи в освобождаемых от немецких оккупантов районах, а также ее усовершенствования и унификации, Государственный комитет обороны постановляет:</w:t>
      </w:r>
    </w:p>
    <w:p w14:paraId="6C02CD8F"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Наркомат электропромышленности (т. Кабанова) организовать на базе цеха дальней связи Уфимского завода № 628 самостоятельный завод по производству аппаратуры дальней связи, присвоив ему номер оборонного предприятия. Установить, начиная с III квартала с. г., объем производства в 2 раза больший, чем в I квартале, т. е. 10 млн руб. в квартал.</w:t>
      </w:r>
    </w:p>
    <w:p w14:paraId="4294C728"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Поручить НКВД (т. Серову), НКЭП (т. Зубовичу), НКСвязи (т. Сергейчуку), УС КА (т. Омельченко) и НКПС (т. Семенову) в 10-дневный срок: а) утвердить типы гпаратуры дальней связи, подлежащие изготовлению в 1942 г., с целью ее усовершенвования и унификации; б) установить программу заводу дальней связи по типам шаратуры и деталей, подлежащих изготовлению для нужд ВЧ-связи в соответствии установленным объемом. Установить, что в первую очередь заводом поставляется тпаратура НКВД СССР для обеспечения правительственной ВЧ-связи с фронтами согласно особому списку, представляемому НКВД.</w:t>
      </w:r>
    </w:p>
    <w:p w14:paraId="60A92C0F"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Обязать Главвоенстрой (т. Шапиро) построить в г. Уфе к 1 августа с. г. на територии </w:t>
      </w:r>
    </w:p>
    <w:p w14:paraId="550C362E"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цеха дальней связи два деревянных корпуса общей площадью в 5 тыс. кв. м к 1 октября 1942 г. — два деревянных жилых дома площадью по 1,5 тыс. кв. м каждый.</w:t>
      </w:r>
    </w:p>
    <w:p w14:paraId="508770C8"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Разрешить Наркомэлектропрому вывезти в марте сего года в г. Уфу, на заод дальней связи, из Ленинграда и Москвы оборудование, рабочих и ИТР с завода Красная заря» в количествах: а) квалифицированных рабочих в количестве 300 чел., б) ИТР — 25 чел., в) спецоборудования в количестве 200 ед., г) специнструмента в коичестве 50 т, д) материалы и задел по незавершенному производству — 100 т.</w:t>
      </w:r>
    </w:p>
    <w:p w14:paraId="76FE7BF9"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секретаря Ленинградского городского комитета ВКП(б) т. Кузнецова, Хрулева (НКО) и НКПС (т. Арутюнова) в течение марта обеспечить перевозку отобранных людей, оборудование и материалы из Ленинграда.</w:t>
      </w:r>
    </w:p>
    <w:p w14:paraId="1BE6FF10"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Главное управление трудовых резервов при СНК СССР (т. Мосскатова) произвести досрочный выпуск ремесленников, достигших 16 лет и выше, проходящих производственную практику на заводе № 628 и институте № 56, и передать их на работу на эти предприятия НКЭП с последующим переводом на завод дальней связи.</w:t>
      </w:r>
    </w:p>
    <w:p w14:paraId="07D3C92E"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Наркомцветмет, Наркомстанкостроения, Наркомчермет, Наркомрезинпром, Наркомстройматериалов, Наркомхимпром, Наркомбумпром, Наркомтекстиль, Наркомлес, Главлессбыт, Наркомэлектропром и Наркомфин поставить заводу дальней связи и институту № 56 Наркомэлектропрома материалы в количествах и сроки, указанные в приложении № 1, и Главвоенстрою — согласно приложению № 21, дополнительно к ранее выделенным фондам.</w:t>
      </w:r>
    </w:p>
    <w:p w14:paraId="62D99E4F"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Запретить без согласия СНК СССР и НКЭП загружать завод дальней связи и институт № 56 посторонними заказами.</w:t>
      </w:r>
    </w:p>
    <w:p w14:paraId="519B2A2B"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Приравнять завод аппаратуры дальней связи и институт № 56 НКЭП к предприятиям танковой и авиационной промышленности в части материально-технического и рабочего снабжения.</w:t>
      </w:r>
    </w:p>
    <w:p w14:paraId="48AD9BEC"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Освободить от мобилизации в Красную армию инженерно-технический nepcонал и рабочих, начиная с 3-го разряда и выше, завода дальней связи и института N° 56) НКЭП. Запретить изъятие по мобилизации автогужтранспорта, принадлежащего этим предприятиям.</w:t>
      </w:r>
    </w:p>
    <w:p w14:paraId="47438094"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Обязать НКПС передвижение грузов по железным дорогам для завода дальней связи и института № 56 производить наравне с военными грузами и, кроме этого, производить ежедневную приемку багажом для этих предприятий в количестве 500 кг.</w:t>
      </w:r>
    </w:p>
    <w:p w14:paraId="03A8916D"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Передать заводам № 628, дальней связи и институту № 56 пять 3-тонных машин из числа машин, принадлежащих ГУС КА НКО и находящихся на заводе № 628</w:t>
      </w:r>
    </w:p>
    <w:p w14:paraId="74DFA609"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На период освоения заводом производства прикрепить к институту № 56 НКЭП спецлабораторию ЦНИИСА НКСвязи с оборудованием и штатом лаборатории в количестве 21 чел.</w:t>
      </w:r>
    </w:p>
    <w:p w14:paraId="42F1A440"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Обязать Наркомчермет (т. Тевосян) обеспечить в 1942 г. прокат пермаллоя на Миньярском металлургическом заводе в количестве до 1 т ежемесячно.</w:t>
      </w:r>
    </w:p>
    <w:p w14:paraId="4B370431"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Обязать Наркомтанкопром (т. Малышев) производить выплавку пермаллоя и проковку на заготовку для Миньярского завода на Уралмашзаводе ежемесячно по 1,5 т.</w:t>
      </w:r>
    </w:p>
    <w:p w14:paraId="18A89695"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Обязать Совнарком Башкирской АССР (т. Вагапова) обеспечить жилплощадью весь контингент рабочих и ИТР с их семьями, переводимых из Ленинграда, организовав для них соответствующее питание.</w:t>
      </w:r>
    </w:p>
    <w:p w14:paraId="16A5903F"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Обязать секретаря Башкирского обкома ВКП(б) т. Задионченко оказать заваду дальней связи и институту № 56 постоянную и всемерную помощь как в организации завода, так и в выполнении заказов для ВЧ-связи, обеспечив строительство кирпичом и выделив в порядке платной гужповинности с 1 апреля на период строительства 100 подвод.</w:t>
      </w:r>
    </w:p>
    <w:p w14:paraId="689B8A9D"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Сталия</w:t>
      </w:r>
    </w:p>
    <w:p w14:paraId="32219F0C" w14:textId="77777777" w:rsidR="00213148" w:rsidRPr="008A2E5A" w:rsidRDefault="00213148" w:rsidP="002131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24. Л. 106-109. Подлинник.Документ поврежден (24080).</w:t>
      </w:r>
    </w:p>
    <w:p w14:paraId="4EDF6C6B" w14:textId="77777777" w:rsidR="00213148" w:rsidRPr="008A2E5A" w:rsidRDefault="00213148" w:rsidP="00213148">
      <w:pPr>
        <w:spacing w:after="0" w:line="240" w:lineRule="auto"/>
        <w:jc w:val="both"/>
        <w:rPr>
          <w:rFonts w:ascii="Times New Roman" w:hAnsi="Times New Roman"/>
          <w:color w:val="0070C0"/>
          <w:sz w:val="16"/>
          <w:szCs w:val="16"/>
        </w:rPr>
      </w:pPr>
    </w:p>
    <w:p w14:paraId="1CE34D62"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марта</w:t>
      </w:r>
      <w:r w:rsidRPr="008127F8">
        <w:rPr>
          <w:rFonts w:ascii="Times New Roman" w:hAnsi="Times New Roman"/>
          <w:color w:val="000000" w:themeColor="text1"/>
          <w:sz w:val="16"/>
          <w:szCs w:val="16"/>
        </w:rPr>
        <w:t xml:space="preserve"> в 1942 году в Архангельске на судоремонтном заводе «Красная Кузница», проникшими диверсантами или агентурой заложено ВУ и подожжен механический цех. Факт диверсии подтверждает предварительное повреждение пожарной донки и рукавов. Взрывчатка не взорвалась, но цех сгорел полностью. Если это диверсия, то единственно успешная во всей Архангельской области. На лавры успешных диверсантов могло претендовать «Abwehrnebenstelle Revel» –– подразделение Абвера руководством фрегаттен—капитана Целлариуса, имевшему сферой деятельности северо—запад и приполярные области СССР. (Фигурирует как “бюро Целлариуса” в фильме «Вариант Омега» с Олегом Далем) (15069).</w:t>
      </w:r>
    </w:p>
    <w:p w14:paraId="571C5F99"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768C56D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0ED0D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96186"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марта</w:t>
      </w:r>
      <w:r w:rsidRPr="008127F8">
        <w:rPr>
          <w:rFonts w:ascii="Times New Roman" w:hAnsi="Times New Roman"/>
          <w:color w:val="000000" w:themeColor="text1"/>
          <w:sz w:val="16"/>
          <w:szCs w:val="16"/>
        </w:rPr>
        <w:t xml:space="preserve"> в 1942 году утреннее сообщение Совинформбюро:</w:t>
      </w:r>
    </w:p>
    <w:p w14:paraId="4B8F115F"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15 марта на фронте каких-либо существенных изменений не произошло.</w:t>
      </w:r>
    </w:p>
    <w:p w14:paraId="4A9A37A0"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Юго-Западного фронта, в результате упорных боёв нанесли противнику большие потери в живой силе и технике. По неполным данным, за один день боёв уничтожено 650 гитлеровцев и взято в плен более 100 немецких солдат и офицеров. Среди захваченных трофеев — 10 орудий, 12 пулемётов, несколько миномётов, много автоматов, винтовок и патронов, 5 складов с боеприпасами, продовольствием и снаряжением.</w:t>
      </w:r>
    </w:p>
    <w:p w14:paraId="1954C9A6"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 части, где командиром тов. Кутлин, совершили ночной налёт на два пункта, в которых расположились немецкие войска. Навязав противнику уличный бой, наши бойцы уничтожили более 250 немецко-фашистских захватчиков.</w:t>
      </w:r>
    </w:p>
    <w:p w14:paraId="64C89495"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противник неоднократно пытался контратаковать наши части, бросая в бой пехоту, поддержанную танками. Все контратаки противника отбиты с большими для него потерями. На поле боя остались сотни вражеских трупов. Наши бойцы уничтожили 16 немецких танков.</w:t>
      </w:r>
    </w:p>
    <w:p w14:paraId="7DF90991"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на территории одного из районов Смоленской области, оккупированных немцами, совершил ряд налётов на вражеские обозы. В боях с оккупантами партизаны истребили 79 гитлеровцев и взяли в плен 5 немецких солдат. Отряд уничтожил 8 немецких автомашин с ценным грузом, захватил 7 повозок с продовольствием и взорвал склад с боеприпасами.</w:t>
      </w:r>
    </w:p>
    <w:p w14:paraId="55F10007"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8 роты 55 полка 17 немецкой пехотной дивизии Франц Фальтермайер рассказал: «Моя рота понесла очень большие потери. В ней осталось всего 45 человек. Дисциплина в частях сейчас совсем не та, что была раньше. Большинство кадровых унтер-офицеров выбыло из строя. На их место назначены солдаты. «Новоиспечённых» командиров никто не слушает. Недавно в 7 роте группа солдат самовольно ушла со своих постов».</w:t>
      </w:r>
    </w:p>
    <w:p w14:paraId="199AEC3B"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ефрейтора Берке найдено неотправленное письмо к матери.</w:t>
      </w:r>
    </w:p>
    <w:p w14:paraId="6765452F"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нём говорится: «Пришли мне как можно скорее какой-нибудь мази: моё бельё кишит вшами, я расчёсываюсь до крови. Всё тело покрылось струпьями».</w:t>
      </w:r>
    </w:p>
    <w:p w14:paraId="331C0D4B"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Жители деревни Лыково, Орловской области, составили акт о чудовищных злодеяниях гитлеровских мерзавцев. В акте говорится, что немцы, отступая из Лыкова, подожгли деревню со всех концов. Сгорели все 100 жилых домов колхозников, надворные и хозяйственные постройки. Жители пытались скрыться от огня в подвалах, погребах и ямах. Тогда немцы стали забрасывать их гранатами, а всех пытавшихся спастись расстреливали из пулемётов и автоматов. В результате этой дикой расправы немецких бандитов из 730 мирных жителей деревни в живых осталось всего 50 человек. В числе погибших Гусева Мария Васильевна — 60 лет, её сыновья </w:t>
      </w:r>
      <w:r w:rsidRPr="008127F8">
        <w:rPr>
          <w:rFonts w:ascii="Times New Roman" w:hAnsi="Times New Roman"/>
          <w:color w:val="000000" w:themeColor="text1"/>
          <w:sz w:val="16"/>
          <w:szCs w:val="16"/>
        </w:rPr>
        <w:lastRenderedPageBreak/>
        <w:t>Павел — 19 лет, Анатолий — 17 лет, Николай — 12 лет и дочь Антонина—13 дет, Ключкин Игнатий Анисимович, его жена и двое сыновей, Малестан Михаил Алексеевич, его жена и малолетний сын, а также многие другие старики, женщины и дети. Раненого осколком гранаты пятилетнего мальчика Николая Артёмова, пытавшегося выползти из подвала, один немецко-фашистский изверг заколол штыком.</w:t>
      </w:r>
    </w:p>
    <w:p w14:paraId="5636BB54"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Крупный отряд польских партизан, оперирующий недалеко от города. Августова, пустил под откос немецкий поезд с боеприпасами.» (15069).</w:t>
      </w:r>
    </w:p>
    <w:p w14:paraId="0CBD717E" w14:textId="77777777" w:rsidR="00161D13" w:rsidRPr="008127F8" w:rsidRDefault="00161D13" w:rsidP="001E0A84">
      <w:pPr>
        <w:spacing w:after="0" w:line="240" w:lineRule="auto"/>
        <w:jc w:val="both"/>
        <w:rPr>
          <w:rFonts w:ascii="Times New Roman" w:hAnsi="Times New Roman"/>
          <w:color w:val="000000" w:themeColor="text1"/>
          <w:sz w:val="16"/>
          <w:szCs w:val="16"/>
        </w:rPr>
      </w:pPr>
    </w:p>
    <w:p w14:paraId="5AB7986F"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марта</w:t>
      </w:r>
      <w:r w:rsidRPr="008127F8">
        <w:rPr>
          <w:rFonts w:ascii="Times New Roman" w:hAnsi="Times New Roman"/>
          <w:color w:val="000000" w:themeColor="text1"/>
          <w:sz w:val="16"/>
          <w:szCs w:val="16"/>
        </w:rPr>
        <w:t xml:space="preserve"> в 1942 году вечернее сообщение Совинформбюро:</w:t>
      </w:r>
    </w:p>
    <w:p w14:paraId="505FB3DD"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марта на фронте никаких существенных изменений не произошло.</w:t>
      </w:r>
    </w:p>
    <w:p w14:paraId="02840173"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марта уничтожено 20 немецких самолётов. Наши потери — 9 самолётов.</w:t>
      </w:r>
    </w:p>
    <w:p w14:paraId="1D385C4A"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марта частями нашей авиации уничтожено и повреждено 8 ненецких танков, 85 автомашин с войсками и грузами, 35 повозок с боеприпасами, автоцистерна с горючим, 14 орудий, 29 миномётов, 17 зенитно-пулемётных точек, взорвано 4 склада с боеприпасами, рассеяно и частью уничтожено до 3 батальонов пехоты противника.</w:t>
      </w:r>
    </w:p>
    <w:p w14:paraId="16394F9D"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наша воздушно-десантная часть отразил» ожесточённую контратаку противника. Немцы потеряли до 500 человек убитыми и ранеными. В бою подбит вражеский танк. На другом участке фронта наш лыжный батальон после упорного боя выбил немцев из населённого пункта Б. В числе захваченных трофеев один танк, 3 пулемёта, 2.000 патронов и другое военное имущество.</w:t>
      </w:r>
    </w:p>
    <w:p w14:paraId="2FB00484"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 немцев при поддержке 3 танков контратаковал деревню С., занятую подразделением нашей гвардейской стрелковой части. Гвардейцы выдержали натиск гитлеровцев и отбили атаку врага с большими для него потерями. В бою отличился младший лейтенант Коваль. Повернув в сторону врага захваченную в бою трофейную противотанковую пушку, тов. Коваль открыл огонь по немецким танкам и подбил один из них. Остальные повернули обратно. В этом же бою красноармеец тов. Коротаев в упор застрелил 3 немецких солдат и офицера и захватил станковый пулемёт.</w:t>
      </w:r>
    </w:p>
    <w:p w14:paraId="0EAA0490"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красноармейцев во главе с командиром взвода Даниловым и политруком Горделаном выбили немцев из укреплённой полосы и захватили окопы противника. Пытаясь вернуть потерянные позиции обратно, гитлеровцы, направили против 13 смельчаков 9 танков. Бутылками с горючей жидкостью и противотанковыми гранатами наши бойцы подожгли 1 танк и 2 танка подорвали. Остальные немецкие танки повернули обратно.</w:t>
      </w:r>
    </w:p>
    <w:p w14:paraId="2B7DBC2A"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И., действующий в районах Карелии, занятых противником, в течение месяца разгромил несколько финских гарнизонов, уничтожив при этом 218 солдат и офицеров противника.</w:t>
      </w:r>
    </w:p>
    <w:p w14:paraId="11A86569"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в одном из боёв захватили в плен 18 финских солдат и офицеров, провели их через линию фронта и сдали в штаб нашей части. Этот же отряд недавно совершил налёт на два штаба финнов. Окружив дома, где находились финские офицеры, партизаны забросали их гранатами.</w:t>
      </w:r>
    </w:p>
    <w:p w14:paraId="044731EF"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захватила приказ по 21 полку 17 немецкой пехотной дивизии. Приказ даёт оценку прибывшему в полк пополнению. В нём говорится: «Большая часть людей ещё не бывала на фронте. Подготовка их недостаточная. Среди прибывших нет почти ни одного пулемётчика! Да и эти немногие становились абсолютно бессильными при малейших неполадках и не могли их устранить... Настроение пополнения оставляет желать много лучшего».</w:t>
      </w:r>
    </w:p>
    <w:p w14:paraId="3A53478F"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Вилли Байер писал недавно Карлу Грешель в Регенсбург: «Мы обречены на гибель. Русские впереди, позади, всюду... Мы слишком слабы, чтобы сдерживать их атаки. Несмотря на частые пополнения, наша рота сейчас насчитывает в строю всего 15 человек. Так обстоит дело не только у нас».</w:t>
      </w:r>
    </w:p>
    <w:p w14:paraId="27ED1975"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старшего ефрейтора запаса Хаузера найдено письмо от невесты. В нём говорится: «Можешь меня не ревновать: молодых людей здесь нет, мужчин становится всё меньше и меньше. После войны их совсем не будет».</w:t>
      </w:r>
    </w:p>
    <w:p w14:paraId="4DF6758B"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горах около Кымпулунга (Румыния) появились вооружённые группы дезертировавших из армии румынских солдат. В конце февраля одна из таких групп остановила на шоссе три легковые машины, пристрелила 9 немецких офицеров и захватила их оружие и патроны.».</w:t>
      </w:r>
    </w:p>
    <w:p w14:paraId="03083FC0"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поводу очередной брехни берлинского радио.</w:t>
      </w:r>
    </w:p>
    <w:p w14:paraId="6E824B97"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берлинское радио известило весь мир о крупном успехе германских войск. Сообщалось, что где-то в районе озера Ильмень полностью окружена и уничтожена 7-я Гвардейская дивизия, что захвачены трофеи и документы.</w:t>
      </w:r>
    </w:p>
    <w:p w14:paraId="179ACB75"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одной дивизии, уничтоженной росчерком пера фашистского борзописца, гитлеровцам показалось мало. Уничтожать, так уничтожать! Тем более уничтожать советские дивизии, сидя в канцелярии, дело куда более лёгкое, чем уничтожить хотя бы одного красноармейца на фронте. Именно поэтому вслед за «уничтожением» 7-й Гвардейской дивизии гитлеровцы объявили об «уничтожении» 80-й, 27-й кавалерийской, 327-й стрелковой и части 26-й стрелковой советских дивизий.</w:t>
      </w:r>
    </w:p>
    <w:p w14:paraId="287C0BC4"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Слушатели немецкого радио и читатели немецких газет уже попривыкли к наглому вранью Геббельса и его помощников и чаще всего просто не обращают внимания на каждую новую брехню, фабрикуемую в Берлине. Послушают по радио или прочтут в газетах очередное гитлеровское измышление, да и скажут: «Собака лает — ветер носит!».</w:t>
      </w:r>
    </w:p>
    <w:p w14:paraId="39DC23E3"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за последнее время заметна некоторая эволюция в методе подачи гитлеровской пропаганды. Ввиду того, что немецкой пропаганде никто не верит, гитлеры, геринги, геббельсы вынуждены всячески изворачиваться, чтобы придать своим официальным и полуофициальным сообщениям хотя бы некоторую видимость правдоподобности.</w:t>
      </w:r>
    </w:p>
    <w:p w14:paraId="4D599275"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 первом этапе войны ведомство Геббельса «окружало» и «уничтожало» советские дивизии и армии пачками, не затрудняясь даже указать, какие дивизии уничтожены и где именно, то теперь, распространяя чушь о несуществующих победах немецких войск, гитлеровцы для вящей убедительности стали перечислять первые пришедшие им в голову номера советских дивизий, якобы разбитых немцами.</w:t>
      </w:r>
    </w:p>
    <w:p w14:paraId="005467ED"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объектом очередной берлинской брехни явилась 7-я Гвардейская и другие названные выше дивизии.</w:t>
      </w:r>
    </w:p>
    <w:p w14:paraId="4123A545"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например, обстоит дело с 7-й Гвардейской дивизией? Предоставим слово командиру 7-й Гвардейской дивизии полковнику Бедину.</w:t>
      </w:r>
    </w:p>
    <w:p w14:paraId="0F882E6C"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«Незаметно для всех, в том числе и для </w:t>
      </w:r>
      <w:proofErr w:type="gramStart"/>
      <w:r w:rsidRPr="008127F8">
        <w:rPr>
          <w:rFonts w:ascii="Times New Roman" w:hAnsi="Times New Roman"/>
          <w:color w:val="000000" w:themeColor="text1"/>
          <w:sz w:val="16"/>
          <w:szCs w:val="16"/>
        </w:rPr>
        <w:t>меня,—</w:t>
      </w:r>
      <w:proofErr w:type="gramEnd"/>
      <w:r w:rsidRPr="008127F8">
        <w:rPr>
          <w:rFonts w:ascii="Times New Roman" w:hAnsi="Times New Roman"/>
          <w:color w:val="000000" w:themeColor="text1"/>
          <w:sz w:val="16"/>
          <w:szCs w:val="16"/>
        </w:rPr>
        <w:t xml:space="preserve"> пишет т. Бедин в Совинформбюро,— дивизию, которой я командую, оказывается, немцы окружили и уничтожили. Я, как командир дивизии, не могу и не хочу лишить себя удовольствия поиздеваться над гитлеровскими брехунами и во всеуслышание разоблачить очередную ложь берлинского радио.</w:t>
      </w:r>
    </w:p>
    <w:p w14:paraId="7669ABBD"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Германское командование не раз имело возможность ознакомиться с действиями нашей дивизии и убедиться в мощи гвардейского удара. Показательны в этом отношении бои по ликвидации рамушевского узла сопротивления, который состоял из 10 населённых пунктов. Каждый из них представлял мощный участок обороны, причём между ними было организовано не только огневое взаимодействие, но и обеспечивалась возможность манёвра живой силой.</w:t>
      </w:r>
    </w:p>
    <w:p w14:paraId="4EEE6EF1"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Взять узел лобовым ударом было весьма трудно, и поэтому мы применили серию обходов и охватов. Нащупав стыки между подразделениями противника, мы перерезали пути, связывавшие между собой отдельные опорные пункты, и нанесли врагу один за одним ряд последовательных ударов. С потерей деревни Рамушево немцы пытались было в беспорядке отходить на юг, но были встречены и частью уничтожены нашими засадами.</w:t>
      </w:r>
    </w:p>
    <w:p w14:paraId="2C22E201"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Преследуя противника по пятам, мы заняли и освободили от оккупантов 44 населённых пункта. По пути своего следования мы обнаружили 3.334 убитых немецких солдат и офицеров. Сюда не входит огромное количество трупов, которые, по рассказам местных жителей, немцы вывезли на реку Ловать и спустили под лёд. Что и говорить, попытались спрятать концы в воду!</w:t>
      </w:r>
    </w:p>
    <w:p w14:paraId="5144FAA8"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Нами неопровержимо установлено, что за время боёв на Северо-Западном фронте 7 гвардейской стрелковой дивизией последовательно разгромлены следующие подразделения 16 немецкой армии: 2 батальона 46 пехотного полка 30 пехотной дивизии, 2 батальона 94 пехотного полка 32 пехотной дивизии, 132 строительный батальон, 674 строительный батальон дивизии «СС», 1 батальон 1 пехотного полка дивизии «СС», «Тотен копф» («Мёртвая голова»), сапёрный батальон этой же дивизии, 9 батарея 30 артполка.</w:t>
      </w:r>
    </w:p>
    <w:p w14:paraId="5E50E502"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пулемётная рота 46 пехотного полка 30 пехотной дивизии, 8 пулемётная рота 3 батальона 96 пехотного полка 32 пехотной дивизии, 3 рота 13 зенитного полка, 1 рота 6 запасного дивизиона ПТО, 5 рота 6 пехотного полка 30 пехотной дивизии, 5 рота 415 пехотного полка 123 пехотной дивизии и различные маршевые подразделения без нумерации.</w:t>
      </w:r>
    </w:p>
    <w:p w14:paraId="606E5FBB"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Берлине поспешили нас уничтожить, но как это вяжется с тем, что немцы оставили 44 населённых пункта, а мы их заняли, закрепились в них и продолжаем продвигаться дальше. В боях за рамушевский узел мы взяли следующие трофеи: 5 танков, 3 самолёта, 37 орудий, 152 автомашины, 29 миномётов, 50 пулемётов, 1.695 винтовок, 13.113 снарядов, 150 парашютов и т. д.</w:t>
      </w:r>
    </w:p>
    <w:p w14:paraId="055B7941"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Пусть германское командование посмеет похвалиться, взяли ли у нашей дивизии хоть одно орудие, хоть один миномёт, досталась ли им хоть единая автомашина.</w:t>
      </w:r>
    </w:p>
    <w:p w14:paraId="214770CE"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полной ответственностью мы можем заявить, что в боях на Северо-Западном фронте мы не оставили на поле боя ни одного предмета из нашего вооружения и оснащения. Повреждённые в бою пулемёты, орудия, миномёты, как и вся наша другая техника, срочно восстановлены или восстанавливаются и снова вводятся в бой.</w:t>
      </w:r>
    </w:p>
    <w:p w14:paraId="4CBF5F89"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разгроме немецких штабов нами захвачены многочисленные документы, в том числе приказы командира 2 немецкого армейского корпуса графа Брокдорфа, частично уже опубликованные в советской печати. Что касается штаба нашей дивизии, как и штабов всех наших подразделений, то все они непрерывно действовали и действуют бесперебойно и продолжают свою деятельность по управлению войсками. Наши коммуникации за всё время боевых действий на Северо-Западном фронте были и остаются нерушимыми. Чего же после этого стоят утверждения о нашем окружении?</w:t>
      </w:r>
    </w:p>
    <w:p w14:paraId="64C0D64C"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сидя в берлинском подземном бомбоубежище, легко какому-нибудь борзописцу «окружить» и «уничтожить» дивизию советских гвардейцев. Но фрицы, побывавшие на нашем участке фронта, совсем другого мнения о силе и мощи 7 гвардейской стрелковой дивизии. Вот что, например, показал попавший к нам в плен обер-ефрейтор Гейнц Моргенштерн:</w:t>
      </w:r>
    </w:p>
    <w:p w14:paraId="54E9FF0B"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убедились, что дальше продолжать борьбу с русскими, находясь к тому же в окружении, бесполезно. Русские храбрее, чем мы, и они победят нас — это внутренне сознаёт каждый солдат. Вы защищаете свою страну, а мы представляем только «каноненфуттер» — пушечное мясо в руках Гитлера».</w:t>
      </w:r>
    </w:p>
    <w:p w14:paraId="2FEA363E"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Ему вторит солдат 2 пулемётной роты 46 пехотного полка Биок Вернер:</w:t>
      </w:r>
    </w:p>
    <w:p w14:paraId="472FBBEB"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семидневных боёв в нашей роте, насчитывавшей 180 человек, осталось в живых всего лишь 7 человек. Другие роты нашего батальона насчитывают по 15—30 солдат».</w:t>
      </w:r>
    </w:p>
    <w:p w14:paraId="0D490695"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Заправилы германской пропаганды сделали неуклюжую попытку опровергнуть сообщение Советского Информбюро об окружении 16 немецкой армии. Теперь они придумали новую версию, что окружены, дескать, не немцы, а 7 гвардейская стрелковая дивизия, которая якобы понесла большие потери. Но факты — упрямая вещь: 7 гвардейская стрелковая дивизия здравствует, действует, била, бьёт и будет бить немецких захватчиков».</w:t>
      </w:r>
    </w:p>
    <w:p w14:paraId="458E3E4C"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Таково действительное положение дел, таковы факты, которые, как видно из письма полковника Бедина, начисто опрокидывают хвастливую и неумную брехню гитлеровских борзописцев.</w:t>
      </w:r>
    </w:p>
    <w:p w14:paraId="7CF8BDFA" w14:textId="77777777" w:rsidR="00161D13" w:rsidRPr="008127F8" w:rsidRDefault="00161D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других перечисленных в сообщении немецкого радио советских дивизий и якобы уничтоженных немцами, то про каждую из них так же нужно сказать: они здравствуют, действуют, бьют и будут смертным боем бить немецких оккупантов до полного их разгрома.» (15069).</w:t>
      </w:r>
    </w:p>
    <w:p w14:paraId="6D9D0DE3" w14:textId="77777777" w:rsidR="00161D13" w:rsidRPr="008127F8" w:rsidRDefault="00161D13" w:rsidP="001E0A84">
      <w:pPr>
        <w:spacing w:after="0" w:line="240" w:lineRule="auto"/>
        <w:jc w:val="both"/>
        <w:rPr>
          <w:rFonts w:ascii="Times New Roman" w:hAnsi="Times New Roman"/>
          <w:color w:val="000000" w:themeColor="text1"/>
          <w:sz w:val="16"/>
          <w:szCs w:val="16"/>
        </w:rPr>
      </w:pPr>
    </w:p>
    <w:p w14:paraId="3D2AB7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 командующий ВВС КА генерал П. Ф. Жигарев доложил Верховному Главнокомандующему И. В. Сталину разработанные штабом ВВС предложения по совершенствованию организационной структуры и управления авиасилами Красной Армии. С целью устранения организационной раздробленности и повышения эффективности применения авиации штаб ВВС предлагал ввести единое управление ВВС и создать крупные авиационные оперативные объединения. Поводом для такого доклада послужили принятые ГКО решения о создании 10 ударных авиагрупп смешанного состава (по 6-8 авиаполков каждая) резерва Ставки ВГК, предназначаемых для усиления ВВС фронтов, и получение штабом ВВС соответствующей директивы Генерального штаба, определяющей порядок и сроки формирования таких авиагрупп. В то же время обстановка на фронтах требовала незамедлительного изменения взглядов на организацию авиарезервов и управления ВВС (8687).</w:t>
      </w:r>
    </w:p>
    <w:p w14:paraId="2AC3E5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B04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Период по 15 марта с 1 января 1942 на Волховском фронте стал объектом анализа летных происшествий при выполнении учебной и боевой работы авиации. Из отчета главного инженера ВВС объединения следовало: за истекшее время отмечались 542 отказа или других происшествий по вине материальной части. Почти половина всех неприятных фактов (256 случаев) произошла из-за производственных дефектов самолетов или моторов; летный и технический состав оказались виновны в 132 происшествиях, а остальные были обусловлены конструктивными дефектами.</w:t>
      </w:r>
    </w:p>
    <w:p w14:paraId="16C50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принес неприятные статистические данные по надежности МиГ-3: он, наряду с Пе-2, оказался наиболее часто ломающимся самолетом на Волховском фронте.</w:t>
      </w:r>
    </w:p>
    <w:p w14:paraId="1EACEA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74 дня на относительно малочисленные МиГи было составлено 232 акта о поломках, других отказах узлов или агрегатов (более чем по три поломки за сутки)! Понятно недовольство летно-технического состава: погода стояла плохая, но для всех одинаковая. Як-1, У-2 или, скажем, Р-5 поднимались в воздух, когда вылеты разрешали, а МиГ-3 непрерывно приходилось ремонтировать.</w:t>
      </w:r>
    </w:p>
    <w:p w14:paraId="6AB77D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Контрнаступление Красной Армии под Москвой начиналось при интенсивной поддержке советской авиации. Можно было часто видеть проносившиеся на малой высоте МиГи, принадлежавшие, прежде всего, 6-му иак ПВО. Но затем активность нашей авиации заметно сократилась, упала доля машин новых типов. Дело было не только в плохих погодных условиях (стужа, сильные снегопады), но, прежде всего, в отсутствии перебазирования частей ПВО вслед за наступающими войсками.</w:t>
      </w:r>
    </w:p>
    <w:p w14:paraId="1C5F33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Оставаясь на стационарных аэродромах в окрестностях столицы, "пэвэошные" МиГи с их небольшой практической дальностью полета не могли эффективно поддерживать наземные войска. К концу января 1942 г. в двух "фронтовых" и одном "армейском" полках (10-м, 122-м и 519-м иап, командиры, соответственно, капитан Н.В. Терехин, майоры Г.М. Баяндин и К.Н. Мурга) насчитывалось 43 МиГ-3 из 872 самолетов ВВС Западного и Калининского фронтов. Все три части, защищая Москву, вступили в бой в октябре прошлого года.</w:t>
      </w:r>
    </w:p>
    <w:p w14:paraId="0B4A2A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Немногочисленные исправные МиГи выполнили в разгар зимы достаточно большой объем работы, о чем можно судить, например, по количеству вылетов на исправную машину в сутки при благоприятных метеоусловиях и благодарностям от наземных штабов. Так, 122-й иап, который с 15 января находился на аэродроме Кубинка, в ходе общего наступления советских войск последовательно поддерживал войска 33, 43 и 49-й армий, прикрывал конников группы П.А. Белова в тылу противника, сопровождал транспортные самолеты, обеспечивал ПВО железной дороги на участке Апрелевка, Калуга. При этом новых истребителей часть не получала - пополнение осуществлялось за счет МиГов, отремонтированных рембазами сначала ВВС Западного фронта, а затем 1-й воздушной армии (12045).</w:t>
      </w:r>
    </w:p>
    <w:p w14:paraId="3741CF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9AE1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Гитлер объявил, что к лету Русская кампания будет закончена (4962).</w:t>
      </w:r>
    </w:p>
    <w:p w14:paraId="58584CE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BC5C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32F97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21669" w14:textId="77777777" w:rsidR="006912D4" w:rsidRPr="008127F8" w:rsidRDefault="006912D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Из дневника журналиста Н. К. Вержбицкого: "Два дня свирепствовала метель с морозом до 20°. Нанесло сугробы на улицах. Стояла трамваи. Люди возвращались с работы в эту дьявольскую погоду домой пешком, делая по 5-10 км" (18696).</w:t>
      </w:r>
    </w:p>
    <w:p w14:paraId="0382902B" w14:textId="77777777" w:rsidR="006912D4" w:rsidRPr="008127F8" w:rsidRDefault="006912D4" w:rsidP="001E0A84">
      <w:pPr>
        <w:spacing w:after="0" w:line="240" w:lineRule="auto"/>
        <w:jc w:val="both"/>
        <w:rPr>
          <w:rFonts w:ascii="Times New Roman" w:hAnsi="Times New Roman"/>
          <w:color w:val="000000" w:themeColor="text1"/>
          <w:sz w:val="16"/>
          <w:szCs w:val="16"/>
        </w:rPr>
      </w:pPr>
    </w:p>
    <w:p w14:paraId="42E162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 вышел ПРИКАЗ НКО № 0192 ОБ УСТРАНЕНИИ НАРУШЕНИЙ ПОРЯДКА ПРЕДОСТАВЛЕНИЯ ГРАЖДАНАМ БРОНИ И ОТСРОЧЕК ОТ ПРИЗЫВА В КРАСНУЮ АРМИЮ</w:t>
      </w:r>
    </w:p>
    <w:p w14:paraId="5B98B1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выявлены многочисленные случаи незаконного предоставления некоторыми военкоматами броней и отсрочек от призыва в ряды Красной Армии лицам, не имеющим на это никакого права. Штабы округов и фронтов, как правило, не проверяют работы областных военных комиссариатов по предоставлению броней и отсрочек. Последние, в свою очередь, не контролируют эту деятельность райвоенкоматов.</w:t>
      </w:r>
    </w:p>
    <w:p w14:paraId="0BD705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Насколько запущена и бесконтрольна эта работа в отдельных военкоматах можно судить хотя бы по тому, что в Мытищинском райвоенкомате Московской области на лиц, забронированных до 1 марта 1942 г., не было именных списков и вообще каких-либо данных.</w:t>
      </w:r>
    </w:p>
    <w:p w14:paraId="52EE9B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бесконтрольности и безответственного отношения к предоставлению броней и отсрочек в ряде случаев созданы условия для антигосударственной практики, подрывающей мощь Красной Армии в военное время.</w:t>
      </w:r>
    </w:p>
    <w:p w14:paraId="26D4B1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Военной прокуратурой и комендантом г. Москвы установлено, что брони и отсрочки иногда предоставляются по явно непроверенным, порою фиктивным документам, по знакомству.</w:t>
      </w:r>
    </w:p>
    <w:p w14:paraId="4899F3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Например, некто Братухин В. С., состоя на службе в магазине № 19 “Гастроном” (г. Москва) заместителем директора, в декабре 1941 г. был забронирован в качестве электротехника завода № 478. Никто не проверял фактического места работы Братухина. На заводе № 337 НКАП СССР (г. Москва) с 1936 г. работал в должности коменданта домоуправления, а затем управляющего домом Кузин А. Ф., 1911 года рождения. Чтобы укрыть Кузина от мобилизации в ряды Красной Армии, начальник отдела кадров завода Кузнецов выдал Кузину справку о том, что Кузин работает на заводе слесарем 5-го разряда. На основании этой справки Кузин в райвоенкомате Сталинского района гор. Москвы получил отсрочку от призыва до 1 марта 1942 года.</w:t>
      </w:r>
    </w:p>
    <w:p w14:paraId="5531A2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Бауманском райвоенкомате гор. Москвы имел место случай незаконного предоставления отсрочки по призыву некоему Агафонову, бухгалтеру столовой № 23, который по знакомству дважды бронировался в качестве бухгалтера завода № 156 НКАП СССР.</w:t>
      </w:r>
    </w:p>
    <w:p w14:paraId="6C20AE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43 военнобязанные Пахомов А. В. и Мурзин Ф. С. были забронированы как специалисты, а на самом деле работали первый кладовщиком, а второй кухонным рабочим.</w:t>
      </w:r>
    </w:p>
    <w:p w14:paraId="3CC87A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“Мосгаз” Савельев с целью забронирования шоферов Ежихина С. Н. (1905 года рождения) и Шитова Н. Ф. (1912 года рождения) приказом от 1 марта с. г. провел первого слесарем, а второго — электромонтером, так как эти специалисты подлежали бронированию.</w:t>
      </w:r>
    </w:p>
    <w:p w14:paraId="720F75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Добиваясь незаконного забронирования и отсрочки от призыва в Красную Армию, отдельные руководители учреждений и предприятий пытаются использовать для этого свое положение, возбуждая перед работниками военкоматов явно незаконные ходатайства.</w:t>
      </w:r>
    </w:p>
    <w:p w14:paraId="562D17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Помощник директора завода “Динамо” по кадрам Журавлев 27 февраля 1942 г. обратился с ходатайством в Пролетарский райвоенкомат отсрочить явку в часть некоего Бурцева Д. С. со ссылкой на то, что он является портным высокой квалификации и работает по выполнению заказа ГКО. После отказа тот же Журавлев 6 марта 1942 г. вновь просил об отсрочке от призыва Бурцева, но уже мотивируя это тем, что Бурцев незаменимый молотобоец на заводской кузнице.</w:t>
      </w:r>
    </w:p>
    <w:p w14:paraId="1AE9F3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Установлены также факты предоставления броней и отсрочки работникам военкоматов за взятки.</w:t>
      </w:r>
    </w:p>
    <w:p w14:paraId="1C32CD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Подобное положение приводит к тому, что огромное количество военнообязанных остается вне рядов армии.</w:t>
      </w:r>
    </w:p>
    <w:p w14:paraId="63EFA7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путем выборочной проверки в течение нескольких дней штаб МВО и комендант г. Москвы выявили 3298 человек незаконно забронированных.</w:t>
      </w:r>
    </w:p>
    <w:p w14:paraId="7C0581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7A3762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Военным советам округов и фронтов немедленно организовать повсеместную проверку работы военкоматов по бронированию и предоставлению отсрочек от призыва в Красную Армию и сплошную проверку всех броней и отсрочек, предоставленных рабочим и служащим предприятий и учреждений.</w:t>
      </w:r>
    </w:p>
    <w:p w14:paraId="39D217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Проверку закончить до 10 апреля. К участию в проверке привлечь военных комендантов. О результатах этой работы военные советы округов и фронтов должны представить доклады через Управление мобилизации и комплектования войск Красной Армии не позднее 20 апреля 1942 г.</w:t>
      </w:r>
    </w:p>
    <w:p w14:paraId="4BE855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всех лицах, виновных в незаконном предоставлении броней и отсрочек, а равно в незаконном исходатайствовании их — материалы передавать органам военной прокуратуры для привлечения виновных к судебной ответственности по законам военного времени.</w:t>
      </w:r>
    </w:p>
    <w:p w14:paraId="2B2933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Впредь военным советам фронтов и округов установить повседневный контроль за деятельностью областных военных комиссариатов по предоставлению броней и </w:t>
      </w:r>
      <w:r w:rsidRPr="008127F8">
        <w:rPr>
          <w:rFonts w:ascii="Times New Roman" w:hAnsi="Times New Roman"/>
          <w:color w:val="000000" w:themeColor="text1"/>
          <w:sz w:val="16"/>
          <w:szCs w:val="16"/>
        </w:rPr>
        <w:lastRenderedPageBreak/>
        <w:t>отсрочек. Областным военным комиссариатам повседневно контролировать деятельность райвоенкоматов в этой области.</w:t>
      </w:r>
    </w:p>
    <w:p w14:paraId="66B1B8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Главному военному прокурору Красной Армии периодически организовывать внезапные проверки военкоматов, предприятий и учреждений по вопросам законности предоставления броней и отсрочек от призыва в Красную Армию, привлекая виновных в антигосударственной практике к уголовной ответственности.</w:t>
      </w:r>
    </w:p>
    <w:p w14:paraId="4AFF78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СССР армейский комиссар I ранга Е. ЩАДЕНКО </w:t>
      </w:r>
      <w:r w:rsidRPr="008127F8">
        <w:rPr>
          <w:rFonts w:ascii="Times New Roman" w:hAnsi="Times New Roman"/>
          <w:color w:val="000000" w:themeColor="text1"/>
          <w:sz w:val="16"/>
          <w:szCs w:val="16"/>
        </w:rPr>
        <w:t>(9844).</w:t>
      </w:r>
    </w:p>
    <w:p w14:paraId="45BB4E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535D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1AF0C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6E99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на Ме-110 лл был испытан в полете ТРД Юмо-004А с тягой 840 даН (88,177).</w:t>
      </w:r>
    </w:p>
    <w:p w14:paraId="05140A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C8A82"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марта</w:t>
      </w:r>
      <w:r w:rsidRPr="008127F8">
        <w:rPr>
          <w:rFonts w:ascii="Times New Roman" w:hAnsi="Times New Roman"/>
          <w:color w:val="000000" w:themeColor="text1"/>
          <w:sz w:val="16"/>
          <w:szCs w:val="16"/>
        </w:rPr>
        <w:t xml:space="preserve"> в 1942 году Адольф Гитлер объявил, что к лету Русская кампания будет закончена (15069).</w:t>
      </w:r>
    </w:p>
    <w:p w14:paraId="63BA8932"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062E39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была антифашистская демонстрация в Будапеште (3186).</w:t>
      </w:r>
    </w:p>
    <w:p w14:paraId="36658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411E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японцы полностью захватили территорию Голландской Ост-Индии (совр. Индонезии)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5B6F421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46C29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3A520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D3C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марта 1942 г. к серийному выпуску штурмовиков подключили московский завод № 30 и первые партии Ил-2 с этого завода ушли на фронт (9528).</w:t>
      </w:r>
    </w:p>
    <w:p w14:paraId="482886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04F6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марта 1942 г. правительство высказало серьезное беспокойство техническим состоянием ис</w:t>
      </w:r>
      <w:r w:rsidRPr="008127F8">
        <w:rPr>
          <w:rFonts w:ascii="Times New Roman" w:hAnsi="Times New Roman"/>
          <w:color w:val="000000" w:themeColor="text1"/>
          <w:sz w:val="16"/>
          <w:szCs w:val="16"/>
        </w:rPr>
        <w:softHyphen/>
        <w:t>требителей ПВО. В частности, было принято поста</w:t>
      </w:r>
      <w:r w:rsidRPr="008127F8">
        <w:rPr>
          <w:rFonts w:ascii="Times New Roman" w:hAnsi="Times New Roman"/>
          <w:color w:val="000000" w:themeColor="text1"/>
          <w:sz w:val="16"/>
          <w:szCs w:val="16"/>
        </w:rPr>
        <w:softHyphen/>
        <w:t>новление ГКО, которое касалось хода восстановле</w:t>
      </w:r>
      <w:r w:rsidRPr="008127F8">
        <w:rPr>
          <w:rFonts w:ascii="Times New Roman" w:hAnsi="Times New Roman"/>
          <w:color w:val="000000" w:themeColor="text1"/>
          <w:sz w:val="16"/>
          <w:szCs w:val="16"/>
        </w:rPr>
        <w:softHyphen/>
        <w:t>ния материальной части истребительной авиации ПВО Москвы. Наряду с налаживанием серии «истре</w:t>
      </w:r>
      <w:r w:rsidRPr="008127F8">
        <w:rPr>
          <w:rFonts w:ascii="Times New Roman" w:hAnsi="Times New Roman"/>
          <w:color w:val="000000" w:themeColor="text1"/>
          <w:sz w:val="16"/>
          <w:szCs w:val="16"/>
        </w:rPr>
        <w:softHyphen/>
        <w:t>бителей танков» — Ил—2, от директора завода № 30 потребовали отремонтировать 17 МиГ—3 из состава ПВО Москвы, причем первые 10 машин надлежало вернуть в 6-й иак к 24 марта 1942 г. По этому же по</w:t>
      </w:r>
      <w:r w:rsidRPr="008127F8">
        <w:rPr>
          <w:rFonts w:ascii="Times New Roman" w:hAnsi="Times New Roman"/>
          <w:color w:val="000000" w:themeColor="text1"/>
          <w:sz w:val="16"/>
          <w:szCs w:val="16"/>
        </w:rPr>
        <w:softHyphen/>
        <w:t>становлению руководство вновь созданного завода № 45 обязывали передать в 6-й иак к 27 марта 46 год</w:t>
      </w:r>
      <w:r w:rsidRPr="008127F8">
        <w:rPr>
          <w:rFonts w:ascii="Times New Roman" w:hAnsi="Times New Roman"/>
          <w:color w:val="000000" w:themeColor="text1"/>
          <w:sz w:val="16"/>
          <w:szCs w:val="16"/>
        </w:rPr>
        <w:softHyphen/>
        <w:t>ных к эксплуатации моторов АМ—35А. Решение Военного совета Юго-Западного фронта об организации ремонтных мастерских на базе эваку</w:t>
      </w:r>
      <w:r w:rsidRPr="008127F8">
        <w:rPr>
          <w:rFonts w:ascii="Times New Roman" w:hAnsi="Times New Roman"/>
          <w:color w:val="000000" w:themeColor="text1"/>
          <w:sz w:val="16"/>
          <w:szCs w:val="16"/>
        </w:rPr>
        <w:softHyphen/>
        <w:t>ированных воронежских авиационных заводов № 16 и № 18 позволило значительно улучшить положение с ремонтом авиационной техники. Среди направлен</w:t>
      </w:r>
      <w:r w:rsidRPr="008127F8">
        <w:rPr>
          <w:rFonts w:ascii="Times New Roman" w:hAnsi="Times New Roman"/>
          <w:color w:val="000000" w:themeColor="text1"/>
          <w:sz w:val="16"/>
          <w:szCs w:val="16"/>
        </w:rPr>
        <w:softHyphen/>
        <w:t>ных сюда в конце февраля работников были те, кто ранее работал на заводе № 24 и специализировался на выпуске микулинских авиамоторов. В Воронеж на</w:t>
      </w:r>
      <w:r w:rsidRPr="008127F8">
        <w:rPr>
          <w:rFonts w:ascii="Times New Roman" w:hAnsi="Times New Roman"/>
          <w:color w:val="000000" w:themeColor="text1"/>
          <w:sz w:val="16"/>
          <w:szCs w:val="16"/>
        </w:rPr>
        <w:softHyphen/>
        <w:t>правили два вагона запасных частей к самолетам МиГ—3, изготовленных на заводе № 30. Одновремен</w:t>
      </w:r>
      <w:r w:rsidRPr="008127F8">
        <w:rPr>
          <w:rFonts w:ascii="Times New Roman" w:hAnsi="Times New Roman"/>
          <w:color w:val="000000" w:themeColor="text1"/>
          <w:sz w:val="16"/>
          <w:szCs w:val="16"/>
        </w:rPr>
        <w:softHyphen/>
        <w:t>но шла отгрузка ремонтно-монтажного инструмента, деталей к моторам АМ—35А (радиаторы, приборы, магнето и другое), различных станков (9984).</w:t>
      </w:r>
    </w:p>
    <w:p w14:paraId="4DB423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1C41C" w14:textId="77777777" w:rsidR="007E272D"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E8D0FE9" w14:textId="77777777" w:rsidR="007E272D" w:rsidRPr="008127F8" w:rsidRDefault="007E272D"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817C9" w14:textId="77777777" w:rsidR="007E272D" w:rsidRPr="008127F8" w:rsidRDefault="007E272D" w:rsidP="001E0A84">
      <w:pPr>
        <w:pStyle w:val="af"/>
        <w:spacing w:before="0" w:after="0"/>
        <w:jc w:val="both"/>
        <w:rPr>
          <w:color w:val="000000" w:themeColor="text1"/>
          <w:sz w:val="16"/>
          <w:szCs w:val="16"/>
        </w:rPr>
      </w:pPr>
      <w:r w:rsidRPr="008127F8">
        <w:rPr>
          <w:color w:val="000000" w:themeColor="text1"/>
          <w:sz w:val="16"/>
          <w:szCs w:val="16"/>
        </w:rPr>
        <w:t>В середине марта 1942 года на испытания вышел Т-60, который вместо опорных катков диаметром 515 мм имел установлен</w:t>
      </w:r>
      <w:r w:rsidRPr="008127F8">
        <w:rPr>
          <w:color w:val="000000" w:themeColor="text1"/>
          <w:sz w:val="16"/>
          <w:szCs w:val="16"/>
        </w:rPr>
        <w:softHyphen/>
        <w:t>ные на балансирах тележки, на каждой из которых были жестко установлены цельнометаллические катки диметром 280 мм. Данная кон</w:t>
      </w:r>
      <w:r w:rsidRPr="008127F8">
        <w:rPr>
          <w:color w:val="000000" w:themeColor="text1"/>
          <w:sz w:val="16"/>
          <w:szCs w:val="16"/>
        </w:rPr>
        <w:softHyphen/>
        <w:t>струкция, разработанная под руководством группы ходовой части отдела 22 Р. А. Аншелевича, позволяла отказаться от ошиновки катков и одновременно улучшить характеристики распределения давления на грунт. Для того чтобы установить тележки на танк, клиренс увеличили до 380 мм. Длина опорной поверхности выросла с 2203 мм до 2530 мм, одновременно несколько снизилось давление на грунт — до 0,47 кг/см</w:t>
      </w:r>
      <w:r w:rsidRPr="008127F8">
        <w:rPr>
          <w:color w:val="000000" w:themeColor="text1"/>
          <w:sz w:val="16"/>
          <w:szCs w:val="16"/>
          <w:vertAlign w:val="superscript"/>
        </w:rPr>
        <w:t>2</w:t>
      </w:r>
      <w:r w:rsidRPr="008127F8">
        <w:rPr>
          <w:color w:val="000000" w:themeColor="text1"/>
          <w:sz w:val="16"/>
          <w:szCs w:val="16"/>
        </w:rPr>
        <w:t>.</w:t>
      </w:r>
    </w:p>
    <w:p w14:paraId="6FA5786C"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 новыми тележками танк прошел недалеко. В первый выезд после 300 метров движения перевернулась первая правая тележка. Во второй раз перевернулась вторая левая тележка, это случилось после 200 ме</w:t>
      </w:r>
      <w:r w:rsidRPr="008127F8">
        <w:rPr>
          <w:rFonts w:eastAsia="Calibri"/>
          <w:color w:val="000000" w:themeColor="text1"/>
          <w:sz w:val="16"/>
          <w:szCs w:val="16"/>
        </w:rPr>
        <w:softHyphen/>
        <w:t>тров движения. Причиной подобных проблем стало высокое располо</w:t>
      </w:r>
      <w:r w:rsidRPr="008127F8">
        <w:rPr>
          <w:rFonts w:eastAsia="Calibri"/>
          <w:color w:val="000000" w:themeColor="text1"/>
          <w:sz w:val="16"/>
          <w:szCs w:val="16"/>
        </w:rPr>
        <w:softHyphen/>
        <w:t>жение оси качания тележки при малом диаметре катков. Ввиду того что этот недостаток был неустраним, от идеи тележечного расположения катков отказались и работы прекратили (17485).</w:t>
      </w:r>
    </w:p>
    <w:p w14:paraId="3A09B18F" w14:textId="77777777" w:rsidR="007E272D" w:rsidRPr="008127F8" w:rsidRDefault="007E272D" w:rsidP="001E0A84">
      <w:pPr>
        <w:pStyle w:val="af"/>
        <w:spacing w:before="0" w:after="0"/>
        <w:jc w:val="both"/>
        <w:rPr>
          <w:color w:val="000000" w:themeColor="text1"/>
          <w:sz w:val="16"/>
          <w:szCs w:val="16"/>
        </w:rPr>
      </w:pPr>
    </w:p>
    <w:p w14:paraId="3524CF7A" w14:textId="77777777" w:rsidR="00153DCB" w:rsidRPr="008A2E5A" w:rsidRDefault="00153DCB" w:rsidP="00153D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марта 1942 года на испытания вышел Т-60, который вместо опорных катков диаметром 515 мм имел установленные на балансирах тележки, на каждой из которых были жестко установлены цельнометаллические катки диметром 280 мм. Данная конструкция, разработанная под руководством группы ходовой части отдела 22 Р.А. Аншелевича, позволяла отказаться от ошиновки катков и одновременно улучшить характеристики распределения давления на грунт. Но и эта разработка осталась опытной (23355).</w:t>
      </w:r>
    </w:p>
    <w:p w14:paraId="6038548F" w14:textId="77777777" w:rsidR="00153DCB" w:rsidRPr="008A2E5A" w:rsidRDefault="00153DCB" w:rsidP="00153DCB">
      <w:pPr>
        <w:spacing w:after="0" w:line="240" w:lineRule="auto"/>
        <w:jc w:val="both"/>
        <w:rPr>
          <w:rFonts w:ascii="Times New Roman" w:hAnsi="Times New Roman"/>
          <w:color w:val="0070C0"/>
          <w:sz w:val="16"/>
          <w:szCs w:val="16"/>
        </w:rPr>
      </w:pPr>
    </w:p>
    <w:p w14:paraId="6C10D899" w14:textId="77777777" w:rsidR="00153DCB" w:rsidRPr="008A2E5A" w:rsidRDefault="00153DCB" w:rsidP="00153D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марта 1942 на заводе № 592 были готовы проекты перевооружения Pz.Kpfw.38(t), Pz.Kpfw.III, Pz.Kpfw.IV и StuG III. Из них ГАУ КА по-настоящему заинтересовал только четвертый по списку проект - "немецкую самоходную установку Артштурм перевооружить 122 мм гаубицей М-30". Синильщиков получил от Артиллерийского комитета ГАУ КА указание о более детальной проработке проекта перевооружения немецкой САУ. Объяснялось это несколькими причинами. Во-первых, самоходная артиллерия не входила в ведение ГАБТУ КА. Посему никто ГАУ и НКВ палки в колеса вставить не мог. Во-вторых, StuG III выглядела как кандидат №1 на такие переделки. Наши артиллеристы вполне логично рассуждали, что такое шасси достойно более мощного орудия (23368).</w:t>
      </w:r>
    </w:p>
    <w:p w14:paraId="5D525FF0" w14:textId="77777777" w:rsidR="00153DCB" w:rsidRPr="008A2E5A" w:rsidRDefault="00153DCB" w:rsidP="00153DCB">
      <w:pPr>
        <w:spacing w:after="0" w:line="240" w:lineRule="auto"/>
        <w:jc w:val="both"/>
        <w:rPr>
          <w:rFonts w:ascii="Times New Roman" w:hAnsi="Times New Roman"/>
          <w:color w:val="0070C0"/>
          <w:sz w:val="16"/>
          <w:szCs w:val="16"/>
        </w:rPr>
      </w:pPr>
    </w:p>
    <w:p w14:paraId="20ED8B3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401E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88F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вторую половину марта 1942 в 746 бап имелось 11 Пе-8, из которых исправных было всего 8 кораблей. Для АДД требовались новые самолеты, Сталин думал о тысяче самолетов в составе АДД, часть из которых должны были быть Пе-8 (7685).</w:t>
      </w:r>
    </w:p>
    <w:p w14:paraId="0B64D9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C5E6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ABD97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C9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N 206сс:</w:t>
      </w:r>
    </w:p>
    <w:p w14:paraId="15814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1440сс от 14 марта 1942:</w:t>
      </w:r>
    </w:p>
    <w:p w14:paraId="1AC6E1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нач. 3 ГУ Степину и директору завода 82 Дубову:</w:t>
      </w:r>
    </w:p>
    <w:p w14:paraId="5ABFAE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целях наиболее быстрой организации завода-дублера по производству АМ-38, немедленно передать заводу 45 все оборудование..., а также рабочих и ИТР завода 82 по состоянию на 1 марта 1942.</w:t>
      </w:r>
    </w:p>
    <w:p w14:paraId="06948E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производство дизелей М-30 прекратить и завод ликвидировать (1545,60).</w:t>
      </w:r>
    </w:p>
    <w:p w14:paraId="0C3B09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903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на территории эвакуированного завода № 81 в Тушино в соответствии с приказом НКАП №210 был образован новый самолетостроительный Государственный Союзный завод №82 НКАП при 1ГУ НКАП. Началось освоение производства самолета Як-7.</w:t>
      </w:r>
    </w:p>
    <w:p w14:paraId="1F117B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Директором завода в 1939-41гг. и в 1943-44гг. был Н.В.Климовицкий, в .11.41-.5.42гг. - В.М.Дубов, с .4.42 г. Бугров, в .11.44-.2.47гг. - А.В.Агурьев. Начальником конструкторского отдела завода был Н.С.Черняков (1943 г.). </w:t>
      </w:r>
    </w:p>
    <w:p w14:paraId="7CC616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 войны на заводе осущ. восстановление для ЛИ двух нем. трофейн. самолетов "Арадо-234" с 4хБМВ-003. В 1945-49гг. осущ. производство троллейбусов. С 1.4.50 г. завод передан из 1ГУ в 10ГУ. С 1.10.51 г. перед. из 10ГУ в 6ГУ. </w:t>
      </w:r>
    </w:p>
    <w:p w14:paraId="5648B0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1.4.55 г. передан из 6ГУ МАП в ведение МОП (приказ №268 от 19.4.55 г.). </w:t>
      </w:r>
    </w:p>
    <w:p w14:paraId="3D9ED5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Серийное производство Як-7 (в 1942-44 г.) и Як-9 (в 1944-45 г.), Ту-2 (в 1951-52гг.), ЗУР "205" (1952-54гг.), "207" (1954-60гг.), "217М" (1960-61гг.), выпущена партия ЗУР "400" (1961 г.), антенных передвижных комплексов "Нева" и волноводных систем разработки НИИРП им. Расплетина, производство крыльев и топливных баков самолета МиГ-23. С к. 1960-х гг. изготавливал опытные образцы самолета Т-4 ("100"), далее делал узлы для истребителей ММЗ им. А.И.Микояна, а в 1980-е гг. - строились корпуса космического аппарата "Буран". </w:t>
      </w:r>
    </w:p>
    <w:p w14:paraId="116CB8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1963 года завод получил название Тушинский машиностроительный завод (ТМЗ). </w:t>
      </w:r>
    </w:p>
    <w:p w14:paraId="12E7B9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Долгое время завод служил базой для ОКБ-82 (гл.к. М.М.Пашинин, гл.к. А.И.Потопалов), ОКБ-4 МАП (гл.к. Н.И.Камов, гл.к. М.Р.Бисноват). </w:t>
      </w:r>
    </w:p>
    <w:p w14:paraId="5EBA53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Сначала для развития гражданского производства в послевоенный период по приказу №176а от 29.3.46 г. при заводе №82 было образовано на базе СКО этого завода опытно-конструкторское бюро (ОКБ-82) по разработке и внедрению в серию троллейбуса МТБ-82. Далее самолетостроительное ОКБ образовано по приказу МАП №564 от 21.8.46 г. при 7ГУ МАП. ОКБ-82 возглавил гл.к. М.М.Пашинин. К 1947 г. в ОКБ переведено много специалистов из г.Куйбышева (с завода №1 МАП, куда в 1941 г. эвакуировался завод №464, на котором работал гл.к. М.М.Пашинин). Разрабатывался проект винтореактивного самолета С-82. Неудачно. ОКБ ликвидировано в 1948 г. на основании приказа МАП №440 от 21.6.48 г. Часть площадей и личного состава ОКБ-82 была передана организованному в Тушино в 1948 г. ОКБ-4 МАП гл.к. Н.И.Миля (см. ОАО НПО "Молния" и ОАО "МВЗ им. Н.И.Миля") по геликоптерам, а остальная часть передана серийному заводу №82 МАП. </w:t>
      </w:r>
    </w:p>
    <w:p w14:paraId="2D2B80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январе 1954 г. образовано на базе СКО новое КБ завода №82 (КБ-82 МАП, ОКБ-82 МосгорСНХ, МКБ "Буревестник") для организации внедрения в серийное </w:t>
      </w:r>
      <w:r w:rsidRPr="008127F8">
        <w:rPr>
          <w:rFonts w:ascii="Times New Roman" w:hAnsi="Times New Roman"/>
          <w:color w:val="000000" w:themeColor="text1"/>
          <w:sz w:val="16"/>
          <w:szCs w:val="16"/>
        </w:rPr>
        <w:lastRenderedPageBreak/>
        <w:t xml:space="preserve">производство ЗУР В-300 и ее усовершенствования. Гл.к. назначен М.М.Пашинин. В период 1954-55гг. в КБ успешно организовано серийное производство ракеты В-300 ("205"), разработана документация и внедрено его в производство новое изд. "207А". </w:t>
      </w:r>
    </w:p>
    <w:p w14:paraId="78E05A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передаче завода №82 в систему МОП из 6ГУ МАП конструкторское бюро было расформировано. Часть кадров передана вновь в состав СКО завода №82, а часть переведена в ОКБ-301 гл.к. С.А.Лавочкина. Вскоре, ввиду необходимости продолжения работ по усовершенствованию ЗУР типа "205" и "207А", в .8.55 г. принято решение о восстановлении КБ завода №82 МОП с подчинением его ОКБ-301. В период с 1955-56 гг. КБ разработало эскизный проект и рабочую документацию на изд. "215" и запустило его в опытное и серийное производство. Техническое руководство этими разработками осуществлял М.М.Пашинин. Далее с 1958 г. гл.к. КБ назначен А.И.Потопалов (с 1952 г. - начальник производства завода №82, а с 1955 г. - главный инженер, руководил освоением на заводе серийного производства зенитной ракеты В-300). В КБ-82 МосгорСНХ созданы ЗУР изд. "218" со спецБЧ (испытания в 1964 г.). С 1961 г. проводились разработки по ракетам-мишеням типа "Белка", "Звезда", "Стрела" и др. на базе ЗУР семейства В-300. Разрабатывались с 1960 г. опытные ЗУР 9М33 для комплекса "Оса" (работы переданы в ОКБ "Факел") и по ЗУР "625". В 1965 г. получило наименование КБ "Буревестник". В 1976 г. КБ объединено с КБ "Молния" в новое НПО "Молния". </w:t>
      </w:r>
    </w:p>
    <w:p w14:paraId="51ED23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1982 по 1999 год завод возглавлял Арутюнов С.Г. Под руководством которого была осуществлена программа строительства космического корабля многоразового использования "Буран". </w:t>
      </w:r>
    </w:p>
    <w:p w14:paraId="116C96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1990-х годов на ТМЗ, который в 1997 году был преобразован в открытое акционерное общество ОАО ТМЗ, начали производиться не имеющие серийно производимых мировых аналогов ветроэнергетические установки мощностью один мегаватт. В 1998 году предприятием завершена подготовка к серийному производству автономных промышленных комплексов по утилизации изношенных автомобильных шин. По заказу Правительства Москвы ОАО ТМЗ реализует программу выпуска пяти таких комплексов. </w:t>
      </w:r>
    </w:p>
    <w:p w14:paraId="0DC441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настоящее время ОАО ТМЗ осуществляет сборку городских автобусов, производит одноразовые шприцы, алюминиевые сплавы, трамвайные резиновые переезды и, совместно с НПО "Молния", начал подготовку к производству многоцелевой авиационно-космической системы "МАКС" </w:t>
      </w:r>
    </w:p>
    <w:p w14:paraId="3D2470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1999 года решением акционеров ОАО ТМЗ Генеральным директором был избран Волков Н.В., в течение многих лет являвшийся заместителем Генерального директора по производству и непосредственно возглавлявший проведение работ по реализации программы строительства ОК "Буран". </w:t>
      </w:r>
    </w:p>
    <w:p w14:paraId="3A01DC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Тушинский МЗ, ОАО (ОАО ТМЗ) </w:t>
      </w:r>
    </w:p>
    <w:p w14:paraId="7461F4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завод №62, завод №81 им. Молотова, Завод №82, Государственный Союзный завод №82, Тушинский МЗ, АО "ТМЗ" </w:t>
      </w:r>
    </w:p>
    <w:p w14:paraId="6CEB8A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125459, Москва, ул. Новопоселковая, д. 6 (10777).</w:t>
      </w:r>
    </w:p>
    <w:p w14:paraId="2326E5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45EE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на территории эвакуированного завода № 81 НКАП в Тушино по приказу НКАП № 210сс был образован новый самолетостроительный ГС завод № 82 НКАП при 1ГУ. Началось освоение производства Як-7.</w:t>
      </w:r>
    </w:p>
    <w:p w14:paraId="63EE7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14с от 13.01.1943 г. в состав завода № 82 влит завод № 290 НКАП со всем оборудованием и личным составом. </w:t>
      </w:r>
    </w:p>
    <w:p w14:paraId="4F08FA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войны на заводе восстанавливались для летных испытаний два трофейных «Арадо-234».</w:t>
      </w:r>
    </w:p>
    <w:p w14:paraId="26883A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1.04.1950 г. завод передан из 1ГУ в 10ГУ, а с 1.10.1951 г.- в 6ГУ.</w:t>
      </w:r>
    </w:p>
    <w:p w14:paraId="5339BE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991 от 17.06.1951 г. ОКБ-2 завода № 3 МАП переведено на завод № 82 МАП в Тушино и продолжило работу как ОКБ-4 МАП гл. конструктора Н.И. Камова (далее - МКБ "Молния", гл. конструктор- М.Р. Бисноват).</w:t>
      </w:r>
    </w:p>
    <w:p w14:paraId="695131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1.04.1955 г. завод № 82 передан из 6ГУ в ведение МОП (приказ № 268сс/оп от 19.04.1955 г.). </w:t>
      </w:r>
    </w:p>
    <w:p w14:paraId="6AF026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1960-х г. изготавливались опытные образцы самолета Т-4 ("100"), далее- узлы для истребителей ММЗ им. А.И. Микояна. В 1980-е г. строились планеры ОКС "Буран", модели «Бор-4».</w:t>
      </w:r>
    </w:p>
    <w:p w14:paraId="1A027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1963 г. получил название- Тушинский машиностроительный завод (ТМЗ).</w:t>
      </w:r>
    </w:p>
    <w:p w14:paraId="6B1FE9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Являлся производственной базой ОКБ-82 Потопалова. </w:t>
      </w:r>
    </w:p>
    <w:p w14:paraId="42501E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завода (1939-41 г.; 1943-44 г.) - Н.В. Климовицкий, (11.1941-04.1942 г.)- В.М. Дубов, (05.1942 г.-)- Бугров, (11.1944- 02.1947 г.)- А.В. Агурьев. Гендиректор ОАО "ТМЗ" (1990-е)- С. Аргунов, (2002 г.)- М. Волков, (2002 г.)- С.Г. Арутюнов.69 </w:t>
      </w:r>
    </w:p>
    <w:p w14:paraId="16AD9D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(1955-58 г.)- А.В. Потопалов.</w:t>
      </w:r>
    </w:p>
    <w:p w14:paraId="1D7E96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(1952-55 г.)- А.В. Потопалов. Начальнок КО (08.1943 г.)- Н.С. Черняков.</w:t>
      </w:r>
    </w:p>
    <w:p w14:paraId="1C6935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 Як-7 (1942-44)-1320, Як-9 (1944-45)- 817, Ту-2 (1951-52), Ли-2, «105.12» (1976 г.); спортивно-пилотажный самолет И-3 (СП-91) (2002);</w:t>
      </w:r>
    </w:p>
    <w:p w14:paraId="0B404B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ЗУР: изд. «32Б» (1952)- 40, "205" (В-300, 1952-54), «207» (1954-60), «217М» (1960-61), «400»- опытная партия (1961); ЖРД: С2.711 (1955-);</w:t>
      </w:r>
    </w:p>
    <w:p w14:paraId="3CA379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троллейбус МТБ-82 (1945-49).</w:t>
      </w:r>
    </w:p>
    <w:p w14:paraId="668174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82 НКАП, МАП, Моссовнархоза, МОП, Тушинский Машиностроительный Завод (ТМЗ) ГКАТ, ОАО "ТМЗ"</w:t>
      </w:r>
    </w:p>
    <w:p w14:paraId="0F5348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Тушино Московской обл. ул. Молотова (1947 г.)</w:t>
      </w:r>
    </w:p>
    <w:p w14:paraId="09099D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123362 г. Москва ул. Свободы, 35 тел. 493-30-47</w:t>
      </w:r>
    </w:p>
    <w:p w14:paraId="50E33E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82 МАП, ОКБ-82 МАП гл. конструктора М.М. Пашинина</w:t>
      </w:r>
    </w:p>
    <w:p w14:paraId="38D243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Тушино Московской обл.</w:t>
      </w:r>
    </w:p>
    <w:p w14:paraId="757C75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Сначала для развития гражданского производства в послевоенный период по приказу № 176асс от 29.03.1946 г. при заводе № 82 образовано на базе СКО завода ОКБ-82 по разработке и внедрению в серию троллейбуса МТБ-82.</w:t>
      </w:r>
    </w:p>
    <w:p w14:paraId="42C428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Самолетостроительное ОКБ при 7ГУобразовано в соответствии с постановлением СМ № 1145-471сс от 31.05.1946 г. и приказом МАП № 564 от 21.08.1946 г. </w:t>
      </w:r>
    </w:p>
    <w:p w14:paraId="7A5209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1947 г. в ОКБ переведено около 210 специалистов из Куйбышева (видимо, это бывшие работники завода № 464, где работал Пашинин, эвакуированные на завод № 1).</w:t>
      </w:r>
    </w:p>
    <w:p w14:paraId="384D93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Разрабатывался проект винтореактивного самолета С-82 (неудачно).</w:t>
      </w:r>
    </w:p>
    <w:p w14:paraId="132238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ликвидировано по приказу МАП № 440с от 21.06.1948 г. Часть площадей и личного состава ОКБ-82 была передана организованному в 1948 г. ОКБ-4 МАП в Тушино, а другая часть- заводу № 82 МАП.</w:t>
      </w:r>
    </w:p>
    <w:p w14:paraId="22E618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(1946-48 г.)- М.М. Пашинин.</w:t>
      </w:r>
    </w:p>
    <w:p w14:paraId="705507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КБ завода № 82 МАП, КБ-82 МАП, ОКБ-82 МосгорСНХ, МКБ "Буревестник", М-5188 </w:t>
      </w:r>
    </w:p>
    <w:p w14:paraId="0918B5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Образовалось в 01.1954 г. на базе серийного КО (СКО) завода № 82 для внедрения в производство ЗУР В-300. В 1954-55 г. В-300 успешно внедрена в серию, разработана техдокументация на изд. «207А». При передаче в 1955 г. завода № 82 в МОП КБ было расформировано. Часть кадров возвращена в СКО, а часть (39 чел.) переведена в ОКБ-301.</w:t>
      </w:r>
    </w:p>
    <w:p w14:paraId="140A6A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в 08.1955 г., ввиду необходимости продолжения работ по ЗУР «205» и «207А», принято решение о восстановлении КБ завода № 82 МОП с подчинением его ОКБ-301 С.М. Лавочкина. До начала 1956 г. разработана техдокументация на «215» и запущена в производство. Руководил работами М.М. Пашинин.</w:t>
      </w:r>
    </w:p>
    <w:p w14:paraId="6E943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создана ЗУР «218» со специальной БЧ (испытана в 1964 г.).</w:t>
      </w:r>
    </w:p>
    <w:p w14:paraId="476D46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1961 г.- разработка ракет-мишеней.</w:t>
      </w:r>
    </w:p>
    <w:p w14:paraId="46384B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МКБ «Буревестник». В 02.1976 г. объединено с КБ "Молния" в НПО "Молния". В 1968 г. имело наименование «предприятие- п/я М-5188».</w:t>
      </w:r>
    </w:p>
    <w:p w14:paraId="78AB4F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ОКБ - филиал ОКБ Сухого (1966 г.). При МКБ была создана опытно-экспериментальная производственная база по изготовлению деталей самолетов и ракет.</w:t>
      </w:r>
    </w:p>
    <w:p w14:paraId="5F2739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ОКБ (1958-76 г.)- А.В. Потопалов (затем- зам. Гендиректора/ гл. конструктор НПО «Молния»). </w:t>
      </w:r>
    </w:p>
    <w:p w14:paraId="7EE718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(1965-76 г.)- А.В. Потопалов.</w:t>
      </w:r>
    </w:p>
    <w:p w14:paraId="029B8F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(-1956 г.)- М.М. Пашинин.</w:t>
      </w:r>
    </w:p>
    <w:p w14:paraId="24E75E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ЗУР «207А», «218», опытная "Оса" (9М33, передана в «Факел»), "625", УР-ВС (1960); ракеты-мишени РМ-207 "Белка, «Куница», «Соболь», РМ-217 (1980-е г.), "Звезда", "Стрела" из ЗУР типа В-300; разработка средств системы С-25М, работы по Т-4 (10776).</w:t>
      </w:r>
    </w:p>
    <w:p w14:paraId="5B119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BA6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за № 206сс во исполнение Постановления ГОКО за № 1440с от 14 марта 1942 года, которыми завод № 82, реэвакуированный из Казани в Тушино, был ликвидирован с передачей всех кадров и оборудования заводу № 45, а опытные образцы дизеля М-30, техдокументацию, конструкторские кадры передать в ЦИАМ.</w:t>
      </w:r>
    </w:p>
    <w:p w14:paraId="18BE6F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5CCAA7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окончании ВОВ производство военной техники значительно сократилось. В 1945 году директором завода был назначен Кононенко. В 1946 году был освоен и </w:t>
      </w:r>
      <w:r w:rsidRPr="008127F8">
        <w:rPr>
          <w:rFonts w:ascii="Times New Roman" w:hAnsi="Times New Roman"/>
          <w:color w:val="000000" w:themeColor="text1"/>
          <w:sz w:val="16"/>
          <w:szCs w:val="16"/>
        </w:rPr>
        <w:lastRenderedPageBreak/>
        <w:t>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658C92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на заводе № 500 было организовано в 1942 году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5CEDF2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Тушино. Производственный профиль – авиамоторный (9861).</w:t>
      </w:r>
    </w:p>
    <w:p w14:paraId="2F87A4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3CF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приказом № 206сс в соответствии с пост. ГКО № 1440сс от 14.03.1942 г. для обеспечения быстрейшей организации в Москве завода-дублера по производству АМ-38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6A344B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32EA0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5ECBCE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(1932-35 г.)- С.Е. Киселев, (1936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Войтов, (1937 г.)- А.С. Черняков, (1938-41 г.)- С.Н. Жилин, (1941-42 г.-)- В.Н. Дубов.</w:t>
      </w:r>
      <w:r w:rsidRPr="008127F8">
        <w:rPr>
          <w:rFonts w:ascii="Times New Roman" w:hAnsi="Times New Roman"/>
          <w:color w:val="000000" w:themeColor="text1"/>
          <w:sz w:val="16"/>
          <w:szCs w:val="16"/>
          <w:vertAlign w:val="superscript"/>
        </w:rPr>
        <w:t>49</w:t>
      </w:r>
    </w:p>
    <w:p w14:paraId="4BCA8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(конец 1930-х)- А. Г. Таканаев.</w:t>
      </w:r>
    </w:p>
    <w:p w14:paraId="336A2A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Ф.Я. Тулупов (М-30) (11982).</w:t>
      </w:r>
    </w:p>
    <w:p w14:paraId="0AF7FB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288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1462 О постановке производства ДБ-3Ф на заводе № 166 в гор. Омске. РГАНИР, Фонд ГКО, д. 24, лл. 188 (11012).</w:t>
      </w:r>
    </w:p>
    <w:p w14:paraId="38BAE7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6772A" w14:textId="77777777" w:rsidR="0099321F" w:rsidRPr="008127F8" w:rsidRDefault="009932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1462 О постановке производства ДБ-3Ф на заводе № 166 в гор. Омске</w:t>
      </w:r>
    </w:p>
    <w:p w14:paraId="1126839E"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Государственный Комитет Обороны постановляет:</w:t>
      </w:r>
    </w:p>
    <w:p w14:paraId="0D93F388" w14:textId="77777777" w:rsidR="0099321F" w:rsidRPr="008127F8" w:rsidRDefault="0099321F" w:rsidP="001E0A84">
      <w:pPr>
        <w:pStyle w:val="47"/>
        <w:shd w:val="clear" w:color="auto" w:fill="auto"/>
        <w:tabs>
          <w:tab w:val="left" w:pos="105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Обязать Наркомавиапром т.Шахурина, директора эавода № 166 т.Соколова, главного конструктора т.Ильюшина поставить производство самолета ДБ-ЗФ (по образцу, выпускаемому доводом №126) на заводе № 166 в г.Омске с развитием завода на мощность по выпуску 4 самолетов в день.</w:t>
      </w:r>
    </w:p>
    <w:p w14:paraId="7FF2658B" w14:textId="77777777" w:rsidR="0099321F" w:rsidRPr="008127F8" w:rsidRDefault="0099321F" w:rsidP="001E0A84">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Установить программу заводу 166 по выпуску самолетов ДБ-ЗФ на 1942 год - 187 шт., из них:</w:t>
      </w:r>
    </w:p>
    <w:p w14:paraId="112E8E18"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июне - 2</w:t>
      </w:r>
    </w:p>
    <w:p w14:paraId="420DE74A"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июле - 8</w:t>
      </w:r>
    </w:p>
    <w:p w14:paraId="2A6EE10B"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августе - 16</w:t>
      </w:r>
    </w:p>
    <w:p w14:paraId="7ABC30B2"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сентябре - 25</w:t>
      </w:r>
    </w:p>
    <w:p w14:paraId="20A5045E"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октябре - 32</w:t>
      </w:r>
    </w:p>
    <w:p w14:paraId="75A54C9B"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ноябре - 44</w:t>
      </w:r>
    </w:p>
    <w:p w14:paraId="6178DAEE" w14:textId="77777777" w:rsidR="0099321F" w:rsidRPr="008127F8" w:rsidRDefault="0099321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декабре 60</w:t>
      </w:r>
    </w:p>
    <w:p w14:paraId="7473C9C7" w14:textId="77777777" w:rsidR="0099321F" w:rsidRPr="008127F8" w:rsidRDefault="0099321F" w:rsidP="001E0A84">
      <w:pPr>
        <w:pStyle w:val="47"/>
        <w:shd w:val="clear" w:color="auto" w:fill="auto"/>
        <w:tabs>
          <w:tab w:val="left" w:pos="105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 Самолет "103" конструкции т.Туполева с производства на заводе № 166 снять. Заделы по самолету "103", приспособления и инструмент законсервировать и сохранить на заводе № 166.</w:t>
      </w:r>
    </w:p>
    <w:p w14:paraId="1910D806" w14:textId="77777777" w:rsidR="0099321F" w:rsidRPr="008127F8" w:rsidRDefault="0099321F" w:rsidP="001E0A84">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4. Обязать Наркомавиапром т.Шахурина опытный завод № 288 в г.Омске расформировать. Все оборудование и кадры передать за</w:t>
      </w:r>
      <w:r w:rsidRPr="008127F8">
        <w:rPr>
          <w:rFonts w:ascii="Times New Roman" w:hAnsi="Times New Roman" w:cs="Times New Roman"/>
          <w:color w:val="000000" w:themeColor="text1"/>
          <w:sz w:val="16"/>
          <w:szCs w:val="16"/>
        </w:rPr>
        <w:softHyphen/>
        <w:t>воду № 166 для производства самолета ДБ-ЗФ.</w:t>
      </w:r>
    </w:p>
    <w:p w14:paraId="363C140E" w14:textId="77777777" w:rsidR="0099321F" w:rsidRPr="008127F8" w:rsidRDefault="0099321F" w:rsidP="001E0A84">
      <w:pPr>
        <w:pStyle w:val="47"/>
        <w:shd w:val="clear" w:color="auto" w:fill="auto"/>
        <w:tabs>
          <w:tab w:val="left" w:pos="104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5. Обязать главного конструктора т.Ильюшина направить на завод № 166 группу конструкторов в количестве 10 человек по са</w:t>
      </w:r>
      <w:r w:rsidRPr="008127F8">
        <w:rPr>
          <w:rFonts w:ascii="Times New Roman" w:hAnsi="Times New Roman" w:cs="Times New Roman"/>
          <w:color w:val="000000" w:themeColor="text1"/>
          <w:sz w:val="16"/>
          <w:szCs w:val="16"/>
        </w:rPr>
        <w:softHyphen/>
        <w:t>молету ДБ-3Ф со своим заместителем т.Борог В.П.</w:t>
      </w:r>
    </w:p>
    <w:p w14:paraId="39DA2791" w14:textId="77777777" w:rsidR="0099321F" w:rsidRPr="008127F8" w:rsidRDefault="0099321F" w:rsidP="001E0A84">
      <w:pPr>
        <w:pStyle w:val="47"/>
        <w:shd w:val="clear" w:color="auto" w:fill="auto"/>
        <w:tabs>
          <w:tab w:val="left" w:pos="103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6. Обязать директора завода 126 т.Тимофеева передать заводу № 166 четыре самолета в разобранном виде без моторов и один самолет в летном состоянии.</w:t>
      </w:r>
    </w:p>
    <w:p w14:paraId="012CAE49" w14:textId="77777777" w:rsidR="0099321F" w:rsidRPr="008127F8" w:rsidRDefault="0099321F" w:rsidP="001E0A84">
      <w:pPr>
        <w:pStyle w:val="47"/>
        <w:shd w:val="clear" w:color="auto" w:fill="auto"/>
        <w:tabs>
          <w:tab w:val="left" w:pos="107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7. Утвердить главным инженером завода № 166 т.Голяева Д.В.</w:t>
      </w:r>
    </w:p>
    <w:p w14:paraId="2A26DA5F" w14:textId="77777777" w:rsidR="0099321F" w:rsidRPr="008127F8" w:rsidRDefault="0099321F" w:rsidP="001E0A84">
      <w:pPr>
        <w:pStyle w:val="47"/>
        <w:shd w:val="clear" w:color="auto" w:fill="auto"/>
        <w:tabs>
          <w:tab w:val="left" w:pos="1043"/>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8. Решение ГОКО от 2.П.42г. № 1235сс по строительству и развитию завода № 166 для производства самолета "103" оставить в силе и для производства самолета ДБ-3Ф.</w:t>
      </w:r>
    </w:p>
    <w:p w14:paraId="2F943CAA" w14:textId="77777777" w:rsidR="0099321F" w:rsidRPr="008127F8" w:rsidRDefault="0099321F" w:rsidP="001E0A84">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9. Конструкторское бюро т.Туполева и т.Мясищева перевести в г.Москву на площади бывшего завода 293 (КБ </w:t>
      </w:r>
      <w:proofErr w:type="gramStart"/>
      <w:r w:rsidRPr="008127F8">
        <w:rPr>
          <w:rFonts w:ascii="Times New Roman" w:hAnsi="Times New Roman" w:cs="Times New Roman"/>
          <w:color w:val="000000" w:themeColor="text1"/>
          <w:sz w:val="16"/>
          <w:szCs w:val="16"/>
        </w:rPr>
        <w:t>т .Болховитинова</w:t>
      </w:r>
      <w:proofErr w:type="gramEnd"/>
      <w:r w:rsidRPr="008127F8">
        <w:rPr>
          <w:rFonts w:ascii="Times New Roman" w:hAnsi="Times New Roman" w:cs="Times New Roman"/>
          <w:color w:val="000000" w:themeColor="text1"/>
          <w:sz w:val="16"/>
          <w:szCs w:val="16"/>
        </w:rPr>
        <w:t>).</w:t>
      </w:r>
    </w:p>
    <w:p w14:paraId="64E8160B" w14:textId="77777777" w:rsidR="0099321F" w:rsidRPr="008127F8" w:rsidRDefault="0099321F" w:rsidP="001E0A84">
      <w:pPr>
        <w:pStyle w:val="47"/>
        <w:shd w:val="clear" w:color="auto" w:fill="auto"/>
        <w:tabs>
          <w:tab w:val="left" w:pos="117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10. Обязать НИИ ВВС, ЛИИ НКАП и главного конструктора т.Туполева провести всесторонние испытания вплоть до боевого применения на фронте выпущенных на заводе № 166 самолетов "103" с М-82 (19315).</w:t>
      </w:r>
    </w:p>
    <w:p w14:paraId="36A282BE" w14:textId="77777777" w:rsidR="0099321F" w:rsidRPr="008127F8" w:rsidRDefault="009932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E93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N 1462сс, которое обязало НКАП и ГК С.В.И. поставить на производство самолет ДБ-3Ф на заводе 166, оставив в силе для производства самолета ДБ-3Ф решение ГКО N 1235сс от 2 февраля 1942 о производстве самолета 103 на заводе 166 и утвердив ГИ завода 166 Д.В.Голеева (1543,60).</w:t>
      </w:r>
    </w:p>
    <w:p w14:paraId="79FFDF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49B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года вышли три постановления ГКО: № 1462 «О постановке про</w:t>
      </w:r>
      <w:r w:rsidRPr="008127F8">
        <w:rPr>
          <w:rFonts w:ascii="Times New Roman" w:hAnsi="Times New Roman"/>
          <w:color w:val="000000" w:themeColor="text1"/>
          <w:sz w:val="16"/>
          <w:szCs w:val="16"/>
        </w:rPr>
        <w:softHyphen/>
        <w:t>изводства самолета ДБ-3Ф на заво</w:t>
      </w:r>
      <w:r w:rsidRPr="008127F8">
        <w:rPr>
          <w:rFonts w:ascii="Times New Roman" w:hAnsi="Times New Roman"/>
          <w:color w:val="000000" w:themeColor="text1"/>
          <w:sz w:val="16"/>
          <w:szCs w:val="16"/>
        </w:rPr>
        <w:softHyphen/>
        <w:t>де № 166 в Омске» (самолет «103» конструкции Туполева с производства на заводе 166 снимался), № 1463 «О заводе № 29 НКАП», по которому завод № 29 освобождался полнос</w:t>
      </w:r>
      <w:r w:rsidRPr="008127F8">
        <w:rPr>
          <w:rFonts w:ascii="Times New Roman" w:hAnsi="Times New Roman"/>
          <w:color w:val="000000" w:themeColor="text1"/>
          <w:sz w:val="16"/>
          <w:szCs w:val="16"/>
        </w:rPr>
        <w:softHyphen/>
        <w:t>тью от производства моторов М-82 (на заводе №19 выпуск мотора М-82 продолжался) и № 1464 «О заводе № 19 НКАП», которое обязывало его обеспечить, начиная с апреля 1942 года, ежесуточный вы</w:t>
      </w:r>
      <w:r w:rsidRPr="008127F8">
        <w:rPr>
          <w:rFonts w:ascii="Times New Roman" w:hAnsi="Times New Roman"/>
          <w:color w:val="000000" w:themeColor="text1"/>
          <w:sz w:val="16"/>
          <w:szCs w:val="16"/>
        </w:rPr>
        <w:softHyphen/>
        <w:t>пуск моторов М-62ИР в количестве 7 шт. и моторов М-82 в апреле 11 моторов в сутки, в июле -13 и в ав</w:t>
      </w:r>
      <w:r w:rsidRPr="008127F8">
        <w:rPr>
          <w:rFonts w:ascii="Times New Roman" w:hAnsi="Times New Roman"/>
          <w:color w:val="000000" w:themeColor="text1"/>
          <w:sz w:val="16"/>
          <w:szCs w:val="16"/>
        </w:rPr>
        <w:softHyphen/>
        <w:t>густе - 15 моторов в сутки (10686).</w:t>
      </w:r>
    </w:p>
    <w:p w14:paraId="452B67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2262E" w14:textId="77777777" w:rsidR="00D24256" w:rsidRPr="008127F8" w:rsidRDefault="00D24256" w:rsidP="001E0A84">
      <w:pPr>
        <w:pStyle w:val="a4"/>
        <w:rPr>
          <w:color w:val="000000" w:themeColor="text1"/>
          <w:lang w:val="ru-RU"/>
        </w:rPr>
      </w:pPr>
      <w:r w:rsidRPr="008127F8">
        <w:rPr>
          <w:color w:val="000000" w:themeColor="text1"/>
          <w:lang w:val="ru-RU"/>
        </w:rPr>
        <w:t>16 марта 1942 г. вышли еще три постановления ГКО. Два из них стали сьма симптоматичны: № 1462 «О постановке производства самолёта ДБ-ЗФ на заводе № 166 в Омске» (самолёт «103» конструкции Туполева с производства на заводе 166 снимался), и № 1463 «О заводе № 29 НКАП», по которому завод № 29 освобождался полностью от производства моторов М-82. Правда, на заводе № 19 выпуск мотора М-82 продолжался. Постановление № 1464 от же 16 марта 1942 г. «О заводе № 19 НКАП» обязывало обеспечить, начиная с апреля 1942 г., ежесуточный выпуск моторов М-62ИР в количестве 7 шт. и моторов М-82 в апреле 11 моторов в сутки, в</w:t>
      </w:r>
      <w:r w:rsidRPr="008127F8">
        <w:rPr>
          <w:rStyle w:val="88"/>
          <w:rFonts w:ascii="Times New Roman" w:hAnsi="Times New Roman" w:cs="Times New Roman"/>
          <w:i w:val="0"/>
          <w:color w:val="000000" w:themeColor="text1"/>
          <w:sz w:val="16"/>
          <w:szCs w:val="16"/>
          <w:lang w:val="ru-RU"/>
        </w:rPr>
        <w:t xml:space="preserve"> июле</w:t>
      </w:r>
      <w:r w:rsidRPr="008127F8">
        <w:rPr>
          <w:color w:val="000000" w:themeColor="text1"/>
          <w:lang w:val="ru-RU"/>
        </w:rPr>
        <w:t xml:space="preserve"> — 13 и в августе — 15 моторов в сутки. Отметим, что вышеуказанные постановления по бомбардировщикам означали борьбу между С.В. Ильюшиным и А.Н. Туполевым за то, какой бомбардировщик — ДБ-ЗФ или 103» (с 22.3.42 г. — Ил-4 и Ту-2) — нужно производить для оснащения Авиации Дальнего Действия (АДД) Туполев всё же отстоял право на продолжение серийного производства своего детища, правда, не для АДД: постановлением ГКО № 1480 от 22 марта 12 г. «О производстве самолеёта «103» на заводе № 166 в г. Омске» с апреля 1942 г. пуск самолёта как фронтового бомбардировщика всё же возобновился. В этом же время еще построили два первых серийных Ту-2, но что с ними делать дальше — было не- но: госиспытаний самолёт еще не проходил. В это же время с 20 февраля по 13 марта 1942 г. прошел госиспытания Ил-2 с М-82. НИИ ВВС сделал вывод, что полученные результаты по-прежнему хуже, чем у серийно- Ил-2 с АМ-38, и нет доказательств большей живучести небронированного мотора -82 по сравнению с забронированным АМ-38 (15788).</w:t>
      </w:r>
    </w:p>
    <w:p w14:paraId="121F7DB8" w14:textId="77777777" w:rsidR="00D24256" w:rsidRPr="008127F8" w:rsidRDefault="00D24256" w:rsidP="001E0A84">
      <w:pPr>
        <w:pStyle w:val="a4"/>
        <w:rPr>
          <w:color w:val="000000" w:themeColor="text1"/>
          <w:lang w:val="ru-RU"/>
        </w:rPr>
      </w:pPr>
    </w:p>
    <w:p w14:paraId="6CEDE7D8" w14:textId="77777777" w:rsidR="00DD4457" w:rsidRPr="008127F8" w:rsidRDefault="00DD4457"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16 марта 1942 г. Постанов</w:t>
      </w:r>
      <w:r w:rsidRPr="008127F8">
        <w:rPr>
          <w:rFonts w:ascii="Times New Roman" w:hAnsi="Times New Roman"/>
          <w:color w:val="000000" w:themeColor="text1"/>
          <w:sz w:val="16"/>
          <w:szCs w:val="16"/>
          <w:lang w:eastAsia="ru-RU" w:bidi="ru-RU"/>
        </w:rPr>
        <w:softHyphen/>
        <w:t>ление ГКО вдруг по</w:t>
      </w:r>
      <w:r w:rsidRPr="008127F8">
        <w:rPr>
          <w:rFonts w:ascii="Times New Roman" w:hAnsi="Times New Roman"/>
          <w:color w:val="000000" w:themeColor="text1"/>
          <w:sz w:val="16"/>
          <w:szCs w:val="16"/>
          <w:lang w:eastAsia="ru-RU" w:bidi="ru-RU"/>
        </w:rPr>
        <w:softHyphen/>
        <w:t>требовало «103» с производства на заводе № 166 снять, а вместо него собирать ДБ-3Ф. Не успели опомниться от такого разворота - через шесть дней новое постановление: пре</w:t>
      </w:r>
      <w:r w:rsidRPr="008127F8">
        <w:rPr>
          <w:rFonts w:ascii="Times New Roman" w:hAnsi="Times New Roman"/>
          <w:color w:val="000000" w:themeColor="text1"/>
          <w:sz w:val="16"/>
          <w:szCs w:val="16"/>
          <w:lang w:eastAsia="ru-RU" w:bidi="ru-RU"/>
        </w:rPr>
        <w:softHyphen/>
        <w:t>дыдущее отменить, опять строить «103» с М-82, установить годовой план в 290 са</w:t>
      </w:r>
      <w:r w:rsidRPr="008127F8">
        <w:rPr>
          <w:rFonts w:ascii="Times New Roman" w:hAnsi="Times New Roman"/>
          <w:color w:val="000000" w:themeColor="text1"/>
          <w:sz w:val="16"/>
          <w:szCs w:val="16"/>
          <w:lang w:eastAsia="ru-RU" w:bidi="ru-RU"/>
        </w:rPr>
        <w:softHyphen/>
        <w:t>молетов (21061).</w:t>
      </w:r>
    </w:p>
    <w:p w14:paraId="7DE43E94" w14:textId="77777777" w:rsidR="00DD4457" w:rsidRPr="008127F8" w:rsidRDefault="00DD4457" w:rsidP="001E0A84">
      <w:pPr>
        <w:spacing w:after="0" w:line="240" w:lineRule="auto"/>
        <w:jc w:val="both"/>
        <w:rPr>
          <w:rFonts w:ascii="Times New Roman" w:hAnsi="Times New Roman"/>
          <w:color w:val="000000" w:themeColor="text1"/>
          <w:sz w:val="16"/>
          <w:szCs w:val="16"/>
        </w:rPr>
      </w:pPr>
    </w:p>
    <w:p w14:paraId="3601F09B"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марта 1942 г. Постановление ГКО №14б2сс определяло выпуск Ил-4 на заводе №166 в Омске, но там не хватало ква</w:t>
      </w:r>
      <w:r w:rsidRPr="008A2E5A">
        <w:rPr>
          <w:rFonts w:ascii="Times New Roman" w:hAnsi="Times New Roman"/>
          <w:color w:val="0070C0"/>
          <w:sz w:val="16"/>
          <w:szCs w:val="16"/>
        </w:rPr>
        <w:softHyphen/>
        <w:t>лифицированных рабочих и оборудования, а параллельно ос</w:t>
      </w:r>
      <w:r w:rsidRPr="008A2E5A">
        <w:rPr>
          <w:rFonts w:ascii="Times New Roman" w:hAnsi="Times New Roman"/>
          <w:color w:val="0070C0"/>
          <w:sz w:val="16"/>
          <w:szCs w:val="16"/>
        </w:rPr>
        <w:softHyphen/>
        <w:t>ваивали выпуск фронтового бомбардировщика Ту-2 — по этой причине через неделю задание по Ил-4 сняли (24139).</w:t>
      </w:r>
    </w:p>
    <w:p w14:paraId="03782A14" w14:textId="77777777" w:rsidR="00E9631D" w:rsidRPr="008A2E5A" w:rsidRDefault="00E9631D" w:rsidP="00E9631D">
      <w:pPr>
        <w:spacing w:after="0" w:line="240" w:lineRule="auto"/>
        <w:jc w:val="both"/>
        <w:rPr>
          <w:rFonts w:ascii="Times New Roman" w:hAnsi="Times New Roman"/>
          <w:color w:val="0070C0"/>
          <w:sz w:val="16"/>
          <w:szCs w:val="16"/>
        </w:rPr>
      </w:pPr>
    </w:p>
    <w:p w14:paraId="5D26A8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года приказом НКАП за № 210сс во исполнение Решением ГКО за № 1442сс от 14 марта 1942 года заводу № 23 было дано производственное задание по выпуску самолета ИЛ-4, который заводом выпускался до июля 1943 года.</w:t>
      </w:r>
    </w:p>
    <w:p w14:paraId="2F1B1A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3DCA1A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0D5C35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2586E0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Этим же постановлением и приказом МАП заводу установлено задание по выпуску самолетов ТУ-4, которое завод выполнял до 1 января 1953 года.</w:t>
      </w:r>
    </w:p>
    <w:p w14:paraId="424EB3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604679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AA465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5FC887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8127F8" w14:paraId="37ABA6D3" w14:textId="77777777">
        <w:tc>
          <w:tcPr>
            <w:tcW w:w="817" w:type="dxa"/>
          </w:tcPr>
          <w:p w14:paraId="2AFEF0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изделий</w:t>
            </w:r>
          </w:p>
        </w:tc>
        <w:tc>
          <w:tcPr>
            <w:tcW w:w="1348" w:type="dxa"/>
          </w:tcPr>
          <w:p w14:paraId="115B65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и количество двигателей установлен. на самолете</w:t>
            </w:r>
          </w:p>
        </w:tc>
        <w:tc>
          <w:tcPr>
            <w:tcW w:w="920" w:type="dxa"/>
          </w:tcPr>
          <w:p w14:paraId="7A6178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w:t>
            </w:r>
          </w:p>
        </w:tc>
        <w:tc>
          <w:tcPr>
            <w:tcW w:w="851" w:type="dxa"/>
          </w:tcPr>
          <w:p w14:paraId="085222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w:t>
            </w:r>
          </w:p>
        </w:tc>
        <w:tc>
          <w:tcPr>
            <w:tcW w:w="850" w:type="dxa"/>
          </w:tcPr>
          <w:p w14:paraId="520E0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w:t>
            </w:r>
          </w:p>
        </w:tc>
        <w:tc>
          <w:tcPr>
            <w:tcW w:w="851" w:type="dxa"/>
          </w:tcPr>
          <w:p w14:paraId="00654E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1955 год</w:t>
            </w:r>
          </w:p>
        </w:tc>
        <w:tc>
          <w:tcPr>
            <w:tcW w:w="850" w:type="dxa"/>
          </w:tcPr>
          <w:p w14:paraId="498A14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1956 год</w:t>
            </w:r>
          </w:p>
        </w:tc>
        <w:tc>
          <w:tcPr>
            <w:tcW w:w="851" w:type="dxa"/>
          </w:tcPr>
          <w:p w14:paraId="5152B7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w:t>
            </w:r>
          </w:p>
        </w:tc>
        <w:tc>
          <w:tcPr>
            <w:tcW w:w="850" w:type="dxa"/>
          </w:tcPr>
          <w:p w14:paraId="6D4CD5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1958 год</w:t>
            </w:r>
          </w:p>
        </w:tc>
      </w:tr>
      <w:tr w:rsidR="006F4095" w:rsidRPr="008127F8" w14:paraId="786C8571" w14:textId="77777777">
        <w:tc>
          <w:tcPr>
            <w:tcW w:w="817" w:type="dxa"/>
          </w:tcPr>
          <w:p w14:paraId="4F2BCE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Ту-4</w:t>
            </w:r>
          </w:p>
        </w:tc>
        <w:tc>
          <w:tcPr>
            <w:tcW w:w="1348" w:type="dxa"/>
          </w:tcPr>
          <w:p w14:paraId="5EAC92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4АШ73МК</w:t>
            </w:r>
          </w:p>
        </w:tc>
        <w:tc>
          <w:tcPr>
            <w:tcW w:w="920" w:type="dxa"/>
          </w:tcPr>
          <w:p w14:paraId="1D8EBF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851" w:type="dxa"/>
          </w:tcPr>
          <w:p w14:paraId="0857A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250C46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0885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E9DB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3FF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7F73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7EB07B" w14:textId="77777777">
        <w:tc>
          <w:tcPr>
            <w:tcW w:w="817" w:type="dxa"/>
          </w:tcPr>
          <w:p w14:paraId="76483F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ИЛ-28</w:t>
            </w:r>
          </w:p>
        </w:tc>
        <w:tc>
          <w:tcPr>
            <w:tcW w:w="1348" w:type="dxa"/>
          </w:tcPr>
          <w:p w14:paraId="4CAD91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2АШ73МК</w:t>
            </w:r>
          </w:p>
        </w:tc>
        <w:tc>
          <w:tcPr>
            <w:tcW w:w="920" w:type="dxa"/>
          </w:tcPr>
          <w:p w14:paraId="39A712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792B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0" w:type="dxa"/>
          </w:tcPr>
          <w:p w14:paraId="1891DD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F2AC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BFB6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10F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5AE1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9CBE3F1" w14:textId="77777777">
        <w:tc>
          <w:tcPr>
            <w:tcW w:w="817" w:type="dxa"/>
          </w:tcPr>
          <w:p w14:paraId="2A452C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1348" w:type="dxa"/>
          </w:tcPr>
          <w:p w14:paraId="3AD5D2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4АМ3</w:t>
            </w:r>
          </w:p>
        </w:tc>
        <w:tc>
          <w:tcPr>
            <w:tcW w:w="920" w:type="dxa"/>
          </w:tcPr>
          <w:p w14:paraId="37FA55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1" w:type="dxa"/>
          </w:tcPr>
          <w:p w14:paraId="19A126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850" w:type="dxa"/>
          </w:tcPr>
          <w:p w14:paraId="565220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B6EB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7B55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81CA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3E58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2DFF4F" w14:textId="77777777">
        <w:tc>
          <w:tcPr>
            <w:tcW w:w="817" w:type="dxa"/>
          </w:tcPr>
          <w:p w14:paraId="5DF46E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М-4</w:t>
            </w:r>
          </w:p>
        </w:tc>
        <w:tc>
          <w:tcPr>
            <w:tcW w:w="1348" w:type="dxa"/>
          </w:tcPr>
          <w:p w14:paraId="0552C2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tc>
        <w:tc>
          <w:tcPr>
            <w:tcW w:w="920" w:type="dxa"/>
          </w:tcPr>
          <w:p w14:paraId="530E5C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0005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D365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51" w:type="dxa"/>
          </w:tcPr>
          <w:p w14:paraId="08E1AE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50" w:type="dxa"/>
          </w:tcPr>
          <w:p w14:paraId="54FD11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851" w:type="dxa"/>
          </w:tcPr>
          <w:p w14:paraId="0B8B7E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193BF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E4AE3AE" w14:textId="77777777">
        <w:tc>
          <w:tcPr>
            <w:tcW w:w="817" w:type="dxa"/>
          </w:tcPr>
          <w:p w14:paraId="2BA845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3М</w:t>
            </w:r>
          </w:p>
        </w:tc>
        <w:tc>
          <w:tcPr>
            <w:tcW w:w="1348" w:type="dxa"/>
          </w:tcPr>
          <w:p w14:paraId="718E89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4А25</w:t>
            </w:r>
          </w:p>
          <w:p w14:paraId="044AFA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4АВД-7</w:t>
            </w:r>
          </w:p>
        </w:tc>
        <w:tc>
          <w:tcPr>
            <w:tcW w:w="920" w:type="dxa"/>
          </w:tcPr>
          <w:p w14:paraId="4B7026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8A5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7DD4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84B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4428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851" w:type="dxa"/>
          </w:tcPr>
          <w:p w14:paraId="06D1F3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850" w:type="dxa"/>
          </w:tcPr>
          <w:p w14:paraId="3F669A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r>
    </w:tbl>
    <w:p w14:paraId="7A0D6B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Г-87, п/я 222</w:t>
      </w:r>
    </w:p>
    <w:p w14:paraId="6FE94B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Осипов (1959)</w:t>
      </w:r>
    </w:p>
    <w:p w14:paraId="63F6E4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металлическое самолетостроение (9754)</w:t>
      </w:r>
    </w:p>
    <w:p w14:paraId="11B94C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CE7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N 210сс:</w:t>
      </w:r>
    </w:p>
    <w:p w14:paraId="461633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1442сс от 14 марта 1942 и в изменение приказов НКАП N 129сс от 17 февраля 1942, N 185сс от 9 марта 1942 и N 186сс от 9 марта 1942 в части, касающейся производства самолетов Як-3 и Як-7 на заводе 23:</w:t>
      </w:r>
    </w:p>
    <w:p w14:paraId="5CBE3D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23 В.А.Окулову прекратить подготовку производства самолетов Як-3 и Як-7 на заводе 23</w:t>
      </w:r>
    </w:p>
    <w:p w14:paraId="094923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наркома П.В.Дементьеву и зам. наркома ГК А.С.Я. организовать производство самолетов Як-7 на площадях бывшего завода 81 в Тушино</w:t>
      </w:r>
    </w:p>
    <w:p w14:paraId="55D07A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Зам. наркома П.В.Дементьеву и А.С.Я. укомплектование завода 82 по производству самолетов Як-7 произвести после оснащения оборудованием завода 23 на полную мощность производства самолетов ДБ-3Ф, в связи с чем зам. наркома А.С.Я. подготовить к 10 апреля 1942 для представления ГКО предложения по развертыванию завода 82 по производству самолетов Як-7 и программе на 1942 (1544,14).</w:t>
      </w:r>
    </w:p>
    <w:p w14:paraId="3A071F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черта с этим заводом 82 не поймешь.</w:t>
      </w:r>
    </w:p>
    <w:p w14:paraId="3E56CE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директором завода 23 в Москве, созданного на базе эвакуированного в Казань 22, эвакуированного в Пермь 135 из Харькова, где перестали делать Су-2, 458 из Баку и завода шасси из Запорожья назначили директора 135 М.Кузина, но в конце 1942 его сменил И.Б.Иосилович (568,27).</w:t>
      </w:r>
    </w:p>
    <w:p w14:paraId="23453C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A90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С.А.Л. в письме N 2891 А.И.Ш. в НКАП писал:</w:t>
      </w:r>
    </w:p>
    <w:p w14:paraId="25E75C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основе проделанных работ и испытаний, прошу Вашего разрешения на введение нижеследующих изменений в ЛаГГ-3 серийного производства:</w:t>
      </w:r>
    </w:p>
    <w:p w14:paraId="37D2EF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Установить правый БС с боекомплектом 160 имея в нормальном варианте 1хШВАК + 2хБС</w:t>
      </w:r>
    </w:p>
    <w:p w14:paraId="324D7D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доп. бензобаки в крыло на 90 кг</w:t>
      </w:r>
    </w:p>
    <w:p w14:paraId="61D740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автоматические предкрылки</w:t>
      </w:r>
    </w:p>
    <w:p w14:paraId="19E0AE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предлагаемом варианте машина с нормальной нагрузкой /без Р.О., без дополнительного бензина в крыльях/ будет обладать </w:t>
      </w:r>
      <w:proofErr w:type="gramStart"/>
      <w:r w:rsidRPr="008127F8">
        <w:rPr>
          <w:rFonts w:ascii="Times New Roman" w:hAnsi="Times New Roman"/>
          <w:color w:val="000000" w:themeColor="text1"/>
          <w:sz w:val="16"/>
          <w:szCs w:val="16"/>
        </w:rPr>
        <w:t>шниже:еследующими</w:t>
      </w:r>
      <w:proofErr w:type="gramEnd"/>
      <w:r w:rsidRPr="008127F8">
        <w:rPr>
          <w:rFonts w:ascii="Times New Roman" w:hAnsi="Times New Roman"/>
          <w:color w:val="000000" w:themeColor="text1"/>
          <w:sz w:val="16"/>
          <w:szCs w:val="16"/>
        </w:rPr>
        <w:t xml:space="preserve"> данными:</w:t>
      </w:r>
    </w:p>
    <w:p w14:paraId="5B8DE9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Полных вес 3150 кг.</w:t>
      </w:r>
    </w:p>
    <w:p w14:paraId="6E38F5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Максимальная скорость на расчетной высоте - 530</w:t>
      </w:r>
    </w:p>
    <w:p w14:paraId="1A2DB43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Максимальная скорость у земли при номи</w:t>
      </w:r>
      <w:r w:rsidRPr="008127F8">
        <w:rPr>
          <w:rFonts w:ascii="Times New Roman" w:hAnsi="Times New Roman"/>
          <w:color w:val="000000" w:themeColor="text1"/>
          <w:sz w:val="16"/>
          <w:szCs w:val="16"/>
        </w:rPr>
        <w:softHyphen/>
        <w:t>нальномощности"/Рк-910/ - 490 к/ч.</w:t>
      </w:r>
    </w:p>
    <w:p w14:paraId="66668D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Максимальная скорость у земли при форси</w:t>
      </w:r>
      <w:r w:rsidRPr="008127F8">
        <w:rPr>
          <w:rFonts w:ascii="Times New Roman" w:hAnsi="Times New Roman"/>
          <w:color w:val="000000" w:themeColor="text1"/>
          <w:sz w:val="16"/>
          <w:szCs w:val="16"/>
        </w:rPr>
        <w:softHyphen/>
        <w:t>рованной мощности /Рк=-1050/ 520- 530</w:t>
      </w:r>
    </w:p>
    <w:p w14:paraId="074594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Дальность в нормальном варианте - 600 км</w:t>
      </w:r>
    </w:p>
    <w:p w14:paraId="1367CA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Дальность с бензином в консолях крыла - 770 км</w:t>
      </w:r>
    </w:p>
    <w:p w14:paraId="0FDF311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Дальность с бензином в консолях и подвесных бензобаках - 900 км (1648,121)</w:t>
      </w:r>
    </w:p>
    <w:p w14:paraId="006B3C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3A8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N 207сс:</w:t>
      </w:r>
    </w:p>
    <w:p w14:paraId="1A8CD3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1436сс от 13 марта 1942:</w:t>
      </w:r>
    </w:p>
    <w:p w14:paraId="27AC73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6 ГУ Шадскому и директору завода 480 Филиппову передать завод 480, расположенный на площади бывшего завода 294 7 ГУ</w:t>
      </w:r>
    </w:p>
    <w:p w14:paraId="1DE9F3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Вновь организуемому заводу присвоить номер 155</w:t>
      </w:r>
    </w:p>
    <w:p w14:paraId="3329CE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наркома А.С.Я. и ГК А.И.М.:</w:t>
      </w:r>
    </w:p>
    <w:p w14:paraId="65EC7D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организовать на заводе 155 ОКБ А.И.М. и Гуревича</w:t>
      </w:r>
    </w:p>
    <w:p w14:paraId="3C98EF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перевести из Куйбышева в Москву КБ и опытный цех с оборудованием (1545,65).</w:t>
      </w:r>
    </w:p>
    <w:p w14:paraId="522F04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4EACB"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марта 1942 года приказом НКАП № 207 во исполнение постановления ГКО № 1436 13 марта 1942 года ОКО завода № 1 численностью в несколько десятков человек выделили в само</w:t>
      </w:r>
      <w:r w:rsidRPr="008A2E5A">
        <w:rPr>
          <w:rFonts w:ascii="Times New Roman" w:hAnsi="Times New Roman"/>
          <w:color w:val="0070C0"/>
          <w:sz w:val="16"/>
          <w:szCs w:val="16"/>
        </w:rPr>
        <w:softHyphen/>
        <w:t>стоятельный опытный завод. На основании этих документов ОКО и опытный цех в марте—апреле реэвакуировали в Москву на террито</w:t>
      </w:r>
      <w:r w:rsidRPr="008A2E5A">
        <w:rPr>
          <w:rFonts w:ascii="Times New Roman" w:hAnsi="Times New Roman"/>
          <w:color w:val="0070C0"/>
          <w:sz w:val="16"/>
          <w:szCs w:val="16"/>
        </w:rPr>
        <w:softHyphen/>
        <w:t>рию завода № 480, который перевели из б-го ГУ в состав 7-го ГУ НКАП со всеми зданиями, сооружениями, транспортом, инвентарём, кадрами и оборудованием для организа</w:t>
      </w:r>
      <w:r w:rsidRPr="008A2E5A">
        <w:rPr>
          <w:rFonts w:ascii="Times New Roman" w:hAnsi="Times New Roman"/>
          <w:color w:val="0070C0"/>
          <w:sz w:val="16"/>
          <w:szCs w:val="16"/>
        </w:rPr>
        <w:softHyphen/>
        <w:t>ции на его базе нового опытного завода № 155. Возгла</w:t>
      </w:r>
      <w:r w:rsidRPr="008A2E5A">
        <w:rPr>
          <w:rFonts w:ascii="Times New Roman" w:hAnsi="Times New Roman"/>
          <w:color w:val="0070C0"/>
          <w:sz w:val="16"/>
          <w:szCs w:val="16"/>
        </w:rPr>
        <w:softHyphen/>
        <w:t>вили новый завод А.И. Микоян в должности директора и главного конструктора и М.И. Гуревич в качестве его заместителя. Вскоре ОКО получил название ОКБ-155.</w:t>
      </w:r>
    </w:p>
    <w:p w14:paraId="1B303BD3"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Новая площадка располагалась возле пересечения Ленинградского шоссе с Рижским направлением Калининской железной дороги напротив корпусов Мо</w:t>
      </w:r>
      <w:r w:rsidRPr="008A2E5A">
        <w:rPr>
          <w:rFonts w:ascii="Times New Roman" w:hAnsi="Times New Roman"/>
          <w:color w:val="0070C0"/>
          <w:sz w:val="16"/>
          <w:szCs w:val="16"/>
        </w:rPr>
        <w:softHyphen/>
        <w:t>сковского авиационного института. Территория заво</w:t>
      </w:r>
      <w:r w:rsidRPr="008A2E5A">
        <w:rPr>
          <w:rFonts w:ascii="Times New Roman" w:hAnsi="Times New Roman"/>
          <w:color w:val="0070C0"/>
          <w:sz w:val="16"/>
          <w:szCs w:val="16"/>
        </w:rPr>
        <w:softHyphen/>
        <w:t>да № 480 площадью 72 000 м2 представляла собой в то время скорее стройплощадку, загромождённую строи</w:t>
      </w:r>
      <w:r w:rsidRPr="008A2E5A">
        <w:rPr>
          <w:rFonts w:ascii="Times New Roman" w:hAnsi="Times New Roman"/>
          <w:color w:val="0070C0"/>
          <w:sz w:val="16"/>
          <w:szCs w:val="16"/>
        </w:rPr>
        <w:softHyphen/>
        <w:t>тельными материалами, отходами, мусором и земля</w:t>
      </w:r>
      <w:r w:rsidRPr="008A2E5A">
        <w:rPr>
          <w:rFonts w:ascii="Times New Roman" w:hAnsi="Times New Roman"/>
          <w:color w:val="0070C0"/>
          <w:sz w:val="16"/>
          <w:szCs w:val="16"/>
        </w:rPr>
        <w:softHyphen/>
        <w:t>ными валами.</w:t>
      </w:r>
    </w:p>
    <w:p w14:paraId="2473CB7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36-летний директор и главный конструктор, осма</w:t>
      </w:r>
      <w:r w:rsidRPr="008A2E5A">
        <w:rPr>
          <w:rFonts w:ascii="Times New Roman" w:hAnsi="Times New Roman"/>
          <w:color w:val="0070C0"/>
          <w:sz w:val="16"/>
          <w:szCs w:val="16"/>
        </w:rPr>
        <w:softHyphen/>
        <w:t>тривая вверенный ему «завод», понимал, что в первую очередь необходимо заниматься зданиями, а не само</w:t>
      </w:r>
      <w:r w:rsidRPr="008A2E5A">
        <w:rPr>
          <w:rFonts w:ascii="Times New Roman" w:hAnsi="Times New Roman"/>
          <w:color w:val="0070C0"/>
          <w:sz w:val="16"/>
          <w:szCs w:val="16"/>
        </w:rPr>
        <w:softHyphen/>
        <w:t>лётами. Вчерне были закончены три корпуса (№. 1, № 2 и № 3), котельная и временные здания лёгкого типа, которые в будущем, безусловно, предстояло снести. На момент создания завода № 155 его производствен</w:t>
      </w:r>
      <w:r w:rsidRPr="008A2E5A">
        <w:rPr>
          <w:rFonts w:ascii="Times New Roman" w:hAnsi="Times New Roman"/>
          <w:color w:val="0070C0"/>
          <w:sz w:val="16"/>
          <w:szCs w:val="16"/>
        </w:rPr>
        <w:softHyphen/>
        <w:t>ную базу можно было охарактеризовать так: производ</w:t>
      </w:r>
      <w:r w:rsidRPr="008A2E5A">
        <w:rPr>
          <w:rFonts w:ascii="Times New Roman" w:hAnsi="Times New Roman"/>
          <w:color w:val="0070C0"/>
          <w:sz w:val="16"/>
          <w:szCs w:val="16"/>
        </w:rPr>
        <w:softHyphen/>
        <w:t>ственная площадь — 2590 м2, непроизводственная пло</w:t>
      </w:r>
      <w:r w:rsidRPr="008A2E5A">
        <w:rPr>
          <w:rFonts w:ascii="Times New Roman" w:hAnsi="Times New Roman"/>
          <w:color w:val="0070C0"/>
          <w:sz w:val="16"/>
          <w:szCs w:val="16"/>
        </w:rPr>
        <w:softHyphen/>
        <w:t>щадь — 3330 м2, наличие оборудования — 48 единиц.</w:t>
      </w:r>
    </w:p>
    <w:p w14:paraId="09518ED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корпусе № 1, построенном в 1937 году, размести</w:t>
      </w:r>
      <w:r w:rsidRPr="008A2E5A">
        <w:rPr>
          <w:rFonts w:ascii="Times New Roman" w:hAnsi="Times New Roman"/>
          <w:color w:val="0070C0"/>
          <w:sz w:val="16"/>
          <w:szCs w:val="16"/>
        </w:rPr>
        <w:softHyphen/>
        <w:t>лись дирекция, ОКО, все отделы заводоуправления, в корпусе № 2 — механический цех и инструмен</w:t>
      </w:r>
      <w:r w:rsidRPr="008A2E5A">
        <w:rPr>
          <w:rFonts w:ascii="Times New Roman" w:hAnsi="Times New Roman"/>
          <w:color w:val="0070C0"/>
          <w:sz w:val="16"/>
          <w:szCs w:val="16"/>
        </w:rPr>
        <w:softHyphen/>
        <w:t>тальная мастерская, в корпусе № 3 — сборочный цех, мастерская вооружения, деревообделочная и плазово-шаблонная мастерские. Во временных зданиях лёгкого типа расположили отдел найма и увольнения, проходную, помещения комендатуры и медпункта, библиотеку, столовую и склады (23379).</w:t>
      </w:r>
    </w:p>
    <w:p w14:paraId="18E0A1B3" w14:textId="77777777" w:rsidR="00E9631D" w:rsidRPr="008A2E5A" w:rsidRDefault="00E9631D" w:rsidP="00E9631D">
      <w:pPr>
        <w:spacing w:after="0" w:line="240" w:lineRule="auto"/>
        <w:jc w:val="both"/>
        <w:rPr>
          <w:rFonts w:ascii="Times New Roman" w:hAnsi="Times New Roman"/>
          <w:color w:val="0070C0"/>
          <w:sz w:val="16"/>
          <w:szCs w:val="16"/>
        </w:rPr>
      </w:pPr>
    </w:p>
    <w:p w14:paraId="741FF7B5" w14:textId="09FCE7C6" w:rsidR="00DD4457" w:rsidRPr="008127F8" w:rsidRDefault="00DD44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пытаясь продолжить выпуск своего самолета за счет неиспользованных ранее ресурсов, Главный конструктор А.И.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Микоян, который добился выхода Постановления ГКО, дождался и приказа по НКАП </w:t>
      </w:r>
      <w:proofErr w:type="gramStart"/>
      <w:r w:rsidRPr="008127F8">
        <w:rPr>
          <w:rFonts w:ascii="Times New Roman" w:hAnsi="Times New Roman"/>
          <w:color w:val="000000" w:themeColor="text1"/>
          <w:sz w:val="16"/>
          <w:szCs w:val="16"/>
        </w:rPr>
        <w:t>об</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организации</w:t>
      </w:r>
      <w:proofErr w:type="gramEnd"/>
      <w:r w:rsidRPr="008127F8">
        <w:rPr>
          <w:rFonts w:ascii="Times New Roman" w:hAnsi="Times New Roman"/>
          <w:color w:val="000000" w:themeColor="text1"/>
          <w:sz w:val="16"/>
          <w:szCs w:val="16"/>
        </w:rPr>
        <w:t xml:space="preserve"> в Москве на площадке эвакуированного завода №480 нового завода №155, который должен был строить самолеты его ОКБ – и опытные, и серийные. Но ему отошла лишь часть территории предприятия, к тому же туда был переведен ремонт МиГ-3, ранее выполнявшийся на заводе №30. Состояние и оснащенность новообразованного производства, мягко говоря, оставляли желать лучшего, тем не менее, на заводе №155 изыскали возможность собрать 75 самолетов из задела агрегатов, вывезенных </w:t>
      </w:r>
      <w:proofErr w:type="gramStart"/>
      <w:r w:rsidRPr="008127F8">
        <w:rPr>
          <w:rFonts w:ascii="Times New Roman" w:hAnsi="Times New Roman"/>
          <w:color w:val="000000" w:themeColor="text1"/>
          <w:sz w:val="16"/>
          <w:szCs w:val="16"/>
        </w:rPr>
        <w:t>из</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Куйбышева</w:t>
      </w:r>
      <w:proofErr w:type="gramEnd"/>
      <w:r w:rsidRPr="008127F8">
        <w:rPr>
          <w:rFonts w:ascii="Times New Roman" w:hAnsi="Times New Roman"/>
          <w:color w:val="000000" w:themeColor="text1"/>
          <w:sz w:val="16"/>
          <w:szCs w:val="16"/>
        </w:rPr>
        <w:t xml:space="preserve">. Это был полный штат одной истребительной авиадивизии ВВС Красной Армии нового образца. Крайний МиГ-3 покинул завод №155 </w:t>
      </w:r>
      <w:proofErr w:type="gramStart"/>
      <w:r w:rsidRPr="008127F8">
        <w:rPr>
          <w:rFonts w:ascii="Times New Roman" w:hAnsi="Times New Roman"/>
          <w:color w:val="000000" w:themeColor="text1"/>
          <w:sz w:val="16"/>
          <w:szCs w:val="16"/>
        </w:rPr>
        <w:t>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апреле</w:t>
      </w:r>
      <w:proofErr w:type="gramEnd"/>
      <w:r w:rsidRPr="008127F8">
        <w:rPr>
          <w:rFonts w:ascii="Times New Roman" w:hAnsi="Times New Roman"/>
          <w:color w:val="000000" w:themeColor="text1"/>
          <w:sz w:val="16"/>
          <w:szCs w:val="16"/>
        </w:rPr>
        <w:t xml:space="preserve"> 1942 г., а всего было построено 3175 серийных «троек», сто МиГ-1 и три первых опытных образца И-200. Новообразованное ОКБ-155 было обязано сопровождать строевую эксплуатацию своего изделия (23185).</w:t>
      </w:r>
    </w:p>
    <w:p w14:paraId="096EDF9B" w14:textId="77777777" w:rsidR="00DD4457" w:rsidRPr="008127F8" w:rsidRDefault="00DD4457" w:rsidP="001E0A84">
      <w:pPr>
        <w:spacing w:after="0" w:line="240" w:lineRule="auto"/>
        <w:jc w:val="both"/>
        <w:rPr>
          <w:rFonts w:ascii="Times New Roman" w:hAnsi="Times New Roman"/>
          <w:color w:val="000000" w:themeColor="text1"/>
          <w:sz w:val="16"/>
          <w:szCs w:val="16"/>
        </w:rPr>
      </w:pPr>
    </w:p>
    <w:p w14:paraId="70C6E8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марта 1942 г. приказом НКАП № 207с в соответствии с постановлением ГКО № 1436с от 13.03.1942 г. ОКБ-1 завода № 1 НКАП гл. конструктора А.И.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w:t>
      </w:r>
      <w:r w:rsidRPr="008127F8">
        <w:rPr>
          <w:rFonts w:ascii="Times New Roman" w:hAnsi="Times New Roman"/>
          <w:color w:val="000000" w:themeColor="text1"/>
          <w:sz w:val="16"/>
          <w:szCs w:val="16"/>
        </w:rPr>
        <w:lastRenderedPageBreak/>
        <w:t>самостоятельного опытного завода № 155 НКАП и ОКБ-155. Директором/ гл. конструктором завода назначен А.И. Микоян. Деятельность завода началась в 05.1942 г. Сюда переведена ремонтная база завода № 30 НКАП по МиГ-3 с личным составом (во главе с А.Т. Каревым).</w:t>
      </w:r>
    </w:p>
    <w:p w14:paraId="19CCC7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на заводе созданы опытные модификации МиГ-3: И-230 (Д) с АМ-35А, И-231 (2Д) с АМ-39, И-211 (Е) с М-82Ф. Разработаны и испытаны новые истребители И-220 (А) и И-225 (5А), высотные перехватчики И-221 (2А), И-222 (3А) и И-224 (4А), модификация истребителя сопровождения ДИС-200 (ИТ) с моторами М-82. Кроме проведения опытных работ, в 1942-43 г. заводом выпущено 36 машин МиГ-3. В конце войны создан истребитель с ВРДК И-250, который выпускался малой серией как МиГ-13.</w:t>
      </w:r>
    </w:p>
    <w:p w14:paraId="602057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началось расширение конструкторских и производственных площадей.</w:t>
      </w:r>
    </w:p>
    <w:p w14:paraId="53D9E8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Следующим серийным реактивным истребителем стал И-300 (МиГ-9). Далее разработаны и переданы в крупносерийное производство истребители МиГ-15 и МиГ-17, а также несколько их модификаций, ставшие своего рода эпохальными. Первым в СССР серийным свехзвуковым истребителем стал МиГ-19. В массовом производстве долгие годы находились истребители МиГ-21 и МиГ-23 и их модификации. Коллективом ОКБ созданы скоростные высотные перехватчики, не имеющие аналогов, МиГ-25 и МиГ-31 с модификациями и фронтовой истребитель МиГ-29. Всего за годы деятельности коллектива в СССР и России серийно построено около 55 тысяч самолетов марки "МиГ". Коллективом создано значительное число опытных самолетов.</w:t>
      </w:r>
    </w:p>
    <w:p w14:paraId="69CB9C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433C1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МОП № 229сс от 21.02.1953 г. заводу № 155 МОП в качестве филиала передан завод № 51 (был филиалом до 10.1953 г.).</w:t>
      </w:r>
    </w:p>
    <w:p w14:paraId="733BD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Существовал также Калязинский филиал ОКБ-155.</w:t>
      </w:r>
    </w:p>
    <w:p w14:paraId="5A9DE9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6.04.1949 г. вышло Постановление СМ СССР о создании МиГ-15УТИ. </w:t>
      </w:r>
    </w:p>
    <w:p w14:paraId="770200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Имелась летная база ОКБ в Ахтубинске (1970-е). ОКБ имеет лётно-доводочную базу в Жуковском.</w:t>
      </w:r>
    </w:p>
    <w:p w14:paraId="22D136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создания истребителей, ОКБ-155 проводило разработки и по ракетной технике. Создавался опытный беспилотный высотный перехватчик Р-500 (КР-500, 1959-60 г.) для ЗРК С-500 с маршевым СПВРД РД-085, работы прекращены в 1961 г. в стадии проекта.57 УРВВ К-9-155 (изд."90") для системы вооружения К-9 (конец 1950-х – начало 1960-х г.). Однако дальнейшее развитие получили работы только по УРВП. Руководителем этой темы был М.И. Гуревич. В 1947 г. ОКБ-155 приступило к первым работам по данной тематике - КР "КС". До конца 1960-х г. в ОКБ совместно с филиалами созданы КР: К-10, Х-20, Х-22 и др. Для отработки систем построены пилотируемые аналоги КР: МиГ-9Л (ФК), К, СДК-7, СМ-20, СМК и др. Кроме того, разработан ряд проектов ракет (снаряды П-40, М-2 и др.).</w:t>
      </w:r>
    </w:p>
    <w:p w14:paraId="4F259C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Комплекс СМ-12П-51 с перехватчиком СМ-12-51 под систему вооружения К-51 (ЦД-30 с ракетой К-5МС). Комплекс МиГ-12П-13 в системе "Каскад". </w:t>
      </w:r>
    </w:p>
    <w:p w14:paraId="70EE00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принимало участие в программе создания ОК «Буран».</w:t>
      </w:r>
    </w:p>
    <w:p w14:paraId="7598C3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Самостоятельным направлением работ стала программа ВКС "Спираль" (тема "50", далее "105-205"). Работы по ней начались после передачи в ОКБ-155 аналогичных работ из ОКБ-52 ГКАТ и ОКБ-1 ГКОТ в конце 1964 г. Программа предусматривала создание экспериментального пилотируемого орбитального самолета ЭПОС. Руководителем темы назначен гл. конструктор Г.Е. Лозино-Лозинский. Построен аналог орбитального самолета - изд.105-11. Для проведения рабочего проектирования в Дубне в 04.1967 г. создан филиал под руководством П.А. Шустера. </w:t>
      </w:r>
    </w:p>
    <w:p w14:paraId="00824D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 проект беспилотного перехватчика многоразового применения «901».</w:t>
      </w:r>
    </w:p>
    <w:p w14:paraId="21DAC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1966 г. предприятие получило название ММЗ "Зенит", с 1971 г.- ММЗ "Зениит" им. А.И. Микояна, с 1978 г.- ММЗ им. А.И. Микояна. Затем, до 1995 г., предприятие называлось АНПК "МИГ" им. А.И. Микояна. </w:t>
      </w:r>
    </w:p>
    <w:p w14:paraId="60AF6A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создано дочернее предприятие «Русавиа».</w:t>
      </w:r>
    </w:p>
    <w:p w14:paraId="4484B7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05.1995 г. по распоряжению Правительства АНПК "МИГ" объединилось с МАПО им. П.В. Дементьева, образовав Московское авиационное производственно-научное объединение "МиГ" (МАПНО "МИГ"). В него также вошли Луховицкий машиностроительный завод и Калязинский филиал ОКБ. В 01.1996 г. образовалось ГУП «Военно-промышленный комплекс (ВПК) МАПО». В него вошли: МАПО "МиГ" (АНПК "МиГ" переименован в Инженерный центр «ОКБ им. Микояна»), Производственный центр им. П.А. Воронина, ОКБ Камова, ОКБ "Электроавтоматика", АООТ "Пермская приборостроительная компания", НПП "Завод им. Климова", АООТ "ММПП им. Чернышёва", ГУП «ТМКБ "Союз"», ГРПЗ, АООТ «Объединение «Прибор», АООТ "МП "Красный Октябрь", АООТ "НТП "Авиатест", Летно-испытательный центр им. Федотова. Распоряжением правительства от 8.12.1999 г. МАПО преобразовано в Российскую самолетостроительную корпорацию (РСК) «МиГ», куда вертолетостроители не вошли. По Указу Президента РФ № 1009 от 4.08.2004 г. вошла в число стратегических оборонных предприятий.</w:t>
      </w:r>
    </w:p>
    <w:p w14:paraId="328356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разработка модификаций истребителей МиГ-29 и МиГ-31, работы по доводке изд."1-42", учебно-тренировочный самолет "821" (МиГ-АТ), легкий транспортный самолет "110". В стадии проектирования: самолет-перехватчик "701", гиперзвуковые самолеты "301" и "321", разработка истребителя пятого поколения.</w:t>
      </w:r>
    </w:p>
    <w:p w14:paraId="73A4B1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(2002 г.)- более 15.000 чел.69 </w:t>
      </w:r>
    </w:p>
    <w:p w14:paraId="103F8D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(1942-56 г.)- А.И. Микоян. Ген. конструктор (20.12.1956-71 г.)- А.И. Микоян, (1971 г.-)-Р.А. Беляков, (1996 г.-)- М.Р. Вальденберг. Ген. конструктор АНПК «МиГ», ВПК «МАПО»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71259A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(1942-56 г.)- А.И. Микоян. Гендиректор АНПК «МиГ», ВПК «МАПО»- А. Безруков,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4A9225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ген. конструктора (1942-64 г.)- М.И. Гуревич, (1949 г.-)- П.В. Яценко (с 1953 г.- зам. Ильюшина), (1952 г.)- П.Е. Сыровой, А.В. Минаев (затем- зам. министра), (1967-74 г.)- Г.П. Дементьев, (1967 г.)- П.А. Шустер, (2000 г.)- В. Степанов, (2002 г.)- А. Карасев, (-2002-04 г.-)- В.И. Барковский, В. Меницкий, (2005 г.)- С. Цивилев. </w:t>
      </w:r>
    </w:p>
    <w:p w14:paraId="63B0CE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А. Карасев, (09.2004-05 г.-)- С. Цивилев. Зам. гендиректора – В.Е. Трудерунг, (2003 г.)- В. Милешко, (2003 г.)- А. Новиков, (2005 г.)- М.В. Коржуев, В. Меницкий, (2005 г.)- В.И. Барковский, (2005 г.)- П. Власов (шеф-пилот); по маркетингу, продажам и послепродажному обслуживанию (2005 г.)- В. Выпряжкин.</w:t>
      </w:r>
    </w:p>
    <w:p w14:paraId="10EA5E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Инженерного центра (ИЦ) «ОКБ им. Микояна» (-2002-03 г.-; 09.2004-05 г.-)- В.И. Барковский. Исполнительный директор РСК по гражданским программам (2004 г.)- В. Ходырев.</w:t>
      </w:r>
    </w:p>
    <w:p w14:paraId="0A4264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ИЦ (2005 г.)- А. Карасев.</w:t>
      </w:r>
    </w:p>
    <w:p w14:paraId="30253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Н.З. Матюк (МиГ-25), (1965-76 г.)- Г.Е. Лозино-Лозинский (МиГ-31; затем- гл. конструктор НПО «Молния»), (1970-е)- А.А. Чумаченко, К.К. Васильченко (МиГ-31), (2005 г.)- Н. Бунтин (МиГ-29К).</w:t>
      </w:r>
    </w:p>
    <w:p w14:paraId="1DC58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 общих видов (1970-е)- А.А. Чумаченко; вооружения- Н.Н. Завидонов.</w:t>
      </w:r>
    </w:p>
    <w:p w14:paraId="3F0B1E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(1941 г.-)- Г.Е. Лозино-Лозинский (зам. Гл. конструктора).</w:t>
      </w:r>
    </w:p>
    <w:p w14:paraId="28A2F2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 НКАП, МОП, МАП, ОКБ-155 МАП, ММЗ "Зенит", ММЗ "Зенит" им. А.И. Микояна, ММЗ им. А.И. Микояна, АНПК "МИГ" им. А.И. Микояна, АНПК "МиГ", МАПО «МиГ», В-2616, ФГУП «РСК МиГ»</w:t>
      </w:r>
    </w:p>
    <w:p w14:paraId="0E3C68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Ленинградское ш., 238 (1940 г.), 238А (1947 г.), 125299 Ленинградское ш., 6</w:t>
      </w:r>
    </w:p>
    <w:p w14:paraId="3E90CC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125040 г. Москва, 1-й Боткинский пр., 7 тел. 252-80-10</w:t>
      </w:r>
    </w:p>
    <w:p w14:paraId="53FD0E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РСК МиГ: 103045 г. Москва а/я 1 тел. 207-04-76 www.migavia.ru</w:t>
      </w:r>
    </w:p>
    <w:p w14:paraId="2E1AD6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ОКБ-155 МАП </w:t>
      </w:r>
    </w:p>
    <w:p w14:paraId="56A692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решению правительства от 19.02.1953 г. в подчинение ОКБ-155 передан завод № 51 (при ликвидации ОКБ В.Н. Челомея). Образован филиал ОКБ. Здесь продолжались работы по ракетной технике. Дорабатывались снаряды "10ХН", "16Х", шли опытные работы по КР конструкции ОКБ-155. По приказу № 135 от 26.10.53 г. площади филиала переданы в качестве производственной базы ОКБ-1 гл. конструктора П.О. Сухого и к 12.1953 г. все работы по тематике ОКБ-155 здесь прекращены и переведены в филиал на заводе №256 МАП. В 02-05.1953 г. здесь размещалось ОКБ-1 Кондратьева, занимавшегося копированием истребителя "Sabre". </w:t>
      </w:r>
    </w:p>
    <w:p w14:paraId="4F40D5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ОКБ-155 МАП на заводе № 256</w:t>
      </w:r>
    </w:p>
    <w:p w14:paraId="0557F7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Дубна Тверской обл.</w:t>
      </w:r>
    </w:p>
    <w:p w14:paraId="1AC5F4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 в 04.1967 г. для работ по ВКС «Спираль». В 1972 г. филиал вошел в состав ДПКО «Радуга». В 1976 г. вся аэрокосмическая тематика передана во вновь образованное НПО «Молния».</w:t>
      </w:r>
    </w:p>
    <w:p w14:paraId="373B08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филиала (1967 г.-)- П.А. Шустер (зам. гл. конструктора ОКБ).</w:t>
      </w:r>
    </w:p>
    <w:p w14:paraId="6ECB2C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(-1965-76 г.)- Г.Е. Лозино-Лозинский (затем- гл. конструктор НПО «Молния»).</w:t>
      </w:r>
    </w:p>
    <w:p w14:paraId="03819A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(-1976 г.)- Г.П. Дементьев.</w:t>
      </w:r>
    </w:p>
    <w:p w14:paraId="1E082A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ОКБ филиала (1967-76 г.)- Ю.Д. Блохин.</w:t>
      </w:r>
    </w:p>
    <w:p w14:paraId="3A43E3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(1967-76 г.)- Д.А. Решетников.</w:t>
      </w:r>
    </w:p>
    <w:p w14:paraId="597CF2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ОКБ-2-155 гл. конструктора А.Я. Березняка, В-2680, Машиностроительное КБ "Радуга", ФГУП «МКБ «Радуга», ОАО «ГосМКБ «Радуга» им. А.Я. Березняка»</w:t>
      </w:r>
    </w:p>
    <w:p w14:paraId="29713D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 Подберезье, г. Дубна Тверской обл.</w:t>
      </w:r>
    </w:p>
    <w:p w14:paraId="7854E9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141980 г. Дубна-3 Московской обл, ул. Жуковского, 2А тел. (09621) 2-46-47, 5-16-39</w:t>
      </w:r>
    </w:p>
    <w:p w14:paraId="6C8FBC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ОКБ-155 на опытном заводе № 1 был образован по решению СМ СССР и приказу МАП № 1010 от 12.10.1951 г. на базе мощностей и коллектива ОКБ-2 опытного завода № 1 МАП, как специализированное по работам над КР класса "воздух- поверхность". Первоначально состав коллектива был небольшим (всего 20 </w:t>
      </w:r>
      <w:r w:rsidRPr="008127F8">
        <w:rPr>
          <w:rFonts w:ascii="Times New Roman" w:hAnsi="Times New Roman"/>
          <w:color w:val="000000" w:themeColor="text1"/>
          <w:sz w:val="16"/>
          <w:szCs w:val="16"/>
        </w:rPr>
        <w:lastRenderedPageBreak/>
        <w:t>чел.): М.Н. Гальперин, А.Н. Елецкий, Б.Д. Иванов, Г.К. Самохвалов, К.Н. Субботин, Б.В. Куликов, Л.Н. Боголюбский, Н.Г. Соколов, Т.С. Овчарова, В.С. Демидович, С.Ш. Лифшиц, О.В. Мельников, М.Ф. Шоев, З.М. Александрова, З.А. Макотченко, М.Т. Панкова, Е.Г. Елецкая, В.И. Емельянова, К.И. Киселева. Елецкий, Самохвалов, Боголюбский, Мельников и Гальперин стали затем начальниками бригад.</w:t>
      </w:r>
    </w:p>
    <w:p w14:paraId="614AFF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филиале шли доработки отдельных узлов, испытания, отработка и внедрение в серию, а также дальнейшая модификация УРВП "КС" (пнв. в 1953 г.). </w:t>
      </w:r>
    </w:p>
    <w:p w14:paraId="15473A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Далее при реорганизации завода № 1 в завод № 256 и ввиду передачи сюда опытных работ по тематике КР, проводившихся в ОКБ-155 и его московском филиале (на территории завода № 51 МАП), по приказу № 155 от 31.10.1953 г. образовано ОКБ-2-155 в статусе филиала завода № 155 на заводе № 256 МАП как специализированная организация по разработке КР различных классов. А.Я. Березняк назначен зам. гл. конструктора/ начальником филиала ОКБ-155 А.И. Микояна. В конце 1953 г. часть советских специалистов закрытого "немецкого" ОКБ-1 этого завода влита в состав филиала (в т.ч. П.Н. Обрубов). </w:t>
      </w:r>
    </w:p>
    <w:p w14:paraId="68AA58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Велись работы по модификациям КР, созданным в ОКБ-155, и самостоятельные работы по КР не авиационного базирования. Строительство опытных образцов КР "16Х" (работы достались от ОКБ-51 В.Н. Челомея). </w:t>
      </w:r>
    </w:p>
    <w:p w14:paraId="6A14D7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864-372 от 11.05.1954 г. началась разработка фронтовой КР КС-7 (ФКР-1) "Метеор" с ядерной БЧ, Постановлением СМ № 320-154 от 3.03.1957 г. ФКР-1 принята на воружение.</w:t>
      </w:r>
    </w:p>
    <w:p w14:paraId="3CAB33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береговой системы вооружения «Стрела» начата по распоряжению СМ № 3346 от 21.04.1954 г. 1.12.1955 г. вышло постановление СМ СССР о создании КР «КСС». В 1956-1957 г. на заводе построены опытные экземпляры модификации ракеты КС с ТГС - КС-ТГ, а в 1957-1958 г.- КСС-ТГ. На ее основе создана С-2 "Сопка". </w:t>
      </w:r>
    </w:p>
    <w:p w14:paraId="0EE472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1955 г. велась разработка корабельной КР П-15 и ее вариантов (П-15Т, П-15У, П-15М) совместно с ОКБ-283.</w:t>
      </w:r>
    </w:p>
    <w:p w14:paraId="6D0A46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решениями ВПК № 34 от 4.02.1966 г. и № 99 от 24.05.1967 г. проводились работы по модернизации ПКР П-15У в вариант П-15М «Термит» (4К51).</w:t>
      </w:r>
    </w:p>
    <w:p w14:paraId="3E3277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101 от 19.3.1957 г. А.Я. Березняк назначен гл. конструктором филиала ОКБ-155 на заводе № 256, сам филиал получил большую самостоятельность по проведению работ. С 08.1957 г. филиал передан в 1ГУ МАП.</w:t>
      </w:r>
    </w:p>
    <w:p w14:paraId="3125E7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17.06.1958 г. вышло постановление СМ СССР № 426-201 о разработке КР Х-22.</w:t>
      </w:r>
    </w:p>
    <w:p w14:paraId="1621FC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 г. филиалу ОКБ-155 передана часть мощностей и личного состава ОКБ-256 гл. конструктора П.В. Цыбина. По приказу № 159 от 12.5.1961 г. А.Я. Березняку присвоено звание гл. конструктор II степени.</w:t>
      </w:r>
    </w:p>
    <w:p w14:paraId="30DC62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118 от 10.6.1965 г. принято решение о выделении филиала в самостоятельную конструкторскую организацию ОКБ-2-155 во главе с А.Я. Березняком. Тем же приказом образован филиал ОКБ на заводе № 475 (в 50 чел.) для сопровождения серийного производства КР. Вскоре в 04.1966 г. ОКБ получает название МКБ "Радуга". С 04.1967 г. А.Я. Березняк становится гл. конструктором/ руководителем предприятия.</w:t>
      </w:r>
    </w:p>
    <w:p w14:paraId="11C5DC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авиационных УРВП, крылатых, противокорабельных и противолодочных ракет.</w:t>
      </w:r>
    </w:p>
    <w:p w14:paraId="6E9FAE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1967 г. МКБ имело наименование «предприятие-п/я» В-2680. В 1972 г. МКБ было объединено с ДМЗ в Дубненское производственно-конструкторское объединение "Радуга", предприятие Р-6498. </w:t>
      </w:r>
    </w:p>
    <w:p w14:paraId="7F0040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12.05.1982 г. ДПО «Радуга» вновь разделено на самостоятельные предприятия ДМЗ и Машиностроительное КБ "Радуга". Входит в Корпорацию ТРВ (2004 г.). По Указу Президента РФ № 1009 от 4.08.2004 г. ОАО вошло в число стратегических оборонных предприятий.</w:t>
      </w:r>
    </w:p>
    <w:p w14:paraId="47A67B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1989 г. является головным разработчиком авиационно-космического комплекса «Бурлак».</w:t>
      </w:r>
    </w:p>
    <w:p w14:paraId="58E68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г.)- 2500 чел.</w:t>
      </w:r>
    </w:p>
    <w:p w14:paraId="1E1B6F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ОКБ (1957-74 г.) - А.Я. Березняк {1912-1974}. Ген. Конструктор (1974-2002 г.-)- академик И.С. Селезнев.</w:t>
      </w:r>
    </w:p>
    <w:p w14:paraId="1D9351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(1951-74 г.)- А.Я. Березняк. Гендиректор (1993-2002 г.-)- В.Н. Трусов.</w:t>
      </w:r>
    </w:p>
    <w:p w14:paraId="379F48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(-1974 г.)- И.С. Селезнев, (1977 г.-)- Г. Самохвалов, (1993 г.)- В.А. Ковальчук. Зам. Ген. Конструктора (2002 г.)- В.А. Ларионов.</w:t>
      </w:r>
    </w:p>
    <w:p w14:paraId="749C06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В.А. Ковальчук, В.Н. Троицкий.</w:t>
      </w:r>
    </w:p>
    <w:p w14:paraId="20BF6A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по экономике (2002 г.)- И.А. Шец.</w:t>
      </w:r>
    </w:p>
    <w:p w14:paraId="6A62CF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(2002 г.)- В.И. Яровой.</w:t>
      </w:r>
    </w:p>
    <w:p w14:paraId="6BBBB3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УРВП: «Комета» КС (КС-1, пнв в 1953 г.); КСР (опытная, 1958 г.) для К-16; К-10С («352», пнв в 1961 г.), К-10П (проект, 1958 г.), К-10М (К-10СН, пнв в 1966 г.); К-14 (проект, 1960 г.); КСР-2 («085», пнв в 1961 г.); КСР-5 для К-26 (пнв в 1969 г.), КСР-5П для К-26П (пнв в 1973 г.), КСР-5Н для К-26Н (пнв в 1972 г.); КС-7 (ФКР-1); КСР-11 («086», пнв в 1962 г.) для К-11; Х-20 («Комета-20», пнв в 1960 г.) для К-20, Х-20М; Х-22ПСИ (пнв в 1967 г.) для К-22 «Буря», Х-22ПГ, -П, -Н (пнв в 1987 г.), -НА, -М (пнв в 1974 г.), -МА, -МП, -Б (экспериментальная, 1960-е); Х-28 (пнв в 1973 г.); Х-41 (3М80); Х-45 (проект, 1962 г.); Х-58У (1980 г.), -Э, -ЭМ; Х-59 (пнв в 1980 г.), Х-59М «Овод-М»; Х-55 (РКВ-500пнв в 1983 г.), Х-55СМ (РКВ-500Б, пнв в 1987 г.); Х-15 (РКВ-15, пнв в 1980 г.), Х-15П (пнв в 1988 г.), Х-15С (пнв в 1988 г.); Х-90 (опытная); Х-65 (опытная, 1992 г.); Х-101; КР: 4К87 для С-2 «Сопка» (пнв в 1958 г.); КСС для «Стрела» (пнв в 1957 г.); КС-7 (ФКР-1 "Метеор", "602", пнв в 1957 г.); ККР: П-15 «Дракон» (4К30, 4К40, пнв в 1960 г.), П-15Т, -ТГ, -У (4К40У, пнв в 1965 г.), П-15М «Термит» (4К51, пнв в 1975 г.), «Рубеж» (пнв в 1978 г.); 85Р для УРПК-3 (пнв в 1969 г.) и УРПК-4 (пнв в 1973 г.) «Метель», 85РУ для УРК-5 «Раструб» (пнв в 1984 г.); 86Р (3М80) для «Москит» (пнв в 1980 г.), 3М80Е для «Москит-Е» (пнв в 1990-е); Д-9;58 УРВВ Р-9 (К-9, К-155, опытная, 1960-е); самолет-имитатор МиГ-17 СДК с системой "Рубикон" (К-4);</w:t>
      </w:r>
    </w:p>
    <w:p w14:paraId="1AE702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авиационно-космический комплекс «Бурлак</w:t>
      </w:r>
      <w:proofErr w:type="gramStart"/>
      <w:r w:rsidRPr="008127F8">
        <w:rPr>
          <w:rFonts w:ascii="Times New Roman" w:hAnsi="Times New Roman"/>
          <w:color w:val="000000" w:themeColor="text1"/>
          <w:sz w:val="16"/>
          <w:szCs w:val="16"/>
        </w:rPr>
        <w:t>/»Диана</w:t>
      </w:r>
      <w:proofErr w:type="gramEnd"/>
      <w:r w:rsidRPr="008127F8">
        <w:rPr>
          <w:rFonts w:ascii="Times New Roman" w:hAnsi="Times New Roman"/>
          <w:color w:val="000000" w:themeColor="text1"/>
          <w:sz w:val="16"/>
          <w:szCs w:val="16"/>
        </w:rPr>
        <w:t xml:space="preserve">»; дельтаплан А-100; спортивный планер «Радуга» СТ-33-1; легкий учебный самолет «Радуга» РЛ-1; выдувной агрегат АВ-68 для изделий из полиэтилена (1950-е); агрегат релаксации и сушки АРИС для Минлегпрома (1980-е); сельскохозяйственные машины, электроустановки.69 </w:t>
      </w:r>
    </w:p>
    <w:p w14:paraId="2B4783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ОКБ-155 на заводе № 21</w:t>
      </w:r>
    </w:p>
    <w:p w14:paraId="719E9E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Горький</w:t>
      </w:r>
    </w:p>
    <w:p w14:paraId="6D376E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0289EA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ОКБ-3-155 МАП</w:t>
      </w:r>
    </w:p>
    <w:p w14:paraId="7FEC34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(1958-66 г.)- Е.Н. Миндров.</w:t>
      </w:r>
    </w:p>
    <w:p w14:paraId="239977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ЗАО «ОКБ "Русская авионика"»</w:t>
      </w:r>
    </w:p>
    <w:p w14:paraId="519087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Жуковский</w:t>
      </w:r>
    </w:p>
    <w:p w14:paraId="30B8A0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Создана в 1992 г. на базе лаборатории РЭО лётно-доводочной базы ОКБ-155. </w:t>
      </w:r>
    </w:p>
    <w:p w14:paraId="36013D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вошла в авиастроительную корпорацию «Иркут».</w:t>
      </w:r>
    </w:p>
    <w:p w14:paraId="68AE5A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(2004 г.): разработка и производство интегрированных комплексов бортового радиоэлектронного оборудования для различных типов самолетов и вертолетов, а также модернизация ЛА посредством интеграции отечественного и импортного бортового оборудования. </w:t>
      </w:r>
    </w:p>
    <w:p w14:paraId="03CC91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авионика МФИ.</w:t>
      </w:r>
    </w:p>
    <w:p w14:paraId="59F2CF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 конструктор (1990-е-)- М.В. Коржуев. </w:t>
      </w:r>
    </w:p>
    <w:p w14:paraId="52FEB7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(2005 г.)- М.В. Коржуев (зам. гендиректора РСК МиГ).</w:t>
      </w:r>
    </w:p>
    <w:p w14:paraId="10CA4B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АООТ, ОАО «Научно-техническое предприятие (НТП) «Авиатест»</w:t>
      </w:r>
    </w:p>
    <w:p w14:paraId="3BCDC0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Ростов-на-Дону</w:t>
      </w:r>
    </w:p>
    <w:p w14:paraId="5F6BEA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01.1996 г. АООТ вошло в ВПК «МАПО». По решению правительства № 22-р от 9.01.2004 г. ОАО вошло в перечень стратегических предприятий.</w:t>
      </w:r>
    </w:p>
    <w:p w14:paraId="4A13B8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Инженерная компания «Трансал-АКС» </w:t>
      </w:r>
    </w:p>
    <w:p w14:paraId="718823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603106 г. Нижний Новгород Советская пл., 3 тел. 68-49-89</w:t>
      </w:r>
    </w:p>
    <w:p w14:paraId="0ED678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коллективом конструкторов МиГа и ЦКБ по СПК.</w:t>
      </w:r>
    </w:p>
    <w:p w14:paraId="54C7DB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нетрадиционных ЛА. Создан 4-местный самолет безаэродромного базирования на воздушной подушке МиГ-ТА-4.</w:t>
      </w:r>
    </w:p>
    <w:p w14:paraId="1245E6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В.В. Латышенко.</w:t>
      </w:r>
    </w:p>
    <w:p w14:paraId="1E9A85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В.И. Шадрин.</w:t>
      </w:r>
    </w:p>
    <w:p w14:paraId="2903A0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В.В. Плешивцев.</w:t>
      </w:r>
    </w:p>
    <w:p w14:paraId="0B2428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Русское авиационное АО «Русавиа»</w:t>
      </w:r>
    </w:p>
    <w:p w14:paraId="053193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125299 г. Москва Ленинградское ш., 6 тел. 155-24-07</w:t>
      </w:r>
    </w:p>
    <w:p w14:paraId="59E740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Основано в 1991 г. как дочернее предприятие РСК МиГ для конверсии оборонной продукции.</w:t>
      </w:r>
    </w:p>
    <w:p w14:paraId="17996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утилизация военной техники; разработка документации на УТС ТМ-501; технология продления ресурса самолетов МиГ; геоинформационная система FASTMAP; железнодорожный вагон из композитных материалов.</w:t>
      </w:r>
    </w:p>
    <w:p w14:paraId="745C68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С.Н. Баранов (107776).</w:t>
      </w:r>
    </w:p>
    <w:p w14:paraId="181472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85C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марта 1942 г. приказом НКАП № 207с в соответствии с пост. ГКО № 1436с от 13.03.1942 г. ОКБ-1 завода № 1 НКАП гл. конструктора А.И.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 (Завод № 155 НКАП, МОП, МАП, ОКБ-155 МАП, ММЗ «Зенит» им. А.И. Микояна, ММЗ им. А.И. </w:t>
      </w:r>
      <w:r w:rsidRPr="008127F8">
        <w:rPr>
          <w:rFonts w:ascii="Times New Roman" w:hAnsi="Times New Roman"/>
          <w:color w:val="000000" w:themeColor="text1"/>
          <w:sz w:val="16"/>
          <w:szCs w:val="16"/>
        </w:rPr>
        <w:lastRenderedPageBreak/>
        <w:t>Микояна, АНПК «МиГ» им. А.И. Микояна, АНПК «МиГ», МАПО «МиГ», В-2616, Инженерный центр «ОКБ им. А.И. Микояна» /г. Москва Ленинградское ш., 238 (1940 г.), 238А (1947 г.)/ /125299  г. Москва Ленинградское ш., 6 тел. 155-22-60/). Директором/ гл. конструктором завода назначен А.И. Микоян. Деятельность завода началась в 05.1942 г. Сюда переведена ремонтная база завода № 30 НКАП по МиГ-3 с личным составом (во главе с А.Т. Каревым).</w:t>
      </w:r>
    </w:p>
    <w:p w14:paraId="015886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26.02.1943 г. вышло постановление ГКО № 2946 о выпуске улучшенных истребителей МиГ-3.</w:t>
      </w:r>
    </w:p>
    <w:p w14:paraId="3C396A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на заводе созданы опытные модификации МиГ-3: И-230 (Д) с АМ-35А, И-231 (2Д) с АМ-39, И- 211 (Е) с М-82Ф. Разработаны и испытаны новые истребители И-220 (А) и И-225 (5А), высотные перехватчики И- 221 (2А), И-222 (ЗА) и И-224 (4А), модификация истребителя сопровождения ДИС-200 (ИТ) с моторами М-82. Кроме проведения опытных работ, в 1942-43 г. заводом выпущено 36 машин МиГ-3. В конце войны создан истребитель с ВРДК И-250, который выпускался малой серией как МиГ-13.</w:t>
      </w:r>
    </w:p>
    <w:p w14:paraId="01B2CC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началось расширение конструкторских и производственных площадей. В 1946 г. заводу поставлено 32 трофейных металлорежущих станка.</w:t>
      </w:r>
    </w:p>
    <w:p w14:paraId="435398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Следующим серийным реактивным истребителем стал И-300 (МиГ-9).</w:t>
      </w:r>
    </w:p>
    <w:p w14:paraId="79030F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разработаны и переданы в крупносерийное производство истребители МиГ-15 и МиГ-17, а также несколько их модификаций. В соответствии с ПСМ № 3159-1317 от 14.07.1950 г. велось создание системы «Бурлаки»: буксировке МиГ-15бис бомбардировщиком Ту-4. 6.04.1949 г. вышло Постановление СМ СССР о создании МиГ-15УТИ. 11.05.1954 г. вышло постановление СМ СССР № 863-370сс «О серийном выпуске самолетов МиГ-17 с авиационной реактивной системой АС-21».</w:t>
      </w:r>
    </w:p>
    <w:p w14:paraId="058902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Первым в СССР серийным свехзвуковым истребителем стал МиГ-19. 6.01.1954 г. вышло постановление СМ СССР № 19-13с «О выполнении постановления СМ СССР от </w:t>
      </w:r>
      <w:proofErr w:type="gramStart"/>
      <w:r w:rsidRPr="008127F8">
        <w:rPr>
          <w:rFonts w:ascii="Times New Roman" w:hAnsi="Times New Roman"/>
          <w:color w:val="000000" w:themeColor="text1"/>
          <w:sz w:val="16"/>
          <w:szCs w:val="16"/>
        </w:rPr>
        <w:t>15.08.1953  г.</w:t>
      </w:r>
      <w:proofErr w:type="gramEnd"/>
      <w:r w:rsidRPr="008127F8">
        <w:rPr>
          <w:rFonts w:ascii="Times New Roman" w:hAnsi="Times New Roman"/>
          <w:color w:val="000000" w:themeColor="text1"/>
          <w:sz w:val="16"/>
          <w:szCs w:val="16"/>
        </w:rPr>
        <w:t xml:space="preserve"> по созданию фронтового истребителя и истребителя-перехватчика конструкции Микояна с двумя двигателями». 3.12.1958 г. вышло распоряжение правительства № 3835-рс о поставках производимых в ЧССР МиГ-19 в страны народной демократии.</w:t>
      </w:r>
    </w:p>
    <w:p w14:paraId="742450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24.07.1958 г. вышло постановление СМ СССР № 831-398 о постройке самолета МиГ-21Ф, 11.03.1960 г. - постановление №274-108 о модификации МиГ-21Ф. В соответствии с ПСМ № 1133-474 от 27.10.1960 г. МиГ-21Ф с УР К-13 пнв; в соответствии с ПСМ №229-111 от 2.03.1962 г. МиГ-21ПФ с ракетой К-13 пнв.</w:t>
      </w:r>
    </w:p>
    <w:p w14:paraId="3028CA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правительства от 02.1961 г. и пр. ГКАТ от 10.03.1961 г. задана разработка разведчика Е-155Р и перехватчика Е-155П.</w:t>
      </w:r>
    </w:p>
    <w:p w14:paraId="27E3C8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1199-445 от 3.12.1963 г. начата разработка МиГ-23.</w:t>
      </w:r>
    </w:p>
    <w:p w14:paraId="689EFC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1984 г. начата разработка палубного истребителя МиГ-29К.</w:t>
      </w:r>
    </w:p>
    <w:p w14:paraId="364E03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Созданы истребители МиГ-21, МиГ-23, МИГ-29 и их модификации; скоростные высотные перехватчики, не имеющие аналогов в мире, МиГ-25 и МиГ-31; большое число опытных самолетов. Всего за годы деятельности коллектива в СССР и России серийно построено около 55 тысяч самолетов марки «МиГ».</w:t>
      </w:r>
    </w:p>
    <w:p w14:paraId="69F4B7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 21 организован филиал ОКБ-155, который возглавил заместитель гл. конструктора П.Е. Сыровой.</w:t>
      </w:r>
    </w:p>
    <w:p w14:paraId="6C2F7B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МОП № 229сс от 21.02.1953 г. заводу № 155 МОП в качестве филиала передан завод № 51 (был филиалом до 10.1953 г.).</w:t>
      </w:r>
    </w:p>
    <w:p w14:paraId="7499BA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Существовал также Калязинский филиал ОКБ-155.</w:t>
      </w:r>
    </w:p>
    <w:p w14:paraId="488240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Имелась летная база ОКБ в Ахтубинске (1970-е). ОКБ имеет лётно-доводочную базу в Жуковском.</w:t>
      </w:r>
    </w:p>
    <w:p w14:paraId="47F679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создания истребителей, ОКБ-155 проводило разработки и по ракетной технике. Создавался опытный беспилотный высотный перехватчик Р-500 (КР-500, 1959-60 г.) для ЗРК С-500 с маршевым СПВРД РД-085, работы прекращены в 1961 г. в стадии проекта.</w:t>
      </w:r>
      <w:r w:rsidRPr="008127F8">
        <w:rPr>
          <w:rFonts w:ascii="Times New Roman" w:hAnsi="Times New Roman"/>
          <w:color w:val="000000" w:themeColor="text1"/>
          <w:sz w:val="16"/>
          <w:szCs w:val="16"/>
          <w:vertAlign w:val="superscript"/>
        </w:rPr>
        <w:t>57</w:t>
      </w:r>
      <w:r w:rsidRPr="008127F8">
        <w:rPr>
          <w:rFonts w:ascii="Times New Roman" w:hAnsi="Times New Roman"/>
          <w:color w:val="000000" w:themeColor="text1"/>
          <w:sz w:val="16"/>
          <w:szCs w:val="16"/>
        </w:rPr>
        <w:t xml:space="preserve"> УРВВ К-9-155 (изд. «90») для системы вооружения К-9 (конец 1950-х - начало 1960-х  г.). Однако дальнейшее развитие получили работы только по УРВП. Руководителем этой темы был М.И. Гуревич. В 1947 г. ОКБ-155 приступило к первым работам по данной тематике - КР «КС». До конца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 ОКБ совместно с филиалами созданы КР: К-10, Х-20, Х-22 и др. Для отработки систем построены пилотируемые аналоги КР: МиГ-9Л (ФК), К, СДК-7, СМ-20, СМК и др. Кроме того, разработан ряд проектов ракет (снаряды П-40, М-2 и др.).</w:t>
      </w:r>
    </w:p>
    <w:p w14:paraId="55A28D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Комплекс СМ-12П-51 с перехватчиком СМ-12-51 под систему вооружения К-51 (ЦД-30 с ракетой К-5МС). Комплекс МиГ-12П-13 в системе «Каскад».</w:t>
      </w:r>
    </w:p>
    <w:p w14:paraId="580978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принимало участие в программе создания ОК «Буран».</w:t>
      </w:r>
    </w:p>
    <w:p w14:paraId="7E626A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Самостоятельным направлением работ стала программа ВКС «Спираль» (тема «50», далее «105-205»). Работы по ней начались после передачи в ОКБ-155 аналогичных работ из ОКБ-52 ГКАТ и ОКБ-1 ГКОТ в конце 1964 г. Руководителем темы назначен гл. </w:t>
      </w:r>
      <w:proofErr w:type="gramStart"/>
      <w:r w:rsidRPr="008127F8">
        <w:rPr>
          <w:rFonts w:ascii="Times New Roman" w:hAnsi="Times New Roman"/>
          <w:color w:val="000000" w:themeColor="text1"/>
          <w:sz w:val="16"/>
          <w:szCs w:val="16"/>
        </w:rPr>
        <w:t>конструктор  Г.Е.</w:t>
      </w:r>
      <w:proofErr w:type="gramEnd"/>
      <w:r w:rsidRPr="008127F8">
        <w:rPr>
          <w:rFonts w:ascii="Times New Roman" w:hAnsi="Times New Roman"/>
          <w:color w:val="000000" w:themeColor="text1"/>
          <w:sz w:val="16"/>
          <w:szCs w:val="16"/>
        </w:rPr>
        <w:t xml:space="preserve"> Лозино-Лозинский. Для проведения рабочего проектирования в Дубне в 04.1967 г. создан филиал ОКБ под руководством П. А. Шустера.</w:t>
      </w:r>
    </w:p>
    <w:p w14:paraId="2097C4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 проект беспилотного перехватчика многоразового применения «901».</w:t>
      </w:r>
    </w:p>
    <w:p w14:paraId="796239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08.1957 г. - в ведении 1ГУ МАП. С 1966 г. предприятие получило название ММЗ «Зенит», с 1971 г.- ММЗ «Зенит» им. А.И. Микояна, с 1978 г.- ММЗ им. А.И. Микояна. Затем, до 1995 г., предприятие называлось АНГЖ «МИГ» им. А.И. Микояна. В 1999 г. АНПК «МиГ» переименован в Инженерный центр «ОКБ им. Микояна».</w:t>
      </w:r>
    </w:p>
    <w:p w14:paraId="48535C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1991 г. создано дочернее предприятие «Русавиа». В 2007 г. имелось ДП «МиГ-Ресурс». В 05.1995 г. по распоряжению Правительства АНПК «МИГ» объединилось с МАПО им. П.В. Дементьева, образовав Московское авиационное производственно-научное объединение «МиГ» (МАПНО «МИГ»). В него также вошли Луховицкий машиностроительный завод и Калязинский филиал ОКБ. В 01.1996 г. образовалось ГУЛ «Военно-промышленный комплекс (ВПК) МАПО». В него вошли: МАПО «МиГ», Производственный центр им. П.А. Воронина, ОКБ Камова, ОКБ «Электроавтоматика», АООТ «Пермская приборостроительная компания», НПП «Завод им. Климова», АООТ «ММПП им. Чернышёва», ГУП «ТМКБ «Союз», ГРПЗ, АООТ «Объединение «Прибор», АООТ «МП «Красный Октябрь», АООТ «НТП «Авиатест», Летно-испытательный центр (ЛИЦ) им. Федотова. Распоряжением правительства от 8.12.1999 г. МАПО преобразовано в Российскую самолетостроительную корпорацию (РСК) «МиГ», куда вертолетостроители не вошли. По Указу Президента РФ № 1009 от 4.08.2004 г. РСК вошла в число стратегических оборонных предприятий. В 2005 г. в состав РСК МиГ входил также Центр логистической поддержки авиационной техники. В соответствии с пост. Правительства от 25.04.2006 г. ФГУП «РСК МиГ» в 03.2008 г. преобразовано в ОАО и вошло в состав </w:t>
      </w:r>
      <w:r w:rsidRPr="008127F8">
        <w:rPr>
          <w:rFonts w:ascii="Times New Roman" w:hAnsi="Times New Roman"/>
          <w:color w:val="000000" w:themeColor="text1"/>
          <w:sz w:val="16"/>
          <w:szCs w:val="16"/>
          <w:lang w:val="en-US"/>
        </w:rPr>
        <w:t>OAK</w:t>
      </w:r>
      <w:r w:rsidRPr="008127F8">
        <w:rPr>
          <w:rFonts w:ascii="Times New Roman" w:hAnsi="Times New Roman"/>
          <w:color w:val="000000" w:themeColor="text1"/>
          <w:sz w:val="16"/>
          <w:szCs w:val="16"/>
        </w:rPr>
        <w:t>.</w:t>
      </w:r>
    </w:p>
    <w:p w14:paraId="411767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2005 г. Производственный центр им. П.А. Воронина включал производственные мощности в Москве, Луховицах и Калязине; ЛИЦ имел базы в ЛИИ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Жуковский), в Луховицах и в Ахтубинске.</w:t>
      </w:r>
    </w:p>
    <w:p w14:paraId="39E800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РСК «МиГ» имело представительство в Европе (2007 г.), в 05.2007 г. открыто представительство в Польше, до 2006 г. имелось представительство в Словакии.</w:t>
      </w:r>
    </w:p>
    <w:p w14:paraId="146A7C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программе «многофункциональный истребитель» (МФИ) создано «изд. 1.42». С 1996 г. по программе «Истребитель-2000» созданы проекты легкого фронтового самолета (ЛФС) «4.12» и «1.27».</w:t>
      </w:r>
    </w:p>
    <w:p w14:paraId="542747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разработка модификаций истребителей МиГ-29 и МиГ-31, работы по доводке изд. «1-42», учебно-тренировочный самолет «821» (МиГ-АТ), легкий транспортный самолет «110». В стадии проектирования: самолет-перехватчик «701», гиперзвуковые самолеты «301» и «321», разработка истребителя пятого поколения.</w:t>
      </w:r>
    </w:p>
    <w:p w14:paraId="01F9C4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02.2008 г. завершена модернизация 12 МиГ-29СД для Словакии.</w:t>
      </w:r>
    </w:p>
    <w:p w14:paraId="65E720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(2008 г.)- около 60 га.</w:t>
      </w:r>
    </w:p>
    <w:p w14:paraId="6EC668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более 15.000 чел.,</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(2005 г.)- около 14.000 чел.</w:t>
      </w:r>
    </w:p>
    <w:p w14:paraId="4C9746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(03.1942-58 г.)- А.И. Микоян. Ген. конструктор (20.12.1958-27.05.1969 г.)- г-п академик (1968 г.) А.И. Микоян {5.08.1905-9.12.1970}, (1971 г.-)- академик (1981 г.) Р.А. Беляков {4.03.1919-}, (1996 г.)- М.Р. Вальденберг {4.05.1928-}. Ген. конструктор АНПК «МиГ» (1997-02.1999 г.)- М.В. Коржуев.</w:t>
      </w:r>
    </w:p>
    <w:p w14:paraId="62808F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ВПК «МАПО» (1996-99 г.)- М.Р. Вальденберг, (02.1999-11.2003 г.)- Н.Ф. Никитин, (11,2003- 25.09.2004 г.)- В. Торянин, (09.2004-06 г.-)- А.И. Федоров {14.04.1952-}.</w:t>
      </w:r>
    </w:p>
    <w:p w14:paraId="7900BF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(1962-71 г.-)- Р.А. Беляков, (1997 г.)- А. Белосвет, (03.1999-2003 г.)- В.И. Барковский, (-2006-07 Г.-)- С. Цивилев. Зам. гл., ген. конструктора (1942-64 г.)- М.И. Гуревич {12.01.1893-1976}, (1949 г.-)- П.В. Яценко, (1952 г.)- П.Е. Сыровой, А.В. Минаев, (1967-74 г.)-  Г.П. Дементьев, (1967 г.)- П.А. Шустер, (1997-98 г.)- М.В. Коржуев, (2000 г.)- В. Степанов, (2002 г.)- А. Карасев, (2003-06 г.-)- В.И. Барковский, В.Е. Меницкий, (2005 г.)- С. Цивилев; по системам управления (1957 г.-)- Р.А. Беляков; по экономике и финансам (2006 г.)- С. Ярмилко;. (2004-8.07.2006 г.)- Н.В. Седаш, (-2006-08 г.-)- А.В. Незнамов.</w:t>
      </w:r>
    </w:p>
    <w:p w14:paraId="2CC381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(1942-56 г.)- А.И. Микоян. Гендиректор АНПК «МиГ», ВПК «МАПО» (-1996-97 г.)- А. Безруков, (1998-02.1999 г.)- М.В. Коржуев, (02.1999 г.-11.2003 г.)- Н.Ф. Никитин, (11.2003-25.09.2004 г.)- В. Торянин, (09.2004-1.10.2007 г.)- А.И. Федоров; и.о. (3.10.2007 г.-&gt; С. Цивилев; (12.2007-08 г.)- А. Г. Белов, (1.01.2009 г.-)- М. Погосян.</w:t>
      </w:r>
    </w:p>
    <w:p w14:paraId="634B6C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А. Карасев, (09.2004-07 г.-)- С. Цивилев. Зам. гендиректора: В.Е. Трудерунг, (2003 г.)- В. Милешко, (2003 г.)- А. Новиков, (2004-8.07.2006 г.)- Н.В. Седаш, (2005 г.)- М.В. Коржуев, В.Е. Меницкий, (2003-06 г.-)- В.И. Барковский, (2005 г.)- П. Власов (шеф-пилот); по маркетингу, продажам и послепродажному обслуживанию (2005 г.)- В. Выпряжкин, (2005 г.)-М. Глобенко; по экономике и финансам (2006 г.)- С. Ярмилко; по организации управления (-2006-08 г.-)- А.В. Незнамов.</w:t>
      </w:r>
    </w:p>
    <w:p w14:paraId="5F961C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опытного завода (1985-95 г.)- С. Г. Поляков; Инженерного центра (ИЦ) «ОКБ им. Микояна» (03.1999-2003 г.-; 09.2004-06 г.-&gt; В.И. Барковский; финансовый (1990-е)- М. Ткачев; коммерческий (1990-е)- А. Безруков; исполнительный по гражданским программам (2004 г.)- В. Ходырев; региональный по маркетингу, продажам и послепродажному обслуживанию (2006 г.)- П. Тришин.</w:t>
      </w:r>
    </w:p>
    <w:p w14:paraId="1CCFE5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ИЦ (2005 г.)- А. Карасев.</w:t>
      </w:r>
    </w:p>
    <w:p w14:paraId="6E9947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Представители: на заводе «Сокол» (1980 г.)- С. Г. Поляков; в Европе (2007 г.)- И. Амосов.</w:t>
      </w:r>
    </w:p>
    <w:p w14:paraId="096613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Управления по внедрению новой техники (1996 г.-)- М.В. Коржуев; департамента корпоративного управления (2006 г.)- К. Куликов.</w:t>
      </w:r>
    </w:p>
    <w:p w14:paraId="2C0C63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отделения (2000 г.)- Ю. Полушкин.</w:t>
      </w:r>
    </w:p>
    <w:p w14:paraId="724884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(1961 г.)- М.И. Гуревич (МиГ-25), (1964 г.-)- Н.З. Матюк (МиГ-25), (1965-76 г.)-  Г.Е. Лозино- Лозинский (МиГ-31, «Спираль»), (1976 г.-)- К.К. </w:t>
      </w:r>
      <w:r w:rsidRPr="008127F8">
        <w:rPr>
          <w:rFonts w:ascii="Times New Roman" w:hAnsi="Times New Roman"/>
          <w:color w:val="000000" w:themeColor="text1"/>
          <w:sz w:val="16"/>
          <w:szCs w:val="16"/>
        </w:rPr>
        <w:lastRenderedPageBreak/>
        <w:t>Васильченко (МиГ-31), (1970-е-82 г.)- А.А. Чумаченко (МиГ-29), (1982-93 г.)- М.Р. Вальденберг (МиГ-29, -29К), (1980-е-90-е)-  Г.А. Седов (МФИ), (1993-99 г.)- В.В. Новиков (МиГ- 29), (-1998-2000 г.-)- Ю.П. Воротников (МФИ), (1999-2000 г.-&gt; А.Б. Слободской (МиГ-29), (2000 г.)- А. Белосвет, (-2005-07 Г.-)- Н. Бунтин (МиГ-29К).</w:t>
      </w:r>
    </w:p>
    <w:p w14:paraId="6320BA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по комплексированию систем (1996-97 г.)- М.В. Коржуев; (1941 г.-)</w:t>
      </w:r>
      <w:proofErr w:type="gramStart"/>
      <w:r w:rsidRPr="008127F8">
        <w:rPr>
          <w:rFonts w:ascii="Times New Roman" w:hAnsi="Times New Roman"/>
          <w:color w:val="000000" w:themeColor="text1"/>
          <w:sz w:val="16"/>
          <w:szCs w:val="16"/>
        </w:rPr>
        <w:t>-  Г.Е.</w:t>
      </w:r>
      <w:proofErr w:type="gramEnd"/>
      <w:r w:rsidRPr="008127F8">
        <w:rPr>
          <w:rFonts w:ascii="Times New Roman" w:hAnsi="Times New Roman"/>
          <w:color w:val="000000" w:themeColor="text1"/>
          <w:sz w:val="16"/>
          <w:szCs w:val="16"/>
        </w:rPr>
        <w:t xml:space="preserve"> Лозино- Лозинский, (2000 г.)- В. Ковалев, О.С. Самойлович.</w:t>
      </w:r>
    </w:p>
    <w:p w14:paraId="799581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ЛИЦ (2006 г.)- П. Власов.</w:t>
      </w:r>
    </w:p>
    <w:p w14:paraId="77A5B9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радионавигационного оборудования (-1996 г.)- М.В. Коржуев.</w:t>
      </w:r>
    </w:p>
    <w:p w14:paraId="2BDCD9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 проектов (1955 г.-)- Р.А. Беляков; общих видов (1970-е)- А.А. Чумаченко; вооружения- Н.Н. Завидонов.</w:t>
      </w:r>
    </w:p>
    <w:p w14:paraId="5293E5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секторов: радионавигационного оборудования- М.В. Коржуев.</w:t>
      </w:r>
    </w:p>
    <w:p w14:paraId="0ED068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С. Г. Поляков (МиГ-31).</w:t>
      </w:r>
    </w:p>
    <w:p w14:paraId="6C582C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инженеры по испытаниям: (1988 г.)- И.А. Власов (МиГ-29К).</w:t>
      </w:r>
    </w:p>
    <w:p w14:paraId="0DBEFA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Шеф-пилот: (-04.1984 г.)- А.В. Федотов (погиб на МиГ-31), (1998 г.)- В. Горбунов, (-2006-07 г.-&gt; П. Власов. Летчики-испытатели: (1988 г.)- Т.О. Аубакиров, (-2006-07 г.-)- М. Беляев, (-1988-89 г.-)- А.Н. Квочур, (1969-88 г.-)- В.Е. Меницкий, (1988 г.)- П.М. Остапенко, (2006 г.)- А. Пелих, (2006 г.)- С. Рыбников, (-1988-96 г.-)- Р.П. Таскаев, (-1976-78 г.-)- А. Г. Фастовец. Штурманы-испытатели: (-04.1984 г.)- В. Зайцев (погиб на МиГ-31), Л.С. Попов.</w:t>
      </w:r>
    </w:p>
    <w:p w14:paraId="728F5D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истребители: фронтовые: МиГ-9 (24.04.1946 г.), МиГ-15 (И-310, 30.12.1947 г.), МиГ-17 (СИ, 26.07.1949 г.), И-360 (СМ-2, 24.05.1952 г.), МиГ-19 (СМ-9-1, 5.01.1954 г.), СМ-30 (13.04.1957 г.), МиГ-21 (Е-4, 16.06.1955 г.), учебный МиГ-21У (8.10.1960 г.), МиГ-21ПФ (пнв 2.03.1962 г.), СУВП МиГ-21ПД («23-01», 3.04.1967 г.), МиГ-21-93 (25.05.1995 г.), МиГ-23 («23-11», 10.06.1967 г.), МиГ-23УБ («23-51», 10.04.1969 г.), МиГ-29 («9-12», 6.10.1977 г.), учебно-боевой МиГ-29УБ (29.04.1981 г.), МиГ-29СМТ (22.04.1998 г.), МиГ-29УБТ (24.08.1998 г.), многофункциональный МФИ («1.44», 29.02.2000 г.); палубный МиГ-29К (23.06.1988 г.); перехватчики: высотные И-221 (2А, 2.12.1943 г.), И-222 (7.05.1944 г.), И-224 (4А, 20.10.1944 г.); И-250 («Н», 4.04.1945 г.), И-370 (16.02.1955 г.), Е-150 (8.07.1960 г.), Е-152 (21.04.1961 г.), МиГ-25П (Е-155П, 9.09.1964 г.), МиГ- 31 (Е-155МП, 16.09.1975 г., пнв в 11.1981 г.); разведчики МиГ-25Р (Е-155Р, «02», 6.03.1964 г., пнв в 12.1972 г.), МиГ-25РБК («02К», 1970), МиГ-25РБС («02С», 1971), МиГ-25РБВ («02В», 1972), МиГ-25РБФ («02Ф», пнв в 1978 г.), бомбардировщики МиГ-25РБ («02Б», 1970), МиГ-25РБТ («02Т», пнв в 1978 г.), МиГ-25БМ («02М», 1976), учебный МиГ-25У (25.12.1969 г.); учебно-тренировочный МиГ-АТ (16.03.1996 г.); экспериментальные: МиГ-8 «Утка» (13.08.1945 г.), МиГ-21И «Аналог» (18.04.1968 г.); проекты: ударный боевой БПЛА «Скат» (2007).</w:t>
      </w:r>
    </w:p>
    <w:p w14:paraId="00F155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Е-155Р (1963-65)- 2 (11982).</w:t>
      </w:r>
    </w:p>
    <w:p w14:paraId="456F95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535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приказом НКАП ОКО МиГ был преобразован в самостоятельный завод 155 в Москве и А.И.М. стал директором и ГК (563,10). По другим данным в тот же день, но постановлением ГКО и ОКО был реорганизован в завод 155 (1084,6).</w:t>
      </w:r>
    </w:p>
    <w:p w14:paraId="7CB349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F28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во исполнения постановления ГКО вышел приказ НКАП о переводе ОКО завода 1 А.И.М. и М.И.Г. в Москву на территорию завода 480, где был организован завод 155 (ОКБ-155), директором и ГК которого назначили А.И.М. На завод перевели и ремонтную базу завода 30 по МиГ-3 во главе с А.Т.Каревым (3951,3).</w:t>
      </w:r>
    </w:p>
    <w:p w14:paraId="175334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6B4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16.03.1942г. приказом НКАП № 207</w:t>
      </w:r>
      <w:proofErr w:type="gramStart"/>
      <w:r w:rsidRPr="008127F8">
        <w:rPr>
          <w:rFonts w:ascii="Times New Roman" w:hAnsi="Times New Roman"/>
          <w:color w:val="000000" w:themeColor="text1"/>
          <w:sz w:val="16"/>
          <w:szCs w:val="16"/>
        </w:rPr>
        <w:t>с  и</w:t>
      </w:r>
      <w:proofErr w:type="gramEnd"/>
      <w:r w:rsidRPr="008127F8">
        <w:rPr>
          <w:rFonts w:ascii="Times New Roman" w:hAnsi="Times New Roman"/>
          <w:color w:val="000000" w:themeColor="text1"/>
          <w:sz w:val="16"/>
          <w:szCs w:val="16"/>
        </w:rPr>
        <w:t>13 марта 1942г. в соответствии с пост. ГКО № 1436с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w:t>
      </w:r>
    </w:p>
    <w:p w14:paraId="123E54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(12.1939г.-)-А.И. Микоян.</w:t>
      </w:r>
    </w:p>
    <w:p w14:paraId="7C3B49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 г.-)- А.И. Микоян.</w:t>
      </w:r>
    </w:p>
    <w:p w14:paraId="0975E4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(1940 г.-)- М.И. Гуревич, В.А. Ромодин (11982).</w:t>
      </w:r>
    </w:p>
    <w:p w14:paraId="0ADC5F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3C6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приказом НКАП № 207с в соответствии с пост. ГКО № 1436с от 13.03.1942 г. ОКБ-1 при заводе № 1 гл. конструктора Микояна с опытным цехом переведено из Куйбышева в Москву на территорию завода № 480 (Завод № 480 НКАП /г. Москва Ленинградское ш., 6/), где образован новый завод № 155 НКАП.</w:t>
      </w:r>
    </w:p>
    <w:p w14:paraId="7FFB17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(11,1941-1942 г.)- А.И. Филиповых (11982) (11982).</w:t>
      </w:r>
    </w:p>
    <w:p w14:paraId="5EBD71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381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N 211сс:</w:t>
      </w:r>
    </w:p>
    <w:p w14:paraId="157A62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1443сс от 14 марта 1942, в целях повышения летных качеств истребителя Як-1 в облегченном варианте без пулемета ШКАС и с непротектированными бензобаками, а также для проверки возможности его использования в качестве истребителя-перехватчика:</w:t>
      </w:r>
    </w:p>
    <w:p w14:paraId="133247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конструктору А.С.Я. и директору завода 292 Левину изготовить и сдать НКО истребитель Як-1 в облегченном варианте: без ШКАС и с непротектированными баками в количестве 10 самолетов к 1 апреля 1942</w:t>
      </w:r>
    </w:p>
    <w:p w14:paraId="0AE2BB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изменение приказа НКАП N 185сс от 9 марта 1942 директору завода 21 Гостинцеву выпускать с завода 21 самолеты ЯЧк-7 без предкрылков (1544,19).</w:t>
      </w:r>
    </w:p>
    <w:p w14:paraId="372E08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E09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N 213сс:</w:t>
      </w:r>
    </w:p>
    <w:p w14:paraId="419B5E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13 марта 1942 N ГКО-1438сс обязал НКАП организовать на заводе 21 производство самолетов Як-7. В исполнение этого постановления:</w:t>
      </w:r>
    </w:p>
    <w:p w14:paraId="007341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 ГК А.С.Я., директору завода 21 Гостинцеву организовать на заводе 21 производство самолетов Як-7.</w:t>
      </w:r>
    </w:p>
    <w:p w14:paraId="609C41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Внедрение самолета Як-7 в производство </w:t>
      </w:r>
      <w:proofErr w:type="gramStart"/>
      <w:r w:rsidRPr="008127F8">
        <w:rPr>
          <w:rFonts w:ascii="Times New Roman" w:hAnsi="Times New Roman"/>
          <w:color w:val="000000" w:themeColor="text1"/>
          <w:sz w:val="16"/>
          <w:szCs w:val="16"/>
        </w:rPr>
        <w:t>осуществлять</w:t>
      </w:r>
      <w:proofErr w:type="gramEnd"/>
      <w:r w:rsidRPr="008127F8">
        <w:rPr>
          <w:rFonts w:ascii="Times New Roman" w:hAnsi="Times New Roman"/>
          <w:color w:val="000000" w:themeColor="text1"/>
          <w:sz w:val="16"/>
          <w:szCs w:val="16"/>
        </w:rPr>
        <w:t xml:space="preserve"> не снижая достигнутого уровня ежесуточного выпуска 10 самолетов в день.</w:t>
      </w:r>
    </w:p>
    <w:p w14:paraId="659BA6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Программу по выпуску самолетов Як-7 на заводе 21 на 1942 установить в количестве 1450 самолетов,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tblGrid>
      <w:tr w:rsidR="006F4095" w:rsidRPr="008127F8" w14:paraId="1FDEB9F7" w14:textId="77777777">
        <w:tc>
          <w:tcPr>
            <w:tcW w:w="1252" w:type="dxa"/>
            <w:tcBorders>
              <w:top w:val="single" w:sz="12" w:space="0" w:color="auto"/>
            </w:tcBorders>
          </w:tcPr>
          <w:p w14:paraId="1F5444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Borders>
              <w:top w:val="single" w:sz="12" w:space="0" w:color="auto"/>
            </w:tcBorders>
          </w:tcPr>
          <w:p w14:paraId="7EC697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252" w:type="dxa"/>
            <w:tcBorders>
              <w:top w:val="single" w:sz="12" w:space="0" w:color="auto"/>
            </w:tcBorders>
          </w:tcPr>
          <w:p w14:paraId="23AC30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r>
      <w:tr w:rsidR="006F4095" w:rsidRPr="008127F8" w14:paraId="275F0BF9" w14:textId="77777777">
        <w:tc>
          <w:tcPr>
            <w:tcW w:w="1252" w:type="dxa"/>
          </w:tcPr>
          <w:p w14:paraId="3E90EA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w:t>
            </w:r>
          </w:p>
        </w:tc>
        <w:tc>
          <w:tcPr>
            <w:tcW w:w="1252" w:type="dxa"/>
          </w:tcPr>
          <w:p w14:paraId="588061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252" w:type="dxa"/>
          </w:tcPr>
          <w:p w14:paraId="5038A0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r>
      <w:tr w:rsidR="006F4095" w:rsidRPr="008127F8" w14:paraId="0DCF5F87" w14:textId="77777777">
        <w:tc>
          <w:tcPr>
            <w:tcW w:w="1252" w:type="dxa"/>
          </w:tcPr>
          <w:p w14:paraId="045B1F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w:t>
            </w:r>
          </w:p>
        </w:tc>
        <w:tc>
          <w:tcPr>
            <w:tcW w:w="1252" w:type="dxa"/>
          </w:tcPr>
          <w:p w14:paraId="36D38B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252" w:type="dxa"/>
          </w:tcPr>
          <w:p w14:paraId="6C90E5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r>
      <w:tr w:rsidR="00687FE2" w:rsidRPr="008127F8" w14:paraId="436FD7EB" w14:textId="77777777">
        <w:tc>
          <w:tcPr>
            <w:tcW w:w="1252" w:type="dxa"/>
            <w:tcBorders>
              <w:bottom w:val="single" w:sz="12" w:space="0" w:color="auto"/>
            </w:tcBorders>
          </w:tcPr>
          <w:p w14:paraId="679064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w:t>
            </w:r>
          </w:p>
        </w:tc>
        <w:tc>
          <w:tcPr>
            <w:tcW w:w="1252" w:type="dxa"/>
            <w:tcBorders>
              <w:bottom w:val="single" w:sz="12" w:space="0" w:color="auto"/>
            </w:tcBorders>
          </w:tcPr>
          <w:p w14:paraId="296BA3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252" w:type="dxa"/>
            <w:tcBorders>
              <w:bottom w:val="single" w:sz="12" w:space="0" w:color="auto"/>
            </w:tcBorders>
          </w:tcPr>
          <w:p w14:paraId="216BE6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(1544,31)</w:t>
            </w:r>
          </w:p>
        </w:tc>
      </w:tr>
    </w:tbl>
    <w:p w14:paraId="34BB1D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73F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N 216сс о прекращении производства самолетов ЛаГГ-3 на заводе 153 (1544,59).</w:t>
      </w:r>
    </w:p>
    <w:p w14:paraId="732893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9FF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года Приказом НКАП за № 210 было поручено зам. наркома Дементьеву П.В. и Яковлеву А.С. – гл. конструктору организовать на заводе № 82 производство самолетов ЯК-7.</w:t>
      </w:r>
    </w:p>
    <w:p w14:paraId="72C33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этого момента завод № 82 начал свое существование.</w:t>
      </w:r>
    </w:p>
    <w:p w14:paraId="45247F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здания и проч. Были предназначены к самолетостроению еще в период строительства завода № 62, входившего в систему ГВФ в 1932 году, имевшего специальное назначение выпуска цельносварных самолетов Сталь-2 и Сталь-3 из нержавеющей стали – конструкции инженера Путилова А.И., затем переданного в систему НКАП и переименованного в завод № 81.</w:t>
      </w:r>
    </w:p>
    <w:p w14:paraId="24444E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строительства завода, а затем первым директором был Вальцев А.Д., гл. конструктором Путилов А.И.</w:t>
      </w:r>
    </w:p>
    <w:p w14:paraId="6B72EF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1932 года по 1941 год директорами были Кофман Д.Е., затем Климовицкий Н.В.</w:t>
      </w:r>
    </w:p>
    <w:p w14:paraId="335C38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года приказом НКАП № 291 директором был назначен Бугров А.П.</w:t>
      </w:r>
    </w:p>
    <w:p w14:paraId="73DF50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1943 года завод достиг полной производственной мощности и с 1943 года перешел к серийному производству самолетов ЯК-7Б с внедрением поточного метода производства. Среднесуточный выпуск составил 2 самолета в день, а со второй половины года достиг выпуска 3-х самолетов ежедневно.</w:t>
      </w:r>
    </w:p>
    <w:p w14:paraId="591EEE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постановления ГКО за № 4649 от 27 декабря 1943 года и приказа НКАП за № 784 от 31 декабря 1943 года, завод с февраля 1944 года приступил к производству самолетов ЯК-9 с мотором ВК-107А, продолжая изготовление самолета ЯК-7, постепенно уменьшая его выпуск и наращивая выпуск самолетов ЯК-9.</w:t>
      </w:r>
    </w:p>
    <w:p w14:paraId="12A4F5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ВОВ на заводе было 2 пожара. Первый пожар произошел в январе 1942 года, 2-ой – 10 апреля 1944 года. Пожары принесли очень большие потери.</w:t>
      </w:r>
    </w:p>
    <w:p w14:paraId="5D790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августа 1945 года завод прекратил выпуск самолетов, перестроив производство на гражданскую продукцию.</w:t>
      </w:r>
    </w:p>
    <w:p w14:paraId="076416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w:t>
      </w:r>
    </w:p>
    <w:p w14:paraId="25BFB5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было организовано на основании приказа МАП за № 176 от 28 февраля 1946 года ОКБ-82 с целью усовершенствования троллейбусов цельнометаллической конструкции завода № 82.</w:t>
      </w:r>
    </w:p>
    <w:p w14:paraId="46A274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производством троллейбусов, завод с 1947 года изготовляет трамвайные вагоны.</w:t>
      </w:r>
    </w:p>
    <w:p w14:paraId="616872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1950 года завод прекращает выпуск гражданской продукции и вновь возвращается к самолетостроению (постановление Правительства от 25 февраля 1950 года за № 1707-664 и приказа МАП от 3 мая 1950 года за № 326). Завод осваивает изготовление самолетов ТУ-2.</w:t>
      </w:r>
    </w:p>
    <w:p w14:paraId="7EF048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631ABD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Бугров А.П. – с 9 апреля 1942 года</w:t>
      </w:r>
    </w:p>
    <w:p w14:paraId="13E7B7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Нестеров – с 20 октября 1942 года</w:t>
      </w:r>
    </w:p>
    <w:p w14:paraId="3B7770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Климовицкий Н.В. – с 15 февраля 1943 года</w:t>
      </w:r>
    </w:p>
    <w:p w14:paraId="7013B3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Агуреев А.В. – с 30 ноября 1944 года</w:t>
      </w:r>
    </w:p>
    <w:p w14:paraId="3EDA99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Засульский В.И. – с 11 октября 1947 года</w:t>
      </w:r>
    </w:p>
    <w:p w14:paraId="633740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Коротков Б.Н. – с 31 мая 1952 года</w:t>
      </w:r>
    </w:p>
    <w:p w14:paraId="59A653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Лещенко С.М. – с 6 октября 1952 года</w:t>
      </w:r>
    </w:p>
    <w:p w14:paraId="5CED45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Хачатурян П.Е. – с 13 февраля 1954 года</w:t>
      </w:r>
    </w:p>
    <w:p w14:paraId="1593A4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Аремаев М.Я. – с 11 апреля 1955 года (9460).</w:t>
      </w:r>
    </w:p>
    <w:p w14:paraId="5C0933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214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был подготовлен проект приказа НКАП во исполнение постановления ГКО от 4 марта 1942 N 1385сс о выпуске на заводе 39 самолетов Пе-3, но нарком подписывать не стал. Хотели с 16 марта 1942 до трети от плана выпускать Пе-3 с 2хБС + 1хШКАС + 1хШКАС в хвосте, а с 20 апреля - Пе-3 бис в варианте истребителя с усиленным вооружением с 1хШВАК + 2хБС + 1хБС на турели + 1хШКАС в хвосте (1685,34).</w:t>
      </w:r>
    </w:p>
    <w:p w14:paraId="32C9D7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F63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С.А.Чаплыгин - научный руководитель ЦАГИ - в письме в НКАП предложил определить основной задачей ЦАГИ самолетов с реактивными двигателями. Коллегия НКАП согласилась и в ЦАГИ был образован отдел реактивных систем под руководством Абрамовича. В отдел вошло и КБ ЦАГИ (197,29).</w:t>
      </w:r>
    </w:p>
    <w:p w14:paraId="4059F1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E3ED3" w14:textId="77777777" w:rsidR="00332A2F" w:rsidRPr="008127F8" w:rsidRDefault="00332A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С. А. Чаплыгин — научный руководитель ЦАГИ — в письме в НКАП предложил определить основной задачей ЦАГИ самолетов с реактивными двигателями. В 1943 г. появились первые проекты турбореактивных двигателей и самолетов с ними (19727).</w:t>
      </w:r>
    </w:p>
    <w:p w14:paraId="4D0D1904" w14:textId="77777777" w:rsidR="00332A2F" w:rsidRPr="008127F8" w:rsidRDefault="00332A2F" w:rsidP="001E0A84">
      <w:pPr>
        <w:spacing w:after="0" w:line="240" w:lineRule="auto"/>
        <w:jc w:val="both"/>
        <w:rPr>
          <w:rFonts w:ascii="Times New Roman" w:hAnsi="Times New Roman"/>
          <w:color w:val="000000" w:themeColor="text1"/>
          <w:sz w:val="16"/>
          <w:szCs w:val="16"/>
        </w:rPr>
      </w:pPr>
    </w:p>
    <w:p w14:paraId="0A858BAB"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16 марта 1942 г. научный руководитель ЦАГИ академик С.А. Чаплыгин направилв НКАП письмо, в котором предложил определить основной научной задачей ЦАГИ создание самолетов с реактивными двигателями. В коллегии НКАП дали добро на такие работы, и в ЦАГИ был образован отдел реактивных систем под руководством Абрамовича. В этот отдел вошло КБ из ЦАГИ и фронт работ расширился. В отдел входили группы, занимающиеся исследованиям и процессов горения под руководством доктора технических наук Д.А. Франк Каменецкого, рабочих процессов — под руководством канди дата технических наук Г.В. Миклашевского и аэродинамики под руководством В.А. Кузнецова. В марте 1943 г. Г. Н. Абрамович закончил обобщенную работу под </w:t>
      </w:r>
      <w:proofErr w:type="gramStart"/>
      <w:r w:rsidRPr="008127F8">
        <w:rPr>
          <w:color w:val="000000" w:themeColor="text1"/>
          <w:sz w:val="16"/>
          <w:szCs w:val="16"/>
        </w:rPr>
        <w:t>названием :</w:t>
      </w:r>
      <w:proofErr w:type="gramEnd"/>
      <w:r w:rsidRPr="008127F8">
        <w:rPr>
          <w:color w:val="000000" w:themeColor="text1"/>
          <w:sz w:val="16"/>
          <w:szCs w:val="16"/>
        </w:rPr>
        <w:t xml:space="preserve"> «О перс пективах использования реактивных двигателей в авиации».</w:t>
      </w:r>
    </w:p>
    <w:p w14:paraId="404BD119"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 этой работе, помимо рассмотрения вопросов о принципах регулирования параметров ВРДК, содержались описания проекто </w:t>
      </w:r>
      <w:proofErr w:type="gramStart"/>
      <w:r w:rsidRPr="008127F8">
        <w:rPr>
          <w:color w:val="000000" w:themeColor="text1"/>
          <w:sz w:val="16"/>
          <w:szCs w:val="16"/>
        </w:rPr>
        <w:t>в самолетов</w:t>
      </w:r>
      <w:proofErr w:type="gramEnd"/>
      <w:r w:rsidRPr="008127F8">
        <w:rPr>
          <w:color w:val="000000" w:themeColor="text1"/>
          <w:sz w:val="16"/>
          <w:szCs w:val="16"/>
        </w:rPr>
        <w:t xml:space="preserve"> С-1ВРДК-1и С-2ВРДК-1.</w:t>
      </w:r>
    </w:p>
    <w:p w14:paraId="37A18BD7"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Самолет С-1ВРДК-1 был представлен цельнометаллическим свободнонесущим низкопланом с трапециевидным крылом с прямыми законцовками. В носовой части фюзеляжа распола гался осесимметричный воздухозаборник с центральным телом, в котором находилась пушка ШВАК с боезапасом 60 патронов. За входным конусом размещался четырехступенчатый компрессор диаметром 1300 мм с направляющим аппаратом, который приводился во вращение звездообразным мотором М-82 с соосным редуктором. Еще в предыдущих работах у Аб рамовича было показано, что оптимальная степень сжатия для компрессора ВРДК составляла 1,3... 1,4. После компрессора воздух обтекал цилиндры мотора, нагреваясь от них. Допол нительный нагрев создавал проток для охлаждающего возду ха. Оптимальное значение температуры горения воздушно-бен зиновой смеси в камере сгорания по расчетам составляло 1500 °С. Тяга ВРДК должна была регулироваться подачей бен зина, оборотами приводного мотора и продольным перемеще нием хвостового конуса. Сложной по конструкции была хвос товая часть фюзеляжа, в которой должна была располагаться камера сгорания диаметром — 1,5 м и длиной — 4,2 м. На са молете предполагалось применить трехопорное шасси с носо вой стойкой. Горизонтальное оперение должно было распола гаться над фюзеляжем на специальном пилоне для обеспече ния большей жесткости и исключения возможного попадания выхлопных газов. Вертикальное оперение все по той же при чине необходимой прочности должно было выполняться в виде двух шайб. Из расчетов получалась максимальная скорость самолета примерно 800 км/ч. Крыло проектировалось двух лонжеронным с дополнительной стенкой. Между лонжерона ми размещались топливные баки по 200 л и места для основ ных стоек шасси. Основной бензобак емкостью 1200 л должен был размещаться между мотором М-82 и кабиной пилота. До полнительный бак предполагалось устанавливать в центроп лане. Общий вес горючего должен был составить 1800 кг. Са молет с ВРДК за счет особенностей работы этого двигателя (даже без подачи бензина в камеру сгорания реактивная тяга ВРДК создается за счет использования тепла от остывающего ПД и тепла его выхлопных газов в зоне высокого давления без компрессора) при средней скорости полета может находить ся в воздухе в течение З...3,5 часов, а при полетах на макси мальных скоростях — 15...20 мин.</w:t>
      </w:r>
    </w:p>
    <w:p w14:paraId="4B7E9630"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Все расчеты определили тактическое назначение этого са молета, как барражирующего истребителя-перехватчика.</w:t>
      </w:r>
    </w:p>
    <w:p w14:paraId="52549C88"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 ЦАГИ также были проведены расчеты по двухдвигатель ному самолету С-2ВРДК-1, которые показали воз можность такого самолета получить выигрыш в скорости по Рядка 50 км/ч по сравнению с самолетом С-1ВРДК-1 при </w:t>
      </w:r>
      <w:proofErr w:type="gramStart"/>
      <w:r w:rsidRPr="008127F8">
        <w:rPr>
          <w:color w:val="000000" w:themeColor="text1"/>
          <w:sz w:val="16"/>
          <w:szCs w:val="16"/>
        </w:rPr>
        <w:t>взлет ной</w:t>
      </w:r>
      <w:proofErr w:type="gramEnd"/>
      <w:r w:rsidRPr="008127F8">
        <w:rPr>
          <w:color w:val="000000" w:themeColor="text1"/>
          <w:sz w:val="16"/>
          <w:szCs w:val="16"/>
        </w:rPr>
        <w:t xml:space="preserve"> массе 11 900 кг. Параллельно с рассмотренными вариан тами велись работы по проекту истребителя с ВРДК, 174 М. </w:t>
      </w:r>
      <w:proofErr w:type="gramStart"/>
      <w:r w:rsidRPr="008127F8">
        <w:rPr>
          <w:color w:val="000000" w:themeColor="text1"/>
          <w:sz w:val="16"/>
          <w:szCs w:val="16"/>
        </w:rPr>
        <w:t>ЕВТИФЬЕВ</w:t>
      </w:r>
      <w:proofErr w:type="gramEnd"/>
      <w:r w:rsidRPr="008127F8">
        <w:rPr>
          <w:color w:val="000000" w:themeColor="text1"/>
          <w:sz w:val="16"/>
          <w:szCs w:val="16"/>
        </w:rPr>
        <w:t xml:space="preserve"> у которого приводным мотором предлагался двигатель водя ного охлаждения АМ-39Ф, который обладал большей по срав нению с М-82 высотностью. Предполагалось, что такой само лет сможет достичь максимальной скорости 850 к м / ч на вы соте 8 000 м. Но время барражирования ограничивалось 1,5 ч.</w:t>
      </w:r>
    </w:p>
    <w:p w14:paraId="1305F93B"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Эта разница такого самолета с самолетом С-1ВРДК-1, у кото рого выхлоп газов мотора осуществлялся непосредственно в тракт ВРДК, объяснялась тем, что выхлоп мотора АМ-39 осу ществлялся в атмосферу.</w:t>
      </w:r>
    </w:p>
    <w:p w14:paraId="67370E85" w14:textId="77777777" w:rsidR="00332A2F" w:rsidRPr="008127F8" w:rsidRDefault="00332A2F"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По расчетам в ЦАГИ был сделан вывод, что при отборе на компрессор 3 0 % мощности авиамотора можно было получить от ВРДК дополнительную тягу, равную тяге винта. Это </w:t>
      </w:r>
      <w:proofErr w:type="gramStart"/>
      <w:r w:rsidRPr="008127F8">
        <w:rPr>
          <w:color w:val="000000" w:themeColor="text1"/>
          <w:sz w:val="16"/>
          <w:szCs w:val="16"/>
        </w:rPr>
        <w:t>долж</w:t>
      </w:r>
      <w:proofErr w:type="gramEnd"/>
      <w:r w:rsidRPr="008127F8">
        <w:rPr>
          <w:color w:val="000000" w:themeColor="text1"/>
          <w:sz w:val="16"/>
          <w:szCs w:val="16"/>
        </w:rPr>
        <w:t xml:space="preserve"> но было дать прирост к максимальной скорости 120... 150 км/ч при одновременном увеличении взлетной массы на 800... 1000 кг. Схема была промежуточной между самолетом с ПД и самолетом с ВРД, но она сохраняла взлетные и манев ренные качества серийных истребителей с ПД (19586).</w:t>
      </w:r>
    </w:p>
    <w:p w14:paraId="4634E619" w14:textId="77777777" w:rsidR="00332A2F" w:rsidRPr="008127F8" w:rsidRDefault="00332A2F" w:rsidP="001E0A84">
      <w:pPr>
        <w:pStyle w:val="af"/>
        <w:shd w:val="clear" w:color="auto" w:fill="FFFFFF"/>
        <w:spacing w:before="0" w:after="0"/>
        <w:jc w:val="both"/>
        <w:rPr>
          <w:color w:val="000000" w:themeColor="text1"/>
          <w:sz w:val="16"/>
          <w:szCs w:val="16"/>
        </w:rPr>
      </w:pPr>
    </w:p>
    <w:p w14:paraId="766C28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вышел приказ НКАП № 208сс:</w:t>
      </w:r>
    </w:p>
    <w:p w14:paraId="2E5A5A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14 марта 1942 № 1445сс:</w:t>
      </w:r>
    </w:p>
    <w:p w14:paraId="5B5607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В.П.Кузнецову и зам. Нач. 3 ГУ М.Н.Степину на базе авиамоторного цеха ГАЗ организовать з-д по про-ву моторов М-105Р. Вновь организованному з-ду присвоить № 466,</w:t>
      </w:r>
    </w:p>
    <w:p w14:paraId="0E7BD2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Д-ром з-да 466 назначить А.П.Петрова.</w:t>
      </w:r>
    </w:p>
    <w:p w14:paraId="3F411E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(1544, 3-4).</w:t>
      </w:r>
    </w:p>
    <w:p w14:paraId="40291A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32F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приказом НКАП № 206сс в соответствии с постановлением ГКО № 1440сс от 14.03.1942 г. в 03-04.1942 г. заводу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передано все оборудование и основная часть личного состава завода № 82 НКАП (11982).</w:t>
      </w:r>
    </w:p>
    <w:p w14:paraId="2381A5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5F8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1463 О заводе № 29. РГАНИР, Фонд ГКО, д. 24, лл. 189 (11012).</w:t>
      </w:r>
    </w:p>
    <w:p w14:paraId="5D44E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47890" w14:textId="77777777" w:rsidR="00CD0761" w:rsidRPr="008127F8" w:rsidRDefault="00CD07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1463 О заводе № 29</w:t>
      </w:r>
    </w:p>
    <w:p w14:paraId="3BB1EF99" w14:textId="77777777" w:rsidR="00CD0761" w:rsidRPr="008127F8" w:rsidRDefault="00CD07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постановления ГОКО № 1263 от 9 февраля 1942 года и № 1397 от б марта 1942 года, Государственный Ко</w:t>
      </w:r>
      <w:r w:rsidRPr="008127F8">
        <w:rPr>
          <w:rFonts w:ascii="Times New Roman" w:hAnsi="Times New Roman"/>
          <w:color w:val="000000" w:themeColor="text1"/>
          <w:sz w:val="16"/>
          <w:szCs w:val="16"/>
        </w:rPr>
        <w:softHyphen/>
        <w:t>митет Обороны постановляет:</w:t>
      </w:r>
    </w:p>
    <w:p w14:paraId="34419EC5" w14:textId="77777777" w:rsidR="00CD0761" w:rsidRPr="008127F8" w:rsidRDefault="00CD07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Освободить завод № 29 от производства моторов М-82</w:t>
      </w:r>
    </w:p>
    <w:p w14:paraId="5474AB68" w14:textId="77777777" w:rsidR="00CD0761" w:rsidRPr="008127F8" w:rsidRDefault="00CD076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т. Шахурина и директора завода № 89 т. Лукина в мае 1942 ежесуточно выпускать на заводе № 29 14 моторов М-88 и в августе 1942 ежесуточно выпускать 20 моторов (19312).</w:t>
      </w:r>
    </w:p>
    <w:p w14:paraId="1AE08555" w14:textId="77777777" w:rsidR="00CD0761" w:rsidRPr="008127F8" w:rsidRDefault="00CD0761" w:rsidP="001E0A84">
      <w:pPr>
        <w:spacing w:after="0" w:line="240" w:lineRule="auto"/>
        <w:jc w:val="both"/>
        <w:rPr>
          <w:rFonts w:ascii="Times New Roman" w:hAnsi="Times New Roman"/>
          <w:color w:val="000000" w:themeColor="text1"/>
          <w:sz w:val="16"/>
          <w:szCs w:val="16"/>
        </w:rPr>
      </w:pPr>
    </w:p>
    <w:p w14:paraId="3267CB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1464 О заводе № 19. РГАНИР, Фонд ГКО, д. 24, лл. 190 (11012).</w:t>
      </w:r>
    </w:p>
    <w:p w14:paraId="52F5A0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26390" w14:textId="77777777" w:rsidR="0099321F" w:rsidRPr="008127F8" w:rsidRDefault="009932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1464 О заводе № 19</w:t>
      </w:r>
    </w:p>
    <w:p w14:paraId="408265C0" w14:textId="77777777" w:rsidR="0099321F" w:rsidRPr="008127F8" w:rsidRDefault="009932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изменение постановления ГОКО № 1263 от 5 февраля 1942 </w:t>
      </w:r>
      <w:proofErr w:type="gramStart"/>
      <w:r w:rsidRPr="008127F8">
        <w:rPr>
          <w:rFonts w:ascii="Times New Roman" w:hAnsi="Times New Roman"/>
          <w:color w:val="000000" w:themeColor="text1"/>
          <w:sz w:val="16"/>
          <w:szCs w:val="16"/>
        </w:rPr>
        <w:t>года,Государственный</w:t>
      </w:r>
      <w:proofErr w:type="gramEnd"/>
      <w:r w:rsidRPr="008127F8">
        <w:rPr>
          <w:rFonts w:ascii="Times New Roman" w:hAnsi="Times New Roman"/>
          <w:color w:val="000000" w:themeColor="text1"/>
          <w:sz w:val="16"/>
          <w:szCs w:val="16"/>
        </w:rPr>
        <w:t xml:space="preserve"> Комитет Обороны постановляет:</w:t>
      </w:r>
    </w:p>
    <w:p w14:paraId="658659CE" w14:textId="77777777" w:rsidR="0099321F" w:rsidRPr="008127F8" w:rsidRDefault="0099321F" w:rsidP="001E0A84">
      <w:pPr>
        <w:tabs>
          <w:tab w:val="left" w:pos="28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Наркомавиапром - тов.Шахурина и директора за</w:t>
      </w:r>
      <w:r w:rsidRPr="008127F8">
        <w:rPr>
          <w:rFonts w:ascii="Times New Roman" w:hAnsi="Times New Roman"/>
          <w:color w:val="000000" w:themeColor="text1"/>
          <w:sz w:val="16"/>
          <w:szCs w:val="16"/>
        </w:rPr>
        <w:softHyphen/>
        <w:t>вода № 19 тов.Кожевникова обеспечить, начиная с апреля 1942 года ежесуточный выпуск моторов М-62ИР в количестве 7 штук и моторов М-82 в апреле 11 моторов е сутки, в июле 13 и в августе с.г. - 15 моторов в сутки (19313).</w:t>
      </w:r>
    </w:p>
    <w:p w14:paraId="6E30129E" w14:textId="77777777" w:rsidR="0099321F" w:rsidRPr="008127F8" w:rsidRDefault="009932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72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1465 Об укомплектовании оборудованием заводов № 23, 46 и 82. РГАНИР, Фонд ГКО, д. 24, лл. 191 (11012).</w:t>
      </w:r>
    </w:p>
    <w:p w14:paraId="56E24F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0555D" w14:textId="77777777" w:rsidR="0099321F" w:rsidRPr="008127F8" w:rsidRDefault="009932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1465 Об укомплектовании оборудованием заводов № 23, 46 и 82</w:t>
      </w:r>
    </w:p>
    <w:p w14:paraId="64A79A4A" w14:textId="77777777" w:rsidR="0099321F" w:rsidRPr="008127F8" w:rsidRDefault="0099321F" w:rsidP="001E0A84">
      <w:pPr>
        <w:pStyle w:val="8a"/>
        <w:shd w:val="clear" w:color="auto" w:fill="auto"/>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lastRenderedPageBreak/>
        <w:t>3 целях быстрейшего укомплектования оборудованием завода № 23 по производству ДБ-ЗФ. завода № 45 по произ</w:t>
      </w:r>
      <w:r w:rsidRPr="008127F8">
        <w:rPr>
          <w:rFonts w:ascii="Times New Roman" w:hAnsi="Times New Roman" w:cs="Times New Roman"/>
          <w:color w:val="000000" w:themeColor="text1"/>
          <w:spacing w:val="0"/>
          <w:sz w:val="16"/>
          <w:szCs w:val="16"/>
        </w:rPr>
        <w:softHyphen/>
        <w:t>водству мотора АМ-38 и эавода № 82 по производству само</w:t>
      </w:r>
      <w:r w:rsidRPr="008127F8">
        <w:rPr>
          <w:rFonts w:ascii="Times New Roman" w:hAnsi="Times New Roman" w:cs="Times New Roman"/>
          <w:color w:val="000000" w:themeColor="text1"/>
          <w:spacing w:val="0"/>
          <w:sz w:val="16"/>
          <w:szCs w:val="16"/>
        </w:rPr>
        <w:softHyphen/>
        <w:t>лета Як-7, Государственный Комитет Обороны постановляет:</w:t>
      </w:r>
    </w:p>
    <w:p w14:paraId="0CD6E9FE" w14:textId="77777777" w:rsidR="0099321F" w:rsidRPr="008127F8" w:rsidRDefault="0099321F" w:rsidP="001E0A84">
      <w:pPr>
        <w:pStyle w:val="8a"/>
        <w:shd w:val="clear" w:color="auto" w:fill="auto"/>
        <w:tabs>
          <w:tab w:val="left" w:pos="1723"/>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1. Обязать Наркомавиапром - </w:t>
      </w:r>
      <w:proofErr w:type="gramStart"/>
      <w:r w:rsidRPr="008127F8">
        <w:rPr>
          <w:rFonts w:ascii="Times New Roman" w:hAnsi="Times New Roman" w:cs="Times New Roman"/>
          <w:color w:val="000000" w:themeColor="text1"/>
          <w:spacing w:val="0"/>
          <w:sz w:val="16"/>
          <w:szCs w:val="16"/>
        </w:rPr>
        <w:t>тов.Шахурина</w:t>
      </w:r>
      <w:proofErr w:type="gramEnd"/>
      <w:r w:rsidRPr="008127F8">
        <w:rPr>
          <w:rFonts w:ascii="Times New Roman" w:hAnsi="Times New Roman" w:cs="Times New Roman"/>
          <w:color w:val="000000" w:themeColor="text1"/>
          <w:spacing w:val="0"/>
          <w:sz w:val="16"/>
          <w:szCs w:val="16"/>
        </w:rPr>
        <w:t>:</w:t>
      </w:r>
    </w:p>
    <w:p w14:paraId="2BDB7856" w14:textId="77777777" w:rsidR="0099321F" w:rsidRPr="008127F8" w:rsidRDefault="0099321F" w:rsidP="001E0A84">
      <w:pPr>
        <w:pStyle w:val="8a"/>
        <w:shd w:val="clear" w:color="auto" w:fill="auto"/>
        <w:tabs>
          <w:tab w:val="left" w:pos="1765"/>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а) передать заводу 23 для производства самолетов ДБ-ЗФ оборудование с опытной оаэы Конструкторского бюро т.Поликарпова в количестве 94 единиц, с опытной базы т.Сухого в количестве 120 единиц, с опытной бавы т.Болховитинова - 56 единиц;</w:t>
      </w:r>
    </w:p>
    <w:p w14:paraId="1DA44486" w14:textId="77777777" w:rsidR="0099321F" w:rsidRPr="008127F8" w:rsidRDefault="0099321F" w:rsidP="001E0A84">
      <w:pPr>
        <w:pStyle w:val="8a"/>
        <w:shd w:val="clear" w:color="auto" w:fill="auto"/>
        <w:tabs>
          <w:tab w:val="left" w:pos="1765"/>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б) передать заводу № 45 для производства моторов АМ-38 оборудование опытного завода ЦИАМ в количестве - </w:t>
      </w:r>
      <w:r w:rsidRPr="008127F8">
        <w:rPr>
          <w:rStyle w:val="0pt"/>
          <w:rFonts w:ascii="Times New Roman" w:hAnsi="Times New Roman" w:cs="Times New Roman"/>
          <w:color w:val="000000" w:themeColor="text1"/>
          <w:spacing w:val="0"/>
          <w:sz w:val="16"/>
          <w:szCs w:val="16"/>
        </w:rPr>
        <w:t>220</w:t>
      </w:r>
      <w:r w:rsidRPr="008127F8">
        <w:rPr>
          <w:rFonts w:ascii="Times New Roman" w:hAnsi="Times New Roman" w:cs="Times New Roman"/>
          <w:color w:val="000000" w:themeColor="text1"/>
          <w:spacing w:val="0"/>
          <w:sz w:val="16"/>
          <w:szCs w:val="16"/>
        </w:rPr>
        <w:t xml:space="preserve"> единиц;</w:t>
      </w:r>
    </w:p>
    <w:p w14:paraId="41E594E2" w14:textId="77777777" w:rsidR="0099321F" w:rsidRPr="008127F8" w:rsidRDefault="0099321F" w:rsidP="001E0A84">
      <w:pPr>
        <w:pStyle w:val="8a"/>
        <w:shd w:val="clear" w:color="auto" w:fill="auto"/>
        <w:tabs>
          <w:tab w:val="left" w:pos="1765"/>
        </w:tabs>
        <w:spacing w:line="240" w:lineRule="auto"/>
        <w:jc w:val="both"/>
        <w:rPr>
          <w:rFonts w:ascii="Times New Roman" w:hAnsi="Times New Roman" w:cs="Times New Roman"/>
          <w:color w:val="000000" w:themeColor="text1"/>
          <w:spacing w:val="0"/>
          <w:sz w:val="16"/>
          <w:szCs w:val="16"/>
        </w:rPr>
      </w:pPr>
      <w:r w:rsidRPr="008127F8">
        <w:rPr>
          <w:rFonts w:ascii="Times New Roman" w:hAnsi="Times New Roman" w:cs="Times New Roman"/>
          <w:color w:val="000000" w:themeColor="text1"/>
          <w:spacing w:val="0"/>
          <w:sz w:val="16"/>
          <w:szCs w:val="16"/>
        </w:rPr>
        <w:t xml:space="preserve">в) передать заводу № 82 для производства самолетов Як-7 все оборудование конструкторского бюро </w:t>
      </w:r>
      <w:proofErr w:type="gramStart"/>
      <w:r w:rsidRPr="008127F8">
        <w:rPr>
          <w:rFonts w:ascii="Times New Roman" w:hAnsi="Times New Roman" w:cs="Times New Roman"/>
          <w:color w:val="000000" w:themeColor="text1"/>
          <w:spacing w:val="0"/>
          <w:sz w:val="16"/>
          <w:szCs w:val="16"/>
        </w:rPr>
        <w:t>тов.Лавочки</w:t>
      </w:r>
      <w:r w:rsidRPr="008127F8">
        <w:rPr>
          <w:rFonts w:ascii="Times New Roman" w:hAnsi="Times New Roman" w:cs="Times New Roman"/>
          <w:color w:val="000000" w:themeColor="text1"/>
          <w:spacing w:val="0"/>
          <w:sz w:val="16"/>
          <w:szCs w:val="16"/>
        </w:rPr>
        <w:softHyphen/>
        <w:t>на</w:t>
      </w:r>
      <w:proofErr w:type="gramEnd"/>
      <w:r w:rsidRPr="008127F8">
        <w:rPr>
          <w:rFonts w:ascii="Times New Roman" w:hAnsi="Times New Roman" w:cs="Times New Roman"/>
          <w:color w:val="000000" w:themeColor="text1"/>
          <w:spacing w:val="0"/>
          <w:sz w:val="16"/>
          <w:szCs w:val="16"/>
        </w:rPr>
        <w:t xml:space="preserve"> в количестве - 40 единиц, оборудование конструктор</w:t>
      </w:r>
      <w:r w:rsidRPr="008127F8">
        <w:rPr>
          <w:rFonts w:ascii="Times New Roman" w:hAnsi="Times New Roman" w:cs="Times New Roman"/>
          <w:color w:val="000000" w:themeColor="text1"/>
          <w:spacing w:val="0"/>
          <w:sz w:val="16"/>
          <w:szCs w:val="16"/>
        </w:rPr>
        <w:softHyphen/>
        <w:t>ского бюро тов. Камова - 20 единиц, оборудование*мастер</w:t>
      </w:r>
      <w:r w:rsidRPr="008127F8">
        <w:rPr>
          <w:rFonts w:ascii="Times New Roman" w:hAnsi="Times New Roman" w:cs="Times New Roman"/>
          <w:color w:val="000000" w:themeColor="text1"/>
          <w:spacing w:val="0"/>
          <w:sz w:val="16"/>
          <w:szCs w:val="16"/>
        </w:rPr>
        <w:softHyphen/>
        <w:t>ских ЦАГИ в Новосибирске и Казани в количестве - 60 еди</w:t>
      </w:r>
      <w:r w:rsidRPr="008127F8">
        <w:rPr>
          <w:rFonts w:ascii="Times New Roman" w:hAnsi="Times New Roman" w:cs="Times New Roman"/>
          <w:color w:val="000000" w:themeColor="text1"/>
          <w:spacing w:val="0"/>
          <w:sz w:val="16"/>
          <w:szCs w:val="16"/>
        </w:rPr>
        <w:softHyphen/>
        <w:t>ниц.</w:t>
      </w:r>
    </w:p>
    <w:p w14:paraId="1F8D7187" w14:textId="77777777" w:rsidR="0099321F" w:rsidRPr="008127F8" w:rsidRDefault="009932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НаркомаБиапром - </w:t>
      </w:r>
      <w:proofErr w:type="gramStart"/>
      <w:r w:rsidRPr="008127F8">
        <w:rPr>
          <w:rFonts w:ascii="Times New Roman" w:hAnsi="Times New Roman"/>
          <w:color w:val="000000" w:themeColor="text1"/>
          <w:sz w:val="16"/>
          <w:szCs w:val="16"/>
        </w:rPr>
        <w:t>тов.Иахурина</w:t>
      </w:r>
      <w:proofErr w:type="gramEnd"/>
      <w:r w:rsidRPr="008127F8">
        <w:rPr>
          <w:rFonts w:ascii="Times New Roman" w:hAnsi="Times New Roman"/>
          <w:color w:val="000000" w:themeColor="text1"/>
          <w:sz w:val="16"/>
          <w:szCs w:val="16"/>
        </w:rPr>
        <w:t xml:space="preserve"> укомплек</w:t>
      </w:r>
      <w:r w:rsidRPr="008127F8">
        <w:rPr>
          <w:rFonts w:ascii="Times New Roman" w:hAnsi="Times New Roman"/>
          <w:color w:val="000000" w:themeColor="text1"/>
          <w:sz w:val="16"/>
          <w:szCs w:val="16"/>
        </w:rPr>
        <w:softHyphen/>
        <w:t>товать конструкторские бюро т.т.Поликарпова,Сухого и Болховитинова, а также ЦАГИ и ЦИАМ металлорежущим и про</w:t>
      </w:r>
      <w:r w:rsidRPr="008127F8">
        <w:rPr>
          <w:rFonts w:ascii="Times New Roman" w:hAnsi="Times New Roman"/>
          <w:color w:val="000000" w:themeColor="text1"/>
          <w:sz w:val="16"/>
          <w:szCs w:val="16"/>
        </w:rPr>
        <w:softHyphen/>
        <w:t>чим оборудованием за счет поступакщего оборудования с импорта в Ш-м и 1У кварталах с.г. (19314).</w:t>
      </w:r>
    </w:p>
    <w:p w14:paraId="10491034" w14:textId="77777777" w:rsidR="0099321F" w:rsidRPr="008127F8" w:rsidRDefault="009932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F4B4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5F863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17C0D9" w14:textId="77777777" w:rsidR="00DD4457" w:rsidRPr="008127F8" w:rsidRDefault="00DD4457"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16-26 марта 1942 орудие М-42 успешно прошло испытания, был поднят вопрос о выпуске опытной партии (20344).</w:t>
      </w:r>
    </w:p>
    <w:p w14:paraId="5D4E1CDF" w14:textId="77777777" w:rsidR="00DD4457" w:rsidRPr="008127F8" w:rsidRDefault="00DD4457" w:rsidP="001E0A84">
      <w:pPr>
        <w:pStyle w:val="article-renderblock"/>
        <w:shd w:val="clear" w:color="auto" w:fill="FFFFFF"/>
        <w:spacing w:before="0" w:beforeAutospacing="0" w:after="0" w:afterAutospacing="0"/>
        <w:jc w:val="both"/>
        <w:rPr>
          <w:color w:val="000000" w:themeColor="text1"/>
          <w:sz w:val="16"/>
          <w:szCs w:val="16"/>
        </w:rPr>
      </w:pPr>
    </w:p>
    <w:p w14:paraId="6AE5D7C9" w14:textId="77777777" w:rsidR="009D206F" w:rsidRPr="008127F8" w:rsidRDefault="009D206F"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16 марта 1942 года начались испытания Т-60 с 37 мм пушкой ЗИС-19 в новой башне и оказались не в пользу ЗИС-19. По их результатам выяснилось, что живучесть ствола ЗИС-19 оказалась ниже, чем у 45-мм танковой пушки, в виду более высокой начальной скорости снаряда. Показатели бронепробиваемости, скорострельности и кучности оказались практически идентичными, зато по эффективности осколочно-фугасного боеприпаса ЗИС-19 осталась далеко позади. Самое же главное, что комиссия дала однозначный вердикт - пушка испытаний не выдержала. Отмечалась простота орудия, при доработке его конструкции можно поднять вопрос о серийном производстве (22879).</w:t>
      </w:r>
    </w:p>
    <w:p w14:paraId="0E941D01" w14:textId="77777777" w:rsidR="009D206F" w:rsidRPr="008127F8" w:rsidRDefault="009D206F" w:rsidP="001E0A84">
      <w:pPr>
        <w:spacing w:after="0" w:line="240" w:lineRule="auto"/>
        <w:jc w:val="both"/>
        <w:rPr>
          <w:rFonts w:ascii="Times New Roman" w:hAnsi="Times New Roman"/>
          <w:color w:val="000000" w:themeColor="text1"/>
          <w:sz w:val="16"/>
          <w:szCs w:val="16"/>
          <w:shd w:val="clear" w:color="auto" w:fill="FFFFFF"/>
        </w:rPr>
      </w:pPr>
    </w:p>
    <w:p w14:paraId="44FF852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1451 Об отпуске вооружения НКВМФ. (7025, 116).</w:t>
      </w:r>
    </w:p>
    <w:p w14:paraId="19A45B2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89D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1452 О возвращении эвакуированного оборудования производства синильной кислоты на Воскресенский химкомбинат. РГАНИР, Фонд ГКО, д. 24, лл. 117 (11012).</w:t>
      </w:r>
    </w:p>
    <w:p w14:paraId="69C7D2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49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1453 О прекращении производства винтовочной противотанковой гранаты Сердюка. РГАНИР, Фонд ГКО, д. 24, лл. 118-119 (11012).</w:t>
      </w:r>
    </w:p>
    <w:p w14:paraId="108DEB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78F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1454 Об обеспечении фенолом производства бакелитовых смол для дельта-древесины и пластических масс. РГАНИР, Фонд ГКО, д. 24, лл. 120-124, 125-129 (11012).</w:t>
      </w:r>
    </w:p>
    <w:p w14:paraId="7EA5A9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468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1455 О мероприятиях по обеспечению строительства Орского металлургического комбината. РГАНИР, Фонд ГКО, д. 24, лл. 130-137, 138-140 (11012).</w:t>
      </w:r>
    </w:p>
    <w:p w14:paraId="252BFA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64B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1456 О восстановлении производства мотоциклов на заводах Наркомсредмаша. РГАНИР, Фонд ГКО, д. 24, лл. 141-147, 148-159 (11012).</w:t>
      </w:r>
    </w:p>
    <w:p w14:paraId="5AD44B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FD5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1459 О плане выпуска танков КВ. РГАНИР, Фонд ГКО, д. 24, лл. 163 (11012).</w:t>
      </w:r>
    </w:p>
    <w:p w14:paraId="6667E6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31F8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1461 О материальном обеспечении строительства железнодорожных линий Свияжск - Ульяновск и Саратов - Сталинград. (7025, 176,177-187).</w:t>
      </w:r>
    </w:p>
    <w:p w14:paraId="01DD8C7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32F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1466 О т. Саджая А.Н. РГАНИР, Фонд ГКО, д. 24, лл. 192 (11012).</w:t>
      </w:r>
    </w:p>
    <w:p w14:paraId="1734C6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2885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22609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8BDF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марта</w:t>
      </w:r>
      <w:r w:rsidRPr="008127F8">
        <w:rPr>
          <w:rFonts w:ascii="Times New Roman" w:hAnsi="Times New Roman"/>
          <w:color w:val="000000" w:themeColor="text1"/>
          <w:sz w:val="16"/>
          <w:szCs w:val="16"/>
        </w:rPr>
        <w:t xml:space="preserve"> в 1942 году утреннее сообщение Совинформбюро:</w:t>
      </w:r>
    </w:p>
    <w:p w14:paraId="69AD57FF"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16 марта на фронте каких-либо существенных изменений не произошло.</w:t>
      </w:r>
    </w:p>
    <w:p w14:paraId="3A15AE3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уничтожили свыше 1.300 солдат и офицеров противника. Огнём артиллерии и активными действиями разведчиков разрушено 10 вражеских деревоземляных огневых точек, уничтожены танк, полевое орудие, 4 станковых пулемёта и 3 миномёта с их расчётами. Захвачены трофеи.</w:t>
      </w:r>
    </w:p>
    <w:p w14:paraId="6CCA3831"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лейтенант В. Ломанов с группой красноармейцев проник в тыл противника и в течение 10 дней удерживал перекрёсток дорог, не допускал подхода к фронту вражеских резервов. В бою за населённый пункт В. тов. Ломанов со своими бойцами смелой атакой выбил гитлеровцев из 40 домов. Противник понёс большие потери. В этом бою тов. Ломанов лично уничтожил 15 немцев.</w:t>
      </w:r>
    </w:p>
    <w:p w14:paraId="24DAAE6E"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 сообщили о месте расположения вражеской батареи и складов боеприпасов. Батарея, которой командует лейтенант Замский, открыла меткий огонь. Вскоре расчёты батареи противника были уничтожены. Советские артиллеристы перенесли огонь на склады с боеприпасами. Раздались оглушительные взрывы. Подземные погреба с боеприпасами взлетели на воздух. Взрывы длились несколько часов и были слышны на расстоянии 10 километров.</w:t>
      </w:r>
    </w:p>
    <w:p w14:paraId="74628AE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Население оккупированных немецкими захватчиками советских городов и. сёл активно помогает Красной Армии громить гитлеровцев. На одном из участков Северо-3ападного фронта колхозник Лука Забелин вёз в санях двух немецких солдат. Заметив приближение наступающих советских бойцов, гитлеровцы хотели скрыться в лесу, но Забелин быстро выхватил из рук одного немца автомат, обезоружил другого и доставил врагов в нашу часть. В селе Н. 3 фашиста попросили колхозницу П. Фёдорову спрятать их до наступления ночи. Колхозница согласилась. Спрятав их, она тут же сообщила об этом красноармейцам, вступившим в деревню. Ваши бойцы, придя в дом Фёдоровой, вытащили гитлеровских вояк, спрятавшихся под печкой.</w:t>
      </w:r>
    </w:p>
    <w:p w14:paraId="03778AB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батареи 2 артполка 5 румынской бригады Константин Светко рассказал: «Дезертирство в румынской армии принимает всё большие размеры. Для поимки дезертиров выделены специальные кавалерийские части. Но, несмотря на это, количество дезертиров не уменьшается, а увеличивается. На днях из нашей батареи сбежали 3 солдата».</w:t>
      </w:r>
    </w:p>
    <w:p w14:paraId="1C10B34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Адольфа Шмидта найдено письмо от сестры. Она сообщает брату: «Представь себе, что тут обходят все квартиры и, если находят сапоги или другую обувь, требуют, чтобы всё это сдали».</w:t>
      </w:r>
    </w:p>
    <w:p w14:paraId="47BB1BE9"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деревень Кончеево, Яковлево и Заовражье, Смоленской области, немецко-фашистские мерзавцы сожгли 50 домов колхозников, 3 колхозные конюшни, 54 амбара, 120 сельскохозяйственных машин и угнали весь скот. Немцы дочиста ограбили всех колхозников.</w:t>
      </w:r>
    </w:p>
    <w:p w14:paraId="702AA769"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работают молодые трактористки Гурджаанской МТС, Грузинской ССР. При норме в 2,5 га тов. Т.Чикваидзе вспахивает более 3 га, тов. А.Чумдуридзе—3,3 га. Окончившая на днях курсы трактористок тов. Т.Лахошвили выполняет дневную норму на 150 процентов.» (15070).</w:t>
      </w:r>
    </w:p>
    <w:p w14:paraId="2F656B52"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60D2EC2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марта</w:t>
      </w:r>
      <w:r w:rsidRPr="008127F8">
        <w:rPr>
          <w:rFonts w:ascii="Times New Roman" w:hAnsi="Times New Roman"/>
          <w:color w:val="000000" w:themeColor="text1"/>
          <w:sz w:val="16"/>
          <w:szCs w:val="16"/>
        </w:rPr>
        <w:t xml:space="preserve"> в 1942 году вечернее сообщение Совинформбюро:</w:t>
      </w:r>
    </w:p>
    <w:p w14:paraId="16BA52F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16 марта наши войска вели наступательные бои против немецко-фашистских войск и заняли несколько населённых пунктов.</w:t>
      </w:r>
    </w:p>
    <w:p w14:paraId="050D631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14 марта советской авиацией уничтожено не 20 немецких. самолётов, как об этом сообщалось ранее, а 28 немецких самолётов.</w:t>
      </w:r>
    </w:p>
    <w:p w14:paraId="6D9F13E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марта уничтожено 17 самолётов противника. Наши потери — 6 самолётов.</w:t>
      </w:r>
    </w:p>
    <w:p w14:paraId="0ACBD872"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марта под Москвой сбито 3 немецких самолёта.</w:t>
      </w:r>
    </w:p>
    <w:p w14:paraId="493B383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марта частями нашей Авиации уничтожено и повреждено 7 немецких танков, 138 автомашин с войсками и грузами, 40 повозок с боеприпасами, 68 орудий, 16 миномётов, 14 зенитно-пулемётных точек, взорвано 3 склада с боеприпасами, разрушено 26 железнодорожных вагонов и 2 паровоза, рассеяно и частью уничтожено до 3 батальонов пехоты противника.</w:t>
      </w:r>
    </w:p>
    <w:p w14:paraId="7FE7CB80"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8 по 14 марта немецкая авиация потеряла 215 самолётов. Наши потери за этот же период—57 самолётов.</w:t>
      </w:r>
    </w:p>
    <w:p w14:paraId="7A76D892"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Бойцы нашей гвардейской части (Западный фронт) овладели населённым пунктом П. Захвачены трофеи: 42 автомашины, 17 орудий, 10 миномётов, 15 пулемётов, 10 противотанковых ружей, 23 автомата, 181 винтовка, свыше 6.000 снарядов, 600 мин, 100.000 патронов, 4 мотоцикла, 18 велосипедов и другое военное имущество. На другом участке наша танковая часть во взаимодействии с пехотой нанесла удар по врагу. Немцы потеряли свыше 800 солдат и офицеров убитыми и до 1.200 человек </w:t>
      </w:r>
      <w:r w:rsidRPr="008127F8">
        <w:rPr>
          <w:rFonts w:ascii="Times New Roman" w:hAnsi="Times New Roman"/>
          <w:color w:val="000000" w:themeColor="text1"/>
          <w:sz w:val="16"/>
          <w:szCs w:val="16"/>
        </w:rPr>
        <w:lastRenderedPageBreak/>
        <w:t>ранеными. Наши бойцы уничтожили 8 орудий</w:t>
      </w:r>
      <w:proofErr w:type="gramStart"/>
      <w:r w:rsidRPr="008127F8">
        <w:rPr>
          <w:rFonts w:ascii="Times New Roman" w:hAnsi="Times New Roman"/>
          <w:color w:val="000000" w:themeColor="text1"/>
          <w:sz w:val="16"/>
          <w:szCs w:val="16"/>
        </w:rPr>
        <w:t>, И</w:t>
      </w:r>
      <w:proofErr w:type="gramEnd"/>
      <w:r w:rsidRPr="008127F8">
        <w:rPr>
          <w:rFonts w:ascii="Times New Roman" w:hAnsi="Times New Roman"/>
          <w:color w:val="000000" w:themeColor="text1"/>
          <w:sz w:val="16"/>
          <w:szCs w:val="16"/>
        </w:rPr>
        <w:t xml:space="preserve"> миномётов, 9 пулемётов, 9 автомашин, 2 тягача, 40 подвод, сожгли склады с горючим и продовольствием и подбили 2 вражеских танка.</w:t>
      </w:r>
    </w:p>
    <w:p w14:paraId="3C5F489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наша часть ночью атаковала противника и заняла два населённых пункта. На поле боя остались сотни вражеских трупов. Отважно действовала группа советских разведчиков во главе с лейтенантом Пакуриным. Зайдя в тыл противнику, бойцы заняли населённый пункт и организовали там засаду. Вступивший в село немецкий отряд численностью в 150 человек был почти полностью истреблён. Разведчики захватили много документов и оружия.</w:t>
      </w:r>
    </w:p>
    <w:p w14:paraId="2E714DF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Политрук Кондратов, лейтенант Комаров, сержант Киреев и боец Калинченко выбили противника из ДЗОТа, уничтожили более 30 гитлеровцев и захватили 2 пулемёта, 17 винтовок, 4 ящика патронов, 2 стереотрубы и радиостанцию.</w:t>
      </w:r>
    </w:p>
    <w:p w14:paraId="4BC970B2"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Северо-Западном фронте, за один день боёв захватила у немцев 34 ручных пулемёта, 6 миномётов, 6 противотанковых орудий, 4 станковых пулемёта и 100 ящиков со снарядами. Уничтожено 80 вражеских солдат и офицеров.</w:t>
      </w:r>
    </w:p>
    <w:p w14:paraId="09F546B1"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отряда ленинградских партизан разгромили на днях карательный отряд гитлеровцев численностью в 150 человек. Немцы бежали, оставив на поле боя 60 трупов. Партизаны взяли в плен 3 немецких солдат. Среди захваченных трофеев — 2 пулемёта, 3 автомата, 12 винтовок, 3.600 патронов, радиостанция и другое вооружение. Группа партизан этих же отрядов на другой день взяла в плен экипаж трёхмоторного транспортного самолёта, сделавшего вынужденную посадку. Самолёт захвачен партизанами.</w:t>
      </w:r>
    </w:p>
    <w:p w14:paraId="21A5A89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немецкий солдат 8 роты 1 полка дивизии «СС» «Мёртвая голова» Хорст Карге рассказал: «Наш полк был разбит ещё осенью прошлого года. В нашей роте тогда осталось 10—15 человек. С тех пор мы неоднократно получали пополнения. В числе прибывших за последнее время оказалось много юнцов 16 и 17 лет. Есть даже один 15-летний подросток. Настроение солдат очень подавленное. Все устали, замучены и раздражены. Солдатам надоела война, и они хотят вернуться домой во что бы то ни стало». Касаясь причин, побудивших его сдаться в плен, Карге заявил: «Гитлер обманул немецкий народ и солдат. Я больше не верю в победу Германии. Войну считаю бессмысленной, а положение своей части безнадёжным».</w:t>
      </w:r>
    </w:p>
    <w:p w14:paraId="6B41ED8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найдено письмо из Румынии. Автор этого письма немецкий солдат по имени Ганс (фамилия в письме не указана) жалуется: «Здесь, в Румынии, вообще странное настроение, которое никак не поймёшь. Нам всё время кажется, что Румыния находится накануне революции. Появлению немцев румыны не рады и хотят, чтобы мы поскорее убрались. Это чувствуешь на каждом шагу, как только появляешься на улице».</w:t>
      </w:r>
    </w:p>
    <w:p w14:paraId="5B42BFE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Краснодарского края внесли в фонд обороны СССР наличными деньгами 52.367 тысяч рублей и на 70 миллионов рублей облигациями займов. Кроме того, колхозники края сдали в фонд обороны 14 тысяч центнеров хлеба, много мяса, молока, масла, яиц и других сельскохозяйственных продуктов.» (15070).</w:t>
      </w:r>
    </w:p>
    <w:p w14:paraId="2AC96CB8"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0C5C9A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 17 марта 1942 приказами командующего ВВС предусмотрели создание первых 4-х ударных авиагрупп, а затем - остальные 6. Первая группа имела 2 бап на Пе-2, 2 шап на Ил-2, 2 иап на Як-1, ЛаГГ-3 и 2 тбап на ДБ-3Ф (340,79).</w:t>
      </w:r>
    </w:p>
    <w:p w14:paraId="57954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95C62" w14:textId="77777777" w:rsidR="00301306" w:rsidRPr="008127F8" w:rsidRDefault="00301306" w:rsidP="001E0A84">
      <w:pPr>
        <w:pStyle w:val="af"/>
        <w:spacing w:before="0" w:after="0"/>
        <w:jc w:val="both"/>
        <w:textAlignment w:val="baseline"/>
        <w:rPr>
          <w:color w:val="000000" w:themeColor="text1"/>
          <w:sz w:val="16"/>
          <w:szCs w:val="16"/>
        </w:rPr>
      </w:pPr>
      <w:r w:rsidRPr="008127F8">
        <w:rPr>
          <w:color w:val="000000" w:themeColor="text1"/>
          <w:sz w:val="16"/>
          <w:szCs w:val="16"/>
        </w:rPr>
        <w:t>16 и 17 марта 1942 предписывалось сформировать десять так называемых «ударных авиационных групп» (уаг), которые должны были находиться в резерве и в случае необходимости могли быть брошены на нужный участок фронта.</w:t>
      </w:r>
    </w:p>
    <w:p w14:paraId="3779C7E3" w14:textId="7E82643F" w:rsidR="00301306" w:rsidRPr="008127F8" w:rsidRDefault="00301306" w:rsidP="001E0A84">
      <w:pPr>
        <w:pStyle w:val="af"/>
        <w:spacing w:before="0" w:after="0"/>
        <w:jc w:val="both"/>
        <w:textAlignment w:val="baseline"/>
        <w:rPr>
          <w:color w:val="000000" w:themeColor="text1"/>
          <w:sz w:val="16"/>
          <w:szCs w:val="16"/>
        </w:rPr>
      </w:pPr>
      <w:r w:rsidRPr="008127F8">
        <w:rPr>
          <w:color w:val="000000" w:themeColor="text1"/>
          <w:sz w:val="16"/>
          <w:szCs w:val="16"/>
        </w:rPr>
        <w:t>Предполагалось, что приблизительно треть этих групп составят именно Ил-2. Так, во 2-ю уаг генерал-майора Д.</w:t>
      </w:r>
      <w:r w:rsidR="008127F8">
        <w:rPr>
          <w:color w:val="000000" w:themeColor="text1"/>
          <w:sz w:val="16"/>
          <w:szCs w:val="16"/>
        </w:rPr>
        <w:t xml:space="preserve">  </w:t>
      </w:r>
      <w:r w:rsidRPr="008127F8">
        <w:rPr>
          <w:color w:val="000000" w:themeColor="text1"/>
          <w:sz w:val="16"/>
          <w:szCs w:val="16"/>
        </w:rPr>
        <w:t>Ф.</w:t>
      </w:r>
      <w:r w:rsidR="008127F8">
        <w:rPr>
          <w:color w:val="000000" w:themeColor="text1"/>
          <w:sz w:val="16"/>
          <w:szCs w:val="16"/>
        </w:rPr>
        <w:t xml:space="preserve">  </w:t>
      </w:r>
      <w:r w:rsidRPr="008127F8">
        <w:rPr>
          <w:color w:val="000000" w:themeColor="text1"/>
          <w:sz w:val="16"/>
          <w:szCs w:val="16"/>
        </w:rPr>
        <w:t>Кондратюка, действовавшую на Северо-Западном фронте, вошли пять истребительных, по одному легкобомбардировочному и дальнебомбардировочному и три штурмовых полка — 299-й, 567-й и 568-й шап. А из тринадцати полков 1-й уаг генерал-лейтенанта Ф.</w:t>
      </w:r>
      <w:r w:rsidR="008127F8">
        <w:rPr>
          <w:color w:val="000000" w:themeColor="text1"/>
          <w:sz w:val="16"/>
          <w:szCs w:val="16"/>
        </w:rPr>
        <w:t xml:space="preserve">  </w:t>
      </w:r>
      <w:r w:rsidRPr="008127F8">
        <w:rPr>
          <w:color w:val="000000" w:themeColor="text1"/>
          <w:sz w:val="16"/>
          <w:szCs w:val="16"/>
        </w:rPr>
        <w:t>Г.</w:t>
      </w:r>
      <w:r w:rsidR="008127F8">
        <w:rPr>
          <w:color w:val="000000" w:themeColor="text1"/>
          <w:sz w:val="16"/>
          <w:szCs w:val="16"/>
        </w:rPr>
        <w:t xml:space="preserve">  </w:t>
      </w:r>
      <w:r w:rsidRPr="008127F8">
        <w:rPr>
          <w:color w:val="000000" w:themeColor="text1"/>
          <w:sz w:val="16"/>
          <w:szCs w:val="16"/>
        </w:rPr>
        <w:t>Мичугина, участвовавшей в боях на Волховском фронте, штурмовых было пять — 175, 313, 448, 565 и 569-й шап (19522).</w:t>
      </w:r>
    </w:p>
    <w:p w14:paraId="55F6105A" w14:textId="77777777" w:rsidR="00301306" w:rsidRPr="008127F8" w:rsidRDefault="00301306" w:rsidP="001E0A84">
      <w:pPr>
        <w:pStyle w:val="af"/>
        <w:spacing w:before="0" w:after="0"/>
        <w:jc w:val="both"/>
        <w:textAlignment w:val="baseline"/>
        <w:rPr>
          <w:color w:val="000000" w:themeColor="text1"/>
          <w:sz w:val="16"/>
          <w:szCs w:val="16"/>
        </w:rPr>
      </w:pPr>
    </w:p>
    <w:p w14:paraId="467F23CA" w14:textId="77777777" w:rsidR="00E92EDC" w:rsidRPr="008127F8" w:rsidRDefault="00E92ED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 17 марта 1942 приказами НКО предписывалось сформировать десять так называемых «ударных авиационных групп» (уаг), которые должны были находиться в резерве и в случае необходимости могли быть брошены на нужный участок фронта.</w:t>
      </w:r>
    </w:p>
    <w:p w14:paraId="168CC631" w14:textId="77777777" w:rsidR="00E92EDC" w:rsidRPr="008127F8" w:rsidRDefault="00E92ED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Предполагалось, что приблизительно треть этих групп составят именно Ил</w:t>
      </w:r>
      <w:r w:rsidRPr="008127F8">
        <w:rPr>
          <w:rFonts w:ascii="Times New Roman" w:hAnsi="Times New Roman"/>
          <w:color w:val="000000" w:themeColor="text1"/>
          <w:sz w:val="16"/>
          <w:szCs w:val="16"/>
        </w:rPr>
        <w:noBreakHyphen/>
        <w:t>2. Так, во 2</w:t>
      </w:r>
      <w:r w:rsidRPr="008127F8">
        <w:rPr>
          <w:rFonts w:ascii="Times New Roman" w:hAnsi="Times New Roman"/>
          <w:color w:val="000000" w:themeColor="text1"/>
          <w:sz w:val="16"/>
          <w:szCs w:val="16"/>
        </w:rPr>
        <w:noBreakHyphen/>
        <w:t>ю уаг генерал</w:t>
      </w:r>
      <w:r w:rsidRPr="008127F8">
        <w:rPr>
          <w:rFonts w:ascii="Times New Roman" w:hAnsi="Times New Roman"/>
          <w:color w:val="000000" w:themeColor="text1"/>
          <w:sz w:val="16"/>
          <w:szCs w:val="16"/>
        </w:rPr>
        <w:noBreakHyphen/>
        <w:t>майора Д.Ф. Кондратюка, действовавшую на Северо</w:t>
      </w:r>
      <w:r w:rsidRPr="008127F8">
        <w:rPr>
          <w:rFonts w:ascii="Times New Roman" w:hAnsi="Times New Roman"/>
          <w:color w:val="000000" w:themeColor="text1"/>
          <w:sz w:val="16"/>
          <w:szCs w:val="16"/>
        </w:rPr>
        <w:noBreakHyphen/>
        <w:t>Западном фронте, вошли пять истребительных, по одному легкобомбардировочному и дальнебомбардировочному и три штурмовых полка – 299</w:t>
      </w:r>
      <w:r w:rsidRPr="008127F8">
        <w:rPr>
          <w:rFonts w:ascii="Times New Roman" w:hAnsi="Times New Roman"/>
          <w:color w:val="000000" w:themeColor="text1"/>
          <w:sz w:val="16"/>
          <w:szCs w:val="16"/>
        </w:rPr>
        <w:noBreakHyphen/>
        <w:t>й, 567</w:t>
      </w:r>
      <w:r w:rsidRPr="008127F8">
        <w:rPr>
          <w:rFonts w:ascii="Times New Roman" w:hAnsi="Times New Roman"/>
          <w:color w:val="000000" w:themeColor="text1"/>
          <w:sz w:val="16"/>
          <w:szCs w:val="16"/>
        </w:rPr>
        <w:noBreakHyphen/>
        <w:t>й и 568</w:t>
      </w:r>
      <w:r w:rsidRPr="008127F8">
        <w:rPr>
          <w:rFonts w:ascii="Times New Roman" w:hAnsi="Times New Roman"/>
          <w:color w:val="000000" w:themeColor="text1"/>
          <w:sz w:val="16"/>
          <w:szCs w:val="16"/>
        </w:rPr>
        <w:noBreakHyphen/>
        <w:t>й шап. А из тринадцати полков 1</w:t>
      </w:r>
      <w:r w:rsidRPr="008127F8">
        <w:rPr>
          <w:rFonts w:ascii="Times New Roman" w:hAnsi="Times New Roman"/>
          <w:color w:val="000000" w:themeColor="text1"/>
          <w:sz w:val="16"/>
          <w:szCs w:val="16"/>
        </w:rPr>
        <w:noBreakHyphen/>
        <w:t>й уаг генерал</w:t>
      </w:r>
      <w:r w:rsidRPr="008127F8">
        <w:rPr>
          <w:rFonts w:ascii="Times New Roman" w:hAnsi="Times New Roman"/>
          <w:color w:val="000000" w:themeColor="text1"/>
          <w:sz w:val="16"/>
          <w:szCs w:val="16"/>
        </w:rPr>
        <w:noBreakHyphen/>
        <w:t>лейтенанта Ф.Г. Мичугина, участвовавшей в боях на Волховском фронте, штурмовых было пять – 175, 313, 448, 565 и 569</w:t>
      </w:r>
      <w:r w:rsidRPr="008127F8">
        <w:rPr>
          <w:rFonts w:ascii="Times New Roman" w:hAnsi="Times New Roman"/>
          <w:color w:val="000000" w:themeColor="text1"/>
          <w:sz w:val="16"/>
          <w:szCs w:val="16"/>
        </w:rPr>
        <w:noBreakHyphen/>
        <w:t>й шап.</w:t>
      </w:r>
    </w:p>
    <w:p w14:paraId="319BF60E" w14:textId="77777777" w:rsidR="00E92EDC" w:rsidRPr="008127F8" w:rsidRDefault="00E92ED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сформировали три полноценные уаг. Однако решение об их создании к тому времени уже признали устаревшим благодаря приходу нового начальства (23199).</w:t>
      </w:r>
    </w:p>
    <w:p w14:paraId="473B5007" w14:textId="77777777" w:rsidR="00E92EDC" w:rsidRPr="008127F8" w:rsidRDefault="00E92EDC" w:rsidP="001E0A84">
      <w:pPr>
        <w:spacing w:after="0" w:line="240" w:lineRule="auto"/>
        <w:jc w:val="both"/>
        <w:rPr>
          <w:rFonts w:ascii="Times New Roman" w:hAnsi="Times New Roman"/>
          <w:color w:val="000000" w:themeColor="text1"/>
          <w:sz w:val="16"/>
          <w:szCs w:val="16"/>
        </w:rPr>
      </w:pPr>
    </w:p>
    <w:p w14:paraId="545939C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марта 1942 года Приказом Командующего ВВС для концентра</w:t>
      </w:r>
      <w:r w:rsidRPr="008A2E5A">
        <w:rPr>
          <w:rFonts w:ascii="Times New Roman" w:hAnsi="Times New Roman"/>
          <w:color w:val="0070C0"/>
          <w:sz w:val="16"/>
          <w:szCs w:val="16"/>
        </w:rPr>
        <w:softHyphen/>
        <w:t>ции действий фронтовой авиации и оказа</w:t>
      </w:r>
      <w:r w:rsidRPr="008A2E5A">
        <w:rPr>
          <w:rFonts w:ascii="Times New Roman" w:hAnsi="Times New Roman"/>
          <w:color w:val="0070C0"/>
          <w:sz w:val="16"/>
          <w:szCs w:val="16"/>
        </w:rPr>
        <w:softHyphen/>
        <w:t>ния эффективной поддержки войскам на главных направлениях была сформирова</w:t>
      </w:r>
      <w:r w:rsidRPr="008A2E5A">
        <w:rPr>
          <w:rFonts w:ascii="Times New Roman" w:hAnsi="Times New Roman"/>
          <w:color w:val="0070C0"/>
          <w:sz w:val="16"/>
          <w:szCs w:val="16"/>
        </w:rPr>
        <w:softHyphen/>
        <w:t>на первая ударная группа, в которую наря</w:t>
      </w:r>
      <w:r w:rsidRPr="008A2E5A">
        <w:rPr>
          <w:rFonts w:ascii="Times New Roman" w:hAnsi="Times New Roman"/>
          <w:color w:val="0070C0"/>
          <w:sz w:val="16"/>
          <w:szCs w:val="16"/>
        </w:rPr>
        <w:softHyphen/>
        <w:t>ду с двумя полками на Пе-2, двумя штурмо</w:t>
      </w:r>
      <w:r w:rsidRPr="008A2E5A">
        <w:rPr>
          <w:rFonts w:ascii="Times New Roman" w:hAnsi="Times New Roman"/>
          <w:color w:val="0070C0"/>
          <w:sz w:val="16"/>
          <w:szCs w:val="16"/>
        </w:rPr>
        <w:softHyphen/>
        <w:t>выми и двумя истребительными полками вошли и два полка самолетов Ил-4. В поле</w:t>
      </w:r>
      <w:r w:rsidRPr="008A2E5A">
        <w:rPr>
          <w:rFonts w:ascii="Times New Roman" w:hAnsi="Times New Roman"/>
          <w:color w:val="0070C0"/>
          <w:sz w:val="16"/>
          <w:szCs w:val="16"/>
        </w:rPr>
        <w:softHyphen/>
        <w:t>те на малый радиус они поднимали до 2500 кг бомб — вдвое больше, чем СБ и в три раза больше, чем Пе-2 — и за счет этого планировали усилить огневую мощь деся</w:t>
      </w:r>
      <w:r w:rsidRPr="008A2E5A">
        <w:rPr>
          <w:rFonts w:ascii="Times New Roman" w:hAnsi="Times New Roman"/>
          <w:color w:val="0070C0"/>
          <w:sz w:val="16"/>
          <w:szCs w:val="16"/>
        </w:rPr>
        <w:softHyphen/>
        <w:t>ти таких групп (24139).</w:t>
      </w:r>
    </w:p>
    <w:p w14:paraId="7E0A774F" w14:textId="77777777" w:rsidR="00E9631D" w:rsidRPr="008A2E5A" w:rsidRDefault="00E9631D" w:rsidP="00E9631D">
      <w:pPr>
        <w:spacing w:after="0" w:line="240" w:lineRule="auto"/>
        <w:jc w:val="both"/>
        <w:rPr>
          <w:rFonts w:ascii="Times New Roman" w:hAnsi="Times New Roman"/>
          <w:color w:val="0070C0"/>
          <w:sz w:val="16"/>
          <w:szCs w:val="16"/>
        </w:rPr>
      </w:pPr>
    </w:p>
    <w:p w14:paraId="5BDE32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командующему АДД А.Е.Голованову передали 8 ад ДБА (4827,7).</w:t>
      </w:r>
    </w:p>
    <w:p w14:paraId="7633D3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6A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1457 О прекращении. формирования стрелковых дивизий и бригад в округах, отмене посылки на фронт маршевых пополнений и использовании их только для доукомплектования выводимых с фронта корпусов, дивизий, бригаРГАНИР, Фонд ГКО, д. РГАНИР, Фонд ГКО, д. 24, лл. 160-161 (11012).</w:t>
      </w:r>
    </w:p>
    <w:p w14:paraId="5A7243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752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1458 О сроках вооружения и пунктах сосредоточения дивизий, формируемых по постановлению ГКО № 935 от 22 ноября. 1941 г. РГАНИР, Фонд ГКО, д. 24, лл. 162 (11012).</w:t>
      </w:r>
    </w:p>
    <w:p w14:paraId="043AE7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903B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49F5B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7482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16-20 марта 1942 был пиком битвы </w:t>
      </w:r>
      <w:proofErr w:type="gramStart"/>
      <w:r w:rsidRPr="008127F8">
        <w:rPr>
          <w:rFonts w:ascii="Times New Roman" w:hAnsi="Times New Roman"/>
          <w:color w:val="000000" w:themeColor="text1"/>
          <w:sz w:val="16"/>
          <w:szCs w:val="16"/>
        </w:rPr>
        <w:t>на Атлантике</w:t>
      </w:r>
      <w:proofErr w:type="gramEnd"/>
      <w:r w:rsidRPr="008127F8">
        <w:rPr>
          <w:rFonts w:ascii="Times New Roman" w:hAnsi="Times New Roman"/>
          <w:color w:val="000000" w:themeColor="text1"/>
          <w:sz w:val="16"/>
          <w:szCs w:val="16"/>
        </w:rPr>
        <w:t xml:space="preserve"> и союзники от немецких подлодок потеряли 27 судов (1050).</w:t>
      </w:r>
    </w:p>
    <w:p w14:paraId="10B58F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1334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0589F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E0EB9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вышло Постановление ГКО № 1460 О приспособлении Московского метрополитена под газоубежище для населения города Москвы. (7025, 164-167,168-175).</w:t>
      </w:r>
    </w:p>
    <w:p w14:paraId="69B9EF0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14E6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было принято постановление ГКО № 1460сс «О приспособлении Московского метрополитена под газоубежища для населения Москвы». Согласно ему работы должны были быть закончены к 30 июля. Устрашающие письма о возможной химической атаке получили и горкомитеты обороны в городах Поволжья. Метро здесь не было, поэтому реальными газоубежищами могли стать только штольни в откосах и глубокие бункеры. 19 марта Горьковский комитет обороны обсудил вопрос об обеспечении электромоторами спецстроительства № 74, на последующих заседаниях неоднократно поднималась тема противохимической защиты (11774).</w:t>
      </w:r>
    </w:p>
    <w:p w14:paraId="45E20E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9AF2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1D229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9BE4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16 марта 1942 года было получено:</w:t>
      </w:r>
    </w:p>
    <w:p w14:paraId="559773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ЕГО ПРЕВОСХОДИТЕЛЬСТВУ ИОСИФУ СТАЛИНУ, ПРЕДСЕДАТЕЛЮ СОВЕТА НАРОДНЫХ КОМИССАРОВ СССР</w:t>
      </w:r>
    </w:p>
    <w:p w14:paraId="2E3806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Уважаемый г-н Сталин,</w:t>
      </w:r>
    </w:p>
    <w:p w14:paraId="366D34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Г-н Гарриман вручил мне Ваше любезное письмо, датированное 3 октября 1941 года </w:t>
      </w:r>
      <w:r w:rsidRPr="008127F8">
        <w:rPr>
          <w:rFonts w:ascii="Times New Roman" w:hAnsi="Times New Roman"/>
          <w:color w:val="000000" w:themeColor="text1"/>
          <w:sz w:val="16"/>
          <w:szCs w:val="16"/>
          <w:vertAlign w:val="superscript"/>
        </w:rPr>
        <w:t>10</w:t>
      </w:r>
      <w:r w:rsidRPr="008127F8">
        <w:rPr>
          <w:rFonts w:ascii="Times New Roman" w:hAnsi="Times New Roman"/>
          <w:color w:val="000000" w:themeColor="text1"/>
          <w:sz w:val="16"/>
          <w:szCs w:val="16"/>
        </w:rPr>
        <w:t>. Я высоко ценю Ваше сообщение.</w:t>
      </w:r>
    </w:p>
    <w:p w14:paraId="168578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Вам уже отправлена телеграмма с сообщением о том, что мы распространяем на Советский Союз действие закона о займе и аренде.</w:t>
      </w:r>
    </w:p>
    <w:p w14:paraId="196EEB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хочу воспользоваться этим случаем, чтобы снова заверить Вас, что мы приложим все возможные усилия к доставке этих поставок на Ваш фронт.</w:t>
      </w:r>
    </w:p>
    <w:p w14:paraId="4F49A6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Решимость Ваших армий и народа нанести поражение гитлеризму вдохновляет свободные народы всего мира.</w:t>
      </w:r>
    </w:p>
    <w:p w14:paraId="577281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Искренне. Ваш</w:t>
      </w:r>
    </w:p>
    <w:p w14:paraId="5EDFF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Франклин Д. РУЗВЕЛЬТ (7430).</w:t>
      </w:r>
    </w:p>
    <w:p w14:paraId="5185AE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FFD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марта 1942 г. посольство США в СССР сообщило в Народный комиссариат иностранных дел СССР по телефону, что это письмо Рузвельта было отправлено из Вашингтона в Москву в ноябре 1941 г. американской дипломатической почтой через Тегеран. Почта задержалась в пути, и письмо было доставлено в Куйбышев, где тогда временно находилось посольство США, лишь 15 марта 1942 г. (7430).</w:t>
      </w:r>
    </w:p>
    <w:p w14:paraId="7EFD5A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592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марта 1942 года И.В.С. подписал директиву Ставки Верховного главнокомандования командующему войсками Дальневосточного фронта о задачах и способах действий в случае внезапного нападения Японии, в разделе о задачах военно-воздушных сил фронта, армий и Тихоокеанского флота, в которой говорилось: </w:t>
      </w:r>
    </w:p>
    <w:p w14:paraId="7D1115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действий по Японским островам командующему войсками Дальневосточного фронта из состава фронта к 25 марта 1942 г. передать ТОФу один авиационный дальнебомбардировочный полк в количестве 30 самолетов ДБ-3". </w:t>
      </w:r>
    </w:p>
    <w:p w14:paraId="136737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Получалось, что вместо бригады в два-три авиаполка, специальной подготовкой будет заниматься только один полк. Однако дальше в директиве говорилось о применении более значительных сил: </w:t>
      </w:r>
    </w:p>
    <w:p w14:paraId="79D720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"Всей дальнебомбардировочной авиацией Тихоокеанского флота производить налеты группами по 8-10 самолетов на Токио, Иокосуку, Майдзуру и Оминото с целью разрушения промышленных объектов, военно-морских и воздушных баз". </w:t>
      </w:r>
    </w:p>
    <w:p w14:paraId="4D0D95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То, что налеты на Токио будут куда более удачными, чем налеты на Берлин, вскоре на опыте доказали американцы. Советский военный разведчик Михаил Иванов, работавший в Токио под дипломатическим прикрытием, вспоминал о первом налете на японскую столицу: </w:t>
      </w:r>
    </w:p>
    <w:p w14:paraId="1D338E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событий, взбудораживших всех нас, но в еще большей степени японцев, явился первый налет на Японию американских самолетов. На этой смелой операции ВВС США, организованной весной 1942 г., хочется остановиться несколько подробнее. В середине апреля два авианосца США "Хорнет" и "Энтерпрайз", имея на борту палубные бомбардировщики Б-25, подошли из центральной части Тихого океана к восточным берегам Японии. Еще во время перехода от острова Мидуэй авианосцы были замечены японским дозорным судном. По его сигналу навстречу авианосцам были срочно высланы патрульные самолеты, которые, однако, не смогли их обнаружить. В свою очередь, командир авианосной группы, встревоженный появлением дозорного судна и опасаясь срыва операции, немедленно отправил отряд из 16 бомбардировщиков под командованием подполковника Дулиттла с задачей нанести внезапный удар по ряду городов Японии. Дерзкая операция удалась. Самолеты на большой высоте пересекли отделявшее их от японского побережья водное пространство, вторглись в воздушную сферу Японии и на бреющем полете совершили налет на Токио, Иокогаму, военно-морскую базу Йокосука, города Нагоя и Кобэ, после чего удалились в направлении Китая.</w:t>
      </w:r>
    </w:p>
    <w:p w14:paraId="5DF536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апреля, около 14 часов, во время обеденного перерыва, находясь на территории посольства, мы услышали гул авиационных моторов. Поднявшись спешно на крышу посольского здания, мы обнаружили летевшие со стороны Тихого океана на высоте 300-400 м с большой скоростью американские самолеты. Присутствовавший на крыше военно-воздушный атташе полковник М. А. Сергеечев в бинокль следил за самолетами и попутно комментировал их действия. Самолеты сбросили небольшие бомбы и обстреляли из пулеметов порт и заводы района Токио — Кавасаки. В воздух не поднялся ни один японский истребитель. Да и зенитный огонь был открыт лишь после того, как самолеты уже удалились на запад. В тот же день вечерние газеты Токио сообщили об этом налете. Молчать, надо полагать, не имело смысла: уж слишком много было очевидцев. Сообщения газет переполняли негодование и злоба. В них утверждалось, что воздушные разбойники Америки якобы горько поплатились за дерзкое посягательство на "священную землю Ямато": девять самолетов из двенадцати, писали газеты, нашли себе могилу. Однако вечерняя сводка радио из Сан-Франциско внесла существенные коррективы в сообщения о результатах налета. В ней указывалось, что только один из шестнадцати самолетов не вернулся на базу. Как потом стало известно, действительно один самолет Б-25 сел на аэродроме в Наньчане (Китай), который вскоре занят японскими войсками, захватившими самолет с экипажем... Благодаря налету выяснилось, что Япония не готова к обороне от ударов с воздуха". </w:t>
      </w:r>
    </w:p>
    <w:p w14:paraId="232EFF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Получалось, что авиация Тихоокеанского флота сможет наносить разрушительные удары по Японии не только ночью, но и днем, не неся особых потерь. Так что при серьезной поддержке союзников СССР мог решить все проблемы на Дальнем Востоке и лишить Японию и советского сырья, и сырья из Маньчжурии в ходе одного мощного наступления, сопровождающегося авиаударами. </w:t>
      </w:r>
    </w:p>
    <w:p w14:paraId="5D1E1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Существует версия, подкрепленная различными косвенными доказательствами, что неожиданное для японцев "отражение японского нападения" намечалось на лето 1942 года. Однако неудачные операции против вермахта на советско-германском фронте поставили крест на наступательных планах Ставки. Адмирал Кузнецов, вспоминая события 1942 года, писал: </w:t>
      </w:r>
    </w:p>
    <w:p w14:paraId="6584D3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разгрома немцев под Москвой, после огромных потерь, которые фашистские войска понесли в 1941 году на всем фронте от Мурманска до Севастополя, военная обстановка действительно представлялась многообещающей. Первые месяцы 1942 года мы прожили в надежде, что вскоре Красная Армия перейдет в наступление по всему фронту. Для моряков эти надежды были связаны прежде всего с Крымом, освобождение которого, как мы считали, начнется с наступлением наших войск от Керчи и Севастополя... Мы не предполагали тогда, что очень скоро обстановка на фронте, особенно на юге, в районе Керчи и Севастополя, станет для нас чрезвычайно тяжелой, что решающий этап в обеспечении коренного перелома в ходе войны произойдет только после Сталинградской битвы и сражения на Курской дуге, что план наступления придется пока отложить: весной и летом, собрав большие силы, враг нанесет ряд ударов по нашему фронту, стремясь прорваться на Кавказ и к Волге. События 1942 года показали, что при более осторожной и точной оценке сил противника, учете нехватки техники в нашей армии в начале 1942 года и уровня подготовки войск нам следовало планировать наступательные операции в более скромных масштабах и тщательнее готовиться к тому, чтобы измотать врага в оборонительных боях, если он предпримет наступление. Чего бывает достаточно для обороны, может оказаться мало на случай наступления!" (12066).</w:t>
      </w:r>
    </w:p>
    <w:p w14:paraId="33A036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7F0F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6F306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4192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вышел приказ НКАП N 217сс об исследовании самолета Пе-2 со специальным взлетно-посадочным приспособлением конструкции Надирадзе и Ефремова (1544,55).</w:t>
      </w:r>
    </w:p>
    <w:p w14:paraId="429610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5D870" w14:textId="77777777" w:rsidR="009D206F" w:rsidRPr="008127F8" w:rsidRDefault="009D20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вышел новый приказ НКАП № 217сс по шасси на воздушной подушке для самолета Пе-2. Работу включили в план опытного самолетостроения на 1942 г., выделив 700 000 руб. и установив но вый срок сдачи на Госиспытания к 1 июля. Переоборудованный Пе-2 № 390103 резво бегал по полосе, но так и не взлетел — на «подушку» тратилось 250 л. с. мощности, и она вызывала нерасчетное обтекание крыла. Приказом по НКАП от 18 января 1943 г. работы по шасси на воздушной подушке для Пе-2 были прекращены (22827).</w:t>
      </w:r>
    </w:p>
    <w:p w14:paraId="32BD1A61" w14:textId="77777777" w:rsidR="009D206F" w:rsidRPr="008127F8" w:rsidRDefault="009D206F" w:rsidP="001E0A84">
      <w:pPr>
        <w:spacing w:after="0" w:line="240" w:lineRule="auto"/>
        <w:jc w:val="both"/>
        <w:rPr>
          <w:rFonts w:ascii="Times New Roman" w:hAnsi="Times New Roman"/>
          <w:color w:val="000000" w:themeColor="text1"/>
          <w:sz w:val="16"/>
          <w:szCs w:val="16"/>
        </w:rPr>
      </w:pPr>
    </w:p>
    <w:p w14:paraId="121336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приказом НКАП № 215сс/ М-168 в соответствии с постановлением ГКО № 1445сс от 14 марта 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06226C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71B365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0A3F73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3F504A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064CE1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4E8330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19F08F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3CAFDD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41C1E8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46FF01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3FDC27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7BEA46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65ACE5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4EC29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6300E5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347021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Горький; г. Ленинград</w:t>
      </w:r>
    </w:p>
    <w:p w14:paraId="4CCFB2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194100 г. Ленинград, г. Санкт-Петербург ул. Политехническая, 13/15 тел. 247-50-39, 247-42-33 koavia.com</w:t>
      </w:r>
    </w:p>
    <w:p w14:paraId="5705F1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ОКБ-45, Филиал ОКБ-500, ОКБ завода № 466 МАП, ОКБ-466 МАП</w:t>
      </w:r>
    </w:p>
    <w:p w14:paraId="19FBBD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9B421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3E7115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135391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08062F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(1959-63 г.)- А.С. Мевиус (10776).</w:t>
      </w:r>
    </w:p>
    <w:p w14:paraId="705402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6B6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приказом № 215сс/ М-168 в соответствии с пост. ГКО № 1445сс от 14.03.1942 г. на базе авиамоторного производства ГАЗа вновь образован завод по производству авиационных моторов № 466 при ЗГУ НКАП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Производство танковых моторов в 1942 г. прекращено и передано НКТП.</w:t>
      </w:r>
    </w:p>
    <w:p w14:paraId="6B028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5BB2D0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75F620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7E51A7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1DA33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19421E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188B85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планировалось производство моторов У-5 для комбайнов.</w:t>
      </w:r>
    </w:p>
    <w:p w14:paraId="3B9E95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4DDCB0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26774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w:t>
      </w:r>
      <w:r w:rsidRPr="008127F8">
        <w:rPr>
          <w:rFonts w:ascii="Times New Roman" w:hAnsi="Times New Roman"/>
          <w:color w:val="000000" w:themeColor="text1"/>
          <w:sz w:val="16"/>
          <w:szCs w:val="16"/>
          <w:lang w:val="en-US"/>
        </w:rPr>
        <w:t>MAII</w:t>
      </w:r>
      <w:r w:rsidRPr="008127F8">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48497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45502A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1958-91</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производство ЖРД и бортовых источников питания для ЗУР и МБР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Исаева, А.С. Мевиуса, С.П. Изотова, А.Д. Конопатова.</w:t>
      </w:r>
    </w:p>
    <w:p w14:paraId="2F779B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на заводе действовал филиал МКБ «Красная звезда» (начальник (1968-69 г.)- А.С. Мевиус).</w:t>
      </w:r>
    </w:p>
    <w:p w14:paraId="1A8A79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1998 г. при заводе образовано Авиационное КБ.</w:t>
      </w:r>
    </w:p>
    <w:p w14:paraId="4D54B8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46333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3707BF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(1941 г.)- Н.А. Доллежаль, (10.1945 г.-)- М.А. Колосов, (1946-47 г.)- </w:t>
      </w:r>
      <w:proofErr w:type="gramStart"/>
      <w:r w:rsidRPr="008127F8">
        <w:rPr>
          <w:rFonts w:ascii="Times New Roman" w:hAnsi="Times New Roman"/>
          <w:color w:val="000000" w:themeColor="text1"/>
          <w:sz w:val="16"/>
          <w:szCs w:val="16"/>
        </w:rPr>
        <w:t>В</w:t>
      </w:r>
      <w:r w:rsidRPr="008127F8">
        <w:rPr>
          <w:rFonts w:ascii="Times New Roman" w:hAnsi="Times New Roman"/>
          <w:iCs/>
          <w:color w:val="000000" w:themeColor="text1"/>
          <w:sz w:val="16"/>
          <w:szCs w:val="16"/>
        </w:rPr>
        <w:t xml:space="preserve"> .</w:t>
      </w:r>
      <w:proofErr w:type="gramEnd"/>
      <w:r w:rsidRPr="008127F8">
        <w:rPr>
          <w:rFonts w:ascii="Times New Roman" w:hAnsi="Times New Roman"/>
          <w:iCs/>
          <w:color w:val="000000" w:themeColor="text1"/>
          <w:sz w:val="16"/>
          <w:szCs w:val="16"/>
        </w:rPr>
        <w:t>Я.</w:t>
      </w:r>
      <w:r w:rsidRPr="008127F8">
        <w:rPr>
          <w:rFonts w:ascii="Times New Roman" w:hAnsi="Times New Roman"/>
          <w:color w:val="000000" w:themeColor="text1"/>
          <w:sz w:val="16"/>
          <w:szCs w:val="16"/>
        </w:rPr>
        <w:t xml:space="preserve"> Климов (одновременно- гл. конструктор ОКБ завода № 26).</w:t>
      </w:r>
    </w:p>
    <w:p w14:paraId="3F3E04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493322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49C2D8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(1942-46 г.)- Н.А. Левченко.</w:t>
      </w:r>
    </w:p>
    <w:p w14:paraId="52F63B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двигатели:</w:t>
      </w:r>
      <w:r w:rsidRPr="008127F8">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4B63A5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8127F8">
        <w:rPr>
          <w:rFonts w:ascii="Times New Roman" w:hAnsi="Times New Roman"/>
          <w:iCs/>
          <w:color w:val="000000" w:themeColor="text1"/>
          <w:sz w:val="16"/>
          <w:szCs w:val="16"/>
        </w:rPr>
        <w:t xml:space="preserve"> ЖРД:</w:t>
      </w:r>
      <w:r w:rsidRPr="008127F8">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8127F8">
        <w:rPr>
          <w:rFonts w:ascii="Times New Roman" w:hAnsi="Times New Roman"/>
          <w:color w:val="000000" w:themeColor="text1"/>
          <w:sz w:val="16"/>
          <w:szCs w:val="16"/>
          <w:vertAlign w:val="superscript"/>
        </w:rPr>
        <w:t>69</w:t>
      </w:r>
    </w:p>
    <w:p w14:paraId="48C41D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ОКБ-45, Филиал ОКБ-500, ОКБ завода № 466 МАП, ОКБ-466 МАП</w:t>
      </w:r>
    </w:p>
    <w:p w14:paraId="26A1A2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21E2A7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0F31F5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0A9E54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770F9A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(20.04.1959-12.1962 г.)- А.С. Мевиус.</w:t>
      </w:r>
    </w:p>
    <w:p w14:paraId="2C9DCF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(1956-59 г.)- А.С. Мевиус.</w:t>
      </w:r>
    </w:p>
    <w:p w14:paraId="3D28E0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Авиационное КБ</w:t>
      </w:r>
    </w:p>
    <w:p w14:paraId="642C08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Образовано в 1998 г. при заводе «Красный Октябрь».</w:t>
      </w:r>
    </w:p>
    <w:p w14:paraId="085FD8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5FF01D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F3D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17 марта 1942 года в НКАП были:</w:t>
      </w:r>
    </w:p>
    <w:p w14:paraId="72C804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292 – Саратов</w:t>
      </w:r>
    </w:p>
    <w:p w14:paraId="7E6879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39 - Иркутск</w:t>
      </w:r>
    </w:p>
    <w:p w14:paraId="08FD97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20 - Омск</w:t>
      </w:r>
    </w:p>
    <w:p w14:paraId="03B669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23 - Москва</w:t>
      </w:r>
    </w:p>
    <w:p w14:paraId="080673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135 в Молотове постановлением ГКО от 29 января 1942 года расформирован</w:t>
      </w:r>
    </w:p>
    <w:p w14:paraId="7A9964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477 - Красноярск</w:t>
      </w:r>
    </w:p>
    <w:p w14:paraId="69A6A9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 Павлово на Оке (9151).</w:t>
      </w:r>
    </w:p>
    <w:p w14:paraId="39C0DE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B6A8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7A211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80D4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года по приказу начальника штаба артиллерии Ленинградского фронта полковника Одинцова трофейная 280-мм немецкая мина была передана на АНИОП (Ржевский полигон) (6403, 42).</w:t>
      </w:r>
    </w:p>
    <w:p w14:paraId="4C5AC5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A74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17 марта по 24 марта 1942 года специалисты АНИОПа провели исследования трофейной германской 280-мм фугасной мины. В них было определено, что мина конструктивно состояла из головной части, реактивной части (цилиндра зарядной каморы), взрывателя и днища-сопла. Вес трофейной мины составлял 82 кг, головная часть весила 60 кг. Реактивная часть имела вес 22 кг, из них заряд - 5 кг. В мине в качестве взрывчатого вещества был применен тротил, размещенный методом заливки, весом в 50 кг, взрыватель - 0,68 кг и детонатор -0,13 кг. Было известно, что на вооружении армии Германии имеется также 320-мм зажигательный реактивный снаряд с однотипной реактивной частью. На основании проведенных исследований и анализа результатов боевого применения немецких 280-мм и 320-мм мин специалисты АНИОПа пришли к выводу о целесообразности наличия на вооружении Красной Армии подобных реактивных снарядов (6403, 42).</w:t>
      </w:r>
    </w:p>
    <w:p w14:paraId="306B3F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18E56"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марта 1942 г. Отчет комиссии ГКО СССР о проверке качества танков КВ Кировского завода в Челябинске</w:t>
      </w:r>
    </w:p>
    <w:p w14:paraId="583E5E7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BBB0AB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октябрь 1941 г. — февраль 1942 г. на Кировском заводе в г. Челябинске была организована работа по обеспечению качества выпускаемых танков КВ на вне достигнутого качества их на Кировском заводе в г. Ленинграде.</w:t>
      </w:r>
    </w:p>
    <w:p w14:paraId="0197089E"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Техническая документация на производство танков КВ после переезда Кировского завода из Ленинграда в г. Челябинск до настоящего времени не приведена в надлежащий </w:t>
      </w:r>
      <w:proofErr w:type="gramStart"/>
      <w:r w:rsidRPr="008A2E5A">
        <w:rPr>
          <w:rFonts w:ascii="Times New Roman" w:hAnsi="Times New Roman"/>
          <w:color w:val="0070C0"/>
          <w:sz w:val="16"/>
          <w:szCs w:val="16"/>
        </w:rPr>
        <w:t>порядок..</w:t>
      </w:r>
      <w:proofErr w:type="gramEnd"/>
      <w:r w:rsidRPr="008A2E5A">
        <w:rPr>
          <w:rFonts w:ascii="Times New Roman" w:hAnsi="Times New Roman"/>
          <w:color w:val="0070C0"/>
          <w:sz w:val="16"/>
          <w:szCs w:val="16"/>
        </w:rPr>
        <w:t xml:space="preserve"> Рабочие чертежи и технические условия в ряде случаев не сверены и уточнены. Организация массового производства танков КВ на заводе не обеспечена «стоящего времени утвержденными технологическими процессами, и в значительной мере отсутствует технологическая оснастка. Контроль за качеством изготовления отдельных деталей и узлов поставлен слабо. Периодической проверки качества отдельных узлов танка КВ методом испытания на машине, как правило, на Кировском заводе Челябинске не проводилось.</w:t>
      </w:r>
    </w:p>
    <w:p w14:paraId="1A324BE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это привело к тому, что качество выпускавшихся танков КВ за последние месяцев снизилось3*, а часть выпущенных заводом танков КВ оказалась недобросовестнной, что выявилось в боевой обстановке на фронте. (Случаи выхода танков из строя по техническим причинам на Крымском фронте, на Юго-Западном фронте и Северо-Западном фронте.)</w:t>
      </w:r>
    </w:p>
    <w:p w14:paraId="169585E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Ослабление борьбы за качество танков КВ и выпуск недоброкачественных танков на фронт произошли по вине руководителей Кировского завода4* (быв. директор — Зальцман, гл. инженер, ныне и. о. директора — т. Махонин, замдиректора по танковому производству — т. Ланцберг, гл. конструктор завода — т. Котин), не принявших обходимых практических мер на заводе к выпуску доброкачественных танков5*, и вине Наркомтанкопрома, не занимавшегося контролем за качеством выпускаемых танков и не поставившего своевременно остро этого вопроса перед заводом.</w:t>
      </w:r>
    </w:p>
    <w:p w14:paraId="013DBBE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Снижение качества танков КВ определялось некачественностью отдельных его узлов, в особенности следующих:</w:t>
      </w:r>
    </w:p>
    <w:p w14:paraId="385D6C3C"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Коробка перемены передач. Этот узел в танке КВ является наиболее науженной частью танка, а отдельные детали (шестерни постоянного зацепления медленной и первой скорости) даже несколько перегруженными, поэтому греется особо тщательно следить за качеством применяемого металла, за точностью исполнения в производстве конструкции деталей и за технологией изготовления.</w:t>
      </w:r>
    </w:p>
    <w:p w14:paraId="730E128C"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причине преступно-халатного отношения к порученному делу ряда работников Челябинского завода (замдиректора завода по танковому производству т. Ланцберг, зам. главного конструктора т. Духов, гл. инженер завода по металлургическому производству т. Веденов, металлург по танковому производству т. Цуканов) этого сделано не было. В результате при изготовлении ряда деталей коробки перемены</w:t>
      </w:r>
    </w:p>
    <w:p w14:paraId="7DEA8343"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передач применяли металл пониженного качества, работали по устаревшим чертежам, технология литья картера не соответствовала применявшейся на Кировском заводе в г. Ленинграде.</w:t>
      </w:r>
    </w:p>
    <w:p w14:paraId="28BA8BAA"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Например: а) усиленная конструкция картеров коробки перемены передач (дет[али] 12-1,12-2) ребрами, применяемая на Кировском заводе в Ленинграде с июля месяца 1941 г., не была внедрена в производство на заводе в г. Челябинске до последнего времени, несмотря на то что чертеж заводом был получен еще в августе 1941 г.;</w:t>
      </w:r>
    </w:p>
    <w:p w14:paraId="178CC90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для отливки картеров на Кировском заводе в Ленинграде применяли сплав АСИС, а в Челябинске без проверки [он] был заменен на сплав АК-13 с более низким пределом текучести; в) в чертеже наиболее нагруженных шестерен (дет[али] 12-322, 12-27, 12-355) значилась до последнего времени сталь 12Х2Н4А, которая по содержанию углерода и по твердости не соответствовала применявшейся стали на эти шестерни на Кировском заводе в Ленинграде. Там сталь была по качеству выше и получалась путем отбора плавок у себя на заводе. На Кировском заводе в г. Челябинске до последнего времени делали шестерни из стали 12Х2Н4А.</w:t>
      </w:r>
    </w:p>
    <w:p w14:paraId="0F0819D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теперь заводом приняты меры к обеспечению производства усиленных картеров по чертежам с ребрами жесткости и усилены требования к качеству металл для картеров. Для наиболее нагруженных шестерен введена сталь марки 18ХНВА, обладающая более высокими качествами по сравнению со сталью, применявшейся до сих пор заводом.</w:t>
      </w:r>
    </w:p>
    <w:p w14:paraId="44D2E9FF"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Главный фрикцион. Узел главный фрикцион является весьма нагруженным механизмом, работоспособность которого в основном зависит от качества фрикционных дисков и их материала. Для танка КВ опытным путем был проверен и отобран как показавший удовлетворительные качества в работе диск феррадо с латунной оплеткой В технических же условиях на материал дисков, утвержденных зам. главного конструктора т. Духовым, предусмотрен также диск феррадо с красномедной оплеткой, который опытным путем никогда не был проверен на танке КВ. В ноябре-декабре 1941г. и в январе 1942 г. заводом было выпущено до 170 танков КВ со стальными дисками и дисками, имеющими красномедную оплетку. По стальным дискам заводом хотя и были проведены некоторые опытные работы, но явно недостаточные для того, чтобы решить вопрос о постановке их в танк, и тем более в массовом количестве* 2*. В результате машины с дисками, имеющими красномедную оплетку и со стальными, быстро на фронт выходили из строя. Широкое применение стальных дисков было утверждено приказов быв. директора Кировского завода т. Зальцманом.</w:t>
      </w:r>
    </w:p>
    <w:p w14:paraId="6A67C6A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настоящее время заводом восстановлен выпуск танков с дисками феррадо, имеющими латунную оплетку, и приняты меры к замене всех других дисков </w:t>
      </w:r>
      <w:proofErr w:type="gramStart"/>
      <w:r w:rsidRPr="008A2E5A">
        <w:rPr>
          <w:rFonts w:ascii="Times New Roman" w:hAnsi="Times New Roman"/>
          <w:color w:val="0070C0"/>
          <w:sz w:val="16"/>
          <w:szCs w:val="16"/>
        </w:rPr>
        <w:t>на машинам</w:t>
      </w:r>
      <w:proofErr w:type="gramEnd"/>
      <w:r w:rsidRPr="008A2E5A">
        <w:rPr>
          <w:rFonts w:ascii="Times New Roman" w:hAnsi="Times New Roman"/>
          <w:color w:val="0070C0"/>
          <w:sz w:val="16"/>
          <w:szCs w:val="16"/>
        </w:rPr>
        <w:t xml:space="preserve"> находящихся в воинских частях.</w:t>
      </w:r>
    </w:p>
    <w:p w14:paraId="2A3C1D6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Бортовой фрикцион. По материалам комиссии известны 9 случаев скручивания ведущего валика бортфрикциона. Причиной этих поломок является некачественное изготовление валиков в механической обработке и несоответствие качества металла.</w:t>
      </w:r>
    </w:p>
    <w:p w14:paraId="5F3FD4A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Заводом этот дефект уже устранен. В настоящее время применяется сталь более высокого качества (марка 45ХНМФА) и увеличен радиус закругления в проточке </w:t>
      </w:r>
      <w:proofErr w:type="gramStart"/>
      <w:r w:rsidRPr="008A2E5A">
        <w:rPr>
          <w:rFonts w:ascii="Times New Roman" w:hAnsi="Times New Roman"/>
          <w:color w:val="0070C0"/>
          <w:sz w:val="16"/>
          <w:szCs w:val="16"/>
        </w:rPr>
        <w:t>валика</w:t>
      </w:r>
      <w:proofErr w:type="gramEnd"/>
      <w:r w:rsidRPr="008A2E5A">
        <w:rPr>
          <w:rFonts w:ascii="Times New Roman" w:hAnsi="Times New Roman"/>
          <w:color w:val="0070C0"/>
          <w:sz w:val="16"/>
          <w:szCs w:val="16"/>
        </w:rPr>
        <w:t xml:space="preserve"> где, как правило, и происходило его скручивание.</w:t>
      </w:r>
    </w:p>
    <w:p w14:paraId="2ECCD56B"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Дизель-мотор В-2К. Самыми существенными дефектами в дизеле В-2К являются два дефекта: а) прорыв газов через прокладку головки блока; б) выпадание седел клапанов. Конструкция и технология прокладок и седел клапанов на Кировском заводе остались неизменными с завода № 75. Оба эти дефекта известны заводу уже несколько лет. Прорыв газов через прокладку зависит, при данной конструкции газового замка, исключительно от качества материала, идущего на прокладку, и от соблюдения технологии. Металл и технология на Кировском заводе применяются те же, что ли и на заводе № 75. Отдельные нарушения технологии на заводе имеют место, на них руководители дизельного производства реагируют быстро. Кардинальное решение вопроса устранения пробивания газа через прокладку лежит в конструкции.</w:t>
      </w:r>
    </w:p>
    <w:p w14:paraId="032434CE"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вопрос мог быть давно уже решен, но его не решает главный конструктор дизельного производства т. Трашутин, который считает, что можно получить надежый газовый стык и при существующей конструкции. Однако имеющийся дефект продолжает оставаться в моторе несколько лет. Заводом сейчас приняты дополнительные меры к усилению контроля за качеством прокладок и за постановкой их на моторе. Также приступили и к конструктивному улучшению этого места в дизельмоторе.</w:t>
      </w:r>
    </w:p>
    <w:p w14:paraId="1F0A688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Выпадание седел клапанов зависит в основном от температурного состояния дизеля во время работы, а это определяется интенсивностью его охлаждения. Случаи выпадания седел клапанов в дизелях на танке КВ более частые, чем в дизелях на танке Т-34, потому что система охлаждения в танке КВ менее надежная, чем в Т-34, емкость радиатора в танке КВ мала, а уровень воды в радиаторе ниже верхнего уровня головки дизеля, и потому при работе головка дизеля перегревается, что и влечет за собой выпадание седел клапанов. Заводом было принято правильное решение еще в г. Ленинграде по улучшению системы охлаждения мотора за счет постановки расширительного бачка для воды на 20-25 л, но оно было на Кировском заводе в г. Челябинске ликвидировано по [тем] мотивам, что трудно получить надмоторную </w:t>
      </w:r>
      <w:proofErr w:type="gramStart"/>
      <w:r w:rsidRPr="008A2E5A">
        <w:rPr>
          <w:rFonts w:ascii="Times New Roman" w:hAnsi="Times New Roman"/>
          <w:color w:val="0070C0"/>
          <w:sz w:val="16"/>
          <w:szCs w:val="16"/>
        </w:rPr>
        <w:t>крышу  корпусе</w:t>
      </w:r>
      <w:proofErr w:type="gramEnd"/>
      <w:r w:rsidRPr="008A2E5A">
        <w:rPr>
          <w:rFonts w:ascii="Times New Roman" w:hAnsi="Times New Roman"/>
          <w:color w:val="0070C0"/>
          <w:sz w:val="16"/>
          <w:szCs w:val="16"/>
        </w:rPr>
        <w:t xml:space="preserve"> танка КВ с выштамповкой. В настоящее время заводом принято решение вновь ввести в производство с конца текущего месяца установку расширительного 1чка емкостью на 20 л, чем будет безусловно улучшено охлаждение дизель-мотора при работе в танке и сократит случаи выпадания седел клапанов. </w:t>
      </w:r>
      <w:proofErr w:type="gramStart"/>
      <w:r w:rsidRPr="008A2E5A">
        <w:rPr>
          <w:rFonts w:ascii="Times New Roman" w:hAnsi="Times New Roman"/>
          <w:color w:val="0070C0"/>
          <w:sz w:val="16"/>
          <w:szCs w:val="16"/>
        </w:rPr>
        <w:t>Кроме этого</w:t>
      </w:r>
      <w:proofErr w:type="gramEnd"/>
      <w:r w:rsidRPr="008A2E5A">
        <w:rPr>
          <w:rFonts w:ascii="Times New Roman" w:hAnsi="Times New Roman"/>
          <w:color w:val="0070C0"/>
          <w:sz w:val="16"/>
          <w:szCs w:val="16"/>
        </w:rPr>
        <w:t xml:space="preserve"> приято решение по примеру завода № 76 производить завальцовку седел в головке двигателя, что предохранит также от их выпадания. Для полного устранения этого зфекта заводом намечены к проведению испытания новой усиленной схемы охлаждения мотора.</w:t>
      </w:r>
    </w:p>
    <w:p w14:paraId="6D58C48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 технического контроля на заводе до последнего времени не обеспечивал выполнения возложенных на него обязанностей по контролю в производстве и по борьбе за качество выпускаемой заводом продукции (танки, моторы). Руководство завода длительное время не принимало мер к усилению аппарата ОТК квалифицироанными кадрами и к оснащению контрольного аппарата инструментами и чертежами, практика же частой смены начальников ОТК завода (с сентября 1941 г. по январь 1942 г. сменено было три начальника ОТК завода), при одновременной слабости его низового звена, не способствовала усилению ОТК, а ослабляла его.</w:t>
      </w:r>
    </w:p>
    <w:p w14:paraId="01787CD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Наличие серьезных дефектов в танках КВ и выпуск недоброкачественных танков на фронт являются также результатом преступно-халатного отношения к своим прямым обязанностям приемного аппарата ГАБТУ КА на Кировском заводе (районный инженер ГАБТУ КА — т. Шпитанов). Аппарат военной приемки на Кировском заводе в г. Челябинске не имел собственного лица на заводе в вопросе последовательной борьбы за качество выпускаемой продукции заводом.</w:t>
      </w:r>
    </w:p>
    <w:p w14:paraId="0658DE2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Комиссией совместно с директором завода намечен план проведения первоочередных мероприятий по устранению выявленных дефектов в танке КВ и по обеспечению качества танков КВ по установленным техническим условиям, с внесением в них необходимых уточнений и исправлений. Часть из намеченных мероприятий уже осуществлена в период пребывания комиссии на Кировском заводе.</w:t>
      </w:r>
    </w:p>
    <w:p w14:paraId="1A4F468D"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6E52600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Комиссия считает установленным факт выпуска Кировским заводом в г. Челябинске в период октябрь 1941 г. — февраль 1942 г. недоброкачественных танков КВ на фронт (количество недоброкачественных танков установить не имели возможности).</w:t>
      </w:r>
    </w:p>
    <w:p w14:paraId="693ACE14"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Основными виновниками ухудшения качества танков КВ и выпуска недоброкачественных танков на фронт являются: т. Зальцман — быв. директор Кировского завода: т. Махонин — гл. инженер, ныне и. о. директора Кировского завода; т. Ланцберг — замдиректора Кировского завода по танковому производству; т. Котин — гл. конструктор Кировского завода; т. Веденов — гл. инженер по металлургическому производству; т. Цуканов — металлург по танковому производству; т. Духов — зам. главного конструктора завода; т. Шпитанов — районный инженер ГАБТУ КА на Кировском заводе. Из них; т. Ланцберг, Духов, Веденов, Шпитанов и Цуканов как непосредственно отвечающие за производство и за качество танков должны быть привлечены к строгой ответственности.</w:t>
      </w:r>
    </w:p>
    <w:p w14:paraId="1000CA15"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Наркомтанкопром вопросами борьбы за качество танков занимается весьма слабо.</w:t>
      </w:r>
    </w:p>
    <w:p w14:paraId="095541ED"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Выпускаемые танки КВ в настоящее время, при соблюдении технических условий и при надлежащем контроле, имеют удовлетворительное качество.</w:t>
      </w:r>
    </w:p>
    <w:p w14:paraId="26CEE0B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 танках, находящихся в ремонте, и тех, которые будут в течение месяца прибывать в ремонт, необходимо заменить коробки перемены передач на новые, выпускаемые теперь Кировским заводом. Возможность изготовить в течение месяца 300 шт. коробок перемены передач, сверх идущих на выпуск новых танков, завод имеет и принял к этому практические меры.</w:t>
      </w:r>
    </w:p>
    <w:p w14:paraId="698F881F"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Комиссия считает необходимым обязать Наркомтанкопром и Кировский завод:</w:t>
      </w:r>
    </w:p>
    <w:p w14:paraId="4265FD94"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ускорить проведение опытных работ и внедрить в производство 8-скоростную коробку перемены передач. Решение этого вопроса резко улучшит тактико-техническую характеристику танка КВ при одновременном повышении надежности его в работе;</w:t>
      </w:r>
    </w:p>
    <w:p w14:paraId="5DBDFB5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провести работы по улучшению системы охлаждения в танке КВ;</w:t>
      </w:r>
    </w:p>
    <w:p w14:paraId="5C5F497C"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разработать и внедрить в производство улучшенную конструкцию головного стыка в дизель-моторе для устранения причин прорыва газов через прокладку головки блока; г) наряду с проведением работ по устранению дефектов танка КВ ускорить внедрение в танковом производстве твердой технологической дисциплины, усилить работу конструкторского бюpo по быстрейшей доработке технической документации и по экспериментальным работам.</w:t>
      </w:r>
    </w:p>
    <w:p w14:paraId="4E930BF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Комиссия считает необходимым через месяц вновь вернуться к проверке качества танков КВ и проведения намеченных мероприятий Кировским заводом.</w:t>
      </w:r>
    </w:p>
    <w:p w14:paraId="7A3DD39F"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комиссии П. Зернов</w:t>
      </w:r>
    </w:p>
    <w:p w14:paraId="30EC680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Члены комиссии: Афонин, Гинзбург, Переверзев, Морозов</w:t>
      </w:r>
    </w:p>
    <w:p w14:paraId="785EE845"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Направлено председателю ГКО СССР И. В. Сталину и заместителю председателя ГКО СССР М. Молотову.</w:t>
      </w:r>
    </w:p>
    <w:p w14:paraId="6C018D35"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389. Л. 46-54. Подлинник (23752).</w:t>
      </w:r>
    </w:p>
    <w:p w14:paraId="12932B0F" w14:textId="77777777" w:rsidR="00E9631D" w:rsidRPr="008A2E5A" w:rsidRDefault="00E9631D" w:rsidP="00E9631D">
      <w:pPr>
        <w:spacing w:after="0" w:line="240" w:lineRule="auto"/>
        <w:jc w:val="both"/>
        <w:rPr>
          <w:rFonts w:ascii="Times New Roman" w:hAnsi="Times New Roman"/>
          <w:color w:val="0070C0"/>
          <w:sz w:val="16"/>
          <w:szCs w:val="16"/>
        </w:rPr>
      </w:pPr>
    </w:p>
    <w:p w14:paraId="0493D70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марта 1942 г. Отчет комиссии ГКО СССР о проверке качества танков КВ Кировского завода в Челябинске</w:t>
      </w:r>
    </w:p>
    <w:p w14:paraId="36ABBF1E"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75CFAA8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период октябрь 1941 г. — февраль 1942 г. на Кировском заводе в г. </w:t>
      </w:r>
      <w:proofErr w:type="gramStart"/>
      <w:r w:rsidRPr="008A2E5A">
        <w:rPr>
          <w:rFonts w:ascii="Times New Roman" w:hAnsi="Times New Roman"/>
          <w:color w:val="0070C0"/>
          <w:sz w:val="16"/>
          <w:szCs w:val="16"/>
        </w:rPr>
        <w:t>Челябинске &gt;ыла</w:t>
      </w:r>
      <w:proofErr w:type="gramEnd"/>
      <w:r w:rsidRPr="008A2E5A">
        <w:rPr>
          <w:rFonts w:ascii="Times New Roman" w:hAnsi="Times New Roman"/>
          <w:color w:val="0070C0"/>
          <w:sz w:val="16"/>
          <w:szCs w:val="16"/>
        </w:rPr>
        <w:t xml:space="preserve"> организована работа по обеспечению качества выпускаемых танков КВ на вне достигнутого качества их на Кировском заводе в г. Ленинграде.</w:t>
      </w:r>
    </w:p>
    <w:p w14:paraId="3ACCF114"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Техническая документация на производство танков КВ после переезда Кировскоавода из Ленинграда в г. Челябинск до настоящего времени не приведена в надлеций порядок1 2*. Рабочие чертежи и технические условия в ряде случаев не сверены и уточнены. Организация массового производства танков КВ на заводе не обеспечена «стоящего времени утвержденными технологическими процессами, и в значительмере отсутствует технологическая оснастка. Контроль за качеством изготовления отдельных деталей и узлов поставлен слабо. Периодической проверки качества отдельных узлов танка КВ методом испытания на машине, как правило, на Кировском заводе Челябинске не проводилось.</w:t>
      </w:r>
    </w:p>
    <w:p w14:paraId="63495A6A"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это привело к тому, что качество выпускавшихся танков КВ за последние месяцев снизилось, а часть выпущенных заводом танков КВ оказалась недоброкачественной, что выявилось в боевой обстановке на фронте. (Случаи выхода танков из строя по техническим причинам на Крымском фронте, на Юго-Западном фронте Северо-Западном фронте.)</w:t>
      </w:r>
    </w:p>
    <w:p w14:paraId="101E7FA9"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Ослабление борьбы за качество танков КВ и выпуск недоброкачественных танков на фронт произошли по вине руководителей Кировского завода (быв. директор — Зальцман, гл. инженер, ныне и. о. директора — т. Махонин, замдиректора по танколу производству — т. Ланцберг, гл. конструктор завода — т. Котин), не принявших обходимых практических мер на заводе к выпуску доброкачественных танков, и вине Наркомтанкопрома, не занимавшегося контролем за качеством выпускаемых танков и не поставившего своевременно остро этого вопроса перед заводом.</w:t>
      </w:r>
    </w:p>
    <w:p w14:paraId="7D14202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Снижение качества танков КВ определялось некачественностью отдельных его узлов, в особенности следующих:</w:t>
      </w:r>
    </w:p>
    <w:p w14:paraId="0821728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Коробка перемены передач. Этот узел в танке КВ является наиболее науженной частью танка, а отдельные детали (шестерни постоянного зацепления медленной и первой скорости) даже несколько перегруженными, поэтому греется особо тщательно следить за качеством применяемого металла, за точностью полнения в производстве конструкции деталей и за технологией изготовления.</w:t>
      </w:r>
    </w:p>
    <w:p w14:paraId="06324A2E"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причине преступно-халатного отношения к порученному делу ряда работников Кировского завода (замдиректора завода по танковому производству т. Ланцберг, м. главного конструктора т. Духов, гл. инженер завода по металлургическому производству т. Веденов, металлург по танковому производству т. Цуканов) этого сделано не было. В результате при изготовлении ряда деталей коробки перемены передач применяли металл пониженного качества, работали по устаревшим чертежам, технология литья картера не соответствовала применявшейся на Кировском заводе в г. Ленинграде.</w:t>
      </w:r>
    </w:p>
    <w:p w14:paraId="52548A9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Например: а) усиленная конструкция картеров коробки перемены передач (дет[али] 12-1,12-2) ребрами, применяемая на Кировском заводе в Ленинграде с июля месяца 1941 г., не была внедрена в производство на заводе в г. Челябинске до последнего времени, несмотря на то что чертеж заводом был получен еще в августе 1941 г.;</w:t>
      </w:r>
    </w:p>
    <w:p w14:paraId="1055D8CA"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для отливки картеров на Кировском заводе в Ленинграде применяли сплав АСИС, а в Челябинске без проверки [он] был заменен на сплав АК-13 с более низким пределом текучести; в) в чертеже наиболее нагруженных шестерен (дет[али] 12-322, 12-27, 12-355) значилась до последнего времени сталь 12Х2Н4А, которая по содержанию углерода и по твердости не соответствовала применявшейся стали на эти шестерни на Кировском заводе в Ленинграде. Там сталь была по качеству выше и получалась путем отбора плавок у себя на заводе. На Кировском заводе в г. Челябинске до последнего времени делали шестерни из стали 12Х2Н4А.</w:t>
      </w:r>
    </w:p>
    <w:p w14:paraId="486A829E"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теперь заводом приняты меры к обеспечению производства усиленных картеров по чертежам с ребрами жесткости и усилены требования к качеству металл для картеров. Для наиболее нагруженных шестерен введена сталь марки 18ХНВА, обладающая более высокими качествами по сравнению со сталью, применявшейся до сих пор заводом.</w:t>
      </w:r>
    </w:p>
    <w:p w14:paraId="3921BAF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Главный фрикцион. Узел главный фрикцион является весьма нагруженным механизмом, работоспособность которого в основном зависит от качества фрикционных дисков и их материала. Для танка КВ опытным путем был проверен и отобран как показавший удовлетворительные качества в работе диск феррадо с латунной оплеткой В технических же условиях на материал дисков, утвержденных зам. главного конструктора т. Духовым, предусмотрен также диск феррадо с красномедной оплеткой, который опытным путем никогда не был проверен на танке КВ. В ноябре-декабре 1941г. и в январе 1942 г. заводом было выпущено до 170 танков КВ со стальными дисками и дисками, имеющими красномедную оплетку. По стальным дискам заводом хотя и были проведены некоторые опытные работы, но явно недостаточные для того, чтобы решит вопрос о постановке их в танк, и тем более в массовом количестве* 2*. В результате машины с дисками, имеющими красномедную оплетку и со стальными, быстро на фронте выходили из строя. Широкое применение стальных дисков было утверждено приказов быв. директора Кировского завода т. Зальцманом.</w:t>
      </w:r>
    </w:p>
    <w:p w14:paraId="5E0D9DB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заводом восстановлен выпуск танков с дисками феррадо, имеющими латунную оплетку, и приняты меры к замене всех других дисков на машинах, находящихся в воинских частях.</w:t>
      </w:r>
    </w:p>
    <w:p w14:paraId="4B678FF4"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Бортовой фрикцион. По материалам комиссии известны 9 случаев скручивания ведущего валика бортфрикциона. Причиной этих поломок является некачественное изготовление валиков в механической обработке и несоответствие качества металла.</w:t>
      </w:r>
    </w:p>
    <w:p w14:paraId="5F0A58C2"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Заводом этот дефект уже устранен. В настоящее время применяется сталь более высокого качества (марка 45ХНМФА) и увеличен радиус закругления в проточке </w:t>
      </w:r>
      <w:proofErr w:type="gramStart"/>
      <w:r w:rsidRPr="008A2E5A">
        <w:rPr>
          <w:rFonts w:ascii="Times New Roman" w:hAnsi="Times New Roman"/>
          <w:color w:val="0070C0"/>
          <w:sz w:val="16"/>
          <w:szCs w:val="16"/>
        </w:rPr>
        <w:t>валика</w:t>
      </w:r>
      <w:proofErr w:type="gramEnd"/>
      <w:r w:rsidRPr="008A2E5A">
        <w:rPr>
          <w:rFonts w:ascii="Times New Roman" w:hAnsi="Times New Roman"/>
          <w:color w:val="0070C0"/>
          <w:sz w:val="16"/>
          <w:szCs w:val="16"/>
        </w:rPr>
        <w:t xml:space="preserve"> где, как правило, и происходило его скручивание.</w:t>
      </w:r>
    </w:p>
    <w:p w14:paraId="2AFBF18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 Дизель-мотор В-2К. Самыми существенными дефектами в дизеле В-2К являются два дефекта: а) прорыв газов через прокладку головки блока; б) выпадание седел клапанов. Конструкция и технология прокладок и седел клапанов на Кировском заводе остались неизменными с завода № 75. Оба эти дефекта известны заводу уже несколько лет. Прорыв газов через прокладку зависит, при данной конструкции газового замка, исключительно от качества материала, идущего на прокладку, и от соблюдения технологии. Металл и технология на Кировском заводе применяются те же, что ли и на заводе № 75. Отдельные нарушения технологии на заводе имеют </w:t>
      </w:r>
      <w:r w:rsidRPr="008A2E5A">
        <w:rPr>
          <w:rFonts w:ascii="Times New Roman" w:hAnsi="Times New Roman"/>
          <w:color w:val="0070C0"/>
          <w:sz w:val="16"/>
          <w:szCs w:val="16"/>
        </w:rPr>
        <w:lastRenderedPageBreak/>
        <w:t>место, нa них руководители дизельного производства реагируют быстро. Кардинальное решение вопроса устранения пробивания газа через прокладку лежит в конструкции.</w:t>
      </w:r>
    </w:p>
    <w:p w14:paraId="1E6CB25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вопрос мог быть давно уже решен, но его не решает главный конструктор зельного производства т. Трашутин, который считает, что можно получить надежный газовый стык и при существующей конструкции. Однако имеющийся дефект продолжает оставаться в моторе несколько лет. Заводом сейчас приняты дополнипьные меры к усилению контроля за качеством прокладок и за постановкой их на моторе. Также приступили и к конструктивному улучшению этого места в дизельмоторе.</w:t>
      </w:r>
    </w:p>
    <w:p w14:paraId="4B026A3A"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Выпадание седел клапанов зависит в основном от температурного состояния дизеля во время работы, а это определяется интенсивностью его охлаждения. Случаи выпадания седел клапанов в дизелях на танке КВ более частые, чем в дизелях на танке Т-34, потому что система охлаждения в танке КВ менее надежная, чем в Т-34, емкость радиатора в танке КВ мала, а уровень воды в радиаторе ниже верхнего уровня головки дизеля, и потому при работе головка дизеля перегревается, что и влечет собой выпадание седел клапанов. Заводом было принято правильное решение еще г. Ленинграде по улучшению системы охлаждения мотора за счет постановки расирительного бачка для воды на 20-25 л, но оно было на Кировском заводе в г. Челябиншске ликвидировано по [тем] мотивам, что трудно получить надмоторную крышу</w:t>
      </w:r>
    </w:p>
    <w:p w14:paraId="36B21CDF"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корпусе танка КВ с выштамповкой. В настоящее время заводом принято решение</w:t>
      </w:r>
    </w:p>
    <w:p w14:paraId="6A0A5CC5"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ювь ввести в производство с конца текущего месяца установку расширительного</w:t>
      </w:r>
    </w:p>
    <w:p w14:paraId="2A95CF8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1чка емкостью на 20 л, чем будет безусловно улучшено охлаждение дизель-мотора</w:t>
      </w:r>
    </w:p>
    <w:p w14:paraId="50473F5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эи работе в танке и сократит случаи выпадания седел клапанов. Кроме этого приято </w:t>
      </w:r>
    </w:p>
    <w:p w14:paraId="5855C984"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решение по примеру завода № 76 производить завальцовку седел в головке</w:t>
      </w:r>
    </w:p>
    <w:p w14:paraId="6E20AFC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зигателя, что предохранит также от их выпадания. Для полного устранения этого</w:t>
      </w:r>
    </w:p>
    <w:p w14:paraId="77047BE5"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зфекта заводом намечены к проведению испытания новой усиленной схемы охлажзния </w:t>
      </w:r>
    </w:p>
    <w:p w14:paraId="0212044B"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мотора3*.</w:t>
      </w:r>
    </w:p>
    <w:p w14:paraId="083B6DB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 технического контроля на заводе до последнего времени не обеспечивал выполнения возложенных на него обязанностей по контролю в производстве и по борьбе за качество выпускаемой заводом продукции (танки, моторы). Руководство завода длительное время не принимало мер к усилению аппарата ОТК квалифицироанными кадрами и к оснащению контрольного аппарата инструментами и чертежами, практика же частой смены начальников ОТК завода (с сентября 1941 г. по январь 1942 г. сменено было три начальника ОТК завода), при одновременной слабости его низового звена, не способствовала усилению ОТК, а ослабляла его.</w:t>
      </w:r>
    </w:p>
    <w:p w14:paraId="6AECCF5C"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Наличие серьезных дефектов в танках КВ и выпуск недоброкачественных танков на фронт являются также результатом преступно-халатного отношения к своим прямым обязанностям приемного аппарата ГАБТУ КА на Кировском заводе (районный инженер ГАБТУ КА — т. Шпитанов). Аппарат военной приемки на Кировском заводе в г. Челябинске не имел собственного лица на заводе в вопросе последовательной борьбы </w:t>
      </w:r>
    </w:p>
    <w:p w14:paraId="19DBF10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качество выпускаемой продукции заводом.</w:t>
      </w:r>
    </w:p>
    <w:p w14:paraId="25B96FFB"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Комиссией совместно с директором завода намечен план проведения первоочередных мероприятий по устранению выявленных дефектов в танке КВ и по обеспечению качества танков КВ по установленным техническим условиям, с внесением в них необходимых уточнений и исправлений. Часть из намеченных мероприятий уже осуществлена в период пребывания комиссии на Кировском заводе.</w:t>
      </w:r>
    </w:p>
    <w:p w14:paraId="5609C80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w:t>
      </w:r>
    </w:p>
    <w:p w14:paraId="504A7D58"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Комиссия считает установленным факт выпуска Кировским заводом в г. Челябинске в период октябрь 1941 г. — февраль 1942 г. недоброкачественных танков КВ на фронт (количество недоброкачественных танков установить не имели возможности.</w:t>
      </w:r>
    </w:p>
    <w:p w14:paraId="54B76E89"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Основными виновниками ухудшения качества танков КВ и выпуска недоброкачественных танков на фронт являются: т. Зальцман — быв. директор Кировского завода: т. Махонин — гл. инженер, ныне и. о. директора Кировского завода; т. Ланцберг — замдиректора Кировского завода по танковому производству; т. Котин — гл. конструктор Кировского завода; т. Веденов — гл. инженер по металлургическому производству; т. Цуканов — металлург по танковому производству; т. Духов — зам. главного конструктора завода; т. Шпитанов — районный инженер ГАБТУ КА на Кировском заводе. Из них; т. Ланцберг, Духов, Веденов, Шпитанов и Цуканов как непосредственно отвечающие за производство и за качество танков должны быть привлечены к строггой ответственности.</w:t>
      </w:r>
    </w:p>
    <w:p w14:paraId="1C18683F"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Наркомтанкопром вопросами борьбы за качество танков занимается весьма слабо.</w:t>
      </w:r>
    </w:p>
    <w:p w14:paraId="6F63F0A1"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Выпускаемые танки КВ в настоящее время, при соблюдении технических уеловий и при надлежащем контроле, имеют удовлетворительное качество.</w:t>
      </w:r>
    </w:p>
    <w:p w14:paraId="68135615"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 танках, находящихся в ремонте, и тех, которые будут в течение месяца прибывать в ремонт, необходимо заменить коробки перемены передач на новые, выпускаемые теперь Кировским заводом. Возможность изготовить в течение месяца 300 шт. коробок перемены передач, сверх идущих на выпуск новых танков, завод имеет и принял к этому практические меры.</w:t>
      </w:r>
    </w:p>
    <w:p w14:paraId="48DA5EBC"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Комиссия считает необходимым обязать Наркомтанкопром и Кировский завод:</w:t>
      </w:r>
    </w:p>
    <w:p w14:paraId="7C713CD7"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ускорить проведение опытных работ и внедрить в производство 8-скоростную коробку перемены передач. Решение этого вопроса резко улучшит тактико-техническую характеристику танка КВ при одновременном повышении надежности его в работе;</w:t>
      </w:r>
    </w:p>
    <w:p w14:paraId="1F380F8D"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провести работы по улучшению системы охлаждения в танке КВ;</w:t>
      </w:r>
    </w:p>
    <w:p w14:paraId="44B9490C"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разработать и внедрить в производство улучшенную конструкцию головного стыка в дизель-моторе для устранения причин прорыва газов через прокладку головки блока; г) наряду с проведением работ по устранению дефектов танка КВ ускорить внедрение в танковом производстве твердой технологической дисциплины, усилить работу конструкторского отдела по быстрейшей доработке технической документации и по экспериментальным рпботам.</w:t>
      </w:r>
    </w:p>
    <w:p w14:paraId="13342D60"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Комиссия считает необходимым через месяц вновь вернуться к проверке качества танков КВ и проведения намеченных мероприятий Кировским заводом.</w:t>
      </w:r>
    </w:p>
    <w:p w14:paraId="53BD7173"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комиссии П. Зернов</w:t>
      </w:r>
    </w:p>
    <w:p w14:paraId="25B61DBF"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Члены комиссии: Афонин, Гинзбург, Переверзев, Морозов</w:t>
      </w:r>
    </w:p>
    <w:p w14:paraId="56A0017A"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389. Л. 46-54. Подлинник (24067).</w:t>
      </w:r>
    </w:p>
    <w:p w14:paraId="53657E09" w14:textId="77777777" w:rsidR="00E9631D" w:rsidRPr="008A2E5A" w:rsidRDefault="00E9631D" w:rsidP="00E9631D">
      <w:pPr>
        <w:spacing w:after="0" w:line="240" w:lineRule="auto"/>
        <w:jc w:val="both"/>
        <w:rPr>
          <w:rFonts w:ascii="Times New Roman" w:hAnsi="Times New Roman"/>
          <w:color w:val="0070C0"/>
          <w:sz w:val="16"/>
          <w:szCs w:val="16"/>
        </w:rPr>
      </w:pPr>
    </w:p>
    <w:p w14:paraId="1D75E0F5"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w:t>
      </w:r>
    </w:p>
    <w:p w14:paraId="4E43D113" w14:textId="7AE9F868"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105 – 106</w:t>
      </w:r>
      <w:r w:rsidR="008127F8">
        <w:rPr>
          <w:rFonts w:ascii="Times New Roman" w:hAnsi="Times New Roman"/>
          <w:color w:val="000000" w:themeColor="text1"/>
          <w:sz w:val="16"/>
          <w:szCs w:val="16"/>
        </w:rPr>
        <w:t xml:space="preserve">  </w:t>
      </w:r>
    </w:p>
    <w:p w14:paraId="1AB896FA" w14:textId="78B7EBB4"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3684BCD4"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1D4CD9D9"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 ТАНКОВОЙ ПРОМЫШЛЕННОСТИ</w:t>
      </w:r>
    </w:p>
    <w:p w14:paraId="284E2297"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272-Мсс</w:t>
      </w:r>
    </w:p>
    <w:p w14:paraId="5891BCA4"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"17" марта 1942 г.</w:t>
      </w:r>
    </w:p>
    <w:p w14:paraId="69FECBD9" w14:textId="4DA80F6A"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от 16 марта 1942 г. за № 1459сс о плане выпуска танков КВ, ПРИКАЗЫВАЮ:</w:t>
      </w:r>
      <w:r w:rsidR="008127F8">
        <w:rPr>
          <w:rFonts w:ascii="Times New Roman" w:hAnsi="Times New Roman"/>
          <w:color w:val="000000" w:themeColor="text1"/>
          <w:sz w:val="16"/>
          <w:szCs w:val="16"/>
        </w:rPr>
        <w:t xml:space="preserve">  </w:t>
      </w:r>
    </w:p>
    <w:p w14:paraId="6EDF2FBA" w14:textId="74C9E2E4"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 изменение ранее изданных приказов, утвердить на март месяц с.г. план выпуска танков КВ на Кировском заводе в 280 шт., по следующему графику:</w:t>
      </w:r>
      <w:r w:rsidR="008127F8">
        <w:rPr>
          <w:rFonts w:ascii="Times New Roman" w:hAnsi="Times New Roman"/>
          <w:color w:val="000000" w:themeColor="text1"/>
          <w:sz w:val="16"/>
          <w:szCs w:val="16"/>
        </w:rPr>
        <w:t xml:space="preserve">  </w:t>
      </w:r>
    </w:p>
    <w:p w14:paraId="0336E1FE" w14:textId="554B93F8"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связи с эти уменьшить план выпуска корпусов для танков КВ на Уралмашзаводе на март месяц до 280 шт.</w:t>
      </w:r>
      <w:r w:rsidR="008127F8">
        <w:rPr>
          <w:rFonts w:ascii="Times New Roman" w:hAnsi="Times New Roman"/>
          <w:color w:val="000000" w:themeColor="text1"/>
          <w:sz w:val="16"/>
          <w:szCs w:val="16"/>
        </w:rPr>
        <w:t xml:space="preserve">  </w:t>
      </w:r>
    </w:p>
    <w:p w14:paraId="6B8884A5" w14:textId="5B0142BE"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план выпуска танков КВ на Кировском заводе:</w:t>
      </w:r>
      <w:r w:rsidR="008127F8">
        <w:rPr>
          <w:rFonts w:ascii="Times New Roman" w:hAnsi="Times New Roman"/>
          <w:color w:val="000000" w:themeColor="text1"/>
          <w:sz w:val="16"/>
          <w:szCs w:val="16"/>
        </w:rPr>
        <w:t xml:space="preserve">  </w:t>
      </w:r>
    </w:p>
    <w:p w14:paraId="6F5590B2" w14:textId="3C979A80"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апрель месяц – 280 шт. с ежесуточной сдачей 10 шт. в день;</w:t>
      </w:r>
      <w:r w:rsidR="008127F8">
        <w:rPr>
          <w:rFonts w:ascii="Times New Roman" w:hAnsi="Times New Roman"/>
          <w:color w:val="000000" w:themeColor="text1"/>
          <w:sz w:val="16"/>
          <w:szCs w:val="16"/>
        </w:rPr>
        <w:t xml:space="preserve">  </w:t>
      </w:r>
    </w:p>
    <w:p w14:paraId="409CFD04" w14:textId="19B2AF4B"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май месяц – 300 штук;</w:t>
      </w:r>
      <w:r w:rsidR="008127F8">
        <w:rPr>
          <w:rFonts w:ascii="Times New Roman" w:hAnsi="Times New Roman"/>
          <w:color w:val="000000" w:themeColor="text1"/>
          <w:sz w:val="16"/>
          <w:szCs w:val="16"/>
        </w:rPr>
        <w:t xml:space="preserve">  </w:t>
      </w:r>
    </w:p>
    <w:p w14:paraId="61A36223" w14:textId="2B5AB1F9"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 июнь месяц – 320 штук.</w:t>
      </w:r>
      <w:r w:rsidR="008127F8">
        <w:rPr>
          <w:rFonts w:ascii="Times New Roman" w:hAnsi="Times New Roman"/>
          <w:color w:val="000000" w:themeColor="text1"/>
          <w:sz w:val="16"/>
          <w:szCs w:val="16"/>
        </w:rPr>
        <w:t xml:space="preserve">  </w:t>
      </w:r>
    </w:p>
    <w:p w14:paraId="53F8B0D4" w14:textId="7B27BF05"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план выпуска корпусов танков КВ и Т-34 на Уралмашзаводе:</w:t>
      </w:r>
      <w:r w:rsidR="008127F8">
        <w:rPr>
          <w:rFonts w:ascii="Times New Roman" w:hAnsi="Times New Roman"/>
          <w:color w:val="000000" w:themeColor="text1"/>
          <w:sz w:val="16"/>
          <w:szCs w:val="16"/>
        </w:rPr>
        <w:t xml:space="preserve">  </w:t>
      </w:r>
    </w:p>
    <w:p w14:paraId="06A4A63C" w14:textId="061D390C"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апрель месяц – корпусов танков КВ – 230 шт., корпусов танков Т-34 – 75 шт.</w:t>
      </w:r>
      <w:r w:rsidR="008127F8">
        <w:rPr>
          <w:rFonts w:ascii="Times New Roman" w:hAnsi="Times New Roman"/>
          <w:color w:val="000000" w:themeColor="text1"/>
          <w:sz w:val="16"/>
          <w:szCs w:val="16"/>
        </w:rPr>
        <w:t xml:space="preserve">  </w:t>
      </w:r>
    </w:p>
    <w:p w14:paraId="758A10E1" w14:textId="7EECD4EB"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корпусов танков Т-34 начать с 10 апреля по следующему ежесуточному графику:</w:t>
      </w:r>
      <w:r w:rsidR="008127F8">
        <w:rPr>
          <w:rFonts w:ascii="Times New Roman" w:hAnsi="Times New Roman"/>
          <w:color w:val="000000" w:themeColor="text1"/>
          <w:sz w:val="16"/>
          <w:szCs w:val="16"/>
        </w:rPr>
        <w:t xml:space="preserve">  </w:t>
      </w:r>
    </w:p>
    <w:p w14:paraId="4CB673B6" w14:textId="4E2240C6"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май месяц – корпусов танков КВ – 230 шт., корпусов танков Т-34 – 125 шт.</w:t>
      </w:r>
      <w:r w:rsidR="008127F8">
        <w:rPr>
          <w:rFonts w:ascii="Times New Roman" w:hAnsi="Times New Roman"/>
          <w:color w:val="000000" w:themeColor="text1"/>
          <w:sz w:val="16"/>
          <w:szCs w:val="16"/>
        </w:rPr>
        <w:t xml:space="preserve">  </w:t>
      </w:r>
    </w:p>
    <w:p w14:paraId="0E81DD38" w14:textId="2E6766BF"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июнь месяц – корпусов танков КВ – 230 шт., корпусов танков Т-34 – 125 шт.</w:t>
      </w:r>
      <w:r w:rsidR="008127F8">
        <w:rPr>
          <w:rFonts w:ascii="Times New Roman" w:hAnsi="Times New Roman"/>
          <w:color w:val="000000" w:themeColor="text1"/>
          <w:sz w:val="16"/>
          <w:szCs w:val="16"/>
        </w:rPr>
        <w:t xml:space="preserve">  </w:t>
      </w:r>
    </w:p>
    <w:p w14:paraId="2710677D" w14:textId="7BCE24F6"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Уралмашзавода т. Музрукову немедленно приступить к подготовке производства корпусов танков Т-34 и обеспечить их поставку Сталинградскому тракторному заводу в количествах и сроки, установленные в п. 4.</w:t>
      </w:r>
      <w:r w:rsidR="008127F8">
        <w:rPr>
          <w:rFonts w:ascii="Times New Roman" w:hAnsi="Times New Roman"/>
          <w:color w:val="000000" w:themeColor="text1"/>
          <w:sz w:val="16"/>
          <w:szCs w:val="16"/>
        </w:rPr>
        <w:t xml:space="preserve">  </w:t>
      </w:r>
    </w:p>
    <w:p w14:paraId="3B5EFE74" w14:textId="23AA694E"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завода № 183 т. Зальцман выдать Уралмашзаводу всю техническую документацию на корпус танка Т-34 и оказать необходимую техническую помощь в освоении производства корпусов.</w:t>
      </w:r>
      <w:r w:rsidR="008127F8">
        <w:rPr>
          <w:rFonts w:ascii="Times New Roman" w:hAnsi="Times New Roman"/>
          <w:color w:val="000000" w:themeColor="text1"/>
          <w:sz w:val="16"/>
          <w:szCs w:val="16"/>
        </w:rPr>
        <w:t xml:space="preserve">  </w:t>
      </w:r>
    </w:p>
    <w:p w14:paraId="46546C07"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Моему заместителю т. Щербакову срочно обеспечить занарядку необходимого количества бронелиста для корпусов танка Т-34 для Уралмашзавода.</w:t>
      </w:r>
    </w:p>
    <w:p w14:paraId="2FC111C0"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1CD2B7FC"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5AE91217" w14:textId="77777777" w:rsidR="00301306" w:rsidRPr="008127F8" w:rsidRDefault="0030130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(18601).</w:t>
      </w:r>
    </w:p>
    <w:p w14:paraId="3A67EA80" w14:textId="77777777" w:rsidR="00301306" w:rsidRPr="008127F8" w:rsidRDefault="00301306" w:rsidP="001E0A84">
      <w:pPr>
        <w:spacing w:after="0" w:line="240" w:lineRule="auto"/>
        <w:jc w:val="both"/>
        <w:rPr>
          <w:rFonts w:ascii="Times New Roman" w:hAnsi="Times New Roman"/>
          <w:color w:val="000000" w:themeColor="text1"/>
          <w:sz w:val="16"/>
          <w:szCs w:val="16"/>
        </w:rPr>
      </w:pPr>
    </w:p>
    <w:p w14:paraId="3F9C0AC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была подготовлена ДОКЛАДНАЯ ЗАПИСКА НАЧАЛЬНИКА ГАБТУ КА В СНК СССР О ПРОИЗВОДСТВЕ ОГНЕМЕТНЫХ ТАНКОВ «КВ-8»</w:t>
      </w:r>
    </w:p>
    <w:p w14:paraId="6056BC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Постановлением Государственного Комитета Обороны Союза ССР за № 11 Юсе от 6.01.1942 го</w:t>
      </w:r>
      <w:r w:rsidRPr="008127F8">
        <w:rPr>
          <w:rFonts w:ascii="Times New Roman" w:hAnsi="Times New Roman"/>
          <w:color w:val="000000" w:themeColor="text1"/>
          <w:sz w:val="16"/>
          <w:szCs w:val="16"/>
        </w:rPr>
        <w:softHyphen/>
        <w:t>да был принят на вооружение Красной Армии огнеметный танк «КВ-8».</w:t>
      </w:r>
    </w:p>
    <w:p w14:paraId="7A8A61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Поставку «КВ-8» должен производить Кировский завод в следующих количествах:</w:t>
      </w:r>
    </w:p>
    <w:p w14:paraId="29CC48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- 10 штук и в феврале - 50 штук.</w:t>
      </w:r>
    </w:p>
    <w:p w14:paraId="1D06CD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 январе месяце не было сдано ни одного огнеметного танка «КВ-8», а в феврале сдано только 2 танка «КВ-8».</w:t>
      </w:r>
    </w:p>
    <w:p w14:paraId="28F6BC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Кировском заводе даже не имеется полного количества огнеметов для выполнения этого за</w:t>
      </w:r>
      <w:r w:rsidRPr="008127F8">
        <w:rPr>
          <w:rFonts w:ascii="Times New Roman" w:hAnsi="Times New Roman"/>
          <w:color w:val="000000" w:themeColor="text1"/>
          <w:sz w:val="16"/>
          <w:szCs w:val="16"/>
        </w:rPr>
        <w:softHyphen/>
        <w:t>дания, т.к. завод № 222 работает плохо и еще не развернул производство огнеметов.</w:t>
      </w:r>
    </w:p>
    <w:p w14:paraId="1CB30F7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завод не имеет гальванической и термической мастерских, литейной для ковкого чугуна, аппаратов для автогенной сварки, кислорода и т.д.</w:t>
      </w:r>
    </w:p>
    <w:p w14:paraId="1C648D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станочного оборудования завода, металл, заготовки, топливо и строительный материал с железнодорожной ветки ст. Тогузак, Южно-Уральской железной дороги на завод не вывезены и с наступлением весенней распутицы завод окажется еще в более тяжелом положении.</w:t>
      </w:r>
    </w:p>
    <w:p w14:paraId="5894BEA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вышеизложенном мною поставлен в известность народный комиссар танковой промышлен</w:t>
      </w:r>
      <w:r w:rsidRPr="008127F8">
        <w:rPr>
          <w:rFonts w:ascii="Times New Roman" w:hAnsi="Times New Roman"/>
          <w:color w:val="000000" w:themeColor="text1"/>
          <w:sz w:val="16"/>
          <w:szCs w:val="16"/>
        </w:rPr>
        <w:softHyphen/>
        <w:t>ности т. Малышев.</w:t>
      </w:r>
    </w:p>
    <w:p w14:paraId="5D6359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указаний Наркомтанкопрому о принятии мер по обеспечению выпуска танков «КВ-8».</w:t>
      </w:r>
    </w:p>
    <w:p w14:paraId="4779B3D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22F618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561D743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633. Л. 178. Копия (11211).</w:t>
      </w:r>
    </w:p>
    <w:p w14:paraId="42FF89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530C5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была подготовлена СПРАВКА РЭУ ГАБТУ КА В СЕКРЕТАРИАТ СНК СССР О РЕМОНТНЫХ СРЕДСТВАХ ДЛЯ ТРОФЕЙНЫХ ТАНКОВ, АВТОМАШИН И ТЯГАЧЕЙ</w:t>
      </w:r>
    </w:p>
    <w:p w14:paraId="6D0E58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ремонта иностранных танков, в том числе и трофейных, ГАБТУ КА организована в Моск</w:t>
      </w:r>
      <w:r w:rsidRPr="008127F8">
        <w:rPr>
          <w:rFonts w:ascii="Times New Roman" w:hAnsi="Times New Roman"/>
          <w:color w:val="000000" w:themeColor="text1"/>
          <w:sz w:val="16"/>
          <w:szCs w:val="16"/>
        </w:rPr>
        <w:softHyphen/>
        <w:t>ве рембаза № 82. По производственной мощности эта рембаза способна ремонтировать в месяц:</w:t>
      </w:r>
    </w:p>
    <w:p w14:paraId="5A6BC4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английских танков МК-2 и МК-3 до 80 единиц;</w:t>
      </w:r>
    </w:p>
    <w:p w14:paraId="7366E71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германских танков Т-1, Т-2, чехословацких и других мелких до 20 единиц;</w:t>
      </w:r>
    </w:p>
    <w:p w14:paraId="4DBD31A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германских танков Т-3, Т-4 до 10 единиц.</w:t>
      </w:r>
    </w:p>
    <w:p w14:paraId="6E27BA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настоящего времени рембаза отремонтировала немецких танков малых 3 штуки, средних — 1 и тягачей — 1. Кроме того, средним и текущим ремонтом этих танков занимаются войсковые сред</w:t>
      </w:r>
      <w:r w:rsidRPr="008127F8">
        <w:rPr>
          <w:rFonts w:ascii="Times New Roman" w:hAnsi="Times New Roman"/>
          <w:color w:val="000000" w:themeColor="text1"/>
          <w:sz w:val="16"/>
          <w:szCs w:val="16"/>
        </w:rPr>
        <w:softHyphen/>
        <w:t>ства ПРБ и ОРВБ. Сведений о количестве остальных танков нет.</w:t>
      </w:r>
    </w:p>
    <w:p w14:paraId="0530555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2. Для ремонта трофейных автомашин и тягачей Постановлением ГКО № ГКО-1158с от 16.01.1942 г. выделены:</w:t>
      </w:r>
    </w:p>
    <w:p w14:paraId="2A4789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Ярославский автозавод на 700 ремонтов в месяц (автомашин);</w:t>
      </w:r>
    </w:p>
    <w:p w14:paraId="156D47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Мытищинский завод на 600 ремонтов в месяц (автомашин);</w:t>
      </w:r>
    </w:p>
    <w:p w14:paraId="1C51FD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Ростовский завод на 500 ремонтов в месяц (автомашин);</w:t>
      </w:r>
    </w:p>
    <w:p w14:paraId="106576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Московский мотоциклетный завод на 100 ремонтов мотоциклов в месяц.</w:t>
      </w:r>
    </w:p>
    <w:p w14:paraId="1F8773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назначенных для ремонта трофейных автомашин 3 завода с месячной произво</w:t>
      </w:r>
      <w:r w:rsidRPr="008127F8">
        <w:rPr>
          <w:rFonts w:ascii="Times New Roman" w:hAnsi="Times New Roman"/>
          <w:color w:val="000000" w:themeColor="text1"/>
          <w:sz w:val="16"/>
          <w:szCs w:val="16"/>
        </w:rPr>
        <w:softHyphen/>
        <w:t>дительностью 1800 ремонтов в месяц и 1000 мотоциклов.</w:t>
      </w:r>
    </w:p>
    <w:p w14:paraId="2A6660A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Выделенные для ремонта заводы пока не используются. Работа по ремонту трофейных автома</w:t>
      </w:r>
      <w:r w:rsidRPr="008127F8">
        <w:rPr>
          <w:rFonts w:ascii="Times New Roman" w:hAnsi="Times New Roman"/>
          <w:color w:val="000000" w:themeColor="text1"/>
          <w:sz w:val="16"/>
          <w:szCs w:val="16"/>
        </w:rPr>
        <w:softHyphen/>
        <w:t>шин только развертывается. НКСМ снял с Мытищинского завода ремонт трофейных автомашин и передал на ЗИС. Последний налаживает производство, отремонтировал около 30 автомашин. На за</w:t>
      </w:r>
      <w:r w:rsidRPr="008127F8">
        <w:rPr>
          <w:rFonts w:ascii="Times New Roman" w:hAnsi="Times New Roman"/>
          <w:color w:val="000000" w:themeColor="text1"/>
          <w:sz w:val="16"/>
          <w:szCs w:val="16"/>
        </w:rPr>
        <w:softHyphen/>
        <w:t>вод завезено около 800 машин.</w:t>
      </w:r>
    </w:p>
    <w:p w14:paraId="34976D4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Ярославском автозаводе работа не начата, пока не удалось завести туда ремонтный фонд.</w:t>
      </w:r>
    </w:p>
    <w:p w14:paraId="3048A2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Ростовском заводе ремонт только налаживается.</w:t>
      </w:r>
    </w:p>
    <w:p w14:paraId="6D9584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мотоциклетный завод приступил к ремонту мотоциклов, отремонтировал уже око</w:t>
      </w:r>
      <w:r w:rsidRPr="008127F8">
        <w:rPr>
          <w:rFonts w:ascii="Times New Roman" w:hAnsi="Times New Roman"/>
          <w:color w:val="000000" w:themeColor="text1"/>
          <w:sz w:val="16"/>
          <w:szCs w:val="16"/>
        </w:rPr>
        <w:softHyphen/>
        <w:t>ло 50 мотоциклов.</w:t>
      </w:r>
    </w:p>
    <w:p w14:paraId="1C1501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этих заводов ремонт трофейных автомашин производится на б. заводе № 37 НКТП. От</w:t>
      </w:r>
      <w:r w:rsidRPr="008127F8">
        <w:rPr>
          <w:rFonts w:ascii="Times New Roman" w:hAnsi="Times New Roman"/>
          <w:color w:val="000000" w:themeColor="text1"/>
          <w:sz w:val="16"/>
          <w:szCs w:val="16"/>
        </w:rPr>
        <w:softHyphen/>
        <w:t>ремонтировано около 20 машин. В дальнейшем эту работу завод проводить не будет.</w:t>
      </w:r>
    </w:p>
    <w:p w14:paraId="6CEFC7E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Ремонтом трофейных автомашин занимался филиал рембазы № 82, отремонтировал всего 30 ма</w:t>
      </w:r>
      <w:r w:rsidRPr="008127F8">
        <w:rPr>
          <w:rFonts w:ascii="Times New Roman" w:hAnsi="Times New Roman"/>
          <w:color w:val="000000" w:themeColor="text1"/>
          <w:sz w:val="16"/>
          <w:szCs w:val="16"/>
        </w:rPr>
        <w:softHyphen/>
        <w:t>шин. В дальнейшем работу эту филиал проводить не будет. Завезено на филиал 150 автомашин и раз</w:t>
      </w:r>
      <w:r w:rsidRPr="008127F8">
        <w:rPr>
          <w:rFonts w:ascii="Times New Roman" w:hAnsi="Times New Roman"/>
          <w:color w:val="000000" w:themeColor="text1"/>
          <w:sz w:val="16"/>
          <w:szCs w:val="16"/>
        </w:rPr>
        <w:softHyphen/>
        <w:t>ных тягачей.</w:t>
      </w:r>
    </w:p>
    <w:p w14:paraId="45D413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основном работа по ремонту этих трофейных автомашин задерживалась из-за трудностей в эвакуации. Предполагается в скором времени усилить завоз этих машин на завод и соответственно увеличить выпуск их из ремонта.</w:t>
      </w:r>
    </w:p>
    <w:p w14:paraId="73F72D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РЭУ ГАБТУ КА военинженер 1 ранга Мельник</w:t>
      </w:r>
    </w:p>
    <w:p w14:paraId="6C881EE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11364. Д. 300. Л. 76-77. Копия (11211).</w:t>
      </w:r>
    </w:p>
    <w:p w14:paraId="3D1602A5"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10704A7D"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года представители арткома ГАУ КА предложили техсовету наркомата вооружения рассмотреть целесообразность «замены на трофейном немецком самоходе, именуемом „Артштурм“, 75-мм немецкой пушки отечественной 122-мм гаубицей М-30 образца 1938 года».</w:t>
      </w:r>
    </w:p>
    <w:p w14:paraId="3EE64905"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Техсовет поручил выполнение этой работы отдельной конструкторской группе Синельщикова, которая выполнила ее в исключительно короткий срок. Уже 6 апреля 1942 года проект, именовавшийся как 122-СГ, рассмотрели члены арткома, после чего он был утвержден заместителем начальника ГАУ и председателем арткома генерал-майором Хохловым. При этом в протоколе заседания, на котором рассматривались вопросы самоходной артиллерии, отмечалась необходимость срочного изготовления опытного образца СГ-122.</w:t>
      </w:r>
    </w:p>
    <w:p w14:paraId="238C13B8" w14:textId="3A27F86F"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проекте машины предусматривалось использовать без изменений вращающаяся часть гаубицы М-30. В качестве нижнего станка применялась тумба специальной конструкции, которую предполагалось отливать. Из-за значительно больших габаритов М-30 (по сравнению с 75-мм пушкой </w:t>
      </w:r>
      <w:proofErr w:type="gramStart"/>
      <w:r w:rsidRPr="008127F8">
        <w:rPr>
          <w:rFonts w:ascii="Times New Roman" w:hAnsi="Times New Roman"/>
          <w:color w:val="000000" w:themeColor="text1"/>
          <w:sz w:val="16"/>
          <w:szCs w:val="16"/>
        </w:rPr>
        <w:t>StuG</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III</w:t>
      </w:r>
      <w:proofErr w:type="gramEnd"/>
      <w:r w:rsidRPr="008127F8">
        <w:rPr>
          <w:rFonts w:ascii="Times New Roman" w:hAnsi="Times New Roman"/>
          <w:color w:val="000000" w:themeColor="text1"/>
          <w:sz w:val="16"/>
          <w:szCs w:val="16"/>
        </w:rPr>
        <w:t>) рубка самоходки увеличивалась по высоте на 100 мм.</w:t>
      </w:r>
    </w:p>
    <w:p w14:paraId="4FDD3796" w14:textId="74828184"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установки М-30 на </w:t>
      </w:r>
      <w:proofErr w:type="gramStart"/>
      <w:r w:rsidRPr="008127F8">
        <w:rPr>
          <w:rFonts w:ascii="Times New Roman" w:hAnsi="Times New Roman"/>
          <w:color w:val="000000" w:themeColor="text1"/>
          <w:sz w:val="16"/>
          <w:szCs w:val="16"/>
        </w:rPr>
        <w:t>StuG</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III</w:t>
      </w:r>
      <w:proofErr w:type="gramEnd"/>
      <w:r w:rsidRPr="008127F8">
        <w:rPr>
          <w:rFonts w:ascii="Times New Roman" w:hAnsi="Times New Roman"/>
          <w:color w:val="000000" w:themeColor="text1"/>
          <w:sz w:val="16"/>
          <w:szCs w:val="16"/>
        </w:rPr>
        <w:t xml:space="preserve"> масса последней, по расчетам, увеличивалась примерно на 2500 килограмм за счет самой гаубицы (120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боекомплекта (900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 дополнительных бронелистов (400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w:t>
      </w:r>
    </w:p>
    <w:p w14:paraId="74AA42BE"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обсуждения отмечалось, что «вследствие навешивания бронезащиты на противооткатные устройства гаубицы М-30 имеется сомнение в сохранении усилий на подъемном и поворотном механизмах».</w:t>
      </w:r>
    </w:p>
    <w:p w14:paraId="42CF5747"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по проекту говорилось:</w:t>
      </w:r>
    </w:p>
    <w:p w14:paraId="27541A22" w14:textId="62C22AEB"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Представленный эскизный проект 122-мм гаубичной самоходной установки 122-СГ на базе шасси трофейного самохода „Артштурм“ одобрить и принять для разработки технического проекта и изготовления опытного образца с внесением изменений согласно замечаний.</w:t>
      </w:r>
    </w:p>
    <w:p w14:paraId="607B4DEF" w14:textId="2571EA88"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Просить наркомат вооружения об определении производственной базы для производства перевооружения трофейных самоходных установок „Артштурм“ отечественными 122-мм гаубицами М-30 обр. </w:t>
      </w:r>
      <w:proofErr w:type="gramStart"/>
      <w:r w:rsidRPr="008127F8">
        <w:rPr>
          <w:rFonts w:ascii="Times New Roman" w:hAnsi="Times New Roman"/>
          <w:color w:val="000000" w:themeColor="text1"/>
          <w:sz w:val="16"/>
          <w:szCs w:val="16"/>
        </w:rPr>
        <w:t>1938</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p>
    <w:p w14:paraId="7569C3E1" w14:textId="7AAD5099"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Просить распоряжения начальника ГАБТУ КА о срочном восстановлении двух машин „Артштурм“ и передаче их заводам НКВ».</w:t>
      </w:r>
    </w:p>
    <w:p w14:paraId="758C8AD1" w14:textId="1F835596"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изготовления опытного образца самоходки, получившей обозначение СГ-122, нарком вооружения 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Устинов 24 апреля 1942 года подписал приказ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217</w:t>
      </w:r>
      <w:proofErr w:type="gramEnd"/>
      <w:r w:rsidRPr="008127F8">
        <w:rPr>
          <w:rFonts w:ascii="Times New Roman" w:hAnsi="Times New Roman"/>
          <w:color w:val="000000" w:themeColor="text1"/>
          <w:sz w:val="16"/>
          <w:szCs w:val="16"/>
        </w:rPr>
        <w:t>с, которым предписывалось организовать на заводе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НКВ (Мытищи Московской области) специальное конструкторское бюро для работ по новым машинам. Чтобы обеспечить сборку опытных СГ-122 начальник ГАБТУ КА генерал-лейтенант 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Федоренко отдал распоряжение об организации ремонта трофейных «артштурмов» на рембазе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82</w:t>
      </w:r>
      <w:proofErr w:type="gramEnd"/>
      <w:r w:rsidRPr="008127F8">
        <w:rPr>
          <w:rFonts w:ascii="Times New Roman" w:hAnsi="Times New Roman"/>
          <w:color w:val="000000" w:themeColor="text1"/>
          <w:sz w:val="16"/>
          <w:szCs w:val="16"/>
        </w:rPr>
        <w:t xml:space="preserve"> в Москве (12688).</w:t>
      </w:r>
    </w:p>
    <w:p w14:paraId="2BB66C56"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1066F530" w14:textId="77777777" w:rsidR="00063D2F" w:rsidRPr="008127F8" w:rsidRDefault="00063D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17 марта 1942 года Технический Совет НКВ дал зелёный свет разработке проекта перевооружения StuG III на 122-мм гаубицу М-30. Синильщиков был назначен руководителем работ, а Перерушев – главным конструктором. Эскизный проект самоходной установки, получившей обозначение 122-СГ (122-мм самоходная гаубица на шасси трофейного «Артштурма»), был закончен 3 апреля, а уже 6 числа представлен в Артком ГАУ.</w:t>
      </w:r>
    </w:p>
    <w:p w14:paraId="58D8F306" w14:textId="77777777" w:rsidR="00063D2F" w:rsidRPr="008127F8" w:rsidRDefault="00063D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целом назначение 122-СГ мало отличалось от назначения немецкого прародителя. Но огневая мощь 122-мм гаубицы М30 была не в пример выше, чем у 7.5 cm StuK 40. Её вполне хватало и для поражения всех видов немецких танков, хотя главной целью 122-СГ, конечно, являлись лёгкие вражеские укрепления и огневые точки.</w:t>
      </w:r>
    </w:p>
    <w:p w14:paraId="15F01D0D" w14:textId="77777777" w:rsidR="00063D2F" w:rsidRPr="008127F8" w:rsidRDefault="00063D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Для того чтобы разместить внутри StuG III гораздо более громоздкую артиллерийскую систему, боевое отделение САУ пришлось переделать. Крышу рубки конструкторы подняли на 100 мм, благодаря чему высота боевого отделения выросла до 1620 мм. Благодаря этому расчёт, особенно если его составляли низкорослые самоходчики, вполне комфортно мог работать и стоя, что заметно улучшало условия работы. Общая высота машины при этом выросла до 2050 мм по крыше рубки; машина по-прежнему имела достаточно низкий профиль.</w:t>
      </w:r>
    </w:p>
    <w:p w14:paraId="37973678" w14:textId="77777777" w:rsidR="00063D2F" w:rsidRPr="008127F8" w:rsidRDefault="00063D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лобовой части рубки появились специальные экраны, благодаря чему толщина брони достигла 70 мм. Боезапас САУ должен был состоять из 50 выстрелов, что даже больше, чем у StuG III. Численность экипажа увеличилась до 5 человек, при этом нельзя сказать, что условия их работы стали хуже, чем у немецких самоходчиков.</w:t>
      </w:r>
    </w:p>
    <w:p w14:paraId="3F115CA8" w14:textId="77777777" w:rsidR="00063D2F" w:rsidRPr="008127F8" w:rsidRDefault="00063D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Качающаяся часть гаубицы М-30 по проекту без изменений устанавливалась на тумбе. С бортов её прикрыли экранами толщиной 10 мм. Бронировка толщиной до 30 мм была установлена и на противооткатные устройства. Согласно расчётам, все эти переделки поднимали боевую массу на 2,4 тонны, что было вполне приемлемо.</w:t>
      </w:r>
    </w:p>
    <w:p w14:paraId="181C6250" w14:textId="77777777" w:rsidR="00063D2F" w:rsidRPr="008127F8" w:rsidRDefault="00063D2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Рассмотрев наработки по теме 122-СГ, 2-й отдел Арткома ГАУ одобрил их в качестве базы для разработки технического проекта. Одновременно был поставлен вопрос об определении производственной базы для изготовления опытных образцов 122-СГ, а также серийного перевооружения «Артштурмов» (17663).</w:t>
      </w:r>
    </w:p>
    <w:p w14:paraId="13F46345" w14:textId="77777777" w:rsidR="00063D2F" w:rsidRPr="008127F8" w:rsidRDefault="00063D2F" w:rsidP="001E0A84">
      <w:pPr>
        <w:spacing w:after="0" w:line="240" w:lineRule="auto"/>
        <w:jc w:val="both"/>
        <w:rPr>
          <w:rFonts w:ascii="Times New Roman" w:eastAsia="Times New Roman" w:hAnsi="Times New Roman"/>
          <w:color w:val="000000" w:themeColor="text1"/>
          <w:sz w:val="16"/>
          <w:szCs w:val="16"/>
          <w:lang w:eastAsia="ru-RU"/>
        </w:rPr>
      </w:pPr>
    </w:p>
    <w:p w14:paraId="19EF61AB" w14:textId="77777777" w:rsidR="00E9631D" w:rsidRPr="008A2E5A" w:rsidRDefault="00E9631D" w:rsidP="00E9631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17 марта 1942 года Техническим Советом НКВ зеленый свет работам по перевооружению StuG III. Руководителем работ стал Синильщиков, а ведущим инженером машины - Перерушев. Иногда автором проекта, получившего индекс 122-СГ (122-мм самоходная гаубица) называют Г.И. Каштанова, но это не так. Он появился значительно позже, когда проект уже утвердили (23368).</w:t>
      </w:r>
    </w:p>
    <w:p w14:paraId="0F829223" w14:textId="77777777" w:rsidR="00E9631D" w:rsidRPr="008A2E5A" w:rsidRDefault="00E9631D" w:rsidP="00E9631D">
      <w:pPr>
        <w:spacing w:after="0" w:line="240" w:lineRule="auto"/>
        <w:jc w:val="both"/>
        <w:rPr>
          <w:rFonts w:ascii="Times New Roman" w:hAnsi="Times New Roman"/>
          <w:color w:val="0070C0"/>
          <w:sz w:val="16"/>
          <w:szCs w:val="16"/>
        </w:rPr>
      </w:pPr>
    </w:p>
    <w:p w14:paraId="2190F7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вышло Постановление ГКО№ 1468 О ежедневной отчетности по выпуску танков. РГАНИР, Фонд ГКО, д. 24, лл. 194 (11012).</w:t>
      </w:r>
    </w:p>
    <w:p w14:paraId="516575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BE3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вышло постановление ГКО о производстве башен и корпусов танка Т-34 на Уралмашзаводе. Под</w:t>
      </w:r>
      <w:r w:rsidRPr="008127F8">
        <w:rPr>
          <w:rFonts w:ascii="Times New Roman" w:hAnsi="Times New Roman"/>
          <w:color w:val="000000" w:themeColor="text1"/>
          <w:sz w:val="16"/>
          <w:szCs w:val="16"/>
        </w:rPr>
        <w:softHyphen/>
        <w:t>ключение УЗТМ к производству этой, не свойственной заводу продук</w:t>
      </w:r>
      <w:r w:rsidRPr="008127F8">
        <w:rPr>
          <w:rFonts w:ascii="Times New Roman" w:hAnsi="Times New Roman"/>
          <w:color w:val="000000" w:themeColor="text1"/>
          <w:sz w:val="16"/>
          <w:szCs w:val="16"/>
        </w:rPr>
        <w:softHyphen/>
        <w:t>ции, было вызвано необходимостью срочного увеличения выпуска тан</w:t>
      </w:r>
      <w:r w:rsidRPr="008127F8">
        <w:rPr>
          <w:rFonts w:ascii="Times New Roman" w:hAnsi="Times New Roman"/>
          <w:color w:val="000000" w:themeColor="text1"/>
          <w:sz w:val="16"/>
          <w:szCs w:val="16"/>
        </w:rPr>
        <w:softHyphen/>
        <w:t>ков Т-34 в связи со сложившейся обстановкой на фронте. Постановле</w:t>
      </w:r>
      <w:r w:rsidRPr="008127F8">
        <w:rPr>
          <w:rFonts w:ascii="Times New Roman" w:hAnsi="Times New Roman"/>
          <w:color w:val="000000" w:themeColor="text1"/>
          <w:sz w:val="16"/>
          <w:szCs w:val="16"/>
        </w:rPr>
        <w:softHyphen/>
        <w:t>нием ГКО от 28 июля 1942 г. директору УЗТМ Б.Г. Музрукову было по</w:t>
      </w:r>
      <w:r w:rsidRPr="008127F8">
        <w:rPr>
          <w:rFonts w:ascii="Times New Roman" w:hAnsi="Times New Roman"/>
          <w:color w:val="000000" w:themeColor="text1"/>
          <w:sz w:val="16"/>
          <w:szCs w:val="16"/>
        </w:rPr>
        <w:softHyphen/>
        <w:t>ручено организовать производство уже всего танка Т-34. Начиная с сен</w:t>
      </w:r>
      <w:r w:rsidRPr="008127F8">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8127F8">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8127F8">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8127F8">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8127F8">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46584F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08DE3"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года для увеличения выпуска танков Т-34 постановлением Государственного Комитета Обороны № 1459 Уральский завод тяжелого машиностроения имени Орджоникидзе (Уралмаш, или УЗТМ) подключался к выпуску корпусов и башен танка Т-34. При этом уже в апреле УЗТМ должен был дать семь комплектов, в мае и июне - по 125, а в дальнейшем выпуск должен был нарастать.</w:t>
      </w:r>
    </w:p>
    <w:p w14:paraId="75B022B1"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сказать, что основанный в 1933 году УЗТМ специализировался на выпуске экскаваторов, дробилок, доменного и сталелитейного оборудования, блюмингов, прокатных станов, гидравлических прессов и подобного оборудования. Таким образом, предприятие не было приспособлено для изготовления крупносерийной продукции из броневых сталей, что потребовало коренной перестройки всего производства.</w:t>
      </w:r>
    </w:p>
    <w:p w14:paraId="012FC95B"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Чертежи корпуса и башни были получены заводом в 20-х числах марта, а уже в апреле были изготовлены первые корпуса и башни. При этом Уралмашу пришлось преодолеть много трудностей, связанных с освоением сварки брони, с образованием на них трещин, с большим количеством брака по броневому литью, а также с недостатком производственных площадей и оборудования. Тем не менее, к концу лета 1942 года УЗТМ вышел на стабильный выпуск корпусов и башен, и до конца года сдал 2271 комплект для Т-34. Еще 3731 комплект (корпус и башня) отгрузили в 1943-м и 508 - в 1944 году.</w:t>
      </w:r>
    </w:p>
    <w:p w14:paraId="214C4EA6"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выходом немецких войск на подступы к Сталинграду и угрозой Сталинградскому тракторному заводу, Государственный Комитет Обороны принял решение привлечь к выпуску танков Т-34 ряд других предприятий. Своим постановлением № 2120 от 28 июля 1942 года руководству Уралмаша предписывалось перейти к производству танков Т-34 с октября месяца. Но руководство и коллектив завода решили начать изготовление тридцатьчетверок на месяц раньше - в сентябре.</w:t>
      </w:r>
    </w:p>
    <w:p w14:paraId="0771FEB1"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к производству Т-34 на УЗТМ велась весьма быстрыми темпами. Этому способствовало то, что предприятие уже имело некоторое знакомство с танком в целом, полученное во время освоения корпусов и башен Т-34, а также близость головного завода по тридцатьчетверке — № 183, что давало возможность в короткие сроки решать возникающие организационные и технологические вопросы, а атк- же получать помощь материалами, деталями и т.д.</w:t>
      </w:r>
    </w:p>
    <w:p w14:paraId="3B4476C0"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немаловажную роль в быстром освоении производства Т-34 на УЗТМ сыграла передача в состав последнего находившегося в Свердловске завода № 37, который занимался выпуском танков Т-60 и Т-70 (передан постановлением ГКО № 2120 на правах филиала), а также прибытие в августе 1942 года на Уралмаш группы эвакуированных из Сталинграда работников СТЗ, знакомых с танковым производством. В отчете завода об этом говорилось следующее:</w:t>
      </w:r>
    </w:p>
    <w:p w14:paraId="4C8C668C"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«...через 12 дней после решения ГКО, завод выполнил значительную часть работ по подготовке к производству танка Т-34, а именно:</w:t>
      </w:r>
    </w:p>
    <w:p w14:paraId="4146F342"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w:t>
      </w:r>
      <w:r w:rsidRPr="008127F8">
        <w:rPr>
          <w:rFonts w:ascii="Times New Roman" w:hAnsi="Times New Roman"/>
          <w:color w:val="000000" w:themeColor="text1"/>
          <w:sz w:val="16"/>
          <w:szCs w:val="16"/>
        </w:rPr>
        <w:tab/>
        <w:t>Обеспечил свои проектирующие отделы и цеха первыми десятью комплектами чертежей (всего до 4000 листов в каждом комплекте);</w:t>
      </w:r>
    </w:p>
    <w:p w14:paraId="59EF021E"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w:t>
      </w:r>
      <w:r w:rsidRPr="008127F8">
        <w:rPr>
          <w:rFonts w:ascii="Times New Roman" w:hAnsi="Times New Roman"/>
          <w:color w:val="000000" w:themeColor="text1"/>
          <w:sz w:val="16"/>
          <w:szCs w:val="16"/>
        </w:rPr>
        <w:tab/>
        <w:t>Установил производственные задания по филиалам и цехам;</w:t>
      </w:r>
    </w:p>
    <w:p w14:paraId="41311C41"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w:t>
      </w:r>
      <w:r w:rsidRPr="008127F8">
        <w:rPr>
          <w:rFonts w:ascii="Times New Roman" w:hAnsi="Times New Roman"/>
          <w:color w:val="000000" w:themeColor="text1"/>
          <w:sz w:val="16"/>
          <w:szCs w:val="16"/>
        </w:rPr>
        <w:tab/>
        <w:t>Определил необходимость оснастки по цехам, рассчитал ее изготовление по срокам для выпуска полного программного задания с 1.11.42 г.;</w:t>
      </w:r>
    </w:p>
    <w:p w14:paraId="1415BDE9"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w:t>
      </w:r>
      <w:r w:rsidRPr="008127F8">
        <w:rPr>
          <w:rFonts w:ascii="Times New Roman" w:hAnsi="Times New Roman"/>
          <w:color w:val="000000" w:themeColor="text1"/>
          <w:sz w:val="16"/>
          <w:szCs w:val="16"/>
        </w:rPr>
        <w:tab/>
        <w:t>Для изготовления 101 литой детали танка (из них 30 них цветного литья) к этому времени были разработаны рабочие чертежи заготовок и технология для модельного цеха; началось изготовление моделей для оснастки 106 наименований 1-й очереди и 25 наименований 2-й очереди. Для производства траков гусеницы заканчивалась перепланировка цеха;</w:t>
      </w:r>
    </w:p>
    <w:p w14:paraId="21235463"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w:t>
      </w:r>
      <w:r w:rsidRPr="008127F8">
        <w:rPr>
          <w:rFonts w:ascii="Times New Roman" w:hAnsi="Times New Roman"/>
          <w:color w:val="000000" w:themeColor="text1"/>
          <w:sz w:val="16"/>
          <w:szCs w:val="16"/>
        </w:rPr>
        <w:tab/>
        <w:t>Для изготовления 951 детали поковкой и штамповкой было разработано 75% рабочих чертежей заготовок, их технология и выпущено 50% чертежей штампов;</w:t>
      </w:r>
    </w:p>
    <w:p w14:paraId="63690B0B"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w:t>
      </w:r>
      <w:r w:rsidRPr="008127F8">
        <w:rPr>
          <w:rFonts w:ascii="Times New Roman" w:hAnsi="Times New Roman"/>
          <w:color w:val="000000" w:themeColor="text1"/>
          <w:sz w:val="16"/>
          <w:szCs w:val="16"/>
        </w:rPr>
        <w:tab/>
        <w:t>Для составления технологии механической обработки деталей Т-34 Уралмашзавод получил от завода № 183 30 тысяч листов чертежей по технологии и оснастке; по этим чертежам была выполнена работа 1 -й очереди для изготовления деталей на 50 комплектов машин к 1 сентября;</w:t>
      </w:r>
    </w:p>
    <w:p w14:paraId="4FD97DDC"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w:t>
      </w:r>
      <w:r w:rsidRPr="008127F8">
        <w:rPr>
          <w:rFonts w:ascii="Times New Roman" w:hAnsi="Times New Roman"/>
          <w:color w:val="000000" w:themeColor="text1"/>
          <w:sz w:val="16"/>
          <w:szCs w:val="16"/>
        </w:rPr>
        <w:tab/>
        <w:t>Для увеличения мощности завода велись работы по достройке, реконструкции или оборудования заново: мартеновской печи № 5, цехов - сталефасонного, обрубного, сборки танков, сдаточного и др., а также заводского танкодрома».</w:t>
      </w:r>
    </w:p>
    <w:p w14:paraId="65BE4B18"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заводских цехов и изготовление приспособлений и инструмента шло одновременно со сборкой первых машин Т-34. При этом детали и агрегаты, на изготовление которых требовалось много времени, получали с заводов, уже освоивших их производство. Для ознакомления с производством танка Т-34, большое количество конструкторов, технологов, мастеров, сборщиков и слесарей УЗТМ выезжало на завод № 183. Кроме того, последний, в порядке взаимопомощи выделил Уралмашу на первый месяц выпуска танков группу своих опытных работников (12217).</w:t>
      </w:r>
    </w:p>
    <w:p w14:paraId="5053C051"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3805D325"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17 марта 1942 года по постановлению ГКО № 1459 УЗТМ начал производить корпуса и башни Т-34. И. М. Зальцман и директор Уралмаша Б. Г. Музруков полагали, что Уралмаш располагает достаточными производственными мощностями, чтобы освоить Т-34. 28 июля 1942 года по инициативе НКТП было принято постановление ГКО № 2120, согласно которому следовало начать на УЗТМ производство Т-34. Для того, чтобы завод мог самостоятельно производить большую часть деталей танка, с ним был слит расположенный в Свердловске завод № 37, а производство лёгких танков на нём было прекращено. На УЗТМ были быстро проведены подготовительные работы: выделен предназначенный для сборки танков цех, изготовлено дополнительное оборудование и оснастка, построены узкоколейные пути с поворотными кругами для перевозки танков во время сборки. 20 сентября началась сборка первых Т-34.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5282059C"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611E23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по приказу НКРП № 23 на базе эвакуированных из Ярославля заводов № 150 (на площадку кондитерской фабрики) и № 151 НКРП (на площадку пивоваренного завода),</w:t>
      </w:r>
      <w:r w:rsidRPr="008127F8">
        <w:rPr>
          <w:rFonts w:ascii="Times New Roman" w:hAnsi="Times New Roman"/>
          <w:color w:val="000000" w:themeColor="text1"/>
          <w:sz w:val="16"/>
          <w:szCs w:val="16"/>
          <w:vertAlign w:val="superscript"/>
        </w:rPr>
        <w:t>121</w:t>
      </w:r>
      <w:r w:rsidRPr="008127F8">
        <w:rPr>
          <w:rFonts w:ascii="Times New Roman" w:hAnsi="Times New Roman"/>
          <w:color w:val="000000" w:themeColor="text1"/>
          <w:sz w:val="16"/>
          <w:szCs w:val="16"/>
        </w:rPr>
        <w:t xml:space="preserve"> а также части ленинградского завода «Красный треугольник» был создан Завод № 688 НКРП, Завод «Натуркаучук», Уфимский регенераторный завод, Уфимский завод резиновых технических изделий (РТИ) им. М.В. Фрунзе, АО «Уфимский завод эластомерных материалов, изделий и конструкций» (УЗЭМИК) /г. Уфа  г. Черниковск/ /Башкортостан 450006  г. Уфа ул. Пархоменко, 156 тел. 24-93-92/. Производство на новом месте было смонтировано за 4 месяца, и в 05.1942 г. пущено в эксплуатацию.</w:t>
      </w:r>
    </w:p>
    <w:p w14:paraId="5C3E89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11.1942 г. завод перерабатывал выращенные на полях Башкирии корни кок-сагыза в натуральный каучук.</w:t>
      </w:r>
    </w:p>
    <w:p w14:paraId="661FD6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завод № 688 переименован в завод «Натуркаучук». В 1953 г. завод преобразован в Уфимский регенераторный завод по восстановлению резиновых автопокрышек. Далее - Уфимский завод РТИ.</w:t>
      </w:r>
    </w:p>
    <w:p w14:paraId="6E866D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23.11.1993 г. завод РТИ преобразован в АО. Был в 2004 г.</w:t>
      </w:r>
    </w:p>
    <w:p w14:paraId="3628F0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Внешний управляющий (2002 г.)- С. Г. Хайруллин.</w:t>
      </w:r>
    </w:p>
    <w:p w14:paraId="5BB1ED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П.Н. Демин. Зам. Гендиректора (2002 г.)- И.З. Идиятуллин.</w:t>
      </w:r>
    </w:p>
    <w:p w14:paraId="53F529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надувные лодки «Уфимка», «Айгуль», «Дельфин»; клиновые ремни, пневмосооружения, аэростаты; авиационные спасательные плоты, лодки, жилеты АСЖ-63, надувные трапы; транспортерная лента; резервуары.</w:t>
      </w:r>
      <w:r w:rsidRPr="008127F8">
        <w:rPr>
          <w:rFonts w:ascii="Times New Roman" w:hAnsi="Times New Roman"/>
          <w:color w:val="000000" w:themeColor="text1"/>
          <w:sz w:val="16"/>
          <w:szCs w:val="16"/>
          <w:vertAlign w:val="superscript"/>
        </w:rPr>
        <w:t>69</w:t>
      </w:r>
    </w:p>
    <w:p w14:paraId="7F33C3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Комбинат «Красный треугольник» НКХП /г. Ленинград/</w:t>
      </w:r>
    </w:p>
    <w:p w14:paraId="7FE34D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4E2992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2BDFEF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48E9FC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Далее восстановлен в Ленинграде (или часть завода продолжала там действовать). Пост. ЛенСНХ от 2.10.1962 г. на базе завода создано Объединение предприятий </w:t>
      </w:r>
      <w:r w:rsidRPr="008127F8">
        <w:rPr>
          <w:rFonts w:ascii="Times New Roman" w:hAnsi="Times New Roman"/>
          <w:color w:val="000000" w:themeColor="text1"/>
          <w:sz w:val="16"/>
          <w:szCs w:val="16"/>
        </w:rPr>
        <w:lastRenderedPageBreak/>
        <w:t>резиновых изделий «Красный треугольник».</w:t>
      </w:r>
    </w:p>
    <w:p w14:paraId="539B12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Фабрика асбестовых изделий Кригсмана, 1-я фабрика асбестовых изделий ВСНХ, Ленинградский государственный асбестообрабатывающий завод НКРП, НКХП, Завод асбестотехнических изделий МХП /г. </w:t>
      </w:r>
      <w:proofErr w:type="gramStart"/>
      <w:r w:rsidRPr="008127F8">
        <w:rPr>
          <w:rFonts w:ascii="Times New Roman" w:hAnsi="Times New Roman"/>
          <w:color w:val="000000" w:themeColor="text1"/>
          <w:sz w:val="16"/>
          <w:szCs w:val="16"/>
        </w:rPr>
        <w:t>Петербург,  г.</w:t>
      </w:r>
      <w:proofErr w:type="gramEnd"/>
      <w:r w:rsidRPr="008127F8">
        <w:rPr>
          <w:rFonts w:ascii="Times New Roman" w:hAnsi="Times New Roman"/>
          <w:color w:val="000000" w:themeColor="text1"/>
          <w:sz w:val="16"/>
          <w:szCs w:val="16"/>
        </w:rPr>
        <w:t xml:space="preserve"> Петроград,  г. Ленинград/</w:t>
      </w:r>
    </w:p>
    <w:p w14:paraId="7F2B73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Фабрика асбестовых изделий Кригсмана основана в 1911 г.</w:t>
      </w:r>
    </w:p>
    <w:p w14:paraId="410237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18.11.1920 г. фабрика национализирована и передана в ведение ВСНХ. В 1924 г. переименована в 1-ю фабрику асбестовых изделий. В 1931 г. преобразована в Ленинградский государственный асбестообрабатывающий завод, с 1932 г. - в ведении НКТП, с 1939 г. - Наркомрезинпрома. В 1943 г. - в ведении НКХП.</w:t>
      </w:r>
    </w:p>
    <w:p w14:paraId="0D1CC5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Баженова?).</w:t>
      </w:r>
    </w:p>
    <w:p w14:paraId="23CCBB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w:t>
      </w:r>
    </w:p>
    <w:p w14:paraId="005375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Механический завод «Красный треугольник», Ленинградский механический завод «Металлист» НКХП, НКРП, МХП, Ленинградский машиностроительный завод «Металлист», Ленинградский государственный опытный машиностроительный завод «Металлист», АООТ, ОАО «Металлист»</w:t>
      </w:r>
    </w:p>
    <w:p w14:paraId="1CDB24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1E12F8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58C58E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завод преобразован в АООТ, затем - ОАО «Металлист».</w:t>
      </w:r>
      <w:r w:rsidRPr="008127F8">
        <w:rPr>
          <w:rFonts w:ascii="Times New Roman" w:hAnsi="Times New Roman"/>
          <w:color w:val="000000" w:themeColor="text1"/>
          <w:sz w:val="16"/>
          <w:szCs w:val="16"/>
          <w:vertAlign w:val="superscript"/>
        </w:rPr>
        <w:t>131</w:t>
      </w:r>
    </w:p>
    <w:p w14:paraId="2DE6C1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08A455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237196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554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вышло Постановление ГКО № 1467 О трассе строительства железнодорожной линии Сталинград - Камышин. (7025, 193).</w:t>
      </w:r>
    </w:p>
    <w:p w14:paraId="3C96506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7171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вышло Постановление ГКО № 1469 Об упразднении Военно-эксплуатационного управления Московского железнодорожного узла. (7025, 195).</w:t>
      </w:r>
    </w:p>
    <w:p w14:paraId="585DDCD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E1E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 по приказу НКРП № 23 на базе эвакуированных заводов в Уфу на площадку кондитерской фабрики № 150 и № 151 НКРП организован новый завод № 688 НКРП (11982).</w:t>
      </w:r>
    </w:p>
    <w:p w14:paraId="010DC6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D4AA7"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F7598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87A2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марта</w:t>
      </w:r>
      <w:r w:rsidRPr="008127F8">
        <w:rPr>
          <w:rFonts w:ascii="Times New Roman" w:hAnsi="Times New Roman"/>
          <w:color w:val="000000" w:themeColor="text1"/>
          <w:sz w:val="16"/>
          <w:szCs w:val="16"/>
        </w:rPr>
        <w:t xml:space="preserve"> в 1942 году утреннее сообщение Совинформбюро:</w:t>
      </w:r>
    </w:p>
    <w:p w14:paraId="21F3E9C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17 марта на фронте каких-либо существенных изменений не произошло.</w:t>
      </w:r>
    </w:p>
    <w:p w14:paraId="255C35C9"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под командованием тов. Боброва, сломив упорное сопротивление противника, овладели двумя населёнными пунктами. Немцы понесли большие потери в живой силе и технике. Среди захваченных трофеев 2 танка, орудие и 8 пулемётов.</w:t>
      </w:r>
    </w:p>
    <w:p w14:paraId="5D88263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танковое подразделение под командованием тов. Дунаева, действуя совместно с десантом автоматчиков, ворвалось в деревню С, превращенную немцами в сильный узел сопротивления. После короткого боя немцы отступили, оставив на улицах деревни 210 трупов. Огнём и гусеницами наши танкисты уничтожили 14 орудий, 3 танка, трактор, 2 автомашины, 4 пулемёта и 5 противотанковых орудий.</w:t>
      </w:r>
    </w:p>
    <w:p w14:paraId="4B2F607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Николаенко и красноармеец Баландин, возвращаясь из разведки, забросали гранатами дом, в котором расположились на отдых немецкие солдаты. Взрывами были уничтожены 18 гитлеровцев. Несколько немецких солдат, оставшихся в живых, сдалось в плен.</w:t>
      </w:r>
    </w:p>
    <w:p w14:paraId="73950740"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Санитар Волков за один день вынес с поля боя 37 раненых красноармейцев, 47 винтовок и станковый пулемёт.</w:t>
      </w:r>
    </w:p>
    <w:p w14:paraId="374427C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краткие записи о боевых действиях партизанского отряда под командованием тов. А., действующего в тылу у немцев на территории Смоленской области:</w:t>
      </w:r>
    </w:p>
    <w:p w14:paraId="4CB6A4C8"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Отряд совершил налёт на деревню О., занятую немцами. Партизаны выбили немцев из деревни и захватили трофеи, в том числе 2 орудия, 27 автомашин, 18 мотоциклов, большое количество автоматов и боеприпасов. Уничтожено 90 немецких солдат.</w:t>
      </w:r>
    </w:p>
    <w:p w14:paraId="15DC5BEF"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Немцы предприняли атаку, чтобы вернуть деревню О., захваченную нами. Атака немцев, поддержанная лёгкими танками и бронемашинами, была отбита. На подступах к деревне немцы оставили 50 трупов и подбитый танк.</w:t>
      </w:r>
    </w:p>
    <w:p w14:paraId="41BF9A0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 4 февраля. Отбили две атаки немцев, поддержанные несколькими лёгкими танками и бронемашинами. Потеряв одну бронемашину и 93 человека убитыми, немцы отступили.</w:t>
      </w:r>
    </w:p>
    <w:p w14:paraId="6E857701"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В отряд прибыло пополнение из местных колхозников. Разбившись на 2 группы, партизаны атаковали немцев в деревне Г. и А. В бою немцы потеряли 150 человек убитыми, орудие и вездеход.</w:t>
      </w:r>
    </w:p>
    <w:p w14:paraId="1133477E"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февраля. После тщательно проведённой разведки совершили налёт и разгромили штаб немецкой дивизии и штаб 13 мотополка. Немцы бежали, оставив на улицах деревни убитыми свыше 80 солдат и офицеров. В наши руки попали штабные документы, 77 автомашин, гружённых награбленным у населения имуществом, и другие трофеи. В этот же день другая часть отряда выбила немцев из деревни М., захватив 49 грузовых и 16 легковых машин, 2 вездехода, 4 радиостанции, 19 мотоциклов, 1 пулемёт и другое военное имущество».</w:t>
      </w:r>
    </w:p>
    <w:p w14:paraId="774A766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Затеянная гитлеровцами кампания «За экономию нервов», о чём сообщало Советское Информбюро 2 марта, не принесла им желаемых результатов. Теперь гитлеровцы начали ещё одну кампанию, целью-которой является восстановление утерянного немцами душевного равновесия. Фашистская печать завопила о том, что кино и радио надо перестроить, что они «должны успокаивать, развлекать и утешать людей». Геббельс требует, чтобы киноработники создавали весёлые и развлекательные фильмы, и чтобы радио передавало только лёгкую музыку. Немецкая газета «Дейче альгемейне цейтунг» в связи с этим пишет: «Новое направление в кино и радиопередачах имеет целью усилить способность душевного напряжения немца».</w:t>
      </w:r>
    </w:p>
    <w:p w14:paraId="7EAE22A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Визг немецких газет на тему о «сохранении нервов» и «душевного равновесия» весьма симптоматичен. Он отражает серьёзное беспокойство немецких властей за состояние тыла гитлеровской грабьармии. Понятно, что из этой новой пошлой затеи гитлеровцев опять ничего не выйдет, ибо исстрадавшееся население Германии невозможно успокоить фокстротами и бульварными песенками. Не до веселья сейчас в гитлеровской Германии. Несмотря на все потуги гитлеровцев, население Германии постепенно освобождается от фашистского дурмана.» (15071).</w:t>
      </w:r>
    </w:p>
    <w:p w14:paraId="7973CEE8"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6AD598AF"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марта</w:t>
      </w:r>
      <w:r w:rsidRPr="008127F8">
        <w:rPr>
          <w:rFonts w:ascii="Times New Roman" w:hAnsi="Times New Roman"/>
          <w:color w:val="000000" w:themeColor="text1"/>
          <w:sz w:val="16"/>
          <w:szCs w:val="16"/>
        </w:rPr>
        <w:t xml:space="preserve"> в 1942 году вечернее сообщение Совинформбюро:</w:t>
      </w:r>
    </w:p>
    <w:p w14:paraId="1F4F5BE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марта наши войска вели наступательные бои против немецко-фашистских войск, а на некоторых участках фронта отбили контратаки противника с большими для него потерями.</w:t>
      </w:r>
    </w:p>
    <w:p w14:paraId="428556CE"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марта уничтожено 47 немецких самолётов. Наши потери — 15 самолётов.</w:t>
      </w:r>
    </w:p>
    <w:p w14:paraId="105FE4E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потоплены два транспорта, один тральщик и один сторожевой корабль противника общим водоизмещением в 16.000 тонн.</w:t>
      </w:r>
    </w:p>
    <w:p w14:paraId="49DDDB2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16 марта частями нашей авиации уничтожено и повреждено 6 немецких танков, 205 автомашин с войсками и грузами, 125 повозок с боеприпасами, 13 автоцистерн с горючим, 36 орудий, 22 зенитно-пулемётные точки, 3 миномётные батареи, взорвано 9 складов с боеприпасами, рассеяно и частью уничтожено до 4 батальонов пехоты противника.</w:t>
      </w:r>
    </w:p>
    <w:p w14:paraId="5F2DEB9E"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одна наша часть за один день боёв уничтожила 600 немецких солдат и офицеров и захватила 2 противотанковых орудия, 4 станковых и 8 ручных пулемётов, 150 винтовок, 1 миномёт, 10 автоматов, одно противотанковое ружьё, 6.000 патронов и другое военное имущество. На другом участке фронта, в районе населённого пункта Д., наша стрелковая часть в течение дня отразила несколько контратак пехоты противника, поддержанной танками. В бою захвачено 2 танка, 10 орудий, 1 крупнокалиберный пулемёт, 8 станковых и ручных пулемётов, 50 винтовок, мины, ручные гранаты и винтовочные патроны. На поле боя остались сотни вражеских трупов.</w:t>
      </w:r>
    </w:p>
    <w:p w14:paraId="7FB4F4E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Юго-Западного фронта, преодолев оборонительный рубеж противника, вынудили немцев к отходу. В бою уничтожено свыше 1.000 вражеских солдат и офицеров, подбиты 1 тяжёлый и 7 средних танков. Взято в плен 382 немца. Захвачены трофеи: 35 орудий, 80 пулемётов, 88 миномётов, 108 автоматов, 357 винтовок, 3.500 снарядов, 85.000 патронов, 10.000 мин, 200 пистолетов, 12 противотанковых ружей и несколько складов боеприпасов, продовольствия и обмундирования.</w:t>
      </w:r>
    </w:p>
    <w:p w14:paraId="5C24EA7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одном из участков Калининского фронта наши части заняли несколько населённых пунктов. В боях уничтожено до 500 немецких солдат и офицеров. Два наших артиллерийских дивизиона за один день подавили вражескую миномётную батарею, разрушили ряд укреплённых точек, взорвали склад с горючим и нанесли большой урон живой силе немцев.</w:t>
      </w:r>
    </w:p>
    <w:p w14:paraId="0F446E7E"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немецких танков атаковала одно из наших стрелковых подразделений. Красноармеец тов. Набока выдвинулся с противотанковым ружьём на опушку леса и, выбрав удобный момент, двумя выстрелами подбил вражескую машину. Вскоре появился ещё один немецкий танк. Тов. Набока несколькими выстрелами вывел из строя и этот танк. Немецкие танкисты пытались скрыться, но были уничтожены нашими бойцами.</w:t>
      </w:r>
    </w:p>
    <w:p w14:paraId="4F4F8A4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отрядов партизан Ленинградской области за время своей деятельности истребили, по неполным данным, свыше 560 вражеских солдат, 29 офицеров, несколько шпионов и доставили в штаб части Красной Армии 7 пленных немцев. Бойцы партизанских отрядов взорвали 9 мостов, уничтожили 103 повозки и 26 автомашин с различными военным грузами, сожгли 10 складов с боеприпасами и продовольствием, подорвали один лёгкий танк и одну танкетку. Партизаны захватили у противника много винтовок, ручных пулемётов и другое оружие.</w:t>
      </w:r>
    </w:p>
    <w:p w14:paraId="3978899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унтер-офицера Карлинского найдено неотправленное письмо к Ф. Пансус, проживающей в городе Обергаузен. В письме говорится: «Русские непрерывно наступают, выбивают наши передовые охранения, делают нашу жизнь невыносимой. По ночам раздаются крики: «Русские прорвались!». Нервам тяжело выдержать эти ночные тревоги. Нас сейчас трудно чем-нибудь расшевелить: настолько сильны апатия и безразличие ко всему. Мы обречены на смерть».</w:t>
      </w:r>
    </w:p>
    <w:p w14:paraId="6043C18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8 марта на станции Шидловская гитлеровские бандиты загнали в вагоны всё мужское население села Знаменка и открыли по вагонам стрельбу из автоматов. Из 250 человек осталось в живых только 40 человек. В окрестностях Барвенкова на днях обнаружено несколько глубоких ям. В первых двух вскрытых ямах оказалось 77 трупов жертв гитлеровских извергов. У многих из них вывернуты руки, выбиты зубы, выколоты глаза, отрезаны уши, обожжены руки и ноги. Есть трупы с перерезанным горлом. Врачебной экспертизой установлено, что все 77 несчастных погибли в результате чудовищных пыток и издевательств над ними.</w:t>
      </w:r>
    </w:p>
    <w:p w14:paraId="2264E13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военном заводе в Любеке (Германия) произошёл большой пожар на складе готовой продукции. Подозревая в организации пожара иностранцев, в большом количестве работающих на этом предприятии, гитлеровцы расстреляли несколько человек французов и итальянцев.» (15071).</w:t>
      </w:r>
    </w:p>
    <w:p w14:paraId="1320CE27"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60A8F5F7"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марта 1942 была ДИРЕКТИВА СТАВКИ ВГК № 170157 КОМАНДУЮЩЕМУ ВВС КРАСНОЙ АРМИИ О СОЗДАНИИ УДАРНОЙ АВИАЦИОННОЙ ГРУППЫ СТАВКИ ВЕРХОВНОГО ГЛАВНОКОМАНДОВАНИЯ</w:t>
      </w:r>
    </w:p>
    <w:p w14:paraId="4CF0E3D0"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Копия: главнокомандующему войсками Западного направления</w:t>
      </w:r>
    </w:p>
    <w:p w14:paraId="50608FA8"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марта 1942 г. 19 ч 35 мин</w:t>
      </w:r>
    </w:p>
    <w:p w14:paraId="23740BDB"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разгрома противника, перехватившего тылы 1-го гв. кавкорпуса, 33-й армии Ефремова и 4-го воздушно-десантного корпуса, во взаимодействии с наземными войсками 43, 49 и 50-й армий, Ставка Верховного Главнокомандования приказывает:</w:t>
      </w:r>
    </w:p>
    <w:p w14:paraId="35F792A5"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Создать ударную авиационную группу № 4 Ставки Верховного Главнокомандования в составе двух полков ЛаГГов из резерва Ставки, 198-го полка Ил-2 резерва Ставки, работающего в данный момент на Запфронте, 62-го полка Ил-2 Запфронта и 20 самолетов ДБА от авиации тов. Голованова.</w:t>
      </w:r>
    </w:p>
    <w:p w14:paraId="75C1A5B8"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Командование авиационной группы № 4 возложить на 1-го зам. командующего ВВС КА генерал-лейтенанта тов. Новикова, предоставив ему право в необходимых случаях привлекать авиацию Запфронта и указанных выше армий.</w:t>
      </w:r>
    </w:p>
    <w:p w14:paraId="20FF859F"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помощь тов. Новикову для руководства действиями дальнебомбардировочной авиации группы назначить генерал-майора авиации тов. Голованова.</w:t>
      </w:r>
    </w:p>
    <w:p w14:paraId="05B5EF52"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Начало операции ударной авиагруппы № 4 Ставки Верховного Главнокомандования </w:t>
      </w:r>
    </w:p>
    <w:p w14:paraId="2FAAC600"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марта.</w:t>
      </w:r>
    </w:p>
    <w:p w14:paraId="457AC418"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Ставка Верховного Главнокомандования</w:t>
      </w:r>
    </w:p>
    <w:p w14:paraId="11C19B3F"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4B6D8126"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ШАПОШНИКОВ</w:t>
      </w:r>
    </w:p>
    <w:p w14:paraId="430070A9"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ЦАМО. Ф. 132а. Оп. 2642. Д. 31. Л. 150, 151. Подлинник (23628).</w:t>
      </w:r>
    </w:p>
    <w:p w14:paraId="02EEE5C8" w14:textId="77777777" w:rsidR="00B76DF7" w:rsidRPr="008A2E5A" w:rsidRDefault="00B76DF7" w:rsidP="00B76DF7">
      <w:pPr>
        <w:spacing w:after="0" w:line="240" w:lineRule="auto"/>
        <w:jc w:val="both"/>
        <w:rPr>
          <w:rFonts w:ascii="Times New Roman" w:hAnsi="Times New Roman"/>
          <w:color w:val="0070C0"/>
          <w:sz w:val="16"/>
          <w:szCs w:val="16"/>
        </w:rPr>
      </w:pPr>
    </w:p>
    <w:p w14:paraId="6C9179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 23 марта 1942 было единственное применение ФАБ-1000 с ТБ-3. Экипаж ст.-л Бородкина из 7 ап и к Якушкина 3 дбап (оба из 53 аддд) в сочетании с осколочными и зажигательными бомбами бомбили войска в районе Гжатска (1859).</w:t>
      </w:r>
    </w:p>
    <w:p w14:paraId="23EDDF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FB6E3" w14:textId="1EB41182" w:rsidR="00B76DF7" w:rsidRDefault="00B76DF7"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727E7097" w14:textId="77777777" w:rsidR="00B76DF7" w:rsidRDefault="00B76DF7"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B24F42"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марта 1942 г. Президент США объявил помощь СССР приоритетной (23513).</w:t>
      </w:r>
    </w:p>
    <w:p w14:paraId="7A1EBD17" w14:textId="77777777" w:rsidR="00B76DF7" w:rsidRDefault="00B76DF7"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A391A7" w14:textId="7D106C7C"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917AC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39F0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нацисты начали депортацию евреев в лагерь Белсен (2100).</w:t>
      </w:r>
    </w:p>
    <w:p w14:paraId="55DB62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8266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1942 генерал Д. Макартур назначен главнокомандующим войск союзников в Тихом океане (4962).</w:t>
      </w:r>
    </w:p>
    <w:p w14:paraId="229648A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6D5B6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марта</w:t>
      </w:r>
      <w:r w:rsidRPr="008127F8">
        <w:rPr>
          <w:rFonts w:ascii="Times New Roman" w:hAnsi="Times New Roman"/>
          <w:color w:val="000000" w:themeColor="text1"/>
          <w:sz w:val="16"/>
          <w:szCs w:val="16"/>
        </w:rPr>
        <w:t xml:space="preserve"> в 1942 году генерал Макартур назначен главнокомандующим войсками союзников в юго-западной части Тихого океана (15071).</w:t>
      </w:r>
    </w:p>
    <w:p w14:paraId="50591FA4"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061FB58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98341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7E30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 Фуксаев получил от наркома НКАП "Ведомость самолетов, преждевременно вышедших из строя по конструктивно-производственным дефектам, на основании двусторонних рекламационных актов за период с 1 июня 1942 по 1 ноября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752"/>
        <w:gridCol w:w="1516"/>
        <w:gridCol w:w="7654"/>
      </w:tblGrid>
      <w:tr w:rsidR="006F4095" w:rsidRPr="008127F8" w14:paraId="6E19F21F" w14:textId="77777777">
        <w:tc>
          <w:tcPr>
            <w:tcW w:w="675" w:type="dxa"/>
            <w:tcBorders>
              <w:top w:val="single" w:sz="12" w:space="0" w:color="auto"/>
            </w:tcBorders>
          </w:tcPr>
          <w:p w14:paraId="031593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752" w:type="dxa"/>
            <w:tcBorders>
              <w:top w:val="single" w:sz="12" w:space="0" w:color="auto"/>
            </w:tcBorders>
          </w:tcPr>
          <w:p w14:paraId="6DC798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w:t>
            </w:r>
          </w:p>
        </w:tc>
        <w:tc>
          <w:tcPr>
            <w:tcW w:w="1516" w:type="dxa"/>
            <w:tcBorders>
              <w:top w:val="single" w:sz="12" w:space="0" w:color="auto"/>
            </w:tcBorders>
          </w:tcPr>
          <w:p w14:paraId="1D24A1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машин</w:t>
            </w:r>
          </w:p>
        </w:tc>
        <w:tc>
          <w:tcPr>
            <w:tcW w:w="7654" w:type="dxa"/>
            <w:tcBorders>
              <w:top w:val="single" w:sz="12" w:space="0" w:color="auto"/>
            </w:tcBorders>
          </w:tcPr>
          <w:p w14:paraId="215C54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дефекта</w:t>
            </w:r>
          </w:p>
        </w:tc>
      </w:tr>
      <w:tr w:rsidR="006F4095" w:rsidRPr="008127F8" w14:paraId="09A11072" w14:textId="77777777">
        <w:tc>
          <w:tcPr>
            <w:tcW w:w="675" w:type="dxa"/>
          </w:tcPr>
          <w:p w14:paraId="746A70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262CF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13C9D9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7654" w:type="dxa"/>
          </w:tcPr>
          <w:p w14:paraId="41B2F6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Трещины верхних слоев фюзеляжей</w:t>
            </w:r>
          </w:p>
        </w:tc>
      </w:tr>
      <w:tr w:rsidR="006F4095" w:rsidRPr="008127F8" w14:paraId="2F64CF08" w14:textId="77777777">
        <w:tc>
          <w:tcPr>
            <w:tcW w:w="675" w:type="dxa"/>
          </w:tcPr>
          <w:p w14:paraId="030098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48ED94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5D75AE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7654" w:type="dxa"/>
          </w:tcPr>
          <w:p w14:paraId="06A97E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Трещины, коробление, загнивание фанеры хвостовых обтекателей</w:t>
            </w:r>
          </w:p>
        </w:tc>
      </w:tr>
      <w:tr w:rsidR="006F4095" w:rsidRPr="008127F8" w14:paraId="2F4B65FF" w14:textId="77777777">
        <w:tc>
          <w:tcPr>
            <w:tcW w:w="675" w:type="dxa"/>
          </w:tcPr>
          <w:p w14:paraId="496723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14D524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4FDE53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7654" w:type="dxa"/>
          </w:tcPr>
          <w:p w14:paraId="1F3AD6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Глубокие трещины шпона хребтов киля и начало расслоения и загнивания</w:t>
            </w:r>
          </w:p>
        </w:tc>
      </w:tr>
      <w:tr w:rsidR="006F4095" w:rsidRPr="008127F8" w14:paraId="2795EF9C" w14:textId="77777777">
        <w:tc>
          <w:tcPr>
            <w:tcW w:w="675" w:type="dxa"/>
          </w:tcPr>
          <w:p w14:paraId="7A94C0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7B278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54BD64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654" w:type="dxa"/>
          </w:tcPr>
          <w:p w14:paraId="00CF30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Ослабление заклепок крепления швеллера моторной рамы к броне</w:t>
            </w:r>
          </w:p>
        </w:tc>
      </w:tr>
      <w:tr w:rsidR="006F4095" w:rsidRPr="008127F8" w14:paraId="7C344C4D" w14:textId="77777777">
        <w:tc>
          <w:tcPr>
            <w:tcW w:w="675" w:type="dxa"/>
          </w:tcPr>
          <w:p w14:paraId="3E160D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6F1F97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29F52D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654" w:type="dxa"/>
          </w:tcPr>
          <w:p w14:paraId="3DDA56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Люфт болтов фермы костыля</w:t>
            </w:r>
          </w:p>
        </w:tc>
      </w:tr>
      <w:tr w:rsidR="006F4095" w:rsidRPr="008127F8" w14:paraId="150C8EDA" w14:textId="77777777">
        <w:tc>
          <w:tcPr>
            <w:tcW w:w="675" w:type="dxa"/>
          </w:tcPr>
          <w:p w14:paraId="7D6018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6AA5B5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7221FE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654" w:type="dxa"/>
          </w:tcPr>
          <w:p w14:paraId="1D31A8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Люфт болтов противовесов руля глубины</w:t>
            </w:r>
          </w:p>
        </w:tc>
      </w:tr>
      <w:tr w:rsidR="006F4095" w:rsidRPr="008127F8" w14:paraId="3C0316BF" w14:textId="77777777">
        <w:tc>
          <w:tcPr>
            <w:tcW w:w="675" w:type="dxa"/>
          </w:tcPr>
          <w:p w14:paraId="1DD0FA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535D1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2CAFF8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7654" w:type="dxa"/>
          </w:tcPr>
          <w:p w14:paraId="75EA63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Ослабление заклепок кольца моторамы</w:t>
            </w:r>
          </w:p>
        </w:tc>
      </w:tr>
      <w:tr w:rsidR="006F4095" w:rsidRPr="008127F8" w14:paraId="4C57C6BA" w14:textId="77777777">
        <w:tc>
          <w:tcPr>
            <w:tcW w:w="675" w:type="dxa"/>
          </w:tcPr>
          <w:p w14:paraId="5D8C79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122B9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5C3737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654" w:type="dxa"/>
          </w:tcPr>
          <w:p w14:paraId="4D68E6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Трещины фанеры на стыке верхней части правой плоскости</w:t>
            </w:r>
          </w:p>
        </w:tc>
      </w:tr>
      <w:tr w:rsidR="006F4095" w:rsidRPr="008127F8" w14:paraId="2E0E2B3C" w14:textId="77777777">
        <w:tc>
          <w:tcPr>
            <w:tcW w:w="675" w:type="dxa"/>
          </w:tcPr>
          <w:p w14:paraId="5E6FB4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E7022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2ED750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7654" w:type="dxa"/>
          </w:tcPr>
          <w:p w14:paraId="1527AC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Деформация кока хвостовой части фюзеляжа</w:t>
            </w:r>
          </w:p>
        </w:tc>
      </w:tr>
      <w:tr w:rsidR="006F4095" w:rsidRPr="008127F8" w14:paraId="360A928E" w14:textId="77777777">
        <w:tc>
          <w:tcPr>
            <w:tcW w:w="675" w:type="dxa"/>
          </w:tcPr>
          <w:p w14:paraId="709D76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63DD1C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34AA0A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7654" w:type="dxa"/>
          </w:tcPr>
          <w:p w14:paraId="7A4EA4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Люфт в болтах тяг управления флетнерами элеронов</w:t>
            </w:r>
          </w:p>
        </w:tc>
      </w:tr>
      <w:tr w:rsidR="006F4095" w:rsidRPr="008127F8" w14:paraId="24733B7C" w14:textId="77777777">
        <w:tc>
          <w:tcPr>
            <w:tcW w:w="675" w:type="dxa"/>
          </w:tcPr>
          <w:p w14:paraId="4EA51E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2F8B9C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1A0A25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7654" w:type="dxa"/>
          </w:tcPr>
          <w:p w14:paraId="124CB9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Отставание фанеры от дуги верхней части плоскости</w:t>
            </w:r>
          </w:p>
        </w:tc>
      </w:tr>
      <w:tr w:rsidR="006F4095" w:rsidRPr="008127F8" w14:paraId="69DDB037" w14:textId="77777777">
        <w:tc>
          <w:tcPr>
            <w:tcW w:w="675" w:type="dxa"/>
          </w:tcPr>
          <w:p w14:paraId="73BDBB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50C33B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6CBBD7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7654" w:type="dxa"/>
          </w:tcPr>
          <w:p w14:paraId="7D52BB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Травление воздуха в соединениях и кранах</w:t>
            </w:r>
          </w:p>
        </w:tc>
      </w:tr>
      <w:tr w:rsidR="006F4095" w:rsidRPr="008127F8" w14:paraId="50168249" w14:textId="77777777">
        <w:tc>
          <w:tcPr>
            <w:tcW w:w="675" w:type="dxa"/>
          </w:tcPr>
          <w:p w14:paraId="78BE22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13E26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516" w:type="dxa"/>
          </w:tcPr>
          <w:p w14:paraId="3867FB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7654" w:type="dxa"/>
          </w:tcPr>
          <w:p w14:paraId="083ABA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 контровых гаек на штоках узлов 10 нервюры левой плоскости крепления элеронов</w:t>
            </w:r>
          </w:p>
        </w:tc>
      </w:tr>
      <w:tr w:rsidR="006F4095" w:rsidRPr="008127F8" w14:paraId="60E0490C" w14:textId="77777777">
        <w:tc>
          <w:tcPr>
            <w:tcW w:w="675" w:type="dxa"/>
          </w:tcPr>
          <w:p w14:paraId="0A9115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AF351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516" w:type="dxa"/>
          </w:tcPr>
          <w:p w14:paraId="63899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7654" w:type="dxa"/>
          </w:tcPr>
          <w:p w14:paraId="3181EF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Поломаны узлы пирамиды крепления амортизационной стойки костыля</w:t>
            </w:r>
          </w:p>
        </w:tc>
      </w:tr>
      <w:tr w:rsidR="006F4095" w:rsidRPr="008127F8" w14:paraId="6C3F7EC6" w14:textId="77777777">
        <w:tc>
          <w:tcPr>
            <w:tcW w:w="675" w:type="dxa"/>
          </w:tcPr>
          <w:p w14:paraId="175F3B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B7BB9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516" w:type="dxa"/>
          </w:tcPr>
          <w:p w14:paraId="14754B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654" w:type="dxa"/>
          </w:tcPr>
          <w:p w14:paraId="72CE37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Откололся зарядный штуцер аморт. стойки шасси</w:t>
            </w:r>
          </w:p>
        </w:tc>
      </w:tr>
      <w:tr w:rsidR="00687FE2" w:rsidRPr="008127F8" w14:paraId="48C6FBCA" w14:textId="77777777">
        <w:tc>
          <w:tcPr>
            <w:tcW w:w="675" w:type="dxa"/>
            <w:tcBorders>
              <w:bottom w:val="single" w:sz="12" w:space="0" w:color="auto"/>
            </w:tcBorders>
          </w:tcPr>
          <w:p w14:paraId="5AEF60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Borders>
              <w:bottom w:val="single" w:sz="12" w:space="0" w:color="auto"/>
            </w:tcBorders>
          </w:tcPr>
          <w:p w14:paraId="2C6531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516" w:type="dxa"/>
            <w:tcBorders>
              <w:bottom w:val="single" w:sz="12" w:space="0" w:color="auto"/>
            </w:tcBorders>
          </w:tcPr>
          <w:p w14:paraId="413600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654" w:type="dxa"/>
            <w:tcBorders>
              <w:bottom w:val="single" w:sz="12" w:space="0" w:color="auto"/>
            </w:tcBorders>
          </w:tcPr>
          <w:p w14:paraId="4FC161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Болт перестановки правой педали при даче ноги заскочил за перегородку, заело педаль, самолет поломан (1753,249)</w:t>
            </w:r>
          </w:p>
        </w:tc>
      </w:tr>
    </w:tbl>
    <w:p w14:paraId="14B651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C6C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 марта по 20 мая 1942 в НИИ ВВС проходили испытания Пе-2 N 3/6 (1077,325).</w:t>
      </w:r>
    </w:p>
    <w:p w14:paraId="41CC6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973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 марта по 8 мая 1942 в Новосибирске продолжизись заводские испытания ТИС (2А) Н.Н.П. (10535,34).</w:t>
      </w:r>
    </w:p>
    <w:p w14:paraId="34A66F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935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w:t>
      </w:r>
      <w:r w:rsidRPr="008127F8">
        <w:rPr>
          <w:rFonts w:ascii="Times New Roman" w:hAnsi="Times New Roman"/>
          <w:color w:val="000000" w:themeColor="text1"/>
          <w:sz w:val="16"/>
          <w:szCs w:val="16"/>
        </w:rPr>
        <w:softHyphen/>
        <w:t>та 1942 г. закончился капитальный ремонт на заводе № 51 И-185 № 6202 («РМ», 02), который пролежал на земле под открытым небом на мес</w:t>
      </w:r>
      <w:r w:rsidRPr="008127F8">
        <w:rPr>
          <w:rFonts w:ascii="Times New Roman" w:hAnsi="Times New Roman"/>
          <w:color w:val="000000" w:themeColor="text1"/>
          <w:sz w:val="16"/>
          <w:szCs w:val="16"/>
        </w:rPr>
        <w:softHyphen/>
        <w:t>те аварии с октября 1941 до января 1942. Кроме этой машины, в филиале ремонтиро</w:t>
      </w:r>
      <w:r w:rsidRPr="008127F8">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123382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338650F7" w14:textId="77777777">
        <w:tc>
          <w:tcPr>
            <w:tcW w:w="675" w:type="dxa"/>
            <w:tcBorders>
              <w:top w:val="single" w:sz="12" w:space="0" w:color="auto"/>
            </w:tcBorders>
          </w:tcPr>
          <w:p w14:paraId="5D1A8D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5EC3A1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121D54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0A3A65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7D5B7B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39956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1ABDF648" w14:textId="77777777">
        <w:tc>
          <w:tcPr>
            <w:tcW w:w="675" w:type="dxa"/>
            <w:tcBorders>
              <w:bottom w:val="single" w:sz="12" w:space="0" w:color="auto"/>
            </w:tcBorders>
          </w:tcPr>
          <w:p w14:paraId="42DCDB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993" w:type="dxa"/>
            <w:tcBorders>
              <w:bottom w:val="single" w:sz="12" w:space="0" w:color="auto"/>
            </w:tcBorders>
          </w:tcPr>
          <w:p w14:paraId="2DDE0A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w:t>
            </w:r>
          </w:p>
        </w:tc>
        <w:tc>
          <w:tcPr>
            <w:tcW w:w="708" w:type="dxa"/>
            <w:tcBorders>
              <w:bottom w:val="single" w:sz="12" w:space="0" w:color="auto"/>
            </w:tcBorders>
          </w:tcPr>
          <w:p w14:paraId="3A542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Летный отряд</w:t>
            </w:r>
          </w:p>
        </w:tc>
        <w:tc>
          <w:tcPr>
            <w:tcW w:w="1418" w:type="dxa"/>
            <w:tcBorders>
              <w:bottom w:val="single" w:sz="12" w:space="0" w:color="auto"/>
            </w:tcBorders>
          </w:tcPr>
          <w:p w14:paraId="4A966E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И.М.Скороходов</w:t>
            </w:r>
          </w:p>
        </w:tc>
        <w:tc>
          <w:tcPr>
            <w:tcW w:w="2364" w:type="dxa"/>
            <w:tcBorders>
              <w:bottom w:val="single" w:sz="12" w:space="0" w:color="auto"/>
            </w:tcBorders>
          </w:tcPr>
          <w:p w14:paraId="081D40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ПС-84 транспортного</w:t>
            </w:r>
          </w:p>
        </w:tc>
        <w:tc>
          <w:tcPr>
            <w:tcW w:w="4440" w:type="dxa"/>
            <w:tcBorders>
              <w:bottom w:val="single" w:sz="12" w:space="0" w:color="auto"/>
            </w:tcBorders>
          </w:tcPr>
          <w:p w14:paraId="655220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 с недостаточно подогретым карбюратором по вине л и б/м</w:t>
            </w:r>
          </w:p>
        </w:tc>
      </w:tr>
    </w:tbl>
    <w:p w14:paraId="049DED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39BD07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AB8FC"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марта 1942 г</w:t>
      </w:r>
    </w:p>
    <w:p w14:paraId="6CE75397"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Письмо главного инженера завода № 82 А. Г. Таканаева председателю ГКО СССР И. В. Сталину о производстве авиационного дизеля М-30</w:t>
      </w:r>
    </w:p>
    <w:p w14:paraId="017EC2F8"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марта 1942 г.</w:t>
      </w:r>
    </w:p>
    <w:p w14:paraId="770A41FD"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ГКО Союза ССР от 14 марта 1942 г. за № 1440 производство авиационного дизеля М-30 прекращается, а завод № 82 ликвидируется. Оборудование и кадры завода № 82 передаются заводу № 45</w:t>
      </w:r>
    </w:p>
    <w:p w14:paraId="5F9272F5"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Считая, что данное постановление Вами подписано в результате одностороннего, неполного и неправильного освещения степени готовности авиационного дизеля М-30 к запуску в серию и его производственной базы, докладываю:</w:t>
      </w:r>
    </w:p>
    <w:p w14:paraId="1051038A"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Авиадизель М-30 дважды прошел 100-часовые государственные стендовые испытания. Последние 100-часовые испытания проведены в конце февраля месяа сего года после ряда летных испытаний. Этот же дизель в июне 1941 г. прошел 100-часовые стендовые испытания на повышенных режимах взлета 1750 л. с. и номинала 1500 л. с. Кроме этого на стенде проведены длительные 200-часовые </w:t>
      </w:r>
      <w:proofErr w:type="gramStart"/>
      <w:r w:rsidRPr="008A2E5A">
        <w:rPr>
          <w:rFonts w:ascii="Times New Roman" w:hAnsi="Times New Roman"/>
          <w:color w:val="0070C0"/>
          <w:sz w:val="16"/>
          <w:szCs w:val="16"/>
        </w:rPr>
        <w:t>испыания  на</w:t>
      </w:r>
      <w:proofErr w:type="gramEnd"/>
      <w:r w:rsidRPr="008A2E5A">
        <w:rPr>
          <w:rFonts w:ascii="Times New Roman" w:hAnsi="Times New Roman"/>
          <w:color w:val="0070C0"/>
          <w:sz w:val="16"/>
          <w:szCs w:val="16"/>
        </w:rPr>
        <w:t xml:space="preserve"> надежность мотора М-30. В настоящее время на самолете ТБ-7 проходят официальные длительные летные испытания; 20 часов летных испытаний прошли, последующее продолжение их задерживалось отсутствием погоды и недостатком антифриза.</w:t>
      </w:r>
    </w:p>
    <w:p w14:paraId="0F017324"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Основной недочет дизеля М-30 — самовыключение на высотах более 4 тыс. м — заводом № 82 устранен. Спроектированные, изготовленные и испытанные на стенде нагнетатели со снятием всех характеристик полностью себя оправдали.</w:t>
      </w:r>
    </w:p>
    <w:p w14:paraId="45AAF3C9"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Завод № 82 представляет собой полностью технологически укомплектованный авиадизельный завод, подготовленный к пуску на старых площадях не позже 10 апреля. Из общего числа 750 ед. металлорежущего оборудования 600 ед. завезены на площадку, установлены на свои места, выверены и находятся в стадии подключения к силовой электроэнергии. Оборудование горячих цехов (термического, кузнечного, гльванического и др.), а также лаборатории и энергетическое х[озяйст]во полностью обеспечено и будет пущено не позже 10 апреля.</w:t>
      </w:r>
    </w:p>
    <w:p w14:paraId="4A573957"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Завод № 82 располагает обученными трехлетним опытным производством авицизелей кадрами.</w:t>
      </w:r>
    </w:p>
    <w:p w14:paraId="0F3F97D9"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Запущено и находится в незавершенном производстве до 200 моторов М-30.</w:t>
      </w:r>
    </w:p>
    <w:p w14:paraId="15B12020"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Имеется совершенно достаточная на первое время оснастка специальными станками, инструментами и приспособлениями.</w:t>
      </w:r>
    </w:p>
    <w:p w14:paraId="472A1942"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Из указанного явствует, что авиадизель М-30 имеет все необходимое и </w:t>
      </w:r>
      <w:proofErr w:type="gramStart"/>
      <w:r w:rsidRPr="008A2E5A">
        <w:rPr>
          <w:rFonts w:ascii="Times New Roman" w:hAnsi="Times New Roman"/>
          <w:color w:val="0070C0"/>
          <w:sz w:val="16"/>
          <w:szCs w:val="16"/>
        </w:rPr>
        <w:t>достагоч(</w:t>
      </w:r>
      <w:proofErr w:type="gramEnd"/>
      <w:r w:rsidRPr="008A2E5A">
        <w:rPr>
          <w:rFonts w:ascii="Times New Roman" w:hAnsi="Times New Roman"/>
          <w:color w:val="0070C0"/>
          <w:sz w:val="16"/>
          <w:szCs w:val="16"/>
        </w:rPr>
        <w:t>)|</w:t>
      </w:r>
    </w:p>
    <w:p w14:paraId="3517C435"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ное для запуска в серийное производство, что выпуск авиадизелей может быть обеспе|111</w:t>
      </w:r>
    </w:p>
    <w:p w14:paraId="6BCEE6D0"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чен с апреля месяца сего года.</w:t>
      </w:r>
    </w:p>
    <w:p w14:paraId="7B79B74A"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Намеченный НКАП на основе решения ГКО демонтаж завода № 82, перевод его на площади завода № 45 и полная ликвидация единственного авиадизельного завода по моему мнению:</w:t>
      </w:r>
    </w:p>
    <w:p w14:paraId="07798A4C"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Не отвечает целям максимального увеличения выпуска боевых моторов в кратчайшие сроки. Независимо от типа производимого мотора М-30 или АМ-38 демонтаж и монтаж оборудования на з[аво]де № 45 вызовет потерю не менее 3-4 месяцев времени!</w:t>
      </w:r>
    </w:p>
    <w:p w14:paraId="5CBB3530"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Прекращение производства авиадизеля М-30 и полная ликвидация единственной в Союзе базы исключает всякую возможность на ближайшие несколько лет иметь авиационный дизель. Кроме того, указанное обстоятельство исключает всякую возможность проведения того минимума работ, которые необходимы для окончательной доработки уже реально имеющегося работоспособного дизеля М-30.</w:t>
      </w:r>
    </w:p>
    <w:p w14:paraId="14F45964"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Эти мероприятия лишают страну цельного укомплектованного авиамоторного завода. Завод № 45 укомплектовывается и может быть укомплектован без ущерба программе выпуска моторов и ликвидации единственного авиационного завода путем хозяйственно правильного перераспределения оборудования Куйбышевского, Уфимского, Казанского и других заводов НКАП, на каждом из которых сосредоточены богатейшие комплекты 3-4 моторных заводов с огромными неиспользуемыми излишками оборудования и кадров.</w:t>
      </w:r>
    </w:p>
    <w:p w14:paraId="7D161AD4"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Ликвидация производственной базы авиационных дизелей и прекращении производства М-30 лишает страну на продолжение нескольких лет авиационного мотора, обладающего преимуществами: а) работы на дешевом низкооктановом топливе (газойль, дизельное топливо и тракторный керосин); б) расширения топливным ресурсов страны; в) безопасности в пожарном отношении. Самолет с дизелем не горит под действием любого калибра пулеметов и даже пушек, тогда как 90% самолетов с бензиновыми моторами гибнут вместе с экипажем от воспламенения; г) расхода почтит 50% топлива, нежели любой бензиновый мотор; д) вдвое большего радиуса действия по сравнению с бензиновыми моторами. Самолеты с дизель-моторами способны поражать самые далекие цели врага; е) увеличения вдвое большей полезной грузоподъемности самолета по сравнению с бензиновым мотором, ибо он вдвое меньше потребляет топлива.</w:t>
      </w:r>
    </w:p>
    <w:p w14:paraId="54103E7C"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Дорогой Иосиф Виссарионович.</w:t>
      </w:r>
    </w:p>
    <w:p w14:paraId="0E3A0479"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два года существования дизеля М-30 с момента выпуска на него чертежей завод № 82 как дизельная база ликвидируется и восстанавливается третий раз. Первый раз — передачей его в качестве филиала заводу № 24 под производство АМ-35. Второй раз — слиянием его с заводом № 27, ныне № 16, под производство М-105. Третий раз — передачей заводу № 45, согласно последнему решению, под производство АМ-38.</w:t>
      </w:r>
    </w:p>
    <w:p w14:paraId="62CA5F3C"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продолжение всего этого периода завод был лишен всякой возможности проводить летные испытания дизеля М-30 и работать над исключением выявленных при этом дефектов. В этом главная причина отсутствия дизеля М-30 до сего времени.</w:t>
      </w:r>
    </w:p>
    <w:p w14:paraId="08B4735E"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Указанные выше ненормальности и приведенные мною доводы убеждают в том, что решение Государственного комитета обороны Союза ССР за № 1440 Вами подписано в результате неправильной совершенно односторонней информации, без знания истинного положения дел по авиационным дизелям. А поэтому, считаю своим долгом просить Вас: 1. Пересмотреть решение ГКО Союза ССР № 1440 от 14 марта с.г., 2 не прекращать производство авиадизеля М-30, 3. Не лишать дизель М-30 его производственной базы.</w:t>
      </w:r>
    </w:p>
    <w:p w14:paraId="0DBA8636"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 завода сделает все для того, чтобы обеспечит с апреля сего года выпуск авиадизелей, способных надежно и безотказно громить любую далекую цель на территории врага. Коллектив завода готов на любую самоотверженную работу, горит желанием дать мотор, который бы к успехам на фронте добавил успехи разгрома вражеского тыла.</w:t>
      </w:r>
    </w:p>
    <w:p w14:paraId="47BB8DC6"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Постановление ГКО СССР № 1440сс «О заводе № 45» от 14 марта 1942 г. (РГАСПИ. Ф. 644. On. 1.</w:t>
      </w:r>
    </w:p>
    <w:p w14:paraId="013ABBB3"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Л. 96) (23612).</w:t>
      </w:r>
    </w:p>
    <w:p w14:paraId="453F828A" w14:textId="77777777" w:rsidR="00B76DF7" w:rsidRPr="008A2E5A" w:rsidRDefault="00B76DF7" w:rsidP="00B76DF7">
      <w:pPr>
        <w:spacing w:after="0" w:line="240" w:lineRule="auto"/>
        <w:jc w:val="both"/>
        <w:rPr>
          <w:rFonts w:ascii="Times New Roman" w:hAnsi="Times New Roman"/>
          <w:color w:val="0070C0"/>
          <w:sz w:val="16"/>
          <w:szCs w:val="16"/>
        </w:rPr>
      </w:pPr>
    </w:p>
    <w:p w14:paraId="23E7866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41B87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011FE"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 г.</w:t>
      </w:r>
    </w:p>
    <w:p w14:paraId="7C5F0726" w14:textId="5290E335"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120 – 121</w:t>
      </w:r>
      <w:r w:rsidR="008127F8">
        <w:rPr>
          <w:rFonts w:ascii="Times New Roman" w:hAnsi="Times New Roman"/>
          <w:color w:val="000000" w:themeColor="text1"/>
          <w:sz w:val="16"/>
          <w:szCs w:val="16"/>
        </w:rPr>
        <w:t xml:space="preserve">  </w:t>
      </w:r>
    </w:p>
    <w:p w14:paraId="64A240C0" w14:textId="31EB0F71"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3F9B0102" w14:textId="4AF106EB"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по ВЧ</w:t>
      </w:r>
      <w:r w:rsidR="008127F8">
        <w:rPr>
          <w:rFonts w:ascii="Times New Roman" w:hAnsi="Times New Roman"/>
          <w:color w:val="000000" w:themeColor="text1"/>
          <w:sz w:val="16"/>
          <w:szCs w:val="16"/>
        </w:rPr>
        <w:t xml:space="preserve">  </w:t>
      </w:r>
    </w:p>
    <w:p w14:paraId="38827BD9"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для СТЗ</w:t>
      </w:r>
    </w:p>
    <w:p w14:paraId="00D610AC"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F4A4BFC"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5051D08C"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279с</w:t>
      </w:r>
    </w:p>
    <w:p w14:paraId="6DBA7392"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24F08EFE"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 г.</w:t>
      </w:r>
    </w:p>
    <w:p w14:paraId="3BAA6FEE" w14:textId="5F5E1C11"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к производству топливной аппаратуры (насосы и форсунки) на СТЗ проходит явно неудовлетворительно, до сих пор фактически не сдано ни одного комплекта при плане на 20 дней марта – 90 комплектов.</w:t>
      </w:r>
      <w:r w:rsidR="008127F8">
        <w:rPr>
          <w:rFonts w:ascii="Times New Roman" w:hAnsi="Times New Roman"/>
          <w:color w:val="000000" w:themeColor="text1"/>
          <w:sz w:val="16"/>
          <w:szCs w:val="16"/>
        </w:rPr>
        <w:t xml:space="preserve">  </w:t>
      </w:r>
    </w:p>
    <w:p w14:paraId="1494C625" w14:textId="78E36EEA"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моторных заводов топливной аппаратурой в настоящее время лежит на одном Кировском заводе и в связи с острым дефицитом, перевозки производятся исключительно самолетами. Моторные заводы и особенно СТЗ ежедневно испытывают перебои в поставке насосов и форсунок.</w:t>
      </w:r>
      <w:r w:rsidR="008127F8">
        <w:rPr>
          <w:rFonts w:ascii="Times New Roman" w:hAnsi="Times New Roman"/>
          <w:color w:val="000000" w:themeColor="text1"/>
          <w:sz w:val="16"/>
          <w:szCs w:val="16"/>
        </w:rPr>
        <w:t xml:space="preserve">  </w:t>
      </w:r>
    </w:p>
    <w:p w14:paraId="2A823443" w14:textId="01E13F7D"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Учитывая все это Правительство своим решением от 1.II-1942 г. передало цех топливной аппаратуры Куйбышевского Карбюраторного завода СТЗ. Однако руководители СТЗ (т. Задорожный, т. Демьянович) видимо не поняли всей остроты с топливной аппаратурой и не приняли всех необходимых мер к быстрейшему пуску цеха.</w:t>
      </w:r>
      <w:r w:rsidR="008127F8">
        <w:rPr>
          <w:rFonts w:ascii="Times New Roman" w:hAnsi="Times New Roman"/>
          <w:color w:val="000000" w:themeColor="text1"/>
          <w:sz w:val="16"/>
          <w:szCs w:val="16"/>
        </w:rPr>
        <w:t xml:space="preserve">  </w:t>
      </w:r>
    </w:p>
    <w:p w14:paraId="601BB85E" w14:textId="68A4081C"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производства дизельмоторов В-2 на СТЗ насосами и форсунками собственного производства ПРИКАЗЫВАЮ:</w:t>
      </w:r>
      <w:r w:rsidR="008127F8">
        <w:rPr>
          <w:rFonts w:ascii="Times New Roman" w:hAnsi="Times New Roman"/>
          <w:color w:val="000000" w:themeColor="text1"/>
          <w:sz w:val="16"/>
          <w:szCs w:val="16"/>
        </w:rPr>
        <w:t xml:space="preserve">  </w:t>
      </w:r>
    </w:p>
    <w:p w14:paraId="227CD9AC" w14:textId="33821FB6"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Под личную ответственность т. Задорожного и т. Демьяновича обеспечить выполнение графика изготовления насосов и форсунок в марте и апреле месяцах на СТЗ:</w:t>
      </w:r>
      <w:r w:rsidR="008127F8">
        <w:rPr>
          <w:rFonts w:ascii="Times New Roman" w:hAnsi="Times New Roman"/>
          <w:color w:val="000000" w:themeColor="text1"/>
          <w:sz w:val="16"/>
          <w:szCs w:val="16"/>
        </w:rPr>
        <w:t xml:space="preserve">  </w:t>
      </w:r>
    </w:p>
    <w:p w14:paraId="2AB76810" w14:textId="0D5E45DB"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марта по 2 комплекта ежесуточно</w:t>
      </w:r>
      <w:r w:rsidR="008127F8">
        <w:rPr>
          <w:rFonts w:ascii="Times New Roman" w:hAnsi="Times New Roman"/>
          <w:color w:val="000000" w:themeColor="text1"/>
          <w:sz w:val="16"/>
          <w:szCs w:val="16"/>
        </w:rPr>
        <w:t xml:space="preserve">  </w:t>
      </w:r>
    </w:p>
    <w:p w14:paraId="591FF9B7" w14:textId="507B5B3B"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10 апреля по 4 комплекта ежесуточно</w:t>
      </w:r>
      <w:r w:rsidR="008127F8">
        <w:rPr>
          <w:rFonts w:ascii="Times New Roman" w:hAnsi="Times New Roman"/>
          <w:color w:val="000000" w:themeColor="text1"/>
          <w:sz w:val="16"/>
          <w:szCs w:val="16"/>
        </w:rPr>
        <w:t xml:space="preserve">  </w:t>
      </w:r>
    </w:p>
    <w:p w14:paraId="3ABBBB65" w14:textId="55BD6745"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 по 20 апреля по 6 комплектов ежесуточно</w:t>
      </w:r>
      <w:r w:rsidR="008127F8">
        <w:rPr>
          <w:rFonts w:ascii="Times New Roman" w:hAnsi="Times New Roman"/>
          <w:color w:val="000000" w:themeColor="text1"/>
          <w:sz w:val="16"/>
          <w:szCs w:val="16"/>
        </w:rPr>
        <w:t xml:space="preserve">  </w:t>
      </w:r>
    </w:p>
    <w:p w14:paraId="4F10EA55" w14:textId="62ED2B6B"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25 апреля по 8 комплектов ежесуточно</w:t>
      </w:r>
      <w:r w:rsidR="008127F8">
        <w:rPr>
          <w:rFonts w:ascii="Times New Roman" w:hAnsi="Times New Roman"/>
          <w:color w:val="000000" w:themeColor="text1"/>
          <w:sz w:val="16"/>
          <w:szCs w:val="16"/>
        </w:rPr>
        <w:t xml:space="preserve">  </w:t>
      </w:r>
    </w:p>
    <w:p w14:paraId="56FA9425" w14:textId="1A38DCFF"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по 30 апреля по 10 комплектов ежесуточно</w:t>
      </w:r>
      <w:r w:rsidR="008127F8">
        <w:rPr>
          <w:rFonts w:ascii="Times New Roman" w:hAnsi="Times New Roman"/>
          <w:color w:val="000000" w:themeColor="text1"/>
          <w:sz w:val="16"/>
          <w:szCs w:val="16"/>
        </w:rPr>
        <w:t xml:space="preserve">  </w:t>
      </w:r>
    </w:p>
    <w:p w14:paraId="66124467" w14:textId="41A499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начиная с 1 мая полностью обеспечивать себя насосами и форсунками собственного производства.</w:t>
      </w:r>
      <w:r w:rsidR="008127F8">
        <w:rPr>
          <w:rFonts w:ascii="Times New Roman" w:hAnsi="Times New Roman"/>
          <w:color w:val="000000" w:themeColor="text1"/>
          <w:sz w:val="16"/>
          <w:szCs w:val="16"/>
        </w:rPr>
        <w:t xml:space="preserve">  </w:t>
      </w:r>
    </w:p>
    <w:p w14:paraId="65D71203" w14:textId="37E4C948"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Предупредить т. Задорожного и т. Демьяновича, что на указанные в графике количества Кировский завод уменьшит поставку насосов и форсунок СТЗ, начиная с 25 марта, а с 1 мая вовсе прекратит их поставку.</w:t>
      </w:r>
      <w:r w:rsidR="008127F8">
        <w:rPr>
          <w:rFonts w:ascii="Times New Roman" w:hAnsi="Times New Roman"/>
          <w:color w:val="000000" w:themeColor="text1"/>
          <w:sz w:val="16"/>
          <w:szCs w:val="16"/>
        </w:rPr>
        <w:t xml:space="preserve">  </w:t>
      </w:r>
    </w:p>
    <w:p w14:paraId="06DADAD4" w14:textId="37F94530"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Тов. Задорожному ежедневно по ВЧ при передаче выпуска сообщать о выпуске насосов и форсунок.</w:t>
      </w:r>
      <w:r w:rsidR="008127F8">
        <w:rPr>
          <w:rFonts w:ascii="Times New Roman" w:hAnsi="Times New Roman"/>
          <w:color w:val="000000" w:themeColor="text1"/>
          <w:sz w:val="16"/>
          <w:szCs w:val="16"/>
        </w:rPr>
        <w:t xml:space="preserve">  </w:t>
      </w:r>
    </w:p>
    <w:p w14:paraId="1509B369"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Контроль за выполнением настоящего приказа возложить на тов. Давтян.</w:t>
      </w:r>
    </w:p>
    <w:p w14:paraId="3034860F"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СССР</w:t>
      </w:r>
    </w:p>
    <w:p w14:paraId="6A07A8CA"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МАЛЫШЕВ В.А.</w:t>
      </w:r>
    </w:p>
    <w:p w14:paraId="42E34831" w14:textId="77777777" w:rsidR="00D23531" w:rsidRPr="008127F8" w:rsidRDefault="00D2353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(18600).</w:t>
      </w:r>
    </w:p>
    <w:p w14:paraId="24554E7A" w14:textId="77777777" w:rsidR="00D23531" w:rsidRPr="008127F8" w:rsidRDefault="00D23531" w:rsidP="001E0A84">
      <w:pPr>
        <w:spacing w:after="0" w:line="240" w:lineRule="auto"/>
        <w:jc w:val="both"/>
        <w:rPr>
          <w:rFonts w:ascii="Times New Roman" w:hAnsi="Times New Roman"/>
          <w:color w:val="000000" w:themeColor="text1"/>
          <w:sz w:val="16"/>
          <w:szCs w:val="16"/>
        </w:rPr>
      </w:pPr>
    </w:p>
    <w:p w14:paraId="77B06D8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 года решение исполкома Моссовета № 515/53с и приказ № 274 мс НКТП</w:t>
      </w:r>
    </w:p>
    <w:p w14:paraId="466660E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СНК от 7 января 1942 года о создании на площадях московского завода № 37 – его филиала, временно организованный авторемонтный завод № 6 Управления Авторемзаводов Мосгорисполкома – считать ликвидированным (6120, 111а).</w:t>
      </w:r>
    </w:p>
    <w:p w14:paraId="60A16D9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61F9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 г. вышел приказ НКСМ № 172с, в соответствиии с которым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8127F8">
        <w:rPr>
          <w:rFonts w:ascii="Times New Roman" w:hAnsi="Times New Roman"/>
          <w:color w:val="000000" w:themeColor="text1"/>
          <w:sz w:val="16"/>
          <w:szCs w:val="16"/>
        </w:rPr>
        <w:softHyphen/>
        <w:t>венных возможностей показал, что на ТМЗ выпуск М-72 невоз</w:t>
      </w:r>
      <w:r w:rsidRPr="008127F8">
        <w:rPr>
          <w:rFonts w:ascii="Times New Roman" w:hAnsi="Times New Roman"/>
          <w:color w:val="000000" w:themeColor="text1"/>
          <w:sz w:val="16"/>
          <w:szCs w:val="16"/>
        </w:rPr>
        <w:softHyphen/>
        <w:t>можен, поэтому с ТМЗ на ГМЗ передали специальное оборудова</w:t>
      </w:r>
      <w:r w:rsidRPr="008127F8">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8127F8">
        <w:rPr>
          <w:rFonts w:ascii="Times New Roman" w:hAnsi="Times New Roman"/>
          <w:color w:val="000000" w:themeColor="text1"/>
          <w:sz w:val="16"/>
          <w:szCs w:val="16"/>
        </w:rPr>
        <w:softHyphen/>
        <w:t>брали в сентябре [5.41]. Однако до конца 1942 г. на ТМЗ поступа</w:t>
      </w:r>
      <w:r w:rsidRPr="008127F8">
        <w:rPr>
          <w:rFonts w:ascii="Times New Roman" w:hAnsi="Times New Roman"/>
          <w:color w:val="000000" w:themeColor="text1"/>
          <w:sz w:val="16"/>
          <w:szCs w:val="16"/>
        </w:rPr>
        <w:softHyphen/>
        <w:t>ли заготовки деталей к М-72 [5.39].</w:t>
      </w:r>
    </w:p>
    <w:p w14:paraId="1C2770C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на ТМЗ для М-72 кое-что сделали. По собствен</w:t>
      </w:r>
      <w:r w:rsidRPr="008127F8">
        <w:rPr>
          <w:rFonts w:ascii="Times New Roman" w:hAnsi="Times New Roman"/>
          <w:color w:val="000000" w:themeColor="text1"/>
          <w:sz w:val="16"/>
          <w:szCs w:val="16"/>
        </w:rPr>
        <w:softHyphen/>
        <w:t>ной инициативе специалисты ТМЗ спроектировали новое двух</w:t>
      </w:r>
      <w:r w:rsidRPr="008127F8">
        <w:rPr>
          <w:rFonts w:ascii="Times New Roman" w:hAnsi="Times New Roman"/>
          <w:color w:val="000000" w:themeColor="text1"/>
          <w:sz w:val="16"/>
          <w:szCs w:val="16"/>
        </w:rPr>
        <w:softHyphen/>
        <w:t>дисковое сухое сцепление. От директора завода Г.Р. Ударова, на</w:t>
      </w:r>
      <w:r w:rsidRPr="008127F8">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8127F8">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301E32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8127F8">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117A7E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Великой Отечественной войны изготовленные мото</w:t>
      </w:r>
      <w:r w:rsidRPr="008127F8">
        <w:rPr>
          <w:rFonts w:ascii="Times New Roman" w:hAnsi="Times New Roman"/>
          <w:color w:val="000000" w:themeColor="text1"/>
          <w:sz w:val="16"/>
          <w:szCs w:val="16"/>
        </w:rPr>
        <w:softHyphen/>
        <w:t>циклы поступали на ММЗ, где к ним крепили мотоколяски, воо</w:t>
      </w:r>
      <w:r w:rsidRPr="008127F8">
        <w:rPr>
          <w:rFonts w:ascii="Times New Roman" w:hAnsi="Times New Roman"/>
          <w:color w:val="000000" w:themeColor="text1"/>
          <w:sz w:val="16"/>
          <w:szCs w:val="16"/>
        </w:rPr>
        <w:softHyphen/>
        <w:t>ружали и передавали представителям ГБТУ Красной Армии, ко</w:t>
      </w:r>
      <w:r w:rsidRPr="008127F8">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8127F8">
        <w:rPr>
          <w:rFonts w:ascii="Times New Roman" w:hAnsi="Times New Roman"/>
          <w:color w:val="000000" w:themeColor="text1"/>
          <w:sz w:val="16"/>
          <w:szCs w:val="16"/>
        </w:rPr>
        <w:softHyphen/>
        <w:t>товленной на заводах, не совпадали. Сведения ГБТУ, отража</w:t>
      </w:r>
      <w:r w:rsidRPr="008127F8">
        <w:rPr>
          <w:rFonts w:ascii="Times New Roman" w:hAnsi="Times New Roman"/>
          <w:color w:val="000000" w:themeColor="text1"/>
          <w:sz w:val="16"/>
          <w:szCs w:val="16"/>
        </w:rPr>
        <w:softHyphen/>
        <w:t>вшие оснащение вооруженных сил мотоциклами в 1942 г., приве</w:t>
      </w:r>
      <w:r w:rsidRPr="008127F8">
        <w:rPr>
          <w:rFonts w:ascii="Times New Roman" w:hAnsi="Times New Roman"/>
          <w:color w:val="000000" w:themeColor="text1"/>
          <w:sz w:val="16"/>
          <w:szCs w:val="16"/>
        </w:rPr>
        <w:softHyphen/>
        <w:t>дены в табл. 18 [5.45] (11429).</w:t>
      </w:r>
    </w:p>
    <w:p w14:paraId="234CC4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DD44D"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марта 1942 г. приказом наркома танковой промышленности завод № 183 обязывался выдать Уралмашзаводу всю необходимую документацию по корпусам, а УЗТМ была снижена программа по комплектам корпусов КВ (с 450 до 280) и установлена программа выпуска корпуса Т-34 на II квартал 1942 г. (в апреле, начиная с 10-го числа, - 75 комплектов, в мае - 125, в июне - 125)[429]. Дополнительно, согласно плану на II квартал 1942 г., УЗТМ производил литые башни к танку КВ-1 для завода № 200, а завод № 200 для Уралмашзавода - литые башни Т-34[430].</w:t>
      </w:r>
    </w:p>
    <w:p w14:paraId="75267AC4"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Изготовление башен Т-34 на Уралмаше сразу же пошло по литейной технологии, которая была уже хорошо отработана на башнях КВ. Именно это позволило относительно быстро создать технологию для башни среднего танка и внедрить ее не только на УЗТМ, но и на заводе № 200. Завод № 183, приступивший к отливке башен Т-34 раньше Уралмаша, вынужден был отказаться от своего способа выполнения наружного контура стержнями и перейти на изготовление в форме по типу </w:t>
      </w:r>
      <w:proofErr w:type="gramStart"/>
      <w:r w:rsidRPr="008A2E5A">
        <w:rPr>
          <w:rFonts w:ascii="Times New Roman" w:hAnsi="Times New Roman"/>
          <w:color w:val="0070C0"/>
          <w:sz w:val="16"/>
          <w:szCs w:val="16"/>
        </w:rPr>
        <w:t>УЗТМ[</w:t>
      </w:r>
      <w:proofErr w:type="gramEnd"/>
      <w:r w:rsidRPr="008A2E5A">
        <w:rPr>
          <w:rFonts w:ascii="Times New Roman" w:hAnsi="Times New Roman"/>
          <w:color w:val="0070C0"/>
          <w:sz w:val="16"/>
          <w:szCs w:val="16"/>
        </w:rPr>
        <w:t>431]. Именно литейная технология башни Т-34 позволила избавиться от трещин на этой детали среднего танка. Однако весь остальной корпус, с этой точки зрения, еще долго оставался большой проблемой.</w:t>
      </w:r>
    </w:p>
    <w:p w14:paraId="6040A783"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организации производства корпусов Т-34 в марте 1942 г. УЗТМ столкнулся с теми же проблемами, что и УТЗ. Большое количество трещин имелось на бортовых деталях (на первых порах трещины были развиты и на лобовой детали Т-</w:t>
      </w:r>
      <w:proofErr w:type="gramStart"/>
      <w:r w:rsidRPr="008A2E5A">
        <w:rPr>
          <w:rFonts w:ascii="Times New Roman" w:hAnsi="Times New Roman"/>
          <w:color w:val="0070C0"/>
          <w:sz w:val="16"/>
          <w:szCs w:val="16"/>
        </w:rPr>
        <w:t>34)[</w:t>
      </w:r>
      <w:proofErr w:type="gramEnd"/>
      <w:r w:rsidRPr="008A2E5A">
        <w:rPr>
          <w:rFonts w:ascii="Times New Roman" w:hAnsi="Times New Roman"/>
          <w:color w:val="0070C0"/>
          <w:sz w:val="16"/>
          <w:szCs w:val="16"/>
        </w:rPr>
        <w:t xml:space="preserve">432]. В большинстве случаев поражались броневые детали лобового выреза, балансирных вырезов и в районах сварки бортов с днищем. Размер трещин составлял от 10 до 100 мм, но большинство из них находились в зоне сварного шва и имели длину около 30 мм. После сварки корпуса на нем сразу же появлялись трещины, а со временем их количество и размер начинали увеличиваться. Новые трещины, обнаруженные после термической обработки, удалялись огнем газовой горелки и заваривались аустенитовым </w:t>
      </w:r>
      <w:proofErr w:type="gramStart"/>
      <w:r w:rsidRPr="008A2E5A">
        <w:rPr>
          <w:rFonts w:ascii="Times New Roman" w:hAnsi="Times New Roman"/>
          <w:color w:val="0070C0"/>
          <w:sz w:val="16"/>
          <w:szCs w:val="16"/>
        </w:rPr>
        <w:t>электродом[</w:t>
      </w:r>
      <w:proofErr w:type="gramEnd"/>
      <w:r w:rsidRPr="008A2E5A">
        <w:rPr>
          <w:rFonts w:ascii="Times New Roman" w:hAnsi="Times New Roman"/>
          <w:color w:val="0070C0"/>
          <w:sz w:val="16"/>
          <w:szCs w:val="16"/>
        </w:rPr>
        <w:t>433]. Но целостность корпуса уже была нарушена, соответственно, ослаблялась его бронестойкость.</w:t>
      </w:r>
    </w:p>
    <w:p w14:paraId="2B67459A"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Трудности в броневом производстве заставляли идти на изменение конструкции и технологии изготовления корпусов. Но это, в свою очередь, порождало новые, специфические проблемы. Заводы производили бронекорпуса, которые не соответствовали предъявляемым требованиям, даже сильно заниженным в условиях войны.</w:t>
      </w:r>
    </w:p>
    <w:p w14:paraId="33E5E5D6"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программа УТЗ по комплектам корпусов была значительно снижена (до 400 штук) по сравнению с мартовским планом в 620 комплектов. За счет роста собственного производства и поставок УЗТМ выполнение программы по изготовлению корпусов на УТЗ удалось довести во II квартале 1942 г. в среднем до 91,7 %, но в то же время завод № 183 ни разу не выполнил план полностью, даже с учетом поставок Уралмашзавода (см. таблицу 5.4 приложения).</w:t>
      </w:r>
    </w:p>
    <w:p w14:paraId="15AF01C3"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Мариуполе деталь танковой брони вырезали из броневого листа специальные обрезные станки. На восточных бронекорпусных заводах, где такого оборудования просто не имелось, настоящим спасением стало выжигание детали с помощью газовой резки. Но на месте среза металл перекалялся и трескался. При этом возможность применения газовой резки ограничивалась недостатком кислорода и позволяла выпускать на УЗТМ не более 10 комплектов в сутки. Поэтому главной задачей здесь стала скорейшая переброска, по решению ГКО, эвакуируемых кислородных установок и ввод в эксплуатацию строившихся, что позволило бы довести данное производство до 25 комплектов в </w:t>
      </w:r>
      <w:proofErr w:type="gramStart"/>
      <w:r w:rsidRPr="008A2E5A">
        <w:rPr>
          <w:rFonts w:ascii="Times New Roman" w:hAnsi="Times New Roman"/>
          <w:color w:val="0070C0"/>
          <w:sz w:val="16"/>
          <w:szCs w:val="16"/>
        </w:rPr>
        <w:t>сутки[</w:t>
      </w:r>
      <w:proofErr w:type="gramEnd"/>
      <w:r w:rsidRPr="008A2E5A">
        <w:rPr>
          <w:rFonts w:ascii="Times New Roman" w:hAnsi="Times New Roman"/>
          <w:color w:val="0070C0"/>
          <w:sz w:val="16"/>
          <w:szCs w:val="16"/>
        </w:rPr>
        <w:t>434].</w:t>
      </w:r>
    </w:p>
    <w:p w14:paraId="75E34019" w14:textId="77777777" w:rsidR="00B76DF7" w:rsidRPr="008A2E5A" w:rsidRDefault="00B76DF7" w:rsidP="00B76D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Тяжелое положение с трещинами на танковых корпусах стало естественным следствием особенностей создания бронепрокатного и корпусного производства в восточных регионах страны летом-осенью 1941 г. Этот процесс был осуществлен в предельно сжатые сроки в авральных условиях, а И.В. Сталин и его окружение требовали постоянно увеличивать выпуск танков. В течение всей первой половины 1942 г. уральские заводы непрерывно увеличивали выпуск корпусов и танков Т-34 (см. данные таблицы 2.1). Но в условиях, когда заводы вынуждены были все свое внимание сосредоточить только на количестве выпускаемой продукции, неизбежным итогом стало резкое сокращение качества боевых машин (23536).</w:t>
      </w:r>
    </w:p>
    <w:p w14:paraId="2A1EEA02" w14:textId="77777777" w:rsidR="00B76DF7" w:rsidRPr="008A2E5A" w:rsidRDefault="00B76DF7" w:rsidP="00B76DF7">
      <w:pPr>
        <w:spacing w:after="0" w:line="240" w:lineRule="auto"/>
        <w:jc w:val="both"/>
        <w:rPr>
          <w:rFonts w:ascii="Times New Roman" w:hAnsi="Times New Roman"/>
          <w:color w:val="0070C0"/>
          <w:sz w:val="16"/>
          <w:szCs w:val="16"/>
        </w:rPr>
      </w:pPr>
    </w:p>
    <w:p w14:paraId="532276E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C38ED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01FC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18 марта </w:t>
      </w:r>
      <w:r w:rsidRPr="008127F8">
        <w:rPr>
          <w:rFonts w:ascii="Times New Roman" w:hAnsi="Times New Roman"/>
          <w:color w:val="000000" w:themeColor="text1"/>
          <w:sz w:val="16"/>
          <w:szCs w:val="16"/>
        </w:rPr>
        <w:t>в 1942 году утреннее сообщение Совинформбюро:</w:t>
      </w:r>
    </w:p>
    <w:p w14:paraId="3D00114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18 марта на фронте каких-либо существенных изменений не произошло.</w:t>
      </w:r>
    </w:p>
    <w:p w14:paraId="46A4820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гвардейская часть, действующая на одном из участков Западного фронта, преодолев упорное сопротивление противника, заняла один населённый пункт. В бою уничтожено 6 немецких орудий, 36 автомашин, 2 бронемашины, 2 тягача, 4 пулемёта, 10 повозок с грузами и склад с боеприпасами. Противник потерял убитыми свыше 300 солдат и офицеров. Захвачены трофеи: 4 орудия, 7 миномётов, 11 ручных и 2 станковых пулемёта, 2 склада с боеприпасами, 5 мотоциклов и другое военное имущество. На другом участке наша стрелковая часть уничтожила 2 орудия, 8 миномётов, 6 пулемётов, два склада с боеприпасами и захватила 8 орудий, 7 миномётов, 12 пулемётов. На поле боя немцы оставили 120 трупов.</w:t>
      </w:r>
    </w:p>
    <w:p w14:paraId="301E06B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в двухдневных боях с противником нанесли большой урон живой силе и боевой технике гитлеровцев. На поле боя немцы оставили 2.150 трупов своих солдат и офицеров. Среди захваченных нашими войсками трофеев— 28 пулемётов, 8 миномётов, 27 автоматов, 15 ящиков снарядов, 55.000 винтовочных патронов, много пулемётных лент с патронами и другое вооружение.</w:t>
      </w:r>
    </w:p>
    <w:p w14:paraId="0AF453B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за населённый пункт одна наша часть (Юго-Западный фронт) разрушила 16 немецких ДЗОТов, захватила орудие, 2 пулемёта, 52 винтовки, 4 радиостанции я уничтожила 260 гитлеровцев.</w:t>
      </w:r>
    </w:p>
    <w:p w14:paraId="5A3CD7B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под командованием старшего лейтенанта Сидорова ворвался в деревню К., занятую немцами. Отважные танкисты разрушили 6 ДЗОТов, разгромили помещение штаба немецкого батальона и уничтожили до 80 солдат и офицеров противника.</w:t>
      </w:r>
    </w:p>
    <w:p w14:paraId="6B2C7CD1"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Отряд партизан под командованием тов. П., действующий в Калининской области, совершил внезапный налёт на подразделение немцев. В бою партизаны уничтожили 26 немецких оккупантов и захватили 4 пулемёта, 15 винтовок и 6 лошадей; несколько немецких солдат взято в плен.</w:t>
      </w:r>
    </w:p>
    <w:p w14:paraId="24BD4900"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457 полка 257 немецкой пехотной дивизии Эберхард Бесто рассказал: «Я прибыл в полк в начале февраля. До этого я находился в Германии и был подготовлен для работы санитаром. На фронте же меня зачислили стрелком. Ввиду больших потерь, понесённых дивизией, командование бросило на передовые позиции всех писарей, водителей машин, повозочных и других тыловиков. Последние дни мы находились в Ч. Этот населённый пункт подвергался усиленному обстрелу советской артиллерии и воздушным атакам. Наш полк понёс огромные потери. В некоторых ротах осталось всего по нескольку солдат».</w:t>
      </w:r>
    </w:p>
    <w:p w14:paraId="0CA64E35"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Гос в письме к некоей Леонтине Зас сообщает: «Мы уже зарезали почти весь скот; скоро не будет и картофеля, а тем более мяса. Забираем весь скот у крестьян. Даже последнюю корову или овцу берём, ничего ни у кого не спрашиваем».</w:t>
      </w:r>
    </w:p>
    <w:p w14:paraId="63130C7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людоеды истребляют мирных жителей оккупированных советских городов и сёл. В городе Таганроге только за последнее время замучены и расстреляны многие сотни людей. 18 января в городе неизвестными были убиты один немецкий офицер и 5 солдат. В связи с этим 19 января во дворе завода № 31 было расстреляно 300 ни в чём не повинных стариков, женщин и детей. 29 января на окраине города расстреляли 75 человек. 31 января расстреляно 35 женщин и детей, 4 февраля за повреждение телеграфной связи расстреляно 153 человека, 8 и 9 февраля расстреляно 250 человек.» (15072).</w:t>
      </w:r>
    </w:p>
    <w:p w14:paraId="6CD2EAF4"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728C80C8"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18 марта </w:t>
      </w:r>
      <w:r w:rsidRPr="008127F8">
        <w:rPr>
          <w:rFonts w:ascii="Times New Roman" w:hAnsi="Times New Roman"/>
          <w:color w:val="000000" w:themeColor="text1"/>
          <w:sz w:val="16"/>
          <w:szCs w:val="16"/>
        </w:rPr>
        <w:t>в 1942 году вечернее сообщение Совинформбюро:</w:t>
      </w:r>
    </w:p>
    <w:p w14:paraId="13357976"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марта на фронте ничего существенного не произошло.</w:t>
      </w:r>
    </w:p>
    <w:p w14:paraId="058160A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марта уничтожено 44 немецких самолёта. Наши потери—16 самолётов.</w:t>
      </w:r>
    </w:p>
    <w:p w14:paraId="4F650C9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марта частями нашей авиации уничтожено и повреждено 6 немецких танков, 55 орудий, 12 зенитно-пулемётных точек, 53 миномёта, 185 автомашин с войсками и грузами, около 100 повозок с боеприпасами, 7 автоцистерн с горючим, взорвано 4 склада с боеприпасами, рассеяно и частью уничтожено до 2 батальонов пехоты противника.</w:t>
      </w:r>
    </w:p>
    <w:p w14:paraId="72A16368"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части за пять дней боевых действий уничтожили 34 немецких ДЗОТа, 116 блиндажей, 6 танков, 3 орудия, 7 миномётов, 9 пулемётов и захватили 3 танка, 13 орудий, 35 пулемётов и другое военное имущество. Противник потерял только убитыми до 3.000 солдат и офицеров. На другом участке два батальона немецкой пехоты при поддержке трёх танков предприняли контратаку. Наши пехотинцы совместно с танкистами отбросили противника, нанеся ему большие потери. На поле боя осталось свыше 200 вражеских трупов и подбитый немецкий танк.</w:t>
      </w:r>
    </w:p>
    <w:p w14:paraId="346F897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где командиром тов. Усачев (Калининский фронт), за несколько дней упорных боёв с противником в районе одного крупного населённого пункта уничтожила 1.230 немецких солдат и офицеров. Среди захваченных нашими бойцами трофеев —11 пулемётов, 2 орудия, 3 миномёта, склад со снарядами и минами. Разбито 28 ДЗОТов, уничтожено 18 станковых пулемётов и 2 противотанковых орудия.</w:t>
      </w:r>
    </w:p>
    <w:p w14:paraId="35F9574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разведчики проникли в один занятый противником населённый пункт. Рабочий Иван Коваленко указал нашим бойцам место, где находились немецкие солдаты. Во время схватки советских разведчиков с врагом тов. Коваленко застрелил одного солдата и задержал немецкого офицера.</w:t>
      </w:r>
    </w:p>
    <w:p w14:paraId="3996D9DF"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Выбитые из одного населённого пункта на Северо-Западном фронте немцы стали подтягивать резервы для контратаки. О подходе резервов противника узнал колхозник В. и сообщил об этом в партизанский отряд. Партизаны устроили засаду на опушке леса и, подпустив немцев на близкое расстояние, открыли по ним огонь. Отступая, гитлеровцы попали на минное поле. На минах взорвались 4 автомашины с солдатами.</w:t>
      </w:r>
    </w:p>
    <w:p w14:paraId="6B3122FD"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лейтенант 9 роты 260 полка 113 немецкой пехотной дивизии Ганс Гофакер рассказал: «Наша дивизия была разгромлена в сентябре прошлого года. В течение 48 часов из её рядов выбыло до 60 процентов личного состава. Осенью остатки дивизии были переброшены в Югославию на борьбу против сербских партизан. Местные жители при первом удобном случае наносили нам удары в спину. Постоянные набеги партизан измучили нас.</w:t>
      </w:r>
    </w:p>
    <w:p w14:paraId="57184217"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Ночью мы боялись выходить на улицу, так как там часто убивали немецких солдат. Одного часового задушили на посту. В конце декабря дивизия неожиданно была снова переброшена на советско-германский фронт. Известие о возвращении на советско-германский фронт вызвало в частях крайнее недовольство. Солдаты ругались и проклинали свою судьбу. Солдат Паули — первый балагур и весельчак — совсем преобразился, помрачнел. Он всё время плакал и молился. Унтер-офицеры Кренклер и Винд вслух говорили, что при первой возможности они сбегут из части. Последний бой, в котором участвовала 9 рота, длился всего 45 минут. Из моего взвода уцелел только я один». В заключение пленный Гофакер сообщил, что в декабре перед отъездом на фронт он был у своих родителей в городе Везель. «То, что я увидел </w:t>
      </w:r>
      <w:proofErr w:type="gramStart"/>
      <w:r w:rsidRPr="008127F8">
        <w:rPr>
          <w:rFonts w:ascii="Times New Roman" w:hAnsi="Times New Roman"/>
          <w:color w:val="000000" w:themeColor="text1"/>
          <w:sz w:val="16"/>
          <w:szCs w:val="16"/>
        </w:rPr>
        <w:t>там,—</w:t>
      </w:r>
      <w:proofErr w:type="gramEnd"/>
      <w:r w:rsidRPr="008127F8">
        <w:rPr>
          <w:rFonts w:ascii="Times New Roman" w:hAnsi="Times New Roman"/>
          <w:color w:val="000000" w:themeColor="text1"/>
          <w:sz w:val="16"/>
          <w:szCs w:val="16"/>
        </w:rPr>
        <w:t xml:space="preserve"> рассказывает Гофакер,— произвело на меня безотрадное впечатление. Мужчин почти не видно на улицах. Царит голод. В декабре, например, в Везеле по карточкам не выдали ни грамма жиров. Настроение у населения подавленное. Лица у всех истощённые и измученные».</w:t>
      </w:r>
    </w:p>
    <w:p w14:paraId="58AC41B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Брюнемюллер писал своим родителям: «Не пугайтесь и не расстраивайтесь, но я вам опишу, каково нам приходится в России. Мы находились в маленькой деревне, откуда нам пришлось быстро смотаться. Два дня нас преследовали и гнали. Стрельба не прекращается ни на минуту... Никто и ничто не спасёт нас, мы теряем надежду...».</w:t>
      </w:r>
    </w:p>
    <w:p w14:paraId="63614598"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одном немецком приказе.</w:t>
      </w:r>
    </w:p>
    <w:p w14:paraId="25B7C2B2"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«Недавно одна из наших дивизий перехватила следующий интересный приказ 23 немецкого армейского корпуса:</w:t>
      </w:r>
    </w:p>
    <w:p w14:paraId="15B4DE6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 Командование 23 армейского корпуса. Штаб корпуса, 16.2.42. Нижеуказанная копия приказа рассылается по указанию командующего в части для сведения.</w:t>
      </w:r>
    </w:p>
    <w:p w14:paraId="56C54161"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командующего начштаба корпуса Гютнер.</w:t>
      </w:r>
    </w:p>
    <w:p w14:paraId="6869FAE8"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Копия. Штаб 25.1.42. Бои наземной армии в последние два месяца вынудили к использованию для непосредственного наземного боя соединения тяжёлых бомбардировщиков на бреющем полёте с самолётами со сравнительно малыми скоростями и малой манёвренностью. При этом установлено, что потери в самолётах в результате обстрела с земли были исключительно велики. В одном соединении, введённом в бой для непосредственной поддержки наземных войск, количество действовавших самолётов уменьшилось в результате обстрела с земли до 50 процентов. Причину этого следует искать в хорошо организованной противовоздушной обороне русских. Сообщалось о следующих наблюдениях со стороны авиационных соединений:</w:t>
      </w:r>
    </w:p>
    <w:p w14:paraId="44CB79DC"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Каждое атакованное наземное подразделение русских открывало огонь по самолётам из винтовок и другого пехотного оружия. Возможность попадания выстрелов, распределяющихся одновременно в большом количестве на малой плоскости, чрезвычайно велика.</w:t>
      </w:r>
    </w:p>
    <w:p w14:paraId="4D0ED61F"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Атакованные русские всадники соскакивают с лошадей, кладут винтовки на сёдла и стреляют из такого положения по атакующим самолётам. Пехота ложится на спину и стреляет в воздух.</w:t>
      </w:r>
    </w:p>
    <w:p w14:paraId="4D393E00"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Вёлся огонь по самолётам также и из миномётов. Привожу не для подражания, а как пример, что русские борются с самолётами всеми видами оружия наземных войск.</w:t>
      </w:r>
    </w:p>
    <w:p w14:paraId="280C5E91"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Русские в голове колонн везут лёгкие и средние зенитные пушки, установленные на санях.</w:t>
      </w:r>
    </w:p>
    <w:p w14:paraId="7D94AEF9"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Особенно неприятно действует обстрел из четырёхствольных пулемётов, которые хорошо замаскированы и вводятся в действие внезапно.</w:t>
      </w:r>
    </w:p>
    <w:p w14:paraId="4C097F8A"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Они чаще всего используются для обороны выдвинутых вперёд штабов и аэродромов.</w:t>
      </w:r>
    </w:p>
    <w:p w14:paraId="236EBF5B"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Подобно тому, как русские, в результате обстрела атакующих авиационных соединений, выводят из строя большое количество наших самолётов, наши части должны быть в состоянии бороться всеми видами стрелкового оружия с самолётами противника. О том, что это возможно, говорит случай, имевший место 24.1.42 в 24 танковом корпусе, когда из пулемёта-пистолета был сбит русский самолёт. В связи с этим указываю на то, чтобы передняя линия своих частей была резко обозначена с помощью сигнальных знаков. Необозначенность переднего края или его плохая обозначенность способствует успешности обстрела наших самолётов. Поэтому бомбардировщики не должны кружиться над объектом бомбардировки на малой высоте, прежде чем они не сбросят бомб, так как в это время они подвергаются концентрированному обстрелу.</w:t>
      </w:r>
    </w:p>
    <w:p w14:paraId="6AAFC0F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Подписал Фибиг».</w:t>
      </w:r>
    </w:p>
    <w:p w14:paraId="738A21A3"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командующего немецким корпусом действительно поучителен. Как видно, есть чему поучиться немцам у бойцов Красной Армии. Но командующий немецким корпусом не вполне осведомлён по этому вопросу, и ему, видимо, ещё не известен тот размах, который принял в рядах Красной Армии метод применения простого оружия против немецкой авиации. Давайте поможем командующему немецким корпусом и сообщим ему о некоторых поучительных фактах на этот счёт. Так, например, при помощи винтовок и автоматов 92 стрелковая дивизия Красной Армии за короткий срок успела уже сбить 62 самолёта противника, 65 стрелковая дивизия сбила 25 самолётов, 259 стрелковая дивизия сбила 21 самолёт, 10 Гвардейская стрелковая дивизия сбила 21 самолёт. А дивизий, сбивших за последнее время 15—20 немецких самолётов, можно насчитать десятки.</w:t>
      </w:r>
    </w:p>
    <w:p w14:paraId="1539519E" w14:textId="77777777" w:rsidR="00D24256" w:rsidRPr="008127F8" w:rsidRDefault="00D2425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Действительно, есть чему поучиться немецкому командованию у наших рядовых бойцов.» (15072).</w:t>
      </w:r>
    </w:p>
    <w:p w14:paraId="52FCE759" w14:textId="77777777" w:rsidR="00D24256" w:rsidRPr="008127F8" w:rsidRDefault="00D24256" w:rsidP="001E0A84">
      <w:pPr>
        <w:spacing w:after="0" w:line="240" w:lineRule="auto"/>
        <w:jc w:val="both"/>
        <w:rPr>
          <w:rFonts w:ascii="Times New Roman" w:hAnsi="Times New Roman"/>
          <w:color w:val="000000" w:themeColor="text1"/>
          <w:sz w:val="16"/>
          <w:szCs w:val="16"/>
        </w:rPr>
      </w:pPr>
    </w:p>
    <w:p w14:paraId="3B4497D5" w14:textId="77777777" w:rsidR="009D206F" w:rsidRPr="008127F8" w:rsidRDefault="009D206F"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марта 1942 года МиГ-3 с тактическим номером 2 на руле направления, совершившего посадку на аэродроме Мелитополь. Впоследствии на самолет нанесли опознавательные знаки румынских ВВС и 19.07.1942 года, после долгих сборов, его перегнал для испытаний на авиазавод в Брашов, знаменитый впоследствии ас Константин Кантакузино. Несмотря на известные подробности, и множество фотографий этого самолета, сделанных румынскими военнослужащими за три месяца нахождения в Мелитополе, я и предположить не мог, что получится определить его принадлежность. Но после того, как с помощью прекрасного румынского историка Дана Антониу, удалось установить личность пилота, а им оказался младший лейтенант А. К. Шаркун, </w:t>
      </w:r>
      <w:proofErr w:type="gramStart"/>
      <w:r w:rsidRPr="008127F8">
        <w:rPr>
          <w:rFonts w:ascii="Times New Roman" w:hAnsi="Times New Roman"/>
          <w:color w:val="000000" w:themeColor="text1"/>
          <w:sz w:val="16"/>
          <w:szCs w:val="16"/>
        </w:rPr>
        <w:t>выяснилось</w:t>
      </w:r>
      <w:proofErr w:type="gramEnd"/>
      <w:r w:rsidRPr="008127F8">
        <w:rPr>
          <w:rFonts w:ascii="Times New Roman" w:hAnsi="Times New Roman"/>
          <w:color w:val="000000" w:themeColor="text1"/>
          <w:sz w:val="16"/>
          <w:szCs w:val="16"/>
        </w:rPr>
        <w:t xml:space="preserve"> что этот самолет, так же был из состава 25-го ИАП. Советский летчик Андрей Шаркун, выполняя двенадцатый боевой вылет, приземлился у противника, подарил врагам исправный истребитель, и бесследно исчез (19908).</w:t>
      </w:r>
    </w:p>
    <w:p w14:paraId="5181992D" w14:textId="77777777" w:rsidR="009D206F" w:rsidRPr="008127F8" w:rsidRDefault="009D206F" w:rsidP="001E0A84">
      <w:pPr>
        <w:shd w:val="clear" w:color="auto" w:fill="FFFFFF"/>
        <w:spacing w:after="0" w:line="240" w:lineRule="auto"/>
        <w:jc w:val="both"/>
        <w:rPr>
          <w:rFonts w:ascii="Times New Roman" w:hAnsi="Times New Roman"/>
          <w:color w:val="000000" w:themeColor="text1"/>
          <w:sz w:val="16"/>
          <w:szCs w:val="16"/>
        </w:rPr>
      </w:pPr>
    </w:p>
    <w:p w14:paraId="4B4430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состоянию на 18 марта 1942 года в составе 746-го полка имелось 11 самолетов Пе-8, из которых 8 были неисправными. В основном это были машины с дизелями. Постепенно в течение 1942 года основу парка полка составили Пе-8 с АМ-35А. Весь 1942 год Пе-8 активно использовались в боевых действиях. Тяжелое положение в летне-осенний период на фронте заставило командование использовать соединения АДД для ударов по тактическим целям и целям, находившимся в ближайшем тылу противника. Не избежали этой участи и ПЕ-8. Одновременно продолжались боевые полеты в глубокий тыл противника. Причем каждый такой вылет контролировался Верховным. Вот как об этом рассказывает И.Ф.Незваль, который в 1942 году в один из приездов в Москву находился на командном пукте АДД: "В этот приезд мне довелось несколько раз присутствовать при боевых вылетах соединений ТБ-7. Надо сказать, что это очень ответственный и в то же время торжественный момент. Боевые вылеты там происходят в сумерки, самолеты взлетают один за одним, берут курс на запад и исчезают в наступившей темноте. В зависимости отдельности цели их полет продолжался по 10-15 часов. Мне однажды, будучи в Штабе АДД довелось присутствовать на командном пункте маршала Голованова и слушать донесения командиров кораблей о ходе выполнения задания, о чем он тут же докладывал </w:t>
      </w:r>
      <w:proofErr w:type="gramStart"/>
      <w:r w:rsidRPr="008127F8">
        <w:rPr>
          <w:rFonts w:ascii="Times New Roman" w:hAnsi="Times New Roman"/>
          <w:color w:val="000000" w:themeColor="text1"/>
          <w:sz w:val="16"/>
          <w:szCs w:val="16"/>
        </w:rPr>
        <w:t>Верховному Главнокомандующему</w:t>
      </w:r>
      <w:proofErr w:type="gramEnd"/>
      <w:r w:rsidRPr="008127F8">
        <w:rPr>
          <w:rFonts w:ascii="Times New Roman" w:hAnsi="Times New Roman"/>
          <w:color w:val="000000" w:themeColor="text1"/>
          <w:sz w:val="16"/>
          <w:szCs w:val="16"/>
        </w:rPr>
        <w:t xml:space="preserve"> который придавал большое значение боевой работе этих машин".</w:t>
      </w:r>
    </w:p>
    <w:p w14:paraId="11F534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заданий по бомбежке ближних и дальних тылов противника, экипажам Пе-8 иногда приходилось выполнять специальные задания. Самолеты возили в Англию экипажи летчиков-перегонщиков, которые перегоняли самолеты в СССР (7685).</w:t>
      </w:r>
    </w:p>
    <w:p w14:paraId="06EEC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B8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18 марта 1942 </w:t>
      </w:r>
      <w:proofErr w:type="gramStart"/>
      <w:r w:rsidRPr="008127F8">
        <w:rPr>
          <w:rFonts w:ascii="Times New Roman" w:hAnsi="Times New Roman"/>
          <w:color w:val="000000" w:themeColor="text1"/>
          <w:sz w:val="16"/>
          <w:szCs w:val="16"/>
        </w:rPr>
        <w:t>в в</w:t>
      </w:r>
      <w:proofErr w:type="gramEnd"/>
      <w:r w:rsidRPr="008127F8">
        <w:rPr>
          <w:rFonts w:ascii="Times New Roman" w:hAnsi="Times New Roman"/>
          <w:color w:val="000000" w:themeColor="text1"/>
          <w:sz w:val="16"/>
          <w:szCs w:val="16"/>
        </w:rPr>
        <w:t xml:space="preserve"> 746-й ап дд в составе 45-й ад дд, которой командовал В.И. Лебедев. имелось 11 Пе-8, исправных из них - восемь. В основном это были машины с дизелями. Базировался полк в это время на подмосковном аэродроме Кратово (11996).</w:t>
      </w:r>
    </w:p>
    <w:p w14:paraId="4EA7E9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857A3"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состоянию на 18 марта 1942 года в составе 746-го полка имелось 11 самолетов Пе-8, из которых 8 были неисправными. В основном это были машины с дизелями. Постепенно в течение 1942 года основу парка полка составили Пе-8 с АМ-35А. Весь 1942 год Пе-8 активно использовались в боевых действиях. Тяжелое положение в летне-осенний период на фронте заставило командование использовать </w:t>
      </w:r>
      <w:proofErr w:type="gramStart"/>
      <w:r w:rsidRPr="008127F8">
        <w:rPr>
          <w:rFonts w:ascii="Times New Roman" w:hAnsi="Times New Roman"/>
          <w:color w:val="000000" w:themeColor="text1"/>
          <w:sz w:val="16"/>
          <w:szCs w:val="16"/>
        </w:rPr>
        <w:t>соединения .АДД</w:t>
      </w:r>
      <w:proofErr w:type="gramEnd"/>
      <w:r w:rsidRPr="008127F8">
        <w:rPr>
          <w:rFonts w:ascii="Times New Roman" w:hAnsi="Times New Roman"/>
          <w:color w:val="000000" w:themeColor="text1"/>
          <w:sz w:val="16"/>
          <w:szCs w:val="16"/>
        </w:rPr>
        <w:t xml:space="preserve"> для ударов по тактическим целям и целям, находившимся в ближайшем тылу противника. Не избежали этой участи и Пе-8. Одновременно продолжались боевые полеты в глубокий тыл противника. Причем каждый такой вылет контролировался Верховным. Вот как об этом рассказывает И.Ф.Незваль, который в 1942 году в один из приездов в Москву находился на командном пукте АДД: "В этот приезд мне довелось несколько раз присутствовать при боевых вылетах соединений ТБ-7. Надо сказать, что это очень ответственный и в то же время торжественный момент.</w:t>
      </w:r>
    </w:p>
    <w:p w14:paraId="2D06DAA3"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Боевые вылеты там происходят в сумерки, самолеты взлетают один за одним, берут курс на запад и исчезают в наступившей темноте. В зависимости от дальности цели их полет продолжался по 10-15 часов. Мне однажды, будучи в Штабе АДД, довелось присутствовать на командном пункте маршала Голованова и слушать донесения командиров кораблей о ходе выполнения задания, о чем он тут же докладывал </w:t>
      </w:r>
      <w:proofErr w:type="gramStart"/>
      <w:r w:rsidRPr="008127F8">
        <w:rPr>
          <w:rFonts w:ascii="Times New Roman" w:hAnsi="Times New Roman"/>
          <w:color w:val="000000" w:themeColor="text1"/>
          <w:sz w:val="16"/>
          <w:szCs w:val="16"/>
        </w:rPr>
        <w:t>Верховному Главнокомандующему</w:t>
      </w:r>
      <w:proofErr w:type="gramEnd"/>
      <w:r w:rsidRPr="008127F8">
        <w:rPr>
          <w:rFonts w:ascii="Times New Roman" w:hAnsi="Times New Roman"/>
          <w:color w:val="000000" w:themeColor="text1"/>
          <w:sz w:val="16"/>
          <w:szCs w:val="16"/>
        </w:rPr>
        <w:t xml:space="preserve"> который придавал большое значение боевой работе этих машин" (12726).</w:t>
      </w:r>
    </w:p>
    <w:p w14:paraId="7AFE718F" w14:textId="77777777" w:rsidR="0050778F" w:rsidRPr="008127F8" w:rsidRDefault="0050778F" w:rsidP="001E0A84">
      <w:pPr>
        <w:spacing w:after="0" w:line="240" w:lineRule="auto"/>
        <w:jc w:val="both"/>
        <w:rPr>
          <w:rFonts w:ascii="Times New Roman" w:hAnsi="Times New Roman"/>
          <w:color w:val="000000" w:themeColor="text1"/>
          <w:sz w:val="16"/>
          <w:szCs w:val="16"/>
        </w:rPr>
      </w:pPr>
    </w:p>
    <w:p w14:paraId="0E576C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состоянию на 18 марта 1942 г. в составе 746-го авиаполка числилось 11 ТБ-7, из которых 8 экземпляров значились неисправными. Как говорится - не густо! Количество этих тяжелых бомбардировщиков явно требовалось заметно увеличить. </w:t>
      </w:r>
      <w:proofErr w:type="gramStart"/>
      <w:r w:rsidRPr="008127F8">
        <w:rPr>
          <w:rFonts w:ascii="Times New Roman" w:hAnsi="Times New Roman"/>
          <w:color w:val="000000" w:themeColor="text1"/>
          <w:sz w:val="16"/>
          <w:szCs w:val="16"/>
        </w:rPr>
        <w:t>Однако прежде чем</w:t>
      </w:r>
      <w:proofErr w:type="gramEnd"/>
      <w:r w:rsidRPr="008127F8">
        <w:rPr>
          <w:rFonts w:ascii="Times New Roman" w:hAnsi="Times New Roman"/>
          <w:color w:val="000000" w:themeColor="text1"/>
          <w:sz w:val="16"/>
          <w:szCs w:val="16"/>
        </w:rPr>
        <w:t xml:space="preserve"> перейти к описанию проблем производства самолетов, предоставим место описанию боевых действий в 1942 г. Поначалу продолжим воспоминания штурмана А.П.Штепенко, прерванные на событиях ноября 1941 г.:</w:t>
      </w:r>
    </w:p>
    <w:p w14:paraId="4AF191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"27.01.42 г. На Смоленск.</w:t>
      </w:r>
    </w:p>
    <w:p w14:paraId="3078F4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Мосалев.</w:t>
      </w:r>
    </w:p>
    <w:p w14:paraId="2B4278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6 ФАБ-500, 20000 листовок.</w:t>
      </w:r>
    </w:p>
    <w:p w14:paraId="3002CC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17.30, выход на цель 20.50, возвращение в Ковров 22.37.</w:t>
      </w:r>
    </w:p>
    <w:p w14:paraId="7674D9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Зима. Камуфляж. Самолет под облаками. Потеряли ориентировку. Прошли к Минску по радиостанции. Радиопеленгом Минска и Лахты восстановил ориентировку и повернул обратно, с трудом нашел Смоленск. Сбросили удачно по одной. Бензина мало. Обратно отклонились к Владимиру и остаток времени до аэродрома летели на нервах.</w:t>
      </w:r>
    </w:p>
    <w:p w14:paraId="7BD867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Алексеев с Лебедевым вылетели раньше и хорошо отбомбились, зажгли вагоны, по пожару которых мы ориентировались.</w:t>
      </w:r>
    </w:p>
    <w:p w14:paraId="37F672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Пусэп с Погожевым и Дарелло цели не нашли.</w:t>
      </w:r>
    </w:p>
    <w:p w14:paraId="04A2FA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Перед вылетом сгорела и взорвалась машина Курбана. Сильный пожар. Стрельба боевых патронов и снарядов. 6 бомб по 250 кг взорвались и от машины ничего не осталось. В поселке стекла повылетали. От машины весь народ бежал во все стороны, увязая в сугробах. Курбан в 30 метрах от самолета увяз в снегу и дальше не мог двигаться. От взрыва получил контузию (тип самолета не уточняется, </w:t>
      </w:r>
      <w:proofErr w:type="gramStart"/>
      <w:r w:rsidRPr="008127F8">
        <w:rPr>
          <w:rFonts w:ascii="Times New Roman" w:hAnsi="Times New Roman"/>
          <w:color w:val="000000" w:themeColor="text1"/>
          <w:sz w:val="16"/>
          <w:szCs w:val="16"/>
        </w:rPr>
        <w:t>возможно</w:t>
      </w:r>
      <w:proofErr w:type="gramEnd"/>
      <w:r w:rsidRPr="008127F8">
        <w:rPr>
          <w:rFonts w:ascii="Times New Roman" w:hAnsi="Times New Roman"/>
          <w:color w:val="000000" w:themeColor="text1"/>
          <w:sz w:val="16"/>
          <w:szCs w:val="16"/>
        </w:rPr>
        <w:t xml:space="preserve"> это был Ер-2 - М.М.).</w:t>
      </w:r>
    </w:p>
    <w:p w14:paraId="7B75F6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пожара жуткое состояние у всех. Мы вылетали первые. </w:t>
      </w:r>
      <w:proofErr w:type="gramStart"/>
      <w:r w:rsidRPr="008127F8">
        <w:rPr>
          <w:rFonts w:ascii="Times New Roman" w:hAnsi="Times New Roman"/>
          <w:color w:val="000000" w:themeColor="text1"/>
          <w:sz w:val="16"/>
          <w:szCs w:val="16"/>
        </w:rPr>
        <w:t>Полковник (Лебедев)</w:t>
      </w:r>
      <w:proofErr w:type="gramEnd"/>
      <w:r w:rsidRPr="008127F8">
        <w:rPr>
          <w:rFonts w:ascii="Times New Roman" w:hAnsi="Times New Roman"/>
          <w:color w:val="000000" w:themeColor="text1"/>
          <w:sz w:val="16"/>
          <w:szCs w:val="16"/>
        </w:rPr>
        <w:t xml:space="preserve"> провожая, спросил: как настроение? Я ответил - злее будем.</w:t>
      </w:r>
    </w:p>
    <w:p w14:paraId="77735B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Асямов много говорит. Носовой летнаб Докунихин - пассивный, халатный. Радист Сладкевич - слабый. Борттехник и остальные стрелки - бедовые.</w:t>
      </w:r>
    </w:p>
    <w:p w14:paraId="1F9937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обратном пути заворачивали к огням и таким образом вышли к Владимиру. В районе Ржева большие пожары.</w:t>
      </w:r>
    </w:p>
    <w:p w14:paraId="53FDDA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28.01.42 г. На Смоленск. ТБ-7 №4215, 746 ап.</w:t>
      </w:r>
    </w:p>
    <w:p w14:paraId="4CB57C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Олейников.</w:t>
      </w:r>
    </w:p>
    <w:p w14:paraId="696EA1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40 ФАБ-100, 22000 листовок.</w:t>
      </w:r>
    </w:p>
    <w:p w14:paraId="5438FA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17.00, над целью 19.15-20.15 на высоте 7000 м, посадка 23.35.</w:t>
      </w:r>
    </w:p>
    <w:p w14:paraId="28E98E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Взлетает Асямов хорошо. Говорит много.</w:t>
      </w:r>
    </w:p>
    <w:p w14:paraId="230FF1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Погода улучшается. Линию фронта прошли на высоте 300. Огни, пожары, стрельба. По шоссе автомобили с огнями, к Смоленску нельзя - малая высота. На запад от Смоленска, в 70 км нашли эшелон. С высоты 600 м сбросили две серии по 10 штук в длину поезда, зажгли. С шоссе стреляют, наши стрелки ведут огонь по машинам.</w:t>
      </w:r>
    </w:p>
    <w:p w14:paraId="35A8E4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бомбы зависли - долго возились - сбросили аварийно в лес.</w:t>
      </w:r>
    </w:p>
    <w:p w14:paraId="2B53C2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Малая высота, встречный ветер. Похоже, бензина не хватит, успокаиваю как могу. Радист путает все на свете. Обледенение, отказал РПК-2, возился с антеннами - все варианты бесполезны. Вся надежда на радиомаяк. </w:t>
      </w:r>
    </w:p>
    <w:p w14:paraId="47575A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тянется медленно, еще час полета. Асямов ничему и никому не верит, а я ему заявил, что себе я верю.</w:t>
      </w:r>
    </w:p>
    <w:p w14:paraId="7D290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Местность неузнаваемая. Пилот кричит - Где мы? Куда идем? Отвечаю: домой идем. У самого есть уверенность, но от этих пилотских разговоров силы кончаются и пассивное настроение. Один ведешь людей вслепую. Привел точно на аэродром. Шасси не выпускалось - долго кружились - однако сели хорошо.</w:t>
      </w:r>
    </w:p>
    <w:p w14:paraId="2B1A9F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 в майоры.</w:t>
      </w:r>
    </w:p>
    <w:p w14:paraId="3778C8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(Дописано на полях). Егорове Кирющенко и Романовым летали 6 часов 30 мин и без бензина сели в 30 км удачно. Топлевич в Смоленске один, второй заход за облаками. Лисаченко (возможно Лисачев - М.М.) подбили немного над линией фронта.</w:t>
      </w:r>
    </w:p>
    <w:p w14:paraId="2FC353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31.01.42 г.</w:t>
      </w:r>
    </w:p>
    <w:p w14:paraId="7357C0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Смоленск. ТБ-7 №4215, 746 ап.</w:t>
      </w:r>
    </w:p>
    <w:p w14:paraId="0892D0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Олейников.</w:t>
      </w:r>
    </w:p>
    <w:p w14:paraId="035943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32 ТГА-100, 8 ЗАБ-50, 2000 листовок.</w:t>
      </w:r>
    </w:p>
    <w:p w14:paraId="1284BE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16.30, 18.33 над целью, 18.55 отход, 21.35 посадка в Коврове.</w:t>
      </w:r>
    </w:p>
    <w:p w14:paraId="097BB9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Майор два дня выпивал, заменил радиста и летнаба.</w:t>
      </w:r>
    </w:p>
    <w:p w14:paraId="6A899B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Взлетели первые удачно, за нами еще две машины. Светло до фронта. Ясно. Залезли на 3600 метров и за фронтом пошли вниз в облаках. Через час полета на высоте 300 м увидели дорогу, пожары. Снегопад. Антифриз вытекает. Один мотор стрелял.</w:t>
      </w:r>
    </w:p>
    <w:p w14:paraId="3C1308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Смоленск нельзя - высоты и видимости нет - пошли на запад. Дорогу находим, теряем. Измучились, болтаясь. Наконец железная дорога. Бросил 10 штук, загорелся эшелон. При втором заходе с дороги, с поезда трассирующие зенитные снаряды ударили прямо в самолет. Отвернули, попало в мотор. Надо было сбрасывать скорей бомбы, облегчать машину. Цели нет. Входим в облака. Под нами шоссейная дорога с автоколонной. Бросил туда все. Разрывы дергают машину. Зажгли 4 грузовика, ушли в облака. Курс болтается, на 3-х моторах машину разворачивает. Наконец отладили и пошли примерным курсом на северо-восток.</w:t>
      </w:r>
    </w:p>
    <w:p w14:paraId="413834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Радист хороший, опытный, старается. Целый час в облаках, на 3000 метрах на 3-х моторах. Радиомаяк гуляет, нельзя верить.</w:t>
      </w:r>
    </w:p>
    <w:p w14:paraId="244A29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Облака кончились. Под нами много дорог, а у нас путь один. Сомнения рассеял клинский прожектор. Радиомаяк контролирую "Чайкой", которая работает хорошо и уверенно на свой аэродром. Снизились под облака и увидели огни. Радость неописуемая. Сели.</w:t>
      </w:r>
    </w:p>
    <w:p w14:paraId="4C1459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мотор прямое попадание, снарядом повреждены магистрали, однако мотору ничего.</w:t>
      </w:r>
    </w:p>
    <w:p w14:paraId="43BCE4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Алексеев с Лебедевым в эту ночь через Москву. Лисачев с Топлевичем через Калинин за Ковров и обратно.</w:t>
      </w:r>
    </w:p>
    <w:p w14:paraId="409F46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18.02.42 г.</w:t>
      </w:r>
    </w:p>
    <w:p w14:paraId="396FE0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Летали 4 машины: Пусэп, Лисачев, Егоров, Алексеев.</w:t>
      </w:r>
    </w:p>
    <w:p w14:paraId="1404DE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Три благополучно, а у Егорова поломался один мотор и Кирющенко бомбил не Смоленск, а ж/д перегон на западе и летал на 1 час больше положенного. </w:t>
      </w:r>
    </w:p>
    <w:p w14:paraId="19CD37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19.02.42 г. ТБ-7 №4215 До обеда испытания и сразу подвеска бомб ФАБ-100 40 штук.</w:t>
      </w:r>
    </w:p>
    <w:p w14:paraId="70E45A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Олейников, Галягин, Кононенко, радист Петров и остальные.</w:t>
      </w:r>
    </w:p>
    <w:p w14:paraId="03650C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Четыре корабля: Лисачев, Пусэп, Алексеев и мы. Взлет 17.59 в темноте. До Клина шли на высоте 4200 м, видели прожектор. Два самолета рядом с огнями - отвернули в сторону. Огни, пожары, стрельба - линия фронта. Ясно. Тонкий серп луны. Далеко впереди зенитная стрельба - прожекторы - Смоленск. Горит Демидов. Над Смоленском кипящий котел. Летают наши самолеты, бросают бомбы и САБы. Их ловят прожектора и стреляют зенитки. По лучам видно направление, куда уходит самолет. 4 САБа долго висели и их расстреливала зенитка. На западе от города кто-то сбросил серию авиабомб. Над городом все затихло, темно и только одноглазый истребитель мечется, да с аэродрома ему сигналят.</w:t>
      </w:r>
    </w:p>
    <w:p w14:paraId="5693D6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5600 м заходим с запада. Под нами город, впереди железнодорожный узел. 19 прожекторов взметнулись и вперлись в нас, осветив самолет. В прицеле черный узел и 20 бомб пошли вниз. Пилоты бросают самолет в сторону на предельной скорости. Огонь - много света. Жутковато. Быстро идем на восток и через три минуты выходим из зоны огня. Осталось бомб 20 штук. Что делать? Обратно в котел неохота - однако, надо идти.</w:t>
      </w:r>
    </w:p>
    <w:p w14:paraId="008E6D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Бомбардировщики Пе-8 Развернулись на 180° и пошли на запад. на аэродроме Кратово На траверзе Смоленска развернулись и пош- в ожидании команды ли через весь город на узел. Все ближе и блина вылет же, скоро можно бомбить, а земля молчит -</w:t>
      </w:r>
    </w:p>
    <w:p w14:paraId="730205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притаилась. В прицеле узел - бомбы полетели, мы развернулись и только теперь взметнулись прожектора и полетели огненные шары. Но мы были уже в стороне и благополучно уходили из этого ада.</w:t>
      </w:r>
    </w:p>
    <w:p w14:paraId="2F9D6D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РПК-2 не работает с вылета. Луна заходит - темнеет. Радиомаяк Монино спасает положение и мы, не видя перед собой ничего, через 5 часов приходим домой. Посадка в 23.05.</w:t>
      </w:r>
    </w:p>
    <w:p w14:paraId="4589AE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 большей радости - увидеть огни своего аэродрома и потом, отчитавшись, сидеть в столовой с чувством выполненного долга. Все наши самолеты благополучно отбомбились и вернулись домой. Сбросили 95 000 листовок. 20.02.42 г.</w:t>
      </w:r>
    </w:p>
    <w:p w14:paraId="4DE645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Витебск ТБ-7 №4215 Экипаж: Асямов, Штепенко Бомбовая нагрузка: 1 ФАБ-2000, 2 ФАБ- 1000, 2 САБ-25, 100000 листовок</w:t>
      </w:r>
    </w:p>
    <w:p w14:paraId="161705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Вылет 17.24, высота над целью 7400 м, посадка 23.53</w:t>
      </w:r>
    </w:p>
    <w:p w14:paraId="0C3AC1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Алексеев вернулся из-за погоды, Романов, Дмитриев - не взлетели. Пусэп, Пого- жев - бомбили, не уверены в цели, по показаниям похоже на Витебск. Лисачев, Топле- вич бомбили на восток от Витебска.</w:t>
      </w:r>
    </w:p>
    <w:p w14:paraId="45103A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час летели под облаками, дальше на высоте 1100 м вышли за облака и полезли вверх. Кислород.</w:t>
      </w:r>
    </w:p>
    <w:p w14:paraId="1A8FD2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Ржевом на запад конец облаков. По расчету времени повернули на юг, не видя ничего под собой. Взрывы авиабомб и 2 САБа в стороне от Витебска чуть не спутали наших расчетов. Слева по курсу река - долго опознавали. Река заворачивает по углу </w:t>
      </w:r>
    </w:p>
    <w:p w14:paraId="1A8B40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город. Сбросили 2 САБа. На земле темно и тихо. В стороне много огней - пошли туда - все потухли. Вернулись обратно и точно опознали Витебск.</w:t>
      </w:r>
    </w:p>
    <w:p w14:paraId="6B4203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бомба от электросбрасывателя сошла хорошо - прямо на узел. Вторая, от аварийного с трудом - вытянул - тоже хорошо упала. С третьей измучился, наконец сбросил - туда, где были огни. Взрывы сильные - освещают полгорода.</w:t>
      </w:r>
    </w:p>
    <w:p w14:paraId="5E8EA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высоте пошли обратно. Начались </w:t>
      </w:r>
      <w:proofErr w:type="gramStart"/>
      <w:r w:rsidRPr="008127F8">
        <w:rPr>
          <w:rFonts w:ascii="Times New Roman" w:hAnsi="Times New Roman"/>
          <w:color w:val="000000" w:themeColor="text1"/>
          <w:sz w:val="16"/>
          <w:szCs w:val="16"/>
        </w:rPr>
        <w:t>облака</w:t>
      </w:r>
      <w:proofErr w:type="gramEnd"/>
      <w:r w:rsidRPr="008127F8">
        <w:rPr>
          <w:rFonts w:ascii="Times New Roman" w:hAnsi="Times New Roman"/>
          <w:color w:val="000000" w:themeColor="text1"/>
          <w:sz w:val="16"/>
          <w:szCs w:val="16"/>
        </w:rPr>
        <w:t xml:space="preserve"> и мы над ними. С Коврова получили </w:t>
      </w:r>
      <w:proofErr w:type="gramStart"/>
      <w:r w:rsidRPr="008127F8">
        <w:rPr>
          <w:rFonts w:ascii="Times New Roman" w:hAnsi="Times New Roman"/>
          <w:color w:val="000000" w:themeColor="text1"/>
          <w:sz w:val="16"/>
          <w:szCs w:val="16"/>
        </w:rPr>
        <w:t>ясную погоду</w:t>
      </w:r>
      <w:proofErr w:type="gramEnd"/>
      <w:r w:rsidRPr="008127F8">
        <w:rPr>
          <w:rFonts w:ascii="Times New Roman" w:hAnsi="Times New Roman"/>
          <w:color w:val="000000" w:themeColor="text1"/>
          <w:sz w:val="16"/>
          <w:szCs w:val="16"/>
        </w:rPr>
        <w:t xml:space="preserve"> и все облегченно вздохнули. Посадка хорошо. На рулежке в тумане заблудились.</w:t>
      </w:r>
    </w:p>
    <w:p w14:paraId="212D7F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Много водки.</w:t>
      </w:r>
    </w:p>
    <w:p w14:paraId="69918C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21.02.42 г.</w:t>
      </w:r>
    </w:p>
    <w:p w14:paraId="0FBE55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 Правительства о награждении 51 человека нашего полка, в том числе меня. Орденом Боевого Красного знамени. Погода нелетная. Вечером митинг на аэродроме, на котором я клялся "Не простить! Не забыть!".</w:t>
      </w:r>
    </w:p>
    <w:p w14:paraId="13DC6E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22.02.42 г.</w:t>
      </w:r>
    </w:p>
    <w:p w14:paraId="0A938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Приехали гости из Москвы с подарками, а мы улетели на боевое задание. Погода скверная и мы полчаса ходили на высоте 50 м, а наш народ машет - "на запад держите курс!".</w:t>
      </w:r>
    </w:p>
    <w:p w14:paraId="59DE2B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оборвались облака, впереди ясная погода, а у нас радиатор потек, да так сильно, что мы вернулись обратно. Летим обратно и боимся столкнуться с нашими самолетами.</w:t>
      </w:r>
    </w:p>
    <w:p w14:paraId="3B320A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 23.02.42 г.</w:t>
      </w:r>
    </w:p>
    <w:p w14:paraId="09B8F7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...летал на Дугласах, вместо меня Колечко (участвовал в выброске десанта под Вязьмой - М.М.).</w:t>
      </w:r>
    </w:p>
    <w:p w14:paraId="17E8D0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ночных транспортных рейса. Высота 600 м. Горит. Стреляют. Луна. Один раз были обстреляны истребителем. Трассирующие пули пронзили самолет. Запахло дымом, казалось все кончено. Пикнули до земли, опять зашли на свое место и сбросили десант. Машин много, летают с огнями. И по тому, что за все время операции ни одной машины не сбили, можно заключить, что ночью немцы слабаки. На ТБ-3 убило двух человек, в том числе г.м. (гвардии майора? - М.М.). Десантники разные люди. Одни с песнями охотно покидают самолет, другим приходится помогать выпрыгивать. Одним словом, война есть война.</w:t>
      </w:r>
    </w:p>
    <w:p w14:paraId="5992E6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23.02.42 г.</w:t>
      </w:r>
    </w:p>
    <w:p w14:paraId="73AE65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Ковров-Витебск-Смоленск-Ковров.</w:t>
      </w:r>
    </w:p>
    <w:p w14:paraId="047E7D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2 ФАБ-2000, 2ФАБ- 1000, 100 000 листовок.</w:t>
      </w:r>
    </w:p>
    <w:p w14:paraId="0395FC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...Радист у нас отличный т. Муханов, переделал антенное хозяйство. Погода ясная, температура 3 градуса. Вылетели первые засветло в 17.13 и при заходящем солнце с набором высоты идем на запад. Стемнело у г. Подготовка ротативно- Клин. В стороне слегка дымит, видно зенит- рассеивающих авиабомб ную стрельбу над Смоленском. Сноса не РРАБ-1 к снаряжению знаю. Держу курс в расчете на левый снос. ...Облачность с разрывами, время расчетное вышло. Принимая, что я отклонился влево, беру курс на север и иду 15 км. Облачность с разрывами, ничего не разберешь. Где-то здесь город и нет его. Принимаю решение идти на Смоленск, который дан нам как запасная цель, и где сейчас видна стрельба. Пока зенитки стреляют, видно куда идти, а как только перестают, теряется всякое представление о времени и расстоянии... На исходе 4-го часа полета подошли к Смоленску, закрытому облаками и над которым только что кто-то из наших летал. Высота у нас 6600 м.</w:t>
      </w:r>
    </w:p>
    <w:p w14:paraId="2C15AD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наше появление Смоленск ответил шквальным огнем и шестью прожекторами. </w:t>
      </w:r>
    </w:p>
    <w:p w14:paraId="56B0BC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поднимается в самолет через входной люк в штурманской кабине</w:t>
      </w:r>
    </w:p>
    <w:p w14:paraId="55306A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цель не видим, и мы крутимся на месте под обстрелом... Наконец наше терпение увенчалось успехом. Облачность проходит и вот она наша цель открыта. Сбросил САБ - горит, и по нему палят. Боевой заход. С нажатием кнопки 3 бомбы - 4 тонны полетели вниз. Разрывы были сильные, ярко-красные и все окуталось черным густым дымом.</w:t>
      </w:r>
    </w:p>
    <w:p w14:paraId="3D7F4E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Обратный маршруте попутным ветром за 2 часа полета на высоте за облаками. Дома ясная хорошая погода и я первый раз видел Суздаль и мог ориентироваться по земле. Пришли на прожектор, а от него домой. И здесь собралось 5 наших самолетов и давай кружиться....</w:t>
      </w:r>
    </w:p>
    <w:p w14:paraId="57FB74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Егоров и Дарелло на обратном пути проскочили мимо Коврова и сели без бензина под Кировым в 600 км от нас - поломали машину.</w:t>
      </w:r>
    </w:p>
    <w:p w14:paraId="64A12C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Дмитриев и Романов отбомбились по Витебску и промазали Ковров, вернулись к Иваново и оттуда пришли домой.</w:t>
      </w:r>
    </w:p>
    <w:p w14:paraId="1644B3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Пусэп и Погожев под Витебском на высоте 2500 м возились с зависшей тонной, и на них наскочил истребитель, которого они вроде сбили. Домой вернулись с тонной, поломав сбрасыватель.</w:t>
      </w:r>
    </w:p>
    <w:p w14:paraId="64B91C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Алексеев и Лебедев не нашли Витебска, вернулись к Смоленску по зенитному огню и здесь Алексеев говорит - бросай бомбы, а Алексеев - нет не буду бросать. Затем пошли к Витебску, где и сбросили.</w:t>
      </w:r>
    </w:p>
    <w:p w14:paraId="2C8026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24.02.42 г.</w:t>
      </w:r>
    </w:p>
    <w:p w14:paraId="4B518C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День материальной части. Получили подробности от Егорова. За 700 км от Коврова на востоке садился без бензина, наскочил на дорогу - сломались.</w:t>
      </w:r>
    </w:p>
    <w:p w14:paraId="127AD9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(ТБ-7 № 4212 капитана Егорова позднее был отремонтирован - М.М.)</w:t>
      </w:r>
    </w:p>
    <w:p w14:paraId="0DEF92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25.02.42 г.</w:t>
      </w:r>
    </w:p>
    <w:p w14:paraId="3AD13A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Весь день пурга. Готовимся на Оршу.</w:t>
      </w:r>
    </w:p>
    <w:p w14:paraId="07C06D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26.02.42</w:t>
      </w:r>
      <w:r w:rsidRPr="008127F8">
        <w:rPr>
          <w:rFonts w:ascii="Times New Roman" w:hAnsi="Times New Roman"/>
          <w:color w:val="000000" w:themeColor="text1"/>
          <w:sz w:val="16"/>
          <w:szCs w:val="16"/>
        </w:rPr>
        <w:tab/>
        <w:t>г.</w:t>
      </w:r>
    </w:p>
    <w:p w14:paraId="7C328A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Готовимся на Оршу. Пурга. У Пусэпа на №4214 лопнул лонжерон - нашли вооружен цы.</w:t>
      </w:r>
    </w:p>
    <w:p w14:paraId="39EB8D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26.02.43</w:t>
      </w:r>
      <w:r w:rsidRPr="008127F8">
        <w:rPr>
          <w:rFonts w:ascii="Times New Roman" w:hAnsi="Times New Roman"/>
          <w:color w:val="000000" w:themeColor="text1"/>
          <w:sz w:val="16"/>
          <w:szCs w:val="16"/>
        </w:rPr>
        <w:tab/>
        <w:t>г.</w:t>
      </w:r>
    </w:p>
    <w:p w14:paraId="1CACE1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15 часов загорелся могор на машине Алексеева №42015. Самолет спасли героическими усилиями механиков. Тушили водой.</w:t>
      </w:r>
    </w:p>
    <w:p w14:paraId="2F5D2D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5.03.42 г.</w:t>
      </w:r>
    </w:p>
    <w:p w14:paraId="249A5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Олейников (746 ап).</w:t>
      </w:r>
    </w:p>
    <w:p w14:paraId="4F0AE5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2 ФАБ-1000, 4 ТГА- 250, 2 САБ-25, взлет 18.23, 20.15 сброс САБ над ж/д, 20.45 на высоте 5700 м над Вязьмой, сброс по городу, посадка 23.38.</w:t>
      </w:r>
    </w:p>
    <w:p w14:paraId="7018B2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6.03.42 г. Вязьма.</w:t>
      </w:r>
    </w:p>
    <w:p w14:paraId="7E791E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Кубышко (746 ап).</w:t>
      </w:r>
    </w:p>
    <w:p w14:paraId="079021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28 ТГА.</w:t>
      </w:r>
    </w:p>
    <w:p w14:paraId="3F5561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7.03.42 г. Вязьма ж/д.</w:t>
      </w:r>
    </w:p>
    <w:p w14:paraId="49787E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Кубышко (746 ап).</w:t>
      </w:r>
    </w:p>
    <w:p w14:paraId="2E8B3B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8.03.42 г.</w:t>
      </w:r>
    </w:p>
    <w:p w14:paraId="2E7C98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Кубышко (746 ап).</w:t>
      </w:r>
    </w:p>
    <w:p w14:paraId="7CEFE2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21.40 Минск.</w:t>
      </w:r>
    </w:p>
    <w:p w14:paraId="19C06B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16.03.42 г.</w:t>
      </w:r>
    </w:p>
    <w:p w14:paraId="05EB2E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Кубышко.</w:t>
      </w:r>
    </w:p>
    <w:p w14:paraId="2A66D7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6 ФАБ-500, 2 САБ-25</w:t>
      </w:r>
    </w:p>
    <w:p w14:paraId="466A28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18.50, Любань 21.35-21.45, посадка 23.55.</w:t>
      </w:r>
    </w:p>
    <w:p w14:paraId="719162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...Задержали вылет по причине плохой погоды над целью. Полковник разрешил вылет в порядке готовности. Пусэп срезал, вырулил со своей стоянки через сугробы и взлетел в 17.20.</w:t>
      </w:r>
    </w:p>
    <w:p w14:paraId="7181BD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 нас механики-стрелки новые люди, машина передается в 3-ю эскадрилью, мы с Асямовым вывозим экипаж и передаем машину. </w:t>
      </w:r>
    </w:p>
    <w:p w14:paraId="196264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Механики долго чесались и опоздали. Первая попытка старта не удалась. Зарулили вторично и взлетели. ...Быстро стемнело. Курс на северо-запад к воротам Ленинграда.</w:t>
      </w:r>
    </w:p>
    <w:p w14:paraId="6EB0E1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Высота 3000 м. Дымка. Заставил пилотов на месте снижаться до 2000 м. Кубышко возражал. Реку Волхов не видел. Вышли на </w:t>
      </w:r>
      <w:proofErr w:type="gramStart"/>
      <w:r w:rsidRPr="008127F8">
        <w:rPr>
          <w:rFonts w:ascii="Times New Roman" w:hAnsi="Times New Roman"/>
          <w:color w:val="000000" w:themeColor="text1"/>
          <w:sz w:val="16"/>
          <w:szCs w:val="16"/>
        </w:rPr>
        <w:t>Чу- дово</w:t>
      </w:r>
      <w:proofErr w:type="gramEnd"/>
      <w:r w:rsidRPr="008127F8">
        <w:rPr>
          <w:rFonts w:ascii="Times New Roman" w:hAnsi="Times New Roman"/>
          <w:color w:val="000000" w:themeColor="text1"/>
          <w:sz w:val="16"/>
          <w:szCs w:val="16"/>
        </w:rPr>
        <w:t xml:space="preserve">. Много огней, костров. Прожектора. Вышли на дорогу и через 7 минут под нами Любаньс пожарами. Сбросил 1 ФАБ-500 и 1 САБ. Виражим. Показалось, что это не наша цель. Пошел к Ленинграду и, дойдя до </w:t>
      </w:r>
      <w:proofErr w:type="gramStart"/>
      <w:r w:rsidRPr="008127F8">
        <w:rPr>
          <w:rFonts w:ascii="Times New Roman" w:hAnsi="Times New Roman"/>
          <w:color w:val="000000" w:themeColor="text1"/>
          <w:sz w:val="16"/>
          <w:szCs w:val="16"/>
        </w:rPr>
        <w:t>Тос- но</w:t>
      </w:r>
      <w:proofErr w:type="gramEnd"/>
      <w:r w:rsidRPr="008127F8">
        <w:rPr>
          <w:rFonts w:ascii="Times New Roman" w:hAnsi="Times New Roman"/>
          <w:color w:val="000000" w:themeColor="text1"/>
          <w:sz w:val="16"/>
          <w:szCs w:val="16"/>
        </w:rPr>
        <w:t xml:space="preserve">, повернул обратно и уверился, что это была Любань. Сделал три захода и сбросил все бомбы. На станции упали две и остальные в городе. Возник большой пожар. Стреляют по САБам. Не успел я отойти, как на цели начали рваться бомбы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Романов.</w:t>
      </w:r>
    </w:p>
    <w:p w14:paraId="12DA3B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Домой спокойно по радиосредствам. Над Рыбинском видели зенитную стрельбу - стреляли по Романову. На аэродром пришли все разом. Погожев целый час искал цель. Романов ждал, когда мы отбомбимся, и у него была малая скорость.</w:t>
      </w:r>
    </w:p>
    <w:p w14:paraId="5932AE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18.03.42 г. На Вязьму.</w:t>
      </w:r>
    </w:p>
    <w:p w14:paraId="08642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Кубышко, Штепенко, Асямов (Асямов инспектор, штурман-стажер Колечко).</w:t>
      </w:r>
    </w:p>
    <w:p w14:paraId="064808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ФАБ-250, 16 ФАБ-100.</w:t>
      </w:r>
    </w:p>
    <w:p w14:paraId="147679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21.03.42 г. На Вязьму.</w:t>
      </w:r>
    </w:p>
    <w:p w14:paraId="200D20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Олейников.</w:t>
      </w:r>
    </w:p>
    <w:p w14:paraId="32AAD2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 ФАБ-250, 16 ФАБ- 100, 8 ЗАБ-100, 2 САБ-25, 200000 листовок.</w:t>
      </w:r>
    </w:p>
    <w:p w14:paraId="5E5C5F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19.02, цель 20.38-20.46, посадка 22.35.</w:t>
      </w:r>
    </w:p>
    <w:p w14:paraId="18C05B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23.03.42 г. На Вильно, запасная цель Минск, самолет №4215.</w:t>
      </w:r>
    </w:p>
    <w:p w14:paraId="26785C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Олейников. Бомбовая нагрузка: 4 ФАБ-500, 4 ФАБ- 250, 2 САБ-25.</w:t>
      </w:r>
    </w:p>
    <w:p w14:paraId="7274BB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Командир 890-го авиаполка дальнего действия майор Э.К.Пусэп и штурман 1-й авиаэскадрильи майор В.М.Аккуратов возле ТБ-7 Ne4214, имеющего отличительную цифру "2" на руле поворота </w:t>
      </w:r>
    </w:p>
    <w:p w14:paraId="035893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18.15, цель 22.10, посадка 01.25.</w:t>
      </w:r>
    </w:p>
    <w:p w14:paraId="782F1E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28-29.03.42 г. Орша. Экипаж не указан.</w:t>
      </w:r>
    </w:p>
    <w:p w14:paraId="42A45C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 ФАБ-500, 2 САБ-25, 200000 листовок.</w:t>
      </w:r>
    </w:p>
    <w:p w14:paraId="36869C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18.16, цель 23.00-23.10, посадка 01.48.</w:t>
      </w:r>
    </w:p>
    <w:p w14:paraId="653630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24.03.42 г. На Смоленск, самолет№4215.</w:t>
      </w:r>
    </w:p>
    <w:p w14:paraId="6AFFF3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Кубышко, Штепенко, Мосалев.</w:t>
      </w:r>
    </w:p>
    <w:p w14:paraId="7823C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 ФАБ-500, 4 ФАБ- 250, 2 САБ-25, 200000 листовок.</w:t>
      </w:r>
    </w:p>
    <w:p w14:paraId="0EC16B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18.50, цель 21.15, посадка 23.55.</w:t>
      </w:r>
    </w:p>
    <w:p w14:paraId="2D53C6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5.04.42 г. Дно.</w:t>
      </w:r>
    </w:p>
    <w:p w14:paraId="01ECD5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не указан.</w:t>
      </w:r>
    </w:p>
    <w:p w14:paraId="75BE6D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 ФАБ-500, 4 ТГА- 250, 2 САБ-25.</w:t>
      </w:r>
    </w:p>
    <w:p w14:paraId="257B41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18.40, цель 21.03, посадка 23.00.</w:t>
      </w:r>
    </w:p>
    <w:p w14:paraId="049874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...Ясный тихий вечер. Солнце на заходе. Видимость хорошая. У Калинина подошел свой истребитель, посмотрел и ушел обратно.</w:t>
      </w:r>
    </w:p>
    <w:p w14:paraId="67B06A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...Обстреляны ЗА. На фронте оживление, много стрельбы...</w:t>
      </w:r>
    </w:p>
    <w:p w14:paraId="75FC4E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15-16. 04.42 г. Витебск, 746 ап.</w:t>
      </w:r>
    </w:p>
    <w:p w14:paraId="6B4CE2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Ушаков, полковник Лебедев.</w:t>
      </w:r>
    </w:p>
    <w:p w14:paraId="7FA21A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 ФАБ-500, 8 ФАБ- 250, 2 САБ-25.</w:t>
      </w:r>
    </w:p>
    <w:p w14:paraId="08DEF4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19.40, цель 22.35, посадка 01.25.</w:t>
      </w:r>
    </w:p>
    <w:p w14:paraId="6C4615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Весна. Вода. Истребители садятся на воду, клюют носом.</w:t>
      </w:r>
    </w:p>
    <w:p w14:paraId="57A479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Много разговоров о трудности взлета, забрасывает патрубки водой. Вылетают: 1-й Алексеев, 2-й Пусэп, 3-й Асямов, 4-й Па- хомчик.</w:t>
      </w:r>
    </w:p>
    <w:p w14:paraId="5BE895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Задержали Еры - долго копались. Алексеев, Пусэп с конца дорожки по воде стартовали плохо. У нас полковник Лебедев. У меня новый штурман Ушаков. У Асямова компас повернут - быстро исправили - зарулили. Стартовали без воды.</w:t>
      </w:r>
    </w:p>
    <w:p w14:paraId="04CEAB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16-17.04.42 г. </w:t>
      </w:r>
      <w:proofErr w:type="gramStart"/>
      <w:r w:rsidRPr="008127F8">
        <w:rPr>
          <w:rFonts w:ascii="Times New Roman" w:hAnsi="Times New Roman"/>
          <w:color w:val="000000" w:themeColor="text1"/>
          <w:sz w:val="16"/>
          <w:szCs w:val="16"/>
        </w:rPr>
        <w:t>Полоцк .</w:t>
      </w:r>
      <w:proofErr w:type="gramEnd"/>
    </w:p>
    <w:p w14:paraId="07936E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Асямов, Штепенко, Ушаков, полковник Лебедев.</w:t>
      </w:r>
    </w:p>
    <w:p w14:paraId="3DFD79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4 ФАБ-500, 4 ФАБ- 250, 2 САБ-25, 300000 листовок.</w:t>
      </w:r>
    </w:p>
    <w:p w14:paraId="402208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Старт 19.17, цель 21.35, посадка 01.04.</w:t>
      </w:r>
    </w:p>
    <w:p w14:paraId="74A2BA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Полоцк 4 корабля с интервалами 5 минут.</w:t>
      </w:r>
    </w:p>
    <w:p w14:paraId="21CCCB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Асямов, Лебедев (ком полка).</w:t>
      </w:r>
    </w:p>
    <w:p w14:paraId="48A128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Алексеев, Лебедев (штурман).</w:t>
      </w:r>
    </w:p>
    <w:p w14:paraId="69AB52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Пахомчик, Кирюшенко.</w:t>
      </w:r>
    </w:p>
    <w:p w14:paraId="6C9657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Пусэп, Колечко на курбанской машине.</w:t>
      </w:r>
    </w:p>
    <w:p w14:paraId="5EB04E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 на речку хорошо - дорожка сухая. За нами много самолетов - Еры и ДБ-ЗФ.</w:t>
      </w:r>
    </w:p>
    <w:p w14:paraId="2CD13B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Загорском Алексеев обогнал нас слева. Мы под облаками. Дальше вылезли наверх. У Калинина Алексеев справа от нас. У Старицы Алексеев впереди нас - от его струи болтает. Алексеев бросает листовки - стая белых голубей.</w:t>
      </w:r>
    </w:p>
    <w:p w14:paraId="71E0E6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...Пришли в район Полоцка, тишина, ничего не видно. Кто-то бросает САБы ...смутно вырисовывается город - неуверенно бросил одну ФАБ-500. На левом берегу Десны взорвалась и никакого впечатления. Кругом нас висят САБы - бомбят с разных направлений. Два раза нас болтануло - где-то </w:t>
      </w:r>
    </w:p>
    <w:p w14:paraId="5BE5DE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близко прошел самолет. Я пошел туда, где по моим расчетам была цель. Затем с курсом на север и нажал кнопку. От правого берега серия протянулась до вокзала - возник большой пожар. Вслед за мной по пожару стали бомбить остальные и довольно удачно.</w:t>
      </w:r>
    </w:p>
    <w:p w14:paraId="1C9AAD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Домой пришли хорошо. Ушаков вел всю навигацию, маяки хорошо работали, не врали. Но на аэродроме началась кутерьма. Разбился Ер и вот, собралось много самолетов, ходят в разных направлениях, бросают ракеты - а старта нет. Сели кое-как, с грехом пополам, наискосок площадки с промазом. Алексеев крикнул - "Мажем!" - и я толкнул Ушакова, полез вместе с ним назад - но все кончилось хорошо. После еще долго продолжался спектакль с посадками. Пусэп промазал и от земли ушел в конце аэродрома. Алексеев ушел на второй круг.</w:t>
      </w:r>
    </w:p>
    <w:p w14:paraId="7510B0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донесении Колечко и Кирющенко видели мой пожар.</w:t>
      </w:r>
    </w:p>
    <w:p w14:paraId="1C55BA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Водка, Вино, Пиво. Утром у себя дома на даче (12025)".</w:t>
      </w:r>
    </w:p>
    <w:p w14:paraId="1FF102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EFC4D" w14:textId="77777777" w:rsidR="002801BC"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A520DA3" w14:textId="77777777" w:rsidR="002801BC" w:rsidRPr="008127F8" w:rsidRDefault="002801BC"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E1DC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марта 1942 в Мурманске представитель английского командования вручил авиационные кресты л СФ Сафонову, Туманову, Кухаренко и Коваленко (438,837).</w:t>
      </w:r>
    </w:p>
    <w:p w14:paraId="6BE1E7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C854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810EC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537492"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18 марта </w:t>
      </w:r>
      <w:r w:rsidRPr="008127F8">
        <w:rPr>
          <w:rFonts w:ascii="Times New Roman" w:hAnsi="Times New Roman"/>
          <w:color w:val="000000" w:themeColor="text1"/>
          <w:sz w:val="16"/>
          <w:szCs w:val="16"/>
        </w:rPr>
        <w:t>в 1942 году начало стендовых испытаний двигателя G.E.C. фирмы «Дженерал электрик». В апреле 1941 года командующий ВВС США генерал Арнольд находился в Англии и познакомился там с новым реактивным истребителем фирмы «Глостер» «G.40». Полет новейшего секретного самолета произвел на него большое впечатление. В результате переговоров с англичанами Арнольд получил разрешение на вывоз в США документации на реактивные двигатели конструкции Уиттла и их серийное производство. Естественно, вся документация поступила на "подшефную" для ВВС фирму "Дженерал электрик", точнее, в ее филиал, занимавшийся разработкой турбокомпрессоров. Через семь месяцев, 18 марта 1942 года, первый двигатель с обозначением «GEC-1» поступил на стендовые испытания. Теперь ВВС могли инициировать разработку реактивных боевых самолетов (15072).</w:t>
      </w:r>
    </w:p>
    <w:p w14:paraId="38ABDDD4" w14:textId="77777777" w:rsidR="002801BC" w:rsidRPr="008127F8" w:rsidRDefault="002801BC" w:rsidP="001E0A84">
      <w:pPr>
        <w:spacing w:after="0" w:line="240" w:lineRule="auto"/>
        <w:jc w:val="both"/>
        <w:rPr>
          <w:rFonts w:ascii="Times New Roman" w:hAnsi="Times New Roman"/>
          <w:color w:val="000000" w:themeColor="text1"/>
          <w:sz w:val="16"/>
          <w:szCs w:val="16"/>
        </w:rPr>
      </w:pPr>
    </w:p>
    <w:p w14:paraId="3469F13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18 марта 1942 120 тысяч граждан США японской национальности посажены в концентрационные лагеря (4962).</w:t>
      </w:r>
    </w:p>
    <w:p w14:paraId="5F57DE1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EFB28"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18 марта </w:t>
      </w:r>
      <w:r w:rsidRPr="008127F8">
        <w:rPr>
          <w:rFonts w:ascii="Times New Roman" w:hAnsi="Times New Roman"/>
          <w:color w:val="000000" w:themeColor="text1"/>
          <w:sz w:val="16"/>
          <w:szCs w:val="16"/>
        </w:rPr>
        <w:t>в 1942 году с началом войны с Японией 120 тысяч граждан США японской национальности без всяких обвинений сажаются в концентрационные лагеря (15072).</w:t>
      </w:r>
    </w:p>
    <w:p w14:paraId="1326043A" w14:textId="77777777" w:rsidR="002801BC" w:rsidRPr="008127F8" w:rsidRDefault="002801BC" w:rsidP="001E0A84">
      <w:pPr>
        <w:spacing w:after="0" w:line="240" w:lineRule="auto"/>
        <w:jc w:val="both"/>
        <w:rPr>
          <w:rFonts w:ascii="Times New Roman" w:hAnsi="Times New Roman"/>
          <w:color w:val="000000" w:themeColor="text1"/>
          <w:sz w:val="16"/>
          <w:szCs w:val="16"/>
        </w:rPr>
      </w:pPr>
    </w:p>
    <w:p w14:paraId="347CDE9E"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5751A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56F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приказом НКАП заводу 23 поручили выпускать Ил-4. Синьки получили из Комсомольска-на-Амуре (568,27).</w:t>
      </w:r>
    </w:p>
    <w:p w14:paraId="7C5436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7A289"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года приказом по НКАП заводу № 23, эвакуированному из Ленинграда на площадку завода № 22, эвакуированного в Казань, поручили строить Ил-4. В начале апреля дирекция получила прямое указание Сталина об этом, но дело шло медленно. 18 апреля Наркому авиапрома посыльный вру</w:t>
      </w:r>
      <w:r w:rsidRPr="008A2E5A">
        <w:rPr>
          <w:rFonts w:ascii="Times New Roman" w:hAnsi="Times New Roman"/>
          <w:color w:val="0070C0"/>
          <w:sz w:val="16"/>
          <w:szCs w:val="16"/>
        </w:rPr>
        <w:softHyphen/>
        <w:t>чил записку из Кремля: «Поручить тт. Шахурину и Щербакову (директору завода №23) в срочном порядке авиазавод №23 для производства самолетов Ил-4. Доклад тт. Сталину и Молотову через каждые 2 дня». Заводу №23 передали с 81-го завода невыполненный план вместе с группой рабочих и спе</w:t>
      </w:r>
      <w:r w:rsidRPr="008A2E5A">
        <w:rPr>
          <w:rFonts w:ascii="Times New Roman" w:hAnsi="Times New Roman"/>
          <w:color w:val="0070C0"/>
          <w:sz w:val="16"/>
          <w:szCs w:val="16"/>
        </w:rPr>
        <w:softHyphen/>
        <w:t>циалистов под руководством его бывшего главного инженера П.М. Морозова.</w:t>
      </w:r>
    </w:p>
    <w:p w14:paraId="0AC3346B"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Женщины и подростки заняли места ушедших на фронт му</w:t>
      </w:r>
      <w:r w:rsidRPr="008A2E5A">
        <w:rPr>
          <w:rFonts w:ascii="Times New Roman" w:hAnsi="Times New Roman"/>
          <w:color w:val="0070C0"/>
          <w:sz w:val="16"/>
          <w:szCs w:val="16"/>
        </w:rPr>
        <w:softHyphen/>
        <w:t>жей и отцов на сборочных линиях и у станков, но им не хватало ни квалификации, ни здоровья и сил. Невзирая на все трудно</w:t>
      </w:r>
      <w:r w:rsidRPr="008A2E5A">
        <w:rPr>
          <w:rFonts w:ascii="Times New Roman" w:hAnsi="Times New Roman"/>
          <w:color w:val="0070C0"/>
          <w:sz w:val="16"/>
          <w:szCs w:val="16"/>
        </w:rPr>
        <w:softHyphen/>
        <w:t>сти, завод в кратчайшие сроки изготовил всю детальную и сбо</w:t>
      </w:r>
      <w:r w:rsidRPr="008A2E5A">
        <w:rPr>
          <w:rFonts w:ascii="Times New Roman" w:hAnsi="Times New Roman"/>
          <w:color w:val="0070C0"/>
          <w:sz w:val="16"/>
          <w:szCs w:val="16"/>
        </w:rPr>
        <w:softHyphen/>
        <w:t>рочную оснастку фюзеляжа и сборочную на крыло и оперение. Из Комсомольска пришли несколько комплектов крыльев, килей и стабилизаторов в деталях, и в июле в Москве были готовы первые шесть Ил-4. К осени завод давал один Ил-4 в сутки и к концу года сдал 110 машин. План не сделали, но и это было неплохо в тех условиях (24139).</w:t>
      </w:r>
    </w:p>
    <w:p w14:paraId="7DBEADC1" w14:textId="77777777" w:rsidR="0066756D" w:rsidRPr="008A2E5A" w:rsidRDefault="0066756D" w:rsidP="0066756D">
      <w:pPr>
        <w:spacing w:after="0" w:line="240" w:lineRule="auto"/>
        <w:jc w:val="both"/>
        <w:rPr>
          <w:rFonts w:ascii="Times New Roman" w:hAnsi="Times New Roman"/>
          <w:color w:val="0070C0"/>
          <w:sz w:val="16"/>
          <w:szCs w:val="16"/>
        </w:rPr>
      </w:pPr>
    </w:p>
    <w:p w14:paraId="45C591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это был приказ НКАП N 222cс "Об организации производства деревянных фюзеляжей и консолей крыла самолета ДБ-3 на заводах 497 и 81 для завода 23" (1543,25).</w:t>
      </w:r>
    </w:p>
    <w:p w14:paraId="477A6A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78CD2"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1943 была</w:t>
      </w:r>
    </w:p>
    <w:p w14:paraId="03923434"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Докладная записка № 154 командующего ВВС Красной армии П. Ф. Жигарева председателю ГКО СССР И. В. Сталину о задержке сдачи самолетов авиапромышленностью</w:t>
      </w:r>
    </w:p>
    <w:p w14:paraId="1AE94F30"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w:t>
      </w:r>
    </w:p>
    <w:p w14:paraId="038FA2EF"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86A4AAB"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Докладываю. Формирование и подготовка штурмовых полков на самолетах Ил-2 задерживается по причине того, что т. Шахурин с 1 по 15 марта с. г. недодал от промышленности к бою готовых 89 самолетов Ил-2. По его заявлению, задержка произошла по причине отсутствия на заводе снарядов для отстрела пушек Волкова-Ярцева. Мною для ускорения отстрела пушек на заводы № 1 и 18 передано 4500 снарядов сверх плана, а всего передано на эти заводы 13 000 снарядов.</w:t>
      </w:r>
    </w:p>
    <w:p w14:paraId="60BF6387"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Кроме того, недодал к бою готовых 28 самолетов ЛаГГ-3 и 18 самолетов Пе-2, в то время как к 17 марта 1942 г. на аэродромах </w:t>
      </w:r>
      <w:proofErr w:type="gramStart"/>
      <w:r w:rsidRPr="008A2E5A">
        <w:rPr>
          <w:rFonts w:ascii="Times New Roman" w:hAnsi="Times New Roman"/>
          <w:color w:val="0070C0"/>
          <w:sz w:val="16"/>
          <w:szCs w:val="16"/>
        </w:rPr>
        <w:t>заводов</w:t>
      </w:r>
      <w:proofErr w:type="gramEnd"/>
      <w:r w:rsidRPr="008A2E5A">
        <w:rPr>
          <w:rFonts w:ascii="Times New Roman" w:hAnsi="Times New Roman"/>
          <w:color w:val="0070C0"/>
          <w:sz w:val="16"/>
          <w:szCs w:val="16"/>
        </w:rPr>
        <w:t xml:space="preserve"> выпущенных из сборки скопилось:</w:t>
      </w:r>
    </w:p>
    <w:p w14:paraId="295A10FB"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292 — самолетов Як-1 — 196, на заводе № 21 — самолетов ЛаГГ-3 — 128, на заводе № 22 — самолетов Пе-2 — 57, на заводе № 39 — самолетов Пе-2 — 45, на заводе № 1 — самолетов Ил-2 — 56, на заводе № 18 — самолетов Ил-2 — 86, на заводе № 381 — самолетов Ил-2 — 15.</w:t>
      </w:r>
    </w:p>
    <w:p w14:paraId="7F4A25FA"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Такое положение с самолетами не дает мне возможности выполнить по указанным</w:t>
      </w:r>
    </w:p>
    <w:p w14:paraId="5A9FDBE2"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срокам постановление ГОКО о формировании 66 авиаполков в марте месяце 1942 г.1 2*</w:t>
      </w:r>
    </w:p>
    <w:p w14:paraId="41C354E1"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Вашей помощи.</w:t>
      </w:r>
    </w:p>
    <w:p w14:paraId="7D9C052A"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Жигарев</w:t>
      </w:r>
    </w:p>
    <w:p w14:paraId="657F1CC2"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«Т[овари]щу Маленкову. Возьмите за жабры размазню Шахурина.</w:t>
      </w:r>
    </w:p>
    <w:p w14:paraId="587F2C18"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Сталин»3*.</w:t>
      </w:r>
    </w:p>
    <w:p w14:paraId="21CB8AF5"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109-110. Подлинник.</w:t>
      </w:r>
    </w:p>
    <w:p w14:paraId="189EA49C"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Предложение подчеркнуто синим карандашом.</w:t>
      </w:r>
    </w:p>
    <w:p w14:paraId="191DB2B7"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Постановление ГКО СССР № 1376сс «О формировании авиаполков в резерв Ставки Верховного</w:t>
      </w:r>
    </w:p>
    <w:p w14:paraId="235DD93E"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главного командования» от 3 марта 1942 г. (РГАСПИ. Ф. 644. On. 1. Д. 23. Л. 46-48).</w:t>
      </w:r>
    </w:p>
    <w:p w14:paraId="6263F34B"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Резолюция написана красным карандашом. Первое предложение дважды подчеркнуто (23603).</w:t>
      </w:r>
    </w:p>
    <w:p w14:paraId="2F7960EF" w14:textId="77777777" w:rsidR="0066756D" w:rsidRPr="008A2E5A" w:rsidRDefault="0066756D" w:rsidP="0066756D">
      <w:pPr>
        <w:spacing w:after="0" w:line="240" w:lineRule="auto"/>
        <w:jc w:val="both"/>
        <w:rPr>
          <w:rFonts w:ascii="Times New Roman" w:hAnsi="Times New Roman"/>
          <w:color w:val="0070C0"/>
          <w:sz w:val="16"/>
          <w:szCs w:val="16"/>
        </w:rPr>
      </w:pPr>
    </w:p>
    <w:p w14:paraId="2031FD6B"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 Докладная записка командующего ВВС Красной армии П. Ф. Жигарева председателю ГКО СССР И. В. Сталину о задержке сдачи самолетов авиапромышленностью</w:t>
      </w:r>
    </w:p>
    <w:p w14:paraId="38D3BEF9"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2E522CC7"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Докладываю. Формирование и подготовка штурмовых полков на самолетах Ил-2 задерживается по причине того, что т. Шахурин с 1 по 15 марта с. г. недодал от промышленности к бою готовых 89 самолетов Ил-21*. По его заявлению, задержка произошла по причине отсутствия на заводе снарядов для отстрела пушек Волкова-Ярцева. Мною для ускорения отстрела пушек на заводы № 1 и 18 передано 4500 снарядов сверх плана, а всего передано на эти заводы 13 000 снарядов.</w:t>
      </w:r>
    </w:p>
    <w:p w14:paraId="218C8B5D"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недодал к бою готовых 28 самолетов ЛаГГ-3 и 18 самолетов Пе-2, в то время как к 17 марта 1942 г. на аэродромах заводов выпущенных из сборки скопилось: на заводе № 292 — самолетов Як-1 — 196, на заводе № 21 — самолетов ЛаГГ-3 — 128, на заводе № 22 — самолетов Пе-2 — 57, на заводе № 39 — самолетов Пе-2 — 45, на заводе № 1 — самолетов Ил-2 — 56, на заводе № 18 — самолетов Ил-2 — 86, на заводе № 381 — самолетов Ил-2 — 15.</w:t>
      </w:r>
    </w:p>
    <w:p w14:paraId="27CB23B0"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Такое положение с самолетами не дает мне возможности выполнить по указанным срокам постановление ГОКО о формировании 66 авиаполков в марте месяце 1942 г.</w:t>
      </w:r>
    </w:p>
    <w:p w14:paraId="3724D38E"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Вашей помощи.</w:t>
      </w:r>
    </w:p>
    <w:p w14:paraId="1AD4C668"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Жигарев</w:t>
      </w:r>
    </w:p>
    <w:p w14:paraId="6FCC32C2"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«Т[овари]щу Маленкову. Возьмите за жабры размазню Шахурина.</w:t>
      </w:r>
    </w:p>
    <w:p w14:paraId="07C43869"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w:t>
      </w:r>
    </w:p>
    <w:p w14:paraId="0DB4D868"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109-110. Подлинник (24059).</w:t>
      </w:r>
    </w:p>
    <w:p w14:paraId="6DDED376" w14:textId="77777777" w:rsidR="00325C56" w:rsidRPr="008A2E5A" w:rsidRDefault="00325C56" w:rsidP="00325C56">
      <w:pPr>
        <w:spacing w:after="0" w:line="240" w:lineRule="auto"/>
        <w:jc w:val="both"/>
        <w:rPr>
          <w:rFonts w:ascii="Times New Roman" w:hAnsi="Times New Roman"/>
          <w:color w:val="0070C0"/>
          <w:sz w:val="16"/>
          <w:szCs w:val="16"/>
        </w:rPr>
      </w:pPr>
    </w:p>
    <w:p w14:paraId="5E887EC0"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19 марта 1942 г. </w:t>
      </w:r>
      <w:proofErr w:type="gramStart"/>
      <w:r w:rsidRPr="008A2E5A">
        <w:rPr>
          <w:rFonts w:ascii="Times New Roman" w:hAnsi="Times New Roman"/>
          <w:color w:val="0070C0"/>
          <w:sz w:val="16"/>
          <w:szCs w:val="16"/>
        </w:rPr>
        <w:t>I  Донесение</w:t>
      </w:r>
      <w:proofErr w:type="gramEnd"/>
      <w:r w:rsidRPr="008A2E5A">
        <w:rPr>
          <w:rFonts w:ascii="Times New Roman" w:hAnsi="Times New Roman"/>
          <w:color w:val="0070C0"/>
          <w:sz w:val="16"/>
          <w:szCs w:val="16"/>
        </w:rPr>
        <w:t xml:space="preserve"> наркома авиационной промышленности</w:t>
      </w:r>
    </w:p>
    <w:p w14:paraId="357361FE"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 Шахурина председателю ГКО СССР И. В. Сталину</w:t>
      </w:r>
    </w:p>
    <w:p w14:paraId="268329BD"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сдаче моторов и самолетов за 18 марта 1942 г.</w:t>
      </w:r>
    </w:p>
    <w:p w14:paraId="10E4F0AF"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 I</w:t>
      </w:r>
    </w:p>
    <w:p w14:paraId="39F225D1"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 р</w:t>
      </w:r>
    </w:p>
    <w:tbl>
      <w:tblPr>
        <w:tblStyle w:val="afffff5"/>
        <w:tblW w:w="0" w:type="auto"/>
        <w:tblLook w:val="04A0" w:firstRow="1" w:lastRow="0" w:firstColumn="1" w:lastColumn="0" w:noHBand="0" w:noVBand="1"/>
      </w:tblPr>
      <w:tblGrid>
        <w:gridCol w:w="3560"/>
        <w:gridCol w:w="3561"/>
        <w:gridCol w:w="3561"/>
      </w:tblGrid>
      <w:tr w:rsidR="0066756D" w:rsidRPr="008A2E5A" w14:paraId="4050AF7C" w14:textId="77777777" w:rsidTr="004C5D62">
        <w:tc>
          <w:tcPr>
            <w:tcW w:w="3560" w:type="dxa"/>
          </w:tcPr>
          <w:p w14:paraId="19A19E44" w14:textId="77777777" w:rsidR="0066756D" w:rsidRPr="008A2E5A" w:rsidRDefault="0066756D" w:rsidP="004C5D62">
            <w:pPr>
              <w:spacing w:after="0" w:line="240" w:lineRule="auto"/>
              <w:jc w:val="both"/>
              <w:rPr>
                <w:color w:val="0070C0"/>
                <w:sz w:val="16"/>
                <w:szCs w:val="16"/>
              </w:rPr>
            </w:pPr>
            <w:r w:rsidRPr="008A2E5A">
              <w:rPr>
                <w:color w:val="0070C0"/>
                <w:sz w:val="16"/>
                <w:szCs w:val="16"/>
              </w:rPr>
              <w:t>№ завода</w:t>
            </w:r>
          </w:p>
        </w:tc>
        <w:tc>
          <w:tcPr>
            <w:tcW w:w="3561" w:type="dxa"/>
          </w:tcPr>
          <w:p w14:paraId="68415A49" w14:textId="77777777" w:rsidR="0066756D" w:rsidRPr="008A2E5A" w:rsidRDefault="0066756D" w:rsidP="004C5D62">
            <w:pPr>
              <w:spacing w:after="0" w:line="240" w:lineRule="auto"/>
              <w:jc w:val="both"/>
              <w:rPr>
                <w:color w:val="0070C0"/>
                <w:sz w:val="16"/>
                <w:szCs w:val="16"/>
              </w:rPr>
            </w:pPr>
            <w:r w:rsidRPr="008A2E5A">
              <w:rPr>
                <w:color w:val="0070C0"/>
                <w:sz w:val="16"/>
                <w:szCs w:val="16"/>
              </w:rPr>
              <w:t>Тип моторов и самолетов</w:t>
            </w:r>
          </w:p>
        </w:tc>
        <w:tc>
          <w:tcPr>
            <w:tcW w:w="3561" w:type="dxa"/>
          </w:tcPr>
          <w:p w14:paraId="2E319C94" w14:textId="77777777" w:rsidR="0066756D" w:rsidRPr="008A2E5A" w:rsidRDefault="0066756D" w:rsidP="004C5D62">
            <w:pPr>
              <w:spacing w:after="0" w:line="240" w:lineRule="auto"/>
              <w:jc w:val="both"/>
              <w:rPr>
                <w:color w:val="0070C0"/>
                <w:sz w:val="16"/>
                <w:szCs w:val="16"/>
              </w:rPr>
            </w:pPr>
            <w:r w:rsidRPr="008A2E5A">
              <w:rPr>
                <w:color w:val="0070C0"/>
                <w:sz w:val="16"/>
                <w:szCs w:val="16"/>
              </w:rPr>
              <w:t>Количество, принятое военпредом</w:t>
            </w:r>
          </w:p>
        </w:tc>
      </w:tr>
      <w:tr w:rsidR="0066756D" w:rsidRPr="008A2E5A" w14:paraId="76D1C7AF" w14:textId="77777777" w:rsidTr="004C5D62">
        <w:tc>
          <w:tcPr>
            <w:tcW w:w="3560" w:type="dxa"/>
          </w:tcPr>
          <w:p w14:paraId="7268FA17" w14:textId="77777777" w:rsidR="0066756D" w:rsidRPr="008A2E5A" w:rsidRDefault="0066756D" w:rsidP="004C5D62">
            <w:pPr>
              <w:spacing w:after="0" w:line="240" w:lineRule="auto"/>
              <w:jc w:val="both"/>
              <w:rPr>
                <w:color w:val="0070C0"/>
                <w:sz w:val="16"/>
                <w:szCs w:val="16"/>
              </w:rPr>
            </w:pPr>
          </w:p>
        </w:tc>
        <w:tc>
          <w:tcPr>
            <w:tcW w:w="3561" w:type="dxa"/>
          </w:tcPr>
          <w:p w14:paraId="404F4096" w14:textId="77777777" w:rsidR="0066756D" w:rsidRPr="008A2E5A" w:rsidRDefault="0066756D" w:rsidP="004C5D62">
            <w:pPr>
              <w:spacing w:after="0" w:line="240" w:lineRule="auto"/>
              <w:jc w:val="both"/>
              <w:rPr>
                <w:color w:val="0070C0"/>
                <w:sz w:val="16"/>
                <w:szCs w:val="16"/>
              </w:rPr>
            </w:pPr>
            <w:r w:rsidRPr="008A2E5A">
              <w:rPr>
                <w:color w:val="0070C0"/>
                <w:sz w:val="16"/>
                <w:szCs w:val="16"/>
              </w:rPr>
              <w:t>I. Моторы</w:t>
            </w:r>
          </w:p>
        </w:tc>
        <w:tc>
          <w:tcPr>
            <w:tcW w:w="3561" w:type="dxa"/>
          </w:tcPr>
          <w:p w14:paraId="3B6D9AA0" w14:textId="77777777" w:rsidR="0066756D" w:rsidRPr="008A2E5A" w:rsidRDefault="0066756D" w:rsidP="004C5D62">
            <w:pPr>
              <w:spacing w:after="0" w:line="240" w:lineRule="auto"/>
              <w:jc w:val="both"/>
              <w:rPr>
                <w:color w:val="0070C0"/>
                <w:sz w:val="16"/>
                <w:szCs w:val="16"/>
              </w:rPr>
            </w:pPr>
          </w:p>
        </w:tc>
      </w:tr>
      <w:tr w:rsidR="0066756D" w:rsidRPr="008A2E5A" w14:paraId="715711BA" w14:textId="77777777" w:rsidTr="004C5D62">
        <w:tc>
          <w:tcPr>
            <w:tcW w:w="3560" w:type="dxa"/>
          </w:tcPr>
          <w:p w14:paraId="68E6836D" w14:textId="77777777" w:rsidR="0066756D" w:rsidRPr="008A2E5A" w:rsidRDefault="0066756D" w:rsidP="004C5D62">
            <w:pPr>
              <w:spacing w:after="0" w:line="240" w:lineRule="auto"/>
              <w:jc w:val="both"/>
              <w:rPr>
                <w:color w:val="0070C0"/>
                <w:sz w:val="16"/>
                <w:szCs w:val="16"/>
              </w:rPr>
            </w:pPr>
            <w:r w:rsidRPr="008A2E5A">
              <w:rPr>
                <w:color w:val="0070C0"/>
                <w:sz w:val="16"/>
                <w:szCs w:val="16"/>
              </w:rPr>
              <w:t>16</w:t>
            </w:r>
          </w:p>
        </w:tc>
        <w:tc>
          <w:tcPr>
            <w:tcW w:w="3561" w:type="dxa"/>
          </w:tcPr>
          <w:p w14:paraId="6E4CDA5D" w14:textId="77777777" w:rsidR="0066756D" w:rsidRPr="008A2E5A" w:rsidRDefault="0066756D" w:rsidP="004C5D62">
            <w:pPr>
              <w:spacing w:after="0" w:line="240" w:lineRule="auto"/>
              <w:jc w:val="both"/>
              <w:rPr>
                <w:color w:val="0070C0"/>
                <w:sz w:val="16"/>
                <w:szCs w:val="16"/>
              </w:rPr>
            </w:pPr>
            <w:r w:rsidRPr="008A2E5A">
              <w:rPr>
                <w:color w:val="0070C0"/>
                <w:sz w:val="16"/>
                <w:szCs w:val="16"/>
              </w:rPr>
              <w:t>М-105Р</w:t>
            </w:r>
          </w:p>
        </w:tc>
        <w:tc>
          <w:tcPr>
            <w:tcW w:w="3561" w:type="dxa"/>
          </w:tcPr>
          <w:p w14:paraId="156225F6" w14:textId="77777777" w:rsidR="0066756D" w:rsidRPr="008A2E5A" w:rsidRDefault="0066756D" w:rsidP="004C5D62">
            <w:pPr>
              <w:spacing w:after="0" w:line="240" w:lineRule="auto"/>
              <w:jc w:val="both"/>
              <w:rPr>
                <w:color w:val="0070C0"/>
                <w:sz w:val="16"/>
                <w:szCs w:val="16"/>
              </w:rPr>
            </w:pPr>
            <w:r w:rsidRPr="008A2E5A">
              <w:rPr>
                <w:color w:val="0070C0"/>
                <w:sz w:val="16"/>
                <w:szCs w:val="16"/>
              </w:rPr>
              <w:t>I1*</w:t>
            </w:r>
          </w:p>
        </w:tc>
      </w:tr>
      <w:tr w:rsidR="0066756D" w:rsidRPr="008A2E5A" w14:paraId="6AD9E633" w14:textId="77777777" w:rsidTr="004C5D62">
        <w:tc>
          <w:tcPr>
            <w:tcW w:w="3560" w:type="dxa"/>
          </w:tcPr>
          <w:p w14:paraId="344FF1B9" w14:textId="77777777" w:rsidR="0066756D" w:rsidRPr="008A2E5A" w:rsidRDefault="0066756D" w:rsidP="004C5D62">
            <w:pPr>
              <w:spacing w:after="0" w:line="240" w:lineRule="auto"/>
              <w:jc w:val="both"/>
              <w:rPr>
                <w:color w:val="0070C0"/>
                <w:sz w:val="16"/>
                <w:szCs w:val="16"/>
              </w:rPr>
            </w:pPr>
            <w:r w:rsidRPr="008A2E5A">
              <w:rPr>
                <w:color w:val="0070C0"/>
                <w:sz w:val="16"/>
                <w:szCs w:val="16"/>
              </w:rPr>
              <w:t>19</w:t>
            </w:r>
          </w:p>
        </w:tc>
        <w:tc>
          <w:tcPr>
            <w:tcW w:w="3561" w:type="dxa"/>
          </w:tcPr>
          <w:p w14:paraId="79F9286F" w14:textId="77777777" w:rsidR="0066756D" w:rsidRPr="008A2E5A" w:rsidRDefault="0066756D" w:rsidP="004C5D62">
            <w:pPr>
              <w:spacing w:after="0" w:line="240" w:lineRule="auto"/>
              <w:jc w:val="both"/>
              <w:rPr>
                <w:color w:val="0070C0"/>
                <w:sz w:val="16"/>
                <w:szCs w:val="16"/>
              </w:rPr>
            </w:pPr>
            <w:r w:rsidRPr="008A2E5A">
              <w:rPr>
                <w:color w:val="0070C0"/>
                <w:sz w:val="16"/>
                <w:szCs w:val="16"/>
              </w:rPr>
              <w:t>М-82</w:t>
            </w:r>
          </w:p>
        </w:tc>
        <w:tc>
          <w:tcPr>
            <w:tcW w:w="3561" w:type="dxa"/>
          </w:tcPr>
          <w:p w14:paraId="66912F8B" w14:textId="77777777" w:rsidR="0066756D" w:rsidRPr="008A2E5A" w:rsidRDefault="0066756D" w:rsidP="004C5D62">
            <w:pPr>
              <w:spacing w:after="0" w:line="240" w:lineRule="auto"/>
              <w:jc w:val="both"/>
              <w:rPr>
                <w:color w:val="0070C0"/>
                <w:sz w:val="16"/>
                <w:szCs w:val="16"/>
              </w:rPr>
            </w:pPr>
            <w:r w:rsidRPr="008A2E5A">
              <w:rPr>
                <w:color w:val="0070C0"/>
                <w:sz w:val="16"/>
                <w:szCs w:val="16"/>
              </w:rPr>
              <w:t>2</w:t>
            </w:r>
          </w:p>
        </w:tc>
      </w:tr>
      <w:tr w:rsidR="0066756D" w:rsidRPr="008A2E5A" w14:paraId="784F7D3C" w14:textId="77777777" w:rsidTr="004C5D62">
        <w:tc>
          <w:tcPr>
            <w:tcW w:w="3560" w:type="dxa"/>
          </w:tcPr>
          <w:p w14:paraId="44611249" w14:textId="77777777" w:rsidR="0066756D" w:rsidRPr="008A2E5A" w:rsidRDefault="0066756D" w:rsidP="004C5D62">
            <w:pPr>
              <w:spacing w:after="0" w:line="240" w:lineRule="auto"/>
              <w:jc w:val="both"/>
              <w:rPr>
                <w:color w:val="0070C0"/>
                <w:sz w:val="16"/>
                <w:szCs w:val="16"/>
              </w:rPr>
            </w:pPr>
            <w:r w:rsidRPr="008A2E5A">
              <w:rPr>
                <w:color w:val="0070C0"/>
                <w:sz w:val="16"/>
                <w:szCs w:val="16"/>
              </w:rPr>
              <w:t>19</w:t>
            </w:r>
          </w:p>
        </w:tc>
        <w:tc>
          <w:tcPr>
            <w:tcW w:w="3561" w:type="dxa"/>
          </w:tcPr>
          <w:p w14:paraId="5B0759C1" w14:textId="77777777" w:rsidR="0066756D" w:rsidRPr="008A2E5A" w:rsidRDefault="0066756D" w:rsidP="004C5D62">
            <w:pPr>
              <w:spacing w:after="0" w:line="240" w:lineRule="auto"/>
              <w:jc w:val="both"/>
              <w:rPr>
                <w:color w:val="0070C0"/>
                <w:sz w:val="16"/>
                <w:szCs w:val="16"/>
              </w:rPr>
            </w:pPr>
            <w:r w:rsidRPr="008A2E5A">
              <w:rPr>
                <w:color w:val="0070C0"/>
                <w:sz w:val="16"/>
                <w:szCs w:val="16"/>
              </w:rPr>
              <w:t>М-62ИР</w:t>
            </w:r>
          </w:p>
        </w:tc>
        <w:tc>
          <w:tcPr>
            <w:tcW w:w="3561" w:type="dxa"/>
          </w:tcPr>
          <w:p w14:paraId="440B15C8" w14:textId="77777777" w:rsidR="0066756D" w:rsidRPr="008A2E5A" w:rsidRDefault="0066756D" w:rsidP="004C5D62">
            <w:pPr>
              <w:spacing w:after="0" w:line="240" w:lineRule="auto"/>
              <w:jc w:val="both"/>
              <w:rPr>
                <w:color w:val="0070C0"/>
                <w:sz w:val="16"/>
                <w:szCs w:val="16"/>
              </w:rPr>
            </w:pPr>
            <w:r w:rsidRPr="008A2E5A">
              <w:rPr>
                <w:color w:val="0070C0"/>
                <w:sz w:val="16"/>
                <w:szCs w:val="16"/>
              </w:rPr>
              <w:t>6</w:t>
            </w:r>
          </w:p>
        </w:tc>
      </w:tr>
      <w:tr w:rsidR="0066756D" w:rsidRPr="008A2E5A" w14:paraId="45B7105A" w14:textId="77777777" w:rsidTr="004C5D62">
        <w:tc>
          <w:tcPr>
            <w:tcW w:w="3560" w:type="dxa"/>
          </w:tcPr>
          <w:p w14:paraId="1C845000" w14:textId="77777777" w:rsidR="0066756D" w:rsidRPr="008A2E5A" w:rsidRDefault="0066756D" w:rsidP="004C5D62">
            <w:pPr>
              <w:spacing w:after="0" w:line="240" w:lineRule="auto"/>
              <w:jc w:val="both"/>
              <w:rPr>
                <w:color w:val="0070C0"/>
                <w:sz w:val="16"/>
                <w:szCs w:val="16"/>
              </w:rPr>
            </w:pPr>
            <w:r w:rsidRPr="008A2E5A">
              <w:rPr>
                <w:color w:val="0070C0"/>
                <w:sz w:val="16"/>
                <w:szCs w:val="16"/>
              </w:rPr>
              <w:t>24</w:t>
            </w:r>
          </w:p>
        </w:tc>
        <w:tc>
          <w:tcPr>
            <w:tcW w:w="3561" w:type="dxa"/>
          </w:tcPr>
          <w:p w14:paraId="1AFDC461" w14:textId="77777777" w:rsidR="0066756D" w:rsidRPr="008A2E5A" w:rsidRDefault="0066756D" w:rsidP="004C5D62">
            <w:pPr>
              <w:spacing w:after="0" w:line="240" w:lineRule="auto"/>
              <w:jc w:val="both"/>
              <w:rPr>
                <w:color w:val="0070C0"/>
                <w:sz w:val="16"/>
                <w:szCs w:val="16"/>
              </w:rPr>
            </w:pPr>
            <w:r w:rsidRPr="008A2E5A">
              <w:rPr>
                <w:color w:val="0070C0"/>
                <w:sz w:val="16"/>
                <w:szCs w:val="16"/>
              </w:rPr>
              <w:t>АМ-38</w:t>
            </w:r>
          </w:p>
        </w:tc>
        <w:tc>
          <w:tcPr>
            <w:tcW w:w="3561" w:type="dxa"/>
          </w:tcPr>
          <w:p w14:paraId="14636F71" w14:textId="77777777" w:rsidR="0066756D" w:rsidRPr="008A2E5A" w:rsidRDefault="0066756D" w:rsidP="004C5D62">
            <w:pPr>
              <w:spacing w:after="0" w:line="240" w:lineRule="auto"/>
              <w:jc w:val="both"/>
              <w:rPr>
                <w:color w:val="0070C0"/>
                <w:sz w:val="16"/>
                <w:szCs w:val="16"/>
              </w:rPr>
            </w:pPr>
            <w:r w:rsidRPr="008A2E5A">
              <w:rPr>
                <w:color w:val="0070C0"/>
                <w:sz w:val="16"/>
                <w:szCs w:val="16"/>
              </w:rPr>
              <w:t>6</w:t>
            </w:r>
          </w:p>
        </w:tc>
      </w:tr>
      <w:tr w:rsidR="0066756D" w:rsidRPr="008A2E5A" w14:paraId="08C94104" w14:textId="77777777" w:rsidTr="004C5D62">
        <w:tc>
          <w:tcPr>
            <w:tcW w:w="3560" w:type="dxa"/>
          </w:tcPr>
          <w:p w14:paraId="1AFB1F6B" w14:textId="77777777" w:rsidR="0066756D" w:rsidRPr="008A2E5A" w:rsidRDefault="0066756D" w:rsidP="004C5D62">
            <w:pPr>
              <w:spacing w:after="0" w:line="240" w:lineRule="auto"/>
              <w:jc w:val="both"/>
              <w:rPr>
                <w:color w:val="0070C0"/>
                <w:sz w:val="16"/>
                <w:szCs w:val="16"/>
              </w:rPr>
            </w:pPr>
            <w:r w:rsidRPr="008A2E5A">
              <w:rPr>
                <w:color w:val="0070C0"/>
                <w:sz w:val="16"/>
                <w:szCs w:val="16"/>
              </w:rPr>
              <w:t>24</w:t>
            </w:r>
          </w:p>
        </w:tc>
        <w:tc>
          <w:tcPr>
            <w:tcW w:w="3561" w:type="dxa"/>
          </w:tcPr>
          <w:p w14:paraId="2EF113BB" w14:textId="77777777" w:rsidR="0066756D" w:rsidRPr="008A2E5A" w:rsidRDefault="0066756D" w:rsidP="004C5D62">
            <w:pPr>
              <w:spacing w:after="0" w:line="240" w:lineRule="auto"/>
              <w:jc w:val="both"/>
              <w:rPr>
                <w:color w:val="0070C0"/>
                <w:sz w:val="16"/>
                <w:szCs w:val="16"/>
              </w:rPr>
            </w:pPr>
            <w:r w:rsidRPr="008A2E5A">
              <w:rPr>
                <w:color w:val="0070C0"/>
                <w:sz w:val="16"/>
                <w:szCs w:val="16"/>
              </w:rPr>
              <w:t>AM-35 А</w:t>
            </w:r>
          </w:p>
        </w:tc>
        <w:tc>
          <w:tcPr>
            <w:tcW w:w="3561" w:type="dxa"/>
          </w:tcPr>
          <w:p w14:paraId="718EA7D3" w14:textId="77777777" w:rsidR="0066756D" w:rsidRPr="008A2E5A" w:rsidRDefault="0066756D" w:rsidP="004C5D62">
            <w:pPr>
              <w:spacing w:after="0" w:line="240" w:lineRule="auto"/>
              <w:jc w:val="both"/>
              <w:rPr>
                <w:color w:val="0070C0"/>
                <w:sz w:val="16"/>
                <w:szCs w:val="16"/>
              </w:rPr>
            </w:pPr>
            <w:r w:rsidRPr="008A2E5A">
              <w:rPr>
                <w:color w:val="0070C0"/>
                <w:sz w:val="16"/>
                <w:szCs w:val="16"/>
              </w:rPr>
              <w:t>нет</w:t>
            </w:r>
          </w:p>
        </w:tc>
      </w:tr>
      <w:tr w:rsidR="0066756D" w:rsidRPr="008A2E5A" w14:paraId="6F69C226" w14:textId="77777777" w:rsidTr="004C5D62">
        <w:tc>
          <w:tcPr>
            <w:tcW w:w="3560" w:type="dxa"/>
          </w:tcPr>
          <w:p w14:paraId="2BCFF791" w14:textId="77777777" w:rsidR="0066756D" w:rsidRPr="008A2E5A" w:rsidRDefault="0066756D" w:rsidP="004C5D62">
            <w:pPr>
              <w:spacing w:after="0" w:line="240" w:lineRule="auto"/>
              <w:jc w:val="both"/>
              <w:rPr>
                <w:color w:val="0070C0"/>
                <w:sz w:val="16"/>
                <w:szCs w:val="16"/>
              </w:rPr>
            </w:pPr>
            <w:r w:rsidRPr="008A2E5A">
              <w:rPr>
                <w:color w:val="0070C0"/>
                <w:sz w:val="16"/>
                <w:szCs w:val="16"/>
              </w:rPr>
              <w:t>26</w:t>
            </w:r>
          </w:p>
        </w:tc>
        <w:tc>
          <w:tcPr>
            <w:tcW w:w="3561" w:type="dxa"/>
          </w:tcPr>
          <w:p w14:paraId="64594998" w14:textId="77777777" w:rsidR="0066756D" w:rsidRPr="008A2E5A" w:rsidRDefault="0066756D" w:rsidP="004C5D62">
            <w:pPr>
              <w:spacing w:after="0" w:line="240" w:lineRule="auto"/>
              <w:jc w:val="both"/>
              <w:rPr>
                <w:color w:val="0070C0"/>
                <w:sz w:val="16"/>
                <w:szCs w:val="16"/>
              </w:rPr>
            </w:pPr>
            <w:r w:rsidRPr="008A2E5A">
              <w:rPr>
                <w:color w:val="0070C0"/>
                <w:sz w:val="16"/>
                <w:szCs w:val="16"/>
              </w:rPr>
              <w:t>М-105П</w:t>
            </w:r>
          </w:p>
        </w:tc>
        <w:tc>
          <w:tcPr>
            <w:tcW w:w="3561" w:type="dxa"/>
          </w:tcPr>
          <w:p w14:paraId="506936D7" w14:textId="77777777" w:rsidR="0066756D" w:rsidRPr="008A2E5A" w:rsidRDefault="0066756D" w:rsidP="004C5D62">
            <w:pPr>
              <w:spacing w:after="0" w:line="240" w:lineRule="auto"/>
              <w:jc w:val="both"/>
              <w:rPr>
                <w:color w:val="0070C0"/>
                <w:sz w:val="16"/>
                <w:szCs w:val="16"/>
              </w:rPr>
            </w:pPr>
            <w:r w:rsidRPr="008A2E5A">
              <w:rPr>
                <w:color w:val="0070C0"/>
                <w:sz w:val="16"/>
                <w:szCs w:val="16"/>
              </w:rPr>
              <w:t>22</w:t>
            </w:r>
          </w:p>
        </w:tc>
      </w:tr>
      <w:tr w:rsidR="0066756D" w:rsidRPr="008A2E5A" w14:paraId="7B9A29D3" w14:textId="77777777" w:rsidTr="004C5D62">
        <w:tc>
          <w:tcPr>
            <w:tcW w:w="3560" w:type="dxa"/>
          </w:tcPr>
          <w:p w14:paraId="474A2929" w14:textId="77777777" w:rsidR="0066756D" w:rsidRPr="008A2E5A" w:rsidRDefault="0066756D" w:rsidP="004C5D62">
            <w:pPr>
              <w:spacing w:after="0" w:line="240" w:lineRule="auto"/>
              <w:jc w:val="both"/>
              <w:rPr>
                <w:color w:val="0070C0"/>
                <w:sz w:val="16"/>
                <w:szCs w:val="16"/>
              </w:rPr>
            </w:pPr>
            <w:r w:rsidRPr="008A2E5A">
              <w:rPr>
                <w:color w:val="0070C0"/>
                <w:sz w:val="16"/>
                <w:szCs w:val="16"/>
              </w:rPr>
              <w:t>26</w:t>
            </w:r>
          </w:p>
        </w:tc>
        <w:tc>
          <w:tcPr>
            <w:tcW w:w="3561" w:type="dxa"/>
          </w:tcPr>
          <w:p w14:paraId="0319DF64" w14:textId="77777777" w:rsidR="0066756D" w:rsidRPr="008A2E5A" w:rsidRDefault="0066756D" w:rsidP="004C5D62">
            <w:pPr>
              <w:spacing w:after="0" w:line="240" w:lineRule="auto"/>
              <w:jc w:val="both"/>
              <w:rPr>
                <w:color w:val="0070C0"/>
                <w:sz w:val="16"/>
                <w:szCs w:val="16"/>
              </w:rPr>
            </w:pPr>
            <w:r w:rsidRPr="008A2E5A">
              <w:rPr>
                <w:color w:val="0070C0"/>
                <w:sz w:val="16"/>
                <w:szCs w:val="16"/>
              </w:rPr>
              <w:t>М-107</w:t>
            </w:r>
          </w:p>
        </w:tc>
        <w:tc>
          <w:tcPr>
            <w:tcW w:w="3561" w:type="dxa"/>
          </w:tcPr>
          <w:p w14:paraId="129BBC79" w14:textId="77777777" w:rsidR="0066756D" w:rsidRPr="008A2E5A" w:rsidRDefault="0066756D" w:rsidP="004C5D62">
            <w:pPr>
              <w:spacing w:after="0" w:line="240" w:lineRule="auto"/>
              <w:jc w:val="both"/>
              <w:rPr>
                <w:color w:val="0070C0"/>
                <w:sz w:val="16"/>
                <w:szCs w:val="16"/>
              </w:rPr>
            </w:pPr>
            <w:r w:rsidRPr="008A2E5A">
              <w:rPr>
                <w:color w:val="0070C0"/>
                <w:sz w:val="16"/>
                <w:szCs w:val="16"/>
              </w:rPr>
              <w:t>нет</w:t>
            </w:r>
          </w:p>
        </w:tc>
      </w:tr>
      <w:tr w:rsidR="0066756D" w:rsidRPr="008A2E5A" w14:paraId="232614CA" w14:textId="77777777" w:rsidTr="004C5D62">
        <w:tc>
          <w:tcPr>
            <w:tcW w:w="3560" w:type="dxa"/>
          </w:tcPr>
          <w:p w14:paraId="64437983" w14:textId="77777777" w:rsidR="0066756D" w:rsidRPr="008A2E5A" w:rsidRDefault="0066756D" w:rsidP="004C5D62">
            <w:pPr>
              <w:spacing w:after="0" w:line="240" w:lineRule="auto"/>
              <w:jc w:val="both"/>
              <w:rPr>
                <w:color w:val="0070C0"/>
                <w:sz w:val="16"/>
                <w:szCs w:val="16"/>
              </w:rPr>
            </w:pPr>
            <w:r w:rsidRPr="008A2E5A">
              <w:rPr>
                <w:color w:val="0070C0"/>
                <w:sz w:val="16"/>
                <w:szCs w:val="16"/>
              </w:rPr>
              <w:t>29</w:t>
            </w:r>
          </w:p>
        </w:tc>
        <w:tc>
          <w:tcPr>
            <w:tcW w:w="3561" w:type="dxa"/>
          </w:tcPr>
          <w:p w14:paraId="0B998C28" w14:textId="77777777" w:rsidR="0066756D" w:rsidRPr="008A2E5A" w:rsidRDefault="0066756D" w:rsidP="004C5D62">
            <w:pPr>
              <w:spacing w:after="0" w:line="240" w:lineRule="auto"/>
              <w:jc w:val="both"/>
              <w:rPr>
                <w:color w:val="0070C0"/>
                <w:sz w:val="16"/>
                <w:szCs w:val="16"/>
              </w:rPr>
            </w:pPr>
            <w:r w:rsidRPr="008A2E5A">
              <w:rPr>
                <w:color w:val="0070C0"/>
                <w:sz w:val="16"/>
                <w:szCs w:val="16"/>
              </w:rPr>
              <w:t>М-88</w:t>
            </w:r>
          </w:p>
        </w:tc>
        <w:tc>
          <w:tcPr>
            <w:tcW w:w="3561" w:type="dxa"/>
          </w:tcPr>
          <w:p w14:paraId="1CA28DC9" w14:textId="77777777" w:rsidR="0066756D" w:rsidRPr="008A2E5A" w:rsidRDefault="0066756D" w:rsidP="004C5D62">
            <w:pPr>
              <w:spacing w:after="0" w:line="240" w:lineRule="auto"/>
              <w:jc w:val="both"/>
              <w:rPr>
                <w:color w:val="0070C0"/>
                <w:sz w:val="16"/>
                <w:szCs w:val="16"/>
              </w:rPr>
            </w:pPr>
            <w:r w:rsidRPr="008A2E5A">
              <w:rPr>
                <w:color w:val="0070C0"/>
                <w:sz w:val="16"/>
                <w:szCs w:val="16"/>
              </w:rPr>
              <w:t>9</w:t>
            </w:r>
          </w:p>
        </w:tc>
      </w:tr>
      <w:tr w:rsidR="0066756D" w:rsidRPr="008A2E5A" w14:paraId="6E4C1C22" w14:textId="77777777" w:rsidTr="004C5D62">
        <w:tc>
          <w:tcPr>
            <w:tcW w:w="3560" w:type="dxa"/>
          </w:tcPr>
          <w:p w14:paraId="06F848C7" w14:textId="77777777" w:rsidR="0066756D" w:rsidRPr="008A2E5A" w:rsidRDefault="0066756D" w:rsidP="004C5D62">
            <w:pPr>
              <w:spacing w:after="0" w:line="240" w:lineRule="auto"/>
              <w:jc w:val="both"/>
              <w:rPr>
                <w:color w:val="0070C0"/>
                <w:sz w:val="16"/>
                <w:szCs w:val="16"/>
              </w:rPr>
            </w:pPr>
            <w:r w:rsidRPr="008A2E5A">
              <w:rPr>
                <w:color w:val="0070C0"/>
                <w:sz w:val="16"/>
                <w:szCs w:val="16"/>
              </w:rPr>
              <w:t>ГАЗ</w:t>
            </w:r>
          </w:p>
        </w:tc>
        <w:tc>
          <w:tcPr>
            <w:tcW w:w="3561" w:type="dxa"/>
          </w:tcPr>
          <w:p w14:paraId="7E0CA107" w14:textId="77777777" w:rsidR="0066756D" w:rsidRPr="008A2E5A" w:rsidRDefault="0066756D" w:rsidP="004C5D62">
            <w:pPr>
              <w:spacing w:after="0" w:line="240" w:lineRule="auto"/>
              <w:jc w:val="both"/>
              <w:rPr>
                <w:color w:val="0070C0"/>
                <w:sz w:val="16"/>
                <w:szCs w:val="16"/>
              </w:rPr>
            </w:pPr>
            <w:r w:rsidRPr="008A2E5A">
              <w:rPr>
                <w:color w:val="0070C0"/>
                <w:sz w:val="16"/>
                <w:szCs w:val="16"/>
              </w:rPr>
              <w:t>М-105Р</w:t>
            </w:r>
          </w:p>
        </w:tc>
        <w:tc>
          <w:tcPr>
            <w:tcW w:w="3561" w:type="dxa"/>
          </w:tcPr>
          <w:p w14:paraId="458A8639" w14:textId="77777777" w:rsidR="0066756D" w:rsidRPr="008A2E5A" w:rsidRDefault="0066756D" w:rsidP="004C5D62">
            <w:pPr>
              <w:spacing w:after="0" w:line="240" w:lineRule="auto"/>
              <w:jc w:val="both"/>
              <w:rPr>
                <w:color w:val="0070C0"/>
                <w:sz w:val="16"/>
                <w:szCs w:val="16"/>
              </w:rPr>
            </w:pPr>
            <w:r w:rsidRPr="008A2E5A">
              <w:rPr>
                <w:color w:val="0070C0"/>
                <w:sz w:val="16"/>
                <w:szCs w:val="16"/>
              </w:rPr>
              <w:t>5</w:t>
            </w:r>
          </w:p>
        </w:tc>
      </w:tr>
      <w:tr w:rsidR="0066756D" w:rsidRPr="008A2E5A" w14:paraId="2C6129E1" w14:textId="77777777" w:rsidTr="004C5D62">
        <w:tc>
          <w:tcPr>
            <w:tcW w:w="3560" w:type="dxa"/>
          </w:tcPr>
          <w:p w14:paraId="78E045F9" w14:textId="77777777" w:rsidR="0066756D" w:rsidRPr="008A2E5A" w:rsidRDefault="0066756D" w:rsidP="004C5D62">
            <w:pPr>
              <w:spacing w:after="0" w:line="240" w:lineRule="auto"/>
              <w:jc w:val="both"/>
              <w:rPr>
                <w:color w:val="0070C0"/>
                <w:sz w:val="16"/>
                <w:szCs w:val="16"/>
              </w:rPr>
            </w:pPr>
            <w:r w:rsidRPr="008A2E5A">
              <w:rPr>
                <w:color w:val="0070C0"/>
                <w:sz w:val="16"/>
                <w:szCs w:val="16"/>
              </w:rPr>
              <w:t>154</w:t>
            </w:r>
          </w:p>
        </w:tc>
        <w:tc>
          <w:tcPr>
            <w:tcW w:w="3561" w:type="dxa"/>
          </w:tcPr>
          <w:p w14:paraId="4EE96AF3" w14:textId="77777777" w:rsidR="0066756D" w:rsidRPr="008A2E5A" w:rsidRDefault="0066756D" w:rsidP="004C5D62">
            <w:pPr>
              <w:spacing w:after="0" w:line="240" w:lineRule="auto"/>
              <w:jc w:val="both"/>
              <w:rPr>
                <w:color w:val="0070C0"/>
                <w:sz w:val="16"/>
                <w:szCs w:val="16"/>
              </w:rPr>
            </w:pPr>
            <w:r w:rsidRPr="008A2E5A">
              <w:rPr>
                <w:color w:val="0070C0"/>
                <w:sz w:val="16"/>
                <w:szCs w:val="16"/>
              </w:rPr>
              <w:t>М-11</w:t>
            </w:r>
          </w:p>
        </w:tc>
        <w:tc>
          <w:tcPr>
            <w:tcW w:w="3561" w:type="dxa"/>
          </w:tcPr>
          <w:p w14:paraId="6BB8D21A" w14:textId="77777777" w:rsidR="0066756D" w:rsidRPr="008A2E5A" w:rsidRDefault="0066756D" w:rsidP="004C5D62">
            <w:pPr>
              <w:spacing w:after="0" w:line="240" w:lineRule="auto"/>
              <w:jc w:val="both"/>
              <w:rPr>
                <w:color w:val="0070C0"/>
                <w:sz w:val="16"/>
                <w:szCs w:val="16"/>
              </w:rPr>
            </w:pPr>
            <w:r w:rsidRPr="008A2E5A">
              <w:rPr>
                <w:color w:val="0070C0"/>
                <w:sz w:val="16"/>
                <w:szCs w:val="16"/>
              </w:rPr>
              <w:t>7</w:t>
            </w:r>
          </w:p>
        </w:tc>
      </w:tr>
      <w:tr w:rsidR="0066756D" w:rsidRPr="008A2E5A" w14:paraId="55CFD837" w14:textId="77777777" w:rsidTr="004C5D62">
        <w:tc>
          <w:tcPr>
            <w:tcW w:w="3560" w:type="dxa"/>
          </w:tcPr>
          <w:p w14:paraId="26906F16" w14:textId="77777777" w:rsidR="0066756D" w:rsidRPr="008A2E5A" w:rsidRDefault="0066756D" w:rsidP="004C5D62">
            <w:pPr>
              <w:spacing w:after="0" w:line="240" w:lineRule="auto"/>
              <w:jc w:val="both"/>
              <w:rPr>
                <w:color w:val="0070C0"/>
                <w:sz w:val="16"/>
                <w:szCs w:val="16"/>
              </w:rPr>
            </w:pPr>
            <w:r w:rsidRPr="008A2E5A">
              <w:rPr>
                <w:color w:val="0070C0"/>
                <w:sz w:val="16"/>
                <w:szCs w:val="16"/>
              </w:rPr>
              <w:t>Итого моторов</w:t>
            </w:r>
          </w:p>
        </w:tc>
        <w:tc>
          <w:tcPr>
            <w:tcW w:w="3561" w:type="dxa"/>
          </w:tcPr>
          <w:p w14:paraId="0E026A60" w14:textId="77777777" w:rsidR="0066756D" w:rsidRPr="008A2E5A" w:rsidRDefault="0066756D" w:rsidP="004C5D62">
            <w:pPr>
              <w:spacing w:after="0" w:line="240" w:lineRule="auto"/>
              <w:jc w:val="both"/>
              <w:rPr>
                <w:color w:val="0070C0"/>
                <w:sz w:val="16"/>
                <w:szCs w:val="16"/>
              </w:rPr>
            </w:pPr>
          </w:p>
        </w:tc>
        <w:tc>
          <w:tcPr>
            <w:tcW w:w="3561" w:type="dxa"/>
          </w:tcPr>
          <w:p w14:paraId="0DB78E04" w14:textId="77777777" w:rsidR="0066756D" w:rsidRPr="008A2E5A" w:rsidRDefault="0066756D" w:rsidP="004C5D62">
            <w:pPr>
              <w:spacing w:after="0" w:line="240" w:lineRule="auto"/>
              <w:jc w:val="both"/>
              <w:rPr>
                <w:color w:val="0070C0"/>
                <w:sz w:val="16"/>
                <w:szCs w:val="16"/>
              </w:rPr>
            </w:pPr>
            <w:r w:rsidRPr="008A2E5A">
              <w:rPr>
                <w:color w:val="0070C0"/>
                <w:sz w:val="16"/>
                <w:szCs w:val="16"/>
              </w:rPr>
              <w:t>58</w:t>
            </w:r>
          </w:p>
        </w:tc>
      </w:tr>
      <w:tr w:rsidR="0066756D" w:rsidRPr="008A2E5A" w14:paraId="4442073C" w14:textId="77777777" w:rsidTr="004C5D62">
        <w:tc>
          <w:tcPr>
            <w:tcW w:w="3560" w:type="dxa"/>
          </w:tcPr>
          <w:p w14:paraId="21A688A1" w14:textId="77777777" w:rsidR="0066756D" w:rsidRPr="008A2E5A" w:rsidRDefault="0066756D" w:rsidP="004C5D62">
            <w:pPr>
              <w:spacing w:after="0" w:line="240" w:lineRule="auto"/>
              <w:jc w:val="both"/>
              <w:rPr>
                <w:color w:val="0070C0"/>
                <w:sz w:val="16"/>
                <w:szCs w:val="16"/>
              </w:rPr>
            </w:pPr>
          </w:p>
        </w:tc>
        <w:tc>
          <w:tcPr>
            <w:tcW w:w="3561" w:type="dxa"/>
          </w:tcPr>
          <w:p w14:paraId="0CD44961" w14:textId="77777777" w:rsidR="0066756D" w:rsidRPr="008A2E5A" w:rsidRDefault="0066756D" w:rsidP="004C5D62">
            <w:pPr>
              <w:spacing w:after="0" w:line="240" w:lineRule="auto"/>
              <w:jc w:val="both"/>
              <w:rPr>
                <w:color w:val="0070C0"/>
                <w:sz w:val="16"/>
                <w:szCs w:val="16"/>
              </w:rPr>
            </w:pPr>
            <w:r w:rsidRPr="008A2E5A">
              <w:rPr>
                <w:color w:val="0070C0"/>
                <w:sz w:val="16"/>
                <w:szCs w:val="16"/>
              </w:rPr>
              <w:t>II. Самолеты</w:t>
            </w:r>
          </w:p>
        </w:tc>
        <w:tc>
          <w:tcPr>
            <w:tcW w:w="3561" w:type="dxa"/>
          </w:tcPr>
          <w:p w14:paraId="470FCD41" w14:textId="77777777" w:rsidR="0066756D" w:rsidRPr="008A2E5A" w:rsidRDefault="0066756D" w:rsidP="004C5D62">
            <w:pPr>
              <w:spacing w:after="0" w:line="240" w:lineRule="auto"/>
              <w:jc w:val="both"/>
              <w:rPr>
                <w:color w:val="0070C0"/>
                <w:sz w:val="16"/>
                <w:szCs w:val="16"/>
              </w:rPr>
            </w:pPr>
          </w:p>
        </w:tc>
      </w:tr>
      <w:tr w:rsidR="0066756D" w:rsidRPr="008A2E5A" w14:paraId="681AEF03" w14:textId="77777777" w:rsidTr="004C5D62">
        <w:tc>
          <w:tcPr>
            <w:tcW w:w="3560" w:type="dxa"/>
          </w:tcPr>
          <w:p w14:paraId="341C73B8" w14:textId="77777777" w:rsidR="0066756D" w:rsidRPr="008A2E5A" w:rsidRDefault="0066756D" w:rsidP="004C5D62">
            <w:pPr>
              <w:spacing w:after="0" w:line="240" w:lineRule="auto"/>
              <w:jc w:val="both"/>
              <w:rPr>
                <w:color w:val="0070C0"/>
                <w:sz w:val="16"/>
                <w:szCs w:val="16"/>
              </w:rPr>
            </w:pPr>
            <w:r w:rsidRPr="008A2E5A">
              <w:rPr>
                <w:color w:val="0070C0"/>
                <w:sz w:val="16"/>
                <w:szCs w:val="16"/>
              </w:rPr>
              <w:t>21</w:t>
            </w:r>
          </w:p>
        </w:tc>
        <w:tc>
          <w:tcPr>
            <w:tcW w:w="3561" w:type="dxa"/>
          </w:tcPr>
          <w:p w14:paraId="42903B67" w14:textId="77777777" w:rsidR="0066756D" w:rsidRPr="008A2E5A" w:rsidRDefault="0066756D" w:rsidP="004C5D62">
            <w:pPr>
              <w:spacing w:after="0" w:line="240" w:lineRule="auto"/>
              <w:jc w:val="both"/>
              <w:rPr>
                <w:color w:val="0070C0"/>
                <w:sz w:val="16"/>
                <w:szCs w:val="16"/>
              </w:rPr>
            </w:pPr>
            <w:r w:rsidRPr="008A2E5A">
              <w:rPr>
                <w:color w:val="0070C0"/>
                <w:sz w:val="16"/>
                <w:szCs w:val="16"/>
              </w:rPr>
              <w:t>Лагг-3</w:t>
            </w:r>
          </w:p>
        </w:tc>
        <w:tc>
          <w:tcPr>
            <w:tcW w:w="3561" w:type="dxa"/>
          </w:tcPr>
          <w:p w14:paraId="3243A4ED" w14:textId="77777777" w:rsidR="0066756D" w:rsidRPr="008A2E5A" w:rsidRDefault="0066756D" w:rsidP="004C5D62">
            <w:pPr>
              <w:spacing w:after="0" w:line="240" w:lineRule="auto"/>
              <w:jc w:val="both"/>
              <w:rPr>
                <w:color w:val="0070C0"/>
                <w:sz w:val="16"/>
                <w:szCs w:val="16"/>
              </w:rPr>
            </w:pPr>
            <w:r w:rsidRPr="008A2E5A">
              <w:rPr>
                <w:color w:val="0070C0"/>
                <w:sz w:val="16"/>
                <w:szCs w:val="16"/>
              </w:rPr>
              <w:t>4</w:t>
            </w:r>
          </w:p>
        </w:tc>
      </w:tr>
      <w:tr w:rsidR="0066756D" w:rsidRPr="008A2E5A" w14:paraId="293053FD" w14:textId="77777777" w:rsidTr="004C5D62">
        <w:tc>
          <w:tcPr>
            <w:tcW w:w="3560" w:type="dxa"/>
          </w:tcPr>
          <w:p w14:paraId="6C503AE7" w14:textId="77777777" w:rsidR="0066756D" w:rsidRPr="008A2E5A" w:rsidRDefault="0066756D" w:rsidP="004C5D62">
            <w:pPr>
              <w:spacing w:after="0" w:line="240" w:lineRule="auto"/>
              <w:jc w:val="both"/>
              <w:rPr>
                <w:color w:val="0070C0"/>
                <w:sz w:val="16"/>
                <w:szCs w:val="16"/>
              </w:rPr>
            </w:pPr>
            <w:r w:rsidRPr="008A2E5A">
              <w:rPr>
                <w:color w:val="0070C0"/>
                <w:sz w:val="16"/>
                <w:szCs w:val="16"/>
              </w:rPr>
              <w:t>31</w:t>
            </w:r>
          </w:p>
        </w:tc>
        <w:tc>
          <w:tcPr>
            <w:tcW w:w="3561" w:type="dxa"/>
          </w:tcPr>
          <w:p w14:paraId="5CF09093" w14:textId="77777777" w:rsidR="0066756D" w:rsidRPr="008A2E5A" w:rsidRDefault="0066756D" w:rsidP="004C5D62">
            <w:pPr>
              <w:spacing w:after="0" w:line="240" w:lineRule="auto"/>
              <w:jc w:val="both"/>
              <w:rPr>
                <w:color w:val="0070C0"/>
                <w:sz w:val="16"/>
                <w:szCs w:val="16"/>
              </w:rPr>
            </w:pPr>
            <w:r w:rsidRPr="008A2E5A">
              <w:rPr>
                <w:color w:val="0070C0"/>
                <w:sz w:val="16"/>
                <w:szCs w:val="16"/>
              </w:rPr>
              <w:t>Лагг-3</w:t>
            </w:r>
          </w:p>
        </w:tc>
        <w:tc>
          <w:tcPr>
            <w:tcW w:w="3561" w:type="dxa"/>
          </w:tcPr>
          <w:p w14:paraId="13E73D88" w14:textId="77777777" w:rsidR="0066756D" w:rsidRPr="008A2E5A" w:rsidRDefault="0066756D" w:rsidP="004C5D62">
            <w:pPr>
              <w:spacing w:after="0" w:line="240" w:lineRule="auto"/>
              <w:jc w:val="both"/>
              <w:rPr>
                <w:color w:val="0070C0"/>
                <w:sz w:val="16"/>
                <w:szCs w:val="16"/>
              </w:rPr>
            </w:pPr>
            <w:r w:rsidRPr="008A2E5A">
              <w:rPr>
                <w:color w:val="0070C0"/>
                <w:sz w:val="16"/>
                <w:szCs w:val="16"/>
              </w:rPr>
              <w:t>1</w:t>
            </w:r>
          </w:p>
        </w:tc>
      </w:tr>
      <w:tr w:rsidR="0066756D" w:rsidRPr="008A2E5A" w14:paraId="2A34F023" w14:textId="77777777" w:rsidTr="004C5D62">
        <w:tc>
          <w:tcPr>
            <w:tcW w:w="3560" w:type="dxa"/>
          </w:tcPr>
          <w:p w14:paraId="3E12D29F" w14:textId="77777777" w:rsidR="0066756D" w:rsidRPr="008A2E5A" w:rsidRDefault="0066756D" w:rsidP="004C5D62">
            <w:pPr>
              <w:spacing w:after="0" w:line="240" w:lineRule="auto"/>
              <w:jc w:val="both"/>
              <w:rPr>
                <w:color w:val="0070C0"/>
                <w:sz w:val="16"/>
                <w:szCs w:val="16"/>
              </w:rPr>
            </w:pPr>
            <w:r w:rsidRPr="008A2E5A">
              <w:rPr>
                <w:color w:val="0070C0"/>
                <w:sz w:val="16"/>
                <w:szCs w:val="16"/>
              </w:rPr>
              <w:lastRenderedPageBreak/>
              <w:t>153</w:t>
            </w:r>
          </w:p>
        </w:tc>
        <w:tc>
          <w:tcPr>
            <w:tcW w:w="3561" w:type="dxa"/>
          </w:tcPr>
          <w:p w14:paraId="73270310" w14:textId="77777777" w:rsidR="0066756D" w:rsidRPr="008A2E5A" w:rsidRDefault="0066756D" w:rsidP="004C5D62">
            <w:pPr>
              <w:spacing w:after="0" w:line="240" w:lineRule="auto"/>
              <w:jc w:val="both"/>
              <w:rPr>
                <w:color w:val="0070C0"/>
                <w:sz w:val="16"/>
                <w:szCs w:val="16"/>
              </w:rPr>
            </w:pPr>
            <w:r w:rsidRPr="008A2E5A">
              <w:rPr>
                <w:color w:val="0070C0"/>
                <w:sz w:val="16"/>
                <w:szCs w:val="16"/>
              </w:rPr>
              <w:t>Як-3</w:t>
            </w:r>
          </w:p>
        </w:tc>
        <w:tc>
          <w:tcPr>
            <w:tcW w:w="3561" w:type="dxa"/>
          </w:tcPr>
          <w:p w14:paraId="3AAD6CD5" w14:textId="77777777" w:rsidR="0066756D" w:rsidRPr="008A2E5A" w:rsidRDefault="0066756D" w:rsidP="004C5D62">
            <w:pPr>
              <w:spacing w:after="0" w:line="240" w:lineRule="auto"/>
              <w:jc w:val="both"/>
              <w:rPr>
                <w:color w:val="0070C0"/>
                <w:sz w:val="16"/>
                <w:szCs w:val="16"/>
              </w:rPr>
            </w:pPr>
            <w:r w:rsidRPr="008A2E5A">
              <w:rPr>
                <w:color w:val="0070C0"/>
                <w:sz w:val="16"/>
                <w:szCs w:val="16"/>
              </w:rPr>
              <w:t>3</w:t>
            </w:r>
          </w:p>
        </w:tc>
      </w:tr>
      <w:tr w:rsidR="0066756D" w:rsidRPr="008A2E5A" w14:paraId="04D8054A" w14:textId="77777777" w:rsidTr="004C5D62">
        <w:tc>
          <w:tcPr>
            <w:tcW w:w="3560" w:type="dxa"/>
          </w:tcPr>
          <w:p w14:paraId="4BED3080" w14:textId="77777777" w:rsidR="0066756D" w:rsidRPr="008A2E5A" w:rsidRDefault="0066756D" w:rsidP="004C5D62">
            <w:pPr>
              <w:spacing w:after="0" w:line="240" w:lineRule="auto"/>
              <w:jc w:val="both"/>
              <w:rPr>
                <w:color w:val="0070C0"/>
                <w:sz w:val="16"/>
                <w:szCs w:val="16"/>
              </w:rPr>
            </w:pPr>
            <w:r w:rsidRPr="008A2E5A">
              <w:rPr>
                <w:color w:val="0070C0"/>
                <w:sz w:val="16"/>
                <w:szCs w:val="16"/>
              </w:rPr>
              <w:t>292</w:t>
            </w:r>
          </w:p>
        </w:tc>
        <w:tc>
          <w:tcPr>
            <w:tcW w:w="3561" w:type="dxa"/>
          </w:tcPr>
          <w:p w14:paraId="656A8AC5" w14:textId="77777777" w:rsidR="0066756D" w:rsidRPr="008A2E5A" w:rsidRDefault="0066756D" w:rsidP="004C5D62">
            <w:pPr>
              <w:spacing w:after="0" w:line="240" w:lineRule="auto"/>
              <w:jc w:val="both"/>
              <w:rPr>
                <w:color w:val="0070C0"/>
                <w:sz w:val="16"/>
                <w:szCs w:val="16"/>
              </w:rPr>
            </w:pPr>
            <w:r w:rsidRPr="008A2E5A">
              <w:rPr>
                <w:color w:val="0070C0"/>
                <w:sz w:val="16"/>
                <w:szCs w:val="16"/>
              </w:rPr>
              <w:t>Як-2</w:t>
            </w:r>
          </w:p>
        </w:tc>
        <w:tc>
          <w:tcPr>
            <w:tcW w:w="3561" w:type="dxa"/>
          </w:tcPr>
          <w:p w14:paraId="435A9377" w14:textId="77777777" w:rsidR="0066756D" w:rsidRPr="008A2E5A" w:rsidRDefault="0066756D" w:rsidP="004C5D62">
            <w:pPr>
              <w:spacing w:after="0" w:line="240" w:lineRule="auto"/>
              <w:jc w:val="both"/>
              <w:rPr>
                <w:color w:val="0070C0"/>
                <w:sz w:val="16"/>
                <w:szCs w:val="16"/>
              </w:rPr>
            </w:pPr>
            <w:r w:rsidRPr="008A2E5A">
              <w:rPr>
                <w:color w:val="0070C0"/>
                <w:sz w:val="16"/>
                <w:szCs w:val="16"/>
              </w:rPr>
              <w:t>10</w:t>
            </w:r>
          </w:p>
        </w:tc>
      </w:tr>
      <w:tr w:rsidR="0066756D" w:rsidRPr="008A2E5A" w14:paraId="3425FEAF" w14:textId="77777777" w:rsidTr="004C5D62">
        <w:tc>
          <w:tcPr>
            <w:tcW w:w="3560" w:type="dxa"/>
          </w:tcPr>
          <w:p w14:paraId="6E4F9F2D" w14:textId="77777777" w:rsidR="0066756D" w:rsidRPr="008A2E5A" w:rsidRDefault="0066756D" w:rsidP="004C5D62">
            <w:pPr>
              <w:spacing w:after="0" w:line="240" w:lineRule="auto"/>
              <w:jc w:val="both"/>
              <w:rPr>
                <w:color w:val="0070C0"/>
                <w:sz w:val="16"/>
                <w:szCs w:val="16"/>
              </w:rPr>
            </w:pPr>
            <w:r w:rsidRPr="008A2E5A">
              <w:rPr>
                <w:color w:val="0070C0"/>
                <w:sz w:val="16"/>
                <w:szCs w:val="16"/>
              </w:rPr>
              <w:t>22</w:t>
            </w:r>
          </w:p>
        </w:tc>
        <w:tc>
          <w:tcPr>
            <w:tcW w:w="3561" w:type="dxa"/>
          </w:tcPr>
          <w:p w14:paraId="7F9A837F" w14:textId="77777777" w:rsidR="0066756D" w:rsidRPr="008A2E5A" w:rsidRDefault="0066756D" w:rsidP="004C5D62">
            <w:pPr>
              <w:spacing w:after="0" w:line="240" w:lineRule="auto"/>
              <w:jc w:val="both"/>
              <w:rPr>
                <w:color w:val="0070C0"/>
                <w:sz w:val="16"/>
                <w:szCs w:val="16"/>
              </w:rPr>
            </w:pPr>
            <w:r w:rsidRPr="008A2E5A">
              <w:rPr>
                <w:color w:val="0070C0"/>
                <w:sz w:val="16"/>
                <w:szCs w:val="16"/>
              </w:rPr>
              <w:t>Пе-2</w:t>
            </w:r>
          </w:p>
        </w:tc>
        <w:tc>
          <w:tcPr>
            <w:tcW w:w="3561" w:type="dxa"/>
          </w:tcPr>
          <w:p w14:paraId="65B38C9B" w14:textId="77777777" w:rsidR="0066756D" w:rsidRPr="008A2E5A" w:rsidRDefault="0066756D" w:rsidP="004C5D62">
            <w:pPr>
              <w:spacing w:after="0" w:line="240" w:lineRule="auto"/>
              <w:jc w:val="both"/>
              <w:rPr>
                <w:color w:val="0070C0"/>
                <w:sz w:val="16"/>
                <w:szCs w:val="16"/>
              </w:rPr>
            </w:pPr>
            <w:r w:rsidRPr="008A2E5A">
              <w:rPr>
                <w:color w:val="0070C0"/>
                <w:sz w:val="16"/>
                <w:szCs w:val="16"/>
              </w:rPr>
              <w:t>5</w:t>
            </w:r>
          </w:p>
        </w:tc>
      </w:tr>
      <w:tr w:rsidR="0066756D" w:rsidRPr="008A2E5A" w14:paraId="248FDD4F" w14:textId="77777777" w:rsidTr="004C5D62">
        <w:tc>
          <w:tcPr>
            <w:tcW w:w="3560" w:type="dxa"/>
          </w:tcPr>
          <w:p w14:paraId="30A85A63" w14:textId="77777777" w:rsidR="0066756D" w:rsidRPr="008A2E5A" w:rsidRDefault="0066756D" w:rsidP="004C5D62">
            <w:pPr>
              <w:spacing w:after="0" w:line="240" w:lineRule="auto"/>
              <w:jc w:val="both"/>
              <w:rPr>
                <w:color w:val="0070C0"/>
                <w:sz w:val="16"/>
                <w:szCs w:val="16"/>
              </w:rPr>
            </w:pPr>
            <w:r w:rsidRPr="008A2E5A">
              <w:rPr>
                <w:color w:val="0070C0"/>
                <w:sz w:val="16"/>
                <w:szCs w:val="16"/>
              </w:rPr>
              <w:t>39</w:t>
            </w:r>
          </w:p>
        </w:tc>
        <w:tc>
          <w:tcPr>
            <w:tcW w:w="3561" w:type="dxa"/>
          </w:tcPr>
          <w:p w14:paraId="45A06780" w14:textId="77777777" w:rsidR="0066756D" w:rsidRPr="008A2E5A" w:rsidRDefault="0066756D" w:rsidP="004C5D62">
            <w:pPr>
              <w:spacing w:after="0" w:line="240" w:lineRule="auto"/>
              <w:jc w:val="both"/>
              <w:rPr>
                <w:color w:val="0070C0"/>
                <w:sz w:val="16"/>
                <w:szCs w:val="16"/>
              </w:rPr>
            </w:pPr>
            <w:r w:rsidRPr="008A2E5A">
              <w:rPr>
                <w:color w:val="0070C0"/>
                <w:sz w:val="16"/>
                <w:szCs w:val="16"/>
              </w:rPr>
              <w:t>Пе-2</w:t>
            </w:r>
          </w:p>
        </w:tc>
        <w:tc>
          <w:tcPr>
            <w:tcW w:w="3561" w:type="dxa"/>
          </w:tcPr>
          <w:p w14:paraId="35AF63AE" w14:textId="77777777" w:rsidR="0066756D" w:rsidRPr="008A2E5A" w:rsidRDefault="0066756D" w:rsidP="004C5D62">
            <w:pPr>
              <w:spacing w:after="0" w:line="240" w:lineRule="auto"/>
              <w:jc w:val="both"/>
              <w:rPr>
                <w:color w:val="0070C0"/>
                <w:sz w:val="16"/>
                <w:szCs w:val="16"/>
              </w:rPr>
            </w:pPr>
            <w:r w:rsidRPr="008A2E5A">
              <w:rPr>
                <w:color w:val="0070C0"/>
                <w:sz w:val="16"/>
                <w:szCs w:val="16"/>
              </w:rPr>
              <w:t>4</w:t>
            </w:r>
          </w:p>
        </w:tc>
      </w:tr>
      <w:tr w:rsidR="0066756D" w:rsidRPr="008A2E5A" w14:paraId="4A23011A" w14:textId="77777777" w:rsidTr="004C5D62">
        <w:tc>
          <w:tcPr>
            <w:tcW w:w="3560" w:type="dxa"/>
          </w:tcPr>
          <w:p w14:paraId="3E29E409" w14:textId="77777777" w:rsidR="0066756D" w:rsidRPr="008A2E5A" w:rsidRDefault="0066756D" w:rsidP="004C5D62">
            <w:pPr>
              <w:spacing w:after="0" w:line="240" w:lineRule="auto"/>
              <w:jc w:val="both"/>
              <w:rPr>
                <w:color w:val="0070C0"/>
                <w:sz w:val="16"/>
                <w:szCs w:val="16"/>
              </w:rPr>
            </w:pPr>
            <w:r w:rsidRPr="008A2E5A">
              <w:rPr>
                <w:color w:val="0070C0"/>
                <w:sz w:val="16"/>
                <w:szCs w:val="16"/>
              </w:rPr>
              <w:t>135</w:t>
            </w:r>
          </w:p>
        </w:tc>
        <w:tc>
          <w:tcPr>
            <w:tcW w:w="3561" w:type="dxa"/>
          </w:tcPr>
          <w:p w14:paraId="681DF9EB" w14:textId="77777777" w:rsidR="0066756D" w:rsidRPr="008A2E5A" w:rsidRDefault="0066756D" w:rsidP="004C5D62">
            <w:pPr>
              <w:spacing w:after="0" w:line="240" w:lineRule="auto"/>
              <w:jc w:val="both"/>
              <w:rPr>
                <w:color w:val="0070C0"/>
                <w:sz w:val="16"/>
                <w:szCs w:val="16"/>
              </w:rPr>
            </w:pPr>
            <w:r w:rsidRPr="008A2E5A">
              <w:rPr>
                <w:color w:val="0070C0"/>
                <w:sz w:val="16"/>
                <w:szCs w:val="16"/>
              </w:rPr>
              <w:t>Су-2</w:t>
            </w:r>
          </w:p>
        </w:tc>
        <w:tc>
          <w:tcPr>
            <w:tcW w:w="3561" w:type="dxa"/>
          </w:tcPr>
          <w:p w14:paraId="6109A59A" w14:textId="77777777" w:rsidR="0066756D" w:rsidRPr="008A2E5A" w:rsidRDefault="0066756D" w:rsidP="004C5D62">
            <w:pPr>
              <w:spacing w:after="0" w:line="240" w:lineRule="auto"/>
              <w:jc w:val="both"/>
              <w:rPr>
                <w:color w:val="0070C0"/>
                <w:sz w:val="16"/>
                <w:szCs w:val="16"/>
              </w:rPr>
            </w:pPr>
            <w:r w:rsidRPr="008A2E5A">
              <w:rPr>
                <w:color w:val="0070C0"/>
                <w:sz w:val="16"/>
                <w:szCs w:val="16"/>
              </w:rPr>
              <w:t>3</w:t>
            </w:r>
          </w:p>
        </w:tc>
      </w:tr>
      <w:tr w:rsidR="0066756D" w:rsidRPr="008A2E5A" w14:paraId="1FD05ECC" w14:textId="77777777" w:rsidTr="004C5D62">
        <w:tc>
          <w:tcPr>
            <w:tcW w:w="3560" w:type="dxa"/>
          </w:tcPr>
          <w:p w14:paraId="3BEE1B76" w14:textId="77777777" w:rsidR="0066756D" w:rsidRPr="008A2E5A" w:rsidRDefault="0066756D" w:rsidP="004C5D62">
            <w:pPr>
              <w:spacing w:after="0" w:line="240" w:lineRule="auto"/>
              <w:jc w:val="both"/>
              <w:rPr>
                <w:color w:val="0070C0"/>
                <w:sz w:val="16"/>
                <w:szCs w:val="16"/>
              </w:rPr>
            </w:pPr>
            <w:r w:rsidRPr="008A2E5A">
              <w:rPr>
                <w:color w:val="0070C0"/>
                <w:sz w:val="16"/>
                <w:szCs w:val="16"/>
              </w:rPr>
              <w:t>1</w:t>
            </w:r>
          </w:p>
        </w:tc>
        <w:tc>
          <w:tcPr>
            <w:tcW w:w="3561" w:type="dxa"/>
          </w:tcPr>
          <w:p w14:paraId="38A04F9D" w14:textId="77777777" w:rsidR="0066756D" w:rsidRPr="008A2E5A" w:rsidRDefault="0066756D" w:rsidP="004C5D62">
            <w:pPr>
              <w:spacing w:after="0" w:line="240" w:lineRule="auto"/>
              <w:jc w:val="both"/>
              <w:rPr>
                <w:color w:val="0070C0"/>
                <w:sz w:val="16"/>
                <w:szCs w:val="16"/>
              </w:rPr>
            </w:pPr>
            <w:r w:rsidRPr="008A2E5A">
              <w:rPr>
                <w:color w:val="0070C0"/>
                <w:sz w:val="16"/>
                <w:szCs w:val="16"/>
              </w:rPr>
              <w:t>Ил-2</w:t>
            </w:r>
          </w:p>
        </w:tc>
        <w:tc>
          <w:tcPr>
            <w:tcW w:w="3561" w:type="dxa"/>
          </w:tcPr>
          <w:p w14:paraId="791B1A64" w14:textId="77777777" w:rsidR="0066756D" w:rsidRPr="008A2E5A" w:rsidRDefault="0066756D" w:rsidP="004C5D62">
            <w:pPr>
              <w:spacing w:after="0" w:line="240" w:lineRule="auto"/>
              <w:jc w:val="both"/>
              <w:rPr>
                <w:color w:val="0070C0"/>
                <w:sz w:val="16"/>
                <w:szCs w:val="16"/>
              </w:rPr>
            </w:pPr>
            <w:r w:rsidRPr="008A2E5A">
              <w:rPr>
                <w:color w:val="0070C0"/>
                <w:sz w:val="16"/>
                <w:szCs w:val="16"/>
              </w:rPr>
              <w:t>4</w:t>
            </w:r>
          </w:p>
        </w:tc>
      </w:tr>
      <w:tr w:rsidR="0066756D" w:rsidRPr="008A2E5A" w14:paraId="5E52E871" w14:textId="77777777" w:rsidTr="004C5D62">
        <w:tc>
          <w:tcPr>
            <w:tcW w:w="3560" w:type="dxa"/>
          </w:tcPr>
          <w:p w14:paraId="17D18450" w14:textId="77777777" w:rsidR="0066756D" w:rsidRPr="008A2E5A" w:rsidRDefault="0066756D" w:rsidP="004C5D62">
            <w:pPr>
              <w:spacing w:after="0" w:line="240" w:lineRule="auto"/>
              <w:jc w:val="both"/>
              <w:rPr>
                <w:color w:val="0070C0"/>
                <w:sz w:val="16"/>
                <w:szCs w:val="16"/>
              </w:rPr>
            </w:pPr>
            <w:r w:rsidRPr="008A2E5A">
              <w:rPr>
                <w:color w:val="0070C0"/>
                <w:sz w:val="16"/>
                <w:szCs w:val="16"/>
              </w:rPr>
              <w:t>18</w:t>
            </w:r>
          </w:p>
        </w:tc>
        <w:tc>
          <w:tcPr>
            <w:tcW w:w="3561" w:type="dxa"/>
          </w:tcPr>
          <w:p w14:paraId="5BCDC07C" w14:textId="77777777" w:rsidR="0066756D" w:rsidRPr="008A2E5A" w:rsidRDefault="0066756D" w:rsidP="004C5D62">
            <w:pPr>
              <w:spacing w:after="0" w:line="240" w:lineRule="auto"/>
              <w:jc w:val="both"/>
              <w:rPr>
                <w:color w:val="0070C0"/>
                <w:sz w:val="16"/>
                <w:szCs w:val="16"/>
              </w:rPr>
            </w:pPr>
            <w:r w:rsidRPr="008A2E5A">
              <w:rPr>
                <w:color w:val="0070C0"/>
                <w:sz w:val="16"/>
                <w:szCs w:val="16"/>
              </w:rPr>
              <w:t>Ил-2</w:t>
            </w:r>
          </w:p>
        </w:tc>
        <w:tc>
          <w:tcPr>
            <w:tcW w:w="3561" w:type="dxa"/>
          </w:tcPr>
          <w:p w14:paraId="7F5E4390" w14:textId="77777777" w:rsidR="0066756D" w:rsidRPr="008A2E5A" w:rsidRDefault="0066756D" w:rsidP="004C5D62">
            <w:pPr>
              <w:spacing w:after="0" w:line="240" w:lineRule="auto"/>
              <w:jc w:val="both"/>
              <w:rPr>
                <w:color w:val="0070C0"/>
                <w:sz w:val="16"/>
                <w:szCs w:val="16"/>
              </w:rPr>
            </w:pPr>
            <w:r w:rsidRPr="008A2E5A">
              <w:rPr>
                <w:color w:val="0070C0"/>
                <w:sz w:val="16"/>
                <w:szCs w:val="16"/>
              </w:rPr>
              <w:t>12</w:t>
            </w:r>
          </w:p>
        </w:tc>
      </w:tr>
      <w:tr w:rsidR="0066756D" w:rsidRPr="008A2E5A" w14:paraId="081ED3BE" w14:textId="77777777" w:rsidTr="004C5D62">
        <w:tc>
          <w:tcPr>
            <w:tcW w:w="3560" w:type="dxa"/>
          </w:tcPr>
          <w:p w14:paraId="2DAC1E14" w14:textId="77777777" w:rsidR="0066756D" w:rsidRPr="008A2E5A" w:rsidRDefault="0066756D" w:rsidP="004C5D62">
            <w:pPr>
              <w:spacing w:after="0" w:line="240" w:lineRule="auto"/>
              <w:jc w:val="both"/>
              <w:rPr>
                <w:color w:val="0070C0"/>
                <w:sz w:val="16"/>
                <w:szCs w:val="16"/>
              </w:rPr>
            </w:pPr>
            <w:r w:rsidRPr="008A2E5A">
              <w:rPr>
                <w:color w:val="0070C0"/>
                <w:sz w:val="16"/>
                <w:szCs w:val="16"/>
              </w:rPr>
              <w:t>381</w:t>
            </w:r>
          </w:p>
        </w:tc>
        <w:tc>
          <w:tcPr>
            <w:tcW w:w="3561" w:type="dxa"/>
          </w:tcPr>
          <w:p w14:paraId="3F0AB5BD" w14:textId="77777777" w:rsidR="0066756D" w:rsidRPr="008A2E5A" w:rsidRDefault="0066756D" w:rsidP="004C5D62">
            <w:pPr>
              <w:spacing w:after="0" w:line="240" w:lineRule="auto"/>
              <w:jc w:val="both"/>
              <w:rPr>
                <w:color w:val="0070C0"/>
                <w:sz w:val="16"/>
                <w:szCs w:val="16"/>
              </w:rPr>
            </w:pPr>
            <w:r w:rsidRPr="008A2E5A">
              <w:rPr>
                <w:color w:val="0070C0"/>
                <w:sz w:val="16"/>
                <w:szCs w:val="16"/>
              </w:rPr>
              <w:t>Ил-2</w:t>
            </w:r>
          </w:p>
        </w:tc>
        <w:tc>
          <w:tcPr>
            <w:tcW w:w="3561" w:type="dxa"/>
          </w:tcPr>
          <w:p w14:paraId="18EAF0A6" w14:textId="77777777" w:rsidR="0066756D" w:rsidRPr="008A2E5A" w:rsidRDefault="0066756D" w:rsidP="004C5D62">
            <w:pPr>
              <w:spacing w:after="0" w:line="240" w:lineRule="auto"/>
              <w:jc w:val="both"/>
              <w:rPr>
                <w:color w:val="0070C0"/>
                <w:sz w:val="16"/>
                <w:szCs w:val="16"/>
              </w:rPr>
            </w:pPr>
            <w:r w:rsidRPr="008A2E5A">
              <w:rPr>
                <w:color w:val="0070C0"/>
                <w:sz w:val="16"/>
                <w:szCs w:val="16"/>
              </w:rPr>
              <w:t>нет</w:t>
            </w:r>
          </w:p>
        </w:tc>
      </w:tr>
      <w:tr w:rsidR="0066756D" w:rsidRPr="008A2E5A" w14:paraId="430ACE93" w14:textId="77777777" w:rsidTr="004C5D62">
        <w:tc>
          <w:tcPr>
            <w:tcW w:w="3560" w:type="dxa"/>
          </w:tcPr>
          <w:p w14:paraId="21ADE5C9" w14:textId="77777777" w:rsidR="0066756D" w:rsidRPr="008A2E5A" w:rsidRDefault="0066756D" w:rsidP="004C5D62">
            <w:pPr>
              <w:spacing w:after="0" w:line="240" w:lineRule="auto"/>
              <w:jc w:val="both"/>
              <w:rPr>
                <w:color w:val="0070C0"/>
                <w:sz w:val="16"/>
                <w:szCs w:val="16"/>
              </w:rPr>
            </w:pPr>
            <w:r w:rsidRPr="008A2E5A">
              <w:rPr>
                <w:color w:val="0070C0"/>
                <w:sz w:val="16"/>
                <w:szCs w:val="16"/>
              </w:rPr>
              <w:t>126</w:t>
            </w:r>
          </w:p>
        </w:tc>
        <w:tc>
          <w:tcPr>
            <w:tcW w:w="3561" w:type="dxa"/>
          </w:tcPr>
          <w:p w14:paraId="2755079E" w14:textId="77777777" w:rsidR="0066756D" w:rsidRPr="008A2E5A" w:rsidRDefault="0066756D" w:rsidP="004C5D62">
            <w:pPr>
              <w:spacing w:after="0" w:line="240" w:lineRule="auto"/>
              <w:jc w:val="both"/>
              <w:rPr>
                <w:color w:val="0070C0"/>
                <w:sz w:val="16"/>
                <w:szCs w:val="16"/>
              </w:rPr>
            </w:pPr>
            <w:r w:rsidRPr="008A2E5A">
              <w:rPr>
                <w:color w:val="0070C0"/>
                <w:sz w:val="16"/>
                <w:szCs w:val="16"/>
              </w:rPr>
              <w:t>ДБ-ЗФ</w:t>
            </w:r>
          </w:p>
        </w:tc>
        <w:tc>
          <w:tcPr>
            <w:tcW w:w="3561" w:type="dxa"/>
          </w:tcPr>
          <w:p w14:paraId="041209B3" w14:textId="77777777" w:rsidR="0066756D" w:rsidRPr="008A2E5A" w:rsidRDefault="0066756D" w:rsidP="004C5D62">
            <w:pPr>
              <w:spacing w:after="0" w:line="240" w:lineRule="auto"/>
              <w:jc w:val="both"/>
              <w:rPr>
                <w:color w:val="0070C0"/>
                <w:sz w:val="16"/>
                <w:szCs w:val="16"/>
              </w:rPr>
            </w:pPr>
            <w:r w:rsidRPr="008A2E5A">
              <w:rPr>
                <w:color w:val="0070C0"/>
                <w:sz w:val="16"/>
                <w:szCs w:val="16"/>
              </w:rPr>
              <w:t>2</w:t>
            </w:r>
          </w:p>
        </w:tc>
      </w:tr>
      <w:tr w:rsidR="0066756D" w:rsidRPr="008A2E5A" w14:paraId="0C67D839" w14:textId="77777777" w:rsidTr="004C5D62">
        <w:tc>
          <w:tcPr>
            <w:tcW w:w="3560" w:type="dxa"/>
          </w:tcPr>
          <w:p w14:paraId="10A3C03C" w14:textId="77777777" w:rsidR="0066756D" w:rsidRPr="008A2E5A" w:rsidRDefault="0066756D" w:rsidP="004C5D62">
            <w:pPr>
              <w:spacing w:after="0" w:line="240" w:lineRule="auto"/>
              <w:jc w:val="both"/>
              <w:rPr>
                <w:color w:val="0070C0"/>
                <w:sz w:val="16"/>
                <w:szCs w:val="16"/>
              </w:rPr>
            </w:pPr>
            <w:r w:rsidRPr="008A2E5A">
              <w:rPr>
                <w:color w:val="0070C0"/>
                <w:sz w:val="16"/>
                <w:szCs w:val="16"/>
              </w:rPr>
              <w:t>166</w:t>
            </w:r>
          </w:p>
        </w:tc>
        <w:tc>
          <w:tcPr>
            <w:tcW w:w="3561" w:type="dxa"/>
          </w:tcPr>
          <w:p w14:paraId="751287AC" w14:textId="77777777" w:rsidR="0066756D" w:rsidRPr="008A2E5A" w:rsidRDefault="0066756D" w:rsidP="004C5D62">
            <w:pPr>
              <w:spacing w:after="0" w:line="240" w:lineRule="auto"/>
              <w:jc w:val="both"/>
              <w:rPr>
                <w:color w:val="0070C0"/>
                <w:sz w:val="16"/>
                <w:szCs w:val="16"/>
              </w:rPr>
            </w:pPr>
            <w:r w:rsidRPr="008A2E5A">
              <w:rPr>
                <w:color w:val="0070C0"/>
                <w:sz w:val="16"/>
                <w:szCs w:val="16"/>
              </w:rPr>
              <w:t>«103»</w:t>
            </w:r>
          </w:p>
        </w:tc>
        <w:tc>
          <w:tcPr>
            <w:tcW w:w="3561" w:type="dxa"/>
          </w:tcPr>
          <w:p w14:paraId="62EBD56E" w14:textId="77777777" w:rsidR="0066756D" w:rsidRPr="008A2E5A" w:rsidRDefault="0066756D" w:rsidP="004C5D62">
            <w:pPr>
              <w:spacing w:after="0" w:line="240" w:lineRule="auto"/>
              <w:jc w:val="both"/>
              <w:rPr>
                <w:color w:val="0070C0"/>
                <w:sz w:val="16"/>
                <w:szCs w:val="16"/>
              </w:rPr>
            </w:pPr>
            <w:r w:rsidRPr="008A2E5A">
              <w:rPr>
                <w:color w:val="0070C0"/>
                <w:sz w:val="16"/>
                <w:szCs w:val="16"/>
              </w:rPr>
              <w:t>нет</w:t>
            </w:r>
          </w:p>
        </w:tc>
      </w:tr>
      <w:tr w:rsidR="0066756D" w:rsidRPr="008A2E5A" w14:paraId="7FE43DA1" w14:textId="77777777" w:rsidTr="004C5D62">
        <w:tc>
          <w:tcPr>
            <w:tcW w:w="3560" w:type="dxa"/>
          </w:tcPr>
          <w:p w14:paraId="06DEAE78" w14:textId="77777777" w:rsidR="0066756D" w:rsidRPr="008A2E5A" w:rsidRDefault="0066756D" w:rsidP="004C5D62">
            <w:pPr>
              <w:spacing w:after="0" w:line="240" w:lineRule="auto"/>
              <w:jc w:val="both"/>
              <w:rPr>
                <w:color w:val="0070C0"/>
                <w:sz w:val="16"/>
                <w:szCs w:val="16"/>
              </w:rPr>
            </w:pPr>
            <w:r w:rsidRPr="008A2E5A">
              <w:rPr>
                <w:color w:val="0070C0"/>
                <w:sz w:val="16"/>
                <w:szCs w:val="16"/>
              </w:rPr>
              <w:t>Итого боевых</w:t>
            </w:r>
          </w:p>
        </w:tc>
        <w:tc>
          <w:tcPr>
            <w:tcW w:w="3561" w:type="dxa"/>
          </w:tcPr>
          <w:p w14:paraId="27D7E812" w14:textId="77777777" w:rsidR="0066756D" w:rsidRPr="008A2E5A" w:rsidRDefault="0066756D" w:rsidP="004C5D62">
            <w:pPr>
              <w:spacing w:after="0" w:line="240" w:lineRule="auto"/>
              <w:jc w:val="both"/>
              <w:rPr>
                <w:color w:val="0070C0"/>
                <w:sz w:val="16"/>
                <w:szCs w:val="16"/>
              </w:rPr>
            </w:pPr>
          </w:p>
        </w:tc>
        <w:tc>
          <w:tcPr>
            <w:tcW w:w="3561" w:type="dxa"/>
          </w:tcPr>
          <w:p w14:paraId="20EEB00A" w14:textId="77777777" w:rsidR="0066756D" w:rsidRPr="008A2E5A" w:rsidRDefault="0066756D" w:rsidP="004C5D62">
            <w:pPr>
              <w:spacing w:after="0" w:line="240" w:lineRule="auto"/>
              <w:jc w:val="both"/>
              <w:rPr>
                <w:color w:val="0070C0"/>
                <w:sz w:val="16"/>
                <w:szCs w:val="16"/>
              </w:rPr>
            </w:pPr>
            <w:r w:rsidRPr="008A2E5A">
              <w:rPr>
                <w:color w:val="0070C0"/>
                <w:sz w:val="16"/>
                <w:szCs w:val="16"/>
              </w:rPr>
              <w:t>48</w:t>
            </w:r>
          </w:p>
        </w:tc>
      </w:tr>
      <w:tr w:rsidR="0066756D" w:rsidRPr="008A2E5A" w14:paraId="0FA1ED0E" w14:textId="77777777" w:rsidTr="004C5D62">
        <w:tc>
          <w:tcPr>
            <w:tcW w:w="3560" w:type="dxa"/>
          </w:tcPr>
          <w:p w14:paraId="721D4D0F" w14:textId="77777777" w:rsidR="0066756D" w:rsidRPr="008A2E5A" w:rsidRDefault="0066756D" w:rsidP="004C5D62">
            <w:pPr>
              <w:spacing w:after="0" w:line="240" w:lineRule="auto"/>
              <w:jc w:val="both"/>
              <w:rPr>
                <w:color w:val="0070C0"/>
                <w:sz w:val="16"/>
                <w:szCs w:val="16"/>
              </w:rPr>
            </w:pPr>
            <w:r w:rsidRPr="008A2E5A">
              <w:rPr>
                <w:color w:val="0070C0"/>
                <w:sz w:val="16"/>
                <w:szCs w:val="16"/>
              </w:rPr>
              <w:t>84</w:t>
            </w:r>
          </w:p>
        </w:tc>
        <w:tc>
          <w:tcPr>
            <w:tcW w:w="3561" w:type="dxa"/>
          </w:tcPr>
          <w:p w14:paraId="69223727" w14:textId="77777777" w:rsidR="0066756D" w:rsidRPr="008A2E5A" w:rsidRDefault="0066756D" w:rsidP="004C5D62">
            <w:pPr>
              <w:spacing w:after="0" w:line="240" w:lineRule="auto"/>
              <w:jc w:val="both"/>
              <w:rPr>
                <w:color w:val="0070C0"/>
                <w:sz w:val="16"/>
                <w:szCs w:val="16"/>
              </w:rPr>
            </w:pPr>
            <w:r w:rsidRPr="008A2E5A">
              <w:rPr>
                <w:color w:val="0070C0"/>
                <w:sz w:val="16"/>
                <w:szCs w:val="16"/>
              </w:rPr>
              <w:t>ПС-84</w:t>
            </w:r>
          </w:p>
        </w:tc>
        <w:tc>
          <w:tcPr>
            <w:tcW w:w="3561" w:type="dxa"/>
          </w:tcPr>
          <w:p w14:paraId="60AAB300" w14:textId="77777777" w:rsidR="0066756D" w:rsidRPr="008A2E5A" w:rsidRDefault="0066756D" w:rsidP="004C5D62">
            <w:pPr>
              <w:spacing w:after="0" w:line="240" w:lineRule="auto"/>
              <w:jc w:val="both"/>
              <w:rPr>
                <w:color w:val="0070C0"/>
                <w:sz w:val="16"/>
                <w:szCs w:val="16"/>
              </w:rPr>
            </w:pPr>
            <w:r w:rsidRPr="008A2E5A">
              <w:rPr>
                <w:color w:val="0070C0"/>
                <w:sz w:val="16"/>
                <w:szCs w:val="16"/>
              </w:rPr>
              <w:t>1</w:t>
            </w:r>
          </w:p>
        </w:tc>
      </w:tr>
      <w:tr w:rsidR="0066756D" w:rsidRPr="008A2E5A" w14:paraId="6BBC805E" w14:textId="77777777" w:rsidTr="004C5D62">
        <w:tc>
          <w:tcPr>
            <w:tcW w:w="3560" w:type="dxa"/>
          </w:tcPr>
          <w:p w14:paraId="520FF4B2" w14:textId="77777777" w:rsidR="0066756D" w:rsidRPr="008A2E5A" w:rsidRDefault="0066756D" w:rsidP="004C5D62">
            <w:pPr>
              <w:spacing w:after="0" w:line="240" w:lineRule="auto"/>
              <w:jc w:val="both"/>
              <w:rPr>
                <w:color w:val="0070C0"/>
                <w:sz w:val="16"/>
                <w:szCs w:val="16"/>
              </w:rPr>
            </w:pPr>
            <w:r w:rsidRPr="008A2E5A">
              <w:rPr>
                <w:color w:val="0070C0"/>
                <w:sz w:val="16"/>
                <w:szCs w:val="16"/>
              </w:rPr>
              <w:t>Итого транспортных</w:t>
            </w:r>
          </w:p>
        </w:tc>
        <w:tc>
          <w:tcPr>
            <w:tcW w:w="3561" w:type="dxa"/>
          </w:tcPr>
          <w:p w14:paraId="492B3CDC" w14:textId="77777777" w:rsidR="0066756D" w:rsidRPr="008A2E5A" w:rsidRDefault="0066756D" w:rsidP="004C5D62">
            <w:pPr>
              <w:spacing w:after="0" w:line="240" w:lineRule="auto"/>
              <w:jc w:val="both"/>
              <w:rPr>
                <w:color w:val="0070C0"/>
                <w:sz w:val="16"/>
                <w:szCs w:val="16"/>
              </w:rPr>
            </w:pPr>
          </w:p>
        </w:tc>
        <w:tc>
          <w:tcPr>
            <w:tcW w:w="3561" w:type="dxa"/>
          </w:tcPr>
          <w:p w14:paraId="1ACAA8DA" w14:textId="77777777" w:rsidR="0066756D" w:rsidRPr="008A2E5A" w:rsidRDefault="0066756D" w:rsidP="004C5D62">
            <w:pPr>
              <w:spacing w:after="0" w:line="240" w:lineRule="auto"/>
              <w:jc w:val="both"/>
              <w:rPr>
                <w:color w:val="0070C0"/>
                <w:sz w:val="16"/>
                <w:szCs w:val="16"/>
              </w:rPr>
            </w:pPr>
            <w:r w:rsidRPr="008A2E5A">
              <w:rPr>
                <w:color w:val="0070C0"/>
                <w:sz w:val="16"/>
                <w:szCs w:val="16"/>
              </w:rPr>
              <w:t>1</w:t>
            </w:r>
          </w:p>
        </w:tc>
      </w:tr>
      <w:tr w:rsidR="0066756D" w:rsidRPr="008A2E5A" w14:paraId="7DBA4E93" w14:textId="77777777" w:rsidTr="004C5D62">
        <w:tc>
          <w:tcPr>
            <w:tcW w:w="3560" w:type="dxa"/>
          </w:tcPr>
          <w:p w14:paraId="399599CC" w14:textId="77777777" w:rsidR="0066756D" w:rsidRPr="008A2E5A" w:rsidRDefault="0066756D" w:rsidP="004C5D62">
            <w:pPr>
              <w:spacing w:after="0" w:line="240" w:lineRule="auto"/>
              <w:jc w:val="both"/>
              <w:rPr>
                <w:color w:val="0070C0"/>
                <w:sz w:val="16"/>
                <w:szCs w:val="16"/>
              </w:rPr>
            </w:pPr>
            <w:r w:rsidRPr="008A2E5A">
              <w:rPr>
                <w:color w:val="0070C0"/>
                <w:sz w:val="16"/>
                <w:szCs w:val="16"/>
              </w:rPr>
              <w:t>47</w:t>
            </w:r>
          </w:p>
        </w:tc>
        <w:tc>
          <w:tcPr>
            <w:tcW w:w="3561" w:type="dxa"/>
          </w:tcPr>
          <w:p w14:paraId="3B3A067E" w14:textId="77777777" w:rsidR="0066756D" w:rsidRPr="008A2E5A" w:rsidRDefault="0066756D" w:rsidP="004C5D62">
            <w:pPr>
              <w:spacing w:after="0" w:line="240" w:lineRule="auto"/>
              <w:jc w:val="both"/>
              <w:rPr>
                <w:color w:val="0070C0"/>
                <w:sz w:val="16"/>
                <w:szCs w:val="16"/>
              </w:rPr>
            </w:pPr>
            <w:r w:rsidRPr="008A2E5A">
              <w:rPr>
                <w:color w:val="0070C0"/>
                <w:sz w:val="16"/>
                <w:szCs w:val="16"/>
              </w:rPr>
              <w:t>УТ-2</w:t>
            </w:r>
          </w:p>
        </w:tc>
        <w:tc>
          <w:tcPr>
            <w:tcW w:w="3561" w:type="dxa"/>
          </w:tcPr>
          <w:p w14:paraId="3C17F261" w14:textId="77777777" w:rsidR="0066756D" w:rsidRPr="008A2E5A" w:rsidRDefault="0066756D" w:rsidP="004C5D62">
            <w:pPr>
              <w:spacing w:after="0" w:line="240" w:lineRule="auto"/>
              <w:jc w:val="both"/>
              <w:rPr>
                <w:color w:val="0070C0"/>
                <w:sz w:val="16"/>
                <w:szCs w:val="16"/>
              </w:rPr>
            </w:pPr>
            <w:r w:rsidRPr="008A2E5A">
              <w:rPr>
                <w:color w:val="0070C0"/>
                <w:sz w:val="16"/>
                <w:szCs w:val="16"/>
              </w:rPr>
              <w:t>2</w:t>
            </w:r>
          </w:p>
        </w:tc>
      </w:tr>
      <w:tr w:rsidR="0066756D" w:rsidRPr="008A2E5A" w14:paraId="2810CF0F" w14:textId="77777777" w:rsidTr="004C5D62">
        <w:tc>
          <w:tcPr>
            <w:tcW w:w="3560" w:type="dxa"/>
          </w:tcPr>
          <w:p w14:paraId="6F654759" w14:textId="77777777" w:rsidR="0066756D" w:rsidRPr="008A2E5A" w:rsidRDefault="0066756D" w:rsidP="004C5D62">
            <w:pPr>
              <w:spacing w:after="0" w:line="240" w:lineRule="auto"/>
              <w:jc w:val="both"/>
              <w:rPr>
                <w:color w:val="0070C0"/>
                <w:sz w:val="16"/>
                <w:szCs w:val="16"/>
              </w:rPr>
            </w:pPr>
            <w:r w:rsidRPr="008A2E5A">
              <w:rPr>
                <w:color w:val="0070C0"/>
                <w:sz w:val="16"/>
                <w:szCs w:val="16"/>
              </w:rPr>
              <w:t>116</w:t>
            </w:r>
          </w:p>
        </w:tc>
        <w:tc>
          <w:tcPr>
            <w:tcW w:w="3561" w:type="dxa"/>
          </w:tcPr>
          <w:p w14:paraId="1B6F1B8B" w14:textId="77777777" w:rsidR="0066756D" w:rsidRPr="008A2E5A" w:rsidRDefault="0066756D" w:rsidP="004C5D62">
            <w:pPr>
              <w:spacing w:after="0" w:line="240" w:lineRule="auto"/>
              <w:jc w:val="both"/>
              <w:rPr>
                <w:color w:val="0070C0"/>
                <w:sz w:val="16"/>
                <w:szCs w:val="16"/>
              </w:rPr>
            </w:pPr>
            <w:r w:rsidRPr="008A2E5A">
              <w:rPr>
                <w:color w:val="0070C0"/>
                <w:sz w:val="16"/>
                <w:szCs w:val="16"/>
              </w:rPr>
              <w:t>УТ-2</w:t>
            </w:r>
          </w:p>
        </w:tc>
        <w:tc>
          <w:tcPr>
            <w:tcW w:w="3561" w:type="dxa"/>
          </w:tcPr>
          <w:p w14:paraId="108060DE" w14:textId="77777777" w:rsidR="0066756D" w:rsidRPr="008A2E5A" w:rsidRDefault="0066756D" w:rsidP="004C5D62">
            <w:pPr>
              <w:spacing w:after="0" w:line="240" w:lineRule="auto"/>
              <w:jc w:val="both"/>
              <w:rPr>
                <w:color w:val="0070C0"/>
                <w:sz w:val="16"/>
                <w:szCs w:val="16"/>
              </w:rPr>
            </w:pPr>
            <w:r w:rsidRPr="008A2E5A">
              <w:rPr>
                <w:color w:val="0070C0"/>
                <w:sz w:val="16"/>
                <w:szCs w:val="16"/>
              </w:rPr>
              <w:t>нет</w:t>
            </w:r>
          </w:p>
        </w:tc>
      </w:tr>
      <w:tr w:rsidR="0066756D" w:rsidRPr="008A2E5A" w14:paraId="0F03D541" w14:textId="77777777" w:rsidTr="004C5D62">
        <w:tc>
          <w:tcPr>
            <w:tcW w:w="3560" w:type="dxa"/>
          </w:tcPr>
          <w:p w14:paraId="27E444F2" w14:textId="77777777" w:rsidR="0066756D" w:rsidRPr="008A2E5A" w:rsidRDefault="0066756D" w:rsidP="004C5D62">
            <w:pPr>
              <w:spacing w:after="0" w:line="240" w:lineRule="auto"/>
              <w:jc w:val="both"/>
              <w:rPr>
                <w:color w:val="0070C0"/>
                <w:sz w:val="16"/>
                <w:szCs w:val="16"/>
              </w:rPr>
            </w:pPr>
            <w:r w:rsidRPr="008A2E5A">
              <w:rPr>
                <w:color w:val="0070C0"/>
                <w:sz w:val="16"/>
                <w:szCs w:val="16"/>
              </w:rPr>
              <w:t>387</w:t>
            </w:r>
          </w:p>
        </w:tc>
        <w:tc>
          <w:tcPr>
            <w:tcW w:w="3561" w:type="dxa"/>
          </w:tcPr>
          <w:p w14:paraId="7B35D13A" w14:textId="77777777" w:rsidR="0066756D" w:rsidRPr="008A2E5A" w:rsidRDefault="0066756D" w:rsidP="004C5D62">
            <w:pPr>
              <w:spacing w:after="0" w:line="240" w:lineRule="auto"/>
              <w:jc w:val="both"/>
              <w:rPr>
                <w:color w:val="0070C0"/>
                <w:sz w:val="16"/>
                <w:szCs w:val="16"/>
              </w:rPr>
            </w:pPr>
            <w:r w:rsidRPr="008A2E5A">
              <w:rPr>
                <w:color w:val="0070C0"/>
                <w:sz w:val="16"/>
                <w:szCs w:val="16"/>
              </w:rPr>
              <w:t>У-2</w:t>
            </w:r>
          </w:p>
        </w:tc>
        <w:tc>
          <w:tcPr>
            <w:tcW w:w="3561" w:type="dxa"/>
          </w:tcPr>
          <w:p w14:paraId="5AA88BB0" w14:textId="77777777" w:rsidR="0066756D" w:rsidRPr="008A2E5A" w:rsidRDefault="0066756D" w:rsidP="004C5D62">
            <w:pPr>
              <w:spacing w:after="0" w:line="240" w:lineRule="auto"/>
              <w:jc w:val="both"/>
              <w:rPr>
                <w:color w:val="0070C0"/>
                <w:sz w:val="16"/>
                <w:szCs w:val="16"/>
              </w:rPr>
            </w:pPr>
            <w:r w:rsidRPr="008A2E5A">
              <w:rPr>
                <w:color w:val="0070C0"/>
                <w:sz w:val="16"/>
                <w:szCs w:val="16"/>
              </w:rPr>
              <w:t>5</w:t>
            </w:r>
          </w:p>
        </w:tc>
      </w:tr>
      <w:tr w:rsidR="0066756D" w:rsidRPr="008A2E5A" w14:paraId="5CD5EA61" w14:textId="77777777" w:rsidTr="004C5D62">
        <w:tc>
          <w:tcPr>
            <w:tcW w:w="3560" w:type="dxa"/>
          </w:tcPr>
          <w:p w14:paraId="2118CAD3" w14:textId="77777777" w:rsidR="0066756D" w:rsidRPr="008A2E5A" w:rsidRDefault="0066756D" w:rsidP="004C5D62">
            <w:pPr>
              <w:spacing w:after="0" w:line="240" w:lineRule="auto"/>
              <w:jc w:val="both"/>
              <w:rPr>
                <w:color w:val="0070C0"/>
                <w:sz w:val="16"/>
                <w:szCs w:val="16"/>
              </w:rPr>
            </w:pPr>
            <w:r w:rsidRPr="008A2E5A">
              <w:rPr>
                <w:color w:val="0070C0"/>
                <w:sz w:val="16"/>
                <w:szCs w:val="16"/>
              </w:rPr>
              <w:t>458</w:t>
            </w:r>
          </w:p>
        </w:tc>
        <w:tc>
          <w:tcPr>
            <w:tcW w:w="3561" w:type="dxa"/>
          </w:tcPr>
          <w:p w14:paraId="4F29BA92" w14:textId="77777777" w:rsidR="0066756D" w:rsidRPr="008A2E5A" w:rsidRDefault="0066756D" w:rsidP="004C5D62">
            <w:pPr>
              <w:spacing w:after="0" w:line="240" w:lineRule="auto"/>
              <w:jc w:val="both"/>
              <w:rPr>
                <w:color w:val="0070C0"/>
                <w:sz w:val="16"/>
                <w:szCs w:val="16"/>
              </w:rPr>
            </w:pPr>
            <w:r w:rsidRPr="008A2E5A">
              <w:rPr>
                <w:color w:val="0070C0"/>
                <w:sz w:val="16"/>
                <w:szCs w:val="16"/>
              </w:rPr>
              <w:t>УТИ-4</w:t>
            </w:r>
          </w:p>
        </w:tc>
        <w:tc>
          <w:tcPr>
            <w:tcW w:w="3561" w:type="dxa"/>
          </w:tcPr>
          <w:p w14:paraId="0EE75C8B" w14:textId="77777777" w:rsidR="0066756D" w:rsidRPr="008A2E5A" w:rsidRDefault="0066756D" w:rsidP="004C5D62">
            <w:pPr>
              <w:spacing w:after="0" w:line="240" w:lineRule="auto"/>
              <w:jc w:val="both"/>
              <w:rPr>
                <w:color w:val="0070C0"/>
                <w:sz w:val="16"/>
                <w:szCs w:val="16"/>
              </w:rPr>
            </w:pPr>
            <w:r w:rsidRPr="008A2E5A">
              <w:rPr>
                <w:color w:val="0070C0"/>
                <w:sz w:val="16"/>
                <w:szCs w:val="16"/>
              </w:rPr>
              <w:t>2</w:t>
            </w:r>
          </w:p>
        </w:tc>
      </w:tr>
      <w:tr w:rsidR="0066756D" w:rsidRPr="008A2E5A" w14:paraId="035DFCC1" w14:textId="77777777" w:rsidTr="004C5D62">
        <w:tc>
          <w:tcPr>
            <w:tcW w:w="3560" w:type="dxa"/>
          </w:tcPr>
          <w:p w14:paraId="158D79AF" w14:textId="77777777" w:rsidR="0066756D" w:rsidRPr="008A2E5A" w:rsidRDefault="0066756D" w:rsidP="004C5D62">
            <w:pPr>
              <w:spacing w:after="0" w:line="240" w:lineRule="auto"/>
              <w:jc w:val="both"/>
              <w:rPr>
                <w:color w:val="0070C0"/>
                <w:sz w:val="16"/>
                <w:szCs w:val="16"/>
              </w:rPr>
            </w:pPr>
            <w:r w:rsidRPr="008A2E5A">
              <w:rPr>
                <w:color w:val="0070C0"/>
                <w:sz w:val="16"/>
                <w:szCs w:val="16"/>
              </w:rPr>
              <w:t>Итого учебных</w:t>
            </w:r>
          </w:p>
        </w:tc>
        <w:tc>
          <w:tcPr>
            <w:tcW w:w="3561" w:type="dxa"/>
          </w:tcPr>
          <w:p w14:paraId="6F81FE5F" w14:textId="77777777" w:rsidR="0066756D" w:rsidRPr="008A2E5A" w:rsidRDefault="0066756D" w:rsidP="004C5D62">
            <w:pPr>
              <w:spacing w:after="0" w:line="240" w:lineRule="auto"/>
              <w:jc w:val="both"/>
              <w:rPr>
                <w:color w:val="0070C0"/>
                <w:sz w:val="16"/>
                <w:szCs w:val="16"/>
              </w:rPr>
            </w:pPr>
          </w:p>
        </w:tc>
        <w:tc>
          <w:tcPr>
            <w:tcW w:w="3561" w:type="dxa"/>
          </w:tcPr>
          <w:p w14:paraId="69086D82" w14:textId="77777777" w:rsidR="0066756D" w:rsidRPr="008A2E5A" w:rsidRDefault="0066756D" w:rsidP="004C5D62">
            <w:pPr>
              <w:spacing w:after="0" w:line="240" w:lineRule="auto"/>
              <w:jc w:val="both"/>
              <w:rPr>
                <w:color w:val="0070C0"/>
                <w:sz w:val="16"/>
                <w:szCs w:val="16"/>
              </w:rPr>
            </w:pPr>
            <w:r w:rsidRPr="008A2E5A">
              <w:rPr>
                <w:color w:val="0070C0"/>
                <w:sz w:val="16"/>
                <w:szCs w:val="16"/>
              </w:rPr>
              <w:t>9</w:t>
            </w:r>
          </w:p>
        </w:tc>
      </w:tr>
      <w:tr w:rsidR="0066756D" w:rsidRPr="008A2E5A" w14:paraId="209165E7" w14:textId="77777777" w:rsidTr="004C5D62">
        <w:tc>
          <w:tcPr>
            <w:tcW w:w="3560" w:type="dxa"/>
          </w:tcPr>
          <w:p w14:paraId="47B63A80" w14:textId="77777777" w:rsidR="0066756D" w:rsidRPr="008A2E5A" w:rsidRDefault="0066756D" w:rsidP="004C5D62">
            <w:pPr>
              <w:spacing w:after="0" w:line="240" w:lineRule="auto"/>
              <w:jc w:val="both"/>
              <w:rPr>
                <w:color w:val="0070C0"/>
                <w:sz w:val="16"/>
                <w:szCs w:val="16"/>
              </w:rPr>
            </w:pPr>
            <w:r w:rsidRPr="008A2E5A">
              <w:rPr>
                <w:color w:val="0070C0"/>
                <w:sz w:val="16"/>
                <w:szCs w:val="16"/>
              </w:rPr>
              <w:t>Итого самолетов</w:t>
            </w:r>
          </w:p>
        </w:tc>
        <w:tc>
          <w:tcPr>
            <w:tcW w:w="3561" w:type="dxa"/>
          </w:tcPr>
          <w:p w14:paraId="34EF17CB" w14:textId="77777777" w:rsidR="0066756D" w:rsidRPr="008A2E5A" w:rsidRDefault="0066756D" w:rsidP="004C5D62">
            <w:pPr>
              <w:spacing w:after="0" w:line="240" w:lineRule="auto"/>
              <w:jc w:val="both"/>
              <w:rPr>
                <w:color w:val="0070C0"/>
                <w:sz w:val="16"/>
                <w:szCs w:val="16"/>
              </w:rPr>
            </w:pPr>
          </w:p>
        </w:tc>
        <w:tc>
          <w:tcPr>
            <w:tcW w:w="3561" w:type="dxa"/>
          </w:tcPr>
          <w:p w14:paraId="537091AC" w14:textId="77777777" w:rsidR="0066756D" w:rsidRPr="008A2E5A" w:rsidRDefault="0066756D" w:rsidP="004C5D62">
            <w:pPr>
              <w:spacing w:after="0" w:line="240" w:lineRule="auto"/>
              <w:jc w:val="both"/>
              <w:rPr>
                <w:color w:val="0070C0"/>
                <w:sz w:val="16"/>
                <w:szCs w:val="16"/>
              </w:rPr>
            </w:pPr>
            <w:r w:rsidRPr="008A2E5A">
              <w:rPr>
                <w:color w:val="0070C0"/>
                <w:sz w:val="16"/>
                <w:szCs w:val="16"/>
              </w:rPr>
              <w:t>58* 2*</w:t>
            </w:r>
          </w:p>
        </w:tc>
      </w:tr>
    </w:tbl>
    <w:p w14:paraId="04FF1069"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ШахуриН</w:t>
      </w:r>
    </w:p>
    <w:p w14:paraId="4825362E"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Резолюция: «т. Маленкову. 16 завод (моторовый) — безобразие! Неужели не мож|ете взять за жабры 16-й завод и Шахурина? Невозможно терпеть дальше такое безобкзие. </w:t>
      </w:r>
    </w:p>
    <w:p w14:paraId="569C58BA"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Сталин1*».</w:t>
      </w:r>
    </w:p>
    <w:p w14:paraId="4704C57D"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Номер завода и цифра подчеркнуты двойной чертой синим карандашом.</w:t>
      </w:r>
    </w:p>
    <w:p w14:paraId="1D193829"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Число подчеркнуто синим карандашом.</w:t>
      </w:r>
    </w:p>
    <w:p w14:paraId="6B8C3803"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111. Подлинник (23614).</w:t>
      </w:r>
    </w:p>
    <w:p w14:paraId="7D4DB0FD" w14:textId="77777777" w:rsidR="0066756D" w:rsidRPr="008A2E5A" w:rsidRDefault="0066756D" w:rsidP="0066756D">
      <w:pPr>
        <w:spacing w:after="0" w:line="240" w:lineRule="auto"/>
        <w:jc w:val="both"/>
        <w:rPr>
          <w:rFonts w:ascii="Times New Roman" w:hAnsi="Times New Roman"/>
          <w:color w:val="0070C0"/>
          <w:sz w:val="16"/>
          <w:szCs w:val="16"/>
        </w:rPr>
      </w:pPr>
    </w:p>
    <w:p w14:paraId="3EFBE994"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19 марта по 19 мая 1942 г. авиазавод в Горьком пере</w:t>
      </w:r>
      <w:r w:rsidRPr="008A2E5A">
        <w:rPr>
          <w:rFonts w:ascii="Times New Roman" w:hAnsi="Times New Roman"/>
          <w:color w:val="0070C0"/>
          <w:sz w:val="16"/>
          <w:szCs w:val="16"/>
        </w:rPr>
        <w:softHyphen/>
        <w:t>страивался на выпуск истребителей Як-7Б. Основные рабо</w:t>
      </w:r>
      <w:r w:rsidRPr="008A2E5A">
        <w:rPr>
          <w:rFonts w:ascii="Times New Roman" w:hAnsi="Times New Roman"/>
          <w:color w:val="0070C0"/>
          <w:sz w:val="16"/>
          <w:szCs w:val="16"/>
        </w:rPr>
        <w:softHyphen/>
        <w:t>ты развернулись с 8 апреля, после того как на заводе побы</w:t>
      </w:r>
      <w:r w:rsidRPr="008A2E5A">
        <w:rPr>
          <w:rFonts w:ascii="Times New Roman" w:hAnsi="Times New Roman"/>
          <w:color w:val="0070C0"/>
          <w:sz w:val="16"/>
          <w:szCs w:val="16"/>
        </w:rPr>
        <w:softHyphen/>
        <w:t>вал заместитель наркома авиапромышленности А.К. Репин и своим приказом на месте уточнил порядок и сроки под</w:t>
      </w:r>
      <w:r w:rsidRPr="008A2E5A">
        <w:rPr>
          <w:rFonts w:ascii="Times New Roman" w:hAnsi="Times New Roman"/>
          <w:color w:val="0070C0"/>
          <w:sz w:val="16"/>
          <w:szCs w:val="16"/>
        </w:rPr>
        <w:softHyphen/>
        <w:t>готовки производства новой машины (приказ по НКАП № 42с). Согласно постановлению ГКО, работы щедро преми</w:t>
      </w:r>
      <w:r w:rsidRPr="008A2E5A">
        <w:rPr>
          <w:rFonts w:ascii="Times New Roman" w:hAnsi="Times New Roman"/>
          <w:color w:val="0070C0"/>
          <w:sz w:val="16"/>
          <w:szCs w:val="16"/>
        </w:rPr>
        <w:softHyphen/>
        <w:t>ровались: за выпуск к 10 июня 20 самолетов Як-7Б из сво</w:t>
      </w:r>
      <w:r w:rsidRPr="008A2E5A">
        <w:rPr>
          <w:rFonts w:ascii="Times New Roman" w:hAnsi="Times New Roman"/>
          <w:color w:val="0070C0"/>
          <w:sz w:val="16"/>
          <w:szCs w:val="16"/>
        </w:rPr>
        <w:softHyphen/>
        <w:t>их деталей выделялся премиальный фонд в размере одно</w:t>
      </w:r>
      <w:r w:rsidRPr="008A2E5A">
        <w:rPr>
          <w:rFonts w:ascii="Times New Roman" w:hAnsi="Times New Roman"/>
          <w:color w:val="0070C0"/>
          <w:sz w:val="16"/>
          <w:szCs w:val="16"/>
        </w:rPr>
        <w:softHyphen/>
        <w:t>го миллиона рублей для ИТР и двух миллионов рублей для рабочих (в том числе 150 тысяч рублей выделялись заводу № 119 за выпуск 20 комплектов шасси к 20 мая 1942 г). Для обеспечения быстрого освоения массового выпуска само</w:t>
      </w:r>
      <w:r w:rsidRPr="008A2E5A">
        <w:rPr>
          <w:rFonts w:ascii="Times New Roman" w:hAnsi="Times New Roman"/>
          <w:color w:val="0070C0"/>
          <w:sz w:val="16"/>
          <w:szCs w:val="16"/>
        </w:rPr>
        <w:softHyphen/>
        <w:t>летов и решения вопросов взаимозаменяемости вновь ор</w:t>
      </w:r>
      <w:r w:rsidRPr="008A2E5A">
        <w:rPr>
          <w:rFonts w:ascii="Times New Roman" w:hAnsi="Times New Roman"/>
          <w:color w:val="0070C0"/>
          <w:sz w:val="16"/>
          <w:szCs w:val="16"/>
        </w:rPr>
        <w:softHyphen/>
        <w:t>ганизовали плазово-шаблонный цех и цех крупных приспо</w:t>
      </w:r>
      <w:r w:rsidRPr="008A2E5A">
        <w:rPr>
          <w:rFonts w:ascii="Times New Roman" w:hAnsi="Times New Roman"/>
          <w:color w:val="0070C0"/>
          <w:sz w:val="16"/>
          <w:szCs w:val="16"/>
        </w:rPr>
        <w:softHyphen/>
        <w:t>соблений и эталонов (используя для этого площади эваку</w:t>
      </w:r>
      <w:r w:rsidRPr="008A2E5A">
        <w:rPr>
          <w:rFonts w:ascii="Times New Roman" w:hAnsi="Times New Roman"/>
          <w:color w:val="0070C0"/>
          <w:sz w:val="16"/>
          <w:szCs w:val="16"/>
        </w:rPr>
        <w:softHyphen/>
        <w:t>ированного в Тбилиси ОКБ С.А. Лавочкина). Организация этих цехов и расширение цеховых инструментальных ма</w:t>
      </w:r>
      <w:r w:rsidRPr="008A2E5A">
        <w:rPr>
          <w:rFonts w:ascii="Times New Roman" w:hAnsi="Times New Roman"/>
          <w:color w:val="0070C0"/>
          <w:sz w:val="16"/>
          <w:szCs w:val="16"/>
        </w:rPr>
        <w:softHyphen/>
        <w:t>стерских способствовали изготовлению в рекордные сро</w:t>
      </w:r>
      <w:r w:rsidRPr="008A2E5A">
        <w:rPr>
          <w:rFonts w:ascii="Times New Roman" w:hAnsi="Times New Roman"/>
          <w:color w:val="0070C0"/>
          <w:sz w:val="16"/>
          <w:szCs w:val="16"/>
        </w:rPr>
        <w:softHyphen/>
        <w:t>ки 18 эталонов, 17 крупных стапелей и прессов, станков по разделке и фрезеровке моторамы и фюзеляжа, 60 кузнеч</w:t>
      </w:r>
      <w:r w:rsidRPr="008A2E5A">
        <w:rPr>
          <w:rFonts w:ascii="Times New Roman" w:hAnsi="Times New Roman"/>
          <w:color w:val="0070C0"/>
          <w:sz w:val="16"/>
          <w:szCs w:val="16"/>
        </w:rPr>
        <w:softHyphen/>
        <w:t>ных штампов, 300 инструментальных штампов и около 500 наименований различного инструмента с высокой техни</w:t>
      </w:r>
      <w:r w:rsidRPr="008A2E5A">
        <w:rPr>
          <w:rFonts w:ascii="Times New Roman" w:hAnsi="Times New Roman"/>
          <w:color w:val="0070C0"/>
          <w:sz w:val="16"/>
          <w:szCs w:val="16"/>
        </w:rPr>
        <w:softHyphen/>
        <w:t>ческой культурой и качеством. За счет применения совер</w:t>
      </w:r>
      <w:r w:rsidRPr="008A2E5A">
        <w:rPr>
          <w:rFonts w:ascii="Times New Roman" w:hAnsi="Times New Roman"/>
          <w:color w:val="0070C0"/>
          <w:sz w:val="16"/>
          <w:szCs w:val="16"/>
        </w:rPr>
        <w:softHyphen/>
        <w:t>шенных технологий, правильного подбора сортамента ма</w:t>
      </w:r>
      <w:r w:rsidRPr="008A2E5A">
        <w:rPr>
          <w:rFonts w:ascii="Times New Roman" w:hAnsi="Times New Roman"/>
          <w:color w:val="0070C0"/>
          <w:sz w:val="16"/>
          <w:szCs w:val="16"/>
        </w:rPr>
        <w:softHyphen/>
        <w:t>териалов, передовых методов их раскроя уже на этапе вне</w:t>
      </w:r>
      <w:r w:rsidRPr="008A2E5A">
        <w:rPr>
          <w:rFonts w:ascii="Times New Roman" w:hAnsi="Times New Roman"/>
          <w:color w:val="0070C0"/>
          <w:sz w:val="16"/>
          <w:szCs w:val="16"/>
        </w:rPr>
        <w:softHyphen/>
        <w:t>дрения Як-7Б достигли экономии цветных металлов на 90 кг, черных - на 280 кг, лесоматериалов - на 0,8 м3. При этом заводская себестоимость первой серии оказалась сравни</w:t>
      </w:r>
      <w:r w:rsidRPr="008A2E5A">
        <w:rPr>
          <w:rFonts w:ascii="Times New Roman" w:hAnsi="Times New Roman"/>
          <w:color w:val="0070C0"/>
          <w:sz w:val="16"/>
          <w:szCs w:val="16"/>
        </w:rPr>
        <w:softHyphen/>
        <w:t>тельно невысокой - 166,6 тысяч рублей.</w:t>
      </w:r>
    </w:p>
    <w:p w14:paraId="613CA410"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россыпи, полученной с завода №153, в Горьком все</w:t>
      </w:r>
      <w:r w:rsidRPr="008A2E5A">
        <w:rPr>
          <w:rFonts w:ascii="Times New Roman" w:hAnsi="Times New Roman"/>
          <w:color w:val="0070C0"/>
          <w:sz w:val="16"/>
          <w:szCs w:val="16"/>
        </w:rPr>
        <w:softHyphen/>
        <w:t>го собрали 7 Як-7Б, но при остановке производства этой машины приняли решение закончить полностью только пять из них. Самолеты выкатили из сборочного цеха на аэ</w:t>
      </w:r>
      <w:r w:rsidRPr="008A2E5A">
        <w:rPr>
          <w:rFonts w:ascii="Times New Roman" w:hAnsi="Times New Roman"/>
          <w:color w:val="0070C0"/>
          <w:sz w:val="16"/>
          <w:szCs w:val="16"/>
        </w:rPr>
        <w:softHyphen/>
        <w:t>родром с 18 по 27 мая 1942 г. и сдали ВВС по готовности к бою четыре машины в июне и одну в июле 1942 г. Изго</w:t>
      </w:r>
      <w:r w:rsidRPr="008A2E5A">
        <w:rPr>
          <w:rFonts w:ascii="Times New Roman" w:hAnsi="Times New Roman"/>
          <w:color w:val="0070C0"/>
          <w:sz w:val="16"/>
          <w:szCs w:val="16"/>
        </w:rPr>
        <w:softHyphen/>
        <w:t>товленные на заводе оснастку, приспособления и инстру</w:t>
      </w:r>
      <w:r w:rsidRPr="008A2E5A">
        <w:rPr>
          <w:rFonts w:ascii="Times New Roman" w:hAnsi="Times New Roman"/>
          <w:color w:val="0070C0"/>
          <w:sz w:val="16"/>
          <w:szCs w:val="16"/>
        </w:rPr>
        <w:softHyphen/>
        <w:t>мент, разработанную техническую документацию, специ</w:t>
      </w:r>
      <w:r w:rsidRPr="008A2E5A">
        <w:rPr>
          <w:rFonts w:ascii="Times New Roman" w:hAnsi="Times New Roman"/>
          <w:color w:val="0070C0"/>
          <w:sz w:val="16"/>
          <w:szCs w:val="16"/>
        </w:rPr>
        <w:softHyphen/>
        <w:t>фические материалы и готовые изделия на сумму 5512,9 тысяч рублей (в том числе задел готовых деталей и агре</w:t>
      </w:r>
      <w:r w:rsidRPr="008A2E5A">
        <w:rPr>
          <w:rFonts w:ascii="Times New Roman" w:hAnsi="Times New Roman"/>
          <w:color w:val="0070C0"/>
          <w:sz w:val="16"/>
          <w:szCs w:val="16"/>
        </w:rPr>
        <w:softHyphen/>
        <w:t>гатов Як-7Б на сумму 2922,4 тысячи рублей) уже 28 мая отправили на завод №82. Туда же переадресовали допо</w:t>
      </w:r>
      <w:r w:rsidRPr="008A2E5A">
        <w:rPr>
          <w:rFonts w:ascii="Times New Roman" w:hAnsi="Times New Roman"/>
          <w:color w:val="0070C0"/>
          <w:sz w:val="16"/>
          <w:szCs w:val="16"/>
        </w:rPr>
        <w:softHyphen/>
        <w:t>ставленные 11 вагонов деталей с завода №153.</w:t>
      </w:r>
    </w:p>
    <w:p w14:paraId="6E6ED6B9" w14:textId="77777777" w:rsidR="0066756D" w:rsidRPr="008A2E5A" w:rsidRDefault="0066756D" w:rsidP="0066756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Серийный номер машин выпуска завода №21 пред</w:t>
      </w:r>
      <w:r w:rsidRPr="008A2E5A">
        <w:rPr>
          <w:rFonts w:ascii="Times New Roman" w:hAnsi="Times New Roman"/>
          <w:color w:val="0070C0"/>
          <w:sz w:val="16"/>
          <w:szCs w:val="16"/>
        </w:rPr>
        <w:softHyphen/>
        <w:t>ставлял собой набор цифр, из которых две первых явля</w:t>
      </w:r>
      <w:r w:rsidRPr="008A2E5A">
        <w:rPr>
          <w:rFonts w:ascii="Times New Roman" w:hAnsi="Times New Roman"/>
          <w:color w:val="0070C0"/>
          <w:sz w:val="16"/>
          <w:szCs w:val="16"/>
        </w:rPr>
        <w:softHyphen/>
        <w:t>лись номенклатурным номером (типом) модели самоле</w:t>
      </w:r>
      <w:r w:rsidRPr="008A2E5A">
        <w:rPr>
          <w:rFonts w:ascii="Times New Roman" w:hAnsi="Times New Roman"/>
          <w:color w:val="0070C0"/>
          <w:sz w:val="16"/>
          <w:szCs w:val="16"/>
        </w:rPr>
        <w:softHyphen/>
        <w:t>та «42», две следующих - номером завода «21», затем две цифры номера серии «01», а далее следовал номер само</w:t>
      </w:r>
      <w:r w:rsidRPr="008A2E5A">
        <w:rPr>
          <w:rFonts w:ascii="Times New Roman" w:hAnsi="Times New Roman"/>
          <w:color w:val="0070C0"/>
          <w:sz w:val="16"/>
          <w:szCs w:val="16"/>
        </w:rPr>
        <w:softHyphen/>
        <w:t>лета в серии (в разных документах встречалось обозначе</w:t>
      </w:r>
      <w:r w:rsidRPr="008A2E5A">
        <w:rPr>
          <w:rFonts w:ascii="Times New Roman" w:hAnsi="Times New Roman"/>
          <w:color w:val="0070C0"/>
          <w:sz w:val="16"/>
          <w:szCs w:val="16"/>
        </w:rPr>
        <w:softHyphen/>
        <w:t>ние первых номеров машин в серии, как с добавлением нуля «42210101», так и без добавления «4221011») (23381).</w:t>
      </w:r>
    </w:p>
    <w:p w14:paraId="2D305A0A" w14:textId="77777777" w:rsidR="0066756D" w:rsidRPr="008A2E5A" w:rsidRDefault="0066756D" w:rsidP="0066756D">
      <w:pPr>
        <w:spacing w:after="0" w:line="240" w:lineRule="auto"/>
        <w:jc w:val="both"/>
        <w:rPr>
          <w:rFonts w:ascii="Times New Roman" w:hAnsi="Times New Roman"/>
          <w:color w:val="0070C0"/>
          <w:sz w:val="16"/>
          <w:szCs w:val="16"/>
        </w:rPr>
      </w:pPr>
    </w:p>
    <w:p w14:paraId="3E42BA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года Приказом НКАП за № 21сс завод № 29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20F6DB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955CA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B36E3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3C42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Омск, Б. Хмельницкого – 281, п/я 64</w:t>
      </w:r>
    </w:p>
    <w:p w14:paraId="4782BE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7DCAC3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882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вышел приказ НКАП N 218сс:</w:t>
      </w:r>
    </w:p>
    <w:p w14:paraId="699470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ГКО-1450сс от 15 марта 1942:</w:t>
      </w:r>
    </w:p>
    <w:p w14:paraId="7EAF69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в составе НКАП 14 ГУ по производству винтов, непосредственно подчинив его зам. наркома Кузнецову</w:t>
      </w:r>
    </w:p>
    <w:p w14:paraId="2A67AE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Передать в 14 ГУ заводы 27, 28, 35, 467, 167, 383, 449, исключив их из состава 3 и 6 управлений</w:t>
      </w:r>
    </w:p>
    <w:p w14:paraId="668FE4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Назначить нач. 14 ГУ В.М.Дубова (1544,60).</w:t>
      </w:r>
    </w:p>
    <w:p w14:paraId="394D65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FD6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г. по приказу № 224с планировалось расформировать завод № 290 (Завод № 290 НКАП, Ухтомский авиазавод /ст. Ухтомская Московской обл.</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Билимбай Свердловской обл./) и ОКБ, но это было сделано в 1943 г. (приказ № 14с от 13.01.1943 г.). Завод и ОКБ Камова расформированы. Завод со всем оборудованием и личным составом влит в состав завода № 82 НКАП. По приказу № 27С от 18.01.1943 г. часть оборудования передана на завод № 289 НКАП, а автожир АК передан на хранение в ОКБ-3 И.П. Братухина при МАИ.</w:t>
      </w:r>
    </w:p>
    <w:p w14:paraId="5115F6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площадке эвакуированного завода № 290 (Завод № 290 НКАП, Ухтомский авиазавод /ст. Ухтомская Московской обл.;  г. Билимбай Свердловской обл./), где недолго существовали авторемонтные мастерские, был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w:t>
      </w:r>
    </w:p>
    <w:p w14:paraId="529D5C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(05.1940 г.)- Н.И. Камов. Директор (1.06.1940-01.1943 г.)- Н.И. Камов.</w:t>
      </w:r>
    </w:p>
    <w:p w14:paraId="79EC74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(1.06.1940-01.1943 г.)- Н.И. Камов.</w:t>
      </w:r>
    </w:p>
    <w:p w14:paraId="7F39BA53" w14:textId="77777777" w:rsidR="002801BC"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(12.1940-01.1943 г.)- М.Л.'Миль.</w:t>
      </w:r>
    </w:p>
    <w:p w14:paraId="64AE03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ОКБ-290 НКАП</w:t>
      </w:r>
    </w:p>
    <w:p w14:paraId="02CB2C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ОКБ-290 НКАП гл. конструктора Н.И. Камова действовало при опытном заводе № 290 НКАП в 1940-43 г.</w:t>
      </w:r>
    </w:p>
    <w:p w14:paraId="478013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доводке автожира А-7. Проектировались А-7-ЗА, АК, истребитель с</w:t>
      </w:r>
      <w:r w:rsidRPr="008127F8">
        <w:rPr>
          <w:rFonts w:ascii="Times New Roman" w:hAnsi="Times New Roman"/>
          <w:iCs/>
          <w:color w:val="000000" w:themeColor="text1"/>
          <w:sz w:val="16"/>
          <w:szCs w:val="16"/>
        </w:rPr>
        <w:t xml:space="preserve"> убирающимся</w:t>
      </w:r>
      <w:r w:rsidRPr="008127F8">
        <w:rPr>
          <w:rFonts w:ascii="Times New Roman" w:hAnsi="Times New Roman"/>
          <w:color w:val="000000" w:themeColor="text1"/>
          <w:sz w:val="16"/>
          <w:szCs w:val="16"/>
        </w:rPr>
        <w:t xml:space="preserve"> ротором (1941 г.).</w:t>
      </w:r>
    </w:p>
    <w:p w14:paraId="1776CC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1072сс от 15.10.1941 г. ОКБ-290 7ГУ НКАП вместе с заводом № 290 было эвакуировано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Билимбай Свердловской обл. Здесь с 12.1941 г. продолжены работы по автожиру АК.</w:t>
      </w:r>
    </w:p>
    <w:p w14:paraId="4390B5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приказу № 14с от 13.01.1943 г. ОКБ и завод расформированы. Н.И. Камов в 1943-45 г. занимался перевооружением бомбардировщика А-20 «Бостон», в 1945-47 г. работал в ЦАГИ (11982).</w:t>
      </w:r>
    </w:p>
    <w:p w14:paraId="2180756C" w14:textId="77777777" w:rsidR="002801BC" w:rsidRPr="008127F8" w:rsidRDefault="002801BC"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574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г. была жалоба 35 со</w:t>
      </w:r>
      <w:r w:rsidRPr="008127F8">
        <w:rPr>
          <w:rFonts w:ascii="Times New Roman" w:hAnsi="Times New Roman"/>
          <w:color w:val="000000" w:themeColor="text1"/>
          <w:sz w:val="16"/>
          <w:szCs w:val="16"/>
        </w:rPr>
        <w:softHyphen/>
        <w:t>трудников завода № 30, направленная Л.П. Берии В ней рабочие пишут, что были реэвакуированы с за</w:t>
      </w:r>
      <w:r w:rsidRPr="008127F8">
        <w:rPr>
          <w:rFonts w:ascii="Times New Roman" w:hAnsi="Times New Roman"/>
          <w:color w:val="000000" w:themeColor="text1"/>
          <w:sz w:val="16"/>
          <w:szCs w:val="16"/>
        </w:rPr>
        <w:softHyphen/>
        <w:t>вода № 135 из Молотова в Москву в феврале 1942 г., причём руководство I ГУ НКАП твёрдо обещало, что семьи рабочих прибудут через 1,5—2 месяца. Однако время шло, семьи про</w:t>
      </w:r>
      <w:r w:rsidRPr="008127F8">
        <w:rPr>
          <w:rFonts w:ascii="Times New Roman" w:hAnsi="Times New Roman"/>
          <w:color w:val="000000" w:themeColor="text1"/>
          <w:sz w:val="16"/>
          <w:szCs w:val="16"/>
        </w:rPr>
        <w:softHyphen/>
        <w:t>должали страдать от тяжёлого материального положения на Урале, в то время как семьи руководящих работников (кото</w:t>
      </w:r>
      <w:r w:rsidRPr="008127F8">
        <w:rPr>
          <w:rFonts w:ascii="Times New Roman" w:hAnsi="Times New Roman"/>
          <w:color w:val="000000" w:themeColor="text1"/>
          <w:sz w:val="16"/>
          <w:szCs w:val="16"/>
        </w:rPr>
        <w:softHyphen/>
        <w:t xml:space="preserve">рые проживали в Молотове в тех же домах) уже давно были в Москве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6432. Л. 129—130). Летом 1942 г. дирекция завода № 22 просила НКАП прекратить практику персональных откомандировок ИГР в Москву. Оно мотивировало это тем, что завод и без того ис</w:t>
      </w:r>
      <w:r w:rsidRPr="008127F8">
        <w:rPr>
          <w:rFonts w:ascii="Times New Roman" w:hAnsi="Times New Roman"/>
          <w:color w:val="000000" w:themeColor="text1"/>
          <w:sz w:val="16"/>
          <w:szCs w:val="16"/>
        </w:rPr>
        <w:softHyphen/>
        <w:t>пытывает постоянный некомплект инженерно-технических сотрудников, и в этой ситуации потворствовать желанию от</w:t>
      </w:r>
      <w:r w:rsidRPr="008127F8">
        <w:rPr>
          <w:rFonts w:ascii="Times New Roman" w:hAnsi="Times New Roman"/>
          <w:color w:val="000000" w:themeColor="text1"/>
          <w:sz w:val="16"/>
          <w:szCs w:val="16"/>
        </w:rPr>
        <w:softHyphen/>
        <w:t xml:space="preserve">дельных индивидов перебраться в столицу — недопустимо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6432. Л. 167-168) (12011).</w:t>
      </w:r>
    </w:p>
    <w:p w14:paraId="300431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A57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г. завод № 467 НКАП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передан в 14ГУ НКАП. С 19.06.1946 г. получил наименование «предприятие п/я I».</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С 15.03.1953 г. завод передан из 14ГУ в 2ГУ. В соответствии с пост. СМ СССР № 713-342 от 26.06.1957 г. передан в ведение СНХ РСФСР.</w:t>
      </w:r>
    </w:p>
    <w:p w14:paraId="72606C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783A6F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 планетарные гидроприводы, электрогидравлический привод для СПК «Олимпия»).</w:t>
      </w:r>
    </w:p>
    <w:p w14:paraId="74C709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площади (2002 г.)- 120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12B328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(1.01.2002 г.)- 1600 чел.</w:t>
      </w:r>
    </w:p>
    <w:p w14:paraId="7E252B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(-1999-2005 г.-)- П. Г. Редько.</w:t>
      </w:r>
    </w:p>
    <w:p w14:paraId="730219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(-1999-2002 г.-)- С.В. Таркаев.</w:t>
      </w:r>
    </w:p>
    <w:p w14:paraId="32935B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(-1999-2005 г.-)- П. Г. Редько {22.12.1954-}.</w:t>
      </w:r>
    </w:p>
    <w:p w14:paraId="5A2454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3EC8A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(2002 г.)- С.В. Таркаев.</w:t>
      </w:r>
      <w:r w:rsidRPr="008127F8">
        <w:rPr>
          <w:rFonts w:ascii="Times New Roman" w:hAnsi="Times New Roman"/>
          <w:color w:val="000000" w:themeColor="text1"/>
          <w:sz w:val="16"/>
          <w:szCs w:val="16"/>
          <w:vertAlign w:val="superscript"/>
        </w:rPr>
        <w:t>69</w:t>
      </w:r>
    </w:p>
    <w:p w14:paraId="32DF1B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ГП-400, ГП-76 для Ан-124 и Ан-225; АРМ-62Т, РДМ-ЗТ, БУ-160 ддя Ил-62; АРМ-62Р, МР-ЗОТ для Ил-76; ГЦ-20Н для Ил-96; РС-80АМ для Ка-50; КАУ-170, КАУ-175 для Ка-62; КАУ-165 для Ка-126; КАУ-115АМ для Ми-8, Ми-17; КАУ-140, БГ-16, БГ-17 для Ми-26; БГ-18, КАУ-150, КАУ- 155 для Ми-28; РП-10, РП-15 для Ми-38; а также для Су-35, МиГ-31, Ил-86, Ми-6, Ми-10, Ми-24, Ми-171, ВКС «Буран», РН «Протон».</w:t>
      </w:r>
    </w:p>
    <w:p w14:paraId="3429D1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ОКБ-467 НКАП, МАП, ОКБ завода № 467 МАП, ОАО «Гидроагрегат» /</w:t>
      </w:r>
      <w:proofErr w:type="gramStart"/>
      <w:r w:rsidRPr="008127F8">
        <w:rPr>
          <w:rFonts w:ascii="Times New Roman" w:hAnsi="Times New Roman"/>
          <w:color w:val="000000" w:themeColor="text1"/>
          <w:sz w:val="16"/>
          <w:szCs w:val="16"/>
        </w:rPr>
        <w:t>606100  г.</w:t>
      </w:r>
      <w:proofErr w:type="gramEnd"/>
      <w:r w:rsidRPr="008127F8">
        <w:rPr>
          <w:rFonts w:ascii="Times New Roman" w:hAnsi="Times New Roman"/>
          <w:color w:val="000000" w:themeColor="text1"/>
          <w:sz w:val="16"/>
          <w:szCs w:val="16"/>
        </w:rPr>
        <w:t xml:space="preserve"> Павлово-3 Нижегородской обл. ул. Коммунистическая, 78 тел. 69-201, 51-484/</w:t>
      </w:r>
    </w:p>
    <w:p w14:paraId="434582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СМ СССР № 7478 от 11.06.1946 г. и приказом № 383с от 18.06.1946 г. на завод № 467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по приказу № 450с от 12.07.1946 г. создано новое ОКБ-467 МАП.</w:t>
      </w:r>
    </w:p>
    <w:p w14:paraId="5CA8FA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1949 г. создано и изготовлено 10 модификаций в/винтов.</w:t>
      </w:r>
    </w:p>
    <w:p w14:paraId="59921F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1957 г. ОКБ передано из МАГ1 в Павловский СНХ. В период с ~ 1960 г. по 1967 г. ОКБ действовало отдельно от завода как самостоятельное ОКБ-1. В </w:t>
      </w:r>
      <w:proofErr w:type="gramStart"/>
      <w:r w:rsidRPr="008127F8">
        <w:rPr>
          <w:rFonts w:ascii="Times New Roman" w:hAnsi="Times New Roman"/>
          <w:color w:val="000000" w:themeColor="text1"/>
          <w:sz w:val="16"/>
          <w:szCs w:val="16"/>
        </w:rPr>
        <w:t>1993  г.</w:t>
      </w:r>
      <w:proofErr w:type="gramEnd"/>
      <w:r w:rsidRPr="008127F8">
        <w:rPr>
          <w:rFonts w:ascii="Times New Roman" w:hAnsi="Times New Roman"/>
          <w:color w:val="000000" w:themeColor="text1"/>
          <w:sz w:val="16"/>
          <w:szCs w:val="16"/>
        </w:rPr>
        <w:t xml:space="preserve">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55CBC6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057E8D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(2004 г.): гидравлические агрегаты для систем управления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630E24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(1.01.2001 г.)- 3475 чел.</w:t>
      </w:r>
    </w:p>
    <w:p w14:paraId="308EB5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(1946-51 г.-)- Н.Н. Петров, (1956 г.-)- Ф.Ф. Куприянов, (1982-88 г.)-Ю.А. Парменов, (1988-94 г.)- Б.Б. Василегин, (1994-96 г.)- Б.Х. Коган, (1996-2005 г.-)- П. Г. Редько.</w:t>
      </w:r>
    </w:p>
    <w:p w14:paraId="6DDAAE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Н.Д. Денискин.</w:t>
      </w:r>
    </w:p>
    <w:p w14:paraId="79714C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Никитин.</w:t>
      </w:r>
    </w:p>
    <w:p w14:paraId="0A9B92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В.А. Чичевичкин.</w:t>
      </w:r>
      <w:r w:rsidRPr="008127F8">
        <w:rPr>
          <w:rFonts w:ascii="Times New Roman" w:hAnsi="Times New Roman"/>
          <w:color w:val="000000" w:themeColor="text1"/>
          <w:sz w:val="16"/>
          <w:szCs w:val="16"/>
          <w:vertAlign w:val="superscript"/>
        </w:rPr>
        <w:t>69</w:t>
      </w:r>
    </w:p>
    <w:p w14:paraId="0D4312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финансового директора (01.2005 г.)- В.К. Колбасов.</w:t>
      </w:r>
    </w:p>
    <w:p w14:paraId="6122D5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бригады: гидроусилителей (1949 г.)- Ф.Ф. Куприянов.</w:t>
      </w:r>
    </w:p>
    <w:p w14:paraId="106226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-60</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 xml:space="preserve"> для Ка-32; электрогидравлический усилитель мощности УГ-177 для ГПА (11982).</w:t>
      </w:r>
    </w:p>
    <w:p w14:paraId="206B61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DC3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г. вышло решение особого заседания Куйбышевского горисполкома о передаче авиационным заводам жилых площадей в домах по следующим адресам: ул. Фрунзе, 114-116, 140, ул. Обороны, 30 и 50, ул. Куйбышева, 147 и 149. При этом что примечательно, уплотнялась жилплощадь, занимаемая работниками НКО и Управления делами СНК (ГАСО. Ф. Р-2558. Оп. 6. Д. 93. Л. 15-16.) (11714).</w:t>
      </w:r>
    </w:p>
    <w:p w14:paraId="3DBE8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078B5" w14:textId="75C4621F" w:rsidR="00325C56" w:rsidRDefault="00325C5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6F152AEF" w14:textId="77777777" w:rsidR="00325C56" w:rsidRDefault="00325C5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A1CF37C"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года московский филиал был пре</w:t>
      </w:r>
      <w:r w:rsidRPr="008A2E5A">
        <w:rPr>
          <w:rFonts w:ascii="Times New Roman" w:hAnsi="Times New Roman"/>
          <w:color w:val="0070C0"/>
          <w:sz w:val="16"/>
          <w:szCs w:val="16"/>
        </w:rPr>
        <w:softHyphen/>
        <w:t>образован в самостоятельное предприятие - Московский завод «Компрессор» № 733. Его директором стал И.А.Дорожкин.</w:t>
      </w:r>
    </w:p>
    <w:p w14:paraId="63B59BCF"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снарядного завода имени Владимира Ильича было также эвакуировано частично. После непродол</w:t>
      </w:r>
      <w:r w:rsidRPr="008A2E5A">
        <w:rPr>
          <w:rFonts w:ascii="Times New Roman" w:hAnsi="Times New Roman"/>
          <w:color w:val="0070C0"/>
          <w:sz w:val="16"/>
          <w:szCs w:val="16"/>
        </w:rPr>
        <w:softHyphen/>
        <w:t>жительной паузы производство корпусов возобновилось на оставшихся в Москве мощностях. Темп работ непрерывно воз</w:t>
      </w:r>
      <w:r w:rsidRPr="008A2E5A">
        <w:rPr>
          <w:rFonts w:ascii="Times New Roman" w:hAnsi="Times New Roman"/>
          <w:color w:val="0070C0"/>
          <w:sz w:val="16"/>
          <w:szCs w:val="16"/>
        </w:rPr>
        <w:softHyphen/>
        <w:t>растал. Заводская смена продолжалась 14 часов. Особенно тя</w:t>
      </w:r>
      <w:r w:rsidRPr="008A2E5A">
        <w:rPr>
          <w:rFonts w:ascii="Times New Roman" w:hAnsi="Times New Roman"/>
          <w:color w:val="0070C0"/>
          <w:sz w:val="16"/>
          <w:szCs w:val="16"/>
        </w:rPr>
        <w:softHyphen/>
        <w:t>жело приходилось молодым девушкам, обтачивавшим медные пояски снарядов. За смену через их руки проходило 1 100 сна</w:t>
      </w:r>
      <w:r w:rsidRPr="008A2E5A">
        <w:rPr>
          <w:rFonts w:ascii="Times New Roman" w:hAnsi="Times New Roman"/>
          <w:color w:val="0070C0"/>
          <w:sz w:val="16"/>
          <w:szCs w:val="16"/>
        </w:rPr>
        <w:softHyphen/>
        <w:t>рядных корпусов весом по 9 килограммов каждый. К декабрю 1941 года оставшимся на местах и эвакуированным предпри</w:t>
      </w:r>
      <w:r w:rsidRPr="008A2E5A">
        <w:rPr>
          <w:rFonts w:ascii="Times New Roman" w:hAnsi="Times New Roman"/>
          <w:color w:val="0070C0"/>
          <w:sz w:val="16"/>
          <w:szCs w:val="16"/>
        </w:rPr>
        <w:softHyphen/>
        <w:t>ятиям удалось нарастить выпуск как пусковых установок, так и снарядных корпусов (23510).</w:t>
      </w:r>
    </w:p>
    <w:p w14:paraId="49274424" w14:textId="77777777" w:rsidR="00325C56" w:rsidRPr="008A2E5A" w:rsidRDefault="00325C56" w:rsidP="00325C56">
      <w:pPr>
        <w:spacing w:after="0" w:line="240" w:lineRule="auto"/>
        <w:jc w:val="both"/>
        <w:rPr>
          <w:rFonts w:ascii="Times New Roman" w:hAnsi="Times New Roman"/>
          <w:color w:val="0070C0"/>
          <w:sz w:val="16"/>
          <w:szCs w:val="16"/>
        </w:rPr>
      </w:pPr>
    </w:p>
    <w:p w14:paraId="5283B660" w14:textId="20D38EAC"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1F85E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0C8C8"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марта</w:t>
      </w:r>
      <w:r w:rsidRPr="008127F8">
        <w:rPr>
          <w:rFonts w:ascii="Times New Roman" w:hAnsi="Times New Roman"/>
          <w:color w:val="000000" w:themeColor="text1"/>
          <w:sz w:val="16"/>
          <w:szCs w:val="16"/>
        </w:rPr>
        <w:t xml:space="preserve"> в 1942 году утреннее сообщение Совинформбюро:</w:t>
      </w:r>
    </w:p>
    <w:p w14:paraId="2C037554"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19 марта на фронте каких-либо существенных изменений не произошло.</w:t>
      </w:r>
    </w:p>
    <w:p w14:paraId="1BB8D4BC"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 транспорт противника водоизменением в 3.500 тонн.</w:t>
      </w:r>
    </w:p>
    <w:p w14:paraId="1CC5F323"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в результате упорного боя выбила немцев из двух населённых пунктов и уничтожила 2 орудия, 8 миномётов, 6 пулемётов и 2 склада с боеприпасами. Противник оставил на поле боя 120 трупов. Среди захваченных трофеев — 8 орудий, 7 миномётов, 12 пулемётов, склад мин, свыше 20.000 патронов и 10 подвод с грузом. Взяты пленные.</w:t>
      </w:r>
    </w:p>
    <w:p w14:paraId="710D3A16"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Сломив сопротивление противника, наши бойцы овладели одним сильно укреплённым пунктом (Калининский фронт). Немцы потеряли свыше 400 солдат и офицеров. Захвачено 25 пулемётов, 2 миномёта, 2 радиостанции и много винтовок. На другом участке наша часть в боях за два населённых пункта захватила у противника 80 </w:t>
      </w:r>
      <w:r w:rsidRPr="008127F8">
        <w:rPr>
          <w:rFonts w:ascii="Times New Roman" w:hAnsi="Times New Roman"/>
          <w:color w:val="000000" w:themeColor="text1"/>
          <w:sz w:val="16"/>
          <w:szCs w:val="16"/>
        </w:rPr>
        <w:lastRenderedPageBreak/>
        <w:t>орудий разных калибров, 126 автомашин, 4 автобуса, 1 бронемашину, 4 трактора с прицепами. Огнём ручных пулемётов и противотанковых ружей сбито 2 транспортных немецких самолёта.</w:t>
      </w:r>
    </w:p>
    <w:p w14:paraId="237A5CEC"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Пытаясь прорваться в окружённый нашими войсками населённый пункт, гитлеровцы предприняли «психическую» атаку. Пьяные немецкие солдаты во весь рост двинулись на одно из наших подразделений. Советские бойцы подпустили противника на близкое расстояние и открыли шквальный огонь. Оставив свыше 400 убитых и раненых, немцы в беспорядке отступили.</w:t>
      </w:r>
    </w:p>
    <w:p w14:paraId="284B9830"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делах разгромленного на Западном фронте штаба 17 немецкого артиллерийского полка обнаружено распоряжение отдела разведки и контрразведки 17 пехотной дивизии от 10 февраля. В нём говорится: «...Следует систематически следить за мирным населением в местах расквартирования войск. С подозрительными элементами обращаться как с партизанами, т. е. расстреливать. Подозрительными являются все лица, вне зависимости от возраста и пола, которые не смогут дать удовлетворительных объяснений причины своего пребывания в том или ином месте».</w:t>
      </w:r>
    </w:p>
    <w:p w14:paraId="771A23BB"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Немецкое командование не может подавить растущее с каждым днём партизанское движение. Тогда взбесившиеся гитлеровские бандиты решили, как показывает приведенный выше документ, уничтожить всех мирных советских граждан «вне зависимости от возраста и пола». Ведь совершенно очевидно, что любое объяснение советского гражданина о причинах его пребывания в том или ином месте может быть объявлено немецкими кровопийцами «неудовлетворительным» и повлечь за собой расстрел. Таким образом, ещё раз документально доказано, что гитлеровцы, вопреки всем правилам и обычаям ведения войны, воюют против беззащитных мирных жителей, в том числе женщин и детей. Нет необходимости доказывать, что подобные чудовищные зверства являются признаком не силы, а слабости гитлеровцев.</w:t>
      </w:r>
    </w:p>
    <w:p w14:paraId="40D9A2E9"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Приводим выдержку из записок убитого фельдфебеля 5 роты 111 пехотного полка 35 немецкой пехотной дивизии Питера: «...Впереди нас раздаётся лязг гусениц. Это русские танки. Бьёт наша противотанковая артиллерия, снаряд летит за снарядом, но танки невредимы и продолжают наступать. Русский танк находится от меня уже в 10 метрах, он переваливается через противотанковую пушку и отбрасывает её, как игрушку, в сторону. Не останавливаясь, он мчится дальше, стреляя из пушки и пулемётов. Подходит следующий танк, за ним ещё. Мы мечемся от укрытия к укрытию. Затем появляются русская пехота, казаки. Нам удаётся пробраться в сарай. Мы зарываемся в сено. То и дело я выглядываю из щели. Русские уже ворвались в деревню. Кругом падают наши солдаты. Из моей роты я уже никого не вижу... Чудом удалось спастись».</w:t>
      </w:r>
    </w:p>
    <w:p w14:paraId="784BA6B9"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войны трудящиеся Киргизии внесли в фонд обороны СССР 32 миллиона рублей деньгами и на 82.242 тысячи рублей облигаций государственных займов. Кроме того, в фонд обороны поступило 6.987 центнеров мяса, 23.585 центнеров зерна, большое количество сливочного масла, сала, мёда, сушёных фруктов и других продуктов.» (15073).</w:t>
      </w:r>
    </w:p>
    <w:p w14:paraId="0947FE7F" w14:textId="77777777" w:rsidR="002801BC" w:rsidRPr="008127F8" w:rsidRDefault="002801BC" w:rsidP="001E0A84">
      <w:pPr>
        <w:spacing w:after="0" w:line="240" w:lineRule="auto"/>
        <w:jc w:val="both"/>
        <w:rPr>
          <w:rFonts w:ascii="Times New Roman" w:hAnsi="Times New Roman"/>
          <w:color w:val="000000" w:themeColor="text1"/>
          <w:sz w:val="16"/>
          <w:szCs w:val="16"/>
        </w:rPr>
      </w:pPr>
    </w:p>
    <w:p w14:paraId="29FB0835"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марта</w:t>
      </w:r>
      <w:r w:rsidRPr="008127F8">
        <w:rPr>
          <w:rFonts w:ascii="Times New Roman" w:hAnsi="Times New Roman"/>
          <w:color w:val="000000" w:themeColor="text1"/>
          <w:sz w:val="16"/>
          <w:szCs w:val="16"/>
        </w:rPr>
        <w:t xml:space="preserve"> в 1942 году вечернее сообщение Совинформбюро:</w:t>
      </w:r>
    </w:p>
    <w:p w14:paraId="1E76AA54"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 марта на фронте существенных изменений не произошло.</w:t>
      </w:r>
    </w:p>
    <w:p w14:paraId="49712085"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марта уничтожено 16 самолётов противника. Наши потери — 7 самолётов.</w:t>
      </w:r>
    </w:p>
    <w:p w14:paraId="13F97D83"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марта под Москвой сбито 5 немецких самолётов.</w:t>
      </w:r>
    </w:p>
    <w:p w14:paraId="6550D358"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марта частями нашей авиации уничтожено и повреждено 85 немецких автомашин с войсками и грузами, 110 повозок с боеприпасами, 4 автоцистерны с горючим, 19 орудий, 14 зенитно-пулемётных точек, 21 миномёт, взорван склад с боеприпасами и склад с горючим, рассеяно и частью уничтожено до 3 рот пехоты противника.</w:t>
      </w:r>
    </w:p>
    <w:p w14:paraId="68C8BF1E"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два дня наши части, действующие на отдельных участках Ленинградского фронта, уничтожили свыше 2.500 вражеских солдат и офицеров. Артиллерийским огнём и действиями разведывательных групп разрушено 9 блиндажей, землянок и наблюдательный пункт противника. Уничтожено 2 танка, полевая артиллерийская батарея, 2 противотанковых орудия, несколько станковых пулемётов и взорвал склад боеприпасов. Захвачены трофеи: 6 орудий, 28 пулемётов, 5 миномётов, несколько противотанковых ружей, 8 автоматов, 13 радиостанций, 19.000 винтовочных патронов, 1.000 мин, 500 ручных гранат, 500 ракет и другое военное имущество.</w:t>
      </w:r>
    </w:p>
    <w:p w14:paraId="7858CE2B"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(Юго-Западный фронт) в результате упорных боёв с противником заняла три населённых пункта. Захвачены 1 танк, 3 орудия, 12 пулемётов, 100 винтовок и 150 ящиков патронов. На поле боя остались сотни вражеских трупов.</w:t>
      </w:r>
    </w:p>
    <w:p w14:paraId="01EA3386"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лейтенанта Полещука после упорного боя выбило немцев из деревни С. Тов. Полещук в этом бою меткими выстрелами из винтовки уничтожил 10 гитлеровцев. В ходе боя на отважного лейтенанта напала группа немецких автоматчиков во главе с офицером. Выстрелом в упор тов. Полещук убил офицера, схватил его автомат и, открыв огонь по вражеским автоматчикам, обратил их в бегство.</w:t>
      </w:r>
    </w:p>
    <w:p w14:paraId="10C73E60"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Ученик 6-го класса одной из школ Петя Нестеренко под пулемётным и миномётным огнём за три дня вынес с поля боя 14 раненых бойцов вместе с их оружием.</w:t>
      </w:r>
    </w:p>
    <w:p w14:paraId="46B0A02D"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объединённых партизанских отрядов Ленинградской области под командованием тт. В. и Т. совершило нападение на немецкий батальон, остановившийся в деревне С. Бойцы отрядов истребили 70 солдат и офицеров противника. Партизанский отряд под командованием тов. С. выбил немцев из двух населённых пунктов. Партизаны захватили 45 ящиков со снарядами, 5 подвод с продовольствием, 100 пар лыж и другие-трофеи. Гитлеровцы потеряли убитыми и ранеными 200 своих солдат и офицеров.</w:t>
      </w:r>
    </w:p>
    <w:p w14:paraId="00FDAAC7"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приводится текст донесения одной из дивизий, входящей в состав 13 немецкого армейского корпуса, от 29 января 1942 года: «С 20 июля наша дивизия находится почти непрерывно в боях. Последние месяцы она днём и ночью ведёт тяжёлые оборонительные бои. Санитарные учреждения совершенно переполнены заболевшими и выбывшими из строя. Наши части уже 4—6 недель не имели возможности сменить бельё, которое коробится от грязи. Особенно остро обстоит вопрос с бельём для солдат, страдающих поносами... Состояние здоровья войсковой части исключительно плохое. Небольшое количество солдат, выдержавших до сих пор все лишения, страдает в лучшем случае от обморожения 1-й и 2-й степени, катаром мочевого пузыря, кишечно-желудочными и кожными заболеваниями. Среди солдат 100-процентная вшивость, у многих чесотка. В результате непрерывных боёв, связанных с тяжелыми лишениями, моральное и физическое состояние войск сильно ослаблено. 80 процентов состава нуждается в длительном стационарном лечении».</w:t>
      </w:r>
    </w:p>
    <w:p w14:paraId="1E8D5243"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таком состоянии гитлеровские вояки находились в январе. В феврале и в марте Красная Армия нанесла противнику новые удары и </w:t>
      </w:r>
      <w:proofErr w:type="gramStart"/>
      <w:r w:rsidRPr="008127F8">
        <w:rPr>
          <w:rFonts w:ascii="Times New Roman" w:hAnsi="Times New Roman"/>
          <w:color w:val="000000" w:themeColor="text1"/>
          <w:sz w:val="16"/>
          <w:szCs w:val="16"/>
        </w:rPr>
        <w:t>ещё больше надломила</w:t>
      </w:r>
      <w:proofErr w:type="gramEnd"/>
      <w:r w:rsidRPr="008127F8">
        <w:rPr>
          <w:rFonts w:ascii="Times New Roman" w:hAnsi="Times New Roman"/>
          <w:color w:val="000000" w:themeColor="text1"/>
          <w:sz w:val="16"/>
          <w:szCs w:val="16"/>
        </w:rPr>
        <w:t xml:space="preserve"> и подорвала моральное и физическое состояние немецких войск.</w:t>
      </w:r>
    </w:p>
    <w:p w14:paraId="2E999023"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Вооружённая группа финских солдат, дезертировавших из армии, совершила нападение на продовольственные склады в городе Париккала. Во время стычки с шюцкоровцами, охранявшими склад, к солдатам присоединилась толпа местных жителей, главным образом женщин. Разогнав шюцкоровцев и раздав продукты голодному населению, солдаты скрылись в лесу.</w:t>
      </w:r>
    </w:p>
    <w:p w14:paraId="543B4BBE"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Стахановцы уральских предприятий поставили на днях несколько выдающихся производственных рекордов. Токарь Энского завода тов. Киселёв выполнил задание на 1.454 процента. Бурщик Илларион Янкин, методы которого переняли многие горняки, показал новый образец высокой производительности труда. Он перевыполнил трудовую норму в 13 раз.» (15073).</w:t>
      </w:r>
    </w:p>
    <w:p w14:paraId="01D5A2FD" w14:textId="77777777" w:rsidR="002801BC" w:rsidRPr="008127F8" w:rsidRDefault="002801BC" w:rsidP="001E0A84">
      <w:pPr>
        <w:spacing w:after="0" w:line="240" w:lineRule="auto"/>
        <w:jc w:val="both"/>
        <w:rPr>
          <w:rFonts w:ascii="Times New Roman" w:hAnsi="Times New Roman"/>
          <w:color w:val="000000" w:themeColor="text1"/>
          <w:sz w:val="16"/>
          <w:szCs w:val="16"/>
        </w:rPr>
      </w:pPr>
    </w:p>
    <w:p w14:paraId="3E42E42E"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 вышел приказ ВОЕННО-ВОЗДУШНЫМ СИЛАМ КРАСНОЙ АРМИИ № 039</w:t>
      </w:r>
    </w:p>
    <w:p w14:paraId="27387BA0"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3CEB6478"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Содержание</w:t>
      </w:r>
      <w:proofErr w:type="gramStart"/>
      <w:r w:rsidRPr="003553D8">
        <w:rPr>
          <w:rFonts w:ascii="Times New Roman" w:hAnsi="Times New Roman"/>
          <w:color w:val="0070C0"/>
          <w:sz w:val="16"/>
          <w:szCs w:val="16"/>
          <w:u w:val="single"/>
        </w:rPr>
        <w:t>: О</w:t>
      </w:r>
      <w:proofErr w:type="gramEnd"/>
      <w:r w:rsidRPr="008A2E5A">
        <w:rPr>
          <w:rFonts w:ascii="Times New Roman" w:hAnsi="Times New Roman"/>
          <w:color w:val="0070C0"/>
          <w:sz w:val="16"/>
          <w:szCs w:val="16"/>
        </w:rPr>
        <w:t xml:space="preserve"> повышении эффективности действий авиации. * 1</w:t>
      </w:r>
    </w:p>
    <w:p w14:paraId="2D7A240A"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Произведенной по моему указанию проверкой боевых действии частей военно-воздушных сил выявлена низкая меткость стрельбы и бомбометания, снижающая эффективность боевых действий авиации.</w:t>
      </w:r>
    </w:p>
    <w:p w14:paraId="41C5624F"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Причинами этого являются:</w:t>
      </w:r>
    </w:p>
    <w:p w14:paraId="4C593FE6"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Командиры и комиссары полков и эскадрилий самоустранились от руководства огневой подготовкой, штабы военно-воздушных сил армий и фронтов ограничиваются сбором данных о количестве вылетов и тоннаже сброшенных бомб, но совершенно не интересуются учетом качества выполнения поставленных задач.</w:t>
      </w:r>
    </w:p>
    <w:p w14:paraId="16F5342C"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При постановке боевых задач командующими военно-воздушными силами фронтов и армий не указывается требуемый результат, сроки и конечная цель действий. В свою очередь командиры полков и эскадрилий </w:t>
      </w:r>
    </w:p>
    <w:p w14:paraId="57DF38C0"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разрабатывают способов решения боевых задач, не конкретизируют цели, подлежащие поражению, не указывают высоты, метода поражения целей и порядка применения оружия. Экипажи не обеспечиваются фотоснимками целей, данными о них и даже картами крупного масштаба или схемами района целей.</w:t>
      </w:r>
    </w:p>
    <w:p w14:paraId="29910381"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Контроль за подготовкой экипажей к боевому вылету со стороны командиров и комиссаров частей, а также штурманов и начальников воздушно-артиллерийской службы неудовлетворительный. Штурманская служба не используется для точного бомбометания.</w:t>
      </w:r>
    </w:p>
    <w:p w14:paraId="3B4038F7"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Не налажен также контроль за качеством бомбометания и стрельбы с целью определения истинных результатов -боевых действий, выявления ошибок и исправления их в последующих вылетах, фото не стало основным средством контроля за результатами выполнения боевых задач.</w:t>
      </w:r>
    </w:p>
    <w:p w14:paraId="29D6320D"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Установка прицелов, особенно стрелковых, не поверяется. При выполнении стрелково-бомбардировочных задач экипажи не пользуются прицелами и не выполняют даже элементарных артиллерийских расчетов.</w:t>
      </w:r>
    </w:p>
    <w:p w14:paraId="194AD9CB"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Стрельба из реактивных снарядов, пушек и пулеметов как по воздушным, так и наземным целям ведется с чрезмерно больших дистанций, совершенно не обеспечивающих действительного поражения противника.</w:t>
      </w:r>
    </w:p>
    <w:p w14:paraId="6791F5A5"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При выполнении боевых задач части придерживаются трафарета, без учета характера цели, возможности эффективного ее поражения и достижения требуемых результатов: бомбометание производится почти</w:t>
      </w:r>
    </w:p>
    <w:p w14:paraId="65899DEB"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исключительно со средних высот и горизонтального полета, одним и тем же типом бомб, с одинаковым взрывателем и т. п.</w:t>
      </w:r>
    </w:p>
    <w:p w14:paraId="6B7C3E8C"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18787C92"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Считать повышение меткости стрельбы и бомбометания и эффективности действий военно-воздушных сил в целом — основной ближайшей задачей всех частей и соединений военно-воздушных сил.</w:t>
      </w:r>
    </w:p>
    <w:p w14:paraId="614F9C51"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Командующим военно-воздушными силами фронтов и армий при постановке боевых задач частям указывать конкретные цели и требуемый результат действий, а при определении объема задач и сроков их решения исходить из конкретной обстановки и боевых возможностей данных частей.</w:t>
      </w:r>
    </w:p>
    <w:p w14:paraId="462CC0DE"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Потребовать от своих штабов своевременных мероприятий по обеспечению частей разведывательными данными о целях, фотоснимками, схемами и картами крупного масштаба района действий.</w:t>
      </w:r>
    </w:p>
    <w:p w14:paraId="3DEFDEA3"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со степенью подготовки частей разработать для них программу занятий на земле и в воздухе по повышению огневой подготовки с привлечением к руководству этими занятиями командиров частей и специалистов.</w:t>
      </w:r>
    </w:p>
    <w:p w14:paraId="363CF2D3"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Повысить требовательность к командирам полков за качество выполнения боевых задач, связанных с применением стрелково-бомбардировочного оружия, расследуя каждый раз причины неудовлетворительного их выполнения и привлекая виновных к ответственности.</w:t>
      </w:r>
    </w:p>
    <w:p w14:paraId="5B3C59CC"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Командирам полков и эскадрилий при постановке задач на боевые действия указывать конкретную цель, порядок и способ ее поражения и личным контролем убеждаться в полной готовности экипажей для успешного решения боевой задачи.</w:t>
      </w:r>
    </w:p>
    <w:p w14:paraId="354DDC73"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Запретить неприцельное бомбометание и стрельбу за пределами дистанции действительного огня. Требовать от экипажей поверки навигационных элементов на пути к цели, а при небольшом удалении цели от аэродрома — обязательного пользования шаропилотными данными не более как 30—50-минутной давности.</w:t>
      </w:r>
    </w:p>
    <w:p w14:paraId="070EEC7E"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При соответствующей обстановке шире практиковать многократные заходы на цель, искореняя необоснованное сбрасывание залпом всего боевого комплекта бомб и реактивных снарядов.</w:t>
      </w:r>
    </w:p>
    <w:p w14:paraId="6293408A"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Внедрить при ночном бомбометании применение САБ и ПАР-13 для прицельного бомбометания и стрельбы по освещенной цели и ослепления зенитной артиллерии.</w:t>
      </w:r>
    </w:p>
    <w:p w14:paraId="461FD2C3"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В каждой части готовить снайперские экипажи по стрельбе и бомбометанию для выполнения боевых задач, требующих особо меткого бомбометания и стрельбы.</w:t>
      </w:r>
    </w:p>
    <w:p w14:paraId="4DE55A81"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Ввести во всех частях как систему фотосъемку для контроля как меткости бомбометания, так и результатов поражения цели. Организовать в полках систематические, ежедневные разборы результатов поражения целей, определять на них допущенные ошибки каждого экипажа в отдельности и намечать пути и способы повышения эффективности действий.</w:t>
      </w:r>
    </w:p>
    <w:p w14:paraId="72CDF4A1"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При представлении к правительственной награде исходить, как этого требует приказ НКО № 0299—1941 г., не из голого числа вылетов, а из числа выполненных задач, эффективность которых подтверждена документально. В целях стимулирования представлять экипаж к правительственнои награде за отличное поражение важных целей, независимо от количества боевых вылетов.</w:t>
      </w:r>
    </w:p>
    <w:p w14:paraId="622EC8A9"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Командующим военно-воздушными силами фронтов и округов провести в порядке обмена опытом специальные совещания по вопросам наиболее эффективного поражения целей. Отчеты по проведенным совещаниям представить в штаб Военно-воздушных сил Красной Армии к 15.4.1942 г.</w:t>
      </w:r>
    </w:p>
    <w:p w14:paraId="37D4E51F"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Главному инженеру Военно-воздушных сил Красной Армии и начальнику Главного управления заказов принять меры по обеспечению в кратчайший срок ночных полков, вооруженных самолетами У-2, Р-5, СБ и ТБ-3, простейшими прицелами для ночного бомбометания со средних и малых высот. О принятых мерах доложить мне 25.3.42 г.</w:t>
      </w:r>
    </w:p>
    <w:p w14:paraId="7D66950C"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Начальнику Управления формирования и комплектования:</w:t>
      </w:r>
    </w:p>
    <w:p w14:paraId="6370F5CD"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к 1.4.42 г. представить мне на утверждение мероприятия по улучшению огневой подготовки в запасных полках и школах;</w:t>
      </w:r>
    </w:p>
    <w:p w14:paraId="7F92B0D4"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ускорить обеспечение частей военно-воздушных сил инструкциями и учебными пособиями по применению стрелкового бомбардировочного вооружения.</w:t>
      </w:r>
    </w:p>
    <w:p w14:paraId="3996C2C8"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В целях улучшения руководства огневой подготовкой и штурманской службой отнести бомбометание к ведению штурмана полка, армии, фронта и Главного штурмана Военно-воздушных сил Красной Армии, а стрельбу из всех видов оружия — к ведению начальника воздушно-стрелковой службы полка, армии, фронта и Военно-воздушных сил Красной Армии.</w:t>
      </w:r>
    </w:p>
    <w:p w14:paraId="67BB3F9B"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Штурманов и начальников воздушно-стрелковой службы во всех частях, соединениях, фронтах и Военно-воздушных силах Красной Армии подчинить непосредственно командиру полка, командующему военно-воздушными силами армии, фронта и Военно-воздушных сил Красной Армии на правах их помощников по штурманской и огневой службам.</w:t>
      </w:r>
    </w:p>
    <w:p w14:paraId="15840C0E"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Начальнику Организационно-мобилизационного управления штаба Военно-воздушных сил Красной Армии к 20.3.42 г. представить мне на утверждение вытекающие из этого изменения в штатах и положения об обязанностях начальников воздушно-стрелковой службы.</w:t>
      </w:r>
    </w:p>
    <w:p w14:paraId="05CF3A66"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Начальнику Управления кадров к 1.4.42 г. укомплектовать должности начальников воздушно-стрелковой службы и их помощников согласно новым штатам.</w:t>
      </w:r>
    </w:p>
    <w:p w14:paraId="7A000F34"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проведенных мероприятиях, направленных на повышение эффективности действий авиации во исполнение данного приказа, донести мне к 25 апреля 1942 г.</w:t>
      </w:r>
    </w:p>
    <w:p w14:paraId="6F5427E9"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 передать по телеграфу и изучить со всем летным составом.</w:t>
      </w:r>
    </w:p>
    <w:p w14:paraId="0A8C16C0"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Командующий Военно-воздушными силами Красной Армии генерал-полковник авиации ЖИГАРЕВ</w:t>
      </w:r>
    </w:p>
    <w:p w14:paraId="3B517607"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 Военного Совета Военно-воздушных сил Красной Армии генерал-лейтенант авиации ПЕТРОВ</w:t>
      </w:r>
    </w:p>
    <w:p w14:paraId="3F29BFD0" w14:textId="77777777" w:rsidR="00325C56" w:rsidRPr="008A2E5A" w:rsidRDefault="00325C56" w:rsidP="00325C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Врид. начальника штаба Военно-воздушных сил Красной Армии полковник КРОЛЕНКО (23633).</w:t>
      </w:r>
    </w:p>
    <w:p w14:paraId="3FB05D2A" w14:textId="77777777" w:rsidR="00325C56" w:rsidRPr="008A2E5A" w:rsidRDefault="00325C56" w:rsidP="00325C56">
      <w:pPr>
        <w:spacing w:after="0" w:line="240" w:lineRule="auto"/>
        <w:jc w:val="both"/>
        <w:rPr>
          <w:rFonts w:ascii="Times New Roman" w:hAnsi="Times New Roman"/>
          <w:color w:val="0070C0"/>
          <w:sz w:val="16"/>
          <w:szCs w:val="16"/>
        </w:rPr>
      </w:pPr>
    </w:p>
    <w:p w14:paraId="7BDA6F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патруль финских “Чаек” обнаружил на льду Финского залива севший аварийно самолет МБР-2 и сжег его (6592).</w:t>
      </w:r>
    </w:p>
    <w:p w14:paraId="05EF50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F354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фашисты начали военную операцию “Мюнхен” по уничтожению советских партизан в Белоруссии (4962).</w:t>
      </w:r>
    </w:p>
    <w:p w14:paraId="1BDCDB2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F93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Днем 19 марта 1941 начальник штаба МПВО Горьковского авиазавода № 21 А. Соляров отправился на заводской аэродром к поджидавшему его самолету У-2. Цель полета – проверить техническую маскировку предприятия. Старый биплан, натужно ревя мотором, разогнался по грязной взлетной полосе и поднялся в небо. Пилот набрал высоту 2000 м и стал описывать круги над заводом. Соляров обнаружил, что, несмотря на начавшееся таяние снега, город сверху по-прежнему в основном выглядит белым. Заводские корпуса благодаря выполненной на их крышах маскировке имели вид поселка. Фюзеляжи истребителей ЛаГГ-3, находящихся на улице, казались бесформенными грязными пятнами. Около предприятия не было каких-либо четких ориентиров, выдававших его местонахождение, кроме разве что узкой полоски Московского шоссе, и это значительно облегчало маскировку. Довольный увиденным, Соляров приказал пилоту возвращаться на аэродром. Но зимний камуфляж доживал последние дни, и следовало подумать о весенней, а потом и о летней маскировке. Однако все эти мероприятия имели лишь относительную эффективность. Дело в том, что расположение крупных промышленных объектов, таких как Ярославский шинный завод, ГАЗ, СТЗ, было хорошо известно противнику еще до войны, и осенью 1941 г. в ходе разведывательных полетов немцы сделали многочисленные фотографии. Весной 1942 г. немецкие самолеты-разведчики регулярно появлялись над городами Поволжья, и техническая маскировка попросту не успевала приводить заводские корпуса в вид, соответствующий окружающему ландшафту, и при сопоставлении фотоснимков, сделанных в разное время, было нетрудно определить точное расположение и очертания объектов. Еще одну проблему создавала непрерывная работа мартеновских печей, т.к. по ночам домны создавали характерное зарево, в ясную погоду видимое за десятки километров. Больше всего они «демаскировывали» металлургический завод им. Кагановича, расположенный в одноименном районе Горького, и завод «Красный Октябрь» в Сталинграде. Таким образом, скрыть местонахождение военных заводов было практически невозможно. Единственное, на что можно было реально рассчитывать, так это на то, что непосредственно во время бомбового удара штурманы немецких самолетов не смогут точно прицелиться и сбросят бомбы рядом с целью. В Сталинграде же по решению горкомитета обороны началось сооружение ложных объектов. Суть проекта заключалась в том, чтобы построить на берегу Волги севернее города несколько макетов заводских корпусов для введения в заблуждение вражеских пилотов. Идея эта была не новой. В Горьком, например, уже были возведены ложные объекты рядом с артиллерийским заводом им. Сталина и в Сормовском парке недалеко от авиазавода № 21. Таким способом можно было несколько снизить количество бомб, упавших на настоящие промышленные объекты. Однако, учитывая высокую активность дальней разведки Люфтваффе, скрыть от врага постройку этих сооружений было почти невозможно. И все же подобное средство иногда приносило определенный эффект в случае, если в бомбардировщике сидел неопытный штурман, или при плохой видимости (11774).</w:t>
      </w:r>
    </w:p>
    <w:p w14:paraId="705966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E16A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D4892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173D09" w14:textId="1D07E6C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профессор Добротвор записал в своем дневнике: «Как мало человеку хлеба нужно. Я получил 2 кило коммерческого хлеба (ввиду утери карточек) и был на 7-м небе. Восторг. А всего 2 кило. Надо бороться неустанно и всюду за то, чтобы хлебом человек был наделен полностью. Сейчас мы ведем полуголодное существование. Главная основа питания — </w:t>
      </w:r>
      <w:proofErr w:type="gramStart"/>
      <w:r w:rsidRPr="008127F8">
        <w:rPr>
          <w:rFonts w:ascii="Times New Roman" w:hAnsi="Times New Roman"/>
          <w:color w:val="000000" w:themeColor="text1"/>
          <w:sz w:val="16"/>
          <w:szCs w:val="16"/>
        </w:rPr>
        <w:t>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хлеба, которые мы получаем по карточкам. Жиров нет. Никакого масла не выдавали уже больше месяца. Люди осунулись, посерели». [423 — Забвению не подлежит, с. 525.] (11741).</w:t>
      </w:r>
    </w:p>
    <w:p w14:paraId="5A8D4D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D489B5" w14:textId="77777777" w:rsidR="002801BC"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9B3D0B9" w14:textId="77777777" w:rsidR="002801BC" w:rsidRPr="008127F8" w:rsidRDefault="002801BC"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5B3FAB" w14:textId="77777777" w:rsidR="002801BC" w:rsidRPr="008127F8" w:rsidRDefault="002801BC"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марта 1942 в Тбилиси при загадочных обстоятельствах выпал из окна квартиры и разбился бывший генсек Испанской компартии Хосе Диас (есть подозрение, что </w:t>
      </w:r>
      <w:r w:rsidRPr="008127F8">
        <w:rPr>
          <w:rFonts w:ascii="Times New Roman" w:hAnsi="Times New Roman"/>
          <w:color w:val="000000" w:themeColor="text1"/>
          <w:sz w:val="16"/>
          <w:szCs w:val="16"/>
        </w:rPr>
        <w:lastRenderedPageBreak/>
        <w:t>он был убит агентами НКВД) (4962).</w:t>
      </w:r>
    </w:p>
    <w:p w14:paraId="71A663A0" w14:textId="77777777" w:rsidR="002801BC" w:rsidRPr="008127F8" w:rsidRDefault="002801BC"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8EF88" w14:textId="77777777" w:rsidR="002801BC" w:rsidRPr="008127F8" w:rsidRDefault="002801B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марта</w:t>
      </w:r>
      <w:r w:rsidRPr="008127F8">
        <w:rPr>
          <w:rFonts w:ascii="Times New Roman" w:hAnsi="Times New Roman"/>
          <w:color w:val="000000" w:themeColor="text1"/>
          <w:sz w:val="16"/>
          <w:szCs w:val="16"/>
        </w:rPr>
        <w:t xml:space="preserve"> в 1942 году в Тбилиси при загадочных обстоятельствах выпал из окна квартиры и разбился бывший генсек Испанской компартии Хосе Диас (15073).</w:t>
      </w:r>
    </w:p>
    <w:p w14:paraId="6419F85D" w14:textId="77777777" w:rsidR="002801BC" w:rsidRPr="008127F8" w:rsidRDefault="002801BC" w:rsidP="001E0A84">
      <w:pPr>
        <w:spacing w:after="0" w:line="240" w:lineRule="auto"/>
        <w:jc w:val="both"/>
        <w:rPr>
          <w:rFonts w:ascii="Times New Roman" w:hAnsi="Times New Roman"/>
          <w:color w:val="000000" w:themeColor="text1"/>
          <w:sz w:val="16"/>
          <w:szCs w:val="16"/>
        </w:rPr>
      </w:pPr>
    </w:p>
    <w:p w14:paraId="5359FE5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E7E77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B23FA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марта 1942 министр внутренних дел Англии Г. Моррисон призвал закрыть газету “Дейли Миррор” за опубликованную там карикатуру по поводу поражений английских войск японцам (4962).</w:t>
      </w:r>
    </w:p>
    <w:p w14:paraId="153FA16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1F18A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5016F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178C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вышел приказ НКАП N 224асс (Казань) "Об ускорении работ по доводке и сдаче самолетов ТБ-7 ВВС" (1543,43).</w:t>
      </w:r>
    </w:p>
    <w:p w14:paraId="2963C5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C76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1937 года закончились предварительные испытания первого опытного самолета АНТ-42, которые проводились без АЦН-2 с 25 декабря 1936 года (7685).</w:t>
      </w:r>
    </w:p>
    <w:p w14:paraId="6EAF69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DDEE3"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 Из отчетного доклада по основной деятельности завода № 230 за 1941 г. – о производственной деятельности и эвакуации завода в г. Казань</w:t>
      </w:r>
    </w:p>
    <w:p w14:paraId="29DC97F0"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 перед заводом были поставлены задачи всемерного развития производства авиационных приборов.</w:t>
      </w:r>
    </w:p>
    <w:p w14:paraId="0EBD942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увеличения объема выпуска оборонной продукции, программа первых трех кварталов 1941 г. обязывала завод освоить в отчетном году выпуск:</w:t>
      </w:r>
    </w:p>
    <w:p w14:paraId="19E86379"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Малогабаритного тахометра ТЭ-22.</w:t>
      </w:r>
    </w:p>
    <w:p w14:paraId="033CD64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Малогабаритных авиационных термометров для масла, воды и воздуха типа ТМЭ-40, ТВЭ-40.</w:t>
      </w:r>
    </w:p>
    <w:p w14:paraId="4FF41F0E"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Нового указателя для газоанализаторов типа ГЭА-51.</w:t>
      </w:r>
    </w:p>
    <w:p w14:paraId="635832B4"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Нового авиационного термометра для цилиндра мотора ТЦТ-9. […]</w:t>
      </w:r>
    </w:p>
    <w:p w14:paraId="499E1355" w14:textId="77777777" w:rsidR="00D27327" w:rsidRPr="008127F8" w:rsidRDefault="00D27327"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Помимо этого</w:t>
      </w:r>
      <w:proofErr w:type="gramEnd"/>
      <w:r w:rsidRPr="008127F8">
        <w:rPr>
          <w:rFonts w:ascii="Times New Roman" w:hAnsi="Times New Roman"/>
          <w:color w:val="000000" w:themeColor="text1"/>
          <w:sz w:val="16"/>
          <w:szCs w:val="16"/>
        </w:rPr>
        <w:t xml:space="preserve"> Главное управление поручило заводу подготовить и организовать серийный выпуск автомата курса - прибора, позволяющего вести самолет к цели по заранее заданному курсу без участия летчика. […]</w:t>
      </w:r>
    </w:p>
    <w:p w14:paraId="50588BF4"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Эвакуация завода была проведена в два срока. В сентябре месяце была начата частичная эвакуация завода и его опытно-конструкторского бюро в г. Казань, где на базе вывезенного оборудования и рабочей силы был организован филиал завода.</w:t>
      </w:r>
      <w:hyperlink r:id="rId81" w:anchor="_ftn1" w:history="1">
        <w:r w:rsidRPr="008127F8">
          <w:rPr>
            <w:rFonts w:ascii="Times New Roman" w:hAnsi="Times New Roman"/>
            <w:color w:val="000000" w:themeColor="text1"/>
            <w:sz w:val="16"/>
            <w:szCs w:val="16"/>
          </w:rPr>
          <w:t>[1]</w:t>
        </w:r>
      </w:hyperlink>
    </w:p>
    <w:p w14:paraId="6FFDF4F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Вторым постановлением правительства от 7 ноября и указания НКАП с 9 октября 1941 г. должна была быть начата и в месячный срок окончена эвакуация остальной части завода на место организованного в г. Казани филиала.</w:t>
      </w:r>
    </w:p>
    <w:p w14:paraId="7CAAB19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очередь завода практически начала эвакуироваться с 5 сентября с. г. и продолжилась 20 дней, закончившись прибытием в г. Казань последнего эшелона 27 сентября 1941 г.</w:t>
      </w:r>
    </w:p>
    <w:p w14:paraId="3B6AF6CC"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Вторая очередь начала эвакуироваться согласно установленного срока, т. е. с 9 октября 1941 г.</w:t>
      </w:r>
    </w:p>
    <w:p w14:paraId="118AB1F9"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Окончание эвакуации завода и его пуск в Казани постановлением правительства определилось месячным сроком.</w:t>
      </w:r>
    </w:p>
    <w:p w14:paraId="10DA6A56"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размерах проделанной заводом работы говорят следующие цифры:</w:t>
      </w:r>
    </w:p>
    <w:p w14:paraId="262E26A8"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Демонтировано 643 и перевезено в Казань 624 единиц оборудования.</w:t>
      </w:r>
    </w:p>
    <w:p w14:paraId="538DC476"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Вывезены почти все материалы, полуфабрикаты и инструментарий.</w:t>
      </w:r>
    </w:p>
    <w:p w14:paraId="00B6BD03"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Вывезено 1369 человек рабочих, служащих и инженерно-технических работников. […]</w:t>
      </w:r>
    </w:p>
    <w:p w14:paraId="7D7DBCE8"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производственной программы заводом в Казани характеризуется следующими данными:</w:t>
      </w:r>
    </w:p>
    <w:p w14:paraId="5BC4FF8D"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плана в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0"/>
        <w:gridCol w:w="1620"/>
        <w:gridCol w:w="1230"/>
        <w:gridCol w:w="1230"/>
        <w:gridCol w:w="1230"/>
      </w:tblGrid>
      <w:tr w:rsidR="008127F8" w:rsidRPr="008127F8" w14:paraId="0CEA7AE7"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2F8C9F90" w14:textId="77777777" w:rsidR="00D27327" w:rsidRPr="008127F8" w:rsidRDefault="00D27327" w:rsidP="001E0A84">
            <w:pPr>
              <w:spacing w:after="0" w:line="240" w:lineRule="auto"/>
              <w:jc w:val="both"/>
              <w:rPr>
                <w:rFonts w:ascii="Times New Roman" w:hAnsi="Times New Roman"/>
                <w:color w:val="000000" w:themeColor="text1"/>
                <w:sz w:val="16"/>
                <w:szCs w:val="16"/>
              </w:rPr>
            </w:pPr>
          </w:p>
        </w:tc>
        <w:tc>
          <w:tcPr>
            <w:tcW w:w="1620" w:type="dxa"/>
            <w:tcBorders>
              <w:top w:val="outset" w:sz="6" w:space="0" w:color="auto"/>
              <w:left w:val="outset" w:sz="6" w:space="0" w:color="auto"/>
              <w:bottom w:val="outset" w:sz="6" w:space="0" w:color="auto"/>
              <w:right w:val="outset" w:sz="6" w:space="0" w:color="auto"/>
            </w:tcBorders>
            <w:hideMark/>
          </w:tcPr>
          <w:p w14:paraId="40D21AE6"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p w14:paraId="575EBD40"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филиалу)</w:t>
            </w:r>
          </w:p>
        </w:tc>
        <w:tc>
          <w:tcPr>
            <w:tcW w:w="1230" w:type="dxa"/>
            <w:tcBorders>
              <w:top w:val="outset" w:sz="6" w:space="0" w:color="auto"/>
              <w:left w:val="outset" w:sz="6" w:space="0" w:color="auto"/>
              <w:bottom w:val="outset" w:sz="6" w:space="0" w:color="auto"/>
              <w:right w:val="outset" w:sz="6" w:space="0" w:color="auto"/>
            </w:tcBorders>
            <w:hideMark/>
          </w:tcPr>
          <w:p w14:paraId="688F15F7"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1230" w:type="dxa"/>
            <w:tcBorders>
              <w:top w:val="outset" w:sz="6" w:space="0" w:color="auto"/>
              <w:left w:val="outset" w:sz="6" w:space="0" w:color="auto"/>
              <w:bottom w:val="outset" w:sz="6" w:space="0" w:color="auto"/>
              <w:right w:val="outset" w:sz="6" w:space="0" w:color="auto"/>
            </w:tcBorders>
            <w:hideMark/>
          </w:tcPr>
          <w:p w14:paraId="544A9D24"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1230" w:type="dxa"/>
            <w:tcBorders>
              <w:top w:val="outset" w:sz="6" w:space="0" w:color="auto"/>
              <w:left w:val="outset" w:sz="6" w:space="0" w:color="auto"/>
              <w:bottom w:val="outset" w:sz="6" w:space="0" w:color="auto"/>
              <w:right w:val="outset" w:sz="6" w:space="0" w:color="auto"/>
            </w:tcBorders>
            <w:hideMark/>
          </w:tcPr>
          <w:p w14:paraId="4D7B43F2"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кв.</w:t>
            </w:r>
          </w:p>
        </w:tc>
      </w:tr>
      <w:tr w:rsidR="008127F8" w:rsidRPr="008127F8" w14:paraId="4E7FCBC2"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1A79972F"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Валовая продукция</w:t>
            </w:r>
          </w:p>
        </w:tc>
        <w:tc>
          <w:tcPr>
            <w:tcW w:w="1620" w:type="dxa"/>
            <w:tcBorders>
              <w:top w:val="outset" w:sz="6" w:space="0" w:color="auto"/>
              <w:left w:val="outset" w:sz="6" w:space="0" w:color="auto"/>
              <w:bottom w:val="outset" w:sz="6" w:space="0" w:color="auto"/>
              <w:right w:val="outset" w:sz="6" w:space="0" w:color="auto"/>
            </w:tcBorders>
            <w:hideMark/>
          </w:tcPr>
          <w:p w14:paraId="45A9A07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89,3</w:t>
            </w:r>
          </w:p>
        </w:tc>
        <w:tc>
          <w:tcPr>
            <w:tcW w:w="1230" w:type="dxa"/>
            <w:tcBorders>
              <w:top w:val="outset" w:sz="6" w:space="0" w:color="auto"/>
              <w:left w:val="outset" w:sz="6" w:space="0" w:color="auto"/>
              <w:bottom w:val="outset" w:sz="6" w:space="0" w:color="auto"/>
              <w:right w:val="outset" w:sz="6" w:space="0" w:color="auto"/>
            </w:tcBorders>
            <w:hideMark/>
          </w:tcPr>
          <w:p w14:paraId="177CFC00"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101,6</w:t>
            </w:r>
          </w:p>
        </w:tc>
        <w:tc>
          <w:tcPr>
            <w:tcW w:w="1230" w:type="dxa"/>
            <w:tcBorders>
              <w:top w:val="outset" w:sz="6" w:space="0" w:color="auto"/>
              <w:left w:val="outset" w:sz="6" w:space="0" w:color="auto"/>
              <w:bottom w:val="outset" w:sz="6" w:space="0" w:color="auto"/>
              <w:right w:val="outset" w:sz="6" w:space="0" w:color="auto"/>
            </w:tcBorders>
            <w:hideMark/>
          </w:tcPr>
          <w:p w14:paraId="30DC4386"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w:t>
            </w:r>
          </w:p>
        </w:tc>
        <w:tc>
          <w:tcPr>
            <w:tcW w:w="1230" w:type="dxa"/>
            <w:tcBorders>
              <w:top w:val="outset" w:sz="6" w:space="0" w:color="auto"/>
              <w:left w:val="outset" w:sz="6" w:space="0" w:color="auto"/>
              <w:bottom w:val="outset" w:sz="6" w:space="0" w:color="auto"/>
              <w:right w:val="outset" w:sz="6" w:space="0" w:color="auto"/>
            </w:tcBorders>
            <w:hideMark/>
          </w:tcPr>
          <w:p w14:paraId="0D173603"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51,9</w:t>
            </w:r>
          </w:p>
        </w:tc>
      </w:tr>
      <w:tr w:rsidR="008127F8" w:rsidRPr="008127F8" w14:paraId="7920193B"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17B8B3EF"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Товарная продукция</w:t>
            </w:r>
          </w:p>
        </w:tc>
        <w:tc>
          <w:tcPr>
            <w:tcW w:w="1620" w:type="dxa"/>
            <w:tcBorders>
              <w:top w:val="outset" w:sz="6" w:space="0" w:color="auto"/>
              <w:left w:val="outset" w:sz="6" w:space="0" w:color="auto"/>
              <w:bottom w:val="outset" w:sz="6" w:space="0" w:color="auto"/>
              <w:right w:val="outset" w:sz="6" w:space="0" w:color="auto"/>
            </w:tcBorders>
            <w:hideMark/>
          </w:tcPr>
          <w:p w14:paraId="23DBA53A"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58,4</w:t>
            </w:r>
          </w:p>
        </w:tc>
        <w:tc>
          <w:tcPr>
            <w:tcW w:w="1230" w:type="dxa"/>
            <w:tcBorders>
              <w:top w:val="outset" w:sz="6" w:space="0" w:color="auto"/>
              <w:left w:val="outset" w:sz="6" w:space="0" w:color="auto"/>
              <w:bottom w:val="outset" w:sz="6" w:space="0" w:color="auto"/>
              <w:right w:val="outset" w:sz="6" w:space="0" w:color="auto"/>
            </w:tcBorders>
            <w:hideMark/>
          </w:tcPr>
          <w:p w14:paraId="3C5E6DE6"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230" w:type="dxa"/>
            <w:tcBorders>
              <w:top w:val="outset" w:sz="6" w:space="0" w:color="auto"/>
              <w:left w:val="outset" w:sz="6" w:space="0" w:color="auto"/>
              <w:bottom w:val="outset" w:sz="6" w:space="0" w:color="auto"/>
              <w:right w:val="outset" w:sz="6" w:space="0" w:color="auto"/>
            </w:tcBorders>
            <w:hideMark/>
          </w:tcPr>
          <w:p w14:paraId="0DAAE38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w:t>
            </w:r>
          </w:p>
        </w:tc>
        <w:tc>
          <w:tcPr>
            <w:tcW w:w="1230" w:type="dxa"/>
            <w:tcBorders>
              <w:top w:val="outset" w:sz="6" w:space="0" w:color="auto"/>
              <w:left w:val="outset" w:sz="6" w:space="0" w:color="auto"/>
              <w:bottom w:val="outset" w:sz="6" w:space="0" w:color="auto"/>
              <w:right w:val="outset" w:sz="6" w:space="0" w:color="auto"/>
            </w:tcBorders>
            <w:hideMark/>
          </w:tcPr>
          <w:p w14:paraId="6FE68242"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w:t>
            </w:r>
          </w:p>
        </w:tc>
      </w:tr>
      <w:tr w:rsidR="008127F8" w:rsidRPr="008127F8" w14:paraId="11534752"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5F74E4FE"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p w14:paraId="2281C828"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оборонная продукция</w:t>
            </w:r>
          </w:p>
        </w:tc>
        <w:tc>
          <w:tcPr>
            <w:tcW w:w="1620" w:type="dxa"/>
            <w:tcBorders>
              <w:top w:val="outset" w:sz="6" w:space="0" w:color="auto"/>
              <w:left w:val="outset" w:sz="6" w:space="0" w:color="auto"/>
              <w:bottom w:val="outset" w:sz="6" w:space="0" w:color="auto"/>
              <w:right w:val="outset" w:sz="6" w:space="0" w:color="auto"/>
            </w:tcBorders>
            <w:hideMark/>
          </w:tcPr>
          <w:p w14:paraId="67E85EE0"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w:t>
            </w:r>
          </w:p>
        </w:tc>
        <w:tc>
          <w:tcPr>
            <w:tcW w:w="1230" w:type="dxa"/>
            <w:tcBorders>
              <w:top w:val="outset" w:sz="6" w:space="0" w:color="auto"/>
              <w:left w:val="outset" w:sz="6" w:space="0" w:color="auto"/>
              <w:bottom w:val="outset" w:sz="6" w:space="0" w:color="auto"/>
              <w:right w:val="outset" w:sz="6" w:space="0" w:color="auto"/>
            </w:tcBorders>
            <w:hideMark/>
          </w:tcPr>
          <w:p w14:paraId="588CA7FE"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82,8</w:t>
            </w:r>
          </w:p>
        </w:tc>
        <w:tc>
          <w:tcPr>
            <w:tcW w:w="1230" w:type="dxa"/>
            <w:tcBorders>
              <w:top w:val="outset" w:sz="6" w:space="0" w:color="auto"/>
              <w:left w:val="outset" w:sz="6" w:space="0" w:color="auto"/>
              <w:bottom w:val="outset" w:sz="6" w:space="0" w:color="auto"/>
              <w:right w:val="outset" w:sz="6" w:space="0" w:color="auto"/>
            </w:tcBorders>
            <w:hideMark/>
          </w:tcPr>
          <w:p w14:paraId="27159557"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1230" w:type="dxa"/>
            <w:tcBorders>
              <w:top w:val="outset" w:sz="6" w:space="0" w:color="auto"/>
              <w:left w:val="outset" w:sz="6" w:space="0" w:color="auto"/>
              <w:bottom w:val="outset" w:sz="6" w:space="0" w:color="auto"/>
              <w:right w:val="outset" w:sz="6" w:space="0" w:color="auto"/>
            </w:tcBorders>
            <w:hideMark/>
          </w:tcPr>
          <w:p w14:paraId="020EEAD3"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w:t>
            </w:r>
          </w:p>
        </w:tc>
      </w:tr>
      <w:tr w:rsidR="008127F8" w:rsidRPr="008127F8" w14:paraId="4E7EDB35"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42E3BDC7"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 ч. по номенклатуре</w:t>
            </w:r>
          </w:p>
        </w:tc>
        <w:tc>
          <w:tcPr>
            <w:tcW w:w="1620" w:type="dxa"/>
            <w:tcBorders>
              <w:top w:val="outset" w:sz="6" w:space="0" w:color="auto"/>
              <w:left w:val="outset" w:sz="6" w:space="0" w:color="auto"/>
              <w:bottom w:val="outset" w:sz="6" w:space="0" w:color="auto"/>
              <w:right w:val="outset" w:sz="6" w:space="0" w:color="auto"/>
            </w:tcBorders>
            <w:hideMark/>
          </w:tcPr>
          <w:p w14:paraId="35F4537C"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30" w:type="dxa"/>
            <w:tcBorders>
              <w:top w:val="outset" w:sz="6" w:space="0" w:color="auto"/>
              <w:left w:val="outset" w:sz="6" w:space="0" w:color="auto"/>
              <w:bottom w:val="outset" w:sz="6" w:space="0" w:color="auto"/>
              <w:right w:val="outset" w:sz="6" w:space="0" w:color="auto"/>
            </w:tcBorders>
            <w:hideMark/>
          </w:tcPr>
          <w:p w14:paraId="79338DDE"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30" w:type="dxa"/>
            <w:tcBorders>
              <w:top w:val="outset" w:sz="6" w:space="0" w:color="auto"/>
              <w:left w:val="outset" w:sz="6" w:space="0" w:color="auto"/>
              <w:bottom w:val="outset" w:sz="6" w:space="0" w:color="auto"/>
              <w:right w:val="outset" w:sz="6" w:space="0" w:color="auto"/>
            </w:tcBorders>
            <w:hideMark/>
          </w:tcPr>
          <w:p w14:paraId="49D664F9"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30" w:type="dxa"/>
            <w:tcBorders>
              <w:top w:val="outset" w:sz="6" w:space="0" w:color="auto"/>
              <w:left w:val="outset" w:sz="6" w:space="0" w:color="auto"/>
              <w:bottom w:val="outset" w:sz="6" w:space="0" w:color="auto"/>
              <w:right w:val="outset" w:sz="6" w:space="0" w:color="auto"/>
            </w:tcBorders>
            <w:hideMark/>
          </w:tcPr>
          <w:p w14:paraId="40EC90E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w:t>
            </w:r>
          </w:p>
        </w:tc>
      </w:tr>
    </w:tbl>
    <w:p w14:paraId="73AC676D"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три месяца своей работы на новом месте завод выпустил авиационных приборов на 4474 тыс. руб., что составляет всего 38 % сентябрьской программы по товарной продукции.</w:t>
      </w:r>
    </w:p>
    <w:p w14:paraId="3808C55F"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Причины неудовлетворительной работы завода в г. Казани:</w:t>
      </w:r>
    </w:p>
    <w:p w14:paraId="4388A241"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Срочность эвакуации завода. […]</w:t>
      </w:r>
    </w:p>
    <w:p w14:paraId="6BC58229"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Опоздание в окончании монтажных работ и пуска цехов завода. […]</w:t>
      </w:r>
    </w:p>
    <w:p w14:paraId="131F43FA"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Неприспособленность здания под производственное помещение.</w:t>
      </w:r>
    </w:p>
    <w:p w14:paraId="317F82A5"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Нарушение связи с заводами-смежниками, что сразу же поставило завод в исключительно трудные условия, учитывая зависимость любой позиции программы от смежных поставок.</w:t>
      </w:r>
    </w:p>
    <w:p w14:paraId="03C3CFF5"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необходимо прибавить совершенно неудовлетворительные поступления основных и вспомогательных материалов.</w:t>
      </w:r>
    </w:p>
    <w:p w14:paraId="0A0D9F95"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Перебои с электроэнергией. […]</w:t>
      </w:r>
    </w:p>
    <w:p w14:paraId="47AFC5BC"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230 Романов</w:t>
      </w:r>
    </w:p>
    <w:p w14:paraId="3D419663" w14:textId="77777777" w:rsidR="00D27327" w:rsidRPr="008127F8" w:rsidRDefault="00D273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РТ. Ф. Р-6015. Оп. 1. Д. 7. Л. 2, 8-14. Отпуск (15494).</w:t>
      </w:r>
    </w:p>
    <w:p w14:paraId="18332CAF" w14:textId="77777777" w:rsidR="00D27327" w:rsidRPr="008127F8" w:rsidRDefault="00D27327" w:rsidP="001E0A84">
      <w:pPr>
        <w:spacing w:after="0" w:line="240" w:lineRule="auto"/>
        <w:jc w:val="both"/>
        <w:rPr>
          <w:rFonts w:ascii="Times New Roman" w:hAnsi="Times New Roman"/>
          <w:color w:val="000000" w:themeColor="text1"/>
          <w:sz w:val="16"/>
          <w:szCs w:val="16"/>
        </w:rPr>
      </w:pPr>
    </w:p>
    <w:p w14:paraId="7E45EB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 марта 1942 г. в ЛИИ НКАП (Казань) заверши</w:t>
      </w:r>
      <w:r w:rsidRPr="008127F8">
        <w:rPr>
          <w:rFonts w:ascii="Times New Roman" w:hAnsi="Times New Roman"/>
          <w:color w:val="000000" w:themeColor="text1"/>
          <w:sz w:val="16"/>
          <w:szCs w:val="16"/>
        </w:rPr>
        <w:softHyphen/>
        <w:t>лись совместные заводские и государственные испыта</w:t>
      </w:r>
      <w:r w:rsidRPr="008127F8">
        <w:rPr>
          <w:rFonts w:ascii="Times New Roman" w:hAnsi="Times New Roman"/>
          <w:color w:val="000000" w:themeColor="text1"/>
          <w:sz w:val="16"/>
          <w:szCs w:val="16"/>
        </w:rPr>
        <w:softHyphen/>
        <w:t>ния И-185. Истребитель с М-71 проходил их по полной программе, а на машине с М-82А проводился только от</w:t>
      </w:r>
      <w:r w:rsidRPr="008127F8">
        <w:rPr>
          <w:rFonts w:ascii="Times New Roman" w:hAnsi="Times New Roman"/>
          <w:color w:val="000000" w:themeColor="text1"/>
          <w:sz w:val="16"/>
          <w:szCs w:val="16"/>
        </w:rPr>
        <w:softHyphen/>
        <w:t>стрел вооружения (три пушки ШВАК) в воздухе. И-185 с мотором М-71 показал очень хорошие летные качества, развивая у земли максимальную скорость 556 км/ч, на первой границе высотности (3400 м) - более 600 км/ч, на второй границе (6175 м) - 630 км/ч. Высоту 5000 м он на</w:t>
      </w:r>
      <w:r w:rsidRPr="008127F8">
        <w:rPr>
          <w:rFonts w:ascii="Times New Roman" w:hAnsi="Times New Roman"/>
          <w:color w:val="000000" w:themeColor="text1"/>
          <w:sz w:val="16"/>
          <w:szCs w:val="16"/>
        </w:rPr>
        <w:softHyphen/>
        <w:t>бирал за 5,2 мин. Достижению более высоких характери</w:t>
      </w:r>
      <w:r w:rsidRPr="008127F8">
        <w:rPr>
          <w:rFonts w:ascii="Times New Roman" w:hAnsi="Times New Roman"/>
          <w:color w:val="000000" w:themeColor="text1"/>
          <w:sz w:val="16"/>
          <w:szCs w:val="16"/>
        </w:rPr>
        <w:softHyphen/>
        <w:t>стик мешала недостаточно надежная работа двигателя. В отчете, подписанном начальником НИИ ВВС КА бригинженером Федоровым, говорилось:</w:t>
      </w:r>
    </w:p>
    <w:p w14:paraId="5B66654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результате совместных заводских и государст</w:t>
      </w:r>
      <w:r w:rsidRPr="008127F8">
        <w:rPr>
          <w:rFonts w:ascii="Times New Roman" w:hAnsi="Times New Roman"/>
          <w:color w:val="000000" w:themeColor="text1"/>
          <w:sz w:val="16"/>
          <w:szCs w:val="16"/>
        </w:rPr>
        <w:softHyphen/>
        <w:t>венных испытаний самолета И-185 с мотором М-71 с по</w:t>
      </w:r>
      <w:r w:rsidRPr="008127F8">
        <w:rPr>
          <w:rFonts w:ascii="Times New Roman" w:hAnsi="Times New Roman"/>
          <w:color w:val="000000" w:themeColor="text1"/>
          <w:sz w:val="16"/>
          <w:szCs w:val="16"/>
        </w:rPr>
        <w:softHyphen/>
        <w:t>летным весом 3480 кг выявлено, что по скорости, скороподъемности, взлетно-посадочным свойствам и технике пилотирования самолет отвечает тактико-тех</w:t>
      </w:r>
      <w:r w:rsidRPr="008127F8">
        <w:rPr>
          <w:rFonts w:ascii="Times New Roman" w:hAnsi="Times New Roman"/>
          <w:color w:val="000000" w:themeColor="text1"/>
          <w:sz w:val="16"/>
          <w:szCs w:val="16"/>
        </w:rPr>
        <w:softHyphen/>
        <w:t>ническим требованиям ВВС Красной Армии.</w:t>
      </w:r>
    </w:p>
    <w:p w14:paraId="02475DB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Запас горючего 342 кг на самолете И-185 с мотором М-71 требует его увеличения до размеров, обеспечиваю</w:t>
      </w:r>
      <w:r w:rsidRPr="008127F8">
        <w:rPr>
          <w:rFonts w:ascii="Times New Roman" w:hAnsi="Times New Roman"/>
          <w:color w:val="000000" w:themeColor="text1"/>
          <w:sz w:val="16"/>
          <w:szCs w:val="16"/>
        </w:rPr>
        <w:softHyphen/>
        <w:t>щих дальность полета при полностью заправленных бензобаках 800 км на скорости 0,9 от максимальной.</w:t>
      </w:r>
    </w:p>
    <w:p w14:paraId="06E3B71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Установленные на самолете И-185 с мотором М-82 три синхронные пушки «ШВАК» калибра 20 мм, про</w:t>
      </w:r>
      <w:r w:rsidRPr="008127F8">
        <w:rPr>
          <w:rFonts w:ascii="Times New Roman" w:hAnsi="Times New Roman"/>
          <w:color w:val="000000" w:themeColor="text1"/>
          <w:sz w:val="16"/>
          <w:szCs w:val="16"/>
        </w:rPr>
        <w:softHyphen/>
        <w:t>шедшие успешно совместные испытания, установить на самолете И-185 с мотором М-71.</w:t>
      </w:r>
    </w:p>
    <w:p w14:paraId="68F38C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Просить Народного Комиссара Авиационной Промышленности дать указания заводам № 33 и № 19 НКАП об обязательной доводке карбюратора для мото</w:t>
      </w:r>
      <w:r w:rsidRPr="008127F8">
        <w:rPr>
          <w:rFonts w:ascii="Times New Roman" w:hAnsi="Times New Roman"/>
          <w:color w:val="000000" w:themeColor="text1"/>
          <w:sz w:val="16"/>
          <w:szCs w:val="16"/>
        </w:rPr>
        <w:softHyphen/>
        <w:t>ра М-71.</w:t>
      </w:r>
    </w:p>
    <w:p w14:paraId="6271567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Считать целесообразным постройку войсковой се</w:t>
      </w:r>
      <w:r w:rsidRPr="008127F8">
        <w:rPr>
          <w:rFonts w:ascii="Times New Roman" w:hAnsi="Times New Roman"/>
          <w:color w:val="000000" w:themeColor="text1"/>
          <w:sz w:val="16"/>
          <w:szCs w:val="16"/>
        </w:rPr>
        <w:softHyphen/>
        <w:t>рии самолетов И-185 с мотором воздушного охлажде</w:t>
      </w:r>
      <w:r w:rsidRPr="008127F8">
        <w:rPr>
          <w:rFonts w:ascii="Times New Roman" w:hAnsi="Times New Roman"/>
          <w:color w:val="000000" w:themeColor="text1"/>
          <w:sz w:val="16"/>
          <w:szCs w:val="16"/>
        </w:rPr>
        <w:softHyphen/>
        <w:t>ния М-71 с тремя синхронными пушками «ШВАК» калибра 20 мм.</w:t>
      </w:r>
    </w:p>
    <w:p w14:paraId="310E2A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Эталонный самолет И-185 с М-71 с 3-мя пушками «ШВАК» калибра 20 мм с увеличенным запасом горюче</w:t>
      </w:r>
      <w:r w:rsidRPr="008127F8">
        <w:rPr>
          <w:rFonts w:ascii="Times New Roman" w:hAnsi="Times New Roman"/>
          <w:color w:val="000000" w:themeColor="text1"/>
          <w:sz w:val="16"/>
          <w:szCs w:val="16"/>
        </w:rPr>
        <w:softHyphen/>
        <w:t>го предъявить в НИИ ВВС Красной Армии не позднее 30.4.42г.» (10667). Еще до получения этого документа по распоряжению Николая Николаевича началось проек</w:t>
      </w:r>
      <w:r w:rsidRPr="008127F8">
        <w:rPr>
          <w:rFonts w:ascii="Times New Roman" w:hAnsi="Times New Roman"/>
          <w:color w:val="000000" w:themeColor="text1"/>
          <w:sz w:val="16"/>
          <w:szCs w:val="16"/>
        </w:rPr>
        <w:softHyphen/>
        <w:t>тирование И-185 с М-71 - эталона для серии. Самолет отличался от ранее выпущенных машин с М-71 фюзеля</w:t>
      </w:r>
      <w:r w:rsidRPr="008127F8">
        <w:rPr>
          <w:rFonts w:ascii="Times New Roman" w:hAnsi="Times New Roman"/>
          <w:color w:val="000000" w:themeColor="text1"/>
          <w:sz w:val="16"/>
          <w:szCs w:val="16"/>
        </w:rPr>
        <w:softHyphen/>
        <w:t>жем и вооружением, выполненными по типу И-185 с мотором М-82А, т.е. с тремя синхронными пушками ШВАК и общим боекомплектом 500 снарядов. В завод</w:t>
      </w:r>
      <w:r w:rsidRPr="008127F8">
        <w:rPr>
          <w:rFonts w:ascii="Times New Roman" w:hAnsi="Times New Roman"/>
          <w:color w:val="000000" w:themeColor="text1"/>
          <w:sz w:val="16"/>
          <w:szCs w:val="16"/>
        </w:rPr>
        <w:softHyphen/>
        <w:t>ской документации его иногда обозначали еще и как И-186. Аэродинамические характеристики машины по</w:t>
      </w:r>
      <w:r w:rsidRPr="008127F8">
        <w:rPr>
          <w:rFonts w:ascii="Times New Roman" w:hAnsi="Times New Roman"/>
          <w:color w:val="000000" w:themeColor="text1"/>
          <w:sz w:val="16"/>
          <w:szCs w:val="16"/>
        </w:rPr>
        <w:softHyphen/>
        <w:t>высили за счет: 1) улучшения обводов самолета по кон</w:t>
      </w:r>
      <w:r w:rsidRPr="008127F8">
        <w:rPr>
          <w:rFonts w:ascii="Times New Roman" w:hAnsi="Times New Roman"/>
          <w:color w:val="000000" w:themeColor="text1"/>
          <w:sz w:val="16"/>
          <w:szCs w:val="16"/>
        </w:rPr>
        <w:softHyphen/>
        <w:t>туру капота (площадь входа в капот уменьшена с 28 дм</w:t>
      </w:r>
      <w:r w:rsidRPr="008127F8">
        <w:rPr>
          <w:rFonts w:ascii="Times New Roman" w:hAnsi="Times New Roman"/>
          <w:color w:val="000000" w:themeColor="text1"/>
          <w:sz w:val="16"/>
          <w:szCs w:val="16"/>
          <w:vertAlign w:val="superscript"/>
        </w:rPr>
        <w:t xml:space="preserve">2 </w:t>
      </w:r>
      <w:r w:rsidRPr="008127F8">
        <w:rPr>
          <w:rFonts w:ascii="Times New Roman" w:hAnsi="Times New Roman"/>
          <w:color w:val="000000" w:themeColor="text1"/>
          <w:sz w:val="16"/>
          <w:szCs w:val="16"/>
        </w:rPr>
        <w:t>до 25 дм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2) сглаживания выступающих в поток частей; 3) «утопления» всасывающего патрубка воздухозабор</w:t>
      </w:r>
      <w:r w:rsidRPr="008127F8">
        <w:rPr>
          <w:rFonts w:ascii="Times New Roman" w:hAnsi="Times New Roman"/>
          <w:color w:val="000000" w:themeColor="text1"/>
          <w:sz w:val="16"/>
          <w:szCs w:val="16"/>
        </w:rPr>
        <w:softHyphen/>
        <w:t>ника в капот; 4) установки жалюзи; 5) удлинения кока; 6) улучшения внутренней герметизации капота про</w:t>
      </w:r>
      <w:r w:rsidRPr="008127F8">
        <w:rPr>
          <w:rFonts w:ascii="Times New Roman" w:hAnsi="Times New Roman"/>
          <w:color w:val="000000" w:themeColor="text1"/>
          <w:sz w:val="16"/>
          <w:szCs w:val="16"/>
        </w:rPr>
        <w:softHyphen/>
        <w:t>кладками (впервые в СССР). После завершения совме</w:t>
      </w:r>
      <w:r w:rsidRPr="008127F8">
        <w:rPr>
          <w:rFonts w:ascii="Times New Roman" w:hAnsi="Times New Roman"/>
          <w:color w:val="000000" w:themeColor="text1"/>
          <w:sz w:val="16"/>
          <w:szCs w:val="16"/>
        </w:rPr>
        <w:softHyphen/>
        <w:t>стных испытаний И-185 Николай Николаевич дал указание немедленно строить один экземпляр «эталона для серии» (10667).</w:t>
      </w:r>
    </w:p>
    <w:p w14:paraId="07808D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0C3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Нач. 11 ГУ И.В.Куликов писал НКАП А.И.Ш. Докладную записку (вход. N 3336) по вопросу работы завода 494 (дир. Н.И.Чеблуков), отмечал неудовлетворительное состояние и предлагал заменить Чеблукова на Г.А.Савельева, б. директора завода 480 в Харькове (2503,1).</w:t>
      </w:r>
    </w:p>
    <w:p w14:paraId="3D5A4E5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НКАП А.И.Ш.</w:t>
      </w:r>
    </w:p>
    <w:p w14:paraId="4C7D471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 записка</w:t>
      </w:r>
    </w:p>
    <w:p w14:paraId="7D1DEA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работа завода № 494 /директор тов. ЧЕБЛУКОВ/</w:t>
      </w:r>
    </w:p>
    <w:p w14:paraId="7FBF7DE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Устно, во время Вашего приема директора завода № 494 тов. ЧЕБЛУКОВА, мною догадывалось о совершенно не удовлетворительной работе завода по выполнению программы 1У кв. 41 г, на весьма серьезное предупреждение сделанное Вами директору завода о необходимости немедленного улучшения работы завода, положение с выполнением плана января и февраля и графика марта месяца завода не улучшалось, а знааительно ухудшилось:</w:t>
      </w:r>
    </w:p>
    <w:p w14:paraId="704CF4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Выполнение плана - по ГР-29 /11-ти местный планер конструкции Грибовского/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98"/>
        <w:gridCol w:w="1980"/>
      </w:tblGrid>
      <w:tr w:rsidR="006F4095" w:rsidRPr="008127F8" w14:paraId="09DDFA09" w14:textId="77777777">
        <w:tc>
          <w:tcPr>
            <w:tcW w:w="1998" w:type="dxa"/>
            <w:tcBorders>
              <w:top w:val="single" w:sz="12" w:space="0" w:color="auto"/>
            </w:tcBorders>
            <w:shd w:val="clear" w:color="auto" w:fill="FFFFFF"/>
          </w:tcPr>
          <w:p w14:paraId="534FDB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tc>
        <w:tc>
          <w:tcPr>
            <w:tcW w:w="1980" w:type="dxa"/>
            <w:tcBorders>
              <w:top w:val="single" w:sz="12" w:space="0" w:color="auto"/>
            </w:tcBorders>
            <w:shd w:val="clear" w:color="auto" w:fill="FFFFFF"/>
          </w:tcPr>
          <w:p w14:paraId="39B257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65ECE9F" w14:textId="77777777">
        <w:tc>
          <w:tcPr>
            <w:tcW w:w="1998" w:type="dxa"/>
            <w:shd w:val="clear" w:color="auto" w:fill="FFFFFF"/>
          </w:tcPr>
          <w:p w14:paraId="23CDDA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tc>
        <w:tc>
          <w:tcPr>
            <w:tcW w:w="1980" w:type="dxa"/>
            <w:shd w:val="clear" w:color="auto" w:fill="FFFFFF"/>
          </w:tcPr>
          <w:p w14:paraId="2B34D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6F4095" w:rsidRPr="008127F8" w14:paraId="0E953BA2" w14:textId="77777777">
        <w:tc>
          <w:tcPr>
            <w:tcW w:w="1998" w:type="dxa"/>
            <w:shd w:val="clear" w:color="auto" w:fill="FFFFFF"/>
          </w:tcPr>
          <w:p w14:paraId="1E2960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w:t>
            </w:r>
          </w:p>
        </w:tc>
        <w:tc>
          <w:tcPr>
            <w:tcW w:w="1980" w:type="dxa"/>
            <w:shd w:val="clear" w:color="auto" w:fill="FFFFFF"/>
          </w:tcPr>
          <w:p w14:paraId="3471D8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r>
      <w:tr w:rsidR="006F4095" w:rsidRPr="008127F8" w14:paraId="515C5B14" w14:textId="77777777">
        <w:tc>
          <w:tcPr>
            <w:tcW w:w="1998" w:type="dxa"/>
            <w:shd w:val="clear" w:color="auto" w:fill="FFFFFF"/>
          </w:tcPr>
          <w:p w14:paraId="0E1D6F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1980" w:type="dxa"/>
            <w:shd w:val="clear" w:color="auto" w:fill="FFFFFF"/>
          </w:tcPr>
          <w:p w14:paraId="1A4482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FD104A" w14:textId="77777777">
        <w:tc>
          <w:tcPr>
            <w:tcW w:w="1998" w:type="dxa"/>
            <w:shd w:val="clear" w:color="auto" w:fill="FFFFFF"/>
          </w:tcPr>
          <w:p w14:paraId="5F1EFA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tc>
        <w:tc>
          <w:tcPr>
            <w:tcW w:w="1980" w:type="dxa"/>
            <w:shd w:val="clear" w:color="auto" w:fill="FFFFFF"/>
          </w:tcPr>
          <w:p w14:paraId="427B65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r>
      <w:tr w:rsidR="006F4095" w:rsidRPr="008127F8" w14:paraId="06A4B215" w14:textId="77777777">
        <w:tc>
          <w:tcPr>
            <w:tcW w:w="1998" w:type="dxa"/>
            <w:shd w:val="clear" w:color="auto" w:fill="FFFFFF"/>
          </w:tcPr>
          <w:p w14:paraId="11669D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w:t>
            </w:r>
          </w:p>
        </w:tc>
        <w:tc>
          <w:tcPr>
            <w:tcW w:w="1980" w:type="dxa"/>
            <w:shd w:val="clear" w:color="auto" w:fill="FFFFFF"/>
          </w:tcPr>
          <w:p w14:paraId="28C0C7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r>
      <w:tr w:rsidR="006F4095" w:rsidRPr="008127F8" w14:paraId="1B9C71F3" w14:textId="77777777">
        <w:tc>
          <w:tcPr>
            <w:tcW w:w="1998" w:type="dxa"/>
            <w:shd w:val="clear" w:color="auto" w:fill="FFFFFF"/>
          </w:tcPr>
          <w:p w14:paraId="775088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c>
          <w:tcPr>
            <w:tcW w:w="1980" w:type="dxa"/>
            <w:shd w:val="clear" w:color="auto" w:fill="FFFFFF"/>
          </w:tcPr>
          <w:p w14:paraId="679A0A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C91330" w14:textId="77777777">
        <w:tc>
          <w:tcPr>
            <w:tcW w:w="1998" w:type="dxa"/>
            <w:shd w:val="clear" w:color="auto" w:fill="FFFFFF"/>
          </w:tcPr>
          <w:p w14:paraId="5BCC42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план на 15.Ш </w:t>
            </w:r>
          </w:p>
        </w:tc>
        <w:tc>
          <w:tcPr>
            <w:tcW w:w="1980" w:type="dxa"/>
            <w:shd w:val="clear" w:color="auto" w:fill="FFFFFF"/>
          </w:tcPr>
          <w:p w14:paraId="4614B7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r>
      <w:tr w:rsidR="006F4095" w:rsidRPr="008127F8" w14:paraId="5DFB1365" w14:textId="77777777">
        <w:tc>
          <w:tcPr>
            <w:tcW w:w="1998" w:type="dxa"/>
            <w:tcBorders>
              <w:bottom w:val="single" w:sz="12" w:space="0" w:color="auto"/>
            </w:tcBorders>
            <w:shd w:val="clear" w:color="auto" w:fill="FFFFFF"/>
          </w:tcPr>
          <w:p w14:paraId="73F1E8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сдано</w:t>
            </w:r>
          </w:p>
        </w:tc>
        <w:tc>
          <w:tcPr>
            <w:tcW w:w="1980" w:type="dxa"/>
            <w:tcBorders>
              <w:bottom w:val="single" w:sz="12" w:space="0" w:color="auto"/>
            </w:tcBorders>
            <w:shd w:val="clear" w:color="auto" w:fill="FFFFFF"/>
          </w:tcPr>
          <w:p w14:paraId="227E2F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bl>
    <w:p w14:paraId="0423F57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Причем за февраль месяц было сдано </w:t>
      </w:r>
      <w:proofErr w:type="gramStart"/>
      <w:r w:rsidRPr="008127F8">
        <w:rPr>
          <w:rFonts w:ascii="Times New Roman" w:hAnsi="Times New Roman"/>
          <w:color w:val="000000" w:themeColor="text1"/>
          <w:sz w:val="16"/>
          <w:szCs w:val="16"/>
        </w:rPr>
        <w:t>9 планеров</w:t>
      </w:r>
      <w:proofErr w:type="gramEnd"/>
      <w:r w:rsidRPr="008127F8">
        <w:rPr>
          <w:rFonts w:ascii="Times New Roman" w:hAnsi="Times New Roman"/>
          <w:color w:val="000000" w:themeColor="text1"/>
          <w:sz w:val="16"/>
          <w:szCs w:val="16"/>
        </w:rPr>
        <w:t xml:space="preserve"> изготовленных еще в январе о которых тов. ЧЕБЛУКОВ докладывал телег</w:t>
      </w:r>
      <w:r w:rsidRPr="008127F8">
        <w:rPr>
          <w:rFonts w:ascii="Times New Roman" w:hAnsi="Times New Roman"/>
          <w:color w:val="000000" w:themeColor="text1"/>
          <w:sz w:val="16"/>
          <w:szCs w:val="16"/>
        </w:rPr>
        <w:softHyphen/>
        <w:t>раммой в феврале 1942 года.</w:t>
      </w:r>
    </w:p>
    <w:p w14:paraId="728BAB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марта месяца находится под угрозой полного срыва.</w:t>
      </w:r>
    </w:p>
    <w:p w14:paraId="733276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494 тоа. ЧЕБЛУКОВ вместо борьбы: за план, за использование имеющегося оборудования, за реали</w:t>
      </w:r>
      <w:r w:rsidRPr="008127F8">
        <w:rPr>
          <w:rFonts w:ascii="Times New Roman" w:hAnsi="Times New Roman"/>
          <w:color w:val="000000" w:themeColor="text1"/>
          <w:sz w:val="16"/>
          <w:szCs w:val="16"/>
        </w:rPr>
        <w:softHyphen/>
        <w:t>зацию выделенного оборудования, техническое обеспечение завода, упорядочение финансового состояния завода допускает:</w:t>
      </w:r>
    </w:p>
    <w:p w14:paraId="71F9CD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Неправильное использование имеющегося металлорежущего оборудования в количестве 47станнов из них 17 тонарно-винтоыфх...</w:t>
      </w:r>
    </w:p>
    <w:p w14:paraId="1755D9F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зарплаты, и несоответствии утвержденных и имеющихся в наличии штатных единиц. Отсюда факты задержки в выдаче зарплаты.</w:t>
      </w:r>
    </w:p>
    <w:p w14:paraId="5398D0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ряд предупреждений Главного управления, со стороны директора ничего не делается, по упорядоченности завода в вопросах финансирования и штатной дисциплины, а так</w:t>
      </w:r>
      <w:r w:rsidRPr="008127F8">
        <w:rPr>
          <w:rFonts w:ascii="Times New Roman" w:hAnsi="Times New Roman"/>
          <w:color w:val="000000" w:themeColor="text1"/>
          <w:sz w:val="16"/>
          <w:szCs w:val="16"/>
        </w:rPr>
        <w:softHyphen/>
        <w:t>же по использованию имеющего иеталлорежущего оборудования. Наоборот после Вашего приема тов. ЧЕБЛУКОВА в моем присутствии и возвращения его на завод пишется ряд тенденциозных, неправильно освещающих положение завода телеграмм, а так же писем на имя тов. МАЛЕНКОВА Г.-М. от 23 февраля, 3 марта и 13 марта /телеграмма/ о завышенной программе /25 планеров в месяц/ недоотаточном фонде зарплаты и прочее написанные в совершенно недопустимом в отношении меня тонах. В тоже время скрывается, что не позднее, как 2 марта с.г. в прилагаемой прог</w:t>
      </w:r>
      <w:r w:rsidRPr="008127F8">
        <w:rPr>
          <w:rFonts w:ascii="Times New Roman" w:hAnsi="Times New Roman"/>
          <w:color w:val="000000" w:themeColor="text1"/>
          <w:sz w:val="16"/>
          <w:szCs w:val="16"/>
        </w:rPr>
        <w:softHyphen/>
        <w:t xml:space="preserve">рамме первого квартала тов. ЧЕБЛУКОВ предлагает утвердить программу на 25 планеров в месяц. В том же духе скрываются фактические начисления по фонду зарплате и фактическое </w:t>
      </w:r>
      <w:proofErr w:type="gramStart"/>
      <w:r w:rsidRPr="008127F8">
        <w:rPr>
          <w:rFonts w:ascii="Times New Roman" w:hAnsi="Times New Roman"/>
          <w:color w:val="000000" w:themeColor="text1"/>
          <w:sz w:val="16"/>
          <w:szCs w:val="16"/>
        </w:rPr>
        <w:t>на-личие</w:t>
      </w:r>
      <w:proofErr w:type="gramEnd"/>
      <w:r w:rsidRPr="008127F8">
        <w:rPr>
          <w:rFonts w:ascii="Times New Roman" w:hAnsi="Times New Roman"/>
          <w:color w:val="000000" w:themeColor="text1"/>
          <w:sz w:val="16"/>
          <w:szCs w:val="16"/>
        </w:rPr>
        <w:t xml:space="preserve"> рабочих, ИТР и служащих за январь и февраль месяц дезор</w:t>
      </w:r>
      <w:r w:rsidRPr="008127F8">
        <w:rPr>
          <w:rFonts w:ascii="Times New Roman" w:hAnsi="Times New Roman"/>
          <w:color w:val="000000" w:themeColor="text1"/>
          <w:sz w:val="16"/>
          <w:szCs w:val="16"/>
        </w:rPr>
        <w:softHyphen/>
        <w:t>ганизуя тем самыйработу Главка и Наркомата.</w:t>
      </w:r>
    </w:p>
    <w:p w14:paraId="28836F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Последняя телеграмма от 13 марта на имя тов. МАЛЕНКОВА Г.М. являющаяся видимо ответом на мое категорическое требование обеспечить выполнение программы марта месяца, навести порядок в штатном расписании и фондах зарплаты по своему содержанию совершенно оскорбительна.</w:t>
      </w:r>
    </w:p>
    <w:p w14:paraId="554DFA4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Действия тов. ЧЕБЛУКОБА направлены к тому, чтобы оправдать свою бездеятельность, провал первого квартала, дис</w:t>
      </w:r>
      <w:r w:rsidRPr="008127F8">
        <w:rPr>
          <w:rFonts w:ascii="Times New Roman" w:hAnsi="Times New Roman"/>
          <w:color w:val="000000" w:themeColor="text1"/>
          <w:sz w:val="16"/>
          <w:szCs w:val="16"/>
        </w:rPr>
        <w:softHyphen/>
        <w:t>кредитировать Главк и наркомат.</w:t>
      </w:r>
    </w:p>
    <w:p w14:paraId="2B874E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Исходя из изложенного прошу Вас для обеспечения нормальной работы завода, а также в целях обеспечения выполнения производственной программы освободить тов. ЧЕБЛУКОВА от обязанности директора завода № 494 и утвердить Директором завлда тов. Савельева Г.А., бывшего директора завода № 480 в г. Харькове (2503,2).</w:t>
      </w:r>
    </w:p>
    <w:p w14:paraId="00D02D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0D12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1E465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68F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вышло Постановление ГКО № 1470 О расширении производства корпусов 82 мм и 120 мм мин на Люберецком заводе имени Ухтомского Наркомата минометного вооружения. РГАНИР, Фонд ГКО, д. 25, лл. 1-6 (11012).</w:t>
      </w:r>
    </w:p>
    <w:p w14:paraId="6C587A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2756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года вышел приказ № 120с НКБ</w:t>
      </w:r>
    </w:p>
    <w:p w14:paraId="570ECD4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приказа НКБ от 30 ноября 1941 года за № 657/с заводу по производству авиавыстрела и орудийных гильз (бывший № 187 А), организованному на базе эвакуированного оборудования заводов №№ 187 и 513 присвоить № 556 и впредь именовать завод № 556 НКБ (5797, 203).</w:t>
      </w:r>
    </w:p>
    <w:p w14:paraId="6DE5127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2A053"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года в приказе по Наркомтанкопрому № 283 говорилось:</w:t>
      </w:r>
    </w:p>
    <w:p w14:paraId="67CD4713"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с отдельных участков фронта поступают рекламации на недоброкачественность броневых деталей сварных башен Т-34, выпускаемых заводом 264.</w:t>
      </w:r>
    </w:p>
    <w:p w14:paraId="492C8336"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17 танках, сданных заводом СТЗ, обнаружены трешины в крышах, днише ниши и боковых листах сварных башен. Это является результатом недостатков технологии производства и отсутствия должной борьбы за качество выпускаемой продукции завода № 264. Предупреждаю и.о. начальника 3-го главного управления т. Хабахнашева и директора завода № 264 т. Кордунер, что выпуск некондиционных корпусов и башен граничит с тяжелым преступлением перед Родиной».</w:t>
      </w:r>
    </w:p>
    <w:p w14:paraId="4BB28A41"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 приказе шел перечень мер по устранению недостатков. Часть из них устранить удалось, а часть нет. Справедливости ради стоит сказать о том, что трещины в корпусах и башнях танков Т-34 окончательно устранить не удалось вплоть до конца войны (12217).</w:t>
      </w:r>
    </w:p>
    <w:p w14:paraId="1B6EBF13" w14:textId="77777777" w:rsidR="007B2819" w:rsidRPr="008127F8" w:rsidRDefault="007B2819" w:rsidP="001E0A84">
      <w:pPr>
        <w:spacing w:after="0" w:line="240" w:lineRule="auto"/>
        <w:jc w:val="both"/>
        <w:rPr>
          <w:rFonts w:ascii="Times New Roman" w:hAnsi="Times New Roman"/>
          <w:color w:val="000000" w:themeColor="text1"/>
          <w:sz w:val="16"/>
          <w:szCs w:val="16"/>
        </w:rPr>
      </w:pPr>
    </w:p>
    <w:p w14:paraId="3373DF30"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w:t>
      </w:r>
    </w:p>
    <w:p w14:paraId="7F45F552"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131 – 132</w:t>
      </w:r>
      <w:r>
        <w:rPr>
          <w:rFonts w:ascii="Times New Roman" w:hAnsi="Times New Roman"/>
          <w:color w:val="000000" w:themeColor="text1"/>
          <w:sz w:val="16"/>
          <w:szCs w:val="16"/>
        </w:rPr>
        <w:t xml:space="preserve">  </w:t>
      </w:r>
    </w:p>
    <w:p w14:paraId="39E15688"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Pr>
          <w:rFonts w:ascii="Times New Roman" w:hAnsi="Times New Roman"/>
          <w:color w:val="000000" w:themeColor="text1"/>
          <w:sz w:val="16"/>
          <w:szCs w:val="16"/>
        </w:rPr>
        <w:t xml:space="preserve">  </w:t>
      </w:r>
    </w:p>
    <w:p w14:paraId="14C1701B"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5BF68756"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1BB2CBAE"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283-Мсс</w:t>
      </w:r>
    </w:p>
    <w:p w14:paraId="353C9918"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w:t>
      </w:r>
    </w:p>
    <w:p w14:paraId="70CA011C"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с отдельных участков фронта поступают рекламации на недоброкачественность броневых деталей сварных башен танка Т-34, выпускаемых заводом № 264. На 17 танках, сданных заводом СТЗ, обнаружены трещины в крышах, днище ниши и боковых листах сварных башен. Это является результатом недостатков технологии производства и отсутствия должной борьбы за качество выпускаемой продукции завода № 264.</w:t>
      </w:r>
      <w:r>
        <w:rPr>
          <w:rFonts w:ascii="Times New Roman" w:hAnsi="Times New Roman"/>
          <w:color w:val="000000" w:themeColor="text1"/>
          <w:sz w:val="16"/>
          <w:szCs w:val="16"/>
        </w:rPr>
        <w:t xml:space="preserve">  </w:t>
      </w:r>
    </w:p>
    <w:p w14:paraId="109995BF"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Предупреждаю и.о. начальника 3-го Главного Управления т. Хабахпашева и директора завода № 264 т. Кордунер, что выпуск некондиционных корпусов и башен граничит с тяжелым преступлением перед родиной.</w:t>
      </w:r>
      <w:r>
        <w:rPr>
          <w:rFonts w:ascii="Times New Roman" w:hAnsi="Times New Roman"/>
          <w:color w:val="000000" w:themeColor="text1"/>
          <w:sz w:val="16"/>
          <w:szCs w:val="16"/>
        </w:rPr>
        <w:t xml:space="preserve">  </w:t>
      </w:r>
    </w:p>
    <w:p w14:paraId="6F127C8D"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r>
        <w:rPr>
          <w:rFonts w:ascii="Times New Roman" w:hAnsi="Times New Roman"/>
          <w:color w:val="000000" w:themeColor="text1"/>
          <w:sz w:val="16"/>
          <w:szCs w:val="16"/>
        </w:rPr>
        <w:t xml:space="preserve">  </w:t>
      </w:r>
    </w:p>
    <w:p w14:paraId="334127F5"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начальника 3-го Главного Управления т. Хабахпашеву и директору завода № 264 т. Кордунер немедленно выявить причины возникновения трещин на бронедеталях танков и привлечь к ответственности виновников по выпуску брака.</w:t>
      </w:r>
      <w:r>
        <w:rPr>
          <w:rFonts w:ascii="Times New Roman" w:hAnsi="Times New Roman"/>
          <w:color w:val="000000" w:themeColor="text1"/>
          <w:sz w:val="16"/>
          <w:szCs w:val="16"/>
        </w:rPr>
        <w:t xml:space="preserve">  </w:t>
      </w:r>
    </w:p>
    <w:p w14:paraId="65A6A9DC"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пятидневный срок провести все необходимые мероприятия по проверке технологического процесса и укреплению технологической дисциплины в цехах и повышению ответственности за контроль качества выпускаемой продукции.</w:t>
      </w:r>
      <w:r>
        <w:rPr>
          <w:rFonts w:ascii="Times New Roman" w:hAnsi="Times New Roman"/>
          <w:color w:val="000000" w:themeColor="text1"/>
          <w:sz w:val="16"/>
          <w:szCs w:val="16"/>
        </w:rPr>
        <w:t xml:space="preserve">  </w:t>
      </w:r>
    </w:p>
    <w:p w14:paraId="45CF3E2E"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Пересмотреть отмену низкого отпуска деталей башни, особенно малых толщин, изготавливаемых из марки ИЗ.</w:t>
      </w:r>
      <w:r>
        <w:rPr>
          <w:rFonts w:ascii="Times New Roman" w:hAnsi="Times New Roman"/>
          <w:color w:val="000000" w:themeColor="text1"/>
          <w:sz w:val="16"/>
          <w:szCs w:val="16"/>
        </w:rPr>
        <w:t xml:space="preserve">  </w:t>
      </w:r>
    </w:p>
    <w:p w14:paraId="3A913BB6"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строгий контроль за марками сталей, идущих на изготовление деталей, не допуская закалки в воде деталей, изготовляемых из марок сталей, предназначенных для закалки в масле.</w:t>
      </w:r>
      <w:r>
        <w:rPr>
          <w:rFonts w:ascii="Times New Roman" w:hAnsi="Times New Roman"/>
          <w:color w:val="000000" w:themeColor="text1"/>
          <w:sz w:val="16"/>
          <w:szCs w:val="16"/>
        </w:rPr>
        <w:t xml:space="preserve">  </w:t>
      </w:r>
    </w:p>
    <w:p w14:paraId="70AC7627"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Не допускать при вырезке деталей огнем острых углов, являющихся очагами трещин, установив за этим специальный контроль.</w:t>
      </w:r>
      <w:r>
        <w:rPr>
          <w:rFonts w:ascii="Times New Roman" w:hAnsi="Times New Roman"/>
          <w:color w:val="000000" w:themeColor="text1"/>
          <w:sz w:val="16"/>
          <w:szCs w:val="16"/>
        </w:rPr>
        <w:t xml:space="preserve">  </w:t>
      </w:r>
    </w:p>
    <w:p w14:paraId="233DA97C"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Сварку наиболее напряженных узлов и контуров производить проверенными электродами.</w:t>
      </w:r>
      <w:r>
        <w:rPr>
          <w:rFonts w:ascii="Times New Roman" w:hAnsi="Times New Roman"/>
          <w:color w:val="000000" w:themeColor="text1"/>
          <w:sz w:val="16"/>
          <w:szCs w:val="16"/>
        </w:rPr>
        <w:t xml:space="preserve">  </w:t>
      </w:r>
    </w:p>
    <w:p w14:paraId="0F9BC281"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 1.IV-1942 г. доложить о принятых мерах по улучшению качества башен и корпусов танка Т-34, а к 20.IV-1942 г. представить отчет о результатах проведенных мероприятий.</w:t>
      </w:r>
      <w:r>
        <w:rPr>
          <w:rFonts w:ascii="Times New Roman" w:hAnsi="Times New Roman"/>
          <w:color w:val="000000" w:themeColor="text1"/>
          <w:sz w:val="16"/>
          <w:szCs w:val="16"/>
        </w:rPr>
        <w:t xml:space="preserve">  </w:t>
      </w:r>
    </w:p>
    <w:p w14:paraId="65819B23"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Зам. начальника Т.О. т. Гинзбург проследить за выполнением приказа и доложить мне о результатах 10 апреля с.г.</w:t>
      </w:r>
    </w:p>
    <w:p w14:paraId="38298A79"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2CB207FE"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44E9726A" w14:textId="77777777" w:rsidR="0006761A" w:rsidRPr="008127F8" w:rsidRDefault="0006761A" w:rsidP="0006761A">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(18599).</w:t>
      </w:r>
    </w:p>
    <w:p w14:paraId="4AD72FDD" w14:textId="77777777" w:rsidR="0006761A" w:rsidRPr="008127F8" w:rsidRDefault="0006761A" w:rsidP="0006761A">
      <w:pPr>
        <w:spacing w:after="0" w:line="240" w:lineRule="auto"/>
        <w:jc w:val="both"/>
        <w:rPr>
          <w:rFonts w:ascii="Times New Roman" w:hAnsi="Times New Roman"/>
          <w:color w:val="000000" w:themeColor="text1"/>
          <w:sz w:val="16"/>
          <w:szCs w:val="16"/>
        </w:rPr>
      </w:pPr>
    </w:p>
    <w:p w14:paraId="02A4FF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вышло Постановление ГКО № 1472 О качестве танков КВ. РГАНИР, Фонд ГКО, д. 25, лл. 8-8об (11012).</w:t>
      </w:r>
    </w:p>
    <w:p w14:paraId="0EDBD2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30FA14"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года в постановлении ГКО № 1472с «О качестве танков КВ» утверждается: «Считать установленным, что в результате запущенности технической документации и отсутствия должного порядка в технологии изготовления коробки перемены передач танка, Кировским заводом, в период октябрь-февраль, было выпущено некоторое количество танков КВ с недоброкачественными коробками перемены передач» (РГАСПИ. Ф. 644. Оп. 1. Д. 25. Л. 8). Но далее проблема фактически рассматривается как решённая, поскольку на Кировском заводе теперь начато производство коробки перемены передач улучшенной конструкции. Теперь остаётся только указать «на неприятие своевременных мер» бывшему директору завода Зальцману и и.о. директора Махонину, а также объявить выговор нескольким руководителям меньшего ранга. Кроме того, надо поставить ГАБТУ 300 новых коробок перемены передач для замены на танках КВ в войсках и на рембазах. Для того, чтобы подобное не повторилось впредь, ГКО считает достаточным «обязать Наркомтанкопром - т. Малышева в месячный срок навести необходимый порядок в технологии и технической документации производства танков КВ и дизелей В -2 и укрепить аппарат отделов технического контроля на заводах». Как видим, понимания всей глубины проблемы у руководства всё ещё нет (12290).</w:t>
      </w:r>
    </w:p>
    <w:p w14:paraId="4BF69214" w14:textId="77777777" w:rsidR="007B2819" w:rsidRPr="008127F8" w:rsidRDefault="007B2819" w:rsidP="001E0A84">
      <w:pPr>
        <w:spacing w:after="0" w:line="240" w:lineRule="auto"/>
        <w:jc w:val="both"/>
        <w:rPr>
          <w:rFonts w:ascii="Times New Roman" w:hAnsi="Times New Roman"/>
          <w:color w:val="000000" w:themeColor="text1"/>
          <w:sz w:val="16"/>
          <w:szCs w:val="16"/>
        </w:rPr>
      </w:pPr>
    </w:p>
    <w:p w14:paraId="4D4EE7AD" w14:textId="77777777" w:rsidR="00894E99" w:rsidRPr="008127F8" w:rsidRDefault="00894E99"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20 марта 1942 года появилось постановление Госу</w:t>
      </w:r>
      <w:r w:rsidRPr="008127F8">
        <w:rPr>
          <w:rFonts w:ascii="Times New Roman" w:cs="Times New Roman"/>
          <w:color w:val="000000" w:themeColor="text1"/>
          <w:spacing w:val="0"/>
        </w:rPr>
        <w:softHyphen/>
        <w:t>дарственного Комитета Обороны № 1472сс «Об улучшении качества танков КВ». Имен</w:t>
      </w:r>
      <w:r w:rsidRPr="008127F8">
        <w:rPr>
          <w:rFonts w:ascii="Times New Roman" w:cs="Times New Roman"/>
          <w:color w:val="000000" w:themeColor="text1"/>
          <w:spacing w:val="0"/>
        </w:rPr>
        <w:softHyphen/>
        <w:t xml:space="preserve">но этот документ и стал отправной точкой в проектировании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Это поста</w:t>
      </w:r>
      <w:r w:rsidRPr="008127F8">
        <w:rPr>
          <w:rFonts w:ascii="Times New Roman" w:cs="Times New Roman"/>
          <w:color w:val="000000" w:themeColor="text1"/>
          <w:spacing w:val="0"/>
        </w:rPr>
        <w:softHyphen/>
        <w:t>новление обязывало руководство ЧКЗ спро</w:t>
      </w:r>
      <w:r w:rsidRPr="008127F8">
        <w:rPr>
          <w:rFonts w:ascii="Times New Roman" w:cs="Times New Roman"/>
          <w:color w:val="000000" w:themeColor="text1"/>
          <w:spacing w:val="0"/>
        </w:rPr>
        <w:softHyphen/>
        <w:t>ектировать и ввести в серийное производ</w:t>
      </w:r>
      <w:r w:rsidRPr="008127F8">
        <w:rPr>
          <w:rFonts w:ascii="Times New Roman" w:cs="Times New Roman"/>
          <w:color w:val="000000" w:themeColor="text1"/>
          <w:spacing w:val="0"/>
        </w:rPr>
        <w:softHyphen/>
        <w:t>ство новую улучшенную коробку перемены передач, а также провести работы по повы</w:t>
      </w:r>
      <w:r w:rsidRPr="008127F8">
        <w:rPr>
          <w:rFonts w:ascii="Times New Roman" w:cs="Times New Roman"/>
          <w:color w:val="000000" w:themeColor="text1"/>
          <w:spacing w:val="0"/>
        </w:rPr>
        <w:softHyphen/>
        <w:t>шению надежности работы главного фрик</w:t>
      </w:r>
      <w:r w:rsidRPr="008127F8">
        <w:rPr>
          <w:rFonts w:ascii="Times New Roman" w:cs="Times New Roman"/>
          <w:color w:val="000000" w:themeColor="text1"/>
          <w:spacing w:val="0"/>
        </w:rPr>
        <w:softHyphen/>
        <w:t>циона, дизельного двигателя В-2К, измене</w:t>
      </w:r>
      <w:r w:rsidRPr="008127F8">
        <w:rPr>
          <w:rFonts w:ascii="Times New Roman" w:cs="Times New Roman"/>
          <w:color w:val="000000" w:themeColor="text1"/>
          <w:spacing w:val="0"/>
        </w:rPr>
        <w:softHyphen/>
        <w:t>нию его системы охлаждения и ряду других механизмов. Сроки исполнения и введения в серию были достаточно жесткие - до 1 мая 1942 года (15226).</w:t>
      </w:r>
    </w:p>
    <w:p w14:paraId="671AAC97" w14:textId="77777777" w:rsidR="00894E99" w:rsidRPr="008127F8" w:rsidRDefault="00894E99" w:rsidP="001E0A84">
      <w:pPr>
        <w:pStyle w:val="27"/>
        <w:shd w:val="clear" w:color="auto" w:fill="auto"/>
        <w:spacing w:after="0" w:line="240" w:lineRule="auto"/>
        <w:ind w:firstLine="0"/>
        <w:rPr>
          <w:rFonts w:ascii="Times New Roman" w:cs="Times New Roman"/>
          <w:color w:val="000000" w:themeColor="text1"/>
          <w:spacing w:val="0"/>
        </w:rPr>
      </w:pPr>
    </w:p>
    <w:p w14:paraId="055C0768" w14:textId="77777777" w:rsidR="0055150C" w:rsidRPr="008127F8" w:rsidRDefault="0055150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 марта 1942 года вышло постановление ГКО №1472, которое обязывало поднять качество устанавливаемых на КВ-1 двигателей и коробок передач. Одновременно были поставлены вопрос о модернизации КПП и создании их новых образцов. Фактически был выполнен лишь пункт по улучшению качества коробок передач и двигателей, по новым же образцам работа шла медленно. Первые 8-скоростные коробки передач вышли на испытания в апреле 1942 года, но их внедрение в серийные танки затягивалось.</w:t>
      </w:r>
    </w:p>
    <w:p w14:paraId="3694DF7F" w14:textId="77777777" w:rsidR="0055150C" w:rsidRPr="008127F8" w:rsidRDefault="0055150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Форсирование работ по новым КПП началось лишь после совещания с участием Сталина, которое состоялось 5 июня 1942 года. Это совещание стало в своем роде отправной точкой для перехода от КВ-1 к КВ-1с. Первый танк с таким индексом, тот самый, на котором отрабатывалась 8-скоростная КПП, впервые вышел на испытания в апреле 1942 года. При этом отличался он не облегченной конструкцией, а более мощным двигателем. Теперь же перед коллективом ЧКЗ встала задача создать глубоко модернизированный КВ-1, который должен был стать более надежным, более быстрым, но лишиться главного козыря тяжелого танка – мощного бронирования. Результаты совещания были оформлены в виде постановление ГКО №1878 «Об улучшении танков КВ», подписанного 5 июня 1942 года (17682).</w:t>
      </w:r>
    </w:p>
    <w:p w14:paraId="084EE641" w14:textId="77777777" w:rsidR="0055150C" w:rsidRPr="008127F8" w:rsidRDefault="0055150C" w:rsidP="001E0A84">
      <w:pPr>
        <w:spacing w:after="0" w:line="240" w:lineRule="auto"/>
        <w:jc w:val="both"/>
        <w:rPr>
          <w:rFonts w:ascii="Times New Roman" w:eastAsia="Times New Roman" w:hAnsi="Times New Roman"/>
          <w:color w:val="000000" w:themeColor="text1"/>
          <w:sz w:val="16"/>
          <w:szCs w:val="16"/>
          <w:lang w:eastAsia="ru-RU"/>
        </w:rPr>
      </w:pPr>
    </w:p>
    <w:p w14:paraId="1AD87530" w14:textId="77777777" w:rsidR="0006761A" w:rsidRPr="008A2E5A" w:rsidRDefault="0006761A" w:rsidP="000676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марта 1942 года вышло постановление ГКО №1472 "О качестве танков КВ". В нем прямо указывалось на запущенность ситуации с коробками передач на ЧКЗ. Еще до того, 16 марта,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w:t>
      </w:r>
    </w:p>
    <w:p w14:paraId="7D146BE7" w14:textId="77777777" w:rsidR="0006761A" w:rsidRPr="008A2E5A" w:rsidRDefault="0006761A" w:rsidP="000676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8-скоростная коробка передач появилась не вдруг. Если перемотать историю на год с лишним назад, то выяснится, что проблема с КПП была и до того. Поэтому для Т-222 (КВ-3) предполагалось изготовить 8-коробку передач, разработанную Н.Ф. Шашмуриным. Дальше она исчезла, поскольку начались движения в стиле "вокзал уходит": упрощенный вариант Т-222, известный как КВ-6, предполагал 5-скоростную КПП, хотя по ней были нарекания еще в 1940 году. Проблемы были не только в качестве, но и по причине выросшей нагрузки. И вот теперь, весной 1942 года, всё это вылезло с новой силой. Помимо выросшей массы танка, стало влиять и снижение качества изготовления, ставшее прямым результатом роста объемов выпуска и перехода на упрощение (23351).</w:t>
      </w:r>
    </w:p>
    <w:p w14:paraId="137C8956" w14:textId="77777777" w:rsidR="0006761A" w:rsidRPr="008A2E5A" w:rsidRDefault="0006761A" w:rsidP="0006761A">
      <w:pPr>
        <w:spacing w:after="0" w:line="240" w:lineRule="auto"/>
        <w:jc w:val="both"/>
        <w:rPr>
          <w:rFonts w:ascii="Times New Roman" w:hAnsi="Times New Roman"/>
          <w:color w:val="0070C0"/>
          <w:sz w:val="16"/>
          <w:szCs w:val="16"/>
        </w:rPr>
      </w:pPr>
    </w:p>
    <w:p w14:paraId="05AD59C4"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К 20 марта 1942, согласно отчету старшего военпреда завода № 200 военинженера 2-го ранга Пестова, на заводе строилось три образца прицепа, получившего индекс ТД-200 (транспорт десантный завода 200):</w:t>
      </w:r>
    </w:p>
    <w:p w14:paraId="665965CE"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и испытание этих трех прицепов будет закончено к 20— 22 марта, после чего они будут направлены с одним из формирующихся на Кировском заводе подразделении, что согласовано с раиинженером.</w:t>
      </w:r>
    </w:p>
    <w:p w14:paraId="0EA3731F"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первых прицепах установлена ходовая часть с танка Т-60, потому что ее легче всего получить и быстрее изготовить прицепы. В дальнейшем необходимо для удешевления прицепа ходовую часть ставить тракторно</w:t>
      </w:r>
      <w:r w:rsidRPr="008127F8">
        <w:rPr>
          <w:rFonts w:ascii="Times New Roman" w:hAnsi="Times New Roman"/>
          <w:color w:val="000000" w:themeColor="text1"/>
          <w:sz w:val="16"/>
          <w:szCs w:val="16"/>
        </w:rPr>
        <w:softHyphen/>
        <w:t>го типа, например СТЗ-ХТЗ.</w:t>
      </w:r>
    </w:p>
    <w:p w14:paraId="2F84133A"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нужно практически проверить целесообразность приня</w:t>
      </w:r>
      <w:r w:rsidRPr="008127F8">
        <w:rPr>
          <w:rFonts w:ascii="Times New Roman" w:hAnsi="Times New Roman"/>
          <w:color w:val="000000" w:themeColor="text1"/>
          <w:sz w:val="16"/>
          <w:szCs w:val="16"/>
        </w:rPr>
        <w:softHyphen/>
        <w:t>тых толщин брони; достаточно ли простых щелей для стрельбы или нуж</w:t>
      </w:r>
      <w:r w:rsidRPr="008127F8">
        <w:rPr>
          <w:rFonts w:ascii="Times New Roman" w:hAnsi="Times New Roman"/>
          <w:color w:val="000000" w:themeColor="text1"/>
          <w:sz w:val="16"/>
          <w:szCs w:val="16"/>
        </w:rPr>
        <w:softHyphen/>
        <w:t>ны шаровые установки; нужны ли приборы наблюдения; какова пропуск</w:t>
      </w:r>
      <w:r w:rsidRPr="008127F8">
        <w:rPr>
          <w:rFonts w:ascii="Times New Roman" w:hAnsi="Times New Roman"/>
          <w:color w:val="000000" w:themeColor="text1"/>
          <w:sz w:val="16"/>
          <w:szCs w:val="16"/>
        </w:rPr>
        <w:softHyphen/>
        <w:t>ная способность люков-лазов, и т.д.</w:t>
      </w:r>
    </w:p>
    <w:p w14:paraId="78E25CED"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своей стороны я считаю, что эти прицепы крайне необходимы Красной Армии и после первых результатов боевых испытаний должно быть организовано их крупносерийное производство, тем более что на бронировку можно использовать имеющийся в Кузнецке и Магнитогорске бронелист с различного рода дефектами и отступлениями по хим- анализу.</w:t>
      </w:r>
    </w:p>
    <w:p w14:paraId="1F13ED88"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я принимаю все от меня зависящее для быстрейшего изготов</w:t>
      </w:r>
      <w:r w:rsidRPr="008127F8">
        <w:rPr>
          <w:rFonts w:ascii="Times New Roman" w:hAnsi="Times New Roman"/>
          <w:color w:val="000000" w:themeColor="text1"/>
          <w:sz w:val="16"/>
          <w:szCs w:val="16"/>
        </w:rPr>
        <w:softHyphen/>
        <w:t>ления, испытания и отправки на фронт этих прицепов»'.</w:t>
      </w:r>
    </w:p>
    <w:p w14:paraId="5A8C3094"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 большинству характеристик опытные образцы соответствова</w:t>
      </w:r>
      <w:r w:rsidRPr="008127F8">
        <w:rPr>
          <w:rFonts w:eastAsia="Calibri"/>
          <w:color w:val="000000" w:themeColor="text1"/>
          <w:sz w:val="16"/>
          <w:szCs w:val="16"/>
        </w:rPr>
        <w:softHyphen/>
        <w:t>ли концепции, выдвинутой Чижиковым. Высадка и посадка десанта осуществлялась через двустворчатые люки на крыше, носовой части, корме, еще один люк предусматривался в днище. Согласно требовани</w:t>
      </w:r>
      <w:r w:rsidRPr="008127F8">
        <w:rPr>
          <w:rFonts w:eastAsia="Calibri"/>
          <w:color w:val="000000" w:themeColor="text1"/>
          <w:sz w:val="16"/>
          <w:szCs w:val="16"/>
        </w:rPr>
        <w:softHyphen/>
        <w:t>ям ГАБТУ, ТД-200 должны были обеспечивать высадку десанта через кормовой люк как в стоячем положении, так и на ходу. Десант распо</w:t>
      </w:r>
      <w:r w:rsidRPr="008127F8">
        <w:rPr>
          <w:rFonts w:eastAsia="Calibri"/>
          <w:color w:val="000000" w:themeColor="text1"/>
          <w:sz w:val="16"/>
          <w:szCs w:val="16"/>
        </w:rPr>
        <w:softHyphen/>
        <w:t>лагался внутри прицепа на скамьях, по 5 человек на каждой. Спере</w:t>
      </w:r>
      <w:r w:rsidRPr="008127F8">
        <w:rPr>
          <w:rFonts w:eastAsia="Calibri"/>
          <w:color w:val="000000" w:themeColor="text1"/>
          <w:sz w:val="16"/>
          <w:szCs w:val="16"/>
        </w:rPr>
        <w:softHyphen/>
        <w:t>ди и сзади были предусмотрены рымы (аналогичные применяемым на КВ-1 с укорочением цилиндрической части), к которым крепилось дышло, цепляемое к танку. Всего ТД-200 имел 10 бойниц для ведения огня: по 3 с бортов, 2 спереди и 2 на корме. Бойницы были сделаны с закрывающимися заслонками.</w:t>
      </w:r>
    </w:p>
    <w:p w14:paraId="4F30841E"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Заводские испытания ТД-200 были начаты 16 апреля. Первые хо</w:t>
      </w:r>
      <w:r w:rsidRPr="008127F8">
        <w:rPr>
          <w:rFonts w:eastAsia="Calibri"/>
          <w:color w:val="000000" w:themeColor="text1"/>
          <w:sz w:val="16"/>
          <w:szCs w:val="16"/>
        </w:rPr>
        <w:softHyphen/>
        <w:t>довые испытания показали, что средняя скорость передвижения ТД- 200 № 1 за КВ-1 составила 16 км/ч. Было пройдено 48 километров, из них 37 километров по булыжному шоссе и 11 километров по проселку. В ходе испытаний отмечалось два случая спадания гусениц: первый раз при движении назад под углом 75 градусов и второй при движении впе</w:t>
      </w:r>
      <w:r w:rsidRPr="008127F8">
        <w:rPr>
          <w:rFonts w:eastAsia="Calibri"/>
          <w:color w:val="000000" w:themeColor="text1"/>
          <w:sz w:val="16"/>
          <w:szCs w:val="16"/>
        </w:rPr>
        <w:softHyphen/>
        <w:t>ред под углом 50 градусов. Кроме того, отмечался слабый натяг гусе</w:t>
      </w:r>
      <w:r w:rsidRPr="008127F8">
        <w:rPr>
          <w:rFonts w:eastAsia="Calibri"/>
          <w:color w:val="000000" w:themeColor="text1"/>
          <w:sz w:val="16"/>
          <w:szCs w:val="16"/>
        </w:rPr>
        <w:softHyphen/>
        <w:t>ничных лент. Отмечалось, что прицеп невозможно отцепить на ходу, клиренс в 30 см оказался недостаточным. Помимо этого выяснилось, что заслонки бойниц можно было открыть с внешней стороны. После испытаний прототип, изначально имевший одностворчатые верхние люки, был переделан, что привело к затягиванию испытаний на месяц. Чижиков, волнуясь за судьбу своего детища, 22 апреля написал оче</w:t>
      </w:r>
      <w:r w:rsidRPr="008127F8">
        <w:rPr>
          <w:rFonts w:eastAsia="Calibri"/>
          <w:color w:val="000000" w:themeColor="text1"/>
          <w:sz w:val="16"/>
          <w:szCs w:val="16"/>
        </w:rPr>
        <w:softHyphen/>
        <w:t>редное письмо Сталину с просьбой посодействовать ускорению работ, впрочем, на ход испытаний это никак не повлияло.</w:t>
      </w:r>
    </w:p>
    <w:p w14:paraId="13495163"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Второй этап испытаний, проходивший с 19 по 25 мая, совпал с уче</w:t>
      </w:r>
      <w:r w:rsidRPr="008127F8">
        <w:rPr>
          <w:rFonts w:eastAsia="Calibri"/>
          <w:color w:val="000000" w:themeColor="text1"/>
          <w:sz w:val="16"/>
          <w:szCs w:val="16"/>
        </w:rPr>
        <w:softHyphen/>
        <w:t>ниями на Челябинском танкодроме. Всего за это время было пройдено 28 километров в условиях бездорожья. В ходе испытаний ТД-200 испы</w:t>
      </w:r>
      <w:r w:rsidRPr="008127F8">
        <w:rPr>
          <w:rFonts w:eastAsia="Calibri"/>
          <w:color w:val="000000" w:themeColor="text1"/>
          <w:sz w:val="16"/>
          <w:szCs w:val="16"/>
        </w:rPr>
        <w:softHyphen/>
        <w:t>тали с полной нагрузкой: в прицеп погрузились 20 бойцов, посадка про</w:t>
      </w:r>
      <w:r w:rsidRPr="008127F8">
        <w:rPr>
          <w:rFonts w:eastAsia="Calibri"/>
          <w:color w:val="000000" w:themeColor="text1"/>
          <w:sz w:val="16"/>
          <w:szCs w:val="16"/>
        </w:rPr>
        <w:softHyphen/>
        <w:t>шла за 60 секунд. Помимо этого, была произведена успешная выгрузка десанта на скорости 4—5 км/ч. Прицеп с полной нагрузкой испытывали на бездорожье: успешно пройдено 2 ямы глубиной 1 метр и 4 ямы глуби</w:t>
      </w:r>
      <w:r w:rsidRPr="008127F8">
        <w:rPr>
          <w:rFonts w:eastAsia="Calibri"/>
          <w:color w:val="000000" w:themeColor="text1"/>
          <w:sz w:val="16"/>
          <w:szCs w:val="16"/>
        </w:rPr>
        <w:softHyphen/>
        <w:t>ной 1,2 метра. Для усложнения задачи между танком и прицепом поло</w:t>
      </w:r>
      <w:r w:rsidRPr="008127F8">
        <w:rPr>
          <w:rFonts w:eastAsia="Calibri"/>
          <w:color w:val="000000" w:themeColor="text1"/>
          <w:sz w:val="16"/>
          <w:szCs w:val="16"/>
        </w:rPr>
        <w:softHyphen/>
        <w:t>жили бревно диаметром 25 см, это препятствие на небольшой скорости было пройдено 2 раза. При прохождении препятствий были погнуты тяги дышла, кроме того, между гусеницей и правой надгусеничной полкой попал камень, который частично прогнул заднюю часть полки.</w:t>
      </w:r>
    </w:p>
    <w:p w14:paraId="7EC3F84F"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Несмотря на такие повреждения, не было за</w:t>
      </w:r>
      <w:r w:rsidRPr="008127F8">
        <w:rPr>
          <w:rFonts w:eastAsia="Calibri"/>
          <w:color w:val="000000" w:themeColor="text1"/>
          <w:sz w:val="16"/>
          <w:szCs w:val="16"/>
        </w:rPr>
        <w:softHyphen/>
        <w:t>фиксировано ни одного случая спадания гусениц. 15 июня заводские испытания завершились. Осмотр ходовой части ТД-200 № 1 показал, что все детали оказались в пределах нормы, таким образом, прицеп вполне успешно прошел заводскую программу. В течение мая были из</w:t>
      </w:r>
      <w:r w:rsidRPr="008127F8">
        <w:rPr>
          <w:rFonts w:eastAsia="Calibri"/>
          <w:color w:val="000000" w:themeColor="text1"/>
          <w:sz w:val="16"/>
          <w:szCs w:val="16"/>
        </w:rPr>
        <w:softHyphen/>
        <w:t>готовлены ТД-200 за номерами 2 и 3, их сдали в начале июня.</w:t>
      </w:r>
    </w:p>
    <w:p w14:paraId="3F19FB7D"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Испытания прошли вполне успешно, однако на этом дело застопо</w:t>
      </w:r>
      <w:r w:rsidRPr="008127F8">
        <w:rPr>
          <w:rFonts w:eastAsia="Calibri"/>
          <w:color w:val="000000" w:themeColor="text1"/>
          <w:sz w:val="16"/>
          <w:szCs w:val="16"/>
        </w:rPr>
        <w:softHyphen/>
        <w:t>рилось. Официального отказа от программы ТД-200 не было, тем не ме</w:t>
      </w:r>
      <w:r w:rsidRPr="008127F8">
        <w:rPr>
          <w:rFonts w:eastAsia="Calibri"/>
          <w:color w:val="000000" w:themeColor="text1"/>
          <w:sz w:val="16"/>
          <w:szCs w:val="16"/>
        </w:rPr>
        <w:softHyphen/>
        <w:t>нее, больше они в переписке не фигурируют. Не исключено, что дело связано с тем, что прицепы оказались чересчур тяжелыми. На совеща</w:t>
      </w:r>
      <w:r w:rsidRPr="008127F8">
        <w:rPr>
          <w:rFonts w:eastAsia="Calibri"/>
          <w:color w:val="000000" w:themeColor="text1"/>
          <w:sz w:val="16"/>
          <w:szCs w:val="16"/>
        </w:rPr>
        <w:softHyphen/>
        <w:t>нии от 27 февраля 1942 года, в котором принимали участие команди</w:t>
      </w:r>
      <w:r w:rsidRPr="008127F8">
        <w:rPr>
          <w:rFonts w:eastAsia="Calibri"/>
          <w:color w:val="000000" w:themeColor="text1"/>
          <w:sz w:val="16"/>
          <w:szCs w:val="16"/>
        </w:rPr>
        <w:softHyphen/>
        <w:t>ры и заместители по технической части 31, 33, 62 и 143 танковых бри</w:t>
      </w:r>
      <w:r w:rsidRPr="008127F8">
        <w:rPr>
          <w:rFonts w:eastAsia="Calibri"/>
          <w:color w:val="000000" w:themeColor="text1"/>
          <w:sz w:val="16"/>
          <w:szCs w:val="16"/>
        </w:rPr>
        <w:softHyphen/>
        <w:t>гад, были приняты тактико-технические требования по бронесаням, необходимым Красной Армии. Согласно этим требованиям, боевая масса прицепа не должна была превышать 5 тонн, а число десантни</w:t>
      </w:r>
      <w:r w:rsidRPr="008127F8">
        <w:rPr>
          <w:rFonts w:eastAsia="Calibri"/>
          <w:color w:val="000000" w:themeColor="text1"/>
          <w:sz w:val="16"/>
          <w:szCs w:val="16"/>
        </w:rPr>
        <w:softHyphen/>
        <w:t>ков составляло 15 человек. ТД-200 с боевой массой в 10 тонн и десан</w:t>
      </w:r>
      <w:r w:rsidRPr="008127F8">
        <w:rPr>
          <w:rFonts w:eastAsia="Calibri"/>
          <w:color w:val="000000" w:themeColor="text1"/>
          <w:sz w:val="16"/>
          <w:szCs w:val="16"/>
        </w:rPr>
        <w:softHyphen/>
        <w:t>том 20 человек явно не вписывался в эти рамки. Такой прицеп можно было перевозить только за тяжелым танком КВ. Кроме того, на судьбу ТД-200 могла повлиять и финансовая сторона вопроса. Согласно дого</w:t>
      </w:r>
      <w:r w:rsidRPr="008127F8">
        <w:rPr>
          <w:rFonts w:eastAsia="Calibri"/>
          <w:color w:val="000000" w:themeColor="text1"/>
          <w:sz w:val="16"/>
          <w:szCs w:val="16"/>
        </w:rPr>
        <w:softHyphen/>
        <w:t>вору между БТУ КА и заводом № 200, общая сумма за три бронеприце- па составила 126 ООО рублей, то есть каждый ТД-200 обошелся в 42 ООО. При том что прицеп предполагалось изготовлять из отходов корпусного производства, такая цена выглядела, мягко говоря, не очень адекватно.</w:t>
      </w:r>
    </w:p>
    <w:p w14:paraId="62D1CFF0"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Помимо ТД-200, в мае 1942 года на заводе № 200 был разработан хи</w:t>
      </w:r>
      <w:r w:rsidRPr="008127F8">
        <w:rPr>
          <w:rFonts w:eastAsia="Calibri"/>
          <w:color w:val="000000" w:themeColor="text1"/>
          <w:sz w:val="16"/>
          <w:szCs w:val="16"/>
        </w:rPr>
        <w:softHyphen/>
        <w:t>мический прицеп, получивший индекс ГХП (гусеничный химический прицеп).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w:t>
      </w:r>
      <w:r w:rsidRPr="008127F8">
        <w:rPr>
          <w:rFonts w:eastAsia="Calibri"/>
          <w:color w:val="000000" w:themeColor="text1"/>
          <w:sz w:val="16"/>
          <w:szCs w:val="16"/>
        </w:rPr>
        <w:softHyphen/>
        <w:t>дило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w:t>
      </w:r>
    </w:p>
    <w:p w14:paraId="262308C0"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конце июня 1942 года проект ГХП рассмотрели в 4-м отделе ГВХУ КА (Главное военно-химическое управление Красной Армии), к 3 июля было готово заключение:</w:t>
      </w:r>
    </w:p>
    <w:p w14:paraId="29136A12"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200 предлагает конструкцию гусеничного химического при</w:t>
      </w:r>
      <w:r w:rsidRPr="008127F8">
        <w:rPr>
          <w:rFonts w:ascii="Times New Roman" w:hAnsi="Times New Roman"/>
          <w:color w:val="000000" w:themeColor="text1"/>
          <w:sz w:val="16"/>
          <w:szCs w:val="16"/>
        </w:rPr>
        <w:softHyphen/>
        <w:t>цепа к танкам «КБ» и «Т-34». ГХП предназначен для заражения мест</w:t>
      </w:r>
      <w:r w:rsidRPr="008127F8">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68D8F07B"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Химическая аппаратура монтируется на прицепах типа десантных, разработанных и изготовленных заводом № 200 в виде опытных образцов.</w:t>
      </w:r>
    </w:p>
    <w:p w14:paraId="658E8482"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консультации с БТУ ГАБТУ КА установлена дефицитность с тра</w:t>
      </w:r>
      <w:r w:rsidRPr="008127F8">
        <w:rPr>
          <w:rFonts w:ascii="Times New Roman" w:hAnsi="Times New Roman"/>
          <w:color w:val="000000" w:themeColor="text1"/>
          <w:sz w:val="16"/>
          <w:szCs w:val="16"/>
        </w:rPr>
        <w:softHyphen/>
        <w:t>ками, качественными сталями для подвесок и подшипников для танко</w:t>
      </w:r>
      <w:r w:rsidRPr="008127F8">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w:t>
      </w:r>
      <w:proofErr w:type="gramStart"/>
      <w:r w:rsidRPr="008127F8">
        <w:rPr>
          <w:rFonts w:ascii="Times New Roman" w:hAnsi="Times New Roman"/>
          <w:color w:val="000000" w:themeColor="text1"/>
          <w:sz w:val="16"/>
          <w:szCs w:val="16"/>
        </w:rPr>
        <w:t>воло- куш</w:t>
      </w:r>
      <w:proofErr w:type="gramEnd"/>
      <w:r w:rsidRPr="008127F8">
        <w:rPr>
          <w:rFonts w:ascii="Times New Roman" w:hAnsi="Times New Roman"/>
          <w:color w:val="000000" w:themeColor="text1"/>
          <w:sz w:val="16"/>
          <w:szCs w:val="16"/>
        </w:rPr>
        <w:t>,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277E69A9"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Химический прицеп-волокуша предполагает более широкое тактиче</w:t>
      </w:r>
      <w:r w:rsidRPr="008127F8">
        <w:rPr>
          <w:rFonts w:ascii="Times New Roman" w:hAnsi="Times New Roman"/>
          <w:color w:val="000000" w:themeColor="text1"/>
          <w:sz w:val="16"/>
          <w:szCs w:val="16"/>
        </w:rPr>
        <w:softHyphen/>
        <w:t>ское применение, чем ГХП.</w:t>
      </w:r>
    </w:p>
    <w:p w14:paraId="37A84A97"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4E4266A9" w14:textId="77777777" w:rsidR="007E272D" w:rsidRPr="008127F8" w:rsidRDefault="007E272D" w:rsidP="001E0A84">
      <w:pPr>
        <w:tabs>
          <w:tab w:val="left" w:pos="54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Предполагаемый гусеничный химический прицеп ввиду дефицитно</w:t>
      </w:r>
      <w:r w:rsidRPr="008127F8">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64693922" w14:textId="77777777" w:rsidR="007E272D" w:rsidRPr="008127F8" w:rsidRDefault="007E272D" w:rsidP="001E0A84">
      <w:pPr>
        <w:tabs>
          <w:tab w:val="left" w:pos="51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33C1C217" w14:textId="77777777" w:rsidR="007E272D" w:rsidRPr="008127F8" w:rsidRDefault="007E272D" w:rsidP="001E0A84">
      <w:pPr>
        <w:pStyle w:val="af"/>
        <w:spacing w:before="0" w:after="0"/>
        <w:jc w:val="both"/>
        <w:rPr>
          <w:color w:val="000000" w:themeColor="text1"/>
          <w:sz w:val="16"/>
          <w:szCs w:val="16"/>
        </w:rPr>
      </w:pPr>
    </w:p>
    <w:p w14:paraId="2B3FC60C"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 20 марта 1942, согласно отчёту старшего военпреда завода №200 военинженера 2-го ранга Пестова, на заводе строились три образца прицепа, получившего индекс ТД-200 (транспорт десантный завода 200):</w:t>
      </w:r>
    </w:p>
    <w:p w14:paraId="489D7E18"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«Изготовление и испытание этих трёх прицепов будет закончено к 20-22 марта, после чего они будут направлены с одним из формирующихся на Кировском заводе подразделений, что согласовано с райинженером.</w:t>
      </w:r>
    </w:p>
    <w:p w14:paraId="5CFB4059"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На первых прицепах установлена ходовая часть с танка Т-60, потому что её легче всего получить и быстрее изготовить прицепы. В дальнейшем необходимо для удешевления прицепа ходовую часть ставить тракторного типа, например, СТЗ-ХТЗ.</w:t>
      </w:r>
    </w:p>
    <w:p w14:paraId="2DE08A2C"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Кроме того, нужно практически проверить целесообразность принятых толщин брони; достаточно ли простых щелей для стрельбы или нужны шаровые установки; нужны ли приборы наблюдения; какова пропускная способность люков-лазов, и т.д.</w:t>
      </w:r>
    </w:p>
    <w:p w14:paraId="1A218CC8"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Со своей стороны, я считаю, что эти прицепы крайне необходимы Красной армии и после первых результатов боевых испытаний должно быть организовано их крупносерийное производство, тем более что на бронировку можно использовать имеющийся в Кузнеце и Магнитогорске бронелист с различного рода дефектами и отступлениями по химанализу.</w:t>
      </w:r>
    </w:p>
    <w:p w14:paraId="1422A37C"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Поэтому я принимаю всё от меня зависящее для быстрейшего изготовления, испытания и отправки на фронт этих прицепов».</w:t>
      </w:r>
    </w:p>
    <w:p w14:paraId="0FE682D3" w14:textId="77777777" w:rsidR="0055150C" w:rsidRPr="008127F8" w:rsidRDefault="0055150C"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По большинству характеристик опытные образцы соответствовали концепции, предложенной Чижиковым. Высадка и посадка десанта осуществлялась через двустворчатые люки на крыше, в носовой части и в корме, ещё один люк предусматривался в днище. Согласно требованиям ГАБТУ, ТД-200 должны были обеспечивать высадку десанта через кормовой люк как в стоячем положении, так и на ходу. Десант располагался внутри прицепа на скамьях, по 5 человек на каждой. Спереди и сзади были предусмотрены рымы (аналогичные применяемым на КВ-1 с укорочением цилиндрической части), к которым крепилось дышло, цепляемое к танку. Всего ТД-200 имел 10 бойниц для ведения огня: по 3 с бортов, 2 спереди и 2 на корме. Бойницы были оборудованы закрывающимися заслонками (17711).</w:t>
      </w:r>
    </w:p>
    <w:p w14:paraId="193583AA" w14:textId="77777777" w:rsidR="0055150C" w:rsidRPr="008127F8" w:rsidRDefault="0055150C" w:rsidP="001E0A84">
      <w:pPr>
        <w:spacing w:after="0" w:line="240" w:lineRule="auto"/>
        <w:jc w:val="both"/>
        <w:rPr>
          <w:rFonts w:ascii="Times New Roman" w:eastAsia="Times New Roman" w:hAnsi="Times New Roman"/>
          <w:color w:val="000000" w:themeColor="text1"/>
          <w:sz w:val="16"/>
          <w:szCs w:val="16"/>
          <w:lang w:eastAsia="ru-RU"/>
        </w:rPr>
      </w:pPr>
    </w:p>
    <w:p w14:paraId="35BF19CA"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 xml:space="preserve">20 марта 1942 года КЭО ГАЗ им. Молотова подготовил документацию по сварной башне </w:t>
      </w:r>
      <w:proofErr w:type="gramStart"/>
      <w:r w:rsidRPr="007155F3">
        <w:rPr>
          <w:rFonts w:ascii="Times New Roman" w:hAnsi="Times New Roman"/>
          <w:color w:val="0070C0"/>
          <w:sz w:val="16"/>
          <w:szCs w:val="16"/>
        </w:rPr>
        <w:t>для Т-70</w:t>
      </w:r>
      <w:proofErr w:type="gramEnd"/>
      <w:r w:rsidRPr="007155F3">
        <w:rPr>
          <w:rFonts w:ascii="Times New Roman" w:hAnsi="Times New Roman"/>
          <w:color w:val="0070C0"/>
          <w:sz w:val="16"/>
          <w:szCs w:val="16"/>
        </w:rPr>
        <w:t xml:space="preserve"> и она стала основной. Что, впрочем, не означало полное исчезновение литых деталей с Т-70. Литыми делали люк механика-водителя, башенный люк и подвижную бронировку орудийной установки (24898).</w:t>
      </w:r>
    </w:p>
    <w:p w14:paraId="7F4D303F" w14:textId="77777777" w:rsidR="00D8717E" w:rsidRPr="007155F3" w:rsidRDefault="00D8717E" w:rsidP="00D8717E">
      <w:pPr>
        <w:spacing w:after="0" w:line="240" w:lineRule="auto"/>
        <w:jc w:val="both"/>
        <w:rPr>
          <w:rFonts w:ascii="Times New Roman" w:hAnsi="Times New Roman"/>
          <w:color w:val="0070C0"/>
          <w:sz w:val="16"/>
          <w:szCs w:val="16"/>
        </w:rPr>
      </w:pPr>
    </w:p>
    <w:p w14:paraId="3508CE4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DDE32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365955"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марта</w:t>
      </w:r>
      <w:r w:rsidRPr="008127F8">
        <w:rPr>
          <w:rFonts w:ascii="Times New Roman" w:hAnsi="Times New Roman"/>
          <w:color w:val="000000" w:themeColor="text1"/>
          <w:sz w:val="16"/>
          <w:szCs w:val="16"/>
        </w:rPr>
        <w:t xml:space="preserve"> в 1942 году утреннее сообщение Совинформбюро:</w:t>
      </w:r>
    </w:p>
    <w:p w14:paraId="000DEBF2"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20 марта на фронте каких-либо существенных изменений не произошло.</w:t>
      </w:r>
    </w:p>
    <w:p w14:paraId="3121632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часть под командованием тов. Чернышёва (Западный фронт) за последние дни боёв захватила 3 немецких орудия, 49 миномётов, 2 противотанковых ружья, 14 пулемётов, 20 автоматов, 249 винтовок, 27 грузовых и 6 легковых машин, 22 мотоцикла, 3 вездехода, 70.000 патронов и 2 склада интендантского имущества. Противник потерял убитыми несколько сот солдат и офицеров.</w:t>
      </w:r>
    </w:p>
    <w:p w14:paraId="68E4B604"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Южного фронта, в боях за два населённых пункта уничтожили около 200 немецко-фашистских захватчиков, подбили 2 вражеских танка и захватили 2 исправных танка, 5 орудий, автоматы и пулемёты. На другом участке наше подразделение прорвалось на хутор, занятый немцами. В завязавшейся схватке наши бойцы окружили и уничтожили 124 вражеских солдата.</w:t>
      </w:r>
    </w:p>
    <w:p w14:paraId="2927947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Лётчики-истребители Пронюшкин и Серёгин вели воздушную разведку над территорией, занятой противником. Неожиданно в воздухе показались 6 немецких самолётов «Мессершмитт-109». Советские лётчики немедленно атаковали вражеские самолёты. Через несколько минут 2 немецких самолёта, объятые пламенем, упали на землю. Затем наши лётчики сбили ещё один вражеский самолёт. Остальные самолёты противника поспешили скрыться.</w:t>
      </w:r>
    </w:p>
    <w:p w14:paraId="6E76767C"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Партизаны из отрядов т.т. В. и О., действующих в одном из районов Ленинградской области, оккупированных гитлеровцами, заметили </w:t>
      </w:r>
      <w:proofErr w:type="gramStart"/>
      <w:r w:rsidRPr="008127F8">
        <w:rPr>
          <w:rFonts w:ascii="Times New Roman" w:hAnsi="Times New Roman"/>
          <w:color w:val="000000" w:themeColor="text1"/>
          <w:sz w:val="16"/>
          <w:szCs w:val="16"/>
        </w:rPr>
        <w:t>низко летящий</w:t>
      </w:r>
      <w:proofErr w:type="gramEnd"/>
      <w:r w:rsidRPr="008127F8">
        <w:rPr>
          <w:rFonts w:ascii="Times New Roman" w:hAnsi="Times New Roman"/>
          <w:color w:val="000000" w:themeColor="text1"/>
          <w:sz w:val="16"/>
          <w:szCs w:val="16"/>
        </w:rPr>
        <w:t xml:space="preserve"> немецкий бомбардировщик. Бойцы открыли по нему групповой огонь. После нескольких залпов самолёт был подбит и совершил вынужденную посадку. Во время перестрелки с экипажем самолёта партизаны уничтожили оказавших сопротивление 5 лётчиков. Шестой немецкий лётчик успел скрыться в лесу. Об этом было оповещено всё население сёл и деревень. Когда закоченевший немецкий лётчик зашёл в одну из деревень, он был сразу же схвачен колхозниками и доставлен в штаб партизанского отряда.</w:t>
      </w:r>
    </w:p>
    <w:p w14:paraId="51AC5F2B"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 роты 558 полка 331 немецкой пехотной дивизии Карл Рихтер рассказал: «331 дивизия формировалась в Кенигсбрюкке. Недавно наш батальон отправили на фронт. Когда мы прибыли к месту назначения, во 2 роте насчитывалось около 50 обмороженных солдат. В первом же ночном бою наша рота разбежалась. Я объясняю это тем, что люди были плохо обучены. Дисциплина тоже была неважная, хотя командир роты постоянно угрожал нам расстрелом».</w:t>
      </w:r>
    </w:p>
    <w:p w14:paraId="5CCBD2A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Иозеф Альброс писал 22 февраля на родину: «Наш полк при поддержке артиллерии несколько раз пытался атаковать неприятельские позиции, но русские при помощи танков вывели из строя наши пушки. За два дня один из наших батальонов потерял 170 солдат. Не достигнув успеха и потеряв много своих товарищей, мы вынуждены были отступить».</w:t>
      </w:r>
    </w:p>
    <w:p w14:paraId="125D4F4D"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ныне освобождённого от немецких захватчиков села Кривые Луки, Сталинской области, составили акт о зверских преступлениях гитлеровских бандитов. В акте говорится, что за время своего пребывания в селе немцы сожгли 47 общественных зданий и домов колхозников, забрали весь скот, продукты, тёплые вещи и постельное бельё. Гитлеровцы зверски замучили колхозника Лаценко Артёма Тимофеевича — 70 лет, Захаренко Ульяну Кузьминичну — 17 лет, Цыбульника Фёдора — 14 лет и Марченко Татьяну — 16 лет. При отступлении из села немцы сожгли десять стариков и женщин с малыми детьми. Акт подписали колхозники: Д.Ткаченко, Н.Шемегонова, А.Приименко, А.Сопрунов, М.Сопрунов, Л.Корсун, И.Ивченко и другие. Всего 18 подписей.</w:t>
      </w:r>
    </w:p>
    <w:p w14:paraId="20B7EF67"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Югославские патриоты совершили в последнее время несколько нападений на итальянские отряды, посланные для борьбы с партизанами. В течение десяти дней марта югославские партизаны уничтожили около городов Вальево, Шабац и Осечина до 400 итальянских солдат и офицеров. В руки партизан попали обозы с оружием и боеприпасами, 13 итальянских солдат с оружием в руках перешли на сторону партизан.</w:t>
      </w:r>
    </w:p>
    <w:p w14:paraId="4B67FF42"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судоремонтном заводе имени Урицкого кузнец тов. Зельбухаров, выполняя оборонный заказ, дал за смену 4.600 процентов нормы. На этом же заводе котельщик тов. Богаев предложил производить вальцовку одной детали новым способом, что в восемь раз увеличило производительность труда при обработке этой детали.» (15074).</w:t>
      </w:r>
    </w:p>
    <w:p w14:paraId="6FB873B2" w14:textId="77777777" w:rsidR="00894E99" w:rsidRPr="008127F8" w:rsidRDefault="00894E99" w:rsidP="001E0A84">
      <w:pPr>
        <w:spacing w:after="0" w:line="240" w:lineRule="auto"/>
        <w:jc w:val="both"/>
        <w:rPr>
          <w:rFonts w:ascii="Times New Roman" w:hAnsi="Times New Roman"/>
          <w:color w:val="000000" w:themeColor="text1"/>
          <w:sz w:val="16"/>
          <w:szCs w:val="16"/>
        </w:rPr>
      </w:pPr>
    </w:p>
    <w:p w14:paraId="123B6303"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марта</w:t>
      </w:r>
      <w:r w:rsidRPr="008127F8">
        <w:rPr>
          <w:rFonts w:ascii="Times New Roman" w:hAnsi="Times New Roman"/>
          <w:color w:val="000000" w:themeColor="text1"/>
          <w:sz w:val="16"/>
          <w:szCs w:val="16"/>
        </w:rPr>
        <w:t xml:space="preserve"> в 1942 году вечернее сообщение Совинформбюро:</w:t>
      </w:r>
    </w:p>
    <w:p w14:paraId="0B521A92"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20 марта на некоторых участках фронта наши войска вели наступательные бои против немецко-фашистских войск и нанесли им большой урон.</w:t>
      </w:r>
    </w:p>
    <w:p w14:paraId="67D21A85"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 марта уничтожено 37 самолётов противника. Наши потери — 14 самолётов.</w:t>
      </w:r>
    </w:p>
    <w:p w14:paraId="02504519"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марта под Москвой уничтожено 6 немецких самолетов.</w:t>
      </w:r>
    </w:p>
    <w:p w14:paraId="5C778F52"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 марта частями нашей авиации уничтожено и повреждено 8 немецких танков, 53 орудия, 12 зенитно-пулемётных точек, 68 миномётов, 170 автомашин с войсками и грузами, 20 повозок с боеприпасами, 5 автоцистерн с горючим, взорван склад с боеприпасами, разрушено 16 железнодорожных вагонов, рассеяно и частью уничтожено до 2 батальонов пехоты противника.</w:t>
      </w:r>
    </w:p>
    <w:p w14:paraId="71C2225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действующая на Калининском фронте, выбила противника из трёх населённых пунктов. В бою уничтожено свыше 200 вражеских солдат и офицеров. Захвачены трофеи: 2 орудия, 11 пулеметов, 12 автоматов, 10.000 патронов, винтовки, мины, ручные гранаты, и другое вооружение. На другом участке часть, где командиром тов. Кроник, в бою у деревни С. уничтожила 520 гитлеровцев. Захвачены трофеи и пленные.</w:t>
      </w:r>
    </w:p>
    <w:p w14:paraId="3FAB72FD"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6 наших истребителей встретили 25 вражеских самолётов. Советские лётчики бесстрашно бросились на врага. Воздушный бой длился 18 минут. Лётчик майор тов. Букалов сбил два немецких самолёта, лейтенант тов. Рыков — один самолёт. Все наши шесть истребителей благополучно возвратились на свой аэродром.</w:t>
      </w:r>
    </w:p>
    <w:p w14:paraId="2F672D9A"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наша разведка обнаружила в лесу группу немецких солдат 3 батальона 513 немецкого полка в количестве 45 человек. Все они, не оказав сопротивления, сдались в плен, передав разведчикам пропуска-листовки «Приказ товарища Сталина № 55», винтовки и боеприпасы. Пленные рассказали, что во время боя они сознательно отделились от своей части, чтобы сдаться в плен.</w:t>
      </w:r>
    </w:p>
    <w:p w14:paraId="244D30AF"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деревню Е. наводчик тов. Виноградов метким огнём из своего орудия уничтожил немецкий крупнокалиберный миномёт, 2 противотанковых орудия, разгромил наблюдательный пункт противника и взорвал склад с боеприпасами.</w:t>
      </w:r>
    </w:p>
    <w:p w14:paraId="405164D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Сержант сапёрной роты Ф.В.Кулишев за пять дней обнаружил и обезвредил 500 неприятельских мин.</w:t>
      </w:r>
    </w:p>
    <w:p w14:paraId="0D967FF3"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действует в тылу противника, на оккупированной территории Ленинградской области, партизанский отряд под командованием тов. И. За время боевой деятельности партизаны истребили 627 немецких солдат, 22 офицера, в том числе одного полковника. Кроме того, отряд партизан взорвал 3 склада с боеприпасами, уничтожил 70 автомашин с разными грузами и ружейно-пулемётным огнём сбил один немецкий самолёт.</w:t>
      </w:r>
    </w:p>
    <w:p w14:paraId="61B739B5"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 нашу сторону перешёл немецкий унтер-офицер Эрхард Беемэ. Перебежчик рассказал: «Наш батальон укомплектован солдатами, переброшенными на советско-германский фронт из Франции. Меня зачислили в 8 роту. В ней я застал всего 50 человек. С 27 февраля по 7 марта в нашей роте убито и ранено 25 человек. 7 марта я нашёл и прочитал советскую листовку, в которой было напечатано обращение первой конференции немецких военнопленных в СССР. Подумав, я решил сдаться в плен, что и сделал при первой возможности».</w:t>
      </w:r>
    </w:p>
    <w:p w14:paraId="4D2DC9F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Почти во всех письмах и дневниках убитых немецких солдат и офицеров имеется запись о грабежах и зверствах, чинимых гитлеровцами в советских городах и сёлах, временно ими оккупированных. Так, солдат 190 полка 62 немецкой пехотной дивизии Роберт Вагнер писал своей жене: «Вчера мы нашли картошку. Теперь можно что-нибудь кушать... Хорошо было бы достать чего-нибудь к картошке. Но в селе уже не найдёшь и хвоста от коровы, не говоря уже о свинье. Наши солдаты уже поели всё без остатка».</w:t>
      </w:r>
    </w:p>
    <w:p w14:paraId="70A8FFAF"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деревень Знаменка и Черкасская, Сталинской области, гитлеровцы сожгли 675 домов из 750. Немецко-фашистские изверги расстреляли 30 стариков и инвалидов. Многих жителей немцы загнали в вагоны и пытались их взорвать, но не успели. Убегая, они открыли по вагонам огонь из пулемётов. Убито и ранено большое количество колхозников.</w:t>
      </w:r>
    </w:p>
    <w:p w14:paraId="1E65D450" w14:textId="77777777" w:rsidR="00894E99" w:rsidRPr="008127F8" w:rsidRDefault="00894E99"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На Энском заводе в Баку стахановцы Волошко, Исмаилов и Донецко добились значительного успеха в сборке и выпуске вооружения. В течение 15 дней они дали столько вооружения, сколько выпускалось раньше за 45 дней. Бригадаэтихстахановцевперевыполнилапланпервогоквартала</w:t>
      </w:r>
      <w:r w:rsidRPr="008127F8">
        <w:rPr>
          <w:rFonts w:ascii="Times New Roman" w:hAnsi="Times New Roman"/>
          <w:color w:val="000000" w:themeColor="text1"/>
          <w:sz w:val="16"/>
          <w:szCs w:val="16"/>
          <w:lang w:val="en-US"/>
        </w:rPr>
        <w:t>.» (15074).</w:t>
      </w:r>
    </w:p>
    <w:p w14:paraId="438EBEBB" w14:textId="77777777" w:rsidR="00894E99" w:rsidRPr="008127F8" w:rsidRDefault="00894E99" w:rsidP="001E0A84">
      <w:pPr>
        <w:spacing w:after="0" w:line="240" w:lineRule="auto"/>
        <w:jc w:val="both"/>
        <w:rPr>
          <w:rFonts w:ascii="Times New Roman" w:hAnsi="Times New Roman"/>
          <w:color w:val="000000" w:themeColor="text1"/>
          <w:sz w:val="16"/>
          <w:szCs w:val="16"/>
          <w:lang w:val="en-US"/>
        </w:rPr>
      </w:pPr>
    </w:p>
    <w:p w14:paraId="5637D2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20th, 1942: The Soiet offensive at Kerch in the Crimea is defeated with heavy losses to the Soviets (3819).</w:t>
      </w:r>
    </w:p>
    <w:p w14:paraId="368870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4B2D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советское наступление в Керчи было разгромлено с большими потерями КА (3819).</w:t>
      </w:r>
    </w:p>
    <w:p w14:paraId="7E2BA3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DF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вышло Постановление ГКО № 1471 О сформировании 25 минометных артиллерийских полков Резерва Верховного Главного Командования. РГАНИР, Фонд ГКО, д. 25, лл. 7-7об (11012).</w:t>
      </w:r>
    </w:p>
    <w:p w14:paraId="5E2ADE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530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вышло Постановление ГКО № 1473 О выделении продовольственных пайков для вновь принятых в состав Красной Армии национальных дивизий и полков. РГАНИР, Фонд ГКО, д. 25, лл. 9 (11012).</w:t>
      </w:r>
    </w:p>
    <w:p w14:paraId="1B0287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0170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34F9D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4F19A0"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марта</w:t>
      </w:r>
      <w:r w:rsidRPr="008127F8">
        <w:rPr>
          <w:rFonts w:ascii="Times New Roman" w:hAnsi="Times New Roman"/>
          <w:color w:val="000000" w:themeColor="text1"/>
          <w:sz w:val="16"/>
          <w:szCs w:val="16"/>
        </w:rPr>
        <w:t xml:space="preserve"> в 1942 году был облетан японский истребитель-перехватчик </w:t>
      </w:r>
      <w:hyperlink r:id="rId82" w:tgtFrame="_blank" w:history="1">
        <w:r w:rsidRPr="008127F8">
          <w:rPr>
            <w:rFonts w:ascii="Times New Roman" w:hAnsi="Times New Roman"/>
            <w:color w:val="000000" w:themeColor="text1"/>
            <w:sz w:val="16"/>
            <w:szCs w:val="16"/>
          </w:rPr>
          <w:t xml:space="preserve">«Mitsubishi» «J2M» «Raiden» </w:t>
        </w:r>
      </w:hyperlink>
      <w:r w:rsidRPr="008127F8">
        <w:rPr>
          <w:rFonts w:ascii="Times New Roman" w:hAnsi="Times New Roman"/>
          <w:color w:val="000000" w:themeColor="text1"/>
          <w:sz w:val="16"/>
          <w:szCs w:val="16"/>
        </w:rPr>
        <w:t>под управлением пилота-испытателя Мицубиси Кацузо Симо. Испытания почти сразу были прерваны изза технических проблем. Основные стойки шасси первоначально совершенно невозможно было убрать на скорости выше 160 км/ч. В результате стойки дважды переделывались. Тем не менее самолет оказался устойчивым в полете и хорошо управлялся, и флот решил перевести его испытания на базу флота в Сузуке. Полеты войсковых пилотов привели к тем же неприятным выводом, которые сделали еще испытатели фирмы: добавилось только еще одно - плохой обзор из-под низкого фонаря. Механизм изменения шага винта был ненадежным, скорость и скороподъемность оказались ниже задания, а обзор был признан недостаточным. Флот потребовал по результатам испытаний существенно доработать четвертый опытный самолет (15074).</w:t>
      </w:r>
    </w:p>
    <w:p w14:paraId="5596F660" w14:textId="77777777" w:rsidR="00894E99" w:rsidRPr="008127F8" w:rsidRDefault="00894E99" w:rsidP="001E0A84">
      <w:pPr>
        <w:spacing w:after="0" w:line="240" w:lineRule="auto"/>
        <w:jc w:val="both"/>
        <w:rPr>
          <w:rFonts w:ascii="Times New Roman" w:hAnsi="Times New Roman"/>
          <w:color w:val="000000" w:themeColor="text1"/>
          <w:sz w:val="16"/>
          <w:szCs w:val="16"/>
        </w:rPr>
      </w:pPr>
    </w:p>
    <w:p w14:paraId="38C45ED8" w14:textId="77777777" w:rsidR="009D206F" w:rsidRPr="008127F8" w:rsidRDefault="009D20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года состоялся первый полет Mitsubishi J2M Raiden («Тандерболт»), союзное имя «Джек» (20793).</w:t>
      </w:r>
    </w:p>
    <w:p w14:paraId="60774C40" w14:textId="77777777" w:rsidR="009D206F" w:rsidRPr="008127F8" w:rsidRDefault="009D206F" w:rsidP="001E0A84">
      <w:pPr>
        <w:spacing w:after="0" w:line="240" w:lineRule="auto"/>
        <w:jc w:val="both"/>
        <w:rPr>
          <w:rFonts w:ascii="Times New Roman" w:hAnsi="Times New Roman"/>
          <w:color w:val="000000" w:themeColor="text1"/>
          <w:sz w:val="16"/>
          <w:szCs w:val="16"/>
        </w:rPr>
      </w:pPr>
    </w:p>
    <w:p w14:paraId="5BB50D8A" w14:textId="77CEEFAC" w:rsidR="009D206F" w:rsidRPr="008127F8" w:rsidRDefault="009D20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Был облетан японский истребитель-перехватчик Mitsubishi J2M Raiden под управлением пилота-испытателя Мицубиси Кацузо Симо. Испытания почти сразу были прерваны изза технических проблем. Основные стойки шасси первоначально совершенно невозможно было убрать на скорости выше 160 км/ч. В результате стойки дважды переделывались. Тем не менее самолет оказался устойчивым в полете и хорошо управлялся, и флот решил перевести его испытания на базу флота в Сузуке. Полеты войсковых пилотов привели к тем же неприятным выводом, которые сделали еще испытатели фирмы: добавилось только еще одно - плохой обзор из-под низкого фонаря. Механизм изменения шага винта был ненадежным, скорость и скороподъемность оказались ниже задания, а обзор был признан недостаточным. Флот потребовал по результатам испытаний существенно доработать четвертый опытный самолет. После доработок в октябре 1942 г самолет был запущен в серию под обозначением "морской истребитель-перехватчик "Рейден" (Гром) модель II" (22562).</w:t>
      </w:r>
    </w:p>
    <w:p w14:paraId="4BD53C40" w14:textId="77777777" w:rsidR="009D206F" w:rsidRPr="008127F8" w:rsidRDefault="009D206F" w:rsidP="001E0A84">
      <w:pPr>
        <w:spacing w:after="0" w:line="240" w:lineRule="auto"/>
        <w:jc w:val="both"/>
        <w:rPr>
          <w:rFonts w:ascii="Times New Roman" w:hAnsi="Times New Roman"/>
          <w:color w:val="000000" w:themeColor="text1"/>
          <w:sz w:val="16"/>
          <w:szCs w:val="16"/>
        </w:rPr>
      </w:pPr>
    </w:p>
    <w:p w14:paraId="1B76A64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марта</w:t>
      </w:r>
      <w:r w:rsidRPr="008127F8">
        <w:rPr>
          <w:rFonts w:ascii="Times New Roman" w:hAnsi="Times New Roman"/>
          <w:color w:val="000000" w:themeColor="text1"/>
          <w:sz w:val="16"/>
          <w:szCs w:val="16"/>
        </w:rPr>
        <w:t xml:space="preserve"> в 1942 году состоялся первый полет летающей лодки </w:t>
      </w:r>
      <w:hyperlink r:id="rId83" w:tgtFrame="_blank" w:history="1">
        <w:r w:rsidRPr="008127F8">
          <w:rPr>
            <w:rFonts w:ascii="Times New Roman" w:hAnsi="Times New Roman"/>
            <w:color w:val="000000" w:themeColor="text1"/>
            <w:sz w:val="16"/>
            <w:szCs w:val="16"/>
          </w:rPr>
          <w:t xml:space="preserve">«Potez-CAMS 161», </w:t>
        </w:r>
      </w:hyperlink>
      <w:r w:rsidRPr="008127F8">
        <w:rPr>
          <w:rFonts w:ascii="Times New Roman" w:hAnsi="Times New Roman"/>
          <w:color w:val="000000" w:themeColor="text1"/>
          <w:sz w:val="16"/>
          <w:szCs w:val="16"/>
        </w:rPr>
        <w:t>но уже с немецким регистрационным кодом «VE+WW». После завершения заводских испытаний «CAMS 161» отправили на озеро Констанс, где в компании с «SE 200» и «Late 631» он окончил свою недолгую жизнь под бомбами союзников (15074).</w:t>
      </w:r>
    </w:p>
    <w:p w14:paraId="31D4DC3D" w14:textId="77777777" w:rsidR="00894E99" w:rsidRPr="008127F8" w:rsidRDefault="00894E99" w:rsidP="001E0A84">
      <w:pPr>
        <w:spacing w:after="0" w:line="240" w:lineRule="auto"/>
        <w:jc w:val="both"/>
        <w:rPr>
          <w:rFonts w:ascii="Times New Roman" w:hAnsi="Times New Roman"/>
          <w:color w:val="000000" w:themeColor="text1"/>
          <w:sz w:val="16"/>
          <w:szCs w:val="16"/>
        </w:rPr>
      </w:pPr>
    </w:p>
    <w:p w14:paraId="765A8FE3" w14:textId="46BAC47C" w:rsidR="00DC1499" w:rsidRPr="008127F8" w:rsidRDefault="00DC14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Состоялся первый полет летающей лодки Potez-CAMS 161, но уже с немецким регистрационным кодом VE+WW. В воздух ее поднял сам директор и главный инженер компании Морис Юрель. После завершения заводских испытаний CAMS 161 отправили на озеро Констанс, где в компании с SE 200 и Late 631 он окончил свою недолгую жизнь под бомбами союзников (22562).</w:t>
      </w:r>
    </w:p>
    <w:p w14:paraId="0B4EE889" w14:textId="77777777" w:rsidR="00DC1499" w:rsidRPr="008127F8" w:rsidRDefault="00DC1499" w:rsidP="001E0A84">
      <w:pPr>
        <w:spacing w:after="0" w:line="240" w:lineRule="auto"/>
        <w:jc w:val="both"/>
        <w:rPr>
          <w:rFonts w:ascii="Times New Roman" w:hAnsi="Times New Roman"/>
          <w:color w:val="000000" w:themeColor="text1"/>
          <w:sz w:val="16"/>
          <w:szCs w:val="16"/>
        </w:rPr>
      </w:pPr>
    </w:p>
    <w:p w14:paraId="4E11D4B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марта</w:t>
      </w:r>
      <w:r w:rsidRPr="008127F8">
        <w:rPr>
          <w:rFonts w:ascii="Times New Roman" w:hAnsi="Times New Roman"/>
          <w:color w:val="000000" w:themeColor="text1"/>
          <w:sz w:val="16"/>
          <w:szCs w:val="16"/>
        </w:rPr>
        <w:t xml:space="preserve"> в 1942 году английский конвой PQ 13 вышел из британских портов. По пути следования из 19 судов было потеряно 5 из-за атак немецких подводных лодок и авиации (15074).</w:t>
      </w:r>
    </w:p>
    <w:p w14:paraId="1D1A7867" w14:textId="77777777" w:rsidR="00894E99" w:rsidRPr="008127F8" w:rsidRDefault="00894E99" w:rsidP="001E0A84">
      <w:pPr>
        <w:spacing w:after="0" w:line="240" w:lineRule="auto"/>
        <w:jc w:val="both"/>
        <w:rPr>
          <w:rFonts w:ascii="Times New Roman" w:hAnsi="Times New Roman"/>
          <w:color w:val="000000" w:themeColor="text1"/>
          <w:sz w:val="16"/>
          <w:szCs w:val="16"/>
        </w:rPr>
      </w:pPr>
    </w:p>
    <w:p w14:paraId="3E93806B" w14:textId="77777777" w:rsidR="009D206F" w:rsidRPr="008127F8" w:rsidRDefault="009D20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Fliegerkorps II Luftwaffe активизируют свою кампанию бомбардировки против Мальты ик по- настоящему массовым налеты начинаются с целью принудить остров и зенитную артиллерию исчерпать боеприпасы и персонал, а затем крупными нападениями по аэродромам и их инфраструктуре – разрушить их, и, наконец, разрушить военно-морские силы, верфи и других военные объекты (20793).</w:t>
      </w:r>
    </w:p>
    <w:p w14:paraId="3BB266D5" w14:textId="77777777" w:rsidR="009D206F" w:rsidRPr="008127F8" w:rsidRDefault="009D206F" w:rsidP="001E0A84">
      <w:pPr>
        <w:spacing w:after="0" w:line="240" w:lineRule="auto"/>
        <w:jc w:val="both"/>
        <w:rPr>
          <w:rFonts w:ascii="Times New Roman" w:hAnsi="Times New Roman"/>
          <w:color w:val="000000" w:themeColor="text1"/>
          <w:sz w:val="16"/>
          <w:szCs w:val="16"/>
        </w:rPr>
      </w:pPr>
    </w:p>
    <w:p w14:paraId="461FCAAD" w14:textId="44A22E87" w:rsidR="009D206F" w:rsidRPr="008127F8" w:rsidRDefault="009D20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Начало операции Outward. Британская программа по нападению на Германию с помощью свободно летающих водородных аэростатов, несущих либо стальную проволоку, чтобы повредить высоковольтные линии электропередач, либо три зажигательных устройства, предназначенных для разжигания пожаров в лесах (22562).</w:t>
      </w:r>
    </w:p>
    <w:p w14:paraId="4CAF2BC2" w14:textId="77777777" w:rsidR="009D206F" w:rsidRPr="008127F8" w:rsidRDefault="009D206F" w:rsidP="001E0A84">
      <w:pPr>
        <w:spacing w:after="0" w:line="240" w:lineRule="auto"/>
        <w:jc w:val="both"/>
        <w:rPr>
          <w:rFonts w:ascii="Times New Roman" w:hAnsi="Times New Roman"/>
          <w:color w:val="000000" w:themeColor="text1"/>
          <w:sz w:val="16"/>
          <w:szCs w:val="16"/>
        </w:rPr>
      </w:pPr>
    </w:p>
    <w:p w14:paraId="1B89CDE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марта 1942 Япония обвинила США и Британию в использовании ими военных приемов, запрещенных международными конвенциями, и отказалась от общепризнанных правил морских сражений (4962).</w:t>
      </w:r>
    </w:p>
    <w:p w14:paraId="10ADD40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B6BE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6575D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ADB6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вышло постановление о том, что завод 30 с 20 июня 1942 переходит на выпуск Ил-2 с пушками ШВАК калибра 20 мм вместо ВЯ калибра 23 мм, завод 1 с 10 мая 1942 полностью переходит на выпуск самолетов со ШВАК вместо ВЯ, завод 381 (Нижний Тагил) продолжает выпуск Ил-2 с пушками ШВАК как и раньше (162,24).</w:t>
      </w:r>
    </w:p>
    <w:p w14:paraId="034048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3CD39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21 марта 1942 в НИИ ВВС на аэродроме в Кольцово удалось выполнить еше 20 полетов (налет 8 ч 40 мин.) на Ил-2 М-82. За это время на самолете пришлось заменить маслорадиатор и бензопомпу БНК-10. Кроме того, имели место 16 случаев про</w:t>
      </w:r>
      <w:r w:rsidRPr="008127F8">
        <w:rPr>
          <w:rFonts w:ascii="Times New Roman" w:hAnsi="Times New Roman"/>
          <w:color w:val="000000" w:themeColor="text1"/>
          <w:sz w:val="16"/>
          <w:szCs w:val="16"/>
        </w:rPr>
        <w:softHyphen/>
        <w:t>гара выхлопных патрубков. Полученные данные по-прежнему были хуже серийного Ил-2 с АМ-38. К тому же высказывалось мнение, что «уязви</w:t>
      </w:r>
      <w:r w:rsidRPr="008127F8">
        <w:rPr>
          <w:rFonts w:ascii="Times New Roman" w:hAnsi="Times New Roman"/>
          <w:color w:val="000000" w:themeColor="text1"/>
          <w:sz w:val="16"/>
          <w:szCs w:val="16"/>
        </w:rPr>
        <w:softHyphen/>
        <w:t>мость самолета увеличена, так как мотор и агрегаты не защи</w:t>
      </w:r>
      <w:r w:rsidRPr="008127F8">
        <w:rPr>
          <w:rFonts w:ascii="Times New Roman" w:hAnsi="Times New Roman"/>
          <w:color w:val="000000" w:themeColor="text1"/>
          <w:sz w:val="16"/>
          <w:szCs w:val="16"/>
        </w:rPr>
        <w:softHyphen/>
        <w:t>щены броней». Тем не менее в акте по испытаниям от 23 марта военные рекомендовали «испытанный в НИИ ВВС двухмест</w:t>
      </w:r>
      <w:r w:rsidRPr="008127F8">
        <w:rPr>
          <w:rFonts w:ascii="Times New Roman" w:hAnsi="Times New Roman"/>
          <w:color w:val="000000" w:themeColor="text1"/>
          <w:sz w:val="16"/>
          <w:szCs w:val="16"/>
        </w:rPr>
        <w:softHyphen/>
        <w:t>ный самолет Ил-2 с мотором М-82... внедрить в серийное про</w:t>
      </w:r>
      <w:r w:rsidRPr="008127F8">
        <w:rPr>
          <w:rFonts w:ascii="Times New Roman" w:hAnsi="Times New Roman"/>
          <w:color w:val="000000" w:themeColor="text1"/>
          <w:sz w:val="16"/>
          <w:szCs w:val="16"/>
        </w:rPr>
        <w:softHyphen/>
        <w:t>изводство». При этом установка М-82 на самолет Ил-2 «допус</w:t>
      </w:r>
      <w:r w:rsidRPr="008127F8">
        <w:rPr>
          <w:rFonts w:ascii="Times New Roman" w:hAnsi="Times New Roman"/>
          <w:color w:val="000000" w:themeColor="text1"/>
          <w:sz w:val="16"/>
          <w:szCs w:val="16"/>
        </w:rPr>
        <w:softHyphen/>
        <w:t>калась как временное мероприятие на период отсутствия дос</w:t>
      </w:r>
      <w:r w:rsidRPr="008127F8">
        <w:rPr>
          <w:rFonts w:ascii="Times New Roman" w:hAnsi="Times New Roman"/>
          <w:color w:val="000000" w:themeColor="text1"/>
          <w:sz w:val="16"/>
          <w:szCs w:val="16"/>
        </w:rPr>
        <w:softHyphen/>
        <w:t>таточного количества АМ-38» (11474,285).</w:t>
      </w:r>
    </w:p>
    <w:p w14:paraId="3C8F60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54C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вышел приказ НКАП N 226сс:</w:t>
      </w:r>
    </w:p>
    <w:p w14:paraId="40416D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N 1462сс от 16 марта 1942 обязал НКАП и ГК С.В.И. поставить на производство самолет ДБ-3Ф на заводе 166, оставив в силе для производства самолета ДБ-3Ф решение ГКО N 1235сс от 2 февраля 1942 о производстве самолета 103 на заводе 166 и утвердив ГИ завода 166 Д.В.Голеева.</w:t>
      </w:r>
    </w:p>
    <w:p w14:paraId="290D1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1462:</w:t>
      </w:r>
    </w:p>
    <w:p w14:paraId="77473C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Нач. 10 ГУ Тарасевичу, директору завода 166 Соколову и ГК С.В.И.:</w:t>
      </w:r>
    </w:p>
    <w:p w14:paraId="02DAA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обеспечить постановку производства самолетов ДБ-3Ф (по образцу, выпускаемому заводом 126) на заводе 166 </w:t>
      </w:r>
      <w:proofErr w:type="gramStart"/>
      <w:r w:rsidRPr="008127F8">
        <w:rPr>
          <w:rFonts w:ascii="Times New Roman" w:hAnsi="Times New Roman"/>
          <w:color w:val="000000" w:themeColor="text1"/>
          <w:sz w:val="16"/>
          <w:szCs w:val="16"/>
        </w:rPr>
        <w:t>в развитием</w:t>
      </w:r>
      <w:proofErr w:type="gramEnd"/>
      <w:r w:rsidRPr="008127F8">
        <w:rPr>
          <w:rFonts w:ascii="Times New Roman" w:hAnsi="Times New Roman"/>
          <w:color w:val="000000" w:themeColor="text1"/>
          <w:sz w:val="16"/>
          <w:szCs w:val="16"/>
        </w:rPr>
        <w:t xml:space="preserve"> завода на мощность по выпуску 4 самолетов в день</w:t>
      </w:r>
    </w:p>
    <w:p w14:paraId="189A7F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принять к исполнению установленную программу заводу 166 по выпуску самолетов ДБ-3Ф и на 1942 - 187 единиц, из них в июне - 2, в августе - 16, в октябре -32, в декабре - 60.</w:t>
      </w:r>
    </w:p>
    <w:p w14:paraId="7A142C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Приказ НКАП N 98сс от 5 февраля 1942 по строительству и развитию завода 166 для производства самолетов 103 оставить в силе и для производства самолетов ДБ-3Ф</w:t>
      </w:r>
    </w:p>
    <w:p w14:paraId="72F98A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 ЛИИ Чесалову и ГК А.Н.Т. совместно с НИИ ВВС провести всесторонние испытания вплоть до боевого применения на фронте, выпущенных на заводе 166 самолетов 103 с М-82</w:t>
      </w:r>
    </w:p>
    <w:p w14:paraId="6A43F5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 10 ГУ Тарасевичу самолет 103 конструкции А.Н.Т. с производства завода 166 снять</w:t>
      </w:r>
    </w:p>
    <w:p w14:paraId="4C243F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заделы по самолету 103, приспособления и спец. инструмент законсервировать и сохранить на заводе 166.</w:t>
      </w:r>
    </w:p>
    <w:p w14:paraId="259705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Пятый серийный самолет 103 закончить сборкой и сдать ВВС</w:t>
      </w:r>
    </w:p>
    <w:p w14:paraId="2DCCD6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Зам. наркома А.С.Я.:</w:t>
      </w:r>
    </w:p>
    <w:p w14:paraId="264564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опытный завод N 288 в г. Омске расформировать.</w:t>
      </w:r>
    </w:p>
    <w:p w14:paraId="4F20A1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оборудование и кадры передать заводу 166 для производства самолетов ДБ-3Ф</w:t>
      </w:r>
    </w:p>
    <w:p w14:paraId="31E2BF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 позднее 10 апреля с.г. перевести в Москву площади бывшего завода 293 (КБ Болховитинова) КБ Туполева и Мясищева.</w:t>
      </w:r>
    </w:p>
    <w:p w14:paraId="62E973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ГК С.В.И. не позже 25 марта с.г. направить на завод 166 группу конструкторов в количестве 10 чел. по самолету ДБ-3Ф со своим замом В.П.Борог (1543,60).</w:t>
      </w:r>
    </w:p>
    <w:p w14:paraId="30FF4E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686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вышел приказ НКАП N 227сс:</w:t>
      </w:r>
    </w:p>
    <w:p w14:paraId="570D8E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изменение постановления ГКО N 1387сс от 4 марта 1942 о постановке производства самолета ДБ-3 на заводе 81 ГКО постановлением N 1444 от 14 марта 1942 обязал НКАП организовать производство самолетов ДБ-3Ф в бомбардировочном и транспортном вариантах на заводе 23 и утвердил директором завода В.А.Окулова и ГИ П.М.Морозова.</w:t>
      </w:r>
    </w:p>
    <w:p w14:paraId="3E257F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1444сс от 14 марта 1942 и в изменение приказа НКАП N 188с от 9 марта 1942:</w:t>
      </w:r>
    </w:p>
    <w:p w14:paraId="3F8995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10 ГУ Тарасевичу и директору завода 23 Окулову развернуть мощность завода 23 по производству самолетов ДБ-3Ф на 5 самолетов в день, из них 2 самолета в транспортном варианте и 3 самолета в бомбардировочном варианте.</w:t>
      </w:r>
    </w:p>
    <w:p w14:paraId="1C49BF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458 Бугрову, в изменение приказа 186сс от 9 марта 1942 перевести завод 458 из Баку с оборудованием, материалами и кадрами на завод 23 (1543,70).</w:t>
      </w:r>
    </w:p>
    <w:p w14:paraId="54569E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F70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 соответствии с приказом НКАП N 197сс от 14 марта с завода 126 на завод 81 были отправлены летом 6 первых ДБ-3Ф для переоборудования в торпедоносцы и миноносцы, но так и не прибыли до 20 мая 1942 и ВВС даже не дал справки (1676,184).</w:t>
      </w:r>
    </w:p>
    <w:p w14:paraId="5D5826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1BC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была катастрофа Пе-8 (№ 42055) с М-30 из-за остановки 4-го двигателя. При посадке из-за отказа двигателя л А.Х.Ковалев пошел на второй круг и на развороте потерял скорость и сорвался в штопор (6394).</w:t>
      </w:r>
    </w:p>
    <w:p w14:paraId="387993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EF3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21-24 марта 1942 на 292 заводе были сданы 10 облегченных Як-1, но без металлического оперения, которое привезли 7 апреля из Новосибирска (65,63).</w:t>
      </w:r>
    </w:p>
    <w:p w14:paraId="4349F8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94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года опытный ЛаГГ-3 с М-82 вышел на летные испытания. Испытания проводил летчик-испыта</w:t>
      </w:r>
      <w:r w:rsidRPr="008127F8">
        <w:rPr>
          <w:rFonts w:ascii="Times New Roman" w:hAnsi="Times New Roman"/>
          <w:color w:val="000000" w:themeColor="text1"/>
          <w:sz w:val="16"/>
          <w:szCs w:val="16"/>
        </w:rPr>
        <w:softHyphen/>
        <w:t>тель Г.А. Мищенко. Однако судьба самолета, да и ОКБ в целом, уже ви</w:t>
      </w:r>
      <w:r w:rsidRPr="008127F8">
        <w:rPr>
          <w:rFonts w:ascii="Times New Roman" w:hAnsi="Times New Roman"/>
          <w:color w:val="000000" w:themeColor="text1"/>
          <w:sz w:val="16"/>
          <w:szCs w:val="16"/>
        </w:rPr>
        <w:softHyphen/>
        <w:t>села на волоске: еще 4 марта вышло постановление ГКО № 1388, которым заместителю наркома авиационной промышленности Яковлеву поручалось «помочь наладить серийное производ</w:t>
      </w:r>
      <w:r w:rsidRPr="008127F8">
        <w:rPr>
          <w:rFonts w:ascii="Times New Roman" w:hAnsi="Times New Roman"/>
          <w:color w:val="000000" w:themeColor="text1"/>
          <w:sz w:val="16"/>
          <w:szCs w:val="16"/>
        </w:rPr>
        <w:softHyphen/>
        <w:t>ство самолета Як-7» на заводах № 21 в Горьком и № 23 в Москве. Опыт</w:t>
      </w:r>
      <w:r w:rsidRPr="008127F8">
        <w:rPr>
          <w:rFonts w:ascii="Times New Roman" w:hAnsi="Times New Roman"/>
          <w:color w:val="000000" w:themeColor="text1"/>
          <w:sz w:val="16"/>
          <w:szCs w:val="16"/>
        </w:rPr>
        <w:softHyphen/>
        <w:t>но-конструкторское бюро завода №21 во главе с Лавочкиным пере</w:t>
      </w:r>
      <w:r w:rsidRPr="008127F8">
        <w:rPr>
          <w:rFonts w:ascii="Times New Roman" w:hAnsi="Times New Roman"/>
          <w:color w:val="000000" w:themeColor="text1"/>
          <w:sz w:val="16"/>
          <w:szCs w:val="16"/>
        </w:rPr>
        <w:softHyphen/>
        <w:t>водилось на завод № 31 в Тбилиси (10686).</w:t>
      </w:r>
    </w:p>
    <w:p w14:paraId="4EF11C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FF49C" w14:textId="77777777" w:rsidR="00894E99" w:rsidRPr="008127F8" w:rsidRDefault="00894E99" w:rsidP="001E0A84">
      <w:pPr>
        <w:pStyle w:val="a4"/>
        <w:rPr>
          <w:color w:val="000000" w:themeColor="text1"/>
          <w:lang w:val="ru-RU"/>
        </w:rPr>
      </w:pPr>
      <w:r w:rsidRPr="008127F8">
        <w:rPr>
          <w:color w:val="000000" w:themeColor="text1"/>
          <w:lang w:val="ru-RU"/>
        </w:rPr>
        <w:t>21 марта 1942 г. опытный ЛаГГ-3 с М-82 вышел на лётные испытания, их проводил летчик-испытатель Г.А. Мищенко. Однако судьба самолёта, да и ОКБ в целом, уже ви</w:t>
      </w:r>
      <w:r w:rsidRPr="008127F8">
        <w:rPr>
          <w:color w:val="000000" w:themeColor="text1"/>
          <w:lang w:val="ru-RU"/>
        </w:rPr>
        <w:softHyphen/>
        <w:t>на волоске: еще 4 марта вышло постановление ГКО № 1388, которым заместите- наркома авиационной промышленности Яковлеву поручалось «помочь наладить лйное производство самолёта Як-7» на заводах № 21 в Горьком и № 23 в Москве, завода № 21 во главе с Лавочкиным переводилось на завод № 31 в Тбилиси. На завод в Горький уже приехали представители Яковлева и загрузили серийный кон</w:t>
      </w:r>
      <w:r w:rsidRPr="008127F8">
        <w:rPr>
          <w:color w:val="000000" w:themeColor="text1"/>
          <w:lang w:val="ru-RU"/>
        </w:rPr>
        <w:softHyphen/>
        <w:t>торский отдел и другие службы подготовкой производства Як-7. Лавочкину удалось получить разрешение остаться с небольшой группой помощников для проведения ных испытаний. Любая авария или задержка означали бы крах всех надежд. Если змнить о мучениях всех остальных конструкторов с мотором М-82, казалось, что только чудо может спасти Лавочкина. Как ни странно, это чудо произошло: в процессе заводских испытаний мотор работал хорошо, и буквально за пару недель удалось снять все основные характеристики. ЛаГГ-3 с М-82 при весе 3280 кг показал максимальную скорость у земли без форсажа (-531 км/ч, на 1-й границе высотности 3025 м — 586 км/ч и на 2-й границе высотности— 602 км/ч, а также время подъёма на 5000 м — 6,1 мин. Эти скорости были выше, чем у серийных ЛаГГ-3 и Як-1 на 30-40 км/ч, причем преодолели «психологический» барьер в 600 км/ч. С такими цифрами уже можно было выходить с докладом в ГКО. Конечно, сложившаяся ситуация с внедрением М-82 заставляла руководство авиапрома и военных внимательно следить за испытаниями в Горьком и действовать оперативно (15788).</w:t>
      </w:r>
    </w:p>
    <w:p w14:paraId="34B7B36E" w14:textId="77777777" w:rsidR="00894E99" w:rsidRPr="008127F8" w:rsidRDefault="00894E99" w:rsidP="001E0A84">
      <w:pPr>
        <w:pStyle w:val="a4"/>
        <w:rPr>
          <w:color w:val="000000" w:themeColor="text1"/>
          <w:lang w:val="ru-RU"/>
        </w:rPr>
      </w:pPr>
    </w:p>
    <w:p w14:paraId="3A35CADF" w14:textId="77777777" w:rsidR="00DC1499" w:rsidRPr="008127F8" w:rsidRDefault="00DC14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года начались летные испытания опытного ЛаГГ-3 с мотором воздушного охлаждения М82. Испытания проводил летчик-испытатель Г.А. Мищенко. Хотя не все шло гладко, но спустя два месяца 19 мая 1942 года вышло постановление ГКО № 1786сс «О выпуске самолетов ЛаГГ-3 на заводе №21», обязывавшее наркома А.И. Шахурина, главного конструктора С.А. Лавочкина и директора завода № 21 А.Ф. 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 Ранее принятое решение ГКО о постановке производства самолетов Як-7 на заводе № 21 отменялось – на заводе сохранялось производство ЛаГГ-3, причем, это не было тавтологией. ГКО в тот же день 19 мая постановлением № 1789сс обязал НКАП перевести производство самолетов ЛаГГ-3 и Як-7 на форсированные моторы М-105ПФ (23197).</w:t>
      </w:r>
    </w:p>
    <w:p w14:paraId="3CB4ADF8" w14:textId="77777777" w:rsidR="00DC1499" w:rsidRPr="008127F8" w:rsidRDefault="00DC1499" w:rsidP="001E0A84">
      <w:pPr>
        <w:spacing w:after="0" w:line="240" w:lineRule="auto"/>
        <w:jc w:val="both"/>
        <w:rPr>
          <w:rFonts w:ascii="Times New Roman" w:hAnsi="Times New Roman"/>
          <w:color w:val="000000" w:themeColor="text1"/>
          <w:sz w:val="16"/>
          <w:szCs w:val="16"/>
        </w:rPr>
      </w:pPr>
    </w:p>
    <w:p w14:paraId="1FCCD472" w14:textId="77777777" w:rsidR="0006761A" w:rsidRPr="008A2E5A" w:rsidRDefault="0006761A" w:rsidP="000676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марта 1942 г. ЛаГГ-3М-82 вывели на заводской аэродром. От серийного ЛаГГ-3 на ЛаГГ-3М-82 оста</w:t>
      </w:r>
      <w:r w:rsidRPr="008A2E5A">
        <w:rPr>
          <w:rFonts w:ascii="Times New Roman" w:hAnsi="Times New Roman"/>
          <w:color w:val="0070C0"/>
          <w:sz w:val="16"/>
          <w:szCs w:val="16"/>
        </w:rPr>
        <w:softHyphen/>
        <w:t>лись неизменными крыло, частично центро</w:t>
      </w:r>
      <w:r w:rsidRPr="008A2E5A">
        <w:rPr>
          <w:rFonts w:ascii="Times New Roman" w:hAnsi="Times New Roman"/>
          <w:color w:val="0070C0"/>
          <w:sz w:val="16"/>
          <w:szCs w:val="16"/>
        </w:rPr>
        <w:softHyphen/>
        <w:t>план, оперение, система управления, шасси, оборудование и бензобаки. Самолет получил новую мотораму и винто-моторную группу с двигателем М-82 № 6501355 (на тот момент мощностью 1400 л.с.) с винтом ВИШ-105 диа</w:t>
      </w:r>
      <w:r w:rsidRPr="008A2E5A">
        <w:rPr>
          <w:rFonts w:ascii="Times New Roman" w:hAnsi="Times New Roman"/>
          <w:color w:val="0070C0"/>
          <w:sz w:val="16"/>
          <w:szCs w:val="16"/>
        </w:rPr>
        <w:softHyphen/>
        <w:t>метром 3,1 м. Звездообразный мотор суще</w:t>
      </w:r>
      <w:r w:rsidRPr="008A2E5A">
        <w:rPr>
          <w:rFonts w:ascii="Times New Roman" w:hAnsi="Times New Roman"/>
          <w:color w:val="0070C0"/>
          <w:sz w:val="16"/>
          <w:szCs w:val="16"/>
        </w:rPr>
        <w:softHyphen/>
        <w:t>ственно увеличил мидель фюзеляжа, так что для обеспечения плавного перехода к основ</w:t>
      </w:r>
      <w:r w:rsidRPr="008A2E5A">
        <w:rPr>
          <w:rFonts w:ascii="Times New Roman" w:hAnsi="Times New Roman"/>
          <w:color w:val="0070C0"/>
          <w:sz w:val="16"/>
          <w:szCs w:val="16"/>
        </w:rPr>
        <w:softHyphen/>
        <w:t>ному каркасу использовали так называемую «опалубку» - накладные борта, которые со</w:t>
      </w:r>
      <w:r w:rsidRPr="008A2E5A">
        <w:rPr>
          <w:rFonts w:ascii="Times New Roman" w:hAnsi="Times New Roman"/>
          <w:color w:val="0070C0"/>
          <w:sz w:val="16"/>
          <w:szCs w:val="16"/>
        </w:rPr>
        <w:softHyphen/>
        <w:t>хранились и на первых сериях истребителя. Это позволило полнее использовать задел по ЛаГГ-3. Хотя вооружение самолета было аб</w:t>
      </w:r>
      <w:r w:rsidRPr="008A2E5A">
        <w:rPr>
          <w:rFonts w:ascii="Times New Roman" w:hAnsi="Times New Roman"/>
          <w:color w:val="0070C0"/>
          <w:sz w:val="16"/>
          <w:szCs w:val="16"/>
        </w:rPr>
        <w:softHyphen/>
        <w:t>солютно новым - две синхронные пушки СШ- 20, - в качестве крепления были использова</w:t>
      </w:r>
      <w:r w:rsidRPr="008A2E5A">
        <w:rPr>
          <w:rFonts w:ascii="Times New Roman" w:hAnsi="Times New Roman"/>
          <w:color w:val="0070C0"/>
          <w:sz w:val="16"/>
          <w:szCs w:val="16"/>
        </w:rPr>
        <w:softHyphen/>
        <w:t>ны нормальные серийные лафеты УБ с не</w:t>
      </w:r>
      <w:r w:rsidRPr="008A2E5A">
        <w:rPr>
          <w:rFonts w:ascii="Times New Roman" w:hAnsi="Times New Roman"/>
          <w:color w:val="0070C0"/>
          <w:sz w:val="16"/>
          <w:szCs w:val="16"/>
        </w:rPr>
        <w:softHyphen/>
        <w:t>большими переделками под пушку. Узлы пневмоперезарядки, пневмоспуски и син</w:t>
      </w:r>
      <w:r w:rsidRPr="008A2E5A">
        <w:rPr>
          <w:rFonts w:ascii="Times New Roman" w:hAnsi="Times New Roman"/>
          <w:color w:val="0070C0"/>
          <w:sz w:val="16"/>
          <w:szCs w:val="16"/>
        </w:rPr>
        <w:softHyphen/>
        <w:t>хронные проводки были использованы от се</w:t>
      </w:r>
      <w:r w:rsidRPr="008A2E5A">
        <w:rPr>
          <w:rFonts w:ascii="Times New Roman" w:hAnsi="Times New Roman"/>
          <w:color w:val="0070C0"/>
          <w:sz w:val="16"/>
          <w:szCs w:val="16"/>
        </w:rPr>
        <w:softHyphen/>
        <w:t>рийных машин.</w:t>
      </w:r>
    </w:p>
    <w:p w14:paraId="0FFEE326" w14:textId="77777777" w:rsidR="0006761A" w:rsidRPr="008A2E5A" w:rsidRDefault="0006761A" w:rsidP="000676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Сравнивая фотографии мотоустановки ЛаГГ-3М-82 с фотографиями И-185М-82, МиГ- 9 или Як-7М-82 можно убедиться, что это вполне самостоятельная разработка, но не стоит все же забывать, что никто не видел чер</w:t>
      </w:r>
      <w:r w:rsidRPr="008A2E5A">
        <w:rPr>
          <w:rFonts w:ascii="Times New Roman" w:hAnsi="Times New Roman"/>
          <w:color w:val="0070C0"/>
          <w:sz w:val="16"/>
          <w:szCs w:val="16"/>
        </w:rPr>
        <w:softHyphen/>
        <w:t>тежей или фотографий истребителя Гу-82. Оригинальность конструкции ОКБ-21 никак не дает повода для безапелляционных заявле</w:t>
      </w:r>
      <w:r w:rsidRPr="008A2E5A">
        <w:rPr>
          <w:rFonts w:ascii="Times New Roman" w:hAnsi="Times New Roman"/>
          <w:color w:val="0070C0"/>
          <w:sz w:val="16"/>
          <w:szCs w:val="16"/>
        </w:rPr>
        <w:softHyphen/>
        <w:t>ний, мол, дескать, Н.Н. Поликарпов никому не рассылал документации на мотоустановку И- 185М-82. Вопрос остается открытым. В част</w:t>
      </w:r>
      <w:r w:rsidRPr="008A2E5A">
        <w:rPr>
          <w:rFonts w:ascii="Times New Roman" w:hAnsi="Times New Roman"/>
          <w:color w:val="0070C0"/>
          <w:sz w:val="16"/>
          <w:szCs w:val="16"/>
        </w:rPr>
        <w:softHyphen/>
        <w:t>ности, в первоначальном варианте на ЛаГГ- 3М-82 установили три, если можно так выра</w:t>
      </w:r>
      <w:r w:rsidRPr="008A2E5A">
        <w:rPr>
          <w:rFonts w:ascii="Times New Roman" w:hAnsi="Times New Roman"/>
          <w:color w:val="0070C0"/>
          <w:sz w:val="16"/>
          <w:szCs w:val="16"/>
        </w:rPr>
        <w:softHyphen/>
        <w:t xml:space="preserve">зиться, </w:t>
      </w:r>
      <w:proofErr w:type="gramStart"/>
      <w:r w:rsidRPr="008A2E5A">
        <w:rPr>
          <w:rFonts w:ascii="Times New Roman" w:hAnsi="Times New Roman"/>
          <w:color w:val="0070C0"/>
          <w:sz w:val="16"/>
          <w:szCs w:val="16"/>
        </w:rPr>
        <w:t>«щелевых»</w:t>
      </w:r>
      <w:proofErr w:type="gramEnd"/>
      <w:r w:rsidRPr="008A2E5A">
        <w:rPr>
          <w:rFonts w:ascii="Times New Roman" w:hAnsi="Times New Roman"/>
          <w:color w:val="0070C0"/>
          <w:sz w:val="16"/>
          <w:szCs w:val="16"/>
        </w:rPr>
        <w:t xml:space="preserve"> всасывающих патрубка карбюратора. Очевидно, додуматься до такого варианта конструкции в условиях жесткого цейтнота было непросто. В то же время, такой вариант подвода воздуха был реализован на эталоне И-185М-71 и на И-185М-82. Причем, в КБ Поликарпова пришли к этому не сразу. На первом летном И-185 № 6202 и в проекте И- 185М-81 был только один всасывающий па</w:t>
      </w:r>
      <w:r w:rsidRPr="008A2E5A">
        <w:rPr>
          <w:rFonts w:ascii="Times New Roman" w:hAnsi="Times New Roman"/>
          <w:color w:val="0070C0"/>
          <w:sz w:val="16"/>
          <w:szCs w:val="16"/>
        </w:rPr>
        <w:softHyphen/>
        <w:t>трубок, расположенный на 12 часов над пе</w:t>
      </w:r>
      <w:r w:rsidRPr="008A2E5A">
        <w:rPr>
          <w:rFonts w:ascii="Times New Roman" w:hAnsi="Times New Roman"/>
          <w:color w:val="0070C0"/>
          <w:sz w:val="16"/>
          <w:szCs w:val="16"/>
        </w:rPr>
        <w:softHyphen/>
        <w:t>редней обечайкой капота. Наверное, не стоит сбрасывать со счетов вероятность того, что какие-то моменты Лавочкин, да и не только он, «подсмотрел» у Поликарпова (23389)</w:t>
      </w:r>
    </w:p>
    <w:p w14:paraId="405CD217" w14:textId="77777777" w:rsidR="0006761A" w:rsidRPr="008A2E5A" w:rsidRDefault="0006761A" w:rsidP="0006761A">
      <w:pPr>
        <w:spacing w:after="0" w:line="240" w:lineRule="auto"/>
        <w:jc w:val="both"/>
        <w:rPr>
          <w:rFonts w:ascii="Times New Roman" w:hAnsi="Times New Roman"/>
          <w:color w:val="0070C0"/>
          <w:sz w:val="16"/>
          <w:szCs w:val="16"/>
        </w:rPr>
      </w:pPr>
    </w:p>
    <w:p w14:paraId="43F4996B" w14:textId="77777777" w:rsidR="0006761A" w:rsidRPr="008A2E5A" w:rsidRDefault="0006761A" w:rsidP="000676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марта 1942 года ЛаГГ-3 был передан ЛИС (летно-испытательной станции) завода № 21 для подготовки и проведения летных испытаний. Первые испытательные полеты выполнил заводской летчик-испытатель Василий Яковлевич Мищенко. Он выявил ряд серьезных недостатков: большие нагрузки на органы управления, так что дальнейшие полеты пришлось прекратить. Тем не менее, летчик считал, что новая машина значительно превосходит ЛаГГ-3 по скорости и скороподъемности. Сообщения об обнадеживающих результатах были отправлены в соответствующие инстанции: Лавочкин доложил наркому Шахурину, а по «политическим» каналам действовали Первый секретарь Горьковского обкома М. И. Родионов и Первый секретарь Пермского обкома М. И. Гусаров, обратившиеся лично к Сталину (23547).</w:t>
      </w:r>
    </w:p>
    <w:p w14:paraId="19AE6847" w14:textId="77777777" w:rsidR="0006761A" w:rsidRPr="008A2E5A" w:rsidRDefault="0006761A" w:rsidP="0006761A">
      <w:pPr>
        <w:spacing w:after="0" w:line="240" w:lineRule="auto"/>
        <w:jc w:val="both"/>
        <w:rPr>
          <w:rFonts w:ascii="Times New Roman" w:hAnsi="Times New Roman"/>
          <w:color w:val="0070C0"/>
          <w:sz w:val="16"/>
          <w:szCs w:val="16"/>
        </w:rPr>
      </w:pPr>
    </w:p>
    <w:p w14:paraId="066B43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 приказом НКАП № 227сс в соответствии с постановлением № ГОКО-1398сс и от 06.03.1942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 (10776).</w:t>
      </w:r>
    </w:p>
    <w:p w14:paraId="5C0E21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BC7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21 марта 1942 г. приказом № 227сс в соответствии с пост. ГКО № 1398сс от 6.03.1942 г. в Москву на завод № 23 (Завод № 23 НКАП, МАП, ГКАТ, Машиностроительный завод им. М.В. Хруничева (ЗИХ) СНХ,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(планировалось сначала на завод № 81) переведен к 05.1942 г. завод № 458 НКАП из Баку со всем оборудованием и личным составом и влит в его состав (11982).</w:t>
      </w:r>
    </w:p>
    <w:p w14:paraId="1B93EF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6E1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 приказом № 227сс в соответствии с пост. ГКО № 1398сс от 6.03.1942 г. завод № 458 был переведен к 05.1942 г. из Баку со всем оборудованием и личным составом в Москву на завод № 23 (планировалось сначала на завод № 81) и влит в его состав. Часть оборудования передана другим заводам 1ГУ, ЮГУ и заводу № 7 ОАП НКАП. Выбыл из числа действующих.</w:t>
      </w:r>
    </w:p>
    <w:p w14:paraId="41059A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месте завода № 458 в Баку далее создано Бакинское АПО им. 50-летия Азербайджана.</w:t>
      </w:r>
      <w:r w:rsidRPr="008127F8">
        <w:rPr>
          <w:rFonts w:ascii="Times New Roman" w:hAnsi="Times New Roman"/>
          <w:color w:val="000000" w:themeColor="text1"/>
          <w:sz w:val="16"/>
          <w:szCs w:val="16"/>
          <w:vertAlign w:val="superscript"/>
        </w:rPr>
        <w:t>30</w:t>
      </w:r>
    </w:p>
    <w:p w14:paraId="0EFA74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(10.1940-03.1942 г.-)- А.П. Бугров.</w:t>
      </w:r>
    </w:p>
    <w:p w14:paraId="394F17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(10.1940 г.-)- А.А. Евтеев.</w:t>
      </w:r>
    </w:p>
    <w:p w14:paraId="2A347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(10.1940 г.-)- А.А. Евтеев.</w:t>
      </w:r>
    </w:p>
    <w:p w14:paraId="3AB6FD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самолет УТИ-4 (1941-42)- 439.</w:t>
      </w:r>
    </w:p>
    <w:p w14:paraId="19161F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Бакинское Агрегатное ПО (БАПО) им. 50-летня Азербайджана, БАПО «Иглим» /Азербайджан/</w:t>
      </w:r>
    </w:p>
    <w:p w14:paraId="00D0E9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Бакинское АПО создано на месте переведенного в Москву завода № 458 НКАП. Далее - БАПО «Иглим».</w:t>
      </w:r>
      <w:r w:rsidRPr="008127F8">
        <w:rPr>
          <w:rFonts w:ascii="Times New Roman" w:hAnsi="Times New Roman"/>
          <w:color w:val="000000" w:themeColor="text1"/>
          <w:sz w:val="16"/>
          <w:szCs w:val="16"/>
          <w:vertAlign w:val="superscript"/>
        </w:rPr>
        <w:t>30</w:t>
      </w:r>
    </w:p>
    <w:p w14:paraId="6995F9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агрегатов бытового оборудования и систем кондиционирования ЛА (2003 г.) (11982).</w:t>
      </w:r>
    </w:p>
    <w:p w14:paraId="398D52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AA17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03168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1580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w:t>
      </w:r>
      <w:r w:rsidRPr="008127F8">
        <w:rPr>
          <w:rFonts w:ascii="Times New Roman" w:hAnsi="Times New Roman"/>
          <w:color w:val="000000" w:themeColor="text1"/>
          <w:sz w:val="16"/>
          <w:szCs w:val="16"/>
        </w:rPr>
        <w:softHyphen/>
        <w:t>та 1942 г. УЗТМ получил от Наркомата полные чертежи кор</w:t>
      </w:r>
      <w:r w:rsidRPr="008127F8">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8127F8">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8127F8">
        <w:rPr>
          <w:rFonts w:ascii="Times New Roman" w:hAnsi="Times New Roman"/>
          <w:color w:val="000000" w:themeColor="text1"/>
          <w:sz w:val="16"/>
          <w:szCs w:val="16"/>
        </w:rPr>
        <w:softHyphen/>
        <w:t>чали задыхаться, не справляясь с такой программой башен</w:t>
      </w:r>
      <w:r w:rsidRPr="008127F8">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8127F8">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671BB4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2154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21 марта 1942 г. №3285мс Приказом по НКТП было вынесено взыскание руко</w:t>
      </w:r>
      <w:r w:rsidRPr="008127F8">
        <w:rPr>
          <w:rFonts w:ascii="Times New Roman" w:hAnsi="Times New Roman"/>
          <w:noProof/>
          <w:color w:val="000000" w:themeColor="text1"/>
          <w:sz w:val="16"/>
          <w:szCs w:val="16"/>
        </w:rPr>
        <w:softHyphen/>
        <w:t xml:space="preserve">водящему составу ЧКЗ и СКБ-2. марту 1942 г. бедственная ситуация с надежностью и подвижностью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в войсках достигла своего апогея. Треть тан</w:t>
      </w:r>
      <w:r w:rsidRPr="008127F8">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Выговор получили директор завода И.М Зальцман, главный инженер С.Н. Махонин, главный конструктор Ж.Я. Котин и ряд других ответ</w:t>
      </w:r>
      <w:r w:rsidRPr="008127F8">
        <w:rPr>
          <w:rFonts w:ascii="Times New Roman" w:hAnsi="Times New Roman"/>
          <w:noProof/>
          <w:color w:val="000000" w:themeColor="text1"/>
          <w:sz w:val="16"/>
          <w:szCs w:val="16"/>
        </w:rPr>
        <w:softHyphen/>
        <w:t>ственных сотрудников.В низкой надежности и неудовлетвори</w:t>
      </w:r>
      <w:r w:rsidRPr="008127F8">
        <w:rPr>
          <w:rFonts w:ascii="Times New Roman" w:hAnsi="Times New Roman"/>
          <w:noProof/>
          <w:color w:val="000000" w:themeColor="text1"/>
          <w:sz w:val="16"/>
          <w:szCs w:val="16"/>
        </w:rPr>
        <w:softHyphen/>
        <w:t xml:space="preserve">тельной подвижности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как уже го</w:t>
      </w:r>
      <w:r w:rsidRPr="008127F8">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8127F8">
        <w:rPr>
          <w:rFonts w:ascii="Times New Roman" w:hAnsi="Times New Roman"/>
          <w:noProof/>
          <w:color w:val="000000" w:themeColor="text1"/>
          <w:sz w:val="16"/>
          <w:szCs w:val="16"/>
        </w:rPr>
        <w:softHyphen/>
        <w:t xml:space="preserve">ции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было возложено на Челябин</w:t>
      </w:r>
      <w:r w:rsidRPr="008127F8">
        <w:rPr>
          <w:rFonts w:ascii="Times New Roman" w:hAnsi="Times New Roman"/>
          <w:noProof/>
          <w:color w:val="000000" w:themeColor="text1"/>
          <w:sz w:val="16"/>
          <w:szCs w:val="16"/>
        </w:rPr>
        <w:softHyphen/>
        <w:t>ский опытный завод, основанный в марте 1942 г. на базе СКБ-2</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5E26EB01"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161277A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вышло Постановление ГКО № 1475 [Об изъятии из рабочих колонн всего начальствующего состава, кроме подчиненного HКВД.] (7026, 11).</w:t>
      </w:r>
    </w:p>
    <w:p w14:paraId="5D84356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1890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вышло Постановление ГКО № 1476 [О запрещении передавать рабочие колонны гражданским наркоматам.] (7026, 12).</w:t>
      </w:r>
    </w:p>
    <w:p w14:paraId="39F3D9B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F436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и 3 апреля 1942 на основании постановлений ГКО расформировали трудколонны,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65D97B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46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вышло Постановление ГКО № 1477 О т. Бородине П.Г. РГАНИР, Фонд ГКО, д. 25, лл. 13 (11012).</w:t>
      </w:r>
    </w:p>
    <w:p w14:paraId="58C93D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D263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9C014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CE0B2A"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марта</w:t>
      </w:r>
      <w:r w:rsidRPr="008127F8">
        <w:rPr>
          <w:rFonts w:ascii="Times New Roman" w:hAnsi="Times New Roman"/>
          <w:color w:val="000000" w:themeColor="text1"/>
          <w:sz w:val="16"/>
          <w:szCs w:val="16"/>
        </w:rPr>
        <w:t xml:space="preserve"> в 1942 году утреннее сообщение Совинформбюро:</w:t>
      </w:r>
    </w:p>
    <w:p w14:paraId="138F3F4D"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21 марта на фронте каких-либо существенных изменений не произошло.</w:t>
      </w:r>
    </w:p>
    <w:p w14:paraId="797C15F5"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в результате упорного боя овладела сильно укреплённым пунктом обороны противника и захватила 10 орудий, 1 крупнокалиберный пулемёт, 4 станковых пулемёта, 200 снарядов, 500 мин, 100 ручных гранат, 5.000 патронов и другое военное имущество. Немцы понесли большие потери убитыми и ранеными. На другом участке наши бойцы отбили три ожесточённых контратаки противника. На поле боя осталось свыше 100 трупов немцев и 2 подбитых танка.</w:t>
      </w:r>
    </w:p>
    <w:p w14:paraId="28633F8E"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(Калининский фронт) за день боёв освободила от немцев три населённых пункта. В бою уничтожено более 250 вражеских солдат и офицеров.</w:t>
      </w:r>
    </w:p>
    <w:p w14:paraId="028A05A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группа немецких самолётов, пыталась совершить налёт на пункт К. Вражеские самолёты были атакованы нашими истребителями и обращены в бегство. Самоотверженный поступок совершил младший лейтенант Пичугин, уничтоживший таранным ударом немецкий истребитель «Мессершмитт-110». Вражеский экипаж погиб. На самолёте обнаружены важные документы. В этом же бою лейтенант Бон дин сбил немецкий самолёт «Ю-88».</w:t>
      </w:r>
    </w:p>
    <w:p w14:paraId="04069934"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Героически сражаются танкисты подразделения капитана Тараненко. Танковые экипажи т.т. Бережного, Васина и Василенко за один день боёв уничтожили более 100 немецких солдат и офицеров, 5 противотанковых орудий, 4 пулемёта, 3 миномёта и разрушили 2 ДЗОТа. Капитан Тараненко был ранен, но продолжал руководить операцией до окончания боя.</w:t>
      </w:r>
    </w:p>
    <w:p w14:paraId="0C301DB6"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отряда под командованием тов. Д., действующего в одном из районов Ленинградской области, оккупированных немцами, нанесли большой урон немецко-фашистским захватчикам. За время боевой деятельности партизаны уничтожили 7 немецких самолётов, 22 танка, 106 грузовых и легковых автомашин, 40 мотоциклов и 12 цистерн с горючим. Партизаны истребили около 900 солдат и офицеров противника, в том числе 3 полковников.</w:t>
      </w:r>
    </w:p>
    <w:p w14:paraId="2CF093F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нашу сторону солдат 1 югославского полка германской армии Бранко Маркович показал: «В последних числах января 1942 года я был мобилизован в армию и направлен на советско-германский фронт. В эшелоне было 500 человек. Офицеры скрывали от нас, куда и зачем мы едем, но солдаты догадывались. В путч из эшелона дезертировало около 100 человек. Только из нашей роты сбежало 50 человек».</w:t>
      </w:r>
    </w:p>
    <w:p w14:paraId="246958E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92 дивизиона 20 немецкой танковой дивизии Иозеф Руль рассказал: «Всё время я был в тыловой армии в Смоленске, где работал в ремонтных мастерских. Приехав с отремонтированным оружием в деревню, где находилась наша часть, я увидел, что русские наступают. Я спрятался в блиндаже, а когда показались русские, поднял руки и сдался в плен. Немецкие солдаты уже навоевались и сыты войной до тошноты».</w:t>
      </w:r>
    </w:p>
    <w:p w14:paraId="7884779F"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публикуется акт о чудовищных преступлениях немецко-фашистских захватчиков.</w:t>
      </w:r>
    </w:p>
    <w:p w14:paraId="0CEE0993"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«АКТ.</w:t>
      </w:r>
    </w:p>
    <w:p w14:paraId="22F1F4CA"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Мы, жители села Шуровка, Харьковской области, составили настоящий акт о зверствах немцев в нашем селе. Немецкие солдаты дочиста ограбили крестьян, они забрали все вещи, даже постельное бельё и подушки. В селе не осталось ни одной курицы, гуся, поросёнка. При отступлении гитлеровцы сожгли 157 домов </w:t>
      </w:r>
      <w:r w:rsidRPr="008127F8">
        <w:rPr>
          <w:rFonts w:ascii="Times New Roman" w:hAnsi="Times New Roman"/>
          <w:color w:val="000000" w:themeColor="text1"/>
          <w:sz w:val="16"/>
          <w:szCs w:val="16"/>
        </w:rPr>
        <w:lastRenderedPageBreak/>
        <w:t>колхозников и расстреляли 11 крестьян, в том числе Николаенко Прасковью Григорьевну — 52 лет, Щебеня Галину—10 лет, Щебеня Катерину—5 лет, Бондаренко Анну Астафьевну—50 лет и других. Акт подписали: Ф.Г.Николаенко, Т.И.Слонь, И.А.Роленко, Е.И.Рубченко и М.А.Кекало» (15075).</w:t>
      </w:r>
    </w:p>
    <w:p w14:paraId="3748BF8D" w14:textId="77777777" w:rsidR="00894E99" w:rsidRPr="008127F8" w:rsidRDefault="00894E99" w:rsidP="001E0A84">
      <w:pPr>
        <w:spacing w:after="0" w:line="240" w:lineRule="auto"/>
        <w:jc w:val="both"/>
        <w:rPr>
          <w:rFonts w:ascii="Times New Roman" w:hAnsi="Times New Roman"/>
          <w:color w:val="000000" w:themeColor="text1"/>
          <w:sz w:val="16"/>
          <w:szCs w:val="16"/>
        </w:rPr>
      </w:pPr>
    </w:p>
    <w:p w14:paraId="7CE959B6"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марта</w:t>
      </w:r>
      <w:r w:rsidRPr="008127F8">
        <w:rPr>
          <w:rFonts w:ascii="Times New Roman" w:hAnsi="Times New Roman"/>
          <w:color w:val="000000" w:themeColor="text1"/>
          <w:sz w:val="16"/>
          <w:szCs w:val="16"/>
        </w:rPr>
        <w:t xml:space="preserve"> в 1942 году вечернее сообщение Совинформбюро:</w:t>
      </w:r>
    </w:p>
    <w:p w14:paraId="1F23A4FD"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марта наши войска на некоторых участках фронта вели наступательные бои против немецко-фашистских войск и заняли несколько населённых пунктов.</w:t>
      </w:r>
    </w:p>
    <w:p w14:paraId="357D39C7"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марта уничтожено 35 самолётов противника. Наши потери — 5 самолётов.</w:t>
      </w:r>
    </w:p>
    <w:p w14:paraId="201E662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марта под Москвой сбито 2 немецких самолёта.</w:t>
      </w:r>
    </w:p>
    <w:p w14:paraId="4941BE5C"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20 марта частями нашей авиации уничтожено и повреждено 29 немецких танков, 225 автомашин с войсками и грузами, 60 повозок с боеприпасами, 15 орудий и 2 долевые артиллерийские батареи, 30 зенитно-пулемётных точек, 14 миномётов и 5 миномётных батарей, один прожектор, взорвано 2 склада с боеприпасами, рассеяно и частью уничтожено до 2 батальонов пехоты противника.</w:t>
      </w:r>
    </w:p>
    <w:p w14:paraId="7A30A13E"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Танковая часть под командованием тов. Токарева, действующая на Западном фронте, за последние дни боёв разрушила 90 немецких ДЗОТов и блиндажей и уничтожила 14 вражеских танков, 4 артиллерийские и 9 миномётных батарей, 34 орудия, 19 станковых и 27 ручных пулемётов и 8 автомашин. Наши танкисты захватили следующие трофеи: 5 орудий, 10 миномётов, станковых и 41 ручной пулемёт, 50 автоматов, 337 винтовок, свыше 5.000 снарядов, 500 гранат, 2 склада с боеприпасами и различное другое военное имущество. Противник потерял убитыми около 1.500 солдат и офицеров.</w:t>
      </w:r>
    </w:p>
    <w:p w14:paraId="36A6AEDA"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наше подразделение (Калининский фронт) заняло сильно укреплённый немцами населённый пункт. В двухдневном бою разрушено 10 немецких ДЗОТов, уничтожено 6 орудий, 15 пулемётных гнёзд. Немцы потеряли только убитыми 250 солдат и офицеров.</w:t>
      </w:r>
    </w:p>
    <w:p w14:paraId="338EA741"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одной нашей части, действующей на Южном фронте, в течение одного дня подбили 3 вражеских танка, уничтожили орудие и сбили немецкий самолёт. Кроме того, артиллеристы подавили одну миномётную батарею противника и рассеяли до двух рот гитлеровцев.</w:t>
      </w:r>
    </w:p>
    <w:p w14:paraId="02B33C16"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отряда «Красный партизан», под командованием товарища. Ж. действующего в лесах Карелии, ночью окружили одно селение и атаковали штаб 2 егерского финского батальона. Застигнутые врасплох, финны пытались бежать в лес, но попали под пулемётный огонь. Во время этой операции партизаны истребили 67 солдат, одного полковника и двух майоров. В течение февраля партизанский отряд окружил и уничтожил 3 финских гарнизона, расположенных в небольших посёлках. Финны потеряли до 200 человек убитыми и ранеными.</w:t>
      </w:r>
    </w:p>
    <w:p w14:paraId="3114D8CE"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частями захвачен приказ командира 56 немецкой пехотной дивизии, в котором генерал фон Офен пишет: «К сожалению, сплошь и рядом обнаруживаются попытки солдат увильнуть от службы на передовых позициях — явление, наблюдавшееся в 1918 году. Необходимо в корне положить конец этой заразе... В некоторых местах отдельные команды, оставленные во время выступления и похода дивизии для охраны оружия, амуниции, снарядов и т. п., а также шофёры выбывших из строя машин ещё не вернулись в свою часть и остаются в тылу... В районе расположения дивизии находится большое количество отдельных команд, шофёров выбывших из строя машин и других отставших от чужих войсковых частей. Для того, чтобы привести отдельные команды отставших к их частям и водворить на место возможных дезертиров, полк, батальон должны немедленно задерживать всех находящихся на их участках отставших и сообщить командованию дивизии».</w:t>
      </w:r>
    </w:p>
    <w:p w14:paraId="07CE3540"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гитлеровский генерал вынужден признать, что очень часто солдаты немецко-фашистской армии всячески «увиливают от службы на передовых позициях» и скрываются в тылу. Опасаясь суровых кар, многие немецкие солдаты ещё не решаются открыто дезертировать. Они умышленно теряют свои подразделения, нарочно подолгу блуждают по сёлам и не возвращаются в свои части. Эти зловещие для гитлеровцев признаки разложения армии напоминают им 1918 год, год поражения Германии в первой империалистической войне. Гитлеровцы пытаются «положить конец этой заразе». Но даже самые драконовские меры не спасут от разложения немецкую грабьармию.</w:t>
      </w:r>
    </w:p>
    <w:p w14:paraId="0CDD9DA3"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унтер-офицер Генрих Шмидт, недавно прибывший на фронт, писал на родину: «Мы имели уже первые столкновения с противником. Это выглядит ужасно. Многие убиты. Маленький Христиан Кайзер был убит около полевой кухни. Егерь Карл также убит. Многие уже мертвы. Это проклятая война. Наше будущее кажется мне мрачным».</w:t>
      </w:r>
    </w:p>
    <w:p w14:paraId="2CF53156"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отступлении из села Сидорово, Сталинской области, немецкие оккупанты сожгли 71 дом. У всех колхозников отобраны тёплые вещи и продовольствие.</w:t>
      </w:r>
    </w:p>
    <w:p w14:paraId="55726FC8"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убили Гуляренко Валентину — 13 лет, Шевлакову Надежду — 15 лет, Полякова Евдокима — 70 лет и Полякова Филиппа — 90 лет.</w:t>
      </w:r>
    </w:p>
    <w:p w14:paraId="223726B2"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Мужественно борются против венгерских поработителей партизаны Прикарпатской Руси. Отряд, действующий в районе С., совершил нападение на венгерскую моторизованную колонну и сжёг 7 цистерн с бензином. Этот же отряд уничтожил 3 самолёта и взорвал два склада с вооружением. Только за последнее время бойцы отряда уничтожили около 80 венгерских солдат и офицеров. Другой партизанский отряд вблизи деревни Т. взорвал оружейный склад. В результате взрыва погибли свыше 30 венгерских солдат. На железнодорожной линии Мукачёво—Поляна партизаны обстреляли 8 цистерн, бензин из которых вытек на полотно железной дороги.».</w:t>
      </w:r>
    </w:p>
    <w:p w14:paraId="38D448BD"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42F75ED7"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Калининского фронта за период с 11 по 21 марта 1942 года.</w:t>
      </w:r>
    </w:p>
    <w:p w14:paraId="26FE3254"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«Войсками Калининского фронта в боях с противником за период с 11 по 21 марта захвачены следующие трофеи: орудий разных калибров — 66, танков — 5, миномётов — 54, пулемётов — 257, автоматов— 88, винтовок — свыше 1.000, радиостанций — 7, повозок с боеприпасами — 42, гранат — более 2.000, снарядов — более 5.000, патронов винтовочных — свыше 200.000.</w:t>
      </w:r>
    </w:p>
    <w:p w14:paraId="00DD7A4A"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уничтожено: 23 немецких самолёта, 240 автомашин, 17 орудий, до 200 повозок с грузом и 2 склада с боеприпасами.</w:t>
      </w:r>
    </w:p>
    <w:p w14:paraId="4BA91E15" w14:textId="77777777" w:rsidR="00894E99" w:rsidRPr="008127F8" w:rsidRDefault="00894E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11 по 21 марта немцы потеряли в районе Калининского фронта убитыми около 12.000 солдат и офицеров.» (15075).</w:t>
      </w:r>
    </w:p>
    <w:p w14:paraId="31F3E41F" w14:textId="77777777" w:rsidR="00894E99" w:rsidRPr="008127F8" w:rsidRDefault="00894E99" w:rsidP="001E0A84">
      <w:pPr>
        <w:spacing w:after="0" w:line="240" w:lineRule="auto"/>
        <w:jc w:val="both"/>
        <w:rPr>
          <w:rFonts w:ascii="Times New Roman" w:hAnsi="Times New Roman"/>
          <w:color w:val="000000" w:themeColor="text1"/>
          <w:sz w:val="16"/>
          <w:szCs w:val="16"/>
        </w:rPr>
      </w:pPr>
    </w:p>
    <w:p w14:paraId="74834C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 в районе Ржева пятерка ЛаГГов приняла бой с 30 самолетами Люфтваффе, наши истребители сбили пять немецких машин без потерь со своей стороны (4707).</w:t>
      </w:r>
    </w:p>
    <w:p w14:paraId="6C09AA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61C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 во время боя под Ржевом пятерка наших истребителей уничтожила пять из 30 немецких самолетов, не понеся потерь. Более низкая скорость и худшая скороподъемность препятствовали нашим летчикам в боях с истребителями противника, но умелый пилот мог не только обороняться, но и атаковать их. Значительная огневая мощь позволяла ЛаГГ-3 уничтожать вражеские самолеты, несмотря на их довольно сильное бронирование.</w:t>
      </w:r>
    </w:p>
    <w:p w14:paraId="3612B8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Вопреки всем свои минусам, в руках опытного и инициативного летчика он был достаточно сильным оружием. Н.Ф. Исаенко, служивший в 267-м иап и ставший в 1942 г. Героем Советского Союза, вспоминал:</w:t>
      </w:r>
    </w:p>
    <w:p w14:paraId="072E68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"Главными недостатками этого истребителя были плохой обзор задней полусферы и слабая бронезащита. ЛаГГ-3 несколько уступал "мессеру" в скорости, следовательно, и в вертикальном маневре. При знакомстве с машиной прежде всего бросались в глаза своеобразная форма фюзеляжа, дававшая острякам повод называть истребитель "таранькой с икрой", и непомерно большое хвостовое колесо. Летчики, слабо освоившие истребитель, не скупились на насмешки в его адрес, безапелляционно утверждали, что ЛаГГ-3 не в силах противостоять истребителям противника... На самом же деле у "ЛаГГа" помимо недостатков имелись существенные достоинства: на машине стоял исключительно надежный мотор, истребитель был проще в управлении, чем, скажем, МиГ-3, великолепно выполнял фигуры сложного пилотажа..."</w:t>
      </w:r>
    </w:p>
    <w:p w14:paraId="1A5CD4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Машины, оснащенные ракетным вооружением, применяли как против наземных, так и против воздушных целей. Так, в одном из боев лейтенанту Ф.Д. Ме- жуеву удалось двумя РС-82 сбить истребитель, принятый им </w:t>
      </w:r>
      <w:proofErr w:type="gramStart"/>
      <w:r w:rsidRPr="008127F8">
        <w:rPr>
          <w:rFonts w:ascii="Times New Roman" w:hAnsi="Times New Roman"/>
          <w:color w:val="000000" w:themeColor="text1"/>
          <w:sz w:val="16"/>
          <w:szCs w:val="16"/>
        </w:rPr>
        <w:t>за</w:t>
      </w:r>
      <w:proofErr w:type="gramEnd"/>
      <w:r w:rsidRPr="008127F8">
        <w:rPr>
          <w:rFonts w:ascii="Times New Roman" w:hAnsi="Times New Roman"/>
          <w:color w:val="000000" w:themeColor="text1"/>
          <w:sz w:val="16"/>
          <w:szCs w:val="16"/>
        </w:rPr>
        <w:t xml:space="preserve"> Не 113 (видимо, это был Bf 109F). При атаке техники на земле самолеты действовали с пологого пикирования, снижаясь с 1900 - 2000 м до 100 - 200 м (11983).</w:t>
      </w:r>
    </w:p>
    <w:p w14:paraId="765B07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A5D2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вышло Постановление ГКО № 1474 [Об обеспечении подвоза снарядов для Западного фронта.] (7026, 10).</w:t>
      </w:r>
    </w:p>
    <w:p w14:paraId="6313D9C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95E3B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04D76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D0FE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года было получено:</w:t>
      </w:r>
    </w:p>
    <w:p w14:paraId="1AB817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w:t>
      </w:r>
    </w:p>
    <w:p w14:paraId="2360DF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ЛИЧНО И СЕКРЕТНО</w:t>
      </w:r>
    </w:p>
    <w:p w14:paraId="565F5F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Выражаю Вам большую благодарность за Ваш ответ на мою последнюю телеграмму. Лорд Бивербрук выехал в Вашингтон, где он в переговорах с Президентом поможет урегулировать вопрос о договоре в соответствии с обменом мнениями между нами и между нашими правительствами.</w:t>
      </w:r>
    </w:p>
    <w:p w14:paraId="23CE40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Посол Майский был у меня на завтраке на прошлой неделе и упоминал о некоторых признаках того, что немцы при попытке своего весеннего наступления могут использовать газы против Вашей страны. Посоветовавшись с моими коллегами и начальниками штабов, я хочу заверить Вас в том, что Правительство Его Величества будет рассматривать всякое использование ядовитых газов как оружия против России точно так же, как если бы это оружие было направлено против нас самих. Я создал колоссальные запасы газовых бомб для сбрасывания с самолетов, и мы не преминем использовать эти бомбы для сбрасывания на все подходящие объекты в Западной Германии, начиная с того момента, когда Ваши армии и народ подвергнутся нападению подобными средствами.</w:t>
      </w:r>
    </w:p>
    <w:p w14:paraId="3A7C13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Представляется необходимым рассмотреть вопрос о том, следовало ли бы нам в соответствующий момент выступить с публичным предупреждением о том, что таково наше решение. Подобное предупреждение могло бы удержать немцев от добавления нового ужаса к тем многим, в которые они уже ввергли мир. Прошу Вас </w:t>
      </w:r>
      <w:r w:rsidRPr="008127F8">
        <w:rPr>
          <w:rFonts w:ascii="Times New Roman" w:hAnsi="Times New Roman"/>
          <w:color w:val="000000" w:themeColor="text1"/>
          <w:sz w:val="16"/>
          <w:szCs w:val="16"/>
        </w:rPr>
        <w:lastRenderedPageBreak/>
        <w:t>сообщить мне, что Вы думаете по этому поводу, а также оправдывают ли признаки подготовки немцами газовой войны это предупреждение.</w:t>
      </w:r>
    </w:p>
    <w:p w14:paraId="450EB5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Вопрос не имеет особой спешности, но, прежде чем я приму меры, которые могут навлечь на наших граждан эту новую форму нападения, я должен, конечно, иметь в своем распоряжении достаточно времени для приведения в полную готовность всех наших противохимических средств.</w:t>
      </w:r>
    </w:p>
    <w:p w14:paraId="60586F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Я надеюсь, что Вы предоставите нашему новому Послу </w:t>
      </w:r>
      <w:r w:rsidRPr="008127F8">
        <w:rPr>
          <w:rFonts w:ascii="Times New Roman" w:hAnsi="Times New Roman"/>
          <w:color w:val="000000" w:themeColor="text1"/>
          <w:sz w:val="16"/>
          <w:szCs w:val="16"/>
          <w:vertAlign w:val="superscript"/>
        </w:rPr>
        <w:t>15</w:t>
      </w:r>
      <w:r w:rsidRPr="008127F8">
        <w:rPr>
          <w:rFonts w:ascii="Times New Roman" w:hAnsi="Times New Roman"/>
          <w:color w:val="000000" w:themeColor="text1"/>
          <w:sz w:val="16"/>
          <w:szCs w:val="16"/>
        </w:rPr>
        <w:t xml:space="preserve"> возможность лично вручить это послание и лично переговорить с Вами. Он приехал, как Вам известно, от генерала Чан </w:t>
      </w:r>
      <w:proofErr w:type="gramStart"/>
      <w:r w:rsidRPr="008127F8">
        <w:rPr>
          <w:rFonts w:ascii="Times New Roman" w:hAnsi="Times New Roman"/>
          <w:color w:val="000000" w:themeColor="text1"/>
          <w:sz w:val="16"/>
          <w:szCs w:val="16"/>
        </w:rPr>
        <w:t>Кай-ши</w:t>
      </w:r>
      <w:proofErr w:type="gramEnd"/>
      <w:r w:rsidRPr="008127F8">
        <w:rPr>
          <w:rFonts w:ascii="Times New Roman" w:hAnsi="Times New Roman"/>
          <w:color w:val="000000" w:themeColor="text1"/>
          <w:sz w:val="16"/>
          <w:szCs w:val="16"/>
        </w:rPr>
        <w:t>, с которым он поддерживал тесный личный контакт в течение последних четырех лет. По моему мнению, он пользовался со стороны генерала высоким уважением и доверием. Я надеюсь и верю, что он также заслужит Ваше доверие. Он в течение многих лет является моим личным другом (7430).</w:t>
      </w:r>
    </w:p>
    <w:p w14:paraId="3BB80D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943B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BA66D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0E9120" w14:textId="77777777" w:rsidR="00DC1499" w:rsidRPr="008127F8" w:rsidRDefault="00DC14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HMS Eagle осуществляет вторую доставку «Спитфайров» на Мальту – доставив 9 (20793).</w:t>
      </w:r>
    </w:p>
    <w:p w14:paraId="0CE228BB" w14:textId="77777777" w:rsidR="00DC1499" w:rsidRPr="008127F8" w:rsidRDefault="00DC1499" w:rsidP="001E0A84">
      <w:pPr>
        <w:spacing w:after="0" w:line="240" w:lineRule="auto"/>
        <w:jc w:val="both"/>
        <w:rPr>
          <w:rFonts w:ascii="Times New Roman" w:hAnsi="Times New Roman"/>
          <w:color w:val="000000" w:themeColor="text1"/>
          <w:sz w:val="16"/>
          <w:szCs w:val="16"/>
        </w:rPr>
      </w:pPr>
    </w:p>
    <w:p w14:paraId="1ABD51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марта 1942 начало Arbeitiensatz, когда 7.5 млн. иностранных рабочих и 30 млн. немцев были призваны для работы на военных заводах немецкого рейха (2245,3).</w:t>
      </w:r>
    </w:p>
    <w:p w14:paraId="6BDE7D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E579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CC2A4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3562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1480 О производстве самолета 103 на заводе № 166 г. Омска. РГАНИР, Фонд ГКО, д. 25, лл. 16 (11012).</w:t>
      </w:r>
    </w:p>
    <w:p w14:paraId="450B3C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D464E" w14:textId="77777777" w:rsidR="002E47C0" w:rsidRPr="008127F8" w:rsidRDefault="002E47C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1480 О производстве самолета 103 на заводе № 166 г. Омска</w:t>
      </w:r>
    </w:p>
    <w:p w14:paraId="0D1EFA93" w14:textId="77777777" w:rsidR="002E47C0" w:rsidRPr="008127F8" w:rsidRDefault="002E47C0"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отмену постановления ГОКО № 1462сс от 16 марта 1942 го</w:t>
      </w:r>
      <w:r w:rsidRPr="008127F8">
        <w:rPr>
          <w:rFonts w:ascii="Times New Roman" w:cs="Times New Roman"/>
          <w:color w:val="000000" w:themeColor="text1"/>
          <w:spacing w:val="0"/>
          <w:sz w:val="16"/>
          <w:szCs w:val="16"/>
        </w:rPr>
        <w:softHyphen/>
        <w:t>да Государственный Комитет Обороны постановляет:</w:t>
      </w:r>
    </w:p>
    <w:p w14:paraId="787FA3E1" w14:textId="77777777" w:rsidR="002E47C0" w:rsidRPr="008127F8" w:rsidRDefault="002E47C0" w:rsidP="001E0A84">
      <w:pPr>
        <w:pStyle w:val="36"/>
        <w:shd w:val="clear" w:color="auto" w:fill="auto"/>
        <w:tabs>
          <w:tab w:val="left" w:pos="92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 Обязать завод № 166 в г.Омске производить самолеты "103" с 2М-82 в основном варианте.</w:t>
      </w:r>
    </w:p>
    <w:p w14:paraId="53BEDDB5" w14:textId="77777777" w:rsidR="002E47C0" w:rsidRPr="008127F8" w:rsidRDefault="002E47C0" w:rsidP="001E0A84">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2. Установить программу заводу № 166 по выпуску самолетов "103" на 1942 год в количестве 290 тт., из них:</w:t>
      </w:r>
    </w:p>
    <w:p w14:paraId="5C4C430B" w14:textId="77777777" w:rsidR="002E47C0" w:rsidRPr="008127F8" w:rsidRDefault="002E47C0" w:rsidP="001E0A84">
      <w:pPr>
        <w:pStyle w:val="36"/>
        <w:shd w:val="clear" w:color="auto" w:fill="auto"/>
        <w:tabs>
          <w:tab w:val="left" w:pos="200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апреле - 3 самолета</w:t>
      </w:r>
      <w:r w:rsidRPr="008127F8">
        <w:rPr>
          <w:rFonts w:ascii="Times New Roman" w:cs="Times New Roman"/>
          <w:color w:val="000000" w:themeColor="text1"/>
          <w:spacing w:val="0"/>
          <w:sz w:val="16"/>
          <w:szCs w:val="16"/>
        </w:rPr>
        <w:tab/>
        <w:t xml:space="preserve"> в сентябре - 35 самолетов</w:t>
      </w:r>
    </w:p>
    <w:p w14:paraId="74B4D21D" w14:textId="77777777" w:rsidR="002E47C0" w:rsidRPr="008127F8" w:rsidRDefault="002E47C0" w:rsidP="001E0A84">
      <w:pPr>
        <w:pStyle w:val="36"/>
        <w:shd w:val="clear" w:color="auto" w:fill="auto"/>
        <w:tabs>
          <w:tab w:val="left" w:pos="200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мае - 5 самолетов</w:t>
      </w:r>
      <w:r w:rsidRPr="008127F8">
        <w:rPr>
          <w:rFonts w:ascii="Times New Roman" w:cs="Times New Roman"/>
          <w:color w:val="000000" w:themeColor="text1"/>
          <w:spacing w:val="0"/>
          <w:sz w:val="16"/>
          <w:szCs w:val="16"/>
        </w:rPr>
        <w:tab/>
        <w:t>в октябре - 56 -"-</w:t>
      </w:r>
    </w:p>
    <w:p w14:paraId="57ED898F" w14:textId="77777777" w:rsidR="002E47C0" w:rsidRPr="008127F8" w:rsidRDefault="002E47C0" w:rsidP="001E0A84">
      <w:pPr>
        <w:pStyle w:val="36"/>
        <w:shd w:val="clear" w:color="auto" w:fill="auto"/>
        <w:tabs>
          <w:tab w:val="left" w:pos="2000"/>
          <w:tab w:val="left" w:pos="386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июне - 10</w:t>
      </w:r>
      <w:r w:rsidRPr="008127F8">
        <w:rPr>
          <w:rFonts w:ascii="Times New Roman" w:cs="Times New Roman"/>
          <w:color w:val="000000" w:themeColor="text1"/>
          <w:spacing w:val="0"/>
          <w:sz w:val="16"/>
          <w:szCs w:val="16"/>
        </w:rPr>
        <w:tab/>
        <w:t>в ноябре - 60 -"-</w:t>
      </w:r>
    </w:p>
    <w:p w14:paraId="4EC329DC" w14:textId="77777777" w:rsidR="002E47C0" w:rsidRPr="008127F8" w:rsidRDefault="002E47C0"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июле - 18 -"-</w:t>
      </w:r>
      <w:r w:rsidRPr="008127F8">
        <w:rPr>
          <w:rFonts w:ascii="Times New Roman" w:cs="Times New Roman"/>
          <w:color w:val="000000" w:themeColor="text1"/>
          <w:spacing w:val="0"/>
          <w:sz w:val="16"/>
          <w:szCs w:val="16"/>
        </w:rPr>
        <w:tab/>
        <w:t>в декабре - 75 в августе - 28 -*-</w:t>
      </w:r>
    </w:p>
    <w:p w14:paraId="3029C0E1" w14:textId="77777777" w:rsidR="002E47C0" w:rsidRPr="008127F8" w:rsidRDefault="002E47C0" w:rsidP="001E0A84">
      <w:pPr>
        <w:pStyle w:val="36"/>
        <w:shd w:val="clear" w:color="auto" w:fill="auto"/>
        <w:tabs>
          <w:tab w:val="left" w:pos="950"/>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3. Обявать директора завода № 166 - т.Соколова и Главного конструктора - т.Туполева обеспечить безусловное выполнение установленной настоящим постановлением программы по выпуску самолетов "103" с 2М-82.</w:t>
      </w:r>
    </w:p>
    <w:p w14:paraId="4CD9370D" w14:textId="77777777" w:rsidR="002E47C0" w:rsidRPr="008127F8" w:rsidRDefault="002E47C0" w:rsidP="001E0A84">
      <w:pPr>
        <w:pStyle w:val="36"/>
        <w:shd w:val="clear" w:color="auto" w:fill="auto"/>
        <w:tabs>
          <w:tab w:val="left" w:pos="96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4. Во изменение постановления ГОКО № 1465сс от 16.Ш.42г. для обеспечения программы, установленной настоящим постановле</w:t>
      </w:r>
      <w:r w:rsidRPr="008127F8">
        <w:rPr>
          <w:rFonts w:ascii="Times New Roman" w:cs="Times New Roman"/>
          <w:color w:val="000000" w:themeColor="text1"/>
          <w:spacing w:val="0"/>
          <w:sz w:val="16"/>
          <w:szCs w:val="16"/>
        </w:rPr>
        <w:softHyphen/>
        <w:t>нием, передать заводу № 156 оборудование с опытной базы кон</w:t>
      </w:r>
      <w:r w:rsidRPr="008127F8">
        <w:rPr>
          <w:rFonts w:ascii="Times New Roman" w:cs="Times New Roman"/>
          <w:color w:val="000000" w:themeColor="text1"/>
          <w:spacing w:val="0"/>
          <w:sz w:val="16"/>
          <w:szCs w:val="16"/>
        </w:rPr>
        <w:softHyphen/>
        <w:t>структорского бюро т.Поликарпова в количестве 94 единиц и с опытной базы т.Сухого в количестве 120 единиц, вместо намечае</w:t>
      </w:r>
      <w:r w:rsidRPr="008127F8">
        <w:rPr>
          <w:rFonts w:ascii="Times New Roman" w:cs="Times New Roman"/>
          <w:color w:val="000000" w:themeColor="text1"/>
          <w:spacing w:val="0"/>
          <w:sz w:val="16"/>
          <w:szCs w:val="16"/>
        </w:rPr>
        <w:softHyphen/>
        <w:t>мой ранее передачи заводу № 23.</w:t>
      </w:r>
    </w:p>
    <w:p w14:paraId="4421DA38" w14:textId="77777777" w:rsidR="002E47C0" w:rsidRPr="008127F8" w:rsidRDefault="002E47C0" w:rsidP="001E0A84">
      <w:pPr>
        <w:pStyle w:val="36"/>
        <w:shd w:val="clear" w:color="auto" w:fill="auto"/>
        <w:tabs>
          <w:tab w:val="left" w:pos="943"/>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5. Отменить пункты 4,7,9 и 10 постановления ГОКО № 1462сс от </w:t>
      </w:r>
      <w:proofErr w:type="gramStart"/>
      <w:r w:rsidRPr="008127F8">
        <w:rPr>
          <w:rFonts w:ascii="Times New Roman" w:cs="Times New Roman"/>
          <w:color w:val="000000" w:themeColor="text1"/>
          <w:spacing w:val="0"/>
          <w:sz w:val="16"/>
          <w:szCs w:val="16"/>
        </w:rPr>
        <w:t>16.Ш.</w:t>
      </w:r>
      <w:proofErr w:type="gramEnd"/>
      <w:r w:rsidRPr="008127F8">
        <w:rPr>
          <w:rFonts w:ascii="Times New Roman" w:cs="Times New Roman"/>
          <w:color w:val="000000" w:themeColor="text1"/>
          <w:spacing w:val="0"/>
          <w:sz w:val="16"/>
          <w:szCs w:val="16"/>
        </w:rPr>
        <w:t>42 года в части расформирования завода № 288, утвержде</w:t>
      </w:r>
      <w:r w:rsidRPr="008127F8">
        <w:rPr>
          <w:rFonts w:ascii="Times New Roman" w:cs="Times New Roman"/>
          <w:color w:val="000000" w:themeColor="text1"/>
          <w:spacing w:val="0"/>
          <w:sz w:val="16"/>
          <w:szCs w:val="16"/>
        </w:rPr>
        <w:softHyphen/>
        <w:t>ния главного инженера, перевода в Москву конструкторских бюро т.т.Туполева и Мясищева.</w:t>
      </w:r>
    </w:p>
    <w:p w14:paraId="61BD70C8" w14:textId="77777777" w:rsidR="002E47C0" w:rsidRPr="008127F8" w:rsidRDefault="002E47C0" w:rsidP="001E0A84">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6. Обяэать НКО предоставить на 1942 год отсрочку от призы</w:t>
      </w:r>
      <w:r w:rsidRPr="008127F8">
        <w:rPr>
          <w:rFonts w:ascii="Times New Roman" w:cs="Times New Roman"/>
          <w:color w:val="000000" w:themeColor="text1"/>
          <w:spacing w:val="0"/>
          <w:sz w:val="16"/>
          <w:szCs w:val="16"/>
        </w:rPr>
        <w:softHyphen/>
        <w:t>ва и мобилизации в ряды Красной Армии призывникам 1922-23-24 годов рождения.</w:t>
      </w:r>
    </w:p>
    <w:p w14:paraId="3B9C8BB6" w14:textId="77777777" w:rsidR="002E47C0" w:rsidRPr="008127F8" w:rsidRDefault="002E47C0" w:rsidP="001E0A84">
      <w:pPr>
        <w:pStyle w:val="36"/>
        <w:shd w:val="clear" w:color="auto" w:fill="auto"/>
        <w:tabs>
          <w:tab w:val="left" w:pos="95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7. Указать директору Кировского завода т.Махонину на не</w:t>
      </w:r>
      <w:r w:rsidRPr="008127F8">
        <w:rPr>
          <w:rFonts w:ascii="Times New Roman" w:cs="Times New Roman"/>
          <w:color w:val="000000" w:themeColor="text1"/>
          <w:spacing w:val="0"/>
          <w:sz w:val="16"/>
          <w:szCs w:val="16"/>
        </w:rPr>
        <w:softHyphen/>
        <w:t>выполнение им постановления ГОКО № 1235сс от 2.П.42г. и обязать покрыть задолженность заводу № 166 по черной штамповке для са</w:t>
      </w:r>
      <w:r w:rsidRPr="008127F8">
        <w:rPr>
          <w:rFonts w:ascii="Times New Roman" w:cs="Times New Roman"/>
          <w:color w:val="000000" w:themeColor="text1"/>
          <w:spacing w:val="0"/>
          <w:sz w:val="16"/>
          <w:szCs w:val="16"/>
        </w:rPr>
        <w:softHyphen/>
        <w:t>молета "103" в количестве 26 наименовании не позднее 10 апреля 1942 года и обеспечить нормальную подачу штамповки заводу №166 в соответствии с утвержденной настоящим постановлением програм</w:t>
      </w:r>
      <w:r w:rsidRPr="008127F8">
        <w:rPr>
          <w:rFonts w:ascii="Times New Roman" w:cs="Times New Roman"/>
          <w:color w:val="000000" w:themeColor="text1"/>
          <w:spacing w:val="0"/>
          <w:sz w:val="16"/>
          <w:szCs w:val="16"/>
        </w:rPr>
        <w:softHyphen/>
        <w:t>мой.</w:t>
      </w:r>
    </w:p>
    <w:p w14:paraId="7FA8A3E6" w14:textId="77777777" w:rsidR="002E47C0" w:rsidRPr="008127F8" w:rsidRDefault="002E47C0" w:rsidP="001E0A84">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8. Обявать Омский облисполком передать заводу № 166 по балансу на 1 марта 1942 года совхоз В? 1.</w:t>
      </w:r>
    </w:p>
    <w:p w14:paraId="03A4A625" w14:textId="77777777" w:rsidR="002E47C0" w:rsidRPr="008127F8" w:rsidRDefault="002E47C0" w:rsidP="001E0A84">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9. Обязать НКАП - т.Шахурина передать заводу № 166 один самолет ПС 84 завода № 84 в счет майской программы завода (19317).</w:t>
      </w:r>
    </w:p>
    <w:p w14:paraId="5E868905" w14:textId="77777777" w:rsidR="00E62E3D" w:rsidRPr="008127F8" w:rsidRDefault="00E62E3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36B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ГКО постановлением N 1480сс отменил постановление ГКО N 1462сс от 16 марта 1942 о постановке производства самолета ДБ-3Ф на заводе 166 и обязал НКАП и ГК А.Н.Т. поставить производство самолета 103 на заводе 166. Этим же поручением ГКО отменил:</w:t>
      </w:r>
    </w:p>
    <w:p w14:paraId="378A2E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утверждение ГИ завода Д.В.Голеева</w:t>
      </w:r>
    </w:p>
    <w:p w14:paraId="4B1649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расформирование завода 288</w:t>
      </w:r>
    </w:p>
    <w:p w14:paraId="311428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перевод КБ А.Н.Т. и В.М.М. в Москву и проведение всесторонних испытаний выпущенных на заводе самолетов 103 с М-82 (1543,83).</w:t>
      </w:r>
    </w:p>
    <w:p w14:paraId="6D5D67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5B3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года постановле</w:t>
      </w:r>
      <w:r w:rsidRPr="008127F8">
        <w:rPr>
          <w:rFonts w:ascii="Times New Roman" w:hAnsi="Times New Roman"/>
          <w:color w:val="000000" w:themeColor="text1"/>
          <w:sz w:val="16"/>
          <w:szCs w:val="16"/>
        </w:rPr>
        <w:softHyphen/>
        <w:t>нием ГКО № 1480 «О производстве самолета «103» на заводе № 166 в г. Омске» с ап</w:t>
      </w:r>
      <w:r w:rsidRPr="008127F8">
        <w:rPr>
          <w:rFonts w:ascii="Times New Roman" w:hAnsi="Times New Roman"/>
          <w:color w:val="000000" w:themeColor="text1"/>
          <w:sz w:val="16"/>
          <w:szCs w:val="16"/>
        </w:rPr>
        <w:softHyphen/>
        <w:t>реля 1942 года выпуск самолета как фронтового бомбардировщика все же возобновился. В этом же месяце были построены два первых серийных Ту-2, но что с ними делать дальше было неясно: госиспытаний самолет еще не проходил (10686).</w:t>
      </w:r>
    </w:p>
    <w:p w14:paraId="79C721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6DE9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0768C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FC641C" w14:textId="77777777" w:rsidR="00442EAC"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1478 О плане производства танков Т-34 и танковых дивизий В-2 во II квартале 1942 г. РГАНИР, Фонд ГКО, д. 25, лл. 14 (11012).</w:t>
      </w:r>
    </w:p>
    <w:p w14:paraId="03994557" w14:textId="77777777" w:rsidR="00442EAC" w:rsidRPr="008127F8" w:rsidRDefault="00442EAC"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5D2CE" w14:textId="77777777" w:rsidR="00442EAC"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22 марта 1942 вышло:</w:t>
      </w:r>
    </w:p>
    <w:p w14:paraId="3C74E527" w14:textId="77777777" w:rsidR="00442EAC"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ПОСТАНОВЛЕНИЕ ГОСУДАРСТВЕННОГО КОМИТЕТА ОБОРОНЫ № 1478сс от 22 марта 1942 г.</w:t>
      </w:r>
    </w:p>
    <w:p w14:paraId="6B87EB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плане производства танков Т-34 и танковых дизелей В-2 во II квартале 1942 года.</w:t>
      </w:r>
    </w:p>
    <w:p w14:paraId="586166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2BB101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Утвердить план выпуска танков Т-34 во II квартале 1942 г. по заводам Наркомтанкопрома в следующих количествах: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205"/>
        <w:gridCol w:w="2070"/>
        <w:gridCol w:w="2145"/>
        <w:gridCol w:w="1860"/>
        <w:gridCol w:w="1875"/>
      </w:tblGrid>
      <w:tr w:rsidR="006F4095" w:rsidRPr="008127F8" w14:paraId="775D7C43" w14:textId="77777777" w:rsidTr="007E67CF">
        <w:trPr>
          <w:jc w:val="center"/>
        </w:trPr>
        <w:tc>
          <w:tcPr>
            <w:tcW w:w="2205" w:type="dxa"/>
            <w:tcBorders>
              <w:top w:val="single" w:sz="12" w:space="0" w:color="auto"/>
            </w:tcBorders>
          </w:tcPr>
          <w:p w14:paraId="408681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Завод-изготовитель</w:t>
            </w:r>
          </w:p>
        </w:tc>
        <w:tc>
          <w:tcPr>
            <w:tcW w:w="2070" w:type="dxa"/>
            <w:tcBorders>
              <w:top w:val="single" w:sz="12" w:space="0" w:color="auto"/>
            </w:tcBorders>
          </w:tcPr>
          <w:p w14:paraId="031FEB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во II квартале</w:t>
            </w:r>
          </w:p>
        </w:tc>
        <w:tc>
          <w:tcPr>
            <w:tcW w:w="2145" w:type="dxa"/>
            <w:gridSpan w:val="3"/>
            <w:tcBorders>
              <w:top w:val="single" w:sz="12" w:space="0" w:color="auto"/>
            </w:tcBorders>
          </w:tcPr>
          <w:p w14:paraId="7AAA6E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tc>
      </w:tr>
      <w:tr w:rsidR="006F4095" w:rsidRPr="008127F8" w14:paraId="5E669666" w14:textId="77777777">
        <w:trPr>
          <w:jc w:val="center"/>
        </w:trPr>
        <w:tc>
          <w:tcPr>
            <w:tcW w:w="2205" w:type="dxa"/>
          </w:tcPr>
          <w:p w14:paraId="587518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70" w:type="dxa"/>
          </w:tcPr>
          <w:p w14:paraId="1F44E0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45" w:type="dxa"/>
          </w:tcPr>
          <w:p w14:paraId="306027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1860" w:type="dxa"/>
          </w:tcPr>
          <w:p w14:paraId="73DC14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а й.</w:t>
            </w:r>
          </w:p>
        </w:tc>
        <w:tc>
          <w:tcPr>
            <w:tcW w:w="1875" w:type="dxa"/>
          </w:tcPr>
          <w:p w14:paraId="5D0330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r>
      <w:tr w:rsidR="006F4095" w:rsidRPr="008127F8" w14:paraId="35A49746" w14:textId="77777777">
        <w:trPr>
          <w:jc w:val="center"/>
        </w:trPr>
        <w:tc>
          <w:tcPr>
            <w:tcW w:w="2205" w:type="dxa"/>
          </w:tcPr>
          <w:p w14:paraId="20A4B3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 З ………</w:t>
            </w:r>
          </w:p>
        </w:tc>
        <w:tc>
          <w:tcPr>
            <w:tcW w:w="2070" w:type="dxa"/>
          </w:tcPr>
          <w:p w14:paraId="6977C3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1045 шт.</w:t>
            </w:r>
          </w:p>
        </w:tc>
        <w:tc>
          <w:tcPr>
            <w:tcW w:w="2145" w:type="dxa"/>
          </w:tcPr>
          <w:p w14:paraId="329175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шт.</w:t>
            </w:r>
          </w:p>
        </w:tc>
        <w:tc>
          <w:tcPr>
            <w:tcW w:w="1860" w:type="dxa"/>
          </w:tcPr>
          <w:p w14:paraId="114669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 шт.</w:t>
            </w:r>
          </w:p>
        </w:tc>
        <w:tc>
          <w:tcPr>
            <w:tcW w:w="1875" w:type="dxa"/>
          </w:tcPr>
          <w:p w14:paraId="55443B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 шт.</w:t>
            </w:r>
          </w:p>
        </w:tc>
      </w:tr>
      <w:tr w:rsidR="006F4095" w:rsidRPr="008127F8" w14:paraId="68B3B38B" w14:textId="77777777">
        <w:trPr>
          <w:jc w:val="center"/>
        </w:trPr>
        <w:tc>
          <w:tcPr>
            <w:tcW w:w="2205" w:type="dxa"/>
          </w:tcPr>
          <w:p w14:paraId="064C34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183 </w:t>
            </w:r>
            <w:proofErr w:type="gramStart"/>
            <w:r w:rsidRPr="008127F8">
              <w:rPr>
                <w:rFonts w:ascii="Times New Roman" w:hAnsi="Times New Roman"/>
                <w:color w:val="000000" w:themeColor="text1"/>
                <w:sz w:val="16"/>
                <w:szCs w:val="16"/>
              </w:rPr>
              <w:t>…….</w:t>
            </w:r>
            <w:proofErr w:type="gramEnd"/>
          </w:p>
        </w:tc>
        <w:tc>
          <w:tcPr>
            <w:tcW w:w="2070" w:type="dxa"/>
          </w:tcPr>
          <w:p w14:paraId="34792F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1325 "</w:t>
            </w:r>
          </w:p>
        </w:tc>
        <w:tc>
          <w:tcPr>
            <w:tcW w:w="2145" w:type="dxa"/>
          </w:tcPr>
          <w:p w14:paraId="28204D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 "</w:t>
            </w:r>
          </w:p>
        </w:tc>
        <w:tc>
          <w:tcPr>
            <w:tcW w:w="1860" w:type="dxa"/>
          </w:tcPr>
          <w:p w14:paraId="7A42F4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w:t>
            </w:r>
          </w:p>
        </w:tc>
        <w:tc>
          <w:tcPr>
            <w:tcW w:w="1875" w:type="dxa"/>
          </w:tcPr>
          <w:p w14:paraId="759824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w:t>
            </w:r>
          </w:p>
        </w:tc>
      </w:tr>
      <w:tr w:rsidR="006F4095" w:rsidRPr="008127F8" w14:paraId="19185A2A" w14:textId="77777777">
        <w:trPr>
          <w:jc w:val="center"/>
        </w:trPr>
        <w:tc>
          <w:tcPr>
            <w:tcW w:w="2205" w:type="dxa"/>
          </w:tcPr>
          <w:p w14:paraId="50FBC4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112 </w:t>
            </w:r>
            <w:proofErr w:type="gramStart"/>
            <w:r w:rsidRPr="008127F8">
              <w:rPr>
                <w:rFonts w:ascii="Times New Roman" w:hAnsi="Times New Roman"/>
                <w:color w:val="000000" w:themeColor="text1"/>
                <w:sz w:val="16"/>
                <w:szCs w:val="16"/>
              </w:rPr>
              <w:t>…….</w:t>
            </w:r>
            <w:proofErr w:type="gramEnd"/>
          </w:p>
        </w:tc>
        <w:tc>
          <w:tcPr>
            <w:tcW w:w="2070" w:type="dxa"/>
          </w:tcPr>
          <w:p w14:paraId="65BE5B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w:t>
            </w:r>
          </w:p>
        </w:tc>
        <w:tc>
          <w:tcPr>
            <w:tcW w:w="2145" w:type="dxa"/>
          </w:tcPr>
          <w:p w14:paraId="52B674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 "</w:t>
            </w:r>
          </w:p>
        </w:tc>
        <w:tc>
          <w:tcPr>
            <w:tcW w:w="1860" w:type="dxa"/>
          </w:tcPr>
          <w:p w14:paraId="3CA620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275 "</w:t>
            </w:r>
          </w:p>
        </w:tc>
        <w:tc>
          <w:tcPr>
            <w:tcW w:w="1875" w:type="dxa"/>
          </w:tcPr>
          <w:p w14:paraId="4C37F0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275 "</w:t>
            </w:r>
          </w:p>
        </w:tc>
      </w:tr>
      <w:tr w:rsidR="006F4095" w:rsidRPr="008127F8" w14:paraId="74D3DC83" w14:textId="77777777">
        <w:trPr>
          <w:jc w:val="center"/>
        </w:trPr>
        <w:tc>
          <w:tcPr>
            <w:tcW w:w="2205" w:type="dxa"/>
          </w:tcPr>
          <w:p w14:paraId="5647BD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174 </w:t>
            </w:r>
            <w:proofErr w:type="gramStart"/>
            <w:r w:rsidRPr="008127F8">
              <w:rPr>
                <w:rFonts w:ascii="Times New Roman" w:hAnsi="Times New Roman"/>
                <w:color w:val="000000" w:themeColor="text1"/>
                <w:sz w:val="16"/>
                <w:szCs w:val="16"/>
              </w:rPr>
              <w:t>…….</w:t>
            </w:r>
            <w:proofErr w:type="gramEnd"/>
          </w:p>
        </w:tc>
        <w:tc>
          <w:tcPr>
            <w:tcW w:w="2070" w:type="dxa"/>
          </w:tcPr>
          <w:p w14:paraId="194817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 "</w:t>
            </w:r>
          </w:p>
        </w:tc>
        <w:tc>
          <w:tcPr>
            <w:tcW w:w="2145" w:type="dxa"/>
          </w:tcPr>
          <w:p w14:paraId="7DB915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0" w:type="dxa"/>
          </w:tcPr>
          <w:p w14:paraId="407912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w:t>
            </w:r>
          </w:p>
        </w:tc>
        <w:tc>
          <w:tcPr>
            <w:tcW w:w="1875" w:type="dxa"/>
          </w:tcPr>
          <w:p w14:paraId="7FC99E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w:t>
            </w:r>
          </w:p>
        </w:tc>
      </w:tr>
      <w:tr w:rsidR="006F4095" w:rsidRPr="008127F8" w14:paraId="69135EF5" w14:textId="77777777">
        <w:trPr>
          <w:jc w:val="center"/>
        </w:trPr>
        <w:tc>
          <w:tcPr>
            <w:tcW w:w="2205" w:type="dxa"/>
            <w:tcBorders>
              <w:bottom w:val="single" w:sz="12" w:space="0" w:color="auto"/>
            </w:tcBorders>
          </w:tcPr>
          <w:p w14:paraId="7EBF79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 е г о:</w:t>
            </w:r>
          </w:p>
        </w:tc>
        <w:tc>
          <w:tcPr>
            <w:tcW w:w="2070" w:type="dxa"/>
            <w:tcBorders>
              <w:bottom w:val="single" w:sz="12" w:space="0" w:color="auto"/>
            </w:tcBorders>
          </w:tcPr>
          <w:p w14:paraId="12A199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3205 "</w:t>
            </w:r>
          </w:p>
        </w:tc>
        <w:tc>
          <w:tcPr>
            <w:tcW w:w="2145" w:type="dxa"/>
            <w:tcBorders>
              <w:bottom w:val="single" w:sz="12" w:space="0" w:color="auto"/>
            </w:tcBorders>
          </w:tcPr>
          <w:p w14:paraId="5C911D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945 "</w:t>
            </w:r>
          </w:p>
        </w:tc>
        <w:tc>
          <w:tcPr>
            <w:tcW w:w="1860" w:type="dxa"/>
            <w:tcBorders>
              <w:bottom w:val="single" w:sz="12" w:space="0" w:color="auto"/>
            </w:tcBorders>
          </w:tcPr>
          <w:p w14:paraId="4636AB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 "</w:t>
            </w:r>
          </w:p>
        </w:tc>
        <w:tc>
          <w:tcPr>
            <w:tcW w:w="1875" w:type="dxa"/>
            <w:tcBorders>
              <w:bottom w:val="single" w:sz="12" w:space="0" w:color="auto"/>
            </w:tcBorders>
          </w:tcPr>
          <w:p w14:paraId="3A51A4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1180 "</w:t>
            </w:r>
          </w:p>
        </w:tc>
      </w:tr>
    </w:tbl>
    <w:p w14:paraId="272EC1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план выпуска дизелей В-2 по заводам Наркомтанкопрома на II квартал 1942 г.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70"/>
        <w:gridCol w:w="1860"/>
        <w:gridCol w:w="1575"/>
        <w:gridCol w:w="1320"/>
        <w:gridCol w:w="1380"/>
        <w:gridCol w:w="2700"/>
      </w:tblGrid>
      <w:tr w:rsidR="006F4095" w:rsidRPr="008127F8" w14:paraId="0BC4665D" w14:textId="77777777">
        <w:trPr>
          <w:jc w:val="center"/>
        </w:trPr>
        <w:tc>
          <w:tcPr>
            <w:tcW w:w="2370" w:type="dxa"/>
            <w:tcBorders>
              <w:top w:val="single" w:sz="12" w:space="0" w:color="auto"/>
            </w:tcBorders>
          </w:tcPr>
          <w:p w14:paraId="47BBB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Завод-изготовитель</w:t>
            </w:r>
          </w:p>
        </w:tc>
        <w:tc>
          <w:tcPr>
            <w:tcW w:w="1860" w:type="dxa"/>
            <w:tcBorders>
              <w:top w:val="single" w:sz="12" w:space="0" w:color="auto"/>
            </w:tcBorders>
          </w:tcPr>
          <w:p w14:paraId="08297D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 II квартал</w:t>
            </w:r>
          </w:p>
        </w:tc>
        <w:tc>
          <w:tcPr>
            <w:tcW w:w="1575" w:type="dxa"/>
            <w:tcBorders>
              <w:top w:val="single" w:sz="12" w:space="0" w:color="auto"/>
            </w:tcBorders>
          </w:tcPr>
          <w:p w14:paraId="3AB36A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1320" w:type="dxa"/>
            <w:tcBorders>
              <w:top w:val="single" w:sz="12" w:space="0" w:color="auto"/>
            </w:tcBorders>
          </w:tcPr>
          <w:p w14:paraId="0FFE44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380" w:type="dxa"/>
            <w:tcBorders>
              <w:top w:val="single" w:sz="12" w:space="0" w:color="auto"/>
            </w:tcBorders>
          </w:tcPr>
          <w:p w14:paraId="289E71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2700" w:type="dxa"/>
            <w:tcBorders>
              <w:top w:val="single" w:sz="12" w:space="0" w:color="auto"/>
            </w:tcBorders>
          </w:tcPr>
          <w:p w14:paraId="618378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48124C0C" w14:textId="77777777">
        <w:trPr>
          <w:jc w:val="center"/>
        </w:trPr>
        <w:tc>
          <w:tcPr>
            <w:tcW w:w="2370" w:type="dxa"/>
          </w:tcPr>
          <w:p w14:paraId="0897AD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Кировский…</w:t>
            </w:r>
          </w:p>
        </w:tc>
        <w:tc>
          <w:tcPr>
            <w:tcW w:w="1860" w:type="dxa"/>
          </w:tcPr>
          <w:p w14:paraId="3DF9AE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2235*</w:t>
            </w:r>
          </w:p>
        </w:tc>
        <w:tc>
          <w:tcPr>
            <w:tcW w:w="1575" w:type="dxa"/>
          </w:tcPr>
          <w:p w14:paraId="2EAFFE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w:t>
            </w:r>
          </w:p>
        </w:tc>
        <w:tc>
          <w:tcPr>
            <w:tcW w:w="1320" w:type="dxa"/>
          </w:tcPr>
          <w:p w14:paraId="30BB40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775</w:t>
            </w:r>
          </w:p>
        </w:tc>
        <w:tc>
          <w:tcPr>
            <w:tcW w:w="1380" w:type="dxa"/>
          </w:tcPr>
          <w:p w14:paraId="1AB8F7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810</w:t>
            </w:r>
          </w:p>
        </w:tc>
        <w:tc>
          <w:tcPr>
            <w:tcW w:w="2700" w:type="dxa"/>
          </w:tcPr>
          <w:p w14:paraId="44EEC4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Их них:</w:t>
            </w:r>
          </w:p>
          <w:p w14:paraId="16E7C0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З-ду № 112 – 900 шт.</w:t>
            </w:r>
          </w:p>
          <w:p w14:paraId="53E3AC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№183 – 300 "</w:t>
            </w:r>
          </w:p>
          <w:p w14:paraId="605548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№174 – 80 "</w:t>
            </w:r>
          </w:p>
          <w:p w14:paraId="42C985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ГАВТУ КА – 50 "</w:t>
            </w:r>
          </w:p>
        </w:tc>
      </w:tr>
      <w:tr w:rsidR="006F4095" w:rsidRPr="008127F8" w14:paraId="1BC4EE34" w14:textId="77777777">
        <w:trPr>
          <w:jc w:val="center"/>
        </w:trPr>
        <w:tc>
          <w:tcPr>
            <w:tcW w:w="2370" w:type="dxa"/>
          </w:tcPr>
          <w:p w14:paraId="00FC41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 З ………</w:t>
            </w:r>
          </w:p>
        </w:tc>
        <w:tc>
          <w:tcPr>
            <w:tcW w:w="1860" w:type="dxa"/>
          </w:tcPr>
          <w:p w14:paraId="68595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1230 **</w:t>
            </w:r>
          </w:p>
        </w:tc>
        <w:tc>
          <w:tcPr>
            <w:tcW w:w="1575" w:type="dxa"/>
          </w:tcPr>
          <w:p w14:paraId="45B0F9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320" w:type="dxa"/>
          </w:tcPr>
          <w:p w14:paraId="3162B7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w:t>
            </w:r>
          </w:p>
        </w:tc>
        <w:tc>
          <w:tcPr>
            <w:tcW w:w="1380" w:type="dxa"/>
          </w:tcPr>
          <w:p w14:paraId="33140D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w:t>
            </w:r>
          </w:p>
        </w:tc>
        <w:tc>
          <w:tcPr>
            <w:tcW w:w="2700" w:type="dxa"/>
          </w:tcPr>
          <w:p w14:paraId="23440F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Их них:</w:t>
            </w:r>
          </w:p>
          <w:p w14:paraId="05229B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ГАВТУ КА – 100 "</w:t>
            </w:r>
          </w:p>
        </w:tc>
      </w:tr>
      <w:tr w:rsidR="006F4095" w:rsidRPr="008127F8" w14:paraId="6A27E145" w14:textId="77777777">
        <w:trPr>
          <w:jc w:val="center"/>
        </w:trPr>
        <w:tc>
          <w:tcPr>
            <w:tcW w:w="2370" w:type="dxa"/>
          </w:tcPr>
          <w:p w14:paraId="6CF2F4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76 </w:t>
            </w:r>
            <w:proofErr w:type="gramStart"/>
            <w:r w:rsidRPr="008127F8">
              <w:rPr>
                <w:rFonts w:ascii="Times New Roman" w:hAnsi="Times New Roman"/>
                <w:color w:val="000000" w:themeColor="text1"/>
                <w:sz w:val="16"/>
                <w:szCs w:val="16"/>
              </w:rPr>
              <w:t>…….</w:t>
            </w:r>
            <w:proofErr w:type="gramEnd"/>
          </w:p>
        </w:tc>
        <w:tc>
          <w:tcPr>
            <w:tcW w:w="1860" w:type="dxa"/>
          </w:tcPr>
          <w:p w14:paraId="3F8FCC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1090 ***</w:t>
            </w:r>
          </w:p>
        </w:tc>
        <w:tc>
          <w:tcPr>
            <w:tcW w:w="1575" w:type="dxa"/>
          </w:tcPr>
          <w:p w14:paraId="0A94FC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1320" w:type="dxa"/>
          </w:tcPr>
          <w:p w14:paraId="10B6D1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c>
          <w:tcPr>
            <w:tcW w:w="1380" w:type="dxa"/>
          </w:tcPr>
          <w:p w14:paraId="507DF2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w:t>
            </w:r>
          </w:p>
        </w:tc>
        <w:tc>
          <w:tcPr>
            <w:tcW w:w="2700" w:type="dxa"/>
          </w:tcPr>
          <w:p w14:paraId="0AD4B2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Их них:</w:t>
            </w:r>
          </w:p>
          <w:p w14:paraId="1CC5C5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ГАВТУ КА – 50 "</w:t>
            </w:r>
          </w:p>
        </w:tc>
      </w:tr>
      <w:tr w:rsidR="006F4095" w:rsidRPr="008127F8" w14:paraId="61EC5899" w14:textId="77777777">
        <w:trPr>
          <w:jc w:val="center"/>
        </w:trPr>
        <w:tc>
          <w:tcPr>
            <w:tcW w:w="2370" w:type="dxa"/>
            <w:tcBorders>
              <w:bottom w:val="single" w:sz="12" w:space="0" w:color="auto"/>
            </w:tcBorders>
          </w:tcPr>
          <w:p w14:paraId="16F9F7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 е г о:</w:t>
            </w:r>
          </w:p>
        </w:tc>
        <w:tc>
          <w:tcPr>
            <w:tcW w:w="1860" w:type="dxa"/>
            <w:tcBorders>
              <w:bottom w:val="single" w:sz="12" w:space="0" w:color="auto"/>
            </w:tcBorders>
          </w:tcPr>
          <w:p w14:paraId="0EA9DD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4515 шт.</w:t>
            </w:r>
          </w:p>
        </w:tc>
        <w:tc>
          <w:tcPr>
            <w:tcW w:w="1575" w:type="dxa"/>
            <w:tcBorders>
              <w:bottom w:val="single" w:sz="12" w:space="0" w:color="auto"/>
            </w:tcBorders>
          </w:tcPr>
          <w:p w14:paraId="25A80D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1370</w:t>
            </w:r>
          </w:p>
        </w:tc>
        <w:tc>
          <w:tcPr>
            <w:tcW w:w="1320" w:type="dxa"/>
            <w:tcBorders>
              <w:bottom w:val="single" w:sz="12" w:space="0" w:color="auto"/>
            </w:tcBorders>
          </w:tcPr>
          <w:p w14:paraId="3B161C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1545</w:t>
            </w:r>
          </w:p>
        </w:tc>
        <w:tc>
          <w:tcPr>
            <w:tcW w:w="1380" w:type="dxa"/>
            <w:tcBorders>
              <w:bottom w:val="single" w:sz="12" w:space="0" w:color="auto"/>
            </w:tcBorders>
          </w:tcPr>
          <w:p w14:paraId="5A489C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1640</w:t>
            </w:r>
          </w:p>
        </w:tc>
        <w:tc>
          <w:tcPr>
            <w:tcW w:w="2700" w:type="dxa"/>
            <w:tcBorders>
              <w:bottom w:val="single" w:sz="12" w:space="0" w:color="auto"/>
            </w:tcBorders>
          </w:tcPr>
          <w:p w14:paraId="2EAA9A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1180 "</w:t>
            </w:r>
          </w:p>
        </w:tc>
      </w:tr>
    </w:tbl>
    <w:p w14:paraId="430FCD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(11813).</w:t>
      </w:r>
    </w:p>
    <w:p w14:paraId="503D6C3D" w14:textId="77777777" w:rsidR="00442EAC" w:rsidRPr="008127F8" w:rsidRDefault="00442EAC"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E46A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года вышел приказ № 123с НКБ</w:t>
      </w:r>
    </w:p>
    <w:p w14:paraId="2499ADD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приказа НКБ за № 91-с от 10 марта 1942 года заводу НИИ-6, переданному 3 Гл. управлению НКБ присвоить № 562 и впредь именовать завод № 562 НКБ (5797, 217).</w:t>
      </w:r>
    </w:p>
    <w:p w14:paraId="36ADFE6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54FD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года вышел приказ № 124с НКБ</w:t>
      </w:r>
    </w:p>
    <w:p w14:paraId="02D5D61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Выделить филиал № 2 завода № 70 НКБ в самостоятельный завод в системе 4 Гл. управления НКБ и присвоить ему № 568 (5787, 220).</w:t>
      </w:r>
    </w:p>
    <w:p w14:paraId="6081D23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98C59"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3F3A2E6A" w14:textId="51CD2262"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156 – 158</w:t>
      </w:r>
      <w:r w:rsidR="008127F8">
        <w:rPr>
          <w:rFonts w:ascii="Times New Roman" w:hAnsi="Times New Roman"/>
          <w:color w:val="000000" w:themeColor="text1"/>
          <w:sz w:val="16"/>
          <w:szCs w:val="16"/>
        </w:rPr>
        <w:t xml:space="preserve">  </w:t>
      </w:r>
    </w:p>
    <w:p w14:paraId="36136A8E" w14:textId="15CC0A25"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21EB9F75"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6751051F"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2A3E6A41"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290сс</w:t>
      </w:r>
    </w:p>
    <w:p w14:paraId="377EF9FC"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1D48FF22"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147072E0"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суточном графике выпуска танков, дизелей и корпусов на апрель месяц 1942 года.</w:t>
      </w:r>
    </w:p>
    <w:p w14:paraId="38F3C5B4" w14:textId="60ADDA19"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постановлений ГОКО от 16/III-с.г. за № 1459сс, от 9/III-с.г. за № 1417сс и за № 1478сс от 22/III-42 г. о плане производства танков во II квартале 1942 г. ПРИКАЗЫВАЮ:</w:t>
      </w:r>
      <w:r w:rsidR="008127F8">
        <w:rPr>
          <w:rFonts w:ascii="Times New Roman" w:hAnsi="Times New Roman"/>
          <w:color w:val="000000" w:themeColor="text1"/>
          <w:sz w:val="16"/>
          <w:szCs w:val="16"/>
        </w:rPr>
        <w:t xml:space="preserve">  </w:t>
      </w:r>
    </w:p>
    <w:p w14:paraId="7AF46B6B" w14:textId="4F30F1CB"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Утвердить по заводам следующий график ежесуточного выпуска танков в апреле 1942 г.:</w:t>
      </w:r>
      <w:r w:rsidR="008127F8">
        <w:rPr>
          <w:rFonts w:ascii="Times New Roman" w:hAnsi="Times New Roman"/>
          <w:color w:val="000000" w:themeColor="text1"/>
          <w:sz w:val="16"/>
          <w:szCs w:val="16"/>
        </w:rPr>
        <w:t xml:space="preserve">  </w:t>
      </w:r>
    </w:p>
    <w:p w14:paraId="0DC9F0B2" w14:textId="063CA19B"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по заводам следующий график ежесуточного выпуска дизелей в апреле 1942 г.:</w:t>
      </w:r>
      <w:r w:rsidR="008127F8">
        <w:rPr>
          <w:rFonts w:ascii="Times New Roman" w:hAnsi="Times New Roman"/>
          <w:color w:val="000000" w:themeColor="text1"/>
          <w:sz w:val="16"/>
          <w:szCs w:val="16"/>
        </w:rPr>
        <w:t xml:space="preserve">  </w:t>
      </w:r>
    </w:p>
    <w:p w14:paraId="172383DB" w14:textId="135658C6"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Утвердить по Кировскому заводу и СТЗ график ежесуточного выпуска топливных насосов и форсунок для дизеля В-2 и поставки их заводам № 76 и СТЗ в апреле.</w:t>
      </w:r>
      <w:r w:rsidR="008127F8">
        <w:rPr>
          <w:rFonts w:ascii="Times New Roman" w:hAnsi="Times New Roman"/>
          <w:color w:val="000000" w:themeColor="text1"/>
          <w:sz w:val="16"/>
          <w:szCs w:val="16"/>
        </w:rPr>
        <w:t xml:space="preserve">  </w:t>
      </w:r>
    </w:p>
    <w:p w14:paraId="48861BF6" w14:textId="59949FFF"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Утвердить по заводам следующий график ежесуточного выпуска корпусов для танков в апреле месяце:</w:t>
      </w:r>
      <w:r w:rsidR="008127F8">
        <w:rPr>
          <w:rFonts w:ascii="Times New Roman" w:hAnsi="Times New Roman"/>
          <w:color w:val="000000" w:themeColor="text1"/>
          <w:sz w:val="16"/>
          <w:szCs w:val="16"/>
        </w:rPr>
        <w:t xml:space="preserve">  </w:t>
      </w:r>
    </w:p>
    <w:p w14:paraId="5BEB7712" w14:textId="40D5045B"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Директорам и главным инженерам заводов, в 3-дневный срок довести план апреля с.г. до цехов и участков с конкретными мерами, обеспечивающими выполнение плана.</w:t>
      </w:r>
      <w:r w:rsidR="008127F8">
        <w:rPr>
          <w:rFonts w:ascii="Times New Roman" w:hAnsi="Times New Roman"/>
          <w:color w:val="000000" w:themeColor="text1"/>
          <w:sz w:val="16"/>
          <w:szCs w:val="16"/>
        </w:rPr>
        <w:t xml:space="preserve">  </w:t>
      </w:r>
    </w:p>
    <w:p w14:paraId="7343CB0C" w14:textId="082887B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Моему заместителю т. Горегляд, в 2-дневный срок издать приказ по внутренней кооперации между заводами, обеспечивающий выполнение плана апреля и II квартала 1942 г.</w:t>
      </w:r>
      <w:r w:rsidR="008127F8">
        <w:rPr>
          <w:rFonts w:ascii="Times New Roman" w:hAnsi="Times New Roman"/>
          <w:color w:val="000000" w:themeColor="text1"/>
          <w:sz w:val="16"/>
          <w:szCs w:val="16"/>
        </w:rPr>
        <w:t xml:space="preserve">  </w:t>
      </w:r>
    </w:p>
    <w:p w14:paraId="0AD17F94" w14:textId="79F88961"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Начальнику Главснаба т. Розину, в 2-дневый срок представить мне мероприятия по обеспечению данной программы снабжением металлом, покупными изделиями и пр.</w:t>
      </w:r>
      <w:r w:rsidR="008127F8">
        <w:rPr>
          <w:rFonts w:ascii="Times New Roman" w:hAnsi="Times New Roman"/>
          <w:color w:val="000000" w:themeColor="text1"/>
          <w:sz w:val="16"/>
          <w:szCs w:val="16"/>
        </w:rPr>
        <w:t xml:space="preserve">  </w:t>
      </w:r>
    </w:p>
    <w:p w14:paraId="2217F9C1" w14:textId="023E9C7E"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Директора и главные инженеры заводов: Кировского тт. Махонин, Кизельштейн; СТЗ тт. Задорожный, Демьянович; № 183 тт. Зальцман, Максарев; № 112 тт. Михалев, Бондарко; № 37 тт. Фрезеров, Мартиросов; № 264 т. Кордунер; № 38 тт. Рубинчик, Яковлев; № 76 тт. Кочетков, Десфонтейнес; УЗТМ тт. Музруков, Умнягин; № 176 тт. Федотов, Бехтин; № 177 тт. Волков, Горячев; № 178 тт. Скиба, Волков, № 180 тт. Суворов, Орлов; № 200 т. Эйранов должны учесть, что Правительство на апрель месяц дало такой план, который может и должен быть полностью выполнен. Апрельский план полностью обеспечен на всех заводах имеющимися мощностями механических и заготовительных цехов и рабочей силой – остальное зависит только от способности руководителей заводов и командиров.</w:t>
      </w:r>
      <w:r w:rsidR="008127F8">
        <w:rPr>
          <w:rFonts w:ascii="Times New Roman" w:hAnsi="Times New Roman"/>
          <w:color w:val="000000" w:themeColor="text1"/>
          <w:sz w:val="16"/>
          <w:szCs w:val="16"/>
        </w:rPr>
        <w:t xml:space="preserve">  </w:t>
      </w:r>
    </w:p>
    <w:p w14:paraId="0CD5224E" w14:textId="0569ACC8"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безусловным выполнением плана апреля с.г. заводы № 37 и 38 должны принять самые энергичные меры к обеспечению подготовки производства и к выпуску новых танков Т-70.</w:t>
      </w:r>
      <w:r w:rsidR="008127F8">
        <w:rPr>
          <w:rFonts w:ascii="Times New Roman" w:hAnsi="Times New Roman"/>
          <w:color w:val="000000" w:themeColor="text1"/>
          <w:sz w:val="16"/>
          <w:szCs w:val="16"/>
        </w:rPr>
        <w:t xml:space="preserve">  </w:t>
      </w:r>
    </w:p>
    <w:p w14:paraId="6791BEDC"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Уверен, что после длительного невыполнения плана руководители заводов Наркомтанкопрома приложат все силы к полному выполнению плана апреля месяца и обеспечению нашей армии достаточным количеством качественных танков.</w:t>
      </w:r>
    </w:p>
    <w:p w14:paraId="5D53E46C"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766EEFA7"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18ECD381"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(18595).</w:t>
      </w:r>
    </w:p>
    <w:p w14:paraId="507ABCD3" w14:textId="77777777" w:rsidR="00AC0051" w:rsidRPr="008127F8" w:rsidRDefault="00AC0051" w:rsidP="001E0A84">
      <w:pPr>
        <w:spacing w:after="0" w:line="240" w:lineRule="auto"/>
        <w:jc w:val="both"/>
        <w:rPr>
          <w:rFonts w:ascii="Times New Roman" w:hAnsi="Times New Roman"/>
          <w:color w:val="000000" w:themeColor="text1"/>
          <w:sz w:val="16"/>
          <w:szCs w:val="16"/>
        </w:rPr>
      </w:pPr>
    </w:p>
    <w:p w14:paraId="0FAAD700"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2806E781" w14:textId="68AC5F66"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153</w:t>
      </w:r>
      <w:r w:rsidR="008127F8">
        <w:rPr>
          <w:rFonts w:ascii="Times New Roman" w:hAnsi="Times New Roman"/>
          <w:color w:val="000000" w:themeColor="text1"/>
          <w:sz w:val="16"/>
          <w:szCs w:val="16"/>
        </w:rPr>
        <w:t xml:space="preserve">  </w:t>
      </w:r>
    </w:p>
    <w:p w14:paraId="2BEC04CD" w14:textId="76E9B176"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1880E426"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3BD37B6"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2D0EF38C"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289с</w:t>
      </w:r>
    </w:p>
    <w:p w14:paraId="31A1FEB4"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2EB505C0"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71AA5FBA"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рабочих колоннах.</w:t>
      </w:r>
    </w:p>
    <w:p w14:paraId="30275FA0" w14:textId="73F9B715"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r w:rsidR="008127F8">
        <w:rPr>
          <w:rFonts w:ascii="Times New Roman" w:hAnsi="Times New Roman"/>
          <w:color w:val="000000" w:themeColor="text1"/>
          <w:sz w:val="16"/>
          <w:szCs w:val="16"/>
        </w:rPr>
        <w:t xml:space="preserve">  </w:t>
      </w:r>
    </w:p>
    <w:p w14:paraId="718C5D1B" w14:textId="463E84F5"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Объявить для сведения и руководства всем директорам заводов, начальникам главных управлений и отделов Наркомата, что Государственный Комитет Обороны постановлением от 21 марта 1942 г.:</w:t>
      </w:r>
      <w:r w:rsidR="008127F8">
        <w:rPr>
          <w:rFonts w:ascii="Times New Roman" w:hAnsi="Times New Roman"/>
          <w:color w:val="000000" w:themeColor="text1"/>
          <w:sz w:val="16"/>
          <w:szCs w:val="16"/>
        </w:rPr>
        <w:t xml:space="preserve">  </w:t>
      </w:r>
    </w:p>
    <w:p w14:paraId="30DCC8CD" w14:textId="2390B333"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Обязал НКО (т. Щаденко) прекратить с 22 марта 1942 г. какое бы то ни было формирование и передачу рабочих колонн гражданским наркоматам.</w:t>
      </w:r>
      <w:r w:rsidR="008127F8">
        <w:rPr>
          <w:rFonts w:ascii="Times New Roman" w:hAnsi="Times New Roman"/>
          <w:color w:val="000000" w:themeColor="text1"/>
          <w:sz w:val="16"/>
          <w:szCs w:val="16"/>
        </w:rPr>
        <w:t xml:space="preserve">  </w:t>
      </w:r>
    </w:p>
    <w:p w14:paraId="21101AD8"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Возложил обеспечение гражданских наркоматов рабочей силой на соответствующие наркоматы, на Комитет по учету и распределению рабочей силы при Совнаркоме СССР, на Главное Управление Трудовых Резервов и на местные Советы депутатов трудящихся в соответствии с Указом Президиума Верховного Совета СССР от 13 февраля 1942 года.</w:t>
      </w:r>
    </w:p>
    <w:p w14:paraId="01E2970E"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6CC9AB9B"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0FC94A02"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(18696).</w:t>
      </w:r>
    </w:p>
    <w:p w14:paraId="3828DA1C" w14:textId="77777777" w:rsidR="00AC0051" w:rsidRPr="008127F8" w:rsidRDefault="00AC0051" w:rsidP="001E0A84">
      <w:pPr>
        <w:spacing w:after="0" w:line="240" w:lineRule="auto"/>
        <w:jc w:val="both"/>
        <w:rPr>
          <w:rFonts w:ascii="Times New Roman" w:hAnsi="Times New Roman"/>
          <w:color w:val="000000" w:themeColor="text1"/>
          <w:sz w:val="16"/>
          <w:szCs w:val="16"/>
        </w:rPr>
      </w:pPr>
    </w:p>
    <w:p w14:paraId="12444488"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6005DF82" w14:textId="49889E62"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146 – 147</w:t>
      </w:r>
      <w:r w:rsidR="008127F8">
        <w:rPr>
          <w:rFonts w:ascii="Times New Roman" w:hAnsi="Times New Roman"/>
          <w:color w:val="000000" w:themeColor="text1"/>
          <w:sz w:val="16"/>
          <w:szCs w:val="16"/>
        </w:rPr>
        <w:t xml:space="preserve">  </w:t>
      </w:r>
    </w:p>
    <w:p w14:paraId="5C5C70B7" w14:textId="031CD92F"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615D0B4C"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49875540"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67DE4EA4"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287сс</w:t>
      </w:r>
    </w:p>
    <w:p w14:paraId="567BD3FA"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77FF4F6"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"22" марта 1942 г.</w:t>
      </w:r>
    </w:p>
    <w:p w14:paraId="32E564B9" w14:textId="067F8154"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 1479сс от 22 марта 1942 г. "О Горьковском заводе фрезерных станков" ПРИКАЗЫВАЮ:</w:t>
      </w:r>
      <w:r w:rsidR="008127F8">
        <w:rPr>
          <w:rFonts w:ascii="Times New Roman" w:hAnsi="Times New Roman"/>
          <w:color w:val="000000" w:themeColor="text1"/>
          <w:sz w:val="16"/>
          <w:szCs w:val="16"/>
        </w:rPr>
        <w:t xml:space="preserve">  </w:t>
      </w:r>
    </w:p>
    <w:p w14:paraId="2555E181" w14:textId="3096E832"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Передать Горьковский завод фрезерных станков из Наркомтанкопрома в Наркомат Станкостроения. Передачу закончить к 1 апреля 1942 г.</w:t>
      </w:r>
      <w:r w:rsidR="008127F8">
        <w:rPr>
          <w:rFonts w:ascii="Times New Roman" w:hAnsi="Times New Roman"/>
          <w:color w:val="000000" w:themeColor="text1"/>
          <w:sz w:val="16"/>
          <w:szCs w:val="16"/>
        </w:rPr>
        <w:t xml:space="preserve">  </w:t>
      </w:r>
    </w:p>
    <w:p w14:paraId="6AB8D299" w14:textId="1A8AC2F9"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 112 тов. Михалеву и зам. начальника 1 отдела тов. Давтян учесть:</w:t>
      </w:r>
      <w:r w:rsidR="008127F8">
        <w:rPr>
          <w:rFonts w:ascii="Times New Roman" w:hAnsi="Times New Roman"/>
          <w:color w:val="000000" w:themeColor="text1"/>
          <w:sz w:val="16"/>
          <w:szCs w:val="16"/>
        </w:rPr>
        <w:t xml:space="preserve">  </w:t>
      </w:r>
    </w:p>
    <w:p w14:paraId="4F743563" w14:textId="72BA204C"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что означенным постановлением ГОКО обязал Наркомстанкостроения тов. Ефремова и директора Горьковского завода фрезерных станков тов. Рябова полностью сохранить производство узлов и деталей танков Т-34 для завода № 112 Наркомтанкопрома и обеспечить выпуск коробок перемен передач по 10 комплектов, поворотных механизмов, главных и бортовых фрикционов по 5 комплектов ежесуточно, а также деталей танка по существующей кооперации соответственно графику выпуска танков заводом № 112. ГОКО запретил снимать или уменьшать план выпуска узлов и деталей танка Т-34 на Горьковском заводе фрезерных станков;</w:t>
      </w:r>
      <w:r w:rsidR="008127F8">
        <w:rPr>
          <w:rFonts w:ascii="Times New Roman" w:hAnsi="Times New Roman"/>
          <w:color w:val="000000" w:themeColor="text1"/>
          <w:sz w:val="16"/>
          <w:szCs w:val="16"/>
        </w:rPr>
        <w:t xml:space="preserve">  </w:t>
      </w:r>
    </w:p>
    <w:p w14:paraId="3830EFD5" w14:textId="701E0D10"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что означенным постановлением Наркомсредмаш тов. Акопов и директор Горьковского автозавода тов. Лоскутов обязаны сохранить поставку штамповок, специального инструмента – долбяков и протяжек Горьковскому заводу фрезерных станков для изготовления узлов и деталей танка Т-34.</w:t>
      </w:r>
      <w:r w:rsidR="008127F8">
        <w:rPr>
          <w:rFonts w:ascii="Times New Roman" w:hAnsi="Times New Roman"/>
          <w:color w:val="000000" w:themeColor="text1"/>
          <w:sz w:val="16"/>
          <w:szCs w:val="16"/>
        </w:rPr>
        <w:t xml:space="preserve">  </w:t>
      </w:r>
    </w:p>
    <w:p w14:paraId="486D8230" w14:textId="23DDC40F"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начальника 1 отдела т. Давтян обеспечить реализацию указанных решений ГОКО; совместно с Наркомстанкостроения и Наркомсредмашем составить график поставки кооперированных деталей, обеспечивающий план выпуска танков на 112 заводе и представить мне на утверждение.</w:t>
      </w:r>
      <w:r w:rsidR="008127F8">
        <w:rPr>
          <w:rFonts w:ascii="Times New Roman" w:hAnsi="Times New Roman"/>
          <w:color w:val="000000" w:themeColor="text1"/>
          <w:sz w:val="16"/>
          <w:szCs w:val="16"/>
        </w:rPr>
        <w:t xml:space="preserve">  </w:t>
      </w:r>
    </w:p>
    <w:p w14:paraId="2C28540A"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Моему Заместителю тов. Степанову на месте оформит передачу Горьковского завода фрезерных станков в Наркомат Станкостроения.</w:t>
      </w:r>
    </w:p>
    <w:p w14:paraId="222CCCFD"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w:t>
      </w:r>
    </w:p>
    <w:p w14:paraId="2BC0D915"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2054C5EF"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(18597).</w:t>
      </w:r>
    </w:p>
    <w:p w14:paraId="6F3A2A5A" w14:textId="77777777" w:rsidR="00AC0051" w:rsidRPr="008127F8" w:rsidRDefault="00AC0051" w:rsidP="001E0A84">
      <w:pPr>
        <w:spacing w:after="0" w:line="240" w:lineRule="auto"/>
        <w:jc w:val="both"/>
        <w:rPr>
          <w:rFonts w:ascii="Times New Roman" w:hAnsi="Times New Roman"/>
          <w:color w:val="000000" w:themeColor="text1"/>
          <w:sz w:val="16"/>
          <w:szCs w:val="16"/>
        </w:rPr>
      </w:pPr>
    </w:p>
    <w:p w14:paraId="2577B84E"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7CE65AAE" w14:textId="4B568A7A"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143 – 144</w:t>
      </w:r>
      <w:r w:rsidR="008127F8">
        <w:rPr>
          <w:rFonts w:ascii="Times New Roman" w:hAnsi="Times New Roman"/>
          <w:color w:val="000000" w:themeColor="text1"/>
          <w:sz w:val="16"/>
          <w:szCs w:val="16"/>
        </w:rPr>
        <w:t xml:space="preserve">  </w:t>
      </w:r>
    </w:p>
    <w:p w14:paraId="2C31B6F4" w14:textId="178FF00F"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0A447E4B"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ПРИКАЗ</w:t>
      </w:r>
    </w:p>
    <w:p w14:paraId="00ADB9F3"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23C34352"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286сс</w:t>
      </w:r>
    </w:p>
    <w:p w14:paraId="14FA626E"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49ED96F"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w:t>
      </w:r>
    </w:p>
    <w:p w14:paraId="3D0853C0" w14:textId="7B8CD1F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ГОКО за № 1478сс от 22/III-1942 г. "О плане производства танков Т-34 и танковых дизелей В-2 во II кв. 1942 г." ПРИКАЗЫВАЮ:</w:t>
      </w:r>
      <w:r w:rsidR="008127F8">
        <w:rPr>
          <w:rFonts w:ascii="Times New Roman" w:hAnsi="Times New Roman"/>
          <w:color w:val="000000" w:themeColor="text1"/>
          <w:sz w:val="16"/>
          <w:szCs w:val="16"/>
        </w:rPr>
        <w:t xml:space="preserve">  </w:t>
      </w:r>
    </w:p>
    <w:p w14:paraId="0381B56F" w14:textId="4E99BEC8"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Установить план выпуска танков Т-34 во II квартале 1942 г. по заводам Наркомтанкопрома в следующих количествах:</w:t>
      </w:r>
      <w:r w:rsidR="008127F8">
        <w:rPr>
          <w:rFonts w:ascii="Times New Roman" w:hAnsi="Times New Roman"/>
          <w:color w:val="000000" w:themeColor="text1"/>
          <w:sz w:val="16"/>
          <w:szCs w:val="16"/>
        </w:rPr>
        <w:t xml:space="preserve">  </w:t>
      </w:r>
    </w:p>
    <w:p w14:paraId="221A1E25" w14:textId="4FF2E501"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план выпуска дизелей В-2 по заводам на II квартал 1942 г. в следующих количествах:</w:t>
      </w:r>
      <w:r w:rsidR="008127F8">
        <w:rPr>
          <w:rFonts w:ascii="Times New Roman" w:hAnsi="Times New Roman"/>
          <w:color w:val="000000" w:themeColor="text1"/>
          <w:sz w:val="16"/>
          <w:szCs w:val="16"/>
        </w:rPr>
        <w:t xml:space="preserve">  </w:t>
      </w:r>
    </w:p>
    <w:p w14:paraId="5F033B78"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планового отдела т. Васину соответственно решению ГОКО предусмотреть в производственных планах заводов.</w:t>
      </w:r>
    </w:p>
    <w:p w14:paraId="1A0D561E"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 Танковой Промышленности Союза ССР</w:t>
      </w:r>
    </w:p>
    <w:p w14:paraId="0CAD897B"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787FD938" w14:textId="77777777" w:rsidR="00AC0051" w:rsidRPr="008127F8" w:rsidRDefault="00AC005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(18598).</w:t>
      </w:r>
    </w:p>
    <w:p w14:paraId="5BBD399F" w14:textId="77777777" w:rsidR="00AC0051" w:rsidRPr="008127F8" w:rsidRDefault="00AC0051" w:rsidP="001E0A84">
      <w:pPr>
        <w:spacing w:after="0" w:line="240" w:lineRule="auto"/>
        <w:jc w:val="both"/>
        <w:rPr>
          <w:rFonts w:ascii="Times New Roman" w:hAnsi="Times New Roman"/>
          <w:color w:val="000000" w:themeColor="text1"/>
          <w:sz w:val="16"/>
          <w:szCs w:val="16"/>
        </w:rPr>
      </w:pPr>
    </w:p>
    <w:p w14:paraId="055861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был заключен договор № А2-162 ГМЗ и ГАБТУ, согласно которому от ГМЗ требовалось поставлять М-72, оснащенных боевым оружием.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74"/>
        <w:gridCol w:w="720"/>
        <w:gridCol w:w="720"/>
        <w:gridCol w:w="720"/>
        <w:gridCol w:w="720"/>
        <w:gridCol w:w="758"/>
      </w:tblGrid>
      <w:tr w:rsidR="006F4095" w:rsidRPr="008127F8" w14:paraId="50E02712" w14:textId="77777777">
        <w:trPr>
          <w:trHeight w:val="422"/>
        </w:trPr>
        <w:tc>
          <w:tcPr>
            <w:tcW w:w="2774" w:type="dxa"/>
            <w:tcBorders>
              <w:top w:val="single" w:sz="12" w:space="0" w:color="auto"/>
            </w:tcBorders>
          </w:tcPr>
          <w:p w14:paraId="2A9D81B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вооружения</w:t>
            </w:r>
          </w:p>
          <w:p w14:paraId="77850B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38" w:type="dxa"/>
            <w:gridSpan w:val="5"/>
            <w:tcBorders>
              <w:top w:val="single" w:sz="12" w:space="0" w:color="auto"/>
            </w:tcBorders>
          </w:tcPr>
          <w:p w14:paraId="461875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Квартал</w:t>
            </w:r>
          </w:p>
          <w:p w14:paraId="335B4E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EB6CA0" w14:textId="77777777">
        <w:trPr>
          <w:trHeight w:val="346"/>
        </w:trPr>
        <w:tc>
          <w:tcPr>
            <w:tcW w:w="2774" w:type="dxa"/>
          </w:tcPr>
          <w:p w14:paraId="4247C6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2FB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8E5A8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013322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B659E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6BA3CC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EA6C0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0D3F89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995A8C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5D79B6E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216BCF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год</w:t>
            </w:r>
          </w:p>
          <w:p w14:paraId="3FFDC7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D9FAEB" w14:textId="77777777">
        <w:trPr>
          <w:trHeight w:val="355"/>
        </w:trPr>
        <w:tc>
          <w:tcPr>
            <w:tcW w:w="2774" w:type="dxa"/>
          </w:tcPr>
          <w:p w14:paraId="33B2D8F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Пулемет ДП</w:t>
            </w:r>
          </w:p>
          <w:p w14:paraId="6F3A67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E9AD5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660</w:t>
            </w:r>
          </w:p>
          <w:p w14:paraId="04EC8EA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2A176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1230</w:t>
            </w:r>
          </w:p>
          <w:p w14:paraId="23CFB53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268A63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1230</w:t>
            </w:r>
          </w:p>
          <w:p w14:paraId="33BCD67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7D128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1230</w:t>
            </w:r>
          </w:p>
          <w:p w14:paraId="4F3BFF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4BCBC8B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4350</w:t>
            </w:r>
          </w:p>
          <w:p w14:paraId="63E0EC6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D44406" w14:textId="77777777">
        <w:trPr>
          <w:trHeight w:val="240"/>
        </w:trPr>
        <w:tc>
          <w:tcPr>
            <w:tcW w:w="2774" w:type="dxa"/>
          </w:tcPr>
          <w:p w14:paraId="337BD8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Пулемет «Максим»</w:t>
            </w:r>
          </w:p>
          <w:p w14:paraId="312D52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CDA9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p w14:paraId="16FC0E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CB3A0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357D96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FEC26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2175E2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8BDC4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0A8F1E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2F81061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p w14:paraId="03D41FC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E5122B" w14:textId="77777777">
        <w:trPr>
          <w:trHeight w:val="221"/>
        </w:trPr>
        <w:tc>
          <w:tcPr>
            <w:tcW w:w="2774" w:type="dxa"/>
          </w:tcPr>
          <w:p w14:paraId="19428A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Пулемет «Максим» и пистолет-</w:t>
            </w:r>
          </w:p>
          <w:p w14:paraId="28C80EC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DEB4C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p w14:paraId="66F0CE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2BBCA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60 60</w:t>
            </w:r>
          </w:p>
          <w:p w14:paraId="0BF248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E4DD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2F24A1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63EBD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335B77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5705BA3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p w14:paraId="11C54B4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E14B61" w14:textId="77777777">
        <w:trPr>
          <w:trHeight w:val="211"/>
        </w:trPr>
        <w:tc>
          <w:tcPr>
            <w:tcW w:w="2774" w:type="dxa"/>
          </w:tcPr>
          <w:p w14:paraId="66F6EA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пулемет ППШ</w:t>
            </w:r>
          </w:p>
          <w:p w14:paraId="29983C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61BD7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E90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E9FA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4874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B0EC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2F0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77823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B764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7986982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3B8705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314D6D" w14:textId="77777777">
        <w:trPr>
          <w:trHeight w:val="240"/>
        </w:trPr>
        <w:tc>
          <w:tcPr>
            <w:tcW w:w="2774" w:type="dxa"/>
          </w:tcPr>
          <w:p w14:paraId="6F15AD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Приспособления для перевозки</w:t>
            </w:r>
          </w:p>
          <w:p w14:paraId="2DC0B6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21574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p w14:paraId="7B1DB61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DFDA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4FD18FE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58B2BF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3723B89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6E5D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p w14:paraId="54FADC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36E331C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p w14:paraId="44FA2A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E45B55" w14:textId="77777777">
        <w:trPr>
          <w:trHeight w:val="202"/>
        </w:trPr>
        <w:tc>
          <w:tcPr>
            <w:tcW w:w="2774" w:type="dxa"/>
          </w:tcPr>
          <w:p w14:paraId="1A742E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минометов калибра 82 мм</w:t>
            </w:r>
          </w:p>
          <w:p w14:paraId="761D786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A0D66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DA5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D4E9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0698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0C67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AC0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E457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F1742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5A01B9F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48CCC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20B36F" w14:textId="77777777">
        <w:trPr>
          <w:trHeight w:val="442"/>
        </w:trPr>
        <w:tc>
          <w:tcPr>
            <w:tcW w:w="2774" w:type="dxa"/>
            <w:tcBorders>
              <w:bottom w:val="single" w:sz="12" w:space="0" w:color="auto"/>
            </w:tcBorders>
          </w:tcPr>
          <w:p w14:paraId="3190CD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1B3430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3C348D9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770</w:t>
            </w:r>
          </w:p>
          <w:p w14:paraId="4728A8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7DD358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w:t>
            </w:r>
          </w:p>
          <w:p w14:paraId="3000020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0B5ACF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w:t>
            </w:r>
          </w:p>
          <w:p w14:paraId="35E04F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79583E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w:t>
            </w:r>
          </w:p>
          <w:p w14:paraId="496AEDA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bottom w:val="single" w:sz="12" w:space="0" w:color="auto"/>
            </w:tcBorders>
          </w:tcPr>
          <w:p w14:paraId="262C5DE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p w14:paraId="0F1B94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1907AD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15</w:t>
      </w:r>
    </w:p>
    <w:p w14:paraId="4EC5A2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Скорректированный месячный план производства и реальный выпуск мотоциклов М-72 на ГМЗ,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84"/>
        <w:gridCol w:w="1190"/>
        <w:gridCol w:w="1200"/>
        <w:gridCol w:w="1219"/>
      </w:tblGrid>
      <w:tr w:rsidR="006F4095" w:rsidRPr="008127F8" w14:paraId="7A0016F5" w14:textId="77777777">
        <w:trPr>
          <w:trHeight w:val="586"/>
        </w:trPr>
        <w:tc>
          <w:tcPr>
            <w:tcW w:w="2784" w:type="dxa"/>
            <w:tcBorders>
              <w:top w:val="single" w:sz="12" w:space="0" w:color="auto"/>
            </w:tcBorders>
          </w:tcPr>
          <w:p w14:paraId="0EEFA1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w:t>
            </w:r>
          </w:p>
          <w:p w14:paraId="1A02B4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74DE51E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p w14:paraId="0FF988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72F57D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w:t>
            </w:r>
          </w:p>
          <w:p w14:paraId="4EDF2E4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12" w:space="0" w:color="auto"/>
            </w:tcBorders>
          </w:tcPr>
          <w:p w14:paraId="62FFCE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плана, %</w:t>
            </w:r>
          </w:p>
          <w:p w14:paraId="0AA514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C0F0247" w14:textId="77777777">
        <w:trPr>
          <w:trHeight w:val="317"/>
        </w:trPr>
        <w:tc>
          <w:tcPr>
            <w:tcW w:w="2784" w:type="dxa"/>
          </w:tcPr>
          <w:p w14:paraId="707DB1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p w14:paraId="20FF6B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1BA349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p w14:paraId="5F7FD2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5B5B6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6729AA6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47BD1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D247E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42C8B3" w14:textId="77777777">
        <w:trPr>
          <w:trHeight w:val="221"/>
        </w:trPr>
        <w:tc>
          <w:tcPr>
            <w:tcW w:w="2784" w:type="dxa"/>
          </w:tcPr>
          <w:p w14:paraId="46D74C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p w14:paraId="4CA2EF5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1C3A6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p w14:paraId="69D59A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29677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p w14:paraId="216A9B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1E742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p w14:paraId="6FE7DE2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39490D" w14:textId="77777777">
        <w:trPr>
          <w:trHeight w:val="240"/>
        </w:trPr>
        <w:tc>
          <w:tcPr>
            <w:tcW w:w="2784" w:type="dxa"/>
          </w:tcPr>
          <w:p w14:paraId="761A53F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p w14:paraId="6B141B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D7E1E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p w14:paraId="6A6A51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BBE853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p w14:paraId="270A55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28B18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43,3</w:t>
            </w:r>
          </w:p>
          <w:p w14:paraId="3D4737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398D34" w14:textId="77777777">
        <w:trPr>
          <w:trHeight w:val="221"/>
        </w:trPr>
        <w:tc>
          <w:tcPr>
            <w:tcW w:w="2784" w:type="dxa"/>
          </w:tcPr>
          <w:p w14:paraId="60B45C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p w14:paraId="0244E0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76ACD0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p w14:paraId="4748F43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4CCDA6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344</w:t>
            </w:r>
          </w:p>
          <w:p w14:paraId="51E4BDF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F58D7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w:t>
            </w:r>
          </w:p>
          <w:p w14:paraId="1E5594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D62DBD" w14:textId="77777777">
        <w:trPr>
          <w:trHeight w:val="211"/>
        </w:trPr>
        <w:tc>
          <w:tcPr>
            <w:tcW w:w="2784" w:type="dxa"/>
          </w:tcPr>
          <w:p w14:paraId="3EEAE7D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p w14:paraId="54CD2F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5E968A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p w14:paraId="505CF3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8FB24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p w14:paraId="75A7D7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302F4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w:t>
            </w:r>
          </w:p>
          <w:p w14:paraId="636543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AC413D" w14:textId="77777777">
        <w:trPr>
          <w:trHeight w:val="230"/>
        </w:trPr>
        <w:tc>
          <w:tcPr>
            <w:tcW w:w="2784" w:type="dxa"/>
          </w:tcPr>
          <w:p w14:paraId="39A575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p w14:paraId="1B8CAD5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EE3B2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p w14:paraId="00388A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43565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p w14:paraId="5F9352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1D6523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w:t>
            </w:r>
          </w:p>
          <w:p w14:paraId="061D2F4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61A7D3" w14:textId="77777777">
        <w:trPr>
          <w:trHeight w:val="221"/>
        </w:trPr>
        <w:tc>
          <w:tcPr>
            <w:tcW w:w="2784" w:type="dxa"/>
          </w:tcPr>
          <w:p w14:paraId="734F97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p w14:paraId="4F7BA6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55AA0C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p w14:paraId="77BB39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496A93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w:t>
            </w:r>
          </w:p>
          <w:p w14:paraId="02E794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093CB3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w:t>
            </w:r>
          </w:p>
          <w:p w14:paraId="78AE1B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2352F6" w14:textId="77777777">
        <w:trPr>
          <w:trHeight w:val="221"/>
        </w:trPr>
        <w:tc>
          <w:tcPr>
            <w:tcW w:w="2784" w:type="dxa"/>
          </w:tcPr>
          <w:p w14:paraId="1F702C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p w14:paraId="2D619B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48B3FE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p w14:paraId="3D1F54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60C401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p w14:paraId="4F042F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6EA371C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p w14:paraId="0F50ADA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B1E6CB" w14:textId="77777777">
        <w:trPr>
          <w:trHeight w:val="211"/>
        </w:trPr>
        <w:tc>
          <w:tcPr>
            <w:tcW w:w="2784" w:type="dxa"/>
          </w:tcPr>
          <w:p w14:paraId="573279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p>
          <w:p w14:paraId="465A4E0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1700A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p w14:paraId="124C03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9306A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w:t>
            </w:r>
          </w:p>
          <w:p w14:paraId="217C02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D6FE5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25,7</w:t>
            </w:r>
          </w:p>
          <w:p w14:paraId="38C781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AB7444" w14:textId="77777777">
        <w:trPr>
          <w:trHeight w:val="221"/>
        </w:trPr>
        <w:tc>
          <w:tcPr>
            <w:tcW w:w="2784" w:type="dxa"/>
          </w:tcPr>
          <w:p w14:paraId="3BEFD3B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p w14:paraId="7A9AB2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BCE3F6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p w14:paraId="52642E0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845F4C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p w14:paraId="5ECBEE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08C62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w:t>
            </w:r>
          </w:p>
          <w:p w14:paraId="34A803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8CA0A9" w14:textId="77777777">
        <w:trPr>
          <w:trHeight w:val="221"/>
        </w:trPr>
        <w:tc>
          <w:tcPr>
            <w:tcW w:w="2784" w:type="dxa"/>
          </w:tcPr>
          <w:p w14:paraId="48980E0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p w14:paraId="0C5ED44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D0332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300 </w:t>
            </w:r>
          </w:p>
          <w:p w14:paraId="6EB3C45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17F1D0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219" w:type="dxa"/>
          </w:tcPr>
          <w:p w14:paraId="0489B2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w:t>
            </w:r>
          </w:p>
        </w:tc>
      </w:tr>
      <w:tr w:rsidR="006F4095" w:rsidRPr="008127F8" w14:paraId="14E51EA8" w14:textId="77777777">
        <w:trPr>
          <w:trHeight w:val="259"/>
        </w:trPr>
        <w:tc>
          <w:tcPr>
            <w:tcW w:w="2784" w:type="dxa"/>
          </w:tcPr>
          <w:p w14:paraId="7AFC30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p w14:paraId="37E01BE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B9C55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p w14:paraId="277F3F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7AB8E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6B8629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4EE2B2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p w14:paraId="0FFA6AE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C9B6C9" w14:textId="77777777">
        <w:trPr>
          <w:trHeight w:val="432"/>
        </w:trPr>
        <w:tc>
          <w:tcPr>
            <w:tcW w:w="2784" w:type="dxa"/>
            <w:tcBorders>
              <w:bottom w:val="single" w:sz="12" w:space="0" w:color="auto"/>
            </w:tcBorders>
          </w:tcPr>
          <w:p w14:paraId="34D5BF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0724C6C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28EB550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3850</w:t>
            </w:r>
          </w:p>
          <w:p w14:paraId="6728D97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252C46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1284</w:t>
            </w:r>
          </w:p>
          <w:p w14:paraId="2EA827F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0411FCB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33,4</w:t>
            </w:r>
          </w:p>
          <w:p w14:paraId="41196F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75F6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видно, что ГМЗ из месяца в месяц не выпол</w:t>
      </w:r>
      <w:r w:rsidRPr="008127F8">
        <w:rPr>
          <w:rFonts w:ascii="Times New Roman" w:hAnsi="Times New Roman"/>
          <w:color w:val="000000" w:themeColor="text1"/>
          <w:sz w:val="16"/>
          <w:szCs w:val="16"/>
        </w:rPr>
        <w:softHyphen/>
        <w:t>нял производственный план 1942 года. Одной из важнейших при</w:t>
      </w:r>
      <w:r w:rsidRPr="008127F8">
        <w:rPr>
          <w:rFonts w:ascii="Times New Roman" w:hAnsi="Times New Roman"/>
          <w:color w:val="000000" w:themeColor="text1"/>
          <w:sz w:val="16"/>
          <w:szCs w:val="16"/>
        </w:rPr>
        <w:softHyphen/>
        <w:t>чин была недостаточная укомплектованность кадрами - всего 10,8 % (табл. 16) [5.28].</w:t>
      </w:r>
    </w:p>
    <w:p w14:paraId="287B1F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Восполнять недостающие кадры во время войны представля</w:t>
      </w:r>
      <w:r w:rsidRPr="008127F8">
        <w:rPr>
          <w:rFonts w:ascii="Times New Roman" w:hAnsi="Times New Roman"/>
          <w:color w:val="000000" w:themeColor="text1"/>
          <w:sz w:val="16"/>
          <w:szCs w:val="16"/>
        </w:rPr>
        <w:softHyphen/>
        <w:t>лось возможным только за счет старшеклассников и инвалидов, от которых требовалось работать по 11 часов в соответствии с ус</w:t>
      </w:r>
      <w:r w:rsidRPr="008127F8">
        <w:rPr>
          <w:rFonts w:ascii="Times New Roman" w:hAnsi="Times New Roman"/>
          <w:color w:val="000000" w:themeColor="text1"/>
          <w:sz w:val="16"/>
          <w:szCs w:val="16"/>
        </w:rPr>
        <w:softHyphen/>
        <w:t>ловиями военного времени. Не способствовал росту численности кадров ГМЗ регулярный призыв в Красную Армию молодежи.</w:t>
      </w:r>
    </w:p>
    <w:p w14:paraId="1677D0F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16</w:t>
      </w:r>
    </w:p>
    <w:p w14:paraId="0D97E61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Состав кадров ГМЗ,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55"/>
        <w:gridCol w:w="1210"/>
        <w:gridCol w:w="1200"/>
        <w:gridCol w:w="1219"/>
      </w:tblGrid>
      <w:tr w:rsidR="006F4095" w:rsidRPr="008127F8" w14:paraId="1CF41654" w14:textId="77777777">
        <w:trPr>
          <w:trHeight w:val="384"/>
        </w:trPr>
        <w:tc>
          <w:tcPr>
            <w:tcW w:w="2755" w:type="dxa"/>
            <w:tcBorders>
              <w:top w:val="single" w:sz="12" w:space="0" w:color="auto"/>
            </w:tcBorders>
          </w:tcPr>
          <w:p w14:paraId="176335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кадры</w:t>
            </w:r>
          </w:p>
          <w:p w14:paraId="5409843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3"/>
            <w:tcBorders>
              <w:top w:val="single" w:sz="12" w:space="0" w:color="auto"/>
            </w:tcBorders>
          </w:tcPr>
          <w:p w14:paraId="0C2100D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w:t>
            </w:r>
          </w:p>
          <w:p w14:paraId="692A75B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14C97B" w14:textId="77777777">
        <w:trPr>
          <w:trHeight w:val="221"/>
        </w:trPr>
        <w:tc>
          <w:tcPr>
            <w:tcW w:w="2755" w:type="dxa"/>
          </w:tcPr>
          <w:p w14:paraId="5B09443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BF3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4D05EAC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плановая</w:t>
            </w:r>
          </w:p>
          <w:p w14:paraId="770C69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235369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реальная</w:t>
            </w:r>
          </w:p>
          <w:p w14:paraId="3E7D11E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F24C83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1211AF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60AB5D" w14:textId="77777777">
        <w:trPr>
          <w:trHeight w:val="365"/>
        </w:trPr>
        <w:tc>
          <w:tcPr>
            <w:tcW w:w="2755" w:type="dxa"/>
          </w:tcPr>
          <w:p w14:paraId="4E82334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Рабочие</w:t>
            </w:r>
          </w:p>
          <w:p w14:paraId="73F6CC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5E14935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p w14:paraId="5665C8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C2EF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665</w:t>
            </w:r>
          </w:p>
          <w:p w14:paraId="667712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0115147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w:t>
            </w:r>
          </w:p>
          <w:p w14:paraId="20BF4FA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C61DFB" w14:textId="77777777">
        <w:trPr>
          <w:trHeight w:val="240"/>
        </w:trPr>
        <w:tc>
          <w:tcPr>
            <w:tcW w:w="2755" w:type="dxa"/>
          </w:tcPr>
          <w:p w14:paraId="259AFC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рабочие</w:t>
            </w:r>
          </w:p>
          <w:p w14:paraId="45D081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B0EC09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3448</w:t>
            </w:r>
          </w:p>
          <w:p w14:paraId="3000891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F986F4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w:t>
            </w:r>
          </w:p>
          <w:p w14:paraId="35F2DA6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0B17D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w:t>
            </w:r>
          </w:p>
          <w:p w14:paraId="743420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DEEC6C" w14:textId="77777777">
        <w:trPr>
          <w:trHeight w:val="240"/>
        </w:trPr>
        <w:tc>
          <w:tcPr>
            <w:tcW w:w="2755" w:type="dxa"/>
          </w:tcPr>
          <w:p w14:paraId="6178DA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Ученики рабочих</w:t>
            </w:r>
          </w:p>
          <w:p w14:paraId="7470F7F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CE6D5D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2EA5873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F41567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219" w:type="dxa"/>
          </w:tcPr>
          <w:p w14:paraId="289E2A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w:t>
            </w:r>
          </w:p>
        </w:tc>
      </w:tr>
      <w:tr w:rsidR="006F4095" w:rsidRPr="008127F8" w14:paraId="26E71C0A" w14:textId="77777777">
        <w:trPr>
          <w:trHeight w:val="211"/>
        </w:trPr>
        <w:tc>
          <w:tcPr>
            <w:tcW w:w="2755" w:type="dxa"/>
          </w:tcPr>
          <w:p w14:paraId="4120D5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w:t>
            </w:r>
          </w:p>
          <w:p w14:paraId="23A7DF6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7A317BF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1710</w:t>
            </w:r>
          </w:p>
          <w:p w14:paraId="576D392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4373E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478</w:t>
            </w:r>
          </w:p>
          <w:p w14:paraId="267114F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B3D2C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28.0</w:t>
            </w:r>
          </w:p>
          <w:p w14:paraId="54E316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302FFC" w14:textId="77777777">
        <w:trPr>
          <w:trHeight w:val="240"/>
        </w:trPr>
        <w:tc>
          <w:tcPr>
            <w:tcW w:w="2755" w:type="dxa"/>
          </w:tcPr>
          <w:p w14:paraId="0B2B7C6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Служащие</w:t>
            </w:r>
          </w:p>
          <w:p w14:paraId="1E50744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0F89A11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396</w:t>
            </w:r>
          </w:p>
          <w:p w14:paraId="2DF6766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32A29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p w14:paraId="6393C25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6938E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23,5</w:t>
            </w:r>
          </w:p>
          <w:p w14:paraId="55C9BB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B599E9" w14:textId="77777777">
        <w:trPr>
          <w:trHeight w:val="250"/>
        </w:trPr>
        <w:tc>
          <w:tcPr>
            <w:tcW w:w="2755" w:type="dxa"/>
          </w:tcPr>
          <w:p w14:paraId="4EADB33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обслуживающий персонал</w:t>
            </w:r>
          </w:p>
          <w:p w14:paraId="78C1D2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3EBDD97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p w14:paraId="144BED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FDBFC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756F4C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9E987F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1F12B4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3B05DA" w14:textId="77777777">
        <w:trPr>
          <w:trHeight w:val="192"/>
        </w:trPr>
        <w:tc>
          <w:tcPr>
            <w:tcW w:w="2755" w:type="dxa"/>
            <w:tcBorders>
              <w:bottom w:val="single" w:sz="12" w:space="0" w:color="auto"/>
            </w:tcBorders>
          </w:tcPr>
          <w:p w14:paraId="70DE573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1CC57F9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5FBCF28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11 694</w:t>
            </w:r>
          </w:p>
          <w:p w14:paraId="6EB074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028303D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1266</w:t>
            </w:r>
          </w:p>
          <w:p w14:paraId="773805A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3B3EE0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w:t>
            </w:r>
          </w:p>
        </w:tc>
      </w:tr>
    </w:tbl>
    <w:p w14:paraId="515C65D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(11429).</w:t>
      </w:r>
    </w:p>
    <w:p w14:paraId="60BBEDC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EC59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года вышел приказ № 287сс НКТП</w:t>
      </w:r>
    </w:p>
    <w:p w14:paraId="7A0FE05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ГКО № 1479сс от 22 марта 1942 года “О Горьковском заводе фрезерных станков”:</w:t>
      </w:r>
    </w:p>
    <w:p w14:paraId="4E1E4E4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Горьковский завод фрезерных станков и НКТП в Наркомат Станкостроения (6120, 147).</w:t>
      </w:r>
    </w:p>
    <w:p w14:paraId="7BAF0B5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2A58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1479 [О передаче Горьковского завода фрезерных станков из НКТП в НКСС.] (7026, 15).</w:t>
      </w:r>
    </w:p>
    <w:p w14:paraId="4EA50A6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BF90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1481 Об организации сбора и вывоза трофейного имущества и лома черных и цветных металлов. (7026, 17-20).</w:t>
      </w:r>
    </w:p>
    <w:p w14:paraId="10DCD6C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7B5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1482 О поставках рудничной стойки для Подмосковного угольного бассейна. РГАНИР, Фонд ГКО, д. 25, лл. 21 (11012).</w:t>
      </w:r>
    </w:p>
    <w:p w14:paraId="255E84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80D9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1483 О Центральном управлении движения НКПС. (7026, 22-24,25-34).</w:t>
      </w:r>
    </w:p>
    <w:p w14:paraId="6DFF5B9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966A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вышло Постановление ГКО № 1484 О руководящих кадрах Центрального управления движения НКПС. (7026, 35-35об.).</w:t>
      </w:r>
    </w:p>
    <w:p w14:paraId="7E92FFE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15EBF" w14:textId="77777777" w:rsidR="00442EAC"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04CA704" w14:textId="77777777" w:rsidR="00442EAC" w:rsidRPr="008127F8" w:rsidRDefault="00442EAC"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B0384A"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марта</w:t>
      </w:r>
      <w:r w:rsidRPr="008127F8">
        <w:rPr>
          <w:rFonts w:ascii="Times New Roman" w:hAnsi="Times New Roman"/>
          <w:color w:val="000000" w:themeColor="text1"/>
          <w:sz w:val="16"/>
          <w:szCs w:val="16"/>
        </w:rPr>
        <w:t xml:space="preserve"> в 1942 году утреннее сообщение Совинформбюро:</w:t>
      </w:r>
    </w:p>
    <w:p w14:paraId="3E6C680B"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22 марта на фронте каких-либо существенных изменений не произошло.</w:t>
      </w:r>
    </w:p>
    <w:p w14:paraId="5FE03CE5"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наша часть уничтожила 4 немецких орудия, 5 станковых пулемётов, 4 миномёта, 20 повозок с военными грузами и захватила 3 орудия, 7 миномётов, 8 пулемётов и 25 автоматов. На другом участке гвардейская часть в последних боях уничтожила 5 офицеров, 47 унтер-офицеров и 870 солдат противника. Захвачены трофеи: 17 орудий, 10 миномётов, 23 станковых пулемёта, 10 противотанковых ружей, 36 грузовых и 6 легковых автомашин и другое военное имущество.</w:t>
      </w:r>
    </w:p>
    <w:p w14:paraId="388D014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гитлеровцами разрушили 8 вражеских ДЗОТов и блиндажей, уничтожили 10 станковых пулемётов и 2 миномётные батареи. Захвачены трофеи: 14 орудий, 49 пулемётов, 23 миномёта, 26 автоматов. 297 винтовок, 2 радиостанции, 27.000 винтовочных патронов, 3.500 мин и 5 ящиков с минами, 500 снарядов, склад с боеприпасами и обмундированием, 8 километров телефонного кабеля, противотанковые ружья, пистолеты и другое вооружение. На поле боя осталось 1.600 вражеских трупов. Взяты пленные.</w:t>
      </w:r>
    </w:p>
    <w:p w14:paraId="14778DD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некоторых участках Юго-Западного фронта противник неоднократно переходил в контратаки, которые отбиты с большими для него потерями. Только на одном из участков за два дня боёв гитлеровцы потеряли убитыми до 500 солдат и офицеров.</w:t>
      </w:r>
    </w:p>
    <w:p w14:paraId="498A152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наших лётчика, выполняя боевое задание, встретились в воздухе с 9 самолётами противника. Несмотря на численное превосходство врага, советские истребители стремительно атаковали немцев. Бой продолжался десять минут. Наши лётчики сбили пять немецких самолётов. Остальные повернули на запад. Два немецких самолёта сбил командир группы майор Зайцев, по одному самолёту сбили капитан Песков, лейтенант Дмитриев и старший лейтенант Бундилев. Все наши самолёты благополучно вернулись на свой аэродром.</w:t>
      </w:r>
    </w:p>
    <w:p w14:paraId="515B3A89"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Красной Армии, гитлеровцы сжигают на своём пути деревни, а местное население угоняют с собой. Колхозники деревень К., В., Б. и Г., Калининской области, узнав о приближении отступающих немецких войск, обратились к командиру партизанского отряда тов. Ч. с просьбой спасти их от немецко-фашистских бандитов. Партизаны истребили немецкие гарнизоны в этих деревнях и вооружили трофейным оружием большую группу колхозников. Когда немецкий отряд численностью в 45 человек приблизился к деревне К., партизаны и вооружённые колхозники открыли по врагу огонь из пулемётов и винтовок. Потеряв 14 человек убитыми, в том числе лейтенанта и двух обер-ефрейторов, немцы отступили. Такая же участь постигла и второй, более крупный немецкий отряд. Основные немецкие силы, не вступая в бой с партизанами, обошли деревни. Так колхозники, действуя совместно с партизанами, отстояли свои селения и нанесли урон гитлеровцам. В боях с немецко-фашистскими оккупантами особенно отличились пулемётчица Татьяна Е. и учительница Клавдия О.</w:t>
      </w:r>
    </w:p>
    <w:p w14:paraId="33E175C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унтер-офицер Гифенбайн писал недавно своей жене: «При продвижении к фронту мы встречаем отбившихся немецких солдат, которым посчастливилось избежать смерти. С ужасом они рассказывают о боях. Не стану тебе описывать отдельные подробности. Всё, что я здесь видел и пережил, можно выразить в одном предложении: мы пошали в ад. Партизанская война в полном разгаре. Войдёшь в небольшую деревушку, а стреляют отовсюду... Мы потеряли много товарищей».</w:t>
      </w:r>
    </w:p>
    <w:p w14:paraId="6B70559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Голая Долина, Сталинской области, освобождённом от немецких захватчиков, в силосной яме обнаружено 10 трупов мужчин и женщин, зверски замученных гитлеровскими мерзавцами. У всех трупов имеются ножевые и огнестрельные ранения, отрезаны уши, вывернуты руки и ноги.» (15076).</w:t>
      </w:r>
    </w:p>
    <w:p w14:paraId="4F907D30"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751F73A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марта</w:t>
      </w:r>
      <w:r w:rsidRPr="008127F8">
        <w:rPr>
          <w:rFonts w:ascii="Times New Roman" w:hAnsi="Times New Roman"/>
          <w:color w:val="000000" w:themeColor="text1"/>
          <w:sz w:val="16"/>
          <w:szCs w:val="16"/>
        </w:rPr>
        <w:t xml:space="preserve"> в 1942 году вечернее сообщение Совинформбюро:</w:t>
      </w:r>
    </w:p>
    <w:p w14:paraId="52A59A80"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марта наши войска продолжали наступательные бои против немецко-фашистских войск. На некоторых участках фронта противник переходил в контратаки, которые нашими войсками были отбиты с тяжёлыми для противника потерями.</w:t>
      </w:r>
    </w:p>
    <w:p w14:paraId="3624F4A5"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марта уничтожено 53 немецких самолёта. Наши потери — 14 самолётов.</w:t>
      </w:r>
    </w:p>
    <w:p w14:paraId="42CA371B"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марта частями нашей авиации уничтожено и повреждено 12 немецких танков, около 190 автомашин с войсками и грузами, 80 подвод с боеприпасами, 51 орудие, 8 зенитно-пулемётных точек, 30 миномётов, взорвано 8 железнодорожных вагонов и один паровоз, рассеяно и частью уничтожено до 2 батальонов пехоты противника.</w:t>
      </w:r>
    </w:p>
    <w:p w14:paraId="62B0E67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заняли несколько населённых пунктов. В боях за эти пункты противник потерял убитыми свыше 800 солдат и офицеров. Захвачены трофеи: 23 орудия, 59 пулемётов, 13 миномётов, 30 автомашин, большое количество винтовок и другого вооружения. Взяты пленные.</w:t>
      </w:r>
    </w:p>
    <w:p w14:paraId="378747E4"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Стремясь задержать продвижение наших частей на одном из участков фронта в Крыму, немцы неоднократно переходили в контратаки, которые были отбиты с большими для них потерями. На поле боя остались сотни убитых и раненых вражеских солдат и офицеров. За день одна наша часть подбила 15 немецких танков. На другом участке противник, пытавшийся контратаковать наши позиции, был отброшен с такой силой, что при отступлении оставил на поле боя 17 танков, из них 8 — совершенно исправных.</w:t>
      </w:r>
    </w:p>
    <w:p w14:paraId="5BDDC0AE"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у одной деревни красноармейцы тт. Хомутов и Тугов первыми ворвались в немецкий блиндаж, уничтожили гранатами 26 гитлеровцев и захватили 4 станковых пулемёта и фашистское знамя.</w:t>
      </w:r>
    </w:p>
    <w:p w14:paraId="6535BEA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дневника двух партизанских отрядов Смоленской области — «Ураган» и «Дедушка», объединившихся для совместных действий против немецко-фашистских захватчиков:</w:t>
      </w:r>
    </w:p>
    <w:p w14:paraId="59E01F00"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января. Полностью истребили немецкий карательный отряд численностью в 60 человек. Всё вооружение немцев перешло в руки наших бойцов.</w:t>
      </w:r>
    </w:p>
    <w:p w14:paraId="06123964"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января. Уничтожен второй немецкий карательный отряд численностью в 48 человек и захвачено всё вооружение.</w:t>
      </w:r>
    </w:p>
    <w:p w14:paraId="04306482"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февраля. В районе деревни Б. подкараулили немецких лыжников. Огнём из автоматов и винтовок истребили 20 солдат и захватили 13 винтовок, 3 автомата и 4 пистолета.</w:t>
      </w:r>
    </w:p>
    <w:p w14:paraId="4F8C8506"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Уничтожено несколько солдат из охраны немецкого обоза и захвачено 6 повозок с продовольствием.</w:t>
      </w:r>
    </w:p>
    <w:p w14:paraId="5CD8210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февраля. Сегодня — горячий день. Разведка донесла о приближении к нашей базе двух немецких отрядов. Заранее распределив свои силы, встретили немцев пулемётным огнём. Одной группой партизан убито 42 немецких солдата и обер-лейтенант, другой — истреблено 35 гитлеровцев. Всё оружие убитых — винтовки, пулемёты, автоматы — перешло в наши руки.</w:t>
      </w:r>
    </w:p>
    <w:p w14:paraId="6A78E2CF"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февраля. Организовали засаду и истребили немецкий отряд. Фашисты потеряли убитыми 30 солдат. Захвачено 22 винтовки, пулемёт, 8 автоматов, 3.000 патронов, 2 пишущие машинки, 4 радиоустановки, 48 подвод, нагруженных награбленным у колхозников имуществом и продовольствием».</w:t>
      </w:r>
    </w:p>
    <w:p w14:paraId="3AA21F6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Недалеко от Виипури произошло крупное столкновение между финским лыжным батальоном и немецкими солдатами артиллерийского полка. Узнав об изнасиловании гитлеровцами 8 местных девушек, финны напали на бараки, в которых находились немецкие артиллеристы. Во время схватки в ход были пущены пулемёты и автоматы. Количество убитых и раненых с обеих сторон достигает 150 человек.» (15076).</w:t>
      </w:r>
    </w:p>
    <w:p w14:paraId="789B8416"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01273FC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9C550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104EFC" w14:textId="77777777" w:rsidR="00DC1499" w:rsidRPr="008127F8" w:rsidRDefault="00DC14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состоялась вторая битва при Сирте между Королевским флотом и итальянскими войсками в Средиземном море. Итальянцам не удается предотвратить прибытие на Мальту конвоя из четырех грузовых кораблей союзников, а атака итальянских торпедоносцев Savoia-Marchetti SM.79 неэффективна (20793).</w:t>
      </w:r>
    </w:p>
    <w:p w14:paraId="7AB2EA64" w14:textId="77777777" w:rsidR="00DC1499" w:rsidRPr="008127F8" w:rsidRDefault="00DC1499" w:rsidP="001E0A84">
      <w:pPr>
        <w:spacing w:after="0" w:line="240" w:lineRule="auto"/>
        <w:jc w:val="both"/>
        <w:rPr>
          <w:rFonts w:ascii="Times New Roman" w:hAnsi="Times New Roman"/>
          <w:color w:val="000000" w:themeColor="text1"/>
          <w:sz w:val="16"/>
          <w:szCs w:val="16"/>
        </w:rPr>
      </w:pPr>
    </w:p>
    <w:p w14:paraId="01B542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марта 1942 ВВС начало передачи азбукой морзе для французского сопротивления (3481).</w:t>
      </w:r>
    </w:p>
    <w:p w14:paraId="21CB2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2E5B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223C1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C316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вышло Постановление ГКО О перегонке самолетов Ил-2 из Куйбышева в Москву.</w:t>
      </w:r>
    </w:p>
    <w:p w14:paraId="174046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Утвердить приказ командующего ВВС Жигарева о перегонке самолетов Ил-2 из Куйбышева в Москву с одной промежуточной посадки в Арзамасе.</w:t>
      </w:r>
    </w:p>
    <w:p w14:paraId="17CAC8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НКАП Шахурина, директора завода N 18 Шенкмана и гл. конструктора С.В.И. не позднее 5 апреля с.г. оборудовать 3 самолета Ил-2 дополнительными бензобаками, размещенными в бомбоотсеках, а ВВС Жигарева провести к 10 апреля с.г. испытания возможности перегонки самолетов Ил-2, оборудованных дополнительными бензобаками, из Куйбышева в Москву без промежуточной посадки (2160,238).</w:t>
      </w:r>
    </w:p>
    <w:p w14:paraId="598B95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4614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завод № 381 Постановлением ГОКО от обязывался с 1 мая начать выпуск Ил-2 с М-82ИР. Однако через месяц все работы по Ил-2 с М-82ИР на этом заводе были прекращены. Решили в двухместный ва</w:t>
      </w:r>
      <w:r w:rsidRPr="008127F8">
        <w:rPr>
          <w:rFonts w:ascii="Times New Roman" w:hAnsi="Times New Roman"/>
          <w:color w:val="000000" w:themeColor="text1"/>
          <w:sz w:val="16"/>
          <w:szCs w:val="16"/>
        </w:rPr>
        <w:softHyphen/>
        <w:t>риант переделывать Ил-2 с АМ-38.</w:t>
      </w:r>
    </w:p>
    <w:p w14:paraId="521568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История умалчивает, сколько было выпущено Ил-2 с М-82ИР. Известно лишь, что к 28 апреля на 381-м заводе действительно был построен один экземпляр такого самолета, но в одноместном варианте. К началу июня самолет прошел заводские испыта</w:t>
      </w:r>
      <w:r w:rsidRPr="008127F8">
        <w:rPr>
          <w:rFonts w:ascii="Times New Roman" w:hAnsi="Times New Roman"/>
          <w:color w:val="000000" w:themeColor="text1"/>
          <w:sz w:val="16"/>
          <w:szCs w:val="16"/>
        </w:rPr>
        <w:softHyphen/>
        <w:t>ния, перелетел на аэродром НИИ ВВС в Колъцово, где доводился в течение августа — сентября.</w:t>
      </w:r>
    </w:p>
    <w:p w14:paraId="1A49FF0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8127F8">
        <w:rPr>
          <w:rFonts w:ascii="Times New Roman" w:hAnsi="Times New Roman"/>
          <w:color w:val="000000" w:themeColor="text1"/>
          <w:sz w:val="16"/>
          <w:szCs w:val="16"/>
        </w:rPr>
        <w:softHyphen/>
        <w:t>мальная скорость у земли достигала 375 км/ч. Мотор работал хо</w:t>
      </w:r>
      <w:r w:rsidRPr="008127F8">
        <w:rPr>
          <w:rFonts w:ascii="Times New Roman" w:hAnsi="Times New Roman"/>
          <w:color w:val="000000" w:themeColor="text1"/>
          <w:sz w:val="16"/>
          <w:szCs w:val="16"/>
        </w:rPr>
        <w:softHyphen/>
        <w:t>рошо. Однако после каждого полета появлялись трещины на сек</w:t>
      </w:r>
      <w:r w:rsidRPr="008127F8">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8127F8">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8127F8">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8127F8">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23C8AAD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4F065F"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марта</w:t>
      </w:r>
      <w:r w:rsidRPr="008127F8">
        <w:rPr>
          <w:rFonts w:ascii="Times New Roman" w:hAnsi="Times New Roman"/>
          <w:color w:val="000000" w:themeColor="text1"/>
          <w:sz w:val="16"/>
          <w:szCs w:val="16"/>
        </w:rPr>
        <w:t xml:space="preserve"> в 1942 году в акте о государственных испытаниях </w:t>
      </w:r>
      <w:hyperlink r:id="rId84" w:tgtFrame="_blank" w:history="1">
        <w:r w:rsidRPr="008127F8">
          <w:rPr>
            <w:rFonts w:ascii="Times New Roman" w:hAnsi="Times New Roman"/>
            <w:color w:val="000000" w:themeColor="text1"/>
            <w:sz w:val="16"/>
            <w:szCs w:val="16"/>
          </w:rPr>
          <w:t xml:space="preserve">«Ил-2» «М-82ИР», </w:t>
        </w:r>
      </w:hyperlink>
      <w:r w:rsidRPr="008127F8">
        <w:rPr>
          <w:rFonts w:ascii="Times New Roman" w:hAnsi="Times New Roman"/>
          <w:color w:val="000000" w:themeColor="text1"/>
          <w:sz w:val="16"/>
          <w:szCs w:val="16"/>
        </w:rPr>
        <w:t>утвержденном командующим ВВС КА А.А.Новиковым 23 марта 1942 г., отмечалось, что "...испытанный в НИИ ВВС двухместный самолет «Ил-2» с мотором М-82 конструкции С.В.Ильюшина считать целесообразным внедрить в серийное производство". На самолете рекомендовалось установить переговорное устройство и радиополукомпас «РПК-10» (15077).</w:t>
      </w:r>
    </w:p>
    <w:p w14:paraId="46B4458D"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0CDD00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w:t>
      </w:r>
      <w:r w:rsidRPr="008127F8">
        <w:rPr>
          <w:rFonts w:ascii="Times New Roman" w:hAnsi="Times New Roman"/>
          <w:color w:val="000000" w:themeColor="text1"/>
          <w:sz w:val="16"/>
          <w:szCs w:val="16"/>
        </w:rPr>
        <w:softHyphen/>
        <w:t>та 1942 г. коман</w:t>
      </w:r>
      <w:r w:rsidRPr="008127F8">
        <w:rPr>
          <w:rFonts w:ascii="Times New Roman" w:hAnsi="Times New Roman"/>
          <w:color w:val="000000" w:themeColor="text1"/>
          <w:sz w:val="16"/>
          <w:szCs w:val="16"/>
        </w:rPr>
        <w:softHyphen/>
        <w:t>дующий ВВС КА А.А.Новиков утвердил акт о государственных испытани</w:t>
      </w:r>
      <w:r w:rsidRPr="008127F8">
        <w:rPr>
          <w:rFonts w:ascii="Times New Roman" w:hAnsi="Times New Roman"/>
          <w:color w:val="000000" w:themeColor="text1"/>
          <w:sz w:val="16"/>
          <w:szCs w:val="16"/>
        </w:rPr>
        <w:softHyphen/>
        <w:t xml:space="preserve">ях Ил-2 М-82ИР, в котором отмечалось, что </w:t>
      </w:r>
      <w:r w:rsidRPr="008127F8">
        <w:rPr>
          <w:rFonts w:ascii="Times New Roman" w:hAnsi="Times New Roman"/>
          <w:iCs/>
          <w:color w:val="000000" w:themeColor="text1"/>
          <w:sz w:val="16"/>
          <w:szCs w:val="16"/>
        </w:rPr>
        <w:t>"...испытан</w:t>
      </w:r>
      <w:r w:rsidRPr="008127F8">
        <w:rPr>
          <w:rFonts w:ascii="Times New Roman" w:hAnsi="Times New Roman"/>
          <w:iCs/>
          <w:color w:val="000000" w:themeColor="text1"/>
          <w:sz w:val="16"/>
          <w:szCs w:val="16"/>
        </w:rPr>
        <w:softHyphen/>
        <w:t>ный в НИИ ВВС двухместный самолет Ил-2 с мотором М-82 конструкции С.В.Ильюшина считать целесообразным внедрить в серийное производство".</w:t>
      </w:r>
      <w:r w:rsidRPr="008127F8">
        <w:rPr>
          <w:rFonts w:ascii="Times New Roman" w:hAnsi="Times New Roman"/>
          <w:color w:val="000000" w:themeColor="text1"/>
          <w:sz w:val="16"/>
          <w:szCs w:val="16"/>
        </w:rPr>
        <w:t xml:space="preserve"> На самолете рекомендовалось установить переговорное устройство и радиополукомпас РПК-10 (6467).</w:t>
      </w:r>
    </w:p>
    <w:p w14:paraId="156147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BE49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в утвержденном в этот день акте по испытаниям военные рекомендовалось «испытанный в НИИ ВВС двухмест</w:t>
      </w:r>
      <w:r w:rsidRPr="008127F8">
        <w:rPr>
          <w:rFonts w:ascii="Times New Roman" w:hAnsi="Times New Roman"/>
          <w:color w:val="000000" w:themeColor="text1"/>
          <w:sz w:val="16"/>
          <w:szCs w:val="16"/>
        </w:rPr>
        <w:softHyphen/>
        <w:t>ный самолет Ил-2 с мотором М-82... внедрить в серийное про</w:t>
      </w:r>
      <w:r w:rsidRPr="008127F8">
        <w:rPr>
          <w:rFonts w:ascii="Times New Roman" w:hAnsi="Times New Roman"/>
          <w:color w:val="000000" w:themeColor="text1"/>
          <w:sz w:val="16"/>
          <w:szCs w:val="16"/>
        </w:rPr>
        <w:softHyphen/>
        <w:t>изводство». При этом установка М-82 на самолет Ил-2 «допус</w:t>
      </w:r>
      <w:r w:rsidRPr="008127F8">
        <w:rPr>
          <w:rFonts w:ascii="Times New Roman" w:hAnsi="Times New Roman"/>
          <w:color w:val="000000" w:themeColor="text1"/>
          <w:sz w:val="16"/>
          <w:szCs w:val="16"/>
        </w:rPr>
        <w:softHyphen/>
        <w:t>калась как временное мероприятие на период отсутствия дос</w:t>
      </w:r>
      <w:r w:rsidRPr="008127F8">
        <w:rPr>
          <w:rFonts w:ascii="Times New Roman" w:hAnsi="Times New Roman"/>
          <w:color w:val="000000" w:themeColor="text1"/>
          <w:sz w:val="16"/>
          <w:szCs w:val="16"/>
        </w:rPr>
        <w:softHyphen/>
        <w:t>таточного количества АМ-38».</w:t>
      </w:r>
    </w:p>
    <w:p w14:paraId="734DC81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уже было принято решение о расформи</w:t>
      </w:r>
      <w:r w:rsidRPr="008127F8">
        <w:rPr>
          <w:rFonts w:ascii="Times New Roman" w:hAnsi="Times New Roman"/>
          <w:color w:val="000000" w:themeColor="text1"/>
          <w:sz w:val="16"/>
          <w:szCs w:val="16"/>
        </w:rPr>
        <w:softHyphen/>
        <w:t>ровании завода № 135 (11474,285).</w:t>
      </w:r>
    </w:p>
    <w:p w14:paraId="0A0182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4D7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вышел приказ НКАП N 228сс:</w:t>
      </w:r>
    </w:p>
    <w:p w14:paraId="0FD21D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N 1480сс от 22 марта 1942 отменил постановление ГКО N 1462сс от 16 марта 1942 о постановке производства самолета ДБ-3Ф на заводе 166 и обязал НКАП и ГК А.Н.Т. поставить производство самолета 103 на заводе 166. Этим же поручением ГКО отменил:</w:t>
      </w:r>
    </w:p>
    <w:p w14:paraId="0ABAE1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утверждение ГИ завода Д.В.Голеева</w:t>
      </w:r>
    </w:p>
    <w:p w14:paraId="3E724C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расформирование завода 288</w:t>
      </w:r>
    </w:p>
    <w:p w14:paraId="41E8D4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перевод КБ А.Н.Т. и В.М.М. в Москву и проведение всесторонних испытаний выпущенных на заводе самолетов 103 с М-82.</w:t>
      </w:r>
    </w:p>
    <w:p w14:paraId="1C27FD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1480сс от 22 марта 1942:</w:t>
      </w:r>
    </w:p>
    <w:p w14:paraId="453AD1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10 ГУ Тарасевичу, директору завода 166 Соколову и ГК А.Н.Т.:</w:t>
      </w:r>
    </w:p>
    <w:p w14:paraId="7C9343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постановку производства самолетов 103 с 2 хМ-82 в основном варианте</w:t>
      </w:r>
    </w:p>
    <w:p w14:paraId="388E11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принять к исполнению установленную постановлением ГКО программу завода 166 по выпуску самолетов 103 на 1943 в количестве 290 шт., из низ: в апреле 3, в июне 10, в августе 28, в октябре 56, в декабре 75 (1543,83).</w:t>
      </w:r>
    </w:p>
    <w:p w14:paraId="3D49D1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739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23-24 марта 1942, согласно постановлению ГКО от (срок сдачи - 1 апреля) от 14 марта 1942 г. в целях повышения летных качеств истребителя Як-1 и проверки возможности его использования как истребителя-перехватчика на заводе № 292 собрали и сдали досрочно облегченные "яки". Это были 10 самолетов 60-й серии (№ 3260, 3360, 3460, 3560, 3760, 3860. 3960, 4060. 4360, 4760). Самолеты изготовили в облегченном варианте без пулеметов ШКАС и боекомплекта к ним, с непро- тектированными бензобаками и металлическим хвостовым оперением от Як-7., но без оперения, которое поступило с завода № 153 только 7 апреля и было сразу установлено на самолеты (12048).</w:t>
      </w:r>
    </w:p>
    <w:p w14:paraId="3423A9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454AA"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23-24 марта 1942 в целях повышения летных качеств истребителя Як-1 и проверки возможности его использования как истребителя-перехватчика (согласно постановлению ГКО от 14 марта 1942 г. - срок - 1 апреля 1942 г.) на заводе № 292 было выпущено и сдано 10 самолетов Як-1 60-й серии (№№ 3260, 3360, 3460, 3560, 3760, 3860, 3960, 4060, 4360, 4760) в облегченном варианте без пулеметов ШКАС и боекомплектов к ним, с непротектированными бензобаками и металлическим хвостовым оперением от Як-7. Что касается последнего, то оно поступило с завода № 153 только 7 апреля 1942 г. и было сразу установлено на самолеты (23451) </w:t>
      </w:r>
    </w:p>
    <w:p w14:paraId="7130EFA5" w14:textId="77777777" w:rsidR="00DC27B4" w:rsidRPr="008A2E5A" w:rsidRDefault="00DC27B4" w:rsidP="00DC27B4">
      <w:pPr>
        <w:spacing w:after="0" w:line="240" w:lineRule="auto"/>
        <w:jc w:val="both"/>
        <w:rPr>
          <w:rFonts w:ascii="Times New Roman" w:hAnsi="Times New Roman"/>
          <w:color w:val="0070C0"/>
          <w:sz w:val="16"/>
          <w:szCs w:val="16"/>
        </w:rPr>
      </w:pPr>
    </w:p>
    <w:p w14:paraId="5734B7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согласно показаниям майора Хрипкова А.М., в тот день он находился в комнате ЛЭС (летно-экспериментальной станции) и наблюдал посадку самолета № 42055 с заклиненным правым крайним мотором. После попытки пилота уйти на второй круг с набором высоты, самолет накренился влево на 12-15 градусов, спустя 1-1,5 минуты перешел «резко на правую сторону на нос», загорелся и упал. Хрипков считал, что «летчик не смог принять правильных мер для спасения машины». Об этом случае вспоминает и Незваль. Разбившийся ТБ-7 был пригнан с еще одним самолетом из 45-й дивизии для проведения испытаний дизелей в различных режимах, в том числе и их остановкой в различных сочетаниях. За штурвалами машины были «гражданский летчик» (по словам Незваля) Ковалев А.Х. и майор Угрюмов М.М., а всего погибло шесть человек.</w:t>
      </w:r>
    </w:p>
    <w:p w14:paraId="1C6E51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ли говорить, что это была еще одна жертва дизельным моторам М-30. Тогда, в конце 1941 г., казалось, что на керосиновых двигателях поставлен жирный крест. Но нет, экономичность дизелей не давала многим покоя. Расчетная дальность ТБ-7 с М-40Ф достигала 7000 км, против 4700 км с АМ-35А, хотя из 342-го полка в декабре 1941 г. шла информация о том, что дальность ограничена 8-9 часами при сроке службы мотора не более 50 часов. И вот, через год, в декабре 1942 г. на завод присылаются материалы по новым вариантам дизелей М-30Б и В от главного конструктора Чаромского с завода № 500 (12049).</w:t>
      </w:r>
    </w:p>
    <w:p w14:paraId="4F45FB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C1E8D" w14:textId="77777777" w:rsidR="00442EAC" w:rsidRPr="008127F8" w:rsidRDefault="00442EAC"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23 марта 1942 на самолет ТИС установили новое вертикальное опере</w:t>
      </w:r>
      <w:r w:rsidRPr="008127F8">
        <w:rPr>
          <w:rFonts w:ascii="Times New Roman" w:cs="Times New Roman"/>
          <w:color w:val="000000" w:themeColor="text1"/>
          <w:spacing w:val="0"/>
        </w:rPr>
        <w:softHyphen/>
        <w:t>ние увеличенной площади и высоты и выполнили контрольный полет. Путевая устойчивость несколько улучшилась. После этой доработки самолет в завод</w:t>
      </w:r>
      <w:r w:rsidRPr="008127F8">
        <w:rPr>
          <w:rFonts w:ascii="Times New Roman" w:cs="Times New Roman"/>
          <w:color w:val="000000" w:themeColor="text1"/>
          <w:spacing w:val="0"/>
        </w:rPr>
        <w:softHyphen/>
        <w:t>ской документации и в переписке стали обозначать как ТИС (2А) (15755).</w:t>
      </w:r>
    </w:p>
    <w:p w14:paraId="13BCF4C5" w14:textId="77777777" w:rsidR="00442EAC" w:rsidRPr="008127F8" w:rsidRDefault="00442EAC" w:rsidP="001E0A84">
      <w:pPr>
        <w:pStyle w:val="27"/>
        <w:shd w:val="clear" w:color="auto" w:fill="auto"/>
        <w:spacing w:after="0" w:line="240" w:lineRule="auto"/>
        <w:ind w:firstLine="0"/>
        <w:rPr>
          <w:rFonts w:ascii="Times New Roman" w:cs="Times New Roman"/>
          <w:color w:val="000000" w:themeColor="text1"/>
          <w:spacing w:val="0"/>
        </w:rPr>
      </w:pPr>
    </w:p>
    <w:p w14:paraId="5306F2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г приказом НКАП №219/к директором завода №22 назначен В.А. Окулов. главным инженером М.Н. Корнеев. Будучи прежними работниками завода №22, они прекрасно знали его людей и имели хорошую взаимную сработанность (5764,39).</w:t>
      </w:r>
    </w:p>
    <w:p w14:paraId="4C90DB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8863D"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 xml:space="preserve">23 марта 1942 г. </w:t>
      </w:r>
      <w:r w:rsidRPr="008127F8">
        <w:rPr>
          <w:rFonts w:ascii="Times New Roman" w:hAnsi="Times New Roman"/>
          <w:color w:val="000000" w:themeColor="text1"/>
          <w:sz w:val="16"/>
          <w:szCs w:val="16"/>
        </w:rPr>
        <w:t>п</w:t>
      </w:r>
      <w:r w:rsidRPr="008127F8">
        <w:rPr>
          <w:rFonts w:ascii="Times New Roman" w:hAnsi="Times New Roman"/>
          <w:noProof/>
          <w:color w:val="000000" w:themeColor="text1"/>
          <w:sz w:val="16"/>
          <w:szCs w:val="16"/>
        </w:rPr>
        <w:t>осле ряда реорганиза</w:t>
      </w:r>
      <w:r w:rsidRPr="008127F8">
        <w:rPr>
          <w:rFonts w:ascii="Times New Roman" w:hAnsi="Times New Roman"/>
          <w:noProof/>
          <w:color w:val="000000" w:themeColor="text1"/>
          <w:sz w:val="16"/>
          <w:szCs w:val="16"/>
        </w:rPr>
        <w:softHyphen/>
        <w:t>ций эвакуированное и разросшееся хозяйство согласно приказа НКАП ста</w:t>
      </w:r>
      <w:r w:rsidRPr="008127F8">
        <w:rPr>
          <w:rFonts w:ascii="Times New Roman" w:hAnsi="Times New Roman"/>
          <w:noProof/>
          <w:color w:val="000000" w:themeColor="text1"/>
          <w:sz w:val="16"/>
          <w:szCs w:val="16"/>
        </w:rPr>
        <w:softHyphen/>
        <w:t>ло именоваться заводом №288</w:t>
      </w:r>
      <w:r w:rsidRPr="008127F8">
        <w:rPr>
          <w:rFonts w:ascii="Times New Roman" w:hAnsi="Times New Roman"/>
          <w:color w:val="000000" w:themeColor="text1"/>
          <w:sz w:val="16"/>
          <w:szCs w:val="16"/>
        </w:rPr>
        <w:t xml:space="preserve"> (11941)</w:t>
      </w:r>
      <w:r w:rsidRPr="008127F8">
        <w:rPr>
          <w:rFonts w:ascii="Times New Roman" w:hAnsi="Times New Roman"/>
          <w:noProof/>
          <w:color w:val="000000" w:themeColor="text1"/>
          <w:sz w:val="16"/>
          <w:szCs w:val="16"/>
        </w:rPr>
        <w:t>.</w:t>
      </w:r>
    </w:p>
    <w:p w14:paraId="3552BECF"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p>
    <w:p w14:paraId="426ECD5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Другие оборонные отрасли:</w:t>
      </w:r>
    </w:p>
    <w:p w14:paraId="2FC92B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0F654"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марта 1942 г. Докладная записка заместителя председателя СНК СССР Л. П. Берии и наркома боеприпасов СССР Б. Л. Ванникова председателю СНК СССР и ГКО СССР И. В. Сталину о необходимости импорта порохов, взрывчатки и химикатов</w:t>
      </w:r>
    </w:p>
    <w:p w14:paraId="18F6CB36"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EDE9029"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Состояние производства порохов и взрывчатки не обеспечивает полной потребности армии. Мощности по пороховым заводам в ближайшие два месяца будут неначительно увеличены как за счет улучшения работы действующих заводов, так и за счет введения в эксплуатацию строящихся заводов. Производственные мощности по взрывчатке имеются в достаточных размерах, но из-за отсутствия сырья эти мощности ^пользуются не более чем на 50%, не обеспечивая снаряжения корпусов снарядов, бомб и других боеприпасов, выпускаемых механическими заводами. В связи с этим возникает необходимость прибегнуть к импорту порохов, взрывчатки и химикатов:</w:t>
      </w:r>
    </w:p>
    <w:p w14:paraId="4B4D61EA"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Пороха надо завезти в любом возможном количестве, причем пороха заказывать наиболее ходовые, имеющие массовое потребление, как то: пороха для винтовочных патронов, для зарядов к 76-мм пушке, для зарядов к 45-мм пушке, для зарядов к 85-мм пушке и др.</w:t>
      </w:r>
    </w:p>
    <w:p w14:paraId="72B232DC"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Химическое сырье надо завезти еще в большем количестве, нежели пороха, в любом виде: как подлежащее дальнейшей переработке, так и в переработанном виде (толуол, аммиак, формалин, уротропин, диметиланилин, нашатырь, калиевую селитру, антрацен, централит).</w:t>
      </w:r>
    </w:p>
    <w:p w14:paraId="39560E7E"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случае если не представится возможности закупить сырье, идущее для переаботки в порох или взрывчатку, следует закупить продукты, изготовленные из </w:t>
      </w:r>
      <w:proofErr w:type="gramStart"/>
      <w:r w:rsidRPr="008A2E5A">
        <w:rPr>
          <w:rFonts w:ascii="Times New Roman" w:hAnsi="Times New Roman"/>
          <w:color w:val="0070C0"/>
          <w:sz w:val="16"/>
          <w:szCs w:val="16"/>
        </w:rPr>
        <w:t>этого ;ырья</w:t>
      </w:r>
      <w:proofErr w:type="gramEnd"/>
      <w:r w:rsidRPr="008A2E5A">
        <w:rPr>
          <w:rFonts w:ascii="Times New Roman" w:hAnsi="Times New Roman"/>
          <w:color w:val="0070C0"/>
          <w:sz w:val="16"/>
          <w:szCs w:val="16"/>
        </w:rPr>
        <w:t>, идущие на другие нужды, с тем чтобы в своей промышленности пустить это сырье в большем количестве на военную химию. Так, например, есть смысл закупать пресс-порошок для пластмассовых изделий, это даст возможность использовать соответственно большее количество фенола и формалина для выпуска уротропина, идущего для производства гексогена.</w:t>
      </w:r>
    </w:p>
    <w:p w14:paraId="3576D942"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этим просим поручить Наркомвнешторгу в срочном порядке приступить к переговорам по заказам на порох и на сырье военной химии. Прилагаем справку о минимальном количестве порохов и химикатов, которое желательно импортировать.</w:t>
      </w:r>
    </w:p>
    <w:p w14:paraId="2B797884"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6E113AFD"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Ванников</w:t>
      </w:r>
    </w:p>
    <w:p w14:paraId="2610F05A"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w:t>
      </w:r>
    </w:p>
    <w:p w14:paraId="72E16AA9"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«Справка о минимально необходимых количествах порохов и химикатов,</w:t>
      </w:r>
    </w:p>
    <w:p w14:paraId="4CC5B78D"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подлежащих заказу на импорт»</w:t>
      </w:r>
    </w:p>
    <w:p w14:paraId="581F7443"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1942 г.</w:t>
      </w:r>
    </w:p>
    <w:p w14:paraId="49BC1897"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008220F"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Пироксилиновые пороха</w:t>
      </w:r>
      <w:r w:rsidRPr="008A2E5A">
        <w:rPr>
          <w:rFonts w:ascii="Times New Roman" w:hAnsi="Times New Roman"/>
          <w:color w:val="0070C0"/>
          <w:sz w:val="16"/>
          <w:szCs w:val="16"/>
        </w:rPr>
        <w:tab/>
        <w:t>7000 т</w:t>
      </w:r>
    </w:p>
    <w:p w14:paraId="630F850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винтовочный</w:t>
      </w:r>
      <w:r w:rsidRPr="008A2E5A">
        <w:rPr>
          <w:rFonts w:ascii="Times New Roman" w:hAnsi="Times New Roman"/>
          <w:color w:val="0070C0"/>
          <w:sz w:val="16"/>
          <w:szCs w:val="16"/>
        </w:rPr>
        <w:tab/>
        <w:t>4000 т</w:t>
      </w:r>
    </w:p>
    <w:p w14:paraId="656FF0E7"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трубчатый 30/50 под скорость 870 м/с</w:t>
      </w:r>
      <w:r w:rsidRPr="008A2E5A">
        <w:rPr>
          <w:rFonts w:ascii="Times New Roman" w:hAnsi="Times New Roman"/>
          <w:color w:val="0070C0"/>
          <w:sz w:val="16"/>
          <w:szCs w:val="16"/>
        </w:rPr>
        <w:tab/>
        <w:t>1000 т</w:t>
      </w:r>
    </w:p>
    <w:p w14:paraId="1279BC11"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трубчатый 21/1</w:t>
      </w:r>
      <w:r w:rsidRPr="008A2E5A">
        <w:rPr>
          <w:rFonts w:ascii="Times New Roman" w:hAnsi="Times New Roman"/>
          <w:color w:val="0070C0"/>
          <w:sz w:val="16"/>
          <w:szCs w:val="16"/>
        </w:rPr>
        <w:tab/>
        <w:t>1000 т</w:t>
      </w:r>
    </w:p>
    <w:p w14:paraId="63308C19"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зерненый 9/7</w:t>
      </w:r>
      <w:r w:rsidRPr="008A2E5A">
        <w:rPr>
          <w:rFonts w:ascii="Times New Roman" w:hAnsi="Times New Roman"/>
          <w:color w:val="0070C0"/>
          <w:sz w:val="16"/>
          <w:szCs w:val="16"/>
        </w:rPr>
        <w:tab/>
        <w:t>1000 т</w:t>
      </w:r>
    </w:p>
    <w:p w14:paraId="587B9690"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Нитроглицериновые пороха пластинчатые</w:t>
      </w:r>
      <w:r w:rsidRPr="008A2E5A">
        <w:rPr>
          <w:rFonts w:ascii="Times New Roman" w:hAnsi="Times New Roman"/>
          <w:color w:val="0070C0"/>
          <w:sz w:val="16"/>
          <w:szCs w:val="16"/>
        </w:rPr>
        <w:tab/>
        <w:t>1000 т</w:t>
      </w:r>
    </w:p>
    <w:p w14:paraId="184BF957"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Централит</w:t>
      </w:r>
      <w:r w:rsidRPr="008A2E5A">
        <w:rPr>
          <w:rFonts w:ascii="Times New Roman" w:hAnsi="Times New Roman"/>
          <w:color w:val="0070C0"/>
          <w:sz w:val="16"/>
          <w:szCs w:val="16"/>
        </w:rPr>
        <w:tab/>
        <w:t>300 т</w:t>
      </w:r>
    </w:p>
    <w:p w14:paraId="35A94F14"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Дифениламин</w:t>
      </w:r>
      <w:r w:rsidRPr="008A2E5A">
        <w:rPr>
          <w:rFonts w:ascii="Times New Roman" w:hAnsi="Times New Roman"/>
          <w:color w:val="0070C0"/>
          <w:sz w:val="16"/>
          <w:szCs w:val="16"/>
        </w:rPr>
        <w:tab/>
        <w:t>300 т</w:t>
      </w:r>
    </w:p>
    <w:p w14:paraId="3B4B8F41"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Калиевая селитра</w:t>
      </w:r>
      <w:r w:rsidRPr="008A2E5A">
        <w:rPr>
          <w:rFonts w:ascii="Times New Roman" w:hAnsi="Times New Roman"/>
          <w:color w:val="0070C0"/>
          <w:sz w:val="16"/>
          <w:szCs w:val="16"/>
        </w:rPr>
        <w:tab/>
        <w:t>2000 т</w:t>
      </w:r>
    </w:p>
    <w:p w14:paraId="5CC3740C"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Калий сернокислый</w:t>
      </w:r>
      <w:r w:rsidRPr="008A2E5A">
        <w:rPr>
          <w:rFonts w:ascii="Times New Roman" w:hAnsi="Times New Roman"/>
          <w:color w:val="0070C0"/>
          <w:sz w:val="16"/>
          <w:szCs w:val="16"/>
        </w:rPr>
        <w:tab/>
        <w:t>800 т</w:t>
      </w:r>
    </w:p>
    <w:p w14:paraId="5147DC7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Нашатырь порошкообразный</w:t>
      </w:r>
      <w:r w:rsidRPr="008A2E5A">
        <w:rPr>
          <w:rFonts w:ascii="Times New Roman" w:hAnsi="Times New Roman"/>
          <w:color w:val="0070C0"/>
          <w:sz w:val="16"/>
          <w:szCs w:val="16"/>
        </w:rPr>
        <w:tab/>
        <w:t>5000 т</w:t>
      </w:r>
    </w:p>
    <w:p w14:paraId="4CE238A5"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Антрацен</w:t>
      </w:r>
      <w:r w:rsidRPr="008A2E5A">
        <w:rPr>
          <w:rFonts w:ascii="Times New Roman" w:hAnsi="Times New Roman"/>
          <w:color w:val="0070C0"/>
          <w:sz w:val="16"/>
          <w:szCs w:val="16"/>
        </w:rPr>
        <w:tab/>
        <w:t>2000 т</w:t>
      </w:r>
    </w:p>
    <w:p w14:paraId="1DA3E33E"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Диметиланилин</w:t>
      </w:r>
      <w:r w:rsidRPr="008A2E5A">
        <w:rPr>
          <w:rFonts w:ascii="Times New Roman" w:hAnsi="Times New Roman"/>
          <w:color w:val="0070C0"/>
          <w:sz w:val="16"/>
          <w:szCs w:val="16"/>
        </w:rPr>
        <w:tab/>
        <w:t>800 т</w:t>
      </w:r>
    </w:p>
    <w:p w14:paraId="33517813"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Аммоний роданистый</w:t>
      </w:r>
      <w:r w:rsidRPr="008A2E5A">
        <w:rPr>
          <w:rFonts w:ascii="Times New Roman" w:hAnsi="Times New Roman"/>
          <w:color w:val="0070C0"/>
          <w:sz w:val="16"/>
          <w:szCs w:val="16"/>
        </w:rPr>
        <w:tab/>
        <w:t>Зт</w:t>
      </w:r>
    </w:p>
    <w:p w14:paraId="57782D5E"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Резорцин</w:t>
      </w:r>
      <w:r w:rsidRPr="008A2E5A">
        <w:rPr>
          <w:rFonts w:ascii="Times New Roman" w:hAnsi="Times New Roman"/>
          <w:color w:val="0070C0"/>
          <w:sz w:val="16"/>
          <w:szCs w:val="16"/>
        </w:rPr>
        <w:tab/>
        <w:t>6т</w:t>
      </w:r>
    </w:p>
    <w:p w14:paraId="38715F64"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Перекись бария</w:t>
      </w:r>
      <w:r w:rsidRPr="008A2E5A">
        <w:rPr>
          <w:rFonts w:ascii="Times New Roman" w:hAnsi="Times New Roman"/>
          <w:color w:val="0070C0"/>
          <w:sz w:val="16"/>
          <w:szCs w:val="16"/>
        </w:rPr>
        <w:tab/>
        <w:t>25 т</w:t>
      </w:r>
    </w:p>
    <w:p w14:paraId="70655CE9"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Стронций щавелевокислый</w:t>
      </w:r>
      <w:r w:rsidRPr="008A2E5A">
        <w:rPr>
          <w:rFonts w:ascii="Times New Roman" w:hAnsi="Times New Roman"/>
          <w:color w:val="0070C0"/>
          <w:sz w:val="16"/>
          <w:szCs w:val="16"/>
        </w:rPr>
        <w:tab/>
        <w:t>8т</w:t>
      </w:r>
    </w:p>
    <w:p w14:paraId="7BAA51D3"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Родамин</w:t>
      </w:r>
      <w:r w:rsidRPr="008A2E5A">
        <w:rPr>
          <w:rFonts w:ascii="Times New Roman" w:hAnsi="Times New Roman"/>
          <w:color w:val="0070C0"/>
          <w:sz w:val="16"/>
          <w:szCs w:val="16"/>
        </w:rPr>
        <w:tab/>
        <w:t>0,5 т</w:t>
      </w:r>
    </w:p>
    <w:p w14:paraId="5011FD2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при возможности желательно завезти порохов в 2 или 3 раза больше</w:t>
      </w:r>
    </w:p>
    <w:p w14:paraId="5D2A3BA7"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Ванников</w:t>
      </w:r>
    </w:p>
    <w:p w14:paraId="383F5820"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(рукописная, красным карандашом): «За — И. Сталин».</w:t>
      </w:r>
    </w:p>
    <w:p w14:paraId="71249106"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43. Л. 165-167. Подлинники (24058).</w:t>
      </w:r>
    </w:p>
    <w:p w14:paraId="22DC855F" w14:textId="77777777" w:rsidR="00DC27B4" w:rsidRPr="008A2E5A" w:rsidRDefault="00DC27B4" w:rsidP="00DC27B4">
      <w:pPr>
        <w:spacing w:after="0" w:line="240" w:lineRule="auto"/>
        <w:jc w:val="both"/>
        <w:rPr>
          <w:rFonts w:ascii="Times New Roman" w:hAnsi="Times New Roman"/>
          <w:color w:val="0070C0"/>
          <w:sz w:val="16"/>
          <w:szCs w:val="16"/>
        </w:rPr>
      </w:pPr>
    </w:p>
    <w:p w14:paraId="538A0E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года на основании приказа по НКТП № 116 сс в Челябинске на базе бывшего опытного завода ЧТЗ и эвакуированного Харьковского станкостроительного завода им. Молотова создается опытный танко-моторный завод № 100 с его непосредственным подчинением наркомату танковой промышленности. Директором завода № 100 назначили Н. Ворошилова, главным инженером Н. Синева, главным конструктором А. Ермолаева, главным технологом Л. Кабардина. Новый завод расположился на площади в 7 гектаров между ЧКЗ и заводом № 200 в непосредственной близости от них.</w:t>
      </w:r>
    </w:p>
    <w:p w14:paraId="725284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Задачи, поставленные перед заводом № 100 были следующие:</w:t>
      </w:r>
    </w:p>
    <w:p w14:paraId="62BA79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Проведение опытных работ, связанных с усовершенствованием, модернизацией и изготовлением новых образцов танков и моторов к ним и их доводка.</w:t>
      </w:r>
    </w:p>
    <w:p w14:paraId="26CAC0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Испытание серийных машин и их агрегатов для выявления их качества и тактико-технической характеристики.</w:t>
      </w:r>
    </w:p>
    <w:p w14:paraId="4B5735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Изучение и обобщение опыта иностранной и отечественной техники для использования его в конструкциях наших танков и их агрегатах.</w:t>
      </w:r>
    </w:p>
    <w:p w14:paraId="6BA403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Изыскание заменителей горючих и смазочных материалов, разработка инструкций по их применению и эксплуатации".</w:t>
      </w:r>
    </w:p>
    <w:p w14:paraId="0E23E7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этих целей завод имел свою производственную базу - литейный, кузнечно-термический, механический и инструментальный цеха (181 единица станочного оборудования). Всего на заводе работало чуть больше тысячи человек (1159 по состоянию на 1 июня 1942 года) (11056).</w:t>
      </w:r>
    </w:p>
    <w:p w14:paraId="12808B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C1E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г. приказом № 8с по Главмотовелопрому НКСМ директору ИМЗ В.Н. Полевскому предписывалось до 20 апреля 1942 г. оказать ТМЗ техническую помощь: передать комплект чер</w:t>
      </w:r>
      <w:r w:rsidRPr="008127F8">
        <w:rPr>
          <w:rFonts w:ascii="Times New Roman" w:hAnsi="Times New Roman"/>
          <w:color w:val="000000" w:themeColor="text1"/>
          <w:sz w:val="16"/>
          <w:szCs w:val="16"/>
        </w:rPr>
        <w:softHyphen/>
        <w:t>тежей экипажной части М-72 и технологическую оснастку для неё, а также 2 комплекта технологических карт на детали экипажной части и другую техническую документацию [5.34] (11429).</w:t>
      </w:r>
    </w:p>
    <w:p w14:paraId="7CBA6B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2551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84753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68E61B"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марта</w:t>
      </w:r>
      <w:r w:rsidRPr="008127F8">
        <w:rPr>
          <w:rFonts w:ascii="Times New Roman" w:hAnsi="Times New Roman"/>
          <w:color w:val="000000" w:themeColor="text1"/>
          <w:sz w:val="16"/>
          <w:szCs w:val="16"/>
        </w:rPr>
        <w:t xml:space="preserve"> в 1942 году утреннее сообщение Совинформбюро:</w:t>
      </w:r>
    </w:p>
    <w:p w14:paraId="0A5062B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23 марта на фронте каких-либо существенных изменений не произошло.</w:t>
      </w:r>
    </w:p>
    <w:p w14:paraId="48E7D634"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Западного фронта, в результате упорного боя овладели 3 населёнными пунктами. Противник понёс большие потери в технике и живой силе. На другом участке наши пехотинцы, отбив несколько ожесточённых контратак врага, уничтожили до двух рот немцев.</w:t>
      </w:r>
    </w:p>
    <w:p w14:paraId="01116CE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за один населённый пункт (Калининский фронт) наша танковая часть уничтожила два немецких тяжёлых орудия, две миномётные батареи, 15 пулемётов, 10 противотанковых орудий, разрушила 27 ДЗОТов и блиндажей. На поле боя осталосьсвыше 100 вражеских трупов.</w:t>
      </w:r>
    </w:p>
    <w:p w14:paraId="148C6005"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преодолевая сопротивление противника, овладела важным опорным пунктом и уничтожила 200 немецких солдат и офицеров. Захвачены трофеи: 5 орудий, 2 станковых и 7 ручных пулемётов, более 100 винтовок. На другом участке наши части уничтожили 300 немцев, захватили 2 орудия и 10 станковых пулемётов.</w:t>
      </w:r>
    </w:p>
    <w:p w14:paraId="684C61D4"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сержанта Нечаева прямой наводкой уничтожил 2 пулемёта противника, 1 миномёт и 5 ДЗОТов.</w:t>
      </w:r>
    </w:p>
    <w:p w14:paraId="5551E854"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под командованием т.т. В. и П., заминировав полотно железной дороги в глубоком тылу у врага, пустил под откос воинский эшелон противника. В результате крушения полностью разбиты четыре вагона. Убито и ранено до 200 гитлеровцев.</w:t>
      </w:r>
    </w:p>
    <w:p w14:paraId="424ACCA9"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112 мотополка 20 немецкой танковой дивизии Рудольф Либш рассказал: «С 11 декабря по 15 февраля я находился в командировке. За это времяв моей роте из 120 человек осталось в живых всего лишь 18».</w:t>
      </w:r>
    </w:p>
    <w:p w14:paraId="4A9A49AF"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ефрейтор штабной роты 229 полка 101 немецкой дивизии Максимилиан Войталла рассказал: «Недавно мне пришлось побывать в германском тылу, в городе Хейльбронн. Население голодает. Везде бесконечно длинные очереди. Известия о громадных потерях немецкой армии на фронте приводят людей в ужас. Хейльбронн наводнён ранеными. Все больницы, поликлиники и школы заняты под госпитали. Солдаты, вышедшие из лазаретов и госпиталей, не хотят больше возвращаться на </w:t>
      </w:r>
      <w:r w:rsidRPr="008127F8">
        <w:rPr>
          <w:rFonts w:ascii="Times New Roman" w:hAnsi="Times New Roman"/>
          <w:color w:val="000000" w:themeColor="text1"/>
          <w:sz w:val="16"/>
          <w:szCs w:val="16"/>
        </w:rPr>
        <w:lastRenderedPageBreak/>
        <w:t>фронт. Под всякими предлогами они стараются попасть куда-нибудь подальше в тыл. Но это не всем удаётся. Молодёжь вся на фронте. Сейчас призывают на службу людей с физическими недостатками. Вот, например, мой родственник Франц Войталла глухой, но его призвали в армию».</w:t>
      </w:r>
    </w:p>
    <w:p w14:paraId="1C0993B2"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текстильной фабрике в районе Штуттгарта (Германия) многие рабочие-иностранцы умирают от голода. Рабочим в течение дня выдают полкотелка похлёбки, чуть приправленной затхлой мукой, и 50 граммов хлеба. Только за вторую половину февраля умерло от истощения 40 человек. Доведённые до отчаяния рабочие— поляки, итальянцы и французы—недавно разгромили фабричный продовольственный магазин. Вызванные штурмовые отряды открыли пулемётный и ружейный огонь. Убито до 60 рабочих-иностранцев и 12 местных жителей.» (15077).</w:t>
      </w:r>
    </w:p>
    <w:p w14:paraId="3673D454"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14A56AFE"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марта</w:t>
      </w:r>
      <w:r w:rsidRPr="008127F8">
        <w:rPr>
          <w:rFonts w:ascii="Times New Roman" w:hAnsi="Times New Roman"/>
          <w:color w:val="000000" w:themeColor="text1"/>
          <w:sz w:val="16"/>
          <w:szCs w:val="16"/>
        </w:rPr>
        <w:t xml:space="preserve"> в 1942 году вечернее сообщение Совинформбюро:</w:t>
      </w:r>
    </w:p>
    <w:p w14:paraId="290648E6"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марта на фронте чего-либо существенного не произошло.</w:t>
      </w:r>
    </w:p>
    <w:p w14:paraId="712762F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марта уничтожено 26 самолётов противника. Наши потери — 11самолётов.</w:t>
      </w:r>
    </w:p>
    <w:p w14:paraId="0F0D7009"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марта под Москвой сбито 3 самолёта противника.</w:t>
      </w:r>
    </w:p>
    <w:p w14:paraId="118FC0F2"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марта частями нашей авиации уничтожено или повреждено 15 немецких танков, 155 автомашин с войсками и грузами, 140 подвод с боеприпасами, 32 орудия, 6 зенитно-пулемётных точек, 11 миномётов, взорвано 7 складов с боеприпасами, рассеяно и частью уничтожено до 2 батальонов пехоты противника.</w:t>
      </w:r>
    </w:p>
    <w:p w14:paraId="52E9B5D1"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15 по 21 марта немецкая авиация потеряла 249 самолётов. Наши потери за этот же период — 77 самолётов.</w:t>
      </w:r>
    </w:p>
    <w:p w14:paraId="6AF0EBB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огнём артиллерии и действиями разведывательных групп разрушили 30 вражеских ДЗОТов, блиндажей, землянок и один наблюдательный пункт. За это же время уничтожено 16 станковых пулемётов, миномётная батарея и взорвано 2 склада с боеприпасами. Захвачены трофеи: 11 пулемётов, 24.000 патронов, 250 мин и много винтовок. Немцы потеряли только убитыми 1.800 солдат и офицеров.</w:t>
      </w:r>
    </w:p>
    <w:p w14:paraId="378FAEB0"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Наша часть, действующая на одном из участков Калининского фронта, после упорных боёв, доходивших до рукопашных схваток, выбила немцев из двух укреплённых населённых пунктов. Уничтожено 200 солдат и офицеров противника. Захвачено 6 станковых пулемётов, 2 миномёта, 2 радиостанции, автоматы и другое вооружение. Мужество и бесстрашие в бою проявил танковый экипаж лейтенанта </w:t>
      </w:r>
      <w:proofErr w:type="gramStart"/>
      <w:r w:rsidRPr="008127F8">
        <w:rPr>
          <w:rFonts w:ascii="Times New Roman" w:hAnsi="Times New Roman"/>
          <w:color w:val="000000" w:themeColor="text1"/>
          <w:sz w:val="16"/>
          <w:szCs w:val="16"/>
        </w:rPr>
        <w:t>тов.Васина</w:t>
      </w:r>
      <w:proofErr w:type="gramEnd"/>
      <w:r w:rsidRPr="008127F8">
        <w:rPr>
          <w:rFonts w:ascii="Times New Roman" w:hAnsi="Times New Roman"/>
          <w:color w:val="000000" w:themeColor="text1"/>
          <w:sz w:val="16"/>
          <w:szCs w:val="16"/>
        </w:rPr>
        <w:t>. Ворвавшись в глубину обороны противника, танк тов. Васина уничтожил 3 противотанковых пушки и 2 ДЗОТа с засевшими в них гитлеровцами. Танк был повреждён. Ликвидировав под огнём противника повреждения, танковый экипаж снова пошёл на штурм вражеских укреплений и уничтожил 6 орудий, 4 миномёта, 3 станковых пулемёта и разгромил штаб 473 немецкого пехотного полка.</w:t>
      </w:r>
    </w:p>
    <w:p w14:paraId="1E2D5C4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наши части выбили противника из двух населённых пунктов. Особенно упорные бои развернулись за деревню К., занятую советским подразделением. Пытаясь вернуть утерянную позицию, батальон вражеской пехоты, поддержанный 5 танками, в течение дня дважды переходил в контратаку, но был отброшен с большими для него потерями.</w:t>
      </w:r>
    </w:p>
    <w:p w14:paraId="4D3A989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Пятёрка советских гвардейцев-истребителей прикрывала наши части, которые вели наступательные бои на одном из участков Калининского фронта. Вскоре лётчики заметили 22 немецких бомбардировщика, которых сопровождали 8 истребителей. Не давая противнику приблизиться к расположению наших войск, советские лётчики бросились в атаку. Вскоре рухнул на землю «Мессершмитт-110», сбитый лейтенантом Ловейкиным. Капитан Ефремов сбил «Мессершмитт-109», капитан Дохов сбил двавражеских самолёта. Строй немецких самолётов был разбит. Затем был уничтожен ещё один «Мессершмитт-109» и подбиты два бомбардировщика. Остальные вражескиесамолёты повернули на запад. Все наши лётчики благополучно вернулись на свой аэродром.</w:t>
      </w:r>
    </w:p>
    <w:p w14:paraId="5BFCAF8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Вульф писал своей жене: «Только что мы бежали из села, где находились последнее время. Мы отступили сразу на 15 километров и не имели покоя два дня и две ночи. За эти дни и ночи мы потеряли очень многих. Наша рота стала маленькой кучкой. Командир роты тоже выбыл из строя. Отступая, многие из насобморозились. Это было страшно жутко».</w:t>
      </w:r>
    </w:p>
    <w:p w14:paraId="07E76DC5"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Немецкие оккупанты ограбили всех жителей села Мясоедово, Курской области. Вот краткий перечень чудовищных преступлений гитлеровцев: сожжены 372 дома колхозников, 3 школьных здания, церковь, 352 сарая, 15 амбаров и 8 конюшен. Немецкие бандиты отняли у населения 142 коровы, 11 лошадей, 71 овцу, 91 свинью, 1622 курицы, всё продовольствие, велосипеды, патефоны, швейные машины, </w:t>
      </w:r>
      <w:proofErr w:type="gramStart"/>
      <w:r w:rsidRPr="008127F8">
        <w:rPr>
          <w:rFonts w:ascii="Times New Roman" w:hAnsi="Times New Roman"/>
          <w:color w:val="000000" w:themeColor="text1"/>
          <w:sz w:val="16"/>
          <w:szCs w:val="16"/>
        </w:rPr>
        <w:t>одежду,обувь</w:t>
      </w:r>
      <w:proofErr w:type="gramEnd"/>
      <w:r w:rsidRPr="008127F8">
        <w:rPr>
          <w:rFonts w:ascii="Times New Roman" w:hAnsi="Times New Roman"/>
          <w:color w:val="000000" w:themeColor="text1"/>
          <w:sz w:val="16"/>
          <w:szCs w:val="16"/>
        </w:rPr>
        <w:t>, бельё, посуду и другие предметы домашнего обихода. Немецко-фашистские изверги расстреляли 34 мирных жителя села.».</w:t>
      </w:r>
    </w:p>
    <w:p w14:paraId="546AE539"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23E8A090"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Ленинградского фронта за период с 9 по 22 марта 1942 года.</w:t>
      </w:r>
    </w:p>
    <w:p w14:paraId="2E647A86"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«Войсками Ленинградского фронта в боях с противником за период с 9 по 22 марта захвачены следующие трофеи: орудий — 68, танков — 7, бронемашин — 2, миномётов —90, пулемётов — 424, автоматов — 169, противотанковых ружей — 107, винтовок —1.749, снарядов — 6.040, мин — 15.481 и 16 ящиков с минами, винтовочных патронов— 482.200 и 300 ящиков с патронами, ручных гранат — 4.170, стереотруб — 14, радиостанций — 16, телефонных аппаратов — 19.</w:t>
      </w:r>
    </w:p>
    <w:p w14:paraId="5FBD21B9"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уничтожено: 86 самолётов противника, 24 орудия, 4 склада с боеприпасами, 173 грузовых автомашины с различным грузом. За период с 9 по 22марта противник потерял убитыми свыше 16000 солдат и офицеров.» (15077).</w:t>
      </w:r>
    </w:p>
    <w:p w14:paraId="75C39523"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6B3D65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г. штурман М.А. Лашин, сбивший оборонительным огнем четыре истребителя противника на Су-2, оказался над неприятельским аэродромом, но сумел отбить атаки двух Bf 109F, вылетевших на перехват. Один "мессершмитт" сразу получил повреждение и совершил вынужденную посадку, а второй продолжал преследование и был подбит Лашиным уже над советскими войсками. В плен попал командир отряда обер-лейтенант К. Шаде (К. Schade) - ас с 27 победами, недавно прибывший в авиагруппу III/JG52 из школы воздушного боя (12028).</w:t>
      </w:r>
    </w:p>
    <w:p w14:paraId="2D61A3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779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года из 4-го МТАП Тихоокеанского флота под Мурманск были переброшены шесть ДБ-3Ф, возглавляемых капитаном Г. Поповым, которые вместе с машинами, прибывшими раньше, составили 6ю эскадрилью 2-го ГСАП (2691).</w:t>
      </w:r>
    </w:p>
    <w:p w14:paraId="3ABAA5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1F00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942E2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A7BF2" w14:textId="77777777" w:rsidR="00DC1499" w:rsidRPr="008127F8" w:rsidRDefault="00DC14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23–26 марта 1942 Fliegerkorps II выделяет 326 самолетов для уничтожения четырех грузовых кораблей союзников, прибывших на Мальту, потопив три из них и эсминец и повредив один из них (20793).</w:t>
      </w:r>
    </w:p>
    <w:p w14:paraId="7361B705" w14:textId="77777777" w:rsidR="00DC1499" w:rsidRPr="008127F8" w:rsidRDefault="00DC1499" w:rsidP="001E0A84">
      <w:pPr>
        <w:spacing w:after="0" w:line="240" w:lineRule="auto"/>
        <w:jc w:val="both"/>
        <w:rPr>
          <w:rFonts w:ascii="Times New Roman" w:hAnsi="Times New Roman"/>
          <w:color w:val="000000" w:themeColor="text1"/>
          <w:sz w:val="16"/>
          <w:szCs w:val="16"/>
        </w:rPr>
      </w:pPr>
    </w:p>
    <w:p w14:paraId="5605FE5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марта</w:t>
      </w:r>
      <w:r w:rsidRPr="008127F8">
        <w:rPr>
          <w:rFonts w:ascii="Times New Roman" w:hAnsi="Times New Roman"/>
          <w:color w:val="000000" w:themeColor="text1"/>
          <w:sz w:val="16"/>
          <w:szCs w:val="16"/>
        </w:rPr>
        <w:t xml:space="preserve"> в 1942 году с ракетного полигона Пенемюнде (Германия) осуществлен первый пуск баллистической ракеты V-2. Взорвалась на высоте 1 км (15077).</w:t>
      </w:r>
    </w:p>
    <w:p w14:paraId="3EFB4970"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493D34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на полигоне Penemunde был осуществлен запуск А-4 (ФАУ-2), но ракета упала в 1 км от старта (2990).</w:t>
      </w:r>
    </w:p>
    <w:p w14:paraId="4C21E0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5E168" w14:textId="77777777" w:rsidR="00442EAC" w:rsidRPr="008127F8" w:rsidRDefault="00442EAC"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Гитлер приказал создать береговую линию обороны в местах возможной высадки англо-американских войск в Европе (4962).</w:t>
      </w:r>
    </w:p>
    <w:p w14:paraId="3E953D54" w14:textId="77777777" w:rsidR="00442EAC" w:rsidRPr="008127F8" w:rsidRDefault="00442EAC"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5EA49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марта</w:t>
      </w:r>
      <w:r w:rsidRPr="008127F8">
        <w:rPr>
          <w:rFonts w:ascii="Times New Roman" w:hAnsi="Times New Roman"/>
          <w:color w:val="000000" w:themeColor="text1"/>
          <w:sz w:val="16"/>
          <w:szCs w:val="16"/>
        </w:rPr>
        <w:t xml:space="preserve"> в 1942 году в исполнение подписанной в феврале президентом США директивы по приказу генерал-лейтенанта Джона Девитта началось интернирование американских граждан японской национальности (15077).</w:t>
      </w:r>
    </w:p>
    <w:p w14:paraId="0FDD3656"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347A2F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японцы захватили Адамановы острова (2100).</w:t>
      </w:r>
    </w:p>
    <w:p w14:paraId="4E8D50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150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1942 японские войска оккупировали Северную Суматру, Никобарские и Андаманские острова в Индийском океане (3907,235).</w:t>
      </w:r>
    </w:p>
    <w:p w14:paraId="1653F6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9894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4B529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FFA4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вышел приказ по ВВС N 23:</w:t>
      </w:r>
    </w:p>
    <w:p w14:paraId="6E500D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"Назначить полковника В.И.Сталина Зам. Нач. ГУ ГО, Ф и К ВВС по перелетам самолетов с авиазаводов, расположенных в Восточных районах (N 1, 18, 21, 292, 22, 39, 381, 166) на московские аэродромы базирования авиации резерва ГК с оставлением его в должности Нач. инспекции ВВС." Подписал Нач. ВВС Жигарев и Чл. военсовета Петров (1634,91).</w:t>
      </w:r>
    </w:p>
    <w:p w14:paraId="101FB9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C342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вышло Постановление ГКО № 1485 О мероприятиях по увеличению выработки авиационных бензинов Б-78 и авиамасел в 1942 году. (7026, 36-47,48-52).</w:t>
      </w:r>
    </w:p>
    <w:p w14:paraId="6B3A31C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4AF8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вышел приказ НКАП № 230с:</w:t>
      </w:r>
    </w:p>
    <w:p w14:paraId="0D1EC13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1335с от 24 февраля 1942 и приказа НКАП № 157с от 27 февраля 1942:</w:t>
      </w:r>
    </w:p>
    <w:p w14:paraId="6FE6EF0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Организованному в Москве карбюраторному з-ду на площадях карбюраторного з-да 33 присвоить № 315.</w:t>
      </w:r>
    </w:p>
    <w:p w14:paraId="096E065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(1542, 3).</w:t>
      </w:r>
    </w:p>
    <w:p w14:paraId="5CF6F79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686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марта 1942 г. НКАП сообщил, что он нуждается в 244 тыс. бланках трудовых книжек (из них —100 тыс. взамен утраченных). Так как быстро заполнить столь обширный массив документов было технически невозможно, предлагалось в первую очередь представить 130 тыс. бланков, из них 4000 — на узбекском языке, 5000 — на грузинском, 5000 — на азербайджанском и 116 тыс. — на русском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4). Сложности особого рода вставали перед заводоуправлениями авиапредприятий при привлече</w:t>
      </w:r>
      <w:r w:rsidRPr="008127F8">
        <w:rPr>
          <w:rFonts w:ascii="Times New Roman" w:hAnsi="Times New Roman"/>
          <w:color w:val="000000" w:themeColor="text1"/>
          <w:sz w:val="16"/>
          <w:szCs w:val="16"/>
        </w:rPr>
        <w:softHyphen/>
        <w:t>нии рабочей силы из среднеазиатских республик. Так, для рабочих-киргизов, работавших на Куйбышевском моторостро</w:t>
      </w:r>
      <w:r w:rsidRPr="008127F8">
        <w:rPr>
          <w:rFonts w:ascii="Times New Roman" w:hAnsi="Times New Roman"/>
          <w:color w:val="000000" w:themeColor="text1"/>
          <w:sz w:val="16"/>
          <w:szCs w:val="16"/>
        </w:rPr>
        <w:softHyphen/>
        <w:t>ительном заводе, был создан специальный красный уголок. На заводе было выписано 80 экземпляров газет, издававшихся в Киргизии, выпускались стенные газеты и демонстрировались кинофильмы на киргизском языке, работал кружок ликбеза, на  котором рабочих-киргизов училии, как говорить, так и читать по-русски (</w:t>
      </w:r>
      <w:r w:rsidRPr="008127F8">
        <w:rPr>
          <w:rFonts w:ascii="Times New Roman" w:hAnsi="Times New Roman"/>
          <w:iCs/>
          <w:color w:val="000000" w:themeColor="text1"/>
          <w:sz w:val="16"/>
          <w:szCs w:val="16"/>
        </w:rPr>
        <w:t>Парамонов В. Россия в 1941—1945 гг.: проблемы индустриального раз</w:t>
      </w:r>
      <w:r w:rsidRPr="008127F8">
        <w:rPr>
          <w:rFonts w:ascii="Times New Roman" w:hAnsi="Times New Roman"/>
          <w:iCs/>
          <w:color w:val="000000" w:themeColor="text1"/>
          <w:sz w:val="16"/>
          <w:szCs w:val="16"/>
        </w:rPr>
        <w:softHyphen/>
        <w:t>вития. Самара, 1999. С. 318</w:t>
      </w:r>
      <w:r w:rsidRPr="008127F8">
        <w:rPr>
          <w:rFonts w:ascii="Times New Roman" w:hAnsi="Times New Roman"/>
          <w:color w:val="000000" w:themeColor="text1"/>
          <w:sz w:val="16"/>
          <w:szCs w:val="16"/>
        </w:rPr>
        <w:t>). Современники описывали процесс адаптации ра</w:t>
      </w:r>
      <w:r w:rsidRPr="008127F8">
        <w:rPr>
          <w:rFonts w:ascii="Times New Roman" w:hAnsi="Times New Roman"/>
          <w:color w:val="000000" w:themeColor="text1"/>
          <w:sz w:val="16"/>
          <w:szCs w:val="16"/>
        </w:rPr>
        <w:softHyphen/>
        <w:t>бочих из Средней Азии на авиазаводе № 18 так: «Конец де</w:t>
      </w:r>
      <w:r w:rsidRPr="008127F8">
        <w:rPr>
          <w:rFonts w:ascii="Times New Roman" w:hAnsi="Times New Roman"/>
          <w:color w:val="000000" w:themeColor="text1"/>
          <w:sz w:val="16"/>
          <w:szCs w:val="16"/>
        </w:rPr>
        <w:softHyphen/>
        <w:t>кабря. Пополнение из союзных республик. Ко мне в группу пришли грузин, два азербайджанца, четыре узбека. Товарищи не знали русского языка. Случайно в числе новых рабочих ока</w:t>
      </w:r>
      <w:r w:rsidRPr="008127F8">
        <w:rPr>
          <w:rFonts w:ascii="Times New Roman" w:hAnsi="Times New Roman"/>
          <w:color w:val="000000" w:themeColor="text1"/>
          <w:sz w:val="16"/>
          <w:szCs w:val="16"/>
        </w:rPr>
        <w:softHyphen/>
        <w:t>зался переводчик, товарищ Жданов. При его помощи я начал обучать новичков. Стремление овладеть квалификацией, стать полезным Родине в годину испытаний, настойчивость, с какой они принялись за дело, быстро сказались. К 15 января все уже работали уверенно, а к концу месяца начали выполнять норму и успешно сдали пробу... Новые рабочие слились с кадровика</w:t>
      </w:r>
      <w:r w:rsidRPr="008127F8">
        <w:rPr>
          <w:rFonts w:ascii="Times New Roman" w:hAnsi="Times New Roman"/>
          <w:color w:val="000000" w:themeColor="text1"/>
          <w:sz w:val="16"/>
          <w:szCs w:val="16"/>
        </w:rPr>
        <w:softHyphen/>
        <w:t>ми в один тесно спаянный, сознательный коллектив» (Цит. по:</w:t>
      </w:r>
      <w:r w:rsidRPr="008127F8">
        <w:rPr>
          <w:rFonts w:ascii="Times New Roman" w:hAnsi="Times New Roman"/>
          <w:iCs/>
          <w:color w:val="000000" w:themeColor="text1"/>
          <w:sz w:val="16"/>
          <w:szCs w:val="16"/>
        </w:rPr>
        <w:t xml:space="preserve"> Парамонов В.</w:t>
      </w:r>
      <w:r w:rsidRPr="008127F8">
        <w:rPr>
          <w:rFonts w:ascii="Times New Roman" w:hAnsi="Times New Roman"/>
          <w:color w:val="000000" w:themeColor="text1"/>
          <w:sz w:val="16"/>
          <w:szCs w:val="16"/>
        </w:rPr>
        <w:t xml:space="preserve"> Россия в 1941—1945 гг.: проблемы индустриаль</w:t>
      </w:r>
      <w:r w:rsidRPr="008127F8">
        <w:rPr>
          <w:rFonts w:ascii="Times New Roman" w:hAnsi="Times New Roman"/>
          <w:color w:val="000000" w:themeColor="text1"/>
          <w:sz w:val="16"/>
          <w:szCs w:val="16"/>
        </w:rPr>
        <w:softHyphen/>
        <w:t>ного развитая. Самара, 1999. С. 319) (12011).</w:t>
      </w:r>
    </w:p>
    <w:p w14:paraId="08EE19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511B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795D8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8B4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г. была подготовлена ОБЪЯСНИТЕЛЬНАЯ ЗАПИСКА НИ ПОЛИГОНА К ТЕХНИЧЕСКОМУ ПРОЕКТУ ТАНКА Т-34 ПОДВОДНОГО ХОЖДЕНИЯ</w:t>
      </w:r>
    </w:p>
    <w:p w14:paraId="0F4336E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Предстоящее освобождение ото льда водных преград ставит перед командованием войсковых соединений тяжелую задачу их преодоления.</w:t>
      </w:r>
    </w:p>
    <w:p w14:paraId="209CDD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Операции прошедшей осени показали, что переправы автобронетанковых частей и артиллерии посредством наведения мостов на плотах, понтонах и другими принятыми у нас способами, крайне громоздки по материальному обеспечению и по времени и сопровождаются тяжелыми потерями ма</w:t>
      </w:r>
      <w:r w:rsidRPr="008127F8">
        <w:rPr>
          <w:rFonts w:ascii="Times New Roman" w:hAnsi="Times New Roman"/>
          <w:color w:val="000000" w:themeColor="text1"/>
          <w:sz w:val="16"/>
          <w:szCs w:val="16"/>
        </w:rPr>
        <w:softHyphen/>
        <w:t>териальной части и живой силой.</w:t>
      </w:r>
    </w:p>
    <w:p w14:paraId="3CEB800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Причиной этого является то обстоятельство, что переправленные для прикрытия переправы, пе</w:t>
      </w:r>
      <w:r w:rsidRPr="008127F8">
        <w:rPr>
          <w:rFonts w:ascii="Times New Roman" w:hAnsi="Times New Roman"/>
          <w:color w:val="000000" w:themeColor="text1"/>
          <w:sz w:val="16"/>
          <w:szCs w:val="16"/>
        </w:rPr>
        <w:softHyphen/>
        <w:t>хотные подразделения, удерживая незначительную по глубине и фронту полосу (на берегу против</w:t>
      </w:r>
      <w:r w:rsidRPr="008127F8">
        <w:rPr>
          <w:rFonts w:ascii="Times New Roman" w:hAnsi="Times New Roman"/>
          <w:color w:val="000000" w:themeColor="text1"/>
          <w:sz w:val="16"/>
          <w:szCs w:val="16"/>
        </w:rPr>
        <w:softHyphen/>
        <w:t>ника), не в состоянии самостоятельно без поддержки танков подавить артиллерийские и пулемет</w:t>
      </w:r>
      <w:r w:rsidRPr="008127F8">
        <w:rPr>
          <w:rFonts w:ascii="Times New Roman" w:hAnsi="Times New Roman"/>
          <w:color w:val="000000" w:themeColor="text1"/>
          <w:sz w:val="16"/>
          <w:szCs w:val="16"/>
        </w:rPr>
        <w:softHyphen/>
        <w:t>ные точки противника, которые, как правило, ведут сосредоточенный интенсивный огонь по пред</w:t>
      </w:r>
      <w:r w:rsidRPr="008127F8">
        <w:rPr>
          <w:rFonts w:ascii="Times New Roman" w:hAnsi="Times New Roman"/>
          <w:color w:val="000000" w:themeColor="text1"/>
          <w:sz w:val="16"/>
          <w:szCs w:val="16"/>
        </w:rPr>
        <w:softHyphen/>
        <w:t>полагаемому месту переправы и подступам к нему.</w:t>
      </w:r>
    </w:p>
    <w:p w14:paraId="319C3DC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подавления и уничтожения огневых точек противника на соответствующей глубине, обеспечивающей возможность наведения и совершения переправы главных сил, выдвинутые вперед пехотные подразделения должны быть усилены приданием некоторого количества тан</w:t>
      </w:r>
      <w:r w:rsidRPr="008127F8">
        <w:rPr>
          <w:rFonts w:ascii="Times New Roman" w:hAnsi="Times New Roman"/>
          <w:color w:val="000000" w:themeColor="text1"/>
          <w:sz w:val="16"/>
          <w:szCs w:val="16"/>
        </w:rPr>
        <w:softHyphen/>
        <w:t>ков.</w:t>
      </w:r>
    </w:p>
    <w:p w14:paraId="51FBBB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выполнения такой задачи, выделенные танки должны обладать возможностью самостоя</w:t>
      </w:r>
      <w:r w:rsidRPr="008127F8">
        <w:rPr>
          <w:rFonts w:ascii="Times New Roman" w:hAnsi="Times New Roman"/>
          <w:color w:val="000000" w:themeColor="text1"/>
          <w:sz w:val="16"/>
          <w:szCs w:val="16"/>
        </w:rPr>
        <w:softHyphen/>
        <w:t>тельного преодоления водной преграды. Наиболее целесообразным следует считать применение танков, приспособленных для подводного хождения, то есть по дну водной преграды.</w:t>
      </w:r>
    </w:p>
    <w:p w14:paraId="41537D7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подводного хождения могут выполнять также самостоятельные тактические задачи при операциях, проводимых в отрыве от других родов войск.</w:t>
      </w:r>
    </w:p>
    <w:p w14:paraId="3B01827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Возможность подводного хождения обеспечивается на серийных танках наличием специальных приспособлений.</w:t>
      </w:r>
    </w:p>
    <w:p w14:paraId="43F704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Приспособления подготавливаются к действию на расстоянии трех - пяти километров от наме</w:t>
      </w:r>
      <w:r w:rsidRPr="008127F8">
        <w:rPr>
          <w:rFonts w:ascii="Times New Roman" w:hAnsi="Times New Roman"/>
          <w:color w:val="000000" w:themeColor="text1"/>
          <w:sz w:val="16"/>
          <w:szCs w:val="16"/>
        </w:rPr>
        <w:softHyphen/>
        <w:t>ченного места переправы, в зоне, не подвергающейся непосредственному наблюдению и обстрелу противника.</w:t>
      </w:r>
    </w:p>
    <w:p w14:paraId="767719B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Приспособления обеспечивают танку возможность преодоления водных преград глубиной до 5 метров и шириной до 3-5 км (танк может находиться под водой 1-1,5 часа) с крутизной берегов до 20-25°.</w:t>
      </w:r>
    </w:p>
    <w:p w14:paraId="5223A3E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Водная преграда должна быть предварительно разведана. Для разведки дна и выходов из реки должны быть использованы легкие водолазные приборы (типа ИПА-2, ИПА-3). Этими же приборами должны быть снабжены экипажи танков подводного хождения, для предохранения от отравления окисью углерода и на случай необходимости выхода из тан</w:t>
      </w:r>
      <w:r w:rsidRPr="008127F8">
        <w:rPr>
          <w:rFonts w:ascii="Times New Roman" w:hAnsi="Times New Roman"/>
          <w:color w:val="000000" w:themeColor="text1"/>
          <w:sz w:val="16"/>
          <w:szCs w:val="16"/>
        </w:rPr>
        <w:softHyphen/>
        <w:t>ка под водой.</w:t>
      </w:r>
    </w:p>
    <w:p w14:paraId="3C52D35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Вопросами приспособления танков к подводному хождению занимался целый ряд организаций, в том числе НИ полигон в период 1933-1938 гг.</w:t>
      </w:r>
    </w:p>
    <w:p w14:paraId="508394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этих работ были принципиально разработаны основные узлы приспособлений для подводного хождения по принципу подвода воздуха из вне и выхлопа в воду.</w:t>
      </w:r>
    </w:p>
    <w:p w14:paraId="62F0DD5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Вопросом подводного хождения также занималось немецкое командование, о чем свидетельст</w:t>
      </w:r>
      <w:r w:rsidRPr="008127F8">
        <w:rPr>
          <w:rFonts w:ascii="Times New Roman" w:hAnsi="Times New Roman"/>
          <w:color w:val="000000" w:themeColor="text1"/>
          <w:sz w:val="16"/>
          <w:szCs w:val="16"/>
        </w:rPr>
        <w:softHyphen/>
        <w:t>вуют трофейные танки Т-3, приспособленные для подводного хождения.</w:t>
      </w:r>
    </w:p>
    <w:p w14:paraId="4D67E3B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 недостатком всех проведенных ранее работ по приспособлению танков к подводно</w:t>
      </w:r>
      <w:r w:rsidRPr="008127F8">
        <w:rPr>
          <w:rFonts w:ascii="Times New Roman" w:hAnsi="Times New Roman"/>
          <w:color w:val="000000" w:themeColor="text1"/>
          <w:sz w:val="16"/>
          <w:szCs w:val="16"/>
        </w:rPr>
        <w:softHyphen/>
        <w:t>му хождению является «кустарничество» - оторванность изготовления приспособления от техноло</w:t>
      </w:r>
      <w:r w:rsidRPr="008127F8">
        <w:rPr>
          <w:rFonts w:ascii="Times New Roman" w:hAnsi="Times New Roman"/>
          <w:color w:val="000000" w:themeColor="text1"/>
          <w:sz w:val="16"/>
          <w:szCs w:val="16"/>
        </w:rPr>
        <w:softHyphen/>
        <w:t>гии производства танка на заводе.</w:t>
      </w:r>
    </w:p>
    <w:p w14:paraId="2596C0A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Предлагаемый проект танка Т-34 подводного хождения разработан с учетом опыта работ 1933-1938 гг.</w:t>
      </w:r>
    </w:p>
    <w:p w14:paraId="2369F8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разработан в виде сборочных чертежей по узлам и рассчитан на изготовление на заво</w:t>
      </w:r>
      <w:r w:rsidRPr="008127F8">
        <w:rPr>
          <w:rFonts w:ascii="Times New Roman" w:hAnsi="Times New Roman"/>
          <w:color w:val="000000" w:themeColor="text1"/>
          <w:sz w:val="16"/>
          <w:szCs w:val="16"/>
        </w:rPr>
        <w:softHyphen/>
        <w:t>де, выпускающем серийные танки. Таким образом, конструкция приспособлений должна быть орга</w:t>
      </w:r>
      <w:r w:rsidRPr="008127F8">
        <w:rPr>
          <w:rFonts w:ascii="Times New Roman" w:hAnsi="Times New Roman"/>
          <w:color w:val="000000" w:themeColor="text1"/>
          <w:sz w:val="16"/>
          <w:szCs w:val="16"/>
        </w:rPr>
        <w:softHyphen/>
        <w:t>нически связана с конструкцией и технологией производства танков.</w:t>
      </w:r>
    </w:p>
    <w:p w14:paraId="3370F4F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Выбор танка Т-34 определяется тем, что этот танк, имея мощное пушечное вооружение и броне</w:t>
      </w:r>
      <w:r w:rsidRPr="008127F8">
        <w:rPr>
          <w:rFonts w:ascii="Times New Roman" w:hAnsi="Times New Roman"/>
          <w:color w:val="000000" w:themeColor="text1"/>
          <w:sz w:val="16"/>
          <w:szCs w:val="16"/>
        </w:rPr>
        <w:softHyphen/>
        <w:t>вую защиту, обладая высокой маневренностью и динамичностью (обусловленной значительным за</w:t>
      </w:r>
      <w:r w:rsidRPr="008127F8">
        <w:rPr>
          <w:rFonts w:ascii="Times New Roman" w:hAnsi="Times New Roman"/>
          <w:color w:val="000000" w:themeColor="text1"/>
          <w:sz w:val="16"/>
          <w:szCs w:val="16"/>
        </w:rPr>
        <w:softHyphen/>
        <w:t>пасом мощности на тонну веса), наиболее приспособлен для выполнения задач по форсированию водных преград в составе первого эшелона или самостоятельно.</w:t>
      </w:r>
    </w:p>
    <w:p w14:paraId="0F71927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Помимо этого</w:t>
      </w:r>
      <w:proofErr w:type="gramEnd"/>
      <w:r w:rsidRPr="008127F8">
        <w:rPr>
          <w:rFonts w:ascii="Times New Roman" w:hAnsi="Times New Roman"/>
          <w:color w:val="000000" w:themeColor="text1"/>
          <w:sz w:val="16"/>
          <w:szCs w:val="16"/>
        </w:rPr>
        <w:t xml:space="preserve"> танк Т-34 имеет значительный вес при сравнительно небольших габаритах, что определяет достаточный сцепной вес (13-14 тонн) и удельное давление (0,3-0,33 кг/см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 условиях погружения в воду.</w:t>
      </w:r>
    </w:p>
    <w:p w14:paraId="130D0C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представленном проекте разработаны следующие узлы:</w:t>
      </w:r>
    </w:p>
    <w:p w14:paraId="76A1296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Труба для питания воздухом двигателя. Подвод воздуха осуществляется через трубу, введен</w:t>
      </w:r>
      <w:r w:rsidRPr="008127F8">
        <w:rPr>
          <w:rFonts w:ascii="Times New Roman" w:hAnsi="Times New Roman"/>
          <w:color w:val="000000" w:themeColor="text1"/>
          <w:sz w:val="16"/>
          <w:szCs w:val="16"/>
        </w:rPr>
        <w:softHyphen/>
        <w:t>ную в броневой наклонный лист в передней части корпуса с левой стороны.</w:t>
      </w:r>
    </w:p>
    <w:p w14:paraId="1FBE1C6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Труба укладывается вдоль борта и подымается приводом, расположенным слева от механика-во</w:t>
      </w:r>
      <w:r w:rsidRPr="008127F8">
        <w:rPr>
          <w:rFonts w:ascii="Times New Roman" w:hAnsi="Times New Roman"/>
          <w:color w:val="000000" w:themeColor="text1"/>
          <w:sz w:val="16"/>
          <w:szCs w:val="16"/>
        </w:rPr>
        <w:softHyphen/>
        <w:t>дителя.</w:t>
      </w:r>
    </w:p>
    <w:p w14:paraId="5B554A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Герметизация вооружения башни.</w:t>
      </w:r>
    </w:p>
    <w:p w14:paraId="721806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вооружения башни осуществляется брезентовым чехлом, закрепленным на ство</w:t>
      </w:r>
      <w:r w:rsidRPr="008127F8">
        <w:rPr>
          <w:rFonts w:ascii="Times New Roman" w:hAnsi="Times New Roman"/>
          <w:color w:val="000000" w:themeColor="text1"/>
          <w:sz w:val="16"/>
          <w:szCs w:val="16"/>
        </w:rPr>
        <w:softHyphen/>
        <w:t>ле пушки и облегающим башню за пределами броневой маски вооружения. В брезентовый чехол вы</w:t>
      </w:r>
      <w:r w:rsidRPr="008127F8">
        <w:rPr>
          <w:rFonts w:ascii="Times New Roman" w:hAnsi="Times New Roman"/>
          <w:color w:val="000000" w:themeColor="text1"/>
          <w:sz w:val="16"/>
          <w:szCs w:val="16"/>
        </w:rPr>
        <w:softHyphen/>
        <w:t>водится ствол пулемета. Герметизация вооружения башни обеспечивает ведение прицельного огня из пушки и пулемета с помощью ПТ-7 с нормальными углами возвышения и снижения.</w:t>
      </w:r>
    </w:p>
    <w:p w14:paraId="1EC18C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Герметизация пулемета радиотелеграфиста - пулеметчика.</w:t>
      </w:r>
    </w:p>
    <w:p w14:paraId="0238B70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пулемета осуществляется крышкой с резиновой прокладкой, закрывающейся при выемке пулемета внутрь танка.</w:t>
      </w:r>
    </w:p>
    <w:p w14:paraId="54D2C3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Герметизация погона башни.</w:t>
      </w:r>
    </w:p>
    <w:p w14:paraId="34A734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погона башни осуществляется пружинным сальником, обшитым фетром, распо</w:t>
      </w:r>
      <w:r w:rsidRPr="008127F8">
        <w:rPr>
          <w:rFonts w:ascii="Times New Roman" w:hAnsi="Times New Roman"/>
          <w:color w:val="000000" w:themeColor="text1"/>
          <w:sz w:val="16"/>
          <w:szCs w:val="16"/>
        </w:rPr>
        <w:softHyphen/>
        <w:t>ложенным между нижним погоном и внутренней стенкой основания башни.</w:t>
      </w:r>
    </w:p>
    <w:p w14:paraId="0D9EBA7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Герметизация воздухопритоков и воздухоотводов системы охлаждения двигателя. Герметизация осуществляется с помощью жалюзи с резиновым уплотнением. Привод жалюзи остается прежний.</w:t>
      </w:r>
    </w:p>
    <w:p w14:paraId="1D64E4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Установка забортного охлаждения двигателя.</w:t>
      </w:r>
    </w:p>
    <w:p w14:paraId="42A426E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Забортное охлаждение осуществляется посредством подвода некоторого количества забортной воды в систему охлаждения двигателя и отвода наружу части горячей воды.</w:t>
      </w:r>
    </w:p>
    <w:p w14:paraId="2E74E5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Установка автоматических клапанов на выхлопные трубы. Автоматические клапаны на вы</w:t>
      </w:r>
      <w:r w:rsidRPr="008127F8">
        <w:rPr>
          <w:rFonts w:ascii="Times New Roman" w:hAnsi="Times New Roman"/>
          <w:color w:val="000000" w:themeColor="text1"/>
          <w:sz w:val="16"/>
          <w:szCs w:val="16"/>
        </w:rPr>
        <w:softHyphen/>
        <w:t>хлопные трубы предназначены для преграждения доступа воды в цилиндры двигателя и для возмож</w:t>
      </w:r>
      <w:r w:rsidRPr="008127F8">
        <w:rPr>
          <w:rFonts w:ascii="Times New Roman" w:hAnsi="Times New Roman"/>
          <w:color w:val="000000" w:themeColor="text1"/>
          <w:sz w:val="16"/>
          <w:szCs w:val="16"/>
        </w:rPr>
        <w:softHyphen/>
        <w:t>ности заводки заглохшего двигателя под водой.</w:t>
      </w:r>
    </w:p>
    <w:p w14:paraId="558E7B9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Герметизация ПТ-7, ПТ-К.</w:t>
      </w:r>
    </w:p>
    <w:p w14:paraId="562832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ПТ-7 и ПТ-К осуществляется целлулоидными колпаками и резиновыми манжета</w:t>
      </w:r>
      <w:r w:rsidRPr="008127F8">
        <w:rPr>
          <w:rFonts w:ascii="Times New Roman" w:hAnsi="Times New Roman"/>
          <w:color w:val="000000" w:themeColor="text1"/>
          <w:sz w:val="16"/>
          <w:szCs w:val="16"/>
        </w:rPr>
        <w:softHyphen/>
        <w:t>ми. Целлулоидные колпаки могут удаляться после преодоления танком водной преграды.</w:t>
      </w:r>
    </w:p>
    <w:p w14:paraId="5F35F36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Установка для откачки воды, попавшей в корпус танка.</w:t>
      </w:r>
    </w:p>
    <w:p w14:paraId="33C894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Откачка воды, попавшей в корпус танка во время нахождения его под водой, осуществляется на</w:t>
      </w:r>
      <w:r w:rsidRPr="008127F8">
        <w:rPr>
          <w:rFonts w:ascii="Times New Roman" w:hAnsi="Times New Roman"/>
          <w:color w:val="000000" w:themeColor="text1"/>
          <w:sz w:val="16"/>
          <w:szCs w:val="16"/>
        </w:rPr>
        <w:softHyphen/>
        <w:t>сосом типа «Альвеер».</w:t>
      </w:r>
    </w:p>
    <w:p w14:paraId="30E9A5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преодоления водной преграды вода из корпуса танка удаляется через два клапана, распо</w:t>
      </w:r>
      <w:r w:rsidRPr="008127F8">
        <w:rPr>
          <w:rFonts w:ascii="Times New Roman" w:hAnsi="Times New Roman"/>
          <w:color w:val="000000" w:themeColor="text1"/>
          <w:sz w:val="16"/>
          <w:szCs w:val="16"/>
        </w:rPr>
        <w:softHyphen/>
        <w:t>ложенных в днище кормовой и носовой части корпуса танка.</w:t>
      </w:r>
    </w:p>
    <w:p w14:paraId="0E6C71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съемных листов корпуса чертежами не оформлена, поскольку она будет произво</w:t>
      </w:r>
      <w:r w:rsidRPr="008127F8">
        <w:rPr>
          <w:rFonts w:ascii="Times New Roman" w:hAnsi="Times New Roman"/>
          <w:color w:val="000000" w:themeColor="text1"/>
          <w:sz w:val="16"/>
          <w:szCs w:val="16"/>
        </w:rPr>
        <w:softHyphen/>
        <w:t>диться по месту на машине.</w:t>
      </w:r>
    </w:p>
    <w:p w14:paraId="71476C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люков и смотровых приборов предусмотрена чертежами завода. В случае внесе</w:t>
      </w:r>
      <w:r w:rsidRPr="008127F8">
        <w:rPr>
          <w:rFonts w:ascii="Times New Roman" w:hAnsi="Times New Roman"/>
          <w:color w:val="000000" w:themeColor="text1"/>
          <w:sz w:val="16"/>
          <w:szCs w:val="16"/>
        </w:rPr>
        <w:softHyphen/>
        <w:t>ния изменения в эти узлы заводом, герметизация их будет разработана по представлению образца на заводе.</w:t>
      </w:r>
    </w:p>
    <w:p w14:paraId="5C120D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Вождение танка при погружении выше уровня перископов осуществляется по компасу, в ос</w:t>
      </w:r>
      <w:r w:rsidRPr="008127F8">
        <w:rPr>
          <w:rFonts w:ascii="Times New Roman" w:hAnsi="Times New Roman"/>
          <w:color w:val="000000" w:themeColor="text1"/>
          <w:sz w:val="16"/>
          <w:szCs w:val="16"/>
        </w:rPr>
        <w:softHyphen/>
        <w:t>тальных случаях по перископам или смотровым приборам водителя.</w:t>
      </w:r>
    </w:p>
    <w:p w14:paraId="3BA19C8D"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Ведение огня возможно во всех случаях, когда вооружение не погружено в воду.</w:t>
      </w:r>
    </w:p>
    <w:p w14:paraId="41FF968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Герметизация вооружения и установка клапана производится предварительно, что не мешает обычной работе экипажа и агрегатов танка. В остальном переход в положение для подводного хож</w:t>
      </w:r>
      <w:r w:rsidRPr="008127F8">
        <w:rPr>
          <w:rFonts w:ascii="Times New Roman" w:hAnsi="Times New Roman"/>
          <w:color w:val="000000" w:themeColor="text1"/>
          <w:sz w:val="16"/>
          <w:szCs w:val="16"/>
        </w:rPr>
        <w:softHyphen/>
        <w:t>дения осуществляется экипажем танка в течение 3-5 минут изнутри танка. Таким же образом произ</w:t>
      </w:r>
      <w:r w:rsidRPr="008127F8">
        <w:rPr>
          <w:rFonts w:ascii="Times New Roman" w:hAnsi="Times New Roman"/>
          <w:color w:val="000000" w:themeColor="text1"/>
          <w:sz w:val="16"/>
          <w:szCs w:val="16"/>
        </w:rPr>
        <w:softHyphen/>
        <w:t>водится переход из П.Х. в обычное положение движения по суше.</w:t>
      </w:r>
    </w:p>
    <w:p w14:paraId="053D9F1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Врид начальника НИ полигона военинженер 1 ранга Барыков</w:t>
      </w:r>
    </w:p>
    <w:p w14:paraId="280C1E9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Военком НИ полигона полковой комиссар Долгов</w:t>
      </w:r>
    </w:p>
    <w:p w14:paraId="73FEC21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 отдела майор Геркевич</w:t>
      </w:r>
    </w:p>
    <w:p w14:paraId="0F69363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проектной группы военинженер 2 ранга Медовый</w:t>
      </w:r>
    </w:p>
    <w:p w14:paraId="52519C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935. Л. 172-174. Подлинник (11211).</w:t>
      </w:r>
    </w:p>
    <w:p w14:paraId="1FF336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7B5D7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г. приказом № 53с Главмотовелопрома ди</w:t>
      </w:r>
      <w:r w:rsidRPr="008127F8">
        <w:rPr>
          <w:rFonts w:ascii="Times New Roman" w:hAnsi="Times New Roman"/>
          <w:color w:val="000000" w:themeColor="text1"/>
          <w:sz w:val="16"/>
          <w:szCs w:val="16"/>
        </w:rPr>
        <w:softHyphen/>
        <w:t>ректору ИМЗ В.Н. Полевскому предписывалось лично выехать в Свердловск для получения с завода № 37 оборудования, приспособ</w:t>
      </w:r>
      <w:r w:rsidRPr="008127F8">
        <w:rPr>
          <w:rFonts w:ascii="Times New Roman" w:hAnsi="Times New Roman"/>
          <w:color w:val="000000" w:themeColor="text1"/>
          <w:sz w:val="16"/>
          <w:szCs w:val="16"/>
        </w:rPr>
        <w:softHyphen/>
        <w:t>лений, «незавершенки», а также перевода на ИМЗ рабочих и ИТР, ранее трудившихся на автозаводе им. КИМ и принимавших участие в выпуске КП для М-72, а директору ТМЗ В.М. Ударову поручили отправить на ИМЗ координатно-расточной станок [5.33]. С другой стороны приказом № 8с по Главмотовелопрому от 23 марта 1942 г. директору ИМЗ В.Н. Полевскому предписывалось до 20 апреля 1942 г. оказать ТМЗ техническую помощь: передать комплект чер</w:t>
      </w:r>
      <w:r w:rsidRPr="008127F8">
        <w:rPr>
          <w:rFonts w:ascii="Times New Roman" w:hAnsi="Times New Roman"/>
          <w:color w:val="000000" w:themeColor="text1"/>
          <w:sz w:val="16"/>
          <w:szCs w:val="16"/>
        </w:rPr>
        <w:softHyphen/>
        <w:t>тежей экипажной части М-72 и технологическую оснастку для неё, а также 2 комплекта технологических карт на детали экипажной части и другую техническую документацию [5.34] (11429).</w:t>
      </w:r>
    </w:p>
    <w:p w14:paraId="27BE94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6912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г. Руководство Главмотовелопрома обязало ди</w:t>
      </w:r>
      <w:r w:rsidRPr="008127F8">
        <w:rPr>
          <w:rFonts w:ascii="Times New Roman" w:hAnsi="Times New Roman"/>
          <w:color w:val="000000" w:themeColor="text1"/>
          <w:sz w:val="16"/>
          <w:szCs w:val="16"/>
        </w:rPr>
        <w:softHyphen/>
        <w:t>ректора ИМЗ В.Н. Полевского приказом № 53с начать выпуск мотоциклов М-72, КП и моторов к ним до 15 апреля 1942 г. [5.33]. На ИМЗ принимали в основном старшеклассников, домохозя</w:t>
      </w:r>
      <w:r w:rsidRPr="008127F8">
        <w:rPr>
          <w:rFonts w:ascii="Times New Roman" w:hAnsi="Times New Roman"/>
          <w:color w:val="000000" w:themeColor="text1"/>
          <w:sz w:val="16"/>
          <w:szCs w:val="16"/>
        </w:rPr>
        <w:softHyphen/>
        <w:t>ек и стариков, освобожденных от призыва в Красную Армию, благодаря которым количество работавших на ИМЗ не отлича</w:t>
      </w:r>
      <w:r w:rsidRPr="008127F8">
        <w:rPr>
          <w:rFonts w:ascii="Times New Roman" w:hAnsi="Times New Roman"/>
          <w:color w:val="000000" w:themeColor="text1"/>
          <w:sz w:val="16"/>
          <w:szCs w:val="16"/>
        </w:rPr>
        <w:softHyphen/>
        <w:t>лось от плана так разительно, как на ГМЗ (табл. 16), а по ряду специальностей существенно превышало. Благополучно разре</w:t>
      </w:r>
      <w:r w:rsidRPr="008127F8">
        <w:rPr>
          <w:rFonts w:ascii="Times New Roman" w:hAnsi="Times New Roman"/>
          <w:color w:val="000000" w:themeColor="text1"/>
          <w:sz w:val="16"/>
          <w:szCs w:val="16"/>
        </w:rPr>
        <w:softHyphen/>
        <w:t>шалась кадровая политика учениками по мере освоения ими про</w:t>
      </w:r>
      <w:r w:rsidRPr="008127F8">
        <w:rPr>
          <w:rFonts w:ascii="Times New Roman" w:hAnsi="Times New Roman"/>
          <w:color w:val="000000" w:themeColor="text1"/>
          <w:sz w:val="16"/>
          <w:szCs w:val="16"/>
        </w:rPr>
        <w:softHyphen/>
        <w:t>изводственных профессий (табл. 17) [5.35]. Приказом № 172с от 8 марта 1942 г. коллективу ИМЗ постави</w:t>
      </w:r>
      <w:r w:rsidRPr="008127F8">
        <w:rPr>
          <w:rFonts w:ascii="Times New Roman" w:hAnsi="Times New Roman"/>
          <w:color w:val="000000" w:themeColor="text1"/>
          <w:sz w:val="16"/>
          <w:szCs w:val="16"/>
        </w:rPr>
        <w:softHyphen/>
        <w:t>ли следующую задачу: во втором квартале 1942 г. изготовить -600 экземпляров М-72, а всего в 1942 г. - 5 тыс. и повысить мощ ность завода до 15 тыс. мотоциклов к апрелю 1943 года [5.23]. Осу</w:t>
      </w:r>
      <w:r w:rsidRPr="008127F8">
        <w:rPr>
          <w:rFonts w:ascii="Times New Roman" w:hAnsi="Times New Roman"/>
          <w:color w:val="000000" w:themeColor="text1"/>
          <w:sz w:val="16"/>
          <w:szCs w:val="16"/>
        </w:rPr>
        <w:softHyphen/>
        <w:t>ществить это в тот период представлялось невозможным, ведь ИМЗ находился в стороне от промышленно развитых центров, и на заводе приходилось налаживать выпуск многих комплектующих из</w:t>
      </w:r>
      <w:r w:rsidRPr="008127F8">
        <w:rPr>
          <w:rFonts w:ascii="Times New Roman" w:hAnsi="Times New Roman"/>
          <w:color w:val="000000" w:themeColor="text1"/>
          <w:sz w:val="16"/>
          <w:szCs w:val="16"/>
        </w:rPr>
        <w:softHyphen/>
        <w:t>делий при дефиците кадров, ресурсов и финансов. И всё же в 1942 г. удалось сделать 1587 мотоциклов М-72 [5.36], что превысило вы</w:t>
      </w:r>
      <w:r w:rsidRPr="008127F8">
        <w:rPr>
          <w:rFonts w:ascii="Times New Roman" w:hAnsi="Times New Roman"/>
          <w:color w:val="000000" w:themeColor="text1"/>
          <w:sz w:val="16"/>
          <w:szCs w:val="16"/>
        </w:rPr>
        <w:softHyphen/>
        <w:t>пуск мотоциклов на ГМЗ за тот же год (1284), потому что на ИМЗ была выше численность персонала, завод бесперебойно снабжали электроэнергией от собственных источников, руководство обеспе</w:t>
      </w:r>
      <w:r w:rsidRPr="008127F8">
        <w:rPr>
          <w:rFonts w:ascii="Times New Roman" w:hAnsi="Times New Roman"/>
          <w:color w:val="000000" w:themeColor="text1"/>
          <w:sz w:val="16"/>
          <w:szCs w:val="16"/>
        </w:rPr>
        <w:softHyphen/>
        <w:t>чивало развитие производства. Так, в июне 1942 г. на ИМЗ постро</w:t>
      </w:r>
      <w:r w:rsidRPr="008127F8">
        <w:rPr>
          <w:rFonts w:ascii="Times New Roman" w:hAnsi="Times New Roman"/>
          <w:color w:val="000000" w:themeColor="text1"/>
          <w:sz w:val="16"/>
          <w:szCs w:val="16"/>
        </w:rPr>
        <w:softHyphen/>
        <w:t>или и ввели в строй цеха по сборке моторов и КП [5.30].</w:t>
      </w:r>
    </w:p>
    <w:p w14:paraId="750BAFD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Таблица 17</w:t>
      </w:r>
    </w:p>
    <w:p w14:paraId="5C6635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работающих на ИМЗ,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701"/>
        <w:gridCol w:w="1559"/>
      </w:tblGrid>
      <w:tr w:rsidR="006F4095" w:rsidRPr="008127F8" w14:paraId="1641AD79" w14:textId="77777777">
        <w:tc>
          <w:tcPr>
            <w:tcW w:w="2802" w:type="dxa"/>
            <w:tcBorders>
              <w:top w:val="single" w:sz="12" w:space="0" w:color="auto"/>
            </w:tcBorders>
          </w:tcPr>
          <w:p w14:paraId="582CEF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кадры</w:t>
            </w:r>
          </w:p>
        </w:tc>
        <w:tc>
          <w:tcPr>
            <w:tcW w:w="1701" w:type="dxa"/>
            <w:tcBorders>
              <w:top w:val="single" w:sz="12" w:space="0" w:color="auto"/>
            </w:tcBorders>
          </w:tcPr>
          <w:p w14:paraId="4EEE91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w:t>
            </w:r>
          </w:p>
        </w:tc>
        <w:tc>
          <w:tcPr>
            <w:tcW w:w="1701" w:type="dxa"/>
            <w:tcBorders>
              <w:top w:val="single" w:sz="12" w:space="0" w:color="auto"/>
            </w:tcBorders>
          </w:tcPr>
          <w:p w14:paraId="3148D6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5254B2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A24856" w14:textId="77777777">
        <w:tc>
          <w:tcPr>
            <w:tcW w:w="2802" w:type="dxa"/>
          </w:tcPr>
          <w:p w14:paraId="70A8B1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2AE84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плановая</w:t>
            </w:r>
          </w:p>
        </w:tc>
        <w:tc>
          <w:tcPr>
            <w:tcW w:w="1701" w:type="dxa"/>
          </w:tcPr>
          <w:p w14:paraId="4C256A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реальная</w:t>
            </w:r>
          </w:p>
        </w:tc>
        <w:tc>
          <w:tcPr>
            <w:tcW w:w="1559" w:type="dxa"/>
          </w:tcPr>
          <w:p w14:paraId="527813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6A55D55D" w14:textId="77777777">
        <w:tc>
          <w:tcPr>
            <w:tcW w:w="2802" w:type="dxa"/>
          </w:tcPr>
          <w:p w14:paraId="63BDFD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Рабочие</w:t>
            </w:r>
          </w:p>
        </w:tc>
        <w:tc>
          <w:tcPr>
            <w:tcW w:w="1701" w:type="dxa"/>
          </w:tcPr>
          <w:p w14:paraId="0AA4DE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c>
          <w:tcPr>
            <w:tcW w:w="1701" w:type="dxa"/>
          </w:tcPr>
          <w:p w14:paraId="7203B2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837</w:t>
            </w:r>
          </w:p>
        </w:tc>
        <w:tc>
          <w:tcPr>
            <w:tcW w:w="1559" w:type="dxa"/>
          </w:tcPr>
          <w:p w14:paraId="12DAAE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64,4</w:t>
            </w:r>
          </w:p>
        </w:tc>
      </w:tr>
      <w:tr w:rsidR="006F4095" w:rsidRPr="008127F8" w14:paraId="0DB9E986" w14:textId="77777777">
        <w:tc>
          <w:tcPr>
            <w:tcW w:w="2802" w:type="dxa"/>
          </w:tcPr>
          <w:p w14:paraId="79E73A4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рабочие</w:t>
            </w:r>
          </w:p>
          <w:p w14:paraId="36B3D2C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A997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w:t>
            </w:r>
          </w:p>
        </w:tc>
        <w:tc>
          <w:tcPr>
            <w:tcW w:w="1701" w:type="dxa"/>
          </w:tcPr>
          <w:p w14:paraId="242E6A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559" w:type="dxa"/>
          </w:tcPr>
          <w:p w14:paraId="23CAB9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77,5</w:t>
            </w:r>
          </w:p>
          <w:p w14:paraId="3334DA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A2E948" w14:textId="77777777">
        <w:tc>
          <w:tcPr>
            <w:tcW w:w="2802" w:type="dxa"/>
          </w:tcPr>
          <w:p w14:paraId="30407C5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Ученики рабочих</w:t>
            </w:r>
          </w:p>
          <w:p w14:paraId="34EFEEF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AEC1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1232368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634C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w:t>
            </w:r>
          </w:p>
        </w:tc>
        <w:tc>
          <w:tcPr>
            <w:tcW w:w="1559" w:type="dxa"/>
          </w:tcPr>
          <w:p w14:paraId="1B7450E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182,0</w:t>
            </w:r>
          </w:p>
          <w:p w14:paraId="5850FA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CF278B" w14:textId="77777777">
        <w:tc>
          <w:tcPr>
            <w:tcW w:w="2802" w:type="dxa"/>
          </w:tcPr>
          <w:p w14:paraId="45DC3A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ИТР</w:t>
            </w:r>
          </w:p>
          <w:p w14:paraId="2CCCC8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7395C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p w14:paraId="7EA3FA7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CC56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c>
          <w:tcPr>
            <w:tcW w:w="1559" w:type="dxa"/>
          </w:tcPr>
          <w:p w14:paraId="011FAAB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102,0</w:t>
            </w:r>
          </w:p>
          <w:p w14:paraId="36E61C0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6A5FA3" w14:textId="77777777">
        <w:tc>
          <w:tcPr>
            <w:tcW w:w="2802" w:type="dxa"/>
          </w:tcPr>
          <w:p w14:paraId="0A2CD8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Служащие</w:t>
            </w:r>
          </w:p>
          <w:p w14:paraId="75752B9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164E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p w14:paraId="11DA97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9F868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1559" w:type="dxa"/>
          </w:tcPr>
          <w:p w14:paraId="19BEEB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83,5</w:t>
            </w:r>
          </w:p>
        </w:tc>
      </w:tr>
      <w:tr w:rsidR="006F4095" w:rsidRPr="008127F8" w14:paraId="77611604" w14:textId="77777777">
        <w:tc>
          <w:tcPr>
            <w:tcW w:w="2802" w:type="dxa"/>
          </w:tcPr>
          <w:p w14:paraId="27E3C3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Малооплачиваемый персонал</w:t>
            </w:r>
          </w:p>
          <w:p w14:paraId="67CE58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218217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p w14:paraId="22C98C0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90DDD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559" w:type="dxa"/>
          </w:tcPr>
          <w:p w14:paraId="13FD4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92,0</w:t>
            </w:r>
          </w:p>
        </w:tc>
      </w:tr>
      <w:tr w:rsidR="006F4095" w:rsidRPr="008127F8" w14:paraId="71E05269" w14:textId="77777777">
        <w:tc>
          <w:tcPr>
            <w:tcW w:w="2802" w:type="dxa"/>
          </w:tcPr>
          <w:p w14:paraId="6296A1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Пожарные</w:t>
            </w:r>
          </w:p>
          <w:p w14:paraId="47B7A9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BDC03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1701" w:type="dxa"/>
          </w:tcPr>
          <w:p w14:paraId="7285DC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tc>
        <w:tc>
          <w:tcPr>
            <w:tcW w:w="1559" w:type="dxa"/>
          </w:tcPr>
          <w:p w14:paraId="14573D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w:t>
            </w:r>
          </w:p>
        </w:tc>
      </w:tr>
      <w:tr w:rsidR="006F4095" w:rsidRPr="008127F8" w14:paraId="6676D398" w14:textId="77777777">
        <w:tc>
          <w:tcPr>
            <w:tcW w:w="2802" w:type="dxa"/>
            <w:tcBorders>
              <w:bottom w:val="single" w:sz="12" w:space="0" w:color="auto"/>
            </w:tcBorders>
          </w:tcPr>
          <w:p w14:paraId="45C6755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701" w:type="dxa"/>
            <w:tcBorders>
              <w:bottom w:val="single" w:sz="12" w:space="0" w:color="auto"/>
            </w:tcBorders>
          </w:tcPr>
          <w:p w14:paraId="699053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2460</w:t>
            </w:r>
          </w:p>
        </w:tc>
        <w:tc>
          <w:tcPr>
            <w:tcW w:w="1701" w:type="dxa"/>
            <w:tcBorders>
              <w:bottom w:val="single" w:sz="12" w:space="0" w:color="auto"/>
            </w:tcBorders>
          </w:tcPr>
          <w:p w14:paraId="60DAD8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1861</w:t>
            </w:r>
          </w:p>
        </w:tc>
        <w:tc>
          <w:tcPr>
            <w:tcW w:w="1559" w:type="dxa"/>
            <w:tcBorders>
              <w:bottom w:val="single" w:sz="12" w:space="0" w:color="auto"/>
            </w:tcBorders>
          </w:tcPr>
          <w:p w14:paraId="46B345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75,7</w:t>
            </w:r>
          </w:p>
        </w:tc>
      </w:tr>
    </w:tbl>
    <w:p w14:paraId="77A05DA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(11429).</w:t>
      </w:r>
    </w:p>
    <w:p w14:paraId="5E3513E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854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года Д. Устинов писал письмо № М-7/1355 секретарю ЦК ВКП(б) Маленкову Г.М.</w:t>
      </w:r>
    </w:p>
    <w:p w14:paraId="32D756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утвердить директором завода № 385 Щекина И.А., ранее утвержденного ЦК ВКП(б) директором завода № 460, производство которого эвакуировано на завод № 385.</w:t>
      </w:r>
    </w:p>
    <w:p w14:paraId="0A0C4A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утвердить директором завода № 74 Иванова М.А., назначенного мною на эту должность 3 июля 1941 года (№ М-7/1357) (9212).</w:t>
      </w:r>
    </w:p>
    <w:p w14:paraId="147F94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253D5"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марта 1942 г. Постановление Совнаркома БДССР и обкома ВКП(б) об организации на базе цеха дальней связи Уфимского завода Ns 628 самостоятельного завода по производству аппаратуры дальней связи6.</w:t>
      </w:r>
    </w:p>
    <w:p w14:paraId="3416E15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решения Государственного Комитета Обороны № 1449 сс от 15 марта 1942 г. Совнарком Б АССР и обком ВКП(б) постановляют:</w:t>
      </w:r>
    </w:p>
    <w:p w14:paraId="6CD024C4"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председателя исполкома Уфимского городского Совета депутатов трудящихся тов. Рубанова:</w:t>
      </w:r>
    </w:p>
    <w:p w14:paraId="081F62B3"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пятидневный срок произвести отвод площадки, припегающей к цеху № 4 завода № 628, под строительство цехов завода дальней связи;</w:t>
      </w:r>
    </w:p>
    <w:p w14:paraId="371A2B4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 10-дневный срок отвести площадку под строительство жилых деревянных домов общей площадью в 3000 кв. метров;</w:t>
      </w:r>
    </w:p>
    <w:p w14:paraId="01FBB3E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 1/IV-42 г. подготовить жилплощадь для размещения прибывающих 300 человек рабочих и 25 чел. инженерно-технических работников с семьями из гор. Ленинграда;</w:t>
      </w:r>
    </w:p>
    <w:p w14:paraId="3031DF6A"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к 15/IV-42 г. выделить 400 кв. метров под общежитие строительного батальона У ВС № 289 Главвоенстроя.</w:t>
      </w:r>
    </w:p>
    <w:p w14:paraId="0454C353"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Наркомторг БАССР (тов. Коршунова) и председателя Уфимского горсовета депутатов трудящихся тов. Рубанова организовать для прибывающих рабочих и ИТР и их семей из гор. Ленинграда на завод аппаратуры дальней связи соответствующее питание.</w:t>
      </w:r>
    </w:p>
    <w:p w14:paraId="42D5FB27"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Госплан БСНК (тов. Нигмаджанова) предусмотреть в плане II и III кварталов 1942 г. выделение УВС № 289 Главвоенстроя целевым назначением потребного количества стройматериалов (кирпич, известь, алебастр).</w:t>
      </w:r>
    </w:p>
    <w:p w14:paraId="2610E342"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начальника УВС № 289 Главвоенстроя тов. Рубинштейна и и. о. директора завода дальней связи тов. Семенова к 5/IV-42 г. составить графики строительно-монтажных работ в соответствии с установленными Государственным Комитетом Обороны сроками окончания производственуых корпусов к 1 августа и жил[ых] домов к 1 октября 1942 года.</w:t>
      </w:r>
    </w:p>
    <w:p w14:paraId="70EB1784"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председателей исполкомов райсоветов депутатов трудящихся и первых секретарей райкомов ВКП(б) — Чишминского —тт. Байкова, Туктамышева, Иглинского — тт. Алексеева, Гильченко, Бузовьязовского — тт. Ибрагимова, Муратова, Уфимского — тт. Драпеко, Крупеню выделить к 1 /IV-42 г. в порядке платной гужповинности в распоряжение УВС № 289 Главвоенстроя тов. Рубинштейна подвод:</w:t>
      </w:r>
    </w:p>
    <w:p w14:paraId="05F21A2B"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Чишминского района — 25, Иглинского — 25, Бузовьязовского — 25 и Уфимского —25 для работы на строительстве по 1/Х-1942 г.</w:t>
      </w:r>
    </w:p>
    <w:p w14:paraId="33E296CC"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Наркомторг БАССР (тов. Коршунова) организовать снабжение работающих на заводе дальней связи и [в] институте № 56 по нормам, установленным для заводов авиационной и танковой промышленности.</w:t>
      </w:r>
    </w:p>
    <w:p w14:paraId="16BFEC46"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пред. СНК БАССР</w:t>
      </w:r>
      <w:r w:rsidRPr="008A2E5A">
        <w:rPr>
          <w:rFonts w:ascii="Times New Roman" w:hAnsi="Times New Roman"/>
          <w:color w:val="0070C0"/>
          <w:sz w:val="16"/>
          <w:szCs w:val="16"/>
        </w:rPr>
        <w:tab/>
        <w:t>Иванов</w:t>
      </w:r>
    </w:p>
    <w:p w14:paraId="5BD7FCF0" w14:textId="77777777" w:rsidR="00DC27B4" w:rsidRPr="008A2E5A" w:rsidRDefault="00DC27B4" w:rsidP="00DC27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обкома ВКП(б)</w:t>
      </w:r>
      <w:r w:rsidRPr="008A2E5A">
        <w:rPr>
          <w:rFonts w:ascii="Times New Roman" w:hAnsi="Times New Roman"/>
          <w:color w:val="0070C0"/>
          <w:sz w:val="16"/>
          <w:szCs w:val="16"/>
        </w:rPr>
        <w:tab/>
        <w:t>Задионченко</w:t>
      </w:r>
    </w:p>
    <w:p w14:paraId="080F7648" w14:textId="77777777" w:rsidR="00DC27B4" w:rsidRPr="00DC27B4" w:rsidRDefault="00DC27B4" w:rsidP="00DC27B4">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ЦГЛОО</w:t>
      </w:r>
      <w:r w:rsidRPr="00DC27B4">
        <w:rPr>
          <w:rFonts w:ascii="Times New Roman" w:hAnsi="Times New Roman"/>
          <w:color w:val="0070C0"/>
          <w:sz w:val="16"/>
          <w:szCs w:val="16"/>
          <w:lang w:val="en-US"/>
        </w:rPr>
        <w:t xml:space="preserve"> </w:t>
      </w:r>
      <w:r w:rsidRPr="008A2E5A">
        <w:rPr>
          <w:rFonts w:ascii="Times New Roman" w:hAnsi="Times New Roman"/>
          <w:color w:val="0070C0"/>
          <w:sz w:val="16"/>
          <w:szCs w:val="16"/>
        </w:rPr>
        <w:t>РБ</w:t>
      </w:r>
      <w:r w:rsidRPr="00DC27B4">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DC27B4">
        <w:rPr>
          <w:rFonts w:ascii="Times New Roman" w:hAnsi="Times New Roman"/>
          <w:color w:val="0070C0"/>
          <w:sz w:val="16"/>
          <w:szCs w:val="16"/>
          <w:lang w:val="en-US"/>
        </w:rPr>
        <w:t xml:space="preserve">. 122. On. 22. </w:t>
      </w:r>
      <w:r w:rsidRPr="008A2E5A">
        <w:rPr>
          <w:rFonts w:ascii="Times New Roman" w:hAnsi="Times New Roman"/>
          <w:color w:val="0070C0"/>
          <w:sz w:val="16"/>
          <w:szCs w:val="16"/>
        </w:rPr>
        <w:t>Д</w:t>
      </w:r>
      <w:r w:rsidRPr="00DC27B4">
        <w:rPr>
          <w:rFonts w:ascii="Times New Roman" w:hAnsi="Times New Roman"/>
          <w:color w:val="0070C0"/>
          <w:sz w:val="16"/>
          <w:szCs w:val="16"/>
          <w:lang w:val="en-US"/>
        </w:rPr>
        <w:t>. 44. II</w:t>
      </w:r>
      <w:r w:rsidRPr="008A2E5A">
        <w:rPr>
          <w:rFonts w:ascii="Times New Roman" w:hAnsi="Times New Roman"/>
          <w:color w:val="0070C0"/>
          <w:sz w:val="16"/>
          <w:szCs w:val="16"/>
        </w:rPr>
        <w:t>л</w:t>
      </w:r>
      <w:r w:rsidRPr="00DC27B4">
        <w:rPr>
          <w:rFonts w:ascii="Times New Roman" w:hAnsi="Times New Roman"/>
          <w:color w:val="0070C0"/>
          <w:sz w:val="16"/>
          <w:szCs w:val="16"/>
          <w:lang w:val="en-US"/>
        </w:rPr>
        <w:t xml:space="preserve">. 38—40. </w:t>
      </w:r>
      <w:r w:rsidRPr="008A2E5A">
        <w:rPr>
          <w:rFonts w:ascii="Times New Roman" w:hAnsi="Times New Roman"/>
          <w:color w:val="0070C0"/>
          <w:sz w:val="16"/>
          <w:szCs w:val="16"/>
        </w:rPr>
        <w:t>Подлинник</w:t>
      </w:r>
      <w:r w:rsidRPr="00DC27B4">
        <w:rPr>
          <w:rFonts w:ascii="Times New Roman" w:hAnsi="Times New Roman"/>
          <w:color w:val="0070C0"/>
          <w:sz w:val="16"/>
          <w:szCs w:val="16"/>
          <w:lang w:val="en-US"/>
        </w:rPr>
        <w:t xml:space="preserve"> (23793).</w:t>
      </w:r>
    </w:p>
    <w:p w14:paraId="54395BA2" w14:textId="77777777" w:rsidR="00DC27B4" w:rsidRPr="00DC27B4" w:rsidRDefault="00DC27B4" w:rsidP="00DC27B4">
      <w:pPr>
        <w:spacing w:after="0" w:line="240" w:lineRule="auto"/>
        <w:jc w:val="both"/>
        <w:rPr>
          <w:rFonts w:ascii="Times New Roman" w:hAnsi="Times New Roman"/>
          <w:color w:val="0070C0"/>
          <w:sz w:val="16"/>
          <w:szCs w:val="16"/>
          <w:lang w:val="en-US"/>
        </w:rPr>
      </w:pPr>
    </w:p>
    <w:p w14:paraId="7D6B1C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763599">
        <w:rPr>
          <w:rFonts w:ascii="Times New Roman" w:hAnsi="Times New Roman"/>
          <w:color w:val="000000" w:themeColor="text1"/>
          <w:sz w:val="16"/>
          <w:szCs w:val="16"/>
        </w:rPr>
        <w:t xml:space="preserve">24 </w:t>
      </w:r>
      <w:r w:rsidRPr="008127F8">
        <w:rPr>
          <w:rFonts w:ascii="Times New Roman" w:hAnsi="Times New Roman"/>
          <w:color w:val="000000" w:themeColor="text1"/>
          <w:sz w:val="16"/>
          <w:szCs w:val="16"/>
        </w:rPr>
        <w:t>марта</w:t>
      </w:r>
      <w:r w:rsidRPr="00763599">
        <w:rPr>
          <w:rFonts w:ascii="Times New Roman" w:hAnsi="Times New Roman"/>
          <w:color w:val="000000" w:themeColor="text1"/>
          <w:sz w:val="16"/>
          <w:szCs w:val="16"/>
        </w:rPr>
        <w:t xml:space="preserve"> 1942 </w:t>
      </w:r>
      <w:r w:rsidRPr="008127F8">
        <w:rPr>
          <w:rFonts w:ascii="Times New Roman" w:hAnsi="Times New Roman"/>
          <w:color w:val="000000" w:themeColor="text1"/>
          <w:sz w:val="16"/>
          <w:szCs w:val="16"/>
        </w:rPr>
        <w:t>г</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Миасский</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электрооборудования</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переименован</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ГС</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r w:rsidRPr="00763599">
        <w:rPr>
          <w:rFonts w:ascii="Times New Roman" w:hAnsi="Times New Roman"/>
          <w:color w:val="000000" w:themeColor="text1"/>
          <w:sz w:val="16"/>
          <w:szCs w:val="16"/>
        </w:rPr>
        <w:t xml:space="preserve"> № 657 (</w:t>
      </w:r>
      <w:r w:rsidRPr="008127F8">
        <w:rPr>
          <w:rFonts w:ascii="Times New Roman" w:hAnsi="Times New Roman"/>
          <w:color w:val="000000" w:themeColor="text1"/>
          <w:sz w:val="16"/>
          <w:szCs w:val="16"/>
        </w:rPr>
        <w:t>ГС</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r w:rsidRPr="00763599">
        <w:rPr>
          <w:rFonts w:ascii="Times New Roman" w:hAnsi="Times New Roman"/>
          <w:color w:val="000000" w:themeColor="text1"/>
          <w:sz w:val="16"/>
          <w:szCs w:val="16"/>
        </w:rPr>
        <w:t xml:space="preserve"> № 657 </w:t>
      </w:r>
      <w:r w:rsidRPr="008127F8">
        <w:rPr>
          <w:rFonts w:ascii="Times New Roman" w:hAnsi="Times New Roman"/>
          <w:color w:val="000000" w:themeColor="text1"/>
          <w:sz w:val="16"/>
          <w:szCs w:val="16"/>
        </w:rPr>
        <w:t>НКЭП</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Миассэлектроаппарат</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АООТ</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Миассэлектроаппарат</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АООТ</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Миассэлектро</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ОАО</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Миассэлектроаппарат</w:t>
      </w:r>
      <w:r w:rsidRPr="00763599">
        <w:rPr>
          <w:rFonts w:ascii="Times New Roman" w:hAnsi="Times New Roman"/>
          <w:color w:val="000000" w:themeColor="text1"/>
          <w:sz w:val="16"/>
          <w:szCs w:val="16"/>
        </w:rPr>
        <w:t>» /</w:t>
      </w:r>
      <w:proofErr w:type="gramStart"/>
      <w:r w:rsidRPr="00763599">
        <w:rPr>
          <w:rFonts w:ascii="Times New Roman" w:hAnsi="Times New Roman"/>
          <w:color w:val="000000" w:themeColor="text1"/>
          <w:sz w:val="16"/>
          <w:szCs w:val="16"/>
        </w:rPr>
        <w:t xml:space="preserve">456306  </w:t>
      </w:r>
      <w:r w:rsidRPr="008127F8">
        <w:rPr>
          <w:rFonts w:ascii="Times New Roman" w:hAnsi="Times New Roman"/>
          <w:color w:val="000000" w:themeColor="text1"/>
          <w:sz w:val="16"/>
          <w:szCs w:val="16"/>
        </w:rPr>
        <w:t>г</w:t>
      </w:r>
      <w:r w:rsidRPr="00763599">
        <w:rPr>
          <w:rFonts w:ascii="Times New Roman" w:hAnsi="Times New Roman"/>
          <w:color w:val="000000" w:themeColor="text1"/>
          <w:sz w:val="16"/>
          <w:szCs w:val="16"/>
        </w:rPr>
        <w:t>.</w:t>
      </w:r>
      <w:proofErr w:type="gramEnd"/>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Миасс</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Челябинской</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обл</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ул</w:t>
      </w:r>
      <w:r w:rsidRPr="00763599">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Готвальда</w:t>
      </w:r>
      <w:r w:rsidRPr="00D8717E">
        <w:rPr>
          <w:rFonts w:ascii="Times New Roman" w:hAnsi="Times New Roman"/>
          <w:color w:val="000000" w:themeColor="text1"/>
          <w:sz w:val="16"/>
          <w:szCs w:val="16"/>
        </w:rPr>
        <w:t xml:space="preserve">, 1/1/). </w:t>
      </w:r>
      <w:r w:rsidRPr="008127F8">
        <w:rPr>
          <w:rFonts w:ascii="Times New Roman" w:hAnsi="Times New Roman"/>
          <w:color w:val="000000" w:themeColor="text1"/>
          <w:sz w:val="16"/>
          <w:szCs w:val="16"/>
        </w:rPr>
        <w:t>В середине 1943 г. часть московского коллектива из Челябинска переведена в Миасс. В 1947 г. завод № 657 переименован в «Миассэлектроаппарат».</w:t>
      </w:r>
    </w:p>
    <w:p w14:paraId="1141C7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1948 г. начат выпуск трубчатых нагревателей. С 1957 г. в машинном цехе начат выпуск электродвигателей для пылесосов, а позднее- преобразователей.</w:t>
      </w:r>
    </w:p>
    <w:p w14:paraId="2387C4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11.1992 г. завод преобразован в АООТ «Миассэлектроаппарат». В 1998 г. на предприятии введено внешнее управление, оно продолжалось до 1.01.2005 г. Затем предприятие было преобразовано в АООТ «Миассэлектро», а 25.04.2000 г. - в ОАО «Миассэлектроаппарат».</w:t>
      </w:r>
    </w:p>
    <w:p w14:paraId="2A7A8E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Каневский, Н. Г. Пивоваров, (1968-87 г.)- В.А. Бусс. Внешний управляющий (1998 г.-)- В.Н. Ковалев.</w:t>
      </w:r>
    </w:p>
    <w:p w14:paraId="3AB9D7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В. Г. Ардабьевский.</w:t>
      </w:r>
    </w:p>
    <w:p w14:paraId="067F1F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трубчатые нагреватели ЭТ (1948-); электродвигатели: для пылесоса УВ-051пс (1957-); пылесос «Урал ПР-1» (11982).</w:t>
      </w:r>
    </w:p>
    <w:p w14:paraId="55DEA3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BC4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24 марта 1942 Военный совет фронта постановил соорудить временную Ладожскую верфь для постройки металлических барж (10671).</w:t>
      </w:r>
    </w:p>
    <w:p w14:paraId="7F3146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78AA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F3E23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F10741"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марта</w:t>
      </w:r>
      <w:r w:rsidRPr="008127F8">
        <w:rPr>
          <w:rFonts w:ascii="Times New Roman" w:hAnsi="Times New Roman"/>
          <w:color w:val="000000" w:themeColor="text1"/>
          <w:sz w:val="16"/>
          <w:szCs w:val="16"/>
        </w:rPr>
        <w:t xml:space="preserve"> в 1942 году утреннее сообщение Совинформбюро:</w:t>
      </w:r>
    </w:p>
    <w:p w14:paraId="32B02BE5"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24 марта на фронте каких-либо существенных изменений не произошло.</w:t>
      </w:r>
    </w:p>
    <w:p w14:paraId="2B90BD85"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два дня упорных боёв часть, где командиром тов. Миссан (Северо-Западный фронт), овладела двумя населёнными пунктами, уничтожив при этом около 100 немецких солдат и офицеров. Взяты трофеи: 3 орудия ПТО, 2 радиостанции и другое военное имущество.</w:t>
      </w:r>
    </w:p>
    <w:p w14:paraId="6AC35C2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 один день боёв уничтожили до 700 немецких солдат и офицеров, подбили и захватили 17 танков.</w:t>
      </w:r>
    </w:p>
    <w:p w14:paraId="63B4016A"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другом участке этого фронта наши части, продолжая наступательные бои, освободили от немецких захватчиков несколько населённых пунктов. В боях уничтожено 6 немецких орудий, четыре миномёта, несколько пулемётов, 3 ДЗОТа, взорван склад с боеприпасами, захвачены трофеи.</w:t>
      </w:r>
    </w:p>
    <w:p w14:paraId="0BA71BE6"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одной нашей авиачасти (Юго-Западный фронт) за один день боевых действий сбили 3 вражеских самолёта, уничтожили 18 автомашин и 11 подвод с боеприпасами и другими военными грузами, рассеяли и частично уничтожили до батальона пехоты противника.</w:t>
      </w:r>
    </w:p>
    <w:p w14:paraId="24E5F89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 тов. Тихонов ворвался в сильно укреплённый немцами пункт и уничтожил огнём и гусеницами 4 блиндажа, 2 ДЗОТа, противотанковое орудие и до 80 вражеских солдат.</w:t>
      </w:r>
    </w:p>
    <w:p w14:paraId="257F390A"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Санитарный инструктор Калекина А. II. вынесла с поля боя за последнее время 82 раненых бойца и командира с их оружием.</w:t>
      </w:r>
    </w:p>
    <w:p w14:paraId="1CBBE93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Окружённая нашими войсками 16 немецкая армия несёт огромные потери в технике и живой силе. Чтобы смыть эти потери, гитлеровцы сжигают не только своих убитых солдат и офицеров, но и тяжело раненных, которых они не могут увезти с собой. Так, отступая из деревни К., немцы сожгли 60 своих раненых солдат.</w:t>
      </w:r>
    </w:p>
    <w:p w14:paraId="6FEF69E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 эскадрона самокатчиков 298 немецкой дивизии Георг Фулла рассказал: «Русские наступали на село Т. Это село обороняли несколько рот и наш эскадрон. Бой продолжался полдня и закончился нашим поражением и отступлением. У водяной мельницы я и ещё несколько солдат сдались в плен. Офицер, отступивший с остатками своего подразделения, бросил в нас ручную гранату. Несколько солдат было убито, а я ранен».</w:t>
      </w:r>
    </w:p>
    <w:p w14:paraId="4EBEAB3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Шукк писал своей семье в Германию: «Я не снимаю сапог и шинели с 11 января. Русские не дают покоя ни днём, ни ночью. Цифры убитых растут с каждым днём. За один только день из нашей роты убито 17 человек. Из 3 60 солдат, насчитывавшихся ранее в роте, осталось всего 60, несмотря на присланное пополнение в количестве 30 человек.» (15078).</w:t>
      </w:r>
    </w:p>
    <w:p w14:paraId="03BB5731"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450CB01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марта</w:t>
      </w:r>
      <w:r w:rsidRPr="008127F8">
        <w:rPr>
          <w:rFonts w:ascii="Times New Roman" w:hAnsi="Times New Roman"/>
          <w:color w:val="000000" w:themeColor="text1"/>
          <w:sz w:val="16"/>
          <w:szCs w:val="16"/>
        </w:rPr>
        <w:t xml:space="preserve"> в 1942 году вечернее сообщение Совинформбюро:</w:t>
      </w:r>
    </w:p>
    <w:p w14:paraId="12CC528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24 марта на фронте существенных изменений не произошло.</w:t>
      </w:r>
    </w:p>
    <w:p w14:paraId="4386B54C"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марта уничтожен 31 немецкий самолёт. Наши потери—15 самолётов.</w:t>
      </w:r>
    </w:p>
    <w:p w14:paraId="21E5FD8D"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 кораблём в Баренцовом море потоплена подводная лодка противника.</w:t>
      </w:r>
    </w:p>
    <w:p w14:paraId="0F3CD501"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марта частями нашей авиации уничтожено или повреждено 13 немецких танков, около 160 автомашин с войсками и грузами, 190 повозок с боеприпасами, 38 орудий, 31 миномёт, 10 зенитно-пулемётных точек, взорван склад с боеприпасами, рассеяно и частью уничтожено до 3 батальонов пехоты противника.</w:t>
      </w:r>
    </w:p>
    <w:p w14:paraId="2BC4457B"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гвардейской части, действующей на Западном фронте, в течение одного дня уничтожили свыше 200 немецких солдат и офицеров. На другом участке артиллеристы Энского соединения, поддерживая наступающую пехоту, разрушили 2 немецких наблюдательных пункта, 15 блиндажей и уничтожили вражеский танк, 15 пулемётов, миномётную батарею и 3 автомашины.</w:t>
      </w:r>
    </w:p>
    <w:p w14:paraId="23AA496A"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Калининского фронта, за три дня боёв уничтожили 13 немецких ДЗОТов, 21 огневую точку, 10 ручных и станковыхпулемётов, 8 орудий, 26 гружёных автомашин и 7 бронемашин. На поле боя осталось свыше 600 трупов немцев.</w:t>
      </w:r>
    </w:p>
    <w:p w14:paraId="56CF3728"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 наших лётчика-истребителя т.т. Алкидов, Селищев и Баклан из части командира тов. Вусса, выполнив боевое задание, возвращались на свои базы. На высоте 2.000 метров они встретили 18 немецких бомбардировщиков, которые под прикрытием 9 истребителей шли на бомбёжку боевых порядков наших войск. Три отважных советских пилота расстроили строй гитлеровских стервятников. Воздушный бой длился 40 минут. В результате были сбиты 4 бомбардировщика и один истребитель противника. Остальные немецкие самолёты, сбросив бомбовой груз на территорию, занятую немецкими войсками, ушли на запад.</w:t>
      </w:r>
    </w:p>
    <w:p w14:paraId="6683D697"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Панченко, раненный в ночном бою, отправился в санчасть своего подразделения. По пути он зашёл в дом, чтобы расспросить, как пройти в санчасть. Хозяйка дома предупредила Панченко, что в соседнем доме находятся гитлеровцы. Боец подкрался к окну дома, который занимали немцы, и, увидя в комнате группу немцев, открыл по ним огонь из автомата. Три офицера и два солдата были убиты, остальные убежали. Захватив оказавшееся в комнате знамя немецкой части, личное оружие офицеров и штабные документы, тов. Панченко вернулся в свою часть.</w:t>
      </w:r>
    </w:p>
    <w:p w14:paraId="6ACC4F9F"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П., действующий в одном из районов Калининской области, временно оккупированных немцами, установил, что в одной из деревень имеются два немецких склада с обмундированием, с боеприпасами и оружием. Скрытно подобравшись к складам, партизаны перебили 11 немецких солдат и 1 офицера, охранявших склады, вывезли 30 подвод с оружием и взорвали склад с боеприпасами.</w:t>
      </w:r>
    </w:p>
    <w:p w14:paraId="3B176EC3"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наши руки попала полевая почта противника. Захвачено большое количество писем солдат 246 немецкой пехотной дивизии на родину. Эта дивизия ранее находилась во Франции и только в феврале была переброшена на советско-германский фронт. Письма ещё не были просмотрены немецкой военной цензурой. Ниже приводится выдержка из письма солдата Оскара к Вальтеру: «Мы несём здесь большие потери. Наш полк уже потерял убитыми и ранеными приблизительно 800 человек... Справа и слева тянется лес, где укрываются партизаны. Ночью, когда по дороге движутся колонны, партизаны открывают пулемётный огонь».</w:t>
      </w:r>
    </w:p>
    <w:p w14:paraId="0D010D2E"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обер-фельдфебель 3 батальона 514 полка 294 немецкой пехотной дивизии Георг Франц рассказал: «Более 60 человек из нашей роты прочитали листовку с приказом Сталина. Я прочитал этот приказ 7 марта и вскоре вместе с группой солдат в 12 человек сдался в плен. Многие солдаты ищут удобного момента для перехода на сторону Красной Армии».</w:t>
      </w:r>
    </w:p>
    <w:p w14:paraId="7C63451F"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Отступавшие немецкие изверги учинили неслыханное зверство над населением деревень Санники, Малиновка и Решетовка, Калининской области. Все три деревни сожжены дотла. Жители селений в количестве 301 человека — женщины, старики идети — расстреляны и сожжены немцами. Наши передовые части, занявшие этидеревни, смогли извлечь из груды трупов только 10 тяжело раненных женщин и детей. Остальные погибли.» (15078).</w:t>
      </w:r>
    </w:p>
    <w:p w14:paraId="075FA4EF"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7B4723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НКВМФ Н.Г.Кузнецов выпустил директиву N 163/Ш о постановке аэростатов заграждения (2120).</w:t>
      </w:r>
    </w:p>
    <w:p w14:paraId="731FC0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2DE5F" w14:textId="77777777" w:rsidR="00442EAC" w:rsidRPr="008127F8" w:rsidRDefault="00442E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марта</w:t>
      </w:r>
      <w:r w:rsidRPr="008127F8">
        <w:rPr>
          <w:rFonts w:ascii="Times New Roman" w:hAnsi="Times New Roman"/>
          <w:color w:val="000000" w:themeColor="text1"/>
          <w:sz w:val="16"/>
          <w:szCs w:val="16"/>
        </w:rPr>
        <w:t xml:space="preserve"> в 1942 году Адольф Гитлер запретил дальнейшее формирование охранных частей из представителей народов СССР на Восточном фронте (15078).</w:t>
      </w:r>
    </w:p>
    <w:p w14:paraId="4E899AC8" w14:textId="77777777" w:rsidR="00442EAC" w:rsidRPr="008127F8" w:rsidRDefault="00442EAC" w:rsidP="001E0A84">
      <w:pPr>
        <w:spacing w:after="0" w:line="240" w:lineRule="auto"/>
        <w:jc w:val="both"/>
        <w:rPr>
          <w:rFonts w:ascii="Times New Roman" w:hAnsi="Times New Roman"/>
          <w:color w:val="000000" w:themeColor="text1"/>
          <w:sz w:val="16"/>
          <w:szCs w:val="16"/>
        </w:rPr>
      </w:pPr>
    </w:p>
    <w:p w14:paraId="1003D44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DF492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A5DE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приказом № 00607 объявлялась дислокация 58 управлений ИТЛ и строительств НКВД центрального подчинения, 19 управлений ИТЛ и колоний (УИТЛК) и 36 отделов исправительно-трудовых колоний (ОИТК) местных НКВД/УНКВД:</w:t>
      </w:r>
    </w:p>
    <w:p w14:paraId="385664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Управления ИТЛ и строительств центрального подчинения:</w:t>
      </w:r>
    </w:p>
    <w:p w14:paraId="656856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Актюбинлаг (Актюбинск Казахской ССР);</w:t>
      </w:r>
    </w:p>
    <w:p w14:paraId="6EC147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Астраханлаг (Гурьев Казахской ССР);</w:t>
      </w:r>
    </w:p>
    <w:p w14:paraId="07EDC9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Березняклаг (поселок Березняки Архангельской области);</w:t>
      </w:r>
    </w:p>
    <w:p w14:paraId="484E03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Безымянлаг (ст. Безымянка Куйбышевской ж. д.);</w:t>
      </w:r>
    </w:p>
    <w:p w14:paraId="73ECE7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Богословлаг (поселок Туринские рудники Серовского района Свердловской области);</w:t>
      </w:r>
    </w:p>
    <w:p w14:paraId="627F36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Букачачлаг (поселок Букачача Чернышевского района Читинской области);</w:t>
      </w:r>
    </w:p>
    <w:p w14:paraId="456DCC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Бурлаг (ст. Известковая Дальневосточной ж. д.);</w:t>
      </w:r>
    </w:p>
    <w:p w14:paraId="20435C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Бакалстрой (Челябинск, строительство металлургического и коксохимического заводов);</w:t>
      </w:r>
    </w:p>
    <w:p w14:paraId="53413D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Воркутпечлаг (поселок Воркута Архангельской области);</w:t>
      </w:r>
    </w:p>
    <w:p w14:paraId="08D3A4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Волгострой (поселок Переборы Рыбинского района Ярославской области);</w:t>
      </w:r>
    </w:p>
    <w:p w14:paraId="3A61AB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Волголаг (Волжский железнодорожный ИТЛ) (Казань, строительство линии Свияжск - Ульяновск);</w:t>
      </w:r>
    </w:p>
    <w:p w14:paraId="4FF018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Вятлаг (рабочий поселок Рудничный Кайского района Кировской области);</w:t>
      </w:r>
    </w:p>
    <w:p w14:paraId="48F0EF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Вяземлаг (село Николаевка Пензенской области);</w:t>
      </w:r>
    </w:p>
    <w:p w14:paraId="5E25FA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Верхнеижемлаг (поселок Ухта Коми АССР);</w:t>
      </w:r>
    </w:p>
    <w:p w14:paraId="7213B2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Гусиноозерлаг (Селенгинский район Бурят-Монгольской АССР, разработка угольного месторождения);</w:t>
      </w:r>
    </w:p>
    <w:p w14:paraId="78BADB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Джезказганлаг (поселок Новый Джезказган Карагандинской области Казахской ССР);</w:t>
      </w:r>
    </w:p>
    <w:p w14:paraId="338209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Джидинлаг (поселок Городок Джидастрой Закайминского района Бурят-Монгольской АССР, работы на молибдено-вольфрамовом комбинате);</w:t>
      </w:r>
    </w:p>
    <w:p w14:paraId="1EAC65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Интинлаг (поселок Воркута Архангельской области);</w:t>
      </w:r>
    </w:p>
    <w:p w14:paraId="56B83F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Ивдельлаг (село Ивдель Свердловской области);</w:t>
      </w:r>
    </w:p>
    <w:p w14:paraId="75765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Каргопольлаг (Каргополь Архангельской области);</w:t>
      </w:r>
    </w:p>
    <w:p w14:paraId="58DE45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Краслаг (Канск Красноярского края);</w:t>
      </w:r>
    </w:p>
    <w:p w14:paraId="62297C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Карлаг (село Долинское Карагандинской области Казахской ССР);</w:t>
      </w:r>
    </w:p>
    <w:p w14:paraId="6CA98E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Каменлаг (село Гримм Каменского района Саратовской области);</w:t>
      </w:r>
    </w:p>
    <w:p w14:paraId="3FC009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Норильлаг (Норильск Красноярского края);</w:t>
      </w:r>
    </w:p>
    <w:p w14:paraId="452CB9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Нижне-Амурлаг (Комсомольск-на-Амуре Хабаровского края);</w:t>
      </w:r>
    </w:p>
    <w:p w14:paraId="5FC4CA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Онеглаг (ст. Плесецкая Северной ж. д.);</w:t>
      </w:r>
    </w:p>
    <w:p w14:paraId="1B9748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Омлаг (Омск);</w:t>
      </w:r>
    </w:p>
    <w:p w14:paraId="15BC0B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Отдельный лагерный район при строительстве № 203 НКВД (Архангельск);</w:t>
      </w:r>
    </w:p>
    <w:p w14:paraId="6A1DB3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Райчихалаг (ст. Райчиха Буреинского района Амурской области);</w:t>
      </w:r>
    </w:p>
    <w:p w14:paraId="106A01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Рудбакалстрой (ст. Бакал Южно-Уральской ж. д.);</w:t>
      </w:r>
    </w:p>
    <w:p w14:paraId="4DC9D7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Рыбинлаг (Рыбинск Ярославской области);</w:t>
      </w:r>
    </w:p>
    <w:p w14:paraId="535C8D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Севдвинлаг (Вельск Архангельской области, строительство железных дорог Коноша - Котлас и Коноша - Кожва);</w:t>
      </w:r>
    </w:p>
    <w:p w14:paraId="20A9B5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Сороклаг (село Кодино Архангельской области);</w:t>
      </w:r>
    </w:p>
    <w:p w14:paraId="2993D7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Севжелдорлаг (поселок Железнодорожный Коми АССР);</w:t>
      </w:r>
    </w:p>
    <w:p w14:paraId="27D0F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Севпечлаг (село Абезь Коми АССР);</w:t>
      </w:r>
    </w:p>
    <w:p w14:paraId="17C2C0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Соликамбумстрой (рабочий поселок Боровск Соликамского района Молотовской области);</w:t>
      </w:r>
    </w:p>
    <w:p w14:paraId="255A98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Сиблаг (Мариинск Новосибирской области);</w:t>
      </w:r>
    </w:p>
    <w:p w14:paraId="1FA336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Севураллаг (поселок Сосьва Свердловской области);</w:t>
      </w:r>
    </w:p>
    <w:p w14:paraId="537549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Соедбельлаг (ст. Средне-Белая Амурской ж. д.);</w:t>
      </w:r>
    </w:p>
    <w:p w14:paraId="558E34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Сталинградлаг (Сталинград, строительство железной дороги Сталинград - Камышин);</w:t>
      </w:r>
    </w:p>
    <w:p w14:paraId="4B87FA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Саратовлаг (Саратов, строительство железной дороги Саратов - Камышин);</w:t>
      </w:r>
    </w:p>
    <w:p w14:paraId="3AAFA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Свободлаг (поселок Свободный Хабаровского края);</w:t>
      </w:r>
    </w:p>
    <w:p w14:paraId="7FFC18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Севвостлаг (Магадан Хабаровского края);</w:t>
      </w:r>
    </w:p>
    <w:p w14:paraId="05344A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Тырныаузстрой (Нижний Баксан Эльбрусского района Кабардино-Балкарской АССР, сооружение </w:t>
      </w:r>
      <w:proofErr w:type="gramStart"/>
      <w:r w:rsidRPr="008127F8">
        <w:rPr>
          <w:rFonts w:ascii="Times New Roman" w:hAnsi="Times New Roman"/>
          <w:color w:val="000000" w:themeColor="text1"/>
          <w:sz w:val="16"/>
          <w:szCs w:val="16"/>
        </w:rPr>
        <w:t>вольфрамо-молибденового</w:t>
      </w:r>
      <w:proofErr w:type="gramEnd"/>
      <w:r w:rsidRPr="008127F8">
        <w:rPr>
          <w:rFonts w:ascii="Times New Roman" w:hAnsi="Times New Roman"/>
          <w:color w:val="000000" w:themeColor="text1"/>
          <w:sz w:val="16"/>
          <w:szCs w:val="16"/>
        </w:rPr>
        <w:t xml:space="preserve"> комбината);</w:t>
      </w:r>
    </w:p>
    <w:p w14:paraId="4207A5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Тавдинлаг (Тавда Свердловской области);</w:t>
      </w:r>
    </w:p>
    <w:p w14:paraId="3A5F9F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Тагилстрой (Нижний Тагил Свердловской области);</w:t>
      </w:r>
    </w:p>
    <w:p w14:paraId="0179AC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Темлаг (поселок Явас Зубово-Полянского района Мордовской АССР);</w:t>
      </w:r>
    </w:p>
    <w:p w14:paraId="33DAE1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Унжлаг (ст. Сухобезводная Горьковской ж. д.);</w:t>
      </w:r>
    </w:p>
    <w:p w14:paraId="6F1BC7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Ухтоижемлаг (рабочий поселок Ухта Коми АССР);</w:t>
      </w:r>
    </w:p>
    <w:p w14:paraId="17C262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Устьвымлаг (поселок Вожаель Усть-Вымского района Коми АССР);</w:t>
      </w:r>
    </w:p>
    <w:p w14:paraId="174E1E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Усольлаг (Соликамск Молотовской области);</w:t>
      </w:r>
    </w:p>
    <w:p w14:paraId="2AE538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Умальтстрой (поселок Умальта Буреинского района Амурской области, сооружение молибденового комбината);</w:t>
      </w:r>
    </w:p>
    <w:p w14:paraId="36AC4F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Югорлаг (поселок Хабарово Архангельской области, сооружение порта и судостроительного завода);</w:t>
      </w:r>
    </w:p>
    <w:p w14:paraId="0B6D61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Южлаг (Тайшет Иркутской области);</w:t>
      </w:r>
    </w:p>
    <w:p w14:paraId="7E39A6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УИТЛ и строительство № 201 (Николаевск-на-Амуре Хабаровского края);</w:t>
      </w:r>
    </w:p>
    <w:p w14:paraId="04C88C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УИТЛ и строительство № 263 (Совгавань Приморского края, сооружение порта и судостроительного завода);</w:t>
      </w:r>
    </w:p>
    <w:p w14:paraId="1CBF50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УИТЛ и строительство № 1001 (Сызрань Куйбышевской области) (7560).</w:t>
      </w:r>
    </w:p>
    <w:p w14:paraId="72885B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УИТЛК: НКВД Грузинской ССР (Тбилиси), НКВД Казахской ССР (Алма-Ата), НКВД Узбекской ССР (Ташкент), НКВД Татарской АССР (Казань), НКВД Красноярского края, УНКВД Приморского края (Владивосток), УНКВД Хабаровского края, УНКВД Архангельской области, УНКВД Вологодской области, УНКВД Горьковской области, УНКВД Иркутской области, УНКВД Куйбышевской области, УНКВД Ленинградской области, УНКВД Московской области, УНКВД Молотовской области, УНКВД Новосибирской области, УНКВД Омской области, УНКВД Свердловской области, УНКВД Челябинской области.</w:t>
      </w:r>
    </w:p>
    <w:p w14:paraId="743070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ОИТК: НКВД Азербайджанской ССР, НКВД Армянской ССР, НКВД Киргизской ССР, НКВД Таджикской ССР, НКВД Туркменской ССР, НКВД Башкирской АССР, НКВД Бурят-Монгольской АССР, НКВД Дагестанской АССР, НКВД Кабардино-Балкарской АССР, НКВД Калмыцкой АССР, НКВД Коми АССР, НКВД Марийской АССР, НКВД Мордовской АССР, НКВД Северо-Осетинской АССР, НКВД Удмуртской АССР, НКВД Чечено-Ингушской АССР, НКВД Чувашской АССР, НКВД Якутской АССР, УНКВД Алтайского края, УНКВД Красноярского края, УНКВД Орджоникидзевского края (Ворошиловск, ныне Ставрополь), УНКВД Воронежской области, УНКВД Ивановской области, УНКВД Калининской области, УНКВД Кировской области, УНКВД Мурманской области, УНКВД Пензенской области, УНКВД Рязанской области, УНКВД Ростовской области, УНКВД Саратовской области, УНКВД Сталинградской области, УНКВД Тамбовской области, УНКВД Тульской области, УНКВД Читинской области, УНКВД Чкаловской области, УНКВД Ярославской области (7560).</w:t>
      </w:r>
    </w:p>
    <w:p w14:paraId="01503B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A198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482CA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36AE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гитлеровцами начата отправка словацких евреев в концлагерь Освенцим (4962).</w:t>
      </w:r>
    </w:p>
    <w:p w14:paraId="004934E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7E531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правительство Канады объявило о начале конфискаций автомобильных шин для нужд фронта (4962).</w:t>
      </w:r>
    </w:p>
    <w:p w14:paraId="70473BE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D2EA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24 March 1942 Army Air Corps: Paratroops and glider troops are set up in England (270).</w:t>
      </w:r>
    </w:p>
    <w:p w14:paraId="718439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9C63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в Англии были созданы американские войска из воздушных десантников и планеристов (270).</w:t>
      </w:r>
    </w:p>
    <w:p w14:paraId="229CD3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52B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24 1942 Rationing of typewriters begins in the US (1242).</w:t>
      </w:r>
    </w:p>
    <w:p w14:paraId="454433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66BB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в США были введены ограничения на продажу пишущих машинок (1242).</w:t>
      </w:r>
    </w:p>
    <w:p w14:paraId="542C93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DF7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1942 в США чрезвычайная конференция Конгресса производственных профсоюзов приняла решение о создании на местах объединенных комитетов АФТ и КПП для поддержки военных мероприятий правительства (3186).</w:t>
      </w:r>
    </w:p>
    <w:p w14:paraId="776DC1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0F976"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28EFF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ECD7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вышел приказ НКАП N 232а</w:t>
      </w:r>
    </w:p>
    <w:p w14:paraId="730D4E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отработки и проверки надежности винта ВИШ-105 для самолета Ил-2:</w:t>
      </w:r>
    </w:p>
    <w:p w14:paraId="60841D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467 - изготовить к 25 марта 2 винта ВИШ-105 для самолета Ил-2 и передать один заводу 24 для испытания на стенде, один - ЛИИ для летных испытаний</w:t>
      </w:r>
    </w:p>
    <w:p w14:paraId="475973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24 Жезлову по получению винта ВИШ-105 приступить к длительным испытаниям, совместив их с комиссионными испытаниями моторов АМ-38</w:t>
      </w:r>
    </w:p>
    <w:p w14:paraId="4DAA07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И.о. нач. ЛИИ Чесалову в </w:t>
      </w:r>
      <w:proofErr w:type="gramStart"/>
      <w:r w:rsidRPr="008127F8">
        <w:rPr>
          <w:rFonts w:ascii="Times New Roman" w:hAnsi="Times New Roman"/>
          <w:color w:val="000000" w:themeColor="text1"/>
          <w:sz w:val="16"/>
          <w:szCs w:val="16"/>
        </w:rPr>
        <w:t>10 дневный</w:t>
      </w:r>
      <w:proofErr w:type="gramEnd"/>
      <w:r w:rsidRPr="008127F8">
        <w:rPr>
          <w:rFonts w:ascii="Times New Roman" w:hAnsi="Times New Roman"/>
          <w:color w:val="000000" w:themeColor="text1"/>
          <w:sz w:val="16"/>
          <w:szCs w:val="16"/>
        </w:rPr>
        <w:t xml:space="preserve"> срок со дня получения винта АИШ-105, провести его летн. испытания на самолете Ил-2 (1542,20).</w:t>
      </w:r>
    </w:p>
    <w:p w14:paraId="0EE7E2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E0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л 21 завода И.Г.Девотченко совершил аварию на ЛаГГ-3 при испытаниях, так как при взлете не смог оторваться и выкатился за пределы аэродрома (2108).</w:t>
      </w:r>
    </w:p>
    <w:p w14:paraId="77AB96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5D98B"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марта 1942 г. Отчет по испыт. винта Винт АВ-5Л-Д-9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768"/>
        <w:gridCol w:w="1499"/>
        <w:gridCol w:w="1563"/>
        <w:gridCol w:w="5045"/>
      </w:tblGrid>
      <w:tr w:rsidR="008127F8" w:rsidRPr="008127F8" w14:paraId="140786E4" w14:textId="77777777" w:rsidTr="00F37FC7">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767612B" w14:textId="363032AD"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Винт АВ-5Л-Д-9. </w:t>
            </w:r>
            <w:r w:rsidR="008127F8">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Производство завода № 35. </w:t>
            </w:r>
            <w:r w:rsidR="008127F8">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Конструктор Жданов и Рыжков.</w:t>
            </w:r>
          </w:p>
        </w:tc>
      </w:tr>
      <w:tr w:rsidR="008127F8" w:rsidRPr="008127F8" w14:paraId="14097887"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FCE8B40"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1C11FD2"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8EE81A5"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Предназначен для</w:t>
            </w:r>
          </w:p>
          <w:p w14:paraId="50F08649"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65C7536"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с 2М-105РА</w:t>
            </w:r>
          </w:p>
        </w:tc>
      </w:tr>
      <w:tr w:rsidR="008127F8" w:rsidRPr="008127F8" w14:paraId="430A02B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A6199B3"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D524CE2"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5C404E"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1BF81B"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3B06422F"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18122E"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07E62C7"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2BA02DB5"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0F2666BA"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25DF36"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9F1082A"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D2FC50"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3AE0E61B"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3FA2FE"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75CD7AB"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CA9C75"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0E72A765"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0E87D16"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213A8AE"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3B066F"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63690055"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F8C83B7"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CA5DBE6"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1F1C6EA"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78EF7C54"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E3EAA80"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51FC05F"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Clark-Y</w:t>
            </w:r>
          </w:p>
          <w:p w14:paraId="3E23EE7A"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380A2BA"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1CE49C8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6819CA7"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5636925"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1C565F0"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318FFE71"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956AA70"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Минимальный установочный угол</w:t>
            </w:r>
          </w:p>
          <w:p w14:paraId="5CD53CAA"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B852583"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DFD180A"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3E0771A1"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C210179"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4289A7"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A7878A"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7EAF1BDA"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9F05AE"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5A9B608"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AB9383C"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1E138224"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CC7408"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248C17DF"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D7C8BFF"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0D73A77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746402"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52DA520"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32494F7"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33AB7B73"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ED457F"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18FDFDF"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78C3378"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w:t>
            </w:r>
          </w:p>
          <w:p w14:paraId="589F6B0B"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6DA66ED"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 испытания прошел удовлетворительно в 1942 году. Выпущена малая серия винтов.</w:t>
            </w:r>
          </w:p>
        </w:tc>
      </w:tr>
      <w:tr w:rsidR="008127F8" w:rsidRPr="008127F8" w14:paraId="7B64EA90"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ABAD3D"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5921DB6B"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Р-4, 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EB850C"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5BC36D"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5C5287FB"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9878F78"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097E3DC"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0D2CAA"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774302"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r>
      <w:tr w:rsidR="008127F8" w:rsidRPr="008127F8" w14:paraId="5C27195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37835F"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DB7AF87" w14:textId="77777777" w:rsidR="007B2819" w:rsidRPr="008127F8" w:rsidRDefault="007B2819" w:rsidP="001E0A84">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2AD5839E"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 сведений: Отчет по испыт. винта от 25.3.42 г.</w:t>
            </w:r>
          </w:p>
        </w:tc>
      </w:tr>
    </w:tbl>
    <w:p w14:paraId="6305043D"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(12227).</w:t>
      </w:r>
    </w:p>
    <w:p w14:paraId="528070E0" w14:textId="77777777" w:rsidR="007B2819" w:rsidRPr="008127F8" w:rsidRDefault="007B2819" w:rsidP="001E0A84">
      <w:pPr>
        <w:spacing w:after="0" w:line="240" w:lineRule="auto"/>
        <w:jc w:val="both"/>
        <w:rPr>
          <w:rFonts w:ascii="Times New Roman" w:hAnsi="Times New Roman"/>
          <w:color w:val="000000" w:themeColor="text1"/>
          <w:sz w:val="16"/>
          <w:szCs w:val="16"/>
        </w:rPr>
      </w:pPr>
    </w:p>
    <w:p w14:paraId="24771D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НКАП ввел доп. премии для мотористов, механиков, летчиков-испытателей и др., отвечающих за скорейшую доводку и сдачу машины (173,218).</w:t>
      </w:r>
    </w:p>
    <w:p w14:paraId="08B7DA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6C290"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НКАП по директиве сверху ввел дополнительные премии для мотористов, механиков, летчиков-испытателей и других работников, отвечавших за облет и окончательную доводку машин. Размер этих выплат зависел от сроков сдачи военпредам готовых к бою самолетов и от их количества (18305).</w:t>
      </w:r>
    </w:p>
    <w:p w14:paraId="05A2C22B" w14:textId="77777777" w:rsidR="002B04C7" w:rsidRPr="008127F8" w:rsidRDefault="002B04C7" w:rsidP="001E0A84">
      <w:pPr>
        <w:spacing w:after="0" w:line="240" w:lineRule="auto"/>
        <w:jc w:val="both"/>
        <w:rPr>
          <w:rFonts w:ascii="Times New Roman" w:hAnsi="Times New Roman"/>
          <w:color w:val="000000" w:themeColor="text1"/>
          <w:sz w:val="16"/>
          <w:szCs w:val="16"/>
        </w:rPr>
      </w:pPr>
    </w:p>
    <w:p w14:paraId="47CBDDE1" w14:textId="77777777" w:rsidR="00C138F3" w:rsidRPr="008A2E5A" w:rsidRDefault="00C138F3" w:rsidP="00C138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марта 1942 г. приказом наркома АП № 232с на март и апрель 1942 г. завода № 153 для работников аэродромного цеха была введена специальная премиаль</w:t>
      </w:r>
      <w:r w:rsidRPr="008A2E5A">
        <w:rPr>
          <w:rFonts w:ascii="Times New Roman" w:hAnsi="Times New Roman"/>
          <w:color w:val="0070C0"/>
          <w:sz w:val="16"/>
          <w:szCs w:val="16"/>
        </w:rPr>
        <w:softHyphen/>
        <w:t>ная система. За каждый сданный го</w:t>
      </w:r>
      <w:r w:rsidRPr="008A2E5A">
        <w:rPr>
          <w:rFonts w:ascii="Times New Roman" w:hAnsi="Times New Roman"/>
          <w:color w:val="0070C0"/>
          <w:sz w:val="16"/>
          <w:szCs w:val="16"/>
        </w:rPr>
        <w:softHyphen/>
        <w:t>товым к бою истребитель в течение суток бригады преми</w:t>
      </w:r>
      <w:r w:rsidRPr="008A2E5A">
        <w:rPr>
          <w:rFonts w:ascii="Times New Roman" w:hAnsi="Times New Roman"/>
          <w:color w:val="0070C0"/>
          <w:sz w:val="16"/>
          <w:szCs w:val="16"/>
        </w:rPr>
        <w:softHyphen/>
        <w:t>ровались 300 рублями, а в течение двух суток - 200 ру</w:t>
      </w:r>
      <w:r w:rsidRPr="008A2E5A">
        <w:rPr>
          <w:rFonts w:ascii="Times New Roman" w:hAnsi="Times New Roman"/>
          <w:color w:val="0070C0"/>
          <w:sz w:val="16"/>
          <w:szCs w:val="16"/>
        </w:rPr>
        <w:softHyphen/>
        <w:t>блями. Летчики-испытатели за каждый сданный само</w:t>
      </w:r>
      <w:r w:rsidRPr="008A2E5A">
        <w:rPr>
          <w:rFonts w:ascii="Times New Roman" w:hAnsi="Times New Roman"/>
          <w:color w:val="0070C0"/>
          <w:sz w:val="16"/>
          <w:szCs w:val="16"/>
        </w:rPr>
        <w:softHyphen/>
        <w:t>лет получали дополнительно 100 рублей. Такая же сумма выделялась за каждый сданный в течение двух суток са</w:t>
      </w:r>
      <w:r w:rsidRPr="008A2E5A">
        <w:rPr>
          <w:rFonts w:ascii="Times New Roman" w:hAnsi="Times New Roman"/>
          <w:color w:val="0070C0"/>
          <w:sz w:val="16"/>
          <w:szCs w:val="16"/>
        </w:rPr>
        <w:softHyphen/>
        <w:t>молет начальникам летно-испытательных станций (ЛИС) для премирования вспомогательных аэродромных рабо</w:t>
      </w:r>
      <w:r w:rsidRPr="008A2E5A">
        <w:rPr>
          <w:rFonts w:ascii="Times New Roman" w:hAnsi="Times New Roman"/>
          <w:color w:val="0070C0"/>
          <w:sz w:val="16"/>
          <w:szCs w:val="16"/>
        </w:rPr>
        <w:softHyphen/>
        <w:t>чих (трактористов, шоферов, кладовщиков и прочих). Од</w:t>
      </w:r>
      <w:r w:rsidRPr="008A2E5A">
        <w:rPr>
          <w:rFonts w:ascii="Times New Roman" w:hAnsi="Times New Roman"/>
          <w:color w:val="0070C0"/>
          <w:sz w:val="16"/>
          <w:szCs w:val="16"/>
        </w:rPr>
        <w:softHyphen/>
        <w:t>новременно организовывалась система перевозки само</w:t>
      </w:r>
      <w:r w:rsidRPr="008A2E5A">
        <w:rPr>
          <w:rFonts w:ascii="Times New Roman" w:hAnsi="Times New Roman"/>
          <w:color w:val="0070C0"/>
          <w:sz w:val="16"/>
          <w:szCs w:val="16"/>
        </w:rPr>
        <w:softHyphen/>
        <w:t>летов в Европейскую часть страны таким образом, что</w:t>
      </w:r>
      <w:r w:rsidRPr="008A2E5A">
        <w:rPr>
          <w:rFonts w:ascii="Times New Roman" w:hAnsi="Times New Roman"/>
          <w:color w:val="0070C0"/>
          <w:sz w:val="16"/>
          <w:szCs w:val="16"/>
        </w:rPr>
        <w:softHyphen/>
        <w:t>бы время в пути из Новосибирска в Москву не превышало 7 суток, а на разгрузку, сборку и сдачу на аэродром ка</w:t>
      </w:r>
      <w:r w:rsidRPr="008A2E5A">
        <w:rPr>
          <w:rFonts w:ascii="Times New Roman" w:hAnsi="Times New Roman"/>
          <w:color w:val="0070C0"/>
          <w:sz w:val="16"/>
          <w:szCs w:val="16"/>
        </w:rPr>
        <w:softHyphen/>
        <w:t>ждых 10 машин затрачивалось не более 36 часов с мо</w:t>
      </w:r>
      <w:r w:rsidRPr="008A2E5A">
        <w:rPr>
          <w:rFonts w:ascii="Times New Roman" w:hAnsi="Times New Roman"/>
          <w:color w:val="0070C0"/>
          <w:sz w:val="16"/>
          <w:szCs w:val="16"/>
        </w:rPr>
        <w:softHyphen/>
        <w:t>мента прибытия эшелона (23381).</w:t>
      </w:r>
    </w:p>
    <w:p w14:paraId="730BE67D" w14:textId="77777777" w:rsidR="00C138F3" w:rsidRPr="008A2E5A" w:rsidRDefault="00C138F3" w:rsidP="00C138F3">
      <w:pPr>
        <w:spacing w:after="0" w:line="240" w:lineRule="auto"/>
        <w:jc w:val="both"/>
        <w:rPr>
          <w:rFonts w:ascii="Times New Roman" w:hAnsi="Times New Roman"/>
          <w:color w:val="0070C0"/>
          <w:sz w:val="16"/>
          <w:szCs w:val="16"/>
        </w:rPr>
      </w:pPr>
    </w:p>
    <w:p w14:paraId="2A963CE0" w14:textId="77777777" w:rsidR="00C138F3" w:rsidRPr="008A2E5A" w:rsidRDefault="00C138F3" w:rsidP="00C138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марта 1942 г. НКАП по директиве сверху ввел дополнительные премии для мотористов, механиков, летчиков-испытателей и других работников, отвечавших за облет и окончательную доводку машин. Размер этих выплат зависел от сроков сдачи военпредам готовых к бою самолетов и от их количества (23472).</w:t>
      </w:r>
    </w:p>
    <w:p w14:paraId="60AA33C4" w14:textId="77777777" w:rsidR="00C138F3" w:rsidRPr="008A2E5A" w:rsidRDefault="00C138F3" w:rsidP="00C138F3">
      <w:pPr>
        <w:spacing w:after="0" w:line="240" w:lineRule="auto"/>
        <w:jc w:val="both"/>
        <w:rPr>
          <w:rFonts w:ascii="Times New Roman" w:hAnsi="Times New Roman"/>
          <w:color w:val="0070C0"/>
          <w:sz w:val="16"/>
          <w:szCs w:val="16"/>
        </w:rPr>
      </w:pPr>
    </w:p>
    <w:p w14:paraId="4FFF93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вышло ПОСТАНОВЛЕНИЕ № ГОКО-1498с</w:t>
      </w:r>
    </w:p>
    <w:p w14:paraId="1AC6E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5BBC65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наименовании самолетов ДБ-3Ф и 103</w:t>
      </w:r>
    </w:p>
    <w:p w14:paraId="6590FF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Самолеты ДБ-3Ф впредь именовать Ил-4. </w:t>
      </w:r>
    </w:p>
    <w:p w14:paraId="06A503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Самолеты 103 впредь именовать Ту-2. </w:t>
      </w:r>
    </w:p>
    <w:p w14:paraId="0385D5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т. Жигарева разослать это постановление ГОКО всем авиачастям. </w:t>
      </w:r>
    </w:p>
    <w:p w14:paraId="4065C9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1BF39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Шахурину, Жигареву, Маленкову (11434).</w:t>
      </w:r>
    </w:p>
    <w:p w14:paraId="6A1FE2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841B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30E0A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A78F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года для составления таблиц стрельбы миномета тяжелого вооружения МТВ-28 (МГВ-280) на АНИОПе были проведены стрельбы (6403, 42).</w:t>
      </w:r>
    </w:p>
    <w:p w14:paraId="1337D5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B053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Постановление ГКО № 1486 [Об освобождении Кагановича л. М. от должности наркома путей сообщения и назначении на эту должность Хрулева А.В.] (7026, 53-54).</w:t>
      </w:r>
    </w:p>
    <w:p w14:paraId="21D4ABC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F0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нач. тыла КА А.В.Хрулева назначили на пост наркома путей сообщения (512,268).</w:t>
      </w:r>
    </w:p>
    <w:p w14:paraId="7E77AB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20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Постановление ГКО № 1487 О Сталиногорском химическом комбинате. РГАНИР, Фонд ГКО, д. 25, лл. 55-59, 60-62 (11012).</w:t>
      </w:r>
    </w:p>
    <w:p w14:paraId="1311C6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E0BBE"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w:t>
      </w:r>
    </w:p>
    <w:p w14:paraId="664530BE" w14:textId="291A5956"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85 лист 162</w:t>
      </w:r>
      <w:r w:rsidR="008127F8">
        <w:rPr>
          <w:rFonts w:ascii="Times New Roman" w:hAnsi="Times New Roman"/>
          <w:color w:val="000000" w:themeColor="text1"/>
          <w:sz w:val="16"/>
          <w:szCs w:val="16"/>
        </w:rPr>
        <w:t xml:space="preserve">  </w:t>
      </w:r>
    </w:p>
    <w:p w14:paraId="076BD61F" w14:textId="60C93BC1"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4F0228B8"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20E1034C"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w:t>
      </w:r>
    </w:p>
    <w:p w14:paraId="73483606"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293сч</w:t>
      </w:r>
    </w:p>
    <w:p w14:paraId="344D85F5"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1D18D28F"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w:t>
      </w:r>
    </w:p>
    <w:p w14:paraId="5C528786" w14:textId="434F221A"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личного ознакомления с состоянием моторного производства на Кировском заводе мною установлено, что производственные возможности моторных цехов, состояние заделов в цехах и на сборке моторов, также обеспеченность рабочей силой позволяет, начиная с 25 марта с.г. перейти на более высокий, чем до этого времени, суточный выпуск моторов, и этим обеспечить с 1 апреля суточный выпуск моторов не менее 21 штуки.</w:t>
      </w:r>
      <w:r w:rsidR="008127F8">
        <w:rPr>
          <w:rFonts w:ascii="Times New Roman" w:hAnsi="Times New Roman"/>
          <w:color w:val="000000" w:themeColor="text1"/>
          <w:sz w:val="16"/>
          <w:szCs w:val="16"/>
        </w:rPr>
        <w:t xml:space="preserve">  </w:t>
      </w:r>
    </w:p>
    <w:p w14:paraId="6525F5C5" w14:textId="0F3E9D25"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нижеследующий график сборки и выпуска моторов и подачу цехам деталей комплектно на последние дни марта:</w:t>
      </w:r>
      <w:r w:rsidR="008127F8">
        <w:rPr>
          <w:rFonts w:ascii="Times New Roman" w:hAnsi="Times New Roman"/>
          <w:color w:val="000000" w:themeColor="text1"/>
          <w:sz w:val="16"/>
          <w:szCs w:val="16"/>
        </w:rPr>
        <w:t xml:space="preserve">  </w:t>
      </w:r>
    </w:p>
    <w:p w14:paraId="7C527B74"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ТАНКОВОЙ ПРОМЫШЛЕННОСТИ СОЮЗА ССР</w:t>
      </w:r>
    </w:p>
    <w:p w14:paraId="0356F8C5"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В. МАЛЫШЕВ</w:t>
      </w:r>
    </w:p>
    <w:p w14:paraId="3A925923"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(18594).</w:t>
      </w:r>
    </w:p>
    <w:p w14:paraId="1B7256B4" w14:textId="77777777" w:rsidR="002B04C7" w:rsidRPr="008127F8" w:rsidRDefault="002B04C7" w:rsidP="001E0A84">
      <w:pPr>
        <w:spacing w:after="0" w:line="240" w:lineRule="auto"/>
        <w:jc w:val="both"/>
        <w:rPr>
          <w:rFonts w:ascii="Times New Roman" w:hAnsi="Times New Roman"/>
          <w:color w:val="000000" w:themeColor="text1"/>
          <w:sz w:val="16"/>
          <w:szCs w:val="16"/>
        </w:rPr>
      </w:pPr>
    </w:p>
    <w:p w14:paraId="0C74F9B5" w14:textId="77777777" w:rsidR="007E272D" w:rsidRPr="008127F8" w:rsidRDefault="007E272D" w:rsidP="001E0A84">
      <w:pPr>
        <w:pStyle w:val="a4"/>
        <w:rPr>
          <w:color w:val="000000" w:themeColor="text1"/>
          <w:lang w:val="ru-RU"/>
        </w:rPr>
      </w:pPr>
      <w:r w:rsidRPr="008127F8">
        <w:rPr>
          <w:color w:val="000000" w:themeColor="text1"/>
          <w:lang w:val="ru-RU"/>
        </w:rPr>
        <w:lastRenderedPageBreak/>
        <w:t>25 марта 1942 года было письмо начальника ГАУ гене</w:t>
      </w:r>
      <w:r w:rsidRPr="008127F8">
        <w:rPr>
          <w:color w:val="000000" w:themeColor="text1"/>
          <w:lang w:val="ru-RU"/>
        </w:rPr>
        <w:softHyphen/>
        <w:t>рал-полковника артиллерии Н.Д. Яковлева и военного комиссара ГАУ Козлова в адрес заместителя председателя СНК Союза СССР Л.П. Бе</w:t>
      </w:r>
      <w:r w:rsidRPr="008127F8">
        <w:rPr>
          <w:color w:val="000000" w:themeColor="text1"/>
          <w:lang w:val="ru-RU"/>
        </w:rPr>
        <w:softHyphen/>
        <w:t>рии:</w:t>
      </w:r>
    </w:p>
    <w:p w14:paraId="7E9C3EB6"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«Опыт отечественной войны и войны с Финляндией показал, что со</w:t>
      </w:r>
      <w:r w:rsidRPr="008127F8">
        <w:rPr>
          <w:rStyle w:val="Bodytext145"/>
          <w:i w:val="0"/>
          <w:iCs w:val="0"/>
          <w:color w:val="000000" w:themeColor="text1"/>
          <w:sz w:val="16"/>
          <w:szCs w:val="16"/>
        </w:rPr>
        <w:softHyphen/>
        <w:t>временному ведению военных операций характерно:</w:t>
      </w:r>
    </w:p>
    <w:p w14:paraId="4B1EC188" w14:textId="77777777" w:rsidR="007E272D" w:rsidRPr="008127F8" w:rsidRDefault="007E272D" w:rsidP="001E0A84">
      <w:pPr>
        <w:pStyle w:val="Bodytext141"/>
        <w:shd w:val="clear" w:color="auto" w:fill="auto"/>
        <w:tabs>
          <w:tab w:val="left" w:pos="627"/>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Массированное использование высокоподвижных бронетанковых и механизированных средств;</w:t>
      </w:r>
    </w:p>
    <w:p w14:paraId="75F34A28" w14:textId="77777777" w:rsidR="007E272D" w:rsidRPr="008127F8" w:rsidRDefault="007E272D" w:rsidP="001E0A84">
      <w:pPr>
        <w:pStyle w:val="Bodytext141"/>
        <w:shd w:val="clear" w:color="auto" w:fill="auto"/>
        <w:tabs>
          <w:tab w:val="left" w:pos="536"/>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2. Укрепление </w:t>
      </w:r>
      <w:proofErr w:type="gramStart"/>
      <w:r w:rsidRPr="008127F8">
        <w:rPr>
          <w:rStyle w:val="Bodytext145"/>
          <w:i w:val="0"/>
          <w:iCs w:val="0"/>
          <w:color w:val="000000" w:themeColor="text1"/>
          <w:sz w:val="16"/>
          <w:szCs w:val="16"/>
        </w:rPr>
        <w:t>ДОТ-ами</w:t>
      </w:r>
      <w:proofErr w:type="gramEnd"/>
      <w:r w:rsidRPr="008127F8">
        <w:rPr>
          <w:rStyle w:val="Bodytext145"/>
          <w:i w:val="0"/>
          <w:iCs w:val="0"/>
          <w:color w:val="000000" w:themeColor="text1"/>
          <w:sz w:val="16"/>
          <w:szCs w:val="16"/>
        </w:rPr>
        <w:t xml:space="preserve"> и ДЗОТ-ами важнейших стратегических рубе</w:t>
      </w:r>
      <w:r w:rsidRPr="008127F8">
        <w:rPr>
          <w:rStyle w:val="Bodytext145"/>
          <w:i w:val="0"/>
          <w:iCs w:val="0"/>
          <w:color w:val="000000" w:themeColor="text1"/>
          <w:sz w:val="16"/>
          <w:szCs w:val="16"/>
        </w:rPr>
        <w:softHyphen/>
        <w:t>жей на большую глубину.</w:t>
      </w:r>
    </w:p>
    <w:p w14:paraId="1170D2E0"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Эти условия выдвигают новые требования к подвижности артилле</w:t>
      </w:r>
      <w:r w:rsidRPr="008127F8">
        <w:rPr>
          <w:rStyle w:val="Bodytext145"/>
          <w:i w:val="0"/>
          <w:iCs w:val="0"/>
          <w:color w:val="000000" w:themeColor="text1"/>
          <w:sz w:val="16"/>
          <w:szCs w:val="16"/>
        </w:rPr>
        <w:softHyphen/>
        <w:t xml:space="preserve">рии всех калибров и </w:t>
      </w:r>
      <w:proofErr w:type="gramStart"/>
      <w:r w:rsidRPr="008127F8">
        <w:rPr>
          <w:rStyle w:val="Bodytext145"/>
          <w:i w:val="0"/>
          <w:iCs w:val="0"/>
          <w:color w:val="000000" w:themeColor="text1"/>
          <w:sz w:val="16"/>
          <w:szCs w:val="16"/>
        </w:rPr>
        <w:t>назначений</w:t>
      </w:r>
      <w:proofErr w:type="gramEnd"/>
      <w:r w:rsidRPr="008127F8">
        <w:rPr>
          <w:rStyle w:val="Bodytext145"/>
          <w:i w:val="0"/>
          <w:iCs w:val="0"/>
          <w:color w:val="000000" w:themeColor="text1"/>
          <w:sz w:val="16"/>
          <w:szCs w:val="16"/>
        </w:rPr>
        <w:t xml:space="preserve"> и ее способности ведения огня прямой наводкой.</w:t>
      </w:r>
    </w:p>
    <w:p w14:paraId="3056960C"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Подвижность средств механической тяги артиллерии далеко отста</w:t>
      </w:r>
      <w:r w:rsidRPr="008127F8">
        <w:rPr>
          <w:rStyle w:val="Bodytext145"/>
          <w:i w:val="0"/>
          <w:iCs w:val="0"/>
          <w:color w:val="000000" w:themeColor="text1"/>
          <w:sz w:val="16"/>
          <w:szCs w:val="16"/>
        </w:rPr>
        <w:softHyphen/>
        <w:t>ет от подвижности современных танков. Средние технические скорости движения транспортных тракторов на превышают 10—12 км/ч, а сель</w:t>
      </w:r>
      <w:r w:rsidRPr="008127F8">
        <w:rPr>
          <w:rStyle w:val="Bodytext145"/>
          <w:i w:val="0"/>
          <w:iCs w:val="0"/>
          <w:color w:val="000000" w:themeColor="text1"/>
          <w:sz w:val="16"/>
          <w:szCs w:val="16"/>
        </w:rPr>
        <w:softHyphen/>
        <w:t>скохозяйственных — не более 5 км/ч, в то время как скорости движения танков превосходят 40 км/ч.</w:t>
      </w:r>
    </w:p>
    <w:p w14:paraId="04C70675" w14:textId="77777777" w:rsidR="007E272D" w:rsidRPr="008127F8" w:rsidRDefault="007E272D" w:rsidP="001E0A84">
      <w:pPr>
        <w:pStyle w:val="af"/>
        <w:spacing w:before="0" w:after="0"/>
        <w:jc w:val="both"/>
        <w:rPr>
          <w:rStyle w:val="Bodytext145"/>
          <w:color w:val="000000" w:themeColor="text1"/>
          <w:sz w:val="16"/>
          <w:szCs w:val="16"/>
        </w:rPr>
      </w:pPr>
      <w:r w:rsidRPr="008127F8">
        <w:rPr>
          <w:rStyle w:val="Bodytext145"/>
          <w:color w:val="000000" w:themeColor="text1"/>
          <w:sz w:val="16"/>
          <w:szCs w:val="16"/>
        </w:rPr>
        <w:t>Кроме того, орудия корпусной и большой мощности артиллерии совер</w:t>
      </w:r>
      <w:r w:rsidRPr="008127F8">
        <w:rPr>
          <w:rStyle w:val="Bodytext145"/>
          <w:color w:val="000000" w:themeColor="text1"/>
          <w:sz w:val="16"/>
          <w:szCs w:val="16"/>
        </w:rPr>
        <w:softHyphen/>
        <w:t>шенно открыты, что весьма затрудняет использование их по кинжально</w:t>
      </w:r>
      <w:r w:rsidRPr="008127F8">
        <w:rPr>
          <w:rStyle w:val="Bodytext145"/>
          <w:color w:val="000000" w:themeColor="text1"/>
          <w:sz w:val="16"/>
          <w:szCs w:val="16"/>
        </w:rPr>
        <w:softHyphen/>
        <w:t>му разрушению ДОТов с коротких дистанций.</w:t>
      </w:r>
    </w:p>
    <w:p w14:paraId="624F5D8A"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Возникает необходимость создания артиллерии, обладающей высокой маневренностью и, вместе с тем, достаточно защищенной для стрельбы с коротких дистанций.</w:t>
      </w:r>
    </w:p>
    <w:p w14:paraId="19C46954"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Такой артиллерией может быть самоходная артиллерия, осуществля</w:t>
      </w:r>
      <w:r w:rsidRPr="008127F8">
        <w:rPr>
          <w:rStyle w:val="Bodytext145"/>
          <w:i w:val="0"/>
          <w:iCs w:val="0"/>
          <w:color w:val="000000" w:themeColor="text1"/>
          <w:sz w:val="16"/>
          <w:szCs w:val="16"/>
        </w:rPr>
        <w:softHyphen/>
        <w:t>емая в броневых самодвижущихся корпусах, унифицированных с танками, находящимися в производстве.</w:t>
      </w:r>
    </w:p>
    <w:p w14:paraId="1F09681A"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Иностранные армии располагают подвижными бронированными само</w:t>
      </w:r>
      <w:r w:rsidRPr="008127F8">
        <w:rPr>
          <w:rStyle w:val="Bodytext145"/>
          <w:i w:val="0"/>
          <w:iCs w:val="0"/>
          <w:color w:val="000000" w:themeColor="text1"/>
          <w:sz w:val="16"/>
          <w:szCs w:val="16"/>
        </w:rPr>
        <w:softHyphen/>
        <w:t>ходными артиллерийскими установками.</w:t>
      </w:r>
    </w:p>
    <w:p w14:paraId="46EB63D8"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Считаю необходимым иметь четыре типа самоходных артиллерий</w:t>
      </w:r>
      <w:r w:rsidRPr="008127F8">
        <w:rPr>
          <w:rStyle w:val="Bodytext145"/>
          <w:i w:val="0"/>
          <w:iCs w:val="0"/>
          <w:color w:val="000000" w:themeColor="text1"/>
          <w:sz w:val="16"/>
          <w:szCs w:val="16"/>
        </w:rPr>
        <w:softHyphen/>
        <w:t>ских установок:</w:t>
      </w:r>
    </w:p>
    <w:p w14:paraId="4F622A5D" w14:textId="77777777" w:rsidR="007E272D" w:rsidRPr="008127F8" w:rsidRDefault="007E272D" w:rsidP="001E0A84">
      <w:pPr>
        <w:pStyle w:val="Bodytext141"/>
        <w:shd w:val="clear" w:color="auto" w:fill="auto"/>
        <w:tabs>
          <w:tab w:val="left" w:pos="295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1. Самоходная артиллерия истребления </w:t>
      </w:r>
      <w:proofErr w:type="gramStart"/>
      <w:r w:rsidRPr="008127F8">
        <w:rPr>
          <w:rStyle w:val="Bodytext145"/>
          <w:i w:val="0"/>
          <w:iCs w:val="0"/>
          <w:color w:val="000000" w:themeColor="text1"/>
          <w:sz w:val="16"/>
          <w:szCs w:val="16"/>
        </w:rPr>
        <w:t>ДОТ-ов</w:t>
      </w:r>
      <w:proofErr w:type="gramEnd"/>
      <w:r w:rsidRPr="008127F8">
        <w:rPr>
          <w:rStyle w:val="Bodytext145"/>
          <w:i w:val="0"/>
          <w:iCs w:val="0"/>
          <w:color w:val="000000" w:themeColor="text1"/>
          <w:sz w:val="16"/>
          <w:szCs w:val="16"/>
        </w:rPr>
        <w:t>.</w:t>
      </w:r>
    </w:p>
    <w:p w14:paraId="040003E9" w14:textId="77777777" w:rsidR="007E272D" w:rsidRPr="008127F8" w:rsidRDefault="007E272D" w:rsidP="001E0A84">
      <w:pPr>
        <w:pStyle w:val="Bodytext141"/>
        <w:shd w:val="clear" w:color="auto" w:fill="auto"/>
        <w:tabs>
          <w:tab w:val="left" w:pos="2975"/>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Самоходная артиллерия истребления танков.</w:t>
      </w:r>
    </w:p>
    <w:p w14:paraId="0FA2B81F" w14:textId="77777777" w:rsidR="007E272D" w:rsidRPr="008127F8" w:rsidRDefault="007E272D" w:rsidP="001E0A84">
      <w:pPr>
        <w:pStyle w:val="Bodytext141"/>
        <w:shd w:val="clear" w:color="auto" w:fill="auto"/>
        <w:tabs>
          <w:tab w:val="left" w:pos="2998"/>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3. Штурмовая самоходная артиллерия поддержки мотомеханизиро</w:t>
      </w:r>
      <w:r w:rsidRPr="008127F8">
        <w:rPr>
          <w:rStyle w:val="Bodytext145"/>
          <w:i w:val="0"/>
          <w:iCs w:val="0"/>
          <w:color w:val="000000" w:themeColor="text1"/>
          <w:sz w:val="16"/>
          <w:szCs w:val="16"/>
        </w:rPr>
        <w:softHyphen/>
        <w:t>ванных войск.</w:t>
      </w:r>
    </w:p>
    <w:p w14:paraId="707E32C2" w14:textId="77777777" w:rsidR="007E272D" w:rsidRPr="008127F8" w:rsidRDefault="007E272D" w:rsidP="001E0A84">
      <w:pPr>
        <w:pStyle w:val="Bodytext141"/>
        <w:shd w:val="clear" w:color="auto" w:fill="auto"/>
        <w:tabs>
          <w:tab w:val="left" w:pos="296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4. Зенитные артиллерийские самоходные установки.</w:t>
      </w:r>
    </w:p>
    <w:p w14:paraId="346E30D7"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Развитие самоходных установок должно быть организовано на следу</w:t>
      </w:r>
      <w:r w:rsidRPr="008127F8">
        <w:rPr>
          <w:rStyle w:val="Bodytext145"/>
          <w:i w:val="0"/>
          <w:iCs w:val="0"/>
          <w:color w:val="000000" w:themeColor="text1"/>
          <w:sz w:val="16"/>
          <w:szCs w:val="16"/>
        </w:rPr>
        <w:softHyphen/>
        <w:t>ющих освоенных промышленностью артиллерийских и танковых заводах:</w:t>
      </w:r>
    </w:p>
    <w:p w14:paraId="02548565" w14:textId="77777777" w:rsidR="007E272D" w:rsidRPr="008127F8" w:rsidRDefault="007E272D" w:rsidP="001E0A84">
      <w:pPr>
        <w:pStyle w:val="Bodytext141"/>
        <w:shd w:val="clear" w:color="auto" w:fill="auto"/>
        <w:tabs>
          <w:tab w:val="left" w:pos="2922"/>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Истребитель ДОТ-ов — 152 мм пушка» БР-2» на шасси из агрегатов танка КВ.</w:t>
      </w:r>
    </w:p>
    <w:p w14:paraId="7F8E2CA2" w14:textId="77777777" w:rsidR="007E272D" w:rsidRPr="008127F8" w:rsidRDefault="007E272D" w:rsidP="001E0A84">
      <w:pPr>
        <w:pStyle w:val="Bodytext141"/>
        <w:shd w:val="clear" w:color="auto" w:fill="auto"/>
        <w:tabs>
          <w:tab w:val="left" w:pos="294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Истребитель танков — 85мм зенитная пушка обр. 1939 года на шас</w:t>
      </w:r>
      <w:r w:rsidRPr="008127F8">
        <w:rPr>
          <w:rStyle w:val="Bodytext145"/>
          <w:i w:val="0"/>
          <w:iCs w:val="0"/>
          <w:color w:val="000000" w:themeColor="text1"/>
          <w:sz w:val="16"/>
          <w:szCs w:val="16"/>
        </w:rPr>
        <w:softHyphen/>
        <w:t>си из агрегатов танка Т-34.</w:t>
      </w:r>
    </w:p>
    <w:p w14:paraId="0C5344DC" w14:textId="77777777" w:rsidR="007E272D" w:rsidRPr="008127F8" w:rsidRDefault="007E272D" w:rsidP="001E0A84">
      <w:pPr>
        <w:pStyle w:val="Bodytext141"/>
        <w:shd w:val="clear" w:color="auto" w:fill="auto"/>
        <w:tabs>
          <w:tab w:val="left" w:pos="2989"/>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3. Штурмовая самоходная установка — 76 мм пушка «ЗИС-З» или «УСВ» на шасси из агрегатов танка «Т-60» и «Т-70».</w:t>
      </w:r>
    </w:p>
    <w:p w14:paraId="718555A7" w14:textId="77777777" w:rsidR="007E272D" w:rsidRPr="008127F8" w:rsidRDefault="007E272D" w:rsidP="001E0A84">
      <w:pPr>
        <w:pStyle w:val="Bodytext141"/>
        <w:shd w:val="clear" w:color="auto" w:fill="auto"/>
        <w:tabs>
          <w:tab w:val="left" w:pos="2955"/>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4. Зенитные самоходные установки 37 мм автоматическая зенитная пушка на танках «Т-34» и «Т-60» или «Т-70».</w:t>
      </w:r>
    </w:p>
    <w:p w14:paraId="2333EE8A"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Тактико-технические требования на разработку указанных опытных образцов заводам и Накромату Танковой промышленности разосланы, но не все работы, предусмотренные планом работ ТАУ, приняты к сведению.</w:t>
      </w:r>
    </w:p>
    <w:p w14:paraId="1A52FC2D"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Наркоматом Танковой Промышленности принято решение истреби</w:t>
      </w:r>
      <w:r w:rsidRPr="008127F8">
        <w:rPr>
          <w:rStyle w:val="Bodytext145"/>
          <w:i w:val="0"/>
          <w:iCs w:val="0"/>
          <w:color w:val="000000" w:themeColor="text1"/>
          <w:sz w:val="16"/>
          <w:szCs w:val="16"/>
        </w:rPr>
        <w:softHyphen/>
        <w:t>тель ДОТов вооружить не 152мм пушкой «БР-2», а значительно более сла</w:t>
      </w:r>
      <w:r w:rsidRPr="008127F8">
        <w:rPr>
          <w:rStyle w:val="Bodytext145"/>
          <w:i w:val="0"/>
          <w:iCs w:val="0"/>
          <w:color w:val="000000" w:themeColor="text1"/>
          <w:sz w:val="16"/>
          <w:szCs w:val="16"/>
        </w:rPr>
        <w:softHyphen/>
        <w:t>бой по пробиваемости бетона и бронеколпаков, пушкой-гаубицей МЛ-20.</w:t>
      </w:r>
    </w:p>
    <w:p w14:paraId="7CA10E3B"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Кроме того, НКТП отказывается отработать истребитель танков, мотивируя тем, что в танк «КВ» разрабатывается установка 85-мм танковой пушки.</w:t>
      </w:r>
    </w:p>
    <w:p w14:paraId="49ABDD00"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Ввиду важности срочного создания необходимых образцов самоходных артиллерийских установок, прошу распоряжения Наркому Танковой про</w:t>
      </w:r>
      <w:r w:rsidRPr="008127F8">
        <w:rPr>
          <w:rStyle w:val="Bodytext145"/>
          <w:i w:val="0"/>
          <w:iCs w:val="0"/>
          <w:color w:val="000000" w:themeColor="text1"/>
          <w:sz w:val="16"/>
          <w:szCs w:val="16"/>
        </w:rPr>
        <w:softHyphen/>
        <w:t>мышленности тов. Малышева о производстве данных работ»</w:t>
      </w:r>
      <w:r w:rsidRPr="008127F8">
        <w:rPr>
          <w:rStyle w:val="Bodytext145"/>
          <w:i w:val="0"/>
          <w:color w:val="000000" w:themeColor="text1"/>
          <w:sz w:val="16"/>
          <w:szCs w:val="16"/>
        </w:rPr>
        <w:t xml:space="preserve"> (17484).</w:t>
      </w:r>
    </w:p>
    <w:p w14:paraId="614A34AC" w14:textId="77777777" w:rsidR="007E272D" w:rsidRPr="008127F8" w:rsidRDefault="007E272D" w:rsidP="001E0A84">
      <w:pPr>
        <w:pStyle w:val="af"/>
        <w:spacing w:before="0" w:after="0"/>
        <w:jc w:val="both"/>
        <w:rPr>
          <w:color w:val="000000" w:themeColor="text1"/>
          <w:sz w:val="16"/>
          <w:szCs w:val="16"/>
        </w:rPr>
      </w:pPr>
    </w:p>
    <w:p w14:paraId="76D384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по приказу НКЭП завод «Электросвет» был переименован в ГС завод № 691 1ГУ НКЭП (ГС московский светотехнический завод № 691 им. П.Н. Яблочкова НКЭП, Первая Московская государственная фабрика электроарматуры ВСНХ, Московский завод «Электросвет» ВСНХ, НКТП, ГС завод «Электросвет» НКМ, НКЭП, Московский завод светотехнической электроарматуры «Электросвет» им. П.Н. Яблочкова СНХ, МЭТП, ПО, МПО «Электролуч» МЭТП, ЗАО «Электролуч»/ г. Москва Фуркасовский пер. (1900-е  г.)/ /119435  г. Москва ул. Б. Пироговская, 27 тел. 248-15-14/).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2BA214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аэродромное, промышленное и бытовое осветительное оборудование.</w:t>
      </w:r>
    </w:p>
    <w:p w14:paraId="03FF72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(2002 г.)- В.Д. Кузнецов.</w:t>
      </w:r>
      <w:r w:rsidRPr="008127F8">
        <w:rPr>
          <w:rFonts w:ascii="Times New Roman" w:hAnsi="Times New Roman"/>
          <w:color w:val="000000" w:themeColor="text1"/>
          <w:sz w:val="16"/>
          <w:szCs w:val="16"/>
          <w:vertAlign w:val="superscript"/>
        </w:rPr>
        <w:t>69</w:t>
      </w:r>
    </w:p>
    <w:p w14:paraId="79CA5A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630EB7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914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Государственный центральный научно-исследовательский институт цветных металлов "Цгинцветмет" переименовывается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5F7BDCFB" w14:textId="77777777" w:rsidR="00BE6AA4" w:rsidRPr="008127F8" w:rsidRDefault="00BE6AA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D9665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8372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32EDC6"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марта</w:t>
      </w:r>
      <w:r w:rsidRPr="008127F8">
        <w:rPr>
          <w:rFonts w:ascii="Times New Roman" w:hAnsi="Times New Roman"/>
          <w:color w:val="000000" w:themeColor="text1"/>
          <w:sz w:val="16"/>
          <w:szCs w:val="16"/>
        </w:rPr>
        <w:t xml:space="preserve"> в 1942 году утреннее сообщение Совинформбюро:</w:t>
      </w:r>
    </w:p>
    <w:p w14:paraId="07D8A3A5"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25 марта на фронте каких-либо существенных изменений непроизошло.</w:t>
      </w:r>
    </w:p>
    <w:p w14:paraId="1D0A94D6"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овладела населённым пунктом У. Уничтожены немецкие склады с боеприпасами и вооружением. Захвачены трофеи: 2 орудия, 10 пулемётов, много винтовок и боеприпасов. На другом участке фронта наши бойцы заняли населённый пункт, превращенный немцами в крупный узел сопротивления. Захвачены 4 немецких орудия, 12 пулемётов, 8 миномётов, 90 винтовок, 20.000 патронов и уничтожены склады с боеприпасами и продовольствием. Противник потерял убитыми свыше 200 солдат и офицеров.</w:t>
      </w:r>
    </w:p>
    <w:p w14:paraId="39FC8972"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окраине населённого пункта С. (Южный фронт) противник силою свыше полка пехоты, поддержанной 35 танками и 30 самолётами, контратаковал наши наступающие части. Потеряв 400 солдат и офицеров убитыми и ранеными, а также 13 танков, немцы были вынуждены отойти в исходное положение. На другом участке этого фронта наши части уничтожили 14 немецких танков.</w:t>
      </w:r>
    </w:p>
    <w:p w14:paraId="28319AA1"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Овчаренко, доставив боеприпасы на передовые позиции, на обратном пути натолкнулся на две грузовые автомашины, в которых находились немецкие солдаты. Гитлеровский офицер предложил красноармейцу сдаться в плен. Тов. Овчаренко мгновенно выхватил штык и убил им гитлеровца. Затем, воспользовавшись замешательством немцев, находчивый боец бросил в машины одну за другой несколько гранат. 20 вражеских солдат было убито, остальные разбежались. Тов. Овчаренко благополучно вернулся в свою часть.</w:t>
      </w:r>
    </w:p>
    <w:p w14:paraId="1205DF85"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Сандружинница Ивашина Таисия Павловна, раненная в бою у деревни </w:t>
      </w:r>
      <w:proofErr w:type="gramStart"/>
      <w:r w:rsidRPr="008127F8">
        <w:rPr>
          <w:rFonts w:ascii="Times New Roman" w:hAnsi="Times New Roman"/>
          <w:color w:val="000000" w:themeColor="text1"/>
          <w:sz w:val="16"/>
          <w:szCs w:val="16"/>
        </w:rPr>
        <w:t>Н.,продолжала</w:t>
      </w:r>
      <w:proofErr w:type="gramEnd"/>
      <w:r w:rsidRPr="008127F8">
        <w:rPr>
          <w:rFonts w:ascii="Times New Roman" w:hAnsi="Times New Roman"/>
          <w:color w:val="000000" w:themeColor="text1"/>
          <w:sz w:val="16"/>
          <w:szCs w:val="16"/>
        </w:rPr>
        <w:t xml:space="preserve"> оказывать первую помощь раненым бойцам и организовала их отправку в тыл. В течение последнего месяца т. Ивашина вынесла с поля боя под огнём противника 120 раненых бойцов и командиров с их оружием.</w:t>
      </w:r>
    </w:p>
    <w:p w14:paraId="065C9A4E"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печатаются выдержки из отчёта партизанского отряда тов. П., действующегона Украине:</w:t>
      </w:r>
    </w:p>
    <w:p w14:paraId="29986386"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30 января отряд перерезал немецкую линию связи и смотал 6 километров провода.</w:t>
      </w:r>
    </w:p>
    <w:p w14:paraId="562EE691"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февраля отряд завязал перестрелку с. подразделением противника. Убито 5 и ранено 6 немецких солдат. Особенно отличился в этой схватке партизан Ш. Он личноуничтожил 3 гитлеровцев.</w:t>
      </w:r>
    </w:p>
    <w:p w14:paraId="60502F2D"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10 февраля сожгли дом, где расположились на отдых солдаты противника. Немцы понесли большие потери.</w:t>
      </w:r>
    </w:p>
    <w:p w14:paraId="7F2EBDC4"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февраля устроили засаду между хутором и населённым пунктом Д. При смене часовых уничтожено 3 немецких солдата.</w:t>
      </w:r>
    </w:p>
    <w:p w14:paraId="3F330209"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16 февраля отряд совершил налет на совхоз, снял часовых и забросал гранатами занятое немцами помещение».</w:t>
      </w:r>
    </w:p>
    <w:p w14:paraId="22E1FA99"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8 роты 12 полка 31 немецкой пехотной дивизии Курт Енч рассказал: «В последних боях наша рота потеряла до 70 процентов своего личного состава и много оружия. В моём отделении в живых осталось только 3 человека. Из 4 миномётов в роте осталось 2. Очень плохо с питанием. Часто мы получали одну конину. Последние дни питались только мерзлым хлебом».</w:t>
      </w:r>
    </w:p>
    <w:p w14:paraId="52578590"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селении Великое Село, Ленинградской области, немцами сожжено 75 домов колхозников и местная больница. Гитлеровцы сожгли 24 местных жителя и несколько тяжело раненных красноармейцев.</w:t>
      </w:r>
    </w:p>
    <w:p w14:paraId="02ABD82E"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румыно-венгерской границе, восточнее Сигишоара, произошло вооружённое столкновение между венгерскими и румынскими пограничными частями. С обеих сторон имеются убитые и раненые.» (15079).</w:t>
      </w:r>
    </w:p>
    <w:p w14:paraId="159121A6" w14:textId="77777777" w:rsidR="00BE6AA4" w:rsidRPr="008127F8" w:rsidRDefault="00BE6AA4" w:rsidP="001E0A84">
      <w:pPr>
        <w:spacing w:after="0" w:line="240" w:lineRule="auto"/>
        <w:jc w:val="both"/>
        <w:rPr>
          <w:rFonts w:ascii="Times New Roman" w:hAnsi="Times New Roman"/>
          <w:color w:val="000000" w:themeColor="text1"/>
          <w:sz w:val="16"/>
          <w:szCs w:val="16"/>
        </w:rPr>
      </w:pPr>
    </w:p>
    <w:p w14:paraId="7BC494FA"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марта</w:t>
      </w:r>
      <w:r w:rsidRPr="008127F8">
        <w:rPr>
          <w:rFonts w:ascii="Times New Roman" w:hAnsi="Times New Roman"/>
          <w:color w:val="000000" w:themeColor="text1"/>
          <w:sz w:val="16"/>
          <w:szCs w:val="16"/>
        </w:rPr>
        <w:t xml:space="preserve"> в 1942 году вечернее сообщение Совинформбюро:</w:t>
      </w:r>
    </w:p>
    <w:p w14:paraId="3F942A17"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25 марта на фронте существенных изменений не произошло.</w:t>
      </w:r>
    </w:p>
    <w:p w14:paraId="321F8428"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23 марта уничтожен не 31 немецкий самолёт, как об этом сообщалось ранее, а 37 самолётов противника.</w:t>
      </w:r>
    </w:p>
    <w:p w14:paraId="7E1DB729"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24 марта уничтожено 27 самолётов противника. Наши потери — 9 самолётов.</w:t>
      </w:r>
    </w:p>
    <w:p w14:paraId="5508AEC8"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24 марта частями нашей авиации уничтожено или повреждено 15 немецких танков, 1 бронемашина, 50 орудий, 19 зенитно-пулемётных точек, 13 миномётов, около 80 автомашин с войсками и грузами, 11 подвод с боеприпасами, радиостанция, 14 железнодорожных вагонов и 9 паровозов, рассеяно и частью уничтожено до батальона пехоты противника.</w:t>
      </w:r>
    </w:p>
    <w:p w14:paraId="4926177B"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 нашей части, действующей на одном из участков Калининского фронта, немцы бросили крупное пехотное соединение, поддержанное танками и авиацией. Упорные бои продолжались два дня. Все контратаки противника были отбиты с большими для него потерями. На поле боя остались сотни вражеских трупов. Уничтожено 2 немецких танка. На другом участке наши части, отразив контратаку немцев, уничтожили 930 вражеских солдат и офицеров и продвинулись вперёд. Захвачены трофеи.</w:t>
      </w:r>
    </w:p>
    <w:p w14:paraId="555FA7F1"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день боёв уничтожила 2 немецких орудия, 6 пулемётных точек, 3 миномёта и автоцистерну с горючим. На поле боя осталось 125 трупов немецких солдат и офицеров. Взяты пленные.</w:t>
      </w:r>
    </w:p>
    <w:p w14:paraId="51BAB5B8"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на одном из участков Западного фронта 8 немецких бомбардировщиков «Юнкерс-88» в сопровождении истребителей пытались бомбить боевые порядки одной из советских стрелковых частей. Наши бойцы открыли огонь из пехотного оружия и подожгли 3 вражеских самолёта.</w:t>
      </w:r>
    </w:p>
    <w:p w14:paraId="02DA46A3"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одного нашего подразделения на Калининском фронте за последние два дня сбили четыре немецких бомбардировщика.</w:t>
      </w:r>
    </w:p>
    <w:p w14:paraId="0AD4992F"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вражеских танков пошли в атаку на артиллерийскую батарею, которой командует тов. Кильбург. Артиллеристы прямой наводкой уничтожили два танка. Остальные немецкие танки повернули обратно.</w:t>
      </w:r>
    </w:p>
    <w:p w14:paraId="19055BDF"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Калининской области помогают частям Красной Армии истреблять немецких оккупантов. На днях немцы подготовили для переброски в тыл советских войск батальон пехоты. По пути к фронту вражеский батальон был неожиданно атакован крупным партизанским отрядом под командованием тов. М. В результате короткого боя гитлеровцы были рассеяны. На дороге осталось много вражеских трупов. В руки партизан попали большие трофеи. Другой отряд партизан этой же области совершил налёт на деревню К. и уничтожил находившийся там немецкий гарнизон.</w:t>
      </w:r>
    </w:p>
    <w:p w14:paraId="7DA24288"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21 полка 17 немецкой пехотной дивизии Гергард Бределув рассказал: «В феврале наша дивизия, понёсшая огромные потери, получила пополнение. Среди прибывших преобладают резервисты в возрасте от 30 до 45 лет. Это необученные солдаты, не умеющие обращаться с оружием. С тех пор как германская армия начала отступать, дисциплина резко ослабла. Мне известен такой случай: когда мы стояли около деревни Захарово, офицер приказал 6 солдатам пойти в разведку. Солдаты отказались, заявив, что невозможно двигаться по глубокому снегу. Их всех арестовали и отправили в тыл».</w:t>
      </w:r>
    </w:p>
    <w:p w14:paraId="54DF45C4"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Отступая </w:t>
      </w:r>
      <w:proofErr w:type="gramStart"/>
      <w:r w:rsidRPr="008127F8">
        <w:rPr>
          <w:rFonts w:ascii="Times New Roman" w:hAnsi="Times New Roman"/>
          <w:color w:val="000000" w:themeColor="text1"/>
          <w:sz w:val="16"/>
          <w:szCs w:val="16"/>
        </w:rPr>
        <w:t>из села</w:t>
      </w:r>
      <w:proofErr w:type="gramEnd"/>
      <w:r w:rsidRPr="008127F8">
        <w:rPr>
          <w:rFonts w:ascii="Times New Roman" w:hAnsi="Times New Roman"/>
          <w:color w:val="000000" w:themeColor="text1"/>
          <w:sz w:val="16"/>
          <w:szCs w:val="16"/>
        </w:rPr>
        <w:t xml:space="preserve"> Слободка, Смоленской области, немецко-фашистские изверги сожгли в доме Фомичева Н.И. 20 колхозников. В числе погибших: Фомичева В.И.—45 лет, её дочери Мария и Екатерина — 18 и 20 лет, сыновья Иван — 12 лет, Василий — 7 лет, Анатолий — одного года; Семёнова П.С. — 40 лет, её дочери Екатерина — 18 лет, Прасковья —11 лет, Анна — 5 лет, сын Василий — 2 лет и другие. Из 218 домов деревни немцы сожгли 188 домов.</w:t>
      </w:r>
    </w:p>
    <w:p w14:paraId="14845715"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территории Польши, в районе города Розвадува, в течение двух месяцев оперирует крупный отряд немецких солдат — дезертиров с советско-германского фронта. Отряд вооружён пулемётами и автоматами. Солдаты из этого отряда совершают нападения на продовольственные и вещевые склады гитлеровской армии.</w:t>
      </w:r>
    </w:p>
    <w:p w14:paraId="340D832B"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Стахановцы завода «Красное Сормово» т.т. Кузин, Коновалов и Сухин, получив срочное задание для фронта, выполнила его в четыре раза быстрее, чем полагалось по норме.» (15079).</w:t>
      </w:r>
    </w:p>
    <w:p w14:paraId="056DC77D" w14:textId="77777777" w:rsidR="00BE6AA4" w:rsidRPr="008127F8" w:rsidRDefault="00BE6AA4" w:rsidP="001E0A84">
      <w:pPr>
        <w:spacing w:after="0" w:line="240" w:lineRule="auto"/>
        <w:jc w:val="both"/>
        <w:rPr>
          <w:rFonts w:ascii="Times New Roman" w:hAnsi="Times New Roman"/>
          <w:color w:val="000000" w:themeColor="text1"/>
          <w:sz w:val="16"/>
          <w:szCs w:val="16"/>
        </w:rPr>
      </w:pPr>
    </w:p>
    <w:p w14:paraId="5F8AC918" w14:textId="60BF332D" w:rsidR="00C461CE" w:rsidRPr="008127F8" w:rsidRDefault="00C461CE"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25 марта </w:t>
      </w:r>
      <w:proofErr w:type="gramStart"/>
      <w:r w:rsidRPr="008127F8">
        <w:rPr>
          <w:rFonts w:ascii="Times New Roman" w:eastAsia="Times New Roman" w:hAnsi="Times New Roman"/>
          <w:color w:val="000000" w:themeColor="text1"/>
          <w:sz w:val="16"/>
          <w:szCs w:val="16"/>
          <w:lang w:eastAsia="ru-RU"/>
        </w:rPr>
        <w:t>1942</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г.</w:t>
      </w:r>
      <w:proofErr w:type="gramEnd"/>
      <w:r w:rsidRPr="008127F8">
        <w:rPr>
          <w:rFonts w:ascii="Times New Roman" w:eastAsia="Times New Roman" w:hAnsi="Times New Roman"/>
          <w:color w:val="000000" w:themeColor="text1"/>
          <w:sz w:val="16"/>
          <w:szCs w:val="16"/>
          <w:lang w:eastAsia="ru-RU"/>
        </w:rPr>
        <w:t xml:space="preserve"> ТБ-3 со взрывчаткой и сопровождавший его ДБ-ЗФ послали на уничтожение железнодорожного узла Вязьма. На </w:t>
      </w:r>
      <w:proofErr w:type="gramStart"/>
      <w:r w:rsidRPr="008127F8">
        <w:rPr>
          <w:rFonts w:ascii="Times New Roman" w:eastAsia="Times New Roman" w:hAnsi="Times New Roman"/>
          <w:color w:val="000000" w:themeColor="text1"/>
          <w:sz w:val="16"/>
          <w:szCs w:val="16"/>
          <w:lang w:eastAsia="ru-RU"/>
        </w:rPr>
        <w:t>борту</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ТБ</w:t>
      </w:r>
      <w:proofErr w:type="gramEnd"/>
      <w:r w:rsidRPr="008127F8">
        <w:rPr>
          <w:rFonts w:ascii="Times New Roman" w:eastAsia="Times New Roman" w:hAnsi="Times New Roman"/>
          <w:color w:val="000000" w:themeColor="text1"/>
          <w:sz w:val="16"/>
          <w:szCs w:val="16"/>
          <w:lang w:eastAsia="ru-RU"/>
        </w:rPr>
        <w:t>-3 находился экипаж — левый лётчик майор А.Н. Тягунин, правый лётчик</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 xml:space="preserve">(оператор по вооружению и автоматике) Р.Г. Чачикян и бортинженер В.Г. Моисеев. Решение использовать экипаж на самолёте, оборудованном автоматической системой взлёта, было вызвано желанием избежать опасности взрыва в случае отказа автоматики при взлёте с заполненного техникой и войсками аэродрома. После набора высоты и перевода ТБ-3 в режим радиоуправления экипаж покинул самолёт на парашютах. Полёт ТБ-3 контролировал с </w:t>
      </w:r>
      <w:proofErr w:type="gramStart"/>
      <w:r w:rsidRPr="008127F8">
        <w:rPr>
          <w:rFonts w:ascii="Times New Roman" w:eastAsia="Times New Roman" w:hAnsi="Times New Roman"/>
          <w:color w:val="000000" w:themeColor="text1"/>
          <w:sz w:val="16"/>
          <w:szCs w:val="16"/>
          <w:lang w:eastAsia="ru-RU"/>
        </w:rPr>
        <w:t>борта</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ДБ</w:t>
      </w:r>
      <w:proofErr w:type="gramEnd"/>
      <w:r w:rsidRPr="008127F8">
        <w:rPr>
          <w:rFonts w:ascii="Times New Roman" w:eastAsia="Times New Roman" w:hAnsi="Times New Roman"/>
          <w:color w:val="000000" w:themeColor="text1"/>
          <w:sz w:val="16"/>
          <w:szCs w:val="16"/>
          <w:lang w:eastAsia="ru-RU"/>
        </w:rPr>
        <w:t xml:space="preserve">-ЗФ военинженер 2-го ранга В.Я. Кравец, пилотировал этот самолёт капитан В.В. Пономаренко. Выполнить боевую задачу не удалось: при подлёте </w:t>
      </w:r>
      <w:proofErr w:type="gramStart"/>
      <w:r w:rsidRPr="008127F8">
        <w:rPr>
          <w:rFonts w:ascii="Times New Roman" w:eastAsia="Times New Roman" w:hAnsi="Times New Roman"/>
          <w:color w:val="000000" w:themeColor="text1"/>
          <w:sz w:val="16"/>
          <w:szCs w:val="16"/>
          <w:lang w:eastAsia="ru-RU"/>
        </w:rPr>
        <w:t>к</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Вязьме</w:t>
      </w:r>
      <w:proofErr w:type="gramEnd"/>
      <w:r w:rsidRPr="008127F8">
        <w:rPr>
          <w:rFonts w:ascii="Times New Roman" w:eastAsia="Times New Roman" w:hAnsi="Times New Roman"/>
          <w:color w:val="000000" w:themeColor="text1"/>
          <w:sz w:val="16"/>
          <w:szCs w:val="16"/>
          <w:lang w:eastAsia="ru-RU"/>
        </w:rPr>
        <w:t xml:space="preserve"> антенна командного самолёта была повреждена пулемётным огнём и неуправляемый самолёт-бомба упал и взорвался в тылу немецких войск северо-восточнее Витебска.</w:t>
      </w:r>
    </w:p>
    <w:p w14:paraId="6A5190E2" w14:textId="097658D9" w:rsidR="00C461CE" w:rsidRPr="008127F8" w:rsidRDefault="00C461CE"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Второй экземпляр «телемеханического» ТБ-3 сгорел на аэродроме при взрыве боеприпасов на соседнем самолёте. Телемеханическую аппаратуру спасли. Однако вскоре решением народного комиссара авиационной промышленности А.И. Шахурина ОКБ завода </w:t>
      </w:r>
      <w:proofErr w:type="gramStart"/>
      <w:r w:rsidRPr="008127F8">
        <w:rPr>
          <w:rFonts w:ascii="Times New Roman" w:eastAsia="Times New Roman" w:hAnsi="Times New Roman"/>
          <w:color w:val="000000" w:themeColor="text1"/>
          <w:sz w:val="16"/>
          <w:szCs w:val="16"/>
          <w:lang w:eastAsia="ru-RU"/>
        </w:rPr>
        <w:t>№</w:t>
      </w:r>
      <w:r w:rsidR="008127F8">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379</w:t>
      </w:r>
      <w:proofErr w:type="gramEnd"/>
      <w:r w:rsidRPr="008127F8">
        <w:rPr>
          <w:rFonts w:ascii="Times New Roman" w:eastAsia="Times New Roman" w:hAnsi="Times New Roman"/>
          <w:color w:val="000000" w:themeColor="text1"/>
          <w:sz w:val="16"/>
          <w:szCs w:val="16"/>
          <w:lang w:eastAsia="ru-RU"/>
        </w:rPr>
        <w:t xml:space="preserve"> было ликвидировано, а его сотрудники пополнили инженерно-технический персонал серийных заводов.</w:t>
      </w:r>
    </w:p>
    <w:p w14:paraId="56300EE8" w14:textId="77777777" w:rsidR="00C461CE" w:rsidRPr="008127F8" w:rsidRDefault="00C461CE"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Существенным недостатком беспилотных самолётов, контролируемых командами с другого самолёта, было то, что такое управление могло осуществляться только при визуальной видимости. Это делало невозможным выполнение полётов в облаках или ночью. И всё же успешные испытания автоматического взлёта и посадки ТБ-1, У-2 и ТБ-3 в конце 1930-х — начале 1940-х годов без единой аварии — это выдающееся достижение научно-технической мысли в СССР </w:t>
      </w:r>
      <w:hyperlink r:id="rId85" w:history="1">
        <w:r w:rsidRPr="008127F8">
          <w:rPr>
            <w:rFonts w:ascii="Times New Roman" w:eastAsia="Times New Roman" w:hAnsi="Times New Roman"/>
            <w:color w:val="000000" w:themeColor="text1"/>
            <w:sz w:val="16"/>
            <w:szCs w:val="16"/>
            <w:lang w:eastAsia="ru-RU"/>
          </w:rPr>
          <w:t>[231]</w:t>
        </w:r>
      </w:hyperlink>
      <w:r w:rsidRPr="008127F8">
        <w:rPr>
          <w:rFonts w:ascii="Times New Roman" w:eastAsia="Times New Roman" w:hAnsi="Times New Roman"/>
          <w:color w:val="000000" w:themeColor="text1"/>
          <w:sz w:val="16"/>
          <w:szCs w:val="16"/>
          <w:lang w:eastAsia="ru-RU"/>
        </w:rPr>
        <w:t xml:space="preserve"> (17489).</w:t>
      </w:r>
    </w:p>
    <w:p w14:paraId="0CB8CE33" w14:textId="77777777" w:rsidR="00C461CE" w:rsidRPr="008127F8" w:rsidRDefault="00C461CE" w:rsidP="001E0A84">
      <w:pPr>
        <w:spacing w:after="0" w:line="240" w:lineRule="auto"/>
        <w:jc w:val="both"/>
        <w:rPr>
          <w:rFonts w:ascii="Times New Roman" w:eastAsia="Times New Roman" w:hAnsi="Times New Roman"/>
          <w:color w:val="000000" w:themeColor="text1"/>
          <w:sz w:val="16"/>
          <w:szCs w:val="16"/>
          <w:lang w:eastAsia="ru-RU"/>
        </w:rPr>
      </w:pPr>
    </w:p>
    <w:p w14:paraId="11AD2892" w14:textId="77777777" w:rsidR="00DC1499" w:rsidRPr="008127F8" w:rsidRDefault="00DC14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базировавшиеся в Иваново ТБ-3 со взрывчаткой и сопровождавший его ДБ-3Ф послали на уничтожение железнодорожного узла Вязьма. На борту ТБ-3 находился экипаж – левый лётчик майор А.Н. Тягунин, правый лётчик (оператор по вооружению и автоматике) Р.Г. Чачикян и бортинженер В.Г. Моисеев. Решение использовать экипаж на самолёте, оборудованном автоматической системой взлёта, было вызвано желанием избежать опасности взрыва в случае отказа автоматики при взлёте с заполненного техникой и войсками аэродрома. После набора высоты и перевода ТБ-3 в режим радиоуправления экипаж покинул самолёт на парашютах. Полёт ТБ-3 контролировал с борта ДБ-3Ф военинженер 2-го ранга В.Я. Кравец. Выполнить боевую задачу не удалось: при подлёте к Вязьме антенна командного самолёта была повреждена пулемётным огнём и неуправляемый самолёт-бомба упал и взорвался в тылу немецких войск северо-восточнее Витебска. Второй экземпляр «телемеханического» ТБ-3 сгорел на аэродроме при взрыве боеприпасов на соседнем самолёте. Вскоре решением народного комиссара авиационной промышленности А.И. Шахурина ОКБ завода № 379 было ликвидировано, а его сотрудники пополнили инженерно-технический персонал серийных заводов (22673).</w:t>
      </w:r>
    </w:p>
    <w:p w14:paraId="3AFA2642" w14:textId="77777777" w:rsidR="00DC1499" w:rsidRPr="008127F8" w:rsidRDefault="00DC1499" w:rsidP="001E0A84">
      <w:pPr>
        <w:spacing w:after="0" w:line="240" w:lineRule="auto"/>
        <w:jc w:val="both"/>
        <w:rPr>
          <w:rFonts w:ascii="Times New Roman" w:hAnsi="Times New Roman"/>
          <w:color w:val="000000" w:themeColor="text1"/>
          <w:sz w:val="16"/>
          <w:szCs w:val="16"/>
        </w:rPr>
      </w:pPr>
    </w:p>
    <w:p w14:paraId="28CB2D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первым на переучивание на Р-39 Аэрокобра в 22 зап прибыл 153-й истребительный авиаполк майора С. И. Миронова. В апреле к нему присоединился 185-й полк, отведенный с Ленинградского фронта (3457,69).</w:t>
      </w:r>
    </w:p>
    <w:p w14:paraId="15ADCE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3B969" w14:textId="77777777" w:rsidR="00C138F3" w:rsidRPr="008A2E5A" w:rsidRDefault="00C138F3" w:rsidP="00C138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марта 1941 первым на переучивание на Аэрокобру при</w:t>
      </w:r>
      <w:r w:rsidRPr="008A2E5A">
        <w:rPr>
          <w:rFonts w:ascii="Times New Roman" w:hAnsi="Times New Roman"/>
          <w:color w:val="0070C0"/>
          <w:sz w:val="16"/>
          <w:szCs w:val="16"/>
        </w:rPr>
        <w:softHyphen/>
        <w:t>был 153-й иап майора С.И. Миронова. В апреле к нему присоединился 185-й полк, отведенный с Ленинградского фронта.</w:t>
      </w:r>
    </w:p>
    <w:p w14:paraId="622CA61E" w14:textId="77777777" w:rsidR="00C138F3" w:rsidRPr="008A2E5A" w:rsidRDefault="00C138F3" w:rsidP="00C138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Особое внимание уделялось технике взлета и посадки на самолетах с носовым колесом, которое на отечественных ма</w:t>
      </w:r>
      <w:r w:rsidRPr="008A2E5A">
        <w:rPr>
          <w:rFonts w:ascii="Times New Roman" w:hAnsi="Times New Roman"/>
          <w:color w:val="0070C0"/>
          <w:sz w:val="16"/>
          <w:szCs w:val="16"/>
        </w:rPr>
        <w:softHyphen/>
        <w:t>шинах тогда еще не встречалось. Обучав</w:t>
      </w:r>
      <w:r w:rsidRPr="008A2E5A">
        <w:rPr>
          <w:rFonts w:ascii="Times New Roman" w:hAnsi="Times New Roman"/>
          <w:color w:val="0070C0"/>
          <w:sz w:val="16"/>
          <w:szCs w:val="16"/>
        </w:rPr>
        <w:softHyphen/>
        <w:t>шийся в Иваново В.М. Перов (впоследст</w:t>
      </w:r>
      <w:r w:rsidRPr="008A2E5A">
        <w:rPr>
          <w:rFonts w:ascii="Times New Roman" w:hAnsi="Times New Roman"/>
          <w:color w:val="0070C0"/>
          <w:sz w:val="16"/>
          <w:szCs w:val="16"/>
        </w:rPr>
        <w:softHyphen/>
        <w:t>вии известный полярный летчик) писал о «чудном» американском истребителе в своих мемуарах: «Передняя опора (нога) была длинной, и когда самолет стоял на аэродроме, он напоминал большого смеш</w:t>
      </w:r>
      <w:r w:rsidRPr="008A2E5A">
        <w:rPr>
          <w:rFonts w:ascii="Times New Roman" w:hAnsi="Times New Roman"/>
          <w:color w:val="0070C0"/>
          <w:sz w:val="16"/>
          <w:szCs w:val="16"/>
        </w:rPr>
        <w:softHyphen/>
        <w:t>ного комара, задравшего хвост и впившегося своим жалом в землю. Передняя нога казалась несоразмерно тоненькой и слабой, на рулении или после посадки так и казалось, что она сейчас подломится и самолет, встав на нос, сомнет пилотскую кабину». Действительно, просчитавшись на посадке и попав в мягкий грунт или какую-нибудь колдобину, можно было за</w:t>
      </w:r>
      <w:r w:rsidRPr="008A2E5A">
        <w:rPr>
          <w:rFonts w:ascii="Times New Roman" w:hAnsi="Times New Roman"/>
          <w:color w:val="0070C0"/>
          <w:sz w:val="16"/>
          <w:szCs w:val="16"/>
        </w:rPr>
        <w:softHyphen/>
        <w:t>просто сломать носовую стойку.</w:t>
      </w:r>
    </w:p>
    <w:p w14:paraId="65EDB6D8" w14:textId="77777777" w:rsidR="00C138F3" w:rsidRPr="008A2E5A" w:rsidRDefault="00C138F3" w:rsidP="00C138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первым на «Кобрах» начал воевать 19-й гв. иап. Он осваивал новую технику самостоятельно, получив в мае 1942 г. на аэродроме Африканда (несмотря на название, он находился в Северной Карелии) 16 «Аэрокобр» и 10 «Киттихауков». Само</w:t>
      </w:r>
      <w:r w:rsidRPr="008A2E5A">
        <w:rPr>
          <w:rFonts w:ascii="Times New Roman" w:hAnsi="Times New Roman"/>
          <w:color w:val="0070C0"/>
          <w:sz w:val="16"/>
          <w:szCs w:val="16"/>
        </w:rPr>
        <w:softHyphen/>
        <w:t>леты прибыли в разобранном виде, в ящи</w:t>
      </w:r>
      <w:r w:rsidRPr="008A2E5A">
        <w:rPr>
          <w:rFonts w:ascii="Times New Roman" w:hAnsi="Times New Roman"/>
          <w:color w:val="0070C0"/>
          <w:sz w:val="16"/>
          <w:szCs w:val="16"/>
        </w:rPr>
        <w:softHyphen/>
        <w:t>ках. Инженерно-технический состав полка сам собирал незнакомые машины, а летчики по инструкциям (на английском языке, кое-как переведенными по слова</w:t>
      </w:r>
      <w:r w:rsidRPr="008A2E5A">
        <w:rPr>
          <w:rFonts w:ascii="Times New Roman" w:hAnsi="Times New Roman"/>
          <w:color w:val="0070C0"/>
          <w:sz w:val="16"/>
          <w:szCs w:val="16"/>
        </w:rPr>
        <w:softHyphen/>
        <w:t>рям) учились их пилотировать. Первой осваивала «Кобры» 1-я эскадрилья капи</w:t>
      </w:r>
      <w:r w:rsidRPr="008A2E5A">
        <w:rPr>
          <w:rFonts w:ascii="Times New Roman" w:hAnsi="Times New Roman"/>
          <w:color w:val="0070C0"/>
          <w:sz w:val="16"/>
          <w:szCs w:val="16"/>
        </w:rPr>
        <w:softHyphen/>
        <w:t>тана П.С. Кутахова (впоследствии марша</w:t>
      </w:r>
      <w:r w:rsidRPr="008A2E5A">
        <w:rPr>
          <w:rFonts w:ascii="Times New Roman" w:hAnsi="Times New Roman"/>
          <w:color w:val="0070C0"/>
          <w:sz w:val="16"/>
          <w:szCs w:val="16"/>
        </w:rPr>
        <w:softHyphen/>
        <w:t>ла авиации). Показывая личный пример, 26 апреля П.С. Кутахов выполнил три тре</w:t>
      </w:r>
      <w:r w:rsidRPr="008A2E5A">
        <w:rPr>
          <w:rFonts w:ascii="Times New Roman" w:hAnsi="Times New Roman"/>
          <w:color w:val="0070C0"/>
          <w:sz w:val="16"/>
          <w:szCs w:val="16"/>
        </w:rPr>
        <w:softHyphen/>
        <w:t>нировочных полета.</w:t>
      </w:r>
    </w:p>
    <w:p w14:paraId="6B8C7686" w14:textId="77777777" w:rsidR="00C138F3" w:rsidRPr="008A2E5A" w:rsidRDefault="00C138F3" w:rsidP="00C138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Переучивание личного состава без еди</w:t>
      </w:r>
      <w:r w:rsidRPr="008A2E5A">
        <w:rPr>
          <w:rFonts w:ascii="Times New Roman" w:hAnsi="Times New Roman"/>
          <w:color w:val="0070C0"/>
          <w:sz w:val="16"/>
          <w:szCs w:val="16"/>
        </w:rPr>
        <w:softHyphen/>
        <w:t>ной аварии завершилось к 15 мая. В этот день «Кобры» совершили первый боевой вылет с аэродрома «Шонгуй», причем сразу же столкнулись с немецкими ис</w:t>
      </w:r>
      <w:r w:rsidRPr="008A2E5A">
        <w:rPr>
          <w:rFonts w:ascii="Times New Roman" w:hAnsi="Times New Roman"/>
          <w:color w:val="0070C0"/>
          <w:sz w:val="16"/>
          <w:szCs w:val="16"/>
        </w:rPr>
        <w:softHyphen/>
        <w:t>требителями. Обе стороны потерь тогда не имели. Зато на следующий день в бою с восемью «мессершмиттами» получил по</w:t>
      </w:r>
      <w:r w:rsidRPr="008A2E5A">
        <w:rPr>
          <w:rFonts w:ascii="Times New Roman" w:hAnsi="Times New Roman"/>
          <w:color w:val="0070C0"/>
          <w:sz w:val="16"/>
          <w:szCs w:val="16"/>
        </w:rPr>
        <w:softHyphen/>
        <w:t>вреждения самолет старшего лейтенанта И.Д. Гайдаенко. При вынужденной посад</w:t>
      </w:r>
      <w:r w:rsidRPr="008A2E5A">
        <w:rPr>
          <w:rFonts w:ascii="Times New Roman" w:hAnsi="Times New Roman"/>
          <w:color w:val="0070C0"/>
          <w:sz w:val="16"/>
          <w:szCs w:val="16"/>
        </w:rPr>
        <w:softHyphen/>
        <w:t>ке машина была разбита и списана; летчик остался жив. Это первая «Аэрокобра», по</w:t>
      </w:r>
      <w:r w:rsidRPr="008A2E5A">
        <w:rPr>
          <w:rFonts w:ascii="Times New Roman" w:hAnsi="Times New Roman"/>
          <w:color w:val="0070C0"/>
          <w:sz w:val="16"/>
          <w:szCs w:val="16"/>
        </w:rPr>
        <w:softHyphen/>
        <w:t>терянная на советско-германском фронте (23513).</w:t>
      </w:r>
    </w:p>
    <w:p w14:paraId="06ABEEC4" w14:textId="77777777" w:rsidR="00C138F3" w:rsidRPr="008A2E5A" w:rsidRDefault="00C138F3" w:rsidP="00C138F3">
      <w:pPr>
        <w:spacing w:after="0" w:line="240" w:lineRule="auto"/>
        <w:jc w:val="both"/>
        <w:rPr>
          <w:rFonts w:ascii="Times New Roman" w:hAnsi="Times New Roman"/>
          <w:color w:val="0070C0"/>
          <w:sz w:val="16"/>
          <w:szCs w:val="16"/>
        </w:rPr>
      </w:pPr>
    </w:p>
    <w:p w14:paraId="47CAFE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25 марта 1942 года согласно письму Главного инженера ВВС генерала И.Ф.Петрова, направленного по поручению Военного Совета Председателю ГКО (Государственного Комитета Обороны) И.В.Сталину, в частности, отмечалось, что на фронте и в ПВО страны имелось 36,7% неисправных самолетов. Всеми видами ремонта по ВВС восстанавливалось в месяц в среднем 5500-6000 самолетов и 2500-3000 моторов. Одновременно с этим поступало в ремонт в месяц до 5500-6000 самолетов и 3500-4000 моторов. В результате неисправные самолеты и моторы в количестве 4500 самолетов и 7500-8000 моторов переходили из месяца в месяц </w:t>
      </w:r>
      <w:proofErr w:type="gramStart"/>
      <w:r w:rsidRPr="008127F8">
        <w:rPr>
          <w:rFonts w:ascii="Times New Roman" w:hAnsi="Times New Roman"/>
          <w:color w:val="000000" w:themeColor="text1"/>
          <w:sz w:val="16"/>
          <w:szCs w:val="16"/>
        </w:rPr>
        <w:t>и по существу</w:t>
      </w:r>
      <w:proofErr w:type="gramEnd"/>
      <w:r w:rsidRPr="008127F8">
        <w:rPr>
          <w:rFonts w:ascii="Times New Roman" w:hAnsi="Times New Roman"/>
          <w:color w:val="000000" w:themeColor="text1"/>
          <w:sz w:val="16"/>
          <w:szCs w:val="16"/>
        </w:rPr>
        <w:t xml:space="preserve"> в боевых действиях не участвовали (3573).</w:t>
      </w:r>
    </w:p>
    <w:p w14:paraId="519C99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66D2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вышло ПРИКАЗАНИЕ ГШ ВОЕННЫМ СОВЕТАМ ФРОНТОВ И АРМИЙ, НАЧАЛЬНИКАМ ГЛАВНЫХ И ЦЕНТРАЛЬНЫХ УПРАВЛЕНИЙ НАРОДНОГО КОМИССАРИАТА ОБОРОНЫ О ПОДГОТОВКЕ К ВЕСНЕ</w:t>
      </w:r>
    </w:p>
    <w:p w14:paraId="1486050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своевременные указания о подготовке к весне и весенней распутице, фронтами и центральными управлениями НКО сделано еще очень мало, хотя до наступления распутицы оста</w:t>
      </w:r>
      <w:r w:rsidRPr="008127F8">
        <w:rPr>
          <w:rFonts w:ascii="Times New Roman" w:hAnsi="Times New Roman"/>
          <w:color w:val="000000" w:themeColor="text1"/>
          <w:sz w:val="16"/>
          <w:szCs w:val="16"/>
        </w:rPr>
        <w:softHyphen/>
        <w:t>лись буквально считанные дни.</w:t>
      </w:r>
    </w:p>
    <w:p w14:paraId="747B964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Главнейшими недостатками в подготовке к весне являются:</w:t>
      </w:r>
    </w:p>
    <w:p w14:paraId="4440756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До сего времени еще не всеми военными советами фронтов рассмотрены и утверждены пла</w:t>
      </w:r>
      <w:r w:rsidRPr="008127F8">
        <w:rPr>
          <w:rFonts w:ascii="Times New Roman" w:hAnsi="Times New Roman"/>
          <w:color w:val="000000" w:themeColor="text1"/>
          <w:sz w:val="16"/>
          <w:szCs w:val="16"/>
        </w:rPr>
        <w:softHyphen/>
        <w:t>ны мероприятий к весне.</w:t>
      </w:r>
    </w:p>
    <w:p w14:paraId="77E60F2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Спущенные директивы войскам, армиям и службам не всегда конкретны и не отражают всего не</w:t>
      </w:r>
      <w:r w:rsidRPr="008127F8">
        <w:rPr>
          <w:rFonts w:ascii="Times New Roman" w:hAnsi="Times New Roman"/>
          <w:color w:val="000000" w:themeColor="text1"/>
          <w:sz w:val="16"/>
          <w:szCs w:val="16"/>
        </w:rPr>
        <w:softHyphen/>
        <w:t>обходимого комплекса мероприятий по таким службам, как артиллерийская, АБТ, связи, химическая.</w:t>
      </w:r>
    </w:p>
    <w:p w14:paraId="4FDFE6E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Контроль со стороны военных советов фронтов и армий и центральных управлений НКО за соответствующими службами не налажен, а практическая помощь местами со стороны центральных управлений, кроме ГИУ, недостаточна.</w:t>
      </w:r>
    </w:p>
    <w:p w14:paraId="5BA99A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Ремонт боевой техники, автотранспорта и колесного обоза проходит медленно. Местные про</w:t>
      </w:r>
      <w:r w:rsidRPr="008127F8">
        <w:rPr>
          <w:rFonts w:ascii="Times New Roman" w:hAnsi="Times New Roman"/>
          <w:color w:val="000000" w:themeColor="text1"/>
          <w:sz w:val="16"/>
          <w:szCs w:val="16"/>
        </w:rPr>
        <w:softHyphen/>
        <w:t>изводственные мастерские в полной мере не используются.</w:t>
      </w:r>
    </w:p>
    <w:p w14:paraId="14A2EDD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Снабжение фронтов запасными частями, резиной, баббитом и другими материалами для ремон</w:t>
      </w:r>
      <w:r w:rsidRPr="008127F8">
        <w:rPr>
          <w:rFonts w:ascii="Times New Roman" w:hAnsi="Times New Roman"/>
          <w:color w:val="000000" w:themeColor="text1"/>
          <w:sz w:val="16"/>
          <w:szCs w:val="16"/>
        </w:rPr>
        <w:softHyphen/>
        <w:t>та идет неудовлетворительно. На 15.3.1942 г. количество отремонтированного колесного обоза соста</w:t>
      </w:r>
      <w:r w:rsidRPr="008127F8">
        <w:rPr>
          <w:rFonts w:ascii="Times New Roman" w:hAnsi="Times New Roman"/>
          <w:color w:val="000000" w:themeColor="text1"/>
          <w:sz w:val="16"/>
          <w:szCs w:val="16"/>
        </w:rPr>
        <w:softHyphen/>
        <w:t>вляет 50-70%, а по Крымскому фронту - лишь 25% к плану.</w:t>
      </w:r>
    </w:p>
    <w:p w14:paraId="498AA05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Некоторые гужбаты не имеют колесного обоза вследствие оставления его в пунктах форми</w:t>
      </w:r>
      <w:r w:rsidRPr="008127F8">
        <w:rPr>
          <w:rFonts w:ascii="Times New Roman" w:hAnsi="Times New Roman"/>
          <w:color w:val="000000" w:themeColor="text1"/>
          <w:sz w:val="16"/>
          <w:szCs w:val="16"/>
        </w:rPr>
        <w:softHyphen/>
        <w:t>рования и, несмотря на ряд требований центра о представлении заявок на перевозку, заинтересо</w:t>
      </w:r>
      <w:r w:rsidRPr="008127F8">
        <w:rPr>
          <w:rFonts w:ascii="Times New Roman" w:hAnsi="Times New Roman"/>
          <w:color w:val="000000" w:themeColor="text1"/>
          <w:sz w:val="16"/>
          <w:szCs w:val="16"/>
        </w:rPr>
        <w:softHyphen/>
        <w:t>ванные фронты до сего времени их не представили или представили не полностью.</w:t>
      </w:r>
    </w:p>
    <w:p w14:paraId="663586D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 войсковом и армейском тылу находится большое количество раненых и больных, эвакуация которых во фронтовой и глубокий тыл проходит очень медленно.</w:t>
      </w:r>
    </w:p>
    <w:p w14:paraId="2E82B528"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7) Строительство дорог, мостов и переправ, заготовка строительного материала - леса, песка, щебня и т.д. и вывоз их санным путем к объектам работ отстают от намеченных планами сроков.</w:t>
      </w:r>
    </w:p>
    <w:p w14:paraId="676C8B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Имеющиеся для этого средства и возможности используются фронтами не в полной мере.</w:t>
      </w:r>
    </w:p>
    <w:p w14:paraId="4A255BA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Использование рек, озер и каналов для подвоза и эвакуации в планах не отражено, так как, по-видимому, фронтами недооценивается.</w:t>
      </w:r>
    </w:p>
    <w:p w14:paraId="1638EE2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Накопление запасов боеприпасов, горючего и продфуража на период распутицы в войсках, на грунте и армейских базах протекает явно неудовлетворительно.</w:t>
      </w:r>
    </w:p>
    <w:p w14:paraId="21143C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Решения правительства не выполнены, запасы не созданы. Имеющиеся незначительные запасы продфуража во фронтах, вследствие недостаточного подвоза, расходуются на текущее довольствие, питание автобензином во многих фронтах происходит буквально с колес.</w:t>
      </w:r>
    </w:p>
    <w:p w14:paraId="2053BD8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обеспечено также накопление запасов продовольствия, горючего и боеприпасов для Ленин</w:t>
      </w:r>
      <w:r w:rsidRPr="008127F8">
        <w:rPr>
          <w:rFonts w:ascii="Times New Roman" w:hAnsi="Times New Roman"/>
          <w:color w:val="000000" w:themeColor="text1"/>
          <w:sz w:val="16"/>
          <w:szCs w:val="16"/>
        </w:rPr>
        <w:softHyphen/>
        <w:t>града. Зимняя автодорога и работающий на ней автотранспорт используются из-за плохого подхода грузов по железной дороге далеко не достаточно.</w:t>
      </w:r>
    </w:p>
    <w:p w14:paraId="479A50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Должного внимания уходу за конем не уделяется. Падеж лошадей продолжается, главным образом, по причине безобразно преступного ухода и несвоевременного подвоза продфуража. Необходимо:</w:t>
      </w:r>
    </w:p>
    <w:p w14:paraId="061455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Срочно рассмотреть и утвердить планы подготовки к весне.</w:t>
      </w:r>
    </w:p>
    <w:p w14:paraId="551A68B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жесткий контроль и проверку выполнения планов и директив и оказать практиче</w:t>
      </w:r>
      <w:r w:rsidRPr="008127F8">
        <w:rPr>
          <w:rFonts w:ascii="Times New Roman" w:hAnsi="Times New Roman"/>
          <w:color w:val="000000" w:themeColor="text1"/>
          <w:sz w:val="16"/>
          <w:szCs w:val="16"/>
        </w:rPr>
        <w:softHyphen/>
        <w:t>скую помощь на местах.</w:t>
      </w:r>
    </w:p>
    <w:p w14:paraId="7130B96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Систематически заслушивать на военных советах доклады начальников тыла армий и фрон</w:t>
      </w:r>
      <w:r w:rsidRPr="008127F8">
        <w:rPr>
          <w:rFonts w:ascii="Times New Roman" w:hAnsi="Times New Roman"/>
          <w:color w:val="000000" w:themeColor="text1"/>
          <w:sz w:val="16"/>
          <w:szCs w:val="16"/>
        </w:rPr>
        <w:softHyphen/>
        <w:t>тов, начальников служб и отдельных исполнителей.</w:t>
      </w:r>
    </w:p>
    <w:p w14:paraId="7544AA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Обратить основные силы и средства на строительство и восстановление грунтовых дорог, мос</w:t>
      </w:r>
      <w:r w:rsidRPr="008127F8">
        <w:rPr>
          <w:rFonts w:ascii="Times New Roman" w:hAnsi="Times New Roman"/>
          <w:color w:val="000000" w:themeColor="text1"/>
          <w:sz w:val="16"/>
          <w:szCs w:val="16"/>
        </w:rPr>
        <w:softHyphen/>
        <w:t>тов и переправ; ремонт боевой техники, автотранспорта, колесного обоза, амуниции и обуви; эваку</w:t>
      </w:r>
      <w:r w:rsidRPr="008127F8">
        <w:rPr>
          <w:rFonts w:ascii="Times New Roman" w:hAnsi="Times New Roman"/>
          <w:color w:val="000000" w:themeColor="text1"/>
          <w:sz w:val="16"/>
          <w:szCs w:val="16"/>
        </w:rPr>
        <w:softHyphen/>
        <w:t>ацию раненых и больных до начала распутицы из войскового и армейского районов и создание в этих районах повышенного запаса медико-санитарного имущества; очистку тылового района от тру</w:t>
      </w:r>
      <w:r w:rsidRPr="008127F8">
        <w:rPr>
          <w:rFonts w:ascii="Times New Roman" w:hAnsi="Times New Roman"/>
          <w:color w:val="000000" w:themeColor="text1"/>
          <w:sz w:val="16"/>
          <w:szCs w:val="16"/>
        </w:rPr>
        <w:softHyphen/>
        <w:t>пов; на эвакуацию в глубокий тыл всего негодного и ненужного, обременяющего маневренные дей</w:t>
      </w:r>
      <w:r w:rsidRPr="008127F8">
        <w:rPr>
          <w:rFonts w:ascii="Times New Roman" w:hAnsi="Times New Roman"/>
          <w:color w:val="000000" w:themeColor="text1"/>
          <w:sz w:val="16"/>
          <w:szCs w:val="16"/>
        </w:rPr>
        <w:softHyphen/>
        <w:t>ствия войск, имущества, в том числе обнаруженного после таяния снега. Особые усилия должны быть направлены на накопление во фронтах установленных запасов боеприпасов, горючего, продфу</w:t>
      </w:r>
      <w:r w:rsidRPr="008127F8">
        <w:rPr>
          <w:rFonts w:ascii="Times New Roman" w:hAnsi="Times New Roman"/>
          <w:color w:val="000000" w:themeColor="text1"/>
          <w:sz w:val="16"/>
          <w:szCs w:val="16"/>
        </w:rPr>
        <w:softHyphen/>
        <w:t>ража, инженерного имущества и на приближение их к войскам, в первую очередь к частям, находя</w:t>
      </w:r>
      <w:r w:rsidRPr="008127F8">
        <w:rPr>
          <w:rFonts w:ascii="Times New Roman" w:hAnsi="Times New Roman"/>
          <w:color w:val="000000" w:themeColor="text1"/>
          <w:sz w:val="16"/>
          <w:szCs w:val="16"/>
        </w:rPr>
        <w:softHyphen/>
        <w:t>щимся в наибольшем отрыве от баз снабжения или за речными преградами.</w:t>
      </w:r>
    </w:p>
    <w:p w14:paraId="6642A9B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ходе выполнения намеченных мероприятий и отданных распоряжениях доносить в Генераль</w:t>
      </w:r>
      <w:r w:rsidRPr="008127F8">
        <w:rPr>
          <w:rFonts w:ascii="Times New Roman" w:hAnsi="Times New Roman"/>
          <w:color w:val="000000" w:themeColor="text1"/>
          <w:sz w:val="16"/>
          <w:szCs w:val="16"/>
        </w:rPr>
        <w:softHyphen/>
        <w:t>ный штаб один раз в пятидневку.</w:t>
      </w:r>
    </w:p>
    <w:p w14:paraId="2675B2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Получение подтвердить.</w:t>
      </w:r>
    </w:p>
    <w:p w14:paraId="0C3CEED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Шапошников</w:t>
      </w:r>
    </w:p>
    <w:p w14:paraId="18A2D46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Боков</w:t>
      </w:r>
    </w:p>
    <w:p w14:paraId="39BBD67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Шимонаев</w:t>
      </w:r>
    </w:p>
    <w:p w14:paraId="761EE1D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48а. Оп. 3408. Д. 99. Л. 57—60. Подлинник (11211).</w:t>
      </w:r>
    </w:p>
    <w:p w14:paraId="19CB4D8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68F1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Постановление ГКО № 1490 О прекращении с 1 апреля 1942 года выдачи шинелей рядовому и младшему начсоставу тыловых частей, учреждений и отдельным категориям военнослужащих и переводе их на снабжение ватными куртками. РГАНИР, Фонд ГКО, д. 25, лл. 66, 67 (11012).</w:t>
      </w:r>
    </w:p>
    <w:p w14:paraId="7FF854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37C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Постановление ГКО № 1491 О частичном и временном сокращении норм выдачи овощей и картофеля по ДВФ, СталВО, СКВО, ЗакВО, САВО и ЗабВО. РГАНИР, Фонд ГКО, д. 25, лл. 68 (11012).</w:t>
      </w:r>
    </w:p>
    <w:p w14:paraId="0A978E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58F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Постановление ГКО № 1492 О порядке расходования вещевого имущества в Красной Армии на военное время. РГАНИР, Фонд ГКО, д. 25, лл. 69-71 (11012).</w:t>
      </w:r>
    </w:p>
    <w:p w14:paraId="4EB0EC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E72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марта 1942 вышло Постановление ГКО О № 1493 создании гуртов крупного и мелкого рогатого скота для снабжения действующей армии в весенне-летний период </w:t>
      </w:r>
      <w:proofErr w:type="gramStart"/>
      <w:r w:rsidRPr="008127F8">
        <w:rPr>
          <w:rFonts w:ascii="Times New Roman" w:hAnsi="Times New Roman"/>
          <w:color w:val="000000" w:themeColor="text1"/>
          <w:sz w:val="16"/>
          <w:szCs w:val="16"/>
        </w:rPr>
        <w:t>( апрель</w:t>
      </w:r>
      <w:proofErr w:type="gramEnd"/>
      <w:r w:rsidRPr="008127F8">
        <w:rPr>
          <w:rFonts w:ascii="Times New Roman" w:hAnsi="Times New Roman"/>
          <w:color w:val="000000" w:themeColor="text1"/>
          <w:sz w:val="16"/>
          <w:szCs w:val="16"/>
        </w:rPr>
        <w:t>-сентябрь 1942 г.). РГАНИР, Фонд ГКО, д. 25, лл. 72-73, 74-78 (11012).</w:t>
      </w:r>
    </w:p>
    <w:p w14:paraId="4C2A62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1A3A3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638E0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00940E"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Из дневника врача Е. Сахаровой: "Дома Москвы не отапливаются, во многих, как по сговору, заморожена вся водяная и канализационная сеть. В квартирах от 0 до 10 градусов. Дворы московские загрязнены до крайности. Что будет делаться весной, представить себе трудно... Наши больные неохотно уходят из поликлиники, греются в ней, а, кроме того, многие из соседних домов просто приходят и садятся у батарей и греются. Жаль их ужасно. Врачей в поликлинике у нас осталось мало, и то большинство инвалиды. Начали оставаться на другой день не обслуженными вызовы -по 20-30. Были случаи, когда наши больные умирали, не дождавшись посещения врача. Старики умирают за последнее время в большом количестве. Ждут похорон 5-7 дней, так как задержка с гробами" (18696).</w:t>
      </w:r>
    </w:p>
    <w:p w14:paraId="143CA086" w14:textId="77777777" w:rsidR="002B04C7" w:rsidRPr="008127F8" w:rsidRDefault="002B04C7" w:rsidP="001E0A84">
      <w:pPr>
        <w:spacing w:after="0" w:line="240" w:lineRule="auto"/>
        <w:jc w:val="both"/>
        <w:rPr>
          <w:rFonts w:ascii="Times New Roman" w:hAnsi="Times New Roman"/>
          <w:color w:val="000000" w:themeColor="text1"/>
          <w:sz w:val="16"/>
          <w:szCs w:val="16"/>
        </w:rPr>
      </w:pPr>
    </w:p>
    <w:p w14:paraId="74E6FA6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Постановление ГКО № 1488 О мобилизации девушек-комсомолок в части ПВО. Д.25, 63-64).</w:t>
      </w:r>
    </w:p>
    <w:p w14:paraId="5C2278A5"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B49C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русский композитор Сергей Рахманинов отправил в фонд Красной Армии выручку от своих концертов в Америке (4962).</w:t>
      </w:r>
    </w:p>
    <w:p w14:paraId="61C9359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1A092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24DEA7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1089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была подготовлена СПРАВКА АТУ ГАБТУ КА О ПОСТУПЛЕНИИ ИМПОРТНЫХ МАШИН ЧЕРЕЗ ИРАН</w:t>
      </w:r>
    </w:p>
    <w:p w14:paraId="4A42E7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Ответственным представителем ГАБТУ КА в Иране по приемке от англичан, перегону и от</w:t>
      </w:r>
      <w:r w:rsidRPr="008127F8">
        <w:rPr>
          <w:rFonts w:ascii="Times New Roman" w:hAnsi="Times New Roman"/>
          <w:color w:val="000000" w:themeColor="text1"/>
          <w:sz w:val="16"/>
          <w:szCs w:val="16"/>
        </w:rPr>
        <w:softHyphen/>
        <w:t>правке автомашин по железной дороге в Советский Союз является начальник отдела военной при</w:t>
      </w:r>
      <w:r w:rsidRPr="008127F8">
        <w:rPr>
          <w:rFonts w:ascii="Times New Roman" w:hAnsi="Times New Roman"/>
          <w:color w:val="000000" w:themeColor="text1"/>
          <w:sz w:val="16"/>
          <w:szCs w:val="16"/>
        </w:rPr>
        <w:softHyphen/>
        <w:t>емки иностранных машин в Иране — военинженер 2 ранга т. Чурин.</w:t>
      </w:r>
    </w:p>
    <w:p w14:paraId="03C10C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Военинженер 2 ранга т. Чурин и его 2 помощника — военинженер 2 ранга Иванов и воентехник 1 ранга Пирогов выехали из Москвы 11 февраля и прибыли в Тегеран 25 февраля 1942 года.</w:t>
      </w:r>
    </w:p>
    <w:p w14:paraId="200BAE0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Примечание: для отдела военной приемки утвержден штат, который дан приложением к справке.</w:t>
      </w:r>
    </w:p>
    <w:p w14:paraId="7B211C5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Южные порты Ирана, по данным Наркомвнешторга на 1 марта 1942 года.</w:t>
      </w:r>
    </w:p>
    <w:p w14:paraId="4048F3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Прибыло машин</w:t>
      </w:r>
    </w:p>
    <w:tbl>
      <w:tblPr>
        <w:tblW w:w="0" w:type="auto"/>
        <w:tblInd w:w="40" w:type="dxa"/>
        <w:tblLayout w:type="fixed"/>
        <w:tblCellMar>
          <w:left w:w="40" w:type="dxa"/>
          <w:right w:w="40" w:type="dxa"/>
        </w:tblCellMar>
        <w:tblLook w:val="0000" w:firstRow="0" w:lastRow="0" w:firstColumn="0" w:lastColumn="0" w:noHBand="0" w:noVBand="0"/>
      </w:tblPr>
      <w:tblGrid>
        <w:gridCol w:w="422"/>
        <w:gridCol w:w="4771"/>
        <w:gridCol w:w="1690"/>
        <w:gridCol w:w="1478"/>
      </w:tblGrid>
      <w:tr w:rsidR="006F4095" w:rsidRPr="008127F8" w14:paraId="05D56D9C" w14:textId="77777777">
        <w:trPr>
          <w:trHeight w:val="394"/>
        </w:trPr>
        <w:tc>
          <w:tcPr>
            <w:tcW w:w="422" w:type="dxa"/>
            <w:tcBorders>
              <w:top w:val="single" w:sz="6" w:space="0" w:color="auto"/>
              <w:left w:val="single" w:sz="6" w:space="0" w:color="auto"/>
              <w:bottom w:val="single" w:sz="6" w:space="0" w:color="auto"/>
              <w:right w:val="single" w:sz="6" w:space="0" w:color="auto"/>
            </w:tcBorders>
          </w:tcPr>
          <w:p w14:paraId="49B22A7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3144DE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4CFD90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машины</w:t>
            </w:r>
          </w:p>
          <w:p w14:paraId="36AF9C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A152C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Грузоподъемность в тоннах</w:t>
            </w:r>
          </w:p>
          <w:p w14:paraId="694CB69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F052BC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w:t>
            </w:r>
          </w:p>
          <w:p w14:paraId="446C32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01402C" w14:textId="77777777">
        <w:trPr>
          <w:trHeight w:val="566"/>
        </w:trPr>
        <w:tc>
          <w:tcPr>
            <w:tcW w:w="422" w:type="dxa"/>
            <w:tcBorders>
              <w:top w:val="single" w:sz="6" w:space="0" w:color="auto"/>
              <w:left w:val="single" w:sz="6" w:space="0" w:color="auto"/>
              <w:bottom w:val="single" w:sz="6" w:space="0" w:color="auto"/>
              <w:right w:val="single" w:sz="6" w:space="0" w:color="auto"/>
            </w:tcBorders>
          </w:tcPr>
          <w:p w14:paraId="67DAC04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1. 2. 3.</w:t>
            </w:r>
          </w:p>
          <w:p w14:paraId="4E0E5B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17D907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«Студебекер» 3-осный с 3-мя ведущими осями «Форд 2-осный с 1-й ведущей осью «Додж» 2-осный с 1-й ведущей осью</w:t>
            </w:r>
          </w:p>
          <w:p w14:paraId="7C0E310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77C7BD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2,5 1,5 1,5</w:t>
            </w:r>
          </w:p>
          <w:p w14:paraId="0DA6CE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4BF8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382 506 792</w:t>
            </w:r>
          </w:p>
          <w:p w14:paraId="24792E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3082D8" w14:textId="77777777">
        <w:trPr>
          <w:trHeight w:val="211"/>
        </w:trPr>
        <w:tc>
          <w:tcPr>
            <w:tcW w:w="6883" w:type="dxa"/>
            <w:gridSpan w:val="3"/>
            <w:tcBorders>
              <w:top w:val="single" w:sz="6" w:space="0" w:color="auto"/>
              <w:left w:val="single" w:sz="6" w:space="0" w:color="auto"/>
              <w:bottom w:val="single" w:sz="6" w:space="0" w:color="auto"/>
              <w:right w:val="single" w:sz="6" w:space="0" w:color="auto"/>
            </w:tcBorders>
          </w:tcPr>
          <w:p w14:paraId="4307CC3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1D318F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1668C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1680</w:t>
            </w:r>
          </w:p>
          <w:p w14:paraId="2617D41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F1888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Находится в пути</w:t>
      </w:r>
    </w:p>
    <w:tbl>
      <w:tblPr>
        <w:tblW w:w="0" w:type="auto"/>
        <w:tblInd w:w="40" w:type="dxa"/>
        <w:tblLayout w:type="fixed"/>
        <w:tblCellMar>
          <w:left w:w="40" w:type="dxa"/>
          <w:right w:w="40" w:type="dxa"/>
        </w:tblCellMar>
        <w:tblLook w:val="0000" w:firstRow="0" w:lastRow="0" w:firstColumn="0" w:lastColumn="0" w:noHBand="0" w:noVBand="0"/>
      </w:tblPr>
      <w:tblGrid>
        <w:gridCol w:w="422"/>
        <w:gridCol w:w="4771"/>
        <w:gridCol w:w="1690"/>
        <w:gridCol w:w="1469"/>
      </w:tblGrid>
      <w:tr w:rsidR="006F4095" w:rsidRPr="008127F8" w14:paraId="4F947917" w14:textId="77777777">
        <w:trPr>
          <w:trHeight w:val="394"/>
        </w:trPr>
        <w:tc>
          <w:tcPr>
            <w:tcW w:w="422" w:type="dxa"/>
            <w:tcBorders>
              <w:top w:val="single" w:sz="6" w:space="0" w:color="auto"/>
              <w:left w:val="single" w:sz="6" w:space="0" w:color="auto"/>
              <w:bottom w:val="single" w:sz="6" w:space="0" w:color="auto"/>
              <w:right w:val="single" w:sz="6" w:space="0" w:color="auto"/>
            </w:tcBorders>
          </w:tcPr>
          <w:p w14:paraId="3B360C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385656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4F8F6E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машины</w:t>
            </w:r>
          </w:p>
          <w:p w14:paraId="4C98387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6BA944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Грузоподъемность в тоннах</w:t>
            </w:r>
          </w:p>
          <w:p w14:paraId="3ED7555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65F1B38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Количество</w:t>
            </w:r>
          </w:p>
          <w:p w14:paraId="048078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396C6C" w14:textId="77777777">
        <w:trPr>
          <w:trHeight w:val="739"/>
        </w:trPr>
        <w:tc>
          <w:tcPr>
            <w:tcW w:w="422" w:type="dxa"/>
            <w:tcBorders>
              <w:top w:val="single" w:sz="6" w:space="0" w:color="auto"/>
              <w:left w:val="single" w:sz="6" w:space="0" w:color="auto"/>
              <w:bottom w:val="single" w:sz="6" w:space="0" w:color="auto"/>
              <w:right w:val="single" w:sz="6" w:space="0" w:color="auto"/>
            </w:tcBorders>
          </w:tcPr>
          <w:p w14:paraId="0DF6540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1. 2. 3. 4.</w:t>
            </w:r>
          </w:p>
          <w:p w14:paraId="3E016C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57A779B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«Студебекер» 3-осный с 3-мя ведущими осями «Форд» 2-осный с 1 -и ведущей осью «Додж» 2-осный с 1-й ведущей осью «Шевроле» 2-осный с 1-й ведущей осью</w:t>
            </w:r>
          </w:p>
          <w:p w14:paraId="4EF4347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98DD02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p w14:paraId="2076A1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1,5 1,5 1,5</w:t>
            </w:r>
          </w:p>
          <w:p w14:paraId="022A6CE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0A080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52 690 430 200</w:t>
            </w:r>
          </w:p>
          <w:p w14:paraId="1863442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1C2B5F" w14:textId="77777777">
        <w:trPr>
          <w:trHeight w:val="211"/>
        </w:trPr>
        <w:tc>
          <w:tcPr>
            <w:tcW w:w="6883" w:type="dxa"/>
            <w:gridSpan w:val="3"/>
            <w:tcBorders>
              <w:top w:val="single" w:sz="6" w:space="0" w:color="auto"/>
              <w:left w:val="single" w:sz="6" w:space="0" w:color="auto"/>
              <w:bottom w:val="single" w:sz="6" w:space="0" w:color="auto"/>
              <w:right w:val="single" w:sz="6" w:space="0" w:color="auto"/>
            </w:tcBorders>
          </w:tcPr>
          <w:p w14:paraId="3D013B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73484C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7B136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1372</w:t>
            </w:r>
          </w:p>
          <w:p w14:paraId="247A124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5B8C5D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сообщению Британской Военной миссии в Москве все автомашины в полуразобранном виде будут прибывать в Иранский порт «Бендер-Шахпур», откуда по железной дороге доставляться в Дизфуль (Андимешки).</w:t>
      </w:r>
    </w:p>
    <w:p w14:paraId="3C8A72F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Андимешки будут работать 2 американские сборочные мастерские, причем общая пропускная способность мастерских будет доведена до 2000 машин в месяц.</w:t>
      </w:r>
    </w:p>
    <w:p w14:paraId="266A425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ввиду того, что мастерские в Андимешки еще не готовы — некоторое коли</w:t>
      </w:r>
      <w:r w:rsidRPr="008127F8">
        <w:rPr>
          <w:rFonts w:ascii="Times New Roman" w:hAnsi="Times New Roman"/>
          <w:color w:val="000000" w:themeColor="text1"/>
          <w:sz w:val="16"/>
          <w:szCs w:val="16"/>
        </w:rPr>
        <w:softHyphen/>
        <w:t>чество машин будет собрано в Бушире.</w:t>
      </w:r>
    </w:p>
    <w:p w14:paraId="55806C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донесению торгпреда в Иране т. Мигунова и т. Чурина от 25.2.1942 г. в Бушир прибыло 1209 машин, из которых на 19 февраля собрано 445.</w:t>
      </w:r>
    </w:p>
    <w:p w14:paraId="3ADCF88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том же донесении т. Чурина указывается, что приемка машин от англичан уполномоченным НКВТ и представителем ГАБТУ будет производиться в Тегеране, куда машины будут доставляться своим ходом англичанами.</w:t>
      </w:r>
    </w:p>
    <w:p w14:paraId="4A38481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Трасса перегона машин англичанами — Бушир — Тегеран, при сборке их в Буши-ре и трасса перегона машин Андимешки — Тегеран при сборке их в Андимешки показаны на схеме в приложении.</w:t>
      </w:r>
    </w:p>
    <w:p w14:paraId="6C3342E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Принятые нами машины будут перегоняться самоходом по трассе Тегеран — Джульфа. Со станции Джульфа будет происходить погрузка автомашин на железнодорожный транспорт для отправки в Советский Союз.</w:t>
      </w:r>
    </w:p>
    <w:p w14:paraId="059B2F0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Обслуживание трасс Бушир — Тегеран и Андимешки — Тегеран передано по договору англи</w:t>
      </w:r>
      <w:r w:rsidRPr="008127F8">
        <w:rPr>
          <w:rFonts w:ascii="Times New Roman" w:hAnsi="Times New Roman"/>
          <w:color w:val="000000" w:themeColor="text1"/>
          <w:sz w:val="16"/>
          <w:szCs w:val="16"/>
        </w:rPr>
        <w:softHyphen/>
        <w:t>чанам.</w:t>
      </w:r>
    </w:p>
    <w:p w14:paraId="2D67EA8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Трасса Тегеран — Джульфа обслуживается нами, причем заправочные пункты расположены в Казвин, Зенджан, Мианэдж, Тавриз и Джульфа.</w:t>
      </w:r>
    </w:p>
    <w:p w14:paraId="069DCFE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Перегон машин на нашей трассе осуществляется 842 батальоном, выделенным из состава 18 учебного автополка.</w:t>
      </w:r>
    </w:p>
    <w:p w14:paraId="6F3CCE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Прием, хранение, отправка машин и укомплектование их водителями в Джульфе возложено на 18 полк.</w:t>
      </w:r>
    </w:p>
    <w:p w14:paraId="0AC9A2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Поступившие в Иран 1209 машины распределены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355"/>
        <w:gridCol w:w="6019"/>
        <w:gridCol w:w="1382"/>
        <w:gridCol w:w="1296"/>
      </w:tblGrid>
      <w:tr w:rsidR="006F4095" w:rsidRPr="008127F8" w14:paraId="0C659869" w14:textId="77777777">
        <w:trPr>
          <w:trHeight w:val="211"/>
        </w:trPr>
        <w:tc>
          <w:tcPr>
            <w:tcW w:w="355" w:type="dxa"/>
            <w:tcBorders>
              <w:top w:val="single" w:sz="6" w:space="0" w:color="auto"/>
              <w:left w:val="single" w:sz="6" w:space="0" w:color="auto"/>
              <w:bottom w:val="single" w:sz="6" w:space="0" w:color="auto"/>
              <w:right w:val="single" w:sz="6" w:space="0" w:color="auto"/>
            </w:tcBorders>
          </w:tcPr>
          <w:p w14:paraId="7466C2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54BCD0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9" w:type="dxa"/>
            <w:tcBorders>
              <w:top w:val="single" w:sz="6" w:space="0" w:color="auto"/>
              <w:left w:val="single" w:sz="6" w:space="0" w:color="auto"/>
              <w:bottom w:val="single" w:sz="6" w:space="0" w:color="auto"/>
              <w:right w:val="single" w:sz="6" w:space="0" w:color="auto"/>
            </w:tcBorders>
          </w:tcPr>
          <w:p w14:paraId="680438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Назначение машин</w:t>
            </w:r>
          </w:p>
          <w:p w14:paraId="04EB81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9E011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машин</w:t>
            </w:r>
          </w:p>
          <w:p w14:paraId="0410499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FE4F1D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w:t>
            </w:r>
          </w:p>
          <w:p w14:paraId="0D1F7F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341871" w14:textId="77777777">
        <w:trPr>
          <w:trHeight w:val="566"/>
        </w:trPr>
        <w:tc>
          <w:tcPr>
            <w:tcW w:w="355" w:type="dxa"/>
            <w:tcBorders>
              <w:top w:val="single" w:sz="6" w:space="0" w:color="auto"/>
              <w:left w:val="single" w:sz="6" w:space="0" w:color="auto"/>
              <w:bottom w:val="single" w:sz="6" w:space="0" w:color="auto"/>
              <w:right w:val="single" w:sz="6" w:space="0" w:color="auto"/>
            </w:tcBorders>
          </w:tcPr>
          <w:p w14:paraId="3094992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1. 2. 3.</w:t>
            </w:r>
          </w:p>
          <w:p w14:paraId="4FC489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9" w:type="dxa"/>
            <w:tcBorders>
              <w:top w:val="single" w:sz="6" w:space="0" w:color="auto"/>
              <w:left w:val="single" w:sz="6" w:space="0" w:color="auto"/>
              <w:bottom w:val="single" w:sz="6" w:space="0" w:color="auto"/>
              <w:right w:val="single" w:sz="6" w:space="0" w:color="auto"/>
            </w:tcBorders>
          </w:tcPr>
          <w:p w14:paraId="41D7B6D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Укомплектование формируемых танковых бригад (как транспортные машины) Укомплектование формируемых артполков (как арттягачи) Резерв ГАБТУ</w:t>
            </w:r>
          </w:p>
          <w:p w14:paraId="0B8D429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53FC2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«Додж», «Форд» «Студебекер»</w:t>
            </w:r>
          </w:p>
          <w:p w14:paraId="3A0D764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17EB8F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581 300 328</w:t>
            </w:r>
          </w:p>
          <w:p w14:paraId="658AA0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BA37A3" w14:textId="77777777">
        <w:trPr>
          <w:trHeight w:val="211"/>
        </w:trPr>
        <w:tc>
          <w:tcPr>
            <w:tcW w:w="7756" w:type="dxa"/>
            <w:gridSpan w:val="3"/>
            <w:tcBorders>
              <w:top w:val="single" w:sz="6" w:space="0" w:color="auto"/>
              <w:left w:val="single" w:sz="6" w:space="0" w:color="auto"/>
              <w:bottom w:val="single" w:sz="6" w:space="0" w:color="auto"/>
              <w:right w:val="single" w:sz="6" w:space="0" w:color="auto"/>
            </w:tcBorders>
          </w:tcPr>
          <w:p w14:paraId="739A6D8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0669DD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6715C1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1209</w:t>
            </w:r>
          </w:p>
          <w:p w14:paraId="65E70B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1F54A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По последним донесениям т. Чурина видно, что выпуск машин «Форд» в Бушире временно задерживается из-за технических неполадок у американцев при сборке, что в свою очередь срыва</w:t>
      </w:r>
      <w:r w:rsidRPr="008127F8">
        <w:rPr>
          <w:rFonts w:ascii="Times New Roman" w:hAnsi="Times New Roman"/>
          <w:color w:val="000000" w:themeColor="text1"/>
          <w:sz w:val="16"/>
          <w:szCs w:val="16"/>
        </w:rPr>
        <w:softHyphen/>
        <w:t>ет намеченные нами сроки отгрузки машин.</w:t>
      </w:r>
    </w:p>
    <w:p w14:paraId="1A2D36A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По донесению начальника АБТВ ЗакВО некоторое время машины будут отправляться в Со</w:t>
      </w:r>
      <w:r w:rsidRPr="008127F8">
        <w:rPr>
          <w:rFonts w:ascii="Times New Roman" w:hAnsi="Times New Roman"/>
          <w:color w:val="000000" w:themeColor="text1"/>
          <w:sz w:val="16"/>
          <w:szCs w:val="16"/>
        </w:rPr>
        <w:softHyphen/>
        <w:t>ветский Союз не укомплектованные шоферами из-за отсутствия подготовленных водителей в 18 полку.</w:t>
      </w:r>
    </w:p>
    <w:p w14:paraId="5396D5F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УФиУ ГАБТУ и начальником АБТВ ЗакВО принимаются все меры к быстрейшей подготовке во</w:t>
      </w:r>
      <w:r w:rsidRPr="008127F8">
        <w:rPr>
          <w:rFonts w:ascii="Times New Roman" w:hAnsi="Times New Roman"/>
          <w:color w:val="000000" w:themeColor="text1"/>
          <w:sz w:val="16"/>
          <w:szCs w:val="16"/>
        </w:rPr>
        <w:softHyphen/>
        <w:t>дителей.</w:t>
      </w:r>
    </w:p>
    <w:p w14:paraId="5C9A9BF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5 отдела АТУ ГАБТУ КА военинженер 1 ранга Лебедев</w:t>
      </w:r>
    </w:p>
    <w:p w14:paraId="325E9159"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130. Л. 35-38. Подлинник (11211).</w:t>
      </w:r>
    </w:p>
    <w:p w14:paraId="70FAE0C4"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638DAC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вышло вышло Постановление ГКО № 1489 Поручение НКВТ начать переговоры по заказам на порох и на сырье военной химии. РГАНИР, Фонд ГКО, д. 25, лл. 65 (11012).</w:t>
      </w:r>
    </w:p>
    <w:p w14:paraId="4D1D8B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6B6F0"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254C9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B432A8"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марта</w:t>
      </w:r>
      <w:r w:rsidRPr="008127F8">
        <w:rPr>
          <w:rFonts w:ascii="Times New Roman" w:hAnsi="Times New Roman"/>
          <w:color w:val="000000" w:themeColor="text1"/>
          <w:sz w:val="16"/>
          <w:szCs w:val="16"/>
        </w:rPr>
        <w:t xml:space="preserve"> в 1942 году первый полёт опытного истребителя «Me.262» V1 (PC+UA) с установленными на нём реактивными двигателями «BMW 003». При этом сохранён установленный в носовой части самолёта поршневой двигатель «Jumo 210G» - 12-цилиндровым, жидкостного охлаждения. Пилот - опять же Вендель - несмотря на работу всех трех двигателей с трудом оторвал самолет в конце взлетной полосы, очень медленно набрал высоту 50 м, но, когда стал убирать шасси, из левого «BMW 003» вырвалось пламя, а через несколько секунд и из правого двигателя. С дополнительным воздушным сопротивлением и весом двух турбореактивных двигателей мощности одного «Jumo 210G» было явно </w:t>
      </w:r>
      <w:proofErr w:type="gramStart"/>
      <w:r w:rsidRPr="008127F8">
        <w:rPr>
          <w:rFonts w:ascii="Times New Roman" w:hAnsi="Times New Roman"/>
          <w:color w:val="000000" w:themeColor="text1"/>
          <w:sz w:val="16"/>
          <w:szCs w:val="16"/>
        </w:rPr>
        <w:t>не достаточно</w:t>
      </w:r>
      <w:proofErr w:type="gramEnd"/>
      <w:r w:rsidRPr="008127F8">
        <w:rPr>
          <w:rFonts w:ascii="Times New Roman" w:hAnsi="Times New Roman"/>
          <w:color w:val="000000" w:themeColor="text1"/>
          <w:sz w:val="16"/>
          <w:szCs w:val="16"/>
        </w:rPr>
        <w:t>, но Вендель сумел развернуться и совершить успешную посадку (15079).</w:t>
      </w:r>
    </w:p>
    <w:p w14:paraId="21082329" w14:textId="77777777" w:rsidR="00BE6AA4" w:rsidRPr="008127F8" w:rsidRDefault="00BE6AA4" w:rsidP="001E0A84">
      <w:pPr>
        <w:spacing w:after="0" w:line="240" w:lineRule="auto"/>
        <w:jc w:val="both"/>
        <w:rPr>
          <w:rFonts w:ascii="Times New Roman" w:hAnsi="Times New Roman"/>
          <w:color w:val="000000" w:themeColor="text1"/>
          <w:sz w:val="16"/>
          <w:szCs w:val="16"/>
        </w:rPr>
      </w:pPr>
    </w:p>
    <w:p w14:paraId="43E97389" w14:textId="27F7FE82" w:rsidR="002E7BAC" w:rsidRPr="008127F8" w:rsidRDefault="002E7BAC" w:rsidP="001E0A84">
      <w:pPr>
        <w:spacing w:after="0" w:line="240" w:lineRule="auto"/>
        <w:contextualSpacing/>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Первый полет реактивного истребителя Мессершмитт Ме-262V1 в трехдвигательном варианте, пилотируемый Фрицем Венделем. Был установлен 750-сильный поршневой мотор жидкостного охлаждения Jumo 210G и два ТРД тягой 460 кгс. После взлета при уборке шасси последвательно отказали левый и правый ТРД. Летчик с трудом посадил самолет на работающем поршневом двигателе (22557).</w:t>
      </w:r>
    </w:p>
    <w:p w14:paraId="6E022B4E"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5039A4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марта 1942 г. командир экипажа английского бомбардировщика в своем послеполетном рапорте доложил о том, что его самолет был атакован над немецкой территорией неизвестным летательным аппаратом, вокруг которого наблюдалось желто-красное сияние. Прицельный огонь из стрелкового оружия бомбардировщика по атакующему аппарату не дал никаких результатов, однако через некоторое время неизвестный аппарат ушел вверх и исчез из поля зрения (11620).</w:t>
      </w:r>
    </w:p>
    <w:p w14:paraId="4E62DC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7FF75" w14:textId="77777777" w:rsidR="009B6083" w:rsidRPr="008A2E5A" w:rsidRDefault="009B6083" w:rsidP="009B608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марта 1942 двадцать два оставшихся самолета миссии Дулитла пере</w:t>
      </w:r>
      <w:r w:rsidRPr="008A2E5A">
        <w:rPr>
          <w:rFonts w:ascii="Times New Roman" w:hAnsi="Times New Roman"/>
          <w:color w:val="0070C0"/>
          <w:sz w:val="16"/>
          <w:szCs w:val="16"/>
        </w:rPr>
        <w:softHyphen/>
        <w:t>летели в Сакраменто. Здесь на них установили новые винты, так как выяснилось, что у старых низкая эффек</w:t>
      </w:r>
      <w:r w:rsidRPr="008A2E5A">
        <w:rPr>
          <w:rFonts w:ascii="Times New Roman" w:hAnsi="Times New Roman"/>
          <w:color w:val="0070C0"/>
          <w:sz w:val="16"/>
          <w:szCs w:val="16"/>
        </w:rPr>
        <w:softHyphen/>
        <w:t>тивность из-за износа лакокрасочного покрытия, в ре</w:t>
      </w:r>
      <w:r w:rsidRPr="008A2E5A">
        <w:rPr>
          <w:rFonts w:ascii="Times New Roman" w:hAnsi="Times New Roman"/>
          <w:color w:val="0070C0"/>
          <w:sz w:val="16"/>
          <w:szCs w:val="16"/>
        </w:rPr>
        <w:softHyphen/>
        <w:t>зультате чего самолеты не развивают максимальной скорости (23348).</w:t>
      </w:r>
    </w:p>
    <w:p w14:paraId="2B701DFF" w14:textId="77777777" w:rsidR="009B6083" w:rsidRPr="008A2E5A" w:rsidRDefault="009B6083" w:rsidP="009B6083">
      <w:pPr>
        <w:spacing w:after="0" w:line="240" w:lineRule="auto"/>
        <w:jc w:val="both"/>
        <w:rPr>
          <w:rFonts w:ascii="Times New Roman" w:hAnsi="Times New Roman"/>
          <w:color w:val="0070C0"/>
          <w:sz w:val="16"/>
          <w:szCs w:val="16"/>
        </w:rPr>
      </w:pPr>
    </w:p>
    <w:p w14:paraId="41C412D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A13F9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D23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N 1498 "О наименовании самолетов ДБ-3Ф и 103" (1542,30).</w:t>
      </w:r>
    </w:p>
    <w:p w14:paraId="295AA1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C63C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1498 О наименовании самолетов ДБ-3Ф и 103. (7026, 113).</w:t>
      </w:r>
    </w:p>
    <w:p w14:paraId="318C63A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86E8F" w14:textId="77777777" w:rsidR="00962081" w:rsidRPr="008127F8" w:rsidRDefault="009620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1498 О наименовании самолетов ДБ-3Ф и 103</w:t>
      </w:r>
    </w:p>
    <w:p w14:paraId="1716632E" w14:textId="77777777" w:rsidR="00962081" w:rsidRPr="008127F8" w:rsidRDefault="00962081" w:rsidP="001E0A84">
      <w:pPr>
        <w:spacing w:after="0" w:line="240" w:lineRule="auto"/>
        <w:jc w:val="both"/>
        <w:rPr>
          <w:rFonts w:ascii="Times New Roman" w:eastAsia="Batang" w:hAnsi="Times New Roman"/>
          <w:bCs/>
          <w:color w:val="000000" w:themeColor="text1"/>
          <w:sz w:val="16"/>
          <w:szCs w:val="16"/>
        </w:rPr>
      </w:pPr>
      <w:r w:rsidRPr="008127F8">
        <w:rPr>
          <w:rFonts w:ascii="Times New Roman" w:eastAsia="Batang" w:hAnsi="Times New Roman"/>
          <w:bCs/>
          <w:color w:val="000000" w:themeColor="text1"/>
          <w:sz w:val="16"/>
          <w:szCs w:val="16"/>
        </w:rPr>
        <w:t>1. Самолеты ДБ-3Ф впредь именовать Ил-4.</w:t>
      </w:r>
    </w:p>
    <w:p w14:paraId="50E79FAC" w14:textId="77777777" w:rsidR="00962081" w:rsidRPr="008127F8" w:rsidRDefault="00962081" w:rsidP="001E0A84">
      <w:pPr>
        <w:spacing w:after="0" w:line="240" w:lineRule="auto"/>
        <w:jc w:val="both"/>
        <w:rPr>
          <w:rFonts w:ascii="Times New Roman" w:hAnsi="Times New Roman"/>
          <w:color w:val="000000" w:themeColor="text1"/>
          <w:sz w:val="16"/>
          <w:szCs w:val="16"/>
        </w:rPr>
      </w:pPr>
      <w:r w:rsidRPr="008127F8">
        <w:rPr>
          <w:rFonts w:ascii="Times New Roman" w:eastAsia="Batang" w:hAnsi="Times New Roman"/>
          <w:bCs/>
          <w:color w:val="000000" w:themeColor="text1"/>
          <w:sz w:val="16"/>
          <w:szCs w:val="16"/>
        </w:rPr>
        <w:t xml:space="preserve">2. Самолеты 103 впредь именовать Ту-2 </w:t>
      </w:r>
      <w:r w:rsidRPr="008127F8">
        <w:rPr>
          <w:rFonts w:ascii="Times New Roman" w:hAnsi="Times New Roman"/>
          <w:color w:val="000000" w:themeColor="text1"/>
          <w:sz w:val="16"/>
          <w:szCs w:val="16"/>
        </w:rPr>
        <w:t>(19318).</w:t>
      </w:r>
    </w:p>
    <w:p w14:paraId="60E559A8" w14:textId="77777777" w:rsidR="00962081" w:rsidRPr="008127F8" w:rsidRDefault="00962081"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D69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года вышло постановление Государственного комитета обороны, в котором указывалось: “Самолеты ДБ-3Ф впредь именовать Ил-4” (9528).</w:t>
      </w:r>
    </w:p>
    <w:p w14:paraId="6CB574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59A1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марта 1942 самолету ДБ-3Ф присвоили новое обозначение — Ил-4 (10734,69).</w:t>
      </w:r>
    </w:p>
    <w:p w14:paraId="0B6443F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FF6AF"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марта 1942 г. постановлением ГКО №1498 ДБ-3Ф было присвоено наименование Ил-4 — в честь Главного конструктора Сергея Владимировича Ильюшина (24139).</w:t>
      </w:r>
    </w:p>
    <w:p w14:paraId="15B756F7" w14:textId="77777777" w:rsidR="00E53DFE" w:rsidRPr="008A2E5A" w:rsidRDefault="00E53DFE" w:rsidP="00E53DFE">
      <w:pPr>
        <w:spacing w:after="0" w:line="240" w:lineRule="auto"/>
        <w:jc w:val="both"/>
        <w:rPr>
          <w:rFonts w:ascii="Times New Roman" w:hAnsi="Times New Roman"/>
          <w:color w:val="0070C0"/>
          <w:sz w:val="16"/>
          <w:szCs w:val="16"/>
        </w:rPr>
      </w:pPr>
    </w:p>
    <w:p w14:paraId="208F05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N 1499 о переходе на заводах 30, 1 и 381 на ШВАК вместо ВЯ (1542,36).</w:t>
      </w:r>
    </w:p>
    <w:p w14:paraId="29DDC1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E1D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1499 О вооружении самолетов Ил-2. РГАНИР, Фонд ГКО, д. 25, лл. 114 (11012).</w:t>
      </w:r>
    </w:p>
    <w:p w14:paraId="3EC84F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E55C9" w14:textId="77777777" w:rsidR="00962081" w:rsidRPr="008127F8" w:rsidRDefault="009620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1499 О вооружении самолетов Ил-2</w:t>
      </w:r>
    </w:p>
    <w:p w14:paraId="607DB73D" w14:textId="77777777" w:rsidR="00962081" w:rsidRPr="008127F8" w:rsidRDefault="009620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51EB9A57" w14:textId="77777777" w:rsidR="00962081" w:rsidRPr="008127F8" w:rsidRDefault="00962081" w:rsidP="001E0A84">
      <w:pPr>
        <w:tabs>
          <w:tab w:val="left" w:pos="121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Обязать Наркомавиапром т.Шахурина, директора заво</w:t>
      </w:r>
      <w:r w:rsidRPr="008127F8">
        <w:rPr>
          <w:rFonts w:ascii="Times New Roman" w:hAnsi="Times New Roman"/>
          <w:color w:val="000000" w:themeColor="text1"/>
          <w:sz w:val="16"/>
          <w:szCs w:val="16"/>
        </w:rPr>
        <w:softHyphen/>
        <w:t>да № 30 т.Белинского и главного конструктора т.Ильюшина перейти на заводе № 30 с 20 апреля с.г. на выпуск самоле</w:t>
      </w:r>
      <w:r w:rsidRPr="008127F8">
        <w:rPr>
          <w:rFonts w:ascii="Times New Roman" w:hAnsi="Times New Roman"/>
          <w:color w:val="000000" w:themeColor="text1"/>
          <w:sz w:val="16"/>
          <w:szCs w:val="16"/>
        </w:rPr>
        <w:softHyphen/>
        <w:t>тов Ил-2, вооруженных пушками Швак 20</w:t>
      </w:r>
      <w:r w:rsidRPr="008127F8">
        <w:rPr>
          <w:rStyle w:val="9pt0"/>
          <w:rFonts w:ascii="Times New Roman" w:eastAsiaTheme="minorHAnsi" w:hAnsi="Times New Roman" w:cs="Times New Roman"/>
          <w:b w:val="0"/>
          <w:color w:val="000000" w:themeColor="text1"/>
          <w:sz w:val="16"/>
          <w:szCs w:val="16"/>
        </w:rPr>
        <w:t xml:space="preserve"> </w:t>
      </w:r>
      <w:r w:rsidRPr="008127F8">
        <w:rPr>
          <w:rStyle w:val="9pt0"/>
          <w:rFonts w:ascii="Times New Roman" w:hAnsi="Times New Roman" w:cs="Times New Roman"/>
          <w:b w:val="0"/>
          <w:color w:val="000000" w:themeColor="text1"/>
          <w:sz w:val="16"/>
          <w:szCs w:val="16"/>
        </w:rPr>
        <w:t>м</w:t>
      </w:r>
      <w:r w:rsidRPr="008127F8">
        <w:rPr>
          <w:rStyle w:val="9pt0"/>
          <w:rFonts w:ascii="Times New Roman" w:eastAsiaTheme="minorHAnsi" w:hAnsi="Times New Roman" w:cs="Times New Roman"/>
          <w:b w:val="0"/>
          <w:color w:val="000000" w:themeColor="text1"/>
          <w:sz w:val="16"/>
          <w:szCs w:val="16"/>
        </w:rPr>
        <w:t>/м</w:t>
      </w:r>
      <w:r w:rsidRPr="008127F8">
        <w:rPr>
          <w:rFonts w:ascii="Times New Roman" w:hAnsi="Times New Roman"/>
          <w:color w:val="000000" w:themeColor="text1"/>
          <w:sz w:val="16"/>
          <w:szCs w:val="16"/>
        </w:rPr>
        <w:t xml:space="preserve"> вместо</w:t>
      </w:r>
      <w:r w:rsidRPr="008127F8">
        <w:rPr>
          <w:rStyle w:val="9pt0"/>
          <w:rFonts w:ascii="Times New Roman" w:eastAsiaTheme="minorHAnsi" w:hAnsi="Times New Roman" w:cs="Times New Roman"/>
          <w:b w:val="0"/>
          <w:color w:val="000000" w:themeColor="text1"/>
          <w:sz w:val="16"/>
          <w:szCs w:val="16"/>
        </w:rPr>
        <w:t xml:space="preserve"> пушек </w:t>
      </w:r>
      <w:r w:rsidRPr="008127F8">
        <w:rPr>
          <w:rFonts w:ascii="Times New Roman" w:hAnsi="Times New Roman"/>
          <w:color w:val="000000" w:themeColor="text1"/>
          <w:sz w:val="16"/>
          <w:szCs w:val="16"/>
        </w:rPr>
        <w:t>Волкова-Ярцева 23</w:t>
      </w:r>
      <w:r w:rsidRPr="008127F8">
        <w:rPr>
          <w:rStyle w:val="9pt0"/>
          <w:rFonts w:ascii="Times New Roman" w:eastAsiaTheme="minorHAnsi" w:hAnsi="Times New Roman" w:cs="Times New Roman"/>
          <w:b w:val="0"/>
          <w:color w:val="000000" w:themeColor="text1"/>
          <w:sz w:val="16"/>
          <w:szCs w:val="16"/>
        </w:rPr>
        <w:t xml:space="preserve"> м/м, бее ущерба</w:t>
      </w:r>
      <w:r w:rsidRPr="008127F8">
        <w:rPr>
          <w:rFonts w:ascii="Times New Roman" w:hAnsi="Times New Roman"/>
          <w:color w:val="000000" w:themeColor="text1"/>
          <w:sz w:val="16"/>
          <w:szCs w:val="16"/>
        </w:rPr>
        <w:t xml:space="preserve"> для</w:t>
      </w:r>
      <w:r w:rsidRPr="008127F8">
        <w:rPr>
          <w:rStyle w:val="9pt0"/>
          <w:rFonts w:ascii="Times New Roman" w:eastAsiaTheme="minorHAnsi" w:hAnsi="Times New Roman" w:cs="Times New Roman"/>
          <w:b w:val="0"/>
          <w:color w:val="000000" w:themeColor="text1"/>
          <w:sz w:val="16"/>
          <w:szCs w:val="16"/>
        </w:rPr>
        <w:t xml:space="preserve"> графика выпуска са</w:t>
      </w:r>
      <w:r w:rsidRPr="008127F8">
        <w:rPr>
          <w:rStyle w:val="9pt0"/>
          <w:rFonts w:ascii="Times New Roman" w:eastAsiaTheme="minorHAnsi" w:hAnsi="Times New Roman" w:cs="Times New Roman"/>
          <w:b w:val="0"/>
          <w:color w:val="000000" w:themeColor="text1"/>
          <w:sz w:val="16"/>
          <w:szCs w:val="16"/>
        </w:rPr>
        <w:softHyphen/>
      </w:r>
      <w:r w:rsidRPr="008127F8">
        <w:rPr>
          <w:rFonts w:ascii="Times New Roman" w:hAnsi="Times New Roman"/>
          <w:color w:val="000000" w:themeColor="text1"/>
          <w:sz w:val="16"/>
          <w:szCs w:val="16"/>
        </w:rPr>
        <w:t>молетов.</w:t>
      </w:r>
    </w:p>
    <w:p w14:paraId="568CED1F" w14:textId="77777777" w:rsidR="00962081" w:rsidRPr="008127F8" w:rsidRDefault="00962081" w:rsidP="001E0A84">
      <w:pPr>
        <w:tabs>
          <w:tab w:val="left" w:pos="121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т.Шахурина, директора заво</w:t>
      </w:r>
      <w:r w:rsidRPr="008127F8">
        <w:rPr>
          <w:rFonts w:ascii="Times New Roman" w:hAnsi="Times New Roman"/>
          <w:color w:val="000000" w:themeColor="text1"/>
          <w:sz w:val="16"/>
          <w:szCs w:val="16"/>
        </w:rPr>
        <w:softHyphen/>
        <w:t>да № 1 т.Третьякова и главного конструктора т.Ильюшина перейти на заводе № 1 с 10 мая с.г. полностью на выпуск самолетов Ил-2, вооруженных пушками Швак 20 м/м вместо пу</w:t>
      </w:r>
      <w:r w:rsidRPr="008127F8">
        <w:rPr>
          <w:rFonts w:ascii="Times New Roman" w:hAnsi="Times New Roman"/>
          <w:color w:val="000000" w:themeColor="text1"/>
          <w:sz w:val="16"/>
          <w:szCs w:val="16"/>
        </w:rPr>
        <w:softHyphen/>
        <w:t>шек Волкова-Ярцева 23 м/м, бее ущерба для графика выпуска самолетов.</w:t>
      </w:r>
    </w:p>
    <w:p w14:paraId="77719F37" w14:textId="77777777" w:rsidR="00962081" w:rsidRPr="008127F8" w:rsidRDefault="00962081" w:rsidP="001E0A84">
      <w:pPr>
        <w:tabs>
          <w:tab w:val="left" w:pos="120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заводе № 381 (Н.Тагил) продолжать выпуск само</w:t>
      </w:r>
      <w:r w:rsidRPr="008127F8">
        <w:rPr>
          <w:rFonts w:ascii="Times New Roman" w:hAnsi="Times New Roman"/>
          <w:color w:val="000000" w:themeColor="text1"/>
          <w:sz w:val="16"/>
          <w:szCs w:val="16"/>
        </w:rPr>
        <w:softHyphen/>
        <w:t>летов Ил-2, вооруженных пушками Швак 20 м/м и не переходить на пушш^Волкова-Ярцева 23 м/м (19319).</w:t>
      </w:r>
    </w:p>
    <w:p w14:paraId="5CF602D4" w14:textId="77777777" w:rsidR="00962081" w:rsidRPr="008127F8" w:rsidRDefault="0096208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776F9"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1500 О сокращении разбега при взлете и пробега при посадке самолетов. РГАНИР, Фонд ГКО, д. 25, лл. 115 (11012).</w:t>
      </w:r>
    </w:p>
    <w:p w14:paraId="38FC273E" w14:textId="77777777" w:rsidR="00BE6AA4" w:rsidRPr="008127F8" w:rsidRDefault="00BE6AA4"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6EDB0" w14:textId="77777777" w:rsidR="002E7BAC" w:rsidRPr="008127F8" w:rsidRDefault="002E7BAC"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26 марта 1943 бомбардировщик «103» официально переименовали в Ту-2. Именно под этим обозначением он зна</w:t>
      </w:r>
      <w:r w:rsidRPr="008127F8">
        <w:rPr>
          <w:rFonts w:ascii="Times New Roman" w:hAnsi="Times New Roman"/>
          <w:color w:val="000000" w:themeColor="text1"/>
          <w:sz w:val="16"/>
          <w:szCs w:val="16"/>
          <w:lang w:eastAsia="ru-RU" w:bidi="ru-RU"/>
        </w:rPr>
        <w:softHyphen/>
        <w:t>чился в плане выпуска самолетов во вто</w:t>
      </w:r>
      <w:r w:rsidRPr="008127F8">
        <w:rPr>
          <w:rFonts w:ascii="Times New Roman" w:hAnsi="Times New Roman"/>
          <w:color w:val="000000" w:themeColor="text1"/>
          <w:sz w:val="16"/>
          <w:szCs w:val="16"/>
          <w:lang w:eastAsia="ru-RU" w:bidi="ru-RU"/>
        </w:rPr>
        <w:softHyphen/>
        <w:t>ром квартале 1942 г. Этот документ пред</w:t>
      </w:r>
      <w:r w:rsidRPr="008127F8">
        <w:rPr>
          <w:rFonts w:ascii="Times New Roman" w:hAnsi="Times New Roman"/>
          <w:color w:val="000000" w:themeColor="text1"/>
          <w:sz w:val="16"/>
          <w:szCs w:val="16"/>
          <w:lang w:eastAsia="ru-RU" w:bidi="ru-RU"/>
        </w:rPr>
        <w:softHyphen/>
        <w:t>усматривал сдачу за три месяца 18 Ту-2. Чуть позже появился откорректированный план на год - 295 самолетов (21061).</w:t>
      </w:r>
    </w:p>
    <w:p w14:paraId="1B195720"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3C7A47DF"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26 марта 1942 вышло:</w:t>
      </w:r>
    </w:p>
    <w:p w14:paraId="3A240164"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ГОСУДАРСТВЕННЫЙ КОМИТЕТ ОБОРОНЫ ПОСТАНОВЛЕНИЕ № ГОКО-1500сс от «26» марта 1942 г. Москва, Кремль.</w:t>
      </w:r>
    </w:p>
    <w:p w14:paraId="125628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сокращении разбега при взлете и пробега при посадке самолетов.</w:t>
      </w:r>
    </w:p>
    <w:p w14:paraId="0E691C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716963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Наркомат авиапромышленности (т.т.Шахурина, Яковлева и Ильюшина) поручить группе знатоков дела (состав группы по усмотрению НКАП) изучить вопрос о сокращении вдвое разбега самолетов при взлете и пробега при посадке и дать свои практические предложения ГОКО.</w:t>
      </w:r>
    </w:p>
    <w:p w14:paraId="732397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особой важности этой задачи Наркомату авиапромышленности предлагается максимально ускорить это дело.</w:t>
      </w:r>
    </w:p>
    <w:p w14:paraId="377649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Первый доклад т.Шахурина заслушать, 3-го апреля. </w:t>
      </w:r>
    </w:p>
    <w:p w14:paraId="4FDC96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(11813).</w:t>
      </w:r>
    </w:p>
    <w:p w14:paraId="5C8815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877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N 1500сс об улучшении взлетно-посадочных свойств самолетов (1668,393).</w:t>
      </w:r>
    </w:p>
    <w:p w14:paraId="1EDA59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0FC3F" w14:textId="77777777" w:rsidR="00E92E38" w:rsidRPr="008127F8" w:rsidRDefault="00E92E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N 1500сс об улучшении взлетно-посадочных свойств самолетов</w:t>
      </w:r>
    </w:p>
    <w:p w14:paraId="6FF9E0D7" w14:textId="77777777" w:rsidR="00E92E38" w:rsidRPr="008127F8" w:rsidRDefault="00E92E38"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Государственный Комитет Обороны постановляет: Обязать Наркомат авиапромышленности (т.т.Шахурина, Яков</w:t>
      </w:r>
      <w:r w:rsidRPr="008127F8">
        <w:rPr>
          <w:rFonts w:ascii="Times New Roman" w:cs="Times New Roman"/>
          <w:color w:val="000000" w:themeColor="text1"/>
          <w:spacing w:val="0"/>
          <w:sz w:val="16"/>
          <w:szCs w:val="16"/>
        </w:rPr>
        <w:softHyphen/>
        <w:t>лева и Ильюшина") поручить группе знатоков дела (состав груп</w:t>
      </w:r>
      <w:r w:rsidRPr="008127F8">
        <w:rPr>
          <w:rFonts w:ascii="Times New Roman" w:cs="Times New Roman"/>
          <w:color w:val="000000" w:themeColor="text1"/>
          <w:spacing w:val="0"/>
          <w:sz w:val="16"/>
          <w:szCs w:val="16"/>
        </w:rPr>
        <w:softHyphen/>
        <w:t>пы по усмотрению НКАП) изучить вопрос о сокращении вдвое раз</w:t>
      </w:r>
      <w:r w:rsidRPr="008127F8">
        <w:rPr>
          <w:rFonts w:ascii="Times New Roman" w:cs="Times New Roman"/>
          <w:color w:val="000000" w:themeColor="text1"/>
          <w:spacing w:val="0"/>
          <w:sz w:val="16"/>
          <w:szCs w:val="16"/>
        </w:rPr>
        <w:softHyphen/>
        <w:t>бега самолетов при взлете и пробега при посадке и дать свои практические предложения ГОКО.</w:t>
      </w:r>
    </w:p>
    <w:p w14:paraId="60337DC8" w14:textId="77777777" w:rsidR="00E92E38" w:rsidRPr="008127F8" w:rsidRDefault="00E92E38"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Ввиду особой важности этой задачи Наркомату авиапромыш</w:t>
      </w:r>
      <w:r w:rsidRPr="008127F8">
        <w:rPr>
          <w:rFonts w:ascii="Times New Roman" w:cs="Times New Roman"/>
          <w:color w:val="000000" w:themeColor="text1"/>
          <w:spacing w:val="0"/>
          <w:sz w:val="16"/>
          <w:szCs w:val="16"/>
        </w:rPr>
        <w:softHyphen/>
        <w:t>ленности предлагается максимально ускорить это дело. Пер</w:t>
      </w:r>
      <w:r w:rsidR="00C13567" w:rsidRPr="008127F8">
        <w:rPr>
          <w:rFonts w:ascii="Times New Roman" w:cs="Times New Roman"/>
          <w:color w:val="000000" w:themeColor="text1"/>
          <w:spacing w:val="0"/>
          <w:sz w:val="16"/>
          <w:szCs w:val="16"/>
        </w:rPr>
        <w:t xml:space="preserve">вый </w:t>
      </w:r>
      <w:r w:rsidRPr="008127F8">
        <w:rPr>
          <w:rFonts w:ascii="Times New Roman" w:cs="Times New Roman"/>
          <w:color w:val="000000" w:themeColor="text1"/>
          <w:spacing w:val="0"/>
          <w:sz w:val="16"/>
          <w:szCs w:val="16"/>
        </w:rPr>
        <w:t>доклад т.Шахурина заслушать 3-го апреля (19320).</w:t>
      </w:r>
    </w:p>
    <w:p w14:paraId="326D4E3A" w14:textId="77777777" w:rsidR="00E92E38" w:rsidRPr="008127F8" w:rsidRDefault="00E92E3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EE8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ГИ б/завода 82 Таканаев писал письмо НКАП А.И.Ш. о том, что несмотря на то, что решение ГОКО N 1440 от 14 марта 1942 о прекращении производства М-30 временное, специальное оборудование с завода 82 вывезено на завод 45 и предназначено на переделку... Кадры направлены на другие работы. Просил приема (1648,261).</w:t>
      </w:r>
    </w:p>
    <w:p w14:paraId="22096F4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 добившись Вашего приема </w:t>
      </w:r>
      <w:r w:rsidRPr="008127F8">
        <w:rPr>
          <w:rFonts w:ascii="Times New Roman" w:hAnsi="Times New Roman"/>
          <w:smallCaps/>
          <w:color w:val="000000" w:themeColor="text1"/>
          <w:sz w:val="16"/>
          <w:szCs w:val="16"/>
        </w:rPr>
        <w:t xml:space="preserve">б </w:t>
      </w:r>
      <w:r w:rsidRPr="008127F8">
        <w:rPr>
          <w:rFonts w:ascii="Times New Roman" w:hAnsi="Times New Roman"/>
          <w:color w:val="000000" w:themeColor="text1"/>
          <w:sz w:val="16"/>
          <w:szCs w:val="16"/>
        </w:rPr>
        <w:t>продолжении 10 дней., считаю своим долгом доложить и просить Нас о следующем:</w:t>
      </w:r>
    </w:p>
    <w:p w14:paraId="5EFDEFC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Решением ГКО за № 1440 от 14/Ш-42 г. производство мотора М-30 прекращается </w:t>
      </w:r>
      <w:r w:rsidRPr="008127F8">
        <w:rPr>
          <w:rFonts w:ascii="Times New Roman" w:hAnsi="Times New Roman"/>
          <w:color w:val="000000" w:themeColor="text1"/>
          <w:sz w:val="16"/>
          <w:szCs w:val="16"/>
          <w:u w:val="single"/>
        </w:rPr>
        <w:t>временно.</w:t>
      </w:r>
    </w:p>
    <w:p w14:paraId="4EE44C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дней со дня выхода постановления не дано никаких указаний заводу № 45 о сохранении специального обо</w:t>
      </w:r>
      <w:r w:rsidRPr="008127F8">
        <w:rPr>
          <w:rFonts w:ascii="Times New Roman" w:hAnsi="Times New Roman"/>
          <w:color w:val="000000" w:themeColor="text1"/>
          <w:sz w:val="16"/>
          <w:szCs w:val="16"/>
        </w:rPr>
        <w:softHyphen/>
        <w:t>рудования и других материально-имущественных ценностей мото</w:t>
      </w:r>
      <w:r w:rsidRPr="008127F8">
        <w:rPr>
          <w:rFonts w:ascii="Times New Roman" w:hAnsi="Times New Roman"/>
          <w:color w:val="000000" w:themeColor="text1"/>
          <w:sz w:val="16"/>
          <w:szCs w:val="16"/>
        </w:rPr>
        <w:softHyphen/>
        <w:t>ра М-30;</w:t>
      </w:r>
    </w:p>
    <w:p w14:paraId="275CA43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Многократное совещание по этому вопросу у В.П.Кузнецова, непрерывно переделывающиеся у него протоколы и проекты приказов до сего времени не вышли и никакой ясности не установили.</w:t>
      </w:r>
    </w:p>
    <w:p w14:paraId="2813AE4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временем все специальное оборудование мотора М-30 уке вывезено на завод № 45 и предназначено на переделку для использования на АМ-38. Ведутся работы по использованию специальной оснастки и разукомплектованию инструментальных; раздаточных кладовых, механических цехов по производству М-30.</w:t>
      </w:r>
    </w:p>
    <w:p w14:paraId="16111E9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Кадры топливной аппаратуры, экспериментаторов, а так</w:t>
      </w:r>
      <w:proofErr w:type="gramStart"/>
      <w:r w:rsidRPr="008127F8">
        <w:rPr>
          <w:rFonts w:ascii="Times New Roman" w:hAnsi="Times New Roman"/>
          <w:color w:val="000000" w:themeColor="text1"/>
          <w:sz w:val="16"/>
          <w:szCs w:val="16"/>
        </w:rPr>
        <w:t>-:ке</w:t>
      </w:r>
      <w:proofErr w:type="gramEnd"/>
      <w:r w:rsidRPr="008127F8">
        <w:rPr>
          <w:rFonts w:ascii="Times New Roman" w:hAnsi="Times New Roman"/>
          <w:color w:val="000000" w:themeColor="text1"/>
          <w:sz w:val="16"/>
          <w:szCs w:val="16"/>
        </w:rPr>
        <w:t xml:space="preserve"> других сцифических работ направленна на другие работы. Часть кадров направляется на другие заводы.</w:t>
      </w:r>
    </w:p>
    <w:p w14:paraId="29CFC0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Указанное обстоятельство противоречит решению ГКО о временном прекращении производства авиадизеля М-30 и приводит к завершению последовательно проводящейся в течение 2-х лет тактики, направленной на полную оканчательную ликвидацию дизеля М-30.</w:t>
      </w:r>
    </w:p>
    <w:p w14:paraId="222278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Ничем иным как этим-же не могу об"яснить задержку от</w:t>
      </w:r>
      <w:r w:rsidRPr="008127F8">
        <w:rPr>
          <w:rFonts w:ascii="Times New Roman" w:hAnsi="Times New Roman"/>
          <w:color w:val="000000" w:themeColor="text1"/>
          <w:sz w:val="16"/>
          <w:szCs w:val="16"/>
        </w:rPr>
        <w:softHyphen/>
        <w:t>вета на поданое мною письмо тов. Сталину, которое по при</w:t>
      </w:r>
      <w:r w:rsidRPr="008127F8">
        <w:rPr>
          <w:rFonts w:ascii="Times New Roman" w:hAnsi="Times New Roman"/>
          <w:color w:val="000000" w:themeColor="text1"/>
          <w:sz w:val="16"/>
          <w:szCs w:val="16"/>
        </w:rPr>
        <w:softHyphen/>
        <w:t xml:space="preserve">бытии из его секретариата направлено Вами тов. Кузнецову </w:t>
      </w:r>
      <w:proofErr w:type="gramStart"/>
      <w:r w:rsidRPr="008127F8">
        <w:rPr>
          <w:rFonts w:ascii="Times New Roman" w:hAnsi="Times New Roman"/>
          <w:color w:val="000000" w:themeColor="text1"/>
          <w:sz w:val="16"/>
          <w:szCs w:val="16"/>
        </w:rPr>
        <w:t>В.П</w:t>
      </w:r>
      <w:proofErr w:type="gramEnd"/>
      <w:r w:rsidRPr="008127F8">
        <w:rPr>
          <w:rFonts w:ascii="Times New Roman" w:hAnsi="Times New Roman"/>
          <w:color w:val="000000" w:themeColor="text1"/>
          <w:sz w:val="16"/>
          <w:szCs w:val="16"/>
        </w:rPr>
        <w:t xml:space="preserve"> 19 марта 1942г. на неоднократное обращение к тов. Кузнецову по ускорению ответа на это письмо последний заявил, что отвечать на него он не намерен.</w:t>
      </w:r>
    </w:p>
    <w:p w14:paraId="1F772A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создавшимся исключительно опасным положе</w:t>
      </w:r>
      <w:r w:rsidRPr="008127F8">
        <w:rPr>
          <w:rFonts w:ascii="Times New Roman" w:hAnsi="Times New Roman"/>
          <w:color w:val="000000" w:themeColor="text1"/>
          <w:sz w:val="16"/>
          <w:szCs w:val="16"/>
        </w:rPr>
        <w:softHyphen/>
        <w:t>нием для единственного реально имеющегося авиадизеля М-30, который при указанных обстаятельствах полностью уничтожаете, прошу:</w:t>
      </w:r>
    </w:p>
    <w:p w14:paraId="39A4D30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Назначить времч приема меня для доклада создавшемся положения</w:t>
      </w:r>
    </w:p>
    <w:p w14:paraId="0340651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Дать котегорическое указание по обеспечению сохран</w:t>
      </w:r>
      <w:r w:rsidRPr="008127F8">
        <w:rPr>
          <w:rFonts w:ascii="Times New Roman" w:hAnsi="Times New Roman"/>
          <w:color w:val="000000" w:themeColor="text1"/>
          <w:sz w:val="16"/>
          <w:szCs w:val="16"/>
        </w:rPr>
        <w:softHyphen/>
        <w:t>ности минимально неооходимого для последующего продолжения работ по производству мотора М-30 (1678,261).</w:t>
      </w:r>
    </w:p>
    <w:p w14:paraId="58723F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85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 соответствии с приказом НКАП от 23 марта 1942 г №219/к директором завода №22 назначен В.А. Окулов. главным инженером М.Н. Корнеев. Будучи прежними работниками завода №22, они прекрасно знали его людей и имели хорошую взаимную сработанность (5764,39).</w:t>
      </w:r>
    </w:p>
    <w:p w14:paraId="064A18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805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марта 1942 </w:t>
      </w:r>
    </w:p>
    <w:p w14:paraId="5A173180"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Боеприпасов Союза ССР писал писбмо от 26.03.1942г. №1/746сс Москва</w:t>
      </w:r>
    </w:p>
    <w:p w14:paraId="46D2D1F8"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ПРЕДСЕДАТЕЛЮ ГОСУДАРСТВЕННОГО КОМИТЕТА ОБОРОНЫ - Товарищу СТАЛИНУ И.В.</w:t>
      </w:r>
    </w:p>
    <w:p w14:paraId="20CDE2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ЗАМЕСТИТЕЛЮ ПРЕДСЕДАТЕЛЯ СНК СССР - Товарищу БЕРИЯ Л.П.</w:t>
      </w:r>
    </w:p>
    <w:p w14:paraId="1567AC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Государственное Союзное Конструкторское Бюpo № 47 НКБ разработало мостовую авиационную бомбу в габарите 250 кгр. «МАБ-250».</w:t>
      </w:r>
    </w:p>
    <w:p w14:paraId="454245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Проведенные заводские испытания дали положительные результаты.</w:t>
      </w:r>
    </w:p>
    <w:p w14:paraId="1A64A0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окончательного выявления боевых свойств по разрушению мостов и принятия решения о вводе на вооружение этих бомб, необходимо изготовить опытно-серийную партию МАБ-250, в количестве 750 штук, с применением их на фронте.</w:t>
      </w:r>
    </w:p>
    <w:p w14:paraId="215F97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Прошу утвердить представляемый проект Постановления ГКО по организации производства бомб, согласованный с НКО /генерал-майором ГОЛОВАНОВЫМ/, Наркомлегпромом /т. ЛУКИНЫМ/, Зам. Наркома НКПП /т. ПРОНИНЫМ/. </w:t>
      </w:r>
    </w:p>
    <w:p w14:paraId="6B4DC6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Проект Постановления ГКО на 2-х листах и справка. </w:t>
      </w:r>
    </w:p>
    <w:p w14:paraId="21D02101"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Банников)</w:t>
      </w:r>
    </w:p>
    <w:p w14:paraId="488EF3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СПРАВКА</w:t>
      </w:r>
    </w:p>
    <w:p w14:paraId="2F191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Постановления ГКО об организации производства МАБ-250 завизирован:</w:t>
      </w:r>
    </w:p>
    <w:p w14:paraId="708625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Народным Комиссаром Боеприпасов Союза ССР тов. ВАННИКОВЫМ В.Л. </w:t>
      </w:r>
    </w:p>
    <w:p w14:paraId="654B72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Народным Комиссаром Легкой Промышленности Союза ССР тов. ЛУКИНЫМ.</w:t>
      </w:r>
    </w:p>
    <w:p w14:paraId="1A81E5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Заместителем Народного Комиссара Пищевой Промышленности тов. ПРОНИНЫМ.</w:t>
      </w:r>
    </w:p>
    <w:p w14:paraId="044C0E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Командующим ВВС Генерал-Майором т. ГОЛОВАНОВЫМ. </w:t>
      </w:r>
    </w:p>
    <w:p w14:paraId="74D4EDEF"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Авиабоеприпасов Н К В СССР (11813).</w:t>
      </w:r>
    </w:p>
    <w:p w14:paraId="27B8D4D3" w14:textId="77777777" w:rsidR="00BE6AA4"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ПОСТAHOBJIЕНИЕ ГОСУДАРСТВЕННОГО КОМИТЕТА ОБОРОНЫ № 1512сс</w:t>
      </w:r>
    </w:p>
    <w:p w14:paraId="78C964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организации производства «МАБ-250»</w:t>
      </w:r>
    </w:p>
    <w:p w14:paraId="612D68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Наркомат Боеприпасов </w:t>
      </w:r>
      <w:proofErr w:type="gramStart"/>
      <w:r w:rsidRPr="008127F8">
        <w:rPr>
          <w:rFonts w:ascii="Times New Roman" w:hAnsi="Times New Roman"/>
          <w:color w:val="000000" w:themeColor="text1"/>
          <w:sz w:val="16"/>
          <w:szCs w:val="16"/>
        </w:rPr>
        <w:t>тов.ВАННИКОВА</w:t>
      </w:r>
      <w:proofErr w:type="gramEnd"/>
      <w:r w:rsidRPr="008127F8">
        <w:rPr>
          <w:rFonts w:ascii="Times New Roman" w:hAnsi="Times New Roman"/>
          <w:color w:val="000000" w:themeColor="text1"/>
          <w:sz w:val="16"/>
          <w:szCs w:val="16"/>
        </w:rPr>
        <w:t>:</w:t>
      </w:r>
    </w:p>
    <w:p w14:paraId="26079C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изготовить корпуса, снарядить и сдать НКО комплектно к 5 апреля 1942г. «МАБ-250», в количестве 20 штук;</w:t>
      </w:r>
    </w:p>
    <w:p w14:paraId="0D0BD9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снарядить и сдать НКО комплектно во II-м квартале 1942г. опытно-серийную партию авиационных бомб "МАБ-250" в количестве 725 штук, в следующие сроки:</w:t>
      </w:r>
    </w:p>
    <w:p w14:paraId="1AAC9E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5/IV по 15/IV-1942г. - 60 шт.</w:t>
      </w:r>
    </w:p>
    <w:p w14:paraId="6B52C7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15/IV по 1 /V - - 65 шт.</w:t>
      </w:r>
    </w:p>
    <w:p w14:paraId="61C10E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1/V по 5/VI - " - 300 шт.</w:t>
      </w:r>
    </w:p>
    <w:p w14:paraId="46555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5/VI по 5/VII - " - 300 шт.</w:t>
      </w:r>
    </w:p>
    <w:p w14:paraId="531B17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Главное Управление Заказов и Технического Снабжения ВВС Красной Армии </w:t>
      </w:r>
      <w:proofErr w:type="gramStart"/>
      <w:r w:rsidRPr="008127F8">
        <w:rPr>
          <w:rFonts w:ascii="Times New Roman" w:hAnsi="Times New Roman"/>
          <w:color w:val="000000" w:themeColor="text1"/>
          <w:sz w:val="16"/>
          <w:szCs w:val="16"/>
        </w:rPr>
        <w:t>тов.СЕЛЕЗНЕВА</w:t>
      </w:r>
      <w:proofErr w:type="gramEnd"/>
      <w:r w:rsidRPr="008127F8">
        <w:rPr>
          <w:rFonts w:ascii="Times New Roman" w:hAnsi="Times New Roman"/>
          <w:color w:val="000000" w:themeColor="text1"/>
          <w:sz w:val="16"/>
          <w:szCs w:val="16"/>
        </w:rPr>
        <w:t xml:space="preserve"> принять 745 штук "МАБ-250" и после применения на </w:t>
      </w:r>
      <w:r w:rsidRPr="008127F8">
        <w:rPr>
          <w:rFonts w:ascii="Times New Roman" w:hAnsi="Times New Roman"/>
          <w:color w:val="000000" w:themeColor="text1"/>
          <w:sz w:val="16"/>
          <w:szCs w:val="16"/>
        </w:rPr>
        <w:lastRenderedPageBreak/>
        <w:t>фронте решить вопрос о принятии их на вооружение.</w:t>
      </w:r>
    </w:p>
    <w:p w14:paraId="516A4B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3.Обязать Наркомпищепром </w:t>
      </w:r>
      <w:proofErr w:type="gramStart"/>
      <w:r w:rsidRPr="008127F8">
        <w:rPr>
          <w:rFonts w:ascii="Times New Roman" w:hAnsi="Times New Roman"/>
          <w:color w:val="000000" w:themeColor="text1"/>
          <w:sz w:val="16"/>
          <w:szCs w:val="16"/>
        </w:rPr>
        <w:t>тов.ЗОТОВА</w:t>
      </w:r>
      <w:proofErr w:type="gramEnd"/>
      <w:r w:rsidRPr="008127F8">
        <w:rPr>
          <w:rFonts w:ascii="Times New Roman" w:hAnsi="Times New Roman"/>
          <w:color w:val="000000" w:themeColor="text1"/>
          <w:sz w:val="16"/>
          <w:szCs w:val="16"/>
        </w:rPr>
        <w:t xml:space="preserve"> организовать на Бузулукском заводе № 1 выпуск корпусов авиабомб "МАБ-250", в следующие сроки и количествах:</w:t>
      </w:r>
    </w:p>
    <w:p w14:paraId="75E732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1/1У по 10/1У - 1942г. - 60 шт.</w:t>
      </w:r>
    </w:p>
    <w:p w14:paraId="41845B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10/1У по 5/У - - 65 шт.</w:t>
      </w:r>
    </w:p>
    <w:p w14:paraId="0DBBDF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 по 1/У1 - " - 300 шт.</w:t>
      </w:r>
    </w:p>
    <w:p w14:paraId="7B74F5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1/У1 по 1/УII - 300 шт.</w:t>
      </w:r>
    </w:p>
    <w:p w14:paraId="50FF41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Изготовленные корпуса поставить заводу № 80 НКБ для снаряжения.</w:t>
      </w:r>
    </w:p>
    <w:p w14:paraId="6B6F98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Наркомлегпрому </w:t>
      </w:r>
      <w:proofErr w:type="gramStart"/>
      <w:r w:rsidRPr="008127F8">
        <w:rPr>
          <w:rFonts w:ascii="Times New Roman" w:hAnsi="Times New Roman"/>
          <w:color w:val="000000" w:themeColor="text1"/>
          <w:sz w:val="16"/>
          <w:szCs w:val="16"/>
        </w:rPr>
        <w:t>тов.ЛУКИНУ</w:t>
      </w:r>
      <w:proofErr w:type="gramEnd"/>
      <w:r w:rsidRPr="008127F8">
        <w:rPr>
          <w:rFonts w:ascii="Times New Roman" w:hAnsi="Times New Roman"/>
          <w:color w:val="000000" w:themeColor="text1"/>
          <w:sz w:val="16"/>
          <w:szCs w:val="16"/>
        </w:rPr>
        <w:t xml:space="preserve"> обеспечить изготовление парашютов и подачу их на завод № 80 НКБ в следующие сроки:</w:t>
      </w:r>
    </w:p>
    <w:p w14:paraId="334479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1/1У по 10/1У - 1942г. - 60 шт.</w:t>
      </w:r>
    </w:p>
    <w:p w14:paraId="64F656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10/1У по 1/У - - 65 шт.</w:t>
      </w:r>
    </w:p>
    <w:p w14:paraId="59502B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 по 1/У1 - " - 300 шт.</w:t>
      </w:r>
    </w:p>
    <w:p w14:paraId="73946F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1/У1 по 1/УII - " - 300 шт.</w:t>
      </w:r>
    </w:p>
    <w:p w14:paraId="208F16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Наркомтекстиль тов. АКИМОВУ обеспечить Наркомлегпром тканью АСТ-100 и стропной веревкой для парашютов "МАБ-250" по заявке последнего с поставкой 10 тыс.метров ткани АСТ-100 и 20 тыс.метров стропной веревки к 1/1У и остальное количество в апреле месяце.</w:t>
      </w:r>
    </w:p>
    <w:p w14:paraId="2C5A38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Наркомчермет тов. ТЕВОСЯНУ обеспечить Бузулукский завод № 1 НКПП:</w:t>
      </w:r>
    </w:p>
    <w:p w14:paraId="1C3AD3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авиационными тросами /198-СТУ/ в следующие сроки: диаметром 1,5 мм. к 5 апреля - 500 метров, к 10 апреля - 2500 метров, диаметром 9,5 мм. к 5 апреля 1000 метров, к 10 апреля - 5000 метров;</w:t>
      </w:r>
    </w:p>
    <w:p w14:paraId="17DB2C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углеродистой сталью для штампов в количестве 1,5 тонны к 5 апреля 1942г.</w:t>
      </w:r>
    </w:p>
    <w:p w14:paraId="4E4B93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НКМВ - </w:t>
      </w:r>
      <w:proofErr w:type="gramStart"/>
      <w:r w:rsidRPr="008127F8">
        <w:rPr>
          <w:rFonts w:ascii="Times New Roman" w:hAnsi="Times New Roman"/>
          <w:color w:val="000000" w:themeColor="text1"/>
          <w:sz w:val="16"/>
          <w:szCs w:val="16"/>
        </w:rPr>
        <w:t>тов.ПАРШИНУ</w:t>
      </w:r>
      <w:proofErr w:type="gramEnd"/>
      <w:r w:rsidRPr="008127F8">
        <w:rPr>
          <w:rFonts w:ascii="Times New Roman" w:hAnsi="Times New Roman"/>
          <w:color w:val="000000" w:themeColor="text1"/>
          <w:sz w:val="16"/>
          <w:szCs w:val="16"/>
        </w:rPr>
        <w:t xml:space="preserve"> отгрузить с завода им.Колющенко 1465 цельнокованых баллонов ФАБ-250 заводу № 1 НКПП в г.Бузулук к 10 апреля 1942 года. </w:t>
      </w:r>
    </w:p>
    <w:p w14:paraId="446650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(И.Сталин) (11813).</w:t>
      </w:r>
    </w:p>
    <w:p w14:paraId="2435630B" w14:textId="77777777" w:rsidR="00BE6AA4" w:rsidRPr="008127F8" w:rsidRDefault="00BE6AA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56FC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A3E8D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9F72C" w14:textId="77777777" w:rsidR="00C13567" w:rsidRPr="008127F8" w:rsidRDefault="00C13567"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С 27 марта по 7 апреля 1942 года в Свердлоыске проходили испытания шлиц для гусениц Т-26, которые дали неоднозначные результаты. Как показали испытания, удельное давление снизилось до 0,26 кг/см2, а погружение в снег снизилось вдвое. Выяснилось, что предельная толщина снежного покрова составила 85 см. Скорость движения по снегу упала на 10%, но на фоне столь внушительной глубины преодоления снежной целины это выглядело не очень проблематичным. Куда большие проблемы выявились с самими плицами. По итогам испытаний конструкцию плиц признали неудачной, поскольку отмечалось недостаточное сцепление и низкая надёжность. За 150 км испытаний было сломано 73 плицы. По результатам испытаний предлагалось улучшить конструкцию уширителей, но дальнейшего развития конструкция не получила (19593).</w:t>
      </w:r>
    </w:p>
    <w:p w14:paraId="4B1C4AB8" w14:textId="77777777" w:rsidR="00C13567" w:rsidRPr="008127F8" w:rsidRDefault="00C13567" w:rsidP="001E0A84">
      <w:pPr>
        <w:pStyle w:val="af"/>
        <w:shd w:val="clear" w:color="auto" w:fill="FFFFFF"/>
        <w:spacing w:before="0" w:after="0"/>
        <w:jc w:val="both"/>
        <w:textAlignment w:val="baseline"/>
        <w:rPr>
          <w:color w:val="000000" w:themeColor="text1"/>
          <w:sz w:val="16"/>
          <w:szCs w:val="16"/>
        </w:rPr>
      </w:pPr>
    </w:p>
    <w:p w14:paraId="176B58BA"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1495 О Центральном управлении паровозного хозяйства НКПС. (7026, 81,82-104).</w:t>
      </w:r>
    </w:p>
    <w:p w14:paraId="0C378FE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98F4A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1496 О руководящих кадрах Центрального управления паровозного хозяйства НКПС. (7026, 105-105об.).</w:t>
      </w:r>
    </w:p>
    <w:p w14:paraId="68ED783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28B0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1497 О распределении вооружения, оборудования и материалов, прибывших из-за границы с 12-м караваном. РГАНИР, Фонд ГКО, д. 25, лл. 106-110, 111-112 (11012).</w:t>
      </w:r>
    </w:p>
    <w:p w14:paraId="28F556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37C0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BBA26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623163"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марта</w:t>
      </w:r>
      <w:r w:rsidRPr="008127F8">
        <w:rPr>
          <w:rFonts w:ascii="Times New Roman" w:hAnsi="Times New Roman"/>
          <w:color w:val="000000" w:themeColor="text1"/>
          <w:sz w:val="16"/>
          <w:szCs w:val="16"/>
        </w:rPr>
        <w:t xml:space="preserve"> в 1942 году утреннее сообщение Совинформбюро:</w:t>
      </w:r>
    </w:p>
    <w:p w14:paraId="750DAFD4"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26 марта на фронте каких-либо существенных изменений не произошло.</w:t>
      </w:r>
    </w:p>
    <w:p w14:paraId="291F4470"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свыше 20 ДЗОТов и блиндажей противника и уничтожили 12 пулемётов и 4 миномёта. Захвачены следующие трофеи: 5 орудий, 72 пулемёта, 12 минометов, винтовки, автоматы, 4 радиостанции, 33 ящика мин, 13 ящиков пороха, 5 походных кухонь и другое вооружение и военное имущество. Немцы потеряли только убитыми 1.800 солдат и офицеров. Взяты пленные.</w:t>
      </w:r>
    </w:p>
    <w:p w14:paraId="2F91503C"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силою до батальона пытался вернуть пункт, занятый нашей стрелковой частью. Пьяные гитлеровцы шли в атаку во весь рост. Бойцы, подпустив немцев на близкое расстояние, открыли дружный огонь из пулемётов и автоматов и отбили «психическую» атаку противника. На поле бояосталось около 100 вражеских трупов. Захвачено 65 немецких винтовок, 15 пулемётов, 3 автомата, 13 пистолетов, свыше 13.000 патронов и другое военное имущество.</w:t>
      </w:r>
    </w:p>
    <w:p w14:paraId="74BFD593"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Образцы мужества и отваги проявили на одном из участков Калининского фронта наши танкисты. Десять немецких танков прорвались к деревне Г. В этой деревне ремонтировался наш танк. Экипаж танка — лейтенант Костяков, старший сержантПлиткин, красноармейцы Глазачёв, Иванов и </w:t>
      </w:r>
      <w:proofErr w:type="gramStart"/>
      <w:r w:rsidRPr="008127F8">
        <w:rPr>
          <w:rFonts w:ascii="Times New Roman" w:hAnsi="Times New Roman"/>
          <w:color w:val="000000" w:themeColor="text1"/>
          <w:sz w:val="16"/>
          <w:szCs w:val="16"/>
        </w:rPr>
        <w:t>Бородавка,—</w:t>
      </w:r>
      <w:proofErr w:type="gramEnd"/>
      <w:r w:rsidRPr="008127F8">
        <w:rPr>
          <w:rFonts w:ascii="Times New Roman" w:hAnsi="Times New Roman"/>
          <w:color w:val="000000" w:themeColor="text1"/>
          <w:sz w:val="16"/>
          <w:szCs w:val="16"/>
        </w:rPr>
        <w:t xml:space="preserve"> увидев вражеские машины,открыл по ним огонь. Поединок советского танка с десятью немецкими продолжался недолго: три вражеские машины были подбиты, остальные быстро ушли обратно. В другом бою, у деревни И., три наших танка уничтожили 8 немецких средних танков и около 100 солдат и офицеров противника.</w:t>
      </w:r>
    </w:p>
    <w:p w14:paraId="7E71690D"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Расчёты зенитных орудий сержантов Егорова и Файзулина метким огнём сбили два вражеских самолёта—«Хейнкель-111» и «Мессершмитт-109». Три немецких летчика разбились насмерть, один пилот спустился с парашютом и был взят в плен.</w:t>
      </w:r>
    </w:p>
    <w:p w14:paraId="5FD81347"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Ефрейтор 3 роты 601 немецкого пехотного полка Пауль Баровский рассказал: «Я только на днях прибыл на фронт. В первом же бою отстал от роты и спрятался, а когда в деревню вошли русские, вышел из подвала и сдался в плен. Настроение солдат резервных частей, расположенных в тылу, подавленное. Они со страхом ждут отправки на фронт. Прибывающие в большом количестве раневые рассказывают об огромных потерях германской армии в России. Военные власти и полиция принимают все меры к тому, чтобы народ не узнал о действительном положении на фронте. Я сам видел, как солдаты оцепили здание вокзала, когда прибыл санитарный </w:t>
      </w:r>
      <w:proofErr w:type="gramStart"/>
      <w:r w:rsidRPr="008127F8">
        <w:rPr>
          <w:rFonts w:ascii="Times New Roman" w:hAnsi="Times New Roman"/>
          <w:color w:val="000000" w:themeColor="text1"/>
          <w:sz w:val="16"/>
          <w:szCs w:val="16"/>
        </w:rPr>
        <w:t>эшелон,чтобы</w:t>
      </w:r>
      <w:proofErr w:type="gramEnd"/>
      <w:r w:rsidRPr="008127F8">
        <w:rPr>
          <w:rFonts w:ascii="Times New Roman" w:hAnsi="Times New Roman"/>
          <w:color w:val="000000" w:themeColor="text1"/>
          <w:sz w:val="16"/>
          <w:szCs w:val="16"/>
        </w:rPr>
        <w:t xml:space="preserve"> гражданское население не могло увидеть раненых и услышать от них об ужасах фронта».</w:t>
      </w:r>
    </w:p>
    <w:p w14:paraId="7F6878DC"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письме немецкого солдата Карла (фамилия не установлена) говорится: «Я отморозил пальцы на ногах. Другие пострадали ещё больше, а многие совсем пропали. Со здоровьем у меня совсем неважно: ревматические боли мучат уже 4 недели. Приходишь в отчаяние оттого, что тебе едва 25 лет, а ты уже выгладишь, как старик».</w:t>
      </w:r>
    </w:p>
    <w:p w14:paraId="65F1899A"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Красной Армии, немцы убивают раненых красноармейцев. В лесу около деревни Лехово, Ленинградской области, гитлеровские изверги расстреляли пять раненых красноармейцев, учинив предварительно над ними зверские пытки. У старшего лейтенанта Буреняна выколоты глаза и ножом изрезано лицо, у двух красноармейцев вывернуты руки и отрезаны пальцы и носы, у третьего красноармейца отрублена нога. Один красноармеец был повешен на телеграфном столбе.</w:t>
      </w:r>
    </w:p>
    <w:p w14:paraId="7E38D88B"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Голод и каторжные условия труда на предприятиях Германии вызывают огромное количество несчастных случаев. Особенно много пострадавших среди малоквалифицированных иностранных рабочих. На автомобильном заводе близ Ганновера за январь и февраль произошло 93 несчастных случая со смертельным исходом. Много рабочих, главным образом испанцев и французов, получило тяжёлые увечья.» (15080).</w:t>
      </w:r>
    </w:p>
    <w:p w14:paraId="65D85982" w14:textId="77777777" w:rsidR="00BE6AA4" w:rsidRPr="008127F8" w:rsidRDefault="00BE6AA4" w:rsidP="001E0A84">
      <w:pPr>
        <w:spacing w:after="0" w:line="240" w:lineRule="auto"/>
        <w:jc w:val="both"/>
        <w:rPr>
          <w:rFonts w:ascii="Times New Roman" w:hAnsi="Times New Roman"/>
          <w:color w:val="000000" w:themeColor="text1"/>
          <w:sz w:val="16"/>
          <w:szCs w:val="16"/>
        </w:rPr>
      </w:pPr>
    </w:p>
    <w:p w14:paraId="37EECABC"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марта</w:t>
      </w:r>
      <w:r w:rsidRPr="008127F8">
        <w:rPr>
          <w:rFonts w:ascii="Times New Roman" w:hAnsi="Times New Roman"/>
          <w:color w:val="000000" w:themeColor="text1"/>
          <w:sz w:val="16"/>
          <w:szCs w:val="16"/>
        </w:rPr>
        <w:t xml:space="preserve"> в 1942 году вечернее сообщение Совинформбюро:</w:t>
      </w:r>
    </w:p>
    <w:p w14:paraId="5EE46776"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26 марта на фронте существенных изменений не произошло.</w:t>
      </w:r>
    </w:p>
    <w:p w14:paraId="7B61F98C"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марта уничтожено 11 немецких самолётов. Наши потери — 6 самолётов.</w:t>
      </w:r>
    </w:p>
    <w:p w14:paraId="78AF6E56"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марта наши авиачасти уничтожили или повредили несколько немецких танков и бронемашин, 41 автомашину с войсками и грузами, 58 повозок с боеприпасами, 5 орудий, 12 миномётов, взорвали склад с горючим, разрушили 10 железнодорожных вагонов и 3 паровоза, рассеяли и частью уничтожили до двух рот пехоты противника.</w:t>
      </w:r>
    </w:p>
    <w:p w14:paraId="7D28CA75"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наша стрелковая часть, сломив упорное сопротивление врага, овладела населённым пунктом. На поле боя остались сотни вражеских трупов. Захвачены трофеи: 3 орудия, 5 миномётов, 7 пулемётов, 17 автоматов, 100.000 патронов и другое военное имущество. На другом участке наши артиллеристы разрушили 2 немецких блиндажа, уничтожили 20 подвод с грузами и рассеяли до роты пехоты противника.</w:t>
      </w:r>
    </w:p>
    <w:p w14:paraId="20EBD607"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артиллерийский дивизион (Калининский фронт) в течение дня подбил 3 вражеских танка и подавил миномётную батарею противника. На другом участке артиллеристы части под командованием т. Олыпева, отражая контратаки противника, уничтожили 7 немецких танков, 25 подвод с грузом, несколько миномётных и пулемётных точек.</w:t>
      </w:r>
    </w:p>
    <w:p w14:paraId="127E9733"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противник предпринял танковую атаку. Бойцы подразделения под командованием политрука Юрченко огнём из противотанковых ружей рассеяли колонну противника. В бою особенно отличился красноармеец Лялин. Он подпустил тяжёлый немецкий танк на 35 метров и пятью выстрелами вывел его из строя. Расчёт тов. Степанова с дистанции в 70 метров подбил второй вражеский танк.</w:t>
      </w:r>
    </w:p>
    <w:p w14:paraId="1D7B2C0A"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Партизанский отряд тов. К., действующий в одном из районов Смоленской области, оккупированных немцами, за последнее время уничтожил 135 немецких солдат и 9 офицеров. Партизаны захватили несколько десятков винтовок, миномёт, патроны и ценные штабные документы. Советские патриоты прервали в 13 местах телефонную связь и взорвали железнодорожный мост.</w:t>
      </w:r>
    </w:p>
    <w:p w14:paraId="19552B11"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натиском частей Красной Армии, немецко-фашистские бандиты сжигают деревни, убивают мирных жителей, в том числе стариков, детей и женщин. В Залучском районе, Ленинградской области, гитлеровцы сожгли 10 сёл: Большой Остров, Лужки, Шубино, Лебединец, Никулино 1-е, Никулино 2-е, Громково, Ваньково, Горбы, Рядово. В этих сёлах гитлеровцы расстреляли до 100 человек. Случайно удалось спастись колхознику Степанову Григорию Харитоновичу. Во время расстрела он упал после залпа и пролежал несколько часов под телами убитых. Тов.Степанов рассказывает: «Когда нас вели на расстрел, старик колхозник Иванов подбадривал остальных и говорил: «Не бойтесь умирать, крестьяне, за свою родную Русь, за нас отомстит народ».</w:t>
      </w:r>
    </w:p>
    <w:p w14:paraId="7361DDD3"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марта 1942 года финское правительство выпустило двухмиллиардный государственный заём. Однако, как это видно из опубликованных официальных данных, попытка финских правителей мобилизовать новые средства для продолжения преступной войны против СССР провалилась с треском. За двадцать дней марта заём был реализован менее чем на одну треть, и фактически на этом распространение займа прекратилось. Облигации займа куплены лишь некоторыми банками и предприятиями Население облигаций не покупает. Характерно, что газета «Суоменсосиали демократти», поднявшая по заданию правительства шумиху вокруг займа, не могла во всей стране найти ни одного предприятия, где бы заём получил распространение. В связи с этим газета прибегла к явному жульничеству, </w:t>
      </w:r>
      <w:proofErr w:type="gramStart"/>
      <w:r w:rsidRPr="008127F8">
        <w:rPr>
          <w:rFonts w:ascii="Times New Roman" w:hAnsi="Times New Roman"/>
          <w:color w:val="000000" w:themeColor="text1"/>
          <w:sz w:val="16"/>
          <w:szCs w:val="16"/>
        </w:rPr>
        <w:t>сообщив,что</w:t>
      </w:r>
      <w:proofErr w:type="gramEnd"/>
      <w:r w:rsidRPr="008127F8">
        <w:rPr>
          <w:rFonts w:ascii="Times New Roman" w:hAnsi="Times New Roman"/>
          <w:color w:val="000000" w:themeColor="text1"/>
          <w:sz w:val="16"/>
          <w:szCs w:val="16"/>
        </w:rPr>
        <w:t xml:space="preserve"> «на одном заводе подписались на заём 75 процентов всех рабочих, а на другом—60 процентов». Названия заводов предусмотрительно не указаны.</w:t>
      </w:r>
    </w:p>
    <w:p w14:paraId="0C87DFC4"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Провал очередного займа в Финляндии — свидетельство того, как финский народ бойкотирует мероприятия продавшегося гитлеровцам правительства Рюти. Финны не хотят отдавать свои последние гроши гитлеровским прихвостням.» (15080).</w:t>
      </w:r>
    </w:p>
    <w:p w14:paraId="53A01C46" w14:textId="77777777" w:rsidR="00BE6AA4" w:rsidRPr="008127F8" w:rsidRDefault="00BE6AA4" w:rsidP="001E0A84">
      <w:pPr>
        <w:spacing w:after="0" w:line="240" w:lineRule="auto"/>
        <w:jc w:val="both"/>
        <w:rPr>
          <w:rFonts w:ascii="Times New Roman" w:hAnsi="Times New Roman"/>
          <w:color w:val="000000" w:themeColor="text1"/>
          <w:sz w:val="16"/>
          <w:szCs w:val="16"/>
        </w:rPr>
      </w:pPr>
    </w:p>
    <w:p w14:paraId="40697A81" w14:textId="77777777" w:rsidR="00BE6AA4" w:rsidRPr="008127F8" w:rsidRDefault="00BE6AA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марта</w:t>
      </w:r>
      <w:r w:rsidRPr="008127F8">
        <w:rPr>
          <w:rFonts w:ascii="Times New Roman" w:hAnsi="Times New Roman"/>
          <w:color w:val="000000" w:themeColor="text1"/>
          <w:sz w:val="16"/>
          <w:szCs w:val="16"/>
        </w:rPr>
        <w:t xml:space="preserve"> в 1942 году запланированный Верховным десант окруженной 33-й армии был отменен распоряжением комзапфронта Жукова в пользу сброса боепитания и провианта. Но ограничилиь разведывательным полетом двух самолетов «По-2» (15080).</w:t>
      </w:r>
    </w:p>
    <w:p w14:paraId="298D6EDF" w14:textId="77777777" w:rsidR="00BE6AA4" w:rsidRPr="008127F8" w:rsidRDefault="00BE6AA4" w:rsidP="001E0A84">
      <w:pPr>
        <w:spacing w:after="0" w:line="240" w:lineRule="auto"/>
        <w:jc w:val="both"/>
        <w:rPr>
          <w:rFonts w:ascii="Times New Roman" w:hAnsi="Times New Roman"/>
          <w:color w:val="000000" w:themeColor="text1"/>
          <w:sz w:val="16"/>
          <w:szCs w:val="16"/>
        </w:rPr>
      </w:pPr>
    </w:p>
    <w:p w14:paraId="31E329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г. вышел ПРИКАЗ № 0058 О ПРИЗЫВЕ В ВОЙСКА ПВО ДЕВУШЕК-КОМСОМОЛОК</w:t>
      </w:r>
    </w:p>
    <w:p w14:paraId="72C90C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за № ГОКО 1488сс от 25 марта 1942 г. в войска противовоздушной обороны территории страны ЦК ВЛКСМ к 10 апреля 1942 года мобилизуются 100 000 девушек-комсомолок для замены красноармейцев.</w:t>
      </w:r>
    </w:p>
    <w:p w14:paraId="25E6C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229A93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Призываемых девушек-комсомолок направить в войска ПВО терито-рии страны для замены красноармейцев следующих специальностей:</w:t>
      </w:r>
    </w:p>
    <w:p w14:paraId="1F2BD7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зенитной артиллерии — прибористов, телефонистов, дальномерщиков, радистов, разведчиков-наблюдателей за воздухом, всего — 45 000 человек;</w:t>
      </w:r>
    </w:p>
    <w:p w14:paraId="6FFD08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зенитно-пулеметных частях — связистов, 40 % пулеметчиков, разведчиков,</w:t>
      </w:r>
    </w:p>
    <w:p w14:paraId="594924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 3 000 человек;</w:t>
      </w:r>
    </w:p>
    <w:p w14:paraId="6618A0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зенитно-прожекторных частях — телефонистов, радистов, разведчиков, на станциях сопроводителях 60 % обслуживающего расчета, всего — 7 000 человек;</w:t>
      </w:r>
    </w:p>
    <w:p w14:paraId="59D17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 частях аэростатов воздушного заграждения — 60 % обслуживающего расчета аэростатов и телефонистов, всего — 5 000 человек;</w:t>
      </w:r>
    </w:p>
    <w:p w14:paraId="5424B1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 частях службы ВНОС — всех наблюдателей — телефонистов, наблюдательных постов ВНОС,</w:t>
      </w:r>
    </w:p>
    <w:p w14:paraId="1EBAC9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 40 000 человек;</w:t>
      </w:r>
    </w:p>
    <w:p w14:paraId="7ED8D3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во всех частях войск ПВО территории страны — санитаров и санинструкторов, писарей, поваров, частично шоферов и кладовщиков.</w:t>
      </w:r>
    </w:p>
    <w:p w14:paraId="5F3429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Замену красноармейцев девушками-комсомолками произвести в сроки:</w:t>
      </w:r>
    </w:p>
    <w:p w14:paraId="6F2469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подразделениях обслуживания — немедленно после призыва;</w:t>
      </w:r>
    </w:p>
    <w:p w14:paraId="62EA3F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специалистов в частях зенитной артиллерии не позднее чем через полтора месяца после призыва;</w:t>
      </w:r>
    </w:p>
    <w:p w14:paraId="4F9390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специалистов зенитно-прожекторных частей — через два месяца после призыва;</w:t>
      </w:r>
    </w:p>
    <w:p w14:paraId="6B0F1D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специалистов аэростатов заграждения — через полтора месяца после призыва;</w:t>
      </w:r>
    </w:p>
    <w:p w14:paraId="3DF58E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пулеметчиков — через полтора месяца после призыва; е) наблюдателей — телефонистов постов службы ВНОС — через два месяца после призыва.</w:t>
      </w:r>
    </w:p>
    <w:p w14:paraId="106E0A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Командующему войсками ПВО территории страны:</w:t>
      </w:r>
    </w:p>
    <w:p w14:paraId="689425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установленные в § 2 сроки организовать боевую подготовку призываемых девушек-комсомолок и по окончании учебы произвести замену красноармейцев;</w:t>
      </w:r>
    </w:p>
    <w:p w14:paraId="166B1C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10 апреля дать изменения в штаты частей противовоздушной обороны территории страны в связи с заменой красноармейцев девушками-комсомолками.</w:t>
      </w:r>
    </w:p>
    <w:p w14:paraId="263557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Освобождающихся красноармейцев, после замены их девушками-комсомолками, использовать на укомплектование выводимых с фронта стрелковых дивизий и стрелковых бригад по плану Главупраформа.</w:t>
      </w:r>
    </w:p>
    <w:p w14:paraId="67743A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Мобилизованных девушек-комсомолок, назначаемых на должности красноармейцев, входящих в состав строевого расчета подразделений (артиллеристы, пулеметчики, прожектористы, аэростатчики, связисты, вносовцы и разведчики), обеспечить всеми видами довольствия, наравне с военнослужащими, распространив на них действие Указа Президиума Верховного Совета от 26.6.1941 г. и постановления СНК от 16.7.1940 г. за № 1269, назначаемых же на административно-хозяйственные должности (писаря, делопроизводители, кладовщики, повара, фельдшера, санитары, санинструктора, портные) содержать как вольнонаемных.</w:t>
      </w:r>
    </w:p>
    <w:p w14:paraId="70FE44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Главному интенданту Красной Армии изготовить в месячный срок — 90 000 комплектов обмундирования, а начальнику Главупродснабжения КА отпустить 100 000 полуторамесячных пайков на период обучения призванных девушек-комсомолок.</w:t>
      </w:r>
    </w:p>
    <w:p w14:paraId="658DDC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Командующему войсками ПВО территории страны о ходе замены красноармейцев доложить мне 3 мая и 1 июня 1942 г.</w:t>
      </w:r>
    </w:p>
    <w:p w14:paraId="0E45F9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СССР И. СТАЛИН </w:t>
      </w:r>
      <w:r w:rsidRPr="008127F8">
        <w:rPr>
          <w:rFonts w:ascii="Times New Roman" w:hAnsi="Times New Roman"/>
          <w:color w:val="000000" w:themeColor="text1"/>
          <w:sz w:val="16"/>
          <w:szCs w:val="16"/>
        </w:rPr>
        <w:t>(9844).</w:t>
      </w:r>
    </w:p>
    <w:p w14:paraId="2D6F73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B206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марта 1942 вышел приказ о призыве в войска ПВО девушек-комсомолок, изданный во исполнение постановления ГКО. Согласно ему барышни направлялись: в зенитную артиллерию – прибористками, телефонистками, дальномерщицами и радистками (45 тыс. человек), в зенитно-пулеметные части – связистками, пулеметчицами и разведчицами (13 тыс. человек), в прожекторные части (7000 человек), в части аэростатов заграждения (5000 человек), в части ВНОС – наблюдателями и телефонистками (40 тыс. человек). Во всех частях ПВО они должны были заменить мужчин по следующим специальностям: санитары, инструкторы, писари, повара, частично шоферы и кладовщики. Согласно приказу, замену нужно было произвести за полтора-два месяца, а в подразделениях обслуживания – немедленно. Эта масштабная мобилизация женщин началась с определенной «разведки», проведенной секретарем ЦК ВКП(б) А. С. Щербаковым, который выяснил у командующего Московским корпусным районом Д. А. Журавлева, как тот отнесется к появлению в его войсках представительниц слабого пола. Чтобы сразу пресечь возможные возражения генерала, Щербаков намекнул, что вопрос уже предварительно обсуждался в ЦК и получил одобрение. Данное предложение мотивировалось тем, что многие девушки-патриотки завалили партийные и комсомольские организации и лично товарища Сталина заявлениями о своем стремлении принять участие в защите родины. После такого вступления и последовавшей долгой беседы с партийным функционером столь высокого ранга генерал Журавлев уже не мог напрямую отказаться от предложенной ему явно неполноценной замены, хотя и сослался на отсутствие опыта привлечения женщин к обслуживанию боевой техники. Дальнейшая обработка командования ПВО продолжилась в беседе Щербакова с политработниками, которые поспешили одобрить инициативу ЦК ВКП(б). Чуть позже, уже после прибытия в части противовоздушной обороны женщин, Сталин, видимо, все-таки испытывавший определенные сомнения в целесообразности этого решения, поинтересовался у Журавлева, как в войсках восприняли их приход. Тот угоднически ответил, </w:t>
      </w:r>
      <w:proofErr w:type="gramStart"/>
      <w:r w:rsidRPr="008127F8">
        <w:rPr>
          <w:rFonts w:ascii="Times New Roman" w:hAnsi="Times New Roman"/>
          <w:color w:val="000000" w:themeColor="text1"/>
          <w:sz w:val="16"/>
          <w:szCs w:val="16"/>
        </w:rPr>
        <w:t>что  «</w:t>
      </w:r>
      <w:proofErr w:type="gramEnd"/>
      <w:r w:rsidRPr="008127F8">
        <w:rPr>
          <w:rFonts w:ascii="Times New Roman" w:hAnsi="Times New Roman"/>
          <w:color w:val="000000" w:themeColor="text1"/>
          <w:sz w:val="16"/>
          <w:szCs w:val="16"/>
        </w:rPr>
        <w:t>женщин приняли нормально и что они с большим желанием начали изучать военные специальности». Фактически же все обстояло не так безоблачно. Весть о том, что в войска ПВО придут служить девушки, поначалу сильно взбудоражила командиров и политработников, которые сомневались в том, что те, по природе своей склонные к панике и истерике, адекватно поведут себя на огневой позиции в суровых условиях боевой обстановки. Особенно тревожила эта мысль старых, кадровых командиров, которые еще могли представить их в роли медсестер, но не более того. Кроме того, служба женщин на батареях, постах ВНОС, у аэростатов, на пулеметах, где обычно имелась одна землянка для размещения личного состава, повлекла за собой множество бытовых проблем, которые надо было решать в срочном порядке. Стоит отметить, что для того, чтобы наладить производство и правильное снабжение военной формой мобилизованных женщин, в Наркомате обороны даже специально была учреждена должность помощника главного интенданта Красной Армии по женскому обмундированию. Военкоматы и комсомольские организации, отбиравшие «добровольцев», постарались послать в ПВО наиболее грамотных девушек. Четверть прибывших имела законченное среднее или высшее образование, каждая десятая окончила пять-шесть классов. Очень скоро командиры частей противовоздушной обороны поняли, что получили в свое распоряжение исполнительных, дисциплинированных и аккуратных подчиненных, меньше, чем мужчины, склонных к пьянству. В зенитной артиллерии традиционно женскими стали должности номеров дальномерного расчета и приборного отделения, телефонистов, радистов и разведчиков. Таким образом, с весны 1942 г. обеспечение точности и эффективности огня зениток решением правительства было передано в хрупкие женские руки (11774).</w:t>
      </w:r>
    </w:p>
    <w:p w14:paraId="73B041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DC60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1494 О введении интендантских званий. (7026, 79-80).</w:t>
      </w:r>
    </w:p>
    <w:p w14:paraId="303213F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4D16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вышло Постановление ГКО № 1501 О строительстве и восстановлении оборонительных рубежей. (7026, 116-118).</w:t>
      </w:r>
    </w:p>
    <w:p w14:paraId="6151709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968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НКВМФ Н.Г.Кузнецов выпустил директиву N 9/66 о выборе мест для аэродромов (2120).</w:t>
      </w:r>
    </w:p>
    <w:p w14:paraId="5D16B5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F63FE" w14:textId="77777777" w:rsidR="002B04C7" w:rsidRPr="008127F8" w:rsidRDefault="002B04C7"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41BD92B" w14:textId="77777777" w:rsidR="002B04C7" w:rsidRPr="008127F8" w:rsidRDefault="002B04C7"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6734EA" w14:textId="77777777" w:rsidR="002B04C7" w:rsidRPr="008127F8" w:rsidRDefault="002B04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Из дневника журналиста Н. К. Вержбицкого: "Не редкость увидеть москвича, который, на манер средневекового запорожца, останавливается на улице и начинает куском стали высекать из камушка искры, чтобы заставить затлеть примитивный "трут", сделанный из старого бинта... По-видимому, до апреля продукты выдавать по карточкам не будут. За весь месяц получили 800 г. соли и 400 г. рыбы. Все!" (18696).</w:t>
      </w:r>
    </w:p>
    <w:p w14:paraId="7165DD3B" w14:textId="77777777" w:rsidR="002B04C7" w:rsidRPr="008127F8" w:rsidRDefault="002B04C7" w:rsidP="001E0A84">
      <w:pPr>
        <w:spacing w:after="0" w:line="240" w:lineRule="auto"/>
        <w:jc w:val="both"/>
        <w:rPr>
          <w:rFonts w:ascii="Times New Roman" w:hAnsi="Times New Roman"/>
          <w:color w:val="000000" w:themeColor="text1"/>
          <w:sz w:val="16"/>
          <w:szCs w:val="16"/>
        </w:rPr>
      </w:pPr>
    </w:p>
    <w:p w14:paraId="6BE513B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E3375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43E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w:t>
      </w:r>
      <w:r w:rsidRPr="008127F8">
        <w:rPr>
          <w:rFonts w:ascii="Times New Roman" w:hAnsi="Times New Roman"/>
          <w:color w:val="000000" w:themeColor="text1"/>
          <w:sz w:val="16"/>
          <w:szCs w:val="16"/>
          <w:lang w:val="en-US"/>
        </w:rPr>
        <w:t>March</w:t>
      </w:r>
      <w:r w:rsidRPr="008127F8">
        <w:rPr>
          <w:rFonts w:ascii="Times New Roman" w:hAnsi="Times New Roman"/>
          <w:color w:val="000000" w:themeColor="text1"/>
          <w:sz w:val="16"/>
          <w:szCs w:val="16"/>
        </w:rPr>
        <w:t xml:space="preserve"> 1942 </w:t>
      </w:r>
      <w:r w:rsidRPr="008127F8">
        <w:rPr>
          <w:rFonts w:ascii="Times New Roman" w:hAnsi="Times New Roman"/>
          <w:color w:val="000000" w:themeColor="text1"/>
          <w:sz w:val="16"/>
          <w:szCs w:val="16"/>
          <w:lang w:val="en-US"/>
        </w:rPr>
        <w:t>Russia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UK</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Treaty</w:t>
      </w:r>
      <w:r w:rsidRPr="008127F8">
        <w:rPr>
          <w:rFonts w:ascii="Times New Roman" w:hAnsi="Times New Roman"/>
          <w:color w:val="000000" w:themeColor="text1"/>
          <w:sz w:val="16"/>
          <w:szCs w:val="16"/>
        </w:rPr>
        <w:t xml:space="preserve"> (270).</w:t>
      </w:r>
    </w:p>
    <w:p w14:paraId="34829D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78F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было подписано советско-английское соглашение (270).</w:t>
      </w:r>
    </w:p>
    <w:p w14:paraId="7B7513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CA7DF"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A40FC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A89B0C" w14:textId="77777777" w:rsidR="002E7BAC" w:rsidRPr="008127F8" w:rsidRDefault="002E7B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Fliegerkorps II начинает атаки на английские подводные лодки, потопив HMS P39 и повредив две других. С этого времени подводные лодки на Мальте полностью погружаются в воду, находясь в порту (20793).</w:t>
      </w:r>
    </w:p>
    <w:p w14:paraId="13510370"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25FD9EA1" w14:textId="77777777" w:rsidR="002E7BAC" w:rsidRPr="008127F8" w:rsidRDefault="002E7B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26–27 марта (ночь) 1942 115 британских бомбардировщиков атакуют Рур (20793).</w:t>
      </w:r>
    </w:p>
    <w:p w14:paraId="0DBB5025"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1A15BAA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в Германии вышел указ, обязывающий четко обозначить все еврейские дома в стране (4962).</w:t>
      </w:r>
    </w:p>
    <w:p w14:paraId="4EA6A71B"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59C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марта 1942 фашисты стали депортировать евреев в Освенцим (2100).</w:t>
      </w:r>
    </w:p>
    <w:p w14:paraId="5722CE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CF67B"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марта</w:t>
      </w:r>
      <w:r w:rsidRPr="008127F8">
        <w:rPr>
          <w:rFonts w:ascii="Times New Roman" w:hAnsi="Times New Roman"/>
          <w:color w:val="000000" w:themeColor="text1"/>
          <w:sz w:val="16"/>
          <w:szCs w:val="16"/>
        </w:rPr>
        <w:t xml:space="preserve"> в 1942 году японское авианосное соединение вышло в Индийский океан (15080).</w:t>
      </w:r>
    </w:p>
    <w:p w14:paraId="3C98ADDE"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4852E7C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F91A3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3049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вышел приказ N 233 по обеспечению оборудования самолетов Ил-4 дополнительными маслобаками и подвесными бензобаками (1538,51).</w:t>
      </w:r>
    </w:p>
    <w:p w14:paraId="3492EE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2FB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Алексеев писал в ЦК ВКП(б) письмо (вх. N 2921оп) о положении с самолетами конструкции Ермолаева и это письмо в дальнейшем было передано в НКАП А.И.Ш. (2728,142).</w:t>
      </w:r>
    </w:p>
    <w:p w14:paraId="4FFE08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01172" w14:textId="77777777" w:rsidR="002E7BAC" w:rsidRPr="008127F8" w:rsidRDefault="002E7BAC"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На 27 марта 1942 г. договорная цена на Як-3 (за</w:t>
      </w:r>
      <w:r w:rsidRPr="008127F8">
        <w:rPr>
          <w:rFonts w:ascii="Times New Roman" w:hAnsi="Times New Roman"/>
          <w:color w:val="000000" w:themeColor="text1"/>
          <w:sz w:val="16"/>
          <w:szCs w:val="16"/>
          <w:lang w:eastAsia="ru-RU" w:bidi="ru-RU"/>
        </w:rPr>
        <w:softHyphen/>
        <w:t>вод № 153) составляла 160 тыс. руб., Ил-2 (№ 1) - 300, Ил-2 (№ 30) - 480 тыс. руб. (РГАЭ, ф. 8044, оп. 1, д. 2830, л. 78, 90). При этом в цену Ил-2 включалась стоимость авиапушек ВЯ-23 (15 тыс. руб.). Вообще, договорные цены на авиавооружение в 1942 г. были существен</w:t>
      </w:r>
      <w:r w:rsidRPr="008127F8">
        <w:rPr>
          <w:rFonts w:ascii="Times New Roman" w:hAnsi="Times New Roman"/>
          <w:color w:val="000000" w:themeColor="text1"/>
          <w:sz w:val="16"/>
          <w:szCs w:val="16"/>
          <w:lang w:eastAsia="ru-RU" w:bidi="ru-RU"/>
        </w:rPr>
        <w:softHyphen/>
        <w:t>но снижены: на пулемёты УБК и УБТ с 12.5 до 6.5 тыс. руб., на мотор-пушку ШВАК - с 12.5 до 8, на крыльевую пушку ШВАК - с 9 до 6 тыс. руб. (РГАЭ, ф. 8044, оп. 1, д. 2830, л. 78, 90). Это было вызвано тем, что, по мнению советских руководителей, «оборонка» в целом и в том числе авиапромышленность пытались переложить финансовые про</w:t>
      </w:r>
      <w:r w:rsidRPr="008127F8">
        <w:rPr>
          <w:rFonts w:ascii="Times New Roman" w:hAnsi="Times New Roman"/>
          <w:color w:val="000000" w:themeColor="text1"/>
          <w:sz w:val="16"/>
          <w:szCs w:val="16"/>
          <w:lang w:eastAsia="ru-RU" w:bidi="ru-RU"/>
        </w:rPr>
        <w:softHyphen/>
        <w:t>блемы на армию, не желая работать над снижением себестоимости. Да и сам порядок установления договорных цен раз в год не вызывал удовольствия ни у НКО, ни у финансовых органов. По этому поводу нарком финансов А.Г. Зве</w:t>
      </w:r>
      <w:r w:rsidRPr="008127F8">
        <w:rPr>
          <w:rFonts w:ascii="Times New Roman" w:hAnsi="Times New Roman"/>
          <w:color w:val="000000" w:themeColor="text1"/>
          <w:sz w:val="16"/>
          <w:szCs w:val="16"/>
          <w:lang w:eastAsia="ru-RU" w:bidi="ru-RU"/>
        </w:rPr>
        <w:softHyphen/>
        <w:t>рев писал заместителю председателя СНК СССР А.И. Микояну в марте 1942 г.: «Поставщик, как правило, не заинтересован в действительном снижении опто</w:t>
      </w:r>
      <w:r w:rsidRPr="008127F8">
        <w:rPr>
          <w:rFonts w:ascii="Times New Roman" w:hAnsi="Times New Roman"/>
          <w:color w:val="000000" w:themeColor="text1"/>
          <w:sz w:val="16"/>
          <w:szCs w:val="16"/>
          <w:lang w:eastAsia="ru-RU" w:bidi="ru-RU"/>
        </w:rPr>
        <w:softHyphen/>
        <w:t>вых цен, которое давило бы на него и заставляло бы снижать себестоимость. Требуется каждый раз специальное постановление СНК СССР, обязывающее наркоматы пересматривать цены на военную продукцию. В свою очередь, уста</w:t>
      </w:r>
      <w:r w:rsidRPr="008127F8">
        <w:rPr>
          <w:rFonts w:ascii="Times New Roman" w:hAnsi="Times New Roman"/>
          <w:color w:val="000000" w:themeColor="text1"/>
          <w:sz w:val="16"/>
          <w:szCs w:val="16"/>
          <w:lang w:eastAsia="ru-RU" w:bidi="ru-RU"/>
        </w:rPr>
        <w:softHyphen/>
        <w:t>новление цены раз в год приводит на практике к тому, что по отдельным изде</w:t>
      </w:r>
      <w:r w:rsidRPr="008127F8">
        <w:rPr>
          <w:rFonts w:ascii="Times New Roman" w:hAnsi="Times New Roman"/>
          <w:color w:val="000000" w:themeColor="text1"/>
          <w:sz w:val="16"/>
          <w:szCs w:val="16"/>
          <w:lang w:eastAsia="ru-RU" w:bidi="ru-RU"/>
        </w:rPr>
        <w:softHyphen/>
        <w:t>лиям к концу года оптовые цены отрываются от себестоимости». В этой свя</w:t>
      </w:r>
      <w:r w:rsidRPr="008127F8">
        <w:rPr>
          <w:rFonts w:ascii="Times New Roman" w:hAnsi="Times New Roman"/>
          <w:color w:val="000000" w:themeColor="text1"/>
          <w:sz w:val="16"/>
          <w:szCs w:val="16"/>
          <w:lang w:eastAsia="ru-RU" w:bidi="ru-RU"/>
        </w:rPr>
        <w:softHyphen/>
        <w:t>зи Зверев предлагал разрешить Госплану и НКФ пересматривать сложившиеся цены по мере необходимости (22646).</w:t>
      </w:r>
    </w:p>
    <w:p w14:paraId="36DA0793" w14:textId="77777777" w:rsidR="002E7BAC" w:rsidRPr="008127F8" w:rsidRDefault="002E7BAC" w:rsidP="001E0A84">
      <w:pPr>
        <w:spacing w:after="0" w:line="240" w:lineRule="auto"/>
        <w:jc w:val="both"/>
        <w:rPr>
          <w:rFonts w:ascii="Times New Roman" w:hAnsi="Times New Roman"/>
          <w:color w:val="000000" w:themeColor="text1"/>
          <w:sz w:val="16"/>
          <w:szCs w:val="16"/>
          <w:lang w:eastAsia="ru-RU" w:bidi="ru-RU"/>
        </w:rPr>
      </w:pPr>
    </w:p>
    <w:p w14:paraId="5FA75F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вышел приказ ГУ ГВФ В.С.Молокова о проведении силами ГВФ испытаний двух ПС-84 с турелями УТК-1 под УБТ. Положительно (3444, 11).</w:t>
      </w:r>
    </w:p>
    <w:p w14:paraId="32FAB2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DE7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г. были согла</w:t>
      </w:r>
      <w:r w:rsidRPr="008127F8">
        <w:rPr>
          <w:rFonts w:ascii="Times New Roman" w:hAnsi="Times New Roman"/>
          <w:color w:val="000000" w:themeColor="text1"/>
          <w:sz w:val="16"/>
          <w:szCs w:val="16"/>
        </w:rPr>
        <w:softHyphen/>
        <w:t xml:space="preserve">сованы договорные цены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2830. Л. 28):</w:t>
      </w:r>
    </w:p>
    <w:tbl>
      <w:tblPr>
        <w:tblW w:w="0" w:type="auto"/>
        <w:tblInd w:w="8" w:type="dxa"/>
        <w:tblLayout w:type="fixed"/>
        <w:tblCellMar>
          <w:left w:w="0" w:type="dxa"/>
          <w:right w:w="0" w:type="dxa"/>
        </w:tblCellMar>
        <w:tblLook w:val="0000" w:firstRow="0" w:lastRow="0" w:firstColumn="0" w:lastColumn="0" w:noHBand="0" w:noVBand="0"/>
      </w:tblPr>
      <w:tblGrid>
        <w:gridCol w:w="1306"/>
        <w:gridCol w:w="2222"/>
        <w:gridCol w:w="2390"/>
      </w:tblGrid>
      <w:tr w:rsidR="006F4095" w:rsidRPr="008127F8" w14:paraId="59FAB2B4" w14:textId="77777777">
        <w:trPr>
          <w:trHeight w:val="235"/>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1CF900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завода</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17A6B7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Изделие</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71C97E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Договорная цена тыс. руб.</w:t>
            </w:r>
          </w:p>
        </w:tc>
      </w:tr>
      <w:tr w:rsidR="006F4095" w:rsidRPr="008127F8" w14:paraId="67A1D7ED" w14:textId="77777777">
        <w:trPr>
          <w:trHeight w:val="226"/>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01A697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6F0765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Як-3</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09BE61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r>
      <w:tr w:rsidR="006F4095" w:rsidRPr="008127F8" w14:paraId="7A6F1FAD" w14:textId="77777777">
        <w:trPr>
          <w:trHeight w:val="221"/>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46E599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713449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7DE5F8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6F4095" w:rsidRPr="008127F8" w14:paraId="340C050C" w14:textId="77777777">
        <w:trPr>
          <w:trHeight w:val="245"/>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141F32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0BEAAF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4567A4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r>
    </w:tbl>
    <w:p w14:paraId="4C2A5D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в цену Ил-2 была включена стоимость авиапушек ВЯ-23 (15 тыс. руб.). Вообще договорные цены на авиавооруже</w:t>
      </w:r>
      <w:r w:rsidRPr="008127F8">
        <w:rPr>
          <w:rFonts w:ascii="Times New Roman" w:hAnsi="Times New Roman"/>
          <w:color w:val="000000" w:themeColor="text1"/>
          <w:sz w:val="16"/>
          <w:szCs w:val="16"/>
        </w:rPr>
        <w:softHyphen/>
        <w:t xml:space="preserve">ние в 1942 г. были существенно снижены: на пулемёты УБК и УБТс 12 500 до 6500 руб., на мотор-пушку ШВАК—с 12 500 до 8000 руб., на крыльевую пушку ШВАК — с 9000 до 6000 руб.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Л. 31—32</w:t>
      </w:r>
      <w:proofErr w:type="gramStart"/>
      <w:r w:rsidRPr="008127F8">
        <w:rPr>
          <w:rFonts w:ascii="Times New Roman" w:hAnsi="Times New Roman"/>
          <w:color w:val="000000" w:themeColor="text1"/>
          <w:sz w:val="16"/>
          <w:szCs w:val="16"/>
        </w:rPr>
        <w:t>).Это</w:t>
      </w:r>
      <w:proofErr w:type="gramEnd"/>
      <w:r w:rsidRPr="008127F8">
        <w:rPr>
          <w:rFonts w:ascii="Times New Roman" w:hAnsi="Times New Roman"/>
          <w:color w:val="000000" w:themeColor="text1"/>
          <w:sz w:val="16"/>
          <w:szCs w:val="16"/>
        </w:rPr>
        <w:t xml:space="preserve"> было вызвано тем, что, по мнению советского руководства, «оборонка» вообще, и авиапромышленность в том числе, пыта</w:t>
      </w:r>
      <w:r w:rsidRPr="008127F8">
        <w:rPr>
          <w:rFonts w:ascii="Times New Roman" w:hAnsi="Times New Roman"/>
          <w:color w:val="000000" w:themeColor="text1"/>
          <w:sz w:val="16"/>
          <w:szCs w:val="16"/>
        </w:rPr>
        <w:softHyphen/>
        <w:t>лись переложить финансовые проблемы на плечи армии, не же</w:t>
      </w:r>
      <w:r w:rsidRPr="008127F8">
        <w:rPr>
          <w:rFonts w:ascii="Times New Roman" w:hAnsi="Times New Roman"/>
          <w:color w:val="000000" w:themeColor="text1"/>
          <w:sz w:val="16"/>
          <w:szCs w:val="16"/>
        </w:rPr>
        <w:softHyphen/>
        <w:t>лая работать над снижением себестоимости. Да и сам порядок установления договорных цен раз в год не вызывал удовольствия ни у Военведа, ни у финансовых органов. Наркомфин А.Г. Зве</w:t>
      </w:r>
      <w:r w:rsidRPr="008127F8">
        <w:rPr>
          <w:rFonts w:ascii="Times New Roman" w:hAnsi="Times New Roman"/>
          <w:color w:val="000000" w:themeColor="text1"/>
          <w:sz w:val="16"/>
          <w:szCs w:val="16"/>
        </w:rPr>
        <w:softHyphen/>
        <w:t>рев в марте 1942 г. писал заместителю председателя СНК А.И. Микояну по поводу договорных цен: «...Поставщик, как пра</w:t>
      </w:r>
      <w:r w:rsidRPr="008127F8">
        <w:rPr>
          <w:rFonts w:ascii="Times New Roman" w:hAnsi="Times New Roman"/>
          <w:color w:val="000000" w:themeColor="text1"/>
          <w:sz w:val="16"/>
          <w:szCs w:val="16"/>
        </w:rPr>
        <w:softHyphen/>
        <w:t>вило, не заинтересован в действительном снижении оптовых цен, которое давило бы на него и заставляло бы снижать себе</w:t>
      </w:r>
      <w:r w:rsidRPr="008127F8">
        <w:rPr>
          <w:rFonts w:ascii="Times New Roman" w:hAnsi="Times New Roman"/>
          <w:color w:val="000000" w:themeColor="text1"/>
          <w:sz w:val="16"/>
          <w:szCs w:val="16"/>
        </w:rPr>
        <w:softHyphen/>
        <w:t>стоимость. Требуется каждый раз специальное постановление СНК СССР, обязывающее наркоматы пересматривать цены на военную продукцию. В свою очередь, установление цены раз в год приводит на практике к тому, что по отдельным изделиям к концу года оптовые цены отрываются от себестоимости»</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 свя</w:t>
      </w:r>
      <w:r w:rsidRPr="008127F8">
        <w:rPr>
          <w:rFonts w:ascii="Times New Roman" w:hAnsi="Times New Roman"/>
          <w:color w:val="000000" w:themeColor="text1"/>
          <w:sz w:val="16"/>
          <w:szCs w:val="16"/>
        </w:rPr>
        <w:softHyphen/>
        <w:t>зи с чем Зверев предлагал разрешить Госплану и Наркомфину пересматривать сложившиеся цены по мере необходимости (12011).</w:t>
      </w:r>
    </w:p>
    <w:p w14:paraId="105D3D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B91F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51C32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7F23E"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марта 1942 перевооружённый на ЗИС-19 танк Т-60 прибыл на Гороховецкий полигон, и его башня к тому моменту претерпела массу метаморфоз.</w:t>
      </w:r>
    </w:p>
    <w:p w14:paraId="287529F0"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Согласно предписанию Арткома ГАУ КА от 27 февраля 1942 года, к 9 марта на Гороховецкий артиллерийский научно-испытательный опытный полигон должны были поступить два танка: с завода №92 Т-60 с 37-мм пушкой ЗИС-19 и переработанный на ГАЗ Т-60 с 45-мм пушкой обр. 1938 года. На деле же события развивались совсем по иному сценарию. Поскольку к размещению командира орудия в башне было предъявлено немало претензий, заводское КБ внесло в исходный проект значительное число изменений, что потребовало времени.</w:t>
      </w:r>
    </w:p>
    <w:p w14:paraId="31D6A7DE"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Получившаяся в результате переделок конструкция имело немного общего со штатной башней Т-60. По сути, от неё осталась лишь нижняя часть. Башенный люк с крыши был перенесён на корму, вместо него был установлен смотровой прибор от Т-70. Сама башня получила весьма оригинальную, клиновидную форму, орудийная маска стала литой и по форме напоминала аналогичную деталь Т-70. С Т-70 башню роднило и размещение вооружения: прицел был смещён влево, а на его месте оказался пулемёт ДТ. Благодаря подобным метаморфозам внутренний объём башни увеличился, но об идее использования штатной башни Т-60 можно было забыть. Что же касается ГАЗ, то завод прислал свой танк только 18 апреля, и им оказался не перевооружённый на 45-мм пушку Т-60, а Т-70 (16636).</w:t>
      </w:r>
    </w:p>
    <w:p w14:paraId="12F2B4A9"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44FB54EC" w14:textId="77777777" w:rsidR="002E7BAC" w:rsidRPr="008127F8" w:rsidRDefault="002E7BAC"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27 марта 1942 года на Гороховецкий АНИОП прибыл доработанный КБ завода №92 танк Т-60. По большому счету, в этом танке от исходной концепции с установкой орудия в штатную башню ничего не осталось. Потому что называть представленную штатной башней мог только большой оптимист. ГАЗ им. Молотова вместо установки пушки в башню Т-60 фактически создал новый танк.</w:t>
      </w:r>
    </w:p>
    <w:p w14:paraId="78F5B700" w14:textId="77777777" w:rsidR="002E7BAC" w:rsidRPr="008127F8" w:rsidRDefault="002E7BAC"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shd w:val="clear" w:color="auto" w:fill="FFFFFF"/>
        </w:rPr>
        <w:t>Получившаяся в результате переделок конструкция КБ завода №92 имела немного общего со штатной башней Т-60. От нее осталось лишь нижняя часть. Башенный люк с крыши был перенесен на корму, вместо него установили смотровой прибор от Т-70. Сама башня получила весьма оригинальную, клиновидную форму, орудийная маска стала литой и по форме напоминала аналогичную деталь Т-70. С Т-70 башню роднило и размещение вооружения: прицел сместили влево, а на его место установили пулемет ДТ. Благодаря подобным метаморфозам внутренний объем башни увеличился, но об идее использования штатной башни Т-60 можно было забыть (22879).</w:t>
      </w:r>
    </w:p>
    <w:p w14:paraId="057A6FF8" w14:textId="77777777" w:rsidR="002E7BAC" w:rsidRPr="008127F8" w:rsidRDefault="002E7BAC" w:rsidP="001E0A84">
      <w:pPr>
        <w:spacing w:after="0" w:line="240" w:lineRule="auto"/>
        <w:jc w:val="both"/>
        <w:rPr>
          <w:rFonts w:ascii="Times New Roman" w:hAnsi="Times New Roman"/>
          <w:color w:val="000000" w:themeColor="text1"/>
          <w:sz w:val="16"/>
          <w:szCs w:val="16"/>
          <w:lang w:eastAsia="ru-RU" w:bidi="ru-RU"/>
        </w:rPr>
      </w:pPr>
    </w:p>
    <w:p w14:paraId="0F18DEF4"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27 марта по 7 апреля 1942 года прошли испытания усилителей траков танка Т-60 конструкции отдела "22" завода № 37, которые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поскольку отмечалось недостаточное сцепление и низкая надежность. За 150 километров испытаний было сломано 73 плицы (23355).</w:t>
      </w:r>
    </w:p>
    <w:p w14:paraId="482DF641"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марта 1942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w:t>
      </w:r>
    </w:p>
    <w:p w14:paraId="264CFD9F"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8-скоростная коробка передач появилась не вдруг. Если перемотать историю на год с лишним назад, то выяснится, что проблема с КПП была и до того. Поэтому для Т-222 (КВ-3) предполагалось изготовить 8-коробку передач, разработанную Н.Ф. Шашмуриным. Дальше она исчезла, поскольку начались движения в стиле "вокзал уходит": упрощенный вариант Т-222, известный как КВ-6, предполагал 5-скоростную КПП, хотя по ней были нарекания еще в 1940 году. Проблемы были не только в качестве, но и по причине выросшей нагрузки. И вот теперь, весной 1942 года, всё это вылезло с новой силой. Помимо выросшей массы танка, стало влиять и снижение качества изготовления, ставшее прямым результатом роста объемов выпуска и перехода на упрощение (23351).</w:t>
      </w:r>
    </w:p>
    <w:p w14:paraId="72AA86B7" w14:textId="77777777" w:rsidR="00E53DFE" w:rsidRPr="008A2E5A" w:rsidRDefault="00E53DFE" w:rsidP="00E53DFE">
      <w:pPr>
        <w:spacing w:after="0" w:line="240" w:lineRule="auto"/>
        <w:jc w:val="both"/>
        <w:rPr>
          <w:rFonts w:ascii="Times New Roman" w:hAnsi="Times New Roman"/>
          <w:color w:val="0070C0"/>
          <w:sz w:val="16"/>
          <w:szCs w:val="16"/>
        </w:rPr>
      </w:pPr>
    </w:p>
    <w:p w14:paraId="0409760A" w14:textId="77777777" w:rsidR="000649A1" w:rsidRPr="008127F8" w:rsidRDefault="000649A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марта 1942 года вышел приказ по автозаводу об установлении программы по сборке и сдаче машин иностранных марок в количестве 2500 штук (зам. начальника цеха запчастей по иномаркам назначен С.Н. Иноземцев). 30 апреля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приказом устанавливался темп сборки машин иностранных марок на май месяц: с 1 по 10 мая – по 100, а с 11 по 31 мая – по 125 машин в сутки (15218).</w:t>
      </w:r>
    </w:p>
    <w:p w14:paraId="7A020B69" w14:textId="77777777" w:rsidR="000649A1" w:rsidRPr="008127F8" w:rsidRDefault="000649A1" w:rsidP="001E0A84">
      <w:pPr>
        <w:widowControl w:val="0"/>
        <w:spacing w:after="0" w:line="240" w:lineRule="auto"/>
        <w:jc w:val="both"/>
        <w:rPr>
          <w:rFonts w:ascii="Times New Roman" w:hAnsi="Times New Roman"/>
          <w:color w:val="000000" w:themeColor="text1"/>
          <w:sz w:val="16"/>
          <w:szCs w:val="16"/>
        </w:rPr>
      </w:pPr>
    </w:p>
    <w:p w14:paraId="3B7CBAA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г. вышел ПРИКАЗ НКО СССР ОБ ОРГАНИЗАЦИИ АВТОБРОНЕТАНКОВЫХ РЕМОНТНЫХ БАЗ №0219</w:t>
      </w:r>
    </w:p>
    <w:p w14:paraId="3B1238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4507617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Организованный Военным советом Юго-Западного фронта на базе авторемонтных предпри</w:t>
      </w:r>
      <w:r w:rsidRPr="008127F8">
        <w:rPr>
          <w:rFonts w:ascii="Times New Roman" w:hAnsi="Times New Roman"/>
          <w:color w:val="000000" w:themeColor="text1"/>
          <w:sz w:val="16"/>
          <w:szCs w:val="16"/>
        </w:rPr>
        <w:softHyphen/>
        <w:t>ятий г. Киева подвижный ремонтный завод № 1 по ремонту автомобилей именовать автобронетан</w:t>
      </w:r>
      <w:r w:rsidRPr="008127F8">
        <w:rPr>
          <w:rFonts w:ascii="Times New Roman" w:hAnsi="Times New Roman"/>
          <w:color w:val="000000" w:themeColor="text1"/>
          <w:sz w:val="16"/>
          <w:szCs w:val="16"/>
        </w:rPr>
        <w:softHyphen/>
        <w:t>ковой ремонтной базой № 11 и содержать по штату № 26/151 литер «А».</w:t>
      </w:r>
    </w:p>
    <w:p w14:paraId="47336E4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АБТ рембазу № 11 дислоцировать в г. Саратове и подчинить командующему войсками Юго-За</w:t>
      </w:r>
      <w:r w:rsidRPr="008127F8">
        <w:rPr>
          <w:rFonts w:ascii="Times New Roman" w:hAnsi="Times New Roman"/>
          <w:color w:val="000000" w:themeColor="text1"/>
          <w:sz w:val="16"/>
          <w:szCs w:val="16"/>
        </w:rPr>
        <w:softHyphen/>
        <w:t>падного фронта.</w:t>
      </w:r>
    </w:p>
    <w:p w14:paraId="1B1B1F7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Организованную Военным советом Ленинградского фронта на базе производственных мас</w:t>
      </w:r>
      <w:r w:rsidRPr="008127F8">
        <w:rPr>
          <w:rFonts w:ascii="Times New Roman" w:hAnsi="Times New Roman"/>
          <w:color w:val="000000" w:themeColor="text1"/>
          <w:sz w:val="16"/>
          <w:szCs w:val="16"/>
        </w:rPr>
        <w:softHyphen/>
        <w:t>терских Ленинградских курсов усовершенствования начсостава (ЛБТКУКС) ремонтную базу по ре</w:t>
      </w:r>
      <w:r w:rsidRPr="008127F8">
        <w:rPr>
          <w:rFonts w:ascii="Times New Roman" w:hAnsi="Times New Roman"/>
          <w:color w:val="000000" w:themeColor="text1"/>
          <w:sz w:val="16"/>
          <w:szCs w:val="16"/>
        </w:rPr>
        <w:softHyphen/>
        <w:t>монту танков именовать автобронетанковой ремонтной базой № 27 и содержать по штату № 26/151 литер «Б».</w:t>
      </w:r>
    </w:p>
    <w:p w14:paraId="7A9216F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АБТ рембазу № 27 дислоцировать в г. Ленинграде и подчинить командующему войсками Ленин</w:t>
      </w:r>
      <w:r w:rsidRPr="008127F8">
        <w:rPr>
          <w:rFonts w:ascii="Times New Roman" w:hAnsi="Times New Roman"/>
          <w:color w:val="000000" w:themeColor="text1"/>
          <w:sz w:val="16"/>
          <w:szCs w:val="16"/>
        </w:rPr>
        <w:softHyphen/>
        <w:t>градского фронта.</w:t>
      </w:r>
    </w:p>
    <w:p w14:paraId="518868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Организованную Военным советом Волховского фронта на базе производственных площадей Бокситогорского комбината ремонтную базу именовать автобронетанковой ремонтной базой № 26 и содержать по штату № 26/151 литер «В».</w:t>
      </w:r>
    </w:p>
    <w:p w14:paraId="79186E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АБТ рембазу дислоцировать г. Бокситогорске и подчинить командующему войсками Волховско</w:t>
      </w:r>
      <w:r w:rsidRPr="008127F8">
        <w:rPr>
          <w:rFonts w:ascii="Times New Roman" w:hAnsi="Times New Roman"/>
          <w:color w:val="000000" w:themeColor="text1"/>
          <w:sz w:val="16"/>
          <w:szCs w:val="16"/>
        </w:rPr>
        <w:softHyphen/>
        <w:t>го фронта.</w:t>
      </w:r>
    </w:p>
    <w:p w14:paraId="3961B4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обороны СССР генерал-лейтенант танковых войск Федоренко</w:t>
      </w:r>
    </w:p>
    <w:p w14:paraId="7462166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2. Оп. 795437с. Д. 6. Л. 326. Копия (11211).</w:t>
      </w:r>
    </w:p>
    <w:p w14:paraId="7201756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3D010B0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C1161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E05B97"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марта</w:t>
      </w:r>
      <w:r w:rsidRPr="008127F8">
        <w:rPr>
          <w:rFonts w:ascii="Times New Roman" w:hAnsi="Times New Roman"/>
          <w:color w:val="000000" w:themeColor="text1"/>
          <w:sz w:val="16"/>
          <w:szCs w:val="16"/>
        </w:rPr>
        <w:t xml:space="preserve"> в 1942 году утреннее сообщение Совинформбюро:</w:t>
      </w:r>
    </w:p>
    <w:p w14:paraId="4726A378"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27 марта на фронте каких-либо существенных изменений не произошло.</w:t>
      </w:r>
    </w:p>
    <w:p w14:paraId="305A16ED"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продолжают вести упорные бои с противником. За 25 марта ими уничтожено свыше 500 немецких солдат и офицеров и 4 танка. Взяты пленные. На другом участке противник, отходя под натиском наших войск, оставил на поле боя 450 трупов и 6 подбитых танков.</w:t>
      </w:r>
    </w:p>
    <w:p w14:paraId="0B2E3DE5"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часть, выбив немцев из населенного пункта, уничтожила до 100 вражеских солдат и офицеров и захватила 9 пулемётов, 11 автоматов, 35 винтовок, 35.000 патронов, 22 парашюта и другое вооружение.</w:t>
      </w:r>
    </w:p>
    <w:p w14:paraId="08092BB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четырёх красноармейцев-разведчиков во главе с лейтенантом Рызатенко, действовавших в тылу противника, напали 15 гитлеровцев. Наши разведчики уничтожили 13 немцев, захватили трофеи и без потерь вернулись в свою часть.</w:t>
      </w:r>
    </w:p>
    <w:p w14:paraId="62DF0E27"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тылу немецких войск в Калининской области, разгромил немецкий обоз с боеприпасами, состоявший из 200 подвод. В бою уничтожено 100 гитлеровцев.</w:t>
      </w:r>
    </w:p>
    <w:p w14:paraId="222EE5FB"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батальона 92 полка 1.8 румынской пехотной дивизии Оприша Думитру рассказал: «Я в боях не участвовал, так как всё время находился на второй линии обороны. Утром 27 февраля мы обнаружили советские листовки, разбросанные ночью с самолётов. Я поднял одну листовку и передал её сержанту Могорану. Он собрал вокруг себя 8 солдат третьего отделения и прочитал им листовку вслух. Вскоре русские начали наступать. В батальоне поднялась паника. Первыми удрали офицеры, а за ними последовала и часть солдат. Около 200 наших солдат без всякого сопротивления сдались в плен».</w:t>
      </w:r>
    </w:p>
    <w:p w14:paraId="7C3992A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Колхозники села Закотное, Сталинской области, составили акт о зверствах и грабежах немецких оккупантов. В акте говорится, что «немецкие бандиты разрушили село, учинили неслыханный грабёж и расправу над мирным населением. Сожжены 173 дома, отобраны 243 головы крупного рогатого скота, 160 свиней, 1.550 кур, гусей и уток, отняты вся тёплая одежда, обувь, домашняя утварь, продукты. Немцы убили Саржевского Е.Д.— 63 лет, Купянского И.И. — 18 лет, Бондарь С.А. — 65 лет, Захаренко П.X. — 37 лет, Зозулю И.В. — 42 лет, Зима Л.С — 55 лет».</w:t>
      </w:r>
    </w:p>
    <w:p w14:paraId="47BC84B6"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Румынский город Тыргу-Жиу превращен гитлеровцами в госпиталь для своих солдат, раненных на советско-германском фронте. Немцы закрыли в городе гимназии, лицей, коммерческую школу и школу для учителей и реквизировали все большие дома. Во всех этих зданиях открыты лазареты. Население города враждебно относится к гитлеровцам. Недавно группа выздоравливающих немецких солдат затеяла на базаре драку с румынскими крестьянами. Произошла кровавая стычка, во время которой толпа топорами и дубинками убила 11 немцев, а также 2 полицейских, пытавшихся навести порядок.</w:t>
      </w:r>
    </w:p>
    <w:p w14:paraId="263C04D3"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Молодёжь Сталинградской области провела воскресник, в котором приняли участие более 15 тысяч человек. Во время воскресника собрано 1.713 тонн лома чёрногометалла и 53 тонны цветного металла.» (15081).</w:t>
      </w:r>
    </w:p>
    <w:p w14:paraId="6791C9CC"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5EF78B52"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марта</w:t>
      </w:r>
      <w:r w:rsidRPr="008127F8">
        <w:rPr>
          <w:rFonts w:ascii="Times New Roman" w:hAnsi="Times New Roman"/>
          <w:color w:val="000000" w:themeColor="text1"/>
          <w:sz w:val="16"/>
          <w:szCs w:val="16"/>
        </w:rPr>
        <w:t xml:space="preserve"> в 1942 году вечернее сообщение Совинформбюро:</w:t>
      </w:r>
    </w:p>
    <w:p w14:paraId="59A8BE6D"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марта на фронте существенных изменений не произошло.</w:t>
      </w:r>
    </w:p>
    <w:p w14:paraId="399E3C2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марта уничтожено 15 самолётов противника. Наши потери—9 самолетов.</w:t>
      </w:r>
    </w:p>
    <w:p w14:paraId="06778FB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марта под Москвой сбито 2 немецких самолёта.</w:t>
      </w:r>
    </w:p>
    <w:p w14:paraId="33D16BF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марта наши авиачасти уничтожили или повредили 6 немецких танков, 60 автомашин с войсками и грузами, более 50 повозок с боеприпасами, 4 автоцистерныи 4 железнодорожные цистерны с горючим, 28 орудий полевой и зенитной артиллерии, 13 миномётов, 13 зенитно-пулемётных точек и разбили железнодорожный эшелон с танками и артиллерией.</w:t>
      </w:r>
    </w:p>
    <w:p w14:paraId="0427F90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последних пяти дней на одном из участков Калининского фронта шли упорные бои с противником. Подтянув резервы, гитлеровское командование попыталось нанести удар по нашим войскам, вклинившимся во вражескую оборону. С этой целью оно бросило против наших частей эсэсовскую дивизию «Рейх», 11 мотополк 14 моторизованной дивизии, 312 полк 206 дивизии и 50 танков. В результате ожесточённых боев немцы потеряли 2.450 солдат и офицеров убитыми и огромное количество ранеными. По словам пленных, эсэсовский полк «Дейчланд», входящий в состав дивизии «Райх», из 1.400 солдат и офицеров потерял 900 человек. В боях уничтожено 25 немецких танков, много пулемётов, автоматов, винтовок, другого вооружения и военного имущества.</w:t>
      </w:r>
    </w:p>
    <w:p w14:paraId="0C89B65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24 немецких танка пытались атаковать наши пехотные части. Навстречу вражеским машинам вышли 7 советских танков. Наши танкисты уничтожили 7 средних немецких танков, один лёгкий танк и подавили 4 огневые точки. Противник потерял свыше 100 человек убитыми.</w:t>
      </w:r>
    </w:p>
    <w:p w14:paraId="1A253346"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Боброва (Западный фронт) за день боёв с противником уничтожила 7 немецких огневых точек и свыше 120 солдат и офицеров.</w:t>
      </w:r>
    </w:p>
    <w:p w14:paraId="202CCE16"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Красноармеец Ступишин, возвращаясь из тыла противника после успешно проведенной разведки, вышел на окраину занятой немцами деревни. Установив, что в одном из оставленных жителями домов разместилась группа немецких офицеров, </w:t>
      </w:r>
      <w:proofErr w:type="gramStart"/>
      <w:r w:rsidRPr="008127F8">
        <w:rPr>
          <w:rFonts w:ascii="Times New Roman" w:hAnsi="Times New Roman"/>
          <w:color w:val="000000" w:themeColor="text1"/>
          <w:sz w:val="16"/>
          <w:szCs w:val="16"/>
        </w:rPr>
        <w:t>тов.Ступишин</w:t>
      </w:r>
      <w:proofErr w:type="gramEnd"/>
      <w:r w:rsidRPr="008127F8">
        <w:rPr>
          <w:rFonts w:ascii="Times New Roman" w:hAnsi="Times New Roman"/>
          <w:color w:val="000000" w:themeColor="text1"/>
          <w:sz w:val="16"/>
          <w:szCs w:val="16"/>
        </w:rPr>
        <w:t xml:space="preserve"> пробрался к этому дому и поджёг его. Когда немцы в панике стали выбегать из горящего дома, тов. Ступишин забросал их гранатами. Погибло до 25 немецких офицеров.</w:t>
      </w:r>
    </w:p>
    <w:p w14:paraId="71EAEAAB"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отряда ленинградских партизан под командованием т.т. Б. и Т. выбилинемцев из одного селения. Противник потерял убитыми 72 солдата и офицера. Партизаны минировали участок дороги, по которой гитлеровцы подвозили своим частям продовольствие. На минах взорвались 5 саней с продуктами и 7 солдат. Партизаны отряда тов. И. в один день пулемётно-ружейным огнём сбили два низко летевших немецких самолёта «Ю-52».</w:t>
      </w:r>
    </w:p>
    <w:p w14:paraId="5C39A9A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 роты 18 полка 18 румынской пехотной дивизии Василе Жияну рассказал: «Мы всё время голодали. Солдат 2 роты Константин Унтуряну украл с подводы один хлеб. Капитан Думитреску заявил, что застрелит его. Ночью Унтуряну пытался покончить с собой, но остался жив. Раненный, он был отправлен вгоспиталь, потом его судил военно-полевой суд. Две недели тому назад капитан Думитреску выстроил нас и сказал: «Солдаты, вы должны были получить по 50 граммов ветчины, но её украли сапёры. Поэтому вы её не получите... Каждому из вас полагается по 4 пряника, но их съели ездовые». Такие речи нам приходилось выслушивать довольно часто. Подобные издевательства вызывают возмущение солдат».</w:t>
      </w:r>
    </w:p>
    <w:p w14:paraId="2B2ECF3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Иностранные рабочие, согнанные гитлеровцами в Германию из оккупированных стран для работы на немецких предприятиях, в огромном количестве гибнут от голода и невыносимых условий труда. Рабочий день для иностранцев длится 14 — 16 часов. Зарегистрированы неоднократные случаи скоропостижной смерти у </w:t>
      </w:r>
      <w:r w:rsidRPr="008127F8">
        <w:rPr>
          <w:rFonts w:ascii="Times New Roman" w:hAnsi="Times New Roman"/>
          <w:color w:val="000000" w:themeColor="text1"/>
          <w:sz w:val="16"/>
          <w:szCs w:val="16"/>
        </w:rPr>
        <w:lastRenderedPageBreak/>
        <w:t>станков и конвейеров. Каждый день из Германии на родину уезжают многие сотни рабочих, получивших увечья на производстве и уже совершенно неспособных к физическомутруду. Только на одном из заводов на Эльбе, на аммиачных заводах в Лейне, близ Мерзебурга, на алюминиевом заводе в Лауте, на машиностроительном заводе в Нюрнберге и нескольких других за февраль погибло в результате несчастных случаев около 10.000 рабочих, главным образом французов, итальянцев и испанцев.» (15081).</w:t>
      </w:r>
    </w:p>
    <w:p w14:paraId="3DD0B033"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0A045C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приказом командующего ВВС вводились новые положения по усиленному использованию радиосвязи для управления авиацией в воздухе и на земле (340,85).</w:t>
      </w:r>
    </w:p>
    <w:p w14:paraId="646FFB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вторую половину февраля ВВС ЮЗФ провели 75% боевых вылетов без радиосвязи, а истребительная авиация во всех фронтах, несмотря на наличие радиоаппаратуры, слабо ее используют." (518,282).</w:t>
      </w:r>
    </w:p>
    <w:p w14:paraId="371CA4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E24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27 по 30 марта 1942 острова Гогланда, Большого и Малого Тютерса были захвачены финскими войсками при поддержке одного немецкого батальона и группы эстонских добровольцев, а советские попытки отбить их сорвались из-за начавшегося таяния льда (6414).</w:t>
      </w:r>
    </w:p>
    <w:p w14:paraId="5F570D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A87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марта 1942 на аэродроме 788-го ИАП ПВО в Бекетовке, расположенной у южной окраины Сталинграда. Небо затянули облака, взлетные полосы раскисли от грязи. Летчики скучали и коротали время всеми доступными способами. Однако, несмотря на плохую погоду, от постов ВНОС все же поступил сигнал об обнаружении немецкого самолета-разведчика.  «Вот гады фрицы, в любую погоду летают», — плевались летчики, направляясь по лужам к своим самолетам. Вскоре в воздух взмыли несколько истребителей, в т.ч. и Як-1 командира эскадрильи Николая Смирнова, месяц назад добившегося победы над Калачом. Пилот начал привычный набор высоты, земля уходила все дальше, привычные одноэтажные домики превращались в небольшие точки. Вдруг, к своему ужасу, старлей увидел, как совсем неподалеку из облаков вывалился стремительно пикировавший немецкий бомбардировщик. Оглядевшись, Николаю не составило труда определить, что пикирует он не куда-нибудь, а прямо на Сталинградскую ГРЭС! А ведь это важнейший стратегический объект, который, собственно, авиаполк и должен защищать любой ценой. Еще мгновение, и от «Юнкерса» отделилась серия бомб. Затем противник спокойно вышел из пике, а станцию окутали огромные клубы дыма.  «Не уберегли…» — с горечью констатировал Смирнов и тут же яростно бросился в погоню за незваным гостем. К несчастью для немцев, внезапная атака советского истребителя застала их как раз в момент набора высоты. Три длинных очереди – и бомбардировщик, задымив, начал снижаться. Николай пронесся над ним и вскоре потерял из виду из-за низкой облачности. После того как Як-1 старшего лейтенанта Смирнова приземлился на аэродроме, командир дивизии Красноюрченко сразу же организовал поиск сбитого самолета, выслав два биплана У-2. Вскоре в степи на краю большого оврага был обнаружен совершивший вынужденную посадку «Юнкере». Им оказался разведчик Ju-88D-1 W.Nr. 1403 «Т5+НМ» из 2-й эскадрильи Aufkl.Gr.Ob.d.L. Экипаж попытался скрыться в западном направлении, но преодолеть по голой степи 400 км было нереально, и через некоторое время всех четырех летчиков уже допрашивали в штабе 102-й ИАД. По воспоминаниям председателя Сталинградского комитета обороны А. Чуянова, присутствовавшего на допросе, летчики вели себя нагло.  «Самоуверенные наглецы. Они не сомневаются, что победа Гитлера уже обеспечена, что еще один удар – и Советского государства не будет, что сделали вынужденную посадку и попали в плен случайно…». Сбитый «Юнкере» уже на следующий день был доставлен в город и установлен на центральной площади перед Домом Коммуны для всеобщего обозрения. Сталинградцы, еще не видевшие подобных трофеев, целыми толпами потянулись на «выставку». Впоследствии моду экспонировать сбитые самолеты подхватят и другие города Поволжья. А попытка немцев силами одного бомбардировщика произвести налет стратегического характера закончилась безрезультатно. Хотя в корпусах СталГРЭС вылетели почти все стекла, были перебиты ЛЭП, станция серьезно </w:t>
      </w:r>
      <w:proofErr w:type="gramStart"/>
      <w:r w:rsidRPr="008127F8">
        <w:rPr>
          <w:rFonts w:ascii="Times New Roman" w:hAnsi="Times New Roman"/>
          <w:color w:val="000000" w:themeColor="text1"/>
          <w:sz w:val="16"/>
          <w:szCs w:val="16"/>
        </w:rPr>
        <w:t>не пострадала</w:t>
      </w:r>
      <w:proofErr w:type="gramEnd"/>
      <w:r w:rsidRPr="008127F8">
        <w:rPr>
          <w:rFonts w:ascii="Times New Roman" w:hAnsi="Times New Roman"/>
          <w:color w:val="000000" w:themeColor="text1"/>
          <w:sz w:val="16"/>
          <w:szCs w:val="16"/>
        </w:rPr>
        <w:t xml:space="preserve"> и подача электроэнергии вскоре возобновилась (11774).</w:t>
      </w:r>
    </w:p>
    <w:p w14:paraId="73F60B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786F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4713C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8BA48"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марта</w:t>
      </w:r>
      <w:r w:rsidRPr="008127F8">
        <w:rPr>
          <w:rFonts w:ascii="Times New Roman" w:hAnsi="Times New Roman"/>
          <w:color w:val="000000" w:themeColor="text1"/>
          <w:sz w:val="16"/>
          <w:szCs w:val="16"/>
        </w:rPr>
        <w:t xml:space="preserve"> в 1942 году взлетел прототип английского транспортного планера </w:t>
      </w:r>
      <w:hyperlink r:id="rId86" w:tgtFrame="_blank" w:history="1">
        <w:r w:rsidRPr="008127F8">
          <w:rPr>
            <w:rFonts w:ascii="Times New Roman" w:hAnsi="Times New Roman"/>
            <w:color w:val="000000" w:themeColor="text1"/>
            <w:sz w:val="16"/>
            <w:szCs w:val="16"/>
          </w:rPr>
          <w:t xml:space="preserve">«GAL.49». </w:t>
        </w:r>
      </w:hyperlink>
      <w:r w:rsidRPr="008127F8">
        <w:rPr>
          <w:rFonts w:ascii="Times New Roman" w:hAnsi="Times New Roman"/>
          <w:color w:val="000000" w:themeColor="text1"/>
          <w:sz w:val="16"/>
          <w:szCs w:val="16"/>
        </w:rPr>
        <w:t>Этот летательный аппарат цельнодеревянной конструкции, включая управляющие поверхности с деревянным каркасом и полотняной обшивкой (15081).</w:t>
      </w:r>
    </w:p>
    <w:p w14:paraId="607F1FF7"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6FE2738D" w14:textId="39CE8DB2" w:rsidR="002E7BAC" w:rsidRPr="008127F8" w:rsidRDefault="002E7B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Взлетел прототип английского транспортного планера GAL.49 Hamilcar. Этот летательный аппарат цельнодеревянной конструкции, включая управляющие поверхности с деревянным каркасом и полотняной обшивкой. Самый тяжелый из транспортных планеров, использовавшихся союзниками во Второй мировой войне, он был также первым британским планером, способным действительно нести танк, 7,1-тонный "Tetrax" или два универсальных транспортера. Он мог, конечно, нести и любые другие грузы общей массой до 7983 кг, включая различные гусеничные и колесные машины союзников (22555).</w:t>
      </w:r>
    </w:p>
    <w:p w14:paraId="5D77D4B8"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07FA2F5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с американского линкора "Вашигтон" в северной Атлантике без вести пропал контр-адмирал Уилкокс. Адмирал командовал TF39, которое направлялось для усиления Флота Метрополии. Предположительно выпал за борт во время сильного шторма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23F6993C"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165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марта 1942 английская авиация бомбила базу немецких подводных лодок в St. Nazair во Франции (2100).</w:t>
      </w:r>
    </w:p>
    <w:p w14:paraId="2191A6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95F9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BC4D0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88B5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Постановлением ГКО №1502 Ил-2 с М-82ИР запускался в серийное производство на авиазаводе № 381 с изготовлением пер</w:t>
      </w:r>
      <w:r w:rsidRPr="008127F8">
        <w:rPr>
          <w:rFonts w:ascii="Times New Roman" w:hAnsi="Times New Roman"/>
          <w:color w:val="000000" w:themeColor="text1"/>
          <w:sz w:val="16"/>
          <w:szCs w:val="16"/>
        </w:rPr>
        <w:softHyphen/>
        <w:t>вой серийной машины к 1 мая 42-го. Всего же в мае должно было быть выпу</w:t>
      </w:r>
      <w:r w:rsidRPr="008127F8">
        <w:rPr>
          <w:rFonts w:ascii="Times New Roman" w:hAnsi="Times New Roman"/>
          <w:color w:val="000000" w:themeColor="text1"/>
          <w:sz w:val="16"/>
          <w:szCs w:val="16"/>
        </w:rPr>
        <w:softHyphen/>
        <w:t>щено 56 экземпляров Ил-2 с М-82ИР. Еще столько же - в июне.</w:t>
      </w:r>
    </w:p>
    <w:p w14:paraId="1F94D9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ввиду того, что к этому вре</w:t>
      </w:r>
      <w:r w:rsidRPr="008127F8">
        <w:rPr>
          <w:rFonts w:ascii="Times New Roman" w:hAnsi="Times New Roman"/>
          <w:color w:val="000000" w:themeColor="text1"/>
          <w:sz w:val="16"/>
          <w:szCs w:val="16"/>
        </w:rPr>
        <w:softHyphen/>
        <w:t>мени уже было налажено массовое про</w:t>
      </w:r>
      <w:r w:rsidRPr="008127F8">
        <w:rPr>
          <w:rFonts w:ascii="Times New Roman" w:hAnsi="Times New Roman"/>
          <w:color w:val="000000" w:themeColor="text1"/>
          <w:sz w:val="16"/>
          <w:szCs w:val="16"/>
        </w:rPr>
        <w:softHyphen/>
        <w:t>изводство моторов AM-38 и одномест</w:t>
      </w:r>
      <w:r w:rsidRPr="008127F8">
        <w:rPr>
          <w:rFonts w:ascii="Times New Roman" w:hAnsi="Times New Roman"/>
          <w:color w:val="000000" w:themeColor="text1"/>
          <w:sz w:val="16"/>
          <w:szCs w:val="16"/>
        </w:rPr>
        <w:softHyphen/>
        <w:t>ных штурмовиков Ил-2 с ними, а мотор М-82 было решено устанавливать на ЛаГГ-3, которому он был нужнее (6467).</w:t>
      </w:r>
    </w:p>
    <w:p w14:paraId="2C59B0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FA8B7" w14:textId="77777777" w:rsidR="002E7BAC" w:rsidRPr="008127F8" w:rsidRDefault="002E7B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28 марта 1942 года в соответствии с Постановлением ГКО № 1502 от Ил-2 с двигателем М-82ИР запускался в серийное производство на авиазаводе № 381 с изготовлением пер</w:t>
      </w:r>
      <w:r w:rsidRPr="008127F8">
        <w:rPr>
          <w:rFonts w:ascii="Times New Roman" w:hAnsi="Times New Roman"/>
          <w:color w:val="000000" w:themeColor="text1"/>
          <w:sz w:val="16"/>
          <w:szCs w:val="16"/>
          <w:shd w:val="clear" w:color="auto" w:fill="FFFFFF"/>
        </w:rPr>
        <w:softHyphen/>
        <w:t>вой серийной машины к 1 мая 1942 года. Всего же в мае должно было быть выпу</w:t>
      </w:r>
      <w:r w:rsidRPr="008127F8">
        <w:rPr>
          <w:rFonts w:ascii="Times New Roman" w:hAnsi="Times New Roman"/>
          <w:color w:val="000000" w:themeColor="text1"/>
          <w:sz w:val="16"/>
          <w:szCs w:val="16"/>
          <w:shd w:val="clear" w:color="auto" w:fill="FFFFFF"/>
        </w:rPr>
        <w:softHyphen/>
        <w:t xml:space="preserve">щено 56 экземпляров Ил-2 с М-82ИР, еще столько же – в июне. </w:t>
      </w:r>
      <w:proofErr w:type="gramStart"/>
      <w:r w:rsidRPr="008127F8">
        <w:rPr>
          <w:rFonts w:ascii="Times New Roman" w:hAnsi="Times New Roman"/>
          <w:color w:val="000000" w:themeColor="text1"/>
          <w:sz w:val="16"/>
          <w:szCs w:val="16"/>
          <w:shd w:val="clear" w:color="auto" w:fill="FFFFFF"/>
        </w:rPr>
        <w:t>Однако, ввиду того, что</w:t>
      </w:r>
      <w:proofErr w:type="gramEnd"/>
      <w:r w:rsidRPr="008127F8">
        <w:rPr>
          <w:rFonts w:ascii="Times New Roman" w:hAnsi="Times New Roman"/>
          <w:color w:val="000000" w:themeColor="text1"/>
          <w:sz w:val="16"/>
          <w:szCs w:val="16"/>
          <w:shd w:val="clear" w:color="auto" w:fill="FFFFFF"/>
        </w:rPr>
        <w:t xml:space="preserve"> нехватка АМ-38 была быстро компенсирована за счет налаживания его массового производства, двигатель М-82 было решено устанавливать на истребитель ЛаГГ-3, которому он был нужнее. Поста</w:t>
      </w:r>
      <w:r w:rsidRPr="008127F8">
        <w:rPr>
          <w:rFonts w:ascii="Times New Roman" w:hAnsi="Times New Roman"/>
          <w:color w:val="000000" w:themeColor="text1"/>
          <w:sz w:val="16"/>
          <w:szCs w:val="16"/>
          <w:shd w:val="clear" w:color="auto" w:fill="FFFFFF"/>
        </w:rPr>
        <w:softHyphen/>
        <w:t>новлением ГКО № 1658 от 26 апреля 1942 года дальнейшие работы по Ил-2 с двигателем М-82ИР были прекращены.</w:t>
      </w:r>
    </w:p>
    <w:p w14:paraId="3A185164" w14:textId="77777777" w:rsidR="002E7BAC" w:rsidRPr="008127F8" w:rsidRDefault="002E7B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К началу мая на 381-м заводе действительно был построен один экземпляр Ил-2 с мотором М-82ИР, первый полет которого планировался 7 мая. На этой машине емкость бензобаков была доведена до 980 литров и, кроме того, снизу мотора на капоте были установ</w:t>
      </w:r>
      <w:r w:rsidRPr="008127F8">
        <w:rPr>
          <w:rFonts w:ascii="Times New Roman" w:hAnsi="Times New Roman"/>
          <w:color w:val="000000" w:themeColor="text1"/>
          <w:sz w:val="16"/>
          <w:szCs w:val="16"/>
          <w:shd w:val="clear" w:color="auto" w:fill="FFFFFF"/>
        </w:rPr>
        <w:softHyphen/>
        <w:t>лены броневые накладки. Заводские ис</w:t>
      </w:r>
      <w:r w:rsidRPr="008127F8">
        <w:rPr>
          <w:rFonts w:ascii="Times New Roman" w:hAnsi="Times New Roman"/>
          <w:color w:val="000000" w:themeColor="text1"/>
          <w:sz w:val="16"/>
          <w:szCs w:val="16"/>
          <w:shd w:val="clear" w:color="auto" w:fill="FFFFFF"/>
        </w:rPr>
        <w:softHyphen/>
        <w:t>пытания Ил-2 М-82ИР ус</w:t>
      </w:r>
      <w:r w:rsidRPr="008127F8">
        <w:rPr>
          <w:rFonts w:ascii="Times New Roman" w:hAnsi="Times New Roman"/>
          <w:color w:val="000000" w:themeColor="text1"/>
          <w:sz w:val="16"/>
          <w:szCs w:val="16"/>
          <w:shd w:val="clear" w:color="auto" w:fill="FFFFFF"/>
        </w:rPr>
        <w:softHyphen/>
        <w:t>пешно прошел к середине августа 1942 года (отчет по испытаниям утвержден 18 августа 1942 года), однако на государственные испытания штурмовик не передавался, и в дальнейшем все работы по нему были прекращены (21126).</w:t>
      </w:r>
    </w:p>
    <w:p w14:paraId="51F74C28"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07CD95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28 марта 1942 г. в соответствии с пост. ГКО № 1502 от на заводе запускался в серию Ил-2 с М-82ИР с выпуском 1-й серийной машины к 1.05.1942 г. Однако 26 апреля 1942 г. пост. ГКО № 1658 все работы по Ил-2 с М-82ИР на заводе (Завод № 381 НКАП, МАП /г. Ленинград ст. </w:t>
      </w:r>
      <w:proofErr w:type="gramStart"/>
      <w:r w:rsidRPr="008127F8">
        <w:rPr>
          <w:rFonts w:ascii="Times New Roman" w:hAnsi="Times New Roman"/>
          <w:color w:val="000000" w:themeColor="text1"/>
          <w:sz w:val="16"/>
          <w:szCs w:val="16"/>
        </w:rPr>
        <w:t>Ижора;  г.</w:t>
      </w:r>
      <w:proofErr w:type="gramEnd"/>
      <w:r w:rsidRPr="008127F8">
        <w:rPr>
          <w:rFonts w:ascii="Times New Roman" w:hAnsi="Times New Roman"/>
          <w:color w:val="000000" w:themeColor="text1"/>
          <w:sz w:val="16"/>
          <w:szCs w:val="16"/>
        </w:rPr>
        <w:t xml:space="preserve"> Нижний Тагил Свердловской обл.;  г. Москва Ленинградское ш., 31/33/) были прекращены, продолжен выпуск Ил-2 с АМ-38.</w:t>
      </w:r>
    </w:p>
    <w:p w14:paraId="74F992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256E54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14BA61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4D3957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2BD860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заводе организован филиал ОКБ-21 С.А. Лавочкина.</w:t>
      </w:r>
    </w:p>
    <w:p w14:paraId="270B20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70D905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50B35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0AA7F0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7C383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1.12.1946 г. завод передан из 1ГУ в ЮГУ, затем с 1.11.1948 г. обратно, из ЮГУ в 1ГУ.</w:t>
      </w:r>
    </w:p>
    <w:p w14:paraId="528B18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D3037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DCC7C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(05.1943-10.1946 г.)- П.Д. Грушин, (1947 г.)- В.И. Засульский.</w:t>
      </w:r>
    </w:p>
    <w:p w14:paraId="28D194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(1945 г.)- А.К. Кулагин.</w:t>
      </w:r>
    </w:p>
    <w:p w14:paraId="0B47E1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FA7E2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Заводской номер: Ил-2 М 381355 (11982).</w:t>
      </w:r>
    </w:p>
    <w:p w14:paraId="46A5B8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058F5" w14:textId="77777777" w:rsidR="00C13567" w:rsidRPr="008127F8" w:rsidRDefault="00C1356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28 марта 1942 Постановлением ГКО </w:t>
      </w:r>
      <w:proofErr w:type="gramStart"/>
      <w:r w:rsidRPr="008127F8">
        <w:rPr>
          <w:rFonts w:ascii="Times New Roman" w:hAnsi="Times New Roman" w:cs="Times New Roman"/>
          <w:color w:val="000000" w:themeColor="text1"/>
          <w:sz w:val="16"/>
          <w:szCs w:val="16"/>
        </w:rPr>
        <w:t>от завод</w:t>
      </w:r>
      <w:proofErr w:type="gramEnd"/>
      <w:r w:rsidRPr="008127F8">
        <w:rPr>
          <w:rFonts w:ascii="Times New Roman" w:hAnsi="Times New Roman" w:cs="Times New Roman"/>
          <w:color w:val="000000" w:themeColor="text1"/>
          <w:sz w:val="16"/>
          <w:szCs w:val="16"/>
        </w:rPr>
        <w:t xml:space="preserve"> № 381 обязывался с 1 мая начать выпуск Ил-2 с М-82ИР. Причем уже в мае завод должен был собрать 56 самолетов, в июне - еще столько же. Штурмовик предполагалось выпускать в одноместном варианте без воздушного стрелка (19111).</w:t>
      </w:r>
    </w:p>
    <w:p w14:paraId="2E5194D5" w14:textId="77777777" w:rsidR="00C13567" w:rsidRPr="008127F8" w:rsidRDefault="00C1356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AC78374" w14:textId="77777777" w:rsidR="00C13567" w:rsidRPr="008127F8" w:rsidRDefault="00C1356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г. в соответствии с Постановлением ГКО №1502 Ил-2 с двигателем М-82ИР запускался в серийное производство на авиазаводе № 381 с изготовлением первой серийной машины к 1 мая 1942 г. Всего же в мае должно было быть выпущено 56 экземпляров Ил-2 с М-82ИР. Еще столько же - в июне. Однако ввиду того, что нехватка АМ-38 была быстро компенсирована за счет остановки производства истребителей МиГ-3, на которых тоже устанавливался этот двигатель, и налажеванием массового производства моторов AM-38, мотор М-82 было решено устанавливать на ЛаГГ-3, которому он был нужнее, однако несколько экземпляров Ил-2 с двигателем воздушного охлаждения попали для испытаний в строевые части Калиниского фронта.</w:t>
      </w:r>
    </w:p>
    <w:p w14:paraId="230AA4FA" w14:textId="77777777" w:rsidR="00C13567" w:rsidRPr="008127F8" w:rsidRDefault="00C1356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Нижнетагильский авиазавод выпускал Ил-2 с пушками ШВАК. Причем в отличие от других авиазаво- дов, штурмовики 381-го авиазавода выпускались с так сказать, «правильным» размещением стрелково-пушечного вооружения: пушки ШВАК располагались ближе к оси самолета, а </w:t>
      </w:r>
      <w:proofErr w:type="gramStart"/>
      <w:r w:rsidRPr="008127F8">
        <w:rPr>
          <w:rFonts w:ascii="Times New Roman" w:hAnsi="Times New Roman"/>
          <w:color w:val="000000" w:themeColor="text1"/>
          <w:sz w:val="16"/>
          <w:szCs w:val="16"/>
        </w:rPr>
        <w:t>пулеме- ты</w:t>
      </w:r>
      <w:proofErr w:type="gramEnd"/>
      <w:r w:rsidRPr="008127F8">
        <w:rPr>
          <w:rFonts w:ascii="Times New Roman" w:hAnsi="Times New Roman"/>
          <w:color w:val="000000" w:themeColor="text1"/>
          <w:sz w:val="16"/>
          <w:szCs w:val="16"/>
        </w:rPr>
        <w:t xml:space="preserve"> ШКАС – дальше. Последнее обстоятельство, как показывали расчеты, основанные на результатах полигонных испытаний, </w:t>
      </w:r>
      <w:proofErr w:type="gramStart"/>
      <w:r w:rsidRPr="008127F8">
        <w:rPr>
          <w:rFonts w:ascii="Times New Roman" w:hAnsi="Times New Roman"/>
          <w:color w:val="000000" w:themeColor="text1"/>
          <w:sz w:val="16"/>
          <w:szCs w:val="16"/>
        </w:rPr>
        <w:t>по- вышало</w:t>
      </w:r>
      <w:proofErr w:type="gramEnd"/>
      <w:r w:rsidRPr="008127F8">
        <w:rPr>
          <w:rFonts w:ascii="Times New Roman" w:hAnsi="Times New Roman"/>
          <w:color w:val="000000" w:themeColor="text1"/>
          <w:sz w:val="16"/>
          <w:szCs w:val="16"/>
        </w:rPr>
        <w:t xml:space="preserve"> эффективность стрельбы из пушек в воздухе примерно в 1,5 раза по сравнению с Илами, имеющими стандартную схему 254 размещения вооружения: ближе к оси самолета располагались пу- леметы, дальше от оси – пушки. Авиазавод №381 самостоятельно исправил этот просчет ОКБ. Развертыванию крупномасштабного производства Ил-2 препятствовала нехватка двигателей АМ-38. В этих условиях было принято решение о выпуске самолета с двига- телем воздушного охлаждения М-82, серийное производство </w:t>
      </w:r>
      <w:proofErr w:type="gramStart"/>
      <w:r w:rsidRPr="008127F8">
        <w:rPr>
          <w:rFonts w:ascii="Times New Roman" w:hAnsi="Times New Roman"/>
          <w:color w:val="000000" w:themeColor="text1"/>
          <w:sz w:val="16"/>
          <w:szCs w:val="16"/>
        </w:rPr>
        <w:t>кото- рого</w:t>
      </w:r>
      <w:proofErr w:type="gramEnd"/>
      <w:r w:rsidRPr="008127F8">
        <w:rPr>
          <w:rFonts w:ascii="Times New Roman" w:hAnsi="Times New Roman"/>
          <w:color w:val="000000" w:themeColor="text1"/>
          <w:sz w:val="16"/>
          <w:szCs w:val="16"/>
        </w:rPr>
        <w:t xml:space="preserve"> в достаточных количествах разворачивалось в Перми (19535).</w:t>
      </w:r>
    </w:p>
    <w:p w14:paraId="6A67C842" w14:textId="77777777" w:rsidR="00C13567" w:rsidRPr="008127F8" w:rsidRDefault="00C13567" w:rsidP="001E0A84">
      <w:pPr>
        <w:spacing w:after="0" w:line="240" w:lineRule="auto"/>
        <w:jc w:val="both"/>
        <w:rPr>
          <w:rFonts w:ascii="Times New Roman" w:hAnsi="Times New Roman"/>
          <w:color w:val="000000" w:themeColor="text1"/>
          <w:sz w:val="16"/>
          <w:szCs w:val="16"/>
        </w:rPr>
      </w:pPr>
    </w:p>
    <w:p w14:paraId="2A7A8A15" w14:textId="77777777" w:rsidR="00C13567" w:rsidRPr="008127F8" w:rsidRDefault="00C1356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г. в соответствии с Постановлением ГКО №1502 Ил-2 с двигателем М-82ИР запускался в серийное производство на авиазаводе № 381 с изготовлением первой серийной машины к 1 мая 1942 г. Всего же в мае должно было быть выпущено 56 экземпляров Ил-2 с М-82ИР. Еще столько же - в июне. Однако ввиду того, что нехватка АМ-38 была быстро компенсирована за счет остановки производства истребителей МиГ-3, на которых тоже устанавливался этот двигатель, и налаживанием массового производства моторов AM-38, мотор М-82 было решено устанавливать на ЛаГГ-3, которому он был нужнее, однако несколько экземпляров Ил-2 с двигателем воздушного охлаждения попали для испытаний в строевые части Калиниского фронта. [Растренин О.В., Ил-2- за кадром боя. Журнал «Авиация и космо- навтика» №9. 2009. С.14, 17] (18250).</w:t>
      </w:r>
    </w:p>
    <w:p w14:paraId="3A101601" w14:textId="77777777" w:rsidR="00C13567" w:rsidRPr="008127F8" w:rsidRDefault="00C13567" w:rsidP="001E0A84">
      <w:pPr>
        <w:spacing w:after="0" w:line="240" w:lineRule="auto"/>
        <w:jc w:val="both"/>
        <w:rPr>
          <w:rFonts w:ascii="Times New Roman" w:hAnsi="Times New Roman"/>
          <w:color w:val="000000" w:themeColor="text1"/>
          <w:sz w:val="16"/>
          <w:szCs w:val="16"/>
        </w:rPr>
      </w:pPr>
    </w:p>
    <w:p w14:paraId="1B58DD8B"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марта 1942 Постановлением ГКО 1502сс завод № 381 в Нижнем Тагиле обязывался с 1 мая начать выпуск од</w:t>
      </w:r>
      <w:r w:rsidRPr="008A2E5A">
        <w:rPr>
          <w:rFonts w:ascii="Times New Roman" w:hAnsi="Times New Roman"/>
          <w:color w:val="0070C0"/>
          <w:sz w:val="16"/>
          <w:szCs w:val="16"/>
        </w:rPr>
        <w:softHyphen/>
        <w:t>номестного Ил-2 с мотором воздушного охлаждения М- 82ИР. Однако через месяц все работы по Ил-2 с М-82ИР на заводе были прекращены в пользу сохранения произ</w:t>
      </w:r>
      <w:r w:rsidRPr="008A2E5A">
        <w:rPr>
          <w:rFonts w:ascii="Times New Roman" w:hAnsi="Times New Roman"/>
          <w:color w:val="0070C0"/>
          <w:sz w:val="16"/>
          <w:szCs w:val="16"/>
        </w:rPr>
        <w:softHyphen/>
        <w:t>водства Ил-2 с АМ-38 (23346).</w:t>
      </w:r>
    </w:p>
    <w:p w14:paraId="3B37DE89" w14:textId="77777777" w:rsidR="00E53DFE" w:rsidRPr="008A2E5A" w:rsidRDefault="00E53DFE" w:rsidP="00E53DFE">
      <w:pPr>
        <w:spacing w:after="0" w:line="240" w:lineRule="auto"/>
        <w:jc w:val="both"/>
        <w:rPr>
          <w:rFonts w:ascii="Times New Roman" w:hAnsi="Times New Roman"/>
          <w:color w:val="0070C0"/>
          <w:sz w:val="16"/>
          <w:szCs w:val="16"/>
        </w:rPr>
      </w:pPr>
    </w:p>
    <w:p w14:paraId="1628FE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вышло Постановление ГКО № 1502 О плане производства самолетов и авиационных моторов на второй квартал 1942 года. РГАНИР, Фонд ГКО, д. 25, лл. 119-120, 121-122 (11012).</w:t>
      </w:r>
    </w:p>
    <w:p w14:paraId="3DA722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FB3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вышел приказ N 235cc в исполнение постановления ГКО от 26 марта 1942 N 1499:</w:t>
      </w:r>
    </w:p>
    <w:p w14:paraId="39D632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30 Белянскому и ГК С.В.И. перейти на заводе 30 с 20 апреля 1942 на выпуск самолетов Ил-2, вооруженных пушками ШВАК 20 мм, вместо пушек Волкова-Ярцева 23 мм без ущерба для графика выпуска</w:t>
      </w:r>
    </w:p>
    <w:p w14:paraId="695114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1 Третьякову и ГК С.В.И. перейти на заводе 1 с 10 мая 1942 на выпуск самолетов Ил-2, вооруженных пушками ШВАК 20 мм, вместо пушек Волкова-Ярцева 23 мм без ущерба для графика выпуска</w:t>
      </w:r>
    </w:p>
    <w:p w14:paraId="6688F555" w14:textId="22A513E4"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завода 381 (Нижний Тагил) продолжить выпуск самолетов Ил-2, вооруженных пушками ШВАК 20 мм и не переходить на пушки Волкова-Ярцева 23 мм (1542,36</w:t>
      </w:r>
      <w:r w:rsidR="002E7BAC" w:rsidRPr="008127F8">
        <w:rPr>
          <w:rFonts w:ascii="Times New Roman" w:hAnsi="Times New Roman"/>
          <w:color w:val="000000" w:themeColor="text1"/>
          <w:sz w:val="16"/>
          <w:szCs w:val="16"/>
        </w:rPr>
        <w:t>).</w:t>
      </w:r>
    </w:p>
    <w:p w14:paraId="28DC81B9" w14:textId="77777777" w:rsidR="002E7BAC" w:rsidRPr="008127F8" w:rsidRDefault="002E7BAC"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96136" w14:textId="77777777" w:rsidR="002E7BAC" w:rsidRPr="008127F8" w:rsidRDefault="002E7BA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28 марта 1942 вечером новый М-71 зав. №033 при</w:t>
      </w:r>
      <w:r w:rsidRPr="008127F8">
        <w:rPr>
          <w:rFonts w:ascii="Times New Roman" w:hAnsi="Times New Roman" w:cs="Times New Roman"/>
          <w:color w:val="000000" w:themeColor="text1"/>
          <w:sz w:val="16"/>
          <w:szCs w:val="16"/>
        </w:rPr>
        <w:softHyphen/>
        <w:t>был из Молотова только. Установка мотора, регули</w:t>
      </w:r>
      <w:r w:rsidRPr="008127F8">
        <w:rPr>
          <w:rFonts w:ascii="Times New Roman" w:hAnsi="Times New Roman" w:cs="Times New Roman"/>
          <w:color w:val="000000" w:themeColor="text1"/>
          <w:sz w:val="16"/>
          <w:szCs w:val="16"/>
        </w:rPr>
        <w:softHyphen/>
        <w:t>ровка и отладка карбюратора, ре</w:t>
      </w:r>
      <w:r w:rsidRPr="008127F8">
        <w:rPr>
          <w:rFonts w:ascii="Times New Roman" w:hAnsi="Times New Roman" w:cs="Times New Roman"/>
          <w:color w:val="000000" w:themeColor="text1"/>
          <w:sz w:val="16"/>
          <w:szCs w:val="16"/>
        </w:rPr>
        <w:softHyphen/>
        <w:t>гулятора давления РПД-1, бензо</w:t>
      </w:r>
      <w:r w:rsidRPr="008127F8">
        <w:rPr>
          <w:rFonts w:ascii="Times New Roman" w:hAnsi="Times New Roman" w:cs="Times New Roman"/>
          <w:color w:val="000000" w:themeColor="text1"/>
          <w:sz w:val="16"/>
          <w:szCs w:val="16"/>
        </w:rPr>
        <w:softHyphen/>
        <w:t>помпы и регулятора числа оборотов Р-7 затянулись на целых 9 дней.</w:t>
      </w:r>
    </w:p>
    <w:p w14:paraId="1BC327A4" w14:textId="77777777" w:rsidR="002E7BAC" w:rsidRPr="008127F8" w:rsidRDefault="002E7BA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экс</w:t>
      </w:r>
      <w:r w:rsidRPr="008127F8">
        <w:rPr>
          <w:rFonts w:ascii="Times New Roman" w:hAnsi="Times New Roman" w:cs="Times New Roman"/>
          <w:color w:val="000000" w:themeColor="text1"/>
          <w:sz w:val="16"/>
          <w:szCs w:val="16"/>
        </w:rPr>
        <w:softHyphen/>
        <w:t>плуатационном отношении опытный Су-6 («82») оказался довольно слож</w:t>
      </w:r>
      <w:r w:rsidRPr="008127F8">
        <w:rPr>
          <w:rFonts w:ascii="Times New Roman" w:hAnsi="Times New Roman" w:cs="Times New Roman"/>
          <w:color w:val="000000" w:themeColor="text1"/>
          <w:sz w:val="16"/>
          <w:szCs w:val="16"/>
        </w:rPr>
        <w:softHyphen/>
        <w:t>ным самолетом.</w:t>
      </w:r>
    </w:p>
    <w:p w14:paraId="28D47BF2" w14:textId="77777777" w:rsidR="002E7BAC" w:rsidRPr="008127F8" w:rsidRDefault="002E7BA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Так, постановка мотора затруд</w:t>
      </w:r>
      <w:r w:rsidRPr="008127F8">
        <w:rPr>
          <w:rFonts w:ascii="Times New Roman" w:hAnsi="Times New Roman" w:cs="Times New Roman"/>
          <w:color w:val="000000" w:themeColor="text1"/>
          <w:sz w:val="16"/>
          <w:szCs w:val="16"/>
        </w:rPr>
        <w:softHyphen/>
        <w:t>нялась «плохим подходом к агре</w:t>
      </w:r>
      <w:r w:rsidRPr="008127F8">
        <w:rPr>
          <w:rFonts w:ascii="Times New Roman" w:hAnsi="Times New Roman" w:cs="Times New Roman"/>
          <w:color w:val="000000" w:themeColor="text1"/>
          <w:sz w:val="16"/>
          <w:szCs w:val="16"/>
        </w:rPr>
        <w:softHyphen/>
        <w:t>гатам мотора (РПД, магнето, карбю</w:t>
      </w:r>
      <w:r w:rsidRPr="008127F8">
        <w:rPr>
          <w:rFonts w:ascii="Times New Roman" w:hAnsi="Times New Roman" w:cs="Times New Roman"/>
          <w:color w:val="000000" w:themeColor="text1"/>
          <w:sz w:val="16"/>
          <w:szCs w:val="16"/>
        </w:rPr>
        <w:softHyphen/>
        <w:t>ратор и т.д.) и потому требует стро</w:t>
      </w:r>
      <w:r w:rsidRPr="008127F8">
        <w:rPr>
          <w:rFonts w:ascii="Times New Roman" w:hAnsi="Times New Roman" w:cs="Times New Roman"/>
          <w:color w:val="000000" w:themeColor="text1"/>
          <w:sz w:val="16"/>
          <w:szCs w:val="16"/>
        </w:rPr>
        <w:softHyphen/>
        <w:t>гой последовательности при выполнении монтажа винтомоторной группы». На эту процедуру затрачи</w:t>
      </w:r>
      <w:r w:rsidRPr="008127F8">
        <w:rPr>
          <w:rFonts w:ascii="Times New Roman" w:hAnsi="Times New Roman" w:cs="Times New Roman"/>
          <w:color w:val="000000" w:themeColor="text1"/>
          <w:sz w:val="16"/>
          <w:szCs w:val="16"/>
        </w:rPr>
        <w:softHyphen/>
        <w:t>валось «около 120-130 человекочасов при работе квалифицированной бригады из 3-4-х человек». Демонтаж мо</w:t>
      </w:r>
      <w:r w:rsidRPr="008127F8">
        <w:rPr>
          <w:rFonts w:ascii="Times New Roman" w:hAnsi="Times New Roman" w:cs="Times New Roman"/>
          <w:color w:val="000000" w:themeColor="text1"/>
          <w:sz w:val="16"/>
          <w:szCs w:val="16"/>
        </w:rPr>
        <w:softHyphen/>
        <w:t>тора выполнялся за 45-50 человеко-часов. Замена свечей блока цилиндров зад</w:t>
      </w:r>
      <w:r w:rsidRPr="008127F8">
        <w:rPr>
          <w:rFonts w:ascii="Times New Roman" w:hAnsi="Times New Roman" w:cs="Times New Roman"/>
          <w:color w:val="000000" w:themeColor="text1"/>
          <w:sz w:val="16"/>
          <w:szCs w:val="16"/>
        </w:rPr>
        <w:softHyphen/>
        <w:t>него ряда «звезды» из-за плохих подхо</w:t>
      </w:r>
      <w:r w:rsidRPr="008127F8">
        <w:rPr>
          <w:rFonts w:ascii="Times New Roman" w:hAnsi="Times New Roman" w:cs="Times New Roman"/>
          <w:color w:val="000000" w:themeColor="text1"/>
          <w:sz w:val="16"/>
          <w:szCs w:val="16"/>
        </w:rPr>
        <w:softHyphen/>
        <w:t>дов «выливалась» в целую «войсковую операцию». Очень много времени и сил уходило на постановку и отладку выхлоп</w:t>
      </w:r>
      <w:r w:rsidRPr="008127F8">
        <w:rPr>
          <w:rFonts w:ascii="Times New Roman" w:hAnsi="Times New Roman" w:cs="Times New Roman"/>
          <w:color w:val="000000" w:themeColor="text1"/>
          <w:sz w:val="16"/>
          <w:szCs w:val="16"/>
        </w:rPr>
        <w:softHyphen/>
        <w:t>ного коллектора, который в конструктив</w:t>
      </w:r>
      <w:r w:rsidRPr="008127F8">
        <w:rPr>
          <w:rFonts w:ascii="Times New Roman" w:hAnsi="Times New Roman" w:cs="Times New Roman"/>
          <w:color w:val="000000" w:themeColor="text1"/>
          <w:sz w:val="16"/>
          <w:szCs w:val="16"/>
        </w:rPr>
        <w:softHyphen/>
        <w:t>ном и производственном отношении оце</w:t>
      </w:r>
      <w:r w:rsidRPr="008127F8">
        <w:rPr>
          <w:rFonts w:ascii="Times New Roman" w:hAnsi="Times New Roman" w:cs="Times New Roman"/>
          <w:color w:val="000000" w:themeColor="text1"/>
          <w:sz w:val="16"/>
          <w:szCs w:val="16"/>
        </w:rPr>
        <w:softHyphen/>
        <w:t>нивался неудовлетворительно.</w:t>
      </w:r>
    </w:p>
    <w:p w14:paraId="7AA3C3AF" w14:textId="77777777" w:rsidR="002E7BAC" w:rsidRPr="008127F8" w:rsidRDefault="002E7BA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заправку горючим затрачивалось 15-20 мин, так как полностью использо</w:t>
      </w:r>
      <w:r w:rsidRPr="008127F8">
        <w:rPr>
          <w:rFonts w:ascii="Times New Roman" w:hAnsi="Times New Roman"/>
          <w:color w:val="000000" w:themeColor="text1"/>
          <w:sz w:val="16"/>
          <w:szCs w:val="16"/>
        </w:rPr>
        <w:softHyphen/>
        <w:t>вать производительность бензозаправ</w:t>
      </w:r>
      <w:r w:rsidRPr="008127F8">
        <w:rPr>
          <w:rFonts w:ascii="Times New Roman" w:hAnsi="Times New Roman"/>
          <w:color w:val="000000" w:themeColor="text1"/>
          <w:sz w:val="16"/>
          <w:szCs w:val="16"/>
        </w:rPr>
        <w:softHyphen/>
        <w:t>щика возможности не представлялось («из-за воздушных пробок, которые обра</w:t>
      </w:r>
      <w:r w:rsidRPr="008127F8">
        <w:rPr>
          <w:rFonts w:ascii="Times New Roman" w:hAnsi="Times New Roman"/>
          <w:color w:val="000000" w:themeColor="text1"/>
          <w:sz w:val="16"/>
          <w:szCs w:val="16"/>
        </w:rPr>
        <w:softHyphen/>
        <w:t>зуются вследствие закрывания обратного клапана инертных газов от воздушной струи из бака»).</w:t>
      </w:r>
    </w:p>
    <w:p w14:paraId="7797096E" w14:textId="77777777" w:rsidR="002E7BAC" w:rsidRPr="008127F8" w:rsidRDefault="002E7BA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Для слива масла одним человеком (в системе предусматривалось шесть то</w:t>
      </w:r>
      <w:r w:rsidRPr="008127F8">
        <w:rPr>
          <w:rFonts w:ascii="Times New Roman" w:hAnsi="Times New Roman" w:cs="Times New Roman"/>
          <w:color w:val="000000" w:themeColor="text1"/>
          <w:sz w:val="16"/>
          <w:szCs w:val="16"/>
        </w:rPr>
        <w:softHyphen/>
        <w:t>чек слива масла) требовалось до 25- 30 мин времени, что считалось слишком долгим.</w:t>
      </w:r>
    </w:p>
    <w:p w14:paraId="7851C0B6" w14:textId="77777777" w:rsidR="002E7BAC" w:rsidRPr="008127F8" w:rsidRDefault="002E7BA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Запуск мотора при минусовых тем</w:t>
      </w:r>
      <w:r w:rsidRPr="008127F8">
        <w:rPr>
          <w:rFonts w:ascii="Times New Roman" w:hAnsi="Times New Roman" w:cs="Times New Roman"/>
          <w:color w:val="000000" w:themeColor="text1"/>
          <w:sz w:val="16"/>
          <w:szCs w:val="16"/>
        </w:rPr>
        <w:softHyphen/>
        <w:t>пературах окружающего воздуха в зна</w:t>
      </w:r>
      <w:r w:rsidRPr="008127F8">
        <w:rPr>
          <w:rFonts w:ascii="Times New Roman" w:hAnsi="Times New Roman" w:cs="Times New Roman"/>
          <w:color w:val="000000" w:themeColor="text1"/>
          <w:sz w:val="16"/>
          <w:szCs w:val="16"/>
        </w:rPr>
        <w:softHyphen/>
        <w:t>чительной мере затруднялся по причине сбоев в работе системы заливки и кар</w:t>
      </w:r>
      <w:r w:rsidRPr="008127F8">
        <w:rPr>
          <w:rFonts w:ascii="Times New Roman" w:hAnsi="Times New Roman" w:cs="Times New Roman"/>
          <w:color w:val="000000" w:themeColor="text1"/>
          <w:sz w:val="16"/>
          <w:szCs w:val="16"/>
        </w:rPr>
        <w:softHyphen/>
        <w:t>бюрации. Кроме того, в маслосистеме са</w:t>
      </w:r>
      <w:r w:rsidRPr="008127F8">
        <w:rPr>
          <w:rFonts w:ascii="Times New Roman" w:hAnsi="Times New Roman" w:cs="Times New Roman"/>
          <w:color w:val="000000" w:themeColor="text1"/>
          <w:sz w:val="16"/>
          <w:szCs w:val="16"/>
        </w:rPr>
        <w:softHyphen/>
        <w:t>молета отсутствовало приспособление, «обеспечивающее возможность разжи</w:t>
      </w:r>
      <w:r w:rsidRPr="008127F8">
        <w:rPr>
          <w:rFonts w:ascii="Times New Roman" w:hAnsi="Times New Roman" w:cs="Times New Roman"/>
          <w:color w:val="000000" w:themeColor="text1"/>
          <w:sz w:val="16"/>
          <w:szCs w:val="16"/>
        </w:rPr>
        <w:softHyphen/>
        <w:t>жения масла бензином перед остановкой мотора». Между тем для надежного за</w:t>
      </w:r>
      <w:r w:rsidRPr="008127F8">
        <w:rPr>
          <w:rFonts w:ascii="Times New Roman" w:hAnsi="Times New Roman" w:cs="Times New Roman"/>
          <w:color w:val="000000" w:themeColor="text1"/>
          <w:sz w:val="16"/>
          <w:szCs w:val="16"/>
        </w:rPr>
        <w:softHyphen/>
        <w:t>пуска мотора необходимо было прогре</w:t>
      </w:r>
      <w:r w:rsidRPr="008127F8">
        <w:rPr>
          <w:rFonts w:ascii="Times New Roman" w:hAnsi="Times New Roman" w:cs="Times New Roman"/>
          <w:color w:val="000000" w:themeColor="text1"/>
          <w:sz w:val="16"/>
          <w:szCs w:val="16"/>
        </w:rPr>
        <w:softHyphen/>
        <w:t>вать головки цилиндров до 50-70°С, «что требует 1-1,5 ч при подогреве мотор</w:t>
      </w:r>
      <w:r w:rsidRPr="008127F8">
        <w:rPr>
          <w:rFonts w:ascii="Times New Roman" w:hAnsi="Times New Roman" w:cs="Times New Roman"/>
          <w:color w:val="000000" w:themeColor="text1"/>
          <w:sz w:val="16"/>
          <w:szCs w:val="16"/>
        </w:rPr>
        <w:softHyphen/>
        <w:t>ным бортовым подогревателем (МБП-1) при температурах наружного воздуха ми</w:t>
      </w:r>
      <w:r w:rsidRPr="008127F8">
        <w:rPr>
          <w:rFonts w:ascii="Times New Roman" w:hAnsi="Times New Roman" w:cs="Times New Roman"/>
          <w:color w:val="000000" w:themeColor="text1"/>
          <w:sz w:val="16"/>
          <w:szCs w:val="16"/>
        </w:rPr>
        <w:softHyphen/>
        <w:t>нус 15-20°С» (19844).</w:t>
      </w:r>
    </w:p>
    <w:p w14:paraId="735AFAC7" w14:textId="77777777" w:rsidR="002E7BAC" w:rsidRPr="008127F8" w:rsidRDefault="002E7BAC" w:rsidP="001E0A84">
      <w:pPr>
        <w:spacing w:after="0" w:line="240" w:lineRule="auto"/>
        <w:jc w:val="both"/>
        <w:rPr>
          <w:rFonts w:ascii="Times New Roman" w:hAnsi="Times New Roman"/>
          <w:color w:val="000000" w:themeColor="text1"/>
          <w:sz w:val="16"/>
          <w:szCs w:val="16"/>
        </w:rPr>
      </w:pPr>
    </w:p>
    <w:p w14:paraId="6FA8B7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вышел приказ N 234c в исполнение постановления ГКО от 26 марта 1942 N 1498 "О наименовании самолетов ДБ-3Ф и 103"</w:t>
      </w:r>
    </w:p>
    <w:p w14:paraId="3695BB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Самолеты ДБ-3Ф впредь именовать Ил-4</w:t>
      </w:r>
    </w:p>
    <w:p w14:paraId="293838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Самолеты 103 впредь именовать Ту-2 (1542,30).</w:t>
      </w:r>
    </w:p>
    <w:p w14:paraId="6CCF0A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CDF53" w14:textId="75774480" w:rsidR="00710D36" w:rsidRPr="008127F8" w:rsidRDefault="00710D3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1941 закончились совместные заводские и государственные испытания И-185 с М-71 и М-82А, проводимые с 10 февраля 1942 (130,35).</w:t>
      </w:r>
    </w:p>
    <w:p w14:paraId="1AE0431A" w14:textId="77777777" w:rsidR="00710D36" w:rsidRPr="008127F8" w:rsidRDefault="00710D3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860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А.С.Я. писал И.Ф.П. письмо N 4-36/1157:</w:t>
      </w:r>
    </w:p>
    <w:p w14:paraId="6B1820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ускорения контрольных испытаний серийных самолетов НКАП предлагает проводить испытания на ЛИС заводов, строящих эти самолеты" (1635,197).</w:t>
      </w:r>
    </w:p>
    <w:p w14:paraId="1797CE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B38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вышло Постановление ГКО № 1503 О материально-техническом обеспечении авиационной промышленности во втором квартале 1942 года. РГАНИР, Фонд ГКО, д. 25, лл. 123-137, 138-188 (11012).</w:t>
      </w:r>
    </w:p>
    <w:p w14:paraId="503CC9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5BA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ГИ завода 82 Таканаев писал А.И.Ш. в НКАП о том, что хотя решением ГКО N 1440 от 14 марта 1942 производство М-30 прекращено временно, у 45 завода нет указания о сохранении спец. оборудования для М-30 и его хотят переделать под производство АМ-38. Опасался за потерю возможности производства единственного работоспособного дизеля М-30 (1648,261).</w:t>
      </w:r>
    </w:p>
    <w:p w14:paraId="2797E7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F313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года в Новосибирске бригада НИИ ВВС и завода № 51 закончила совместные за</w:t>
      </w:r>
      <w:r w:rsidRPr="008127F8">
        <w:rPr>
          <w:rFonts w:ascii="Times New Roman" w:hAnsi="Times New Roman"/>
          <w:color w:val="000000" w:themeColor="text1"/>
          <w:sz w:val="16"/>
          <w:szCs w:val="16"/>
        </w:rPr>
        <w:softHyphen/>
        <w:t>водские и государственные испыта</w:t>
      </w:r>
      <w:r w:rsidRPr="008127F8">
        <w:rPr>
          <w:rFonts w:ascii="Times New Roman" w:hAnsi="Times New Roman"/>
          <w:color w:val="000000" w:themeColor="text1"/>
          <w:sz w:val="16"/>
          <w:szCs w:val="16"/>
        </w:rPr>
        <w:softHyphen/>
        <w:t>ния И-185, которые проходили с 10 февраля. Было проведено 16 полетов И-185 с М-71 и 9 полетов И-185 с М-82, причем летные характеристики сни</w:t>
      </w:r>
      <w:r w:rsidRPr="008127F8">
        <w:rPr>
          <w:rFonts w:ascii="Times New Roman" w:hAnsi="Times New Roman"/>
          <w:color w:val="000000" w:themeColor="text1"/>
          <w:sz w:val="16"/>
          <w:szCs w:val="16"/>
        </w:rPr>
        <w:softHyphen/>
        <w:t>мались опять только на первом, а на втором испытывалось синхронное пу</w:t>
      </w:r>
      <w:r w:rsidRPr="008127F8">
        <w:rPr>
          <w:rFonts w:ascii="Times New Roman" w:hAnsi="Times New Roman"/>
          <w:color w:val="000000" w:themeColor="text1"/>
          <w:sz w:val="16"/>
          <w:szCs w:val="16"/>
        </w:rPr>
        <w:softHyphen/>
        <w:t xml:space="preserve">шечное вооружение. Максимальная скорость И-185 с М-71 составила: у земли - 521 км/ч на номинале и 556 км/ч на форсаже (Н=500 м), на 1-й границе высотности 3400 м -604 км/ч, на 2-й границе высотности 6170 м - 630 км/ч. Время набора высоты 5000 м составило 5,2 мин. Эти данные были выше всех известных тогда отечественных и иностранных истребителей, но всё же заметно ниже расчетных, что указывало на недове-денность ВМГ. Трехпушечное </w:t>
      </w:r>
      <w:r w:rsidRPr="008127F8">
        <w:rPr>
          <w:rFonts w:ascii="Times New Roman" w:hAnsi="Times New Roman"/>
          <w:color w:val="000000" w:themeColor="text1"/>
          <w:sz w:val="16"/>
          <w:szCs w:val="16"/>
        </w:rPr>
        <w:lastRenderedPageBreak/>
        <w:t>синхрон</w:t>
      </w:r>
      <w:r w:rsidRPr="008127F8">
        <w:rPr>
          <w:rFonts w:ascii="Times New Roman" w:hAnsi="Times New Roman"/>
          <w:color w:val="000000" w:themeColor="text1"/>
          <w:sz w:val="16"/>
          <w:szCs w:val="16"/>
        </w:rPr>
        <w:softHyphen/>
        <w:t>ное вооружение испытания на И-185 с М-82 также выдержало успешно, но летные данные последнего по-прежне</w:t>
      </w:r>
      <w:r w:rsidRPr="008127F8">
        <w:rPr>
          <w:rFonts w:ascii="Times New Roman" w:hAnsi="Times New Roman"/>
          <w:color w:val="000000" w:themeColor="text1"/>
          <w:sz w:val="16"/>
          <w:szCs w:val="16"/>
        </w:rPr>
        <w:softHyphen/>
        <w:t>му были неизвестны. Комиссия по испытаниям рекомендовала постро</w:t>
      </w:r>
      <w:r w:rsidRPr="008127F8">
        <w:rPr>
          <w:rFonts w:ascii="Times New Roman" w:hAnsi="Times New Roman"/>
          <w:color w:val="000000" w:themeColor="text1"/>
          <w:sz w:val="16"/>
          <w:szCs w:val="16"/>
        </w:rPr>
        <w:softHyphen/>
        <w:t>ить войсковую серию самолетов И-185 с М-71 и трехпушечным вооружени</w:t>
      </w:r>
      <w:r w:rsidRPr="008127F8">
        <w:rPr>
          <w:rFonts w:ascii="Times New Roman" w:hAnsi="Times New Roman"/>
          <w:color w:val="000000" w:themeColor="text1"/>
          <w:sz w:val="16"/>
          <w:szCs w:val="16"/>
        </w:rPr>
        <w:softHyphen/>
        <w:t>ем, но нарком А.И. Шахурин опять не согласился с таким предложением, считая, что этот вопрос следует «ре</w:t>
      </w:r>
      <w:r w:rsidRPr="008127F8">
        <w:rPr>
          <w:rFonts w:ascii="Times New Roman" w:hAnsi="Times New Roman"/>
          <w:color w:val="000000" w:themeColor="text1"/>
          <w:sz w:val="16"/>
          <w:szCs w:val="16"/>
        </w:rPr>
        <w:softHyphen/>
        <w:t>шить после сопоставления данных по результатам испытаний аналогичных самолетов». Дело заключалось в том, что на вооружение был принят и на</w:t>
      </w:r>
      <w:r w:rsidRPr="008127F8">
        <w:rPr>
          <w:rFonts w:ascii="Times New Roman" w:hAnsi="Times New Roman"/>
          <w:color w:val="000000" w:themeColor="text1"/>
          <w:sz w:val="16"/>
          <w:szCs w:val="16"/>
        </w:rPr>
        <w:softHyphen/>
        <w:t>ходился в производстве мотор М-82, а не М-71, поэтому Шахурину были нужны положительные результаты именно с первым, а не со вторым мо</w:t>
      </w:r>
      <w:r w:rsidRPr="008127F8">
        <w:rPr>
          <w:rFonts w:ascii="Times New Roman" w:hAnsi="Times New Roman"/>
          <w:color w:val="000000" w:themeColor="text1"/>
          <w:sz w:val="16"/>
          <w:szCs w:val="16"/>
        </w:rPr>
        <w:softHyphen/>
        <w:t>тором. Как вскоре выяснилось, нарком тя</w:t>
      </w:r>
      <w:r w:rsidRPr="008127F8">
        <w:rPr>
          <w:rFonts w:ascii="Times New Roman" w:hAnsi="Times New Roman"/>
          <w:color w:val="000000" w:themeColor="text1"/>
          <w:sz w:val="16"/>
          <w:szCs w:val="16"/>
        </w:rPr>
        <w:softHyphen/>
        <w:t>нул время не зря. В это время нача</w:t>
      </w:r>
      <w:r w:rsidRPr="008127F8">
        <w:rPr>
          <w:rFonts w:ascii="Times New Roman" w:hAnsi="Times New Roman"/>
          <w:color w:val="000000" w:themeColor="text1"/>
          <w:sz w:val="16"/>
          <w:szCs w:val="16"/>
        </w:rPr>
        <w:softHyphen/>
        <w:t>лись испытания очередного самолета с М-82, на этот раз конструкции С.А. Лавочкина (10686).</w:t>
      </w:r>
    </w:p>
    <w:p w14:paraId="55607A0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53C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г. вышел приказ НКАП о переименовании самолета «103» в Ту-2. Для развертыва</w:t>
      </w:r>
      <w:r w:rsidRPr="008127F8">
        <w:rPr>
          <w:rFonts w:ascii="Times New Roman" w:hAnsi="Times New Roman"/>
          <w:color w:val="000000" w:themeColor="text1"/>
          <w:sz w:val="16"/>
          <w:szCs w:val="16"/>
        </w:rPr>
        <w:softHyphen/>
        <w:t>ния серии Ту-2 на завод № 166 в Омск направлялись не</w:t>
      </w:r>
      <w:r w:rsidRPr="008127F8">
        <w:rPr>
          <w:rFonts w:ascii="Times New Roman" w:hAnsi="Times New Roman"/>
          <w:color w:val="000000" w:themeColor="text1"/>
          <w:sz w:val="16"/>
          <w:szCs w:val="16"/>
        </w:rPr>
        <w:softHyphen/>
        <w:t>обходимые станки и оборудование, в том числе и с поликарповского опытного завода № 51 (10667).</w:t>
      </w:r>
    </w:p>
    <w:p w14:paraId="225DCC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A876A"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8D99B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3B5E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НКТП В.Малышев писал письмо НКВ Д.Ф.У.:</w:t>
      </w:r>
    </w:p>
    <w:p w14:paraId="639774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“Напоминаю Вам, что план производства 76-мм танковых орудий Ф-96 для танков Матильда заводом 9 фактически сорван, вместо запланированных 120 сдано 47. В то же время выпуск 76-мм ЗИС-5 для КВ даже перевыполнен. Сложившееся положение вещей считаем неприемлемым, т.к. орудия для КВ имеются в достаточном количестве.</w:t>
      </w:r>
    </w:p>
    <w:p w14:paraId="4454A2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 же скорейшего перевооружения имеющихся толстобронных английских танков 76-мм пушкой в настоящее время считаем задачей N 1. Примите срочные меры по оперативной корректировке производства артиллерии для танков на 2 кв. Текущего года с тем, чтобы недосдача пушек 1 кв. Была восполнена как можно скорее.” (4367).</w:t>
      </w:r>
    </w:p>
    <w:p w14:paraId="7DEC13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705C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вышло Постановление ГКО № 1504 [О передаче Нытвенского металлопрокатного завода (Молотовская обл.) из НКЧМ в НКВ.] (7026, 189).</w:t>
      </w:r>
    </w:p>
    <w:p w14:paraId="4234B64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16A4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вышло Постановление ГКО № 1505 О снятии железнодорожных линий с новостроек Дальнего Востока [для обеспечения рельсами ж.д. Свияжск - Ульяновск и Саратов - Сталинград.] (7026, 190).</w:t>
      </w:r>
    </w:p>
    <w:p w14:paraId="17961CC0"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9C3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28-30 марта 1942 была рекогносцировка на берегу Ладожского озера и выбор места сооружения верфи для постройки барж в бухте Гольсмана (10671).</w:t>
      </w:r>
    </w:p>
    <w:p w14:paraId="612240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E8DD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593D6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9BE095"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утреннее сообщение Совинформбюро:</w:t>
      </w:r>
    </w:p>
    <w:p w14:paraId="0E036E6D"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28 марта на фронте каких-либо существенных изменений не произошло.</w:t>
      </w:r>
    </w:p>
    <w:p w14:paraId="34B00B36"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в результате упорного боя выбила противника из одного населённого пункта. На поле сражения остались сотни вражеских трупов. Наши бойцы за один день захватили 2 немецких орудия, 10 пулемётов, 2 миномёта, 45 винтовок, 4 ящика патронов и другое военное имущество.</w:t>
      </w:r>
    </w:p>
    <w:p w14:paraId="60AAF89F"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два дня боёв на одном из участков Юго-Западного фронта наши части уничтожили более 500 немецких солдат и офицеров. Среди захваченных трофеев — 3 вражеских танка, 5 орудий, 10 пулемётов и 6 миномётов.</w:t>
      </w:r>
    </w:p>
    <w:p w14:paraId="1A10DC15"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К., оперирующий в одном из районов Сталинской области, оккупированных немцами, за время своей боевой деятельности, по неполным данным, уничтожил 387 немецких солдат и офицеров. Партизаны захватили 120 вражеских винтовок, 2 миномёта, 3 пулемёта, несколько автоматов, большое количество гранат, мин, патронов. Разгромив штаб одной части противника, партизаны захватили ценные оперативные документы.</w:t>
      </w:r>
    </w:p>
    <w:p w14:paraId="13D7CFD3"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командир отделения связистов при штабе 1 батальона 503 полка 290 немецкой пехотной дивизии обер-ефрейтор Маттиас Клут рассказал: «Штаб нашего батальона всё время получал приказы, в которых предлагалось держаться до последнего патрона, но все чувствовали, что положение у нас безнадёжное. Ночью русские батареи открыли огонь, а затем двинулась пехота. У нас началась паника. Все разбежались, кто куда. Я остался на месте, чтобы сдаться в плен. Ваш полк понёс огромные потери. В 1 батальоне осталось не более 80 солдат. Питание солдат с каждым днём ухудшается. Только попав в плен, я впервые за много недель наелся досыта». Клут служил в германской армии с 1938 года и награждён «Железным крестом» второй степени.</w:t>
      </w:r>
    </w:p>
    <w:p w14:paraId="594C7BFC"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фамилию которого установить не удалось, писал своей семье: «...Одна атака следует за другой. Об отдыхе не может быть и речи. Мы — жертвы. Наша рота имела 140 человек, сейчас у нас осталось всего 56, остальные убиты или ранены. Нервы мои совершенно издёрганы. Не было ни одной ночи, когда бы мы могли выспаться».</w:t>
      </w:r>
    </w:p>
    <w:p w14:paraId="663D6470"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села Доморники, Смоленской области, немцы сожгли 23 дома, все скотные дворы и амбары. Жителей, пытавшихся спасти от огня своё имущество, гитлеровские бандиты расстреливали. Среди жертв фашистских варваров: Новикова Анна — 50 лет, Снигиров Афанасий Моисеевич — 61 года, Матросенко Терентий Иванович — 49 лет, Шитиков Дмитрий Иванович, его сын Николай — 15 лет и дочь Надежда — 11 лет и многие другие старики, женщины и дети.» (15082).</w:t>
      </w:r>
    </w:p>
    <w:p w14:paraId="5C42FA1F"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10826483"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вечернее сообщение Совинформбюро:</w:t>
      </w:r>
    </w:p>
    <w:p w14:paraId="7556A29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28 марта наши войска вели наступательные бои против немецко-фашистских войск и заняли несколько населённых пунктов. На некоторых участках фронта противник переходил в контратаки, которые вашими войсками были отбиты с большими для противника потерями. За 27 марта сбито в воздушных боях 8 немецких самолётов. Наши потери—3 самолёта.</w:t>
      </w:r>
    </w:p>
    <w:p w14:paraId="17A98DF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марта частями нашей авиации уничтожено или повреждено 10 немецких танков, 2 бронемашины, свыше 80 автомашин с войсками и грузами, 65 подвод с боеприпасами, 2 автоцистерны с горючим, 8 орудий полевой и зенитной артиллерии, 13 миномётов, 8 зенитно-пулемётных точек, взорвано 3 склада с боеприпасами, рассеяно и частью уничтожено да батальона пехоты противника.</w:t>
      </w:r>
    </w:p>
    <w:p w14:paraId="5EB8459F"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28 вражеских блиндажей, ДЗОТов и землянок, уничтожили 5 немецких танков, 3 орудия, 12 станковых пулемётов, 2 минометных батареи, 2 трактора-тягача с прицепами и походную кухню. За это же время у противника захвачены следующие трофеи: 5 танков, 24 пулемёта, 4 миномёта, 3 орудия, 2 бронемашины, много автоматов, винтовок и пистолетов, противотанковые ружья, 1.440 снарядов и 10 ящиков со снарядами, 3.400 мин и 100 ящиков с минами, 101.000 винтовочных патронов, 10 грузовых машин, 15 конных повозок и другое снаряжение. Немцы оставили на поле боя 3.200 трупов. Взяты пленные.</w:t>
      </w:r>
    </w:p>
    <w:p w14:paraId="5E53DF7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наше стрелковое соединение, преодолевая упорное сопротивление противника, продвинулось вперёд и нанесло немцам большой урон. За один день боёв враг потерял только убитыми 850 солдат и офицеров. На другом участке бойцы нашей гвардейской части захватили 14 вражеских блиндажей.</w:t>
      </w:r>
    </w:p>
    <w:p w14:paraId="52B1D2D8"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Лыжники одного из подразделений Калининского фронта за один день уничтожили 193 солдата и офицера противника. Захвачены пленные.</w:t>
      </w:r>
    </w:p>
    <w:p w14:paraId="0AF27BCB"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Взвод наших бойцов под командованием тов. Дубаноса успешно отбил контратаку немецкой пехоты, двигавшейся на вездеходах. Ружейно-пулемётным огнём бойцы взвода уничтожили 50 солдат и офицеров противника.</w:t>
      </w:r>
    </w:p>
    <w:p w14:paraId="1383CDA0"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разведчиков под командой старшего лейтенанта Герасимова, действуя в тылу противника, заметила двигавшийся по дороге вражеский обоз. Разведчики открыли огонь из пулемётов и автоматов. Потеряв убитыми одного офицера и 11 солдат, немцы разбежались. Наши разведчики захватили 8 винтовок, несколько ящиков со взрывчаткой, документы и взяли в плен четырёх немецких солдат.</w:t>
      </w:r>
    </w:p>
    <w:p w14:paraId="4274336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Партизанский отряд под командованием тов. П., действующий в одном из оккупированных немцами районов Курской области, недавно разгромил штаб 3 батальона 513 немецкого пехотного полка. Поздно ночью одна из групп партизанского отряда подобралась к дому, где расположился штаб, и забросала его гранатами. В селе поднялся переполох. Солдаты из охраны штаба открыли огонь из пулемётов. Тогда им в тыл ударила вторая партизанская группа. После часового боя партизаны </w:t>
      </w:r>
      <w:proofErr w:type="gramStart"/>
      <w:r w:rsidRPr="008127F8">
        <w:rPr>
          <w:rFonts w:ascii="Times New Roman" w:hAnsi="Times New Roman"/>
          <w:color w:val="000000" w:themeColor="text1"/>
          <w:sz w:val="16"/>
          <w:szCs w:val="16"/>
        </w:rPr>
        <w:t>уничто-жили</w:t>
      </w:r>
      <w:proofErr w:type="gramEnd"/>
      <w:r w:rsidRPr="008127F8">
        <w:rPr>
          <w:rFonts w:ascii="Times New Roman" w:hAnsi="Times New Roman"/>
          <w:color w:val="000000" w:themeColor="text1"/>
          <w:sz w:val="16"/>
          <w:szCs w:val="16"/>
        </w:rPr>
        <w:t xml:space="preserve"> 59 гитлеровцев, в том числе 8 офицеров. Советские патриоты захватили радиостанцию, станковый пулемёт, 10 ящиков с боеприпасами, много гранат, мин и различное снаряжение. Штабные документы и карты отряд передал в штаб Энской части Красной Армии.</w:t>
      </w:r>
    </w:p>
    <w:p w14:paraId="7EE53D80"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17 сапёрного батальона 17 пехотной немецкой, дивизии Вильгельм Глюккерт рассказал: «В армию меня призвали в конце января 1942 года. До этого я работал на военном заводе в городе Франкфурте. Из-за недостатка топлива многие предприятия, в том числе и заводы военного значения, работают с перебоями. Франкфуртский завод, изготовляющий штампы для массовых деталей самолетов, в январе тоже работал с большими перебоями. В стране царит всеобщее глухое недовольство. Народ голодает. Все хотят скорейшего окончания войны любой ценой. Многие жители Франкфурта рассказывали, что в Мангейме состоялись крупные антивоенные демонстрации женщин. В январе в Боккенхейме (Франкфурт) были расклеены листовки: «Долой Гитлера!», «Долой войну!». Эти листовки я сам видел во многих местах».</w:t>
      </w:r>
    </w:p>
    <w:p w14:paraId="3B754918"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Действующие в Герцеговине (Югославия) партизанские отряды непрерывно наносят удары немецко-итальянским оккупантам. 10 марта партизаны разгромили немецкую транспортную колонну, состоявшую из 31 грузовой автомашины. Убито 45 и взято в плен 42 немецких солдата и офицера. Захвачено 100 винтовок, 7 пулемётов, 13 автомашин и 5.000 патронов.</w:t>
      </w:r>
    </w:p>
    <w:p w14:paraId="1D81DF4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с оккупантами герцеговинские партизаны убили и взяли в плен 1.050 вражеских солдат и офицеров, захватили 395 винтовок, 49 пулемётов, 7 миномётов, 2 пушки, 3 танка и много боеприпасов. Кроме того, партизаны уничтожили 2 танка, 25 автомашин, 4 паровоза, 18 загонов и другое вооружение и материалы.</w:t>
      </w:r>
    </w:p>
    <w:p w14:paraId="1A5FA486"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 ответ на призыв товарища Сталина усилить помощь фронту колхозы Ташаузской области, Туркменской ССР, двадцатого марта выполнили полугодовой план поставок мяса государству на 142 процента.» (15082).</w:t>
      </w:r>
    </w:p>
    <w:p w14:paraId="62377A93"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056647B3"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(28-30 марта) ГКО и Ставка ВГК рассмотрели стратегический план действий Советских Вооруженных Сил на весенне-летний период 1942 г (15082).</w:t>
      </w:r>
    </w:p>
    <w:p w14:paraId="3FD95FE4"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11407AB5"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Ставка вермахта рассмотрела план летнего наступления на Восточном фронте (15082).</w:t>
      </w:r>
    </w:p>
    <w:p w14:paraId="71B0332A"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0FA7C20E"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вышло Постановление ГКО № 1507 [Об установке телефонов ВЧ для начальников тылов фронтов.] (7026, 192).</w:t>
      </w:r>
    </w:p>
    <w:p w14:paraId="31CC46D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C753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ставка ВГК вермахта рассмотрела план летнего наступления на ВФ в 1942 (3186).</w:t>
      </w:r>
    </w:p>
    <w:p w14:paraId="6DD9EB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C5D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28-29 марта 1942 ГКО и ставка ВГК рассмотрели стратегический план действий советских вооруженных сил на весенне-летний период 1942 (3186).</w:t>
      </w:r>
    </w:p>
    <w:p w14:paraId="2D0137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413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первая часть Luftwaffe, оснащенная Hs 129В-1 - 4-й штаффель только что сформированной 11-й группы SchG 1, получила шестнадцать новеньких штурмовиков. Этот штаффель был сформирован в Липпштадте в Северо-западной Германии. После периода освоения 4 штафель SchG 1 перебросили в начале мая 1942 на Восточный фронт, однако к этому времени его состав был сокращен до двенадцати Hs 129В-1, из которых две трети были боеспособными. Штабное звено и обе группы из SchG 1 (которые сформировали из остатков II(S).LG (2) передали под командование Luftflotte 4 на юге СССР, где подразделения действовали в смешанных группах из самолетов Hs 123, Hs 129 и Bf 109 (3188).</w:t>
      </w:r>
    </w:p>
    <w:p w14:paraId="573DEC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71A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на СЗФ п П.М.Московец и л В.Усенко, патрулируя над ЛФ, встретили 15 б в сопровождении 11 и и вели бой 20 минут, сбив 2 и вернулись на аэродром (438,838).</w:t>
      </w:r>
    </w:p>
    <w:p w14:paraId="74903C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17A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 19.53 в Москве была объявлена воздушная тревога, и вскоре в парке у стадиона «Динамо» прогремели три мощных взрыва. Никто не пострадал. Следующим вечером налет повторился, на Ростокинский район столицы были сброшены восемь тяжелых фугасных бомб, разрушивших несколько жилых домов. Поскольку сигнал «ВТ» был подан с опозданием, люди не успели эвакуироваться в бомбоубежища, и в результате ранения и контузии получили 96 москвичей, погибли 15 человек. В туже мартовскую ночь несколько «Юнкерсов» внезапно совершили налет на нефтемаслозавод им. Менделеева в г. Константинове, расположенном на Волге, в 20 км северо-западнее Ярославля. Прямыми попаданиями фугасных бомб была выведена из строя установка кислотной очистки остаточных масел, повреждены паропроводы и электросеть. Бомба весом 500 кг попала в котельную завода и причинила ей серьезные разрушения. От взрывной волны вылетели стекла в газовом цехе и других зданиях. Погибли теплотехник котельной Л. И. Козлов и бригадир нефтекачки 19-летняя Л. Катаева. Многие рабочие получили ранения. Отопление в условиях зимы, пожалуй, было самым уязвимым местом любого предприятия. Выведение из строя котельной, как источника тепла, могло полностью парализовать работу. Лишь героические усилия инженеров и рабочих Константиновского завода, сумевших предотвратить замерзание большинства отопительных труб и обеспечить быстрый пуск уцелевших котлов, хотя бы на частичную мощность, позволили избежать остановки предприятия. Через три дня завод частично возобновил работу, хотя на полное устранение повреждений понадобился еще один месяц (11774).</w:t>
      </w:r>
    </w:p>
    <w:p w14:paraId="22B72F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44531"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6CF58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27A43"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вышло Постановление ГКО № 1506 Об ограничении передвижения граждан по железным дорогам и водным путям сообщения на военное время. (7026, 191-191об.).</w:t>
      </w:r>
    </w:p>
    <w:p w14:paraId="31C9405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B742C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18A4E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3D614"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сделал свой первый полёт итальянский пикирующий бомбардировщик </w:t>
      </w:r>
      <w:hyperlink r:id="rId87" w:tgtFrame="_blank" w:history="1">
        <w:r w:rsidRPr="008127F8">
          <w:rPr>
            <w:rFonts w:ascii="Times New Roman" w:hAnsi="Times New Roman"/>
            <w:color w:val="000000" w:themeColor="text1"/>
            <w:sz w:val="16"/>
            <w:szCs w:val="16"/>
          </w:rPr>
          <w:t xml:space="preserve">«Breda» «Ba.201». </w:t>
        </w:r>
      </w:hyperlink>
    </w:p>
    <w:p w14:paraId="6C98766F"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300470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March 28th, 1942: Under the new tactical doctrine of area saturation bombing, introduced by Air Vice Marshal Harris, the RAF launches a heavy incendiary attack (234 bombers) against Lubeck on the Baltic that devastates 265 acres of the city (3819).</w:t>
      </w:r>
    </w:p>
    <w:p w14:paraId="356AC7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836E7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английская авиация совершила первый налет на крупный немецкий город (Любек) (4962).</w:t>
      </w:r>
    </w:p>
    <w:p w14:paraId="39318FA4"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05A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28/29 марта 1942 рейд 191 (из 234) вылетевших для бомбардировки Любека бомбардировщиков управлялась системой радарной навигации Gee (2605).</w:t>
      </w:r>
    </w:p>
    <w:p w14:paraId="347125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FEA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28-29 марта 1942 ВВС Великобритании осуществили первый крупный налет на крупный немецкий город - Любек и его центр был полностью разрушен (3186).</w:t>
      </w:r>
    </w:p>
    <w:p w14:paraId="3ED5B4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83F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Королевские ВВС выполнили массированную атаку (234 машины) против Любека с использованием новой доктрины насыщенной бомбардировки, предложенной вице-маршалом Харрисом. Было полностью уничтожено 234 гектара (3819).</w:t>
      </w:r>
    </w:p>
    <w:p w14:paraId="30F8FA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BE2CD"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28 на 29 марта 1942 г. в результате налета 234 английских бомбардировщиков был полностью разрушен центр Любека, и погибло 300 человек гражданского населения. Затем последовали налеты все увеличивающегося количества бомбардировщиков (вплоть до 1 000 единиц) на Росток, Кельн, Эссен. В ночь с 25 на 26 июня 904 «бомбардировщика Харриса» сбросили бомбы на Бремен. Рейдов 1 000 бомбардировщиков больше не предпринималось до 1944 г. Позже к английским бомбардировкам Германии присоединились американские ВВС, которые нацеливались на уничтожение важных военных и промышленных объектов посредством прицельного дневного бомбометания (22760).</w:t>
      </w:r>
    </w:p>
    <w:p w14:paraId="07B897B6"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5AB67F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года был налет английской авиации на немецкий порт Любека, в котором участвовало 234 самолета, вызвал бурную реакцию в Германии. Гитлер был взбешен. 14 апреля верховное главнокомандование вермахта отдало германским ВВС приказ, в котором говорилось: «Фюрер приказал в воздушной войне против Англии перейти к более агрессивным действиям. В соответствии с этим при выборе целей предпочтение отдавать таким объектам, налеты на которые в наибольшей степени скажутся на жизни гражданского населения. Кроме ударов по портам и промышленным объектам должны производиться террористические налеты возмездия по английским городам».</w:t>
      </w:r>
    </w:p>
    <w:p w14:paraId="26505A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термин «удары возмездия» был не более чем пропагандистским трюком, призванным внушить немецкому народу, что фюрер отомстит за бомбардировки немецких городов, поднять моральный дух немцев, подавленный поражением под Москвой, и повысить престиж нацистского руководства в глазах народа. Основной целью этих ударов было продолжение старой политики Гитлера по отношению к Англии – военным давлением заставить ее выйти из войны.</w:t>
      </w:r>
    </w:p>
    <w:p w14:paraId="73B705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Вспоминая свою беседу с Гитлером об «ударах возмездия» 27 апреля 1942 года, Геббельс писал: «Фюрер заявил, что он будет продолжать эти налеты ночь за ночью, пока не измотает англичан этими террористическими ударами. Он абсолютно разделяет мое мнение, что теперь ударам следует подвергнуть культурные центры, курорты, гражданское население городов. Это даст большой психологический эффект, а в настоящее время это наиболее важная вещь. &lt;…&gt; Это необходимо делать в возможно большем масштабе &lt;…&gt; Нет другого пути, чтобы привести англичан в чувство. Они относятся к такому типу людей, с которыми можно говорить только после того, как им дадут по зубам».</w:t>
      </w:r>
    </w:p>
    <w:p w14:paraId="4F68E8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первые же «удары возмездия» немецкой авиации по английским городам показали их весьма малую эффективность. Точность бомбометания была крайне низкой, а потери в самолетах большими.</w:t>
      </w:r>
    </w:p>
    <w:p w14:paraId="06A74C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Существовал еще один выход – увеличить массированность бомбардировок, но в отличие от 1940 и 1941 годов, когда в налетах участвовало по 300 – 700 самолетов, в 1942 году гитлеровские ВВС уже не могли этого сделать. Теперь для ударов по Англии привлекалось небольшое количество бомбардировщиков. Лишь однажды (25 апреля) наряд сил достиг 250 самолетов. Виноват был в этом восточный фронт, где перемалывалось огромное количество немецких самолетов, где гибли лучшие </w:t>
      </w:r>
      <w:r w:rsidRPr="008127F8">
        <w:rPr>
          <w:rFonts w:ascii="Times New Roman" w:hAnsi="Times New Roman"/>
          <w:color w:val="000000" w:themeColor="text1"/>
          <w:sz w:val="16"/>
          <w:szCs w:val="16"/>
        </w:rPr>
        <w:lastRenderedPageBreak/>
        <w:t>асы Геринга (11688).</w:t>
      </w:r>
    </w:p>
    <w:p w14:paraId="5B2993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08CDC7"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(28-29 марта) английская авиация нанесла массированный удар по Любеку. Этим было положено начало осуществлению плана разрушения крупных городов Германии (15082).</w:t>
      </w:r>
    </w:p>
    <w:p w14:paraId="1DCB32B2"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1764A39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марта</w:t>
      </w:r>
      <w:r w:rsidRPr="008127F8">
        <w:rPr>
          <w:rFonts w:ascii="Times New Roman" w:hAnsi="Times New Roman"/>
          <w:color w:val="000000" w:themeColor="text1"/>
          <w:sz w:val="16"/>
          <w:szCs w:val="16"/>
        </w:rPr>
        <w:t xml:space="preserve"> в 1942 году безрезультатный рейд небольших сил британского флота на базу немецких подводных лодок Сен-Назер (15082).</w:t>
      </w:r>
    </w:p>
    <w:p w14:paraId="0AE5ACC8"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282239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английский флот высадил десант на базу немецких подводных лодок в St. Nazair во Франции (2100).</w:t>
      </w:r>
    </w:p>
    <w:p w14:paraId="441693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B9B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английские войска атаковали Ст. Назер в устье Луары (2245,3).</w:t>
      </w:r>
    </w:p>
    <w:p w14:paraId="0B2B24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4FA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1942 в Освенцим прибыли первые евреи из Словакии (2245,3).</w:t>
      </w:r>
    </w:p>
    <w:p w14:paraId="52A248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9385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AB2B9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255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вышел приказ НКАП N 236сс о производстве Ил-2 с М-82 на 381 заводе (1612,30).</w:t>
      </w:r>
    </w:p>
    <w:p w14:paraId="49EE36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DA6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вышло Постановление ГКО № 1508 О выпуске самолетов Ил-4 (ДБ-3Ф). РГАНИР, Фонд ГКО, д. 25, лл. 193 (11012).</w:t>
      </w:r>
    </w:p>
    <w:p w14:paraId="6ACA89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02482" w14:textId="77777777" w:rsidR="00E92E38" w:rsidRPr="008127F8" w:rsidRDefault="00E92E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вышло Постановление ГКО № 1508 О самолетах Ил-4 (ДБ-3Ф)</w:t>
      </w:r>
    </w:p>
    <w:p w14:paraId="415582D7" w14:textId="77777777" w:rsidR="00E92E38" w:rsidRPr="008127F8" w:rsidRDefault="00E92E38"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 Обязать НКАП - т.Шахурина и ВВС - т.Огарева дать документ о проверке самолета Ил-4 с новым усиленным вооружением (2 пулемета Березина вместо 2 пулеметов Шкас).</w:t>
      </w:r>
    </w:p>
    <w:p w14:paraId="08895670" w14:textId="77777777" w:rsidR="00E92E38" w:rsidRPr="008127F8" w:rsidRDefault="00E92E38" w:rsidP="001E0A84">
      <w:pPr>
        <w:pStyle w:val="47"/>
        <w:shd w:val="clear" w:color="auto" w:fill="auto"/>
        <w:tabs>
          <w:tab w:val="left" w:pos="169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Обязать НКАП - т.Шахурина, в случае благоприятно</w:t>
      </w:r>
      <w:r w:rsidRPr="008127F8">
        <w:rPr>
          <w:rFonts w:ascii="Times New Roman" w:hAnsi="Times New Roman" w:cs="Times New Roman"/>
          <w:color w:val="000000" w:themeColor="text1"/>
          <w:sz w:val="16"/>
          <w:szCs w:val="16"/>
        </w:rPr>
        <w:softHyphen/>
        <w:t>го результата испытаний, подготовить серийное производст</w:t>
      </w:r>
      <w:r w:rsidRPr="008127F8">
        <w:rPr>
          <w:rFonts w:ascii="Times New Roman" w:hAnsi="Times New Roman" w:cs="Times New Roman"/>
          <w:color w:val="000000" w:themeColor="text1"/>
          <w:sz w:val="16"/>
          <w:szCs w:val="16"/>
        </w:rPr>
        <w:softHyphen/>
        <w:t xml:space="preserve">во и замену вооружения на Ил-4 в частях как по линии ВВС, так и по линии авиации ДЦ, а </w:t>
      </w:r>
      <w:r w:rsidRPr="008127F8">
        <w:rPr>
          <w:rStyle w:val="1pt"/>
          <w:rFonts w:ascii="Times New Roman" w:hAnsi="Times New Roman" w:cs="Times New Roman"/>
          <w:color w:val="000000" w:themeColor="text1"/>
          <w:spacing w:val="0"/>
          <w:sz w:val="16"/>
          <w:szCs w:val="16"/>
        </w:rPr>
        <w:t>т.т.</w:t>
      </w:r>
      <w:r w:rsidRPr="008127F8">
        <w:rPr>
          <w:rFonts w:ascii="Times New Roman" w:hAnsi="Times New Roman" w:cs="Times New Roman"/>
          <w:color w:val="000000" w:themeColor="text1"/>
          <w:sz w:val="16"/>
          <w:szCs w:val="16"/>
        </w:rPr>
        <w:t xml:space="preserve"> Шахурина и Огарева - представить календарный план замены вооружения в ГОКО.</w:t>
      </w:r>
    </w:p>
    <w:p w14:paraId="17C5C27C" w14:textId="77777777" w:rsidR="00E92E38" w:rsidRPr="008127F8" w:rsidRDefault="00E92E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НКАП - т.Шахурина выделить в распоряжение командующего авиации ДД помимо отправляемых 100 моторов М-88</w:t>
      </w:r>
      <w:r w:rsidRPr="008127F8">
        <w:rPr>
          <w:rStyle w:val="0pt2"/>
          <w:rFonts w:ascii="Times New Roman" w:hAnsi="Times New Roman" w:cs="Times New Roman"/>
          <w:color w:val="000000" w:themeColor="text1"/>
          <w:spacing w:val="0"/>
          <w:sz w:val="16"/>
          <w:szCs w:val="16"/>
        </w:rPr>
        <w:t>,</w:t>
      </w:r>
      <w:r w:rsidRPr="008127F8">
        <w:rPr>
          <w:rFonts w:ascii="Times New Roman" w:hAnsi="Times New Roman"/>
          <w:color w:val="000000" w:themeColor="text1"/>
          <w:sz w:val="16"/>
          <w:szCs w:val="16"/>
        </w:rPr>
        <w:t xml:space="preserve"> до 5 апреля </w:t>
      </w:r>
      <w:r w:rsidRPr="008127F8">
        <w:rPr>
          <w:rStyle w:val="1pt"/>
          <w:rFonts w:ascii="Times New Roman" w:hAnsi="Times New Roman" w:cs="Times New Roman"/>
          <w:color w:val="000000" w:themeColor="text1"/>
          <w:spacing w:val="0"/>
          <w:sz w:val="16"/>
          <w:szCs w:val="16"/>
        </w:rPr>
        <w:t>с.г.</w:t>
      </w:r>
      <w:r w:rsidRPr="008127F8">
        <w:rPr>
          <w:rFonts w:ascii="Times New Roman" w:hAnsi="Times New Roman"/>
          <w:color w:val="000000" w:themeColor="text1"/>
          <w:sz w:val="16"/>
          <w:szCs w:val="16"/>
        </w:rPr>
        <w:t xml:space="preserve"> еще 70 моторов М-88 (19321).</w:t>
      </w:r>
    </w:p>
    <w:p w14:paraId="18C2C094" w14:textId="77777777" w:rsidR="00E92E38" w:rsidRPr="008127F8" w:rsidRDefault="00E92E3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2A3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вышло постановлением ГКО N 1508, поручившие НКАП совместно с АДД провести испытания самолета Ил-4, вооруженного турельной и люковой установкой под п Березина 12.7 мм. Испытания были закончены 19 апреля 1942 с положительными результатами (1631,136).</w:t>
      </w:r>
    </w:p>
    <w:p w14:paraId="1D2F74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связи с увеличением веса самолета Ил-4 и большой загрузкой завода 32 по изготовлению турелей под п 12.7 мм для перевооружения самолетов Ил-4 в строю, считал бы целесообразным в люковой установке оставить п ШКАС 7.62. ГК С.В.И. считает возможным применение люковой установки с п. 12.7 мм на самолетах Ил-4 с М-82 (1631,136).</w:t>
      </w:r>
    </w:p>
    <w:p w14:paraId="40A592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227BF"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марта 1942 г. Постановлением ГКО №1508сс верхняя башня МВ-3 и нижняя установка МВ-2 с 7,62- мм пулеметами ШКАС на Ил-4 заменялись унифицированной крупнокалиберной турелью УТК-1 и люковой установкой по типу самолета Пе-2 с пулемета</w:t>
      </w:r>
      <w:r w:rsidRPr="008A2E5A">
        <w:rPr>
          <w:rFonts w:ascii="Times New Roman" w:hAnsi="Times New Roman"/>
          <w:color w:val="0070C0"/>
          <w:sz w:val="16"/>
          <w:szCs w:val="16"/>
        </w:rPr>
        <w:softHyphen/>
        <w:t>ми БТ-12,7. Завод вооружения №32 к 17 мая 1942 года поставил в Комсомольск-на-Амуре 85 штук УТК-1 и 10 — 23-му заводу, еще 50 пошли на доработку строевых самолетов, но с нижней установкой дела обстояли хуже (24139).</w:t>
      </w:r>
    </w:p>
    <w:p w14:paraId="109B9864" w14:textId="77777777" w:rsidR="00E53DFE" w:rsidRPr="008A2E5A" w:rsidRDefault="00E53DFE" w:rsidP="00E53DFE">
      <w:pPr>
        <w:spacing w:after="0" w:line="240" w:lineRule="auto"/>
        <w:jc w:val="both"/>
        <w:rPr>
          <w:rFonts w:ascii="Times New Roman" w:hAnsi="Times New Roman"/>
          <w:color w:val="0070C0"/>
          <w:sz w:val="16"/>
          <w:szCs w:val="16"/>
        </w:rPr>
      </w:pPr>
    </w:p>
    <w:p w14:paraId="2B033F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Нач. ГУ ОФУ ВВС Никитин и Военком Одновол писали НКАП А.И.Ш. письмо N 355001с (копия в ЦК ВКП(б) Авиаотдел):</w:t>
      </w:r>
    </w:p>
    <w:p w14:paraId="36A81F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требованиями усиления темпов подготовки шап в зап и ш чрезвычайно возросла необходимость в самолетах Ил-2 с двойным управлением.</w:t>
      </w:r>
    </w:p>
    <w:p w14:paraId="6AD85F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о выпуске заводом 18 до 15 марта 20 Ил-2 с двойным управлением не выполнено, причем по имеющимся у меня данным никаких работ в этом направлении не ведется.</w:t>
      </w:r>
    </w:p>
    <w:p w14:paraId="09DE1A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сообщению командира 1ЗАБ (Куйбышев) задержкой является то, что Особстрой до сих пор не сдал заводу 18 двух помещений.</w:t>
      </w:r>
    </w:p>
    <w:p w14:paraId="28B11A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особо острую нужду ВВС КА в самолетах Ил-2 с двойным управлением, прошу Вас принять все зависящие от вас меры к разрешению изложенного вопроса." (1634,166).</w:t>
      </w:r>
    </w:p>
    <w:p w14:paraId="2D4B37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C14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вышло Постановление ГКО № 1509 О выпуске самолетов ТБ-7. РГАНИР, Фонд ГКО, д. 25, лл. 194 (11012).</w:t>
      </w:r>
    </w:p>
    <w:p w14:paraId="19AC70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40216" w14:textId="77777777" w:rsidR="00E92E38" w:rsidRPr="008127F8" w:rsidRDefault="00E92E3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вышло Постановление ГКО № 1509 О самолетах ТБ-7</w:t>
      </w:r>
    </w:p>
    <w:p w14:paraId="3CE0CB87" w14:textId="77777777" w:rsidR="00E92E38" w:rsidRPr="008127F8" w:rsidRDefault="00E92E38" w:rsidP="001E0A84">
      <w:pPr>
        <w:tabs>
          <w:tab w:val="left" w:pos="17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Наскомавиапром т.Шахурина и директора эавода</w:t>
      </w:r>
      <w:r w:rsidRPr="008127F8">
        <w:rPr>
          <w:rStyle w:val="TrebuchetMS95pt0pt"/>
          <w:rFonts w:ascii="Times New Roman" w:hAnsi="Times New Roman" w:cs="Times New Roman"/>
          <w:color w:val="000000" w:themeColor="text1"/>
          <w:spacing w:val="0"/>
          <w:sz w:val="16"/>
          <w:szCs w:val="16"/>
        </w:rPr>
        <w:t xml:space="preserve"> 22</w:t>
      </w:r>
      <w:r w:rsidRPr="008127F8">
        <w:rPr>
          <w:rFonts w:ascii="Times New Roman" w:hAnsi="Times New Roman"/>
          <w:color w:val="000000" w:themeColor="text1"/>
          <w:sz w:val="16"/>
          <w:szCs w:val="16"/>
        </w:rPr>
        <w:t xml:space="preserve"> т.Окулова все выпускаемые самолеты ТБ-7 обо</w:t>
      </w:r>
      <w:r w:rsidRPr="008127F8">
        <w:rPr>
          <w:rFonts w:ascii="Times New Roman" w:hAnsi="Times New Roman"/>
          <w:color w:val="000000" w:themeColor="text1"/>
          <w:sz w:val="16"/>
          <w:szCs w:val="16"/>
        </w:rPr>
        <w:softHyphen/>
        <w:t>рудовать дополнительными бензобаками емкостью 3500 лит</w:t>
      </w:r>
      <w:r w:rsidRPr="008127F8">
        <w:rPr>
          <w:rFonts w:ascii="Times New Roman" w:hAnsi="Times New Roman"/>
          <w:color w:val="000000" w:themeColor="text1"/>
          <w:sz w:val="16"/>
          <w:szCs w:val="16"/>
        </w:rPr>
        <w:softHyphen/>
        <w:t>ров и дополнительными маслобаками емкостью 1160 литров.</w:t>
      </w:r>
    </w:p>
    <w:p w14:paraId="16ECC31A" w14:textId="77777777" w:rsidR="00E92E38" w:rsidRPr="008127F8" w:rsidRDefault="00E92E38" w:rsidP="001E0A84">
      <w:pPr>
        <w:tabs>
          <w:tab w:val="left" w:pos="17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Наркомавиапром т.Шахурина и директора завода 22 т.Окулова все самолеты </w:t>
      </w:r>
      <w:r w:rsidRPr="008127F8">
        <w:rPr>
          <w:rFonts w:ascii="Times New Roman" w:hAnsi="Times New Roman"/>
          <w:color w:val="000000" w:themeColor="text1"/>
          <w:sz w:val="16"/>
          <w:szCs w:val="16"/>
          <w:lang w:val="en-US"/>
        </w:rPr>
        <w:t>TL</w:t>
      </w:r>
      <w:r w:rsidRPr="008127F8">
        <w:rPr>
          <w:rFonts w:ascii="Times New Roman" w:hAnsi="Times New Roman"/>
          <w:color w:val="000000" w:themeColor="text1"/>
          <w:sz w:val="16"/>
          <w:szCs w:val="16"/>
        </w:rPr>
        <w:t>-7, поступающие из А.Д.Д. для смены моторов, оборудовать также дополнитель</w:t>
      </w:r>
      <w:r w:rsidRPr="008127F8">
        <w:rPr>
          <w:rFonts w:ascii="Times New Roman" w:hAnsi="Times New Roman"/>
          <w:color w:val="000000" w:themeColor="text1"/>
          <w:sz w:val="16"/>
          <w:szCs w:val="16"/>
        </w:rPr>
        <w:softHyphen/>
        <w:t>ными бензо и масло баками указанной в пункте первом ем</w:t>
      </w:r>
      <w:r w:rsidRPr="008127F8">
        <w:rPr>
          <w:rFonts w:ascii="Times New Roman" w:hAnsi="Times New Roman"/>
          <w:color w:val="000000" w:themeColor="text1"/>
          <w:sz w:val="16"/>
          <w:szCs w:val="16"/>
        </w:rPr>
        <w:softHyphen/>
        <w:t>костью (19322)</w:t>
      </w:r>
    </w:p>
    <w:p w14:paraId="140573BF" w14:textId="77777777" w:rsidR="00E92E38" w:rsidRPr="008127F8" w:rsidRDefault="00E92E3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61B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было подготовлено письмо И.В.Сталину:</w:t>
      </w:r>
    </w:p>
    <w:p w14:paraId="26D5C1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Посылаем на Ваше утверждение проект постановления ГКО "О плане выпуска самолетов и моторов в 1942 году".</w:t>
      </w:r>
    </w:p>
    <w:p w14:paraId="7170C5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постановления ГКО</w:t>
      </w:r>
    </w:p>
    <w:p w14:paraId="0E578A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Авиационная промышленность дает еще меньше половины продукции по сравнению с тем, что может быть снято с имеющихся производственных мощностей. Большинство эвакуированных заводов работают не на полную мощность.</w:t>
      </w:r>
    </w:p>
    <w:p w14:paraId="4F5D36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Полная отдача оборудования и производительность труда неудовлетворительна.</w:t>
      </w:r>
    </w:p>
    <w:p w14:paraId="460EBD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Наиболее слабо используемой </w:t>
      </w:r>
      <w:proofErr w:type="gramStart"/>
      <w:r w:rsidRPr="008127F8">
        <w:rPr>
          <w:rFonts w:ascii="Times New Roman" w:hAnsi="Times New Roman"/>
          <w:color w:val="000000" w:themeColor="text1"/>
          <w:sz w:val="16"/>
          <w:szCs w:val="16"/>
        </w:rPr>
        <w:t>по прежнему</w:t>
      </w:r>
      <w:proofErr w:type="gramEnd"/>
      <w:r w:rsidRPr="008127F8">
        <w:rPr>
          <w:rFonts w:ascii="Times New Roman" w:hAnsi="Times New Roman"/>
          <w:color w:val="000000" w:themeColor="text1"/>
          <w:sz w:val="16"/>
          <w:szCs w:val="16"/>
        </w:rPr>
        <w:t xml:space="preserve"> является группа Сибирских заводов.</w:t>
      </w:r>
    </w:p>
    <w:p w14:paraId="3E9876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внесения полной ясности в работе авиационной промышленности с целью максимального увеличения выпуска продукции ГКО постановляет:</w:t>
      </w:r>
    </w:p>
    <w:p w14:paraId="7A0BAF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утвердить основные типы боевых самолетов для массово-серийного производства на заводах НКАП в 1942 году: одноместный истребитель - Як-1, Як-7, одноместный штурмовик Ил-2, ближний бомбардировщик - Пе-2, дальний бомбардировщик - Ил-4;</w:t>
      </w:r>
    </w:p>
    <w:p w14:paraId="2D6985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установить по НКАП план производства в 1942 г. 25683 боевых самолетов,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79"/>
        <w:gridCol w:w="879"/>
        <w:gridCol w:w="879"/>
        <w:gridCol w:w="879"/>
        <w:gridCol w:w="4704"/>
      </w:tblGrid>
      <w:tr w:rsidR="006F4095" w:rsidRPr="008127F8" w14:paraId="3EB87C53" w14:textId="77777777">
        <w:tc>
          <w:tcPr>
            <w:tcW w:w="2376" w:type="dxa"/>
            <w:tcBorders>
              <w:top w:val="single" w:sz="12" w:space="0" w:color="auto"/>
            </w:tcBorders>
          </w:tcPr>
          <w:p w14:paraId="444277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top w:val="single" w:sz="12" w:space="0" w:color="auto"/>
            </w:tcBorders>
          </w:tcPr>
          <w:p w14:paraId="44FC17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год</w:t>
            </w:r>
          </w:p>
        </w:tc>
        <w:tc>
          <w:tcPr>
            <w:tcW w:w="879" w:type="dxa"/>
            <w:tcBorders>
              <w:top w:val="single" w:sz="12" w:space="0" w:color="auto"/>
            </w:tcBorders>
          </w:tcPr>
          <w:p w14:paraId="162AA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квартал</w:t>
            </w:r>
          </w:p>
        </w:tc>
        <w:tc>
          <w:tcPr>
            <w:tcW w:w="879" w:type="dxa"/>
            <w:tcBorders>
              <w:top w:val="single" w:sz="12" w:space="0" w:color="auto"/>
            </w:tcBorders>
          </w:tcPr>
          <w:p w14:paraId="7E465C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квартал</w:t>
            </w:r>
          </w:p>
        </w:tc>
        <w:tc>
          <w:tcPr>
            <w:tcW w:w="879" w:type="dxa"/>
            <w:tcBorders>
              <w:top w:val="single" w:sz="12" w:space="0" w:color="auto"/>
            </w:tcBorders>
          </w:tcPr>
          <w:p w14:paraId="6C53A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квартал</w:t>
            </w:r>
          </w:p>
        </w:tc>
        <w:tc>
          <w:tcPr>
            <w:tcW w:w="4704" w:type="dxa"/>
            <w:tcBorders>
              <w:top w:val="single" w:sz="12" w:space="0" w:color="auto"/>
            </w:tcBorders>
          </w:tcPr>
          <w:p w14:paraId="611005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квартал</w:t>
            </w:r>
          </w:p>
        </w:tc>
      </w:tr>
      <w:tr w:rsidR="006F4095" w:rsidRPr="008127F8" w14:paraId="57C6F179" w14:textId="77777777">
        <w:tc>
          <w:tcPr>
            <w:tcW w:w="2376" w:type="dxa"/>
          </w:tcPr>
          <w:p w14:paraId="468648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Истребителей</w:t>
            </w:r>
          </w:p>
        </w:tc>
        <w:tc>
          <w:tcPr>
            <w:tcW w:w="879" w:type="dxa"/>
          </w:tcPr>
          <w:p w14:paraId="2889FA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c>
          <w:tcPr>
            <w:tcW w:w="879" w:type="dxa"/>
          </w:tcPr>
          <w:p w14:paraId="506A11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1660</w:t>
            </w:r>
          </w:p>
        </w:tc>
        <w:tc>
          <w:tcPr>
            <w:tcW w:w="879" w:type="dxa"/>
          </w:tcPr>
          <w:p w14:paraId="102F64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2330</w:t>
            </w:r>
          </w:p>
        </w:tc>
        <w:tc>
          <w:tcPr>
            <w:tcW w:w="879" w:type="dxa"/>
          </w:tcPr>
          <w:p w14:paraId="051E11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2836</w:t>
            </w:r>
          </w:p>
        </w:tc>
        <w:tc>
          <w:tcPr>
            <w:tcW w:w="4704" w:type="dxa"/>
          </w:tcPr>
          <w:p w14:paraId="6D9DBF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3404</w:t>
            </w:r>
          </w:p>
        </w:tc>
      </w:tr>
      <w:tr w:rsidR="006F4095" w:rsidRPr="008127F8" w14:paraId="5B356155" w14:textId="77777777">
        <w:tc>
          <w:tcPr>
            <w:tcW w:w="2376" w:type="dxa"/>
          </w:tcPr>
          <w:p w14:paraId="062AA6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879" w:type="dxa"/>
          </w:tcPr>
          <w:p w14:paraId="2D4118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35585D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1A1157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266537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Pr>
          <w:p w14:paraId="1409E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FBFD79" w14:textId="77777777">
        <w:tc>
          <w:tcPr>
            <w:tcW w:w="2376" w:type="dxa"/>
          </w:tcPr>
          <w:p w14:paraId="29E3D7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879" w:type="dxa"/>
          </w:tcPr>
          <w:p w14:paraId="24D664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879" w:type="dxa"/>
          </w:tcPr>
          <w:p w14:paraId="4FE08C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w:t>
            </w:r>
          </w:p>
        </w:tc>
        <w:tc>
          <w:tcPr>
            <w:tcW w:w="879" w:type="dxa"/>
          </w:tcPr>
          <w:p w14:paraId="747CB8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879" w:type="dxa"/>
          </w:tcPr>
          <w:p w14:paraId="6FCFC6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w:t>
            </w:r>
          </w:p>
        </w:tc>
        <w:tc>
          <w:tcPr>
            <w:tcW w:w="4704" w:type="dxa"/>
          </w:tcPr>
          <w:p w14:paraId="10FDF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926</w:t>
            </w:r>
          </w:p>
        </w:tc>
      </w:tr>
      <w:tr w:rsidR="006F4095" w:rsidRPr="008127F8" w14:paraId="1956F60A" w14:textId="77777777">
        <w:tc>
          <w:tcPr>
            <w:tcW w:w="2376" w:type="dxa"/>
          </w:tcPr>
          <w:p w14:paraId="763800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879" w:type="dxa"/>
          </w:tcPr>
          <w:p w14:paraId="5D7028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4077</w:t>
            </w:r>
          </w:p>
        </w:tc>
        <w:tc>
          <w:tcPr>
            <w:tcW w:w="879" w:type="dxa"/>
          </w:tcPr>
          <w:p w14:paraId="32CD5A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879" w:type="dxa"/>
          </w:tcPr>
          <w:p w14:paraId="0B1EC1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w:t>
            </w:r>
          </w:p>
        </w:tc>
        <w:tc>
          <w:tcPr>
            <w:tcW w:w="879" w:type="dxa"/>
          </w:tcPr>
          <w:p w14:paraId="35F7F7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1415</w:t>
            </w:r>
          </w:p>
        </w:tc>
        <w:tc>
          <w:tcPr>
            <w:tcW w:w="4704" w:type="dxa"/>
          </w:tcPr>
          <w:p w14:paraId="04F07F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1963</w:t>
            </w:r>
          </w:p>
        </w:tc>
      </w:tr>
      <w:tr w:rsidR="006F4095" w:rsidRPr="008127F8" w14:paraId="614731F8" w14:textId="77777777">
        <w:tc>
          <w:tcPr>
            <w:tcW w:w="2376" w:type="dxa"/>
          </w:tcPr>
          <w:p w14:paraId="382990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879" w:type="dxa"/>
          </w:tcPr>
          <w:p w14:paraId="2D8B52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2791</w:t>
            </w:r>
          </w:p>
        </w:tc>
        <w:tc>
          <w:tcPr>
            <w:tcW w:w="879" w:type="dxa"/>
          </w:tcPr>
          <w:p w14:paraId="54E9C7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c>
          <w:tcPr>
            <w:tcW w:w="879" w:type="dxa"/>
          </w:tcPr>
          <w:p w14:paraId="278EDE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879" w:type="dxa"/>
          </w:tcPr>
          <w:p w14:paraId="2EFB1A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w:t>
            </w:r>
          </w:p>
        </w:tc>
        <w:tc>
          <w:tcPr>
            <w:tcW w:w="4704" w:type="dxa"/>
          </w:tcPr>
          <w:p w14:paraId="723E76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37EB0F66" w14:textId="77777777">
        <w:tc>
          <w:tcPr>
            <w:tcW w:w="2376" w:type="dxa"/>
          </w:tcPr>
          <w:p w14:paraId="0354F0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Штурмовиков Ил-2</w:t>
            </w:r>
          </w:p>
        </w:tc>
        <w:tc>
          <w:tcPr>
            <w:tcW w:w="879" w:type="dxa"/>
          </w:tcPr>
          <w:p w14:paraId="6CA2FB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9717</w:t>
            </w:r>
          </w:p>
        </w:tc>
        <w:tc>
          <w:tcPr>
            <w:tcW w:w="879" w:type="dxa"/>
          </w:tcPr>
          <w:p w14:paraId="439D6D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821</w:t>
            </w:r>
          </w:p>
        </w:tc>
        <w:tc>
          <w:tcPr>
            <w:tcW w:w="879" w:type="dxa"/>
          </w:tcPr>
          <w:p w14:paraId="0971F5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2101</w:t>
            </w:r>
          </w:p>
        </w:tc>
        <w:tc>
          <w:tcPr>
            <w:tcW w:w="879" w:type="dxa"/>
          </w:tcPr>
          <w:p w14:paraId="73DA37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3024</w:t>
            </w:r>
          </w:p>
        </w:tc>
        <w:tc>
          <w:tcPr>
            <w:tcW w:w="4704" w:type="dxa"/>
          </w:tcPr>
          <w:p w14:paraId="1592B3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3771</w:t>
            </w:r>
          </w:p>
        </w:tc>
      </w:tr>
      <w:tr w:rsidR="006F4095" w:rsidRPr="008127F8" w14:paraId="70438F88" w14:textId="77777777">
        <w:tc>
          <w:tcPr>
            <w:tcW w:w="2376" w:type="dxa"/>
          </w:tcPr>
          <w:p w14:paraId="4FBA9F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Бомбардировщиков</w:t>
            </w:r>
          </w:p>
        </w:tc>
        <w:tc>
          <w:tcPr>
            <w:tcW w:w="879" w:type="dxa"/>
          </w:tcPr>
          <w:p w14:paraId="458813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1054AA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1B207B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482458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Pr>
          <w:p w14:paraId="355A9C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B58A43" w14:textId="77777777">
        <w:tc>
          <w:tcPr>
            <w:tcW w:w="2376" w:type="dxa"/>
          </w:tcPr>
          <w:p w14:paraId="6AE647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879" w:type="dxa"/>
          </w:tcPr>
          <w:p w14:paraId="1F490D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509566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0E9448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9A720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Pr>
          <w:p w14:paraId="4B957B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1B3258" w14:textId="77777777">
        <w:tc>
          <w:tcPr>
            <w:tcW w:w="2376" w:type="dxa"/>
          </w:tcPr>
          <w:p w14:paraId="0F8608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879" w:type="dxa"/>
          </w:tcPr>
          <w:p w14:paraId="24123F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4242</w:t>
            </w:r>
          </w:p>
        </w:tc>
        <w:tc>
          <w:tcPr>
            <w:tcW w:w="879" w:type="dxa"/>
          </w:tcPr>
          <w:p w14:paraId="6B1EAA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879" w:type="dxa"/>
          </w:tcPr>
          <w:p w14:paraId="1290E2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879" w:type="dxa"/>
          </w:tcPr>
          <w:p w14:paraId="5B3AFC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1292</w:t>
            </w:r>
          </w:p>
        </w:tc>
        <w:tc>
          <w:tcPr>
            <w:tcW w:w="4704" w:type="dxa"/>
          </w:tcPr>
          <w:p w14:paraId="010801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1464</w:t>
            </w:r>
          </w:p>
        </w:tc>
      </w:tr>
      <w:tr w:rsidR="006F4095" w:rsidRPr="008127F8" w14:paraId="66D3725E" w14:textId="77777777">
        <w:tc>
          <w:tcPr>
            <w:tcW w:w="2376" w:type="dxa"/>
          </w:tcPr>
          <w:p w14:paraId="4D672F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879" w:type="dxa"/>
          </w:tcPr>
          <w:p w14:paraId="0A9790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1199</w:t>
            </w:r>
          </w:p>
        </w:tc>
        <w:tc>
          <w:tcPr>
            <w:tcW w:w="879" w:type="dxa"/>
          </w:tcPr>
          <w:p w14:paraId="7398B5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879" w:type="dxa"/>
          </w:tcPr>
          <w:p w14:paraId="448409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w:t>
            </w:r>
          </w:p>
        </w:tc>
        <w:tc>
          <w:tcPr>
            <w:tcW w:w="879" w:type="dxa"/>
          </w:tcPr>
          <w:p w14:paraId="18633B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4704" w:type="dxa"/>
          </w:tcPr>
          <w:p w14:paraId="31FA35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r>
      <w:tr w:rsidR="006F4095" w:rsidRPr="008127F8" w14:paraId="34F15E0A" w14:textId="77777777">
        <w:tc>
          <w:tcPr>
            <w:tcW w:w="2376" w:type="dxa"/>
          </w:tcPr>
          <w:p w14:paraId="58D777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879" w:type="dxa"/>
          </w:tcPr>
          <w:p w14:paraId="5D023E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879" w:type="dxa"/>
          </w:tcPr>
          <w:p w14:paraId="3A1BE4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79" w:type="dxa"/>
          </w:tcPr>
          <w:p w14:paraId="5B2C84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879" w:type="dxa"/>
          </w:tcPr>
          <w:p w14:paraId="55E0D3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4704" w:type="dxa"/>
          </w:tcPr>
          <w:p w14:paraId="2D29BA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71856534" w14:textId="77777777">
        <w:tc>
          <w:tcPr>
            <w:tcW w:w="2376" w:type="dxa"/>
          </w:tcPr>
          <w:p w14:paraId="2AB165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879" w:type="dxa"/>
          </w:tcPr>
          <w:p w14:paraId="728603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c>
          <w:tcPr>
            <w:tcW w:w="879" w:type="dxa"/>
          </w:tcPr>
          <w:p w14:paraId="1A5032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3121</w:t>
            </w:r>
          </w:p>
        </w:tc>
        <w:tc>
          <w:tcPr>
            <w:tcW w:w="879" w:type="dxa"/>
          </w:tcPr>
          <w:p w14:paraId="11A09A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5651</w:t>
            </w:r>
          </w:p>
        </w:tc>
        <w:tc>
          <w:tcPr>
            <w:tcW w:w="879" w:type="dxa"/>
          </w:tcPr>
          <w:p w14:paraId="59437C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7561</w:t>
            </w:r>
          </w:p>
        </w:tc>
        <w:tc>
          <w:tcPr>
            <w:tcW w:w="4704" w:type="dxa"/>
          </w:tcPr>
          <w:p w14:paraId="0D00C4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9350</w:t>
            </w:r>
          </w:p>
        </w:tc>
      </w:tr>
      <w:tr w:rsidR="006F4095" w:rsidRPr="008127F8" w14:paraId="66205B90" w14:textId="77777777">
        <w:tc>
          <w:tcPr>
            <w:tcW w:w="2376" w:type="dxa"/>
            <w:tcBorders>
              <w:bottom w:val="single" w:sz="12" w:space="0" w:color="auto"/>
            </w:tcBorders>
          </w:tcPr>
          <w:p w14:paraId="258865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7CAF1D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65027C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2B6AD5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3C84F3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Borders>
              <w:bottom w:val="single" w:sz="12" w:space="0" w:color="auto"/>
            </w:tcBorders>
          </w:tcPr>
          <w:p w14:paraId="537FBA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2658D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по НКАП план производства в 1942 г. 50312 авиационных моторов,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tblGrid>
      <w:tr w:rsidR="006F4095" w:rsidRPr="008127F8" w14:paraId="02FAC311" w14:textId="77777777">
        <w:tc>
          <w:tcPr>
            <w:tcW w:w="1024" w:type="dxa"/>
            <w:tcBorders>
              <w:top w:val="single" w:sz="12" w:space="0" w:color="auto"/>
            </w:tcBorders>
          </w:tcPr>
          <w:p w14:paraId="0CEBF6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024" w:type="dxa"/>
            <w:tcBorders>
              <w:top w:val="single" w:sz="12" w:space="0" w:color="auto"/>
            </w:tcBorders>
          </w:tcPr>
          <w:p w14:paraId="536BF3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c>
          <w:tcPr>
            <w:tcW w:w="1024" w:type="dxa"/>
            <w:tcBorders>
              <w:top w:val="single" w:sz="12" w:space="0" w:color="auto"/>
            </w:tcBorders>
          </w:tcPr>
          <w:p w14:paraId="6F77E8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1478</w:t>
            </w:r>
          </w:p>
        </w:tc>
        <w:tc>
          <w:tcPr>
            <w:tcW w:w="1024" w:type="dxa"/>
            <w:tcBorders>
              <w:top w:val="single" w:sz="12" w:space="0" w:color="auto"/>
            </w:tcBorders>
          </w:tcPr>
          <w:p w14:paraId="661200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3080</w:t>
            </w:r>
          </w:p>
        </w:tc>
        <w:tc>
          <w:tcPr>
            <w:tcW w:w="1024" w:type="dxa"/>
            <w:tcBorders>
              <w:top w:val="single" w:sz="12" w:space="0" w:color="auto"/>
            </w:tcBorders>
          </w:tcPr>
          <w:p w14:paraId="5BAB05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4035</w:t>
            </w:r>
          </w:p>
        </w:tc>
        <w:tc>
          <w:tcPr>
            <w:tcW w:w="1024" w:type="dxa"/>
            <w:tcBorders>
              <w:top w:val="single" w:sz="12" w:space="0" w:color="auto"/>
            </w:tcBorders>
          </w:tcPr>
          <w:p w14:paraId="4AF70E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4511</w:t>
            </w:r>
          </w:p>
        </w:tc>
      </w:tr>
      <w:tr w:rsidR="006F4095" w:rsidRPr="008127F8" w14:paraId="368FDA6D" w14:textId="77777777">
        <w:tc>
          <w:tcPr>
            <w:tcW w:w="1024" w:type="dxa"/>
          </w:tcPr>
          <w:p w14:paraId="691A09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024" w:type="dxa"/>
          </w:tcPr>
          <w:p w14:paraId="26F84C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9488</w:t>
            </w:r>
          </w:p>
        </w:tc>
        <w:tc>
          <w:tcPr>
            <w:tcW w:w="1024" w:type="dxa"/>
          </w:tcPr>
          <w:p w14:paraId="1E99FC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w:t>
            </w:r>
          </w:p>
        </w:tc>
        <w:tc>
          <w:tcPr>
            <w:tcW w:w="1024" w:type="dxa"/>
          </w:tcPr>
          <w:p w14:paraId="14800A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2158</w:t>
            </w:r>
          </w:p>
        </w:tc>
        <w:tc>
          <w:tcPr>
            <w:tcW w:w="1024" w:type="dxa"/>
          </w:tcPr>
          <w:p w14:paraId="0F1F1E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3050</w:t>
            </w:r>
          </w:p>
        </w:tc>
        <w:tc>
          <w:tcPr>
            <w:tcW w:w="1024" w:type="dxa"/>
          </w:tcPr>
          <w:p w14:paraId="37DD0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3785</w:t>
            </w:r>
          </w:p>
        </w:tc>
      </w:tr>
      <w:tr w:rsidR="006F4095" w:rsidRPr="008127F8" w14:paraId="2E75C17F" w14:textId="77777777">
        <w:tc>
          <w:tcPr>
            <w:tcW w:w="1024" w:type="dxa"/>
          </w:tcPr>
          <w:p w14:paraId="47BB4C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024" w:type="dxa"/>
          </w:tcPr>
          <w:p w14:paraId="7773DB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11411</w:t>
            </w:r>
          </w:p>
        </w:tc>
        <w:tc>
          <w:tcPr>
            <w:tcW w:w="1024" w:type="dxa"/>
          </w:tcPr>
          <w:p w14:paraId="32B656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683</w:t>
            </w:r>
          </w:p>
        </w:tc>
        <w:tc>
          <w:tcPr>
            <w:tcW w:w="1024" w:type="dxa"/>
          </w:tcPr>
          <w:p w14:paraId="181A3A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2473</w:t>
            </w:r>
          </w:p>
        </w:tc>
        <w:tc>
          <w:tcPr>
            <w:tcW w:w="1024" w:type="dxa"/>
          </w:tcPr>
          <w:p w14:paraId="413DF2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3670</w:t>
            </w:r>
          </w:p>
        </w:tc>
        <w:tc>
          <w:tcPr>
            <w:tcW w:w="1024" w:type="dxa"/>
          </w:tcPr>
          <w:p w14:paraId="009D52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4585</w:t>
            </w:r>
          </w:p>
        </w:tc>
      </w:tr>
      <w:tr w:rsidR="006F4095" w:rsidRPr="008127F8" w14:paraId="0840837B" w14:textId="77777777">
        <w:tc>
          <w:tcPr>
            <w:tcW w:w="1024" w:type="dxa"/>
          </w:tcPr>
          <w:p w14:paraId="768CF4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М-88</w:t>
            </w:r>
          </w:p>
        </w:tc>
        <w:tc>
          <w:tcPr>
            <w:tcW w:w="1024" w:type="dxa"/>
          </w:tcPr>
          <w:p w14:paraId="1897AB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c>
          <w:tcPr>
            <w:tcW w:w="1024" w:type="dxa"/>
          </w:tcPr>
          <w:p w14:paraId="0D9E4C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1024" w:type="dxa"/>
          </w:tcPr>
          <w:p w14:paraId="0CDED9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w:t>
            </w:r>
          </w:p>
        </w:tc>
        <w:tc>
          <w:tcPr>
            <w:tcW w:w="1024" w:type="dxa"/>
          </w:tcPr>
          <w:p w14:paraId="5C39F0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1024" w:type="dxa"/>
          </w:tcPr>
          <w:p w14:paraId="35D35A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0CA3CE6E" w14:textId="77777777">
        <w:tc>
          <w:tcPr>
            <w:tcW w:w="1024" w:type="dxa"/>
            <w:tcBorders>
              <w:bottom w:val="single" w:sz="12" w:space="0" w:color="auto"/>
            </w:tcBorders>
          </w:tcPr>
          <w:p w14:paraId="2E00B9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024" w:type="dxa"/>
            <w:tcBorders>
              <w:bottom w:val="single" w:sz="12" w:space="0" w:color="auto"/>
            </w:tcBorders>
          </w:tcPr>
          <w:p w14:paraId="6CDA8A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c>
          <w:tcPr>
            <w:tcW w:w="1024" w:type="dxa"/>
            <w:tcBorders>
              <w:bottom w:val="single" w:sz="12" w:space="0" w:color="auto"/>
            </w:tcBorders>
          </w:tcPr>
          <w:p w14:paraId="171044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1024" w:type="dxa"/>
            <w:tcBorders>
              <w:bottom w:val="single" w:sz="12" w:space="0" w:color="auto"/>
            </w:tcBorders>
          </w:tcPr>
          <w:p w14:paraId="662172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927</w:t>
            </w:r>
          </w:p>
        </w:tc>
        <w:tc>
          <w:tcPr>
            <w:tcW w:w="1024" w:type="dxa"/>
            <w:tcBorders>
              <w:bottom w:val="single" w:sz="12" w:space="0" w:color="auto"/>
            </w:tcBorders>
          </w:tcPr>
          <w:p w14:paraId="2C34EC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1024" w:type="dxa"/>
            <w:tcBorders>
              <w:bottom w:val="single" w:sz="12" w:space="0" w:color="auto"/>
            </w:tcBorders>
          </w:tcPr>
          <w:p w14:paraId="056B9E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1275</w:t>
            </w:r>
          </w:p>
        </w:tc>
      </w:tr>
    </w:tbl>
    <w:p w14:paraId="033314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по заводам Наркомавиапрома план выпуска самолетов и авиамоторов в 1942 году:</w:t>
      </w:r>
    </w:p>
    <w:p w14:paraId="5997D2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268"/>
        <w:gridCol w:w="974"/>
        <w:gridCol w:w="1436"/>
        <w:gridCol w:w="1063"/>
        <w:gridCol w:w="1488"/>
        <w:gridCol w:w="1981"/>
      </w:tblGrid>
      <w:tr w:rsidR="006F4095" w:rsidRPr="008127F8" w14:paraId="573D791C" w14:textId="77777777">
        <w:tc>
          <w:tcPr>
            <w:tcW w:w="1384" w:type="dxa"/>
            <w:tcBorders>
              <w:top w:val="single" w:sz="12" w:space="0" w:color="auto"/>
            </w:tcBorders>
          </w:tcPr>
          <w:p w14:paraId="306094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NN заводов</w:t>
            </w:r>
          </w:p>
        </w:tc>
        <w:tc>
          <w:tcPr>
            <w:tcW w:w="2268" w:type="dxa"/>
            <w:tcBorders>
              <w:top w:val="single" w:sz="12" w:space="0" w:color="auto"/>
            </w:tcBorders>
          </w:tcPr>
          <w:p w14:paraId="042955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Типы самолетов и моторов</w:t>
            </w:r>
          </w:p>
        </w:tc>
        <w:tc>
          <w:tcPr>
            <w:tcW w:w="974" w:type="dxa"/>
            <w:tcBorders>
              <w:top w:val="single" w:sz="12" w:space="0" w:color="auto"/>
            </w:tcBorders>
          </w:tcPr>
          <w:p w14:paraId="40C32B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w:t>
            </w:r>
          </w:p>
        </w:tc>
        <w:tc>
          <w:tcPr>
            <w:tcW w:w="1436" w:type="dxa"/>
            <w:tcBorders>
              <w:top w:val="single" w:sz="12" w:space="0" w:color="auto"/>
            </w:tcBorders>
          </w:tcPr>
          <w:p w14:paraId="1A727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w:t>
            </w:r>
          </w:p>
        </w:tc>
        <w:tc>
          <w:tcPr>
            <w:tcW w:w="1063" w:type="dxa"/>
            <w:tcBorders>
              <w:top w:val="single" w:sz="12" w:space="0" w:color="auto"/>
            </w:tcBorders>
          </w:tcPr>
          <w:p w14:paraId="33D0DC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12" w:space="0" w:color="auto"/>
            </w:tcBorders>
          </w:tcPr>
          <w:p w14:paraId="6EAFDA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1" w:type="dxa"/>
            <w:tcBorders>
              <w:top w:val="single" w:sz="12" w:space="0" w:color="auto"/>
            </w:tcBorders>
          </w:tcPr>
          <w:p w14:paraId="6B69DC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ABABA1" w14:textId="77777777">
        <w:tc>
          <w:tcPr>
            <w:tcW w:w="1384" w:type="dxa"/>
          </w:tcPr>
          <w:p w14:paraId="6C5C1A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6576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63788A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1942-й год</w:t>
            </w:r>
          </w:p>
        </w:tc>
        <w:tc>
          <w:tcPr>
            <w:tcW w:w="1436" w:type="dxa"/>
          </w:tcPr>
          <w:p w14:paraId="226B9C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кварт.</w:t>
            </w:r>
          </w:p>
        </w:tc>
        <w:tc>
          <w:tcPr>
            <w:tcW w:w="1063" w:type="dxa"/>
          </w:tcPr>
          <w:p w14:paraId="1560D6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2-й кварт.</w:t>
            </w:r>
          </w:p>
        </w:tc>
        <w:tc>
          <w:tcPr>
            <w:tcW w:w="1488" w:type="dxa"/>
          </w:tcPr>
          <w:p w14:paraId="3F2189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3-й кварт.</w:t>
            </w:r>
          </w:p>
        </w:tc>
        <w:tc>
          <w:tcPr>
            <w:tcW w:w="1981" w:type="dxa"/>
          </w:tcPr>
          <w:p w14:paraId="04AE74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4-й кварт.</w:t>
            </w:r>
          </w:p>
        </w:tc>
      </w:tr>
      <w:tr w:rsidR="006F4095" w:rsidRPr="008127F8" w14:paraId="08523D4C" w14:textId="77777777">
        <w:tc>
          <w:tcPr>
            <w:tcW w:w="1384" w:type="dxa"/>
          </w:tcPr>
          <w:p w14:paraId="5BE40B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268" w:type="dxa"/>
          </w:tcPr>
          <w:p w14:paraId="56A154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М-105П</w:t>
            </w:r>
          </w:p>
        </w:tc>
        <w:tc>
          <w:tcPr>
            <w:tcW w:w="974" w:type="dxa"/>
          </w:tcPr>
          <w:p w14:paraId="063C2B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1436" w:type="dxa"/>
          </w:tcPr>
          <w:p w14:paraId="4D6655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w:t>
            </w:r>
          </w:p>
        </w:tc>
        <w:tc>
          <w:tcPr>
            <w:tcW w:w="1063" w:type="dxa"/>
          </w:tcPr>
          <w:p w14:paraId="69E4AB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1488" w:type="dxa"/>
          </w:tcPr>
          <w:p w14:paraId="048586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w:t>
            </w:r>
          </w:p>
        </w:tc>
        <w:tc>
          <w:tcPr>
            <w:tcW w:w="1981" w:type="dxa"/>
          </w:tcPr>
          <w:p w14:paraId="11912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926</w:t>
            </w:r>
          </w:p>
        </w:tc>
      </w:tr>
      <w:tr w:rsidR="006F4095" w:rsidRPr="008127F8" w14:paraId="660808C2" w14:textId="77777777">
        <w:tc>
          <w:tcPr>
            <w:tcW w:w="1384" w:type="dxa"/>
          </w:tcPr>
          <w:p w14:paraId="560633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268" w:type="dxa"/>
          </w:tcPr>
          <w:p w14:paraId="46E134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974" w:type="dxa"/>
          </w:tcPr>
          <w:p w14:paraId="489B23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w:t>
            </w:r>
          </w:p>
        </w:tc>
        <w:tc>
          <w:tcPr>
            <w:tcW w:w="1436" w:type="dxa"/>
          </w:tcPr>
          <w:p w14:paraId="02A128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1063" w:type="dxa"/>
          </w:tcPr>
          <w:p w14:paraId="7BA518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1488" w:type="dxa"/>
          </w:tcPr>
          <w:p w14:paraId="07A7F7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885</w:t>
            </w:r>
          </w:p>
        </w:tc>
        <w:tc>
          <w:tcPr>
            <w:tcW w:w="1981" w:type="dxa"/>
          </w:tcPr>
          <w:p w14:paraId="51D4A6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1068</w:t>
            </w:r>
          </w:p>
        </w:tc>
      </w:tr>
      <w:tr w:rsidR="006F4095" w:rsidRPr="008127F8" w14:paraId="5C6BA983" w14:textId="77777777">
        <w:tc>
          <w:tcPr>
            <w:tcW w:w="1384" w:type="dxa"/>
          </w:tcPr>
          <w:p w14:paraId="5D44D7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68" w:type="dxa"/>
          </w:tcPr>
          <w:p w14:paraId="351633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974" w:type="dxa"/>
          </w:tcPr>
          <w:p w14:paraId="2FB514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1436" w:type="dxa"/>
          </w:tcPr>
          <w:p w14:paraId="50DE12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1063" w:type="dxa"/>
          </w:tcPr>
          <w:p w14:paraId="7278EE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88" w:type="dxa"/>
          </w:tcPr>
          <w:p w14:paraId="246E05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81" w:type="dxa"/>
          </w:tcPr>
          <w:p w14:paraId="2BDD1B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D10AE65" w14:textId="77777777">
        <w:tc>
          <w:tcPr>
            <w:tcW w:w="1384" w:type="dxa"/>
          </w:tcPr>
          <w:p w14:paraId="2952EE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268" w:type="dxa"/>
          </w:tcPr>
          <w:p w14:paraId="6D83D6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974" w:type="dxa"/>
          </w:tcPr>
          <w:p w14:paraId="75B941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1466</w:t>
            </w:r>
          </w:p>
        </w:tc>
        <w:tc>
          <w:tcPr>
            <w:tcW w:w="1436" w:type="dxa"/>
          </w:tcPr>
          <w:p w14:paraId="5F0C92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702</w:t>
            </w:r>
          </w:p>
        </w:tc>
        <w:tc>
          <w:tcPr>
            <w:tcW w:w="1063" w:type="dxa"/>
          </w:tcPr>
          <w:p w14:paraId="0065C7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648</w:t>
            </w:r>
          </w:p>
        </w:tc>
        <w:tc>
          <w:tcPr>
            <w:tcW w:w="1488" w:type="dxa"/>
          </w:tcPr>
          <w:p w14:paraId="5BA75D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1981" w:type="dxa"/>
          </w:tcPr>
          <w:p w14:paraId="3EBDA9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48D970D" w14:textId="77777777">
        <w:tc>
          <w:tcPr>
            <w:tcW w:w="1384" w:type="dxa"/>
          </w:tcPr>
          <w:p w14:paraId="53FF1A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68" w:type="dxa"/>
          </w:tcPr>
          <w:p w14:paraId="7C9F06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974" w:type="dxa"/>
          </w:tcPr>
          <w:p w14:paraId="7BDB9D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1475</w:t>
            </w:r>
          </w:p>
        </w:tc>
        <w:tc>
          <w:tcPr>
            <w:tcW w:w="1436" w:type="dxa"/>
          </w:tcPr>
          <w:p w14:paraId="3325F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527394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488" w:type="dxa"/>
          </w:tcPr>
          <w:p w14:paraId="370638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w:t>
            </w:r>
          </w:p>
        </w:tc>
        <w:tc>
          <w:tcPr>
            <w:tcW w:w="1981" w:type="dxa"/>
          </w:tcPr>
          <w:p w14:paraId="04C4FF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r>
      <w:tr w:rsidR="006F4095" w:rsidRPr="008127F8" w14:paraId="2B3575FC" w14:textId="77777777">
        <w:tc>
          <w:tcPr>
            <w:tcW w:w="1384" w:type="dxa"/>
          </w:tcPr>
          <w:p w14:paraId="16E88F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268" w:type="dxa"/>
          </w:tcPr>
          <w:p w14:paraId="72DEFA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974" w:type="dxa"/>
          </w:tcPr>
          <w:p w14:paraId="6F2DE3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1436" w:type="dxa"/>
          </w:tcPr>
          <w:p w14:paraId="4E8561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1063" w:type="dxa"/>
          </w:tcPr>
          <w:p w14:paraId="6DE763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w:t>
            </w:r>
          </w:p>
        </w:tc>
        <w:tc>
          <w:tcPr>
            <w:tcW w:w="1488" w:type="dxa"/>
          </w:tcPr>
          <w:p w14:paraId="60EF02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981" w:type="dxa"/>
          </w:tcPr>
          <w:p w14:paraId="4C4C6E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5416C887" w14:textId="77777777">
        <w:tc>
          <w:tcPr>
            <w:tcW w:w="1384" w:type="dxa"/>
          </w:tcPr>
          <w:p w14:paraId="3CFC20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F714A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истребителей:</w:t>
            </w:r>
          </w:p>
        </w:tc>
        <w:tc>
          <w:tcPr>
            <w:tcW w:w="974" w:type="dxa"/>
          </w:tcPr>
          <w:p w14:paraId="283B40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c>
          <w:tcPr>
            <w:tcW w:w="1436" w:type="dxa"/>
          </w:tcPr>
          <w:p w14:paraId="043050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1660</w:t>
            </w:r>
          </w:p>
        </w:tc>
        <w:tc>
          <w:tcPr>
            <w:tcW w:w="1063" w:type="dxa"/>
          </w:tcPr>
          <w:p w14:paraId="4C98D2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2330</w:t>
            </w:r>
          </w:p>
        </w:tc>
        <w:tc>
          <w:tcPr>
            <w:tcW w:w="1488" w:type="dxa"/>
          </w:tcPr>
          <w:p w14:paraId="1DC196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2836</w:t>
            </w:r>
          </w:p>
        </w:tc>
        <w:tc>
          <w:tcPr>
            <w:tcW w:w="1981" w:type="dxa"/>
          </w:tcPr>
          <w:p w14:paraId="26ACF3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3404</w:t>
            </w:r>
          </w:p>
        </w:tc>
      </w:tr>
      <w:tr w:rsidR="006F4095" w:rsidRPr="008127F8" w14:paraId="112E88E8" w14:textId="77777777">
        <w:tc>
          <w:tcPr>
            <w:tcW w:w="1384" w:type="dxa"/>
          </w:tcPr>
          <w:p w14:paraId="0917BF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268" w:type="dxa"/>
          </w:tcPr>
          <w:p w14:paraId="6F17B7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974" w:type="dxa"/>
          </w:tcPr>
          <w:p w14:paraId="7BE2C4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3526</w:t>
            </w:r>
          </w:p>
        </w:tc>
        <w:tc>
          <w:tcPr>
            <w:tcW w:w="1436" w:type="dxa"/>
          </w:tcPr>
          <w:p w14:paraId="459D22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063" w:type="dxa"/>
          </w:tcPr>
          <w:p w14:paraId="3853EB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730</w:t>
            </w:r>
          </w:p>
        </w:tc>
        <w:tc>
          <w:tcPr>
            <w:tcW w:w="1488" w:type="dxa"/>
          </w:tcPr>
          <w:p w14:paraId="0685F6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1170</w:t>
            </w:r>
          </w:p>
        </w:tc>
        <w:tc>
          <w:tcPr>
            <w:tcW w:w="1981" w:type="dxa"/>
          </w:tcPr>
          <w:p w14:paraId="5C5A59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1472</w:t>
            </w:r>
          </w:p>
        </w:tc>
      </w:tr>
      <w:tr w:rsidR="006F4095" w:rsidRPr="008127F8" w14:paraId="7D553029" w14:textId="77777777">
        <w:tc>
          <w:tcPr>
            <w:tcW w:w="1384" w:type="dxa"/>
          </w:tcPr>
          <w:p w14:paraId="4146DD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268" w:type="dxa"/>
          </w:tcPr>
          <w:p w14:paraId="56BDEA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974" w:type="dxa"/>
          </w:tcPr>
          <w:p w14:paraId="4ED088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4376</w:t>
            </w:r>
          </w:p>
        </w:tc>
        <w:tc>
          <w:tcPr>
            <w:tcW w:w="1436" w:type="dxa"/>
          </w:tcPr>
          <w:p w14:paraId="311DA5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594</w:t>
            </w:r>
          </w:p>
        </w:tc>
        <w:tc>
          <w:tcPr>
            <w:tcW w:w="1063" w:type="dxa"/>
          </w:tcPr>
          <w:p w14:paraId="5963D9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1106</w:t>
            </w:r>
          </w:p>
        </w:tc>
        <w:tc>
          <w:tcPr>
            <w:tcW w:w="1488" w:type="dxa"/>
          </w:tcPr>
          <w:p w14:paraId="66914D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1246</w:t>
            </w:r>
          </w:p>
        </w:tc>
        <w:tc>
          <w:tcPr>
            <w:tcW w:w="1981" w:type="dxa"/>
          </w:tcPr>
          <w:p w14:paraId="6F647E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1430</w:t>
            </w:r>
          </w:p>
        </w:tc>
      </w:tr>
      <w:tr w:rsidR="006F4095" w:rsidRPr="008127F8" w14:paraId="0163C215" w14:textId="77777777">
        <w:tc>
          <w:tcPr>
            <w:tcW w:w="1384" w:type="dxa"/>
          </w:tcPr>
          <w:p w14:paraId="4825A2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268" w:type="dxa"/>
          </w:tcPr>
          <w:p w14:paraId="66CF9B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974" w:type="dxa"/>
          </w:tcPr>
          <w:p w14:paraId="457CBF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1436" w:type="dxa"/>
          </w:tcPr>
          <w:p w14:paraId="5DBD3A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063" w:type="dxa"/>
          </w:tcPr>
          <w:p w14:paraId="3F8078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c>
          <w:tcPr>
            <w:tcW w:w="1488" w:type="dxa"/>
          </w:tcPr>
          <w:p w14:paraId="3E9230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tc>
        <w:tc>
          <w:tcPr>
            <w:tcW w:w="1981" w:type="dxa"/>
          </w:tcPr>
          <w:p w14:paraId="094A45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w:t>
            </w:r>
          </w:p>
        </w:tc>
      </w:tr>
      <w:tr w:rsidR="006F4095" w:rsidRPr="008127F8" w14:paraId="74308530" w14:textId="77777777">
        <w:tc>
          <w:tcPr>
            <w:tcW w:w="1384" w:type="dxa"/>
          </w:tcPr>
          <w:p w14:paraId="6B194A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268" w:type="dxa"/>
          </w:tcPr>
          <w:p w14:paraId="444B73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974" w:type="dxa"/>
          </w:tcPr>
          <w:p w14:paraId="1D9536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1436" w:type="dxa"/>
          </w:tcPr>
          <w:p w14:paraId="004F77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1063" w:type="dxa"/>
          </w:tcPr>
          <w:p w14:paraId="03B262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1488" w:type="dxa"/>
          </w:tcPr>
          <w:p w14:paraId="6D743A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81" w:type="dxa"/>
          </w:tcPr>
          <w:p w14:paraId="1EE938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BF80CDA" w14:textId="77777777">
        <w:tc>
          <w:tcPr>
            <w:tcW w:w="1384" w:type="dxa"/>
          </w:tcPr>
          <w:p w14:paraId="047266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68" w:type="dxa"/>
          </w:tcPr>
          <w:p w14:paraId="33DA6F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М-82</w:t>
            </w:r>
          </w:p>
        </w:tc>
        <w:tc>
          <w:tcPr>
            <w:tcW w:w="974" w:type="dxa"/>
          </w:tcPr>
          <w:p w14:paraId="5DF9AA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678</w:t>
            </w:r>
          </w:p>
        </w:tc>
        <w:tc>
          <w:tcPr>
            <w:tcW w:w="1436" w:type="dxa"/>
          </w:tcPr>
          <w:p w14:paraId="4E01E0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391FC65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1488" w:type="dxa"/>
          </w:tcPr>
          <w:p w14:paraId="130989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1981" w:type="dxa"/>
          </w:tcPr>
          <w:p w14:paraId="6FEB96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w:t>
            </w:r>
          </w:p>
        </w:tc>
      </w:tr>
      <w:tr w:rsidR="006F4095" w:rsidRPr="008127F8" w14:paraId="436DFCAD" w14:textId="77777777">
        <w:tc>
          <w:tcPr>
            <w:tcW w:w="1384" w:type="dxa"/>
          </w:tcPr>
          <w:p w14:paraId="3611D4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5213C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штурмовиков:</w:t>
            </w:r>
          </w:p>
        </w:tc>
        <w:tc>
          <w:tcPr>
            <w:tcW w:w="974" w:type="dxa"/>
          </w:tcPr>
          <w:p w14:paraId="4729DF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9717</w:t>
            </w:r>
          </w:p>
        </w:tc>
        <w:tc>
          <w:tcPr>
            <w:tcW w:w="1436" w:type="dxa"/>
          </w:tcPr>
          <w:p w14:paraId="2C75E7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821</w:t>
            </w:r>
          </w:p>
        </w:tc>
        <w:tc>
          <w:tcPr>
            <w:tcW w:w="1063" w:type="dxa"/>
          </w:tcPr>
          <w:p w14:paraId="424F5C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2101</w:t>
            </w:r>
          </w:p>
        </w:tc>
        <w:tc>
          <w:tcPr>
            <w:tcW w:w="1488" w:type="dxa"/>
          </w:tcPr>
          <w:p w14:paraId="79938F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3024</w:t>
            </w:r>
          </w:p>
        </w:tc>
        <w:tc>
          <w:tcPr>
            <w:tcW w:w="1981" w:type="dxa"/>
          </w:tcPr>
          <w:p w14:paraId="2CF4B9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3771</w:t>
            </w:r>
          </w:p>
        </w:tc>
      </w:tr>
      <w:tr w:rsidR="006F4095" w:rsidRPr="008127F8" w14:paraId="51BACA99" w14:textId="77777777">
        <w:tc>
          <w:tcPr>
            <w:tcW w:w="1384" w:type="dxa"/>
          </w:tcPr>
          <w:p w14:paraId="6D8357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2268" w:type="dxa"/>
          </w:tcPr>
          <w:p w14:paraId="62C892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974" w:type="dxa"/>
          </w:tcPr>
          <w:p w14:paraId="43BA1F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2522</w:t>
            </w:r>
          </w:p>
        </w:tc>
        <w:tc>
          <w:tcPr>
            <w:tcW w:w="1436" w:type="dxa"/>
          </w:tcPr>
          <w:p w14:paraId="566336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267</w:t>
            </w:r>
          </w:p>
        </w:tc>
        <w:tc>
          <w:tcPr>
            <w:tcW w:w="1063" w:type="dxa"/>
          </w:tcPr>
          <w:p w14:paraId="372E68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488" w:type="dxa"/>
          </w:tcPr>
          <w:p w14:paraId="0A5894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776</w:t>
            </w:r>
          </w:p>
        </w:tc>
        <w:tc>
          <w:tcPr>
            <w:tcW w:w="1981" w:type="dxa"/>
          </w:tcPr>
          <w:p w14:paraId="03543D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879</w:t>
            </w:r>
          </w:p>
        </w:tc>
      </w:tr>
      <w:tr w:rsidR="006F4095" w:rsidRPr="008127F8" w14:paraId="21740A61" w14:textId="77777777">
        <w:tc>
          <w:tcPr>
            <w:tcW w:w="1384" w:type="dxa"/>
          </w:tcPr>
          <w:p w14:paraId="05FB29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2268" w:type="dxa"/>
          </w:tcPr>
          <w:p w14:paraId="0F7C7C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974" w:type="dxa"/>
          </w:tcPr>
          <w:p w14:paraId="35BCEE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1720</w:t>
            </w:r>
          </w:p>
        </w:tc>
        <w:tc>
          <w:tcPr>
            <w:tcW w:w="1436" w:type="dxa"/>
          </w:tcPr>
          <w:p w14:paraId="2C17A7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204</w:t>
            </w:r>
          </w:p>
        </w:tc>
        <w:tc>
          <w:tcPr>
            <w:tcW w:w="1063" w:type="dxa"/>
          </w:tcPr>
          <w:p w14:paraId="22931F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415</w:t>
            </w:r>
          </w:p>
        </w:tc>
        <w:tc>
          <w:tcPr>
            <w:tcW w:w="1488" w:type="dxa"/>
          </w:tcPr>
          <w:p w14:paraId="012FEF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w:t>
            </w:r>
          </w:p>
        </w:tc>
        <w:tc>
          <w:tcPr>
            <w:tcW w:w="1981" w:type="dxa"/>
          </w:tcPr>
          <w:p w14:paraId="271310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585</w:t>
            </w:r>
          </w:p>
        </w:tc>
      </w:tr>
      <w:tr w:rsidR="006F4095" w:rsidRPr="008127F8" w14:paraId="50DA9504" w14:textId="77777777">
        <w:tc>
          <w:tcPr>
            <w:tcW w:w="1384" w:type="dxa"/>
          </w:tcPr>
          <w:p w14:paraId="7BBEF3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2268" w:type="dxa"/>
          </w:tcPr>
          <w:p w14:paraId="678DB0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974" w:type="dxa"/>
          </w:tcPr>
          <w:p w14:paraId="41B4E4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1436" w:type="dxa"/>
          </w:tcPr>
          <w:p w14:paraId="53AC7D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1B45FF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88" w:type="dxa"/>
          </w:tcPr>
          <w:p w14:paraId="676644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981" w:type="dxa"/>
          </w:tcPr>
          <w:p w14:paraId="595945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r>
      <w:tr w:rsidR="006F4095" w:rsidRPr="008127F8" w14:paraId="7F1E4176" w14:textId="77777777">
        <w:tc>
          <w:tcPr>
            <w:tcW w:w="1384" w:type="dxa"/>
          </w:tcPr>
          <w:p w14:paraId="6C9390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2268" w:type="dxa"/>
          </w:tcPr>
          <w:p w14:paraId="742898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974" w:type="dxa"/>
          </w:tcPr>
          <w:p w14:paraId="547D5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859</w:t>
            </w:r>
          </w:p>
        </w:tc>
        <w:tc>
          <w:tcPr>
            <w:tcW w:w="1436" w:type="dxa"/>
          </w:tcPr>
          <w:p w14:paraId="67044F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063" w:type="dxa"/>
          </w:tcPr>
          <w:p w14:paraId="2B76B9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w:t>
            </w:r>
          </w:p>
        </w:tc>
        <w:tc>
          <w:tcPr>
            <w:tcW w:w="1488" w:type="dxa"/>
          </w:tcPr>
          <w:p w14:paraId="04C3B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1981" w:type="dxa"/>
          </w:tcPr>
          <w:p w14:paraId="63423C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r>
      <w:tr w:rsidR="006F4095" w:rsidRPr="008127F8" w14:paraId="4805F893" w14:textId="77777777">
        <w:tc>
          <w:tcPr>
            <w:tcW w:w="1384" w:type="dxa"/>
          </w:tcPr>
          <w:p w14:paraId="46C247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268" w:type="dxa"/>
          </w:tcPr>
          <w:p w14:paraId="264947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2М-82</w:t>
            </w:r>
          </w:p>
        </w:tc>
        <w:tc>
          <w:tcPr>
            <w:tcW w:w="974" w:type="dxa"/>
          </w:tcPr>
          <w:p w14:paraId="6451BC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1436" w:type="dxa"/>
          </w:tcPr>
          <w:p w14:paraId="2ECBC0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063" w:type="dxa"/>
          </w:tcPr>
          <w:p w14:paraId="599853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488" w:type="dxa"/>
          </w:tcPr>
          <w:p w14:paraId="43D262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981" w:type="dxa"/>
          </w:tcPr>
          <w:p w14:paraId="7922D3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10E7517F" w14:textId="77777777">
        <w:tc>
          <w:tcPr>
            <w:tcW w:w="1384" w:type="dxa"/>
          </w:tcPr>
          <w:p w14:paraId="281DFB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13A4D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бомбардировщиков:</w:t>
            </w:r>
          </w:p>
        </w:tc>
        <w:tc>
          <w:tcPr>
            <w:tcW w:w="974" w:type="dxa"/>
          </w:tcPr>
          <w:p w14:paraId="54C8C5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5736</w:t>
            </w:r>
          </w:p>
        </w:tc>
        <w:tc>
          <w:tcPr>
            <w:tcW w:w="1436" w:type="dxa"/>
          </w:tcPr>
          <w:p w14:paraId="3555AF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640</w:t>
            </w:r>
          </w:p>
        </w:tc>
        <w:tc>
          <w:tcPr>
            <w:tcW w:w="1063" w:type="dxa"/>
          </w:tcPr>
          <w:p w14:paraId="332A9B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1220</w:t>
            </w:r>
          </w:p>
        </w:tc>
        <w:tc>
          <w:tcPr>
            <w:tcW w:w="1488" w:type="dxa"/>
          </w:tcPr>
          <w:p w14:paraId="04AC06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1701</w:t>
            </w:r>
          </w:p>
        </w:tc>
        <w:tc>
          <w:tcPr>
            <w:tcW w:w="1981" w:type="dxa"/>
          </w:tcPr>
          <w:p w14:paraId="569443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2175</w:t>
            </w:r>
          </w:p>
        </w:tc>
      </w:tr>
      <w:tr w:rsidR="006F4095" w:rsidRPr="008127F8" w14:paraId="40D6ECBF" w14:textId="77777777">
        <w:tc>
          <w:tcPr>
            <w:tcW w:w="1384" w:type="dxa"/>
          </w:tcPr>
          <w:p w14:paraId="152E2B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73A9C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974" w:type="dxa"/>
          </w:tcPr>
          <w:p w14:paraId="0E8B69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c>
          <w:tcPr>
            <w:tcW w:w="1436" w:type="dxa"/>
          </w:tcPr>
          <w:p w14:paraId="155855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3121</w:t>
            </w:r>
          </w:p>
        </w:tc>
        <w:tc>
          <w:tcPr>
            <w:tcW w:w="1063" w:type="dxa"/>
          </w:tcPr>
          <w:p w14:paraId="78D73C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5651</w:t>
            </w:r>
          </w:p>
        </w:tc>
        <w:tc>
          <w:tcPr>
            <w:tcW w:w="1488" w:type="dxa"/>
          </w:tcPr>
          <w:p w14:paraId="7435BD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7561</w:t>
            </w:r>
          </w:p>
        </w:tc>
        <w:tc>
          <w:tcPr>
            <w:tcW w:w="1981" w:type="dxa"/>
          </w:tcPr>
          <w:p w14:paraId="4CA714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9350</w:t>
            </w:r>
          </w:p>
        </w:tc>
      </w:tr>
      <w:tr w:rsidR="006F4095" w:rsidRPr="008127F8" w14:paraId="7AEE05BE" w14:textId="77777777">
        <w:tc>
          <w:tcPr>
            <w:tcW w:w="1384" w:type="dxa"/>
          </w:tcPr>
          <w:p w14:paraId="10452C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2268" w:type="dxa"/>
          </w:tcPr>
          <w:p w14:paraId="48BBF3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 2М-62ИР</w:t>
            </w:r>
          </w:p>
        </w:tc>
        <w:tc>
          <w:tcPr>
            <w:tcW w:w="974" w:type="dxa"/>
          </w:tcPr>
          <w:p w14:paraId="6D751C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c>
          <w:tcPr>
            <w:tcW w:w="1436" w:type="dxa"/>
          </w:tcPr>
          <w:p w14:paraId="40D8AD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1063" w:type="dxa"/>
          </w:tcPr>
          <w:p w14:paraId="53794D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488" w:type="dxa"/>
          </w:tcPr>
          <w:p w14:paraId="6F9E13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1981" w:type="dxa"/>
          </w:tcPr>
          <w:p w14:paraId="1E6DF2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r>
      <w:tr w:rsidR="006F4095" w:rsidRPr="008127F8" w14:paraId="658485DA" w14:textId="77777777">
        <w:tc>
          <w:tcPr>
            <w:tcW w:w="1384" w:type="dxa"/>
          </w:tcPr>
          <w:p w14:paraId="185F47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4AC9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транспортных:</w:t>
            </w:r>
          </w:p>
        </w:tc>
        <w:tc>
          <w:tcPr>
            <w:tcW w:w="974" w:type="dxa"/>
          </w:tcPr>
          <w:p w14:paraId="42182C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c>
          <w:tcPr>
            <w:tcW w:w="1436" w:type="dxa"/>
          </w:tcPr>
          <w:p w14:paraId="346607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1063" w:type="dxa"/>
          </w:tcPr>
          <w:p w14:paraId="493FCC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488" w:type="dxa"/>
          </w:tcPr>
          <w:p w14:paraId="2F871E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1981" w:type="dxa"/>
          </w:tcPr>
          <w:p w14:paraId="6DBC22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r>
      <w:tr w:rsidR="006F4095" w:rsidRPr="008127F8" w14:paraId="19962E3C" w14:textId="77777777">
        <w:tc>
          <w:tcPr>
            <w:tcW w:w="1384" w:type="dxa"/>
          </w:tcPr>
          <w:p w14:paraId="280FF8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2268" w:type="dxa"/>
          </w:tcPr>
          <w:p w14:paraId="07ABEE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 М-11</w:t>
            </w:r>
          </w:p>
        </w:tc>
        <w:tc>
          <w:tcPr>
            <w:tcW w:w="974" w:type="dxa"/>
          </w:tcPr>
          <w:p w14:paraId="69DF09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2225</w:t>
            </w:r>
          </w:p>
        </w:tc>
        <w:tc>
          <w:tcPr>
            <w:tcW w:w="1436" w:type="dxa"/>
          </w:tcPr>
          <w:p w14:paraId="2C74AD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w:t>
            </w:r>
          </w:p>
        </w:tc>
        <w:tc>
          <w:tcPr>
            <w:tcW w:w="1063" w:type="dxa"/>
          </w:tcPr>
          <w:p w14:paraId="133D9C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646</w:t>
            </w:r>
          </w:p>
        </w:tc>
        <w:tc>
          <w:tcPr>
            <w:tcW w:w="1488" w:type="dxa"/>
          </w:tcPr>
          <w:p w14:paraId="3DAC5E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w:t>
            </w:r>
          </w:p>
        </w:tc>
        <w:tc>
          <w:tcPr>
            <w:tcW w:w="1981" w:type="dxa"/>
          </w:tcPr>
          <w:p w14:paraId="18C005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w:t>
            </w:r>
          </w:p>
        </w:tc>
      </w:tr>
      <w:tr w:rsidR="006F4095" w:rsidRPr="008127F8" w14:paraId="5EC3B3D5" w14:textId="77777777">
        <w:tc>
          <w:tcPr>
            <w:tcW w:w="1384" w:type="dxa"/>
          </w:tcPr>
          <w:p w14:paraId="317880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2268" w:type="dxa"/>
          </w:tcPr>
          <w:p w14:paraId="76DECE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974" w:type="dxa"/>
          </w:tcPr>
          <w:p w14:paraId="5CB478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924</w:t>
            </w:r>
          </w:p>
        </w:tc>
        <w:tc>
          <w:tcPr>
            <w:tcW w:w="1436" w:type="dxa"/>
          </w:tcPr>
          <w:p w14:paraId="127893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36C9A5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1488" w:type="dxa"/>
          </w:tcPr>
          <w:p w14:paraId="70F0AD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981" w:type="dxa"/>
          </w:tcPr>
          <w:p w14:paraId="5C3B01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r>
      <w:tr w:rsidR="006F4095" w:rsidRPr="008127F8" w14:paraId="1CF7664E" w14:textId="77777777">
        <w:tc>
          <w:tcPr>
            <w:tcW w:w="1384" w:type="dxa"/>
          </w:tcPr>
          <w:p w14:paraId="14D6DA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268" w:type="dxa"/>
          </w:tcPr>
          <w:p w14:paraId="1195D8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974" w:type="dxa"/>
          </w:tcPr>
          <w:p w14:paraId="3CAAE5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c>
          <w:tcPr>
            <w:tcW w:w="1436" w:type="dxa"/>
          </w:tcPr>
          <w:p w14:paraId="033410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w:t>
            </w:r>
          </w:p>
        </w:tc>
        <w:tc>
          <w:tcPr>
            <w:tcW w:w="1063" w:type="dxa"/>
          </w:tcPr>
          <w:p w14:paraId="7F5F9D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c>
          <w:tcPr>
            <w:tcW w:w="1488" w:type="dxa"/>
          </w:tcPr>
          <w:p w14:paraId="12251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1981" w:type="dxa"/>
          </w:tcPr>
          <w:p w14:paraId="34A0EE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w:t>
            </w:r>
          </w:p>
        </w:tc>
      </w:tr>
      <w:tr w:rsidR="006F4095" w:rsidRPr="008127F8" w14:paraId="569E6865" w14:textId="77777777">
        <w:tc>
          <w:tcPr>
            <w:tcW w:w="1384" w:type="dxa"/>
          </w:tcPr>
          <w:p w14:paraId="5A1C7A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19A3A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учебных:</w:t>
            </w:r>
          </w:p>
        </w:tc>
        <w:tc>
          <w:tcPr>
            <w:tcW w:w="974" w:type="dxa"/>
          </w:tcPr>
          <w:p w14:paraId="64D548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3889</w:t>
            </w:r>
          </w:p>
        </w:tc>
        <w:tc>
          <w:tcPr>
            <w:tcW w:w="1436" w:type="dxa"/>
          </w:tcPr>
          <w:p w14:paraId="6542EC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w:t>
            </w:r>
          </w:p>
        </w:tc>
        <w:tc>
          <w:tcPr>
            <w:tcW w:w="1063" w:type="dxa"/>
          </w:tcPr>
          <w:p w14:paraId="537B2F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1121</w:t>
            </w:r>
          </w:p>
        </w:tc>
        <w:tc>
          <w:tcPr>
            <w:tcW w:w="1488" w:type="dxa"/>
          </w:tcPr>
          <w:p w14:paraId="37C8E9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1144</w:t>
            </w:r>
          </w:p>
        </w:tc>
        <w:tc>
          <w:tcPr>
            <w:tcW w:w="1981" w:type="dxa"/>
          </w:tcPr>
          <w:p w14:paraId="31B3B7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1276</w:t>
            </w:r>
          </w:p>
        </w:tc>
      </w:tr>
      <w:tr w:rsidR="006F4095" w:rsidRPr="008127F8" w14:paraId="7569EAB7" w14:textId="77777777">
        <w:tc>
          <w:tcPr>
            <w:tcW w:w="1384" w:type="dxa"/>
          </w:tcPr>
          <w:p w14:paraId="1617C4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8D5A7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самолетов:</w:t>
            </w:r>
          </w:p>
        </w:tc>
        <w:tc>
          <w:tcPr>
            <w:tcW w:w="974" w:type="dxa"/>
          </w:tcPr>
          <w:p w14:paraId="27816F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30135</w:t>
            </w:r>
          </w:p>
        </w:tc>
        <w:tc>
          <w:tcPr>
            <w:tcW w:w="1436" w:type="dxa"/>
          </w:tcPr>
          <w:p w14:paraId="2BADB1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3522</w:t>
            </w:r>
          </w:p>
        </w:tc>
        <w:tc>
          <w:tcPr>
            <w:tcW w:w="1063" w:type="dxa"/>
          </w:tcPr>
          <w:p w14:paraId="418CCA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6922</w:t>
            </w:r>
          </w:p>
        </w:tc>
        <w:tc>
          <w:tcPr>
            <w:tcW w:w="1488" w:type="dxa"/>
          </w:tcPr>
          <w:p w14:paraId="515441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8885</w:t>
            </w:r>
          </w:p>
        </w:tc>
        <w:tc>
          <w:tcPr>
            <w:tcW w:w="1981" w:type="dxa"/>
          </w:tcPr>
          <w:p w14:paraId="285239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10806</w:t>
            </w:r>
          </w:p>
        </w:tc>
      </w:tr>
      <w:tr w:rsidR="006F4095" w:rsidRPr="008127F8" w14:paraId="704DC841" w14:textId="77777777">
        <w:tc>
          <w:tcPr>
            <w:tcW w:w="1384" w:type="dxa"/>
          </w:tcPr>
          <w:p w14:paraId="7B5E5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моторам</w:t>
            </w:r>
          </w:p>
        </w:tc>
        <w:tc>
          <w:tcPr>
            <w:tcW w:w="2268" w:type="dxa"/>
          </w:tcPr>
          <w:p w14:paraId="6C8A72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164C2C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0355FA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146CAD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Pr>
          <w:p w14:paraId="2837B7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1" w:type="dxa"/>
          </w:tcPr>
          <w:p w14:paraId="7C94B7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996861" w14:textId="77777777">
        <w:tc>
          <w:tcPr>
            <w:tcW w:w="1384" w:type="dxa"/>
          </w:tcPr>
          <w:p w14:paraId="730868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AF8F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Типы моторов</w:t>
            </w:r>
          </w:p>
        </w:tc>
        <w:tc>
          <w:tcPr>
            <w:tcW w:w="974" w:type="dxa"/>
          </w:tcPr>
          <w:p w14:paraId="7E170A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54F3F2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2DBC94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Pr>
          <w:p w14:paraId="36A9D5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1" w:type="dxa"/>
          </w:tcPr>
          <w:p w14:paraId="2C626A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8AA6FC" w14:textId="77777777">
        <w:tc>
          <w:tcPr>
            <w:tcW w:w="1384" w:type="dxa"/>
          </w:tcPr>
          <w:p w14:paraId="564645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2268" w:type="dxa"/>
          </w:tcPr>
          <w:p w14:paraId="60E3426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974" w:type="dxa"/>
          </w:tcPr>
          <w:p w14:paraId="0977B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c>
          <w:tcPr>
            <w:tcW w:w="1436" w:type="dxa"/>
          </w:tcPr>
          <w:p w14:paraId="519DFA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1478</w:t>
            </w:r>
          </w:p>
        </w:tc>
        <w:tc>
          <w:tcPr>
            <w:tcW w:w="1063" w:type="dxa"/>
          </w:tcPr>
          <w:p w14:paraId="349AA7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3080</w:t>
            </w:r>
          </w:p>
        </w:tc>
        <w:tc>
          <w:tcPr>
            <w:tcW w:w="1488" w:type="dxa"/>
          </w:tcPr>
          <w:p w14:paraId="2C2885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4035</w:t>
            </w:r>
          </w:p>
        </w:tc>
        <w:tc>
          <w:tcPr>
            <w:tcW w:w="1981" w:type="dxa"/>
          </w:tcPr>
          <w:p w14:paraId="2999B3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4511</w:t>
            </w:r>
          </w:p>
        </w:tc>
      </w:tr>
      <w:tr w:rsidR="006F4095" w:rsidRPr="008127F8" w14:paraId="5CD74982" w14:textId="77777777">
        <w:tc>
          <w:tcPr>
            <w:tcW w:w="1384" w:type="dxa"/>
          </w:tcPr>
          <w:p w14:paraId="4A34B4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2268" w:type="dxa"/>
          </w:tcPr>
          <w:p w14:paraId="630A64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974" w:type="dxa"/>
          </w:tcPr>
          <w:p w14:paraId="20C954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6023</w:t>
            </w:r>
          </w:p>
        </w:tc>
        <w:tc>
          <w:tcPr>
            <w:tcW w:w="1436" w:type="dxa"/>
          </w:tcPr>
          <w:p w14:paraId="66B018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1063" w:type="dxa"/>
          </w:tcPr>
          <w:p w14:paraId="0CB8DA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1343</w:t>
            </w:r>
          </w:p>
        </w:tc>
        <w:tc>
          <w:tcPr>
            <w:tcW w:w="1488" w:type="dxa"/>
          </w:tcPr>
          <w:p w14:paraId="2AB24F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1985</w:t>
            </w:r>
          </w:p>
        </w:tc>
        <w:tc>
          <w:tcPr>
            <w:tcW w:w="1981" w:type="dxa"/>
          </w:tcPr>
          <w:p w14:paraId="15AB04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2450</w:t>
            </w:r>
          </w:p>
        </w:tc>
      </w:tr>
      <w:tr w:rsidR="006F4095" w:rsidRPr="008127F8" w14:paraId="08598109" w14:textId="77777777">
        <w:tc>
          <w:tcPr>
            <w:tcW w:w="1384" w:type="dxa"/>
          </w:tcPr>
          <w:p w14:paraId="4A2BD8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2268" w:type="dxa"/>
          </w:tcPr>
          <w:p w14:paraId="0F2B91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974" w:type="dxa"/>
          </w:tcPr>
          <w:p w14:paraId="1589B2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3335</w:t>
            </w:r>
          </w:p>
        </w:tc>
        <w:tc>
          <w:tcPr>
            <w:tcW w:w="1436" w:type="dxa"/>
          </w:tcPr>
          <w:p w14:paraId="5EA3C2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063" w:type="dxa"/>
          </w:tcPr>
          <w:p w14:paraId="4B70B7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c>
          <w:tcPr>
            <w:tcW w:w="1488" w:type="dxa"/>
          </w:tcPr>
          <w:p w14:paraId="3E4324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1045</w:t>
            </w:r>
          </w:p>
        </w:tc>
        <w:tc>
          <w:tcPr>
            <w:tcW w:w="1981" w:type="dxa"/>
          </w:tcPr>
          <w:p w14:paraId="30D221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1225</w:t>
            </w:r>
          </w:p>
        </w:tc>
      </w:tr>
      <w:tr w:rsidR="006F4095" w:rsidRPr="008127F8" w14:paraId="710C2E6C" w14:textId="77777777">
        <w:tc>
          <w:tcPr>
            <w:tcW w:w="1384" w:type="dxa"/>
          </w:tcPr>
          <w:p w14:paraId="6CB7E4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2268" w:type="dxa"/>
          </w:tcPr>
          <w:p w14:paraId="65C01F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974" w:type="dxa"/>
          </w:tcPr>
          <w:p w14:paraId="16804E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436" w:type="dxa"/>
          </w:tcPr>
          <w:p w14:paraId="535E35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60363D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88" w:type="dxa"/>
          </w:tcPr>
          <w:p w14:paraId="1BEF6D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981" w:type="dxa"/>
          </w:tcPr>
          <w:p w14:paraId="4B5AAF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r>
      <w:tr w:rsidR="006F4095" w:rsidRPr="008127F8" w14:paraId="6F78F669" w14:textId="77777777">
        <w:tc>
          <w:tcPr>
            <w:tcW w:w="1384" w:type="dxa"/>
          </w:tcPr>
          <w:p w14:paraId="7B5DCC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2268" w:type="dxa"/>
          </w:tcPr>
          <w:p w14:paraId="5877B6A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974" w:type="dxa"/>
          </w:tcPr>
          <w:p w14:paraId="03A61A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10611</w:t>
            </w:r>
          </w:p>
        </w:tc>
        <w:tc>
          <w:tcPr>
            <w:tcW w:w="1436" w:type="dxa"/>
          </w:tcPr>
          <w:p w14:paraId="164ADC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683</w:t>
            </w:r>
          </w:p>
        </w:tc>
        <w:tc>
          <w:tcPr>
            <w:tcW w:w="1063" w:type="dxa"/>
          </w:tcPr>
          <w:p w14:paraId="51066B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2468</w:t>
            </w:r>
          </w:p>
        </w:tc>
        <w:tc>
          <w:tcPr>
            <w:tcW w:w="1488" w:type="dxa"/>
          </w:tcPr>
          <w:p w14:paraId="7E697A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3475</w:t>
            </w:r>
          </w:p>
        </w:tc>
        <w:tc>
          <w:tcPr>
            <w:tcW w:w="1981" w:type="dxa"/>
          </w:tcPr>
          <w:p w14:paraId="2F8DD6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3985</w:t>
            </w:r>
          </w:p>
        </w:tc>
      </w:tr>
      <w:tr w:rsidR="006F4095" w:rsidRPr="008127F8" w14:paraId="3E66CD4A" w14:textId="77777777">
        <w:tc>
          <w:tcPr>
            <w:tcW w:w="1384" w:type="dxa"/>
          </w:tcPr>
          <w:p w14:paraId="0E920C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68" w:type="dxa"/>
          </w:tcPr>
          <w:p w14:paraId="13F012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АМ-35А</w:t>
            </w:r>
          </w:p>
        </w:tc>
        <w:tc>
          <w:tcPr>
            <w:tcW w:w="974" w:type="dxa"/>
          </w:tcPr>
          <w:p w14:paraId="7BF698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436" w:type="dxa"/>
          </w:tcPr>
          <w:p w14:paraId="3E39B1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063" w:type="dxa"/>
          </w:tcPr>
          <w:p w14:paraId="46584E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88" w:type="dxa"/>
          </w:tcPr>
          <w:p w14:paraId="44C5B5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981" w:type="dxa"/>
          </w:tcPr>
          <w:p w14:paraId="6FDAF7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44EF095" w14:textId="77777777">
        <w:tc>
          <w:tcPr>
            <w:tcW w:w="1384" w:type="dxa"/>
          </w:tcPr>
          <w:p w14:paraId="08DE69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2268" w:type="dxa"/>
          </w:tcPr>
          <w:p w14:paraId="578AAF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974" w:type="dxa"/>
          </w:tcPr>
          <w:p w14:paraId="7E8A24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1436" w:type="dxa"/>
          </w:tcPr>
          <w:p w14:paraId="1498D4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46120D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88" w:type="dxa"/>
          </w:tcPr>
          <w:p w14:paraId="3DA5B1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1981" w:type="dxa"/>
          </w:tcPr>
          <w:p w14:paraId="188EAB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27BF56CD" w14:textId="77777777">
        <w:tc>
          <w:tcPr>
            <w:tcW w:w="1384" w:type="dxa"/>
          </w:tcPr>
          <w:p w14:paraId="537059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2268" w:type="dxa"/>
          </w:tcPr>
          <w:p w14:paraId="1830CC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974" w:type="dxa"/>
          </w:tcPr>
          <w:p w14:paraId="230F42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c>
          <w:tcPr>
            <w:tcW w:w="1436" w:type="dxa"/>
          </w:tcPr>
          <w:p w14:paraId="1B7F46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1063" w:type="dxa"/>
          </w:tcPr>
          <w:p w14:paraId="7CB0B1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927</w:t>
            </w:r>
          </w:p>
        </w:tc>
        <w:tc>
          <w:tcPr>
            <w:tcW w:w="1488" w:type="dxa"/>
          </w:tcPr>
          <w:p w14:paraId="219670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1981" w:type="dxa"/>
          </w:tcPr>
          <w:p w14:paraId="2373AC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1275</w:t>
            </w:r>
          </w:p>
        </w:tc>
      </w:tr>
      <w:tr w:rsidR="006F4095" w:rsidRPr="008127F8" w14:paraId="2D4A12BA" w14:textId="77777777">
        <w:tc>
          <w:tcPr>
            <w:tcW w:w="1384" w:type="dxa"/>
          </w:tcPr>
          <w:p w14:paraId="7271AC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68" w:type="dxa"/>
          </w:tcPr>
          <w:p w14:paraId="0DF35C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М-62ИР</w:t>
            </w:r>
          </w:p>
        </w:tc>
        <w:tc>
          <w:tcPr>
            <w:tcW w:w="974" w:type="dxa"/>
          </w:tcPr>
          <w:p w14:paraId="4C3273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2098</w:t>
            </w:r>
          </w:p>
        </w:tc>
        <w:tc>
          <w:tcPr>
            <w:tcW w:w="1436" w:type="dxa"/>
          </w:tcPr>
          <w:p w14:paraId="46970C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329</w:t>
            </w:r>
          </w:p>
        </w:tc>
        <w:tc>
          <w:tcPr>
            <w:tcW w:w="1063" w:type="dxa"/>
          </w:tcPr>
          <w:p w14:paraId="2BBD6D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572</w:t>
            </w:r>
          </w:p>
        </w:tc>
        <w:tc>
          <w:tcPr>
            <w:tcW w:w="1488" w:type="dxa"/>
          </w:tcPr>
          <w:p w14:paraId="1D23A1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w:t>
            </w:r>
          </w:p>
        </w:tc>
        <w:tc>
          <w:tcPr>
            <w:tcW w:w="1981" w:type="dxa"/>
          </w:tcPr>
          <w:p w14:paraId="7B0296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595</w:t>
            </w:r>
          </w:p>
        </w:tc>
      </w:tr>
      <w:tr w:rsidR="006F4095" w:rsidRPr="008127F8" w14:paraId="3ECEA810" w14:textId="77777777">
        <w:tc>
          <w:tcPr>
            <w:tcW w:w="1384" w:type="dxa"/>
          </w:tcPr>
          <w:p w14:paraId="0DBD33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2268" w:type="dxa"/>
          </w:tcPr>
          <w:p w14:paraId="2E6E80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974" w:type="dxa"/>
          </w:tcPr>
          <w:p w14:paraId="603A4E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c>
          <w:tcPr>
            <w:tcW w:w="1436" w:type="dxa"/>
          </w:tcPr>
          <w:p w14:paraId="37E229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1063" w:type="dxa"/>
          </w:tcPr>
          <w:p w14:paraId="7A653C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w:t>
            </w:r>
          </w:p>
        </w:tc>
        <w:tc>
          <w:tcPr>
            <w:tcW w:w="1488" w:type="dxa"/>
          </w:tcPr>
          <w:p w14:paraId="18C311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1981" w:type="dxa"/>
          </w:tcPr>
          <w:p w14:paraId="0E71CC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680B7C03" w14:textId="77777777">
        <w:tc>
          <w:tcPr>
            <w:tcW w:w="1384" w:type="dxa"/>
          </w:tcPr>
          <w:p w14:paraId="191248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2268" w:type="dxa"/>
          </w:tcPr>
          <w:p w14:paraId="6D64E2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974" w:type="dxa"/>
          </w:tcPr>
          <w:p w14:paraId="525495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3798</w:t>
            </w:r>
          </w:p>
        </w:tc>
        <w:tc>
          <w:tcPr>
            <w:tcW w:w="1436" w:type="dxa"/>
          </w:tcPr>
          <w:p w14:paraId="11F1FB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518</w:t>
            </w:r>
          </w:p>
        </w:tc>
        <w:tc>
          <w:tcPr>
            <w:tcW w:w="1063" w:type="dxa"/>
          </w:tcPr>
          <w:p w14:paraId="0B3CE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964</w:t>
            </w:r>
          </w:p>
        </w:tc>
        <w:tc>
          <w:tcPr>
            <w:tcW w:w="1488" w:type="dxa"/>
          </w:tcPr>
          <w:p w14:paraId="3B14E9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1118</w:t>
            </w:r>
          </w:p>
        </w:tc>
        <w:tc>
          <w:tcPr>
            <w:tcW w:w="1981" w:type="dxa"/>
          </w:tcPr>
          <w:p w14:paraId="2C5F88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1198</w:t>
            </w:r>
          </w:p>
        </w:tc>
      </w:tr>
      <w:tr w:rsidR="006F4095" w:rsidRPr="008127F8" w14:paraId="6AB2D440" w14:textId="77777777">
        <w:tc>
          <w:tcPr>
            <w:tcW w:w="1384" w:type="dxa"/>
          </w:tcPr>
          <w:p w14:paraId="1BA162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2268" w:type="dxa"/>
          </w:tcPr>
          <w:p w14:paraId="193F04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974" w:type="dxa"/>
          </w:tcPr>
          <w:p w14:paraId="2191F6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w:t>
            </w:r>
          </w:p>
        </w:tc>
        <w:tc>
          <w:tcPr>
            <w:tcW w:w="1436" w:type="dxa"/>
          </w:tcPr>
          <w:p w14:paraId="77A271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2DDD25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488" w:type="dxa"/>
          </w:tcPr>
          <w:p w14:paraId="17F036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1981" w:type="dxa"/>
          </w:tcPr>
          <w:p w14:paraId="757A2A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r w:rsidR="006F4095" w:rsidRPr="008127F8" w14:paraId="7802E011" w14:textId="77777777">
        <w:tc>
          <w:tcPr>
            <w:tcW w:w="1384" w:type="dxa"/>
          </w:tcPr>
          <w:p w14:paraId="69858B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2268" w:type="dxa"/>
          </w:tcPr>
          <w:p w14:paraId="434DDD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ГАМ-34БС</w:t>
            </w:r>
          </w:p>
        </w:tc>
        <w:tc>
          <w:tcPr>
            <w:tcW w:w="974" w:type="dxa"/>
          </w:tcPr>
          <w:p w14:paraId="1D4961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1436" w:type="dxa"/>
          </w:tcPr>
          <w:p w14:paraId="233E1A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63" w:type="dxa"/>
          </w:tcPr>
          <w:p w14:paraId="208338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1488" w:type="dxa"/>
          </w:tcPr>
          <w:p w14:paraId="652B2D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c>
          <w:tcPr>
            <w:tcW w:w="1981" w:type="dxa"/>
          </w:tcPr>
          <w:p w14:paraId="446BD62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r>
      <w:tr w:rsidR="006F4095" w:rsidRPr="008127F8" w14:paraId="27644436" w14:textId="77777777">
        <w:tc>
          <w:tcPr>
            <w:tcW w:w="1384" w:type="dxa"/>
            <w:tcBorders>
              <w:bottom w:val="single" w:sz="12" w:space="0" w:color="auto"/>
            </w:tcBorders>
          </w:tcPr>
          <w:p w14:paraId="215AE6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375660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974" w:type="dxa"/>
            <w:tcBorders>
              <w:bottom w:val="single" w:sz="12" w:space="0" w:color="auto"/>
            </w:tcBorders>
          </w:tcPr>
          <w:p w14:paraId="07C306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50312</w:t>
            </w:r>
          </w:p>
        </w:tc>
        <w:tc>
          <w:tcPr>
            <w:tcW w:w="1436" w:type="dxa"/>
            <w:tcBorders>
              <w:bottom w:val="single" w:sz="12" w:space="0" w:color="auto"/>
            </w:tcBorders>
          </w:tcPr>
          <w:p w14:paraId="5FC9DC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4707</w:t>
            </w:r>
          </w:p>
        </w:tc>
        <w:tc>
          <w:tcPr>
            <w:tcW w:w="1063" w:type="dxa"/>
            <w:tcBorders>
              <w:bottom w:val="single" w:sz="12" w:space="0" w:color="auto"/>
            </w:tcBorders>
          </w:tcPr>
          <w:p w14:paraId="5E185F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11340</w:t>
            </w:r>
          </w:p>
        </w:tc>
        <w:tc>
          <w:tcPr>
            <w:tcW w:w="1488" w:type="dxa"/>
            <w:tcBorders>
              <w:bottom w:val="single" w:sz="12" w:space="0" w:color="auto"/>
            </w:tcBorders>
          </w:tcPr>
          <w:p w14:paraId="681F87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15781</w:t>
            </w:r>
          </w:p>
        </w:tc>
        <w:tc>
          <w:tcPr>
            <w:tcW w:w="1981" w:type="dxa"/>
            <w:tcBorders>
              <w:bottom w:val="single" w:sz="12" w:space="0" w:color="auto"/>
            </w:tcBorders>
          </w:tcPr>
          <w:p w14:paraId="1C8EA5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18484</w:t>
            </w:r>
          </w:p>
        </w:tc>
      </w:tr>
    </w:tbl>
    <w:p w14:paraId="4C9985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Наркомавиапром - Шахурина и директоров самолетных и моторных заводов обеспечить месячный выпуск самолетов и моторов, </w:t>
      </w:r>
      <w:proofErr w:type="gramStart"/>
      <w:r w:rsidRPr="008127F8">
        <w:rPr>
          <w:rFonts w:ascii="Times New Roman" w:hAnsi="Times New Roman"/>
          <w:color w:val="000000" w:themeColor="text1"/>
          <w:sz w:val="16"/>
          <w:szCs w:val="16"/>
        </w:rPr>
        <w:t>согласно приложений</w:t>
      </w:r>
      <w:proofErr w:type="gramEnd"/>
      <w:r w:rsidRPr="008127F8">
        <w:rPr>
          <w:rFonts w:ascii="Times New Roman" w:hAnsi="Times New Roman"/>
          <w:color w:val="000000" w:themeColor="text1"/>
          <w:sz w:val="16"/>
          <w:szCs w:val="16"/>
        </w:rPr>
        <w:t xml:space="preserve"> NN 1, 2.</w:t>
      </w:r>
    </w:p>
    <w:p w14:paraId="389C22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Считать, что настоящим постановлением исчерпываются все ранее вынесенные решения ГОКО о плане выпуска самолетов и моторов в 1942 году по отдельным заводам НКАП.</w:t>
      </w:r>
    </w:p>
    <w:p w14:paraId="58EA63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Всемерно увеличивать выпуск продукции на Сибирских заводах НКАП, категорически запретить вывоз оборудования с заводов НКАП Сибири и Урала в Европейскую часть СССР.</w:t>
      </w:r>
    </w:p>
    <w:p w14:paraId="32FD77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Для улучшения снабжения Сибирской группы заводов НКАП организовать в Новосибирске крупную базу Главснаба НКАП, обеспечив ее соответствующими материальными фондами.</w:t>
      </w:r>
    </w:p>
    <w:p w14:paraId="40ED8C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Для улучшения оперативного руководства заводами со стороны НКАП, особенно заводами, расположенными на востоке, прикрепить заместителей наркома Авиапрома к наиболее важным самолетным и моторным заводам, обязав их находиться большую часть времени непосредственно на прикрепленных заводах:</w:t>
      </w:r>
    </w:p>
    <w:p w14:paraId="7443EF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Дементьева прикрепить к Куйбышевским заводам NN 1, 18, 24 и Казанскому заводу N 22;</w:t>
      </w:r>
    </w:p>
    <w:p w14:paraId="6D463E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Яковлева прикрепить к Сибирской группе заводов НКАП NN 153 - Новосибирск, 166 - Омск, 39 - Иркутск и 335 - новостроящийся авиамоторный завод в Новосибирске;</w:t>
      </w:r>
    </w:p>
    <w:p w14:paraId="3AD512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Репина прикрепить к Горьковскому заводу N 21, Саратовскому заводу N 292 и Московскому заводу N 82;</w:t>
      </w:r>
    </w:p>
    <w:p w14:paraId="1B4673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Воронина - к Московским заводам NN 30 и 23;</w:t>
      </w:r>
    </w:p>
    <w:p w14:paraId="78D5CE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Баландина - помимо непосредственного руководства заводом N 26 (Уфа) - к Казанскому заводу N 16 и Горьковскому заводу N 466;</w:t>
      </w:r>
    </w:p>
    <w:p w14:paraId="3D6879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Кузнецова В.П. - к Московским заводам NN 45 и 41;</w:t>
      </w:r>
    </w:p>
    <w:p w14:paraId="6BF9E7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Визирян прикрепить к Уральской группе заводов НАП NN 95, 268, 120, 286 и 28.</w:t>
      </w:r>
    </w:p>
    <w:p w14:paraId="6D3047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 соответствии с этим определить основное место пребывания заместителей наркома Авиапрома: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6271AA68" w14:textId="77777777">
        <w:tc>
          <w:tcPr>
            <w:tcW w:w="3757" w:type="dxa"/>
            <w:tcBorders>
              <w:top w:val="single" w:sz="12" w:space="0" w:color="auto"/>
            </w:tcBorders>
          </w:tcPr>
          <w:p w14:paraId="703E1E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Дементьева</w:t>
            </w:r>
          </w:p>
        </w:tc>
        <w:tc>
          <w:tcPr>
            <w:tcW w:w="3757" w:type="dxa"/>
            <w:tcBorders>
              <w:top w:val="single" w:sz="12" w:space="0" w:color="auto"/>
            </w:tcBorders>
          </w:tcPr>
          <w:p w14:paraId="1A163E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Куйбышеве,</w:t>
            </w:r>
          </w:p>
        </w:tc>
      </w:tr>
      <w:tr w:rsidR="006F4095" w:rsidRPr="008127F8" w14:paraId="5127E233" w14:textId="77777777">
        <w:tc>
          <w:tcPr>
            <w:tcW w:w="3757" w:type="dxa"/>
          </w:tcPr>
          <w:p w14:paraId="3DA338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Яковлева</w:t>
            </w:r>
          </w:p>
        </w:tc>
        <w:tc>
          <w:tcPr>
            <w:tcW w:w="3757" w:type="dxa"/>
          </w:tcPr>
          <w:p w14:paraId="39AD87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Новосибирске,</w:t>
            </w:r>
          </w:p>
        </w:tc>
      </w:tr>
      <w:tr w:rsidR="006F4095" w:rsidRPr="008127F8" w14:paraId="79B46610" w14:textId="77777777">
        <w:tc>
          <w:tcPr>
            <w:tcW w:w="3757" w:type="dxa"/>
          </w:tcPr>
          <w:p w14:paraId="021DAD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Репина</w:t>
            </w:r>
          </w:p>
        </w:tc>
        <w:tc>
          <w:tcPr>
            <w:tcW w:w="3757" w:type="dxa"/>
          </w:tcPr>
          <w:p w14:paraId="478FFB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Горьком,</w:t>
            </w:r>
          </w:p>
        </w:tc>
      </w:tr>
      <w:tr w:rsidR="006F4095" w:rsidRPr="008127F8" w14:paraId="6AD81622" w14:textId="77777777">
        <w:tc>
          <w:tcPr>
            <w:tcW w:w="3757" w:type="dxa"/>
          </w:tcPr>
          <w:p w14:paraId="18BC75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Воронина</w:t>
            </w:r>
          </w:p>
        </w:tc>
        <w:tc>
          <w:tcPr>
            <w:tcW w:w="3757" w:type="dxa"/>
          </w:tcPr>
          <w:p w14:paraId="10E98D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Москве,</w:t>
            </w:r>
          </w:p>
        </w:tc>
      </w:tr>
      <w:tr w:rsidR="006F4095" w:rsidRPr="008127F8" w14:paraId="14C63287" w14:textId="77777777">
        <w:tc>
          <w:tcPr>
            <w:tcW w:w="3757" w:type="dxa"/>
          </w:tcPr>
          <w:p w14:paraId="7ED60C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Баландина</w:t>
            </w:r>
          </w:p>
        </w:tc>
        <w:tc>
          <w:tcPr>
            <w:tcW w:w="3757" w:type="dxa"/>
          </w:tcPr>
          <w:p w14:paraId="74B668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Уфе,</w:t>
            </w:r>
          </w:p>
        </w:tc>
      </w:tr>
      <w:tr w:rsidR="006F4095" w:rsidRPr="008127F8" w14:paraId="18E8B618" w14:textId="77777777">
        <w:tc>
          <w:tcPr>
            <w:tcW w:w="3757" w:type="dxa"/>
          </w:tcPr>
          <w:p w14:paraId="128D2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Кузнецова В.П.</w:t>
            </w:r>
          </w:p>
        </w:tc>
        <w:tc>
          <w:tcPr>
            <w:tcW w:w="3757" w:type="dxa"/>
          </w:tcPr>
          <w:p w14:paraId="4CD8169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Москве,</w:t>
            </w:r>
          </w:p>
        </w:tc>
      </w:tr>
      <w:tr w:rsidR="006F4095" w:rsidRPr="008127F8" w14:paraId="0E72C200" w14:textId="77777777">
        <w:tc>
          <w:tcPr>
            <w:tcW w:w="3757" w:type="dxa"/>
            <w:tcBorders>
              <w:bottom w:val="single" w:sz="12" w:space="0" w:color="auto"/>
            </w:tcBorders>
          </w:tcPr>
          <w:p w14:paraId="329E72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Визирян</w:t>
            </w:r>
          </w:p>
        </w:tc>
        <w:tc>
          <w:tcPr>
            <w:tcW w:w="3757" w:type="dxa"/>
            <w:tcBorders>
              <w:bottom w:val="single" w:sz="12" w:space="0" w:color="auto"/>
            </w:tcBorders>
          </w:tcPr>
          <w:p w14:paraId="039BE3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 Свердловске.</w:t>
            </w:r>
          </w:p>
        </w:tc>
      </w:tr>
    </w:tbl>
    <w:p w14:paraId="638925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Установить, что заместители наркома Авиапрома, прикрепленные к соответствующей группе самолетных и моторных заводов:</w:t>
      </w:r>
    </w:p>
    <w:p w14:paraId="1F6081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отвечают и систематически отчитываются перед наркомом Авиапрома за выполнение установленной по прикрепленным к ним заводам программы;</w:t>
      </w:r>
    </w:p>
    <w:p w14:paraId="5453FF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разрешают на месте все производственно-технические вопросы, возникающие на заводах, за исключением вопросов изменения конструкции, что по их представлению решается наркомом Авиапрома;</w:t>
      </w:r>
    </w:p>
    <w:p w14:paraId="358D58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принимают через Наркомат меры к своевременному обеспечению материально-техническим снабжением прикрепленных к ним заводов;</w:t>
      </w:r>
    </w:p>
    <w:p w14:paraId="0A804B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 лично и непосредственно проверяют работу директоров и гл. инженеров прикрепленных к ним заводов и принимают необходимые меры к улучшению работы заводов;</w:t>
      </w:r>
    </w:p>
    <w:p w14:paraId="76EF61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принимают меры к улучшению рабочего снабжения и питания, улучшению жилищно-бытовых условий, развитию совхозов и других предприятий обслуживания рабочих по прикрепленным к ним заводам.</w:t>
      </w:r>
    </w:p>
    <w:p w14:paraId="587987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Заместителям наркома Авиапрома в основном месте их пребывания разрешается иметь небольшой аппарат - в количестве до 10 человек.</w:t>
      </w:r>
    </w:p>
    <w:p w14:paraId="495DE7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Наркомату Авиапрома провести решительные меры по улучшению работы заводов, стопроцентному использованию рабсилы и оборудования и по бесперебойному снабжению авиазаводов материалами и агрегатами.</w:t>
      </w:r>
    </w:p>
    <w:p w14:paraId="3277A4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Обязать Госплан - Сабурова и Наркомавиапром Шахурина разработать и представить на утверждение ГОКО к 1 мая с.г. мероприятия по материально-техническому обеспечению установленной настоящим постановлением программы по выпуску самолетов и моторов.</w:t>
      </w:r>
    </w:p>
    <w:p w14:paraId="32F4ED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выпуска моторов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F4095" w:rsidRPr="008127F8" w14:paraId="07DD7C7A" w14:textId="77777777">
        <w:tc>
          <w:tcPr>
            <w:tcW w:w="2254" w:type="dxa"/>
            <w:tcBorders>
              <w:top w:val="single" w:sz="12" w:space="0" w:color="auto"/>
            </w:tcBorders>
          </w:tcPr>
          <w:p w14:paraId="79571F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NN заводов</w:t>
            </w:r>
          </w:p>
        </w:tc>
        <w:tc>
          <w:tcPr>
            <w:tcW w:w="2254" w:type="dxa"/>
            <w:tcBorders>
              <w:top w:val="single" w:sz="12" w:space="0" w:color="auto"/>
            </w:tcBorders>
          </w:tcPr>
          <w:p w14:paraId="1E5C17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Типы моторов</w:t>
            </w:r>
          </w:p>
        </w:tc>
        <w:tc>
          <w:tcPr>
            <w:tcW w:w="2254" w:type="dxa"/>
            <w:tcBorders>
              <w:top w:val="single" w:sz="12" w:space="0" w:color="auto"/>
            </w:tcBorders>
          </w:tcPr>
          <w:p w14:paraId="4E0A9A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 1942 г.</w:t>
            </w:r>
          </w:p>
        </w:tc>
      </w:tr>
      <w:tr w:rsidR="006F4095" w:rsidRPr="008127F8" w14:paraId="6F8C2D92" w14:textId="77777777">
        <w:tc>
          <w:tcPr>
            <w:tcW w:w="2254" w:type="dxa"/>
          </w:tcPr>
          <w:p w14:paraId="56FD17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2254" w:type="dxa"/>
          </w:tcPr>
          <w:p w14:paraId="468253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2254" w:type="dxa"/>
          </w:tcPr>
          <w:p w14:paraId="10C4F8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r>
      <w:tr w:rsidR="006F4095" w:rsidRPr="008127F8" w14:paraId="3B5E429A" w14:textId="77777777">
        <w:tc>
          <w:tcPr>
            <w:tcW w:w="2254" w:type="dxa"/>
          </w:tcPr>
          <w:p w14:paraId="6FBD1A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2254" w:type="dxa"/>
          </w:tcPr>
          <w:p w14:paraId="44AD65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2254" w:type="dxa"/>
          </w:tcPr>
          <w:p w14:paraId="4B0C8B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6023</w:t>
            </w:r>
          </w:p>
        </w:tc>
      </w:tr>
      <w:tr w:rsidR="006F4095" w:rsidRPr="008127F8" w14:paraId="67F3B228" w14:textId="77777777">
        <w:tc>
          <w:tcPr>
            <w:tcW w:w="2254" w:type="dxa"/>
          </w:tcPr>
          <w:p w14:paraId="2A2DD2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2254" w:type="dxa"/>
          </w:tcPr>
          <w:p w14:paraId="3B02B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2254" w:type="dxa"/>
          </w:tcPr>
          <w:p w14:paraId="737EF11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3335</w:t>
            </w:r>
          </w:p>
        </w:tc>
      </w:tr>
      <w:tr w:rsidR="006F4095" w:rsidRPr="008127F8" w14:paraId="134E0FAE" w14:textId="77777777">
        <w:tc>
          <w:tcPr>
            <w:tcW w:w="2254" w:type="dxa"/>
          </w:tcPr>
          <w:p w14:paraId="0B0688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2254" w:type="dxa"/>
          </w:tcPr>
          <w:p w14:paraId="14AA3D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2254" w:type="dxa"/>
          </w:tcPr>
          <w:p w14:paraId="621323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r>
      <w:tr w:rsidR="006F4095" w:rsidRPr="008127F8" w14:paraId="1F1A3A0D" w14:textId="77777777">
        <w:tc>
          <w:tcPr>
            <w:tcW w:w="2254" w:type="dxa"/>
          </w:tcPr>
          <w:p w14:paraId="34BC44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2254" w:type="dxa"/>
          </w:tcPr>
          <w:p w14:paraId="35A753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2254" w:type="dxa"/>
          </w:tcPr>
          <w:p w14:paraId="6F39FF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10611</w:t>
            </w:r>
          </w:p>
        </w:tc>
      </w:tr>
      <w:tr w:rsidR="006F4095" w:rsidRPr="008127F8" w14:paraId="303E3177" w14:textId="77777777">
        <w:tc>
          <w:tcPr>
            <w:tcW w:w="2254" w:type="dxa"/>
          </w:tcPr>
          <w:p w14:paraId="4C31B9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54" w:type="dxa"/>
          </w:tcPr>
          <w:p w14:paraId="2AB94B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АМ-35А</w:t>
            </w:r>
          </w:p>
        </w:tc>
        <w:tc>
          <w:tcPr>
            <w:tcW w:w="2254" w:type="dxa"/>
          </w:tcPr>
          <w:p w14:paraId="2182C1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r>
      <w:tr w:rsidR="006F4095" w:rsidRPr="008127F8" w14:paraId="3FD43CBF" w14:textId="77777777">
        <w:tc>
          <w:tcPr>
            <w:tcW w:w="2254" w:type="dxa"/>
          </w:tcPr>
          <w:p w14:paraId="5CFC66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2254" w:type="dxa"/>
          </w:tcPr>
          <w:p w14:paraId="59E935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2254" w:type="dxa"/>
          </w:tcPr>
          <w:p w14:paraId="62C878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r>
      <w:tr w:rsidR="006F4095" w:rsidRPr="008127F8" w14:paraId="320EAB56" w14:textId="77777777">
        <w:tc>
          <w:tcPr>
            <w:tcW w:w="2254" w:type="dxa"/>
          </w:tcPr>
          <w:p w14:paraId="4C2B2F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2254" w:type="dxa"/>
          </w:tcPr>
          <w:p w14:paraId="2FCFB8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2254" w:type="dxa"/>
          </w:tcPr>
          <w:p w14:paraId="4EF898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r>
      <w:tr w:rsidR="006F4095" w:rsidRPr="008127F8" w14:paraId="693CF720" w14:textId="77777777">
        <w:tc>
          <w:tcPr>
            <w:tcW w:w="2254" w:type="dxa"/>
          </w:tcPr>
          <w:p w14:paraId="77CFDE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54" w:type="dxa"/>
          </w:tcPr>
          <w:p w14:paraId="7CA25E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М-62ИР</w:t>
            </w:r>
          </w:p>
        </w:tc>
        <w:tc>
          <w:tcPr>
            <w:tcW w:w="2254" w:type="dxa"/>
          </w:tcPr>
          <w:p w14:paraId="7C15BE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2098</w:t>
            </w:r>
          </w:p>
        </w:tc>
      </w:tr>
      <w:tr w:rsidR="006F4095" w:rsidRPr="008127F8" w14:paraId="6355B4D1" w14:textId="77777777">
        <w:tc>
          <w:tcPr>
            <w:tcW w:w="2254" w:type="dxa"/>
          </w:tcPr>
          <w:p w14:paraId="62E16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2254" w:type="dxa"/>
          </w:tcPr>
          <w:p w14:paraId="7CF373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2254" w:type="dxa"/>
          </w:tcPr>
          <w:p w14:paraId="229904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r>
      <w:tr w:rsidR="006F4095" w:rsidRPr="008127F8" w14:paraId="65A153D9" w14:textId="77777777">
        <w:tc>
          <w:tcPr>
            <w:tcW w:w="2254" w:type="dxa"/>
          </w:tcPr>
          <w:p w14:paraId="6A06B0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2254" w:type="dxa"/>
          </w:tcPr>
          <w:p w14:paraId="1DB9CA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2254" w:type="dxa"/>
          </w:tcPr>
          <w:p w14:paraId="7BA78B8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3798</w:t>
            </w:r>
          </w:p>
        </w:tc>
      </w:tr>
      <w:tr w:rsidR="006F4095" w:rsidRPr="008127F8" w14:paraId="2A24A7C7" w14:textId="77777777">
        <w:tc>
          <w:tcPr>
            <w:tcW w:w="2254" w:type="dxa"/>
          </w:tcPr>
          <w:p w14:paraId="791A8B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2254" w:type="dxa"/>
          </w:tcPr>
          <w:p w14:paraId="0A671F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2254" w:type="dxa"/>
          </w:tcPr>
          <w:p w14:paraId="311FC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w:t>
            </w:r>
          </w:p>
        </w:tc>
      </w:tr>
      <w:tr w:rsidR="006F4095" w:rsidRPr="008127F8" w14:paraId="3923E885" w14:textId="77777777">
        <w:tc>
          <w:tcPr>
            <w:tcW w:w="2254" w:type="dxa"/>
          </w:tcPr>
          <w:p w14:paraId="5B4542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2254" w:type="dxa"/>
          </w:tcPr>
          <w:p w14:paraId="0B2467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ГАМ-34БС</w:t>
            </w:r>
          </w:p>
        </w:tc>
        <w:tc>
          <w:tcPr>
            <w:tcW w:w="2254" w:type="dxa"/>
          </w:tcPr>
          <w:p w14:paraId="0EB462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r>
      <w:tr w:rsidR="006F4095" w:rsidRPr="008127F8" w14:paraId="14FB6FF6" w14:textId="77777777">
        <w:tc>
          <w:tcPr>
            <w:tcW w:w="2254" w:type="dxa"/>
          </w:tcPr>
          <w:p w14:paraId="319BF9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7CC06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2254" w:type="dxa"/>
          </w:tcPr>
          <w:p w14:paraId="792B80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50312</w:t>
            </w:r>
          </w:p>
        </w:tc>
      </w:tr>
      <w:tr w:rsidR="006F4095" w:rsidRPr="008127F8" w14:paraId="37132E02" w14:textId="77777777">
        <w:tc>
          <w:tcPr>
            <w:tcW w:w="2254" w:type="dxa"/>
          </w:tcPr>
          <w:p w14:paraId="0D02E3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2E027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Типы самолетов</w:t>
            </w:r>
          </w:p>
        </w:tc>
        <w:tc>
          <w:tcPr>
            <w:tcW w:w="2254" w:type="dxa"/>
          </w:tcPr>
          <w:p w14:paraId="2C5E41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743922D" w14:textId="77777777">
        <w:tc>
          <w:tcPr>
            <w:tcW w:w="2254" w:type="dxa"/>
          </w:tcPr>
          <w:p w14:paraId="75D8D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B9278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моторов</w:t>
            </w:r>
          </w:p>
        </w:tc>
        <w:tc>
          <w:tcPr>
            <w:tcW w:w="2254" w:type="dxa"/>
          </w:tcPr>
          <w:p w14:paraId="5D1FC7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178A31" w14:textId="77777777">
        <w:tc>
          <w:tcPr>
            <w:tcW w:w="2254" w:type="dxa"/>
          </w:tcPr>
          <w:p w14:paraId="664B8B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254" w:type="dxa"/>
          </w:tcPr>
          <w:p w14:paraId="7B4143A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М-105П</w:t>
            </w:r>
          </w:p>
        </w:tc>
        <w:tc>
          <w:tcPr>
            <w:tcW w:w="2254" w:type="dxa"/>
          </w:tcPr>
          <w:p w14:paraId="11CD11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r>
      <w:tr w:rsidR="006F4095" w:rsidRPr="008127F8" w14:paraId="07054FEE" w14:textId="77777777">
        <w:tc>
          <w:tcPr>
            <w:tcW w:w="2254" w:type="dxa"/>
          </w:tcPr>
          <w:p w14:paraId="391D33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254" w:type="dxa"/>
          </w:tcPr>
          <w:p w14:paraId="3058E3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2254" w:type="dxa"/>
          </w:tcPr>
          <w:p w14:paraId="5D1198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w:t>
            </w:r>
          </w:p>
        </w:tc>
      </w:tr>
      <w:tr w:rsidR="006F4095" w:rsidRPr="008127F8" w14:paraId="61C3CDD1" w14:textId="77777777">
        <w:tc>
          <w:tcPr>
            <w:tcW w:w="2254" w:type="dxa"/>
          </w:tcPr>
          <w:p w14:paraId="71D804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54" w:type="dxa"/>
          </w:tcPr>
          <w:p w14:paraId="0725EE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2254" w:type="dxa"/>
          </w:tcPr>
          <w:p w14:paraId="5548B7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r>
      <w:tr w:rsidR="006F4095" w:rsidRPr="008127F8" w14:paraId="6D7ACC2A" w14:textId="77777777">
        <w:tc>
          <w:tcPr>
            <w:tcW w:w="2254" w:type="dxa"/>
          </w:tcPr>
          <w:p w14:paraId="2FBBAD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254" w:type="dxa"/>
          </w:tcPr>
          <w:p w14:paraId="4E0B75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2254" w:type="dxa"/>
          </w:tcPr>
          <w:p w14:paraId="289815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1466</w:t>
            </w:r>
          </w:p>
        </w:tc>
      </w:tr>
      <w:tr w:rsidR="006F4095" w:rsidRPr="008127F8" w14:paraId="25EBFFFF" w14:textId="77777777">
        <w:tc>
          <w:tcPr>
            <w:tcW w:w="2254" w:type="dxa"/>
          </w:tcPr>
          <w:p w14:paraId="1AF751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54" w:type="dxa"/>
          </w:tcPr>
          <w:p w14:paraId="1D075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2254" w:type="dxa"/>
          </w:tcPr>
          <w:p w14:paraId="3CBFD2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1475</w:t>
            </w:r>
          </w:p>
        </w:tc>
      </w:tr>
      <w:tr w:rsidR="006F4095" w:rsidRPr="008127F8" w14:paraId="7D7BF089" w14:textId="77777777">
        <w:tc>
          <w:tcPr>
            <w:tcW w:w="2254" w:type="dxa"/>
          </w:tcPr>
          <w:p w14:paraId="69C897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254" w:type="dxa"/>
          </w:tcPr>
          <w:p w14:paraId="4F5E71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2254" w:type="dxa"/>
          </w:tcPr>
          <w:p w14:paraId="753E98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r>
      <w:tr w:rsidR="006F4095" w:rsidRPr="008127F8" w14:paraId="25469E80" w14:textId="77777777">
        <w:tc>
          <w:tcPr>
            <w:tcW w:w="2254" w:type="dxa"/>
          </w:tcPr>
          <w:p w14:paraId="16C7C1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84E0D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истребителей</w:t>
            </w:r>
          </w:p>
        </w:tc>
        <w:tc>
          <w:tcPr>
            <w:tcW w:w="2254" w:type="dxa"/>
          </w:tcPr>
          <w:p w14:paraId="355BFE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r>
      <w:tr w:rsidR="006F4095" w:rsidRPr="008127F8" w14:paraId="0E449E9B" w14:textId="77777777">
        <w:tc>
          <w:tcPr>
            <w:tcW w:w="2254" w:type="dxa"/>
          </w:tcPr>
          <w:p w14:paraId="213B51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254" w:type="dxa"/>
          </w:tcPr>
          <w:p w14:paraId="7BC362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2254" w:type="dxa"/>
          </w:tcPr>
          <w:p w14:paraId="119EA5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3526</w:t>
            </w:r>
          </w:p>
        </w:tc>
      </w:tr>
      <w:tr w:rsidR="006F4095" w:rsidRPr="008127F8" w14:paraId="726CA04B" w14:textId="77777777">
        <w:tc>
          <w:tcPr>
            <w:tcW w:w="2254" w:type="dxa"/>
          </w:tcPr>
          <w:p w14:paraId="79854B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254" w:type="dxa"/>
          </w:tcPr>
          <w:p w14:paraId="09B2C5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2254" w:type="dxa"/>
          </w:tcPr>
          <w:p w14:paraId="2A5AA4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4376</w:t>
            </w:r>
          </w:p>
        </w:tc>
      </w:tr>
      <w:tr w:rsidR="006F4095" w:rsidRPr="008127F8" w14:paraId="4D3B2039" w14:textId="77777777">
        <w:tc>
          <w:tcPr>
            <w:tcW w:w="2254" w:type="dxa"/>
          </w:tcPr>
          <w:p w14:paraId="4C4E4B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254" w:type="dxa"/>
          </w:tcPr>
          <w:p w14:paraId="72B1F5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2254" w:type="dxa"/>
          </w:tcPr>
          <w:p w14:paraId="30266D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r>
      <w:tr w:rsidR="006F4095" w:rsidRPr="008127F8" w14:paraId="195B860F" w14:textId="77777777">
        <w:tc>
          <w:tcPr>
            <w:tcW w:w="2254" w:type="dxa"/>
          </w:tcPr>
          <w:p w14:paraId="705005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254" w:type="dxa"/>
          </w:tcPr>
          <w:p w14:paraId="4901DE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2254" w:type="dxa"/>
          </w:tcPr>
          <w:p w14:paraId="67B156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r>
      <w:tr w:rsidR="006F4095" w:rsidRPr="008127F8" w14:paraId="4E77D956" w14:textId="77777777">
        <w:tc>
          <w:tcPr>
            <w:tcW w:w="2254" w:type="dxa"/>
          </w:tcPr>
          <w:p w14:paraId="6732BE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54" w:type="dxa"/>
          </w:tcPr>
          <w:p w14:paraId="20D242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М-82</w:t>
            </w:r>
          </w:p>
        </w:tc>
        <w:tc>
          <w:tcPr>
            <w:tcW w:w="2254" w:type="dxa"/>
          </w:tcPr>
          <w:p w14:paraId="3D3C54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678</w:t>
            </w:r>
          </w:p>
        </w:tc>
      </w:tr>
      <w:tr w:rsidR="006F4095" w:rsidRPr="008127F8" w14:paraId="24BEB517" w14:textId="77777777">
        <w:tc>
          <w:tcPr>
            <w:tcW w:w="2254" w:type="dxa"/>
          </w:tcPr>
          <w:p w14:paraId="66D98E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34786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штурмов.</w:t>
            </w:r>
          </w:p>
        </w:tc>
        <w:tc>
          <w:tcPr>
            <w:tcW w:w="2254" w:type="dxa"/>
          </w:tcPr>
          <w:p w14:paraId="2A128D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9717</w:t>
            </w:r>
          </w:p>
        </w:tc>
      </w:tr>
      <w:tr w:rsidR="006F4095" w:rsidRPr="008127F8" w14:paraId="6EABEB82" w14:textId="77777777">
        <w:tc>
          <w:tcPr>
            <w:tcW w:w="2254" w:type="dxa"/>
          </w:tcPr>
          <w:p w14:paraId="433600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2254" w:type="dxa"/>
          </w:tcPr>
          <w:p w14:paraId="09C21E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2254" w:type="dxa"/>
          </w:tcPr>
          <w:p w14:paraId="771B55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2522</w:t>
            </w:r>
          </w:p>
        </w:tc>
      </w:tr>
      <w:tr w:rsidR="006F4095" w:rsidRPr="008127F8" w14:paraId="526E9F77" w14:textId="77777777">
        <w:tc>
          <w:tcPr>
            <w:tcW w:w="2254" w:type="dxa"/>
          </w:tcPr>
          <w:p w14:paraId="5476DC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2254" w:type="dxa"/>
          </w:tcPr>
          <w:p w14:paraId="6EF6FC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2254" w:type="dxa"/>
          </w:tcPr>
          <w:p w14:paraId="1431B8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1720</w:t>
            </w:r>
          </w:p>
        </w:tc>
      </w:tr>
      <w:tr w:rsidR="006F4095" w:rsidRPr="008127F8" w14:paraId="0828430B" w14:textId="77777777">
        <w:tc>
          <w:tcPr>
            <w:tcW w:w="2254" w:type="dxa"/>
          </w:tcPr>
          <w:p w14:paraId="78E882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2254" w:type="dxa"/>
          </w:tcPr>
          <w:p w14:paraId="0AEDF1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2254" w:type="dxa"/>
          </w:tcPr>
          <w:p w14:paraId="6551A4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r>
      <w:tr w:rsidR="006F4095" w:rsidRPr="008127F8" w14:paraId="1642FBA5" w14:textId="77777777">
        <w:tc>
          <w:tcPr>
            <w:tcW w:w="2254" w:type="dxa"/>
          </w:tcPr>
          <w:p w14:paraId="0BA0B2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2254" w:type="dxa"/>
          </w:tcPr>
          <w:p w14:paraId="2EEF60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2254" w:type="dxa"/>
          </w:tcPr>
          <w:p w14:paraId="304305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859</w:t>
            </w:r>
          </w:p>
        </w:tc>
      </w:tr>
      <w:tr w:rsidR="006F4095" w:rsidRPr="008127F8" w14:paraId="37CAE82E" w14:textId="77777777">
        <w:tc>
          <w:tcPr>
            <w:tcW w:w="2254" w:type="dxa"/>
          </w:tcPr>
          <w:p w14:paraId="22BC9ED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254" w:type="dxa"/>
          </w:tcPr>
          <w:p w14:paraId="392582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2М-82</w:t>
            </w:r>
          </w:p>
        </w:tc>
        <w:tc>
          <w:tcPr>
            <w:tcW w:w="2254" w:type="dxa"/>
          </w:tcPr>
          <w:p w14:paraId="6F0898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r>
      <w:tr w:rsidR="006F4095" w:rsidRPr="008127F8" w14:paraId="22296477" w14:textId="77777777">
        <w:tc>
          <w:tcPr>
            <w:tcW w:w="2254" w:type="dxa"/>
          </w:tcPr>
          <w:p w14:paraId="7E39FA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159B5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бомбард.</w:t>
            </w:r>
          </w:p>
        </w:tc>
        <w:tc>
          <w:tcPr>
            <w:tcW w:w="2254" w:type="dxa"/>
          </w:tcPr>
          <w:p w14:paraId="39844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5736</w:t>
            </w:r>
          </w:p>
        </w:tc>
      </w:tr>
      <w:tr w:rsidR="006F4095" w:rsidRPr="008127F8" w14:paraId="4B775FDB" w14:textId="77777777">
        <w:tc>
          <w:tcPr>
            <w:tcW w:w="2254" w:type="dxa"/>
          </w:tcPr>
          <w:p w14:paraId="28FFF9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F016C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боевых</w:t>
            </w:r>
          </w:p>
        </w:tc>
        <w:tc>
          <w:tcPr>
            <w:tcW w:w="2254" w:type="dxa"/>
          </w:tcPr>
          <w:p w14:paraId="74ADD2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r>
      <w:tr w:rsidR="006F4095" w:rsidRPr="008127F8" w14:paraId="629B9FC2" w14:textId="77777777">
        <w:tc>
          <w:tcPr>
            <w:tcW w:w="2254" w:type="dxa"/>
          </w:tcPr>
          <w:p w14:paraId="3DA532E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2254" w:type="dxa"/>
          </w:tcPr>
          <w:p w14:paraId="059E48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 2М-62ИР</w:t>
            </w:r>
          </w:p>
        </w:tc>
        <w:tc>
          <w:tcPr>
            <w:tcW w:w="2254" w:type="dxa"/>
          </w:tcPr>
          <w:p w14:paraId="24621A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r>
      <w:tr w:rsidR="006F4095" w:rsidRPr="008127F8" w14:paraId="027AFD2A" w14:textId="77777777">
        <w:tc>
          <w:tcPr>
            <w:tcW w:w="2254" w:type="dxa"/>
          </w:tcPr>
          <w:p w14:paraId="074CB4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2254" w:type="dxa"/>
          </w:tcPr>
          <w:p w14:paraId="24A67F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 М-11</w:t>
            </w:r>
          </w:p>
        </w:tc>
        <w:tc>
          <w:tcPr>
            <w:tcW w:w="2254" w:type="dxa"/>
          </w:tcPr>
          <w:p w14:paraId="228279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2225</w:t>
            </w:r>
          </w:p>
        </w:tc>
      </w:tr>
      <w:tr w:rsidR="006F4095" w:rsidRPr="008127F8" w14:paraId="0632416E" w14:textId="77777777">
        <w:tc>
          <w:tcPr>
            <w:tcW w:w="2254" w:type="dxa"/>
          </w:tcPr>
          <w:p w14:paraId="434EDE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2254" w:type="dxa"/>
          </w:tcPr>
          <w:p w14:paraId="43B879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2254" w:type="dxa"/>
          </w:tcPr>
          <w:p w14:paraId="170718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924</w:t>
            </w:r>
          </w:p>
        </w:tc>
      </w:tr>
      <w:tr w:rsidR="006F4095" w:rsidRPr="008127F8" w14:paraId="29F6ADA4" w14:textId="77777777">
        <w:tc>
          <w:tcPr>
            <w:tcW w:w="2254" w:type="dxa"/>
          </w:tcPr>
          <w:p w14:paraId="5104CD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254" w:type="dxa"/>
          </w:tcPr>
          <w:p w14:paraId="405A53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2254" w:type="dxa"/>
          </w:tcPr>
          <w:p w14:paraId="64519C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r>
      <w:tr w:rsidR="006F4095" w:rsidRPr="008127F8" w14:paraId="34983801" w14:textId="77777777">
        <w:tc>
          <w:tcPr>
            <w:tcW w:w="2254" w:type="dxa"/>
          </w:tcPr>
          <w:p w14:paraId="777042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8A66F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учебных</w:t>
            </w:r>
          </w:p>
        </w:tc>
        <w:tc>
          <w:tcPr>
            <w:tcW w:w="2254" w:type="dxa"/>
          </w:tcPr>
          <w:p w14:paraId="142042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3889</w:t>
            </w:r>
          </w:p>
        </w:tc>
      </w:tr>
      <w:tr w:rsidR="006F4095" w:rsidRPr="008127F8" w14:paraId="3649BB79" w14:textId="77777777">
        <w:tc>
          <w:tcPr>
            <w:tcW w:w="2254" w:type="dxa"/>
          </w:tcPr>
          <w:p w14:paraId="4EA94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04524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самолетов</w:t>
            </w:r>
          </w:p>
        </w:tc>
        <w:tc>
          <w:tcPr>
            <w:tcW w:w="2254" w:type="dxa"/>
          </w:tcPr>
          <w:p w14:paraId="0799E7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30135</w:t>
            </w:r>
          </w:p>
        </w:tc>
      </w:tr>
      <w:tr w:rsidR="00687FE2" w:rsidRPr="008127F8" w14:paraId="2274B335" w14:textId="77777777">
        <w:tc>
          <w:tcPr>
            <w:tcW w:w="2254" w:type="dxa"/>
            <w:tcBorders>
              <w:bottom w:val="single" w:sz="12" w:space="0" w:color="auto"/>
            </w:tcBorders>
          </w:tcPr>
          <w:p w14:paraId="45A9EB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Borders>
              <w:bottom w:val="single" w:sz="12" w:space="0" w:color="auto"/>
            </w:tcBorders>
          </w:tcPr>
          <w:p w14:paraId="22B864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Кол-во раб. дней</w:t>
            </w:r>
          </w:p>
        </w:tc>
        <w:tc>
          <w:tcPr>
            <w:tcW w:w="2254" w:type="dxa"/>
            <w:tcBorders>
              <w:bottom w:val="single" w:sz="12" w:space="0" w:color="auto"/>
            </w:tcBorders>
          </w:tcPr>
          <w:p w14:paraId="16FDD2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339 (2758,136)</w:t>
            </w:r>
          </w:p>
        </w:tc>
      </w:tr>
    </w:tbl>
    <w:p w14:paraId="720BCE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23B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Н.Н.Поликарпов, сообщив о полученных результатах летных испытаний И-185 с М-71 секретарю Новосибир</w:t>
      </w:r>
      <w:r w:rsidRPr="008127F8">
        <w:rPr>
          <w:rFonts w:ascii="Times New Roman" w:hAnsi="Times New Roman"/>
          <w:color w:val="000000" w:themeColor="text1"/>
          <w:sz w:val="16"/>
          <w:szCs w:val="16"/>
        </w:rPr>
        <w:softHyphen/>
        <w:t>ского обкома ВКП(б) Кулагину, вылетел для доклада в Москву. «Мы с мамой провожали его на аэро</w:t>
      </w:r>
      <w:r w:rsidRPr="008127F8">
        <w:rPr>
          <w:rFonts w:ascii="Times New Roman" w:hAnsi="Times New Roman"/>
          <w:color w:val="000000" w:themeColor="text1"/>
          <w:sz w:val="16"/>
          <w:szCs w:val="16"/>
        </w:rPr>
        <w:softHyphen/>
        <w:t>дроме, - вспоминала Марианна Николаевна. - Улетал он на служебном самолете, который пилотировал летчик-фронтовик с перебитыми ногами. Мы очень беспокои</w:t>
      </w:r>
      <w:r w:rsidRPr="008127F8">
        <w:rPr>
          <w:rFonts w:ascii="Times New Roman" w:hAnsi="Times New Roman"/>
          <w:color w:val="000000" w:themeColor="text1"/>
          <w:sz w:val="16"/>
          <w:szCs w:val="16"/>
        </w:rPr>
        <w:softHyphen/>
        <w:t>лись, как они долетят до Москвы» (10667).</w:t>
      </w:r>
    </w:p>
    <w:p w14:paraId="6CD2B7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88B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закончились испытания М-105ПФ (198,47).</w:t>
      </w:r>
    </w:p>
    <w:p w14:paraId="106391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FDE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г. был утвержден отчет по испытанияя форсированного М-105ПА на Як-7А № 1411 и Як-7Б № 1413. На самолетах проверялась работа мотора с наддувом 920, 1020 и 1050 мм рт.ст., но форсированный режим не использовался более пяти-восьми минут. Управление форсажем, как и раньше, производили вручную из кабины. Летные характеристики на повышенном наддуве существенно улучшились. Совместным решением от 15 марта 1942 г. НКАП и ВВС пробную эксплуатацию организовали в 236-м иап ВВС Западного фронта. В полку форсирование двигателя производилось другим методом. На повышенный наддув перестраивался регулятор постоянного давления нагнетателя. Управление - от сектора газа; при полном газе - максимальный наддув. В испытаниях получили устойчивое увеличение скорости примерно на 20 км/ч.</w:t>
      </w:r>
    </w:p>
    <w:p w14:paraId="19C066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стендовых испытаниях модернизированный мотор имел показатели лучшие, чем были заданы ГКО. Взлетная мощность равнялась 1210, номинальная мощность на высоте 700 м составила 1260, а на высоте 2700 м - 1180 л.с. Вместе с тем ресурс мотора был уменьшен до 100 ч (со 125 ч), но весь этот срок мотор гарантированно мог работать на повышенном наддуве (имеется в виду ресурс до первого ремонта). Это оказалось возможным лишь под нажимом A.С.Яковлева как заместителя наркома.</w:t>
      </w:r>
    </w:p>
    <w:p w14:paraId="053A41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B.Я.Климов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Точку в споре поставили стендовые испытания М-105ПА с наддувом 1050 мм рт. ст., которые начались 24 апреля 1942 г. Мотор успешно их выдержал, проработав до разрушения 203 часа.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26EEF7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389158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3B04B9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проявлявшееся как раз на малых высотах.</w:t>
      </w:r>
    </w:p>
    <w:p w14:paraId="3F40A7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8127F8">
        <w:rPr>
          <w:rFonts w:ascii="Times New Roman" w:hAnsi="Times New Roman"/>
          <w:color w:val="000000" w:themeColor="text1"/>
          <w:sz w:val="16"/>
          <w:szCs w:val="16"/>
        </w:rPr>
        <w:t>техничес- кого</w:t>
      </w:r>
      <w:proofErr w:type="gramEnd"/>
      <w:r w:rsidRPr="008127F8">
        <w:rPr>
          <w:rFonts w:ascii="Times New Roman" w:hAnsi="Times New Roman"/>
          <w:color w:val="000000" w:themeColor="text1"/>
          <w:sz w:val="16"/>
          <w:szCs w:val="16"/>
        </w:rPr>
        <w:t xml:space="preserve"> состава (12048).</w:t>
      </w:r>
    </w:p>
    <w:p w14:paraId="2E5DFD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4CA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л 292 завода А.П.Горбатов совершил аварию при испытаниях Як-1. Допустил большую скорость при выравнивании и снес шасси (2108).</w:t>
      </w:r>
    </w:p>
    <w:p w14:paraId="0C7836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0722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F88EB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CF166"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29 марта 1942 года председатель Технического Совета НКВ. Э.А. Сатель подготовил письмо, в котором подверг орудие ЗИС-19 критике. Испытания показали, что бронепробитие ЗИС-19 оказалась чуть ниже 45-мм танковой пушки. Что еще хуже, уже запустили работы по модернизированной 45-мм противотанковой пушке (эти работы привели к созданию орудия М42). Технический Совет НКВ считал, что вскоре можно запускать работу по танковой версии этой системы. ЗИС-19 оказывалась третьим лишним. И это Сатель еще не упомянул такого факта, что фугасный снаряд 61-К был явно слабее 45-ки. В своё время именно это послужило причиной, почему перешли от калибра 37 мм на 45 мм (22879).</w:t>
      </w:r>
    </w:p>
    <w:p w14:paraId="4EA5D189"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12CA43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г. была подготовлена ДОКЛАДНАЯ ЗАПИСКА НАЧАЛЬНИКА ГАБТУ В НКВД ОБ УСТРАНЕНИИ НЕДОСТАТКОВ РЕМОНТА И ВОССТАНОВЛЕНИЯ ТАНКОВОГО ПАРКА</w:t>
      </w:r>
    </w:p>
    <w:p w14:paraId="749707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Сообщаю, что для устранения недостатков, указанных Вами в письме от 5 марта 1942 г. за № 300-б в части ремонта и восстановления танкового парка, ГАБТУ КА проведены следующие мероприятия:</w:t>
      </w:r>
    </w:p>
    <w:p w14:paraId="60FE19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Составлен план мероприятий по ускорению ремонта танков, тракторов и автомобилей, улуч</w:t>
      </w:r>
      <w:r w:rsidRPr="008127F8">
        <w:rPr>
          <w:rFonts w:ascii="Times New Roman" w:hAnsi="Times New Roman"/>
          <w:color w:val="000000" w:themeColor="text1"/>
          <w:sz w:val="16"/>
          <w:szCs w:val="16"/>
        </w:rPr>
        <w:softHyphen/>
        <w:t>шению качества ремонта и эвакуации.</w:t>
      </w:r>
    </w:p>
    <w:p w14:paraId="0F34DCA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связи с потребностью в агрегатах для ремонта боевой материальной части, даны указания шести рембазам об увеличении выпуска агрегатов для войсковых средств ремонта. Этим рембазам задана повышенная программа по выпуску агрегатов.</w:t>
      </w:r>
    </w:p>
    <w:p w14:paraId="7A00F6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Разработан приказ ГАБТУ КА по улучшению качества ремонта.</w:t>
      </w:r>
    </w:p>
    <w:p w14:paraId="11F53A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повышения выпуска из ремонта машин и улучшения качества перестроено руководство аппаратом военной приемки на ремонтных заводах. Введены графики выпуска машин из ремонта.</w:t>
      </w:r>
    </w:p>
    <w:p w14:paraId="07D7839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Составлен проект постановления ГКО о ремонте тракторов.</w:t>
      </w:r>
    </w:p>
    <w:p w14:paraId="71E0F64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Ремонтные базы ГАБТУ №1,2, 22 первыми эшелонами переведены в Москву и начали рабо</w:t>
      </w:r>
      <w:r w:rsidRPr="008127F8">
        <w:rPr>
          <w:rFonts w:ascii="Times New Roman" w:hAnsi="Times New Roman"/>
          <w:color w:val="000000" w:themeColor="text1"/>
          <w:sz w:val="16"/>
          <w:szCs w:val="16"/>
        </w:rPr>
        <w:softHyphen/>
        <w:t>тать с 20.02 с.г. по плану ГАБТУ КА.</w:t>
      </w:r>
    </w:p>
    <w:p w14:paraId="5E55C0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Даны указания о переводе из тыла в Москву эвакуированных рембаз № 3 и 81.</w:t>
      </w:r>
    </w:p>
    <w:p w14:paraId="1AD0DC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Послана войскам директива по ускорению эвакуации отечественных и трофейных танков и других машин.</w:t>
      </w:r>
    </w:p>
    <w:p w14:paraId="59995E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Главного автобронетанкового управления КА генерал-лейтенант танковых войск Федоренко</w:t>
      </w:r>
    </w:p>
    <w:p w14:paraId="6BCE8BB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6DD2C2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11364. Д. 300. Л. 87-88. Копия (11211).</w:t>
      </w:r>
    </w:p>
    <w:p w14:paraId="497E51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0576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года была подготовлена справка:</w:t>
      </w:r>
    </w:p>
    <w:p w14:paraId="029142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314 НКВ – Орск (9212).</w:t>
      </w:r>
    </w:p>
    <w:p w14:paraId="19AB4E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72D52"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EC29B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CE87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марта</w:t>
      </w:r>
      <w:r w:rsidRPr="008127F8">
        <w:rPr>
          <w:rFonts w:ascii="Times New Roman" w:hAnsi="Times New Roman"/>
          <w:color w:val="000000" w:themeColor="text1"/>
          <w:sz w:val="16"/>
          <w:szCs w:val="16"/>
        </w:rPr>
        <w:t xml:space="preserve"> в 1942 году утреннее сообщение Совинформбюро:</w:t>
      </w:r>
    </w:p>
    <w:p w14:paraId="27CFECE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29 марта на фронте каких-либо существенных изменений не произошло.</w:t>
      </w:r>
    </w:p>
    <w:p w14:paraId="6EC076E4"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Юго-Западного фронта, выбила немцев из сильно укрепленного населённого пункта. Отступая, противник оставил 4 орудия, 7 миномётов, 12 пулемётов, склад с боеприпасами и другие военные материалы. Немцы предприняли несколько ожесточённых попыток вернуть обратно этот населённый пункт. Все контратаки противника были отбиты с большими для него потерями. На подступах к пункту осталось по меньшей мере 300 вражеских трупов и 2 подбитых танка.</w:t>
      </w:r>
    </w:p>
    <w:p w14:paraId="689DF745"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артиллерийское подразделение, действующее на одном из участков Калининского фронта, в течение нескольких дней уничтожило 3 немецких орудия, 16 пулемётных точек, миномётную батарею, взорвало склад с боеприпасами и рассеяло до 3 рот пехоты противника.</w:t>
      </w:r>
    </w:p>
    <w:p w14:paraId="0F240862"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Красноармеец-ездовой тов. Турыгин, возвращаясь после выполнения задания на передовые позиции, увидел три приближающихся к деревне немецких танка. Тов. Турыгин спрятался за сугроб и, когда головной танк врага поравнялся с ним, бросил в машину бутылку с горючей жидкостью. Танк загорелся. Немецкие танкисты были уничтожены отважным бойцом при попытке к бегству. Остальные танки врага повернули обратно.</w:t>
      </w:r>
    </w:p>
    <w:p w14:paraId="746243C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Серов с двумя другими бойцами под огнём противника незаметно пробрался к деревне, занятой немцами, и ворвался в дом, превращенный немцами в укреплённую огневую точку. Во время рукопашной схватки три наших красноармейца уничтожили двух немецких солдат и одного захватили в плен. Остальные гитлеровцы бежали, оставив два станковых пулемёта.</w:t>
      </w:r>
    </w:p>
    <w:p w14:paraId="78D03C7B"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 роты 103 артполка 4 немецкой танковой дивизии Г. Эндеман рассказал: «В декабре и январе наш полк потерял не менее 60 процентов материальной части. Многие рядовые и унтер-офицеры были переведены в пехоту. Я попал в отряд, посланный охранять от партизан дороги, прилегающие к городу О. Нас часто посылали в разведку, но мы ни разу не обнаружили партизан там, где их искали. Недавно у деревни мы были обстреляны из пулемётов, автоматов и винтовок. Нападение было столь внезапным, что никто из нас не успел взяться за оружие. Я был ранен в руку и свалился в снег. Когда я увидел рядом с собой партизан, то подумал, что настал мой последний час, что меня сейчас приколют. Но ничегоподобного не случилось. Два партизана уложили меня в сани и повезли в лес. На первой же стоянке врач перевязал мне руку. В партизанском лагере меня допросили, накормили, а когда наступила темнота, отвезли через линию фронта в одну из советских частей».</w:t>
      </w:r>
    </w:p>
    <w:p w14:paraId="67AD2441"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Колхозники ныне освобождённого от гитлеровцев села Криштоповка, Харьковской области, составили акт о зверствах и грабежах немецких и румынских бандитов. Вступив в село, немцы и румыны заперли в одном из домов 27 мирных </w:t>
      </w:r>
      <w:proofErr w:type="gramStart"/>
      <w:r w:rsidRPr="008127F8">
        <w:rPr>
          <w:rFonts w:ascii="Times New Roman" w:hAnsi="Times New Roman"/>
          <w:color w:val="000000" w:themeColor="text1"/>
          <w:sz w:val="16"/>
          <w:szCs w:val="16"/>
        </w:rPr>
        <w:t>жителей,облили</w:t>
      </w:r>
      <w:proofErr w:type="gramEnd"/>
      <w:r w:rsidRPr="008127F8">
        <w:rPr>
          <w:rFonts w:ascii="Times New Roman" w:hAnsi="Times New Roman"/>
          <w:color w:val="000000" w:themeColor="text1"/>
          <w:sz w:val="16"/>
          <w:szCs w:val="16"/>
        </w:rPr>
        <w:t xml:space="preserve"> дом бензином и сожгли. 10 стариков-колхозников оккупанты расстреляли. Отступая под ударами советских частей, гитлеровцы ограбили всех жителей и сожгли 86 домов.</w:t>
      </w:r>
    </w:p>
    <w:p w14:paraId="7854CF44"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месяца в Германии резко сокращаются и без того голодные нормы выдачи продуктов населению. Достаточно сказать, что норма хлеба для большинства взрослого населения Германии снижается до 285 граммов в день. Когда гитлеровские правители объявили об этом населению, в ряде городов Германии, в том числе в Кельне, Хемнице, Дюссельдорфе, произошли волнения. На некоторых заводах (например, верфи Блом и Фос в Гамбурге, химические предприятия Лейне-Верке в городе Лейна, завод спецстали и ферросплавов в городе Рейдт) рабочие заявили коллективно протест против снижения норм выдачи продовольствия. Это побудило гитлеровских главарей выступить с очередными угрозами по адресу германского народа. Так, в газете «Дас рейх» опубликована статья Геббельса «Разговор по душам». В ней говорится буквально следующее: «Правительство не потерпит, чтобы кто-либо в Германии остался вдали от войны. Кто будет поступать иначе, того ждёт суровая кара вплоть до смертной казни. Всякий, кто укрывает сырьё или товары, карается смертью» и т. д. — всё в этом же стиле. Затем Геббельс заявляет, что война потребует в дальнейшем от германского народа ещё больших жертв.</w:t>
      </w:r>
    </w:p>
    <w:p w14:paraId="68A054F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бандитское выступление подручного Гитлера свидетельствует о дальнейшем росте недовольства германского народа, который видит безнадёжность войны, затеянной Гитлером, и ищет из неё выхода. И это недовольство будет расти с каждым днём, несмотря на угрозы и кровавый террор гитлеровцев.» (15083).</w:t>
      </w:r>
    </w:p>
    <w:p w14:paraId="69E986B0"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3EE0F5C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марта</w:t>
      </w:r>
      <w:r w:rsidRPr="008127F8">
        <w:rPr>
          <w:rFonts w:ascii="Times New Roman" w:hAnsi="Times New Roman"/>
          <w:color w:val="000000" w:themeColor="text1"/>
          <w:sz w:val="16"/>
          <w:szCs w:val="16"/>
        </w:rPr>
        <w:t xml:space="preserve"> в 1942 году вечернее сообщение Совинформбюро:</w:t>
      </w:r>
    </w:p>
    <w:p w14:paraId="574216C8"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29 марта наши войска вели наступательные бои против немецко-фашистских войск, и на некоторых участках фронта заняла несколько населённых пунктов.</w:t>
      </w:r>
    </w:p>
    <w:p w14:paraId="1D70CCAD"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марта уничтожено 37 немецких самолётов. Наши потери — 18 самолётов.</w:t>
      </w:r>
    </w:p>
    <w:p w14:paraId="0B68D068"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28 марта частями нашей авиации уничтожены или повреждены 4 немецких танка, 90 автомашин е войсками и грузами, 20 подвод с боеприпасами, 15 полевых и зенитных орудий, взорвано несколько железнодорожных цистерн с горючим и несколько вагонов с боеприпасами, рассеяно и частью уничтожено до 3 рот пехоты противника.</w:t>
      </w:r>
    </w:p>
    <w:p w14:paraId="4F0FEB2A"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Наши части, действующие на одном из участков Калининского фронта, сломив упорное сопротивление противника, за один день заняли несколько населённых пунктов. Разгромлен 427 немецкий пехотный полк, два батальона которого целиком уничтожены. Гитлеровцы потеряли только убитыми свыше 1.000 солдат и </w:t>
      </w:r>
      <w:proofErr w:type="gramStart"/>
      <w:r w:rsidRPr="008127F8">
        <w:rPr>
          <w:rFonts w:ascii="Times New Roman" w:hAnsi="Times New Roman"/>
          <w:color w:val="000000" w:themeColor="text1"/>
          <w:sz w:val="16"/>
          <w:szCs w:val="16"/>
        </w:rPr>
        <w:t>офицеров.Уничтожено</w:t>
      </w:r>
      <w:proofErr w:type="gramEnd"/>
      <w:r w:rsidRPr="008127F8">
        <w:rPr>
          <w:rFonts w:ascii="Times New Roman" w:hAnsi="Times New Roman"/>
          <w:color w:val="000000" w:themeColor="text1"/>
          <w:sz w:val="16"/>
          <w:szCs w:val="16"/>
        </w:rPr>
        <w:t xml:space="preserve"> 14 миномётов, 20 пулемётов, 40 автомашин, 12 орудий, 51 ДЗОТ. Захвачены трофеи: 6 орудий, 7 миномётов, 7 пулемётов и большое количество боеприпасов. Подсчёт трофеев продолжается. Взято 90 пленных.</w:t>
      </w:r>
    </w:p>
    <w:p w14:paraId="30BD8BB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наша часть заняла два населённых пункта и уничтожила 350 солдат и офицеров противника. Среди захваченных трофеев— 4 орудия, 2 миномёта, 2 станковых пулемёта, а также другое вооружение и военное имущество.</w:t>
      </w:r>
    </w:p>
    <w:p w14:paraId="72A6B78F"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 зенитного орудия лейтенанта тов. Росса за последние несколько дней сбил 6 самолётов противника.</w:t>
      </w:r>
    </w:p>
    <w:p w14:paraId="00DCEA5B"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Поддерживая наше наступающее стрелковое подразделение, артиллеристы под командованием лейтенанта Серебренникова выкатили под огнём противника противотанковое орудие на открытую позицию и открыли стрельбу по вражескимвойскам. Пытаясь остановить наступление наших бойцов, немцы бросили в контратаку 2 танка. Тов. Серебренников перенёс огонь на вражеские танки. После нескольких выстрелов один немецкий танк был подбит, а другой загорелся и повернул обратно.</w:t>
      </w:r>
    </w:p>
    <w:p w14:paraId="36174CD9"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под руководством товарищей О. и Т., действующие на оккупированной немцами территории Ленинградской области, за два дня истребили 95 и ранили до 50 немецких солдат и офицеров. Среди захваченных партизанами трофеев—5 пулемётов, 3 автомата. 26 винтовок, 2 пистолета, свыше 1.000 патронов, 100 ручных гранат и радиостанция.</w:t>
      </w:r>
    </w:p>
    <w:p w14:paraId="36EBE59E"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батальона 465 полка 255 немецкой пехотной дивизии Рудольф Позер рассказал: «В сентябре я был ранен. Лежал в госпиталях в Польше и в Чехии. Что я видел и слышал в тылу? В Чехии саботаж принял очень широкие размеры. Во всех городах немецкие власти расклеили приказы, гласящие, что каждый чех, уличённый в саботаже, будет казнён. Эти приказы я сам видел и читал. Все чехи ждут краха гитлеровской Германии и восстановления своей республики. В лазаретах всюду полно. Все гостиницы таких городов Германии, как Кельн, Дюссельдорф и другие, превращены в лазареты. В лазареты превращены также многие казармы, а Вена представляет, собой город-лазарет. Приехав на фронт, я убедился, что наши войска находятся в очень тяжёлом положении».</w:t>
      </w:r>
    </w:p>
    <w:p w14:paraId="12D4B9F7"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бандиты, отступая, полностью разграбили и сожгли деревню Пересвет-Остров, Ленинградской области. В огне погибли дома колхозников, здание сельсовета, две школы, кооператив, колхозные дворы, сараи и другие постройки. После долгих издевательств и пыток гитлеровские изверги расстреляли ни в чём неповинных жителей деревни Сибрянкова и Захарова.</w:t>
      </w:r>
    </w:p>
    <w:p w14:paraId="05EEEADD"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Смертность среди детей в Германии достигла огромных размеров. Всюду свирепствуют дифтерия и скарлатина. В одном только Дрездене в феврале умерло от голода и заразных болезней 3.940 детей. Все школы в городе закрыты. Медицинская помощь детям не оказывается, так как врачи мобилизованы на фронт. Недавно перед зданием гитлеровской партии состоялась стихийно возникшая демонстрация женщин, требовавших хлеба для детей. В толпе раздавались крики: «Кончайте с проклятой войной!». Вызванная полиция не смогла разогнать толпу. Демонстрация была рассеяна отрядом штурмовиков, открывших стрельбу.».</w:t>
      </w:r>
    </w:p>
    <w:p w14:paraId="39B4C141"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Сокрушительные удары партизанских отрядов Ленинградской области по немецким оккупантам.</w:t>
      </w:r>
    </w:p>
    <w:p w14:paraId="6666B174"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Итоги боевых действий ленинградских партизан за 8 месяцев.</w:t>
      </w:r>
    </w:p>
    <w:p w14:paraId="0CB29CFD"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месяцев Отечественной войны партизаны Ленинградской области нанесли немецким оккупантам огромный урон в живой силе и боевой технике. Партизанскими отрядами за этот период уничтожено 16.075 солдат, 629 офицеров, 11 полковников и 3 немецких генерала, расстреляно 67 агентов гестапо, 163 шпиона и предателя. Взято в плен 116 немецких солдат и 11 офицеров.</w:t>
      </w:r>
    </w:p>
    <w:p w14:paraId="3B3D5453"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организовали 114 крушений поездов, в результате чего было разбито свыше 700 вагонов с боеприпасами, техникой и гитлеровскими солдатами.</w:t>
      </w:r>
    </w:p>
    <w:p w14:paraId="3AD8D9C1"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месяцев войны партизаны разгромили 8 штабов воинских частей и соединений противника, уничтожили 89 немецких самолётов, 98 танков и танкеток, 25 бронемашин, 1.693 грузовых автомашин и автобусов, 188 легковых автомашин, 99 цистерн с горючим, 362 мотоцикла, 235 велосипедов, 64 трактора-тягача и дрезины, 27 орудий, 69 пулемётов и миномётов, 274 повозки с боеприпасами, продовольствием и военным имуществом, 359 лошадей. Повреждено и уничтожено 529 узлов и линий связи.</w:t>
      </w:r>
    </w:p>
    <w:p w14:paraId="2C26A6A5"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ленинградскими партизанами взорвано и подожжено 2 вагона с боеприпасами, 125 складов с боеприпасами, горючим и обмундированием, 5 железнодорожных станций, 388 шоссейных и железнодорожных мостов, взорвано железнодорожное полотно в 77 местах, разрушено 18 телефонных и радиостанций.</w:t>
      </w:r>
    </w:p>
    <w:p w14:paraId="61D3C023"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с гитлеровцами партизаны захватили трофеи: самолёт, 2 орудия, 54 пулемёта, 5 миномётов, 75 автоматов, свыше 200 винтовок, 54 пистолета, 3 автомашины, 2 мотоцикла, 54 подводы с продовольствием и военным имуществом, 113 лошадей, 8 радиостанций, свыше 27.600 ружейных патронов, 3.000 снарядов, 300 мин, 230 гранат и, кроме того, десятки ящиков с различными боеприпасами, 150 пар лыж и другое военное имущество.» (15083).</w:t>
      </w:r>
    </w:p>
    <w:p w14:paraId="137EE166"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0599C2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марта 1942 6-е отдельное корректировочное звено, которым командовал младший лейтенант П.К.Жилинский, на Кертисс Оул вылетело на фронт под Ленинград. При промежуточной посадке в Череповце самолет летчика Афонина перевернулся, сильно повредив одну стойку шасси, стабилизатор и мотор. Оставив разбитую машину, пять разведчиков в тот же день продолжили свой путь на аэродром Плеханове. Уже на подходе к цели па строп 0-52 обрушилась пятерка "мессершмиттов". Спасая товарищей, Жилинский таранил одного из противников. Оба самолета рухнули на землю. Жилинский погиб. Немецкий летчик выпрыгнул с парашютом и был взят в плен. Летнаба командирской машины младшего лейтенанта С.И.Новорожкипа при ударе выбросило из кабины, но он сумел раскрыть парашют и отделался ушибами. Жилинского посмертно наградили орденом Боевого Красного знамени. Оставшиеся четыре самолета 1 апреля перелетели па аэродром Левашове, а спустя три дня - в Сосновку. При взлете в Левашове </w:t>
      </w:r>
      <w:proofErr w:type="gramStart"/>
      <w:r w:rsidRPr="008127F8">
        <w:rPr>
          <w:rFonts w:ascii="Times New Roman" w:hAnsi="Times New Roman"/>
          <w:color w:val="000000" w:themeColor="text1"/>
          <w:sz w:val="16"/>
          <w:szCs w:val="16"/>
        </w:rPr>
        <w:t>старший лейтенант Пропп</w:t>
      </w:r>
      <w:proofErr w:type="gramEnd"/>
      <w:r w:rsidRPr="008127F8">
        <w:rPr>
          <w:rFonts w:ascii="Times New Roman" w:hAnsi="Times New Roman"/>
          <w:color w:val="000000" w:themeColor="text1"/>
          <w:sz w:val="16"/>
          <w:szCs w:val="16"/>
        </w:rPr>
        <w:t xml:space="preserve"> набрав высоту 30 м, потерял управление и разбил машину; экипаж остался жив. Из Сосновки сильно поредевшее звено начало свою боевую работу. "Совы" использовались как самолеты связи, вели ближнюю визуальную и фоторазведку, корректировали огонь тяжелых орудий, выполняли спецзадания НКВД - забрасывали парашютистов во вражеский тыл. Районами их действий являлись Мга, Пушкино, Шлиссельбург, Ропша, Гатчина. Тихоходный, слабо вооруженный, не имеющий бронезащиты самолет оказался совершенно непригодным для боевых операций при свете дня. При дневных вылетах 0-52 приходилось прикрывать тремя-четырьмя истребителями. Поэтому "Совы" вполне резонно перешли на "ночной образ жизни". На дневные полеты приходилось не более одной шестой от общего количества боевых вылетов. В начале мая 1943 на базу не вернулся экипаж младшего лейтенанта Мухара. В звене остались только две машины. В начале июня 6-е и 7-е звенья слили в 12-ю эскадрилью. Два оставшихся в эскадрилье 0-52 (с номерами 131 и 142) эксплуатировались и далее. Характер боевых задач в 1943 году оставался в основном тем же - связь, корректировка артогня, сброс листовок над немецкими позициями. Самолеты незнакомых очертаний частенько обстреливала своя же зенитная артиллерия. Начальнику штаба эскадрильи капитану Новикову пришлось разослать в части ПВО 40 фотоснимков 0-52, чтобы его не принимали за вражескую машину. В конце года 12-я эскадрилья почти полностью перешла на Ил-2 КР-специальный корректировочный вариант знаменитого штурмовика. 0-52 также использовались как учебные машины в 22-м запасном полку. Применяли их и как самолеты связи, например, один самолет имелся в полку инспекции ВВС. Несмотря на малочисленность и нехватку запчастей, последние 0-52 прожили в пашей стране довольно долго. В частности, в 13-й воздушной армии па 1 мая 1944 года имелись еще две исправных "Совы". Они принадлежали уже упоминавшейся 12-й эскадрилье, стоявшей на аэродроме Черпево. Но крайней мере одна машина пережила войну и в первые послевоенные годы эксплуатировалась гражданской авиацией.</w:t>
      </w:r>
    </w:p>
    <w:p w14:paraId="76B43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1940 года на вооружение приняли серийные OS2U-1 Воут. Имя "Кипгфишер" ("Зимородок") самолету дали англичане, когда с лета 1942 года начали получать их по ленд-лизу (3457,127).</w:t>
      </w:r>
    </w:p>
    <w:p w14:paraId="7B0D5E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7825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г. вышел ПРИКАЗ СТАВКИ ВЕРХОВНОГО ГЛАВНОКОМАНДОВАНИЯ № 0224 О НАЗНАЧЕНИИ ГЕНЕРАЛ-МАЙОРА АВИАЦИИ А. Е. ГОЛОВАНОВА КОМАНДУЮЩИМ АВИАЦИЕЙ ДАЛЬНЕГО ДЕЙСТВИЯ</w:t>
      </w:r>
    </w:p>
    <w:p w14:paraId="2E7F4F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Назначить генерал-майора авиации Голованова А. Е. с 24 февраля 1942 г. командующим авиацией дальнего действия Ставки Верховного Главнокомандования.</w:t>
      </w:r>
    </w:p>
    <w:p w14:paraId="650FD3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Ставка Верховного Главнокомандования И. СТАЛИН, Б. ШАПОШНИКОВ (9844).</w:t>
      </w:r>
    </w:p>
    <w:p w14:paraId="2B4482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6B0C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марта 1942 для 12-й отдельной корректировочной АЭ перегоняли из Иванова в Ленинград 6 ленд-лизовских Curtiss 0-52 Owl. При подходе к аэродрому Плеханове тихоходные корректировщики были внезапно атакованы “мессерами”. Спасая товарищей, командир звена мл. л-т Жилинский Петр Казимирович лобовым тараном уничтожил одного из нападавших. Жилинский погиб, а его летчик-наблюдатель Новорожкин Самуил Израилевич был выброшен во время тарана из кабины и сумел раскрыть парашют. Немцы признали потерю в тот день “по неизвестной причине” Bf 109F-4 (w/n 7487) из </w:t>
      </w:r>
      <w:proofErr w:type="gramStart"/>
      <w:r w:rsidRPr="008127F8">
        <w:rPr>
          <w:rFonts w:ascii="Times New Roman" w:hAnsi="Times New Roman"/>
          <w:color w:val="000000" w:themeColor="text1"/>
          <w:sz w:val="16"/>
          <w:szCs w:val="16"/>
        </w:rPr>
        <w:t>8./</w:t>
      </w:r>
      <w:proofErr w:type="gramEnd"/>
      <w:r w:rsidRPr="008127F8">
        <w:rPr>
          <w:rFonts w:ascii="Times New Roman" w:hAnsi="Times New Roman"/>
          <w:color w:val="000000" w:themeColor="text1"/>
          <w:sz w:val="16"/>
          <w:szCs w:val="16"/>
        </w:rPr>
        <w:t>JG 54. Его летчик ефрейтор И. Гофер числится пропавшим без вести. Согласно советским данным, он угодил в плен. В некоторых зарубежных источниках говорится, что “Мессершмитт” погиб при столкновении со сбитым советским самолетом (10205).</w:t>
      </w:r>
    </w:p>
    <w:p w14:paraId="78F9FF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C3E1D" w14:textId="6178F069"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марта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На станции Ржевка произошел сильнейший взрыв. Этим утром район станции Ржевка, поселок Ржевка и завод "Краснознаменец" подверглись интенсивному артиллерийскому обстрелу из дальнобойных орудий. Это было впервые с начала войны. Да и вообще район Ржевки до сих пор считался глубоким тылом - до линии </w:t>
      </w:r>
      <w:proofErr w:type="gramStart"/>
      <w:r w:rsidRPr="008127F8">
        <w:rPr>
          <w:rFonts w:ascii="Times New Roman" w:hAnsi="Times New Roman"/>
          <w:color w:val="000000" w:themeColor="text1"/>
          <w:sz w:val="16"/>
          <w:szCs w:val="16"/>
        </w:rPr>
        <w:t>фронта с любой стороны</w:t>
      </w:r>
      <w:proofErr w:type="gramEnd"/>
      <w:r w:rsidRPr="008127F8">
        <w:rPr>
          <w:rFonts w:ascii="Times New Roman" w:hAnsi="Times New Roman"/>
          <w:color w:val="000000" w:themeColor="text1"/>
          <w:sz w:val="16"/>
          <w:szCs w:val="16"/>
        </w:rPr>
        <w:t xml:space="preserve"> не меньше 22-25 километров.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Но на этот раз у немцев видимо был резон расходовать снаряды, стреляя на пределе дальности: к моменту катастрофы на путях станции находилось около 400 вагонов, из которых 130 были с боеприпасами, а прочие - с пустой тарой из-под ВВ, теплушки и пассажирские вагоны с эвакуируемыми из города женщинами, детьми и ранеными.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Обычно такого скопления не было. Но рядом со станцией находился </w:t>
      </w:r>
      <w:r w:rsidRPr="008127F8">
        <w:rPr>
          <w:rFonts w:ascii="Times New Roman" w:hAnsi="Times New Roman"/>
          <w:color w:val="000000" w:themeColor="text1"/>
          <w:sz w:val="16"/>
          <w:szCs w:val="16"/>
        </w:rPr>
        <w:lastRenderedPageBreak/>
        <w:t xml:space="preserve">(и до сих пор находится) НИМАП - научно-исследовательский морской артиллерийский полигон. Во время блокады лаборатории полигона занимались подготовкой боеприпасов - заряжали снаряды взрывчаткой, если </w:t>
      </w:r>
      <w:proofErr w:type="gramStart"/>
      <w:r w:rsidRPr="008127F8">
        <w:rPr>
          <w:rFonts w:ascii="Times New Roman" w:hAnsi="Times New Roman"/>
          <w:color w:val="000000" w:themeColor="text1"/>
          <w:sz w:val="16"/>
          <w:szCs w:val="16"/>
        </w:rPr>
        <w:t>по простому</w:t>
      </w:r>
      <w:proofErr w:type="gramEnd"/>
      <w:r w:rsidRPr="008127F8">
        <w:rPr>
          <w:rFonts w:ascii="Times New Roman" w:hAnsi="Times New Roman"/>
          <w:color w:val="000000" w:themeColor="text1"/>
          <w:sz w:val="16"/>
          <w:szCs w:val="16"/>
        </w:rPr>
        <w:t>. За сутки изготавливалось свыше 7 тыс. артиллерийских выстрелов и 3 тыс. мин.</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вот в конце марта по недосмотру (согласно выводам официальной комиссии) начальника НИМАП на станции Ржевка скопилось большое количество вагонов с аммотолом, предназначавшимся для снаряжения минометных мин. Противник, обнаружив необычное скопление вагонов вблизи полигона, нанес по нему мощный артиллерийский удар 240-мм орудиями, вызвав одновременный подрыв свыше 70 вагонов с боезапасом.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 результате взрыва на полигоне и в окрестностях было убито и ранено свыше тысячи человек, выведена из строя (фактически полностью уничтожена) железнодорожная станция и причинены значительные разрушения самому полигону...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(22553).</w:t>
      </w:r>
    </w:p>
    <w:p w14:paraId="0697C856"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36494AF6" w14:textId="68581077" w:rsidR="00710D36" w:rsidRPr="008127F8" w:rsidRDefault="00710D3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D33A6AB" w14:textId="77777777" w:rsidR="00710D36" w:rsidRPr="008127F8" w:rsidRDefault="00710D3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0C0987F"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при налете вражеской авиации 50-килограммовая фугасная бомба упала в Тайницкий сад, напротив Безымянной башни, и попала в машину с боеприпасами. Было уничтожено 39 снарядов, 171 винтовочный патрон, два грузовика. Взрывной волной разбило часть стекол в здании УКМК. Человеческих жертв не было. И это была последняя из восьми бомбардировок Московского Кремля</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21004).</w:t>
      </w:r>
    </w:p>
    <w:p w14:paraId="37A70898"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29C3B118" w14:textId="34CD90AA"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36DBF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4F23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года</w:t>
      </w:r>
    </w:p>
    <w:p w14:paraId="5B03DF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У. ЧЕРЧИЛЛЮ *</w:t>
      </w:r>
    </w:p>
    <w:p w14:paraId="3EA570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ЛИЧНО И СЕКРЕТНО</w:t>
      </w:r>
    </w:p>
    <w:p w14:paraId="6BDCDD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Благодарю Вас за послание, переданное мне на днях г. Керром. Я имел беседу с г. Керром, и у меня создалось убеждение, что наша совместная работа будет протекать в атмосфере полного взаимного доверия.</w:t>
      </w:r>
    </w:p>
    <w:p w14:paraId="133C44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Выражаю Вам признательность Советского Правительства за заверение, что Правительство Великобритании будет рассматривать всякое использование немцами ядовитых газов против СССР так же, как если бы это оружие было направлено против Великобритании, и что британские военно-воздушные силы не преминут немедленно использовать имеющиеся в Англии большие запасы газовых бомб для сбрасывания на подходящие объекты Германии.</w:t>
      </w:r>
    </w:p>
    <w:p w14:paraId="0A26EC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нашим данным, не только немцы, но и финны могут начать применение ядовитых газов против СССР. Я бы хотел, чтобы сказанное в Вашем послании о Германии насчет ответных газовых атак против Германии было распространено также на Финляндию на случай, если последняя нападет на СССР с применением ядовитых газов.</w:t>
      </w:r>
    </w:p>
    <w:p w14:paraId="125511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думаю, что было бы вполне целесообразно, если бы Британское Правительство выступило в ближайшее время с публичным предупреждением о том, что Англия будет рассматривать применение ядовитых газов против СССР со стороны Германии или Финляндии так же, как если бы это нападение было произведено против самой Англии, и что Англия ответила бы на это применением газов против Германии.</w:t>
      </w:r>
    </w:p>
    <w:p w14:paraId="648121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Понятно, что, если Британское Правительство пожелает, СССР готов в свою очередь сделать аналогичное предупреждение Германии, имея в виду возможное газовое нападение Германии на Англию.</w:t>
      </w:r>
    </w:p>
    <w:p w14:paraId="490034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Правительство СССР считает, что выступление Британского Правительства с указанным выше предупреждением Германии следовало бы произвести не позже конца апреля или начала мая.</w:t>
      </w:r>
    </w:p>
    <w:p w14:paraId="27D7E4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Советское Правительство было бы весьма благодарно, если бы Британское Правительство могло помочь СССР получить в Англии некоторые недостающие химические средства обороны, а также средства ответного химического удара, имея в виду возможность химического нападения Германии на СССР. Если с Вашей стороны не будет возражений, я мог бы в ближайшее же время направить в Англию специальное лицо по этому делу (7430).</w:t>
      </w:r>
    </w:p>
    <w:p w14:paraId="205A70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D1DB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E8950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E68928"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английская авиация подвергла бомбардировке историческую часть г. Любек (Германия), за что Гитлер приказал бомбить памятники английской культуры (цели выбирались по туристическому справочнику) (4962).</w:t>
      </w:r>
    </w:p>
    <w:p w14:paraId="1B286926"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69152" w14:textId="77777777" w:rsidR="000649A1" w:rsidRPr="008127F8" w:rsidRDefault="000649A1"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марта</w:t>
      </w:r>
      <w:r w:rsidRPr="008127F8">
        <w:rPr>
          <w:rFonts w:ascii="Times New Roman" w:hAnsi="Times New Roman"/>
          <w:color w:val="000000" w:themeColor="text1"/>
          <w:sz w:val="16"/>
          <w:szCs w:val="16"/>
        </w:rPr>
        <w:t xml:space="preserve"> в 1942 году совершен налет 234 английских бомбардировщиков на немецкий город Любек, разрушено около 80 гектаров площади исторической части города. За это Гитлер приказал бомбить памятники английской культуры (цели выбирались по туристическому справочнику) (15083).</w:t>
      </w:r>
    </w:p>
    <w:p w14:paraId="2C11F1AC" w14:textId="77777777" w:rsidR="000649A1" w:rsidRPr="008127F8" w:rsidRDefault="000649A1" w:rsidP="001E0A84">
      <w:pPr>
        <w:spacing w:after="0" w:line="240" w:lineRule="auto"/>
        <w:jc w:val="both"/>
        <w:rPr>
          <w:rFonts w:ascii="Times New Roman" w:hAnsi="Times New Roman"/>
          <w:color w:val="000000" w:themeColor="text1"/>
          <w:sz w:val="16"/>
          <w:szCs w:val="16"/>
        </w:rPr>
      </w:pPr>
    </w:p>
    <w:p w14:paraId="1F61F728"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HMS Eagle осуществляет третью доставку «Спитфайров» на Мальту, доставив семь (20793).</w:t>
      </w:r>
    </w:p>
    <w:p w14:paraId="0C538DFB"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7C7A7E7E"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29–30 марта (ночь) 1942 в эксперименте, чтобы выяснить, может ли первая волна бомбардировщиков вызвать пожар в центре города, который направит более поздние волны бомбардировщиков на город во время бомбардировки района, 234 британских бомбардировщика атакуют Любек, Германия. Эксперимент удался: центр Любека в значительной степени разрушен, более 300 человек убиты (20793).</w:t>
      </w:r>
    </w:p>
    <w:p w14:paraId="02539D57"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4771292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в Китае провозглашена всеобщая мобилизация (4962).</w:t>
      </w:r>
    </w:p>
    <w:p w14:paraId="5B43A21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D40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1942 на Филиппинах была образована антияпонская армия Хукбалахап (3186).</w:t>
      </w:r>
    </w:p>
    <w:p w14:paraId="2D836A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797CC"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9773C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8DC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ВВС решил провести повторные летные испытания 37 мм пушки 11П и была поставлена задача переделать эту пушку под патрон с гильзой без бурта, т.е к Ш-37 (3996, 125).</w:t>
      </w:r>
    </w:p>
    <w:p w14:paraId="2C47AE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F08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базе мастерских в Воронеже образован Ремонтный завод при Главремуправлении НКАП. Далее он преобразован в филиал завода № 18 НКАП, начальник филиала- Сердюк. В соответствии с пост. СНК № 913-472сс от 11.06.1942 г. и приказом № 287с от 16.04.1942 г. филиал реорганизован в ГС Завод № 450 НКАП.</w:t>
      </w:r>
    </w:p>
    <w:p w14:paraId="570703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529с от 16.07.1942 г. завод № 450 со всем личным составом и оборудованием переведен в Пензу и влит в состав завода № 163 НКАП.</w:t>
      </w:r>
    </w:p>
    <w:p w14:paraId="432132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этом месте сформирован новый завод № 64 НКАП (11982).</w:t>
      </w:r>
    </w:p>
    <w:p w14:paraId="6B9C8F94" w14:textId="77777777" w:rsidR="000649A1" w:rsidRPr="008127F8" w:rsidRDefault="000649A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D0A7D" w14:textId="440243AB" w:rsidR="001F6ABD" w:rsidRPr="008127F8" w:rsidRDefault="001F6A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марта 1942 года на базе площадки завода № 18 в Воронеже был организован </w:t>
      </w:r>
      <w:proofErr w:type="gramStart"/>
      <w:r w:rsidRPr="008127F8">
        <w:rPr>
          <w:rFonts w:ascii="Times New Roman" w:hAnsi="Times New Roman"/>
          <w:color w:val="000000" w:themeColor="text1"/>
          <w:sz w:val="16"/>
          <w:szCs w:val="16"/>
        </w:rPr>
        <w:t>ремонтный</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450 по ремонту фронтовых самолетов всех типов и марок (это реэвакуация). Завод № 450 существовал до 5 июля 1942 года, до дня занятия правобережного Воронежа немцами. По приказу </w:t>
      </w:r>
      <w:proofErr w:type="gramStart"/>
      <w:r w:rsidRPr="008127F8">
        <w:rPr>
          <w:rFonts w:ascii="Times New Roman" w:hAnsi="Times New Roman"/>
          <w:color w:val="000000" w:themeColor="text1"/>
          <w:sz w:val="16"/>
          <w:szCs w:val="16"/>
        </w:rPr>
        <w:t>ГКО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450 (коллектив и оборудование) был эвакуирован 16 июля 1942 гогда в Пензу и влился в коллектив завода № 163. С 01.08.1942 исключён из списка действующих (19829).</w:t>
      </w:r>
    </w:p>
    <w:p w14:paraId="70C842A3" w14:textId="77777777" w:rsidR="001F6ABD" w:rsidRPr="008127F8" w:rsidRDefault="001F6ABD" w:rsidP="001E0A84">
      <w:pPr>
        <w:spacing w:after="0" w:line="240" w:lineRule="auto"/>
        <w:jc w:val="both"/>
        <w:rPr>
          <w:rFonts w:ascii="Times New Roman" w:hAnsi="Times New Roman"/>
          <w:color w:val="000000" w:themeColor="text1"/>
          <w:sz w:val="16"/>
          <w:szCs w:val="16"/>
        </w:rPr>
      </w:pPr>
    </w:p>
    <w:p w14:paraId="4DB150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на базе мастерских, созданных в декабре 1941 на площадке эвакуированного завода № 18, был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 Завод №450 НКАП.</w:t>
      </w:r>
    </w:p>
    <w:p w14:paraId="2663ED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6299386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1945 г. началась сборка Ил-4 из готовых комплектующих.</w:t>
      </w:r>
    </w:p>
    <w:p w14:paraId="2B16C4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8127F8">
        <w:rPr>
          <w:rFonts w:ascii="Times New Roman" w:hAnsi="Times New Roman"/>
          <w:color w:val="000000" w:themeColor="text1"/>
          <w:sz w:val="16"/>
          <w:szCs w:val="16"/>
          <w:vertAlign w:val="superscript"/>
        </w:rPr>
        <w:t>р</w:t>
      </w:r>
      <w:r w:rsidRPr="008127F8">
        <w:rPr>
          <w:rFonts w:ascii="Times New Roman" w:hAnsi="Times New Roman"/>
          <w:smallCaps/>
          <w:color w:val="000000" w:themeColor="text1"/>
          <w:sz w:val="16"/>
          <w:szCs w:val="16"/>
        </w:rPr>
        <w:t>нуч</w:t>
      </w:r>
      <w:r w:rsidRPr="008127F8">
        <w:rPr>
          <w:rFonts w:ascii="Times New Roman" w:hAnsi="Times New Roman"/>
          <w:color w:val="000000" w:themeColor="text1"/>
          <w:sz w:val="16"/>
          <w:szCs w:val="16"/>
        </w:rPr>
        <w:t>1*</w:t>
      </w:r>
      <w:r w:rsidRPr="008127F8">
        <w:rPr>
          <w:rFonts w:ascii="Times New Roman" w:hAnsi="Times New Roman"/>
          <w:smallCaps/>
          <w:color w:val="000000" w:themeColor="text1"/>
          <w:sz w:val="16"/>
          <w:szCs w:val="16"/>
        </w:rPr>
        <w:t xml:space="preserve">г </w:t>
      </w:r>
      <w:r w:rsidRPr="008127F8">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236EFC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Представителем ОКБ-240 на заводе </w:t>
      </w:r>
      <w:proofErr w:type="gramStart"/>
      <w:r w:rsidRPr="008127F8">
        <w:rPr>
          <w:rFonts w:ascii="Times New Roman" w:hAnsi="Times New Roman"/>
          <w:color w:val="000000" w:themeColor="text1"/>
          <w:sz w:val="16"/>
          <w:szCs w:val="16"/>
        </w:rPr>
        <w:t>был  Г.Е.</w:t>
      </w:r>
      <w:proofErr w:type="gramEnd"/>
      <w:r w:rsidRPr="008127F8">
        <w:rPr>
          <w:rFonts w:ascii="Times New Roman" w:hAnsi="Times New Roman"/>
          <w:color w:val="000000" w:themeColor="text1"/>
          <w:sz w:val="16"/>
          <w:szCs w:val="16"/>
        </w:rPr>
        <w:t xml:space="preserve">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73DD9F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w:t>
      </w:r>
      <w:r w:rsidRPr="008127F8">
        <w:rPr>
          <w:rFonts w:ascii="Times New Roman" w:hAnsi="Times New Roman"/>
          <w:color w:val="000000" w:themeColor="text1"/>
          <w:sz w:val="16"/>
          <w:szCs w:val="16"/>
          <w:lang w:val="en-US"/>
        </w:rPr>
        <w:t>CMCCGP</w:t>
      </w:r>
      <w:r w:rsidRPr="008127F8">
        <w:rPr>
          <w:rFonts w:ascii="Times New Roman" w:hAnsi="Times New Roman"/>
          <w:color w:val="000000" w:themeColor="text1"/>
          <w:sz w:val="16"/>
          <w:szCs w:val="16"/>
        </w:rPr>
        <w:t xml:space="preserve"> № 713-342 от 26.06.1957 г. передан в Воронежский СНХ РСФСР,</w:t>
      </w:r>
    </w:p>
    <w:p w14:paraId="183325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7D2062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5E6309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Был построен корпус № 2 с пролетом 100 м для окончательной сборки Ту-144.</w:t>
      </w:r>
    </w:p>
    <w:p w14:paraId="187613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04CC5D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2F2A0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Изготавливал комплектующие для ОК «Буран».</w:t>
      </w:r>
    </w:p>
    <w:p w14:paraId="7B3315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71D2F5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452C61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(1.04.2003 г.)- 10.570 чел.</w:t>
      </w:r>
    </w:p>
    <w:p w14:paraId="529C0C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478CD7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0137BE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529818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(2004 г.)- В.В. Кефели. Гл. диспетчер (1972 г.-)- Ю.Т. Киреев.</w:t>
      </w:r>
    </w:p>
    <w:p w14:paraId="2FF957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Центра маркетинга и продаж (2005 г.)- В.А. Тулупов.</w:t>
      </w:r>
    </w:p>
    <w:p w14:paraId="0BAF52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сборочного- Ю.Т. Киреев; сотовых конструкций- Ю.Т. Киреев.</w:t>
      </w:r>
    </w:p>
    <w:p w14:paraId="5FF346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(1950-е)- Вульман.</w:t>
      </w:r>
    </w:p>
    <w:p w14:paraId="12EC3E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СКО (1950-е)- Мачурин.</w:t>
      </w:r>
    </w:p>
    <w:p w14:paraId="0C3909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самолеты: Ил-4 (1945-), Ил-10 (1947-49), Ил-12 (1949-), Ил-28 (1949-54), Ту-16 (1955-57)- 165</w:t>
      </w:r>
      <w:r w:rsidRPr="008127F8">
        <w:rPr>
          <w:rFonts w:ascii="Times New Roman" w:hAnsi="Times New Roman"/>
          <w:color w:val="000000" w:themeColor="text1"/>
          <w:sz w:val="16"/>
          <w:szCs w:val="16"/>
          <w:vertAlign w:val="superscript"/>
        </w:rPr>
        <w:t>31</w:t>
      </w:r>
      <w:r w:rsidRPr="008127F8">
        <w:rPr>
          <w:rFonts w:ascii="Times New Roman" w:hAnsi="Times New Roman"/>
          <w:color w:val="000000" w:themeColor="text1"/>
          <w:sz w:val="16"/>
          <w:szCs w:val="16"/>
        </w:rPr>
        <w:t>; Ан-10 (1957-12.1959), Ан-ЮА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0340EA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БПЛА: ДБР-1 «Ястреб» (1962-72)- 52, «Стриж», «Рейс»;</w:t>
      </w:r>
    </w:p>
    <w:p w14:paraId="6C7033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277B0F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8127F8">
        <w:rPr>
          <w:rFonts w:ascii="Times New Roman" w:hAnsi="Times New Roman"/>
          <w:color w:val="000000" w:themeColor="text1"/>
          <w:sz w:val="16"/>
          <w:szCs w:val="16"/>
          <w:lang w:val="en-US"/>
        </w:rPr>
        <w:t>Ms</w:t>
      </w:r>
      <w:r w:rsidRPr="008127F8">
        <w:rPr>
          <w:rFonts w:ascii="Times New Roman" w:hAnsi="Times New Roman"/>
          <w:color w:val="000000" w:themeColor="text1"/>
          <w:sz w:val="16"/>
          <w:szCs w:val="16"/>
        </w:rPr>
        <w:t xml:space="preserve"> самолета в серии (11982).</w:t>
      </w:r>
    </w:p>
    <w:p w14:paraId="3719EC70" w14:textId="77777777" w:rsidR="000649A1" w:rsidRPr="008127F8" w:rsidRDefault="000649A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04A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вышел приказ НКАП N 238сс</w:t>
      </w:r>
    </w:p>
    <w:p w14:paraId="528D74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N 1509 от 29 марта 1942 обязало НКАП оборудовать все выпускаемые самолеты ТБ-7 доп. бензобаками и маслобаками.</w:t>
      </w:r>
    </w:p>
    <w:p w14:paraId="17CDD2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этого постановления:</w:t>
      </w:r>
    </w:p>
    <w:p w14:paraId="4E2166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10 ГУ Тарасевичу и директору завода 22 Окулову</w:t>
      </w:r>
    </w:p>
    <w:p w14:paraId="726145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все выпускаемые ТБ-7 оборудовать доп. бензобаками емкостью 3600 л и доп. маслобаками емкостью 1160 л</w:t>
      </w:r>
    </w:p>
    <w:p w14:paraId="18A1A9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все самолеты ТБ-7, поступающие из АДД для смены моторов, оборудовать также бензо и маслобаками указанной в п. а емкости" (1542,75).</w:t>
      </w:r>
    </w:p>
    <w:p w14:paraId="0D02E2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AD796"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года Ермолаев направил в ЦК письмо, предлагая возобновить серийный выпуск М-30. К проектированию летающей лаборатории для их испытаний он подошел с позиций создания боевого самолета, не ограничившись увеличенным центропланом под винты ВИШ-24Т с увеличенным до 4,1 м диаметром. Прочность была пересчитана под больший вес. Кабину летчика сделали шире на 100 мм, гнутые лобовые стекла заменили плоскими, которые не давали искажений, часть панелей стала сбрасываемой для аварийного покидания кабины летчиком. Штурман прыгал с парашютом через свой люк, а стрелки в фюзеляже — через свой, а не через неудобную прорезь под нижний пулемет. Старые пулеметные установки заменили современными с пулеметами УБ12,7. Носовая и нижняя, разработанные в ОКБ-134, были легче и надежнее старых, электропривод верхней установки ТУМ-2, заменившей ТАТ-БТ первых Ер-2, обеспечивал полный оборот башни за 6 секунд. Экипаж защищали 180 кг брони, баки имели протектор и наддув выхлопными газами, а отбиравший от них избыточное тепло заборный воздух подавался в кабины. Бомбовое вооружение было по типу самолета Ер-2 2МБ-100. Оно получило высокую оценку, но для этого пришлось фюзеляж сделать шире, пожертвовав технологической преемственностью и сорвав срок сдачи машины, которая была построена заводом №134 не в мае 1942 года по плану, а в сентябре (22871).</w:t>
      </w:r>
    </w:p>
    <w:p w14:paraId="74FD5A0C"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42A599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л ЛИИ в Новосибирске М.К.Байкалов совершил аварию при испытаниях Як-1. Садился с убранной левой и выпущенной неисправной правой лыжей (2108).</w:t>
      </w:r>
    </w:p>
    <w:p w14:paraId="65FED2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B47E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Кулагин по своей инстанции (зачастую более действенной) направил письмо секретарю ЦК ВКП(б) Маленкову:</w:t>
      </w:r>
    </w:p>
    <w:p w14:paraId="0C33A7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«Докладываю, что одноместные истребительные са</w:t>
      </w:r>
      <w:r w:rsidRPr="008127F8">
        <w:rPr>
          <w:rFonts w:ascii="Times New Roman" w:hAnsi="Times New Roman"/>
          <w:color w:val="000000" w:themeColor="text1"/>
          <w:sz w:val="16"/>
          <w:szCs w:val="16"/>
        </w:rPr>
        <w:softHyphen/>
        <w:t>молеты с моторами воздушного охлаждения И-185 с М-71 и И-185 с М-82А конструкции Н.Н.Поликарпова закончили совместные заводские и государственные ис</w:t>
      </w:r>
      <w:r w:rsidRPr="008127F8">
        <w:rPr>
          <w:rFonts w:ascii="Times New Roman" w:hAnsi="Times New Roman"/>
          <w:color w:val="000000" w:themeColor="text1"/>
          <w:sz w:val="16"/>
          <w:szCs w:val="16"/>
        </w:rPr>
        <w:softHyphen/>
        <w:t>пытания. Получены данные на самолете с М-71:</w:t>
      </w:r>
    </w:p>
    <w:p w14:paraId="349EF72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макс, у земли на номинале мотора - 521 км/ч,</w:t>
      </w:r>
    </w:p>
    <w:p w14:paraId="517C51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максимальная на 500 м с форсажем - 556 км/ч,</w:t>
      </w:r>
    </w:p>
    <w:p w14:paraId="293E87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максимальная на 6170 м — 630 км/ч,</w:t>
      </w:r>
    </w:p>
    <w:p w14:paraId="5EE654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скороподъемность на 5000 м - 5,2 мин,</w:t>
      </w:r>
    </w:p>
    <w:p w14:paraId="453A110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виража на 1000 м - 23 сек,</w:t>
      </w:r>
    </w:p>
    <w:p w14:paraId="5FAB4E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расчетная на 0,9 макс, скорости - 835 км,</w:t>
      </w:r>
    </w:p>
    <w:p w14:paraId="49F6DB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на взлете - 300 м,</w:t>
      </w:r>
    </w:p>
    <w:p w14:paraId="1E5953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 при посадке - 350 м.</w:t>
      </w:r>
    </w:p>
    <w:p w14:paraId="63F1C84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отзывам летчиков самолет в пилотировании прост и доступен летчикам средней и ниже средней квалифика</w:t>
      </w:r>
      <w:r w:rsidRPr="008127F8">
        <w:rPr>
          <w:rFonts w:ascii="Times New Roman" w:hAnsi="Times New Roman"/>
          <w:color w:val="000000" w:themeColor="text1"/>
          <w:sz w:val="16"/>
          <w:szCs w:val="16"/>
        </w:rPr>
        <w:softHyphen/>
        <w:t>ции, может эксплуатироваться с полевых аэродромов и будет легко освоен летчиками, летающими на И-16.</w:t>
      </w:r>
    </w:p>
    <w:p w14:paraId="4D9C30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заключению ЛИИ самолет И-185 безопасен в штопоре до 2-х витков.</w:t>
      </w:r>
    </w:p>
    <w:p w14:paraId="7BEDD1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испытании в ЛИИ этот самолет поднимал 500 кг бомб (2 бомбы по 250 кг), взлетал и садился с 400 кг бомб.</w:t>
      </w:r>
    </w:p>
    <w:p w14:paraId="6D8437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И-185 с М-82А проведено испытание 3-х син</w:t>
      </w:r>
      <w:r w:rsidRPr="008127F8">
        <w:rPr>
          <w:rFonts w:ascii="Times New Roman" w:hAnsi="Times New Roman"/>
          <w:color w:val="000000" w:themeColor="text1"/>
          <w:sz w:val="16"/>
          <w:szCs w:val="16"/>
        </w:rPr>
        <w:softHyphen/>
        <w:t>хронных пушек ШВАК-20 мм, запас патронов 510 шт. Испытания показали безопасность и безотказность стрельбы через винт и хорошую работу установки.</w:t>
      </w:r>
    </w:p>
    <w:p w14:paraId="044CDF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своим летным данным, пушечному вооружению (3 синхронные пушки ШВАК-20 мм), наличию 4-х ба</w:t>
      </w:r>
      <w:r w:rsidRPr="008127F8">
        <w:rPr>
          <w:rFonts w:ascii="Times New Roman" w:hAnsi="Times New Roman"/>
          <w:color w:val="000000" w:themeColor="text1"/>
          <w:sz w:val="16"/>
          <w:szCs w:val="16"/>
        </w:rPr>
        <w:softHyphen/>
        <w:t>лок для бомб или 8 установок для реактивных снарядов самолет И-185 М-71, имея значительное летное и боевое преимущество перед известными нам серийными ис</w:t>
      </w:r>
      <w:r w:rsidRPr="008127F8">
        <w:rPr>
          <w:rFonts w:ascii="Times New Roman" w:hAnsi="Times New Roman"/>
          <w:color w:val="000000" w:themeColor="text1"/>
          <w:sz w:val="16"/>
          <w:szCs w:val="16"/>
        </w:rPr>
        <w:softHyphen/>
        <w:t>требителями, отвечает полностью современным требо</w:t>
      </w:r>
      <w:r w:rsidRPr="008127F8">
        <w:rPr>
          <w:rFonts w:ascii="Times New Roman" w:hAnsi="Times New Roman"/>
          <w:color w:val="000000" w:themeColor="text1"/>
          <w:sz w:val="16"/>
          <w:szCs w:val="16"/>
        </w:rPr>
        <w:softHyphen/>
        <w:t>ваниям фронта и заслуживает немедленного внедрения в серию» (10667). Но в наркомате Поликарпов понимания не встретил, хотя фронту остро требовались самолеты с высокими летными характеристиками. Начались разговоры о том, что прежде, чем строить И-185 серийно, надо предвари</w:t>
      </w:r>
      <w:r w:rsidRPr="008127F8">
        <w:rPr>
          <w:rFonts w:ascii="Times New Roman" w:hAnsi="Times New Roman"/>
          <w:color w:val="000000" w:themeColor="text1"/>
          <w:sz w:val="16"/>
          <w:szCs w:val="16"/>
        </w:rPr>
        <w:softHyphen/>
        <w:t xml:space="preserve">тельно испытать эталон и т.д. Единственное, чего он смог добиться, так это привести помещения завода № 51 в порядок и организовать там филиал завода и ОКБ </w:t>
      </w:r>
      <w:proofErr w:type="gramStart"/>
      <w:r w:rsidRPr="008127F8">
        <w:rPr>
          <w:rFonts w:ascii="Times New Roman" w:hAnsi="Times New Roman"/>
          <w:color w:val="000000" w:themeColor="text1"/>
          <w:sz w:val="16"/>
          <w:szCs w:val="16"/>
        </w:rPr>
        <w:t>для капитального ремонта</w:t>
      </w:r>
      <w:proofErr w:type="gramEnd"/>
      <w:r w:rsidRPr="008127F8">
        <w:rPr>
          <w:rFonts w:ascii="Times New Roman" w:hAnsi="Times New Roman"/>
          <w:color w:val="000000" w:themeColor="text1"/>
          <w:sz w:val="16"/>
          <w:szCs w:val="16"/>
        </w:rPr>
        <w:t xml:space="preserve"> прибывающих с фронта истреби</w:t>
      </w:r>
      <w:r w:rsidRPr="008127F8">
        <w:rPr>
          <w:rFonts w:ascii="Times New Roman" w:hAnsi="Times New Roman"/>
          <w:color w:val="000000" w:themeColor="text1"/>
          <w:sz w:val="16"/>
          <w:szCs w:val="16"/>
        </w:rPr>
        <w:softHyphen/>
        <w:t>телей И-16. Из-за этого Николай Николаевич задержал</w:t>
      </w:r>
      <w:r w:rsidRPr="008127F8">
        <w:rPr>
          <w:rFonts w:ascii="Times New Roman" w:hAnsi="Times New Roman"/>
          <w:color w:val="000000" w:themeColor="text1"/>
          <w:sz w:val="16"/>
          <w:szCs w:val="16"/>
        </w:rPr>
        <w:softHyphen/>
        <w:t>ся в Москве. Начались поиски станков, оборудования, квалифицированных рабочих и инженеров. Он случай</w:t>
      </w:r>
      <w:r w:rsidRPr="008127F8">
        <w:rPr>
          <w:rFonts w:ascii="Times New Roman" w:hAnsi="Times New Roman"/>
          <w:color w:val="000000" w:themeColor="text1"/>
          <w:sz w:val="16"/>
          <w:szCs w:val="16"/>
        </w:rPr>
        <w:softHyphen/>
        <w:t>но встретил вернувшегося из Крыма В.С.Вахмистрова и назначил его директором воссоздаваемого завода, позво</w:t>
      </w:r>
      <w:r w:rsidRPr="008127F8">
        <w:rPr>
          <w:rFonts w:ascii="Times New Roman" w:hAnsi="Times New Roman"/>
          <w:color w:val="000000" w:themeColor="text1"/>
          <w:sz w:val="16"/>
          <w:szCs w:val="16"/>
        </w:rPr>
        <w:softHyphen/>
        <w:t>нил в Новосибирск и попросил направить в Москву не</w:t>
      </w:r>
      <w:r w:rsidRPr="008127F8">
        <w:rPr>
          <w:rFonts w:ascii="Times New Roman" w:hAnsi="Times New Roman"/>
          <w:color w:val="000000" w:themeColor="text1"/>
          <w:sz w:val="16"/>
          <w:szCs w:val="16"/>
        </w:rPr>
        <w:softHyphen/>
        <w:t>сколько квалифицированных рабочих и мастеров. Один из них, Л.А.Куклин, вспоминал: «Завод представлял тогда печальное зрелище. Обору</w:t>
      </w:r>
      <w:r w:rsidRPr="008127F8">
        <w:rPr>
          <w:rFonts w:ascii="Times New Roman" w:hAnsi="Times New Roman"/>
          <w:color w:val="000000" w:themeColor="text1"/>
          <w:sz w:val="16"/>
          <w:szCs w:val="16"/>
        </w:rPr>
        <w:softHyphen/>
        <w:t>дования почти никакого. Плазовый цех разрушен. 2-й механический поврежден... Завод не только восстанавли</w:t>
      </w:r>
      <w:r w:rsidRPr="008127F8">
        <w:rPr>
          <w:rFonts w:ascii="Times New Roman" w:hAnsi="Times New Roman"/>
          <w:color w:val="000000" w:themeColor="text1"/>
          <w:sz w:val="16"/>
          <w:szCs w:val="16"/>
        </w:rPr>
        <w:softHyphen/>
        <w:t>вался, но одновременно и расширялся. Был оборудован термический цех, расширены помещения ОГМ (отдела главного механика. - В.И.)». Практически сразу после открытия московский фи</w:t>
      </w:r>
      <w:r w:rsidRPr="008127F8">
        <w:rPr>
          <w:rFonts w:ascii="Times New Roman" w:hAnsi="Times New Roman"/>
          <w:color w:val="000000" w:themeColor="text1"/>
          <w:sz w:val="16"/>
          <w:szCs w:val="16"/>
        </w:rPr>
        <w:softHyphen/>
        <w:t>лиал завода № 51 начал выполнять заказы для фронта (10667).</w:t>
      </w:r>
    </w:p>
    <w:p w14:paraId="141F51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932F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вышел приказ НКАП N 239сс об организации Главного ремонтного управления, которое потом стало ГУ 6 (1548,65). Объединили с ремонтным отделом НКАП в ГУ.</w:t>
      </w:r>
    </w:p>
    <w:p w14:paraId="799004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504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площадке эвакуированного завода в Химках в 1942 г., где началось восстановление производства, был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 (11982).</w:t>
      </w:r>
    </w:p>
    <w:p w14:paraId="32695F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DC4E2"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марта 1942 г. мастерские, созданные в конце октября 1941 на базе эвакуированного завода № 301 и 15  февраля переданные заводу №23, как филиал для изготовления кры</w:t>
      </w:r>
      <w:r w:rsidRPr="008A2E5A">
        <w:rPr>
          <w:rFonts w:ascii="Times New Roman" w:hAnsi="Times New Roman"/>
          <w:color w:val="0070C0"/>
          <w:sz w:val="16"/>
          <w:szCs w:val="16"/>
        </w:rPr>
        <w:softHyphen/>
        <w:t>льев для самолетов Як-3 (Як-7А), приказом наркома авиапромышленности №239с перевели в подчинение 6-му (авиа</w:t>
      </w:r>
      <w:r w:rsidRPr="008A2E5A">
        <w:rPr>
          <w:rFonts w:ascii="Times New Roman" w:hAnsi="Times New Roman"/>
          <w:color w:val="0070C0"/>
          <w:sz w:val="16"/>
          <w:szCs w:val="16"/>
        </w:rPr>
        <w:softHyphen/>
        <w:t xml:space="preserve">ремонтному) Главному </w:t>
      </w:r>
      <w:r w:rsidRPr="008A2E5A">
        <w:rPr>
          <w:rFonts w:ascii="Times New Roman" w:hAnsi="Times New Roman"/>
          <w:color w:val="0070C0"/>
          <w:sz w:val="16"/>
          <w:szCs w:val="16"/>
        </w:rPr>
        <w:lastRenderedPageBreak/>
        <w:t>управлению (ГУ) НКАП, а 16 апре</w:t>
      </w:r>
      <w:r w:rsidRPr="008A2E5A">
        <w:rPr>
          <w:rFonts w:ascii="Times New Roman" w:hAnsi="Times New Roman"/>
          <w:color w:val="0070C0"/>
          <w:sz w:val="16"/>
          <w:szCs w:val="16"/>
        </w:rPr>
        <w:softHyphen/>
        <w:t>ля (приказ НКАП №287с) присвоили наименование - «Го</w:t>
      </w:r>
      <w:r w:rsidRPr="008A2E5A">
        <w:rPr>
          <w:rFonts w:ascii="Times New Roman" w:hAnsi="Times New Roman"/>
          <w:color w:val="0070C0"/>
          <w:sz w:val="16"/>
          <w:szCs w:val="16"/>
        </w:rPr>
        <w:softHyphen/>
        <w:t>сударственный Союзный завод №301». В связи с отменой задания заводу №23 по выпуску истребителей Як-7А за</w:t>
      </w:r>
      <w:r w:rsidRPr="008A2E5A">
        <w:rPr>
          <w:rFonts w:ascii="Times New Roman" w:hAnsi="Times New Roman"/>
          <w:color w:val="0070C0"/>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 (23381).</w:t>
      </w:r>
    </w:p>
    <w:p w14:paraId="28D708F1" w14:textId="77777777" w:rsidR="00E53DFE" w:rsidRPr="008A2E5A" w:rsidRDefault="00E53DFE" w:rsidP="00E53DFE">
      <w:pPr>
        <w:spacing w:after="0" w:line="240" w:lineRule="auto"/>
        <w:jc w:val="both"/>
        <w:rPr>
          <w:rFonts w:ascii="Times New Roman" w:hAnsi="Times New Roman"/>
          <w:color w:val="0070C0"/>
          <w:sz w:val="16"/>
          <w:szCs w:val="16"/>
        </w:rPr>
      </w:pPr>
    </w:p>
    <w:p w14:paraId="0F75B5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ГК завода 240 Ермолаев писал в ЦК ВКП(б) письмо (вх. N 2921оп) о серийном выпуске дизелей М-30 и это письмо в дальнейшем было передано в НКАП А.И.Ш. (2728,142).</w:t>
      </w:r>
    </w:p>
    <w:p w14:paraId="31CAE7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8AA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года в соответствии с приказом НКАП № 239с на площади эвакуированного из Москвы в Свердловск завода № 214 были переведены (созданные в ноябре 1941 года на территории НИИ-12) фронтовые мастерские по ремонту приборов с оборудованием, кадрами и материалами и на их основе был организован завод по ремонту приборов.</w:t>
      </w:r>
    </w:p>
    <w:p w14:paraId="5D3E95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от 5 апреля 1942 года за № 1543с и приказом НКАП № 269сс от 10 апреля 1942 года во II квартале 1942 года в системе 5-го гл. управления НКАП был организован, на базе указанного завода по ремонту приборов, завод № 133 по производству и ремонту навигационно-пилотажных и гироскопических приборов.</w:t>
      </w:r>
    </w:p>
    <w:p w14:paraId="450763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Перед заводом стояли задачи: </w:t>
      </w:r>
    </w:p>
    <w:p w14:paraId="47728C6E"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Оказать помощь фронту в период перебазирования и организации заводов 5-го гл. управления НКАП в восточных районах страны, ремонтом гироскопических, электрических и анероидных авиационных приборов.</w:t>
      </w:r>
    </w:p>
    <w:p w14:paraId="10822E95"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противовоздушной обороны и ВМФ изделиями для аэростатов воздушного заграждения.</w:t>
      </w:r>
    </w:p>
    <w:p w14:paraId="6D41BC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этим завод вел подготовку к освоению своего профиля, т.е. к выпуску автоматов курса АК-1Д, который начался с ноября 1942 года.</w:t>
      </w:r>
    </w:p>
    <w:p w14:paraId="0DF136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первого полугодия 1943 года в основном состояла из выпуска приборов “АК-1Д”, ремонта авиаприборов и выпуска изделий для противовоздушной обороны и ВМФ.</w:t>
      </w:r>
    </w:p>
    <w:p w14:paraId="79C5E4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3218с от 21 апреля 1943 года и приказами НКАП № 253с от 26 апреля 1943 года и 5 ГУ № 28с от 8 мая 1943 года в июне 1943 года производство приборов “АК-1Д” было передано заводу № 122, а ремонт электрических приборов на завод № 339.</w:t>
      </w:r>
    </w:p>
    <w:p w14:paraId="37CA04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w:t>
      </w:r>
    </w:p>
    <w:p w14:paraId="5C2C32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1944 года завод стал окончательно организованным предприятием.</w:t>
      </w:r>
    </w:p>
    <w:p w14:paraId="26A38E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6BA8FD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4D009B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2B5134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первом квартале 1951 года ОКБ-133 полностью перебазировалось на новую площадку.</w:t>
      </w:r>
    </w:p>
    <w:p w14:paraId="65533B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января 1959 года</w:t>
      </w:r>
    </w:p>
    <w:p w14:paraId="451750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 Божениновский пер., д. 17</w:t>
      </w:r>
    </w:p>
    <w:p w14:paraId="2A6E2E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60040F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Качкачьян М.М. – с октября 1941 года по август 1942 года</w:t>
      </w:r>
    </w:p>
    <w:p w14:paraId="16C64D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Комиссаров М.И. – с 18 августа 1942 года по 16 января 1951 года</w:t>
      </w:r>
    </w:p>
    <w:p w14:paraId="50886A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Павлов П.А. – с 16 января 1951 года по 20 апреля 1953 года</w:t>
      </w:r>
    </w:p>
    <w:p w14:paraId="1C5F60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Михайлов К.И. – с 20 апреля 1953 года по 31 января 1958 года</w:t>
      </w:r>
    </w:p>
    <w:p w14:paraId="12172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Касьянов Н.Я. – с 31 января 1958 года (9456).</w:t>
      </w:r>
    </w:p>
    <w:p w14:paraId="1C5E69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B82C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года Приказом № 239 от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6DA5D8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НКАП № 424 от 5 июля 1944 года.</w:t>
      </w:r>
    </w:p>
    <w:p w14:paraId="0E5F36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5B7F8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2DC8C8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Д-167, Ленинградский проспект, д. 45 г, п/я 2418</w:t>
      </w:r>
    </w:p>
    <w:p w14:paraId="0ACECA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3A4DF3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C7F7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523290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78D31F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(1932-35 г.)- С.Е. Киселев, (1936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Войтов, (1937 г.)- А.С. Черняков, (1938-41 г.)- С.Н. Жилин, (1941-42 г.-)- В.Н. Дубов.</w:t>
      </w:r>
      <w:r w:rsidRPr="008127F8">
        <w:rPr>
          <w:rFonts w:ascii="Times New Roman" w:hAnsi="Times New Roman"/>
          <w:color w:val="000000" w:themeColor="text1"/>
          <w:sz w:val="16"/>
          <w:szCs w:val="16"/>
          <w:vertAlign w:val="superscript"/>
        </w:rPr>
        <w:t>49</w:t>
      </w:r>
    </w:p>
    <w:p w14:paraId="567B31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(конец 1930-х)- А. Г. Таканаев.</w:t>
      </w:r>
    </w:p>
    <w:p w14:paraId="4F1803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Ф.Я. Тулупов (М-30) (11982).</w:t>
      </w:r>
    </w:p>
    <w:p w14:paraId="67594FC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56C0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площадке бывшего завода № 82 образован Завод № 453 НКАП /г. Москва Тушино/ в системе Главремуправления завод по ремонту моторов «Мерлин» и «Аллисон». В соответствии с пост. СНК № 913-472сс от 11.06.1942 г. и по приказу № 287с от 16.04.1942 г. новый завод получил наименование ГС завод № 453 НКАП при 6ГУ. На этой же площадке в соответствии с пост. ГКО от 4.04.1942 г. и приказом № 268с от 10.04.1942 г.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632B04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45DE6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58F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вышли указания ГКО, согласно которым, в частности, к ремонту МиГ—3 для ВВС Юго-Западного фронта подключили мастерские в Молотове, которые создали на базе расформированного заво</w:t>
      </w:r>
      <w:r w:rsidRPr="008127F8">
        <w:rPr>
          <w:rFonts w:ascii="Times New Roman" w:hAnsi="Times New Roman"/>
          <w:color w:val="000000" w:themeColor="text1"/>
          <w:sz w:val="16"/>
          <w:szCs w:val="16"/>
        </w:rPr>
        <w:softHyphen/>
        <w:t>да № 135. Правительство потребовало перевезти их в Воронеж, на площади бывшего завода № 18. И все же процент неисправной материальной ча</w:t>
      </w:r>
      <w:r w:rsidRPr="008127F8">
        <w:rPr>
          <w:rFonts w:ascii="Times New Roman" w:hAnsi="Times New Roman"/>
          <w:color w:val="000000" w:themeColor="text1"/>
          <w:sz w:val="16"/>
          <w:szCs w:val="16"/>
        </w:rPr>
        <w:softHyphen/>
        <w:t>сти в марте—апреле был очень высок (9984).</w:t>
      </w:r>
    </w:p>
    <w:p w14:paraId="6A6601E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6347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на площадке эвакуированного завода № 293 в Химках по приказу № 239с от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 По постановлению ГОКО от 9.06.1942 г.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(10776).</w:t>
      </w:r>
    </w:p>
    <w:p w14:paraId="09C13B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AF3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30 марта 1942 г. по приказу № 239с от на месте эвакуированного завода № 84 образовался Ремонтный завод при Главремуправлении НКАП для ремонта Пе-2, ДБ-3, СБ, ТБ-3, ПС-84. в 1941 г. В связи с переименованием Главремуправления в 6ГУ, по приказу № 287с от 16.04.1942 г. завод получил наименование ГС завод № 456 в 6ГУ НКАП. Передан в 10ГУ с 1.07.1943 г. Заводу поручено освоение сборки Ил-4 из узлов завода № 39 и № 126 и перевооружение самолетов А-20Ж (08.1944 г.).</w:t>
      </w:r>
    </w:p>
    <w:p w14:paraId="05EC059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4A9EEB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4DB443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w:t>
      </w:r>
    </w:p>
    <w:p w14:paraId="17990C5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специального 14ГУ завод по приказу № 360сс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657B91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507AFD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завод – в ведении 8ГУ. В соответствии с постановлением СМ СССР № 4730-2047(</w:t>
      </w:r>
      <w:proofErr w:type="gramStart"/>
      <w:r w:rsidRPr="008127F8">
        <w:rPr>
          <w:rFonts w:ascii="Times New Roman" w:hAnsi="Times New Roman"/>
          <w:color w:val="000000" w:themeColor="text1"/>
          <w:sz w:val="16"/>
          <w:szCs w:val="16"/>
        </w:rPr>
        <w:t>6)сс</w:t>
      </w:r>
      <w:proofErr w:type="gramEnd"/>
      <w:r w:rsidRPr="008127F8">
        <w:rPr>
          <w:rFonts w:ascii="Times New Roman" w:hAnsi="Times New Roman"/>
          <w:color w:val="000000" w:themeColor="text1"/>
          <w:sz w:val="16"/>
          <w:szCs w:val="16"/>
        </w:rPr>
        <w:t xml:space="preserve"> от 25.11.1950 г. и приказами № 947ссов/712с от 7.12.1950 г. и № 969с от 16.12.1950 г. завод № 456 и ОКБ-456 МАП переданы в 7ГУ (специальное) МВ, с 04.1953 г. – в системе МОП.</w:t>
      </w:r>
    </w:p>
    <w:p w14:paraId="194D64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27.10.1954 г. завод № 456 стал опытным заводом при ОКБ-456. С 03.1965 г. опытный завод № 456 передан в МОМ. С 1.01.1967 г. завод получил наименование ОЗЭМ МОМ. Затем ОЗЭМ и КБЭМ объединены в НПО ЭМ.</w:t>
      </w:r>
    </w:p>
    <w:p w14:paraId="490A05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Производственная площадь (2002 г.)- 205 тыс. м2, станочный парк- 4400 ед.</w:t>
      </w:r>
    </w:p>
    <w:p w14:paraId="208EF8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Бугров, (-06.1943-03.1945 г.-)- Т.Х. Филимончук, (14.03-1.10.1946 г.)- Б.И. Свет, (1.10-1.11.1946 г.)- А.Г. Плоскинный, (1.11.1946-57 г.-)- Л.А. Гришин (затем- начальник 7ГУ ГКОТ), (16.12.1960 г.-)- Ю.Д. Соловьев, (1968-92 г.)- С.П. Богдановский, (-2000-02 г.-)- С.С. Головченко.</w:t>
      </w:r>
    </w:p>
    <w:p w14:paraId="27F249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 г.)- В.П. Глушко.</w:t>
      </w:r>
    </w:p>
    <w:p w14:paraId="14FD02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Ер-2 (1944-45)- 20 (из деталей завода № 39), Ил-4 (01-04.1945 г.)- 96 (из деталей заводов № 39 и № 126); самолеты-снаряды «10Х» и двигатели к ним (1944-45).</w:t>
      </w:r>
    </w:p>
    <w:p w14:paraId="495ED5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456 НКАП, МАП, МВ, МОП, МОМ, Опытный завод энергетического машиностроения (ОЗЭМ) МОМ</w:t>
      </w:r>
    </w:p>
    <w:p w14:paraId="56424A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Химки Московской обл.</w:t>
      </w:r>
    </w:p>
    <w:p w14:paraId="483A9D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М.Ф. Поликарпова</w:t>
      </w:r>
    </w:p>
    <w:p w14:paraId="0BBA7F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0CB210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377с от 25.06.1943 г. ОКБ в полном составе влито в НИСО.</w:t>
      </w:r>
    </w:p>
    <w:p w14:paraId="263597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А.П. Голубкова</w:t>
      </w:r>
    </w:p>
    <w:p w14:paraId="70F5A8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1B524D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3F8359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СКБ-456 МАП, ОКБ-456 МАП, МВ, МОП, ГКОТ, ГКАТ, МОМ, КБ ЭМ (энергетического машиностроения) МОМ</w:t>
      </w:r>
    </w:p>
    <w:p w14:paraId="2D143B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Химки-1 Московской обл.</w:t>
      </w:r>
    </w:p>
    <w:p w14:paraId="7C4DE8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получила название ГДЛ (Газодинамическая лаборатория) (по [54]- в 1928 г.).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w:t>
      </w:r>
    </w:p>
    <w:p w14:paraId="53EB80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CBE4D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w:t>
      </w:r>
    </w:p>
    <w:p w14:paraId="7BAD51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w:t>
      </w:r>
    </w:p>
    <w:p w14:paraId="43197B9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1946-48 г. работала группа немецких специалистов по ЖРД на базе двигателя ракеты ФАУ-2 (А-4). Затем они переведены на другие предприятия. </w:t>
      </w:r>
    </w:p>
    <w:p w14:paraId="43A83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05.1948 г. ОКБ передано из 8ГУ в 14ГУ. Работы по завершению РД-1ХЗ, по РД-2. Затем ОКБ специализировалось на мощных ЖРД на двухкомпонентном топливе для баллистических ракет и РН.</w:t>
      </w:r>
    </w:p>
    <w:p w14:paraId="2888C4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 г. в состав ОКБ переведена часть чпециалистов ликвидированного ОКБ-1 гл. конструктора Л.С. Душкина.</w:t>
      </w:r>
    </w:p>
    <w:p w14:paraId="21E9FA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4730-2046(</w:t>
      </w:r>
      <w:proofErr w:type="gramStart"/>
      <w:r w:rsidRPr="008127F8">
        <w:rPr>
          <w:rFonts w:ascii="Times New Roman" w:hAnsi="Times New Roman"/>
          <w:color w:val="000000" w:themeColor="text1"/>
          <w:sz w:val="16"/>
          <w:szCs w:val="16"/>
        </w:rPr>
        <w:t>7)сс</w:t>
      </w:r>
      <w:proofErr w:type="gramEnd"/>
      <w:r w:rsidRPr="008127F8">
        <w:rPr>
          <w:rFonts w:ascii="Times New Roman" w:hAnsi="Times New Roman"/>
          <w:color w:val="000000" w:themeColor="text1"/>
          <w:sz w:val="16"/>
          <w:szCs w:val="16"/>
        </w:rPr>
        <w:t xml:space="preserve"> от 25.11.1950 г. и приказами МАП/МВ № 947ссов/712с от 7.12.50 г. и № 969с от 16.12.1950 г. завод № 456 МАП и ОКБ-456 МАП переданы в систему МВ СССР в 7ГУ (специальное). С 04.1953 г.- в системе МОП, с 12.1957 г.- в ГКОТ. </w:t>
      </w:r>
    </w:p>
    <w:p w14:paraId="2849EA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27.10.1954 г. завод № 456 влит в состав ОКБ-456 в качестве опытного завода.</w:t>
      </w:r>
    </w:p>
    <w:p w14:paraId="36BE67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производства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 Позднее, 7.06.1983 г. вновь организован Омский филиал № 3 на ПО «Полет» для сопровождения серии РД-170 и РД-171.</w:t>
      </w:r>
    </w:p>
    <w:p w14:paraId="4183CE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03.1965 г. ОКБ-456 ГКАТ передано в подчинение 2ГУ МОМ и по приказу от 6.03.1966 г. преобразовано с 1.01.1967 г. в КБЭМ.</w:t>
      </w:r>
    </w:p>
    <w:p w14:paraId="7893766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4C3328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619F45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в ОКБ в инициативном порядке разрабатывалась серия мощных РН- «ракетных летательных аппаратов: РЛА-110 «Гроза» грузоподъемностью 20т; РЛА-120 – 100т; РЛА-130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362A08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 г. создан стенд для испытаний двигателя блока А РН «Энергия».</w:t>
      </w:r>
    </w:p>
    <w:p w14:paraId="058D4B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1890FD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(07.1946-74 г.)- В.П. Глушко {1908-10.01.1989}, (1974-91 г.)- В.П. Радовский, (1991-2004 г.-)- Б.И. Каторгин.</w:t>
      </w:r>
    </w:p>
    <w:p w14:paraId="0D4727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(2000 г.)- В.К. Чванов. Зам. гл. конструктора (1946 г.-)- Д.Д. Севрук, (1946 г.-)- Г.С. Жирицкий.</w:t>
      </w:r>
    </w:p>
    <w:p w14:paraId="7DD055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(1974 г.)- В.П. Радовский. Директор (-2000-02 г.-)- В.К. Чванов.</w:t>
      </w:r>
    </w:p>
    <w:p w14:paraId="3C6AD7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69D253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(2000 г.)- С.А. Лизгунов.</w:t>
      </w:r>
    </w:p>
    <w:p w14:paraId="44CECE8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(1977 г.)- В.П. Радовский (РД-170).</w:t>
      </w:r>
    </w:p>
    <w:p w14:paraId="4CD4F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конструктор – А.С. Назаров.</w:t>
      </w:r>
    </w:p>
    <w:p w14:paraId="204DDF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(1930-е)- Б.С. Петропавловский (ОРМ); Л.А. Гришин; В.А. Витк, В.И. Курбатов, А.Д. Вебер, А.Д. Дарон, М.Р. Гнесин (конструкторы).</w:t>
      </w:r>
    </w:p>
    <w:p w14:paraId="6689E5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ЖРД: ОРМ-1 (1930-31), ОРМ-47, ОРМ-52, ОРМ-65 для РП-318 (1936), ОРМ-70, ОРМ-101,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РД-111 (8Д716) для БР Р-9 (1959-65), РД-112, РД-113, РД-114, РД-115, РД-119 для </w:t>
      </w:r>
      <w:r w:rsidRPr="008127F8">
        <w:rPr>
          <w:rFonts w:ascii="Times New Roman" w:hAnsi="Times New Roman"/>
          <w:color w:val="000000" w:themeColor="text1"/>
          <w:sz w:val="16"/>
          <w:szCs w:val="16"/>
        </w:rPr>
        <w:lastRenderedPageBreak/>
        <w:t xml:space="preserve">РН «Космос» (1958-62), РД-120 для РН «Зенит» (1976-85), РД-134, РД-146, РД-161, РД-167, РД-169, РД-170 для РН «Энергия» (1976-87), РД-171 для РН «Зенит» (1976-85), РД-172, РД-180 для РН Atlas IIIA (1994-98), РД-182, РД-185, РД-190, РД-191, РД-192, РД-200, РД-210, РД-212, РД-213 для КР «Буран» (1956-57), РД-214 для БР Р-12 (1952-57), РД-215 и РД-216 для БР Р-14 (1958-60), РД-217, РД-218 и РД-219 для БР Р-16 (1958-61), РД-220, РД-221, РД-250, РД-251 и РД-252 для МБР Р-36 (1961-65), РД-253 для МБР УР-500 (РН «Протон», 1961-65), РД-261 и РД-262 для РН «Циклон» (1968-70), РД-263, РД-264 для МБР Р-36М (1969-73), РД-268 для МБР УР-100 (1969-76), РД-270 для УР-700 (1962-71), РД-273, РД-274 для МБР Р-36М2 (1982-88), РД-275 для РН «Протон» (1987-93), РД-280, РД-301 для РН «Протон-К» (1969-77), РД-302, РД-303, РД-350, РД-502 (1960-66), РД-511 (1970-74), РД-550, РД-701 для орбитального корабля системы МАКС (1989-92), РД-704; ядерная силовая установка РД-410 (1956-58), РД-600 (1962-68), ЯЭУ «Топаз» (1987).50 </w:t>
      </w:r>
    </w:p>
    <w:p w14:paraId="534000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Приморский филиал № 1 ОКБ-456, НПО «Энергия», ОАО «Приморский НТЦ» РКК «Энергия» </w:t>
      </w:r>
    </w:p>
    <w:p w14:paraId="594D90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188910 г. Приморск Ленинградской обл. тел. 75-331</w:t>
      </w:r>
    </w:p>
    <w:p w14:paraId="0FB3A3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798996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2E6EE3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6F1C64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(1958 г.-)- Е.Н. Кузьмин, (2002 г.)- С.К. Петров.</w:t>
      </w:r>
    </w:p>
    <w:p w14:paraId="2F4B38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С.М. Андрюшкин.</w:t>
      </w:r>
    </w:p>
    <w:p w14:paraId="73CD77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Ю.В. Сидельников.</w:t>
      </w:r>
    </w:p>
    <w:p w14:paraId="2C6551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"Энергомаш" (НПОЭМ), ФГУП, ОАО «НПО "Энергомаш" им. академика В.П. Глушко» ФКА</w:t>
      </w:r>
    </w:p>
    <w:p w14:paraId="45E743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Химки-1 Московской обл. ул. Бурденко, 1 тел. 572-22-00</w:t>
      </w:r>
    </w:p>
    <w:p w14:paraId="540CA2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22.05.1974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03CE92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6D808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НПО входят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Площадь территории- 136 га.</w:t>
      </w:r>
    </w:p>
    <w:p w14:paraId="48D59B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(1974-89 г.)- академик В.П. Глушко, (1991-2004 г.-)- Б.И. Каторгин, (2005 г.)- Н. Пирогов.</w:t>
      </w:r>
    </w:p>
    <w:p w14:paraId="45CBA0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(1974-89 г.)- академик В.П. Глушко, (1991-2004 г.-)- Б.И. Каторгин.</w:t>
      </w:r>
    </w:p>
    <w:p w14:paraId="2FDBFA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В.К. Чванов. Зам. гендиректора (2002 г.)- С.С. Головченко, (2002 г.)- Н.В. Акимов, (2002 г.)- Н.А. Пирогов, (2002 г.)- Г.Г. Деркач.</w:t>
      </w:r>
    </w:p>
    <w:p w14:paraId="251A45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 Г.Г. Деркач. Директор испытательного комплекса (2002 г.)- Н.В. Акимов. Начальник ОНТИ (2002 г.)- В.С. Судаков (10776).</w:t>
      </w:r>
    </w:p>
    <w:p w14:paraId="7BE36A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63E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от на месте эвакуированного завода № 84 образован Ремонтный завод при Главремуправлении НКАП для ремонта Пе-2, ДБ-3, СБ, ТБ-3, ПС-84. в 1941 г. В связи с переименованием Главремуправления в 6ГУ, по приказу № 287с от 16.04.1942 г. завод получил наименование ГС завод № 456 в 6ГУ НКАП. Передан в ЮГУ с 1.07.1943 г. Заводу поручено освоение сборки Ил-4 из узлов завода № 39 и № 126 и перевооружение самолетов А-20Ж (08.1944 г.). Летом 1946 г. два Ли-2 переоборудованы в минные тральщики Ли- 2МТ.</w:t>
      </w:r>
    </w:p>
    <w:p w14:paraId="5F222F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3D8FD1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5175CC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 В 1946 г. заводу поставлено 606 трофейных металлорежущих станков.</w:t>
      </w:r>
    </w:p>
    <w:p w14:paraId="2F358B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специального 14ГУ завод по приказу № ЗбОсс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34272A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5D8931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завод - в ведении 8ГУ. В соответствии с пост. СМ СССР № 4730-2047(</w:t>
      </w:r>
      <w:proofErr w:type="gramStart"/>
      <w:r w:rsidRPr="008127F8">
        <w:rPr>
          <w:rFonts w:ascii="Times New Roman" w:hAnsi="Times New Roman"/>
          <w:color w:val="000000" w:themeColor="text1"/>
          <w:sz w:val="16"/>
          <w:szCs w:val="16"/>
        </w:rPr>
        <w:t>6)сс</w:t>
      </w:r>
      <w:proofErr w:type="gramEnd"/>
      <w:r w:rsidRPr="008127F8">
        <w:rPr>
          <w:rFonts w:ascii="Times New Roman" w:hAnsi="Times New Roman"/>
          <w:color w:val="000000" w:themeColor="text1"/>
          <w:sz w:val="16"/>
          <w:szCs w:val="16"/>
        </w:rPr>
        <w:t xml:space="preserve"> от 25.11.1950 г. и приказами № 947ссов/712с от 7.12.1950 г. и № 969с от 16.12.1950 г. завод № 456 и ОКБ-456 МАЛ переданы в 7ГУ (специальное)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с 04.1953 г. - в системе МОП.</w:t>
      </w:r>
    </w:p>
    <w:p w14:paraId="732C78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С 1.01.1967 г. завод получил наименование ОЗЭМ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Затем ОЗЭМ и КБЭМ объединены в НПО ЭМ.</w:t>
      </w:r>
    </w:p>
    <w:p w14:paraId="0C2AB9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Производственная площадь (2002 г.)- 205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станочный парк- 4400 ед.</w:t>
      </w:r>
    </w:p>
    <w:p w14:paraId="5E14E4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629DF8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В.П. Глушко.</w:t>
      </w:r>
    </w:p>
    <w:p w14:paraId="614253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488E3A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М.Ф. Поликарпова</w:t>
      </w:r>
    </w:p>
    <w:p w14:paraId="136053E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717F7E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377с от 25.06.1943 г. ОКБ в полном составе влито в НИСО.</w:t>
      </w:r>
    </w:p>
    <w:p w14:paraId="4334A1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А.П. Голубкова</w:t>
      </w:r>
    </w:p>
    <w:p w14:paraId="5515A1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39EA9F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78E5D7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СКБ-456 МАП, ОКБ-456 МАП,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МОП, ГКОТ, ГКАТ,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КБ энергетического машиностроения (КБ ЭМ)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141400  г.</w:t>
      </w:r>
      <w:proofErr w:type="gramEnd"/>
      <w:r w:rsidRPr="008127F8">
        <w:rPr>
          <w:rFonts w:ascii="Times New Roman" w:hAnsi="Times New Roman"/>
          <w:color w:val="000000" w:themeColor="text1"/>
          <w:sz w:val="16"/>
          <w:szCs w:val="16"/>
        </w:rPr>
        <w:t xml:space="preserve"> Химки-1 Московской обл./</w:t>
      </w:r>
    </w:p>
    <w:p w14:paraId="247BA3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363EFF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29CBFF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8127F8">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121B60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8127F8">
        <w:rPr>
          <w:rFonts w:ascii="Times New Roman" w:hAnsi="Times New Roman"/>
          <w:color w:val="000000" w:themeColor="text1"/>
          <w:sz w:val="16"/>
          <w:szCs w:val="16"/>
          <w:vertAlign w:val="superscript"/>
        </w:rPr>
        <w:t xml:space="preserve">3 </w:t>
      </w:r>
      <w:r w:rsidRPr="008127F8">
        <w:rPr>
          <w:rFonts w:ascii="Times New Roman" w:hAnsi="Times New Roman"/>
          <w:color w:val="000000" w:themeColor="text1"/>
          <w:sz w:val="16"/>
          <w:szCs w:val="16"/>
        </w:rPr>
        <w:t>Передислокация продолжалась до 12.1946 г.</w:t>
      </w:r>
    </w:p>
    <w:p w14:paraId="3F49E0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103D5F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1D7F1D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30A892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соответствии с пост. СМ № 4730-2046(</w:t>
      </w:r>
      <w:proofErr w:type="gramStart"/>
      <w:r w:rsidRPr="008127F8">
        <w:rPr>
          <w:rFonts w:ascii="Times New Roman" w:hAnsi="Times New Roman"/>
          <w:color w:val="000000" w:themeColor="text1"/>
          <w:sz w:val="16"/>
          <w:szCs w:val="16"/>
        </w:rPr>
        <w:t>7)сс</w:t>
      </w:r>
      <w:proofErr w:type="gramEnd"/>
      <w:r w:rsidRPr="008127F8">
        <w:rPr>
          <w:rFonts w:ascii="Times New Roman" w:hAnsi="Times New Roman"/>
          <w:color w:val="000000" w:themeColor="text1"/>
          <w:sz w:val="16"/>
          <w:szCs w:val="16"/>
        </w:rPr>
        <w:t xml:space="preserve"> от 25.11.1950 г. и приказами МАП/МВ № 947ссов/712с от 7.12.50 г. и № 969с от 16.12.1950 г. завод № 456 МАП и ОКБ-456 МАП переданы в систему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СССР в 7ГУ (специальное). С 04.1953 г.- в системе МОП, с 12.1957 г.- в ГКОТ.</w:t>
      </w:r>
    </w:p>
    <w:p w14:paraId="4E0556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27.10.1954 г. завод № 456 влит в состав ОКБ-456 в качестве опытного завода.</w:t>
      </w:r>
    </w:p>
    <w:p w14:paraId="3DCDB75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17FF9B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43F244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402F53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72AB384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03.1965 г. ОКБ-456 ГКАТ передано в подчинение 2ГУ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и по приказу от 6.03.1966 г. преобразовано с 1.01.1967 г. в КБЭМ.</w:t>
      </w:r>
    </w:p>
    <w:p w14:paraId="2D9A90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1D9411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начались работы по фторной тематике, с конца 1950-х  г.- по созданию ЯРД.</w:t>
      </w:r>
    </w:p>
    <w:p w14:paraId="547C5E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 ОКБ в инициативном порядке разрабатывалась серия мощных РН- «ракетных летательных аппаратов: </w:t>
      </w:r>
      <w:r w:rsidRPr="008127F8">
        <w:rPr>
          <w:rFonts w:ascii="Times New Roman" w:hAnsi="Times New Roman"/>
          <w:color w:val="000000" w:themeColor="text1"/>
          <w:sz w:val="16"/>
          <w:szCs w:val="16"/>
          <w:lang w:val="en-US"/>
        </w:rPr>
        <w:t>PJIA</w:t>
      </w:r>
      <w:r w:rsidRPr="008127F8">
        <w:rPr>
          <w:rFonts w:ascii="Times New Roman" w:hAnsi="Times New Roman"/>
          <w:color w:val="000000" w:themeColor="text1"/>
          <w:sz w:val="16"/>
          <w:szCs w:val="16"/>
        </w:rPr>
        <w:t xml:space="preserve">-110 «Гроза» грузоподъемностью 20т; </w:t>
      </w:r>
      <w:r w:rsidRPr="008127F8">
        <w:rPr>
          <w:rFonts w:ascii="Times New Roman" w:hAnsi="Times New Roman"/>
          <w:color w:val="000000" w:themeColor="text1"/>
          <w:sz w:val="16"/>
          <w:szCs w:val="16"/>
          <w:lang w:val="en-US"/>
        </w:rPr>
        <w:t>PJIA</w:t>
      </w:r>
      <w:r w:rsidRPr="008127F8">
        <w:rPr>
          <w:rFonts w:ascii="Times New Roman" w:hAnsi="Times New Roman"/>
          <w:color w:val="000000" w:themeColor="text1"/>
          <w:sz w:val="16"/>
          <w:szCs w:val="16"/>
        </w:rPr>
        <w:t xml:space="preserve">-120 - 100т; </w:t>
      </w:r>
      <w:r w:rsidRPr="008127F8">
        <w:rPr>
          <w:rFonts w:ascii="Times New Roman" w:hAnsi="Times New Roman"/>
          <w:color w:val="000000" w:themeColor="text1"/>
          <w:sz w:val="16"/>
          <w:szCs w:val="16"/>
          <w:lang w:val="en-US"/>
        </w:rPr>
        <w:t>PJIA</w:t>
      </w:r>
      <w:r w:rsidRPr="008127F8">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423DBF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 стенд для испытаний двигателя блока А РН «Энергия».</w:t>
      </w:r>
    </w:p>
    <w:p w14:paraId="55DBF89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72DB96A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D2EBB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w:t>
      </w:r>
      <w:proofErr w:type="gramStart"/>
      <w:r w:rsidRPr="008127F8">
        <w:rPr>
          <w:rFonts w:ascii="Times New Roman" w:hAnsi="Times New Roman"/>
          <w:color w:val="000000" w:themeColor="text1"/>
          <w:sz w:val="16"/>
          <w:szCs w:val="16"/>
        </w:rPr>
        <w:t>-  Г.С.</w:t>
      </w:r>
      <w:proofErr w:type="gramEnd"/>
      <w:r w:rsidRPr="008127F8">
        <w:rPr>
          <w:rFonts w:ascii="Times New Roman" w:hAnsi="Times New Roman"/>
          <w:color w:val="000000" w:themeColor="text1"/>
          <w:sz w:val="16"/>
          <w:szCs w:val="16"/>
        </w:rPr>
        <w:t xml:space="preserve"> Жирицкий, (-24.10.1960 г.)-  Г.Ф. Фирсов (погиб в катастрофе Р-16); по производству (-1951 г.)- Н.С. Шнякин.</w:t>
      </w:r>
    </w:p>
    <w:p w14:paraId="34D7AC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(1974 г.)- В.П. Радовский. Директор (-2000-02 г.-&gt; В.К. Чванов.</w:t>
      </w:r>
    </w:p>
    <w:p w14:paraId="5104FE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47AF4E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(2000 г.)- С.А. Лизгунов.</w:t>
      </w:r>
    </w:p>
    <w:p w14:paraId="2B5E54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(1974-91 г.)- В.П. Радовский (РД-170).</w:t>
      </w:r>
    </w:p>
    <w:p w14:paraId="5CE8F2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конструктор - А.С. Назаров.</w:t>
      </w:r>
    </w:p>
    <w:p w14:paraId="6FBE2F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(1979 г.)- И.А. Клепиков (МД-185).</w:t>
      </w:r>
    </w:p>
    <w:p w14:paraId="6E3F49B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ЖРД:</w:t>
      </w:r>
      <w:r w:rsidRPr="008127F8">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8127F8">
        <w:rPr>
          <w:rFonts w:ascii="Times New Roman" w:hAnsi="Times New Roman"/>
          <w:color w:val="000000" w:themeColor="text1"/>
          <w:sz w:val="16"/>
          <w:szCs w:val="16"/>
          <w:lang w:val="en-US"/>
        </w:rPr>
        <w:t>AtlasIIIA</w:t>
      </w:r>
      <w:r w:rsidRPr="008127F8">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8127F8">
        <w:rPr>
          <w:rFonts w:ascii="Times New Roman" w:hAnsi="Times New Roman"/>
          <w:color w:val="000000" w:themeColor="text1"/>
          <w:sz w:val="16"/>
          <w:szCs w:val="16"/>
          <w:vertAlign w:val="superscript"/>
        </w:rPr>
        <w:t>50</w:t>
      </w:r>
    </w:p>
    <w:p w14:paraId="0CFAD0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Приморский филиал № 1 ОКБ-456, НПО «Энергия», ОАО «Приморский НТЦ» РКК «Энергия» /</w:t>
      </w:r>
      <w:proofErr w:type="gramStart"/>
      <w:r w:rsidRPr="008127F8">
        <w:rPr>
          <w:rFonts w:ascii="Times New Roman" w:hAnsi="Times New Roman"/>
          <w:color w:val="000000" w:themeColor="text1"/>
          <w:sz w:val="16"/>
          <w:szCs w:val="16"/>
        </w:rPr>
        <w:t>188910  г.</w:t>
      </w:r>
      <w:proofErr w:type="gramEnd"/>
      <w:r w:rsidRPr="008127F8">
        <w:rPr>
          <w:rFonts w:ascii="Times New Roman" w:hAnsi="Times New Roman"/>
          <w:color w:val="000000" w:themeColor="text1"/>
          <w:sz w:val="16"/>
          <w:szCs w:val="16"/>
        </w:rPr>
        <w:t xml:space="preserve"> Приморск Ленинградской обл. тел. 75-331/</w:t>
      </w:r>
    </w:p>
    <w:p w14:paraId="0D1C0B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07F2C0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 стенд для огневых испытаний объединенной двигательной установки ОК «Буран».</w:t>
      </w:r>
    </w:p>
    <w:p w14:paraId="06C3C7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FBEFB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(1958 г.-)- Е.Н. Кузьмин, (2002 г.)- С.К. Петров.</w:t>
      </w:r>
    </w:p>
    <w:p w14:paraId="7CC13C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С.М. Андрюшкин.</w:t>
      </w:r>
    </w:p>
    <w:p w14:paraId="1C3BC1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Ю.В. Сидельников.</w:t>
      </w:r>
      <w:r w:rsidRPr="008127F8">
        <w:rPr>
          <w:rFonts w:ascii="Times New Roman" w:hAnsi="Times New Roman"/>
          <w:color w:val="000000" w:themeColor="text1"/>
          <w:sz w:val="16"/>
          <w:szCs w:val="16"/>
          <w:vertAlign w:val="superscript"/>
        </w:rPr>
        <w:t>69</w:t>
      </w:r>
    </w:p>
    <w:p w14:paraId="3B6966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«Энергомаш» (НПОЭМ), ФГУП, ОАО «НПО «Энергомаш» им. академика В.П. Глушко» ФКА /</w:t>
      </w:r>
      <w:proofErr w:type="gramStart"/>
      <w:r w:rsidRPr="008127F8">
        <w:rPr>
          <w:rFonts w:ascii="Times New Roman" w:hAnsi="Times New Roman"/>
          <w:color w:val="000000" w:themeColor="text1"/>
          <w:sz w:val="16"/>
          <w:szCs w:val="16"/>
        </w:rPr>
        <w:t>141400  г.</w:t>
      </w:r>
      <w:proofErr w:type="gramEnd"/>
      <w:r w:rsidRPr="008127F8">
        <w:rPr>
          <w:rFonts w:ascii="Times New Roman" w:hAnsi="Times New Roman"/>
          <w:color w:val="000000" w:themeColor="text1"/>
          <w:sz w:val="16"/>
          <w:szCs w:val="16"/>
        </w:rPr>
        <w:t xml:space="preserve"> Химки-1 Московской обл. ул. Бурденко, 1 тел. 777-27-27/</w:t>
      </w:r>
    </w:p>
    <w:p w14:paraId="559CEC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002ADD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1996 г. заключен контракт на поставку 50 РД-180 в США.</w:t>
      </w:r>
    </w:p>
    <w:p w14:paraId="0784E9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109B9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3D2730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238A55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0CF0B60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(1974-89 г.)- В.П. Глушко, (1991-2005 г.-)- Б.И. Каторгин.</w:t>
      </w:r>
    </w:p>
    <w:p w14:paraId="0984A2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Деркач.</w:t>
      </w:r>
    </w:p>
    <w:p w14:paraId="4065A3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Деркач. Директор испытательного комплекса (2002 г.)- Н.В. Акимов. Начальник ОНТИ (2002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Судаков.</w:t>
      </w:r>
    </w:p>
    <w:p w14:paraId="164CC4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ЦОС (2007 г.)- Ю. Короткое.</w:t>
      </w:r>
    </w:p>
    <w:p w14:paraId="1A222E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 «РД-Амрос» ("</w:t>
      </w:r>
      <w:r w:rsidRPr="008127F8">
        <w:rPr>
          <w:rFonts w:ascii="Times New Roman" w:hAnsi="Times New Roman"/>
          <w:color w:val="000000" w:themeColor="text1"/>
          <w:sz w:val="16"/>
          <w:szCs w:val="16"/>
          <w:lang w:val="en-US"/>
        </w:rPr>
        <w:t>RDAmrossLLC</w:t>
      </w:r>
      <w:r w:rsidRPr="008127F8">
        <w:rPr>
          <w:rFonts w:ascii="Times New Roman" w:hAnsi="Times New Roman"/>
          <w:color w:val="000000" w:themeColor="text1"/>
          <w:sz w:val="16"/>
          <w:szCs w:val="16"/>
        </w:rPr>
        <w:t>")</w:t>
      </w:r>
    </w:p>
    <w:p w14:paraId="2C51CA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Совместное предприятие, учрежденное НПО «Энергомаш» и "</w:t>
      </w:r>
      <w:r w:rsidRPr="008127F8">
        <w:rPr>
          <w:rFonts w:ascii="Times New Roman" w:hAnsi="Times New Roman"/>
          <w:color w:val="000000" w:themeColor="text1"/>
          <w:sz w:val="16"/>
          <w:szCs w:val="16"/>
          <w:lang w:val="en-US"/>
        </w:rPr>
        <w:t>Pratt</w:t>
      </w:r>
      <w:r w:rsidRPr="008127F8">
        <w:rPr>
          <w:rFonts w:ascii="Times New Roman" w:hAnsi="Times New Roman"/>
          <w:color w:val="000000" w:themeColor="text1"/>
          <w:sz w:val="16"/>
          <w:szCs w:val="16"/>
        </w:rPr>
        <w:t>&amp;</w:t>
      </w:r>
      <w:r w:rsidRPr="008127F8">
        <w:rPr>
          <w:rFonts w:ascii="Times New Roman" w:hAnsi="Times New Roman"/>
          <w:color w:val="000000" w:themeColor="text1"/>
          <w:sz w:val="16"/>
          <w:szCs w:val="16"/>
          <w:lang w:val="en-US"/>
        </w:rPr>
        <w:t>Whitney</w:t>
      </w:r>
      <w:r w:rsidRPr="008127F8">
        <w:rPr>
          <w:rFonts w:ascii="Times New Roman" w:hAnsi="Times New Roman"/>
          <w:color w:val="000000" w:themeColor="text1"/>
          <w:sz w:val="16"/>
          <w:szCs w:val="16"/>
        </w:rPr>
        <w:t>" в 1997 г.</w:t>
      </w:r>
    </w:p>
    <w:p w14:paraId="58DC7B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Расположено на территории НПО. Производство ЖРД РД-180 для компани "</w:t>
      </w:r>
      <w:r w:rsidRPr="008127F8">
        <w:rPr>
          <w:rFonts w:ascii="Times New Roman" w:hAnsi="Times New Roman"/>
          <w:color w:val="000000" w:themeColor="text1"/>
          <w:sz w:val="16"/>
          <w:szCs w:val="16"/>
          <w:lang w:val="en-US"/>
        </w:rPr>
        <w:t>LockheedMartin</w:t>
      </w:r>
      <w:r w:rsidRPr="008127F8">
        <w:rPr>
          <w:rFonts w:ascii="Times New Roman" w:hAnsi="Times New Roman"/>
          <w:color w:val="000000" w:themeColor="text1"/>
          <w:sz w:val="16"/>
          <w:szCs w:val="16"/>
        </w:rPr>
        <w:t>" (2007 г.) (11982).</w:t>
      </w:r>
    </w:p>
    <w:p w14:paraId="1D8BDC57" w14:textId="77777777" w:rsidR="000649A1" w:rsidRPr="008127F8" w:rsidRDefault="000649A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0BE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базе реммастерских (б. Завод № 89) с 05.1942 г. был организован самолетный Ремонтный завод при Главремуправлении НКАП. Ремонт Ил-2, «Харрикейн», «Томагавк», ПС-84. Работы по оборудованию ПС-84 бомбардировочными установками (05.1942 г.). Завод комплектовался случайным оборудованием.</w:t>
      </w:r>
    </w:p>
    <w:p w14:paraId="60F7D6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переименованием Главремуправления в 6ГУ НКАП, в соответствии с пост. СНК № 913-472сс от 11.06.1942 г. и приказом № 287с от 16.04.1942 г. завод получил прежний литерный номер и наименование ГС завод № 89 6ГУ НКАП.</w:t>
      </w:r>
    </w:p>
    <w:p w14:paraId="1EF32D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8127F8">
        <w:rPr>
          <w:rFonts w:ascii="Times New Roman" w:hAnsi="Times New Roman"/>
          <w:color w:val="000000" w:themeColor="text1"/>
          <w:sz w:val="16"/>
          <w:szCs w:val="16"/>
          <w:lang w:val="en-US"/>
        </w:rPr>
        <w:t>HKAJQ</w:t>
      </w:r>
      <w:r w:rsidRPr="008127F8">
        <w:rPr>
          <w:rFonts w:ascii="Times New Roman" w:hAnsi="Times New Roman"/>
          <w:color w:val="000000" w:themeColor="text1"/>
          <w:sz w:val="16"/>
          <w:szCs w:val="16"/>
        </w:rPr>
        <w:t xml:space="preserve"> на завод </w:t>
      </w:r>
      <w:r w:rsidRPr="008127F8">
        <w:rPr>
          <w:rFonts w:ascii="Times New Roman" w:hAnsi="Times New Roman"/>
          <w:color w:val="000000" w:themeColor="text1"/>
          <w:sz w:val="16"/>
          <w:szCs w:val="16"/>
          <w:lang w:val="en-US"/>
        </w:rPr>
        <w:t>N</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bscript"/>
        </w:rPr>
        <w:t>:</w:t>
      </w:r>
      <w:r w:rsidRPr="008127F8">
        <w:rPr>
          <w:rFonts w:ascii="Times New Roman" w:hAnsi="Times New Roman"/>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72271C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616A9C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51F7F7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30D9C7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(1941-43 г.-)- А.П. Голубков.</w:t>
      </w:r>
    </w:p>
    <w:p w14:paraId="2DD9EB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ПС-9 (1934), ПС-89- 7 шт. (11982).</w:t>
      </w:r>
    </w:p>
    <w:p w14:paraId="1C2DAA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779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на площадке эвакуированного завода опытного самолетостроения № 289 (ГС Завод № 289 НКАП /ст. Подлипки Московской обл.;  г. Молотов;  г. Тушино Московской обл./) в Подлипках по приказу № 239с образован Ремонтный завод в системе Главремуправления НКАП для ремонта И-16, а уже в 06.1942 г. образован ремонтный завод № 380 при 6ГУ НКАП. Далее на территории размещена воинская часть (11982).</w:t>
      </w:r>
    </w:p>
    <w:p w14:paraId="311A46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E32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площадке эвакуированного завода № 290 (Завод № 290 НКАП, Ухтомский авиазавод /ст. Ухтомская Московской обл.;  г. Билимбай Свердловской обл./), где недолго существовали авторемонтные мастерские, был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 (11982).</w:t>
      </w:r>
    </w:p>
    <w:p w14:paraId="4DD1C6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B0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1942г. по приказу № 239с па площадке эвакуированного завода № 290 НКАП, где в конце 1941г. были организованы и действовали непродолжительное время авторемонтные мастерские, был образован Ремонтный завод при Главремуправлении НКАП по ремонту Р-5. Затем действовал завод наземного оборудования- Проектно-конструкторский производственный комбинат (ПКПК). Завод № 938 МАП (Завод № 938 МАП, ОКБ-938 ГКАТ, Проектно-конструкторский производственный комбинат (ПКПК), Ухтомский вертолетный завод (УВЗ), УВЗ им. Н.И. Камова, Вертолетный научно-технический комплекс (ВНТК) им. Н.И. Камова, АООТ, ОАО «Камов» /140007 г. Люберцы Московской обл. (ст. Ухтомская), ул. 8 марта, 8А тел. 171-37-43/) основан приказом МАП № 772 от 7.10.1948г.</w:t>
      </w:r>
    </w:p>
    <w:p w14:paraId="389929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после ликвидации ОКБ-293 МАП работал М.Р. Бисноват (1953-54г.) по аэродромному оборудованию. Созданы: АПА-12, АПА-35, УПГ-250, УПГ-150.</w:t>
      </w:r>
    </w:p>
    <w:p w14:paraId="66D226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2543-1224сс от 30.12.1954г. и приказом МАП № 64сс от 3.02.1955г. Бисноват назначен начальником/ гл. конструктором ОКБ-4 МАП, а КБ Н.И. Камова переведено с завода № 82 на завод № 938 для продолжения работ по вертолетам. Камов назначен гл. конструктором завода. Этим же приказом работы по проектированию и изготовлению опытных образцов наземной аэродромной техники с завода № 938 были переданы заводу № 468 МАП гл. конструктора А.И. Привалова и туда переведена часть специалистов.</w:t>
      </w:r>
    </w:p>
    <w:p w14:paraId="271020F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Продолжено создание вертолетов сосной схемы, ставшей «фирменным стилем» Камова.</w:t>
      </w:r>
    </w:p>
    <w:p w14:paraId="30CE2E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1950-х г. при заводе работало КБ Бартини (вероятно, до 1968г.). Для отработки самолета ВВА-14 построены стенды: малый понтонный стенд, газодинамический стенд-аналог 1410 комбинированной СУ, два пилотажных стенда.</w:t>
      </w:r>
      <w:r w:rsidRPr="008127F8">
        <w:rPr>
          <w:rFonts w:ascii="Times New Roman" w:hAnsi="Times New Roman"/>
          <w:color w:val="000000" w:themeColor="text1"/>
          <w:sz w:val="16"/>
          <w:szCs w:val="16"/>
          <w:vertAlign w:val="superscript"/>
        </w:rPr>
        <w:t>76</w:t>
      </w:r>
    </w:p>
    <w:p w14:paraId="70E269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11.06.1954г. вышло постановление СМ СССР № 1171-515сс «О создании...транспортно-десантного винтокрыла конструкции Камова».</w:t>
      </w:r>
    </w:p>
    <w:p w14:paraId="3908C4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1602-893сс от 31.08.1955г. противолодочный Ка-15 пнв.</w:t>
      </w:r>
    </w:p>
    <w:p w14:paraId="20555E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от 02.1958г. начата разработка противолодочного Ка-25ПЛ и целеуказателя Ка-25Ц (изд. «Д»),</w:t>
      </w:r>
    </w:p>
    <w:p w14:paraId="06253D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95-29 от 23.01.1964г. начата разработка Ан-2М.</w:t>
      </w:r>
    </w:p>
    <w:p w14:paraId="5DA4AD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Принимало участие в программе создания ОК «Буран».</w:t>
      </w:r>
    </w:p>
    <w:p w14:paraId="11AFA8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08.1957г. завод № 938- в ведении 1ГУ МАП. По приказу № 175 от 30.04.1966г. предприятие получило название Ухтомский вертолетный завод (УВЗ). В соответствии с пост. СМ СССР № 134 от 28.02.1974г. и приказом № 58 от 2.04.1974г. УВЗ присвоено имя Н.И. Камова. По приказу МАП № 336 от 13.02.1991г. УВЗ переименован в Вертолетный научно-технический комплекс (ВНТК) им. Н.И. Камова. Указом Президента РФ № 721 от 1.07.1992г. учреждено АООТ «Камов». В 1996г. вошло в ВПК «МАПО». По решению правительства № 22- р от 9.01.2004г. ОАО вошло в перечень стратегических предприятий. В 2007г. входит в ОПК «Оборонпром».</w:t>
      </w:r>
    </w:p>
    <w:p w14:paraId="1AED35F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ОАО «Камов» входили КБ, опытный завод и научно-технический испытательный центр. В 1990-х г. существовал филиал в г. Верхняя Салда. В 2007г. планировалось вхождение в состав ОАО «Камов» Кумертаусского и Арсеньевского заводов.</w:t>
      </w:r>
    </w:p>
    <w:p w14:paraId="193C3A3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3000 чел.</w:t>
      </w:r>
      <w:r w:rsidRPr="008127F8">
        <w:rPr>
          <w:rFonts w:ascii="Times New Roman" w:hAnsi="Times New Roman"/>
          <w:color w:val="000000" w:themeColor="text1"/>
          <w:sz w:val="16"/>
          <w:szCs w:val="16"/>
          <w:vertAlign w:val="superscript"/>
        </w:rPr>
        <w:t>69</w:t>
      </w:r>
    </w:p>
    <w:p w14:paraId="369248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(02.1955-73г.)- Н.И. Камов {14.09.1902-24.11.1973}, (1974-87г.)- С.В. Михеев. Ген. Конструктор (1987-2006г.-)- С.В. Михеев {22.12.1938-}.</w:t>
      </w:r>
    </w:p>
    <w:p w14:paraId="2506F9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 Конструктора (-2002-03г.-)- В.И. Дорин. Зам. гл. конструктора (1958г.)- Н.Н. Приоров, В.И. Бирюлин, (1968г.)- И.А. Эрлих, М.А. Купфер, В.Н. Иванов, (1985-89г.)- В.А. Касьяников. Зам. ген. конструктора (1989-2003г.-&gt; </w:t>
      </w:r>
      <w:proofErr w:type="gramStart"/>
      <w:r w:rsidRPr="008127F8">
        <w:rPr>
          <w:rFonts w:ascii="Times New Roman" w:hAnsi="Times New Roman"/>
          <w:color w:val="000000" w:themeColor="text1"/>
          <w:sz w:val="16"/>
          <w:szCs w:val="16"/>
        </w:rPr>
        <w:t>В .</w:t>
      </w:r>
      <w:proofErr w:type="gramEnd"/>
      <w:r w:rsidRPr="008127F8">
        <w:rPr>
          <w:rFonts w:ascii="Times New Roman" w:hAnsi="Times New Roman"/>
          <w:color w:val="000000" w:themeColor="text1"/>
          <w:sz w:val="16"/>
          <w:szCs w:val="16"/>
        </w:rPr>
        <w:t>А. Касьяников.</w:t>
      </w:r>
    </w:p>
    <w:p w14:paraId="17917F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руководитель (02.1955-74г.)- Н.И. Камов, (1974г.-)- С.В. Михеев. Гендиректор (2003г.)- С. Недорослев, (-1997-2005г.-&gt; С.В. Михеев, (2006г.)- И. Пшеничный.</w:t>
      </w:r>
    </w:p>
    <w:p w14:paraId="43CC71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(1955-60-е)- И.С. Левин, Н.Н. Приоров.</w:t>
      </w:r>
    </w:p>
    <w:p w14:paraId="1519EA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(-2005-06г.-)- И.И. Бутысо.</w:t>
      </w:r>
    </w:p>
    <w:p w14:paraId="1E4B9D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(1953г.-)- И.И. Штейнберг.</w:t>
      </w:r>
    </w:p>
    <w:p w14:paraId="55E5FE0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(1996г.)- Е.В. Сударев.</w:t>
      </w:r>
    </w:p>
    <w:p w14:paraId="734E69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силовой установки (1960-е)- Г.И. Иоффе; Г.М. Данилочкин.</w:t>
      </w:r>
    </w:p>
    <w:p w14:paraId="2237AD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(1958г.)- Ю.А. Лазаренко (Ка-25).</w:t>
      </w:r>
    </w:p>
    <w:p w14:paraId="4D03B6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Летчики-испытатели: Н.П. Бездетнов, Е.И. Ларюшин, (1968г.)- А.А. Эллоц-Омельченко. Штурманы- испытатели: (1968г.)- М.И. Рябов.</w:t>
      </w:r>
    </w:p>
    <w:p w14:paraId="226C4A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вертолеты:</w:t>
      </w:r>
      <w:r w:rsidRPr="008127F8">
        <w:rPr>
          <w:rFonts w:ascii="Times New Roman" w:hAnsi="Times New Roman"/>
          <w:color w:val="000000" w:themeColor="text1"/>
          <w:sz w:val="16"/>
          <w:szCs w:val="16"/>
        </w:rPr>
        <w:t xml:space="preserve"> корабельный Ка-15 (14.04.1953, пнв 31.08.1955г.), противолодочные Ка-25ПЛ (26.04.1961г., пнв в 1972г.), Ка-27 (24.12.1973г., пнв в 04.1981г.); поисково-спасательные Ка-25ПС (21.06.1967г.), Ка-27ПС (8.08.1974г., пнв 9.04.1984г.); транспортный винтокрыл Ка-22 (15.08.1959г.), целеуказатель Ка-25Ц (21.03.1962г.), транспортный Ка-25К (6.05.1967г.), транспортно-боевой корабельный Ка-29 (28.07.1976г.), армейский ударный Ка-50 (17.06.1982г., пнв 28.08.1995г.), круглосуточного применения Ка-50Н (4.03.1997г.), Ка- 52 (25.06.1997г.), радиолокационного дозора Ка-31 (Ка-252РЛД, 25.11.1986г.); гражданские: многоцелевые Ка-26 (25.05.1965г.), Ка-126 (19.10.1987г.), Ка-128 и Ка-226 (4.09.1997г.), Ка-32 (11.01.1980г.), транспортный Ка-60 «Касатка» (10.12.1998г.), Ка-62, Ка-115 и Ка-118; беспилотные: Ка-37 (5.03.1993г.), разведчик Ка-137</w:t>
      </w:r>
      <w:r w:rsidRPr="008127F8">
        <w:rPr>
          <w:rFonts w:ascii="Times New Roman" w:hAnsi="Times New Roman"/>
          <w:color w:val="000000" w:themeColor="text1"/>
          <w:sz w:val="16"/>
          <w:szCs w:val="16"/>
          <w:vertAlign w:val="superscript"/>
        </w:rPr>
        <w:t>52</w:t>
      </w:r>
      <w:r w:rsidRPr="008127F8">
        <w:rPr>
          <w:rFonts w:ascii="Times New Roman" w:hAnsi="Times New Roman"/>
          <w:color w:val="000000" w:themeColor="text1"/>
          <w:sz w:val="16"/>
          <w:szCs w:val="16"/>
        </w:rPr>
        <w:t>.</w:t>
      </w:r>
    </w:p>
    <w:p w14:paraId="2F6EE2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КБ гл. конструктора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Бартини при заводе № 938 МАП</w:t>
      </w:r>
    </w:p>
    <w:p w14:paraId="4BF712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с конца 1950-х г. на территории, выделенной от ОКБ-938. До этого Р.Л. Бартини возглавлял ОКБС МАП, занимавшее этаж во втором корпусе МАПа. После снятия Жукова в 1957г. работы прекращены.</w:t>
      </w:r>
    </w:p>
    <w:p w14:paraId="607E03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проектов самолетов: Р-57, Е-57 (1957г.), Ф-57 (сверхзвуковой пассажирский, на 70 пассажиров; 1960г.), Т-217 (тяжелый транспортный), Е-20 и Т-20 (легкие пассажирский и транспортный), М-62 (тяжелая противолодочная амфибия; 1962г.), самолет «В» (1965г.), самолет </w:t>
      </w:r>
      <w:r w:rsidRPr="008127F8">
        <w:rPr>
          <w:rFonts w:ascii="Times New Roman" w:hAnsi="Times New Roman"/>
          <w:color w:val="000000" w:themeColor="text1"/>
          <w:sz w:val="16"/>
          <w:szCs w:val="16"/>
          <w:lang w:val="en-US"/>
        </w:rPr>
        <w:t>MGA</w:t>
      </w:r>
      <w:r w:rsidRPr="008127F8">
        <w:rPr>
          <w:rFonts w:ascii="Times New Roman" w:hAnsi="Times New Roman"/>
          <w:color w:val="000000" w:themeColor="text1"/>
          <w:sz w:val="16"/>
          <w:szCs w:val="16"/>
        </w:rPr>
        <w:t>-67 (1967г.), изд. «3» (1970г.).</w:t>
      </w:r>
    </w:p>
    <w:p w14:paraId="5D62BF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СМ СССР № 935-325(0) от 11.11.1965г. и приказом № 371 от 26.1.1965г. начата разработка проекта </w:t>
      </w:r>
      <w:r w:rsidRPr="008127F8">
        <w:rPr>
          <w:rFonts w:ascii="Times New Roman" w:hAnsi="Times New Roman"/>
          <w:color w:val="000000" w:themeColor="text1"/>
          <w:sz w:val="16"/>
          <w:szCs w:val="16"/>
          <w:lang w:val="en-US"/>
        </w:rPr>
        <w:t>CBBII</w:t>
      </w:r>
      <w:r w:rsidRPr="008127F8">
        <w:rPr>
          <w:rFonts w:ascii="Times New Roman" w:hAnsi="Times New Roman"/>
          <w:color w:val="000000" w:themeColor="text1"/>
          <w:sz w:val="16"/>
          <w:szCs w:val="16"/>
        </w:rPr>
        <w:t>-амфибии ВВА-14.</w:t>
      </w:r>
    </w:p>
    <w:p w14:paraId="304E21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1963г. Бартини возглавил (вероятно, параллельно) вновь созданное ОКБ-86 на заводе № 86. ОКБ существовало до 06.1968г., когда было расформировано. </w:t>
      </w:r>
      <w:proofErr w:type="gramStart"/>
      <w:r w:rsidRPr="008127F8">
        <w:rPr>
          <w:rFonts w:ascii="Times New Roman" w:hAnsi="Times New Roman"/>
          <w:color w:val="000000" w:themeColor="text1"/>
          <w:sz w:val="16"/>
          <w:szCs w:val="16"/>
        </w:rPr>
        <w:t>После закрытия</w:t>
      </w:r>
      <w:proofErr w:type="gramEnd"/>
      <w:r w:rsidRPr="008127F8">
        <w:rPr>
          <w:rFonts w:ascii="Times New Roman" w:hAnsi="Times New Roman"/>
          <w:color w:val="000000" w:themeColor="text1"/>
          <w:sz w:val="16"/>
          <w:szCs w:val="16"/>
        </w:rPr>
        <w:t xml:space="preserve"> возглавляемого им ОКБ-86 Р.Л. Бартини (фактически Бартини жил в Москве) с группой конструкторов в соответствии с решением ВПК № 305 от 20.11.1968г. и приказом МАП № 422 от 25.12.1968г. переведен с завода № 86 в ОКБ Г.М. Бериева для продолжения работ по постройке и доводке ВВА-14.</w:t>
      </w:r>
    </w:p>
    <w:p w14:paraId="406DF5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(-1968г.)- Р.Л. Бартини.</w:t>
      </w:r>
    </w:p>
    <w:p w14:paraId="557DCB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руководителя- В.И. Бирюлин, М.П. Симонов.</w:t>
      </w:r>
    </w:p>
    <w:p w14:paraId="5602E0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(1965г.)- Н.Д. Леонов (ВВА-14).</w:t>
      </w:r>
    </w:p>
    <w:p w14:paraId="4767F1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УВЗ, ВНТК им. Н.И. Камова /624600 г. Верхняя Салда Свердловской обл. ул. Лесная, 14/</w:t>
      </w:r>
    </w:p>
    <w:p w14:paraId="7996DE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(середина 1990-х г.)- П.И. Толмачев (11982).</w:t>
      </w:r>
    </w:p>
    <w:p w14:paraId="2BEC6EF3" w14:textId="77777777" w:rsidR="00573539" w:rsidRPr="008127F8" w:rsidRDefault="0057353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3C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по приказу № 239с на базе агрегатных мастерских, созданных на площадке эвакуированного завода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по приказу № 46с от 17 января 1942 г.,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6837DE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(12.1940-41 г.)- А.О. Казанский.</w:t>
      </w:r>
    </w:p>
    <w:p w14:paraId="4270E9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(12.1940 г.-)- М. Г. Ишпаков.</w:t>
      </w:r>
    </w:p>
    <w:p w14:paraId="00B593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(12.1940 г.-)- М. Г. Иншаков (11982).</w:t>
      </w:r>
    </w:p>
    <w:p w14:paraId="50F661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81C2A" w14:textId="77777777" w:rsidR="00573539"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вышло Постановление ГКО № 1512 Об организации производства МАБ-250. РГАНИР, Фонд ГКО, д. 25, лл. 198-199 (11012).</w:t>
      </w:r>
    </w:p>
    <w:p w14:paraId="2D2D24F7" w14:textId="77777777" w:rsidR="00573539" w:rsidRPr="008127F8" w:rsidRDefault="0057353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FE9ED" w14:textId="77777777" w:rsidR="00573539"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30 марта 1942 вышло</w:t>
      </w:r>
    </w:p>
    <w:p w14:paraId="09EE0CE8" w14:textId="77777777" w:rsidR="00573539"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ПОСТAHOBJIЕНИЕ ГОСУДАРСТВЕННОГО КОМИТЕТА ОБОРОНЫ № 1512сс</w:t>
      </w:r>
    </w:p>
    <w:p w14:paraId="0C71D1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организации производства «МАБ-250»</w:t>
      </w:r>
    </w:p>
    <w:p w14:paraId="05850E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Наркомат Боеприпасов </w:t>
      </w:r>
      <w:proofErr w:type="gramStart"/>
      <w:r w:rsidRPr="008127F8">
        <w:rPr>
          <w:rFonts w:ascii="Times New Roman" w:hAnsi="Times New Roman"/>
          <w:color w:val="000000" w:themeColor="text1"/>
          <w:sz w:val="16"/>
          <w:szCs w:val="16"/>
        </w:rPr>
        <w:t>тов.ВАННИКОВА</w:t>
      </w:r>
      <w:proofErr w:type="gramEnd"/>
      <w:r w:rsidRPr="008127F8">
        <w:rPr>
          <w:rFonts w:ascii="Times New Roman" w:hAnsi="Times New Roman"/>
          <w:color w:val="000000" w:themeColor="text1"/>
          <w:sz w:val="16"/>
          <w:szCs w:val="16"/>
        </w:rPr>
        <w:t>:</w:t>
      </w:r>
    </w:p>
    <w:p w14:paraId="5C9475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изготовить корпуса, снарядить и сдать НКО комплектно к 5 апреля 1942г. «МАБ-250», в количестве 20 штук;</w:t>
      </w:r>
    </w:p>
    <w:p w14:paraId="466328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снарядить и сдать НКО комплектно во II-м квартале 1942г. опытно-серийную партию авиационных бомб "МАБ-250" в количестве 725 штук, в следующие сроки:</w:t>
      </w:r>
    </w:p>
    <w:p w14:paraId="651DAF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5/IV по 15/IV-1942г. - 60 шт.</w:t>
      </w:r>
    </w:p>
    <w:p w14:paraId="3EEC26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15/IV по 1 /V - - 65 шт.</w:t>
      </w:r>
    </w:p>
    <w:p w14:paraId="048351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1/V по 5/VI - " - 300 шт.</w:t>
      </w:r>
    </w:p>
    <w:p w14:paraId="3CE880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5/VI по 5/VII - " - 300 шт.</w:t>
      </w:r>
    </w:p>
    <w:p w14:paraId="3E957F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Главное Управление Заказов и Технического Снабжения ВВС Красной Армии </w:t>
      </w:r>
      <w:proofErr w:type="gramStart"/>
      <w:r w:rsidRPr="008127F8">
        <w:rPr>
          <w:rFonts w:ascii="Times New Roman" w:hAnsi="Times New Roman"/>
          <w:color w:val="000000" w:themeColor="text1"/>
          <w:sz w:val="16"/>
          <w:szCs w:val="16"/>
        </w:rPr>
        <w:t>тов.СЕЛЕЗНЕВА</w:t>
      </w:r>
      <w:proofErr w:type="gramEnd"/>
      <w:r w:rsidRPr="008127F8">
        <w:rPr>
          <w:rFonts w:ascii="Times New Roman" w:hAnsi="Times New Roman"/>
          <w:color w:val="000000" w:themeColor="text1"/>
          <w:sz w:val="16"/>
          <w:szCs w:val="16"/>
        </w:rPr>
        <w:t xml:space="preserve"> принять 745 штук "МАБ-250" и после применения на фронте решить вопрос о принятии их на вооружение.</w:t>
      </w:r>
    </w:p>
    <w:p w14:paraId="08398D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3.Обязать Наркомпищепром </w:t>
      </w:r>
      <w:proofErr w:type="gramStart"/>
      <w:r w:rsidRPr="008127F8">
        <w:rPr>
          <w:rFonts w:ascii="Times New Roman" w:hAnsi="Times New Roman"/>
          <w:color w:val="000000" w:themeColor="text1"/>
          <w:sz w:val="16"/>
          <w:szCs w:val="16"/>
        </w:rPr>
        <w:t>тов.ЗОТОВА</w:t>
      </w:r>
      <w:proofErr w:type="gramEnd"/>
      <w:r w:rsidRPr="008127F8">
        <w:rPr>
          <w:rFonts w:ascii="Times New Roman" w:hAnsi="Times New Roman"/>
          <w:color w:val="000000" w:themeColor="text1"/>
          <w:sz w:val="16"/>
          <w:szCs w:val="16"/>
        </w:rPr>
        <w:t xml:space="preserve"> организовать на Бузулукском заводе № 1 выпуск корпусов авиабомб "МАБ-250", в следующие сроки и количествах:</w:t>
      </w:r>
    </w:p>
    <w:p w14:paraId="22E68F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1/1У по 10/1У - 1942г. - 60 шт.</w:t>
      </w:r>
    </w:p>
    <w:p w14:paraId="0211CF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10/1У по 5/У - - 65 шт.</w:t>
      </w:r>
    </w:p>
    <w:p w14:paraId="005278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 по 1/У1 - " - 300 шт.</w:t>
      </w:r>
    </w:p>
    <w:p w14:paraId="76E4E0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1/У1 по 1/УII - 300 шт.</w:t>
      </w:r>
    </w:p>
    <w:p w14:paraId="458EFCF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Изготовленные корпуса поставить заводу № 80 НКБ для снаряжения.</w:t>
      </w:r>
    </w:p>
    <w:p w14:paraId="198B43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Наркомлегпрому </w:t>
      </w:r>
      <w:proofErr w:type="gramStart"/>
      <w:r w:rsidRPr="008127F8">
        <w:rPr>
          <w:rFonts w:ascii="Times New Roman" w:hAnsi="Times New Roman"/>
          <w:color w:val="000000" w:themeColor="text1"/>
          <w:sz w:val="16"/>
          <w:szCs w:val="16"/>
        </w:rPr>
        <w:t>тов.ЛУКИНУ</w:t>
      </w:r>
      <w:proofErr w:type="gramEnd"/>
      <w:r w:rsidRPr="008127F8">
        <w:rPr>
          <w:rFonts w:ascii="Times New Roman" w:hAnsi="Times New Roman"/>
          <w:color w:val="000000" w:themeColor="text1"/>
          <w:sz w:val="16"/>
          <w:szCs w:val="16"/>
        </w:rPr>
        <w:t xml:space="preserve"> обеспечить изготовление парашютов и подачу их на завод № 80 НКБ в следующие сроки:</w:t>
      </w:r>
    </w:p>
    <w:p w14:paraId="0EA9996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1/1У по 10/1У - 1942г. - 60 шт.</w:t>
      </w:r>
    </w:p>
    <w:p w14:paraId="1B6F1A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10/1У по 1/У - - 65 шт.</w:t>
      </w:r>
    </w:p>
    <w:p w14:paraId="104734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 по 1/У1 - " - 300 шт.</w:t>
      </w:r>
    </w:p>
    <w:p w14:paraId="16B3DD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1/У1 по 1/УII - " - 300 шт.</w:t>
      </w:r>
    </w:p>
    <w:p w14:paraId="0D4324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Наркомтекстиль тов. АКИМОВУ обеспечить Наркомлегпром тканью АСТ-100 и стропной веревкой для парашютов "МАБ-250" по заявке последнего с поставкой 10 тыс.метров ткани АСТ-100 и 20 тыс.метров стропной веревки к 1/1У и остальное количество в апреле месяце.</w:t>
      </w:r>
    </w:p>
    <w:p w14:paraId="63E3A9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Наркомчермет тов. ТЕВОСЯНУ обеспечить Бузулукский завод № 1 НКПП:</w:t>
      </w:r>
    </w:p>
    <w:p w14:paraId="2FD8BF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авиационными тросами /198-СТУ/ в следующие сроки: диаметром 1,5 мм. к 5 апреля - 500 метров, к 10 апреля - 2500 метров, диаметром 9,5 мм. к 5 апреля 1000 метров, к 10 апреля - 5000 метров;</w:t>
      </w:r>
    </w:p>
    <w:p w14:paraId="293557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углеродистой сталью для штампов в количестве 1,5 тонны к 5 апреля 1942г.</w:t>
      </w:r>
    </w:p>
    <w:p w14:paraId="7E7BCF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НКМВ - </w:t>
      </w:r>
      <w:proofErr w:type="gramStart"/>
      <w:r w:rsidRPr="008127F8">
        <w:rPr>
          <w:rFonts w:ascii="Times New Roman" w:hAnsi="Times New Roman"/>
          <w:color w:val="000000" w:themeColor="text1"/>
          <w:sz w:val="16"/>
          <w:szCs w:val="16"/>
        </w:rPr>
        <w:t>тов.ПАРШИНУ</w:t>
      </w:r>
      <w:proofErr w:type="gramEnd"/>
      <w:r w:rsidRPr="008127F8">
        <w:rPr>
          <w:rFonts w:ascii="Times New Roman" w:hAnsi="Times New Roman"/>
          <w:color w:val="000000" w:themeColor="text1"/>
          <w:sz w:val="16"/>
          <w:szCs w:val="16"/>
        </w:rPr>
        <w:t xml:space="preserve"> отгрузить с завода им.Колющенко 1465 цельнокованых баллонов ФАБ-250 заводу № 1 НКПП в г.Бузулук к 10 апреля 1942 года. </w:t>
      </w:r>
    </w:p>
    <w:p w14:paraId="6ED28E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(И.Сталин)</w:t>
      </w:r>
    </w:p>
    <w:p w14:paraId="1EB56E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Боеприпасов Союза ССР</w:t>
      </w:r>
    </w:p>
    <w:p w14:paraId="31576C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26.03.1942г.</w:t>
      </w:r>
    </w:p>
    <w:p w14:paraId="01F3FD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№1/746сс</w:t>
      </w:r>
    </w:p>
    <w:p w14:paraId="085DA66E" w14:textId="77777777" w:rsidR="00573539"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p w14:paraId="0BC67979" w14:textId="77777777" w:rsidR="00573539"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ПРЕДСЕДАТЕЛЮ ГОСУДАРСТВЕННОГО КОМИТЕТА ОБОРОНЫ - Товарищу СТАЛИНУ И.В.</w:t>
      </w:r>
    </w:p>
    <w:p w14:paraId="582EC1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ЗАМЕСТИТЕЛЮ ПРЕДСЕДАТЕЛЯ СНК СССР - Товарищу БЕРИЯ Л.П.</w:t>
      </w:r>
    </w:p>
    <w:p w14:paraId="14B6E9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Государственное Союзное Конструкторское Бюpo № 47 НКБ разработало мостовую авиационную бомбу в габарите 250 кгр. «МАБ-250».</w:t>
      </w:r>
    </w:p>
    <w:p w14:paraId="4838C3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Проведенные заводские испытания дали положительные результаты.</w:t>
      </w:r>
    </w:p>
    <w:p w14:paraId="44A730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окончательного выявления боевых свойств по разрушению мостов и принятия решения о вводе на вооружение этих бомб, необходимо изготовить опытно-серийную партию МАБ-250, в количестве 750 штук, с применением их на фронте.</w:t>
      </w:r>
    </w:p>
    <w:p w14:paraId="5D0774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Прошу утвердить представляемый проект Постановления ГКО по организации производства бомб, согласованный с НКО /генерал-майором ГОЛОВАНОВЫМ/, Наркомлегпромом /т. ЛУКИНЫМ/, Зам. Наркома НКПП /т. ПРОНИНЫМ/. </w:t>
      </w:r>
    </w:p>
    <w:p w14:paraId="02037D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Проект Постановления ГКО на 2-х листах и справка. </w:t>
      </w:r>
    </w:p>
    <w:p w14:paraId="5B032CFD" w14:textId="77777777" w:rsidR="00573539"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Банников)</w:t>
      </w:r>
    </w:p>
    <w:p w14:paraId="23E1C6B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СПРАВКА</w:t>
      </w:r>
    </w:p>
    <w:p w14:paraId="279165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Постановления ГКО об организации производства МАБ-250 завизирован:</w:t>
      </w:r>
    </w:p>
    <w:p w14:paraId="0FEBCAC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Народным Комиссаром Боеприпасов Союза ССР тов. ВАННИКОВЫМ В.Л. </w:t>
      </w:r>
    </w:p>
    <w:p w14:paraId="63CE19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Народным Комиссаром Легкой Промышленности Союза ССР тов. ЛУКИНЫМ.</w:t>
      </w:r>
    </w:p>
    <w:p w14:paraId="74BA86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Заместителем Народного Комиссара Пищевой Промышленности тов. ПРОНИНЫМ.</w:t>
      </w:r>
    </w:p>
    <w:p w14:paraId="32B40E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Командующим ВВС Генерал-Майором т. ГОЛОВАНОВЫМ. </w:t>
      </w:r>
    </w:p>
    <w:p w14:paraId="4096CC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Авиабоеприпасов Н К В СССР (11813).</w:t>
      </w:r>
    </w:p>
    <w:p w14:paraId="743B2929" w14:textId="77777777" w:rsidR="00573539" w:rsidRPr="008127F8" w:rsidRDefault="0057353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A70A8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F4C72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C04AB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была подготовлена ДОКЛАДНАЯ ЗАПИСКА НКВТ В ГАБТУ О ТЕХНИЧЕСКИХ ХАРАКТЕРИСТИКАХ ПРЕДЛАГАЕМЫХ К ЗАКУПКЕ ВЕЗДЕХОДОВ</w:t>
      </w:r>
    </w:p>
    <w:p w14:paraId="65FF413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 наш запрос в Амторг по Вашему письму от 6.03.1942 г. за № 45/101 о закупке опытной пар</w:t>
      </w:r>
      <w:r w:rsidRPr="008127F8">
        <w:rPr>
          <w:rFonts w:ascii="Times New Roman" w:hAnsi="Times New Roman"/>
          <w:color w:val="000000" w:themeColor="text1"/>
          <w:sz w:val="16"/>
          <w:szCs w:val="16"/>
        </w:rPr>
        <w:softHyphen/>
        <w:t>тии частично забронированных полугусеничных автомобилей «Полугрузовик-полутрактор» в коли</w:t>
      </w:r>
      <w:r w:rsidRPr="008127F8">
        <w:rPr>
          <w:rFonts w:ascii="Times New Roman" w:hAnsi="Times New Roman"/>
          <w:color w:val="000000" w:themeColor="text1"/>
          <w:sz w:val="16"/>
          <w:szCs w:val="16"/>
        </w:rPr>
        <w:softHyphen/>
        <w:t>честве 10-20 штук для решения вопроса о целесообразности использования этих машин в Красной Армии, Амторг выяснил и сообщил следующее:</w:t>
      </w:r>
    </w:p>
    <w:p w14:paraId="0C74F88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Полубронированный вездеход с гусеничным ходом изготовляется заводом «Диамонд» в Чикаго. Завод производит по 12 машин в сутки.</w:t>
      </w:r>
    </w:p>
    <w:p w14:paraId="7E6F12F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вездехода.</w:t>
      </w:r>
    </w:p>
    <w:p w14:paraId="0637188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около 5,6 тонны, глубина преодолеваемого брода 81 см, максимально преодолеваемый подъ</w:t>
      </w:r>
      <w:r w:rsidRPr="008127F8">
        <w:rPr>
          <w:rFonts w:ascii="Times New Roman" w:hAnsi="Times New Roman"/>
          <w:color w:val="000000" w:themeColor="text1"/>
          <w:sz w:val="16"/>
          <w:szCs w:val="16"/>
        </w:rPr>
        <w:softHyphen/>
        <w:t>ем 37°, преодолеваемый уклон 45°, преодолеваемое вертикальное препятствие 30 см, скорость дви</w:t>
      </w:r>
      <w:r w:rsidRPr="008127F8">
        <w:rPr>
          <w:rFonts w:ascii="Times New Roman" w:hAnsi="Times New Roman"/>
          <w:color w:val="000000" w:themeColor="text1"/>
          <w:sz w:val="16"/>
          <w:szCs w:val="16"/>
        </w:rPr>
        <w:softHyphen/>
        <w:t>жения 45 миль/час. Вездеход перевозит 13 человек, включая водителя. Вооружение: пулемет калиб</w:t>
      </w:r>
      <w:r w:rsidRPr="008127F8">
        <w:rPr>
          <w:rFonts w:ascii="Times New Roman" w:hAnsi="Times New Roman"/>
          <w:color w:val="000000" w:themeColor="text1"/>
          <w:sz w:val="16"/>
          <w:szCs w:val="16"/>
        </w:rPr>
        <w:softHyphen/>
        <w:t>ра 30, пулемет калибра 45, запас боеприпасов: для калибра 30 — 4000 штук, для калибра 45 — 550 штук и 24 ручные гранаты. Толщина брони 6,3 мм, заслонки ветровых стекол 12,7 мм. Двигатель 147 л.с., охлаждение водяное. Питание — 2 бензобака по 30 талонов каждый. Завод изготавливает везде</w:t>
      </w:r>
      <w:r w:rsidRPr="008127F8">
        <w:rPr>
          <w:rFonts w:ascii="Times New Roman" w:hAnsi="Times New Roman"/>
          <w:color w:val="000000" w:themeColor="text1"/>
          <w:sz w:val="16"/>
          <w:szCs w:val="16"/>
        </w:rPr>
        <w:softHyphen/>
        <w:t>ходы 4-х типов. Первый тип описан выше. Типы 2, 3, 4 представляют тот же вездеход с разницей в вооружении. Тип 2-й имеет 2 пулемета калибра 30 и пулемет калибра 50. Перевозит 9 человек. Тип 3-й имеет мортиру 81 мм. Тип 4-й имеет пушку 75 мм.</w:t>
      </w:r>
    </w:p>
    <w:p w14:paraId="0AB4862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мнению наших военных специалистов, следует остановиться на 1 и 4 типах.</w:t>
      </w:r>
    </w:p>
    <w:p w14:paraId="4A8B45D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Амторг ведет переговоры о получении 20 вездеходов по 10 штук 1 и 4 типов.</w:t>
      </w:r>
    </w:p>
    <w:p w14:paraId="5C03CB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w:t>
      </w:r>
      <w:proofErr w:type="gramStart"/>
      <w:r w:rsidRPr="008127F8">
        <w:rPr>
          <w:rFonts w:ascii="Times New Roman" w:hAnsi="Times New Roman"/>
          <w:color w:val="000000" w:themeColor="text1"/>
          <w:sz w:val="16"/>
          <w:szCs w:val="16"/>
        </w:rPr>
        <w:t>Согласно Вашего распоряжения</w:t>
      </w:r>
      <w:proofErr w:type="gramEnd"/>
      <w:r w:rsidRPr="008127F8">
        <w:rPr>
          <w:rFonts w:ascii="Times New Roman" w:hAnsi="Times New Roman"/>
          <w:color w:val="000000" w:themeColor="text1"/>
          <w:sz w:val="16"/>
          <w:szCs w:val="16"/>
        </w:rPr>
        <w:t>, Амторгу телеграммой от 26.03.1942 г. дано указание закупить 20 штук полубронированных вездеходов типа 1 вместе с комплектом запчастей и боеприпасов. От закупки остальных типов отказались.</w:t>
      </w:r>
    </w:p>
    <w:p w14:paraId="18A40C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инженерного отдела НКВТ СССР Рябченко</w:t>
      </w:r>
    </w:p>
    <w:p w14:paraId="688454D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123. Л. 48. Подлинник (11211).</w:t>
      </w:r>
    </w:p>
    <w:p w14:paraId="37B8E2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81882"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вышло Постановление ГКО № 1510 О ликвидации Пензенской, Сталинградской железных дорог и передаче участка Валуйки - Кондрашевская Сев.-Донецкой ж.д. и участка Лихая - Кизитеринка Юго-Восточной ж.д. (7026, 195-196).</w:t>
      </w:r>
    </w:p>
    <w:p w14:paraId="5F311289"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0ED6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вышло Постановление ГКО № 1511 О назначениях по НКПС (7026, 197).</w:t>
      </w:r>
    </w:p>
    <w:p w14:paraId="50C08E3D"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1DA3E3"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A24FA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A171B2"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марта</w:t>
      </w:r>
      <w:r w:rsidRPr="008127F8">
        <w:rPr>
          <w:rFonts w:ascii="Times New Roman" w:hAnsi="Times New Roman"/>
          <w:color w:val="000000" w:themeColor="text1"/>
          <w:sz w:val="16"/>
          <w:szCs w:val="16"/>
        </w:rPr>
        <w:t xml:space="preserve"> в 1942 году утреннее сообщение Совинформбюро:</w:t>
      </w:r>
    </w:p>
    <w:p w14:paraId="47938A96"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30 марта на фронте каких-либо существенных изменений не произошло.</w:t>
      </w:r>
    </w:p>
    <w:p w14:paraId="02387CEE"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Одна наша часть, действующая на Западном фронте, преодолев упорное сопротивление противника, заняла несколько населённых пунктов. Немцы потеряли только убитыми свыше 500 солдат и офицеров. Наши бойцы захватили танк, 3 бронеплощадки, 25 орудий, 24 миномёта, 25 станковых и 55 ручных пулемётов, 560 винтовок, 57 автоматов, около 1.000 снарядов, 3.000 мин, 240.000 винтовочных патронов. На другом участке гвардейская часть тов. Захарова в течение дня отразила две контратаки противника. На поле боя осталось до 200 трупов немецких солдат и офицеров.</w:t>
      </w:r>
    </w:p>
    <w:p w14:paraId="4C1D612B"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Отбив контратаку противника, одна наша часть (Калининский фронт) уничтожилa до 500 немецких солдат и офицеров, подбила 6 вражеских танков, разрушила 7 блиндажей и захватила многочисленные трофеи. На другом участке часть под командованием тов. Мишенко в бою у деревни К. уничтожила 5 орудий, 15 пулемётных точек и 10 миномётов. На поле боя осталось свыше 250 вражеских трупов.</w:t>
      </w:r>
    </w:p>
    <w:p w14:paraId="1E259CFF"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Десять советских разведчиков под командой сержанта Рогулина, выполняя боевое задание в тылу противника, заметили отряд немцев. Внезапно открыв огонь из автоматов, наши разведчики уничтожили 20 немцев. Остальные разбежались.</w:t>
      </w:r>
    </w:p>
    <w:p w14:paraId="24049C1C"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Ю., действующий на оккупированной немцами территории Могилёвской области, организовав засаду у одной из дорог, разгромил крупную автоколонну немцев. Партизаны уничтожили свыше 50 автомашин с грузом и боеприпасами, 121 немецкого солдата и несколько офицеров. В руки партизан достались большие трофеи. Через несколько дней на другой дороге этот же отряд сжёг 102 немецких автомашины и уничтожил свыше 100 солдат и офицеров противника.</w:t>
      </w:r>
    </w:p>
    <w:p w14:paraId="5FE59DDC"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фельдфебель 3 роты сапёрного батальона 263 немецкой пехотной дивизии Георг Штольберг рассказал: «В конце февраля всех сапёр перевели в пехоту стрелками. В нашей роте к началу войны было 200 человек. Два раза она получала пополнение. Сейчас же в роте осталось только 60 человек, в том числе 10 сильно обмороженных. Широкое распространение получили такие болезни, как грипп и понос. Врачи бессильны что-либо сделать для больного солдата. Если врач считает необходимым кого-либо отправить в госпиталь, то он всё равно не может решить вопроса. Для этого требуется разрешение командира. А командиры не соглашаются отпустить больных и обмороженных и оставляют их в строю, так как в ротах не хватает людей».</w:t>
      </w:r>
    </w:p>
    <w:p w14:paraId="06E5E9E6"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выписки из дневника убитого ефрейтора танковой роты разведывательного отряда 7 немецкой танковой дивизии Эдуарда Кнора:</w:t>
      </w:r>
    </w:p>
    <w:p w14:paraId="3D4AE263"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января 1942 г. Наша рота понесла большие потери. Остатки роты переведены в роту командира Лядмен. Русские атакуют нас в деревне. В танки летят бутылки с зажигательной жидкостью. Мой танк загорелся. Каким-то чудом выбрался из танка.</w:t>
      </w:r>
    </w:p>
    <w:p w14:paraId="7CDBD4E4"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января. Опять атака русских. 9 наших солдат убито. Подбито 4 танка.</w:t>
      </w:r>
    </w:p>
    <w:p w14:paraId="1883225F"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Контратакуем русских. Неудачно. Большие потери в пехоте. Подбиты танки лейтенанта Бауэра и фельдфебеля Вольфа. 15 наших танкистов убито и 4 ранено.</w:t>
      </w:r>
    </w:p>
    <w:p w14:paraId="79CA4D95"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Машина Майшера налетела на мину.</w:t>
      </w:r>
    </w:p>
    <w:p w14:paraId="610F3A5F"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февраля. Русские атакуют деревню тремя танками».</w:t>
      </w:r>
    </w:p>
    <w:p w14:paraId="203F486C"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оккупанты за время пребывания в селе Печёнкино, Смоленской области, ограбили всех крестьян, отняли у них скот, хлеб, тёплую одежду и предметы домашнего обихода. Под угрозой расстрела гитлеровцы пытались заставить жителей села рыть окопы и траншеи. За отказ от работы немцы расстреляли крестьян: Трошина П.В., Егорова Й.Е.; Полякова Н.П., Салоник И.А. и Орехова В.А. Отступая из села, немцы сожгли 68 домов и насильно увели с собой 300 жителей.» (15084).</w:t>
      </w:r>
    </w:p>
    <w:p w14:paraId="36CA1F04" w14:textId="77777777" w:rsidR="00573539" w:rsidRPr="008127F8" w:rsidRDefault="00573539" w:rsidP="001E0A84">
      <w:pPr>
        <w:spacing w:after="0" w:line="240" w:lineRule="auto"/>
        <w:jc w:val="both"/>
        <w:rPr>
          <w:rFonts w:ascii="Times New Roman" w:hAnsi="Times New Roman"/>
          <w:color w:val="000000" w:themeColor="text1"/>
          <w:sz w:val="16"/>
          <w:szCs w:val="16"/>
        </w:rPr>
      </w:pPr>
    </w:p>
    <w:p w14:paraId="0314B6BF"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марта</w:t>
      </w:r>
      <w:r w:rsidRPr="008127F8">
        <w:rPr>
          <w:rFonts w:ascii="Times New Roman" w:hAnsi="Times New Roman"/>
          <w:color w:val="000000" w:themeColor="text1"/>
          <w:sz w:val="16"/>
          <w:szCs w:val="16"/>
        </w:rPr>
        <w:t xml:space="preserve"> в 1942 году вечернее сообщение Совинформбюро:</w:t>
      </w:r>
    </w:p>
    <w:p w14:paraId="4CB36C24"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30 марта на фронте каких-либо существенных изменений не произошло.</w:t>
      </w:r>
    </w:p>
    <w:p w14:paraId="1A48881C"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29 марта уничтожено 25 немецких самолётов. Наши потери — 12 самолётов.</w:t>
      </w:r>
    </w:p>
    <w:p w14:paraId="6B9A5B48"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29 марта частями нашей авиации уничтожены или повреждены 5 немецких танков, 64 автомашины с войсками и грузами, более 30 подвод с боеприпасами, 10 полевых и зенитных орудий, 27 миномётов, 5 зенитно-пулемётных точек, взорваны 4 склада с боеприпасами и 1 склад с горючим, разбиты 17 железнодорожных вагонов с различными грузами.</w:t>
      </w:r>
    </w:p>
    <w:p w14:paraId="1BACD371"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22 по 28 марта немецкая авиация потеряла 161 самолёт. Наши потери за этот же период — 71 самолёт.</w:t>
      </w:r>
    </w:p>
    <w:p w14:paraId="50385A4F"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активных операций наших частей, действующих на отдельных участках Ленинградского фронта, противник несёт большие потери в живой силе и боевой технике. Только за последние два дня немцы потеряли убитыми свыше 2.500 солдат и офицеров. Взяты пленные. В боях уничтожено 4 немецких танка, 8 орудий, 15 пулемётов и 2 наблюдательных пункта, разрушено 10 ДЗОТов и блиндажей. Среди захваченных трофеев 19 орудий, 85 пулемётов, 20 миномётов, 2 огнемёта, 24 автомата, более 400 винтовок, 223.000 винтовочных патронов. 900 снарядов, 1.380 мин, 890 гранат, 2 радиостанции, 3 бронемашины, 16 автомашин, 5 мотоциклов, 2 походные кухни и другое военное имущество.</w:t>
      </w:r>
    </w:p>
    <w:p w14:paraId="1CED74C0"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овладела опорным пунктом вражеской обороны. Немцы потеряли убитыми несколько сот солдат и офицеров. Захвачены трофеи, которые подсчитываются. На другом участке наша артиллерия уничтожила немецкий склад с боеприпасами, подбила 2 танка и 2 орудия.</w:t>
      </w:r>
    </w:p>
    <w:p w14:paraId="5CA49A61"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воздушно-десантное подразделение за пять дней боёв уничтожило до 500 солдат и офицеров противника.</w:t>
      </w:r>
    </w:p>
    <w:p w14:paraId="31C350A8"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Авиачасть, которой командует тов. Златоцветов (Юго-Западный фронт), за два дня сбила 11 вражеских истребителей. Особенно отличились лётчики подразделения тов. Минаева, сбившие в течение одного дня 5 вражеских самолётов.</w:t>
      </w:r>
    </w:p>
    <w:p w14:paraId="2CFA1992"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Рязанцев огнём из ручного пулемёта сбил на днях немецкий бомбардировщик. Охваченный пламенем самолёт упал на землю.</w:t>
      </w:r>
    </w:p>
    <w:p w14:paraId="11B3B608"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объединённых партизанских отрядов Калининской области под командованием тт. К. и Д. внезапно атаковали 591 немецкий пехотный батальон, направлявшийся на помощь окружённому гитлеровскому гарнизону. После ожесточённого боя батальон был разгромлен. Противник потерял убитыми свыше 300 солдат и офицеров. Партизаны уничтожили 10 автомашин, взорвали боеприпасы и захватили 2 противотанковых орудия, 12 пулемётов, много автоматов и другое вооружение.</w:t>
      </w:r>
    </w:p>
    <w:p w14:paraId="365B0907"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8 роты 317 полка 211 немецкой пехотной дивизии Генрих Бордовик рассказал: «За две недели боёв наш полк потерял до 1.000 человек. Наибольшие потери понесла 8 рота, в которой из 220 человек осталось только 90. Пятая рота потеряла 100 человек. Наша дивизия находится на советско-германском фронте около двух месяцев. За это время в частях был ряд случаев дезертирства. Из 5 роты нашего полка дезертировал ефрейтор Герберт Берете. Он бросил тяжёлый пулемёт и сбежал в тыл. В 8 роте 306 полка два обер-ефрейтора и два стрелка отказались пойти в наступление, бросили крупнокалиберный пулемёт и удрали с передовых позиций. В 3 полку нашей дивизии разжалован в солдаты и отправлен в штрафную роту лейтенант Хакман, командир 7 роты. Вместе с солдатами своего подразделения он бежал с поля боя в тыл».</w:t>
      </w:r>
    </w:p>
    <w:p w14:paraId="5D762D41" w14:textId="77777777" w:rsidR="00573539" w:rsidRPr="008127F8" w:rsidRDefault="0057353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Финское правительство неоднократно пыталось опровергать сообщения о голоде, царящем в Финляндии. Но, как говорит русская пословица, шила в мешке не утаишь. 28 марта финское министерство народного обеспечения официально объявило населению, что «февральские хлебные карточки, по которым хлеб не был получен, могут быть использованы потом, когда наши запасы хлеба будут восстановлены». Таким образом, финское правительство проболталось о том, что население Финляндии в конце марта не получило ещё и февральского мизерного хлебного пайка.» (15084).</w:t>
      </w:r>
    </w:p>
    <w:p w14:paraId="19B2FD0B" w14:textId="77777777" w:rsidR="00573539" w:rsidRPr="008127F8" w:rsidRDefault="00573539" w:rsidP="001E0A84">
      <w:pPr>
        <w:spacing w:after="0" w:line="240" w:lineRule="auto"/>
        <w:jc w:val="both"/>
        <w:rPr>
          <w:rFonts w:ascii="Times New Roman" w:hAnsi="Times New Roman"/>
          <w:color w:val="000000" w:themeColor="text1"/>
          <w:sz w:val="16"/>
          <w:szCs w:val="16"/>
        </w:rPr>
      </w:pPr>
    </w:p>
    <w:p w14:paraId="02A24E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марта 1942 в Москве снова гремели взрывы. На сей раз одиночный Ju-88 разбомбил плодоовощной комбинат на Нагатинском шоссе. Посты ВНОС не смогли опознать самолет на подходе к городу, в результате чего сигнал «ВТ» был подан уже после налета. Хотя эти удары по столице были скорее беспокоящими, чем стратегическими, Сталин пришел в бешенство. 1 апреля он направил Громадину, Берии и генпрокурору Бочкову записку со </w:t>
      </w:r>
      <w:proofErr w:type="gramStart"/>
      <w:r w:rsidRPr="008127F8">
        <w:rPr>
          <w:rFonts w:ascii="Times New Roman" w:hAnsi="Times New Roman"/>
          <w:color w:val="000000" w:themeColor="text1"/>
          <w:sz w:val="16"/>
          <w:szCs w:val="16"/>
        </w:rPr>
        <w:t>словами:  «</w:t>
      </w:r>
      <w:proofErr w:type="gramEnd"/>
      <w:r w:rsidRPr="008127F8">
        <w:rPr>
          <w:rFonts w:ascii="Times New Roman" w:hAnsi="Times New Roman"/>
          <w:color w:val="000000" w:themeColor="text1"/>
          <w:sz w:val="16"/>
          <w:szCs w:val="16"/>
        </w:rPr>
        <w:t xml:space="preserve">Как видно, наше певео  стало плохо работать: </w:t>
      </w:r>
    </w:p>
    <w:p w14:paraId="279A79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Артиллеристов в Клину на позициях не оказалось, певео проспало налет на Москву. </w:t>
      </w:r>
    </w:p>
    <w:p w14:paraId="6C372F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Поручается тт. Берии, Громадину и Бочкову срочно расследовать это дело и доложить ГКО». </w:t>
      </w:r>
    </w:p>
    <w:p w14:paraId="1C36B6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Сразу же была сформирована комиссия во главе с Лаврентием Берией. Примечательно, что она закончила свою работу уже через два дня и нашла всех «виновных». 5 апреля, на Пасху, был издан приказ Народного комиссариата обороны за № 0063 «О состоянии ПВО Московского корпусного района ПВО». Согласно ему за систематическое пьянство был арестован и предан суду военного трибунала военком Главного управления ПВО СССР бригадный комиссар Курганов. Под трибунал также пошел военком 745-го ЗенАП полковой комиссар Захаров. Одновременно за пьянство был снят с работы и понижен в должности начальник ГУ ПВО генерал-майор Осипов. Помимо низкой дисциплины, выяснилось, что служба ВНОС по-прежнему работала плохо, ее наблюдатели слабо разбирались в типах самолетов, путая свои с чужими. Оповещение при появлении вражеских бомбардировщиков и разведчиков происходило медленно, и некоторые батареи вообще не успевали открыть огонь. В истребительных полках много машин находились в ремонте, т.е. в небоеготовом состоянии, плохо использовалась радиосвязь для наведения перехватчиков с земли (11774).</w:t>
      </w:r>
    </w:p>
    <w:p w14:paraId="7A0021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399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марта 1942 г. предложение о предоставлении СССР летной французской части (вместо пехотной дивизии) впервые было высказано де Голлем. Все вопросы, связанные с участием французской истребительной эскадрильи </w:t>
      </w:r>
      <w:proofErr w:type="gramStart"/>
      <w:r w:rsidRPr="008127F8">
        <w:rPr>
          <w:rFonts w:ascii="Times New Roman" w:hAnsi="Times New Roman"/>
          <w:color w:val="000000" w:themeColor="text1"/>
          <w:sz w:val="16"/>
          <w:szCs w:val="16"/>
        </w:rPr>
        <w:t>в боевых действиях</w:t>
      </w:r>
      <w:proofErr w:type="gramEnd"/>
      <w:r w:rsidRPr="008127F8">
        <w:rPr>
          <w:rFonts w:ascii="Times New Roman" w:hAnsi="Times New Roman"/>
          <w:color w:val="000000" w:themeColor="text1"/>
          <w:sz w:val="16"/>
          <w:szCs w:val="16"/>
        </w:rPr>
        <w:t xml:space="preserve"> было согласовано в июле 1942 г. В октябре эскадрилья была укомплектована. Из 14 пилотов многие имели достаточный опыт боев (табл.).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8127F8" w14:paraId="0E44F562" w14:textId="77777777">
        <w:tc>
          <w:tcPr>
            <w:tcW w:w="1868" w:type="dxa"/>
            <w:tcBorders>
              <w:top w:val="single" w:sz="12" w:space="0" w:color="auto"/>
            </w:tcBorders>
          </w:tcPr>
          <w:p w14:paraId="0F2C30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Borders>
              <w:top w:val="single" w:sz="12" w:space="0" w:color="auto"/>
            </w:tcBorders>
          </w:tcPr>
          <w:p w14:paraId="2D4151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Звание</w:t>
            </w:r>
          </w:p>
        </w:tc>
        <w:tc>
          <w:tcPr>
            <w:tcW w:w="1868" w:type="dxa"/>
            <w:tcBorders>
              <w:top w:val="single" w:sz="12" w:space="0" w:color="auto"/>
            </w:tcBorders>
          </w:tcPr>
          <w:p w14:paraId="3DF06B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Имя</w:t>
            </w:r>
          </w:p>
        </w:tc>
        <w:tc>
          <w:tcPr>
            <w:tcW w:w="1868" w:type="dxa"/>
            <w:tcBorders>
              <w:top w:val="single" w:sz="12" w:space="0" w:color="auto"/>
            </w:tcBorders>
          </w:tcPr>
          <w:p w14:paraId="4B666E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Бортовой №</w:t>
            </w:r>
          </w:p>
        </w:tc>
        <w:tc>
          <w:tcPr>
            <w:tcW w:w="1868" w:type="dxa"/>
            <w:tcBorders>
              <w:top w:val="single" w:sz="12" w:space="0" w:color="auto"/>
            </w:tcBorders>
          </w:tcPr>
          <w:p w14:paraId="33BC2C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Налет</w:t>
            </w:r>
          </w:p>
        </w:tc>
        <w:tc>
          <w:tcPr>
            <w:tcW w:w="1868" w:type="dxa"/>
            <w:tcBorders>
              <w:top w:val="single" w:sz="12" w:space="0" w:color="auto"/>
            </w:tcBorders>
          </w:tcPr>
          <w:p w14:paraId="54F320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Налет</w:t>
            </w:r>
          </w:p>
        </w:tc>
      </w:tr>
      <w:tr w:rsidR="006F4095" w:rsidRPr="008127F8" w14:paraId="2D83F0A1" w14:textId="77777777">
        <w:tc>
          <w:tcPr>
            <w:tcW w:w="1868" w:type="dxa"/>
          </w:tcPr>
          <w:p w14:paraId="06866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0D55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9CB3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6A5C7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 Як-1</w:t>
            </w:r>
          </w:p>
        </w:tc>
        <w:tc>
          <w:tcPr>
            <w:tcW w:w="1868" w:type="dxa"/>
          </w:tcPr>
          <w:p w14:paraId="00F634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войны</w:t>
            </w:r>
          </w:p>
        </w:tc>
        <w:tc>
          <w:tcPr>
            <w:tcW w:w="1868" w:type="dxa"/>
          </w:tcPr>
          <w:p w14:paraId="00468C6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31.3.43</w:t>
            </w:r>
          </w:p>
        </w:tc>
      </w:tr>
      <w:tr w:rsidR="006F4095" w:rsidRPr="008127F8" w14:paraId="03D456E4" w14:textId="77777777">
        <w:tc>
          <w:tcPr>
            <w:tcW w:w="1868" w:type="dxa"/>
          </w:tcPr>
          <w:p w14:paraId="39B326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w:t>
            </w:r>
          </w:p>
        </w:tc>
        <w:tc>
          <w:tcPr>
            <w:tcW w:w="1868" w:type="dxa"/>
          </w:tcPr>
          <w:p w14:paraId="28E5EC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commandant</w:t>
            </w:r>
          </w:p>
        </w:tc>
        <w:tc>
          <w:tcPr>
            <w:tcW w:w="1868" w:type="dxa"/>
          </w:tcPr>
          <w:p w14:paraId="179EC3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Jean Tulasne</w:t>
            </w:r>
          </w:p>
        </w:tc>
        <w:tc>
          <w:tcPr>
            <w:tcW w:w="1868" w:type="dxa"/>
          </w:tcPr>
          <w:p w14:paraId="40C40E2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(30)</w:t>
            </w:r>
          </w:p>
        </w:tc>
        <w:tc>
          <w:tcPr>
            <w:tcW w:w="1868" w:type="dxa"/>
          </w:tcPr>
          <w:p w14:paraId="3C606C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65:05</w:t>
            </w:r>
          </w:p>
        </w:tc>
        <w:tc>
          <w:tcPr>
            <w:tcW w:w="1868" w:type="dxa"/>
          </w:tcPr>
          <w:p w14:paraId="5A22CB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1917:45</w:t>
            </w:r>
          </w:p>
        </w:tc>
      </w:tr>
      <w:tr w:rsidR="006F4095" w:rsidRPr="008127F8" w14:paraId="79653346" w14:textId="77777777">
        <w:tc>
          <w:tcPr>
            <w:tcW w:w="1868" w:type="dxa"/>
          </w:tcPr>
          <w:p w14:paraId="04161FE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868" w:type="dxa"/>
          </w:tcPr>
          <w:p w14:paraId="5FD2A7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commandant</w:t>
            </w:r>
          </w:p>
        </w:tc>
        <w:tc>
          <w:tcPr>
            <w:tcW w:w="1868" w:type="dxa"/>
          </w:tcPr>
          <w:p w14:paraId="2F7C36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Albert Littolff</w:t>
            </w:r>
          </w:p>
        </w:tc>
        <w:tc>
          <w:tcPr>
            <w:tcW w:w="1868" w:type="dxa"/>
          </w:tcPr>
          <w:p w14:paraId="4B51C2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1868" w:type="dxa"/>
          </w:tcPr>
          <w:p w14:paraId="1AAD2E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294:05</w:t>
            </w:r>
          </w:p>
        </w:tc>
        <w:tc>
          <w:tcPr>
            <w:tcW w:w="1868" w:type="dxa"/>
          </w:tcPr>
          <w:p w14:paraId="00CDFC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1953:40</w:t>
            </w:r>
          </w:p>
        </w:tc>
      </w:tr>
      <w:tr w:rsidR="006F4095" w:rsidRPr="008127F8" w14:paraId="6C4E0AA7" w14:textId="77777777">
        <w:tc>
          <w:tcPr>
            <w:tcW w:w="1868" w:type="dxa"/>
          </w:tcPr>
          <w:p w14:paraId="3A6CFE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868" w:type="dxa"/>
          </w:tcPr>
          <w:p w14:paraId="025D835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lieutenant</w:t>
            </w:r>
          </w:p>
        </w:tc>
        <w:tc>
          <w:tcPr>
            <w:tcW w:w="1868" w:type="dxa"/>
          </w:tcPr>
          <w:p w14:paraId="588379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Didier </w:t>
            </w:r>
            <w:proofErr w:type="gramStart"/>
            <w:r w:rsidRPr="008127F8">
              <w:rPr>
                <w:rFonts w:ascii="Times New Roman" w:hAnsi="Times New Roman"/>
                <w:color w:val="000000" w:themeColor="text1"/>
                <w:sz w:val="16"/>
                <w:szCs w:val="16"/>
              </w:rPr>
              <w:t>B?guin</w:t>
            </w:r>
            <w:proofErr w:type="gramEnd"/>
          </w:p>
        </w:tc>
        <w:tc>
          <w:tcPr>
            <w:tcW w:w="1868" w:type="dxa"/>
          </w:tcPr>
          <w:p w14:paraId="46DF54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B16A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167:35</w:t>
            </w:r>
          </w:p>
        </w:tc>
        <w:tc>
          <w:tcPr>
            <w:tcW w:w="1868" w:type="dxa"/>
          </w:tcPr>
          <w:p w14:paraId="313F81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1167:50</w:t>
            </w:r>
          </w:p>
        </w:tc>
      </w:tr>
      <w:tr w:rsidR="006F4095" w:rsidRPr="008127F8" w14:paraId="2EFE18AA" w14:textId="77777777">
        <w:tc>
          <w:tcPr>
            <w:tcW w:w="1868" w:type="dxa"/>
          </w:tcPr>
          <w:p w14:paraId="08FB99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868" w:type="dxa"/>
          </w:tcPr>
          <w:p w14:paraId="374CCE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lieutenant</w:t>
            </w:r>
          </w:p>
        </w:tc>
        <w:tc>
          <w:tcPr>
            <w:tcW w:w="1868" w:type="dxa"/>
          </w:tcPr>
          <w:p w14:paraId="189BB1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Raymond Derville</w:t>
            </w:r>
          </w:p>
        </w:tc>
        <w:tc>
          <w:tcPr>
            <w:tcW w:w="1868" w:type="dxa"/>
          </w:tcPr>
          <w:p w14:paraId="27FD747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6937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37:10</w:t>
            </w:r>
          </w:p>
        </w:tc>
        <w:tc>
          <w:tcPr>
            <w:tcW w:w="1868" w:type="dxa"/>
          </w:tcPr>
          <w:p w14:paraId="7C8C57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437:45</w:t>
            </w:r>
          </w:p>
        </w:tc>
      </w:tr>
      <w:tr w:rsidR="006F4095" w:rsidRPr="008127F8" w14:paraId="76884F16" w14:textId="77777777">
        <w:tc>
          <w:tcPr>
            <w:tcW w:w="1868" w:type="dxa"/>
          </w:tcPr>
          <w:p w14:paraId="6504F6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868" w:type="dxa"/>
          </w:tcPr>
          <w:p w14:paraId="0A75E2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lieutenant</w:t>
            </w:r>
          </w:p>
        </w:tc>
        <w:tc>
          <w:tcPr>
            <w:tcW w:w="1868" w:type="dxa"/>
          </w:tcPr>
          <w:p w14:paraId="677DCB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Andr? Poznanski</w:t>
            </w:r>
          </w:p>
        </w:tc>
        <w:tc>
          <w:tcPr>
            <w:tcW w:w="1868" w:type="dxa"/>
          </w:tcPr>
          <w:p w14:paraId="5FF944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D1C6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tc>
        <w:tc>
          <w:tcPr>
            <w:tcW w:w="1868" w:type="dxa"/>
          </w:tcPr>
          <w:p w14:paraId="22B0DF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348:40</w:t>
            </w:r>
          </w:p>
        </w:tc>
      </w:tr>
      <w:tr w:rsidR="006F4095" w:rsidRPr="008127F8" w14:paraId="6B79E5CD" w14:textId="77777777">
        <w:tc>
          <w:tcPr>
            <w:tcW w:w="1868" w:type="dxa"/>
          </w:tcPr>
          <w:p w14:paraId="664EF5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868" w:type="dxa"/>
          </w:tcPr>
          <w:p w14:paraId="7E22A42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lieutenant</w:t>
            </w:r>
          </w:p>
        </w:tc>
        <w:tc>
          <w:tcPr>
            <w:tcW w:w="1868" w:type="dxa"/>
          </w:tcPr>
          <w:p w14:paraId="120191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Albert </w:t>
            </w:r>
            <w:proofErr w:type="gramStart"/>
            <w:r w:rsidRPr="008127F8">
              <w:rPr>
                <w:rFonts w:ascii="Times New Roman" w:hAnsi="Times New Roman"/>
                <w:color w:val="000000" w:themeColor="text1"/>
                <w:sz w:val="16"/>
                <w:szCs w:val="16"/>
              </w:rPr>
              <w:t>Pr?ziosi</w:t>
            </w:r>
            <w:proofErr w:type="gramEnd"/>
          </w:p>
        </w:tc>
        <w:tc>
          <w:tcPr>
            <w:tcW w:w="1868" w:type="dxa"/>
          </w:tcPr>
          <w:p w14:paraId="613470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CE409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26:25</w:t>
            </w:r>
          </w:p>
        </w:tc>
        <w:tc>
          <w:tcPr>
            <w:tcW w:w="1868" w:type="dxa"/>
          </w:tcPr>
          <w:p w14:paraId="0A90AE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403:40</w:t>
            </w:r>
          </w:p>
        </w:tc>
      </w:tr>
      <w:tr w:rsidR="006F4095" w:rsidRPr="008127F8" w14:paraId="22A1AA4D" w14:textId="77777777">
        <w:tc>
          <w:tcPr>
            <w:tcW w:w="1868" w:type="dxa"/>
          </w:tcPr>
          <w:p w14:paraId="3E71E2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868" w:type="dxa"/>
          </w:tcPr>
          <w:p w14:paraId="3215EF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0E9190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Marsel Albert</w:t>
            </w:r>
          </w:p>
        </w:tc>
        <w:tc>
          <w:tcPr>
            <w:tcW w:w="1868" w:type="dxa"/>
          </w:tcPr>
          <w:p w14:paraId="01668B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868" w:type="dxa"/>
          </w:tcPr>
          <w:p w14:paraId="55F79A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90:00</w:t>
            </w:r>
          </w:p>
        </w:tc>
        <w:tc>
          <w:tcPr>
            <w:tcW w:w="1868" w:type="dxa"/>
          </w:tcPr>
          <w:p w14:paraId="16E3222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703:00</w:t>
            </w:r>
          </w:p>
        </w:tc>
      </w:tr>
      <w:tr w:rsidR="006F4095" w:rsidRPr="008127F8" w14:paraId="2E16F3D8" w14:textId="77777777">
        <w:tc>
          <w:tcPr>
            <w:tcW w:w="1868" w:type="dxa"/>
          </w:tcPr>
          <w:p w14:paraId="2F0F23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868" w:type="dxa"/>
          </w:tcPr>
          <w:p w14:paraId="72C013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4DA67F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Yves Bizien</w:t>
            </w:r>
          </w:p>
        </w:tc>
        <w:tc>
          <w:tcPr>
            <w:tcW w:w="1868" w:type="dxa"/>
          </w:tcPr>
          <w:p w14:paraId="076BE1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868" w:type="dxa"/>
          </w:tcPr>
          <w:p w14:paraId="50A9BC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21:10</w:t>
            </w:r>
          </w:p>
        </w:tc>
        <w:tc>
          <w:tcPr>
            <w:tcW w:w="1868" w:type="dxa"/>
          </w:tcPr>
          <w:p w14:paraId="1ABF0B0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348:10</w:t>
            </w:r>
          </w:p>
        </w:tc>
      </w:tr>
      <w:tr w:rsidR="006F4095" w:rsidRPr="008127F8" w14:paraId="2C6B9A9B" w14:textId="77777777">
        <w:tc>
          <w:tcPr>
            <w:tcW w:w="1868" w:type="dxa"/>
          </w:tcPr>
          <w:p w14:paraId="419579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868" w:type="dxa"/>
          </w:tcPr>
          <w:p w14:paraId="1E5BD5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4422BD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No?l</w:t>
            </w:r>
            <w:proofErr w:type="gramEnd"/>
            <w:r w:rsidRPr="008127F8">
              <w:rPr>
                <w:rFonts w:ascii="Times New Roman" w:hAnsi="Times New Roman"/>
                <w:color w:val="000000" w:themeColor="text1"/>
                <w:sz w:val="16"/>
                <w:szCs w:val="16"/>
              </w:rPr>
              <w:t xml:space="preserve"> Castelain</w:t>
            </w:r>
          </w:p>
        </w:tc>
        <w:tc>
          <w:tcPr>
            <w:tcW w:w="1868" w:type="dxa"/>
          </w:tcPr>
          <w:p w14:paraId="03D25F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B6B9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1868" w:type="dxa"/>
          </w:tcPr>
          <w:p w14:paraId="54FDEC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981:30</w:t>
            </w:r>
          </w:p>
        </w:tc>
      </w:tr>
      <w:tr w:rsidR="006F4095" w:rsidRPr="008127F8" w14:paraId="5D6220BF" w14:textId="77777777">
        <w:tc>
          <w:tcPr>
            <w:tcW w:w="1868" w:type="dxa"/>
          </w:tcPr>
          <w:p w14:paraId="3716F6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868" w:type="dxa"/>
          </w:tcPr>
          <w:p w14:paraId="06E9AD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4DA9803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Albert Durand</w:t>
            </w:r>
          </w:p>
        </w:tc>
        <w:tc>
          <w:tcPr>
            <w:tcW w:w="1868" w:type="dxa"/>
          </w:tcPr>
          <w:p w14:paraId="7AA8AEB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(42)</w:t>
            </w:r>
          </w:p>
        </w:tc>
        <w:tc>
          <w:tcPr>
            <w:tcW w:w="1868" w:type="dxa"/>
          </w:tcPr>
          <w:p w14:paraId="3444BD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101:35</w:t>
            </w:r>
          </w:p>
        </w:tc>
        <w:tc>
          <w:tcPr>
            <w:tcW w:w="1868" w:type="dxa"/>
          </w:tcPr>
          <w:p w14:paraId="4C225D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621:10</w:t>
            </w:r>
          </w:p>
        </w:tc>
      </w:tr>
      <w:tr w:rsidR="006F4095" w:rsidRPr="008127F8" w14:paraId="2E831DA2" w14:textId="77777777">
        <w:tc>
          <w:tcPr>
            <w:tcW w:w="1868" w:type="dxa"/>
          </w:tcPr>
          <w:p w14:paraId="188F2E0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868" w:type="dxa"/>
          </w:tcPr>
          <w:p w14:paraId="47E6B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788C2B0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Rolade de la Poype</w:t>
            </w:r>
          </w:p>
        </w:tc>
        <w:tc>
          <w:tcPr>
            <w:tcW w:w="1868" w:type="dxa"/>
          </w:tcPr>
          <w:p w14:paraId="345B221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868" w:type="dxa"/>
          </w:tcPr>
          <w:p w14:paraId="27381D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109:35</w:t>
            </w:r>
          </w:p>
        </w:tc>
        <w:tc>
          <w:tcPr>
            <w:tcW w:w="1868" w:type="dxa"/>
          </w:tcPr>
          <w:p w14:paraId="2EDB4F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496:45</w:t>
            </w:r>
          </w:p>
        </w:tc>
      </w:tr>
      <w:tr w:rsidR="006F4095" w:rsidRPr="008127F8" w14:paraId="5F8DC936" w14:textId="77777777">
        <w:tc>
          <w:tcPr>
            <w:tcW w:w="1868" w:type="dxa"/>
          </w:tcPr>
          <w:p w14:paraId="77148E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868" w:type="dxa"/>
          </w:tcPr>
          <w:p w14:paraId="6A9FCC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0F72A8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Marsel </w:t>
            </w:r>
            <w:proofErr w:type="gramStart"/>
            <w:r w:rsidRPr="008127F8">
              <w:rPr>
                <w:rFonts w:ascii="Times New Roman" w:hAnsi="Times New Roman"/>
                <w:color w:val="000000" w:themeColor="text1"/>
                <w:sz w:val="16"/>
                <w:szCs w:val="16"/>
              </w:rPr>
              <w:t>Lef?vre</w:t>
            </w:r>
            <w:proofErr w:type="gramEnd"/>
          </w:p>
        </w:tc>
        <w:tc>
          <w:tcPr>
            <w:tcW w:w="1868" w:type="dxa"/>
          </w:tcPr>
          <w:p w14:paraId="3CA5B9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868" w:type="dxa"/>
          </w:tcPr>
          <w:p w14:paraId="3CCAB8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45:50</w:t>
            </w:r>
          </w:p>
        </w:tc>
        <w:tc>
          <w:tcPr>
            <w:tcW w:w="1868" w:type="dxa"/>
          </w:tcPr>
          <w:p w14:paraId="481B6F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1078:15</w:t>
            </w:r>
          </w:p>
        </w:tc>
      </w:tr>
      <w:tr w:rsidR="006F4095" w:rsidRPr="008127F8" w14:paraId="71CCF084" w14:textId="77777777">
        <w:tc>
          <w:tcPr>
            <w:tcW w:w="1868" w:type="dxa"/>
          </w:tcPr>
          <w:p w14:paraId="5D6D140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868" w:type="dxa"/>
          </w:tcPr>
          <w:p w14:paraId="3CA7251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Pr>
          <w:p w14:paraId="7346D2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Yves Mah?</w:t>
            </w:r>
          </w:p>
        </w:tc>
        <w:tc>
          <w:tcPr>
            <w:tcW w:w="1868" w:type="dxa"/>
          </w:tcPr>
          <w:p w14:paraId="7F0833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BEE60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65:25</w:t>
            </w:r>
          </w:p>
        </w:tc>
        <w:tc>
          <w:tcPr>
            <w:tcW w:w="1868" w:type="dxa"/>
          </w:tcPr>
          <w:p w14:paraId="4E8C27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619:25</w:t>
            </w:r>
          </w:p>
        </w:tc>
      </w:tr>
      <w:tr w:rsidR="006F4095" w:rsidRPr="008127F8" w14:paraId="706F6E01" w14:textId="77777777">
        <w:tc>
          <w:tcPr>
            <w:tcW w:w="1868" w:type="dxa"/>
            <w:tcBorders>
              <w:bottom w:val="single" w:sz="12" w:space="0" w:color="auto"/>
            </w:tcBorders>
          </w:tcPr>
          <w:p w14:paraId="5E33EA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868" w:type="dxa"/>
            <w:tcBorders>
              <w:bottom w:val="single" w:sz="12" w:space="0" w:color="auto"/>
            </w:tcBorders>
          </w:tcPr>
          <w:p w14:paraId="08BB9F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aspirant</w:t>
            </w:r>
          </w:p>
        </w:tc>
        <w:tc>
          <w:tcPr>
            <w:tcW w:w="1868" w:type="dxa"/>
            <w:tcBorders>
              <w:bottom w:val="single" w:sz="12" w:space="0" w:color="auto"/>
            </w:tcBorders>
          </w:tcPr>
          <w:p w14:paraId="20ECCD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Joseph Risso</w:t>
            </w:r>
          </w:p>
        </w:tc>
        <w:tc>
          <w:tcPr>
            <w:tcW w:w="1868" w:type="dxa"/>
            <w:tcBorders>
              <w:bottom w:val="single" w:sz="12" w:space="0" w:color="auto"/>
            </w:tcBorders>
          </w:tcPr>
          <w:p w14:paraId="37A073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217A59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53:00</w:t>
            </w:r>
          </w:p>
        </w:tc>
        <w:tc>
          <w:tcPr>
            <w:tcW w:w="1868" w:type="dxa"/>
            <w:tcBorders>
              <w:bottom w:val="single" w:sz="12" w:space="0" w:color="auto"/>
            </w:tcBorders>
          </w:tcPr>
          <w:p w14:paraId="6DDA72B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741:00</w:t>
            </w:r>
          </w:p>
        </w:tc>
      </w:tr>
    </w:tbl>
    <w:p w14:paraId="7DDC1E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Возглавлял эскадрилью майор Тюлян, опытный 35-летний офицер, воевавший против немцев и итальянцев в Ливии. В Советском Союзе знали, что однажды он заставил приземлиться прямо на пляж неприятельский транспортный самолет, в котором оказалось шесть итальянских генералов, улетавших из осажденного англичанами Тобрука. На счету всех французских пилотов имелось 29 побед, из которых 10 одержал капитан Литольф.</w:t>
      </w:r>
    </w:p>
    <w:p w14:paraId="007A35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группа из 14 французских летчиков, 46 технических специалистов и офицеров штаба отправилась в СССР из Ливана через Сирию, Иран и Ирак 12 ноября 1942 г. На переговорах начальника штаба ВВС КА генерал-лейтенанта Ф.Я. Фалалеева с главой Французской военной миссии в СССР генералом Э. Пети была достигнута договоренность о предоставлении в распоряжение французских летчиков истребителей Як-1. Выбор определился тем, что он был в то время одним из лучших советских истребителей, и был более подготовлен к зимним условиям, чем иностранные машины. Но, самое важное, что по многим показателям он был схож с французским истребителем Dewoitine D.520, на котором приходилось летать до этого летчикам эскадрильи.</w:t>
      </w:r>
    </w:p>
    <w:p w14:paraId="6B702D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Предварительная подготовка летного состава с целью восстановления утраченных навыков происходила под командованием майора Пуликена с 1 по 18 декабря на самолетах У-2 и УТ-2. Далее до 25 января 1943 г. шло переучивание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498DA0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Первый вылет по тревоге на перехват выполнили 26 марта 1943 г. лейтенант Раймонд Дервиль (Raymond Derville) и аспирант </w:t>
      </w:r>
      <w:proofErr w:type="gramStart"/>
      <w:r w:rsidRPr="008127F8">
        <w:rPr>
          <w:rFonts w:ascii="Times New Roman" w:hAnsi="Times New Roman"/>
          <w:color w:val="000000" w:themeColor="text1"/>
          <w:sz w:val="16"/>
          <w:szCs w:val="16"/>
        </w:rPr>
        <w:t>Аль- бер</w:t>
      </w:r>
      <w:proofErr w:type="gramEnd"/>
      <w:r w:rsidRPr="008127F8">
        <w:rPr>
          <w:rFonts w:ascii="Times New Roman" w:hAnsi="Times New Roman"/>
          <w:color w:val="000000" w:themeColor="text1"/>
          <w:sz w:val="16"/>
          <w:szCs w:val="16"/>
        </w:rPr>
        <w:t xml:space="preserve">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94991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764FF1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73DE72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C09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эсминец Северного флота Гремящий глубинной бомбой достоверно потопил немецкую п/л и 1 марта 1943 он первым на Северном флоте стал гвардейским (1068,59).</w:t>
      </w:r>
    </w:p>
    <w:p w14:paraId="7526E3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F75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 Вашингтоне был сформирован Военный совет по войне на Тихом океане (2261).</w:t>
      </w:r>
    </w:p>
    <w:p w14:paraId="506A9D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C54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March 30 1942 Russian offensive ends, both sides are much weakened. </w:t>
      </w:r>
      <w:r w:rsidRPr="008127F8">
        <w:rPr>
          <w:rFonts w:ascii="Times New Roman" w:hAnsi="Times New Roman"/>
          <w:color w:val="000000" w:themeColor="text1"/>
          <w:sz w:val="16"/>
          <w:szCs w:val="16"/>
        </w:rPr>
        <w:t>(1052).</w:t>
      </w:r>
    </w:p>
    <w:p w14:paraId="30C366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E41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выдохлось и закончилось советское наступление (1052).</w:t>
      </w:r>
    </w:p>
    <w:p w14:paraId="30A15F8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B7AC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40183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E2B7B8"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г. Вендель снова поднял трехдвигательный Me 262V-1, и снова оба двигателя «капризничали» на переходных режимах.</w:t>
      </w:r>
    </w:p>
    <w:p w14:paraId="04AEE97C"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оказалась очень большой, посадочная скорость — высокой, а управляемость самолета — недостаточной. Из доклада по итогам летных испытаний от 30 марта 1942 г. № 692/12: «Общее впечатление неудовлетворительное. Уже сейчас можно сказать, что пилоты средней квалификации не смогут управлять самолетом с такой большой удельной нагрузкой на крыло».</w:t>
      </w:r>
    </w:p>
    <w:p w14:paraId="453FF324" w14:textId="77777777" w:rsidR="00710D36" w:rsidRPr="008127F8" w:rsidRDefault="00710D3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RLM отреагировали сокращением заказа с 20 до пяти прототипов. Мессершмитт ответил установкой на прототипы V-3, V-4 и V-5 более продвинутых Jumo 004, а на V-2 установил шесть ПВРД Schmidt-Argus (22776).</w:t>
      </w:r>
    </w:p>
    <w:p w14:paraId="415F95A7" w14:textId="77777777" w:rsidR="00710D36" w:rsidRPr="008127F8" w:rsidRDefault="00710D36" w:rsidP="001E0A84">
      <w:pPr>
        <w:spacing w:after="0" w:line="240" w:lineRule="auto"/>
        <w:jc w:val="both"/>
        <w:rPr>
          <w:rFonts w:ascii="Times New Roman" w:hAnsi="Times New Roman"/>
          <w:color w:val="000000" w:themeColor="text1"/>
          <w:sz w:val="16"/>
          <w:szCs w:val="16"/>
        </w:rPr>
      </w:pPr>
    </w:p>
    <w:p w14:paraId="3912243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в концлагерь Освенцим прибыла первая партия французских евреев (4962).</w:t>
      </w:r>
    </w:p>
    <w:p w14:paraId="080568FF"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99A5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состоялась операция Millennium по бомбардировке Кельна, в которой приняло участие 1046 бомбардировщиков RAF. Долетело 898 машин и сбросили 1455 т бомб за 90 минут (2605).</w:t>
      </w:r>
    </w:p>
    <w:p w14:paraId="6B6FE9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E51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президент США утвердил разделение Тихоокеанского театра военных действий на два основных района - ЮЗ (к - Д.Макартур) и Тихоокеанский (к Ч.Нимиц) (3186).</w:t>
      </w:r>
    </w:p>
    <w:p w14:paraId="0626BC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DED41"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1942 Англия и США поделили свои зоны боевых действий в Тихом океане (4962).</w:t>
      </w:r>
    </w:p>
    <w:p w14:paraId="0C53A777" w14:textId="77777777" w:rsidR="007E67CF" w:rsidRPr="008127F8" w:rsidRDefault="007E67CF"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C33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марта - 30 апреля 1942 японская армия вела наступление в Бирме (3907,235).</w:t>
      </w:r>
    </w:p>
    <w:p w14:paraId="065A19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0B58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9C123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B80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у Нач. 10 ГУ Тарасевича состоялось совещание по вопросу об организации производства самолетов ДБ-3Ф на заводе 23:</w:t>
      </w:r>
    </w:p>
    <w:p w14:paraId="6A0AEA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Постановили:</w:t>
      </w:r>
    </w:p>
    <w:p w14:paraId="3FC50A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Выпуск самолетов ДБ-3Ф из деталей и агрегатов собственного производства завода 23 производить в следующем варианте: металлический самолет с М-88, но с деревянными консолями крыла.</w:t>
      </w:r>
    </w:p>
    <w:p w14:paraId="052BA7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шт. деревянных консолей должны быть изготовлены заводом 23 между 5-10 мая </w:t>
      </w:r>
      <w:proofErr w:type="gramStart"/>
      <w:r w:rsidRPr="008127F8">
        <w:rPr>
          <w:rFonts w:ascii="Times New Roman" w:hAnsi="Times New Roman"/>
          <w:color w:val="000000" w:themeColor="text1"/>
          <w:sz w:val="16"/>
          <w:szCs w:val="16"/>
        </w:rPr>
        <w:t>с.г..</w:t>
      </w:r>
      <w:proofErr w:type="gramEnd"/>
      <w:r w:rsidRPr="008127F8">
        <w:rPr>
          <w:rFonts w:ascii="Times New Roman" w:hAnsi="Times New Roman"/>
          <w:color w:val="000000" w:themeColor="text1"/>
          <w:sz w:val="16"/>
          <w:szCs w:val="16"/>
        </w:rPr>
        <w:t xml:space="preserve"> 2 консоли будут поставлены на металлическом самолете ДБ-3Ф с М-88, проверены в полете и не позднее 25 мая ГК С.В.И. будет дано заводу 23 окончательное заключение о возможности запуска в серию консолей крыла.</w:t>
      </w:r>
    </w:p>
    <w:p w14:paraId="76B9E3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15 апреля с.г.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N 188сс, завод 126 должен отгрузить заводу 23 10 самолетов ДБ-3Ф 2М-88 россыпью. Следовательно, завод 23 июньскую и июльскую программы будет выполнять из россыпи завода 126.</w:t>
      </w:r>
    </w:p>
    <w:p w14:paraId="546C04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как указано выше, будет решение о пригодности деревянных консолей крыла к металлическому самолету с М-88. Если решение будет положительным, то завод 23 имеет возможность подготовиться к выпуску августовской программы ДБ-3Ф с деревянными консолями крыла. Если отрицательное, то завод 23 будет иметь время фундаментально оснастить металлическое крыло подготовиться к августовской программе.</w:t>
      </w:r>
    </w:p>
    <w:p w14:paraId="4EF866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решение облегчает заводу 23 постановку производства ДБ-3Ф и на каждом самолете даст экономию деталей в 400 кг.</w:t>
      </w:r>
    </w:p>
    <w:p w14:paraId="2A915EA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Исходя из установки, изложенной в п.1 наст. протокола, подготовка производства должна вестись следующим порядком:</w:t>
      </w:r>
    </w:p>
    <w:p w14:paraId="25E9DE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завод 23 должен фундаментально оснастить металлический фюзеляж и менее фундаментально металлическое крыло с тем, чтобы на этой оснастке обеспечить сборку металлических консолей из деталей россыпи завода 126.</w:t>
      </w:r>
    </w:p>
    <w:p w14:paraId="181345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параллельно, начиная немедленно, должен готовить фундаментальную оснастку для деревянных консолей крыла.</w:t>
      </w:r>
    </w:p>
    <w:p w14:paraId="366463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Производство деревянных консолей крыла ДБ-3Ф оставить на заводе 23, причем подавать заводу 23 детали для деревянных консолей крыла обязать завод 497 6 ГУ.</w:t>
      </w:r>
    </w:p>
    <w:p w14:paraId="444615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деревянных фюзеляжей для самолета ДБ-3Ф оставить на заводе 497, развивая его таким образом, чтобы этот завод подавал заводу 23 совершенно готовые агрегаты. Причем, всеми металлическими деталями, как для опытных экземпляров, так и для серийного производства завод 497 обеспечивается заводом 23.</w:t>
      </w:r>
    </w:p>
    <w:p w14:paraId="4FACDF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497 д. развить свою производственную мощность таким образом, чтобы выйти на 1 декабря 1942 с производительностью 5 фюзеляжей в день.</w:t>
      </w:r>
    </w:p>
    <w:p w14:paraId="3610B7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ГК С.В.И. закончить к 1 июля 1942 полное испытание ДБ-3Ф 2М-82 с деревянными консолями крыла, а также ДБ-3Ф 2М-82 с деревянными консолями крыла и деревянным фюзеляжем.</w:t>
      </w:r>
    </w:p>
    <w:p w14:paraId="3A5688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положительных результатов испытания - самолет ДБ-3Ф 2М-82 с деревянными консолями крыла с 1 июля 1942 запускается на заводе 23 в серийное производство с тем, чтобы выпуск таких самолетов был начат в сентябре 1942.</w:t>
      </w:r>
    </w:p>
    <w:p w14:paraId="24C744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Просить Зам. Наркома НКАП Воронина утвердить настоящий протокол." (1685,33).</w:t>
      </w:r>
    </w:p>
    <w:p w14:paraId="0B8E2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CD6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Н.А.Жемчужин от</w:t>
      </w:r>
      <w:r w:rsidRPr="008127F8">
        <w:rPr>
          <w:rFonts w:ascii="Times New Roman" w:hAnsi="Times New Roman"/>
          <w:color w:val="000000" w:themeColor="text1"/>
          <w:sz w:val="16"/>
          <w:szCs w:val="16"/>
        </w:rPr>
        <w:softHyphen/>
        <w:t>правил в Москву вслед Поликарпову в НКАП отзывы л 18-го Гвардейского истребительного пол</w:t>
      </w:r>
      <w:r w:rsidRPr="008127F8">
        <w:rPr>
          <w:rFonts w:ascii="Times New Roman" w:hAnsi="Times New Roman"/>
          <w:color w:val="000000" w:themeColor="text1"/>
          <w:sz w:val="16"/>
          <w:szCs w:val="16"/>
        </w:rPr>
        <w:softHyphen/>
        <w:t>ка майора Черткова и его заместителя капитана Цветкова, которые облетали И-185 М-71, справедливо полагая, что мнения фронтовых летчиков являются ве</w:t>
      </w:r>
      <w:r w:rsidRPr="008127F8">
        <w:rPr>
          <w:rFonts w:ascii="Times New Roman" w:hAnsi="Times New Roman"/>
          <w:color w:val="000000" w:themeColor="text1"/>
          <w:sz w:val="16"/>
          <w:szCs w:val="16"/>
        </w:rPr>
        <w:softHyphen/>
        <w:t>сомым аргументом в поддержку И-185.</w:t>
      </w:r>
    </w:p>
    <w:p w14:paraId="5271C3E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Отзыв о самолете И-185 с М-71 майора С.Черткова:</w:t>
      </w:r>
    </w:p>
    <w:p w14:paraId="717483C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Кабина удобная для обзора воздуха и всех прибо</w:t>
      </w:r>
      <w:r w:rsidRPr="008127F8">
        <w:rPr>
          <w:rFonts w:ascii="Times New Roman" w:hAnsi="Times New Roman"/>
          <w:color w:val="000000" w:themeColor="text1"/>
          <w:sz w:val="16"/>
          <w:szCs w:val="16"/>
        </w:rPr>
        <w:softHyphen/>
        <w:t>ров контроля мотора и пилотажных. В отличие от име</w:t>
      </w:r>
      <w:r w:rsidRPr="008127F8">
        <w:rPr>
          <w:rFonts w:ascii="Times New Roman" w:hAnsi="Times New Roman"/>
          <w:color w:val="000000" w:themeColor="text1"/>
          <w:sz w:val="16"/>
          <w:szCs w:val="16"/>
        </w:rPr>
        <w:softHyphen/>
        <w:t>ющихся кабин на [существующих] истребителях она является комфортом.</w:t>
      </w:r>
    </w:p>
    <w:p w14:paraId="1DF0387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Рулежка проста при любом ветре, тормоза работа</w:t>
      </w:r>
      <w:r w:rsidRPr="008127F8">
        <w:rPr>
          <w:rFonts w:ascii="Times New Roman" w:hAnsi="Times New Roman"/>
          <w:color w:val="000000" w:themeColor="text1"/>
          <w:sz w:val="16"/>
          <w:szCs w:val="16"/>
        </w:rPr>
        <w:softHyphen/>
        <w:t>ют хорошо.</w:t>
      </w:r>
    </w:p>
    <w:p w14:paraId="23B413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Взлет устойчив и по разбегу вполне обеспечивает возможность в боевых условиях работать с небольших площадок.</w:t>
      </w:r>
    </w:p>
    <w:p w14:paraId="4E5B7FF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разворотах и виражах устойчив, по радиусу ви</w:t>
      </w:r>
      <w:r w:rsidRPr="008127F8">
        <w:rPr>
          <w:rFonts w:ascii="Times New Roman" w:hAnsi="Times New Roman"/>
          <w:color w:val="000000" w:themeColor="text1"/>
          <w:sz w:val="16"/>
          <w:szCs w:val="16"/>
        </w:rPr>
        <w:softHyphen/>
        <w:t>ража дает возможность иметь преимущества перед зна</w:t>
      </w:r>
      <w:r w:rsidRPr="008127F8">
        <w:rPr>
          <w:rFonts w:ascii="Times New Roman" w:hAnsi="Times New Roman"/>
          <w:color w:val="000000" w:themeColor="text1"/>
          <w:sz w:val="16"/>
          <w:szCs w:val="16"/>
        </w:rPr>
        <w:softHyphen/>
        <w:t>комыми в бою германскими истребителями. На боевых разворотах и вообще в бою на вертикали преимущество данного самолета очевидно.</w:t>
      </w:r>
    </w:p>
    <w:p w14:paraId="2749085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Самолет устойчив на больших и малых скоростях, однако надо иметь в виду, что с изменением мощности мотора появляется давление на ручку в зависимости от разворота:</w:t>
      </w:r>
    </w:p>
    <w:p w14:paraId="37D2A54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устойчив с выпущенными шасси и щитками;</w:t>
      </w:r>
    </w:p>
    <w:p w14:paraId="271ACE2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 выпуске шасси и щитков соблюдается нор</w:t>
      </w:r>
      <w:r w:rsidRPr="008127F8">
        <w:rPr>
          <w:rFonts w:ascii="Times New Roman" w:hAnsi="Times New Roman"/>
          <w:color w:val="000000" w:themeColor="text1"/>
          <w:sz w:val="16"/>
          <w:szCs w:val="16"/>
        </w:rPr>
        <w:softHyphen/>
        <w:t>мальный режим полета, не затрудняющий летчика из</w:t>
      </w:r>
      <w:r w:rsidRPr="008127F8">
        <w:rPr>
          <w:rFonts w:ascii="Times New Roman" w:hAnsi="Times New Roman"/>
          <w:color w:val="000000" w:themeColor="text1"/>
          <w:sz w:val="16"/>
          <w:szCs w:val="16"/>
        </w:rPr>
        <w:softHyphen/>
        <w:t>лишним вниманием.</w:t>
      </w:r>
    </w:p>
    <w:p w14:paraId="4A62E38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Планирование и посадка просты.</w:t>
      </w:r>
    </w:p>
    <w:p w14:paraId="4EC002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Пробег на посадке вполне обеспечивает работу с небольших площадок.</w:t>
      </w:r>
    </w:p>
    <w:p w14:paraId="3723E27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вывод.</w:t>
      </w:r>
    </w:p>
    <w:p w14:paraId="76B2C69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Преимущества данного самолета перед имеющими</w:t>
      </w:r>
      <w:r w:rsidRPr="008127F8">
        <w:rPr>
          <w:rFonts w:ascii="Times New Roman" w:hAnsi="Times New Roman"/>
          <w:color w:val="000000" w:themeColor="text1"/>
          <w:sz w:val="16"/>
          <w:szCs w:val="16"/>
        </w:rPr>
        <w:softHyphen/>
        <w:t>ся истребителями очевидны. Любой летчик средней ква</w:t>
      </w:r>
      <w:r w:rsidRPr="008127F8">
        <w:rPr>
          <w:rFonts w:ascii="Times New Roman" w:hAnsi="Times New Roman"/>
          <w:color w:val="000000" w:themeColor="text1"/>
          <w:sz w:val="16"/>
          <w:szCs w:val="16"/>
        </w:rPr>
        <w:softHyphen/>
        <w:t>лификации, в особенности летающий на самолете И-16, легко может летать на данном самолете. Разбег и пробег самолета являются особенно положительной чертой для боевой работы».</w:t>
      </w:r>
    </w:p>
    <w:p w14:paraId="4378876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Отзыв капитана Г. Цветаева:</w:t>
      </w:r>
    </w:p>
    <w:p w14:paraId="01EEAB3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«Рулит самолет устойчиво, амортизация хорошая. На рулении самолет легко управляем.</w:t>
      </w:r>
    </w:p>
    <w:p w14:paraId="3C2B5D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 производит исключительно просто. Направле</w:t>
      </w:r>
      <w:r w:rsidRPr="008127F8">
        <w:rPr>
          <w:rFonts w:ascii="Times New Roman" w:hAnsi="Times New Roman"/>
          <w:color w:val="000000" w:themeColor="text1"/>
          <w:sz w:val="16"/>
          <w:szCs w:val="16"/>
        </w:rPr>
        <w:softHyphen/>
        <w:t>ние удерживает легко. Разбег короткий и самолет легко отрывается. Самолет набирает высоту хорошо и устой</w:t>
      </w:r>
      <w:r w:rsidRPr="008127F8">
        <w:rPr>
          <w:rFonts w:ascii="Times New Roman" w:hAnsi="Times New Roman"/>
          <w:color w:val="000000" w:themeColor="text1"/>
          <w:sz w:val="16"/>
          <w:szCs w:val="16"/>
        </w:rPr>
        <w:softHyphen/>
        <w:t>чиво.</w:t>
      </w:r>
    </w:p>
    <w:p w14:paraId="66AB455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воздухе самолет легко управляем и ведет себя ус</w:t>
      </w:r>
      <w:r w:rsidRPr="008127F8">
        <w:rPr>
          <w:rFonts w:ascii="Times New Roman" w:hAnsi="Times New Roman"/>
          <w:color w:val="000000" w:themeColor="text1"/>
          <w:sz w:val="16"/>
          <w:szCs w:val="16"/>
        </w:rPr>
        <w:softHyphen/>
        <w:t>тойчиво. Виражи и б[оевые] развороты делает хорошо, устойчиво, как на больших, [так] и малых скоростях. Планирование устойчивое.</w:t>
      </w:r>
    </w:p>
    <w:p w14:paraId="5390BE7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посадке самолет прост. С И-16 можно легко пере</w:t>
      </w:r>
      <w:r w:rsidRPr="008127F8">
        <w:rPr>
          <w:rFonts w:ascii="Times New Roman" w:hAnsi="Times New Roman"/>
          <w:color w:val="000000" w:themeColor="text1"/>
          <w:sz w:val="16"/>
          <w:szCs w:val="16"/>
        </w:rPr>
        <w:softHyphen/>
        <w:t>ходить на самолет И-185.</w:t>
      </w:r>
    </w:p>
    <w:p w14:paraId="72E72E6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Даже при боковом ветре 7-9 м/с посадка не затрудня</w:t>
      </w:r>
      <w:r w:rsidRPr="008127F8">
        <w:rPr>
          <w:rFonts w:ascii="Times New Roman" w:hAnsi="Times New Roman"/>
          <w:color w:val="000000" w:themeColor="text1"/>
          <w:sz w:val="16"/>
          <w:szCs w:val="16"/>
        </w:rPr>
        <w:softHyphen/>
        <w:t>ется.</w:t>
      </w:r>
    </w:p>
    <w:p w14:paraId="29ECCD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 прост и очень короткий, что позволяет воз</w:t>
      </w:r>
      <w:r w:rsidRPr="008127F8">
        <w:rPr>
          <w:rFonts w:ascii="Times New Roman" w:hAnsi="Times New Roman"/>
          <w:color w:val="000000" w:themeColor="text1"/>
          <w:sz w:val="16"/>
          <w:szCs w:val="16"/>
        </w:rPr>
        <w:softHyphen/>
        <w:t>можность работать на площадках малых размеров» (10667).</w:t>
      </w:r>
    </w:p>
    <w:p w14:paraId="7C98B4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3B87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BD8003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C77FF"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w:t>
      </w:r>
    </w:p>
    <w:p w14:paraId="1FE458F7" w14:textId="3D1CF681"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86 лист 8</w:t>
      </w:r>
      <w:r w:rsidR="008127F8">
        <w:rPr>
          <w:rFonts w:ascii="Times New Roman" w:hAnsi="Times New Roman"/>
          <w:color w:val="000000" w:themeColor="text1"/>
          <w:sz w:val="16"/>
          <w:szCs w:val="16"/>
        </w:rPr>
        <w:t xml:space="preserve">  </w:t>
      </w:r>
    </w:p>
    <w:p w14:paraId="1635C1B7" w14:textId="23722DCA"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275555FC" w14:textId="10C55093"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 9.IV.42 г. 1954.</w:t>
      </w:r>
      <w:r w:rsidR="008127F8">
        <w:rPr>
          <w:rFonts w:ascii="Times New Roman" w:hAnsi="Times New Roman"/>
          <w:color w:val="000000" w:themeColor="text1"/>
          <w:sz w:val="16"/>
          <w:szCs w:val="16"/>
        </w:rPr>
        <w:t xml:space="preserve">  </w:t>
      </w:r>
    </w:p>
    <w:p w14:paraId="0FD0697C" w14:textId="27B9D083"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"Снятие копий категорически воспрещается".</w:t>
      </w:r>
      <w:r w:rsidR="008127F8">
        <w:rPr>
          <w:rFonts w:ascii="Times New Roman" w:hAnsi="Times New Roman"/>
          <w:color w:val="000000" w:themeColor="text1"/>
          <w:sz w:val="16"/>
          <w:szCs w:val="16"/>
        </w:rPr>
        <w:t xml:space="preserve">  </w:t>
      </w:r>
    </w:p>
    <w:p w14:paraId="496B71B8"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39F6781C"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3F6AA2F6"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120с</w:t>
      </w:r>
    </w:p>
    <w:p w14:paraId="78FA9A92"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Челябинск</w:t>
      </w:r>
    </w:p>
    <w:p w14:paraId="4108BFC3"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31-го марта 1942 г.</w:t>
      </w:r>
    </w:p>
    <w:p w14:paraId="07B164E6" w14:textId="559AE3E9"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улучшения эксплоатационных качеств танков ПРИКАЗЫВАЮ:</w:t>
      </w:r>
      <w:r w:rsidR="008127F8">
        <w:rPr>
          <w:rFonts w:ascii="Times New Roman" w:hAnsi="Times New Roman"/>
          <w:color w:val="000000" w:themeColor="text1"/>
          <w:sz w:val="16"/>
          <w:szCs w:val="16"/>
        </w:rPr>
        <w:t xml:space="preserve">  </w:t>
      </w:r>
    </w:p>
    <w:p w14:paraId="3B7882DA"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w:t>
      </w:r>
    </w:p>
    <w:p w14:paraId="1940C0FC" w14:textId="01A20041"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СТЗ тов. ЗАДОРОЖНОМУ К.А.:</w:t>
      </w:r>
      <w:r w:rsidR="008127F8">
        <w:rPr>
          <w:rFonts w:ascii="Times New Roman" w:hAnsi="Times New Roman"/>
          <w:color w:val="000000" w:themeColor="text1"/>
          <w:sz w:val="16"/>
          <w:szCs w:val="16"/>
        </w:rPr>
        <w:t xml:space="preserve">  </w:t>
      </w:r>
    </w:p>
    <w:p w14:paraId="64384A94" w14:textId="2A1546AF"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провести экспериментальные работы по повышению мощности двигателя В-2 до 750 л.с. при 2000 – 2100 </w:t>
      </w:r>
      <w:proofErr w:type="gramStart"/>
      <w:r w:rsidRPr="008127F8">
        <w:rPr>
          <w:rFonts w:ascii="Times New Roman" w:hAnsi="Times New Roman"/>
          <w:color w:val="000000" w:themeColor="text1"/>
          <w:sz w:val="16"/>
          <w:szCs w:val="16"/>
        </w:rPr>
        <w:t>об./</w:t>
      </w:r>
      <w:proofErr w:type="gramEnd"/>
      <w:r w:rsidRPr="008127F8">
        <w:rPr>
          <w:rFonts w:ascii="Times New Roman" w:hAnsi="Times New Roman"/>
          <w:color w:val="000000" w:themeColor="text1"/>
          <w:sz w:val="16"/>
          <w:szCs w:val="16"/>
        </w:rPr>
        <w:t>мин. наддувом с помощью центробежного и объемного нагнетателей.</w:t>
      </w:r>
      <w:r w:rsidR="008127F8">
        <w:rPr>
          <w:rFonts w:ascii="Times New Roman" w:hAnsi="Times New Roman"/>
          <w:color w:val="000000" w:themeColor="text1"/>
          <w:sz w:val="16"/>
          <w:szCs w:val="16"/>
        </w:rPr>
        <w:t xml:space="preserve">  </w:t>
      </w:r>
    </w:p>
    <w:p w14:paraId="5E91F119" w14:textId="3CBF457C"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Проектные работы по повышению мощности двигателя закончить к 1 мая 1942 г.</w:t>
      </w:r>
      <w:r w:rsidR="008127F8">
        <w:rPr>
          <w:rFonts w:ascii="Times New Roman" w:hAnsi="Times New Roman"/>
          <w:color w:val="000000" w:themeColor="text1"/>
          <w:sz w:val="16"/>
          <w:szCs w:val="16"/>
        </w:rPr>
        <w:t xml:space="preserve">  </w:t>
      </w:r>
    </w:p>
    <w:p w14:paraId="1FDB240D" w14:textId="023462D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Экспериментальные работы и отчеты по ним представить на утверждение моему заместителю т. Котину Ж.Я. к 10 июля 1942 г.</w:t>
      </w:r>
      <w:r w:rsidR="008127F8">
        <w:rPr>
          <w:rFonts w:ascii="Times New Roman" w:hAnsi="Times New Roman"/>
          <w:color w:val="000000" w:themeColor="text1"/>
          <w:sz w:val="16"/>
          <w:szCs w:val="16"/>
        </w:rPr>
        <w:t xml:space="preserve">  </w:t>
      </w:r>
    </w:p>
    <w:p w14:paraId="3502C3A4" w14:textId="2B1393D5"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Для проверки на танке экспериментального двигателя с наддувом выделить: один танк Т-34 и один ремонтный танк "КВ".</w:t>
      </w:r>
      <w:r w:rsidR="008127F8">
        <w:rPr>
          <w:rFonts w:ascii="Times New Roman" w:hAnsi="Times New Roman"/>
          <w:color w:val="000000" w:themeColor="text1"/>
          <w:sz w:val="16"/>
          <w:szCs w:val="16"/>
        </w:rPr>
        <w:t xml:space="preserve">  </w:t>
      </w:r>
    </w:p>
    <w:p w14:paraId="461837E7"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w:t>
      </w:r>
    </w:p>
    <w:p w14:paraId="2A258424" w14:textId="0D68EC79"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Кировского завода тов. МАХОНИН С.Н.:</w:t>
      </w:r>
      <w:r w:rsidR="008127F8">
        <w:rPr>
          <w:rFonts w:ascii="Times New Roman" w:hAnsi="Times New Roman"/>
          <w:color w:val="000000" w:themeColor="text1"/>
          <w:sz w:val="16"/>
          <w:szCs w:val="16"/>
        </w:rPr>
        <w:t xml:space="preserve">  </w:t>
      </w:r>
    </w:p>
    <w:p w14:paraId="7C4B3024" w14:textId="1DAB3D0C"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Отправить на СТЗ самолетом не позднее 5/IV-42 г. 2 шт. центробежных нагнетателей АМ-35, а также комплект чертежей трансмиссионного и моторного отделения и КПП танка "КВ" для проектирования размещения нагнетателя.</w:t>
      </w:r>
      <w:r w:rsidR="008127F8">
        <w:rPr>
          <w:rFonts w:ascii="Times New Roman" w:hAnsi="Times New Roman"/>
          <w:color w:val="000000" w:themeColor="text1"/>
          <w:sz w:val="16"/>
          <w:szCs w:val="16"/>
        </w:rPr>
        <w:t xml:space="preserve">  </w:t>
      </w:r>
    </w:p>
    <w:p w14:paraId="6B82D7D3"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w:t>
      </w:r>
    </w:p>
    <w:p w14:paraId="159EB882" w14:textId="517EE323"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Финансового Отдела НКТП тов. ШАГАЛОВУ:</w:t>
      </w:r>
      <w:r w:rsidR="008127F8">
        <w:rPr>
          <w:rFonts w:ascii="Times New Roman" w:hAnsi="Times New Roman"/>
          <w:color w:val="000000" w:themeColor="text1"/>
          <w:sz w:val="16"/>
          <w:szCs w:val="16"/>
        </w:rPr>
        <w:t xml:space="preserve">  </w:t>
      </w:r>
    </w:p>
    <w:p w14:paraId="05191AA3"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проведения экспериментальных работ выделить в распоряжение директора СТЗ тов. ЗАДОРОЖНОГО 500 тысяч рублей</w:t>
      </w:r>
    </w:p>
    <w:p w14:paraId="2F1F96AA"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п.п. НАРОДНЫЙ КОМИССАР ТАНКОВОЙ ПРОМЫШЛЕННОСТИ СОЮЗА ССР</w:t>
      </w:r>
    </w:p>
    <w:p w14:paraId="69E3BB1E"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МАЛЫШЕВ</w:t>
      </w:r>
    </w:p>
    <w:p w14:paraId="608E530D" w14:textId="77777777" w:rsidR="00D72C81" w:rsidRPr="008127F8" w:rsidRDefault="00D72C8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Верно: подпись (15893).</w:t>
      </w:r>
    </w:p>
    <w:p w14:paraId="4F14FBCE" w14:textId="77777777" w:rsidR="00D72C81" w:rsidRPr="008127F8" w:rsidRDefault="00D72C81" w:rsidP="001E0A84">
      <w:pPr>
        <w:spacing w:after="0" w:line="240" w:lineRule="auto"/>
        <w:jc w:val="both"/>
        <w:rPr>
          <w:rFonts w:ascii="Times New Roman" w:hAnsi="Times New Roman"/>
          <w:color w:val="000000" w:themeColor="text1"/>
          <w:sz w:val="16"/>
          <w:szCs w:val="16"/>
        </w:rPr>
      </w:pPr>
    </w:p>
    <w:p w14:paraId="730CDEC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г. была подготовлена ДИРЕКТИВА НАЧАЛЬНИКА ГАБТУ О НЕПРАВИЛЬНОЙ ЭКСПЛУАТАЦИИ ТАНКОВЫХ МОТОРОВ</w:t>
      </w:r>
    </w:p>
    <w:p w14:paraId="4FCA98E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участились случаи аварий танковых моторов. Анализ происшедших аварий показывает, что это происходит вследствие неправильной эксплуатации моторов.</w:t>
      </w:r>
    </w:p>
    <w:p w14:paraId="2A58F3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Большинство аварий моторов танков «КВ» и Т-34 являются в результате перегрева или запуска моторов на холодном масле, а в некоторых случаях моторы запускаются при закрытых запорных масляных кранах.</w:t>
      </w:r>
    </w:p>
    <w:p w14:paraId="318D81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Перегрев мотора и работа его, хотя бы незначительное время, без масла в большинстве случаев выводит мотор из строя.</w:t>
      </w:r>
    </w:p>
    <w:p w14:paraId="1CB65AE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Незнание и несоблюдение инструкций по уходу и эксплуатации танковых моторов очень часто приводит к тяжелым последствиям.</w:t>
      </w:r>
    </w:p>
    <w:p w14:paraId="1ACAB28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например, неправильный прогрев мотора является причиной выплавления коренных и ша</w:t>
      </w:r>
      <w:r w:rsidRPr="008127F8">
        <w:rPr>
          <w:rFonts w:ascii="Times New Roman" w:hAnsi="Times New Roman"/>
          <w:color w:val="000000" w:themeColor="text1"/>
          <w:sz w:val="16"/>
          <w:szCs w:val="16"/>
        </w:rPr>
        <w:softHyphen/>
        <w:t>тунных подшипников, разрушения вкладышей и опор верхнего картера, поломки масляных насосов и наклонных валиков вертикальной передачи.</w:t>
      </w:r>
    </w:p>
    <w:p w14:paraId="6D2EBD2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короткое время, только на одном ремонтном заводе, таких моторов собралось до 70 шт.</w:t>
      </w:r>
    </w:p>
    <w:p w14:paraId="351A72A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Инструкцией по эксплуатации дизелей В-2, категорически запрещается снимать пломбы и нару</w:t>
      </w:r>
      <w:r w:rsidRPr="008127F8">
        <w:rPr>
          <w:rFonts w:ascii="Times New Roman" w:hAnsi="Times New Roman"/>
          <w:color w:val="000000" w:themeColor="text1"/>
          <w:sz w:val="16"/>
          <w:szCs w:val="16"/>
        </w:rPr>
        <w:softHyphen/>
        <w:t>шать установку ограничителей хода рейки, однако прибывающие в ремонт моторы, как правило, этих пломб не имеют.</w:t>
      </w:r>
    </w:p>
    <w:p w14:paraId="52AD5E9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отношение к танковым моторам является преступлением, поэтому виновников подобных аварий необходимо строго наказывать.</w:t>
      </w:r>
    </w:p>
    <w:p w14:paraId="60128C3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предотвращения аварий, требую проведения в жизнь следующих мероприятий:</w:t>
      </w:r>
    </w:p>
    <w:p w14:paraId="429AE1A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Тщательно изучить наставления и инструкции по эксплуатации танковых моторов. Добиться отличного знания и применения инструкций по эксплуатации танковыми экипажами.</w:t>
      </w:r>
    </w:p>
    <w:p w14:paraId="4ACF367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Обратить особое внимание на подготовку моторных установок к условиям летней эксплуата</w:t>
      </w:r>
      <w:r w:rsidRPr="008127F8">
        <w:rPr>
          <w:rFonts w:ascii="Times New Roman" w:hAnsi="Times New Roman"/>
          <w:color w:val="000000" w:themeColor="text1"/>
          <w:sz w:val="16"/>
          <w:szCs w:val="16"/>
        </w:rPr>
        <w:softHyphen/>
        <w:t>ции и на знание экипажами особенностей ухода за моторами в летнее время.</w:t>
      </w:r>
    </w:p>
    <w:p w14:paraId="0A69E7B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Провести ряд занятий с танковыми экипажами, разъяснить опасность перегревов двигателей и меры, предотвращающие возможности перегрева двигателей, а именно:</w:t>
      </w:r>
    </w:p>
    <w:p w14:paraId="1BEB724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соблюдение режима работы мотора, соответствующего условиям пути;</w:t>
      </w:r>
    </w:p>
    <w:p w14:paraId="328C1856"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б) заправка системы охлаждения чистой водой (в летнее время) и систематическое добавление воды;</w:t>
      </w:r>
    </w:p>
    <w:p w14:paraId="438E6F7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правильная и своевременная очистка воздушных и масляных фильтров;</w:t>
      </w:r>
    </w:p>
    <w:p w14:paraId="4A56E20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правильное пользование жалюзями.</w:t>
      </w:r>
    </w:p>
    <w:p w14:paraId="0228F5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Категорически запретить регулировку и разборку двигателя необученными для этого лицами из экипажей танков.</w:t>
      </w:r>
    </w:p>
    <w:p w14:paraId="78616DC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Увеличить число ремонтников, специализирующихся на восстановлении двигателей.</w:t>
      </w:r>
    </w:p>
    <w:p w14:paraId="4CBE3F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Выделить специалистов по моторам для систематического проведения занятий с экипажами танков.</w:t>
      </w:r>
    </w:p>
    <w:p w14:paraId="398A428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Привлекать к строгой ответственности всех нарушающих правила ухода и эксплуатации мо</w:t>
      </w:r>
      <w:r w:rsidRPr="008127F8">
        <w:rPr>
          <w:rFonts w:ascii="Times New Roman" w:hAnsi="Times New Roman"/>
          <w:color w:val="000000" w:themeColor="text1"/>
          <w:sz w:val="16"/>
          <w:szCs w:val="16"/>
        </w:rPr>
        <w:softHyphen/>
        <w:t>торов.</w:t>
      </w:r>
    </w:p>
    <w:p w14:paraId="082793E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Ваши мероприятия донесите к 15.04.1942 года.</w:t>
      </w:r>
    </w:p>
    <w:p w14:paraId="7161003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31524A3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3CF72DE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669. Л. 28-29. Подлинник (11211).</w:t>
      </w:r>
    </w:p>
    <w:p w14:paraId="71A9AB2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89B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г. была подготовлена ДОКЛАДНАЯ ЗАПИСКА ГАБТУ В ГКО СССР ОБ ОГНЕМЕТНЫХ ТАНКАХ</w:t>
      </w:r>
    </w:p>
    <w:p w14:paraId="6C056E8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вооружения германской армии имеется огнеметный танк. Дальность огнеметания его нахо</w:t>
      </w:r>
      <w:r w:rsidRPr="008127F8">
        <w:rPr>
          <w:rFonts w:ascii="Times New Roman" w:hAnsi="Times New Roman"/>
          <w:color w:val="000000" w:themeColor="text1"/>
          <w:sz w:val="16"/>
          <w:szCs w:val="16"/>
        </w:rPr>
        <w:softHyphen/>
        <w:t>дится в пределах 30-40 метров.</w:t>
      </w:r>
    </w:p>
    <w:p w14:paraId="276EFE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отечественный танковый огнемет по своей мощности и эффективности стоит намного вы</w:t>
      </w:r>
      <w:r w:rsidRPr="008127F8">
        <w:rPr>
          <w:rFonts w:ascii="Times New Roman" w:hAnsi="Times New Roman"/>
          <w:color w:val="000000" w:themeColor="text1"/>
          <w:sz w:val="16"/>
          <w:szCs w:val="16"/>
        </w:rPr>
        <w:softHyphen/>
        <w:t>ше, чем германский танковый огнемет.</w:t>
      </w:r>
    </w:p>
    <w:p w14:paraId="681F8D9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Огнеметные танки Т-34 и КВ-8, вооруженные автоматическим танковым огнеметом образца 1941 г. (АТО-41) имеют следующую тактико-техническую характеристику:</w:t>
      </w:r>
    </w:p>
    <w:p w14:paraId="1D87D91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вооружение танка Т-34 уменьшается только на один пулемет стрелка-радиста, вместо которо</w:t>
      </w:r>
      <w:r w:rsidRPr="008127F8">
        <w:rPr>
          <w:rFonts w:ascii="Times New Roman" w:hAnsi="Times New Roman"/>
          <w:color w:val="000000" w:themeColor="text1"/>
          <w:sz w:val="16"/>
          <w:szCs w:val="16"/>
        </w:rPr>
        <w:softHyphen/>
        <w:t>го установлен огнемет АТО-41. Количество выстрелов огнемета - 10.</w:t>
      </w:r>
    </w:p>
    <w:p w14:paraId="7F9FE4C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вооружении танка КВ-8 вместо 76-мм пушки установлена 45-мм пушка, замаскированная под 76-мм пушку. Количество выстрелов огнемета - 52-57.</w:t>
      </w:r>
    </w:p>
    <w:p w14:paraId="3419751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дальность огнеметания на стандартных огнесмесях (мазут, нефть, газойль) в среднем 60-65 м.</w:t>
      </w:r>
    </w:p>
    <w:p w14:paraId="4FAD234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дальность огнеметания на вязких огнесмесях (бензин 2 сорта с порошком ОП-2) в среднем 90-100 м.</w:t>
      </w:r>
    </w:p>
    <w:p w14:paraId="402E6E2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огнеметов АТО-41 и монтаж их в танках заводами НКТП освоены, но со стороны Наркомтанкопрома по выпуску огнеметов АТО-41 на заводе № 222 и огнеметных танков на танко</w:t>
      </w:r>
      <w:r w:rsidRPr="008127F8">
        <w:rPr>
          <w:rFonts w:ascii="Times New Roman" w:hAnsi="Times New Roman"/>
          <w:color w:val="000000" w:themeColor="text1"/>
          <w:sz w:val="16"/>
          <w:szCs w:val="16"/>
        </w:rPr>
        <w:softHyphen/>
        <w:t>вых заводах решительных мер не принимается.</w:t>
      </w:r>
    </w:p>
    <w:p w14:paraId="5044731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Государственного комитета обороны Союза ССР за № 11 Юсе от 6.01.1942 года о выпуске огнеметных танков КВ-8 Наркомтанкопромом до сих пор не выполнено.</w:t>
      </w:r>
    </w:p>
    <w:p w14:paraId="6D00C1B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подлежащих выпуску к 1 марта с.г. 60 танков КВ-8 на 15 марта Кировский завод сдал только один танк.</w:t>
      </w:r>
    </w:p>
    <w:p w14:paraId="5113E9A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Созданный на базе эвакуированных огнеметного цеха Люберецкого завода и завода «Комсомо</w:t>
      </w:r>
      <w:r w:rsidRPr="008127F8">
        <w:rPr>
          <w:rFonts w:ascii="Times New Roman" w:hAnsi="Times New Roman"/>
          <w:color w:val="000000" w:themeColor="text1"/>
          <w:sz w:val="16"/>
          <w:szCs w:val="16"/>
        </w:rPr>
        <w:softHyphen/>
        <w:t>лец», завод № 222 Наркомтанкопрома имеет хорошее оборудование, но программы выпуска огнеме</w:t>
      </w:r>
      <w:r w:rsidRPr="008127F8">
        <w:rPr>
          <w:rFonts w:ascii="Times New Roman" w:hAnsi="Times New Roman"/>
          <w:color w:val="000000" w:themeColor="text1"/>
          <w:sz w:val="16"/>
          <w:szCs w:val="16"/>
        </w:rPr>
        <w:softHyphen/>
        <w:t>тов АТО-41 не выполняет вследствие слабой помощи Наркомтанкопрома.</w:t>
      </w:r>
    </w:p>
    <w:p w14:paraId="03F6E49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Энергетическое хозяйство завода не налажено; не подаются поковки, литье и штамповки с Кировского завода; не удовлетворяются заявки завода на редукторы, манометры, бобины, металл и другое.</w:t>
      </w:r>
    </w:p>
    <w:p w14:paraId="31AB33B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не выделен до сих пор завод-поставщик труб для основной детали огнемета — ци</w:t>
      </w:r>
      <w:r w:rsidRPr="008127F8">
        <w:rPr>
          <w:rFonts w:ascii="Times New Roman" w:hAnsi="Times New Roman"/>
          <w:color w:val="000000" w:themeColor="text1"/>
          <w:sz w:val="16"/>
          <w:szCs w:val="16"/>
        </w:rPr>
        <w:softHyphen/>
        <w:t>линдра.</w:t>
      </w:r>
    </w:p>
    <w:p w14:paraId="0FEADCC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необходимым для укомплектования огнеметными танками танковых бригад и отдель</w:t>
      </w:r>
      <w:r w:rsidRPr="008127F8">
        <w:rPr>
          <w:rFonts w:ascii="Times New Roman" w:hAnsi="Times New Roman"/>
          <w:color w:val="000000" w:themeColor="text1"/>
          <w:sz w:val="16"/>
          <w:szCs w:val="16"/>
        </w:rPr>
        <w:softHyphen/>
        <w:t>ных танковых батальонов выпускать ежемесячно 60-70 танков КВ-8 и вооружать огнеметами 20-25% танков Т-34, выпускаемых танковыми заводами.</w:t>
      </w:r>
    </w:p>
    <w:p w14:paraId="4025739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постановления прилагаю.</w:t>
      </w:r>
    </w:p>
    <w:p w14:paraId="77D0873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утвердить.</w:t>
      </w:r>
    </w:p>
    <w:p w14:paraId="15E0A3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проект Постановления ГКО Союза ССР на </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листах.</w:t>
      </w:r>
    </w:p>
    <w:p w14:paraId="65E666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52F00FF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5EA2193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633. Л. 207-208. Копия (11211).</w:t>
      </w:r>
    </w:p>
    <w:p w14:paraId="0BAEA861"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467E50B4" w14:textId="77777777" w:rsidR="00425CD6" w:rsidRPr="008127F8" w:rsidRDefault="00425CD6"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31 марта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выходит приказ по автозаводу об изготовлении для Горьковского мотоциклетного завода «Серп и молот» недостающих штампов, приспособлений и инструментов для производства моторов и коробок передач мотоцикла М-72 (15218).</w:t>
      </w:r>
    </w:p>
    <w:p w14:paraId="76EADD75" w14:textId="77777777" w:rsidR="00425CD6" w:rsidRPr="008127F8" w:rsidRDefault="00425CD6" w:rsidP="001E0A84">
      <w:pPr>
        <w:widowControl w:val="0"/>
        <w:spacing w:after="0" w:line="240" w:lineRule="auto"/>
        <w:jc w:val="both"/>
        <w:rPr>
          <w:rFonts w:ascii="Times New Roman" w:hAnsi="Times New Roman"/>
          <w:color w:val="000000" w:themeColor="text1"/>
          <w:sz w:val="16"/>
          <w:szCs w:val="16"/>
        </w:rPr>
      </w:pPr>
    </w:p>
    <w:p w14:paraId="2B3ECA1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вышло Постановление ГКО № 1513 О производстве продукта Р-9. РГАНИР, Фонд ГКО, д. 25, лл. 200-203, 204-208 (11012).</w:t>
      </w:r>
    </w:p>
    <w:p w14:paraId="22DAABB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984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вышло Постановление ГКО № 1514 О т.т. Гришаеве И.М. и Мамонове М.И. РГАНИР, Фонд ГКО, д. 25, лл. 209 (11012).</w:t>
      </w:r>
    </w:p>
    <w:p w14:paraId="344A31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3D70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46D34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834612"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марта</w:t>
      </w:r>
      <w:r w:rsidRPr="008127F8">
        <w:rPr>
          <w:rFonts w:ascii="Times New Roman" w:hAnsi="Times New Roman"/>
          <w:color w:val="000000" w:themeColor="text1"/>
          <w:sz w:val="16"/>
          <w:szCs w:val="16"/>
        </w:rPr>
        <w:t xml:space="preserve"> в 1942 году утреннее сообщение Совинформбюро:</w:t>
      </w:r>
    </w:p>
    <w:p w14:paraId="33241641"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31 марта на фронте каких-либо существенных изменений не произошло.</w:t>
      </w:r>
    </w:p>
    <w:p w14:paraId="0A767CCE"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одном из участков Западного фронта, после упорного боя овладела вражеским узлом обороны. Противник потерял убитыми свыше 500 солдат и офицеров. Захвачены трофеи: 2 немецких танка, 2 орудия, 29 пулемётов, 2 противотанковых ружья, 174 винтовки, 3.200 снарядов, 150.000 патронов, 1.600 мин, 3 радиостанции и 10.000 метров телефонного кабеля. Взяты пленные. На другом участке фронта наши бойцы заняли населённый пункт и захватили 3 немецких орудия, 20 ручных и 4 станковых пулемёта, 200.000 патронов и другое военное имущество.</w:t>
      </w:r>
    </w:p>
    <w:p w14:paraId="7E9E9F5B"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наша кавалерийская часть, отбив ожесточённые атаки гитлеровцев, перешла в контратаку, опрокинула немецкую пехоту и заняла важный населённый пункт. В бою немцы потеряли убитыми 350 солдат и офицеров. Взяты пленные.</w:t>
      </w:r>
    </w:p>
    <w:p w14:paraId="265472ED"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один укреплённый немцами населённый пункт танковый экипаж старшины Ходакова трижды атаковал врага. Прорвав немецкое укрепление, танкисты уничтожили 3 ДЗОТа и 3 пулемётных гнезда. Танкисты взяли на буксир наш повреждённый танк, остановившийся в расположении противника, и вывели его с поля боя.</w:t>
      </w:r>
    </w:p>
    <w:p w14:paraId="10C9B429"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Исключительную смелость и находчивость проявил разведчик-сапёр тов. Евсин. Разминировав минное поле противника, он собрал 67 немецких фугасов и заложил их на дороге в тылу противника. Когда немцы приблизились к месту, где были заложены фугасы, тов. Евсин взорвал их. 26 гитлеровцев взлетели на воздух.</w:t>
      </w:r>
    </w:p>
    <w:p w14:paraId="25113601"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Белоус открыл огонь из своей винтовки по пикирующему немецкому бомбардировщику и сбил его.</w:t>
      </w:r>
    </w:p>
    <w:p w14:paraId="2051852E"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Отряд харьковских партизан под командованием тов. И. напал на группу немцев, вытаскивавших застрявший в канаве тяжёлый танк. Перебив танкистов и </w:t>
      </w:r>
      <w:proofErr w:type="gramStart"/>
      <w:r w:rsidRPr="008127F8">
        <w:rPr>
          <w:rFonts w:ascii="Times New Roman" w:hAnsi="Times New Roman"/>
          <w:color w:val="000000" w:themeColor="text1"/>
          <w:sz w:val="16"/>
          <w:szCs w:val="16"/>
        </w:rPr>
        <w:t>немецких</w:t>
      </w:r>
      <w:proofErr w:type="gramEnd"/>
      <w:r w:rsidRPr="008127F8">
        <w:rPr>
          <w:rFonts w:ascii="Times New Roman" w:hAnsi="Times New Roman"/>
          <w:color w:val="000000" w:themeColor="text1"/>
          <w:sz w:val="16"/>
          <w:szCs w:val="16"/>
        </w:rPr>
        <w:t xml:space="preserve"> сапёр, партизаны взорвали танк.</w:t>
      </w:r>
    </w:p>
    <w:p w14:paraId="726EEDC1"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пулемётной роты 2 батальона 222 полка 75 немецкой пехотной дивизии Эрих Кебель рассказал:</w:t>
      </w:r>
    </w:p>
    <w:p w14:paraId="24A40039"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рота потеряла в последних боях три четверти личного состава. Среди убитых — 10 унтер-офицеров и 3 фельдфебеля. В роте было 12 пулемётов и 6 миномётов. Сейчас осталось 4 пулемёта и 3 миномёта. Стрелковые роты нашего батальона понесла ещё большие потери в людях. В 6 роте насчитывается всего 23 человека, а 5 рота прекратила своё существование».</w:t>
      </w:r>
    </w:p>
    <w:p w14:paraId="42A94EF8"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Гейнц Зиппель недавно писал своему сослуживцу, солдату, находящемуся в одном из германских лазаретов: «Наши потери убитыми и ранеными с каждым днём увеличиваются. Положение стало ещё ужаснее... Наши машины и орудия попали в руки русских. Сами мы бежали 20 километров, захватив с собой лишь самые необходимые вещи. В роте осталось лишь одно орудие и 13 солдат. Жалкие остатки роты перевели в другие части. Меня назначили шофёром автобуса в гараже штаба армии. Я чувствую себя очень плохо, страдаю от ревматизма и еле хожу. Радуйся, что ты избавился от этого кошмара».</w:t>
      </w:r>
    </w:p>
    <w:p w14:paraId="744745C6"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Германии установлен новый порядок выдачи зарплаты иностранным рабочим. Им теперь выплачивается всего лишь 75 процентов заработанных денег. Остальные 25 процентов удерживаются «до окончательного расчёта». Такими жульническими приёмами гитлеровцы пытаются закрепостить иностранных рабочих на своих предприятиях.» (15085).</w:t>
      </w:r>
    </w:p>
    <w:p w14:paraId="6D4CBA48" w14:textId="77777777" w:rsidR="00425CD6" w:rsidRPr="008127F8" w:rsidRDefault="00425CD6" w:rsidP="001E0A84">
      <w:pPr>
        <w:spacing w:after="0" w:line="240" w:lineRule="auto"/>
        <w:jc w:val="both"/>
        <w:rPr>
          <w:rFonts w:ascii="Times New Roman" w:hAnsi="Times New Roman"/>
          <w:color w:val="000000" w:themeColor="text1"/>
          <w:sz w:val="16"/>
          <w:szCs w:val="16"/>
        </w:rPr>
      </w:pPr>
    </w:p>
    <w:p w14:paraId="33935804"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31 марта</w:t>
      </w:r>
      <w:r w:rsidRPr="008127F8">
        <w:rPr>
          <w:rFonts w:ascii="Times New Roman" w:hAnsi="Times New Roman"/>
          <w:color w:val="000000" w:themeColor="text1"/>
          <w:sz w:val="16"/>
          <w:szCs w:val="16"/>
        </w:rPr>
        <w:t xml:space="preserve"> в 1942 году вечернее сообщение Совинформбюро:</w:t>
      </w:r>
    </w:p>
    <w:p w14:paraId="36A44EAC"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31 марта на фронте чего-либо существенного не произошло.</w:t>
      </w:r>
    </w:p>
    <w:p w14:paraId="586ADF52"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29 марта уничтожено не 25, как об этом сообщалось ранее, а 36 немецких самолётов.</w:t>
      </w:r>
    </w:p>
    <w:p w14:paraId="17062788"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30 марта уничтожено 25 немецких самолётов. Наши потери — 6 самолётов.</w:t>
      </w:r>
    </w:p>
    <w:p w14:paraId="62273E9B"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31 марта под Москвой сбито 5 самолётов противника.</w:t>
      </w:r>
    </w:p>
    <w:p w14:paraId="1699B4FA"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потоплены подводная лодка и транспорт противника.</w:t>
      </w:r>
    </w:p>
    <w:p w14:paraId="21C0872E"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30 марта частями нашей авиации уничтожено или повреждено 75 немецких автомашин с войсками и грузами, более 30 подвод с боеприпасами, 33 полевых и зенитных орудия, 39 миномётов, 43 зенитно-пулемётные точки, взорвано 6 складов с боеприпасами и склад с горючим, разбит паровоз и 18 железнодорожных вагонов, рассеяно и частью уничтожено до роты пехоты противника.</w:t>
      </w:r>
    </w:p>
    <w:p w14:paraId="720EB790"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Западного фронта, за два дня боёв захватили: один паровоз, 80 платформ, 40 товарных вагонов, 4 автомашины, 2 орудия, 7 станковых и 15 ручных пулемётов, 63 винтовки, 44 автомата, 50 ящиков снарядов, 250 мин, свыше 30.000 патронов и другое военное имущество.</w:t>
      </w:r>
    </w:p>
    <w:p w14:paraId="39A516EF"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Калининском фронте, в течение дня освободила от немецких оккупантов 9 населённых пунктов. Разрушено 107 вражеских блиндажей, 13 ДЗОТов, 8 огневых точек, взорваны склад с продовольствием и 4 склада с боеприпасами. Взяты следующие трофеи: 12 орудий, 41 пулемёт, 244 винтовки, 8 автоматов, 2 противотанковых ружья, 1.400 снарядов, 300 мин, 190 гранат, 49.000 патронов, 2 радиостанции, склад с продовольствием, 185 лошадей и 8 цистерн. Противник потерял убитыми свыше 1.000 солдат и офицеров.</w:t>
      </w:r>
    </w:p>
    <w:p w14:paraId="0D6D9FFA"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Энской части, действующей на одном из участков Южного фронта, поддерживая наступление советской пехоты, за один день подбили 6 вражеских танков и уничтожили 9 станковых пулемётов.</w:t>
      </w:r>
    </w:p>
    <w:p w14:paraId="419EE26F"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тов. Седнеев и три бойца в тылу врага разведывали систему огневых точек. Выполнив боевое задание, разведчики возвращались в свою часть, но по пути были обнаружены и окружены большой группой немцев. Приняв бой, четыре советских бойца уничтожили более десятка гитлеровцев, прорвали окружение и без потерь вернулись в свою часть.</w:t>
      </w:r>
    </w:p>
    <w:p w14:paraId="0761810A"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три с половиной месяца группой партизанских отрядов, действующих на оккупированной территории Курской области, в боях с немецкими захватчиками уничтожено 1.463 гитлеровских солдата и офицера. За это же время партизаны сбили вражеский самолёт, взорвали 19 железнодорожных и шоссейных мостов, уничтожили 2 орудия, 29 танков и бронемашин, 157 грузовых автомашин, 7 мотоциклов, 130 повозок с грузами, 56 помещений, где были расквартированы немецкие солдаты и офицеры. Партизаны захватили у немцев 3 пушки, 6 миномётов, 15 пулемётов, 168 автоматов и винтовок, радиостанцию, 8 автомашин, мотоцикл, 60 велосипедов, 40 подвод с военными грузами, более 50.000 патронов и важные оперативные документы.</w:t>
      </w:r>
    </w:p>
    <w:p w14:paraId="429FFF66"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10 роты 21 полка 17 немецкой пехотной дивизии Иозеф Pay рассказал: «В феврале я в составе 72 маршевого батальона был отправлен из Германии на фронт. Среди солдат не умолкают разговоры о том, когда же закончится война. Все мечтают о мире. Какой это будет мир — мы не думаем, лишь бы это был, наконец, мир. Уже в первом бою наш взвод потерял одну треть своего состава. Я пробыл 12 дней на передовой линии, решил, что с меня довольно, и сдался в плен. Умирать за Гитлера я не хочу».</w:t>
      </w:r>
    </w:p>
    <w:p w14:paraId="0F15D0B0" w14:textId="77777777" w:rsidR="00425CD6" w:rsidRPr="008127F8" w:rsidRDefault="00425C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12 пулемётной роты 92 полка 18 румынской пехотной дивизии Ю.Крэчун рассказал: «В самый разгар боя сержант Унгуряну послал меня за боеприпасами. Я ничего не ел два дня. Голодный, я должен был таскать тяжёлые ящики с патронами. Прибыв на склад, я попросил чего-нибудь поесть. Мне ответили, что хлеба нет, нужно подождать. Обозлённый, я взвалил на себя ящик с патронами, направился на передовую линию и сдался в плен. Красноармейцы меня накормили и дали закурить» (15085).</w:t>
      </w:r>
    </w:p>
    <w:p w14:paraId="52F3A13D" w14:textId="77777777" w:rsidR="00425CD6" w:rsidRPr="008127F8" w:rsidRDefault="00425CD6" w:rsidP="001E0A84">
      <w:pPr>
        <w:spacing w:after="0" w:line="240" w:lineRule="auto"/>
        <w:jc w:val="both"/>
        <w:rPr>
          <w:rFonts w:ascii="Times New Roman" w:hAnsi="Times New Roman"/>
          <w:color w:val="000000" w:themeColor="text1"/>
          <w:sz w:val="16"/>
          <w:szCs w:val="16"/>
        </w:rPr>
      </w:pPr>
    </w:p>
    <w:p w14:paraId="718542F6" w14:textId="77777777" w:rsidR="00DB749E" w:rsidRPr="008127F8" w:rsidRDefault="00DB74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31 марта с 1 января 1942 Советские ВВС утверждают, что сделали 49000 самолетовылетов против немецкой группы армий Центра (20793).</w:t>
      </w:r>
    </w:p>
    <w:p w14:paraId="2066CDD5" w14:textId="77777777" w:rsidR="00DB749E" w:rsidRPr="008127F8" w:rsidRDefault="00DB749E" w:rsidP="001E0A84">
      <w:pPr>
        <w:spacing w:after="0" w:line="240" w:lineRule="auto"/>
        <w:jc w:val="both"/>
        <w:rPr>
          <w:rFonts w:ascii="Times New Roman" w:hAnsi="Times New Roman"/>
          <w:color w:val="000000" w:themeColor="text1"/>
          <w:sz w:val="16"/>
          <w:szCs w:val="16"/>
        </w:rPr>
      </w:pPr>
    </w:p>
    <w:p w14:paraId="677D8E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на заседании Военного совета ВВС был рассмотрен вопрос о ходе ремонта самолетов и моторов (340,73).</w:t>
      </w:r>
    </w:p>
    <w:p w14:paraId="56E11E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326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г. вышел ПРИКАЗ № 98 О ПРЕМИРОВАНИИ ЛИЧНОГО СОСТАВА РЕМОНТНЫХ</w:t>
      </w:r>
    </w:p>
    <w:p w14:paraId="3203F8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ОРГАНОВ ГАУ КРАСНОЙ АРМИИ ЗА БЫСТРЫЙ И КАЧЕСТВЕННЫЙ</w:t>
      </w:r>
    </w:p>
    <w:p w14:paraId="5D6281D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АРТИЛЛЕРИЙСКОГО И СТРЕЛКОВОГО ВООРУЖЕНИЯ</w:t>
      </w:r>
    </w:p>
    <w:p w14:paraId="271C59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ускорения ремонта и восстановления артиллерийского и стрелкового вооружения, находящегося в текущем и среднем ремонте в подвижных ремонтных органах ГАУ Красной Армии (войсковые мастерские, ДАРМы, ПАМы и др.), приказываю:</w:t>
      </w:r>
    </w:p>
    <w:p w14:paraId="0593B4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Ввести с 1 апреля 1942 года следующую систему премирования денежной наградой личного состава ремонтных органов за быстрый и качественный текущий и средний ремонт вооружения в установленные командованием сроки: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18"/>
        <w:gridCol w:w="4816"/>
        <w:gridCol w:w="1038"/>
        <w:gridCol w:w="1038"/>
      </w:tblGrid>
      <w:tr w:rsidR="006F4095" w:rsidRPr="008127F8" w14:paraId="714798BE" w14:textId="77777777" w:rsidTr="007E67CF">
        <w:trPr>
          <w:trHeight w:val="255"/>
        </w:trPr>
        <w:tc>
          <w:tcPr>
            <w:tcW w:w="518" w:type="dxa"/>
            <w:tcBorders>
              <w:top w:val="single" w:sz="12" w:space="0" w:color="auto"/>
            </w:tcBorders>
          </w:tcPr>
          <w:p w14:paraId="0E79F1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816" w:type="dxa"/>
            <w:tcBorders>
              <w:top w:val="single" w:sz="12" w:space="0" w:color="auto"/>
            </w:tcBorders>
          </w:tcPr>
          <w:p w14:paraId="7743E5A5" w14:textId="2822C4C2"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02CDDA24" w14:textId="1AF72523"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1038" w:type="dxa"/>
            <w:gridSpan w:val="2"/>
            <w:tcBorders>
              <w:top w:val="single" w:sz="12" w:space="0" w:color="auto"/>
            </w:tcBorders>
          </w:tcPr>
          <w:p w14:paraId="2E3639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Категория ремонта</w:t>
            </w:r>
          </w:p>
        </w:tc>
      </w:tr>
      <w:tr w:rsidR="006F4095" w:rsidRPr="008127F8" w14:paraId="03E0D342" w14:textId="77777777" w:rsidTr="007E67CF">
        <w:trPr>
          <w:trHeight w:val="120"/>
        </w:trPr>
        <w:tc>
          <w:tcPr>
            <w:tcW w:w="518" w:type="dxa"/>
          </w:tcPr>
          <w:p w14:paraId="62BBB4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пп</w:t>
            </w:r>
          </w:p>
        </w:tc>
        <w:tc>
          <w:tcPr>
            <w:tcW w:w="4816" w:type="dxa"/>
          </w:tcPr>
          <w:p w14:paraId="5600AA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вооружения</w:t>
            </w:r>
          </w:p>
        </w:tc>
        <w:tc>
          <w:tcPr>
            <w:tcW w:w="1038" w:type="dxa"/>
            <w:gridSpan w:val="2"/>
          </w:tcPr>
          <w:p w14:paraId="72977AED" w14:textId="59A84C0A"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853DA0C" w14:textId="69E1F398"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6F4095" w:rsidRPr="008127F8" w14:paraId="788F11A9" w14:textId="77777777">
        <w:trPr>
          <w:trHeight w:val="495"/>
        </w:trPr>
        <w:tc>
          <w:tcPr>
            <w:tcW w:w="518" w:type="dxa"/>
          </w:tcPr>
          <w:p w14:paraId="631536BC" w14:textId="01731097"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FE1A722" w14:textId="3AF92947"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4816" w:type="dxa"/>
          </w:tcPr>
          <w:p w14:paraId="4ED59F37" w14:textId="4666DAEE"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7449CEFA" w14:textId="0AD85B97" w:rsidR="007E67CF" w:rsidRPr="008127F8" w:rsidRDefault="008127F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1038" w:type="dxa"/>
          </w:tcPr>
          <w:p w14:paraId="4E9650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текущий ремонт</w:t>
            </w:r>
          </w:p>
        </w:tc>
        <w:tc>
          <w:tcPr>
            <w:tcW w:w="1038" w:type="dxa"/>
          </w:tcPr>
          <w:p w14:paraId="77970B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средний ремонт</w:t>
            </w:r>
          </w:p>
        </w:tc>
      </w:tr>
      <w:tr w:rsidR="006F4095" w:rsidRPr="008127F8" w14:paraId="6958BD73" w14:textId="77777777">
        <w:trPr>
          <w:trHeight w:val="330"/>
        </w:trPr>
        <w:tc>
          <w:tcPr>
            <w:tcW w:w="518" w:type="dxa"/>
          </w:tcPr>
          <w:p w14:paraId="23A585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4816" w:type="dxa"/>
          </w:tcPr>
          <w:p w14:paraId="201236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каждое отремонтированное орудие корпусной артиллерии и АРГК</w:t>
            </w:r>
          </w:p>
        </w:tc>
        <w:tc>
          <w:tcPr>
            <w:tcW w:w="1038" w:type="dxa"/>
          </w:tcPr>
          <w:p w14:paraId="75AF22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руб.</w:t>
            </w:r>
          </w:p>
        </w:tc>
        <w:tc>
          <w:tcPr>
            <w:tcW w:w="1038" w:type="dxa"/>
          </w:tcPr>
          <w:p w14:paraId="5AB83F1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руб.</w:t>
            </w:r>
          </w:p>
        </w:tc>
      </w:tr>
      <w:tr w:rsidR="006F4095" w:rsidRPr="008127F8" w14:paraId="5B30A251" w14:textId="77777777">
        <w:trPr>
          <w:trHeight w:val="180"/>
        </w:trPr>
        <w:tc>
          <w:tcPr>
            <w:tcW w:w="518" w:type="dxa"/>
          </w:tcPr>
          <w:p w14:paraId="0C68E7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4816" w:type="dxa"/>
          </w:tcPr>
          <w:p w14:paraId="2F789F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каждое отремонтированное орудие зенитной артиллерии</w:t>
            </w:r>
          </w:p>
        </w:tc>
        <w:tc>
          <w:tcPr>
            <w:tcW w:w="1038" w:type="dxa"/>
          </w:tcPr>
          <w:p w14:paraId="417CA3C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75 ”</w:t>
            </w:r>
            <w:proofErr w:type="gramEnd"/>
          </w:p>
        </w:tc>
        <w:tc>
          <w:tcPr>
            <w:tcW w:w="1038" w:type="dxa"/>
          </w:tcPr>
          <w:p w14:paraId="65A3E26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150 ”</w:t>
            </w:r>
            <w:proofErr w:type="gramEnd"/>
          </w:p>
        </w:tc>
      </w:tr>
      <w:tr w:rsidR="006F4095" w:rsidRPr="008127F8" w14:paraId="67C728F3" w14:textId="77777777">
        <w:trPr>
          <w:trHeight w:val="180"/>
        </w:trPr>
        <w:tc>
          <w:tcPr>
            <w:tcW w:w="518" w:type="dxa"/>
          </w:tcPr>
          <w:p w14:paraId="73CFD9A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4816" w:type="dxa"/>
          </w:tcPr>
          <w:p w14:paraId="07DE19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каждое отремонтированное орудие дивизионной артиллерии</w:t>
            </w:r>
          </w:p>
        </w:tc>
        <w:tc>
          <w:tcPr>
            <w:tcW w:w="1038" w:type="dxa"/>
          </w:tcPr>
          <w:p w14:paraId="6E7B01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40 ”</w:t>
            </w:r>
            <w:proofErr w:type="gramEnd"/>
          </w:p>
        </w:tc>
        <w:tc>
          <w:tcPr>
            <w:tcW w:w="1038" w:type="dxa"/>
          </w:tcPr>
          <w:p w14:paraId="000556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80 ”</w:t>
            </w:r>
            <w:proofErr w:type="gramEnd"/>
          </w:p>
        </w:tc>
      </w:tr>
      <w:tr w:rsidR="006F4095" w:rsidRPr="008127F8" w14:paraId="7DE23542" w14:textId="77777777">
        <w:trPr>
          <w:trHeight w:val="180"/>
        </w:trPr>
        <w:tc>
          <w:tcPr>
            <w:tcW w:w="518" w:type="dxa"/>
          </w:tcPr>
          <w:p w14:paraId="5E7AEC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4816" w:type="dxa"/>
          </w:tcPr>
          <w:p w14:paraId="2CC0E3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каждое отремонтированное орудие полковой артиллерии</w:t>
            </w:r>
          </w:p>
        </w:tc>
        <w:tc>
          <w:tcPr>
            <w:tcW w:w="1038" w:type="dxa"/>
          </w:tcPr>
          <w:p w14:paraId="7ED95DD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30 ”</w:t>
            </w:r>
            <w:proofErr w:type="gramEnd"/>
          </w:p>
        </w:tc>
        <w:tc>
          <w:tcPr>
            <w:tcW w:w="1038" w:type="dxa"/>
          </w:tcPr>
          <w:p w14:paraId="73F0F4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60 ”</w:t>
            </w:r>
            <w:proofErr w:type="gramEnd"/>
          </w:p>
        </w:tc>
      </w:tr>
      <w:tr w:rsidR="006F4095" w:rsidRPr="008127F8" w14:paraId="37BD1692" w14:textId="77777777">
        <w:trPr>
          <w:trHeight w:val="180"/>
        </w:trPr>
        <w:tc>
          <w:tcPr>
            <w:tcW w:w="518" w:type="dxa"/>
          </w:tcPr>
          <w:p w14:paraId="6A2231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4816" w:type="dxa"/>
          </w:tcPr>
          <w:p w14:paraId="3CC512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каждое отремонтированное орудие противотанковой артиллерии -</w:t>
            </w:r>
          </w:p>
        </w:tc>
        <w:tc>
          <w:tcPr>
            <w:tcW w:w="1038" w:type="dxa"/>
          </w:tcPr>
          <w:p w14:paraId="6F6DC2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15 ”</w:t>
            </w:r>
            <w:proofErr w:type="gramEnd"/>
          </w:p>
        </w:tc>
        <w:tc>
          <w:tcPr>
            <w:tcW w:w="1038" w:type="dxa"/>
          </w:tcPr>
          <w:p w14:paraId="60C66F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30 ”</w:t>
            </w:r>
            <w:proofErr w:type="gramEnd"/>
          </w:p>
        </w:tc>
      </w:tr>
      <w:tr w:rsidR="006F4095" w:rsidRPr="008127F8" w14:paraId="38C12AF3" w14:textId="77777777">
        <w:trPr>
          <w:trHeight w:val="180"/>
        </w:trPr>
        <w:tc>
          <w:tcPr>
            <w:tcW w:w="518" w:type="dxa"/>
          </w:tcPr>
          <w:p w14:paraId="6C17B0D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4816" w:type="dxa"/>
          </w:tcPr>
          <w:p w14:paraId="63E8CF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каждый отремонтированный станковый пулемет</w:t>
            </w:r>
          </w:p>
        </w:tc>
        <w:tc>
          <w:tcPr>
            <w:tcW w:w="1038" w:type="dxa"/>
          </w:tcPr>
          <w:p w14:paraId="756390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 ”</w:t>
            </w:r>
            <w:proofErr w:type="gramEnd"/>
          </w:p>
        </w:tc>
        <w:tc>
          <w:tcPr>
            <w:tcW w:w="1038" w:type="dxa"/>
          </w:tcPr>
          <w:p w14:paraId="07A3FA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20 ”</w:t>
            </w:r>
            <w:proofErr w:type="gramEnd"/>
          </w:p>
        </w:tc>
      </w:tr>
      <w:tr w:rsidR="006F4095" w:rsidRPr="008127F8" w14:paraId="1DE1EE7C" w14:textId="77777777">
        <w:trPr>
          <w:trHeight w:val="165"/>
        </w:trPr>
        <w:tc>
          <w:tcPr>
            <w:tcW w:w="518" w:type="dxa"/>
          </w:tcPr>
          <w:p w14:paraId="659972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4816" w:type="dxa"/>
          </w:tcPr>
          <w:p w14:paraId="4AC140D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каждый отремонтированный ручной пулемет и автомат</w:t>
            </w:r>
          </w:p>
        </w:tc>
        <w:tc>
          <w:tcPr>
            <w:tcW w:w="1038" w:type="dxa"/>
          </w:tcPr>
          <w:p w14:paraId="72E163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5 ”</w:t>
            </w:r>
            <w:proofErr w:type="gramEnd"/>
          </w:p>
        </w:tc>
        <w:tc>
          <w:tcPr>
            <w:tcW w:w="1038" w:type="dxa"/>
          </w:tcPr>
          <w:p w14:paraId="4BAF44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 ”</w:t>
            </w:r>
            <w:proofErr w:type="gramEnd"/>
          </w:p>
        </w:tc>
      </w:tr>
      <w:tr w:rsidR="006F4095" w:rsidRPr="008127F8" w14:paraId="11A98403" w14:textId="77777777">
        <w:trPr>
          <w:trHeight w:val="180"/>
        </w:trPr>
        <w:tc>
          <w:tcPr>
            <w:tcW w:w="518" w:type="dxa"/>
            <w:tcBorders>
              <w:bottom w:val="single" w:sz="12" w:space="0" w:color="auto"/>
            </w:tcBorders>
          </w:tcPr>
          <w:p w14:paraId="7F86C4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4816" w:type="dxa"/>
            <w:tcBorders>
              <w:bottom w:val="single" w:sz="12" w:space="0" w:color="auto"/>
            </w:tcBorders>
          </w:tcPr>
          <w:p w14:paraId="702B02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каждые отремонтированные 100 винтовок</w:t>
            </w:r>
          </w:p>
        </w:tc>
        <w:tc>
          <w:tcPr>
            <w:tcW w:w="1038" w:type="dxa"/>
            <w:tcBorders>
              <w:bottom w:val="single" w:sz="12" w:space="0" w:color="auto"/>
            </w:tcBorders>
          </w:tcPr>
          <w:p w14:paraId="3CFDBF8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100 ”</w:t>
            </w:r>
            <w:proofErr w:type="gramEnd"/>
          </w:p>
        </w:tc>
        <w:tc>
          <w:tcPr>
            <w:tcW w:w="1038" w:type="dxa"/>
            <w:tcBorders>
              <w:bottom w:val="single" w:sz="12" w:space="0" w:color="auto"/>
            </w:tcBorders>
          </w:tcPr>
          <w:p w14:paraId="6DA944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200 ”</w:t>
            </w:r>
            <w:proofErr w:type="gramEnd"/>
          </w:p>
        </w:tc>
      </w:tr>
    </w:tbl>
    <w:p w14:paraId="2F3A1E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Денежную награду выдавать один раз в месяц по представлению отчета и утверждении его вышестоящим начальником.</w:t>
      </w:r>
    </w:p>
    <w:p w14:paraId="63BAF7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Денежная награда распределяется:</w:t>
      </w:r>
    </w:p>
    <w:p w14:paraId="16A69F9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начальнику и военному комиссару ремонтного органа по 5 % от общей суммы, полученной для награждения;</w:t>
      </w:r>
    </w:p>
    <w:p w14:paraId="114593C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 менее 70 % общей суммы для награждения рабочего состава ремонтного органа;</w:t>
      </w:r>
    </w:p>
    <w:p w14:paraId="354372B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остальная сумма премии распределяется начальником и военным комиссаром среди начальствующего и обслуживающего состава ремонтного органа.</w:t>
      </w:r>
    </w:p>
    <w:p w14:paraId="7795AC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Определение лиц, которым выдается вознаграждение и размер вознаграждения каждому, производится начальником и военным комиссаром ремонтного органа в зависимости от участия в работе по ремонту вооружения и качества ремонта с объявлением приказом по части (ремонтному органу).</w:t>
      </w:r>
    </w:p>
    <w:p w14:paraId="43F4790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Денежная награда начальнику и военному комиссару ремонтного органа объявляется приказом начальника артиллерии фронта (армии).</w:t>
      </w:r>
    </w:p>
    <w:p w14:paraId="14D4EE1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Расходы по премированию отнести на ассигнования по заготовке и ремонту артиллерийского вооружения.</w:t>
      </w:r>
    </w:p>
    <w:p w14:paraId="47BDF6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 особые успехи в деле восстановления вооружения, кроме денежной награды, личный состав ремонтных органов, проявивший себя при выполнении заданий, представляется Военным советом фронта к правительственной награде.</w:t>
      </w:r>
    </w:p>
    <w:p w14:paraId="5D9989F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Объявить настоящий приказ всему личному составу артиллерийских частей и ремонтных органов Красной Армии.</w:t>
      </w:r>
    </w:p>
    <w:p w14:paraId="664F9B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СССР И. СТАЛИН </w:t>
      </w:r>
      <w:r w:rsidRPr="008127F8">
        <w:rPr>
          <w:rFonts w:ascii="Times New Roman" w:hAnsi="Times New Roman"/>
          <w:color w:val="000000" w:themeColor="text1"/>
          <w:sz w:val="16"/>
          <w:szCs w:val="16"/>
        </w:rPr>
        <w:t>(9844).</w:t>
      </w:r>
    </w:p>
    <w:p w14:paraId="171AFE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025BF" w14:textId="77777777" w:rsidR="007B2819" w:rsidRPr="008127F8" w:rsidRDefault="007B281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года по директиве НКО № 724218 сс первые танковые корпуса начали формироваться и состояли из управления, двух танковых бригад штата № 010/345 и мотострелковой бригады, всего 100 танков, из них 40 Т-34. Но уже 15 апреля 1942 года директивой НКО №724485СС в состав корпуса включалась третья танковая бригада той же организации, как две первые (12217).</w:t>
      </w:r>
    </w:p>
    <w:p w14:paraId="77D4CB0D" w14:textId="77777777" w:rsidR="007B2819" w:rsidRPr="008127F8" w:rsidRDefault="007B2819" w:rsidP="001E0A84">
      <w:pPr>
        <w:spacing w:after="0" w:line="240" w:lineRule="auto"/>
        <w:jc w:val="both"/>
        <w:rPr>
          <w:rFonts w:ascii="Times New Roman" w:hAnsi="Times New Roman"/>
          <w:color w:val="000000" w:themeColor="text1"/>
          <w:sz w:val="16"/>
          <w:szCs w:val="16"/>
        </w:rPr>
      </w:pPr>
    </w:p>
    <w:p w14:paraId="397EBA8B"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DC73F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D97677" w14:textId="77777777" w:rsidR="00AF7564" w:rsidRPr="008127F8" w:rsidRDefault="00AF75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марта</w:t>
      </w:r>
      <w:r w:rsidRPr="008127F8">
        <w:rPr>
          <w:rFonts w:ascii="Times New Roman" w:hAnsi="Times New Roman"/>
          <w:color w:val="000000" w:themeColor="text1"/>
          <w:sz w:val="16"/>
          <w:szCs w:val="16"/>
        </w:rPr>
        <w:t xml:space="preserve"> в 1942 году техническому департаменту на рассмотрение были представлены проекты трёх базовых вариантов истребителя </w:t>
      </w:r>
      <w:hyperlink r:id="rId88" w:tgtFrame="_blank" w:history="1">
        <w:r w:rsidRPr="008127F8">
          <w:rPr>
            <w:rFonts w:ascii="Times New Roman" w:hAnsi="Times New Roman"/>
            <w:color w:val="000000" w:themeColor="text1"/>
            <w:sz w:val="16"/>
            <w:szCs w:val="16"/>
          </w:rPr>
          <w:t>«Messerschmitt» «Me.328A»:</w:t>
        </w:r>
      </w:hyperlink>
      <w:r w:rsidRPr="008127F8">
        <w:rPr>
          <w:rFonts w:ascii="Times New Roman" w:hAnsi="Times New Roman"/>
          <w:color w:val="000000" w:themeColor="text1"/>
          <w:sz w:val="16"/>
          <w:szCs w:val="16"/>
        </w:rPr>
        <w:t xml:space="preserve"> «Me.328A-«1 - истребитель с размахом крыла в 6,4 м и площадью 7,5 кв.м, длиной 6,7 м, с двумя двигателями Аргус тягой по 300 кг и вооружением из двух 20 мм пушек «MG-151»; «Ме.328А-2» - размах крыла 8,5 м, площадь крыла 12,0 кв.м, длина 8,6 м, с четырьмя двигателями и вооружением из двух 30 мм пушек «МК-103» </w:t>
      </w:r>
      <w:r w:rsidRPr="008127F8">
        <w:rPr>
          <w:rFonts w:ascii="Times New Roman" w:hAnsi="Times New Roman"/>
          <w:color w:val="000000" w:themeColor="text1"/>
          <w:sz w:val="16"/>
          <w:szCs w:val="16"/>
        </w:rPr>
        <w:lastRenderedPageBreak/>
        <w:t>и двух 20 мм «MG-151»; «Me.328A-3» - в целом подобен А-2, но имел систему дозаправки топливом. На их базе также предлагались три проекта истребителей-бомбардировщиков: «Ме.328В-1» - истребитель-бомбардировщик на базе «А-1» с 1000 кг бомбовой нагрузкой; «Ме.328В-2» - истребитель-бомбардировщик на базе «А-2» с 1000 кг бомб; «Ме.328В-3» - вариант «В-2», но с 1400 кг бомбой. Но это все было только на бумаге, а пока самолет требовалось научить летать (15085).</w:t>
      </w:r>
    </w:p>
    <w:p w14:paraId="04A297B7" w14:textId="77777777" w:rsidR="00AF7564" w:rsidRPr="008127F8" w:rsidRDefault="00AF7564" w:rsidP="001E0A84">
      <w:pPr>
        <w:spacing w:after="0" w:line="240" w:lineRule="auto"/>
        <w:jc w:val="both"/>
        <w:rPr>
          <w:rFonts w:ascii="Times New Roman" w:hAnsi="Times New Roman"/>
          <w:color w:val="000000" w:themeColor="text1"/>
          <w:sz w:val="16"/>
          <w:szCs w:val="16"/>
        </w:rPr>
      </w:pPr>
    </w:p>
    <w:p w14:paraId="6CA2EAEB" w14:textId="77777777" w:rsidR="00AF7564" w:rsidRPr="008127F8" w:rsidRDefault="00AF75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марта</w:t>
      </w:r>
      <w:r w:rsidRPr="008127F8">
        <w:rPr>
          <w:rFonts w:ascii="Times New Roman" w:hAnsi="Times New Roman"/>
          <w:color w:val="000000" w:themeColor="text1"/>
          <w:sz w:val="16"/>
          <w:szCs w:val="16"/>
        </w:rPr>
        <w:t xml:space="preserve"> в 1942 году начались испытания ночного бомбардировщика </w:t>
      </w:r>
      <w:hyperlink r:id="rId89" w:tgtFrame="_blank" w:history="1">
        <w:r w:rsidRPr="008127F8">
          <w:rPr>
            <w:rFonts w:ascii="Times New Roman" w:hAnsi="Times New Roman"/>
            <w:color w:val="000000" w:themeColor="text1"/>
            <w:sz w:val="16"/>
            <w:szCs w:val="16"/>
          </w:rPr>
          <w:t xml:space="preserve">«Do.217k-1» </w:t>
        </w:r>
      </w:hyperlink>
      <w:r w:rsidRPr="008127F8">
        <w:rPr>
          <w:rFonts w:ascii="Times New Roman" w:hAnsi="Times New Roman"/>
          <w:color w:val="000000" w:themeColor="text1"/>
          <w:sz w:val="16"/>
          <w:szCs w:val="16"/>
        </w:rPr>
        <w:t>(разработчик: «Dornier», Германия). Он довольно заметно отличался от своего предшественника. Наиболее бросающимся в глаза изменением была полностью перепроектированная носовая часть фюзеляжа - весь нос был остеклен. Двигатели «ВМW-801С» были заменены на «ВМW-801Ds», работавшие на 96-октановом бензине. Мощность этого мотора составляла 1700 л.с. на взлете и 1440 л.с. на высоте 5700 м. Оборонительное вооружение состояло из «МG-81Z» (спарка пулеметов МG-81) с 1000 патронами в носовой части, пулемета «МG-131» с 500 патронами в верхней электрифицированной башне, такого же нижнего пулемета с 1000 патронами и двух боковых «МG-81» с 750 патронами на ствол (15085).</w:t>
      </w:r>
    </w:p>
    <w:p w14:paraId="411B365A" w14:textId="77777777" w:rsidR="00AF7564" w:rsidRPr="008127F8" w:rsidRDefault="00AF7564" w:rsidP="001E0A84">
      <w:pPr>
        <w:spacing w:after="0" w:line="240" w:lineRule="auto"/>
        <w:jc w:val="both"/>
        <w:rPr>
          <w:rFonts w:ascii="Times New Roman" w:hAnsi="Times New Roman"/>
          <w:color w:val="000000" w:themeColor="text1"/>
          <w:sz w:val="16"/>
          <w:szCs w:val="16"/>
        </w:rPr>
      </w:pPr>
    </w:p>
    <w:p w14:paraId="1E90EDB1" w14:textId="77777777" w:rsidR="00DB749E" w:rsidRPr="008127F8" w:rsidRDefault="00DB74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31 марта с 1 марта 1942 Fliegerkorps II Люфтваффе выполнила 4,927 самолетовылетов против Мальты. Помимо атак на аэродромы и другие объекты, они потопили два британских эсминца и британскую подводную лодку, повредили две другие подводные лодки и сильно повредили легкий крейсер HMS Penelope (20793).</w:t>
      </w:r>
    </w:p>
    <w:p w14:paraId="38FB74CB" w14:textId="77777777" w:rsidR="00DB749E" w:rsidRPr="008127F8" w:rsidRDefault="00DB749E" w:rsidP="001E0A84">
      <w:pPr>
        <w:spacing w:after="0" w:line="240" w:lineRule="auto"/>
        <w:jc w:val="both"/>
        <w:rPr>
          <w:rFonts w:ascii="Times New Roman" w:hAnsi="Times New Roman"/>
          <w:color w:val="000000" w:themeColor="text1"/>
          <w:sz w:val="16"/>
          <w:szCs w:val="16"/>
        </w:rPr>
      </w:pPr>
    </w:p>
    <w:p w14:paraId="75660BD1" w14:textId="77777777" w:rsidR="00DB749E" w:rsidRPr="008127F8" w:rsidRDefault="00DB74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- 1 апреля (ночь) 1942 Королевские военно-воздушные силы вводят в действие новую бомбу «Cookie» массой 1814 кг - самую большую бомбу на тот день и первую бомбу «блокбастер» в Эмдене, Германия. За время Второй мировой войны ВВС США сбросят 68 000 бомб типа «Печенье» (20793).</w:t>
      </w:r>
    </w:p>
    <w:p w14:paraId="66E043CA" w14:textId="77777777" w:rsidR="00DB749E" w:rsidRPr="008127F8" w:rsidRDefault="00DB749E" w:rsidP="001E0A84">
      <w:pPr>
        <w:spacing w:after="0" w:line="240" w:lineRule="auto"/>
        <w:jc w:val="both"/>
        <w:rPr>
          <w:rFonts w:ascii="Times New Roman" w:hAnsi="Times New Roman"/>
          <w:color w:val="000000" w:themeColor="text1"/>
          <w:sz w:val="16"/>
          <w:szCs w:val="16"/>
        </w:rPr>
      </w:pPr>
    </w:p>
    <w:p w14:paraId="4C00F3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31 марта по 10 апреля 1942 была операция японского ВМФ в Индийском океане с целью уничтожения британского флота и транспортных судов (3186).</w:t>
      </w:r>
    </w:p>
    <w:p w14:paraId="5B8F7EF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A3F0B" w14:textId="77777777" w:rsidR="00DB749E" w:rsidRPr="008127F8" w:rsidRDefault="00DB749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1942 целевая группа японских императорских ВМС сосредоточена вокруг авианосцев Акаги, Ryūjō, Hiryu, Soryu, Сёкак и Дзуйкак, начинает разрушительный рейд против британских сил в Индийском океане (20793).</w:t>
      </w:r>
    </w:p>
    <w:p w14:paraId="1231622A" w14:textId="77777777" w:rsidR="00DB749E" w:rsidRPr="008127F8" w:rsidRDefault="00DB749E" w:rsidP="001E0A84">
      <w:pPr>
        <w:spacing w:after="0" w:line="240" w:lineRule="auto"/>
        <w:jc w:val="both"/>
        <w:rPr>
          <w:rFonts w:ascii="Times New Roman" w:hAnsi="Times New Roman"/>
          <w:color w:val="000000" w:themeColor="text1"/>
          <w:sz w:val="16"/>
          <w:szCs w:val="16"/>
        </w:rPr>
      </w:pPr>
    </w:p>
    <w:p w14:paraId="2B07BAC1" w14:textId="77777777" w:rsidR="00AF7564" w:rsidRPr="008127F8" w:rsidRDefault="00AF756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марта</w:t>
      </w:r>
      <w:r w:rsidRPr="008127F8">
        <w:rPr>
          <w:rFonts w:ascii="Times New Roman" w:hAnsi="Times New Roman"/>
          <w:color w:val="000000" w:themeColor="text1"/>
          <w:sz w:val="16"/>
          <w:szCs w:val="16"/>
        </w:rPr>
        <w:t xml:space="preserve"> в 1942 году (31 марта-10 апреля) операция японского флота в Индийском океане с целью уничтожения британского флота и транспортных судов. Уничтожены 1 английский торпедоносец, 2 крейсера, 2 эсминца, 1 малый сторожевой корабль, 1 вспомогательный крейсер и суда общим водоизмещением 153 603 брутто-тонны (15085).</w:t>
      </w:r>
    </w:p>
    <w:p w14:paraId="629447D7" w14:textId="77777777" w:rsidR="00AF7564" w:rsidRPr="008127F8" w:rsidRDefault="00AF7564" w:rsidP="001E0A84">
      <w:pPr>
        <w:spacing w:after="0" w:line="240" w:lineRule="auto"/>
        <w:jc w:val="both"/>
        <w:rPr>
          <w:rFonts w:ascii="Times New Roman" w:hAnsi="Times New Roman"/>
          <w:color w:val="000000" w:themeColor="text1"/>
          <w:sz w:val="16"/>
          <w:szCs w:val="16"/>
        </w:rPr>
      </w:pPr>
    </w:p>
    <w:p w14:paraId="2F3F445B"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марта 1942 самолеты миссии Дулитла прибыли на военно-морскую базу Аламеда в штате Калифорния. Здесь их загрузили на палубу авианосца «Хорнет». Этот ави</w:t>
      </w:r>
      <w:r w:rsidRPr="008A2E5A">
        <w:rPr>
          <w:rFonts w:ascii="Times New Roman" w:hAnsi="Times New Roman"/>
          <w:color w:val="0070C0"/>
          <w:sz w:val="16"/>
          <w:szCs w:val="16"/>
        </w:rPr>
        <w:softHyphen/>
        <w:t>аносец недавно вступил в строй и был самым новым тяжелым авианосцем в ВМС США. Самолеты авиационной группы авианосца остались под полет</w:t>
      </w:r>
      <w:r w:rsidRPr="008A2E5A">
        <w:rPr>
          <w:rFonts w:ascii="Times New Roman" w:hAnsi="Times New Roman"/>
          <w:color w:val="0070C0"/>
          <w:sz w:val="16"/>
          <w:szCs w:val="16"/>
        </w:rPr>
        <w:softHyphen/>
        <w:t>ной палубой, внутри его ангара. Всего на палубу погрузили 16 B-25 и закре</w:t>
      </w:r>
      <w:r w:rsidRPr="008A2E5A">
        <w:rPr>
          <w:rFonts w:ascii="Times New Roman" w:hAnsi="Times New Roman"/>
          <w:color w:val="0070C0"/>
          <w:sz w:val="16"/>
          <w:szCs w:val="16"/>
        </w:rPr>
        <w:softHyphen/>
        <w:t>пили тросами. Двигатели и верхние стрелковые турели зачехлили, чтобы не подвергать воздействию непогоды во время похода. Планировалось, что в рейде примут участие пятнадцать бом</w:t>
      </w:r>
      <w:r w:rsidRPr="008A2E5A">
        <w:rPr>
          <w:rFonts w:ascii="Times New Roman" w:hAnsi="Times New Roman"/>
          <w:color w:val="0070C0"/>
          <w:sz w:val="16"/>
          <w:szCs w:val="16"/>
        </w:rPr>
        <w:softHyphen/>
        <w:t>бардировщиков B-25, а шестнадцатый погрузили для того, чтобы он вскоре после начала похода взлетел с палубы авианосца и приземлился в США. Тем самым командование хотело показать летчикам, что взлет остальных пятнад</w:t>
      </w:r>
      <w:r w:rsidRPr="008A2E5A">
        <w:rPr>
          <w:rFonts w:ascii="Times New Roman" w:hAnsi="Times New Roman"/>
          <w:color w:val="0070C0"/>
          <w:sz w:val="16"/>
          <w:szCs w:val="16"/>
        </w:rPr>
        <w:softHyphen/>
        <w:t>цати самолетов возможен. Однако в последний момент решили, что в рейде примет участие и этот самолет. Также на авианосец помимо летчиков (участников операции) при</w:t>
      </w:r>
      <w:r w:rsidRPr="008A2E5A">
        <w:rPr>
          <w:rFonts w:ascii="Times New Roman" w:hAnsi="Times New Roman"/>
          <w:color w:val="0070C0"/>
          <w:sz w:val="16"/>
          <w:szCs w:val="16"/>
        </w:rPr>
        <w:softHyphen/>
        <w:t>были авиатехники для обслуживания самолетов во время похода, а также все остальные летчики, которые проходили обучение. Это было сделано на случай, если кто-то из членов экипажа, которые должны принять участие в вылете, заболеет в походе, и они должны их заменить. Также этим обеспечивалась секретность, так как если их оставить на берегу, то кто-то из них мог случайно проговориться о предстоящей операции. Всего на борт поднялось двести один летчик и авиатехник (23348).</w:t>
      </w:r>
    </w:p>
    <w:p w14:paraId="292E2403" w14:textId="77777777" w:rsidR="00E53DFE" w:rsidRPr="008A2E5A" w:rsidRDefault="00E53DFE" w:rsidP="00E53DFE">
      <w:pPr>
        <w:spacing w:after="0" w:line="240" w:lineRule="auto"/>
        <w:jc w:val="both"/>
        <w:rPr>
          <w:rFonts w:ascii="Times New Roman" w:hAnsi="Times New Roman"/>
          <w:color w:val="0070C0"/>
          <w:sz w:val="16"/>
          <w:szCs w:val="16"/>
        </w:rPr>
      </w:pPr>
    </w:p>
    <w:p w14:paraId="6D94F91D"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725D0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D541D0"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марта 1942 г. в Горьком параллельно шли два процесса - испытания и доводка нового истребителя и освоение производства Як-7. Им еще предстояло пересечься и круто изме</w:t>
      </w:r>
      <w:r w:rsidRPr="008A2E5A">
        <w:rPr>
          <w:rFonts w:ascii="Times New Roman" w:hAnsi="Times New Roman"/>
          <w:color w:val="0070C0"/>
          <w:sz w:val="16"/>
          <w:szCs w:val="16"/>
        </w:rPr>
        <w:softHyphen/>
        <w:t>нить ход истории друг для друга. На ЛаГГ-3М- 82 летал заводской летчик-испытатель Гри</w:t>
      </w:r>
      <w:r w:rsidRPr="008A2E5A">
        <w:rPr>
          <w:rFonts w:ascii="Times New Roman" w:hAnsi="Times New Roman"/>
          <w:color w:val="0070C0"/>
          <w:sz w:val="16"/>
          <w:szCs w:val="16"/>
        </w:rPr>
        <w:softHyphen/>
        <w:t>горий Андреевич Мищенко. Машина, по</w:t>
      </w:r>
      <w:r w:rsidRPr="008A2E5A">
        <w:rPr>
          <w:rFonts w:ascii="Times New Roman" w:hAnsi="Times New Roman"/>
          <w:color w:val="0070C0"/>
          <w:sz w:val="16"/>
          <w:szCs w:val="16"/>
        </w:rPr>
        <w:softHyphen/>
        <w:t>строенная в погоне за ускользающими срока</w:t>
      </w:r>
      <w:r w:rsidRPr="008A2E5A">
        <w:rPr>
          <w:rFonts w:ascii="Times New Roman" w:hAnsi="Times New Roman"/>
          <w:color w:val="0070C0"/>
          <w:sz w:val="16"/>
          <w:szCs w:val="16"/>
        </w:rPr>
        <w:softHyphen/>
        <w:t>ми, была еще очень сырая. На самолете отсут</w:t>
      </w:r>
      <w:r w:rsidRPr="008A2E5A">
        <w:rPr>
          <w:rFonts w:ascii="Times New Roman" w:hAnsi="Times New Roman"/>
          <w:color w:val="0070C0"/>
          <w:sz w:val="16"/>
          <w:szCs w:val="16"/>
        </w:rPr>
        <w:softHyphen/>
        <w:t>ствовали лобовые жалюзи, радиостанция РСИ-4, компрессор АК-50. Самолет даже не был покрашен. Из-за отсутствия подходяще</w:t>
      </w:r>
      <w:r w:rsidRPr="008A2E5A">
        <w:rPr>
          <w:rFonts w:ascii="Times New Roman" w:hAnsi="Times New Roman"/>
          <w:color w:val="0070C0"/>
          <w:sz w:val="16"/>
          <w:szCs w:val="16"/>
        </w:rPr>
        <w:softHyphen/>
        <w:t>го маслорадиатора поставили то, что было - стандартный для Як-1 и ЛаГГ-3 ОП-352, мягко говоря, не совсем пригодный для более теп</w:t>
      </w:r>
      <w:r w:rsidRPr="008A2E5A">
        <w:rPr>
          <w:rFonts w:ascii="Times New Roman" w:hAnsi="Times New Roman"/>
          <w:color w:val="0070C0"/>
          <w:sz w:val="16"/>
          <w:szCs w:val="16"/>
        </w:rPr>
        <w:softHyphen/>
        <w:t>лонагруженного по сравнению с М-105П мо</w:t>
      </w:r>
      <w:r w:rsidRPr="008A2E5A">
        <w:rPr>
          <w:rFonts w:ascii="Times New Roman" w:hAnsi="Times New Roman"/>
          <w:color w:val="0070C0"/>
          <w:sz w:val="16"/>
          <w:szCs w:val="16"/>
        </w:rPr>
        <w:softHyphen/>
        <w:t>тора М-82. Помогли мартовские ночные мо</w:t>
      </w:r>
      <w:r w:rsidRPr="008A2E5A">
        <w:rPr>
          <w:rFonts w:ascii="Times New Roman" w:hAnsi="Times New Roman"/>
          <w:color w:val="0070C0"/>
          <w:sz w:val="16"/>
          <w:szCs w:val="16"/>
        </w:rPr>
        <w:softHyphen/>
        <w:t>розы. Планируя вылеты на утро, удалось в целом оценить потенциал истребителя. Правда, скорее это была качественная оцен</w:t>
      </w:r>
      <w:r w:rsidRPr="008A2E5A">
        <w:rPr>
          <w:rFonts w:ascii="Times New Roman" w:hAnsi="Times New Roman"/>
          <w:color w:val="0070C0"/>
          <w:sz w:val="16"/>
          <w:szCs w:val="16"/>
        </w:rPr>
        <w:softHyphen/>
        <w:t xml:space="preserve">ка, чем количественная (23389). </w:t>
      </w:r>
    </w:p>
    <w:p w14:paraId="604A8EC5" w14:textId="77777777" w:rsidR="00E53DFE" w:rsidRPr="008A2E5A" w:rsidRDefault="00E53DFE" w:rsidP="00E53DFE">
      <w:pPr>
        <w:spacing w:after="0" w:line="240" w:lineRule="auto"/>
        <w:jc w:val="both"/>
        <w:rPr>
          <w:rFonts w:ascii="Times New Roman" w:hAnsi="Times New Roman"/>
          <w:color w:val="0070C0"/>
          <w:sz w:val="16"/>
          <w:szCs w:val="16"/>
        </w:rPr>
      </w:pPr>
    </w:p>
    <w:p w14:paraId="50CE37EC" w14:textId="77777777" w:rsidR="00F36C3E" w:rsidRPr="008127F8" w:rsidRDefault="00F36C3E"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концу марта 1942 самолет ИТП (М-2) доработали под установ</w:t>
      </w:r>
      <w:r w:rsidRPr="008127F8">
        <w:rPr>
          <w:color w:val="000000" w:themeColor="text1"/>
          <w:sz w:val="16"/>
          <w:szCs w:val="16"/>
        </w:rPr>
        <w:softHyphen/>
        <w:t>ку мотора АМ-39, но дальше все работы останови</w:t>
      </w:r>
      <w:r w:rsidRPr="008127F8">
        <w:rPr>
          <w:color w:val="000000" w:themeColor="text1"/>
          <w:sz w:val="16"/>
          <w:szCs w:val="16"/>
        </w:rPr>
        <w:softHyphen/>
        <w:t>лись, так как не было летного экземпляра мотора.</w:t>
      </w:r>
    </w:p>
    <w:p w14:paraId="12442850" w14:textId="77777777" w:rsidR="00F36C3E" w:rsidRPr="008127F8" w:rsidRDefault="00F36C3E"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расчетам, ИТП (М-2) с АМ-39 при полетном весе 3513 кг должен был иметь максимальную ско</w:t>
      </w:r>
      <w:r w:rsidRPr="008127F8">
        <w:rPr>
          <w:color w:val="000000" w:themeColor="text1"/>
          <w:sz w:val="16"/>
          <w:szCs w:val="16"/>
        </w:rPr>
        <w:softHyphen/>
        <w:t>рость у земли 566 км/ч на номинальном режиме работы мотора и 600 км/ч — на форсаже. Макси</w:t>
      </w:r>
      <w:r w:rsidRPr="008127F8">
        <w:rPr>
          <w:color w:val="000000" w:themeColor="text1"/>
          <w:sz w:val="16"/>
          <w:szCs w:val="16"/>
        </w:rPr>
        <w:softHyphen/>
        <w:t>мальная скорость на расчетной высоте 7600 м до</w:t>
      </w:r>
      <w:r w:rsidRPr="008127F8">
        <w:rPr>
          <w:color w:val="000000" w:themeColor="text1"/>
          <w:sz w:val="16"/>
          <w:szCs w:val="16"/>
        </w:rPr>
        <w:softHyphen/>
        <w:t>стигала 688 км/ч. Время набора высоты 5000 м — 4,9 мин. Практический потолок — 11 000 м. Во</w:t>
      </w:r>
      <w:r w:rsidRPr="008127F8">
        <w:rPr>
          <w:color w:val="000000" w:themeColor="text1"/>
          <w:sz w:val="16"/>
          <w:szCs w:val="16"/>
        </w:rPr>
        <w:softHyphen/>
        <w:t>оружение состояло из 3 синхронных пушек ШВАК (всего 550 патронов). Секундный залп составлял 3,37 кг. В перегрузку под крылом допускалась под</w:t>
      </w:r>
      <w:r w:rsidRPr="008127F8">
        <w:rPr>
          <w:color w:val="000000" w:themeColor="text1"/>
          <w:sz w:val="16"/>
          <w:szCs w:val="16"/>
        </w:rPr>
        <w:softHyphen/>
        <w:t>веска 400 кг бомб или 8 ракетных орудий РО-82 (17500).</w:t>
      </w:r>
    </w:p>
    <w:p w14:paraId="5BCB34CA" w14:textId="77777777" w:rsidR="00F36C3E" w:rsidRPr="008127F8" w:rsidRDefault="00F36C3E" w:rsidP="001E0A84">
      <w:pPr>
        <w:spacing w:after="0" w:line="240" w:lineRule="auto"/>
        <w:jc w:val="both"/>
        <w:rPr>
          <w:rFonts w:ascii="Times New Roman" w:hAnsi="Times New Roman"/>
          <w:color w:val="000000" w:themeColor="text1"/>
          <w:sz w:val="16"/>
          <w:szCs w:val="16"/>
        </w:rPr>
      </w:pPr>
    </w:p>
    <w:p w14:paraId="214809BF"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марта 1942 г. самолет ИТП (М-2) доработали, но дальше работы остановились, так как доводка мотора АМ-39 сильно затяну</w:t>
      </w:r>
      <w:r w:rsidRPr="008A2E5A">
        <w:rPr>
          <w:rFonts w:ascii="Times New Roman" w:hAnsi="Times New Roman"/>
          <w:color w:val="0070C0"/>
          <w:sz w:val="16"/>
          <w:szCs w:val="16"/>
        </w:rPr>
        <w:softHyphen/>
        <w:t>лась и завод №301 не смог в установлен</w:t>
      </w:r>
      <w:r w:rsidRPr="008A2E5A">
        <w:rPr>
          <w:rFonts w:ascii="Times New Roman" w:hAnsi="Times New Roman"/>
          <w:color w:val="0070C0"/>
          <w:sz w:val="16"/>
          <w:szCs w:val="16"/>
        </w:rPr>
        <w:softHyphen/>
        <w:t>ные сроки поставить отладочный экзем</w:t>
      </w:r>
      <w:r w:rsidRPr="008A2E5A">
        <w:rPr>
          <w:rFonts w:ascii="Times New Roman" w:hAnsi="Times New Roman"/>
          <w:color w:val="0070C0"/>
          <w:sz w:val="16"/>
          <w:szCs w:val="16"/>
        </w:rPr>
        <w:softHyphen/>
        <w:t>пляр мотора.</w:t>
      </w:r>
    </w:p>
    <w:p w14:paraId="63AA9D1B"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к 6 августа удалось в це</w:t>
      </w:r>
      <w:r w:rsidRPr="008A2E5A">
        <w:rPr>
          <w:rFonts w:ascii="Times New Roman" w:hAnsi="Times New Roman"/>
          <w:color w:val="0070C0"/>
          <w:sz w:val="16"/>
          <w:szCs w:val="16"/>
        </w:rPr>
        <w:softHyphen/>
        <w:t>лом успешно завершить внутризавод</w:t>
      </w:r>
      <w:r w:rsidRPr="008A2E5A">
        <w:rPr>
          <w:rFonts w:ascii="Times New Roman" w:hAnsi="Times New Roman"/>
          <w:color w:val="0070C0"/>
          <w:sz w:val="16"/>
          <w:szCs w:val="16"/>
        </w:rPr>
        <w:softHyphen/>
        <w:t>ские испытания мотора АМ-39, на кото</w:t>
      </w:r>
      <w:r w:rsidRPr="008A2E5A">
        <w:rPr>
          <w:rFonts w:ascii="Times New Roman" w:hAnsi="Times New Roman"/>
          <w:color w:val="0070C0"/>
          <w:sz w:val="16"/>
          <w:szCs w:val="16"/>
        </w:rPr>
        <w:softHyphen/>
        <w:t>рых была зафиксирована взлетная мощ</w:t>
      </w:r>
      <w:r w:rsidRPr="008A2E5A">
        <w:rPr>
          <w:rFonts w:ascii="Times New Roman" w:hAnsi="Times New Roman"/>
          <w:color w:val="0070C0"/>
          <w:sz w:val="16"/>
          <w:szCs w:val="16"/>
        </w:rPr>
        <w:softHyphen/>
        <w:t>ность 1750 л.с., номинальная мощность 1550 л.с. на высоте 1800 м, и 1400 л.с. - на высоте 6500 м.</w:t>
      </w:r>
    </w:p>
    <w:p w14:paraId="235A01E8"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Главный конструктор мотора А.А. </w:t>
      </w:r>
      <w:proofErr w:type="gramStart"/>
      <w:r w:rsidRPr="008A2E5A">
        <w:rPr>
          <w:rFonts w:ascii="Times New Roman" w:hAnsi="Times New Roman"/>
          <w:color w:val="0070C0"/>
          <w:sz w:val="16"/>
          <w:szCs w:val="16"/>
        </w:rPr>
        <w:t>Ми- кулин</w:t>
      </w:r>
      <w:proofErr w:type="gramEnd"/>
      <w:r w:rsidRPr="008A2E5A">
        <w:rPr>
          <w:rFonts w:ascii="Times New Roman" w:hAnsi="Times New Roman"/>
          <w:color w:val="0070C0"/>
          <w:sz w:val="16"/>
          <w:szCs w:val="16"/>
        </w:rPr>
        <w:t xml:space="preserve"> и директор завода №300 Тихо- мирнов доложили наркому авиапромыш</w:t>
      </w:r>
      <w:r w:rsidRPr="008A2E5A">
        <w:rPr>
          <w:rFonts w:ascii="Times New Roman" w:hAnsi="Times New Roman"/>
          <w:color w:val="0070C0"/>
          <w:sz w:val="16"/>
          <w:szCs w:val="16"/>
        </w:rPr>
        <w:softHyphen/>
        <w:t>ленности Шахурину, что использование турбокомпрессоров «позволит достичь 14 000 м» и «никаких затруднений в се</w:t>
      </w:r>
      <w:r w:rsidRPr="008A2E5A">
        <w:rPr>
          <w:rFonts w:ascii="Times New Roman" w:hAnsi="Times New Roman"/>
          <w:color w:val="0070C0"/>
          <w:sz w:val="16"/>
          <w:szCs w:val="16"/>
        </w:rPr>
        <w:softHyphen/>
        <w:t>рии не предвидится». Однако погорячи</w:t>
      </w:r>
      <w:r w:rsidRPr="008A2E5A">
        <w:rPr>
          <w:rFonts w:ascii="Times New Roman" w:hAnsi="Times New Roman"/>
          <w:color w:val="0070C0"/>
          <w:sz w:val="16"/>
          <w:szCs w:val="16"/>
        </w:rPr>
        <w:softHyphen/>
        <w:t>лись. Мотор все еще страдал «детскими болезнями» и требовал длительной кро</w:t>
      </w:r>
      <w:r w:rsidRPr="008A2E5A">
        <w:rPr>
          <w:rFonts w:ascii="Times New Roman" w:hAnsi="Times New Roman"/>
          <w:color w:val="0070C0"/>
          <w:sz w:val="16"/>
          <w:szCs w:val="16"/>
        </w:rPr>
        <w:softHyphen/>
        <w:t>потливой доводки. Эта работа заверши</w:t>
      </w:r>
      <w:r w:rsidRPr="008A2E5A">
        <w:rPr>
          <w:rFonts w:ascii="Times New Roman" w:hAnsi="Times New Roman"/>
          <w:color w:val="0070C0"/>
          <w:sz w:val="16"/>
          <w:szCs w:val="16"/>
        </w:rPr>
        <w:softHyphen/>
        <w:t>лась лишь через 8 месяцев - в апреле 1944 г., когда очередной опытный обра</w:t>
      </w:r>
      <w:r w:rsidRPr="008A2E5A">
        <w:rPr>
          <w:rFonts w:ascii="Times New Roman" w:hAnsi="Times New Roman"/>
          <w:color w:val="0070C0"/>
          <w:sz w:val="16"/>
          <w:szCs w:val="16"/>
        </w:rPr>
        <w:softHyphen/>
        <w:t>зец мотора АМ-39А удовлетворительно отработал всю программу государствен</w:t>
      </w:r>
      <w:r w:rsidRPr="008A2E5A">
        <w:rPr>
          <w:rFonts w:ascii="Times New Roman" w:hAnsi="Times New Roman"/>
          <w:color w:val="0070C0"/>
          <w:sz w:val="16"/>
          <w:szCs w:val="16"/>
        </w:rPr>
        <w:softHyphen/>
        <w:t>ных испытаний. Но серийным мотор так</w:t>
      </w:r>
    </w:p>
    <w:p w14:paraId="4F07E6BD" w14:textId="77777777" w:rsidR="00E53DFE" w:rsidRPr="008A2E5A" w:rsidRDefault="00E53DFE" w:rsidP="00E53DFE">
      <w:pPr>
        <w:spacing w:after="0" w:line="240" w:lineRule="auto"/>
        <w:jc w:val="both"/>
        <w:rPr>
          <w:rFonts w:ascii="Times New Roman" w:hAnsi="Times New Roman"/>
          <w:color w:val="0070C0"/>
          <w:sz w:val="16"/>
          <w:szCs w:val="16"/>
        </w:rPr>
      </w:pPr>
    </w:p>
    <w:p w14:paraId="4704DA89" w14:textId="77777777" w:rsidR="007505E4" w:rsidRPr="008127F8" w:rsidRDefault="007505E4" w:rsidP="001E0A84">
      <w:pPr>
        <w:shd w:val="clear" w:color="auto" w:fill="FFFFFF"/>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rPr>
        <w:t xml:space="preserve">С конца марта 1941 в НИИ ВВС приступили к испытаниям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 xml:space="preserve">, совершившего 22 февраля посадку в Тушино. Летал полковник П.М. Стефановский. При выполнении программы получили скорость 561bкм/ч на высоте 3000 м. Это не очень много - советский Як-7Б давал 570 км/ч на 3650 м, но проигрывая «немцу» в скороподъемности. Предкрылки обеспечивали немецкому истребителю меньшую скорость сваливания. Самолет быстро разгонялся на пикировании, но выходил из него с большим усилием на органах управления и значительной просадкой. На взлете самолет рыскал, а на посадке демонстрировал тенденцию к развороту. Однако следовало учитывать износ и последствия ремонтов машины, реальные данные могли быть существенно выше. Приходилось признать потенциальное превосходство «мессершмитта» в воздушном бою. Советские летчики могли использовать лишь лучшую маневренность своих самолетов на горизонталях. Такую тактику приняли в учебных боях пилоты, летавшие </w:t>
      </w:r>
      <w:proofErr w:type="gramStart"/>
      <w:r w:rsidRPr="008127F8">
        <w:rPr>
          <w:rFonts w:ascii="Times New Roman" w:hAnsi="Times New Roman"/>
          <w:color w:val="000000" w:themeColor="text1"/>
          <w:sz w:val="16"/>
          <w:szCs w:val="16"/>
        </w:rPr>
        <w:t>на советском</w:t>
      </w:r>
      <w:proofErr w:type="gramEnd"/>
      <w:r w:rsidRPr="008127F8">
        <w:rPr>
          <w:rFonts w:ascii="Times New Roman" w:hAnsi="Times New Roman"/>
          <w:color w:val="000000" w:themeColor="text1"/>
          <w:sz w:val="16"/>
          <w:szCs w:val="16"/>
        </w:rPr>
        <w:t xml:space="preserve"> Як-1. Правда, из-за сильного износа гидромуфты нагнетателя высотные характеристики мотора на немецком самолете ухудшились, что повлияло и на данные машины в целом выше 3000 м. Это привело к ошибочной рекомендации затягивать в бою немецких летчиков вверх. Кроме того, в реальных боях на фронте крайне редко вели маневренный бой. Обычно успешная атака проводилась одним заходом с использованием фактора неожиданности. Из недостатков Стефановский еще отметил плохой обзор назад и невозможность приоткрытия фонаря в полете. Последнее определялось советской спецификой: из-за мутного оргстекла пилоты часто летали, не закрывая фонарь. В Германии же качество плексигласа было куда выше и подобный прием просто не требовался. Да и нельзя на «мессершмитте» приоткрыть фонарь в полете - он не сдвигался, а откидывался вбок (23186).</w:t>
      </w:r>
    </w:p>
    <w:p w14:paraId="20408274" w14:textId="77777777" w:rsidR="007505E4" w:rsidRPr="008127F8" w:rsidRDefault="007505E4" w:rsidP="001E0A84">
      <w:pPr>
        <w:shd w:val="clear" w:color="auto" w:fill="FFFFFF"/>
        <w:spacing w:after="0" w:line="240" w:lineRule="auto"/>
        <w:jc w:val="both"/>
        <w:rPr>
          <w:rFonts w:ascii="Times New Roman" w:hAnsi="Times New Roman"/>
          <w:color w:val="000000" w:themeColor="text1"/>
          <w:sz w:val="16"/>
          <w:szCs w:val="16"/>
          <w:shd w:val="clear" w:color="auto" w:fill="FFFFFF"/>
        </w:rPr>
      </w:pPr>
    </w:p>
    <w:p w14:paraId="1DB51E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1942 г., на заседании Военного Совета ВВС КА по вопросу состояния ремонта самолетов и моторов (4090) в решении было записано: "Если не будут приняты решительные меры по ремонту самолетов и, главным образом, моторов, - это приведет самолетно-моторный парк к катастрофическому положению" (3573).</w:t>
      </w:r>
    </w:p>
    <w:p w14:paraId="485724B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77C2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FD2EC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793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1942 на заседании 2-го отдела НКТП был представлен проект улучшенного Т-34 - Т-34М с более плотной компоновкой агрегатов и интерьера и экипажем 3 чел. Броню увеличили до 60-80 мм во лбу, бортах и корме и цельнолитой башней, разработанной б. ГК Мариупольского з-да В.Ниценко. Хотели поставить и пятиступенчаьтую КПП и торсионы. Утвержден не был (7518, 26).</w:t>
      </w:r>
    </w:p>
    <w:p w14:paraId="0E40260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EA09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марта 1942 коллективу СТЗ удалось на 81% выполнить план по производству дизелей (было изготовлено 319 двигателей из 390 запланированных). Без сомнения, начало серий</w:t>
      </w:r>
      <w:r w:rsidRPr="008127F8">
        <w:rPr>
          <w:rFonts w:ascii="Times New Roman" w:hAnsi="Times New Roman"/>
          <w:color w:val="000000" w:themeColor="text1"/>
          <w:sz w:val="16"/>
          <w:szCs w:val="16"/>
        </w:rPr>
        <w:softHyphen/>
        <w:t>ного выпуска дизеля В-2 стало большим событием в истории сталин</w:t>
      </w:r>
      <w:r w:rsidRPr="008127F8">
        <w:rPr>
          <w:rFonts w:ascii="Times New Roman" w:hAnsi="Times New Roman"/>
          <w:color w:val="000000" w:themeColor="text1"/>
          <w:sz w:val="16"/>
          <w:szCs w:val="16"/>
        </w:rPr>
        <w:softHyphen/>
        <w:t>градского завода (10703).</w:t>
      </w:r>
    </w:p>
    <w:p w14:paraId="3C62E1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AF04A"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конце марта 1942 года на Омском заводе началось строительство мартеновского цеха на 5 мартеновских печей с производительностью, которая должна была обеспечить всю потребность в литье на выпуск 250 Т-34 в месяц. На время, пока шло строительство печей, завод № 174 получал литье с других предприятий.</w:t>
      </w:r>
    </w:p>
    <w:p w14:paraId="79911721"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Первую мартеновскую 25-тонную печь пустили 31 декабря 1942 года, но сталелитейный цех не был еше готов, и не смог приступить к производству отливок раньше марта 1943 года. До июня работала только одна печь, да и то с большими перебоями и неполадками из-за недоделок оборудования и неготовности литейного цеха. Вторая 25-тонная печь, запушенная в конце июня </w:t>
      </w:r>
      <w:proofErr w:type="gramStart"/>
      <w:r w:rsidRPr="008127F8">
        <w:rPr>
          <w:rFonts w:ascii="Times New Roman" w:hAnsi="Times New Roman"/>
          <w:color w:val="000000" w:themeColor="text1"/>
          <w:sz w:val="16"/>
          <w:szCs w:val="16"/>
        </w:rPr>
        <w:t>1943 года</w:t>
      </w:r>
      <w:proofErr w:type="gramEnd"/>
      <w:r w:rsidRPr="008127F8">
        <w:rPr>
          <w:rFonts w:ascii="Times New Roman" w:hAnsi="Times New Roman"/>
          <w:color w:val="000000" w:themeColor="text1"/>
          <w:sz w:val="16"/>
          <w:szCs w:val="16"/>
        </w:rPr>
        <w:t xml:space="preserve"> не смогла выправить положение с литьем и не покрывала потребности в жидком металле до конца года. Причинами этого являлись и пуск обеих печей при крупных недоделках печного и цехового оборудования, и опоздание с вводом в строй литейного цеха.</w:t>
      </w:r>
    </w:p>
    <w:p w14:paraId="4E313B6F"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с пуском третьей печи в конце 1943 года стало возможным обеспечение потребностей завода № 174 литьем. Эта печь позволяла производить остановку одну из двух других для ремонта и создавала условия более надежной, равномерной и правильной их эксплуатации. Четвертая печь была запушена в апреле 1945 года и никакого влияния на работу мартеновского цеха не оказала.</w:t>
      </w:r>
    </w:p>
    <w:p w14:paraId="51C1E146"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всех печей за период 1942 - 1945 годов характеризовалась малой производительностью, большими простоями на авариях и ремонтах, малой стойкостью, нарушением графика плавки. За весь период войны так и не было создано нормальных условий, гарантирующих получение высоких качеств выплавленной стали из-за целого ряда причин. Так, огнеупоры поступали на завод низкого качества, печи работали на шихте случайного состава, ферросплавы и легирующие элементы поступали в печи в непрокаленном виде (сырые, а зимой влажные), работа производилась не на обожженной извести, а на известковом камне, и даже на мраморной крошке ввиду отсутствия печи для обжига известкового камня и т.д.</w:t>
      </w:r>
    </w:p>
    <w:p w14:paraId="15EC0D01"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вышеуказанных причин, в течение 1943 года было освоено только 30 литых деталей для Т-34 из 40. Тем не менее, цех из месяца в месяц набирал темпы - с 59 тонн в марте до 570 в декабре - преодолевая трудности не только в освоении литья, но и в освоении нового оборудования и подготовке квалифицированных рабочих основных специальностей, в которых постоянно ощущался недостаток (формовщиков, стерженьщиков, сборщиков и т.д.) из неквалифицированной подсобной рабочей силы.</w:t>
      </w:r>
    </w:p>
    <w:p w14:paraId="1BBB994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во второй половине 1943 года сталелитейный цех (№ 5) приступил к освоению отливки корпуса башни для Т-34. Поскольку выбранная технология изготовления представляла из себя довольно сложный процесс - отливка тяжелой броневой детали массой 5 тонн в металлическую форму — кокиль, цех столкнулся с целым рядом проблем. Пришлось осваивать не только изготовление самой отливки, но и параллельно с этим разрабатывать техпроцесс производства чугунных кокилей. Стойкость последних - 8-10 плавок - а также качество отливок (почти 100% брак) оказалось таким неудовлетворительным, что пришлось на два месяца прекратить производство башен для доработки техпроцесса литья и изменения конструкции кокилей. После получения удовлетворительной стойкости последних (до 30 плавок) в октябре 1943 года производство литых башен в кокиль возобновилось, и до декабря было изготовлено 145 башен, из которых 91 (или 65%) оказались браком. Производство шестигранных башен для Т-34-76 продолжалось до 10 мая 1944 года, за это время было отлито 821 башня, из которых было забраковано 312(38%).</w:t>
      </w:r>
    </w:p>
    <w:p w14:paraId="06F448A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1944 года завод № 174 приступил к освоению литья башни для Т-34-85, но к их литью цех № 5 смог приступить только в мае, так как пришлось довольно долго осваивать чугунный кокиль новой конструкции. Попытка отливать эти башни в землю, предпринятая в апреле 1944 года (всего изготовили две), показала, что они имеют пониженную сна- рядостойкость, а также значительно большую (примерно в 3-4 раза) трудоемкость, чем при литье в кокиль.</w:t>
      </w:r>
    </w:p>
    <w:p w14:paraId="64942547"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освоением литья новых башен отрабатывалась технология изготовления новых кокилей, с учетов уже накопленного опыта. Этим объяснялось то, что новую башню удалось освоить значительно быстрее, чем шестигранную, а также меньший процент их брака.</w:t>
      </w:r>
    </w:p>
    <w:p w14:paraId="2267033D"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Одной из основных причин брака литых башен (по трещинам и искажению геометрии) являлась малая стойкость чугунных кокилей - не более 30 отливок. Как правило, кокиль давал одну или несколько трещин, что приводило к увеличению его размеров и массы, и вело к образованию трещин в отливке в местах образования их на кокиле. Заводом № 174 была разработана оригинальная методика заделки трещин на кокилях, но более радикальной мерой стал переход на изготовление стальных кокилей. При этом последнее привело, помимо всего прочего, к значительному снижению брака.</w:t>
      </w:r>
    </w:p>
    <w:p w14:paraId="64F40AF5"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Полный переход на стальные кокили произошел в ноябре 1944 года, при этом их стойкость составляла 150-300 плавок, что позволило увеличить выпуск башен до 180-200 штук в месяц. Всего за 1944-1945 года цех № 5 завода № 174 отлил 2217 башен для Т-34-85, из них 421 попали в брак (19%).</w:t>
      </w:r>
    </w:p>
    <w:p w14:paraId="01554401"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это в течение всей войны литьевой цех № 5 имел большое количество недостатков и недоработок, осложнявших его работу. В докладе военпреда завода № 174, датированного июнем 1945 года, основными из них были названы следующие, которые, кстати сказать, хорошо иллюстрируют те условия, в которых трудились рабочие, выпускавшие танки для Красной Армии:</w:t>
      </w:r>
    </w:p>
    <w:p w14:paraId="3F1E9C86"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цех не дооборудован до настоящего времени полностью (еще не работает целое отделение - блок № 3).</w:t>
      </w:r>
    </w:p>
    <w:p w14:paraId="1467A96F"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цех не имеет складов формовочных материалов, зимой песок и глина смерзаются, применяются в замороженном виде или требуют дополнительного размораживания.</w:t>
      </w:r>
    </w:p>
    <w:p w14:paraId="67DBC3B7"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весной и летом формовочные материалы переувлажняются от дождей.</w:t>
      </w:r>
    </w:p>
    <w:p w14:paraId="74F02CC0"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w:t>
      </w:r>
      <w:r w:rsidRPr="008127F8">
        <w:rPr>
          <w:rFonts w:ascii="Times New Roman" w:hAnsi="Times New Roman"/>
          <w:color w:val="000000" w:themeColor="text1"/>
          <w:sz w:val="16"/>
          <w:szCs w:val="16"/>
        </w:rPr>
        <w:tab/>
        <w:t>крыша цеха протекает, от чего портятся формы и стержни.</w:t>
      </w:r>
    </w:p>
    <w:p w14:paraId="3CF1C9D2"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w:t>
      </w:r>
      <w:r w:rsidRPr="008127F8">
        <w:rPr>
          <w:rFonts w:ascii="Times New Roman" w:hAnsi="Times New Roman"/>
          <w:color w:val="000000" w:themeColor="text1"/>
          <w:sz w:val="16"/>
          <w:szCs w:val="16"/>
        </w:rPr>
        <w:tab/>
        <w:t>формовочные машины крайне стары и изношены, формы с них получаются некачественные.</w:t>
      </w:r>
    </w:p>
    <w:p w14:paraId="22D851BC"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w:t>
      </w:r>
      <w:r w:rsidRPr="008127F8">
        <w:rPr>
          <w:rFonts w:ascii="Times New Roman" w:hAnsi="Times New Roman"/>
          <w:color w:val="000000" w:themeColor="text1"/>
          <w:sz w:val="16"/>
          <w:szCs w:val="16"/>
        </w:rPr>
        <w:tab/>
        <w:t>цех не приспособлен для работы в суровых зимних условиях Сибири, не утеплен, не имеет нормальной вентиляции и отопления.</w:t>
      </w:r>
    </w:p>
    <w:p w14:paraId="5FC467F8"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работа металлургических цехов (№ 2 и 5) завода за период Великой Отечественной войны характеризуется тем, что она всегда связывала работу механических цехов и сборки».</w:t>
      </w:r>
    </w:p>
    <w:p w14:paraId="0CD58AA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Впервые завод № 174 приступил к изготовлению бронекорпусов для танков Т-34 в марте 1942 года, а первые корпуса были готовы в мае, а башни в июне. Всего же за период Великой Отечественной войны военной приемкой завода № 174 было принято 3649 корпусов и 4119 башен (из них 2038 своих отливок и 2081 с других заводов). Кроме того, завод дооборудовал 783 ремонтных корпуса, поступивших с завода № 180, 338 новых корпусов, изготовленных УЗТМ, а также 455 ремонтных и 227 новых башен. Таким образом, корпусной цех завода отправил на сборку 4770 корпусов и 4801 башню.</w:t>
      </w:r>
    </w:p>
    <w:p w14:paraId="773528A4"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1944 года цеха приступили к частичному изготовлению корпусов и башен для танков Т-34-85, а с сентября завод полностью перешел на их выпуск.</w:t>
      </w:r>
    </w:p>
    <w:p w14:paraId="4D652512"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самого начала производства корпуса Т-34 имели большое количество трещин, особенно на лобовых и бортовых листах, подкрылках и кормовом листе. Наибольший процент трещин имел место в1942—1943 годах, достигая 83-86%, а наименьший в мае 1945 года - всего 1,4%.</w:t>
      </w:r>
    </w:p>
    <w:p w14:paraId="3C4C095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Трещины в бронедеталях обнаруживались на разных стадиях производства, начиная со сборки узлов корпуса и кончая отправкой машин на фронт. Для борьбы с трещинами на бронелистах и узлах завод провел следующие мероприятия:</w:t>
      </w:r>
    </w:p>
    <w:p w14:paraId="4C102F38"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Был введен низкий отпуск узлов носа и заднего моста корпуса после сварки, сначала в селитровых ваннах, а в последствии в электропечах.</w:t>
      </w:r>
    </w:p>
    <w:p w14:paraId="23F0498B"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Был введен низкий отпуск основных бронедеталей после автогенной резки для снятия напряжений на кромках деталей. Вырезка контура деталей производилась в незакаленном состоянии.</w:t>
      </w:r>
    </w:p>
    <w:p w14:paraId="544216F0"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Были приняты меры по увеличению давления кислорода и его чистоты в сети для вырезки бронедеталей.</w:t>
      </w:r>
    </w:p>
    <w:p w14:paraId="0676CCEF"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Была введена автосварка узлов носа, заднего моста и бортов, что значительно улучшило качество сварки, тем самым уменьшило напряжение в деталях, создаваемо при ручной сварке</w:t>
      </w:r>
      <w:proofErr w:type="gramStart"/>
      <w:r w:rsidRPr="008127F8">
        <w:rPr>
          <w:rFonts w:ascii="Times New Roman" w:hAnsi="Times New Roman"/>
          <w:color w:val="000000" w:themeColor="text1"/>
          <w:sz w:val="16"/>
          <w:szCs w:val="16"/>
        </w:rPr>
        <w:t>»..</w:t>
      </w:r>
      <w:proofErr w:type="gramEnd"/>
    </w:p>
    <w:p w14:paraId="16A094D7"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внедрения всех вышеперечисленных мероприятий, со второго полугодия 1943 года число трещин резко сократилось, а в отдельные месяцы 1944 года их не было совсем.</w:t>
      </w:r>
    </w:p>
    <w:p w14:paraId="297AAF6F"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самого броневого листа, то в течение всей войны он поставлялся на завод № 174 Кузнецким металлургическим комбинатом и Новотагильским металлургическим заводом. При этом отмечалось удовлетворительное качество проката (12217).</w:t>
      </w:r>
    </w:p>
    <w:p w14:paraId="62A8F90F"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71123F36" w14:textId="77777777" w:rsidR="007505E4" w:rsidRPr="008127F8" w:rsidRDefault="007505E4" w:rsidP="001E0A84">
      <w:pPr>
        <w:shd w:val="clear" w:color="auto" w:fill="FFFFFF"/>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К концу марта месяца 1942 ГАЗ подготовил первые танки Т-70, которые сдали уже в апреле. Освоение машины потребовало некоторого времени, кроме того, в ходе эксплуатации стали выявляться различные проблемы, которые привели к запуску малой и большой модернизации танка. Тем не менее, само по себе появление Т-70 стало правильным решением. Да, этот танк появился уже на закате карьеры машин легкого класса, он уступал "полноценным" танкам, таким, как Light Tank M3, тот же Т-50, Pz.Kpfw.38(t). Но как мобилизационная машина детище Астрова стало тем самым, что требовалось. Кроме того, не стоит забывать одну простую вещь. Дальнейшее развитие конструкции Т-70 привело к созданию модернизированной ходовой части. Без нее не появилась бы ни СУ-76, ни столь любимые некоторыми адептами "Т-60 не нужен" тягачи (23179).</w:t>
      </w:r>
    </w:p>
    <w:p w14:paraId="640FED8E" w14:textId="77777777" w:rsidR="007505E4" w:rsidRPr="008127F8" w:rsidRDefault="007505E4" w:rsidP="001E0A84">
      <w:pPr>
        <w:spacing w:after="0" w:line="240" w:lineRule="auto"/>
        <w:jc w:val="both"/>
        <w:rPr>
          <w:rFonts w:ascii="Times New Roman" w:hAnsi="Times New Roman"/>
          <w:color w:val="000000" w:themeColor="text1"/>
          <w:sz w:val="16"/>
          <w:szCs w:val="16"/>
        </w:rPr>
      </w:pPr>
    </w:p>
    <w:p w14:paraId="514AFE84"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К концу марта 1942 г., согласно отчету ГАЗ, было собрано 3 машины Т-70, из них 2 без башен. За март один из заводов-смежников не подал корпусов, лишь в конце месяца 5 комплектов пришло с завода №176.</w:t>
      </w:r>
    </w:p>
    <w:p w14:paraId="4512EF6F"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Ситуация с корпусами привела к тому, что на ГАЗ решили их выпускать самостоятельно. На заводе заложили серию из 25 корпусов, но в виду отсутствия металла необходимой толщины работы сорвались. Удалось собрать всего 5 корпусов, из которых 2 оказались без подбашенных листов. Верхний лобовой лист в виду отсутствия брони толщиной 35 мм собирали из двух листов (20+13 мм). Также все корпуса оказались без люков механиков-водителей, которые поставили позже. Из 8 изготовленных за март литых башен готова оказалась одна, именно ее и поставили на один танк. Также на заводе заложили серию из 17 сварных башен. В виду отсутствия листов толщиной 35 мм их также пришлось делать из двух листов толщиной 20 и 13 мм, но до конца месяца ни одной башни так и не сдали. Дополнительные трудности вызвали проблемы с двигателями. Помимо того, что подготовка к производству ГАЗ-203 затянулась, сорвались поставки коробок передач с ЗИС. Наконец, сборка машин шла по обходной технологии (24898).</w:t>
      </w:r>
    </w:p>
    <w:p w14:paraId="02785B3B" w14:textId="77777777" w:rsidR="00D8717E" w:rsidRPr="007155F3" w:rsidRDefault="00D8717E" w:rsidP="00D8717E">
      <w:pPr>
        <w:spacing w:after="0" w:line="240" w:lineRule="auto"/>
        <w:jc w:val="both"/>
        <w:rPr>
          <w:rFonts w:ascii="Times New Roman" w:hAnsi="Times New Roman"/>
          <w:color w:val="0070C0"/>
          <w:sz w:val="16"/>
          <w:szCs w:val="16"/>
        </w:rPr>
      </w:pPr>
    </w:p>
    <w:p w14:paraId="0A772E62" w14:textId="77777777" w:rsidR="00E53DFE" w:rsidRPr="008A2E5A" w:rsidRDefault="00E53DFE" w:rsidP="00E53DF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марта 1942 года. В ГАУ КА посетовали на то, что работа по самоходной артиллерии застопорилась. В числе необходимых САУ продолжала значиться и боевая машина типа "212". Проблема в том, что ни шасси КВ-3, ни 152-мм пушек БР-2, серийно не производилось. 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С.А. Гинзбург. С одной стороны ГАУ КА выкатило свои пожелания, а НКТП, в лице Гинзбурга, предложил то, что можно сделать. В этот момент и сложилась концепция базы КВ-7 и вооружения в виде МЛ-20 (23889).</w:t>
      </w:r>
    </w:p>
    <w:p w14:paraId="193B17E2" w14:textId="77777777" w:rsidR="00E53DFE" w:rsidRPr="008A2E5A" w:rsidRDefault="00E53DFE" w:rsidP="00E53DFE">
      <w:pPr>
        <w:spacing w:after="0" w:line="240" w:lineRule="auto"/>
        <w:jc w:val="both"/>
        <w:rPr>
          <w:rFonts w:ascii="Times New Roman" w:hAnsi="Times New Roman"/>
          <w:color w:val="0070C0"/>
          <w:sz w:val="16"/>
          <w:szCs w:val="16"/>
        </w:rPr>
      </w:pPr>
    </w:p>
    <w:p w14:paraId="07679616"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1942 решением ГАБТУ КА, утверждённым в ГКО, специализация рембазы № 82 изменилась, о чём 5 апреля 1942 года было уведомлено командование Западного фронта: «Ввиду изменения профиля рембазы № 82 данный АБТУ КА план завоза на 2-й квартал по трофейным танкам и бронемашинам полностью переносится на рембазу № 8 (12688).</w:t>
      </w:r>
    </w:p>
    <w:p w14:paraId="2BF5711B"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плану завода на рембазу № 82 сохраняется завоз для ремонта только танков иностранных марок, т. е. английских и американских. Дайте немедленно соответствующие указания войсковым частям фронта». </w:t>
      </w:r>
    </w:p>
    <w:p w14:paraId="0200EB9C"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до примерно до лета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785B6821"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65B6BD7D" w14:textId="77777777" w:rsidR="004D03C3" w:rsidRPr="008127F8" w:rsidRDefault="004D03C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1942 г. завод № 619 возобновил работу Основным объектом его выпуска оставалась радиостанция тактического звена собственной разработки РЛ-6. Одновременна была проведена ее модернизация, позволившая увеличить в полтора раза дальность действия. И уже с апреля 1942 г. новая станция – РЛ-7 – была поставлена на линейку серийного производства. Несмотря на то, что спрос на эти станции был весьма велик, завод смог оснастить ими Ленинградский фронт и начал поставлять их для других фронтов (18297).</w:t>
      </w:r>
    </w:p>
    <w:p w14:paraId="2E904CC9" w14:textId="77777777" w:rsidR="004D03C3" w:rsidRPr="008127F8" w:rsidRDefault="004D03C3" w:rsidP="001E0A84">
      <w:pPr>
        <w:spacing w:after="0" w:line="240" w:lineRule="auto"/>
        <w:jc w:val="both"/>
        <w:rPr>
          <w:rFonts w:ascii="Times New Roman" w:hAnsi="Times New Roman"/>
          <w:color w:val="000000" w:themeColor="text1"/>
          <w:sz w:val="16"/>
          <w:szCs w:val="16"/>
        </w:rPr>
      </w:pPr>
    </w:p>
    <w:p w14:paraId="70DE95D4"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626EB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353A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1942 старший лейтенант Николай Смирнов из 788-го ИАП ПВО, сбивший за месяц с небольшим два германских самолета написал подробный рапорт, в котором изложил свои рекомендации по борьбе с воздушным противником:</w:t>
      </w:r>
    </w:p>
    <w:p w14:paraId="1B08F66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При преследовании и ведении воздушного боя необходимо строгое наблюдение за противником. Поэтому управление самолетом, работас вооружением должна выполняться на ощупь. Для этого нужно хорошо знать свой самолет. </w:t>
      </w:r>
    </w:p>
    <w:p w14:paraId="41E1B3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Современный двухмоторный самолет врага обладает большим диапазоном скоростей и хорошим маневром. Это обязывает летчика-истребителя все маневры погони и боя делать с учетом наивыгоднейших, кратчайших направлений, все делать в сторону противника. Малейшее промедление в маневре или выполнение его в противоположную сторону от цели дает противнику возможность значительно оторваться или вовсе уйти. </w:t>
      </w:r>
    </w:p>
    <w:p w14:paraId="0AC30A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При ведении боя надо стремиться сблизиться с противником на самые короткие дистанции, особенно при отсутствии противодействия, и поражать его в упор. Боеприпасы расходовать экономно, стрелять короткими очередями, пока не представится случай нанести решающее поражение. </w:t>
      </w:r>
    </w:p>
    <w:p w14:paraId="777CEB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Знать самолеты противника, их слабые и сильные стороны, непростреливаемые конуса и использовать их при атаке» (11774).</w:t>
      </w:r>
    </w:p>
    <w:p w14:paraId="0E5452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86E75"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6E272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AA5354" w14:textId="77777777" w:rsidR="00EA1E9F" w:rsidRPr="008A2E5A" w:rsidRDefault="00EA1E9F" w:rsidP="00EA1E9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в Нижнем Тагиле на заводе № 380 был нала</w:t>
      </w:r>
      <w:r w:rsidRPr="008A2E5A">
        <w:rPr>
          <w:rFonts w:ascii="Times New Roman" w:hAnsi="Times New Roman"/>
          <w:color w:val="0070C0"/>
          <w:sz w:val="16"/>
          <w:szCs w:val="16"/>
        </w:rPr>
        <w:softHyphen/>
        <w:t xml:space="preserve">жен </w:t>
      </w:r>
      <w:r>
        <w:rPr>
          <w:rFonts w:ascii="Times New Roman" w:hAnsi="Times New Roman"/>
          <w:color w:val="0070C0"/>
          <w:sz w:val="16"/>
          <w:szCs w:val="16"/>
        </w:rPr>
        <w:t>у</w:t>
      </w:r>
      <w:r w:rsidRPr="008A2E5A">
        <w:rPr>
          <w:rFonts w:ascii="Times New Roman" w:hAnsi="Times New Roman"/>
          <w:color w:val="0070C0"/>
          <w:sz w:val="16"/>
          <w:szCs w:val="16"/>
        </w:rPr>
        <w:t>стойчивый выпуск Ил-2. При этом постановлением ГКО 1502сс от 28 марта завод обязывался с 1 мая начать выпуск од</w:t>
      </w:r>
      <w:r w:rsidRPr="008A2E5A">
        <w:rPr>
          <w:rFonts w:ascii="Times New Roman" w:hAnsi="Times New Roman"/>
          <w:color w:val="0070C0"/>
          <w:sz w:val="16"/>
          <w:szCs w:val="16"/>
        </w:rPr>
        <w:softHyphen/>
        <w:t>номестного Ил-2 с мотором воздушного охлаждения М- 82ИР. Однако через месяц все работы по Ил-2 с М-82ИР на заводе были прекращены в пользу сохранения произ</w:t>
      </w:r>
      <w:r w:rsidRPr="008A2E5A">
        <w:rPr>
          <w:rFonts w:ascii="Times New Roman" w:hAnsi="Times New Roman"/>
          <w:color w:val="0070C0"/>
          <w:sz w:val="16"/>
          <w:szCs w:val="16"/>
        </w:rPr>
        <w:softHyphen/>
        <w:t>водства Ил-2 с АМ-38 (23346).</w:t>
      </w:r>
    </w:p>
    <w:p w14:paraId="3E4BA511" w14:textId="77777777" w:rsidR="00EA1E9F" w:rsidRPr="008A2E5A" w:rsidRDefault="00EA1E9F" w:rsidP="00EA1E9F">
      <w:pPr>
        <w:spacing w:after="0" w:line="240" w:lineRule="auto"/>
        <w:jc w:val="both"/>
        <w:rPr>
          <w:rFonts w:ascii="Times New Roman" w:hAnsi="Times New Roman"/>
          <w:color w:val="0070C0"/>
          <w:sz w:val="16"/>
          <w:szCs w:val="16"/>
        </w:rPr>
      </w:pPr>
    </w:p>
    <w:p w14:paraId="08606B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 НИИ ВВС КА испы</w:t>
      </w:r>
      <w:r w:rsidRPr="008127F8">
        <w:rPr>
          <w:rFonts w:ascii="Times New Roman" w:hAnsi="Times New Roman"/>
          <w:color w:val="000000" w:themeColor="text1"/>
          <w:sz w:val="16"/>
          <w:szCs w:val="16"/>
        </w:rPr>
        <w:softHyphen/>
        <w:t>тывались серийные одноместные штур</w:t>
      </w:r>
      <w:r w:rsidRPr="008127F8">
        <w:rPr>
          <w:rFonts w:ascii="Times New Roman" w:hAnsi="Times New Roman"/>
          <w:color w:val="000000" w:themeColor="text1"/>
          <w:sz w:val="16"/>
          <w:szCs w:val="16"/>
        </w:rPr>
        <w:softHyphen/>
        <w:t>мовики Ил-2 с мотором АМ-38 произ</w:t>
      </w:r>
      <w:r w:rsidRPr="008127F8">
        <w:rPr>
          <w:rFonts w:ascii="Times New Roman" w:hAnsi="Times New Roman"/>
          <w:color w:val="000000" w:themeColor="text1"/>
          <w:sz w:val="16"/>
          <w:szCs w:val="16"/>
        </w:rPr>
        <w:softHyphen/>
        <w:t>водства заводов №№ 1 (зав. № 2611) и 18 (зав. № 181904) с внесенными в их конструкцию изменениями, в соответ</w:t>
      </w:r>
      <w:r w:rsidRPr="008127F8">
        <w:rPr>
          <w:rFonts w:ascii="Times New Roman" w:hAnsi="Times New Roman"/>
          <w:color w:val="000000" w:themeColor="text1"/>
          <w:sz w:val="16"/>
          <w:szCs w:val="16"/>
        </w:rPr>
        <w:softHyphen/>
        <w:t>ствии с пожеланиями и требованиями летного и технического составов строе</w:t>
      </w:r>
      <w:r w:rsidRPr="008127F8">
        <w:rPr>
          <w:rFonts w:ascii="Times New Roman" w:hAnsi="Times New Roman"/>
          <w:color w:val="000000" w:themeColor="text1"/>
          <w:sz w:val="16"/>
          <w:szCs w:val="16"/>
        </w:rPr>
        <w:softHyphen/>
        <w:t>вых частей. Ответственные исполните</w:t>
      </w:r>
      <w:r w:rsidRPr="008127F8">
        <w:rPr>
          <w:rFonts w:ascii="Times New Roman" w:hAnsi="Times New Roman"/>
          <w:color w:val="000000" w:themeColor="text1"/>
          <w:sz w:val="16"/>
          <w:szCs w:val="16"/>
        </w:rPr>
        <w:softHyphen/>
        <w:t>ли: начальник 5-го отделения п-п-к К.А. Калилец, м-р В.С.Холопов и ведущий летчик-испытатель м-р А.К.Долгов. Акт по результатам государственных испы</w:t>
      </w:r>
      <w:r w:rsidRPr="008127F8">
        <w:rPr>
          <w:rFonts w:ascii="Times New Roman" w:hAnsi="Times New Roman"/>
          <w:color w:val="000000" w:themeColor="text1"/>
          <w:sz w:val="16"/>
          <w:szCs w:val="16"/>
        </w:rPr>
        <w:softHyphen/>
        <w:t>таний Главный инженер ВВС генерал А.И.Репин утвердил 10.05.1942 г (6467).</w:t>
      </w:r>
    </w:p>
    <w:p w14:paraId="7611B9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завода № 1 отличался от самолета производства завода № 18 следующими изменениями: установле</w:t>
      </w:r>
      <w:r w:rsidRPr="008127F8">
        <w:rPr>
          <w:rFonts w:ascii="Times New Roman" w:hAnsi="Times New Roman"/>
          <w:color w:val="000000" w:themeColor="text1"/>
          <w:sz w:val="16"/>
          <w:szCs w:val="16"/>
        </w:rPr>
        <w:softHyphen/>
        <w:t>но крыло смешанной конструкции (ме</w:t>
      </w:r>
      <w:r w:rsidRPr="008127F8">
        <w:rPr>
          <w:rFonts w:ascii="Times New Roman" w:hAnsi="Times New Roman"/>
          <w:color w:val="000000" w:themeColor="text1"/>
          <w:sz w:val="16"/>
          <w:szCs w:val="16"/>
        </w:rPr>
        <w:softHyphen/>
        <w:t>таллические лонжероны, фанерная об</w:t>
      </w:r>
      <w:r w:rsidRPr="008127F8">
        <w:rPr>
          <w:rFonts w:ascii="Times New Roman" w:hAnsi="Times New Roman"/>
          <w:color w:val="000000" w:themeColor="text1"/>
          <w:sz w:val="16"/>
          <w:szCs w:val="16"/>
        </w:rPr>
        <w:softHyphen/>
        <w:t>шивка); обшивка элеронов вместо ме</w:t>
      </w:r>
      <w:r w:rsidRPr="008127F8">
        <w:rPr>
          <w:rFonts w:ascii="Times New Roman" w:hAnsi="Times New Roman"/>
          <w:color w:val="000000" w:themeColor="text1"/>
          <w:sz w:val="16"/>
          <w:szCs w:val="16"/>
        </w:rPr>
        <w:softHyphen/>
        <w:t>таллической выполнена из полотна; сде</w:t>
      </w:r>
      <w:r w:rsidRPr="008127F8">
        <w:rPr>
          <w:rFonts w:ascii="Times New Roman" w:hAnsi="Times New Roman"/>
          <w:color w:val="000000" w:themeColor="text1"/>
          <w:sz w:val="16"/>
          <w:szCs w:val="16"/>
        </w:rPr>
        <w:softHyphen/>
        <w:t>ланы отдельные выхлопные патрубки на каждые два цилиндра.</w:t>
      </w:r>
    </w:p>
    <w:p w14:paraId="20F8ED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самолета 1 -го авиазаво</w:t>
      </w:r>
      <w:r w:rsidRPr="008127F8">
        <w:rPr>
          <w:rFonts w:ascii="Times New Roman" w:hAnsi="Times New Roman"/>
          <w:color w:val="000000" w:themeColor="text1"/>
          <w:sz w:val="16"/>
          <w:szCs w:val="16"/>
        </w:rPr>
        <w:softHyphen/>
        <w:t>да составил 4208 кг против 4158 кг у Ил-2 производства завода № 18.</w:t>
      </w:r>
    </w:p>
    <w:p w14:paraId="08B47E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отличие от ранее выпускавшихся Ил-2, оба самолета имели усиленное, с учетом опыта боевого применения, бро</w:t>
      </w:r>
      <w:r w:rsidRPr="008127F8">
        <w:rPr>
          <w:rFonts w:ascii="Times New Roman" w:hAnsi="Times New Roman"/>
          <w:color w:val="000000" w:themeColor="text1"/>
          <w:sz w:val="16"/>
          <w:szCs w:val="16"/>
        </w:rPr>
        <w:softHyphen/>
        <w:t>нирование жизненно важных частей са</w:t>
      </w:r>
      <w:r w:rsidRPr="008127F8">
        <w:rPr>
          <w:rFonts w:ascii="Times New Roman" w:hAnsi="Times New Roman"/>
          <w:color w:val="000000" w:themeColor="text1"/>
          <w:sz w:val="16"/>
          <w:szCs w:val="16"/>
        </w:rPr>
        <w:softHyphen/>
        <w:t>молета. Дополнительно были установ</w:t>
      </w:r>
      <w:r w:rsidRPr="008127F8">
        <w:rPr>
          <w:rFonts w:ascii="Times New Roman" w:hAnsi="Times New Roman"/>
          <w:color w:val="000000" w:themeColor="text1"/>
          <w:sz w:val="16"/>
          <w:szCs w:val="16"/>
        </w:rPr>
        <w:softHyphen/>
        <w:t>лены: бронеплита сверху заднего бен</w:t>
      </w:r>
      <w:r w:rsidRPr="008127F8">
        <w:rPr>
          <w:rFonts w:ascii="Times New Roman" w:hAnsi="Times New Roman"/>
          <w:color w:val="000000" w:themeColor="text1"/>
          <w:sz w:val="16"/>
          <w:szCs w:val="16"/>
        </w:rPr>
        <w:softHyphen/>
        <w:t>зобака толщиной 6 мм, бронеплита над головой летчика на подвижной части фонаря (5 мм), 4-х миллиметровый дю</w:t>
      </w:r>
      <w:r w:rsidRPr="008127F8">
        <w:rPr>
          <w:rFonts w:ascii="Times New Roman" w:hAnsi="Times New Roman"/>
          <w:color w:val="000000" w:themeColor="text1"/>
          <w:sz w:val="16"/>
          <w:szCs w:val="16"/>
        </w:rPr>
        <w:softHyphen/>
        <w:t>ралевый лист над мотором был заме</w:t>
      </w:r>
      <w:r w:rsidRPr="008127F8">
        <w:rPr>
          <w:rFonts w:ascii="Times New Roman" w:hAnsi="Times New Roman"/>
          <w:color w:val="000000" w:themeColor="text1"/>
          <w:sz w:val="16"/>
          <w:szCs w:val="16"/>
        </w:rPr>
        <w:softHyphen/>
        <w:t>нен бронелистом толщиной 5 мм, сред</w:t>
      </w:r>
      <w:r w:rsidRPr="008127F8">
        <w:rPr>
          <w:rFonts w:ascii="Times New Roman" w:hAnsi="Times New Roman"/>
          <w:color w:val="000000" w:themeColor="text1"/>
          <w:sz w:val="16"/>
          <w:szCs w:val="16"/>
        </w:rPr>
        <w:softHyphen/>
        <w:t>няя часть прозрачной брони за головой летчика была заменена на металличес</w:t>
      </w:r>
      <w:r w:rsidRPr="008127F8">
        <w:rPr>
          <w:rFonts w:ascii="Times New Roman" w:hAnsi="Times New Roman"/>
          <w:color w:val="000000" w:themeColor="text1"/>
          <w:sz w:val="16"/>
          <w:szCs w:val="16"/>
        </w:rPr>
        <w:softHyphen/>
        <w:t>кую броню толщиной 12 мм. Вес всех бронедеталей составил 811 кг.</w:t>
      </w:r>
    </w:p>
    <w:p w14:paraId="0F6A06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Складывающиеся подкосы шасси были сделаны из сварных труб вместо клепаной конструкции, что увеличило их прочность.</w:t>
      </w:r>
    </w:p>
    <w:p w14:paraId="717A098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70 кг был увеличен запас горюче</w:t>
      </w:r>
      <w:r w:rsidRPr="008127F8">
        <w:rPr>
          <w:rFonts w:ascii="Times New Roman" w:hAnsi="Times New Roman"/>
          <w:color w:val="000000" w:themeColor="text1"/>
          <w:sz w:val="16"/>
          <w:szCs w:val="16"/>
        </w:rPr>
        <w:softHyphen/>
        <w:t>го (доведен до 540 кг) за счет увеличе</w:t>
      </w:r>
      <w:r w:rsidRPr="008127F8">
        <w:rPr>
          <w:rFonts w:ascii="Times New Roman" w:hAnsi="Times New Roman"/>
          <w:color w:val="000000" w:themeColor="text1"/>
          <w:sz w:val="16"/>
          <w:szCs w:val="16"/>
        </w:rPr>
        <w:softHyphen/>
        <w:t>ния объема заднего бензобака, и в нем же установлена вторая заливная горло</w:t>
      </w:r>
      <w:r w:rsidRPr="008127F8">
        <w:rPr>
          <w:rFonts w:ascii="Times New Roman" w:hAnsi="Times New Roman"/>
          <w:color w:val="000000" w:themeColor="text1"/>
          <w:sz w:val="16"/>
          <w:szCs w:val="16"/>
        </w:rPr>
        <w:softHyphen/>
        <w:t>вина.</w:t>
      </w:r>
    </w:p>
    <w:p w14:paraId="71CDB0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штурмовиках установили дополни</w:t>
      </w:r>
      <w:r w:rsidRPr="008127F8">
        <w:rPr>
          <w:rFonts w:ascii="Times New Roman" w:hAnsi="Times New Roman"/>
          <w:color w:val="000000" w:themeColor="text1"/>
          <w:sz w:val="16"/>
          <w:szCs w:val="16"/>
        </w:rPr>
        <w:softHyphen/>
        <w:t>тельный (второй) электросбрасыватель ЭСБР-3п с самостоятельным управлени</w:t>
      </w:r>
      <w:r w:rsidRPr="008127F8">
        <w:rPr>
          <w:rFonts w:ascii="Times New Roman" w:hAnsi="Times New Roman"/>
          <w:color w:val="000000" w:themeColor="text1"/>
          <w:sz w:val="16"/>
          <w:szCs w:val="16"/>
        </w:rPr>
        <w:softHyphen/>
        <w:t>ем от кнопки на ручке управления са</w:t>
      </w:r>
      <w:r w:rsidRPr="008127F8">
        <w:rPr>
          <w:rFonts w:ascii="Times New Roman" w:hAnsi="Times New Roman"/>
          <w:color w:val="000000" w:themeColor="text1"/>
          <w:sz w:val="16"/>
          <w:szCs w:val="16"/>
        </w:rPr>
        <w:softHyphen/>
        <w:t>молетом и осуществлено рациональное размещение радиооборудования.</w:t>
      </w:r>
    </w:p>
    <w:p w14:paraId="7AFA155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Центровка самолетов доведена до 28,3%.</w:t>
      </w:r>
    </w:p>
    <w:p w14:paraId="671287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этих самолетов показали, что, несмотря на увеличение полетного веса самолетов, их максималь</w:t>
      </w:r>
      <w:r w:rsidRPr="008127F8">
        <w:rPr>
          <w:rFonts w:ascii="Times New Roman" w:hAnsi="Times New Roman"/>
          <w:color w:val="000000" w:themeColor="text1"/>
          <w:sz w:val="16"/>
          <w:szCs w:val="16"/>
        </w:rPr>
        <w:softHyphen/>
        <w:t>ные скорости остались практически на прежнем уровне по сравнению с пре</w:t>
      </w:r>
      <w:r w:rsidRPr="008127F8">
        <w:rPr>
          <w:rFonts w:ascii="Times New Roman" w:hAnsi="Times New Roman"/>
          <w:color w:val="000000" w:themeColor="text1"/>
          <w:sz w:val="16"/>
          <w:szCs w:val="16"/>
        </w:rPr>
        <w:softHyphen/>
        <w:t>дыдущими сериями и составили: для Ил-2 завода № 18 - 391 км/ч у земли и 416 км/ч на высоте 2300 м, а для Ил-2 завода № 1 - 396 км/ч у земли и на высоте 2450 м - 426 км/ч.</w:t>
      </w:r>
    </w:p>
    <w:p w14:paraId="4CE11C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Техническая дальность самолетов, в основном за счет увеличения емкости заднего бензобака, возросла до 622 км (Ил-2 завода № 1, определение техни</w:t>
      </w:r>
      <w:r w:rsidRPr="008127F8">
        <w:rPr>
          <w:rFonts w:ascii="Times New Roman" w:hAnsi="Times New Roman"/>
          <w:color w:val="000000" w:themeColor="text1"/>
          <w:sz w:val="16"/>
          <w:szCs w:val="16"/>
        </w:rPr>
        <w:softHyphen/>
        <w:t>ческой дальности полета штурмовика производства № 18 не проводилось).</w:t>
      </w:r>
    </w:p>
    <w:p w14:paraId="73041A6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на самолетах были устране</w:t>
      </w:r>
      <w:r w:rsidRPr="008127F8">
        <w:rPr>
          <w:rFonts w:ascii="Times New Roman" w:hAnsi="Times New Roman"/>
          <w:color w:val="000000" w:themeColor="text1"/>
          <w:sz w:val="16"/>
          <w:szCs w:val="16"/>
        </w:rPr>
        <w:softHyphen/>
        <w:t>ны далеко не все выявленные в боевых условиях недостатки. На машинах отсут</w:t>
      </w:r>
      <w:r w:rsidRPr="008127F8">
        <w:rPr>
          <w:rFonts w:ascii="Times New Roman" w:hAnsi="Times New Roman"/>
          <w:color w:val="000000" w:themeColor="text1"/>
          <w:sz w:val="16"/>
          <w:szCs w:val="16"/>
        </w:rPr>
        <w:softHyphen/>
        <w:t>ствовали: пулестойкие шины для колес, система заполнения бензобаков нейт</w:t>
      </w:r>
      <w:r w:rsidRPr="008127F8">
        <w:rPr>
          <w:rFonts w:ascii="Times New Roman" w:hAnsi="Times New Roman"/>
          <w:color w:val="000000" w:themeColor="text1"/>
          <w:sz w:val="16"/>
          <w:szCs w:val="16"/>
        </w:rPr>
        <w:softHyphen/>
        <w:t>ральными газами от выхлопа мотора и дублированное управление рулями вы</w:t>
      </w:r>
      <w:r w:rsidRPr="008127F8">
        <w:rPr>
          <w:rFonts w:ascii="Times New Roman" w:hAnsi="Times New Roman"/>
          <w:color w:val="000000" w:themeColor="text1"/>
          <w:sz w:val="16"/>
          <w:szCs w:val="16"/>
        </w:rPr>
        <w:softHyphen/>
        <w:t>соты и поворота...</w:t>
      </w:r>
    </w:p>
    <w:p w14:paraId="7F75087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Изменение полетного веса модифи</w:t>
      </w:r>
      <w:r w:rsidRPr="008127F8">
        <w:rPr>
          <w:rFonts w:ascii="Times New Roman" w:hAnsi="Times New Roman"/>
          <w:color w:val="000000" w:themeColor="text1"/>
          <w:sz w:val="16"/>
          <w:szCs w:val="16"/>
        </w:rPr>
        <w:softHyphen/>
        <w:t>цированных "Илов" привело к резкому (примерно на 48,5%) падению верти</w:t>
      </w:r>
      <w:r w:rsidRPr="008127F8">
        <w:rPr>
          <w:rFonts w:ascii="Times New Roman" w:hAnsi="Times New Roman"/>
          <w:color w:val="000000" w:themeColor="text1"/>
          <w:sz w:val="16"/>
          <w:szCs w:val="16"/>
        </w:rPr>
        <w:softHyphen/>
        <w:t>кальной скорости машин у земли. Ухуд</w:t>
      </w:r>
      <w:r w:rsidRPr="008127F8">
        <w:rPr>
          <w:rFonts w:ascii="Times New Roman" w:hAnsi="Times New Roman"/>
          <w:color w:val="000000" w:themeColor="text1"/>
          <w:sz w:val="16"/>
          <w:szCs w:val="16"/>
        </w:rPr>
        <w:softHyphen/>
        <w:t>шились также и взлетно-посадочные характеристики (6467).</w:t>
      </w:r>
    </w:p>
    <w:p w14:paraId="47D319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НИИ ВВС в результате переделок Ил-2 в двухместный силами инженерно-технического состава строевых частей было переоборудовано около 1200 машин (187,9).</w:t>
      </w:r>
    </w:p>
    <w:p w14:paraId="087E3E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139D9" w14:textId="77777777" w:rsidR="004D03C3" w:rsidRPr="008127F8" w:rsidRDefault="004D03C3" w:rsidP="001E0A84">
      <w:pPr>
        <w:pStyle w:val="book"/>
        <w:shd w:val="clear" w:color="auto" w:fill="FFFFFF"/>
        <w:ind w:firstLine="0"/>
        <w:jc w:val="both"/>
        <w:rPr>
          <w:color w:val="000000" w:themeColor="text1"/>
          <w:sz w:val="16"/>
          <w:szCs w:val="16"/>
        </w:rPr>
      </w:pPr>
      <w:r w:rsidRPr="008127F8">
        <w:rPr>
          <w:color w:val="000000" w:themeColor="text1"/>
          <w:sz w:val="16"/>
          <w:szCs w:val="16"/>
        </w:rPr>
        <w:t>В марте 1942 г. в НИИ ВВС КА испытывались серийные одноместные штурмовики Ил-2 с мотором АМ-38 производства заводов №№ 1 (зав. № 2611) и 18 (зав. № 181904) с внесенными в их конструкцию изменениями, в соответствии с пожеланиями и требованиями летного и технического составов строевых частей. Ответственные исполнители: начальник 5-го отделения п-п-к К.А. Капилец, м-р В.С.Холопов и ведущий летчик-испытатель м-р А.К.Долгов. Акт по результатам государственных испытаний Главный инженер ВВС генерал А.И.Репин утвердил 10.05.1942 г.</w:t>
      </w:r>
    </w:p>
    <w:p w14:paraId="7185293F" w14:textId="77777777" w:rsidR="004D03C3" w:rsidRPr="008127F8" w:rsidRDefault="004D03C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Самолет Ил-2 завода №1 отличался от самолета производства завода №18 следующими изменениями: установлено крыло смешанной конструкции (металлические лонжероны, фанерная обшивка); обшивка элеронов вместо металлической выполнена из полотна; сделаны отдельные выхлопные патрубки на каждые два цилиндра.</w:t>
      </w:r>
    </w:p>
    <w:p w14:paraId="1C8C59FD" w14:textId="77777777" w:rsidR="004D03C3" w:rsidRPr="008127F8" w:rsidRDefault="004D03C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shd w:val="clear" w:color="auto" w:fill="FFFFFF"/>
          <w:lang w:eastAsia="ru-RU"/>
        </w:rPr>
        <w:t>Вес пустого самолета 1-го авиазавода составил 4208 кг против 4158 кг у Ил-2 производства завода № 18.</w:t>
      </w:r>
    </w:p>
    <w:p w14:paraId="4F64FB60"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отличие от ранее выпускавшихся Ил-2, оба самолета имели усиленное, с учетом опыта боевого применения, бронирование жизненно важных частей самолета. Дополнительно были установлены: бронеплита сверху заднего бензобака толщиной 6 мм, бронеплита над головой летчика на подвижной части фонаря (5 мм), 4-х миллиметровый дюралевый лист над мотором был заменен бронелистом толщиной 5 мм, средняя часть прозрачной брони за головой летчика была заменена на металлическую броню толщиной 12 мм. Вес всех бронедеталей составил 811 кг.</w:t>
      </w:r>
    </w:p>
    <w:p w14:paraId="700C821D"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Складывающиеся подкосы шасси были сделаны из сварных труб вместо клепаной конструкции, что увеличило их прочность.</w:t>
      </w:r>
    </w:p>
    <w:p w14:paraId="2AE8967C"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70 кг был увеличен запас горючего (доведен до 540 кг) за счет увеличения объема заднего бензобака, и в нем же установлена вторая заливная горловина.</w:t>
      </w:r>
    </w:p>
    <w:p w14:paraId="37E1E7F1"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штурмовиках установили дополнительный (второй) электросбрасыватель ЭСБР-Зп с самостоятельным управлением от кнопки на ручке управления самолетом и осуществлено рациональное размещение радиооборудования.</w:t>
      </w:r>
    </w:p>
    <w:p w14:paraId="708BDAAB"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Центровка самолетов доведена до 28,3%.</w:t>
      </w:r>
    </w:p>
    <w:p w14:paraId="4050D552"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Летные испытания этих самолетов показали, что, несмотря на увеличение полетного веса самолетов, их максимальные скорости остались практически на прежнем уровне по сравнению с предыдущими сериями и составили: для Ил-2 завода № 18 – 391 км/ч у земли и 416 км/ч на высоте 2300 м, а для Ил-2 завода № 1 – 396 км/ч у земли и на высоте 2450 м – 426 км/ч.</w:t>
      </w:r>
    </w:p>
    <w:p w14:paraId="781486B9"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Техническая дальность самолетов, в основном за счет увеличения емкости заднего бензобака, возросла до 622 км (Ил-2 завода № 1, определение технической дальности полета штурмовика производства № 18 не проводилось).</w:t>
      </w:r>
    </w:p>
    <w:p w14:paraId="4681628A"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Однако на самолетах были устранены далеко не все выявленные в боевых условиях недостатки. На машинах отсутствовали: пулестойкие шины для колес, система заполнения бензобаков нейтральными газами от выхлопа мотора и дублированное управление рулями высоты и поворота…</w:t>
      </w:r>
    </w:p>
    <w:p w14:paraId="6CAE215F" w14:textId="77777777" w:rsidR="004D03C3" w:rsidRPr="008127F8" w:rsidRDefault="004D03C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Изменение полетного веса модифицированных "Илов" привело к резкому (примерно на 48,5%) падению вертикальной скорости машин у земли. Ухудшились также и взлетно-посадочные характеристики (19788).</w:t>
      </w:r>
    </w:p>
    <w:p w14:paraId="6F432029" w14:textId="77777777" w:rsidR="004D03C3" w:rsidRPr="008127F8" w:rsidRDefault="004D03C3" w:rsidP="001E0A84">
      <w:pPr>
        <w:spacing w:after="0" w:line="240" w:lineRule="auto"/>
        <w:jc w:val="both"/>
        <w:rPr>
          <w:rFonts w:ascii="Times New Roman" w:hAnsi="Times New Roman"/>
          <w:color w:val="000000" w:themeColor="text1"/>
          <w:sz w:val="16"/>
          <w:szCs w:val="16"/>
        </w:rPr>
      </w:pPr>
    </w:p>
    <w:p w14:paraId="7D35BF66" w14:textId="77777777" w:rsidR="00AE4F9B" w:rsidRPr="008127F8" w:rsidRDefault="00AE4F9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марте 1942 в НИИ ВВС испытывались самолеты завода №1 (зав №2611) и завода №18 (зав №181904 (</w:t>
      </w:r>
      <w:proofErr w:type="gramStart"/>
      <w:r w:rsidRPr="008127F8">
        <w:rPr>
          <w:rFonts w:ascii="Times New Roman" w:hAnsi="Times New Roman"/>
          <w:color w:val="000000" w:themeColor="text1"/>
          <w:sz w:val="16"/>
          <w:szCs w:val="16"/>
          <w:shd w:val="clear" w:color="auto" w:fill="FFFFFF"/>
        </w:rPr>
        <w:t>вероятно</w:t>
      </w:r>
      <w:proofErr w:type="gramEnd"/>
      <w:r w:rsidRPr="008127F8">
        <w:rPr>
          <w:rFonts w:ascii="Times New Roman" w:hAnsi="Times New Roman"/>
          <w:color w:val="000000" w:themeColor="text1"/>
          <w:sz w:val="16"/>
          <w:szCs w:val="16"/>
          <w:shd w:val="clear" w:color="auto" w:fill="FFFFFF"/>
        </w:rPr>
        <w:t xml:space="preserve"> 1871904)). Среди отличий в конструкции самолетов было названо только крыло – на заводе №1 оно было смешанной конструкции (19206).</w:t>
      </w:r>
    </w:p>
    <w:p w14:paraId="11FCABA9" w14:textId="77777777" w:rsidR="00AE4F9B" w:rsidRPr="008127F8" w:rsidRDefault="00AE4F9B" w:rsidP="001E0A84">
      <w:pPr>
        <w:spacing w:after="0" w:line="240" w:lineRule="auto"/>
        <w:jc w:val="both"/>
        <w:rPr>
          <w:rFonts w:ascii="Times New Roman" w:hAnsi="Times New Roman"/>
          <w:color w:val="000000" w:themeColor="text1"/>
          <w:sz w:val="16"/>
          <w:szCs w:val="16"/>
        </w:rPr>
      </w:pPr>
    </w:p>
    <w:p w14:paraId="255232C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выпуск противотанковых Ил-2 АМ-38 пору</w:t>
      </w:r>
      <w:r w:rsidRPr="008127F8">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8127F8">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 По состоянию на 2 августа 18-й авиазавод получил всего шесть комплектных пу</w:t>
      </w:r>
      <w:r w:rsidRPr="008127F8">
        <w:rPr>
          <w:rFonts w:ascii="Times New Roman" w:hAnsi="Times New Roman"/>
          <w:color w:val="000000" w:themeColor="text1"/>
          <w:sz w:val="16"/>
          <w:szCs w:val="16"/>
        </w:rPr>
        <w:softHyphen/>
        <w:t>шек ШФК-37 вместо 40.</w:t>
      </w:r>
    </w:p>
    <w:p w14:paraId="5D72177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«Такое положение приводит к тому, что 20 самолетов Ил-2, которые должны быть вооружены крыльевыми пушками, </w:t>
      </w:r>
      <w:proofErr w:type="gramStart"/>
      <w:r w:rsidRPr="008127F8">
        <w:rPr>
          <w:rFonts w:ascii="Times New Roman" w:hAnsi="Times New Roman"/>
          <w:color w:val="000000" w:themeColor="text1"/>
          <w:sz w:val="16"/>
          <w:szCs w:val="16"/>
        </w:rPr>
        <w:t>не</w:t>
      </w:r>
      <w:r w:rsidRPr="008127F8">
        <w:rPr>
          <w:rFonts w:ascii="Times New Roman" w:hAnsi="Times New Roman"/>
          <w:color w:val="000000" w:themeColor="text1"/>
          <w:sz w:val="16"/>
          <w:szCs w:val="16"/>
        </w:rPr>
        <w:softHyphen/>
        <w:t>известно</w:t>
      </w:r>
      <w:proofErr w:type="gramEnd"/>
      <w:r w:rsidRPr="008127F8">
        <w:rPr>
          <w:rFonts w:ascii="Times New Roman" w:hAnsi="Times New Roman"/>
          <w:color w:val="000000" w:themeColor="text1"/>
          <w:sz w:val="16"/>
          <w:szCs w:val="16"/>
        </w:rPr>
        <w:t xml:space="preserve">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8127F8">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Последний 7 августа обратил</w:t>
      </w:r>
      <w:r w:rsidRPr="008127F8">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(11474,321).</w:t>
      </w:r>
    </w:p>
    <w:p w14:paraId="7CFA112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113D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выпуск противотанковых Ил-2 поручили только что созданному московскому заводу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№18. К этому времени кризис производства на куйбышевских заводах в целом уже был преодолен, но сроки все равно были сорваны. Завод №74 наркомата вооружения не поставил пушки. По состоянию на 2 августа 18-й авиазавод получил всего шесть комплектных пушек ШФК-37 вместо 40. "Такое положение приводит к тому, что 20 самолетов Ил-2, которые должны быть вооружены крыльевыми пушками неизвестно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начальнику 12-го Управления заказов вооружения и боеприпасов ВВС генерал-майору Солдатову. Последний 7 августа обратился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(12020).</w:t>
      </w:r>
    </w:p>
    <w:p w14:paraId="2D12A63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FBC5D" w14:textId="77777777" w:rsidR="00F36C3E" w:rsidRPr="008127F8" w:rsidRDefault="00F36C3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вы</w:t>
      </w:r>
      <w:r w:rsidRPr="008127F8">
        <w:rPr>
          <w:rFonts w:ascii="Times New Roman" w:hAnsi="Times New Roman"/>
          <w:color w:val="000000" w:themeColor="text1"/>
          <w:sz w:val="16"/>
          <w:szCs w:val="16"/>
        </w:rPr>
        <w:softHyphen/>
        <w:t>пуск противотанковых Ил-2 АМ-38 поручили только что созданному московскому заводу № 30, но и он не смог выполнить задание. Разворачивание про</w:t>
      </w:r>
      <w:r w:rsidRPr="008127F8">
        <w:rPr>
          <w:rFonts w:ascii="Times New Roman" w:hAnsi="Times New Roman"/>
          <w:color w:val="000000" w:themeColor="text1"/>
          <w:sz w:val="16"/>
          <w:szCs w:val="16"/>
        </w:rPr>
        <w:softHyphen/>
        <w:t>изводства штурмовиков в отсутствие достаточного количества станков и квалифицированной рабочей силы шло очень медленными темпами. Тогда про</w:t>
      </w:r>
      <w:r w:rsidRPr="008127F8">
        <w:rPr>
          <w:rFonts w:ascii="Times New Roman" w:hAnsi="Times New Roman"/>
          <w:color w:val="000000" w:themeColor="text1"/>
          <w:sz w:val="16"/>
          <w:szCs w:val="16"/>
        </w:rPr>
        <w:softHyphen/>
        <w:t>грамму войсковой серии Ил-2 с 37-мм пушками вновь «перебросили» на завод № 18. К этому вре</w:t>
      </w:r>
      <w:r w:rsidRPr="008127F8">
        <w:rPr>
          <w:rFonts w:ascii="Times New Roman" w:hAnsi="Times New Roman"/>
          <w:color w:val="000000" w:themeColor="text1"/>
          <w:sz w:val="16"/>
          <w:szCs w:val="16"/>
        </w:rPr>
        <w:softHyphen/>
        <w:t>мени кризис производства на куйбышевских за</w:t>
      </w:r>
      <w:r w:rsidRPr="008127F8">
        <w:rPr>
          <w:rFonts w:ascii="Times New Roman" w:hAnsi="Times New Roman"/>
          <w:color w:val="000000" w:themeColor="text1"/>
          <w:sz w:val="16"/>
          <w:szCs w:val="16"/>
        </w:rPr>
        <w:softHyphen/>
        <w:t>водах в целом уже был преодолен, но сроки все равно были сорваны. Завод № 74 наркомата во</w:t>
      </w:r>
      <w:r w:rsidRPr="008127F8">
        <w:rPr>
          <w:rFonts w:ascii="Times New Roman" w:hAnsi="Times New Roman"/>
          <w:color w:val="000000" w:themeColor="text1"/>
          <w:sz w:val="16"/>
          <w:szCs w:val="16"/>
        </w:rPr>
        <w:softHyphen/>
        <w:t>оружения с молчаливого согласия наркома Устино</w:t>
      </w:r>
      <w:r w:rsidRPr="008127F8">
        <w:rPr>
          <w:rFonts w:ascii="Times New Roman" w:hAnsi="Times New Roman"/>
          <w:color w:val="000000" w:themeColor="text1"/>
          <w:sz w:val="16"/>
          <w:szCs w:val="16"/>
        </w:rPr>
        <w:softHyphen/>
        <w:t>ва и ВВС (генерал-майора Солдатова), формально имея другое правительственное задание, почти не занимался пушкой Ш-37, «переключившись на про</w:t>
      </w:r>
      <w:r w:rsidRPr="008127F8">
        <w:rPr>
          <w:rFonts w:ascii="Times New Roman" w:hAnsi="Times New Roman"/>
          <w:color w:val="000000" w:themeColor="text1"/>
          <w:sz w:val="16"/>
          <w:szCs w:val="16"/>
        </w:rPr>
        <w:softHyphen/>
        <w:t>изводство другого вида оружия».</w:t>
      </w:r>
    </w:p>
    <w:p w14:paraId="226A0597" w14:textId="77777777" w:rsidR="00F36C3E" w:rsidRPr="008127F8" w:rsidRDefault="00F36C3E" w:rsidP="001E0A84">
      <w:pPr>
        <w:pStyle w:val="12a"/>
        <w:shd w:val="clear" w:color="auto" w:fill="auto"/>
        <w:spacing w:after="0" w:line="240" w:lineRule="auto"/>
        <w:jc w:val="both"/>
        <w:rPr>
          <w:color w:val="000000" w:themeColor="text1"/>
          <w:sz w:val="16"/>
          <w:szCs w:val="16"/>
          <w:lang w:eastAsia="ru-RU"/>
        </w:rPr>
      </w:pPr>
      <w:r w:rsidRPr="008127F8">
        <w:rPr>
          <w:color w:val="000000" w:themeColor="text1"/>
          <w:sz w:val="16"/>
          <w:szCs w:val="16"/>
        </w:rPr>
        <w:t>От наркомов авиапромышленности и вооруже</w:t>
      </w:r>
      <w:r w:rsidRPr="008127F8">
        <w:rPr>
          <w:color w:val="000000" w:themeColor="text1"/>
          <w:sz w:val="16"/>
          <w:szCs w:val="16"/>
        </w:rPr>
        <w:softHyphen/>
        <w:t>ния по-прежнему требовали скорейшего завершения работ по постройке войсковой серии самолетов Ил-2, воо</w:t>
      </w:r>
      <w:r w:rsidRPr="008127F8">
        <w:rPr>
          <w:color w:val="000000" w:themeColor="text1"/>
          <w:sz w:val="16"/>
          <w:szCs w:val="16"/>
        </w:rPr>
        <w:softHyphen/>
        <w:t>руженных пушками Ш-37, согласно постановлению ГКО от 26 ноября 1941 г. (17500).</w:t>
      </w:r>
    </w:p>
    <w:p w14:paraId="58654879" w14:textId="77777777" w:rsidR="00F36C3E" w:rsidRPr="008127F8" w:rsidRDefault="00F36C3E" w:rsidP="001E0A84">
      <w:pPr>
        <w:pStyle w:val="12a"/>
        <w:shd w:val="clear" w:color="auto" w:fill="auto"/>
        <w:spacing w:after="0" w:line="240" w:lineRule="auto"/>
        <w:jc w:val="both"/>
        <w:rPr>
          <w:color w:val="000000" w:themeColor="text1"/>
          <w:sz w:val="16"/>
          <w:szCs w:val="16"/>
        </w:rPr>
      </w:pPr>
    </w:p>
    <w:p w14:paraId="409A22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с целью повы</w:t>
      </w:r>
      <w:r w:rsidRPr="008127F8">
        <w:rPr>
          <w:rFonts w:ascii="Times New Roman" w:hAnsi="Times New Roman"/>
          <w:color w:val="000000" w:themeColor="text1"/>
          <w:sz w:val="16"/>
          <w:szCs w:val="16"/>
        </w:rPr>
        <w:softHyphen/>
        <w:t>шения эффектив</w:t>
      </w:r>
      <w:r w:rsidRPr="008127F8">
        <w:rPr>
          <w:rFonts w:ascii="Times New Roman" w:hAnsi="Times New Roman"/>
          <w:color w:val="000000" w:themeColor="text1"/>
          <w:sz w:val="16"/>
          <w:szCs w:val="16"/>
        </w:rPr>
        <w:softHyphen/>
        <w:t>ности бомбомета</w:t>
      </w:r>
      <w:r w:rsidRPr="008127F8">
        <w:rPr>
          <w:rFonts w:ascii="Times New Roman" w:hAnsi="Times New Roman"/>
          <w:color w:val="000000" w:themeColor="text1"/>
          <w:sz w:val="16"/>
          <w:szCs w:val="16"/>
        </w:rPr>
        <w:softHyphen/>
        <w:t>ния с Ил-2 со средних высот ГУ ВВС КА выдало заводу № 589 НКВ задание на создание временного механиз</w:t>
      </w:r>
      <w:r w:rsidRPr="008127F8">
        <w:rPr>
          <w:rFonts w:ascii="Times New Roman" w:hAnsi="Times New Roman"/>
          <w:color w:val="000000" w:themeColor="text1"/>
          <w:sz w:val="16"/>
          <w:szCs w:val="16"/>
        </w:rPr>
        <w:softHyphen/>
        <w:t>ма штурмовика (ВМШ) (6467).</w:t>
      </w:r>
    </w:p>
    <w:p w14:paraId="74399C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F4D5B" w14:textId="77777777" w:rsidR="00AF7564" w:rsidRPr="008127F8" w:rsidRDefault="00AF7564" w:rsidP="001E0A84">
      <w:pPr>
        <w:pStyle w:val="a4"/>
        <w:rPr>
          <w:color w:val="000000" w:themeColor="text1"/>
          <w:lang w:val="ru-RU"/>
        </w:rPr>
      </w:pPr>
      <w:r w:rsidRPr="008127F8">
        <w:rPr>
          <w:color w:val="000000" w:themeColor="text1"/>
          <w:lang w:val="ru-RU"/>
        </w:rPr>
        <w:t>В марте 1942 г. для повышения эффективности бомбометания с Ил-2 со средних высот ГУ ВВС КА выдало заводу № 589 НКВ задание на создание временного механизма для бомбометания со штур</w:t>
      </w:r>
      <w:r w:rsidRPr="008127F8">
        <w:rPr>
          <w:color w:val="000000" w:themeColor="text1"/>
          <w:lang w:val="ru-RU"/>
        </w:rPr>
        <w:softHyphen/>
        <w:t>мовика (</w:t>
      </w:r>
      <w:r w:rsidRPr="008127F8">
        <w:rPr>
          <w:color w:val="000000" w:themeColor="text1"/>
        </w:rPr>
        <w:t>BM</w:t>
      </w:r>
      <w:r w:rsidRPr="008127F8">
        <w:rPr>
          <w:color w:val="000000" w:themeColor="text1"/>
          <w:lang w:val="ru-RU"/>
        </w:rPr>
        <w:t>Ш).</w:t>
      </w:r>
    </w:p>
    <w:p w14:paraId="6EB78C39" w14:textId="77777777" w:rsidR="00AF7564" w:rsidRPr="008127F8" w:rsidRDefault="00AF7564" w:rsidP="001E0A84">
      <w:pPr>
        <w:pStyle w:val="a4"/>
        <w:rPr>
          <w:color w:val="000000" w:themeColor="text1"/>
          <w:lang w:val="ru-RU"/>
        </w:rPr>
      </w:pPr>
      <w:r w:rsidRPr="008127F8">
        <w:rPr>
          <w:color w:val="000000" w:themeColor="text1"/>
          <w:lang w:val="ru-RU"/>
        </w:rPr>
        <w:t>Точно такое же задание было дано и кафедре бомбометания Военно-Воздушной Академии им. Н.Е. Жуковского, где за него взялся препо</w:t>
      </w:r>
      <w:r w:rsidRPr="008127F8">
        <w:rPr>
          <w:color w:val="000000" w:themeColor="text1"/>
          <w:lang w:val="ru-RU"/>
        </w:rPr>
        <w:softHyphen/>
        <w:t>даватель кафедры инженер-майор М.К. Цветков.</w:t>
      </w:r>
    </w:p>
    <w:p w14:paraId="128B63B1" w14:textId="77777777" w:rsidR="00AF7564" w:rsidRPr="008127F8" w:rsidRDefault="00AF7564" w:rsidP="001E0A84">
      <w:pPr>
        <w:pStyle w:val="a4"/>
        <w:rPr>
          <w:rStyle w:val="31a"/>
          <w:rFonts w:ascii="Times New Roman" w:hAnsi="Times New Roman" w:cs="Times New Roman"/>
          <w:i w:val="0"/>
          <w:color w:val="000000" w:themeColor="text1"/>
          <w:sz w:val="16"/>
          <w:szCs w:val="16"/>
          <w:lang w:val="ru-RU"/>
        </w:rPr>
      </w:pPr>
      <w:r w:rsidRPr="008127F8">
        <w:rPr>
          <w:color w:val="000000" w:themeColor="text1"/>
          <w:lang w:val="ru-RU"/>
        </w:rPr>
        <w:t>По заданию ВМШ должен был обеспечивать сброс бомб с горизонтального полёта и с низких высот «в том</w:t>
      </w:r>
      <w:r w:rsidRPr="008127F8">
        <w:rPr>
          <w:rStyle w:val="31a"/>
          <w:rFonts w:ascii="Times New Roman" w:hAnsi="Times New Roman" w:cs="Times New Roman"/>
          <w:i w:val="0"/>
          <w:color w:val="000000" w:themeColor="text1"/>
          <w:sz w:val="16"/>
          <w:szCs w:val="16"/>
          <w:lang w:val="ru-RU"/>
        </w:rPr>
        <w:t xml:space="preserve"> случае,</w:t>
      </w:r>
      <w:r w:rsidRPr="008127F8">
        <w:rPr>
          <w:color w:val="000000" w:themeColor="text1"/>
          <w:lang w:val="ru-RU"/>
        </w:rPr>
        <w:t xml:space="preserve"> когда</w:t>
      </w:r>
      <w:r w:rsidRPr="008127F8">
        <w:rPr>
          <w:rStyle w:val="31a"/>
          <w:rFonts w:ascii="Times New Roman" w:hAnsi="Times New Roman" w:cs="Times New Roman"/>
          <w:i w:val="0"/>
          <w:color w:val="000000" w:themeColor="text1"/>
          <w:sz w:val="16"/>
          <w:szCs w:val="16"/>
          <w:lang w:val="ru-RU"/>
        </w:rPr>
        <w:t xml:space="preserve"> цель на угле прицеливания закрывается капотом мотора» (15978).</w:t>
      </w:r>
    </w:p>
    <w:p w14:paraId="087C2FE2" w14:textId="77777777" w:rsidR="00AF7564" w:rsidRPr="008127F8" w:rsidRDefault="00AF7564" w:rsidP="001E0A84">
      <w:pPr>
        <w:pStyle w:val="a4"/>
        <w:rPr>
          <w:color w:val="000000" w:themeColor="text1"/>
          <w:lang w:val="ru-RU"/>
        </w:rPr>
      </w:pPr>
    </w:p>
    <w:p w14:paraId="1F459585" w14:textId="77777777" w:rsidR="002C14D8" w:rsidRPr="008127F8" w:rsidRDefault="002C14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марте 1942 года газета «Известия» опубликовала интервью директора авиазавода № 18 А.Белянского. «С 10 декабря, когда завод выпустил на новом месте первую машину и до 1 апреля мы дадим столько машин, сколько не производили на старом месте за полгода. Доводя мощность завода до уровня мощности на старой базе, весь коллектив готовил в то же время условия для нового развития производства», сказал директор. Под новыми условиями подразумевался поточный метод организации труда.</w:t>
      </w:r>
    </w:p>
    <w:p w14:paraId="4B85CD6E" w14:textId="77777777" w:rsidR="002C14D8" w:rsidRPr="008127F8" w:rsidRDefault="002C14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Он родился на куйбышевской земле в тот трудный период войны, когда Красной Армии как никогда нужна была поддержка с воздуха в борьбе с вражескими танками. При небольших материальных затратах поточный метод обеспечивал своевременную, четкую поставку всех деталей и узлов самолетов, повышал производительность труда, позволял в короткий срок увеличить выпуск продукции.</w:t>
      </w:r>
    </w:p>
    <w:p w14:paraId="6726E50D" w14:textId="77777777" w:rsidR="002C14D8" w:rsidRPr="008127F8" w:rsidRDefault="002C14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Предшественником поточного метода был суточный график выпуска боевых машин. На суточный график авиационная промышленность страны перешла еще в довоенном 1940 году. До этого в авиационном производстве царила неразбериха. Самолет могли изготовить в декабре 1939 года, а доукомплектовать лишь в феврале 1940-го. Суточный график заставил смежников подтянуться и повысить ритмичность выпуска продукции во всей отрасли (19828).</w:t>
      </w:r>
    </w:p>
    <w:p w14:paraId="5A2E19BC" w14:textId="77777777" w:rsidR="002C14D8" w:rsidRPr="008127F8" w:rsidRDefault="002C14D8" w:rsidP="001E0A84">
      <w:pPr>
        <w:pStyle w:val="af"/>
        <w:shd w:val="clear" w:color="auto" w:fill="FFFFFF"/>
        <w:spacing w:before="0" w:after="0"/>
        <w:jc w:val="both"/>
        <w:rPr>
          <w:color w:val="000000" w:themeColor="text1"/>
          <w:sz w:val="16"/>
          <w:szCs w:val="16"/>
        </w:rPr>
      </w:pPr>
    </w:p>
    <w:p w14:paraId="359E1E5C" w14:textId="77777777" w:rsidR="004D03C3" w:rsidRPr="008127F8" w:rsidRDefault="004D03C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марте 1942г поступили первые рекламации из боевых частей о появлении трещин в хвостовых частях фюзеляжа. Все дефекты были обнаружены в самолетах выпуска завода №1. В мае 1942г произошло несколько катастроф уже с разрушением деревянных хвостовых частей фюзеляжа.</w:t>
      </w:r>
    </w:p>
    <w:p w14:paraId="0DFF79D4" w14:textId="77777777" w:rsidR="004D03C3" w:rsidRPr="008127F8" w:rsidRDefault="004D03C3"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 xml:space="preserve">Небольшое их количество подтверждается и расследованием катастроф Ил-2, которые произошли в 1942г. При большом количестве деревянных фюзеляжей в первых сериях, эти проблемы появились бы не в конце весны 1942г, а летом 1941г. Хвостовая часть фюзеляжа была рассчитана </w:t>
      </w:r>
      <w:proofErr w:type="gramStart"/>
      <w:r w:rsidRPr="008127F8">
        <w:rPr>
          <w:rFonts w:ascii="Times New Roman" w:hAnsi="Times New Roman"/>
          <w:color w:val="000000" w:themeColor="text1"/>
          <w:sz w:val="16"/>
          <w:szCs w:val="16"/>
          <w:shd w:val="clear" w:color="auto" w:fill="FFFFFF"/>
        </w:rPr>
        <w:t>не правильно</w:t>
      </w:r>
      <w:proofErr w:type="gramEnd"/>
      <w:r w:rsidRPr="008127F8">
        <w:rPr>
          <w:rFonts w:ascii="Times New Roman" w:hAnsi="Times New Roman"/>
          <w:color w:val="000000" w:themeColor="text1"/>
          <w:sz w:val="16"/>
          <w:szCs w:val="16"/>
          <w:shd w:val="clear" w:color="auto" w:fill="FFFFFF"/>
        </w:rPr>
        <w:t xml:space="preserve"> (10206).</w:t>
      </w:r>
    </w:p>
    <w:p w14:paraId="1CF17BA8" w14:textId="77777777" w:rsidR="004D03C3" w:rsidRPr="008127F8" w:rsidRDefault="004D03C3" w:rsidP="001E0A84">
      <w:pPr>
        <w:spacing w:after="0" w:line="240" w:lineRule="auto"/>
        <w:jc w:val="both"/>
        <w:rPr>
          <w:rFonts w:ascii="Times New Roman" w:hAnsi="Times New Roman"/>
          <w:color w:val="000000" w:themeColor="text1"/>
          <w:sz w:val="16"/>
          <w:szCs w:val="16"/>
        </w:rPr>
      </w:pPr>
    </w:p>
    <w:p w14:paraId="77219400" w14:textId="77777777" w:rsidR="002C14D8" w:rsidRPr="008127F8" w:rsidRDefault="002C14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марте 1942 года в структуре Народного комиссариата авиационной промышленности было создано главное ремонтное управление. 16 апреля того же года приказом НКАП ремонтному заводу, который создавался на площадях бывшего завода №18, присвоен номер 450 (19822).</w:t>
      </w:r>
    </w:p>
    <w:p w14:paraId="5E37B823" w14:textId="77777777" w:rsidR="002C14D8" w:rsidRPr="008127F8" w:rsidRDefault="002C14D8" w:rsidP="001E0A84">
      <w:pPr>
        <w:spacing w:after="0" w:line="240" w:lineRule="auto"/>
        <w:jc w:val="both"/>
        <w:rPr>
          <w:rFonts w:ascii="Times New Roman" w:hAnsi="Times New Roman"/>
          <w:color w:val="000000" w:themeColor="text1"/>
          <w:sz w:val="16"/>
          <w:szCs w:val="16"/>
        </w:rPr>
      </w:pPr>
    </w:p>
    <w:p w14:paraId="1AA00589" w14:textId="77777777" w:rsidR="0050778F" w:rsidRPr="008127F8" w:rsidRDefault="0050778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марте 1942 после окончания работы конферен</w:t>
      </w:r>
      <w:r w:rsidRPr="008127F8">
        <w:rPr>
          <w:rFonts w:ascii="Times New Roman" w:hAnsi="Times New Roman" w:cs="Times New Roman"/>
          <w:color w:val="000000" w:themeColor="text1"/>
          <w:sz w:val="16"/>
          <w:szCs w:val="16"/>
        </w:rPr>
        <w:softHyphen/>
        <w:t>ции летчиков-штурмови</w:t>
      </w:r>
      <w:r w:rsidRPr="008127F8">
        <w:rPr>
          <w:rFonts w:ascii="Times New Roman" w:hAnsi="Times New Roman" w:cs="Times New Roman"/>
          <w:color w:val="000000" w:themeColor="text1"/>
          <w:sz w:val="16"/>
          <w:szCs w:val="16"/>
        </w:rPr>
        <w:softHyphen/>
        <w:t>ков, конструкторов и производственников для обмена опытом боевого применения штурмовиков и их дальнейшего совершен</w:t>
      </w:r>
      <w:r w:rsidRPr="008127F8">
        <w:rPr>
          <w:rFonts w:ascii="Times New Roman" w:hAnsi="Times New Roman" w:cs="Times New Roman"/>
          <w:color w:val="000000" w:themeColor="text1"/>
          <w:sz w:val="16"/>
          <w:szCs w:val="16"/>
        </w:rPr>
        <w:softHyphen/>
        <w:t>ствования С.В. Ильюшин предпринял еще одну попытку развернуть производство тяже</w:t>
      </w:r>
      <w:r w:rsidRPr="008127F8">
        <w:rPr>
          <w:rFonts w:ascii="Times New Roman" w:hAnsi="Times New Roman" w:cs="Times New Roman"/>
          <w:color w:val="000000" w:themeColor="text1"/>
          <w:sz w:val="16"/>
          <w:szCs w:val="16"/>
        </w:rPr>
        <w:softHyphen/>
        <w:t>лого бронированного штурмовика ТБШ-2, предложив заказчику доработанный эскиз</w:t>
      </w:r>
      <w:r w:rsidRPr="008127F8">
        <w:rPr>
          <w:rFonts w:ascii="Times New Roman" w:hAnsi="Times New Roman" w:cs="Times New Roman"/>
          <w:color w:val="000000" w:themeColor="text1"/>
          <w:sz w:val="16"/>
          <w:szCs w:val="16"/>
        </w:rPr>
        <w:softHyphen/>
        <w:t>ный проект. Конструкция и летные харак</w:t>
      </w:r>
      <w:r w:rsidRPr="008127F8">
        <w:rPr>
          <w:rFonts w:ascii="Times New Roman" w:hAnsi="Times New Roman" w:cs="Times New Roman"/>
          <w:color w:val="000000" w:themeColor="text1"/>
          <w:sz w:val="16"/>
          <w:szCs w:val="16"/>
        </w:rPr>
        <w:softHyphen/>
        <w:t>теристики этой машины были аналогичны указанным в предыдущем варианте, а вот ее вооружение было несколько другим и больше подходило для действий по транс</w:t>
      </w:r>
      <w:r w:rsidRPr="008127F8">
        <w:rPr>
          <w:rFonts w:ascii="Times New Roman" w:hAnsi="Times New Roman" w:cs="Times New Roman"/>
          <w:color w:val="000000" w:themeColor="text1"/>
          <w:sz w:val="16"/>
          <w:szCs w:val="16"/>
        </w:rPr>
        <w:softHyphen/>
        <w:t>портным колоннам, железнодорожным со</w:t>
      </w:r>
      <w:r w:rsidRPr="008127F8">
        <w:rPr>
          <w:rFonts w:ascii="Times New Roman" w:hAnsi="Times New Roman" w:cs="Times New Roman"/>
          <w:color w:val="000000" w:themeColor="text1"/>
          <w:sz w:val="16"/>
          <w:szCs w:val="16"/>
        </w:rPr>
        <w:softHyphen/>
        <w:t>ставам и моторизованным частям пехоты. Предусматривалась установка двух пушек ВЯ-23 с запасом снарядов по 200 штук на каждую, восьми пулеметов ШКАС с общим боекомплектом 6000 патронов, восьми сна</w:t>
      </w:r>
      <w:r w:rsidRPr="008127F8">
        <w:rPr>
          <w:rFonts w:ascii="Times New Roman" w:hAnsi="Times New Roman" w:cs="Times New Roman"/>
          <w:color w:val="000000" w:themeColor="text1"/>
          <w:sz w:val="16"/>
          <w:szCs w:val="16"/>
        </w:rPr>
        <w:softHyphen/>
        <w:t>рядов РС-82 и бомб массой до 1000 кг. Эта попытка, как и предыдущие, оказалась не</w:t>
      </w:r>
      <w:r w:rsidRPr="008127F8">
        <w:rPr>
          <w:rFonts w:ascii="Times New Roman" w:hAnsi="Times New Roman" w:cs="Times New Roman"/>
          <w:color w:val="000000" w:themeColor="text1"/>
          <w:sz w:val="16"/>
          <w:szCs w:val="16"/>
        </w:rPr>
        <w:softHyphen/>
        <w:t>удачной. Но, несмотря на это главной зада</w:t>
      </w:r>
      <w:r w:rsidRPr="008127F8">
        <w:rPr>
          <w:rFonts w:ascii="Times New Roman" w:hAnsi="Times New Roman" w:cs="Times New Roman"/>
          <w:color w:val="000000" w:themeColor="text1"/>
          <w:sz w:val="16"/>
          <w:szCs w:val="16"/>
        </w:rPr>
        <w:softHyphen/>
        <w:t>чей конструкторского коллектива неуклонно оставалось повышение боевых возможно</w:t>
      </w:r>
      <w:r w:rsidRPr="008127F8">
        <w:rPr>
          <w:rFonts w:ascii="Times New Roman" w:hAnsi="Times New Roman" w:cs="Times New Roman"/>
          <w:color w:val="000000" w:themeColor="text1"/>
          <w:sz w:val="16"/>
          <w:szCs w:val="16"/>
        </w:rPr>
        <w:softHyphen/>
        <w:t>стей своих штурмовиков. Все более совер</w:t>
      </w:r>
      <w:r w:rsidRPr="008127F8">
        <w:rPr>
          <w:rFonts w:ascii="Times New Roman" w:hAnsi="Times New Roman" w:cs="Times New Roman"/>
          <w:color w:val="000000" w:themeColor="text1"/>
          <w:sz w:val="16"/>
          <w:szCs w:val="16"/>
        </w:rPr>
        <w:softHyphen/>
        <w:t>шенные образцы бомб, ракетных снарядов и пушек постоянно обновляли состав их вооружения. Уже в мае, воспользовавшись результатами закончившихся испытаний серийного Ил-2 с установленными на нем пушками Ш-37 калибра 37 мм, главный кон</w:t>
      </w:r>
      <w:r w:rsidRPr="008127F8">
        <w:rPr>
          <w:rFonts w:ascii="Times New Roman" w:hAnsi="Times New Roman" w:cs="Times New Roman"/>
          <w:color w:val="000000" w:themeColor="text1"/>
          <w:sz w:val="16"/>
          <w:szCs w:val="16"/>
        </w:rPr>
        <w:softHyphen/>
        <w:t>структор принимает решение начать раз</w:t>
      </w:r>
      <w:r w:rsidRPr="008127F8">
        <w:rPr>
          <w:rFonts w:ascii="Times New Roman" w:hAnsi="Times New Roman" w:cs="Times New Roman"/>
          <w:color w:val="000000" w:themeColor="text1"/>
          <w:sz w:val="16"/>
          <w:szCs w:val="16"/>
        </w:rPr>
        <w:softHyphen/>
        <w:t>работку нового, еще более совершенного штурмовика, обладающего этим оружием (12734).</w:t>
      </w:r>
    </w:p>
    <w:p w14:paraId="0801250D" w14:textId="77777777" w:rsidR="0050778F" w:rsidRPr="008127F8" w:rsidRDefault="0050778F" w:rsidP="001E0A84">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EF713C1"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марте 1942 г. самолёты Су-2 с моторами М-82 поступили в 826-й ббап (коман</w:t>
      </w:r>
      <w:r w:rsidRPr="008127F8">
        <w:rPr>
          <w:rFonts w:ascii="Times New Roman" w:cs="Times New Roman"/>
          <w:color w:val="000000" w:themeColor="text1"/>
          <w:spacing w:val="0"/>
        </w:rPr>
        <w:softHyphen/>
        <w:t>дир полка — майор Бокун, военком — батальонный комиссар Доронин). В этом полку впервые провели войсковые испытания моторов М-82. С мая месяца полк в составе 270-й бад принимал участие в боевых действиях на Юго-Западном фронте.</w:t>
      </w:r>
    </w:p>
    <w:p w14:paraId="57BD9726"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lastRenderedPageBreak/>
        <w:t>В испытаниях участвовали 18 Су-2 с моторами М-82 1-й серии. За период с марта по 26 июня 1942 г. моторы в общей сложности наработали на земле 227 часов и в воз</w:t>
      </w:r>
      <w:r w:rsidRPr="008127F8">
        <w:rPr>
          <w:rFonts w:ascii="Times New Roman" w:cs="Times New Roman"/>
          <w:color w:val="000000" w:themeColor="text1"/>
          <w:spacing w:val="0"/>
        </w:rPr>
        <w:softHyphen/>
        <w:t>духе 349 часов. Минимальная общая наработка на мотор составила 10 часов 50 минут, максимальная — 56 часов 24 минуты. В оценке лётного состава указывалось:</w:t>
      </w:r>
    </w:p>
    <w:p w14:paraId="1F5C63F3"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Самолёт Су-2 с мотором М-82 по своим лётным качествам значительно прево</w:t>
      </w:r>
      <w:r w:rsidRPr="008127F8">
        <w:rPr>
          <w:rFonts w:ascii="Times New Roman" w:cs="Times New Roman"/>
          <w:color w:val="000000" w:themeColor="text1"/>
          <w:spacing w:val="0"/>
        </w:rPr>
        <w:softHyphen/>
        <w:t>сходит такой же самолёт с мотором М-88 как по скорости, маневренности, так и по бомбовой нагрузке.</w:t>
      </w:r>
    </w:p>
    <w:p w14:paraId="36731E45" w14:textId="77777777" w:rsidR="00F032B1" w:rsidRPr="008127F8" w:rsidRDefault="00F032B1" w:rsidP="001E0A84">
      <w:pPr>
        <w:pStyle w:val="27"/>
        <w:shd w:val="clear" w:color="auto" w:fill="auto"/>
        <w:tabs>
          <w:tab w:val="left" w:pos="42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Управление винтомоторной группой в воздухе ничем не отличается от управления ВМГ такого же самолёта с мотором М-88. Мотор в воздухе работает надежно, идя на задание, лётный состав в работе мотора всегда был уверен.</w:t>
      </w:r>
    </w:p>
    <w:p w14:paraId="795D115C" w14:textId="77777777" w:rsidR="00F032B1" w:rsidRPr="008127F8" w:rsidRDefault="00F032B1" w:rsidP="001E0A84">
      <w:pPr>
        <w:pStyle w:val="27"/>
        <w:shd w:val="clear" w:color="auto" w:fill="auto"/>
        <w:tabs>
          <w:tab w:val="left" w:pos="409"/>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Температурный режим моторов во время боевых полётов не выходит из пределов, установленных инструкцией по эксплуатации, т.е.:</w:t>
      </w:r>
    </w:p>
    <w:p w14:paraId="026FDD87" w14:textId="77777777" w:rsidR="00F032B1" w:rsidRPr="008127F8" w:rsidRDefault="00F032B1" w:rsidP="001E0A84">
      <w:pPr>
        <w:pStyle w:val="27"/>
        <w:shd w:val="clear" w:color="auto" w:fill="auto"/>
        <w:tabs>
          <w:tab w:val="left" w:pos="577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температура головок цилиндров</w:t>
      </w:r>
      <w:r w:rsidRPr="008127F8">
        <w:rPr>
          <w:rFonts w:ascii="Times New Roman" w:cs="Times New Roman"/>
          <w:color w:val="000000" w:themeColor="text1"/>
          <w:spacing w:val="0"/>
        </w:rPr>
        <w:tab/>
        <w:t>- 170-200°С,</w:t>
      </w:r>
    </w:p>
    <w:p w14:paraId="18923520" w14:textId="77777777" w:rsidR="00F032B1" w:rsidRPr="008127F8" w:rsidRDefault="00F032B1" w:rsidP="001E0A84">
      <w:pPr>
        <w:pStyle w:val="27"/>
        <w:shd w:val="clear" w:color="auto" w:fill="auto"/>
        <w:tabs>
          <w:tab w:val="left" w:pos="577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температура входящего масла</w:t>
      </w:r>
      <w:r w:rsidRPr="008127F8">
        <w:rPr>
          <w:rFonts w:ascii="Times New Roman" w:cs="Times New Roman"/>
          <w:color w:val="000000" w:themeColor="text1"/>
          <w:spacing w:val="0"/>
        </w:rPr>
        <w:tab/>
        <w:t>- 65-70°С,</w:t>
      </w:r>
    </w:p>
    <w:p w14:paraId="3C0CBF21" w14:textId="77777777" w:rsidR="00F032B1" w:rsidRPr="008127F8" w:rsidRDefault="00F032B1" w:rsidP="001E0A84">
      <w:pPr>
        <w:pStyle w:val="27"/>
        <w:shd w:val="clear" w:color="auto" w:fill="auto"/>
        <w:tabs>
          <w:tab w:val="left" w:pos="577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температура выходящего масла</w:t>
      </w:r>
      <w:r w:rsidRPr="008127F8">
        <w:rPr>
          <w:rFonts w:ascii="Times New Roman" w:cs="Times New Roman"/>
          <w:color w:val="000000" w:themeColor="text1"/>
          <w:spacing w:val="0"/>
        </w:rPr>
        <w:tab/>
        <w:t>- 95-115°С.</w:t>
      </w:r>
    </w:p>
    <w:p w14:paraId="500D2FCD" w14:textId="77777777" w:rsidR="00F032B1" w:rsidRPr="008127F8" w:rsidRDefault="00F032B1" w:rsidP="001E0A84">
      <w:pPr>
        <w:pStyle w:val="27"/>
        <w:shd w:val="clear" w:color="auto" w:fill="auto"/>
        <w:tabs>
          <w:tab w:val="left" w:pos="457"/>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4....Полёты над целью в основном производились на номинальном наддуве, а при уходе от цели на некоторых самолётах моторы форсировались. Форсирование произво</w:t>
      </w:r>
      <w:r w:rsidRPr="008127F8">
        <w:rPr>
          <w:rFonts w:ascii="Times New Roman" w:cs="Times New Roman"/>
          <w:color w:val="000000" w:themeColor="text1"/>
          <w:spacing w:val="0"/>
        </w:rPr>
        <w:softHyphen/>
        <w:t>дилось путем выключения РПД-1 (сектор газа за ограничитель), продолжительность ра</w:t>
      </w:r>
      <w:r w:rsidRPr="008127F8">
        <w:rPr>
          <w:rFonts w:ascii="Times New Roman" w:cs="Times New Roman"/>
          <w:color w:val="000000" w:themeColor="text1"/>
          <w:spacing w:val="0"/>
        </w:rPr>
        <w:softHyphen/>
        <w:t>боты на форсированном режиме не превышала 8-10 минут. На взлёте, в зависимости от условий старта, форсаж также включался продолжительностью до 30-40 секунд.</w:t>
      </w:r>
    </w:p>
    <w:p w14:paraId="24EFAB02"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Во всех случаях моторы на форсированном режиме работают хорошо...</w:t>
      </w:r>
    </w:p>
    <w:p w14:paraId="198035E9" w14:textId="77777777" w:rsidR="00F032B1" w:rsidRPr="008127F8" w:rsidRDefault="00F032B1" w:rsidP="001E0A84">
      <w:pPr>
        <w:pStyle w:val="27"/>
        <w:shd w:val="clear" w:color="auto" w:fill="auto"/>
        <w:tabs>
          <w:tab w:val="left" w:pos="43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7. Эффективность юбок капотов и маслорадиаторов вполне достаточная, переохла</w:t>
      </w:r>
      <w:r w:rsidRPr="008127F8">
        <w:rPr>
          <w:rFonts w:ascii="Times New Roman" w:cs="Times New Roman"/>
          <w:color w:val="000000" w:themeColor="text1"/>
          <w:spacing w:val="0"/>
        </w:rPr>
        <w:softHyphen/>
        <w:t>ждения моторов на планировании не наблюдалось. Приемистость моторов нормальная, случаев отказа моторов из-за плохой приёмистости не было.</w:t>
      </w:r>
    </w:p>
    <w:p w14:paraId="66A0D860" w14:textId="77777777" w:rsidR="00F032B1" w:rsidRPr="008127F8" w:rsidRDefault="00F032B1" w:rsidP="001E0A84">
      <w:pPr>
        <w:pStyle w:val="27"/>
        <w:shd w:val="clear" w:color="auto" w:fill="auto"/>
        <w:tabs>
          <w:tab w:val="left" w:pos="42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8. Пулевого или осколочного попадания в основные детали или агрегаты моторов не было, поэтому фактов, определяющих живучесть моторов при такого рода поврежде</w:t>
      </w:r>
      <w:r w:rsidRPr="008127F8">
        <w:rPr>
          <w:rFonts w:ascii="Times New Roman" w:cs="Times New Roman"/>
          <w:color w:val="000000" w:themeColor="text1"/>
          <w:spacing w:val="0"/>
        </w:rPr>
        <w:softHyphen/>
        <w:t>ниях, нет, однако зафиксированы следующие факты:</w:t>
      </w:r>
    </w:p>
    <w:p w14:paraId="4399C593" w14:textId="77777777" w:rsidR="00F032B1" w:rsidRPr="008127F8" w:rsidRDefault="00F032B1" w:rsidP="001E0A84">
      <w:pPr>
        <w:pStyle w:val="27"/>
        <w:shd w:val="clear" w:color="auto" w:fill="auto"/>
        <w:tabs>
          <w:tab w:val="left" w:pos="442"/>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 25.5.42 г. на моторе № 1205, во время выполнения боевого задания, была пере</w:t>
      </w:r>
      <w:r w:rsidRPr="008127F8">
        <w:rPr>
          <w:rFonts w:ascii="Times New Roman" w:cs="Times New Roman"/>
          <w:color w:val="000000" w:themeColor="text1"/>
          <w:spacing w:val="0"/>
        </w:rPr>
        <w:softHyphen/>
        <w:t>бита масломагистраль, масло при этом вытекло и давление в моторе упало до нуля. Лётчик мл. л-т тов. Русанов перетянул через линию фронта и совершил вынужденную посадку на своей территории. Ввиду абсолютной непригодности площадки, где была совершена посадка, и застигшей его темноты, самолёт получил значительное повре</w:t>
      </w:r>
      <w:r w:rsidRPr="008127F8">
        <w:rPr>
          <w:rFonts w:ascii="Times New Roman" w:cs="Times New Roman"/>
          <w:color w:val="000000" w:themeColor="text1"/>
          <w:spacing w:val="0"/>
        </w:rPr>
        <w:softHyphen/>
        <w:t xml:space="preserve">ждение. </w:t>
      </w:r>
      <w:proofErr w:type="gramStart"/>
      <w:r w:rsidRPr="008127F8">
        <w:rPr>
          <w:rFonts w:ascii="Times New Roman" w:cs="Times New Roman"/>
          <w:color w:val="000000" w:themeColor="text1"/>
          <w:spacing w:val="0"/>
        </w:rPr>
        <w:t>Мотор, несмотря на то, что</w:t>
      </w:r>
      <w:proofErr w:type="gramEnd"/>
      <w:r w:rsidRPr="008127F8">
        <w:rPr>
          <w:rFonts w:ascii="Times New Roman" w:cs="Times New Roman"/>
          <w:color w:val="000000" w:themeColor="text1"/>
          <w:spacing w:val="0"/>
        </w:rPr>
        <w:t xml:space="preserve"> полёт без давления масла в моторе продолжался в течение 3-4 минут, никаких признаков внутреннего разрушения не имеет.</w:t>
      </w:r>
    </w:p>
    <w:p w14:paraId="7D3D650D" w14:textId="77777777" w:rsidR="00F032B1" w:rsidRPr="008127F8" w:rsidRDefault="00F032B1" w:rsidP="001E0A84">
      <w:pPr>
        <w:pStyle w:val="27"/>
        <w:shd w:val="clear" w:color="auto" w:fill="auto"/>
        <w:tabs>
          <w:tab w:val="left" w:pos="447"/>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30.5.42 г. мотор № 1067 был запущен с закрытым маслокраном, и только после 2-3 минутной работы резко повысившаяся температура выходящего масла до 80°С обратила внимание механика на отсутствие давления. После этого случая мотор на</w:t>
      </w:r>
      <w:r w:rsidRPr="008127F8">
        <w:rPr>
          <w:rFonts w:ascii="Times New Roman" w:cs="Times New Roman"/>
          <w:color w:val="000000" w:themeColor="text1"/>
          <w:spacing w:val="0"/>
        </w:rPr>
        <w:softHyphen/>
        <w:t>работал 21 час, а всего на 26.6.42 г. наработка равна 50 ч 50 мин.</w:t>
      </w:r>
    </w:p>
    <w:p w14:paraId="375A9CF5" w14:textId="77777777" w:rsidR="00F032B1" w:rsidRPr="008127F8" w:rsidRDefault="00F032B1" w:rsidP="001E0A84">
      <w:pPr>
        <w:pStyle w:val="27"/>
        <w:shd w:val="clear" w:color="auto" w:fill="auto"/>
        <w:tabs>
          <w:tab w:val="left" w:pos="43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10.6.42 г. на моторе № 1019, ввиду отказа в работе термостата радиатора, темпе</w:t>
      </w:r>
      <w:r w:rsidRPr="008127F8">
        <w:rPr>
          <w:rFonts w:ascii="Times New Roman" w:cs="Times New Roman"/>
          <w:color w:val="000000" w:themeColor="text1"/>
          <w:spacing w:val="0"/>
        </w:rPr>
        <w:softHyphen/>
        <w:t>ратура входящего масла достигла 100°С, а выходящего — выше 130°С (стрелка до упо</w:t>
      </w:r>
      <w:r w:rsidRPr="008127F8">
        <w:rPr>
          <w:rFonts w:ascii="Times New Roman" w:cs="Times New Roman"/>
          <w:color w:val="000000" w:themeColor="text1"/>
          <w:spacing w:val="0"/>
        </w:rPr>
        <w:softHyphen/>
        <w:t>ра), полёт при этой температуре продолжался 45 мин, мотор в н/время работает хорошо.</w:t>
      </w:r>
    </w:p>
    <w:p w14:paraId="2A4438F3"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На основании приведенных фактов можно сделать вывод, что мотор М-82 обеднение смазкой его трущихся деталей выносит достаточно надёжно. В случае повреждения ма- 190 слосистемы, полёт в течение 2-3 минут без давления масла не влечёт за собой разру</w:t>
      </w:r>
      <w:r w:rsidRPr="008127F8">
        <w:rPr>
          <w:rFonts w:ascii="Times New Roman" w:cs="Times New Roman"/>
          <w:color w:val="000000" w:themeColor="text1"/>
          <w:spacing w:val="0"/>
        </w:rPr>
        <w:softHyphen/>
        <w:t>шения мотора...»</w:t>
      </w:r>
      <w:r w:rsidRPr="008127F8">
        <w:rPr>
          <w:rFonts w:ascii="Times New Roman" w:cs="Times New Roman"/>
          <w:color w:val="000000" w:themeColor="text1"/>
          <w:spacing w:val="0"/>
          <w:vertAlign w:val="superscript"/>
        </w:rPr>
        <w:t>3</w:t>
      </w:r>
      <w:r w:rsidRPr="008127F8">
        <w:rPr>
          <w:rFonts w:ascii="Times New Roman" w:cs="Times New Roman"/>
          <w:color w:val="000000" w:themeColor="text1"/>
          <w:spacing w:val="0"/>
        </w:rPr>
        <w:t>.</w:t>
      </w:r>
    </w:p>
    <w:p w14:paraId="164982DE"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Инженерно-технический состав отмечал:</w:t>
      </w:r>
    </w:p>
    <w:p w14:paraId="1D2E4828"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Проверкой работы моторов на земле установлено, что мотор от малого газа до взлётного режима работает устойчиво, без вибрации и тряски, переход с одного режи</w:t>
      </w:r>
      <w:r w:rsidRPr="008127F8">
        <w:rPr>
          <w:rFonts w:ascii="Times New Roman" w:cs="Times New Roman"/>
          <w:color w:val="000000" w:themeColor="text1"/>
          <w:spacing w:val="0"/>
        </w:rPr>
        <w:softHyphen/>
        <w:t>ма на другой также нормальный.</w:t>
      </w:r>
    </w:p>
    <w:p w14:paraId="1392E147" w14:textId="77777777" w:rsidR="00F032B1" w:rsidRPr="008127F8" w:rsidRDefault="00F032B1" w:rsidP="001E0A84">
      <w:pPr>
        <w:pStyle w:val="27"/>
        <w:shd w:val="clear" w:color="auto" w:fill="auto"/>
        <w:tabs>
          <w:tab w:val="left" w:pos="50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Механизм управления винтом и двухскоростной передачей к нагнетателю работает хорошо.</w:t>
      </w:r>
    </w:p>
    <w:p w14:paraId="04D923DC" w14:textId="77777777" w:rsidR="00F032B1" w:rsidRPr="008127F8" w:rsidRDefault="00F032B1" w:rsidP="001E0A84">
      <w:pPr>
        <w:pStyle w:val="27"/>
        <w:shd w:val="clear" w:color="auto" w:fill="auto"/>
        <w:tabs>
          <w:tab w:val="left" w:pos="49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Карбюратор АК-82БП работал надежно, но было три случая произвольного наруше</w:t>
      </w:r>
      <w:r w:rsidRPr="008127F8">
        <w:rPr>
          <w:rFonts w:ascii="Times New Roman" w:cs="Times New Roman"/>
          <w:color w:val="000000" w:themeColor="text1"/>
          <w:spacing w:val="0"/>
        </w:rPr>
        <w:softHyphen/>
        <w:t>ния регулировки качества смеси (два случая — забеднение смеси, один — обогащение).</w:t>
      </w:r>
    </w:p>
    <w:p w14:paraId="194151D7" w14:textId="77777777" w:rsidR="00F032B1" w:rsidRPr="008127F8" w:rsidRDefault="00F032B1" w:rsidP="001E0A84">
      <w:pPr>
        <w:pStyle w:val="27"/>
        <w:shd w:val="clear" w:color="auto" w:fill="auto"/>
        <w:tabs>
          <w:tab w:val="left" w:pos="51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 Поршневая группа мотора М-82 за время эксплуатации работала хорошо, никаких дефектов, характеризующих нарушение нормальной работы поршневой группы (дым</w:t>
      </w:r>
      <w:r w:rsidRPr="008127F8">
        <w:rPr>
          <w:rFonts w:ascii="Times New Roman" w:cs="Times New Roman"/>
          <w:color w:val="000000" w:themeColor="text1"/>
          <w:spacing w:val="0"/>
        </w:rPr>
        <w:softHyphen/>
        <w:t>ление, задир поршней, износ поршневых колец и др.), не было...»</w:t>
      </w:r>
    </w:p>
    <w:p w14:paraId="79ED714E"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Отчёт не был бы отчётом, если бы в нём не указали недостатки:</w:t>
      </w:r>
    </w:p>
    <w:p w14:paraId="2520B320"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Основным недостатком мотора М-82 является трудный запуск его. До температу</w:t>
      </w:r>
      <w:r w:rsidRPr="008127F8">
        <w:rPr>
          <w:rFonts w:ascii="Times New Roman" w:cs="Times New Roman"/>
          <w:color w:val="000000" w:themeColor="text1"/>
          <w:spacing w:val="0"/>
        </w:rPr>
        <w:softHyphen/>
        <w:t>ры окружающего воздуха +15°С, запуск значительно затруднён. Вероятной причиной этого дефекта является несовершенство заливной системы. Заводу № 19 необходимо внести радикальные изменения в систему запуска мотора.</w:t>
      </w:r>
    </w:p>
    <w:p w14:paraId="72849AC7" w14:textId="77777777" w:rsidR="00F032B1" w:rsidRPr="008127F8" w:rsidRDefault="00F032B1" w:rsidP="001E0A84">
      <w:pPr>
        <w:pStyle w:val="27"/>
        <w:shd w:val="clear" w:color="auto" w:fill="auto"/>
        <w:tabs>
          <w:tab w:val="left" w:pos="49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Перебои или отказ свечей ВГ-12 после работы их от 2-х до 20 часов (14 случаев). Причиной отказа является низкое качество свечей.</w:t>
      </w:r>
    </w:p>
    <w:p w14:paraId="6432C16C" w14:textId="77777777" w:rsidR="00F032B1" w:rsidRPr="008127F8" w:rsidRDefault="00F032B1" w:rsidP="001E0A84">
      <w:pPr>
        <w:pStyle w:val="27"/>
        <w:shd w:val="clear" w:color="auto" w:fill="auto"/>
        <w:tabs>
          <w:tab w:val="left" w:pos="51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Течь масла: &lt;...&gt; Причиной всех указанных мест, дающих течь масла, является недоработка уплотнений...»</w:t>
      </w:r>
    </w:p>
    <w:p w14:paraId="0A333344"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целом же заключение по войсковым испытаниям было положительное:</w:t>
      </w:r>
    </w:p>
    <w:p w14:paraId="694261D0"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Моторы М-82 производства завода № 19 им. Сталина испытания в боевых усло</w:t>
      </w:r>
      <w:r w:rsidRPr="008127F8">
        <w:rPr>
          <w:rFonts w:ascii="Times New Roman" w:cs="Times New Roman"/>
          <w:color w:val="000000" w:themeColor="text1"/>
          <w:spacing w:val="0"/>
        </w:rPr>
        <w:softHyphen/>
        <w:t>виях прошли ХОРОШО.</w:t>
      </w:r>
    </w:p>
    <w:p w14:paraId="32AF458D" w14:textId="77777777" w:rsidR="00F032B1" w:rsidRPr="008127F8" w:rsidRDefault="00F032B1" w:rsidP="001E0A84">
      <w:pPr>
        <w:pStyle w:val="27"/>
        <w:shd w:val="clear" w:color="auto" w:fill="auto"/>
        <w:tabs>
          <w:tab w:val="left" w:pos="50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Эксплуатация показала, что мотор М-82 является одним из лучших и мощных мо</w:t>
      </w:r>
      <w:r w:rsidRPr="008127F8">
        <w:rPr>
          <w:rFonts w:ascii="Times New Roman" w:cs="Times New Roman"/>
          <w:color w:val="000000" w:themeColor="text1"/>
          <w:spacing w:val="0"/>
        </w:rPr>
        <w:softHyphen/>
        <w:t>торов, находящихся на вооружении ВВС Красной Армии.</w:t>
      </w:r>
    </w:p>
    <w:p w14:paraId="090BF5A9" w14:textId="77777777" w:rsidR="00F032B1" w:rsidRPr="008127F8" w:rsidRDefault="00F032B1" w:rsidP="001E0A84">
      <w:pPr>
        <w:pStyle w:val="27"/>
        <w:shd w:val="clear" w:color="auto" w:fill="auto"/>
        <w:tabs>
          <w:tab w:val="left" w:pos="50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Заводу № 19 необходимо в кратчайший срок устранить дефекты, указанные в на</w:t>
      </w:r>
      <w:r w:rsidRPr="008127F8">
        <w:rPr>
          <w:rFonts w:ascii="Times New Roman" w:cs="Times New Roman"/>
          <w:color w:val="000000" w:themeColor="text1"/>
          <w:spacing w:val="0"/>
        </w:rPr>
        <w:softHyphen/>
        <w:t>стоящем акте, особенно запуск мотора и подбор свечей».</w:t>
      </w:r>
    </w:p>
    <w:p w14:paraId="2ADC1A28"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Таким образом, работа мотора М-82 в воздухе впервые с начала его эксплуатации получила положительную оценку, причем фронтовых лётчиков. К мнению и пожелани</w:t>
      </w:r>
      <w:r w:rsidRPr="008127F8">
        <w:rPr>
          <w:rFonts w:ascii="Times New Roman" w:cs="Times New Roman"/>
          <w:color w:val="000000" w:themeColor="text1"/>
          <w:spacing w:val="0"/>
        </w:rPr>
        <w:softHyphen/>
        <w:t>ям фронтовиков тогда относились внимательно.</w:t>
      </w:r>
    </w:p>
    <w:p w14:paraId="58E42820"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Ранее отмечавшаяся нестабильная работа карбюратора при испытаниях на Су-2 в зна</w:t>
      </w:r>
      <w:r w:rsidRPr="008127F8">
        <w:rPr>
          <w:rFonts w:ascii="Times New Roman" w:cs="Times New Roman"/>
          <w:color w:val="000000" w:themeColor="text1"/>
          <w:spacing w:val="0"/>
        </w:rPr>
        <w:softHyphen/>
        <w:t>чительной мере «маскировалась» тем, что М-82 работали только на 1-й скорости нагне</w:t>
      </w:r>
      <w:r w:rsidRPr="008127F8">
        <w:rPr>
          <w:rFonts w:ascii="Times New Roman" w:cs="Times New Roman"/>
          <w:color w:val="000000" w:themeColor="text1"/>
          <w:spacing w:val="0"/>
        </w:rPr>
        <w:softHyphen/>
        <w:t>тателя, и максимальная скорость для них не являлась важнейшей характеристикой.</w:t>
      </w:r>
    </w:p>
    <w:p w14:paraId="43E44B49" w14:textId="77777777" w:rsidR="00F032B1" w:rsidRPr="008127F8" w:rsidRDefault="00F032B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Особо нужно подчеркнуть уже здесь проявившееся весьма важное качество мотора: он мог надежно работать при изменении качества смеси в весьма широких пределах без таких нервирующих пилотов «штучек», как перебои в работе, обрезание, перегрев и т.п. Такие «второстепенные» параметры, как несколько пониженная мощность, дымление, увеличенный расход горючего, снижение ресурса — фронтовых лётчиков обычно волно</w:t>
      </w:r>
      <w:r w:rsidRPr="008127F8">
        <w:rPr>
          <w:rFonts w:ascii="Times New Roman" w:cs="Times New Roman"/>
          <w:color w:val="000000" w:themeColor="text1"/>
          <w:spacing w:val="0"/>
        </w:rPr>
        <w:softHyphen/>
        <w:t>вали гораздо меньше, чем их коллег из НИИ ВВС. На фронте главное, чтобы мотор был живуч в бою и работал при любых обстоятельствах, а это М-82 и продемонстрировал (15813).</w:t>
      </w:r>
    </w:p>
    <w:p w14:paraId="28290C6F" w14:textId="77777777" w:rsidR="00F032B1" w:rsidRPr="008127F8" w:rsidRDefault="00F032B1" w:rsidP="001E0A84">
      <w:pPr>
        <w:spacing w:after="0" w:line="240" w:lineRule="auto"/>
        <w:jc w:val="both"/>
        <w:rPr>
          <w:rFonts w:ascii="Times New Roman" w:hAnsi="Times New Roman"/>
          <w:color w:val="000000" w:themeColor="text1"/>
          <w:sz w:val="16"/>
          <w:szCs w:val="16"/>
        </w:rPr>
      </w:pPr>
    </w:p>
    <w:p w14:paraId="734C5563"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самолеты Су-2 с моторами М-82 поступили в 826-й ББАП (командир полка майор Бо-кун, военком батальонный комиссар Доронин). В этом полку и были впер</w:t>
      </w:r>
      <w:r w:rsidRPr="008127F8">
        <w:rPr>
          <w:rFonts w:ascii="Times New Roman" w:hAnsi="Times New Roman"/>
          <w:color w:val="000000" w:themeColor="text1"/>
          <w:sz w:val="16"/>
          <w:szCs w:val="16"/>
        </w:rPr>
        <w:softHyphen/>
        <w:t>вые проведены войсковые испытания моторов М-82. С мая месяца полк в составе 270 БАД принимал участие в боевых действиях на Юго-Запад</w:t>
      </w:r>
      <w:r w:rsidRPr="008127F8">
        <w:rPr>
          <w:rFonts w:ascii="Times New Roman" w:hAnsi="Times New Roman"/>
          <w:color w:val="000000" w:themeColor="text1"/>
          <w:sz w:val="16"/>
          <w:szCs w:val="16"/>
        </w:rPr>
        <w:softHyphen/>
        <w:t>ном фронте. В испытаниях участвовало 18 са</w:t>
      </w:r>
      <w:r w:rsidRPr="008127F8">
        <w:rPr>
          <w:rFonts w:ascii="Times New Roman" w:hAnsi="Times New Roman"/>
          <w:color w:val="000000" w:themeColor="text1"/>
          <w:sz w:val="16"/>
          <w:szCs w:val="16"/>
        </w:rPr>
        <w:softHyphen/>
        <w:t>молетов Су-2 с моторами М-82 1-й серии. За период с марта по 26 июня 1942 года моторы в общей сложнос</w:t>
      </w:r>
      <w:r w:rsidRPr="008127F8">
        <w:rPr>
          <w:rFonts w:ascii="Times New Roman" w:hAnsi="Times New Roman"/>
          <w:color w:val="000000" w:themeColor="text1"/>
          <w:sz w:val="16"/>
          <w:szCs w:val="16"/>
        </w:rPr>
        <w:softHyphen/>
        <w:t>ти наработали на земле 227 часов и в воздухе 349 часов. Минимальная общая наработка на мотор состави</w:t>
      </w:r>
      <w:r w:rsidRPr="008127F8">
        <w:rPr>
          <w:rFonts w:ascii="Times New Roman" w:hAnsi="Times New Roman"/>
          <w:color w:val="000000" w:themeColor="text1"/>
          <w:sz w:val="16"/>
          <w:szCs w:val="16"/>
        </w:rPr>
        <w:softHyphen/>
        <w:t>ла 10 часов 50 минут, максимальная - 56 часов 24 минуты. В оценке лет</w:t>
      </w:r>
      <w:r w:rsidRPr="008127F8">
        <w:rPr>
          <w:rFonts w:ascii="Times New Roman" w:hAnsi="Times New Roman"/>
          <w:color w:val="000000" w:themeColor="text1"/>
          <w:sz w:val="16"/>
          <w:szCs w:val="16"/>
        </w:rPr>
        <w:softHyphen/>
        <w:t>ного состава указывалось:</w:t>
      </w:r>
    </w:p>
    <w:p w14:paraId="5274BA77"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 Су-2 с мотором М-82 по своим летным качествам значи</w:t>
      </w:r>
      <w:r w:rsidRPr="008127F8">
        <w:rPr>
          <w:rFonts w:ascii="Times New Roman" w:hAnsi="Times New Roman"/>
          <w:color w:val="000000" w:themeColor="text1"/>
          <w:sz w:val="16"/>
          <w:szCs w:val="16"/>
        </w:rPr>
        <w:softHyphen/>
        <w:t>тельно превосходит такой же само</w:t>
      </w:r>
      <w:r w:rsidRPr="008127F8">
        <w:rPr>
          <w:rFonts w:ascii="Times New Roman" w:hAnsi="Times New Roman"/>
          <w:color w:val="000000" w:themeColor="text1"/>
          <w:sz w:val="16"/>
          <w:szCs w:val="16"/>
        </w:rPr>
        <w:softHyphen/>
        <w:t>лет с мотором М-88 как по скорости, маневренности, так и по бомбовой нагрузке.</w:t>
      </w:r>
    </w:p>
    <w:p w14:paraId="632238AD"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Управление винтомоторной груп</w:t>
      </w:r>
      <w:r w:rsidRPr="008127F8">
        <w:rPr>
          <w:rFonts w:ascii="Times New Roman" w:hAnsi="Times New Roman"/>
          <w:color w:val="000000" w:themeColor="text1"/>
          <w:sz w:val="16"/>
          <w:szCs w:val="16"/>
        </w:rPr>
        <w:softHyphen/>
        <w:t>пой в воздухе ничем не отличается от управления ВМГ такого же само</w:t>
      </w:r>
      <w:r w:rsidRPr="008127F8">
        <w:rPr>
          <w:rFonts w:ascii="Times New Roman" w:hAnsi="Times New Roman"/>
          <w:color w:val="000000" w:themeColor="text1"/>
          <w:sz w:val="16"/>
          <w:szCs w:val="16"/>
        </w:rPr>
        <w:softHyphen/>
        <w:t>лета с мотором М-88. Мотор в воз</w:t>
      </w:r>
      <w:r w:rsidRPr="008127F8">
        <w:rPr>
          <w:rFonts w:ascii="Times New Roman" w:hAnsi="Times New Roman"/>
          <w:color w:val="000000" w:themeColor="text1"/>
          <w:sz w:val="16"/>
          <w:szCs w:val="16"/>
        </w:rPr>
        <w:softHyphen/>
        <w:t>духе работает надежно, идя на зада</w:t>
      </w:r>
      <w:r w:rsidRPr="008127F8">
        <w:rPr>
          <w:rFonts w:ascii="Times New Roman" w:hAnsi="Times New Roman"/>
          <w:color w:val="000000" w:themeColor="text1"/>
          <w:sz w:val="16"/>
          <w:szCs w:val="16"/>
        </w:rPr>
        <w:softHyphen/>
        <w:t>ние, летный состав в работе мотора всегда был уверен.</w:t>
      </w:r>
    </w:p>
    <w:p w14:paraId="32E52FB2"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Температурный режим моторов во время боевых полетов не выходит из пределов, установленных инструк</w:t>
      </w:r>
      <w:r w:rsidRPr="008127F8">
        <w:rPr>
          <w:rFonts w:ascii="Times New Roman" w:hAnsi="Times New Roman"/>
          <w:color w:val="000000" w:themeColor="text1"/>
          <w:sz w:val="16"/>
          <w:szCs w:val="16"/>
        </w:rPr>
        <w:softHyphen/>
        <w:t>цией по эксплуатации, т.е.:</w:t>
      </w:r>
    </w:p>
    <w:p w14:paraId="1D639A41"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температура головок цилиндров - 170-200 С,</w:t>
      </w:r>
    </w:p>
    <w:p w14:paraId="11217A3F"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температура входящего масла - 65-70 °С</w:t>
      </w:r>
    </w:p>
    <w:p w14:paraId="4C5B7311"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температура выходящего масла - 95-115 С.</w:t>
      </w:r>
    </w:p>
    <w:p w14:paraId="6B5A2525"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Полеты над целью в основ</w:t>
      </w:r>
      <w:r w:rsidRPr="008127F8">
        <w:rPr>
          <w:rFonts w:ascii="Times New Roman" w:hAnsi="Times New Roman"/>
          <w:color w:val="000000" w:themeColor="text1"/>
          <w:sz w:val="16"/>
          <w:szCs w:val="16"/>
        </w:rPr>
        <w:softHyphen/>
        <w:t>ном производились на номинальном наддуве, а при уходе от цели на не</w:t>
      </w:r>
      <w:r w:rsidRPr="008127F8">
        <w:rPr>
          <w:rFonts w:ascii="Times New Roman" w:hAnsi="Times New Roman"/>
          <w:color w:val="000000" w:themeColor="text1"/>
          <w:sz w:val="16"/>
          <w:szCs w:val="16"/>
        </w:rPr>
        <w:softHyphen/>
        <w:t>которых самолетах моторы форсиро</w:t>
      </w:r>
      <w:r w:rsidRPr="008127F8">
        <w:rPr>
          <w:rFonts w:ascii="Times New Roman" w:hAnsi="Times New Roman"/>
          <w:color w:val="000000" w:themeColor="text1"/>
          <w:sz w:val="16"/>
          <w:szCs w:val="16"/>
        </w:rPr>
        <w:softHyphen/>
        <w:t>вались. Форсирование производилось путем выключения РПД-1 (сектор газа за ограничитель), продолжительность работы на форсированном режиме не превышала 8-10 минут. На взлете, в зависимости от условий старта, форсаж также включался продолжи</w:t>
      </w:r>
      <w:r w:rsidRPr="008127F8">
        <w:rPr>
          <w:rFonts w:ascii="Times New Roman" w:hAnsi="Times New Roman"/>
          <w:color w:val="000000" w:themeColor="text1"/>
          <w:sz w:val="16"/>
          <w:szCs w:val="16"/>
        </w:rPr>
        <w:softHyphen/>
        <w:t>тельностью до 30-40 секунд.</w:t>
      </w:r>
    </w:p>
    <w:p w14:paraId="7C4FF1B3"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всех случаях моторы на форси</w:t>
      </w:r>
      <w:r w:rsidRPr="008127F8">
        <w:rPr>
          <w:rFonts w:ascii="Times New Roman" w:hAnsi="Times New Roman"/>
          <w:color w:val="000000" w:themeColor="text1"/>
          <w:sz w:val="16"/>
          <w:szCs w:val="16"/>
        </w:rPr>
        <w:softHyphen/>
        <w:t>рованном режиме работают хорошо.</w:t>
      </w:r>
    </w:p>
    <w:p w14:paraId="21F86A92"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Моторы эксплоатировались* исключительно на первой скорости нагнетателя. Корректировка качества смеси механическим корректором не производилась, автокорректор поддер</w:t>
      </w:r>
      <w:r w:rsidRPr="008127F8">
        <w:rPr>
          <w:rFonts w:ascii="Times New Roman" w:hAnsi="Times New Roman"/>
          <w:color w:val="000000" w:themeColor="text1"/>
          <w:sz w:val="16"/>
          <w:szCs w:val="16"/>
        </w:rPr>
        <w:softHyphen/>
        <w:t>живал качество смеси в пределах а=0,68-0,83, однако качество смеси контролировалось, главным образом, по температуре головок цилиндров и характеру работы мотора, так как на некоторых самолетах альфометры от</w:t>
      </w:r>
      <w:r w:rsidRPr="008127F8">
        <w:rPr>
          <w:rFonts w:ascii="Times New Roman" w:hAnsi="Times New Roman"/>
          <w:color w:val="000000" w:themeColor="text1"/>
          <w:sz w:val="16"/>
          <w:szCs w:val="16"/>
        </w:rPr>
        <w:softHyphen/>
        <w:t>казали.</w:t>
      </w:r>
    </w:p>
    <w:p w14:paraId="521D3755"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Расходы горючего на режимах и высотах боевых полетов колебались в пределах 240-290 кг/час, и продол</w:t>
      </w:r>
      <w:r w:rsidRPr="008127F8">
        <w:rPr>
          <w:rFonts w:ascii="Times New Roman" w:hAnsi="Times New Roman"/>
          <w:color w:val="000000" w:themeColor="text1"/>
          <w:sz w:val="16"/>
          <w:szCs w:val="16"/>
        </w:rPr>
        <w:softHyphen/>
        <w:t>жительность полета, учитывая 20% запас горючего, также соответствен</w:t>
      </w:r>
      <w:r w:rsidRPr="008127F8">
        <w:rPr>
          <w:rFonts w:ascii="Times New Roman" w:hAnsi="Times New Roman"/>
          <w:color w:val="000000" w:themeColor="text1"/>
          <w:sz w:val="16"/>
          <w:szCs w:val="16"/>
        </w:rPr>
        <w:softHyphen/>
        <w:t>но менялась от 1 ч 45 мин до 1 ч 27 мин.</w:t>
      </w:r>
    </w:p>
    <w:p w14:paraId="45E09EFB"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Эффективность юбок капотов и маслорадиаторов вполне достаточная, переохлаждения моторов на плани</w:t>
      </w:r>
      <w:r w:rsidRPr="008127F8">
        <w:rPr>
          <w:rFonts w:ascii="Times New Roman" w:hAnsi="Times New Roman"/>
          <w:color w:val="000000" w:themeColor="text1"/>
          <w:sz w:val="16"/>
          <w:szCs w:val="16"/>
        </w:rPr>
        <w:softHyphen/>
        <w:t>ровании не наблюдалось. Приемис</w:t>
      </w:r>
      <w:r w:rsidRPr="008127F8">
        <w:rPr>
          <w:rFonts w:ascii="Times New Roman" w:hAnsi="Times New Roman"/>
          <w:color w:val="000000" w:themeColor="text1"/>
          <w:sz w:val="16"/>
          <w:szCs w:val="16"/>
        </w:rPr>
        <w:softHyphen/>
        <w:t>тость моторов нормальная, случаев отказа моторов из-за плохой приеми</w:t>
      </w:r>
      <w:r w:rsidRPr="008127F8">
        <w:rPr>
          <w:rFonts w:ascii="Times New Roman" w:hAnsi="Times New Roman"/>
          <w:color w:val="000000" w:themeColor="text1"/>
          <w:sz w:val="16"/>
          <w:szCs w:val="16"/>
        </w:rPr>
        <w:softHyphen/>
        <w:t>стости не /было.</w:t>
      </w:r>
    </w:p>
    <w:p w14:paraId="553FDAA0"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Пулеюго или осколочного попа</w:t>
      </w:r>
      <w:r w:rsidRPr="008127F8">
        <w:rPr>
          <w:rFonts w:ascii="Times New Roman" w:hAnsi="Times New Roman"/>
          <w:color w:val="000000" w:themeColor="text1"/>
          <w:sz w:val="16"/>
          <w:szCs w:val="16"/>
        </w:rPr>
        <w:softHyphen/>
        <w:t>дания в основные детали или агрега</w:t>
      </w:r>
      <w:r w:rsidRPr="008127F8">
        <w:rPr>
          <w:rFonts w:ascii="Times New Roman" w:hAnsi="Times New Roman"/>
          <w:color w:val="000000" w:themeColor="text1"/>
          <w:sz w:val="16"/>
          <w:szCs w:val="16"/>
        </w:rPr>
        <w:softHyphen/>
        <w:t>ты моторов не было, поэтому фактов, определяющих живучесть моторов при такого рода повреждениях, нет, однако зафиксированы следующие факты:</w:t>
      </w:r>
    </w:p>
    <w:p w14:paraId="0DB304FE"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25.5.42 г. на моторе №1205, во время выполнения боевого задания, была перебита масломагистраль, масло при этом вытекло и давление в мото</w:t>
      </w:r>
      <w:r w:rsidRPr="008127F8">
        <w:rPr>
          <w:rFonts w:ascii="Times New Roman" w:hAnsi="Times New Roman"/>
          <w:color w:val="000000" w:themeColor="text1"/>
          <w:sz w:val="16"/>
          <w:szCs w:val="16"/>
        </w:rPr>
        <w:softHyphen/>
        <w:t>ре упало до нуля. Летчик мл. л-т тов. Русанов перетянул через линию фронта и совершил вынужденную посадку на своей территории. Ввиду абсолютной непригодности площад</w:t>
      </w:r>
      <w:r w:rsidRPr="008127F8">
        <w:rPr>
          <w:rFonts w:ascii="Times New Roman" w:hAnsi="Times New Roman"/>
          <w:color w:val="000000" w:themeColor="text1"/>
          <w:sz w:val="16"/>
          <w:szCs w:val="16"/>
        </w:rPr>
        <w:softHyphen/>
        <w:t>ки, где была совершена посадка, и застигшей его темноты, самолет полу</w:t>
      </w:r>
      <w:r w:rsidRPr="008127F8">
        <w:rPr>
          <w:rFonts w:ascii="Times New Roman" w:hAnsi="Times New Roman"/>
          <w:color w:val="000000" w:themeColor="text1"/>
          <w:sz w:val="16"/>
          <w:szCs w:val="16"/>
        </w:rPr>
        <w:softHyphen/>
        <w:t xml:space="preserve">чил значительное повреждение. </w:t>
      </w:r>
      <w:proofErr w:type="gramStart"/>
      <w:r w:rsidRPr="008127F8">
        <w:rPr>
          <w:rFonts w:ascii="Times New Roman" w:hAnsi="Times New Roman"/>
          <w:color w:val="000000" w:themeColor="text1"/>
          <w:sz w:val="16"/>
          <w:szCs w:val="16"/>
        </w:rPr>
        <w:t>Мо</w:t>
      </w:r>
      <w:r w:rsidRPr="008127F8">
        <w:rPr>
          <w:rFonts w:ascii="Times New Roman" w:hAnsi="Times New Roman"/>
          <w:color w:val="000000" w:themeColor="text1"/>
          <w:sz w:val="16"/>
          <w:szCs w:val="16"/>
        </w:rPr>
        <w:softHyphen/>
        <w:t>тор, несмотря на то, что</w:t>
      </w:r>
      <w:proofErr w:type="gramEnd"/>
      <w:r w:rsidRPr="008127F8">
        <w:rPr>
          <w:rFonts w:ascii="Times New Roman" w:hAnsi="Times New Roman"/>
          <w:color w:val="000000" w:themeColor="text1"/>
          <w:sz w:val="16"/>
          <w:szCs w:val="16"/>
        </w:rPr>
        <w:t xml:space="preserve"> полет без дав</w:t>
      </w:r>
      <w:r w:rsidRPr="008127F8">
        <w:rPr>
          <w:rFonts w:ascii="Times New Roman" w:hAnsi="Times New Roman"/>
          <w:color w:val="000000" w:themeColor="text1"/>
          <w:sz w:val="16"/>
          <w:szCs w:val="16"/>
        </w:rPr>
        <w:softHyphen/>
        <w:t>ления масла в моторе продолжался в течение 3-4 минут, никаких призна</w:t>
      </w:r>
      <w:r w:rsidRPr="008127F8">
        <w:rPr>
          <w:rFonts w:ascii="Times New Roman" w:hAnsi="Times New Roman"/>
          <w:color w:val="000000" w:themeColor="text1"/>
          <w:sz w:val="16"/>
          <w:szCs w:val="16"/>
        </w:rPr>
        <w:softHyphen/>
        <w:t>ков внутреннего разрушения не име</w:t>
      </w:r>
      <w:r w:rsidRPr="008127F8">
        <w:rPr>
          <w:rFonts w:ascii="Times New Roman" w:hAnsi="Times New Roman"/>
          <w:color w:val="000000" w:themeColor="text1"/>
          <w:sz w:val="16"/>
          <w:szCs w:val="16"/>
        </w:rPr>
        <w:softHyphen/>
        <w:t>ет.</w:t>
      </w:r>
    </w:p>
    <w:p w14:paraId="27D34816"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30.5.42 г. мотор № 1067 был за</w:t>
      </w:r>
      <w:r w:rsidRPr="008127F8">
        <w:rPr>
          <w:rFonts w:ascii="Times New Roman" w:hAnsi="Times New Roman"/>
          <w:color w:val="000000" w:themeColor="text1"/>
          <w:sz w:val="16"/>
          <w:szCs w:val="16"/>
        </w:rPr>
        <w:softHyphen/>
        <w:t>пущен с закрытым маслокраном, и только после 2-3 минутной работы резко повысившаяся температура вы</w:t>
      </w:r>
      <w:r w:rsidRPr="008127F8">
        <w:rPr>
          <w:rFonts w:ascii="Times New Roman" w:hAnsi="Times New Roman"/>
          <w:color w:val="000000" w:themeColor="text1"/>
          <w:sz w:val="16"/>
          <w:szCs w:val="16"/>
        </w:rPr>
        <w:softHyphen/>
        <w:t xml:space="preserve">ходящего масла до 80 "С </w:t>
      </w:r>
      <w:r w:rsidRPr="008127F8">
        <w:rPr>
          <w:rFonts w:ascii="Times New Roman" w:hAnsi="Times New Roman"/>
          <w:color w:val="000000" w:themeColor="text1"/>
          <w:sz w:val="16"/>
          <w:szCs w:val="16"/>
        </w:rPr>
        <w:lastRenderedPageBreak/>
        <w:t>обратила внимание механика на отсутствие давления. После этого случая мотор наработал 21 час, а всего на 26.6.42 г. наработка равна 50 ч 50 мин.</w:t>
      </w:r>
    </w:p>
    <w:p w14:paraId="6F81363A"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10.6.42 г. на моторе №1019, ввиду отказа в работе термостата радиа</w:t>
      </w:r>
      <w:r w:rsidRPr="008127F8">
        <w:rPr>
          <w:rFonts w:ascii="Times New Roman" w:hAnsi="Times New Roman"/>
          <w:color w:val="000000" w:themeColor="text1"/>
          <w:sz w:val="16"/>
          <w:szCs w:val="16"/>
        </w:rPr>
        <w:softHyphen/>
        <w:t>тора, температура входящего масла достигла 100 °С, а выходящего - выше 130 °С (стрелка до упора), полет при этой температуре продолжался 45 минут, мотор в настоящее время ра</w:t>
      </w:r>
      <w:r w:rsidRPr="008127F8">
        <w:rPr>
          <w:rFonts w:ascii="Times New Roman" w:hAnsi="Times New Roman"/>
          <w:color w:val="000000" w:themeColor="text1"/>
          <w:sz w:val="16"/>
          <w:szCs w:val="16"/>
        </w:rPr>
        <w:softHyphen/>
        <w:t>ботает хорошо.</w:t>
      </w:r>
    </w:p>
    <w:p w14:paraId="4B0A3ECA"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приведенных фак</w:t>
      </w:r>
      <w:r w:rsidRPr="008127F8">
        <w:rPr>
          <w:rFonts w:ascii="Times New Roman" w:hAnsi="Times New Roman"/>
          <w:color w:val="000000" w:themeColor="text1"/>
          <w:sz w:val="16"/>
          <w:szCs w:val="16"/>
        </w:rPr>
        <w:softHyphen/>
        <w:t>тов можно сделать вывод, что мотор М-82 обеднение смазкой его трущихся деталей выносит достаточно надеж</w:t>
      </w:r>
      <w:r w:rsidRPr="008127F8">
        <w:rPr>
          <w:rFonts w:ascii="Times New Roman" w:hAnsi="Times New Roman"/>
          <w:color w:val="000000" w:themeColor="text1"/>
          <w:sz w:val="16"/>
          <w:szCs w:val="16"/>
        </w:rPr>
        <w:softHyphen/>
        <w:t>но. В случае повреждения маслоси-стемы, полет в течение 2-3 минут без давления масла не влечет за собой разрушения мотора».</w:t>
      </w:r>
    </w:p>
    <w:p w14:paraId="63179EA0"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Инженерно-технический состав отмечал:</w:t>
      </w:r>
    </w:p>
    <w:p w14:paraId="1C2D58C3"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Проверкой работы моторов на земле установлено, что мотор от ма</w:t>
      </w:r>
      <w:r w:rsidRPr="008127F8">
        <w:rPr>
          <w:rFonts w:ascii="Times New Roman" w:hAnsi="Times New Roman"/>
          <w:color w:val="000000" w:themeColor="text1"/>
          <w:sz w:val="16"/>
          <w:szCs w:val="16"/>
        </w:rPr>
        <w:softHyphen/>
        <w:t>лого газа до взлетного режима рабо</w:t>
      </w:r>
      <w:r w:rsidRPr="008127F8">
        <w:rPr>
          <w:rFonts w:ascii="Times New Roman" w:hAnsi="Times New Roman"/>
          <w:color w:val="000000" w:themeColor="text1"/>
          <w:sz w:val="16"/>
          <w:szCs w:val="16"/>
        </w:rPr>
        <w:softHyphen/>
        <w:t>тает устойчиво, без вибрации и тряс</w:t>
      </w:r>
      <w:r w:rsidRPr="008127F8">
        <w:rPr>
          <w:rFonts w:ascii="Times New Roman" w:hAnsi="Times New Roman"/>
          <w:color w:val="000000" w:themeColor="text1"/>
          <w:sz w:val="16"/>
          <w:szCs w:val="16"/>
        </w:rPr>
        <w:softHyphen/>
        <w:t>ки, переход с одного режима на дру</w:t>
      </w:r>
      <w:r w:rsidRPr="008127F8">
        <w:rPr>
          <w:rFonts w:ascii="Times New Roman" w:hAnsi="Times New Roman"/>
          <w:color w:val="000000" w:themeColor="text1"/>
          <w:sz w:val="16"/>
          <w:szCs w:val="16"/>
        </w:rPr>
        <w:softHyphen/>
        <w:t>гой также нормальный.</w:t>
      </w:r>
    </w:p>
    <w:p w14:paraId="12B2F541"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Механизм управления винтом и двухскоростной передачей к нагне</w:t>
      </w:r>
      <w:r w:rsidRPr="008127F8">
        <w:rPr>
          <w:rFonts w:ascii="Times New Roman" w:hAnsi="Times New Roman"/>
          <w:color w:val="000000" w:themeColor="text1"/>
          <w:sz w:val="16"/>
          <w:szCs w:val="16"/>
        </w:rPr>
        <w:softHyphen/>
        <w:t>тателю работает хорошо.</w:t>
      </w:r>
    </w:p>
    <w:p w14:paraId="76776BDE"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Карбюратор АК-82БП работал надежно, но было три случая произ</w:t>
      </w:r>
      <w:r w:rsidRPr="008127F8">
        <w:rPr>
          <w:rFonts w:ascii="Times New Roman" w:hAnsi="Times New Roman"/>
          <w:color w:val="000000" w:themeColor="text1"/>
          <w:sz w:val="16"/>
          <w:szCs w:val="16"/>
        </w:rPr>
        <w:softHyphen/>
        <w:t>вольного нарушения регулировки каче</w:t>
      </w:r>
      <w:r w:rsidRPr="008127F8">
        <w:rPr>
          <w:rFonts w:ascii="Times New Roman" w:hAnsi="Times New Roman"/>
          <w:color w:val="000000" w:themeColor="text1"/>
          <w:sz w:val="16"/>
          <w:szCs w:val="16"/>
        </w:rPr>
        <w:softHyphen/>
        <w:t>ства смеси (два случая - забедне-ние смеси, один - обогащение).</w:t>
      </w:r>
    </w:p>
    <w:p w14:paraId="5E7218C3"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Поршневая группа мотора М-82 за время эксплоатации работала хо</w:t>
      </w:r>
      <w:r w:rsidRPr="008127F8">
        <w:rPr>
          <w:rFonts w:ascii="Times New Roman" w:hAnsi="Times New Roman"/>
          <w:color w:val="000000" w:themeColor="text1"/>
          <w:sz w:val="16"/>
          <w:szCs w:val="16"/>
        </w:rPr>
        <w:softHyphen/>
        <w:t>рошо, никаких дефектов, характери</w:t>
      </w:r>
      <w:r w:rsidRPr="008127F8">
        <w:rPr>
          <w:rFonts w:ascii="Times New Roman" w:hAnsi="Times New Roman"/>
          <w:color w:val="000000" w:themeColor="text1"/>
          <w:sz w:val="16"/>
          <w:szCs w:val="16"/>
        </w:rPr>
        <w:softHyphen/>
        <w:t>зующих нарушение нормальной ра</w:t>
      </w:r>
      <w:r w:rsidRPr="008127F8">
        <w:rPr>
          <w:rFonts w:ascii="Times New Roman" w:hAnsi="Times New Roman"/>
          <w:color w:val="000000" w:themeColor="text1"/>
          <w:sz w:val="16"/>
          <w:szCs w:val="16"/>
        </w:rPr>
        <w:softHyphen/>
        <w:t>боты поршневой группы (дымление, задир поршней, износ поршневых ко</w:t>
      </w:r>
      <w:r w:rsidRPr="008127F8">
        <w:rPr>
          <w:rFonts w:ascii="Times New Roman" w:hAnsi="Times New Roman"/>
          <w:color w:val="000000" w:themeColor="text1"/>
          <w:sz w:val="16"/>
          <w:szCs w:val="16"/>
        </w:rPr>
        <w:softHyphen/>
        <w:t>лец и др.), не было...»</w:t>
      </w:r>
    </w:p>
    <w:p w14:paraId="5A2CC715"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не был бы отчетом, если бы в нем не были указаны недостатки:</w:t>
      </w:r>
    </w:p>
    <w:p w14:paraId="02DE4D18"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Основным недостатком мото</w:t>
      </w:r>
      <w:r w:rsidRPr="008127F8">
        <w:rPr>
          <w:rFonts w:ascii="Times New Roman" w:hAnsi="Times New Roman"/>
          <w:color w:val="000000" w:themeColor="text1"/>
          <w:sz w:val="16"/>
          <w:szCs w:val="16"/>
        </w:rPr>
        <w:softHyphen/>
        <w:t>ра М-82 является трудный запуск его. До температуры окружающего возду</w:t>
      </w:r>
      <w:r w:rsidRPr="008127F8">
        <w:rPr>
          <w:rFonts w:ascii="Times New Roman" w:hAnsi="Times New Roman"/>
          <w:color w:val="000000" w:themeColor="text1"/>
          <w:sz w:val="16"/>
          <w:szCs w:val="16"/>
        </w:rPr>
        <w:softHyphen/>
        <w:t>ха + 15 °С, запуск значительно затруднен. Вероятной причиной этого дефекта является несовершенство заливной системы. Заводу №19 не</w:t>
      </w:r>
      <w:r w:rsidRPr="008127F8">
        <w:rPr>
          <w:rFonts w:ascii="Times New Roman" w:hAnsi="Times New Roman"/>
          <w:color w:val="000000" w:themeColor="text1"/>
          <w:sz w:val="16"/>
          <w:szCs w:val="16"/>
        </w:rPr>
        <w:softHyphen/>
        <w:t>обходимо внести радикальные изме</w:t>
      </w:r>
      <w:r w:rsidRPr="008127F8">
        <w:rPr>
          <w:rFonts w:ascii="Times New Roman" w:hAnsi="Times New Roman"/>
          <w:color w:val="000000" w:themeColor="text1"/>
          <w:sz w:val="16"/>
          <w:szCs w:val="16"/>
        </w:rPr>
        <w:softHyphen/>
        <w:t>нения в систему запуска мотора.</w:t>
      </w:r>
    </w:p>
    <w:p w14:paraId="25404ABE"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Перебои или отказ свечей ВГ-12 после работы их от 2-х до 20 ча</w:t>
      </w:r>
      <w:r w:rsidRPr="008127F8">
        <w:rPr>
          <w:rFonts w:ascii="Times New Roman" w:hAnsi="Times New Roman"/>
          <w:color w:val="000000" w:themeColor="text1"/>
          <w:sz w:val="16"/>
          <w:szCs w:val="16"/>
        </w:rPr>
        <w:softHyphen/>
        <w:t>сов. (14 случаев). Причиной отказа является низкое качество свечей.</w:t>
      </w:r>
    </w:p>
    <w:p w14:paraId="2E801745"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Течь масла:</w:t>
      </w:r>
    </w:p>
    <w:p w14:paraId="03097E0C"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соединениях корпусов Р-7,</w:t>
      </w:r>
    </w:p>
    <w:p w14:paraId="1E354CE1"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уплотнениях кожухов тяг толка</w:t>
      </w:r>
      <w:r w:rsidRPr="008127F8">
        <w:rPr>
          <w:rFonts w:ascii="Times New Roman" w:hAnsi="Times New Roman"/>
          <w:color w:val="000000" w:themeColor="text1"/>
          <w:sz w:val="16"/>
          <w:szCs w:val="16"/>
        </w:rPr>
        <w:softHyphen/>
        <w:t>телей,</w:t>
      </w:r>
    </w:p>
    <w:p w14:paraId="7DD32842"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штуцерах маслонасоса, постав</w:t>
      </w:r>
      <w:r w:rsidRPr="008127F8">
        <w:rPr>
          <w:rFonts w:ascii="Times New Roman" w:hAnsi="Times New Roman"/>
          <w:color w:val="000000" w:themeColor="text1"/>
          <w:sz w:val="16"/>
          <w:szCs w:val="16"/>
        </w:rPr>
        <w:softHyphen/>
        <w:t>ленных на резьбе «Бриге»,</w:t>
      </w:r>
    </w:p>
    <w:p w14:paraId="28BC58A0"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 соединениях маслосборников и маслоотстойников.</w:t>
      </w:r>
    </w:p>
    <w:p w14:paraId="5CA0B449"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Причиной всех указанных мест, дающих течь масла, является недора</w:t>
      </w:r>
      <w:r w:rsidRPr="008127F8">
        <w:rPr>
          <w:rFonts w:ascii="Times New Roman" w:hAnsi="Times New Roman"/>
          <w:color w:val="000000" w:themeColor="text1"/>
          <w:sz w:val="16"/>
          <w:szCs w:val="16"/>
        </w:rPr>
        <w:softHyphen/>
        <w:t>ботка уплотнений...»</w:t>
      </w:r>
    </w:p>
    <w:p w14:paraId="1C313D46"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же заключение по войс</w:t>
      </w:r>
      <w:r w:rsidRPr="008127F8">
        <w:rPr>
          <w:rFonts w:ascii="Times New Roman" w:hAnsi="Times New Roman"/>
          <w:color w:val="000000" w:themeColor="text1"/>
          <w:sz w:val="16"/>
          <w:szCs w:val="16"/>
        </w:rPr>
        <w:softHyphen/>
        <w:t>ковым испытаниям было положитель</w:t>
      </w:r>
      <w:r w:rsidRPr="008127F8">
        <w:rPr>
          <w:rFonts w:ascii="Times New Roman" w:hAnsi="Times New Roman"/>
          <w:color w:val="000000" w:themeColor="text1"/>
          <w:sz w:val="16"/>
          <w:szCs w:val="16"/>
        </w:rPr>
        <w:softHyphen/>
        <w:t>ное:</w:t>
      </w:r>
    </w:p>
    <w:p w14:paraId="2808575C"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Моторы М-82 производства завода №19 им. Сталина испытания в боевых условиях прошли ХОРОШО.</w:t>
      </w:r>
    </w:p>
    <w:p w14:paraId="630C2F59"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Эксплоатация показала, что мо</w:t>
      </w:r>
      <w:r w:rsidRPr="008127F8">
        <w:rPr>
          <w:rFonts w:ascii="Times New Roman" w:hAnsi="Times New Roman"/>
          <w:color w:val="000000" w:themeColor="text1"/>
          <w:sz w:val="16"/>
          <w:szCs w:val="16"/>
        </w:rPr>
        <w:softHyphen/>
        <w:t>тор М-82 является одним из лучших и мощных моторов, находящихся на вооружении ВВС Красной Армии.</w:t>
      </w:r>
    </w:p>
    <w:p w14:paraId="65815BBF"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Заводу №19 необходимо в крат</w:t>
      </w:r>
      <w:r w:rsidRPr="008127F8">
        <w:rPr>
          <w:rFonts w:ascii="Times New Roman" w:hAnsi="Times New Roman"/>
          <w:color w:val="000000" w:themeColor="text1"/>
          <w:sz w:val="16"/>
          <w:szCs w:val="16"/>
        </w:rPr>
        <w:softHyphen/>
        <w:t>чайший срок устранить дефекты, ука</w:t>
      </w:r>
      <w:r w:rsidRPr="008127F8">
        <w:rPr>
          <w:rFonts w:ascii="Times New Roman" w:hAnsi="Times New Roman"/>
          <w:color w:val="000000" w:themeColor="text1"/>
          <w:sz w:val="16"/>
          <w:szCs w:val="16"/>
        </w:rPr>
        <w:softHyphen/>
        <w:t>занные в настоящем акте, особенно запуск мотора и подбор свечей» (10699).</w:t>
      </w:r>
    </w:p>
    <w:p w14:paraId="2EA9963D" w14:textId="77777777" w:rsidR="007D5E08" w:rsidRPr="008127F8" w:rsidRDefault="007D5E08" w:rsidP="007D5E0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работа мотора М-82 в воздухе впервые с начала его эксп</w:t>
      </w:r>
      <w:r w:rsidRPr="008127F8">
        <w:rPr>
          <w:rFonts w:ascii="Times New Roman" w:hAnsi="Times New Roman"/>
          <w:color w:val="000000" w:themeColor="text1"/>
          <w:sz w:val="16"/>
          <w:szCs w:val="16"/>
        </w:rPr>
        <w:softHyphen/>
        <w:t>луатации получила положительную оценку, причем фронтовых летчиков. К мнению и пожеланиям фронтовиков тогда относились внимательно. Ранее отмечавшаяся нестабильная работа карбюратора при испытани</w:t>
      </w:r>
      <w:r w:rsidRPr="008127F8">
        <w:rPr>
          <w:rFonts w:ascii="Times New Roman" w:hAnsi="Times New Roman"/>
          <w:color w:val="000000" w:themeColor="text1"/>
          <w:sz w:val="16"/>
          <w:szCs w:val="16"/>
        </w:rPr>
        <w:softHyphen/>
        <w:t>ях на Су-2 была в значительной мере «скрыта» тем, что моторы М-82 рабо</w:t>
      </w:r>
      <w:r w:rsidRPr="008127F8">
        <w:rPr>
          <w:rFonts w:ascii="Times New Roman" w:hAnsi="Times New Roman"/>
          <w:color w:val="000000" w:themeColor="text1"/>
          <w:sz w:val="16"/>
          <w:szCs w:val="16"/>
        </w:rPr>
        <w:softHyphen/>
        <w:t>тали только на 1-й скорости нагнета</w:t>
      </w:r>
      <w:r w:rsidRPr="008127F8">
        <w:rPr>
          <w:rFonts w:ascii="Times New Roman" w:hAnsi="Times New Roman"/>
          <w:color w:val="000000" w:themeColor="text1"/>
          <w:sz w:val="16"/>
          <w:szCs w:val="16"/>
        </w:rPr>
        <w:softHyphen/>
        <w:t>теля и максимальная скорость для них не являлась важнейшей характерис</w:t>
      </w:r>
      <w:r w:rsidRPr="008127F8">
        <w:rPr>
          <w:rFonts w:ascii="Times New Roman" w:hAnsi="Times New Roman"/>
          <w:color w:val="000000" w:themeColor="text1"/>
          <w:sz w:val="16"/>
          <w:szCs w:val="16"/>
        </w:rPr>
        <w:softHyphen/>
        <w:t>тикой. Особо нужно подчеркнуть уже здесь проявившееся весьма важное качество мотора: он мог надежно ра</w:t>
      </w:r>
      <w:r w:rsidRPr="008127F8">
        <w:rPr>
          <w:rFonts w:ascii="Times New Roman" w:hAnsi="Times New Roman"/>
          <w:color w:val="000000" w:themeColor="text1"/>
          <w:sz w:val="16"/>
          <w:szCs w:val="16"/>
        </w:rPr>
        <w:softHyphen/>
        <w:t>ботать при изменении качества сме</w:t>
      </w:r>
      <w:r w:rsidRPr="008127F8">
        <w:rPr>
          <w:rFonts w:ascii="Times New Roman" w:hAnsi="Times New Roman"/>
          <w:color w:val="000000" w:themeColor="text1"/>
          <w:sz w:val="16"/>
          <w:szCs w:val="16"/>
        </w:rPr>
        <w:softHyphen/>
        <w:t>си в весьма широких пределах без таких нервирующих пилотов «штучек», как перебои в работе, обрезание, пе</w:t>
      </w:r>
      <w:r w:rsidRPr="008127F8">
        <w:rPr>
          <w:rFonts w:ascii="Times New Roman" w:hAnsi="Times New Roman"/>
          <w:color w:val="000000" w:themeColor="text1"/>
          <w:sz w:val="16"/>
          <w:szCs w:val="16"/>
        </w:rPr>
        <w:softHyphen/>
        <w:t>регрев и т.п. Такие «второстепенные» параметры, как несколько пониженная мощность, дымление, увеличенный рас</w:t>
      </w:r>
      <w:r w:rsidRPr="008127F8">
        <w:rPr>
          <w:rFonts w:ascii="Times New Roman" w:hAnsi="Times New Roman"/>
          <w:color w:val="000000" w:themeColor="text1"/>
          <w:sz w:val="16"/>
          <w:szCs w:val="16"/>
        </w:rPr>
        <w:softHyphen/>
        <w:t>ход горючего, снижение ресурса -фронтовых летчиков обычно волнова</w:t>
      </w:r>
      <w:r w:rsidRPr="008127F8">
        <w:rPr>
          <w:rFonts w:ascii="Times New Roman" w:hAnsi="Times New Roman"/>
          <w:color w:val="000000" w:themeColor="text1"/>
          <w:sz w:val="16"/>
          <w:szCs w:val="16"/>
        </w:rPr>
        <w:softHyphen/>
        <w:t>ли гораздо меньше, чем их коллег из НИИ ВВС. На фронте главное, чтобы мотор был живуч в бою и работал при любых обстоятельствах, а это М-82 и продемонстрировал (10699).</w:t>
      </w:r>
    </w:p>
    <w:p w14:paraId="3AF5728F" w14:textId="77777777" w:rsidR="007D5E08" w:rsidRPr="008127F8" w:rsidRDefault="007D5E08" w:rsidP="007D5E0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EBAC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на площадке эва</w:t>
      </w:r>
      <w:r w:rsidRPr="008127F8">
        <w:rPr>
          <w:rFonts w:ascii="Times New Roman" w:hAnsi="Times New Roman"/>
          <w:color w:val="000000" w:themeColor="text1"/>
          <w:sz w:val="16"/>
          <w:szCs w:val="16"/>
        </w:rPr>
        <w:softHyphen/>
        <w:t>куированного завода № 24 был организован 45-й моторострои</w:t>
      </w:r>
      <w:r w:rsidRPr="008127F8">
        <w:rPr>
          <w:rFonts w:ascii="Times New Roman" w:hAnsi="Times New Roman"/>
          <w:color w:val="000000" w:themeColor="text1"/>
          <w:sz w:val="16"/>
          <w:szCs w:val="16"/>
        </w:rPr>
        <w:softHyphen/>
        <w:t>тельный завод для выпуска АМ-38 (11474,248).</w:t>
      </w:r>
    </w:p>
    <w:p w14:paraId="1AE0C7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5722B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1942 стали делать Ил-4 с крылом увеличенной стреловидности (561,18).</w:t>
      </w:r>
    </w:p>
    <w:p w14:paraId="45E5EDA7"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был облетан Ил-4 № 2314 с деревянным крылом «со стрелкой» (по-видимому, построенный на заводе № 23). Стреловидность передней кромки уве</w:t>
      </w:r>
      <w:r w:rsidRPr="008A2E5A">
        <w:rPr>
          <w:rFonts w:ascii="Times New Roman" w:hAnsi="Times New Roman"/>
          <w:color w:val="0070C0"/>
          <w:sz w:val="16"/>
          <w:szCs w:val="16"/>
        </w:rPr>
        <w:softHyphen/>
        <w:t>личили, задняя стала прямой, центр давления сместился отно</w:t>
      </w:r>
      <w:r w:rsidRPr="008A2E5A">
        <w:rPr>
          <w:rFonts w:ascii="Times New Roman" w:hAnsi="Times New Roman"/>
          <w:color w:val="0070C0"/>
          <w:sz w:val="16"/>
          <w:szCs w:val="16"/>
        </w:rPr>
        <w:softHyphen/>
        <w:t>сительно центра масс назад, и устойчивость улучшилась. Отно</w:t>
      </w:r>
      <w:r w:rsidRPr="008A2E5A">
        <w:rPr>
          <w:rFonts w:ascii="Times New Roman" w:hAnsi="Times New Roman"/>
          <w:color w:val="0070C0"/>
          <w:sz w:val="16"/>
          <w:szCs w:val="16"/>
        </w:rPr>
        <w:softHyphen/>
        <w:t>сительную толщину крыла увеличили, а пояса нервюр вынесли на внешнюю поверхность обшивки, что позволило увеличить емкость баков с 2750 до 3350 кг, и дальность с тонной бомб на скорости 250 км/ч выросла до 4265 км (на 800 км без подвес</w:t>
      </w:r>
      <w:r w:rsidRPr="008A2E5A">
        <w:rPr>
          <w:rFonts w:ascii="Times New Roman" w:hAnsi="Times New Roman"/>
          <w:color w:val="0070C0"/>
          <w:sz w:val="16"/>
          <w:szCs w:val="16"/>
        </w:rPr>
        <w:softHyphen/>
        <w:t>ных баков!), а на 340 км/ч — до 3535 км. Ухудшение обтекания частично компенсировали применением скоростного профиля крыла NACA-230 вместо Clark Y-15.   Экономия дюраля составила более 300 кг на машину, еще 169 кг удалось сохранить, изготовив из дерева кабину штурма</w:t>
      </w:r>
      <w:r w:rsidRPr="008A2E5A">
        <w:rPr>
          <w:rFonts w:ascii="Times New Roman" w:hAnsi="Times New Roman"/>
          <w:color w:val="0070C0"/>
          <w:sz w:val="16"/>
          <w:szCs w:val="16"/>
        </w:rPr>
        <w:softHyphen/>
        <w:t>на, пол кабины летчика и хвостовой кок фюзеляжа. Ильюшин предлагал сделать цельнодеревянный фюзеляж, с ним суммар</w:t>
      </w:r>
      <w:r w:rsidRPr="008A2E5A">
        <w:rPr>
          <w:rFonts w:ascii="Times New Roman" w:hAnsi="Times New Roman"/>
          <w:color w:val="0070C0"/>
          <w:sz w:val="16"/>
          <w:szCs w:val="16"/>
        </w:rPr>
        <w:softHyphen/>
        <w:t>ная экономия дюраля достигла бы 800 кг. Эта доработка была внедрена с 21 августа 1942 года, но вес вырос настолько, что были нужны более мощные моторы и колеса основных шасси с шинами не менее 1100х400 мм, а до их внедрения было решено усилить серийные колеса 1000х350 мм.   В декабре 1939 года на опытном ДБ-3фд с деревянным фю</w:t>
      </w:r>
      <w:r w:rsidRPr="008A2E5A">
        <w:rPr>
          <w:rFonts w:ascii="Times New Roman" w:hAnsi="Times New Roman"/>
          <w:color w:val="0070C0"/>
          <w:sz w:val="16"/>
          <w:szCs w:val="16"/>
        </w:rPr>
        <w:softHyphen/>
        <w:t>зеляжем была превышена скорость 500 км/ч, теперь же из-за роста веса и выступания «ребер» нервюр крыла самолет не шел быстрее 400 км/ч, ухудшилась и высотность, не помогли даже новые воздушные винты АВ-5Ф-158. Изготовление частей Ил-4 из дерева считалось чисто временной мерой. Хотя заводу НКАП №497 была поручена поставка деревянных агрегатов для 23-го завода, от последнего требовали срочно завершить пол</w:t>
      </w:r>
      <w:r w:rsidRPr="008A2E5A">
        <w:rPr>
          <w:rFonts w:ascii="Times New Roman" w:hAnsi="Times New Roman"/>
          <w:color w:val="0070C0"/>
          <w:sz w:val="16"/>
          <w:szCs w:val="16"/>
        </w:rPr>
        <w:softHyphen/>
        <w:t xml:space="preserve">ную подготовку производства цельнометаллических агрегатов с учетом всех требований плазово-шаблонной технологии.    </w:t>
      </w:r>
    </w:p>
    <w:p w14:paraId="20DB0B91" w14:textId="77777777" w:rsidR="007D5E08" w:rsidRPr="008A2E5A" w:rsidRDefault="007D5E08" w:rsidP="007D5E08">
      <w:pPr>
        <w:spacing w:after="0" w:line="240" w:lineRule="auto"/>
        <w:jc w:val="both"/>
        <w:rPr>
          <w:rFonts w:ascii="Times New Roman" w:hAnsi="Times New Roman"/>
          <w:color w:val="0070C0"/>
          <w:sz w:val="16"/>
          <w:szCs w:val="16"/>
        </w:rPr>
      </w:pPr>
    </w:p>
    <w:p w14:paraId="75DB74E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Название Ил-4 ввели с марта 1942. Был также введен четвертый член экипажа на нижнюю установку с </w:t>
      </w:r>
      <w:proofErr w:type="gramStart"/>
      <w:r w:rsidRPr="008127F8">
        <w:rPr>
          <w:rFonts w:ascii="Times New Roman" w:hAnsi="Times New Roman"/>
          <w:color w:val="000000" w:themeColor="text1"/>
          <w:sz w:val="16"/>
          <w:szCs w:val="16"/>
        </w:rPr>
        <w:t>УБ</w:t>
      </w:r>
      <w:proofErr w:type="gramEnd"/>
      <w:r w:rsidRPr="008127F8">
        <w:rPr>
          <w:rFonts w:ascii="Times New Roman" w:hAnsi="Times New Roman"/>
          <w:color w:val="000000" w:themeColor="text1"/>
          <w:sz w:val="16"/>
          <w:szCs w:val="16"/>
        </w:rPr>
        <w:t xml:space="preserve"> и чтобы компенсировать лишний вес - подвесные баки - на 18% по весу или на 600 км. С 1942 - появились стрелки + более толстое крыло, три бака вместо одного, позволившее увеличить запас топлива на 1135 кг (40%), а скоростную дальность - до 3535 км и, таким образом, подвесные баки больше не понадобились. Нормальный взлетный - 10055, перегруз - 12130, новые винты и большие щитки (173,151).</w:t>
      </w:r>
    </w:p>
    <w:p w14:paraId="7F21E65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9C24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Сталин.</w:t>
      </w:r>
    </w:p>
    <w:p w14:paraId="0E6E232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ГКО.</w:t>
      </w:r>
    </w:p>
    <w:p w14:paraId="3246C2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выпуске самолетов Пе-3 на заводе N 39.</w:t>
      </w:r>
    </w:p>
    <w:p w14:paraId="5F98832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постановляет:</w:t>
      </w:r>
    </w:p>
    <w:p w14:paraId="78EC22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НКАП - Шахурина и директора завода N 39 - Иосиловича выпускать на заводе N 39 в Иркутске от общего месячного плана выпуска 75% бомбардировщиков Пе-2 и 25% самолетов Пе-3.</w:t>
      </w:r>
    </w:p>
    <w:p w14:paraId="15FCC57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самолетов Пе-3 на заводе N 39 в Иркутске с существующим серийным стрелковым вооружением, т.е. два пулемета Березина вперед, один пулемет Шкас у штурмана и один пулемет Шкас в хвосте самолета - начать с 15 марта 1942 года и с 20 апреля с.г. начать выпуск самолетов Пе-3 со следующим вооружением: вперед одна пушка Швак и два пулемета Березина, у штурмана пулемет Березина и в хвосте самолета пулемет Шкас (2760,263).</w:t>
      </w:r>
    </w:p>
    <w:p w14:paraId="1D30FB6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900E5" w14:textId="77777777" w:rsidR="00F032B1" w:rsidRPr="008127F8" w:rsidRDefault="00F032B1"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марта 1942, ежемесячные поставки фронту с завода № 39 составляли свыше 100 машин. В 1942 году в конструкцию Пе-2 непрерывно вносились улучшения. Завод отработал механизм убираемого лыжного шасси, ввел бронирование места стрелка-радиста, перешел к применению экранированной турели ВУБ-1 (верхняя установка бомбардировщика) конструкции И.И. Торопова с крупнокалиберным пулеметом БТ. На двигатели были поставлены новые регуляторы Р-7 и винты АВ-5, внедрена упрощенная схема электрооборудования, проведены другие изменения (15223).</w:t>
      </w:r>
    </w:p>
    <w:p w14:paraId="6F143BA9" w14:textId="77777777" w:rsidR="00F032B1" w:rsidRPr="008127F8" w:rsidRDefault="00F032B1" w:rsidP="001E0A84">
      <w:pPr>
        <w:shd w:val="clear" w:color="auto" w:fill="FFFFFF"/>
        <w:spacing w:after="0" w:line="240" w:lineRule="auto"/>
        <w:jc w:val="both"/>
        <w:rPr>
          <w:rFonts w:ascii="Times New Roman" w:hAnsi="Times New Roman"/>
          <w:color w:val="000000" w:themeColor="text1"/>
          <w:sz w:val="16"/>
          <w:szCs w:val="16"/>
        </w:rPr>
      </w:pPr>
    </w:p>
    <w:p w14:paraId="7641C6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в Иркутске возобновили сборку Пе-3 из узлов, доставленных из Москвы, и собрали 11. Т.е. всего сделали </w:t>
      </w:r>
      <w:proofErr w:type="gramStart"/>
      <w:r w:rsidRPr="008127F8">
        <w:rPr>
          <w:rFonts w:ascii="Times New Roman" w:hAnsi="Times New Roman"/>
          <w:color w:val="000000" w:themeColor="text1"/>
          <w:sz w:val="16"/>
          <w:szCs w:val="16"/>
        </w:rPr>
        <w:t>207</w:t>
      </w:r>
      <w:proofErr w:type="gramEnd"/>
      <w:r w:rsidRPr="008127F8">
        <w:rPr>
          <w:rFonts w:ascii="Times New Roman" w:hAnsi="Times New Roman"/>
          <w:color w:val="000000" w:themeColor="text1"/>
          <w:sz w:val="16"/>
          <w:szCs w:val="16"/>
        </w:rPr>
        <w:t xml:space="preserve"> не считая опытной машины N 391606 (2475,17).</w:t>
      </w:r>
    </w:p>
    <w:p w14:paraId="5479F1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F29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 НИИ ВВС проходили контрольные испытания Пе-2 2М-105Р N 3/67 (1684,144).</w:t>
      </w:r>
    </w:p>
    <w:p w14:paraId="432C06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3421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выпуск почти удвоился - было выпущено за месяц 118 Пе-2. Такой резкий скачок был закономерен, ибо в конце марта практически закончился монтаж тяжёлого оборудования и завод входил в нормальный режим работы (5764,39).</w:t>
      </w:r>
    </w:p>
    <w:p w14:paraId="313BC8C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2FC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на заводе № 125 была введена в строй новая кузница, в апреле 1942 г. завершилось строительство 1-й очереди дополнительного корпуса сборочного цеха и был сдан в эксплуатацию гидравлический пресс с усилием 5000 т. Нехватка электроэнергии (а завод все еще питался от городской электростанции и сидел по этой причине на голодном пайке), потребовала спешного строительства своей собственной ТЭЦ.</w:t>
      </w:r>
    </w:p>
    <w:p w14:paraId="6AEA8B8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в заводском поселке были сданы 20 щитовых домов, что позволило хоть немного улучшить условия быта работников предприятия. Завод вошел в четкий ритм в июне 1942 г., когда обстановка на фронте резко обострилась.</w:t>
      </w:r>
    </w:p>
    <w:p w14:paraId="42F8BC0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налаженный ритм вмешивались изменения, вносившиеся инженерами ОКБ В.М. Петлякова в первоначальную конструкцию по результатам отзывов фронтовиков </w:t>
      </w:r>
      <w:r w:rsidRPr="008127F8">
        <w:rPr>
          <w:rFonts w:ascii="Times New Roman" w:hAnsi="Times New Roman"/>
          <w:color w:val="000000" w:themeColor="text1"/>
          <w:sz w:val="16"/>
          <w:szCs w:val="16"/>
        </w:rPr>
        <w:lastRenderedPageBreak/>
        <w:t>и анализу результатов боевого применения самолета. Первым подверглось ревизии вооружение. Четыре пулемета ШКАС не обеспечивали должного отпора немецким истребителям, которые господствовали в небе, а Пе-2 зачастую летали без сопровождения. Из строевых частей поступали жалобы на заедание оружия в подфюзеляжной установке. Срочно пришлось изменить узел подачи ленты.</w:t>
      </w:r>
    </w:p>
    <w:p w14:paraId="5B5117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базовым предприятием по выпуску Пе-2 являлся авиазавод №22 в Казани, где размещался главный конструктор В.М. Петляков, то все новшества отрабатывались сначала там, а уже затем в Иркутск приходили документы на изменения конструкции. На 13-й серии завода №22 было принято кардинальное решение - правый передний LLIKAC заменить пулеметом У Б калибра 12,7 мм. То же самое сделали с подфюзеляжной точкой. Пулемет УБ был весьма эффективным оружием с большим весом пули и высокой выходной скоростью и практически не уступал немецкой авиапушке MG FF. С 22-й серии на казанских Пе-2 стали ставить усовершенствованные моторы М-1 ОБРА. Аналогичные изменения вносились и в иркутские машины (12037).</w:t>
      </w:r>
    </w:p>
    <w:p w14:paraId="510913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E3A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один из Пе-8 переоборудовали для перевозки пассажиров и именно на нем делегации летали в Англию и США (2494,11).</w:t>
      </w:r>
    </w:p>
    <w:p w14:paraId="5C7D0AA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F8AD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один Пе-8 АМ-35А переоборудовали для перевозки до 20 летчиков в Великобританию для их использования для перегонки самолетов. Размещали в бомболюке в несколько ярусов с парашютами (434,9).</w:t>
      </w:r>
    </w:p>
    <w:p w14:paraId="234EBE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44D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после создания Авиации Дальнего Действия И.В.С. опять вспомнил о ТБ-7, теперь уже именуемом Пе-8. По воспоминаниям Незваля Сталин позвонил бывшему директору завода №124 В.А.Окулову, переведенному на тот момент в Москву (на бывший авиазавод №22, теперь именуемый авиазаводом №23 и занимающемся ремонтом поврежденной техники) и спросил, сохранилась ли оснастка на Пе-8, а если сохранилась, возможно ли выпускать по пять таких бомбардировщиков в месяц. Окулов ответил утвердительно и скоро узнал, что производство Пе-8 восстанавливается, а он вновь назначается ответственным за его строительство (12025).</w:t>
      </w:r>
    </w:p>
    <w:p w14:paraId="1D42A38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A09F6" w14:textId="77777777" w:rsidR="004F23EE" w:rsidRPr="008127F8" w:rsidRDefault="004F23EE"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ТБ-7 №42066 прибыл в первую авиаэскад</w:t>
      </w:r>
      <w:r w:rsidRPr="008127F8">
        <w:rPr>
          <w:rFonts w:ascii="Times New Roman" w:hAnsi="Times New Roman"/>
          <w:color w:val="000000" w:themeColor="text1"/>
          <w:sz w:val="16"/>
          <w:szCs w:val="16"/>
        </w:rPr>
        <w:softHyphen/>
        <w:t>рилью 746 АП ДД (авиационный полк дальне</w:t>
      </w:r>
      <w:r w:rsidRPr="008127F8">
        <w:rPr>
          <w:rFonts w:ascii="Times New Roman" w:hAnsi="Times New Roman"/>
          <w:color w:val="000000" w:themeColor="text1"/>
          <w:sz w:val="16"/>
          <w:szCs w:val="16"/>
        </w:rPr>
        <w:softHyphen/>
        <w:t>го действия). Он имел сле</w:t>
      </w:r>
      <w:r w:rsidRPr="008127F8">
        <w:rPr>
          <w:rFonts w:ascii="Times New Roman" w:hAnsi="Times New Roman"/>
          <w:color w:val="000000" w:themeColor="text1"/>
          <w:sz w:val="16"/>
          <w:szCs w:val="16"/>
        </w:rPr>
        <w:softHyphen/>
        <w:t>дующие особенности в конструкции: новые капоты мотогондол улучшенной аэродинами</w:t>
      </w:r>
      <w:r w:rsidRPr="008127F8">
        <w:rPr>
          <w:rFonts w:ascii="Times New Roman" w:hAnsi="Times New Roman"/>
          <w:color w:val="000000" w:themeColor="text1"/>
          <w:sz w:val="16"/>
          <w:szCs w:val="16"/>
        </w:rPr>
        <w:softHyphen/>
        <w:t>ки, новые коки винтов. Створки шасси были установлены облегченного типа, их внутрен</w:t>
      </w:r>
      <w:r w:rsidRPr="008127F8">
        <w:rPr>
          <w:rFonts w:ascii="Times New Roman" w:hAnsi="Times New Roman"/>
          <w:color w:val="000000" w:themeColor="text1"/>
          <w:sz w:val="16"/>
          <w:szCs w:val="16"/>
        </w:rPr>
        <w:softHyphen/>
        <w:t>няя сторона имела гофрированную обшивку, на внутренней поверхности створок в их передней части была ступенька, которая отсутствовала на створках кораблей более поздних серий. Маслорадиаторы внутренних и внешних двигателей объединили и встрои</w:t>
      </w:r>
      <w:r w:rsidRPr="008127F8">
        <w:rPr>
          <w:rFonts w:ascii="Times New Roman" w:hAnsi="Times New Roman"/>
          <w:color w:val="000000" w:themeColor="text1"/>
          <w:sz w:val="16"/>
          <w:szCs w:val="16"/>
        </w:rPr>
        <w:softHyphen/>
        <w:t>ли в единый воздушный канал мотогондол 2- го и 3-го двигателей. На машине установили систему слепой посадки «Ночь-1» (ее антен</w:t>
      </w:r>
      <w:r w:rsidRPr="008127F8">
        <w:rPr>
          <w:rFonts w:ascii="Times New Roman" w:hAnsi="Times New Roman"/>
          <w:color w:val="000000" w:themeColor="text1"/>
          <w:sz w:val="16"/>
          <w:szCs w:val="16"/>
        </w:rPr>
        <w:softHyphen/>
        <w:t>ны смонтировали на нижней части штурман</w:t>
      </w:r>
      <w:r w:rsidRPr="008127F8">
        <w:rPr>
          <w:rFonts w:ascii="Times New Roman" w:hAnsi="Times New Roman"/>
          <w:color w:val="000000" w:themeColor="text1"/>
          <w:sz w:val="16"/>
          <w:szCs w:val="16"/>
        </w:rPr>
        <w:softHyphen/>
        <w:t>ской кабины), кроме того, была выпускная антенна, установленная в нижней части носа корабля и представляющая собой восьмиде</w:t>
      </w:r>
      <w:r w:rsidRPr="008127F8">
        <w:rPr>
          <w:rFonts w:ascii="Times New Roman" w:hAnsi="Times New Roman"/>
          <w:color w:val="000000" w:themeColor="text1"/>
          <w:sz w:val="16"/>
          <w:szCs w:val="16"/>
        </w:rPr>
        <w:softHyphen/>
        <w:t>сятиметровый трос, который штурман разма</w:t>
      </w:r>
      <w:r w:rsidRPr="008127F8">
        <w:rPr>
          <w:rFonts w:ascii="Times New Roman" w:hAnsi="Times New Roman"/>
          <w:color w:val="000000" w:themeColor="text1"/>
          <w:sz w:val="16"/>
          <w:szCs w:val="16"/>
        </w:rPr>
        <w:softHyphen/>
        <w:t>тывал лебедкой во время полета. В отчете о боевой работе 45-й АД ДД (авиационная дивизия дальнего действия), куда входил и 746 АП ДД, за июль 1942 года было написано: «Необходимо более четкое построение рас</w:t>
      </w:r>
      <w:r w:rsidRPr="008127F8">
        <w:rPr>
          <w:rFonts w:ascii="Times New Roman" w:hAnsi="Times New Roman"/>
          <w:color w:val="000000" w:themeColor="text1"/>
          <w:sz w:val="16"/>
          <w:szCs w:val="16"/>
        </w:rPr>
        <w:softHyphen/>
        <w:t>средоточенного по времени и высоте боевого порядка с выделением лидера из наиболее опытных командирских экипажей. На борту корабля-лидера должна быть приводная радиостанция для наведения на цель осталь</w:t>
      </w:r>
      <w:r w:rsidRPr="008127F8">
        <w:rPr>
          <w:rFonts w:ascii="Times New Roman" w:hAnsi="Times New Roman"/>
          <w:color w:val="000000" w:themeColor="text1"/>
          <w:sz w:val="16"/>
          <w:szCs w:val="16"/>
        </w:rPr>
        <w:softHyphen/>
        <w:t>ных кораблей. На одном из кораблей дивизии (Пусэп-Штепенко) уже установлена длинно</w:t>
      </w:r>
      <w:r w:rsidRPr="008127F8">
        <w:rPr>
          <w:rFonts w:ascii="Times New Roman" w:hAnsi="Times New Roman"/>
          <w:color w:val="000000" w:themeColor="text1"/>
          <w:sz w:val="16"/>
          <w:szCs w:val="16"/>
        </w:rPr>
        <w:softHyphen/>
        <w:t xml:space="preserve">волновая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для этой цели, однако практиче</w:t>
      </w:r>
      <w:r w:rsidRPr="008127F8">
        <w:rPr>
          <w:rFonts w:ascii="Times New Roman" w:hAnsi="Times New Roman"/>
          <w:color w:val="000000" w:themeColor="text1"/>
          <w:sz w:val="16"/>
          <w:szCs w:val="16"/>
        </w:rPr>
        <w:softHyphen/>
        <w:t>ского опыта применения еще нет». К сожале</w:t>
      </w:r>
      <w:r w:rsidRPr="008127F8">
        <w:rPr>
          <w:rFonts w:ascii="Times New Roman" w:hAnsi="Times New Roman"/>
          <w:color w:val="000000" w:themeColor="text1"/>
          <w:sz w:val="16"/>
          <w:szCs w:val="16"/>
        </w:rPr>
        <w:softHyphen/>
        <w:t>нию, не известно, что из себя представля</w:t>
      </w:r>
      <w:r w:rsidRPr="008127F8">
        <w:rPr>
          <w:rFonts w:ascii="Times New Roman" w:hAnsi="Times New Roman"/>
          <w:color w:val="000000" w:themeColor="text1"/>
          <w:sz w:val="16"/>
          <w:szCs w:val="16"/>
        </w:rPr>
        <w:softHyphen/>
        <w:t>ла эта радиостанция и где располагались ее антенны на корабле. Вполне возможно, ее антенной и был тот самый 80-метровый трос. Поскольку эта антенна была только у №42066, то, возможно, ее установили специально для перелета в Англию и США. На 42066 отсут</w:t>
      </w:r>
      <w:r w:rsidRPr="008127F8">
        <w:rPr>
          <w:rFonts w:ascii="Times New Roman" w:hAnsi="Times New Roman"/>
          <w:color w:val="000000" w:themeColor="text1"/>
          <w:sz w:val="16"/>
          <w:szCs w:val="16"/>
        </w:rPr>
        <w:softHyphen/>
        <w:t>ствовали небольшие плавникообразные обтекатели на верху передних частей капотов мотогондол - они появились на более позд</w:t>
      </w:r>
      <w:r w:rsidRPr="008127F8">
        <w:rPr>
          <w:rFonts w:ascii="Times New Roman" w:hAnsi="Times New Roman"/>
          <w:color w:val="000000" w:themeColor="text1"/>
          <w:sz w:val="16"/>
          <w:szCs w:val="16"/>
        </w:rPr>
        <w:softHyphen/>
        <w:t xml:space="preserve">них сериях. В хвостовой части были входные двери по правому и левому бортам. В носовой части по левому борту сверху установлена радиомачта, а снизу </w:t>
      </w:r>
      <w:r w:rsidRPr="008127F8">
        <w:rPr>
          <w:rStyle w:val="394"/>
          <w:rFonts w:ascii="Times New Roman" w:hAnsi="Times New Roman" w:cs="Times New Roman"/>
          <w:color w:val="000000" w:themeColor="text1"/>
          <w:sz w:val="16"/>
          <w:szCs w:val="16"/>
        </w:rPr>
        <w:t xml:space="preserve">- </w:t>
      </w:r>
      <w:r w:rsidRPr="008127F8">
        <w:rPr>
          <w:rFonts w:ascii="Times New Roman" w:hAnsi="Times New Roman"/>
          <w:color w:val="000000" w:themeColor="text1"/>
          <w:sz w:val="16"/>
          <w:szCs w:val="16"/>
        </w:rPr>
        <w:t>мачта с трубками Пито, на более поздних кораблях их объединили и установили в верхней радиомачте. Носовая электрифицированная стрелковая башня НЭБ-42 была позднего типа. За сдвижной сек</w:t>
      </w:r>
      <w:r w:rsidRPr="008127F8">
        <w:rPr>
          <w:rFonts w:ascii="Times New Roman" w:hAnsi="Times New Roman"/>
          <w:color w:val="000000" w:themeColor="text1"/>
          <w:sz w:val="16"/>
          <w:szCs w:val="16"/>
        </w:rPr>
        <w:softHyphen/>
        <w:t>цией фонаря второго пилота установлено дополнительное остекление. В шассийных установках стояли крупнокалиберные пуле</w:t>
      </w:r>
      <w:r w:rsidRPr="008127F8">
        <w:rPr>
          <w:rFonts w:ascii="Times New Roman" w:hAnsi="Times New Roman"/>
          <w:color w:val="000000" w:themeColor="text1"/>
          <w:sz w:val="16"/>
          <w:szCs w:val="16"/>
        </w:rPr>
        <w:softHyphen/>
        <w:t>меты УБТ, кормовая установка КЭБ-42 воору</w:t>
      </w:r>
      <w:r w:rsidRPr="008127F8">
        <w:rPr>
          <w:rFonts w:ascii="Times New Roman" w:hAnsi="Times New Roman"/>
          <w:color w:val="000000" w:themeColor="text1"/>
          <w:sz w:val="16"/>
          <w:szCs w:val="16"/>
        </w:rPr>
        <w:softHyphen/>
        <w:t>жена пушкой ШВАК. На внешних двигателях было по пять выхлопных патрубков с каждой стороны (два кормовых патрубка объедине</w:t>
      </w:r>
      <w:r w:rsidRPr="008127F8">
        <w:rPr>
          <w:rFonts w:ascii="Times New Roman" w:hAnsi="Times New Roman"/>
          <w:color w:val="000000" w:themeColor="text1"/>
          <w:sz w:val="16"/>
          <w:szCs w:val="16"/>
        </w:rPr>
        <w:softHyphen/>
        <w:t>ны, из этого пятого сдвоенного патрубка отбирались выхлопные газы для заполнения топливных баков по мере расходования топ</w:t>
      </w:r>
      <w:r w:rsidRPr="008127F8">
        <w:rPr>
          <w:rFonts w:ascii="Times New Roman" w:hAnsi="Times New Roman"/>
          <w:color w:val="000000" w:themeColor="text1"/>
          <w:sz w:val="16"/>
          <w:szCs w:val="16"/>
        </w:rPr>
        <w:softHyphen/>
        <w:t>лива, игравшие роль инертного газа ради предотвращения взрыва паров бензина при простреле бака). На обращенных к фюзеляжу сторонах внутренних двигателей было также по пять выхлопных патрубков, но на их же внешних сторонах - по шесть. Корабль передали экипажу под командо</w:t>
      </w:r>
      <w:r w:rsidRPr="008127F8">
        <w:rPr>
          <w:rFonts w:ascii="Times New Roman" w:hAnsi="Times New Roman"/>
          <w:color w:val="000000" w:themeColor="text1"/>
          <w:sz w:val="16"/>
          <w:szCs w:val="16"/>
        </w:rPr>
        <w:softHyphen/>
        <w:t>ванием капитана Энделя Карловича Пусэпа. К сожалению, дату первого боевого вылета ТБ-7 №42066 установить не представляется возможным, так как в сохранившихся боевых донесениях полка, начиная с 8 марта 1942 года, перестали записывать номера самоле</w:t>
      </w:r>
      <w:r w:rsidRPr="008127F8">
        <w:rPr>
          <w:rFonts w:ascii="Times New Roman" w:hAnsi="Times New Roman"/>
          <w:color w:val="000000" w:themeColor="text1"/>
          <w:sz w:val="16"/>
          <w:szCs w:val="16"/>
        </w:rPr>
        <w:softHyphen/>
        <w:t>тов. И лишь иногда указывали номера, если в боевых вылетах происходили особые случаи. Журнал боевых действий, куда тщательно записывались все номера самолетов, цель бомбометания, количество сброшенных бомб, время вылета и посадки, фамилии командиров кораблей и штурманов, в полку начали заполнять только с 10 августа 1942 года. В марте 1942 года ТБ-7 №42066 мог принимать участие в семи боевых вылетах с 8 по 31 марта, так как именно в семи донесе</w:t>
      </w:r>
      <w:r w:rsidRPr="008127F8">
        <w:rPr>
          <w:rFonts w:ascii="Times New Roman" w:hAnsi="Times New Roman"/>
          <w:color w:val="000000" w:themeColor="text1"/>
          <w:sz w:val="16"/>
          <w:szCs w:val="16"/>
        </w:rPr>
        <w:softHyphen/>
        <w:t>ниях отсутствуют заводские номера кораб</w:t>
      </w:r>
      <w:r w:rsidRPr="008127F8">
        <w:rPr>
          <w:rFonts w:ascii="Times New Roman" w:hAnsi="Times New Roman"/>
          <w:color w:val="000000" w:themeColor="text1"/>
          <w:sz w:val="16"/>
          <w:szCs w:val="16"/>
        </w:rPr>
        <w:softHyphen/>
        <w:t>лей. Впервые ТБ-7 №42066 упоминается в боевом донесении №28 от 8 апреля 1942 года: «Самолет 42066 - командир корабля капитан Пусэп, штурман капитан Погожев в 19.12 7/</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-42 г. стартовал с аэродрома Раменское на бомбардирование жел. дор. узла г. Псков с задачей уничтожения желез</w:t>
      </w:r>
      <w:r w:rsidRPr="008127F8">
        <w:rPr>
          <w:rFonts w:ascii="Times New Roman" w:hAnsi="Times New Roman"/>
          <w:color w:val="000000" w:themeColor="text1"/>
          <w:sz w:val="16"/>
          <w:szCs w:val="16"/>
        </w:rPr>
        <w:softHyphen/>
        <w:t>нодорожных эшелонов и разрушения путей на ст. Пассажирской и товарная. Задание не выполнено из-за плохих метеоусловий. От НВ Завыдовский шли за облаками на высоте 5000 метров. В 21.47 по расчету времени вышли в район цели, снизившись до 1000 метров. Сплошная облачность была на высо</w:t>
      </w:r>
      <w:r w:rsidRPr="008127F8">
        <w:rPr>
          <w:rFonts w:ascii="Times New Roman" w:hAnsi="Times New Roman"/>
          <w:color w:val="000000" w:themeColor="text1"/>
          <w:sz w:val="16"/>
          <w:szCs w:val="16"/>
        </w:rPr>
        <w:softHyphen/>
        <w:t>те 800 м, у Пскова ЗА вела заградительный огонь, разрывы снарядов наблюдали на раз</w:t>
      </w:r>
      <w:r w:rsidRPr="008127F8">
        <w:rPr>
          <w:rFonts w:ascii="Times New Roman" w:hAnsi="Times New Roman"/>
          <w:color w:val="000000" w:themeColor="text1"/>
          <w:sz w:val="16"/>
          <w:szCs w:val="16"/>
        </w:rPr>
        <w:softHyphen/>
        <w:t>ных высотах до 5000 метров. Командир при</w:t>
      </w:r>
      <w:r w:rsidRPr="008127F8">
        <w:rPr>
          <w:rFonts w:ascii="Times New Roman" w:hAnsi="Times New Roman"/>
          <w:color w:val="000000" w:themeColor="text1"/>
          <w:sz w:val="16"/>
          <w:szCs w:val="16"/>
        </w:rPr>
        <w:softHyphen/>
        <w:t>нял решение идти на запасную цель. На запасную цель шли с набором высоты за облаками. В 23.37 с земли была получена погода, что в г. Вязьма сплошная облачность высотой 300-600 метров, получив такую погоду в районе Вязьма, командир корабля принял решение идти на свой аэродром. В 2 часа 16 минут после 7 часов 12 минут полета экипаж произвел посадку на своем аэродро</w:t>
      </w:r>
      <w:r w:rsidRPr="008127F8">
        <w:rPr>
          <w:rFonts w:ascii="Times New Roman" w:hAnsi="Times New Roman"/>
          <w:color w:val="000000" w:themeColor="text1"/>
          <w:sz w:val="16"/>
          <w:szCs w:val="16"/>
        </w:rPr>
        <w:softHyphen/>
        <w:t>ме с бомбами благополучно. В районе цели из-за облаков сброшено 300000 листовок. Метеоусловия: над целью сплошная облач</w:t>
      </w:r>
      <w:r w:rsidRPr="008127F8">
        <w:rPr>
          <w:rFonts w:ascii="Times New Roman" w:hAnsi="Times New Roman"/>
          <w:color w:val="000000" w:themeColor="text1"/>
          <w:sz w:val="16"/>
          <w:szCs w:val="16"/>
        </w:rPr>
        <w:softHyphen/>
        <w:t>ность, высота 800 метров, на маршруте также преимущественно облачно». В боевом доне</w:t>
      </w:r>
      <w:r w:rsidRPr="008127F8">
        <w:rPr>
          <w:rFonts w:ascii="Times New Roman" w:hAnsi="Times New Roman"/>
          <w:color w:val="000000" w:themeColor="text1"/>
          <w:sz w:val="16"/>
          <w:szCs w:val="16"/>
        </w:rPr>
        <w:softHyphen/>
        <w:t>сении №29 от 16 апреля 1942 года отмечено, что в ночь с 15.4 на 16.4.42 г. полк вылетал на бомбардирование ж.д. узла г.Витебск с зада</w:t>
      </w:r>
      <w:r w:rsidRPr="008127F8">
        <w:rPr>
          <w:rFonts w:ascii="Times New Roman" w:hAnsi="Times New Roman"/>
          <w:color w:val="000000" w:themeColor="text1"/>
          <w:sz w:val="16"/>
          <w:szCs w:val="16"/>
        </w:rPr>
        <w:softHyphen/>
        <w:t>чей уничтожения железнодорожных эшело</w:t>
      </w:r>
      <w:r w:rsidRPr="008127F8">
        <w:rPr>
          <w:rFonts w:ascii="Times New Roman" w:hAnsi="Times New Roman"/>
          <w:color w:val="000000" w:themeColor="text1"/>
          <w:sz w:val="16"/>
          <w:szCs w:val="16"/>
        </w:rPr>
        <w:softHyphen/>
        <w:t>нов и разрушения путей жел. дор. узла. В разделе состояние материальной части вылетавших на боевое задание кораблей, отмечено, что два ТБ-7 - №4218 и №42066 - требуют тщательного осмотра и ремонта моторов, следовательно, 42066 принимал участие в этом вылете (19936).</w:t>
      </w:r>
    </w:p>
    <w:p w14:paraId="46BCD17F" w14:textId="77777777" w:rsidR="004F23EE" w:rsidRPr="008127F8" w:rsidRDefault="004F23EE" w:rsidP="001E0A84">
      <w:pPr>
        <w:shd w:val="clear" w:color="auto" w:fill="FFFFFF"/>
        <w:spacing w:after="0" w:line="240" w:lineRule="auto"/>
        <w:jc w:val="both"/>
        <w:rPr>
          <w:rFonts w:ascii="Times New Roman" w:hAnsi="Times New Roman"/>
          <w:color w:val="000000" w:themeColor="text1"/>
          <w:sz w:val="16"/>
          <w:szCs w:val="16"/>
        </w:rPr>
      </w:pPr>
    </w:p>
    <w:p w14:paraId="208736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производство 103 началось в марте 1942 (61,163) как Ту-2. Первые 3 машины полетели в начале года на Калининский фронт. С.П.Королев был назначен зам. начальника цеха фюзеляжа.</w:t>
      </w:r>
    </w:p>
    <w:p w14:paraId="7E484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 в марте 103В стал Ту-2 (2348,45).</w:t>
      </w:r>
    </w:p>
    <w:p w14:paraId="36C987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6E18D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 Омске завершили сборку первых самолетов "103ВС". В том же месяце машину переименовали в Ту-2.</w:t>
      </w:r>
    </w:p>
    <w:p w14:paraId="56BC4EC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стартовали с небольшого заводского аэродрома и перелетали через Иртыш, на площадку летной школы. Там проходили заводские испытания. Облет первых бомбардировщиков проводили Я.Г. Пауль и И.И. Шелест.</w:t>
      </w:r>
    </w:p>
    <w:p w14:paraId="1127954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март - апрель выпустили пять машин 1-й серии (с заводскими номерами 100101 - 100105). Все Ту-2 омского завода имели номера подобного типа, где "100" - код типа самолета, далее номер серии (в данном случае - "1") и собственно номер машины в серии. В апреле - мае последовала 2-я серия (еще пять бомбардировщиков), а в мае - июне - 3-я (десять машин). В самолетах 1-й серии использовали часть узлов и агрегатов, сделанных еще в Москве и эвакуированных в Омск с заводом № 156, далее все изготавливалось не месте.</w:t>
      </w:r>
    </w:p>
    <w:p w14:paraId="3697260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 самолеты 1-й и 2-й серий комплектовались двигателями М-82 1-Р серии, оборудованных электроинерционными стартерами РИМ-24, позднее завод начал получать моторы с пневмосамопуском. Последние были легче и обеспечивали надежный запуск двигателей на </w:t>
      </w:r>
      <w:proofErr w:type="gramStart"/>
      <w:r w:rsidRPr="008127F8">
        <w:rPr>
          <w:rFonts w:ascii="Times New Roman" w:hAnsi="Times New Roman"/>
          <w:color w:val="000000" w:themeColor="text1"/>
          <w:sz w:val="16"/>
          <w:szCs w:val="16"/>
        </w:rPr>
        <w:t>морозе.По</w:t>
      </w:r>
      <w:proofErr w:type="gramEnd"/>
      <w:r w:rsidRPr="008127F8">
        <w:rPr>
          <w:rFonts w:ascii="Times New Roman" w:hAnsi="Times New Roman"/>
          <w:color w:val="000000" w:themeColor="text1"/>
          <w:sz w:val="16"/>
          <w:szCs w:val="16"/>
        </w:rPr>
        <w:t>-видимому, обстановка военно го времени вынудила нарушить тра диционный порядок. Головной серий ный самолет завод в НИИ ВВС не представлял. Начали сразу с войс ковых испытаний. В мае 1942 г. три лучших Ту-2 из разных серий передали НИИ ВВС. Войсковые испытания разбивались на два этапа. На первом проверялись эксплуатационные характеристики бомбардировщика; он должен был проходить на аэродроме Чкаловская под Москвой. Машины перегоняли по воздуху. Вместе с ними из Омска прибыла бригада специалистов - конструкторов и ремонтников, во главе с Д.С. Марковым. Второй этап собирались проводить на фронте, выполняя различные боевые задания (11988).</w:t>
      </w:r>
    </w:p>
    <w:p w14:paraId="5F9AB4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23C93" w14:textId="77777777" w:rsidR="004F23EE" w:rsidRPr="008127F8" w:rsidRDefault="004F23E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 марте 1942 г. в Омске завершили сборку первых самолетов «103ВС». Они стартовали с небольшого заводского аэ</w:t>
      </w:r>
      <w:r w:rsidRPr="008127F8">
        <w:rPr>
          <w:rFonts w:ascii="Times New Roman" w:hAnsi="Times New Roman"/>
          <w:color w:val="000000" w:themeColor="text1"/>
          <w:sz w:val="16"/>
          <w:szCs w:val="16"/>
          <w:lang w:eastAsia="ru-RU" w:bidi="ru-RU"/>
        </w:rPr>
        <w:softHyphen/>
        <w:t>родрома и перелетали через Иртыш, на площадку летной школы. Там проходили заводские испытания. Облет первых бом</w:t>
      </w:r>
      <w:r w:rsidRPr="008127F8">
        <w:rPr>
          <w:rFonts w:ascii="Times New Roman" w:hAnsi="Times New Roman"/>
          <w:color w:val="000000" w:themeColor="text1"/>
          <w:sz w:val="16"/>
          <w:szCs w:val="16"/>
          <w:lang w:eastAsia="ru-RU" w:bidi="ru-RU"/>
        </w:rPr>
        <w:softHyphen/>
        <w:t>бардировщиков проводили Я.Г. Пауль и И.И. Шелест.</w:t>
      </w:r>
    </w:p>
    <w:p w14:paraId="798AA8BE" w14:textId="77777777" w:rsidR="004F23EE" w:rsidRPr="008127F8" w:rsidRDefault="004F23EE"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И тут началась «чехарда». Постанов</w:t>
      </w:r>
      <w:r w:rsidRPr="008127F8">
        <w:rPr>
          <w:rFonts w:ascii="Times New Roman" w:hAnsi="Times New Roman"/>
          <w:color w:val="000000" w:themeColor="text1"/>
          <w:sz w:val="16"/>
          <w:szCs w:val="16"/>
          <w:lang w:eastAsia="ru-RU" w:bidi="ru-RU"/>
        </w:rPr>
        <w:softHyphen/>
        <w:t>ление ГКО от 16 марта 1942 г. вдруг по</w:t>
      </w:r>
      <w:r w:rsidRPr="008127F8">
        <w:rPr>
          <w:rFonts w:ascii="Times New Roman" w:hAnsi="Times New Roman"/>
          <w:color w:val="000000" w:themeColor="text1"/>
          <w:sz w:val="16"/>
          <w:szCs w:val="16"/>
          <w:lang w:eastAsia="ru-RU" w:bidi="ru-RU"/>
        </w:rPr>
        <w:softHyphen/>
        <w:t>требовало «103» с производства снять, а вместо него собирать ДБ-3Ф. Не успели опомниться от такого разворота - через шесть дней новое постановление: пре</w:t>
      </w:r>
      <w:r w:rsidRPr="008127F8">
        <w:rPr>
          <w:rFonts w:ascii="Times New Roman" w:hAnsi="Times New Roman"/>
          <w:color w:val="000000" w:themeColor="text1"/>
          <w:sz w:val="16"/>
          <w:szCs w:val="16"/>
          <w:lang w:eastAsia="ru-RU" w:bidi="ru-RU"/>
        </w:rPr>
        <w:softHyphen/>
        <w:t>дыдущее отменить, опять строить «103» с М-82, установить годовой план в 290 са</w:t>
      </w:r>
      <w:r w:rsidRPr="008127F8">
        <w:rPr>
          <w:rFonts w:ascii="Times New Roman" w:hAnsi="Times New Roman"/>
          <w:color w:val="000000" w:themeColor="text1"/>
          <w:sz w:val="16"/>
          <w:szCs w:val="16"/>
          <w:lang w:eastAsia="ru-RU" w:bidi="ru-RU"/>
        </w:rPr>
        <w:softHyphen/>
        <w:t>молетов (21061).</w:t>
      </w:r>
    </w:p>
    <w:p w14:paraId="57787CF4" w14:textId="77777777" w:rsidR="004F23EE" w:rsidRPr="008127F8" w:rsidRDefault="004F23EE" w:rsidP="001E0A84">
      <w:pPr>
        <w:spacing w:after="0" w:line="240" w:lineRule="auto"/>
        <w:jc w:val="both"/>
        <w:rPr>
          <w:rFonts w:ascii="Times New Roman" w:hAnsi="Times New Roman"/>
          <w:color w:val="000000" w:themeColor="text1"/>
          <w:sz w:val="16"/>
          <w:szCs w:val="16"/>
        </w:rPr>
      </w:pPr>
    </w:p>
    <w:p w14:paraId="4D1824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проходили гос. испытания Як-7В (1046,37).</w:t>
      </w:r>
    </w:p>
    <w:p w14:paraId="323D03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947DD"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одновремен</w:t>
      </w:r>
      <w:r w:rsidRPr="008A2E5A">
        <w:rPr>
          <w:rFonts w:ascii="Times New Roman" w:hAnsi="Times New Roman"/>
          <w:color w:val="0070C0"/>
          <w:sz w:val="16"/>
          <w:szCs w:val="16"/>
        </w:rPr>
        <w:softHyphen/>
        <w:t>но с официальной сменой наименования завершилось внедрение предложенных ОКБ А.С. Яковлева измене</w:t>
      </w:r>
      <w:r w:rsidRPr="008A2E5A">
        <w:rPr>
          <w:rFonts w:ascii="Times New Roman" w:hAnsi="Times New Roman"/>
          <w:color w:val="0070C0"/>
          <w:sz w:val="16"/>
          <w:szCs w:val="16"/>
        </w:rPr>
        <w:softHyphen/>
        <w:t>ний в серийное производство, которое происходило постепенно. До этого вре</w:t>
      </w:r>
      <w:r w:rsidRPr="008A2E5A">
        <w:rPr>
          <w:rFonts w:ascii="Times New Roman" w:hAnsi="Times New Roman"/>
          <w:color w:val="0070C0"/>
          <w:sz w:val="16"/>
          <w:szCs w:val="16"/>
        </w:rPr>
        <w:softHyphen/>
        <w:t xml:space="preserve">мени Новосибирский авиазавод заносил в формуляры и </w:t>
      </w:r>
      <w:proofErr w:type="gramStart"/>
      <w:r w:rsidRPr="008A2E5A">
        <w:rPr>
          <w:rFonts w:ascii="Times New Roman" w:hAnsi="Times New Roman"/>
          <w:color w:val="0070C0"/>
          <w:sz w:val="16"/>
          <w:szCs w:val="16"/>
        </w:rPr>
        <w:t>приемо-передаточные</w:t>
      </w:r>
      <w:proofErr w:type="gramEnd"/>
      <w:r w:rsidRPr="008A2E5A">
        <w:rPr>
          <w:rFonts w:ascii="Times New Roman" w:hAnsi="Times New Roman"/>
          <w:color w:val="0070C0"/>
          <w:sz w:val="16"/>
          <w:szCs w:val="16"/>
        </w:rPr>
        <w:t xml:space="preserve"> акты боевых машин наименова</w:t>
      </w:r>
      <w:r w:rsidRPr="008A2E5A">
        <w:rPr>
          <w:rFonts w:ascii="Times New Roman" w:hAnsi="Times New Roman"/>
          <w:color w:val="0070C0"/>
          <w:sz w:val="16"/>
          <w:szCs w:val="16"/>
        </w:rPr>
        <w:softHyphen/>
        <w:t>ния Як-3 и Як-7б, которые автоматически переносились в учетные и отчетные документы ВВС. Поэтому многие ис</w:t>
      </w:r>
      <w:r w:rsidRPr="008A2E5A">
        <w:rPr>
          <w:rFonts w:ascii="Times New Roman" w:hAnsi="Times New Roman"/>
          <w:color w:val="0070C0"/>
          <w:sz w:val="16"/>
          <w:szCs w:val="16"/>
        </w:rPr>
        <w:softHyphen/>
        <w:t xml:space="preserve">следователи считали улучшенный боевой вариант Як-7А </w:t>
      </w:r>
      <w:r w:rsidRPr="008A2E5A">
        <w:rPr>
          <w:rFonts w:ascii="Times New Roman" w:hAnsi="Times New Roman"/>
          <w:color w:val="0070C0"/>
          <w:sz w:val="16"/>
          <w:szCs w:val="16"/>
        </w:rPr>
        <w:lastRenderedPageBreak/>
        <w:t>отдельной модификацией, которой он фактически не яв</w:t>
      </w:r>
      <w:r w:rsidRPr="008A2E5A">
        <w:rPr>
          <w:rFonts w:ascii="Times New Roman" w:hAnsi="Times New Roman"/>
          <w:color w:val="0070C0"/>
          <w:sz w:val="16"/>
          <w:szCs w:val="16"/>
        </w:rPr>
        <w:softHyphen/>
        <w:t>лялся. Наименование боевого варианта Як-7П, приведен</w:t>
      </w:r>
      <w:r w:rsidRPr="008A2E5A">
        <w:rPr>
          <w:rFonts w:ascii="Times New Roman" w:hAnsi="Times New Roman"/>
          <w:color w:val="0070C0"/>
          <w:sz w:val="16"/>
          <w:szCs w:val="16"/>
        </w:rPr>
        <w:softHyphen/>
        <w:t>ное единожды в «Кратком описании конструкции самоле</w:t>
      </w:r>
      <w:r w:rsidRPr="008A2E5A">
        <w:rPr>
          <w:rFonts w:ascii="Times New Roman" w:hAnsi="Times New Roman"/>
          <w:color w:val="0070C0"/>
          <w:sz w:val="16"/>
          <w:szCs w:val="16"/>
        </w:rPr>
        <w:softHyphen/>
        <w:t>та Як-7» издания 1942 г. СКО завода №153 в г. Новосибир</w:t>
      </w:r>
      <w:r w:rsidRPr="008A2E5A">
        <w:rPr>
          <w:rFonts w:ascii="Times New Roman" w:hAnsi="Times New Roman"/>
          <w:color w:val="0070C0"/>
          <w:sz w:val="16"/>
          <w:szCs w:val="16"/>
        </w:rPr>
        <w:softHyphen/>
        <w:t>ске и напечатанном для первых боевых машин, широкого распространения не получило (23381).</w:t>
      </w:r>
    </w:p>
    <w:p w14:paraId="6876B676" w14:textId="77777777" w:rsidR="007D5E08" w:rsidRPr="008A2E5A" w:rsidRDefault="007D5E08" w:rsidP="007D5E08">
      <w:pPr>
        <w:spacing w:after="0" w:line="240" w:lineRule="auto"/>
        <w:jc w:val="both"/>
        <w:rPr>
          <w:rFonts w:ascii="Times New Roman" w:hAnsi="Times New Roman"/>
          <w:color w:val="0070C0"/>
          <w:sz w:val="16"/>
          <w:szCs w:val="16"/>
        </w:rPr>
      </w:pPr>
    </w:p>
    <w:p w14:paraId="2D42AA28"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на заводе № 153 начали выпускать Як-7А, его вариант с уси</w:t>
      </w:r>
      <w:r w:rsidRPr="008A2E5A">
        <w:rPr>
          <w:rFonts w:ascii="Times New Roman" w:hAnsi="Times New Roman"/>
          <w:color w:val="0070C0"/>
          <w:sz w:val="16"/>
          <w:szCs w:val="16"/>
        </w:rPr>
        <w:softHyphen/>
        <w:t>ленным крупнокалиберными пулеметами вооружением Як-7Б - в мае, а в августе изготовили опытную серию из 22 самолетов Як-7Т, вооруженных 37-мм мотор-пушкой.</w:t>
      </w:r>
    </w:p>
    <w:p w14:paraId="71867979"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А.С. Яковлева с момента эвакуации в Новосибирск и начала внедрения истребителей Як-7 на заводе №153 развернуло работу по улучшению конструкции самолета. Зимой 1941-1942 г. в металл и дерево воплотились проекты, начатые раз</w:t>
      </w:r>
      <w:r w:rsidRPr="008A2E5A">
        <w:rPr>
          <w:rFonts w:ascii="Times New Roman" w:hAnsi="Times New Roman"/>
          <w:color w:val="0070C0"/>
          <w:sz w:val="16"/>
          <w:szCs w:val="16"/>
        </w:rPr>
        <w:softHyphen/>
        <w:t>работкой в 1941 г: Як-7 с мотором М-82, улучшенный бо</w:t>
      </w:r>
      <w:r w:rsidRPr="008A2E5A">
        <w:rPr>
          <w:rFonts w:ascii="Times New Roman" w:hAnsi="Times New Roman"/>
          <w:color w:val="0070C0"/>
          <w:sz w:val="16"/>
          <w:szCs w:val="16"/>
        </w:rPr>
        <w:softHyphen/>
        <w:t>евой Як-7А, варианты с усиленным вооружением: Як-7Б (с пушкой ШВАК и двумя синхронными пулеметами кали</w:t>
      </w:r>
      <w:r w:rsidRPr="008A2E5A">
        <w:rPr>
          <w:rFonts w:ascii="Times New Roman" w:hAnsi="Times New Roman"/>
          <w:color w:val="0070C0"/>
          <w:sz w:val="16"/>
          <w:szCs w:val="16"/>
        </w:rPr>
        <w:softHyphen/>
        <w:t>бром 12,7 мм) и Як-7Т (с 37-мм пушкой и двумя синхрон</w:t>
      </w:r>
      <w:r w:rsidRPr="008A2E5A">
        <w:rPr>
          <w:rFonts w:ascii="Times New Roman" w:hAnsi="Times New Roman"/>
          <w:color w:val="0070C0"/>
          <w:sz w:val="16"/>
          <w:szCs w:val="16"/>
        </w:rPr>
        <w:softHyphen/>
        <w:t>ными пулеметами калибром 12,7-мм), невооруженный и с неубирающимся шасси Як-7В (23381).</w:t>
      </w:r>
    </w:p>
    <w:p w14:paraId="4EEF18F5" w14:textId="77777777" w:rsidR="007D5E08" w:rsidRPr="008A2E5A" w:rsidRDefault="007D5E08" w:rsidP="007D5E08">
      <w:pPr>
        <w:spacing w:after="0" w:line="240" w:lineRule="auto"/>
        <w:jc w:val="both"/>
        <w:rPr>
          <w:rFonts w:ascii="Times New Roman" w:hAnsi="Times New Roman"/>
          <w:color w:val="0070C0"/>
          <w:sz w:val="16"/>
          <w:szCs w:val="16"/>
        </w:rPr>
      </w:pPr>
    </w:p>
    <w:p w14:paraId="459D4E8A"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на заводе № 153 заложи</w:t>
      </w:r>
      <w:r w:rsidRPr="008A2E5A">
        <w:rPr>
          <w:rFonts w:ascii="Times New Roman" w:hAnsi="Times New Roman"/>
          <w:color w:val="0070C0"/>
          <w:sz w:val="16"/>
          <w:szCs w:val="16"/>
        </w:rPr>
        <w:softHyphen/>
        <w:t>ли опытную серию в 50 комплектов бензобаков, а с мая 1942 г. фибровые бензобаки на заводе №153 внедрили в серийное производство для установки на всех выпускае</w:t>
      </w:r>
      <w:r w:rsidRPr="008A2E5A">
        <w:rPr>
          <w:rFonts w:ascii="Times New Roman" w:hAnsi="Times New Roman"/>
          <w:color w:val="0070C0"/>
          <w:sz w:val="16"/>
          <w:szCs w:val="16"/>
        </w:rPr>
        <w:softHyphen/>
        <w:t>мых вывозных самолетах Як-7В. С июня 1942 г. такие баки стали монтировать и на всех Як-7Б. Кроме бензобаков на заводе №153 из фибры стали изготовлять чашку сиденья пилота. Благодаря применению материала-замените</w:t>
      </w:r>
      <w:r w:rsidRPr="008A2E5A">
        <w:rPr>
          <w:rFonts w:ascii="Times New Roman" w:hAnsi="Times New Roman"/>
          <w:color w:val="0070C0"/>
          <w:sz w:val="16"/>
          <w:szCs w:val="16"/>
        </w:rPr>
        <w:softHyphen/>
        <w:t>ля алюминия на самолетах Як-7 удалось сохранить цель</w:t>
      </w:r>
      <w:r w:rsidRPr="008A2E5A">
        <w:rPr>
          <w:rFonts w:ascii="Times New Roman" w:hAnsi="Times New Roman"/>
          <w:color w:val="0070C0"/>
          <w:sz w:val="16"/>
          <w:szCs w:val="16"/>
        </w:rPr>
        <w:softHyphen/>
        <w:t>нометаллическое оперение. Фибру ФЛАК в СССР выпу</w:t>
      </w:r>
      <w:r w:rsidRPr="008A2E5A">
        <w:rPr>
          <w:rFonts w:ascii="Times New Roman" w:hAnsi="Times New Roman"/>
          <w:color w:val="0070C0"/>
          <w:sz w:val="16"/>
          <w:szCs w:val="16"/>
        </w:rPr>
        <w:softHyphen/>
        <w:t>скало единственное в стране предприятие - Кинешем</w:t>
      </w:r>
      <w:r w:rsidRPr="008A2E5A">
        <w:rPr>
          <w:rFonts w:ascii="Times New Roman" w:hAnsi="Times New Roman"/>
          <w:color w:val="0070C0"/>
          <w:sz w:val="16"/>
          <w:szCs w:val="16"/>
        </w:rPr>
        <w:softHyphen/>
        <w:t>ская (Заволжская) фибровая фабрика в г.Заволжск Ива</w:t>
      </w:r>
      <w:r w:rsidRPr="008A2E5A">
        <w:rPr>
          <w:rFonts w:ascii="Times New Roman" w:hAnsi="Times New Roman"/>
          <w:color w:val="0070C0"/>
          <w:sz w:val="16"/>
          <w:szCs w:val="16"/>
        </w:rPr>
        <w:softHyphen/>
        <w:t>новской области. По мере роста производства самоле</w:t>
      </w:r>
      <w:r w:rsidRPr="008A2E5A">
        <w:rPr>
          <w:rFonts w:ascii="Times New Roman" w:hAnsi="Times New Roman"/>
          <w:color w:val="0070C0"/>
          <w:sz w:val="16"/>
          <w:szCs w:val="16"/>
        </w:rPr>
        <w:softHyphen/>
        <w:t>тов и бензобаков к ним на завод № 153 ста</w:t>
      </w:r>
      <w:r w:rsidRPr="008A2E5A">
        <w:rPr>
          <w:rFonts w:ascii="Times New Roman" w:hAnsi="Times New Roman"/>
          <w:color w:val="0070C0"/>
          <w:sz w:val="16"/>
          <w:szCs w:val="16"/>
        </w:rPr>
        <w:softHyphen/>
        <w:t>ли осуществляться дополнительные по</w:t>
      </w:r>
      <w:r w:rsidRPr="008A2E5A">
        <w:rPr>
          <w:rFonts w:ascii="Times New Roman" w:hAnsi="Times New Roman"/>
          <w:color w:val="0070C0"/>
          <w:sz w:val="16"/>
          <w:szCs w:val="16"/>
        </w:rPr>
        <w:softHyphen/>
        <w:t>ставки фибры по ленд-лизу. Поступающий из-за рубежа материал производства не</w:t>
      </w:r>
      <w:r w:rsidRPr="008A2E5A">
        <w:rPr>
          <w:rFonts w:ascii="Times New Roman" w:hAnsi="Times New Roman"/>
          <w:color w:val="0070C0"/>
          <w:sz w:val="16"/>
          <w:szCs w:val="16"/>
        </w:rPr>
        <w:softHyphen/>
        <w:t>скольких фирм, в отличие от советского, имел различные свойства и, частично, из- за повышенной жесткости не мог исполь</w:t>
      </w:r>
      <w:r w:rsidRPr="008A2E5A">
        <w:rPr>
          <w:rFonts w:ascii="Times New Roman" w:hAnsi="Times New Roman"/>
          <w:color w:val="0070C0"/>
          <w:sz w:val="16"/>
          <w:szCs w:val="16"/>
        </w:rPr>
        <w:softHyphen/>
        <w:t>зоваться для прессования баков (23381).</w:t>
      </w:r>
    </w:p>
    <w:p w14:paraId="3EDACE50" w14:textId="77777777" w:rsidR="007D5E08" w:rsidRPr="008A2E5A" w:rsidRDefault="007D5E08" w:rsidP="007D5E08">
      <w:pPr>
        <w:spacing w:after="0" w:line="240" w:lineRule="auto"/>
        <w:jc w:val="both"/>
        <w:rPr>
          <w:rFonts w:ascii="Times New Roman" w:hAnsi="Times New Roman"/>
          <w:color w:val="0070C0"/>
          <w:sz w:val="16"/>
          <w:szCs w:val="16"/>
        </w:rPr>
      </w:pPr>
    </w:p>
    <w:p w14:paraId="6B29A628"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к исследованию проблемы «недобора» скорости само</w:t>
      </w:r>
      <w:r w:rsidRPr="008A2E5A">
        <w:rPr>
          <w:rFonts w:ascii="Times New Roman" w:hAnsi="Times New Roman"/>
          <w:color w:val="0070C0"/>
          <w:sz w:val="16"/>
          <w:szCs w:val="16"/>
        </w:rPr>
        <w:softHyphen/>
        <w:t>летом Як-7 М-82 подключился Новосибир</w:t>
      </w:r>
      <w:r w:rsidRPr="008A2E5A">
        <w:rPr>
          <w:rFonts w:ascii="Times New Roman" w:hAnsi="Times New Roman"/>
          <w:color w:val="0070C0"/>
          <w:sz w:val="16"/>
          <w:szCs w:val="16"/>
        </w:rPr>
        <w:softHyphen/>
        <w:t>ский филиал ЦАГИ. Расчеты показали, что решение проблемы перегрева мотора на данном экземпляре машины невозможно. Для получе</w:t>
      </w:r>
      <w:r w:rsidRPr="008A2E5A">
        <w:rPr>
          <w:rFonts w:ascii="Times New Roman" w:hAnsi="Times New Roman"/>
          <w:color w:val="0070C0"/>
          <w:sz w:val="16"/>
          <w:szCs w:val="16"/>
        </w:rPr>
        <w:softHyphen/>
        <w:t>ния требуемых характеристик самолета следовало уста</w:t>
      </w:r>
      <w:r w:rsidRPr="008A2E5A">
        <w:rPr>
          <w:rFonts w:ascii="Times New Roman" w:hAnsi="Times New Roman"/>
          <w:color w:val="0070C0"/>
          <w:sz w:val="16"/>
          <w:szCs w:val="16"/>
        </w:rPr>
        <w:softHyphen/>
        <w:t>новить винт большего диаметра - 3,2 м (в процессе ис</w:t>
      </w:r>
      <w:r w:rsidRPr="008A2E5A">
        <w:rPr>
          <w:rFonts w:ascii="Times New Roman" w:hAnsi="Times New Roman"/>
          <w:color w:val="0070C0"/>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8A2E5A">
        <w:rPr>
          <w:rFonts w:ascii="Times New Roman" w:hAnsi="Times New Roman"/>
          <w:color w:val="0070C0"/>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37D8373B" w14:textId="77777777" w:rsidR="007D5E08" w:rsidRPr="008A2E5A" w:rsidRDefault="007D5E08" w:rsidP="007D5E08">
      <w:pPr>
        <w:spacing w:after="0" w:line="240" w:lineRule="auto"/>
        <w:jc w:val="both"/>
        <w:rPr>
          <w:rFonts w:ascii="Times New Roman" w:hAnsi="Times New Roman"/>
          <w:color w:val="0070C0"/>
          <w:sz w:val="16"/>
          <w:szCs w:val="16"/>
        </w:rPr>
      </w:pPr>
    </w:p>
    <w:p w14:paraId="7CCB9F15"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с 19-й серии Як-7 завода № 153 РО-82 сняли, чтобы не ухудшать аэроди</w:t>
      </w:r>
      <w:r w:rsidRPr="008A2E5A">
        <w:rPr>
          <w:rFonts w:ascii="Times New Roman" w:hAnsi="Times New Roman"/>
          <w:color w:val="0070C0"/>
          <w:sz w:val="16"/>
          <w:szCs w:val="16"/>
        </w:rPr>
        <w:softHyphen/>
        <w:t>намику и летные качества самолета (23381).</w:t>
      </w:r>
    </w:p>
    <w:p w14:paraId="2AA2E1DD" w14:textId="77777777" w:rsidR="007D5E08" w:rsidRPr="008A2E5A" w:rsidRDefault="007D5E08" w:rsidP="007D5E08">
      <w:pPr>
        <w:spacing w:after="0" w:line="240" w:lineRule="auto"/>
        <w:jc w:val="both"/>
        <w:rPr>
          <w:rFonts w:ascii="Times New Roman" w:hAnsi="Times New Roman"/>
          <w:color w:val="0070C0"/>
          <w:sz w:val="16"/>
          <w:szCs w:val="16"/>
        </w:rPr>
      </w:pPr>
    </w:p>
    <w:p w14:paraId="45BFB13A"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все мелкие дюралевые лючки на маши</w:t>
      </w:r>
      <w:r w:rsidRPr="008A2E5A">
        <w:rPr>
          <w:rFonts w:ascii="Times New Roman" w:hAnsi="Times New Roman"/>
          <w:color w:val="0070C0"/>
          <w:sz w:val="16"/>
          <w:szCs w:val="16"/>
        </w:rPr>
        <w:softHyphen/>
        <w:t>нах Як-7 и спинку сиденья Як-7В заменили балинитовыми, а также в опытном порядке провели замену на балинитовые зализов крыла и бортовых люков кабины. Специалисты ВИАМ продолжили в Новосибирске исследования возможности применения древес</w:t>
      </w:r>
      <w:r w:rsidRPr="008A2E5A">
        <w:rPr>
          <w:rFonts w:ascii="Times New Roman" w:hAnsi="Times New Roman"/>
          <w:color w:val="0070C0"/>
          <w:sz w:val="16"/>
          <w:szCs w:val="16"/>
        </w:rPr>
        <w:softHyphen/>
        <w:t>ных пластиков в качестве конструкционных материалов в авиационной промышленности, используя производст</w:t>
      </w:r>
      <w:r w:rsidRPr="008A2E5A">
        <w:rPr>
          <w:rFonts w:ascii="Times New Roman" w:hAnsi="Times New Roman"/>
          <w:color w:val="0070C0"/>
          <w:sz w:val="16"/>
          <w:szCs w:val="16"/>
        </w:rPr>
        <w:softHyphen/>
        <w:t>венную базу завода №153 для внедрения отработанных до войны дельта-древесины и листовых материалов (23381).</w:t>
      </w:r>
    </w:p>
    <w:p w14:paraId="65FEE505" w14:textId="77777777" w:rsidR="007D5E08" w:rsidRPr="008A2E5A" w:rsidRDefault="007D5E08" w:rsidP="007D5E08">
      <w:pPr>
        <w:spacing w:after="0" w:line="240" w:lineRule="auto"/>
        <w:jc w:val="both"/>
        <w:rPr>
          <w:rFonts w:ascii="Times New Roman" w:hAnsi="Times New Roman"/>
          <w:color w:val="0070C0"/>
          <w:sz w:val="16"/>
          <w:szCs w:val="16"/>
        </w:rPr>
      </w:pPr>
    </w:p>
    <w:p w14:paraId="7EA4E0AE"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для Як-7 с задержкой из-за эвакуации и процесса внедрения на заводе №153, с 19-й серии ввели ограниченный форсажный взлетный режим с ручным управлением от рычага в каби</w:t>
      </w:r>
      <w:r w:rsidRPr="008A2E5A">
        <w:rPr>
          <w:rFonts w:ascii="Times New Roman" w:hAnsi="Times New Roman"/>
          <w:color w:val="0070C0"/>
          <w:sz w:val="16"/>
          <w:szCs w:val="16"/>
        </w:rPr>
        <w:softHyphen/>
        <w:t>не летчика.</w:t>
      </w:r>
    </w:p>
    <w:p w14:paraId="164C7AAF"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Повышенная мощность на высотах не более 200 м и на время не боль</w:t>
      </w:r>
      <w:r w:rsidRPr="008A2E5A">
        <w:rPr>
          <w:rFonts w:ascii="Times New Roman" w:hAnsi="Times New Roman"/>
          <w:color w:val="0070C0"/>
          <w:sz w:val="16"/>
          <w:szCs w:val="16"/>
        </w:rPr>
        <w:softHyphen/>
        <w:t>ше пяти минут снималась с мотора за счет кратковремен</w:t>
      </w:r>
      <w:r w:rsidRPr="008A2E5A">
        <w:rPr>
          <w:rFonts w:ascii="Times New Roman" w:hAnsi="Times New Roman"/>
          <w:color w:val="0070C0"/>
          <w:sz w:val="16"/>
          <w:szCs w:val="16"/>
        </w:rPr>
        <w:softHyphen/>
        <w:t>ного увеличения наддува с 910 до 950 мм рт.ст., достигав</w:t>
      </w:r>
      <w:r w:rsidRPr="008A2E5A">
        <w:rPr>
          <w:rFonts w:ascii="Times New Roman" w:hAnsi="Times New Roman"/>
          <w:color w:val="0070C0"/>
          <w:sz w:val="16"/>
          <w:szCs w:val="16"/>
        </w:rPr>
        <w:softHyphen/>
        <w:t>шегося принудительным открытием заслонки нагнетате</w:t>
      </w:r>
      <w:r w:rsidRPr="008A2E5A">
        <w:rPr>
          <w:rFonts w:ascii="Times New Roman" w:hAnsi="Times New Roman"/>
          <w:color w:val="0070C0"/>
          <w:sz w:val="16"/>
          <w:szCs w:val="16"/>
        </w:rPr>
        <w:softHyphen/>
        <w:t>ля мотора летчиком (23381).</w:t>
      </w:r>
    </w:p>
    <w:p w14:paraId="0F0B4EA3"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Форсирование мотора по наддуву существенным обра</w:t>
      </w:r>
      <w:r w:rsidRPr="008A2E5A">
        <w:rPr>
          <w:rFonts w:ascii="Times New Roman" w:hAnsi="Times New Roman"/>
          <w:color w:val="0070C0"/>
          <w:sz w:val="16"/>
          <w:szCs w:val="16"/>
        </w:rPr>
        <w:softHyphen/>
        <w:t>зом снижало его высотность, но диапазон боевых высот, используемых истребительной авиацией ВВС КА для ре</w:t>
      </w:r>
      <w:r w:rsidRPr="008A2E5A">
        <w:rPr>
          <w:rFonts w:ascii="Times New Roman" w:hAnsi="Times New Roman"/>
          <w:color w:val="0070C0"/>
          <w:sz w:val="16"/>
          <w:szCs w:val="16"/>
        </w:rPr>
        <w:softHyphen/>
        <w:t>шения своих задач (по фронтовому опыту), располагался ниже 4000 м, поэтому характеристикой высотности мо</w:t>
      </w:r>
      <w:r w:rsidRPr="008A2E5A">
        <w:rPr>
          <w:rFonts w:ascii="Times New Roman" w:hAnsi="Times New Roman"/>
          <w:color w:val="0070C0"/>
          <w:sz w:val="16"/>
          <w:szCs w:val="16"/>
        </w:rPr>
        <w:softHyphen/>
        <w:t>тора М-105П решили пренебречь. 13 марта 1942 г. ГКО своим постановлением №1435сс (дублирующий приказ НКАП №214сс от 16 марта 1942 г.) «с целью повышения боеспособности советских серийных истребителей без существенных изменений в серийном производстве и в кратчайший срок» предложил КБ Климова форсировать мощность мотора М-105ПА путем увеличения давления наддува с 930 до 1050 мм рт.ст. При этом ставилась за</w:t>
      </w:r>
      <w:r w:rsidRPr="008A2E5A">
        <w:rPr>
          <w:rFonts w:ascii="Times New Roman" w:hAnsi="Times New Roman"/>
          <w:color w:val="0070C0"/>
          <w:sz w:val="16"/>
          <w:szCs w:val="16"/>
        </w:rPr>
        <w:softHyphen/>
        <w:t>дача получить номинальную мощность у земли 1180-1200 л.с., на высоте 800 м - 1210 л.с., а на высоте 2800 м - 1150 л.с. и подготовить серийный выпуск мотора к 1 апреля 1942 г. В перечне необходимых мероприятий предписы</w:t>
      </w:r>
      <w:r w:rsidRPr="008A2E5A">
        <w:rPr>
          <w:rFonts w:ascii="Times New Roman" w:hAnsi="Times New Roman"/>
          <w:color w:val="0070C0"/>
          <w:sz w:val="16"/>
          <w:szCs w:val="16"/>
        </w:rPr>
        <w:softHyphen/>
        <w:t>валось:</w:t>
      </w:r>
    </w:p>
    <w:p w14:paraId="3FD48C7F"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директору завода №153, начальнику ЛИИ Н</w:t>
      </w:r>
      <w:proofErr w:type="gramStart"/>
      <w:r w:rsidRPr="008A2E5A">
        <w:rPr>
          <w:rFonts w:ascii="Times New Roman" w:hAnsi="Times New Roman"/>
          <w:color w:val="0070C0"/>
          <w:sz w:val="16"/>
          <w:szCs w:val="16"/>
        </w:rPr>
        <w:t>'.АП</w:t>
      </w:r>
      <w:proofErr w:type="gramEnd"/>
      <w:r w:rsidRPr="008A2E5A">
        <w:rPr>
          <w:rFonts w:ascii="Times New Roman" w:hAnsi="Times New Roman"/>
          <w:color w:val="0070C0"/>
          <w:sz w:val="16"/>
          <w:szCs w:val="16"/>
        </w:rPr>
        <w:t xml:space="preserve"> А.В. Чесалову совместно с НИИ ВВС к 25 марта 1942 г. провес</w:t>
      </w:r>
      <w:r w:rsidRPr="008A2E5A">
        <w:rPr>
          <w:rFonts w:ascii="Times New Roman" w:hAnsi="Times New Roman"/>
          <w:color w:val="0070C0"/>
          <w:sz w:val="16"/>
          <w:szCs w:val="16"/>
        </w:rPr>
        <w:softHyphen/>
        <w:t>ти летные испытания Як-7 с этим мотором;</w:t>
      </w:r>
    </w:p>
    <w:p w14:paraId="581EB056"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директору завода №26 и заместителю наркома В.П. Баландину к 1 апреля 1942 г. провести 100-часовые стендовые испытания;</w:t>
      </w:r>
    </w:p>
    <w:p w14:paraId="2C5FC908"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 пятидневный срок перевести один из полков Як-1 на пробную эксплуатацию М-105П, приспособленных для работы на повышенном давлении наддува (23381).</w:t>
      </w:r>
    </w:p>
    <w:p w14:paraId="71B0000F" w14:textId="77777777" w:rsidR="007D5E08" w:rsidRPr="008A2E5A" w:rsidRDefault="007D5E08" w:rsidP="007D5E08">
      <w:pPr>
        <w:spacing w:after="0" w:line="240" w:lineRule="auto"/>
        <w:jc w:val="both"/>
        <w:rPr>
          <w:rFonts w:ascii="Times New Roman" w:hAnsi="Times New Roman"/>
          <w:color w:val="0070C0"/>
          <w:sz w:val="16"/>
          <w:szCs w:val="16"/>
        </w:rPr>
      </w:pPr>
    </w:p>
    <w:p w14:paraId="07FF3C95"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по приказу наркома авиапро</w:t>
      </w:r>
      <w:r w:rsidRPr="008A2E5A">
        <w:rPr>
          <w:rFonts w:ascii="Times New Roman" w:hAnsi="Times New Roman"/>
          <w:color w:val="0070C0"/>
          <w:sz w:val="16"/>
          <w:szCs w:val="16"/>
        </w:rPr>
        <w:softHyphen/>
        <w:t>мышленности А.И. Шахурина и главного инженера ВВС КА генерал-лейтенанта авиации И.Ф. Петрова на эталонных Як-7А №1411 и Як-7Б №1413, находивших</w:t>
      </w:r>
      <w:r w:rsidRPr="008A2E5A">
        <w:rPr>
          <w:rFonts w:ascii="Times New Roman" w:hAnsi="Times New Roman"/>
          <w:color w:val="0070C0"/>
          <w:sz w:val="16"/>
          <w:szCs w:val="16"/>
        </w:rPr>
        <w:softHyphen/>
        <w:t xml:space="preserve">ся на заводе № 153, начали испытания мотора М-105П </w:t>
      </w:r>
      <w:bookmarkStart w:id="21" w:name="_Hlk121067652"/>
      <w:r w:rsidRPr="008A2E5A">
        <w:rPr>
          <w:rFonts w:ascii="Times New Roman" w:hAnsi="Times New Roman"/>
          <w:color w:val="0070C0"/>
          <w:sz w:val="16"/>
          <w:szCs w:val="16"/>
        </w:rPr>
        <w:t>с повышенным с 910 до 1050 мм рт.ст. наддувом</w:t>
      </w:r>
      <w:bookmarkEnd w:id="21"/>
      <w:r w:rsidRPr="008A2E5A">
        <w:rPr>
          <w:rFonts w:ascii="Times New Roman" w:hAnsi="Times New Roman"/>
          <w:color w:val="0070C0"/>
          <w:sz w:val="16"/>
          <w:szCs w:val="16"/>
        </w:rPr>
        <w:t>. Полеты на Як-7Б выполнял летчик ОКБ заво</w:t>
      </w:r>
      <w:r w:rsidRPr="008A2E5A">
        <w:rPr>
          <w:rFonts w:ascii="Times New Roman" w:hAnsi="Times New Roman"/>
          <w:color w:val="0070C0"/>
          <w:sz w:val="16"/>
          <w:szCs w:val="16"/>
        </w:rPr>
        <w:softHyphen/>
        <w:t>да №115 военинженер 1 ранга П.И. Федрови, а на Як-7А - летчик-испытатель ЛИИ НКАП Н.С. Рыбко, ведущий инже</w:t>
      </w:r>
      <w:r w:rsidRPr="008A2E5A">
        <w:rPr>
          <w:rFonts w:ascii="Times New Roman" w:hAnsi="Times New Roman"/>
          <w:color w:val="0070C0"/>
          <w:sz w:val="16"/>
          <w:szCs w:val="16"/>
        </w:rPr>
        <w:softHyphen/>
        <w:t>нер испытаний - П.С. Лимар. Увеличение наддува на Як- 7Б осуществлялось соответствующей настройкой регуля</w:t>
      </w:r>
      <w:r w:rsidRPr="008A2E5A">
        <w:rPr>
          <w:rFonts w:ascii="Times New Roman" w:hAnsi="Times New Roman"/>
          <w:color w:val="0070C0"/>
          <w:sz w:val="16"/>
          <w:szCs w:val="16"/>
        </w:rPr>
        <w:softHyphen/>
        <w:t>тора постоянного давления (РПД) нагнетателя мотора на наддув у земли 1020 мм рт.ст. Во втором полете на мото</w:t>
      </w:r>
      <w:r w:rsidRPr="008A2E5A">
        <w:rPr>
          <w:rFonts w:ascii="Times New Roman" w:hAnsi="Times New Roman"/>
          <w:color w:val="0070C0"/>
          <w:sz w:val="16"/>
          <w:szCs w:val="16"/>
        </w:rPr>
        <w:softHyphen/>
        <w:t>ре произошло разрушение подшипников (из общей нара</w:t>
      </w:r>
      <w:r w:rsidRPr="008A2E5A">
        <w:rPr>
          <w:rFonts w:ascii="Times New Roman" w:hAnsi="Times New Roman"/>
          <w:color w:val="0070C0"/>
          <w:sz w:val="16"/>
          <w:szCs w:val="16"/>
        </w:rPr>
        <w:softHyphen/>
        <w:t>ботки в 29 часов 15 минут на повышенном наддуве и пол</w:t>
      </w:r>
      <w:r w:rsidRPr="008A2E5A">
        <w:rPr>
          <w:rFonts w:ascii="Times New Roman" w:hAnsi="Times New Roman"/>
          <w:color w:val="0070C0"/>
          <w:sz w:val="16"/>
          <w:szCs w:val="16"/>
        </w:rPr>
        <w:softHyphen/>
        <w:t>ных оборотах мотор проработал всего 25 минут). После замены мотора максимальные скорости Як-7Б №1413 с нормальным наддувом 910 мм рт.ст. оказались ниже на 10 км/ч, чем аналогичные у Як-7А №1411. По указанию А.С. Яковлева дальнейшие испытания продолжили на машине №1411, приняв необходимые меры предосторожности. Управление заслонкой нагнетателя производили вручную из кабины, и форсированный режим использовали не бо</w:t>
      </w:r>
      <w:r w:rsidRPr="008A2E5A">
        <w:rPr>
          <w:rFonts w:ascii="Times New Roman" w:hAnsi="Times New Roman"/>
          <w:color w:val="0070C0"/>
          <w:sz w:val="16"/>
          <w:szCs w:val="16"/>
        </w:rPr>
        <w:softHyphen/>
        <w:t>лее восьми минут. Дополнительно давление в маслосистеме на земле отрегулировали на величину 7 атмосфер, а перед каждым полетом заменяли масло в маслосистеме новым и не регенерированным. Максимальные скорости по высотам снимали вначале при оборотах мотора 2500, а затем - 2700 об/мин. Ожидаемый эффект получить уда</w:t>
      </w:r>
      <w:r w:rsidRPr="008A2E5A">
        <w:rPr>
          <w:rFonts w:ascii="Times New Roman" w:hAnsi="Times New Roman"/>
          <w:color w:val="0070C0"/>
          <w:sz w:val="16"/>
          <w:szCs w:val="16"/>
        </w:rPr>
        <w:softHyphen/>
        <w:t>лось. При наддуве 1050 мм рт.ст. и оборотах мотора 2700 об/мин граница максимальных скоростей на высотах до 2000 м сдвинулась в сторону увеличения на 23 км/ч. Выше 2000 м с увеличением высоты полета разница ста</w:t>
      </w:r>
      <w:r w:rsidRPr="008A2E5A">
        <w:rPr>
          <w:rFonts w:ascii="Times New Roman" w:hAnsi="Times New Roman"/>
          <w:color w:val="0070C0"/>
          <w:sz w:val="16"/>
          <w:szCs w:val="16"/>
        </w:rPr>
        <w:softHyphen/>
        <w:t>новилась меньше. Ко второй границе высотности (4950 м для наддува 940 мм рт.ст. и 4300 м для наддува 1055 мм рт.ст.) максимальные скорости Як-7А №1411 с моторами М-105П и М-105ПФ выравнивались по абсолютному зна</w:t>
      </w:r>
      <w:r w:rsidRPr="008A2E5A">
        <w:rPr>
          <w:rFonts w:ascii="Times New Roman" w:hAnsi="Times New Roman"/>
          <w:color w:val="0070C0"/>
          <w:sz w:val="16"/>
          <w:szCs w:val="16"/>
        </w:rPr>
        <w:softHyphen/>
        <w:t>чению (570-571 км/ч), но положительная разница скоро</w:t>
      </w:r>
      <w:r w:rsidRPr="008A2E5A">
        <w:rPr>
          <w:rFonts w:ascii="Times New Roman" w:hAnsi="Times New Roman"/>
          <w:color w:val="0070C0"/>
          <w:sz w:val="16"/>
          <w:szCs w:val="16"/>
        </w:rPr>
        <w:softHyphen/>
        <w:t>стей в пользу машины с форсированным мотором на вы</w:t>
      </w:r>
      <w:r w:rsidRPr="008A2E5A">
        <w:rPr>
          <w:rFonts w:ascii="Times New Roman" w:hAnsi="Times New Roman"/>
          <w:color w:val="0070C0"/>
          <w:sz w:val="16"/>
          <w:szCs w:val="16"/>
        </w:rPr>
        <w:softHyphen/>
        <w:t>соте 4300 м составляла 15 км/ч и, уменьшаясь, сохраня</w:t>
      </w:r>
      <w:r w:rsidRPr="008A2E5A">
        <w:rPr>
          <w:rFonts w:ascii="Times New Roman" w:hAnsi="Times New Roman"/>
          <w:color w:val="0070C0"/>
          <w:sz w:val="16"/>
          <w:szCs w:val="16"/>
        </w:rPr>
        <w:softHyphen/>
        <w:t>лась до высоты 4950 м.</w:t>
      </w:r>
    </w:p>
    <w:p w14:paraId="65C3E0CA"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сравнению с результатами, полученными на Як-7Б №1413, машина Як-7А не добирала 7-8 км/ч скорости из-за установленных воздухозаборников нагнетателя се</w:t>
      </w:r>
      <w:r w:rsidRPr="008A2E5A">
        <w:rPr>
          <w:rFonts w:ascii="Times New Roman" w:hAnsi="Times New Roman"/>
          <w:color w:val="0070C0"/>
          <w:sz w:val="16"/>
          <w:szCs w:val="16"/>
        </w:rPr>
        <w:softHyphen/>
        <w:t>рийной конструкции. После установки измененных, ана</w:t>
      </w:r>
      <w:r w:rsidRPr="008A2E5A">
        <w:rPr>
          <w:rFonts w:ascii="Times New Roman" w:hAnsi="Times New Roman"/>
          <w:color w:val="0070C0"/>
          <w:sz w:val="16"/>
          <w:szCs w:val="16"/>
        </w:rPr>
        <w:softHyphen/>
        <w:t>логичных Як-7Б испытания продолжили, но из-за ненор</w:t>
      </w:r>
      <w:r w:rsidRPr="008A2E5A">
        <w:rPr>
          <w:rFonts w:ascii="Times New Roman" w:hAnsi="Times New Roman"/>
          <w:color w:val="0070C0"/>
          <w:sz w:val="16"/>
          <w:szCs w:val="16"/>
        </w:rPr>
        <w:softHyphen/>
        <w:t>мальной работы мотора их пришлось прервать, а затем и прекратить (испытывая недостаток моторов для про</w:t>
      </w:r>
      <w:r w:rsidRPr="008A2E5A">
        <w:rPr>
          <w:rFonts w:ascii="Times New Roman" w:hAnsi="Times New Roman"/>
          <w:color w:val="0070C0"/>
          <w:sz w:val="16"/>
          <w:szCs w:val="16"/>
        </w:rPr>
        <w:softHyphen/>
        <w:t>граммы серийного выпуска, завод №153 не смог выде</w:t>
      </w:r>
      <w:r w:rsidRPr="008A2E5A">
        <w:rPr>
          <w:rFonts w:ascii="Times New Roman" w:hAnsi="Times New Roman"/>
          <w:color w:val="0070C0"/>
          <w:sz w:val="16"/>
          <w:szCs w:val="16"/>
        </w:rPr>
        <w:softHyphen/>
        <w:t>лить даже один для продолжения испытаний). Всего обе машины выполнили 9 полетов с налетом: 7 часов 45 ми</w:t>
      </w:r>
      <w:r w:rsidRPr="008A2E5A">
        <w:rPr>
          <w:rFonts w:ascii="Times New Roman" w:hAnsi="Times New Roman"/>
          <w:color w:val="0070C0"/>
          <w:sz w:val="16"/>
          <w:szCs w:val="16"/>
        </w:rPr>
        <w:softHyphen/>
        <w:t>нут. Отчет, утвержденный 29 марта 1942 г., рекомендовал в кратчайшие сроки обеспечить возможность длитель</w:t>
      </w:r>
      <w:r w:rsidRPr="008A2E5A">
        <w:rPr>
          <w:rFonts w:ascii="Times New Roman" w:hAnsi="Times New Roman"/>
          <w:color w:val="0070C0"/>
          <w:sz w:val="16"/>
          <w:szCs w:val="16"/>
        </w:rPr>
        <w:softHyphen/>
        <w:t>ной эксплуатации вновь выпускаемых моторов М-105П на повышенном наддуве для доведения летных данных се</w:t>
      </w:r>
      <w:r w:rsidRPr="008A2E5A">
        <w:rPr>
          <w:rFonts w:ascii="Times New Roman" w:hAnsi="Times New Roman"/>
          <w:color w:val="0070C0"/>
          <w:sz w:val="16"/>
          <w:szCs w:val="16"/>
        </w:rPr>
        <w:softHyphen/>
        <w:t>рийных самолетов Як до летных данных самолета Як-7Б №1413 (23381).</w:t>
      </w:r>
    </w:p>
    <w:p w14:paraId="26939C39" w14:textId="77777777" w:rsidR="007D5E08" w:rsidRPr="008A2E5A" w:rsidRDefault="007D5E08" w:rsidP="007D5E08">
      <w:pPr>
        <w:spacing w:after="0" w:line="240" w:lineRule="auto"/>
        <w:jc w:val="both"/>
        <w:rPr>
          <w:rFonts w:ascii="Times New Roman" w:hAnsi="Times New Roman"/>
          <w:color w:val="0070C0"/>
          <w:sz w:val="16"/>
          <w:szCs w:val="16"/>
        </w:rPr>
      </w:pPr>
    </w:p>
    <w:p w14:paraId="07DCED55"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под руководством ведущего конструк</w:t>
      </w:r>
      <w:r w:rsidRPr="008A2E5A">
        <w:rPr>
          <w:rFonts w:ascii="Times New Roman" w:hAnsi="Times New Roman"/>
          <w:color w:val="0070C0"/>
          <w:sz w:val="16"/>
          <w:szCs w:val="16"/>
        </w:rPr>
        <w:softHyphen/>
        <w:t>тора машины Н.К. Скржинского начали проектирование машины, получившей наименование Як-7Д (дальний) - Як-7 в варианте ско</w:t>
      </w:r>
      <w:r w:rsidRPr="008A2E5A">
        <w:rPr>
          <w:rFonts w:ascii="Times New Roman" w:hAnsi="Times New Roman"/>
          <w:color w:val="0070C0"/>
          <w:sz w:val="16"/>
          <w:szCs w:val="16"/>
        </w:rPr>
        <w:softHyphen/>
        <w:t>ростного разведчика с дальностью полета 1300 км на ско</w:t>
      </w:r>
      <w:r w:rsidRPr="008A2E5A">
        <w:rPr>
          <w:rFonts w:ascii="Times New Roman" w:hAnsi="Times New Roman"/>
          <w:color w:val="0070C0"/>
          <w:sz w:val="16"/>
          <w:szCs w:val="16"/>
        </w:rPr>
        <w:softHyphen/>
        <w:t>рости, равной 0,9 от максимальной. К изготовлению приступили в апреле и полностью закончили к 3 июня 1942 г. Предложено модифи</w:t>
      </w:r>
      <w:r w:rsidRPr="008A2E5A">
        <w:rPr>
          <w:rFonts w:ascii="Times New Roman" w:hAnsi="Times New Roman"/>
          <w:color w:val="0070C0"/>
          <w:sz w:val="16"/>
          <w:szCs w:val="16"/>
        </w:rPr>
        <w:softHyphen/>
        <w:t>цировать одноместный истребитель в такую машину поступило от ОКБ А.С. Яковлева при рассмотрении плана строительства опытных само</w:t>
      </w:r>
      <w:r w:rsidRPr="008A2E5A">
        <w:rPr>
          <w:rFonts w:ascii="Times New Roman" w:hAnsi="Times New Roman"/>
          <w:color w:val="0070C0"/>
          <w:sz w:val="16"/>
          <w:szCs w:val="16"/>
        </w:rPr>
        <w:softHyphen/>
        <w:t>летов на 1942 г. в Наркомате авиационной промышленно</w:t>
      </w:r>
      <w:r w:rsidRPr="008A2E5A">
        <w:rPr>
          <w:rFonts w:ascii="Times New Roman" w:hAnsi="Times New Roman"/>
          <w:color w:val="0070C0"/>
          <w:sz w:val="16"/>
          <w:szCs w:val="16"/>
        </w:rPr>
        <w:softHyphen/>
        <w:t>сти СССР.</w:t>
      </w:r>
    </w:p>
    <w:p w14:paraId="41899951"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модификации в соответствии с заданной специ</w:t>
      </w:r>
      <w:r w:rsidRPr="008A2E5A">
        <w:rPr>
          <w:rFonts w:ascii="Times New Roman" w:hAnsi="Times New Roman"/>
          <w:color w:val="0070C0"/>
          <w:sz w:val="16"/>
          <w:szCs w:val="16"/>
        </w:rPr>
        <w:softHyphen/>
        <w:t>ализацией самолета больше всего подходил фюзеляж учебного Як-7В серийного выпуска, к которому присты</w:t>
      </w:r>
      <w:r w:rsidRPr="008A2E5A">
        <w:rPr>
          <w:rFonts w:ascii="Times New Roman" w:hAnsi="Times New Roman"/>
          <w:color w:val="0070C0"/>
          <w:sz w:val="16"/>
          <w:szCs w:val="16"/>
        </w:rPr>
        <w:softHyphen/>
        <w:t>ковали крыло, изготовленное филиалом завода №115 в Новосибирске. Исходная конструкция фюзеляжа под</w:t>
      </w:r>
      <w:r w:rsidRPr="008A2E5A">
        <w:rPr>
          <w:rFonts w:ascii="Times New Roman" w:hAnsi="Times New Roman"/>
          <w:color w:val="0070C0"/>
          <w:sz w:val="16"/>
          <w:szCs w:val="16"/>
        </w:rPr>
        <w:softHyphen/>
        <w:t>верглась незначительным изменениям. Для обеспече</w:t>
      </w:r>
      <w:r w:rsidRPr="008A2E5A">
        <w:rPr>
          <w:rFonts w:ascii="Times New Roman" w:hAnsi="Times New Roman"/>
          <w:color w:val="0070C0"/>
          <w:sz w:val="16"/>
          <w:szCs w:val="16"/>
        </w:rPr>
        <w:softHyphen/>
        <w:t>ния длительной работы мотора при полетах на предель</w:t>
      </w:r>
      <w:r w:rsidRPr="008A2E5A">
        <w:rPr>
          <w:rFonts w:ascii="Times New Roman" w:hAnsi="Times New Roman"/>
          <w:color w:val="0070C0"/>
          <w:sz w:val="16"/>
          <w:szCs w:val="16"/>
        </w:rPr>
        <w:softHyphen/>
        <w:t>ную дальность емкость маслобака увеличили с 38 до 55 кг. Воздушные баллоны емкостью по 7 л перенесли из пе</w:t>
      </w:r>
      <w:r w:rsidRPr="008A2E5A">
        <w:rPr>
          <w:rFonts w:ascii="Times New Roman" w:hAnsi="Times New Roman"/>
          <w:color w:val="0070C0"/>
          <w:sz w:val="16"/>
          <w:szCs w:val="16"/>
        </w:rPr>
        <w:softHyphen/>
        <w:t>редней кабины в заднюю и разместили за вновь установ</w:t>
      </w:r>
      <w:r w:rsidRPr="008A2E5A">
        <w:rPr>
          <w:rFonts w:ascii="Times New Roman" w:hAnsi="Times New Roman"/>
          <w:color w:val="0070C0"/>
          <w:sz w:val="16"/>
          <w:szCs w:val="16"/>
        </w:rPr>
        <w:softHyphen/>
        <w:t>ленной на переднем сидении бронеспинкой (место уста</w:t>
      </w:r>
      <w:r w:rsidRPr="008A2E5A">
        <w:rPr>
          <w:rFonts w:ascii="Times New Roman" w:hAnsi="Times New Roman"/>
          <w:color w:val="0070C0"/>
          <w:sz w:val="16"/>
          <w:szCs w:val="16"/>
        </w:rPr>
        <w:softHyphen/>
        <w:t>новки аварийного баллона в задней кабине не менялось). Слева по полету от воздушных баллонов установили кис</w:t>
      </w:r>
      <w:r w:rsidRPr="008A2E5A">
        <w:rPr>
          <w:rFonts w:ascii="Times New Roman" w:hAnsi="Times New Roman"/>
          <w:color w:val="0070C0"/>
          <w:sz w:val="16"/>
          <w:szCs w:val="16"/>
        </w:rPr>
        <w:softHyphen/>
        <w:t>лородный баллон, обеспечивавший летчика в течение двух часов при полете на высоте 8000 м.</w:t>
      </w:r>
    </w:p>
    <w:p w14:paraId="56CB7E2F"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изменения претерпело крыло, в котором за счет замены деревянных лонжеронов металлически</w:t>
      </w:r>
      <w:r w:rsidRPr="008A2E5A">
        <w:rPr>
          <w:rFonts w:ascii="Times New Roman" w:hAnsi="Times New Roman"/>
          <w:color w:val="0070C0"/>
          <w:sz w:val="16"/>
          <w:szCs w:val="16"/>
        </w:rPr>
        <w:softHyphen/>
        <w:t>ми дюралевыми, изменения схемы управления элерона</w:t>
      </w:r>
      <w:r w:rsidRPr="008A2E5A">
        <w:rPr>
          <w:rFonts w:ascii="Times New Roman" w:hAnsi="Times New Roman"/>
          <w:color w:val="0070C0"/>
          <w:sz w:val="16"/>
          <w:szCs w:val="16"/>
        </w:rPr>
        <w:softHyphen/>
        <w:t>ми (вынос тяг за задний лонжерон) и использования всех свободных объемов удалось разместить 11 бензобаков (два фюзеляжных под полом кабины пилота, шесть кры</w:t>
      </w:r>
      <w:r w:rsidRPr="008A2E5A">
        <w:rPr>
          <w:rFonts w:ascii="Times New Roman" w:hAnsi="Times New Roman"/>
          <w:color w:val="0070C0"/>
          <w:sz w:val="16"/>
          <w:szCs w:val="16"/>
        </w:rPr>
        <w:softHyphen/>
        <w:t>льевых, два размещенных в носках крыла и один фюзе</w:t>
      </w:r>
      <w:r w:rsidRPr="008A2E5A">
        <w:rPr>
          <w:rFonts w:ascii="Times New Roman" w:hAnsi="Times New Roman"/>
          <w:color w:val="0070C0"/>
          <w:sz w:val="16"/>
          <w:szCs w:val="16"/>
        </w:rPr>
        <w:softHyphen/>
        <w:t>ляжный расходный перед задним лонжероном), увели</w:t>
      </w:r>
      <w:r w:rsidRPr="008A2E5A">
        <w:rPr>
          <w:rFonts w:ascii="Times New Roman" w:hAnsi="Times New Roman"/>
          <w:color w:val="0070C0"/>
          <w:sz w:val="16"/>
          <w:szCs w:val="16"/>
        </w:rPr>
        <w:softHyphen/>
        <w:t>чив запас горючего более чем вдвое - с 414 до 925 л. Ем</w:t>
      </w:r>
      <w:r w:rsidRPr="008A2E5A">
        <w:rPr>
          <w:rFonts w:ascii="Times New Roman" w:hAnsi="Times New Roman"/>
          <w:color w:val="0070C0"/>
          <w:sz w:val="16"/>
          <w:szCs w:val="16"/>
        </w:rPr>
        <w:softHyphen/>
        <w:t>кость крыльевых баков составляла по 50, 135 и 206, но</w:t>
      </w:r>
      <w:r w:rsidRPr="008A2E5A">
        <w:rPr>
          <w:rFonts w:ascii="Times New Roman" w:hAnsi="Times New Roman"/>
          <w:color w:val="0070C0"/>
          <w:sz w:val="16"/>
          <w:szCs w:val="16"/>
        </w:rPr>
        <w:softHyphen/>
        <w:t>сковых - по 44, фюзеляжных - по 43 литра и расходного - 9 л. Все бензобаки, за исключением расходного, не про</w:t>
      </w:r>
      <w:r w:rsidRPr="008A2E5A">
        <w:rPr>
          <w:rFonts w:ascii="Times New Roman" w:hAnsi="Times New Roman"/>
          <w:color w:val="0070C0"/>
          <w:sz w:val="16"/>
          <w:szCs w:val="16"/>
        </w:rPr>
        <w:softHyphen/>
        <w:t>тежировались. Крыльевые баки изготовлялись из фибры, а все фюзеляжные - из дюралюминия. Для обеспечения равномерности выработки основные баки межбаковыми соединениями делились на четыре группы. В обеих по</w:t>
      </w:r>
      <w:r w:rsidRPr="008A2E5A">
        <w:rPr>
          <w:rFonts w:ascii="Times New Roman" w:hAnsi="Times New Roman"/>
          <w:color w:val="0070C0"/>
          <w:sz w:val="16"/>
          <w:szCs w:val="16"/>
        </w:rPr>
        <w:softHyphen/>
        <w:t>ловинах крыла одна группа состояла из двух консольных баков и бака в носке крыла, а другая - из корневого бака вместе с фюзеляжным. По расчетам, этого топлива долж</w:t>
      </w:r>
      <w:r w:rsidRPr="008A2E5A">
        <w:rPr>
          <w:rFonts w:ascii="Times New Roman" w:hAnsi="Times New Roman"/>
          <w:color w:val="0070C0"/>
          <w:sz w:val="16"/>
          <w:szCs w:val="16"/>
        </w:rPr>
        <w:softHyphen/>
        <w:t>но было хватить на 1600 км полета на режиме скоростной дальности на высоте 5000 м. Формой в плане новое крыло было аналогично крыльям опытных машин Як-5 (И-28), Як- 7М, Як-7-37, чтобы в случае необходимости разместить на консолях крыла предкрылки. Из-за отсутствия дюрале</w:t>
      </w:r>
      <w:r w:rsidRPr="008A2E5A">
        <w:rPr>
          <w:rFonts w:ascii="Times New Roman" w:hAnsi="Times New Roman"/>
          <w:color w:val="0070C0"/>
          <w:sz w:val="16"/>
          <w:szCs w:val="16"/>
        </w:rPr>
        <w:softHyphen/>
        <w:t>вых тавровых профилей нужного размера верхняя и ниж</w:t>
      </w:r>
      <w:r w:rsidRPr="008A2E5A">
        <w:rPr>
          <w:rFonts w:ascii="Times New Roman" w:hAnsi="Times New Roman"/>
          <w:color w:val="0070C0"/>
          <w:sz w:val="16"/>
          <w:szCs w:val="16"/>
        </w:rPr>
        <w:softHyphen/>
        <w:t>няя полки переднего лонжерона изготовлены из уголков, накрытых сверху и снизу дюралевыми полосами. Элемен</w:t>
      </w:r>
      <w:r w:rsidRPr="008A2E5A">
        <w:rPr>
          <w:rFonts w:ascii="Times New Roman" w:hAnsi="Times New Roman"/>
          <w:color w:val="0070C0"/>
          <w:sz w:val="16"/>
          <w:szCs w:val="16"/>
        </w:rPr>
        <w:softHyphen/>
        <w:t>ты полок соединялись между собой и со стенкой лонже</w:t>
      </w:r>
      <w:r w:rsidRPr="008A2E5A">
        <w:rPr>
          <w:rFonts w:ascii="Times New Roman" w:hAnsi="Times New Roman"/>
          <w:color w:val="0070C0"/>
          <w:sz w:val="16"/>
          <w:szCs w:val="16"/>
        </w:rPr>
        <w:softHyphen/>
        <w:t>рона при помощи клепки. Полки заднего лонжерона пред</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ставляли собой отбортованные части стенки, подкреплен</w:t>
      </w:r>
      <w:r w:rsidRPr="008A2E5A">
        <w:rPr>
          <w:rFonts w:ascii="Times New Roman" w:hAnsi="Times New Roman"/>
          <w:color w:val="0070C0"/>
          <w:sz w:val="16"/>
          <w:szCs w:val="16"/>
        </w:rPr>
        <w:softHyphen/>
        <w:t>ные с внутренней стороны угольниками. Передний и зад</w:t>
      </w:r>
      <w:r w:rsidRPr="008A2E5A">
        <w:rPr>
          <w:rFonts w:ascii="Times New Roman" w:hAnsi="Times New Roman"/>
          <w:color w:val="0070C0"/>
          <w:sz w:val="16"/>
          <w:szCs w:val="16"/>
        </w:rPr>
        <w:softHyphen/>
        <w:t>ний лонжероны скреплялись между собой шестью основ</w:t>
      </w:r>
      <w:r w:rsidRPr="008A2E5A">
        <w:rPr>
          <w:rFonts w:ascii="Times New Roman" w:hAnsi="Times New Roman"/>
          <w:color w:val="0070C0"/>
          <w:sz w:val="16"/>
          <w:szCs w:val="16"/>
        </w:rPr>
        <w:softHyphen/>
        <w:t>ными металлическими и двумя деревянными нервюрами. Остальной силовой набор крыла оставался деревянным. Для облегчения процесса изготовления, сборки и ремон</w:t>
      </w:r>
      <w:r w:rsidRPr="008A2E5A">
        <w:rPr>
          <w:rFonts w:ascii="Times New Roman" w:hAnsi="Times New Roman"/>
          <w:color w:val="0070C0"/>
          <w:sz w:val="16"/>
          <w:szCs w:val="16"/>
        </w:rPr>
        <w:softHyphen/>
        <w:t>та крыло выполнили разъемным из двух половин, соеди</w:t>
      </w:r>
      <w:r w:rsidRPr="008A2E5A">
        <w:rPr>
          <w:rFonts w:ascii="Times New Roman" w:hAnsi="Times New Roman"/>
          <w:color w:val="0070C0"/>
          <w:sz w:val="16"/>
          <w:szCs w:val="16"/>
        </w:rPr>
        <w:softHyphen/>
        <w:t>ненных стальными стыковыми узлами в плоскости сим</w:t>
      </w:r>
      <w:r w:rsidRPr="008A2E5A">
        <w:rPr>
          <w:rFonts w:ascii="Times New Roman" w:hAnsi="Times New Roman"/>
          <w:color w:val="0070C0"/>
          <w:sz w:val="16"/>
          <w:szCs w:val="16"/>
        </w:rPr>
        <w:softHyphen/>
        <w:t>метрии самолета. Несмотря на проведенную ВИАМ ра</w:t>
      </w:r>
      <w:r w:rsidRPr="008A2E5A">
        <w:rPr>
          <w:rFonts w:ascii="Times New Roman" w:hAnsi="Times New Roman"/>
          <w:color w:val="0070C0"/>
          <w:sz w:val="16"/>
          <w:szCs w:val="16"/>
        </w:rPr>
        <w:softHyphen/>
        <w:t>боту по разработке клеевых соединений древесины с ме</w:t>
      </w:r>
      <w:r w:rsidRPr="008A2E5A">
        <w:rPr>
          <w:rFonts w:ascii="Times New Roman" w:hAnsi="Times New Roman"/>
          <w:color w:val="0070C0"/>
          <w:sz w:val="16"/>
          <w:szCs w:val="16"/>
        </w:rPr>
        <w:softHyphen/>
        <w:t>таллом, удовлетворительного результата получить не уда</w:t>
      </w:r>
      <w:r w:rsidRPr="008A2E5A">
        <w:rPr>
          <w:rFonts w:ascii="Times New Roman" w:hAnsi="Times New Roman"/>
          <w:color w:val="0070C0"/>
          <w:sz w:val="16"/>
          <w:szCs w:val="16"/>
        </w:rPr>
        <w:softHyphen/>
        <w:t>лось. Поэтому к металлическим полкам лонжеронов и не</w:t>
      </w:r>
      <w:r w:rsidRPr="008A2E5A">
        <w:rPr>
          <w:rFonts w:ascii="Times New Roman" w:hAnsi="Times New Roman"/>
          <w:color w:val="0070C0"/>
          <w:sz w:val="16"/>
          <w:szCs w:val="16"/>
        </w:rPr>
        <w:softHyphen/>
        <w:t>рвюр вначале приклепывались фанерные полосы, к кото</w:t>
      </w:r>
      <w:r w:rsidRPr="008A2E5A">
        <w:rPr>
          <w:rFonts w:ascii="Times New Roman" w:hAnsi="Times New Roman"/>
          <w:color w:val="0070C0"/>
          <w:sz w:val="16"/>
          <w:szCs w:val="16"/>
        </w:rPr>
        <w:softHyphen/>
        <w:t>рым приклеивалась непосредственно сама обшивка. Сты</w:t>
      </w:r>
      <w:r w:rsidRPr="008A2E5A">
        <w:rPr>
          <w:rFonts w:ascii="Times New Roman" w:hAnsi="Times New Roman"/>
          <w:color w:val="0070C0"/>
          <w:sz w:val="16"/>
          <w:szCs w:val="16"/>
        </w:rPr>
        <w:softHyphen/>
        <w:t>ковые узлы крыла, получившего собственное наименование - «Д», выполнили таким образом, чтобы его можно было присоединить к любому фюзеляжу машин типа Як-7.</w:t>
      </w:r>
    </w:p>
    <w:p w14:paraId="57B4AF08"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разведчик, самолет штатно оборудовался аэро</w:t>
      </w:r>
      <w:r w:rsidRPr="008A2E5A">
        <w:rPr>
          <w:rFonts w:ascii="Times New Roman" w:hAnsi="Times New Roman"/>
          <w:color w:val="0070C0"/>
          <w:sz w:val="16"/>
          <w:szCs w:val="16"/>
        </w:rPr>
        <w:softHyphen/>
        <w:t>фотоаппаратом АФА-Б, расположенном в задней каби</w:t>
      </w:r>
      <w:r w:rsidRPr="008A2E5A">
        <w:rPr>
          <w:rFonts w:ascii="Times New Roman" w:hAnsi="Times New Roman"/>
          <w:color w:val="0070C0"/>
          <w:sz w:val="16"/>
          <w:szCs w:val="16"/>
        </w:rPr>
        <w:softHyphen/>
        <w:t>не. (АФА-Б представлял собой фотоаппарат типа АФА- ИМ, снабженный телеобъективом Ф-3 с фокусным рас</w:t>
      </w:r>
      <w:r w:rsidRPr="008A2E5A">
        <w:rPr>
          <w:rFonts w:ascii="Times New Roman" w:hAnsi="Times New Roman"/>
          <w:color w:val="0070C0"/>
          <w:sz w:val="16"/>
          <w:szCs w:val="16"/>
        </w:rPr>
        <w:softHyphen/>
        <w:t>стоянием 400 мм и увеличенным до трех секунд време</w:t>
      </w:r>
      <w:r w:rsidRPr="008A2E5A">
        <w:rPr>
          <w:rFonts w:ascii="Times New Roman" w:hAnsi="Times New Roman"/>
          <w:color w:val="0070C0"/>
          <w:sz w:val="16"/>
          <w:szCs w:val="16"/>
        </w:rPr>
        <w:softHyphen/>
        <w:t>нем цикла съемки.) Управление затвором, обогрев, счет снимков осуществляются при помощи командного щит</w:t>
      </w:r>
      <w:r w:rsidRPr="008A2E5A">
        <w:rPr>
          <w:rFonts w:ascii="Times New Roman" w:hAnsi="Times New Roman"/>
          <w:color w:val="0070C0"/>
          <w:sz w:val="16"/>
          <w:szCs w:val="16"/>
        </w:rPr>
        <w:softHyphen/>
        <w:t>ка, установленного на правом борту над пультом в каби</w:t>
      </w:r>
      <w:r w:rsidRPr="008A2E5A">
        <w:rPr>
          <w:rFonts w:ascii="Times New Roman" w:hAnsi="Times New Roman"/>
          <w:color w:val="0070C0"/>
          <w:sz w:val="16"/>
          <w:szCs w:val="16"/>
        </w:rPr>
        <w:softHyphen/>
        <w:t>не летчика. Люк в полу фюзеляжа открывался с помощью штурвальчика выбиранием троса, закрывался - пружи</w:t>
      </w:r>
      <w:r w:rsidRPr="008A2E5A">
        <w:rPr>
          <w:rFonts w:ascii="Times New Roman" w:hAnsi="Times New Roman"/>
          <w:color w:val="0070C0"/>
          <w:sz w:val="16"/>
          <w:szCs w:val="16"/>
        </w:rPr>
        <w:softHyphen/>
        <w:t>ной. Штурвальчик управления устанавливался на левом борту под пультом. Фотоустановка позволяла сделать до 50 фотоснимков с высоты не более 8000 м. Для разме</w:t>
      </w:r>
      <w:r w:rsidRPr="008A2E5A">
        <w:rPr>
          <w:rFonts w:ascii="Times New Roman" w:hAnsi="Times New Roman"/>
          <w:color w:val="0070C0"/>
          <w:sz w:val="16"/>
          <w:szCs w:val="16"/>
        </w:rPr>
        <w:softHyphen/>
        <w:t>щения объектива АФА-Б тросы управления рулем пово</w:t>
      </w:r>
      <w:r w:rsidRPr="008A2E5A">
        <w:rPr>
          <w:rFonts w:ascii="Times New Roman" w:hAnsi="Times New Roman"/>
          <w:color w:val="0070C0"/>
          <w:sz w:val="16"/>
          <w:szCs w:val="16"/>
        </w:rPr>
        <w:softHyphen/>
        <w:t>рота со второй по четвертую раму сведены к центру вто</w:t>
      </w:r>
      <w:r w:rsidRPr="008A2E5A">
        <w:rPr>
          <w:rFonts w:ascii="Times New Roman" w:hAnsi="Times New Roman"/>
          <w:color w:val="0070C0"/>
          <w:sz w:val="16"/>
          <w:szCs w:val="16"/>
        </w:rPr>
        <w:softHyphen/>
        <w:t>рой кабины.</w:t>
      </w:r>
    </w:p>
    <w:p w14:paraId="49ABBD91"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также мог использоваться как дальний самолет свя</w:t>
      </w:r>
      <w:r w:rsidRPr="008A2E5A">
        <w:rPr>
          <w:rFonts w:ascii="Times New Roman" w:hAnsi="Times New Roman"/>
          <w:color w:val="0070C0"/>
          <w:sz w:val="16"/>
          <w:szCs w:val="16"/>
        </w:rPr>
        <w:softHyphen/>
        <w:t>зи, для чего на месте фотоаппарата могло устанавливаться лег</w:t>
      </w:r>
      <w:r w:rsidRPr="008A2E5A">
        <w:rPr>
          <w:rFonts w:ascii="Times New Roman" w:hAnsi="Times New Roman"/>
          <w:color w:val="0070C0"/>
          <w:sz w:val="16"/>
          <w:szCs w:val="16"/>
        </w:rPr>
        <w:softHyphen/>
        <w:t>косъемное сиденье для пассажира. Для за</w:t>
      </w:r>
      <w:r w:rsidRPr="008A2E5A">
        <w:rPr>
          <w:rFonts w:ascii="Times New Roman" w:hAnsi="Times New Roman"/>
          <w:color w:val="0070C0"/>
          <w:sz w:val="16"/>
          <w:szCs w:val="16"/>
        </w:rPr>
        <w:softHyphen/>
        <w:t>щиты самолета уста</w:t>
      </w:r>
      <w:r w:rsidRPr="008A2E5A">
        <w:rPr>
          <w:rFonts w:ascii="Times New Roman" w:hAnsi="Times New Roman"/>
          <w:color w:val="0070C0"/>
          <w:sz w:val="16"/>
          <w:szCs w:val="16"/>
        </w:rPr>
        <w:softHyphen/>
        <w:t>новили мотор-пуш</w:t>
      </w:r>
      <w:r w:rsidRPr="008A2E5A">
        <w:rPr>
          <w:rFonts w:ascii="Times New Roman" w:hAnsi="Times New Roman"/>
          <w:color w:val="0070C0"/>
          <w:sz w:val="16"/>
          <w:szCs w:val="16"/>
        </w:rPr>
        <w:softHyphen/>
        <w:t>ку ШBAK. Патронный ящик на 60 снарядов крепился на специаль</w:t>
      </w:r>
      <w:r w:rsidRPr="008A2E5A">
        <w:rPr>
          <w:rFonts w:ascii="Times New Roman" w:hAnsi="Times New Roman"/>
          <w:color w:val="0070C0"/>
          <w:sz w:val="16"/>
          <w:szCs w:val="16"/>
        </w:rPr>
        <w:softHyphen/>
        <w:t>ных кронштейнах (из- за отсутствия на Як-7В спецфермы под воору</w:t>
      </w:r>
      <w:r w:rsidRPr="008A2E5A">
        <w:rPr>
          <w:rFonts w:ascii="Times New Roman" w:hAnsi="Times New Roman"/>
          <w:color w:val="0070C0"/>
          <w:sz w:val="16"/>
          <w:szCs w:val="16"/>
        </w:rPr>
        <w:softHyphen/>
        <w:t>жение), идущих от син</w:t>
      </w:r>
      <w:r w:rsidRPr="008A2E5A">
        <w:rPr>
          <w:rFonts w:ascii="Times New Roman" w:hAnsi="Times New Roman"/>
          <w:color w:val="0070C0"/>
          <w:sz w:val="16"/>
          <w:szCs w:val="16"/>
        </w:rPr>
        <w:softHyphen/>
        <w:t>хронизаторов мотора. Звенья собирались в специальный брезен</w:t>
      </w:r>
      <w:r w:rsidRPr="008A2E5A">
        <w:rPr>
          <w:rFonts w:ascii="Times New Roman" w:hAnsi="Times New Roman"/>
          <w:color w:val="0070C0"/>
          <w:sz w:val="16"/>
          <w:szCs w:val="16"/>
        </w:rPr>
        <w:softHyphen/>
        <w:t>товый мешок справа от пушки (опоражни</w:t>
      </w:r>
      <w:r w:rsidRPr="008A2E5A">
        <w:rPr>
          <w:rFonts w:ascii="Times New Roman" w:hAnsi="Times New Roman"/>
          <w:color w:val="0070C0"/>
          <w:sz w:val="16"/>
          <w:szCs w:val="16"/>
        </w:rPr>
        <w:softHyphen/>
        <w:t>вался при снятой верх</w:t>
      </w:r>
      <w:r w:rsidRPr="008A2E5A">
        <w:rPr>
          <w:rFonts w:ascii="Times New Roman" w:hAnsi="Times New Roman"/>
          <w:color w:val="0070C0"/>
          <w:sz w:val="16"/>
          <w:szCs w:val="16"/>
        </w:rPr>
        <w:softHyphen/>
        <w:t>ней крышке капота), а гильзы отводились в стандартный для Як-7Б гильзосборник под полом кабины пилота. Пулеметного вооружения самолет не нес.</w:t>
      </w:r>
    </w:p>
    <w:p w14:paraId="5C944096"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Этой машине было суждено разделить судьбу тех нем</w:t>
      </w:r>
      <w:r w:rsidRPr="008A2E5A">
        <w:rPr>
          <w:rFonts w:ascii="Times New Roman" w:hAnsi="Times New Roman"/>
          <w:color w:val="0070C0"/>
          <w:sz w:val="16"/>
          <w:szCs w:val="16"/>
        </w:rPr>
        <w:softHyphen/>
        <w:t>ногих самолетов ОКБ, которые никогда не поднялись в воздух. А.Т. Степанец в своей книге пишет о проведен</w:t>
      </w:r>
      <w:r w:rsidRPr="008A2E5A">
        <w:rPr>
          <w:rFonts w:ascii="Times New Roman" w:hAnsi="Times New Roman"/>
          <w:color w:val="0070C0"/>
          <w:sz w:val="16"/>
          <w:szCs w:val="16"/>
        </w:rPr>
        <w:softHyphen/>
        <w:t>ных на Як-7Д испытательных полетах, однако, согласно дневнику испытаний, в варианте разведчика машина не летала. 16 июня 1942 г. в процессе заводских наземных испытаний, во время которых в основном определялись эксплуатационные характеристики бензосистемы (вре</w:t>
      </w:r>
      <w:r w:rsidRPr="008A2E5A">
        <w:rPr>
          <w:rFonts w:ascii="Times New Roman" w:hAnsi="Times New Roman"/>
          <w:color w:val="0070C0"/>
          <w:sz w:val="16"/>
          <w:szCs w:val="16"/>
        </w:rPr>
        <w:softHyphen/>
        <w:t>мя полной и частичной заправки, время слива топлива, герметичность и другие параметры) и проводилось взве</w:t>
      </w:r>
      <w:r w:rsidRPr="008A2E5A">
        <w:rPr>
          <w:rFonts w:ascii="Times New Roman" w:hAnsi="Times New Roman"/>
          <w:color w:val="0070C0"/>
          <w:sz w:val="16"/>
          <w:szCs w:val="16"/>
        </w:rPr>
        <w:softHyphen/>
        <w:t>шивание, поступило указание главного конструктора А.С. Яковлева о переделке данной модификации самоле</w:t>
      </w:r>
      <w:r w:rsidRPr="008A2E5A">
        <w:rPr>
          <w:rFonts w:ascii="Times New Roman" w:hAnsi="Times New Roman"/>
          <w:color w:val="0070C0"/>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8A2E5A">
        <w:rPr>
          <w:rFonts w:ascii="Times New Roman" w:hAnsi="Times New Roman"/>
          <w:color w:val="0070C0"/>
          <w:sz w:val="16"/>
          <w:szCs w:val="16"/>
        </w:rPr>
        <w:softHyphen/>
        <w:t>вали для установки крыла на другую машину (23381).</w:t>
      </w:r>
    </w:p>
    <w:p w14:paraId="3E7E9D53" w14:textId="77777777" w:rsidR="007D5E08" w:rsidRPr="008A2E5A" w:rsidRDefault="007D5E08" w:rsidP="007D5E08">
      <w:pPr>
        <w:spacing w:after="0" w:line="240" w:lineRule="auto"/>
        <w:jc w:val="both"/>
        <w:rPr>
          <w:rFonts w:ascii="Times New Roman" w:hAnsi="Times New Roman"/>
          <w:color w:val="0070C0"/>
          <w:sz w:val="16"/>
          <w:szCs w:val="16"/>
        </w:rPr>
      </w:pPr>
    </w:p>
    <w:p w14:paraId="69AF32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закончились гос. испытания ЛаГГ с НС-37, но в серии уже был патрон под Ш-37, переделали НС-37 под этот патрон за три месяца и снова направили на гос. испытания (177,298).</w:t>
      </w:r>
    </w:p>
    <w:p w14:paraId="013A0C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0E7D2C" w14:textId="77777777" w:rsidR="00AE4F9B" w:rsidRPr="008127F8" w:rsidRDefault="00AE4F9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первая партия из 20 серийных истребителей ЛаГГ-3 с пушками Ш-37 прибыла в 42-й иап майора Ф.И. Шинкаренко (одновременно 37-мм пушки были установлены на два десятка штурмовиков Ил-2). В первый апрельский день 42-й иап приступил к боевым действиям в составе 7-й ударной авиагруппы на Брянском фронте, но уже 30 мая он был передан в 202-ю дивизию ВВС Западного фронта. ЛаГГи с 37-миллиметровками применили для борьбы с немецкими бомбардировщиками, обладавшими высокой живучестью и мощным оборонительным огнем. Прежде вооруженные пушками ШВАК советские истребители вынуждены были сближаться с немецкими самолетами на расстояние 100...200 м и нередко получали повреждения от оборонительных пулеметов «юнкерсов» и «хейнкелей». Пилоты ЛаГГ-3 с Ш-37 открывали эффективный огонь с дистанции 400…500 м и одним-двумя снарядами выводили бомбардировщик противника из строя. За короткое время в журнале боевых действий полка появились отметки о 45 сбитых самолетах противника. Вероятно, эти заявки были излишне оптимистичными, но рост огневой мощи ЛаГГ-3 не вызывал сомнений. Зато в бою с истребителями противника похвастаться пилотам ЛаГГов было нечем. При установке пушки Ш-37 вместо ШВАК полетный вес истребителя ЛаГГ-3 увеличивался на 7 %, что заметно снижало его скорость и ухудшало маневренность. Немцы начали целенаправленную «охоту» за пушечными ЛаГГами, которые не могли на равных драться против истребителей Bf 109F-4 и Bf 109G-2 (18999).</w:t>
      </w:r>
    </w:p>
    <w:p w14:paraId="65E4C6BE" w14:textId="77777777" w:rsidR="00AE4F9B" w:rsidRPr="008127F8" w:rsidRDefault="00AE4F9B" w:rsidP="001E0A84">
      <w:pPr>
        <w:spacing w:after="0" w:line="240" w:lineRule="auto"/>
        <w:jc w:val="both"/>
        <w:rPr>
          <w:rFonts w:ascii="Times New Roman" w:hAnsi="Times New Roman"/>
          <w:color w:val="000000" w:themeColor="text1"/>
          <w:sz w:val="16"/>
          <w:szCs w:val="16"/>
        </w:rPr>
      </w:pPr>
    </w:p>
    <w:p w14:paraId="14A9507D" w14:textId="77777777" w:rsidR="00AE4F9B" w:rsidRPr="008127F8" w:rsidRDefault="00AE4F9B" w:rsidP="001E0A84">
      <w:pPr>
        <w:pStyle w:val="rtejustify"/>
        <w:shd w:val="clear" w:color="auto" w:fill="FFFFFF"/>
        <w:spacing w:before="0" w:after="0"/>
        <w:textAlignment w:val="baseline"/>
        <w:rPr>
          <w:rStyle w:val="af1"/>
          <w:i w:val="0"/>
          <w:color w:val="000000" w:themeColor="text1"/>
          <w:sz w:val="16"/>
          <w:szCs w:val="16"/>
          <w:bdr w:val="none" w:sz="0" w:space="0" w:color="auto" w:frame="1"/>
        </w:rPr>
      </w:pPr>
      <w:r w:rsidRPr="008127F8">
        <w:rPr>
          <w:rStyle w:val="af1"/>
          <w:i w:val="0"/>
          <w:color w:val="000000" w:themeColor="text1"/>
          <w:sz w:val="16"/>
          <w:szCs w:val="16"/>
          <w:bdr w:val="none" w:sz="0" w:space="0" w:color="auto" w:frame="1"/>
        </w:rPr>
        <w:t>В марте 1942 года Государственные испытания ЛаГГ-3 (с.н. 312197) с НС-37 завершились.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3E8184F5" w14:textId="77777777" w:rsidR="00AE4F9B" w:rsidRPr="008127F8" w:rsidRDefault="00AE4F9B" w:rsidP="001E0A84">
      <w:pPr>
        <w:pStyle w:val="rtejustify"/>
        <w:shd w:val="clear" w:color="auto" w:fill="FFFFFF"/>
        <w:spacing w:before="0" w:after="0"/>
        <w:textAlignment w:val="baseline"/>
        <w:rPr>
          <w:rStyle w:val="af1"/>
          <w:i w:val="0"/>
          <w:color w:val="000000" w:themeColor="text1"/>
          <w:sz w:val="16"/>
          <w:szCs w:val="16"/>
          <w:bdr w:val="none" w:sz="0" w:space="0" w:color="auto" w:frame="1"/>
        </w:rPr>
      </w:pPr>
    </w:p>
    <w:p w14:paraId="0D5C5373" w14:textId="77777777" w:rsidR="004F23EE" w:rsidRPr="008127F8" w:rsidRDefault="004F23E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двадцать истребителей ЛаГГ-3 с пушкой Ш-37, которые сделал на горьковском заводе №21 Лавочкин прибыли в 42-й ИАП подполковника Ф.И. Шинкаренко. После тяжелых боев на Брянском фронте потери полка были восполнены за счет необстрелянных молодых летчиков, но и среди опытных никто на ЛаГГ-3 не летал. Вступить им в бой довелось еще до завершения освоения машины: в полку шли тренировочные полеты, когда пост наблюдения сообщил о приближении вражеских бомбардировщиков. Против них было поднято восемь ЛаГГ-3, которые с ходу сбили три самолета, остальные от атаки отказались. Летчики вели огонь длинными очередями, расстреляв весь боекомплект за раз, и не могли преследовать противника. При такой стрельбе скорость падала, и чтобы цель не ушла из кольца прицела, летчик должен был не допустить просадки самолета и тянуть ручку на себя. От этого скорость падала еще быстрее и приближалась к скорости сваливания — в такой ситуации неопытный пилот мог запросто попасть в штопор. Хотя в 1942 году для ЛаГГ-3 были разработаны автоматические предкрылки, улучшавшие срывные свойства крыла, это обстоятельство было оценено Заказчиком крайне негативно (22880).</w:t>
      </w:r>
    </w:p>
    <w:p w14:paraId="29FA29BC" w14:textId="77777777" w:rsidR="004F23EE" w:rsidRPr="008127F8" w:rsidRDefault="004F23EE" w:rsidP="001E0A84">
      <w:pPr>
        <w:spacing w:after="0" w:line="240" w:lineRule="auto"/>
        <w:jc w:val="both"/>
        <w:rPr>
          <w:rFonts w:ascii="Times New Roman" w:hAnsi="Times New Roman"/>
          <w:color w:val="000000" w:themeColor="text1"/>
          <w:sz w:val="16"/>
          <w:szCs w:val="16"/>
        </w:rPr>
      </w:pPr>
    </w:p>
    <w:p w14:paraId="09D671A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летчик-испытатель Василий Яковлевич Мищенко поднял в воздух будущий Ла-5 (4707).</w:t>
      </w:r>
    </w:p>
    <w:p w14:paraId="02D3454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46E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Никашин совершил первый полет на ЛаГГ-3 М-82 - прототипе Ла-5 (3241,3).</w:t>
      </w:r>
    </w:p>
    <w:p w14:paraId="70DE5FE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263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летчик-испытатель А.И. Никашин выполнил ЛаГГ-3 М-82 первый полет. Первый этап заводских испытаний длился около месяца, а 10 апреля вышел совместный приказ по НКАП и ВВС № 061/271с о проведении Госиспытаний самолета си</w:t>
      </w:r>
      <w:r w:rsidRPr="008127F8">
        <w:rPr>
          <w:rFonts w:ascii="Times New Roman" w:hAnsi="Times New Roman"/>
          <w:color w:val="000000" w:themeColor="text1"/>
          <w:sz w:val="16"/>
          <w:szCs w:val="16"/>
        </w:rPr>
        <w:softHyphen/>
        <w:t>лами ЛИИ и НИИ ВВС на базе завода № 21. В состав испытательной бригады входили летчики и ведущие инженеры А.П. Якимов и В.Н. Сагинов от ЛИИ, а также А.Г. Кубышкин и А.Н. Фролов от НИИ ВВС. 13 апреля замнаркома Яковлев, директор завода № 21 Гос</w:t>
      </w:r>
      <w:r w:rsidRPr="008127F8">
        <w:rPr>
          <w:rFonts w:ascii="Times New Roman" w:hAnsi="Times New Roman"/>
          <w:color w:val="000000" w:themeColor="text1"/>
          <w:sz w:val="16"/>
          <w:szCs w:val="16"/>
        </w:rPr>
        <w:softHyphen/>
        <w:t>тинцев, главный конструктор Лавочкин и главный инженер ВВС Ре</w:t>
      </w:r>
      <w:r w:rsidRPr="008127F8">
        <w:rPr>
          <w:rFonts w:ascii="Times New Roman" w:hAnsi="Times New Roman"/>
          <w:color w:val="000000" w:themeColor="text1"/>
          <w:sz w:val="16"/>
          <w:szCs w:val="16"/>
        </w:rPr>
        <w:softHyphen/>
        <w:t>пин доложили Сталину о высоких летных данных ЛаГГ-3 М-82. Осо</w:t>
      </w:r>
      <w:r w:rsidRPr="008127F8">
        <w:rPr>
          <w:rFonts w:ascii="Times New Roman" w:hAnsi="Times New Roman"/>
          <w:color w:val="000000" w:themeColor="text1"/>
          <w:sz w:val="16"/>
          <w:szCs w:val="16"/>
        </w:rPr>
        <w:softHyphen/>
        <w:t>бо отмечалось, что на освоение серийного выпуска нового самоле</w:t>
      </w:r>
      <w:r w:rsidRPr="008127F8">
        <w:rPr>
          <w:rFonts w:ascii="Times New Roman" w:hAnsi="Times New Roman"/>
          <w:color w:val="000000" w:themeColor="text1"/>
          <w:sz w:val="16"/>
          <w:szCs w:val="16"/>
        </w:rPr>
        <w:softHyphen/>
        <w:t>та требуется всего месяц без корректив плана производства ЛаГГ-3 (11123).</w:t>
      </w:r>
    </w:p>
    <w:p w14:paraId="428601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79F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состоялся первый взлет Ла-5 (201,39).</w:t>
      </w:r>
    </w:p>
    <w:p w14:paraId="35F1B7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C31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в воздух поднялся прототип будущего Ла-5, в то время носивший обозначение ЛаГГ-3 М-82. После завершения государственных испытаний появилось решение о начале серийного выпуска нового истребителя. Указ о переходе завода № 21 на выпуск Яков-7 отменили. Вместо этого, на заводе развернули выпуск Ла-5. Для первых Ла-5 использовали готовые фюзеляжи ЛаГГ-3, подвергнув их необходимой переделке. Указом ГКО от 19 мая 1942 года заводы № 21 и 31 обязывались не позднее 25 мая приступить к выпуску ЛаГТов-3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0FE24E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D405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опытном моторе М-82НВ, сделанном на базе М-82А, карбюратор АК-82БП заменили агрегатом непосредствен</w:t>
      </w:r>
      <w:r w:rsidRPr="008127F8">
        <w:rPr>
          <w:rFonts w:ascii="Times New Roman" w:hAnsi="Times New Roman"/>
          <w:color w:val="000000" w:themeColor="text1"/>
          <w:sz w:val="16"/>
          <w:szCs w:val="16"/>
        </w:rPr>
        <w:softHyphen/>
        <w:t>ного впрыска «НВ». Максимальную мощность этого двигателя уда</w:t>
      </w:r>
      <w:r w:rsidRPr="008127F8">
        <w:rPr>
          <w:rFonts w:ascii="Times New Roman" w:hAnsi="Times New Roman"/>
          <w:color w:val="000000" w:themeColor="text1"/>
          <w:sz w:val="16"/>
          <w:szCs w:val="16"/>
        </w:rPr>
        <w:softHyphen/>
        <w:t>лось поднять до 1850 л.с. Она достигалась на боевом режиме до первой границы высотности (1650 м), при давлении наддува 1200 мм рт. ст. и оборотах 2400 об./мин. Летом летные испытания М-82НВ провели на Ил-4 и Су-2. 12 сентября 1942г. приказом НКАП № 698с завод № 21 обязали установить М-82НВ на 5 серийных Ла-5, провести их испытания совместно сЛИИиНИИ ВВС и к 10 ок</w:t>
      </w:r>
      <w:r w:rsidRPr="008127F8">
        <w:rPr>
          <w:rFonts w:ascii="Times New Roman" w:hAnsi="Times New Roman"/>
          <w:color w:val="000000" w:themeColor="text1"/>
          <w:sz w:val="16"/>
          <w:szCs w:val="16"/>
        </w:rPr>
        <w:softHyphen/>
        <w:t>тября отправить в строевую часть для войсковых испытаний. Но I мотор М-82НВ (М-82ФН) потребовал значительных доработок, да и освоение агрегатов «НВ» на заводе № 296 задержалось. Однако в 1943 г. завод № 19 уже смог сдать 1520 М-82ФН, правда, по плану должен был 2483 (11123).</w:t>
      </w:r>
    </w:p>
    <w:p w14:paraId="499A09D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проблемы были не только с мотором. Лавочкин объяснял срыв сроков по Ла-5 М-82НВ тем, что на серийном заводе сложно вести опытные работы, 8 его машин находятся в Москве, и просил выделить ему в качестве дополнительной базы завод № 241 рядом с ЛИИ в Быково. Но ему отказали, и все работы по Ла-5 М-82НВ продолжились на старом месте, причем 2 апреля 1943 г. вышел приказ НКАП № 187сс, согласно которому завод № 21 должен был немедленно начать выпуск Ла-5 с новой силовой установкой, к кон</w:t>
      </w:r>
      <w:r w:rsidRPr="008127F8">
        <w:rPr>
          <w:rFonts w:ascii="Times New Roman" w:hAnsi="Times New Roman"/>
          <w:color w:val="000000" w:themeColor="text1"/>
          <w:sz w:val="16"/>
          <w:szCs w:val="16"/>
        </w:rPr>
        <w:softHyphen/>
        <w:t>цу месяца сдать 20 машин, в мае — 100, а в июне — 150 сверх ра</w:t>
      </w:r>
      <w:r w:rsidRPr="008127F8">
        <w:rPr>
          <w:rFonts w:ascii="Times New Roman" w:hAnsi="Times New Roman"/>
          <w:color w:val="000000" w:themeColor="text1"/>
          <w:sz w:val="16"/>
          <w:szCs w:val="16"/>
        </w:rPr>
        <w:softHyphen/>
        <w:t>нее установленного плана по Ла-5Ф (11123).</w:t>
      </w:r>
    </w:p>
    <w:p w14:paraId="35778A6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Технические условия на Ла-5 «тип 39» с М-82ФНВ* Лавочкин ут</w:t>
      </w:r>
      <w:r w:rsidRPr="008127F8">
        <w:rPr>
          <w:rFonts w:ascii="Times New Roman" w:hAnsi="Times New Roman"/>
          <w:color w:val="000000" w:themeColor="text1"/>
          <w:sz w:val="16"/>
          <w:szCs w:val="16"/>
        </w:rPr>
        <w:softHyphen/>
        <w:t>вердил 21 апреля 1943 г. Окончательно режимы серийному двигате</w:t>
      </w:r>
      <w:r w:rsidRPr="008127F8">
        <w:rPr>
          <w:rFonts w:ascii="Times New Roman" w:hAnsi="Times New Roman"/>
          <w:color w:val="000000" w:themeColor="text1"/>
          <w:sz w:val="16"/>
          <w:szCs w:val="16"/>
        </w:rPr>
        <w:softHyphen/>
        <w:t>лю были установлены такие: взлетная (кратковременная) мощность 1850 л.с., мощность на высоте 600 м — 1530 л.с., на I границе высот</w:t>
      </w:r>
      <w:r w:rsidRPr="008127F8">
        <w:rPr>
          <w:rFonts w:ascii="Times New Roman" w:hAnsi="Times New Roman"/>
          <w:color w:val="000000" w:themeColor="text1"/>
          <w:sz w:val="16"/>
          <w:szCs w:val="16"/>
        </w:rPr>
        <w:softHyphen/>
        <w:t>ности 1650 м — 1630 л.с., на II границе высотности 4650 м — 1430 л.с. По сравнению с Ла-5Ф масса нового самолета возросла на 55 кг за счет более тяжелого мотора (11123).</w:t>
      </w:r>
    </w:p>
    <w:p w14:paraId="4604F4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Новую модификацию истребителя, которая во второй половине 1943 г. получила обозначение Ла-5ФН, стали выпускать нарастаю</w:t>
      </w:r>
      <w:r w:rsidRPr="008127F8">
        <w:rPr>
          <w:rFonts w:ascii="Times New Roman" w:hAnsi="Times New Roman"/>
          <w:color w:val="000000" w:themeColor="text1"/>
          <w:sz w:val="16"/>
          <w:szCs w:val="16"/>
        </w:rPr>
        <w:softHyphen/>
        <w:t>щими темпами. К производству машины подключили агрегатно-сборочный завод № 99 в столице Бурятии Улан-Удэ. Это был пер</w:t>
      </w:r>
      <w:r w:rsidRPr="008127F8">
        <w:rPr>
          <w:rFonts w:ascii="Times New Roman" w:hAnsi="Times New Roman"/>
          <w:color w:val="000000" w:themeColor="text1"/>
          <w:sz w:val="16"/>
          <w:szCs w:val="16"/>
        </w:rPr>
        <w:softHyphen/>
        <w:t xml:space="preserve">вый самолет, который этот </w:t>
      </w:r>
      <w:r w:rsidRPr="008127F8">
        <w:rPr>
          <w:rFonts w:ascii="Times New Roman" w:hAnsi="Times New Roman"/>
          <w:iCs/>
          <w:color w:val="000000" w:themeColor="text1"/>
          <w:sz w:val="16"/>
          <w:szCs w:val="16"/>
        </w:rPr>
        <w:t xml:space="preserve">завод </w:t>
      </w:r>
      <w:r w:rsidRPr="008127F8">
        <w:rPr>
          <w:rFonts w:ascii="Times New Roman" w:hAnsi="Times New Roman"/>
          <w:color w:val="000000" w:themeColor="text1"/>
          <w:sz w:val="16"/>
          <w:szCs w:val="16"/>
        </w:rPr>
        <w:t>строил по полному циклу, не все поначалу ладилось, но коллектив все же справился с задачей (11123).</w:t>
      </w:r>
    </w:p>
    <w:p w14:paraId="472A41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Вначале Ла-5 оснащались винтами ВИШ-105В с деревянными лопастями, которые невозможно было восстановить в случае про</w:t>
      </w:r>
      <w:r w:rsidRPr="008127F8">
        <w:rPr>
          <w:rFonts w:ascii="Times New Roman" w:hAnsi="Times New Roman"/>
          <w:color w:val="000000" w:themeColor="text1"/>
          <w:sz w:val="16"/>
          <w:szCs w:val="16"/>
        </w:rPr>
        <w:softHyphen/>
        <w:t>стрела или посадки на фюзеляж. Ремонтируемые металлические лопасти для ВИШ-105В появились уже в 1942 г., но поначалу их хва</w:t>
      </w:r>
      <w:r w:rsidRPr="008127F8">
        <w:rPr>
          <w:rFonts w:ascii="Times New Roman" w:hAnsi="Times New Roman"/>
          <w:color w:val="000000" w:themeColor="text1"/>
          <w:sz w:val="16"/>
          <w:szCs w:val="16"/>
        </w:rPr>
        <w:softHyphen/>
        <w:t>тало лишь для части истребителей. 17 июля 1943 г. вышло поста</w:t>
      </w:r>
      <w:r w:rsidRPr="008127F8">
        <w:rPr>
          <w:rFonts w:ascii="Times New Roman" w:hAnsi="Times New Roman"/>
          <w:color w:val="000000" w:themeColor="text1"/>
          <w:sz w:val="16"/>
          <w:szCs w:val="16"/>
        </w:rPr>
        <w:softHyphen/>
        <w:t>новление ГКО № 375сс, которое требовало не только резко увели</w:t>
      </w:r>
      <w:r w:rsidRPr="008127F8">
        <w:rPr>
          <w:rFonts w:ascii="Times New Roman" w:hAnsi="Times New Roman"/>
          <w:color w:val="000000" w:themeColor="text1"/>
          <w:sz w:val="16"/>
          <w:szCs w:val="16"/>
        </w:rPr>
        <w:softHyphen/>
        <w:t xml:space="preserve">чить выпуск Ла-5, но и повысить число исправных машин </w:t>
      </w:r>
      <w:r w:rsidRPr="008127F8">
        <w:rPr>
          <w:rFonts w:ascii="Times New Roman" w:hAnsi="Times New Roman"/>
          <w:iCs/>
          <w:color w:val="000000" w:themeColor="text1"/>
          <w:sz w:val="16"/>
          <w:szCs w:val="16"/>
        </w:rPr>
        <w:t xml:space="preserve">в </w:t>
      </w:r>
      <w:r w:rsidRPr="008127F8">
        <w:rPr>
          <w:rFonts w:ascii="Times New Roman" w:hAnsi="Times New Roman"/>
          <w:color w:val="000000" w:themeColor="text1"/>
          <w:sz w:val="16"/>
          <w:szCs w:val="16"/>
        </w:rPr>
        <w:t>строю. Оно обязывало снабжать металлическими винтами не менее 15 из 17 сдаваемых в сутки Ла-5, тогда как в конце 1942г. этот показатель не превышал 12 (11123).</w:t>
      </w:r>
    </w:p>
    <w:p w14:paraId="3B1AB4C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5F2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еще до моего отъезда в Тбилиси - рассказывал Семен Михайлович Алексеев, бывший долгие годы заместителем С.А. Лавочкина, - ЛаГГ-3 М-82 выкатили на аэродром (опытный ЛаГГ-3 № 372100 построили 21 марта 1942-го и он был разбит в аварии, произошедшей 12 июля следующего года), и заводской летчик-испытатель Г.А. Мищенко выполнил на нем первый полет. Сразу обнаружился серьезный недостаток - очень сильно грелось масло. Маслорадиатор поставили от М-105, а его не хватало. Летать было нельзя. Пытались устранить перегрев, расширяя туннель маслорадиатора, несколько увеличили отклонение совка. Пробовали летать на рассвете, чтоб прохладней было. Мищенко делал над аэродромом круг и, вылезая из кабины, говорил:</w:t>
      </w:r>
    </w:p>
    <w:p w14:paraId="3594AC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Уже зашкалило...</w:t>
      </w:r>
    </w:p>
    <w:p w14:paraId="23A9003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временем сведения о новом истребителе дошли до ГКО. Валединский докладывал о работах Швецову, а тот - в свой обком партии, секретарь которого Н.И. Гусаров, как и секретарь горь- ковского обкома М.И. Родионов, доложили в ЦК. Давал информацию по своей линии и военпред завода...".</w:t>
      </w:r>
    </w:p>
    <w:p w14:paraId="2579ED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Четверть века назад была опубликована небольшая книга, даже, пожалуй, брошюра П.Т. Осташенкова "Дерзкие старты" о творчестве С.А. Лавочкина, где также говорилось о создании Ла-5. </w:t>
      </w:r>
    </w:p>
    <w:p w14:paraId="518D0E8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любопытно, там приведены фрагменты записей из дневника Семена Алексеевича, относящиеся, видимо, к началу 1942 г. Подобный документ автор не встречал и потому, с вашего позволения, уважаемый читатель, приведу эти записи, иллюстрирующие некоторые пути создания будущего Jla-5.</w:t>
      </w:r>
    </w:p>
    <w:p w14:paraId="2B73EE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Можно предположить, что после первых гонок мотора на истребителе ЛаГГ-3 Лавочкин записал в блокнот:</w:t>
      </w:r>
    </w:p>
    <w:p w14:paraId="19A37F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зажат капотом. Необходимого обдува головок цилиндров нет... Снять две пушки, на оставшиеся две - перевести весь боекомплект".</w:t>
      </w:r>
    </w:p>
    <w:p w14:paraId="30588E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есть расхождения с рассказом Алексеева, ведь память человека не совсем надежный "инструмент", тем более спустя полвека.</w:t>
      </w:r>
    </w:p>
    <w:p w14:paraId="505384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видим, будущий Ла-5 был задуман с очень мощным вооружением - четырьмя пушками, а в воздух поднялся-с двумя орудиями. Уже в ходе заводских испытаний в блокноте у Лавочкина появилась запись:</w:t>
      </w:r>
    </w:p>
    <w:p w14:paraId="2F14E3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"Потеряна высотность двигателя... Воздухозаборник из капота убрать, расположить его сверху. Пусть несколько ухудшится обзор, но откроется доступ воздуха для охлаждения верхних цилиндров".</w:t>
      </w:r>
    </w:p>
    <w:p w14:paraId="4F76966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когда после первых полетов на этапе государственных испытаний выявилась необходимость доводки машины, появилась еще одна запись:</w:t>
      </w:r>
    </w:p>
    <w:p w14:paraId="13742C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"Изменить систему суфлирования мотора, маслобак из кабины перенести за противопожарную перегородку, улучшить систему управления газом, закрылками".</w:t>
      </w:r>
    </w:p>
    <w:p w14:paraId="6ADD2BB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постепенно формировался облик будущего Ла-5 (12032).</w:t>
      </w:r>
    </w:p>
    <w:p w14:paraId="41E2917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104FD"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пять самолётов МиГ-9 войско</w:t>
      </w:r>
      <w:r w:rsidRPr="008A2E5A">
        <w:rPr>
          <w:rFonts w:ascii="Times New Roman" w:hAnsi="Times New Roman"/>
          <w:color w:val="0070C0"/>
          <w:sz w:val="16"/>
          <w:szCs w:val="16"/>
        </w:rPr>
        <w:softHyphen/>
        <w:t>вой серии перевезли по железной дороге из Куйбышева в столицу на территорию завода № 30 с целью окончательной доводки и передачи в строевые части ВВС КА для проведения войсковых испытаний. Однако в связи с тем, что самолёты являлись, по сути, опытными и на них стояли опытные моторы М-82А первой серии, доводка ВМГ и устранение дефектов заняли довольно продолжительное время — с марта по июнь. Эта работа проводилась на территории заво</w:t>
      </w:r>
      <w:r w:rsidRPr="008A2E5A">
        <w:rPr>
          <w:rFonts w:ascii="Times New Roman" w:hAnsi="Times New Roman"/>
          <w:color w:val="0070C0"/>
          <w:sz w:val="16"/>
          <w:szCs w:val="16"/>
        </w:rPr>
        <w:softHyphen/>
        <w:t>да № 30 специалистами опытного завода № 155 с уча</w:t>
      </w:r>
      <w:r w:rsidRPr="008A2E5A">
        <w:rPr>
          <w:rFonts w:ascii="Times New Roman" w:hAnsi="Times New Roman"/>
          <w:color w:val="0070C0"/>
          <w:sz w:val="16"/>
          <w:szCs w:val="16"/>
        </w:rPr>
        <w:softHyphen/>
        <w:t>стием военпредов завода № 30 и представителей ча</w:t>
      </w:r>
      <w:r w:rsidRPr="008A2E5A">
        <w:rPr>
          <w:rFonts w:ascii="Times New Roman" w:hAnsi="Times New Roman"/>
          <w:color w:val="0070C0"/>
          <w:sz w:val="16"/>
          <w:szCs w:val="16"/>
        </w:rPr>
        <w:softHyphen/>
        <w:t>стей, которым предназначались данные самолёты (23370).</w:t>
      </w:r>
    </w:p>
    <w:p w14:paraId="00B91F2D" w14:textId="77777777" w:rsidR="007D5E08" w:rsidRPr="008A2E5A" w:rsidRDefault="007D5E08" w:rsidP="007D5E08">
      <w:pPr>
        <w:spacing w:after="0" w:line="240" w:lineRule="auto"/>
        <w:jc w:val="both"/>
        <w:rPr>
          <w:rFonts w:ascii="Times New Roman" w:hAnsi="Times New Roman"/>
          <w:color w:val="0070C0"/>
          <w:sz w:val="16"/>
          <w:szCs w:val="16"/>
        </w:rPr>
      </w:pPr>
    </w:p>
    <w:p w14:paraId="58EDBCD7"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военные утвердили заключение по эскизному проекту нового истребите</w:t>
      </w:r>
      <w:r w:rsidRPr="008A2E5A">
        <w:rPr>
          <w:rFonts w:ascii="Times New Roman" w:hAnsi="Times New Roman"/>
          <w:color w:val="0070C0"/>
          <w:sz w:val="16"/>
          <w:szCs w:val="16"/>
        </w:rPr>
        <w:softHyphen/>
        <w:t>ля, который разрабатывался в инициативном порядке и имел название МиГ-11, и рекомендовали включить самолёт в план опыт</w:t>
      </w:r>
      <w:r w:rsidRPr="008A2E5A">
        <w:rPr>
          <w:rFonts w:ascii="Times New Roman" w:hAnsi="Times New Roman"/>
          <w:color w:val="0070C0"/>
          <w:sz w:val="16"/>
          <w:szCs w:val="16"/>
        </w:rPr>
        <w:softHyphen/>
        <w:t>ного самолётостроения.</w:t>
      </w:r>
    </w:p>
    <w:p w14:paraId="3372667D"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после возвращения в Москву и организации опытного завода № 155 был построен макет истреби</w:t>
      </w:r>
      <w:r w:rsidRPr="008A2E5A">
        <w:rPr>
          <w:rFonts w:ascii="Times New Roman" w:hAnsi="Times New Roman"/>
          <w:color w:val="0070C0"/>
          <w:sz w:val="16"/>
          <w:szCs w:val="16"/>
        </w:rPr>
        <w:softHyphen/>
        <w:t>теля, который в июне одобрила макетная комиссия, а в августе 1942 года начались испытания модели но</w:t>
      </w:r>
      <w:r w:rsidRPr="008A2E5A">
        <w:rPr>
          <w:rFonts w:ascii="Times New Roman" w:hAnsi="Times New Roman"/>
          <w:color w:val="0070C0"/>
          <w:sz w:val="16"/>
          <w:szCs w:val="16"/>
        </w:rPr>
        <w:softHyphen/>
        <w:t>вого истребителя И-220 в аэродинамической трубе. Первоначально на машину планировали установить мотор АМ-37, но поскольку работы над ним не увен</w:t>
      </w:r>
      <w:r w:rsidRPr="008A2E5A">
        <w:rPr>
          <w:rFonts w:ascii="Times New Roman" w:hAnsi="Times New Roman"/>
          <w:color w:val="0070C0"/>
          <w:sz w:val="16"/>
          <w:szCs w:val="16"/>
        </w:rPr>
        <w:softHyphen/>
        <w:t>чались успехом, выбор пал на перспективный АМ-39.</w:t>
      </w:r>
    </w:p>
    <w:p w14:paraId="46D29B4F"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8A2E5A">
        <w:rPr>
          <w:rFonts w:ascii="Times New Roman" w:hAnsi="Times New Roman"/>
          <w:color w:val="0070C0"/>
          <w:sz w:val="16"/>
          <w:szCs w:val="16"/>
        </w:rPr>
        <w:softHyphen/>
        <w:t>стях. Вооружение состояло из двух синхронных пушек ШВАК с бое</w:t>
      </w:r>
      <w:r w:rsidRPr="008A2E5A">
        <w:rPr>
          <w:rFonts w:ascii="Times New Roman" w:hAnsi="Times New Roman"/>
          <w:color w:val="0070C0"/>
          <w:sz w:val="16"/>
          <w:szCs w:val="16"/>
        </w:rPr>
        <w:softHyphen/>
        <w:t>запасом по 150 патронов. Кроме того, в перегрузку предусмотрели установку ещё двух таких же пу</w:t>
      </w:r>
      <w:r w:rsidRPr="008A2E5A">
        <w:rPr>
          <w:rFonts w:ascii="Times New Roman" w:hAnsi="Times New Roman"/>
          <w:color w:val="0070C0"/>
          <w:sz w:val="16"/>
          <w:szCs w:val="16"/>
        </w:rPr>
        <w:softHyphen/>
        <w:t>шек с тем же боезапасом.</w:t>
      </w:r>
    </w:p>
    <w:p w14:paraId="189CEDA2"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МиГ-3 новый самолёт отли</w:t>
      </w:r>
      <w:r w:rsidRPr="008A2E5A">
        <w:rPr>
          <w:rFonts w:ascii="Times New Roman" w:hAnsi="Times New Roman"/>
          <w:color w:val="0070C0"/>
          <w:sz w:val="16"/>
          <w:szCs w:val="16"/>
        </w:rPr>
        <w:softHyphen/>
        <w:t>чался профилем крыла — вме</w:t>
      </w:r>
      <w:r w:rsidRPr="008A2E5A">
        <w:rPr>
          <w:rFonts w:ascii="Times New Roman" w:hAnsi="Times New Roman"/>
          <w:color w:val="0070C0"/>
          <w:sz w:val="16"/>
          <w:szCs w:val="16"/>
        </w:rPr>
        <w:softHyphen/>
        <w:t>сто традиционного «Кларк УН» с относительной толщиной 14% в корне и 8% на концах использо</w:t>
      </w:r>
      <w:r w:rsidRPr="008A2E5A">
        <w:rPr>
          <w:rFonts w:ascii="Times New Roman" w:hAnsi="Times New Roman"/>
          <w:color w:val="0070C0"/>
          <w:sz w:val="16"/>
          <w:szCs w:val="16"/>
        </w:rPr>
        <w:softHyphen/>
        <w:t>вали NACA-230 с относительной толщиной соответственно 13% и 7%. Крыло получило 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8A2E5A">
        <w:rPr>
          <w:rFonts w:ascii="Times New Roman" w:hAnsi="Times New Roman"/>
          <w:color w:val="0070C0"/>
          <w:sz w:val="16"/>
          <w:szCs w:val="16"/>
        </w:rPr>
        <w:softHyphen/>
        <w:t>пастным винтом АВ-5Л-126А диаметром 3,2 м.</w:t>
      </w:r>
    </w:p>
    <w:p w14:paraId="575521B6"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Машина имела оригинальную конструкцию шас</w:t>
      </w:r>
      <w:r w:rsidRPr="008A2E5A">
        <w:rPr>
          <w:rFonts w:ascii="Times New Roman" w:hAnsi="Times New Roman"/>
          <w:color w:val="0070C0"/>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8A2E5A">
        <w:rPr>
          <w:rFonts w:ascii="Times New Roman" w:hAnsi="Times New Roman"/>
          <w:color w:val="0070C0"/>
          <w:sz w:val="16"/>
          <w:szCs w:val="16"/>
        </w:rPr>
        <w:softHyphen/>
        <w:t>ло безопасность посадки с большими перегрузками. Также впервые в отечественной авиации на самолё</w:t>
      </w:r>
      <w:r w:rsidRPr="008A2E5A">
        <w:rPr>
          <w:rFonts w:ascii="Times New Roman" w:hAnsi="Times New Roman"/>
          <w:color w:val="0070C0"/>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77FB365B"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мотором мощностью 1800 л.с. и удельной нагруз</w:t>
      </w:r>
      <w:r w:rsidRPr="008A2E5A">
        <w:rPr>
          <w:rFonts w:ascii="Times New Roman" w:hAnsi="Times New Roman"/>
          <w:color w:val="0070C0"/>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8A2E5A">
        <w:rPr>
          <w:rFonts w:ascii="Times New Roman" w:hAnsi="Times New Roman"/>
          <w:color w:val="0070C0"/>
          <w:sz w:val="16"/>
          <w:szCs w:val="16"/>
        </w:rPr>
        <w:softHyphen/>
        <w:t>дующей заменой на АМ-39 (23379).</w:t>
      </w:r>
    </w:p>
    <w:p w14:paraId="7B6128D5" w14:textId="77777777" w:rsidR="007D5E08" w:rsidRPr="008A2E5A" w:rsidRDefault="007D5E08" w:rsidP="007D5E08">
      <w:pPr>
        <w:spacing w:after="0" w:line="240" w:lineRule="auto"/>
        <w:jc w:val="both"/>
        <w:rPr>
          <w:rFonts w:ascii="Times New Roman" w:hAnsi="Times New Roman"/>
          <w:color w:val="0070C0"/>
          <w:sz w:val="16"/>
          <w:szCs w:val="16"/>
        </w:rPr>
      </w:pPr>
    </w:p>
    <w:p w14:paraId="2BF3BD2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при облете И-185 М-71 фронтовыми лет</w:t>
      </w:r>
      <w:r w:rsidRPr="008127F8">
        <w:rPr>
          <w:rFonts w:ascii="Times New Roman" w:hAnsi="Times New Roman"/>
          <w:color w:val="000000" w:themeColor="text1"/>
          <w:sz w:val="16"/>
          <w:szCs w:val="16"/>
        </w:rPr>
        <w:softHyphen/>
        <w:t>чиками командир 18 Гвардейс</w:t>
      </w:r>
      <w:r w:rsidRPr="008127F8">
        <w:rPr>
          <w:rFonts w:ascii="Times New Roman" w:hAnsi="Times New Roman"/>
          <w:color w:val="000000" w:themeColor="text1"/>
          <w:sz w:val="16"/>
          <w:szCs w:val="16"/>
        </w:rPr>
        <w:softHyphen/>
        <w:t>кого иап майор Чертов и его заместитель ка</w:t>
      </w:r>
      <w:r w:rsidRPr="008127F8">
        <w:rPr>
          <w:rFonts w:ascii="Times New Roman" w:hAnsi="Times New Roman"/>
          <w:color w:val="000000" w:themeColor="text1"/>
          <w:sz w:val="16"/>
          <w:szCs w:val="16"/>
        </w:rPr>
        <w:softHyphen/>
        <w:t xml:space="preserve">питан Цветков дали следущую оценку И-185 как истребителю: </w:t>
      </w:r>
      <w:r w:rsidRPr="008127F8">
        <w:rPr>
          <w:rFonts w:ascii="Times New Roman" w:hAnsi="Times New Roman"/>
          <w:iCs/>
          <w:color w:val="000000" w:themeColor="text1"/>
          <w:sz w:val="16"/>
          <w:szCs w:val="16"/>
        </w:rPr>
        <w:t>«Преимущества данного са</w:t>
      </w:r>
      <w:r w:rsidRPr="008127F8">
        <w:rPr>
          <w:rFonts w:ascii="Times New Roman" w:hAnsi="Times New Roman"/>
          <w:iCs/>
          <w:color w:val="000000" w:themeColor="text1"/>
          <w:sz w:val="16"/>
          <w:szCs w:val="16"/>
        </w:rPr>
        <w:softHyphen/>
        <w:t>молета перед имеющимися очевидны. Любой летчик средней квалификации, в особенность летающий на И-16, легко может летать на дан ном самолете. Разбег и пробег являются осо бенно положительной чертой для боевой ра боты... В отличие от имеющихся самолетов ка бина комфортна»</w:t>
      </w:r>
      <w:r w:rsidRPr="008127F8">
        <w:rPr>
          <w:rFonts w:ascii="Times New Roman" w:hAnsi="Times New Roman"/>
          <w:color w:val="000000" w:themeColor="text1"/>
          <w:sz w:val="16"/>
          <w:szCs w:val="16"/>
        </w:rPr>
        <w:t xml:space="preserve"> (9979).</w:t>
      </w:r>
    </w:p>
    <w:p w14:paraId="40AD48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7334E" w14:textId="77777777" w:rsidR="00AE4F9B" w:rsidRPr="008127F8" w:rsidRDefault="00AE4F9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года Воронов отказал </w:t>
      </w:r>
      <w:proofErr w:type="gramStart"/>
      <w:r w:rsidRPr="008127F8">
        <w:rPr>
          <w:rFonts w:ascii="Times New Roman" w:hAnsi="Times New Roman"/>
          <w:color w:val="000000" w:themeColor="text1"/>
          <w:sz w:val="16"/>
          <w:szCs w:val="16"/>
        </w:rPr>
        <w:t>от дальнейшей постройке</w:t>
      </w:r>
      <w:proofErr w:type="gramEnd"/>
      <w:r w:rsidRPr="008127F8">
        <w:rPr>
          <w:rFonts w:ascii="Times New Roman" w:hAnsi="Times New Roman"/>
          <w:color w:val="000000" w:themeColor="text1"/>
          <w:sz w:val="16"/>
          <w:szCs w:val="16"/>
        </w:rPr>
        <w:t xml:space="preserve"> 50 автожиров, сославшись на то, что завод №290 не выполняет заказ, а автожиры не соответствуют тактико-техническим характеристикам (ТТХ). В силе остался лишь ремонт автожиров. Столь резкая смена позиции выглядела странной, особенно с учётом того, что А-7-3а своим ТТХ соответствовал (18227).</w:t>
      </w:r>
    </w:p>
    <w:p w14:paraId="3F081EBD" w14:textId="77777777" w:rsidR="00AE4F9B" w:rsidRPr="008127F8" w:rsidRDefault="00AE4F9B" w:rsidP="001E0A84">
      <w:pPr>
        <w:spacing w:after="0" w:line="240" w:lineRule="auto"/>
        <w:jc w:val="both"/>
        <w:rPr>
          <w:rFonts w:ascii="Times New Roman" w:hAnsi="Times New Roman"/>
          <w:color w:val="000000" w:themeColor="text1"/>
          <w:sz w:val="16"/>
          <w:szCs w:val="16"/>
        </w:rPr>
      </w:pPr>
    </w:p>
    <w:p w14:paraId="3590059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 Новосибирске провели полигонные испытания синхронного пушечно го вооружения И-185 М-82</w:t>
      </w:r>
      <w:proofErr w:type="gramStart"/>
      <w:r w:rsidRPr="008127F8">
        <w:rPr>
          <w:rFonts w:ascii="Times New Roman" w:hAnsi="Times New Roman"/>
          <w:color w:val="000000" w:themeColor="text1"/>
          <w:sz w:val="16"/>
          <w:szCs w:val="16"/>
        </w:rPr>
        <w:t>А«</w:t>
      </w:r>
      <w:proofErr w:type="gramEnd"/>
      <w:r w:rsidRPr="008127F8">
        <w:rPr>
          <w:rFonts w:ascii="Times New Roman" w:hAnsi="Times New Roman"/>
          <w:color w:val="000000" w:themeColor="text1"/>
          <w:sz w:val="16"/>
          <w:szCs w:val="16"/>
        </w:rPr>
        <w:t>И» (9979).</w:t>
      </w:r>
    </w:p>
    <w:p w14:paraId="7134206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C6E2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зам. наркома обороны Н.Воронов в письме А.И.Шахурину писал, что автожир А-7 устарел, но что он считает, что ГАУ нуждается в автожирах. Поэтому просил усилить базу 290 завода в Билимбае, но, одновременно, предлагал придать суду директора и ГК Н.Камова, так как ни одного боевого вылета автожирная эскадрилья так сделать и не смогла (257,19).</w:t>
      </w:r>
    </w:p>
    <w:p w14:paraId="78ABB54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FAEF4A" w14:textId="77777777" w:rsidR="009D0595" w:rsidRPr="008127F8" w:rsidRDefault="009D059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Заместитель наркома обо</w:t>
      </w:r>
      <w:r w:rsidRPr="008127F8">
        <w:rPr>
          <w:rFonts w:ascii="Times New Roman" w:hAnsi="Times New Roman"/>
          <w:color w:val="000000" w:themeColor="text1"/>
          <w:sz w:val="16"/>
          <w:szCs w:val="16"/>
        </w:rPr>
        <w:softHyphen/>
        <w:t>роны генерал-полковник Воронов писал наркому авиационной промышленности Шахурину о необ</w:t>
      </w:r>
      <w:r w:rsidRPr="008127F8">
        <w:rPr>
          <w:rFonts w:ascii="Times New Roman" w:hAnsi="Times New Roman"/>
          <w:color w:val="000000" w:themeColor="text1"/>
          <w:sz w:val="16"/>
          <w:szCs w:val="16"/>
        </w:rPr>
        <w:softHyphen/>
        <w:t>ходимости наличия автожиров в войсках. Авто</w:t>
      </w:r>
      <w:r w:rsidRPr="008127F8">
        <w:rPr>
          <w:rFonts w:ascii="Times New Roman" w:hAnsi="Times New Roman"/>
          <w:color w:val="000000" w:themeColor="text1"/>
          <w:sz w:val="16"/>
          <w:szCs w:val="16"/>
        </w:rPr>
        <w:softHyphen/>
        <w:t>жиры, способные работать с ограниченных площадок, бы</w:t>
      </w:r>
      <w:r w:rsidRPr="008127F8">
        <w:rPr>
          <w:rFonts w:ascii="Times New Roman" w:hAnsi="Times New Roman"/>
          <w:color w:val="000000" w:themeColor="text1"/>
          <w:sz w:val="16"/>
          <w:szCs w:val="16"/>
        </w:rPr>
        <w:softHyphen/>
        <w:t>ли особенно необходимы при работе с артиллерией в горной, лесистой и болотистой местности, особенно в межсезонную распутицу, когда размокшие полевые аэро</w:t>
      </w:r>
      <w:r w:rsidRPr="008127F8">
        <w:rPr>
          <w:rFonts w:ascii="Times New Roman" w:hAnsi="Times New Roman"/>
          <w:color w:val="000000" w:themeColor="text1"/>
          <w:sz w:val="16"/>
          <w:szCs w:val="16"/>
        </w:rPr>
        <w:softHyphen/>
        <w:t>дромы делали невозможными полеты обычных самолетов. Воронов знал о проектировании нового автожира АК кон</w:t>
      </w:r>
      <w:r w:rsidRPr="008127F8">
        <w:rPr>
          <w:rFonts w:ascii="Times New Roman" w:hAnsi="Times New Roman"/>
          <w:color w:val="000000" w:themeColor="text1"/>
          <w:sz w:val="16"/>
          <w:szCs w:val="16"/>
        </w:rPr>
        <w:softHyphen/>
        <w:t>струкции Камова и определенные надежды связывал с ним. Он просил Шахурина усилить производственную ба</w:t>
      </w:r>
      <w:r w:rsidRPr="008127F8">
        <w:rPr>
          <w:rFonts w:ascii="Times New Roman" w:hAnsi="Times New Roman"/>
          <w:color w:val="000000" w:themeColor="text1"/>
          <w:sz w:val="16"/>
          <w:szCs w:val="16"/>
        </w:rPr>
        <w:softHyphen/>
        <w:t>зу завода № 290, сосредоточив там всех специалистов по винтокрылым аппаратам (20361).</w:t>
      </w:r>
    </w:p>
    <w:p w14:paraId="20BAD3AF" w14:textId="77777777" w:rsidR="009D0595" w:rsidRPr="008127F8" w:rsidRDefault="009D0595" w:rsidP="001E0A84">
      <w:pPr>
        <w:shd w:val="clear" w:color="auto" w:fill="FFFFFF"/>
        <w:spacing w:after="0" w:line="240" w:lineRule="auto"/>
        <w:jc w:val="both"/>
        <w:rPr>
          <w:rFonts w:ascii="Times New Roman" w:hAnsi="Times New Roman"/>
          <w:color w:val="000000" w:themeColor="text1"/>
          <w:sz w:val="16"/>
          <w:szCs w:val="16"/>
        </w:rPr>
      </w:pPr>
    </w:p>
    <w:p w14:paraId="6E5715A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разработка и трансмиссии, и самоле</w:t>
      </w:r>
      <w:r w:rsidRPr="008127F8">
        <w:rPr>
          <w:rFonts w:ascii="Times New Roman" w:hAnsi="Times New Roman"/>
          <w:color w:val="000000" w:themeColor="text1"/>
          <w:sz w:val="16"/>
          <w:szCs w:val="16"/>
        </w:rPr>
        <w:softHyphen/>
        <w:t>та окончательно прекратились, так как в условиях вой</w:t>
      </w:r>
      <w:r w:rsidRPr="008127F8">
        <w:rPr>
          <w:rFonts w:ascii="Times New Roman" w:hAnsi="Times New Roman"/>
          <w:color w:val="000000" w:themeColor="text1"/>
          <w:sz w:val="16"/>
          <w:szCs w:val="16"/>
        </w:rPr>
        <w:softHyphen/>
        <w:t>ны приняли решение сконцентрировать усилия на проектах, сулящих скорую отдачу.</w:t>
      </w:r>
    </w:p>
    <w:p w14:paraId="1DE76B6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Поликарпов думал и о дальнейшем развитии ма</w:t>
      </w:r>
      <w:r w:rsidRPr="008127F8">
        <w:rPr>
          <w:rFonts w:ascii="Times New Roman" w:hAnsi="Times New Roman"/>
          <w:color w:val="000000" w:themeColor="text1"/>
          <w:sz w:val="16"/>
          <w:szCs w:val="16"/>
        </w:rPr>
        <w:softHyphen/>
        <w:t>шины. В 1941 г. он разработал проект самолета «П» с винтогондолами, который отличался от ОДБ установкой в фюзеляже не одного, а двух моторов. Шасси убирались от мотогондол к консолям крыла. При соответствующем вооружении «П» мог использоваться в качестве тяжело</w:t>
      </w:r>
      <w:r w:rsidRPr="008127F8">
        <w:rPr>
          <w:rFonts w:ascii="Times New Roman" w:hAnsi="Times New Roman"/>
          <w:color w:val="000000" w:themeColor="text1"/>
          <w:sz w:val="16"/>
          <w:szCs w:val="16"/>
        </w:rPr>
        <w:softHyphen/>
        <w:t>го истребителя.</w:t>
      </w:r>
    </w:p>
    <w:p w14:paraId="5211563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По-видимому, Поликарпов предполагал использо</w:t>
      </w:r>
      <w:r w:rsidRPr="008127F8">
        <w:rPr>
          <w:rFonts w:ascii="Times New Roman" w:hAnsi="Times New Roman"/>
          <w:color w:val="000000" w:themeColor="text1"/>
          <w:sz w:val="16"/>
          <w:szCs w:val="16"/>
        </w:rPr>
        <w:softHyphen/>
        <w:t>вать полученный задел и для создания на основе проек</w:t>
      </w:r>
      <w:r w:rsidRPr="008127F8">
        <w:rPr>
          <w:rFonts w:ascii="Times New Roman" w:hAnsi="Times New Roman"/>
          <w:color w:val="000000" w:themeColor="text1"/>
          <w:sz w:val="16"/>
          <w:szCs w:val="16"/>
        </w:rPr>
        <w:softHyphen/>
        <w:t>тов ОДБ и «П» вертолета. С 1940 г. Николай Николаевич собирал информацию о разработках вертолетов за рубе</w:t>
      </w:r>
      <w:r w:rsidRPr="008127F8">
        <w:rPr>
          <w:rFonts w:ascii="Times New Roman" w:hAnsi="Times New Roman"/>
          <w:color w:val="000000" w:themeColor="text1"/>
          <w:sz w:val="16"/>
          <w:szCs w:val="16"/>
        </w:rPr>
        <w:softHyphen/>
        <w:t>жом, в частности дал указание выполнить для него тща</w:t>
      </w:r>
      <w:r w:rsidRPr="008127F8">
        <w:rPr>
          <w:rFonts w:ascii="Times New Roman" w:hAnsi="Times New Roman"/>
          <w:color w:val="000000" w:themeColor="text1"/>
          <w:sz w:val="16"/>
          <w:szCs w:val="16"/>
        </w:rPr>
        <w:softHyphen/>
        <w:t>тельный перевод статьи из журнала «Flight» № 1567 «Америка занимается геликоптерами» (10667).</w:t>
      </w:r>
    </w:p>
    <w:p w14:paraId="7E2574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1D610"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 казанском филиа</w:t>
      </w:r>
      <w:r w:rsidRPr="008127F8">
        <w:rPr>
          <w:rFonts w:ascii="Times New Roman" w:hAnsi="Times New Roman"/>
          <w:color w:val="000000" w:themeColor="text1"/>
          <w:sz w:val="16"/>
          <w:szCs w:val="16"/>
        </w:rPr>
        <w:softHyphen/>
        <w:t>ле ЦАГИ (начальником здесь был А.А. Дубровин) провели испы</w:t>
      </w:r>
      <w:r w:rsidRPr="008127F8">
        <w:rPr>
          <w:rFonts w:ascii="Times New Roman" w:hAnsi="Times New Roman"/>
          <w:color w:val="000000" w:themeColor="text1"/>
          <w:sz w:val="16"/>
          <w:szCs w:val="16"/>
        </w:rPr>
        <w:softHyphen/>
        <w:t>тания «модели №19 завода №168 НКАП» с целью определения аэродинамиче</w:t>
      </w:r>
      <w:r w:rsidRPr="008127F8">
        <w:rPr>
          <w:rFonts w:ascii="Times New Roman" w:hAnsi="Times New Roman"/>
          <w:color w:val="000000" w:themeColor="text1"/>
          <w:sz w:val="16"/>
          <w:szCs w:val="16"/>
        </w:rPr>
        <w:softHyphen/>
        <w:t>ских характеристик и оценки эффектив</w:t>
      </w:r>
      <w:r w:rsidRPr="008127F8">
        <w:rPr>
          <w:rFonts w:ascii="Times New Roman" w:hAnsi="Times New Roman"/>
          <w:color w:val="000000" w:themeColor="text1"/>
          <w:sz w:val="16"/>
          <w:szCs w:val="16"/>
        </w:rPr>
        <w:softHyphen/>
        <w:t>ности органов управления.</w:t>
      </w:r>
    </w:p>
    <w:p w14:paraId="41AE261D"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отчете по аэродинамическим ис</w:t>
      </w:r>
      <w:r w:rsidRPr="008127F8">
        <w:rPr>
          <w:rFonts w:ascii="Times New Roman" w:hAnsi="Times New Roman"/>
          <w:color w:val="000000" w:themeColor="text1"/>
          <w:sz w:val="16"/>
          <w:szCs w:val="16"/>
        </w:rPr>
        <w:softHyphen/>
        <w:t>пытаниям говорилось, что это была модель транспортного планера, вы</w:t>
      </w:r>
      <w:r w:rsidRPr="008127F8">
        <w:rPr>
          <w:rFonts w:ascii="Times New Roman" w:hAnsi="Times New Roman"/>
          <w:color w:val="000000" w:themeColor="text1"/>
          <w:sz w:val="16"/>
          <w:szCs w:val="16"/>
        </w:rPr>
        <w:softHyphen/>
        <w:t>полненного в виде летающего крыла, снабженного подвесными закрылками, расположенными вдоль всего размаха и вертикальным оперением, помещен</w:t>
      </w:r>
      <w:r w:rsidRPr="008127F8">
        <w:rPr>
          <w:rFonts w:ascii="Times New Roman" w:hAnsi="Times New Roman"/>
          <w:color w:val="000000" w:themeColor="text1"/>
          <w:sz w:val="16"/>
          <w:szCs w:val="16"/>
        </w:rPr>
        <w:softHyphen/>
        <w:t>ным между закрылками и соединен</w:t>
      </w:r>
      <w:r w:rsidRPr="008127F8">
        <w:rPr>
          <w:rFonts w:ascii="Times New Roman" w:hAnsi="Times New Roman"/>
          <w:color w:val="000000" w:themeColor="text1"/>
          <w:sz w:val="16"/>
          <w:szCs w:val="16"/>
        </w:rPr>
        <w:softHyphen/>
        <w:t>ным с крылом небольшим утолщением обтекаемой формы. Закрылки имели площадь, равную 20% площади крыла, выполняли функцию рулей высоты и элеронов.</w:t>
      </w:r>
    </w:p>
    <w:p w14:paraId="50F8FB94"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в аэродинамической трубе показали, что «модель облада</w:t>
      </w:r>
      <w:r w:rsidRPr="008127F8">
        <w:rPr>
          <w:rFonts w:ascii="Times New Roman" w:hAnsi="Times New Roman"/>
          <w:color w:val="000000" w:themeColor="text1"/>
          <w:sz w:val="16"/>
          <w:szCs w:val="16"/>
        </w:rPr>
        <w:softHyphen/>
        <w:t>ет малым значением максимального коэффициента подъемной силы, недо</w:t>
      </w:r>
      <w:r w:rsidRPr="008127F8">
        <w:rPr>
          <w:rFonts w:ascii="Times New Roman" w:hAnsi="Times New Roman"/>
          <w:color w:val="000000" w:themeColor="text1"/>
          <w:sz w:val="16"/>
          <w:szCs w:val="16"/>
        </w:rPr>
        <w:softHyphen/>
        <w:t>статочной эффективностью закрылков и узким диапазоном возможных цент</w:t>
      </w:r>
      <w:r w:rsidRPr="008127F8">
        <w:rPr>
          <w:rFonts w:ascii="Times New Roman" w:hAnsi="Times New Roman"/>
          <w:color w:val="000000" w:themeColor="text1"/>
          <w:sz w:val="16"/>
          <w:szCs w:val="16"/>
        </w:rPr>
        <w:softHyphen/>
        <w:t>ровок. Устойчивость пути и эффектив</w:t>
      </w:r>
      <w:r w:rsidRPr="008127F8">
        <w:rPr>
          <w:rFonts w:ascii="Times New Roman" w:hAnsi="Times New Roman"/>
          <w:color w:val="000000" w:themeColor="text1"/>
          <w:sz w:val="16"/>
          <w:szCs w:val="16"/>
        </w:rPr>
        <w:softHyphen/>
        <w:t>ность руля направления неудовлетво</w:t>
      </w:r>
      <w:r w:rsidRPr="008127F8">
        <w:rPr>
          <w:rFonts w:ascii="Times New Roman" w:hAnsi="Times New Roman"/>
          <w:color w:val="000000" w:themeColor="text1"/>
          <w:sz w:val="16"/>
          <w:szCs w:val="16"/>
        </w:rPr>
        <w:softHyphen/>
        <w:t>рительны». Были даны рекомендации по улучшению и совершенствованию проекта, однако на практике планер не был осуществлен (17475).</w:t>
      </w:r>
    </w:p>
    <w:p w14:paraId="7AD83CD2" w14:textId="77777777" w:rsidR="007E272D" w:rsidRPr="008127F8" w:rsidRDefault="007E272D" w:rsidP="001E0A84">
      <w:pPr>
        <w:spacing w:after="0" w:line="240" w:lineRule="auto"/>
        <w:jc w:val="both"/>
        <w:rPr>
          <w:rFonts w:ascii="Times New Roman" w:hAnsi="Times New Roman"/>
          <w:color w:val="000000" w:themeColor="text1"/>
          <w:sz w:val="16"/>
          <w:szCs w:val="16"/>
        </w:rPr>
      </w:pPr>
    </w:p>
    <w:p w14:paraId="54A23F3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была резолюция И.В.С., гласившая: «Т-щу Маленкову. Возьмите за жабры размазню Шахурина» (12018).</w:t>
      </w:r>
    </w:p>
    <w:p w14:paraId="6F6130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0BB07" w14:textId="77777777" w:rsidR="009D0595" w:rsidRPr="008127F8" w:rsidRDefault="009D059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на документе НКАП появилась резолюция, гласившая: «Т-щу Маленкову. Возьмите за жабры размазню Шахурина». (21417).</w:t>
      </w:r>
    </w:p>
    <w:p w14:paraId="4024087C" w14:textId="77777777" w:rsidR="009D0595" w:rsidRPr="008127F8" w:rsidRDefault="009D0595" w:rsidP="001E0A84">
      <w:pPr>
        <w:spacing w:after="0" w:line="240" w:lineRule="auto"/>
        <w:jc w:val="both"/>
        <w:rPr>
          <w:rFonts w:ascii="Times New Roman" w:hAnsi="Times New Roman"/>
          <w:color w:val="000000" w:themeColor="text1"/>
          <w:sz w:val="16"/>
          <w:szCs w:val="16"/>
        </w:rPr>
      </w:pPr>
    </w:p>
    <w:p w14:paraId="7E9145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Наркомфин А.Г. Зве</w:t>
      </w:r>
      <w:r w:rsidRPr="008127F8">
        <w:rPr>
          <w:rFonts w:ascii="Times New Roman" w:hAnsi="Times New Roman"/>
          <w:color w:val="000000" w:themeColor="text1"/>
          <w:sz w:val="16"/>
          <w:szCs w:val="16"/>
        </w:rPr>
        <w:softHyphen/>
        <w:t>рев писал заместителю председателя СНК А.И. Микояну по поводу договорных цен: «...Поставщик, как пра</w:t>
      </w:r>
      <w:r w:rsidRPr="008127F8">
        <w:rPr>
          <w:rFonts w:ascii="Times New Roman" w:hAnsi="Times New Roman"/>
          <w:color w:val="000000" w:themeColor="text1"/>
          <w:sz w:val="16"/>
          <w:szCs w:val="16"/>
        </w:rPr>
        <w:softHyphen/>
        <w:t>вило, не заинтересован в действительном снижении оптовых цен, которое давило бы на него и заставляло бы снижать себе</w:t>
      </w:r>
      <w:r w:rsidRPr="008127F8">
        <w:rPr>
          <w:rFonts w:ascii="Times New Roman" w:hAnsi="Times New Roman"/>
          <w:color w:val="000000" w:themeColor="text1"/>
          <w:sz w:val="16"/>
          <w:szCs w:val="16"/>
        </w:rPr>
        <w:softHyphen/>
        <w:t>стоимость. Требуется каждый раз специальное постановление СНК СССР, обязывающее наркоматы пересматривать цены на военную продукцию. В свою очередь, установление цены раз в год приводит на практике к тому, что по отдельным изделиям к концу года оптовые цены отрываются от себестоимости» (Цит. по:</w:t>
      </w:r>
      <w:r w:rsidRPr="008127F8">
        <w:rPr>
          <w:rFonts w:ascii="Times New Roman" w:hAnsi="Times New Roman"/>
          <w:iCs/>
          <w:color w:val="000000" w:themeColor="text1"/>
          <w:sz w:val="16"/>
          <w:szCs w:val="16"/>
        </w:rPr>
        <w:t xml:space="preserve"> Симонов Н.С.</w:t>
      </w:r>
      <w:r w:rsidRPr="008127F8">
        <w:rPr>
          <w:rFonts w:ascii="Times New Roman" w:hAnsi="Times New Roman"/>
          <w:color w:val="000000" w:themeColor="text1"/>
          <w:sz w:val="16"/>
          <w:szCs w:val="16"/>
        </w:rPr>
        <w:t xml:space="preserve"> Указ. соч. С. 177), в свя</w:t>
      </w:r>
      <w:r w:rsidRPr="008127F8">
        <w:rPr>
          <w:rFonts w:ascii="Times New Roman" w:hAnsi="Times New Roman"/>
          <w:color w:val="000000" w:themeColor="text1"/>
          <w:sz w:val="16"/>
          <w:szCs w:val="16"/>
        </w:rPr>
        <w:softHyphen/>
        <w:t>зи с чем Зверев предлагал разрешить Госплану и Наркомфину пересматривать сложившиеся цены по мере необходимости (12011).</w:t>
      </w:r>
    </w:p>
    <w:p w14:paraId="261D7DC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E580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НКАП ходатайствовал о при</w:t>
      </w:r>
      <w:r w:rsidRPr="008127F8">
        <w:rPr>
          <w:rFonts w:ascii="Times New Roman" w:hAnsi="Times New Roman"/>
          <w:color w:val="000000" w:themeColor="text1"/>
          <w:sz w:val="16"/>
          <w:szCs w:val="16"/>
        </w:rPr>
        <w:softHyphen/>
        <w:t>влечении на авиапредприятия 4000 женщин, которые должны были заменить на рабочих местах «разбронированных» ра</w:t>
      </w:r>
      <w:r w:rsidRPr="008127F8">
        <w:rPr>
          <w:rFonts w:ascii="Times New Roman" w:hAnsi="Times New Roman"/>
          <w:color w:val="000000" w:themeColor="text1"/>
          <w:sz w:val="16"/>
          <w:szCs w:val="16"/>
        </w:rPr>
        <w:softHyphen/>
        <w:t xml:space="preserve">бочих, призванных в армию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20). В 1942 г. удельный вес женщин среди всего персонала отрасли составил уже 38,3 %, а среди промышленно-производственного персонала — 40,9 % (Самолётостроение в СССР. 1917—1945. Кн. 2. М., 1994. С. 217.) (12011).</w:t>
      </w:r>
    </w:p>
    <w:p w14:paraId="283351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83A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выпуск самолетов из сборочного цеха завода № 84 был доведен до одной машины в день, а с июля завод начал выпускать самолеты с бомбардировочным устройством и довел выпуск до 2-х машин в день. В IV квартале выпуск самолетов снизился вдвое против III квартала. Всего за 1942 год завод изготовил и сдал 386 самолетов (9461).</w:t>
      </w:r>
    </w:p>
    <w:p w14:paraId="437A75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9D6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территории эвакуированного завода № 81 НКАП в Тушино, которая 19 июля 1941 г. по приказу НКАП № 712с от территория эвакуированного завода № 81 НКАП в Тушино со всеми сооружениями передана заводу № 1, был организован завод № 82 НКАП (11982).</w:t>
      </w:r>
    </w:p>
    <w:p w14:paraId="4A97D5A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B32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стройках НКАП работало, по данным НКО 91, а по отчётности ГУКС НКАП — 77 рабочих колонн, а вопрос о сводимости к единой цифре численности персонала этих колонн даже не ставился. Однако уже через месяц отчётность была налажена, и на 9 апреля 1942 г. чис</w:t>
      </w:r>
      <w:r w:rsidRPr="008127F8">
        <w:rPr>
          <w:rFonts w:ascii="Times New Roman" w:hAnsi="Times New Roman"/>
          <w:color w:val="000000" w:themeColor="text1"/>
          <w:sz w:val="16"/>
          <w:szCs w:val="16"/>
        </w:rPr>
        <w:softHyphen/>
        <w:t xml:space="preserve">ленность «рабочих в гимнастёрках» составила 67 213 чел. в составе 79 рабочих колонн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70,71,91.). Это было более чем весомой под</w:t>
      </w:r>
      <w:r w:rsidRPr="008127F8">
        <w:rPr>
          <w:rFonts w:ascii="Times New Roman" w:hAnsi="Times New Roman"/>
          <w:color w:val="000000" w:themeColor="text1"/>
          <w:sz w:val="16"/>
          <w:szCs w:val="16"/>
        </w:rPr>
        <w:softHyphen/>
        <w:t xml:space="preserve">могой, если учесть, что в феврале 1942 г. ГУКС располагал лишь 85 300 рабочими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162). Вероятно, налаживание статистики не в последнюю очередь объяснялось тем, что с марта 1942 г. передача гражданским наркоматам новых колонн прекрати</w:t>
      </w:r>
      <w:r w:rsidRPr="008127F8">
        <w:rPr>
          <w:rFonts w:ascii="Times New Roman" w:hAnsi="Times New Roman"/>
          <w:color w:val="000000" w:themeColor="text1"/>
          <w:sz w:val="16"/>
          <w:szCs w:val="16"/>
        </w:rPr>
        <w:softHyphen/>
        <w:t xml:space="preserve">лась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4466. Л. 276). В дальнейшем рабочие колонны были переданы в ве</w:t>
      </w:r>
      <w:r w:rsidRPr="008127F8">
        <w:rPr>
          <w:rFonts w:ascii="Times New Roman" w:hAnsi="Times New Roman"/>
          <w:color w:val="000000" w:themeColor="text1"/>
          <w:sz w:val="16"/>
          <w:szCs w:val="16"/>
        </w:rPr>
        <w:softHyphen/>
        <w:t>дение Наркомстроя, где получили статус «трудмобилизован- ных», и окончательно были переведены на общее положение в середине 1942 г. (Савицкий ИМ. Указ. соч. С. 65). При анализе деятельности ГУКС НКАП следует учитывать, что это управление нередко участвовало в строительных и монтажных работах и в интересах других наркоматов. Скажем, строительный трест НКАП № 7 уча</w:t>
      </w:r>
      <w:r w:rsidRPr="008127F8">
        <w:rPr>
          <w:rFonts w:ascii="Times New Roman" w:hAnsi="Times New Roman"/>
          <w:color w:val="000000" w:themeColor="text1"/>
          <w:sz w:val="16"/>
          <w:szCs w:val="16"/>
        </w:rPr>
        <w:softHyphen/>
        <w:t>ствовал в строительстве производственных площадей для электрозавода № 208, эвакуированного в Новосибирск из Ле</w:t>
      </w:r>
      <w:r w:rsidRPr="008127F8">
        <w:rPr>
          <w:rFonts w:ascii="Times New Roman" w:hAnsi="Times New Roman"/>
          <w:color w:val="000000" w:themeColor="text1"/>
          <w:sz w:val="16"/>
          <w:szCs w:val="16"/>
        </w:rPr>
        <w:softHyphen/>
        <w:t>нинграда (Савицкий ИМ. Указ. соч. С. 107) (12011).</w:t>
      </w:r>
    </w:p>
    <w:p w14:paraId="03057D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C5195"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w:t>
      </w:r>
      <w:r w:rsidRPr="008A2E5A">
        <w:rPr>
          <w:rFonts w:ascii="Times New Roman" w:hAnsi="Times New Roman"/>
          <w:color w:val="0070C0"/>
          <w:sz w:val="16"/>
          <w:szCs w:val="16"/>
        </w:rPr>
        <w:softHyphen/>
        <w:t>те 1942 г. в Иран прибыли 72 В-25 усовершенствованной модификации В-25С с новыми моторами R-2600-13 в 1700 л. с. и рядом других изменений) В частности, бомбардировщи</w:t>
      </w:r>
      <w:r w:rsidRPr="008A2E5A">
        <w:rPr>
          <w:rFonts w:ascii="Times New Roman" w:hAnsi="Times New Roman"/>
          <w:color w:val="0070C0"/>
          <w:sz w:val="16"/>
          <w:szCs w:val="16"/>
        </w:rPr>
        <w:softHyphen/>
        <w:t>ки типа С оснащались пневматическими антиобледенителями «Гудрич» на перед</w:t>
      </w:r>
      <w:r w:rsidRPr="008A2E5A">
        <w:rPr>
          <w:rFonts w:ascii="Times New Roman" w:hAnsi="Times New Roman"/>
          <w:color w:val="0070C0"/>
          <w:sz w:val="16"/>
          <w:szCs w:val="16"/>
        </w:rPr>
        <w:softHyphen/>
        <w:t>них кромках крыла и оперения и имели увеличенный запас топлива. Изменения в конструкции бомбодержателей позво</w:t>
      </w:r>
      <w:r w:rsidRPr="008A2E5A">
        <w:rPr>
          <w:rFonts w:ascii="Times New Roman" w:hAnsi="Times New Roman"/>
          <w:color w:val="0070C0"/>
          <w:sz w:val="16"/>
          <w:szCs w:val="16"/>
        </w:rPr>
        <w:softHyphen/>
        <w:t>лили увеличить максимальную бомбовую нагрузку (с отечественными бомбами — до 2000 кг, у В-25В получалось не более 640 кг).</w:t>
      </w:r>
    </w:p>
    <w:p w14:paraId="587278B9"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Ведомые гражданскими экипажами из компании «Пан Америкэн», самолеты летели из США через Бразилию, Атлантический океан, Африку и Ближний Восток.</w:t>
      </w:r>
    </w:p>
    <w:p w14:paraId="3A8E48DE"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Приемка самолетов велась на аэродро</w:t>
      </w:r>
      <w:r w:rsidRPr="008A2E5A">
        <w:rPr>
          <w:rFonts w:ascii="Times New Roman" w:hAnsi="Times New Roman"/>
          <w:color w:val="0070C0"/>
          <w:sz w:val="16"/>
          <w:szCs w:val="16"/>
        </w:rPr>
        <w:softHyphen/>
        <w:t>ме Квали-Марги в Иране. Оттуда пере</w:t>
      </w:r>
      <w:r w:rsidRPr="008A2E5A">
        <w:rPr>
          <w:rFonts w:ascii="Times New Roman" w:hAnsi="Times New Roman"/>
          <w:color w:val="0070C0"/>
          <w:sz w:val="16"/>
          <w:szCs w:val="16"/>
        </w:rPr>
        <w:softHyphen/>
        <w:t>гонщики доставляли бомбардировщики в Кировабад, где их забирали предста</w:t>
      </w:r>
      <w:r w:rsidRPr="008A2E5A">
        <w:rPr>
          <w:rFonts w:ascii="Times New Roman" w:hAnsi="Times New Roman"/>
          <w:color w:val="0070C0"/>
          <w:sz w:val="16"/>
          <w:szCs w:val="16"/>
        </w:rPr>
        <w:softHyphen/>
        <w:t>вители из НИИ ВВС и строевых частей. Так, девять экипажей 222-й бад перегнали 47 В-25 в Монино и Чкаловскую. Летели по маршруту Кировабад — Астрахань — Саратов — Куйбышев — Тушино. Всего до конца года в СССР через юг достави</w:t>
      </w:r>
      <w:r w:rsidRPr="008A2E5A">
        <w:rPr>
          <w:rFonts w:ascii="Times New Roman" w:hAnsi="Times New Roman"/>
          <w:color w:val="0070C0"/>
          <w:sz w:val="16"/>
          <w:szCs w:val="16"/>
        </w:rPr>
        <w:softHyphen/>
        <w:t>ли 102 В-25, а всего через Иран прошло 118 этих машин.</w:t>
      </w:r>
    </w:p>
    <w:p w14:paraId="7F8E498E"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Первоначально в Советском Союзе са</w:t>
      </w:r>
      <w:r w:rsidRPr="008A2E5A">
        <w:rPr>
          <w:rFonts w:ascii="Times New Roman" w:hAnsi="Times New Roman"/>
          <w:color w:val="0070C0"/>
          <w:sz w:val="16"/>
          <w:szCs w:val="16"/>
        </w:rPr>
        <w:softHyphen/>
        <w:t>молеты фирмы «Норт Америкэн» реши</w:t>
      </w:r>
      <w:r w:rsidRPr="008A2E5A">
        <w:rPr>
          <w:rFonts w:ascii="Times New Roman" w:hAnsi="Times New Roman"/>
          <w:color w:val="0070C0"/>
          <w:sz w:val="16"/>
          <w:szCs w:val="16"/>
        </w:rPr>
        <w:softHyphen/>
        <w:t>ли использовать так, как это задумывали американские конструкторы, — в качестве дневных фронтовых бомбардировщиков (23513).</w:t>
      </w:r>
    </w:p>
    <w:p w14:paraId="10A8D5C8" w14:textId="77777777" w:rsidR="007D5E08" w:rsidRPr="008A2E5A" w:rsidRDefault="007D5E08" w:rsidP="007D5E08">
      <w:pPr>
        <w:spacing w:after="0" w:line="240" w:lineRule="auto"/>
        <w:jc w:val="both"/>
        <w:rPr>
          <w:rFonts w:ascii="Times New Roman" w:hAnsi="Times New Roman"/>
          <w:color w:val="0070C0"/>
          <w:sz w:val="16"/>
          <w:szCs w:val="16"/>
        </w:rPr>
      </w:pPr>
    </w:p>
    <w:p w14:paraId="5A6DD2F7"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предположительно начались стендовые испытания мотора М-82НВ. Была получена номинальная мощность, соответствующая 1700 л.с. боевой мощности на форсаже (т.е. с максимальным наддувом на 2-й скорости ПЦН).</w:t>
      </w:r>
    </w:p>
    <w:p w14:paraId="4243289E"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весны 1942 г. приступили и к летным испытаниям мотора, для чего был переоборудован один тяжелый бомбардировщик ТБ-7 – работа выполнена силами ОКБ И.Ф. Незваля и завода № 22 (г. Казань) (24263).</w:t>
      </w:r>
    </w:p>
    <w:p w14:paraId="257A1BE7" w14:textId="77777777" w:rsidR="007D5E08" w:rsidRPr="008A2E5A" w:rsidRDefault="007D5E08" w:rsidP="007D5E08">
      <w:pPr>
        <w:spacing w:after="0" w:line="240" w:lineRule="auto"/>
        <w:jc w:val="both"/>
        <w:rPr>
          <w:rFonts w:ascii="Times New Roman" w:hAnsi="Times New Roman"/>
          <w:color w:val="0070C0"/>
          <w:sz w:val="16"/>
          <w:szCs w:val="16"/>
        </w:rPr>
      </w:pPr>
    </w:p>
    <w:p w14:paraId="4128DE0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был открыт южный воздушный маршрут пе</w:t>
      </w:r>
      <w:r w:rsidRPr="008A2E5A">
        <w:rPr>
          <w:rFonts w:ascii="Times New Roman" w:hAnsi="Times New Roman"/>
          <w:color w:val="0070C0"/>
          <w:sz w:val="16"/>
          <w:szCs w:val="16"/>
        </w:rPr>
        <w:softHyphen/>
        <w:t>регона, и первые бомбардировщики В-25 перелетели из Май</w:t>
      </w:r>
      <w:r w:rsidRPr="008A2E5A">
        <w:rPr>
          <w:rFonts w:ascii="Times New Roman" w:hAnsi="Times New Roman"/>
          <w:color w:val="0070C0"/>
          <w:sz w:val="16"/>
          <w:szCs w:val="16"/>
        </w:rPr>
        <w:softHyphen/>
        <w:t>ами (США) в Иран. В Иран В-25 летели под управлением граж</w:t>
      </w:r>
      <w:r w:rsidRPr="008A2E5A">
        <w:rPr>
          <w:rFonts w:ascii="Times New Roman" w:hAnsi="Times New Roman"/>
          <w:color w:val="0070C0"/>
          <w:sz w:val="16"/>
          <w:szCs w:val="16"/>
        </w:rPr>
        <w:softHyphen/>
        <w:t>данских пилотов авиакомпании «Пан Америкэн» из США через Бразилию, Атлантический океан, Африку и Ближний Восток. Первые 72 самолета В-25С прибыли в Иран в марте 1942 (24342).</w:t>
      </w:r>
    </w:p>
    <w:p w14:paraId="57D9F999" w14:textId="77777777" w:rsidR="00EB32CC" w:rsidRPr="008A2E5A" w:rsidRDefault="00EB32CC" w:rsidP="00EB32CC">
      <w:pPr>
        <w:spacing w:after="0" w:line="240" w:lineRule="auto"/>
        <w:jc w:val="both"/>
        <w:rPr>
          <w:rFonts w:ascii="Times New Roman" w:hAnsi="Times New Roman"/>
          <w:color w:val="0070C0"/>
          <w:sz w:val="16"/>
          <w:szCs w:val="16"/>
        </w:rPr>
      </w:pPr>
    </w:p>
    <w:p w14:paraId="588D32FA"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в районе Нахабино проводились испытания новой зимней маскировочной краски Союзной конторы «Лакокраспокрытие» для Главного артиллерийского управления на базе уральских гипсов.  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казеиновая краска не дешифруется и может быть использована для маскировки самолета в зимних условиях 1942 – 1943 годов» (24278).</w:t>
      </w:r>
    </w:p>
    <w:p w14:paraId="3BE9744A" w14:textId="77777777" w:rsidR="007D5E08" w:rsidRPr="008A2E5A" w:rsidRDefault="007D5E08" w:rsidP="007D5E08">
      <w:pPr>
        <w:spacing w:after="0" w:line="240" w:lineRule="auto"/>
        <w:jc w:val="both"/>
        <w:rPr>
          <w:rFonts w:ascii="Times New Roman" w:hAnsi="Times New Roman"/>
          <w:color w:val="0070C0"/>
          <w:sz w:val="16"/>
          <w:szCs w:val="16"/>
        </w:rPr>
      </w:pPr>
    </w:p>
    <w:p w14:paraId="04A415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была подготовлена:</w:t>
      </w:r>
    </w:p>
    <w:p w14:paraId="25C9D6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Объяснительная записка к сводному отчету по промпредприятиям ГВФ за 1941 год</w:t>
      </w:r>
    </w:p>
    <w:p w14:paraId="4B30C74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решения</w:t>
      </w:r>
      <w:proofErr w:type="gramEnd"/>
      <w:r w:rsidRPr="008127F8">
        <w:rPr>
          <w:rFonts w:ascii="Times New Roman" w:hAnsi="Times New Roman"/>
          <w:color w:val="000000" w:themeColor="text1"/>
          <w:sz w:val="16"/>
          <w:szCs w:val="16"/>
        </w:rPr>
        <w:t xml:space="preserve"> СНК от января 1941 года за № 85-37сс завод № 87 был передан в ГУ ВВС.</w:t>
      </w:r>
    </w:p>
    <w:p w14:paraId="2959A6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постановлению СНК за № 863-370сс завод № 89 был передан в систему НКАП 1 апреля 1941 года.</w:t>
      </w:r>
    </w:p>
    <w:p w14:paraId="6F60EA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Омские авиамастерские в 1941 году работали в продолжении 7 месяцев и были переданы по постановлению СНК в систему НКАП.</w:t>
      </w:r>
    </w:p>
    <w:p w14:paraId="741F7C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военным действиями были перебазированы во втором полугодии 1941 года следующие предприятия:</w:t>
      </w:r>
    </w:p>
    <w:p w14:paraId="76F80E5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245 </w:t>
      </w:r>
      <w:proofErr w:type="gramStart"/>
      <w:r w:rsidRPr="008127F8">
        <w:rPr>
          <w:rFonts w:ascii="Times New Roman" w:hAnsi="Times New Roman"/>
          <w:color w:val="000000" w:themeColor="text1"/>
          <w:sz w:val="16"/>
          <w:szCs w:val="16"/>
        </w:rPr>
        <w:t>согласно решения</w:t>
      </w:r>
      <w:proofErr w:type="gramEnd"/>
      <w:r w:rsidRPr="008127F8">
        <w:rPr>
          <w:rFonts w:ascii="Times New Roman" w:hAnsi="Times New Roman"/>
          <w:color w:val="000000" w:themeColor="text1"/>
          <w:sz w:val="16"/>
          <w:szCs w:val="16"/>
        </w:rPr>
        <w:t xml:space="preserve"> ЦК ВКП(б) и распоряжения начальника ГУГВФ переброшен из Киева в Чкалов (областной).</w:t>
      </w:r>
    </w:p>
    <w:p w14:paraId="254B29B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Ленинградские АРМ </w:t>
      </w:r>
      <w:proofErr w:type="gramStart"/>
      <w:r w:rsidRPr="008127F8">
        <w:rPr>
          <w:rFonts w:ascii="Times New Roman" w:hAnsi="Times New Roman"/>
          <w:color w:val="000000" w:themeColor="text1"/>
          <w:sz w:val="16"/>
          <w:szCs w:val="16"/>
        </w:rPr>
        <w:t>согласно решения</w:t>
      </w:r>
      <w:proofErr w:type="gramEnd"/>
      <w:r w:rsidRPr="008127F8">
        <w:rPr>
          <w:rFonts w:ascii="Times New Roman" w:hAnsi="Times New Roman"/>
          <w:color w:val="000000" w:themeColor="text1"/>
          <w:sz w:val="16"/>
          <w:szCs w:val="16"/>
        </w:rPr>
        <w:t xml:space="preserve"> Военсовета Северного флота и последующего распоряжения начальника Аэрофлота, направлены в Иркутск и влиты в Иркутские АРМ</w:t>
      </w:r>
    </w:p>
    <w:p w14:paraId="4F8B88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242 согласно распоряжения военного командования Аэрофлота перебазирован из Харькова:</w:t>
      </w:r>
    </w:p>
    <w:p w14:paraId="370ED2D7"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Самолетные цеха и ремонт моторов М-100 в Алма-Атинские АРМ;</w:t>
      </w:r>
    </w:p>
    <w:p w14:paraId="4EBB574C"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моторов М-11, М-17, М-62 в Свердловские АРМ.</w:t>
      </w:r>
    </w:p>
    <w:p w14:paraId="0410EC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241 (Быково Московской области) по решению правительства перебазировали:</w:t>
      </w:r>
    </w:p>
    <w:p w14:paraId="1851C2AA"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части изготовления 20-ти местных десантных планеров КВ-2 в Тюмень, где планерное хозяйство было передано в систему НКАП;</w:t>
      </w:r>
    </w:p>
    <w:p w14:paraId="13A5AAC2"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части ремонта моторов М-11, М-17 переданы в состав свердловских АРМ.</w:t>
      </w:r>
    </w:p>
    <w:p w14:paraId="5594946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Московские АРМ, переданные в конце сентября 1941 года в ведение РТУ, были перебазированы – ремонт моторов М-11, М-17 в Иркутск, где передано имущество </w:t>
      </w:r>
      <w:r w:rsidRPr="008127F8">
        <w:rPr>
          <w:rFonts w:ascii="Times New Roman" w:hAnsi="Times New Roman"/>
          <w:color w:val="000000" w:themeColor="text1"/>
          <w:sz w:val="16"/>
          <w:szCs w:val="16"/>
        </w:rPr>
        <w:lastRenderedPageBreak/>
        <w:t>Иркутским АРМ и в начале 1942 года переведены в Казань.</w:t>
      </w:r>
    </w:p>
    <w:p w14:paraId="400D97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распоряжению СНК от 30 декабря 1941 года № 7127 реорганизованы мастерские по изготовлению лыж, подкостыльных лыж У-2, П-5, ходовых лыж для НКО и ремонта винтов П-5 и У-2. Мастерские организованы в Ивановской области, станция Мстера Горьковской ж/д.</w:t>
      </w:r>
    </w:p>
    <w:p w14:paraId="6487194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предприятия во втором полугодии 1941 года выполнили для обслуживания боевых частей КА целый ряд специальных, срочных внеплановых работ:</w:t>
      </w:r>
    </w:p>
    <w:p w14:paraId="2DE28507"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распоряжения</w:t>
      </w:r>
      <w:proofErr w:type="gramEnd"/>
      <w:r w:rsidRPr="008127F8">
        <w:rPr>
          <w:rFonts w:ascii="Times New Roman" w:hAnsi="Times New Roman"/>
          <w:color w:val="000000" w:themeColor="text1"/>
          <w:sz w:val="16"/>
          <w:szCs w:val="16"/>
        </w:rPr>
        <w:t xml:space="preserve"> командования Аэрофлота от 8 сентября 1941 года № 04570 произведена установка вооружения на самолетах ПС-84.</w:t>
      </w:r>
    </w:p>
    <w:p w14:paraId="66162027"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Изготовлены санитарные кабины конструкции инженера Филатова для перевозки раненых на самолетах. Кабины изготовлены на заводе № 241 в количестве 38 штук, в Актюбинских АРМ – 175 штук, в Алма-Атинских АРМ – 25 штук.</w:t>
      </w:r>
    </w:p>
    <w:p w14:paraId="79DC645C"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Произведено оборудование самолетов АП-СП санитарными кабинами Филатова.</w:t>
      </w:r>
    </w:p>
    <w:p w14:paraId="170328B7"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Переоборудован на заводе № 241 самолет ПР-5 под санитарный вариант.</w:t>
      </w:r>
    </w:p>
    <w:p w14:paraId="6F3DC1BB"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Изготовлено 1000 пар ходовых лыж для НКО на вновь организованных Мстеровских мастерских.</w:t>
      </w:r>
    </w:p>
    <w:p w14:paraId="2F3E0730"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Организован ремонт самолетов СБ и моторов М-100 на заводе № 242.</w:t>
      </w:r>
    </w:p>
    <w:p w14:paraId="79A697C6"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241 было организовано изготовление 20-ти местных десантных планеров КЦ-2 конструкции Цыбина.</w:t>
      </w:r>
    </w:p>
    <w:p w14:paraId="071970E2"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Произведена установка специального вооружения на самолетах У-2 в Актюбинских АРМ.</w:t>
      </w:r>
    </w:p>
    <w:p w14:paraId="760C3B94"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 242 изготовлено 150 штук бензобаков для бензовозов.</w:t>
      </w:r>
    </w:p>
    <w:p w14:paraId="4E56A6C8"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241 произведен выпуск 19 самолетов АП-СП и двух самолетов Р-5.</w:t>
      </w:r>
    </w:p>
    <w:p w14:paraId="6D4936F9"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243 отремонтировано для ГУ ВВС 11 самолетов ТБ-3.</w:t>
      </w:r>
    </w:p>
    <w:p w14:paraId="2CCED303" w14:textId="77777777" w:rsidR="007E67CF" w:rsidRPr="008127F8" w:rsidRDefault="007E67CF"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Краснодарские АРМ отремонтировали 3 боевых самолета Лагг-3 и 1 самолет И-16 (7853).</w:t>
      </w:r>
    </w:p>
    <w:p w14:paraId="1581EAF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заводу № 241</w:t>
      </w:r>
    </w:p>
    <w:p w14:paraId="341ED2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Освоение ремонта самолета И-153 не производилось вследствие отсутствия самолета. На заводе был организован моторный цех по ремонту моторов.</w:t>
      </w:r>
    </w:p>
    <w:p w14:paraId="1D8425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Освоено производство планеров и после перебазирования завода вместе с кадрами и оборудованием передано в систему НКАП.</w:t>
      </w:r>
    </w:p>
    <w:p w14:paraId="71AD56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заводу № 242</w:t>
      </w:r>
    </w:p>
    <w:p w14:paraId="21EC41B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 ремонт самолетов ПС-41 и ПС-43.</w:t>
      </w:r>
    </w:p>
    <w:p w14:paraId="7FA233A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 ремонт моторов М-62.</w:t>
      </w:r>
    </w:p>
    <w:p w14:paraId="0CA407D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заводу № 243</w:t>
      </w:r>
    </w:p>
    <w:p w14:paraId="0BCCFD3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Освоение ремонта самолета ДБ-3 и моторов М-87 не производилось вследствие их отсутствия. Получено задание на освоение ремонта самолетов Г-2 М-34 (7853).</w:t>
      </w:r>
    </w:p>
    <w:p w14:paraId="521A55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4791F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октября 1941 г. по март 1942 г. ФАРМ-24 и завод № 337 отремонтировали около двух тысяч авиационных и танковых двигателей и выпустили 3634 миномета. По итогам работы в январе и феврале 1942 г., учитывая вклад заводчан в разгром немецких войск, наступавших на сто</w:t>
      </w:r>
      <w:r w:rsidRPr="008127F8">
        <w:rPr>
          <w:rFonts w:ascii="Times New Roman" w:hAnsi="Times New Roman"/>
          <w:color w:val="000000" w:themeColor="text1"/>
          <w:sz w:val="16"/>
          <w:szCs w:val="16"/>
        </w:rPr>
        <w:softHyphen/>
        <w:t>лицу, наркомат авиапромышленности высоко оценил работу завода. Боль</w:t>
      </w:r>
      <w:r w:rsidRPr="008127F8">
        <w:rPr>
          <w:rFonts w:ascii="Times New Roman" w:hAnsi="Times New Roman"/>
          <w:color w:val="000000" w:themeColor="text1"/>
          <w:sz w:val="16"/>
          <w:szCs w:val="16"/>
        </w:rPr>
        <w:softHyphen/>
        <w:t>шая группа сотрудников получила го</w:t>
      </w:r>
      <w:r w:rsidRPr="008127F8">
        <w:rPr>
          <w:rFonts w:ascii="Times New Roman" w:hAnsi="Times New Roman"/>
          <w:color w:val="000000" w:themeColor="text1"/>
          <w:sz w:val="16"/>
          <w:szCs w:val="16"/>
        </w:rPr>
        <w:softHyphen/>
        <w:t>сударственные награды (11159).</w:t>
      </w:r>
    </w:p>
    <w:p w14:paraId="6FB86C0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152F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на основании Постановления ГКО от 15 февраля 1942 года за № 1284сс и приказа НКАП от 21 февраля 1942 года за № 144сс было приступлено к организации завода № 36. В мае 1942 года завод приступил к ремонту моторов водяного охлаждения М-100, М-103 и М-105.</w:t>
      </w:r>
    </w:p>
    <w:p w14:paraId="74CEC49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3B58927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4FF7053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5290EF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D446C6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6500024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Сова С.М. – с 1942 года по 1944 год</w:t>
      </w:r>
    </w:p>
    <w:p w14:paraId="4C658E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Григорьев Г.М. – с 1944 года по 1947 год</w:t>
      </w:r>
    </w:p>
    <w:p w14:paraId="6F24433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Петров А.П. – с 1947 года по 1949 год</w:t>
      </w:r>
    </w:p>
    <w:p w14:paraId="5D33484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Субботин М.И. – с 1949 года по 1956 год</w:t>
      </w:r>
    </w:p>
    <w:p w14:paraId="1369C28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Смирнов А.Д. – с 1956 года</w:t>
      </w:r>
    </w:p>
    <w:p w14:paraId="5B57DD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Должность гл. конструктора с 1943 года занимает Добрынин В.А.</w:t>
      </w:r>
    </w:p>
    <w:p w14:paraId="54E5D75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Смирнов</w:t>
      </w:r>
    </w:p>
    <w:p w14:paraId="10842A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Рыбинск, п/я 20</w:t>
      </w:r>
    </w:p>
    <w:p w14:paraId="396646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авиационный моторостроительный завод (9825).</w:t>
      </w:r>
    </w:p>
    <w:p w14:paraId="23B9EE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6A05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 демзале БНТ ЦАГИ открылась постоянно действующая экспозиция - англо-американские и трофейные, а также и наши машины (173,219).</w:t>
      </w:r>
    </w:p>
    <w:p w14:paraId="4670EF5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видно, результат прихода в БНТ С.А.Кочеригина.</w:t>
      </w:r>
    </w:p>
    <w:p w14:paraId="759A7A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Известно, что наряду с испытаниями первого варианта двухместных машин, а также других вариантов двухместных машин, предложенных ОКБ С.В.И. и предназначающихся для выпуска на заводах, на фронте в марте-апреле 1942 силами ОКБ С.В.И., заводов (24,271), а также самих войсковых специалистов началась доработка имеющихся одноместных и их переделка в двухместные.</w:t>
      </w:r>
    </w:p>
    <w:p w14:paraId="42602C4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что, работы по самостоятельному переоборудованию Ил-2 в двухместные были довольно массовыми доказывается тем, что их проводили и в 16 ВА и в 17 ВА - где в 1 АК переоборудовали аж 66 - крупнокалиберный пулемет (180,102).</w:t>
      </w:r>
    </w:p>
    <w:p w14:paraId="7E8FE1A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FDA04" w14:textId="77777777" w:rsidR="0015278A" w:rsidRPr="008127F8" w:rsidRDefault="0015278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советское командование решило провести полную модернизацию вооружения "Харрикейнов", приведя его в соответствие с требованиями времени. Для сравнения изготовили три варианта модифицированного "Харрикейна": с четырьмя 20-мм пушками ШВАК, двумя ШВАК и двумя крупнокалиберными пулеметами УБТ (именно в турельном варианте, что, по видимому, было связано с более удобной установкой в отсеке вооружения) и, наконец, с четырьмя УБТ. Последний вариант дал выигрыш в весе без ущерба другим характеристикам, но принят как основной был второй, что можно было объяснить недостатком крупнокалиберных пулеметов весной 1942 г. Более того, первые партии выпускались вообще с четырьмя ШВАК. Программой модернизации вооружения "Харрикейна" также предусматривалась установка под крыльями бомбодержателей и шести направляющих под РС-82. Первоначально планировали, что "Харрикейны" будут дорабатываться в Горьком. Но местный авиазавод был полностью загружен истребителями Лавочкина, поэтому переделку под отечественное оружие осуществляли на московском заводе №81 и в Подмосковье, в Подлипках, в мастерских 6-го иак ПВО. Там дорабатывались как вновь поступившие от англичан самолеты, так и уже побывавшие на фронте. Бригады с завода №81 производили эту операцию и на подмосковных аэродромах в Кубинке, Химках, Монине и Егорьевске. На этих базах 6-го иак ПВО перевооружались машины, которые нельзя было перегнать на завод из-за различных неисправностей. Новое мощное вооружение расширило возможности "Харрикейна" как в воздушном бою, так и при действиях по наземным целям (15129).</w:t>
      </w:r>
    </w:p>
    <w:p w14:paraId="70EBC775" w14:textId="77777777" w:rsidR="0015278A" w:rsidRPr="008127F8" w:rsidRDefault="0015278A" w:rsidP="001E0A84">
      <w:pPr>
        <w:spacing w:after="0" w:line="240" w:lineRule="auto"/>
        <w:jc w:val="both"/>
        <w:rPr>
          <w:rFonts w:ascii="Times New Roman" w:hAnsi="Times New Roman"/>
          <w:color w:val="000000" w:themeColor="text1"/>
          <w:sz w:val="16"/>
          <w:szCs w:val="16"/>
        </w:rPr>
      </w:pPr>
    </w:p>
    <w:p w14:paraId="1EB55168" w14:textId="77777777" w:rsidR="009D0595" w:rsidRPr="008127F8" w:rsidRDefault="009D059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пушка 11П-37удовлетворительно прошла Государственные испытания, но трудное положение промышленности в первый период войны требовало ограничить номенклатуру выпускаемых боеприпасов, вследствие чего Нудельману было поручено переделать пушку 11П под патрон Ш-37 с гильзой без бурта. Нудельман справился, и в июле на стенд была установлена первая доработанная пушка 11П-37. Ее показатели несколько снизились по сравнению с полученными в марте с «родным» снарядом, тем не менее преимущества перед Ш-37 оставались весьма существенными. Пушку поставили на несколько ЛаГГ-3 и Як-7, которые также показали большие преимущества в сравнении с предыдущими модификациями с Ш-37. В августе 1942 года Акт с положительными результатами Государственных испытаний пушки 11П-37 был подписан, но рекомендации о принятии ее на вооружение он не содержал. Тогда Нудельман решился обратиться лично к Сталину, утверждая, что принятию на вооружение пушки 11П-37 препятствуют только личные интересы Шпитального. Председатель Государственного Комитета Обороны в тот же день прочел письмо и поручил Наркомам вооружения Д.Ф. Устинову и боеприпасов Б.Л. Ванникову разобраться (22880).</w:t>
      </w:r>
    </w:p>
    <w:p w14:paraId="2D00B955" w14:textId="77777777" w:rsidR="009D0595" w:rsidRPr="008127F8" w:rsidRDefault="009D0595" w:rsidP="001E0A84">
      <w:pPr>
        <w:spacing w:after="0" w:line="240" w:lineRule="auto"/>
        <w:jc w:val="both"/>
        <w:rPr>
          <w:rFonts w:ascii="Times New Roman" w:hAnsi="Times New Roman"/>
          <w:color w:val="000000" w:themeColor="text1"/>
          <w:sz w:val="16"/>
          <w:szCs w:val="16"/>
        </w:rPr>
      </w:pPr>
    </w:p>
    <w:p w14:paraId="1D333334" w14:textId="77777777" w:rsidR="009D0595" w:rsidRPr="008127F8" w:rsidRDefault="009D0595"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В марте 1942 года Норову посоветовали свою конструкцию доработать, а пока с изготовлением повременить. Предлагалась универсальная конструкция, которую предполагалось использовать и для авиации, и для наземного использования. Впрочем, если посмотреть на этот пулемет, а также помнить пулемет СН, чисто авиационный, становится понятно, для кого он делался. Вот и в Арткоме ГАУ КА примерно так и поняли. Кроме того, по ряду причин (часто вообще не имеющих отношение к качеству пушки) инстанции были завалены жалобами на работу ТНШ. На самом деле основная часть проблем ТНШ была связана с производством звеньев и боеприпасов, а также низкой квалификацией пользователей (20693).</w:t>
      </w:r>
    </w:p>
    <w:p w14:paraId="504026B5" w14:textId="77777777" w:rsidR="009D0595" w:rsidRPr="008127F8" w:rsidRDefault="009D0595" w:rsidP="001E0A84">
      <w:pPr>
        <w:pStyle w:val="article-renderblock"/>
        <w:shd w:val="clear" w:color="auto" w:fill="FFFFFF"/>
        <w:spacing w:before="0" w:beforeAutospacing="0" w:after="0" w:afterAutospacing="0"/>
        <w:jc w:val="both"/>
        <w:rPr>
          <w:color w:val="000000" w:themeColor="text1"/>
          <w:sz w:val="16"/>
          <w:szCs w:val="16"/>
        </w:rPr>
      </w:pPr>
    </w:p>
    <w:p w14:paraId="204FC506" w14:textId="77777777" w:rsidR="0015278A" w:rsidRPr="008127F8" w:rsidRDefault="0015278A"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марте 1942 года, когда благодаря помощи товарищей-моряков, Г.В. Терновский смонтировал авиационную реактивную установку для ракет калибра 82 мм на борту сторожевого корабля. Вечером 2 апреля с борта сторожевого катера СКА-084 был "</w:t>
      </w:r>
      <w:r w:rsidRPr="008127F8">
        <w:rPr>
          <w:rFonts w:ascii="Times New Roman" w:eastAsia="Times New Roman" w:hAnsi="Times New Roman"/>
          <w:iCs/>
          <w:color w:val="000000" w:themeColor="text1"/>
          <w:sz w:val="16"/>
          <w:szCs w:val="16"/>
        </w:rPr>
        <w:t>произведен первый залп реактивными снарядами по вражескому торпедоносцу</w:t>
      </w:r>
      <w:r w:rsidRPr="008127F8">
        <w:rPr>
          <w:rFonts w:ascii="Times New Roman" w:eastAsia="Times New Roman" w:hAnsi="Times New Roman"/>
          <w:color w:val="000000" w:themeColor="text1"/>
          <w:sz w:val="16"/>
          <w:szCs w:val="16"/>
        </w:rPr>
        <w:t>" (15982).</w:t>
      </w:r>
    </w:p>
    <w:p w14:paraId="2F4631DA" w14:textId="77777777" w:rsidR="0015278A" w:rsidRPr="008127F8" w:rsidRDefault="0015278A" w:rsidP="001E0A84">
      <w:pPr>
        <w:spacing w:after="0" w:line="240" w:lineRule="auto"/>
        <w:jc w:val="both"/>
        <w:rPr>
          <w:rFonts w:ascii="Times New Roman" w:eastAsia="Times New Roman" w:hAnsi="Times New Roman"/>
          <w:color w:val="000000" w:themeColor="text1"/>
          <w:sz w:val="16"/>
          <w:szCs w:val="16"/>
        </w:rPr>
      </w:pPr>
    </w:p>
    <w:p w14:paraId="32F3344A" w14:textId="77777777" w:rsidR="0015278A" w:rsidRPr="008127F8" w:rsidRDefault="0015278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Артиллерийское Управление Военно-морского флота (АУ ВМФ) совместно с УК приступило к изготовлению опытных образцов реактивных установок. С заводом №733 (б.Компрессор) были проведены работы по заключению договора на разработку проектов реактивных установок по тактико-техническим требованиям АУ ВМФ для кораблей, а также на их изготовление (15982).</w:t>
      </w:r>
    </w:p>
    <w:p w14:paraId="3729C849" w14:textId="77777777" w:rsidR="0015278A" w:rsidRPr="008127F8" w:rsidRDefault="0015278A" w:rsidP="001E0A84">
      <w:pPr>
        <w:spacing w:after="0" w:line="240" w:lineRule="auto"/>
        <w:jc w:val="both"/>
        <w:rPr>
          <w:rFonts w:ascii="Times New Roman" w:hAnsi="Times New Roman"/>
          <w:color w:val="000000" w:themeColor="text1"/>
          <w:sz w:val="16"/>
          <w:szCs w:val="16"/>
        </w:rPr>
      </w:pPr>
    </w:p>
    <w:p w14:paraId="5773DB57" w14:textId="77777777" w:rsidR="009D0595" w:rsidRPr="008127F8" w:rsidRDefault="009D0595"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марте 1942 СКБ «Компрессор» под руководством ведущего конструктора Александра Николаевича Васильева была создана пусковая установка надпалубного типа М-13-МI для снарядов калибра 132 мм. Она крепилась на крыше боевой рубки в корме большого бронекатера вместо устанавливаемой ранее башни танка Т-34 и конструктивно представляла собой артиллерийскую часть установки М-13, смонтированную на специальном основании с шаровым погоном танкового типа и механизмом поворота. Наведение на цель и заряжание осуществлялись с надпалубной части крыши боевой рубки, огороженной защитным устройством, а стрельба — непосредственно из рубки. В мае М-13-МI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w:t>
      </w:r>
    </w:p>
    <w:p w14:paraId="12B281BC" w14:textId="77777777" w:rsidR="009D0595" w:rsidRPr="008127F8" w:rsidRDefault="009D0595"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Второй по времени, в апреле,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6527B6B4" w14:textId="77777777" w:rsidR="009D0595" w:rsidRPr="008127F8" w:rsidRDefault="009D0595"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августе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3F98F414" w14:textId="572B1FEF" w:rsidR="009D0595" w:rsidRPr="008127F8" w:rsidRDefault="009D0595"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8127F8">
        <w:rPr>
          <w:color w:val="000000" w:themeColor="text1"/>
          <w:sz w:val="16"/>
          <w:szCs w:val="16"/>
        </w:rPr>
        <w:t xml:space="preserve">  </w:t>
      </w:r>
      <w:hyperlink r:id="rId90" w:history="1">
        <w:r w:rsidRPr="008127F8">
          <w:rPr>
            <w:rStyle w:val="a6"/>
            <w:rFonts w:eastAsia="Franklin Gothic Book"/>
            <w:color w:val="000000" w:themeColor="text1"/>
            <w:sz w:val="16"/>
            <w:szCs w:val="16"/>
            <w:bdr w:val="none" w:sz="0" w:space="0" w:color="auto" w:frame="1"/>
          </w:rPr>
          <w:t>битве за Сталинград</w:t>
        </w:r>
      </w:hyperlink>
      <w:r w:rsidRPr="008127F8">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69D87130" w14:textId="77777777" w:rsidR="009D0595" w:rsidRPr="008127F8" w:rsidRDefault="009D0595" w:rsidP="001E0A84">
      <w:pPr>
        <w:pStyle w:val="af"/>
        <w:shd w:val="clear" w:color="auto" w:fill="FFFFFF"/>
        <w:spacing w:before="0" w:after="0"/>
        <w:jc w:val="both"/>
        <w:textAlignment w:val="baseline"/>
        <w:rPr>
          <w:color w:val="000000" w:themeColor="text1"/>
          <w:sz w:val="16"/>
          <w:szCs w:val="16"/>
        </w:rPr>
      </w:pPr>
    </w:p>
    <w:p w14:paraId="58F56459"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9177D4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2DE98D"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 выпуск военно-промышленной продукции в восточных районах достиг довоенного уровня по всему Союзу» [Омская область за 50 лет. (Цифры и факты). ‒ Омск: Книжное издательство, 1985. ‒ 236 с. Omskoblast’ za 50 let. (Tsifry i Fakty). ‒ Omsk: Knizhnoe izdatel’stvo, 1985. ‒ 236 </w:t>
      </w:r>
      <w:proofErr w:type="gramStart"/>
      <w:r w:rsidRPr="008127F8">
        <w:rPr>
          <w:rFonts w:ascii="Times New Roman" w:hAnsi="Times New Roman"/>
          <w:color w:val="000000" w:themeColor="text1"/>
          <w:sz w:val="16"/>
          <w:szCs w:val="16"/>
        </w:rPr>
        <w:t>s](</w:t>
      </w:r>
      <w:proofErr w:type="gramEnd"/>
      <w:r w:rsidRPr="008127F8">
        <w:rPr>
          <w:rFonts w:ascii="Times New Roman" w:hAnsi="Times New Roman"/>
          <w:color w:val="000000" w:themeColor="text1"/>
          <w:sz w:val="16"/>
          <w:szCs w:val="16"/>
        </w:rPr>
        <w:t>19632).</w:t>
      </w:r>
    </w:p>
    <w:p w14:paraId="7D65C17A" w14:textId="77777777" w:rsidR="00214277" w:rsidRPr="008127F8" w:rsidRDefault="00214277" w:rsidP="001E0A84">
      <w:pPr>
        <w:spacing w:after="0" w:line="240" w:lineRule="auto"/>
        <w:jc w:val="both"/>
        <w:rPr>
          <w:rFonts w:ascii="Times New Roman" w:hAnsi="Times New Roman"/>
          <w:color w:val="000000" w:themeColor="text1"/>
          <w:sz w:val="16"/>
          <w:szCs w:val="16"/>
        </w:rPr>
      </w:pPr>
    </w:p>
    <w:p w14:paraId="44EF0AB1" w14:textId="77777777" w:rsidR="009D0595" w:rsidRPr="008127F8" w:rsidRDefault="009D0595"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марте 1942 г. нарком финансов А.Г. Зве</w:t>
      </w:r>
      <w:r w:rsidRPr="008127F8">
        <w:rPr>
          <w:rFonts w:ascii="Times New Roman" w:hAnsi="Times New Roman"/>
          <w:color w:val="000000" w:themeColor="text1"/>
          <w:sz w:val="16"/>
          <w:szCs w:val="16"/>
          <w:lang w:eastAsia="ru-RU" w:bidi="ru-RU"/>
        </w:rPr>
        <w:softHyphen/>
        <w:t>рев писал заместителю председателя СНК СССР А.И. Микояну: «Поставщик, как правило, не заинтересован в действительном снижении опто</w:t>
      </w:r>
      <w:r w:rsidRPr="008127F8">
        <w:rPr>
          <w:rFonts w:ascii="Times New Roman" w:hAnsi="Times New Roman"/>
          <w:color w:val="000000" w:themeColor="text1"/>
          <w:sz w:val="16"/>
          <w:szCs w:val="16"/>
          <w:lang w:eastAsia="ru-RU" w:bidi="ru-RU"/>
        </w:rPr>
        <w:softHyphen/>
        <w:t>вых цен, которое давило бы на него и заставляло бы снижать себестоимость. Требуется каждый раз специальное постановление СНК СССР, обязывающее наркоматы пересматривать цены на военную продукцию. В свою очередь, уста</w:t>
      </w:r>
      <w:r w:rsidRPr="008127F8">
        <w:rPr>
          <w:rFonts w:ascii="Times New Roman" w:hAnsi="Times New Roman"/>
          <w:color w:val="000000" w:themeColor="text1"/>
          <w:sz w:val="16"/>
          <w:szCs w:val="16"/>
          <w:lang w:eastAsia="ru-RU" w:bidi="ru-RU"/>
        </w:rPr>
        <w:softHyphen/>
        <w:t>новление цены раз в год приводит на практике к тому, что по отдельным изде</w:t>
      </w:r>
      <w:r w:rsidRPr="008127F8">
        <w:rPr>
          <w:rFonts w:ascii="Times New Roman" w:hAnsi="Times New Roman"/>
          <w:color w:val="000000" w:themeColor="text1"/>
          <w:sz w:val="16"/>
          <w:szCs w:val="16"/>
          <w:lang w:eastAsia="ru-RU" w:bidi="ru-RU"/>
        </w:rPr>
        <w:softHyphen/>
        <w:t>лиям к концу года оптовые цены отрываются от себестоимости». В этой свя</w:t>
      </w:r>
      <w:r w:rsidRPr="008127F8">
        <w:rPr>
          <w:rFonts w:ascii="Times New Roman" w:hAnsi="Times New Roman"/>
          <w:color w:val="000000" w:themeColor="text1"/>
          <w:sz w:val="16"/>
          <w:szCs w:val="16"/>
          <w:lang w:eastAsia="ru-RU" w:bidi="ru-RU"/>
        </w:rPr>
        <w:softHyphen/>
        <w:t>зи Зверев предлагал разрешить Госплану и НКФ пересматривать сложившиеся цены по мере необходимости (22646).</w:t>
      </w:r>
    </w:p>
    <w:p w14:paraId="217A0391" w14:textId="77777777" w:rsidR="009D0595" w:rsidRPr="008127F8" w:rsidRDefault="009D0595" w:rsidP="001E0A84">
      <w:pPr>
        <w:spacing w:after="0" w:line="240" w:lineRule="auto"/>
        <w:jc w:val="both"/>
        <w:rPr>
          <w:rFonts w:ascii="Times New Roman" w:hAnsi="Times New Roman"/>
          <w:color w:val="000000" w:themeColor="text1"/>
          <w:sz w:val="16"/>
          <w:szCs w:val="16"/>
          <w:lang w:eastAsia="ru-RU" w:bidi="ru-RU"/>
        </w:rPr>
      </w:pPr>
    </w:p>
    <w:p w14:paraId="43BC5DE1"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начался выпуск зарядов, вначале минометных на заводе № 512.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w:t>
      </w:r>
    </w:p>
    <w:p w14:paraId="2C6A649F"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512 получил часть эвакуированного с южноукраинского завода оборудования: два гидравлических пресса Круппа, два пресса "Верне-Пфтейдер", четыре штуки калибровочных вальцев и четыре резательных станка. Для организации производства порохов и зарядов были направлены опытные пороховики с других заводов, а также молодые специалисты (С.А.Мекалина, В.О.Морозов, Я.П.Миронов, В.И.Тихонов, Н.И.Тихонова, Н.К.Воловинская и др.).</w:t>
      </w:r>
    </w:p>
    <w:p w14:paraId="08A2E01D"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Освоение производства зарядов было серьезно задержано крупной аварией 11 февраля 1942 г. на фазе прессования. Пресс Круппа был выведен из строя. Не обошлось и без человеческих жертв.</w:t>
      </w:r>
    </w:p>
    <w:p w14:paraId="6B7C5C6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w:t>
      </w:r>
    </w:p>
    <w:p w14:paraId="1CF29BA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выпуском зарядов из привозных переделочных порохов завод 512 создавал необходимую производственную базу для комплексного изготовления порохов. Так, в начале 1943 г. было завершено строительство нитроузла. 3 марта была проведена первая нитрация глицерина, а 25 марта нитроузел был принят комиссией НКБ СССР в постоянную эксплуатацию. Создание собственной производственной базы позволило заводу резко увеличить выпуск ракетных зарядов, в том числе для ракетного снаряда M-31, разработанного во время войны и принятого на вооружение в марте 1943 г. Уже в апреле 1943 г. завод изготовил для этого снаряда первую партию зарядов — 4300 комплектов.</w:t>
      </w:r>
    </w:p>
    <w:p w14:paraId="224A8920"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Большое значение для повышения эффективности работы завода имел перевод в июле 1943 г. на завод 512 Особого бюро, находившегося ранее на среднеуральском пороховом заводе. Главным инженером Особого бюро был А.С.Бакаев. Несколько позднее он был переведен на должность главного инженера завода 512.</w:t>
      </w:r>
    </w:p>
    <w:p w14:paraId="207B453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 возрос объем производства завода в 1944 г. Одной из важных предпосылок для этого явилось продолжавшееся расширение производственной базы завода. Мастерская варки пороховой массы, получив новое оборудование, изготовленное на среднеуральском заводе, перешла на новый прогрессивный полунепрерывный способ изготовления пороховой массы.</w:t>
      </w:r>
    </w:p>
    <w:p w14:paraId="341B892E"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1944 г.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w:t>
      </w:r>
    </w:p>
    <w:p w14:paraId="1F6A6BA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w:t>
      </w:r>
    </w:p>
    <w:p w14:paraId="50B0932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w:t>
      </w:r>
    </w:p>
    <w:p w14:paraId="2109FC7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[Так в тексте. вероятно имелось в виду М-13 и М-8 — im].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w:t>
      </w:r>
    </w:p>
    <w:p w14:paraId="172704AD"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[НИИ-125, г.Дзержинский Московской обл., МАП (1947), МОМ (1965), позднее Научно-исследовательский химико-технологический институт — im]</w:t>
      </w:r>
    </w:p>
    <w:p w14:paraId="4EEB111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в годы Великой Отечественной войны пороховая промышленность страны поставила в Армию более 14 млн. ракетных зарядов. Особенно велик был вклад среднеуральского завода, который изготовил около 2/3 общего производства зарядов. Около 16% зарядов изготовил североуральский завод, развернувший свою работу по производству ракетных зарядов во второй половине 1942 г. Около 10% зарядов изготовил южноуральский завод, выпустивший первые партии зарядов для M-13 и М-8 23 февраля 1943 г. Ракетные пороха и заряды перестали быть узким местом в обеспечении потребностей фронта реактивными снарядами всех калибров (18646).</w:t>
      </w:r>
    </w:p>
    <w:p w14:paraId="2AFBEB63" w14:textId="77777777" w:rsidR="00214277" w:rsidRPr="008127F8" w:rsidRDefault="00214277" w:rsidP="001E0A84">
      <w:pPr>
        <w:spacing w:after="0" w:line="240" w:lineRule="auto"/>
        <w:jc w:val="both"/>
        <w:rPr>
          <w:rFonts w:ascii="Times New Roman" w:hAnsi="Times New Roman"/>
          <w:color w:val="000000" w:themeColor="text1"/>
          <w:sz w:val="16"/>
          <w:szCs w:val="16"/>
        </w:rPr>
      </w:pPr>
    </w:p>
    <w:p w14:paraId="1D81FFBF"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 1942</w:t>
      </w:r>
    </w:p>
    <w:p w14:paraId="1F3D0081"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производства 45-мм снарядов на март 1942 года в Ивановской области</w:t>
      </w:r>
    </w:p>
    <w:tbl>
      <w:tblPr>
        <w:tblW w:w="0" w:type="auto"/>
        <w:tblLook w:val="04A0" w:firstRow="1" w:lastRow="0" w:firstColumn="1" w:lastColumn="0" w:noHBand="0" w:noVBand="1"/>
      </w:tblPr>
      <w:tblGrid>
        <w:gridCol w:w="675"/>
        <w:gridCol w:w="3364"/>
        <w:gridCol w:w="1972"/>
        <w:gridCol w:w="1218"/>
        <w:gridCol w:w="1207"/>
        <w:gridCol w:w="1135"/>
      </w:tblGrid>
      <w:tr w:rsidR="008127F8" w:rsidRPr="008127F8" w14:paraId="2485A504" w14:textId="77777777" w:rsidTr="00B60247">
        <w:tc>
          <w:tcPr>
            <w:tcW w:w="675" w:type="dxa"/>
          </w:tcPr>
          <w:p w14:paraId="02491E99"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п/н</w:t>
            </w:r>
          </w:p>
        </w:tc>
        <w:tc>
          <w:tcPr>
            <w:tcW w:w="3364" w:type="dxa"/>
          </w:tcPr>
          <w:p w14:paraId="4A277CDE"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Название предприятия</w:t>
            </w:r>
          </w:p>
        </w:tc>
        <w:tc>
          <w:tcPr>
            <w:tcW w:w="1972" w:type="dxa"/>
          </w:tcPr>
          <w:p w14:paraId="67EE2DB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Местонахождение</w:t>
            </w:r>
          </w:p>
        </w:tc>
        <w:tc>
          <w:tcPr>
            <w:tcW w:w="1218" w:type="dxa"/>
          </w:tcPr>
          <w:p w14:paraId="375C808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Название наркомата</w:t>
            </w:r>
          </w:p>
        </w:tc>
        <w:tc>
          <w:tcPr>
            <w:tcW w:w="1207" w:type="dxa"/>
          </w:tcPr>
          <w:p w14:paraId="72BB739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Фамилия директора</w:t>
            </w:r>
          </w:p>
        </w:tc>
        <w:tc>
          <w:tcPr>
            <w:tcW w:w="1135" w:type="dxa"/>
          </w:tcPr>
          <w:p w14:paraId="1C4F2D32"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Плановое задание (в тыс.)</w:t>
            </w:r>
          </w:p>
        </w:tc>
      </w:tr>
      <w:tr w:rsidR="008127F8" w:rsidRPr="008127F8" w14:paraId="5A3AEDCA" w14:textId="77777777" w:rsidTr="00B60247">
        <w:tc>
          <w:tcPr>
            <w:tcW w:w="675" w:type="dxa"/>
          </w:tcPr>
          <w:p w14:paraId="361859B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3364" w:type="dxa"/>
          </w:tcPr>
          <w:p w14:paraId="5F371527"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Машиностроительный завод им. Фрунзе</w:t>
            </w:r>
          </w:p>
        </w:tc>
        <w:tc>
          <w:tcPr>
            <w:tcW w:w="1972" w:type="dxa"/>
          </w:tcPr>
          <w:p w14:paraId="5F33582D"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Шуя</w:t>
            </w:r>
          </w:p>
        </w:tc>
        <w:tc>
          <w:tcPr>
            <w:tcW w:w="1218" w:type="dxa"/>
          </w:tcPr>
          <w:p w14:paraId="4FCA9C79"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НКМВ</w:t>
            </w:r>
          </w:p>
        </w:tc>
        <w:tc>
          <w:tcPr>
            <w:tcW w:w="1207" w:type="dxa"/>
          </w:tcPr>
          <w:p w14:paraId="2AE1BDE7"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Кокорев</w:t>
            </w:r>
          </w:p>
        </w:tc>
        <w:tc>
          <w:tcPr>
            <w:tcW w:w="1135" w:type="dxa"/>
          </w:tcPr>
          <w:p w14:paraId="313F08A2"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50</w:t>
            </w:r>
          </w:p>
        </w:tc>
      </w:tr>
      <w:tr w:rsidR="008127F8" w:rsidRPr="008127F8" w14:paraId="66FB0387" w14:textId="77777777" w:rsidTr="00B60247">
        <w:tc>
          <w:tcPr>
            <w:tcW w:w="675" w:type="dxa"/>
          </w:tcPr>
          <w:p w14:paraId="21C14E67"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3364" w:type="dxa"/>
          </w:tcPr>
          <w:p w14:paraId="0FE98E1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Завод им. Королева № 10 </w:t>
            </w:r>
          </w:p>
        </w:tc>
        <w:tc>
          <w:tcPr>
            <w:tcW w:w="1972" w:type="dxa"/>
          </w:tcPr>
          <w:p w14:paraId="0DFD3644"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Иваново</w:t>
            </w:r>
          </w:p>
        </w:tc>
        <w:tc>
          <w:tcPr>
            <w:tcW w:w="1218" w:type="dxa"/>
          </w:tcPr>
          <w:p w14:paraId="461798BB"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НКТП</w:t>
            </w:r>
          </w:p>
        </w:tc>
        <w:tc>
          <w:tcPr>
            <w:tcW w:w="1207" w:type="dxa"/>
          </w:tcPr>
          <w:p w14:paraId="124B2975"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Смирнов</w:t>
            </w:r>
          </w:p>
        </w:tc>
        <w:tc>
          <w:tcPr>
            <w:tcW w:w="1135" w:type="dxa"/>
          </w:tcPr>
          <w:p w14:paraId="68823A14"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35</w:t>
            </w:r>
          </w:p>
        </w:tc>
      </w:tr>
      <w:tr w:rsidR="008127F8" w:rsidRPr="008127F8" w14:paraId="3189008E" w14:textId="77777777" w:rsidTr="00B60247">
        <w:tc>
          <w:tcPr>
            <w:tcW w:w="675" w:type="dxa"/>
          </w:tcPr>
          <w:p w14:paraId="46C35252"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w:t>
            </w:r>
          </w:p>
        </w:tc>
        <w:tc>
          <w:tcPr>
            <w:tcW w:w="3364" w:type="dxa"/>
          </w:tcPr>
          <w:p w14:paraId="4E39EC6E"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Родниковский механический завод при комбинате «Большевик»</w:t>
            </w:r>
          </w:p>
        </w:tc>
        <w:tc>
          <w:tcPr>
            <w:tcW w:w="1972" w:type="dxa"/>
          </w:tcPr>
          <w:p w14:paraId="1F300D3B"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Родники</w:t>
            </w:r>
          </w:p>
        </w:tc>
        <w:tc>
          <w:tcPr>
            <w:tcW w:w="1218" w:type="dxa"/>
          </w:tcPr>
          <w:p w14:paraId="11785F09"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НКТП</w:t>
            </w:r>
          </w:p>
        </w:tc>
        <w:tc>
          <w:tcPr>
            <w:tcW w:w="1207" w:type="dxa"/>
          </w:tcPr>
          <w:p w14:paraId="51E2A480"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Сорокин</w:t>
            </w:r>
          </w:p>
        </w:tc>
        <w:tc>
          <w:tcPr>
            <w:tcW w:w="1135" w:type="dxa"/>
          </w:tcPr>
          <w:p w14:paraId="7ECDA03B"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10</w:t>
            </w:r>
          </w:p>
        </w:tc>
      </w:tr>
      <w:tr w:rsidR="008127F8" w:rsidRPr="008127F8" w14:paraId="5F592F74" w14:textId="77777777" w:rsidTr="00B60247">
        <w:tc>
          <w:tcPr>
            <w:tcW w:w="675" w:type="dxa"/>
          </w:tcPr>
          <w:p w14:paraId="6FE70AA5"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w:t>
            </w:r>
          </w:p>
        </w:tc>
        <w:tc>
          <w:tcPr>
            <w:tcW w:w="3364" w:type="dxa"/>
          </w:tcPr>
          <w:p w14:paraId="0D904B97"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Вичугский машиностроительный завод</w:t>
            </w:r>
          </w:p>
        </w:tc>
        <w:tc>
          <w:tcPr>
            <w:tcW w:w="1972" w:type="dxa"/>
          </w:tcPr>
          <w:p w14:paraId="73B085D7"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Вичуга</w:t>
            </w:r>
          </w:p>
        </w:tc>
        <w:tc>
          <w:tcPr>
            <w:tcW w:w="1218" w:type="dxa"/>
          </w:tcPr>
          <w:p w14:paraId="560B8CD4"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207" w:type="dxa"/>
          </w:tcPr>
          <w:p w14:paraId="14268772"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Дубков</w:t>
            </w:r>
          </w:p>
        </w:tc>
        <w:tc>
          <w:tcPr>
            <w:tcW w:w="1135" w:type="dxa"/>
          </w:tcPr>
          <w:p w14:paraId="2526DF81"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20 </w:t>
            </w:r>
          </w:p>
        </w:tc>
      </w:tr>
      <w:tr w:rsidR="008127F8" w:rsidRPr="008127F8" w14:paraId="1B6260DA" w14:textId="77777777" w:rsidTr="00B60247">
        <w:tc>
          <w:tcPr>
            <w:tcW w:w="675" w:type="dxa"/>
          </w:tcPr>
          <w:p w14:paraId="7B7E5BF0"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3364" w:type="dxa"/>
          </w:tcPr>
          <w:p w14:paraId="399A0E7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Тейковский механический завод при хлопчатобумажном комбинате</w:t>
            </w:r>
          </w:p>
        </w:tc>
        <w:tc>
          <w:tcPr>
            <w:tcW w:w="1972" w:type="dxa"/>
          </w:tcPr>
          <w:p w14:paraId="662A6E1B"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Тейково</w:t>
            </w:r>
          </w:p>
        </w:tc>
        <w:tc>
          <w:tcPr>
            <w:tcW w:w="1218" w:type="dxa"/>
          </w:tcPr>
          <w:p w14:paraId="04CEF175"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НКТП</w:t>
            </w:r>
          </w:p>
        </w:tc>
        <w:tc>
          <w:tcPr>
            <w:tcW w:w="1207" w:type="dxa"/>
          </w:tcPr>
          <w:p w14:paraId="1211BB59"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Корчагин</w:t>
            </w:r>
          </w:p>
        </w:tc>
        <w:tc>
          <w:tcPr>
            <w:tcW w:w="1135" w:type="dxa"/>
          </w:tcPr>
          <w:p w14:paraId="4D4CEE64"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10</w:t>
            </w:r>
          </w:p>
        </w:tc>
      </w:tr>
      <w:tr w:rsidR="008127F8" w:rsidRPr="008127F8" w14:paraId="53E820B5" w14:textId="77777777" w:rsidTr="00B60247">
        <w:tc>
          <w:tcPr>
            <w:tcW w:w="675" w:type="dxa"/>
          </w:tcPr>
          <w:p w14:paraId="282A3B9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3364" w:type="dxa"/>
          </w:tcPr>
          <w:p w14:paraId="773D4375"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Майдаковский завод </w:t>
            </w:r>
          </w:p>
        </w:tc>
        <w:tc>
          <w:tcPr>
            <w:tcW w:w="1972" w:type="dxa"/>
          </w:tcPr>
          <w:p w14:paraId="0451C868"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Майдаково Палехского района</w:t>
            </w:r>
          </w:p>
        </w:tc>
        <w:tc>
          <w:tcPr>
            <w:tcW w:w="1218" w:type="dxa"/>
          </w:tcPr>
          <w:p w14:paraId="5081FCA5"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НКТП </w:t>
            </w:r>
          </w:p>
        </w:tc>
        <w:tc>
          <w:tcPr>
            <w:tcW w:w="1207" w:type="dxa"/>
          </w:tcPr>
          <w:p w14:paraId="25C62EFE"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Чесноков</w:t>
            </w:r>
          </w:p>
        </w:tc>
        <w:tc>
          <w:tcPr>
            <w:tcW w:w="1135" w:type="dxa"/>
          </w:tcPr>
          <w:p w14:paraId="3F059313"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8127F8" w:rsidRPr="008127F8" w14:paraId="6D9DBDD7" w14:textId="77777777" w:rsidTr="00B60247">
        <w:tc>
          <w:tcPr>
            <w:tcW w:w="675" w:type="dxa"/>
          </w:tcPr>
          <w:p w14:paraId="0B3BB3A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w:t>
            </w:r>
          </w:p>
        </w:tc>
        <w:tc>
          <w:tcPr>
            <w:tcW w:w="3364" w:type="dxa"/>
          </w:tcPr>
          <w:p w14:paraId="0C6880E3"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Вязниковский механический завод при фабрике им. К. Либкнехта</w:t>
            </w:r>
          </w:p>
        </w:tc>
        <w:tc>
          <w:tcPr>
            <w:tcW w:w="1972" w:type="dxa"/>
          </w:tcPr>
          <w:p w14:paraId="20254F2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Вязники</w:t>
            </w:r>
          </w:p>
        </w:tc>
        <w:tc>
          <w:tcPr>
            <w:tcW w:w="1218" w:type="dxa"/>
          </w:tcPr>
          <w:p w14:paraId="525B0221"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НКТП</w:t>
            </w:r>
          </w:p>
        </w:tc>
        <w:tc>
          <w:tcPr>
            <w:tcW w:w="1207" w:type="dxa"/>
          </w:tcPr>
          <w:p w14:paraId="086DA035" w14:textId="77777777" w:rsidR="00214277" w:rsidRPr="008127F8" w:rsidRDefault="00214277" w:rsidP="001E0A84">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Павлов</w:t>
            </w:r>
          </w:p>
        </w:tc>
        <w:tc>
          <w:tcPr>
            <w:tcW w:w="1135" w:type="dxa"/>
          </w:tcPr>
          <w:p w14:paraId="70A7BA2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8</w:t>
            </w:r>
          </w:p>
        </w:tc>
      </w:tr>
      <w:tr w:rsidR="008127F8" w:rsidRPr="008127F8" w14:paraId="37DEB7AC" w14:textId="77777777" w:rsidTr="00B60247">
        <w:tc>
          <w:tcPr>
            <w:tcW w:w="675" w:type="dxa"/>
          </w:tcPr>
          <w:p w14:paraId="5788C030"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3364" w:type="dxa"/>
          </w:tcPr>
          <w:p w14:paraId="3441DE9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Фурмановский механический завод</w:t>
            </w:r>
          </w:p>
        </w:tc>
        <w:tc>
          <w:tcPr>
            <w:tcW w:w="1972" w:type="dxa"/>
          </w:tcPr>
          <w:p w14:paraId="5E05D319"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Фурманов</w:t>
            </w:r>
          </w:p>
        </w:tc>
        <w:tc>
          <w:tcPr>
            <w:tcW w:w="1218" w:type="dxa"/>
          </w:tcPr>
          <w:p w14:paraId="20804A6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НКТП</w:t>
            </w:r>
          </w:p>
        </w:tc>
        <w:tc>
          <w:tcPr>
            <w:tcW w:w="1207" w:type="dxa"/>
          </w:tcPr>
          <w:p w14:paraId="74B3804C"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Попков </w:t>
            </w:r>
          </w:p>
        </w:tc>
        <w:tc>
          <w:tcPr>
            <w:tcW w:w="1135" w:type="dxa"/>
          </w:tcPr>
          <w:p w14:paraId="254DE1DE"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w:t>
            </w:r>
          </w:p>
        </w:tc>
      </w:tr>
      <w:tr w:rsidR="008127F8" w:rsidRPr="008127F8" w14:paraId="57D297BB" w14:textId="77777777" w:rsidTr="00B60247">
        <w:tc>
          <w:tcPr>
            <w:tcW w:w="675" w:type="dxa"/>
          </w:tcPr>
          <w:p w14:paraId="763919E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3364" w:type="dxa"/>
          </w:tcPr>
          <w:p w14:paraId="07A37349"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Артель «Ткацкая деталь» промкооперация при СНК РСФСР</w:t>
            </w:r>
          </w:p>
        </w:tc>
        <w:tc>
          <w:tcPr>
            <w:tcW w:w="1972" w:type="dxa"/>
          </w:tcPr>
          <w:p w14:paraId="248A6C32"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218" w:type="dxa"/>
          </w:tcPr>
          <w:p w14:paraId="6D65883D"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207" w:type="dxa"/>
          </w:tcPr>
          <w:p w14:paraId="6B287056"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135" w:type="dxa"/>
          </w:tcPr>
          <w:p w14:paraId="096A8DE7"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8127F8" w:rsidRPr="008127F8" w14:paraId="1750EF02" w14:textId="77777777" w:rsidTr="00B60247">
        <w:tc>
          <w:tcPr>
            <w:tcW w:w="675" w:type="dxa"/>
          </w:tcPr>
          <w:p w14:paraId="4513BF58"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Итого </w:t>
            </w:r>
          </w:p>
        </w:tc>
        <w:tc>
          <w:tcPr>
            <w:tcW w:w="3364" w:type="dxa"/>
          </w:tcPr>
          <w:p w14:paraId="21A067B7"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972" w:type="dxa"/>
          </w:tcPr>
          <w:p w14:paraId="21B79BAB"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218" w:type="dxa"/>
          </w:tcPr>
          <w:p w14:paraId="1BDBADD7"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207" w:type="dxa"/>
          </w:tcPr>
          <w:p w14:paraId="55A8C5DB" w14:textId="77777777" w:rsidR="00214277" w:rsidRPr="008127F8" w:rsidRDefault="00214277" w:rsidP="001E0A84">
            <w:pPr>
              <w:spacing w:after="0" w:line="240" w:lineRule="auto"/>
              <w:jc w:val="both"/>
              <w:rPr>
                <w:rFonts w:ascii="Times New Roman" w:hAnsi="Times New Roman"/>
                <w:color w:val="000000" w:themeColor="text1"/>
                <w:sz w:val="16"/>
                <w:szCs w:val="16"/>
              </w:rPr>
            </w:pPr>
          </w:p>
        </w:tc>
        <w:tc>
          <w:tcPr>
            <w:tcW w:w="1135" w:type="dxa"/>
          </w:tcPr>
          <w:p w14:paraId="46BB379A"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w:t>
            </w:r>
          </w:p>
        </w:tc>
      </w:tr>
    </w:tbl>
    <w:p w14:paraId="16EDCDF6" w14:textId="77777777" w:rsidR="00214277" w:rsidRPr="008127F8" w:rsidRDefault="0021427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На март 1942 года ГКО СССР установил для предприятий страны план по производству 1500 тыс. штук 45-мм артиллерийских снарядов. Из них 169 000 планировалось произвести на территории Ивановской области (чуть более 11 %) (19506).</w:t>
      </w:r>
    </w:p>
    <w:p w14:paraId="3C030C9E" w14:textId="77777777" w:rsidR="00214277" w:rsidRPr="008127F8" w:rsidRDefault="00214277" w:rsidP="001E0A84">
      <w:pPr>
        <w:spacing w:after="0" w:line="240" w:lineRule="auto"/>
        <w:jc w:val="both"/>
        <w:rPr>
          <w:rFonts w:ascii="Times New Roman" w:hAnsi="Times New Roman"/>
          <w:color w:val="000000" w:themeColor="text1"/>
          <w:sz w:val="16"/>
          <w:szCs w:val="16"/>
        </w:rPr>
      </w:pPr>
    </w:p>
    <w:p w14:paraId="5C07D05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НИИ-13 получил задание на проектирование 600 мм мортиры, способной вести огонь снарядами массой 2400 кг с начальной скорость 435 м/сек. Стала проектом И-13-63 “Сталинский удар”. К сентябрю завершили эскизный проект и в нояюре он был представлен Техсовету НКБ и рассматривался до марта 1943 (7691,30).</w:t>
      </w:r>
    </w:p>
    <w:p w14:paraId="32D10D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CC45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завод № 179 НКВ получил задание по разра</w:t>
      </w:r>
      <w:r w:rsidRPr="008127F8">
        <w:rPr>
          <w:rFonts w:ascii="Times New Roman" w:hAnsi="Times New Roman"/>
          <w:color w:val="000000" w:themeColor="text1"/>
          <w:sz w:val="16"/>
          <w:szCs w:val="16"/>
        </w:rPr>
        <w:softHyphen/>
        <w:t>ботке для «двухфунтовой англ, пушки» (42-мм) осколочной гранаты и отработке ее выстрела на отечественных порохах (10782).</w:t>
      </w:r>
    </w:p>
    <w:p w14:paraId="340460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E5D83"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завод № 179 испытал 42-мм выстрел с осколочной гранатой сталистого чугуна, и с мая 1942 г. должен был начаться се</w:t>
      </w:r>
      <w:r w:rsidRPr="008127F8">
        <w:rPr>
          <w:rFonts w:ascii="Times New Roman" w:hAnsi="Times New Roman"/>
          <w:color w:val="000000" w:themeColor="text1"/>
          <w:sz w:val="16"/>
          <w:szCs w:val="16"/>
        </w:rPr>
        <w:softHyphen/>
        <w:t>рийный выпуск патронов с указанным типом снаряда (10782).</w:t>
      </w:r>
    </w:p>
    <w:p w14:paraId="0756440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DA2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была создана спецгруппа при Московском нефтяном институте им. Губкина. Далее преобразована в СКБ-36 НКНП.</w:t>
      </w:r>
    </w:p>
    <w:p w14:paraId="55C76BC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противотанковый станковый гранатомет и оперенная кумулятивная граната (сначала создавали турбореактивную - отказались, с 1944 г. начаты работы по оперенной), далее создана осколочная граната. Гранатомет был принят на вооружение вскоре после ВОВ под названием СГ-82. 29.10.1944 г. вышло распоряжение ГКО № 6838 о мерах по обеспечению проведения в 12.1944 г. войсковых испытаний реактивной бронепрожигающей гранаты РБГ-82, разработанной в СКВ.</w:t>
      </w:r>
    </w:p>
    <w:p w14:paraId="5E7EF0B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А.П. Островский.</w:t>
      </w:r>
    </w:p>
    <w:p w14:paraId="46E639A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Н. Г. Григорян (11982).</w:t>
      </w:r>
    </w:p>
    <w:p w14:paraId="093EC850" w14:textId="77777777" w:rsidR="00F032B1" w:rsidRPr="008127F8" w:rsidRDefault="00F032B1"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7563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на испытания уже подоспели и опытные образцы отечественных кумулятивных боеприпасов калибра 76-мм правда, с немецкими взрывателями. Они испытывались по 30-мм плитам средней и 45-мм плитам высокой твердости при приведенной скорости 292 м/с, что соответствовало дальности стрельбы из танковой пушки Ф-34 около 1500 м. По результатам испытаний были сделаны выводы:</w:t>
      </w:r>
    </w:p>
    <w:p w14:paraId="70D35B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Наиболее опасными с точки зрения поражаемости танков — остроголовые снаряды с бронебойным наконеч</w:t>
      </w:r>
      <w:r w:rsidRPr="008127F8">
        <w:rPr>
          <w:rFonts w:ascii="Times New Roman" w:hAnsi="Times New Roman"/>
          <w:color w:val="000000" w:themeColor="text1"/>
          <w:sz w:val="16"/>
          <w:szCs w:val="16"/>
        </w:rPr>
        <w:softHyphen/>
        <w:t>ником (в отчете — снаряды обр. 41). Эти снаряды облада</w:t>
      </w:r>
      <w:r w:rsidRPr="008127F8">
        <w:rPr>
          <w:rFonts w:ascii="Times New Roman" w:hAnsi="Times New Roman"/>
          <w:color w:val="000000" w:themeColor="text1"/>
          <w:sz w:val="16"/>
          <w:szCs w:val="16"/>
        </w:rPr>
        <w:softHyphen/>
        <w:t>ли той особенностью, что их корпус имел различную твер</w:t>
      </w:r>
      <w:r w:rsidRPr="008127F8">
        <w:rPr>
          <w:rFonts w:ascii="Times New Roman" w:hAnsi="Times New Roman"/>
          <w:color w:val="000000" w:themeColor="text1"/>
          <w:sz w:val="16"/>
          <w:szCs w:val="16"/>
        </w:rPr>
        <w:softHyphen/>
        <w:t>дость в головной и хвостовой части, что достигалось в 37-мм снарядах неравномерной закалкой, а в 47-мм и 50-мм — приварной головкой высокой твердости. Неравномерная закалка сохраняла прочность корпуса снаряда при пробитии им брони высокой твердости. Приме</w:t>
      </w:r>
      <w:r w:rsidRPr="008127F8">
        <w:rPr>
          <w:rFonts w:ascii="Times New Roman" w:hAnsi="Times New Roman"/>
          <w:color w:val="000000" w:themeColor="text1"/>
          <w:sz w:val="16"/>
          <w:szCs w:val="16"/>
        </w:rPr>
        <w:softHyphen/>
        <w:t>нение же бронебойного наконечника помогало снаряду «закуситься» на наклонной броне и «нормализоваться» (довер-нуться в сторону наклона), благодаря чему путь снаряда в броне сокращался. Именно этим объяснялось, что даже ло</w:t>
      </w:r>
      <w:r w:rsidRPr="008127F8">
        <w:rPr>
          <w:rFonts w:ascii="Times New Roman" w:hAnsi="Times New Roman"/>
          <w:color w:val="000000" w:themeColor="text1"/>
          <w:sz w:val="16"/>
          <w:szCs w:val="16"/>
        </w:rPr>
        <w:softHyphen/>
        <w:t>бовая броня Т-34, теоретически не пробиваемая 50-мм тан</w:t>
      </w:r>
      <w:r w:rsidRPr="008127F8">
        <w:rPr>
          <w:rFonts w:ascii="Times New Roman" w:hAnsi="Times New Roman"/>
          <w:color w:val="000000" w:themeColor="text1"/>
          <w:sz w:val="16"/>
          <w:szCs w:val="16"/>
        </w:rPr>
        <w:softHyphen/>
        <w:t>ковым снарядом, часто пробивалась в бою, причем канал шел в броне большей частью наклонно, словно огонь велся немцами с возвышения. Снаряд был оценен очень высоко, но для нашей про</w:t>
      </w:r>
      <w:r w:rsidRPr="008127F8">
        <w:rPr>
          <w:rFonts w:ascii="Times New Roman" w:hAnsi="Times New Roman"/>
          <w:color w:val="000000" w:themeColor="text1"/>
          <w:sz w:val="16"/>
          <w:szCs w:val="16"/>
        </w:rPr>
        <w:softHyphen/>
        <w:t>мышленности, усугубленной эвакуацией, его производство было сочтено очень сложным.</w:t>
      </w:r>
    </w:p>
    <w:p w14:paraId="777620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Подкалиберные боеприпасы были очень привлека</w:t>
      </w:r>
      <w:r w:rsidRPr="008127F8">
        <w:rPr>
          <w:rFonts w:ascii="Times New Roman" w:hAnsi="Times New Roman"/>
          <w:color w:val="000000" w:themeColor="text1"/>
          <w:sz w:val="16"/>
          <w:szCs w:val="16"/>
        </w:rPr>
        <w:softHyphen/>
        <w:t>тельными с точки зрения увеличения бронепробиваемости существующего противотанкового оружия. С их помощью проникновение снаряда возрастало в среднем в 1,5 раза (для малокалиберных снарядов — вдвое).</w:t>
      </w:r>
    </w:p>
    <w:p w14:paraId="09CE102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Применение сердечников из карбида вольфрама было признано наиболее целесобразным для малокалиберных боеприпасов, в особенности - ПТР, крупнокалиберный пулемет, 20-мм танковая пушка, 37-мм зенитная пушка, 37-мм </w:t>
      </w:r>
      <w:r w:rsidRPr="008127F8">
        <w:rPr>
          <w:rFonts w:ascii="Times New Roman" w:hAnsi="Times New Roman"/>
          <w:color w:val="000000" w:themeColor="text1"/>
          <w:sz w:val="16"/>
          <w:szCs w:val="16"/>
          <w:vertAlign w:val="superscript"/>
        </w:rPr>
        <w:t>:</w:t>
      </w:r>
      <w:r w:rsidRPr="008127F8">
        <w:rPr>
          <w:rFonts w:ascii="Times New Roman" w:hAnsi="Times New Roman"/>
          <w:color w:val="000000" w:themeColor="text1"/>
          <w:sz w:val="16"/>
          <w:szCs w:val="16"/>
        </w:rPr>
        <w:t>и 45-мм противотанковая пушка...</w:t>
      </w:r>
    </w:p>
    <w:p w14:paraId="414EC8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Кумулятивные боеприпасы признавались наиболее интересными с точки зрения возможности дать бронебой</w:t>
      </w:r>
      <w:r w:rsidRPr="008127F8">
        <w:rPr>
          <w:rFonts w:ascii="Times New Roman" w:hAnsi="Times New Roman"/>
          <w:color w:val="000000" w:themeColor="text1"/>
          <w:sz w:val="16"/>
          <w:szCs w:val="16"/>
        </w:rPr>
        <w:softHyphen/>
        <w:t>ные средства артиллерии калибра 75-мм и более, обладав</w:t>
      </w:r>
      <w:r w:rsidRPr="008127F8">
        <w:rPr>
          <w:rFonts w:ascii="Times New Roman" w:hAnsi="Times New Roman"/>
          <w:color w:val="000000" w:themeColor="text1"/>
          <w:sz w:val="16"/>
          <w:szCs w:val="16"/>
        </w:rPr>
        <w:softHyphen/>
        <w:t>шей незначительной начальной скоростью снаряда и пото</w:t>
      </w:r>
      <w:r w:rsidRPr="008127F8">
        <w:rPr>
          <w:rFonts w:ascii="Times New Roman" w:hAnsi="Times New Roman"/>
          <w:color w:val="000000" w:themeColor="text1"/>
          <w:sz w:val="16"/>
          <w:szCs w:val="16"/>
        </w:rPr>
        <w:softHyphen/>
        <w:t>му прежде не являвшейся опасной для танка.</w:t>
      </w:r>
    </w:p>
    <w:p w14:paraId="0677DE5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Их пробивная способность могла достигать в среднем диаметра снаряда и не зависела от скорости его соударе</w:t>
      </w:r>
      <w:r w:rsidRPr="008127F8">
        <w:rPr>
          <w:rFonts w:ascii="Times New Roman" w:hAnsi="Times New Roman"/>
          <w:color w:val="000000" w:themeColor="text1"/>
          <w:sz w:val="16"/>
          <w:szCs w:val="16"/>
        </w:rPr>
        <w:softHyphen/>
        <w:t>ния с преградой.</w:t>
      </w:r>
    </w:p>
    <w:p w14:paraId="3F98933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Констатировалось, что подкалиберным снарядам луч</w:t>
      </w:r>
      <w:r w:rsidRPr="008127F8">
        <w:rPr>
          <w:rFonts w:ascii="Times New Roman" w:hAnsi="Times New Roman"/>
          <w:color w:val="000000" w:themeColor="text1"/>
          <w:sz w:val="16"/>
          <w:szCs w:val="16"/>
        </w:rPr>
        <w:softHyphen/>
        <w:t>ше противостоит броня высокой твердости, так как при уг</w:t>
      </w:r>
      <w:r w:rsidRPr="008127F8">
        <w:rPr>
          <w:rFonts w:ascii="Times New Roman" w:hAnsi="Times New Roman"/>
          <w:color w:val="000000" w:themeColor="text1"/>
          <w:sz w:val="16"/>
          <w:szCs w:val="16"/>
        </w:rPr>
        <w:softHyphen/>
        <w:t>лах встречи больших чем 30 градусов, сердечник снаряда часто разрушается не пробивая ее.</w:t>
      </w:r>
    </w:p>
    <w:p w14:paraId="5B55150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же время бронебойным снарядам лучше противо</w:t>
      </w:r>
      <w:r w:rsidRPr="008127F8">
        <w:rPr>
          <w:rFonts w:ascii="Times New Roman" w:hAnsi="Times New Roman"/>
          <w:color w:val="000000" w:themeColor="text1"/>
          <w:sz w:val="16"/>
          <w:szCs w:val="16"/>
        </w:rPr>
        <w:softHyphen/>
        <w:t>стоит вязкая броня средней твердости.</w:t>
      </w:r>
    </w:p>
    <w:p w14:paraId="6A156CA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Рекомендовалось формировать броневую защиту пер</w:t>
      </w:r>
      <w:r w:rsidRPr="008127F8">
        <w:rPr>
          <w:rFonts w:ascii="Times New Roman" w:hAnsi="Times New Roman"/>
          <w:color w:val="000000" w:themeColor="text1"/>
          <w:sz w:val="16"/>
          <w:szCs w:val="16"/>
        </w:rPr>
        <w:softHyphen/>
        <w:t>спективных танков из брони средней твердости, экранируя ее тонкими (10-12 мм) листами высокой твердости (10782).</w:t>
      </w:r>
    </w:p>
    <w:p w14:paraId="52F680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DEC3F" w14:textId="77777777" w:rsidR="002C3817" w:rsidRPr="008127F8" w:rsidRDefault="002C3817"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ОКБ-172 показывая свой вариант 45-мм противотан</w:t>
      </w:r>
      <w:r w:rsidRPr="008127F8">
        <w:rPr>
          <w:rFonts w:ascii="Times New Roman" w:hAnsi="Times New Roman"/>
          <w:color w:val="000000" w:themeColor="text1"/>
          <w:sz w:val="16"/>
          <w:szCs w:val="16"/>
        </w:rPr>
        <w:softHyphen/>
        <w:t>ковой пушки, позже принятой на вооружение под индексом М-42, руководство ОКБ-172 предложило разработать ана</w:t>
      </w:r>
      <w:r w:rsidRPr="008127F8">
        <w:rPr>
          <w:rFonts w:ascii="Times New Roman" w:hAnsi="Times New Roman"/>
          <w:color w:val="000000" w:themeColor="text1"/>
          <w:sz w:val="16"/>
          <w:szCs w:val="16"/>
        </w:rPr>
        <w:softHyphen/>
        <w:t>логичное орудие для вооружения легкого танка. Но до весны 1943 г. к нему не возвращались. Лишь в марте 1943 г. конструкторы получили уточненные ТТТ на 45-мм танко</w:t>
      </w:r>
      <w:r w:rsidRPr="008127F8">
        <w:rPr>
          <w:rFonts w:ascii="Times New Roman" w:hAnsi="Times New Roman"/>
          <w:color w:val="000000" w:themeColor="text1"/>
          <w:sz w:val="16"/>
          <w:szCs w:val="16"/>
        </w:rPr>
        <w:softHyphen/>
        <w:t>вую пушку повышенной мощности, а КБ ГАЗ — на коррекВ мае 1943 г. два опытных образца Т-70, вооруженных 45-мм пушкой ВТ-42, были готовы к испытаниям. Испыта</w:t>
      </w:r>
      <w:r w:rsidRPr="008127F8">
        <w:rPr>
          <w:rFonts w:ascii="Times New Roman" w:hAnsi="Times New Roman"/>
          <w:color w:val="000000" w:themeColor="text1"/>
          <w:sz w:val="16"/>
          <w:szCs w:val="16"/>
        </w:rPr>
        <w:softHyphen/>
        <w:t>ния, по всей видимости, состоялись в июне 1943 г. Собствен</w:t>
      </w:r>
      <w:r w:rsidRPr="008127F8">
        <w:rPr>
          <w:rFonts w:ascii="Times New Roman" w:hAnsi="Times New Roman"/>
          <w:color w:val="000000" w:themeColor="text1"/>
          <w:sz w:val="16"/>
          <w:szCs w:val="16"/>
        </w:rPr>
        <w:softHyphen/>
        <w:t>но, никаких неожиданностей эти испытания не принесли. Танк вел себя аналогично серийному Т-70М, лишь сильно выступающий за габариты танка ствол орудия создавал не</w:t>
      </w:r>
      <w:r w:rsidRPr="008127F8">
        <w:rPr>
          <w:rFonts w:ascii="Times New Roman" w:hAnsi="Times New Roman"/>
          <w:color w:val="000000" w:themeColor="text1"/>
          <w:sz w:val="16"/>
          <w:szCs w:val="16"/>
        </w:rPr>
        <w:softHyphen/>
        <w:t>которые неудобства во время маневрирования на сильнопе</w:t>
      </w:r>
      <w:r w:rsidRPr="008127F8">
        <w:rPr>
          <w:rFonts w:ascii="Times New Roman" w:hAnsi="Times New Roman"/>
          <w:color w:val="000000" w:themeColor="text1"/>
          <w:sz w:val="16"/>
          <w:szCs w:val="16"/>
        </w:rPr>
        <w:softHyphen/>
        <w:t>ресеченной местности...</w:t>
      </w:r>
    </w:p>
    <w:p w14:paraId="0C4D1CFC" w14:textId="77777777" w:rsidR="002C3817" w:rsidRPr="008127F8" w:rsidRDefault="002C3817"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огневая мощь танка усилилось. 45-мм танковая пушка ВТ-42 имела ствол длиной 68,6 калибра и клиновой затвор горизонтального типа. При применении боекомп</w:t>
      </w:r>
      <w:r w:rsidRPr="008127F8">
        <w:rPr>
          <w:rFonts w:ascii="Times New Roman" w:hAnsi="Times New Roman"/>
          <w:color w:val="000000" w:themeColor="text1"/>
          <w:sz w:val="16"/>
          <w:szCs w:val="16"/>
        </w:rPr>
        <w:softHyphen/>
        <w:t>лекта орудия М-42, начальная скорость бронебойного сна</w:t>
      </w:r>
      <w:r w:rsidRPr="008127F8">
        <w:rPr>
          <w:rFonts w:ascii="Times New Roman" w:hAnsi="Times New Roman"/>
          <w:color w:val="000000" w:themeColor="text1"/>
          <w:sz w:val="16"/>
          <w:szCs w:val="16"/>
        </w:rPr>
        <w:softHyphen/>
        <w:t>ряда БР-243СП массой 1,43 кг составляла 960 м/с и позво</w:t>
      </w:r>
      <w:r w:rsidRPr="008127F8">
        <w:rPr>
          <w:rFonts w:ascii="Times New Roman" w:hAnsi="Times New Roman"/>
          <w:color w:val="000000" w:themeColor="text1"/>
          <w:sz w:val="16"/>
          <w:szCs w:val="16"/>
        </w:rPr>
        <w:softHyphen/>
        <w:t>ляла бороться практически со всеми немецкими средними танками в борт на всех дистанциях эффективной стрельбы.</w:t>
      </w:r>
    </w:p>
    <w:p w14:paraId="055D98D6" w14:textId="77777777" w:rsidR="002C3817" w:rsidRPr="008127F8" w:rsidRDefault="002C3817"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ВТ-42 была рекомендована для принятия на во</w:t>
      </w:r>
      <w:r w:rsidRPr="008127F8">
        <w:rPr>
          <w:rFonts w:ascii="Times New Roman" w:hAnsi="Times New Roman"/>
          <w:color w:val="000000" w:themeColor="text1"/>
          <w:sz w:val="16"/>
          <w:szCs w:val="16"/>
        </w:rPr>
        <w:softHyphen/>
        <w:t>оружение, но поскольку уже было принято решение о сня</w:t>
      </w:r>
      <w:r w:rsidRPr="008127F8">
        <w:rPr>
          <w:rFonts w:ascii="Times New Roman" w:hAnsi="Times New Roman"/>
          <w:color w:val="000000" w:themeColor="text1"/>
          <w:sz w:val="16"/>
          <w:szCs w:val="16"/>
        </w:rPr>
        <w:softHyphen/>
        <w:t>тии с производства танка Т-70, орудие возвратилось на за</w:t>
      </w:r>
      <w:r w:rsidRPr="008127F8">
        <w:rPr>
          <w:rFonts w:ascii="Times New Roman" w:hAnsi="Times New Roman"/>
          <w:color w:val="000000" w:themeColor="text1"/>
          <w:sz w:val="16"/>
          <w:szCs w:val="16"/>
        </w:rPr>
        <w:softHyphen/>
        <w:t>вод для переработки с целью установки ее в танке Т-80, производство которого осваивалось на заводе № 40 (11135).</w:t>
      </w:r>
    </w:p>
    <w:p w14:paraId="72BD0070" w14:textId="77777777" w:rsidR="002C3817" w:rsidRPr="008127F8" w:rsidRDefault="002C3817"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C6B974" w14:textId="77777777" w:rsidR="0015278A" w:rsidRPr="008127F8" w:rsidRDefault="0015278A"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марте 1942 г. выпуск ППШ составил 50 855 шт. В марте-апреле 1942 г. производ</w:t>
      </w:r>
      <w:r w:rsidRPr="008127F8">
        <w:rPr>
          <w:rFonts w:ascii="Times New Roman" w:cs="Times New Roman"/>
          <w:color w:val="000000" w:themeColor="text1"/>
          <w:spacing w:val="0"/>
          <w:sz w:val="16"/>
          <w:szCs w:val="16"/>
        </w:rPr>
        <w:softHyphen/>
        <w:t>ство ППШ в Москве перевели на поток, за счет увеличения производительности сократили чи</w:t>
      </w:r>
      <w:r w:rsidRPr="008127F8">
        <w:rPr>
          <w:rFonts w:ascii="Times New Roman" w:cs="Times New Roman"/>
          <w:color w:val="000000" w:themeColor="text1"/>
          <w:spacing w:val="0"/>
          <w:sz w:val="16"/>
          <w:szCs w:val="16"/>
        </w:rPr>
        <w:softHyphen/>
        <w:t>сло смежников. Выпуск доходил до 2 тыс. штук в сутки. Стоит учесть, что до войны в городе не было крупносерийного производства стрел</w:t>
      </w:r>
      <w:r w:rsidRPr="008127F8">
        <w:rPr>
          <w:rFonts w:ascii="Times New Roman" w:cs="Times New Roman"/>
          <w:color w:val="000000" w:themeColor="text1"/>
          <w:spacing w:val="0"/>
          <w:sz w:val="16"/>
          <w:szCs w:val="16"/>
        </w:rPr>
        <w:softHyphen/>
        <w:t>кового оружия. Всего москвичи изготовили около 3 млн. штук ППШ, из них около 1 млн. сдал ЗиС. В день выпуска миллионного ППШ, 27 сентября 1943 г., ЗиС собрал подарочные экземпляры - начальнику ГАУ генерал-полков- нику Н.Д. Яковлеву (впоследствии был пере</w:t>
      </w:r>
      <w:r w:rsidRPr="008127F8">
        <w:rPr>
          <w:rFonts w:ascii="Times New Roman" w:cs="Times New Roman"/>
          <w:color w:val="000000" w:themeColor="text1"/>
          <w:spacing w:val="0"/>
          <w:sz w:val="16"/>
          <w:szCs w:val="16"/>
        </w:rPr>
        <w:softHyphen/>
        <w:t>дан в ВИМАИВиВС), Командующему дальней авиацией маршалу авиации А. Е. Голованову (оружие хранилось в коллекции курсов «Вы</w:t>
      </w:r>
      <w:r w:rsidRPr="008127F8">
        <w:rPr>
          <w:rFonts w:ascii="Times New Roman" w:cs="Times New Roman"/>
          <w:color w:val="000000" w:themeColor="text1"/>
          <w:spacing w:val="0"/>
          <w:sz w:val="16"/>
          <w:szCs w:val="16"/>
        </w:rPr>
        <w:softHyphen/>
        <w:t>стрел» до их ликвидации).</w:t>
      </w:r>
    </w:p>
    <w:p w14:paraId="7DC57F36" w14:textId="77777777" w:rsidR="0015278A" w:rsidRPr="008127F8" w:rsidRDefault="0015278A"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Коврове на Государственном союзном заводе №2 им. К.О. Киркижа для выпуска ППШ в 1942 г. выделили отдельное производ</w:t>
      </w:r>
      <w:r w:rsidRPr="008127F8">
        <w:rPr>
          <w:rFonts w:ascii="Times New Roman" w:cs="Times New Roman"/>
          <w:color w:val="000000" w:themeColor="text1"/>
          <w:spacing w:val="0"/>
          <w:sz w:val="16"/>
          <w:szCs w:val="16"/>
        </w:rPr>
        <w:softHyphen/>
        <w:t>ство; его начальником был назначен инженер М.В. Горячий. Но с июня того же года произ</w:t>
      </w:r>
      <w:r w:rsidRPr="008127F8">
        <w:rPr>
          <w:rFonts w:ascii="Times New Roman" w:cs="Times New Roman"/>
          <w:color w:val="000000" w:themeColor="text1"/>
          <w:spacing w:val="0"/>
          <w:sz w:val="16"/>
          <w:szCs w:val="16"/>
        </w:rPr>
        <w:softHyphen/>
        <w:t>водство начали передавать в Златоуст.</w:t>
      </w:r>
    </w:p>
    <w:p w14:paraId="1CAE4649" w14:textId="77777777" w:rsidR="0015278A" w:rsidRPr="008127F8" w:rsidRDefault="0015278A"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Златоусте ППШ выпускали заводы N 385 и №66 (на станции Уржумка): на эти площадки частично эвакуировали из Тулы оружейный за</w:t>
      </w:r>
      <w:r w:rsidRPr="008127F8">
        <w:rPr>
          <w:rFonts w:ascii="Times New Roman" w:cs="Times New Roman"/>
          <w:color w:val="000000" w:themeColor="text1"/>
          <w:spacing w:val="0"/>
          <w:sz w:val="16"/>
          <w:szCs w:val="16"/>
        </w:rPr>
        <w:softHyphen/>
        <w:t>вод №66. Завод №385 с начала 1942 г. обязы</w:t>
      </w:r>
      <w:r w:rsidRPr="008127F8">
        <w:rPr>
          <w:rFonts w:ascii="Times New Roman" w:cs="Times New Roman"/>
          <w:color w:val="000000" w:themeColor="text1"/>
          <w:spacing w:val="0"/>
          <w:sz w:val="16"/>
          <w:szCs w:val="16"/>
        </w:rPr>
        <w:softHyphen/>
        <w:t>вался выпускать самозарядные винтовки СВТ, но вскоре был переведен на производство ППШ. Из Коврова с завода №2 в Златоуст пе</w:t>
      </w:r>
      <w:r w:rsidRPr="008127F8">
        <w:rPr>
          <w:rFonts w:ascii="Times New Roman" w:cs="Times New Roman"/>
          <w:color w:val="000000" w:themeColor="text1"/>
          <w:spacing w:val="0"/>
          <w:sz w:val="16"/>
          <w:szCs w:val="16"/>
        </w:rPr>
        <w:softHyphen/>
        <w:t>редали детали, оборудование и инструмент (15779).</w:t>
      </w:r>
    </w:p>
    <w:p w14:paraId="64CB282C" w14:textId="77777777" w:rsidR="0015278A" w:rsidRPr="008127F8" w:rsidRDefault="0015278A" w:rsidP="001E0A84">
      <w:pPr>
        <w:pStyle w:val="36"/>
        <w:shd w:val="clear" w:color="auto" w:fill="auto"/>
        <w:spacing w:after="0" w:line="240" w:lineRule="auto"/>
        <w:jc w:val="both"/>
        <w:rPr>
          <w:rFonts w:ascii="Times New Roman" w:cs="Times New Roman"/>
          <w:color w:val="000000" w:themeColor="text1"/>
          <w:spacing w:val="0"/>
          <w:sz w:val="16"/>
          <w:szCs w:val="16"/>
        </w:rPr>
      </w:pPr>
    </w:p>
    <w:p w14:paraId="01915A29" w14:textId="77777777" w:rsidR="009D0595" w:rsidRPr="008127F8" w:rsidRDefault="009D0595"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В марте 1942 года был подготовлен первый проект с индексом ЗИК: им стала 85-мм танковая пушка ЗИК-1, причем ставиться она могла не только в КВ-1, но и в Т-34. В ГАУ КА по поводу ЗИК-1 тактично промолчали, ибо это орудие вполне вписывалось в боевое отделение, аналогичное У-20. То есть задача сделать самоход на базе Т-34 с круговым вращением башни была волне по силам (20881).</w:t>
      </w:r>
    </w:p>
    <w:p w14:paraId="403C861A" w14:textId="77777777" w:rsidR="009D0595" w:rsidRPr="008127F8" w:rsidRDefault="009D0595" w:rsidP="001E0A84">
      <w:pPr>
        <w:pStyle w:val="article-renderblock"/>
        <w:shd w:val="clear" w:color="auto" w:fill="FFFFFF"/>
        <w:spacing w:before="0" w:beforeAutospacing="0" w:after="0" w:afterAutospacing="0"/>
        <w:jc w:val="both"/>
        <w:rPr>
          <w:color w:val="000000" w:themeColor="text1"/>
          <w:sz w:val="16"/>
          <w:szCs w:val="16"/>
        </w:rPr>
      </w:pPr>
    </w:p>
    <w:p w14:paraId="70282803"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марте 1942 года испытывали броню МЛ3. Посчитали, что броневые листы обеспечивают защиту от крупнокалиберных пулеметов и противотанковых ружей на дистанции 100-300 метров. При этом отмечалось вертикальное расположение листов, что снижало эффективность броневой защиты. Осенью 1942 года М3 Легкий </w:t>
      </w:r>
      <w:r w:rsidRPr="008A2E5A">
        <w:rPr>
          <w:rFonts w:ascii="Times New Roman" w:hAnsi="Times New Roman"/>
          <w:color w:val="0070C0"/>
          <w:sz w:val="16"/>
          <w:szCs w:val="16"/>
        </w:rPr>
        <w:lastRenderedPageBreak/>
        <w:t>изучал НИБТ Полигон, также им не впечатлившись.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(24180).</w:t>
      </w:r>
    </w:p>
    <w:p w14:paraId="4F93E689" w14:textId="77777777" w:rsidR="007D5E08" w:rsidRPr="008A2E5A" w:rsidRDefault="007D5E08" w:rsidP="007D5E08">
      <w:pPr>
        <w:spacing w:after="0" w:line="240" w:lineRule="auto"/>
        <w:jc w:val="both"/>
        <w:rPr>
          <w:rFonts w:ascii="Times New Roman" w:hAnsi="Times New Roman"/>
          <w:color w:val="0070C0"/>
          <w:sz w:val="16"/>
          <w:szCs w:val="16"/>
        </w:rPr>
      </w:pPr>
    </w:p>
    <w:p w14:paraId="780001E3"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марте 1942 года НИИ-48 предлагал радикальному снижению толщины брони танков. К лету 1942 года немецкая армия стала массово получать 75-мм противотанковые пушки Pak 40 и танковые/самоходные орудия KwK 40/StuK 40. Для них броня КВ-1 не являлась столь </w:t>
      </w:r>
      <w:proofErr w:type="gramStart"/>
      <w:r w:rsidRPr="008A2E5A">
        <w:rPr>
          <w:rFonts w:ascii="Times New Roman" w:hAnsi="Times New Roman"/>
          <w:color w:val="0070C0"/>
          <w:sz w:val="16"/>
          <w:szCs w:val="16"/>
        </w:rPr>
        <w:t>проблематичной</w:t>
      </w:r>
      <w:proofErr w:type="gramEnd"/>
      <w:r w:rsidRPr="008A2E5A">
        <w:rPr>
          <w:rFonts w:ascii="Times New Roman" w:hAnsi="Times New Roman"/>
          <w:color w:val="0070C0"/>
          <w:sz w:val="16"/>
          <w:szCs w:val="16"/>
        </w:rPr>
        <w:t xml:space="preserve"> Тогда их подсчеты показали, что что выигрыш в массе только по корпусу и башне КВ составит 4,05 тонн (23351).</w:t>
      </w:r>
    </w:p>
    <w:p w14:paraId="335565CA" w14:textId="77777777" w:rsidR="007D5E08" w:rsidRPr="008A2E5A" w:rsidRDefault="007D5E08" w:rsidP="007D5E08">
      <w:pPr>
        <w:spacing w:after="0" w:line="240" w:lineRule="auto"/>
        <w:jc w:val="both"/>
        <w:rPr>
          <w:rFonts w:ascii="Times New Roman" w:hAnsi="Times New Roman"/>
          <w:color w:val="0070C0"/>
          <w:sz w:val="16"/>
          <w:szCs w:val="16"/>
        </w:rPr>
      </w:pPr>
    </w:p>
    <w:p w14:paraId="6E2EC7D4"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на опытном заводе № 100 начинаются изыскательские работы по созданию принципиально новой машины: «скоростной танк усиленного бронирования» КВ-13. Это была попытка приблизить массовогабаритные характеристики тяжелого танка к параметрам среднего при сохранении его боевых возможностей. Первоначально работами руководил С.Н. Махонин, а затем его сменил Ж.Я. Котин. Новый проект тяжелого танка заслуживает более пристального внимания.</w:t>
      </w:r>
    </w:p>
    <w:p w14:paraId="13B4FADE"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большому счету, советская промышленность могла уже в 1942 г. дать принципиально новую замену Т-34. КВ-13 по своим тактико-техническим характеристикам (скорость, броня) и производственным возможностям намного превосходил серийный средний танк. И вполне мог заменить на поле боя существовавший тогда тяжелый КВ -1. Именно в силу дефицитности толстых броневых листов при разработке КВ-13 ставка была сделана на максимальное использование литых деталей корпуса и </w:t>
      </w:r>
      <w:proofErr w:type="gramStart"/>
      <w:r w:rsidRPr="008A2E5A">
        <w:rPr>
          <w:rFonts w:ascii="Times New Roman" w:hAnsi="Times New Roman"/>
          <w:color w:val="0070C0"/>
          <w:sz w:val="16"/>
          <w:szCs w:val="16"/>
        </w:rPr>
        <w:t>башни[</w:t>
      </w:r>
      <w:proofErr w:type="gramEnd"/>
      <w:r w:rsidRPr="008A2E5A">
        <w:rPr>
          <w:rFonts w:ascii="Times New Roman" w:hAnsi="Times New Roman"/>
          <w:color w:val="0070C0"/>
          <w:sz w:val="16"/>
          <w:szCs w:val="16"/>
        </w:rPr>
        <w:t>1041]. Но тогда неизбежно возникала бы следующая проблема - возможности литейного производства бронекорпусных заводов. Они уже находились на уровне максимального использования своих мартеновских печей. А появление нового танка с таким количеством литых деталей неизбежно резко увеличивало нагрузку на литейное производство.</w:t>
      </w:r>
    </w:p>
    <w:p w14:paraId="2108CB07"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Несмотря на то, что завод № 100 создавался как опытный, в первый год существования основные силы предприятия были направлены на серийные работы для Кировского завода. Летом 1942 г. почти всё механическое оборудование использовалось на изготовлении 2 тыс. комплектов стартера, а в сентябре завод должен был прекратить все опытные работы, чтобы помочь Кировскому заводу в производстве Т-34. И только приказом И.М. Зальцмана от 17 октября 1942 г. завод № 100 освобождался от серийных работ, и всё оборудование переключалось на полную конструктивную доработку танков и двигателей. В результате объем опытных работ за 1942 г. был выполнен заводом № 100 только на 43,1 % (по данным У. А. Батырова - на 40,7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1042]), тогда как серийных - на 229,5 %[1043]. Уточим, что процент выполнения плана в данном случае вновь высчитывался в рублях. Поэтому о его реальном уровне можно лишь догадываться (23536).</w:t>
      </w:r>
    </w:p>
    <w:p w14:paraId="69617DBE" w14:textId="77777777" w:rsidR="007D5E08" w:rsidRPr="008A2E5A" w:rsidRDefault="007D5E08" w:rsidP="007D5E08">
      <w:pPr>
        <w:spacing w:after="0" w:line="240" w:lineRule="auto"/>
        <w:jc w:val="both"/>
        <w:rPr>
          <w:rFonts w:ascii="Times New Roman" w:hAnsi="Times New Roman"/>
          <w:color w:val="0070C0"/>
          <w:sz w:val="16"/>
          <w:szCs w:val="16"/>
        </w:rPr>
      </w:pPr>
    </w:p>
    <w:p w14:paraId="5C21D6AF"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Е.О. Патон в докладной записке на имя секретаря отдела танковой промышленности Свердловского обкома ВКП(б), говоря об эффекте перехода на автоматическую сварку ряда швов корпуса танка Т-34, указывал на следующие положительные стороны нового метода: «Вследствие большой производительности скоростной автоматической сварки под слоем флюса сроки сварки корпусов будут заметно сокращены, причем уменьшится расход рабочей силы, электроэнергии и электродной проволоки»[514].</w:t>
      </w:r>
    </w:p>
    <w:p w14:paraId="1935F0A9"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Революционность нового метода заключалась в том, что, с одной стороны, он позволял резко повысить производительность труда и увеличить скорость сварки в несколько раз, а с другой стороны, задействовать сварщиков в гораздо меньшем количестве и низкой квалификации (см. таблицу 2.3 на с. 274). Более того, автоматическая сварка значительно повысила прочность сварочных швов и снизила количество трещин на корпусе. Также достигалась существенная экономия за счет снижения расхода электроэнергии и материалов.</w:t>
      </w:r>
    </w:p>
    <w:p w14:paraId="455E4B40"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Исследователь С.В. Устьянцев ставит под сомнение высокую эффективность автоматической сварки. Сергей Викторович справедливо указывает, что на УТЗ в общем объеме сварочных работ автосварка значительно уступала ручной:</w:t>
      </w:r>
    </w:p>
    <w:p w14:paraId="4D79B782"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только 23 % веса наплавленного металла по корпусу Т-34 (30 % - по башне);</w:t>
      </w:r>
    </w:p>
    <w:p w14:paraId="5181C739"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целом суммарная длина швов, выполненных автоматической сваркой, на корпусе и башне Т-34 была меньше сделанных ручной сваркой почти в 8 раз.</w:t>
      </w:r>
    </w:p>
    <w:p w14:paraId="7AC4BD1B"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итоге автор сделал вывод, что «основную роль в бронекорпусном производстве [на заводе № 183] в годы войны сыграли подготовленные в 1930 гг. или же хорошо обученные в военное время квалифицированные </w:t>
      </w:r>
      <w:proofErr w:type="gramStart"/>
      <w:r w:rsidRPr="008A2E5A">
        <w:rPr>
          <w:rFonts w:ascii="Times New Roman" w:hAnsi="Times New Roman"/>
          <w:color w:val="0070C0"/>
          <w:sz w:val="16"/>
          <w:szCs w:val="16"/>
        </w:rPr>
        <w:t>сварщики..</w:t>
      </w:r>
      <w:proofErr w:type="gramEnd"/>
      <w:r w:rsidRPr="008A2E5A">
        <w:rPr>
          <w:rFonts w:ascii="Times New Roman" w:hAnsi="Times New Roman"/>
          <w:color w:val="0070C0"/>
          <w:sz w:val="16"/>
          <w:szCs w:val="16"/>
        </w:rPr>
        <w:t xml:space="preserve">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516].</w:t>
      </w:r>
    </w:p>
    <w:p w14:paraId="6897A81F"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Здесь необходимо сделать важное уточнение. Заслуга метода Патона, безусловно, не в том, что автоматическая сварка заменила ручную. Исследователь очень убедительно доказал, что основной объем сварочных работ по-прежнему выполнялся вручную. Однако С.В. Устьянцев забывает указать, что автосварка, во-первых, применялась на наиболее ответственных участках бронекорпуса Т-34 (см. часть 1 таблицы 2.3), а во- вторых, приводила к резкому сокращению потребности в высококвалифицированных сварщиках (см. часть 2 таблицы 2.3). Поэтому основная заслуга нового метода заключалась в появлении возможности роста объема сварочных работ до необходимого уровня (при условии соблюдения требований шов автоматической сварки превосходил по своим качествам ручной) при минимальных затратах. Можно с уверенностью утверждать, что без автосварки бронекорпусные производства в 1942</w:t>
      </w:r>
      <w:r w:rsidRPr="008A2E5A">
        <w:rPr>
          <w:rFonts w:ascii="Times New Roman" w:hAnsi="Times New Roman"/>
          <w:color w:val="0070C0"/>
          <w:sz w:val="16"/>
          <w:szCs w:val="16"/>
        </w:rPr>
        <w:softHyphen/>
        <w:t>1944 гг. не смогли бы нарастить производство танковых корпусов до планового уровня. У корпусных заводов физически отсутствовал резерв квалифицированных сварщиков. Следовательно, возможность применять работников низкой квалификации на одном из участков без потери качества производства позволяла концентрировать сварщиков высоких рабочих разрядов на других местах. Поэтому без технологических инноваций общий рост выпуска танков и САУ был бы невозможен. (23536).</w:t>
      </w:r>
    </w:p>
    <w:p w14:paraId="1D199C15" w14:textId="77777777" w:rsidR="007D5E08" w:rsidRPr="008A2E5A" w:rsidRDefault="007D5E08" w:rsidP="007D5E08">
      <w:pPr>
        <w:spacing w:after="0" w:line="240" w:lineRule="auto"/>
        <w:jc w:val="both"/>
        <w:rPr>
          <w:rFonts w:ascii="Times New Roman" w:hAnsi="Times New Roman"/>
          <w:color w:val="0070C0"/>
          <w:sz w:val="16"/>
          <w:szCs w:val="16"/>
        </w:rPr>
      </w:pPr>
    </w:p>
    <w:p w14:paraId="2144AE18" w14:textId="1C3EAAE6" w:rsidR="009D0595" w:rsidRPr="008127F8" w:rsidRDefault="009D0595"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В марте 1942 года стало окончательно ясно - требуется глубокая модернизация КВ-1. Позже это признал и Сталин, сказав на совещании с </w:t>
      </w:r>
      <w:proofErr w:type="gramStart"/>
      <w:r w:rsidRPr="008127F8">
        <w:rPr>
          <w:color w:val="000000" w:themeColor="text1"/>
          <w:sz w:val="16"/>
          <w:szCs w:val="16"/>
        </w:rPr>
        <w:t>Малышевым</w:t>
      </w:r>
      <w:r w:rsidR="008127F8">
        <w:rPr>
          <w:color w:val="000000" w:themeColor="text1"/>
          <w:sz w:val="16"/>
          <w:szCs w:val="16"/>
        </w:rPr>
        <w:t xml:space="preserve">  </w:t>
      </w:r>
      <w:r w:rsidRPr="008127F8">
        <w:rPr>
          <w:color w:val="000000" w:themeColor="text1"/>
          <w:sz w:val="16"/>
          <w:szCs w:val="16"/>
        </w:rPr>
        <w:t>"</w:t>
      </w:r>
      <w:proofErr w:type="gramEnd"/>
      <w:r w:rsidRPr="008127F8">
        <w:rPr>
          <w:color w:val="000000" w:themeColor="text1"/>
          <w:sz w:val="16"/>
          <w:szCs w:val="16"/>
        </w:rPr>
        <w:t>Мы перетяжелили танк КВ. Я тоже в этом виноват, а вы виноваты в том, что не одернули меня". Испытания февраля-марта 1942 года стали главной причиной появления проекта КВ-13, тяжелого танка с массой и подвижностью среднего. Тогда же начались работы и по КВ-1с, точнее, первой, менее радикальной его версии (20404).</w:t>
      </w:r>
    </w:p>
    <w:p w14:paraId="62D7A363" w14:textId="77777777" w:rsidR="009D0595" w:rsidRPr="008127F8" w:rsidRDefault="009D0595"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30 апреля 1942 года был поставлен вопрос о запуске М-42 в производство. Но по ряду причин (в том числе и по причине появление конкурента в виде 45-мм противотанковой пушки М6 разработки КБ завода №172) запуск в серию затянулся (20344).</w:t>
      </w:r>
    </w:p>
    <w:p w14:paraId="05A3F08C" w14:textId="77777777" w:rsidR="009D0595" w:rsidRPr="008127F8" w:rsidRDefault="009D0595" w:rsidP="001E0A84">
      <w:pPr>
        <w:shd w:val="clear" w:color="auto" w:fill="FFFFFF"/>
        <w:spacing w:after="0" w:line="240" w:lineRule="auto"/>
        <w:jc w:val="both"/>
        <w:rPr>
          <w:rFonts w:ascii="Times New Roman" w:hAnsi="Times New Roman"/>
          <w:color w:val="000000" w:themeColor="text1"/>
          <w:sz w:val="16"/>
          <w:szCs w:val="16"/>
        </w:rPr>
      </w:pPr>
    </w:p>
    <w:p w14:paraId="7D4FEDB1" w14:textId="77777777" w:rsidR="009D0595" w:rsidRPr="008127F8" w:rsidRDefault="009D0595" w:rsidP="001E0A84">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r w:rsidRPr="008127F8">
        <w:rPr>
          <w:rStyle w:val="921"/>
          <w:rFonts w:ascii="Times New Roman" w:hAnsi="Times New Roman" w:cs="Times New Roman"/>
          <w:color w:val="000000" w:themeColor="text1"/>
          <w:sz w:val="16"/>
          <w:szCs w:val="16"/>
          <w:lang w:val="ru-RU"/>
        </w:rPr>
        <w:t>В</w:t>
      </w:r>
      <w:r w:rsidRPr="008127F8">
        <w:rPr>
          <w:rStyle w:val="921"/>
          <w:rFonts w:ascii="Times New Roman" w:hAnsi="Times New Roman" w:cs="Times New Roman"/>
          <w:color w:val="000000" w:themeColor="text1"/>
          <w:sz w:val="16"/>
          <w:szCs w:val="16"/>
        </w:rPr>
        <w:t xml:space="preserve"> марте 1942 года появился проект радикаль</w:t>
      </w:r>
      <w:r w:rsidRPr="008127F8">
        <w:rPr>
          <w:rStyle w:val="921"/>
          <w:rFonts w:ascii="Times New Roman" w:hAnsi="Times New Roman" w:cs="Times New Roman"/>
          <w:color w:val="000000" w:themeColor="text1"/>
          <w:sz w:val="16"/>
          <w:szCs w:val="16"/>
        </w:rPr>
        <w:softHyphen/>
        <w:t>ного решения проблемы с подвижностью</w:t>
      </w:r>
      <w:r w:rsidRPr="008127F8">
        <w:rPr>
          <w:rStyle w:val="921"/>
          <w:rFonts w:ascii="Times New Roman" w:hAnsi="Times New Roman" w:cs="Times New Roman"/>
          <w:color w:val="000000" w:themeColor="text1"/>
          <w:sz w:val="16"/>
          <w:szCs w:val="16"/>
          <w:lang w:val="ru-RU"/>
        </w:rPr>
        <w:t xml:space="preserve"> КВ.</w:t>
      </w:r>
      <w:r w:rsidRPr="008127F8">
        <w:rPr>
          <w:rStyle w:val="921"/>
          <w:rFonts w:ascii="Times New Roman" w:hAnsi="Times New Roman" w:cs="Times New Roman"/>
          <w:color w:val="000000" w:themeColor="text1"/>
          <w:sz w:val="16"/>
          <w:szCs w:val="16"/>
        </w:rPr>
        <w:t xml:space="preserve"> Это и был КВ-13, ведущим инженером по которо</w:t>
      </w:r>
      <w:r w:rsidRPr="008127F8">
        <w:rPr>
          <w:rStyle w:val="921"/>
          <w:rFonts w:ascii="Times New Roman" w:hAnsi="Times New Roman" w:cs="Times New Roman"/>
          <w:color w:val="000000" w:themeColor="text1"/>
          <w:sz w:val="16"/>
          <w:szCs w:val="16"/>
        </w:rPr>
        <w:softHyphen/>
        <w:t>му являлся Н.В. Цейц, конструктор очень не</w:t>
      </w:r>
      <w:r w:rsidRPr="008127F8">
        <w:rPr>
          <w:rStyle w:val="921"/>
          <w:rFonts w:ascii="Times New Roman" w:hAnsi="Times New Roman" w:cs="Times New Roman"/>
          <w:color w:val="000000" w:themeColor="text1"/>
          <w:sz w:val="16"/>
          <w:szCs w:val="16"/>
        </w:rPr>
        <w:softHyphen/>
        <w:t>простой судьбы. Концепция КВ-13 состояла в следующем: сделать танк, тяжелый с точки зрения броневой защиты, но с боевой массой и габаритами боевой машины среднего клас</w:t>
      </w:r>
      <w:r w:rsidRPr="008127F8">
        <w:rPr>
          <w:rStyle w:val="921"/>
          <w:rFonts w:ascii="Times New Roman" w:hAnsi="Times New Roman" w:cs="Times New Roman"/>
          <w:color w:val="000000" w:themeColor="text1"/>
          <w:sz w:val="16"/>
          <w:szCs w:val="16"/>
        </w:rPr>
        <w:softHyphen/>
        <w:t xml:space="preserve">са. </w:t>
      </w:r>
      <w:r w:rsidRPr="008127F8">
        <w:rPr>
          <w:rStyle w:val="921"/>
          <w:rFonts w:ascii="Times New Roman" w:hAnsi="Times New Roman" w:cs="Times New Roman"/>
          <w:color w:val="000000" w:themeColor="text1"/>
          <w:sz w:val="16"/>
          <w:szCs w:val="16"/>
          <w:lang w:val="ru-RU"/>
        </w:rPr>
        <w:t>(19872)</w:t>
      </w:r>
      <w:r w:rsidRPr="008127F8">
        <w:rPr>
          <w:rStyle w:val="921"/>
          <w:rFonts w:ascii="Times New Roman" w:hAnsi="Times New Roman" w:cs="Times New Roman"/>
          <w:color w:val="000000" w:themeColor="text1"/>
          <w:sz w:val="16"/>
          <w:szCs w:val="16"/>
        </w:rPr>
        <w:t>.</w:t>
      </w:r>
    </w:p>
    <w:p w14:paraId="7E5EA066" w14:textId="77777777" w:rsidR="009D0595" w:rsidRPr="008127F8" w:rsidRDefault="009D0595" w:rsidP="001E0A84">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p>
    <w:p w14:paraId="3DDA8FC6"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начались работы по еще одному "скоростному" тяжелому танку. Речь идет о КВ-13, он же ИС-1 (первый индекс СКБ-13, а второй - КБ завода №100). Это было радикальное решение проблемы подвижности - тяжелый танк с габаритами и массой среднего. Боевая масса КВ-13 составляла всего 30 тонн, при этом броневая защита выглядела более внушительно - до 120 мм. Машина делалась 3-местной, при этом КБ завода №100 (ведущий инженер Н.В. Цейц) внимательно смотрели на Т-50 Кировского завода, а также Т-34. В общем-то, от КВ в новой машине мало что осталось, в НКТП считали, что именно такой танк, а не КВ-1с, надо запускать в работу. Макет КВ-1с был показан Сталину на совещании 5 июня 1942 года. Но Сталин его отклонил, сказав наркому танковой промышленности В.А. Малышеву, что запускать в работу такой танк преждевременно. Одновременно из постановления ГКО №1878 пункты, связанные с КВ-13, вычекнули.</w:t>
      </w:r>
    </w:p>
    <w:p w14:paraId="04CA8297"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данном случае со Сталиным спорить как минимум не очень разумно. Даже не очень знакомому с танкостроением человеку было очевидно, что внедрение КВ-13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минимум полгода, а по факту еще больше. В случае же с КВ-1с имелось готовое шасси, которое требовалось "обстругать". Но вычеркивание КВ-13 из постановления означало только перенос сроков, а главное, наработки по машине использовались на "малой модернизации". Более того, уже в мае 1942 года КВ-13 видело в ГАБТУ КА. Там дали указание переработать башню, увеличив расчет до 3 человек и установив командирскую башенку. В Челябинске оперативно подготовили проект КВ-13 с командирской башенкой, именно он и лег в основу башни КВ-1с. В дальнейшем КВ-13 и КВ-1с шли рука об руку: технические решения с одной машины переносились на другую, и наоборот. Именно поэтому более поздний КВ-13 был не похож на проектную документацию. Часть решений, которые планировались на КВ-1с, но остались только в бумаге, перенесли на новую машину (23351).</w:t>
      </w:r>
    </w:p>
    <w:p w14:paraId="68007E4B" w14:textId="77777777" w:rsidR="007D5E08" w:rsidRPr="008A2E5A" w:rsidRDefault="007D5E08" w:rsidP="007D5E08">
      <w:pPr>
        <w:spacing w:after="0" w:line="240" w:lineRule="auto"/>
        <w:jc w:val="both"/>
        <w:rPr>
          <w:rFonts w:ascii="Times New Roman" w:hAnsi="Times New Roman"/>
          <w:color w:val="0070C0"/>
          <w:sz w:val="16"/>
          <w:szCs w:val="16"/>
        </w:rPr>
      </w:pPr>
    </w:p>
    <w:p w14:paraId="75FA0039"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появилось два варианта решения проблемы малой подвижности КВ. Первым вариантом решения вопроса подвижности стало создание "скоростного" КВ-1. Второй путь оказался более радикальным. В марте 1942 года запустили работы по созданию принципиально нового тяжелого танка, с габаритами и массой среднего. Он получил обозначение КВ-13, но также использовался и другой индекс - ИС-1.</w:t>
      </w:r>
    </w:p>
    <w:p w14:paraId="12E78A03"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Тяжелый танк КВ-13 являлся наиболее радикальным решением вопроса повышения подвижности. Существует заблуждение, что создавался он как потенциальный сменщик Т-34, но это не так. То же самое касается и определения "средний танк тяжелого бронирования". Машина, которая создавалась под руководством Н.В. Цейца, предполагалась как подвижный тяжелый танк, максимально упрощенный, с экипажем из 3 человек и с увеличенной до 120 мм толщиной брони (23354).</w:t>
      </w:r>
    </w:p>
    <w:p w14:paraId="57A65FF1" w14:textId="77777777" w:rsidR="007D5E08" w:rsidRPr="008A2E5A" w:rsidRDefault="007D5E08" w:rsidP="007D5E08">
      <w:pPr>
        <w:spacing w:after="0" w:line="240" w:lineRule="auto"/>
        <w:jc w:val="both"/>
        <w:rPr>
          <w:rFonts w:ascii="Times New Roman" w:hAnsi="Times New Roman"/>
          <w:color w:val="0070C0"/>
          <w:sz w:val="16"/>
          <w:szCs w:val="16"/>
        </w:rPr>
      </w:pPr>
    </w:p>
    <w:p w14:paraId="24BB8C00"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марте 1942 г. все работы по созданию нового завода в Челябинске были свернуты, и недостроенные мощности влились обратно в состав завода № 200[448]. </w:t>
      </w:r>
    </w:p>
    <w:p w14:paraId="49F6A19C"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Челябинский завод</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 xml:space="preserve"> который получил индекс С-70 и для него из состава завода № 200 [447] выделялась бывшая площадка «Стройсемь». </w:t>
      </w:r>
    </w:p>
    <w:p w14:paraId="15A2ADB3" w14:textId="77777777" w:rsidR="007D5E08" w:rsidRPr="008A2E5A" w:rsidRDefault="007D5E08" w:rsidP="007D5E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Решение о начале создания новых танковых производств изначально выглядело более чем спорно. В момент, когда страна встает перед колоссальной проблемой восстановления эвакуированных мощностей, возникает задача строительства новых. Это неизбежное и ненужное распыление ресурсов впоследствии было осознано, и новое строительство было прекращено (23536).</w:t>
      </w:r>
    </w:p>
    <w:p w14:paraId="1CEE5F35" w14:textId="77777777" w:rsidR="007D5E08" w:rsidRPr="008A2E5A" w:rsidRDefault="007D5E08" w:rsidP="007D5E08">
      <w:pPr>
        <w:spacing w:after="0" w:line="240" w:lineRule="auto"/>
        <w:jc w:val="both"/>
        <w:rPr>
          <w:rFonts w:ascii="Times New Roman" w:hAnsi="Times New Roman"/>
          <w:color w:val="0070C0"/>
          <w:sz w:val="16"/>
          <w:szCs w:val="16"/>
        </w:rPr>
      </w:pPr>
    </w:p>
    <w:p w14:paraId="60D10F0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марте 1942 г. на основании приказа № 55 от 16 февра</w:t>
      </w:r>
      <w:r w:rsidRPr="008127F8">
        <w:rPr>
          <w:rFonts w:ascii="Times New Roman" w:hAnsi="Times New Roman"/>
          <w:color w:val="000000" w:themeColor="text1"/>
          <w:sz w:val="16"/>
          <w:szCs w:val="16"/>
        </w:rPr>
        <w:softHyphen/>
        <w:t>ля на базе бывшего Опытного завода ЧТЗ был создан Опытный танко-моторный завод № 100, которому был пе</w:t>
      </w:r>
      <w:r w:rsidRPr="008127F8">
        <w:rPr>
          <w:rFonts w:ascii="Times New Roman" w:hAnsi="Times New Roman"/>
          <w:color w:val="000000" w:themeColor="text1"/>
          <w:sz w:val="16"/>
          <w:szCs w:val="16"/>
        </w:rPr>
        <w:softHyphen/>
        <w:t>редан «Объект 233». Разработка технического проекта тан</w:t>
      </w:r>
      <w:r w:rsidRPr="008127F8">
        <w:rPr>
          <w:rFonts w:ascii="Times New Roman" w:hAnsi="Times New Roman"/>
          <w:color w:val="000000" w:themeColor="text1"/>
          <w:sz w:val="16"/>
          <w:szCs w:val="16"/>
        </w:rPr>
        <w:softHyphen/>
        <w:t>ка и его изготовление теперь курировал Главный конструк</w:t>
      </w:r>
      <w:r w:rsidRPr="008127F8">
        <w:rPr>
          <w:rFonts w:ascii="Times New Roman" w:hAnsi="Times New Roman"/>
          <w:color w:val="000000" w:themeColor="text1"/>
          <w:sz w:val="16"/>
          <w:szCs w:val="16"/>
        </w:rPr>
        <w:softHyphen/>
        <w:t>тор НКТП лично. Основные расчеты по танку производил недавно вернувшийся из заключения ветеран Кировского завода Н. Цейц. Оригинальный корпус разрабатывала группа ведущего инженера С. Мицкевича, башню — А. Красников, общую компоновку — Г. Москвин. Новый танк был оригинален тем, что впервые для оте</w:t>
      </w:r>
      <w:r w:rsidRPr="008127F8">
        <w:rPr>
          <w:rFonts w:ascii="Times New Roman" w:hAnsi="Times New Roman"/>
          <w:color w:val="000000" w:themeColor="text1"/>
          <w:sz w:val="16"/>
          <w:szCs w:val="16"/>
        </w:rPr>
        <w:softHyphen/>
        <w:t>чественного танкостроения лобовая часть его корпуса проектировалась литой (подобно танкам «Матильда» и «Ва-лентайн»), так как это позволяло значительно снизить мас</w:t>
      </w:r>
      <w:r w:rsidRPr="008127F8">
        <w:rPr>
          <w:rFonts w:ascii="Times New Roman" w:hAnsi="Times New Roman"/>
          <w:color w:val="000000" w:themeColor="text1"/>
          <w:sz w:val="16"/>
          <w:szCs w:val="16"/>
        </w:rPr>
        <w:softHyphen/>
        <w:t>су при сходной защищенности и упростить техпроцесс сборки наиболее трудоемкого узла. В канун 8 марта А.Ермолаев докладывал наркому, что «...разработана ком</w:t>
      </w:r>
      <w:r w:rsidRPr="008127F8">
        <w:rPr>
          <w:rFonts w:ascii="Times New Roman" w:hAnsi="Times New Roman"/>
          <w:color w:val="000000" w:themeColor="text1"/>
          <w:sz w:val="16"/>
          <w:szCs w:val="16"/>
        </w:rPr>
        <w:softHyphen/>
        <w:t>поновочная схема нового танка, в котором... за счет примене</w:t>
      </w:r>
      <w:r w:rsidRPr="008127F8">
        <w:rPr>
          <w:rFonts w:ascii="Times New Roman" w:hAnsi="Times New Roman"/>
          <w:color w:val="000000" w:themeColor="text1"/>
          <w:sz w:val="16"/>
          <w:szCs w:val="16"/>
        </w:rPr>
        <w:softHyphen/>
        <w:t>ния жидкой брони, уплотнения компоновки... сокращения га</w:t>
      </w:r>
      <w:r w:rsidRPr="008127F8">
        <w:rPr>
          <w:rFonts w:ascii="Times New Roman" w:hAnsi="Times New Roman"/>
          <w:color w:val="000000" w:themeColor="text1"/>
          <w:sz w:val="16"/>
          <w:szCs w:val="16"/>
        </w:rPr>
        <w:softHyphen/>
        <w:t>баритов корпуса и башни удалось значительно уменьшить вес тяжелого танка до у ровня среднего». Интересно отметить, что конструкция бронекорпуса имела значительно меньшее, чем КВ-1, число деталей, на по</w:t>
      </w:r>
      <w:r w:rsidRPr="008127F8">
        <w:rPr>
          <w:rFonts w:ascii="Times New Roman" w:hAnsi="Times New Roman"/>
          <w:color w:val="000000" w:themeColor="text1"/>
          <w:sz w:val="16"/>
          <w:szCs w:val="16"/>
        </w:rPr>
        <w:softHyphen/>
        <w:t>рядок уменьшено число винтовых, болтовых и гужонных со</w:t>
      </w:r>
      <w:r w:rsidRPr="008127F8">
        <w:rPr>
          <w:rFonts w:ascii="Times New Roman" w:hAnsi="Times New Roman"/>
          <w:color w:val="000000" w:themeColor="text1"/>
          <w:sz w:val="16"/>
          <w:szCs w:val="16"/>
        </w:rPr>
        <w:softHyphen/>
        <w:t>единений, сварные швы упрощены. Расточка соединитель</w:t>
      </w:r>
      <w:r w:rsidRPr="008127F8">
        <w:rPr>
          <w:rFonts w:ascii="Times New Roman" w:hAnsi="Times New Roman"/>
          <w:color w:val="000000" w:themeColor="text1"/>
          <w:sz w:val="16"/>
          <w:szCs w:val="16"/>
        </w:rPr>
        <w:softHyphen/>
        <w:t>ных отверстий осуществлялась теперь не в собранном корпу</w:t>
      </w:r>
      <w:r w:rsidRPr="008127F8">
        <w:rPr>
          <w:rFonts w:ascii="Times New Roman" w:hAnsi="Times New Roman"/>
          <w:color w:val="000000" w:themeColor="text1"/>
          <w:sz w:val="16"/>
          <w:szCs w:val="16"/>
        </w:rPr>
        <w:softHyphen/>
        <w:t xml:space="preserve">се, как на танке КВ-1, а в деталях, до их подачи на сборку. За счет плотной компоновки удалось снизить высоту танка на 205—212 мм и сделать его короче на 700 мм. </w:t>
      </w:r>
      <w:proofErr w:type="gramStart"/>
      <w:r w:rsidRPr="008127F8">
        <w:rPr>
          <w:rFonts w:ascii="Times New Roman" w:hAnsi="Times New Roman"/>
          <w:color w:val="000000" w:themeColor="text1"/>
          <w:sz w:val="16"/>
          <w:szCs w:val="16"/>
        </w:rPr>
        <w:t>Согласно первоначальному проекту</w:t>
      </w:r>
      <w:proofErr w:type="gramEnd"/>
      <w:r w:rsidRPr="008127F8">
        <w:rPr>
          <w:rFonts w:ascii="Times New Roman" w:hAnsi="Times New Roman"/>
          <w:color w:val="000000" w:themeColor="text1"/>
          <w:sz w:val="16"/>
          <w:szCs w:val="16"/>
        </w:rPr>
        <w:t xml:space="preserve"> численность экипажа танков КВ-13 и Т-34М предполагалась по заданию 3 чело</w:t>
      </w:r>
      <w:r w:rsidRPr="008127F8">
        <w:rPr>
          <w:rFonts w:ascii="Times New Roman" w:hAnsi="Times New Roman"/>
          <w:color w:val="000000" w:themeColor="text1"/>
          <w:sz w:val="16"/>
          <w:szCs w:val="16"/>
        </w:rPr>
        <w:softHyphen/>
        <w:t>века, что позволяло значительно уменьшить габариты баш</w:t>
      </w:r>
      <w:r w:rsidRPr="008127F8">
        <w:rPr>
          <w:rFonts w:ascii="Times New Roman" w:hAnsi="Times New Roman"/>
          <w:color w:val="000000" w:themeColor="text1"/>
          <w:sz w:val="16"/>
          <w:szCs w:val="16"/>
        </w:rPr>
        <w:softHyphen/>
        <w:t>ни и диаметр погона в свету. Башня отливалась практически одной деталью и в од</w:t>
      </w:r>
      <w:r w:rsidRPr="008127F8">
        <w:rPr>
          <w:rFonts w:ascii="Times New Roman" w:hAnsi="Times New Roman"/>
          <w:color w:val="000000" w:themeColor="text1"/>
          <w:sz w:val="16"/>
          <w:szCs w:val="16"/>
        </w:rPr>
        <w:softHyphen/>
        <w:t>ной изложнице вместе с рамкой пушки. Максимальная толщина лобовой брони корпуса и башни составляла до 80-мм, что соответствовало бронестойкости 60—75-мм ка</w:t>
      </w:r>
      <w:r w:rsidRPr="008127F8">
        <w:rPr>
          <w:rFonts w:ascii="Times New Roman" w:hAnsi="Times New Roman"/>
          <w:color w:val="000000" w:themeColor="text1"/>
          <w:sz w:val="16"/>
          <w:szCs w:val="16"/>
        </w:rPr>
        <w:softHyphen/>
        <w:t>таной брони, защищавшей от снарядов 76-мм отечествен</w:t>
      </w:r>
      <w:r w:rsidRPr="008127F8">
        <w:rPr>
          <w:rFonts w:ascii="Times New Roman" w:hAnsi="Times New Roman"/>
          <w:color w:val="000000" w:themeColor="text1"/>
          <w:sz w:val="16"/>
          <w:szCs w:val="16"/>
        </w:rPr>
        <w:softHyphen/>
        <w:t>ной дивизионной пушки. Вооружение КВ-13 осталось таким же, что и КВ-1 -76,2-мм танковая пушка обр. 1941 г. (ЗИС-5), спаренный с ней пулемет ДТ и два пистолет-пулемета ППШ. Монтаж орудия в башне осуществлялся через съемную крышу баш</w:t>
      </w:r>
      <w:r w:rsidRPr="008127F8">
        <w:rPr>
          <w:rFonts w:ascii="Times New Roman" w:hAnsi="Times New Roman"/>
          <w:color w:val="000000" w:themeColor="text1"/>
          <w:sz w:val="16"/>
          <w:szCs w:val="16"/>
        </w:rPr>
        <w:softHyphen/>
        <w:t>ни. В бортовых и кормовой стенках башни располагались четыре амбразуры для стрельбы из пистолетов или писто</w:t>
      </w:r>
      <w:r w:rsidRPr="008127F8">
        <w:rPr>
          <w:rFonts w:ascii="Times New Roman" w:hAnsi="Times New Roman"/>
          <w:color w:val="000000" w:themeColor="text1"/>
          <w:sz w:val="16"/>
          <w:szCs w:val="16"/>
        </w:rPr>
        <w:softHyphen/>
        <w:t>лет-пулеметов ППШ при самообороне танка (10782).</w:t>
      </w:r>
    </w:p>
    <w:p w14:paraId="4F3A60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D899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В марте 1942 г. в Челябинске на базе СКБ-2 был сформирован Опытный танко</w:t>
      </w:r>
      <w:r w:rsidRPr="008127F8">
        <w:rPr>
          <w:rFonts w:ascii="Times New Roman" w:hAnsi="Times New Roman"/>
          <w:noProof/>
          <w:color w:val="000000" w:themeColor="text1"/>
          <w:sz w:val="16"/>
          <w:szCs w:val="16"/>
        </w:rPr>
        <w:softHyphen/>
        <w:t xml:space="preserve">вый завод. Одной из главных задач этого завода было проведение комплекса работ по созданию танка, более мощного, чем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и в то же время более легкого, надежного и технологичного.</w:t>
      </w:r>
    </w:p>
    <w:p w14:paraId="6FB49E1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Первой крупной самостоятельной рабо</w:t>
      </w:r>
      <w:r w:rsidRPr="008127F8">
        <w:rPr>
          <w:rFonts w:ascii="Times New Roman" w:hAnsi="Times New Roman"/>
          <w:noProof/>
          <w:color w:val="000000" w:themeColor="text1"/>
          <w:sz w:val="16"/>
          <w:szCs w:val="16"/>
        </w:rPr>
        <w:softHyphen/>
        <w:t>той Опытного танкового завода стал тяже</w:t>
      </w:r>
      <w:r w:rsidRPr="008127F8">
        <w:rPr>
          <w:rFonts w:ascii="Times New Roman" w:hAnsi="Times New Roman"/>
          <w:noProof/>
          <w:color w:val="000000" w:themeColor="text1"/>
          <w:sz w:val="16"/>
          <w:szCs w:val="16"/>
        </w:rPr>
        <w:softHyphen/>
        <w:t>лый танк КВ-13 («Объект 233»). Проект был поручен созданной для этого конструкторс</w:t>
      </w:r>
      <w:r w:rsidRPr="008127F8">
        <w:rPr>
          <w:rFonts w:ascii="Times New Roman" w:hAnsi="Times New Roman"/>
          <w:noProof/>
          <w:color w:val="000000" w:themeColor="text1"/>
          <w:sz w:val="16"/>
          <w:szCs w:val="16"/>
        </w:rPr>
        <w:softHyphen/>
        <w:t>кой группе под руководством ведущего конструктора Н.В. Цейца, накануне освобож</w:t>
      </w:r>
      <w:r w:rsidRPr="008127F8">
        <w:rPr>
          <w:rFonts w:ascii="Times New Roman" w:hAnsi="Times New Roman"/>
          <w:noProof/>
          <w:color w:val="000000" w:themeColor="text1"/>
          <w:sz w:val="16"/>
          <w:szCs w:val="16"/>
        </w:rPr>
        <w:softHyphen/>
        <w:t>денного из тюремного заключения. В состав этой группы вошли наиболее опытные раз</w:t>
      </w:r>
      <w:r w:rsidRPr="008127F8">
        <w:rPr>
          <w:rFonts w:ascii="Times New Roman" w:hAnsi="Times New Roman"/>
          <w:noProof/>
          <w:color w:val="000000" w:themeColor="text1"/>
          <w:sz w:val="16"/>
          <w:szCs w:val="16"/>
        </w:rPr>
        <w:softHyphen/>
        <w:t>работчики: по корпусу - К.И. Кузьмин; по башне - Н.М. Синев; по ходовой части - С.В. Мицкевич. Общей компоновкой зани</w:t>
      </w:r>
      <w:r w:rsidRPr="008127F8">
        <w:rPr>
          <w:rFonts w:ascii="Times New Roman" w:hAnsi="Times New Roman"/>
          <w:noProof/>
          <w:color w:val="000000" w:themeColor="text1"/>
          <w:sz w:val="16"/>
          <w:szCs w:val="16"/>
        </w:rPr>
        <w:softHyphen/>
        <w:t>мался Г.Н. Москвин.</w:t>
      </w:r>
    </w:p>
    <w:p w14:paraId="7F223E62"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 самого начала в проект закладывалась идея универсального танка с массой, соот</w:t>
      </w:r>
      <w:r w:rsidRPr="008127F8">
        <w:rPr>
          <w:rFonts w:ascii="Times New Roman" w:hAnsi="Times New Roman"/>
          <w:noProof/>
          <w:color w:val="000000" w:themeColor="text1"/>
          <w:sz w:val="16"/>
          <w:szCs w:val="16"/>
        </w:rPr>
        <w:softHyphen/>
        <w:t>ветствующей средним, а защитой - тяжелым танкам. Учитывалось также требование по</w:t>
      </w:r>
      <w:r w:rsidRPr="008127F8">
        <w:rPr>
          <w:rFonts w:ascii="Times New Roman" w:hAnsi="Times New Roman"/>
          <w:noProof/>
          <w:color w:val="000000" w:themeColor="text1"/>
          <w:sz w:val="16"/>
          <w:szCs w:val="16"/>
        </w:rPr>
        <w:softHyphen/>
        <w:t>становления ГКО от 23 февраля 1942 г. о жесточайшей экономии броневого проката. Поэтому в конструкции корпуса и башни пре</w:t>
      </w:r>
      <w:r w:rsidRPr="008127F8">
        <w:rPr>
          <w:rFonts w:ascii="Times New Roman" w:hAnsi="Times New Roman"/>
          <w:noProof/>
          <w:color w:val="000000" w:themeColor="text1"/>
          <w:sz w:val="16"/>
          <w:szCs w:val="16"/>
        </w:rPr>
        <w:softHyphen/>
        <w:t>дусматривалось широкое применение бро</w:t>
      </w:r>
      <w:r w:rsidRPr="008127F8">
        <w:rPr>
          <w:rFonts w:ascii="Times New Roman" w:hAnsi="Times New Roman"/>
          <w:noProof/>
          <w:color w:val="000000" w:themeColor="text1"/>
          <w:sz w:val="16"/>
          <w:szCs w:val="16"/>
        </w:rPr>
        <w:softHyphen/>
        <w:t>невого литья - литые башня, подбашенная коробка, нос и корма корпуса. Наряду с эко</w:t>
      </w:r>
      <w:r w:rsidRPr="008127F8">
        <w:rPr>
          <w:rFonts w:ascii="Times New Roman" w:hAnsi="Times New Roman"/>
          <w:noProof/>
          <w:color w:val="000000" w:themeColor="text1"/>
          <w:sz w:val="16"/>
          <w:szCs w:val="16"/>
        </w:rPr>
        <w:softHyphen/>
        <w:t>номией бронелиста это позволило оптималь</w:t>
      </w:r>
      <w:r w:rsidRPr="008127F8">
        <w:rPr>
          <w:rFonts w:ascii="Times New Roman" w:hAnsi="Times New Roman"/>
          <w:noProof/>
          <w:color w:val="000000" w:themeColor="text1"/>
          <w:sz w:val="16"/>
          <w:szCs w:val="16"/>
        </w:rPr>
        <w:softHyphen/>
        <w:t>но дифференцировать бронезащиту и обес</w:t>
      </w:r>
      <w:r w:rsidRPr="008127F8">
        <w:rPr>
          <w:rFonts w:ascii="Times New Roman" w:hAnsi="Times New Roman"/>
          <w:noProof/>
          <w:color w:val="000000" w:themeColor="text1"/>
          <w:sz w:val="16"/>
          <w:szCs w:val="16"/>
        </w:rPr>
        <w:softHyphen/>
        <w:t>печить наиболее рациональную конфигура</w:t>
      </w:r>
      <w:r w:rsidRPr="008127F8">
        <w:rPr>
          <w:rFonts w:ascii="Times New Roman" w:hAnsi="Times New Roman"/>
          <w:noProof/>
          <w:color w:val="000000" w:themeColor="text1"/>
          <w:sz w:val="16"/>
          <w:szCs w:val="16"/>
        </w:rPr>
        <w:softHyphen/>
        <w:t>цию брони, до минимума сократив внутрен</w:t>
      </w:r>
      <w:r w:rsidRPr="008127F8">
        <w:rPr>
          <w:rFonts w:ascii="Times New Roman" w:hAnsi="Times New Roman"/>
          <w:noProof/>
          <w:color w:val="000000" w:themeColor="text1"/>
          <w:sz w:val="16"/>
          <w:szCs w:val="16"/>
        </w:rPr>
        <w:softHyphen/>
        <w:t>ние неиспользуемые объемы.</w:t>
      </w:r>
    </w:p>
    <w:p w14:paraId="5FC0280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Изготовление первого опытного образ</w:t>
      </w:r>
      <w:r w:rsidRPr="008127F8">
        <w:rPr>
          <w:rFonts w:ascii="Times New Roman" w:hAnsi="Times New Roman"/>
          <w:noProof/>
          <w:color w:val="000000" w:themeColor="text1"/>
          <w:sz w:val="16"/>
          <w:szCs w:val="16"/>
        </w:rPr>
        <w:softHyphen/>
        <w:t>ца велось с предельным напряжением сил и завершилось в небывало короткие сроки. Это был танк массой 31,7 т, вооруженный 76-мм пушкой ЗИС-5 и спаренным пулеметом ДТ. Несмотря на сниженную массу, впечатляла мощь его брони: лоб корпуса -120 мм, баш</w:t>
      </w:r>
      <w:r w:rsidRPr="008127F8">
        <w:rPr>
          <w:rFonts w:ascii="Times New Roman" w:hAnsi="Times New Roman"/>
          <w:noProof/>
          <w:color w:val="000000" w:themeColor="text1"/>
          <w:sz w:val="16"/>
          <w:szCs w:val="16"/>
        </w:rPr>
        <w:softHyphen/>
        <w:t>ни - 85 мм. Двигатель В-2К, форсированный до 600 л.е., в сочетании с рациональной трансмиссией (о ней несколько ниже) позво</w:t>
      </w:r>
      <w:r w:rsidRPr="008127F8">
        <w:rPr>
          <w:rFonts w:ascii="Times New Roman" w:hAnsi="Times New Roman"/>
          <w:noProof/>
          <w:color w:val="000000" w:themeColor="text1"/>
          <w:sz w:val="16"/>
          <w:szCs w:val="16"/>
        </w:rPr>
        <w:softHyphen/>
        <w:t>ляли разгонять машину до 55 км/ч. При этом удалось избежать перегрева двигателя, по</w:t>
      </w:r>
      <w:r w:rsidRPr="008127F8">
        <w:rPr>
          <w:rFonts w:ascii="Times New Roman" w:hAnsi="Times New Roman"/>
          <w:noProof/>
          <w:color w:val="000000" w:themeColor="text1"/>
          <w:sz w:val="16"/>
          <w:szCs w:val="16"/>
        </w:rPr>
        <w:softHyphen/>
        <w:t>высив эффективность его охлаждения бла</w:t>
      </w:r>
      <w:r w:rsidRPr="008127F8">
        <w:rPr>
          <w:rFonts w:ascii="Times New Roman" w:hAnsi="Times New Roman"/>
          <w:noProof/>
          <w:color w:val="000000" w:themeColor="text1"/>
          <w:sz w:val="16"/>
          <w:szCs w:val="16"/>
        </w:rPr>
        <w:softHyphen/>
        <w:t>годаря применению подковообразного ра</w:t>
      </w:r>
      <w:r w:rsidRPr="008127F8">
        <w:rPr>
          <w:rFonts w:ascii="Times New Roman" w:hAnsi="Times New Roman"/>
          <w:noProof/>
          <w:color w:val="000000" w:themeColor="text1"/>
          <w:sz w:val="16"/>
          <w:szCs w:val="16"/>
        </w:rPr>
        <w:softHyphen/>
        <w:t>диатора, давшего возможность при более плотной компоновке МТО полнее использо</w:t>
      </w:r>
      <w:r w:rsidRPr="008127F8">
        <w:rPr>
          <w:rFonts w:ascii="Times New Roman" w:hAnsi="Times New Roman"/>
          <w:noProof/>
          <w:color w:val="000000" w:themeColor="text1"/>
          <w:sz w:val="16"/>
          <w:szCs w:val="16"/>
        </w:rPr>
        <w:softHyphen/>
        <w:t>вать воздух, нагнетаемый вентилятором.</w:t>
      </w:r>
    </w:p>
    <w:p w14:paraId="69CC0960"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Уже в мае 1942 г. первый опытный обра</w:t>
      </w:r>
      <w:r w:rsidRPr="008127F8">
        <w:rPr>
          <w:rFonts w:ascii="Times New Roman" w:hAnsi="Times New Roman"/>
          <w:noProof/>
          <w:color w:val="000000" w:themeColor="text1"/>
          <w:sz w:val="16"/>
          <w:szCs w:val="16"/>
        </w:rPr>
        <w:softHyphen/>
        <w:t>зец «Объект 233» изготовили в металле и направили на заводские испытания.</w:t>
      </w:r>
    </w:p>
    <w:p w14:paraId="5390A59B"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Нет ничего удивительного в том, что раз</w:t>
      </w:r>
      <w:r w:rsidRPr="008127F8">
        <w:rPr>
          <w:rFonts w:ascii="Times New Roman" w:hAnsi="Times New Roman"/>
          <w:noProof/>
          <w:color w:val="000000" w:themeColor="text1"/>
          <w:sz w:val="16"/>
          <w:szCs w:val="16"/>
        </w:rPr>
        <w:softHyphen/>
        <w:t>работанный и изготовленный в такой спеш</w:t>
      </w:r>
      <w:r w:rsidRPr="008127F8">
        <w:rPr>
          <w:rFonts w:ascii="Times New Roman" w:hAnsi="Times New Roman"/>
          <w:noProof/>
          <w:color w:val="000000" w:themeColor="text1"/>
          <w:sz w:val="16"/>
          <w:szCs w:val="16"/>
        </w:rPr>
        <w:softHyphen/>
        <w:t>ке танк отличался целым рядом недостатков. Девятискоростная КПП с тройным демуль</w:t>
      </w:r>
      <w:r w:rsidRPr="008127F8">
        <w:rPr>
          <w:rFonts w:ascii="Times New Roman" w:hAnsi="Times New Roman"/>
          <w:noProof/>
          <w:color w:val="000000" w:themeColor="text1"/>
          <w:sz w:val="16"/>
          <w:szCs w:val="16"/>
        </w:rPr>
        <w:softHyphen/>
        <w:t>типликатором с трудом обеспечила разгон машины до максимальной скорости. Разру</w:t>
      </w:r>
      <w:r w:rsidRPr="008127F8">
        <w:rPr>
          <w:rFonts w:ascii="Times New Roman" w:hAnsi="Times New Roman"/>
          <w:noProof/>
          <w:color w:val="000000" w:themeColor="text1"/>
          <w:sz w:val="16"/>
          <w:szCs w:val="16"/>
        </w:rPr>
        <w:softHyphen/>
        <w:t>шались опорные катки и траки, на поворо</w:t>
      </w:r>
      <w:r w:rsidRPr="008127F8">
        <w:rPr>
          <w:rFonts w:ascii="Times New Roman" w:hAnsi="Times New Roman"/>
          <w:noProof/>
          <w:color w:val="000000" w:themeColor="text1"/>
          <w:sz w:val="16"/>
          <w:szCs w:val="16"/>
        </w:rPr>
        <w:softHyphen/>
        <w:t>тах спадала гусеница. Тяжело переживавший эти неприятности Н.В. Цейц в разгар испы</w:t>
      </w:r>
      <w:r w:rsidRPr="008127F8">
        <w:rPr>
          <w:rFonts w:ascii="Times New Roman" w:hAnsi="Times New Roman"/>
          <w:noProof/>
          <w:color w:val="000000" w:themeColor="text1"/>
          <w:sz w:val="16"/>
          <w:szCs w:val="16"/>
        </w:rPr>
        <w:softHyphen/>
        <w:t>таний скоропостижно скончался. Все это не на шутку встревожило Ж.Я. Котина.</w:t>
      </w:r>
    </w:p>
    <w:p w14:paraId="6F2DFD34"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И тут вновь пригодились смелость и техническая грамотность Н.Ф. Шашмури- на. Назначенный на смену Н.В. Цейца ве</w:t>
      </w:r>
      <w:r w:rsidRPr="008127F8">
        <w:rPr>
          <w:rFonts w:ascii="Times New Roman" w:hAnsi="Times New Roman"/>
          <w:noProof/>
          <w:color w:val="000000" w:themeColor="text1"/>
          <w:sz w:val="16"/>
          <w:szCs w:val="16"/>
        </w:rPr>
        <w:softHyphen/>
        <w:t xml:space="preserve">дущим конструктором по танку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-13, Ни</w:t>
      </w:r>
      <w:r w:rsidRPr="008127F8">
        <w:rPr>
          <w:rFonts w:ascii="Times New Roman" w:hAnsi="Times New Roman"/>
          <w:noProof/>
          <w:color w:val="000000" w:themeColor="text1"/>
          <w:sz w:val="16"/>
          <w:szCs w:val="16"/>
        </w:rPr>
        <w:softHyphen/>
        <w:t>колай Федорович попытался быстро спас</w:t>
      </w:r>
      <w:r w:rsidRPr="008127F8">
        <w:rPr>
          <w:rFonts w:ascii="Times New Roman" w:hAnsi="Times New Roman"/>
          <w:noProof/>
          <w:color w:val="000000" w:themeColor="text1"/>
          <w:sz w:val="16"/>
          <w:szCs w:val="16"/>
        </w:rPr>
        <w:softHyphen/>
        <w:t>ти положение, приняв ряд срочных техни</w:t>
      </w:r>
      <w:r w:rsidRPr="008127F8">
        <w:rPr>
          <w:rFonts w:ascii="Times New Roman" w:hAnsi="Times New Roman"/>
          <w:noProof/>
          <w:color w:val="000000" w:themeColor="text1"/>
          <w:sz w:val="16"/>
          <w:szCs w:val="16"/>
        </w:rPr>
        <w:softHyphen/>
        <w:t xml:space="preserve">ческих и организационных решений. Так, вместо девятискоростной КПП с тройным демультипликатором он решил установить в танк проверенную на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 и подтвер</w:t>
      </w:r>
      <w:r w:rsidRPr="008127F8">
        <w:rPr>
          <w:rFonts w:ascii="Times New Roman" w:hAnsi="Times New Roman"/>
          <w:noProof/>
          <w:color w:val="000000" w:themeColor="text1"/>
          <w:sz w:val="16"/>
          <w:szCs w:val="16"/>
        </w:rPr>
        <w:softHyphen/>
        <w:t>дившую свою эффективность восьмиско- ростную КПП с демультипликатором. Вме</w:t>
      </w:r>
      <w:r w:rsidRPr="008127F8">
        <w:rPr>
          <w:rFonts w:ascii="Times New Roman" w:hAnsi="Times New Roman"/>
          <w:noProof/>
          <w:color w:val="000000" w:themeColor="text1"/>
          <w:sz w:val="16"/>
          <w:szCs w:val="16"/>
        </w:rPr>
        <w:softHyphen/>
        <w:t>сто новых узлов ходовой части, не выдер</w:t>
      </w:r>
      <w:r w:rsidRPr="008127F8">
        <w:rPr>
          <w:rFonts w:ascii="Times New Roman" w:hAnsi="Times New Roman"/>
          <w:noProof/>
          <w:color w:val="000000" w:themeColor="text1"/>
          <w:sz w:val="16"/>
          <w:szCs w:val="16"/>
        </w:rPr>
        <w:softHyphen/>
        <w:t xml:space="preserve">жавших испытание, в танке «Объект 233» также были установлены оправдавшие себя узлы, заимствованные от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w:t>
      </w:r>
    </w:p>
    <w:p w14:paraId="5257A22F"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Однако этих мер оказалось недостаточ</w:t>
      </w:r>
      <w:r w:rsidRPr="008127F8">
        <w:rPr>
          <w:rFonts w:ascii="Times New Roman" w:hAnsi="Times New Roman"/>
          <w:noProof/>
          <w:color w:val="000000" w:themeColor="text1"/>
          <w:sz w:val="16"/>
          <w:szCs w:val="16"/>
        </w:rPr>
        <w:softHyphen/>
        <w:t>но. Танк снова испытаний не выдержал. Тог</w:t>
      </w:r>
      <w:r w:rsidRPr="008127F8">
        <w:rPr>
          <w:rFonts w:ascii="Times New Roman" w:hAnsi="Times New Roman"/>
          <w:noProof/>
          <w:color w:val="000000" w:themeColor="text1"/>
          <w:sz w:val="16"/>
          <w:szCs w:val="16"/>
        </w:rPr>
        <w:softHyphen/>
        <w:t>да Шашмурин в инициативном порядке со своей группой занялся разработкой двух новых вариантов этого танка. Заново были спроектированы башни с двумя варианта</w:t>
      </w:r>
      <w:r w:rsidRPr="008127F8">
        <w:rPr>
          <w:rFonts w:ascii="Times New Roman" w:hAnsi="Times New Roman"/>
          <w:noProof/>
          <w:color w:val="000000" w:themeColor="text1"/>
          <w:sz w:val="16"/>
          <w:szCs w:val="16"/>
        </w:rPr>
        <w:softHyphen/>
        <w:t>ми вооружения: с 76-мм пушкой ЗИС-5 («Объект 233») и 122-мм гаубицей У-11 («Объект 234») в башне, заимствованной у опытного тяжелого танка КВ-9. Удачно были использованы двухступенчатые планетар</w:t>
      </w:r>
      <w:r w:rsidRPr="008127F8">
        <w:rPr>
          <w:rFonts w:ascii="Times New Roman" w:hAnsi="Times New Roman"/>
          <w:noProof/>
          <w:color w:val="000000" w:themeColor="text1"/>
          <w:sz w:val="16"/>
          <w:szCs w:val="16"/>
        </w:rPr>
        <w:softHyphen/>
        <w:t>ные механизмы поворота, разработанные А.И. Благонравовым. Подверглась допол</w:t>
      </w:r>
      <w:r w:rsidRPr="008127F8">
        <w:rPr>
          <w:rFonts w:ascii="Times New Roman" w:hAnsi="Times New Roman"/>
          <w:noProof/>
          <w:color w:val="000000" w:themeColor="text1"/>
          <w:sz w:val="16"/>
          <w:szCs w:val="16"/>
        </w:rPr>
        <w:softHyphen/>
        <w:t xml:space="preserve">нительному усовершенствованию система охлаждения двигателя. Заимствованный от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 гусеничный движитель был облег</w:t>
      </w:r>
      <w:r w:rsidRPr="008127F8">
        <w:rPr>
          <w:rFonts w:ascii="Times New Roman" w:hAnsi="Times New Roman"/>
          <w:noProof/>
          <w:color w:val="000000" w:themeColor="text1"/>
          <w:sz w:val="16"/>
          <w:szCs w:val="16"/>
        </w:rPr>
        <w:softHyphen/>
        <w:t>чен за счет применения в гусеницах нечет</w:t>
      </w:r>
      <w:r w:rsidRPr="008127F8">
        <w:rPr>
          <w:rFonts w:ascii="Times New Roman" w:hAnsi="Times New Roman"/>
          <w:noProof/>
          <w:color w:val="000000" w:themeColor="text1"/>
          <w:sz w:val="16"/>
          <w:szCs w:val="16"/>
        </w:rPr>
        <w:softHyphen/>
        <w:t>ных безгребневых траков.</w:t>
      </w:r>
    </w:p>
    <w:p w14:paraId="06F5CD4E"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В течение второго полугодия 1942 г. Н.Ф. Шашмурин буквально «проталкивал» на Опытном танковом заводе изготовление из</w:t>
      </w:r>
      <w:r w:rsidRPr="008127F8">
        <w:rPr>
          <w:rFonts w:ascii="Times New Roman" w:hAnsi="Times New Roman"/>
          <w:noProof/>
          <w:color w:val="000000" w:themeColor="text1"/>
          <w:sz w:val="16"/>
          <w:szCs w:val="16"/>
        </w:rPr>
        <w:softHyphen/>
        <w:t>мененных узлов и агрегатов. Наконец, с де</w:t>
      </w:r>
      <w:r w:rsidRPr="008127F8">
        <w:rPr>
          <w:rFonts w:ascii="Times New Roman" w:hAnsi="Times New Roman"/>
          <w:noProof/>
          <w:color w:val="000000" w:themeColor="text1"/>
          <w:sz w:val="16"/>
          <w:szCs w:val="16"/>
        </w:rPr>
        <w:softHyphen/>
        <w:t>кабря началась сборка двух новых вариан</w:t>
      </w:r>
      <w:r w:rsidRPr="008127F8">
        <w:rPr>
          <w:rFonts w:ascii="Times New Roman" w:hAnsi="Times New Roman"/>
          <w:noProof/>
          <w:color w:val="000000" w:themeColor="text1"/>
          <w:sz w:val="16"/>
          <w:szCs w:val="16"/>
        </w:rPr>
        <w:softHyphen/>
        <w:t xml:space="preserve">тов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-13. Появление на советско-германс</w:t>
      </w:r>
      <w:r w:rsidRPr="008127F8">
        <w:rPr>
          <w:rFonts w:ascii="Times New Roman" w:hAnsi="Times New Roman"/>
          <w:noProof/>
          <w:color w:val="000000" w:themeColor="text1"/>
          <w:sz w:val="16"/>
          <w:szCs w:val="16"/>
        </w:rPr>
        <w:softHyphen/>
        <w:t xml:space="preserve">ком фронте новых немецких тяжелых танков </w:t>
      </w:r>
      <w:r w:rsidRPr="008127F8">
        <w:rPr>
          <w:rFonts w:ascii="Times New Roman" w:hAnsi="Times New Roman"/>
          <w:color w:val="000000" w:themeColor="text1"/>
          <w:sz w:val="16"/>
          <w:szCs w:val="16"/>
          <w:lang w:val="en-US"/>
        </w:rPr>
        <w:t>T</w:t>
      </w:r>
      <w:r w:rsidRPr="008127F8">
        <w:rPr>
          <w:rFonts w:ascii="Times New Roman" w:hAnsi="Times New Roman"/>
          <w:noProof/>
          <w:color w:val="000000" w:themeColor="text1"/>
          <w:sz w:val="16"/>
          <w:szCs w:val="16"/>
        </w:rPr>
        <w:t>-</w:t>
      </w:r>
      <w:r w:rsidRPr="008127F8">
        <w:rPr>
          <w:rFonts w:ascii="Times New Roman" w:hAnsi="Times New Roman"/>
          <w:color w:val="000000" w:themeColor="text1"/>
          <w:sz w:val="16"/>
          <w:szCs w:val="16"/>
          <w:lang w:val="en-US"/>
        </w:rPr>
        <w:t>VI</w:t>
      </w:r>
      <w:r w:rsidRPr="008127F8">
        <w:rPr>
          <w:rFonts w:ascii="Times New Roman" w:hAnsi="Times New Roman"/>
          <w:noProof/>
          <w:color w:val="000000" w:themeColor="text1"/>
          <w:sz w:val="16"/>
          <w:szCs w:val="16"/>
        </w:rPr>
        <w:t xml:space="preserve"> «Тигр» с 88-мм пушкой и 100-мм лобо</w:t>
      </w:r>
      <w:r w:rsidRPr="008127F8">
        <w:rPr>
          <w:rFonts w:ascii="Times New Roman" w:hAnsi="Times New Roman"/>
          <w:noProof/>
          <w:color w:val="000000" w:themeColor="text1"/>
          <w:sz w:val="16"/>
          <w:szCs w:val="16"/>
        </w:rPr>
        <w:softHyphen/>
        <w:t>вой броней и штурмовых орудий «Ферди</w:t>
      </w:r>
      <w:r w:rsidRPr="008127F8">
        <w:rPr>
          <w:rFonts w:ascii="Times New Roman" w:hAnsi="Times New Roman"/>
          <w:noProof/>
          <w:color w:val="000000" w:themeColor="text1"/>
          <w:sz w:val="16"/>
          <w:szCs w:val="16"/>
        </w:rPr>
        <w:softHyphen/>
        <w:t>нанд» с 88-мм пушкой и 200-мм лобовой броней стимулировало дальнейшие работы</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1ED1CFDA" w14:textId="77777777" w:rsidR="007E67CF" w:rsidRPr="008127F8" w:rsidRDefault="007E67CF" w:rsidP="001E0A84">
      <w:pPr>
        <w:autoSpaceDE w:val="0"/>
        <w:autoSpaceDN w:val="0"/>
        <w:adjustRightInd w:val="0"/>
        <w:spacing w:after="0" w:line="240" w:lineRule="auto"/>
        <w:jc w:val="both"/>
        <w:rPr>
          <w:rFonts w:ascii="Times New Roman" w:hAnsi="Times New Roman"/>
          <w:noProof/>
          <w:color w:val="000000" w:themeColor="text1"/>
          <w:sz w:val="16"/>
          <w:szCs w:val="16"/>
        </w:rPr>
      </w:pPr>
    </w:p>
    <w:p w14:paraId="721F9F9B"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марте 1942 года отказы коробок передач КВ стали настоящим бедствием. Именно в этот момент СКБ-2 ЧКЗ стало прорабатывать глубокую модернизацию КВ-1. Она предполагала некоторое облегчение конструкции машины и переделку ряда агрегатов, но при этом общая концепция танка оставалась прежней. Работы по этой теме легли в основу тяжелого танка </w:t>
      </w:r>
      <w:hyperlink r:id="rId91" w:history="1">
        <w:r w:rsidRPr="008127F8">
          <w:rPr>
            <w:rFonts w:ascii="Times New Roman" w:eastAsia="Times New Roman" w:hAnsi="Times New Roman"/>
            <w:color w:val="000000" w:themeColor="text1"/>
            <w:sz w:val="16"/>
            <w:szCs w:val="16"/>
            <w:lang w:eastAsia="ru-RU"/>
          </w:rPr>
          <w:t>КВ-1с</w:t>
        </w:r>
      </w:hyperlink>
      <w:r w:rsidRPr="008127F8">
        <w:rPr>
          <w:rFonts w:ascii="Times New Roman" w:hAnsi="Times New Roman"/>
          <w:color w:val="000000" w:themeColor="text1"/>
          <w:sz w:val="16"/>
          <w:szCs w:val="16"/>
        </w:rPr>
        <w:t xml:space="preserve"> (17537)</w:t>
      </w:r>
      <w:r w:rsidRPr="008127F8">
        <w:rPr>
          <w:rFonts w:ascii="Times New Roman" w:eastAsia="Times New Roman" w:hAnsi="Times New Roman"/>
          <w:color w:val="000000" w:themeColor="text1"/>
          <w:sz w:val="16"/>
          <w:szCs w:val="16"/>
          <w:lang w:eastAsia="ru-RU"/>
        </w:rPr>
        <w:t>.</w:t>
      </w:r>
    </w:p>
    <w:p w14:paraId="423AED1A"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69A6D895"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года на ЧКЗ был организован опытный завод №100, его директором стал Н.Н. Ворошилов. Главным инженером завода назначили Н.М. Синева, а главным конструктором А.С. Ермолаева. Работы по КВ-13 частично перешли на завод №100, данная машина стала одной из первых работ опытного завода. Именно в этот момент машина стала проходить под двумя обозначениями. Поскольку в основном переписка шла по линии ЧКЗ, в документах он значился как КВ-13. Зато в конструкторской документации СКБ завода №100 использовалось совсем другое название – ИС-1 (17537).</w:t>
      </w:r>
    </w:p>
    <w:p w14:paraId="40CFB9AD" w14:textId="77777777" w:rsidR="00F36C3E" w:rsidRPr="008127F8" w:rsidRDefault="00F36C3E" w:rsidP="001E0A84">
      <w:pPr>
        <w:pStyle w:val="12a"/>
        <w:shd w:val="clear" w:color="auto" w:fill="auto"/>
        <w:spacing w:after="0" w:line="240" w:lineRule="auto"/>
        <w:jc w:val="both"/>
        <w:rPr>
          <w:color w:val="000000" w:themeColor="text1"/>
          <w:sz w:val="16"/>
          <w:szCs w:val="16"/>
        </w:rPr>
      </w:pPr>
    </w:p>
    <w:p w14:paraId="7C12EAC0"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марте 1942 года в полной мере проявилась еще одна не менее серьезная проблема, тоже имевшая давние корни. Первоначальный проект КВ предлагал 3 варианта трансмиссии, причем макетная комиссия выбрала 3-скоростную планетарную трансмиссию, разработанную слушателями Военной академии механизации и моторизации (ВАММ). Два варианта с механической коробкой переключения передач рассматривались как резервные. Из коробок разработки Шашмурина и Алексеева выбрали вторую, именно этот вариант и был реализован в металле, а затем запущен в серию. КПП Алексеева базировалась на предложении Н.Л. Духова, которое, в свою очередь, являлось развитием конструкции коробки передач тяжелого танка СМК-1. Что же касается планетарной трансмиссии, то она каждый раз оказывалась в перспективных проектах. Также на перспективу переносились и модернизированные механические КПП, которые обкатывались, к примеру, на танке </w:t>
      </w:r>
      <w:hyperlink r:id="rId92" w:history="1">
        <w:r w:rsidRPr="008127F8">
          <w:rPr>
            <w:rFonts w:ascii="Times New Roman" w:eastAsia="Times New Roman" w:hAnsi="Times New Roman"/>
            <w:color w:val="000000" w:themeColor="text1"/>
            <w:sz w:val="16"/>
            <w:szCs w:val="16"/>
            <w:lang w:eastAsia="ru-RU"/>
          </w:rPr>
          <w:t>Т-220</w:t>
        </w:r>
      </w:hyperlink>
      <w:r w:rsidRPr="008127F8">
        <w:rPr>
          <w:rFonts w:ascii="Times New Roman" w:eastAsia="Times New Roman" w:hAnsi="Times New Roman"/>
          <w:color w:val="000000" w:themeColor="text1"/>
          <w:sz w:val="16"/>
          <w:szCs w:val="16"/>
          <w:lang w:eastAsia="ru-RU"/>
        </w:rPr>
        <w:t>. Работал над новыми образцами КПП Н.Ф. Шашмурин.</w:t>
      </w:r>
    </w:p>
    <w:p w14:paraId="7CC4BDD5"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же касается КВ-1, то проблемы с его коробкой передач начались еще в ходе испытаний первого опытного образца. В ходе пробега 25 сентября 1939 года танк преодолевал овраг, после этого в КПП появился шум, причиной которого стало повреждение зуба паразитной шестерни и погнувшийся валик заднего хода. Коробка давала о себе знать и в ходе заводских испытаний в ноябре 1939 года, к этому прибавились проблемы с бортовыми фрикционами. Проблемы с КПП выявлялись одна за другой: в ходе заводских испытаний танка У-7 в августе 1940 года было зафиксировано более десятка дефектов коробки передач.</w:t>
      </w:r>
    </w:p>
    <w:p w14:paraId="22B39EC6"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роста массы танка, осенью 1941 года дополнительно наложились проблемы, связанные с эвакуацией предприятий и переходом на упрощенные технологии изготовления отдельных узлов и деталей. Например, с октября 1941 года конструкция фрикционов была упрощена: с их рабочей поверхности были убраны накладки из феродо. Результатом стали участившиеся случаи перегрева фрикционов, наслоения на рабочих поверхностях металла и выхода всего механизма из строя. Снизилось и качество изготовления коробок передач, что еще больше ударило по надежности (17682).</w:t>
      </w:r>
    </w:p>
    <w:p w14:paraId="5FDED849" w14:textId="77777777" w:rsidR="00F36C3E" w:rsidRPr="008127F8" w:rsidRDefault="00F36C3E" w:rsidP="001E0A84">
      <w:pPr>
        <w:pStyle w:val="12a"/>
        <w:shd w:val="clear" w:color="auto" w:fill="auto"/>
        <w:spacing w:after="0" w:line="240" w:lineRule="auto"/>
        <w:jc w:val="both"/>
        <w:rPr>
          <w:color w:val="000000" w:themeColor="text1"/>
          <w:sz w:val="16"/>
          <w:szCs w:val="16"/>
        </w:rPr>
      </w:pPr>
    </w:p>
    <w:p w14:paraId="031C57DE"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марте 1942 года в Челябинске был создан опыт</w:t>
      </w:r>
      <w:r w:rsidRPr="008127F8">
        <w:rPr>
          <w:rFonts w:ascii="Times New Roman" w:cs="Times New Roman"/>
          <w:color w:val="000000" w:themeColor="text1"/>
          <w:spacing w:val="0"/>
        </w:rPr>
        <w:softHyphen/>
        <w:t>ный завод № 100. Располагался на базе старо</w:t>
      </w:r>
      <w:r w:rsidRPr="008127F8">
        <w:rPr>
          <w:rFonts w:ascii="Times New Roman" w:cs="Times New Roman"/>
          <w:color w:val="000000" w:themeColor="text1"/>
          <w:spacing w:val="0"/>
        </w:rPr>
        <w:softHyphen/>
        <w:t>го опытного завода, принадлежавшего до войны Челябинскому тракторному заводу. Завод № 100 имел свое конструкторское бюро, и занимался со</w:t>
      </w:r>
      <w:r w:rsidRPr="008127F8">
        <w:rPr>
          <w:rFonts w:ascii="Times New Roman" w:cs="Times New Roman"/>
          <w:color w:val="000000" w:themeColor="text1"/>
          <w:spacing w:val="0"/>
        </w:rPr>
        <w:softHyphen/>
        <w:t>вершенствованием узлов и агрегатов тяжелых тан</w:t>
      </w:r>
      <w:r w:rsidRPr="008127F8">
        <w:rPr>
          <w:rFonts w:ascii="Times New Roman" w:cs="Times New Roman"/>
          <w:color w:val="000000" w:themeColor="text1"/>
          <w:spacing w:val="0"/>
        </w:rPr>
        <w:softHyphen/>
        <w:t>ков, а также проектированием новых боевых ма</w:t>
      </w:r>
      <w:r w:rsidRPr="008127F8">
        <w:rPr>
          <w:rFonts w:ascii="Times New Roman" w:cs="Times New Roman"/>
          <w:color w:val="000000" w:themeColor="text1"/>
          <w:spacing w:val="0"/>
        </w:rPr>
        <w:softHyphen/>
        <w:t>шин. Работал в тесной кооперации с Челябинским Кировским заводом (15226).</w:t>
      </w:r>
    </w:p>
    <w:p w14:paraId="71638FF9"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p>
    <w:p w14:paraId="139749BC" w14:textId="77777777" w:rsidR="007E272D" w:rsidRPr="008127F8" w:rsidRDefault="007E272D" w:rsidP="001E0A84">
      <w:pPr>
        <w:pStyle w:val="a4"/>
        <w:rPr>
          <w:color w:val="000000" w:themeColor="text1"/>
          <w:lang w:val="ru-RU"/>
        </w:rPr>
      </w:pPr>
      <w:r w:rsidRPr="008127F8">
        <w:rPr>
          <w:color w:val="000000" w:themeColor="text1"/>
          <w:lang w:val="ru-RU"/>
        </w:rPr>
        <w:t>В марте 1942 года конструкторское бюро завода №172 начало разра</w:t>
      </w:r>
      <w:r w:rsidRPr="008127F8">
        <w:rPr>
          <w:color w:val="000000" w:themeColor="text1"/>
          <w:lang w:val="ru-RU"/>
        </w:rPr>
        <w:softHyphen/>
        <w:t>ботку 203-мм корпусной мортиры. Возглавил работу по системе, по</w:t>
      </w:r>
      <w:r w:rsidRPr="008127F8">
        <w:rPr>
          <w:color w:val="000000" w:themeColor="text1"/>
          <w:lang w:val="ru-RU"/>
        </w:rPr>
        <w:softHyphen/>
        <w:t>лучившей заводской индекс М-4, С.П. Гуренко. Стоит отметить, что подобных орудий в системе вооружения артиллерии Красной Армии не было, разработка носила инициативный характер. При создании М-4 заводчане руководствовались следующим:</w:t>
      </w:r>
    </w:p>
    <w:p w14:paraId="2DF468AC"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«Для разрушения крупных оборонительных сооружений противника, совершенно необходимо иметь артиллерийское орудие с мощным снарядом.</w:t>
      </w:r>
    </w:p>
    <w:p w14:paraId="14604AE1"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Эта задача выполняется 203-мм гаубицей обр. 1931 г. (Б-4).</w:t>
      </w:r>
    </w:p>
    <w:p w14:paraId="4D255CA6"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Между тем боевое применение этой гаубицы в условиях маневренной войны затрудняется по причине ее относительно большого веса и малой подвижности.</w:t>
      </w:r>
    </w:p>
    <w:p w14:paraId="2D602E03"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Кроме того, в связи с тем, что производство этих гаубиц прекрати</w:t>
      </w:r>
      <w:r w:rsidRPr="008127F8">
        <w:rPr>
          <w:rStyle w:val="Bodytext145"/>
          <w:i w:val="0"/>
          <w:iCs w:val="0"/>
          <w:color w:val="000000" w:themeColor="text1"/>
          <w:sz w:val="16"/>
          <w:szCs w:val="16"/>
        </w:rPr>
        <w:softHyphen/>
        <w:t>лось, фронт не имеет в настоящее время необходимого наполнения тяже</w:t>
      </w:r>
      <w:r w:rsidRPr="008127F8">
        <w:rPr>
          <w:rStyle w:val="Bodytext145"/>
          <w:i w:val="0"/>
          <w:iCs w:val="0"/>
          <w:color w:val="000000" w:themeColor="text1"/>
          <w:sz w:val="16"/>
          <w:szCs w:val="16"/>
        </w:rPr>
        <w:softHyphen/>
        <w:t>лыми гаубицами.</w:t>
      </w:r>
    </w:p>
    <w:p w14:paraId="5DD1FD88"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lastRenderedPageBreak/>
        <w:t>Имеются три опытных образца облегченной 203-мм корпусной гауби</w:t>
      </w:r>
      <w:r w:rsidRPr="008127F8">
        <w:rPr>
          <w:rStyle w:val="Bodytext145"/>
          <w:i w:val="0"/>
          <w:iCs w:val="0"/>
          <w:color w:val="000000" w:themeColor="text1"/>
          <w:sz w:val="16"/>
          <w:szCs w:val="16"/>
        </w:rPr>
        <w:softHyphen/>
        <w:t>цы — М-40, БЛ-39 и У-3, спроектированные на основе тактико-техниче</w:t>
      </w:r>
      <w:r w:rsidRPr="008127F8">
        <w:rPr>
          <w:rStyle w:val="Bodytext145"/>
          <w:i w:val="0"/>
          <w:iCs w:val="0"/>
          <w:color w:val="000000" w:themeColor="text1"/>
          <w:sz w:val="16"/>
          <w:szCs w:val="16"/>
        </w:rPr>
        <w:softHyphen/>
        <w:t>ских требований ГАУ, вес каждого из которых более чем в полтора раза меньше по сравнению с весом гаубицы «Б-4».</w:t>
      </w:r>
    </w:p>
    <w:p w14:paraId="5BF83F71"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Эти образцы, ввиду лучшей маневренности по сравнению с гаубицей «Б-4», были бы лучше приспособлены к условиям современной войны.</w:t>
      </w:r>
    </w:p>
    <w:p w14:paraId="5DA6C79D"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Однако в случае введения какого-либо из этих образцов на вооружение, перед промышленностью встанет вопрос об организации совершенно но</w:t>
      </w:r>
      <w:r w:rsidRPr="008127F8">
        <w:rPr>
          <w:rStyle w:val="Bodytext145"/>
          <w:i w:val="0"/>
          <w:iCs w:val="0"/>
          <w:color w:val="000000" w:themeColor="text1"/>
          <w:sz w:val="16"/>
          <w:szCs w:val="16"/>
        </w:rPr>
        <w:softHyphen/>
        <w:t>вого производства со всеми вытекающими отсюда трудностями, усугу</w:t>
      </w:r>
      <w:r w:rsidRPr="008127F8">
        <w:rPr>
          <w:rStyle w:val="Bodytext145"/>
          <w:i w:val="0"/>
          <w:iCs w:val="0"/>
          <w:color w:val="000000" w:themeColor="text1"/>
          <w:sz w:val="16"/>
          <w:szCs w:val="16"/>
        </w:rPr>
        <w:softHyphen/>
        <w:t>бленными условиями военного времени, благодаря чему нельзя в ближайше время ожидать значительного выпуска этих машин.</w:t>
      </w:r>
    </w:p>
    <w:p w14:paraId="6244ABA6"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У завода возникла идея — дать 203-мм гаубицу, значительно более лег</w:t>
      </w:r>
      <w:r w:rsidRPr="008127F8">
        <w:rPr>
          <w:rStyle w:val="Bodytext145"/>
          <w:i w:val="0"/>
          <w:iCs w:val="0"/>
          <w:color w:val="000000" w:themeColor="text1"/>
          <w:sz w:val="16"/>
          <w:szCs w:val="16"/>
        </w:rPr>
        <w:softHyphen/>
        <w:t>кую, чем гаубица «Б-4», но с тем же штатным снарядом, с дальностью стрельбы 8—10 км, на базе существующей 152-мм пушки-гаубицы обр. 1937года (МЛ-20).</w:t>
      </w:r>
    </w:p>
    <w:p w14:paraId="7F79E26E" w14:textId="77777777" w:rsidR="007E272D" w:rsidRPr="008127F8" w:rsidRDefault="007E272D"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Такая гаубица, обладая всеми преимуществами в отношении маневрен</w:t>
      </w:r>
      <w:r w:rsidRPr="008127F8">
        <w:rPr>
          <w:rStyle w:val="Bodytext145"/>
          <w:i w:val="0"/>
          <w:iCs w:val="0"/>
          <w:color w:val="000000" w:themeColor="text1"/>
          <w:sz w:val="16"/>
          <w:szCs w:val="16"/>
        </w:rPr>
        <w:softHyphen/>
        <w:t>ности и в особенности легкого освоения в валовом производстве, имеет в то же время вполне достаточную дальность стрельбы при штатном снаряде»'.</w:t>
      </w:r>
    </w:p>
    <w:p w14:paraId="01F0A215"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Другими словами, КБ завода №172 решило взять укороченный ствол гаубицы Б-4 и наложить его на лафет пушки-гаубицы МЛ-20.</w:t>
      </w:r>
    </w:p>
    <w:p w14:paraId="0786A685"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отличие от КБ завода №8, которое в октябре 1942 года представи</w:t>
      </w:r>
      <w:r w:rsidRPr="008127F8">
        <w:rPr>
          <w:rFonts w:ascii="Times New Roman" w:hAnsi="Times New Roman"/>
          <w:color w:val="000000" w:themeColor="text1"/>
          <w:sz w:val="16"/>
          <w:szCs w:val="16"/>
        </w:rPr>
        <w:softHyphen/>
        <w:t xml:space="preserve">ло лишь эскизный проект наложения ствола гаубицы У-3 на лафет МЛ-20, их конкуренты пошли значительно дальше. 14 мая 1942 года Артиллерийский комитет ГАУ КА дал заключение по проекту М-4, </w:t>
      </w:r>
      <w:proofErr w:type="gramStart"/>
      <w:r w:rsidRPr="008127F8">
        <w:rPr>
          <w:rFonts w:ascii="Times New Roman" w:hAnsi="Times New Roman"/>
          <w:color w:val="000000" w:themeColor="text1"/>
          <w:sz w:val="16"/>
          <w:szCs w:val="16"/>
        </w:rPr>
        <w:t>который в общем и целом</w:t>
      </w:r>
      <w:proofErr w:type="gramEnd"/>
      <w:r w:rsidRPr="008127F8">
        <w:rPr>
          <w:rFonts w:ascii="Times New Roman" w:hAnsi="Times New Roman"/>
          <w:color w:val="000000" w:themeColor="text1"/>
          <w:sz w:val="16"/>
          <w:szCs w:val="16"/>
        </w:rPr>
        <w:t xml:space="preserve"> одобрил идею. Первые испытания по теме мортиры прошли с 18 по 23 мая 1942 года, проверялся опытный ла</w:t>
      </w:r>
      <w:r w:rsidRPr="008127F8">
        <w:rPr>
          <w:rFonts w:ascii="Times New Roman" w:hAnsi="Times New Roman"/>
          <w:color w:val="000000" w:themeColor="text1"/>
          <w:sz w:val="16"/>
          <w:szCs w:val="16"/>
        </w:rPr>
        <w:softHyphen/>
        <w:t>фет. Для его испытаний применялся баллистический ствол, изготов</w:t>
      </w:r>
      <w:r w:rsidRPr="008127F8">
        <w:rPr>
          <w:rFonts w:ascii="Times New Roman" w:hAnsi="Times New Roman"/>
          <w:color w:val="000000" w:themeColor="text1"/>
          <w:sz w:val="16"/>
          <w:szCs w:val="16"/>
        </w:rPr>
        <w:softHyphen/>
        <w:t>ленный из трубы опытного образца 203-мм гаубицы М-40 и затвора 152-мм пушки Б-30.</w:t>
      </w:r>
    </w:p>
    <w:p w14:paraId="53AEFA35"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установки более тяжелого и мощного ствола в конструкцию МЛ-20 было внесено небольшое число изменений. Верхний станок получил возможность установки полиспаста для оттягивания ствола на поход, для чего ввели специальный кронштейн. Нижний станок получил ограничитель, также небольшие изменения, связанные с по</w:t>
      </w:r>
      <w:r w:rsidRPr="008127F8">
        <w:rPr>
          <w:rFonts w:ascii="Times New Roman" w:hAnsi="Times New Roman"/>
          <w:color w:val="000000" w:themeColor="text1"/>
          <w:sz w:val="16"/>
          <w:szCs w:val="16"/>
        </w:rPr>
        <w:softHyphen/>
        <w:t>становкой полиспаста, внесли в конструкцию станин. В уравновеши</w:t>
      </w:r>
      <w:r w:rsidRPr="008127F8">
        <w:rPr>
          <w:rFonts w:ascii="Times New Roman" w:hAnsi="Times New Roman"/>
          <w:color w:val="000000" w:themeColor="text1"/>
          <w:sz w:val="16"/>
          <w:szCs w:val="16"/>
        </w:rPr>
        <w:softHyphen/>
        <w:t>вающий механизм поставили более мощную пружину, несколько из</w:t>
      </w:r>
      <w:r w:rsidRPr="008127F8">
        <w:rPr>
          <w:rFonts w:ascii="Times New Roman" w:hAnsi="Times New Roman"/>
          <w:color w:val="000000" w:themeColor="text1"/>
          <w:sz w:val="16"/>
          <w:szCs w:val="16"/>
        </w:rPr>
        <w:softHyphen/>
        <w:t>менили состав ЗИП (17484).</w:t>
      </w:r>
    </w:p>
    <w:p w14:paraId="7AC1B56F" w14:textId="77777777" w:rsidR="007E272D" w:rsidRPr="008127F8" w:rsidRDefault="007E272D" w:rsidP="001E0A84">
      <w:pPr>
        <w:spacing w:after="0" w:line="240" w:lineRule="auto"/>
        <w:jc w:val="both"/>
        <w:rPr>
          <w:rFonts w:ascii="Times New Roman" w:hAnsi="Times New Roman"/>
          <w:color w:val="000000" w:themeColor="text1"/>
          <w:sz w:val="16"/>
          <w:szCs w:val="16"/>
        </w:rPr>
      </w:pPr>
    </w:p>
    <w:p w14:paraId="745A4D58" w14:textId="77777777" w:rsidR="007E272D" w:rsidRPr="008127F8" w:rsidRDefault="007E272D"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марте 1942 на заводе № 37 в Свердловске было принято 165 танков Т-50, но рост выпуска сопровождался растущими проблемами с заводами-кооператорами. Достаточно сказать, что из 190 Т-60, принятых в апреле, 86 танков ока</w:t>
      </w:r>
      <w:r w:rsidRPr="008127F8">
        <w:rPr>
          <w:rFonts w:eastAsia="Calibri"/>
          <w:color w:val="000000" w:themeColor="text1"/>
          <w:sz w:val="16"/>
          <w:szCs w:val="16"/>
        </w:rPr>
        <w:softHyphen/>
        <w:t>залось без гусениц. На одну из первых ролей в причинах срыва плана по выпуску танков вышел ГАЗ, который за 1-й квартал недопоставил 664 двигателя. Из-за проблем с поставками моторов сборочный цех за</w:t>
      </w:r>
      <w:r w:rsidRPr="008127F8">
        <w:rPr>
          <w:rFonts w:eastAsia="Calibri"/>
          <w:color w:val="000000" w:themeColor="text1"/>
          <w:sz w:val="16"/>
          <w:szCs w:val="16"/>
        </w:rPr>
        <w:softHyphen/>
        <w:t>вода № 37 простаивал в течение апреля 8 дней. За апрель было изготов</w:t>
      </w:r>
      <w:r w:rsidRPr="008127F8">
        <w:rPr>
          <w:rFonts w:eastAsia="Calibri"/>
          <w:color w:val="000000" w:themeColor="text1"/>
          <w:sz w:val="16"/>
          <w:szCs w:val="16"/>
        </w:rPr>
        <w:softHyphen/>
        <w:t>лено 230 корпусов (100% плана), так что задержка с двигателями очень сильно повлияла на выпуск Т-60. В сложившихся условиях прогнозы относительно объемов выпуска танков в мае были весьма мрачными:</w:t>
      </w:r>
    </w:p>
    <w:p w14:paraId="47562A12"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готов выполнить план, но поставщики срывают его, так даль</w:t>
      </w:r>
      <w:r w:rsidRPr="008127F8">
        <w:rPr>
          <w:rFonts w:ascii="Times New Roman" w:hAnsi="Times New Roman"/>
          <w:color w:val="000000" w:themeColor="text1"/>
          <w:sz w:val="16"/>
          <w:szCs w:val="16"/>
        </w:rPr>
        <w:softHyphen/>
        <w:t>ше завод работать не может, каждый месяц большие простои из-за пло</w:t>
      </w:r>
      <w:r w:rsidRPr="008127F8">
        <w:rPr>
          <w:rFonts w:ascii="Times New Roman" w:hAnsi="Times New Roman"/>
          <w:color w:val="000000" w:themeColor="text1"/>
          <w:sz w:val="16"/>
          <w:szCs w:val="16"/>
        </w:rPr>
        <w:softHyphen/>
        <w:t>хой работы поставщиков.</w:t>
      </w:r>
    </w:p>
    <w:p w14:paraId="4F98CD2E"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Майский план может быть сорван так же, как был сорван апрельский план из-за неподачи моторов. Первые дни мая завод стоит, нет моторов, и, видно, долго будет стоять.</w:t>
      </w:r>
    </w:p>
    <w:p w14:paraId="340432FB"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Наркомат плохо помогает заводу, траков на заводе нет, перспектив получить — нет, около 100машин стоит готовых без траков, наркомат никаких мер не принимает. Заводу нужна помощь.</w:t>
      </w:r>
    </w:p>
    <w:p w14:paraId="202495C9"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послал несколько телеграмм тов. Молотову о работе завода и попросил помочь заводу.</w:t>
      </w:r>
    </w:p>
    <w:p w14:paraId="36930840"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взял сейчас правильную политику. Делать все у себя на заводе. Заводом освоен собственный ковкий чугун. Освоена обрезинка катков, на днях пускается в действие пятитонная электропечь для освоения соб</w:t>
      </w:r>
      <w:r w:rsidRPr="008127F8">
        <w:rPr>
          <w:rFonts w:ascii="Times New Roman" w:hAnsi="Times New Roman"/>
          <w:color w:val="000000" w:themeColor="text1"/>
          <w:sz w:val="16"/>
          <w:szCs w:val="16"/>
        </w:rPr>
        <w:softHyphen/>
        <w:t>ственного литья, в том числе и траков, завод думает и ведет расчеты, чтобы делать самому водяные радиаторы, тогда заводу остается полу</w:t>
      </w:r>
      <w:r w:rsidRPr="008127F8">
        <w:rPr>
          <w:rFonts w:ascii="Times New Roman" w:hAnsi="Times New Roman"/>
          <w:color w:val="000000" w:themeColor="text1"/>
          <w:sz w:val="16"/>
          <w:szCs w:val="16"/>
        </w:rPr>
        <w:softHyphen/>
        <w:t>чить со стороны только моторы и подшипники.</w:t>
      </w:r>
    </w:p>
    <w:p w14:paraId="41B05CFC"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пробегах по приемке машин обнаруживаются дефекты в основном по моторам. Трещины в бронекорпусах отсутствуют, термообработка за</w:t>
      </w:r>
      <w:r w:rsidRPr="008127F8">
        <w:rPr>
          <w:rFonts w:ascii="Times New Roman" w:hAnsi="Times New Roman"/>
          <w:color w:val="000000" w:themeColor="text1"/>
          <w:sz w:val="16"/>
          <w:szCs w:val="16"/>
        </w:rPr>
        <w:softHyphen/>
        <w:t>водом подобрана правильно. Корпуса принимаем только с экраном, также и экранированную граненую башню.</w:t>
      </w:r>
    </w:p>
    <w:p w14:paraId="25EC124E"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сдаче машин пробегом и обстрелом маршевым ротам, машины ве</w:t>
      </w:r>
      <w:r w:rsidRPr="008127F8">
        <w:rPr>
          <w:rFonts w:ascii="Times New Roman" w:hAnsi="Times New Roman"/>
          <w:color w:val="000000" w:themeColor="text1"/>
          <w:sz w:val="16"/>
          <w:szCs w:val="16"/>
        </w:rPr>
        <w:softHyphen/>
        <w:t>дут себя хорошо. Пушки ШВАК также ведут себя хорошо. Отладка их на заводе отлажена. Акты рекламации из войсковых частей поступают в основном по дефектам мотора.</w:t>
      </w:r>
    </w:p>
    <w:p w14:paraId="6C86FD3F"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того что поставщик моторов находится от завода далеко (око</w:t>
      </w:r>
      <w:r w:rsidRPr="008127F8">
        <w:rPr>
          <w:rFonts w:ascii="Times New Roman" w:hAnsi="Times New Roman"/>
          <w:color w:val="000000" w:themeColor="text1"/>
          <w:sz w:val="16"/>
          <w:szCs w:val="16"/>
        </w:rPr>
        <w:softHyphen/>
        <w:t>ло 2000 км) и плохо снабжает завод моторами, прошу Вашего ходатай</w:t>
      </w:r>
      <w:r w:rsidRPr="008127F8">
        <w:rPr>
          <w:rFonts w:ascii="Times New Roman" w:hAnsi="Times New Roman"/>
          <w:color w:val="000000" w:themeColor="text1"/>
          <w:sz w:val="16"/>
          <w:szCs w:val="16"/>
        </w:rPr>
        <w:softHyphen/>
        <w:t>ства перед начальником ГАБТУ КА о постановке на танк Т-60 мотора ЗИС-5, этот мотор начал делаться в г. Миассе. В мае этот завод должен дать первые сто моторов.</w:t>
      </w:r>
    </w:p>
    <w:p w14:paraId="11AE3B99"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Постановка мотора ЗИС-5 на машины Т-60 требует мало переделки и будет работать лучше, чем мотор 202, и получение его с завода легче, чем с ГАЗа» (17485).</w:t>
      </w:r>
    </w:p>
    <w:p w14:paraId="64310AA9" w14:textId="77777777" w:rsidR="007E272D" w:rsidRPr="008127F8" w:rsidRDefault="007E272D" w:rsidP="001E0A84">
      <w:pPr>
        <w:spacing w:after="0" w:line="240" w:lineRule="auto"/>
        <w:jc w:val="both"/>
        <w:rPr>
          <w:rFonts w:ascii="Times New Roman" w:hAnsi="Times New Roman"/>
          <w:color w:val="000000" w:themeColor="text1"/>
          <w:sz w:val="16"/>
          <w:szCs w:val="16"/>
        </w:rPr>
      </w:pPr>
    </w:p>
    <w:p w14:paraId="4872EA6F"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военпреды оформили 290 тридцатьчетверок СТЗ, из которых 95 не имели пушек. Отмечалось, что задержка сборки в марте произошла из-за нерегулярной подачи заводами-смежниками материалов, например ленты для радиаторов, электродов, шихты для сталелитейного цеха и целого ряда подшипников. Окончательная же подача танков задерживалась из-за:</w:t>
      </w:r>
    </w:p>
    <w:p w14:paraId="7B987385"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Нерегулярным поступлением на завод пушек и оптических приборов.</w:t>
      </w:r>
    </w:p>
    <w:p w14:paraId="2294B54C"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Большой дефектностью машин, поступающих с конвейера на обкатку и ряд других, боле мелких причин, тормозивших выпуск машин.</w:t>
      </w:r>
    </w:p>
    <w:p w14:paraId="3DFBE160"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истекшем марте месяце резко возросла дефектность машин. Причиной исключительно высокой дефектности, частично, является низкая трудовая дисциплина на отдельных производственных участках и ослабление контроля со стороны ОТК».</w:t>
      </w:r>
    </w:p>
    <w:p w14:paraId="030205A2"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Кстати, 95 машин без орудий также были оснащены карбюраторными двигателями. Из-за задержек с поставками пушек Ф-34 на этих танках двигатели заменили на В-2 - в марте СТЗ изготовил 319 дизелей, и с этого времени сумел обеспечивать свои потребности в двигателях. Однако к этому времени резко упало качество сталинградских тридцатьчетверок, что потребовало вмешательства на самом «верху» (12217).</w:t>
      </w:r>
    </w:p>
    <w:p w14:paraId="7F9EBE96"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года начальник ГАБТУ КА Федоренко направил на имя заместителя председателя ГКО В. Молотова следующий документ:</w:t>
      </w:r>
    </w:p>
    <w:p w14:paraId="08027D2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«Докладываю, что по донесениям военпреда и Начальника Сталинградского АБТ Центра, в танках Т-34, выпускаемых Сталинградским Тракторным заводом, до настоящего времени имеет место ряд существенных дефектов, требующих немедленного устранения.</w:t>
      </w:r>
    </w:p>
    <w:p w14:paraId="6288FB7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предъявленных в марте месяце 290 танков забраковано 55 машин по следующим причинам:</w:t>
      </w:r>
    </w:p>
    <w:p w14:paraId="3C24E9F0"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Низкое давление масла в масляной системе двигателя - на 15 машинах.</w:t>
      </w:r>
    </w:p>
    <w:p w14:paraId="6F2F7BD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Заедание выжимного подшипника главного фрикциона - на 15 машинах.</w:t>
      </w:r>
    </w:p>
    <w:p w14:paraId="0BAFF222"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Разрыв картеров коробки перемены передач - на 22 машинах.</w:t>
      </w:r>
    </w:p>
    <w:p w14:paraId="77E8A6D7"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Коробление дисков на 2-х машинах.</w:t>
      </w:r>
    </w:p>
    <w:p w14:paraId="3355718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Заклинивание коленчатого вала двигателя В-2 на 2-х машинах.</w:t>
      </w:r>
    </w:p>
    <w:p w14:paraId="6FF21A57"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Выявлен также ряд более мелких дефектов, свидетельствующих о низкой производственной и технологической дисциплине на заводе.</w:t>
      </w:r>
    </w:p>
    <w:p w14:paraId="35E97FE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месяце положение не улучшилось. Только за вторую декаду было:</w:t>
      </w:r>
    </w:p>
    <w:p w14:paraId="59DD9EE8"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Разрушение картеров коробки перемены передач у 3-х танков.</w:t>
      </w:r>
    </w:p>
    <w:p w14:paraId="26261522"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Разрушение роликового подшипника главного вала коробки перемены передач у 2-х танков.</w:t>
      </w:r>
    </w:p>
    <w:p w14:paraId="1E056D94"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Разрушение подшипников главного фрикциона и бортовой передачи у 6-ти танков.</w:t>
      </w:r>
    </w:p>
    <w:p w14:paraId="51499165"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w:t>
      </w:r>
      <w:r w:rsidRPr="008127F8">
        <w:rPr>
          <w:rFonts w:ascii="Times New Roman" w:hAnsi="Times New Roman"/>
          <w:color w:val="000000" w:themeColor="text1"/>
          <w:sz w:val="16"/>
          <w:szCs w:val="16"/>
        </w:rPr>
        <w:tab/>
        <w:t>Трещины в броне корпусов и башен у 70-ти танков.</w:t>
      </w:r>
    </w:p>
    <w:p w14:paraId="0E5BA63D"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после снятия белого камуфляжа в 31 машине Т-34 90, 6, 102 и 48-й танковых бригад обнаружились трещины в броне корпусов и башен.</w:t>
      </w:r>
    </w:p>
    <w:p w14:paraId="6D051DC4"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Ваших указаний Нарком- танкопрому о принятии срочных мер по устранению дефектов и улучшению качества изготовления и сборки корпусов и танков Т-34 на СТЗ и заводе № 264» (12217).</w:t>
      </w:r>
    </w:p>
    <w:p w14:paraId="7853DD76"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4464026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к заводам, выпускавшим танки Т-34, прибавился еще один - № 174 в Омске. Выпускавший до войны Т-26, с июня 1941 года он начал переход на производство нового танка Т-50. Однако после изготовления нескольких десятков машин их выпуск свернули. Завод № 174 сначала ориентировался на изготовление деталей для Т-34, а затем и танков целиком. Первые машины омичи выдали в июне 1942 года, но к стабильному выпуску тридцатьчетверок завод № 174 приступил лишь в 1943 году (12217).</w:t>
      </w:r>
    </w:p>
    <w:p w14:paraId="4BBD4A70"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37DD91CA"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марта 1942 года цех «563» полностью перешел на машинную формовку башен. Кстати, именно башня, отлитая в форму </w:t>
      </w:r>
      <w:proofErr w:type="gramStart"/>
      <w:r w:rsidRPr="008127F8">
        <w:rPr>
          <w:rFonts w:ascii="Times New Roman" w:hAnsi="Times New Roman"/>
          <w:color w:val="000000" w:themeColor="text1"/>
          <w:sz w:val="16"/>
          <w:szCs w:val="16"/>
        </w:rPr>
        <w:t>машинной формовки</w:t>
      </w:r>
      <w:proofErr w:type="gramEnd"/>
      <w:r w:rsidRPr="008127F8">
        <w:rPr>
          <w:rFonts w:ascii="Times New Roman" w:hAnsi="Times New Roman"/>
          <w:color w:val="000000" w:themeColor="text1"/>
          <w:sz w:val="16"/>
          <w:szCs w:val="16"/>
        </w:rPr>
        <w:t xml:space="preserve"> получила название «улучшенной» - из-за упрощения технологии ее изготовления.</w:t>
      </w:r>
    </w:p>
    <w:p w14:paraId="4A2EC9D3"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Шестигранная башня по заключению военных была признана лучшей, чем башня Мариупольского завода с одним люком. В заключении по литой башне танка Т-34 конструкции завода № 183 от 16 мая 1942 года отмечалось: «Необходимо ускорить отработку и внедрение в производство на всех заводах башен новой конструкции для Т-34.</w:t>
      </w:r>
    </w:p>
    <w:p w14:paraId="00017C86"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 июля 1942 года разрешить заводам выпускать Т-34 со старой башней без заднего люка, после чего все заводы перевести на выпуск новой башни».</w:t>
      </w:r>
    </w:p>
    <w:p w14:paraId="5412BE20"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Чертежи для введения в серию шестигранной башни утвердили с,1 июля 1942 года. Однако далеко не все предприятия перешли на ее изготовление - и завод № 264, и «Красное Сормово» продолжали производство башен по старым чертежам (завод № 112 выпускал такие башни до лета 1943 года).</w:t>
      </w:r>
    </w:p>
    <w:p w14:paraId="6E14BA3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Изменения конструкции с целью упрощения в производстве вводили не только на заводе № 183</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но и на других предприятиях. Например, из-за особенностей производства литых башен на заводе «Красное Сормово» кормовую часть башни отливали вместе с бортами, посте чего фрезеровали в задней стенке место под установку люка для демонтажа пушки. </w:t>
      </w:r>
      <w:proofErr w:type="gramStart"/>
      <w:r w:rsidRPr="008127F8">
        <w:rPr>
          <w:rFonts w:ascii="Times New Roman" w:hAnsi="Times New Roman"/>
          <w:color w:val="000000" w:themeColor="text1"/>
          <w:sz w:val="16"/>
          <w:szCs w:val="16"/>
        </w:rPr>
        <w:t>Естественно</w:t>
      </w:r>
      <w:proofErr w:type="gramEnd"/>
      <w:r w:rsidRPr="008127F8">
        <w:rPr>
          <w:rFonts w:ascii="Times New Roman" w:hAnsi="Times New Roman"/>
          <w:color w:val="000000" w:themeColor="text1"/>
          <w:sz w:val="16"/>
          <w:szCs w:val="16"/>
        </w:rPr>
        <w:t xml:space="preserve"> это усложняло и удорожало конструкцию. Для того чтобы избежать фрезерной операции на заводе № 112 под руководством начальника сектора вооружения А. Окунева разработали технологию монтажа и демонтажа пушки при отсутствии люка в корме башни. Для этого двумя танковыми домкратами поднимали кормовую часть башни, и в отверстие между ее погоном и крышей корпуса свободно проходила снятая с цапф пушка. А чтобы при этом башня не сползла вперед, на крыше корпуса приварили специальные упоры. Предложение завода № 112 утвердили, и с марта 1942 года сормовчане перешли на производство башен без заднего кормового люка (12217).</w:t>
      </w:r>
    </w:p>
    <w:p w14:paraId="2C391A4A"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25B24CD8"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ГАЗ изготовил 320 Т-60 (из них 20 без башен), в апреле ещё 138 (14 без башен), после чего производство танков этого типа прекратилось. По состоянию на 1 июля на заводе оставалось ещё 13 Т-60, имевших серьёзные производственные дефекты, последние 5 танков были отправлены 15 августа в 1-е Горьковское танковое училище. Всего же за 8 месяцев Горьковский автозавод им. Молотова изготовил 2913 Т-60, что составило половину от общего объёма выпуска этих танков (17672).</w:t>
      </w:r>
    </w:p>
    <w:p w14:paraId="443ACAA4"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7CDD0E"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коллектив КБ завода № 8, эвакуированного в Свердловск на площадку УЗТМ, представил первую свою работу – 85-мм танковую пушку ЗИК-1. Впрочем, ещё до этого момента КБ разработало проект, напрямую связанный с работами завода №8 довоенного периода (17641).</w:t>
      </w:r>
    </w:p>
    <w:p w14:paraId="37393602"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28D9AEFD"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года тема вновь всплывает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Ответственными за шасси назначался организованный в марте 1942 года опытный завод №100 НКТП (г. Челябинск). За орудийную часть отвечал организованный на новом месте завод №8 НКВ (г. Свердловск). На опытные работы выделялось 1,5 миллиона рублей. Опытный образец намечалось изготовить к 1 июля 1942 года. Впрочем, тему КВ-3 к весне 1942 года похоронили окончательно, а в качестве базы для истребителя ДОТов с апреля стали рассматривать совсем другую машину.</w:t>
      </w:r>
    </w:p>
    <w:p w14:paraId="421AE598"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САУ «212» так и не суждено было выйти за рамки изготовления корпуса, да и тот в итоге до конца не был собран. Но даже если бы машину построили, вряд ли её судьба могла бы сложиться удачно. Слишком большая и тяжёлая, эта САУ имела очень узкую специализацию. Её производство напрямую зависело от выпуска орудия БР-2, а он прекратился ещё в 1940 году. К тому же ориентировочная цена «212» составляла около миллиона рублей, и даже предварительный объём выпуска составлял всего 12 машин. Одним словом, «истребитель ДОТов» оказался тупиковой ветвью развития советских тяжелых САУ (17646).</w:t>
      </w:r>
    </w:p>
    <w:p w14:paraId="1CE6CF37" w14:textId="77777777" w:rsidR="00F36C3E" w:rsidRPr="008127F8" w:rsidRDefault="00F36C3E" w:rsidP="001E0A84">
      <w:pPr>
        <w:pStyle w:val="12a"/>
        <w:shd w:val="clear" w:color="auto" w:fill="auto"/>
        <w:spacing w:after="0" w:line="240" w:lineRule="auto"/>
        <w:jc w:val="both"/>
        <w:rPr>
          <w:color w:val="000000" w:themeColor="text1"/>
          <w:sz w:val="16"/>
          <w:szCs w:val="16"/>
        </w:rPr>
      </w:pPr>
    </w:p>
    <w:p w14:paraId="5DA82009"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года конструкторское бюро завода №172 начало разработку 203-мм корпусной мортиры. Возглавил работу по системе, получившей заводской индекс М-4, С.П. Гуренко. Идея мортиры оказалась очень простой: на лафет МЛ-20 накладывался укороченный ствол по типу Б-4, от этой же гаубицы брался затвор. 14 мая 1942 года Артиллерийский комитет ГАУ КА одобрил проект М-4.</w:t>
      </w:r>
    </w:p>
    <w:p w14:paraId="15E1D5CF"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Первые испытания по теме мортиры прошли с 18 по 23 мая 1942 года, проверялся опытный лафет. Во время испытаний использовался баллистический ствол, изготовленный из трубы опытного образца 203-мм гаубицы М-40 и затвора 152 мм пушки Б-30. В августе 1942 года для мортиры был изготовлен ствол-моноблок. Затвор, с небольшими переделками, взяли от гаубицы Б-4. От нее же использовались и боеприпасы. Масса М-4 в походном положении составляла 8300 кг, а в боевом – 7500 кг, что меньше чем на полтонны превышало аналогичные данные МЛ-20.</w:t>
      </w:r>
    </w:p>
    <w:p w14:paraId="13D42631"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Несмотря на ряд проблем, испытания продемонстрировали пригодность М-4 для серийного производства. Больше того, 12 июня 1943 года Сталин подписал постановление ГКО №3564сс «О подготовке производства 203-мм мортир «М-4»». На этом фоне появилась идея разработать самоходную установку с использованием М-4. Согласно документам, инициатором создания самоходной установки с мортирой М-4 выступал генерал-майор инженерно-артиллерийской служба </w:t>
      </w:r>
      <w:proofErr w:type="gramStart"/>
      <w:r w:rsidRPr="008127F8">
        <w:rPr>
          <w:rFonts w:ascii="Times New Roman" w:eastAsia="Times New Roman" w:hAnsi="Times New Roman"/>
          <w:color w:val="000000" w:themeColor="text1"/>
          <w:sz w:val="16"/>
          <w:szCs w:val="16"/>
          <w:lang w:eastAsia="ru-RU"/>
        </w:rPr>
        <w:t>А.А</w:t>
      </w:r>
      <w:proofErr w:type="gramEnd"/>
      <w:r w:rsidRPr="008127F8">
        <w:rPr>
          <w:rFonts w:ascii="Times New Roman" w:eastAsia="Times New Roman" w:hAnsi="Times New Roman"/>
          <w:color w:val="000000" w:themeColor="text1"/>
          <w:sz w:val="16"/>
          <w:szCs w:val="16"/>
          <w:lang w:eastAsia="ru-RU"/>
        </w:rPr>
        <w:t xml:space="preserve"> Толочков, занимавший должность начальника сектора опытных конструкций Техсовета Народного комиссариата вооружения (НКВ). С ним же ОКБ-172 согласовывало и предварительные требования, которые легли в основу проектирования (17701).</w:t>
      </w:r>
    </w:p>
    <w:p w14:paraId="4CC9DDEC" w14:textId="77777777" w:rsidR="00F36C3E" w:rsidRPr="008127F8" w:rsidRDefault="00F36C3E" w:rsidP="001E0A84">
      <w:pPr>
        <w:pStyle w:val="12a"/>
        <w:shd w:val="clear" w:color="auto" w:fill="auto"/>
        <w:spacing w:after="0" w:line="240" w:lineRule="auto"/>
        <w:jc w:val="both"/>
        <w:rPr>
          <w:color w:val="000000" w:themeColor="text1"/>
          <w:sz w:val="16"/>
          <w:szCs w:val="16"/>
        </w:rPr>
      </w:pPr>
    </w:p>
    <w:p w14:paraId="77538272"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года начались работы по ЗИК-1 и вышли на финишную прямую к середине апреля. Это орудие стало попыткой максимально «вписать» трубу калибра 85 мм в установку ЗИС-5. Ради этого длину трубы пришлось уменьшить до 3400 мм (40 калибров). Но даже в таком виде эта система все равно оставалась значительно более мощной, чем ЗИС-5. Кроме того, для ее установки не требовалось переделывать башню. Более того, ЗИК-1 можно было поставить и в башню Т-34. Тем не менее, система так и осталась проектом (17675).</w:t>
      </w:r>
    </w:p>
    <w:p w14:paraId="59C035D7"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3DDE5EA2"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марте 1942 КБ завода №8 уже было загружено работой по многим направлениям. Велись работы по 85-мм танковой системе ЗИК-1, примерно в это же время началось проектирование 45-мм противотанковой пушки ЗИК-4. А весной 1942 года коллектив под руководством Петрова подключился к программе разработки орудийной установки для САУ на агрегатах Т-60. 76-мм штурмовая САУ получила индекс ЗИК-7, причем ее проектировали в двух вариантах. Вдобавок к ней появился и проект 25-мм </w:t>
      </w:r>
      <w:hyperlink r:id="rId93" w:history="1">
        <w:r w:rsidRPr="008127F8">
          <w:rPr>
            <w:rFonts w:ascii="Times New Roman" w:eastAsia="Times New Roman" w:hAnsi="Times New Roman"/>
            <w:color w:val="000000" w:themeColor="text1"/>
            <w:sz w:val="16"/>
            <w:szCs w:val="16"/>
            <w:lang w:eastAsia="ru-RU"/>
          </w:rPr>
          <w:t>зенитной самоходной установки</w:t>
        </w:r>
      </w:hyperlink>
      <w:r w:rsidRPr="008127F8">
        <w:rPr>
          <w:rFonts w:ascii="Times New Roman" w:eastAsia="Times New Roman" w:hAnsi="Times New Roman"/>
          <w:color w:val="000000" w:themeColor="text1"/>
          <w:sz w:val="16"/>
          <w:szCs w:val="16"/>
          <w:lang w:eastAsia="ru-RU"/>
        </w:rPr>
        <w:t xml:space="preserve"> (ЗСУ) ЗИК-5.</w:t>
      </w:r>
    </w:p>
    <w:p w14:paraId="16E14B6A"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Первая проектная документация по теме ЗИК-7 появилась уже в мае 1942 года, когда по средней САУ работы даже не начинались. Объяснялось это просто: в отличие от шасси Т-34, с получением которых перспективы были туманными, универсальное шасси на базе легкого танка </w:t>
      </w:r>
      <w:hyperlink r:id="rId94" w:history="1">
        <w:r w:rsidRPr="008127F8">
          <w:rPr>
            <w:rFonts w:ascii="Times New Roman" w:eastAsia="Times New Roman" w:hAnsi="Times New Roman"/>
            <w:color w:val="000000" w:themeColor="text1"/>
            <w:sz w:val="16"/>
            <w:szCs w:val="16"/>
            <w:lang w:eastAsia="ru-RU"/>
          </w:rPr>
          <w:t>Т-60</w:t>
        </w:r>
      </w:hyperlink>
      <w:r w:rsidRPr="008127F8">
        <w:rPr>
          <w:rFonts w:ascii="Times New Roman" w:eastAsia="Times New Roman" w:hAnsi="Times New Roman"/>
          <w:color w:val="000000" w:themeColor="text1"/>
          <w:sz w:val="16"/>
          <w:szCs w:val="16"/>
          <w:lang w:eastAsia="ru-RU"/>
        </w:rPr>
        <w:t xml:space="preserve"> проектировалось в самом Свердловске. В результате разработка средней самоходной установки началась только летом 1942 года (17679).</w:t>
      </w:r>
    </w:p>
    <w:p w14:paraId="5C16DDD3"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0EC06E7B" w14:textId="77777777" w:rsidR="00FD69D3" w:rsidRPr="008127F8" w:rsidRDefault="00FD69D3"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В марте 1942 года, примерно в то же время, когда проект зенитной башни Савина постепенно затухал, появилась идея совершенно иного проекта. Идеологом данного проекта стал Б.Г. Шпитальный, начальник ОКБ-15. Вообще это была уже не первая попытка поставить авиационную пушку Шпитального в танк. Еще в 1937 году была испытана 37-мм автоматическая пушка ОКБ-2, которая на самом деле являлась разработкой ОКБ-15. Испытывали ее в башне танка Т-26, итоги этих испытаний оказались неоднозначными. Далее пушку ОКБ-15 пытались приспособить как зенитную, но в итоге она стала более удачной как авиационная. Система прошла долгий путь эволюции: сначала была создана авиационная пушка ШФК-37, потом появилась улучшенная версия, а в 1941 году появилась мотор-пушка МПШ-37. В 1941 году началось серийное производство данных пушек, но оно шло, скажем так, неспешными темпами. За весь 1941 год было сдано около 40 таких пушек, а за 1942 - еще 196. В свойственном ему стиле Шпитальный искал способы, куда же еще приткнуть своё детище. Возможно, он получил информацию </w:t>
      </w:r>
      <w:proofErr w:type="gramStart"/>
      <w:r w:rsidRPr="008127F8">
        <w:rPr>
          <w:color w:val="000000" w:themeColor="text1"/>
          <w:sz w:val="16"/>
          <w:szCs w:val="16"/>
        </w:rPr>
        <w:t>по зенитной башней</w:t>
      </w:r>
      <w:proofErr w:type="gramEnd"/>
      <w:r w:rsidRPr="008127F8">
        <w:rPr>
          <w:color w:val="000000" w:themeColor="text1"/>
          <w:sz w:val="16"/>
          <w:szCs w:val="16"/>
        </w:rPr>
        <w:t xml:space="preserve"> Савина. Так или иначе, но в марте 1942 года состоялся разговор Шпитального с начальником ГАБТУ КА генерал-лейтенантом Я.Н. Федоренко, а также его заместителями. В разговоре Шпитальный предложил идею создания зенитного танка на базе легкого танка Т-70, производство которого только разворачивалось. Борис Гавриилович заверил руководство ГАБТУ КА, что пушка Ш-37 находится в серийном производстве, кроме того, плюсом данной системы было использование боеприпасов от зенитного орудия 61-К. Это снимало вопрос о снабжении боеприпасами. Одним словом, инициативу Шпитального поддержали, тем более что будущее зенитной башни Савина становилось всё более туманным (20346).</w:t>
      </w:r>
    </w:p>
    <w:p w14:paraId="075B202E" w14:textId="77777777" w:rsidR="00FD69D3" w:rsidRPr="008127F8" w:rsidRDefault="00FD69D3" w:rsidP="001E0A84">
      <w:pPr>
        <w:pStyle w:val="article-renderblock"/>
        <w:shd w:val="clear" w:color="auto" w:fill="FFFFFF"/>
        <w:spacing w:before="0" w:beforeAutospacing="0" w:after="0" w:afterAutospacing="0"/>
        <w:jc w:val="both"/>
        <w:rPr>
          <w:color w:val="000000" w:themeColor="text1"/>
          <w:sz w:val="16"/>
          <w:szCs w:val="16"/>
        </w:rPr>
      </w:pPr>
    </w:p>
    <w:p w14:paraId="59419029" w14:textId="77777777" w:rsidR="00FD69D3" w:rsidRPr="008127F8" w:rsidRDefault="00FD69D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Б.Г. Шпитальный, начальник ОКБ-15 (и один из тех, кто похоронил пулемет СН), предложил зенитный танк на базе Т-70. В качестве вооружение он предлагал 37-мм авиационную автоматическую пушку Ш-37. Первый опытный образец такой установки, позже получившей обозначение ЗУТ-37, появился в августе 1942 года (21193).</w:t>
      </w:r>
    </w:p>
    <w:p w14:paraId="4344516E" w14:textId="77777777" w:rsidR="00FD69D3" w:rsidRPr="008127F8" w:rsidRDefault="00FD69D3"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48C9F5"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марте 1942 года отказы коробок передач КВ стали настоящим бедствием. Именно в этот момент СКБ-2 ЧКЗ стало прорабатывать глубокую модернизацию КВ-1. Она предполагала некоторое облегчение конструкции машины и переделку ряда агрегатов, но при этом общая концепция танка оставалась прежней. Работы по этой теме легли в основу тяжелого танка </w:t>
      </w:r>
      <w:hyperlink r:id="rId95" w:history="1">
        <w:r w:rsidRPr="008127F8">
          <w:rPr>
            <w:rFonts w:ascii="Times New Roman" w:eastAsia="Times New Roman" w:hAnsi="Times New Roman"/>
            <w:color w:val="000000" w:themeColor="text1"/>
            <w:sz w:val="16"/>
            <w:szCs w:val="16"/>
            <w:lang w:eastAsia="ru-RU"/>
          </w:rPr>
          <w:t>КВ-1с</w:t>
        </w:r>
      </w:hyperlink>
      <w:r w:rsidRPr="008127F8">
        <w:rPr>
          <w:rFonts w:ascii="Times New Roman" w:hAnsi="Times New Roman"/>
          <w:color w:val="000000" w:themeColor="text1"/>
          <w:sz w:val="16"/>
          <w:szCs w:val="16"/>
        </w:rPr>
        <w:t xml:space="preserve"> (17537)</w:t>
      </w:r>
      <w:r w:rsidRPr="008127F8">
        <w:rPr>
          <w:rFonts w:ascii="Times New Roman" w:eastAsia="Times New Roman" w:hAnsi="Times New Roman"/>
          <w:color w:val="000000" w:themeColor="text1"/>
          <w:sz w:val="16"/>
          <w:szCs w:val="16"/>
          <w:lang w:eastAsia="ru-RU"/>
        </w:rPr>
        <w:t>.</w:t>
      </w:r>
    </w:p>
    <w:p w14:paraId="2778A1D5"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59E53C86"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года стали поступать первые отзывы из частей, осваивающих М3</w:t>
      </w:r>
      <w:proofErr w:type="gramStart"/>
      <w:r w:rsidRPr="008127F8">
        <w:rPr>
          <w:rFonts w:ascii="Times New Roman" w:eastAsia="Times New Roman" w:hAnsi="Times New Roman"/>
          <w:color w:val="000000" w:themeColor="text1"/>
          <w:sz w:val="16"/>
          <w:szCs w:val="16"/>
          <w:lang w:eastAsia="ru-RU"/>
        </w:rPr>
        <w:t>л,.</w:t>
      </w:r>
      <w:proofErr w:type="gramEnd"/>
      <w:r w:rsidRPr="008127F8">
        <w:rPr>
          <w:rFonts w:ascii="Times New Roman" w:eastAsia="Times New Roman" w:hAnsi="Times New Roman"/>
          <w:color w:val="000000" w:themeColor="text1"/>
          <w:sz w:val="16"/>
          <w:szCs w:val="16"/>
          <w:lang w:eastAsia="ru-RU"/>
        </w:rPr>
        <w:t xml:space="preserve"> Среди обнаруженных дефектов самым серьёзным оказались проблемы с двигателем. Для начала, из-за плохой регулировки не работал ограничитель оборотов мотора. Куда серьёзнее было то, что при обратном выхлопе нередко случалось возгорание шлангов. Этот дефект связывали с отсутствием противопожарной сетки. Имелись проблемы с включением первой передачи.</w:t>
      </w:r>
    </w:p>
    <w:p w14:paraId="4A4FB9D8"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Кроме того, на башне одного танка обнаружили трещины, а на двух были сорваны петли люков. Возникшие проблемы стали решать при помощи американских специалистов. Силами «Амторга» была переведена инструкция по эксплуатации. Она, кстати говоря, оказалась полнее американской, да и по структуре отличалась. Одновременно был повышен контроль за комплектацией поступающих танков. Особенно это касалось радиостанций, которых просто не оказалось на части танков. Довольно остро стоял вопрос с запасными частями, по этому поводу велась обширная переписка (17653).</w:t>
      </w:r>
    </w:p>
    <w:p w14:paraId="6F997326"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6CE37748" w14:textId="77777777" w:rsidR="00F36C3E" w:rsidRPr="008127F8" w:rsidRDefault="00F36C3E"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марте 1942 года проходили первые переговоры о поставках английских тяжёлых пехотных танков Churchill в СССР. Сначала обсуждались объёмы поставляемых запчастей и боеприпасов. Весьма любопытно, что в случае с Churchill III шел разговор о поставках осколочно-фугасных снарядов, по 135 штук на танк. И это при том, что такие боеприпасы в Великобритании на тот момент даже не выпускалось. Позже этот пункт будет всплывать в документах с завидным постоянством (17691).</w:t>
      </w:r>
    </w:p>
    <w:p w14:paraId="6D63F65F" w14:textId="77777777" w:rsidR="00F36C3E" w:rsidRPr="008127F8" w:rsidRDefault="00F36C3E" w:rsidP="001E0A84">
      <w:pPr>
        <w:spacing w:after="0" w:line="240" w:lineRule="auto"/>
        <w:jc w:val="both"/>
        <w:rPr>
          <w:rFonts w:ascii="Times New Roman" w:eastAsia="Times New Roman" w:hAnsi="Times New Roman"/>
          <w:color w:val="000000" w:themeColor="text1"/>
          <w:sz w:val="16"/>
          <w:szCs w:val="16"/>
          <w:lang w:eastAsia="ru-RU"/>
        </w:rPr>
      </w:pPr>
    </w:p>
    <w:p w14:paraId="2EEF860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марте 1942 года ситуация с выпуском В-2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35F5D3EC"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в котором говорилось:</w:t>
      </w:r>
    </w:p>
    <w:p w14:paraId="32CFD79B"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6A8F2B1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11755D77"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5E8F499D"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3A07EC65"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8127F8">
        <w:rPr>
          <w:rFonts w:ascii="Times New Roman" w:hAnsi="Times New Roman"/>
          <w:color w:val="000000" w:themeColor="text1"/>
          <w:sz w:val="16"/>
          <w:szCs w:val="16"/>
        </w:rPr>
        <w:t>машина с М-17</w:t>
      </w:r>
      <w:proofErr w:type="gramEnd"/>
      <w:r w:rsidRPr="008127F8">
        <w:rPr>
          <w:rFonts w:ascii="Times New Roman" w:hAnsi="Times New Roman"/>
          <w:color w:val="000000" w:themeColor="text1"/>
          <w:sz w:val="16"/>
          <w:szCs w:val="16"/>
        </w:rPr>
        <w:t xml:space="preserve"> прошедшая пробег, но требу- юшие небольших доделок.</w:t>
      </w:r>
    </w:p>
    <w:p w14:paraId="5D04A8CB"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16CC663D"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ТанкТ-34 выпуска завода №183 апреля 1943года (ЦАМО).</w:t>
      </w:r>
    </w:p>
    <w:p w14:paraId="3A7AFA9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1AED4BAE"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1C7D023E"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вновь всплывает тема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 за шасси назначался созданный в марте 1942 года опытный завод № 100 НКТП (г. Челябинск). За орудийную часть отвечал организованный на новом месте завод № 8 НКВ (г. Свердловск). На опытные работы выделялось 1,5 миллиона рублей, опытный образец ожидалось изготовить к 1 июля 1942 года. Впрочем, тему КВ-3 к весне 1942 года похоронили окончательно, а в качестве базы для истребителя ДОТов стали рассматривать совсем другую машину (12264).</w:t>
      </w:r>
    </w:p>
    <w:p w14:paraId="02CBC890"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5ED9ED17" w14:textId="77777777" w:rsidR="0015278A" w:rsidRPr="008127F8" w:rsidRDefault="0015278A"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марте 1942 года тема «Истребителя ДОТов» вновь всплывает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Ответственными за шасси назначался организованный в марте 1942 года опытный завод №100 НКТП (г. Челябинск). За орудийную часть отвечал организованный на новом месте завод №8 НКВ (г. Свердловск). На опытные работы выделялось 1,5 миллиона рублей. Опытный образец намечалось изготовить к 1 июля 1942 года. Впрочем, тему КВ-3 к весне 1942 года похоронили окончательно, а в качестве базы для истребителя ДОТов с апреля стали рассматривать совсем другую машину.</w:t>
      </w:r>
    </w:p>
    <w:p w14:paraId="69696EB6" w14:textId="77777777" w:rsidR="0015278A" w:rsidRPr="008127F8" w:rsidRDefault="0015278A" w:rsidP="001E0A84">
      <w:pPr>
        <w:pStyle w:val="af"/>
        <w:shd w:val="clear" w:color="auto" w:fill="FFFFFF"/>
        <w:spacing w:before="0" w:after="0"/>
        <w:jc w:val="both"/>
        <w:rPr>
          <w:color w:val="000000" w:themeColor="text1"/>
          <w:sz w:val="16"/>
          <w:szCs w:val="16"/>
        </w:rPr>
      </w:pPr>
      <w:r w:rsidRPr="008127F8">
        <w:rPr>
          <w:color w:val="000000" w:themeColor="text1"/>
          <w:sz w:val="16"/>
          <w:szCs w:val="16"/>
        </w:rPr>
        <w:t>САУ «212» так и не суждено было выйти за рамки изготовления корпуса, да и тот в итоге до конца не был собран. Но даже если бы машину построили, вряд ли её судьба могла бы сложиться удачно. Слишком большая и тяжёлая, эта САУ имела очень узкую специализацию. Её производство напрямую зависело от выпуска орудия БР-2, а он прекратился ещё в 1940 году. К тому же ориентировочная цена «212» составляла около миллиона рублей, и даже предварительный объём выпуска составлял всего 12 машин. Одним словом, «истребитель ДОТов» оказался тупиковой ветвью развития советских тяжелых САУ (15739).</w:t>
      </w:r>
    </w:p>
    <w:p w14:paraId="0CC9276B" w14:textId="77777777" w:rsidR="0015278A" w:rsidRPr="008127F8" w:rsidRDefault="0015278A" w:rsidP="001E0A84">
      <w:pPr>
        <w:pStyle w:val="28"/>
        <w:shd w:val="clear" w:color="auto" w:fill="auto"/>
        <w:spacing w:before="0" w:line="240" w:lineRule="auto"/>
        <w:jc w:val="both"/>
        <w:rPr>
          <w:rFonts w:ascii="Times New Roman" w:hAnsi="Times New Roman" w:cs="Times New Roman"/>
          <w:color w:val="000000" w:themeColor="text1"/>
          <w:sz w:val="16"/>
          <w:szCs w:val="16"/>
        </w:rPr>
      </w:pPr>
    </w:p>
    <w:p w14:paraId="1BF9EB8C" w14:textId="77777777" w:rsidR="007E272D" w:rsidRPr="008127F8" w:rsidRDefault="007E272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вновь всплывает тема под названием «152-мм са</w:t>
      </w:r>
      <w:r w:rsidRPr="008127F8">
        <w:rPr>
          <w:rFonts w:ascii="Times New Roman" w:hAnsi="Times New Roman"/>
          <w:color w:val="000000" w:themeColor="text1"/>
          <w:sz w:val="16"/>
          <w:szCs w:val="16"/>
        </w:rPr>
        <w:softHyphen/>
        <w:t xml:space="preserve">моходная пушка на агрегатах шасси танка „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 (истребитель ДОТов)». В качестве базы указывался танк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вооружение — качающаяся часть от пушки БР-2. Ответственным за шасси назначался организованный в марте 1942 года опытный завод №100 НКТП (г. Челябинск), за ору</w:t>
      </w:r>
      <w:r w:rsidRPr="008127F8">
        <w:rPr>
          <w:rFonts w:ascii="Times New Roman" w:hAnsi="Times New Roman"/>
          <w:color w:val="000000" w:themeColor="text1"/>
          <w:sz w:val="16"/>
          <w:szCs w:val="16"/>
        </w:rPr>
        <w:softHyphen/>
        <w:t>дийную часть отвечал организованный на новом месте завод №8 НКВ (г. Свердловск). На опытные работы выделялось 1,5 миллиона рублей, опытный образец ожидалось изготовить к 1 июля 1942 года. Впрочем, тему КВ-3 к весне 1942 года похоронили окончательно, а в качестве базы для истребителя ДОТов стали рассматривать совсем другую ма</w:t>
      </w:r>
      <w:r w:rsidRPr="008127F8">
        <w:rPr>
          <w:rFonts w:ascii="Times New Roman" w:hAnsi="Times New Roman"/>
          <w:color w:val="000000" w:themeColor="text1"/>
          <w:sz w:val="16"/>
          <w:szCs w:val="16"/>
        </w:rPr>
        <w:softHyphen/>
        <w:t>шину (17484).</w:t>
      </w:r>
    </w:p>
    <w:p w14:paraId="5DCE0BC3" w14:textId="77777777" w:rsidR="007E272D" w:rsidRPr="008127F8" w:rsidRDefault="007E272D" w:rsidP="001E0A84">
      <w:pPr>
        <w:spacing w:after="0" w:line="240" w:lineRule="auto"/>
        <w:jc w:val="both"/>
        <w:rPr>
          <w:rFonts w:ascii="Times New Roman" w:hAnsi="Times New Roman"/>
          <w:color w:val="000000" w:themeColor="text1"/>
          <w:sz w:val="16"/>
          <w:szCs w:val="16"/>
        </w:rPr>
      </w:pPr>
    </w:p>
    <w:p w14:paraId="6580F5AC" w14:textId="77777777" w:rsidR="006C0EBC" w:rsidRPr="008A2E5A" w:rsidRDefault="006C0EBC" w:rsidP="006C0E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от завода № 37 было принято 165 танков Т-60, но рост выпуска сопровождался растущими проблемами с заводами-кооператорами. Достаточно сказать, что из 190 Т-60, принятых в апреле, 86 танков оказалось без гусениц. Апрельский план, на всякий пожарный, составлял 184 линейных и 46 радийных танков. Из-за проблем с поставками моторов сборочный цех завода №37 простаивал в течение апреля 8 дней. За апрель было изготовлено 230 корпусов (100% плана), так что задержка с двигателями очень сильно повлияла на выпуск Т-60. Такая кошмарная ситуация привела к началу работ по установке в Т-60 моторов ЗИС (23355).</w:t>
      </w:r>
    </w:p>
    <w:p w14:paraId="1F5DADEA" w14:textId="77777777" w:rsidR="006C0EBC" w:rsidRPr="008A2E5A" w:rsidRDefault="006C0EBC" w:rsidP="006C0EBC">
      <w:pPr>
        <w:spacing w:after="0" w:line="240" w:lineRule="auto"/>
        <w:jc w:val="both"/>
        <w:rPr>
          <w:rFonts w:ascii="Times New Roman" w:hAnsi="Times New Roman"/>
          <w:color w:val="0070C0"/>
          <w:sz w:val="16"/>
          <w:szCs w:val="16"/>
        </w:rPr>
      </w:pPr>
    </w:p>
    <w:p w14:paraId="67E5A918" w14:textId="77777777" w:rsidR="006C0EBC" w:rsidRPr="008A2E5A" w:rsidRDefault="006C0EBC" w:rsidP="006C0E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вместо 250 танков Т-60 завод № 264 смог сдать всего 80. Особенно сильно был завален план по радиаторам. Вместо 350 штук их прислали всего 35. Привлечение Горкома и Обкома партии положительных результатов не принесло.</w:t>
      </w:r>
    </w:p>
    <w:p w14:paraId="7094FBAC" w14:textId="77777777" w:rsidR="006C0EBC" w:rsidRPr="008A2E5A" w:rsidRDefault="006C0EBC" w:rsidP="006C0E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решения вопроса обеспечения завода №264 дефицитными узлами пришлось привлекать другие предприятия. Завод №469 НКАП им. Громова (г. Горький), который изготавливал радиаторы для заводов №37 и ГАЗ, в середине февраля получил расширенный заказ. Теперь он обеспечивал масляными и водяными радиаторами все заводы, выпускающие Т-60. Выпуск радиаторов с СТЗ не снимали, но становилось очевидно, что там будут только заваливать выпуск. Для решения проблем с поставками радиаторов (из 350 СТЗ прислал 190 штук россыпью) завод №264 организовал сборку радиаторов на собственных мощностях.</w:t>
      </w:r>
    </w:p>
    <w:p w14:paraId="1E87DC4A" w14:textId="77777777" w:rsidR="006C0EBC" w:rsidRPr="008A2E5A" w:rsidRDefault="006C0EBC" w:rsidP="006C0E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Наконец, еще с марта 1942 года на ГАЗ им. Молотова начал подготовку к выпуску новых танков - Т-70. Отчасти это высвободило моторы ГАЗ-11 модель 202 (на Т-70 требовалась спаренная версия этих моторов - ГАЗ-203), одновременно стали высвобождаться и корпуса с башнями (23360).</w:t>
      </w:r>
    </w:p>
    <w:p w14:paraId="5D1ABE73" w14:textId="77777777" w:rsidR="006C0EBC" w:rsidRPr="008A2E5A" w:rsidRDefault="006C0EBC" w:rsidP="006C0EBC">
      <w:pPr>
        <w:spacing w:after="0" w:line="240" w:lineRule="auto"/>
        <w:jc w:val="both"/>
        <w:rPr>
          <w:rFonts w:ascii="Times New Roman" w:hAnsi="Times New Roman"/>
          <w:color w:val="0070C0"/>
          <w:sz w:val="16"/>
          <w:szCs w:val="16"/>
        </w:rPr>
      </w:pPr>
    </w:p>
    <w:p w14:paraId="24CBC249" w14:textId="77777777" w:rsidR="006C0EBC" w:rsidRPr="008A2E5A" w:rsidRDefault="006C0EBC" w:rsidP="006C0E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прибыло больше всего (14 штук) трофейных StuG III. Далее ручеек трофеев стал очень узким. За весь 1942 год на БТРЗ №82 поступило 27 трофейных StuG III, из которых 8 ушло на фронт (23368).</w:t>
      </w:r>
    </w:p>
    <w:p w14:paraId="37E92903" w14:textId="77777777" w:rsidR="006C0EBC" w:rsidRPr="008A2E5A" w:rsidRDefault="006C0EBC" w:rsidP="006C0EBC">
      <w:pPr>
        <w:spacing w:after="0" w:line="240" w:lineRule="auto"/>
        <w:jc w:val="both"/>
        <w:rPr>
          <w:rFonts w:ascii="Times New Roman" w:hAnsi="Times New Roman"/>
          <w:color w:val="0070C0"/>
          <w:sz w:val="16"/>
          <w:szCs w:val="16"/>
        </w:rPr>
      </w:pPr>
    </w:p>
    <w:p w14:paraId="06D71E4D" w14:textId="77777777" w:rsidR="006C0EBC" w:rsidRPr="008A2E5A" w:rsidRDefault="006C0EBC" w:rsidP="006C0E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года началась работа над 122-СГ, советской конверсией немецкой штурмовой САУ StuG III. Внезапно выяснилось, что 122-СГ, эскизный проект которой был подготовлен КБ завода №592 к 3 апреля 1942 года, является оптимальной средней САУ. Вместо истребителя танков было решено развивать концепцию средней штурмовой САУ со 122-мм гаубицей М-30 в качестве вооружения. Прекрасно понимая, что число шасси StuG III ограничено, в апреле 1942 года было принято решение о разработке такой же САУ, но на шасси Т-34 (23382).</w:t>
      </w:r>
    </w:p>
    <w:p w14:paraId="05B22B05" w14:textId="77777777" w:rsidR="006C0EBC" w:rsidRPr="008A2E5A" w:rsidRDefault="006C0EBC" w:rsidP="006C0EBC">
      <w:pPr>
        <w:spacing w:after="0" w:line="240" w:lineRule="auto"/>
        <w:jc w:val="both"/>
        <w:rPr>
          <w:rFonts w:ascii="Times New Roman" w:hAnsi="Times New Roman"/>
          <w:color w:val="0070C0"/>
          <w:sz w:val="16"/>
          <w:szCs w:val="16"/>
        </w:rPr>
      </w:pPr>
    </w:p>
    <w:p w14:paraId="2FB4EC93" w14:textId="77777777" w:rsidR="00FD69D3" w:rsidRPr="008127F8" w:rsidRDefault="00FD69D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года поступило предложение вернуться к </w:t>
      </w:r>
      <w:proofErr w:type="gramStart"/>
      <w:r w:rsidRPr="008127F8">
        <w:rPr>
          <w:rFonts w:ascii="Times New Roman" w:hAnsi="Times New Roman"/>
          <w:color w:val="000000" w:themeColor="text1"/>
          <w:sz w:val="16"/>
          <w:szCs w:val="16"/>
        </w:rPr>
        <w:t>ТОГ-ам</w:t>
      </w:r>
      <w:proofErr w:type="gramEnd"/>
      <w:r w:rsidRPr="008127F8">
        <w:rPr>
          <w:rFonts w:ascii="Times New Roman" w:hAnsi="Times New Roman"/>
          <w:color w:val="000000" w:themeColor="text1"/>
          <w:sz w:val="16"/>
          <w:szCs w:val="16"/>
        </w:rPr>
        <w:t>. Во втором квартале 1942 года предполагалось выпустить 400 комплектов таких огнеметов, из них по 150 ставилось на Т-34 выпуска заводов №183 и СТЗ, и еще 100 на Т-34 выпуска завода №112 (22299).</w:t>
      </w:r>
    </w:p>
    <w:p w14:paraId="4AE48378" w14:textId="77777777" w:rsidR="00FD69D3" w:rsidRPr="008127F8" w:rsidRDefault="00FD69D3" w:rsidP="001E0A84">
      <w:pPr>
        <w:spacing w:after="0" w:line="240" w:lineRule="auto"/>
        <w:jc w:val="both"/>
        <w:rPr>
          <w:rFonts w:ascii="Times New Roman" w:hAnsi="Times New Roman"/>
          <w:color w:val="000000" w:themeColor="text1"/>
          <w:sz w:val="16"/>
          <w:szCs w:val="16"/>
        </w:rPr>
      </w:pPr>
    </w:p>
    <w:p w14:paraId="44A610A1" w14:textId="77777777" w:rsidR="0015278A" w:rsidRPr="008127F8" w:rsidRDefault="0015278A"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стали поступать первые отзывы из частей, осваивающих М3</w:t>
      </w:r>
      <w:proofErr w:type="gramStart"/>
      <w:r w:rsidRPr="008127F8">
        <w:rPr>
          <w:rFonts w:ascii="Times New Roman" w:hAnsi="Times New Roman"/>
          <w:color w:val="000000" w:themeColor="text1"/>
          <w:sz w:val="16"/>
          <w:szCs w:val="16"/>
        </w:rPr>
        <w:t>л,.</w:t>
      </w:r>
      <w:proofErr w:type="gramEnd"/>
      <w:r w:rsidRPr="008127F8">
        <w:rPr>
          <w:rFonts w:ascii="Times New Roman" w:hAnsi="Times New Roman"/>
          <w:color w:val="000000" w:themeColor="text1"/>
          <w:sz w:val="16"/>
          <w:szCs w:val="16"/>
        </w:rPr>
        <w:t xml:space="preserve"> Среди обнаруженных дефектов самым серьёзным оказались проблемы с двигателем. Для начала, из-за плохой регулировки не работал ограничитель оборотов мотора. Куда серьёзнее было то, что при обратном выхлопе нередко случалось возгорание шлангов. Этот дефект связывали с отсутствием противопожарной сетки. Имелись проблемы с включением первой передачи.</w:t>
      </w:r>
    </w:p>
    <w:p w14:paraId="31D8D3B2" w14:textId="77777777" w:rsidR="0015278A" w:rsidRPr="008127F8" w:rsidRDefault="0015278A"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на башне одного танка обнаружили трещины, а на двух были сорваны петли люков. Возникшие проблемы стали решать при помощи американских специалистов. Силами «Амторга» была переведена инструкция по эксплуатации. Она, кстати говоря, оказалась полнее американской, да и по структуре отличалась. Одновременно был повышен контроль за комплектацией поступающих танков. Особенно это касалось радиостанций, которых просто не оказалось на части танков. Довольно остро стоял вопрос с запасными частями, по этому поводу велась обширная переписка (17465).</w:t>
      </w:r>
    </w:p>
    <w:p w14:paraId="663E1A05" w14:textId="77777777" w:rsidR="0015278A" w:rsidRPr="008127F8" w:rsidRDefault="0015278A" w:rsidP="001E0A84">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Результаты испытаний, в ходе которых выявился большой расход дефицитного топлива, не остались без внимания.</w:t>
      </w:r>
    </w:p>
    <w:p w14:paraId="77792128" w14:textId="61F2AFB5" w:rsidR="0015278A" w:rsidRPr="008127F8" w:rsidRDefault="0015278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 в депо Москва-Горьковская Дзержинской железной дороги был сформирован и построен бронепоезд (бепо) «Дзержинец».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До конца войны в составе 48-го ОДБП (Дивизион до марта 1942 г. в составе Уральского ВО, затем в МВО, в резерве Ставки ВГК. Он включал в себя бронепаровоз типа Ов (броня не каленая 30-36 мм) с площадкой противовоздушной обороны на тендере и четыре бронеплощадки с использованием элементов корпуса и всего комплекса вооружения среднего </w:t>
      </w:r>
      <w:hyperlink r:id="rId96"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Т-28. Бронеплощадка БЕПО № 2, построенная во Владимире, на основе двухосевой 20-ти тонной грузовой платформы.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Бронирование -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некаленая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броня</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30 мм. Вооружение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76</w:t>
      </w:r>
      <w:proofErr w:type="gramEnd"/>
      <w:r w:rsidRPr="008127F8">
        <w:rPr>
          <w:rFonts w:ascii="Times New Roman" w:hAnsi="Times New Roman"/>
          <w:color w:val="000000" w:themeColor="text1"/>
          <w:sz w:val="16"/>
          <w:szCs w:val="16"/>
        </w:rPr>
        <w:t xml:space="preserve"> мм пушка КТ-28 и 6 пулеметов ДТ (четыре в башнях Т-28 и два в корпусе). Сохранена, по неизвестным причинам, даже рубка механика-водителя, очевидно ненужная для несамоходной бронеплощадки, - видимо, срезать ее было сочтено лишним. Обращает на себя внимание нетипичный для бронепоездов нос, с очень большими углами склонения брони. Причины, побудившие использовать элементы и без того крайне дефицитного </w:t>
      </w:r>
      <w:hyperlink r:id="rId97"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а при строительстве бронеплощадки, понятны не очень. Скорее всего, имелось несколько </w:t>
      </w:r>
      <w:hyperlink r:id="rId98"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 Т-28 с неисправной или поврежденной ходовой частью или двигателем.</w:t>
      </w:r>
    </w:p>
    <w:p w14:paraId="7CF9F895" w14:textId="77777777" w:rsidR="0015278A" w:rsidRPr="008127F8" w:rsidRDefault="0015278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по осень 1943 г. бепо принимал участие в составе 48 отдельного дивизиона бронепоездов в боевых действиях на Волховском фронте. Вступил в боевое охранение моста через р.Мста у ст.Малая Вишера Защищал станции и мосты от налета авиации, совершал огневые налеты на наземные цели противника. 5 декабря 1942 г. бепо получил новый № 699. В 1944 г. в составе Ленинградского фронта принимал участие в боевой операции по снятию блокады с г. Ленинграда. Принимал участие в освобождении Новгорода, Прибалтики. До окончания войны бепо «Дзержинец» находился в строю и был расформирован в 1946 г. (15605).</w:t>
      </w:r>
    </w:p>
    <w:p w14:paraId="1CC2727A" w14:textId="77777777" w:rsidR="0015278A" w:rsidRPr="008127F8" w:rsidRDefault="0015278A" w:rsidP="001E0A84">
      <w:pPr>
        <w:spacing w:after="0" w:line="240" w:lineRule="auto"/>
        <w:jc w:val="both"/>
        <w:rPr>
          <w:rFonts w:ascii="Times New Roman" w:hAnsi="Times New Roman"/>
          <w:color w:val="000000" w:themeColor="text1"/>
          <w:sz w:val="16"/>
          <w:szCs w:val="16"/>
        </w:rPr>
      </w:pPr>
    </w:p>
    <w:p w14:paraId="6AAE80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марте 1942 г. вышло УКАЗАНИЕ ЛЕНИНГРАДСКОМУ МОТОЦИКЛЕТНОМУ ЗАВОДУ О ВЫПОЛНЕНИИ ПОСТАНОВЛЕНИЯ ПРАВИТЕЛЬСТВА ПО ВЫПУСКУ МОТОЦИКЛОВ</w:t>
      </w:r>
    </w:p>
    <w:p w14:paraId="4372278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Правительства за № 456-189сс от 4.3.1941 г. предусмотрено:</w:t>
      </w:r>
    </w:p>
    <w:p w14:paraId="0D62DBC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Мощность завода установлена в 15000 шт. мотоциклов М-72 с/к.</w:t>
      </w:r>
    </w:p>
    <w:p w14:paraId="24963F8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Реконструкцию завода, рассчитанную па полную мощность, закончить в 1 квартале 1942 года.</w:t>
      </w:r>
    </w:p>
    <w:p w14:paraId="3310F1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Выпуск Л-8 прекратить с 1 апреля 1941 года.</w:t>
      </w:r>
    </w:p>
    <w:p w14:paraId="2C097C1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Выпуск М-72 с/к. начать с июня месяца 1941 г.</w:t>
      </w:r>
    </w:p>
    <w:p w14:paraId="02EB6F3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Поквартальная программа установленная для Л.М.З. на 1941 г.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586"/>
        <w:gridCol w:w="1939"/>
        <w:gridCol w:w="902"/>
        <w:gridCol w:w="912"/>
        <w:gridCol w:w="902"/>
        <w:gridCol w:w="912"/>
        <w:gridCol w:w="922"/>
      </w:tblGrid>
      <w:tr w:rsidR="006F4095" w:rsidRPr="008127F8" w14:paraId="348995C5" w14:textId="77777777">
        <w:trPr>
          <w:trHeight w:val="202"/>
        </w:trPr>
        <w:tc>
          <w:tcPr>
            <w:tcW w:w="586" w:type="dxa"/>
            <w:tcBorders>
              <w:top w:val="single" w:sz="6" w:space="0" w:color="auto"/>
              <w:left w:val="single" w:sz="6" w:space="0" w:color="auto"/>
              <w:bottom w:val="single" w:sz="6" w:space="0" w:color="auto"/>
              <w:right w:val="single" w:sz="6" w:space="0" w:color="auto"/>
            </w:tcBorders>
          </w:tcPr>
          <w:p w14:paraId="1D16E63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28B16F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CFCCEA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мотоцикла</w:t>
            </w:r>
          </w:p>
          <w:p w14:paraId="0991D7F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1697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p w14:paraId="6CBD72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AD76F3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p w14:paraId="75D21FB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9188D8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p w14:paraId="5DFAFF5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21768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p w14:paraId="7BCD0A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15312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p w14:paraId="3C0C078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FACE8C" w14:textId="77777777">
        <w:trPr>
          <w:trHeight w:val="394"/>
        </w:trPr>
        <w:tc>
          <w:tcPr>
            <w:tcW w:w="586" w:type="dxa"/>
            <w:tcBorders>
              <w:top w:val="single" w:sz="6" w:space="0" w:color="auto"/>
              <w:left w:val="single" w:sz="6" w:space="0" w:color="auto"/>
              <w:bottom w:val="single" w:sz="6" w:space="0" w:color="auto"/>
              <w:right w:val="single" w:sz="6" w:space="0" w:color="auto"/>
            </w:tcBorders>
          </w:tcPr>
          <w:p w14:paraId="1D43643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3D69181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03CD9FA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Л-8</w:t>
            </w:r>
          </w:p>
          <w:p w14:paraId="0272316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DDA8D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p w14:paraId="5FA3F0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F4CEF6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35892B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44282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53C5F32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0E10D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2A8AA4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9912A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p w14:paraId="4A6E493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D43D45" w14:textId="77777777">
        <w:trPr>
          <w:trHeight w:val="394"/>
        </w:trPr>
        <w:tc>
          <w:tcPr>
            <w:tcW w:w="586" w:type="dxa"/>
            <w:tcBorders>
              <w:top w:val="single" w:sz="6" w:space="0" w:color="auto"/>
              <w:left w:val="single" w:sz="6" w:space="0" w:color="auto"/>
              <w:bottom w:val="single" w:sz="6" w:space="0" w:color="auto"/>
              <w:right w:val="single" w:sz="6" w:space="0" w:color="auto"/>
            </w:tcBorders>
          </w:tcPr>
          <w:p w14:paraId="47D279F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709EFAC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E06DD7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М-72 с/к.</w:t>
            </w:r>
          </w:p>
          <w:p w14:paraId="086BC56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7FB9D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409F96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B28F88"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p w14:paraId="3639327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50F15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p w14:paraId="7B46893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0AE62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w:t>
            </w:r>
          </w:p>
          <w:p w14:paraId="292D85CC"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72AC1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1000 5000</w:t>
            </w:r>
          </w:p>
          <w:p w14:paraId="1440C50D"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3F46B9"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Вам надлежит принять все меры к тому, чтобы постановление Правительства было выполнено полностью и своевременно.</w:t>
      </w:r>
    </w:p>
    <w:p w14:paraId="26890C1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Еженедельно доносите в АТУ КА о ходе реализации и результатах выполнения этого постанов</w:t>
      </w:r>
      <w:r w:rsidRPr="008127F8">
        <w:rPr>
          <w:rFonts w:ascii="Times New Roman" w:hAnsi="Times New Roman"/>
          <w:color w:val="000000" w:themeColor="text1"/>
          <w:sz w:val="16"/>
          <w:szCs w:val="16"/>
        </w:rPr>
        <w:softHyphen/>
        <w:t>ления.</w:t>
      </w:r>
    </w:p>
    <w:p w14:paraId="72A0880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2 отдела военинженер 1 ранга Артеменко</w:t>
      </w:r>
    </w:p>
    <w:p w14:paraId="138F093A"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Н355а. Д. 191. Л. 14. Копия (11211).</w:t>
      </w:r>
    </w:p>
    <w:p w14:paraId="7161AEA3" w14:textId="77777777" w:rsidR="007E67CF" w:rsidRPr="008127F8" w:rsidRDefault="007E67CF"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4B75A8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был Завод № 524 – Ижевск (9212).</w:t>
      </w:r>
    </w:p>
    <w:p w14:paraId="7BD728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9F8D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была подготовлена справка:</w:t>
      </w:r>
    </w:p>
    <w:p w14:paraId="330D170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535 – Тула</w:t>
      </w:r>
    </w:p>
    <w:p w14:paraId="1838E1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635 НКБ (9212).</w:t>
      </w:r>
    </w:p>
    <w:p w14:paraId="592BE3F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45EE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б. ИМЗ, с декабря 1941 завод № 524, выпустил первые 120 пулеметов Максим. К сентябрю их выпуск был доведен до 2,5 тысяч (ЦДНИ УР, ф.16, оп.1, д.3830, л.42) (9681).</w:t>
      </w:r>
    </w:p>
    <w:p w14:paraId="0548BE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B6E05"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по данным Госплана СССР, выпуск военно-промышленной продукции в восточных районах страны достиг довоенного уровня по всему Союзу. Однако, задача обеспечения действующей армии достаточным количеством танков, самолетов и орудий к весне 1942 г. еще не была решена (1566).</w:t>
      </w:r>
    </w:p>
    <w:p w14:paraId="6148A994"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E84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ленинградский завод № 174, который оказался в Сибири на месте бывшего паровозостроительного завода в Омске, приступил к выпуску Т-34 (4018).</w:t>
      </w:r>
    </w:p>
    <w:p w14:paraId="4B5F7DF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FB00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года в Челябинске на базе СКБ-2 был создан Опытный танковый завод, первой крупной самостоятельной работой которого стал КВ-13 ("Объект 233"). Ведущим конструктором проекта был назначен Н.В.Цейц, только что освобожденный из </w:t>
      </w:r>
      <w:proofErr w:type="gramStart"/>
      <w:r w:rsidRPr="008127F8">
        <w:rPr>
          <w:rFonts w:ascii="Times New Roman" w:hAnsi="Times New Roman"/>
          <w:color w:val="000000" w:themeColor="text1"/>
          <w:sz w:val="16"/>
          <w:szCs w:val="16"/>
        </w:rPr>
        <w:t>заключения..</w:t>
      </w:r>
      <w:proofErr w:type="gramEnd"/>
    </w:p>
    <w:p w14:paraId="3CC1448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конструкторскую группу входили К.И.Кузьмин (корпус), Н.М.Синев (башня), С.В.Мицкевич (ходовая часть) и Г.Н.Москвин (общая компоновка). КВ-13 создавался в рамках идеи универсального танка, соответствовавшего по массе среднему, а по защите - тяжелому. Особенностью проекта являлось широкое применение броневого </w:t>
      </w:r>
      <w:proofErr w:type="gramStart"/>
      <w:r w:rsidRPr="008127F8">
        <w:rPr>
          <w:rFonts w:ascii="Times New Roman" w:hAnsi="Times New Roman"/>
          <w:color w:val="000000" w:themeColor="text1"/>
          <w:sz w:val="16"/>
          <w:szCs w:val="16"/>
        </w:rPr>
        <w:t>литья..</w:t>
      </w:r>
      <w:proofErr w:type="gramEnd"/>
    </w:p>
    <w:p w14:paraId="5D6EC1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Литыми были выполнены не только башня, но и основные элементы корпуса: носовая часть, подбашенная коробка, блок кормы корпуса. Это позволило уменьшить внутренние неиспользуемые объемы, дифференцировать бронезащиту и, в конечном итоге, сократить потребность в бронелисте. (3862).</w:t>
      </w:r>
    </w:p>
    <w:p w14:paraId="7CF545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885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 Москву от Вадима поступил список адресов немецких учреждений, занятых разработкой атомной проблемы (3304,189).</w:t>
      </w:r>
    </w:p>
    <w:p w14:paraId="0CD9734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855F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УЗТМ, где конструкторами Г.Н.Рыбипым и К.Н.Ильиным ; под индексом У-18. с использованием научно- гехнического задела, полученного в ходе разработки САУ КВ-6 (две 45-мм и одна 76-мм пушка) и КВ-7 (две 76-мм пушки), фактически начались опытно-конструкторская работа (ОКР) по СУ-152, когда на базе KB был выполнен проект тяжелой САУ вооруженной пушкой-гаубицей МЛ-20 (6001,20).</w:t>
      </w:r>
    </w:p>
    <w:p w14:paraId="5F75CE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596D0"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122-мм танковая гаубица У-11 прошла испытания на опытных образцах танка КВ-9, а позже - на опытном тан</w:t>
      </w:r>
      <w:r w:rsidRPr="008127F8">
        <w:rPr>
          <w:rFonts w:ascii="Times New Roman" w:hAnsi="Times New Roman"/>
          <w:color w:val="000000" w:themeColor="text1"/>
          <w:sz w:val="16"/>
          <w:szCs w:val="16"/>
        </w:rPr>
        <w:softHyphen/>
        <w:t>ке "Объект 234". В августе 1943 г. был изготовлен опытный образец тан</w:t>
      </w:r>
      <w:r w:rsidRPr="008127F8">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8127F8">
        <w:rPr>
          <w:rFonts w:ascii="Times New Roman" w:hAnsi="Times New Roman"/>
          <w:color w:val="000000" w:themeColor="text1"/>
          <w:sz w:val="16"/>
          <w:szCs w:val="16"/>
        </w:rPr>
        <w:softHyphen/>
        <w:t>тановке в танк 122-мм гаубицы были прекращены. Гаубица такого кали</w:t>
      </w:r>
      <w:r w:rsidRPr="008127F8">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30F7819B"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33DB3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ведущим конструктором машины КВ-14 был Л.С. Троянов. Опытный образец был изготовлен 24 января 1943 г. и имел заводское обозначение КВ-14 ("Объект 236"). В начале февраля 1943 г. установка успешно про</w:t>
      </w:r>
      <w:r w:rsidRPr="008127F8">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8127F8">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8127F8">
        <w:rPr>
          <w:rFonts w:ascii="Times New Roman" w:hAnsi="Times New Roman"/>
          <w:color w:val="000000" w:themeColor="text1"/>
          <w:sz w:val="16"/>
          <w:szCs w:val="16"/>
        </w:rPr>
        <w:softHyphen/>
        <w:t>ка СУ-152 получила широкую известность во время Курской битвы ле</w:t>
      </w:r>
      <w:r w:rsidRPr="008127F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3A6CD65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8BFB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ЧКЗ началась работа над проектом нового танка. В бригаде технических проектов на ЧКЗ ему был присво</w:t>
      </w:r>
      <w:r w:rsidRPr="008127F8">
        <w:rPr>
          <w:rFonts w:ascii="Times New Roman" w:hAnsi="Times New Roman"/>
          <w:color w:val="000000" w:themeColor="text1"/>
          <w:sz w:val="16"/>
          <w:szCs w:val="16"/>
        </w:rPr>
        <w:softHyphen/>
        <w:t>ен номер 13. На начальном этапе ход работ контролировал и.о. директо</w:t>
      </w:r>
      <w:r w:rsidRPr="008127F8">
        <w:rPr>
          <w:rFonts w:ascii="Times New Roman" w:hAnsi="Times New Roman"/>
          <w:color w:val="000000" w:themeColor="text1"/>
          <w:sz w:val="16"/>
          <w:szCs w:val="16"/>
        </w:rPr>
        <w:softHyphen/>
        <w:t>ра С.Н. Махонин, ставший затем главным инженером завода. Позже ра</w:t>
      </w:r>
      <w:r w:rsidRPr="008127F8">
        <w:rPr>
          <w:rFonts w:ascii="Times New Roman" w:hAnsi="Times New Roman"/>
          <w:color w:val="000000" w:themeColor="text1"/>
          <w:sz w:val="16"/>
          <w:szCs w:val="16"/>
        </w:rPr>
        <w:softHyphen/>
        <w:t>боту по танку возглавил заместитель наркома и главный конструктор наркомата танковой промышленности Ж.Я. Котин. Ведущим инжене</w:t>
      </w:r>
      <w:r w:rsidRPr="008127F8">
        <w:rPr>
          <w:rFonts w:ascii="Times New Roman" w:hAnsi="Times New Roman"/>
          <w:color w:val="000000" w:themeColor="text1"/>
          <w:sz w:val="16"/>
          <w:szCs w:val="16"/>
        </w:rPr>
        <w:softHyphen/>
        <w:t>ром машины был Н.В. Цейц. В рабочую группу входили конструкторы А.С. Ермолаев, Е.П. Дедов, Б.А. Красников, М.И. Креславский, Г.Н. Москвин, Н.М. Синев, В.И. Торотько и др. Первоначально танк именовался как "скоростной танк усиленного бронирования "Объект 233", а позднее ему была присвоена марка КВ-13. Согласно тактико-техническим требованиям, разработанным конструкторами ЧКЗ на основании проведенного анализа результатов боевого применения танков КВ-1 и Т-34, масса танка не должна была превышать 32 т. В качестве основного оружия на танке предусматрива</w:t>
      </w:r>
      <w:r w:rsidRPr="008127F8">
        <w:rPr>
          <w:rFonts w:ascii="Times New Roman" w:hAnsi="Times New Roman"/>
          <w:color w:val="000000" w:themeColor="text1"/>
          <w:sz w:val="16"/>
          <w:szCs w:val="16"/>
        </w:rPr>
        <w:softHyphen/>
        <w:t>лась установка 76,2-мм пушки ЗИС-5. Танк КВ-13 был построен на Опытном заводе № 100 НКТП в сентя</w:t>
      </w:r>
      <w:r w:rsidRPr="008127F8">
        <w:rPr>
          <w:rFonts w:ascii="Times New Roman" w:hAnsi="Times New Roman"/>
          <w:color w:val="000000" w:themeColor="text1"/>
          <w:sz w:val="16"/>
          <w:szCs w:val="16"/>
        </w:rPr>
        <w:softHyphen/>
        <w:t>бре 1942 г. В ходе заводских испытаний в конструкции танка был выяв</w:t>
      </w:r>
      <w:r w:rsidRPr="008127F8">
        <w:rPr>
          <w:rFonts w:ascii="Times New Roman" w:hAnsi="Times New Roman"/>
          <w:color w:val="000000" w:themeColor="text1"/>
          <w:sz w:val="16"/>
          <w:szCs w:val="16"/>
        </w:rPr>
        <w:softHyphen/>
        <w:t>лен ряд недостатков: малочисленность экипажа, низкая надежность элементов ходовой части, плохая проходимость по грунтам с низкой не</w:t>
      </w:r>
      <w:r w:rsidRPr="008127F8">
        <w:rPr>
          <w:rFonts w:ascii="Times New Roman" w:hAnsi="Times New Roman"/>
          <w:color w:val="000000" w:themeColor="text1"/>
          <w:sz w:val="16"/>
          <w:szCs w:val="16"/>
        </w:rPr>
        <w:softHyphen/>
        <w:t>сущей способностью (10703).</w:t>
      </w:r>
    </w:p>
    <w:p w14:paraId="5990D5EE"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BF9A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заводе № 183 в Нижнем Тагиле были проведены испытания 15-литровых ОТОГ, смонтированных на танке Т-34, во вре</w:t>
      </w:r>
      <w:r w:rsidRPr="008127F8">
        <w:rPr>
          <w:rFonts w:ascii="Times New Roman" w:hAnsi="Times New Roman"/>
          <w:color w:val="000000" w:themeColor="text1"/>
          <w:sz w:val="16"/>
          <w:szCs w:val="16"/>
        </w:rPr>
        <w:softHyphen/>
        <w:t>мя которых было установлено, что огнеметы требуют доработки поро</w:t>
      </w:r>
      <w:r w:rsidRPr="008127F8">
        <w:rPr>
          <w:rFonts w:ascii="Times New Roman" w:hAnsi="Times New Roman"/>
          <w:color w:val="000000" w:themeColor="text1"/>
          <w:sz w:val="16"/>
          <w:szCs w:val="16"/>
        </w:rPr>
        <w:softHyphen/>
        <w:t>хового заряда и поджига огнесмеси. Дальнейшие работы по ОТОГ были прекращены ввиду освоения к тому времени серийного производства огнемета АТО-41. Огнеметный танк Т-34 с прибором ОП-34 (второй образец). Рабо</w:t>
      </w:r>
      <w:r w:rsidRPr="008127F8">
        <w:rPr>
          <w:rFonts w:ascii="Times New Roman" w:hAnsi="Times New Roman"/>
          <w:color w:val="000000" w:themeColor="text1"/>
          <w:sz w:val="16"/>
          <w:szCs w:val="16"/>
        </w:rPr>
        <w:softHyphen/>
        <w:t xml:space="preserve">ты по доработке первого опытного образца огнеметного прибора ОП-34, установленного на танке Т-34 еще до войны, были возобновлены в Нижнем Тагиле в сентябре 1942 г. инженером-исследователем </w:t>
      </w:r>
      <w:proofErr w:type="gramStart"/>
      <w:r w:rsidRPr="008127F8">
        <w:rPr>
          <w:rFonts w:ascii="Times New Roman" w:hAnsi="Times New Roman"/>
          <w:color w:val="000000" w:themeColor="text1"/>
          <w:sz w:val="16"/>
          <w:szCs w:val="16"/>
        </w:rPr>
        <w:t>Томаш-польским</w:t>
      </w:r>
      <w:proofErr w:type="gramEnd"/>
      <w:r w:rsidRPr="008127F8">
        <w:rPr>
          <w:rFonts w:ascii="Times New Roman" w:hAnsi="Times New Roman"/>
          <w:color w:val="000000" w:themeColor="text1"/>
          <w:sz w:val="16"/>
          <w:szCs w:val="16"/>
        </w:rPr>
        <w:t xml:space="preserve"> под руководством начальника отдела "530" завода № 183 Гут</w:t>
      </w:r>
      <w:r w:rsidRPr="008127F8">
        <w:rPr>
          <w:rFonts w:ascii="Times New Roman" w:hAnsi="Times New Roman"/>
          <w:color w:val="000000" w:themeColor="text1"/>
          <w:sz w:val="16"/>
          <w:szCs w:val="16"/>
        </w:rPr>
        <w:softHyphen/>
        <w:t>мана. Доработанный опытный образец прибора ОП-34 в январе-апреле 1943 г. прошел полигонные испытания. В марте 1943 г. установка огне</w:t>
      </w:r>
      <w:r w:rsidRPr="008127F8">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5D56697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8F197"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были изготовлены три танковых минных трала, дна из которых были конструкции Д. Трофимова и П.М. Мугалева, а третий представлял собой достаточно дорогую и тяжелую конструкцию. Его нажимные катки были собраны из дисков опорных катков танка Т-34-76. Из-за своей высокой стоимости и большой массы трал к испы</w:t>
      </w:r>
      <w:r w:rsidRPr="008127F8">
        <w:rPr>
          <w:rFonts w:ascii="Times New Roman" w:hAnsi="Times New Roman"/>
          <w:color w:val="000000" w:themeColor="text1"/>
          <w:sz w:val="16"/>
          <w:szCs w:val="16"/>
        </w:rPr>
        <w:softHyphen/>
        <w:t>таниям допущен не был. В результате испытаний тралов конструкции Д. Трофимова и П.М. Мугалева было выявлено следующее. Трал конст</w:t>
      </w:r>
      <w:r w:rsidRPr="008127F8">
        <w:rPr>
          <w:rFonts w:ascii="Times New Roman" w:hAnsi="Times New Roman"/>
          <w:color w:val="000000" w:themeColor="text1"/>
          <w:sz w:val="16"/>
          <w:szCs w:val="16"/>
        </w:rPr>
        <w:softHyphen/>
        <w:t>рукции Д. Трофимова показал недостаточную эффективность траления противотанковых мин, особенно зимой. Большая ширина нажимных катков трала не позволяла им погружаться в снег и воздействовать на нажимные крышки мин. Конструкция трала П.М. Мугалева в этих ус</w:t>
      </w:r>
      <w:r w:rsidRPr="008127F8">
        <w:rPr>
          <w:rFonts w:ascii="Times New Roman" w:hAnsi="Times New Roman"/>
          <w:color w:val="000000" w:themeColor="text1"/>
          <w:sz w:val="16"/>
          <w:szCs w:val="16"/>
        </w:rPr>
        <w:softHyphen/>
        <w:t>ловиях работала более надежно. Конструкция катков не препятствова</w:t>
      </w:r>
      <w:r w:rsidRPr="008127F8">
        <w:rPr>
          <w:rFonts w:ascii="Times New Roman" w:hAnsi="Times New Roman"/>
          <w:color w:val="000000" w:themeColor="text1"/>
          <w:sz w:val="16"/>
          <w:szCs w:val="16"/>
        </w:rPr>
        <w:softHyphen/>
        <w:t>ла погружению их в снег, обеспечивая тем самым подрыв противотанко</w:t>
      </w:r>
      <w:r w:rsidRPr="008127F8">
        <w:rPr>
          <w:rFonts w:ascii="Times New Roman" w:hAnsi="Times New Roman"/>
          <w:color w:val="000000" w:themeColor="text1"/>
          <w:sz w:val="16"/>
          <w:szCs w:val="16"/>
        </w:rPr>
        <w:softHyphen/>
        <w:t>вых мин. После завершения испытаний конструкция трала П.М. Мугалсиа была упрощена - из трехеекциоиного он был переделан и двухсекцион</w:t>
      </w:r>
      <w:r w:rsidRPr="008127F8">
        <w:rPr>
          <w:rFonts w:ascii="Times New Roman" w:hAnsi="Times New Roman"/>
          <w:color w:val="000000" w:themeColor="text1"/>
          <w:sz w:val="16"/>
          <w:szCs w:val="16"/>
        </w:rPr>
        <w:softHyphen/>
        <w:t xml:space="preserve">ный. Летом того же года трал под маркой ПТ-34 (противоминный трал для танка Т-34) был </w:t>
      </w:r>
      <w:r w:rsidRPr="008127F8">
        <w:rPr>
          <w:rFonts w:ascii="Times New Roman" w:hAnsi="Times New Roman"/>
          <w:color w:val="000000" w:themeColor="text1"/>
          <w:sz w:val="16"/>
          <w:szCs w:val="16"/>
        </w:rPr>
        <w:lastRenderedPageBreak/>
        <w:t>рекомендован к принятию па вооружение, однако работа по постановке его на серийное производство была отложена из-за трудного положения па фронтах. Осенью 1942 г. конструкция трала ПТ-34 была усовершенствована с целью обеспечения ого крепления ко всем типам средних и тяжелых танков. После проведения всесторонних испытаний трал под маркой ПТ-3 в марте 1943 г. был принят для серий</w:t>
      </w:r>
      <w:r w:rsidRPr="008127F8">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8127F8">
        <w:rPr>
          <w:rFonts w:ascii="Times New Roman" w:hAnsi="Times New Roman"/>
          <w:color w:val="000000" w:themeColor="text1"/>
          <w:sz w:val="16"/>
          <w:szCs w:val="16"/>
        </w:rPr>
        <w:softHyphen/>
        <w:t>танковых и механизированных войск РККА стал поступать серийно из</w:t>
      </w:r>
      <w:r w:rsidRPr="008127F8">
        <w:rPr>
          <w:rFonts w:ascii="Times New Roman" w:hAnsi="Times New Roman"/>
          <w:color w:val="000000" w:themeColor="text1"/>
          <w:sz w:val="16"/>
          <w:szCs w:val="16"/>
        </w:rPr>
        <w:softHyphen/>
        <w:t>готавливавшийся катковый минный трал ПТ-3, созданный иод непо</w:t>
      </w:r>
      <w:r w:rsidRPr="008127F8">
        <w:rPr>
          <w:rFonts w:ascii="Times New Roman" w:hAnsi="Times New Roman"/>
          <w:color w:val="000000" w:themeColor="text1"/>
          <w:sz w:val="16"/>
          <w:szCs w:val="16"/>
        </w:rPr>
        <w:softHyphen/>
        <w:t>средственным руководством П.М. Мугалева - преподавателя Вое-нпо-ипжсперной академии им. Куйбышева (10703).</w:t>
      </w:r>
    </w:p>
    <w:p w14:paraId="72F9154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151E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было принято решение испытать танк Т-60 с ЗИС-16 вместо ГАЗ-202. Для испытаний был постро</w:t>
      </w:r>
      <w:r w:rsidRPr="008127F8">
        <w:rPr>
          <w:rFonts w:ascii="Times New Roman" w:hAnsi="Times New Roman"/>
          <w:color w:val="000000" w:themeColor="text1"/>
          <w:sz w:val="16"/>
          <w:szCs w:val="16"/>
        </w:rPr>
        <w:softHyphen/>
        <w:t>ен танк Т-61 (Т-60-1, Т-60-ЗИС, «061»), который в начале месяца прошел все фазы тестирования на пригодность к службе в военное время. Он показал себя очень неплохо, правда, уже в конце испытаний в двигателе оборвался ша</w:t>
      </w:r>
      <w:r w:rsidRPr="008127F8">
        <w:rPr>
          <w:rFonts w:ascii="Times New Roman" w:hAnsi="Times New Roman"/>
          <w:color w:val="000000" w:themeColor="text1"/>
          <w:sz w:val="16"/>
          <w:szCs w:val="16"/>
        </w:rPr>
        <w:softHyphen/>
        <w:t>тун по причине некачественного изготовления (10782).</w:t>
      </w:r>
    </w:p>
    <w:p w14:paraId="25A0DF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BB06A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1941 был изготовлен деревянный макет САУ, аналогичной ЗИС-30 76-мм пушкой ЗИС-3, но на шасси танка Т-60, но даже невооруженным глазом было видно, что САУ получается со слишком «Высокой линией огня; больший динамический ход подвески обуславливал большее раскачивание на ходу. Поэтому опытный образец машины не изготавливали (11417).</w:t>
      </w:r>
    </w:p>
    <w:p w14:paraId="4CFAE4B2"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4C4A1B"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завод № 98, восстановленный после февральской аварии, начался выпуск зарядов, вначале минометных.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 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 (11209).</w:t>
      </w:r>
    </w:p>
    <w:p w14:paraId="7AC3B570"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47C67" w14:textId="06B3E09A"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было письмо: «В последнее время из воинских частей участились жалобы на некомплектные поставки танков в танковые войска. На многих машинах не хватает фар, других электроприборов, некоторых рукояток, пушки Ф-34 тоже поставляются некомплектно. А в феврале вообще имел место вопиющий факт установки на целой серии под видом орудия фактически обычной трубы без нарезки, совершенно негодной для стрельбы». [90 — ГУ ЦАНО, Ф. 15, Оп. 4, Д. 199, Л. 67.] А основным поставщиком танковых пушек Ф-34 был как раз еляновский завод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92</w:t>
      </w:r>
      <w:proofErr w:type="gramEnd"/>
      <w:r w:rsidRPr="008127F8">
        <w:rPr>
          <w:rFonts w:ascii="Times New Roman" w:hAnsi="Times New Roman"/>
          <w:color w:val="000000" w:themeColor="text1"/>
          <w:sz w:val="16"/>
          <w:szCs w:val="16"/>
        </w:rPr>
        <w:t xml:space="preserve">. Однако, вероятно, благодаря своим связям и родству с Берией директор не понес никакого наказания. Позднее, в конце 42-го года, военная приемка на заводе была все же восстановлена, но со значительно урезанными правами. Завод и в последующие годы широко практиковал «модернизацию» как способ сэкономить металл. Получалось, что конструктор закладывал в орудие одни характеристики, а заводы-производители самовольно изменяли их. Так получилось и с новой 85-мм танковой пушкой ЗИС-С-53. Согласно чертежу, моноблок орудия требовалось изготовлять из стали категории 0-70. Однако главный металлург завода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92</w:t>
      </w:r>
      <w:proofErr w:type="gramEnd"/>
      <w:r w:rsidRPr="008127F8">
        <w:rPr>
          <w:rFonts w:ascii="Times New Roman" w:hAnsi="Times New Roman"/>
          <w:color w:val="000000" w:themeColor="text1"/>
          <w:sz w:val="16"/>
          <w:szCs w:val="16"/>
        </w:rPr>
        <w:t xml:space="preserve"> М. М. Струсельба решил, что «при строгом соблюдении режимов выплавки стали, ковки и термообработки» подойдет и более дешевая категория стали 0-65. И Елян это решение утвердил. Но проблема состояла в том, что как раз строгого «соблюдения режимов» в условиях постоянного аврала и штурмовщины добиться было просто нереально. Поэтому на готовых стволах стали обнаруживаться флокены — внутренние пороки металла в виде небольших трещин. Брак принял массовый характер, охватывая целые плавки и партии. [91 — Товарищ завод, 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166–168.] В итоге проблему удалось все же решить, но Т-34 с 85-мм пушкой появились на фронте только осенью </w:t>
      </w:r>
      <w:proofErr w:type="gramStart"/>
      <w:r w:rsidRPr="008127F8">
        <w:rPr>
          <w:rFonts w:ascii="Times New Roman" w:hAnsi="Times New Roman"/>
          <w:color w:val="000000" w:themeColor="text1"/>
          <w:sz w:val="16"/>
          <w:szCs w:val="16"/>
        </w:rPr>
        <w:t>1944</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а массово применяться они стали и вовсе в 1945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г., то есть в самом конце войны. Довольно широкое распространение получило мнение, что завод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92</w:t>
      </w:r>
      <w:proofErr w:type="gramEnd"/>
      <w:r w:rsidRPr="008127F8">
        <w:rPr>
          <w:rFonts w:ascii="Times New Roman" w:hAnsi="Times New Roman"/>
          <w:color w:val="000000" w:themeColor="text1"/>
          <w:sz w:val="16"/>
          <w:szCs w:val="16"/>
        </w:rPr>
        <w:t xml:space="preserve"> выпустил за годы войны якобы сто тысяч пушек ЗИС-3. Но на самом деле эта цифра далека от истины. В </w:t>
      </w:r>
      <w:proofErr w:type="gramStart"/>
      <w:r w:rsidRPr="008127F8">
        <w:rPr>
          <w:rFonts w:ascii="Times New Roman" w:hAnsi="Times New Roman"/>
          <w:color w:val="000000" w:themeColor="text1"/>
          <w:sz w:val="16"/>
          <w:szCs w:val="16"/>
        </w:rPr>
        <w:t>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 армию отправились только 50 «Зось», в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10 139, в следующие два года — соответственно 12 268 и 13 215, и с 1 января по 1 июня </w:t>
      </w:r>
      <w:proofErr w:type="gramStart"/>
      <w:r w:rsidRPr="008127F8">
        <w:rPr>
          <w:rFonts w:ascii="Times New Roman" w:hAnsi="Times New Roman"/>
          <w:color w:val="000000" w:themeColor="text1"/>
          <w:sz w:val="16"/>
          <w:szCs w:val="16"/>
        </w:rPr>
        <w:t>1945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еще 6150. Итого завод выпустил в общей сложности 41 822 орудия. Еще 6504 ЗИС-3 сдал армии артиллерийский завод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235</w:t>
      </w:r>
      <w:proofErr w:type="gramEnd"/>
      <w:r w:rsidRPr="008127F8">
        <w:rPr>
          <w:rFonts w:ascii="Times New Roman" w:hAnsi="Times New Roman"/>
          <w:color w:val="000000" w:themeColor="text1"/>
          <w:sz w:val="16"/>
          <w:szCs w:val="16"/>
        </w:rPr>
        <w:t>. [92 — Свирин М. Ее звали «Зосей</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М-хобби,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 (75), 2006, с. 42.] (11741).</w:t>
      </w:r>
    </w:p>
    <w:p w14:paraId="49F558DA"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E9070"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Сталинградский завод почти полностью удовлетворил собственную потребность в дизе</w:t>
      </w:r>
      <w:r w:rsidRPr="008127F8">
        <w:rPr>
          <w:rFonts w:ascii="Times New Roman" w:hAnsi="Times New Roman"/>
          <w:color w:val="000000" w:themeColor="text1"/>
          <w:sz w:val="16"/>
          <w:szCs w:val="16"/>
        </w:rPr>
        <w:softHyphen/>
        <w:t>лях В-2, 1 апреля 1942 г. было принято решение о прекра</w:t>
      </w:r>
      <w:r w:rsidRPr="008127F8">
        <w:rPr>
          <w:rFonts w:ascii="Times New Roman" w:hAnsi="Times New Roman"/>
          <w:color w:val="000000" w:themeColor="text1"/>
          <w:sz w:val="16"/>
          <w:szCs w:val="16"/>
        </w:rPr>
        <w:softHyphen/>
        <w:t>щении здесь установки моторов М-17 в Т-34, и почти все танки мартовской программы были в начале апреля пере</w:t>
      </w:r>
      <w:r w:rsidRPr="008127F8">
        <w:rPr>
          <w:rFonts w:ascii="Times New Roman" w:hAnsi="Times New Roman"/>
          <w:color w:val="000000" w:themeColor="text1"/>
          <w:sz w:val="16"/>
          <w:szCs w:val="16"/>
        </w:rPr>
        <w:softHyphen/>
        <w:t>оснащены дизелями В-2, а демонтированные карбюратор</w:t>
      </w:r>
      <w:r w:rsidRPr="008127F8">
        <w:rPr>
          <w:rFonts w:ascii="Times New Roman" w:hAnsi="Times New Roman"/>
          <w:color w:val="000000" w:themeColor="text1"/>
          <w:sz w:val="16"/>
          <w:szCs w:val="16"/>
        </w:rPr>
        <w:softHyphen/>
        <w:t>ные двигатели отправлены на завод № 112, где о стабиль</w:t>
      </w:r>
      <w:r w:rsidRPr="008127F8">
        <w:rPr>
          <w:rFonts w:ascii="Times New Roman" w:hAnsi="Times New Roman"/>
          <w:color w:val="000000" w:themeColor="text1"/>
          <w:sz w:val="16"/>
          <w:szCs w:val="16"/>
        </w:rPr>
        <w:softHyphen/>
        <w:t>ной поставке дизелей можно еще было только мечтать (10782). Общее количество Т-34 с мотором М-17, выпущенных СТЗ в 1941-42 гг., составило: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tblGrid>
      <w:tr w:rsidR="006F4095" w:rsidRPr="008127F8" w14:paraId="6E54D94A" w14:textId="77777777" w:rsidTr="007609C9">
        <w:tc>
          <w:tcPr>
            <w:tcW w:w="2988" w:type="dxa"/>
            <w:tcBorders>
              <w:top w:val="single" w:sz="12" w:space="0" w:color="auto"/>
            </w:tcBorders>
          </w:tcPr>
          <w:p w14:paraId="1AD81273"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2988" w:type="dxa"/>
            <w:tcBorders>
              <w:top w:val="single" w:sz="12" w:space="0" w:color="auto"/>
            </w:tcBorders>
          </w:tcPr>
          <w:p w14:paraId="6E487F9F"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54993FE4" w14:textId="77777777" w:rsidTr="007609C9">
        <w:tc>
          <w:tcPr>
            <w:tcW w:w="2988" w:type="dxa"/>
          </w:tcPr>
          <w:p w14:paraId="4820E6B1"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2988" w:type="dxa"/>
          </w:tcPr>
          <w:p w14:paraId="313EE30D"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r>
      <w:tr w:rsidR="006F4095" w:rsidRPr="008127F8" w14:paraId="0808B37B" w14:textId="77777777" w:rsidTr="007609C9">
        <w:tc>
          <w:tcPr>
            <w:tcW w:w="2988" w:type="dxa"/>
          </w:tcPr>
          <w:p w14:paraId="1634E353"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2988" w:type="dxa"/>
          </w:tcPr>
          <w:p w14:paraId="0601A44C"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r>
      <w:tr w:rsidR="006F4095" w:rsidRPr="008127F8" w14:paraId="4086D9BD" w14:textId="77777777" w:rsidTr="007609C9">
        <w:tc>
          <w:tcPr>
            <w:tcW w:w="2988" w:type="dxa"/>
          </w:tcPr>
          <w:p w14:paraId="50DA2E2E"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p>
        </w:tc>
        <w:tc>
          <w:tcPr>
            <w:tcW w:w="2988" w:type="dxa"/>
          </w:tcPr>
          <w:p w14:paraId="5D2A72E6"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w:t>
            </w:r>
          </w:p>
        </w:tc>
      </w:tr>
      <w:tr w:rsidR="006F4095" w:rsidRPr="008127F8" w14:paraId="432FAEB1" w14:textId="77777777" w:rsidTr="007609C9">
        <w:tc>
          <w:tcPr>
            <w:tcW w:w="2988" w:type="dxa"/>
          </w:tcPr>
          <w:p w14:paraId="105C0EFD"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p>
        </w:tc>
        <w:tc>
          <w:tcPr>
            <w:tcW w:w="2988" w:type="dxa"/>
          </w:tcPr>
          <w:p w14:paraId="36B7C5E5"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r>
      <w:tr w:rsidR="006F4095" w:rsidRPr="008127F8" w14:paraId="008A63AB" w14:textId="77777777" w:rsidTr="007609C9">
        <w:tc>
          <w:tcPr>
            <w:tcW w:w="2988" w:type="dxa"/>
          </w:tcPr>
          <w:p w14:paraId="174DA79A"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roofErr w:type="gramStart"/>
            <w:r w:rsidRPr="008127F8">
              <w:rPr>
                <w:rFonts w:ascii="Times New Roman" w:hAnsi="Times New Roman"/>
                <w:color w:val="000000" w:themeColor="text1"/>
                <w:sz w:val="16"/>
                <w:szCs w:val="16"/>
              </w:rPr>
              <w:t xml:space="preserve"> ..</w:t>
            </w:r>
            <w:proofErr w:type="gramEnd"/>
          </w:p>
        </w:tc>
        <w:tc>
          <w:tcPr>
            <w:tcW w:w="2988" w:type="dxa"/>
          </w:tcPr>
          <w:p w14:paraId="1923769F"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w:t>
            </w:r>
          </w:p>
        </w:tc>
      </w:tr>
      <w:tr w:rsidR="006F4095" w:rsidRPr="008127F8" w14:paraId="7FFD54FE" w14:textId="77777777" w:rsidTr="007609C9">
        <w:tc>
          <w:tcPr>
            <w:tcW w:w="2988" w:type="dxa"/>
            <w:tcBorders>
              <w:bottom w:val="single" w:sz="12" w:space="0" w:color="auto"/>
            </w:tcBorders>
          </w:tcPr>
          <w:p w14:paraId="581E498C"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2988" w:type="dxa"/>
            <w:tcBorders>
              <w:bottom w:val="single" w:sz="12" w:space="0" w:color="auto"/>
            </w:tcBorders>
          </w:tcPr>
          <w:p w14:paraId="1CF86311"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bl>
    <w:p w14:paraId="34B2A1F7"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(10782).</w:t>
      </w:r>
    </w:p>
    <w:p w14:paraId="43FC46CA"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486DA"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ввиду того, что немецкие танки не имели наклонной брони, а наши противотанкисты предпочитали вести огонь при малых углах встреч, на вооружение был при</w:t>
      </w:r>
      <w:r w:rsidRPr="008127F8">
        <w:rPr>
          <w:rFonts w:ascii="Times New Roman" w:hAnsi="Times New Roman"/>
          <w:color w:val="000000" w:themeColor="text1"/>
          <w:sz w:val="16"/>
          <w:szCs w:val="16"/>
        </w:rPr>
        <w:softHyphen/>
        <w:t>нят также сплошной остроголовый 45-мм бронебойный снаряд БР-240СП «английского типа» с головной частью, закаленной на высокую твердость (10782).</w:t>
      </w:r>
    </w:p>
    <w:p w14:paraId="3A26405F" w14:textId="77777777" w:rsidR="00D24350" w:rsidRPr="008127F8" w:rsidRDefault="00D24350"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05AEB"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единственный катер (№16) был переброшен в Архангельск и зачислен в состав СФ в июне, однако, спустя год был выведен из боевого состава и в дальнейшем перечислен в плавсредство (6002).</w:t>
      </w:r>
    </w:p>
    <w:p w14:paraId="1F2CE47B"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46B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марта 1942 по июль 1948 г. деятельность НИИ-5 (Государственный НИИ-5 НКОП, НКХП, МХП, ЦНИЛ № 2 НКТП, НКОП, НИИЗ НКТП, ГС НИИ-405 МХП, Казанский химический НИИ («КазХимНИИ») МХП, ФГУП, ОАО «КазХимНИИ» /г. Ленинград; г. Казань/), созданного 31 января 1936 г. по пр. НКТП в Ленинграде как ЦНИЛ-2, была приостановлена. По пр. </w:t>
      </w:r>
      <w:r w:rsidRPr="008127F8">
        <w:rPr>
          <w:rFonts w:ascii="Times New Roman" w:hAnsi="Times New Roman"/>
          <w:color w:val="000000" w:themeColor="text1"/>
          <w:sz w:val="16"/>
          <w:szCs w:val="16"/>
          <w:lang w:val="en-US"/>
        </w:rPr>
        <w:t>MXII</w:t>
      </w:r>
      <w:r w:rsidRPr="008127F8">
        <w:rPr>
          <w:rFonts w:ascii="Times New Roman" w:hAnsi="Times New Roman"/>
          <w:color w:val="000000" w:themeColor="text1"/>
          <w:sz w:val="16"/>
          <w:szCs w:val="16"/>
        </w:rPr>
        <w:t xml:space="preserve"> от 4.02.1953г. НИИ-5 переименован в ГС НИИ-405. По пр. от 4.12.1963г. институт переведен в Казань. Приказом от 6.04.1966г. переименован в КазХимНИИ. Действовал в ведении: МХП (1948-58; с 1965г.), ГКХП СМ СССР (1958-63г.), ГК по химии, химической и нефтяной промышленности Госплана (1963-65г.).</w:t>
      </w:r>
    </w:p>
    <w:p w14:paraId="202C1BF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средств индивидуальной защиты кожи от отравляющих веществ.</w:t>
      </w:r>
    </w:p>
    <w:p w14:paraId="573942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4.08.2004г. ОАО вошло в число стратегических оборонных предприятий.</w:t>
      </w:r>
    </w:p>
    <w:p w14:paraId="4ACC04E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(02.1937г.)-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Чиртин, (16.08.1937г.-)- Л.П. Михайловский. Гендиректор (2002г.)- Р. Фатхутдинов.</w:t>
      </w:r>
    </w:p>
    <w:p w14:paraId="0FE605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(02.1937г.)- Е.В. Алексеевский.</w:t>
      </w:r>
    </w:p>
    <w:p w14:paraId="06703CC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Руководители групп: (02.1937г.)- Абозин, (02.1937г.)- Данилов.</w:t>
      </w:r>
      <w:r w:rsidRPr="008127F8">
        <w:rPr>
          <w:rFonts w:ascii="Times New Roman" w:hAnsi="Times New Roman"/>
          <w:color w:val="000000" w:themeColor="text1"/>
          <w:sz w:val="16"/>
          <w:szCs w:val="16"/>
          <w:vertAlign w:val="superscript"/>
        </w:rPr>
        <w:t>139</w:t>
      </w:r>
    </w:p>
    <w:p w14:paraId="1AD790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защитные костюмы ОЗК-Ф, КЗВП, ФЗО-Р (11982).</w:t>
      </w:r>
    </w:p>
    <w:p w14:paraId="5AE1B0FE" w14:textId="77777777" w:rsidR="007E7ED8" w:rsidRPr="008127F8" w:rsidRDefault="007E7ED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FE8E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базе цеха дальней связи Уфимского филиала создан самостоятельный ГС завод № 697 (ГС завод № 697 МЭП, п/я 210, Уфимский завод аппаратуры дальней связи (АДС, УЗАС) МРИ, В-2661, Башкирское ПО «Прогресс» МПСС, ФГУП «Башкирское ПО (БПО) «Прогресс» ФАП /Башкортостан 450025  г. Уфа ул. Коммунистическая, 23 тел. 51-11-91/), «предприятие п/я 210», по производству аппаратуры дальней связи. На площадке завода начато строительство трех деревянных производственных корпусов. В 07.1942 г. начат выпуск продукции. За годы войны освоен выпуск 20 новых типов аппаратуры разработки ГСПЭИ-56, восстановлено производство и модернизировано 11 типов аппаратуры, выпускавшейся в Ленинграде на «Красной заре». Была изготовлена аппаратура связи, обеспечившая работу конференций глав государств антигитлеровской коалиции в Москве, Тегеране, Ялте, Потсдаме и Берлине.</w:t>
      </w:r>
    </w:p>
    <w:p w14:paraId="57A5A2B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на площадке завода размещался ГСПЭИ-56.</w:t>
      </w:r>
    </w:p>
    <w:p w14:paraId="0860B31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 697 - в ведении МЭП. В 1971 г. Уфимский завод аппаратуры дальней связи в составе НПО «Дальняя связь» - ведении 15ГУ МРП, имел наименование «п/я В-2661». По приказу МРП № 550 от 1.10.1973 г. завод передан из 15ГУ в ведение ЗГУ. В 09,1982 г. на базе завода создано БПО «Прогресс» в ведении МПСС. В 1985 г. в ПО «Прогресс» введен в эксплуатацию производственный корпус с участком микроэлектроники. По приказу МПСС в 1986 г. микроэлектронное производство выделено в УЗМ «Магнетрон», ставший филиалом БПО «Прогресс».</w:t>
      </w:r>
    </w:p>
    <w:p w14:paraId="00C3DE1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МРП № 199 от 14.04.1971 г. и 15ГУ № 88 от 20.03.1972 г. в корпус № 10 завода переведено КБ «Кабель», где ему выделено 4 этажа. По мере ввода новых производственных площадей (дом № 71, корпус № 8), КБ должны были выделяться дополнительные площади. По пр. МРП № 550 от 1.10.1973 г. корпус № 10 (7500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полностью передан КБ «Кабель».</w:t>
      </w:r>
    </w:p>
    <w:p w14:paraId="752CC71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началось освоение выпуска продукции связи спецназначения на полупроводниках, феррит- транзисторных ячейках, электромеханических устройствах магнитной записи. В конце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началось производство изделий спецназначения для передачи речевой и цифровой информации на интегральных </w:t>
      </w:r>
      <w:r w:rsidRPr="008127F8">
        <w:rPr>
          <w:rFonts w:ascii="Times New Roman" w:hAnsi="Times New Roman"/>
          <w:color w:val="000000" w:themeColor="text1"/>
          <w:sz w:val="16"/>
          <w:szCs w:val="16"/>
        </w:rPr>
        <w:lastRenderedPageBreak/>
        <w:t>схемах. С середины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освоение производства изделий спецназначения на перспективной отечественной и импортной элементной базе: цифровых процессорах обработки сигналов, программируемых логических матрицах. Освоено производство изделий для народного хозяйства и ТИП (передвижные аппаратные связи на шасси высокой проходимости, пластинчатые теплообменные аппараты, аппаратура дистанционного управления стрелами автобетононасосов, пожарных машин; светофоры на светодиодах, телефонные аппараты).</w:t>
      </w:r>
    </w:p>
    <w:p w14:paraId="51DDAA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 15ГУ № 6 от 11.01.1971 г. производство аппаратуры В-3-3 передано на Дилижанский завод «Импульс».</w:t>
      </w:r>
    </w:p>
    <w:p w14:paraId="3FDFCF1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04.1999 г.- ФГУП «БПО «Прогресс». По Указу Президента РФ № 1009 от 4.08.2004 г. вошло в перечень стратегических оборонных предприятий. Входило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в состав РГНПО «Автоматика».</w:t>
      </w:r>
    </w:p>
    <w:p w14:paraId="0819A29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(04.1950-10.1954 г.)- А.Ф. Собачевский, (10.1954-02.1958 г.)- И.П. Сергеев, (02.1958-02.1963 г.)- Н.С. Чураев, (03.1963-05.1974 г.)- Л.Ф. Аврас, (05.1974-02.1981 г.)- Н.С. Зуев. Гендиректор (02.1981-09.1990 г.)- Е.В. Куликов, (09.1990-04.1997 г.)- Ю.В. Соколов, (04.1997-09.2005 г.-)- П.Р. Амиров.</w:t>
      </w:r>
    </w:p>
    <w:p w14:paraId="5A7F5BE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(-1971-73 г.-)- Н.С. Зуев, (1971 г.)- Н. Г. Мамлеев.</w:t>
      </w:r>
    </w:p>
    <w:p w14:paraId="62F4F5E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(-1971-72 г.-)- Б.С. Гросман.</w:t>
      </w:r>
    </w:p>
    <w:p w14:paraId="6A8B2C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(1972 г.)- Ч.Н. Фаттахов.</w:t>
      </w:r>
    </w:p>
    <w:p w14:paraId="782906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технолога (1972 г.)- А.Д. Душанин.</w:t>
      </w:r>
    </w:p>
    <w:p w14:paraId="58ECD57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стандартизации (1972 г.)- Ц.Б. Кацнельсон; ОКС (-1947-73 г.-)- Я.М. Данович; (1971 г.)- Р.С. Кудашев. Начальник ИВЦ (11.1972 г.)- Ю.Д. Богомолов.</w:t>
      </w:r>
    </w:p>
    <w:p w14:paraId="10C52C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станции связи СМТ-35, ТВ4-35 (1942-); измерительный генератор «Лиг-60», измеритель затухания и группового времени запаздывания ИЗВЗ, счетчик импульсных помех и кратковременных прерываний СИПП (1940-е); система громкоговорящей диспетчерской связи по проводам 220В «Диалог» (1990-е);</w:t>
      </w:r>
      <w:r w:rsidRPr="008127F8">
        <w:rPr>
          <w:rFonts w:ascii="Times New Roman" w:hAnsi="Times New Roman"/>
          <w:color w:val="000000" w:themeColor="text1"/>
          <w:sz w:val="16"/>
          <w:szCs w:val="16"/>
          <w:vertAlign w:val="superscript"/>
        </w:rPr>
        <w:t xml:space="preserve">101 </w:t>
      </w:r>
      <w:r w:rsidRPr="008127F8">
        <w:rPr>
          <w:rFonts w:ascii="Times New Roman" w:hAnsi="Times New Roman"/>
          <w:color w:val="000000" w:themeColor="text1"/>
          <w:sz w:val="16"/>
          <w:szCs w:val="16"/>
        </w:rPr>
        <w:t>аппаратура В-3-3 (-1971).</w:t>
      </w:r>
      <w:r w:rsidRPr="008127F8">
        <w:rPr>
          <w:rFonts w:ascii="Times New Roman" w:hAnsi="Times New Roman"/>
          <w:color w:val="000000" w:themeColor="text1"/>
          <w:sz w:val="16"/>
          <w:szCs w:val="16"/>
          <w:vertAlign w:val="superscript"/>
        </w:rPr>
        <w:t>135</w:t>
      </w:r>
    </w:p>
    <w:p w14:paraId="7757DC5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Уфимский завод микроэлектроники (УЗМ) «Магнетрон» МПСС, ФГУП «УЗМ «Магнетрон» /Башкортостан </w:t>
      </w:r>
      <w:proofErr w:type="gramStart"/>
      <w:r w:rsidRPr="008127F8">
        <w:rPr>
          <w:rFonts w:ascii="Times New Roman" w:hAnsi="Times New Roman"/>
          <w:color w:val="000000" w:themeColor="text1"/>
          <w:sz w:val="16"/>
          <w:szCs w:val="16"/>
        </w:rPr>
        <w:t>450001  г.</w:t>
      </w:r>
      <w:proofErr w:type="gramEnd"/>
      <w:r w:rsidRPr="008127F8">
        <w:rPr>
          <w:rFonts w:ascii="Times New Roman" w:hAnsi="Times New Roman"/>
          <w:color w:val="000000" w:themeColor="text1"/>
          <w:sz w:val="16"/>
          <w:szCs w:val="16"/>
        </w:rPr>
        <w:t xml:space="preserve"> Уфа ул. Кировоградская, 34 тел. (3472) 24-72-35/</w:t>
      </w:r>
    </w:p>
    <w:p w14:paraId="00AC50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1985 г. в ПО «Прогресс» введен в эксплуатацию производственный корпус с герметизированным участком микроэлектроники площадью более 5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По приказу МПСС в 1986 г. микроэлектронное производство выделено в УЗМ «Магнетрон», ставший филиалом БПО «Прогресс». Специализировался на производстве средств связи с применением методов ионоплазменного (магнетронного) напыления и поверхностного монтажа.</w:t>
      </w:r>
    </w:p>
    <w:p w14:paraId="6D99B53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2002 г. разработана автоматизированная диспетчерская система контроля (АДСК) за маршрутным автотранспортом «Урал-Транспорт».</w:t>
      </w:r>
    </w:p>
    <w:p w14:paraId="3CCAC47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производство радиостанций; освоение производства изделий оптико-волоконной связи.</w:t>
      </w:r>
    </w:p>
    <w:p w14:paraId="49E016C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2003 г. завод стал самостоятельным, получил статус ФГУП. По Указу Президента РФ № 1009 от 4.08.2004 г. вошел в число стратегических оборонных предприятий. Входил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в состав РГНПО «Автоматика».</w:t>
      </w:r>
    </w:p>
    <w:p w14:paraId="34D661F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производственная (2009 г.)- 21,2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1F79889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(1.01.2009 г.)- 294 чел.</w:t>
      </w:r>
    </w:p>
    <w:p w14:paraId="1478E6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 г.)- М.Р. Качкаев.</w:t>
      </w:r>
    </w:p>
    <w:p w14:paraId="7D3D6A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по экономическим вопросам (2002 г.)- А.К. Беляев; (2002 г.)- В.М. Балабанов.</w:t>
      </w:r>
    </w:p>
    <w:p w14:paraId="383EBA1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В.В. Манулин.</w:t>
      </w:r>
    </w:p>
    <w:p w14:paraId="5976BF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по новой технике (2002 г.)- О.Ф. Шарифуллин; (2002 г.)- А.П. Кадомцев, (2002 г.)- Е.Б. Смирнова.</w:t>
      </w:r>
    </w:p>
    <w:p w14:paraId="3BA070D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Т.С. Хренникова. Гл. технолог (2002 г.)- Е.Б. Смирнова.</w:t>
      </w:r>
    </w:p>
    <w:p w14:paraId="1515234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ПДО (2002 г.)- А.Л. Пашенков; ОТК (2002 г.)- Л.А. Коба; ОГТ (2002 г.)- Е.Б. Смирнова; ОГК (2002 г.)- Т.С. Хренникова; МТС и комплектации (2002 г.)- Н.И. Седюк; планирования производства и организации оплаты труда (2002 г.)- А.К. Беляев; новой техники и информационных технологий (2002 г.)- О.Ф. Шарифуллин.</w:t>
      </w:r>
    </w:p>
    <w:p w14:paraId="66F604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бюро сбыта (2002 г.)- И.В. Рычкова.</w:t>
      </w:r>
    </w:p>
    <w:p w14:paraId="0717697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радиостанции:</w:t>
      </w:r>
      <w:r w:rsidRPr="008127F8">
        <w:rPr>
          <w:rFonts w:ascii="Times New Roman" w:hAnsi="Times New Roman"/>
          <w:color w:val="000000" w:themeColor="text1"/>
          <w:sz w:val="16"/>
          <w:szCs w:val="16"/>
        </w:rPr>
        <w:t xml:space="preserve"> носимая «Магнетрон-НР» (2002), возимая «Магнетрон-ВР» (2002); для речного флота «Магнетрон РР-300» (2002); изделия средств защиты речевой информации «Базальт» (1990-е); волоконно-оптическая аппаратура ПолиКом-200, -300 (2002); телевизионный антенный усилитель ТАУ (1990-е); микросборки для автоматизации управления нефтяными качалками, предохранители для кроссового оборудования АТС (1990-</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lang w:val="en-US"/>
        </w:rPr>
        <w:t>raagnetro</w:t>
      </w:r>
      <w:r w:rsidRPr="008127F8">
        <w:rPr>
          <w:rFonts w:ascii="Times New Roman" w:hAnsi="Times New Roman"/>
          <w:color w:val="000000" w:themeColor="text1"/>
          <w:sz w:val="16"/>
          <w:szCs w:val="16"/>
          <w:vertAlign w:val="superscript"/>
        </w:rPr>
        <w:t>,</w:t>
      </w:r>
      <w:r w:rsidRPr="008127F8">
        <w:rPr>
          <w:rFonts w:ascii="Times New Roman" w:hAnsi="Times New Roman"/>
          <w:color w:val="000000" w:themeColor="text1"/>
          <w:sz w:val="16"/>
          <w:szCs w:val="16"/>
          <w:vertAlign w:val="superscript"/>
          <w:lang w:val="en-US"/>
        </w:rPr>
        <w:t>Ufflllf</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lang w:val="en-US"/>
        </w:rPr>
        <w:t>etm</w:t>
      </w:r>
    </w:p>
    <w:p w14:paraId="283587D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СКТБ завода «Магнетрон»</w:t>
      </w:r>
    </w:p>
    <w:p w14:paraId="28AA2B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Разработана установка магнетронного напыления, внедренная на заводе «Магнетрон» (В.П. Петраков).</w:t>
      </w:r>
    </w:p>
    <w:p w14:paraId="235CAE3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«Кабель» МРП, Г-4115, ОАО «НИИ «Солитон» /</w:t>
      </w:r>
      <w:proofErr w:type="gramStart"/>
      <w:r w:rsidRPr="008127F8">
        <w:rPr>
          <w:rFonts w:ascii="Times New Roman" w:hAnsi="Times New Roman"/>
          <w:color w:val="000000" w:themeColor="text1"/>
          <w:sz w:val="16"/>
          <w:szCs w:val="16"/>
        </w:rPr>
        <w:t>Башкортостан  г.</w:t>
      </w:r>
      <w:proofErr w:type="gramEnd"/>
      <w:r w:rsidRPr="008127F8">
        <w:rPr>
          <w:rFonts w:ascii="Times New Roman" w:hAnsi="Times New Roman"/>
          <w:color w:val="000000" w:themeColor="text1"/>
          <w:sz w:val="16"/>
          <w:szCs w:val="16"/>
        </w:rPr>
        <w:t xml:space="preserve"> Уфа/</w:t>
      </w:r>
    </w:p>
    <w:p w14:paraId="3593D1B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1971 г. КБ «Кабель» - в ведении 15ГУ МРП, имело наименование Г-4115.</w:t>
      </w:r>
    </w:p>
    <w:p w14:paraId="02E2192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МРП № 199 от 14.04.1971 г. и 15ГУ № 88 от 20.03.1972 г. КБ «Кабель» переведено в корпус № 10 Уфимского завода АДС, где ему выделено 4 этажа. По мере ввода новых производственных площадей (дом № 71, корпус № 8), КБ должны были выделяться дополнительные площади. По пр. МРП № 550 от 1.10.1973 г. корпус № 10 (7500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полностью передан КБ «Кабель».</w:t>
      </w:r>
    </w:p>
    <w:p w14:paraId="36EAB5D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Разработано и внедрено в производство световодное волокно.</w:t>
      </w:r>
    </w:p>
    <w:p w14:paraId="654E00E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C86411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w:t>
      </w:r>
      <w:proofErr w:type="gramStart"/>
      <w:r w:rsidRPr="008127F8">
        <w:rPr>
          <w:rFonts w:ascii="Times New Roman" w:hAnsi="Times New Roman"/>
          <w:color w:val="000000" w:themeColor="text1"/>
          <w:sz w:val="16"/>
          <w:szCs w:val="16"/>
        </w:rPr>
        <w:t>01.1971  г.</w:t>
      </w:r>
      <w:proofErr w:type="gramEnd"/>
      <w:r w:rsidRPr="008127F8">
        <w:rPr>
          <w:rFonts w:ascii="Times New Roman" w:hAnsi="Times New Roman"/>
          <w:color w:val="000000" w:themeColor="text1"/>
          <w:sz w:val="16"/>
          <w:szCs w:val="16"/>
        </w:rPr>
        <w:t>)- Н.А. Зисман.</w:t>
      </w:r>
    </w:p>
    <w:p w14:paraId="457BE3A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инженера (1973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Кнава.</w:t>
      </w:r>
    </w:p>
    <w:p w14:paraId="3CD93E7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планового (-1972-04.1973 г.)- А.А. Сергеева.</w:t>
      </w:r>
    </w:p>
    <w:p w14:paraId="753ED31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аппаратура частотного уплотнения каналов связи «Топаз» П-300, П-301, П-302, П-ЗОЗ (1960-е, совместно с НИИ дальней связи); «Азур» П-330 (1980-е); комплекс цифровых систем передачи «Дискрет» для ЕССС-1 (1973) (11982).</w:t>
      </w:r>
    </w:p>
    <w:p w14:paraId="063514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5EDD7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1942г. А.А. Розанову, Д.В. Чувилину и В.Д. Чижову было поручено подготовить предложения об организации СКБ. В 1936г. под руководством А.А. Розанова были начаты исследования по созданию систем самонаведения торпед. Активное участие в создании бюро принял сын М.И. Калинина - В.М. Калинин. В соответствии с пост. ГКО № 1521 от 1.04.1942 г. было создано СКБ НКСП для проектирования, изготовления и испытаний торпед и мин акустического действия. СКБ начало работать к концу 1942г. Разместилось СКБ на 2-м этаже главного корпуса НИИ-10. Первыми сотрудниками стали В.А. Поликарпов, Г.М. Клементьев, М.К. Розин, К.А. Санников,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В соответствии с распоряжением ГКО № 2590 от 7.12.1942г. в состав СКБ влито СКБ завода № 706 НКСП с его тематикой.</w:t>
      </w:r>
    </w:p>
    <w:p w14:paraId="7B63F07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440C8F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13.06.1945г. организован Ленинградский филиал СКБ НКСП (с 1949г.- НИИ-303 МСП).</w:t>
      </w:r>
    </w:p>
    <w:p w14:paraId="30E9D0A2" w14:textId="77777777" w:rsidR="007E67CF" w:rsidRPr="008127F8" w:rsidRDefault="007E67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1946г. СКБ МСП преобразовано в МНИИ-1 (Морской НИИ № 1 (МНИИ-1) МСП, скб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 Имел наименование «п/я 3100». В 1948г. институту передано здание фабрики-кухни по Центральному проезду (в 2000-е г.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вторая площадка предприятия по ул. Авиамоторной, 51А). Корпус был надстроен и введен в строй в 1957(</w:t>
      </w:r>
      <w:proofErr w:type="gramStart"/>
      <w:r w:rsidRPr="008127F8">
        <w:rPr>
          <w:rFonts w:ascii="Times New Roman" w:hAnsi="Times New Roman"/>
          <w:color w:val="000000" w:themeColor="text1"/>
          <w:sz w:val="16"/>
          <w:szCs w:val="16"/>
        </w:rPr>
        <w:t>2)г.</w:t>
      </w:r>
      <w:proofErr w:type="gramEnd"/>
      <w:r w:rsidRPr="008127F8">
        <w:rPr>
          <w:rFonts w:ascii="Times New Roman" w:hAnsi="Times New Roman"/>
          <w:color w:val="000000" w:themeColor="text1"/>
          <w:sz w:val="16"/>
          <w:szCs w:val="16"/>
        </w:rPr>
        <w:t xml:space="preserve">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14F593F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8127F8">
        <w:rPr>
          <w:rFonts w:ascii="Times New Roman" w:hAnsi="Times New Roman"/>
          <w:color w:val="000000" w:themeColor="text1"/>
          <w:sz w:val="16"/>
          <w:szCs w:val="16"/>
          <w:vertAlign w:val="superscript"/>
        </w:rPr>
        <w:t xml:space="preserve">9: </w:t>
      </w:r>
      <w:r w:rsidRPr="008127F8">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2C3B598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7BE588B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2FBAF96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32FE8FF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6AE54B9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7991084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4BF6E5A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59D5267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начала 1960-х г. основное направление деятельности института - разработка цифровой вычислительной техники для ВМФ. Институт стал головным по этому </w:t>
      </w:r>
      <w:r w:rsidRPr="008127F8">
        <w:rPr>
          <w:rFonts w:ascii="Times New Roman" w:hAnsi="Times New Roman"/>
          <w:color w:val="000000" w:themeColor="text1"/>
          <w:sz w:val="16"/>
          <w:szCs w:val="16"/>
        </w:rPr>
        <w:lastRenderedPageBreak/>
        <w:t>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613255A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630E175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2EA1DBE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институт стал головным по ЭВМ и системам управления для МСП.</w:t>
      </w:r>
    </w:p>
    <w:p w14:paraId="127E772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18ADD02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5F17893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24F6DD8A"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2D9DCE9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1A0AB64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27FF38E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0535D1F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2 т.</w:t>
      </w:r>
    </w:p>
    <w:p w14:paraId="7CC52D2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(2005г.): БИУС и СУО для ПЛ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ro</w:t>
      </w:r>
      <w:r w:rsidRPr="008127F8">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3362EA85"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(1.01.1958г.)- 2296 чел.</w:t>
      </w:r>
    </w:p>
    <w:p w14:paraId="74CBBBC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Касьян, (10.2003-05г.-)- Е.С. Новиков.</w:t>
      </w:r>
    </w:p>
    <w:p w14:paraId="46EF4B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651E636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(2005г.)- Е.С. Новиков.</w:t>
      </w:r>
    </w:p>
    <w:p w14:paraId="59D90731"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8127F8">
        <w:rPr>
          <w:rFonts w:ascii="Times New Roman" w:hAnsi="Times New Roman"/>
          <w:color w:val="000000" w:themeColor="text1"/>
          <w:sz w:val="16"/>
          <w:szCs w:val="16"/>
          <w:vertAlign w:val="superscript"/>
        </w:rPr>
        <w:t>101</w:t>
      </w:r>
    </w:p>
    <w:p w14:paraId="75F5BE4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(1952-60 г.)- Д.В. Чувилин.</w:t>
      </w:r>
      <w:r w:rsidRPr="008127F8">
        <w:rPr>
          <w:rFonts w:ascii="Times New Roman" w:hAnsi="Times New Roman"/>
          <w:color w:val="000000" w:themeColor="text1"/>
          <w:sz w:val="16"/>
          <w:szCs w:val="16"/>
          <w:vertAlign w:val="superscript"/>
        </w:rPr>
        <w:t>103</w:t>
      </w:r>
    </w:p>
    <w:p w14:paraId="6F91EE6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(-1969г.)- Б.С. Сыромятников.</w:t>
      </w:r>
    </w:p>
    <w:p w14:paraId="4C73D73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(-1982г.)- Н.Д. Кретинин.</w:t>
      </w:r>
    </w:p>
    <w:p w14:paraId="1314EF5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(2003г.)- В. Романчиков, И.Ф. Попов, А.А. Сорокин.</w:t>
      </w:r>
    </w:p>
    <w:p w14:paraId="252EAE9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отделения: (-1982г.)- Н.Д. Кретинин.</w:t>
      </w:r>
    </w:p>
    <w:p w14:paraId="0AEC32A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(1949г.)- А.Э. Атомвьян (СТО-С-53), (1950-е)- К.А. Санников («Кипарис»),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-14</w:t>
      </w:r>
      <w:r w:rsidRPr="008127F8">
        <w:rPr>
          <w:rFonts w:ascii="Times New Roman" w:hAnsi="Times New Roman"/>
          <w:color w:val="000000" w:themeColor="text1"/>
          <w:sz w:val="16"/>
          <w:szCs w:val="16"/>
          <w:lang w:val="en-US"/>
        </w:rPr>
        <w:t>H</w:t>
      </w:r>
      <w:r w:rsidRPr="008127F8">
        <w:rPr>
          <w:rFonts w:ascii="Times New Roman" w:hAnsi="Times New Roman"/>
          <w:color w:val="000000" w:themeColor="text1"/>
          <w:sz w:val="16"/>
          <w:szCs w:val="16"/>
        </w:rPr>
        <w:t>-11356).</w:t>
      </w:r>
    </w:p>
    <w:p w14:paraId="226087D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6C48F68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(1943-47г.)- В.И. Кузнецов, (1960-74г.)- А.А. Папернов.</w:t>
      </w:r>
    </w:p>
    <w:p w14:paraId="4626CA0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5921238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(1966г.-)- Б.С. Сыромятников.</w:t>
      </w:r>
    </w:p>
    <w:p w14:paraId="675C68E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5F31399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-14</w:t>
      </w:r>
      <w:r w:rsidRPr="008127F8">
        <w:rPr>
          <w:rFonts w:ascii="Times New Roman" w:hAnsi="Times New Roman"/>
          <w:color w:val="000000" w:themeColor="text1"/>
          <w:sz w:val="16"/>
          <w:szCs w:val="16"/>
          <w:lang w:val="en-US"/>
        </w:rPr>
        <w:t>H</w:t>
      </w:r>
      <w:r w:rsidRPr="008127F8">
        <w:rPr>
          <w:rFonts w:ascii="Times New Roman" w:hAnsi="Times New Roman"/>
          <w:color w:val="000000" w:themeColor="text1"/>
          <w:sz w:val="16"/>
          <w:szCs w:val="16"/>
        </w:rPr>
        <w:t>-11356 для "</w:t>
      </w:r>
      <w:r w:rsidRPr="008127F8">
        <w:rPr>
          <w:rFonts w:ascii="Times New Roman" w:hAnsi="Times New Roman"/>
          <w:color w:val="000000" w:themeColor="text1"/>
          <w:sz w:val="16"/>
          <w:szCs w:val="16"/>
          <w:lang w:val="en-US"/>
        </w:rPr>
        <w:t>Club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N</w:t>
      </w:r>
      <w:r w:rsidRPr="008127F8">
        <w:rPr>
          <w:rFonts w:ascii="Times New Roman" w:hAnsi="Times New Roman"/>
          <w:color w:val="000000" w:themeColor="text1"/>
          <w:sz w:val="16"/>
          <w:szCs w:val="16"/>
        </w:rPr>
        <w:t>", для "</w:t>
      </w:r>
      <w:r w:rsidRPr="008127F8">
        <w:rPr>
          <w:rFonts w:ascii="Times New Roman" w:hAnsi="Times New Roman"/>
          <w:color w:val="000000" w:themeColor="text1"/>
          <w:sz w:val="16"/>
          <w:szCs w:val="16"/>
          <w:lang w:val="en-US"/>
        </w:rPr>
        <w:t>Club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S</w:t>
      </w:r>
      <w:r w:rsidRPr="008127F8">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-36 (1981-91), «Коллекция» (2005);</w:t>
      </w:r>
      <w:r w:rsidRPr="008127F8">
        <w:rPr>
          <w:rFonts w:ascii="Times New Roman" w:hAnsi="Times New Roman"/>
          <w:color w:val="000000" w:themeColor="text1"/>
          <w:sz w:val="16"/>
          <w:szCs w:val="16"/>
          <w:vertAlign w:val="superscript"/>
        </w:rPr>
        <w:t>82</w:t>
      </w:r>
      <w:r w:rsidRPr="008127F8">
        <w:rPr>
          <w:rFonts w:ascii="Times New Roman" w:hAnsi="Times New Roman"/>
          <w:color w:val="000000" w:themeColor="text1"/>
          <w:sz w:val="16"/>
          <w:szCs w:val="16"/>
        </w:rPr>
        <w:t xml:space="preserve"> имитатор ракеты «Имитатор-Р» (2000-е) (11982).</w:t>
      </w:r>
    </w:p>
    <w:p w14:paraId="7E7C11C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1EB28" w14:textId="77777777" w:rsidR="007E67CF"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26759D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E4DC6"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с Дальнего Востока в Заполярье была переброшена эскадрилья из 6 ДБ-3Ф во главе с к-ном Г.Д.Поповичем. Однако развернуть систематические боевые действия по нарушению судоходства противника авиация Северного флота смогла только после того, как в июле в ее состав вошла Особая морская авиагруппа (ОМАГ) - бывшая Ударная авиагруппа Ставки Верховного Главнокомандования. ВВС СФ были усилены сразу семью авиаполками, в том числе и одним минно-торпедным (32-й МТАП), который имел на вооружении 11 Ил-4. На бомбардировочном варианте этого самолета и открыли свой боевой счет морские летчики Заполярья (2867,31).</w:t>
      </w:r>
    </w:p>
    <w:p w14:paraId="7E2A4F0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270F9F"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Северный флот прибыли с Тихого океана еще шесть экипажей Ил-4 под командой Г. Д. По</w:t>
      </w:r>
      <w:r w:rsidRPr="008127F8">
        <w:rPr>
          <w:rFonts w:ascii="Times New Roman" w:hAnsi="Times New Roman"/>
          <w:color w:val="000000" w:themeColor="text1"/>
          <w:sz w:val="16"/>
          <w:szCs w:val="16"/>
        </w:rPr>
        <w:softHyphen/>
        <w:t>повича. Эскадрилья торпедоносцев во</w:t>
      </w:r>
      <w:r w:rsidRPr="008127F8">
        <w:rPr>
          <w:rFonts w:ascii="Times New Roman" w:hAnsi="Times New Roman"/>
          <w:color w:val="000000" w:themeColor="text1"/>
          <w:sz w:val="16"/>
          <w:szCs w:val="16"/>
        </w:rPr>
        <w:softHyphen/>
        <w:t>шла в состав 2-го гв. сап (10734,85).</w:t>
      </w:r>
    </w:p>
    <w:p w14:paraId="4D8F0A46"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89EC2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на СФ прибыло шесть экипажей ДБ-3Ф во главе с Г.Д.Поповичем и вошли в состав 2 гв смешанного полка, но первые 24 45-36 АН появились только к маю (561,16).</w:t>
      </w:r>
    </w:p>
    <w:p w14:paraId="5D35945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9D22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на Северный флот прибыли с Тихого океана еще шесть экипажей Ил-4 под командой Г. Д. Поповича. Эскадрилья торпедоносцев вошла в состав 2-го гв. сап. В мае доставили партию из 24 торпед 45- 36АН. Первые вылеты с ними североморцы совершили 2 и 17 июля 1942 г., но успех пришел позже. 29 июля,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охранения. В результате попадания двух торпед большой транспорт (водоизмещением около 15000 г) затонул (12021).</w:t>
      </w:r>
    </w:p>
    <w:p w14:paraId="21512E7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598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 в связи с организационным оформлением Авиации дальнего действия был проведен анализ эффективности боевого применения дальних </w:t>
      </w:r>
      <w:r w:rsidRPr="008127F8">
        <w:rPr>
          <w:rFonts w:ascii="Times New Roman" w:hAnsi="Times New Roman"/>
          <w:color w:val="000000" w:themeColor="text1"/>
          <w:sz w:val="16"/>
          <w:szCs w:val="16"/>
        </w:rPr>
        <w:lastRenderedPageBreak/>
        <w:t>бомбардировщиков за первые восемь месяцев войны. В сообщении военинженера 1-го ранга Маркова, в частности, отмечалось: "дальний бомбардировщик обязательно должен быть ночным. Отсюда требования к простоте пилотирования (особо взлет и посадка), а также к наличию необходимого спецоборудования. ДБ-3Ф для этой цели мало приспособлен, Ер-2 лучше, но разворачивается при взлете, что не было замечено при испытаниях. На дальнем бомбардировщике следует иметь двух летчиков, так как при продолжительности полета около 10 часов одному справиться трудно, а на Ер-2 нет даже автопилота. При ночных полетах не было ни одного воздушного боя... В дневных условиях отмечались случаи, когда хорошо вооруженный дальний бомбардировщик (Ер-2) сбивал за один вылет два самолета противника... По боевой нагрузке Ер-2 также превосходил ДБ-3Ф. Последний обычно брал 1000 кг бомб, а Ер-2 - до 1500 кг... ". Таким образом, общий вывод был сделан в пользу ермолаевского бомбардировщика. Однако уцелевшие самолеты Ер-2 все чаще выходили из строя по причине интенсивной эксплуатации и отсутствия запчастей. Число исправных машин в 747-м ап ДД, выведенном из состава 3-й ад и ставшим отдельным, весной 1942 г. обычно не превышало шесть-восемь единиц, а ждать пополнения Ер-2 не приходилось. Вместе с тем, в полку чувствовался избыток высококвалифицированных экипажей без самолетов (3322,24).</w:t>
      </w:r>
    </w:p>
    <w:p w14:paraId="6B278920"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E2AB20"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22-й зап перевели на аэро</w:t>
      </w:r>
      <w:r w:rsidRPr="008A2E5A">
        <w:rPr>
          <w:rFonts w:ascii="Times New Roman" w:hAnsi="Times New Roman"/>
          <w:color w:val="0070C0"/>
          <w:sz w:val="16"/>
          <w:szCs w:val="16"/>
        </w:rPr>
        <w:softHyphen/>
        <w:t>дром Иваново-Южный. Там он состоял из трех эскадрилий, специализировавшихся на отдельных типах истребителей: 1-я — «Харрикейн», 2-я — Р-40, 3-я — Р-39. В мае 1942 г. к освоению иностранной техники подключили 14-й зап, сформированный в ноябре предыдущего года в Рыбинске под командованием майора Н.И. Бочаро</w:t>
      </w:r>
      <w:r w:rsidRPr="008A2E5A">
        <w:rPr>
          <w:rFonts w:ascii="Times New Roman" w:hAnsi="Times New Roman"/>
          <w:color w:val="0070C0"/>
          <w:sz w:val="16"/>
          <w:szCs w:val="16"/>
        </w:rPr>
        <w:softHyphen/>
        <w:t>ва. 16 мая из 22-го и 14-го зап образова</w:t>
      </w:r>
      <w:r w:rsidRPr="008A2E5A">
        <w:rPr>
          <w:rFonts w:ascii="Times New Roman" w:hAnsi="Times New Roman"/>
          <w:color w:val="0070C0"/>
          <w:sz w:val="16"/>
          <w:szCs w:val="16"/>
        </w:rPr>
        <w:softHyphen/>
        <w:t>ли 6-ю заб со штабом в Иваново. В ноябре 14-й полк тоже передислоцировали на Иваново-Южный.</w:t>
      </w:r>
    </w:p>
    <w:p w14:paraId="0CCBB51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начала поставок техники через Ирак и Иран такой же учебный центр соз</w:t>
      </w:r>
      <w:r w:rsidRPr="008A2E5A">
        <w:rPr>
          <w:rFonts w:ascii="Times New Roman" w:hAnsi="Times New Roman"/>
          <w:color w:val="0070C0"/>
          <w:sz w:val="16"/>
          <w:szCs w:val="16"/>
        </w:rPr>
        <w:softHyphen/>
        <w:t>дали на юге, в Закавказье. Первоначально там разместили два полка — 11-й и 25-й. Эти части создали еще летом 1941 г., они первоначально специализировались на подготовке летчиков-истребителей на самолетах ЛаГГ-3. 11-й зап тогда дисло</w:t>
      </w:r>
      <w:r w:rsidRPr="008A2E5A">
        <w:rPr>
          <w:rFonts w:ascii="Times New Roman" w:hAnsi="Times New Roman"/>
          <w:color w:val="0070C0"/>
          <w:sz w:val="16"/>
          <w:szCs w:val="16"/>
        </w:rPr>
        <w:softHyphen/>
        <w:t>цировался под Ростовом-на-Дону, 25-й — в Вазиани. В 1942 г. первый из них переве</w:t>
      </w:r>
      <w:r w:rsidRPr="008A2E5A">
        <w:rPr>
          <w:rFonts w:ascii="Times New Roman" w:hAnsi="Times New Roman"/>
          <w:color w:val="0070C0"/>
          <w:sz w:val="16"/>
          <w:szCs w:val="16"/>
        </w:rPr>
        <w:softHyphen/>
        <w:t>ли в Кировабад. С марта 1942 г. 11-й полк занимался подготовкой на бомбардиров</w:t>
      </w:r>
      <w:r w:rsidRPr="008A2E5A">
        <w:rPr>
          <w:rFonts w:ascii="Times New Roman" w:hAnsi="Times New Roman"/>
          <w:color w:val="0070C0"/>
          <w:sz w:val="16"/>
          <w:szCs w:val="16"/>
        </w:rPr>
        <w:softHyphen/>
        <w:t>щиках А-20, 25-й пропускал через себя истребительные полки на Р-39. Затем до</w:t>
      </w:r>
      <w:r w:rsidRPr="008A2E5A">
        <w:rPr>
          <w:rFonts w:ascii="Times New Roman" w:hAnsi="Times New Roman"/>
          <w:color w:val="0070C0"/>
          <w:sz w:val="16"/>
          <w:szCs w:val="16"/>
        </w:rPr>
        <w:softHyphen/>
        <w:t>бавили 26-й зап, дислоцированный на аэ</w:t>
      </w:r>
      <w:r w:rsidRPr="008A2E5A">
        <w:rPr>
          <w:rFonts w:ascii="Times New Roman" w:hAnsi="Times New Roman"/>
          <w:color w:val="0070C0"/>
          <w:sz w:val="16"/>
          <w:szCs w:val="16"/>
        </w:rPr>
        <w:softHyphen/>
        <w:t>родроме у станции Сандары и обучавший летный и технический состав на ЛаГГ-3 и Р-39. Эта часть также занималась при</w:t>
      </w:r>
      <w:r w:rsidRPr="008A2E5A">
        <w:rPr>
          <w:rFonts w:ascii="Times New Roman" w:hAnsi="Times New Roman"/>
          <w:color w:val="0070C0"/>
          <w:sz w:val="16"/>
          <w:szCs w:val="16"/>
        </w:rPr>
        <w:softHyphen/>
        <w:t>емкой и отправкой истребителей ЛаГГ-3, поступавших с завода № 31 в Тбилиси. Все эти полки считались отдельными и под</w:t>
      </w:r>
      <w:r w:rsidRPr="008A2E5A">
        <w:rPr>
          <w:rFonts w:ascii="Times New Roman" w:hAnsi="Times New Roman"/>
          <w:color w:val="0070C0"/>
          <w:sz w:val="16"/>
          <w:szCs w:val="16"/>
        </w:rPr>
        <w:softHyphen/>
        <w:t>чинялись напрямую командующему ВВС Закавказского фронта (23513).</w:t>
      </w:r>
    </w:p>
    <w:p w14:paraId="7DEF9569" w14:textId="77777777" w:rsidR="00EB32CC" w:rsidRPr="008A2E5A" w:rsidRDefault="00EB32CC" w:rsidP="00EB32CC">
      <w:pPr>
        <w:spacing w:after="0" w:line="240" w:lineRule="auto"/>
        <w:jc w:val="both"/>
        <w:rPr>
          <w:rFonts w:ascii="Times New Roman" w:hAnsi="Times New Roman"/>
          <w:color w:val="0070C0"/>
          <w:sz w:val="16"/>
          <w:szCs w:val="16"/>
        </w:rPr>
      </w:pPr>
    </w:p>
    <w:p w14:paraId="66C47ED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794-й бомбардировочный полк получил в Кировабаде 22 Б-3 "Бостон" и стал первым, освоившим их. Летчики сперва совершили по несколько ознакомительных полетов на В-25В, привыкая к трехколесному шасси, затем пересели на "Бостоны" (3457,100).</w:t>
      </w:r>
    </w:p>
    <w:p w14:paraId="1B4305CE"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2616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было начато формирование четырех танковых корпусов. Корпус состоял сначала из двух, потом из трех танковых и одной мотострелковой бригад и должен был иметь 110 танков, в том числе 40 тридцатьчетверок (3905).</w:t>
      </w:r>
    </w:p>
    <w:p w14:paraId="0EA0E8F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163F7F"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А.П.Маресьев был сбит и полз 18 суток (3017,28).</w:t>
      </w:r>
    </w:p>
    <w:p w14:paraId="468EB6F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DF4AC"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 СССР стали поступать В-25 через Иран и всего пришло 860 (173,275).</w:t>
      </w:r>
    </w:p>
    <w:p w14:paraId="6E706D9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9CEB7"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летчики PAN American пригнали в Иран первые 72 В-25 для России (173,275).</w:t>
      </w:r>
    </w:p>
    <w:p w14:paraId="60EC229D"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8BC9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решили сформировать 10 ударных АГ (УАГ) смешанного состава и 6-8 АП для усиления ВВС фронтов. Первые две должны были быть созданы 16 и 17 марта. Первая включала два бап на Пе-2, два шап на Ил-2 два иап на Як-1 и ЛаГГ-3, два тбап на ДБ-3Ф. Просуществовали до начала июня (340,79).</w:t>
      </w:r>
    </w:p>
    <w:p w14:paraId="2A68121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A2A3B"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 6 запасной авиабригаде в г. Иваньково было сформировано единственное соединение на Curtiss Owl О-52. Всего мы получили и военная приемка приняла 19. 6 получило отдельное корректировочное звено под командованием мл П.К.Жилинского и 29 вылетели на фронт в Ленинград. Один разбили при посадке в Череповце. Один под управлением командира П.К.Жилинского на подходе к Ленинграду в бою таранил Ме-109. 1 апреля на взлете в Левашово разбили еще один. Оставшиеся выполняли разведку, корректировали артогонь и даже забрасывали диверсантов. Два дожили до ноября 1943 (1084,12).</w:t>
      </w:r>
    </w:p>
    <w:p w14:paraId="508316A3"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85922"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в Иран прибыли первые 72 В-25С (это была усовершенствованная модификация с новыми моторами К-2600-13 и рядом мелких изменений). Ведомые гражданскими экипажами из компании "Пан Америкен", самолеты летели из США через Бразилию, Атлантический океан, Африку и Ближний Восток. До конца года в СССР этим путем перегнали 102 В-25, а всего через Иран доставили 118 этих машин (3457,91).</w:t>
      </w:r>
    </w:p>
    <w:p w14:paraId="6B505919"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6F591"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марта 1942 г. И-5 применялся в качестве легкого штурмовика в битве за Москву. Быково, Пушкино, Клин - таков боевой путь полков, сменивших И-5 на более современные машины. В сентяб</w:t>
      </w:r>
      <w:r w:rsidRPr="008127F8">
        <w:rPr>
          <w:rFonts w:ascii="Times New Roman" w:hAnsi="Times New Roman"/>
          <w:color w:val="000000" w:themeColor="text1"/>
          <w:sz w:val="16"/>
          <w:szCs w:val="16"/>
        </w:rPr>
        <w:softHyphen/>
        <w:t>ре 1941 г. в составе ВВС 51-й отдельной армии в Крыму был сформирован 2-й штурмовой полк на И-5. На этих самолетах он сражался до января 1942 г., когда его на</w:t>
      </w:r>
      <w:r w:rsidRPr="008127F8">
        <w:rPr>
          <w:rFonts w:ascii="Times New Roman" w:hAnsi="Times New Roman"/>
          <w:color w:val="000000" w:themeColor="text1"/>
          <w:sz w:val="16"/>
          <w:szCs w:val="16"/>
        </w:rPr>
        <w:softHyphen/>
        <w:t xml:space="preserve">правили в Чапаевск для перевооружения на Ил-2. Там же, в Крыму, на И-5 воевал 11-й штурмовой полк ВВС Черноморского флота (командир - майор И.Ф.Рассуд-ков). 5 ноября 1941 г. капитан Н.Т.Хрусталев </w:t>
      </w:r>
      <w:proofErr w:type="gramStart"/>
      <w:r w:rsidRPr="008127F8">
        <w:rPr>
          <w:rFonts w:ascii="Times New Roman" w:hAnsi="Times New Roman"/>
          <w:color w:val="000000" w:themeColor="text1"/>
          <w:sz w:val="16"/>
          <w:szCs w:val="16"/>
        </w:rPr>
        <w:t>штурмо-вал</w:t>
      </w:r>
      <w:proofErr w:type="gramEnd"/>
      <w:r w:rsidRPr="008127F8">
        <w:rPr>
          <w:rFonts w:ascii="Times New Roman" w:hAnsi="Times New Roman"/>
          <w:color w:val="000000" w:themeColor="text1"/>
          <w:sz w:val="16"/>
          <w:szCs w:val="16"/>
        </w:rPr>
        <w:t xml:space="preserve"> танки и пехоту немцев в Бельбекской долине. Когда его машину подожгли, он направил ее на скопление не</w:t>
      </w:r>
      <w:r w:rsidRPr="008127F8">
        <w:rPr>
          <w:rFonts w:ascii="Times New Roman" w:hAnsi="Times New Roman"/>
          <w:color w:val="000000" w:themeColor="text1"/>
          <w:sz w:val="16"/>
          <w:szCs w:val="16"/>
        </w:rPr>
        <w:softHyphen/>
        <w:t>мецкой техники. И-5 внес свой, пусть и небольшой, вклад в Победу (10667).</w:t>
      </w:r>
    </w:p>
    <w:p w14:paraId="62B77B4A" w14:textId="77777777" w:rsidR="007E67CF" w:rsidRPr="008127F8" w:rsidRDefault="007E67CF"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49687"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Командование ВВС приняло решение приступить к формированию корректировочных звеньев, а затем и эскадрилий. Самолеты Су-2 собирали с мест вынужденных посадок, ремонтировали и отправляли в 10-й запасной полк в Каменку-Белинскую. Там экипажи получали 23 - 24 часа летной и около 100 ч - наземной подготовки. К летчикам-корректировщикам предъявлялись особые требования - каждый должен был иметь налет не менее сотни часов. Вскоре первые четыре корректировочных звена с дюжиной Су-2 убыли на Западный фронт. К лету 1942 г. удалось подготовить и отправить в действующую армию 77 экипажей, из которых 52 летали на Су-2, а остальные на импортных "Кертисах" 0-52. Постоянная нехватка Су-2 тормозила работу запасного полка. К тому же, П.О. Сухой получил указание прекратить все дальнейшие работы по совершенствованию Су-2-корректировшика. Все же, в апреле - мае удалось подготовить две первых эскадрильи - 12-ю для действий на Ленинградском фронте и 13-ю для Калининского фронта (12028).</w:t>
      </w:r>
    </w:p>
    <w:p w14:paraId="1FDF932F"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E3941"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42-й иап подполковника Ф.И. Шинкаренко (с 9 октября 1942 г. этот полк стал 133-м гвардейским) начал войсковые испытания на Брянском фронте более совершенные ЛаГГ-3 с 37-мм пушками Ш-37, выпущенные заводом № 21 в 1941 - 1942 гг.</w:t>
      </w:r>
    </w:p>
    <w:p w14:paraId="258761E2"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"Первое испытание в бою, - вспоминал Шинкаренко, - прошло вне предусмотренной программы. Когда мы еще только готовились начать боевую работу, над аэродромом появилось несколько фашистских бомбардировщиков.</w:t>
      </w:r>
    </w:p>
    <w:p w14:paraId="55C2EAD3"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звена "ЛаГГов" в воздушном бою сбили из пушек три самолета противника. Летчики... восторженно отзывались о пушке, снаряды которой оставляли большие пробоины в плоскостях и фюзеляже вражеских бомбардировщиков. Однако, несмотря на тренировки, некоторые летчики в первой же атаке израсходовали все патроны. Выяснилось также, что при ведении огня из пушки длинными очередями "ЛаГГ" терял скорость. Подобное мы замечали и раньше, когда тренировались в стрельбе по наземным целям, но в бою это проявилось особенно отчетливо".</w:t>
      </w:r>
    </w:p>
    <w:p w14:paraId="31B784AF"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Противник, узнав о появлении на фронте столь мощного оружия, буквально начал охоту за самолетами полка. В результате испытания пришлось прервать. В мае 42-й иап направили на Западный фронт, подчинив 202-й иад полковника Б.И. Янсена. Почти после каждого боевого вылета летчики докладывали о сбитых немецких самолетах. По свидетельству Шинкаренко, командир эскадрильи капитан М. Горбачев первым в полку сбил </w:t>
      </w:r>
      <w:proofErr w:type="gramStart"/>
      <w:r w:rsidRPr="008127F8">
        <w:rPr>
          <w:rFonts w:ascii="Times New Roman" w:hAnsi="Times New Roman"/>
          <w:color w:val="000000" w:themeColor="text1"/>
          <w:sz w:val="16"/>
          <w:szCs w:val="16"/>
        </w:rPr>
        <w:t>бомбардировщик</w:t>
      </w:r>
      <w:proofErr w:type="gramEnd"/>
      <w:r w:rsidRPr="008127F8">
        <w:rPr>
          <w:rFonts w:ascii="Times New Roman" w:hAnsi="Times New Roman"/>
          <w:color w:val="000000" w:themeColor="text1"/>
          <w:sz w:val="16"/>
          <w:szCs w:val="16"/>
        </w:rPr>
        <w:t xml:space="preserve"> Не 111, причем огонь открыл с дистанции 400 м - это почти в два раза больше, чем ранее практиковалось в боях для надежного поражения воздушных целей. Известно, что только в августе 1942 г. в воздушных боях из 37-мм пушек было сбито 45 вражеских самолетов. Кроме 42-го иап, ЛаГГ-3 с 37-мм пушками был укомплектован и 188-й иап подполковника Г.И. Черепанова (11983).</w:t>
      </w:r>
    </w:p>
    <w:p w14:paraId="6869F3DB" w14:textId="77777777" w:rsidR="00D24350" w:rsidRPr="008127F8" w:rsidRDefault="00D2435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D00EF" w14:textId="77777777" w:rsidR="00D24350" w:rsidRPr="008127F8" w:rsidRDefault="00D24350" w:rsidP="001E0A84">
      <w:pPr>
        <w:pStyle w:val="a4"/>
        <w:rPr>
          <w:color w:val="000000" w:themeColor="text1"/>
          <w:lang w:val="ru-RU"/>
        </w:rPr>
      </w:pPr>
      <w:r w:rsidRPr="008127F8">
        <w:rPr>
          <w:color w:val="000000" w:themeColor="text1"/>
          <w:lang w:val="ru-RU"/>
        </w:rPr>
        <w:t xml:space="preserve">В марте 1942 г. по заявлению командира 1 -го батальона 71 -й танковой бригады майора Я.И. Плисова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Ю-87, Ю-88 и Не111. Пилоты люфтваффе бомбили танк и </w:t>
      </w:r>
      <w:proofErr w:type="gramStart"/>
      <w:r w:rsidRPr="008127F8">
        <w:rPr>
          <w:color w:val="000000" w:themeColor="text1"/>
          <w:lang w:val="ru-RU"/>
        </w:rPr>
        <w:t>с пикирования</w:t>
      </w:r>
      <w:proofErr w:type="gramEnd"/>
      <w:r w:rsidRPr="008127F8">
        <w:rPr>
          <w:color w:val="000000" w:themeColor="text1"/>
          <w:lang w:val="ru-RU"/>
        </w:rPr>
        <w:t xml:space="preserve">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44D9ABA3" w14:textId="77777777" w:rsidR="00D24350" w:rsidRPr="008127F8" w:rsidRDefault="00D24350" w:rsidP="001E0A84">
      <w:pPr>
        <w:pStyle w:val="a4"/>
        <w:rPr>
          <w:color w:val="000000" w:themeColor="text1"/>
          <w:lang w:val="ru-RU"/>
        </w:rPr>
      </w:pPr>
    </w:p>
    <w:p w14:paraId="6D9A6BBF" w14:textId="77777777" w:rsidR="00D24350" w:rsidRPr="008127F8" w:rsidRDefault="00D24350"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марте 1942 г., по заявлению командира 1-го батальона 71-й танковой бригады майора Я. И. Плисова, в районе г. Холм в поле остался один тяже</w:t>
      </w:r>
      <w:r w:rsidRPr="008127F8">
        <w:rPr>
          <w:color w:val="000000" w:themeColor="text1"/>
          <w:sz w:val="16"/>
          <w:szCs w:val="16"/>
        </w:rPr>
        <w:softHyphen/>
        <w:t>лый танк КВ-1, который авиация противника пы</w:t>
      </w:r>
      <w:r w:rsidRPr="008127F8">
        <w:rPr>
          <w:color w:val="000000" w:themeColor="text1"/>
          <w:sz w:val="16"/>
          <w:szCs w:val="16"/>
        </w:rPr>
        <w:softHyphen/>
        <w:t xml:space="preserve">талась уничтожить в течение двух дней. В общей сложности по танку «работало» около 60 самолетов </w:t>
      </w:r>
      <w:r w:rsidRPr="008127F8">
        <w:rPr>
          <w:color w:val="000000" w:themeColor="text1"/>
          <w:sz w:val="16"/>
          <w:szCs w:val="16"/>
          <w:lang w:val="en-US"/>
        </w:rPr>
        <w:t>Ju</w:t>
      </w:r>
      <w:r w:rsidRPr="008127F8">
        <w:rPr>
          <w:color w:val="000000" w:themeColor="text1"/>
          <w:sz w:val="16"/>
          <w:szCs w:val="16"/>
        </w:rPr>
        <w:t xml:space="preserve">87, </w:t>
      </w:r>
      <w:r w:rsidRPr="008127F8">
        <w:rPr>
          <w:color w:val="000000" w:themeColor="text1"/>
          <w:sz w:val="16"/>
          <w:szCs w:val="16"/>
          <w:lang w:val="en-US"/>
        </w:rPr>
        <w:t>Ju</w:t>
      </w:r>
      <w:r w:rsidRPr="008127F8">
        <w:rPr>
          <w:color w:val="000000" w:themeColor="text1"/>
          <w:sz w:val="16"/>
          <w:szCs w:val="16"/>
        </w:rPr>
        <w:t xml:space="preserve">88 и </w:t>
      </w:r>
      <w:r w:rsidRPr="008127F8">
        <w:rPr>
          <w:color w:val="000000" w:themeColor="text1"/>
          <w:sz w:val="16"/>
          <w:szCs w:val="16"/>
          <w:lang w:val="en-US"/>
        </w:rPr>
        <w:t>He</w:t>
      </w:r>
      <w:r w:rsidRPr="008127F8">
        <w:rPr>
          <w:color w:val="000000" w:themeColor="text1"/>
          <w:sz w:val="16"/>
          <w:szCs w:val="16"/>
        </w:rPr>
        <w:t>111. Пилоты Люфтваффе бомбили танк и с пикирования, и с горизонтального полета, но безрезультатно. Вся земля вокруг танка и в не</w:t>
      </w:r>
      <w:r w:rsidRPr="008127F8">
        <w:rPr>
          <w:color w:val="000000" w:themeColor="text1"/>
          <w:sz w:val="16"/>
          <w:szCs w:val="16"/>
        </w:rPr>
        <w:softHyphen/>
        <w:t>посредственной близости от него была изрыта во</w:t>
      </w:r>
      <w:r w:rsidRPr="008127F8">
        <w:rPr>
          <w:color w:val="000000" w:themeColor="text1"/>
          <w:sz w:val="16"/>
          <w:szCs w:val="16"/>
        </w:rPr>
        <w:softHyphen/>
        <w:t>ронками, но прямых попаданий не было. Осколки поражения танку не причинили (17500).</w:t>
      </w:r>
    </w:p>
    <w:p w14:paraId="58246EEE" w14:textId="77777777" w:rsidR="00D24350" w:rsidRPr="008127F8" w:rsidRDefault="00D24350" w:rsidP="001E0A84">
      <w:pPr>
        <w:spacing w:after="0" w:line="240" w:lineRule="auto"/>
        <w:jc w:val="both"/>
        <w:rPr>
          <w:rFonts w:ascii="Times New Roman" w:eastAsia="Times New Roman" w:hAnsi="Times New Roman"/>
          <w:color w:val="000000" w:themeColor="text1"/>
          <w:sz w:val="16"/>
          <w:szCs w:val="16"/>
          <w:lang w:eastAsia="ru-RU"/>
        </w:rPr>
      </w:pPr>
    </w:p>
    <w:p w14:paraId="37803D49" w14:textId="77777777" w:rsidR="00FD69D3" w:rsidRPr="008127F8" w:rsidRDefault="00FD69D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марте 1942 г. морской отряд аэростатов заграждения переименовали в 215-й отдель</w:t>
      </w:r>
      <w:r w:rsidRPr="008127F8">
        <w:rPr>
          <w:rFonts w:ascii="Times New Roman" w:hAnsi="Times New Roman"/>
          <w:color w:val="000000" w:themeColor="text1"/>
          <w:sz w:val="16"/>
          <w:szCs w:val="16"/>
        </w:rPr>
        <w:softHyphen/>
        <w:t>ный воздухоплавательный дивизион ПВО ЧФ (ОВД ПВО ЧФ). 20 марта 1942 г. крейсер «Крас</w:t>
      </w:r>
      <w:r w:rsidRPr="008127F8">
        <w:rPr>
          <w:rFonts w:ascii="Times New Roman" w:hAnsi="Times New Roman"/>
          <w:color w:val="000000" w:themeColor="text1"/>
          <w:sz w:val="16"/>
          <w:szCs w:val="16"/>
        </w:rPr>
        <w:softHyphen/>
        <w:t>ный Крым» доставил в Севастополь 60 оболочек аэростатов нового типа, и командир дивизиона получил приказ вновь развернуть посты аэро</w:t>
      </w:r>
      <w:r w:rsidRPr="008127F8">
        <w:rPr>
          <w:rFonts w:ascii="Times New Roman" w:hAnsi="Times New Roman"/>
          <w:color w:val="000000" w:themeColor="text1"/>
          <w:sz w:val="16"/>
          <w:szCs w:val="16"/>
        </w:rPr>
        <w:softHyphen/>
        <w:t>статов заграждения. В дивизион возвратили из морской пехоты офицеров-воздухоплавателей, младших воздухоплавательных специалистов и рядовых краснофлотцев. Для полевой газодо</w:t>
      </w:r>
      <w:r w:rsidRPr="008127F8">
        <w:rPr>
          <w:rFonts w:ascii="Times New Roman" w:hAnsi="Times New Roman"/>
          <w:color w:val="000000" w:themeColor="text1"/>
          <w:sz w:val="16"/>
          <w:szCs w:val="16"/>
        </w:rPr>
        <w:softHyphen/>
        <w:t>бывающей установки выбрали новую позицию, так как прежняя в устье р. Бельбек находилось те</w:t>
      </w:r>
      <w:r w:rsidRPr="008127F8">
        <w:rPr>
          <w:rFonts w:ascii="Times New Roman" w:hAnsi="Times New Roman"/>
          <w:color w:val="000000" w:themeColor="text1"/>
          <w:sz w:val="16"/>
          <w:szCs w:val="16"/>
        </w:rPr>
        <w:softHyphen/>
        <w:t>перь близко от линии фронта (20120).</w:t>
      </w:r>
    </w:p>
    <w:p w14:paraId="4DBBDBFB" w14:textId="77777777" w:rsidR="00FD69D3" w:rsidRPr="008127F8" w:rsidRDefault="00FD69D3" w:rsidP="001E0A84">
      <w:pPr>
        <w:spacing w:after="0" w:line="240" w:lineRule="auto"/>
        <w:jc w:val="both"/>
        <w:rPr>
          <w:rFonts w:ascii="Times New Roman" w:hAnsi="Times New Roman"/>
          <w:color w:val="000000" w:themeColor="text1"/>
          <w:sz w:val="16"/>
          <w:szCs w:val="16"/>
        </w:rPr>
      </w:pPr>
    </w:p>
    <w:p w14:paraId="230022A1" w14:textId="77777777" w:rsidR="00FD69D3" w:rsidRPr="008127F8" w:rsidRDefault="00FD69D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трофейные КВ-1 участвовали в боях за Мясной Бор, правда, без особого успеха. Один из танков с АТО-41, а также минимум 1 танк с заплаткой во лбу, оказались повреждены, но не уничтожены. Попавших в плен танкистов привлекли к ремонту, в результате оба танка удалось вернуть в строй. Происходило это в полевой мастерской, которую организовали в районе Красного Села. Иногда эти танки приписывают к 12-й танковой дивизии, но многочисленные снимки, проскакивающие на eBay, опровергают эту версию. Танки попали в состав 58-й пехотной дивизии (22519)</w:t>
      </w:r>
    </w:p>
    <w:p w14:paraId="573D40B2" w14:textId="77777777" w:rsidR="00FD69D3" w:rsidRPr="008127F8" w:rsidRDefault="00FD69D3" w:rsidP="001E0A84">
      <w:pPr>
        <w:spacing w:after="0" w:line="240" w:lineRule="auto"/>
        <w:jc w:val="both"/>
        <w:rPr>
          <w:rFonts w:ascii="Times New Roman" w:hAnsi="Times New Roman"/>
          <w:color w:val="000000" w:themeColor="text1"/>
          <w:sz w:val="16"/>
          <w:szCs w:val="16"/>
        </w:rPr>
      </w:pPr>
    </w:p>
    <w:p w14:paraId="3401A7E4"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Введение в состав управления связи фронта должности инженера-инспектора по контролю за состоянием техники связи в войсках (11072).</w:t>
      </w:r>
    </w:p>
    <w:p w14:paraId="3E929FC8" w14:textId="77777777" w:rsidR="007E67CF" w:rsidRPr="008127F8" w:rsidRDefault="007E67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0006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B7C3A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B53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по решению ГКО и СНК были организованы отделы рабочего снабжения - ОРС (6,201).</w:t>
      </w:r>
    </w:p>
    <w:p w14:paraId="29F140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67CD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63074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02E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местная власть выслала из Синьцзяна всех советских специалистов. Все созданные при советском участии предприятия были закрыты (3871).</w:t>
      </w:r>
    </w:p>
    <w:p w14:paraId="369BF4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09C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Британская воздушная миссия в Москве запросила Отдел внешних сношений НКО об установлении воздушной линии связи между Великобританией и СССР весной или летом 1942 на Летающих крепостях с посадкой в Ярославле или Рыбинске на бетонные полосы. СССР предложил создать совместное об-во для полетов по северному маршруту через Архангельск (на английских до </w:t>
      </w:r>
      <w:proofErr w:type="gramStart"/>
      <w:r w:rsidRPr="008127F8">
        <w:rPr>
          <w:rFonts w:ascii="Times New Roman" w:hAnsi="Times New Roman"/>
          <w:color w:val="000000" w:themeColor="text1"/>
          <w:sz w:val="16"/>
          <w:szCs w:val="16"/>
        </w:rPr>
        <w:t>Англии</w:t>
      </w:r>
      <w:proofErr w:type="gramEnd"/>
      <w:r w:rsidRPr="008127F8">
        <w:rPr>
          <w:rFonts w:ascii="Times New Roman" w:hAnsi="Times New Roman"/>
          <w:color w:val="000000" w:themeColor="text1"/>
          <w:sz w:val="16"/>
          <w:szCs w:val="16"/>
        </w:rPr>
        <w:t xml:space="preserve"> а на советских - до Москвы) (7485, 27).</w:t>
      </w:r>
    </w:p>
    <w:p w14:paraId="5059DA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6D4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информация по атомной тематике, полученная из лондонской резидентуры, была доложена в виде спецсообшения И. В. Сталину. Научно-техническая разведка сообщала о реальности создания атомного оружия и предлагала образовать при ГКО научно-консультативный совет для координации работ.</w:t>
      </w:r>
    </w:p>
    <w:p w14:paraId="46B008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докладной записке, основанной на сообщениях Д. Маклина, говорилось:</w:t>
      </w:r>
    </w:p>
    <w:p w14:paraId="6A378B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«В ряде капиталистических стран в связи с проводимыми работами по расщеплению атомного ядра с целью получения нового источника энергии было начато изучение вопроса использования атомной энергии урана для военных целей…</w:t>
      </w:r>
    </w:p>
    <w:p w14:paraId="7001F4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…Английский военный кабинет, учитывая возможность успешного разрешения этой задачи Германией, уделяет большое внимание проблеме использования атомной энергии урана для военных целей…</w:t>
      </w:r>
    </w:p>
    <w:p w14:paraId="161CF7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…Исходя из важности и актуальности проблемы практического применения атомной энергии урана-235 для военных целей Советского Союза, было бы целесообразно:</w:t>
      </w:r>
    </w:p>
    <w:p w14:paraId="705AF1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1. Проработать вопрос о создании научно-совещательного органа при Государственном Комитете Обороны СССР из авторитетных лиц для координации, изучения и направления работ всех ученых, научно-исследовательских организаций СССР, занимающихся вопросом атомной энергии урана.</w:t>
      </w:r>
    </w:p>
    <w:p w14:paraId="6BE7E6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2. Обеспечить секретное ознакомление с материалами разведки по урану узкого круга лиц из числа видных ученых и специалистов для оценки развединформации и соответствующего ее использования».</w:t>
      </w:r>
    </w:p>
    <w:p w14:paraId="3A845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Совершенно секретные материалы разведки, полученные агентурным путем из Великобритании и приложенные к записке, сыграли определяющую роль при выборе Сталиным решения — начинать или не начинать в Советском Союзе работы по созданию атомной бомбы. Соответствующую программу возглавил И. В. Курчатов, куратором от Советского правительства был назначен В. М. Молотов. По линии разведки ответственным за обеспечение секретности материалов и реализацию разведданных стал, естественно, Л. Р. Квасников (Соколов А. «Суперкрот» ЦРУ в КГБ: 35 лет шпионажа генерала Олега Калугина (версия разведчика). — М.: Альманах «Вымпел», 1999. — 325 с.).</w:t>
      </w:r>
    </w:p>
    <w:p w14:paraId="034144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 Л. Р. Квасников в подготовленном им проекте записки предвосхитил создание знаменитой лаборатории N 2 (впоследствии — Институт атомной энергии имени И. В. Курчатова).</w:t>
      </w:r>
    </w:p>
    <w:p w14:paraId="7A0037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в том же 1942 году была создана специальная лаборатория № 2 (Московская физическая лаборатория) АН СССР. Возглавил ее И.В. Курчатов, который занимался вопросами атомной энергии (11765).</w:t>
      </w:r>
    </w:p>
    <w:p w14:paraId="755F6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2ED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был потоплен немецким линкором "Тирпиц" пароход "Ижора", шедший из Мурманска в Англию с грузом леса и отставший от каравана (11910).</w:t>
      </w:r>
    </w:p>
    <w:p w14:paraId="41F78C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7338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0B06F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A20C1D"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 Роберт Люссер выдвинул план разработки Fi.103. Под контролем Министерства авиации фирмы «Аргус» (двигатель), «Физелер» (планер), «Аскания» (система управления) и «Вальтер» (пусковое устройство) ускоренными темпами начали разработку крылатой ракеты. Поскольку в ходе работ стало возможным использование результатов более ранних исследований по крылатым ракетам, то и работа по проектированию самолетаснаряда продвигалась быстро. 5 сентября 1942 г. разработка проекта в целом была закончена.</w:t>
      </w:r>
    </w:p>
    <w:p w14:paraId="32B770B4"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426B7DC3"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30C4698C"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7A11F32D"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1DAB04F4"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44E9C501"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6E88D36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марта 1942 г. «Хэмпдены» начали пе</w:t>
      </w:r>
      <w:r w:rsidRPr="008A2E5A">
        <w:rPr>
          <w:rFonts w:ascii="Times New Roman" w:hAnsi="Times New Roman"/>
          <w:color w:val="0070C0"/>
          <w:sz w:val="16"/>
          <w:szCs w:val="16"/>
        </w:rPr>
        <w:softHyphen/>
        <w:t>редаваться в распоряжение Берегового командования ВВС, занимавшегося опе</w:t>
      </w:r>
      <w:r w:rsidRPr="008A2E5A">
        <w:rPr>
          <w:rFonts w:ascii="Times New Roman" w:hAnsi="Times New Roman"/>
          <w:color w:val="0070C0"/>
          <w:sz w:val="16"/>
          <w:szCs w:val="16"/>
        </w:rPr>
        <w:softHyphen/>
        <w:t>рациями над морем. Там им уготовили роль торпедоносцев. Фирма «Инглиш электрик» на 144 самолетах переделала створки бомбоотсеков и заднюю огневую точку, чтобы дать возможность подвесить в полузакрытом положении стандарт</w:t>
      </w:r>
      <w:r w:rsidRPr="008A2E5A">
        <w:rPr>
          <w:rFonts w:ascii="Times New Roman" w:hAnsi="Times New Roman"/>
          <w:color w:val="0070C0"/>
          <w:sz w:val="16"/>
          <w:szCs w:val="16"/>
        </w:rPr>
        <w:softHyphen/>
        <w:t>ную английскую авиационную торпеду Мк.ХП. Этот вариант получил обозначе</w:t>
      </w:r>
      <w:r w:rsidRPr="008A2E5A">
        <w:rPr>
          <w:rFonts w:ascii="Times New Roman" w:hAnsi="Times New Roman"/>
          <w:color w:val="0070C0"/>
          <w:sz w:val="16"/>
          <w:szCs w:val="16"/>
        </w:rPr>
        <w:softHyphen/>
        <w:t>ние «Хэмпден» TB.I. Такими машинами вооружили четыре эскадрильи (23513).</w:t>
      </w:r>
    </w:p>
    <w:p w14:paraId="12239DCB" w14:textId="77777777" w:rsidR="00EB32CC" w:rsidRPr="008A2E5A" w:rsidRDefault="00EB32CC" w:rsidP="00EB32CC">
      <w:pPr>
        <w:spacing w:after="0" w:line="240" w:lineRule="auto"/>
        <w:jc w:val="both"/>
        <w:rPr>
          <w:rFonts w:ascii="Times New Roman" w:hAnsi="Times New Roman"/>
          <w:color w:val="0070C0"/>
          <w:sz w:val="16"/>
          <w:szCs w:val="16"/>
        </w:rPr>
      </w:pPr>
    </w:p>
    <w:p w14:paraId="7B693A3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марта 1942 г., когда «Игл» вошел в состав «соединения Н», сопро</w:t>
      </w:r>
      <w:r w:rsidRPr="008A2E5A">
        <w:rPr>
          <w:rFonts w:ascii="Times New Roman" w:hAnsi="Times New Roman"/>
          <w:color w:val="0070C0"/>
          <w:sz w:val="16"/>
          <w:szCs w:val="16"/>
        </w:rPr>
        <w:softHyphen/>
        <w:t>вождавшего конвой на Мальту началось боевое применение «Си Харрикейнов» с авианосцев. На его борту находилась 813-я эскадрилья, включавшая четыре «Си Харрикейна» IB. Под прикрытием «Игла» и других боевых кораблей шесть быс</w:t>
      </w:r>
      <w:r w:rsidRPr="008A2E5A">
        <w:rPr>
          <w:rFonts w:ascii="Times New Roman" w:hAnsi="Times New Roman"/>
          <w:color w:val="0070C0"/>
          <w:sz w:val="16"/>
          <w:szCs w:val="16"/>
        </w:rPr>
        <w:softHyphen/>
        <w:t>троходных транспортов прорвались в Ла-Валетту (24506).</w:t>
      </w:r>
    </w:p>
    <w:p w14:paraId="0EEAC558" w14:textId="77777777" w:rsidR="00EB32CC" w:rsidRPr="008A2E5A" w:rsidRDefault="00EB32CC" w:rsidP="00EB32CC">
      <w:pPr>
        <w:spacing w:after="0" w:line="240" w:lineRule="auto"/>
        <w:jc w:val="both"/>
        <w:rPr>
          <w:rFonts w:ascii="Times New Roman" w:hAnsi="Times New Roman"/>
          <w:color w:val="0070C0"/>
          <w:sz w:val="16"/>
          <w:szCs w:val="16"/>
        </w:rPr>
      </w:pPr>
    </w:p>
    <w:p w14:paraId="5FA17C8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1942 г. попытка линкора «Тирпиц» с охранением из легких сил атаковать север</w:t>
      </w:r>
      <w:r w:rsidRPr="008A2E5A">
        <w:rPr>
          <w:rFonts w:ascii="Times New Roman" w:hAnsi="Times New Roman"/>
          <w:color w:val="0070C0"/>
          <w:sz w:val="16"/>
          <w:szCs w:val="16"/>
        </w:rPr>
        <w:softHyphen/>
        <w:t>ные конвои, следовавшие в Мурманск, закон</w:t>
      </w:r>
      <w:r w:rsidRPr="008A2E5A">
        <w:rPr>
          <w:rFonts w:ascii="Times New Roman" w:hAnsi="Times New Roman"/>
          <w:color w:val="0070C0"/>
          <w:sz w:val="16"/>
          <w:szCs w:val="16"/>
        </w:rPr>
        <w:softHyphen/>
        <w:t>чилась провалом из-за обнаружения его под</w:t>
      </w:r>
      <w:r w:rsidRPr="008A2E5A">
        <w:rPr>
          <w:rFonts w:ascii="Times New Roman" w:hAnsi="Times New Roman"/>
          <w:color w:val="0070C0"/>
          <w:sz w:val="16"/>
          <w:szCs w:val="16"/>
        </w:rPr>
        <w:softHyphen/>
        <w:t>лодками</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 xml:space="preserve"> однако определенную роль сыграло также отсутствие истребительного прикрытия над германской эскадрой. В результате адми</w:t>
      </w:r>
      <w:r w:rsidRPr="008A2E5A">
        <w:rPr>
          <w:rFonts w:ascii="Times New Roman" w:hAnsi="Times New Roman"/>
          <w:color w:val="0070C0"/>
          <w:sz w:val="16"/>
          <w:szCs w:val="16"/>
        </w:rPr>
        <w:softHyphen/>
        <w:t>рал Редер вновь поставил вопрос о необходи</w:t>
      </w:r>
      <w:r w:rsidRPr="008A2E5A">
        <w:rPr>
          <w:rFonts w:ascii="Times New Roman" w:hAnsi="Times New Roman"/>
          <w:color w:val="0070C0"/>
          <w:sz w:val="16"/>
          <w:szCs w:val="16"/>
        </w:rPr>
        <w:softHyphen/>
        <w:t>мости достройки авианосца «Граф Цеппе</w:t>
      </w:r>
      <w:r w:rsidRPr="008A2E5A">
        <w:rPr>
          <w:rFonts w:ascii="Times New Roman" w:hAnsi="Times New Roman"/>
          <w:color w:val="0070C0"/>
          <w:sz w:val="16"/>
          <w:szCs w:val="16"/>
        </w:rPr>
        <w:softHyphen/>
        <w:t>лин». Приказ о возобновлении работ на авиа</w:t>
      </w:r>
      <w:r w:rsidRPr="008A2E5A">
        <w:rPr>
          <w:rFonts w:ascii="Times New Roman" w:hAnsi="Times New Roman"/>
          <w:color w:val="0070C0"/>
          <w:sz w:val="16"/>
          <w:szCs w:val="16"/>
        </w:rPr>
        <w:softHyphen/>
        <w:t>носце поступил 13 мая 1942 г., но к этому вре</w:t>
      </w:r>
      <w:r w:rsidRPr="008A2E5A">
        <w:rPr>
          <w:rFonts w:ascii="Times New Roman" w:hAnsi="Times New Roman"/>
          <w:color w:val="0070C0"/>
          <w:sz w:val="16"/>
          <w:szCs w:val="16"/>
        </w:rPr>
        <w:softHyphen/>
        <w:t>мени Bf I09T-2 считался уже устаревшим (24195).</w:t>
      </w:r>
    </w:p>
    <w:p w14:paraId="51337D1E" w14:textId="77777777" w:rsidR="00EB32CC" w:rsidRPr="008A2E5A" w:rsidRDefault="00EB32CC" w:rsidP="00EB32CC">
      <w:pPr>
        <w:spacing w:after="0" w:line="240" w:lineRule="auto"/>
        <w:jc w:val="both"/>
        <w:rPr>
          <w:rFonts w:ascii="Times New Roman" w:hAnsi="Times New Roman"/>
          <w:color w:val="0070C0"/>
          <w:sz w:val="16"/>
          <w:szCs w:val="16"/>
        </w:rPr>
      </w:pPr>
    </w:p>
    <w:p w14:paraId="1F73B87A" w14:textId="77777777" w:rsidR="00597457" w:rsidRPr="008127F8" w:rsidRDefault="00597457"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1942 года был направлен на рассмотрение проект ХВ-38 – Б-17 с двигателями V-1710-89 взлетной мощностью 1600 л.с. и боевой 1425 л.с. на высоте 7620 м (по сравнению с 1200/1000 л.с. у мотора R-1820-97 на серийном B-17F) и в июле «Локхид» получил контракт на строительство опытного образца. Для ускорения </w:t>
      </w:r>
      <w:r w:rsidRPr="008127F8">
        <w:rPr>
          <w:rFonts w:ascii="Times New Roman" w:hAnsi="Times New Roman"/>
          <w:color w:val="000000" w:themeColor="text1"/>
          <w:sz w:val="16"/>
          <w:szCs w:val="16"/>
        </w:rPr>
        <w:lastRenderedPageBreak/>
        <w:t>работ в Бербанк перегнали 10-й серийный В-17Е, но к тому времени фирма оказалась перегружена работой по собственному истребителю сопровождения Р-38 и по выпуску основного варианта B-17F, и первый полет переоборудованного из него ХВ-38 состоялся только 19 мая 1943 года (22899).</w:t>
      </w:r>
    </w:p>
    <w:p w14:paraId="3578F597" w14:textId="77777777" w:rsidR="00597457" w:rsidRPr="008127F8" w:rsidRDefault="00597457" w:rsidP="001E0A84">
      <w:pPr>
        <w:shd w:val="clear" w:color="auto" w:fill="FFFFFF"/>
        <w:spacing w:after="0" w:line="240" w:lineRule="auto"/>
        <w:jc w:val="both"/>
        <w:rPr>
          <w:rFonts w:ascii="Times New Roman" w:hAnsi="Times New Roman"/>
          <w:color w:val="000000" w:themeColor="text1"/>
          <w:sz w:val="16"/>
          <w:szCs w:val="16"/>
        </w:rPr>
      </w:pPr>
    </w:p>
    <w:p w14:paraId="37960A08" w14:textId="77777777" w:rsidR="00597457" w:rsidRPr="008127F8" w:rsidRDefault="005974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 1942 года состоялся первый полет винтового планера-змея Focke-Achgelis Fa 330 (20793).</w:t>
      </w:r>
    </w:p>
    <w:p w14:paraId="120BB7AA" w14:textId="77777777" w:rsidR="00597457" w:rsidRPr="008127F8" w:rsidRDefault="00597457" w:rsidP="001E0A84">
      <w:pPr>
        <w:spacing w:after="0" w:line="240" w:lineRule="auto"/>
        <w:jc w:val="both"/>
        <w:rPr>
          <w:rFonts w:ascii="Times New Roman" w:hAnsi="Times New Roman"/>
          <w:color w:val="000000" w:themeColor="text1"/>
          <w:sz w:val="16"/>
          <w:szCs w:val="16"/>
        </w:rPr>
      </w:pPr>
    </w:p>
    <w:p w14:paraId="573792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немцы сумели захватить РС М-8 и М-13 и потом наладили их выпуск в модернизированном виде (3815).</w:t>
      </w:r>
    </w:p>
    <w:p w14:paraId="09F567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527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Альберт Шпеер принял решение о переводе немецкой экономики на военные рельсы. Проекты, которые не обещали немедленного результата прекращались или переводились на более низкий приоритет (2221).</w:t>
      </w:r>
    </w:p>
    <w:p w14:paraId="430864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A64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1942 г. мощной 75-мм пушкой длиной 48 калибров стали вооружаться немецкие штурмовые орудия на базе танка Pz.III (3905).</w:t>
      </w:r>
    </w:p>
    <w:p w14:paraId="0DC57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5B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1942 г. на немецкий Т-IV стали ставить 75-мм пушку длиной ствола 43 калибра - приспособленную для установки в башне новую противотанковую пушку образца 1940 г (3905).</w:t>
      </w:r>
    </w:p>
    <w:p w14:paraId="7B3944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66D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1942 г. на немецкий Т-4 стали ставить 75-мм пушку длиной ствола 43 калибра - приспособленную для установки в башне новую противотанковую пушку образца 1940 г. (3862).</w:t>
      </w:r>
    </w:p>
    <w:p w14:paraId="1496F6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DB6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1942 г. 75-мм пушкой стали вооружаться немецкие штурмовые орудия на базе танка Pz.III. Кроме того, она, а также русская трофейная 76,2-мм пушка образца 1936 г., снаряд которой обладал высокой бронепробиваемостью (а именно с расстояния 500 м. под углом 30° к нормали 90 и 116-мм для бронебойного и разработанного немцами к этой нашей пушке подкалиберного снарядов), были установлены на шасси легких танков Pz.II и 38(t). Эти самоходные установки появились в апреле-июне 1942 г. (3862).</w:t>
      </w:r>
    </w:p>
    <w:p w14:paraId="51ECA9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7D1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"Тандерболты" шли по конвейеру (3457,84).</w:t>
      </w:r>
    </w:p>
    <w:p w14:paraId="1B79B7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436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началась серия Тандерболтов в варианте Р-47В (173,263).</w:t>
      </w:r>
    </w:p>
    <w:p w14:paraId="7BEAAC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5964E" w14:textId="77777777" w:rsidR="002C3817" w:rsidRPr="008127F8" w:rsidRDefault="002C3817" w:rsidP="001E0A84">
      <w:pPr>
        <w:pStyle w:val="95"/>
        <w:shd w:val="clear" w:color="auto" w:fill="auto"/>
        <w:spacing w:after="0" w:line="240" w:lineRule="auto"/>
        <w:ind w:firstLine="0"/>
        <w:jc w:val="both"/>
        <w:rPr>
          <w:color w:val="000000" w:themeColor="text1"/>
          <w:sz w:val="16"/>
          <w:szCs w:val="16"/>
        </w:rPr>
      </w:pPr>
      <w:r w:rsidRPr="008127F8">
        <w:rPr>
          <w:color w:val="000000" w:themeColor="text1"/>
          <w:sz w:val="16"/>
          <w:szCs w:val="16"/>
        </w:rPr>
        <w:t>В марте 1942 заказ на Б-29 вырос до 1000 бомбардировщиков. Похоже, что военные были уверены в возможности фир</w:t>
      </w:r>
      <w:r w:rsidRPr="008127F8">
        <w:rPr>
          <w:color w:val="000000" w:themeColor="text1"/>
          <w:sz w:val="16"/>
          <w:szCs w:val="16"/>
        </w:rPr>
        <w:softHyphen/>
        <w:t>мы и полностью доверяли ее руководству, ведь бомбардировщики должны были войти в строй в конце 1943 года. В самый разгар подготовки производства к серийному выпуску машин завод в Канза</w:t>
      </w:r>
      <w:r w:rsidRPr="008127F8">
        <w:rPr>
          <w:color w:val="000000" w:themeColor="text1"/>
          <w:sz w:val="16"/>
          <w:szCs w:val="16"/>
        </w:rPr>
        <w:softHyphen/>
        <w:t>се неожиданно переориентировали на бом</w:t>
      </w:r>
      <w:r w:rsidRPr="008127F8">
        <w:rPr>
          <w:color w:val="000000" w:themeColor="text1"/>
          <w:sz w:val="16"/>
          <w:szCs w:val="16"/>
        </w:rPr>
        <w:softHyphen/>
        <w:t>бардировщик В-25 «Митчелл», а «Сверх</w:t>
      </w:r>
      <w:r w:rsidRPr="008127F8">
        <w:rPr>
          <w:color w:val="000000" w:themeColor="text1"/>
          <w:sz w:val="16"/>
          <w:szCs w:val="16"/>
        </w:rPr>
        <w:softHyphen/>
        <w:t>крепость» передали на завод компании в Рентоне. Естественно, осилить столь круп</w:t>
      </w:r>
      <w:r w:rsidRPr="008127F8">
        <w:rPr>
          <w:color w:val="000000" w:themeColor="text1"/>
          <w:sz w:val="16"/>
          <w:szCs w:val="16"/>
        </w:rPr>
        <w:softHyphen/>
        <w:t>ный заказ одному лишь «Боингу» было не</w:t>
      </w:r>
      <w:r w:rsidRPr="008127F8">
        <w:rPr>
          <w:color w:val="000000" w:themeColor="text1"/>
          <w:sz w:val="16"/>
          <w:szCs w:val="16"/>
        </w:rPr>
        <w:softHyphen/>
        <w:t>возможно, и ему в помощь подключили дру</w:t>
      </w:r>
      <w:r w:rsidRPr="008127F8">
        <w:rPr>
          <w:color w:val="000000" w:themeColor="text1"/>
          <w:sz w:val="16"/>
          <w:szCs w:val="16"/>
        </w:rPr>
        <w:softHyphen/>
        <w:t>гие компании, включая «Гленн Мартин», «Дженерал моторе» и «Белл» (12292).</w:t>
      </w:r>
    </w:p>
    <w:p w14:paraId="26C41DE8" w14:textId="77777777" w:rsidR="002C3817" w:rsidRPr="008127F8" w:rsidRDefault="002C3817" w:rsidP="001E0A84">
      <w:pPr>
        <w:pStyle w:val="95"/>
        <w:shd w:val="clear" w:color="auto" w:fill="auto"/>
        <w:spacing w:after="0" w:line="240" w:lineRule="auto"/>
        <w:ind w:firstLine="0"/>
        <w:jc w:val="both"/>
        <w:rPr>
          <w:color w:val="000000" w:themeColor="text1"/>
          <w:sz w:val="16"/>
          <w:szCs w:val="16"/>
        </w:rPr>
      </w:pPr>
    </w:p>
    <w:p w14:paraId="4CBC1297" w14:textId="77777777" w:rsidR="00160084" w:rsidRPr="008127F8" w:rsidRDefault="001600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1942 года начались работы в рамках «Проекта Плуг». По планам Пайка, специальное подразделение, состоящее из канадских и американских военнослужащих, должно было атаковать немецкие объекты на территории Норвегии, занятые в производстве тяжёлой воды в рамках атомной программы Германии. Операция планировалась на зиму 1942–1943 годов, для боевых действий в подобных условиях требовалась специальная машина, способная уверенно действовать в заснеженной гористой местности. Первоначально Пайк предлагал шнекоход — такую машину, названную Weasel, построили и испытали. От шнекохода отказались, вместо него двухместный снегоход заказали американской фирме Studebaker (18251).</w:t>
      </w:r>
    </w:p>
    <w:p w14:paraId="6622055E" w14:textId="77777777" w:rsidR="00160084" w:rsidRPr="008127F8" w:rsidRDefault="00160084" w:rsidP="001E0A84">
      <w:pPr>
        <w:spacing w:after="0" w:line="240" w:lineRule="auto"/>
        <w:jc w:val="both"/>
        <w:rPr>
          <w:rFonts w:ascii="Times New Roman" w:hAnsi="Times New Roman"/>
          <w:color w:val="000000" w:themeColor="text1"/>
          <w:sz w:val="16"/>
          <w:szCs w:val="16"/>
        </w:rPr>
      </w:pPr>
    </w:p>
    <w:p w14:paraId="4234D12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F495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734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в НИИ ВВС проходили контрольные испытания Ил-2 АМ-38 N 1904 завода 18 и 2611 завода 1 (1684,144).</w:t>
      </w:r>
    </w:p>
    <w:p w14:paraId="0CE554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43FD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года работа карбюратора АК-82БП серии А-2 была проверена НИИ ВВС в полете на самолетах Су-2, Ту-2 и Ил-4. В начале испытания мотор на Су-2 ра</w:t>
      </w:r>
      <w:r w:rsidRPr="008127F8">
        <w:rPr>
          <w:rFonts w:ascii="Times New Roman" w:hAnsi="Times New Roman"/>
          <w:color w:val="000000" w:themeColor="text1"/>
          <w:sz w:val="16"/>
          <w:szCs w:val="16"/>
        </w:rPr>
        <w:softHyphen/>
        <w:t>ботал до высоты 8000 м удовлетвори</w:t>
      </w:r>
      <w:r w:rsidRPr="008127F8">
        <w:rPr>
          <w:rFonts w:ascii="Times New Roman" w:hAnsi="Times New Roman"/>
          <w:color w:val="000000" w:themeColor="text1"/>
          <w:sz w:val="16"/>
          <w:szCs w:val="16"/>
        </w:rPr>
        <w:softHyphen/>
        <w:t>тельно, но после 15-ти полетов его работа резко ухудшилась, сначала на 2-й, а затем и на 1-й скорости нагне</w:t>
      </w:r>
      <w:r w:rsidRPr="008127F8">
        <w:rPr>
          <w:rFonts w:ascii="Times New Roman" w:hAnsi="Times New Roman"/>
          <w:color w:val="000000" w:themeColor="text1"/>
          <w:sz w:val="16"/>
          <w:szCs w:val="16"/>
        </w:rPr>
        <w:softHyphen/>
        <w:t>тателя (тряска и дымление двигателя), в результате приходилось пользовать</w:t>
      </w:r>
      <w:r w:rsidRPr="008127F8">
        <w:rPr>
          <w:rFonts w:ascii="Times New Roman" w:hAnsi="Times New Roman"/>
          <w:color w:val="000000" w:themeColor="text1"/>
          <w:sz w:val="16"/>
          <w:szCs w:val="16"/>
        </w:rPr>
        <w:softHyphen/>
        <w:t>ся ручным высотным корректором, а еще через несколько полетов — перерегулировать карбюратор. Замеры качества смеси (коэффициент избыт</w:t>
      </w:r>
      <w:r w:rsidRPr="008127F8">
        <w:rPr>
          <w:rFonts w:ascii="Times New Roman" w:hAnsi="Times New Roman"/>
          <w:color w:val="000000" w:themeColor="text1"/>
          <w:sz w:val="16"/>
          <w:szCs w:val="16"/>
        </w:rPr>
        <w:softHyphen/>
        <w:t>ка воздуха) альфометром показали, что вместо нормального значения а=0,7-0,74 его величина с набором высоты доходила до 0,64-0,66 и ниже, т.е. смесь переобогащалась. На Ту-2 были получены у земли а=0,68-0,70 и на высоте 3000 м - 0,6-0,64. Аналогич</w:t>
      </w:r>
      <w:r w:rsidRPr="008127F8">
        <w:rPr>
          <w:rFonts w:ascii="Times New Roman" w:hAnsi="Times New Roman"/>
          <w:color w:val="000000" w:themeColor="text1"/>
          <w:sz w:val="16"/>
          <w:szCs w:val="16"/>
        </w:rPr>
        <w:softHyphen/>
        <w:t>ные цифры были замерены и на Ил-4. При этом, по заявлению летчиков, ра</w:t>
      </w:r>
      <w:r w:rsidRPr="008127F8">
        <w:rPr>
          <w:rFonts w:ascii="Times New Roman" w:hAnsi="Times New Roman"/>
          <w:color w:val="000000" w:themeColor="text1"/>
          <w:sz w:val="16"/>
          <w:szCs w:val="16"/>
        </w:rPr>
        <w:softHyphen/>
        <w:t>бота моторов на Ту-2 была нормаль</w:t>
      </w:r>
      <w:r w:rsidRPr="008127F8">
        <w:rPr>
          <w:rFonts w:ascii="Times New Roman" w:hAnsi="Times New Roman"/>
          <w:color w:val="000000" w:themeColor="text1"/>
          <w:sz w:val="16"/>
          <w:szCs w:val="16"/>
        </w:rPr>
        <w:softHyphen/>
        <w:t>ная, а на Ил-4 приходилось все время пользоваться ручным высотным кор</w:t>
      </w:r>
      <w:r w:rsidRPr="008127F8">
        <w:rPr>
          <w:rFonts w:ascii="Times New Roman" w:hAnsi="Times New Roman"/>
          <w:color w:val="000000" w:themeColor="text1"/>
          <w:sz w:val="16"/>
          <w:szCs w:val="16"/>
        </w:rPr>
        <w:softHyphen/>
        <w:t>ректором. Был сделан вывод, что в строевые части, эксплуатирующие моторы М-82, необходимо командировать высоко</w:t>
      </w:r>
      <w:r w:rsidRPr="008127F8">
        <w:rPr>
          <w:rFonts w:ascii="Times New Roman" w:hAnsi="Times New Roman"/>
          <w:color w:val="000000" w:themeColor="text1"/>
          <w:sz w:val="16"/>
          <w:szCs w:val="16"/>
        </w:rPr>
        <w:softHyphen/>
        <w:t>квалифицированных специалистов с завода для наблюдения за работой карбюраторов и принятия мер на месте, так как карбюраторы саморазрегулируются (10699).</w:t>
      </w:r>
    </w:p>
    <w:p w14:paraId="537148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6E285" w14:textId="77777777" w:rsidR="00160084" w:rsidRPr="008127F8" w:rsidRDefault="00160084"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марте - июне 1942 г. Су-2 с мо</w:t>
      </w:r>
      <w:r w:rsidRPr="008127F8">
        <w:rPr>
          <w:rFonts w:ascii="Times New Roman" w:cs="Times New Roman"/>
          <w:color w:val="000000" w:themeColor="text1"/>
          <w:spacing w:val="0"/>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Мотор М-82 обед</w:t>
      </w:r>
      <w:r w:rsidRPr="008127F8">
        <w:rPr>
          <w:rFonts w:ascii="Times New Roman" w:cs="Times New Roman"/>
          <w:color w:val="000000" w:themeColor="text1"/>
          <w:spacing w:val="0"/>
        </w:rPr>
        <w:softHyphen/>
        <w:t>нение смазкой его трущихся деталей выносит достаточно надежно В случае повреждения маслосистемы полет в те</w:t>
      </w:r>
      <w:r w:rsidRPr="008127F8">
        <w:rPr>
          <w:rFonts w:ascii="Times New Roman" w:cs="Times New Roman"/>
          <w:color w:val="000000" w:themeColor="text1"/>
          <w:spacing w:val="0"/>
        </w:rPr>
        <w:softHyphen/>
        <w:t>чение 2-3 минут без давления не влечет за собой разрушение мотора» (19102).</w:t>
      </w:r>
    </w:p>
    <w:p w14:paraId="6F2CD3EB" w14:textId="77777777" w:rsidR="00160084" w:rsidRPr="008127F8" w:rsidRDefault="00160084" w:rsidP="001E0A84">
      <w:pPr>
        <w:pStyle w:val="27"/>
        <w:shd w:val="clear" w:color="auto" w:fill="auto"/>
        <w:spacing w:after="0" w:line="240" w:lineRule="auto"/>
        <w:ind w:firstLine="0"/>
        <w:rPr>
          <w:rFonts w:ascii="Times New Roman" w:cs="Times New Roman"/>
          <w:color w:val="000000" w:themeColor="text1"/>
          <w:spacing w:val="0"/>
        </w:rPr>
      </w:pPr>
    </w:p>
    <w:p w14:paraId="25CAC2C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марте-июне 1942 года самоле</w:t>
      </w:r>
      <w:r w:rsidRPr="008127F8">
        <w:rPr>
          <w:rFonts w:ascii="Times New Roman" w:hAnsi="Times New Roman"/>
          <w:color w:val="000000" w:themeColor="text1"/>
          <w:sz w:val="16"/>
          <w:szCs w:val="16"/>
        </w:rPr>
        <w:softHyphen/>
        <w:t>ты Су-2 с моторами М-82 были под</w:t>
      </w:r>
      <w:r w:rsidRPr="008127F8">
        <w:rPr>
          <w:rFonts w:ascii="Times New Roman" w:hAnsi="Times New Roman"/>
          <w:color w:val="000000" w:themeColor="text1"/>
          <w:sz w:val="16"/>
          <w:szCs w:val="16"/>
        </w:rPr>
        <w:softHyphen/>
        <w:t>вергнуты испытаниям в боевых усло</w:t>
      </w:r>
      <w:r w:rsidRPr="008127F8">
        <w:rPr>
          <w:rFonts w:ascii="Times New Roman" w:hAnsi="Times New Roman"/>
          <w:color w:val="000000" w:themeColor="text1"/>
          <w:sz w:val="16"/>
          <w:szCs w:val="16"/>
        </w:rPr>
        <w:softHyphen/>
        <w:t>виях. По оценке летного состава: «Самолет Су-2 М-82 по своим лет</w:t>
      </w:r>
      <w:r w:rsidRPr="008127F8">
        <w:rPr>
          <w:rFonts w:ascii="Times New Roman" w:hAnsi="Times New Roman"/>
          <w:color w:val="000000" w:themeColor="text1"/>
          <w:sz w:val="16"/>
          <w:szCs w:val="16"/>
        </w:rPr>
        <w:softHyphen/>
        <w:t>ным качествам значительно превос</w:t>
      </w:r>
      <w:r w:rsidRPr="008127F8">
        <w:rPr>
          <w:rFonts w:ascii="Times New Roman" w:hAnsi="Times New Roman"/>
          <w:color w:val="000000" w:themeColor="text1"/>
          <w:sz w:val="16"/>
          <w:szCs w:val="16"/>
        </w:rPr>
        <w:softHyphen/>
        <w:t>ходит такой же самолет с М-88 как по скорости, маневренности, так и бомбовой нагрузке.</w:t>
      </w:r>
    </w:p>
    <w:p w14:paraId="6E9F0F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Мотор М-82 обеднение смаз</w:t>
      </w:r>
      <w:r w:rsidRPr="008127F8">
        <w:rPr>
          <w:rFonts w:ascii="Times New Roman" w:hAnsi="Times New Roman"/>
          <w:color w:val="000000" w:themeColor="text1"/>
          <w:sz w:val="16"/>
          <w:szCs w:val="16"/>
        </w:rPr>
        <w:softHyphen/>
        <w:t>кой его трущихся деталей выносит достаточно надежно. В случае по</w:t>
      </w:r>
      <w:r w:rsidRPr="008127F8">
        <w:rPr>
          <w:rFonts w:ascii="Times New Roman" w:hAnsi="Times New Roman"/>
          <w:color w:val="000000" w:themeColor="text1"/>
          <w:sz w:val="16"/>
          <w:szCs w:val="16"/>
        </w:rPr>
        <w:softHyphen/>
        <w:t>вреждения маслосистемы, полет в течение 2-3 минут без давления не влечет за собой разрушение мото</w:t>
      </w:r>
      <w:r w:rsidRPr="008127F8">
        <w:rPr>
          <w:rFonts w:ascii="Times New Roman" w:hAnsi="Times New Roman"/>
          <w:color w:val="000000" w:themeColor="text1"/>
          <w:sz w:val="16"/>
          <w:szCs w:val="16"/>
        </w:rPr>
        <w:softHyphen/>
        <w:t>ра...»</w:t>
      </w:r>
    </w:p>
    <w:p w14:paraId="67115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 Су-2 М-88 (М-82) представлял собой двухместный моноплан смешанной конструкции с низко расположенным крылом.</w:t>
      </w:r>
    </w:p>
    <w:p w14:paraId="209731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 - деревянный монокок, выполненный без технологических разъемов, Силовой каркас состоял из 20 шпангоутов, четырех лонже-</w:t>
      </w:r>
      <w:r w:rsidRPr="008127F8">
        <w:rPr>
          <w:rFonts w:ascii="Times New Roman" w:hAnsi="Times New Roman"/>
          <w:color w:val="000000" w:themeColor="text1"/>
          <w:sz w:val="16"/>
          <w:szCs w:val="16"/>
          <w:vertAlign w:val="subscript"/>
        </w:rPr>
        <w:t>4</w:t>
      </w:r>
      <w:r w:rsidRPr="008127F8">
        <w:rPr>
          <w:rFonts w:ascii="Times New Roman" w:hAnsi="Times New Roman"/>
          <w:color w:val="000000" w:themeColor="text1"/>
          <w:sz w:val="16"/>
          <w:szCs w:val="16"/>
        </w:rPr>
        <w:t>ронов, стрингеров и обшивки, вык</w:t>
      </w:r>
      <w:r w:rsidRPr="008127F8">
        <w:rPr>
          <w:rFonts w:ascii="Times New Roman" w:hAnsi="Times New Roman"/>
          <w:color w:val="000000" w:themeColor="text1"/>
          <w:sz w:val="16"/>
          <w:szCs w:val="16"/>
        </w:rPr>
        <w:softHyphen/>
        <w:t>леенной из березового шпона. К переднему шпангоуту крепилась сварная рама ферменной конструк</w:t>
      </w:r>
      <w:r w:rsidRPr="008127F8">
        <w:rPr>
          <w:rFonts w:ascii="Times New Roman" w:hAnsi="Times New Roman"/>
          <w:color w:val="000000" w:themeColor="text1"/>
          <w:sz w:val="16"/>
          <w:szCs w:val="16"/>
        </w:rPr>
        <w:softHyphen/>
        <w:t>ции, на которой размещался порш</w:t>
      </w:r>
      <w:r w:rsidRPr="008127F8">
        <w:rPr>
          <w:rFonts w:ascii="Times New Roman" w:hAnsi="Times New Roman"/>
          <w:color w:val="000000" w:themeColor="text1"/>
          <w:sz w:val="16"/>
          <w:szCs w:val="16"/>
        </w:rPr>
        <w:softHyphen/>
        <w:t>невой двигатель.</w:t>
      </w:r>
    </w:p>
    <w:p w14:paraId="634ECB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средней части фюзеляжа рас</w:t>
      </w:r>
      <w:r w:rsidRPr="008127F8">
        <w:rPr>
          <w:rFonts w:ascii="Times New Roman" w:hAnsi="Times New Roman"/>
          <w:color w:val="000000" w:themeColor="text1"/>
          <w:sz w:val="16"/>
          <w:szCs w:val="16"/>
        </w:rPr>
        <w:softHyphen/>
        <w:t>полагалась кабина экипажа. Каби</w:t>
      </w:r>
      <w:r w:rsidRPr="008127F8">
        <w:rPr>
          <w:rFonts w:ascii="Times New Roman" w:hAnsi="Times New Roman"/>
          <w:color w:val="000000" w:themeColor="text1"/>
          <w:sz w:val="16"/>
          <w:szCs w:val="16"/>
        </w:rPr>
        <w:softHyphen/>
        <w:t>на летчика закрывалась сдвижным прозрачным фонарем, за которым крепился обтекатель турели штурма</w:t>
      </w:r>
      <w:r w:rsidRPr="008127F8">
        <w:rPr>
          <w:rFonts w:ascii="Times New Roman" w:hAnsi="Times New Roman"/>
          <w:color w:val="000000" w:themeColor="text1"/>
          <w:sz w:val="16"/>
          <w:szCs w:val="16"/>
        </w:rPr>
        <w:softHyphen/>
        <w:t>на с откидным козырьком. Под по</w:t>
      </w:r>
      <w:r w:rsidRPr="008127F8">
        <w:rPr>
          <w:rFonts w:ascii="Times New Roman" w:hAnsi="Times New Roman"/>
          <w:color w:val="000000" w:themeColor="text1"/>
          <w:sz w:val="16"/>
          <w:szCs w:val="16"/>
        </w:rPr>
        <w:softHyphen/>
        <w:t>лом кабины летчика размещался бомбовый отсек. Люк в хвостовой части фюзеляжа предназначался для аварийного покидания самолета штурманом, а также для монтажа люковой стрелковой установки.</w:t>
      </w:r>
    </w:p>
    <w:p w14:paraId="60E3D4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Свободнонесущее цельнометал</w:t>
      </w:r>
      <w:r w:rsidRPr="008127F8">
        <w:rPr>
          <w:rFonts w:ascii="Times New Roman" w:hAnsi="Times New Roman"/>
          <w:color w:val="000000" w:themeColor="text1"/>
          <w:sz w:val="16"/>
          <w:szCs w:val="16"/>
        </w:rPr>
        <w:softHyphen/>
        <w:t>лическое крыло состояло из центроп</w:t>
      </w:r>
      <w:r w:rsidRPr="008127F8">
        <w:rPr>
          <w:rFonts w:ascii="Times New Roman" w:hAnsi="Times New Roman"/>
          <w:color w:val="000000" w:themeColor="text1"/>
          <w:sz w:val="16"/>
          <w:szCs w:val="16"/>
        </w:rPr>
        <w:softHyphen/>
        <w:t>лана и двух отъемных консолей.</w:t>
      </w:r>
    </w:p>
    <w:p w14:paraId="1F5F5B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Силовой каркас центроплана включал два лонжерона, шесть не</w:t>
      </w:r>
      <w:r w:rsidRPr="008127F8">
        <w:rPr>
          <w:rFonts w:ascii="Times New Roman" w:hAnsi="Times New Roman"/>
          <w:color w:val="000000" w:themeColor="text1"/>
          <w:sz w:val="16"/>
          <w:szCs w:val="16"/>
        </w:rPr>
        <w:softHyphen/>
        <w:t>рвюр, две продольные стенки, стрин</w:t>
      </w:r>
      <w:r w:rsidRPr="008127F8">
        <w:rPr>
          <w:rFonts w:ascii="Times New Roman" w:hAnsi="Times New Roman"/>
          <w:color w:val="000000" w:themeColor="text1"/>
          <w:sz w:val="16"/>
          <w:szCs w:val="16"/>
        </w:rPr>
        <w:softHyphen/>
        <w:t>геры и обшивку. Каркас каждой кон</w:t>
      </w:r>
      <w:r w:rsidRPr="008127F8">
        <w:rPr>
          <w:rFonts w:ascii="Times New Roman" w:hAnsi="Times New Roman"/>
          <w:color w:val="000000" w:themeColor="text1"/>
          <w:sz w:val="16"/>
          <w:szCs w:val="16"/>
        </w:rPr>
        <w:softHyphen/>
        <w:t>соли фыла состоял из двух лонже</w:t>
      </w:r>
      <w:r w:rsidRPr="008127F8">
        <w:rPr>
          <w:rFonts w:ascii="Times New Roman" w:hAnsi="Times New Roman"/>
          <w:color w:val="000000" w:themeColor="text1"/>
          <w:sz w:val="16"/>
          <w:szCs w:val="16"/>
        </w:rPr>
        <w:softHyphen/>
        <w:t>ронов, семнадцати нервюр, задней стенки, стрингеров, дополнительных балок в пулеметном отсеке и обшив</w:t>
      </w:r>
      <w:r w:rsidRPr="008127F8">
        <w:rPr>
          <w:rFonts w:ascii="Times New Roman" w:hAnsi="Times New Roman"/>
          <w:color w:val="000000" w:themeColor="text1"/>
          <w:sz w:val="16"/>
          <w:szCs w:val="16"/>
        </w:rPr>
        <w:softHyphen/>
        <w:t>ки. Угол установки крыла 1°30'. Угол поперечного V крыла составлял 6е.</w:t>
      </w:r>
    </w:p>
    <w:p w14:paraId="284DE0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Элероны имели дюралевый каркас с полотняной обшивкой. Для ве</w:t>
      </w:r>
      <w:r w:rsidRPr="008127F8">
        <w:rPr>
          <w:rFonts w:ascii="Times New Roman" w:hAnsi="Times New Roman"/>
          <w:color w:val="000000" w:themeColor="text1"/>
          <w:sz w:val="16"/>
          <w:szCs w:val="16"/>
        </w:rPr>
        <w:softHyphen/>
        <w:t>совой компенсации в носке каждого элерона крепилась труба, залитая свинцом. Левый элерон имел трим</w:t>
      </w:r>
      <w:r w:rsidRPr="008127F8">
        <w:rPr>
          <w:rFonts w:ascii="Times New Roman" w:hAnsi="Times New Roman"/>
          <w:color w:val="000000" w:themeColor="text1"/>
          <w:sz w:val="16"/>
          <w:szCs w:val="16"/>
        </w:rPr>
        <w:softHyphen/>
        <w:t>мер. Углы отклонения элеронов ±25°.</w:t>
      </w:r>
    </w:p>
    <w:p w14:paraId="4EB345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Посадочные щитки цельнометал</w:t>
      </w:r>
      <w:r w:rsidRPr="008127F8">
        <w:rPr>
          <w:rFonts w:ascii="Times New Roman" w:hAnsi="Times New Roman"/>
          <w:color w:val="000000" w:themeColor="text1"/>
          <w:sz w:val="16"/>
          <w:szCs w:val="16"/>
        </w:rPr>
        <w:softHyphen/>
        <w:t>лической конструкции имели четыре секции, две - на центроплане и две на отъемных консолях крыла. Убор</w:t>
      </w:r>
      <w:r w:rsidRPr="008127F8">
        <w:rPr>
          <w:rFonts w:ascii="Times New Roman" w:hAnsi="Times New Roman"/>
          <w:color w:val="000000" w:themeColor="text1"/>
          <w:sz w:val="16"/>
          <w:szCs w:val="16"/>
        </w:rPr>
        <w:softHyphen/>
        <w:t>ка и выпуск щитков осуществлялась при помощи гидромеханической си</w:t>
      </w:r>
      <w:r w:rsidRPr="008127F8">
        <w:rPr>
          <w:rFonts w:ascii="Times New Roman" w:hAnsi="Times New Roman"/>
          <w:color w:val="000000" w:themeColor="text1"/>
          <w:sz w:val="16"/>
          <w:szCs w:val="16"/>
        </w:rPr>
        <w:softHyphen/>
        <w:t>стемы. Углы отклонения щитков: - 52°.</w:t>
      </w:r>
    </w:p>
    <w:p w14:paraId="4E8576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Хвостовое оперение включало киль с рулем поворота и стабилиза</w:t>
      </w:r>
      <w:r w:rsidRPr="008127F8">
        <w:rPr>
          <w:rFonts w:ascii="Times New Roman" w:hAnsi="Times New Roman"/>
          <w:color w:val="000000" w:themeColor="text1"/>
          <w:sz w:val="16"/>
          <w:szCs w:val="16"/>
        </w:rPr>
        <w:softHyphen/>
        <w:t>тор с рулем высоты.</w:t>
      </w:r>
    </w:p>
    <w:p w14:paraId="711B7A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Съемный киль цельнодеревянной конструкции состоял из двух лонже</w:t>
      </w:r>
      <w:r w:rsidRPr="008127F8">
        <w:rPr>
          <w:rFonts w:ascii="Times New Roman" w:hAnsi="Times New Roman"/>
          <w:color w:val="000000" w:themeColor="text1"/>
          <w:sz w:val="16"/>
          <w:szCs w:val="16"/>
        </w:rPr>
        <w:softHyphen/>
        <w:t>ронов, стрингеров и нервюр, и фа</w:t>
      </w:r>
      <w:r w:rsidRPr="008127F8">
        <w:rPr>
          <w:rFonts w:ascii="Times New Roman" w:hAnsi="Times New Roman"/>
          <w:color w:val="000000" w:themeColor="text1"/>
          <w:sz w:val="16"/>
          <w:szCs w:val="16"/>
        </w:rPr>
        <w:softHyphen/>
        <w:t>нерной обшивки. На заднем лонже</w:t>
      </w:r>
      <w:r w:rsidRPr="008127F8">
        <w:rPr>
          <w:rFonts w:ascii="Times New Roman" w:hAnsi="Times New Roman"/>
          <w:color w:val="000000" w:themeColor="text1"/>
          <w:sz w:val="16"/>
          <w:szCs w:val="16"/>
        </w:rPr>
        <w:softHyphen/>
        <w:t>роне киля на двух узлах подвеши</w:t>
      </w:r>
      <w:r w:rsidRPr="008127F8">
        <w:rPr>
          <w:rFonts w:ascii="Times New Roman" w:hAnsi="Times New Roman"/>
          <w:color w:val="000000" w:themeColor="text1"/>
          <w:sz w:val="16"/>
          <w:szCs w:val="16"/>
        </w:rPr>
        <w:softHyphen/>
        <w:t>вался руль поворота, состоящий из профиля швеллерного сечения к ко</w:t>
      </w:r>
      <w:r w:rsidRPr="008127F8">
        <w:rPr>
          <w:rFonts w:ascii="Times New Roman" w:hAnsi="Times New Roman"/>
          <w:color w:val="000000" w:themeColor="text1"/>
          <w:sz w:val="16"/>
          <w:szCs w:val="16"/>
        </w:rPr>
        <w:softHyphen/>
        <w:t>торому приклепывалась обшивка, усиленная несколькими нервюрами. Углы отклонения руля поворота ±25е</w:t>
      </w:r>
    </w:p>
    <w:p w14:paraId="463EEA7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Свободнонесущий цельнометал</w:t>
      </w:r>
      <w:r w:rsidRPr="008127F8">
        <w:rPr>
          <w:rFonts w:ascii="Times New Roman" w:hAnsi="Times New Roman"/>
          <w:color w:val="000000" w:themeColor="text1"/>
          <w:sz w:val="16"/>
          <w:szCs w:val="16"/>
        </w:rPr>
        <w:softHyphen/>
        <w:t>лический стабилизатор состоял из четырех стенок швеллерного сечения, прессованных профилей и уголков, разрезных нервюр и обшивки. К зад</w:t>
      </w:r>
      <w:r w:rsidRPr="008127F8">
        <w:rPr>
          <w:rFonts w:ascii="Times New Roman" w:hAnsi="Times New Roman"/>
          <w:color w:val="000000" w:themeColor="text1"/>
          <w:sz w:val="16"/>
          <w:szCs w:val="16"/>
        </w:rPr>
        <w:softHyphen/>
        <w:t>ней части стабилизатора на шести узлах подвешивались две половины руля высоты. Обе половины соеди</w:t>
      </w:r>
      <w:r w:rsidRPr="008127F8">
        <w:rPr>
          <w:rFonts w:ascii="Times New Roman" w:hAnsi="Times New Roman"/>
          <w:color w:val="000000" w:themeColor="text1"/>
          <w:sz w:val="16"/>
          <w:szCs w:val="16"/>
        </w:rPr>
        <w:softHyphen/>
        <w:t>нялись трубой, проходившей через хвостовой обтекатель фюзеляжа. Каркас руля высоты состоял из тру</w:t>
      </w:r>
      <w:r w:rsidRPr="008127F8">
        <w:rPr>
          <w:rFonts w:ascii="Times New Roman" w:hAnsi="Times New Roman"/>
          <w:color w:val="000000" w:themeColor="text1"/>
          <w:sz w:val="16"/>
          <w:szCs w:val="16"/>
        </w:rPr>
        <w:softHyphen/>
        <w:t>бы-лонжерона с нанизанными на</w:t>
      </w:r>
    </w:p>
    <w:p w14:paraId="76B67F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него нервюрами. Носовая часть руля обшивалась дюралем, а остальная поверхность обтягивалась полотном. Углы отклонения руля высоты: ±25°.</w:t>
      </w:r>
    </w:p>
    <w:p w14:paraId="5248EC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Руль поворота и руль высоты име</w:t>
      </w:r>
      <w:r w:rsidRPr="008127F8">
        <w:rPr>
          <w:rFonts w:ascii="Times New Roman" w:hAnsi="Times New Roman"/>
          <w:color w:val="000000" w:themeColor="text1"/>
          <w:sz w:val="16"/>
          <w:szCs w:val="16"/>
        </w:rPr>
        <w:softHyphen/>
        <w:t>ли триммеры.</w:t>
      </w:r>
    </w:p>
    <w:p w14:paraId="52B0D8D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Шасси - трехопорное с хвосто</w:t>
      </w:r>
      <w:r w:rsidRPr="008127F8">
        <w:rPr>
          <w:rFonts w:ascii="Times New Roman" w:hAnsi="Times New Roman"/>
          <w:color w:val="000000" w:themeColor="text1"/>
          <w:sz w:val="16"/>
          <w:szCs w:val="16"/>
        </w:rPr>
        <w:softHyphen/>
        <w:t>вым колесом. Основные опоры с тор</w:t>
      </w:r>
      <w:r w:rsidRPr="008127F8">
        <w:rPr>
          <w:rFonts w:ascii="Times New Roman" w:hAnsi="Times New Roman"/>
          <w:color w:val="000000" w:themeColor="text1"/>
          <w:sz w:val="16"/>
          <w:szCs w:val="16"/>
        </w:rPr>
        <w:softHyphen/>
        <w:t>мозными колесами 750x250 убира</w:t>
      </w:r>
      <w:r w:rsidRPr="008127F8">
        <w:rPr>
          <w:rFonts w:ascii="Times New Roman" w:hAnsi="Times New Roman"/>
          <w:color w:val="000000" w:themeColor="text1"/>
          <w:sz w:val="16"/>
          <w:szCs w:val="16"/>
        </w:rPr>
        <w:softHyphen/>
        <w:t>лись в центроплан и закрывались створками. Хвостовое колесо 300x125 частично убиралось в фюзеляж.</w:t>
      </w:r>
    </w:p>
    <w:p w14:paraId="657AEF8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Гидравлическая система, предназ</w:t>
      </w:r>
      <w:r w:rsidRPr="008127F8">
        <w:rPr>
          <w:rFonts w:ascii="Times New Roman" w:hAnsi="Times New Roman"/>
          <w:color w:val="000000" w:themeColor="text1"/>
          <w:sz w:val="16"/>
          <w:szCs w:val="16"/>
        </w:rPr>
        <w:softHyphen/>
        <w:t>наченная для уборки и выпуска ос</w:t>
      </w:r>
      <w:r w:rsidRPr="008127F8">
        <w:rPr>
          <w:rFonts w:ascii="Times New Roman" w:hAnsi="Times New Roman"/>
          <w:color w:val="000000" w:themeColor="text1"/>
          <w:sz w:val="16"/>
          <w:szCs w:val="16"/>
        </w:rPr>
        <w:softHyphen/>
        <w:t>новных опор шасси и щитков (зак</w:t>
      </w:r>
      <w:r w:rsidRPr="008127F8">
        <w:rPr>
          <w:rFonts w:ascii="Times New Roman" w:hAnsi="Times New Roman"/>
          <w:color w:val="000000" w:themeColor="text1"/>
          <w:sz w:val="16"/>
          <w:szCs w:val="16"/>
        </w:rPr>
        <w:softHyphen/>
        <w:t>рылков), включала в себя: два сило</w:t>
      </w:r>
      <w:r w:rsidRPr="008127F8">
        <w:rPr>
          <w:rFonts w:ascii="Times New Roman" w:hAnsi="Times New Roman"/>
          <w:color w:val="000000" w:themeColor="text1"/>
          <w:sz w:val="16"/>
          <w:szCs w:val="16"/>
        </w:rPr>
        <w:softHyphen/>
        <w:t xml:space="preserve">вых цилиндра шасси; силовой </w:t>
      </w:r>
      <w:r w:rsidRPr="008127F8">
        <w:rPr>
          <w:rFonts w:ascii="Times New Roman" w:hAnsi="Times New Roman"/>
          <w:color w:val="000000" w:themeColor="text1"/>
          <w:sz w:val="16"/>
          <w:szCs w:val="16"/>
        </w:rPr>
        <w:lastRenderedPageBreak/>
        <w:t>ци</w:t>
      </w:r>
      <w:r w:rsidRPr="008127F8">
        <w:rPr>
          <w:rFonts w:ascii="Times New Roman" w:hAnsi="Times New Roman"/>
          <w:color w:val="000000" w:themeColor="text1"/>
          <w:sz w:val="16"/>
          <w:szCs w:val="16"/>
        </w:rPr>
        <w:softHyphen/>
        <w:t>линдр щитков; краны шасси и щит</w:t>
      </w:r>
      <w:r w:rsidRPr="008127F8">
        <w:rPr>
          <w:rFonts w:ascii="Times New Roman" w:hAnsi="Times New Roman"/>
          <w:color w:val="000000" w:themeColor="text1"/>
          <w:sz w:val="16"/>
          <w:szCs w:val="16"/>
        </w:rPr>
        <w:softHyphen/>
        <w:t>ков; редукционный клапан (25-28кг/ см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гидронасос с электроприводом; гидробак и манометры. Гидросмесь - 50% спирта и 50% глицерина. Ава</w:t>
      </w:r>
      <w:r w:rsidRPr="008127F8">
        <w:rPr>
          <w:rFonts w:ascii="Times New Roman" w:hAnsi="Times New Roman"/>
          <w:color w:val="000000" w:themeColor="text1"/>
          <w:sz w:val="16"/>
          <w:szCs w:val="16"/>
        </w:rPr>
        <w:softHyphen/>
        <w:t>рийный выпуск основных опор выпол</w:t>
      </w:r>
      <w:r w:rsidRPr="008127F8">
        <w:rPr>
          <w:rFonts w:ascii="Times New Roman" w:hAnsi="Times New Roman"/>
          <w:color w:val="000000" w:themeColor="text1"/>
          <w:sz w:val="16"/>
          <w:szCs w:val="16"/>
        </w:rPr>
        <w:softHyphen/>
        <w:t>нял штурман при помощи лебедки с тросовой передачей. Уборка и вы</w:t>
      </w:r>
      <w:r w:rsidRPr="008127F8">
        <w:rPr>
          <w:rFonts w:ascii="Times New Roman" w:hAnsi="Times New Roman"/>
          <w:color w:val="000000" w:themeColor="text1"/>
          <w:sz w:val="16"/>
          <w:szCs w:val="16"/>
        </w:rPr>
        <w:softHyphen/>
        <w:t>пуск хвостовой опоры - с помощью тросовой передачи, связанной с пра</w:t>
      </w:r>
      <w:r w:rsidRPr="008127F8">
        <w:rPr>
          <w:rFonts w:ascii="Times New Roman" w:hAnsi="Times New Roman"/>
          <w:color w:val="000000" w:themeColor="text1"/>
          <w:sz w:val="16"/>
          <w:szCs w:val="16"/>
        </w:rPr>
        <w:softHyphen/>
        <w:t>вой основной опорой шасси.</w:t>
      </w:r>
    </w:p>
    <w:p w14:paraId="3843852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Торможение основных колес обеспечивала пневмосистема само</w:t>
      </w:r>
      <w:r w:rsidRPr="008127F8">
        <w:rPr>
          <w:rFonts w:ascii="Times New Roman" w:hAnsi="Times New Roman"/>
          <w:color w:val="000000" w:themeColor="text1"/>
          <w:sz w:val="16"/>
          <w:szCs w:val="16"/>
        </w:rPr>
        <w:softHyphen/>
        <w:t>пуска, состоящая из: воздушного баллона самопуска; ручного комп</w:t>
      </w:r>
      <w:r w:rsidRPr="008127F8">
        <w:rPr>
          <w:rFonts w:ascii="Times New Roman" w:hAnsi="Times New Roman"/>
          <w:color w:val="000000" w:themeColor="text1"/>
          <w:sz w:val="16"/>
          <w:szCs w:val="16"/>
        </w:rPr>
        <w:softHyphen/>
        <w:t>рессора самопуска; запорного кра</w:t>
      </w:r>
      <w:r w:rsidRPr="008127F8">
        <w:rPr>
          <w:rFonts w:ascii="Times New Roman" w:hAnsi="Times New Roman"/>
          <w:color w:val="000000" w:themeColor="text1"/>
          <w:sz w:val="16"/>
          <w:szCs w:val="16"/>
        </w:rPr>
        <w:softHyphen/>
        <w:t>на; двух редукционных клапанов ПУ-ЗК (на педалях пилота); тормоз</w:t>
      </w:r>
      <w:r w:rsidRPr="008127F8">
        <w:rPr>
          <w:rFonts w:ascii="Times New Roman" w:hAnsi="Times New Roman"/>
          <w:color w:val="000000" w:themeColor="text1"/>
          <w:sz w:val="16"/>
          <w:szCs w:val="16"/>
        </w:rPr>
        <w:softHyphen/>
        <w:t>ных механизмов колес и манометров.</w:t>
      </w:r>
    </w:p>
    <w:p w14:paraId="115705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самолетом двойное, смешанное. Руль высоты и элероны имели жесткую проводку, а руль по</w:t>
      </w:r>
      <w:r w:rsidRPr="008127F8">
        <w:rPr>
          <w:rFonts w:ascii="Times New Roman" w:hAnsi="Times New Roman"/>
          <w:color w:val="000000" w:themeColor="text1"/>
          <w:sz w:val="16"/>
          <w:szCs w:val="16"/>
        </w:rPr>
        <w:softHyphen/>
        <w:t>ворота, хвостовое колесо и тримме</w:t>
      </w:r>
      <w:r w:rsidRPr="008127F8">
        <w:rPr>
          <w:rFonts w:ascii="Times New Roman" w:hAnsi="Times New Roman"/>
          <w:color w:val="000000" w:themeColor="text1"/>
          <w:sz w:val="16"/>
          <w:szCs w:val="16"/>
        </w:rPr>
        <w:softHyphen/>
        <w:t>ры - тросовую.</w:t>
      </w:r>
    </w:p>
    <w:p w14:paraId="52704B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Силовая установка состояла из двухрядного звездообразного 14-ци-линдрового поршневого двигателя воздушного охлаждения М-88, мак</w:t>
      </w:r>
      <w:r w:rsidRPr="008127F8">
        <w:rPr>
          <w:rFonts w:ascii="Times New Roman" w:hAnsi="Times New Roman"/>
          <w:color w:val="000000" w:themeColor="text1"/>
          <w:sz w:val="16"/>
          <w:szCs w:val="16"/>
        </w:rPr>
        <w:softHyphen/>
        <w:t>симальной мощности 1100 л.с. и трехлопастного воздушного винта ВИШ-23. Регулировка температуры головок цилиндров осуществлялась створками «юбки» капота двигателя. Маслорадиатор помещался под пе</w:t>
      </w:r>
      <w:r w:rsidRPr="008127F8">
        <w:rPr>
          <w:rFonts w:ascii="Times New Roman" w:hAnsi="Times New Roman"/>
          <w:color w:val="000000" w:themeColor="text1"/>
          <w:sz w:val="16"/>
          <w:szCs w:val="16"/>
        </w:rPr>
        <w:softHyphen/>
        <w:t>редней частью фюзеляжа в специаль</w:t>
      </w:r>
      <w:r w:rsidRPr="008127F8">
        <w:rPr>
          <w:rFonts w:ascii="Times New Roman" w:hAnsi="Times New Roman"/>
          <w:color w:val="000000" w:themeColor="text1"/>
          <w:sz w:val="16"/>
          <w:szCs w:val="16"/>
        </w:rPr>
        <w:softHyphen/>
        <w:t>ном тоннеле с регулируемой заслон</w:t>
      </w:r>
      <w:r w:rsidRPr="008127F8">
        <w:rPr>
          <w:rFonts w:ascii="Times New Roman" w:hAnsi="Times New Roman"/>
          <w:color w:val="000000" w:themeColor="text1"/>
          <w:sz w:val="16"/>
          <w:szCs w:val="16"/>
        </w:rPr>
        <w:softHyphen/>
        <w:t>кой. Емкость маслобака 55,5л (50кг).</w:t>
      </w:r>
    </w:p>
    <w:p w14:paraId="390A67C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размещалось в трех ба</w:t>
      </w:r>
      <w:r w:rsidRPr="008127F8">
        <w:rPr>
          <w:rFonts w:ascii="Times New Roman" w:hAnsi="Times New Roman"/>
          <w:color w:val="000000" w:themeColor="text1"/>
          <w:sz w:val="16"/>
          <w:szCs w:val="16"/>
        </w:rPr>
        <w:softHyphen/>
        <w:t>ках. Емкость фюзеляжного - 405 л (300кг), крыльевых - по 175,5л (130кг).</w:t>
      </w:r>
    </w:p>
    <w:p w14:paraId="5F3BBB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 включа</w:t>
      </w:r>
      <w:r w:rsidRPr="008127F8">
        <w:rPr>
          <w:rFonts w:ascii="Times New Roman" w:hAnsi="Times New Roman"/>
          <w:color w:val="000000" w:themeColor="text1"/>
          <w:sz w:val="16"/>
          <w:szCs w:val="16"/>
        </w:rPr>
        <w:softHyphen/>
        <w:t>ло три пулемета ШКАС калибра 7,62 мм, два из них неподвижно кре</w:t>
      </w:r>
      <w:r w:rsidRPr="008127F8">
        <w:rPr>
          <w:rFonts w:ascii="Times New Roman" w:hAnsi="Times New Roman"/>
          <w:color w:val="000000" w:themeColor="text1"/>
          <w:sz w:val="16"/>
          <w:szCs w:val="16"/>
        </w:rPr>
        <w:softHyphen/>
        <w:t>пились в отъемных консолях крыла вне зоны вращения винта. Боезапас по 900 патронов на пулемет. Для за</w:t>
      </w:r>
      <w:r w:rsidRPr="008127F8">
        <w:rPr>
          <w:rFonts w:ascii="Times New Roman" w:hAnsi="Times New Roman"/>
          <w:color w:val="000000" w:themeColor="text1"/>
          <w:sz w:val="16"/>
          <w:szCs w:val="16"/>
        </w:rPr>
        <w:softHyphen/>
        <w:t>щиты задней полусферы у штурмана на вращающейся экранированной турели МВ-5 устанавливался пулемет ШКАС с боезапасом 1500 патронов. Бомбы калибром 8-100 кг подвеши</w:t>
      </w:r>
      <w:r w:rsidRPr="008127F8">
        <w:rPr>
          <w:rFonts w:ascii="Times New Roman" w:hAnsi="Times New Roman"/>
          <w:color w:val="000000" w:themeColor="text1"/>
          <w:sz w:val="16"/>
          <w:szCs w:val="16"/>
        </w:rPr>
        <w:softHyphen/>
        <w:t>вались на кассетных держателях в фюзеляжном бомбовом отсеке. Нор</w:t>
      </w:r>
      <w:r w:rsidRPr="008127F8">
        <w:rPr>
          <w:rFonts w:ascii="Times New Roman" w:hAnsi="Times New Roman"/>
          <w:color w:val="000000" w:themeColor="text1"/>
          <w:sz w:val="16"/>
          <w:szCs w:val="16"/>
        </w:rPr>
        <w:softHyphen/>
        <w:t>мальная бомбовая нагрузка состав</w:t>
      </w:r>
      <w:r w:rsidRPr="008127F8">
        <w:rPr>
          <w:rFonts w:ascii="Times New Roman" w:hAnsi="Times New Roman"/>
          <w:color w:val="000000" w:themeColor="text1"/>
          <w:sz w:val="16"/>
          <w:szCs w:val="16"/>
        </w:rPr>
        <w:softHyphen/>
        <w:t>ляла 400 кг, а максимальная - 600 кг. Внутренняя подвеска не превышала 400 кг. На наружных бомбодержа</w:t>
      </w:r>
      <w:r w:rsidRPr="008127F8">
        <w:rPr>
          <w:rFonts w:ascii="Times New Roman" w:hAnsi="Times New Roman"/>
          <w:color w:val="000000" w:themeColor="text1"/>
          <w:sz w:val="16"/>
          <w:szCs w:val="16"/>
        </w:rPr>
        <w:softHyphen/>
        <w:t>телях можно было подвешивать бом</w:t>
      </w:r>
      <w:r w:rsidRPr="008127F8">
        <w:rPr>
          <w:rFonts w:ascii="Times New Roman" w:hAnsi="Times New Roman"/>
          <w:color w:val="000000" w:themeColor="text1"/>
          <w:sz w:val="16"/>
          <w:szCs w:val="16"/>
        </w:rPr>
        <w:softHyphen/>
        <w:t>бы 100 и 250 кг.</w:t>
      </w:r>
    </w:p>
    <w:p w14:paraId="11A3228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 источником электро</w:t>
      </w:r>
      <w:r w:rsidRPr="008127F8">
        <w:rPr>
          <w:rFonts w:ascii="Times New Roman" w:hAnsi="Times New Roman"/>
          <w:color w:val="000000" w:themeColor="text1"/>
          <w:sz w:val="16"/>
          <w:szCs w:val="16"/>
        </w:rPr>
        <w:softHyphen/>
        <w:t>энергии постоянного тока служил генератор ГС-1000, а аварийным -аккумулятор 12АЗО.</w:t>
      </w:r>
    </w:p>
    <w:p w14:paraId="3A7101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Радиооборудование — радиостан</w:t>
      </w:r>
      <w:r w:rsidRPr="008127F8">
        <w:rPr>
          <w:rFonts w:ascii="Times New Roman" w:hAnsi="Times New Roman"/>
          <w:color w:val="000000" w:themeColor="text1"/>
          <w:sz w:val="16"/>
          <w:szCs w:val="16"/>
        </w:rPr>
        <w:softHyphen/>
        <w:t>ция РСБ-1 и самолетное переговор</w:t>
      </w:r>
      <w:r w:rsidRPr="008127F8">
        <w:rPr>
          <w:rFonts w:ascii="Times New Roman" w:hAnsi="Times New Roman"/>
          <w:color w:val="000000" w:themeColor="text1"/>
          <w:sz w:val="16"/>
          <w:szCs w:val="16"/>
        </w:rPr>
        <w:softHyphen/>
        <w:t>ное устройство (СПУ-2).</w:t>
      </w:r>
    </w:p>
    <w:p w14:paraId="1C5CA8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Приборное и аэронавигационное оборудование - стандартный комп</w:t>
      </w:r>
      <w:r w:rsidRPr="008127F8">
        <w:rPr>
          <w:rFonts w:ascii="Times New Roman" w:hAnsi="Times New Roman"/>
          <w:color w:val="000000" w:themeColor="text1"/>
          <w:sz w:val="16"/>
          <w:szCs w:val="16"/>
        </w:rPr>
        <w:softHyphen/>
        <w:t>лект, обеспечивающий полеты в про</w:t>
      </w:r>
      <w:r w:rsidRPr="008127F8">
        <w:rPr>
          <w:rFonts w:ascii="Times New Roman" w:hAnsi="Times New Roman"/>
          <w:color w:val="000000" w:themeColor="text1"/>
          <w:sz w:val="16"/>
          <w:szCs w:val="16"/>
        </w:rPr>
        <w:softHyphen/>
        <w:t>стых и сложных метеоусловиях.</w:t>
      </w:r>
    </w:p>
    <w:p w14:paraId="29B130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Фотооборудование - фотоаппа</w:t>
      </w:r>
      <w:r w:rsidRPr="008127F8">
        <w:rPr>
          <w:rFonts w:ascii="Times New Roman" w:hAnsi="Times New Roman"/>
          <w:color w:val="000000" w:themeColor="text1"/>
          <w:sz w:val="16"/>
          <w:szCs w:val="16"/>
        </w:rPr>
        <w:softHyphen/>
        <w:t>рат АФ А-13.</w:t>
      </w:r>
    </w:p>
    <w:p w14:paraId="0D8C03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Полеты на большой высоте обес</w:t>
      </w:r>
      <w:r w:rsidRPr="008127F8">
        <w:rPr>
          <w:rFonts w:ascii="Times New Roman" w:hAnsi="Times New Roman"/>
          <w:color w:val="000000" w:themeColor="text1"/>
          <w:sz w:val="16"/>
          <w:szCs w:val="16"/>
        </w:rPr>
        <w:softHyphen/>
        <w:t>печивал комплект кислородного обо</w:t>
      </w:r>
      <w:r w:rsidRPr="008127F8">
        <w:rPr>
          <w:rFonts w:ascii="Times New Roman" w:hAnsi="Times New Roman"/>
          <w:color w:val="000000" w:themeColor="text1"/>
          <w:sz w:val="16"/>
          <w:szCs w:val="16"/>
        </w:rPr>
        <w:softHyphen/>
        <w:t>рудования.</w:t>
      </w:r>
    </w:p>
    <w:p w14:paraId="4F6CAE7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отличия самолета Су-2 М-82 от самолета Су-2 М-88:</w:t>
      </w:r>
    </w:p>
    <w:p w14:paraId="176CD4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установлен двигатель М-82 (1700л.с);</w:t>
      </w:r>
    </w:p>
    <w:p w14:paraId="452EAB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установлен винт ВИШ-21;</w:t>
      </w:r>
    </w:p>
    <w:p w14:paraId="2A64F5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установлена броня штурмана;</w:t>
      </w:r>
    </w:p>
    <w:p w14:paraId="7E2094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установлены пулеметы: 4 крыль</w:t>
      </w:r>
      <w:r w:rsidRPr="008127F8">
        <w:rPr>
          <w:rFonts w:ascii="Times New Roman" w:hAnsi="Times New Roman"/>
          <w:color w:val="000000" w:themeColor="text1"/>
          <w:sz w:val="16"/>
          <w:szCs w:val="16"/>
        </w:rPr>
        <w:softHyphen/>
        <w:t>евых ШКАС, 1 турельный ШКАС и один люковый ШКАС;</w:t>
      </w:r>
    </w:p>
    <w:p w14:paraId="42E62CD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-сняты: РСБ, РПК-2 и АФА-13.</w:t>
      </w:r>
    </w:p>
    <w:p w14:paraId="1352BFB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 серийного са</w:t>
      </w:r>
      <w:r w:rsidRPr="008127F8">
        <w:rPr>
          <w:rFonts w:ascii="Times New Roman" w:hAnsi="Times New Roman"/>
          <w:color w:val="000000" w:themeColor="text1"/>
          <w:sz w:val="16"/>
          <w:szCs w:val="16"/>
        </w:rPr>
        <w:softHyphen/>
        <w:t>молета Су-2 М-88Б (М-82):</w:t>
      </w:r>
    </w:p>
    <w:p w14:paraId="6891D5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самолета, мм ................ 10250</w:t>
      </w:r>
    </w:p>
    <w:p w14:paraId="3DBC540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мм..................... 14300</w:t>
      </w:r>
    </w:p>
    <w:p w14:paraId="7CF07D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 29,0</w:t>
      </w:r>
    </w:p>
    <w:p w14:paraId="3110C20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Масса самолета, кг:</w:t>
      </w:r>
    </w:p>
    <w:p w14:paraId="6AF0BBC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пустого.......................... 2995 (3213)</w:t>
      </w:r>
    </w:p>
    <w:p w14:paraId="306143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полетная нормальная. 4345 (4700)</w:t>
      </w:r>
    </w:p>
    <w:p w14:paraId="1E67369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км/ч:</w:t>
      </w:r>
    </w:p>
    <w:p w14:paraId="78A5A4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 земли ............................ 378 (430)</w:t>
      </w:r>
    </w:p>
    <w:p w14:paraId="05A99E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на высоте, м ................. 455/4400</w:t>
      </w:r>
    </w:p>
    <w:p w14:paraId="5738A2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(474/3200)</w:t>
      </w:r>
    </w:p>
    <w:p w14:paraId="32AE5CD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5000м, мин ........................... 12,6 (9,8)</w:t>
      </w:r>
    </w:p>
    <w:p w14:paraId="662D595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 м........................8900 (8400)</w:t>
      </w:r>
    </w:p>
    <w:p w14:paraId="74C903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полета, км ........820 (790)</w:t>
      </w:r>
    </w:p>
    <w:p w14:paraId="5EA839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м ...............610 (450)</w:t>
      </w:r>
    </w:p>
    <w:p w14:paraId="76BC131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в скобках относятся к самолету Су-2 М-82)</w:t>
      </w:r>
    </w:p>
    <w:p w14:paraId="2835A7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серийных модификаций самолета Су-2 в ОКБ П.О.Сухого проектировались и строились моди</w:t>
      </w:r>
      <w:r w:rsidRPr="008127F8">
        <w:rPr>
          <w:rFonts w:ascii="Times New Roman" w:hAnsi="Times New Roman"/>
          <w:color w:val="000000" w:themeColor="text1"/>
          <w:sz w:val="16"/>
          <w:szCs w:val="16"/>
        </w:rPr>
        <w:softHyphen/>
        <w:t>фикации этой машины, по тем или иным причинам не доведенные до серийного производства (11849).</w:t>
      </w:r>
    </w:p>
    <w:p w14:paraId="2D69ED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DC0955" w14:textId="77777777" w:rsidR="00F032B1" w:rsidRPr="008127F8" w:rsidRDefault="00F032B1" w:rsidP="001E0A84">
      <w:pPr>
        <w:pStyle w:val="212"/>
        <w:shd w:val="clear" w:color="auto" w:fill="auto"/>
        <w:spacing w:line="240" w:lineRule="auto"/>
        <w:jc w:val="both"/>
        <w:rPr>
          <w:rFonts w:ascii="Times New Roman" w:hAnsi="Times New Roman" w:cs="Times New Roman"/>
          <w:i w:val="0"/>
          <w:color w:val="000000" w:themeColor="text1"/>
          <w:sz w:val="16"/>
          <w:szCs w:val="16"/>
        </w:rPr>
      </w:pPr>
      <w:r w:rsidRPr="008127F8">
        <w:rPr>
          <w:rStyle w:val="2400"/>
          <w:rFonts w:ascii="Times New Roman" w:eastAsia="Arial Unicode MS" w:hAnsi="Times New Roman" w:cs="Times New Roman"/>
          <w:i w:val="0"/>
          <w:iCs w:val="0"/>
          <w:color w:val="000000" w:themeColor="text1"/>
        </w:rPr>
        <w:t>В марте-июне 1942 года самолёты Су-2 с моторами М-82 были подвергнуты испытаниям в боевых условиях. По оценке лётного состава:</w:t>
      </w:r>
      <w:r w:rsidRPr="008127F8">
        <w:rPr>
          <w:rFonts w:ascii="Times New Roman" w:hAnsi="Times New Roman" w:cs="Times New Roman"/>
          <w:i w:val="0"/>
          <w:color w:val="000000" w:themeColor="text1"/>
          <w:sz w:val="16"/>
          <w:szCs w:val="16"/>
        </w:rPr>
        <w:t xml:space="preserve"> «Самолёт Су-2 М-82 по</w:t>
      </w:r>
      <w:r w:rsidRPr="008127F8">
        <w:rPr>
          <w:rStyle w:val="2400"/>
          <w:rFonts w:ascii="Times New Roman" w:eastAsia="Arial Unicode MS" w:hAnsi="Times New Roman" w:cs="Times New Roman"/>
          <w:i w:val="0"/>
          <w:iCs w:val="0"/>
          <w:color w:val="000000" w:themeColor="text1"/>
        </w:rPr>
        <w:t xml:space="preserve"> своим</w:t>
      </w:r>
      <w:r w:rsidRPr="008127F8">
        <w:rPr>
          <w:rFonts w:ascii="Times New Roman" w:hAnsi="Times New Roman" w:cs="Times New Roman"/>
          <w:i w:val="0"/>
          <w:color w:val="000000" w:themeColor="text1"/>
          <w:sz w:val="16"/>
          <w:szCs w:val="16"/>
        </w:rPr>
        <w:t xml:space="preserve"> лётным качествам значительно превосходит такой</w:t>
      </w:r>
      <w:r w:rsidRPr="008127F8">
        <w:rPr>
          <w:rStyle w:val="2400"/>
          <w:rFonts w:ascii="Times New Roman" w:eastAsia="Arial Unicode MS" w:hAnsi="Times New Roman" w:cs="Times New Roman"/>
          <w:i w:val="0"/>
          <w:iCs w:val="0"/>
          <w:color w:val="000000" w:themeColor="text1"/>
        </w:rPr>
        <w:t xml:space="preserve"> же</w:t>
      </w:r>
      <w:r w:rsidRPr="008127F8">
        <w:rPr>
          <w:rFonts w:ascii="Times New Roman" w:hAnsi="Times New Roman" w:cs="Times New Roman"/>
          <w:i w:val="0"/>
          <w:color w:val="000000" w:themeColor="text1"/>
          <w:sz w:val="16"/>
          <w:szCs w:val="16"/>
        </w:rPr>
        <w:t xml:space="preserve"> самолёт с М-88 как по скорости, маневренности, так и бомбовой нагрузке.</w:t>
      </w:r>
    </w:p>
    <w:p w14:paraId="3B5ED679" w14:textId="77777777" w:rsidR="00F032B1" w:rsidRPr="008127F8" w:rsidRDefault="00F032B1" w:rsidP="001E0A84">
      <w:pPr>
        <w:pStyle w:val="212"/>
        <w:shd w:val="clear" w:color="auto" w:fill="auto"/>
        <w:spacing w:line="240" w:lineRule="auto"/>
        <w:jc w:val="both"/>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 Мотор М-82 обеднение смазкой его трущихся деталей выносит достаточно надежно. В случае повреждения маслосистемы, полёт в течение 2-3 минут без давления не влечёт за собой разрушение мотора.» (15975).</w:t>
      </w:r>
    </w:p>
    <w:p w14:paraId="4056BC92" w14:textId="77777777" w:rsidR="00F032B1" w:rsidRPr="008127F8" w:rsidRDefault="00F032B1" w:rsidP="001E0A84">
      <w:pPr>
        <w:pStyle w:val="a4"/>
        <w:rPr>
          <w:color w:val="000000" w:themeColor="text1"/>
          <w:lang w:val="ru-RU"/>
        </w:rPr>
      </w:pPr>
      <w:r w:rsidRPr="008127F8">
        <w:rPr>
          <w:color w:val="000000" w:themeColor="text1"/>
          <w:lang w:val="ru-RU"/>
        </w:rPr>
        <w:t>Основные отличия самолёта Су-2 М-82 от самолёта Су-2 М-88: установлен двигатель М-82 мощностью 1700 л.е.; установлен винт ВИШ-21; установлена броня штурмана;</w:t>
      </w:r>
    </w:p>
    <w:p w14:paraId="5A8CF3FF" w14:textId="77777777" w:rsidR="00F032B1" w:rsidRPr="008127F8" w:rsidRDefault="00F032B1" w:rsidP="001E0A84">
      <w:pPr>
        <w:pStyle w:val="a4"/>
        <w:tabs>
          <w:tab w:val="left" w:pos="5781"/>
        </w:tabs>
        <w:rPr>
          <w:color w:val="000000" w:themeColor="text1"/>
          <w:lang w:val="ru-RU"/>
        </w:rPr>
      </w:pPr>
      <w:r w:rsidRPr="008127F8">
        <w:rPr>
          <w:color w:val="000000" w:themeColor="text1"/>
          <w:lang w:val="ru-RU"/>
        </w:rPr>
        <w:t>установлены пулемёты: 4 крыльевых ШКАС, 1 турельный ШКАС и один люковый ШКАС; сняты: радиостанция РСБ, радиополукомпас РПК-2 и аэрофотоаппарат АФА-1 3;</w:t>
      </w:r>
    </w:p>
    <w:p w14:paraId="6C7957FF" w14:textId="77777777" w:rsidR="00F032B1" w:rsidRPr="008127F8" w:rsidRDefault="00F032B1" w:rsidP="001E0A84">
      <w:pPr>
        <w:pStyle w:val="a4"/>
        <w:tabs>
          <w:tab w:val="left" w:pos="5781"/>
        </w:tabs>
        <w:rPr>
          <w:color w:val="000000" w:themeColor="text1"/>
          <w:lang w:val="ru-RU"/>
        </w:rPr>
      </w:pPr>
      <w:r w:rsidRPr="008127F8">
        <w:rPr>
          <w:color w:val="000000" w:themeColor="text1"/>
          <w:lang w:val="ru-RU"/>
        </w:rPr>
        <w:t>Основные данные серийного самолёта Су-2 М-88Б (в скобках - Су-2 с мотором М-82)</w:t>
      </w:r>
    </w:p>
    <w:p w14:paraId="0631D417" w14:textId="77777777" w:rsidR="00F032B1" w:rsidRPr="008127F8" w:rsidRDefault="00F032B1" w:rsidP="001E0A84">
      <w:pPr>
        <w:pStyle w:val="a4"/>
        <w:tabs>
          <w:tab w:val="left" w:pos="5781"/>
        </w:tabs>
        <w:rPr>
          <w:color w:val="000000" w:themeColor="text1"/>
          <w:lang w:val="ru-RU"/>
        </w:rPr>
      </w:pPr>
      <w:r w:rsidRPr="008127F8">
        <w:rPr>
          <w:color w:val="000000" w:themeColor="text1"/>
          <w:lang w:val="ru-RU"/>
        </w:rPr>
        <w:t>Длина самолёта, мм</w:t>
      </w:r>
      <w:r w:rsidRPr="008127F8">
        <w:rPr>
          <w:color w:val="000000" w:themeColor="text1"/>
          <w:lang w:val="ru-RU"/>
        </w:rPr>
        <w:tab/>
        <w:t>-10250</w:t>
      </w:r>
    </w:p>
    <w:p w14:paraId="40A232F9" w14:textId="77777777" w:rsidR="00F032B1" w:rsidRPr="008127F8" w:rsidRDefault="00F032B1" w:rsidP="001E0A84">
      <w:pPr>
        <w:pStyle w:val="a4"/>
        <w:tabs>
          <w:tab w:val="left" w:pos="5786"/>
        </w:tabs>
        <w:rPr>
          <w:color w:val="000000" w:themeColor="text1"/>
          <w:lang w:val="ru-RU"/>
        </w:rPr>
      </w:pPr>
      <w:r w:rsidRPr="008127F8">
        <w:rPr>
          <w:color w:val="000000" w:themeColor="text1"/>
          <w:lang w:val="ru-RU"/>
        </w:rPr>
        <w:t>Размах крыла, мм</w:t>
      </w:r>
      <w:r w:rsidRPr="008127F8">
        <w:rPr>
          <w:color w:val="000000" w:themeColor="text1"/>
          <w:lang w:val="ru-RU"/>
        </w:rPr>
        <w:tab/>
        <w:t>-14300</w:t>
      </w:r>
    </w:p>
    <w:p w14:paraId="298A5246" w14:textId="77777777" w:rsidR="00F032B1" w:rsidRPr="008127F8" w:rsidRDefault="00F032B1" w:rsidP="001E0A84">
      <w:pPr>
        <w:pStyle w:val="a4"/>
        <w:tabs>
          <w:tab w:val="left" w:pos="5786"/>
        </w:tabs>
        <w:rPr>
          <w:color w:val="000000" w:themeColor="text1"/>
          <w:lang w:val="ru-RU"/>
        </w:rPr>
      </w:pPr>
      <w:r w:rsidRPr="008127F8">
        <w:rPr>
          <w:color w:val="000000" w:themeColor="text1"/>
          <w:lang w:val="ru-RU"/>
        </w:rPr>
        <w:t>Площадь крыла, м</w:t>
      </w:r>
      <w:r w:rsidRPr="008127F8">
        <w:rPr>
          <w:color w:val="000000" w:themeColor="text1"/>
          <w:vertAlign w:val="superscript"/>
          <w:lang w:val="ru-RU"/>
        </w:rPr>
        <w:t>2</w:t>
      </w:r>
      <w:r w:rsidRPr="008127F8">
        <w:rPr>
          <w:color w:val="000000" w:themeColor="text1"/>
          <w:lang w:val="ru-RU"/>
        </w:rPr>
        <w:tab/>
        <w:t>- 29,0</w:t>
      </w:r>
    </w:p>
    <w:p w14:paraId="3A831CC6" w14:textId="77777777" w:rsidR="00F032B1" w:rsidRPr="008127F8" w:rsidRDefault="00F032B1" w:rsidP="001E0A84">
      <w:pPr>
        <w:pStyle w:val="a4"/>
        <w:tabs>
          <w:tab w:val="left" w:pos="5786"/>
        </w:tabs>
        <w:rPr>
          <w:color w:val="000000" w:themeColor="text1"/>
          <w:lang w:val="ru-RU"/>
        </w:rPr>
      </w:pPr>
      <w:r w:rsidRPr="008127F8">
        <w:rPr>
          <w:color w:val="000000" w:themeColor="text1"/>
          <w:lang w:val="ru-RU"/>
        </w:rPr>
        <w:t>Масса пустого самолёта, кг:</w:t>
      </w:r>
      <w:r w:rsidRPr="008127F8">
        <w:rPr>
          <w:color w:val="000000" w:themeColor="text1"/>
          <w:lang w:val="ru-RU"/>
        </w:rPr>
        <w:tab/>
        <w:t>- 2995 (3213)</w:t>
      </w:r>
    </w:p>
    <w:p w14:paraId="52F3AD7F" w14:textId="77777777" w:rsidR="00F032B1" w:rsidRPr="008127F8" w:rsidRDefault="00F032B1" w:rsidP="001E0A84">
      <w:pPr>
        <w:pStyle w:val="a4"/>
        <w:tabs>
          <w:tab w:val="left" w:pos="5786"/>
        </w:tabs>
        <w:rPr>
          <w:color w:val="000000" w:themeColor="text1"/>
          <w:lang w:val="ru-RU"/>
        </w:rPr>
      </w:pPr>
      <w:r w:rsidRPr="008127F8">
        <w:rPr>
          <w:color w:val="000000" w:themeColor="text1"/>
          <w:lang w:val="ru-RU"/>
        </w:rPr>
        <w:t>Нормальная полётная масса, кг</w:t>
      </w:r>
      <w:r w:rsidRPr="008127F8">
        <w:rPr>
          <w:color w:val="000000" w:themeColor="text1"/>
          <w:lang w:val="ru-RU"/>
        </w:rPr>
        <w:tab/>
        <w:t>- 4345 (4700)</w:t>
      </w:r>
    </w:p>
    <w:p w14:paraId="6953CB9C" w14:textId="77777777" w:rsidR="00F032B1" w:rsidRPr="008127F8" w:rsidRDefault="00F032B1" w:rsidP="001E0A84">
      <w:pPr>
        <w:pStyle w:val="a4"/>
        <w:rPr>
          <w:color w:val="000000" w:themeColor="text1"/>
          <w:lang w:val="ru-RU"/>
        </w:rPr>
      </w:pPr>
      <w:r w:rsidRPr="008127F8">
        <w:rPr>
          <w:color w:val="000000" w:themeColor="text1"/>
          <w:lang w:val="ru-RU"/>
        </w:rPr>
        <w:t>Максимальная скорость, км/ч:</w:t>
      </w:r>
    </w:p>
    <w:p w14:paraId="4EB6FDC8" w14:textId="77777777" w:rsidR="00F032B1" w:rsidRPr="008127F8" w:rsidRDefault="00F032B1" w:rsidP="001E0A84">
      <w:pPr>
        <w:pStyle w:val="a4"/>
        <w:widowControl/>
        <w:numPr>
          <w:ilvl w:val="0"/>
          <w:numId w:val="6"/>
        </w:numPr>
        <w:tabs>
          <w:tab w:val="left" w:pos="1789"/>
          <w:tab w:val="left" w:pos="5768"/>
        </w:tabs>
        <w:autoSpaceDE/>
        <w:autoSpaceDN/>
        <w:adjustRightInd/>
        <w:rPr>
          <w:color w:val="000000" w:themeColor="text1"/>
        </w:rPr>
      </w:pPr>
      <w:r w:rsidRPr="008127F8">
        <w:rPr>
          <w:color w:val="000000" w:themeColor="text1"/>
        </w:rPr>
        <w:t>у земли</w:t>
      </w:r>
      <w:r w:rsidRPr="008127F8">
        <w:rPr>
          <w:color w:val="000000" w:themeColor="text1"/>
        </w:rPr>
        <w:tab/>
        <w:t>- 378 (430)</w:t>
      </w:r>
    </w:p>
    <w:p w14:paraId="5D32C0E3" w14:textId="77777777" w:rsidR="00F032B1" w:rsidRPr="008127F8" w:rsidRDefault="00F032B1" w:rsidP="001E0A84">
      <w:pPr>
        <w:pStyle w:val="a4"/>
        <w:widowControl/>
        <w:numPr>
          <w:ilvl w:val="0"/>
          <w:numId w:val="6"/>
        </w:numPr>
        <w:tabs>
          <w:tab w:val="left" w:pos="1816"/>
          <w:tab w:val="left" w:pos="5786"/>
        </w:tabs>
        <w:autoSpaceDE/>
        <w:autoSpaceDN/>
        <w:adjustRightInd/>
        <w:rPr>
          <w:color w:val="000000" w:themeColor="text1"/>
        </w:rPr>
      </w:pPr>
      <w:r w:rsidRPr="008127F8">
        <w:rPr>
          <w:color w:val="000000" w:themeColor="text1"/>
        </w:rPr>
        <w:t>на высоте, м</w:t>
      </w:r>
      <w:r w:rsidRPr="008127F8">
        <w:rPr>
          <w:color w:val="000000" w:themeColor="text1"/>
        </w:rPr>
        <w:tab/>
        <w:t xml:space="preserve">- 455/4400 (474/3200) </w:t>
      </w:r>
    </w:p>
    <w:p w14:paraId="7F1EBF7E" w14:textId="77777777" w:rsidR="00F032B1" w:rsidRPr="008127F8" w:rsidRDefault="00F032B1" w:rsidP="001E0A84">
      <w:pPr>
        <w:pStyle w:val="a4"/>
        <w:tabs>
          <w:tab w:val="left" w:pos="1816"/>
          <w:tab w:val="left" w:pos="5786"/>
        </w:tabs>
        <w:rPr>
          <w:color w:val="000000" w:themeColor="text1"/>
          <w:lang w:val="ru-RU"/>
        </w:rPr>
      </w:pPr>
      <w:r w:rsidRPr="008127F8">
        <w:rPr>
          <w:color w:val="000000" w:themeColor="text1"/>
          <w:lang w:val="ru-RU"/>
        </w:rPr>
        <w:t>Время набора высоты 5000 м, мин.</w:t>
      </w:r>
      <w:r w:rsidRPr="008127F8">
        <w:rPr>
          <w:color w:val="000000" w:themeColor="text1"/>
          <w:lang w:val="ru-RU"/>
        </w:rPr>
        <w:tab/>
        <w:t xml:space="preserve"> - 1 2,6 (9,8)</w:t>
      </w:r>
    </w:p>
    <w:p w14:paraId="59A54EB7" w14:textId="77777777" w:rsidR="00F032B1" w:rsidRPr="008127F8" w:rsidRDefault="00F032B1" w:rsidP="001E0A84">
      <w:pPr>
        <w:pStyle w:val="a4"/>
        <w:tabs>
          <w:tab w:val="left" w:pos="1816"/>
          <w:tab w:val="left" w:pos="5786"/>
        </w:tabs>
        <w:rPr>
          <w:color w:val="000000" w:themeColor="text1"/>
          <w:lang w:val="ru-RU"/>
        </w:rPr>
      </w:pPr>
      <w:r w:rsidRPr="008127F8">
        <w:rPr>
          <w:color w:val="000000" w:themeColor="text1"/>
          <w:lang w:val="ru-RU"/>
        </w:rPr>
        <w:t>Практический потолок, м</w:t>
      </w:r>
      <w:r w:rsidRPr="008127F8">
        <w:rPr>
          <w:color w:val="000000" w:themeColor="text1"/>
          <w:lang w:val="ru-RU"/>
        </w:rPr>
        <w:tab/>
        <w:t xml:space="preserve"> - 8900 (8400)</w:t>
      </w:r>
    </w:p>
    <w:p w14:paraId="35C9ABC1" w14:textId="77777777" w:rsidR="00F032B1" w:rsidRPr="008127F8" w:rsidRDefault="00F032B1" w:rsidP="001E0A84">
      <w:pPr>
        <w:pStyle w:val="a4"/>
        <w:tabs>
          <w:tab w:val="left" w:pos="1816"/>
          <w:tab w:val="left" w:pos="5786"/>
        </w:tabs>
        <w:rPr>
          <w:color w:val="000000" w:themeColor="text1"/>
          <w:lang w:val="ru-RU"/>
        </w:rPr>
      </w:pPr>
      <w:r w:rsidRPr="008127F8">
        <w:rPr>
          <w:color w:val="000000" w:themeColor="text1"/>
          <w:lang w:val="ru-RU"/>
        </w:rPr>
        <w:t>Дальность полёта, км</w:t>
      </w:r>
      <w:r w:rsidRPr="008127F8">
        <w:rPr>
          <w:color w:val="000000" w:themeColor="text1"/>
          <w:lang w:val="ru-RU"/>
        </w:rPr>
        <w:tab/>
        <w:t xml:space="preserve"> - 820 (790)</w:t>
      </w:r>
    </w:p>
    <w:p w14:paraId="14CEECD3" w14:textId="77777777" w:rsidR="00F032B1" w:rsidRPr="008127F8" w:rsidRDefault="00F032B1" w:rsidP="001E0A84">
      <w:pPr>
        <w:pStyle w:val="a4"/>
        <w:tabs>
          <w:tab w:val="left" w:pos="5801"/>
        </w:tabs>
        <w:rPr>
          <w:color w:val="000000" w:themeColor="text1"/>
          <w:lang w:val="ru-RU"/>
        </w:rPr>
      </w:pPr>
      <w:r w:rsidRPr="008127F8">
        <w:rPr>
          <w:color w:val="000000" w:themeColor="text1"/>
          <w:lang w:val="ru-RU"/>
        </w:rPr>
        <w:t>Длина разбега, м</w:t>
      </w:r>
      <w:r w:rsidRPr="008127F8">
        <w:rPr>
          <w:color w:val="000000" w:themeColor="text1"/>
          <w:lang w:val="ru-RU"/>
        </w:rPr>
        <w:tab/>
        <w:t>-610(450) (15975).</w:t>
      </w:r>
    </w:p>
    <w:p w14:paraId="616008BB" w14:textId="77777777" w:rsidR="00F032B1" w:rsidRPr="008127F8" w:rsidRDefault="00F032B1" w:rsidP="001E0A84">
      <w:pPr>
        <w:spacing w:after="0" w:line="240" w:lineRule="auto"/>
        <w:jc w:val="both"/>
        <w:rPr>
          <w:rFonts w:ascii="Times New Roman" w:hAnsi="Times New Roman"/>
          <w:color w:val="000000" w:themeColor="text1"/>
          <w:sz w:val="16"/>
          <w:szCs w:val="16"/>
        </w:rPr>
      </w:pPr>
    </w:p>
    <w:p w14:paraId="3C3BE2F9"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 марта по 26 июня 1942 г. проходили войсковые испытания моторов М-82 на самолётах Су-2 в 826-й ббап (коман</w:t>
      </w:r>
      <w:r w:rsidRPr="008127F8">
        <w:rPr>
          <w:rFonts w:ascii="Times New Roman" w:cs="Times New Roman"/>
          <w:color w:val="000000" w:themeColor="text1"/>
          <w:spacing w:val="0"/>
        </w:rPr>
        <w:softHyphen/>
        <w:t>дир полка — майор Бокун, военком — батальонный комиссар Доронин). С мая месяца полк в составе 270-й бад принимал участие в боевых действиях на Юго-Западном фронте.</w:t>
      </w:r>
    </w:p>
    <w:p w14:paraId="607F39A8"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В испытаниях участвовали 18 Су-2 с моторами М-82 1-й </w:t>
      </w:r>
      <w:proofErr w:type="gramStart"/>
      <w:r w:rsidRPr="008127F8">
        <w:rPr>
          <w:rFonts w:ascii="Times New Roman" w:cs="Times New Roman"/>
          <w:color w:val="000000" w:themeColor="text1"/>
          <w:spacing w:val="0"/>
        </w:rPr>
        <w:t>серии..</w:t>
      </w:r>
      <w:proofErr w:type="gramEnd"/>
    </w:p>
    <w:p w14:paraId="0BD3BBA6"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Моторы в общей сложности наработали на земле 227 часов и в воз</w:t>
      </w:r>
      <w:r w:rsidRPr="008127F8">
        <w:rPr>
          <w:rFonts w:ascii="Times New Roman" w:cs="Times New Roman"/>
          <w:color w:val="000000" w:themeColor="text1"/>
          <w:spacing w:val="0"/>
        </w:rPr>
        <w:softHyphen/>
        <w:t>духе 349 часов. Минимальная общая наработка на мотор составила 10 часов 50 минут, максимальная — 56 часов 24 минуты. В оценке лётного состава указывалось:</w:t>
      </w:r>
    </w:p>
    <w:p w14:paraId="54D28C12"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Самолёт Су-2 с мотором М-82 по своим лётным качествам значительно прево</w:t>
      </w:r>
      <w:r w:rsidRPr="008127F8">
        <w:rPr>
          <w:rFonts w:ascii="Times New Roman" w:cs="Times New Roman"/>
          <w:color w:val="000000" w:themeColor="text1"/>
          <w:spacing w:val="0"/>
        </w:rPr>
        <w:softHyphen/>
        <w:t>сходит такой же самолёт с мотором М-88 как по скорости, маневренности, так и по бомбовой нагрузке.</w:t>
      </w:r>
    </w:p>
    <w:p w14:paraId="2C54744B" w14:textId="77777777" w:rsidR="0015278A" w:rsidRPr="008127F8" w:rsidRDefault="0015278A" w:rsidP="001E0A84">
      <w:pPr>
        <w:pStyle w:val="27"/>
        <w:shd w:val="clear" w:color="auto" w:fill="auto"/>
        <w:tabs>
          <w:tab w:val="left" w:pos="42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Управление винтомоторной группой в воздухе ничем не отличается от управления ВМГ такого же самолёта с мотором М-88. Мотор в воздухе работает надежно, идя на задание, лётный состав в работе мотора всегда был уверен.</w:t>
      </w:r>
    </w:p>
    <w:p w14:paraId="3EFE2E59" w14:textId="77777777" w:rsidR="0015278A" w:rsidRPr="008127F8" w:rsidRDefault="0015278A" w:rsidP="001E0A84">
      <w:pPr>
        <w:pStyle w:val="27"/>
        <w:shd w:val="clear" w:color="auto" w:fill="auto"/>
        <w:tabs>
          <w:tab w:val="left" w:pos="409"/>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Температурный режим моторов во время боевых полётов не выходит из пределов, установленных инструкцией по эксплуатации, т.е.:</w:t>
      </w:r>
    </w:p>
    <w:p w14:paraId="3844E2A6" w14:textId="77777777" w:rsidR="0015278A" w:rsidRPr="008127F8" w:rsidRDefault="0015278A" w:rsidP="001E0A84">
      <w:pPr>
        <w:pStyle w:val="27"/>
        <w:shd w:val="clear" w:color="auto" w:fill="auto"/>
        <w:tabs>
          <w:tab w:val="left" w:pos="577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температура головок цилиндров</w:t>
      </w:r>
      <w:r w:rsidRPr="008127F8">
        <w:rPr>
          <w:rFonts w:ascii="Times New Roman" w:cs="Times New Roman"/>
          <w:color w:val="000000" w:themeColor="text1"/>
          <w:spacing w:val="0"/>
        </w:rPr>
        <w:tab/>
        <w:t>- 170-200°С,</w:t>
      </w:r>
    </w:p>
    <w:p w14:paraId="45B7DDBC" w14:textId="77777777" w:rsidR="0015278A" w:rsidRPr="008127F8" w:rsidRDefault="0015278A" w:rsidP="001E0A84">
      <w:pPr>
        <w:pStyle w:val="27"/>
        <w:shd w:val="clear" w:color="auto" w:fill="auto"/>
        <w:tabs>
          <w:tab w:val="left" w:pos="577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температура входящего масла</w:t>
      </w:r>
      <w:r w:rsidRPr="008127F8">
        <w:rPr>
          <w:rFonts w:ascii="Times New Roman" w:cs="Times New Roman"/>
          <w:color w:val="000000" w:themeColor="text1"/>
          <w:spacing w:val="0"/>
        </w:rPr>
        <w:tab/>
        <w:t>- 65-70°С,</w:t>
      </w:r>
    </w:p>
    <w:p w14:paraId="39C2508F" w14:textId="77777777" w:rsidR="0015278A" w:rsidRPr="008127F8" w:rsidRDefault="0015278A" w:rsidP="001E0A84">
      <w:pPr>
        <w:pStyle w:val="27"/>
        <w:shd w:val="clear" w:color="auto" w:fill="auto"/>
        <w:tabs>
          <w:tab w:val="left" w:pos="577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температура выходящего масла</w:t>
      </w:r>
      <w:r w:rsidRPr="008127F8">
        <w:rPr>
          <w:rFonts w:ascii="Times New Roman" w:cs="Times New Roman"/>
          <w:color w:val="000000" w:themeColor="text1"/>
          <w:spacing w:val="0"/>
        </w:rPr>
        <w:tab/>
        <w:t>- 95-115°С.</w:t>
      </w:r>
    </w:p>
    <w:p w14:paraId="6E9960ED" w14:textId="77777777" w:rsidR="0015278A" w:rsidRPr="008127F8" w:rsidRDefault="0015278A" w:rsidP="001E0A84">
      <w:pPr>
        <w:pStyle w:val="27"/>
        <w:shd w:val="clear" w:color="auto" w:fill="auto"/>
        <w:tabs>
          <w:tab w:val="left" w:pos="457"/>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4....Полёты над целью в основном производились на номинальном наддуве, а при уходе от цели на некоторых самолётах моторы форсировались. Форсирование произво</w:t>
      </w:r>
      <w:r w:rsidRPr="008127F8">
        <w:rPr>
          <w:rFonts w:ascii="Times New Roman" w:cs="Times New Roman"/>
          <w:color w:val="000000" w:themeColor="text1"/>
          <w:spacing w:val="0"/>
        </w:rPr>
        <w:softHyphen/>
        <w:t>дилось путем выключения РПД-1 (сектор газа за ограничитель), продолжительность ра</w:t>
      </w:r>
      <w:r w:rsidRPr="008127F8">
        <w:rPr>
          <w:rFonts w:ascii="Times New Roman" w:cs="Times New Roman"/>
          <w:color w:val="000000" w:themeColor="text1"/>
          <w:spacing w:val="0"/>
        </w:rPr>
        <w:softHyphen/>
        <w:t>боты на форсированном режиме не превышала 8-10 минут. На взлёте, в зависимости от условий старта, форсаж также включался продолжительностью до 30-40 секунд.</w:t>
      </w:r>
    </w:p>
    <w:p w14:paraId="0D286248"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Во всех случаях моторы на форсированном режиме работают хорошо...</w:t>
      </w:r>
    </w:p>
    <w:p w14:paraId="614F1322" w14:textId="77777777" w:rsidR="0015278A" w:rsidRPr="008127F8" w:rsidRDefault="0015278A" w:rsidP="001E0A84">
      <w:pPr>
        <w:pStyle w:val="27"/>
        <w:shd w:val="clear" w:color="auto" w:fill="auto"/>
        <w:tabs>
          <w:tab w:val="left" w:pos="43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7. Эффективность юбок капотов и маслорадиаторов вполне достаточная, переохла</w:t>
      </w:r>
      <w:r w:rsidRPr="008127F8">
        <w:rPr>
          <w:rFonts w:ascii="Times New Roman" w:cs="Times New Roman"/>
          <w:color w:val="000000" w:themeColor="text1"/>
          <w:spacing w:val="0"/>
        </w:rPr>
        <w:softHyphen/>
        <w:t>ждения моторов на планировании не наблюдалось. Приемистость моторов нормальная, случаев отказа моторов из-за плохой приёмистости не было.</w:t>
      </w:r>
    </w:p>
    <w:p w14:paraId="319DFB49" w14:textId="77777777" w:rsidR="0015278A" w:rsidRPr="008127F8" w:rsidRDefault="0015278A" w:rsidP="001E0A84">
      <w:pPr>
        <w:pStyle w:val="27"/>
        <w:shd w:val="clear" w:color="auto" w:fill="auto"/>
        <w:tabs>
          <w:tab w:val="left" w:pos="42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lastRenderedPageBreak/>
        <w:t>8. Пулевого или осколочного попадания в основные детали или агрегаты моторов не было, поэтому фактов, определяющих живучесть моторов при такого рода поврежде</w:t>
      </w:r>
      <w:r w:rsidRPr="008127F8">
        <w:rPr>
          <w:rFonts w:ascii="Times New Roman" w:cs="Times New Roman"/>
          <w:color w:val="000000" w:themeColor="text1"/>
          <w:spacing w:val="0"/>
        </w:rPr>
        <w:softHyphen/>
        <w:t>ниях, нет, однако зафиксированы следующие факты:</w:t>
      </w:r>
    </w:p>
    <w:p w14:paraId="14BDE3A2" w14:textId="77777777" w:rsidR="0015278A" w:rsidRPr="008127F8" w:rsidRDefault="0015278A" w:rsidP="001E0A84">
      <w:pPr>
        <w:pStyle w:val="27"/>
        <w:shd w:val="clear" w:color="auto" w:fill="auto"/>
        <w:tabs>
          <w:tab w:val="left" w:pos="442"/>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 25.5.42 г. на моторе № 1205, во время выполнения боевого задания, была пере</w:t>
      </w:r>
      <w:r w:rsidRPr="008127F8">
        <w:rPr>
          <w:rFonts w:ascii="Times New Roman" w:cs="Times New Roman"/>
          <w:color w:val="000000" w:themeColor="text1"/>
          <w:spacing w:val="0"/>
        </w:rPr>
        <w:softHyphen/>
        <w:t>бита масломагистраль, масло при этом вытекло и давление в моторе упало до нуля. Лётчик мл. л-т тов. Русанов перетянул через линию фронта и совершил вынужденную посадку на своей территории. Ввиду абсолютной непригодности площадки, где была совершена посадка, и застигшей его темноты, самолёт получил значительное повре</w:t>
      </w:r>
      <w:r w:rsidRPr="008127F8">
        <w:rPr>
          <w:rFonts w:ascii="Times New Roman" w:cs="Times New Roman"/>
          <w:color w:val="000000" w:themeColor="text1"/>
          <w:spacing w:val="0"/>
        </w:rPr>
        <w:softHyphen/>
        <w:t xml:space="preserve">ждение. </w:t>
      </w:r>
      <w:proofErr w:type="gramStart"/>
      <w:r w:rsidRPr="008127F8">
        <w:rPr>
          <w:rFonts w:ascii="Times New Roman" w:cs="Times New Roman"/>
          <w:color w:val="000000" w:themeColor="text1"/>
          <w:spacing w:val="0"/>
        </w:rPr>
        <w:t>Мотор, несмотря на то, что</w:t>
      </w:r>
      <w:proofErr w:type="gramEnd"/>
      <w:r w:rsidRPr="008127F8">
        <w:rPr>
          <w:rFonts w:ascii="Times New Roman" w:cs="Times New Roman"/>
          <w:color w:val="000000" w:themeColor="text1"/>
          <w:spacing w:val="0"/>
        </w:rPr>
        <w:t xml:space="preserve"> полёт без давления масла в моторе продолжался в течение 3-4 минут, никаких признаков внутреннего разрушения не имеет.</w:t>
      </w:r>
    </w:p>
    <w:p w14:paraId="53D27599" w14:textId="77777777" w:rsidR="0015278A" w:rsidRPr="008127F8" w:rsidRDefault="0015278A" w:rsidP="001E0A84">
      <w:pPr>
        <w:pStyle w:val="27"/>
        <w:shd w:val="clear" w:color="auto" w:fill="auto"/>
        <w:tabs>
          <w:tab w:val="left" w:pos="447"/>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30.5.42 г. мотор № 1067 был запущен с закрытым маслокраном, и только после 2-3 минутной работы резко повысившаяся температура выходящего масла до 80°С обратила внимание механика на отсутствие давления. После этого случая мотор на</w:t>
      </w:r>
      <w:r w:rsidRPr="008127F8">
        <w:rPr>
          <w:rFonts w:ascii="Times New Roman" w:cs="Times New Roman"/>
          <w:color w:val="000000" w:themeColor="text1"/>
          <w:spacing w:val="0"/>
        </w:rPr>
        <w:softHyphen/>
        <w:t>работал 21 час, а всего на 26.6.42 г. наработка равна 50 ч 50 мин.</w:t>
      </w:r>
    </w:p>
    <w:p w14:paraId="4BF64DD1" w14:textId="77777777" w:rsidR="0015278A" w:rsidRPr="008127F8" w:rsidRDefault="0015278A" w:rsidP="001E0A84">
      <w:pPr>
        <w:pStyle w:val="27"/>
        <w:shd w:val="clear" w:color="auto" w:fill="auto"/>
        <w:tabs>
          <w:tab w:val="left" w:pos="43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10.6.42 г. на моторе № 1019, ввиду отказа в работе термостата радиатора, темпе</w:t>
      </w:r>
      <w:r w:rsidRPr="008127F8">
        <w:rPr>
          <w:rFonts w:ascii="Times New Roman" w:cs="Times New Roman"/>
          <w:color w:val="000000" w:themeColor="text1"/>
          <w:spacing w:val="0"/>
        </w:rPr>
        <w:softHyphen/>
        <w:t>ратура входящего масла достигла 100°С, а выходящего — выше 130°С (стрелка до упо</w:t>
      </w:r>
      <w:r w:rsidRPr="008127F8">
        <w:rPr>
          <w:rFonts w:ascii="Times New Roman" w:cs="Times New Roman"/>
          <w:color w:val="000000" w:themeColor="text1"/>
          <w:spacing w:val="0"/>
        </w:rPr>
        <w:softHyphen/>
        <w:t>ра), полёт при этой температуре продолжался 45 мин, мотор в н/время работает хорошо.</w:t>
      </w:r>
    </w:p>
    <w:p w14:paraId="43141F98"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На основании приведенных фактов можно сделать вывод, что мотор М-82 обеднение смазкой его трущихся деталей выносит достаточно надёжно. В случае повреждения ма- 190 слосистемы, полёт в течение 2-3 минут без давления масла не влечёт за собой разру</w:t>
      </w:r>
      <w:r w:rsidRPr="008127F8">
        <w:rPr>
          <w:rFonts w:ascii="Times New Roman" w:cs="Times New Roman"/>
          <w:color w:val="000000" w:themeColor="text1"/>
          <w:spacing w:val="0"/>
        </w:rPr>
        <w:softHyphen/>
        <w:t>шения мотора...»</w:t>
      </w:r>
      <w:r w:rsidRPr="008127F8">
        <w:rPr>
          <w:rFonts w:ascii="Times New Roman" w:cs="Times New Roman"/>
          <w:color w:val="000000" w:themeColor="text1"/>
          <w:spacing w:val="0"/>
          <w:vertAlign w:val="superscript"/>
        </w:rPr>
        <w:t>3</w:t>
      </w:r>
      <w:r w:rsidRPr="008127F8">
        <w:rPr>
          <w:rFonts w:ascii="Times New Roman" w:cs="Times New Roman"/>
          <w:color w:val="000000" w:themeColor="text1"/>
          <w:spacing w:val="0"/>
        </w:rPr>
        <w:t>.</w:t>
      </w:r>
    </w:p>
    <w:p w14:paraId="760CEDCC"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Инженерно-технический состав отмечал:</w:t>
      </w:r>
    </w:p>
    <w:p w14:paraId="690B944E"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Проверкой работы моторов на земле установлено, что мотор от малого газа до взлётного режима работает устойчиво, без вибрации и тряски, переход с одного режи</w:t>
      </w:r>
      <w:r w:rsidRPr="008127F8">
        <w:rPr>
          <w:rFonts w:ascii="Times New Roman" w:cs="Times New Roman"/>
          <w:color w:val="000000" w:themeColor="text1"/>
          <w:spacing w:val="0"/>
        </w:rPr>
        <w:softHyphen/>
        <w:t>ма на другой также нормальный.</w:t>
      </w:r>
    </w:p>
    <w:p w14:paraId="7C45756F" w14:textId="77777777" w:rsidR="0015278A" w:rsidRPr="008127F8" w:rsidRDefault="0015278A" w:rsidP="001E0A84">
      <w:pPr>
        <w:pStyle w:val="27"/>
        <w:shd w:val="clear" w:color="auto" w:fill="auto"/>
        <w:tabs>
          <w:tab w:val="left" w:pos="50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Механизм управления винтом и двухскоростной передачей к нагнетателю работает хорошо.</w:t>
      </w:r>
    </w:p>
    <w:p w14:paraId="0FB72242" w14:textId="77777777" w:rsidR="0015278A" w:rsidRPr="008127F8" w:rsidRDefault="0015278A" w:rsidP="001E0A84">
      <w:pPr>
        <w:pStyle w:val="27"/>
        <w:shd w:val="clear" w:color="auto" w:fill="auto"/>
        <w:tabs>
          <w:tab w:val="left" w:pos="49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Карбюратор АК-82БП работал надежно, но было три случая произвольного наруше</w:t>
      </w:r>
      <w:r w:rsidRPr="008127F8">
        <w:rPr>
          <w:rFonts w:ascii="Times New Roman" w:cs="Times New Roman"/>
          <w:color w:val="000000" w:themeColor="text1"/>
          <w:spacing w:val="0"/>
        </w:rPr>
        <w:softHyphen/>
        <w:t>ния регулировки качества смеси (два случая — забеднение смеси, один — обогащение).</w:t>
      </w:r>
    </w:p>
    <w:p w14:paraId="7FA9E60F" w14:textId="77777777" w:rsidR="0015278A" w:rsidRPr="008127F8" w:rsidRDefault="0015278A" w:rsidP="001E0A84">
      <w:pPr>
        <w:pStyle w:val="27"/>
        <w:shd w:val="clear" w:color="auto" w:fill="auto"/>
        <w:tabs>
          <w:tab w:val="left" w:pos="51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 Поршневая группа мотора М-82 за время эксплуатации работала хорошо, никаких дефектов, характеризующих нарушение нормальной работы поршневой группы (дым</w:t>
      </w:r>
      <w:r w:rsidRPr="008127F8">
        <w:rPr>
          <w:rFonts w:ascii="Times New Roman" w:cs="Times New Roman"/>
          <w:color w:val="000000" w:themeColor="text1"/>
          <w:spacing w:val="0"/>
        </w:rPr>
        <w:softHyphen/>
        <w:t>ление, задир поршней, износ поршневых колец и др.), не было...»</w:t>
      </w:r>
    </w:p>
    <w:p w14:paraId="33EBD479"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Отчёт не был бы отчётом, если бы в нём не указали недостатки:</w:t>
      </w:r>
    </w:p>
    <w:p w14:paraId="7942E5B8"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Основным недостатком мотора М-82 является трудный запуск его. До температу</w:t>
      </w:r>
      <w:r w:rsidRPr="008127F8">
        <w:rPr>
          <w:rFonts w:ascii="Times New Roman" w:cs="Times New Roman"/>
          <w:color w:val="000000" w:themeColor="text1"/>
          <w:spacing w:val="0"/>
        </w:rPr>
        <w:softHyphen/>
        <w:t>ры окружающего воздуха +15°С, запуск значительно затруднён. Вероятной причиной этого дефекта является несовершенство заливной системы. Заводу № 19 необходимо внести радикальные изменения в систему запуска мотора.</w:t>
      </w:r>
    </w:p>
    <w:p w14:paraId="1673B3CA" w14:textId="77777777" w:rsidR="0015278A" w:rsidRPr="008127F8" w:rsidRDefault="0015278A" w:rsidP="001E0A84">
      <w:pPr>
        <w:pStyle w:val="27"/>
        <w:shd w:val="clear" w:color="auto" w:fill="auto"/>
        <w:tabs>
          <w:tab w:val="left" w:pos="49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Перебои или отказ свечей ВГ-12 после работы их от 2-х до 20 часов (14 случаев). Причиной отказа является низкое качество свечей.</w:t>
      </w:r>
    </w:p>
    <w:p w14:paraId="6FC50E3E" w14:textId="77777777" w:rsidR="0015278A" w:rsidRPr="008127F8" w:rsidRDefault="0015278A" w:rsidP="001E0A84">
      <w:pPr>
        <w:pStyle w:val="27"/>
        <w:shd w:val="clear" w:color="auto" w:fill="auto"/>
        <w:tabs>
          <w:tab w:val="left" w:pos="51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Течь масла: &lt;...&gt; Причиной всех указанных мест, дающих течь масла, является недоработка уплотнений...»</w:t>
      </w:r>
    </w:p>
    <w:p w14:paraId="75C053C3"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целом же заключение по войсковым испытаниям было положительное:</w:t>
      </w:r>
    </w:p>
    <w:p w14:paraId="6E5A47C3"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Моторы М-82 производства завода № 19 им. Сталина испытания в боевых усло</w:t>
      </w:r>
      <w:r w:rsidRPr="008127F8">
        <w:rPr>
          <w:rFonts w:ascii="Times New Roman" w:cs="Times New Roman"/>
          <w:color w:val="000000" w:themeColor="text1"/>
          <w:spacing w:val="0"/>
        </w:rPr>
        <w:softHyphen/>
        <w:t>виях прошли ХОРОШО.</w:t>
      </w:r>
    </w:p>
    <w:p w14:paraId="188001A6" w14:textId="77777777" w:rsidR="0015278A" w:rsidRPr="008127F8" w:rsidRDefault="0015278A" w:rsidP="001E0A84">
      <w:pPr>
        <w:pStyle w:val="27"/>
        <w:shd w:val="clear" w:color="auto" w:fill="auto"/>
        <w:tabs>
          <w:tab w:val="left" w:pos="50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Эксплуатация показала, что мотор М-82 является одним из лучших и мощных мо</w:t>
      </w:r>
      <w:r w:rsidRPr="008127F8">
        <w:rPr>
          <w:rFonts w:ascii="Times New Roman" w:cs="Times New Roman"/>
          <w:color w:val="000000" w:themeColor="text1"/>
          <w:spacing w:val="0"/>
        </w:rPr>
        <w:softHyphen/>
        <w:t>торов, находящихся на вооружении ВВС Красной Армии.</w:t>
      </w:r>
    </w:p>
    <w:p w14:paraId="01CBEFE3" w14:textId="77777777" w:rsidR="0015278A" w:rsidRPr="008127F8" w:rsidRDefault="0015278A" w:rsidP="001E0A84">
      <w:pPr>
        <w:pStyle w:val="27"/>
        <w:shd w:val="clear" w:color="auto" w:fill="auto"/>
        <w:tabs>
          <w:tab w:val="left" w:pos="50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Заводу № 19 необходимо в кратчайший срок устранить дефекты, указанные в на</w:t>
      </w:r>
      <w:r w:rsidRPr="008127F8">
        <w:rPr>
          <w:rFonts w:ascii="Times New Roman" w:cs="Times New Roman"/>
          <w:color w:val="000000" w:themeColor="text1"/>
          <w:spacing w:val="0"/>
        </w:rPr>
        <w:softHyphen/>
        <w:t>стоящем акте, особенно запуск мотора и подбор свечей».</w:t>
      </w:r>
    </w:p>
    <w:p w14:paraId="07BE7BE2"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Таким образом, работа мотора М-82 в воздухе впервые с начала его эксплуатации получила положительную оценку, причем фронтовых лётчиков. К мнению и пожелани</w:t>
      </w:r>
      <w:r w:rsidRPr="008127F8">
        <w:rPr>
          <w:rFonts w:ascii="Times New Roman" w:cs="Times New Roman"/>
          <w:color w:val="000000" w:themeColor="text1"/>
          <w:spacing w:val="0"/>
        </w:rPr>
        <w:softHyphen/>
        <w:t>ям фронтовиков тогда относились внимательно.</w:t>
      </w:r>
    </w:p>
    <w:p w14:paraId="31A34B38"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Ранее отмечавшаяся нестабильная работа карбюратора при испытаниях на Су-2 в зна</w:t>
      </w:r>
      <w:r w:rsidRPr="008127F8">
        <w:rPr>
          <w:rFonts w:ascii="Times New Roman" w:cs="Times New Roman"/>
          <w:color w:val="000000" w:themeColor="text1"/>
          <w:spacing w:val="0"/>
        </w:rPr>
        <w:softHyphen/>
        <w:t>чительной мере «маскировалась» тем, что М-82 работали только на 1-й скорости нагне</w:t>
      </w:r>
      <w:r w:rsidRPr="008127F8">
        <w:rPr>
          <w:rFonts w:ascii="Times New Roman" w:cs="Times New Roman"/>
          <w:color w:val="000000" w:themeColor="text1"/>
          <w:spacing w:val="0"/>
        </w:rPr>
        <w:softHyphen/>
        <w:t>тателя, и максимальная скорость для них не являлась важнейшей характеристикой.</w:t>
      </w:r>
    </w:p>
    <w:p w14:paraId="60898411" w14:textId="77777777" w:rsidR="0015278A" w:rsidRPr="008127F8" w:rsidRDefault="0015278A"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Особо нужно подчеркнуть уже здесь проявившееся весьма важное качество мотора: он мог надежно работать при изменении качества смеси в весьма широких пределах без таких нервирующих пилотов «штучек», как перебои в работе, обрезание, перегрев и т.п. Такие «второстепенные» параметры, как несколько пониженная мощность, дымление, увеличенный расход горючего, снижение ресурса — фронтовых лётчиков обычно волно</w:t>
      </w:r>
      <w:r w:rsidRPr="008127F8">
        <w:rPr>
          <w:rFonts w:ascii="Times New Roman" w:cs="Times New Roman"/>
          <w:color w:val="000000" w:themeColor="text1"/>
          <w:spacing w:val="0"/>
        </w:rPr>
        <w:softHyphen/>
        <w:t>вали гораздо меньше, чем их коллег из НИИ ВВС. На фронте главное, чтобы мотор был живуч в бою и работал при любых обстоятельствах, а это М-82 и продемонстрировал (15813).</w:t>
      </w:r>
    </w:p>
    <w:p w14:paraId="169C5DE0" w14:textId="77777777" w:rsidR="0015278A" w:rsidRPr="008127F8" w:rsidRDefault="0015278A" w:rsidP="001E0A84">
      <w:pPr>
        <w:spacing w:after="0" w:line="240" w:lineRule="auto"/>
        <w:jc w:val="both"/>
        <w:rPr>
          <w:rFonts w:ascii="Times New Roman" w:hAnsi="Times New Roman"/>
          <w:color w:val="000000" w:themeColor="text1"/>
          <w:sz w:val="16"/>
          <w:szCs w:val="16"/>
        </w:rPr>
      </w:pPr>
    </w:p>
    <w:p w14:paraId="07CA26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по май 1942 года для отработки вопросов применения ТК проводились испытания Су-3, в которых участвовал летчик-испытатель В.П. Федоров (9976).</w:t>
      </w:r>
    </w:p>
    <w:p w14:paraId="7133EB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775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ОКБ В.Г.Ермолаева вернулась в Москву, но часть его была опять направлена в Сибирь работая над Ер-2 (4,280).</w:t>
      </w:r>
    </w:p>
    <w:p w14:paraId="37B2E3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34373" w14:textId="77777777" w:rsidR="006C271F" w:rsidRPr="008127F8" w:rsidRDefault="006C271F"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За март - апрель 1942 на заводе 155 выпустили пять ма</w:t>
      </w:r>
      <w:r w:rsidRPr="008127F8">
        <w:rPr>
          <w:rFonts w:ascii="Times New Roman" w:hAnsi="Times New Roman"/>
          <w:color w:val="000000" w:themeColor="text1"/>
          <w:sz w:val="16"/>
          <w:szCs w:val="16"/>
          <w:lang w:eastAsia="ru-RU" w:bidi="ru-RU"/>
        </w:rPr>
        <w:softHyphen/>
        <w:t>шин Ту-2 1-й серии (с заводскими номерами 100101 - 100105). Все Ту-2 омского за</w:t>
      </w:r>
      <w:r w:rsidRPr="008127F8">
        <w:rPr>
          <w:rFonts w:ascii="Times New Roman" w:hAnsi="Times New Roman"/>
          <w:color w:val="000000" w:themeColor="text1"/>
          <w:sz w:val="16"/>
          <w:szCs w:val="16"/>
          <w:lang w:eastAsia="ru-RU" w:bidi="ru-RU"/>
        </w:rPr>
        <w:softHyphen/>
        <w:t>вода имели номера подобного типа, где «100» - код типа самолета, далее номер серии (в данном случае - «1») и собст</w:t>
      </w:r>
      <w:r w:rsidRPr="008127F8">
        <w:rPr>
          <w:rFonts w:ascii="Times New Roman" w:hAnsi="Times New Roman"/>
          <w:color w:val="000000" w:themeColor="text1"/>
          <w:sz w:val="16"/>
          <w:szCs w:val="16"/>
          <w:lang w:eastAsia="ru-RU" w:bidi="ru-RU"/>
        </w:rPr>
        <w:softHyphen/>
        <w:t>венно номер машины в серии. В апреле- мае последовала 2-я серия (еще пять бомбардировщиков), а в мае-июне - 3-я (десять машин). В самолетах 1-й серии ис</w:t>
      </w:r>
      <w:r w:rsidRPr="008127F8">
        <w:rPr>
          <w:rFonts w:ascii="Times New Roman" w:hAnsi="Times New Roman"/>
          <w:color w:val="000000" w:themeColor="text1"/>
          <w:sz w:val="16"/>
          <w:szCs w:val="16"/>
          <w:lang w:eastAsia="ru-RU" w:bidi="ru-RU"/>
        </w:rPr>
        <w:softHyphen/>
        <w:t>пользовали часть узлов и агрегатов, сде</w:t>
      </w:r>
      <w:r w:rsidRPr="008127F8">
        <w:rPr>
          <w:rFonts w:ascii="Times New Roman" w:hAnsi="Times New Roman"/>
          <w:color w:val="000000" w:themeColor="text1"/>
          <w:sz w:val="16"/>
          <w:szCs w:val="16"/>
          <w:lang w:eastAsia="ru-RU" w:bidi="ru-RU"/>
        </w:rPr>
        <w:softHyphen/>
        <w:t>ланных еще в Москве и эвакуированных в Омск с заводом №156, далее все изго</w:t>
      </w:r>
      <w:r w:rsidRPr="008127F8">
        <w:rPr>
          <w:rFonts w:ascii="Times New Roman" w:hAnsi="Times New Roman"/>
          <w:color w:val="000000" w:themeColor="text1"/>
          <w:sz w:val="16"/>
          <w:szCs w:val="16"/>
          <w:lang w:eastAsia="ru-RU" w:bidi="ru-RU"/>
        </w:rPr>
        <w:softHyphen/>
        <w:t>тавливалось на месте (21061).</w:t>
      </w:r>
    </w:p>
    <w:p w14:paraId="12AF89B1" w14:textId="77777777" w:rsidR="006C271F" w:rsidRPr="008127F8" w:rsidRDefault="006C271F" w:rsidP="001E0A84">
      <w:pPr>
        <w:spacing w:after="0" w:line="240" w:lineRule="auto"/>
        <w:jc w:val="both"/>
        <w:rPr>
          <w:rFonts w:ascii="Times New Roman" w:hAnsi="Times New Roman"/>
          <w:color w:val="000000" w:themeColor="text1"/>
          <w:sz w:val="16"/>
          <w:szCs w:val="16"/>
        </w:rPr>
      </w:pPr>
    </w:p>
    <w:p w14:paraId="734208E4" w14:textId="77777777" w:rsidR="006C271F" w:rsidRPr="008127F8" w:rsidRDefault="006C271F"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начале весны 1942 г. на «103» проходили полигонные испытания при</w:t>
      </w:r>
      <w:r w:rsidRPr="008127F8">
        <w:rPr>
          <w:rFonts w:ascii="Times New Roman" w:hAnsi="Times New Roman"/>
          <w:color w:val="000000" w:themeColor="text1"/>
          <w:sz w:val="16"/>
          <w:szCs w:val="16"/>
          <w:lang w:eastAsia="ru-RU" w:bidi="ru-RU"/>
        </w:rPr>
        <w:softHyphen/>
        <w:t>цела ПФБ-100; на машине летал экипаж НИПАВ во главе со старшим лейтенантом В.А. Евсеевым (21061).</w:t>
      </w:r>
    </w:p>
    <w:p w14:paraId="475BF881" w14:textId="77777777" w:rsidR="006C271F" w:rsidRPr="008127F8" w:rsidRDefault="006C271F" w:rsidP="001E0A84">
      <w:pPr>
        <w:spacing w:after="0" w:line="240" w:lineRule="auto"/>
        <w:jc w:val="both"/>
        <w:rPr>
          <w:rFonts w:ascii="Times New Roman" w:hAnsi="Times New Roman"/>
          <w:color w:val="000000" w:themeColor="text1"/>
          <w:sz w:val="16"/>
          <w:szCs w:val="16"/>
        </w:rPr>
      </w:pPr>
    </w:p>
    <w:p w14:paraId="22F3F1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в НИИ ВВС проходили совместные испытания Пе-2Ф с М-105ТК-2Ф. Л м А.М.Хрипков выполнил 34 полета и три завершились вынужденными посадками из-за отказа ВМГ (2205,36).</w:t>
      </w:r>
    </w:p>
    <w:p w14:paraId="037234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114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г. в НИИ ВВС КА проводились совместные государственные и заводские испытания первого опытного экземпляра Пе-2Ф. Ведущий летчик-испытатель майор А.М. Хрипков выполнил 34 полета, три из них завершились вынужденными посадками. При нормальной полетной массе 8360 кг (на 500-600 кг больше, чем у современных ему серийных Пе-2) самолет развил у земли скорость 468 км/ч, а на границе высотности 6500 м - 560 км/ч, т.е. “не добрал” 40 км/ч до расчетного значения. Время набора высоты 5000 м составляло 7,8 мин, практический потолок - 10300 м. По технике пилотирования Пе-2Ф почти не отличался от обычной “пешки”, но имел большие скорость отрыва и посадочную скорость - отчасти из-за увеличения массы, отчасти из-за уменьшения площади посадочных щитков. Отмечено было также, что самолет стал более устойчивым, но менее маневренным.</w:t>
      </w:r>
    </w:p>
    <w:p w14:paraId="5A531C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Винтомоторная группа Пе-2Ф оказалась недоведенной. Мало того, что постоянно барахлили турбокомпрессоры - то текло масло, то расшатывались лопатки ротора, то разрушались опорные кольца крыльчатки. Даже при нормальной работе силовой установки управление ею стало делом весьма сложным. Автоматы регулировки наддува (их задача - поддержание постоянным давления сжатого воздуха на выходе ТК) на самолете отсутствовали, поэтому в качестве такого “устройства” был вынужден выступать летчик.</w:t>
      </w:r>
    </w:p>
    <w:p w14:paraId="416A73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Построив графики зависимости максимальной скорости полета от высоты для головного серийного Пе-2 и Пе-2Ф, ведущий инженер Шашков убедился в том, что различия в диапазоне высот от земли до 5000 м совершенно незначительны. Пе-2Ф с моторами М-105Ф не продемонстрировал того свойства, на которое делалась ставка - высокой скорости полета (на 30-40 км/ч больше, чем у серийного Пе-2). Поэтому в заключении по испытаниям новой машины было записано: “Самолет Пе-2Ф не может быть рекомендован для серийного производства... Рекомендуется установить на Пе-2Ф и дублер моторы М-107 и повторить испытания...” (4476).</w:t>
      </w:r>
    </w:p>
    <w:p w14:paraId="2BD276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D568E" w14:textId="77777777" w:rsidR="006C271F" w:rsidRPr="008127F8" w:rsidRDefault="006C271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марте-апреле 1942 г. Пе2Ф прошел Госиспытания в НИИ ВВС, которые показали ненадежную работу винтомоторной группы, особенно турбокомпрессоров и регуляторов наддува, а также сложность управления ею. Но судьба Пе-2Ф была решена еще в конце первого года войны. В серию он не шел, так как уже изначально доработкам и изменениям подверглось 40 % деталей, узлов и агрегатов самолета, а в окончательном проекте — ровно половина. По сути, это был новый самолет, освоить </w:t>
      </w:r>
      <w:proofErr w:type="gramStart"/>
      <w:r w:rsidRPr="008127F8">
        <w:rPr>
          <w:rFonts w:ascii="Times New Roman" w:hAnsi="Times New Roman"/>
          <w:color w:val="000000" w:themeColor="text1"/>
          <w:sz w:val="16"/>
          <w:szCs w:val="16"/>
        </w:rPr>
        <w:t>производство</w:t>
      </w:r>
      <w:proofErr w:type="gramEnd"/>
      <w:r w:rsidRPr="008127F8">
        <w:rPr>
          <w:rFonts w:ascii="Times New Roman" w:hAnsi="Times New Roman"/>
          <w:color w:val="000000" w:themeColor="text1"/>
          <w:sz w:val="16"/>
          <w:szCs w:val="16"/>
        </w:rPr>
        <w:t xml:space="preserve"> которого, не «провалив» снабжение фронта бомбардировщиками, теперь было невозможно (22827).</w:t>
      </w:r>
    </w:p>
    <w:p w14:paraId="6AFE4DAA" w14:textId="77777777" w:rsidR="006C271F" w:rsidRPr="008127F8" w:rsidRDefault="006C271F" w:rsidP="001E0A84">
      <w:pPr>
        <w:spacing w:after="0" w:line="240" w:lineRule="auto"/>
        <w:jc w:val="both"/>
        <w:rPr>
          <w:rFonts w:ascii="Times New Roman" w:hAnsi="Times New Roman"/>
          <w:color w:val="000000" w:themeColor="text1"/>
          <w:sz w:val="16"/>
          <w:szCs w:val="16"/>
        </w:rPr>
      </w:pPr>
    </w:p>
    <w:p w14:paraId="441C8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г. в НИИ ВВС КА проводились совместные государственные и заводские испытания первого опытного экземпляра Пе-2Ф. Ведущий летчик-испытатель майор A.M. Хрипков выполнил 34 полета, три из них завершились вынужденными посадками из-за отказов винтомоторной группы. При нормальной полетной массе 8360 кг (на 500-600 кг большей, чем у современных ему серийных Пе-2) самолет развил у земли скорость 468 км/ч, а на границе высотности 6500 м - 560 км/ч, т.е. "не добрал" 40 км/ч до расчетного значения. Время набора высоты 5000 м составляло 7,8 мин, практический потолок -10300 м. По технике пилотирования Пе-2Ф почти не отличался от обычной "пешки", но имел большие скорость отрыва и посадочную скорость - отчасти из-за увеличения массы, отчасти из- за уменьшения площади посадочных щитков. Отмечалось также, что самолет стал более устойчивым, но менее маневренным.</w:t>
      </w:r>
    </w:p>
    <w:p w14:paraId="14FB2B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гибели В.М. Петлякова доводкой Пе-2Ф занимался A.M. Изаксон. У машины усилили оборонительное вооружение: вместо обычной верхней установки штурмана ТСС-1 с пулеметом ШКАС смонтировали вращающуюся экранированную турель ВУБ-2 с крупнокалиберным пулеметом УБТ (примерно в это же время на серийных Пе-2 появилась шкворневая установка "ФТ" с таким же пулеметом). Интересно, что фонарь кабины пилота Пе-2Ф сохранил противокапотажную раму, которая впоследствии исчезла на серийных Пе-2 с установками ВУБ-1.</w:t>
      </w:r>
    </w:p>
    <w:p w14:paraId="02CDDB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Другие изменения в конструкции Пе-2Ф были связаны с увеличением размеров верхнего люка для стрелка, переделкой нижнего люка, который был бронирован и стал открываться наружу. Серьезным переработкам подверглась бензосистема. Число баков увеличилось до 12 (на Пе-2 до 64-й серии -11, с 64-й серии 9), изменилась </w:t>
      </w:r>
      <w:r w:rsidRPr="008127F8">
        <w:rPr>
          <w:rFonts w:ascii="Times New Roman" w:hAnsi="Times New Roman"/>
          <w:color w:val="000000" w:themeColor="text1"/>
          <w:sz w:val="16"/>
          <w:szCs w:val="16"/>
        </w:rPr>
        <w:lastRenderedPageBreak/>
        <w:t>и схема их про- тектирования. Капотирование моторов выполнили совершенно по-новому, а более мощные водорадиаторы получили широкие воздухозаборники с регулируемой "губой" (на серийной "пешке" входные отверстия тоннелей водорадиаторов не регулировались). Кроме того, ввели промежуточные радиаторы для охлаждения воздуха, поступающего от турбокомпрессоров к карбюраторам.</w:t>
      </w:r>
    </w:p>
    <w:p w14:paraId="2E707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Винтомоторная группа Пе-2Ф требовала доводки. Барахлили турбокомпрессоры - текло масло, расшатывались лопатки ротора, разрушались опорные кольца крыльчатки. Даже при нормальной работе силовой установки управление ею оказалось делом весьма сложным. Автоматы регулировки наддува (их задача - поддержание постоянным давления сжатого воздуха на выходе ТК) на самолете отсутствовали, поэтому летчик был вынужден вручную управлять качеством топливной смеси. </w:t>
      </w:r>
      <w:proofErr w:type="gramStart"/>
      <w:r w:rsidRPr="008127F8">
        <w:rPr>
          <w:rFonts w:ascii="Times New Roman" w:hAnsi="Times New Roman"/>
          <w:color w:val="000000" w:themeColor="text1"/>
          <w:sz w:val="16"/>
          <w:szCs w:val="16"/>
        </w:rPr>
        <w:t>Занятие это непростое</w:t>
      </w:r>
      <w:proofErr w:type="gramEnd"/>
      <w:r w:rsidRPr="008127F8">
        <w:rPr>
          <w:rFonts w:ascii="Times New Roman" w:hAnsi="Times New Roman"/>
          <w:color w:val="000000" w:themeColor="text1"/>
          <w:sz w:val="16"/>
          <w:szCs w:val="16"/>
        </w:rPr>
        <w:t>, особенно на переходных режимах, так как все параметры работающей силовой установки взаимосвязаны. Например, при взлете следовало заранее учитывать увеличение скоростного напора в ходе разбега во избежание перенаддува (из-за нарастания скорости). Поскольку динамические характеристики левой и правой силовых установок были не совсем одинаковыми, Хрипкову приходилось изрядно поломать голову, прежде чем переместить тот или иной рычаг управления моторами.</w:t>
      </w:r>
    </w:p>
    <w:p w14:paraId="2C4CEA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Часто перегревались свечи, оказался недостаточным продув выхлопных коллекторов, из суфлера картера моторов сильно выбрасывало масло (этот недостаток вообще типичен для моторов серии М-105). Кроме того, выяснилось, что при проектировании бомбардировочного вооружения также были допущены некоторые просчеты, в результате чего подвеска бомб внутри фюзеляжа стала опасной операцией (один из специалистов вынужден был стоять в момент подвески под бомбой).</w:t>
      </w:r>
    </w:p>
    <w:p w14:paraId="1DCF6A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Построив высотно-скоростные графики для головного серийного Пе-2 и Пе-2Ф, ведущий инженер Шашков убедился в том, что различия скорости в диапазоне высот от земли до 5000 м совершенно незначительны. Пе-2Ф с моторами М-105Ф не продемонстрировал того свойства, на которое делалась ставка высокой скорости полета (на 30-40 км/ч больше, чем у серийного Пе-2). Поэтому в заключении по испытаниям новой машины было записано: "Самолет Пе-2Ф не может быть рекомендован для серийного производства... Рекомендуется установить на Пе-2Ф и дублер моторы М-107 и повторить испытания..." (12042).</w:t>
      </w:r>
    </w:p>
    <w:p w14:paraId="394522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BBA24"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в НИИ ВВС проходили контрольные испытания Як-1 М-105П NN 2029 и 3835 (1684,143).</w:t>
      </w:r>
    </w:p>
    <w:p w14:paraId="1730F3D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Максимальные скорости горизонтального полета Як-1 № 2029 (полетный вес 2951 кг, обороты мотора 2700 об/мин, МСА)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6F4095" w:rsidRPr="008127F8" w14:paraId="03EA850B" w14:textId="77777777" w:rsidTr="007609C9">
        <w:tc>
          <w:tcPr>
            <w:tcW w:w="1121" w:type="dxa"/>
            <w:tcBorders>
              <w:top w:val="single" w:sz="12" w:space="0" w:color="auto"/>
            </w:tcBorders>
          </w:tcPr>
          <w:p w14:paraId="4C071CDA"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км</w:t>
            </w:r>
          </w:p>
        </w:tc>
        <w:tc>
          <w:tcPr>
            <w:tcW w:w="1121" w:type="dxa"/>
            <w:tcBorders>
              <w:top w:val="single" w:sz="12" w:space="0" w:color="auto"/>
            </w:tcBorders>
          </w:tcPr>
          <w:p w14:paraId="47EAB54E"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21" w:type="dxa"/>
            <w:tcBorders>
              <w:top w:val="single" w:sz="12" w:space="0" w:color="auto"/>
            </w:tcBorders>
          </w:tcPr>
          <w:p w14:paraId="123A509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121" w:type="dxa"/>
            <w:tcBorders>
              <w:top w:val="single" w:sz="12" w:space="0" w:color="auto"/>
            </w:tcBorders>
          </w:tcPr>
          <w:p w14:paraId="6231C5B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21" w:type="dxa"/>
            <w:tcBorders>
              <w:top w:val="single" w:sz="12" w:space="0" w:color="auto"/>
            </w:tcBorders>
          </w:tcPr>
          <w:p w14:paraId="2A7A945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121" w:type="dxa"/>
            <w:tcBorders>
              <w:top w:val="single" w:sz="12" w:space="0" w:color="auto"/>
            </w:tcBorders>
          </w:tcPr>
          <w:p w14:paraId="3B996A14"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21" w:type="dxa"/>
            <w:tcBorders>
              <w:top w:val="single" w:sz="12" w:space="0" w:color="auto"/>
            </w:tcBorders>
          </w:tcPr>
          <w:p w14:paraId="07875C02"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1121" w:type="dxa"/>
            <w:tcBorders>
              <w:top w:val="single" w:sz="12" w:space="0" w:color="auto"/>
            </w:tcBorders>
          </w:tcPr>
          <w:p w14:paraId="6EE16AED"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121" w:type="dxa"/>
            <w:tcBorders>
              <w:top w:val="single" w:sz="12" w:space="0" w:color="auto"/>
            </w:tcBorders>
          </w:tcPr>
          <w:p w14:paraId="58CFFAC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121" w:type="dxa"/>
            <w:tcBorders>
              <w:top w:val="single" w:sz="12" w:space="0" w:color="auto"/>
            </w:tcBorders>
          </w:tcPr>
          <w:p w14:paraId="3DD3DDA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r>
      <w:tr w:rsidR="006F4095" w:rsidRPr="008127F8" w14:paraId="3DDFADF0" w14:textId="77777777" w:rsidTr="007609C9">
        <w:tc>
          <w:tcPr>
            <w:tcW w:w="1121" w:type="dxa"/>
          </w:tcPr>
          <w:p w14:paraId="56FEADC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на испытаниях, км/ч</w:t>
            </w:r>
          </w:p>
        </w:tc>
        <w:tc>
          <w:tcPr>
            <w:tcW w:w="1121" w:type="dxa"/>
          </w:tcPr>
          <w:p w14:paraId="035D2FF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w:t>
            </w:r>
          </w:p>
        </w:tc>
        <w:tc>
          <w:tcPr>
            <w:tcW w:w="1121" w:type="dxa"/>
          </w:tcPr>
          <w:p w14:paraId="2904EE12"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522</w:t>
            </w:r>
          </w:p>
        </w:tc>
        <w:tc>
          <w:tcPr>
            <w:tcW w:w="1121" w:type="dxa"/>
          </w:tcPr>
          <w:p w14:paraId="3D2DE0E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539</w:t>
            </w:r>
          </w:p>
        </w:tc>
        <w:tc>
          <w:tcPr>
            <w:tcW w:w="1121" w:type="dxa"/>
          </w:tcPr>
          <w:p w14:paraId="24192EB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544</w:t>
            </w:r>
          </w:p>
        </w:tc>
        <w:tc>
          <w:tcPr>
            <w:tcW w:w="1121" w:type="dxa"/>
          </w:tcPr>
          <w:p w14:paraId="752222E8"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546</w:t>
            </w:r>
          </w:p>
        </w:tc>
        <w:tc>
          <w:tcPr>
            <w:tcW w:w="1121" w:type="dxa"/>
          </w:tcPr>
          <w:p w14:paraId="39A204DC"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c>
          <w:tcPr>
            <w:tcW w:w="1121" w:type="dxa"/>
          </w:tcPr>
          <w:p w14:paraId="17A1390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559</w:t>
            </w:r>
          </w:p>
        </w:tc>
        <w:tc>
          <w:tcPr>
            <w:tcW w:w="1121" w:type="dxa"/>
          </w:tcPr>
          <w:p w14:paraId="1F157180"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545</w:t>
            </w:r>
          </w:p>
        </w:tc>
        <w:tc>
          <w:tcPr>
            <w:tcW w:w="1121" w:type="dxa"/>
          </w:tcPr>
          <w:p w14:paraId="14AFF892"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w:t>
            </w:r>
          </w:p>
        </w:tc>
      </w:tr>
      <w:tr w:rsidR="006F4095" w:rsidRPr="008127F8" w14:paraId="5C9AEB3D" w14:textId="77777777" w:rsidTr="007609C9">
        <w:tc>
          <w:tcPr>
            <w:tcW w:w="1121" w:type="dxa"/>
          </w:tcPr>
          <w:p w14:paraId="4920B32B"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по расчету, км/ч</w:t>
            </w:r>
          </w:p>
        </w:tc>
        <w:tc>
          <w:tcPr>
            <w:tcW w:w="1121" w:type="dxa"/>
          </w:tcPr>
          <w:p w14:paraId="0686507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w:t>
            </w:r>
          </w:p>
        </w:tc>
        <w:tc>
          <w:tcPr>
            <w:tcW w:w="1121" w:type="dxa"/>
          </w:tcPr>
          <w:p w14:paraId="69C8AE0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517</w:t>
            </w:r>
          </w:p>
        </w:tc>
        <w:tc>
          <w:tcPr>
            <w:tcW w:w="1121" w:type="dxa"/>
          </w:tcPr>
          <w:p w14:paraId="52C93E7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538</w:t>
            </w:r>
          </w:p>
        </w:tc>
        <w:tc>
          <w:tcPr>
            <w:tcW w:w="1121" w:type="dxa"/>
          </w:tcPr>
          <w:p w14:paraId="0D6E926F"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541</w:t>
            </w:r>
          </w:p>
        </w:tc>
        <w:tc>
          <w:tcPr>
            <w:tcW w:w="1121" w:type="dxa"/>
          </w:tcPr>
          <w:p w14:paraId="65F46412"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542</w:t>
            </w:r>
          </w:p>
        </w:tc>
        <w:tc>
          <w:tcPr>
            <w:tcW w:w="1121" w:type="dxa"/>
          </w:tcPr>
          <w:p w14:paraId="6BAFE5C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c>
          <w:tcPr>
            <w:tcW w:w="1121" w:type="dxa"/>
          </w:tcPr>
          <w:p w14:paraId="560EB19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559</w:t>
            </w:r>
          </w:p>
        </w:tc>
        <w:tc>
          <w:tcPr>
            <w:tcW w:w="1121" w:type="dxa"/>
          </w:tcPr>
          <w:p w14:paraId="0CC01E5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w:t>
            </w:r>
          </w:p>
        </w:tc>
        <w:tc>
          <w:tcPr>
            <w:tcW w:w="1121" w:type="dxa"/>
          </w:tcPr>
          <w:p w14:paraId="4157B3D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532</w:t>
            </w:r>
          </w:p>
        </w:tc>
      </w:tr>
      <w:tr w:rsidR="006F4095" w:rsidRPr="008127F8" w14:paraId="2F8000CB" w14:textId="77777777" w:rsidTr="007609C9">
        <w:tc>
          <w:tcPr>
            <w:tcW w:w="1121" w:type="dxa"/>
            <w:tcBorders>
              <w:bottom w:val="single" w:sz="12" w:space="0" w:color="auto"/>
            </w:tcBorders>
          </w:tcPr>
          <w:p w14:paraId="3E3F5C7A"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Погрешность расчета %</w:t>
            </w:r>
          </w:p>
        </w:tc>
        <w:tc>
          <w:tcPr>
            <w:tcW w:w="1121" w:type="dxa"/>
            <w:tcBorders>
              <w:bottom w:val="single" w:sz="12" w:space="0" w:color="auto"/>
            </w:tcBorders>
          </w:tcPr>
          <w:p w14:paraId="1FCB7B94"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w:t>
            </w:r>
          </w:p>
        </w:tc>
        <w:tc>
          <w:tcPr>
            <w:tcW w:w="1121" w:type="dxa"/>
            <w:tcBorders>
              <w:bottom w:val="single" w:sz="12" w:space="0" w:color="auto"/>
            </w:tcBorders>
          </w:tcPr>
          <w:p w14:paraId="5C50ACA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21" w:type="dxa"/>
            <w:tcBorders>
              <w:bottom w:val="single" w:sz="12" w:space="0" w:color="auto"/>
            </w:tcBorders>
          </w:tcPr>
          <w:p w14:paraId="1DFBDB2F"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w:t>
            </w:r>
          </w:p>
        </w:tc>
        <w:tc>
          <w:tcPr>
            <w:tcW w:w="1121" w:type="dxa"/>
            <w:tcBorders>
              <w:bottom w:val="single" w:sz="12" w:space="0" w:color="auto"/>
            </w:tcBorders>
          </w:tcPr>
          <w:p w14:paraId="6214581D"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w:t>
            </w:r>
          </w:p>
        </w:tc>
        <w:tc>
          <w:tcPr>
            <w:tcW w:w="1121" w:type="dxa"/>
            <w:tcBorders>
              <w:bottom w:val="single" w:sz="12" w:space="0" w:color="auto"/>
            </w:tcBorders>
          </w:tcPr>
          <w:p w14:paraId="418539A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w:t>
            </w:r>
          </w:p>
        </w:tc>
        <w:tc>
          <w:tcPr>
            <w:tcW w:w="1121" w:type="dxa"/>
            <w:tcBorders>
              <w:bottom w:val="single" w:sz="12" w:space="0" w:color="auto"/>
            </w:tcBorders>
          </w:tcPr>
          <w:p w14:paraId="2F01DC2A"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121" w:type="dxa"/>
            <w:tcBorders>
              <w:bottom w:val="single" w:sz="12" w:space="0" w:color="auto"/>
            </w:tcBorders>
          </w:tcPr>
          <w:p w14:paraId="756813F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121" w:type="dxa"/>
            <w:tcBorders>
              <w:bottom w:val="single" w:sz="12" w:space="0" w:color="auto"/>
            </w:tcBorders>
          </w:tcPr>
          <w:p w14:paraId="34D1F8D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w:t>
            </w:r>
          </w:p>
        </w:tc>
        <w:tc>
          <w:tcPr>
            <w:tcW w:w="1121" w:type="dxa"/>
            <w:tcBorders>
              <w:bottom w:val="single" w:sz="12" w:space="0" w:color="auto"/>
            </w:tcBorders>
          </w:tcPr>
          <w:p w14:paraId="76442658"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bl>
    <w:p w14:paraId="5CAB4B4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(12048).</w:t>
      </w:r>
    </w:p>
    <w:p w14:paraId="3273D35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Сводный график областей превосходства самолетов МиГ-3 № 3802 и Як -1 № 2029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6F4095" w:rsidRPr="008127F8" w14:paraId="203EA3D4" w14:textId="77777777" w:rsidTr="007609C9">
        <w:tc>
          <w:tcPr>
            <w:tcW w:w="1401" w:type="dxa"/>
            <w:tcBorders>
              <w:top w:val="single" w:sz="12" w:space="0" w:color="auto"/>
            </w:tcBorders>
          </w:tcPr>
          <w:p w14:paraId="207F5D5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Область</w:t>
            </w:r>
          </w:p>
        </w:tc>
        <w:tc>
          <w:tcPr>
            <w:tcW w:w="1401" w:type="dxa"/>
            <w:tcBorders>
              <w:top w:val="single" w:sz="12" w:space="0" w:color="auto"/>
            </w:tcBorders>
          </w:tcPr>
          <w:p w14:paraId="512C96F0"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tc>
        <w:tc>
          <w:tcPr>
            <w:tcW w:w="1401" w:type="dxa"/>
            <w:tcBorders>
              <w:top w:val="single" w:sz="12" w:space="0" w:color="auto"/>
            </w:tcBorders>
          </w:tcPr>
          <w:p w14:paraId="36A76834"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w:t>
            </w:r>
          </w:p>
        </w:tc>
        <w:tc>
          <w:tcPr>
            <w:tcW w:w="1401" w:type="dxa"/>
            <w:tcBorders>
              <w:top w:val="single" w:sz="12" w:space="0" w:color="auto"/>
            </w:tcBorders>
          </w:tcPr>
          <w:p w14:paraId="4F5565C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Ill</w:t>
            </w:r>
          </w:p>
        </w:tc>
        <w:tc>
          <w:tcPr>
            <w:tcW w:w="1401" w:type="dxa"/>
            <w:tcBorders>
              <w:top w:val="single" w:sz="12" w:space="0" w:color="auto"/>
            </w:tcBorders>
          </w:tcPr>
          <w:p w14:paraId="1A2DBFA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w:t>
            </w:r>
          </w:p>
        </w:tc>
        <w:tc>
          <w:tcPr>
            <w:tcW w:w="1401" w:type="dxa"/>
            <w:tcBorders>
              <w:top w:val="single" w:sz="12" w:space="0" w:color="auto"/>
            </w:tcBorders>
          </w:tcPr>
          <w:p w14:paraId="681D82DD"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4F32506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w:t>
            </w:r>
          </w:p>
        </w:tc>
        <w:tc>
          <w:tcPr>
            <w:tcW w:w="1401" w:type="dxa"/>
            <w:tcBorders>
              <w:top w:val="single" w:sz="12" w:space="0" w:color="auto"/>
            </w:tcBorders>
          </w:tcPr>
          <w:p w14:paraId="5843130C"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w:t>
            </w:r>
          </w:p>
        </w:tc>
      </w:tr>
      <w:tr w:rsidR="006F4095" w:rsidRPr="008127F8" w14:paraId="286F579E" w14:textId="77777777" w:rsidTr="007609C9">
        <w:tc>
          <w:tcPr>
            <w:tcW w:w="1401" w:type="dxa"/>
          </w:tcPr>
          <w:p w14:paraId="1E1FC82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Ny доп.</w:t>
            </w:r>
          </w:p>
        </w:tc>
        <w:tc>
          <w:tcPr>
            <w:tcW w:w="1401" w:type="dxa"/>
          </w:tcPr>
          <w:p w14:paraId="444DFBE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Область</w:t>
            </w:r>
          </w:p>
        </w:tc>
        <w:tc>
          <w:tcPr>
            <w:tcW w:w="1401" w:type="dxa"/>
          </w:tcPr>
          <w:p w14:paraId="7EC572D4"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77D32BC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7B430F0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56A4D0D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BEBC83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6F6C4A68"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Область</w:t>
            </w:r>
          </w:p>
        </w:tc>
      </w:tr>
      <w:tr w:rsidR="006F4095" w:rsidRPr="008127F8" w14:paraId="75637316" w14:textId="77777777" w:rsidTr="007609C9">
        <w:tc>
          <w:tcPr>
            <w:tcW w:w="1401" w:type="dxa"/>
          </w:tcPr>
          <w:p w14:paraId="5281082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I\ly пр.</w:t>
            </w:r>
          </w:p>
        </w:tc>
        <w:tc>
          <w:tcPr>
            <w:tcW w:w="1401" w:type="dxa"/>
          </w:tcPr>
          <w:p w14:paraId="3B22FCD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недоступная</w:t>
            </w:r>
          </w:p>
        </w:tc>
        <w:tc>
          <w:tcPr>
            <w:tcW w:w="1401" w:type="dxa"/>
          </w:tcPr>
          <w:p w14:paraId="484A85D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6DFC883A"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0C030917"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6B80801C"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BBF9A53"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4090283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недоступная</w:t>
            </w:r>
          </w:p>
        </w:tc>
      </w:tr>
      <w:tr w:rsidR="006F4095" w:rsidRPr="008127F8" w14:paraId="224C1FBF" w14:textId="77777777" w:rsidTr="007609C9">
        <w:tc>
          <w:tcPr>
            <w:tcW w:w="1401" w:type="dxa"/>
            <w:tcBorders>
              <w:bottom w:val="single" w:sz="12" w:space="0" w:color="auto"/>
            </w:tcBorders>
          </w:tcPr>
          <w:p w14:paraId="0342FA2C"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Nx р.</w:t>
            </w:r>
          </w:p>
        </w:tc>
        <w:tc>
          <w:tcPr>
            <w:tcW w:w="1401" w:type="dxa"/>
            <w:tcBorders>
              <w:bottom w:val="single" w:sz="12" w:space="0" w:color="auto"/>
            </w:tcBorders>
          </w:tcPr>
          <w:p w14:paraId="3B84221B"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w:t>
            </w:r>
          </w:p>
        </w:tc>
        <w:tc>
          <w:tcPr>
            <w:tcW w:w="1401" w:type="dxa"/>
            <w:tcBorders>
              <w:bottom w:val="single" w:sz="12" w:space="0" w:color="auto"/>
            </w:tcBorders>
          </w:tcPr>
          <w:p w14:paraId="571D418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Borders>
              <w:bottom w:val="single" w:sz="12" w:space="0" w:color="auto"/>
            </w:tcBorders>
          </w:tcPr>
          <w:p w14:paraId="186788C0"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Borders>
              <w:bottom w:val="single" w:sz="12" w:space="0" w:color="auto"/>
            </w:tcBorders>
          </w:tcPr>
          <w:p w14:paraId="56F5E3C6"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Borders>
              <w:bottom w:val="single" w:sz="12" w:space="0" w:color="auto"/>
            </w:tcBorders>
          </w:tcPr>
          <w:p w14:paraId="322FFB59"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75CA45B1"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Borders>
              <w:bottom w:val="single" w:sz="12" w:space="0" w:color="auto"/>
            </w:tcBorders>
          </w:tcPr>
          <w:p w14:paraId="6BE098A0"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r>
    </w:tbl>
    <w:p w14:paraId="5D6AB255"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(12048).</w:t>
      </w:r>
    </w:p>
    <w:p w14:paraId="61485FD0"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8722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г. в Новосибирске находились прибывшие для получения новых самоле</w:t>
      </w:r>
      <w:r w:rsidRPr="008127F8">
        <w:rPr>
          <w:rFonts w:ascii="Times New Roman" w:hAnsi="Times New Roman"/>
          <w:color w:val="000000" w:themeColor="text1"/>
          <w:sz w:val="16"/>
          <w:szCs w:val="16"/>
        </w:rPr>
        <w:softHyphen/>
        <w:t>тов командир 18-го Гвардейского истребительного пол</w:t>
      </w:r>
      <w:r w:rsidRPr="008127F8">
        <w:rPr>
          <w:rFonts w:ascii="Times New Roman" w:hAnsi="Times New Roman"/>
          <w:color w:val="000000" w:themeColor="text1"/>
          <w:sz w:val="16"/>
          <w:szCs w:val="16"/>
        </w:rPr>
        <w:softHyphen/>
        <w:t>ка майор Чертков и его заместитель капитан Цветков. Поликарпов еще до отъезда в Москву попросил их обле</w:t>
      </w:r>
      <w:r w:rsidRPr="008127F8">
        <w:rPr>
          <w:rFonts w:ascii="Times New Roman" w:hAnsi="Times New Roman"/>
          <w:color w:val="000000" w:themeColor="text1"/>
          <w:sz w:val="16"/>
          <w:szCs w:val="16"/>
        </w:rPr>
        <w:softHyphen/>
        <w:t>тать истребитель И-185 и дать свои отзывы о машине. Они были оформлены после отъезда Николая Николае</w:t>
      </w:r>
      <w:r w:rsidRPr="008127F8">
        <w:rPr>
          <w:rFonts w:ascii="Times New Roman" w:hAnsi="Times New Roman"/>
          <w:color w:val="000000" w:themeColor="text1"/>
          <w:sz w:val="16"/>
          <w:szCs w:val="16"/>
        </w:rPr>
        <w:softHyphen/>
        <w:t>вича в Москву и поэтому 31 марта Н.А.Жемчужин от</w:t>
      </w:r>
      <w:r w:rsidRPr="008127F8">
        <w:rPr>
          <w:rFonts w:ascii="Times New Roman" w:hAnsi="Times New Roman"/>
          <w:color w:val="000000" w:themeColor="text1"/>
          <w:sz w:val="16"/>
          <w:szCs w:val="16"/>
        </w:rPr>
        <w:softHyphen/>
        <w:t>правил их вслед Поликарпову в НКАП, справедливо полагая, что мнения фронтовых летчиков являются ве</w:t>
      </w:r>
      <w:r w:rsidRPr="008127F8">
        <w:rPr>
          <w:rFonts w:ascii="Times New Roman" w:hAnsi="Times New Roman"/>
          <w:color w:val="000000" w:themeColor="text1"/>
          <w:sz w:val="16"/>
          <w:szCs w:val="16"/>
        </w:rPr>
        <w:softHyphen/>
        <w:t>сомым аргументом в поддержку И-185.</w:t>
      </w:r>
    </w:p>
    <w:p w14:paraId="581FF6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Отзыв о самолете И-185 с М-71 майора С.Черткова:</w:t>
      </w:r>
    </w:p>
    <w:p w14:paraId="5D33AB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Кабина удобная для обзора воздуха и всех прибо</w:t>
      </w:r>
      <w:r w:rsidRPr="008127F8">
        <w:rPr>
          <w:rFonts w:ascii="Times New Roman" w:hAnsi="Times New Roman"/>
          <w:color w:val="000000" w:themeColor="text1"/>
          <w:sz w:val="16"/>
          <w:szCs w:val="16"/>
        </w:rPr>
        <w:softHyphen/>
        <w:t>ров контроля мотора и пилотажных. В отличие от име</w:t>
      </w:r>
      <w:r w:rsidRPr="008127F8">
        <w:rPr>
          <w:rFonts w:ascii="Times New Roman" w:hAnsi="Times New Roman"/>
          <w:color w:val="000000" w:themeColor="text1"/>
          <w:sz w:val="16"/>
          <w:szCs w:val="16"/>
        </w:rPr>
        <w:softHyphen/>
        <w:t>ющихся кабин на [существующих] истребителях она является комфортом.</w:t>
      </w:r>
    </w:p>
    <w:p w14:paraId="224F21A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Рулежка проста при любом ветре, тормоза работа</w:t>
      </w:r>
      <w:r w:rsidRPr="008127F8">
        <w:rPr>
          <w:rFonts w:ascii="Times New Roman" w:hAnsi="Times New Roman"/>
          <w:color w:val="000000" w:themeColor="text1"/>
          <w:sz w:val="16"/>
          <w:szCs w:val="16"/>
        </w:rPr>
        <w:softHyphen/>
        <w:t>ют хорошо.</w:t>
      </w:r>
    </w:p>
    <w:p w14:paraId="50CB213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Взлет устойчив и по разбегу вполне обеспечивает возможность в боевых условиях работать с небольших площадок.</w:t>
      </w:r>
    </w:p>
    <w:p w14:paraId="1BC720F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разворотах и виражах устойчив, по радиусу ви</w:t>
      </w:r>
      <w:r w:rsidRPr="008127F8">
        <w:rPr>
          <w:rFonts w:ascii="Times New Roman" w:hAnsi="Times New Roman"/>
          <w:color w:val="000000" w:themeColor="text1"/>
          <w:sz w:val="16"/>
          <w:szCs w:val="16"/>
        </w:rPr>
        <w:softHyphen/>
        <w:t>ража дает возможность иметь преимущества перед зна</w:t>
      </w:r>
      <w:r w:rsidRPr="008127F8">
        <w:rPr>
          <w:rFonts w:ascii="Times New Roman" w:hAnsi="Times New Roman"/>
          <w:color w:val="000000" w:themeColor="text1"/>
          <w:sz w:val="16"/>
          <w:szCs w:val="16"/>
        </w:rPr>
        <w:softHyphen/>
        <w:t>комыми в бою германскими истребителями. На боевых разворотах и вообще в бою на вертикали преимущество данного самолета очевидно.</w:t>
      </w:r>
    </w:p>
    <w:p w14:paraId="41495F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Самолет устойчив на больших и малых скоростях, однако надо иметь в виду, что с изменением мощности мотора появляется давление на ручку в зависимости от разворота:</w:t>
      </w:r>
    </w:p>
    <w:p w14:paraId="36D256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устойчив с выпущенными шасси и щитками;</w:t>
      </w:r>
    </w:p>
    <w:p w14:paraId="3E4AF9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 выпуске шасси и щитков соблюдается нор</w:t>
      </w:r>
      <w:r w:rsidRPr="008127F8">
        <w:rPr>
          <w:rFonts w:ascii="Times New Roman" w:hAnsi="Times New Roman"/>
          <w:color w:val="000000" w:themeColor="text1"/>
          <w:sz w:val="16"/>
          <w:szCs w:val="16"/>
        </w:rPr>
        <w:softHyphen/>
        <w:t>мальный режим полета, не затрудняющий летчика из</w:t>
      </w:r>
      <w:r w:rsidRPr="008127F8">
        <w:rPr>
          <w:rFonts w:ascii="Times New Roman" w:hAnsi="Times New Roman"/>
          <w:color w:val="000000" w:themeColor="text1"/>
          <w:sz w:val="16"/>
          <w:szCs w:val="16"/>
        </w:rPr>
        <w:softHyphen/>
        <w:t>лишним вниманием.</w:t>
      </w:r>
    </w:p>
    <w:p w14:paraId="5D4EC1C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Планирование и посадка просты.</w:t>
      </w:r>
    </w:p>
    <w:p w14:paraId="316CD5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Пробег на посадке вполне обеспечивает работу с небольших площадок.</w:t>
      </w:r>
    </w:p>
    <w:p w14:paraId="374A19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вывод.</w:t>
      </w:r>
    </w:p>
    <w:p w14:paraId="30C33C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Преимущества данного самолета перед имеющими</w:t>
      </w:r>
      <w:r w:rsidRPr="008127F8">
        <w:rPr>
          <w:rFonts w:ascii="Times New Roman" w:hAnsi="Times New Roman"/>
          <w:color w:val="000000" w:themeColor="text1"/>
          <w:sz w:val="16"/>
          <w:szCs w:val="16"/>
        </w:rPr>
        <w:softHyphen/>
        <w:t>ся истребителями очевидны. Любой летчик средней ква</w:t>
      </w:r>
      <w:r w:rsidRPr="008127F8">
        <w:rPr>
          <w:rFonts w:ascii="Times New Roman" w:hAnsi="Times New Roman"/>
          <w:color w:val="000000" w:themeColor="text1"/>
          <w:sz w:val="16"/>
          <w:szCs w:val="16"/>
        </w:rPr>
        <w:softHyphen/>
        <w:t>лификации, в особенности летающий на самолете И-16, легко может летать на данном самолете. Разбег и пробег самолета являются особенно положительной чертой для боевой работы».</w:t>
      </w:r>
    </w:p>
    <w:p w14:paraId="4CF1BA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Отзыв капитана Г. Цветаева:</w:t>
      </w:r>
    </w:p>
    <w:p w14:paraId="709CD8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«Рулит самолет устойчиво, амортизация хорошая. На рулении самолет легко управляем.</w:t>
      </w:r>
    </w:p>
    <w:p w14:paraId="4C3283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 производит исключительно просто. Направле</w:t>
      </w:r>
      <w:r w:rsidRPr="008127F8">
        <w:rPr>
          <w:rFonts w:ascii="Times New Roman" w:hAnsi="Times New Roman"/>
          <w:color w:val="000000" w:themeColor="text1"/>
          <w:sz w:val="16"/>
          <w:szCs w:val="16"/>
        </w:rPr>
        <w:softHyphen/>
        <w:t>ние удерживает легко. Разбег короткий и самолет легко отрывается. Самолет набирает высоту хорошо и устой</w:t>
      </w:r>
      <w:r w:rsidRPr="008127F8">
        <w:rPr>
          <w:rFonts w:ascii="Times New Roman" w:hAnsi="Times New Roman"/>
          <w:color w:val="000000" w:themeColor="text1"/>
          <w:sz w:val="16"/>
          <w:szCs w:val="16"/>
        </w:rPr>
        <w:softHyphen/>
        <w:t>чиво.</w:t>
      </w:r>
    </w:p>
    <w:p w14:paraId="48FCE6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воздухе самолет легко управляем и ведет себя ус</w:t>
      </w:r>
      <w:r w:rsidRPr="008127F8">
        <w:rPr>
          <w:rFonts w:ascii="Times New Roman" w:hAnsi="Times New Roman"/>
          <w:color w:val="000000" w:themeColor="text1"/>
          <w:sz w:val="16"/>
          <w:szCs w:val="16"/>
        </w:rPr>
        <w:softHyphen/>
        <w:t>тойчиво. Виражи и б[оевые] развороты делает хорошо, устойчиво, как на больших, [так] и малых скоростях. Планирование устойчивое.</w:t>
      </w:r>
    </w:p>
    <w:p w14:paraId="29184C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посадке самолет прост. С И-16 можно легко пере</w:t>
      </w:r>
      <w:r w:rsidRPr="008127F8">
        <w:rPr>
          <w:rFonts w:ascii="Times New Roman" w:hAnsi="Times New Roman"/>
          <w:color w:val="000000" w:themeColor="text1"/>
          <w:sz w:val="16"/>
          <w:szCs w:val="16"/>
        </w:rPr>
        <w:softHyphen/>
        <w:t>ходить на самолет И-185.</w:t>
      </w:r>
    </w:p>
    <w:p w14:paraId="2438F5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Даже при боковом ветре 7-9 м/с посадка не затрудня</w:t>
      </w:r>
      <w:r w:rsidRPr="008127F8">
        <w:rPr>
          <w:rFonts w:ascii="Times New Roman" w:hAnsi="Times New Roman"/>
          <w:color w:val="000000" w:themeColor="text1"/>
          <w:sz w:val="16"/>
          <w:szCs w:val="16"/>
        </w:rPr>
        <w:softHyphen/>
        <w:t>ется.</w:t>
      </w:r>
    </w:p>
    <w:p w14:paraId="382551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 прост и очень короткий, что позволяет воз</w:t>
      </w:r>
      <w:r w:rsidRPr="008127F8">
        <w:rPr>
          <w:rFonts w:ascii="Times New Roman" w:hAnsi="Times New Roman"/>
          <w:color w:val="000000" w:themeColor="text1"/>
          <w:sz w:val="16"/>
          <w:szCs w:val="16"/>
        </w:rPr>
        <w:softHyphen/>
        <w:t>можность работать на площадках малых размеров» (10667).</w:t>
      </w:r>
    </w:p>
    <w:p w14:paraId="0AA8C6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D75AD"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в НИИ ВВС проходили контрольные испытания ЛаГГ-3 М-105П N 3121232 (1684,143).</w:t>
      </w:r>
    </w:p>
    <w:p w14:paraId="26B81A0F" w14:textId="77777777" w:rsidR="006C271F" w:rsidRPr="008127F8" w:rsidRDefault="006C271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FEC70" w14:textId="77777777" w:rsidR="006C271F" w:rsidRPr="008127F8" w:rsidRDefault="006C271F"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года НИИ ВВС на аэродроме Кольцово под Свердловском прошли контрольные испытания ЛаГГ-3 № 312123-2 23-й серии завода № 21. Этот самолет был доработан в соответствии с требованиями постановления ГКО № 706сс от 23 сентября 1941 года, кроме того, на нем был демонтирован ряд агрегатов и устройств не упоминавшихся в тексте постановления, но вошедших в перечень, подготовленный летчиками-испытателями завода № 31. В результате минимальный полетный вес на колесах, без РС-82 и ПТБ составил 3038 кг. Испытания проводились на лыжах и колесах, с различными вариантами подвески и даже окраски – защитной зимней и деформирующей черно-зеленой летней. Испытатели пришли к неутешительным выводам. Температурный режим ВМГ оставался недопустимо высоким. Максимальная скорость по сравнению с самолетом 7-й серии увеличилась всего на 9 км/ч у земли и 4 км/ч на высоте, а при установке лыж или РС уменьшалась примерно на 20 км/ч. Военные констатировали, что в любом случае максимальная скорость ЛаГГ-3 на высоте 5 километров на 5% ниже, чем у Як-3 (23197).</w:t>
      </w:r>
    </w:p>
    <w:p w14:paraId="67CE4D24" w14:textId="77777777" w:rsidR="006C271F" w:rsidRPr="008127F8" w:rsidRDefault="006C271F" w:rsidP="001E0A84">
      <w:pPr>
        <w:shd w:val="clear" w:color="auto" w:fill="FFFFFF"/>
        <w:spacing w:after="0" w:line="240" w:lineRule="auto"/>
        <w:jc w:val="both"/>
        <w:rPr>
          <w:rFonts w:ascii="Times New Roman" w:hAnsi="Times New Roman"/>
          <w:color w:val="000000" w:themeColor="text1"/>
          <w:sz w:val="16"/>
          <w:szCs w:val="16"/>
        </w:rPr>
      </w:pPr>
    </w:p>
    <w:p w14:paraId="07DF85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марте-мае 1942 в НИИ ВВС КА и ЛИИ проходили испытания Ла-5 (1783,88).</w:t>
      </w:r>
    </w:p>
    <w:p w14:paraId="2521E5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D5D2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марте-апреле 1942 года на завод № 21 отгрузили 100 37-мм пушек Шпитального с завода № 74. Как докладывал 24 мая командующему ВВС генерал-лейтенанту Нови</w:t>
      </w:r>
      <w:r w:rsidRPr="008A2E5A">
        <w:rPr>
          <w:rFonts w:ascii="Times New Roman" w:hAnsi="Times New Roman"/>
          <w:color w:val="0070C0"/>
          <w:sz w:val="16"/>
          <w:szCs w:val="16"/>
        </w:rPr>
        <w:softHyphen/>
        <w:t>кову прежний (до генерал-майора Бибикова) начальник ГУЗ и ТС ВВС бригинженер Селезнев «...завод по своей инициативе приступил к изготовлению самолетов ЛаГГ-3 с этой (37</w:t>
      </w:r>
      <w:r w:rsidRPr="008A2E5A">
        <w:rPr>
          <w:rFonts w:ascii="Times New Roman" w:hAnsi="Times New Roman"/>
          <w:color w:val="0070C0"/>
          <w:sz w:val="16"/>
          <w:szCs w:val="16"/>
        </w:rPr>
        <w:softHyphen/>
        <w:t>мм - прим. авт.) пушкой. 10 таких машин будут закончены производством до 5 июня с.г., 20 - находятся в заделе и будут выпуще</w:t>
      </w:r>
      <w:r w:rsidRPr="008A2E5A">
        <w:rPr>
          <w:rFonts w:ascii="Times New Roman" w:hAnsi="Times New Roman"/>
          <w:color w:val="0070C0"/>
          <w:sz w:val="16"/>
          <w:szCs w:val="16"/>
        </w:rPr>
        <w:softHyphen/>
        <w:t>ны к 1 июля с.г.». При этом предлагалось ис</w:t>
      </w:r>
      <w:r w:rsidRPr="008A2E5A">
        <w:rPr>
          <w:rFonts w:ascii="Times New Roman" w:hAnsi="Times New Roman"/>
          <w:color w:val="0070C0"/>
          <w:sz w:val="16"/>
          <w:szCs w:val="16"/>
        </w:rPr>
        <w:softHyphen/>
        <w:t>пользовать все полученные пушки и построить 100 ЛаГГ-3-37 (23409).</w:t>
      </w:r>
    </w:p>
    <w:p w14:paraId="669AC933" w14:textId="77777777" w:rsidR="00EB32CC" w:rsidRPr="008A2E5A" w:rsidRDefault="00EB32CC" w:rsidP="00EB32CC">
      <w:pPr>
        <w:spacing w:after="0" w:line="240" w:lineRule="auto"/>
        <w:jc w:val="both"/>
        <w:rPr>
          <w:rFonts w:ascii="Times New Roman" w:hAnsi="Times New Roman"/>
          <w:color w:val="0070C0"/>
          <w:sz w:val="16"/>
          <w:szCs w:val="16"/>
        </w:rPr>
      </w:pPr>
    </w:p>
    <w:p w14:paraId="5B25A04A"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марте — апреле 1942 г. в Советском Союзе наладили выпуск за</w:t>
      </w:r>
      <w:r w:rsidRPr="008A2E5A">
        <w:rPr>
          <w:rFonts w:ascii="Times New Roman" w:hAnsi="Times New Roman"/>
          <w:color w:val="0070C0"/>
          <w:sz w:val="16"/>
          <w:szCs w:val="16"/>
        </w:rPr>
        <w:softHyphen/>
        <w:t>пасных лопастей к английским деревянным винтам «Ротол». Они не только ломались при капотировании, растрескивались от попа</w:t>
      </w:r>
      <w:r w:rsidRPr="008A2E5A">
        <w:rPr>
          <w:rFonts w:ascii="Times New Roman" w:hAnsi="Times New Roman"/>
          <w:color w:val="0070C0"/>
          <w:sz w:val="16"/>
          <w:szCs w:val="16"/>
        </w:rPr>
        <w:softHyphen/>
        <w:t>дания пуль, но и повреждались подсасы</w:t>
      </w:r>
      <w:r w:rsidRPr="008A2E5A">
        <w:rPr>
          <w:rFonts w:ascii="Times New Roman" w:hAnsi="Times New Roman"/>
          <w:color w:val="0070C0"/>
          <w:sz w:val="16"/>
          <w:szCs w:val="16"/>
        </w:rPr>
        <w:softHyphen/>
        <w:t>ваемыми на взлете камнями. Временами из-за винтов до половины поставленных самолетов стояло «на приколе» (23513).</w:t>
      </w:r>
    </w:p>
    <w:p w14:paraId="4D830CE6" w14:textId="77777777" w:rsidR="00EB32CC" w:rsidRPr="008A2E5A" w:rsidRDefault="00EB32CC" w:rsidP="00EB32CC">
      <w:pPr>
        <w:spacing w:after="0" w:line="240" w:lineRule="auto"/>
        <w:jc w:val="both"/>
        <w:rPr>
          <w:rFonts w:ascii="Times New Roman" w:hAnsi="Times New Roman"/>
          <w:color w:val="0070C0"/>
          <w:sz w:val="16"/>
          <w:szCs w:val="16"/>
        </w:rPr>
      </w:pPr>
    </w:p>
    <w:p w14:paraId="205C61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марте-апреле 1942 года для транспортировки 60 реактивных снарядов М-13 калибра 132 мм был разработан и принят на вооружение Красной армии зарядный ящик на модифицированном шасси грузового автомобиля ЗИС-5. В кузове обычного транспортного автомобиля ЗИС-5 было возможно транспортировать 46 снарядов. Задание было выдано Главным управлением вооружения Гвардейских минометных частей. </w:t>
      </w:r>
      <w:proofErr w:type="gramStart"/>
      <w:r w:rsidRPr="008127F8">
        <w:rPr>
          <w:rFonts w:ascii="Times New Roman" w:hAnsi="Times New Roman"/>
          <w:color w:val="000000" w:themeColor="text1"/>
          <w:sz w:val="16"/>
          <w:szCs w:val="16"/>
        </w:rPr>
        <w:t>Согласно современной терминологии</w:t>
      </w:r>
      <w:proofErr w:type="gramEnd"/>
      <w:r w:rsidRPr="008127F8">
        <w:rPr>
          <w:rFonts w:ascii="Times New Roman" w:hAnsi="Times New Roman"/>
          <w:color w:val="000000" w:themeColor="text1"/>
          <w:sz w:val="16"/>
          <w:szCs w:val="16"/>
        </w:rPr>
        <w:t xml:space="preserve"> это была транспортная машина (11772).</w:t>
      </w:r>
    </w:p>
    <w:p w14:paraId="1314BC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B58B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5D619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8BDBA5" w14:textId="77777777" w:rsidR="00160084" w:rsidRPr="008127F8" w:rsidRDefault="001600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 апреле 1942 г. 12-й и 13-й караваны союзников доставили в СССР всего лишь 25 т уротропина. В целом за 1942–1944 гг. союзники завезли в СССР по ленд-лизу 5737 т этого вещества, которых хватило бы на производство примерно 6100 т гексогена. Соответственно в СССР в 1942–1944 гг. промышленностью взрывчатых веществ даже с учётом собственных мощностей по изготовлению уротропина было произведено лишь 6915 т гексогена. Это абсолютно не соответствовало содержанию принятого ГКО в декабре 1941 г. постановления, предусматривавшего производство не менее 12000 т гексогена в год (начиная с 1942 г.) или 36000 т этого ВВ за трёхлетний период. Неспособность советской промышленности изготовлять гексоген в нужных объёмах привела к острой нехватке боеприпасов, снаряжённых взрывчатыми составами на его основе. Дефицит подобных боеприпасов обусловливался ещё и тем, что область возможного применения гексогена по сравнению с довоенным периодом резко расширилась. Это было связано, в первую очередь, с изобретением новых рецептур ВВ на основе гексогена и алюминия ТГА (50 % тротила, 40 % гексогена, 10 % алюминиевой пудры) и А-1Х-2 (флегматизированный гексоген и алюминиевая пудра в соотношении 80/20). Особые надежды возлагались на А-1Х-2. Эти планы не были выполнены из-за отсутствия гексогена в необходимом количестве. Таким образом, результатом 17-летней работы советских химиков (1929–1945) в области разработки рентабельной технологии получения гексогена стало отсутствие в стране достаточно развитой промышленности по его производству и необходимой для этого сырьевой базы. В годы войны из-за острой нехватки гексогена Красная армия не снабжалась в достаточном количестве снаряжёнными данным ВВ мощными боеприпасами, использование которых могло бы существенно повысить эффективность действия таких важных родов войск, как артиллерия и авиация (19152).</w:t>
      </w:r>
    </w:p>
    <w:p w14:paraId="6D760D33" w14:textId="77777777" w:rsidR="00160084" w:rsidRPr="008127F8" w:rsidRDefault="00160084" w:rsidP="001E0A84">
      <w:pPr>
        <w:spacing w:after="0" w:line="240" w:lineRule="auto"/>
        <w:jc w:val="both"/>
        <w:rPr>
          <w:rFonts w:ascii="Times New Roman" w:hAnsi="Times New Roman"/>
          <w:color w:val="000000" w:themeColor="text1"/>
          <w:sz w:val="16"/>
          <w:szCs w:val="16"/>
        </w:rPr>
      </w:pPr>
    </w:p>
    <w:p w14:paraId="4FBCECA0"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и апреле 1942 года СКБ-2 ЧКЗ билось над повышением качества коробок передач, но даже вмешательство Котина каких-то существенных результатов не дало. Кое-как ситуацию удалось выправить к июню 1942 года. Тем не менее, еще в середине апреля стало понятно, что требуются более существенные изменения. А именно внедрение 8-скоростной КПП. Тут-то и пригодилась разработка Шашмурина (23351)</w:t>
      </w:r>
    </w:p>
    <w:p w14:paraId="1DCE8E2B" w14:textId="77777777" w:rsidR="00EB32CC" w:rsidRPr="008A2E5A" w:rsidRDefault="00EB32CC" w:rsidP="00EB32CC">
      <w:pPr>
        <w:spacing w:after="0" w:line="240" w:lineRule="auto"/>
        <w:jc w:val="both"/>
        <w:rPr>
          <w:rFonts w:ascii="Times New Roman" w:hAnsi="Times New Roman"/>
          <w:color w:val="0070C0"/>
          <w:sz w:val="16"/>
          <w:szCs w:val="16"/>
        </w:rPr>
      </w:pPr>
    </w:p>
    <w:p w14:paraId="64E549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года была предпринята вторая попытка перевооружить Т-60 путем установки 45-мм танковой пушки ЗИС-19БМ, спроектированную в ОКБ №92. По сравнению с ЗИС-19 Грабина, новое орудие обладало рядом преимуществ: многие из его узлов были унифицированы с серийно производимой пушкой 20К, но главное заключалось в том, что для орудия были хорошо освоенные в производстве боеприпасы (3862).</w:t>
      </w:r>
    </w:p>
    <w:p w14:paraId="4B446E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609B32" w14:textId="77777777" w:rsidR="003513DB" w:rsidRPr="008127F8" w:rsidRDefault="003513D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Март и апрель 1942 года оказались для завода 37 крайне нервными и без истории с первой попыткой запустить в Свердловске производство Т-70. Организационные работы, проведенные на заводе №37, дали свои плоды. Несмотря на опасения, корпусное производство вышло на необходимый уровень. В марте было принято 165 танков, но рост выпуска сопровождался увеличением проблем с заводами-кооператорами. Например, из 190 Т-60, принятых в апреле, 86 танков оказались без гусениц. Первенство по причинам срыва плана выпуска танков удерживал ГАЗ, который за 1-й квартал недопоставил 664 двигателя. Из-за проблем с поставками моторов сборочный цех завода №37 простаивал в течение апреля 8 дней. При этом за апрель было изготовлено 230 корпусов (100% плана), так что именно задержка с двигателями очень сильно повлияла на объем выпуска Т-60.</w:t>
      </w:r>
    </w:p>
    <w:p w14:paraId="642E94DE" w14:textId="77777777" w:rsidR="003513DB" w:rsidRPr="008127F8" w:rsidRDefault="003513D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Как раз в этот момент и возникла идея установить в Т-60 мотор ЗИС-5. В отличие от Т-40, в моторное отделение которого ЗИС-5 не влезал, Т-60 был разработан таким образом, что этот двигатель без особых проблем ставился в него вместо ГАЗ-202. Данные работы дошли до стадии испытаний, также они легли в основу глубокой модернизации Т-60, известной как </w:t>
      </w:r>
      <w:hyperlink r:id="rId99" w:history="1">
        <w:r w:rsidRPr="008127F8">
          <w:rPr>
            <w:rFonts w:ascii="Times New Roman" w:eastAsia="Times New Roman" w:hAnsi="Times New Roman"/>
            <w:color w:val="000000" w:themeColor="text1"/>
            <w:sz w:val="16"/>
            <w:szCs w:val="16"/>
            <w:lang w:eastAsia="ru-RU"/>
          </w:rPr>
          <w:t>Т-45</w:t>
        </w:r>
      </w:hyperlink>
      <w:r w:rsidRPr="008127F8">
        <w:rPr>
          <w:rFonts w:ascii="Times New Roman" w:eastAsia="Times New Roman" w:hAnsi="Times New Roman"/>
          <w:color w:val="000000" w:themeColor="text1"/>
          <w:sz w:val="16"/>
          <w:szCs w:val="16"/>
          <w:lang w:eastAsia="ru-RU"/>
        </w:rPr>
        <w:t>.</w:t>
      </w:r>
    </w:p>
    <w:p w14:paraId="6A120254" w14:textId="77777777" w:rsidR="003513DB" w:rsidRPr="008127F8" w:rsidRDefault="003513D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Постановлением ГКО №1417 «Об организации производства танков Т-70 на заводах №37 и 38 Наркомтанкопрома» от 9 марта выглядит вполне логичным: танк Т-70 по всем параметрам превосходил Т-60 и был нужен в войсках. Другое дело, что для коллектива завода №37 подобное задание выглядело форменным издевательством. С таким трудом удалось перейти на производство Т-60, и тут новая замена! С поставками моторов ГАЗ 202 и так проблема, а у Т-70 таких двигателей два.</w:t>
      </w:r>
    </w:p>
    <w:p w14:paraId="4FF0501E" w14:textId="77777777" w:rsidR="003513DB" w:rsidRPr="008127F8" w:rsidRDefault="003513D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дело был вынужден вмешаться нарком танковой промышленности Малышев, которому доложили о тяжелом положении на заводе. Спустя месяц напряженной переписки и дебатов Молотов утвердил постановление ГКО №1581, вступившее в силу 12 апреля 1942 года. Согласно ему, производство Т-60 в Свердловске сохранялось до августа 1942 года, при этом начало выпуска Т-70 откладывалось до июля. Такие сроки выглядели более реалистичными (17686).</w:t>
      </w:r>
    </w:p>
    <w:p w14:paraId="513E758D" w14:textId="77777777" w:rsidR="003513DB" w:rsidRPr="008127F8" w:rsidRDefault="003513DB" w:rsidP="001E0A84">
      <w:pPr>
        <w:spacing w:after="0" w:line="240" w:lineRule="auto"/>
        <w:jc w:val="both"/>
        <w:rPr>
          <w:rFonts w:ascii="Times New Roman" w:eastAsia="Times New Roman" w:hAnsi="Times New Roman"/>
          <w:color w:val="000000" w:themeColor="text1"/>
          <w:sz w:val="16"/>
          <w:szCs w:val="16"/>
          <w:lang w:eastAsia="ru-RU"/>
        </w:rPr>
      </w:pPr>
    </w:p>
    <w:p w14:paraId="643076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марте-мае 1942 г появился один из первых проектов советской безбашенной боевой машины военного времени (фактически - САУ) на шасси Т-34, который был выполнен конструкторами ЧКЗ и Уралмашзавода Н.Куриным и Г.Ксюниным при участии Н.Сидоренко. Машина получила индекс У-34 и была примечательна тем, что отвечала главному требованию военного времени и эвакуации, а именно - была очень дешевой при сравнительно высоких боевых характеристиках.</w:t>
      </w:r>
    </w:p>
    <w:p w14:paraId="32340D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У-34 сохранила от среднего танка ходовую часть, основные корпусные элементы и вооружение из 76-мм танковой пушки, но отличалась отсутствием вращающейся башни, несколько увеличенной толщиной брони (до 60 мм в некоторых деталях лобовой и бортовой части) и отсутствием курсового пулемета (в У-34 для удешевления предусматривалось использование только пулемета, спаренного с орудием). Конструкция новой боевой машины позволяла наладить ее выпуск по кооперации практически на любом машиностроительном предприятии, имеющем опыт станочного и вагонного производства. При изготовлении У-34 можно было экономить большое количество броневой стали (особенно - фасонного проката, идущего в конструкцию башни), высокоточных стальных шаров, электромоторов, механических шестерен и цветных металлов, изготовление которых в военное время обходилось чрезмерно дорого и сложно. Проект У-34 был одобрен руководством НКТП (Наркомата танковой промышленности), как основной вариант боевой машины - истребителя танков и огневой поддержки для массового серийного производства на эвакуированных площадях. Первые два опытных образца должны были быть изготовлены и поданы на испытания к 1 октября 1942 г (4017).</w:t>
      </w:r>
    </w:p>
    <w:p w14:paraId="11F98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BB81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марта-июня 1943 г. 5-скоростные КПП, созданные для Т-43, были поставле</w:t>
      </w:r>
      <w:r w:rsidRPr="008127F8">
        <w:rPr>
          <w:rFonts w:ascii="Times New Roman" w:hAnsi="Times New Roman"/>
          <w:color w:val="000000" w:themeColor="text1"/>
          <w:sz w:val="16"/>
          <w:szCs w:val="16"/>
        </w:rPr>
        <w:softHyphen/>
        <w:t>ны в массовое производство для Т-34 (10782).</w:t>
      </w:r>
    </w:p>
    <w:p w14:paraId="72D268F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22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Кулебакский завод отлил 62 новых башни для Т-34М, разработанной под руководством б ГК Мариупольского з-да В.Ниценко с толщиной стенок 58-80 мм. Некоторые установили на танки, направленные на фронт, но массовое производство сдерживалось сложной формой, недопускающей механическую формовку. В апреле производство прекратили (7518, 26).</w:t>
      </w:r>
    </w:p>
    <w:p w14:paraId="0D5999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C9AB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 апреле 1942 г. началось серийное производство машины КВ-8 на Челя</w:t>
      </w:r>
      <w:r w:rsidRPr="008127F8">
        <w:rPr>
          <w:rFonts w:ascii="Times New Roman" w:hAnsi="Times New Roman"/>
          <w:color w:val="000000" w:themeColor="text1"/>
          <w:sz w:val="16"/>
          <w:szCs w:val="16"/>
        </w:rPr>
        <w:softHyphen/>
        <w:t>бинском Кировском заводе и продолжалось в течение 1942 г. Всего было выпущено 102 огнеметных танка КВ-8, кото</w:t>
      </w:r>
      <w:r w:rsidRPr="008127F8">
        <w:rPr>
          <w:rFonts w:ascii="Times New Roman" w:hAnsi="Times New Roman"/>
          <w:color w:val="000000" w:themeColor="text1"/>
          <w:sz w:val="16"/>
          <w:szCs w:val="16"/>
        </w:rPr>
        <w:softHyphen/>
        <w:t>рые использовались на фронтах Великой Отечественной войны (10703).</w:t>
      </w:r>
    </w:p>
    <w:p w14:paraId="7E78464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2C1B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-июле 1942 г. изготовленный опытный образец установки ЗИС-41 был подвергнут полигонным испытаниям, которые показали, что полугусе</w:t>
      </w:r>
      <w:r w:rsidRPr="008127F8">
        <w:rPr>
          <w:rFonts w:ascii="Times New Roman" w:hAnsi="Times New Roman"/>
          <w:color w:val="000000" w:themeColor="text1"/>
          <w:sz w:val="16"/>
          <w:szCs w:val="16"/>
        </w:rPr>
        <w:softHyphen/>
        <w:t>ничный вездеход ЗИС-22 обладает неудовлетворительной проходимос</w:t>
      </w:r>
      <w:r w:rsidRPr="008127F8">
        <w:rPr>
          <w:rFonts w:ascii="Times New Roman" w:hAnsi="Times New Roman"/>
          <w:color w:val="000000" w:themeColor="text1"/>
          <w:sz w:val="16"/>
          <w:szCs w:val="16"/>
        </w:rPr>
        <w:softHyphen/>
        <w:t>тью, особенно в условиях снежных заносов и весенней распутицы. Кро</w:t>
      </w:r>
      <w:r w:rsidRPr="008127F8">
        <w:rPr>
          <w:rFonts w:ascii="Times New Roman" w:hAnsi="Times New Roman"/>
          <w:color w:val="000000" w:themeColor="text1"/>
          <w:sz w:val="16"/>
          <w:szCs w:val="16"/>
        </w:rPr>
        <w:softHyphen/>
        <w:t>ме того, установка имела ряд конструктивных недостатков, поэтому бы</w:t>
      </w:r>
      <w:r w:rsidRPr="008127F8">
        <w:rPr>
          <w:rFonts w:ascii="Times New Roman" w:hAnsi="Times New Roman"/>
          <w:color w:val="000000" w:themeColor="text1"/>
          <w:sz w:val="16"/>
          <w:szCs w:val="16"/>
        </w:rPr>
        <w:softHyphen/>
        <w:t>ло принято решение дальнейшие работы в этом направлении прекра</w:t>
      </w:r>
      <w:r w:rsidRPr="008127F8">
        <w:rPr>
          <w:rFonts w:ascii="Times New Roman" w:hAnsi="Times New Roman"/>
          <w:color w:val="000000" w:themeColor="text1"/>
          <w:sz w:val="16"/>
          <w:szCs w:val="16"/>
        </w:rPr>
        <w:softHyphen/>
        <w:t>тить и развернуть работы по созданию самоходных артиллерийских ус</w:t>
      </w:r>
      <w:r w:rsidRPr="008127F8">
        <w:rPr>
          <w:rFonts w:ascii="Times New Roman" w:hAnsi="Times New Roman"/>
          <w:color w:val="000000" w:themeColor="text1"/>
          <w:sz w:val="16"/>
          <w:szCs w:val="16"/>
        </w:rPr>
        <w:softHyphen/>
        <w:t>тановок только на базе гусеничных машин (10703).</w:t>
      </w:r>
    </w:p>
    <w:p w14:paraId="22243E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EAAE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33FC2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CED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было сформировано 10 ударных авиагрупп по 100 самолетов - средство ВГК. Все же постоянные и временные группы, формируемые с лета 1941 оказались малочисленными и недостаточно мощными для решения крупных оперативных задач (518,311).</w:t>
      </w:r>
    </w:p>
    <w:p w14:paraId="3B00C4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1BD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марте-апреле 1942 стали создавать ударные авиагруппы (УАГ) - средства Ставки ВГК для решения самостоятельных задач (359,183).</w:t>
      </w:r>
    </w:p>
    <w:p w14:paraId="1D2F3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17F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март-апрель 1942 ночники доставили окруженным войскам 2-й армии, 13-му кавкорпусу и 378-й стрелковой дивизии более тысячи тонн продовольствия, фуража, боеприпасов и других грузов, эвакуировали 676 тяжелораненых солдат и офицеров, переправили в обоих направлениях 76 офицеров связи. Хотя Любанская операция стала далеко не самой удачной операцией Красной Армии, советская авиация проявила себя в ней весьма неплохо. Было совершено 27774 </w:t>
      </w:r>
      <w:proofErr w:type="gramStart"/>
      <w:r w:rsidRPr="008127F8">
        <w:rPr>
          <w:rFonts w:ascii="Times New Roman" w:hAnsi="Times New Roman"/>
          <w:color w:val="000000" w:themeColor="text1"/>
          <w:sz w:val="16"/>
          <w:szCs w:val="16"/>
        </w:rPr>
        <w:t>самолето-вылетов</w:t>
      </w:r>
      <w:proofErr w:type="gramEnd"/>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lastRenderedPageBreak/>
        <w:t>значительная их часть пришлась на заслуженного работягу Р-5 (5016).</w:t>
      </w:r>
    </w:p>
    <w:p w14:paraId="66B335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459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марта по июнь 1942, в связи с частым нарушением противником коммуникаций 2-й ударной армии и введенного в прорыв 13-го кавалерийского корпуса, а также из-за весенней распутицы, ночные бомбардировочные полки выполняли задачи по снабжению войск и эвакуации тяжелораненых. При этом боевые задачи с этих соединений не снимались. Лишь 658 авиаполк за означенный период совершил 1606 боевых вылетов, сбросив 642 т бомб (5016).</w:t>
      </w:r>
    </w:p>
    <w:p w14:paraId="018D8D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E95D4" w14:textId="0710DD12" w:rsidR="00E579E3" w:rsidRPr="008127F8" w:rsidRDefault="00E579E3"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За рубежом:</w:t>
      </w:r>
    </w:p>
    <w:p w14:paraId="225A13A1" w14:textId="77777777" w:rsidR="00E579E3" w:rsidRPr="008127F8" w:rsidRDefault="00E579E3"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CFDB935" w14:textId="77777777" w:rsidR="00E579E3" w:rsidRPr="008127F8" w:rsidRDefault="00E579E3"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 xml:space="preserve">С марта 1942 по июнь 1943 года, распределив сборку между семью своими заводами и субподрядчиками, фирма «Арадо» построила 130 серийных Не 177А-1. Но с первого предъявления ВВС приняли только 3 машины, и те лишь как разведчики, а 19 вовсе пришлось списать сразу как непригодные к эксплуатации. Не приняли и 21 </w:t>
      </w:r>
      <w:proofErr w:type="gramStart"/>
      <w:r w:rsidRPr="008127F8">
        <w:rPr>
          <w:color w:val="000000" w:themeColor="text1"/>
          <w:sz w:val="16"/>
          <w:szCs w:val="16"/>
        </w:rPr>
        <w:t>экземпляр</w:t>
      </w:r>
      <w:proofErr w:type="gramEnd"/>
      <w:r w:rsidRPr="008127F8">
        <w:rPr>
          <w:color w:val="000000" w:themeColor="text1"/>
          <w:sz w:val="16"/>
          <w:szCs w:val="16"/>
        </w:rPr>
        <w:t xml:space="preserve"> Не 177А-1 постройки завода «Хейнкель-Ораниенбург». «Хейнкелю», «Арадо» и поставщику моторов «Даймлер-Бенцу» было вменено в обязанность немедленно устранить дефекты своих изделий и в середине 1942 года начать </w:t>
      </w:r>
      <w:proofErr w:type="gramStart"/>
      <w:r w:rsidRPr="008127F8">
        <w:rPr>
          <w:color w:val="000000" w:themeColor="text1"/>
          <w:sz w:val="16"/>
          <w:szCs w:val="16"/>
        </w:rPr>
        <w:t>поставки</w:t>
      </w:r>
      <w:proofErr w:type="gramEnd"/>
      <w:r w:rsidRPr="008127F8">
        <w:rPr>
          <w:color w:val="000000" w:themeColor="text1"/>
          <w:sz w:val="16"/>
          <w:szCs w:val="16"/>
        </w:rPr>
        <w:t xml:space="preserve"> Не 177А-1 в эскадру KG 1 «Гинденбург», сосредоточенную на аэродромах Восточной Пруссии. Всего это соединение, начавшее войну </w:t>
      </w:r>
      <w:proofErr w:type="gramStart"/>
      <w:r w:rsidRPr="008127F8">
        <w:rPr>
          <w:color w:val="000000" w:themeColor="text1"/>
          <w:sz w:val="16"/>
          <w:szCs w:val="16"/>
        </w:rPr>
        <w:t>на</w:t>
      </w:r>
      <w:proofErr w:type="gramEnd"/>
      <w:r w:rsidRPr="008127F8">
        <w:rPr>
          <w:color w:val="000000" w:themeColor="text1"/>
          <w:sz w:val="16"/>
          <w:szCs w:val="16"/>
        </w:rPr>
        <w:t xml:space="preserve"> Не 111, получило 100 бомбардировщиков Не 177А-1 (22839).</w:t>
      </w:r>
    </w:p>
    <w:p w14:paraId="1CB6EC8A" w14:textId="77777777" w:rsidR="00E579E3" w:rsidRPr="008127F8" w:rsidRDefault="00E579E3" w:rsidP="001E0A84">
      <w:pPr>
        <w:pStyle w:val="article-renderblock"/>
        <w:shd w:val="clear" w:color="auto" w:fill="FFFFFF"/>
        <w:spacing w:before="0" w:beforeAutospacing="0" w:after="0" w:afterAutospacing="0"/>
        <w:jc w:val="both"/>
        <w:rPr>
          <w:color w:val="000000" w:themeColor="text1"/>
          <w:sz w:val="16"/>
          <w:szCs w:val="16"/>
        </w:rPr>
      </w:pPr>
    </w:p>
    <w:p w14:paraId="2E8CC2C2" w14:textId="0496A58F"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91847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7F378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 квартале 1943 за первые три месяца 1943 г. было произведено 7607 самолетов, из них 6620 боевых. Во II квартале объемы выпуска авиатехники еще более возросли: заказчикам было передано 8637 самолетов, в том числе 7333 боевых. За первое полугодие 1943 г. собрали на 69,2% самолетов больше, чем за тот же период 1942 г.; по боевым машинам прирост составил 71,2%.</w:t>
      </w:r>
    </w:p>
    <w:p w14:paraId="6282CFF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Таких впечатляющих показателей удалось добиться в основном благодаря увеличению производительности труда, которая с мая 1942 г. взросла по отрасли на 30%.</w:t>
      </w:r>
    </w:p>
    <w:p w14:paraId="4F72572E"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Действенным средством интенсификации авиационного производства стало массовое внедрение в самолетостроение поточно-конвейерных методов сборки, позволявших, не прибегая к дополнительным капитальным вложениям, существенно поднять эффективность труда. 25 мая 1943 г. московские власти одними из первых приняли решение о внедрении поточной системы производства на авиазаводах столицы, а к осени 1943 г. этот метод стал внедряться повсеместно, чему содействовал выпущенный в начале октября 1943 г. приказ НКАП «Об организации поточных методов производства» (23472).</w:t>
      </w:r>
    </w:p>
    <w:p w14:paraId="70876EFA" w14:textId="77777777" w:rsidR="00EB32CC" w:rsidRPr="008A2E5A" w:rsidRDefault="00EB32CC" w:rsidP="00EB32CC">
      <w:pPr>
        <w:spacing w:after="0" w:line="240" w:lineRule="auto"/>
        <w:jc w:val="both"/>
        <w:rPr>
          <w:rFonts w:ascii="Times New Roman" w:hAnsi="Times New Roman"/>
          <w:color w:val="0070C0"/>
          <w:sz w:val="16"/>
          <w:szCs w:val="16"/>
        </w:rPr>
      </w:pPr>
    </w:p>
    <w:p w14:paraId="637CA3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I квартале 1942 года облетали самолет ЛаГГ-3 с наддувом конструкции Трескина, построенный на зводе № 21, и в ходе испытаний самолет получил трехступенчатый наддув Е-42А. Но испытания наддува проводились только на двух первых передачах (11749).</w:t>
      </w:r>
    </w:p>
    <w:p w14:paraId="3FA2EA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EAD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1635F5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w:t>
      </w:r>
    </w:p>
    <w:p w14:paraId="2F0E0A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48BCE07F" w14:textId="77777777" w:rsidR="00BE3C69" w:rsidRPr="008127F8" w:rsidRDefault="00BE3C69"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w:t>
      </w:r>
    </w:p>
    <w:p w14:paraId="10FD4AD2" w14:textId="77777777" w:rsidR="00BE3C69" w:rsidRPr="008127F8" w:rsidRDefault="00BE3C69"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Дизельный (с двумя дизельмоторами)</w:t>
      </w:r>
    </w:p>
    <w:p w14:paraId="602C163B" w14:textId="77777777" w:rsidR="00BE3C69" w:rsidRPr="008127F8" w:rsidRDefault="00BE3C69"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Модернизированный</w:t>
      </w:r>
    </w:p>
    <w:p w14:paraId="165DBB44" w14:textId="77777777" w:rsidR="00BE3C69" w:rsidRPr="008127F8" w:rsidRDefault="00BE3C69" w:rsidP="001E0A84">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Эталон 1945 года</w:t>
      </w:r>
    </w:p>
    <w:p w14:paraId="24E5CD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1F0607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455478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549C2B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064C71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 Шевченко А.М.</w:t>
      </w:r>
    </w:p>
    <w:p w14:paraId="3DB81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Оренбург, п/я 936</w:t>
      </w:r>
    </w:p>
    <w:p w14:paraId="5B823B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реактивная техника</w:t>
      </w:r>
    </w:p>
    <w:p w14:paraId="2E3EA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35D045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74189" w14:textId="77777777" w:rsidR="002C3817"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139CD3C" w14:textId="77777777" w:rsidR="002C3817" w:rsidRPr="008127F8" w:rsidRDefault="002C3817"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32D92"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первого квартала 1942 года наркомат танковой промышленности уже насчитывал в своем составе 70 заводов общей численностью более 307 тысяч человек. Из крупных предприятий к этому времени включили № 76 в Свердловске (дизеля В-2), № 38 в Кирове (легкие танки), № 200 в Челябинске и № 180 в Саратове (оба бронекорпуса и башни). К этому же времени все заводы получили номера (те, которые их не имели): например, Кулебакский стал № 178, Выксунский - № 177, Муромский - № 176. Кстати, после окончания войны НКТП был расформирован, часть предприятий из его состава передали в другие ведомства, но основные заводы (№ 183, № 174, ЧКЗ и ряд других) вошли в состав треста «Главтанк» наркомата, а с 1946 года министерства транспортного машиностроения. Впоследствии Главтанк несколько раз переименовывался, но просуществовал практически до начала 1990-х годов (12217).</w:t>
      </w:r>
    </w:p>
    <w:p w14:paraId="60780B69"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6BD63C39" w14:textId="77777777" w:rsidR="00EB32CC" w:rsidRPr="008127F8" w:rsidRDefault="00EB32CC" w:rsidP="00EB32CC">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4D13678" w14:textId="77777777" w:rsidR="00EB32CC" w:rsidRPr="008127F8" w:rsidRDefault="00EB32CC" w:rsidP="00EB32CC">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9D87C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весны 1942 г. приступили и к летным испытаниям мотора М-82НВ, для чего был переоборудован один тяжелый бомбардировщик ТБ-7 – работа выполнена силами ОКБ И.Ф. Незваля и завода № 22 (г. Казань) (23566).</w:t>
      </w:r>
    </w:p>
    <w:p w14:paraId="4B6EF805" w14:textId="77777777" w:rsidR="00EB32CC" w:rsidRPr="008A2E5A" w:rsidRDefault="00EB32CC" w:rsidP="00EB32CC">
      <w:pPr>
        <w:spacing w:after="0" w:line="240" w:lineRule="auto"/>
        <w:jc w:val="both"/>
        <w:rPr>
          <w:rFonts w:ascii="Times New Roman" w:hAnsi="Times New Roman"/>
          <w:color w:val="0070C0"/>
          <w:sz w:val="16"/>
          <w:szCs w:val="16"/>
        </w:rPr>
      </w:pPr>
    </w:p>
    <w:p w14:paraId="01EB4208" w14:textId="77777777" w:rsidR="00955935" w:rsidRPr="008127F8" w:rsidRDefault="00955935" w:rsidP="0095593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950EE65" w14:textId="77777777" w:rsidR="00955935" w:rsidRPr="008127F8" w:rsidRDefault="00955935" w:rsidP="0095593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662F0" w14:textId="77777777" w:rsidR="00955935" w:rsidRPr="008A2E5A" w:rsidRDefault="00955935" w:rsidP="0095593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 квартале 1942 г. старшие инженеры ЦАГИ С.А. Кап</w:t>
      </w:r>
      <w:r w:rsidRPr="008A2E5A">
        <w:rPr>
          <w:rFonts w:ascii="Times New Roman" w:hAnsi="Times New Roman"/>
          <w:color w:val="0070C0"/>
          <w:sz w:val="16"/>
          <w:szCs w:val="16"/>
        </w:rPr>
        <w:softHyphen/>
        <w:t>лан и Владимирский провели исследования влияния про</w:t>
      </w:r>
      <w:r w:rsidRPr="008A2E5A">
        <w:rPr>
          <w:rFonts w:ascii="Times New Roman" w:hAnsi="Times New Roman"/>
          <w:color w:val="0070C0"/>
          <w:sz w:val="16"/>
          <w:szCs w:val="16"/>
        </w:rPr>
        <w:softHyphen/>
        <w:t>изводственных допусков на максимальные скорости се</w:t>
      </w:r>
      <w:r w:rsidRPr="008A2E5A">
        <w:rPr>
          <w:rFonts w:ascii="Times New Roman" w:hAnsi="Times New Roman"/>
          <w:color w:val="0070C0"/>
          <w:sz w:val="16"/>
          <w:szCs w:val="16"/>
        </w:rPr>
        <w:softHyphen/>
        <w:t>рийных самолетов, на основании результатов которых ОТК завода №153 выдал практические рекомендации по приемке серийных самолетов Як-7. Безусловное выпол</w:t>
      </w:r>
      <w:r w:rsidRPr="008A2E5A">
        <w:rPr>
          <w:rFonts w:ascii="Times New Roman" w:hAnsi="Times New Roman"/>
          <w:color w:val="0070C0"/>
          <w:sz w:val="16"/>
          <w:szCs w:val="16"/>
        </w:rPr>
        <w:softHyphen/>
        <w:t>нение производством этих требований обеспечивало со</w:t>
      </w:r>
      <w:r w:rsidRPr="008A2E5A">
        <w:rPr>
          <w:rFonts w:ascii="Times New Roman" w:hAnsi="Times New Roman"/>
          <w:color w:val="0070C0"/>
          <w:sz w:val="16"/>
          <w:szCs w:val="16"/>
        </w:rPr>
        <w:softHyphen/>
        <w:t>хранение аэродинамических форм самолета и соответст</w:t>
      </w:r>
      <w:r w:rsidRPr="008A2E5A">
        <w:rPr>
          <w:rFonts w:ascii="Times New Roman" w:hAnsi="Times New Roman"/>
          <w:color w:val="0070C0"/>
          <w:sz w:val="16"/>
          <w:szCs w:val="16"/>
        </w:rPr>
        <w:softHyphen/>
        <w:t>вие его максимальной скорости эталонным значениям. В дальнейшем в середине 1942 г. в ЦАГИ провели исследо</w:t>
      </w:r>
      <w:r w:rsidRPr="008A2E5A">
        <w:rPr>
          <w:rFonts w:ascii="Times New Roman" w:hAnsi="Times New Roman"/>
          <w:color w:val="0070C0"/>
          <w:sz w:val="16"/>
          <w:szCs w:val="16"/>
        </w:rPr>
        <w:softHyphen/>
        <w:t>вания аэродинамики первых серийных самолетов Як-7Б 22-й серии. В качестве показателя совершенства аэроди</w:t>
      </w:r>
      <w:r w:rsidRPr="008A2E5A">
        <w:rPr>
          <w:rFonts w:ascii="Times New Roman" w:hAnsi="Times New Roman"/>
          <w:color w:val="0070C0"/>
          <w:sz w:val="16"/>
          <w:szCs w:val="16"/>
        </w:rPr>
        <w:softHyphen/>
        <w:t>намики самолета выбрали коэффициент Сх, отнесенный к площади всей внешней поверхности самолета и характе</w:t>
      </w:r>
      <w:r w:rsidRPr="008A2E5A">
        <w:rPr>
          <w:rFonts w:ascii="Times New Roman" w:hAnsi="Times New Roman"/>
          <w:color w:val="0070C0"/>
          <w:sz w:val="16"/>
          <w:szCs w:val="16"/>
        </w:rPr>
        <w:softHyphen/>
        <w:t>ризующий лобовое сопротивление самолета за вычетом индуктивного сопротивления крыла и сопротивления ох</w:t>
      </w:r>
      <w:r w:rsidRPr="008A2E5A">
        <w:rPr>
          <w:rFonts w:ascii="Times New Roman" w:hAnsi="Times New Roman"/>
          <w:color w:val="0070C0"/>
          <w:sz w:val="16"/>
          <w:szCs w:val="16"/>
        </w:rPr>
        <w:softHyphen/>
        <w:t>лаждения. При анализе оказалось, что истребитель Як-7Б занимает достаточно хорошее место в отношении аэро</w:t>
      </w:r>
      <w:r w:rsidRPr="008A2E5A">
        <w:rPr>
          <w:rFonts w:ascii="Times New Roman" w:hAnsi="Times New Roman"/>
          <w:color w:val="0070C0"/>
          <w:sz w:val="16"/>
          <w:szCs w:val="16"/>
        </w:rPr>
        <w:softHyphen/>
        <w:t>динамики</w:t>
      </w:r>
    </w:p>
    <w:p w14:paraId="633E52AC" w14:textId="77777777" w:rsidR="00955935" w:rsidRPr="008A2E5A" w:rsidRDefault="00955935" w:rsidP="0095593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№21. Показатели совершенства аэродинамики истребительных самолетов</w:t>
      </w:r>
    </w:p>
    <w:tbl>
      <w:tblPr>
        <w:tblOverlap w:val="never"/>
        <w:tblW w:w="0" w:type="auto"/>
        <w:tblLayout w:type="fixed"/>
        <w:tblCellMar>
          <w:left w:w="10" w:type="dxa"/>
          <w:right w:w="10" w:type="dxa"/>
        </w:tblCellMar>
        <w:tblLook w:val="04A0" w:firstRow="1" w:lastRow="0" w:firstColumn="1" w:lastColumn="0" w:noHBand="0" w:noVBand="1"/>
      </w:tblPr>
      <w:tblGrid>
        <w:gridCol w:w="3499"/>
        <w:gridCol w:w="2078"/>
        <w:gridCol w:w="1570"/>
        <w:gridCol w:w="2539"/>
      </w:tblGrid>
      <w:tr w:rsidR="00955935" w:rsidRPr="008A2E5A" w14:paraId="30AD3DE5" w14:textId="77777777" w:rsidTr="004C5D62">
        <w:trPr>
          <w:trHeight w:val="466"/>
        </w:trPr>
        <w:tc>
          <w:tcPr>
            <w:tcW w:w="3499" w:type="dxa"/>
            <w:tcBorders>
              <w:top w:val="single" w:sz="4" w:space="0" w:color="auto"/>
              <w:left w:val="single" w:sz="4" w:space="0" w:color="auto"/>
            </w:tcBorders>
            <w:shd w:val="clear" w:color="auto" w:fill="auto"/>
            <w:vAlign w:val="center"/>
          </w:tcPr>
          <w:p w14:paraId="68F6873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w:t>
            </w:r>
          </w:p>
        </w:tc>
        <w:tc>
          <w:tcPr>
            <w:tcW w:w="2078" w:type="dxa"/>
            <w:tcBorders>
              <w:top w:val="single" w:sz="4" w:space="0" w:color="auto"/>
              <w:left w:val="single" w:sz="4" w:space="0" w:color="auto"/>
            </w:tcBorders>
            <w:shd w:val="clear" w:color="auto" w:fill="auto"/>
            <w:vAlign w:val="bottom"/>
          </w:tcPr>
          <w:p w14:paraId="54AF51E7"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w:t>
            </w:r>
          </w:p>
        </w:tc>
        <w:tc>
          <w:tcPr>
            <w:tcW w:w="1570" w:type="dxa"/>
            <w:tcBorders>
              <w:top w:val="single" w:sz="4" w:space="0" w:color="auto"/>
              <w:left w:val="single" w:sz="4" w:space="0" w:color="auto"/>
            </w:tcBorders>
            <w:shd w:val="clear" w:color="auto" w:fill="auto"/>
            <w:vAlign w:val="center"/>
          </w:tcPr>
          <w:p w14:paraId="64E5F8D6"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м</w:t>
            </w:r>
          </w:p>
        </w:tc>
        <w:tc>
          <w:tcPr>
            <w:tcW w:w="2539" w:type="dxa"/>
            <w:tcBorders>
              <w:top w:val="single" w:sz="4" w:space="0" w:color="auto"/>
              <w:left w:val="single" w:sz="4" w:space="0" w:color="auto"/>
              <w:right w:val="single" w:sz="4" w:space="0" w:color="auto"/>
            </w:tcBorders>
            <w:shd w:val="clear" w:color="auto" w:fill="auto"/>
            <w:vAlign w:val="bottom"/>
          </w:tcPr>
          <w:p w14:paraId="6588157D"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Сх, отнесенный к площади всей внешней поверхности самолета</w:t>
            </w:r>
          </w:p>
        </w:tc>
      </w:tr>
      <w:tr w:rsidR="00955935" w:rsidRPr="008A2E5A" w14:paraId="1B8612DD" w14:textId="77777777" w:rsidTr="004C5D62">
        <w:trPr>
          <w:trHeight w:val="269"/>
        </w:trPr>
        <w:tc>
          <w:tcPr>
            <w:tcW w:w="3499" w:type="dxa"/>
            <w:tcBorders>
              <w:top w:val="single" w:sz="4" w:space="0" w:color="auto"/>
              <w:left w:val="single" w:sz="4" w:space="0" w:color="auto"/>
            </w:tcBorders>
            <w:shd w:val="clear" w:color="auto" w:fill="auto"/>
            <w:vAlign w:val="bottom"/>
          </w:tcPr>
          <w:p w14:paraId="012C39BC"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 опытный</w:t>
            </w:r>
          </w:p>
        </w:tc>
        <w:tc>
          <w:tcPr>
            <w:tcW w:w="2078" w:type="dxa"/>
            <w:tcBorders>
              <w:top w:val="single" w:sz="4" w:space="0" w:color="auto"/>
              <w:left w:val="single" w:sz="4" w:space="0" w:color="auto"/>
            </w:tcBorders>
            <w:shd w:val="clear" w:color="auto" w:fill="auto"/>
            <w:vAlign w:val="bottom"/>
          </w:tcPr>
          <w:p w14:paraId="18AF95F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605</w:t>
            </w:r>
          </w:p>
        </w:tc>
        <w:tc>
          <w:tcPr>
            <w:tcW w:w="1570" w:type="dxa"/>
            <w:tcBorders>
              <w:top w:val="single" w:sz="4" w:space="0" w:color="auto"/>
              <w:left w:val="single" w:sz="4" w:space="0" w:color="auto"/>
            </w:tcBorders>
            <w:shd w:val="clear" w:color="auto" w:fill="auto"/>
            <w:vAlign w:val="bottom"/>
          </w:tcPr>
          <w:p w14:paraId="23193F8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4900</w:t>
            </w:r>
          </w:p>
        </w:tc>
        <w:tc>
          <w:tcPr>
            <w:tcW w:w="2539" w:type="dxa"/>
            <w:tcBorders>
              <w:top w:val="single" w:sz="4" w:space="0" w:color="auto"/>
              <w:left w:val="single" w:sz="4" w:space="0" w:color="auto"/>
              <w:right w:val="single" w:sz="4" w:space="0" w:color="auto"/>
            </w:tcBorders>
            <w:shd w:val="clear" w:color="auto" w:fill="auto"/>
            <w:vAlign w:val="bottom"/>
          </w:tcPr>
          <w:p w14:paraId="1AA73417"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0,00453</w:t>
            </w:r>
          </w:p>
        </w:tc>
      </w:tr>
      <w:tr w:rsidR="00955935" w:rsidRPr="008A2E5A" w14:paraId="214D35A6" w14:textId="77777777" w:rsidTr="004C5D62">
        <w:trPr>
          <w:trHeight w:val="269"/>
        </w:trPr>
        <w:tc>
          <w:tcPr>
            <w:tcW w:w="3499" w:type="dxa"/>
            <w:tcBorders>
              <w:top w:val="single" w:sz="4" w:space="0" w:color="auto"/>
              <w:left w:val="single" w:sz="4" w:space="0" w:color="auto"/>
            </w:tcBorders>
            <w:shd w:val="clear" w:color="auto" w:fill="auto"/>
            <w:vAlign w:val="bottom"/>
          </w:tcPr>
          <w:p w14:paraId="018E627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Bell Р-39 Aircobra</w:t>
            </w:r>
          </w:p>
        </w:tc>
        <w:tc>
          <w:tcPr>
            <w:tcW w:w="2078" w:type="dxa"/>
            <w:tcBorders>
              <w:top w:val="single" w:sz="4" w:space="0" w:color="auto"/>
              <w:left w:val="single" w:sz="4" w:space="0" w:color="auto"/>
            </w:tcBorders>
            <w:shd w:val="clear" w:color="auto" w:fill="auto"/>
            <w:vAlign w:val="bottom"/>
          </w:tcPr>
          <w:p w14:paraId="4E645DF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558</w:t>
            </w:r>
          </w:p>
        </w:tc>
        <w:tc>
          <w:tcPr>
            <w:tcW w:w="1570" w:type="dxa"/>
            <w:tcBorders>
              <w:top w:val="single" w:sz="4" w:space="0" w:color="auto"/>
              <w:left w:val="single" w:sz="4" w:space="0" w:color="auto"/>
            </w:tcBorders>
            <w:shd w:val="clear" w:color="auto" w:fill="auto"/>
            <w:vAlign w:val="bottom"/>
          </w:tcPr>
          <w:p w14:paraId="7B749531"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4000</w:t>
            </w:r>
          </w:p>
        </w:tc>
        <w:tc>
          <w:tcPr>
            <w:tcW w:w="2539" w:type="dxa"/>
            <w:tcBorders>
              <w:top w:val="single" w:sz="4" w:space="0" w:color="auto"/>
              <w:left w:val="single" w:sz="4" w:space="0" w:color="auto"/>
              <w:right w:val="single" w:sz="4" w:space="0" w:color="auto"/>
            </w:tcBorders>
            <w:shd w:val="clear" w:color="auto" w:fill="auto"/>
            <w:vAlign w:val="bottom"/>
          </w:tcPr>
          <w:p w14:paraId="428C740F"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0.00485</w:t>
            </w:r>
          </w:p>
        </w:tc>
      </w:tr>
      <w:tr w:rsidR="00955935" w:rsidRPr="008A2E5A" w14:paraId="046D6210" w14:textId="77777777" w:rsidTr="004C5D62">
        <w:trPr>
          <w:trHeight w:val="269"/>
        </w:trPr>
        <w:tc>
          <w:tcPr>
            <w:tcW w:w="3499" w:type="dxa"/>
            <w:tcBorders>
              <w:top w:val="single" w:sz="4" w:space="0" w:color="auto"/>
              <w:left w:val="single" w:sz="4" w:space="0" w:color="auto"/>
            </w:tcBorders>
            <w:shd w:val="clear" w:color="auto" w:fill="auto"/>
            <w:vAlign w:val="bottom"/>
          </w:tcPr>
          <w:p w14:paraId="2A0FDEBF"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Не I00</w:t>
            </w:r>
          </w:p>
        </w:tc>
        <w:tc>
          <w:tcPr>
            <w:tcW w:w="2078" w:type="dxa"/>
            <w:tcBorders>
              <w:top w:val="single" w:sz="4" w:space="0" w:color="auto"/>
              <w:left w:val="single" w:sz="4" w:space="0" w:color="auto"/>
            </w:tcBorders>
            <w:shd w:val="clear" w:color="auto" w:fill="auto"/>
            <w:vAlign w:val="bottom"/>
          </w:tcPr>
          <w:p w14:paraId="3DE11D21"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649</w:t>
            </w:r>
          </w:p>
        </w:tc>
        <w:tc>
          <w:tcPr>
            <w:tcW w:w="1570" w:type="dxa"/>
            <w:tcBorders>
              <w:top w:val="single" w:sz="4" w:space="0" w:color="auto"/>
              <w:left w:val="single" w:sz="4" w:space="0" w:color="auto"/>
            </w:tcBorders>
            <w:shd w:val="clear" w:color="auto" w:fill="auto"/>
            <w:vAlign w:val="bottom"/>
          </w:tcPr>
          <w:p w14:paraId="0027495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p>
        </w:tc>
        <w:tc>
          <w:tcPr>
            <w:tcW w:w="2539" w:type="dxa"/>
            <w:tcBorders>
              <w:top w:val="single" w:sz="4" w:space="0" w:color="auto"/>
              <w:left w:val="single" w:sz="4" w:space="0" w:color="auto"/>
              <w:right w:val="single" w:sz="4" w:space="0" w:color="auto"/>
            </w:tcBorders>
            <w:shd w:val="clear" w:color="auto" w:fill="auto"/>
            <w:vAlign w:val="bottom"/>
          </w:tcPr>
          <w:p w14:paraId="7E364E7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0,00493</w:t>
            </w:r>
          </w:p>
        </w:tc>
      </w:tr>
      <w:tr w:rsidR="00955935" w:rsidRPr="008A2E5A" w14:paraId="57279030" w14:textId="77777777" w:rsidTr="004C5D62">
        <w:trPr>
          <w:trHeight w:val="269"/>
        </w:trPr>
        <w:tc>
          <w:tcPr>
            <w:tcW w:w="3499" w:type="dxa"/>
            <w:tcBorders>
              <w:top w:val="single" w:sz="4" w:space="0" w:color="auto"/>
              <w:left w:val="single" w:sz="4" w:space="0" w:color="auto"/>
            </w:tcBorders>
            <w:shd w:val="clear" w:color="auto" w:fill="auto"/>
            <w:vAlign w:val="bottom"/>
          </w:tcPr>
          <w:p w14:paraId="7357A31A"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(эталон 1942 г.)</w:t>
            </w:r>
          </w:p>
        </w:tc>
        <w:tc>
          <w:tcPr>
            <w:tcW w:w="2078" w:type="dxa"/>
            <w:tcBorders>
              <w:top w:val="single" w:sz="4" w:space="0" w:color="auto"/>
              <w:left w:val="single" w:sz="4" w:space="0" w:color="auto"/>
            </w:tcBorders>
            <w:shd w:val="clear" w:color="auto" w:fill="auto"/>
            <w:vAlign w:val="bottom"/>
          </w:tcPr>
          <w:p w14:paraId="04190B7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c>
          <w:tcPr>
            <w:tcW w:w="1570" w:type="dxa"/>
            <w:tcBorders>
              <w:top w:val="single" w:sz="4" w:space="0" w:color="auto"/>
              <w:left w:val="single" w:sz="4" w:space="0" w:color="auto"/>
            </w:tcBorders>
            <w:shd w:val="clear" w:color="auto" w:fill="auto"/>
            <w:vAlign w:val="bottom"/>
          </w:tcPr>
          <w:p w14:paraId="4FDA9BB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4900</w:t>
            </w:r>
          </w:p>
        </w:tc>
        <w:tc>
          <w:tcPr>
            <w:tcW w:w="2539" w:type="dxa"/>
            <w:tcBorders>
              <w:top w:val="single" w:sz="4" w:space="0" w:color="auto"/>
              <w:left w:val="single" w:sz="4" w:space="0" w:color="auto"/>
              <w:right w:val="single" w:sz="4" w:space="0" w:color="auto"/>
            </w:tcBorders>
            <w:shd w:val="clear" w:color="auto" w:fill="auto"/>
            <w:vAlign w:val="bottom"/>
          </w:tcPr>
          <w:p w14:paraId="10959FF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0,00520</w:t>
            </w:r>
          </w:p>
        </w:tc>
      </w:tr>
      <w:tr w:rsidR="00955935" w:rsidRPr="008A2E5A" w14:paraId="0CBDB9F9" w14:textId="77777777" w:rsidTr="004C5D62">
        <w:trPr>
          <w:trHeight w:val="269"/>
        </w:trPr>
        <w:tc>
          <w:tcPr>
            <w:tcW w:w="3499" w:type="dxa"/>
            <w:tcBorders>
              <w:top w:val="single" w:sz="4" w:space="0" w:color="auto"/>
              <w:left w:val="single" w:sz="4" w:space="0" w:color="auto"/>
            </w:tcBorders>
            <w:shd w:val="clear" w:color="auto" w:fill="auto"/>
            <w:vAlign w:val="bottom"/>
          </w:tcPr>
          <w:p w14:paraId="23D37521"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Curtiss Р-40</w:t>
            </w:r>
          </w:p>
        </w:tc>
        <w:tc>
          <w:tcPr>
            <w:tcW w:w="2078" w:type="dxa"/>
            <w:tcBorders>
              <w:top w:val="single" w:sz="4" w:space="0" w:color="auto"/>
              <w:left w:val="single" w:sz="4" w:space="0" w:color="auto"/>
            </w:tcBorders>
            <w:shd w:val="clear" w:color="auto" w:fill="auto"/>
            <w:vAlign w:val="bottom"/>
          </w:tcPr>
          <w:p w14:paraId="024137DA"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545</w:t>
            </w:r>
          </w:p>
        </w:tc>
        <w:tc>
          <w:tcPr>
            <w:tcW w:w="1570" w:type="dxa"/>
            <w:tcBorders>
              <w:top w:val="single" w:sz="4" w:space="0" w:color="auto"/>
              <w:left w:val="single" w:sz="4" w:space="0" w:color="auto"/>
            </w:tcBorders>
            <w:shd w:val="clear" w:color="auto" w:fill="auto"/>
            <w:vAlign w:val="bottom"/>
          </w:tcPr>
          <w:p w14:paraId="1B0856E7"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4860</w:t>
            </w:r>
          </w:p>
        </w:tc>
        <w:tc>
          <w:tcPr>
            <w:tcW w:w="2539" w:type="dxa"/>
            <w:tcBorders>
              <w:top w:val="single" w:sz="4" w:space="0" w:color="auto"/>
              <w:left w:val="single" w:sz="4" w:space="0" w:color="auto"/>
              <w:right w:val="single" w:sz="4" w:space="0" w:color="auto"/>
            </w:tcBorders>
            <w:shd w:val="clear" w:color="auto" w:fill="auto"/>
            <w:vAlign w:val="bottom"/>
          </w:tcPr>
          <w:p w14:paraId="29FA91F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0,00520</w:t>
            </w:r>
          </w:p>
        </w:tc>
      </w:tr>
      <w:tr w:rsidR="00955935" w:rsidRPr="008A2E5A" w14:paraId="00A9F1A5" w14:textId="77777777" w:rsidTr="004C5D62">
        <w:trPr>
          <w:trHeight w:val="269"/>
        </w:trPr>
        <w:tc>
          <w:tcPr>
            <w:tcW w:w="3499" w:type="dxa"/>
            <w:tcBorders>
              <w:top w:val="single" w:sz="4" w:space="0" w:color="auto"/>
              <w:left w:val="single" w:sz="4" w:space="0" w:color="auto"/>
            </w:tcBorders>
            <w:shd w:val="clear" w:color="auto" w:fill="auto"/>
            <w:vAlign w:val="bottom"/>
          </w:tcPr>
          <w:p w14:paraId="65943CC1"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 серийный</w:t>
            </w:r>
          </w:p>
        </w:tc>
        <w:tc>
          <w:tcPr>
            <w:tcW w:w="2078" w:type="dxa"/>
            <w:tcBorders>
              <w:top w:val="single" w:sz="4" w:space="0" w:color="auto"/>
              <w:left w:val="single" w:sz="4" w:space="0" w:color="auto"/>
            </w:tcBorders>
            <w:shd w:val="clear" w:color="auto" w:fill="auto"/>
            <w:vAlign w:val="bottom"/>
          </w:tcPr>
          <w:p w14:paraId="02EB93E8"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556</w:t>
            </w:r>
          </w:p>
        </w:tc>
        <w:tc>
          <w:tcPr>
            <w:tcW w:w="1570" w:type="dxa"/>
            <w:tcBorders>
              <w:top w:val="single" w:sz="4" w:space="0" w:color="auto"/>
              <w:left w:val="single" w:sz="4" w:space="0" w:color="auto"/>
            </w:tcBorders>
            <w:shd w:val="clear" w:color="auto" w:fill="auto"/>
            <w:vAlign w:val="bottom"/>
          </w:tcPr>
          <w:p w14:paraId="2295CBF4"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4700</w:t>
            </w:r>
          </w:p>
        </w:tc>
        <w:tc>
          <w:tcPr>
            <w:tcW w:w="2539" w:type="dxa"/>
            <w:tcBorders>
              <w:top w:val="single" w:sz="4" w:space="0" w:color="auto"/>
              <w:left w:val="single" w:sz="4" w:space="0" w:color="auto"/>
              <w:right w:val="single" w:sz="4" w:space="0" w:color="auto"/>
            </w:tcBorders>
            <w:shd w:val="clear" w:color="auto" w:fill="auto"/>
            <w:vAlign w:val="bottom"/>
          </w:tcPr>
          <w:p w14:paraId="67BE0A9C"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0,00565</w:t>
            </w:r>
          </w:p>
        </w:tc>
      </w:tr>
      <w:tr w:rsidR="00955935" w:rsidRPr="008A2E5A" w14:paraId="3C74102E" w14:textId="77777777" w:rsidTr="004C5D62">
        <w:trPr>
          <w:trHeight w:val="269"/>
        </w:trPr>
        <w:tc>
          <w:tcPr>
            <w:tcW w:w="3499" w:type="dxa"/>
            <w:tcBorders>
              <w:top w:val="single" w:sz="4" w:space="0" w:color="auto"/>
              <w:left w:val="single" w:sz="4" w:space="0" w:color="auto"/>
            </w:tcBorders>
            <w:shd w:val="clear" w:color="auto" w:fill="auto"/>
            <w:vAlign w:val="bottom"/>
          </w:tcPr>
          <w:p w14:paraId="12A7FACB"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опытный</w:t>
            </w:r>
          </w:p>
        </w:tc>
        <w:tc>
          <w:tcPr>
            <w:tcW w:w="2078" w:type="dxa"/>
            <w:tcBorders>
              <w:top w:val="single" w:sz="4" w:space="0" w:color="auto"/>
              <w:left w:val="single" w:sz="4" w:space="0" w:color="auto"/>
            </w:tcBorders>
            <w:shd w:val="clear" w:color="auto" w:fill="auto"/>
            <w:vAlign w:val="bottom"/>
          </w:tcPr>
          <w:p w14:paraId="514D0BE6"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635</w:t>
            </w:r>
          </w:p>
        </w:tc>
        <w:tc>
          <w:tcPr>
            <w:tcW w:w="1570" w:type="dxa"/>
            <w:tcBorders>
              <w:top w:val="single" w:sz="4" w:space="0" w:color="auto"/>
              <w:left w:val="single" w:sz="4" w:space="0" w:color="auto"/>
            </w:tcBorders>
            <w:shd w:val="clear" w:color="auto" w:fill="auto"/>
            <w:vAlign w:val="bottom"/>
          </w:tcPr>
          <w:p w14:paraId="13CE46D8"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7700</w:t>
            </w:r>
          </w:p>
        </w:tc>
        <w:tc>
          <w:tcPr>
            <w:tcW w:w="2539" w:type="dxa"/>
            <w:tcBorders>
              <w:top w:val="single" w:sz="4" w:space="0" w:color="auto"/>
              <w:left w:val="single" w:sz="4" w:space="0" w:color="auto"/>
              <w:right w:val="single" w:sz="4" w:space="0" w:color="auto"/>
            </w:tcBorders>
            <w:shd w:val="clear" w:color="auto" w:fill="auto"/>
            <w:vAlign w:val="bottom"/>
          </w:tcPr>
          <w:p w14:paraId="6B8084D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0.00590</w:t>
            </w:r>
          </w:p>
        </w:tc>
      </w:tr>
      <w:tr w:rsidR="00955935" w:rsidRPr="008A2E5A" w14:paraId="2AF6A829" w14:textId="77777777" w:rsidTr="004C5D62">
        <w:trPr>
          <w:trHeight w:val="269"/>
        </w:trPr>
        <w:tc>
          <w:tcPr>
            <w:tcW w:w="3499" w:type="dxa"/>
            <w:tcBorders>
              <w:top w:val="single" w:sz="4" w:space="0" w:color="auto"/>
              <w:left w:val="single" w:sz="4" w:space="0" w:color="auto"/>
            </w:tcBorders>
            <w:shd w:val="clear" w:color="auto" w:fill="auto"/>
            <w:vAlign w:val="bottom"/>
          </w:tcPr>
          <w:p w14:paraId="4B9D8ED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 серийный</w:t>
            </w:r>
          </w:p>
        </w:tc>
        <w:tc>
          <w:tcPr>
            <w:tcW w:w="2078" w:type="dxa"/>
            <w:tcBorders>
              <w:top w:val="single" w:sz="4" w:space="0" w:color="auto"/>
              <w:left w:val="single" w:sz="4" w:space="0" w:color="auto"/>
            </w:tcBorders>
            <w:shd w:val="clear" w:color="auto" w:fill="auto"/>
            <w:vAlign w:val="bottom"/>
          </w:tcPr>
          <w:p w14:paraId="767E086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555</w:t>
            </w:r>
          </w:p>
        </w:tc>
        <w:tc>
          <w:tcPr>
            <w:tcW w:w="1570" w:type="dxa"/>
            <w:tcBorders>
              <w:top w:val="single" w:sz="4" w:space="0" w:color="auto"/>
              <w:left w:val="single" w:sz="4" w:space="0" w:color="auto"/>
            </w:tcBorders>
            <w:shd w:val="clear" w:color="auto" w:fill="auto"/>
            <w:vAlign w:val="bottom"/>
          </w:tcPr>
          <w:p w14:paraId="5C143A24"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4800</w:t>
            </w:r>
          </w:p>
        </w:tc>
        <w:tc>
          <w:tcPr>
            <w:tcW w:w="2539" w:type="dxa"/>
            <w:tcBorders>
              <w:top w:val="single" w:sz="4" w:space="0" w:color="auto"/>
              <w:left w:val="single" w:sz="4" w:space="0" w:color="auto"/>
              <w:right w:val="single" w:sz="4" w:space="0" w:color="auto"/>
            </w:tcBorders>
            <w:shd w:val="clear" w:color="auto" w:fill="auto"/>
            <w:vAlign w:val="bottom"/>
          </w:tcPr>
          <w:p w14:paraId="0F076D3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0,00600</w:t>
            </w:r>
          </w:p>
        </w:tc>
      </w:tr>
      <w:tr w:rsidR="00955935" w:rsidRPr="008A2E5A" w14:paraId="20067974" w14:textId="77777777" w:rsidTr="004C5D62">
        <w:trPr>
          <w:trHeight w:val="264"/>
        </w:trPr>
        <w:tc>
          <w:tcPr>
            <w:tcW w:w="3499" w:type="dxa"/>
            <w:tcBorders>
              <w:top w:val="single" w:sz="4" w:space="0" w:color="auto"/>
              <w:left w:val="single" w:sz="4" w:space="0" w:color="auto"/>
            </w:tcBorders>
            <w:shd w:val="clear" w:color="auto" w:fill="auto"/>
            <w:vAlign w:val="bottom"/>
          </w:tcPr>
          <w:p w14:paraId="539DEF0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Bf 109</w:t>
            </w:r>
          </w:p>
        </w:tc>
        <w:tc>
          <w:tcPr>
            <w:tcW w:w="2078" w:type="dxa"/>
            <w:tcBorders>
              <w:top w:val="single" w:sz="4" w:space="0" w:color="auto"/>
              <w:left w:val="single" w:sz="4" w:space="0" w:color="auto"/>
            </w:tcBorders>
            <w:shd w:val="clear" w:color="auto" w:fill="auto"/>
            <w:vAlign w:val="bottom"/>
          </w:tcPr>
          <w:p w14:paraId="6CE8D4D5"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546</w:t>
            </w:r>
          </w:p>
        </w:tc>
        <w:tc>
          <w:tcPr>
            <w:tcW w:w="1570" w:type="dxa"/>
            <w:tcBorders>
              <w:top w:val="single" w:sz="4" w:space="0" w:color="auto"/>
              <w:left w:val="single" w:sz="4" w:space="0" w:color="auto"/>
            </w:tcBorders>
            <w:shd w:val="clear" w:color="auto" w:fill="auto"/>
            <w:vAlign w:val="bottom"/>
          </w:tcPr>
          <w:p w14:paraId="3B39ED0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p>
        </w:tc>
        <w:tc>
          <w:tcPr>
            <w:tcW w:w="2539" w:type="dxa"/>
            <w:tcBorders>
              <w:top w:val="single" w:sz="4" w:space="0" w:color="auto"/>
              <w:left w:val="single" w:sz="4" w:space="0" w:color="auto"/>
              <w:right w:val="single" w:sz="4" w:space="0" w:color="auto"/>
            </w:tcBorders>
            <w:shd w:val="clear" w:color="auto" w:fill="auto"/>
            <w:vAlign w:val="bottom"/>
          </w:tcPr>
          <w:p w14:paraId="38473D46"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0,00650</w:t>
            </w:r>
          </w:p>
        </w:tc>
      </w:tr>
      <w:tr w:rsidR="00955935" w:rsidRPr="008A2E5A" w14:paraId="411F9866" w14:textId="77777777" w:rsidTr="004C5D62">
        <w:trPr>
          <w:trHeight w:val="283"/>
        </w:trPr>
        <w:tc>
          <w:tcPr>
            <w:tcW w:w="3499" w:type="dxa"/>
            <w:tcBorders>
              <w:top w:val="single" w:sz="4" w:space="0" w:color="auto"/>
              <w:left w:val="single" w:sz="4" w:space="0" w:color="auto"/>
              <w:bottom w:val="single" w:sz="4" w:space="0" w:color="auto"/>
            </w:tcBorders>
            <w:shd w:val="clear" w:color="auto" w:fill="auto"/>
            <w:vAlign w:val="bottom"/>
          </w:tcPr>
          <w:p w14:paraId="336E148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серийный</w:t>
            </w:r>
          </w:p>
        </w:tc>
        <w:tc>
          <w:tcPr>
            <w:tcW w:w="2078" w:type="dxa"/>
            <w:tcBorders>
              <w:top w:val="single" w:sz="4" w:space="0" w:color="auto"/>
              <w:left w:val="single" w:sz="4" w:space="0" w:color="auto"/>
              <w:bottom w:val="single" w:sz="4" w:space="0" w:color="auto"/>
            </w:tcBorders>
            <w:shd w:val="clear" w:color="auto" w:fill="auto"/>
            <w:vAlign w:val="bottom"/>
          </w:tcPr>
          <w:p w14:paraId="2115900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w:t>
            </w:r>
          </w:p>
        </w:tc>
        <w:tc>
          <w:tcPr>
            <w:tcW w:w="1570" w:type="dxa"/>
            <w:tcBorders>
              <w:top w:val="single" w:sz="4" w:space="0" w:color="auto"/>
              <w:left w:val="single" w:sz="4" w:space="0" w:color="auto"/>
              <w:bottom w:val="single" w:sz="4" w:space="0" w:color="auto"/>
            </w:tcBorders>
            <w:shd w:val="clear" w:color="auto" w:fill="auto"/>
            <w:vAlign w:val="bottom"/>
          </w:tcPr>
          <w:p w14:paraId="5342227F"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7700</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bottom"/>
          </w:tcPr>
          <w:p w14:paraId="2B323B74"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0,00650</w:t>
            </w:r>
          </w:p>
        </w:tc>
      </w:tr>
    </w:tbl>
    <w:p w14:paraId="742650ED" w14:textId="77777777" w:rsidR="00955935" w:rsidRPr="008A2E5A" w:rsidRDefault="00955935" w:rsidP="0095593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7CFB860F" w14:textId="77777777" w:rsidR="00955935" w:rsidRPr="008A2E5A" w:rsidRDefault="00955935" w:rsidP="00955935">
      <w:pPr>
        <w:spacing w:after="0" w:line="240" w:lineRule="auto"/>
        <w:jc w:val="both"/>
        <w:rPr>
          <w:rFonts w:ascii="Times New Roman" w:hAnsi="Times New Roman"/>
          <w:color w:val="0070C0"/>
          <w:sz w:val="16"/>
          <w:szCs w:val="16"/>
        </w:rPr>
      </w:pPr>
    </w:p>
    <w:p w14:paraId="785A9F05" w14:textId="77777777" w:rsidR="0015278A"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79387E4" w14:textId="77777777" w:rsidR="0015278A" w:rsidRPr="008127F8" w:rsidRDefault="0015278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D10016" w14:textId="77777777" w:rsidR="00234EE8" w:rsidRPr="008127F8" w:rsidRDefault="00234EE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апрелю 1942 г. в ОКБ-16 под ру</w:t>
      </w:r>
      <w:r w:rsidRPr="008127F8">
        <w:rPr>
          <w:color w:val="000000" w:themeColor="text1"/>
          <w:sz w:val="16"/>
          <w:szCs w:val="16"/>
        </w:rPr>
        <w:softHyphen/>
        <w:t>ководством М. Н. Блюма был разработан боеприпас большой мощности и под него противотанковое ру</w:t>
      </w:r>
      <w:r w:rsidRPr="008127F8">
        <w:rPr>
          <w:color w:val="000000" w:themeColor="text1"/>
          <w:sz w:val="16"/>
          <w:szCs w:val="16"/>
        </w:rPr>
        <w:softHyphen/>
        <w:t>жье 15П калибра 14,5 мм. Гильза нового патрона пе</w:t>
      </w:r>
      <w:r w:rsidRPr="008127F8">
        <w:rPr>
          <w:color w:val="000000" w:themeColor="text1"/>
          <w:sz w:val="16"/>
          <w:szCs w:val="16"/>
        </w:rPr>
        <w:softHyphen/>
        <w:t>ределывалась из гильзы штатного выстрела к пушке ВЯ с обжатым дульцем и передним скатом под ка</w:t>
      </w:r>
      <w:r w:rsidRPr="008127F8">
        <w:rPr>
          <w:color w:val="000000" w:themeColor="text1"/>
          <w:sz w:val="16"/>
          <w:szCs w:val="16"/>
        </w:rPr>
        <w:softHyphen/>
        <w:t>либр 14,5 мм. Патрон оснащался серийными броне</w:t>
      </w:r>
      <w:r w:rsidRPr="008127F8">
        <w:rPr>
          <w:color w:val="000000" w:themeColor="text1"/>
          <w:sz w:val="16"/>
          <w:szCs w:val="16"/>
        </w:rPr>
        <w:softHyphen/>
        <w:t>бойными пулями Б-32 (с твердосплавным стальным сердечником) и БС-41 (с твердосплавным металло- керамическим сердечником из карбида вольфрама) или бронебойно-зажигательным БЗ-39. За счет поч</w:t>
      </w:r>
      <w:r w:rsidRPr="008127F8">
        <w:rPr>
          <w:color w:val="000000" w:themeColor="text1"/>
          <w:sz w:val="16"/>
          <w:szCs w:val="16"/>
        </w:rPr>
        <w:softHyphen/>
        <w:t>ти вдвое большего веса пороха (марки 6/7 вместо 4/1), чем у штатного патрона к ПТР, начальная ско</w:t>
      </w:r>
      <w:r w:rsidRPr="008127F8">
        <w:rPr>
          <w:color w:val="000000" w:themeColor="text1"/>
          <w:sz w:val="16"/>
          <w:szCs w:val="16"/>
        </w:rPr>
        <w:softHyphen/>
        <w:t>рость бронебойной пули достигала 1200 м/с, со</w:t>
      </w:r>
      <w:r w:rsidRPr="008127F8">
        <w:rPr>
          <w:color w:val="000000" w:themeColor="text1"/>
          <w:sz w:val="16"/>
          <w:szCs w:val="16"/>
        </w:rPr>
        <w:softHyphen/>
        <w:t>ответственно, лучше была и бронепробиваемость. В ходе полигонных испытаний в мае 1942 г. проти</w:t>
      </w:r>
      <w:r w:rsidRPr="008127F8">
        <w:rPr>
          <w:color w:val="000000" w:themeColor="text1"/>
          <w:sz w:val="16"/>
          <w:szCs w:val="16"/>
        </w:rPr>
        <w:softHyphen/>
        <w:t>вотанковое ружье 15П с дистанции 90 м уверенно пробивало пулей БС-41 цементованную броневую плиту толщиной 60 мм. При этом боеприпасы обла</w:t>
      </w:r>
      <w:r w:rsidRPr="008127F8">
        <w:rPr>
          <w:color w:val="000000" w:themeColor="text1"/>
          <w:sz w:val="16"/>
          <w:szCs w:val="16"/>
        </w:rPr>
        <w:softHyphen/>
        <w:t>дали хорошим зажигательным действием.</w:t>
      </w:r>
    </w:p>
    <w:p w14:paraId="49FCFFB1" w14:textId="77777777" w:rsidR="00234EE8" w:rsidRPr="008127F8" w:rsidRDefault="00234EE8"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Этими результатами решили воспользовать</w:t>
      </w:r>
      <w:r w:rsidRPr="008127F8">
        <w:rPr>
          <w:color w:val="000000" w:themeColor="text1"/>
          <w:sz w:val="16"/>
          <w:szCs w:val="16"/>
        </w:rPr>
        <w:softHyphen/>
        <w:t>ся и отработать для авиации автоматы калибра 14,5 мм, справедливо полагая, что усилие отдачи при таком калибре будет вполне приемлемым для установки и нормальной эксплуатации на самоле</w:t>
      </w:r>
      <w:r w:rsidRPr="008127F8">
        <w:rPr>
          <w:color w:val="000000" w:themeColor="text1"/>
          <w:sz w:val="16"/>
          <w:szCs w:val="16"/>
        </w:rPr>
        <w:softHyphen/>
        <w:t>тах. Как следствие, рассеивание при стрельбе будет небольшим, соответственно, повысится точность и эффективность огня</w:t>
      </w:r>
    </w:p>
    <w:p w14:paraId="09EA0FE2" w14:textId="77777777" w:rsidR="00234EE8" w:rsidRPr="008127F8" w:rsidRDefault="00234EE8" w:rsidP="001E0A84">
      <w:pPr>
        <w:pStyle w:val="12a"/>
        <w:shd w:val="clear" w:color="auto" w:fill="auto"/>
        <w:spacing w:after="0" w:line="240" w:lineRule="auto"/>
        <w:jc w:val="both"/>
        <w:rPr>
          <w:color w:val="000000" w:themeColor="text1"/>
          <w:sz w:val="16"/>
          <w:szCs w:val="16"/>
        </w:rPr>
      </w:pPr>
    </w:p>
    <w:p w14:paraId="53605B8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апреля 1942 г., согласно заводскому отчету, в Горь</w:t>
      </w:r>
      <w:r w:rsidRPr="008A2E5A">
        <w:rPr>
          <w:rFonts w:ascii="Times New Roman" w:hAnsi="Times New Roman"/>
          <w:color w:val="0070C0"/>
          <w:sz w:val="16"/>
          <w:szCs w:val="16"/>
        </w:rPr>
        <w:softHyphen/>
        <w:t>ком на заводе № 21 успели построить самолет ЛаГГ-3М-105 с нагнетателем Трескина и провести его частичные испытания со снятием характеристик при работе мотора на первой и второй скоростях нагнетателя. На третьей ско</w:t>
      </w:r>
      <w:r w:rsidRPr="008A2E5A">
        <w:rPr>
          <w:rFonts w:ascii="Times New Roman" w:hAnsi="Times New Roman"/>
          <w:color w:val="0070C0"/>
          <w:sz w:val="16"/>
          <w:szCs w:val="16"/>
        </w:rPr>
        <w:softHyphen/>
        <w:t>рости испытаний не было по причине пере</w:t>
      </w:r>
      <w:r w:rsidRPr="008A2E5A">
        <w:rPr>
          <w:rFonts w:ascii="Times New Roman" w:hAnsi="Times New Roman"/>
          <w:color w:val="0070C0"/>
          <w:sz w:val="16"/>
          <w:szCs w:val="16"/>
        </w:rPr>
        <w:softHyphen/>
        <w:t>езда КБ Лавочкина в Тбилиси. Летный экзем</w:t>
      </w:r>
      <w:r w:rsidRPr="008A2E5A">
        <w:rPr>
          <w:rFonts w:ascii="Times New Roman" w:hAnsi="Times New Roman"/>
          <w:color w:val="0070C0"/>
          <w:sz w:val="16"/>
          <w:szCs w:val="16"/>
        </w:rPr>
        <w:softHyphen/>
        <w:t>пляр ЛаГГ-3 с турбокомпрессорами вместе со второй недостроенной машиной с гермокаби</w:t>
      </w:r>
      <w:r w:rsidRPr="008A2E5A">
        <w:rPr>
          <w:rFonts w:ascii="Times New Roman" w:hAnsi="Times New Roman"/>
          <w:color w:val="0070C0"/>
          <w:sz w:val="16"/>
          <w:szCs w:val="16"/>
        </w:rPr>
        <w:softHyphen/>
        <w:t>ной, а также оба ЛаГГ-3М-107 отправили на завод № 31, откуда вернуть их обратно не уда</w:t>
      </w:r>
      <w:r w:rsidRPr="008A2E5A">
        <w:rPr>
          <w:rFonts w:ascii="Times New Roman" w:hAnsi="Times New Roman"/>
          <w:color w:val="0070C0"/>
          <w:sz w:val="16"/>
          <w:szCs w:val="16"/>
        </w:rPr>
        <w:softHyphen/>
        <w:t>лось «в связи с военными действиями на Кав</w:t>
      </w:r>
      <w:r w:rsidRPr="008A2E5A">
        <w:rPr>
          <w:rFonts w:ascii="Times New Roman" w:hAnsi="Times New Roman"/>
          <w:color w:val="0070C0"/>
          <w:sz w:val="16"/>
          <w:szCs w:val="16"/>
        </w:rPr>
        <w:softHyphen/>
        <w:t>казе».</w:t>
      </w:r>
    </w:p>
    <w:p w14:paraId="32A50AF6"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Вряд ли вскоре вернувшиеся в Горький со</w:t>
      </w:r>
      <w:r w:rsidRPr="008A2E5A">
        <w:rPr>
          <w:rFonts w:ascii="Times New Roman" w:hAnsi="Times New Roman"/>
          <w:color w:val="0070C0"/>
          <w:sz w:val="16"/>
          <w:szCs w:val="16"/>
        </w:rPr>
        <w:softHyphen/>
        <w:t>трудники КБ особо расстраивались «пропа</w:t>
      </w:r>
      <w:r w:rsidRPr="008A2E5A">
        <w:rPr>
          <w:rFonts w:ascii="Times New Roman" w:hAnsi="Times New Roman"/>
          <w:color w:val="0070C0"/>
          <w:sz w:val="16"/>
          <w:szCs w:val="16"/>
        </w:rPr>
        <w:softHyphen/>
        <w:t>жей» машин с турбокомпрессором. «Тренд» сменился, а с новым мотором воздушного охлаждения и своих проблем хватало, однако в наркомате думали иначе (24036).</w:t>
      </w:r>
    </w:p>
    <w:p w14:paraId="00A257F0" w14:textId="77777777" w:rsidR="00EB32CC" w:rsidRPr="008A2E5A" w:rsidRDefault="00EB32CC" w:rsidP="00EB32CC">
      <w:pPr>
        <w:spacing w:after="0" w:line="240" w:lineRule="auto"/>
        <w:jc w:val="both"/>
        <w:rPr>
          <w:rFonts w:ascii="Times New Roman" w:hAnsi="Times New Roman"/>
          <w:color w:val="0070C0"/>
          <w:sz w:val="16"/>
          <w:szCs w:val="16"/>
        </w:rPr>
      </w:pPr>
    </w:p>
    <w:p w14:paraId="73700EC4" w14:textId="77777777" w:rsidR="0015278A" w:rsidRPr="008127F8" w:rsidRDefault="0015278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апрелю 1942 г. гараж Облтранса в Новосибирске приспособили для завод</w:t>
      </w:r>
      <w:r w:rsidRPr="008127F8">
        <w:rPr>
          <w:rFonts w:ascii="Times New Roman" w:hAnsi="Times New Roman"/>
          <w:color w:val="000000" w:themeColor="text1"/>
          <w:sz w:val="16"/>
          <w:szCs w:val="16"/>
        </w:rPr>
        <w:softHyphen/>
        <w:t>ских нужд. Самолёты, однако, на ближайшем (Северном) аэродроме разместить не удалось — не было места из-за занятости серийными самолётами завода № 153 и эва</w:t>
      </w:r>
      <w:r w:rsidRPr="008127F8">
        <w:rPr>
          <w:rFonts w:ascii="Times New Roman" w:hAnsi="Times New Roman"/>
          <w:color w:val="000000" w:themeColor="text1"/>
          <w:sz w:val="16"/>
          <w:szCs w:val="16"/>
        </w:rPr>
        <w:softHyphen/>
        <w:t>куированными сюда опытными самолётами КБ Яковлева. Лётной базой стал аэродром в Толмачёво, на другом берегу Оби (15804).</w:t>
      </w:r>
    </w:p>
    <w:p w14:paraId="2CF361DA" w14:textId="77777777" w:rsidR="0015278A" w:rsidRPr="008127F8" w:rsidRDefault="0015278A" w:rsidP="001E0A84">
      <w:pPr>
        <w:spacing w:after="0" w:line="240" w:lineRule="auto"/>
        <w:jc w:val="both"/>
        <w:rPr>
          <w:rFonts w:ascii="Times New Roman" w:hAnsi="Times New Roman"/>
          <w:color w:val="000000" w:themeColor="text1"/>
          <w:sz w:val="16"/>
          <w:szCs w:val="16"/>
        </w:rPr>
      </w:pPr>
    </w:p>
    <w:p w14:paraId="3A286C16" w14:textId="77777777" w:rsidR="00E579E3" w:rsidRPr="008127F8" w:rsidRDefault="00E579E3"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К апрелю 1942 года выяснилось, что У-11 может быть востребована совсем в ином ключе. Имея ту же баллистику, что и М-30, орудие куда лучше подходило на роль "самоходной гаубицы". Правда, уже не на базе КВ-1: весной 1942 года стало ясно, что КВ-9 в серию не пойдет, хотя НКТП не оставлял попытки пропихнуть данную машину на конвейер (20881).</w:t>
      </w:r>
    </w:p>
    <w:p w14:paraId="3BC75099" w14:textId="77777777" w:rsidR="00E579E3" w:rsidRPr="008127F8" w:rsidRDefault="00E579E3" w:rsidP="001E0A84">
      <w:pPr>
        <w:pStyle w:val="article-renderblock"/>
        <w:shd w:val="clear" w:color="auto" w:fill="FFFFFF"/>
        <w:spacing w:before="0" w:beforeAutospacing="0" w:after="0" w:afterAutospacing="0"/>
        <w:jc w:val="both"/>
        <w:rPr>
          <w:color w:val="000000" w:themeColor="text1"/>
          <w:sz w:val="16"/>
          <w:szCs w:val="16"/>
        </w:rPr>
      </w:pPr>
    </w:p>
    <w:p w14:paraId="0FFDAA5C" w14:textId="77777777" w:rsidR="00160084" w:rsidRPr="008127F8" w:rsidRDefault="0016008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17D4DD0" w14:textId="77777777" w:rsidR="00160084" w:rsidRPr="008127F8" w:rsidRDefault="00160084"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61C8C1" w14:textId="77777777" w:rsidR="00E579E3" w:rsidRPr="008127F8" w:rsidRDefault="00E579E3"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К апрелю 1942 года стало окончательно ясно, что разработка самоходной артиллерийской установки У-20, работы по которой начались в октябре 1941 года, зашли в тупик. ГАУ КА (Главное Артиллерийское Управление Красной Армии), которое выдало задание, сформулировало его так, что коллектив, главным конструктором которого был Ф.Ф. Петров, оказался в безвыходном положении. Одновременное использование неизменной базы Т-34 и 85-мм зенитного орудия 52-К не давало возможность создать что-то вменяемое. Предложение использовать 85-мм орудие У-10 в ГАУ отвергли, да и с ним всё равно машина получалась неудачной. По этой причине задачу создания истребителя танков на базе Т-34, с круговым вращением 85-мм орудия, в ГАУ КА объявили технически невыполнимым. В свою очередь, примерно тогда же на заводе №592 проработали проект САУ, получившей обозначение 122-СГ. Представлял он собой наложение 122-мм гаубицы М-30 на шасси трофейной САУ "Артштурм" (Артиллерийский Штурмовой Танк, так у нас именовали StuG III). Данный проект сподвиг ГАУ КА на смену концепции средней САУ (20881).</w:t>
      </w:r>
    </w:p>
    <w:p w14:paraId="2B5F8D59" w14:textId="77777777" w:rsidR="00E579E3" w:rsidRPr="008127F8" w:rsidRDefault="00E579E3" w:rsidP="001E0A84">
      <w:pPr>
        <w:pStyle w:val="article-renderblock"/>
        <w:shd w:val="clear" w:color="auto" w:fill="FFFFFF"/>
        <w:spacing w:before="0" w:beforeAutospacing="0" w:after="0" w:afterAutospacing="0"/>
        <w:jc w:val="both"/>
        <w:rPr>
          <w:color w:val="000000" w:themeColor="text1"/>
          <w:sz w:val="16"/>
          <w:szCs w:val="16"/>
        </w:rPr>
      </w:pPr>
    </w:p>
    <w:p w14:paraId="0F1ED57E" w14:textId="5C4CBD22" w:rsidR="00160084" w:rsidRPr="008127F8" w:rsidRDefault="0016008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апрелю 1942 года появилось ещё немного информации. Британцы узнали о</w:t>
      </w:r>
      <w:r w:rsidR="008127F8">
        <w:rPr>
          <w:rFonts w:ascii="Times New Roman" w:hAnsi="Times New Roman"/>
          <w:color w:val="000000" w:themeColor="text1"/>
          <w:sz w:val="16"/>
          <w:szCs w:val="16"/>
        </w:rPr>
        <w:t xml:space="preserve">  </w:t>
      </w:r>
      <w:hyperlink r:id="rId100" w:history="1">
        <w:r w:rsidRPr="008127F8">
          <w:rPr>
            <w:rStyle w:val="a6"/>
            <w:rFonts w:ascii="Times New Roman" w:hAnsi="Times New Roman"/>
            <w:color w:val="000000" w:themeColor="text1"/>
            <w:sz w:val="16"/>
            <w:szCs w:val="16"/>
          </w:rPr>
          <w:t>попытке вооружить «Матильду» «длинной пушкой от Т-34»</w:t>
        </w:r>
      </w:hyperlink>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о некоторых характеристиках Т-34 и КВ. На этот раз танки классифицировали правильно, но и в этой сводке хватало ошибок: например, на КВ и Т-34 якобы стоял 600-сильный дизель. Описание обязанностей членов экипажей обоих танков тоже содержало неточности. Похоже, что британцы так и не выяснили, кто из танкистов работал с радио, и обязанности радиста не присвоили никому. Возможно, именно из-за этой сводки в некоторых англоязычных изданиях до сих пор написано, что в КВ орудие заряжал командир, так как заряжающий в экипажах танков также не был обозначен. В этот раз британцы также отметили, что танк хорошо защищён от атаки пехоты: на нём практически не было мест, куда могла бы закатиться противотанковая граната, а вражеской пехоте не за что было зацепиться, чтобы залезть на танк. Британцам понравились и крепкие буксировочные крюки (18249).</w:t>
      </w:r>
    </w:p>
    <w:p w14:paraId="2CF10DB4" w14:textId="77777777" w:rsidR="00160084" w:rsidRPr="008127F8" w:rsidRDefault="00160084" w:rsidP="001E0A84">
      <w:pPr>
        <w:spacing w:after="0" w:line="240" w:lineRule="auto"/>
        <w:jc w:val="both"/>
        <w:rPr>
          <w:rFonts w:ascii="Times New Roman" w:hAnsi="Times New Roman"/>
          <w:color w:val="000000" w:themeColor="text1"/>
          <w:sz w:val="16"/>
          <w:szCs w:val="16"/>
        </w:rPr>
      </w:pPr>
    </w:p>
    <w:p w14:paraId="316AF5A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апрелю 1942 года стало понятно, что истребитель танков с круговым сектором обстрела не получился. С другой стороны, в марте 1942 года началась работа над 122-СГ, советской конверсией немецкой штурмовой САУ StuG III. Внезапно выяснилось, что 122-СГ, эскизный проект которой был подготовлен КБ завода №592 к 3 апреля 1942 года, является оптимальной средней САУ. Вместо истребителя танков было решено развивать концепцию средней штурмовой САУ со 122-мм гаубицей М-30 в качестве вооружения. Прекрасно понимая, что число шасси StuG III ограничено, в апреле 1942 года было принято решение о разработке такой же САУ, но на шасси Т-34 (23382).</w:t>
      </w:r>
    </w:p>
    <w:p w14:paraId="6F5E0358" w14:textId="77777777" w:rsidR="00EB32CC" w:rsidRPr="008A2E5A" w:rsidRDefault="00EB32CC" w:rsidP="00EB32CC">
      <w:pPr>
        <w:spacing w:after="0" w:line="240" w:lineRule="auto"/>
        <w:jc w:val="both"/>
        <w:rPr>
          <w:rFonts w:ascii="Times New Roman" w:hAnsi="Times New Roman"/>
          <w:color w:val="0070C0"/>
          <w:sz w:val="16"/>
          <w:szCs w:val="16"/>
        </w:rPr>
      </w:pPr>
    </w:p>
    <w:p w14:paraId="36A77E7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2AA9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21A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апрелю 1942 г. в составе 72-го отдельного батальона ВНОС Ленинградского ПВО находилось семь станций “Редут" (РУС-2), три из которых располагались южнее Ленинграда. К сожалению, установка первых радиолокационных станций орудийной наводки СОН затягивалась и в эксплуатацию они вошли только с октября (6414).</w:t>
      </w:r>
    </w:p>
    <w:p w14:paraId="46C86B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6E69F" w14:textId="0D6F74B9" w:rsidR="00D73565" w:rsidRPr="008127F8" w:rsidRDefault="00D7356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745DCAFE" w14:textId="77777777" w:rsidR="00D73565" w:rsidRPr="008127F8" w:rsidRDefault="00D7356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7DD8C0A" w14:textId="77777777" w:rsidR="00D73565" w:rsidRPr="008127F8" w:rsidRDefault="00D735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апрелю 1942 года назрела необходи</w:t>
      </w:r>
      <w:r w:rsidRPr="008127F8">
        <w:rPr>
          <w:rFonts w:ascii="Times New Roman" w:hAnsi="Times New Roman"/>
          <w:color w:val="000000" w:themeColor="text1"/>
          <w:sz w:val="16"/>
          <w:szCs w:val="16"/>
        </w:rPr>
        <w:softHyphen/>
        <w:t>мость во встрече представителей прави</w:t>
      </w:r>
      <w:r w:rsidRPr="008127F8">
        <w:rPr>
          <w:rFonts w:ascii="Times New Roman" w:hAnsi="Times New Roman"/>
          <w:color w:val="000000" w:themeColor="text1"/>
          <w:sz w:val="16"/>
          <w:szCs w:val="16"/>
        </w:rPr>
        <w:softHyphen/>
        <w:t>тельств СССР, США, Англии для подписания договора об открытии «второго фронта». Было принято решение об отправке предста</w:t>
      </w:r>
      <w:r w:rsidRPr="008127F8">
        <w:rPr>
          <w:rFonts w:ascii="Times New Roman" w:hAnsi="Times New Roman"/>
          <w:color w:val="000000" w:themeColor="text1"/>
          <w:sz w:val="16"/>
          <w:szCs w:val="16"/>
        </w:rPr>
        <w:softHyphen/>
        <w:t>вителя правительства СССР В.М. Молотова в Англию и СШАдля переговоров (19936).</w:t>
      </w:r>
    </w:p>
    <w:p w14:paraId="59522343" w14:textId="77777777" w:rsidR="00D73565" w:rsidRPr="008127F8" w:rsidRDefault="00D73565" w:rsidP="001E0A84">
      <w:pPr>
        <w:spacing w:after="0" w:line="240" w:lineRule="auto"/>
        <w:jc w:val="both"/>
        <w:rPr>
          <w:rFonts w:ascii="Times New Roman" w:hAnsi="Times New Roman"/>
          <w:color w:val="000000" w:themeColor="text1"/>
          <w:sz w:val="16"/>
          <w:szCs w:val="16"/>
        </w:rPr>
      </w:pPr>
    </w:p>
    <w:p w14:paraId="7E6BC6F3" w14:textId="77777777" w:rsidR="00D8717E" w:rsidRPr="008127F8" w:rsidRDefault="00D8717E" w:rsidP="00D8717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7BC6419" w14:textId="77777777" w:rsidR="00D8717E" w:rsidRPr="008127F8" w:rsidRDefault="00D8717E" w:rsidP="00D8717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49378"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К началу апреля 1942 года на заводе №38 было изготовлено всего 2 литые башни для Т-70. Завод №178 за март выпустил всего 9 штук, а отгрузили и вовсе 5. Связано это было, в том числе, и с задержкой в выдаче документации. За апрель было выпущено 10 таких башен, ещё 5 в мае. В общей сложности на ГАЗ им. Молотова оказалось 47 литых башен, еще несколько танков с литыми башнями сдали на заводе №38. Некоторое время исследователи указывали, что такие башни на серийные танки не ставили. Но когда поисковики в Прибалтике выкопали кусок литой башни Т-70, главный идеолог "литой башни на серийных не было" ушел в режим радиомолчания.</w:t>
      </w:r>
    </w:p>
    <w:p w14:paraId="5F2A5768" w14:textId="77777777" w:rsidR="00D8717E" w:rsidRPr="007155F3" w:rsidRDefault="00D8717E" w:rsidP="00D8717E">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lastRenderedPageBreak/>
        <w:t>В дальнейшем вылезло еще минимум пара фотографий битых Т-70 с литыми башнями по 1942 году. Одним словом, башни были. Но производственные проблемы заставили быстро от таких башен отказаться.  (24898).</w:t>
      </w:r>
    </w:p>
    <w:p w14:paraId="76681183" w14:textId="77777777" w:rsidR="00D8717E" w:rsidRPr="007155F3" w:rsidRDefault="00D8717E" w:rsidP="00D8717E">
      <w:pPr>
        <w:spacing w:after="0" w:line="240" w:lineRule="auto"/>
        <w:jc w:val="both"/>
        <w:rPr>
          <w:rFonts w:ascii="Times New Roman" w:hAnsi="Times New Roman"/>
          <w:color w:val="0070C0"/>
          <w:sz w:val="16"/>
          <w:szCs w:val="16"/>
        </w:rPr>
      </w:pPr>
    </w:p>
    <w:p w14:paraId="11CEBBF9" w14:textId="6FAA53CD"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30E04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C8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апрелю 1942 выпустили 31 Hs-129 В-2 (513,8).</w:t>
      </w:r>
    </w:p>
    <w:p w14:paraId="273099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992B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8FEDE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DC304" w14:textId="77777777" w:rsidR="00D818E9" w:rsidRPr="008127F8" w:rsidRDefault="00D818E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 апреля 1942 г. вышел Приказ № 304с заместителя Наркома авиационной промышленности СССР П. Дементьева о переезде Опытно-конструкторского бюро С.В. Ильюшина из г. Куйбышева в Москву. ф. 8044, оп. 1, д. 754, лл. 18 – 19 (1550).</w:t>
      </w:r>
    </w:p>
    <w:p w14:paraId="15BF5CA7" w14:textId="77777777" w:rsidR="00D818E9" w:rsidRPr="008127F8" w:rsidRDefault="00D818E9" w:rsidP="001E0A84">
      <w:pPr>
        <w:spacing w:after="0" w:line="240" w:lineRule="auto"/>
        <w:jc w:val="both"/>
        <w:rPr>
          <w:rFonts w:ascii="Times New Roman" w:hAnsi="Times New Roman"/>
          <w:color w:val="000000" w:themeColor="text1"/>
          <w:sz w:val="16"/>
          <w:szCs w:val="16"/>
        </w:rPr>
      </w:pPr>
    </w:p>
    <w:p w14:paraId="1497D6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 авторы пушки ВЯ-23 А.А. Вол</w:t>
      </w:r>
      <w:r w:rsidRPr="008127F8">
        <w:rPr>
          <w:rFonts w:ascii="Times New Roman" w:hAnsi="Times New Roman"/>
          <w:color w:val="000000" w:themeColor="text1"/>
          <w:sz w:val="16"/>
          <w:szCs w:val="16"/>
        </w:rPr>
        <w:softHyphen/>
        <w:t>ков и С.А. Ярцев обратились к секретарю ЦК ВКП(б) Г.М. Ма</w:t>
      </w:r>
      <w:r w:rsidRPr="008127F8">
        <w:rPr>
          <w:rFonts w:ascii="Times New Roman" w:hAnsi="Times New Roman"/>
          <w:color w:val="000000" w:themeColor="text1"/>
          <w:sz w:val="16"/>
          <w:szCs w:val="16"/>
        </w:rPr>
        <w:softHyphen/>
        <w:t>ленкову с письмом, в котором писали: «...До сих пор наши штурмовики разбрасывают по полям сражений дефицитный металл... И еще до сих пор наши авиационные заводы продол</w:t>
      </w:r>
      <w:r w:rsidRPr="008127F8">
        <w:rPr>
          <w:rFonts w:ascii="Times New Roman" w:hAnsi="Times New Roman"/>
          <w:color w:val="000000" w:themeColor="text1"/>
          <w:sz w:val="16"/>
          <w:szCs w:val="16"/>
        </w:rPr>
        <w:softHyphen/>
        <w:t>жают выпускать самолеты Ил-2 без гильзособирателей, хотя изготовление и установка их настолько просты и дешевы, что с этой стороны не может быть никаких возражений.</w:t>
      </w:r>
    </w:p>
    <w:p w14:paraId="201C568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интересах экономии государству сотен тонн латуни, иду</w:t>
      </w:r>
      <w:r w:rsidRPr="008127F8">
        <w:rPr>
          <w:rFonts w:ascii="Times New Roman" w:hAnsi="Times New Roman"/>
          <w:color w:val="000000" w:themeColor="text1"/>
          <w:sz w:val="16"/>
          <w:szCs w:val="16"/>
        </w:rPr>
        <w:softHyphen/>
        <w:t>щей на изготовление 23 мм гильз, просим Вас обязать НКАП немедленно приступить к установке гильзособирателей на вы</w:t>
      </w:r>
      <w:r w:rsidRPr="008127F8">
        <w:rPr>
          <w:rFonts w:ascii="Times New Roman" w:hAnsi="Times New Roman"/>
          <w:color w:val="000000" w:themeColor="text1"/>
          <w:sz w:val="16"/>
          <w:szCs w:val="16"/>
        </w:rPr>
        <w:softHyphen/>
        <w:t>пускаемых самолетах Ил-2...»</w:t>
      </w:r>
    </w:p>
    <w:p w14:paraId="7A2F4C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к Г.М. Маленкову с аналогичной просьбой обратился и главный инженер ВВС КА генерал А.К. Репин. В письме от 5 мая 1942 г. он указывал: «...Конструктор тов. Ильюшин катего</w:t>
      </w:r>
      <w:r w:rsidRPr="008127F8">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8127F8">
        <w:rPr>
          <w:rFonts w:ascii="Times New Roman" w:hAnsi="Times New Roman"/>
          <w:color w:val="000000" w:themeColor="text1"/>
          <w:sz w:val="16"/>
          <w:szCs w:val="16"/>
        </w:rPr>
        <w:softHyphen/>
        <w:t>на установить гильзособиратели на самолетах Ил-2, так как толь</w:t>
      </w:r>
      <w:r w:rsidRPr="008127F8">
        <w:rPr>
          <w:rFonts w:ascii="Times New Roman" w:hAnsi="Times New Roman"/>
          <w:color w:val="000000" w:themeColor="text1"/>
          <w:sz w:val="16"/>
          <w:szCs w:val="16"/>
        </w:rPr>
        <w:softHyphen/>
        <w:t xml:space="preserve">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w:t>
      </w:r>
      <w:proofErr w:type="gramStart"/>
      <w:r w:rsidRPr="008127F8">
        <w:rPr>
          <w:rFonts w:ascii="Times New Roman" w:hAnsi="Times New Roman"/>
          <w:color w:val="000000" w:themeColor="text1"/>
          <w:sz w:val="16"/>
          <w:szCs w:val="16"/>
        </w:rPr>
        <w:t>самолето-вылета</w:t>
      </w:r>
      <w:proofErr w:type="gramEnd"/>
      <w:r w:rsidRPr="008127F8">
        <w:rPr>
          <w:rFonts w:ascii="Times New Roman" w:hAnsi="Times New Roman"/>
          <w:color w:val="000000" w:themeColor="text1"/>
          <w:sz w:val="16"/>
          <w:szCs w:val="16"/>
        </w:rPr>
        <w:t xml:space="preserve"> в день, то для полка (20 самолетов) еже</w:t>
      </w:r>
      <w:r w:rsidRPr="008127F8">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039BBE6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08E4C1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2A413" w14:textId="77777777" w:rsidR="009527D6" w:rsidRPr="008127F8" w:rsidRDefault="009527D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апреля 1942 г. распоряжени</w:t>
      </w:r>
      <w:r w:rsidRPr="008127F8">
        <w:rPr>
          <w:color w:val="000000" w:themeColor="text1"/>
          <w:sz w:val="16"/>
          <w:szCs w:val="16"/>
        </w:rPr>
        <w:softHyphen/>
        <w:t>ем командующего ВВС КА генерал-пол</w:t>
      </w:r>
      <w:r w:rsidRPr="008127F8">
        <w:rPr>
          <w:color w:val="000000" w:themeColor="text1"/>
          <w:sz w:val="16"/>
          <w:szCs w:val="16"/>
        </w:rPr>
        <w:softHyphen/>
        <w:t>ковника П. Ф. Жигарева на базе 3-й авиабригады РГК была сформирована группа особого назначения для специ</w:t>
      </w:r>
      <w:r w:rsidRPr="008127F8">
        <w:rPr>
          <w:color w:val="000000" w:themeColor="text1"/>
          <w:sz w:val="16"/>
          <w:szCs w:val="16"/>
        </w:rPr>
        <w:softHyphen/>
        <w:t>альной подготовки по борьбе с тан</w:t>
      </w:r>
      <w:r w:rsidRPr="008127F8">
        <w:rPr>
          <w:color w:val="000000" w:themeColor="text1"/>
          <w:sz w:val="16"/>
          <w:szCs w:val="16"/>
        </w:rPr>
        <w:softHyphen/>
        <w:t xml:space="preserve">ками противника. В ее состав вошли 243-й и 571-й штурмовые авиаполки. В период с 10 апреля по 10 мая 1942 г. экипажи полков с аэродрома </w:t>
      </w:r>
      <w:proofErr w:type="gramStart"/>
      <w:r w:rsidRPr="008127F8">
        <w:rPr>
          <w:color w:val="000000" w:themeColor="text1"/>
          <w:sz w:val="16"/>
          <w:szCs w:val="16"/>
        </w:rPr>
        <w:t>Мо- нино</w:t>
      </w:r>
      <w:proofErr w:type="gramEnd"/>
      <w:r w:rsidRPr="008127F8">
        <w:rPr>
          <w:color w:val="000000" w:themeColor="text1"/>
          <w:sz w:val="16"/>
          <w:szCs w:val="16"/>
        </w:rPr>
        <w:t xml:space="preserve"> выполняли полеты на полигон в Ногинске по программе отработки бомбометания и стрельбы по танкам. Начальник Главного управления ком</w:t>
      </w:r>
      <w:r w:rsidRPr="008127F8">
        <w:rPr>
          <w:color w:val="000000" w:themeColor="text1"/>
          <w:sz w:val="16"/>
          <w:szCs w:val="16"/>
        </w:rPr>
        <w:softHyphen/>
        <w:t>плектования и формирования ВВС КА генерал А. И. Никитин дал отличную оценку работе полков «по выполнению специаль</w:t>
      </w:r>
      <w:r w:rsidRPr="008127F8">
        <w:rPr>
          <w:color w:val="000000" w:themeColor="text1"/>
          <w:sz w:val="16"/>
          <w:szCs w:val="16"/>
        </w:rPr>
        <w:softHyphen/>
        <w:t>ной программы».</w:t>
      </w:r>
    </w:p>
    <w:p w14:paraId="0DED3B81" w14:textId="77777777" w:rsidR="009527D6" w:rsidRPr="008127F8" w:rsidRDefault="009527D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Предполагалось, что после окончания програм</w:t>
      </w:r>
      <w:r w:rsidRPr="008127F8">
        <w:rPr>
          <w:color w:val="000000" w:themeColor="text1"/>
          <w:sz w:val="16"/>
          <w:szCs w:val="16"/>
        </w:rPr>
        <w:softHyphen/>
        <w:t>мы эти полки войдут в состав особой ударной ави</w:t>
      </w:r>
      <w:r w:rsidRPr="008127F8">
        <w:rPr>
          <w:color w:val="000000" w:themeColor="text1"/>
          <w:sz w:val="16"/>
          <w:szCs w:val="16"/>
        </w:rPr>
        <w:softHyphen/>
        <w:t>ационной группы для действий на танкоопасных направлениях фронта, а отработанная методика подготовки летчиков в борьбе с бронетехникой будет использована при разработке инструкции по боевому применению штурмовиков Ил-2, а также при обучении летного состава штурмовых полков в запасных авиабригадах.</w:t>
      </w:r>
    </w:p>
    <w:p w14:paraId="61108C18" w14:textId="77777777" w:rsidR="009527D6" w:rsidRPr="008127F8" w:rsidRDefault="009527D6"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сожалению, тяжелое положение на фронтах не позволило в полном объеме выполнить всю программу испытаний. Оба полка спешно «выле</w:t>
      </w:r>
      <w:r w:rsidRPr="008127F8">
        <w:rPr>
          <w:color w:val="000000" w:themeColor="text1"/>
          <w:sz w:val="16"/>
          <w:szCs w:val="16"/>
        </w:rPr>
        <w:softHyphen/>
        <w:t>тели на войну», где использовались как обычные линейные авиаполки и «в общей свалке» понесли большие потери (17500).</w:t>
      </w:r>
    </w:p>
    <w:p w14:paraId="52DB5274" w14:textId="77777777" w:rsidR="009527D6" w:rsidRPr="008127F8" w:rsidRDefault="009527D6" w:rsidP="001E0A84">
      <w:pPr>
        <w:spacing w:after="0" w:line="240" w:lineRule="auto"/>
        <w:jc w:val="both"/>
        <w:rPr>
          <w:rFonts w:ascii="Times New Roman" w:hAnsi="Times New Roman"/>
          <w:color w:val="000000" w:themeColor="text1"/>
          <w:sz w:val="16"/>
          <w:szCs w:val="16"/>
        </w:rPr>
      </w:pPr>
    </w:p>
    <w:p w14:paraId="42F70E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1522 О плане выпуска самолетов и моторов в 1942 году. РГАНИР, Фонд ГКО, д. 26, лл. 47-49, 50-51 (11012).</w:t>
      </w:r>
    </w:p>
    <w:p w14:paraId="1B0350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2C6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N ГОКО-1522сс о том, что большинство эвакуированных авиазаводов работает не на полную мощность, в результате чего АП дает меньше половины продукции по сравнению с тем, что может быть снято с имеющихся производственных мощностей. Полезная отдача оборудования и производительность труда неудовлетворительны.</w:t>
      </w:r>
    </w:p>
    <w:p w14:paraId="5C06B9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Наиболее слабо используемой </w:t>
      </w:r>
      <w:proofErr w:type="gramStart"/>
      <w:r w:rsidRPr="008127F8">
        <w:rPr>
          <w:rFonts w:ascii="Times New Roman" w:hAnsi="Times New Roman"/>
          <w:color w:val="000000" w:themeColor="text1"/>
          <w:sz w:val="16"/>
          <w:szCs w:val="16"/>
        </w:rPr>
        <w:t>по прежнему</w:t>
      </w:r>
      <w:proofErr w:type="gramEnd"/>
      <w:r w:rsidRPr="008127F8">
        <w:rPr>
          <w:rFonts w:ascii="Times New Roman" w:hAnsi="Times New Roman"/>
          <w:color w:val="000000" w:themeColor="text1"/>
          <w:sz w:val="16"/>
          <w:szCs w:val="16"/>
        </w:rPr>
        <w:t xml:space="preserve"> является группа сибирских заводов.</w:t>
      </w:r>
    </w:p>
    <w:p w14:paraId="090C4A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целью максимального увеличения выпуска продукции, ГКО утвердил основные типы боевых самолетов для массово-серийного производства на заводах НКАП в 1942: одноместный истребитель Як-1, Як-7, одноместный штурмовик Ил-2, ББ Пе-2 и ДБ Ил-4.</w:t>
      </w:r>
    </w:p>
    <w:p w14:paraId="3793EC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установил в 1942 план производства самолетов и моторов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686"/>
        <w:gridCol w:w="3685"/>
      </w:tblGrid>
      <w:tr w:rsidR="006F4095" w:rsidRPr="008127F8" w14:paraId="587E54CF" w14:textId="77777777">
        <w:tc>
          <w:tcPr>
            <w:tcW w:w="3085" w:type="dxa"/>
            <w:tcBorders>
              <w:top w:val="single" w:sz="12" w:space="0" w:color="auto"/>
            </w:tcBorders>
          </w:tcPr>
          <w:p w14:paraId="40DAE0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12" w:space="0" w:color="auto"/>
            </w:tcBorders>
          </w:tcPr>
          <w:p w14:paraId="27D581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боевых самолетов</w:t>
            </w:r>
          </w:p>
        </w:tc>
        <w:tc>
          <w:tcPr>
            <w:tcW w:w="3685" w:type="dxa"/>
            <w:tcBorders>
              <w:top w:val="single" w:sz="12" w:space="0" w:color="auto"/>
            </w:tcBorders>
          </w:tcPr>
          <w:p w14:paraId="44E321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r>
      <w:tr w:rsidR="006F4095" w:rsidRPr="008127F8" w14:paraId="69724CBA" w14:textId="77777777">
        <w:tc>
          <w:tcPr>
            <w:tcW w:w="3085" w:type="dxa"/>
          </w:tcPr>
          <w:p w14:paraId="01885F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C52E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транспортных</w:t>
            </w:r>
          </w:p>
        </w:tc>
        <w:tc>
          <w:tcPr>
            <w:tcW w:w="3685" w:type="dxa"/>
          </w:tcPr>
          <w:p w14:paraId="129140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r>
      <w:tr w:rsidR="006F4095" w:rsidRPr="008127F8" w14:paraId="5DF05B4C" w14:textId="77777777">
        <w:tc>
          <w:tcPr>
            <w:tcW w:w="3085" w:type="dxa"/>
          </w:tcPr>
          <w:p w14:paraId="60F671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975FD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учебных</w:t>
            </w:r>
          </w:p>
        </w:tc>
        <w:tc>
          <w:tcPr>
            <w:tcW w:w="3685" w:type="dxa"/>
          </w:tcPr>
          <w:p w14:paraId="6E9B7B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3889</w:t>
            </w:r>
          </w:p>
        </w:tc>
      </w:tr>
      <w:tr w:rsidR="006F4095" w:rsidRPr="008127F8" w14:paraId="33BE8B5C" w14:textId="77777777">
        <w:tc>
          <w:tcPr>
            <w:tcW w:w="3085" w:type="dxa"/>
          </w:tcPr>
          <w:p w14:paraId="68EB4A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584A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авиамоторов</w:t>
            </w:r>
          </w:p>
        </w:tc>
        <w:tc>
          <w:tcPr>
            <w:tcW w:w="3685" w:type="dxa"/>
          </w:tcPr>
          <w:p w14:paraId="6E043D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50312, в т.ч. по типам:</w:t>
            </w:r>
          </w:p>
        </w:tc>
      </w:tr>
      <w:tr w:rsidR="006F4095" w:rsidRPr="008127F8" w14:paraId="545F524D" w14:textId="77777777">
        <w:tc>
          <w:tcPr>
            <w:tcW w:w="3085" w:type="dxa"/>
          </w:tcPr>
          <w:p w14:paraId="2FF511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Истребителей</w:t>
            </w:r>
          </w:p>
        </w:tc>
        <w:tc>
          <w:tcPr>
            <w:tcW w:w="3686" w:type="dxa"/>
          </w:tcPr>
          <w:p w14:paraId="67B7D2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1211EA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r>
      <w:tr w:rsidR="006F4095" w:rsidRPr="008127F8" w14:paraId="49A60ED2" w14:textId="77777777">
        <w:tc>
          <w:tcPr>
            <w:tcW w:w="3085" w:type="dxa"/>
          </w:tcPr>
          <w:p w14:paraId="67E527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3686" w:type="dxa"/>
          </w:tcPr>
          <w:p w14:paraId="5D1E61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3685" w:type="dxa"/>
          </w:tcPr>
          <w:p w14:paraId="7193AE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r>
      <w:tr w:rsidR="006F4095" w:rsidRPr="008127F8" w14:paraId="037CC53E" w14:textId="77777777">
        <w:tc>
          <w:tcPr>
            <w:tcW w:w="3085" w:type="dxa"/>
          </w:tcPr>
          <w:p w14:paraId="02935D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A651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3685" w:type="dxa"/>
          </w:tcPr>
          <w:p w14:paraId="445B73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4077</w:t>
            </w:r>
          </w:p>
        </w:tc>
      </w:tr>
      <w:tr w:rsidR="006F4095" w:rsidRPr="008127F8" w14:paraId="747C34C6" w14:textId="77777777">
        <w:tc>
          <w:tcPr>
            <w:tcW w:w="3085" w:type="dxa"/>
          </w:tcPr>
          <w:p w14:paraId="64A78E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B0BE5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3685" w:type="dxa"/>
          </w:tcPr>
          <w:p w14:paraId="627D1A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2791</w:t>
            </w:r>
          </w:p>
        </w:tc>
      </w:tr>
      <w:tr w:rsidR="006F4095" w:rsidRPr="008127F8" w14:paraId="09CFA7E2" w14:textId="77777777">
        <w:tc>
          <w:tcPr>
            <w:tcW w:w="3085" w:type="dxa"/>
          </w:tcPr>
          <w:p w14:paraId="5C017B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Штурмовиков </w:t>
            </w:r>
          </w:p>
        </w:tc>
        <w:tc>
          <w:tcPr>
            <w:tcW w:w="3686" w:type="dxa"/>
          </w:tcPr>
          <w:p w14:paraId="3FE6FD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3685" w:type="dxa"/>
          </w:tcPr>
          <w:p w14:paraId="1BAAFD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9917</w:t>
            </w:r>
          </w:p>
        </w:tc>
      </w:tr>
      <w:tr w:rsidR="006F4095" w:rsidRPr="008127F8" w14:paraId="22C1C2AE" w14:textId="77777777">
        <w:tc>
          <w:tcPr>
            <w:tcW w:w="3085" w:type="dxa"/>
          </w:tcPr>
          <w:p w14:paraId="7E683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Бомбардировщиков</w:t>
            </w:r>
          </w:p>
        </w:tc>
        <w:tc>
          <w:tcPr>
            <w:tcW w:w="3686" w:type="dxa"/>
          </w:tcPr>
          <w:p w14:paraId="005EA6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4A1856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53ED3C" w14:textId="77777777">
        <w:tc>
          <w:tcPr>
            <w:tcW w:w="3085" w:type="dxa"/>
          </w:tcPr>
          <w:p w14:paraId="7E5645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3686" w:type="dxa"/>
          </w:tcPr>
          <w:p w14:paraId="4EC5A8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3685" w:type="dxa"/>
          </w:tcPr>
          <w:p w14:paraId="0FE03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4242</w:t>
            </w:r>
          </w:p>
        </w:tc>
      </w:tr>
      <w:tr w:rsidR="006F4095" w:rsidRPr="008127F8" w14:paraId="63431475" w14:textId="77777777">
        <w:tc>
          <w:tcPr>
            <w:tcW w:w="3085" w:type="dxa"/>
          </w:tcPr>
          <w:p w14:paraId="36C0D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E4D63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3685" w:type="dxa"/>
          </w:tcPr>
          <w:p w14:paraId="19EAE4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1199</w:t>
            </w:r>
          </w:p>
        </w:tc>
      </w:tr>
      <w:tr w:rsidR="006F4095" w:rsidRPr="008127F8" w14:paraId="43A9F8FF" w14:textId="77777777">
        <w:tc>
          <w:tcPr>
            <w:tcW w:w="3085" w:type="dxa"/>
          </w:tcPr>
          <w:p w14:paraId="1F74C8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E4E53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3685" w:type="dxa"/>
          </w:tcPr>
          <w:p w14:paraId="7DF539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r>
      <w:tr w:rsidR="006F4095" w:rsidRPr="008127F8" w14:paraId="2EB9AD81" w14:textId="77777777">
        <w:tc>
          <w:tcPr>
            <w:tcW w:w="3085" w:type="dxa"/>
          </w:tcPr>
          <w:p w14:paraId="6AC231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3686" w:type="dxa"/>
          </w:tcPr>
          <w:p w14:paraId="36E512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0D1661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r>
      <w:tr w:rsidR="006F4095" w:rsidRPr="008127F8" w14:paraId="5075807E" w14:textId="77777777">
        <w:tc>
          <w:tcPr>
            <w:tcW w:w="3085" w:type="dxa"/>
          </w:tcPr>
          <w:p w14:paraId="244207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Моторов</w:t>
            </w:r>
          </w:p>
        </w:tc>
        <w:tc>
          <w:tcPr>
            <w:tcW w:w="3686" w:type="dxa"/>
          </w:tcPr>
          <w:p w14:paraId="141757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5E752E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3DF3CA" w14:textId="77777777">
        <w:tc>
          <w:tcPr>
            <w:tcW w:w="3085" w:type="dxa"/>
          </w:tcPr>
          <w:p w14:paraId="46CF4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4B2F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3685" w:type="dxa"/>
          </w:tcPr>
          <w:p w14:paraId="746607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r>
      <w:tr w:rsidR="006F4095" w:rsidRPr="008127F8" w14:paraId="2F5881D4" w14:textId="77777777">
        <w:tc>
          <w:tcPr>
            <w:tcW w:w="3085" w:type="dxa"/>
          </w:tcPr>
          <w:p w14:paraId="28BE4E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7CC93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3685" w:type="dxa"/>
          </w:tcPr>
          <w:p w14:paraId="6E4D87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9488</w:t>
            </w:r>
          </w:p>
        </w:tc>
      </w:tr>
      <w:tr w:rsidR="006F4095" w:rsidRPr="008127F8" w14:paraId="5D07BF6E" w14:textId="77777777">
        <w:tc>
          <w:tcPr>
            <w:tcW w:w="3085" w:type="dxa"/>
          </w:tcPr>
          <w:p w14:paraId="71797C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C9CD1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3685" w:type="dxa"/>
          </w:tcPr>
          <w:p w14:paraId="072622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11411</w:t>
            </w:r>
          </w:p>
        </w:tc>
      </w:tr>
      <w:tr w:rsidR="006F4095" w:rsidRPr="008127F8" w14:paraId="63AB24E0" w14:textId="77777777">
        <w:tc>
          <w:tcPr>
            <w:tcW w:w="3085" w:type="dxa"/>
          </w:tcPr>
          <w:p w14:paraId="0D47BA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3D41E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3685" w:type="dxa"/>
          </w:tcPr>
          <w:p w14:paraId="4BADBF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r>
      <w:tr w:rsidR="00687FE2" w:rsidRPr="008127F8" w14:paraId="6DF12938" w14:textId="77777777">
        <w:tc>
          <w:tcPr>
            <w:tcW w:w="3085" w:type="dxa"/>
            <w:tcBorders>
              <w:bottom w:val="single" w:sz="12" w:space="0" w:color="auto"/>
            </w:tcBorders>
          </w:tcPr>
          <w:p w14:paraId="37B288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bottom w:val="single" w:sz="12" w:space="0" w:color="auto"/>
            </w:tcBorders>
          </w:tcPr>
          <w:p w14:paraId="57316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3685" w:type="dxa"/>
            <w:tcBorders>
              <w:bottom w:val="single" w:sz="12" w:space="0" w:color="auto"/>
            </w:tcBorders>
          </w:tcPr>
          <w:p w14:paraId="1C9728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 (1604,60)</w:t>
            </w:r>
          </w:p>
        </w:tc>
      </w:tr>
    </w:tbl>
    <w:p w14:paraId="57C74C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F0D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была подготовлена записка:</w:t>
      </w:r>
    </w:p>
    <w:p w14:paraId="236A97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4B541C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товарищу СТАЛИНУ И.В.</w:t>
      </w:r>
    </w:p>
    <w:p w14:paraId="74C79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Посылаем на Баше утверждение проект постановления Государственного Комитета Обороны «О плане выпуска самолетов и моторов в 1942 году»</w:t>
      </w:r>
    </w:p>
    <w:p w14:paraId="283B95C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10EEBF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ГОСУДАРСТВЕННОГО КОМИТЕТА ОБОРОНЫ</w:t>
      </w:r>
    </w:p>
    <w:p w14:paraId="3228014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Авиационная промышленность дает еще меньше половиныпродукции по сравнению с тем, что может быть снято с имеющихся произвол стаенных мощностей. Большинство эвакуировавши заводов работав не на полную мощность.</w:t>
      </w:r>
    </w:p>
    <w:p w14:paraId="43C6C16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Полная отдача оборудования и производительностъ труда неудовлетворительна.</w:t>
      </w:r>
    </w:p>
    <w:p w14:paraId="3AF6BC3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Наиболее слабо используемой </w:t>
      </w:r>
      <w:proofErr w:type="gramStart"/>
      <w:r w:rsidRPr="008127F8">
        <w:rPr>
          <w:rFonts w:ascii="Times New Roman" w:hAnsi="Times New Roman"/>
          <w:color w:val="000000" w:themeColor="text1"/>
          <w:sz w:val="16"/>
          <w:szCs w:val="16"/>
        </w:rPr>
        <w:t>по прежнему</w:t>
      </w:r>
      <w:proofErr w:type="gramEnd"/>
      <w:r w:rsidRPr="008127F8">
        <w:rPr>
          <w:rFonts w:ascii="Times New Roman" w:hAnsi="Times New Roman"/>
          <w:color w:val="000000" w:themeColor="text1"/>
          <w:sz w:val="16"/>
          <w:szCs w:val="16"/>
        </w:rPr>
        <w:t xml:space="preserve"> является группа Сибирских заводов.</w:t>
      </w:r>
    </w:p>
    <w:p w14:paraId="269ECF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внесения полной ясности в работе авиационной прошш-ленности с целью максималъного увеличения выпуска продукции Государственшй Комитет Обороны ПОСТАНОВЛЯЕТ:</w:t>
      </w:r>
    </w:p>
    <w:p w14:paraId="358401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утвердить основные типы боевых самолетов для массово-серийного производства на заводах НКАП в 1942 году: одноместный истребитель - Як-1, Як-7, одноместный штурмовик Ил-2, ближ</w:t>
      </w:r>
      <w:r w:rsidRPr="008127F8">
        <w:rPr>
          <w:rFonts w:ascii="Times New Roman" w:hAnsi="Times New Roman"/>
          <w:color w:val="000000" w:themeColor="text1"/>
          <w:sz w:val="16"/>
          <w:szCs w:val="16"/>
        </w:rPr>
        <w:softHyphen/>
        <w:t>ний бомбардировщик - Пе-2, дальний бомбардировщик - Ил-4;</w:t>
      </w:r>
    </w:p>
    <w:p w14:paraId="2432237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установить по Наркомату Авиационной Промышленности план производства в 1942 г. 25683 боевых самолетов,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1276"/>
        <w:gridCol w:w="1276"/>
        <w:gridCol w:w="1275"/>
        <w:gridCol w:w="1276"/>
      </w:tblGrid>
      <w:tr w:rsidR="006F4095" w:rsidRPr="008127F8" w14:paraId="7703ABF3" w14:textId="77777777">
        <w:tc>
          <w:tcPr>
            <w:tcW w:w="2376" w:type="dxa"/>
            <w:tcBorders>
              <w:top w:val="single" w:sz="12" w:space="0" w:color="auto"/>
            </w:tcBorders>
          </w:tcPr>
          <w:p w14:paraId="32874C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0B9ADD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1276" w:type="dxa"/>
            <w:tcBorders>
              <w:top w:val="single" w:sz="12" w:space="0" w:color="auto"/>
            </w:tcBorders>
          </w:tcPr>
          <w:p w14:paraId="4F3B95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1276" w:type="dxa"/>
            <w:tcBorders>
              <w:top w:val="single" w:sz="12" w:space="0" w:color="auto"/>
            </w:tcBorders>
          </w:tcPr>
          <w:p w14:paraId="3BF0B5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1275" w:type="dxa"/>
            <w:tcBorders>
              <w:top w:val="single" w:sz="12" w:space="0" w:color="auto"/>
            </w:tcBorders>
          </w:tcPr>
          <w:p w14:paraId="1C745E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1276" w:type="dxa"/>
            <w:tcBorders>
              <w:top w:val="single" w:sz="12" w:space="0" w:color="auto"/>
            </w:tcBorders>
          </w:tcPr>
          <w:p w14:paraId="374898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74AEED9A" w14:textId="77777777">
        <w:tc>
          <w:tcPr>
            <w:tcW w:w="2376" w:type="dxa"/>
          </w:tcPr>
          <w:p w14:paraId="62E877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Истребителей</w:t>
            </w:r>
          </w:p>
        </w:tc>
        <w:tc>
          <w:tcPr>
            <w:tcW w:w="1276" w:type="dxa"/>
          </w:tcPr>
          <w:p w14:paraId="0B48A3F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c>
          <w:tcPr>
            <w:tcW w:w="1276" w:type="dxa"/>
          </w:tcPr>
          <w:p w14:paraId="7CC68F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1660</w:t>
            </w:r>
          </w:p>
        </w:tc>
        <w:tc>
          <w:tcPr>
            <w:tcW w:w="1276" w:type="dxa"/>
          </w:tcPr>
          <w:p w14:paraId="686D7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2330</w:t>
            </w:r>
          </w:p>
        </w:tc>
        <w:tc>
          <w:tcPr>
            <w:tcW w:w="1275" w:type="dxa"/>
          </w:tcPr>
          <w:p w14:paraId="4B62CE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2836</w:t>
            </w:r>
          </w:p>
        </w:tc>
        <w:tc>
          <w:tcPr>
            <w:tcW w:w="1276" w:type="dxa"/>
          </w:tcPr>
          <w:p w14:paraId="2891993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3404</w:t>
            </w:r>
          </w:p>
        </w:tc>
      </w:tr>
      <w:tr w:rsidR="006F4095" w:rsidRPr="008127F8" w14:paraId="00D7B20F" w14:textId="77777777">
        <w:tc>
          <w:tcPr>
            <w:tcW w:w="2376" w:type="dxa"/>
          </w:tcPr>
          <w:p w14:paraId="75DE0F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 них: Як-1</w:t>
            </w:r>
          </w:p>
        </w:tc>
        <w:tc>
          <w:tcPr>
            <w:tcW w:w="1276" w:type="dxa"/>
          </w:tcPr>
          <w:p w14:paraId="6318AE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1276" w:type="dxa"/>
          </w:tcPr>
          <w:p w14:paraId="44FBE60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w:t>
            </w:r>
          </w:p>
        </w:tc>
        <w:tc>
          <w:tcPr>
            <w:tcW w:w="1276" w:type="dxa"/>
          </w:tcPr>
          <w:p w14:paraId="0EB5A2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1275" w:type="dxa"/>
          </w:tcPr>
          <w:p w14:paraId="69193C7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w:t>
            </w:r>
          </w:p>
        </w:tc>
        <w:tc>
          <w:tcPr>
            <w:tcW w:w="1276" w:type="dxa"/>
          </w:tcPr>
          <w:p w14:paraId="0831FD8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926</w:t>
            </w:r>
          </w:p>
        </w:tc>
      </w:tr>
      <w:tr w:rsidR="006F4095" w:rsidRPr="008127F8" w14:paraId="7F6B8EF5" w14:textId="77777777">
        <w:tc>
          <w:tcPr>
            <w:tcW w:w="2376" w:type="dxa"/>
          </w:tcPr>
          <w:p w14:paraId="6DD69B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276" w:type="dxa"/>
          </w:tcPr>
          <w:p w14:paraId="5D1E23F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4077</w:t>
            </w:r>
          </w:p>
        </w:tc>
        <w:tc>
          <w:tcPr>
            <w:tcW w:w="1276" w:type="dxa"/>
          </w:tcPr>
          <w:p w14:paraId="6856BF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1276" w:type="dxa"/>
          </w:tcPr>
          <w:p w14:paraId="62FAAC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w:t>
            </w:r>
          </w:p>
        </w:tc>
        <w:tc>
          <w:tcPr>
            <w:tcW w:w="1275" w:type="dxa"/>
          </w:tcPr>
          <w:p w14:paraId="45C196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1415</w:t>
            </w:r>
          </w:p>
        </w:tc>
        <w:tc>
          <w:tcPr>
            <w:tcW w:w="1276" w:type="dxa"/>
          </w:tcPr>
          <w:p w14:paraId="2EC966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1963</w:t>
            </w:r>
          </w:p>
        </w:tc>
      </w:tr>
      <w:tr w:rsidR="006F4095" w:rsidRPr="008127F8" w14:paraId="248FB20B" w14:textId="77777777">
        <w:tc>
          <w:tcPr>
            <w:tcW w:w="2376" w:type="dxa"/>
          </w:tcPr>
          <w:p w14:paraId="5C5836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276" w:type="dxa"/>
          </w:tcPr>
          <w:p w14:paraId="3F35830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2791</w:t>
            </w:r>
          </w:p>
        </w:tc>
        <w:tc>
          <w:tcPr>
            <w:tcW w:w="1276" w:type="dxa"/>
          </w:tcPr>
          <w:p w14:paraId="02EF8B2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c>
          <w:tcPr>
            <w:tcW w:w="1276" w:type="dxa"/>
          </w:tcPr>
          <w:p w14:paraId="3AB9AC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1275" w:type="dxa"/>
          </w:tcPr>
          <w:p w14:paraId="001710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w:t>
            </w:r>
          </w:p>
        </w:tc>
        <w:tc>
          <w:tcPr>
            <w:tcW w:w="1276" w:type="dxa"/>
          </w:tcPr>
          <w:p w14:paraId="0FD975F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3284B525" w14:textId="77777777">
        <w:tc>
          <w:tcPr>
            <w:tcW w:w="2376" w:type="dxa"/>
          </w:tcPr>
          <w:p w14:paraId="37AE16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Штурмовиков Ил-2</w:t>
            </w:r>
          </w:p>
        </w:tc>
        <w:tc>
          <w:tcPr>
            <w:tcW w:w="1276" w:type="dxa"/>
          </w:tcPr>
          <w:p w14:paraId="2C9A42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9717</w:t>
            </w:r>
          </w:p>
        </w:tc>
        <w:tc>
          <w:tcPr>
            <w:tcW w:w="1276" w:type="dxa"/>
          </w:tcPr>
          <w:p w14:paraId="34E750F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821</w:t>
            </w:r>
          </w:p>
        </w:tc>
        <w:tc>
          <w:tcPr>
            <w:tcW w:w="1276" w:type="dxa"/>
          </w:tcPr>
          <w:p w14:paraId="2918F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2101</w:t>
            </w:r>
          </w:p>
        </w:tc>
        <w:tc>
          <w:tcPr>
            <w:tcW w:w="1275" w:type="dxa"/>
          </w:tcPr>
          <w:p w14:paraId="3CF31EE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3024</w:t>
            </w:r>
          </w:p>
        </w:tc>
        <w:tc>
          <w:tcPr>
            <w:tcW w:w="1276" w:type="dxa"/>
          </w:tcPr>
          <w:p w14:paraId="55F4FC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3771</w:t>
            </w:r>
          </w:p>
        </w:tc>
      </w:tr>
      <w:tr w:rsidR="006F4095" w:rsidRPr="008127F8" w14:paraId="7B86600D" w14:textId="77777777">
        <w:tc>
          <w:tcPr>
            <w:tcW w:w="2376" w:type="dxa"/>
          </w:tcPr>
          <w:p w14:paraId="282614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Бомбардировщиков</w:t>
            </w:r>
          </w:p>
        </w:tc>
        <w:tc>
          <w:tcPr>
            <w:tcW w:w="1276" w:type="dxa"/>
          </w:tcPr>
          <w:p w14:paraId="57E2A8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5736</w:t>
            </w:r>
          </w:p>
        </w:tc>
        <w:tc>
          <w:tcPr>
            <w:tcW w:w="1276" w:type="dxa"/>
          </w:tcPr>
          <w:p w14:paraId="2D7A13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640</w:t>
            </w:r>
          </w:p>
        </w:tc>
        <w:tc>
          <w:tcPr>
            <w:tcW w:w="1276" w:type="dxa"/>
          </w:tcPr>
          <w:p w14:paraId="3F54BA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1220</w:t>
            </w:r>
          </w:p>
        </w:tc>
        <w:tc>
          <w:tcPr>
            <w:tcW w:w="1275" w:type="dxa"/>
          </w:tcPr>
          <w:p w14:paraId="3075C7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1701</w:t>
            </w:r>
          </w:p>
        </w:tc>
        <w:tc>
          <w:tcPr>
            <w:tcW w:w="1276" w:type="dxa"/>
          </w:tcPr>
          <w:p w14:paraId="317549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2175</w:t>
            </w:r>
          </w:p>
        </w:tc>
      </w:tr>
      <w:tr w:rsidR="006F4095" w:rsidRPr="008127F8" w14:paraId="190A727A" w14:textId="77777777">
        <w:tc>
          <w:tcPr>
            <w:tcW w:w="2376" w:type="dxa"/>
          </w:tcPr>
          <w:p w14:paraId="6D1FBE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 Пе-2</w:t>
            </w:r>
          </w:p>
        </w:tc>
        <w:tc>
          <w:tcPr>
            <w:tcW w:w="1276" w:type="dxa"/>
          </w:tcPr>
          <w:p w14:paraId="75E9428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4242</w:t>
            </w:r>
          </w:p>
        </w:tc>
        <w:tc>
          <w:tcPr>
            <w:tcW w:w="1276" w:type="dxa"/>
          </w:tcPr>
          <w:p w14:paraId="10A927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1276" w:type="dxa"/>
          </w:tcPr>
          <w:p w14:paraId="4451D5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1275" w:type="dxa"/>
          </w:tcPr>
          <w:p w14:paraId="128100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1292</w:t>
            </w:r>
          </w:p>
        </w:tc>
        <w:tc>
          <w:tcPr>
            <w:tcW w:w="1276" w:type="dxa"/>
          </w:tcPr>
          <w:p w14:paraId="79F3CC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1464</w:t>
            </w:r>
          </w:p>
        </w:tc>
      </w:tr>
      <w:tr w:rsidR="006F4095" w:rsidRPr="008127F8" w14:paraId="51C0203B" w14:textId="77777777">
        <w:tc>
          <w:tcPr>
            <w:tcW w:w="2376" w:type="dxa"/>
          </w:tcPr>
          <w:p w14:paraId="40D670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276" w:type="dxa"/>
          </w:tcPr>
          <w:p w14:paraId="7DB581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1199</w:t>
            </w:r>
          </w:p>
        </w:tc>
        <w:tc>
          <w:tcPr>
            <w:tcW w:w="1276" w:type="dxa"/>
          </w:tcPr>
          <w:p w14:paraId="373B4DD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276" w:type="dxa"/>
          </w:tcPr>
          <w:p w14:paraId="7926F6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w:t>
            </w:r>
          </w:p>
        </w:tc>
        <w:tc>
          <w:tcPr>
            <w:tcW w:w="1275" w:type="dxa"/>
          </w:tcPr>
          <w:p w14:paraId="66D1E0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1276" w:type="dxa"/>
          </w:tcPr>
          <w:p w14:paraId="1CA71A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r>
      <w:tr w:rsidR="006F4095" w:rsidRPr="008127F8" w14:paraId="40E21F33" w14:textId="77777777">
        <w:tc>
          <w:tcPr>
            <w:tcW w:w="2376" w:type="dxa"/>
          </w:tcPr>
          <w:p w14:paraId="52A14B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1276" w:type="dxa"/>
          </w:tcPr>
          <w:p w14:paraId="10CC06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1276" w:type="dxa"/>
          </w:tcPr>
          <w:p w14:paraId="7E2A1F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276" w:type="dxa"/>
          </w:tcPr>
          <w:p w14:paraId="3112D1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275" w:type="dxa"/>
          </w:tcPr>
          <w:p w14:paraId="39F5D6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276" w:type="dxa"/>
          </w:tcPr>
          <w:p w14:paraId="273BEC3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544CEE92" w14:textId="77777777">
        <w:tc>
          <w:tcPr>
            <w:tcW w:w="2376" w:type="dxa"/>
            <w:tcBorders>
              <w:bottom w:val="single" w:sz="12" w:space="0" w:color="auto"/>
            </w:tcBorders>
          </w:tcPr>
          <w:p w14:paraId="3DD3AE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1276" w:type="dxa"/>
            <w:tcBorders>
              <w:bottom w:val="single" w:sz="12" w:space="0" w:color="auto"/>
            </w:tcBorders>
          </w:tcPr>
          <w:p w14:paraId="7CE804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c>
          <w:tcPr>
            <w:tcW w:w="1276" w:type="dxa"/>
            <w:tcBorders>
              <w:bottom w:val="single" w:sz="12" w:space="0" w:color="auto"/>
            </w:tcBorders>
          </w:tcPr>
          <w:p w14:paraId="6C0B9AA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3121</w:t>
            </w:r>
          </w:p>
        </w:tc>
        <w:tc>
          <w:tcPr>
            <w:tcW w:w="1276" w:type="dxa"/>
            <w:tcBorders>
              <w:bottom w:val="single" w:sz="12" w:space="0" w:color="auto"/>
            </w:tcBorders>
          </w:tcPr>
          <w:p w14:paraId="143A1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5651</w:t>
            </w:r>
          </w:p>
        </w:tc>
        <w:tc>
          <w:tcPr>
            <w:tcW w:w="1275" w:type="dxa"/>
            <w:tcBorders>
              <w:bottom w:val="single" w:sz="12" w:space="0" w:color="auto"/>
            </w:tcBorders>
          </w:tcPr>
          <w:p w14:paraId="1297F2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7561</w:t>
            </w:r>
          </w:p>
        </w:tc>
        <w:tc>
          <w:tcPr>
            <w:tcW w:w="1276" w:type="dxa"/>
            <w:tcBorders>
              <w:bottom w:val="single" w:sz="12" w:space="0" w:color="auto"/>
            </w:tcBorders>
          </w:tcPr>
          <w:p w14:paraId="6A3026C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9350</w:t>
            </w:r>
          </w:p>
        </w:tc>
      </w:tr>
    </w:tbl>
    <w:p w14:paraId="2669330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по Наркомату Авиационной Прошшлеввости план производства в 1942 г. 50312 авиационных моторов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1276"/>
        <w:gridCol w:w="1276"/>
        <w:gridCol w:w="1275"/>
        <w:gridCol w:w="1276"/>
      </w:tblGrid>
      <w:tr w:rsidR="006F4095" w:rsidRPr="008127F8" w14:paraId="1DA49BF6" w14:textId="77777777">
        <w:tc>
          <w:tcPr>
            <w:tcW w:w="2376" w:type="dxa"/>
            <w:tcBorders>
              <w:top w:val="single" w:sz="12" w:space="0" w:color="auto"/>
            </w:tcBorders>
          </w:tcPr>
          <w:p w14:paraId="2CD855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276" w:type="dxa"/>
            <w:tcBorders>
              <w:top w:val="single" w:sz="12" w:space="0" w:color="auto"/>
            </w:tcBorders>
          </w:tcPr>
          <w:p w14:paraId="025B09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c>
          <w:tcPr>
            <w:tcW w:w="1276" w:type="dxa"/>
            <w:tcBorders>
              <w:top w:val="single" w:sz="12" w:space="0" w:color="auto"/>
            </w:tcBorders>
          </w:tcPr>
          <w:p w14:paraId="79830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1478</w:t>
            </w:r>
          </w:p>
        </w:tc>
        <w:tc>
          <w:tcPr>
            <w:tcW w:w="1276" w:type="dxa"/>
            <w:tcBorders>
              <w:top w:val="single" w:sz="12" w:space="0" w:color="auto"/>
            </w:tcBorders>
          </w:tcPr>
          <w:p w14:paraId="33B8231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3080</w:t>
            </w:r>
          </w:p>
        </w:tc>
        <w:tc>
          <w:tcPr>
            <w:tcW w:w="1275" w:type="dxa"/>
            <w:tcBorders>
              <w:top w:val="single" w:sz="12" w:space="0" w:color="auto"/>
            </w:tcBorders>
          </w:tcPr>
          <w:p w14:paraId="3A271CA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4035</w:t>
            </w:r>
          </w:p>
        </w:tc>
        <w:tc>
          <w:tcPr>
            <w:tcW w:w="1276" w:type="dxa"/>
            <w:tcBorders>
              <w:top w:val="single" w:sz="12" w:space="0" w:color="auto"/>
            </w:tcBorders>
          </w:tcPr>
          <w:p w14:paraId="0983BA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4511</w:t>
            </w:r>
          </w:p>
        </w:tc>
      </w:tr>
      <w:tr w:rsidR="006F4095" w:rsidRPr="008127F8" w14:paraId="07A225CF" w14:textId="77777777">
        <w:tc>
          <w:tcPr>
            <w:tcW w:w="2376" w:type="dxa"/>
          </w:tcPr>
          <w:p w14:paraId="4EFFE0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276" w:type="dxa"/>
          </w:tcPr>
          <w:p w14:paraId="495511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9488</w:t>
            </w:r>
          </w:p>
        </w:tc>
        <w:tc>
          <w:tcPr>
            <w:tcW w:w="1276" w:type="dxa"/>
          </w:tcPr>
          <w:p w14:paraId="5F9F7E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w:t>
            </w:r>
          </w:p>
        </w:tc>
        <w:tc>
          <w:tcPr>
            <w:tcW w:w="1276" w:type="dxa"/>
          </w:tcPr>
          <w:p w14:paraId="04C42C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2158</w:t>
            </w:r>
          </w:p>
        </w:tc>
        <w:tc>
          <w:tcPr>
            <w:tcW w:w="1275" w:type="dxa"/>
          </w:tcPr>
          <w:p w14:paraId="74F188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3050</w:t>
            </w:r>
          </w:p>
        </w:tc>
        <w:tc>
          <w:tcPr>
            <w:tcW w:w="1276" w:type="dxa"/>
          </w:tcPr>
          <w:p w14:paraId="71092A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3785</w:t>
            </w:r>
          </w:p>
        </w:tc>
      </w:tr>
      <w:tr w:rsidR="006F4095" w:rsidRPr="008127F8" w14:paraId="12FB25DE" w14:textId="77777777">
        <w:tc>
          <w:tcPr>
            <w:tcW w:w="2376" w:type="dxa"/>
          </w:tcPr>
          <w:p w14:paraId="729126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276" w:type="dxa"/>
          </w:tcPr>
          <w:p w14:paraId="457A29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11411</w:t>
            </w:r>
          </w:p>
        </w:tc>
        <w:tc>
          <w:tcPr>
            <w:tcW w:w="1276" w:type="dxa"/>
          </w:tcPr>
          <w:p w14:paraId="7A8BCB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683</w:t>
            </w:r>
          </w:p>
        </w:tc>
        <w:tc>
          <w:tcPr>
            <w:tcW w:w="1276" w:type="dxa"/>
          </w:tcPr>
          <w:p w14:paraId="60112A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2473</w:t>
            </w:r>
          </w:p>
        </w:tc>
        <w:tc>
          <w:tcPr>
            <w:tcW w:w="1275" w:type="dxa"/>
          </w:tcPr>
          <w:p w14:paraId="0DA3BF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3670</w:t>
            </w:r>
          </w:p>
        </w:tc>
        <w:tc>
          <w:tcPr>
            <w:tcW w:w="1276" w:type="dxa"/>
          </w:tcPr>
          <w:p w14:paraId="5DFB76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4585</w:t>
            </w:r>
          </w:p>
        </w:tc>
      </w:tr>
      <w:tr w:rsidR="006F4095" w:rsidRPr="008127F8" w14:paraId="1FA40C87" w14:textId="77777777">
        <w:tc>
          <w:tcPr>
            <w:tcW w:w="2376" w:type="dxa"/>
          </w:tcPr>
          <w:p w14:paraId="47E869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276" w:type="dxa"/>
          </w:tcPr>
          <w:p w14:paraId="3A18A2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c>
          <w:tcPr>
            <w:tcW w:w="1276" w:type="dxa"/>
          </w:tcPr>
          <w:p w14:paraId="5E1220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1276" w:type="dxa"/>
          </w:tcPr>
          <w:p w14:paraId="788499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w:t>
            </w:r>
          </w:p>
        </w:tc>
        <w:tc>
          <w:tcPr>
            <w:tcW w:w="1275" w:type="dxa"/>
          </w:tcPr>
          <w:p w14:paraId="11FED93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1276" w:type="dxa"/>
          </w:tcPr>
          <w:p w14:paraId="78DF0A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41390DF8" w14:textId="77777777">
        <w:tc>
          <w:tcPr>
            <w:tcW w:w="2376" w:type="dxa"/>
            <w:tcBorders>
              <w:bottom w:val="single" w:sz="12" w:space="0" w:color="auto"/>
            </w:tcBorders>
          </w:tcPr>
          <w:p w14:paraId="73815A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276" w:type="dxa"/>
            <w:tcBorders>
              <w:bottom w:val="single" w:sz="12" w:space="0" w:color="auto"/>
            </w:tcBorders>
          </w:tcPr>
          <w:p w14:paraId="446A87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c>
          <w:tcPr>
            <w:tcW w:w="1276" w:type="dxa"/>
            <w:tcBorders>
              <w:bottom w:val="single" w:sz="12" w:space="0" w:color="auto"/>
            </w:tcBorders>
          </w:tcPr>
          <w:p w14:paraId="45CD49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1276" w:type="dxa"/>
            <w:tcBorders>
              <w:bottom w:val="single" w:sz="12" w:space="0" w:color="auto"/>
            </w:tcBorders>
          </w:tcPr>
          <w:p w14:paraId="6F91821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927</w:t>
            </w:r>
          </w:p>
        </w:tc>
        <w:tc>
          <w:tcPr>
            <w:tcW w:w="1275" w:type="dxa"/>
            <w:tcBorders>
              <w:bottom w:val="single" w:sz="12" w:space="0" w:color="auto"/>
            </w:tcBorders>
          </w:tcPr>
          <w:p w14:paraId="3C3978D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1276" w:type="dxa"/>
            <w:tcBorders>
              <w:bottom w:val="single" w:sz="12" w:space="0" w:color="auto"/>
            </w:tcBorders>
          </w:tcPr>
          <w:p w14:paraId="03DC9B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1275</w:t>
            </w:r>
          </w:p>
        </w:tc>
      </w:tr>
    </w:tbl>
    <w:p w14:paraId="44D9C50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по заводам Наркомавиапрома план выпуска са</w:t>
      </w:r>
      <w:r w:rsidRPr="008127F8">
        <w:rPr>
          <w:rFonts w:ascii="Times New Roman" w:hAnsi="Times New Roman"/>
          <w:color w:val="000000" w:themeColor="text1"/>
          <w:sz w:val="16"/>
          <w:szCs w:val="16"/>
        </w:rPr>
        <w:softHyphen/>
        <w:t>молетов и авиамоторов в 1942 году:</w:t>
      </w:r>
    </w:p>
    <w:p w14:paraId="7168608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w:t>
      </w:r>
      <w:proofErr w:type="gramStart"/>
      <w:r w:rsidRPr="008127F8">
        <w:rPr>
          <w:rFonts w:ascii="Times New Roman" w:hAnsi="Times New Roman"/>
          <w:color w:val="000000" w:themeColor="text1"/>
          <w:sz w:val="16"/>
          <w:szCs w:val="16"/>
        </w:rPr>
        <w:t>До самолетам</w:t>
      </w:r>
      <w:proofErr w:type="gramEnd"/>
    </w:p>
    <w:tbl>
      <w:tblPr>
        <w:tblW w:w="0" w:type="auto"/>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8"/>
        <w:gridCol w:w="2126"/>
        <w:gridCol w:w="1134"/>
        <w:gridCol w:w="1134"/>
        <w:gridCol w:w="1134"/>
        <w:gridCol w:w="1134"/>
        <w:gridCol w:w="1134"/>
      </w:tblGrid>
      <w:tr w:rsidR="006F4095" w:rsidRPr="008127F8" w14:paraId="38F180E0" w14:textId="77777777">
        <w:tc>
          <w:tcPr>
            <w:tcW w:w="568" w:type="dxa"/>
            <w:tcBorders>
              <w:top w:val="single" w:sz="12" w:space="0" w:color="auto"/>
            </w:tcBorders>
          </w:tcPr>
          <w:p w14:paraId="4C4C03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2126" w:type="dxa"/>
            <w:tcBorders>
              <w:top w:val="single" w:sz="12" w:space="0" w:color="auto"/>
            </w:tcBorders>
          </w:tcPr>
          <w:p w14:paraId="1B377A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самолетов и моторов</w:t>
            </w:r>
          </w:p>
        </w:tc>
        <w:tc>
          <w:tcPr>
            <w:tcW w:w="1134" w:type="dxa"/>
            <w:tcBorders>
              <w:top w:val="single" w:sz="12" w:space="0" w:color="auto"/>
            </w:tcBorders>
          </w:tcPr>
          <w:p w14:paraId="3A597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1134" w:type="dxa"/>
            <w:tcBorders>
              <w:top w:val="single" w:sz="12" w:space="0" w:color="auto"/>
            </w:tcBorders>
          </w:tcPr>
          <w:p w14:paraId="148C06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1134" w:type="dxa"/>
            <w:tcBorders>
              <w:top w:val="single" w:sz="12" w:space="0" w:color="auto"/>
            </w:tcBorders>
          </w:tcPr>
          <w:p w14:paraId="5AD10C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1134" w:type="dxa"/>
            <w:tcBorders>
              <w:top w:val="single" w:sz="12" w:space="0" w:color="auto"/>
            </w:tcBorders>
          </w:tcPr>
          <w:p w14:paraId="20D83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1134" w:type="dxa"/>
            <w:tcBorders>
              <w:top w:val="single" w:sz="12" w:space="0" w:color="auto"/>
            </w:tcBorders>
          </w:tcPr>
          <w:p w14:paraId="221273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5D9964FD" w14:textId="77777777">
        <w:tc>
          <w:tcPr>
            <w:tcW w:w="568" w:type="dxa"/>
          </w:tcPr>
          <w:p w14:paraId="23E9DF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126" w:type="dxa"/>
          </w:tcPr>
          <w:p w14:paraId="5E2E22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М-105П</w:t>
            </w:r>
          </w:p>
        </w:tc>
        <w:tc>
          <w:tcPr>
            <w:tcW w:w="1134" w:type="dxa"/>
          </w:tcPr>
          <w:p w14:paraId="2AFFE5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1134" w:type="dxa"/>
          </w:tcPr>
          <w:p w14:paraId="36099B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w:t>
            </w:r>
          </w:p>
        </w:tc>
        <w:tc>
          <w:tcPr>
            <w:tcW w:w="1134" w:type="dxa"/>
          </w:tcPr>
          <w:p w14:paraId="29AC62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1134" w:type="dxa"/>
          </w:tcPr>
          <w:p w14:paraId="5552129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860</w:t>
            </w:r>
          </w:p>
        </w:tc>
        <w:tc>
          <w:tcPr>
            <w:tcW w:w="1134" w:type="dxa"/>
          </w:tcPr>
          <w:p w14:paraId="48A0D8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926</w:t>
            </w:r>
          </w:p>
        </w:tc>
      </w:tr>
      <w:tr w:rsidR="006F4095" w:rsidRPr="008127F8" w14:paraId="13408E69" w14:textId="77777777">
        <w:tc>
          <w:tcPr>
            <w:tcW w:w="568" w:type="dxa"/>
          </w:tcPr>
          <w:p w14:paraId="60C42B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126" w:type="dxa"/>
          </w:tcPr>
          <w:p w14:paraId="60CF6F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1134" w:type="dxa"/>
          </w:tcPr>
          <w:p w14:paraId="110463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w:t>
            </w:r>
          </w:p>
        </w:tc>
        <w:tc>
          <w:tcPr>
            <w:tcW w:w="1134" w:type="dxa"/>
          </w:tcPr>
          <w:p w14:paraId="706758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1134" w:type="dxa"/>
          </w:tcPr>
          <w:p w14:paraId="47BA9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1134" w:type="dxa"/>
          </w:tcPr>
          <w:p w14:paraId="5B7EB9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835</w:t>
            </w:r>
          </w:p>
        </w:tc>
        <w:tc>
          <w:tcPr>
            <w:tcW w:w="1134" w:type="dxa"/>
          </w:tcPr>
          <w:p w14:paraId="27AF82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1063</w:t>
            </w:r>
          </w:p>
        </w:tc>
      </w:tr>
      <w:tr w:rsidR="006F4095" w:rsidRPr="008127F8" w14:paraId="6FD2C2CD" w14:textId="77777777">
        <w:tc>
          <w:tcPr>
            <w:tcW w:w="568" w:type="dxa"/>
          </w:tcPr>
          <w:p w14:paraId="2EA400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126" w:type="dxa"/>
          </w:tcPr>
          <w:p w14:paraId="64B7DF1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1134" w:type="dxa"/>
          </w:tcPr>
          <w:p w14:paraId="7CF6A3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1134" w:type="dxa"/>
          </w:tcPr>
          <w:p w14:paraId="1CD992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1134" w:type="dxa"/>
          </w:tcPr>
          <w:p w14:paraId="61C780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DA74A5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w:t>
            </w:r>
          </w:p>
        </w:tc>
        <w:tc>
          <w:tcPr>
            <w:tcW w:w="1134" w:type="dxa"/>
          </w:tcPr>
          <w:p w14:paraId="55DBE4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w:t>
            </w:r>
          </w:p>
        </w:tc>
      </w:tr>
      <w:tr w:rsidR="006F4095" w:rsidRPr="008127F8" w14:paraId="3BE1415D" w14:textId="77777777">
        <w:tc>
          <w:tcPr>
            <w:tcW w:w="568" w:type="dxa"/>
          </w:tcPr>
          <w:p w14:paraId="0388285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126" w:type="dxa"/>
          </w:tcPr>
          <w:p w14:paraId="19803A7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1134" w:type="dxa"/>
          </w:tcPr>
          <w:p w14:paraId="674EDA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1466</w:t>
            </w:r>
          </w:p>
        </w:tc>
        <w:tc>
          <w:tcPr>
            <w:tcW w:w="1134" w:type="dxa"/>
          </w:tcPr>
          <w:p w14:paraId="57278EE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702</w:t>
            </w:r>
          </w:p>
        </w:tc>
        <w:tc>
          <w:tcPr>
            <w:tcW w:w="1134" w:type="dxa"/>
          </w:tcPr>
          <w:p w14:paraId="23A1803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648</w:t>
            </w:r>
          </w:p>
        </w:tc>
        <w:tc>
          <w:tcPr>
            <w:tcW w:w="1134" w:type="dxa"/>
          </w:tcPr>
          <w:p w14:paraId="05C0B1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1134" w:type="dxa"/>
          </w:tcPr>
          <w:p w14:paraId="4C6438B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A06CE12" w14:textId="77777777">
        <w:tc>
          <w:tcPr>
            <w:tcW w:w="568" w:type="dxa"/>
          </w:tcPr>
          <w:p w14:paraId="4B95680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126" w:type="dxa"/>
          </w:tcPr>
          <w:p w14:paraId="3DC5775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1134" w:type="dxa"/>
          </w:tcPr>
          <w:p w14:paraId="5B801C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1475</w:t>
            </w:r>
          </w:p>
        </w:tc>
        <w:tc>
          <w:tcPr>
            <w:tcW w:w="1134" w:type="dxa"/>
          </w:tcPr>
          <w:p w14:paraId="5CCF30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387735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134" w:type="dxa"/>
          </w:tcPr>
          <w:p w14:paraId="4E606E5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w:t>
            </w:r>
          </w:p>
        </w:tc>
        <w:tc>
          <w:tcPr>
            <w:tcW w:w="1134" w:type="dxa"/>
          </w:tcPr>
          <w:p w14:paraId="647650C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r>
      <w:tr w:rsidR="006F4095" w:rsidRPr="008127F8" w14:paraId="26E9728B" w14:textId="77777777">
        <w:tc>
          <w:tcPr>
            <w:tcW w:w="568" w:type="dxa"/>
          </w:tcPr>
          <w:p w14:paraId="621C5D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126" w:type="dxa"/>
          </w:tcPr>
          <w:p w14:paraId="75309DD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1134" w:type="dxa"/>
          </w:tcPr>
          <w:p w14:paraId="6523DD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1134" w:type="dxa"/>
          </w:tcPr>
          <w:p w14:paraId="2BF8518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1134" w:type="dxa"/>
          </w:tcPr>
          <w:p w14:paraId="705B9A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w:t>
            </w:r>
          </w:p>
        </w:tc>
        <w:tc>
          <w:tcPr>
            <w:tcW w:w="1134" w:type="dxa"/>
          </w:tcPr>
          <w:p w14:paraId="05403C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1134" w:type="dxa"/>
          </w:tcPr>
          <w:p w14:paraId="0C54A92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43D89673" w14:textId="77777777">
        <w:tc>
          <w:tcPr>
            <w:tcW w:w="568" w:type="dxa"/>
          </w:tcPr>
          <w:p w14:paraId="64DBF5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55D29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истребителей:</w:t>
            </w:r>
          </w:p>
        </w:tc>
        <w:tc>
          <w:tcPr>
            <w:tcW w:w="1134" w:type="dxa"/>
          </w:tcPr>
          <w:p w14:paraId="420B91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c>
          <w:tcPr>
            <w:tcW w:w="1134" w:type="dxa"/>
          </w:tcPr>
          <w:p w14:paraId="50DC46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1660</w:t>
            </w:r>
          </w:p>
        </w:tc>
        <w:tc>
          <w:tcPr>
            <w:tcW w:w="1134" w:type="dxa"/>
          </w:tcPr>
          <w:p w14:paraId="2D850E3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2330</w:t>
            </w:r>
          </w:p>
        </w:tc>
        <w:tc>
          <w:tcPr>
            <w:tcW w:w="1134" w:type="dxa"/>
          </w:tcPr>
          <w:p w14:paraId="647F546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2836</w:t>
            </w:r>
          </w:p>
        </w:tc>
        <w:tc>
          <w:tcPr>
            <w:tcW w:w="1134" w:type="dxa"/>
          </w:tcPr>
          <w:p w14:paraId="03D600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3404</w:t>
            </w:r>
          </w:p>
        </w:tc>
      </w:tr>
      <w:tr w:rsidR="006F4095" w:rsidRPr="008127F8" w14:paraId="7583A10F" w14:textId="77777777">
        <w:tc>
          <w:tcPr>
            <w:tcW w:w="568" w:type="dxa"/>
          </w:tcPr>
          <w:p w14:paraId="671089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1</w:t>
            </w:r>
          </w:p>
        </w:tc>
        <w:tc>
          <w:tcPr>
            <w:tcW w:w="2126" w:type="dxa"/>
          </w:tcPr>
          <w:p w14:paraId="006978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134" w:type="dxa"/>
          </w:tcPr>
          <w:p w14:paraId="693431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3526</w:t>
            </w:r>
          </w:p>
        </w:tc>
        <w:tc>
          <w:tcPr>
            <w:tcW w:w="1134" w:type="dxa"/>
          </w:tcPr>
          <w:p w14:paraId="1251B1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134" w:type="dxa"/>
          </w:tcPr>
          <w:p w14:paraId="630BAB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730</w:t>
            </w:r>
          </w:p>
        </w:tc>
        <w:tc>
          <w:tcPr>
            <w:tcW w:w="1134" w:type="dxa"/>
          </w:tcPr>
          <w:p w14:paraId="51BBF6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1170</w:t>
            </w:r>
          </w:p>
        </w:tc>
        <w:tc>
          <w:tcPr>
            <w:tcW w:w="1134" w:type="dxa"/>
          </w:tcPr>
          <w:p w14:paraId="32EE28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1472</w:t>
            </w:r>
          </w:p>
        </w:tc>
      </w:tr>
      <w:tr w:rsidR="006F4095" w:rsidRPr="008127F8" w14:paraId="20A1B2E0" w14:textId="77777777">
        <w:tc>
          <w:tcPr>
            <w:tcW w:w="568" w:type="dxa"/>
          </w:tcPr>
          <w:p w14:paraId="55C6C5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126" w:type="dxa"/>
          </w:tcPr>
          <w:p w14:paraId="45A494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134" w:type="dxa"/>
          </w:tcPr>
          <w:p w14:paraId="55DD21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4376</w:t>
            </w:r>
          </w:p>
        </w:tc>
        <w:tc>
          <w:tcPr>
            <w:tcW w:w="1134" w:type="dxa"/>
          </w:tcPr>
          <w:p w14:paraId="1F53A5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594</w:t>
            </w:r>
          </w:p>
        </w:tc>
        <w:tc>
          <w:tcPr>
            <w:tcW w:w="1134" w:type="dxa"/>
          </w:tcPr>
          <w:p w14:paraId="67102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1106</w:t>
            </w:r>
          </w:p>
        </w:tc>
        <w:tc>
          <w:tcPr>
            <w:tcW w:w="1134" w:type="dxa"/>
          </w:tcPr>
          <w:p w14:paraId="718E7F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1246</w:t>
            </w:r>
          </w:p>
        </w:tc>
        <w:tc>
          <w:tcPr>
            <w:tcW w:w="1134" w:type="dxa"/>
          </w:tcPr>
          <w:p w14:paraId="02B97A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1430</w:t>
            </w:r>
          </w:p>
        </w:tc>
      </w:tr>
      <w:tr w:rsidR="006F4095" w:rsidRPr="008127F8" w14:paraId="4C6BB2B8" w14:textId="77777777">
        <w:tc>
          <w:tcPr>
            <w:tcW w:w="568" w:type="dxa"/>
          </w:tcPr>
          <w:p w14:paraId="76580D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126" w:type="dxa"/>
          </w:tcPr>
          <w:p w14:paraId="2AF975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134" w:type="dxa"/>
          </w:tcPr>
          <w:p w14:paraId="3F2732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1134" w:type="dxa"/>
          </w:tcPr>
          <w:p w14:paraId="5DC074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134" w:type="dxa"/>
          </w:tcPr>
          <w:p w14:paraId="3B2F3C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c>
          <w:tcPr>
            <w:tcW w:w="1134" w:type="dxa"/>
          </w:tcPr>
          <w:p w14:paraId="1E35C6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tc>
        <w:tc>
          <w:tcPr>
            <w:tcW w:w="1134" w:type="dxa"/>
          </w:tcPr>
          <w:p w14:paraId="100936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w:t>
            </w:r>
          </w:p>
        </w:tc>
      </w:tr>
      <w:tr w:rsidR="006F4095" w:rsidRPr="008127F8" w14:paraId="4106B84C" w14:textId="77777777">
        <w:tc>
          <w:tcPr>
            <w:tcW w:w="568" w:type="dxa"/>
          </w:tcPr>
          <w:p w14:paraId="5AB40B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126" w:type="dxa"/>
          </w:tcPr>
          <w:p w14:paraId="4827DCA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134" w:type="dxa"/>
          </w:tcPr>
          <w:p w14:paraId="3C4883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1134" w:type="dxa"/>
          </w:tcPr>
          <w:p w14:paraId="44F066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1134" w:type="dxa"/>
          </w:tcPr>
          <w:p w14:paraId="559D0B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1134" w:type="dxa"/>
          </w:tcPr>
          <w:p w14:paraId="04C445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7899D8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E4ADB9B" w14:textId="77777777">
        <w:tc>
          <w:tcPr>
            <w:tcW w:w="568" w:type="dxa"/>
          </w:tcPr>
          <w:p w14:paraId="39D90AF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126" w:type="dxa"/>
          </w:tcPr>
          <w:p w14:paraId="568640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М-82</w:t>
            </w:r>
          </w:p>
        </w:tc>
        <w:tc>
          <w:tcPr>
            <w:tcW w:w="1134" w:type="dxa"/>
          </w:tcPr>
          <w:p w14:paraId="776762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678</w:t>
            </w:r>
          </w:p>
        </w:tc>
        <w:tc>
          <w:tcPr>
            <w:tcW w:w="1134" w:type="dxa"/>
          </w:tcPr>
          <w:p w14:paraId="5439A2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421A4E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1134" w:type="dxa"/>
          </w:tcPr>
          <w:p w14:paraId="0652A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1134" w:type="dxa"/>
          </w:tcPr>
          <w:p w14:paraId="2CD97A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w:t>
            </w:r>
          </w:p>
        </w:tc>
      </w:tr>
      <w:tr w:rsidR="006F4095" w:rsidRPr="008127F8" w14:paraId="57CF5AC0" w14:textId="77777777">
        <w:tc>
          <w:tcPr>
            <w:tcW w:w="568" w:type="dxa"/>
          </w:tcPr>
          <w:p w14:paraId="08D79E0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2D743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штурмовиков:</w:t>
            </w:r>
          </w:p>
        </w:tc>
        <w:tc>
          <w:tcPr>
            <w:tcW w:w="1134" w:type="dxa"/>
          </w:tcPr>
          <w:p w14:paraId="273C93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9717</w:t>
            </w:r>
          </w:p>
        </w:tc>
        <w:tc>
          <w:tcPr>
            <w:tcW w:w="1134" w:type="dxa"/>
          </w:tcPr>
          <w:p w14:paraId="59E5CD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821</w:t>
            </w:r>
          </w:p>
        </w:tc>
        <w:tc>
          <w:tcPr>
            <w:tcW w:w="1134" w:type="dxa"/>
          </w:tcPr>
          <w:p w14:paraId="600B95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2101</w:t>
            </w:r>
          </w:p>
        </w:tc>
        <w:tc>
          <w:tcPr>
            <w:tcW w:w="1134" w:type="dxa"/>
          </w:tcPr>
          <w:p w14:paraId="377821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3024</w:t>
            </w:r>
          </w:p>
        </w:tc>
        <w:tc>
          <w:tcPr>
            <w:tcW w:w="1134" w:type="dxa"/>
          </w:tcPr>
          <w:p w14:paraId="16ABCC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3771</w:t>
            </w:r>
          </w:p>
        </w:tc>
      </w:tr>
      <w:tr w:rsidR="006F4095" w:rsidRPr="008127F8" w14:paraId="1A62D78B" w14:textId="77777777">
        <w:tc>
          <w:tcPr>
            <w:tcW w:w="568" w:type="dxa"/>
          </w:tcPr>
          <w:p w14:paraId="48D9651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2126" w:type="dxa"/>
          </w:tcPr>
          <w:p w14:paraId="57073D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1134" w:type="dxa"/>
          </w:tcPr>
          <w:p w14:paraId="4BDEA30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2522</w:t>
            </w:r>
          </w:p>
        </w:tc>
        <w:tc>
          <w:tcPr>
            <w:tcW w:w="1134" w:type="dxa"/>
          </w:tcPr>
          <w:p w14:paraId="3720404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267</w:t>
            </w:r>
          </w:p>
        </w:tc>
        <w:tc>
          <w:tcPr>
            <w:tcW w:w="1134" w:type="dxa"/>
          </w:tcPr>
          <w:p w14:paraId="6B4E67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134" w:type="dxa"/>
          </w:tcPr>
          <w:p w14:paraId="39F5557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776</w:t>
            </w:r>
          </w:p>
        </w:tc>
        <w:tc>
          <w:tcPr>
            <w:tcW w:w="1134" w:type="dxa"/>
          </w:tcPr>
          <w:p w14:paraId="13DCD84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879</w:t>
            </w:r>
          </w:p>
        </w:tc>
      </w:tr>
      <w:tr w:rsidR="006F4095" w:rsidRPr="008127F8" w14:paraId="1E4F57C3" w14:textId="77777777">
        <w:tc>
          <w:tcPr>
            <w:tcW w:w="568" w:type="dxa"/>
          </w:tcPr>
          <w:p w14:paraId="5CF3B3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2126" w:type="dxa"/>
          </w:tcPr>
          <w:p w14:paraId="0C3E1F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1134" w:type="dxa"/>
          </w:tcPr>
          <w:p w14:paraId="46482B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1720</w:t>
            </w:r>
          </w:p>
        </w:tc>
        <w:tc>
          <w:tcPr>
            <w:tcW w:w="1134" w:type="dxa"/>
          </w:tcPr>
          <w:p w14:paraId="59AA7F7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204</w:t>
            </w:r>
          </w:p>
        </w:tc>
        <w:tc>
          <w:tcPr>
            <w:tcW w:w="1134" w:type="dxa"/>
          </w:tcPr>
          <w:p w14:paraId="7CE94EE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415</w:t>
            </w:r>
          </w:p>
        </w:tc>
        <w:tc>
          <w:tcPr>
            <w:tcW w:w="1134" w:type="dxa"/>
          </w:tcPr>
          <w:p w14:paraId="1D84B6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w:t>
            </w:r>
          </w:p>
        </w:tc>
        <w:tc>
          <w:tcPr>
            <w:tcW w:w="1134" w:type="dxa"/>
          </w:tcPr>
          <w:p w14:paraId="0763E4D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585</w:t>
            </w:r>
          </w:p>
        </w:tc>
      </w:tr>
      <w:tr w:rsidR="006F4095" w:rsidRPr="008127F8" w14:paraId="4CBD3929" w14:textId="77777777">
        <w:tc>
          <w:tcPr>
            <w:tcW w:w="568" w:type="dxa"/>
          </w:tcPr>
          <w:p w14:paraId="64E6A22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2126" w:type="dxa"/>
          </w:tcPr>
          <w:p w14:paraId="7EE711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Ил-42 М-88</w:t>
            </w:r>
          </w:p>
        </w:tc>
        <w:tc>
          <w:tcPr>
            <w:tcW w:w="1134" w:type="dxa"/>
          </w:tcPr>
          <w:p w14:paraId="01A2AD5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1134" w:type="dxa"/>
          </w:tcPr>
          <w:p w14:paraId="58E050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w:t>
            </w:r>
          </w:p>
        </w:tc>
        <w:tc>
          <w:tcPr>
            <w:tcW w:w="1134" w:type="dxa"/>
          </w:tcPr>
          <w:p w14:paraId="308A6CC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134" w:type="dxa"/>
          </w:tcPr>
          <w:p w14:paraId="497CBCD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134" w:type="dxa"/>
          </w:tcPr>
          <w:p w14:paraId="5165E2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r>
      <w:tr w:rsidR="006F4095" w:rsidRPr="008127F8" w14:paraId="7A6DD737" w14:textId="77777777">
        <w:tc>
          <w:tcPr>
            <w:tcW w:w="568" w:type="dxa"/>
          </w:tcPr>
          <w:p w14:paraId="1246C3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2126" w:type="dxa"/>
          </w:tcPr>
          <w:p w14:paraId="3FD6E90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1134" w:type="dxa"/>
          </w:tcPr>
          <w:p w14:paraId="32B6CF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869</w:t>
            </w:r>
          </w:p>
        </w:tc>
        <w:tc>
          <w:tcPr>
            <w:tcW w:w="1134" w:type="dxa"/>
          </w:tcPr>
          <w:p w14:paraId="2A514A1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1134" w:type="dxa"/>
          </w:tcPr>
          <w:p w14:paraId="0B9366E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w:t>
            </w:r>
          </w:p>
        </w:tc>
        <w:tc>
          <w:tcPr>
            <w:tcW w:w="1134" w:type="dxa"/>
          </w:tcPr>
          <w:p w14:paraId="30DEDDD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1134" w:type="dxa"/>
          </w:tcPr>
          <w:p w14:paraId="70F176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r>
      <w:tr w:rsidR="006F4095" w:rsidRPr="008127F8" w14:paraId="000EE6CE" w14:textId="77777777">
        <w:tc>
          <w:tcPr>
            <w:tcW w:w="568" w:type="dxa"/>
          </w:tcPr>
          <w:p w14:paraId="62E651F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126" w:type="dxa"/>
          </w:tcPr>
          <w:p w14:paraId="38E43E3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2М-82</w:t>
            </w:r>
          </w:p>
        </w:tc>
        <w:tc>
          <w:tcPr>
            <w:tcW w:w="1134" w:type="dxa"/>
          </w:tcPr>
          <w:p w14:paraId="2734702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1134" w:type="dxa"/>
          </w:tcPr>
          <w:p w14:paraId="21BF07F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p>
        </w:tc>
        <w:tc>
          <w:tcPr>
            <w:tcW w:w="1134" w:type="dxa"/>
          </w:tcPr>
          <w:p w14:paraId="38A093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134" w:type="dxa"/>
          </w:tcPr>
          <w:p w14:paraId="0354C9D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134" w:type="dxa"/>
          </w:tcPr>
          <w:p w14:paraId="66D121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13E60B18" w14:textId="77777777">
        <w:tc>
          <w:tcPr>
            <w:tcW w:w="568" w:type="dxa"/>
          </w:tcPr>
          <w:p w14:paraId="56B91A5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3379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бомбардировщиков:</w:t>
            </w:r>
          </w:p>
        </w:tc>
        <w:tc>
          <w:tcPr>
            <w:tcW w:w="1134" w:type="dxa"/>
          </w:tcPr>
          <w:p w14:paraId="4FB8F2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5736</w:t>
            </w:r>
          </w:p>
        </w:tc>
        <w:tc>
          <w:tcPr>
            <w:tcW w:w="1134" w:type="dxa"/>
          </w:tcPr>
          <w:p w14:paraId="052B7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640</w:t>
            </w:r>
          </w:p>
        </w:tc>
        <w:tc>
          <w:tcPr>
            <w:tcW w:w="1134" w:type="dxa"/>
          </w:tcPr>
          <w:p w14:paraId="6F43DA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1220</w:t>
            </w:r>
          </w:p>
        </w:tc>
        <w:tc>
          <w:tcPr>
            <w:tcW w:w="1134" w:type="dxa"/>
          </w:tcPr>
          <w:p w14:paraId="1925BB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1701</w:t>
            </w:r>
          </w:p>
        </w:tc>
        <w:tc>
          <w:tcPr>
            <w:tcW w:w="1134" w:type="dxa"/>
          </w:tcPr>
          <w:p w14:paraId="579540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2175</w:t>
            </w:r>
          </w:p>
        </w:tc>
      </w:tr>
      <w:tr w:rsidR="006F4095" w:rsidRPr="008127F8" w14:paraId="6237940D" w14:textId="77777777">
        <w:tc>
          <w:tcPr>
            <w:tcW w:w="568" w:type="dxa"/>
          </w:tcPr>
          <w:p w14:paraId="7B4463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997A5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1134" w:type="dxa"/>
          </w:tcPr>
          <w:p w14:paraId="19BD0A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c>
          <w:tcPr>
            <w:tcW w:w="1134" w:type="dxa"/>
          </w:tcPr>
          <w:p w14:paraId="044364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3121</w:t>
            </w:r>
          </w:p>
        </w:tc>
        <w:tc>
          <w:tcPr>
            <w:tcW w:w="1134" w:type="dxa"/>
          </w:tcPr>
          <w:p w14:paraId="286257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5651</w:t>
            </w:r>
          </w:p>
        </w:tc>
        <w:tc>
          <w:tcPr>
            <w:tcW w:w="1134" w:type="dxa"/>
          </w:tcPr>
          <w:p w14:paraId="5FD166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7561</w:t>
            </w:r>
          </w:p>
        </w:tc>
        <w:tc>
          <w:tcPr>
            <w:tcW w:w="1134" w:type="dxa"/>
          </w:tcPr>
          <w:p w14:paraId="7F57B1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9350</w:t>
            </w:r>
          </w:p>
        </w:tc>
      </w:tr>
      <w:tr w:rsidR="006F4095" w:rsidRPr="008127F8" w14:paraId="4D077E3A" w14:textId="77777777">
        <w:tc>
          <w:tcPr>
            <w:tcW w:w="568" w:type="dxa"/>
          </w:tcPr>
          <w:p w14:paraId="0937B2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2126" w:type="dxa"/>
          </w:tcPr>
          <w:p w14:paraId="38D07B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 2М-62ЕР</w:t>
            </w:r>
          </w:p>
        </w:tc>
        <w:tc>
          <w:tcPr>
            <w:tcW w:w="1134" w:type="dxa"/>
          </w:tcPr>
          <w:p w14:paraId="310BFC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c>
          <w:tcPr>
            <w:tcW w:w="1134" w:type="dxa"/>
          </w:tcPr>
          <w:p w14:paraId="33D26A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1134" w:type="dxa"/>
          </w:tcPr>
          <w:p w14:paraId="2A5AE4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134" w:type="dxa"/>
          </w:tcPr>
          <w:p w14:paraId="7BFDB7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1134" w:type="dxa"/>
          </w:tcPr>
          <w:p w14:paraId="4F7B6C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r>
      <w:tr w:rsidR="006F4095" w:rsidRPr="008127F8" w14:paraId="10E81E93" w14:textId="77777777">
        <w:tc>
          <w:tcPr>
            <w:tcW w:w="568" w:type="dxa"/>
          </w:tcPr>
          <w:p w14:paraId="338262A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100D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транспортных</w:t>
            </w:r>
          </w:p>
        </w:tc>
        <w:tc>
          <w:tcPr>
            <w:tcW w:w="1134" w:type="dxa"/>
          </w:tcPr>
          <w:p w14:paraId="7EE920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c>
          <w:tcPr>
            <w:tcW w:w="1134" w:type="dxa"/>
          </w:tcPr>
          <w:p w14:paraId="50A018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1134" w:type="dxa"/>
          </w:tcPr>
          <w:p w14:paraId="28CD7E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134" w:type="dxa"/>
          </w:tcPr>
          <w:p w14:paraId="6E78C9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1134" w:type="dxa"/>
          </w:tcPr>
          <w:p w14:paraId="2AD38D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r>
      <w:tr w:rsidR="006F4095" w:rsidRPr="008127F8" w14:paraId="1F1BC1F3" w14:textId="77777777">
        <w:tc>
          <w:tcPr>
            <w:tcW w:w="568" w:type="dxa"/>
          </w:tcPr>
          <w:p w14:paraId="33E9B4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2126" w:type="dxa"/>
          </w:tcPr>
          <w:p w14:paraId="27B627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 М-11</w:t>
            </w:r>
          </w:p>
        </w:tc>
        <w:tc>
          <w:tcPr>
            <w:tcW w:w="1134" w:type="dxa"/>
          </w:tcPr>
          <w:p w14:paraId="12261C3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2225</w:t>
            </w:r>
          </w:p>
        </w:tc>
        <w:tc>
          <w:tcPr>
            <w:tcW w:w="1134" w:type="dxa"/>
          </w:tcPr>
          <w:p w14:paraId="5B154C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w:t>
            </w:r>
          </w:p>
        </w:tc>
        <w:tc>
          <w:tcPr>
            <w:tcW w:w="1134" w:type="dxa"/>
          </w:tcPr>
          <w:p w14:paraId="5B2511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646</w:t>
            </w:r>
          </w:p>
        </w:tc>
        <w:tc>
          <w:tcPr>
            <w:tcW w:w="1134" w:type="dxa"/>
          </w:tcPr>
          <w:p w14:paraId="382ED2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w:t>
            </w:r>
          </w:p>
        </w:tc>
        <w:tc>
          <w:tcPr>
            <w:tcW w:w="1134" w:type="dxa"/>
          </w:tcPr>
          <w:p w14:paraId="773DF63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w:t>
            </w:r>
          </w:p>
        </w:tc>
      </w:tr>
      <w:tr w:rsidR="006F4095" w:rsidRPr="008127F8" w14:paraId="097ABD04" w14:textId="77777777">
        <w:tc>
          <w:tcPr>
            <w:tcW w:w="568" w:type="dxa"/>
          </w:tcPr>
          <w:p w14:paraId="06EC47A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2126" w:type="dxa"/>
          </w:tcPr>
          <w:p w14:paraId="3185398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1134" w:type="dxa"/>
          </w:tcPr>
          <w:p w14:paraId="5EFD50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924</w:t>
            </w:r>
          </w:p>
        </w:tc>
        <w:tc>
          <w:tcPr>
            <w:tcW w:w="1134" w:type="dxa"/>
          </w:tcPr>
          <w:p w14:paraId="370A0C3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784A0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1134" w:type="dxa"/>
          </w:tcPr>
          <w:p w14:paraId="561709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134" w:type="dxa"/>
          </w:tcPr>
          <w:p w14:paraId="4CD7AFA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r>
      <w:tr w:rsidR="006F4095" w:rsidRPr="008127F8" w14:paraId="7E528838" w14:textId="77777777">
        <w:tc>
          <w:tcPr>
            <w:tcW w:w="568" w:type="dxa"/>
          </w:tcPr>
          <w:p w14:paraId="44B1F50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126" w:type="dxa"/>
          </w:tcPr>
          <w:p w14:paraId="7A11FEA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1134" w:type="dxa"/>
          </w:tcPr>
          <w:p w14:paraId="1F64640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c>
          <w:tcPr>
            <w:tcW w:w="1134" w:type="dxa"/>
          </w:tcPr>
          <w:p w14:paraId="695F36E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w:t>
            </w:r>
          </w:p>
        </w:tc>
        <w:tc>
          <w:tcPr>
            <w:tcW w:w="1134" w:type="dxa"/>
          </w:tcPr>
          <w:p w14:paraId="04C99F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c>
          <w:tcPr>
            <w:tcW w:w="1134" w:type="dxa"/>
          </w:tcPr>
          <w:p w14:paraId="45F6B15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1134" w:type="dxa"/>
          </w:tcPr>
          <w:p w14:paraId="23FEBAD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w:t>
            </w:r>
          </w:p>
        </w:tc>
      </w:tr>
      <w:tr w:rsidR="006F4095" w:rsidRPr="008127F8" w14:paraId="3135EE6D" w14:textId="77777777">
        <w:tc>
          <w:tcPr>
            <w:tcW w:w="568" w:type="dxa"/>
          </w:tcPr>
          <w:p w14:paraId="3F40BC7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189E4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учебных</w:t>
            </w:r>
          </w:p>
        </w:tc>
        <w:tc>
          <w:tcPr>
            <w:tcW w:w="1134" w:type="dxa"/>
          </w:tcPr>
          <w:p w14:paraId="120994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3889</w:t>
            </w:r>
          </w:p>
        </w:tc>
        <w:tc>
          <w:tcPr>
            <w:tcW w:w="1134" w:type="dxa"/>
          </w:tcPr>
          <w:p w14:paraId="148B3E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w:t>
            </w:r>
          </w:p>
        </w:tc>
        <w:tc>
          <w:tcPr>
            <w:tcW w:w="1134" w:type="dxa"/>
          </w:tcPr>
          <w:p w14:paraId="3CF2C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1121</w:t>
            </w:r>
          </w:p>
        </w:tc>
        <w:tc>
          <w:tcPr>
            <w:tcW w:w="1134" w:type="dxa"/>
          </w:tcPr>
          <w:p w14:paraId="47D5F1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1144</w:t>
            </w:r>
          </w:p>
        </w:tc>
        <w:tc>
          <w:tcPr>
            <w:tcW w:w="1134" w:type="dxa"/>
          </w:tcPr>
          <w:p w14:paraId="75A760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1276</w:t>
            </w:r>
          </w:p>
        </w:tc>
      </w:tr>
      <w:tr w:rsidR="006F4095" w:rsidRPr="008127F8" w14:paraId="0C907FA2" w14:textId="77777777">
        <w:tc>
          <w:tcPr>
            <w:tcW w:w="568" w:type="dxa"/>
            <w:tcBorders>
              <w:bottom w:val="single" w:sz="12" w:space="0" w:color="auto"/>
            </w:tcBorders>
          </w:tcPr>
          <w:p w14:paraId="7D088A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4BA37A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самолетов</w:t>
            </w:r>
          </w:p>
        </w:tc>
        <w:tc>
          <w:tcPr>
            <w:tcW w:w="1134" w:type="dxa"/>
            <w:tcBorders>
              <w:bottom w:val="single" w:sz="12" w:space="0" w:color="auto"/>
            </w:tcBorders>
          </w:tcPr>
          <w:p w14:paraId="59A6BD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30135</w:t>
            </w:r>
          </w:p>
        </w:tc>
        <w:tc>
          <w:tcPr>
            <w:tcW w:w="1134" w:type="dxa"/>
            <w:tcBorders>
              <w:bottom w:val="single" w:sz="12" w:space="0" w:color="auto"/>
            </w:tcBorders>
          </w:tcPr>
          <w:p w14:paraId="6CCD4C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3522</w:t>
            </w:r>
          </w:p>
        </w:tc>
        <w:tc>
          <w:tcPr>
            <w:tcW w:w="1134" w:type="dxa"/>
            <w:tcBorders>
              <w:bottom w:val="single" w:sz="12" w:space="0" w:color="auto"/>
            </w:tcBorders>
          </w:tcPr>
          <w:p w14:paraId="1AFF86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6922</w:t>
            </w:r>
          </w:p>
        </w:tc>
        <w:tc>
          <w:tcPr>
            <w:tcW w:w="1134" w:type="dxa"/>
            <w:tcBorders>
              <w:bottom w:val="single" w:sz="12" w:space="0" w:color="auto"/>
            </w:tcBorders>
          </w:tcPr>
          <w:p w14:paraId="57C7B6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8885</w:t>
            </w:r>
          </w:p>
        </w:tc>
        <w:tc>
          <w:tcPr>
            <w:tcW w:w="1134" w:type="dxa"/>
            <w:tcBorders>
              <w:bottom w:val="single" w:sz="12" w:space="0" w:color="auto"/>
            </w:tcBorders>
          </w:tcPr>
          <w:p w14:paraId="239E57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10806</w:t>
            </w:r>
          </w:p>
        </w:tc>
      </w:tr>
    </w:tbl>
    <w:p w14:paraId="1E7D161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моторам</w:t>
      </w:r>
    </w:p>
    <w:tbl>
      <w:tblPr>
        <w:tblW w:w="0" w:type="auto"/>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35"/>
        <w:gridCol w:w="1559"/>
        <w:gridCol w:w="1134"/>
        <w:gridCol w:w="1134"/>
        <w:gridCol w:w="1134"/>
        <w:gridCol w:w="1134"/>
        <w:gridCol w:w="1134"/>
      </w:tblGrid>
      <w:tr w:rsidR="006F4095" w:rsidRPr="008127F8" w14:paraId="4E7A03DD" w14:textId="77777777">
        <w:tc>
          <w:tcPr>
            <w:tcW w:w="1135" w:type="dxa"/>
            <w:tcBorders>
              <w:top w:val="single" w:sz="12" w:space="0" w:color="auto"/>
            </w:tcBorders>
          </w:tcPr>
          <w:p w14:paraId="3FC41D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559" w:type="dxa"/>
            <w:tcBorders>
              <w:top w:val="single" w:sz="12" w:space="0" w:color="auto"/>
            </w:tcBorders>
          </w:tcPr>
          <w:p w14:paraId="61B578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моторов</w:t>
            </w:r>
          </w:p>
        </w:tc>
        <w:tc>
          <w:tcPr>
            <w:tcW w:w="1134" w:type="dxa"/>
            <w:tcBorders>
              <w:top w:val="single" w:sz="12" w:space="0" w:color="auto"/>
            </w:tcBorders>
          </w:tcPr>
          <w:p w14:paraId="09DA0A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1134" w:type="dxa"/>
            <w:tcBorders>
              <w:top w:val="single" w:sz="12" w:space="0" w:color="auto"/>
            </w:tcBorders>
          </w:tcPr>
          <w:p w14:paraId="0CD471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1134" w:type="dxa"/>
            <w:tcBorders>
              <w:top w:val="single" w:sz="12" w:space="0" w:color="auto"/>
            </w:tcBorders>
          </w:tcPr>
          <w:p w14:paraId="4D1271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1134" w:type="dxa"/>
            <w:tcBorders>
              <w:top w:val="single" w:sz="12" w:space="0" w:color="auto"/>
            </w:tcBorders>
          </w:tcPr>
          <w:p w14:paraId="57A656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1134" w:type="dxa"/>
            <w:tcBorders>
              <w:top w:val="single" w:sz="12" w:space="0" w:color="auto"/>
            </w:tcBorders>
          </w:tcPr>
          <w:p w14:paraId="234FFB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547653A5" w14:textId="77777777">
        <w:tc>
          <w:tcPr>
            <w:tcW w:w="1135" w:type="dxa"/>
          </w:tcPr>
          <w:p w14:paraId="39F30C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559" w:type="dxa"/>
          </w:tcPr>
          <w:p w14:paraId="3C3654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134" w:type="dxa"/>
          </w:tcPr>
          <w:p w14:paraId="0B5BFC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c>
          <w:tcPr>
            <w:tcW w:w="1134" w:type="dxa"/>
          </w:tcPr>
          <w:p w14:paraId="62FAE05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1478</w:t>
            </w:r>
          </w:p>
        </w:tc>
        <w:tc>
          <w:tcPr>
            <w:tcW w:w="1134" w:type="dxa"/>
          </w:tcPr>
          <w:p w14:paraId="4D7CED4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3080</w:t>
            </w:r>
          </w:p>
        </w:tc>
        <w:tc>
          <w:tcPr>
            <w:tcW w:w="1134" w:type="dxa"/>
          </w:tcPr>
          <w:p w14:paraId="4CA792C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4035</w:t>
            </w:r>
          </w:p>
        </w:tc>
        <w:tc>
          <w:tcPr>
            <w:tcW w:w="1134" w:type="dxa"/>
          </w:tcPr>
          <w:p w14:paraId="53B7FD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4511</w:t>
            </w:r>
          </w:p>
        </w:tc>
      </w:tr>
      <w:tr w:rsidR="006F4095" w:rsidRPr="008127F8" w14:paraId="56E9BE60" w14:textId="77777777">
        <w:tc>
          <w:tcPr>
            <w:tcW w:w="1135" w:type="dxa"/>
          </w:tcPr>
          <w:p w14:paraId="5A73C2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559" w:type="dxa"/>
          </w:tcPr>
          <w:p w14:paraId="25F68F2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134" w:type="dxa"/>
          </w:tcPr>
          <w:p w14:paraId="7EDE0CC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6023</w:t>
            </w:r>
          </w:p>
        </w:tc>
        <w:tc>
          <w:tcPr>
            <w:tcW w:w="1134" w:type="dxa"/>
          </w:tcPr>
          <w:p w14:paraId="279C163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1134" w:type="dxa"/>
          </w:tcPr>
          <w:p w14:paraId="2A0C13C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1343</w:t>
            </w:r>
          </w:p>
        </w:tc>
        <w:tc>
          <w:tcPr>
            <w:tcW w:w="1134" w:type="dxa"/>
          </w:tcPr>
          <w:p w14:paraId="2C5F28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1985</w:t>
            </w:r>
          </w:p>
        </w:tc>
        <w:tc>
          <w:tcPr>
            <w:tcW w:w="1134" w:type="dxa"/>
          </w:tcPr>
          <w:p w14:paraId="599C29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2450</w:t>
            </w:r>
          </w:p>
        </w:tc>
      </w:tr>
      <w:tr w:rsidR="006F4095" w:rsidRPr="008127F8" w14:paraId="3DDD7808" w14:textId="77777777">
        <w:tc>
          <w:tcPr>
            <w:tcW w:w="1135" w:type="dxa"/>
          </w:tcPr>
          <w:p w14:paraId="60393A5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1559" w:type="dxa"/>
          </w:tcPr>
          <w:p w14:paraId="0E7F46A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134" w:type="dxa"/>
          </w:tcPr>
          <w:p w14:paraId="43C5B5C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3385</w:t>
            </w:r>
          </w:p>
        </w:tc>
        <w:tc>
          <w:tcPr>
            <w:tcW w:w="1134" w:type="dxa"/>
          </w:tcPr>
          <w:p w14:paraId="12DC6A7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134" w:type="dxa"/>
          </w:tcPr>
          <w:p w14:paraId="2CED2DC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c>
          <w:tcPr>
            <w:tcW w:w="1134" w:type="dxa"/>
          </w:tcPr>
          <w:p w14:paraId="2201D6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1134" w:type="dxa"/>
          </w:tcPr>
          <w:p w14:paraId="3B9E2AD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1225</w:t>
            </w:r>
          </w:p>
        </w:tc>
      </w:tr>
      <w:tr w:rsidR="006F4095" w:rsidRPr="008127F8" w14:paraId="312A4D36" w14:textId="77777777">
        <w:tc>
          <w:tcPr>
            <w:tcW w:w="1135" w:type="dxa"/>
          </w:tcPr>
          <w:p w14:paraId="7452982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559" w:type="dxa"/>
          </w:tcPr>
          <w:p w14:paraId="1FA41A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134" w:type="dxa"/>
          </w:tcPr>
          <w:p w14:paraId="75A46C5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134" w:type="dxa"/>
          </w:tcPr>
          <w:p w14:paraId="3FDDC9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A7525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3B2F35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134" w:type="dxa"/>
          </w:tcPr>
          <w:p w14:paraId="1D2BB77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r>
      <w:tr w:rsidR="006F4095" w:rsidRPr="008127F8" w14:paraId="5D816900" w14:textId="77777777">
        <w:tc>
          <w:tcPr>
            <w:tcW w:w="1135" w:type="dxa"/>
          </w:tcPr>
          <w:p w14:paraId="3EE0E9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559" w:type="dxa"/>
          </w:tcPr>
          <w:p w14:paraId="556CDD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134" w:type="dxa"/>
          </w:tcPr>
          <w:p w14:paraId="4C830D0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10611</w:t>
            </w:r>
          </w:p>
        </w:tc>
        <w:tc>
          <w:tcPr>
            <w:tcW w:w="1134" w:type="dxa"/>
          </w:tcPr>
          <w:p w14:paraId="5A9875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683</w:t>
            </w:r>
          </w:p>
        </w:tc>
        <w:tc>
          <w:tcPr>
            <w:tcW w:w="1134" w:type="dxa"/>
          </w:tcPr>
          <w:p w14:paraId="25DEB2C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2468</w:t>
            </w:r>
          </w:p>
        </w:tc>
        <w:tc>
          <w:tcPr>
            <w:tcW w:w="1134" w:type="dxa"/>
          </w:tcPr>
          <w:p w14:paraId="6B7DCC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3475</w:t>
            </w:r>
          </w:p>
        </w:tc>
        <w:tc>
          <w:tcPr>
            <w:tcW w:w="1134" w:type="dxa"/>
          </w:tcPr>
          <w:p w14:paraId="5418FBD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3985</w:t>
            </w:r>
          </w:p>
        </w:tc>
      </w:tr>
      <w:tr w:rsidR="006F4095" w:rsidRPr="008127F8" w14:paraId="4010C747" w14:textId="77777777">
        <w:tc>
          <w:tcPr>
            <w:tcW w:w="1135" w:type="dxa"/>
          </w:tcPr>
          <w:p w14:paraId="48A60A4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559" w:type="dxa"/>
          </w:tcPr>
          <w:p w14:paraId="24E61BF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АМ-38А</w:t>
            </w:r>
          </w:p>
        </w:tc>
        <w:tc>
          <w:tcPr>
            <w:tcW w:w="1134" w:type="dxa"/>
          </w:tcPr>
          <w:p w14:paraId="2ACCA7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134" w:type="dxa"/>
          </w:tcPr>
          <w:p w14:paraId="08541CD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134" w:type="dxa"/>
          </w:tcPr>
          <w:p w14:paraId="1DE294A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186EC2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6C3172D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D36FA8A" w14:textId="77777777">
        <w:tc>
          <w:tcPr>
            <w:tcW w:w="1135" w:type="dxa"/>
          </w:tcPr>
          <w:p w14:paraId="5EB9C8C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559" w:type="dxa"/>
          </w:tcPr>
          <w:p w14:paraId="185880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134" w:type="dxa"/>
          </w:tcPr>
          <w:p w14:paraId="163D81D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1134" w:type="dxa"/>
          </w:tcPr>
          <w:p w14:paraId="50AB57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p>
        </w:tc>
        <w:tc>
          <w:tcPr>
            <w:tcW w:w="1134" w:type="dxa"/>
          </w:tcPr>
          <w:p w14:paraId="583BF7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134" w:type="dxa"/>
          </w:tcPr>
          <w:p w14:paraId="0F9A30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1134" w:type="dxa"/>
          </w:tcPr>
          <w:p w14:paraId="294EC0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24F31361" w14:textId="77777777">
        <w:tc>
          <w:tcPr>
            <w:tcW w:w="1135" w:type="dxa"/>
          </w:tcPr>
          <w:p w14:paraId="51366D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559" w:type="dxa"/>
          </w:tcPr>
          <w:p w14:paraId="302314B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134" w:type="dxa"/>
          </w:tcPr>
          <w:p w14:paraId="4CDF0D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c>
          <w:tcPr>
            <w:tcW w:w="1134" w:type="dxa"/>
          </w:tcPr>
          <w:p w14:paraId="240DDB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1134" w:type="dxa"/>
          </w:tcPr>
          <w:p w14:paraId="42A6BA2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927</w:t>
            </w:r>
          </w:p>
        </w:tc>
        <w:tc>
          <w:tcPr>
            <w:tcW w:w="1134" w:type="dxa"/>
          </w:tcPr>
          <w:p w14:paraId="113FA1A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1134" w:type="dxa"/>
          </w:tcPr>
          <w:p w14:paraId="5128CA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1275</w:t>
            </w:r>
          </w:p>
        </w:tc>
      </w:tr>
      <w:tr w:rsidR="006F4095" w:rsidRPr="008127F8" w14:paraId="6C16A958" w14:textId="77777777">
        <w:tc>
          <w:tcPr>
            <w:tcW w:w="1135" w:type="dxa"/>
          </w:tcPr>
          <w:p w14:paraId="1C3B383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559" w:type="dxa"/>
          </w:tcPr>
          <w:p w14:paraId="26E991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М-62ИР</w:t>
            </w:r>
          </w:p>
        </w:tc>
        <w:tc>
          <w:tcPr>
            <w:tcW w:w="1134" w:type="dxa"/>
          </w:tcPr>
          <w:p w14:paraId="6988089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2098</w:t>
            </w:r>
          </w:p>
        </w:tc>
        <w:tc>
          <w:tcPr>
            <w:tcW w:w="1134" w:type="dxa"/>
          </w:tcPr>
          <w:p w14:paraId="22BEBD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329</w:t>
            </w:r>
          </w:p>
        </w:tc>
        <w:tc>
          <w:tcPr>
            <w:tcW w:w="1134" w:type="dxa"/>
          </w:tcPr>
          <w:p w14:paraId="0A819B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572</w:t>
            </w:r>
          </w:p>
        </w:tc>
        <w:tc>
          <w:tcPr>
            <w:tcW w:w="1134" w:type="dxa"/>
          </w:tcPr>
          <w:p w14:paraId="292C05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w:t>
            </w:r>
          </w:p>
        </w:tc>
        <w:tc>
          <w:tcPr>
            <w:tcW w:w="1134" w:type="dxa"/>
          </w:tcPr>
          <w:p w14:paraId="18E6DF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595</w:t>
            </w:r>
          </w:p>
        </w:tc>
      </w:tr>
      <w:tr w:rsidR="006F4095" w:rsidRPr="008127F8" w14:paraId="3E784E2C" w14:textId="77777777">
        <w:tc>
          <w:tcPr>
            <w:tcW w:w="1135" w:type="dxa"/>
          </w:tcPr>
          <w:p w14:paraId="3C6B971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559" w:type="dxa"/>
          </w:tcPr>
          <w:p w14:paraId="0691475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134" w:type="dxa"/>
          </w:tcPr>
          <w:p w14:paraId="0E6BC9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c>
          <w:tcPr>
            <w:tcW w:w="1134" w:type="dxa"/>
          </w:tcPr>
          <w:p w14:paraId="581C14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1134" w:type="dxa"/>
          </w:tcPr>
          <w:p w14:paraId="484FFB6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w:t>
            </w:r>
          </w:p>
        </w:tc>
        <w:tc>
          <w:tcPr>
            <w:tcW w:w="1134" w:type="dxa"/>
          </w:tcPr>
          <w:p w14:paraId="3F6D01A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1134" w:type="dxa"/>
          </w:tcPr>
          <w:p w14:paraId="53E620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4155C90B" w14:textId="77777777">
        <w:tc>
          <w:tcPr>
            <w:tcW w:w="1135" w:type="dxa"/>
          </w:tcPr>
          <w:p w14:paraId="285BB8C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559" w:type="dxa"/>
          </w:tcPr>
          <w:p w14:paraId="61CBF55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1134" w:type="dxa"/>
          </w:tcPr>
          <w:p w14:paraId="688F148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3798</w:t>
            </w:r>
          </w:p>
        </w:tc>
        <w:tc>
          <w:tcPr>
            <w:tcW w:w="1134" w:type="dxa"/>
          </w:tcPr>
          <w:p w14:paraId="541301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518</w:t>
            </w:r>
          </w:p>
        </w:tc>
        <w:tc>
          <w:tcPr>
            <w:tcW w:w="1134" w:type="dxa"/>
          </w:tcPr>
          <w:p w14:paraId="783F3D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964</w:t>
            </w:r>
          </w:p>
        </w:tc>
        <w:tc>
          <w:tcPr>
            <w:tcW w:w="1134" w:type="dxa"/>
          </w:tcPr>
          <w:p w14:paraId="2D325F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1118</w:t>
            </w:r>
          </w:p>
        </w:tc>
        <w:tc>
          <w:tcPr>
            <w:tcW w:w="1134" w:type="dxa"/>
          </w:tcPr>
          <w:p w14:paraId="00791C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1198</w:t>
            </w:r>
          </w:p>
        </w:tc>
      </w:tr>
      <w:tr w:rsidR="006F4095" w:rsidRPr="008127F8" w14:paraId="504EED12" w14:textId="77777777">
        <w:tc>
          <w:tcPr>
            <w:tcW w:w="1135" w:type="dxa"/>
          </w:tcPr>
          <w:p w14:paraId="130E74A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559" w:type="dxa"/>
          </w:tcPr>
          <w:p w14:paraId="2C9DFED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1134" w:type="dxa"/>
          </w:tcPr>
          <w:p w14:paraId="44454A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w:t>
            </w:r>
          </w:p>
        </w:tc>
        <w:tc>
          <w:tcPr>
            <w:tcW w:w="1134" w:type="dxa"/>
          </w:tcPr>
          <w:p w14:paraId="3150A14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7D4712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134" w:type="dxa"/>
          </w:tcPr>
          <w:p w14:paraId="2AA65A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1134" w:type="dxa"/>
          </w:tcPr>
          <w:p w14:paraId="4AF5BC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r w:rsidR="006F4095" w:rsidRPr="008127F8" w14:paraId="2C99E24C" w14:textId="77777777">
        <w:tc>
          <w:tcPr>
            <w:tcW w:w="1135" w:type="dxa"/>
          </w:tcPr>
          <w:p w14:paraId="7EE9BDC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559" w:type="dxa"/>
          </w:tcPr>
          <w:p w14:paraId="682361B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ГАМ-34БС</w:t>
            </w:r>
          </w:p>
        </w:tc>
        <w:tc>
          <w:tcPr>
            <w:tcW w:w="1134" w:type="dxa"/>
          </w:tcPr>
          <w:p w14:paraId="3069DB6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1134" w:type="dxa"/>
          </w:tcPr>
          <w:p w14:paraId="6812609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24109C2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1134" w:type="dxa"/>
          </w:tcPr>
          <w:p w14:paraId="2C447F4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c>
          <w:tcPr>
            <w:tcW w:w="1134" w:type="dxa"/>
          </w:tcPr>
          <w:p w14:paraId="5AD4B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r>
      <w:tr w:rsidR="006F4095" w:rsidRPr="008127F8" w14:paraId="5D648E42" w14:textId="77777777">
        <w:tc>
          <w:tcPr>
            <w:tcW w:w="1135" w:type="dxa"/>
            <w:tcBorders>
              <w:bottom w:val="single" w:sz="12" w:space="0" w:color="auto"/>
            </w:tcBorders>
          </w:tcPr>
          <w:p w14:paraId="268B408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bottom w:val="single" w:sz="12" w:space="0" w:color="auto"/>
            </w:tcBorders>
          </w:tcPr>
          <w:p w14:paraId="4737100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134" w:type="dxa"/>
            <w:tcBorders>
              <w:bottom w:val="single" w:sz="12" w:space="0" w:color="auto"/>
            </w:tcBorders>
          </w:tcPr>
          <w:p w14:paraId="266E8AA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50312</w:t>
            </w:r>
          </w:p>
        </w:tc>
        <w:tc>
          <w:tcPr>
            <w:tcW w:w="1134" w:type="dxa"/>
            <w:tcBorders>
              <w:bottom w:val="single" w:sz="12" w:space="0" w:color="auto"/>
            </w:tcBorders>
          </w:tcPr>
          <w:p w14:paraId="79C8EA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4707</w:t>
            </w:r>
          </w:p>
        </w:tc>
        <w:tc>
          <w:tcPr>
            <w:tcW w:w="1134" w:type="dxa"/>
            <w:tcBorders>
              <w:bottom w:val="single" w:sz="12" w:space="0" w:color="auto"/>
            </w:tcBorders>
          </w:tcPr>
          <w:p w14:paraId="2BE489A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11340</w:t>
            </w:r>
          </w:p>
        </w:tc>
        <w:tc>
          <w:tcPr>
            <w:tcW w:w="1134" w:type="dxa"/>
            <w:tcBorders>
              <w:bottom w:val="single" w:sz="12" w:space="0" w:color="auto"/>
            </w:tcBorders>
          </w:tcPr>
          <w:p w14:paraId="7982652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15781</w:t>
            </w:r>
          </w:p>
        </w:tc>
        <w:tc>
          <w:tcPr>
            <w:tcW w:w="1134" w:type="dxa"/>
            <w:tcBorders>
              <w:bottom w:val="single" w:sz="12" w:space="0" w:color="auto"/>
            </w:tcBorders>
          </w:tcPr>
          <w:p w14:paraId="1A70331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18484</w:t>
            </w:r>
          </w:p>
        </w:tc>
      </w:tr>
    </w:tbl>
    <w:p w14:paraId="75B26DD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Наркомавиапром - тов. Шахурина и директоров самолетных и моторных заводов обеспечить месячный выпуск саглолетов и моторов, </w:t>
      </w:r>
      <w:proofErr w:type="gramStart"/>
      <w:r w:rsidRPr="008127F8">
        <w:rPr>
          <w:rFonts w:ascii="Times New Roman" w:hAnsi="Times New Roman"/>
          <w:color w:val="000000" w:themeColor="text1"/>
          <w:sz w:val="16"/>
          <w:szCs w:val="16"/>
        </w:rPr>
        <w:t>согласно приложений</w:t>
      </w:r>
      <w:proofErr w:type="gramEnd"/>
      <w:r w:rsidRPr="008127F8">
        <w:rPr>
          <w:rFonts w:ascii="Times New Roman" w:hAnsi="Times New Roman"/>
          <w:color w:val="000000" w:themeColor="text1"/>
          <w:sz w:val="16"/>
          <w:szCs w:val="16"/>
        </w:rPr>
        <w:t xml:space="preserve"> №№ 1, 2</w:t>
      </w:r>
    </w:p>
    <w:p w14:paraId="592BBD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Считать, что настоящим постановлением исчерпываются все ранее вынесевше решения ГКО о плане выпуска самолетоь и моторов в 1942 году по отдельным заводам НКАП.</w:t>
      </w:r>
    </w:p>
    <w:p w14:paraId="7E1A311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Всемерно увеличивать выпуск продукции на Сибирских заво</w:t>
      </w:r>
      <w:r w:rsidRPr="008127F8">
        <w:rPr>
          <w:rFonts w:ascii="Times New Roman" w:hAnsi="Times New Roman"/>
          <w:color w:val="000000" w:themeColor="text1"/>
          <w:sz w:val="16"/>
          <w:szCs w:val="16"/>
        </w:rPr>
        <w:softHyphen/>
        <w:t>дах НКАП, категорически запретить вывоз оборудования с заводов НКАП Сибири и Урала в Европейскую часть СССР.</w:t>
      </w:r>
    </w:p>
    <w:p w14:paraId="4DDABC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Для улучшения снабжения Сибирской группы заводов НКАП организовать в Новосибирске крупную базу Главснаба НКАП, обес</w:t>
      </w:r>
      <w:r w:rsidRPr="008127F8">
        <w:rPr>
          <w:rFonts w:ascii="Times New Roman" w:hAnsi="Times New Roman"/>
          <w:color w:val="000000" w:themeColor="text1"/>
          <w:sz w:val="16"/>
          <w:szCs w:val="16"/>
        </w:rPr>
        <w:softHyphen/>
        <w:t>печив ее соответствующими материальншли фондами.</w:t>
      </w:r>
    </w:p>
    <w:p w14:paraId="5B8E2A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Для улучшения оперативного руководства заводами со стороны Наркомата Авиационной Промышленности, особенно заводами, расположенными на Востоке, прикрепить Заместителей Наркома Авиационной Промышленности к наиболее важным самолетным и моторным заводам, обязав их находиться большую часть времени не</w:t>
      </w:r>
      <w:r w:rsidRPr="008127F8">
        <w:rPr>
          <w:rFonts w:ascii="Times New Roman" w:hAnsi="Times New Roman"/>
          <w:color w:val="000000" w:themeColor="text1"/>
          <w:sz w:val="16"/>
          <w:szCs w:val="16"/>
        </w:rPr>
        <w:softHyphen/>
        <w:t>посредственно на прикрепленных заводах:</w:t>
      </w:r>
    </w:p>
    <w:p w14:paraId="77F80A3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ДЕМЕНТЬЕВА прикрепить кКуйбншевским заводам №№ 1, 18, 24 и Казанскому завожу № 22</w:t>
      </w:r>
    </w:p>
    <w:p w14:paraId="01AD54A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ЯКОВЛЕВА прикрепить к Сибирской группе заводов НКАП №№ 15З - Новосибирск, 166 - Омск, 39 - Иркутск и 335 - новостроящийся авиамоторный завод в Новосибирске.</w:t>
      </w:r>
    </w:p>
    <w:p w14:paraId="719433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РЕПИНА прикрепить к Горьковскому ааводу № 21, Саратовскому заводу № 292 и Московское заводу № 82;</w:t>
      </w:r>
    </w:p>
    <w:p w14:paraId="5D95EE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ВОРОНИНА - к Московским заводам №№ 30 и 23;</w:t>
      </w:r>
    </w:p>
    <w:p w14:paraId="5BF4B0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тов. БАЛАНДИНА - помимо непосредствнного руководства за</w:t>
      </w:r>
      <w:r w:rsidRPr="008127F8">
        <w:rPr>
          <w:rFonts w:ascii="Times New Roman" w:hAnsi="Times New Roman"/>
          <w:color w:val="000000" w:themeColor="text1"/>
          <w:sz w:val="16"/>
          <w:szCs w:val="16"/>
        </w:rPr>
        <w:softHyphen/>
        <w:t>водом № 26 (Уфа) - к Казанскому заводу № 16 и Горьковскому за</w:t>
      </w:r>
      <w:r w:rsidRPr="008127F8">
        <w:rPr>
          <w:rFonts w:ascii="Times New Roman" w:hAnsi="Times New Roman"/>
          <w:color w:val="000000" w:themeColor="text1"/>
          <w:sz w:val="16"/>
          <w:szCs w:val="16"/>
        </w:rPr>
        <w:softHyphen/>
        <w:t>воду № 466;</w:t>
      </w:r>
    </w:p>
    <w:p w14:paraId="552741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КУЗНЕЦОВА В.П. - к Московским заводам №№ 45 и 41;</w:t>
      </w:r>
    </w:p>
    <w:p w14:paraId="5E1666D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ВИЗИРЯН прикрепить к Уральской группе заводов НКАП №№ 95, 268, 120, 286 и 28.</w:t>
      </w:r>
    </w:p>
    <w:p w14:paraId="1C734E3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 соответствии с этим определить основное место пребы</w:t>
      </w:r>
      <w:r w:rsidRPr="008127F8">
        <w:rPr>
          <w:rFonts w:ascii="Times New Roman" w:hAnsi="Times New Roman"/>
          <w:color w:val="000000" w:themeColor="text1"/>
          <w:sz w:val="16"/>
          <w:szCs w:val="16"/>
        </w:rPr>
        <w:softHyphen/>
        <w:t>вания Заместителей Наркома Авпадионной Промышленности:</w:t>
      </w:r>
    </w:p>
    <w:p w14:paraId="0E8CA29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Дементьева - в г. Куйбышеве,</w:t>
      </w:r>
    </w:p>
    <w:p w14:paraId="444587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Яковлева - в г.Новосибирке,</w:t>
      </w:r>
    </w:p>
    <w:p w14:paraId="3A7C03C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тов.Репина</w:t>
      </w:r>
      <w:proofErr w:type="gramEnd"/>
      <w:r w:rsidRPr="008127F8">
        <w:rPr>
          <w:rFonts w:ascii="Times New Roman" w:hAnsi="Times New Roman"/>
          <w:color w:val="000000" w:themeColor="text1"/>
          <w:sz w:val="16"/>
          <w:szCs w:val="16"/>
        </w:rPr>
        <w:t xml:space="preserve"> - в г. Горьком,</w:t>
      </w:r>
    </w:p>
    <w:p w14:paraId="42A9FF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Воронина - в г. Москве,</w:t>
      </w:r>
    </w:p>
    <w:p w14:paraId="0EB9B8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тов.Баландина</w:t>
      </w:r>
      <w:proofErr w:type="gramEnd"/>
      <w:r w:rsidRPr="008127F8">
        <w:rPr>
          <w:rFonts w:ascii="Times New Roman" w:hAnsi="Times New Roman"/>
          <w:color w:val="000000" w:themeColor="text1"/>
          <w:sz w:val="16"/>
          <w:szCs w:val="16"/>
        </w:rPr>
        <w:t xml:space="preserve"> — в г.Уфе,</w:t>
      </w:r>
    </w:p>
    <w:p w14:paraId="05F7D6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тов.Кузнецова</w:t>
      </w:r>
      <w:proofErr w:type="gramEnd"/>
      <w:r w:rsidRPr="008127F8">
        <w:rPr>
          <w:rFonts w:ascii="Times New Roman" w:hAnsi="Times New Roman"/>
          <w:color w:val="000000" w:themeColor="text1"/>
          <w:sz w:val="16"/>
          <w:szCs w:val="16"/>
        </w:rPr>
        <w:t xml:space="preserve"> В.П.- в г. Москве</w:t>
      </w:r>
    </w:p>
    <w:p w14:paraId="0FEECE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Визиряв - в г.Свердловске.</w:t>
      </w:r>
    </w:p>
    <w:p w14:paraId="577487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Установшь, что Заместители Народного Комиссара Авиа</w:t>
      </w:r>
      <w:r w:rsidRPr="008127F8">
        <w:rPr>
          <w:rFonts w:ascii="Times New Roman" w:hAnsi="Times New Roman"/>
          <w:color w:val="000000" w:themeColor="text1"/>
          <w:sz w:val="16"/>
          <w:szCs w:val="16"/>
        </w:rPr>
        <w:softHyphen/>
        <w:t>ционной Промышленности, прикрепленные к соответствующей группе самолетных и моторных заводов:</w:t>
      </w:r>
    </w:p>
    <w:p w14:paraId="2C7EF7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отвечают и систематически отчитываются перед Народным Комиссаром Авиационной Промышленности за исполнение установлен</w:t>
      </w:r>
      <w:r w:rsidRPr="008127F8">
        <w:rPr>
          <w:rFonts w:ascii="Times New Roman" w:hAnsi="Times New Roman"/>
          <w:color w:val="000000" w:themeColor="text1"/>
          <w:sz w:val="16"/>
          <w:szCs w:val="16"/>
        </w:rPr>
        <w:softHyphen/>
        <w:t>ной по ирикрепленным к ним заводам программы;</w:t>
      </w:r>
    </w:p>
    <w:p w14:paraId="1DDCF2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разрешают на месте все производственно-технические вопросы, возникающие на заводах, за исключением вопросов изменения конструкции, что по их представлению решатся Народным Комиссаром Авиационной Проглышенности;</w:t>
      </w:r>
    </w:p>
    <w:p w14:paraId="405F70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принимают через Наркомат меры к своевременному обеспе</w:t>
      </w:r>
      <w:r w:rsidRPr="008127F8">
        <w:rPr>
          <w:rFonts w:ascii="Times New Roman" w:hAnsi="Times New Roman"/>
          <w:color w:val="000000" w:themeColor="text1"/>
          <w:sz w:val="16"/>
          <w:szCs w:val="16"/>
        </w:rPr>
        <w:softHyphen/>
        <w:t>чению материально-техническим снабжением прикрепленных к ним заводов;</w:t>
      </w:r>
    </w:p>
    <w:p w14:paraId="2863C81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лично и непосредственно проверяют работу директоров и главных инженеров прикрепленных к ним заводов и принимают необходимые меры к улучшению работы заводов;</w:t>
      </w:r>
    </w:p>
    <w:p w14:paraId="16FEC6F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принимают меры к улучшению рабочего снабжения и питания, улушению жилищных условий, развитию совхозов и других предприятий обслуживания рабочих по прикрепленным к ним заводам.</w:t>
      </w:r>
    </w:p>
    <w:p w14:paraId="47247B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Заместителям Народного Комиссара Авиационной Промышленности в основном месте их пребывания разрешается иметь небольшой аппарат - в количестве до 10 человек.</w:t>
      </w:r>
    </w:p>
    <w:p w14:paraId="5DAB61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Наркомату Авиационной Промышленности провести решительные меры по улучшению работы заводов, стопроцентному использо</w:t>
      </w:r>
      <w:r w:rsidRPr="008127F8">
        <w:rPr>
          <w:rFonts w:ascii="Times New Roman" w:hAnsi="Times New Roman"/>
          <w:color w:val="000000" w:themeColor="text1"/>
          <w:sz w:val="16"/>
          <w:szCs w:val="16"/>
        </w:rPr>
        <w:softHyphen/>
        <w:t>ванию рабсилы и оборудования и по бесперебойному снабжению авиа</w:t>
      </w:r>
      <w:r w:rsidRPr="008127F8">
        <w:rPr>
          <w:rFonts w:ascii="Times New Roman" w:hAnsi="Times New Roman"/>
          <w:color w:val="000000" w:themeColor="text1"/>
          <w:sz w:val="16"/>
          <w:szCs w:val="16"/>
        </w:rPr>
        <w:softHyphen/>
        <w:t>заводов материалами и агрегатами.</w:t>
      </w:r>
    </w:p>
    <w:p w14:paraId="12CEA17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Обязать Госплан СССР - тов. Сабурова и Наркомавиапром тов. Шахурина разработать и представить на утверждение ГОКО к 1 мая с.г. мероприятия по материально-техническому обеспечению установленной настоящим постановлением программы по вы</w:t>
      </w:r>
      <w:r w:rsidRPr="008127F8">
        <w:rPr>
          <w:rFonts w:ascii="Times New Roman" w:hAnsi="Times New Roman"/>
          <w:color w:val="000000" w:themeColor="text1"/>
          <w:sz w:val="16"/>
          <w:szCs w:val="16"/>
        </w:rPr>
        <w:softHyphen/>
        <w:t>пуску самолетов и моторов (2758,136).</w:t>
      </w:r>
    </w:p>
    <w:p w14:paraId="1C14D2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9D53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апреля 1942 г. Постановление ГКО СССР № 1522сс -«О плане выпуска самолетов и моторов в 1942 г.»</w:t>
      </w:r>
    </w:p>
    <w:p w14:paraId="1D46217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267F5EDA"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устанавливает, что большинство эвакуированных авиазаводов работает не на полную мощность, в результате чего авиационная промышленность дает меньше половины продукции по сравнению с тем, что может быть снято с имеющихся производственных мощностей. Полезная отдача оборудования и производительность труда неудовлетворительны. Наиболее слабо используемой по-прежнему является группа сибирских заводов.</w:t>
      </w:r>
    </w:p>
    <w:p w14:paraId="7F668BA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целью максимального увеличения выпуска продукции Государственный комитет обороны постановляет:</w:t>
      </w:r>
    </w:p>
    <w:p w14:paraId="1C07E02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Утвердить основные типы боевых самолетов для массово-серийного производства на заводах НКАП в 1942 г.: одноместный истребитель — Як-1, Як-7, одноместный штурмовик — Ил-2, ближний бомбардировщик — Пе-2, дальний бомбардировщик — Ил-4.</w:t>
      </w:r>
    </w:p>
    <w:p w14:paraId="752E2BD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Установить по Наркомату авиационной промышленности план производства в 1942 г. — 25 683 боевых самолета, в том числе по типам:</w:t>
      </w:r>
    </w:p>
    <w:p w14:paraId="075435B1"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Типы самолетов</w:t>
      </w:r>
      <w:r w:rsidRPr="008A2E5A">
        <w:rPr>
          <w:rFonts w:ascii="Times New Roman" w:hAnsi="Times New Roman"/>
          <w:color w:val="0070C0"/>
          <w:sz w:val="16"/>
          <w:szCs w:val="16"/>
        </w:rPr>
        <w:tab/>
        <w:t>1942 г.</w:t>
      </w:r>
      <w:r w:rsidRPr="008A2E5A">
        <w:rPr>
          <w:rFonts w:ascii="Times New Roman" w:hAnsi="Times New Roman"/>
          <w:color w:val="0070C0"/>
          <w:sz w:val="16"/>
          <w:szCs w:val="16"/>
        </w:rPr>
        <w:tab/>
        <w:t>1 квартал</w:t>
      </w:r>
      <w:r w:rsidRPr="008A2E5A">
        <w:rPr>
          <w:rFonts w:ascii="Times New Roman" w:hAnsi="Times New Roman"/>
          <w:color w:val="0070C0"/>
          <w:sz w:val="16"/>
          <w:szCs w:val="16"/>
        </w:rPr>
        <w:tab/>
        <w:t>11 квартал</w:t>
      </w:r>
      <w:r w:rsidRPr="008A2E5A">
        <w:rPr>
          <w:rFonts w:ascii="Times New Roman" w:hAnsi="Times New Roman"/>
          <w:color w:val="0070C0"/>
          <w:sz w:val="16"/>
          <w:szCs w:val="16"/>
        </w:rPr>
        <w:tab/>
        <w:t>III квартал</w:t>
      </w:r>
      <w:r w:rsidRPr="008A2E5A">
        <w:rPr>
          <w:rFonts w:ascii="Times New Roman" w:hAnsi="Times New Roman"/>
          <w:color w:val="0070C0"/>
          <w:sz w:val="16"/>
          <w:szCs w:val="16"/>
        </w:rPr>
        <w:tab/>
        <w:t>IV квартал</w:t>
      </w:r>
    </w:p>
    <w:p w14:paraId="449C7A7A"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Истребителей</w:t>
      </w:r>
      <w:r w:rsidRPr="008A2E5A">
        <w:rPr>
          <w:rFonts w:ascii="Times New Roman" w:hAnsi="Times New Roman"/>
          <w:color w:val="0070C0"/>
          <w:sz w:val="16"/>
          <w:szCs w:val="16"/>
        </w:rPr>
        <w:tab/>
        <w:t>10 230</w:t>
      </w:r>
      <w:r w:rsidRPr="008A2E5A">
        <w:rPr>
          <w:rFonts w:ascii="Times New Roman" w:hAnsi="Times New Roman"/>
          <w:color w:val="0070C0"/>
          <w:sz w:val="16"/>
          <w:szCs w:val="16"/>
        </w:rPr>
        <w:tab/>
        <w:t>1660</w:t>
      </w:r>
      <w:r w:rsidRPr="008A2E5A">
        <w:rPr>
          <w:rFonts w:ascii="Times New Roman" w:hAnsi="Times New Roman"/>
          <w:color w:val="0070C0"/>
          <w:sz w:val="16"/>
          <w:szCs w:val="16"/>
        </w:rPr>
        <w:tab/>
        <w:t>2330</w:t>
      </w:r>
      <w:r w:rsidRPr="008A2E5A">
        <w:rPr>
          <w:rFonts w:ascii="Times New Roman" w:hAnsi="Times New Roman"/>
          <w:color w:val="0070C0"/>
          <w:sz w:val="16"/>
          <w:szCs w:val="16"/>
        </w:rPr>
        <w:tab/>
        <w:t>2836</w:t>
      </w:r>
      <w:r w:rsidRPr="008A2E5A">
        <w:rPr>
          <w:rFonts w:ascii="Times New Roman" w:hAnsi="Times New Roman"/>
          <w:color w:val="0070C0"/>
          <w:sz w:val="16"/>
          <w:szCs w:val="16"/>
        </w:rPr>
        <w:tab/>
        <w:t>3404</w:t>
      </w:r>
    </w:p>
    <w:p w14:paraId="4213767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них: Як-1</w:t>
      </w:r>
      <w:r w:rsidRPr="008A2E5A">
        <w:rPr>
          <w:rFonts w:ascii="Times New Roman" w:hAnsi="Times New Roman"/>
          <w:color w:val="0070C0"/>
          <w:sz w:val="16"/>
          <w:szCs w:val="16"/>
        </w:rPr>
        <w:tab/>
        <w:t>3362</w:t>
      </w:r>
      <w:r w:rsidRPr="008A2E5A">
        <w:rPr>
          <w:rFonts w:ascii="Times New Roman" w:hAnsi="Times New Roman"/>
          <w:color w:val="0070C0"/>
          <w:sz w:val="16"/>
          <w:szCs w:val="16"/>
        </w:rPr>
        <w:tab/>
        <w:t>736</w:t>
      </w:r>
      <w:r w:rsidRPr="008A2E5A">
        <w:rPr>
          <w:rFonts w:ascii="Times New Roman" w:hAnsi="Times New Roman"/>
          <w:color w:val="0070C0"/>
          <w:sz w:val="16"/>
          <w:szCs w:val="16"/>
        </w:rPr>
        <w:tab/>
        <w:t>840</w:t>
      </w:r>
      <w:r w:rsidRPr="008A2E5A">
        <w:rPr>
          <w:rFonts w:ascii="Times New Roman" w:hAnsi="Times New Roman"/>
          <w:color w:val="0070C0"/>
          <w:sz w:val="16"/>
          <w:szCs w:val="16"/>
        </w:rPr>
        <w:tab/>
        <w:t>860</w:t>
      </w:r>
      <w:r w:rsidRPr="008A2E5A">
        <w:rPr>
          <w:rFonts w:ascii="Times New Roman" w:hAnsi="Times New Roman"/>
          <w:color w:val="0070C0"/>
          <w:sz w:val="16"/>
          <w:szCs w:val="16"/>
        </w:rPr>
        <w:tab/>
        <w:t>926</w:t>
      </w:r>
    </w:p>
    <w:p w14:paraId="7FB5368E"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w:t>
      </w:r>
      <w:r w:rsidRPr="008A2E5A">
        <w:rPr>
          <w:rFonts w:ascii="Times New Roman" w:hAnsi="Times New Roman"/>
          <w:color w:val="0070C0"/>
          <w:sz w:val="16"/>
          <w:szCs w:val="16"/>
        </w:rPr>
        <w:tab/>
        <w:t>4077</w:t>
      </w:r>
      <w:r w:rsidRPr="008A2E5A">
        <w:rPr>
          <w:rFonts w:ascii="Times New Roman" w:hAnsi="Times New Roman"/>
          <w:color w:val="0070C0"/>
          <w:sz w:val="16"/>
          <w:szCs w:val="16"/>
        </w:rPr>
        <w:tab/>
        <w:t>109</w:t>
      </w:r>
      <w:r w:rsidRPr="008A2E5A">
        <w:rPr>
          <w:rFonts w:ascii="Times New Roman" w:hAnsi="Times New Roman"/>
          <w:color w:val="0070C0"/>
          <w:sz w:val="16"/>
          <w:szCs w:val="16"/>
        </w:rPr>
        <w:tab/>
        <w:t>590</w:t>
      </w:r>
      <w:r w:rsidRPr="008A2E5A">
        <w:rPr>
          <w:rFonts w:ascii="Times New Roman" w:hAnsi="Times New Roman"/>
          <w:color w:val="0070C0"/>
          <w:sz w:val="16"/>
          <w:szCs w:val="16"/>
        </w:rPr>
        <w:tab/>
        <w:t>1415</w:t>
      </w:r>
      <w:r w:rsidRPr="008A2E5A">
        <w:rPr>
          <w:rFonts w:ascii="Times New Roman" w:hAnsi="Times New Roman"/>
          <w:color w:val="0070C0"/>
          <w:sz w:val="16"/>
          <w:szCs w:val="16"/>
        </w:rPr>
        <w:tab/>
        <w:t>1963</w:t>
      </w:r>
    </w:p>
    <w:p w14:paraId="65FAD8A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r w:rsidRPr="008A2E5A">
        <w:rPr>
          <w:rFonts w:ascii="Times New Roman" w:hAnsi="Times New Roman"/>
          <w:color w:val="0070C0"/>
          <w:sz w:val="16"/>
          <w:szCs w:val="16"/>
        </w:rPr>
        <w:tab/>
        <w:t>2791</w:t>
      </w:r>
      <w:r w:rsidRPr="008A2E5A">
        <w:rPr>
          <w:rFonts w:ascii="Times New Roman" w:hAnsi="Times New Roman"/>
          <w:color w:val="0070C0"/>
          <w:sz w:val="16"/>
          <w:szCs w:val="16"/>
        </w:rPr>
        <w:tab/>
        <w:t>815</w:t>
      </w:r>
      <w:r w:rsidRPr="008A2E5A">
        <w:rPr>
          <w:rFonts w:ascii="Times New Roman" w:hAnsi="Times New Roman"/>
          <w:color w:val="0070C0"/>
          <w:sz w:val="16"/>
          <w:szCs w:val="16"/>
        </w:rPr>
        <w:tab/>
        <w:t>900</w:t>
      </w:r>
      <w:r w:rsidRPr="008A2E5A">
        <w:rPr>
          <w:rFonts w:ascii="Times New Roman" w:hAnsi="Times New Roman"/>
          <w:color w:val="0070C0"/>
          <w:sz w:val="16"/>
          <w:szCs w:val="16"/>
        </w:rPr>
        <w:tab/>
        <w:t>561</w:t>
      </w:r>
      <w:r w:rsidRPr="008A2E5A">
        <w:rPr>
          <w:rFonts w:ascii="Times New Roman" w:hAnsi="Times New Roman"/>
          <w:color w:val="0070C0"/>
          <w:sz w:val="16"/>
          <w:szCs w:val="16"/>
        </w:rPr>
        <w:tab/>
        <w:t>515</w:t>
      </w:r>
    </w:p>
    <w:p w14:paraId="63573EA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Штурмовиков Ил-2</w:t>
      </w:r>
      <w:r w:rsidRPr="008A2E5A">
        <w:rPr>
          <w:rFonts w:ascii="Times New Roman" w:hAnsi="Times New Roman"/>
          <w:color w:val="0070C0"/>
          <w:sz w:val="16"/>
          <w:szCs w:val="16"/>
        </w:rPr>
        <w:tab/>
        <w:t>9717</w:t>
      </w:r>
      <w:r w:rsidRPr="008A2E5A">
        <w:rPr>
          <w:rFonts w:ascii="Times New Roman" w:hAnsi="Times New Roman"/>
          <w:color w:val="0070C0"/>
          <w:sz w:val="16"/>
          <w:szCs w:val="16"/>
        </w:rPr>
        <w:tab/>
        <w:t>821</w:t>
      </w:r>
      <w:r w:rsidRPr="008A2E5A">
        <w:rPr>
          <w:rFonts w:ascii="Times New Roman" w:hAnsi="Times New Roman"/>
          <w:color w:val="0070C0"/>
          <w:sz w:val="16"/>
          <w:szCs w:val="16"/>
        </w:rPr>
        <w:tab/>
        <w:t>2101</w:t>
      </w:r>
      <w:r w:rsidRPr="008A2E5A">
        <w:rPr>
          <w:rFonts w:ascii="Times New Roman" w:hAnsi="Times New Roman"/>
          <w:color w:val="0070C0"/>
          <w:sz w:val="16"/>
          <w:szCs w:val="16"/>
        </w:rPr>
        <w:tab/>
        <w:t>3024</w:t>
      </w:r>
      <w:r w:rsidRPr="008A2E5A">
        <w:rPr>
          <w:rFonts w:ascii="Times New Roman" w:hAnsi="Times New Roman"/>
          <w:color w:val="0070C0"/>
          <w:sz w:val="16"/>
          <w:szCs w:val="16"/>
        </w:rPr>
        <w:tab/>
        <w:t>3771</w:t>
      </w:r>
    </w:p>
    <w:p w14:paraId="250CB79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Бомбардировщиков</w:t>
      </w:r>
      <w:r w:rsidRPr="008A2E5A">
        <w:rPr>
          <w:rFonts w:ascii="Times New Roman" w:hAnsi="Times New Roman"/>
          <w:color w:val="0070C0"/>
          <w:sz w:val="16"/>
          <w:szCs w:val="16"/>
        </w:rPr>
        <w:tab/>
        <w:t>5736</w:t>
      </w:r>
      <w:r w:rsidRPr="008A2E5A">
        <w:rPr>
          <w:rFonts w:ascii="Times New Roman" w:hAnsi="Times New Roman"/>
          <w:color w:val="0070C0"/>
          <w:sz w:val="16"/>
          <w:szCs w:val="16"/>
        </w:rPr>
        <w:tab/>
        <w:t>640</w:t>
      </w:r>
      <w:r w:rsidRPr="008A2E5A">
        <w:rPr>
          <w:rFonts w:ascii="Times New Roman" w:hAnsi="Times New Roman"/>
          <w:color w:val="0070C0"/>
          <w:sz w:val="16"/>
          <w:szCs w:val="16"/>
        </w:rPr>
        <w:tab/>
        <w:t>1220</w:t>
      </w:r>
      <w:r w:rsidRPr="008A2E5A">
        <w:rPr>
          <w:rFonts w:ascii="Times New Roman" w:hAnsi="Times New Roman"/>
          <w:color w:val="0070C0"/>
          <w:sz w:val="16"/>
          <w:szCs w:val="16"/>
        </w:rPr>
        <w:tab/>
        <w:t>1701</w:t>
      </w:r>
      <w:r w:rsidRPr="008A2E5A">
        <w:rPr>
          <w:rFonts w:ascii="Times New Roman" w:hAnsi="Times New Roman"/>
          <w:color w:val="0070C0"/>
          <w:sz w:val="16"/>
          <w:szCs w:val="16"/>
        </w:rPr>
        <w:tab/>
        <w:t>2175</w:t>
      </w:r>
    </w:p>
    <w:p w14:paraId="73ECB50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них: Пе-2</w:t>
      </w:r>
      <w:r w:rsidRPr="008A2E5A">
        <w:rPr>
          <w:rFonts w:ascii="Times New Roman" w:hAnsi="Times New Roman"/>
          <w:color w:val="0070C0"/>
          <w:sz w:val="16"/>
          <w:szCs w:val="16"/>
        </w:rPr>
        <w:tab/>
        <w:t>4242</w:t>
      </w:r>
      <w:r w:rsidRPr="008A2E5A">
        <w:rPr>
          <w:rFonts w:ascii="Times New Roman" w:hAnsi="Times New Roman"/>
          <w:color w:val="0070C0"/>
          <w:sz w:val="16"/>
          <w:szCs w:val="16"/>
        </w:rPr>
        <w:tab/>
        <w:t>471</w:t>
      </w:r>
      <w:r w:rsidRPr="008A2E5A">
        <w:rPr>
          <w:rFonts w:ascii="Times New Roman" w:hAnsi="Times New Roman"/>
          <w:color w:val="0070C0"/>
          <w:sz w:val="16"/>
          <w:szCs w:val="16"/>
        </w:rPr>
        <w:tab/>
        <w:t>1015</w:t>
      </w:r>
      <w:r w:rsidRPr="008A2E5A">
        <w:rPr>
          <w:rFonts w:ascii="Times New Roman" w:hAnsi="Times New Roman"/>
          <w:color w:val="0070C0"/>
          <w:sz w:val="16"/>
          <w:szCs w:val="16"/>
        </w:rPr>
        <w:tab/>
        <w:t>1292</w:t>
      </w:r>
      <w:r w:rsidRPr="008A2E5A">
        <w:rPr>
          <w:rFonts w:ascii="Times New Roman" w:hAnsi="Times New Roman"/>
          <w:color w:val="0070C0"/>
          <w:sz w:val="16"/>
          <w:szCs w:val="16"/>
        </w:rPr>
        <w:tab/>
        <w:t>1464</w:t>
      </w:r>
    </w:p>
    <w:p w14:paraId="5AEAF50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Ил-4</w:t>
      </w:r>
      <w:r w:rsidRPr="008A2E5A">
        <w:rPr>
          <w:rFonts w:ascii="Times New Roman" w:hAnsi="Times New Roman"/>
          <w:color w:val="0070C0"/>
          <w:sz w:val="16"/>
          <w:szCs w:val="16"/>
        </w:rPr>
        <w:tab/>
        <w:t>1199</w:t>
      </w:r>
      <w:r w:rsidRPr="008A2E5A">
        <w:rPr>
          <w:rFonts w:ascii="Times New Roman" w:hAnsi="Times New Roman"/>
          <w:color w:val="0070C0"/>
          <w:sz w:val="16"/>
          <w:szCs w:val="16"/>
        </w:rPr>
        <w:tab/>
        <w:t>164</w:t>
      </w:r>
      <w:r w:rsidRPr="008A2E5A">
        <w:rPr>
          <w:rFonts w:ascii="Times New Roman" w:hAnsi="Times New Roman"/>
          <w:color w:val="0070C0"/>
          <w:sz w:val="16"/>
          <w:szCs w:val="16"/>
        </w:rPr>
        <w:tab/>
        <w:t>187</w:t>
      </w:r>
      <w:r w:rsidRPr="008A2E5A">
        <w:rPr>
          <w:rFonts w:ascii="Times New Roman" w:hAnsi="Times New Roman"/>
          <w:color w:val="0070C0"/>
          <w:sz w:val="16"/>
          <w:szCs w:val="16"/>
        </w:rPr>
        <w:tab/>
        <w:t>328</w:t>
      </w:r>
      <w:r w:rsidRPr="008A2E5A">
        <w:rPr>
          <w:rFonts w:ascii="Times New Roman" w:hAnsi="Times New Roman"/>
          <w:color w:val="0070C0"/>
          <w:sz w:val="16"/>
          <w:szCs w:val="16"/>
        </w:rPr>
        <w:tab/>
        <w:t>520</w:t>
      </w:r>
    </w:p>
    <w:p w14:paraId="02C74C6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Ту-2</w:t>
      </w:r>
      <w:r w:rsidRPr="008A2E5A">
        <w:rPr>
          <w:rFonts w:ascii="Times New Roman" w:hAnsi="Times New Roman"/>
          <w:color w:val="0070C0"/>
          <w:sz w:val="16"/>
          <w:szCs w:val="16"/>
        </w:rPr>
        <w:tab/>
        <w:t>295</w:t>
      </w:r>
      <w:r w:rsidRPr="008A2E5A">
        <w:rPr>
          <w:rFonts w:ascii="Times New Roman" w:hAnsi="Times New Roman"/>
          <w:color w:val="0070C0"/>
          <w:sz w:val="16"/>
          <w:szCs w:val="16"/>
        </w:rPr>
        <w:tab/>
        <w:t>5</w:t>
      </w:r>
      <w:r w:rsidRPr="008A2E5A">
        <w:rPr>
          <w:rFonts w:ascii="Times New Roman" w:hAnsi="Times New Roman"/>
          <w:color w:val="0070C0"/>
          <w:sz w:val="16"/>
          <w:szCs w:val="16"/>
        </w:rPr>
        <w:tab/>
        <w:t>18</w:t>
      </w:r>
      <w:r w:rsidRPr="008A2E5A">
        <w:rPr>
          <w:rFonts w:ascii="Times New Roman" w:hAnsi="Times New Roman"/>
          <w:color w:val="0070C0"/>
          <w:sz w:val="16"/>
          <w:szCs w:val="16"/>
        </w:rPr>
        <w:tab/>
        <w:t>81</w:t>
      </w:r>
      <w:r w:rsidRPr="008A2E5A">
        <w:rPr>
          <w:rFonts w:ascii="Times New Roman" w:hAnsi="Times New Roman"/>
          <w:color w:val="0070C0"/>
          <w:sz w:val="16"/>
          <w:szCs w:val="16"/>
        </w:rPr>
        <w:tab/>
        <w:t>191</w:t>
      </w:r>
    </w:p>
    <w:p w14:paraId="32CA3DF1"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боевых:</w:t>
      </w:r>
      <w:r w:rsidRPr="008A2E5A">
        <w:rPr>
          <w:rFonts w:ascii="Times New Roman" w:hAnsi="Times New Roman"/>
          <w:color w:val="0070C0"/>
          <w:sz w:val="16"/>
          <w:szCs w:val="16"/>
        </w:rPr>
        <w:tab/>
        <w:t>25 683</w:t>
      </w:r>
      <w:r w:rsidRPr="008A2E5A">
        <w:rPr>
          <w:rFonts w:ascii="Times New Roman" w:hAnsi="Times New Roman"/>
          <w:color w:val="0070C0"/>
          <w:sz w:val="16"/>
          <w:szCs w:val="16"/>
        </w:rPr>
        <w:tab/>
        <w:t>3121</w:t>
      </w:r>
      <w:r w:rsidRPr="008A2E5A">
        <w:rPr>
          <w:rFonts w:ascii="Times New Roman" w:hAnsi="Times New Roman"/>
          <w:color w:val="0070C0"/>
          <w:sz w:val="16"/>
          <w:szCs w:val="16"/>
        </w:rPr>
        <w:tab/>
        <w:t>5651</w:t>
      </w:r>
      <w:r w:rsidRPr="008A2E5A">
        <w:rPr>
          <w:rFonts w:ascii="Times New Roman" w:hAnsi="Times New Roman"/>
          <w:color w:val="0070C0"/>
          <w:sz w:val="16"/>
          <w:szCs w:val="16"/>
        </w:rPr>
        <w:tab/>
        <w:t>7561</w:t>
      </w:r>
      <w:r w:rsidRPr="008A2E5A">
        <w:rPr>
          <w:rFonts w:ascii="Times New Roman" w:hAnsi="Times New Roman"/>
          <w:color w:val="0070C0"/>
          <w:sz w:val="16"/>
          <w:szCs w:val="16"/>
        </w:rPr>
        <w:tab/>
        <w:t>9350</w:t>
      </w:r>
    </w:p>
    <w:p w14:paraId="13B72770"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Установить по Наркомату авиационной промышленности план производства в 1942 г. — 50 312 авиационных моторов, в том числе по типам:</w:t>
      </w:r>
    </w:p>
    <w:p w14:paraId="7470B8D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[Типы МОТОРОВ 1</w:t>
      </w:r>
      <w:r w:rsidRPr="008A2E5A">
        <w:rPr>
          <w:rFonts w:ascii="Times New Roman" w:hAnsi="Times New Roman"/>
          <w:color w:val="0070C0"/>
          <w:sz w:val="16"/>
          <w:szCs w:val="16"/>
        </w:rPr>
        <w:tab/>
        <w:t>1942 г.</w:t>
      </w:r>
      <w:r w:rsidRPr="008A2E5A">
        <w:rPr>
          <w:rFonts w:ascii="Times New Roman" w:hAnsi="Times New Roman"/>
          <w:color w:val="0070C0"/>
          <w:sz w:val="16"/>
          <w:szCs w:val="16"/>
        </w:rPr>
        <w:tab/>
        <w:t>I квартал</w:t>
      </w:r>
      <w:r w:rsidRPr="008A2E5A">
        <w:rPr>
          <w:rFonts w:ascii="Times New Roman" w:hAnsi="Times New Roman"/>
          <w:color w:val="0070C0"/>
          <w:sz w:val="16"/>
          <w:szCs w:val="16"/>
        </w:rPr>
        <w:tab/>
        <w:t>II квартал</w:t>
      </w:r>
      <w:r w:rsidRPr="008A2E5A">
        <w:rPr>
          <w:rFonts w:ascii="Times New Roman" w:hAnsi="Times New Roman"/>
          <w:color w:val="0070C0"/>
          <w:sz w:val="16"/>
          <w:szCs w:val="16"/>
        </w:rPr>
        <w:tab/>
        <w:t>III квартал</w:t>
      </w:r>
      <w:r w:rsidRPr="008A2E5A">
        <w:rPr>
          <w:rFonts w:ascii="Times New Roman" w:hAnsi="Times New Roman"/>
          <w:color w:val="0070C0"/>
          <w:sz w:val="16"/>
          <w:szCs w:val="16"/>
        </w:rPr>
        <w:tab/>
        <w:t>IV квартал</w:t>
      </w:r>
    </w:p>
    <w:p w14:paraId="2370296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w:t>
      </w:r>
      <w:r w:rsidRPr="008A2E5A">
        <w:rPr>
          <w:rFonts w:ascii="Times New Roman" w:hAnsi="Times New Roman"/>
          <w:color w:val="0070C0"/>
          <w:sz w:val="16"/>
          <w:szCs w:val="16"/>
        </w:rPr>
        <w:tab/>
        <w:t>13 104</w:t>
      </w:r>
      <w:r w:rsidRPr="008A2E5A">
        <w:rPr>
          <w:rFonts w:ascii="Times New Roman" w:hAnsi="Times New Roman"/>
          <w:color w:val="0070C0"/>
          <w:sz w:val="16"/>
          <w:szCs w:val="16"/>
        </w:rPr>
        <w:tab/>
        <w:t>1478</w:t>
      </w:r>
      <w:r w:rsidRPr="008A2E5A">
        <w:rPr>
          <w:rFonts w:ascii="Times New Roman" w:hAnsi="Times New Roman"/>
          <w:color w:val="0070C0"/>
          <w:sz w:val="16"/>
          <w:szCs w:val="16"/>
        </w:rPr>
        <w:tab/>
        <w:t>3080</w:t>
      </w:r>
      <w:r w:rsidRPr="008A2E5A">
        <w:rPr>
          <w:rFonts w:ascii="Times New Roman" w:hAnsi="Times New Roman"/>
          <w:color w:val="0070C0"/>
          <w:sz w:val="16"/>
          <w:szCs w:val="16"/>
        </w:rPr>
        <w:tab/>
        <w:t>4035</w:t>
      </w:r>
      <w:r w:rsidRPr="008A2E5A">
        <w:rPr>
          <w:rFonts w:ascii="Times New Roman" w:hAnsi="Times New Roman"/>
          <w:color w:val="0070C0"/>
          <w:sz w:val="16"/>
          <w:szCs w:val="16"/>
        </w:rPr>
        <w:tab/>
        <w:t>4511</w:t>
      </w:r>
    </w:p>
    <w:p w14:paraId="20F16D3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М-105Р</w:t>
      </w:r>
      <w:r w:rsidRPr="008A2E5A">
        <w:rPr>
          <w:rFonts w:ascii="Times New Roman" w:hAnsi="Times New Roman"/>
          <w:color w:val="0070C0"/>
          <w:sz w:val="16"/>
          <w:szCs w:val="16"/>
        </w:rPr>
        <w:tab/>
        <w:t>9488</w:t>
      </w:r>
      <w:r w:rsidRPr="008A2E5A">
        <w:rPr>
          <w:rFonts w:ascii="Times New Roman" w:hAnsi="Times New Roman"/>
          <w:color w:val="0070C0"/>
          <w:sz w:val="16"/>
          <w:szCs w:val="16"/>
        </w:rPr>
        <w:tab/>
        <w:t>495</w:t>
      </w:r>
      <w:r w:rsidRPr="008A2E5A">
        <w:rPr>
          <w:rFonts w:ascii="Times New Roman" w:hAnsi="Times New Roman"/>
          <w:color w:val="0070C0"/>
          <w:sz w:val="16"/>
          <w:szCs w:val="16"/>
        </w:rPr>
        <w:tab/>
        <w:t>2158</w:t>
      </w:r>
      <w:r w:rsidRPr="008A2E5A">
        <w:rPr>
          <w:rFonts w:ascii="Times New Roman" w:hAnsi="Times New Roman"/>
          <w:color w:val="0070C0"/>
          <w:sz w:val="16"/>
          <w:szCs w:val="16"/>
        </w:rPr>
        <w:tab/>
        <w:t>3050</w:t>
      </w:r>
      <w:r w:rsidRPr="008A2E5A">
        <w:rPr>
          <w:rFonts w:ascii="Times New Roman" w:hAnsi="Times New Roman"/>
          <w:color w:val="0070C0"/>
          <w:sz w:val="16"/>
          <w:szCs w:val="16"/>
        </w:rPr>
        <w:tab/>
        <w:t>3785</w:t>
      </w:r>
    </w:p>
    <w:p w14:paraId="68F6FF0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w:t>
      </w:r>
      <w:r w:rsidRPr="008A2E5A">
        <w:rPr>
          <w:rFonts w:ascii="Times New Roman" w:hAnsi="Times New Roman"/>
          <w:color w:val="0070C0"/>
          <w:sz w:val="16"/>
          <w:szCs w:val="16"/>
        </w:rPr>
        <w:tab/>
        <w:t>11411</w:t>
      </w:r>
      <w:r w:rsidRPr="008A2E5A">
        <w:rPr>
          <w:rFonts w:ascii="Times New Roman" w:hAnsi="Times New Roman"/>
          <w:color w:val="0070C0"/>
          <w:sz w:val="16"/>
          <w:szCs w:val="16"/>
        </w:rPr>
        <w:tab/>
        <w:t>683</w:t>
      </w:r>
      <w:r w:rsidRPr="008A2E5A">
        <w:rPr>
          <w:rFonts w:ascii="Times New Roman" w:hAnsi="Times New Roman"/>
          <w:color w:val="0070C0"/>
          <w:sz w:val="16"/>
          <w:szCs w:val="16"/>
        </w:rPr>
        <w:tab/>
        <w:t>2473</w:t>
      </w:r>
      <w:r w:rsidRPr="008A2E5A">
        <w:rPr>
          <w:rFonts w:ascii="Times New Roman" w:hAnsi="Times New Roman"/>
          <w:color w:val="0070C0"/>
          <w:sz w:val="16"/>
          <w:szCs w:val="16"/>
        </w:rPr>
        <w:tab/>
        <w:t>3670</w:t>
      </w:r>
      <w:r w:rsidRPr="008A2E5A">
        <w:rPr>
          <w:rFonts w:ascii="Times New Roman" w:hAnsi="Times New Roman"/>
          <w:color w:val="0070C0"/>
          <w:sz w:val="16"/>
          <w:szCs w:val="16"/>
        </w:rPr>
        <w:tab/>
        <w:t>4585</w:t>
      </w:r>
    </w:p>
    <w:p w14:paraId="66A20CD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М-88</w:t>
      </w:r>
      <w:r w:rsidRPr="008A2E5A">
        <w:rPr>
          <w:rFonts w:ascii="Times New Roman" w:hAnsi="Times New Roman"/>
          <w:color w:val="0070C0"/>
          <w:sz w:val="16"/>
          <w:szCs w:val="16"/>
        </w:rPr>
        <w:tab/>
        <w:t>5049</w:t>
      </w:r>
      <w:r w:rsidRPr="008A2E5A">
        <w:rPr>
          <w:rFonts w:ascii="Times New Roman" w:hAnsi="Times New Roman"/>
          <w:color w:val="0070C0"/>
          <w:sz w:val="16"/>
          <w:szCs w:val="16"/>
        </w:rPr>
        <w:tab/>
        <w:t>714</w:t>
      </w:r>
      <w:r w:rsidRPr="008A2E5A">
        <w:rPr>
          <w:rFonts w:ascii="Times New Roman" w:hAnsi="Times New Roman"/>
          <w:color w:val="0070C0"/>
          <w:sz w:val="16"/>
          <w:szCs w:val="16"/>
        </w:rPr>
        <w:tab/>
        <w:t>1060</w:t>
      </w:r>
      <w:r w:rsidRPr="008A2E5A">
        <w:rPr>
          <w:rFonts w:ascii="Times New Roman" w:hAnsi="Times New Roman"/>
          <w:color w:val="0070C0"/>
          <w:sz w:val="16"/>
          <w:szCs w:val="16"/>
        </w:rPr>
        <w:tab/>
        <w:t>1575</w:t>
      </w:r>
      <w:r w:rsidRPr="008A2E5A">
        <w:rPr>
          <w:rFonts w:ascii="Times New Roman" w:hAnsi="Times New Roman"/>
          <w:color w:val="0070C0"/>
          <w:sz w:val="16"/>
          <w:szCs w:val="16"/>
        </w:rPr>
        <w:tab/>
        <w:t>1700</w:t>
      </w:r>
    </w:p>
    <w:p w14:paraId="71D3DD36"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w:t>
      </w:r>
      <w:r w:rsidRPr="008A2E5A">
        <w:rPr>
          <w:rFonts w:ascii="Times New Roman" w:hAnsi="Times New Roman"/>
          <w:color w:val="0070C0"/>
          <w:sz w:val="16"/>
          <w:szCs w:val="16"/>
        </w:rPr>
        <w:tab/>
        <w:t>3809</w:t>
      </w:r>
      <w:r w:rsidRPr="008A2E5A">
        <w:rPr>
          <w:rFonts w:ascii="Times New Roman" w:hAnsi="Times New Roman"/>
          <w:color w:val="0070C0"/>
          <w:sz w:val="16"/>
          <w:szCs w:val="16"/>
        </w:rPr>
        <w:tab/>
        <w:t>412</w:t>
      </w:r>
      <w:r w:rsidRPr="008A2E5A">
        <w:rPr>
          <w:rFonts w:ascii="Times New Roman" w:hAnsi="Times New Roman"/>
          <w:color w:val="0070C0"/>
          <w:sz w:val="16"/>
          <w:szCs w:val="16"/>
        </w:rPr>
        <w:tab/>
        <w:t>927</w:t>
      </w:r>
      <w:r w:rsidRPr="008A2E5A">
        <w:rPr>
          <w:rFonts w:ascii="Times New Roman" w:hAnsi="Times New Roman"/>
          <w:color w:val="0070C0"/>
          <w:sz w:val="16"/>
          <w:szCs w:val="16"/>
        </w:rPr>
        <w:tab/>
        <w:t>1195</w:t>
      </w:r>
      <w:r w:rsidRPr="008A2E5A">
        <w:rPr>
          <w:rFonts w:ascii="Times New Roman" w:hAnsi="Times New Roman"/>
          <w:color w:val="0070C0"/>
          <w:sz w:val="16"/>
          <w:szCs w:val="16"/>
        </w:rPr>
        <w:tab/>
        <w:t>1275</w:t>
      </w:r>
    </w:p>
    <w:p w14:paraId="67DA4E8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по заводам Наркомавиапрома план выпуска самолетов и авиамоторов в 1942 г.:</w:t>
      </w:r>
    </w:p>
    <w:p w14:paraId="3D03C99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 самолетам</w:t>
      </w:r>
    </w:p>
    <w:p w14:paraId="55598E4E"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заводов</w:t>
      </w:r>
      <w:r w:rsidRPr="008A2E5A">
        <w:rPr>
          <w:rFonts w:ascii="Times New Roman" w:hAnsi="Times New Roman"/>
          <w:color w:val="0070C0"/>
          <w:sz w:val="16"/>
          <w:szCs w:val="16"/>
        </w:rPr>
        <w:tab/>
        <w:t>Типы самолетов и моторов</w:t>
      </w:r>
      <w:r w:rsidRPr="008A2E5A">
        <w:rPr>
          <w:rFonts w:ascii="Times New Roman" w:hAnsi="Times New Roman"/>
          <w:color w:val="0070C0"/>
          <w:sz w:val="16"/>
          <w:szCs w:val="16"/>
        </w:rPr>
        <w:tab/>
        <w:t>План на 1942 г.</w:t>
      </w:r>
      <w:r w:rsidRPr="008A2E5A">
        <w:rPr>
          <w:rFonts w:ascii="Times New Roman" w:hAnsi="Times New Roman"/>
          <w:color w:val="0070C0"/>
          <w:sz w:val="16"/>
          <w:szCs w:val="16"/>
        </w:rPr>
        <w:tab/>
        <w:t>В том числе: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7B5281E"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I квартал</w:t>
      </w:r>
      <w:r w:rsidRPr="008A2E5A">
        <w:rPr>
          <w:rFonts w:ascii="Times New Roman" w:hAnsi="Times New Roman"/>
          <w:color w:val="0070C0"/>
          <w:sz w:val="16"/>
          <w:szCs w:val="16"/>
        </w:rPr>
        <w:tab/>
        <w:t>II квартал</w:t>
      </w:r>
      <w:r w:rsidRPr="008A2E5A">
        <w:rPr>
          <w:rFonts w:ascii="Times New Roman" w:hAnsi="Times New Roman"/>
          <w:color w:val="0070C0"/>
          <w:sz w:val="16"/>
          <w:szCs w:val="16"/>
        </w:rPr>
        <w:tab/>
        <w:t>III квартал</w:t>
      </w:r>
      <w:r w:rsidRPr="008A2E5A">
        <w:rPr>
          <w:rFonts w:ascii="Times New Roman" w:hAnsi="Times New Roman"/>
          <w:color w:val="0070C0"/>
          <w:sz w:val="16"/>
          <w:szCs w:val="16"/>
        </w:rPr>
        <w:tab/>
        <w:t>IV квартал</w:t>
      </w:r>
    </w:p>
    <w:p w14:paraId="2BD0E250"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292</w:t>
      </w:r>
      <w:r w:rsidRPr="008A2E5A">
        <w:rPr>
          <w:rFonts w:ascii="Times New Roman" w:hAnsi="Times New Roman"/>
          <w:color w:val="0070C0"/>
          <w:sz w:val="16"/>
          <w:szCs w:val="16"/>
        </w:rPr>
        <w:tab/>
        <w:t>Як-1 М-105П</w:t>
      </w:r>
      <w:r w:rsidRPr="008A2E5A">
        <w:rPr>
          <w:rFonts w:ascii="Times New Roman" w:hAnsi="Times New Roman"/>
          <w:color w:val="0070C0"/>
          <w:sz w:val="16"/>
          <w:szCs w:val="16"/>
        </w:rPr>
        <w:tab/>
        <w:t>3362</w:t>
      </w:r>
      <w:r w:rsidRPr="008A2E5A">
        <w:rPr>
          <w:rFonts w:ascii="Times New Roman" w:hAnsi="Times New Roman"/>
          <w:color w:val="0070C0"/>
          <w:sz w:val="16"/>
          <w:szCs w:val="16"/>
        </w:rPr>
        <w:tab/>
        <w:t>736</w:t>
      </w:r>
      <w:r w:rsidRPr="008A2E5A">
        <w:rPr>
          <w:rFonts w:ascii="Times New Roman" w:hAnsi="Times New Roman"/>
          <w:color w:val="0070C0"/>
          <w:sz w:val="16"/>
          <w:szCs w:val="16"/>
        </w:rPr>
        <w:tab/>
        <w:t>840</w:t>
      </w:r>
      <w:r w:rsidRPr="008A2E5A">
        <w:rPr>
          <w:rFonts w:ascii="Times New Roman" w:hAnsi="Times New Roman"/>
          <w:color w:val="0070C0"/>
          <w:sz w:val="16"/>
          <w:szCs w:val="16"/>
        </w:rPr>
        <w:tab/>
        <w:t>860</w:t>
      </w:r>
      <w:r w:rsidRPr="008A2E5A">
        <w:rPr>
          <w:rFonts w:ascii="Times New Roman" w:hAnsi="Times New Roman"/>
          <w:color w:val="0070C0"/>
          <w:sz w:val="16"/>
          <w:szCs w:val="16"/>
        </w:rPr>
        <w:tab/>
        <w:t>926</w:t>
      </w:r>
    </w:p>
    <w:p w14:paraId="0786E19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r w:rsidRPr="008A2E5A">
        <w:rPr>
          <w:rFonts w:ascii="Times New Roman" w:hAnsi="Times New Roman"/>
          <w:color w:val="0070C0"/>
          <w:sz w:val="16"/>
          <w:szCs w:val="16"/>
        </w:rPr>
        <w:tab/>
        <w:t>Як-7 М-105П</w:t>
      </w:r>
      <w:r w:rsidRPr="008A2E5A">
        <w:rPr>
          <w:rFonts w:ascii="Times New Roman" w:hAnsi="Times New Roman"/>
          <w:color w:val="0070C0"/>
          <w:sz w:val="16"/>
          <w:szCs w:val="16"/>
        </w:rPr>
        <w:tab/>
        <w:t>2602</w:t>
      </w:r>
      <w:r w:rsidRPr="008A2E5A">
        <w:rPr>
          <w:rFonts w:ascii="Times New Roman" w:hAnsi="Times New Roman"/>
          <w:color w:val="0070C0"/>
          <w:sz w:val="16"/>
          <w:szCs w:val="16"/>
        </w:rPr>
        <w:tab/>
        <w:t>109</w:t>
      </w:r>
      <w:r w:rsidRPr="008A2E5A">
        <w:rPr>
          <w:rFonts w:ascii="Times New Roman" w:hAnsi="Times New Roman"/>
          <w:color w:val="0070C0"/>
          <w:sz w:val="16"/>
          <w:szCs w:val="16"/>
        </w:rPr>
        <w:tab/>
        <w:t>540</w:t>
      </w:r>
      <w:r w:rsidRPr="008A2E5A">
        <w:rPr>
          <w:rFonts w:ascii="Times New Roman" w:hAnsi="Times New Roman"/>
          <w:color w:val="0070C0"/>
          <w:sz w:val="16"/>
          <w:szCs w:val="16"/>
        </w:rPr>
        <w:tab/>
        <w:t>885</w:t>
      </w:r>
      <w:r w:rsidRPr="008A2E5A">
        <w:rPr>
          <w:rFonts w:ascii="Times New Roman" w:hAnsi="Times New Roman"/>
          <w:color w:val="0070C0"/>
          <w:sz w:val="16"/>
          <w:szCs w:val="16"/>
        </w:rPr>
        <w:tab/>
        <w:t>1068</w:t>
      </w:r>
    </w:p>
    <w:p w14:paraId="5C8A39F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r w:rsidRPr="008A2E5A">
        <w:rPr>
          <w:rFonts w:ascii="Times New Roman" w:hAnsi="Times New Roman"/>
          <w:color w:val="0070C0"/>
          <w:sz w:val="16"/>
          <w:szCs w:val="16"/>
        </w:rPr>
        <w:tab/>
        <w:t>ЛаГГ-3 М-105П</w:t>
      </w:r>
      <w:r w:rsidRPr="008A2E5A">
        <w:rPr>
          <w:rFonts w:ascii="Times New Roman" w:hAnsi="Times New Roman"/>
          <w:color w:val="0070C0"/>
          <w:sz w:val="16"/>
          <w:szCs w:val="16"/>
        </w:rPr>
        <w:tab/>
        <w:t>65</w:t>
      </w:r>
      <w:r w:rsidRPr="008A2E5A">
        <w:rPr>
          <w:rFonts w:ascii="Times New Roman" w:hAnsi="Times New Roman"/>
          <w:color w:val="0070C0"/>
          <w:sz w:val="16"/>
          <w:szCs w:val="16"/>
        </w:rPr>
        <w:tab/>
        <w:t>65</w:t>
      </w:r>
    </w:p>
    <w:p w14:paraId="3DDEDB8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заводов</w:t>
      </w:r>
      <w:r w:rsidRPr="008A2E5A">
        <w:rPr>
          <w:rFonts w:ascii="Times New Roman" w:hAnsi="Times New Roman"/>
          <w:color w:val="0070C0"/>
          <w:sz w:val="16"/>
          <w:szCs w:val="16"/>
        </w:rPr>
        <w:tab/>
        <w:t>Типы самолетов и моторов</w:t>
      </w:r>
      <w:r w:rsidRPr="008A2E5A">
        <w:rPr>
          <w:rFonts w:ascii="Times New Roman" w:hAnsi="Times New Roman"/>
          <w:color w:val="0070C0"/>
          <w:sz w:val="16"/>
          <w:szCs w:val="16"/>
        </w:rPr>
        <w:tab/>
        <w:t>План на 1942 г.</w:t>
      </w:r>
      <w:r w:rsidRPr="008A2E5A">
        <w:rPr>
          <w:rFonts w:ascii="Times New Roman" w:hAnsi="Times New Roman"/>
          <w:color w:val="0070C0"/>
          <w:sz w:val="16"/>
          <w:szCs w:val="16"/>
        </w:rPr>
        <w:tab/>
        <w:t>В том числе: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29997EC0"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I квартал</w:t>
      </w:r>
      <w:r w:rsidRPr="008A2E5A">
        <w:rPr>
          <w:rFonts w:ascii="Times New Roman" w:hAnsi="Times New Roman"/>
          <w:color w:val="0070C0"/>
          <w:sz w:val="16"/>
          <w:szCs w:val="16"/>
        </w:rPr>
        <w:tab/>
        <w:t>II квартал</w:t>
      </w:r>
      <w:r w:rsidRPr="008A2E5A">
        <w:rPr>
          <w:rFonts w:ascii="Times New Roman" w:hAnsi="Times New Roman"/>
          <w:color w:val="0070C0"/>
          <w:sz w:val="16"/>
          <w:szCs w:val="16"/>
        </w:rPr>
        <w:tab/>
        <w:t>III квартал</w:t>
      </w:r>
      <w:r w:rsidRPr="008A2E5A">
        <w:rPr>
          <w:rFonts w:ascii="Times New Roman" w:hAnsi="Times New Roman"/>
          <w:color w:val="0070C0"/>
          <w:sz w:val="16"/>
          <w:szCs w:val="16"/>
        </w:rPr>
        <w:tab/>
        <w:t>IV квартал</w:t>
      </w:r>
    </w:p>
    <w:p w14:paraId="00A04D0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r w:rsidRPr="008A2E5A">
        <w:rPr>
          <w:rFonts w:ascii="Times New Roman" w:hAnsi="Times New Roman"/>
          <w:color w:val="0070C0"/>
          <w:sz w:val="16"/>
          <w:szCs w:val="16"/>
        </w:rPr>
        <w:tab/>
        <w:t>ЛаГГ-З М-105П</w:t>
      </w:r>
      <w:r w:rsidRPr="008A2E5A">
        <w:rPr>
          <w:rFonts w:ascii="Times New Roman" w:hAnsi="Times New Roman"/>
          <w:color w:val="0070C0"/>
          <w:sz w:val="16"/>
          <w:szCs w:val="16"/>
        </w:rPr>
        <w:tab/>
        <w:t>1466</w:t>
      </w:r>
      <w:r w:rsidRPr="008A2E5A">
        <w:rPr>
          <w:rFonts w:ascii="Times New Roman" w:hAnsi="Times New Roman"/>
          <w:color w:val="0070C0"/>
          <w:sz w:val="16"/>
          <w:szCs w:val="16"/>
        </w:rPr>
        <w:tab/>
        <w:t>702</w:t>
      </w:r>
      <w:r w:rsidRPr="008A2E5A">
        <w:rPr>
          <w:rFonts w:ascii="Times New Roman" w:hAnsi="Times New Roman"/>
          <w:color w:val="0070C0"/>
          <w:sz w:val="16"/>
          <w:szCs w:val="16"/>
        </w:rPr>
        <w:tab/>
        <w:t>648</w:t>
      </w:r>
      <w:r w:rsidRPr="008A2E5A">
        <w:rPr>
          <w:rFonts w:ascii="Times New Roman" w:hAnsi="Times New Roman"/>
          <w:color w:val="0070C0"/>
          <w:sz w:val="16"/>
          <w:szCs w:val="16"/>
        </w:rPr>
        <w:tab/>
        <w:t>116</w:t>
      </w:r>
      <w:r w:rsidRPr="008A2E5A">
        <w:rPr>
          <w:rFonts w:ascii="Times New Roman" w:hAnsi="Times New Roman"/>
          <w:color w:val="0070C0"/>
          <w:sz w:val="16"/>
          <w:szCs w:val="16"/>
        </w:rPr>
        <w:tab/>
      </w:r>
    </w:p>
    <w:p w14:paraId="20B74DF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r w:rsidRPr="008A2E5A">
        <w:rPr>
          <w:rFonts w:ascii="Times New Roman" w:hAnsi="Times New Roman"/>
          <w:color w:val="0070C0"/>
          <w:sz w:val="16"/>
          <w:szCs w:val="16"/>
        </w:rPr>
        <w:tab/>
        <w:t>Як-7 М-105П</w:t>
      </w:r>
      <w:r w:rsidRPr="008A2E5A">
        <w:rPr>
          <w:rFonts w:ascii="Times New Roman" w:hAnsi="Times New Roman"/>
          <w:color w:val="0070C0"/>
          <w:sz w:val="16"/>
          <w:szCs w:val="16"/>
        </w:rPr>
        <w:tab/>
        <w:t>1475</w:t>
      </w:r>
      <w:r w:rsidRPr="008A2E5A">
        <w:rPr>
          <w:rFonts w:ascii="Times New Roman" w:hAnsi="Times New Roman"/>
          <w:color w:val="0070C0"/>
          <w:sz w:val="16"/>
          <w:szCs w:val="16"/>
        </w:rPr>
        <w:tab/>
      </w:r>
      <w:r w:rsidRPr="008A2E5A">
        <w:rPr>
          <w:rFonts w:ascii="Times New Roman" w:hAnsi="Times New Roman"/>
          <w:color w:val="0070C0"/>
          <w:sz w:val="16"/>
          <w:szCs w:val="16"/>
        </w:rPr>
        <w:tab/>
        <w:t>50</w:t>
      </w:r>
      <w:r w:rsidRPr="008A2E5A">
        <w:rPr>
          <w:rFonts w:ascii="Times New Roman" w:hAnsi="Times New Roman"/>
          <w:color w:val="0070C0"/>
          <w:sz w:val="16"/>
          <w:szCs w:val="16"/>
        </w:rPr>
        <w:tab/>
        <w:t>530</w:t>
      </w:r>
      <w:r w:rsidRPr="008A2E5A">
        <w:rPr>
          <w:rFonts w:ascii="Times New Roman" w:hAnsi="Times New Roman"/>
          <w:color w:val="0070C0"/>
          <w:sz w:val="16"/>
          <w:szCs w:val="16"/>
        </w:rPr>
        <w:tab/>
        <w:t>895</w:t>
      </w:r>
    </w:p>
    <w:p w14:paraId="33361F4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w:t>
      </w:r>
      <w:r w:rsidRPr="008A2E5A">
        <w:rPr>
          <w:rFonts w:ascii="Times New Roman" w:hAnsi="Times New Roman"/>
          <w:color w:val="0070C0"/>
          <w:sz w:val="16"/>
          <w:szCs w:val="16"/>
        </w:rPr>
        <w:tab/>
        <w:t>ЛаГГ-З М-105П</w:t>
      </w:r>
      <w:r w:rsidRPr="008A2E5A">
        <w:rPr>
          <w:rFonts w:ascii="Times New Roman" w:hAnsi="Times New Roman"/>
          <w:color w:val="0070C0"/>
          <w:sz w:val="16"/>
          <w:szCs w:val="16"/>
        </w:rPr>
        <w:tab/>
        <w:t>1260</w:t>
      </w:r>
      <w:r w:rsidRPr="008A2E5A">
        <w:rPr>
          <w:rFonts w:ascii="Times New Roman" w:hAnsi="Times New Roman"/>
          <w:color w:val="0070C0"/>
          <w:sz w:val="16"/>
          <w:szCs w:val="16"/>
        </w:rPr>
        <w:tab/>
        <w:t>48</w:t>
      </w:r>
      <w:r w:rsidRPr="008A2E5A">
        <w:rPr>
          <w:rFonts w:ascii="Times New Roman" w:hAnsi="Times New Roman"/>
          <w:color w:val="0070C0"/>
          <w:sz w:val="16"/>
          <w:szCs w:val="16"/>
        </w:rPr>
        <w:tab/>
        <w:t>252</w:t>
      </w:r>
      <w:r w:rsidRPr="008A2E5A">
        <w:rPr>
          <w:rFonts w:ascii="Times New Roman" w:hAnsi="Times New Roman"/>
          <w:color w:val="0070C0"/>
          <w:sz w:val="16"/>
          <w:szCs w:val="16"/>
        </w:rPr>
        <w:tab/>
        <w:t>445</w:t>
      </w:r>
      <w:r w:rsidRPr="008A2E5A">
        <w:rPr>
          <w:rFonts w:ascii="Times New Roman" w:hAnsi="Times New Roman"/>
          <w:color w:val="0070C0"/>
          <w:sz w:val="16"/>
          <w:szCs w:val="16"/>
        </w:rPr>
        <w:tab/>
        <w:t>515</w:t>
      </w:r>
    </w:p>
    <w:p w14:paraId="3E5B788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истребителей:</w:t>
      </w:r>
      <w:r w:rsidRPr="008A2E5A">
        <w:rPr>
          <w:rFonts w:ascii="Times New Roman" w:hAnsi="Times New Roman"/>
          <w:color w:val="0070C0"/>
          <w:sz w:val="16"/>
          <w:szCs w:val="16"/>
        </w:rPr>
        <w:tab/>
      </w:r>
      <w:r w:rsidRPr="008A2E5A">
        <w:rPr>
          <w:rFonts w:ascii="Times New Roman" w:hAnsi="Times New Roman"/>
          <w:color w:val="0070C0"/>
          <w:sz w:val="16"/>
          <w:szCs w:val="16"/>
        </w:rPr>
        <w:tab/>
        <w:t>10 230</w:t>
      </w:r>
      <w:r w:rsidRPr="008A2E5A">
        <w:rPr>
          <w:rFonts w:ascii="Times New Roman" w:hAnsi="Times New Roman"/>
          <w:color w:val="0070C0"/>
          <w:sz w:val="16"/>
          <w:szCs w:val="16"/>
        </w:rPr>
        <w:tab/>
        <w:t>1660</w:t>
      </w:r>
      <w:r w:rsidRPr="008A2E5A">
        <w:rPr>
          <w:rFonts w:ascii="Times New Roman" w:hAnsi="Times New Roman"/>
          <w:color w:val="0070C0"/>
          <w:sz w:val="16"/>
          <w:szCs w:val="16"/>
        </w:rPr>
        <w:tab/>
        <w:t>2330</w:t>
      </w:r>
      <w:r w:rsidRPr="008A2E5A">
        <w:rPr>
          <w:rFonts w:ascii="Times New Roman" w:hAnsi="Times New Roman"/>
          <w:color w:val="0070C0"/>
          <w:sz w:val="16"/>
          <w:szCs w:val="16"/>
        </w:rPr>
        <w:tab/>
        <w:t>2836</w:t>
      </w:r>
      <w:r w:rsidRPr="008A2E5A">
        <w:rPr>
          <w:rFonts w:ascii="Times New Roman" w:hAnsi="Times New Roman"/>
          <w:color w:val="0070C0"/>
          <w:sz w:val="16"/>
          <w:szCs w:val="16"/>
        </w:rPr>
        <w:tab/>
        <w:t>3404</w:t>
      </w:r>
    </w:p>
    <w:p w14:paraId="562C4B1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Ил-2 АМ-38</w:t>
      </w:r>
      <w:r w:rsidRPr="008A2E5A">
        <w:rPr>
          <w:rFonts w:ascii="Times New Roman" w:hAnsi="Times New Roman"/>
          <w:color w:val="0070C0"/>
          <w:sz w:val="16"/>
          <w:szCs w:val="16"/>
        </w:rPr>
        <w:tab/>
        <w:t>3526</w:t>
      </w:r>
      <w:r w:rsidRPr="008A2E5A">
        <w:rPr>
          <w:rFonts w:ascii="Times New Roman" w:hAnsi="Times New Roman"/>
          <w:color w:val="0070C0"/>
          <w:sz w:val="16"/>
          <w:szCs w:val="16"/>
        </w:rPr>
        <w:tab/>
        <w:t>154</w:t>
      </w:r>
      <w:r w:rsidRPr="008A2E5A">
        <w:rPr>
          <w:rFonts w:ascii="Times New Roman" w:hAnsi="Times New Roman"/>
          <w:color w:val="0070C0"/>
          <w:sz w:val="16"/>
          <w:szCs w:val="16"/>
        </w:rPr>
        <w:tab/>
        <w:t>730</w:t>
      </w:r>
      <w:r w:rsidRPr="008A2E5A">
        <w:rPr>
          <w:rFonts w:ascii="Times New Roman" w:hAnsi="Times New Roman"/>
          <w:color w:val="0070C0"/>
          <w:sz w:val="16"/>
          <w:szCs w:val="16"/>
        </w:rPr>
        <w:tab/>
        <w:t>1170</w:t>
      </w:r>
      <w:r w:rsidRPr="008A2E5A">
        <w:rPr>
          <w:rFonts w:ascii="Times New Roman" w:hAnsi="Times New Roman"/>
          <w:color w:val="0070C0"/>
          <w:sz w:val="16"/>
          <w:szCs w:val="16"/>
        </w:rPr>
        <w:tab/>
        <w:t>1472</w:t>
      </w:r>
    </w:p>
    <w:p w14:paraId="7C49AAB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r w:rsidRPr="008A2E5A">
        <w:rPr>
          <w:rFonts w:ascii="Times New Roman" w:hAnsi="Times New Roman"/>
          <w:color w:val="0070C0"/>
          <w:sz w:val="16"/>
          <w:szCs w:val="16"/>
        </w:rPr>
        <w:tab/>
        <w:t>Ил-2 АМ-38</w:t>
      </w:r>
      <w:r w:rsidRPr="008A2E5A">
        <w:rPr>
          <w:rFonts w:ascii="Times New Roman" w:hAnsi="Times New Roman"/>
          <w:color w:val="0070C0"/>
          <w:sz w:val="16"/>
          <w:szCs w:val="16"/>
        </w:rPr>
        <w:tab/>
        <w:t>4376</w:t>
      </w:r>
      <w:r w:rsidRPr="008A2E5A">
        <w:rPr>
          <w:rFonts w:ascii="Times New Roman" w:hAnsi="Times New Roman"/>
          <w:color w:val="0070C0"/>
          <w:sz w:val="16"/>
          <w:szCs w:val="16"/>
        </w:rPr>
        <w:tab/>
        <w:t>594</w:t>
      </w:r>
      <w:r w:rsidRPr="008A2E5A">
        <w:rPr>
          <w:rFonts w:ascii="Times New Roman" w:hAnsi="Times New Roman"/>
          <w:color w:val="0070C0"/>
          <w:sz w:val="16"/>
          <w:szCs w:val="16"/>
        </w:rPr>
        <w:tab/>
        <w:t>1106</w:t>
      </w:r>
      <w:r w:rsidRPr="008A2E5A">
        <w:rPr>
          <w:rFonts w:ascii="Times New Roman" w:hAnsi="Times New Roman"/>
          <w:color w:val="0070C0"/>
          <w:sz w:val="16"/>
          <w:szCs w:val="16"/>
        </w:rPr>
        <w:tab/>
        <w:t>1246</w:t>
      </w:r>
      <w:r w:rsidRPr="008A2E5A">
        <w:rPr>
          <w:rFonts w:ascii="Times New Roman" w:hAnsi="Times New Roman"/>
          <w:color w:val="0070C0"/>
          <w:sz w:val="16"/>
          <w:szCs w:val="16"/>
        </w:rPr>
        <w:tab/>
        <w:t>1430</w:t>
      </w:r>
    </w:p>
    <w:p w14:paraId="3127F86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w:t>
      </w:r>
      <w:r w:rsidRPr="008A2E5A">
        <w:rPr>
          <w:rFonts w:ascii="Times New Roman" w:hAnsi="Times New Roman"/>
          <w:color w:val="0070C0"/>
          <w:sz w:val="16"/>
          <w:szCs w:val="16"/>
        </w:rPr>
        <w:tab/>
        <w:t>Ил-2 АМ-38</w:t>
      </w:r>
      <w:r w:rsidRPr="008A2E5A">
        <w:rPr>
          <w:rFonts w:ascii="Times New Roman" w:hAnsi="Times New Roman"/>
          <w:color w:val="0070C0"/>
          <w:sz w:val="16"/>
          <w:szCs w:val="16"/>
        </w:rPr>
        <w:tab/>
        <w:t>1015</w:t>
      </w:r>
      <w:r w:rsidRPr="008A2E5A">
        <w:rPr>
          <w:rFonts w:ascii="Times New Roman" w:hAnsi="Times New Roman"/>
          <w:color w:val="0070C0"/>
          <w:sz w:val="16"/>
          <w:szCs w:val="16"/>
        </w:rPr>
        <w:tab/>
        <w:t>7</w:t>
      </w:r>
      <w:r w:rsidRPr="008A2E5A">
        <w:rPr>
          <w:rFonts w:ascii="Times New Roman" w:hAnsi="Times New Roman"/>
          <w:color w:val="0070C0"/>
          <w:sz w:val="16"/>
          <w:szCs w:val="16"/>
        </w:rPr>
        <w:tab/>
        <w:t>97</w:t>
      </w:r>
      <w:r w:rsidRPr="008A2E5A">
        <w:rPr>
          <w:rFonts w:ascii="Times New Roman" w:hAnsi="Times New Roman"/>
          <w:color w:val="0070C0"/>
          <w:sz w:val="16"/>
          <w:szCs w:val="16"/>
        </w:rPr>
        <w:tab/>
        <w:t>350</w:t>
      </w:r>
      <w:r w:rsidRPr="008A2E5A">
        <w:rPr>
          <w:rFonts w:ascii="Times New Roman" w:hAnsi="Times New Roman"/>
          <w:color w:val="0070C0"/>
          <w:sz w:val="16"/>
          <w:szCs w:val="16"/>
        </w:rPr>
        <w:tab/>
        <w:t>561</w:t>
      </w:r>
    </w:p>
    <w:p w14:paraId="6570E52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381</w:t>
      </w:r>
      <w:r w:rsidRPr="008A2E5A">
        <w:rPr>
          <w:rFonts w:ascii="Times New Roman" w:hAnsi="Times New Roman"/>
          <w:color w:val="0070C0"/>
          <w:sz w:val="16"/>
          <w:szCs w:val="16"/>
        </w:rPr>
        <w:tab/>
        <w:t>Ил-2 АМ-38</w:t>
      </w:r>
      <w:r w:rsidRPr="008A2E5A">
        <w:rPr>
          <w:rFonts w:ascii="Times New Roman" w:hAnsi="Times New Roman"/>
          <w:color w:val="0070C0"/>
          <w:sz w:val="16"/>
          <w:szCs w:val="16"/>
        </w:rPr>
        <w:tab/>
        <w:t>122</w:t>
      </w:r>
      <w:r w:rsidRPr="008A2E5A">
        <w:rPr>
          <w:rFonts w:ascii="Times New Roman" w:hAnsi="Times New Roman"/>
          <w:color w:val="0070C0"/>
          <w:sz w:val="16"/>
          <w:szCs w:val="16"/>
        </w:rPr>
        <w:tab/>
        <w:t>66</w:t>
      </w:r>
      <w:r w:rsidRPr="008A2E5A">
        <w:rPr>
          <w:rFonts w:ascii="Times New Roman" w:hAnsi="Times New Roman"/>
          <w:color w:val="0070C0"/>
          <w:sz w:val="16"/>
          <w:szCs w:val="16"/>
        </w:rPr>
        <w:tab/>
        <w:t>56</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714C8D0"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381</w:t>
      </w:r>
      <w:r w:rsidRPr="008A2E5A">
        <w:rPr>
          <w:rFonts w:ascii="Times New Roman" w:hAnsi="Times New Roman"/>
          <w:color w:val="0070C0"/>
          <w:sz w:val="16"/>
          <w:szCs w:val="16"/>
        </w:rPr>
        <w:tab/>
        <w:t>Ил-2 М-82</w:t>
      </w:r>
      <w:r w:rsidRPr="008A2E5A">
        <w:rPr>
          <w:rFonts w:ascii="Times New Roman" w:hAnsi="Times New Roman"/>
          <w:color w:val="0070C0"/>
          <w:sz w:val="16"/>
          <w:szCs w:val="16"/>
        </w:rPr>
        <w:tab/>
        <w:t>678</w:t>
      </w:r>
      <w:r w:rsidRPr="008A2E5A">
        <w:rPr>
          <w:rFonts w:ascii="Times New Roman" w:hAnsi="Times New Roman"/>
          <w:color w:val="0070C0"/>
          <w:sz w:val="16"/>
          <w:szCs w:val="16"/>
        </w:rPr>
        <w:tab/>
      </w:r>
      <w:r w:rsidRPr="008A2E5A">
        <w:rPr>
          <w:rFonts w:ascii="Times New Roman" w:hAnsi="Times New Roman"/>
          <w:color w:val="0070C0"/>
          <w:sz w:val="16"/>
          <w:szCs w:val="16"/>
        </w:rPr>
        <w:tab/>
        <w:t>112</w:t>
      </w:r>
      <w:r w:rsidRPr="008A2E5A">
        <w:rPr>
          <w:rFonts w:ascii="Times New Roman" w:hAnsi="Times New Roman"/>
          <w:color w:val="0070C0"/>
          <w:sz w:val="16"/>
          <w:szCs w:val="16"/>
        </w:rPr>
        <w:tab/>
        <w:t>258</w:t>
      </w:r>
      <w:r w:rsidRPr="008A2E5A">
        <w:rPr>
          <w:rFonts w:ascii="Times New Roman" w:hAnsi="Times New Roman"/>
          <w:color w:val="0070C0"/>
          <w:sz w:val="16"/>
          <w:szCs w:val="16"/>
        </w:rPr>
        <w:tab/>
        <w:t>308</w:t>
      </w:r>
    </w:p>
    <w:p w14:paraId="3368A8C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штурмовиков:</w:t>
      </w:r>
      <w:r w:rsidRPr="008A2E5A">
        <w:rPr>
          <w:rFonts w:ascii="Times New Roman" w:hAnsi="Times New Roman"/>
          <w:color w:val="0070C0"/>
          <w:sz w:val="16"/>
          <w:szCs w:val="16"/>
        </w:rPr>
        <w:tab/>
      </w:r>
      <w:r w:rsidRPr="008A2E5A">
        <w:rPr>
          <w:rFonts w:ascii="Times New Roman" w:hAnsi="Times New Roman"/>
          <w:color w:val="0070C0"/>
          <w:sz w:val="16"/>
          <w:szCs w:val="16"/>
        </w:rPr>
        <w:tab/>
        <w:t>9717</w:t>
      </w:r>
      <w:r w:rsidRPr="008A2E5A">
        <w:rPr>
          <w:rFonts w:ascii="Times New Roman" w:hAnsi="Times New Roman"/>
          <w:color w:val="0070C0"/>
          <w:sz w:val="16"/>
          <w:szCs w:val="16"/>
        </w:rPr>
        <w:tab/>
        <w:t>821</w:t>
      </w:r>
      <w:r w:rsidRPr="008A2E5A">
        <w:rPr>
          <w:rFonts w:ascii="Times New Roman" w:hAnsi="Times New Roman"/>
          <w:color w:val="0070C0"/>
          <w:sz w:val="16"/>
          <w:szCs w:val="16"/>
        </w:rPr>
        <w:tab/>
        <w:t>2101</w:t>
      </w:r>
      <w:r w:rsidRPr="008A2E5A">
        <w:rPr>
          <w:rFonts w:ascii="Times New Roman" w:hAnsi="Times New Roman"/>
          <w:color w:val="0070C0"/>
          <w:sz w:val="16"/>
          <w:szCs w:val="16"/>
        </w:rPr>
        <w:tab/>
        <w:t>3024</w:t>
      </w:r>
      <w:r w:rsidRPr="008A2E5A">
        <w:rPr>
          <w:rFonts w:ascii="Times New Roman" w:hAnsi="Times New Roman"/>
          <w:color w:val="0070C0"/>
          <w:sz w:val="16"/>
          <w:szCs w:val="16"/>
        </w:rPr>
        <w:tab/>
        <w:t>3771</w:t>
      </w:r>
    </w:p>
    <w:p w14:paraId="511EE21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r w:rsidRPr="008A2E5A">
        <w:rPr>
          <w:rFonts w:ascii="Times New Roman" w:hAnsi="Times New Roman"/>
          <w:color w:val="0070C0"/>
          <w:sz w:val="16"/>
          <w:szCs w:val="16"/>
        </w:rPr>
        <w:tab/>
        <w:t>Пе-2 2М-105Р</w:t>
      </w:r>
      <w:r w:rsidRPr="008A2E5A">
        <w:rPr>
          <w:rFonts w:ascii="Times New Roman" w:hAnsi="Times New Roman"/>
          <w:color w:val="0070C0"/>
          <w:sz w:val="16"/>
          <w:szCs w:val="16"/>
        </w:rPr>
        <w:tab/>
        <w:t>2522</w:t>
      </w:r>
      <w:r w:rsidRPr="008A2E5A">
        <w:rPr>
          <w:rFonts w:ascii="Times New Roman" w:hAnsi="Times New Roman"/>
          <w:color w:val="0070C0"/>
          <w:sz w:val="16"/>
          <w:szCs w:val="16"/>
        </w:rPr>
        <w:tab/>
        <w:t>267</w:t>
      </w:r>
      <w:r w:rsidRPr="008A2E5A">
        <w:rPr>
          <w:rFonts w:ascii="Times New Roman" w:hAnsi="Times New Roman"/>
          <w:color w:val="0070C0"/>
          <w:sz w:val="16"/>
          <w:szCs w:val="16"/>
        </w:rPr>
        <w:tab/>
        <w:t>600</w:t>
      </w:r>
      <w:r w:rsidRPr="008A2E5A">
        <w:rPr>
          <w:rFonts w:ascii="Times New Roman" w:hAnsi="Times New Roman"/>
          <w:color w:val="0070C0"/>
          <w:sz w:val="16"/>
          <w:szCs w:val="16"/>
        </w:rPr>
        <w:tab/>
        <w:t>776</w:t>
      </w:r>
      <w:r w:rsidRPr="008A2E5A">
        <w:rPr>
          <w:rFonts w:ascii="Times New Roman" w:hAnsi="Times New Roman"/>
          <w:color w:val="0070C0"/>
          <w:sz w:val="16"/>
          <w:szCs w:val="16"/>
        </w:rPr>
        <w:tab/>
        <w:t>879</w:t>
      </w:r>
    </w:p>
    <w:p w14:paraId="28D51887"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w:t>
      </w:r>
      <w:r w:rsidRPr="008A2E5A">
        <w:rPr>
          <w:rFonts w:ascii="Times New Roman" w:hAnsi="Times New Roman"/>
          <w:color w:val="0070C0"/>
          <w:sz w:val="16"/>
          <w:szCs w:val="16"/>
        </w:rPr>
        <w:tab/>
        <w:t>Пе-2 2М-105Р</w:t>
      </w:r>
      <w:r w:rsidRPr="008A2E5A">
        <w:rPr>
          <w:rFonts w:ascii="Times New Roman" w:hAnsi="Times New Roman"/>
          <w:color w:val="0070C0"/>
          <w:sz w:val="16"/>
          <w:szCs w:val="16"/>
        </w:rPr>
        <w:tab/>
        <w:t>1720</w:t>
      </w:r>
      <w:r w:rsidRPr="008A2E5A">
        <w:rPr>
          <w:rFonts w:ascii="Times New Roman" w:hAnsi="Times New Roman"/>
          <w:color w:val="0070C0"/>
          <w:sz w:val="16"/>
          <w:szCs w:val="16"/>
        </w:rPr>
        <w:tab/>
        <w:t>204</w:t>
      </w:r>
      <w:r w:rsidRPr="008A2E5A">
        <w:rPr>
          <w:rFonts w:ascii="Times New Roman" w:hAnsi="Times New Roman"/>
          <w:color w:val="0070C0"/>
          <w:sz w:val="16"/>
          <w:szCs w:val="16"/>
        </w:rPr>
        <w:tab/>
        <w:t>415</w:t>
      </w:r>
      <w:r w:rsidRPr="008A2E5A">
        <w:rPr>
          <w:rFonts w:ascii="Times New Roman" w:hAnsi="Times New Roman"/>
          <w:color w:val="0070C0"/>
          <w:sz w:val="16"/>
          <w:szCs w:val="16"/>
        </w:rPr>
        <w:tab/>
        <w:t>516</w:t>
      </w:r>
      <w:r w:rsidRPr="008A2E5A">
        <w:rPr>
          <w:rFonts w:ascii="Times New Roman" w:hAnsi="Times New Roman"/>
          <w:color w:val="0070C0"/>
          <w:sz w:val="16"/>
          <w:szCs w:val="16"/>
        </w:rPr>
        <w:tab/>
        <w:t>585</w:t>
      </w:r>
    </w:p>
    <w:p w14:paraId="121AAA0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w:t>
      </w:r>
      <w:r w:rsidRPr="008A2E5A">
        <w:rPr>
          <w:rFonts w:ascii="Times New Roman" w:hAnsi="Times New Roman"/>
          <w:color w:val="0070C0"/>
          <w:sz w:val="16"/>
          <w:szCs w:val="16"/>
        </w:rPr>
        <w:tab/>
        <w:t>Ил-4 2М-88</w:t>
      </w:r>
      <w:r w:rsidRPr="008A2E5A">
        <w:rPr>
          <w:rFonts w:ascii="Times New Roman" w:hAnsi="Times New Roman"/>
          <w:color w:val="0070C0"/>
          <w:sz w:val="16"/>
          <w:szCs w:val="16"/>
        </w:rPr>
        <w:tab/>
        <w:t>340</w:t>
      </w:r>
      <w:r w:rsidRPr="008A2E5A">
        <w:rPr>
          <w:rFonts w:ascii="Times New Roman" w:hAnsi="Times New Roman"/>
          <w:color w:val="0070C0"/>
          <w:sz w:val="16"/>
          <w:szCs w:val="16"/>
        </w:rPr>
        <w:tab/>
        <w:t>| - j</w:t>
      </w:r>
      <w:r w:rsidRPr="008A2E5A">
        <w:rPr>
          <w:rFonts w:ascii="Times New Roman" w:hAnsi="Times New Roman"/>
          <w:color w:val="0070C0"/>
          <w:sz w:val="16"/>
          <w:szCs w:val="16"/>
        </w:rPr>
        <w:tab/>
        <w:t>5</w:t>
      </w:r>
      <w:r w:rsidRPr="008A2E5A">
        <w:rPr>
          <w:rFonts w:ascii="Times New Roman" w:hAnsi="Times New Roman"/>
          <w:color w:val="0070C0"/>
          <w:sz w:val="16"/>
          <w:szCs w:val="16"/>
        </w:rPr>
        <w:tab/>
        <w:t>70</w:t>
      </w:r>
      <w:r w:rsidRPr="008A2E5A">
        <w:rPr>
          <w:rFonts w:ascii="Times New Roman" w:hAnsi="Times New Roman"/>
          <w:color w:val="0070C0"/>
          <w:sz w:val="16"/>
          <w:szCs w:val="16"/>
        </w:rPr>
        <w:tab/>
        <w:t>265</w:t>
      </w:r>
    </w:p>
    <w:p w14:paraId="23FA27E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126</w:t>
      </w:r>
      <w:r w:rsidRPr="008A2E5A">
        <w:rPr>
          <w:rFonts w:ascii="Times New Roman" w:hAnsi="Times New Roman"/>
          <w:color w:val="0070C0"/>
          <w:sz w:val="16"/>
          <w:szCs w:val="16"/>
        </w:rPr>
        <w:tab/>
        <w:t>Ил-4 2М-88</w:t>
      </w:r>
      <w:r w:rsidRPr="008A2E5A">
        <w:rPr>
          <w:rFonts w:ascii="Times New Roman" w:hAnsi="Times New Roman"/>
          <w:color w:val="0070C0"/>
          <w:sz w:val="16"/>
          <w:szCs w:val="16"/>
        </w:rPr>
        <w:tab/>
        <w:t>859</w:t>
      </w:r>
      <w:r w:rsidRPr="008A2E5A">
        <w:rPr>
          <w:rFonts w:ascii="Times New Roman" w:hAnsi="Times New Roman"/>
          <w:color w:val="0070C0"/>
          <w:sz w:val="16"/>
          <w:szCs w:val="16"/>
        </w:rPr>
        <w:tab/>
        <w:t>164</w:t>
      </w:r>
      <w:r w:rsidRPr="008A2E5A">
        <w:rPr>
          <w:rFonts w:ascii="Times New Roman" w:hAnsi="Times New Roman"/>
          <w:color w:val="0070C0"/>
          <w:sz w:val="16"/>
          <w:szCs w:val="16"/>
        </w:rPr>
        <w:tab/>
        <w:t>182</w:t>
      </w:r>
      <w:r w:rsidRPr="008A2E5A">
        <w:rPr>
          <w:rFonts w:ascii="Times New Roman" w:hAnsi="Times New Roman"/>
          <w:color w:val="0070C0"/>
          <w:sz w:val="16"/>
          <w:szCs w:val="16"/>
        </w:rPr>
        <w:tab/>
        <w:t>258</w:t>
      </w:r>
      <w:r w:rsidRPr="008A2E5A">
        <w:rPr>
          <w:rFonts w:ascii="Times New Roman" w:hAnsi="Times New Roman"/>
          <w:color w:val="0070C0"/>
          <w:sz w:val="16"/>
          <w:szCs w:val="16"/>
        </w:rPr>
        <w:tab/>
        <w:t>255</w:t>
      </w:r>
    </w:p>
    <w:p w14:paraId="4ED9ED2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166</w:t>
      </w:r>
      <w:r w:rsidRPr="008A2E5A">
        <w:rPr>
          <w:rFonts w:ascii="Times New Roman" w:hAnsi="Times New Roman"/>
          <w:color w:val="0070C0"/>
          <w:sz w:val="16"/>
          <w:szCs w:val="16"/>
        </w:rPr>
        <w:tab/>
        <w:t>Ту-2 2М-82</w:t>
      </w:r>
      <w:r w:rsidRPr="008A2E5A">
        <w:rPr>
          <w:rFonts w:ascii="Times New Roman" w:hAnsi="Times New Roman"/>
          <w:color w:val="0070C0"/>
          <w:sz w:val="16"/>
          <w:szCs w:val="16"/>
        </w:rPr>
        <w:tab/>
        <w:t>295</w:t>
      </w:r>
      <w:r w:rsidRPr="008A2E5A">
        <w:rPr>
          <w:rFonts w:ascii="Times New Roman" w:hAnsi="Times New Roman"/>
          <w:color w:val="0070C0"/>
          <w:sz w:val="16"/>
          <w:szCs w:val="16"/>
        </w:rPr>
        <w:tab/>
        <w:t>5</w:t>
      </w:r>
      <w:r w:rsidRPr="008A2E5A">
        <w:rPr>
          <w:rFonts w:ascii="Times New Roman" w:hAnsi="Times New Roman"/>
          <w:color w:val="0070C0"/>
          <w:sz w:val="16"/>
          <w:szCs w:val="16"/>
        </w:rPr>
        <w:tab/>
        <w:t>18</w:t>
      </w:r>
      <w:r w:rsidRPr="008A2E5A">
        <w:rPr>
          <w:rFonts w:ascii="Times New Roman" w:hAnsi="Times New Roman"/>
          <w:color w:val="0070C0"/>
          <w:sz w:val="16"/>
          <w:szCs w:val="16"/>
        </w:rPr>
        <w:tab/>
        <w:t>81</w:t>
      </w:r>
      <w:r w:rsidRPr="008A2E5A">
        <w:rPr>
          <w:rFonts w:ascii="Times New Roman" w:hAnsi="Times New Roman"/>
          <w:color w:val="0070C0"/>
          <w:sz w:val="16"/>
          <w:szCs w:val="16"/>
        </w:rPr>
        <w:tab/>
        <w:t>191</w:t>
      </w:r>
    </w:p>
    <w:p w14:paraId="196C1DB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бомбардировщиков:</w:t>
      </w:r>
      <w:r w:rsidRPr="008A2E5A">
        <w:rPr>
          <w:rFonts w:ascii="Times New Roman" w:hAnsi="Times New Roman"/>
          <w:color w:val="0070C0"/>
          <w:sz w:val="16"/>
          <w:szCs w:val="16"/>
        </w:rPr>
        <w:tab/>
      </w:r>
      <w:r w:rsidRPr="008A2E5A">
        <w:rPr>
          <w:rFonts w:ascii="Times New Roman" w:hAnsi="Times New Roman"/>
          <w:color w:val="0070C0"/>
          <w:sz w:val="16"/>
          <w:szCs w:val="16"/>
        </w:rPr>
        <w:tab/>
        <w:t>5736</w:t>
      </w:r>
      <w:r w:rsidRPr="008A2E5A">
        <w:rPr>
          <w:rFonts w:ascii="Times New Roman" w:hAnsi="Times New Roman"/>
          <w:color w:val="0070C0"/>
          <w:sz w:val="16"/>
          <w:szCs w:val="16"/>
        </w:rPr>
        <w:tab/>
        <w:t>640</w:t>
      </w:r>
      <w:r w:rsidRPr="008A2E5A">
        <w:rPr>
          <w:rFonts w:ascii="Times New Roman" w:hAnsi="Times New Roman"/>
          <w:color w:val="0070C0"/>
          <w:sz w:val="16"/>
          <w:szCs w:val="16"/>
        </w:rPr>
        <w:tab/>
        <w:t>1220</w:t>
      </w:r>
      <w:r w:rsidRPr="008A2E5A">
        <w:rPr>
          <w:rFonts w:ascii="Times New Roman" w:hAnsi="Times New Roman"/>
          <w:color w:val="0070C0"/>
          <w:sz w:val="16"/>
          <w:szCs w:val="16"/>
        </w:rPr>
        <w:tab/>
        <w:t>1701</w:t>
      </w:r>
      <w:r w:rsidRPr="008A2E5A">
        <w:rPr>
          <w:rFonts w:ascii="Times New Roman" w:hAnsi="Times New Roman"/>
          <w:color w:val="0070C0"/>
          <w:sz w:val="16"/>
          <w:szCs w:val="16"/>
        </w:rPr>
        <w:tab/>
        <w:t>2175</w:t>
      </w:r>
    </w:p>
    <w:p w14:paraId="63BD4E9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боевых:</w:t>
      </w:r>
      <w:r w:rsidRPr="008A2E5A">
        <w:rPr>
          <w:rFonts w:ascii="Times New Roman" w:hAnsi="Times New Roman"/>
          <w:color w:val="0070C0"/>
          <w:sz w:val="16"/>
          <w:szCs w:val="16"/>
        </w:rPr>
        <w:tab/>
      </w:r>
      <w:r w:rsidRPr="008A2E5A">
        <w:rPr>
          <w:rFonts w:ascii="Times New Roman" w:hAnsi="Times New Roman"/>
          <w:color w:val="0070C0"/>
          <w:sz w:val="16"/>
          <w:szCs w:val="16"/>
        </w:rPr>
        <w:tab/>
        <w:t>25 683</w:t>
      </w:r>
      <w:r w:rsidRPr="008A2E5A">
        <w:rPr>
          <w:rFonts w:ascii="Times New Roman" w:hAnsi="Times New Roman"/>
          <w:color w:val="0070C0"/>
          <w:sz w:val="16"/>
          <w:szCs w:val="16"/>
        </w:rPr>
        <w:tab/>
        <w:t>3121</w:t>
      </w:r>
      <w:r w:rsidRPr="008A2E5A">
        <w:rPr>
          <w:rFonts w:ascii="Times New Roman" w:hAnsi="Times New Roman"/>
          <w:color w:val="0070C0"/>
          <w:sz w:val="16"/>
          <w:szCs w:val="16"/>
        </w:rPr>
        <w:tab/>
        <w:t>5651</w:t>
      </w:r>
      <w:r w:rsidRPr="008A2E5A">
        <w:rPr>
          <w:rFonts w:ascii="Times New Roman" w:hAnsi="Times New Roman"/>
          <w:color w:val="0070C0"/>
          <w:sz w:val="16"/>
          <w:szCs w:val="16"/>
        </w:rPr>
        <w:tab/>
        <w:t>7561</w:t>
      </w:r>
      <w:r w:rsidRPr="008A2E5A">
        <w:rPr>
          <w:rFonts w:ascii="Times New Roman" w:hAnsi="Times New Roman"/>
          <w:color w:val="0070C0"/>
          <w:sz w:val="16"/>
          <w:szCs w:val="16"/>
        </w:rPr>
        <w:tab/>
        <w:t>9350</w:t>
      </w:r>
    </w:p>
    <w:p w14:paraId="707E12B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84</w:t>
      </w:r>
      <w:r w:rsidRPr="008A2E5A">
        <w:rPr>
          <w:rFonts w:ascii="Times New Roman" w:hAnsi="Times New Roman"/>
          <w:color w:val="0070C0"/>
          <w:sz w:val="16"/>
          <w:szCs w:val="16"/>
        </w:rPr>
        <w:tab/>
        <w:t>ПС-84 2М-62ИР</w:t>
      </w:r>
      <w:r w:rsidRPr="008A2E5A">
        <w:rPr>
          <w:rFonts w:ascii="Times New Roman" w:hAnsi="Times New Roman"/>
          <w:color w:val="0070C0"/>
          <w:sz w:val="16"/>
          <w:szCs w:val="16"/>
        </w:rPr>
        <w:tab/>
        <w:t>563</w:t>
      </w:r>
      <w:r w:rsidRPr="008A2E5A">
        <w:rPr>
          <w:rFonts w:ascii="Times New Roman" w:hAnsi="Times New Roman"/>
          <w:color w:val="0070C0"/>
          <w:sz w:val="16"/>
          <w:szCs w:val="16"/>
        </w:rPr>
        <w:tab/>
        <w:t>53</w:t>
      </w:r>
      <w:r w:rsidRPr="008A2E5A">
        <w:rPr>
          <w:rFonts w:ascii="Times New Roman" w:hAnsi="Times New Roman"/>
          <w:color w:val="0070C0"/>
          <w:sz w:val="16"/>
          <w:szCs w:val="16"/>
        </w:rPr>
        <w:tab/>
        <w:t>150</w:t>
      </w:r>
      <w:r w:rsidRPr="008A2E5A">
        <w:rPr>
          <w:rFonts w:ascii="Times New Roman" w:hAnsi="Times New Roman"/>
          <w:color w:val="0070C0"/>
          <w:sz w:val="16"/>
          <w:szCs w:val="16"/>
        </w:rPr>
        <w:tab/>
        <w:t>180</w:t>
      </w:r>
      <w:r w:rsidRPr="008A2E5A">
        <w:rPr>
          <w:rFonts w:ascii="Times New Roman" w:hAnsi="Times New Roman"/>
          <w:color w:val="0070C0"/>
          <w:sz w:val="16"/>
          <w:szCs w:val="16"/>
        </w:rPr>
        <w:tab/>
        <w:t>180</w:t>
      </w:r>
    </w:p>
    <w:p w14:paraId="2FA1A27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транспортных:</w:t>
      </w:r>
      <w:r w:rsidRPr="008A2E5A">
        <w:rPr>
          <w:rFonts w:ascii="Times New Roman" w:hAnsi="Times New Roman"/>
          <w:color w:val="0070C0"/>
          <w:sz w:val="16"/>
          <w:szCs w:val="16"/>
        </w:rPr>
        <w:tab/>
      </w:r>
      <w:r w:rsidRPr="008A2E5A">
        <w:rPr>
          <w:rFonts w:ascii="Times New Roman" w:hAnsi="Times New Roman"/>
          <w:color w:val="0070C0"/>
          <w:sz w:val="16"/>
          <w:szCs w:val="16"/>
        </w:rPr>
        <w:tab/>
        <w:t>563</w:t>
      </w:r>
      <w:r w:rsidRPr="008A2E5A">
        <w:rPr>
          <w:rFonts w:ascii="Times New Roman" w:hAnsi="Times New Roman"/>
          <w:color w:val="0070C0"/>
          <w:sz w:val="16"/>
          <w:szCs w:val="16"/>
        </w:rPr>
        <w:tab/>
        <w:t>53</w:t>
      </w:r>
      <w:r w:rsidRPr="008A2E5A">
        <w:rPr>
          <w:rFonts w:ascii="Times New Roman" w:hAnsi="Times New Roman"/>
          <w:color w:val="0070C0"/>
          <w:sz w:val="16"/>
          <w:szCs w:val="16"/>
        </w:rPr>
        <w:tab/>
        <w:t>150</w:t>
      </w:r>
      <w:r w:rsidRPr="008A2E5A">
        <w:rPr>
          <w:rFonts w:ascii="Times New Roman" w:hAnsi="Times New Roman"/>
          <w:color w:val="0070C0"/>
          <w:sz w:val="16"/>
          <w:szCs w:val="16"/>
        </w:rPr>
        <w:tab/>
        <w:t>180</w:t>
      </w:r>
      <w:r w:rsidRPr="008A2E5A">
        <w:rPr>
          <w:rFonts w:ascii="Times New Roman" w:hAnsi="Times New Roman"/>
          <w:color w:val="0070C0"/>
          <w:sz w:val="16"/>
          <w:szCs w:val="16"/>
        </w:rPr>
        <w:tab/>
        <w:t>180</w:t>
      </w:r>
    </w:p>
    <w:p w14:paraId="66E3A0B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387</w:t>
      </w:r>
      <w:r w:rsidRPr="008A2E5A">
        <w:rPr>
          <w:rFonts w:ascii="Times New Roman" w:hAnsi="Times New Roman"/>
          <w:color w:val="0070C0"/>
          <w:sz w:val="16"/>
          <w:szCs w:val="16"/>
        </w:rPr>
        <w:tab/>
        <w:t>У-2 М-11</w:t>
      </w:r>
      <w:r w:rsidRPr="008A2E5A">
        <w:rPr>
          <w:rFonts w:ascii="Times New Roman" w:hAnsi="Times New Roman"/>
          <w:color w:val="0070C0"/>
          <w:sz w:val="16"/>
          <w:szCs w:val="16"/>
        </w:rPr>
        <w:tab/>
        <w:t>2225</w:t>
      </w:r>
      <w:r w:rsidRPr="008A2E5A">
        <w:rPr>
          <w:rFonts w:ascii="Times New Roman" w:hAnsi="Times New Roman"/>
          <w:color w:val="0070C0"/>
          <w:sz w:val="16"/>
          <w:szCs w:val="16"/>
        </w:rPr>
        <w:tab/>
        <w:t>269</w:t>
      </w:r>
      <w:r w:rsidRPr="008A2E5A">
        <w:rPr>
          <w:rFonts w:ascii="Times New Roman" w:hAnsi="Times New Roman"/>
          <w:color w:val="0070C0"/>
          <w:sz w:val="16"/>
          <w:szCs w:val="16"/>
        </w:rPr>
        <w:tab/>
        <w:t>646</w:t>
      </w:r>
      <w:r w:rsidRPr="008A2E5A">
        <w:rPr>
          <w:rFonts w:ascii="Times New Roman" w:hAnsi="Times New Roman"/>
          <w:color w:val="0070C0"/>
          <w:sz w:val="16"/>
          <w:szCs w:val="16"/>
        </w:rPr>
        <w:tab/>
        <w:t>630</w:t>
      </w:r>
      <w:r w:rsidRPr="008A2E5A">
        <w:rPr>
          <w:rFonts w:ascii="Times New Roman" w:hAnsi="Times New Roman"/>
          <w:color w:val="0070C0"/>
          <w:sz w:val="16"/>
          <w:szCs w:val="16"/>
        </w:rPr>
        <w:tab/>
        <w:t>680</w:t>
      </w:r>
    </w:p>
    <w:p w14:paraId="4598E691"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116</w:t>
      </w:r>
      <w:r w:rsidRPr="008A2E5A">
        <w:rPr>
          <w:rFonts w:ascii="Times New Roman" w:hAnsi="Times New Roman"/>
          <w:color w:val="0070C0"/>
          <w:sz w:val="16"/>
          <w:szCs w:val="16"/>
        </w:rPr>
        <w:tab/>
        <w:t>УТ-2 М-11</w:t>
      </w:r>
      <w:r w:rsidRPr="008A2E5A">
        <w:rPr>
          <w:rFonts w:ascii="Times New Roman" w:hAnsi="Times New Roman"/>
          <w:color w:val="0070C0"/>
          <w:sz w:val="16"/>
          <w:szCs w:val="16"/>
        </w:rPr>
        <w:tab/>
        <w:t>924</w:t>
      </w:r>
      <w:r w:rsidRPr="008A2E5A">
        <w:rPr>
          <w:rFonts w:ascii="Times New Roman" w:hAnsi="Times New Roman"/>
          <w:color w:val="0070C0"/>
          <w:sz w:val="16"/>
          <w:szCs w:val="16"/>
        </w:rPr>
        <w:tab/>
      </w:r>
      <w:r w:rsidRPr="008A2E5A">
        <w:rPr>
          <w:rFonts w:ascii="Times New Roman" w:hAnsi="Times New Roman"/>
          <w:color w:val="0070C0"/>
          <w:sz w:val="16"/>
          <w:szCs w:val="16"/>
        </w:rPr>
        <w:tab/>
        <w:t>284</w:t>
      </w:r>
      <w:r w:rsidRPr="008A2E5A">
        <w:rPr>
          <w:rFonts w:ascii="Times New Roman" w:hAnsi="Times New Roman"/>
          <w:color w:val="0070C0"/>
          <w:sz w:val="16"/>
          <w:szCs w:val="16"/>
        </w:rPr>
        <w:tab/>
        <w:t>300</w:t>
      </w:r>
      <w:r w:rsidRPr="008A2E5A">
        <w:rPr>
          <w:rFonts w:ascii="Times New Roman" w:hAnsi="Times New Roman"/>
          <w:color w:val="0070C0"/>
          <w:sz w:val="16"/>
          <w:szCs w:val="16"/>
        </w:rPr>
        <w:tab/>
        <w:t>340</w:t>
      </w:r>
    </w:p>
    <w:p w14:paraId="15D225F7"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47</w:t>
      </w:r>
      <w:r w:rsidRPr="008A2E5A">
        <w:rPr>
          <w:rFonts w:ascii="Times New Roman" w:hAnsi="Times New Roman"/>
          <w:color w:val="0070C0"/>
          <w:sz w:val="16"/>
          <w:szCs w:val="16"/>
        </w:rPr>
        <w:tab/>
        <w:t>УТ-2 М-11</w:t>
      </w:r>
      <w:r w:rsidRPr="008A2E5A">
        <w:rPr>
          <w:rFonts w:ascii="Times New Roman" w:hAnsi="Times New Roman"/>
          <w:color w:val="0070C0"/>
          <w:sz w:val="16"/>
          <w:szCs w:val="16"/>
        </w:rPr>
        <w:tab/>
        <w:t>740</w:t>
      </w:r>
      <w:r w:rsidRPr="008A2E5A">
        <w:rPr>
          <w:rFonts w:ascii="Times New Roman" w:hAnsi="Times New Roman"/>
          <w:color w:val="0070C0"/>
          <w:sz w:val="16"/>
          <w:szCs w:val="16"/>
        </w:rPr>
        <w:tab/>
        <w:t>79</w:t>
      </w:r>
      <w:r w:rsidRPr="008A2E5A">
        <w:rPr>
          <w:rFonts w:ascii="Times New Roman" w:hAnsi="Times New Roman"/>
          <w:color w:val="0070C0"/>
          <w:sz w:val="16"/>
          <w:szCs w:val="16"/>
        </w:rPr>
        <w:tab/>
        <w:t>191</w:t>
      </w:r>
      <w:r w:rsidRPr="008A2E5A">
        <w:rPr>
          <w:rFonts w:ascii="Times New Roman" w:hAnsi="Times New Roman"/>
          <w:color w:val="0070C0"/>
          <w:sz w:val="16"/>
          <w:szCs w:val="16"/>
        </w:rPr>
        <w:tab/>
        <w:t>214</w:t>
      </w:r>
      <w:r w:rsidRPr="008A2E5A">
        <w:rPr>
          <w:rFonts w:ascii="Times New Roman" w:hAnsi="Times New Roman"/>
          <w:color w:val="0070C0"/>
          <w:sz w:val="16"/>
          <w:szCs w:val="16"/>
        </w:rPr>
        <w:tab/>
        <w:t>256</w:t>
      </w:r>
    </w:p>
    <w:p w14:paraId="3A072DA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учебных:</w:t>
      </w:r>
      <w:r w:rsidRPr="008A2E5A">
        <w:rPr>
          <w:rFonts w:ascii="Times New Roman" w:hAnsi="Times New Roman"/>
          <w:color w:val="0070C0"/>
          <w:sz w:val="16"/>
          <w:szCs w:val="16"/>
        </w:rPr>
        <w:tab/>
      </w:r>
      <w:r w:rsidRPr="008A2E5A">
        <w:rPr>
          <w:rFonts w:ascii="Times New Roman" w:hAnsi="Times New Roman"/>
          <w:color w:val="0070C0"/>
          <w:sz w:val="16"/>
          <w:szCs w:val="16"/>
        </w:rPr>
        <w:tab/>
        <w:t>3889</w:t>
      </w:r>
      <w:r w:rsidRPr="008A2E5A">
        <w:rPr>
          <w:rFonts w:ascii="Times New Roman" w:hAnsi="Times New Roman"/>
          <w:color w:val="0070C0"/>
          <w:sz w:val="16"/>
          <w:szCs w:val="16"/>
        </w:rPr>
        <w:tab/>
        <w:t>348</w:t>
      </w:r>
      <w:r w:rsidRPr="008A2E5A">
        <w:rPr>
          <w:rFonts w:ascii="Times New Roman" w:hAnsi="Times New Roman"/>
          <w:color w:val="0070C0"/>
          <w:sz w:val="16"/>
          <w:szCs w:val="16"/>
        </w:rPr>
        <w:tab/>
        <w:t>1121</w:t>
      </w:r>
      <w:r w:rsidRPr="008A2E5A">
        <w:rPr>
          <w:rFonts w:ascii="Times New Roman" w:hAnsi="Times New Roman"/>
          <w:color w:val="0070C0"/>
          <w:sz w:val="16"/>
          <w:szCs w:val="16"/>
        </w:rPr>
        <w:tab/>
        <w:t>1144</w:t>
      </w:r>
      <w:r w:rsidRPr="008A2E5A">
        <w:rPr>
          <w:rFonts w:ascii="Times New Roman" w:hAnsi="Times New Roman"/>
          <w:color w:val="0070C0"/>
          <w:sz w:val="16"/>
          <w:szCs w:val="16"/>
        </w:rPr>
        <w:tab/>
        <w:t>1276</w:t>
      </w:r>
    </w:p>
    <w:p w14:paraId="4070217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самолетов</w:t>
      </w:r>
      <w:r w:rsidRPr="008A2E5A">
        <w:rPr>
          <w:rFonts w:ascii="Times New Roman" w:hAnsi="Times New Roman"/>
          <w:color w:val="0070C0"/>
          <w:sz w:val="16"/>
          <w:szCs w:val="16"/>
        </w:rPr>
        <w:tab/>
      </w:r>
      <w:r w:rsidRPr="008A2E5A">
        <w:rPr>
          <w:rFonts w:ascii="Times New Roman" w:hAnsi="Times New Roman"/>
          <w:color w:val="0070C0"/>
          <w:sz w:val="16"/>
          <w:szCs w:val="16"/>
        </w:rPr>
        <w:tab/>
        <w:t>30 135</w:t>
      </w:r>
      <w:r w:rsidRPr="008A2E5A">
        <w:rPr>
          <w:rFonts w:ascii="Times New Roman" w:hAnsi="Times New Roman"/>
          <w:color w:val="0070C0"/>
          <w:sz w:val="16"/>
          <w:szCs w:val="16"/>
        </w:rPr>
        <w:tab/>
        <w:t>3522</w:t>
      </w:r>
      <w:r w:rsidRPr="008A2E5A">
        <w:rPr>
          <w:rFonts w:ascii="Times New Roman" w:hAnsi="Times New Roman"/>
          <w:color w:val="0070C0"/>
          <w:sz w:val="16"/>
          <w:szCs w:val="16"/>
        </w:rPr>
        <w:tab/>
        <w:t>6922</w:t>
      </w:r>
      <w:r w:rsidRPr="008A2E5A">
        <w:rPr>
          <w:rFonts w:ascii="Times New Roman" w:hAnsi="Times New Roman"/>
          <w:color w:val="0070C0"/>
          <w:sz w:val="16"/>
          <w:szCs w:val="16"/>
        </w:rPr>
        <w:tab/>
        <w:t>8885</w:t>
      </w:r>
      <w:r w:rsidRPr="008A2E5A">
        <w:rPr>
          <w:rFonts w:ascii="Times New Roman" w:hAnsi="Times New Roman"/>
          <w:color w:val="0070C0"/>
          <w:sz w:val="16"/>
          <w:szCs w:val="16"/>
        </w:rPr>
        <w:tab/>
        <w:t>10 806</w:t>
      </w:r>
    </w:p>
    <w:p w14:paraId="28C1718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моторам</w:t>
      </w:r>
    </w:p>
    <w:p w14:paraId="202C4B71" w14:textId="77777777" w:rsidR="00EB32CC" w:rsidRPr="008A2E5A" w:rsidRDefault="00EB32CC" w:rsidP="00EB32CC">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  заводов</w:t>
      </w:r>
      <w:proofErr w:type="gramEnd"/>
      <w:r w:rsidRPr="008A2E5A">
        <w:rPr>
          <w:rFonts w:ascii="Times New Roman" w:hAnsi="Times New Roman"/>
          <w:color w:val="0070C0"/>
          <w:sz w:val="16"/>
          <w:szCs w:val="16"/>
        </w:rPr>
        <w:tab/>
        <w:t>Типы моторов</w:t>
      </w:r>
      <w:r w:rsidRPr="008A2E5A">
        <w:rPr>
          <w:rFonts w:ascii="Times New Roman" w:hAnsi="Times New Roman"/>
          <w:color w:val="0070C0"/>
          <w:sz w:val="16"/>
          <w:szCs w:val="16"/>
        </w:rPr>
        <w:tab/>
        <w:t>План на 1942 г.</w:t>
      </w:r>
      <w:r w:rsidRPr="008A2E5A">
        <w:rPr>
          <w:rFonts w:ascii="Times New Roman" w:hAnsi="Times New Roman"/>
          <w:color w:val="0070C0"/>
          <w:sz w:val="16"/>
          <w:szCs w:val="16"/>
        </w:rPr>
        <w:tab/>
        <w:t>В том числе: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5E56DEE7"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I квартал</w:t>
      </w:r>
      <w:r w:rsidRPr="008A2E5A">
        <w:rPr>
          <w:rFonts w:ascii="Times New Roman" w:hAnsi="Times New Roman"/>
          <w:color w:val="0070C0"/>
          <w:sz w:val="16"/>
          <w:szCs w:val="16"/>
        </w:rPr>
        <w:tab/>
        <w:t>II квартал</w:t>
      </w:r>
      <w:r w:rsidRPr="008A2E5A">
        <w:rPr>
          <w:rFonts w:ascii="Times New Roman" w:hAnsi="Times New Roman"/>
          <w:color w:val="0070C0"/>
          <w:sz w:val="16"/>
          <w:szCs w:val="16"/>
        </w:rPr>
        <w:tab/>
        <w:t>III квартал</w:t>
      </w:r>
      <w:r w:rsidRPr="008A2E5A">
        <w:rPr>
          <w:rFonts w:ascii="Times New Roman" w:hAnsi="Times New Roman"/>
          <w:color w:val="0070C0"/>
          <w:sz w:val="16"/>
          <w:szCs w:val="16"/>
        </w:rPr>
        <w:tab/>
        <w:t>IV квартал</w:t>
      </w:r>
    </w:p>
    <w:p w14:paraId="45B22E3E"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w:t>
      </w:r>
      <w:r w:rsidRPr="008A2E5A">
        <w:rPr>
          <w:rFonts w:ascii="Times New Roman" w:hAnsi="Times New Roman"/>
          <w:color w:val="0070C0"/>
          <w:sz w:val="16"/>
          <w:szCs w:val="16"/>
        </w:rPr>
        <w:tab/>
        <w:t>М-105П</w:t>
      </w:r>
      <w:r w:rsidRPr="008A2E5A">
        <w:rPr>
          <w:rFonts w:ascii="Times New Roman" w:hAnsi="Times New Roman"/>
          <w:color w:val="0070C0"/>
          <w:sz w:val="16"/>
          <w:szCs w:val="16"/>
        </w:rPr>
        <w:tab/>
        <w:t>13104</w:t>
      </w:r>
      <w:r w:rsidRPr="008A2E5A">
        <w:rPr>
          <w:rFonts w:ascii="Times New Roman" w:hAnsi="Times New Roman"/>
          <w:color w:val="0070C0"/>
          <w:sz w:val="16"/>
          <w:szCs w:val="16"/>
        </w:rPr>
        <w:tab/>
        <w:t>1478</w:t>
      </w:r>
      <w:r w:rsidRPr="008A2E5A">
        <w:rPr>
          <w:rFonts w:ascii="Times New Roman" w:hAnsi="Times New Roman"/>
          <w:color w:val="0070C0"/>
          <w:sz w:val="16"/>
          <w:szCs w:val="16"/>
        </w:rPr>
        <w:tab/>
        <w:t>3080</w:t>
      </w:r>
      <w:r w:rsidRPr="008A2E5A">
        <w:rPr>
          <w:rFonts w:ascii="Times New Roman" w:hAnsi="Times New Roman"/>
          <w:color w:val="0070C0"/>
          <w:sz w:val="16"/>
          <w:szCs w:val="16"/>
        </w:rPr>
        <w:tab/>
        <w:t>4035</w:t>
      </w:r>
      <w:r w:rsidRPr="008A2E5A">
        <w:rPr>
          <w:rFonts w:ascii="Times New Roman" w:hAnsi="Times New Roman"/>
          <w:color w:val="0070C0"/>
          <w:sz w:val="16"/>
          <w:szCs w:val="16"/>
        </w:rPr>
        <w:tab/>
        <w:t>4511</w:t>
      </w:r>
    </w:p>
    <w:p w14:paraId="5FA4D0B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r w:rsidRPr="008A2E5A">
        <w:rPr>
          <w:rFonts w:ascii="Times New Roman" w:hAnsi="Times New Roman"/>
          <w:color w:val="0070C0"/>
          <w:sz w:val="16"/>
          <w:szCs w:val="16"/>
        </w:rPr>
        <w:tab/>
        <w:t>М-105Р</w:t>
      </w:r>
      <w:r w:rsidRPr="008A2E5A">
        <w:rPr>
          <w:rFonts w:ascii="Times New Roman" w:hAnsi="Times New Roman"/>
          <w:color w:val="0070C0"/>
          <w:sz w:val="16"/>
          <w:szCs w:val="16"/>
        </w:rPr>
        <w:tab/>
        <w:t>6023</w:t>
      </w:r>
      <w:r w:rsidRPr="008A2E5A">
        <w:rPr>
          <w:rFonts w:ascii="Times New Roman" w:hAnsi="Times New Roman"/>
          <w:color w:val="0070C0"/>
          <w:sz w:val="16"/>
          <w:szCs w:val="16"/>
        </w:rPr>
        <w:tab/>
        <w:t>245</w:t>
      </w:r>
      <w:r w:rsidRPr="008A2E5A">
        <w:rPr>
          <w:rFonts w:ascii="Times New Roman" w:hAnsi="Times New Roman"/>
          <w:color w:val="0070C0"/>
          <w:sz w:val="16"/>
          <w:szCs w:val="16"/>
        </w:rPr>
        <w:tab/>
        <w:t>1343</w:t>
      </w:r>
      <w:r w:rsidRPr="008A2E5A">
        <w:rPr>
          <w:rFonts w:ascii="Times New Roman" w:hAnsi="Times New Roman"/>
          <w:color w:val="0070C0"/>
          <w:sz w:val="16"/>
          <w:szCs w:val="16"/>
        </w:rPr>
        <w:tab/>
        <w:t>1985</w:t>
      </w:r>
      <w:r w:rsidRPr="008A2E5A">
        <w:rPr>
          <w:rFonts w:ascii="Times New Roman" w:hAnsi="Times New Roman"/>
          <w:color w:val="0070C0"/>
          <w:sz w:val="16"/>
          <w:szCs w:val="16"/>
        </w:rPr>
        <w:tab/>
        <w:t>2450</w:t>
      </w:r>
    </w:p>
    <w:p w14:paraId="50E7242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466</w:t>
      </w:r>
      <w:r w:rsidRPr="008A2E5A">
        <w:rPr>
          <w:rFonts w:ascii="Times New Roman" w:hAnsi="Times New Roman"/>
          <w:color w:val="0070C0"/>
          <w:sz w:val="16"/>
          <w:szCs w:val="16"/>
        </w:rPr>
        <w:tab/>
        <w:t>М-105Р</w:t>
      </w:r>
      <w:r w:rsidRPr="008A2E5A">
        <w:rPr>
          <w:rFonts w:ascii="Times New Roman" w:hAnsi="Times New Roman"/>
          <w:color w:val="0070C0"/>
          <w:sz w:val="16"/>
          <w:szCs w:val="16"/>
        </w:rPr>
        <w:tab/>
        <w:t>3335</w:t>
      </w:r>
      <w:r w:rsidRPr="008A2E5A">
        <w:rPr>
          <w:rFonts w:ascii="Times New Roman" w:hAnsi="Times New Roman"/>
          <w:color w:val="0070C0"/>
          <w:sz w:val="16"/>
          <w:szCs w:val="16"/>
        </w:rPr>
        <w:tab/>
        <w:t>250</w:t>
      </w:r>
      <w:r w:rsidRPr="008A2E5A">
        <w:rPr>
          <w:rFonts w:ascii="Times New Roman" w:hAnsi="Times New Roman"/>
          <w:color w:val="0070C0"/>
          <w:sz w:val="16"/>
          <w:szCs w:val="16"/>
        </w:rPr>
        <w:tab/>
        <w:t>815</w:t>
      </w:r>
      <w:r w:rsidRPr="008A2E5A">
        <w:rPr>
          <w:rFonts w:ascii="Times New Roman" w:hAnsi="Times New Roman"/>
          <w:color w:val="0070C0"/>
          <w:sz w:val="16"/>
          <w:szCs w:val="16"/>
        </w:rPr>
        <w:tab/>
        <w:t>1045</w:t>
      </w:r>
      <w:r w:rsidRPr="008A2E5A">
        <w:rPr>
          <w:rFonts w:ascii="Times New Roman" w:hAnsi="Times New Roman"/>
          <w:color w:val="0070C0"/>
          <w:sz w:val="16"/>
          <w:szCs w:val="16"/>
        </w:rPr>
        <w:tab/>
        <w:t>1225</w:t>
      </w:r>
    </w:p>
    <w:p w14:paraId="4E624CF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w:t>
      </w:r>
      <w:r w:rsidRPr="008A2E5A">
        <w:rPr>
          <w:rFonts w:ascii="Times New Roman" w:hAnsi="Times New Roman"/>
          <w:color w:val="0070C0"/>
          <w:sz w:val="16"/>
          <w:szCs w:val="16"/>
        </w:rPr>
        <w:tab/>
        <w:t>М-105Р</w:t>
      </w:r>
      <w:r w:rsidRPr="008A2E5A">
        <w:rPr>
          <w:rFonts w:ascii="Times New Roman" w:hAnsi="Times New Roman"/>
          <w:color w:val="0070C0"/>
          <w:sz w:val="16"/>
          <w:szCs w:val="16"/>
        </w:rPr>
        <w:tab/>
        <w:t>130</w:t>
      </w:r>
      <w:proofErr w:type="gramStart"/>
      <w:r w:rsidRPr="008A2E5A">
        <w:rPr>
          <w:rFonts w:ascii="Times New Roman" w:hAnsi="Times New Roman"/>
          <w:color w:val="0070C0"/>
          <w:sz w:val="16"/>
          <w:szCs w:val="16"/>
        </w:rPr>
        <w:tab/>
        <w:t>..</w:t>
      </w:r>
      <w:proofErr w:type="gramEnd"/>
      <w:r w:rsidRPr="008A2E5A">
        <w:rPr>
          <w:rFonts w:ascii="Times New Roman" w:hAnsi="Times New Roman"/>
          <w:color w:val="0070C0"/>
          <w:sz w:val="16"/>
          <w:szCs w:val="16"/>
        </w:rPr>
        <w:tab/>
        <w:t>(</w:t>
      </w:r>
      <w:r w:rsidRPr="008A2E5A">
        <w:rPr>
          <w:rFonts w:ascii="Times New Roman" w:hAnsi="Times New Roman"/>
          <w:color w:val="0070C0"/>
          <w:sz w:val="16"/>
          <w:szCs w:val="16"/>
        </w:rPr>
        <w:tab/>
        <w:t>20</w:t>
      </w:r>
      <w:r w:rsidRPr="008A2E5A">
        <w:rPr>
          <w:rFonts w:ascii="Times New Roman" w:hAnsi="Times New Roman"/>
          <w:color w:val="0070C0"/>
          <w:sz w:val="16"/>
          <w:szCs w:val="16"/>
        </w:rPr>
        <w:tab/>
        <w:t>110</w:t>
      </w:r>
    </w:p>
    <w:p w14:paraId="2C30BD43"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r w:rsidRPr="008A2E5A">
        <w:rPr>
          <w:rFonts w:ascii="Times New Roman" w:hAnsi="Times New Roman"/>
          <w:color w:val="0070C0"/>
          <w:sz w:val="16"/>
          <w:szCs w:val="16"/>
        </w:rPr>
        <w:tab/>
        <w:t>АМ-38</w:t>
      </w:r>
      <w:r w:rsidRPr="008A2E5A">
        <w:rPr>
          <w:rFonts w:ascii="Times New Roman" w:hAnsi="Times New Roman"/>
          <w:color w:val="0070C0"/>
          <w:sz w:val="16"/>
          <w:szCs w:val="16"/>
        </w:rPr>
        <w:tab/>
        <w:t>10 611</w:t>
      </w:r>
      <w:r w:rsidRPr="008A2E5A">
        <w:rPr>
          <w:rFonts w:ascii="Times New Roman" w:hAnsi="Times New Roman"/>
          <w:color w:val="0070C0"/>
          <w:sz w:val="16"/>
          <w:szCs w:val="16"/>
        </w:rPr>
        <w:tab/>
        <w:t>683</w:t>
      </w:r>
      <w:r w:rsidRPr="008A2E5A">
        <w:rPr>
          <w:rFonts w:ascii="Times New Roman" w:hAnsi="Times New Roman"/>
          <w:color w:val="0070C0"/>
          <w:sz w:val="16"/>
          <w:szCs w:val="16"/>
        </w:rPr>
        <w:tab/>
        <w:t>2468</w:t>
      </w:r>
      <w:r w:rsidRPr="008A2E5A">
        <w:rPr>
          <w:rFonts w:ascii="Times New Roman" w:hAnsi="Times New Roman"/>
          <w:color w:val="0070C0"/>
          <w:sz w:val="16"/>
          <w:szCs w:val="16"/>
        </w:rPr>
        <w:tab/>
        <w:t>3475</w:t>
      </w:r>
      <w:r w:rsidRPr="008A2E5A">
        <w:rPr>
          <w:rFonts w:ascii="Times New Roman" w:hAnsi="Times New Roman"/>
          <w:color w:val="0070C0"/>
          <w:sz w:val="16"/>
          <w:szCs w:val="16"/>
        </w:rPr>
        <w:tab/>
        <w:t>3985</w:t>
      </w:r>
    </w:p>
    <w:p w14:paraId="64D97905"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r w:rsidRPr="008A2E5A">
        <w:rPr>
          <w:rFonts w:ascii="Times New Roman" w:hAnsi="Times New Roman"/>
          <w:color w:val="0070C0"/>
          <w:sz w:val="16"/>
          <w:szCs w:val="16"/>
        </w:rPr>
        <w:tab/>
        <w:t>АМ-35А</w:t>
      </w:r>
      <w:r w:rsidRPr="008A2E5A">
        <w:rPr>
          <w:rFonts w:ascii="Times New Roman" w:hAnsi="Times New Roman"/>
          <w:color w:val="0070C0"/>
          <w:sz w:val="16"/>
          <w:szCs w:val="16"/>
        </w:rPr>
        <w:tab/>
        <w:t>78</w:t>
      </w:r>
      <w:r w:rsidRPr="008A2E5A">
        <w:rPr>
          <w:rFonts w:ascii="Times New Roman" w:hAnsi="Times New Roman"/>
          <w:color w:val="0070C0"/>
          <w:sz w:val="16"/>
          <w:szCs w:val="16"/>
        </w:rPr>
        <w:tab/>
        <w:t>78</w:t>
      </w:r>
      <w:r w:rsidRPr="008A2E5A">
        <w:rPr>
          <w:rFonts w:ascii="Times New Roman" w:hAnsi="Times New Roman"/>
          <w:color w:val="0070C0"/>
          <w:sz w:val="16"/>
          <w:szCs w:val="16"/>
        </w:rPr>
        <w:tab/>
        <w:t>РРР</w:t>
      </w:r>
      <w:r w:rsidRPr="008A2E5A">
        <w:rPr>
          <w:rFonts w:ascii="Times New Roman" w:hAnsi="Times New Roman"/>
          <w:color w:val="0070C0"/>
          <w:sz w:val="16"/>
          <w:szCs w:val="16"/>
        </w:rPr>
        <w:tab/>
        <w:t>'v</w:t>
      </w:r>
      <w:proofErr w:type="gramStart"/>
      <w:r w:rsidRPr="008A2E5A">
        <w:rPr>
          <w:rFonts w:ascii="Times New Roman" w:hAnsi="Times New Roman"/>
          <w:color w:val="0070C0"/>
          <w:sz w:val="16"/>
          <w:szCs w:val="16"/>
        </w:rPr>
        <w:t>^ &gt;</w:t>
      </w:r>
      <w:proofErr w:type="gramEnd"/>
      <w:r w:rsidRPr="008A2E5A">
        <w:rPr>
          <w:rFonts w:ascii="Times New Roman" w:hAnsi="Times New Roman"/>
          <w:color w:val="0070C0"/>
          <w:sz w:val="16"/>
          <w:szCs w:val="16"/>
        </w:rPr>
        <w:tab/>
      </w:r>
    </w:p>
    <w:p w14:paraId="0604B22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r w:rsidRPr="008A2E5A">
        <w:rPr>
          <w:rFonts w:ascii="Times New Roman" w:hAnsi="Times New Roman"/>
          <w:color w:val="0070C0"/>
          <w:sz w:val="16"/>
          <w:szCs w:val="16"/>
        </w:rPr>
        <w:tab/>
        <w:t>АМ-38</w:t>
      </w:r>
      <w:r w:rsidRPr="008A2E5A">
        <w:rPr>
          <w:rFonts w:ascii="Times New Roman" w:hAnsi="Times New Roman"/>
          <w:color w:val="0070C0"/>
          <w:sz w:val="16"/>
          <w:szCs w:val="16"/>
        </w:rPr>
        <w:tab/>
        <w:t>800</w:t>
      </w:r>
      <w:r w:rsidRPr="008A2E5A">
        <w:rPr>
          <w:rFonts w:ascii="Times New Roman" w:hAnsi="Times New Roman"/>
          <w:color w:val="0070C0"/>
          <w:sz w:val="16"/>
          <w:szCs w:val="16"/>
        </w:rPr>
        <w:tab/>
        <w:t>щшщ</w:t>
      </w:r>
      <w:r w:rsidRPr="008A2E5A">
        <w:rPr>
          <w:rFonts w:ascii="Times New Roman" w:hAnsi="Times New Roman"/>
          <w:color w:val="0070C0"/>
          <w:sz w:val="16"/>
          <w:szCs w:val="16"/>
        </w:rPr>
        <w:tab/>
        <w:t>5</w:t>
      </w:r>
      <w:r w:rsidRPr="008A2E5A">
        <w:rPr>
          <w:rFonts w:ascii="Times New Roman" w:hAnsi="Times New Roman"/>
          <w:color w:val="0070C0"/>
          <w:sz w:val="16"/>
          <w:szCs w:val="16"/>
        </w:rPr>
        <w:tab/>
        <w:t>195</w:t>
      </w:r>
      <w:r w:rsidRPr="008A2E5A">
        <w:rPr>
          <w:rFonts w:ascii="Times New Roman" w:hAnsi="Times New Roman"/>
          <w:color w:val="0070C0"/>
          <w:sz w:val="16"/>
          <w:szCs w:val="16"/>
        </w:rPr>
        <w:tab/>
        <w:t>600</w:t>
      </w:r>
    </w:p>
    <w:p w14:paraId="7D341766"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w:t>
      </w:r>
      <w:r w:rsidRPr="008A2E5A">
        <w:rPr>
          <w:rFonts w:ascii="Times New Roman" w:hAnsi="Times New Roman"/>
          <w:color w:val="0070C0"/>
          <w:sz w:val="16"/>
          <w:szCs w:val="16"/>
        </w:rPr>
        <w:tab/>
        <w:t>М-82</w:t>
      </w:r>
      <w:r w:rsidRPr="008A2E5A">
        <w:rPr>
          <w:rFonts w:ascii="Times New Roman" w:hAnsi="Times New Roman"/>
          <w:color w:val="0070C0"/>
          <w:sz w:val="16"/>
          <w:szCs w:val="16"/>
        </w:rPr>
        <w:tab/>
        <w:t>3809</w:t>
      </w:r>
      <w:r w:rsidRPr="008A2E5A">
        <w:rPr>
          <w:rFonts w:ascii="Times New Roman" w:hAnsi="Times New Roman"/>
          <w:color w:val="0070C0"/>
          <w:sz w:val="16"/>
          <w:szCs w:val="16"/>
        </w:rPr>
        <w:tab/>
        <w:t>412</w:t>
      </w:r>
      <w:r w:rsidRPr="008A2E5A">
        <w:rPr>
          <w:rFonts w:ascii="Times New Roman" w:hAnsi="Times New Roman"/>
          <w:color w:val="0070C0"/>
          <w:sz w:val="16"/>
          <w:szCs w:val="16"/>
        </w:rPr>
        <w:tab/>
        <w:t>927</w:t>
      </w:r>
      <w:r w:rsidRPr="008A2E5A">
        <w:rPr>
          <w:rFonts w:ascii="Times New Roman" w:hAnsi="Times New Roman"/>
          <w:color w:val="0070C0"/>
          <w:sz w:val="16"/>
          <w:szCs w:val="16"/>
        </w:rPr>
        <w:tab/>
        <w:t>1195</w:t>
      </w:r>
      <w:r w:rsidRPr="008A2E5A">
        <w:rPr>
          <w:rFonts w:ascii="Times New Roman" w:hAnsi="Times New Roman"/>
          <w:color w:val="0070C0"/>
          <w:sz w:val="16"/>
          <w:szCs w:val="16"/>
        </w:rPr>
        <w:tab/>
        <w:t>1275</w:t>
      </w:r>
    </w:p>
    <w:p w14:paraId="5272A6F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w:t>
      </w:r>
      <w:r w:rsidRPr="008A2E5A">
        <w:rPr>
          <w:rFonts w:ascii="Times New Roman" w:hAnsi="Times New Roman"/>
          <w:color w:val="0070C0"/>
          <w:sz w:val="16"/>
          <w:szCs w:val="16"/>
        </w:rPr>
        <w:tab/>
        <w:t>М-62ИР</w:t>
      </w:r>
      <w:r w:rsidRPr="008A2E5A">
        <w:rPr>
          <w:rFonts w:ascii="Times New Roman" w:hAnsi="Times New Roman"/>
          <w:color w:val="0070C0"/>
          <w:sz w:val="16"/>
          <w:szCs w:val="16"/>
        </w:rPr>
        <w:tab/>
        <w:t>2098</w:t>
      </w:r>
      <w:r w:rsidRPr="008A2E5A">
        <w:rPr>
          <w:rFonts w:ascii="Times New Roman" w:hAnsi="Times New Roman"/>
          <w:color w:val="0070C0"/>
          <w:sz w:val="16"/>
          <w:szCs w:val="16"/>
        </w:rPr>
        <w:tab/>
        <w:t>329</w:t>
      </w:r>
      <w:r w:rsidRPr="008A2E5A">
        <w:rPr>
          <w:rFonts w:ascii="Times New Roman" w:hAnsi="Times New Roman"/>
          <w:color w:val="0070C0"/>
          <w:sz w:val="16"/>
          <w:szCs w:val="16"/>
        </w:rPr>
        <w:tab/>
        <w:t>572</w:t>
      </w:r>
      <w:r w:rsidRPr="008A2E5A">
        <w:rPr>
          <w:rFonts w:ascii="Times New Roman" w:hAnsi="Times New Roman"/>
          <w:color w:val="0070C0"/>
          <w:sz w:val="16"/>
          <w:szCs w:val="16"/>
        </w:rPr>
        <w:tab/>
        <w:t>602</w:t>
      </w:r>
      <w:r w:rsidRPr="008A2E5A">
        <w:rPr>
          <w:rFonts w:ascii="Times New Roman" w:hAnsi="Times New Roman"/>
          <w:color w:val="0070C0"/>
          <w:sz w:val="16"/>
          <w:szCs w:val="16"/>
        </w:rPr>
        <w:tab/>
        <w:t>595</w:t>
      </w:r>
    </w:p>
    <w:p w14:paraId="137BC51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w:t>
      </w:r>
      <w:r w:rsidRPr="008A2E5A">
        <w:rPr>
          <w:rFonts w:ascii="Times New Roman" w:hAnsi="Times New Roman"/>
          <w:color w:val="0070C0"/>
          <w:sz w:val="16"/>
          <w:szCs w:val="16"/>
        </w:rPr>
        <w:tab/>
        <w:t>М-88</w:t>
      </w:r>
      <w:r w:rsidRPr="008A2E5A">
        <w:rPr>
          <w:rFonts w:ascii="Times New Roman" w:hAnsi="Times New Roman"/>
          <w:color w:val="0070C0"/>
          <w:sz w:val="16"/>
          <w:szCs w:val="16"/>
        </w:rPr>
        <w:tab/>
        <w:t>5049</w:t>
      </w:r>
      <w:r w:rsidRPr="008A2E5A">
        <w:rPr>
          <w:rFonts w:ascii="Times New Roman" w:hAnsi="Times New Roman"/>
          <w:color w:val="0070C0"/>
          <w:sz w:val="16"/>
          <w:szCs w:val="16"/>
        </w:rPr>
        <w:tab/>
        <w:t>714</w:t>
      </w:r>
      <w:r w:rsidRPr="008A2E5A">
        <w:rPr>
          <w:rFonts w:ascii="Times New Roman" w:hAnsi="Times New Roman"/>
          <w:color w:val="0070C0"/>
          <w:sz w:val="16"/>
          <w:szCs w:val="16"/>
        </w:rPr>
        <w:tab/>
        <w:t>1060</w:t>
      </w:r>
      <w:r w:rsidRPr="008A2E5A">
        <w:rPr>
          <w:rFonts w:ascii="Times New Roman" w:hAnsi="Times New Roman"/>
          <w:color w:val="0070C0"/>
          <w:sz w:val="16"/>
          <w:szCs w:val="16"/>
        </w:rPr>
        <w:tab/>
        <w:t>1575</w:t>
      </w:r>
      <w:r w:rsidRPr="008A2E5A">
        <w:rPr>
          <w:rFonts w:ascii="Times New Roman" w:hAnsi="Times New Roman"/>
          <w:color w:val="0070C0"/>
          <w:sz w:val="16"/>
          <w:szCs w:val="16"/>
        </w:rPr>
        <w:tab/>
        <w:t>1700</w:t>
      </w:r>
    </w:p>
    <w:p w14:paraId="0E4402A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w:t>
      </w:r>
      <w:r w:rsidRPr="008A2E5A">
        <w:rPr>
          <w:rFonts w:ascii="Times New Roman" w:hAnsi="Times New Roman"/>
          <w:color w:val="0070C0"/>
          <w:sz w:val="16"/>
          <w:szCs w:val="16"/>
        </w:rPr>
        <w:tab/>
        <w:t>М-11</w:t>
      </w:r>
      <w:r w:rsidRPr="008A2E5A">
        <w:rPr>
          <w:rFonts w:ascii="Times New Roman" w:hAnsi="Times New Roman"/>
          <w:color w:val="0070C0"/>
          <w:sz w:val="16"/>
          <w:szCs w:val="16"/>
        </w:rPr>
        <w:tab/>
        <w:t>3798</w:t>
      </w:r>
      <w:r w:rsidRPr="008A2E5A">
        <w:rPr>
          <w:rFonts w:ascii="Times New Roman" w:hAnsi="Times New Roman"/>
          <w:color w:val="0070C0"/>
          <w:sz w:val="16"/>
          <w:szCs w:val="16"/>
        </w:rPr>
        <w:tab/>
        <w:t>518</w:t>
      </w:r>
      <w:r w:rsidRPr="008A2E5A">
        <w:rPr>
          <w:rFonts w:ascii="Times New Roman" w:hAnsi="Times New Roman"/>
          <w:color w:val="0070C0"/>
          <w:sz w:val="16"/>
          <w:szCs w:val="16"/>
        </w:rPr>
        <w:tab/>
        <w:t>964</w:t>
      </w:r>
      <w:r w:rsidRPr="008A2E5A">
        <w:rPr>
          <w:rFonts w:ascii="Times New Roman" w:hAnsi="Times New Roman"/>
          <w:color w:val="0070C0"/>
          <w:sz w:val="16"/>
          <w:szCs w:val="16"/>
        </w:rPr>
        <w:tab/>
        <w:t>1118</w:t>
      </w:r>
      <w:r w:rsidRPr="008A2E5A">
        <w:rPr>
          <w:rFonts w:ascii="Times New Roman" w:hAnsi="Times New Roman"/>
          <w:color w:val="0070C0"/>
          <w:sz w:val="16"/>
          <w:szCs w:val="16"/>
        </w:rPr>
        <w:tab/>
        <w:t>1198</w:t>
      </w:r>
    </w:p>
    <w:p w14:paraId="6225B214"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w:t>
      </w:r>
      <w:r w:rsidRPr="008A2E5A">
        <w:rPr>
          <w:rFonts w:ascii="Times New Roman" w:hAnsi="Times New Roman"/>
          <w:color w:val="0070C0"/>
          <w:sz w:val="16"/>
          <w:szCs w:val="16"/>
        </w:rPr>
        <w:tab/>
        <w:t>М-11</w:t>
      </w:r>
      <w:r w:rsidRPr="008A2E5A">
        <w:rPr>
          <w:rFonts w:ascii="Times New Roman" w:hAnsi="Times New Roman"/>
          <w:color w:val="0070C0"/>
          <w:sz w:val="16"/>
          <w:szCs w:val="16"/>
        </w:rPr>
        <w:tab/>
        <w:t>1250</w:t>
      </w:r>
      <w:r w:rsidRPr="008A2E5A">
        <w:rPr>
          <w:rFonts w:ascii="Times New Roman" w:hAnsi="Times New Roman"/>
          <w:color w:val="0070C0"/>
          <w:sz w:val="16"/>
          <w:szCs w:val="16"/>
        </w:rPr>
        <w:tab/>
        <w:t>''</w:t>
      </w:r>
      <w:r w:rsidRPr="008A2E5A">
        <w:rPr>
          <w:rFonts w:ascii="Times New Roman" w:hAnsi="Times New Roman"/>
          <w:color w:val="0070C0"/>
          <w:sz w:val="16"/>
          <w:szCs w:val="16"/>
        </w:rPr>
        <w:tab/>
        <w:t>50</w:t>
      </w:r>
      <w:r w:rsidRPr="008A2E5A">
        <w:rPr>
          <w:rFonts w:ascii="Times New Roman" w:hAnsi="Times New Roman"/>
          <w:color w:val="0070C0"/>
          <w:sz w:val="16"/>
          <w:szCs w:val="16"/>
        </w:rPr>
        <w:tab/>
        <w:t>450</w:t>
      </w:r>
      <w:r w:rsidRPr="008A2E5A">
        <w:rPr>
          <w:rFonts w:ascii="Times New Roman" w:hAnsi="Times New Roman"/>
          <w:color w:val="0070C0"/>
          <w:sz w:val="16"/>
          <w:szCs w:val="16"/>
        </w:rPr>
        <w:tab/>
        <w:t>750</w:t>
      </w:r>
    </w:p>
    <w:p w14:paraId="5B2D9011"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r w:rsidRPr="008A2E5A">
        <w:rPr>
          <w:rFonts w:ascii="Times New Roman" w:hAnsi="Times New Roman"/>
          <w:color w:val="0070C0"/>
          <w:sz w:val="16"/>
          <w:szCs w:val="16"/>
        </w:rPr>
        <w:tab/>
        <w:t>ГАМ-34БС</w:t>
      </w:r>
      <w:r w:rsidRPr="008A2E5A">
        <w:rPr>
          <w:rFonts w:ascii="Times New Roman" w:hAnsi="Times New Roman"/>
          <w:color w:val="0070C0"/>
          <w:sz w:val="16"/>
          <w:szCs w:val="16"/>
        </w:rPr>
        <w:tab/>
        <w:t>227</w:t>
      </w:r>
      <w:r w:rsidRPr="008A2E5A">
        <w:rPr>
          <w:rFonts w:ascii="Times New Roman" w:hAnsi="Times New Roman"/>
          <w:color w:val="0070C0"/>
          <w:sz w:val="16"/>
          <w:szCs w:val="16"/>
        </w:rPr>
        <w:tab/>
        <w:t>1ШГ*</w:t>
      </w:r>
      <w:r w:rsidRPr="008A2E5A">
        <w:rPr>
          <w:rFonts w:ascii="Times New Roman" w:hAnsi="Times New Roman"/>
          <w:color w:val="0070C0"/>
          <w:sz w:val="16"/>
          <w:szCs w:val="16"/>
        </w:rPr>
        <w:tab/>
        <w:t>56</w:t>
      </w:r>
      <w:r w:rsidRPr="008A2E5A">
        <w:rPr>
          <w:rFonts w:ascii="Times New Roman" w:hAnsi="Times New Roman"/>
          <w:color w:val="0070C0"/>
          <w:sz w:val="16"/>
          <w:szCs w:val="16"/>
        </w:rPr>
        <w:tab/>
        <w:t>86</w:t>
      </w:r>
      <w:r w:rsidRPr="008A2E5A">
        <w:rPr>
          <w:rFonts w:ascii="Times New Roman" w:hAnsi="Times New Roman"/>
          <w:color w:val="0070C0"/>
          <w:sz w:val="16"/>
          <w:szCs w:val="16"/>
        </w:rPr>
        <w:tab/>
        <w:t>85</w:t>
      </w:r>
    </w:p>
    <w:p w14:paraId="7DFCBE1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r>
      <w:r w:rsidRPr="008A2E5A">
        <w:rPr>
          <w:rFonts w:ascii="Times New Roman" w:hAnsi="Times New Roman"/>
          <w:color w:val="0070C0"/>
          <w:sz w:val="16"/>
          <w:szCs w:val="16"/>
        </w:rPr>
        <w:tab/>
        <w:t>50 312</w:t>
      </w:r>
      <w:r w:rsidRPr="008A2E5A">
        <w:rPr>
          <w:rFonts w:ascii="Times New Roman" w:hAnsi="Times New Roman"/>
          <w:color w:val="0070C0"/>
          <w:sz w:val="16"/>
          <w:szCs w:val="16"/>
        </w:rPr>
        <w:tab/>
        <w:t>4707</w:t>
      </w:r>
      <w:r w:rsidRPr="008A2E5A">
        <w:rPr>
          <w:rFonts w:ascii="Times New Roman" w:hAnsi="Times New Roman"/>
          <w:color w:val="0070C0"/>
          <w:sz w:val="16"/>
          <w:szCs w:val="16"/>
        </w:rPr>
        <w:tab/>
        <w:t>11340</w:t>
      </w:r>
      <w:r w:rsidRPr="008A2E5A">
        <w:rPr>
          <w:rFonts w:ascii="Times New Roman" w:hAnsi="Times New Roman"/>
          <w:color w:val="0070C0"/>
          <w:sz w:val="16"/>
          <w:szCs w:val="16"/>
        </w:rPr>
        <w:tab/>
        <w:t>15 781</w:t>
      </w:r>
      <w:r w:rsidRPr="008A2E5A">
        <w:rPr>
          <w:rFonts w:ascii="Times New Roman" w:hAnsi="Times New Roman"/>
          <w:color w:val="0070C0"/>
          <w:sz w:val="16"/>
          <w:szCs w:val="16"/>
        </w:rPr>
        <w:tab/>
        <w:t>18 484</w:t>
      </w:r>
    </w:p>
    <w:p w14:paraId="6415FB2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Госплан Союза ССР (т. Сабурова) выделить необходимые фонды на материалы, потребные авиамастерским для изготовления запасных частей и ремонта материальной части.</w:t>
      </w:r>
    </w:p>
    <w:p w14:paraId="3A51165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Наркомвнешторг приобрести за границей 15 шт. внутришлифовальх станков и 30 комплектов агрегатов для хромирования.</w:t>
      </w:r>
    </w:p>
    <w:p w14:paraId="53D37F51"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Разрешить НКО бронировать до конца войны из числа вольнонаемного состава производственных рабочих, инженерно-технических работников и вспомогательх рабочих, начиная со 2-го разряда тарифной сетки.</w:t>
      </w:r>
    </w:p>
    <w:p w14:paraId="73C8339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Разрешить НКО питать вольнонаемных специалистов мастерских на фронте по нормам красноармейского пайка за плату согласно приложению № 3 приказа НКО 312 1941 г., а работающих в тыловых авиамастерских перевести на продснабжение нормам рабочих военной промышленности.</w:t>
      </w:r>
    </w:p>
    <w:p w14:paraId="6270410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Утвердить разработанную ВВС КА премиальную систему оплаты за выпуск самрлетов и моторов из ремонта.</w:t>
      </w:r>
    </w:p>
    <w:p w14:paraId="077ACE0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главного инженера ВВС КА генерал-лейтенанта авиации т. Петрова начальника ГУ заказов и технического снабжения ВВС КА, бриг[адного] инженера Селезнева подготовить доклад на имя т. Сталина и проекты постановлений ГОКО по вопфосам обеспечения ВВС КА запчастями и ремонтом.</w:t>
      </w:r>
    </w:p>
    <w:p w14:paraId="0D3FD13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начальника ГУ заказов и техснабжения ВВС КА, бриг[адного] инженера Селезнева совместно с НКАП в двухдневный срок рассмотреть заявку на запчасти самолетам и моторам на II квартал текущего года и добиться немедленной ее реализации начиная с апреля месяца 1942 г.</w:t>
      </w:r>
    </w:p>
    <w:p w14:paraId="644B0F6A"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главного инженера ВВС КА генерал-лейтенанта авиации т. Петрова: улучшить организацию труда в мастерских ВВС КА и повысить качество выпускаемых ими из ремонта самолетов и моторов; б) улучшить службу эксплуатации в частях ВВС КА; в) ускорить выпуск специальных инструкций для всех типов самолетов по типу инструкции самолета Ил-2.</w:t>
      </w:r>
    </w:p>
    <w:p w14:paraId="2E9B31D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10. Обязать начальника ГУ заказов и техснабжения ВВС КА бриг[адного] инжера т. Селезнева организовать быструю доставку запчастей </w:t>
      </w:r>
      <w:proofErr w:type="gramStart"/>
      <w:r w:rsidRPr="008A2E5A">
        <w:rPr>
          <w:rFonts w:ascii="Times New Roman" w:hAnsi="Times New Roman"/>
          <w:color w:val="0070C0"/>
          <w:sz w:val="16"/>
          <w:szCs w:val="16"/>
        </w:rPr>
        <w:t>в рем</w:t>
      </w:r>
      <w:proofErr w:type="gramEnd"/>
      <w:r w:rsidRPr="008A2E5A">
        <w:rPr>
          <w:rFonts w:ascii="Times New Roman" w:hAnsi="Times New Roman"/>
          <w:color w:val="0070C0"/>
          <w:sz w:val="16"/>
          <w:szCs w:val="16"/>
        </w:rPr>
        <w:t>[онтные] органы.</w:t>
      </w:r>
    </w:p>
    <w:p w14:paraId="12D316B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Обязать начальника Управления кадров ВВС КА бриг[адного] инженера Терехова укомплектовать личным составом управления технической эксплуатации и реионта после их разделения к 15 апреля 1942 г.</w:t>
      </w:r>
    </w:p>
    <w:p w14:paraId="471C1525"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1B64070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26. Л. 76-77. Подлинник (24078).</w:t>
      </w:r>
    </w:p>
    <w:p w14:paraId="676E8888" w14:textId="77777777" w:rsidR="00EB32CC" w:rsidRPr="008A2E5A" w:rsidRDefault="00EB32CC" w:rsidP="00EB32CC">
      <w:pPr>
        <w:spacing w:after="0" w:line="240" w:lineRule="auto"/>
        <w:jc w:val="both"/>
        <w:rPr>
          <w:rFonts w:ascii="Times New Roman" w:hAnsi="Times New Roman"/>
          <w:color w:val="0070C0"/>
          <w:sz w:val="16"/>
          <w:szCs w:val="16"/>
        </w:rPr>
      </w:pPr>
    </w:p>
    <w:p w14:paraId="65CF1B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года Шахурин писал письмо N Н-20/1216 Сталину.</w:t>
      </w:r>
    </w:p>
    <w:p w14:paraId="555B1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опытных работ по десантным планерам на 1942 год.</w:t>
      </w:r>
    </w:p>
    <w:p w14:paraId="222334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году Наркомавиапромом созданы боевые десантные планеры. Спроектированы, изготовлены и испытаны: 7-ми местный планер конструкции Антонова, грузоподъемностью в 900 кг; 11-ти местный планер конструкции Грибовского, грузоподъемностью - 1200 кг; 20-ти местный планер Колесникова-Цыбина грузоподъемностью в 2500 кг. На 1-ое апреля будет выпущено около 200 десантных планеров. В настоящий момент крайне необходимо боевое применение десантных планеров для проверки эксплуатационных и боевых качеств.</w:t>
      </w:r>
    </w:p>
    <w:p w14:paraId="3BA6FC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1942 год Наркомавиапромом просит утвердить:</w:t>
      </w:r>
    </w:p>
    <w:p w14:paraId="10355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Изготовление и испытание:</w:t>
      </w:r>
    </w:p>
    <w:p w14:paraId="69C83C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11-ти местного мотопланера конструкции Грибовского, грузоподъемностью в 1000 кг;</w:t>
      </w:r>
    </w:p>
    <w:p w14:paraId="41CBC5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14-ти местного мотопланера конструкции Москалева, грузоподъемностью в 1750 кг;</w:t>
      </w:r>
    </w:p>
    <w:p w14:paraId="41577E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20-ти местного мотопланера конструкции Колесникова-Цыбина, грузоподъемностью в 2000 кг;</w:t>
      </w:r>
    </w:p>
    <w:p w14:paraId="54970E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крыльев для перевозки танка Т-60 конструкции Антонова, грузоподъемностью 6000 кг;</w:t>
      </w:r>
    </w:p>
    <w:p w14:paraId="42263C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модернизированного двухместного учебно-тренировочного планера;</w:t>
      </w:r>
    </w:p>
    <w:p w14:paraId="4FF93B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воздушного прицепа к самолету-истребителю для транспортировки бомб и других грузов весом до 500 кг.</w:t>
      </w:r>
    </w:p>
    <w:p w14:paraId="27621D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общую сумму, включая переходящую работу 1941 года по окончанию постройки и испытанию грузового планера грузоподъемностью в 2850 кг - 6650 тысяч рублей (1623,166).</w:t>
      </w:r>
    </w:p>
    <w:p w14:paraId="7A1573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6AD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ОКБ-207 писало в ЦК ВКП(б) письмо (вх. N 3096оп) о об испытании самолета (?) и это письмо в дальнейшем было передано в НКАП А.И.Ш. (2728,142).</w:t>
      </w:r>
    </w:p>
    <w:p w14:paraId="2F4545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168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Оргавиапром НКАП писал в ЦК ВКП(б) письмо (вх. N 3082оп) о об освоении самолета Та-3 и это письмо в дальнейшем было передано в НКАП А.И.Ш. (2728,142).</w:t>
      </w:r>
    </w:p>
    <w:p w14:paraId="58603F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6059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НКАП Воронин писал Нач. ГИЗ и ТС ВВС КА Селезневу письмо N Н-36/1227 на N 374066 от 12 марта 1942 о том, что НКАП в состоянии обеспечить установку 2-х сбрасывателей ЭСБР-3П на Ил-2 в случае вашего согласия на приемку сбрасывателей упрощенной конструкции(из парафинированного дерева и без обогрева).</w:t>
      </w:r>
    </w:p>
    <w:p w14:paraId="2E5EF3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Чертежи упрощенного сбрасывателя утверждены научным журналом УОС ВВС КА N 024 от 21 марта 1942 только для изготовления установочной партии на заводе 43.</w:t>
      </w:r>
    </w:p>
    <w:p w14:paraId="0BA812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установке двух сбрасывателей на Ил-2, самолеты Як-16 Як-7 и ДаГГ-3 не м.б. обеспечены сбрасывателями, а только электрокнопочным управлением стрельбой РС</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1635,217).</w:t>
      </w:r>
    </w:p>
    <w:p w14:paraId="49E285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28C25"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1 апреля 1942 г. — веду</w:t>
      </w:r>
      <w:r w:rsidRPr="008127F8">
        <w:rPr>
          <w:color w:val="000000" w:themeColor="text1"/>
          <w:sz w:val="16"/>
          <w:szCs w:val="16"/>
        </w:rPr>
        <w:softHyphen/>
        <w:t>щие конструкторы ЦКБ-14 А. А. Волков и С. А. Ярцев обратились к секретарю ЦК ВКП(б) Г. М. Маленкову с предложением организовать массовое производ</w:t>
      </w:r>
      <w:r w:rsidRPr="008127F8">
        <w:rPr>
          <w:color w:val="000000" w:themeColor="text1"/>
          <w:sz w:val="16"/>
          <w:szCs w:val="16"/>
        </w:rPr>
        <w:softHyphen/>
        <w:t>ство истребителей ЛаГГ-3 и Як-1 с мотор-пушкой ВЯ своей конструкции.</w:t>
      </w:r>
    </w:p>
    <w:p w14:paraId="3837160C"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Отмечалось, что до сих пор пушкой ВЯ воору</w:t>
      </w:r>
      <w:r w:rsidRPr="008127F8">
        <w:rPr>
          <w:color w:val="000000" w:themeColor="text1"/>
          <w:sz w:val="16"/>
          <w:szCs w:val="16"/>
        </w:rPr>
        <w:softHyphen/>
        <w:t>жается только один тип самолета — штурмовик Ил-2, а через втулку винта мотора истребителей ЛаГГ-3 и Як-1 ставится пушка ШВАК. Некоторая часть ЛаГГ-3 выпускается с пушкой Ш-37 конструкции Шпитального, что позволяет эффективно «ра</w:t>
      </w:r>
      <w:r w:rsidRPr="008127F8">
        <w:rPr>
          <w:color w:val="000000" w:themeColor="text1"/>
          <w:sz w:val="16"/>
          <w:szCs w:val="16"/>
        </w:rPr>
        <w:softHyphen/>
        <w:t>ботать» по танкам. С этой же целью, «но в более широком масштабе, истребители ЛаГГ-3 можно во</w:t>
      </w:r>
      <w:r w:rsidRPr="008127F8">
        <w:rPr>
          <w:color w:val="000000" w:themeColor="text1"/>
          <w:sz w:val="16"/>
          <w:szCs w:val="16"/>
        </w:rPr>
        <w:softHyphen/>
        <w:t>оружать 23-мм пушкой ВЯ, производство которой в достаточном количестве значительно легче раз</w:t>
      </w:r>
      <w:r w:rsidRPr="008127F8">
        <w:rPr>
          <w:color w:val="000000" w:themeColor="text1"/>
          <w:sz w:val="16"/>
          <w:szCs w:val="16"/>
        </w:rPr>
        <w:softHyphen/>
        <w:t>вернуть, чем 37-мм пушек».</w:t>
      </w:r>
    </w:p>
    <w:p w14:paraId="3455A373"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обоснование своей позиции они делали ссыл</w:t>
      </w:r>
      <w:r w:rsidRPr="008127F8">
        <w:rPr>
          <w:color w:val="000000" w:themeColor="text1"/>
          <w:sz w:val="16"/>
          <w:szCs w:val="16"/>
        </w:rPr>
        <w:softHyphen/>
        <w:t>ку на материалы Технического совета наркомата вооружения, из которых следовало, что «по отзы</w:t>
      </w:r>
      <w:r w:rsidRPr="008127F8">
        <w:rPr>
          <w:color w:val="000000" w:themeColor="text1"/>
          <w:sz w:val="16"/>
          <w:szCs w:val="16"/>
        </w:rPr>
        <w:softHyphen/>
        <w:t>вам летного и технического состава авиационных частей Красной Армии, 23-мм авиационная пушка ВЯ является мощным и отличным вооружением са</w:t>
      </w:r>
      <w:r w:rsidRPr="008127F8">
        <w:rPr>
          <w:color w:val="000000" w:themeColor="text1"/>
          <w:sz w:val="16"/>
          <w:szCs w:val="16"/>
        </w:rPr>
        <w:softHyphen/>
        <w:t>молета». Популярность пушки ВЯ у личного состава ВВС КА обуславливалась эффективным действием «бронебойно-зажигательных и осколочно-зажига- тельных снарядов, набиваемых в ленту через один патрон», по танкам, бронемашинам, грузовикам и повозкам, по зенит</w:t>
      </w:r>
      <w:r w:rsidRPr="008127F8">
        <w:rPr>
          <w:color w:val="000000" w:themeColor="text1"/>
          <w:sz w:val="16"/>
          <w:szCs w:val="16"/>
        </w:rPr>
        <w:softHyphen/>
        <w:t>ным точкам и батареям, а также по материальной части самолетов, по живой силе и другим наземным целям противника. Пушка имела высокий темп стрельбы и большой боекомплект («запас патронов на боевой вылет самолета»), была про</w:t>
      </w:r>
      <w:r w:rsidRPr="008127F8">
        <w:rPr>
          <w:color w:val="000000" w:themeColor="text1"/>
          <w:sz w:val="16"/>
          <w:szCs w:val="16"/>
        </w:rPr>
        <w:softHyphen/>
        <w:t>стой в эксплуатации («освоение ее в частях ВВС в большинстве случа</w:t>
      </w:r>
      <w:r w:rsidRPr="008127F8">
        <w:rPr>
          <w:color w:val="000000" w:themeColor="text1"/>
          <w:sz w:val="16"/>
          <w:szCs w:val="16"/>
        </w:rPr>
        <w:softHyphen/>
        <w:t>ев проходило без описания пушки») и безотказной в работе.</w:t>
      </w:r>
    </w:p>
    <w:p w14:paraId="546C4B7E"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 xml:space="preserve">Несмотря на </w:t>
      </w:r>
      <w:proofErr w:type="gramStart"/>
      <w:r w:rsidRPr="008127F8">
        <w:rPr>
          <w:color w:val="000000" w:themeColor="text1"/>
          <w:sz w:val="16"/>
          <w:szCs w:val="16"/>
        </w:rPr>
        <w:t>то</w:t>
      </w:r>
      <w:proofErr w:type="gramEnd"/>
      <w:r w:rsidRPr="008127F8">
        <w:rPr>
          <w:color w:val="000000" w:themeColor="text1"/>
          <w:sz w:val="16"/>
          <w:szCs w:val="16"/>
        </w:rPr>
        <w:t xml:space="preserve"> что снаряд кали</w:t>
      </w:r>
      <w:r w:rsidRPr="008127F8">
        <w:rPr>
          <w:color w:val="000000" w:themeColor="text1"/>
          <w:sz w:val="16"/>
          <w:szCs w:val="16"/>
        </w:rPr>
        <w:softHyphen/>
        <w:t>бра 23 мм по эффективности дей</w:t>
      </w:r>
      <w:r w:rsidRPr="008127F8">
        <w:rPr>
          <w:color w:val="000000" w:themeColor="text1"/>
          <w:sz w:val="16"/>
          <w:szCs w:val="16"/>
        </w:rPr>
        <w:softHyphen/>
        <w:t>ствия у цели заметно уступал 37-мм снаряду, пушка ВЯ имела несомнен</w:t>
      </w:r>
      <w:r w:rsidRPr="008127F8">
        <w:rPr>
          <w:color w:val="000000" w:themeColor="text1"/>
          <w:sz w:val="16"/>
          <w:szCs w:val="16"/>
        </w:rPr>
        <w:softHyphen/>
        <w:t>ные преимущества перед пушкой Ш-37 Шпитального.</w:t>
      </w:r>
    </w:p>
    <w:p w14:paraId="5998FD02"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Действительно, вдвое больший темп стрельбы пушки ВЯ обеспечи</w:t>
      </w:r>
      <w:r w:rsidRPr="008127F8">
        <w:rPr>
          <w:color w:val="000000" w:themeColor="text1"/>
          <w:sz w:val="16"/>
          <w:szCs w:val="16"/>
        </w:rPr>
        <w:softHyphen/>
        <w:t>вал и почти вдвое большую вероят</w:t>
      </w:r>
      <w:r w:rsidRPr="008127F8">
        <w:rPr>
          <w:color w:val="000000" w:themeColor="text1"/>
          <w:sz w:val="16"/>
          <w:szCs w:val="16"/>
        </w:rPr>
        <w:softHyphen/>
        <w:t>ность попадания в цель, чем пушка Ш-37. Поскольку «попадание одно</w:t>
      </w:r>
      <w:r w:rsidRPr="008127F8">
        <w:rPr>
          <w:color w:val="000000" w:themeColor="text1"/>
          <w:sz w:val="16"/>
          <w:szCs w:val="16"/>
        </w:rPr>
        <w:softHyphen/>
        <w:t>го 23-мм осколочно-зажигательного снаряда в жизненно важную часть самолета выводит его из строя», то «для ведения воздушного боя огонь пушки ВЯ будет более интенсивным и действительным, чем огонь 37-мм пушки Шпитального».</w:t>
      </w:r>
    </w:p>
    <w:p w14:paraId="5D2F2691"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 тому же боекомплект к пушке ВЯ на самоле</w:t>
      </w:r>
      <w:r w:rsidRPr="008127F8">
        <w:rPr>
          <w:color w:val="000000" w:themeColor="text1"/>
          <w:sz w:val="16"/>
          <w:szCs w:val="16"/>
        </w:rPr>
        <w:softHyphen/>
        <w:t>те ЛаГГ-3 составлял 90 патронов, тогда как к пушке Ш-37 на ЛаГГ-3 всего 20 патронов. Пушка ВЯ более чем в два раза была легче пушки Ш-37 и меньше по габаритам. В производстве пушка ВЯ была про</w:t>
      </w:r>
      <w:r w:rsidRPr="008127F8">
        <w:rPr>
          <w:color w:val="000000" w:themeColor="text1"/>
          <w:sz w:val="16"/>
          <w:szCs w:val="16"/>
        </w:rPr>
        <w:softHyphen/>
        <w:t>ще и дешевле пушки Ш-37 («при равных произ</w:t>
      </w:r>
      <w:r w:rsidRPr="008127F8">
        <w:rPr>
          <w:color w:val="000000" w:themeColor="text1"/>
          <w:sz w:val="16"/>
          <w:szCs w:val="16"/>
        </w:rPr>
        <w:softHyphen/>
        <w:t>водственных площадях, станочном парке и прочих одинаковых условиях выпуск пушек ВЯ будет, по нашим прикидкам, в 2—3 раза больше, чем 37-мм пушек»).</w:t>
      </w:r>
    </w:p>
    <w:p w14:paraId="74E777A4"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Обращалось внимание, что к этому времени «для вооружения 23-мм пушкой ВЯ истребителей ЛаГГ-3 и 2Л-7 (модернизированный ЛаГГ-3) на за</w:t>
      </w:r>
      <w:r w:rsidRPr="008127F8">
        <w:rPr>
          <w:color w:val="000000" w:themeColor="text1"/>
          <w:sz w:val="16"/>
          <w:szCs w:val="16"/>
        </w:rPr>
        <w:softHyphen/>
        <w:t>воде № 21 проведены большие подготовительные работы». Серийные чертежи установки для пушки спущены в цеха завода для разработки техпро цесса и отправлены авиационному заводу в Ново</w:t>
      </w:r>
      <w:r w:rsidRPr="008127F8">
        <w:rPr>
          <w:color w:val="000000" w:themeColor="text1"/>
          <w:sz w:val="16"/>
          <w:szCs w:val="16"/>
        </w:rPr>
        <w:softHyphen/>
        <w:t>сибирск. Главный конструктор самолета С. А. Ла</w:t>
      </w:r>
      <w:r w:rsidRPr="008127F8">
        <w:rPr>
          <w:color w:val="000000" w:themeColor="text1"/>
          <w:sz w:val="16"/>
          <w:szCs w:val="16"/>
        </w:rPr>
        <w:softHyphen/>
        <w:t>вочкин неоднократно обращался в НКАП и ГУ ВВС КА по вопросу вооружения серийных самолетов ЛаГГ-3 пушкой ВЯ. Однако серийный выпуск истре</w:t>
      </w:r>
      <w:r w:rsidRPr="008127F8">
        <w:rPr>
          <w:color w:val="000000" w:themeColor="text1"/>
          <w:sz w:val="16"/>
          <w:szCs w:val="16"/>
        </w:rPr>
        <w:softHyphen/>
        <w:t>бителей ЛаГГ-3 с пушкой ВЯ («не считая 12 самоле</w:t>
      </w:r>
      <w:r w:rsidRPr="008127F8">
        <w:rPr>
          <w:color w:val="000000" w:themeColor="text1"/>
          <w:sz w:val="16"/>
          <w:szCs w:val="16"/>
        </w:rPr>
        <w:softHyphen/>
        <w:t>тов 2Л-7, выпущенных в начале января 1942 г.») «не развернут до сих пор ни в Горьком, ни в Новоси</w:t>
      </w:r>
      <w:r w:rsidRPr="008127F8">
        <w:rPr>
          <w:color w:val="000000" w:themeColor="text1"/>
          <w:sz w:val="16"/>
          <w:szCs w:val="16"/>
        </w:rPr>
        <w:softHyphen/>
        <w:t>бирске».</w:t>
      </w:r>
    </w:p>
    <w:p w14:paraId="6EE5CF27"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заключение письма Волков и Ярцев писали: «Как авторы 23-мм пушки ВЯ считаем необходимым довести до Вашего сведения вышеизложенные со</w:t>
      </w:r>
      <w:r w:rsidRPr="008127F8">
        <w:rPr>
          <w:color w:val="000000" w:themeColor="text1"/>
          <w:sz w:val="16"/>
          <w:szCs w:val="16"/>
        </w:rPr>
        <w:softHyphen/>
        <w:t>ображения относительно целесообразности более широкого применения пушки ВЯ для вооружения наших самолетов, и в первую очередь — истреби</w:t>
      </w:r>
      <w:r w:rsidRPr="008127F8">
        <w:rPr>
          <w:color w:val="000000" w:themeColor="text1"/>
          <w:sz w:val="16"/>
          <w:szCs w:val="16"/>
        </w:rPr>
        <w:softHyphen/>
        <w:t>теля ЛаГГ-3».</w:t>
      </w:r>
    </w:p>
    <w:p w14:paraId="0148FFB0"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Одновременно они просили представить к пра</w:t>
      </w:r>
      <w:r w:rsidRPr="008127F8">
        <w:rPr>
          <w:color w:val="000000" w:themeColor="text1"/>
          <w:sz w:val="16"/>
          <w:szCs w:val="16"/>
        </w:rPr>
        <w:softHyphen/>
        <w:t>вительственной награде работников, принимавших непосредственное, активное участие в испытаниях, отработке и внедрении в массовое производство пушки ВЯ: «1. Жаворонкова Василия Гаврилови</w:t>
      </w:r>
      <w:r w:rsidRPr="008127F8">
        <w:rPr>
          <w:color w:val="000000" w:themeColor="text1"/>
          <w:sz w:val="16"/>
          <w:szCs w:val="16"/>
        </w:rPr>
        <w:softHyphen/>
        <w:t xml:space="preserve">ча — секретаря Тульского обкома ВКП (б). 2. </w:t>
      </w:r>
      <w:proofErr w:type="gramStart"/>
      <w:r w:rsidRPr="008127F8">
        <w:rPr>
          <w:color w:val="000000" w:themeColor="text1"/>
          <w:sz w:val="16"/>
          <w:szCs w:val="16"/>
        </w:rPr>
        <w:t>Вое- нинженера</w:t>
      </w:r>
      <w:proofErr w:type="gramEnd"/>
      <w:r w:rsidRPr="008127F8">
        <w:rPr>
          <w:color w:val="000000" w:themeColor="text1"/>
          <w:sz w:val="16"/>
          <w:szCs w:val="16"/>
        </w:rPr>
        <w:t xml:space="preserve"> 1-го ранга Матаева Петра Ивановича — начальника отдела ГУ ВВС КА. 3. Руднева Констан</w:t>
      </w:r>
      <w:r w:rsidRPr="008127F8">
        <w:rPr>
          <w:color w:val="000000" w:themeColor="text1"/>
          <w:sz w:val="16"/>
          <w:szCs w:val="16"/>
        </w:rPr>
        <w:softHyphen/>
        <w:t>тина Николаевича — бывшего главного инженера ЦКБ-14. 4. Гончарова — летчика-испытателя НИП АВ ВВС. 5. Воентехника 1-го ранга Макарчева Сергея Андреевича — инженера-испытателя НИП АВ ВВС. 6. Военинженера 2-го ранга Филиппова Андрея Яковлевича — ведущего инженера НИП АВ ВВС».</w:t>
      </w:r>
    </w:p>
    <w:p w14:paraId="6885A16E"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Известна резолюция Маленкова: «т. Шахурину, т. Новикову, т. Ванникову. Прошу ознакомиться с за</w:t>
      </w:r>
      <w:r w:rsidRPr="008127F8">
        <w:rPr>
          <w:color w:val="000000" w:themeColor="text1"/>
          <w:sz w:val="16"/>
          <w:szCs w:val="16"/>
        </w:rPr>
        <w:softHyphen/>
        <w:t>пиской и сказать свое мнение. Маленков, 18.4.42 г.».</w:t>
      </w:r>
    </w:p>
    <w:p w14:paraId="698EF664" w14:textId="77777777" w:rsidR="00FD64FA" w:rsidRPr="008127F8" w:rsidRDefault="00FD64FA"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Какова была реакция наркоматов авиапромыш</w:t>
      </w:r>
      <w:r w:rsidRPr="008127F8">
        <w:rPr>
          <w:color w:val="000000" w:themeColor="text1"/>
          <w:sz w:val="16"/>
          <w:szCs w:val="16"/>
        </w:rPr>
        <w:softHyphen/>
        <w:t>ленности и боеприпасов на предложение Волкова и Ярцева, не ясно, но военные поддержали авторов пушки ВЯ (17500).</w:t>
      </w:r>
    </w:p>
    <w:p w14:paraId="2C8F422E" w14:textId="77777777" w:rsidR="00FD64FA" w:rsidRPr="008127F8" w:rsidRDefault="00FD64FA" w:rsidP="001E0A84">
      <w:pPr>
        <w:spacing w:after="0" w:line="240" w:lineRule="auto"/>
        <w:jc w:val="both"/>
        <w:rPr>
          <w:rFonts w:ascii="Times New Roman" w:hAnsi="Times New Roman"/>
          <w:color w:val="000000" w:themeColor="text1"/>
          <w:sz w:val="16"/>
          <w:szCs w:val="16"/>
        </w:rPr>
      </w:pPr>
    </w:p>
    <w:p w14:paraId="0EEAAF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года Шахурин писал письмо N Н-25/1215 Маленкову и начальнику Седьмого лагерного участка безымянского лагеря НКВД.</w:t>
      </w:r>
    </w:p>
    <w:p w14:paraId="5C4C9B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проекте самолета амфибия МГ-1, конструкции заключенного Горохова М.И., представленном в виде схематичных чертежей и краткой пояснительной записки нет никаких расчетов или ориентировочных данных о характеристиках аппарата в полете, при движении в воде, а также нет данных по взлету и посадке на воду.</w:t>
      </w:r>
    </w:p>
    <w:p w14:paraId="01EA6E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схемы самолета ясно, что он не сможет садиться на воду и взлетать с воды из-за отсутствия плавательных приспособлений и низкого расположения крыла.</w:t>
      </w:r>
    </w:p>
    <w:p w14:paraId="199884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гидросамолета, который мог бы погружаться в воду, оставаться под водой на небольшой глубине и двигаться под водой с некоторой малой скоростью, на сегодня является проблематичной.</w:t>
      </w:r>
    </w:p>
    <w:p w14:paraId="0B2BB4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Автору послан ответ с замечаниями, которые ему необходимо учесть в своей дальнейшей работе по проекту (2160,246).</w:t>
      </w:r>
    </w:p>
    <w:p w14:paraId="26B184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E82D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[Справка о выдаче Кириленко А.П. мандата уполномоченного ГКО на заводе № 16 НКАП в Казани.] № 1520 (7027, 38).</w:t>
      </w:r>
    </w:p>
    <w:p w14:paraId="2A5EB41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2FE0D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 Докладная записка директора филиала завода № 379 В. Т. Быстрова в Татарский обком ВКП (б) о работе филиала Завод № 379 НКАП, организованный на базе бывшего особого конструкторского бюро, до 1941 года являлся опытным заводом Наркомата авиапромышленности, выполняя крупные опытные работы по авиационной автоматике (телемеханические самолеты, планирующие торпеды, автоматика дистанционного управления оружия на самолете, автоматизация авиационных прицелов).</w:t>
      </w:r>
    </w:p>
    <w:p w14:paraId="5DD0E2E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Загрузка филиала завода № 379, эвакуированного в г. Казань из г. Ленинграда, в настоящее время состоит:</w:t>
      </w:r>
    </w:p>
    <w:p w14:paraId="319DB97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По авиационным работам</w:t>
      </w:r>
    </w:p>
    <w:p w14:paraId="0AE10C9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Подготовка и проведение боевого использования телесамолетов (2 самолета ТБ-3, 1 самолет СБ). Вся автоматика этих телесамолетов проектировалась и изготовлялась на заводе № 379, самолеты прошли государственные испытания и в настоящий момент завод совместно с ВВС Красной Армии проводит их боевое применение.</w:t>
      </w:r>
    </w:p>
    <w:p w14:paraId="76AD723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Изготовление 4-х образцов автоматических прицелов для самолета 103 по заказу главного конструктора тов. Туполева. Прицелы были изготовлены на заводе № 379, прошли лабораторные испытания с хорошими результатами. При транспортировке в г. Омск для летных испытаний были уничтожены вражеской авиацией.</w:t>
      </w:r>
    </w:p>
    <w:p w14:paraId="7704AFD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Изготовление 10-ти образцов систем автоматического управления хвостовым пулеметом на самолете Пе-2 из герметической кабины. Заказ главного конструктора тов. Петлякова. Установка была закончена, прошла полигонные испытания. Погибла при транспортировке в г. Казань.</w:t>
      </w:r>
    </w:p>
    <w:p w14:paraId="09DB3DC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Проектирование и изготовление дистанционного управления спаренным оружием из герметической кабины самолета 102 по заказу завода № 156.</w:t>
      </w:r>
    </w:p>
    <w:p w14:paraId="3ADEA1D6"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Проектирование и изготовление посадочного альтиметра малых высот по заказу оборонной секции Академии Наук СССР.</w:t>
      </w:r>
    </w:p>
    <w:p w14:paraId="09F369B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Проектирование и изготовление аппаратуры для двух телесамолетов, летающих торпед по заказу Наркомата Военно-Морского Флота.</w:t>
      </w:r>
    </w:p>
    <w:p w14:paraId="5A2B0BD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Загрузка завода по серийной продукции</w:t>
      </w:r>
    </w:p>
    <w:p w14:paraId="4072DF3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Изготовление принимающих приборов ПУАЗО-3 (приборы для зенитной артиллерии). Указанные приборы завод начал изготовлять в 1941 г. и поставляет их заводам Наркомсудпрома, которые являются генеральными поставщиками всей системы ПУАЗО. Продукция изготовляется по чертежам завода № 205 Наркомсудпрома.</w:t>
      </w:r>
    </w:p>
    <w:p w14:paraId="11EA618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как по составу своих кадров, так и по опыту работ, является заводом авиационным, имеет сильное конструкторское бюро, летно-испытательную группу и опытные кадры механиков-специалистов по авиационной автоматике.</w:t>
      </w:r>
    </w:p>
    <w:p w14:paraId="67AD41E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передачи завода в систему НКСП вышеуказанные авиационные работы будут прекращены, кадры распылены, и многолетний опыт работ по телесамолетам будет потерян, что приведет к прекращению работ в этой области.</w:t>
      </w:r>
    </w:p>
    <w:p w14:paraId="7CC51E8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филиала завода № 379 Быстров</w:t>
      </w:r>
    </w:p>
    <w:p w14:paraId="3131911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 ИПД РТ. Ф. 15. Оп. 5. Д. 469. Л. 37, 38. Подлинник (15494).</w:t>
      </w:r>
    </w:p>
    <w:p w14:paraId="5598DE79"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649BB9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года вышел прика НКАП № 242с, согласно которому на базе эвакуированной части завода № 218 был создан филиал № 218 с последующей организацией его в самостоятельную хозрасчетную единицу с присвоением ему наименования завод № 448.</w:t>
      </w:r>
    </w:p>
    <w:p w14:paraId="4518D8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размещения и организации завода в Казани была выделена промплощадка фабрики № 8 “Кинопленка”.</w:t>
      </w:r>
    </w:p>
    <w:p w14:paraId="6538D6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за № 2902-849с от 15 ноября 1945 года завод № 448 в марте 1946 года начал осуществлять перебазирование материальных ценностей и людского состава из Казани в Ленинград.</w:t>
      </w:r>
    </w:p>
    <w:p w14:paraId="507833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Реэвакуация была закончена в сентябре 1946 года.</w:t>
      </w:r>
    </w:p>
    <w:p w14:paraId="2E621E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0525D6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w:t>
      </w:r>
    </w:p>
    <w:p w14:paraId="17AD05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1941 по 1945 гг. – Цветков И.М.</w:t>
      </w:r>
    </w:p>
    <w:p w14:paraId="63AD7A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1945 по 1950 гг – Хмельник И.И.</w:t>
      </w:r>
    </w:p>
    <w:p w14:paraId="1136D0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1950 г. – Волков Н.Д. (9613).</w:t>
      </w:r>
    </w:p>
    <w:p w14:paraId="7EF6DD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DA94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апреля 1942 г.</w:t>
      </w:r>
    </w:p>
    <w:p w14:paraId="79F4DE3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Докладная записка директора филиала завода № 379 В. Т. Быстрова в Татарский обком ВКП(б) о работе филиала.</w:t>
      </w:r>
    </w:p>
    <w:p w14:paraId="41FEC03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379 НКАП, организованный на базе бывшего особого конструкторского бюро, до 1941 года являлся опытным заводом Наркомата авиапромышленности, выполняя крупные опытные работы по авиационной автоматике (телемеханические самолеты, планирующие торпеды, автоматика дистанционного управления оружия на самолете, автоматизация авиационных прицелов).</w:t>
      </w:r>
    </w:p>
    <w:p w14:paraId="652214EA"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Загрузка филиала завода № 379, эвакуированного в г. Казань из г. Ленинграда, в настоящее время состоит:</w:t>
      </w:r>
    </w:p>
    <w:p w14:paraId="678941A7"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По авиационным работам</w:t>
      </w:r>
    </w:p>
    <w:p w14:paraId="17A88C0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Подготовка и проведение боевого использования телесамолетов (2 самолета ТБ-3, 1 самолет СБ). Вся автоматика этих телесамолетов проектировалась и изготовлялась на заводе № 379, самолеты прошли государственные испытания, и в настоящий момент завод совместно с ВВС Красной Армии проводит их боевое применение.</w:t>
      </w:r>
    </w:p>
    <w:p w14:paraId="38115CC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Изготовление 4-х образцов автоматических прицелов для самолета 103 по заказу главного конструктора тов. Туполева. Прицелы были изготовлены на заводе № 379, прошли лабораторные испытания с хорошими результатами. При транспортировке в г. Омск для летных испытаний были уничтожены вражеской авиацией.</w:t>
      </w:r>
    </w:p>
    <w:p w14:paraId="0D2250BC"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Изготовление 10-ти образцов систем автоматического управления хвостовым пулеметом на самолете Пе-2 из герметической кабины. Заказ главного конструктора тов. Петлякова. Установка была закончена, прошла полигонные испытания. Погибла при транспортировке в г. Казань.</w:t>
      </w:r>
    </w:p>
    <w:p w14:paraId="78800679"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Проектирование и изготовление дистанционного управления спаренным оружием из герметической кабины самолета 102 по заказу завода № 156.</w:t>
      </w:r>
    </w:p>
    <w:p w14:paraId="6285496A"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Проектирование и изготовление посадочного альтиметра малых высот по заказу оборонной секции Академии Наук СССР.</w:t>
      </w:r>
    </w:p>
    <w:p w14:paraId="2E5E5248"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Проектирование и изготовление аппаратуры для двух телесамолетов, летающих торпед по заказу Наркомата Военно-Морского Флота.</w:t>
      </w:r>
    </w:p>
    <w:p w14:paraId="738767C6"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Загрузка завода по серийной продукции</w:t>
      </w:r>
    </w:p>
    <w:p w14:paraId="2CA50C0B"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Изготовление принимающих приборов ПУАЗО-3 (приборы для зенитной артиллерии). Указанные приборы завод начал изготовлять в 1941 г. и поставляет их заводам Наркомсудпрома, которые являются генеральными поставщиками всей системы ПУАЗО. Продукция изготовляется по чертежам завода № 205 Наркомсудпрома.</w:t>
      </w:r>
    </w:p>
    <w:p w14:paraId="52CBD83D"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как по составу своих кадров, так и по опыту работ, является заводом авиационным, имеет сильное конструкторское бюро, летно-испытательную группу и опытные кадры механиков-специалистов по авиационной автоматике.</w:t>
      </w:r>
    </w:p>
    <w:p w14:paraId="7133789E"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случае передачи завода в систему НКСП вышеуказанные авиационные работы будут прекращены, кадры распылены, и многолетний опыт работ по телесамолетам будет потерян, что приведет к прекращению работ в этой области.</w:t>
      </w:r>
    </w:p>
    <w:p w14:paraId="5EA74B25"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филиала завода № 379 Быстров</w:t>
      </w:r>
    </w:p>
    <w:p w14:paraId="52FAAD1F"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(ЦГА ИПД РТ. Ф. 15. Оп. 5. Д. 469. Л. 37, 38. Подлинник) (23590).</w:t>
      </w:r>
    </w:p>
    <w:p w14:paraId="75D06091" w14:textId="77777777" w:rsidR="00EB32CC" w:rsidRPr="008A2E5A" w:rsidRDefault="00EB32CC" w:rsidP="00EB32CC">
      <w:pPr>
        <w:spacing w:after="0" w:line="240" w:lineRule="auto"/>
        <w:jc w:val="both"/>
        <w:rPr>
          <w:rFonts w:ascii="Times New Roman" w:hAnsi="Times New Roman"/>
          <w:color w:val="0070C0"/>
          <w:sz w:val="16"/>
          <w:szCs w:val="16"/>
        </w:rPr>
      </w:pPr>
    </w:p>
    <w:p w14:paraId="5F8E6C6B"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5E223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8F5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 решением ГКО бронебойный подкалиберный снаряд БР-240П был принят на вооружение. До конца Великой Отечественной войны было изготовлено около 3,4 млн. 45-мм подкалиберных снарядов. В предвоенное время выпускались еще 45-мм бронебойно-химические и дымовые снаряды (3861).</w:t>
      </w:r>
    </w:p>
    <w:p w14:paraId="5E6F80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1D1F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апреля 1942 г. решением ГКО 45мм подкалиберный снаряд был принят на вооружение РККА. В дальнейшем группа И.С. Бурмистрова разработала 76- и 57-мм подкалиберные бронебойные снаряды с сердечниками из карбидвольфрамового твердого сплава, имевших диаметр соответственно 28 и 25 мм. В апреле - мае 1943 г. решением ГКО оба снаряда были приняты на вооружение РККА. При дальностях стрельбы от 300 до 500 м и угле встречи 90° толщи-на пробиваемой брони для 45-мм подкалиберного снаряда изменялась соответственно от 77 до 66 мм, для 57-мм снаряда - от 165 до 146 мм и для 76-мм подкалиберного снаряда - от 114 до 96 мм. В дальнейшем в НИИ-24 НКБ СССР был разработан бронебойно-трассирующий подкалиберный снаряд БР-365П к 85-мм пушке. Он был принят на вооружение РККА в феврале 1944 г. Специализированные заводы Наркомата боеприпасов быстро осво</w:t>
      </w:r>
      <w:r w:rsidRPr="008127F8">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8127F8">
        <w:rPr>
          <w:rFonts w:ascii="Times New Roman" w:hAnsi="Times New Roman"/>
          <w:color w:val="000000" w:themeColor="text1"/>
          <w:sz w:val="16"/>
          <w:szCs w:val="16"/>
        </w:rPr>
        <w:softHyphen/>
        <w:t>рядов, около 0,5 млн - 57-мм, более 1 млн - 76-мм, 95 тыс. - 85-мм сна</w:t>
      </w:r>
      <w:r w:rsidRPr="008127F8">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8127F8">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8127F8">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8127F8">
        <w:rPr>
          <w:rFonts w:ascii="Times New Roman" w:hAnsi="Times New Roman"/>
          <w:color w:val="000000" w:themeColor="text1"/>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8127F8">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8127F8">
        <w:rPr>
          <w:rFonts w:ascii="Times New Roman" w:hAnsi="Times New Roman"/>
          <w:color w:val="000000" w:themeColor="text1"/>
          <w:sz w:val="16"/>
          <w:szCs w:val="16"/>
        </w:rPr>
        <w:softHyphen/>
        <w:t>не и придания головной части снаряда удобообтекаемой формы (10703).</w:t>
      </w:r>
    </w:p>
    <w:p w14:paraId="1ED026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63CF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 несмот</w:t>
      </w:r>
      <w:r w:rsidRPr="008127F8">
        <w:rPr>
          <w:rFonts w:ascii="Times New Roman" w:hAnsi="Times New Roman"/>
          <w:color w:val="000000" w:themeColor="text1"/>
          <w:sz w:val="16"/>
          <w:szCs w:val="16"/>
        </w:rPr>
        <w:softHyphen/>
        <w:t>ря на то что программа испытаний еще не была окончена, 45-мм подкалиберный снаряд, пробивший бронеплиту танка КВ средней твердости толщи</w:t>
      </w:r>
      <w:r w:rsidRPr="008127F8">
        <w:rPr>
          <w:rFonts w:ascii="Times New Roman" w:hAnsi="Times New Roman"/>
          <w:color w:val="000000" w:themeColor="text1"/>
          <w:sz w:val="16"/>
          <w:szCs w:val="16"/>
        </w:rPr>
        <w:softHyphen/>
        <w:t>ной 75 мм со скоростью, соответствующей удалению в 300 м., принимается на вооружение. Новый снаряд представлял собой поддон из поделоч</w:t>
      </w:r>
      <w:r w:rsidRPr="008127F8">
        <w:rPr>
          <w:rFonts w:ascii="Times New Roman" w:hAnsi="Times New Roman"/>
          <w:color w:val="000000" w:themeColor="text1"/>
          <w:sz w:val="16"/>
          <w:szCs w:val="16"/>
        </w:rPr>
        <w:softHyphen/>
        <w:t>ной или конструкционной стали катушечной формы, в го</w:t>
      </w:r>
      <w:r w:rsidRPr="008127F8">
        <w:rPr>
          <w:rFonts w:ascii="Times New Roman" w:hAnsi="Times New Roman"/>
          <w:color w:val="000000" w:themeColor="text1"/>
          <w:sz w:val="16"/>
          <w:szCs w:val="16"/>
        </w:rPr>
        <w:softHyphen/>
        <w:t>ловное очко которого запрессовывался или вставлялся на специальной мастике сердечник из карбида вольфрама, с головной части прикрываемый баллистическим наконеч</w:t>
      </w:r>
      <w:r w:rsidRPr="008127F8">
        <w:rPr>
          <w:rFonts w:ascii="Times New Roman" w:hAnsi="Times New Roman"/>
          <w:color w:val="000000" w:themeColor="text1"/>
          <w:sz w:val="16"/>
          <w:szCs w:val="16"/>
        </w:rPr>
        <w:softHyphen/>
        <w:t>ником из кровельного железа или пластмассы. В хвостовой части снаряда растачивалось гнездо трассера.</w:t>
      </w:r>
    </w:p>
    <w:p w14:paraId="3A2DB0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Роль поддона была в том, чтобы играть роль центриру</w:t>
      </w:r>
      <w:r w:rsidRPr="008127F8">
        <w:rPr>
          <w:rFonts w:ascii="Times New Roman" w:hAnsi="Times New Roman"/>
          <w:color w:val="000000" w:themeColor="text1"/>
          <w:sz w:val="16"/>
          <w:szCs w:val="16"/>
        </w:rPr>
        <w:softHyphen/>
        <w:t>ющего устройства сердечника при выстреле, затем донести сердечник до цели и отдать ему часть своей кинетической энергии. Высокая пробивная способность подкалиберного снаряда обуславливалась его высокой начальной скорос</w:t>
      </w:r>
      <w:r w:rsidRPr="008127F8">
        <w:rPr>
          <w:rFonts w:ascii="Times New Roman" w:hAnsi="Times New Roman"/>
          <w:color w:val="000000" w:themeColor="text1"/>
          <w:sz w:val="16"/>
          <w:szCs w:val="16"/>
        </w:rPr>
        <w:softHyphen/>
        <w:t>тью (снаряд был значительно легче бронебойного калибер-ного при сравнимом пороховом заряде), а также высокой прочностью и большой поперечной нагрузкой сердечника диаметром 20 мм. При соударении с броней баллистичес</w:t>
      </w:r>
      <w:r w:rsidRPr="008127F8">
        <w:rPr>
          <w:rFonts w:ascii="Times New Roman" w:hAnsi="Times New Roman"/>
          <w:color w:val="000000" w:themeColor="text1"/>
          <w:sz w:val="16"/>
          <w:szCs w:val="16"/>
        </w:rPr>
        <w:softHyphen/>
        <w:t>кий сердечник разрушался и почти весь импульс снаряда передавался сердечнику, тогда как поддон, сминаясь, оста</w:t>
      </w:r>
      <w:r w:rsidRPr="008127F8">
        <w:rPr>
          <w:rFonts w:ascii="Times New Roman" w:hAnsi="Times New Roman"/>
          <w:color w:val="000000" w:themeColor="text1"/>
          <w:sz w:val="16"/>
          <w:szCs w:val="16"/>
        </w:rPr>
        <w:softHyphen/>
        <w:t>вался за броней...</w:t>
      </w:r>
    </w:p>
    <w:p w14:paraId="05DC48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несмотря на то что разработка снаряда закончилась весной 1942 г., его крупносерийное производство было на</w:t>
      </w:r>
      <w:r w:rsidRPr="008127F8">
        <w:rPr>
          <w:rFonts w:ascii="Times New Roman" w:hAnsi="Times New Roman"/>
          <w:color w:val="000000" w:themeColor="text1"/>
          <w:sz w:val="16"/>
          <w:szCs w:val="16"/>
        </w:rPr>
        <w:softHyphen/>
        <w:t>чато только в 1943 г. Связано это было с тем, что техноло</w:t>
      </w:r>
      <w:r w:rsidRPr="008127F8">
        <w:rPr>
          <w:rFonts w:ascii="Times New Roman" w:hAnsi="Times New Roman"/>
          <w:color w:val="000000" w:themeColor="text1"/>
          <w:sz w:val="16"/>
          <w:szCs w:val="16"/>
        </w:rPr>
        <w:softHyphen/>
        <w:t>гия изготовления сердечников из порошкового материала прессованием, разработнанная под руководством В. Рискина, Г. Левина и М. Медведева, была отработана лишь к середине 1942 г., в рамках которой инженер В. Семченко разработал простые пресс-формы, а также по причине по</w:t>
      </w:r>
      <w:r w:rsidRPr="008127F8">
        <w:rPr>
          <w:rFonts w:ascii="Times New Roman" w:hAnsi="Times New Roman"/>
          <w:color w:val="000000" w:themeColor="text1"/>
          <w:sz w:val="16"/>
          <w:szCs w:val="16"/>
        </w:rPr>
        <w:softHyphen/>
        <w:t>явления в начале 1943 г. на фронте немецких танков «Тигр» и Т-IV с усиленной лобовой броней, неуязвимой для 45-мм бронебойного снаряда (11135).</w:t>
      </w:r>
    </w:p>
    <w:p w14:paraId="6ED17B9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E4AB4" w14:textId="4000596F"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постановлением Государственного Комитета Обороны (ГКО) был принят на вооружение первый отечественный бронебойный подкалиберный снаряд БР-240П для 45-мм противотанковой пушки.</w:t>
      </w:r>
    </w:p>
    <w:p w14:paraId="0904E44A" w14:textId="3F5CBC39"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1919 по </w:t>
      </w:r>
      <w:proofErr w:type="gramStart"/>
      <w:r w:rsidRPr="008127F8">
        <w:rPr>
          <w:rFonts w:ascii="Times New Roman" w:hAnsi="Times New Roman"/>
          <w:color w:val="000000" w:themeColor="text1"/>
          <w:sz w:val="16"/>
          <w:szCs w:val="16"/>
        </w:rPr>
        <w:t>1939</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были израсходованы огромные средства на опыты с подкалиберными и беспоясковыми снарядами, а эффект их тождественно равен нулю. Ни один снаряд с поддонами, ни одна такая система не поступили на вооружение. Мало того, работы по полигональным и подкалиберным фугасным снарядам оказались тупиковым направлением в артиллерии. Нарезные снаряды имели свое применение в некоторых минометах и безоткатных орудиях, но это были совсем другие конструкции. Накопленный опыт при создании фугасных подкалиберных снарядов нигде не пригодился.</w:t>
      </w:r>
    </w:p>
    <w:p w14:paraId="1BB698F7" w14:textId="171056EB"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 нас в 1930-х годах делались опыты с 45-мм бронебойными снарядами с отравляющими газами и многое другое, но применять против танков бронебойные подкалиберные снаряды никто не додумался. Лишь захватив в </w:t>
      </w:r>
      <w:proofErr w:type="gramStart"/>
      <w:r w:rsidRPr="008127F8">
        <w:rPr>
          <w:rFonts w:ascii="Times New Roman" w:hAnsi="Times New Roman"/>
          <w:color w:val="000000" w:themeColor="text1"/>
          <w:sz w:val="16"/>
          <w:szCs w:val="16"/>
        </w:rPr>
        <w:t>1941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на поле боя германские подкалиберные бронебойные снаряды, у нас начали проектирование их аналогов (12705).</w:t>
      </w:r>
    </w:p>
    <w:p w14:paraId="47170A68"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59F706FB"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 апреля 1942 началась реальная сборка Т-70. За первую декаду месяца было принято 8 танков из планировавшихся 15. К 10 числу на заводе имелось 35 корпусов, из которых 14 находилось в процессе сборки. Освоение производства шло непросто: из 13 машин, сданных к 12 апреля, у семи сгорело главное сцепление, на трёх пришлось сменить главную передачу, три танка уводило в сторону, у двух заменили моторы, а ещё у двух обнаружились дефекты коробок передач. Часть этих проблем являлась производственными дефектами.</w:t>
      </w:r>
    </w:p>
    <w:p w14:paraId="74D3A4CC"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Всего же за апрель было принято 50 Т-70 вместо запланированных 170. В процессе сборки находились ещё 33 танка. Ещё более неприятным фактом стало то, что из всех выпущенных за март-апрель танков только 19 был отправлено заказчику, а 33 машины продолжали оставаться на заводе, где производился их ремонт.</w:t>
      </w:r>
    </w:p>
    <w:p w14:paraId="7666093D"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Основной причиной столь массовых дефектов было то, что на заводе ещё не до конца освоили технологию сборки. Наиболее распространённой неисправностью Т-70 на тот момент являлся перегрев двигателей.</w:t>
      </w:r>
    </w:p>
    <w:p w14:paraId="437D4EFD"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касается дел с поставкой корпусов, то за апрель их пришло 132 штуки. По корпусам имелось масса претензий, связанных с некачественной сваркой. Ещё больше претензий набралось по башням. Относительно массовым явлением (на 8 корпусах) оказались трещины. Для решения проблем пришлось загружать корпусной цех ГАЗ, что стало причиной срыва работ по другим направлениям. Для решения проблем были вызваны представители заводов №176 и №177, которые пообещали исправить положение.</w:t>
      </w:r>
    </w:p>
    <w:p w14:paraId="394C140E"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же касается других дефектов, то Астров и главный конструктор ГАЗ им. Молотова А. А. Липгардт значительно доработали конструкцию танка. Только по корпусу было переделано 43 чертежей из 164, а по двигателю – 18 из 79, плюс 8 чертежей было введено вновь. При этом доработки продолжились.</w:t>
      </w:r>
    </w:p>
    <w:p w14:paraId="36AA3640"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ходе наладки производственных процессов та самая литая башня, с которой началась история Т-70, ушла в небытие. При плане в 20 башен завод №178 за март выпустил всего 9 штук, а отгрузили и вовсе 5. Связано это было в том числе и с задержкой в выдаче документации. За апрель было выпущено 10 таких башен, ещё 5 в мае. На этом в Кулебаках башни Т-70 лить прекратили, поскольку вместо башен началось массовое производство литых люков механика-водителя и бронировки орудийных масок. Тем не менее ещё 15 башен оказалось сдано в июле 1942 года. В общей сложности на ГАЗ им. Молотова оказалось 47 литых башен.</w:t>
      </w:r>
    </w:p>
    <w:p w14:paraId="3AF014EF" w14:textId="77777777" w:rsidR="003259EA" w:rsidRPr="008127F8" w:rsidRDefault="003259E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 задалось дело с литыми башнями и на заводе №38. Работы по подготовке производства там начались еще в марте 1942 года. Из-за проблем с коробками передач ЗИС-5 ни одного комплекта ГАЗ-203 на завод за март не поступило. Имелись проблемы и с литыми деталями. Вместе с тем, по состоянию на начало апреля в Кирове были изготовлены 2 литые башни и 5 корпусов, еще 10 корпусов находились в работе. В дальнейшем на заводе №38 также был организован выпуск сварных башен. За апрель здесь было сдано 7 танков из 20 планировавшихся (17664).</w:t>
      </w:r>
    </w:p>
    <w:p w14:paraId="275FECF1" w14:textId="77777777" w:rsidR="003259EA" w:rsidRPr="008127F8" w:rsidRDefault="003259EA" w:rsidP="001E0A84">
      <w:pPr>
        <w:spacing w:after="0" w:line="240" w:lineRule="auto"/>
        <w:jc w:val="both"/>
        <w:rPr>
          <w:rFonts w:ascii="Times New Roman" w:hAnsi="Times New Roman"/>
          <w:color w:val="000000" w:themeColor="text1"/>
          <w:sz w:val="16"/>
          <w:szCs w:val="16"/>
        </w:rPr>
      </w:pPr>
    </w:p>
    <w:p w14:paraId="2611A46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г. было принято решение о прекра</w:t>
      </w:r>
      <w:r w:rsidRPr="008127F8">
        <w:rPr>
          <w:rFonts w:ascii="Times New Roman" w:hAnsi="Times New Roman"/>
          <w:color w:val="000000" w:themeColor="text1"/>
          <w:sz w:val="16"/>
          <w:szCs w:val="16"/>
        </w:rPr>
        <w:softHyphen/>
        <w:t>щении здесь установки моторов М-17 в Т-34, и почти все танки мартовской программы были в начале апреля пере</w:t>
      </w:r>
      <w:r w:rsidRPr="008127F8">
        <w:rPr>
          <w:rFonts w:ascii="Times New Roman" w:hAnsi="Times New Roman"/>
          <w:color w:val="000000" w:themeColor="text1"/>
          <w:sz w:val="16"/>
          <w:szCs w:val="16"/>
        </w:rPr>
        <w:softHyphen/>
        <w:t>оснащены дизелями В-2, а демонтированные карбюратор</w:t>
      </w:r>
      <w:r w:rsidRPr="008127F8">
        <w:rPr>
          <w:rFonts w:ascii="Times New Roman" w:hAnsi="Times New Roman"/>
          <w:color w:val="000000" w:themeColor="text1"/>
          <w:sz w:val="16"/>
          <w:szCs w:val="16"/>
        </w:rPr>
        <w:softHyphen/>
        <w:t>ные двигатели отправлены на завод № 112, где о стабиль</w:t>
      </w:r>
      <w:r w:rsidRPr="008127F8">
        <w:rPr>
          <w:rFonts w:ascii="Times New Roman" w:hAnsi="Times New Roman"/>
          <w:color w:val="000000" w:themeColor="text1"/>
          <w:sz w:val="16"/>
          <w:szCs w:val="16"/>
        </w:rPr>
        <w:softHyphen/>
        <w:t>ной поставке дизелей можно еще было только мечтать (10782).</w:t>
      </w:r>
    </w:p>
    <w:p w14:paraId="0DDCEE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C48041"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апреля 1942 года было изготовлено 65 бронепоездов типа ОБ-3 (9642).</w:t>
      </w:r>
    </w:p>
    <w:p w14:paraId="60793400"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24CCBD8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1515 О Центральном управлении вагонного хозяйства НКПС. (7027, 1-2,3-14).</w:t>
      </w:r>
    </w:p>
    <w:p w14:paraId="5D90334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0CAE2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1516 О руководящих кадрах Центрального управления вагонного хозяйства НКПС. (7027, 15-15об.).</w:t>
      </w:r>
    </w:p>
    <w:p w14:paraId="0180A7F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B96E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1518 Об утверждении плана заказов НКО, НКВМФ и НКВД СССР на II квартал и апрель месяц 1942 г. по вещевому имуществу. РГАНИР, Фонд ГКО, д. 26, лл. 18-20, 21-36 (11012).</w:t>
      </w:r>
    </w:p>
    <w:p w14:paraId="47DA9B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C169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1521 [О создании СКБ НКСП по проектированию, изготовлению и испытанию мин и торпед акустического действия.] (7027, 39-40,41-46).</w:t>
      </w:r>
    </w:p>
    <w:p w14:paraId="3B7AC3B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42E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апреля 1942 г. в соответствии с пост. ГКО № 1521 было создано СКБ НКСП для проектирования, изготовления и испытаний торпед и мин акустического действия. СКБ начало работать к концу 1942г. Разместилось СКБ на 2-м этаже главного корпуса НИИ-10. Первыми сотрудниками стали В.А. Поликарпов, Г.М. Клементьев, М.К. Розин, К.А. Санников,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В соответствии с распоряжением ГКО № 2590 от 7.12.1942г. в состав СКБ влито СКБ завода № 706 НКСП с его тематикой.</w:t>
      </w:r>
    </w:p>
    <w:p w14:paraId="6E6ECC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2BAF0D8C" w14:textId="77777777" w:rsidR="009E2626"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13.06.1945г. организован Ленинградский филиал СКБ НКСП (с 1949г.- НИИ-303 МСП).</w:t>
      </w:r>
    </w:p>
    <w:p w14:paraId="75A781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1946г. СКБ МСП преобразовано в МНИИ-1 (Морской НИИ № 1 (МНИИ-1) МСП,</w:t>
      </w:r>
      <w:r w:rsidRPr="008127F8">
        <w:rPr>
          <w:rFonts w:ascii="Times New Roman" w:hAnsi="Times New Roman"/>
          <w:smallCaps/>
          <w:color w:val="000000" w:themeColor="text1"/>
          <w:sz w:val="16"/>
          <w:szCs w:val="16"/>
        </w:rPr>
        <w:t xml:space="preserve"> скб</w:t>
      </w:r>
      <w:r w:rsidRPr="008127F8">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3627F2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Имел наименование «п/я 3100». В 1948г. институту передано здание фабрики-кухни по Центральному проезду (в 2000-е г. </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вторая площадка предприятия по ул. Авиамоторной, 51А). Корпус был надстроен и введен в строй в 1957(</w:t>
      </w:r>
      <w:proofErr w:type="gramStart"/>
      <w:r w:rsidRPr="008127F8">
        <w:rPr>
          <w:rFonts w:ascii="Times New Roman" w:hAnsi="Times New Roman"/>
          <w:color w:val="000000" w:themeColor="text1"/>
          <w:sz w:val="16"/>
          <w:szCs w:val="16"/>
        </w:rPr>
        <w:t>2)г.</w:t>
      </w:r>
      <w:proofErr w:type="gramEnd"/>
      <w:r w:rsidRPr="008127F8">
        <w:rPr>
          <w:rFonts w:ascii="Times New Roman" w:hAnsi="Times New Roman"/>
          <w:color w:val="000000" w:themeColor="text1"/>
          <w:sz w:val="16"/>
          <w:szCs w:val="16"/>
        </w:rPr>
        <w:t xml:space="preserve">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358AC7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8127F8">
        <w:rPr>
          <w:rFonts w:ascii="Times New Roman" w:hAnsi="Times New Roman"/>
          <w:color w:val="000000" w:themeColor="text1"/>
          <w:sz w:val="16"/>
          <w:szCs w:val="16"/>
          <w:vertAlign w:val="superscript"/>
        </w:rPr>
        <w:t xml:space="preserve">9: </w:t>
      </w:r>
      <w:r w:rsidRPr="008127F8">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280377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28083B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5EE267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2E99E4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60E97C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784ECA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01C15A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71C77C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0D0E2D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73F101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7FC4AB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институт стал головным по ЭВМ и системам управления для МСП.</w:t>
      </w:r>
    </w:p>
    <w:p w14:paraId="370456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C6E9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79BD45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6D23ED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165D14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0BE8BA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7A5278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48EB6B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2 т.</w:t>
      </w:r>
    </w:p>
    <w:p w14:paraId="0A757C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(2005г.): БИУС и СУО для ПЛ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ro</w:t>
      </w:r>
      <w:r w:rsidRPr="008127F8">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582C90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(1.01.1958г.)- 2296 чел.</w:t>
      </w:r>
    </w:p>
    <w:p w14:paraId="40B02B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Касьян, (10.2003-05г.-)- Е.С. Новиков.</w:t>
      </w:r>
    </w:p>
    <w:p w14:paraId="4182E0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54EFC9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(2005г.)- Е.С. Новиков.</w:t>
      </w:r>
    </w:p>
    <w:p w14:paraId="0E149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8127F8">
        <w:rPr>
          <w:rFonts w:ascii="Times New Roman" w:hAnsi="Times New Roman"/>
          <w:color w:val="000000" w:themeColor="text1"/>
          <w:sz w:val="16"/>
          <w:szCs w:val="16"/>
          <w:vertAlign w:val="superscript"/>
        </w:rPr>
        <w:t>101</w:t>
      </w:r>
    </w:p>
    <w:p w14:paraId="468058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(1952-60 г.)- Д.В. Чувилин.</w:t>
      </w:r>
      <w:r w:rsidRPr="008127F8">
        <w:rPr>
          <w:rFonts w:ascii="Times New Roman" w:hAnsi="Times New Roman"/>
          <w:color w:val="000000" w:themeColor="text1"/>
          <w:sz w:val="16"/>
          <w:szCs w:val="16"/>
          <w:vertAlign w:val="superscript"/>
        </w:rPr>
        <w:t>103</w:t>
      </w:r>
    </w:p>
    <w:p w14:paraId="44BF57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(-1969г.)- Б.С. Сыромятников.</w:t>
      </w:r>
    </w:p>
    <w:p w14:paraId="7B8C7C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(-1982г.)- Н.Д. Кретинин.</w:t>
      </w:r>
    </w:p>
    <w:p w14:paraId="578C55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(2003г.)- В. Романчиков, И.Ф. Попов, А.А. Сорокин.</w:t>
      </w:r>
    </w:p>
    <w:p w14:paraId="3DB9F0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отделения: (-1982г.)- Н.Д. Кретинин.</w:t>
      </w:r>
    </w:p>
    <w:p w14:paraId="21403A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(1949г.)- А.Э. Атомвьян (СТО-С-53), (1950-е)- К.А. Санников («Кипарис»),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-14</w:t>
      </w:r>
      <w:r w:rsidRPr="008127F8">
        <w:rPr>
          <w:rFonts w:ascii="Times New Roman" w:hAnsi="Times New Roman"/>
          <w:color w:val="000000" w:themeColor="text1"/>
          <w:sz w:val="16"/>
          <w:szCs w:val="16"/>
          <w:lang w:val="en-US"/>
        </w:rPr>
        <w:t>H</w:t>
      </w:r>
      <w:r w:rsidRPr="008127F8">
        <w:rPr>
          <w:rFonts w:ascii="Times New Roman" w:hAnsi="Times New Roman"/>
          <w:color w:val="000000" w:themeColor="text1"/>
          <w:sz w:val="16"/>
          <w:szCs w:val="16"/>
        </w:rPr>
        <w:t>-11356).</w:t>
      </w:r>
    </w:p>
    <w:p w14:paraId="381505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1985C9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(1943-47г.)- В.И. Кузнецов, (1960-74г.)- А.А. Папернов.</w:t>
      </w:r>
    </w:p>
    <w:p w14:paraId="3C940A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1656B2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Начальники лабораторий: (1966г.-)- Б.С. Сыромятников.</w:t>
      </w:r>
    </w:p>
    <w:p w14:paraId="17049F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276AC0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-14</w:t>
      </w:r>
      <w:r w:rsidRPr="008127F8">
        <w:rPr>
          <w:rFonts w:ascii="Times New Roman" w:hAnsi="Times New Roman"/>
          <w:color w:val="000000" w:themeColor="text1"/>
          <w:sz w:val="16"/>
          <w:szCs w:val="16"/>
          <w:lang w:val="en-US"/>
        </w:rPr>
        <w:t>H</w:t>
      </w:r>
      <w:r w:rsidRPr="008127F8">
        <w:rPr>
          <w:rFonts w:ascii="Times New Roman" w:hAnsi="Times New Roman"/>
          <w:color w:val="000000" w:themeColor="text1"/>
          <w:sz w:val="16"/>
          <w:szCs w:val="16"/>
        </w:rPr>
        <w:t>-11356 для "</w:t>
      </w:r>
      <w:r w:rsidRPr="008127F8">
        <w:rPr>
          <w:rFonts w:ascii="Times New Roman" w:hAnsi="Times New Roman"/>
          <w:color w:val="000000" w:themeColor="text1"/>
          <w:sz w:val="16"/>
          <w:szCs w:val="16"/>
          <w:lang w:val="en-US"/>
        </w:rPr>
        <w:t>Club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N</w:t>
      </w:r>
      <w:r w:rsidRPr="008127F8">
        <w:rPr>
          <w:rFonts w:ascii="Times New Roman" w:hAnsi="Times New Roman"/>
          <w:color w:val="000000" w:themeColor="text1"/>
          <w:sz w:val="16"/>
          <w:szCs w:val="16"/>
        </w:rPr>
        <w:t>", для "</w:t>
      </w:r>
      <w:r w:rsidRPr="008127F8">
        <w:rPr>
          <w:rFonts w:ascii="Times New Roman" w:hAnsi="Times New Roman"/>
          <w:color w:val="000000" w:themeColor="text1"/>
          <w:sz w:val="16"/>
          <w:szCs w:val="16"/>
          <w:lang w:val="en-US"/>
        </w:rPr>
        <w:t>Club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S</w:t>
      </w:r>
      <w:r w:rsidRPr="008127F8">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-36 (1981-91), «Коллекция» (2005);</w:t>
      </w:r>
      <w:r w:rsidRPr="008127F8">
        <w:rPr>
          <w:rFonts w:ascii="Times New Roman" w:hAnsi="Times New Roman"/>
          <w:color w:val="000000" w:themeColor="text1"/>
          <w:sz w:val="16"/>
          <w:szCs w:val="16"/>
          <w:vertAlign w:val="superscript"/>
        </w:rPr>
        <w:t>82</w:t>
      </w:r>
      <w:r w:rsidRPr="008127F8">
        <w:rPr>
          <w:rFonts w:ascii="Times New Roman" w:hAnsi="Times New Roman"/>
          <w:color w:val="000000" w:themeColor="text1"/>
          <w:sz w:val="16"/>
          <w:szCs w:val="16"/>
        </w:rPr>
        <w:t xml:space="preserve"> имитатор ракеты «Имитатор-Р» (2000-е) (11982).</w:t>
      </w:r>
    </w:p>
    <w:p w14:paraId="4572DE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EDFE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B403E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99DEE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в 1942 году утреннее сообщение Совинформбюро:</w:t>
      </w:r>
    </w:p>
    <w:p w14:paraId="4C091DC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 апреля на фронте каких-либо существенных изменений непроизошло.</w:t>
      </w:r>
    </w:p>
    <w:p w14:paraId="14C76D2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Наши части, действующие на одном из участков Западного фронта, в течение ночизаняли 3 населённых пункта. Пытаясь вернуть утерянные позиции, противникпредпринял несколько контратак, но был отброшен с большими для него потерями. Надругом участке фронта артиллеристы Энского подразделения уничтожили 13 немецкихорудий, 4 миномёта, 15 пулемётов, подавили одну артиллерийскую </w:t>
      </w:r>
      <w:proofErr w:type="gramStart"/>
      <w:r w:rsidRPr="008127F8">
        <w:rPr>
          <w:rFonts w:ascii="Times New Roman" w:hAnsi="Times New Roman"/>
          <w:color w:val="000000" w:themeColor="text1"/>
          <w:sz w:val="16"/>
          <w:szCs w:val="16"/>
        </w:rPr>
        <w:t>батарею,разрушили</w:t>
      </w:r>
      <w:proofErr w:type="gramEnd"/>
      <w:r w:rsidRPr="008127F8">
        <w:rPr>
          <w:rFonts w:ascii="Times New Roman" w:hAnsi="Times New Roman"/>
          <w:color w:val="000000" w:themeColor="text1"/>
          <w:sz w:val="16"/>
          <w:szCs w:val="16"/>
        </w:rPr>
        <w:t xml:space="preserve"> 5 блиндажей и 2 ДЗОТа противника.</w:t>
      </w:r>
    </w:p>
    <w:p w14:paraId="41B3243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Хорутенко, действующая на Калининскомфронте, успешно отбила контратаку немцев. Преследуя отходящего противника, нашибойцы нанесли врагу большой урон. На поле боя осталось свыше 350 трупов немецкихсолдат и офицеров. Захвачены трофеи: 10 орудий, 7 пулемётов, 20.000 патронов,5.000 снарядов, много винтовок и автоматов.</w:t>
      </w:r>
    </w:p>
    <w:p w14:paraId="1080606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гитлеровцев, засевшая в блиндаже, вела ружейный и пулемётный огонь понаступавшим нашим бойцам. Красноармеец тов. Кошелев по глубокому снегу подполз квражескому блиндажу и, бросив туда несколько гранат, уничтожил 10 немецкихсолдат. Тов. Кошелев забрал у убитых немцев винтовки и 2 автомата и невредимымвернулся в своё подразделение.</w:t>
      </w:r>
    </w:p>
    <w:p w14:paraId="27FEA81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части под командованием тов. Трусова, открыли групповойружейно-пулемётный огонь по самолёту противника. Самолёт загорелся и упал наземлю.</w:t>
      </w:r>
    </w:p>
    <w:p w14:paraId="6F82F99B"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Смоленской области под командованием тов. Ф. взорвал 6 мостови разрушил несколько километров железнодорожного пути на дороге, по которойнемцы подбрасывали к фронту свои резервы. Бойцы этого отряда истребили 60немецко-фашистских оккупантов.</w:t>
      </w:r>
    </w:p>
    <w:p w14:paraId="0EAE903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командир 5 роты 309 полка 208 немецкой пехотной дивизии лейтенантКарл Савала сообщил: «Наша дивизия понесла большие потери и непригодна длянаступательных операций. Особенно велики потери в 309 полку. В 5роте, которой я командовал, осталось всего 40 солдат, в 6 роте — 50, а в 7 — небольше 30. Из строя выбыло много офицеров. В последних боях убиты: командир 2батальона капитан Ноак, батальонный врач Мюллер, ранены: командир 7 роты старшийлейтенант Мунзер, лейтенант Тэшер, лейтенант Крис и многие другие».</w:t>
      </w:r>
    </w:p>
    <w:p w14:paraId="59DE7C6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Германское правительство опубликовало распоряжение, в котором говорится: «Ктоукрывает денежные знаки, карается тюремным заключением, а в особо тяжёлыхслучаях — каторжными работами». Этот новый закон гитлеровцев, рассчитанный напоголовное ограбление трудящегося населения Германии, свидетельствует одальнейшем обострении внутриполитического и экономического положения встране.</w:t>
      </w:r>
    </w:p>
    <w:p w14:paraId="47570B4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Получая от войны огромные прибыли, гитлеровская клика возложила все тяготывойны на германских трудящихся. При помощи многочисленных налогов фашистскиезаправилы забирают у рабочих и служащих значительную часть их заработка. Однакоэтого оказалось недостаточно. Гитлеровцы изобрели различные принудительныеотчисления из заработной платы вроде, например, так называемого фонда «железныхсбережений», которые гитлеровцы обещают отдать обратно лишь через год послеокончания войны. Население Германии враждебно встретило эти разбойничьи поборыгитлеровцев.</w:t>
      </w:r>
    </w:p>
    <w:p w14:paraId="7159764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и эта форма открытого грабежа населения не дала возможности залатать дырына тришкином кафтане фашистского военного бюджета. Население Германии почти неимеет более возможности приобретать какие-либо товары ввиду того, что эти товарыдавным-давно исчезли с рынка. Не доверяя гитлеровцам, предчувствуя крахгитлеровской системы, немцы припрятывают оставшиеся от поборов деньги, не желаяих сдавать в сберегательные кассы. В связи с этим и появилось новоеграбительское распоряжение германского правительства. Это распоряжение открываетдля гитлеровцев широкую возможность забирать у населения и без того скудныекрохи. Опираясь на этот закон, гитлеровские правители могут у любого немцаотнять последние гроши и, обвинив его в укрывательстве денежных знаков, сослатьна каторгу. Этот закон неизбежно приведёт к ещё большему обострениювнутриполитического положения в гитлеровской Германии. Можно также несомневаться и в том, что несколько десятков тысяч сосланных на каторгу немцев неспасут экономику гитлеровской Германии от краха, к которому она идет на всех парах.» (15086).</w:t>
      </w:r>
    </w:p>
    <w:p w14:paraId="101BF59D"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1BAA3DE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в 1942 году вечернее сообщение Совинформбюро:</w:t>
      </w:r>
    </w:p>
    <w:p w14:paraId="6D15DE1F"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 апреля на фронте чего-либо существенного не произошло.</w:t>
      </w:r>
    </w:p>
    <w:p w14:paraId="7AF73A3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30 марта уничтожено не 25 немецких самолётов, как об этом сообщалось ранее, а 31 немецкий самолёт.</w:t>
      </w:r>
    </w:p>
    <w:p w14:paraId="7981C3B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31 марта уничтожено 24 немецких самолёта. Наши потери — 13 самолётов.</w:t>
      </w:r>
    </w:p>
    <w:p w14:paraId="023E656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31 марта частями нашей авиации уничтожено или повреждено несколько немецких танков, 110 автомашин с войсками и грузами, около 70 подвод с боеприпасами, 22 полевых и зенитных орудия, 21 зенитно-пулемётная точка, 32 миномёта, 25 пулемётных точек, разрушено 9 железнодорожных вагонов и 1 паровоз, подожжён ангар, рассеяно и частью уничтожено до 6 рот пехоты противника.</w:t>
      </w:r>
    </w:p>
    <w:p w14:paraId="2EC4E82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действующие на отдельных участках Ленинградского франта, в течение последних двух дней провели ряд успешных операций и уничтожили до 3.000 немецких солдат и офицеров. Взяты пленные. Преодолевая узлы сопротивления противника, наши бойцы разрушили 22 немецких ДЗОТа и блиндажа, уничтожили 6 танков, 11 орудий, 22 станковых пулемёта, 33 миномёта, 2 бронемашины и 2 грузовые автомашины. Огнём зенитной артиллерии и пехотного оружия сбиты 4 немецких самолёта. Захвачены следующие трофеи: 6 вражеских танков, 2 бронемашины, 34 орудия, 106 пулемётов, 25 миномётов, 400 винтовок, 524.300 патронов, 2.800 снарядов, 5.800 мин, 7.700 гранат, несколько десятков мотоциклов и велосипедов, 20 километров телефонного кабеля и другое военное имущество.</w:t>
      </w:r>
    </w:p>
    <w:p w14:paraId="5309E6F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ожесточённого боя гвардейская часть под командованием </w:t>
      </w:r>
      <w:proofErr w:type="gramStart"/>
      <w:r w:rsidRPr="008127F8">
        <w:rPr>
          <w:rFonts w:ascii="Times New Roman" w:hAnsi="Times New Roman"/>
          <w:color w:val="000000" w:themeColor="text1"/>
          <w:sz w:val="16"/>
          <w:szCs w:val="16"/>
        </w:rPr>
        <w:t>тов.Миронова</w:t>
      </w:r>
      <w:proofErr w:type="gramEnd"/>
      <w:r w:rsidRPr="008127F8">
        <w:rPr>
          <w:rFonts w:ascii="Times New Roman" w:hAnsi="Times New Roman"/>
          <w:color w:val="000000" w:themeColor="text1"/>
          <w:sz w:val="16"/>
          <w:szCs w:val="16"/>
        </w:rPr>
        <w:t xml:space="preserve"> (Западный фронт) выбила противника из одного населённого пункта и закрепилась на захваченных рубежах. Попытки немцев восстановить положение потерпели неудачу. Наши бойцы, отбив контратаку, нанесли противнику большой урон. Только на подступах к населённому пункту осталось свыше 200 вражеских трупов. Взяты пленные.</w:t>
      </w:r>
    </w:p>
    <w:p w14:paraId="3DEDC22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Миномётчики-гвардейцы батареи, которой командует младший лейтенант Бондарчук, заметив скопление немецкой пехоты, выдвинулись вперёд и открыли огонь по врагу. Несколькими выстрелами миномётчики расстреляли гитлеровцев, истребили 19 солдат противника и захватили 3 станковых пулемёта.</w:t>
      </w:r>
    </w:p>
    <w:p w14:paraId="653E561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одном из боёв отважно действовал наводчик орудия гвардеец тов. Кузнецов. Под огнём противника он с открытых позиций громил немцев и их укрепления. Гитлеровцы бросили против орудия гвардейца свой танк. Несмотря на ранение, </w:t>
      </w:r>
      <w:proofErr w:type="gramStart"/>
      <w:r w:rsidRPr="008127F8">
        <w:rPr>
          <w:rFonts w:ascii="Times New Roman" w:hAnsi="Times New Roman"/>
          <w:color w:val="000000" w:themeColor="text1"/>
          <w:sz w:val="16"/>
          <w:szCs w:val="16"/>
        </w:rPr>
        <w:t>тов.Кузнецов</w:t>
      </w:r>
      <w:proofErr w:type="gramEnd"/>
      <w:r w:rsidRPr="008127F8">
        <w:rPr>
          <w:rFonts w:ascii="Times New Roman" w:hAnsi="Times New Roman"/>
          <w:color w:val="000000" w:themeColor="text1"/>
          <w:sz w:val="16"/>
          <w:szCs w:val="16"/>
        </w:rPr>
        <w:t xml:space="preserve"> продолжал вести огонь и несколькими снарядами поджёг вражескую машину. Вслед за этим отважный артиллерист уничтожил трактор-тягач, который немцы выслали за подбитым танком.</w:t>
      </w:r>
    </w:p>
    <w:p w14:paraId="237A91B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Красноармеец-снайпер тов. Архангельский за 5 дней уничтожил 42 гитлеровца.</w:t>
      </w:r>
    </w:p>
    <w:p w14:paraId="30350B0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В., действующий на оккупированной территории Ленинградской области, организовал засаду недалеко от немецких армейских складов. Через несколько часов на дороге показались 2 грузовые автомашины под охраной взвода немецких солдат. Бойцы партизанского отряда забросали вражеские машины гранатами. Весь взвод противника в количестве 22 солдат был уничтожен.</w:t>
      </w:r>
    </w:p>
    <w:p w14:paraId="7DF3B99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роты 14 мотоциклетного батальона 14 немецкой моторизованной дивизии инженер Эдельгард Мельхиор сообщил: «Недавно я слушал по радио из Москвы обращение германских общественных и политических деятелей к германскому народу и целиком согласен с ними. В Германии растёт недовольство гитлеровцами. Продовольственное положение в стране очень тяжёлое. Нередко хлеба выдают значительно меньше установленной скудной нормы: по 100—200 граммов на человека в день. В тылу и на фронте много говорят о росте дезертирства из армии. Лейтенант Зильберман рассказывал, что в Германии задержано до 40.000 солдат, бежавших с советско-германского фронта». В заключение пленный заявил: «Ещё под Ростовом наш батальон потерял половину личного состава и всю свою технику. Мотоциклов в батальоне уже давно нет, а мотоциклетным его называют по старой привычке».</w:t>
      </w:r>
    </w:p>
    <w:p w14:paraId="0A23D7B6"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румынский солдат 5 роты 92 румынского пехотного полка Павел Ковану рассказал: «...Я был в окопе в то время, когда справа от нас, на расстоянии примерно 300 метров, появились русские. Наше отделение, не принимая боя, стало отходить... Когда сержант спросил: «Ребята, если я сдамся в плен, что вы сделаете?» — все ответили: «Господин сержант, мы с вами. Куда вы, туда и мы». Всё отделение во главе с сержантом сдалось в плен».</w:t>
      </w:r>
    </w:p>
    <w:p w14:paraId="1C170C5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сёл Глазуновка, Геевка и совхоза «Пятигорск», Харьковской области, гитлеровцы учинили чудовищные зверства и насилия над мирным населением и пленными красноармейцами. В селе Глазуновка немцы сожгли 16 колхозников, в том числе троих детей. 83 мирных жителя гитлеровцы увели с собой. В селе Геевка гитлеровцы, ограбив население, расстреляли колхозника Даниила Артеменко, изнасиловали многих женщин. В совхозе «Пятигорск» немецкие палачи расстреляли 30 пленных красноармейцев, а 23 раненых красноармейца заживо сожгли.</w:t>
      </w:r>
    </w:p>
    <w:p w14:paraId="3B41AB1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дезертиров из финской армии недалеко от Виипури пустил под откос воинский состав, в котором находился батальон немецких автоматчиков. Среди гитлеровцев много убитых и раненых.».</w:t>
      </w:r>
    </w:p>
    <w:p w14:paraId="614E703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1934EC4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Ленинградского фронта за период с 23 по 31 марта 1942 года</w:t>
      </w:r>
    </w:p>
    <w:p w14:paraId="1E58BC3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«Войсками Ленинградского фронта в боях с противником за период с 23 по 31 марта захвачены следующие трофеи: орудий — 85, танков — 10, бронемашин — 6, миномётов — 65, пулеметов — 385, противотанковых ружей — 28, автоматов — 173, винтовок — 1.562, радиостанций — 11, автомашин грузовых — 129, мотоциклов — 17, ракет — свыше 3.000, гранат — 5.583 и 54 ящика с гранатами, снарядов — 7.788 и 150 ящиков со снарядами, мин — 11.300 и 220 ящиков с минами, винтовочных патронов — 1.291.300.</w:t>
      </w:r>
    </w:p>
    <w:p w14:paraId="4D38E60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уничтожено: 23 немецких самолёта, 25 орудий, 83 миномёта и 45 автомашин с различным грузом.</w:t>
      </w:r>
    </w:p>
    <w:p w14:paraId="1ADCFA1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23 по 31 марта противник потерял убитыми около 12.000 солдат и офицеров.».</w:t>
      </w:r>
    </w:p>
    <w:p w14:paraId="2A737856"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Калининского фронта за период с 21 марта по 1 апреля 1942 года.</w:t>
      </w:r>
    </w:p>
    <w:p w14:paraId="2ADC3A4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21 марта по 1 апреля войсками Калининского фронта захвачены у противника следующие трофеи: танков — 6, орудий — 27, пулемётов — 130, миномётов— 21, автоматов — 41, винтовок — 560, снарядов — 1.400, винтовочных патронов —свыше 56.000, радиостанций — 4, автомашин — 36, цистерн — 8, парашютов с грузом— 7, лошадей — 130, лыж — 300 пар, склад с продовольствием и склад с горючим и боеприпасами.</w:t>
      </w:r>
    </w:p>
    <w:p w14:paraId="5DB3C69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уничтожено: 35 немецких самолётов, 39 танков, 443 автомашины, 52 орудия, 23 пулемёта, 25 миномётов, 154 повозки с боеприпасами и разным военным имуществом, 6 складов с боеприпасами, 1 склад с продовольствием, 74 оборонительных пункта, 30 блиндажей и 32 огневые точки.</w:t>
      </w:r>
    </w:p>
    <w:p w14:paraId="54D6C681"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21 марта по 1 апреля немцы потеряли в районе Калининского фронта убитыми около 10.000 солдат и офицеров.» (15086).</w:t>
      </w:r>
    </w:p>
    <w:p w14:paraId="4E8A246B"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24A409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апреля 1942 г. 1-й ГМТАП располагал шестью (пять боеготовых) ДБ-3 в Углово, четыре (все в строю) находились в Новинках, а также ещё по одному неисправному находилось в Москве и Молотове (ныне Пермь). Кроме того, в полку имелось пять СБ. 12 экипажей были обучены минным постановкам, шесть могли выполнять низкое и высотное торпедометание и два - только высотное. В отличие от самолетов и летчиков, соответствующих боеприпасов на складах ВВС КБФ было с избытком. В частности, по состоянию на 16 апреля, на складах находилось 212 торпед 45-36АН, 415 45-36АВА, 151 мина АМГ-1 и 124 английских A-I-IV (9965).</w:t>
      </w:r>
    </w:p>
    <w:p w14:paraId="441694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CB0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апреля 1942 1-й гмтап располагал 6/5 ДБ-3 в Углово, 4/4 - в Новинках, по одному неисправному находилось в Москве и Молотове (ныне Пермь; кроме того, в полку было 5 СБ). 12 экипажей были обучены минометанию, шесть экипажей - низкому и высотному торпедометанию и два - только высотному. В отличие от самолетов и летчиков боеприпасов, в том числе и морских, в ВВС КБФ было с избытком. На 16 апреля на складах находилось 212 торпед 45-36АН, 415 45-36АВА. 151 мина АМГ-1 и 124 англииских А-1-4 (12002).</w:t>
      </w:r>
    </w:p>
    <w:p w14:paraId="4BD8D0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B5142" w14:textId="77777777" w:rsidR="00EB32CC" w:rsidRPr="008A2E5A" w:rsidRDefault="00EB32CC" w:rsidP="00EB3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апреля 1942 года состоялся первый перегон из Абадана через Тегеран в Кировабад группы из пяти самолетов «Бостон-3», и конвейер поставки американских боевых самолетов по Южной воздушной трассе был запущен (24342).</w:t>
      </w:r>
    </w:p>
    <w:p w14:paraId="22B9433F" w14:textId="77777777" w:rsidR="00EB32CC" w:rsidRPr="008A2E5A" w:rsidRDefault="00EB32CC" w:rsidP="00EB32CC">
      <w:pPr>
        <w:spacing w:after="0" w:line="240" w:lineRule="auto"/>
        <w:jc w:val="both"/>
        <w:rPr>
          <w:rFonts w:ascii="Times New Roman" w:hAnsi="Times New Roman"/>
          <w:color w:val="0070C0"/>
          <w:sz w:val="16"/>
          <w:szCs w:val="16"/>
        </w:rPr>
      </w:pPr>
    </w:p>
    <w:p w14:paraId="57C9A30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1519 [О сохранении 10 и 11-й саперных бригад 4-й саперной армии и о передаче 10-й бригады в состав 3-й саперной армии, а 11-й бригады в Распоряжение ГКО КалФ.] (7027, 37).</w:t>
      </w:r>
    </w:p>
    <w:p w14:paraId="6D7F65B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6EA7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апреля 1942 г. Политбюро ЦК ВКП(б) в постановлении «О работе Ворошилова К. Е.» (принятом в связи с ошибками, допущенными К. Е. Ворошиловым и в ходе Великой Отечественной войны 1941 — 1945 гг.) отметило: «Война с Финляндией в 1939—40 гг. вскрыла большое неблагополучие и отсталость в руководстве </w:t>
      </w:r>
      <w:r w:rsidRPr="008127F8">
        <w:rPr>
          <w:rFonts w:ascii="Times New Roman" w:hAnsi="Times New Roman"/>
          <w:color w:val="000000" w:themeColor="text1"/>
          <w:sz w:val="16"/>
          <w:szCs w:val="16"/>
          <w:lang w:val="fr-FR"/>
        </w:rPr>
        <w:t xml:space="preserve">H </w:t>
      </w:r>
      <w:r w:rsidRPr="008127F8">
        <w:rPr>
          <w:rFonts w:ascii="Times New Roman" w:hAnsi="Times New Roman"/>
          <w:color w:val="000000" w:themeColor="text1"/>
          <w:sz w:val="16"/>
          <w:szCs w:val="16"/>
        </w:rPr>
        <w:t xml:space="preserve">КО, — жестко констатировалось в постановлении Политбюро. — В ходе этой войны выяснилась неподготовленность </w:t>
      </w:r>
      <w:r w:rsidRPr="008127F8">
        <w:rPr>
          <w:rFonts w:ascii="Times New Roman" w:hAnsi="Times New Roman"/>
          <w:color w:val="000000" w:themeColor="text1"/>
          <w:sz w:val="16"/>
          <w:szCs w:val="16"/>
          <w:lang w:val="fr-FR"/>
        </w:rPr>
        <w:t>H</w:t>
      </w:r>
      <w:r w:rsidRPr="008127F8">
        <w:rPr>
          <w:rFonts w:ascii="Times New Roman" w:hAnsi="Times New Roman"/>
          <w:color w:val="000000" w:themeColor="text1"/>
          <w:sz w:val="16"/>
          <w:szCs w:val="16"/>
        </w:rPr>
        <w:t xml:space="preserve">КО к обеспечению успешного развития военных операций. В Красной Армии отсутствовали минометы и автоматы, не было правильного учета самолетов и танков, не оказалось нужной зимней одежды для войск, войска не имели продовольственных концентратов. Вскрылась большая запущенность в работе таких важных управлений </w:t>
      </w:r>
      <w:r w:rsidRPr="008127F8">
        <w:rPr>
          <w:rFonts w:ascii="Times New Roman" w:hAnsi="Times New Roman"/>
          <w:color w:val="000000" w:themeColor="text1"/>
          <w:sz w:val="16"/>
          <w:szCs w:val="16"/>
          <w:lang w:val="fr-FR"/>
        </w:rPr>
        <w:t>H</w:t>
      </w:r>
      <w:r w:rsidRPr="008127F8">
        <w:rPr>
          <w:rFonts w:ascii="Times New Roman" w:hAnsi="Times New Roman"/>
          <w:color w:val="000000" w:themeColor="text1"/>
          <w:sz w:val="16"/>
          <w:szCs w:val="16"/>
        </w:rPr>
        <w:t>КО, как Главное артиллерийское управление, Управление боевой подготовки, Управление ВВС, низкий уровень организации дела в военных учебных заведениях и др. Все это отразилось на затяжке войны и привело к излишним жертвам». Далее в постановлении напоминалось, что на мартовском (1940 г.) пленуме ЦК ВКП(б) К. Е. Ворошилов вынужден был признать «обнаружившуюся несостоятельность руководства НКО. Учтя положение дел в НКО и видя, что т. Ворошилову трудно охватить такое большое дело как НКО, ЦК ВКП(б) счел необходимым освободить т. Ворошилова от поста наркома обороны» (Русский архив: Великая Отечественная. Партизанское движение в годы Великой Отечественной войны 1941 — 1945 гг.: Документы и материалы. М., 1999. Т. 20 (9). Док. № 56.). 7 мая 1940 г. был издан Указ Президиума Верховного Совета СССР о назначении К. Е. Ворошилова заместителем Председателя Совета Народных Комиссаров СССР и председателем Комитета Обороны при СНК СССР, а также о назначении Маршала Советского Союза С. К. Тимошенко народным комиссаром обороны СССР с освобождением его от обязанностей командующего войсками Киевского особого военного округа (Русский архив. Великая Отечественная... Т. 13 (2—1). Док. № 62) (11773).</w:t>
      </w:r>
    </w:p>
    <w:p w14:paraId="6F1326E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75D67"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Заседание Политбюро ЦК ВКП(б). Принято решение о работе К. Е. Ворошилова: "1. Война с Финляндией в 1939-1940 гг. вскрыла большое неблагополучие и отсталость в руководстве НКО. В ходе этой войны выяснилось неподготовленность НКО к обеспечению успешного развития военных операций. В Красной Армии отсутствовали минометы и автоматы, не было правильного учета самолетов и танков, не оказалось нужной зимней одежды для войск, войска не имели продовольственных концентратов. Вскрылись большая запущенность в работе таких важных управлений НКО, как Главное артиллерийское управление, Управление боевой подготовки, Управление ВВС, низкий уровень организации дела в военных учебных заведениях и др. Все это отразилось на затяжке войны и привело к излишним жертвам. Тов. Ворошилов, будучи в то время народным комиссаром обороны, вынужден был признать на Пленуме ЦК ВКП(б) в конце марта 1940 г. обнаружившуюся несостоятельность своего руководства НКО. Учтя положение дел в НКО и видя, что т. Ворошилову трудно охватить такое большое дело, как НКО, ЦК ВКП(б) счел необходимым освободить т. Ворошилова от поста наркома обороны.</w:t>
      </w:r>
    </w:p>
    <w:p w14:paraId="17572657"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начале войны с Германией тов. Ворошилов был назначен главнокомандующим Северо-Западным направлением, имеющим своею главною задачею защиту Ленинграда</w:t>
      </w:r>
      <w:proofErr w:type="gramStart"/>
      <w:r w:rsidRPr="008127F8">
        <w:rPr>
          <w:rFonts w:ascii="Times New Roman" w:hAnsi="Times New Roman"/>
          <w:color w:val="000000" w:themeColor="text1"/>
          <w:sz w:val="16"/>
          <w:szCs w:val="16"/>
        </w:rPr>
        <w:t>, Как</w:t>
      </w:r>
      <w:proofErr w:type="gramEnd"/>
      <w:r w:rsidRPr="008127F8">
        <w:rPr>
          <w:rFonts w:ascii="Times New Roman" w:hAnsi="Times New Roman"/>
          <w:color w:val="000000" w:themeColor="text1"/>
          <w:sz w:val="16"/>
          <w:szCs w:val="16"/>
        </w:rPr>
        <w:t xml:space="preserve"> выяснилось потом, тов. Ворошилов не справился с порученным делом и не сумел организовать оборону Ленинграда. В своей работе в Ленинграде т. Ворошилов допустил серьезные ошибки: издал приказ о выборности батальонных командиров в част народного ополчения, - этот приказ был отменен по указанию Ставки, как ведущий к дезорганизации и ослаблению дисциплины в Красной Армии; организовал Военный совет обороны Ленинграда, но сам не вошел в его состав, - этот приказ также был отменен Ставкой как неправильный и вредный, так как рабочие Ленинграда могли понять, что тов. Ворошилов не вошел в Совет обороны потому, что не верит в оборону Ленинграда; увлекся созданием рабочих батальонов со слабым вооружением (ружьями, пиками, кинжалами и т. д.), но упустил организацию артиллерийской обороны Ленинграда, к чему имелись особенно благоприятные возможности, и т. д. Ввиду всего этого Государственный комитет обороны отозвал т. Ворошилова из Ленинграда и дал ему работу по новым воинским формированиям в тылу.</w:t>
      </w:r>
    </w:p>
    <w:p w14:paraId="05669CFE"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Ввиду просьбы т. Ворошилова он был командирован в феврале месяце на Волховский фронт в качестве представителя Ставки для помощи командованию фронта и пробыл там около месяца. Однако пребываниет. Ворошилова на Волховском фронте не дало желаемых результатов. Желая еще раз дать возможность т. Ворошилову использовать свой опыт на фронтовой работе, ЦК ВКП(б) предложил т. Ворошилову взять на себя непосредственное командование Волховским фронтом. Но тов. Ворошилов отнесся к этому предложению отрицательно и не захотел взять на себя ответственность за Волховский фронт, несмотря на то, что этот фронт имеет сейчас решающее значение для обороны Ленинграда, сославшись на то, что Волховский фронт является трудным фронтом, н он не хочет проваливаться на этом деле, вследствие изложенного ЦK </w:t>
      </w:r>
      <w:proofErr w:type="gramStart"/>
      <w:r w:rsidRPr="008127F8">
        <w:rPr>
          <w:rFonts w:ascii="Times New Roman" w:hAnsi="Times New Roman"/>
          <w:color w:val="000000" w:themeColor="text1"/>
          <w:sz w:val="16"/>
          <w:szCs w:val="16"/>
        </w:rPr>
        <w:t>ВКП(</w:t>
      </w:r>
      <w:proofErr w:type="gramEnd"/>
      <w:r w:rsidRPr="008127F8">
        <w:rPr>
          <w:rFonts w:ascii="Times New Roman" w:hAnsi="Times New Roman"/>
          <w:color w:val="000000" w:themeColor="text1"/>
          <w:sz w:val="16"/>
          <w:szCs w:val="16"/>
        </w:rPr>
        <w:t>6) постановл:</w:t>
      </w:r>
    </w:p>
    <w:p w14:paraId="4CA17764"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Признать, что т. Ворошилов не оправдал сеоя на порученной ему работе на фронте,</w:t>
      </w:r>
    </w:p>
    <w:p w14:paraId="696E1D3A"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Направить т. Ворошилова на тыловую военную работу" (18696).</w:t>
      </w:r>
    </w:p>
    <w:p w14:paraId="40643B79" w14:textId="77777777" w:rsidR="00690057" w:rsidRPr="008127F8" w:rsidRDefault="00690057" w:rsidP="001E0A84">
      <w:pPr>
        <w:spacing w:after="0" w:line="240" w:lineRule="auto"/>
        <w:jc w:val="both"/>
        <w:rPr>
          <w:rFonts w:ascii="Times New Roman" w:hAnsi="Times New Roman"/>
          <w:color w:val="000000" w:themeColor="text1"/>
          <w:sz w:val="16"/>
          <w:szCs w:val="16"/>
        </w:rPr>
      </w:pPr>
    </w:p>
    <w:p w14:paraId="604A5F08" w14:textId="77777777" w:rsidR="00690057" w:rsidRPr="008127F8" w:rsidRDefault="00690057" w:rsidP="001E0A84">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1 апреля 1942 г.</w:t>
      </w:r>
    </w:p>
    <w:p w14:paraId="202C9A16"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Постановление Политбюро ЦК ВКП(б) «О работе тов. Ворошилова»</w:t>
      </w:r>
    </w:p>
    <w:p w14:paraId="6A201236"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апреля 1942 г. Строго секретно</w:t>
      </w:r>
    </w:p>
    <w:p w14:paraId="6B6781BF" w14:textId="6D1324F8"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Война с Финляндией в 1939—1940 гг. вскрыла большое неблагополучие и отсталость в руководстве НКО. В ходе этой войны выяснилась неподготовленность к обеспечению успешного развития военных операций. В Красной Армии отсутствовали минометы и автоматы, не было правильного учета самолетов и танков, не </w:t>
      </w:r>
      <w:r w:rsidRPr="008127F8">
        <w:rPr>
          <w:rFonts w:ascii="Times New Roman" w:hAnsi="Times New Roman"/>
          <w:color w:val="000000" w:themeColor="text1"/>
          <w:sz w:val="16"/>
          <w:szCs w:val="16"/>
          <w:shd w:val="clear" w:color="auto" w:fill="FFFFFF"/>
        </w:rPr>
        <w:lastRenderedPageBreak/>
        <w:t>оказалось нужной зимней одежды для войск, войска не имели продовольственных концентратов. Вскрылась большая запущенность в работе таких важных управлений НКО, как Главное Артиллерийское Управление, Управление Боевой Подготовки, Управление ВВС, низкий уровень организации дела в военных учебных заведениях и др.</w:t>
      </w:r>
    </w:p>
    <w:p w14:paraId="7CE97E4F"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Все это отразилось на затяжке войны и привело к излишним жертвам. Тов. Ворошилов, будучи в то время народным комиссаром обороны, вынужден был признать на Пленуме ЦК ВКП(б) в конце марта 1940 года обнаружившуюся несостоятельность руководства НКО.</w:t>
      </w:r>
    </w:p>
    <w:p w14:paraId="249F9BB4"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Учтя положение дел в НКО и видя, что т. Ворошилову трудно охватить такое большое дело, как НКО, ЦК ВКП(б) счел необходимым освободить т. Ворошилова от поста наркома обороны.</w:t>
      </w:r>
    </w:p>
    <w:p w14:paraId="1A251DBD" w14:textId="0C79E5C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В начале войны с Германией тов. Ворошилов был назначен Главнокомандующим Северо-Западного направления, имеющего своею главною задачею защиту Ленинграда. Как выяснилось потом, тов. Ворошилов не справился с порученным делом и не сумел организовать оборону Ленинграда. В своей работе в Ленинграде т. Ворошилов допустил серьезные ошибки: издал приказ о выборности батальонных командиров в частях народного ополчения, — этот приказ был отменен по указанию Ставки как ведущий к дезорганизации и ослаблению дисциплины в Красной Армии; организовал Военный Совет Обороны Ленинграда, но сам не вошел в его состав, — этот приказ также был отменен Ставкой как неправильный и вредный, так как рабочие Ленинграда могли понять, что т. Ворошилов не вошел в Совет Обороны потому, что не верит в оборону Ленинграда; увлекся созданием рабочих батальонов со слабым вооружением (ружьями, пиками, кинжалами и т. д.), но упустил организацию артиллерийской обороны Ленинграда, к чему имелись особенно благоприятные возможности, и т. д.</w:t>
      </w:r>
    </w:p>
    <w:p w14:paraId="1CF28ADE"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Ввиду всего этого Государственный Комитет Обороны отозвал т. Ворошилова из Ленинграда и дал ему работу по новым воинским формированиям в тылу.</w:t>
      </w:r>
    </w:p>
    <w:p w14:paraId="1FC62AC3"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Ввиду просьбы т. Ворошилова он был командирован в феврале месяце на Волховский фронт в качестве представителя Ставки для помощи командованию фронта и пробыл там около месяца. Однако пребывание т. Ворошилова на Волховском фронте не дало желаемых результатов.</w:t>
      </w:r>
    </w:p>
    <w:p w14:paraId="10633297"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 xml:space="preserve">Желая еще раз дать возможность т. Ворошилову использовать свой опыт на фронтовой работе, ЦК ВКП(б) предложил т. Ворошилову взять на себя непосредственное командование Волховским фронтом. Но тов. Ворошилов отнесся к этому предложению отрицательно и не захотел взять на себя ответственность за Волховский </w:t>
      </w:r>
      <w:proofErr w:type="gramStart"/>
      <w:r w:rsidRPr="008127F8">
        <w:rPr>
          <w:rFonts w:ascii="Times New Roman" w:hAnsi="Times New Roman"/>
          <w:color w:val="000000" w:themeColor="text1"/>
          <w:sz w:val="16"/>
          <w:szCs w:val="16"/>
          <w:shd w:val="clear" w:color="auto" w:fill="FFFFFF"/>
        </w:rPr>
        <w:t>фронт, несмотря на то, что</w:t>
      </w:r>
      <w:proofErr w:type="gramEnd"/>
      <w:r w:rsidRPr="008127F8">
        <w:rPr>
          <w:rFonts w:ascii="Times New Roman" w:hAnsi="Times New Roman"/>
          <w:color w:val="000000" w:themeColor="text1"/>
          <w:sz w:val="16"/>
          <w:szCs w:val="16"/>
          <w:shd w:val="clear" w:color="auto" w:fill="FFFFFF"/>
        </w:rPr>
        <w:t xml:space="preserve"> этот фронт имеет сейчас решающее значение для обороны Ленинграда, сославшись на то, что Волховский фронт является трудным фронтом и он не хочет проваливаться на этом деле.</w:t>
      </w:r>
    </w:p>
    <w:p w14:paraId="489883BA"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Ввиду всего изложенного ЦК ВКП(б) постановляет:</w:t>
      </w:r>
    </w:p>
    <w:p w14:paraId="1E024B3E" w14:textId="70737A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Признать, что т. Ворошилов не оправдал себя на порученной ему работе на фронте.</w:t>
      </w:r>
    </w:p>
    <w:p w14:paraId="590D46BD" w14:textId="193E8F6C"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w:t>
      </w:r>
      <w:r w:rsidR="008127F8">
        <w:rPr>
          <w:rFonts w:ascii="Times New Roman" w:hAnsi="Times New Roman"/>
          <w:color w:val="000000" w:themeColor="text1"/>
          <w:sz w:val="16"/>
          <w:szCs w:val="16"/>
          <w:shd w:val="clear" w:color="auto" w:fill="FFFFFF"/>
        </w:rPr>
        <w:t xml:space="preserve">  </w:t>
      </w:r>
      <w:r w:rsidRPr="008127F8">
        <w:rPr>
          <w:rFonts w:ascii="Times New Roman" w:hAnsi="Times New Roman"/>
          <w:color w:val="000000" w:themeColor="text1"/>
          <w:sz w:val="16"/>
          <w:szCs w:val="16"/>
          <w:shd w:val="clear" w:color="auto" w:fill="FFFFFF"/>
        </w:rPr>
        <w:t xml:space="preserve"> Направить т. Ворошилова на тыловую военную работу».</w:t>
      </w:r>
    </w:p>
    <w:p w14:paraId="6D5FA9DB" w14:textId="77777777" w:rsidR="00690057" w:rsidRPr="008127F8" w:rsidRDefault="0069005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АПРФ. Ф. 3. On. 50. Д. 10. Л. 7—8. Копия (19798).</w:t>
      </w:r>
    </w:p>
    <w:p w14:paraId="0A0437AA" w14:textId="77777777" w:rsidR="00690057" w:rsidRPr="008127F8" w:rsidRDefault="00690057" w:rsidP="001E0A84">
      <w:pPr>
        <w:spacing w:after="0" w:line="240" w:lineRule="auto"/>
        <w:jc w:val="both"/>
        <w:rPr>
          <w:rFonts w:ascii="Times New Roman" w:hAnsi="Times New Roman"/>
          <w:color w:val="000000" w:themeColor="text1"/>
          <w:sz w:val="16"/>
          <w:szCs w:val="16"/>
        </w:rPr>
      </w:pPr>
    </w:p>
    <w:p w14:paraId="5ED827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был создан Брянский фронт (3186).</w:t>
      </w:r>
    </w:p>
    <w:p w14:paraId="255E59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DD1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апреля 1942 г. было создано авиационное командование «Ост» во главе с генералом Робертом фон Граймом. На тот момент в его составе находились пять бомбардировочных групп. На аэродроме Орша базировались </w:t>
      </w:r>
      <w:proofErr w:type="gramStart"/>
      <w:r w:rsidRPr="008127F8">
        <w:rPr>
          <w:rFonts w:ascii="Times New Roman" w:hAnsi="Times New Roman"/>
          <w:color w:val="000000" w:themeColor="text1"/>
          <w:sz w:val="16"/>
          <w:szCs w:val="16"/>
        </w:rPr>
        <w:t>II./</w:t>
      </w:r>
      <w:proofErr w:type="gramEnd"/>
      <w:r w:rsidRPr="008127F8">
        <w:rPr>
          <w:rFonts w:ascii="Times New Roman" w:hAnsi="Times New Roman"/>
          <w:color w:val="000000" w:themeColor="text1"/>
          <w:sz w:val="16"/>
          <w:szCs w:val="16"/>
        </w:rPr>
        <w:t xml:space="preserve">KG3, Stab, П. и III./KG76, а на аэродроме Шаталовка – Stab, II./KG53 и II./KG54. Именно эти соединения периодически терроризировали тыловые города. Однако сами немцы были не в восторге от выбранной командованием тактики. Начальник штаба командования «Ост» оберет Герман Плохер </w:t>
      </w:r>
      <w:proofErr w:type="gramStart"/>
      <w:r w:rsidRPr="008127F8">
        <w:rPr>
          <w:rFonts w:ascii="Times New Roman" w:hAnsi="Times New Roman"/>
          <w:color w:val="000000" w:themeColor="text1"/>
          <w:sz w:val="16"/>
          <w:szCs w:val="16"/>
        </w:rPr>
        <w:t>вспоминал:  «</w:t>
      </w:r>
      <w:proofErr w:type="gramEnd"/>
      <w:r w:rsidRPr="008127F8">
        <w:rPr>
          <w:rFonts w:ascii="Times New Roman" w:hAnsi="Times New Roman"/>
          <w:color w:val="000000" w:themeColor="text1"/>
          <w:sz w:val="16"/>
          <w:szCs w:val="16"/>
        </w:rPr>
        <w:t>Командование Люфтваффе в это время не имело никакого плана действий против советской промышленности и городов. Атаки отдельных объектов проводились лишь по инициативе соединений, действовавших на локальных участках фронта, и не носили системного характера» (11774).</w:t>
      </w:r>
    </w:p>
    <w:p w14:paraId="5483E1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FD5C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76916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7FB3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был принят указ о мобилизации всех сельских жителей на сбор урожая. Официальным лозунгом тыла стал: "Все для фронта, все для победы" (3186).</w:t>
      </w:r>
    </w:p>
    <w:p w14:paraId="5F1B2F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F354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вышло Постановление ГКО № 1517 Об уборке трупов вражеских солдат и офицеров и о приведении в санитарное состояние территорий, освобождаемых от противника. (7027, 16-17).</w:t>
      </w:r>
    </w:p>
    <w:p w14:paraId="49AB3C4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37F8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в 1942 году из Москвы начались регулярные передачи для партизан. В них рассказывалось о положении на фронтах, о важнейших событиях в тылу СССР и за границей, передавались материалы для партизанских газет (15086).</w:t>
      </w:r>
    </w:p>
    <w:p w14:paraId="57B11A50"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404B63F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74648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E08BF" w14:textId="77777777" w:rsidR="00D818E9" w:rsidRPr="008127F8" w:rsidRDefault="00D818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1943 на Мальте на базе подводных лодок немецкая авиация потопила британскую подводную лодку HMS Pandora и повреила подводную лодку HMS P36 до состояния, не подлежащего ремонту, а также сильно повредила субмарину HMS Непобедимы (20793).</w:t>
      </w:r>
    </w:p>
    <w:p w14:paraId="27324056" w14:textId="77777777" w:rsidR="00D818E9" w:rsidRPr="008127F8" w:rsidRDefault="00D818E9" w:rsidP="001E0A84">
      <w:pPr>
        <w:spacing w:after="0" w:line="240" w:lineRule="auto"/>
        <w:jc w:val="both"/>
        <w:rPr>
          <w:rFonts w:ascii="Times New Roman" w:hAnsi="Times New Roman"/>
          <w:color w:val="000000" w:themeColor="text1"/>
          <w:sz w:val="16"/>
          <w:szCs w:val="16"/>
        </w:rPr>
      </w:pPr>
    </w:p>
    <w:p w14:paraId="4E67A7C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в связи с экономией горючего в Канаде введено ограничение скорости для всех видов автомобильного транспорта - 64 километра в час (4962).</w:t>
      </w:r>
    </w:p>
    <w:p w14:paraId="799C394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F787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японские войска высадились в Новой Гвинее (4962).</w:t>
      </w:r>
    </w:p>
    <w:p w14:paraId="78CE701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ECE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апреля 1942 японцы начали высадку в Голландской Новой Гвинее (2261).</w:t>
      </w:r>
    </w:p>
    <w:p w14:paraId="273A2A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EDC7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6DD27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521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вышел приказ НКАП N 186 о том, что постановлением ГКО в связи с недостатком существующих мощностей радиозаводов НКАП временно до 1 июля с.г....:</w:t>
      </w:r>
    </w:p>
    <w:p w14:paraId="2A50F7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ставить радиоприемник на каждый истребитель, а приемопередатчик РСИ-4 - на каждый 5-й;</w:t>
      </w:r>
    </w:p>
    <w:p w14:paraId="7F309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ставить радиоприемник на каждый Ил-2, а РПК-10 в комплекте с приемопередатчиком РСИ-4 - на каждый 5-й (935,180).</w:t>
      </w:r>
    </w:p>
    <w:p w14:paraId="0644AA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24F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вышел приказ НКАП N 187 "О самолете Ла-5 с мотором М-82ФН о том, что постановлением от 31 марта ГКО принял к сведению сообщение:</w:t>
      </w:r>
    </w:p>
    <w:p w14:paraId="57B670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директора завода 21, главного конструктора самолета С.А.Лавочкин и ст. в/преда. на заводе 21 Ярошенко, что самолет Ла-5 построенный на заводе 21 с М-82ФН при испытаниях показал высокие результаты;</w:t>
      </w:r>
    </w:p>
    <w:p w14:paraId="0D062E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директора завода 19 и РГ Швецов, что формированный мотор М-82ФН с насосом непосредственного впрыска показал высокие данные;</w:t>
      </w:r>
    </w:p>
    <w:p w14:paraId="412062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...перейти полностью на выпуск самолета Ла-5 с металлическими лонжеронами крыльев и центроплана.</w:t>
      </w:r>
    </w:p>
    <w:p w14:paraId="125CF2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ГКО обязал ВВС провести проверочные испытания ЛД и результаты доложить до 10 апреля (839,189).</w:t>
      </w:r>
    </w:p>
    <w:p w14:paraId="12BD76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ACB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 в НИИ ВВС КА закончились контрольные испытания серийного самолета Як-1 № 3855 с лыжами, которые шли с 7 марта и показали снижение максимальной скорости на 27 км/ч (до 532 км/ч), по сравнению с прошедшим ранее контрольные испытания однотипным серийным самолетом с колесным шасси (12048).</w:t>
      </w:r>
    </w:p>
    <w:p w14:paraId="2CB00C4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81ADB"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апреля 1942 г. для проведения летных испытаний комплект из четы</w:t>
      </w:r>
      <w:r w:rsidRPr="008A2E5A">
        <w:rPr>
          <w:rFonts w:ascii="Times New Roman" w:hAnsi="Times New Roman"/>
          <w:color w:val="0070C0"/>
          <w:sz w:val="16"/>
          <w:szCs w:val="16"/>
        </w:rPr>
        <w:softHyphen/>
        <w:t>рех фибровых бензобаков смонтировали на самолет Як-7В №1540, проходивший после государст</w:t>
      </w:r>
      <w:r w:rsidRPr="008A2E5A">
        <w:rPr>
          <w:rFonts w:ascii="Times New Roman" w:hAnsi="Times New Roman"/>
          <w:color w:val="0070C0"/>
          <w:sz w:val="16"/>
          <w:szCs w:val="16"/>
        </w:rPr>
        <w:softHyphen/>
        <w:t>венных испытаний испытания на износ. По 27 мая на этой машине выполнили 230 посадок и 2000 фигур пилотажа с общим налетом 38 часов 30 минут. При этом ни в процес</w:t>
      </w:r>
      <w:r w:rsidRPr="008A2E5A">
        <w:rPr>
          <w:rFonts w:ascii="Times New Roman" w:hAnsi="Times New Roman"/>
          <w:color w:val="0070C0"/>
          <w:sz w:val="16"/>
          <w:szCs w:val="16"/>
        </w:rPr>
        <w:softHyphen/>
        <w:t>се испытаний, ни после никаких дефектов бензобаков об</w:t>
      </w:r>
      <w:r w:rsidRPr="008A2E5A">
        <w:rPr>
          <w:rFonts w:ascii="Times New Roman" w:hAnsi="Times New Roman"/>
          <w:color w:val="0070C0"/>
          <w:sz w:val="16"/>
          <w:szCs w:val="16"/>
        </w:rPr>
        <w:softHyphen/>
        <w:t>наружено не было, а сами баки оставили на машине для дальнейшей эксплуатации (23381).</w:t>
      </w:r>
    </w:p>
    <w:p w14:paraId="552B3214" w14:textId="77777777" w:rsidR="00CF1221" w:rsidRPr="008A2E5A" w:rsidRDefault="00CF1221" w:rsidP="00CF1221">
      <w:pPr>
        <w:spacing w:after="0" w:line="240" w:lineRule="auto"/>
        <w:jc w:val="both"/>
        <w:rPr>
          <w:rFonts w:ascii="Times New Roman" w:hAnsi="Times New Roman"/>
          <w:color w:val="0070C0"/>
          <w:sz w:val="16"/>
          <w:szCs w:val="16"/>
        </w:rPr>
      </w:pPr>
    </w:p>
    <w:p w14:paraId="78D31B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на Военном Совете ВВС был рассмотрен вопрос о производстве и применении планеров (340,73).</w:t>
      </w:r>
    </w:p>
    <w:p w14:paraId="55D735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C0C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вышел приказ НКАП № 242с:</w:t>
      </w:r>
    </w:p>
    <w:p w14:paraId="00E84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Действующий з-д в г. Казани ф-л з-да 218 с 1 апреля 1942 считать самостоятельным з-м по пр-ву авиационной контрольно-измерительных приборов, присвоив ему № 448,</w:t>
      </w:r>
    </w:p>
    <w:p w14:paraId="6A507D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Действующий в г. Молотове фи-л з-да 224 с 1 апреля 1942 считать самостоятельным з-м по пр-ву авиационных КИП, присвоив ему № 470.</w:t>
      </w:r>
    </w:p>
    <w:p w14:paraId="2CFD3D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(1541, 29).</w:t>
      </w:r>
    </w:p>
    <w:p w14:paraId="0A331B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552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апреля 1942 г. по приказу № 242с филиал завода № 218 в Казани был преобразован с 1.04.1942 г. в самостоятельный завод № 448 (Ленинградский государственный завод № 448 НКАП, МАП /г. </w:t>
      </w:r>
      <w:proofErr w:type="gramStart"/>
      <w:r w:rsidRPr="008127F8">
        <w:rPr>
          <w:rFonts w:ascii="Times New Roman" w:hAnsi="Times New Roman"/>
          <w:color w:val="000000" w:themeColor="text1"/>
          <w:sz w:val="16"/>
          <w:szCs w:val="16"/>
        </w:rPr>
        <w:t>Казань;  г.</w:t>
      </w:r>
      <w:proofErr w:type="gramEnd"/>
      <w:r w:rsidRPr="008127F8">
        <w:rPr>
          <w:rFonts w:ascii="Times New Roman" w:hAnsi="Times New Roman"/>
          <w:color w:val="000000" w:themeColor="text1"/>
          <w:sz w:val="16"/>
          <w:szCs w:val="16"/>
        </w:rPr>
        <w:t xml:space="preserve"> Ленинград/) в системе 5ГУ НКАП для производства контрольно-измерительных приборов. В состав завода вошли эвакуированные заводы № 473 НКАП и часть завода № 224 НКАП.</w:t>
      </w:r>
    </w:p>
    <w:p w14:paraId="7833A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(ВОВ) электроизмерительных приборов и приборов управления (1946).</w:t>
      </w:r>
    </w:p>
    <w:p w14:paraId="71977C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448.</w:t>
      </w:r>
    </w:p>
    <w:p w14:paraId="5B7D1F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475с от 4.12.1945 г. завод № 448 был переведен в 1946 г. в Ленинград на площадку завода № 273 НКАП с основной частью коллектива и оборудованием. По этому же приказу планировалось объединить эти заводы под № 448, но был оставлен № 273.</w:t>
      </w:r>
    </w:p>
    <w:p w14:paraId="6A3B16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Территория в Казани передана фабрике № 8 Комитета по кинематографии.</w:t>
      </w:r>
    </w:p>
    <w:p w14:paraId="77E4C4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1946 г. завод № 448 - в ведении МАП. В 08.1949 г. в состав завода № 448 влит завод «Ленгазаппарат» № 5. В 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 448 был передан завод «Ленприбор», который преобразован в цех № 54 по производству жидкостных счетчиков (или это относится уже к заводу № 273</w:t>
      </w:r>
      <w:proofErr w:type="gramStart"/>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ьг</w:t>
      </w:r>
      <w:proofErr w:type="gramEnd"/>
    </w:p>
    <w:p w14:paraId="1E6397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(04.1942-09.1943 г.-)- И.М. Цветков, (конец 1945-46 г.-&gt; И.И. Хмелик.</w:t>
      </w:r>
    </w:p>
    <w:p w14:paraId="6DBCEC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(ВОВ) авиационные амперметры, указатели угла отклонения закрылков, приборы управления огнем ПЭС-1, ЭСБР.</w:t>
      </w:r>
    </w:p>
    <w:p w14:paraId="03BAA1E0" w14:textId="77777777" w:rsidR="00BE3C69" w:rsidRPr="008127F8" w:rsidRDefault="00BE3C6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ОКБ-448 МАП, ОКБ-8 МАП при заводе № 448 МАП /г. Ленинград/</w:t>
      </w:r>
    </w:p>
    <w:p w14:paraId="29E0CE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219сс от 18.04.1946 г.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w:t>
      </w:r>
      <w:proofErr w:type="gramStart"/>
      <w:r w:rsidRPr="008127F8">
        <w:rPr>
          <w:rFonts w:ascii="Times New Roman" w:hAnsi="Times New Roman"/>
          <w:color w:val="000000" w:themeColor="text1"/>
          <w:sz w:val="16"/>
          <w:szCs w:val="16"/>
        </w:rPr>
        <w:t>назначен  Г.А.</w:t>
      </w:r>
      <w:proofErr w:type="gramEnd"/>
      <w:r w:rsidRPr="008127F8">
        <w:rPr>
          <w:rFonts w:ascii="Times New Roman" w:hAnsi="Times New Roman"/>
          <w:color w:val="000000" w:themeColor="text1"/>
          <w:sz w:val="16"/>
          <w:szCs w:val="16"/>
        </w:rPr>
        <w:t xml:space="preserve"> Винн.</w:t>
      </w:r>
    </w:p>
    <w:p w14:paraId="306803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электрическим масло- и бензиномерам, расходомерам, ПУС.</w:t>
      </w:r>
    </w:p>
    <w:p w14:paraId="215FD8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объединения заводов № 273 и № 448 в единый завод № 273 МАП ОКБ продолжило работу при нем (см.).</w:t>
      </w:r>
    </w:p>
    <w:p w14:paraId="74F737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08.1957 г. ОКБ-448 действовало в ведении 4ГУ ГКАТ.</w:t>
      </w:r>
    </w:p>
    <w:p w14:paraId="4B21FB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(07.1946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Винн.</w:t>
      </w:r>
    </w:p>
    <w:p w14:paraId="71AC77CE" w14:textId="77777777" w:rsidR="009E2626"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Винн.</w:t>
      </w:r>
    </w:p>
    <w:p w14:paraId="007D10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w:t>
      </w:r>
    </w:p>
    <w:p w14:paraId="5900F3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«Ленгазаппарат» № 1 треста «Ленгазаппаратура» НКМВ образован в соответствии с пост, правительства от 10.08.1945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147B13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50AF84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ЛенСНХ от 24.03.1960 г. завод был передан заводу № 448 в качестве цеха № 54 по производству жидкостных счетчиков.</w:t>
      </w:r>
      <w:r w:rsidRPr="008127F8">
        <w:rPr>
          <w:rFonts w:ascii="Times New Roman" w:hAnsi="Times New Roman"/>
          <w:color w:val="000000" w:themeColor="text1"/>
          <w:sz w:val="16"/>
          <w:szCs w:val="16"/>
          <w:vertAlign w:val="superscript"/>
        </w:rPr>
        <w:t>13</w:t>
      </w:r>
      <w:r w:rsidRPr="008127F8">
        <w:rPr>
          <w:rFonts w:ascii="Times New Roman" w:hAnsi="Times New Roman"/>
          <w:color w:val="000000" w:themeColor="text1"/>
          <w:sz w:val="16"/>
          <w:szCs w:val="16"/>
        </w:rPr>
        <w:t>'</w:t>
      </w:r>
    </w:p>
    <w:p w14:paraId="787B37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г.)- 168 ед., (1947 г.)-185 ед.</w:t>
      </w:r>
    </w:p>
    <w:p w14:paraId="2A19C0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г.)- 0,36 га; застройки (1947 г.)- 1898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(1946-47 г.)-1495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8FE55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 г.)- 872 чел., (1947 г.)- 757 чел.</w:t>
      </w:r>
    </w:p>
    <w:p w14:paraId="101DE2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 г.)- Н.В. Антонов.</w:t>
      </w:r>
    </w:p>
    <w:p w14:paraId="657F4D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(1948 г.)- Б.Т. Николаев.</w:t>
      </w:r>
    </w:p>
    <w:p w14:paraId="5FD4F943" w14:textId="77777777" w:rsidR="009E2626"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счетчик газовый 1-СГК-6; работомер РМС-80 (1947).</w:t>
      </w:r>
      <w:r w:rsidRPr="008127F8">
        <w:rPr>
          <w:rFonts w:ascii="Times New Roman" w:hAnsi="Times New Roman"/>
          <w:color w:val="000000" w:themeColor="text1"/>
          <w:sz w:val="16"/>
          <w:szCs w:val="16"/>
          <w:vertAlign w:val="superscript"/>
        </w:rPr>
        <w:t>129</w:t>
      </w:r>
    </w:p>
    <w:p w14:paraId="086B57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завод «Ленгазаппарат» (ЛГА) № 3 ММиП, ММ /г. Ленинград Обводный канал, 130 (1948 г.)/</w:t>
      </w:r>
    </w:p>
    <w:p w14:paraId="19040E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завод «Ленгазаппарат» № 3 пущен в эксплуатацию 1.10.1945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8127F8">
        <w:rPr>
          <w:rFonts w:ascii="Times New Roman" w:hAnsi="Times New Roman"/>
          <w:color w:val="000000" w:themeColor="text1"/>
          <w:sz w:val="16"/>
          <w:szCs w:val="16"/>
          <w:vertAlign w:val="superscript"/>
        </w:rPr>
        <w:t>131</w:t>
      </w:r>
    </w:p>
    <w:p w14:paraId="4BAC9A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37B464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г.)- 235 ед., (1947 г.)-181 ед.</w:t>
      </w:r>
    </w:p>
    <w:p w14:paraId="1E856E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г.)- 0,49 га; застройки (1947 г.)- 2088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 г.)- 1881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г.)-2080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7FE906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 г.)- 524 чел., (1947 г.)- 573 чел.</w:t>
      </w:r>
    </w:p>
    <w:p w14:paraId="29B81A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 г.)- Литвинов.</w:t>
      </w:r>
    </w:p>
    <w:p w14:paraId="16CB7A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Аллой.</w:t>
      </w:r>
    </w:p>
    <w:p w14:paraId="1717FF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аппарат водогрейный 1-ВК-2; таган газовый ТГ-2 (1947).</w:t>
      </w:r>
      <w:r w:rsidRPr="008127F8">
        <w:rPr>
          <w:rFonts w:ascii="Times New Roman" w:hAnsi="Times New Roman"/>
          <w:color w:val="000000" w:themeColor="text1"/>
          <w:sz w:val="16"/>
          <w:szCs w:val="16"/>
          <w:vertAlign w:val="superscript"/>
        </w:rPr>
        <w:t>129</w:t>
      </w:r>
    </w:p>
    <w:p w14:paraId="0EA16E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Механический завод № 1, Государственный завод «Ленгазаппарат» (ЛГА) № 5 ММиП /г. Ленинград, 167 п/я 881 (1948 г.)/</w:t>
      </w:r>
    </w:p>
    <w:p w14:paraId="621D80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1939 г. на базе механического завода № 1 Всесоюзного треста по рекуперации организован Государственный завод «Ленгазаппарат» № 5. В 1947-48 г. завод - в ведении треста «Ленгазаппаратура». В 08.1949 г. «Ленгазаппарат» № 5 ММиП передан заводу № 448.</w:t>
      </w:r>
      <w:r w:rsidRPr="008127F8">
        <w:rPr>
          <w:rFonts w:ascii="Times New Roman" w:hAnsi="Times New Roman"/>
          <w:color w:val="000000" w:themeColor="text1"/>
          <w:sz w:val="16"/>
          <w:szCs w:val="16"/>
          <w:vertAlign w:val="superscript"/>
        </w:rPr>
        <w:t>131</w:t>
      </w:r>
    </w:p>
    <w:p w14:paraId="20E178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1946-48 г. завод менял профиль производства с приборостроительного на инструментальный, а затем на производство газовой аппаратуры.</w:t>
      </w:r>
    </w:p>
    <w:p w14:paraId="04E25B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предприятия (1947 г.) цехи: основные: </w:t>
      </w:r>
      <w:proofErr w:type="gramStart"/>
      <w:r w:rsidRPr="008127F8">
        <w:rPr>
          <w:rFonts w:ascii="Times New Roman" w:hAnsi="Times New Roman"/>
          <w:color w:val="000000" w:themeColor="text1"/>
          <w:sz w:val="16"/>
          <w:szCs w:val="16"/>
        </w:rPr>
        <w:t>механо-сборочный</w:t>
      </w:r>
      <w:proofErr w:type="gramEnd"/>
      <w:r w:rsidRPr="008127F8">
        <w:rPr>
          <w:rFonts w:ascii="Times New Roman" w:hAnsi="Times New Roman"/>
          <w:color w:val="000000" w:themeColor="text1"/>
          <w:sz w:val="16"/>
          <w:szCs w:val="16"/>
        </w:rPr>
        <w:t>, штамповочно-медницкий, гальванический; вспомогательные: инструментальный, ремонтно-строительный, ремонтно-механический.</w:t>
      </w:r>
    </w:p>
    <w:p w14:paraId="7AE20F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г.)- 298 ед., (1947 г.)- 213 ед.</w:t>
      </w:r>
    </w:p>
    <w:p w14:paraId="4D72A2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г.)- 2,956 га; застройки (1947 г.)- 4161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 г.)- 3086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г.)- 2441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41DDFB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 г.)- 415 чел., (1947 г.)- 465 чел.</w:t>
      </w:r>
    </w:p>
    <w:p w14:paraId="7BFBDA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 г.)- Хохлов.</w:t>
      </w:r>
    </w:p>
    <w:p w14:paraId="07EED9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Л.Н. Кабардин.</w:t>
      </w:r>
    </w:p>
    <w:p w14:paraId="711DD0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ванная газовая колонка 2-ВВК-5; ватерпас; инструмент: режущий, мерительный, штампы и приспособления (1947) (11982).</w:t>
      </w:r>
    </w:p>
    <w:p w14:paraId="1FDECC6B" w14:textId="77777777" w:rsidR="009E2626" w:rsidRPr="008127F8" w:rsidRDefault="009E262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4D6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 по приказу № 242с филиал завода № 224 (ГС завод № 470 НКАП, МАП, МОП, ОАО «Санкт-Петербургский завод «ТЭМП» /г. Молотов;  г. Ленинград ул. Швецова, 23/25 (1945 г.)/ /198095  г. Санкт-Петербург ул. Швецова, 25 тел. 252-69-81/) с 1.04.1942 г. был преобразован в самостоятельный завод № 470 НКАП в системе 5ГУ для производства контрольно-измерительных приборов. По приказам № 625 от 24.10.1944 г. и № 642с от 5.11.1944 г. завод № 470 НКАП реэвакуирован в период 12.1944-06.1945 г. в Ленинград на бывшую площадку завода № 379 и продолжил действовать под прежним номером. Площади в Молотове возвращены авиатехникуму.</w:t>
      </w:r>
    </w:p>
    <w:p w14:paraId="6EC322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производство вариометров, высотомеров, указателей скорости.</w:t>
      </w:r>
    </w:p>
    <w:p w14:paraId="4F12D9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образованием ОКБ завода он переведен в серийные, затем с 1.01.1947 г. преобразован из серийного в опытный при 5ГУ. По приказу № 440с от 21.06.1948 г. завод с 1.07.1948 г. вновь переведен из состава опытных в серийный завод. В связи с объединением МАП и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СССР в единое МОП завод по приказу № 439с от 1.07.1953 г. передан в подчинение 5ГУ МОП. С образованием МАП с 07.1953 г. завод передан в 5ГУ МАП, с 07.1955 г. - в 11ГУ МАП, с 08.1957 г. - в 4ГУ МАП. В соответствии с пост. СМ СССР № 713-342 от 26.06.1957 г. передан в ведение СНХ РСФСР.</w:t>
      </w:r>
    </w:p>
    <w:p w14:paraId="213FB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 г. завод № 470 присоединен к организации «п/я 466».</w:t>
      </w:r>
      <w:r w:rsidRPr="008127F8">
        <w:rPr>
          <w:rFonts w:ascii="Times New Roman" w:hAnsi="Times New Roman"/>
          <w:color w:val="000000" w:themeColor="text1"/>
          <w:sz w:val="16"/>
          <w:szCs w:val="16"/>
          <w:vertAlign w:val="superscript"/>
        </w:rPr>
        <w:t>131</w:t>
      </w:r>
    </w:p>
    <w:p w14:paraId="24B6CA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акционирован в 1991 г.</w:t>
      </w:r>
    </w:p>
    <w:p w14:paraId="1390CB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навигационно-вычислительное и индикационное оборудование ЛА; автоматические системы управления, приборы для Ил-86, Ту-154, МиГ-23, МиГ-27, МиГ-29, МиГ-31, Су-17, Су-25, Су-27.</w:t>
      </w:r>
    </w:p>
    <w:p w14:paraId="34CEC6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(04.1942-08.1946 г.-)- Е.Ф. Васильев. Гендиректор (2002 г.)- В.П. Шамков.</w:t>
      </w:r>
    </w:p>
    <w:p w14:paraId="7B90B8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(01.1944 г.)- Юффа.</w:t>
      </w:r>
    </w:p>
    <w:p w14:paraId="7A073B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Б.И. Набатчиков.</w:t>
      </w:r>
    </w:p>
    <w:p w14:paraId="027C96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и сбыта (2002 г.)- М.И. Шостаковская.</w:t>
      </w:r>
    </w:p>
    <w:p w14:paraId="00B13B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ЦВМ 8030300, 8030301(2002); БЦВС 80-402, БЦВС 80-404 (2002).</w:t>
      </w:r>
      <w:r w:rsidRPr="008127F8">
        <w:rPr>
          <w:rFonts w:ascii="Times New Roman" w:hAnsi="Times New Roman"/>
          <w:color w:val="000000" w:themeColor="text1"/>
          <w:sz w:val="16"/>
          <w:szCs w:val="16"/>
          <w:vertAlign w:val="superscript"/>
        </w:rPr>
        <w:t>69</w:t>
      </w:r>
    </w:p>
    <w:p w14:paraId="2A398E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470 МАП, ОКБ-470 МАП, ГКАТ, Ленинградское КБ электроавтоматики, А- 7357, ЛНПО ЭА (электроавтоматики), ФГУП «Санкт-Петербургское ОКБ «Электроавтоматика» /</w:t>
      </w:r>
      <w:proofErr w:type="gramStart"/>
      <w:r w:rsidRPr="008127F8">
        <w:rPr>
          <w:rFonts w:ascii="Times New Roman" w:hAnsi="Times New Roman"/>
          <w:color w:val="000000" w:themeColor="text1"/>
          <w:sz w:val="16"/>
          <w:szCs w:val="16"/>
        </w:rPr>
        <w:t>198095  г.</w:t>
      </w:r>
      <w:proofErr w:type="gramEnd"/>
      <w:r w:rsidRPr="008127F8">
        <w:rPr>
          <w:rFonts w:ascii="Times New Roman" w:hAnsi="Times New Roman"/>
          <w:color w:val="000000" w:themeColor="text1"/>
          <w:sz w:val="16"/>
          <w:szCs w:val="16"/>
        </w:rPr>
        <w:t xml:space="preserve"> Ленинград, Санкт-Петербург ул. Маршала Говорова, 40 тел. 252-13-98/</w:t>
      </w:r>
    </w:p>
    <w:p w14:paraId="7D1E21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образовано по приказу № 537с от 12.08.1946 г. при заводе № 470 в Ленинграде для разработки тренажерных кабин и учебно-тренировочной аппаратуры для </w:t>
      </w:r>
      <w:r w:rsidRPr="008127F8">
        <w:rPr>
          <w:rFonts w:ascii="Times New Roman" w:hAnsi="Times New Roman"/>
          <w:color w:val="000000" w:themeColor="text1"/>
          <w:sz w:val="16"/>
          <w:szCs w:val="16"/>
        </w:rPr>
        <w:lastRenderedPageBreak/>
        <w:t>ВВС.</w:t>
      </w:r>
    </w:p>
    <w:p w14:paraId="07FD4B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1B3E02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34EBAC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385сс от 10.12.1962 г. в состав ОКБ-470 было влито ОКБ-857 гл. конструктора В.И. Лапердина.</w:t>
      </w:r>
    </w:p>
    <w:p w14:paraId="503BF0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ОКБ-470 переименовано в Ленинградское КБ «Электроавтоматика». В 1967-79 г. имело наименование «предприятие- п/я А-7357».</w:t>
      </w:r>
    </w:p>
    <w:p w14:paraId="2681D7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1996 г. ОКБ вошло в состав ВПК «МАПО». По Указу Президента РФ № 1009 от 4.08.2004 г. вошел в число стратегических оборонных предприятий.</w:t>
      </w:r>
    </w:p>
    <w:p w14:paraId="5E2EE2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(2003 г.): разработка авионики для авиации (нашлемные системы целеуказания и индикации, коллиматорные индикаторы на лобовое стекло, </w:t>
      </w:r>
      <w:r w:rsidRPr="008127F8">
        <w:rPr>
          <w:rFonts w:ascii="Times New Roman" w:hAnsi="Times New Roman"/>
          <w:color w:val="000000" w:themeColor="text1"/>
          <w:sz w:val="16"/>
          <w:szCs w:val="16"/>
          <w:lang w:val="en-US"/>
        </w:rPr>
        <w:t>IIHK</w:t>
      </w:r>
      <w:r w:rsidRPr="008127F8">
        <w:rPr>
          <w:rFonts w:ascii="Times New Roman" w:hAnsi="Times New Roman"/>
          <w:color w:val="000000" w:themeColor="text1"/>
          <w:sz w:val="16"/>
          <w:szCs w:val="16"/>
        </w:rPr>
        <w:t>, БЦВМ, бортовые системы отображения информации экранного типа, пульты управления); авиационные тренажеры.</w:t>
      </w:r>
      <w:r w:rsidRPr="008127F8">
        <w:rPr>
          <w:rFonts w:ascii="Times New Roman" w:hAnsi="Times New Roman"/>
          <w:color w:val="000000" w:themeColor="text1"/>
          <w:sz w:val="16"/>
          <w:szCs w:val="16"/>
          <w:vertAlign w:val="superscript"/>
        </w:rPr>
        <w:t>69</w:t>
      </w:r>
    </w:p>
    <w:p w14:paraId="47A59D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(1946-56 г.-)- П.А. Ефимов. Директор (-1982 г.)- П.А. Ефимов, (-2002-05 г.-)- ПЛ. Парамонов.</w:t>
      </w:r>
    </w:p>
    <w:p w14:paraId="37AA23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(08.1946-82 г.)- П.А. Ефимов, (-2002-05 г.-)- П.П. Парамонов.</w:t>
      </w:r>
    </w:p>
    <w:p w14:paraId="1528D7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(2006 г.)- А.Е. Сесин.</w:t>
      </w:r>
    </w:p>
    <w:p w14:paraId="5AD3E6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(1946 г.-)- А.Л. Этингоф.</w:t>
      </w:r>
    </w:p>
    <w:p w14:paraId="0E3671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Руководители групп: БЦВМ (1970-е)- О.П. Горохов.</w:t>
      </w:r>
    </w:p>
    <w:p w14:paraId="59BCC6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8127F8">
        <w:rPr>
          <w:rFonts w:ascii="Times New Roman" w:hAnsi="Times New Roman"/>
          <w:iCs/>
          <w:color w:val="000000" w:themeColor="text1"/>
          <w:sz w:val="16"/>
          <w:szCs w:val="16"/>
        </w:rPr>
        <w:t xml:space="preserve"> БЦВМ:</w:t>
      </w:r>
      <w:r w:rsidRPr="008127F8">
        <w:rPr>
          <w:rFonts w:ascii="Times New Roman" w:hAnsi="Times New Roman"/>
          <w:color w:val="000000" w:themeColor="text1"/>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3A2AE5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FAA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вышло Постановление ГКО № 1524 О плане капитального строительства заводов Наркомавиапрома на II квартал 1942 г. РГАНИР, Фонд ГКО, д. 26, лл. 53-57, 58-70 (11012).</w:t>
      </w:r>
    </w:p>
    <w:p w14:paraId="45FE56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E714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15C5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B27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вышло Постановление ГКО № 1523 О принятии на вооружение 45 мм. подкалиберных бронебойно-трассирующих снарядов. РГАНИР, Фонд ГКО, д. 26, лл. 52 (11012).</w:t>
      </w:r>
    </w:p>
    <w:p w14:paraId="08800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977B7" w14:textId="77777777" w:rsidR="001B1F0B" w:rsidRPr="008127F8" w:rsidRDefault="001B1F0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 апреля 1942 года были проведены испытания стрельбой осколочно-фугасными снарядами по броневым плитам. Вместо У-11 использовалась гаубица М-30, благо что баллистика и боеприпасы у них одинаковые. Испытания стрельбой по плите толщиной 76 мм показали, что при попадании 122-мм осколочно-фугасного снаряда повреждений она не получает. На этом испытания прекратили. Фактически в этот момент произошла смерть проекта КВ-9. Более вопрос о серийном производстве КВ-9 не поднимался.</w:t>
      </w:r>
    </w:p>
    <w:p w14:paraId="38D26BAA" w14:textId="77777777" w:rsidR="001B1F0B" w:rsidRPr="008127F8" w:rsidRDefault="001B1F0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Ряд исследователей указывает, что в серию КВ-9 не пустили из-за перегрузки танка. Как видно, причиной стало совсем не это. В последний раз проект КВ-9 пытались реанимировать в октябре 1942 года, но эта попытка закончилась неудачей.</w:t>
      </w:r>
    </w:p>
    <w:p w14:paraId="7B793DD5" w14:textId="77777777" w:rsidR="001B1F0B" w:rsidRPr="008127F8" w:rsidRDefault="001B1F0B"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моменту, когда были проведены испытания стрельбой осколочно-фугасными снарядами по бронеплитам, на заводе №8 уже было запущено производство установочной партии орудийных установок У-11. В результате повторилась история с КВ-7. На сей раз вместо 20 бесхозных корпусов образовался задел из 10 бесхозных танковых гаубиц. Предстояло решить вопрос о том, что делать с этими системами (17680).</w:t>
      </w:r>
    </w:p>
    <w:p w14:paraId="754615DA" w14:textId="77777777" w:rsidR="001B1F0B" w:rsidRPr="008127F8" w:rsidRDefault="001B1F0B" w:rsidP="001E0A84">
      <w:pPr>
        <w:spacing w:after="0" w:line="240" w:lineRule="auto"/>
        <w:jc w:val="both"/>
        <w:rPr>
          <w:rFonts w:ascii="Times New Roman" w:hAnsi="Times New Roman"/>
          <w:color w:val="000000" w:themeColor="text1"/>
          <w:sz w:val="16"/>
          <w:szCs w:val="16"/>
        </w:rPr>
      </w:pPr>
    </w:p>
    <w:p w14:paraId="4C3183EC" w14:textId="77777777" w:rsidR="000E3C02" w:rsidRPr="008127F8" w:rsidRDefault="000E3C0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 апреля 1942 года провели испытание. Поскольку У-11 не имелось, вели огонь из гаубицы М-30. Испытания показали, что повреждений 76-мм броневые листы от осколочно-фугасных снарядов не получают, так что У-11 попросту оказалась не у дел. Особое внимание стоит обратить на то, что пикировка идет именно по поводу бронепробиваемости. По поводу осколочно-фугасного действия снарядов У-11 вообще ни слова. Как уже потом выяснилось, вполне приличное бронепробитие было получено за счет "шаманства" с зарядами. Долго бы затвор с таким зарядом не выдержал (20860).</w:t>
      </w:r>
    </w:p>
    <w:p w14:paraId="229EC8A8" w14:textId="77777777" w:rsidR="000E3C02" w:rsidRPr="008127F8" w:rsidRDefault="000E3C02"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C147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 филиал завода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с 1.04.1942 г. был преобразован в самостоятельный завод № 470 НКАП в системе 5ГУ.</w:t>
      </w:r>
    </w:p>
    <w:p w14:paraId="3DE4BF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224 начал восстанавливаться на старом месте в 1942 г. К началу 1945 г. базировался на четырех площадках: </w:t>
      </w:r>
      <w:proofErr w:type="gramStart"/>
      <w:r w:rsidRPr="008127F8">
        <w:rPr>
          <w:rFonts w:ascii="Times New Roman" w:hAnsi="Times New Roman"/>
          <w:color w:val="000000" w:themeColor="text1"/>
          <w:sz w:val="16"/>
          <w:szCs w:val="16"/>
        </w:rPr>
        <w:t>по Иностранному</w:t>
      </w:r>
      <w:proofErr w:type="gramEnd"/>
      <w:r w:rsidRPr="008127F8">
        <w:rPr>
          <w:rFonts w:ascii="Times New Roman" w:hAnsi="Times New Roman"/>
          <w:color w:val="000000" w:themeColor="text1"/>
          <w:sz w:val="16"/>
          <w:szCs w:val="16"/>
        </w:rPr>
        <w:t xml:space="preserve"> пер., по Финляндскому пер., по Наличному пер., 7Б и по 18/19 линии Васильевского острова, 10.</w:t>
      </w:r>
    </w:p>
    <w:p w14:paraId="0B833D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44E7C6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72с от 25.02.1946 г. завод с 1.02.1946 г. становится опытной базой гл. конструктора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Неусыпина, а по приказу № 430с от 4.07.1946 г. преобразуется в Опытный завод № 224 МАП. В 08.1957 г.- в ведении 4ГУ ГКАТ.</w:t>
      </w:r>
    </w:p>
    <w:p w14:paraId="0AB730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30CEB4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4FA97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г.)- 350 чел.</w:t>
      </w:r>
    </w:p>
    <w:p w14:paraId="1C8870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395E1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(2006 г.)- А. Иванов.</w:t>
      </w:r>
    </w:p>
    <w:p w14:paraId="6A28F9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директора (02.1944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Неусыпин. Зам. гендиректора по экономике и финансам (2002 г.)- Д.А. Воробьев.</w:t>
      </w:r>
    </w:p>
    <w:p w14:paraId="4105FE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(02.1944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Неусыпин, (2002 г.)- А.Е. Понкратов.</w:t>
      </w:r>
      <w:r w:rsidRPr="008127F8">
        <w:rPr>
          <w:rFonts w:ascii="Times New Roman" w:hAnsi="Times New Roman"/>
          <w:color w:val="000000" w:themeColor="text1"/>
          <w:sz w:val="16"/>
          <w:szCs w:val="16"/>
          <w:vertAlign w:val="superscript"/>
        </w:rPr>
        <w:t>69</w:t>
      </w:r>
    </w:p>
    <w:p w14:paraId="1E0B14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сборочного (03.1937 г.-)</w:t>
      </w:r>
      <w:proofErr w:type="gramStart"/>
      <w:r w:rsidRPr="008127F8">
        <w:rPr>
          <w:rFonts w:ascii="Times New Roman" w:hAnsi="Times New Roman"/>
          <w:color w:val="000000" w:themeColor="text1"/>
          <w:sz w:val="16"/>
          <w:szCs w:val="16"/>
        </w:rPr>
        <w:t>-  Г.К.</w:t>
      </w:r>
      <w:proofErr w:type="gramEnd"/>
      <w:r w:rsidRPr="008127F8">
        <w:rPr>
          <w:rFonts w:ascii="Times New Roman" w:hAnsi="Times New Roman"/>
          <w:color w:val="000000" w:themeColor="text1"/>
          <w:sz w:val="16"/>
          <w:szCs w:val="16"/>
        </w:rPr>
        <w:t xml:space="preserve"> Петров.</w:t>
      </w:r>
    </w:p>
    <w:p w14:paraId="2A2992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визир НВ-56, барографы (1936);</w:t>
      </w:r>
      <w:r w:rsidRPr="008127F8">
        <w:rPr>
          <w:rFonts w:ascii="Times New Roman" w:hAnsi="Times New Roman"/>
          <w:iCs/>
          <w:color w:val="000000" w:themeColor="text1"/>
          <w:sz w:val="16"/>
          <w:szCs w:val="16"/>
        </w:rPr>
        <w:t xml:space="preserve"> приборы:</w:t>
      </w:r>
      <w:r w:rsidRPr="008127F8">
        <w:rPr>
          <w:rFonts w:ascii="Times New Roman" w:hAnsi="Times New Roman"/>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17D4E2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40F4A" w14:textId="77777777" w:rsidR="009E2626" w:rsidRPr="008127F8" w:rsidRDefault="009E26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 апреля 1942 вечером с борта сторожевого катера СКА-084 был "</w:t>
      </w:r>
      <w:r w:rsidRPr="008127F8">
        <w:rPr>
          <w:rFonts w:ascii="Times New Roman" w:eastAsia="Times New Roman" w:hAnsi="Times New Roman"/>
          <w:iCs/>
          <w:color w:val="000000" w:themeColor="text1"/>
          <w:sz w:val="16"/>
          <w:szCs w:val="16"/>
        </w:rPr>
        <w:t>произведен первый залп реактивными снарядами по вражескому торпедоносцу</w:t>
      </w:r>
      <w:r w:rsidRPr="008127F8">
        <w:rPr>
          <w:rFonts w:ascii="Times New Roman" w:eastAsia="Times New Roman" w:hAnsi="Times New Roman"/>
          <w:color w:val="000000" w:themeColor="text1"/>
          <w:sz w:val="16"/>
          <w:szCs w:val="16"/>
        </w:rPr>
        <w:t>".</w:t>
      </w:r>
    </w:p>
    <w:p w14:paraId="7FCB8270" w14:textId="77777777" w:rsidR="009E2626" w:rsidRPr="008127F8" w:rsidRDefault="009E26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О возможностях нового оружия на флоте командир Новороссийской военно-морской базы капитан 1 ранга Г.Н. Холостяков доложил прибывшему в город Новороссийск заместителю наркома Военно-морского флота адмиралу И.С. Исаеву. Опытный моряк заинтересовался новым оружием, подробно расспросил Г.В. Терновского о зарождении самой идеи использования ракетного оружия на малых боевых кораблях. По результатам ознакомления, И.С. Исаев распорядился устанавливать реактивные установки также и на торпедных катерах.</w:t>
      </w:r>
    </w:p>
    <w:p w14:paraId="3D580CDB" w14:textId="77777777" w:rsidR="009E2626" w:rsidRPr="008127F8" w:rsidRDefault="009E26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Черноморцы сразу же загорелись желанием установить “катюши” на ТКА “Г-5” для частичной компенсации их слабого пулеметного вооружения. Начальник штаба флота контр-адмирал И.Д. Елисеев дал положительную оценку этой идеи. В ремонтных мастерских пограничных войск Народного комиссариата внутренних дел (НКВД) в городе Новороссийске по чертежам, разработанным дивизионным инженером-механиком Н.И. Ясуловичем (из 2-й бригады ТКА), он с группой катерников-ремонтников за восемь дней изготовил установку с четырьмя направляющими с возможностью пуска до восьми реактивных снарядов калибра 82 мм. За основу была взята ремонтирующаяся установка для стрельбы такими же снарядами. Эту установку и смонтировали перед командирской рубкой на ТКА № 175 Ф.П. Бублика. </w:t>
      </w:r>
      <w:r w:rsidRPr="008127F8">
        <w:rPr>
          <w:rFonts w:ascii="Times New Roman" w:eastAsia="Times New Roman" w:hAnsi="Times New Roman"/>
          <w:color w:val="000000" w:themeColor="text1"/>
          <w:sz w:val="16"/>
          <w:szCs w:val="16"/>
        </w:rPr>
        <w:lastRenderedPageBreak/>
        <w:t>Однако на испытаниях при волне 3 балла подвешенные на крайних рельсах снизу РС срывались и падали за борт. Поэтому решено было укладывать только сверху по четыре реактивных снаряда.</w:t>
      </w:r>
    </w:p>
    <w:p w14:paraId="75F2054C" w14:textId="77777777" w:rsidR="009E2626" w:rsidRPr="008127F8" w:rsidRDefault="009E26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 Кочнева, М. Гурина и А. Куракина, а затем и на более крупных, чем Г-5, торпедных катерах Д-3 (деревянном) и СМ-3 (стальном мореходном) (15982).</w:t>
      </w:r>
    </w:p>
    <w:p w14:paraId="60C22959" w14:textId="77777777" w:rsidR="009E2626" w:rsidRPr="008127F8" w:rsidRDefault="009E2626" w:rsidP="001E0A84">
      <w:pPr>
        <w:spacing w:after="0" w:line="240" w:lineRule="auto"/>
        <w:jc w:val="both"/>
        <w:rPr>
          <w:rFonts w:ascii="Times New Roman" w:eastAsia="Times New Roman" w:hAnsi="Times New Roman"/>
          <w:color w:val="000000" w:themeColor="text1"/>
          <w:sz w:val="16"/>
          <w:szCs w:val="16"/>
        </w:rPr>
      </w:pPr>
    </w:p>
    <w:p w14:paraId="13B9152D" w14:textId="5B854AC5"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апреля 1942 года с целью создания новых видов систем управления вооружением кораблей ВМФ постановлением Комитета обороны СССР было основано Специальное конструкторское бюро Наркомата судостроительной промышленности (СКБ НКСП). Основу его коллектива составили эвакуированные из Ленинграда сотрудники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НИИ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морского</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sid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приборостроения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Первым директором бюро стал А.А. Розанов. В годы войны в СКБ были разработаны системы управления стрельбой артиллерией главного калибра и зенитным огнем крейсеров и эсминцев и системы их связи с импортными радиолокационными станциями орудийной наводки. К концу войны коллективом бюро был уже накоплен большой опыт создания таких комплексов и эксплуатации их на кораблях (15491).</w:t>
      </w:r>
    </w:p>
    <w:p w14:paraId="3E6E0AA8"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1E9BA86C" w14:textId="1A1BF1B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года Постановлением Государственного комитета обороны, подписанным И.В. Сталиным, юридически было закреплено создание Специального конструкторского бюро Наркомата Судостроительной промышленности. Специального конструкторского бюро Наркомата судостроительной промышленности (СКБ НКСП). Во второй половине марта 1942 года в Центральный аппарат Государственного комитета обороны ГКО) были приглашены А.А. Розанов, Д.В. Чувилин и В.Д. Чижов, которым было поручено подготовить предложения по организации специального конструкторского бюро по проектированию, изготовлению, и испытаниям «первых образцов и отработке чертежей для серийного производства торпед и мин акустического действия». Деятельное участие в организации этого бюро принял сын Председателя Президиума Верховного Совета СССР М.И. Калинина – В.М. Калинин. Его первым начальником стал А.А. Розанов – в будущем заместитель министра электронной промышленности. Постановлением ГКО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1521 от апреля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начальнику СКБ НКСП предлагалось организовать разработку «самонаводящейся акустической торпеды САТ, автоматически меняющей свой курс под действием шума корабля-цели и обеспечивающей обязательное попадание во вражеское судно без точного прицельного огня». В дальнейшем деятельность СКБ была расширена. После организации СКБ специалисты бригад, обслуживающих воинские части, работали под непосредственным руководством начальника СКБ А.А. Розанова и директора завода-205 Г.М. Чуйкова, которые эффективно использовали их опыт, как в разработке новых видов боевой техники, так и при модернизации серийных приборов и систем управления.</w:t>
      </w:r>
    </w:p>
    <w:p w14:paraId="54990575" w14:textId="1D0012F3"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важными разработками СКБ НКСП для нужд Красной Армии, выполненными в 1942–</w:t>
      </w:r>
      <w:proofErr w:type="gramStart"/>
      <w:r w:rsidRPr="008127F8">
        <w:rPr>
          <w:rFonts w:ascii="Times New Roman" w:hAnsi="Times New Roman"/>
          <w:color w:val="000000" w:themeColor="text1"/>
          <w:sz w:val="16"/>
          <w:szCs w:val="16"/>
        </w:rPr>
        <w:t>1943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гг.</w:t>
      </w:r>
      <w:proofErr w:type="gramEnd"/>
      <w:r w:rsidRPr="008127F8">
        <w:rPr>
          <w:rFonts w:ascii="Times New Roman" w:hAnsi="Times New Roman"/>
          <w:color w:val="000000" w:themeColor="text1"/>
          <w:sz w:val="16"/>
          <w:szCs w:val="16"/>
        </w:rPr>
        <w:t xml:space="preserve"> 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успешно эксплуатировавшимися в воинских частях, были:</w:t>
      </w:r>
    </w:p>
    <w:p w14:paraId="0D734BA0" w14:textId="09AF85DF"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гироскопический прицел для танковой пушки «Таран»;</w:t>
      </w:r>
    </w:p>
    <w:p w14:paraId="1B28DEBE" w14:textId="3E3DE11E"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автоматический прицел «КЛК-42» для 85-мм зенитной пушки.</w:t>
      </w:r>
    </w:p>
    <w:p w14:paraId="09F5D98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разработки системы «Таран» была выявлена необходимость коренной переработки электропривода башни танка Т-34, поскольку она не обеспечивала ни точности, ни плавности наводки башни.</w:t>
      </w:r>
    </w:p>
    <w:p w14:paraId="37A77E0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Разработанный специалистами СКБ новый силовой электропривод башни с применением специального контактного следящего привода обеспечил точную наводку пушки и ее плавность во всем диапазоне изменения скорости наводки (от 00 до 80/сек.) и значительную максимальную скорость (около 180/сек.) переброски пушки с цели на цель. Система «Таран» была принята заказчиком, и ее изготовление для нужд фронта было поручено заводу 706 НКСП (15736).</w:t>
      </w:r>
    </w:p>
    <w:p w14:paraId="2F9A3519"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49F3CB29"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года Постановлением СНК СССР было создано специальное конструкторское бюро СКБ-НКСП по проектированию, изготовлению, и испытаниям "первых образцов и отработки чертежей для серийного производства торпед и мин акустического действия". Его первым начальником стал А. А. Розанов - в будущем заместитель министра электронной промышленности (9921).</w:t>
      </w:r>
    </w:p>
    <w:p w14:paraId="28C5BDE3"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451266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 в соответствии с постановлением СНК от было создано СКБ НКСП для проектирования, изготовления и испытаний торпед и мин акустического действия. Сюда переведена часть конструкторов с заводов № 215 и № 231.</w:t>
      </w:r>
    </w:p>
    <w:p w14:paraId="6DFB25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СКБ МСП преобразовано в МНИИ-1. В 1966 г. МНИИ-1 переименован в ЦМНИИ с филиалами в Ульяновске и Ереване переименован в ЦМНИИ.</w:t>
      </w:r>
    </w:p>
    <w:p w14:paraId="56D170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1971 г. ЦМНИИ переименован в НИИ «Агат». В 1977 г. НИИ преобразован в НПО «Агат».</w:t>
      </w:r>
    </w:p>
    <w:p w14:paraId="3BDC88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p>
    <w:p w14:paraId="165CF1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06ADA3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 г. институт имел отношение к работам по атомным ПЛ. В 1960-е стал головным по ЭВМ и системам управления для МСП.</w:t>
      </w:r>
    </w:p>
    <w:p w14:paraId="4E6DBC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 г. начата разработка первой в стране мобильной ЭВМ 5Э89 («Курс-1»). Строилась серийно в 1962-87 г. В 1960 г. создана первая отечественная система «Кадр» цифрового программного управления наведением антенн АДУ-1000 ЦДКС.</w:t>
      </w:r>
    </w:p>
    <w:p w14:paraId="62D531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(1942 г.-)- А.А. Розанов.</w:t>
      </w:r>
    </w:p>
    <w:p w14:paraId="27EBB8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И.Ф. Попов, А.А. Сорокин.</w:t>
      </w:r>
    </w:p>
    <w:p w14:paraId="1907C3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Е.Д. Лапыгин, В.И. Рыжков, (1967 г.)- Р.Р. Бельский («Туча»), (1976 г.)- В.В. Малишевский («Атака»), (1977 г.)- Г.Д. Соснин («Арка»), (-1979-83 г.-)- Н.С. Парфенов («Напев», «Айлама»), (1983 г.)- И.Ф. Попов («Акация»).</w:t>
      </w:r>
    </w:p>
    <w:p w14:paraId="59DAF0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(-1959-60 г.-)- Я.А. Хетагуров, А.С. Вайрадян (зам. гл. конструктора), Ю.М. Ковальский, В.В. Лазарев, В.Н. Минаев, И.А. Рогинский; (-1959-79 г.-)- З.Д. Алексеева (Кузина); (-1959-83 г.-)- Н.С. Парфенов; (1967 г.)- Г.А. Астахов; (1976 г.)- А.М. Иванов, Б.Б. Кугутов, В.С. Руд, В.Н. Степанов, А.А. Яковлев; (1977 г.)- З. Исраелова, Е. Латекина, А.Д. Мальцев, А. Молчанова, С. Раков, Л. Сходнева; (1979 г.)- М.Г. Иванова, Т.П. Игнатова, А.Т. Прокошенков; (-1979-83 г.-)- Ю.И. Ветохин; (1983 г.)- Б.Н. Караманянц, В.П. Кошелев, В.М. Крамер, Д.И. Лавров, И.Ф. Попов, А.Н. Прохоров, В. Романчиков, В. Старцев, Н.А. Старцева, Ю.Н. Урусов.</w:t>
      </w:r>
    </w:p>
    <w:p w14:paraId="3F362A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ЭВМ: мобильная «Курс-1» 5Э89 (1962), специализированная МВМ-012 «Атака» (1976), «Арка» (прибор «189», 1977), «Напев» (1979); система «Кадр» (1960); БИУС «Туча» для АПЛ пр. 667А (1967); унифицированная ВС частотно-временной обработки сигналов «Айлама» для ГАС (1983); цифровая СУ стрельбой «Акация» для КР «Гранат» (1983).82 </w:t>
      </w:r>
    </w:p>
    <w:p w14:paraId="1BFE16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«Агат»</w:t>
      </w:r>
    </w:p>
    <w:p w14:paraId="7DC1B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1977 г. на базе НИИ «Агат».</w:t>
      </w:r>
    </w:p>
    <w:p w14:paraId="0AE7BC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Гендиректор (1977 г.-)- А.А. Машков (10776). </w:t>
      </w:r>
    </w:p>
    <w:p w14:paraId="773347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МНИИ-1 (Морской НИИ № 1) МСП, СКБ НКСП, МСП, Центральный морской НИИ (ЦМНИИ), НИИ «Агат», НПО «Агат» (10776).</w:t>
      </w:r>
    </w:p>
    <w:p w14:paraId="054FDC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FF11D"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года в техническом отделе Наркомтанкопрома прошло совещание, связанно с возможностью оборудования серийных танков однострельными огнеметами (ФОГ, ТОГ). При этом отмечалось, что установка ФОГ на Т-34 возможна с расположением их в кормовой части танка. Эта установка могла производить 8 выстрелов (по 4 на борт) емкость каждого из которых составляла 25 литров. Фугасные огнеметы устанавливались в ящиках, изготовленных из броневых листов толщиной 15 мм, масса установки на Т-34 составляла 1030 кг. Проведение выстрелов из огнеметов осуществлялось изнутри танка.</w:t>
      </w:r>
    </w:p>
    <w:p w14:paraId="3B61E391"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недостатков указывались следующие:</w:t>
      </w:r>
    </w:p>
    <w:p w14:paraId="3563F915"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«Значительно выступающие по очертаниям установки демаскируют огнеметные танки. Ведение огня возможно только в сторону бортов.</w:t>
      </w:r>
    </w:p>
    <w:p w14:paraId="57577870"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 возможность при поражении огнеметов зажигательными крупнокалиберными пулями или снарядами в воспламенении их с передачей пожара во внутрь танка через воздушные карманы.</w:t>
      </w:r>
    </w:p>
    <w:p w14:paraId="51B44A69"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НКТП имеет валовое производство этих огнеметов. Опытные установки на танках отработаны».</w:t>
      </w:r>
    </w:p>
    <w:p w14:paraId="0C97834D"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ходе обсуждения присутствую - щие пришли к выводу о том, что предпочтительнее вооружать серийные танки одноразовыми огнеметами ТОГ, представлявшими собой цилиндр диаметром 145 мм и длиной 1300 мм с емкостью выстрела 25 л. На каждом борту линейного Т-34 предполагалось смонтировать по три ТОГ, защитив их броней. В этом случае, в отличие от установки ФОГ </w:t>
      </w:r>
      <w:proofErr w:type="gramStart"/>
      <w:r w:rsidRPr="008127F8">
        <w:rPr>
          <w:rFonts w:ascii="Times New Roman" w:hAnsi="Times New Roman"/>
          <w:color w:val="000000" w:themeColor="text1"/>
          <w:sz w:val="16"/>
          <w:szCs w:val="16"/>
        </w:rPr>
        <w:t>огне- метание</w:t>
      </w:r>
      <w:proofErr w:type="gramEnd"/>
      <w:r w:rsidRPr="008127F8">
        <w:rPr>
          <w:rFonts w:ascii="Times New Roman" w:hAnsi="Times New Roman"/>
          <w:color w:val="000000" w:themeColor="text1"/>
          <w:sz w:val="16"/>
          <w:szCs w:val="16"/>
        </w:rPr>
        <w:t xml:space="preserve"> велось вперед по ходу танка. Отмечалось, что к этому времени «огнемет ТОГ и установка его на танках отработаны только в опытных образцах завода № 183».</w:t>
      </w:r>
    </w:p>
    <w:p w14:paraId="2B94DCB1" w14:textId="77777777" w:rsidR="002C3817" w:rsidRPr="008127F8" w:rsidRDefault="002C381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Сколько было изготовлено танков с ФОГами пока установить не удалось, но фотографий с такими установками встречается около 20 штук. Что касается ТОГов то, скорее всего, их серийно не производили (12217).</w:t>
      </w:r>
    </w:p>
    <w:p w14:paraId="08E3433A" w14:textId="77777777" w:rsidR="002C3817" w:rsidRPr="008127F8" w:rsidRDefault="002C3817" w:rsidP="001E0A84">
      <w:pPr>
        <w:spacing w:after="0" w:line="240" w:lineRule="auto"/>
        <w:jc w:val="both"/>
        <w:rPr>
          <w:rFonts w:ascii="Times New Roman" w:hAnsi="Times New Roman"/>
          <w:color w:val="000000" w:themeColor="text1"/>
          <w:sz w:val="16"/>
          <w:szCs w:val="16"/>
        </w:rPr>
      </w:pPr>
    </w:p>
    <w:p w14:paraId="1196C22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FA2B0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C902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группа советских ученых призвала своих коллег собрать деньги на строительство танковой колонны (4962).</w:t>
      </w:r>
    </w:p>
    <w:p w14:paraId="3743D72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A2C87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FF165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CB2683"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в 1942 году утреннее сообщение Совинформбюро:</w:t>
      </w:r>
    </w:p>
    <w:p w14:paraId="4E91351F"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 апреля на фронте каких-либо существенных изменений не произошло.</w:t>
      </w:r>
    </w:p>
    <w:p w14:paraId="33AFD5A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Наша часть, действующая на одном из участков Калининского фронта, продолжая теснить немцев, за один день уничтожила свыше 300 вражеских солдат и офицеров и захватила 20 противотанковых орудий и 8 станковых пулемётов. На другом участке в этот же день наши бойцы уничтожили 185 гитлеровцев.</w:t>
      </w:r>
    </w:p>
    <w:p w14:paraId="7BA551D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на одном из участков Западного фронта внезапным ударом сбила боевое охранение немцев и ворвалась в населённый пункт. В уличных боях красноармейцы уничтожили 130 гитлеровских солдат и захватили 4 пулемёта, 7 автоматов, 8.000 патронов я другие трофеи.</w:t>
      </w:r>
    </w:p>
    <w:p w14:paraId="1042B3C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Пытаясь приостановить наступление одной нашей части, гитлеровцы натравили отряд бронемашин. Старший сержант Сараев, красноармейцы Данишников и Баянов, подпустив вражеские машины на близкое расстояние, открыли по ним огонь из противотанковых ружей. Потеряв 4 бронемашины, немцы отступили.</w:t>
      </w:r>
    </w:p>
    <w:p w14:paraId="69F8869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Группа советских сапёр, выполнявшая задание командования, подверглась нападению немцев. Ружейно-пулемётным огнём сапёры отбили атаку немцев и отбросили их назад. Смелость и отвагу в этом бою проявил красноармеец </w:t>
      </w:r>
      <w:proofErr w:type="gramStart"/>
      <w:r w:rsidRPr="008127F8">
        <w:rPr>
          <w:rFonts w:ascii="Times New Roman" w:hAnsi="Times New Roman"/>
          <w:color w:val="000000" w:themeColor="text1"/>
          <w:sz w:val="16"/>
          <w:szCs w:val="16"/>
        </w:rPr>
        <w:t>тов.Казаков</w:t>
      </w:r>
      <w:proofErr w:type="gramEnd"/>
      <w:r w:rsidRPr="008127F8">
        <w:rPr>
          <w:rFonts w:ascii="Times New Roman" w:hAnsi="Times New Roman"/>
          <w:color w:val="000000" w:themeColor="text1"/>
          <w:sz w:val="16"/>
          <w:szCs w:val="16"/>
        </w:rPr>
        <w:t>. Он лично уничтожил 18 гитлеровцев. Под огнём противника тов. Казаков подполз к убитым немецким офицерам, забрал у них сумки с документами, пулемёт, несколько пистолетов и вернулся в свою часть.</w:t>
      </w:r>
    </w:p>
    <w:p w14:paraId="7E4FC41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калининских партизан под командованием тов. М. совершил налёт на одно село, захваченное гитлеровцами. Окружив дом, где находилась немецкая комендатура, партизаны бросили в окно несколько гранат. Уничтожив охрану и полицейских, партизаны скрылись.</w:t>
      </w:r>
    </w:p>
    <w:p w14:paraId="5521940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3 роты 85 румынского полка Ион Туадер рассказал: «Солдаты не хотят воевать. Дезертиры переодеваются в гражданскую одежду и прячутся в сёлах и городах. Недавно наша дивизия готовилась к наступлению, но в самые последние минуты многие солдаты разбежались и спрятались в крестьянских домах. Крики и угрозы офицеров не помогли. Пришлось самому командиру дивизии генералу Бурзотеску бегать по домам и выволакивать оттуда спрятавшихся солдат».</w:t>
      </w:r>
    </w:p>
    <w:p w14:paraId="0438678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Отступая из деревни Озёры, Юхновского района, Смоленской области, гитлеровские бандиты расстреляли 16 колхозников и 16 раненых красноармейцев. В числе погибших колхозники Воробьёв М. и его сын Николай, Воробьёв И., Алистархов П. и его сын Афанасий, Алистархов П., Старишков В., Золотев В., Разумовский </w:t>
      </w:r>
      <w:proofErr w:type="gramStart"/>
      <w:r w:rsidRPr="008127F8">
        <w:rPr>
          <w:rFonts w:ascii="Times New Roman" w:hAnsi="Times New Roman"/>
          <w:color w:val="000000" w:themeColor="text1"/>
          <w:sz w:val="16"/>
          <w:szCs w:val="16"/>
        </w:rPr>
        <w:t>В.,Новиков</w:t>
      </w:r>
      <w:proofErr w:type="gramEnd"/>
      <w:r w:rsidRPr="008127F8">
        <w:rPr>
          <w:rFonts w:ascii="Times New Roman" w:hAnsi="Times New Roman"/>
          <w:color w:val="000000" w:themeColor="text1"/>
          <w:sz w:val="16"/>
          <w:szCs w:val="16"/>
        </w:rPr>
        <w:t xml:space="preserve"> С, Ловков Я., Никаноров Е. и другие.» (15087).</w:t>
      </w:r>
    </w:p>
    <w:p w14:paraId="02E936A3"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47E1B75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в 1942 году вечернее сообщение Совинформбюро:</w:t>
      </w:r>
    </w:p>
    <w:p w14:paraId="3943AAA6"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 апреля на некоторых участках фронта наши войска вели наступательные бои и заняли несколько населённых пунктов.</w:t>
      </w:r>
    </w:p>
    <w:p w14:paraId="73F6809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апреля уничтожено 57 немецких самолётов. Наши потери — 11 самолётов.</w:t>
      </w:r>
    </w:p>
    <w:p w14:paraId="52AF017B"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Баренцевом море наш корабль потопил подводную лодку противника.</w:t>
      </w:r>
    </w:p>
    <w:p w14:paraId="1ED8BE8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апреля частями нашей авиации уничтожено или повреждено несколько немецких танков, 75 автомашин с войсками и грузами, автоцистерна с горючим, 15 полевых и зенитных орудий, 15 миномётов, 9 пулемётов, 3 зенитно-пулемётныеточки, сбит аэростат наблюдения, взорваны 5 складов с боеприпасами, рассеяно и частью уничтожено до батальона пехоты противника.</w:t>
      </w:r>
    </w:p>
    <w:p w14:paraId="7C12EC2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 нашей кавалерийской части под командованием тов. Тимофеева (Калининский фронт) гитлеровцы бросили в контратаку пехоту, поддержанную группой танков. Противник имел численный перевес, но в результате ожесточённого боявынужден был отступить. Немцы потеряли только убитыми свыше 650 солдат и офицеров. Подбито 3 вражеских танка, уничтожено 4 пулемёта и 2 орудия. Захвачены трофеи. На другом участке фронта противник под прикрытием большой группы танков и авиации пытался взять деревню К. Бой продолжался несколько часов. Гитлеровцы были отброшены, оставив на подступах к деревне сотни трупов. Уничтожено 18 танков противника.</w:t>
      </w:r>
    </w:p>
    <w:p w14:paraId="7CFA989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гвардейская стрелковая часть, действующая на одном из участков Западного фронта, выбила противника из населённого пункта, уничтожив при этом более 100 немецких солдат и офицеров. Захвачены трофеи: 11 пулемётов, миномёт, 100 винтовок, 4 ящика патронов, радиостанция и другое военное имущество.</w:t>
      </w:r>
    </w:p>
    <w:p w14:paraId="34BBCB0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 вражеских танка атаковали орудие младшего сержанта Кочнева. Орудийный расчёт был выведен из строя. Оставшись один у орудия, отважный сержант продолжал вести огонь и меткими выстрелам подбил все три немецких танка.</w:t>
      </w:r>
    </w:p>
    <w:p w14:paraId="2368384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действует в тылу врага отряд орловских партизан под командованием товарищей А. и Р. Недавно партизаны совершили из засады налет на 119 немецкую железнодорожную роту. В результате короткой схватки уничтожено 169 и взято в плен 64 немецких солдата и офицера. Отряд захватил 180 винтовок, 10 пулемётов и 80.000 патронов.</w:t>
      </w:r>
    </w:p>
    <w:p w14:paraId="70442E9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Другой партизанский отряд под командованием тов. П. произвел нападение на железнодорожную станцию. Партизаны забросали гранатами и подожгли находившийся здесь воинский эшелон с немецкими солдатами. Несколько дней спустя этот же отряд, минировав железнодорожное полотно, пустил под откос эшелон с танками, артиллерией и пехотой противника. В результате катастрофы движение поездов на этом участке было прервано на 3 дня.</w:t>
      </w:r>
    </w:p>
    <w:p w14:paraId="02BB800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9 роты 513 полка 294 немецкой пехотной дивизии, поляк по национальности, Алоиз Бернайс рассказал о чудовищных издевательствах гитлеровцев над польским народом: «Поляки чувствуют себя, как узники,— говорит Бернайс.— Польская речь запрещена не только в учреждениях и на предприятиях. Говорить по-польски запрещено и на улицах. Гитлеровцы терроризируют польское население. Любой немец может обвинить поляка в том, что он слушал московское радио или обучал своих детей польской грамоте, и упрятать его в тюрьму. Из писем, полученных мной в январе—феврале, я узнал, что немцы сейчас насильно отправляют польскую молодёжь и даже подростков на работы в Германию. Матильда С. прислала мне письмо, полное отчаяния. Она пишет, что её 16-летнюю дочь отправили в район Вены. Мой двоюродный брат 14-летний Станислав Новацкий тоже насильно увезён в Германию».</w:t>
      </w:r>
    </w:p>
    <w:p w14:paraId="6E2ADF5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Марин Лунц, находящийся на советско-германском фронте, писал ефрейтору Гансу Блей: «...Недавно на нас неожиданно напали партизаны. Мы потеряли 72 человека. Ты сам понимаешь, что это значит. Хотя наши танки немедленно двинулись в погоню, но поймать никого не смогли».</w:t>
      </w:r>
    </w:p>
    <w:p w14:paraId="7DC7B851"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городе Мешеде (Германия) на заводе автодеталей произошла забастовка иностранных рабочих, вызванная введением 14-часового рабочего дня. Отряд штурмовиков произвёл многочисленные аресты. 19 рабочих — французов и итальянцев— расстреляны как организаторы забастовки.» (15087).</w:t>
      </w:r>
    </w:p>
    <w:p w14:paraId="71F701EB"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1DAEE06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апреля 1942 г. ГСТ совместно с бомбардировщиками из 63-й авиационной бригады атаковал отряд румынских кораблей при постановке минного заграждения юго-западнее мыса Олинька. В результате чего получили повреждения минный заградитель «Dacia» и миноносец «Sborul». Последний черноморский ГСТ закончил войну в сентября 1944 г., вместе с «Каталинами» высаживая десант в болгарском порту Варна (23541).</w:t>
      </w:r>
    </w:p>
    <w:p w14:paraId="58E409C3" w14:textId="77777777" w:rsidR="00CF1221" w:rsidRPr="008A2E5A" w:rsidRDefault="00CF1221" w:rsidP="00CF1221">
      <w:pPr>
        <w:spacing w:after="0" w:line="240" w:lineRule="auto"/>
        <w:jc w:val="both"/>
        <w:rPr>
          <w:rFonts w:ascii="Times New Roman" w:hAnsi="Times New Roman"/>
          <w:color w:val="0070C0"/>
          <w:sz w:val="16"/>
          <w:szCs w:val="16"/>
        </w:rPr>
      </w:pPr>
    </w:p>
    <w:p w14:paraId="2C1196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и ЧМФ под командой к В.Е.Чернопашенко вылетела на отражение атаки торпедоносцев в районе Новороссийска. Увидев, что один встал на боевой курс Чернопашенко таранил его и погиб (438,840).</w:t>
      </w:r>
    </w:p>
    <w:p w14:paraId="39C29A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9C88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вышло Постановление ГКО № 1525 О переформировании и сформировании новых артиллерийских полков в апреле месяце 1942 г. РГАНИР, Фонд ГКО, д. 26, лл. 71-72 (11012).</w:t>
      </w:r>
    </w:p>
    <w:p w14:paraId="052EE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640D7" w14:textId="77777777" w:rsidR="009E2626"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1E27217" w14:textId="77777777" w:rsidR="009E2626" w:rsidRPr="008127F8" w:rsidRDefault="009E2626"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FAB1B"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в 1942 году группа советских ученых призывает своих коллег собрать деньги на строительство танковой колонны (15087).</w:t>
      </w:r>
    </w:p>
    <w:p w14:paraId="409400FA"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08F64C5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6BDA7C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7E9A8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2nd, 1942: Axis air forces begin a bombing campaign against La Valetta, the British naval base on Malta in the Mediterranean (3819).</w:t>
      </w:r>
    </w:p>
    <w:p w14:paraId="1A01AB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123C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2 апреля по 10 мая 1942 авиация 2ВФ ВВС Германии и итальянские бомбардировщики осуществили массированные налеты на Мальту (3186).</w:t>
      </w:r>
    </w:p>
    <w:p w14:paraId="4F99FE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FFF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 по 8 апреля 1942 Люфтваффе и итальянские ВВС активно атаковали Мальту (2245,3).</w:t>
      </w:r>
    </w:p>
    <w:p w14:paraId="039C9C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D495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в 1942 году (2 апреля-10 мая) авиация 2-го воздушного флота ВВС Германии и итальянские бомбардировщики осуществили массированные налеты на Мальту (15087).</w:t>
      </w:r>
    </w:p>
    <w:p w14:paraId="40937BC7"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75004D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02 1942 American aircraft carrier Hornet departs Pearl Harbor with Doolittle and 16 B-25 Mitchells (1242).</w:t>
      </w:r>
    </w:p>
    <w:p w14:paraId="27B270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862A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апреля 1942 авианосец Хорнет с 16 В-25 г Дулитла отправился их Перл Харбор (1242).</w:t>
      </w:r>
    </w:p>
    <w:p w14:paraId="4D0E5E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5B073"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2-го апреля 1942 года авианосец «Хорнет» вышел в по</w:t>
      </w:r>
      <w:r w:rsidRPr="008A2E5A">
        <w:rPr>
          <w:rFonts w:ascii="Times New Roman" w:hAnsi="Times New Roman"/>
          <w:color w:val="0070C0"/>
          <w:sz w:val="16"/>
          <w:szCs w:val="16"/>
        </w:rPr>
        <w:softHyphen/>
        <w:t>ход. До выхода в море о предстоящей операции, ее целях и деталях знало лишь шесть офицеров. Ни пилоты, ни тех</w:t>
      </w:r>
      <w:r w:rsidRPr="008A2E5A">
        <w:rPr>
          <w:rFonts w:ascii="Times New Roman" w:hAnsi="Times New Roman"/>
          <w:color w:val="0070C0"/>
          <w:sz w:val="16"/>
          <w:szCs w:val="16"/>
        </w:rPr>
        <w:softHyphen/>
        <w:t>ники, ни капитан «Хорнета», ни его экипаж не знали ничего. Лишь выйдя в море, всем находившимся на борту, было объявлено о цели похода. Эта новость сразу же воодуше</w:t>
      </w:r>
      <w:r w:rsidRPr="008A2E5A">
        <w:rPr>
          <w:rFonts w:ascii="Times New Roman" w:hAnsi="Times New Roman"/>
          <w:color w:val="0070C0"/>
          <w:sz w:val="16"/>
          <w:szCs w:val="16"/>
        </w:rPr>
        <w:softHyphen/>
        <w:t>вила и подняла дух всех участников похода. «Хорнет» в походе сопровождали крейсера «Винсеннес» и «Нэшвилл», эсминцы «Гвин», «Грейсон», «Мередит», «Монсен» и танкер сопровождения «Симаррон». Все вместе они составили тактическую группу 16.2 (TG-16.2) под командованием Марка Э. Митчера. Утром 13 апреля тактическая группа 16.2 встретилась с тактической группой 16.1 (TG-16.1), состоящей из авианосца «</w:t>
      </w:r>
      <w:proofErr w:type="gramStart"/>
      <w:r w:rsidRPr="008A2E5A">
        <w:rPr>
          <w:rFonts w:ascii="Times New Roman" w:hAnsi="Times New Roman"/>
          <w:color w:val="0070C0"/>
          <w:sz w:val="16"/>
          <w:szCs w:val="16"/>
        </w:rPr>
        <w:t>Энтерпрай»з</w:t>
      </w:r>
      <w:proofErr w:type="gramEnd"/>
      <w:r w:rsidRPr="008A2E5A">
        <w:rPr>
          <w:rFonts w:ascii="Times New Roman" w:hAnsi="Times New Roman"/>
          <w:color w:val="0070C0"/>
          <w:sz w:val="16"/>
          <w:szCs w:val="16"/>
        </w:rPr>
        <w:t xml:space="preserve">, крейсеров «Нортхемптон» и </w:t>
      </w:r>
      <w:r w:rsidRPr="008A2E5A">
        <w:rPr>
          <w:rFonts w:ascii="Times New Roman" w:hAnsi="Times New Roman"/>
          <w:color w:val="0070C0"/>
          <w:sz w:val="16"/>
          <w:szCs w:val="16"/>
        </w:rPr>
        <w:lastRenderedPageBreak/>
        <w:t>«Солт-Лейк-Сити», эсминцев « Балч», «Бенхам», «Фаннинг», «Эллет» и танкера сопровождения «Сабина». Обе эти такти</w:t>
      </w:r>
      <w:r w:rsidRPr="008A2E5A">
        <w:rPr>
          <w:rFonts w:ascii="Times New Roman" w:hAnsi="Times New Roman"/>
          <w:color w:val="0070C0"/>
          <w:sz w:val="16"/>
          <w:szCs w:val="16"/>
        </w:rPr>
        <w:softHyphen/>
        <w:t>ческие группы составили оперативное соединение 16, под командованием вице-адмирала Вильяма Ф. Хэлси.</w:t>
      </w:r>
    </w:p>
    <w:p w14:paraId="72EF06D0"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Вся группа шла в полном радиомолчании. Не</w:t>
      </w:r>
      <w:r w:rsidRPr="008A2E5A">
        <w:rPr>
          <w:rFonts w:ascii="Times New Roman" w:hAnsi="Times New Roman"/>
          <w:color w:val="0070C0"/>
          <w:sz w:val="16"/>
          <w:szCs w:val="16"/>
        </w:rPr>
        <w:softHyphen/>
        <w:t>сколько подводных лодок ВМС США заранее были от</w:t>
      </w:r>
      <w:r w:rsidRPr="008A2E5A">
        <w:rPr>
          <w:rFonts w:ascii="Times New Roman" w:hAnsi="Times New Roman"/>
          <w:color w:val="0070C0"/>
          <w:sz w:val="16"/>
          <w:szCs w:val="16"/>
        </w:rPr>
        <w:softHyphen/>
        <w:t>правлены в районы, прилегающие к возможному месту старта бомбардировщиков с целью сообщать соедине</w:t>
      </w:r>
      <w:r w:rsidRPr="008A2E5A">
        <w:rPr>
          <w:rFonts w:ascii="Times New Roman" w:hAnsi="Times New Roman"/>
          <w:color w:val="0070C0"/>
          <w:sz w:val="16"/>
          <w:szCs w:val="16"/>
        </w:rPr>
        <w:softHyphen/>
        <w:t>нию о вражеских кораблях.</w:t>
      </w:r>
    </w:p>
    <w:p w14:paraId="56E54E00"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 авианосец шел к предполагаемому месту старта, экипажи были проинструктированы о месте, предполага</w:t>
      </w:r>
      <w:r w:rsidRPr="008A2E5A">
        <w:rPr>
          <w:rFonts w:ascii="Times New Roman" w:hAnsi="Times New Roman"/>
          <w:color w:val="0070C0"/>
          <w:sz w:val="16"/>
          <w:szCs w:val="16"/>
        </w:rPr>
        <w:softHyphen/>
        <w:t>емом сроке и времени начала операции. Им были пред</w:t>
      </w:r>
      <w:r w:rsidRPr="008A2E5A">
        <w:rPr>
          <w:rFonts w:ascii="Times New Roman" w:hAnsi="Times New Roman"/>
          <w:color w:val="0070C0"/>
          <w:sz w:val="16"/>
          <w:szCs w:val="16"/>
        </w:rPr>
        <w:softHyphen/>
        <w:t>ставлены маршруты следования к целям и к аэродромам в Китае, названы ориентиры. Для летчиков проводили инструктажи как вести себя в Китае и в Японии (в случае если они попадут в плен).</w:t>
      </w:r>
    </w:p>
    <w:p w14:paraId="35EE3A54"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плану десяти самолетам предстояло атаковать воен</w:t>
      </w:r>
      <w:r w:rsidRPr="008A2E5A">
        <w:rPr>
          <w:rFonts w:ascii="Times New Roman" w:hAnsi="Times New Roman"/>
          <w:color w:val="0070C0"/>
          <w:sz w:val="16"/>
          <w:szCs w:val="16"/>
        </w:rPr>
        <w:softHyphen/>
        <w:t>ные цели в Токио, трем в Йокогаме, и по одному самолету должны были атаковать военные цели в городах Кобе, Нагойе и Осаке. Экипажам было предложено выбрать цели, которые они хотят бомбить (это были металлургические за</w:t>
      </w:r>
      <w:r w:rsidRPr="008A2E5A">
        <w:rPr>
          <w:rFonts w:ascii="Times New Roman" w:hAnsi="Times New Roman"/>
          <w:color w:val="0070C0"/>
          <w:sz w:val="16"/>
          <w:szCs w:val="16"/>
        </w:rPr>
        <w:softHyphen/>
        <w:t>воды, нефтеперерабатывающие заводы, нефтебазы, склады боеприпасов, верфи, авиационные заводы). Было катего</w:t>
      </w:r>
      <w:r w:rsidRPr="008A2E5A">
        <w:rPr>
          <w:rFonts w:ascii="Times New Roman" w:hAnsi="Times New Roman"/>
          <w:color w:val="0070C0"/>
          <w:sz w:val="16"/>
          <w:szCs w:val="16"/>
        </w:rPr>
        <w:softHyphen/>
        <w:t>рически запрещено бомбить дома мирных жителей и им</w:t>
      </w:r>
      <w:r w:rsidRPr="008A2E5A">
        <w:rPr>
          <w:rFonts w:ascii="Times New Roman" w:hAnsi="Times New Roman"/>
          <w:color w:val="0070C0"/>
          <w:sz w:val="16"/>
          <w:szCs w:val="16"/>
        </w:rPr>
        <w:softHyphen/>
        <w:t>ператорский дворец. Также экипажам были даны запасные цели на случай, если основные цели они не найдут или не смогут их бомбить по другим причинам. Первым должен был стартовать Дулиттл. Вылет наметили после обеда 18 апреля, хотя по плану старт должен был состояться 19-го, но корабли шли к району старта с опережением графика на сутки. Остальные самолеты должны были взлететь спустя три часа после Дулиттла. Дулиттл должен был отбомбиться по Токио незадолго до наступления темноты. Вызванные от его бомб пожары (в его самолет были подвешены только зажигательные бомбы) должны были послужить ориенти</w:t>
      </w:r>
      <w:r w:rsidRPr="008A2E5A">
        <w:rPr>
          <w:rFonts w:ascii="Times New Roman" w:hAnsi="Times New Roman"/>
          <w:color w:val="0070C0"/>
          <w:sz w:val="16"/>
          <w:szCs w:val="16"/>
        </w:rPr>
        <w:softHyphen/>
        <w:t>ром для остальных девяти бомбардировщиков, бомбящих цели в Токио. Остальные шесть бомбардировщиков бом</w:t>
      </w:r>
      <w:r w:rsidRPr="008A2E5A">
        <w:rPr>
          <w:rFonts w:ascii="Times New Roman" w:hAnsi="Times New Roman"/>
          <w:color w:val="0070C0"/>
          <w:sz w:val="16"/>
          <w:szCs w:val="16"/>
        </w:rPr>
        <w:softHyphen/>
        <w:t>били бы свои цели индивидуально. Посадка должна была быть произведена на аэродром Чучжоу.</w:t>
      </w:r>
    </w:p>
    <w:p w14:paraId="0F408AAD"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походе стрелки тренировались в стрельбе по воз</w:t>
      </w:r>
      <w:r w:rsidRPr="008A2E5A">
        <w:rPr>
          <w:rFonts w:ascii="Times New Roman" w:hAnsi="Times New Roman"/>
          <w:color w:val="0070C0"/>
          <w:sz w:val="16"/>
          <w:szCs w:val="16"/>
        </w:rPr>
        <w:softHyphen/>
        <w:t>душным змеям и шарам из своих турелей. Авиатехники постоянно проводили осмотры бомбардировщиков, им помогали авиатехники из авиагруппы «Хорнета». За три дня до рейда в левом двигателе B-25 лейтенанта Смита об</w:t>
      </w:r>
      <w:r w:rsidRPr="008A2E5A">
        <w:rPr>
          <w:rFonts w:ascii="Times New Roman" w:hAnsi="Times New Roman"/>
          <w:color w:val="0070C0"/>
          <w:sz w:val="16"/>
          <w:szCs w:val="16"/>
        </w:rPr>
        <w:softHyphen/>
        <w:t>наружилась неисправность, но авиатехники её устранили. Во время похода с пропагандистской целью к одной бомбе были прикреплены Японские медали, которые до войны были вручены Японским правительством американским ди</w:t>
      </w:r>
      <w:r w:rsidRPr="008A2E5A">
        <w:rPr>
          <w:rFonts w:ascii="Times New Roman" w:hAnsi="Times New Roman"/>
          <w:color w:val="0070C0"/>
          <w:sz w:val="16"/>
          <w:szCs w:val="16"/>
        </w:rPr>
        <w:softHyphen/>
        <w:t>пломатам в знак дружбы и сотрудничества между Японией и США. Американцы решили «вернуть» их. Также на бомбе были сделаны разные надписи. Эту бомбу затем погрузили на самолет лейтенанта Лоусона (23348).</w:t>
      </w:r>
    </w:p>
    <w:p w14:paraId="3A14C060" w14:textId="77777777" w:rsidR="00CF1221" w:rsidRPr="008A2E5A" w:rsidRDefault="00CF1221" w:rsidP="00CF1221">
      <w:pPr>
        <w:spacing w:after="0" w:line="240" w:lineRule="auto"/>
        <w:jc w:val="both"/>
        <w:rPr>
          <w:rFonts w:ascii="Times New Roman" w:hAnsi="Times New Roman"/>
          <w:color w:val="0070C0"/>
          <w:sz w:val="16"/>
          <w:szCs w:val="16"/>
        </w:rPr>
      </w:pPr>
    </w:p>
    <w:p w14:paraId="3B59364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884D3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54E5D4"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апреля 1942 г. Письмо секретаря Хабаровского крайкома ВКП(б) Г. А. Боркова председателю ГКО СССР И. В. Сталину об организации производства истребителей на Дальнем Востоке</w:t>
      </w:r>
    </w:p>
    <w:p w14:paraId="6D01D6BF"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(Передано шифротелеграммой И. В. Сталину, А. И. Шахурину, П. Ф. Жигареву, Г. М. Маленкову)</w:t>
      </w:r>
    </w:p>
    <w:p w14:paraId="7A984A67"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Строго секретно.</w:t>
      </w:r>
    </w:p>
    <w:p w14:paraId="3F6B5CB6"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Сталин! После разговора с Вами по телефону в целях уточнения вопроса о загрузке завода № 130 НКАП заказами по изготовлению деревянных деталей для скоростного бомбардировщика ДБ-ЗФ я связался с т. Шахуриным и Жигаревым. Последние мне сообщили, что: а) вопрос об использовании завода № 130 оставлен открытым, причем имеется Ваше указание тщательно изучить все возможные варианты наиболее целесообразной загрузки производственных площадей, имеющихся на этом заводе; б) вопрос о переустройстве скоростного бомбардировщика ДБ-ЗФ на деревянно-металлический тип является делом времени, и что сейчас пока трудно определить сроки сдачи его в массовое производство.</w:t>
      </w:r>
    </w:p>
    <w:p w14:paraId="14D07F5F"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все это так, то я позволю себе еще раз обратиться к Вам, т. Сталин, с просьбой организовать на заводе № 130 производство истребителей. Правда, я не могу ничего добавить нового к тому, что я уже излагал Вам ранее в своих запискам по поводу пуска в эксплуатацию этого завода106. Главный мой аргумент — это неотложная необходимость иметь на Дальнем Востоке собственное производство истребительных самолетов. Посмотрите, т. Сталин, что получается в 1942 г. в смысле накопления наших оборонных ресурсов на дальневосточных границах: в текущем году в Хабаровске закончено сооружение тоннельного перехода через р. Амур (сейчас тоннель уже принят правительственной комиссией); в Комсомольске пущена в эксплуатацию первая очередь металлургического комбината «Амурсталь»; более десятка предприятий в одном только Хабаровском крае освоили массовое производство разнообразных боеприпасов, начиная от ручной гранаты Ф-1 и кончая авиабомбой ФАБ-250. Производство истребительных самолетов значило бы для обороны Дальнего Востока ничуть не меньше, если не больше, любого из перечисл енных выше мероприятий.</w:t>
      </w:r>
    </w:p>
    <w:p w14:paraId="1DB31D68"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чем трудности пуска завода № 130? Первая и самая главная — нет станочного оборудования; вторая — будут нужны высококвалифицированные кадры; третья — далеко к нам завозить сырье и материалы, которые нельзя производить на месте; четвертая — организационные трудности, из них основная — это потеря времени на освоение нового производства, тогда как в условиях войны дорог каждый час производительной работы людей и механизмов. Все это, конечно, нельзя недооценивать. Но зато, при одолении этих трудностей, мы получаем большое преимущество в момент будущих военных действий с нашим дальневосточным противником.</w:t>
      </w:r>
    </w:p>
    <w:p w14:paraId="7B7BD39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чем я прошу Вас сейчас? Первое — решить положительно вопрос об организации на заводе № 130 производства истребительных самолетов и обязать НКАП выделить заводу 250-300 станков со всем необходимым к ним электрооборудованием.</w:t>
      </w:r>
    </w:p>
    <w:p w14:paraId="5871BD52"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Второе — обязать НКАП выделить заводу № 130 чертежи и необходимые приспособления на современный тип истребителя, подлежащий освоению на этом заводе.</w:t>
      </w:r>
    </w:p>
    <w:p w14:paraId="1E78CEB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Третье — командировать на Дальний Восток группу (3-5 чел.) руководящих работников и специалистов НКАП, которые бы могли оказать практическую помощь заводу № 130 в деле организации производства истребительных самолетов за счет заводов [№] 126, 116 и 83. Четвертое — обязать Хабаровский крайком ВКП(б) изыскать на предприятиях края и передать заводу № 130 недостающее деревообделочное оборудование, а также укомплектовать завод кадрами массовых квалификаций.</w:t>
      </w:r>
    </w:p>
    <w:p w14:paraId="1B9F8A8B"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этого по телефону я Вам, разумеется, сказать не мог.</w:t>
      </w:r>
    </w:p>
    <w:p w14:paraId="5292A939"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Борков</w:t>
      </w:r>
    </w:p>
    <w:p w14:paraId="5F72C86C"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146-147. Копия (24079).</w:t>
      </w:r>
    </w:p>
    <w:p w14:paraId="517FB378" w14:textId="77777777" w:rsidR="00CF1221" w:rsidRPr="008A2E5A" w:rsidRDefault="00CF1221" w:rsidP="00CF1221">
      <w:pPr>
        <w:spacing w:after="0" w:line="240" w:lineRule="auto"/>
        <w:jc w:val="both"/>
        <w:rPr>
          <w:rFonts w:ascii="Times New Roman" w:hAnsi="Times New Roman"/>
          <w:color w:val="0070C0"/>
          <w:sz w:val="16"/>
          <w:szCs w:val="16"/>
        </w:rPr>
      </w:pPr>
    </w:p>
    <w:p w14:paraId="4AB00A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 апреля по 24 октября 1942 состоялись совместные испытания ТБ-7 (Пе-8) N 42047 с 4хМ-82 21 завода. Отв. исп. - М.В.Водопьянов. Выполнили 22 полета прод. 58 час. Из общего числа 204 дней испытаний летали 22 дня. Решили, что целесообразно (994,8).</w:t>
      </w:r>
    </w:p>
    <w:p w14:paraId="5E877E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о совместных испытаниях Пе-8 с 4М-82</w:t>
      </w:r>
    </w:p>
    <w:p w14:paraId="0F1AD7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w:t>
      </w:r>
    </w:p>
    <w:p w14:paraId="13BCB8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ГИ</w:t>
      </w:r>
      <w:proofErr w:type="gramEnd"/>
      <w:r w:rsidRPr="008127F8">
        <w:rPr>
          <w:rFonts w:ascii="Times New Roman" w:hAnsi="Times New Roman"/>
          <w:color w:val="000000" w:themeColor="text1"/>
          <w:sz w:val="16"/>
          <w:szCs w:val="16"/>
        </w:rPr>
        <w:t xml:space="preserve"> ВВС </w:t>
      </w:r>
      <w:r w:rsidRPr="008127F8">
        <w:rPr>
          <w:rFonts w:ascii="Times New Roman" w:hAnsi="Times New Roman"/>
          <w:color w:val="000000" w:themeColor="text1"/>
          <w:sz w:val="16"/>
          <w:szCs w:val="16"/>
        </w:rPr>
        <w:tab/>
        <w:t>Зам. НКАП</w:t>
      </w:r>
    </w:p>
    <w:p w14:paraId="49EF9B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ВВС</w:t>
      </w:r>
      <w:r w:rsidRPr="008127F8">
        <w:rPr>
          <w:rFonts w:ascii="Times New Roman" w:hAnsi="Times New Roman"/>
          <w:color w:val="000000" w:themeColor="text1"/>
          <w:sz w:val="16"/>
          <w:szCs w:val="16"/>
        </w:rPr>
        <w:tab/>
        <w:t>Дементьев</w:t>
      </w:r>
    </w:p>
    <w:p w14:paraId="082C95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Репин</w:t>
      </w:r>
    </w:p>
    <w:p w14:paraId="318164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Подписан:</w:t>
      </w:r>
    </w:p>
    <w:p w14:paraId="4BE8C3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НИИ ВВС</w:t>
      </w:r>
      <w:r w:rsidRPr="008127F8">
        <w:rPr>
          <w:rFonts w:ascii="Times New Roman" w:hAnsi="Times New Roman"/>
          <w:color w:val="000000" w:themeColor="text1"/>
          <w:sz w:val="16"/>
          <w:szCs w:val="16"/>
        </w:rPr>
        <w:tab/>
        <w:t>Зам. Начю. НИИ ВВС</w:t>
      </w:r>
      <w:r w:rsidRPr="008127F8">
        <w:rPr>
          <w:rFonts w:ascii="Times New Roman" w:hAnsi="Times New Roman"/>
          <w:color w:val="000000" w:themeColor="text1"/>
          <w:sz w:val="16"/>
          <w:szCs w:val="16"/>
        </w:rPr>
        <w:tab/>
        <w:t>Директор з-да № 22</w:t>
      </w:r>
      <w:r w:rsidRPr="008127F8">
        <w:rPr>
          <w:rFonts w:ascii="Times New Roman" w:hAnsi="Times New Roman"/>
          <w:color w:val="000000" w:themeColor="text1"/>
          <w:sz w:val="16"/>
          <w:szCs w:val="16"/>
        </w:rPr>
        <w:tab/>
        <w:t xml:space="preserve"> ГК изд. 42</w:t>
      </w:r>
    </w:p>
    <w:p w14:paraId="3B9C4C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Лосюков</w:t>
      </w:r>
      <w:r w:rsidRPr="008127F8">
        <w:rPr>
          <w:rFonts w:ascii="Times New Roman" w:hAnsi="Times New Roman"/>
          <w:color w:val="000000" w:themeColor="text1"/>
          <w:sz w:val="16"/>
          <w:szCs w:val="16"/>
        </w:rPr>
        <w:tab/>
        <w:t>Чесалов</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Незваль</w:t>
      </w:r>
    </w:p>
    <w:p w14:paraId="764142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9.11.42</w:t>
      </w:r>
    </w:p>
    <w:p w14:paraId="409B27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Исполнители:</w:t>
      </w:r>
    </w:p>
    <w:p w14:paraId="1B34F1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вл ГСС комбриг Водопьянов</w:t>
      </w:r>
    </w:p>
    <w:p w14:paraId="5914A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НИИ ВВС ип Ефимов</w:t>
      </w:r>
    </w:p>
    <w:p w14:paraId="082CAF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ЛИИ НКАП Туманский</w:t>
      </w:r>
    </w:p>
    <w:p w14:paraId="35626B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 ЛИС з-да № 22 Аржаков</w:t>
      </w:r>
    </w:p>
    <w:p w14:paraId="1BBC2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 Ефимов</w:t>
      </w:r>
    </w:p>
    <w:p w14:paraId="1D18A2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553098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Ход исполнения: испытания начаты 3 апреля 1942 и закончены 24 сентября 1942</w:t>
      </w:r>
    </w:p>
    <w:p w14:paraId="445363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4E1D6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58DE8D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Различия весов: с АМ-35А - 8831, с М-82 - 7639, разница - 1192</w:t>
      </w:r>
    </w:p>
    <w:p w14:paraId="6CD7F1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F4095" w:rsidRPr="008127F8" w14:paraId="78836D3D" w14:textId="77777777">
        <w:tc>
          <w:tcPr>
            <w:tcW w:w="1601" w:type="dxa"/>
            <w:tcBorders>
              <w:top w:val="single" w:sz="12" w:space="0" w:color="auto"/>
            </w:tcBorders>
          </w:tcPr>
          <w:p w14:paraId="335466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w:t>
            </w:r>
          </w:p>
        </w:tc>
        <w:tc>
          <w:tcPr>
            <w:tcW w:w="1601" w:type="dxa"/>
            <w:tcBorders>
              <w:top w:val="single" w:sz="12" w:space="0" w:color="auto"/>
            </w:tcBorders>
          </w:tcPr>
          <w:p w14:paraId="47DD55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w:t>
            </w:r>
          </w:p>
        </w:tc>
        <w:tc>
          <w:tcPr>
            <w:tcW w:w="1601" w:type="dxa"/>
            <w:tcBorders>
              <w:top w:val="single" w:sz="12" w:space="0" w:color="auto"/>
            </w:tcBorders>
          </w:tcPr>
          <w:p w14:paraId="11220A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Обороты (средние)</w:t>
            </w:r>
          </w:p>
        </w:tc>
        <w:tc>
          <w:tcPr>
            <w:tcW w:w="1601" w:type="dxa"/>
            <w:tcBorders>
              <w:top w:val="single" w:sz="12" w:space="0" w:color="auto"/>
            </w:tcBorders>
          </w:tcPr>
          <w:p w14:paraId="61EACF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Давление</w:t>
            </w:r>
          </w:p>
        </w:tc>
        <w:tc>
          <w:tcPr>
            <w:tcW w:w="1601" w:type="dxa"/>
            <w:tcBorders>
              <w:top w:val="single" w:sz="12" w:space="0" w:color="auto"/>
            </w:tcBorders>
          </w:tcPr>
          <w:p w14:paraId="081901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25F37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59F073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8224E2" w14:textId="77777777">
        <w:tc>
          <w:tcPr>
            <w:tcW w:w="1601" w:type="dxa"/>
          </w:tcPr>
          <w:p w14:paraId="6502C6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6833A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373F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1E47E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601" w:type="dxa"/>
          </w:tcPr>
          <w:p w14:paraId="65E71E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601" w:type="dxa"/>
          </w:tcPr>
          <w:p w14:paraId="6E812F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601" w:type="dxa"/>
          </w:tcPr>
          <w:p w14:paraId="6D12E9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6F4095" w:rsidRPr="008127F8" w14:paraId="7C74CE8C" w14:textId="77777777">
        <w:tc>
          <w:tcPr>
            <w:tcW w:w="1601" w:type="dxa"/>
          </w:tcPr>
          <w:p w14:paraId="60CDB1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601" w:type="dxa"/>
          </w:tcPr>
          <w:p w14:paraId="4E165C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358</w:t>
            </w:r>
          </w:p>
        </w:tc>
        <w:tc>
          <w:tcPr>
            <w:tcW w:w="1601" w:type="dxa"/>
          </w:tcPr>
          <w:p w14:paraId="4ADE59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601" w:type="dxa"/>
          </w:tcPr>
          <w:p w14:paraId="4F09F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1601" w:type="dxa"/>
          </w:tcPr>
          <w:p w14:paraId="4C5A46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1601" w:type="dxa"/>
          </w:tcPr>
          <w:p w14:paraId="3E3FB4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1601" w:type="dxa"/>
          </w:tcPr>
          <w:p w14:paraId="2CF98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r>
      <w:tr w:rsidR="006F4095" w:rsidRPr="008127F8" w14:paraId="5ED71A06" w14:textId="77777777">
        <w:tc>
          <w:tcPr>
            <w:tcW w:w="1601" w:type="dxa"/>
          </w:tcPr>
          <w:p w14:paraId="2824CE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601" w:type="dxa"/>
          </w:tcPr>
          <w:p w14:paraId="2724A8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376</w:t>
            </w:r>
          </w:p>
        </w:tc>
        <w:tc>
          <w:tcPr>
            <w:tcW w:w="1601" w:type="dxa"/>
          </w:tcPr>
          <w:p w14:paraId="4454CD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601" w:type="dxa"/>
          </w:tcPr>
          <w:p w14:paraId="045775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1601" w:type="dxa"/>
          </w:tcPr>
          <w:p w14:paraId="2A352E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1601" w:type="dxa"/>
          </w:tcPr>
          <w:p w14:paraId="554AC6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c>
          <w:tcPr>
            <w:tcW w:w="1601" w:type="dxa"/>
          </w:tcPr>
          <w:p w14:paraId="30B9B1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w:t>
            </w:r>
          </w:p>
        </w:tc>
      </w:tr>
      <w:tr w:rsidR="006F4095" w:rsidRPr="008127F8" w14:paraId="225E53EE" w14:textId="77777777">
        <w:tc>
          <w:tcPr>
            <w:tcW w:w="1601" w:type="dxa"/>
          </w:tcPr>
          <w:p w14:paraId="7D0E4A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601" w:type="dxa"/>
          </w:tcPr>
          <w:p w14:paraId="283C71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393</w:t>
            </w:r>
          </w:p>
        </w:tc>
        <w:tc>
          <w:tcPr>
            <w:tcW w:w="1601" w:type="dxa"/>
          </w:tcPr>
          <w:p w14:paraId="31ED4A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601" w:type="dxa"/>
          </w:tcPr>
          <w:p w14:paraId="775A8E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w:t>
            </w:r>
          </w:p>
        </w:tc>
        <w:tc>
          <w:tcPr>
            <w:tcW w:w="1601" w:type="dxa"/>
          </w:tcPr>
          <w:p w14:paraId="681F9F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w:t>
            </w:r>
          </w:p>
        </w:tc>
        <w:tc>
          <w:tcPr>
            <w:tcW w:w="1601" w:type="dxa"/>
          </w:tcPr>
          <w:p w14:paraId="20282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970</w:t>
            </w:r>
          </w:p>
        </w:tc>
        <w:tc>
          <w:tcPr>
            <w:tcW w:w="1601" w:type="dxa"/>
          </w:tcPr>
          <w:p w14:paraId="3F1BA3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w:t>
            </w:r>
          </w:p>
        </w:tc>
      </w:tr>
      <w:tr w:rsidR="006F4095" w:rsidRPr="008127F8" w14:paraId="6467CD4E" w14:textId="77777777">
        <w:tc>
          <w:tcPr>
            <w:tcW w:w="1601" w:type="dxa"/>
          </w:tcPr>
          <w:p w14:paraId="17C6A7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1601" w:type="dxa"/>
          </w:tcPr>
          <w:p w14:paraId="3B02A2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601" w:type="dxa"/>
          </w:tcPr>
          <w:p w14:paraId="6F0E51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601" w:type="dxa"/>
          </w:tcPr>
          <w:p w14:paraId="135BE0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865</w:t>
            </w:r>
          </w:p>
        </w:tc>
        <w:tc>
          <w:tcPr>
            <w:tcW w:w="1601" w:type="dxa"/>
          </w:tcPr>
          <w:p w14:paraId="46C22F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1601" w:type="dxa"/>
          </w:tcPr>
          <w:p w14:paraId="22A911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w:t>
            </w:r>
          </w:p>
        </w:tc>
        <w:tc>
          <w:tcPr>
            <w:tcW w:w="1601" w:type="dxa"/>
          </w:tcPr>
          <w:p w14:paraId="4B10F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w:t>
            </w:r>
          </w:p>
        </w:tc>
      </w:tr>
      <w:tr w:rsidR="006F4095" w:rsidRPr="008127F8" w14:paraId="5C927676" w14:textId="77777777">
        <w:tc>
          <w:tcPr>
            <w:tcW w:w="1601" w:type="dxa"/>
          </w:tcPr>
          <w:p w14:paraId="7D3C24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w:t>
            </w:r>
          </w:p>
        </w:tc>
        <w:tc>
          <w:tcPr>
            <w:tcW w:w="1601" w:type="dxa"/>
          </w:tcPr>
          <w:p w14:paraId="075A6D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392</w:t>
            </w:r>
          </w:p>
        </w:tc>
        <w:tc>
          <w:tcPr>
            <w:tcW w:w="1601" w:type="dxa"/>
          </w:tcPr>
          <w:p w14:paraId="331793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601" w:type="dxa"/>
          </w:tcPr>
          <w:p w14:paraId="2A7D8E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765</w:t>
            </w:r>
          </w:p>
        </w:tc>
        <w:tc>
          <w:tcPr>
            <w:tcW w:w="1601" w:type="dxa"/>
          </w:tcPr>
          <w:p w14:paraId="2DBFBA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775</w:t>
            </w:r>
          </w:p>
        </w:tc>
        <w:tc>
          <w:tcPr>
            <w:tcW w:w="1601" w:type="dxa"/>
          </w:tcPr>
          <w:p w14:paraId="2F63A8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785</w:t>
            </w:r>
          </w:p>
        </w:tc>
        <w:tc>
          <w:tcPr>
            <w:tcW w:w="1601" w:type="dxa"/>
          </w:tcPr>
          <w:p w14:paraId="1D36DB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765</w:t>
            </w:r>
          </w:p>
        </w:tc>
      </w:tr>
      <w:tr w:rsidR="006F4095" w:rsidRPr="008127F8" w14:paraId="22842CA3" w14:textId="77777777">
        <w:tc>
          <w:tcPr>
            <w:tcW w:w="1601" w:type="dxa"/>
            <w:tcBorders>
              <w:bottom w:val="single" w:sz="12" w:space="0" w:color="auto"/>
            </w:tcBorders>
          </w:tcPr>
          <w:p w14:paraId="79D76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c>
          <w:tcPr>
            <w:tcW w:w="1601" w:type="dxa"/>
            <w:tcBorders>
              <w:bottom w:val="single" w:sz="12" w:space="0" w:color="auto"/>
            </w:tcBorders>
          </w:tcPr>
          <w:p w14:paraId="56C2C8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386</w:t>
            </w:r>
          </w:p>
        </w:tc>
        <w:tc>
          <w:tcPr>
            <w:tcW w:w="1601" w:type="dxa"/>
            <w:tcBorders>
              <w:bottom w:val="single" w:sz="12" w:space="0" w:color="auto"/>
            </w:tcBorders>
          </w:tcPr>
          <w:p w14:paraId="0991DD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1601" w:type="dxa"/>
            <w:tcBorders>
              <w:bottom w:val="single" w:sz="12" w:space="0" w:color="auto"/>
            </w:tcBorders>
          </w:tcPr>
          <w:p w14:paraId="3BF0B6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710</w:t>
            </w:r>
          </w:p>
        </w:tc>
        <w:tc>
          <w:tcPr>
            <w:tcW w:w="1601" w:type="dxa"/>
            <w:tcBorders>
              <w:bottom w:val="single" w:sz="12" w:space="0" w:color="auto"/>
            </w:tcBorders>
          </w:tcPr>
          <w:p w14:paraId="1CA717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c>
          <w:tcPr>
            <w:tcW w:w="1601" w:type="dxa"/>
            <w:tcBorders>
              <w:bottom w:val="single" w:sz="12" w:space="0" w:color="auto"/>
            </w:tcBorders>
          </w:tcPr>
          <w:p w14:paraId="5142AB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790</w:t>
            </w:r>
          </w:p>
        </w:tc>
        <w:tc>
          <w:tcPr>
            <w:tcW w:w="1601" w:type="dxa"/>
            <w:tcBorders>
              <w:bottom w:val="single" w:sz="12" w:space="0" w:color="auto"/>
            </w:tcBorders>
          </w:tcPr>
          <w:p w14:paraId="05AB95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790</w:t>
            </w:r>
          </w:p>
        </w:tc>
      </w:tr>
    </w:tbl>
    <w:p w14:paraId="43B13E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гр. Высотности 2500 м - 410, на 2 гр. Высотности 5100 - 390</w:t>
      </w:r>
    </w:p>
    <w:p w14:paraId="01B409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72E7E3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45150E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8127F8" w14:paraId="4BD5B6C5" w14:textId="77777777">
        <w:tc>
          <w:tcPr>
            <w:tcW w:w="1868" w:type="dxa"/>
            <w:tcBorders>
              <w:top w:val="single" w:sz="12" w:space="0" w:color="auto"/>
            </w:tcBorders>
          </w:tcPr>
          <w:p w14:paraId="53D29D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w:t>
            </w:r>
          </w:p>
        </w:tc>
        <w:tc>
          <w:tcPr>
            <w:tcW w:w="1868" w:type="dxa"/>
            <w:tcBorders>
              <w:top w:val="single" w:sz="12" w:space="0" w:color="auto"/>
            </w:tcBorders>
          </w:tcPr>
          <w:p w14:paraId="51EA74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2A94D1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w:t>
            </w:r>
          </w:p>
        </w:tc>
        <w:tc>
          <w:tcPr>
            <w:tcW w:w="1868" w:type="dxa"/>
            <w:tcBorders>
              <w:top w:val="single" w:sz="12" w:space="0" w:color="auto"/>
            </w:tcBorders>
          </w:tcPr>
          <w:p w14:paraId="2A309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w:t>
            </w:r>
          </w:p>
        </w:tc>
        <w:tc>
          <w:tcPr>
            <w:tcW w:w="1868" w:type="dxa"/>
            <w:tcBorders>
              <w:top w:val="single" w:sz="12" w:space="0" w:color="auto"/>
            </w:tcBorders>
          </w:tcPr>
          <w:p w14:paraId="25FB36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Обороты</w:t>
            </w:r>
          </w:p>
        </w:tc>
        <w:tc>
          <w:tcPr>
            <w:tcW w:w="1868" w:type="dxa"/>
            <w:tcBorders>
              <w:top w:val="single" w:sz="12" w:space="0" w:color="auto"/>
            </w:tcBorders>
          </w:tcPr>
          <w:p w14:paraId="31635C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Давление</w:t>
            </w:r>
          </w:p>
        </w:tc>
      </w:tr>
      <w:tr w:rsidR="006F4095" w:rsidRPr="008127F8" w14:paraId="62C51F57" w14:textId="77777777">
        <w:tc>
          <w:tcPr>
            <w:tcW w:w="1868" w:type="dxa"/>
          </w:tcPr>
          <w:p w14:paraId="60D189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868" w:type="dxa"/>
          </w:tcPr>
          <w:p w14:paraId="61825C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c>
          <w:tcPr>
            <w:tcW w:w="1868" w:type="dxa"/>
          </w:tcPr>
          <w:p w14:paraId="611FE8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868" w:type="dxa"/>
          </w:tcPr>
          <w:p w14:paraId="202A7E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1932EE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51FFF0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w:t>
            </w:r>
          </w:p>
        </w:tc>
      </w:tr>
      <w:tr w:rsidR="006F4095" w:rsidRPr="008127F8" w14:paraId="38F48217" w14:textId="77777777">
        <w:tc>
          <w:tcPr>
            <w:tcW w:w="1868" w:type="dxa"/>
          </w:tcPr>
          <w:p w14:paraId="3F5042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868" w:type="dxa"/>
          </w:tcPr>
          <w:p w14:paraId="050185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868" w:type="dxa"/>
          </w:tcPr>
          <w:p w14:paraId="266B1E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868" w:type="dxa"/>
          </w:tcPr>
          <w:p w14:paraId="767056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4EB12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7D4772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w:t>
            </w:r>
          </w:p>
        </w:tc>
      </w:tr>
      <w:tr w:rsidR="006F4095" w:rsidRPr="008127F8" w14:paraId="1250B765" w14:textId="77777777">
        <w:tc>
          <w:tcPr>
            <w:tcW w:w="1868" w:type="dxa"/>
          </w:tcPr>
          <w:p w14:paraId="172F8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868" w:type="dxa"/>
          </w:tcPr>
          <w:p w14:paraId="14618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c>
          <w:tcPr>
            <w:tcW w:w="1868" w:type="dxa"/>
          </w:tcPr>
          <w:p w14:paraId="7C9E64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868" w:type="dxa"/>
          </w:tcPr>
          <w:p w14:paraId="63801B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449F0B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24880C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835</w:t>
            </w:r>
          </w:p>
        </w:tc>
      </w:tr>
      <w:tr w:rsidR="006F4095" w:rsidRPr="008127F8" w14:paraId="655E9135" w14:textId="77777777">
        <w:tc>
          <w:tcPr>
            <w:tcW w:w="1868" w:type="dxa"/>
          </w:tcPr>
          <w:p w14:paraId="3D9847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1868" w:type="dxa"/>
          </w:tcPr>
          <w:p w14:paraId="15F621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w:t>
            </w:r>
          </w:p>
        </w:tc>
        <w:tc>
          <w:tcPr>
            <w:tcW w:w="1868" w:type="dxa"/>
          </w:tcPr>
          <w:p w14:paraId="1E65D6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868" w:type="dxa"/>
          </w:tcPr>
          <w:p w14:paraId="43F45E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10E8AA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48E07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r>
      <w:tr w:rsidR="006F4095" w:rsidRPr="008127F8" w14:paraId="1FDB10BF" w14:textId="77777777">
        <w:tc>
          <w:tcPr>
            <w:tcW w:w="1868" w:type="dxa"/>
          </w:tcPr>
          <w:p w14:paraId="77F59E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w:t>
            </w:r>
          </w:p>
        </w:tc>
        <w:tc>
          <w:tcPr>
            <w:tcW w:w="1868" w:type="dxa"/>
          </w:tcPr>
          <w:p w14:paraId="24BB80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3,65</w:t>
            </w:r>
          </w:p>
        </w:tc>
        <w:tc>
          <w:tcPr>
            <w:tcW w:w="1868" w:type="dxa"/>
          </w:tcPr>
          <w:p w14:paraId="484EDC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1868" w:type="dxa"/>
          </w:tcPr>
          <w:p w14:paraId="1469DA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3BF6B3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023E01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r>
      <w:tr w:rsidR="006F4095" w:rsidRPr="008127F8" w14:paraId="67A0808A" w14:textId="77777777">
        <w:tc>
          <w:tcPr>
            <w:tcW w:w="1868" w:type="dxa"/>
          </w:tcPr>
          <w:p w14:paraId="321E3A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1868" w:type="dxa"/>
          </w:tcPr>
          <w:p w14:paraId="4CB5D8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w:t>
            </w:r>
          </w:p>
        </w:tc>
        <w:tc>
          <w:tcPr>
            <w:tcW w:w="1868" w:type="dxa"/>
          </w:tcPr>
          <w:p w14:paraId="7734D9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417F3E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w:t>
            </w:r>
          </w:p>
        </w:tc>
        <w:tc>
          <w:tcPr>
            <w:tcW w:w="1868" w:type="dxa"/>
          </w:tcPr>
          <w:p w14:paraId="4982DF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3CCEE1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BAEF693" w14:textId="77777777">
        <w:tc>
          <w:tcPr>
            <w:tcW w:w="1868" w:type="dxa"/>
          </w:tcPr>
          <w:p w14:paraId="137013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tc>
        <w:tc>
          <w:tcPr>
            <w:tcW w:w="1868" w:type="dxa"/>
          </w:tcPr>
          <w:p w14:paraId="4D9AF9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868" w:type="dxa"/>
          </w:tcPr>
          <w:p w14:paraId="4D7046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1868" w:type="dxa"/>
          </w:tcPr>
          <w:p w14:paraId="673D99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w:t>
            </w:r>
          </w:p>
        </w:tc>
        <w:tc>
          <w:tcPr>
            <w:tcW w:w="1868" w:type="dxa"/>
          </w:tcPr>
          <w:p w14:paraId="413D59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69B123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810</w:t>
            </w:r>
          </w:p>
        </w:tc>
      </w:tr>
      <w:tr w:rsidR="006F4095" w:rsidRPr="008127F8" w14:paraId="23553AAE" w14:textId="77777777">
        <w:tc>
          <w:tcPr>
            <w:tcW w:w="1868" w:type="dxa"/>
          </w:tcPr>
          <w:p w14:paraId="123651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w:t>
            </w:r>
          </w:p>
        </w:tc>
        <w:tc>
          <w:tcPr>
            <w:tcW w:w="1868" w:type="dxa"/>
          </w:tcPr>
          <w:p w14:paraId="48DC9F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868" w:type="dxa"/>
          </w:tcPr>
          <w:p w14:paraId="52EF14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868" w:type="dxa"/>
          </w:tcPr>
          <w:p w14:paraId="38E2B8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1868" w:type="dxa"/>
          </w:tcPr>
          <w:p w14:paraId="6CDB7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3AD548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209AFAE" w14:textId="77777777">
        <w:tc>
          <w:tcPr>
            <w:tcW w:w="1868" w:type="dxa"/>
          </w:tcPr>
          <w:p w14:paraId="17B8F6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w:t>
            </w:r>
          </w:p>
        </w:tc>
        <w:tc>
          <w:tcPr>
            <w:tcW w:w="1868" w:type="dxa"/>
          </w:tcPr>
          <w:p w14:paraId="2DE415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w:t>
            </w:r>
          </w:p>
        </w:tc>
        <w:tc>
          <w:tcPr>
            <w:tcW w:w="1868" w:type="dxa"/>
          </w:tcPr>
          <w:p w14:paraId="221951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868" w:type="dxa"/>
          </w:tcPr>
          <w:p w14:paraId="404538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1868" w:type="dxa"/>
          </w:tcPr>
          <w:p w14:paraId="3A9F10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Pr>
          <w:p w14:paraId="033923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332996E8" w14:textId="77777777">
        <w:tc>
          <w:tcPr>
            <w:tcW w:w="1868" w:type="dxa"/>
            <w:tcBorders>
              <w:bottom w:val="single" w:sz="12" w:space="0" w:color="auto"/>
            </w:tcBorders>
          </w:tcPr>
          <w:p w14:paraId="08A57B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9000</w:t>
            </w:r>
          </w:p>
        </w:tc>
        <w:tc>
          <w:tcPr>
            <w:tcW w:w="1868" w:type="dxa"/>
            <w:tcBorders>
              <w:bottom w:val="single" w:sz="12" w:space="0" w:color="auto"/>
            </w:tcBorders>
          </w:tcPr>
          <w:p w14:paraId="4F8D62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868" w:type="dxa"/>
            <w:tcBorders>
              <w:bottom w:val="single" w:sz="12" w:space="0" w:color="auto"/>
            </w:tcBorders>
          </w:tcPr>
          <w:p w14:paraId="7E0DF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Borders>
              <w:bottom w:val="single" w:sz="12" w:space="0" w:color="auto"/>
            </w:tcBorders>
          </w:tcPr>
          <w:p w14:paraId="79E954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868" w:type="dxa"/>
            <w:tcBorders>
              <w:bottom w:val="single" w:sz="12" w:space="0" w:color="auto"/>
            </w:tcBorders>
          </w:tcPr>
          <w:p w14:paraId="076C25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w:t>
            </w:r>
          </w:p>
        </w:tc>
        <w:tc>
          <w:tcPr>
            <w:tcW w:w="1868" w:type="dxa"/>
            <w:tcBorders>
              <w:bottom w:val="single" w:sz="12" w:space="0" w:color="auto"/>
            </w:tcBorders>
          </w:tcPr>
          <w:p w14:paraId="5AF99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bl>
    <w:p w14:paraId="5D8F07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гр. Высотности - 1850 м, скор. 5,7, 2-я гр. Высотности - 5500, скор. 3,15</w:t>
      </w:r>
    </w:p>
    <w:p w14:paraId="531786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Переключение скорости нагнетателя - 3650 м, скор. 3,75</w:t>
      </w:r>
    </w:p>
    <w:p w14:paraId="489E86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049EE7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недостаток высотности моторов, несоответствие ТТТ</w:t>
      </w:r>
    </w:p>
    <w:p w14:paraId="5F30DC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неодинаковость регулировки и нестабильность работы карбюратора АК-82БП</w:t>
      </w:r>
    </w:p>
    <w:p w14:paraId="708519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Выброс масла из суфлеров на высоте выше 4000 м</w:t>
      </w:r>
    </w:p>
    <w:p w14:paraId="3D384C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запуск мотора при температуре ниже +10 чрезвычайно затруднен</w:t>
      </w:r>
    </w:p>
    <w:p w14:paraId="33D544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17ADEF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недопустимые течи масла </w:t>
      </w:r>
      <w:proofErr w:type="gramStart"/>
      <w:r w:rsidRPr="008127F8">
        <w:rPr>
          <w:rFonts w:ascii="Times New Roman" w:hAnsi="Times New Roman"/>
          <w:color w:val="000000" w:themeColor="text1"/>
          <w:sz w:val="16"/>
          <w:szCs w:val="16"/>
        </w:rPr>
        <w:t>из под</w:t>
      </w:r>
      <w:proofErr w:type="gramEnd"/>
      <w:r w:rsidRPr="008127F8">
        <w:rPr>
          <w:rFonts w:ascii="Times New Roman" w:hAnsi="Times New Roman"/>
          <w:color w:val="000000" w:themeColor="text1"/>
          <w:sz w:val="16"/>
          <w:szCs w:val="16"/>
        </w:rPr>
        <w:t xml:space="preserve"> прокладок различных соединений и особенно из под кожухов тяг</w:t>
      </w:r>
    </w:p>
    <w:p w14:paraId="06DCD5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60F8E9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Установка моторов М-82 на с-те Пе-8 вместо АМ-35А:</w:t>
      </w:r>
    </w:p>
    <w:p w14:paraId="48114A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улучшает взлетные качества, сокращает длину разбега на 20%</w:t>
      </w:r>
    </w:p>
    <w:p w14:paraId="5A50B7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6593A0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повышает живучесть за счет отсутствия радиаторов</w:t>
      </w:r>
    </w:p>
    <w:p w14:paraId="6B8788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4986C2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2...Рекомендовать установку М-82 на серийные с-ты Пе-8</w:t>
      </w:r>
    </w:p>
    <w:p w14:paraId="51DDD8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Заводам № 19 и 33 устранить указанные выше дефекты М-82 и АК-82БП</w:t>
      </w:r>
    </w:p>
    <w:p w14:paraId="46D2AD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1B5BB0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70A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3 апреля по 24 октября 1942 года проводились как совместные с АДД испытания Пе-8 4М-82. Всего было выполнено 22 полета, продолжительностью 58 часов. Полеты заняли 22 дня, остальные 204 дня ушли на доводку М-82 и всей </w:t>
      </w:r>
      <w:proofErr w:type="gramStart"/>
      <w:r w:rsidRPr="008127F8">
        <w:rPr>
          <w:rFonts w:ascii="Times New Roman" w:hAnsi="Times New Roman"/>
          <w:color w:val="000000" w:themeColor="text1"/>
          <w:sz w:val="16"/>
          <w:szCs w:val="16"/>
        </w:rPr>
        <w:t>винто-моторной</w:t>
      </w:r>
      <w:proofErr w:type="gramEnd"/>
      <w:r w:rsidRPr="008127F8">
        <w:rPr>
          <w:rFonts w:ascii="Times New Roman" w:hAnsi="Times New Roman"/>
          <w:color w:val="000000" w:themeColor="text1"/>
          <w:sz w:val="16"/>
          <w:szCs w:val="16"/>
        </w:rPr>
        <w:t xml:space="preserve"> установки. В испытаниях участвовали: ведущим летчиком-испытателем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688B64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материалах по испытаниям </w:t>
      </w:r>
      <w:proofErr w:type="gramStart"/>
      <w:r w:rsidRPr="008127F8">
        <w:rPr>
          <w:rFonts w:ascii="Times New Roman" w:hAnsi="Times New Roman"/>
          <w:color w:val="000000" w:themeColor="text1"/>
          <w:sz w:val="16"/>
          <w:szCs w:val="16"/>
        </w:rPr>
        <w:t>было в частности</w:t>
      </w:r>
      <w:proofErr w:type="gramEnd"/>
      <w:r w:rsidRPr="008127F8">
        <w:rPr>
          <w:rFonts w:ascii="Times New Roman" w:hAnsi="Times New Roman"/>
          <w:color w:val="000000" w:themeColor="text1"/>
          <w:sz w:val="16"/>
          <w:szCs w:val="16"/>
        </w:rPr>
        <w:t xml:space="preserve">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пс сравнению с расчетами на 400 м, с также некоторое переобогащение смеси привело к снижению максимальных скоростей на 8-10 км/ч.</w:t>
      </w:r>
    </w:p>
    <w:p w14:paraId="46953E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испытаний имел место ряд системных дефектов двигателей, которые в значительной степени затянули ииспытания.</w:t>
      </w:r>
    </w:p>
    <w:p w14:paraId="668DF5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w:t>
      </w:r>
      <w:proofErr w:type="gramStart"/>
      <w:r w:rsidRPr="008127F8">
        <w:rPr>
          <w:rFonts w:ascii="Times New Roman" w:hAnsi="Times New Roman"/>
          <w:color w:val="000000" w:themeColor="text1"/>
          <w:sz w:val="16"/>
          <w:szCs w:val="16"/>
        </w:rPr>
        <w:t>из под</w:t>
      </w:r>
      <w:proofErr w:type="gramEnd"/>
      <w:r w:rsidRPr="008127F8">
        <w:rPr>
          <w:rFonts w:ascii="Times New Roman" w:hAnsi="Times New Roman"/>
          <w:color w:val="000000" w:themeColor="text1"/>
          <w:sz w:val="16"/>
          <w:szCs w:val="16"/>
        </w:rPr>
        <w:t xml:space="preserve"> прокладок различных соединений, особенно из под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6F1B8A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Одним из важнейших пунктов в испытаниях Пе-8 4М-82 стали испытания на максимальную дальность полета. Предстояло выбрать </w:t>
      </w:r>
      <w:proofErr w:type="gramStart"/>
      <w:r w:rsidRPr="008127F8">
        <w:rPr>
          <w:rFonts w:ascii="Times New Roman" w:hAnsi="Times New Roman"/>
          <w:color w:val="000000" w:themeColor="text1"/>
          <w:sz w:val="16"/>
          <w:szCs w:val="16"/>
        </w:rPr>
        <w:t>трассу</w:t>
      </w:r>
      <w:proofErr w:type="gramEnd"/>
      <w:r w:rsidRPr="008127F8">
        <w:rPr>
          <w:rFonts w:ascii="Times New Roman" w:hAnsi="Times New Roman"/>
          <w:color w:val="000000" w:themeColor="text1"/>
          <w:sz w:val="16"/>
          <w:szCs w:val="16"/>
        </w:rPr>
        <w:t xml:space="preserve">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0EB024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рассмотрения ряда маршрутов остановились на маршруте в Среднюю Азию со сбросом бомб в пустынной местности за Ташкентом.</w:t>
      </w:r>
    </w:p>
    <w:p w14:paraId="16655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4400км.</w:t>
      </w:r>
    </w:p>
    <w:p w14:paraId="49A9B5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Подготовленный отчет по результатам испытаний был предъявлен в НИИ ВВС, НКАП и в штаб АДД.</w:t>
      </w:r>
    </w:p>
    <w:p w14:paraId="0EA5CA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к отчету по испытаниям говорилось:</w:t>
      </w:r>
    </w:p>
    <w:p w14:paraId="096763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на самолете Пе-8 М-82 вместо АМ-35А:</w:t>
      </w:r>
    </w:p>
    <w:p w14:paraId="5E66F1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улучшает взлетные характеристики, снижая длину разбега на 20%;</w:t>
      </w:r>
    </w:p>
    <w:p w14:paraId="2E433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увеличивает дальность по боевому профилю до 4400 км при 3000 кг бомб;</w:t>
      </w:r>
    </w:p>
    <w:p w14:paraId="644B0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повышает живучесть самолета (отсутствие водосистемы);</w:t>
      </w:r>
    </w:p>
    <w:p w14:paraId="2D3EC6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5C60F4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0E9AD8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заводам №19 и №33 устранить указанные дефекты М-82 и АК-82БП;</w:t>
      </w:r>
    </w:p>
    <w:p w14:paraId="6563E9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заводу №22 устранить дефекты, указанные выше, после чего передать один самолет в АДД к 15 ноября 1942 года, для опытной эксплуатации, в про-1 цессе которой НИИ ВВС совместно с АДЦ снять летные характеристики самолета".</w:t>
      </w:r>
    </w:p>
    <w:p w14:paraId="44F156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(7685).</w:t>
      </w:r>
    </w:p>
    <w:p w14:paraId="7994C7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B82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 апреля по 24 октября 1942 г. проводились совместные испытания Пе-8 с М-82. Полёты заняли всего 22 дня, а остальные 204 ушли на доводку винтомоторной установки. Командиром самолёта был М.В. Водопьянов, вторым пилотом - Б.Г. Говоров, бортмехаником - А.П. Беспалов.</w:t>
      </w:r>
    </w:p>
    <w:p w14:paraId="4391AF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отчёте отмечено, что определение максимальной скорости затруднялось перегревом головок цилиндров моторов. Номинальная мощность на второй скорости нагнетателя достигалась на высоте на 400 м ниже расчётной. Это, а также некоторое переобогащение топливной смеси привело к снижению максимальных скоростей на 8 - 10 км/ч. При полётном весе 28 200 кг добились всего 410 км/ч.</w:t>
      </w:r>
    </w:p>
    <w:p w14:paraId="47038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М-82 оставались ещё "сырыми". На высоте более 4000 м столкнулись с выбросом масла из суфлёров, оно подтекало из-под прокладок, при температуре ниже 10° двигатели плохо запускались, а на малом газу работали плохо при любой погоде. За время испытаний заменили восемь М-82, из них четыре из-за дефектов, а ещё четыре - на доработанные двигатели более позднего выпуска (11996).</w:t>
      </w:r>
    </w:p>
    <w:p w14:paraId="6CECA0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657E3"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 апреля по 24 октября 1942 года проходили испытания Пе-8 4М-82 как совместные с АДД. Всего было выполнено 22 полета, продолжительностью 58 часов. Полеты заняли 22 дня, остальные 204 дня ушли на доводку М-82 и всей винтомоторной установки. В испытаниях участвовали: ведущим летчиком-испытателем —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70268EE1"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материалах по испытаниям </w:t>
      </w:r>
      <w:proofErr w:type="gramStart"/>
      <w:r w:rsidRPr="008127F8">
        <w:rPr>
          <w:rFonts w:ascii="Times New Roman" w:hAnsi="Times New Roman"/>
          <w:color w:val="000000" w:themeColor="text1"/>
          <w:sz w:val="16"/>
          <w:szCs w:val="16"/>
        </w:rPr>
        <w:t>было в частности</w:t>
      </w:r>
      <w:proofErr w:type="gramEnd"/>
      <w:r w:rsidRPr="008127F8">
        <w:rPr>
          <w:rFonts w:ascii="Times New Roman" w:hAnsi="Times New Roman"/>
          <w:color w:val="000000" w:themeColor="text1"/>
          <w:sz w:val="16"/>
          <w:szCs w:val="16"/>
        </w:rPr>
        <w:t xml:space="preserve">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по сравнению с расчетами на 400 м, а также некоторое переобогащение смеси привело к снижению максимальных скоростей на 8-10 км/ч.</w:t>
      </w:r>
    </w:p>
    <w:p w14:paraId="124451C4" w14:textId="77777777" w:rsidR="0050778F" w:rsidRPr="008127F8" w:rsidRDefault="0050778F" w:rsidP="001E0A84">
      <w:pPr>
        <w:pStyle w:val="af"/>
        <w:spacing w:before="0" w:after="0"/>
        <w:jc w:val="both"/>
        <w:rPr>
          <w:color w:val="000000" w:themeColor="text1"/>
          <w:sz w:val="16"/>
          <w:szCs w:val="16"/>
        </w:rPr>
      </w:pPr>
      <w:r w:rsidRPr="008127F8">
        <w:rPr>
          <w:color w:val="000000" w:themeColor="text1"/>
          <w:sz w:val="16"/>
          <w:szCs w:val="16"/>
        </w:rPr>
        <w:t xml:space="preserve">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испытании имел место ряд системных дефектов двигателей, которые в значительной </w:t>
      </w:r>
      <w:r w:rsidRPr="008127F8">
        <w:rPr>
          <w:rStyle w:val="16"/>
          <w:rFonts w:ascii="Times New Roman" w:cs="Times New Roman"/>
          <w:color w:val="000000" w:themeColor="text1"/>
          <w:spacing w:val="0"/>
        </w:rPr>
        <w:t>степени затянули испытания.</w:t>
      </w:r>
    </w:p>
    <w:p w14:paraId="620181C6"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w:t>
      </w:r>
      <w:proofErr w:type="gramStart"/>
      <w:r w:rsidRPr="008127F8">
        <w:rPr>
          <w:rFonts w:ascii="Times New Roman" w:hAnsi="Times New Roman"/>
          <w:color w:val="000000" w:themeColor="text1"/>
          <w:sz w:val="16"/>
          <w:szCs w:val="16"/>
        </w:rPr>
        <w:t>из под</w:t>
      </w:r>
      <w:proofErr w:type="gramEnd"/>
      <w:r w:rsidRPr="008127F8">
        <w:rPr>
          <w:rFonts w:ascii="Times New Roman" w:hAnsi="Times New Roman"/>
          <w:color w:val="000000" w:themeColor="text1"/>
          <w:sz w:val="16"/>
          <w:szCs w:val="16"/>
        </w:rPr>
        <w:t xml:space="preserve"> прокладок различных соединений особенно из под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6EDC8442"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важнейших пунктов в испытаниях Пе-8 4М-82 стали испытания на максимальную дальность полета. Предстояло выбрать трассу,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1CCAD76F" w14:textId="77777777" w:rsidR="0050778F" w:rsidRPr="008127F8" w:rsidRDefault="0050778F" w:rsidP="001E0A84">
      <w:pPr>
        <w:pStyle w:val="af"/>
        <w:spacing w:before="0" w:after="0"/>
        <w:jc w:val="both"/>
        <w:rPr>
          <w:color w:val="000000" w:themeColor="text1"/>
          <w:sz w:val="16"/>
          <w:szCs w:val="16"/>
        </w:rPr>
      </w:pPr>
      <w:r w:rsidRPr="008127F8">
        <w:rPr>
          <w:color w:val="000000" w:themeColor="text1"/>
          <w:sz w:val="16"/>
          <w:szCs w:val="16"/>
        </w:rPr>
        <w:t xml:space="preserve">После рассмотрения ряда маршрутов остановились на маршруте в </w:t>
      </w:r>
      <w:proofErr w:type="gramStart"/>
      <w:r w:rsidRPr="008127F8">
        <w:rPr>
          <w:color w:val="000000" w:themeColor="text1"/>
          <w:sz w:val="16"/>
          <w:szCs w:val="16"/>
        </w:rPr>
        <w:t>Среднюю .Азию</w:t>
      </w:r>
      <w:proofErr w:type="gramEnd"/>
      <w:r w:rsidRPr="008127F8">
        <w:rPr>
          <w:color w:val="000000" w:themeColor="text1"/>
          <w:sz w:val="16"/>
          <w:szCs w:val="16"/>
        </w:rPr>
        <w:t xml:space="preserve"> со сбросом бомб в пустынной местности за Ташкентом.</w:t>
      </w:r>
    </w:p>
    <w:p w14:paraId="2CB76FC1"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w:t>
      </w:r>
      <w:proofErr w:type="gramStart"/>
      <w:r w:rsidRPr="008127F8">
        <w:rPr>
          <w:rFonts w:ascii="Times New Roman" w:hAnsi="Times New Roman"/>
          <w:color w:val="000000" w:themeColor="text1"/>
          <w:sz w:val="16"/>
          <w:szCs w:val="16"/>
        </w:rPr>
        <w:t>подумали</w:t>
      </w:r>
      <w:proofErr w:type="gramEnd"/>
      <w:r w:rsidRPr="008127F8">
        <w:rPr>
          <w:rFonts w:ascii="Times New Roman" w:hAnsi="Times New Roman"/>
          <w:color w:val="000000" w:themeColor="text1"/>
          <w:sz w:val="16"/>
          <w:szCs w:val="16"/>
        </w:rPr>
        <w:t xml:space="preserve">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 км.</w:t>
      </w:r>
    </w:p>
    <w:p w14:paraId="1446FBF5" w14:textId="77777777" w:rsidR="0050778F" w:rsidRPr="008127F8" w:rsidRDefault="0050778F" w:rsidP="001E0A84">
      <w:pPr>
        <w:tabs>
          <w:tab w:val="left" w:pos="15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Подготовленный отчет по результатам испытаний был предъявлен в НИИ ВВС, НКАП и в штаб АДД, 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До конца года завод выпустил еще один Пе-8 с М-82 (на фоне трех с М-30 и 15 с АМ- 35 А), а в следующих 1943 и 1944 годах все Пе-8 строились и сдавались в части только с двигателями типа М-82. 8 апреля 1943 года Пе-8 4М-82 №42049 был принят АДД как эталон 1943 года. Первый серийный Пе-8 №42058 поступил на вооружение 746 авиационного полка в январе 1943 года, затем последовало еще несколько машин, поступивших в полк к лету. Всего за 1943 год завод №22 выпустил 18 Пе-8, и все они были с М-82</w:t>
      </w:r>
    </w:p>
    <w:p w14:paraId="023CAC5E"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к отчету по испытаниям говорилось:</w:t>
      </w:r>
    </w:p>
    <w:p w14:paraId="6CAD34C3"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на самолете Пе-8 М-82 вместо АМ- 35 А:</w:t>
      </w:r>
    </w:p>
    <w:p w14:paraId="4BCE19E6" w14:textId="77777777" w:rsidR="0050778F" w:rsidRPr="008127F8" w:rsidRDefault="0050778F" w:rsidP="001E0A84">
      <w:pPr>
        <w:tabs>
          <w:tab w:val="left" w:pos="51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улучшает взлетные характеристики, снижая длину разбега на 20%;</w:t>
      </w:r>
    </w:p>
    <w:p w14:paraId="3CC45D1A" w14:textId="77777777" w:rsidR="0050778F" w:rsidRPr="008127F8" w:rsidRDefault="0050778F" w:rsidP="001E0A84">
      <w:pPr>
        <w:tabs>
          <w:tab w:val="left" w:pos="39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увеличивает дальность по боевому профилю до 4400 км при 3000 кг бомб;</w:t>
      </w:r>
    </w:p>
    <w:p w14:paraId="54349266" w14:textId="77777777" w:rsidR="0050778F" w:rsidRPr="008127F8" w:rsidRDefault="0050778F" w:rsidP="001E0A84">
      <w:pPr>
        <w:tabs>
          <w:tab w:val="left" w:pos="54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повышает живучесть самолета (отсутствие водосистемы);</w:t>
      </w:r>
    </w:p>
    <w:p w14:paraId="7FE138BB" w14:textId="77777777" w:rsidR="0050778F" w:rsidRPr="008127F8" w:rsidRDefault="0050778F" w:rsidP="001E0A84">
      <w:pPr>
        <w:tabs>
          <w:tab w:val="left" w:pos="43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7E4A4A6D"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03163867" w14:textId="77777777" w:rsidR="0050778F" w:rsidRPr="008127F8" w:rsidRDefault="0050778F" w:rsidP="001E0A84">
      <w:pPr>
        <w:tabs>
          <w:tab w:val="left" w:pos="51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заводам №19 и №33 устранить указанные дефекты М-82 и АК-82БП;</w:t>
      </w:r>
    </w:p>
    <w:p w14:paraId="067E8430" w14:textId="77777777" w:rsidR="0050778F" w:rsidRPr="008127F8" w:rsidRDefault="0050778F" w:rsidP="001E0A84">
      <w:pPr>
        <w:tabs>
          <w:tab w:val="left" w:pos="50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заводу №22 устранить дефекты, указанные выше, после чего передать один самолет в АДД к 15 ноября 1942 года для опытной эксплуатации, в процессе которой НИИ ВВС совместно </w:t>
      </w:r>
      <w:proofErr w:type="gramStart"/>
      <w:r w:rsidRPr="008127F8">
        <w:rPr>
          <w:rFonts w:ascii="Times New Roman" w:hAnsi="Times New Roman"/>
          <w:color w:val="000000" w:themeColor="text1"/>
          <w:sz w:val="16"/>
          <w:szCs w:val="16"/>
        </w:rPr>
        <w:t>с .АДД</w:t>
      </w:r>
      <w:proofErr w:type="gramEnd"/>
      <w:r w:rsidRPr="008127F8">
        <w:rPr>
          <w:rFonts w:ascii="Times New Roman" w:hAnsi="Times New Roman"/>
          <w:color w:val="000000" w:themeColor="text1"/>
          <w:sz w:val="16"/>
          <w:szCs w:val="16"/>
        </w:rPr>
        <w:t xml:space="preserve"> снять летные характеристики самолета" (12726).</w:t>
      </w:r>
    </w:p>
    <w:p w14:paraId="3EA1E4D4" w14:textId="77777777" w:rsidR="0050778F" w:rsidRPr="008127F8" w:rsidRDefault="0050778F" w:rsidP="001E0A84">
      <w:pPr>
        <w:pStyle w:val="af"/>
        <w:spacing w:before="0" w:after="0"/>
        <w:jc w:val="both"/>
        <w:rPr>
          <w:color w:val="000000" w:themeColor="text1"/>
          <w:sz w:val="16"/>
          <w:szCs w:val="16"/>
        </w:rPr>
      </w:pPr>
    </w:p>
    <w:p w14:paraId="63D47D1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апреля</w:t>
      </w:r>
      <w:r w:rsidRPr="008127F8">
        <w:rPr>
          <w:rFonts w:ascii="Times New Roman" w:hAnsi="Times New Roman"/>
          <w:color w:val="000000" w:themeColor="text1"/>
          <w:sz w:val="16"/>
          <w:szCs w:val="16"/>
        </w:rPr>
        <w:t xml:space="preserve"> в 1942 году проводились (по 24 октября) совместные с авиацией дальнего действия испытания </w:t>
      </w:r>
      <w:hyperlink r:id="rId101" w:tgtFrame="_blank" w:history="1">
        <w:r w:rsidRPr="008127F8">
          <w:rPr>
            <w:rFonts w:ascii="Times New Roman" w:hAnsi="Times New Roman"/>
            <w:color w:val="000000" w:themeColor="text1"/>
            <w:sz w:val="16"/>
            <w:szCs w:val="16"/>
          </w:rPr>
          <w:t xml:space="preserve">«Пе-8» </w:t>
        </w:r>
      </w:hyperlink>
      <w:r w:rsidRPr="008127F8">
        <w:rPr>
          <w:rFonts w:ascii="Times New Roman" w:hAnsi="Times New Roman"/>
          <w:color w:val="000000" w:themeColor="text1"/>
          <w:sz w:val="16"/>
          <w:szCs w:val="16"/>
        </w:rPr>
        <w:t>с моторами «4М-82» (15088).</w:t>
      </w:r>
    </w:p>
    <w:p w14:paraId="69D07F80"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7EB833A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г. Чертков и Цветков направили пись</w:t>
      </w:r>
      <w:r w:rsidRPr="008127F8">
        <w:rPr>
          <w:rFonts w:ascii="Times New Roman" w:hAnsi="Times New Roman"/>
          <w:color w:val="000000" w:themeColor="text1"/>
          <w:sz w:val="16"/>
          <w:szCs w:val="16"/>
        </w:rPr>
        <w:softHyphen/>
        <w:t>мо наркому Обороны И.В.Сталину: «После облета само</w:t>
      </w:r>
      <w:r w:rsidRPr="008127F8">
        <w:rPr>
          <w:rFonts w:ascii="Times New Roman" w:hAnsi="Times New Roman"/>
          <w:color w:val="000000" w:themeColor="text1"/>
          <w:sz w:val="16"/>
          <w:szCs w:val="16"/>
        </w:rPr>
        <w:softHyphen/>
        <w:t>лета И-185 с мотором М-71 конструкции Поликарпова докладываем свои соображения. Скорость, маневр, во</w:t>
      </w:r>
      <w:r w:rsidRPr="008127F8">
        <w:rPr>
          <w:rFonts w:ascii="Times New Roman" w:hAnsi="Times New Roman"/>
          <w:color w:val="000000" w:themeColor="text1"/>
          <w:sz w:val="16"/>
          <w:szCs w:val="16"/>
        </w:rPr>
        <w:softHyphen/>
        <w:t>оружение, простота взлета и посадки, малый пробег и разбег, равный И-16 типа 24, живучесть в бою - анало</w:t>
      </w:r>
      <w:r w:rsidRPr="008127F8">
        <w:rPr>
          <w:rFonts w:ascii="Times New Roman" w:hAnsi="Times New Roman"/>
          <w:color w:val="000000" w:themeColor="text1"/>
          <w:sz w:val="16"/>
          <w:szCs w:val="16"/>
        </w:rPr>
        <w:softHyphen/>
        <w:t>гичная И-16, сравнительная легкость и приятность в технике пилотирования, возможность ремонта в поле</w:t>
      </w:r>
      <w:r w:rsidRPr="008127F8">
        <w:rPr>
          <w:rFonts w:ascii="Times New Roman" w:hAnsi="Times New Roman"/>
          <w:color w:val="000000" w:themeColor="text1"/>
          <w:sz w:val="16"/>
          <w:szCs w:val="16"/>
        </w:rPr>
        <w:softHyphen/>
        <w:t>вых условиях, легкость переучивания летчиков особен</w:t>
      </w:r>
      <w:r w:rsidRPr="008127F8">
        <w:rPr>
          <w:rFonts w:ascii="Times New Roman" w:hAnsi="Times New Roman"/>
          <w:color w:val="000000" w:themeColor="text1"/>
          <w:sz w:val="16"/>
          <w:szCs w:val="16"/>
        </w:rPr>
        <w:softHyphen/>
        <w:t>но с И-16 дают право рекомендовать пустить в серийное производство данный самолет». Письма аналогичного содержания отправили секре</w:t>
      </w:r>
      <w:r w:rsidRPr="008127F8">
        <w:rPr>
          <w:rFonts w:ascii="Times New Roman" w:hAnsi="Times New Roman"/>
          <w:color w:val="000000" w:themeColor="text1"/>
          <w:sz w:val="16"/>
          <w:szCs w:val="16"/>
        </w:rPr>
        <w:softHyphen/>
        <w:t>тарю ЦК ВКП(б) Маленкову, наркому авиапромыш</w:t>
      </w:r>
      <w:r w:rsidRPr="008127F8">
        <w:rPr>
          <w:rFonts w:ascii="Times New Roman" w:hAnsi="Times New Roman"/>
          <w:color w:val="000000" w:themeColor="text1"/>
          <w:sz w:val="16"/>
          <w:szCs w:val="16"/>
        </w:rPr>
        <w:softHyphen/>
        <w:t>ленности Шахурину, генерал-полковнику авиации Жигареву. Их копии Н.А.Жемчужин также переслал Поликарпову (10667).</w:t>
      </w:r>
    </w:p>
    <w:p w14:paraId="7BA28B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EB9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3 апреля 1942 на ИТП М-1 Н.Н.П.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6C70B2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3A865D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w:t>
      </w:r>
      <w:r w:rsidRPr="008127F8">
        <w:rPr>
          <w:rFonts w:ascii="Times New Roman" w:hAnsi="Times New Roman"/>
          <w:color w:val="000000" w:themeColor="text1"/>
          <w:sz w:val="16"/>
          <w:szCs w:val="16"/>
        </w:rPr>
        <w:lastRenderedPageBreak/>
        <w:t xml:space="preserve">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4FBBB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6F256C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09BEA9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8127F8" w14:paraId="48B020B1" w14:textId="77777777">
        <w:tc>
          <w:tcPr>
            <w:tcW w:w="3736" w:type="dxa"/>
            <w:tcBorders>
              <w:top w:val="single" w:sz="12" w:space="0" w:color="auto"/>
            </w:tcBorders>
          </w:tcPr>
          <w:p w14:paraId="727114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77391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w:t>
            </w:r>
          </w:p>
        </w:tc>
        <w:tc>
          <w:tcPr>
            <w:tcW w:w="3736" w:type="dxa"/>
            <w:tcBorders>
              <w:top w:val="single" w:sz="12" w:space="0" w:color="auto"/>
            </w:tcBorders>
          </w:tcPr>
          <w:p w14:paraId="64EF3A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w:t>
            </w:r>
          </w:p>
        </w:tc>
      </w:tr>
      <w:tr w:rsidR="006F4095" w:rsidRPr="008127F8" w14:paraId="4FCA2C8B" w14:textId="77777777">
        <w:tc>
          <w:tcPr>
            <w:tcW w:w="3736" w:type="dxa"/>
          </w:tcPr>
          <w:p w14:paraId="27E30C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w:t>
            </w:r>
          </w:p>
        </w:tc>
        <w:tc>
          <w:tcPr>
            <w:tcW w:w="3736" w:type="dxa"/>
          </w:tcPr>
          <w:p w14:paraId="4C5242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3736" w:type="dxa"/>
          </w:tcPr>
          <w:p w14:paraId="0AC201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6F4095" w:rsidRPr="008127F8" w14:paraId="2156B322" w14:textId="77777777">
        <w:tc>
          <w:tcPr>
            <w:tcW w:w="3736" w:type="dxa"/>
          </w:tcPr>
          <w:p w14:paraId="1A1BAB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в линии полета (м)</w:t>
            </w:r>
          </w:p>
        </w:tc>
        <w:tc>
          <w:tcPr>
            <w:tcW w:w="3736" w:type="dxa"/>
          </w:tcPr>
          <w:p w14:paraId="329914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c>
          <w:tcPr>
            <w:tcW w:w="3736" w:type="dxa"/>
          </w:tcPr>
          <w:p w14:paraId="35B2A4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r>
      <w:tr w:rsidR="006F4095" w:rsidRPr="008127F8" w14:paraId="0AEF8601" w14:textId="77777777">
        <w:tc>
          <w:tcPr>
            <w:tcW w:w="3736" w:type="dxa"/>
          </w:tcPr>
          <w:p w14:paraId="1622F4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(м2)</w:t>
            </w:r>
          </w:p>
        </w:tc>
        <w:tc>
          <w:tcPr>
            <w:tcW w:w="3736" w:type="dxa"/>
          </w:tcPr>
          <w:p w14:paraId="561AC5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c>
          <w:tcPr>
            <w:tcW w:w="3736" w:type="dxa"/>
          </w:tcPr>
          <w:p w14:paraId="5C24CD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16,45</w:t>
            </w:r>
          </w:p>
        </w:tc>
      </w:tr>
      <w:tr w:rsidR="006F4095" w:rsidRPr="008127F8" w14:paraId="30B73CCF" w14:textId="77777777">
        <w:tc>
          <w:tcPr>
            <w:tcW w:w="3736" w:type="dxa"/>
          </w:tcPr>
          <w:p w14:paraId="21F482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(кг)</w:t>
            </w:r>
          </w:p>
        </w:tc>
        <w:tc>
          <w:tcPr>
            <w:tcW w:w="3736" w:type="dxa"/>
          </w:tcPr>
          <w:p w14:paraId="3C45BD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2598</w:t>
            </w:r>
          </w:p>
        </w:tc>
        <w:tc>
          <w:tcPr>
            <w:tcW w:w="3736" w:type="dxa"/>
          </w:tcPr>
          <w:p w14:paraId="5A8B65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3095</w:t>
            </w:r>
          </w:p>
        </w:tc>
      </w:tr>
      <w:tr w:rsidR="006F4095" w:rsidRPr="008127F8" w14:paraId="38311AD0" w14:textId="77777777">
        <w:tc>
          <w:tcPr>
            <w:tcW w:w="3736" w:type="dxa"/>
          </w:tcPr>
          <w:p w14:paraId="00A4A9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3736" w:type="dxa"/>
          </w:tcPr>
          <w:p w14:paraId="481192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3750 (3366)</w:t>
            </w:r>
          </w:p>
        </w:tc>
        <w:tc>
          <w:tcPr>
            <w:tcW w:w="3736" w:type="dxa"/>
          </w:tcPr>
          <w:p w14:paraId="652E31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3820</w:t>
            </w:r>
          </w:p>
        </w:tc>
      </w:tr>
      <w:tr w:rsidR="006F4095" w:rsidRPr="008127F8" w14:paraId="515086FD" w14:textId="77777777">
        <w:tc>
          <w:tcPr>
            <w:tcW w:w="3736" w:type="dxa"/>
          </w:tcPr>
          <w:p w14:paraId="4EDE76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крыло (кг/м2)</w:t>
            </w:r>
          </w:p>
        </w:tc>
        <w:tc>
          <w:tcPr>
            <w:tcW w:w="3736" w:type="dxa"/>
          </w:tcPr>
          <w:p w14:paraId="47807D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3736" w:type="dxa"/>
          </w:tcPr>
          <w:p w14:paraId="274D08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232</w:t>
            </w:r>
          </w:p>
        </w:tc>
      </w:tr>
      <w:tr w:rsidR="006F4095" w:rsidRPr="008127F8" w14:paraId="530B5A78" w14:textId="77777777">
        <w:tc>
          <w:tcPr>
            <w:tcW w:w="3736" w:type="dxa"/>
          </w:tcPr>
          <w:p w14:paraId="19577F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(км/ч)</w:t>
            </w:r>
          </w:p>
        </w:tc>
        <w:tc>
          <w:tcPr>
            <w:tcW w:w="3736" w:type="dxa"/>
          </w:tcPr>
          <w:p w14:paraId="4CD00C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541</w:t>
            </w:r>
          </w:p>
        </w:tc>
        <w:tc>
          <w:tcPr>
            <w:tcW w:w="3736" w:type="dxa"/>
          </w:tcPr>
          <w:p w14:paraId="646D60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r>
      <w:tr w:rsidR="006F4095" w:rsidRPr="008127F8" w14:paraId="29BF7F71" w14:textId="77777777">
        <w:tc>
          <w:tcPr>
            <w:tcW w:w="3736" w:type="dxa"/>
          </w:tcPr>
          <w:p w14:paraId="759A95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 скорость у земли на форсаже (км/ч)</w:t>
            </w:r>
          </w:p>
        </w:tc>
        <w:tc>
          <w:tcPr>
            <w:tcW w:w="3736" w:type="dxa"/>
          </w:tcPr>
          <w:p w14:paraId="467266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w:t>
            </w:r>
          </w:p>
        </w:tc>
        <w:tc>
          <w:tcPr>
            <w:tcW w:w="3736" w:type="dxa"/>
          </w:tcPr>
          <w:p w14:paraId="2DC641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0A76C190" w14:textId="77777777">
        <w:tc>
          <w:tcPr>
            <w:tcW w:w="3736" w:type="dxa"/>
          </w:tcPr>
          <w:p w14:paraId="3288E3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5000 м (км/ч)</w:t>
            </w:r>
          </w:p>
        </w:tc>
        <w:tc>
          <w:tcPr>
            <w:tcW w:w="3736" w:type="dxa"/>
          </w:tcPr>
          <w:p w14:paraId="489DA9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645*</w:t>
            </w:r>
          </w:p>
        </w:tc>
        <w:tc>
          <w:tcPr>
            <w:tcW w:w="3736" w:type="dxa"/>
          </w:tcPr>
          <w:p w14:paraId="63713E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r>
      <w:tr w:rsidR="006F4095" w:rsidRPr="008127F8" w14:paraId="21794956" w14:textId="77777777">
        <w:tc>
          <w:tcPr>
            <w:tcW w:w="3736" w:type="dxa"/>
          </w:tcPr>
          <w:p w14:paraId="08EC72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3736" w:type="dxa"/>
          </w:tcPr>
          <w:p w14:paraId="71FA12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c>
          <w:tcPr>
            <w:tcW w:w="3736" w:type="dxa"/>
          </w:tcPr>
          <w:p w14:paraId="21B7C1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6F4095" w:rsidRPr="008127F8" w14:paraId="5773430B" w14:textId="77777777">
        <w:tc>
          <w:tcPr>
            <w:tcW w:w="3736" w:type="dxa"/>
            <w:tcBorders>
              <w:bottom w:val="single" w:sz="12" w:space="0" w:color="auto"/>
            </w:tcBorders>
          </w:tcPr>
          <w:p w14:paraId="44FF3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(м)</w:t>
            </w:r>
          </w:p>
        </w:tc>
        <w:tc>
          <w:tcPr>
            <w:tcW w:w="3736" w:type="dxa"/>
            <w:tcBorders>
              <w:bottom w:val="single" w:sz="12" w:space="0" w:color="auto"/>
            </w:tcBorders>
          </w:tcPr>
          <w:p w14:paraId="0E18A2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736" w:type="dxa"/>
            <w:tcBorders>
              <w:bottom w:val="single" w:sz="12" w:space="0" w:color="auto"/>
            </w:tcBorders>
          </w:tcPr>
          <w:p w14:paraId="621EE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11500</w:t>
            </w:r>
          </w:p>
        </w:tc>
      </w:tr>
    </w:tbl>
    <w:p w14:paraId="7BDFD0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Скорость на высоте 6200 м</w:t>
      </w:r>
    </w:p>
    <w:p w14:paraId="5458CB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на 2500 м. на форсаже 650 км/ч</w:t>
      </w:r>
    </w:p>
    <w:p w14:paraId="6D92B7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Время набора высоты (12016).</w:t>
      </w:r>
    </w:p>
    <w:p w14:paraId="30A31D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51268" w14:textId="77777777" w:rsidR="001B1F0B" w:rsidRPr="008127F8" w:rsidRDefault="001B1F0B"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До 3 апреля 1942 на ИТП (М-1) удалось выполнить 5 кратковременных доводочных и кон</w:t>
      </w:r>
      <w:r w:rsidRPr="008127F8">
        <w:rPr>
          <w:color w:val="000000" w:themeColor="text1"/>
          <w:sz w:val="16"/>
          <w:szCs w:val="16"/>
        </w:rPr>
        <w:softHyphen/>
        <w:t>трольных полетов, которые сопровождались край</w:t>
      </w:r>
      <w:r w:rsidRPr="008127F8">
        <w:rPr>
          <w:color w:val="000000" w:themeColor="text1"/>
          <w:sz w:val="16"/>
          <w:szCs w:val="16"/>
        </w:rPr>
        <w:softHyphen/>
        <w:t>не ненормальной работой мотора. Наблюдались перебои в работе мотора и его обрезания, пре</w:t>
      </w:r>
      <w:r w:rsidRPr="008127F8">
        <w:rPr>
          <w:color w:val="000000" w:themeColor="text1"/>
          <w:sz w:val="16"/>
          <w:szCs w:val="16"/>
        </w:rPr>
        <w:softHyphen/>
        <w:t>ждевременный выход из строя свечей, прорыв га</w:t>
      </w:r>
      <w:r w:rsidRPr="008127F8">
        <w:rPr>
          <w:color w:val="000000" w:themeColor="text1"/>
          <w:sz w:val="16"/>
          <w:szCs w:val="16"/>
        </w:rPr>
        <w:softHyphen/>
        <w:t>зовых уплотнений. Фактическая мощность мотора была существенно ниже заявленной. Замена мото</w:t>
      </w:r>
      <w:r w:rsidRPr="008127F8">
        <w:rPr>
          <w:color w:val="000000" w:themeColor="text1"/>
          <w:sz w:val="16"/>
          <w:szCs w:val="16"/>
        </w:rPr>
        <w:softHyphen/>
        <w:t>ра практически ничего не дала. Новый экземпляр М-107П работал также неустойчиво. К тому же обнаружилась раскрутка винта. Мотор ежеднев</w:t>
      </w:r>
      <w:r w:rsidRPr="008127F8">
        <w:rPr>
          <w:color w:val="000000" w:themeColor="text1"/>
          <w:sz w:val="16"/>
          <w:szCs w:val="16"/>
        </w:rPr>
        <w:softHyphen/>
        <w:t>но разбирали, регулировали зазоры, настраивали карбюратор и т.д. Самолет больше стоял на земле, чем летал. По этим причинам консольные бензоба</w:t>
      </w:r>
      <w:r w:rsidRPr="008127F8">
        <w:rPr>
          <w:color w:val="000000" w:themeColor="text1"/>
          <w:sz w:val="16"/>
          <w:szCs w:val="16"/>
        </w:rPr>
        <w:softHyphen/>
        <w:t>ки топливом не заполнялись, а вооружение с само</w:t>
      </w:r>
      <w:r w:rsidRPr="008127F8">
        <w:rPr>
          <w:color w:val="000000" w:themeColor="text1"/>
          <w:sz w:val="16"/>
          <w:szCs w:val="16"/>
        </w:rPr>
        <w:softHyphen/>
        <w:t>лета сняли (17500).</w:t>
      </w:r>
    </w:p>
    <w:p w14:paraId="63C025E7" w14:textId="77777777" w:rsidR="001B1F0B" w:rsidRPr="008127F8" w:rsidRDefault="001B1F0B" w:rsidP="001E0A84">
      <w:pPr>
        <w:spacing w:after="0" w:line="240" w:lineRule="auto"/>
        <w:jc w:val="both"/>
        <w:rPr>
          <w:rFonts w:ascii="Times New Roman" w:hAnsi="Times New Roman"/>
          <w:color w:val="000000" w:themeColor="text1"/>
          <w:sz w:val="16"/>
          <w:szCs w:val="16"/>
        </w:rPr>
      </w:pPr>
    </w:p>
    <w:p w14:paraId="5D7AEE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1527 О ходе и состоянии ремонта самолетов и моторов в Военно-Воздушных силах Красной Армии. РГАНИР, Фонд ГКО, д. 26, лл. 76-77 (11012).</w:t>
      </w:r>
    </w:p>
    <w:p w14:paraId="500F22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84F52"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1527 О ходе и состоянии ремонта самолетов и моторов в Военно-Воздушных силах Красной Армии</w:t>
      </w:r>
    </w:p>
    <w:p w14:paraId="0CC7E5FE"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На 25.Ш.42г. в частях ВВС КА имеется 4938 неисправ</w:t>
      </w:r>
      <w:r w:rsidRPr="008127F8">
        <w:rPr>
          <w:rFonts w:ascii="Times New Roman" w:cs="Times New Roman"/>
          <w:color w:val="000000" w:themeColor="text1"/>
          <w:spacing w:val="0"/>
          <w:sz w:val="16"/>
          <w:szCs w:val="16"/>
        </w:rPr>
        <w:softHyphen/>
        <w:t>ных самолетов и 9752 неисправных моторов.</w:t>
      </w:r>
    </w:p>
    <w:p w14:paraId="6BCEF5A5"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Отход в ремонт материальной части происходит в большинстве своем по дефектам монтажа и производства самолетов, моторов и по вине летно-технической эксплоатации, вывивающих поломки и аварии материальной части.</w:t>
      </w:r>
    </w:p>
    <w:p w14:paraId="7DB2B9DE"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Основной причиной задержки восстановления самоле</w:t>
      </w:r>
      <w:r w:rsidRPr="008127F8">
        <w:rPr>
          <w:rFonts w:ascii="Times New Roman" w:cs="Times New Roman"/>
          <w:color w:val="000000" w:themeColor="text1"/>
          <w:spacing w:val="0"/>
          <w:sz w:val="16"/>
          <w:szCs w:val="16"/>
        </w:rPr>
        <w:softHyphen/>
        <w:t>тов и особенно моторов является явная необеспеченность ВВС необходимыми запасными частями и материалами, ставя</w:t>
      </w:r>
      <w:r w:rsidRPr="008127F8">
        <w:rPr>
          <w:rFonts w:ascii="Times New Roman" w:cs="Times New Roman"/>
          <w:color w:val="000000" w:themeColor="text1"/>
          <w:spacing w:val="0"/>
          <w:sz w:val="16"/>
          <w:szCs w:val="16"/>
        </w:rPr>
        <w:softHyphen/>
        <w:t>щая под угрозу срыва ремонт материальной части ВВС.</w:t>
      </w:r>
    </w:p>
    <w:p w14:paraId="4C916E76"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Style w:val="-1pt"/>
          <w:rFonts w:ascii="Times New Roman" w:hAnsi="Times New Roman" w:cs="Times New Roman"/>
          <w:color w:val="000000" w:themeColor="text1"/>
          <w:spacing w:val="0"/>
          <w:sz w:val="16"/>
          <w:szCs w:val="16"/>
        </w:rPr>
        <w:t>По</w:t>
      </w:r>
      <w:r w:rsidRPr="008127F8">
        <w:rPr>
          <w:rFonts w:ascii="Times New Roman" w:cs="Times New Roman"/>
          <w:color w:val="000000" w:themeColor="text1"/>
          <w:spacing w:val="0"/>
          <w:sz w:val="16"/>
          <w:szCs w:val="16"/>
        </w:rPr>
        <w:t xml:space="preserve"> ремонту матчасти в последнее время проделана большая работа, но этот ремонт шел главным образом за счет старых запасов, которые на сегодня иссякли.</w:t>
      </w:r>
    </w:p>
    <w:p w14:paraId="0247859B"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Отсюда, если не будут приняты решительные меры по ремонту материальной части самолетов и главным образом моторов </w:t>
      </w:r>
      <w:proofErr w:type="gramStart"/>
      <w:r w:rsidRPr="008127F8">
        <w:rPr>
          <w:rFonts w:ascii="Times New Roman" w:cs="Times New Roman"/>
          <w:color w:val="000000" w:themeColor="text1"/>
          <w:spacing w:val="0"/>
          <w:sz w:val="16"/>
          <w:szCs w:val="16"/>
        </w:rPr>
        <w:t>- это</w:t>
      </w:r>
      <w:proofErr w:type="gramEnd"/>
      <w:r w:rsidRPr="008127F8">
        <w:rPr>
          <w:rFonts w:ascii="Times New Roman" w:cs="Times New Roman"/>
          <w:color w:val="000000" w:themeColor="text1"/>
          <w:spacing w:val="0"/>
          <w:sz w:val="16"/>
          <w:szCs w:val="16"/>
        </w:rPr>
        <w:t xml:space="preserve"> приведет боевой самолетно-моторный парк к катастрофическому положению.</w:t>
      </w:r>
    </w:p>
    <w:p w14:paraId="0CDD2B88"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Исходя из этого Государственный Комитет Обороны постановляет:</w:t>
      </w:r>
    </w:p>
    <w:p w14:paraId="1BDBB7EF"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1. Обязать ИКАП </w:t>
      </w:r>
      <w:proofErr w:type="gramStart"/>
      <w:r w:rsidRPr="008127F8">
        <w:rPr>
          <w:rFonts w:ascii="Times New Roman" w:cs="Times New Roman"/>
          <w:color w:val="000000" w:themeColor="text1"/>
          <w:spacing w:val="0"/>
          <w:sz w:val="16"/>
          <w:szCs w:val="16"/>
        </w:rPr>
        <w:t>тсв.Шахурина</w:t>
      </w:r>
      <w:proofErr w:type="gramEnd"/>
      <w:r w:rsidRPr="008127F8">
        <w:rPr>
          <w:rFonts w:ascii="Times New Roman" w:cs="Times New Roman"/>
          <w:color w:val="000000" w:themeColor="text1"/>
          <w:spacing w:val="0"/>
          <w:sz w:val="16"/>
          <w:szCs w:val="16"/>
        </w:rPr>
        <w:t>:</w:t>
      </w:r>
    </w:p>
    <w:p w14:paraId="572C06C8"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а) изготовить и сдать запчасти к самолетам и мото</w:t>
      </w:r>
      <w:r w:rsidRPr="008127F8">
        <w:rPr>
          <w:rFonts w:ascii="Times New Roman" w:cs="Times New Roman"/>
          <w:color w:val="000000" w:themeColor="text1"/>
          <w:spacing w:val="0"/>
          <w:sz w:val="16"/>
          <w:szCs w:val="16"/>
        </w:rPr>
        <w:softHyphen/>
        <w:t xml:space="preserve">рам в 1942 году, </w:t>
      </w:r>
      <w:proofErr w:type="gramStart"/>
      <w:r w:rsidRPr="008127F8">
        <w:rPr>
          <w:rFonts w:ascii="Times New Roman" w:cs="Times New Roman"/>
          <w:color w:val="000000" w:themeColor="text1"/>
          <w:spacing w:val="0"/>
          <w:sz w:val="16"/>
          <w:szCs w:val="16"/>
        </w:rPr>
        <w:t>согласно заявки</w:t>
      </w:r>
      <w:proofErr w:type="gramEnd"/>
      <w:r w:rsidRPr="008127F8">
        <w:rPr>
          <w:rStyle w:val="Gungsuh0pt"/>
          <w:rFonts w:ascii="Times New Roman" w:hAnsi="Times New Roman" w:cs="Times New Roman"/>
          <w:smallCaps w:val="0"/>
          <w:color w:val="000000" w:themeColor="text1"/>
          <w:spacing w:val="0"/>
          <w:sz w:val="16"/>
          <w:szCs w:val="16"/>
        </w:rPr>
        <w:t xml:space="preserve"> ввс</w:t>
      </w:r>
      <w:r w:rsidRPr="008127F8">
        <w:rPr>
          <w:rFonts w:ascii="Times New Roman" w:cs="Times New Roman"/>
          <w:color w:val="000000" w:themeColor="text1"/>
          <w:spacing w:val="0"/>
          <w:sz w:val="16"/>
          <w:szCs w:val="16"/>
        </w:rPr>
        <w:t xml:space="preserve"> КА, и организовать производственную базу для их изготовления;</w:t>
      </w:r>
    </w:p>
    <w:p w14:paraId="4F0D15BD"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б) улучшить качество ремонта, особенно моторов.</w:t>
      </w:r>
    </w:p>
    <w:p w14:paraId="4407C52F"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2. Обязать Госплан Союза ССР </w:t>
      </w:r>
      <w:proofErr w:type="gramStart"/>
      <w:r w:rsidRPr="008127F8">
        <w:rPr>
          <w:rFonts w:ascii="Times New Roman" w:cs="Times New Roman"/>
          <w:color w:val="000000" w:themeColor="text1"/>
          <w:spacing w:val="0"/>
          <w:sz w:val="16"/>
          <w:szCs w:val="16"/>
        </w:rPr>
        <w:t>тов.Сабурова</w:t>
      </w:r>
      <w:proofErr w:type="gramEnd"/>
      <w:r w:rsidRPr="008127F8">
        <w:rPr>
          <w:rFonts w:ascii="Times New Roman" w:cs="Times New Roman"/>
          <w:color w:val="000000" w:themeColor="text1"/>
          <w:spacing w:val="0"/>
          <w:sz w:val="16"/>
          <w:szCs w:val="16"/>
        </w:rPr>
        <w:t xml:space="preserve"> выделить необходимые фонды на материалы, потребные авиамастерским - для изготовления запасных частей и ремонта материальной части.</w:t>
      </w:r>
    </w:p>
    <w:p w14:paraId="79246786"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3. Обязать Наркомвнешторг приобрести за границей 15 штук внутришлиновальных станков и 30 комплектов агре</w:t>
      </w:r>
      <w:r w:rsidRPr="008127F8">
        <w:rPr>
          <w:rFonts w:ascii="Times New Roman" w:cs="Times New Roman"/>
          <w:color w:val="000000" w:themeColor="text1"/>
          <w:spacing w:val="0"/>
          <w:sz w:val="16"/>
          <w:szCs w:val="16"/>
        </w:rPr>
        <w:softHyphen/>
        <w:t>гатов для хромирования.</w:t>
      </w:r>
    </w:p>
    <w:p w14:paraId="04A47C84" w14:textId="77777777" w:rsidR="00C41094" w:rsidRPr="008127F8" w:rsidRDefault="00C41094" w:rsidP="001E0A84">
      <w:pPr>
        <w:pStyle w:val="36"/>
        <w:shd w:val="clear" w:color="auto" w:fill="auto"/>
        <w:tabs>
          <w:tab w:val="left" w:pos="244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4. Разрешить НКО бронировать до конца войнй из чис</w:t>
      </w:r>
      <w:r w:rsidRPr="008127F8">
        <w:rPr>
          <w:rFonts w:ascii="Times New Roman" w:cs="Times New Roman"/>
          <w:color w:val="000000" w:themeColor="text1"/>
          <w:spacing w:val="0"/>
          <w:sz w:val="16"/>
          <w:szCs w:val="16"/>
        </w:rPr>
        <w:softHyphen/>
        <w:t>ла вольнонаемного состава всех производственных рабочих, инженерно-технических работников и вспомогательных рабо</w:t>
      </w:r>
      <w:r w:rsidRPr="008127F8">
        <w:rPr>
          <w:rFonts w:ascii="Times New Roman" w:cs="Times New Roman"/>
          <w:color w:val="000000" w:themeColor="text1"/>
          <w:spacing w:val="0"/>
          <w:sz w:val="16"/>
          <w:szCs w:val="16"/>
        </w:rPr>
        <w:softHyphen/>
        <w:t>чих, начиная со 2 разряда тарифной сетки.</w:t>
      </w:r>
    </w:p>
    <w:p w14:paraId="354978BE" w14:textId="77777777" w:rsidR="00C41094" w:rsidRPr="008127F8" w:rsidRDefault="00C41094" w:rsidP="001E0A84">
      <w:pPr>
        <w:pStyle w:val="36"/>
        <w:shd w:val="clear" w:color="auto" w:fill="auto"/>
        <w:tabs>
          <w:tab w:val="left" w:pos="2453"/>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5. Разрешить НКС питать вольнонаёмных специалистов мастерских на </w:t>
      </w:r>
      <w:r w:rsidRPr="008127F8">
        <w:rPr>
          <w:rFonts w:ascii="Times New Roman" w:cs="Times New Roman"/>
          <w:color w:val="000000" w:themeColor="text1"/>
          <w:spacing w:val="0"/>
          <w:sz w:val="16"/>
          <w:szCs w:val="16"/>
          <w:lang w:val="en-US"/>
        </w:rPr>
        <w:t>v</w:t>
      </w:r>
      <w:r w:rsidRPr="008127F8">
        <w:rPr>
          <w:rFonts w:ascii="Times New Roman" w:cs="Times New Roman"/>
          <w:color w:val="000000" w:themeColor="text1"/>
          <w:spacing w:val="0"/>
          <w:sz w:val="16"/>
          <w:szCs w:val="16"/>
        </w:rPr>
        <w:t>гонте по нормам красноармейского пайка</w:t>
      </w:r>
    </w:p>
    <w:p w14:paraId="5EA9F1FB" w14:textId="77777777" w:rsidR="00C41094" w:rsidRPr="008127F8" w:rsidRDefault="00C41094"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за плату, согласно приложению № 3 приказа НКО 312 1941 года, а работающих в тыловых авиамастерских перевести на продснабкение по нормам рабочих военной промышленности.</w:t>
      </w:r>
    </w:p>
    <w:p w14:paraId="38B505AC" w14:textId="77777777" w:rsidR="00C41094" w:rsidRPr="008127F8" w:rsidRDefault="00C41094" w:rsidP="001E0A84">
      <w:pPr>
        <w:pStyle w:val="36"/>
        <w:shd w:val="clear" w:color="auto" w:fill="auto"/>
        <w:tabs>
          <w:tab w:val="left" w:pos="2438"/>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6. Утвердить разработанную ВВС КА премиальную си</w:t>
      </w:r>
      <w:r w:rsidRPr="008127F8">
        <w:rPr>
          <w:rFonts w:ascii="Times New Roman" w:cs="Times New Roman"/>
          <w:color w:val="000000" w:themeColor="text1"/>
          <w:spacing w:val="0"/>
          <w:sz w:val="16"/>
          <w:szCs w:val="16"/>
        </w:rPr>
        <w:softHyphen/>
        <w:t>стему оплаты за выпуск самолетов и моторов из ремонта.</w:t>
      </w:r>
    </w:p>
    <w:p w14:paraId="13A76902"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Главного инженера ВВС КА генерал-лейтенанта авиации тов.Петрова и начальника ГУ заказов и технического снабжения ВВС КА бригинженера</w:t>
      </w:r>
      <w:r w:rsidRPr="008127F8">
        <w:rPr>
          <w:rStyle w:val="CenturySchoolbook85pt0pt"/>
          <w:rFonts w:ascii="Times New Roman" w:hAnsi="Times New Roman" w:cs="Times New Roman"/>
          <w:smallCaps w:val="0"/>
          <w:color w:val="000000" w:themeColor="text1"/>
          <w:spacing w:val="0"/>
          <w:sz w:val="16"/>
          <w:szCs w:val="16"/>
        </w:rPr>
        <w:t xml:space="preserve"> тов</w:t>
      </w:r>
      <w:r w:rsidRPr="008127F8">
        <w:rPr>
          <w:rFonts w:ascii="Times New Roman" w:hAnsi="Times New Roman"/>
          <w:color w:val="000000" w:themeColor="text1"/>
          <w:sz w:val="16"/>
          <w:szCs w:val="16"/>
        </w:rPr>
        <w:t>.Селезнева подготовить доклад на имя</w:t>
      </w:r>
      <w:r w:rsidRPr="008127F8">
        <w:rPr>
          <w:rStyle w:val="CenturySchoolbook85pt0pt"/>
          <w:rFonts w:ascii="Times New Roman" w:hAnsi="Times New Roman" w:cs="Times New Roman"/>
          <w:smallCaps w:val="0"/>
          <w:color w:val="000000" w:themeColor="text1"/>
          <w:spacing w:val="0"/>
          <w:sz w:val="16"/>
          <w:szCs w:val="16"/>
        </w:rPr>
        <w:t xml:space="preserve"> тсе</w:t>
      </w:r>
      <w:r w:rsidRPr="008127F8">
        <w:rPr>
          <w:rFonts w:ascii="Times New Roman" w:hAnsi="Times New Roman"/>
          <w:color w:val="000000" w:themeColor="text1"/>
          <w:sz w:val="16"/>
          <w:szCs w:val="16"/>
        </w:rPr>
        <w:t>.Сталина и проекты Постановлений ГОКО по вопросам обеспечения ВВС КА запчастями и ремонтом.</w:t>
      </w:r>
    </w:p>
    <w:p w14:paraId="18743D2F"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начальника ГУ заказов и техснабмения ВВС КА бригинженера тов.Селезнева совместно с НКАП в двухдневный срок рассмотреть заявку на вапчасти по самолетам и моторам на второй квартал т.г. и добиться немедленной ее реализации, на</w:t>
      </w:r>
      <w:r w:rsidRPr="008127F8">
        <w:rPr>
          <w:rFonts w:ascii="Times New Roman" w:hAnsi="Times New Roman"/>
          <w:color w:val="000000" w:themeColor="text1"/>
          <w:sz w:val="16"/>
          <w:szCs w:val="16"/>
        </w:rPr>
        <w:softHyphen/>
        <w:t xml:space="preserve">чиная с апреля месяца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года.</w:t>
      </w:r>
    </w:p>
    <w:p w14:paraId="3E5BE42E"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9.Соянать главного инженера ВВС КА генерал-лейтенанта авиации</w:t>
      </w:r>
      <w:r w:rsidRPr="008127F8">
        <w:rPr>
          <w:rStyle w:val="CenturySchoolbook85pt0pt"/>
          <w:rFonts w:ascii="Times New Roman" w:hAnsi="Times New Roman" w:cs="Times New Roman"/>
          <w:smallCaps w:val="0"/>
          <w:color w:val="000000" w:themeColor="text1"/>
          <w:spacing w:val="0"/>
          <w:sz w:val="16"/>
          <w:szCs w:val="16"/>
        </w:rPr>
        <w:t xml:space="preserve"> </w:t>
      </w:r>
      <w:r w:rsidR="00A61A9A" w:rsidRPr="008127F8">
        <w:rPr>
          <w:rStyle w:val="CenturySchoolbook85pt0pt"/>
          <w:rFonts w:ascii="Times New Roman" w:hAnsi="Times New Roman" w:cs="Times New Roman"/>
          <w:smallCaps w:val="0"/>
          <w:color w:val="000000" w:themeColor="text1"/>
          <w:spacing w:val="0"/>
          <w:sz w:val="16"/>
          <w:szCs w:val="16"/>
        </w:rPr>
        <w:t>т</w:t>
      </w:r>
      <w:r w:rsidRPr="008127F8">
        <w:rPr>
          <w:rStyle w:val="CenturySchoolbook85pt0pt"/>
          <w:rFonts w:ascii="Times New Roman" w:hAnsi="Times New Roman" w:cs="Times New Roman"/>
          <w:smallCaps w:val="0"/>
          <w:color w:val="000000" w:themeColor="text1"/>
          <w:spacing w:val="0"/>
          <w:sz w:val="16"/>
          <w:szCs w:val="16"/>
          <w:lang w:val="en-US"/>
        </w:rPr>
        <w:t>o</w:t>
      </w:r>
      <w:r w:rsidRPr="008127F8">
        <w:rPr>
          <w:rStyle w:val="CenturySchoolbook85pt0pt"/>
          <w:rFonts w:ascii="Times New Roman" w:hAnsi="Times New Roman" w:cs="Times New Roman"/>
          <w:smallCaps w:val="0"/>
          <w:color w:val="000000" w:themeColor="text1"/>
          <w:spacing w:val="0"/>
          <w:sz w:val="16"/>
          <w:szCs w:val="16"/>
        </w:rPr>
        <w:t>в</w:t>
      </w:r>
      <w:r w:rsidRPr="008127F8">
        <w:rPr>
          <w:rFonts w:ascii="Times New Roman" w:hAnsi="Times New Roman"/>
          <w:color w:val="000000" w:themeColor="text1"/>
          <w:sz w:val="16"/>
          <w:szCs w:val="16"/>
        </w:rPr>
        <w:t>.Петрова:</w:t>
      </w:r>
    </w:p>
    <w:p w14:paraId="664D83B6" w14:textId="77777777" w:rsidR="00C41094" w:rsidRPr="008127F8" w:rsidRDefault="00C41094"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а)улучзить</w:t>
      </w:r>
      <w:proofErr w:type="gramEnd"/>
      <w:r w:rsidRPr="008127F8">
        <w:rPr>
          <w:rFonts w:ascii="Times New Roman" w:hAnsi="Times New Roman"/>
          <w:color w:val="000000" w:themeColor="text1"/>
          <w:sz w:val="16"/>
          <w:szCs w:val="16"/>
        </w:rPr>
        <w:t xml:space="preserve"> организацию труда в мастерских ВВС КА и по</w:t>
      </w:r>
      <w:r w:rsidRPr="008127F8">
        <w:rPr>
          <w:rFonts w:ascii="Times New Roman" w:hAnsi="Times New Roman"/>
          <w:color w:val="000000" w:themeColor="text1"/>
          <w:sz w:val="16"/>
          <w:szCs w:val="16"/>
        </w:rPr>
        <w:softHyphen/>
        <w:t>высить качество выпускаемых ими из ремонта самолетов и мото</w:t>
      </w:r>
      <w:r w:rsidRPr="008127F8">
        <w:rPr>
          <w:rFonts w:ascii="Times New Roman" w:hAnsi="Times New Roman"/>
          <w:color w:val="000000" w:themeColor="text1"/>
          <w:sz w:val="16"/>
          <w:szCs w:val="16"/>
        </w:rPr>
        <w:softHyphen/>
        <w:t>ров;</w:t>
      </w:r>
    </w:p>
    <w:p w14:paraId="46C2D680" w14:textId="77777777" w:rsidR="00C41094" w:rsidRPr="008127F8" w:rsidRDefault="00C41094"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б)улучшить</w:t>
      </w:r>
      <w:proofErr w:type="gramEnd"/>
      <w:r w:rsidRPr="008127F8">
        <w:rPr>
          <w:rFonts w:ascii="Times New Roman" w:hAnsi="Times New Roman"/>
          <w:color w:val="000000" w:themeColor="text1"/>
          <w:sz w:val="16"/>
          <w:szCs w:val="16"/>
        </w:rPr>
        <w:t xml:space="preserve"> службу эксплоатации в частях ВВС КА; в)ускорить выпуск специальных инструкций для всех ти</w:t>
      </w:r>
      <w:r w:rsidRPr="008127F8">
        <w:rPr>
          <w:rFonts w:ascii="Times New Roman" w:hAnsi="Times New Roman"/>
          <w:color w:val="000000" w:themeColor="text1"/>
          <w:sz w:val="16"/>
          <w:szCs w:val="16"/>
        </w:rPr>
        <w:softHyphen/>
      </w:r>
    </w:p>
    <w:p w14:paraId="3BABD03B"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 самолетов по типу инструкции самолета Лл-2.</w:t>
      </w:r>
    </w:p>
    <w:p w14:paraId="49603835"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10.Обязать Начальника ГУ заказов и техснабжения ВВС КА бригинженера Селезнева организовать быструю доставку запчастей </w:t>
      </w:r>
      <w:r w:rsidRPr="008127F8">
        <w:rPr>
          <w:rStyle w:val="CenturySchoolbook85pt0pt"/>
          <w:rFonts w:ascii="Times New Roman" w:hAnsi="Times New Roman" w:cs="Times New Roman"/>
          <w:smallCaps w:val="0"/>
          <w:color w:val="000000" w:themeColor="text1"/>
          <w:spacing w:val="0"/>
          <w:sz w:val="16"/>
          <w:szCs w:val="16"/>
        </w:rPr>
        <w:t>е</w:t>
      </w:r>
      <w:r w:rsidRPr="008127F8">
        <w:rPr>
          <w:rFonts w:ascii="Times New Roman" w:hAnsi="Times New Roman"/>
          <w:color w:val="000000" w:themeColor="text1"/>
          <w:sz w:val="16"/>
          <w:szCs w:val="16"/>
        </w:rPr>
        <w:t xml:space="preserve"> реморганы.</w:t>
      </w:r>
    </w:p>
    <w:p w14:paraId="0B591BC1" w14:textId="77777777" w:rsidR="00C41094" w:rsidRPr="008127F8" w:rsidRDefault="00C4109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Н.Обяэать начальника Управления Кадров ВВС КА бриг- инженера</w:t>
      </w:r>
      <w:r w:rsidRPr="008127F8">
        <w:rPr>
          <w:rStyle w:val="CenturySchoolbook85pt0pt"/>
          <w:rFonts w:ascii="Times New Roman" w:hAnsi="Times New Roman" w:cs="Times New Roman"/>
          <w:smallCaps w:val="0"/>
          <w:color w:val="000000" w:themeColor="text1"/>
          <w:spacing w:val="0"/>
          <w:sz w:val="16"/>
          <w:szCs w:val="16"/>
        </w:rPr>
        <w:t xml:space="preserve"> </w:t>
      </w:r>
      <w:proofErr w:type="gramStart"/>
      <w:r w:rsidRPr="008127F8">
        <w:rPr>
          <w:rStyle w:val="CenturySchoolbook85pt0pt"/>
          <w:rFonts w:ascii="Times New Roman" w:hAnsi="Times New Roman" w:cs="Times New Roman"/>
          <w:smallCaps w:val="0"/>
          <w:color w:val="000000" w:themeColor="text1"/>
          <w:spacing w:val="0"/>
          <w:sz w:val="16"/>
          <w:szCs w:val="16"/>
        </w:rPr>
        <w:t>тсе</w:t>
      </w:r>
      <w:r w:rsidRPr="008127F8">
        <w:rPr>
          <w:rFonts w:ascii="Times New Roman" w:hAnsi="Times New Roman"/>
          <w:color w:val="000000" w:themeColor="text1"/>
          <w:sz w:val="16"/>
          <w:szCs w:val="16"/>
        </w:rPr>
        <w:t>.Орехова</w:t>
      </w:r>
      <w:proofErr w:type="gramEnd"/>
      <w:r w:rsidRPr="008127F8">
        <w:rPr>
          <w:rFonts w:ascii="Times New Roman" w:hAnsi="Times New Roman"/>
          <w:color w:val="000000" w:themeColor="text1"/>
          <w:sz w:val="16"/>
          <w:szCs w:val="16"/>
        </w:rPr>
        <w:t xml:space="preserve"> укомплектовать личным составом Управле</w:t>
      </w:r>
      <w:r w:rsidRPr="008127F8">
        <w:rPr>
          <w:rFonts w:ascii="Times New Roman" w:hAnsi="Times New Roman"/>
          <w:color w:val="000000" w:themeColor="text1"/>
          <w:sz w:val="16"/>
          <w:szCs w:val="16"/>
        </w:rPr>
        <w:softHyphen/>
        <w:t xml:space="preserve">ния Технической Эксплоатации и Ремонта после их разделения к 15 апреля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 (19323).</w:t>
      </w:r>
    </w:p>
    <w:p w14:paraId="748A6E10" w14:textId="77777777" w:rsidR="00C41094" w:rsidRPr="008127F8" w:rsidRDefault="00C41094"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5366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апреля 1942 г. Постановление ГКО СССР № 1527сс «О ходе и состоянии ремонта самолетов и моторов в Военно-воздушных силах Красной армии»</w:t>
      </w:r>
    </w:p>
    <w:p w14:paraId="40E555D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91B61C4"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25 марта 1942 г. в частях ВВС КА имеется 4938 неисправных самолетов и 9752 неисправных мотора. Отход в ремонт материальной части происходит в большинстве своем по дефектам монтажа и производства самолетов, моторов и по вине летно-технической эксплуатации, вызывающих поломки и аварии материальной части. Основной причиной задержки восстановления самолетов и особенно моторов является явная необеспеченность ВВС необходимыми запасными частями и материалами, ставящая под угрозу срыва ремонт материальной части ВВС. По ремонту матчасти в последнее время проделана большая работа, но этот ремонт шел главным образом за счет старых запасов, которые на сегодня иссякли. Отсюда: если не будут приняты решительные меры по ремонту материальной части самолетов, и главным образом моторов, это приведет боевой самолетно-моторный парк к катастрофическому положению. Исходя из этого, Государственный комитет обороны постановляет:</w:t>
      </w:r>
    </w:p>
    <w:p w14:paraId="6A826050"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НКАП (т. Шахурина): а) изготовить и сдать запчасти к самолетам и моторам в 1942 г. согласно заявке ВВС КА и организовать производственную базу для их изготовления; б) улучшить качество ремонта, особенно моторов.</w:t>
      </w:r>
    </w:p>
    <w:p w14:paraId="26B5BB2D"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Госплан Союза ССР (т. Сабурова) выделить необходимые фонды материалы, потребные авиамастерским для изготовления запасных частей и ремонта гериальной части.</w:t>
      </w:r>
    </w:p>
    <w:p w14:paraId="24DA6638"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 Обязать Наркомвнешторг приобрести за границей 15 шт. внутришлифовальх станков и 30 комплектов агрегатов для хромирования.</w:t>
      </w:r>
    </w:p>
    <w:p w14:paraId="69904703"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Разрешить НКО бронировать до конца войны из числа вольнонаемного состава производственных рабочих, инженерно-технических работников и вспомогательх рабочих, начиная со 2-го разряда тарифной сетки.</w:t>
      </w:r>
    </w:p>
    <w:p w14:paraId="5F0121AB"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Разрешить НКО питать вольнонаемных специалистов мастерских на фронте нормам красноармейского пайка за плату согласно приложению № 3 приказа НКО 312 1941 г., а работающих в тыловых авиамастерских перевести на продснабжение нормам рабочих военной промышленности.</w:t>
      </w:r>
    </w:p>
    <w:p w14:paraId="49758652"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Утвердить разработанную ВВС КА премиальную систему оплаты за выпуск самолетов и моторов из ремонта.</w:t>
      </w:r>
    </w:p>
    <w:p w14:paraId="3CAED287"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главного инженера ВВС КА генерал-лейтенанта авиации т. Петрова  [ачальника ГУ заказов и технического снабжения ВВС КА, бриг[адного] инженера Селезнева подготовить доклад на имя т. Сталина и проекты постановлений ГОКО по вопросам обеспечения ВВС КА запчастями и ремонтом.</w:t>
      </w:r>
    </w:p>
    <w:p w14:paraId="19CF5D9C"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начальника ГУ заказов и техснабжения ВВС КА, бриг[адного] инженера Селезнева совместно с НКАП в двухдневный срок рассмотреть заявку на запчасти самолетам и моторам на II квартал текущего года и добиться немедленной ее реалиции начиная с апреля месяца 1942 г.</w:t>
      </w:r>
    </w:p>
    <w:p w14:paraId="4346F7F9"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главного инженера ВВС КА генерал-лейтенанта авиации т. Петрова: улучшить организацию труда в мастерских ВВС КА и повысить качество выпускаех ими из ремонта самолетов и моторов; б) улучшить службу эксплуатации в частях ВВC КА; в) ускорить выпуск специальных инструкций для всех типов самолетов по типу инструкции самолета Ил-2.</w:t>
      </w:r>
    </w:p>
    <w:p w14:paraId="14A3DE2E"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10. Обязать начальника ГУ заказов и техснабжения ВВС КА бриг[адного] инжера т. Селезнева организовать быструю доставку запчастей </w:t>
      </w:r>
      <w:proofErr w:type="gramStart"/>
      <w:r w:rsidRPr="008A2E5A">
        <w:rPr>
          <w:rFonts w:ascii="Times New Roman" w:hAnsi="Times New Roman"/>
          <w:color w:val="0070C0"/>
          <w:sz w:val="16"/>
          <w:szCs w:val="16"/>
        </w:rPr>
        <w:t>в рем</w:t>
      </w:r>
      <w:proofErr w:type="gramEnd"/>
      <w:r w:rsidRPr="008A2E5A">
        <w:rPr>
          <w:rFonts w:ascii="Times New Roman" w:hAnsi="Times New Roman"/>
          <w:color w:val="0070C0"/>
          <w:sz w:val="16"/>
          <w:szCs w:val="16"/>
        </w:rPr>
        <w:t>[онтные] органы.</w:t>
      </w:r>
    </w:p>
    <w:p w14:paraId="6D8F5291"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Обязать начальника Управления кадров ВВС КА бриг[адного] инженера Орехова укомплектовать личным составом управления технической эксплуатации и ремонта после их разделения к 15 апреля 1942 г.</w:t>
      </w:r>
    </w:p>
    <w:p w14:paraId="2E5F65EF"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1CD652F9"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26. Л. 76-77. Подлинник (23913).</w:t>
      </w:r>
    </w:p>
    <w:p w14:paraId="6539E96E" w14:textId="77777777" w:rsidR="00CF1221" w:rsidRPr="008A2E5A" w:rsidRDefault="00CF1221" w:rsidP="00CF1221">
      <w:pPr>
        <w:spacing w:after="0" w:line="240" w:lineRule="auto"/>
        <w:jc w:val="both"/>
        <w:rPr>
          <w:rFonts w:ascii="Times New Roman" w:hAnsi="Times New Roman"/>
          <w:color w:val="0070C0"/>
          <w:sz w:val="16"/>
          <w:szCs w:val="16"/>
        </w:rPr>
      </w:pPr>
    </w:p>
    <w:p w14:paraId="7DAD496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BE6F7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A90B13"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г.</w:t>
      </w:r>
    </w:p>
    <w:p w14:paraId="7E1ABF3A" w14:textId="6F588F6B"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87 лист 78 – 80</w:t>
      </w:r>
      <w:r w:rsidR="008127F8">
        <w:rPr>
          <w:rFonts w:ascii="Times New Roman" w:hAnsi="Times New Roman"/>
          <w:color w:val="000000" w:themeColor="text1"/>
          <w:sz w:val="16"/>
          <w:szCs w:val="16"/>
        </w:rPr>
        <w:t xml:space="preserve">  </w:t>
      </w:r>
    </w:p>
    <w:p w14:paraId="6327006A" w14:textId="3F69E08D"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6A47D585"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60D7488C"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КОМИССАРА ТАНКОВОЙ ПРОМЫШЛЕННОСТИ СОЮЗА ССР</w:t>
      </w:r>
    </w:p>
    <w:p w14:paraId="3E071F04"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319c</w:t>
      </w:r>
    </w:p>
    <w:p w14:paraId="323DB578"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4678E58"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г.</w:t>
      </w:r>
    </w:p>
    <w:p w14:paraId="13CC7FF7" w14:textId="1604E82B"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усиления руководства технологией производства бронелиста, броневого литья и бронекорпусов на всех заводах Наркомата, а также в целях координации всех вопросов, связанных с обеспечением заводов бронелистом, – ПРИКАЗЫВАЮ:</w:t>
      </w:r>
      <w:r w:rsidR="008127F8">
        <w:rPr>
          <w:rFonts w:ascii="Times New Roman" w:hAnsi="Times New Roman"/>
          <w:color w:val="000000" w:themeColor="text1"/>
          <w:sz w:val="16"/>
          <w:szCs w:val="16"/>
        </w:rPr>
        <w:t xml:space="preserve">  </w:t>
      </w:r>
    </w:p>
    <w:p w14:paraId="2755F0D6" w14:textId="4BDB704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Передать в состав 3 Главного управления НКТП завод № 200, установив, что в состав 3 Главного управления входят:</w:t>
      </w:r>
      <w:r w:rsidR="008127F8">
        <w:rPr>
          <w:rFonts w:ascii="Times New Roman" w:hAnsi="Times New Roman"/>
          <w:color w:val="000000" w:themeColor="text1"/>
          <w:sz w:val="16"/>
          <w:szCs w:val="16"/>
        </w:rPr>
        <w:t xml:space="preserve">  </w:t>
      </w:r>
    </w:p>
    <w:p w14:paraId="27050DDF" w14:textId="0F369D09"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 176</w:t>
      </w:r>
      <w:r w:rsidR="008127F8">
        <w:rPr>
          <w:rFonts w:ascii="Times New Roman" w:hAnsi="Times New Roman"/>
          <w:color w:val="000000" w:themeColor="text1"/>
          <w:sz w:val="16"/>
          <w:szCs w:val="16"/>
        </w:rPr>
        <w:t xml:space="preserve">  </w:t>
      </w:r>
    </w:p>
    <w:p w14:paraId="07F1EC79" w14:textId="6EFDCDB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 № 177</w:t>
      </w:r>
      <w:r w:rsidR="008127F8">
        <w:rPr>
          <w:rFonts w:ascii="Times New Roman" w:hAnsi="Times New Roman"/>
          <w:color w:val="000000" w:themeColor="text1"/>
          <w:sz w:val="16"/>
          <w:szCs w:val="16"/>
        </w:rPr>
        <w:t xml:space="preserve">  </w:t>
      </w:r>
    </w:p>
    <w:p w14:paraId="670983DE" w14:textId="705AE975"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 № 178</w:t>
      </w:r>
      <w:r w:rsidR="008127F8">
        <w:rPr>
          <w:rFonts w:ascii="Times New Roman" w:hAnsi="Times New Roman"/>
          <w:color w:val="000000" w:themeColor="text1"/>
          <w:sz w:val="16"/>
          <w:szCs w:val="16"/>
        </w:rPr>
        <w:t xml:space="preserve">  </w:t>
      </w:r>
    </w:p>
    <w:p w14:paraId="7314D867" w14:textId="253D9F79"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Завод № 180</w:t>
      </w:r>
      <w:r w:rsidR="008127F8">
        <w:rPr>
          <w:rFonts w:ascii="Times New Roman" w:hAnsi="Times New Roman"/>
          <w:color w:val="000000" w:themeColor="text1"/>
          <w:sz w:val="16"/>
          <w:szCs w:val="16"/>
        </w:rPr>
        <w:t xml:space="preserve">  </w:t>
      </w:r>
    </w:p>
    <w:p w14:paraId="01BED1D2" w14:textId="675A38FC"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Завод № 200</w:t>
      </w:r>
      <w:r w:rsidR="008127F8">
        <w:rPr>
          <w:rFonts w:ascii="Times New Roman" w:hAnsi="Times New Roman"/>
          <w:color w:val="000000" w:themeColor="text1"/>
          <w:sz w:val="16"/>
          <w:szCs w:val="16"/>
        </w:rPr>
        <w:t xml:space="preserve">  </w:t>
      </w:r>
    </w:p>
    <w:p w14:paraId="10841612" w14:textId="0A1CFB94"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НИИ-48</w:t>
      </w:r>
      <w:r w:rsidR="008127F8">
        <w:rPr>
          <w:rFonts w:ascii="Times New Roman" w:hAnsi="Times New Roman"/>
          <w:color w:val="000000" w:themeColor="text1"/>
          <w:sz w:val="16"/>
          <w:szCs w:val="16"/>
        </w:rPr>
        <w:t xml:space="preserve">  </w:t>
      </w:r>
    </w:p>
    <w:p w14:paraId="364F6D89" w14:textId="40040303"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Ижорский ордена Ленина завод (Колпино)</w:t>
      </w:r>
      <w:r w:rsidR="008127F8">
        <w:rPr>
          <w:rFonts w:ascii="Times New Roman" w:hAnsi="Times New Roman"/>
          <w:color w:val="000000" w:themeColor="text1"/>
          <w:sz w:val="16"/>
          <w:szCs w:val="16"/>
        </w:rPr>
        <w:t xml:space="preserve">  </w:t>
      </w:r>
    </w:p>
    <w:p w14:paraId="2029E5B5" w14:textId="60BE3B35"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Мариупольский завод им. Ильича.</w:t>
      </w:r>
      <w:r w:rsidR="008127F8">
        <w:rPr>
          <w:rFonts w:ascii="Times New Roman" w:hAnsi="Times New Roman"/>
          <w:color w:val="000000" w:themeColor="text1"/>
          <w:sz w:val="16"/>
          <w:szCs w:val="16"/>
        </w:rPr>
        <w:t xml:space="preserve">  </w:t>
      </w:r>
    </w:p>
    <w:p w14:paraId="025E086E" w14:textId="7457F4A1"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Кроме выполнений функций главка по отношению к предприятиям, входящим в состав главка, возложить на 3-е Главное управление:</w:t>
      </w:r>
      <w:r w:rsidR="008127F8">
        <w:rPr>
          <w:rFonts w:ascii="Times New Roman" w:hAnsi="Times New Roman"/>
          <w:color w:val="000000" w:themeColor="text1"/>
          <w:sz w:val="16"/>
          <w:szCs w:val="16"/>
        </w:rPr>
        <w:t xml:space="preserve">  </w:t>
      </w:r>
    </w:p>
    <w:p w14:paraId="6C7615DC" w14:textId="4BFBAA0D"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планирование потребления бронелиста;</w:t>
      </w:r>
      <w:r w:rsidR="008127F8">
        <w:rPr>
          <w:rFonts w:ascii="Times New Roman" w:hAnsi="Times New Roman"/>
          <w:color w:val="000000" w:themeColor="text1"/>
          <w:sz w:val="16"/>
          <w:szCs w:val="16"/>
        </w:rPr>
        <w:t xml:space="preserve">  </w:t>
      </w:r>
    </w:p>
    <w:p w14:paraId="09319815" w14:textId="6D6EF5C6"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согласование с поставщиками всех вопросов, связанных с поставкой бронелиста и дачу оперативных указаний заводам по поставкам, и в необходимых случаях, перераспределению бронелиста;</w:t>
      </w:r>
      <w:r w:rsidR="008127F8">
        <w:rPr>
          <w:rFonts w:ascii="Times New Roman" w:hAnsi="Times New Roman"/>
          <w:color w:val="000000" w:themeColor="text1"/>
          <w:sz w:val="16"/>
          <w:szCs w:val="16"/>
        </w:rPr>
        <w:t xml:space="preserve">  </w:t>
      </w:r>
    </w:p>
    <w:p w14:paraId="4EA40B1C" w14:textId="70228E38"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утверждение технологических инструкций по выплавке брони и металлургической обработке брони и бронеизделий и руководство технологией производства бронелиста, броневого литья и бронекорпусов;</w:t>
      </w:r>
      <w:r w:rsidR="008127F8">
        <w:rPr>
          <w:rFonts w:ascii="Times New Roman" w:hAnsi="Times New Roman"/>
          <w:color w:val="000000" w:themeColor="text1"/>
          <w:sz w:val="16"/>
          <w:szCs w:val="16"/>
        </w:rPr>
        <w:t xml:space="preserve">  </w:t>
      </w:r>
    </w:p>
    <w:p w14:paraId="064B14D5" w14:textId="1B4FA5B8"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утверждение обязательных норм расхода материалов для выплавки брони и расходных коэффициентов по бронелисту;</w:t>
      </w:r>
      <w:r w:rsidR="008127F8">
        <w:rPr>
          <w:rFonts w:ascii="Times New Roman" w:hAnsi="Times New Roman"/>
          <w:color w:val="000000" w:themeColor="text1"/>
          <w:sz w:val="16"/>
          <w:szCs w:val="16"/>
        </w:rPr>
        <w:t xml:space="preserve">  </w:t>
      </w:r>
    </w:p>
    <w:p w14:paraId="096AD2D3" w14:textId="4F9172C4"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разработку, согласование и представление на утверждение общих технических условий на бронелист и бронеизделия, а также дачу заводам оперативных руководящих указаний по применению технических условий и согласование с поставщиками и заказчиками отдельных вопросов по техническим условиям, не требующих последующего утверждения;</w:t>
      </w:r>
      <w:r w:rsidR="008127F8">
        <w:rPr>
          <w:rFonts w:ascii="Times New Roman" w:hAnsi="Times New Roman"/>
          <w:color w:val="000000" w:themeColor="text1"/>
          <w:sz w:val="16"/>
          <w:szCs w:val="16"/>
        </w:rPr>
        <w:t xml:space="preserve">  </w:t>
      </w:r>
    </w:p>
    <w:p w14:paraId="622698E8" w14:textId="282BD82B"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обязательное участие в решении всех вопросов, связанных с конструкцией бронекорпусов;</w:t>
      </w:r>
      <w:r w:rsidR="008127F8">
        <w:rPr>
          <w:rFonts w:ascii="Times New Roman" w:hAnsi="Times New Roman"/>
          <w:color w:val="000000" w:themeColor="text1"/>
          <w:sz w:val="16"/>
          <w:szCs w:val="16"/>
        </w:rPr>
        <w:t xml:space="preserve">  </w:t>
      </w:r>
    </w:p>
    <w:p w14:paraId="7DC4D538" w14:textId="5B1C8618"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организацию и руководство работами по изысканию новых марок броневой стали, по разработке новых типов брони, бронеизделий и по разработке новых технологических процессов бронепроизводства и рационализации существующих.</w:t>
      </w:r>
      <w:r w:rsidR="008127F8">
        <w:rPr>
          <w:rFonts w:ascii="Times New Roman" w:hAnsi="Times New Roman"/>
          <w:color w:val="000000" w:themeColor="text1"/>
          <w:sz w:val="16"/>
          <w:szCs w:val="16"/>
        </w:rPr>
        <w:t xml:space="preserve">  </w:t>
      </w:r>
    </w:p>
    <w:p w14:paraId="0334B67D" w14:textId="772673E8"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директоров всех заводов Наркомата по требованию 3 Главного управления представлять все необходимые материалы для исполнения возложенных на 3 Главное управление задач, и принимать к исполнению все вытекающие из этого указания. В частности, для обеспечения правильного и своевременного снабжения бронелистом:</w:t>
      </w:r>
      <w:r w:rsidR="008127F8">
        <w:rPr>
          <w:rFonts w:ascii="Times New Roman" w:hAnsi="Times New Roman"/>
          <w:color w:val="000000" w:themeColor="text1"/>
          <w:sz w:val="16"/>
          <w:szCs w:val="16"/>
        </w:rPr>
        <w:t xml:space="preserve">  </w:t>
      </w:r>
    </w:p>
    <w:p w14:paraId="184997AE" w14:textId="4DD17B01"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телеграфно сообщать 3 Главному управлению 1 и 15 числа каждого месяца наличие в тоннах бронелиста на складе, наличие в комплектах брони во всех стадиях производства, наличие готовых корпусов и наличие в тоннах брони, находящейся в пути. Дополнительно первого числа каждого месяца сообщать о наличии бронелиста </w:t>
      </w:r>
      <w:proofErr w:type="gramStart"/>
      <w:r w:rsidRPr="008127F8">
        <w:rPr>
          <w:rFonts w:ascii="Times New Roman" w:hAnsi="Times New Roman"/>
          <w:color w:val="000000" w:themeColor="text1"/>
          <w:sz w:val="16"/>
          <w:szCs w:val="16"/>
        </w:rPr>
        <w:t>на склада</w:t>
      </w:r>
      <w:proofErr w:type="gramEnd"/>
      <w:r w:rsidRPr="008127F8">
        <w:rPr>
          <w:rFonts w:ascii="Times New Roman" w:hAnsi="Times New Roman"/>
          <w:color w:val="000000" w:themeColor="text1"/>
          <w:sz w:val="16"/>
          <w:szCs w:val="16"/>
        </w:rPr>
        <w:t xml:space="preserve"> по толщинам, отдельно указывая бронелист, не могущий быть использованным;</w:t>
      </w:r>
      <w:r w:rsidR="008127F8">
        <w:rPr>
          <w:rFonts w:ascii="Times New Roman" w:hAnsi="Times New Roman"/>
          <w:color w:val="000000" w:themeColor="text1"/>
          <w:sz w:val="16"/>
          <w:szCs w:val="16"/>
        </w:rPr>
        <w:t xml:space="preserve">  </w:t>
      </w:r>
    </w:p>
    <w:p w14:paraId="5A4C9F84" w14:textId="61DCDDA8"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первого числа каждого месяца сообщать 3 Главному управлению фактические расходные коэффициенты по бронелисту;</w:t>
      </w:r>
      <w:r w:rsidR="008127F8">
        <w:rPr>
          <w:rFonts w:ascii="Times New Roman" w:hAnsi="Times New Roman"/>
          <w:color w:val="000000" w:themeColor="text1"/>
          <w:sz w:val="16"/>
          <w:szCs w:val="16"/>
        </w:rPr>
        <w:t xml:space="preserve">  </w:t>
      </w:r>
    </w:p>
    <w:p w14:paraId="4890695D" w14:textId="697A0162"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направлять в 3 Главное управление одновременно с направлением поставщикам спецификации и раскрой по бронелисту и сообщать о всех изменениях, вносимых заводом в спецификации.</w:t>
      </w:r>
      <w:r w:rsidR="008127F8">
        <w:rPr>
          <w:rFonts w:ascii="Times New Roman" w:hAnsi="Times New Roman"/>
          <w:color w:val="000000" w:themeColor="text1"/>
          <w:sz w:val="16"/>
          <w:szCs w:val="16"/>
        </w:rPr>
        <w:t xml:space="preserve">  </w:t>
      </w:r>
    </w:p>
    <w:p w14:paraId="6726E987" w14:textId="300A2B8C"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что для бесперебойного снабжения заводов бронелистом:</w:t>
      </w:r>
      <w:r w:rsidR="008127F8">
        <w:rPr>
          <w:rFonts w:ascii="Times New Roman" w:hAnsi="Times New Roman"/>
          <w:color w:val="000000" w:themeColor="text1"/>
          <w:sz w:val="16"/>
          <w:szCs w:val="16"/>
        </w:rPr>
        <w:t xml:space="preserve">  </w:t>
      </w:r>
    </w:p>
    <w:p w14:paraId="5AD9CA97" w14:textId="49513AF6"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Главснаб НКТП обязан через своих уполномоченных на заводах-поставщиках принимать меры </w:t>
      </w:r>
      <w:proofErr w:type="gramStart"/>
      <w:r w:rsidRPr="008127F8">
        <w:rPr>
          <w:rFonts w:ascii="Times New Roman" w:hAnsi="Times New Roman"/>
          <w:color w:val="000000" w:themeColor="text1"/>
          <w:sz w:val="16"/>
          <w:szCs w:val="16"/>
        </w:rPr>
        <w:t>к быстрейшей отгрузки</w:t>
      </w:r>
      <w:proofErr w:type="gramEnd"/>
      <w:r w:rsidRPr="008127F8">
        <w:rPr>
          <w:rFonts w:ascii="Times New Roman" w:hAnsi="Times New Roman"/>
          <w:color w:val="000000" w:themeColor="text1"/>
          <w:sz w:val="16"/>
          <w:szCs w:val="16"/>
        </w:rPr>
        <w:t xml:space="preserve"> бронелиста и сообщать 3 Главному управлению полученные телеграфные донесения, как об отгрузке бронелиста, так и о всех задержках в реализации нарядов на бронелист;</w:t>
      </w:r>
      <w:r w:rsidR="008127F8">
        <w:rPr>
          <w:rFonts w:ascii="Times New Roman" w:hAnsi="Times New Roman"/>
          <w:color w:val="000000" w:themeColor="text1"/>
          <w:sz w:val="16"/>
          <w:szCs w:val="16"/>
        </w:rPr>
        <w:t xml:space="preserve">  </w:t>
      </w:r>
    </w:p>
    <w:p w14:paraId="703DE7EE" w14:textId="29F85E2C"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Транспортный отдел НКТП – обязан принимать меры к быстрейшему продвижению вагонов с бронелистом.</w:t>
      </w:r>
      <w:r w:rsidR="008127F8">
        <w:rPr>
          <w:rFonts w:ascii="Times New Roman" w:hAnsi="Times New Roman"/>
          <w:color w:val="000000" w:themeColor="text1"/>
          <w:sz w:val="16"/>
          <w:szCs w:val="16"/>
        </w:rPr>
        <w:t xml:space="preserve">  </w:t>
      </w:r>
    </w:p>
    <w:p w14:paraId="11F796F1" w14:textId="4456AEC2"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Всем начальникам отделов, распоряжения и приказы, затрагивающие вопросы технологии бронепроизводства, представлять народному комиссару и его заместителям на подпись с визой 3-го Главного управления НКТП.</w:t>
      </w:r>
      <w:r w:rsidR="008127F8">
        <w:rPr>
          <w:rFonts w:ascii="Times New Roman" w:hAnsi="Times New Roman"/>
          <w:color w:val="000000" w:themeColor="text1"/>
          <w:sz w:val="16"/>
          <w:szCs w:val="16"/>
        </w:rPr>
        <w:t xml:space="preserve">  </w:t>
      </w:r>
    </w:p>
    <w:p w14:paraId="62664A3B"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Утвердить штатное расписание Главка в соответствии с п.п. 1 – 2 настоящего приказа.</w:t>
      </w:r>
    </w:p>
    <w:p w14:paraId="093A997F"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ТАНКОВОЙ ПРОМЫШЛЕННОСТИ СССР</w:t>
      </w:r>
    </w:p>
    <w:p w14:paraId="281F4B5F"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А.А. Горегляда (В. МАЛЫШЕВ)</w:t>
      </w:r>
    </w:p>
    <w:p w14:paraId="539B31C2" w14:textId="77777777" w:rsidR="001A4AAA" w:rsidRPr="008127F8" w:rsidRDefault="001A4AA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 1 экз. (18925).</w:t>
      </w:r>
    </w:p>
    <w:p w14:paraId="03D0CCCD" w14:textId="77777777" w:rsidR="001A4AAA" w:rsidRPr="008127F8" w:rsidRDefault="001A4AAA" w:rsidP="001E0A84">
      <w:pPr>
        <w:spacing w:after="0" w:line="240" w:lineRule="auto"/>
        <w:jc w:val="both"/>
        <w:rPr>
          <w:rFonts w:ascii="Times New Roman" w:hAnsi="Times New Roman"/>
          <w:color w:val="000000" w:themeColor="text1"/>
          <w:sz w:val="16"/>
          <w:szCs w:val="16"/>
        </w:rPr>
      </w:pPr>
    </w:p>
    <w:p w14:paraId="7C4D88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1532 О плане производства и поставок артиллерийского и стрелкового вооружения и военных приборов на апрель месяц и II квартал 1942 года. РГАНИР, Фонд ГКО, д. 26, лл. 82-90, 91-125 (11012).</w:t>
      </w:r>
    </w:p>
    <w:p w14:paraId="457966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C96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1533 О плане производства минометов на апрель месяц и II квартал 1942 г. РГАНИР, Фонд ГКО, д. 26, лл. 126-132 (11012).</w:t>
      </w:r>
    </w:p>
    <w:p w14:paraId="5E48CC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F5E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1534 О мероприятиях по обеспечению производства 76 мм танковых пушек ЗИС-5 и 122 мм дивизионных гаубиц М-30 на заводе № 8 Наркомата вооружения в г. Свердловске. РГАНИР, Фонд ГКО, д. 26, лл. 133-136 (11012).</w:t>
      </w:r>
    </w:p>
    <w:p w14:paraId="793B6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BD76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апреля</w:t>
      </w:r>
      <w:r w:rsidRPr="008127F8">
        <w:rPr>
          <w:rFonts w:ascii="Times New Roman" w:hAnsi="Times New Roman"/>
          <w:color w:val="000000" w:themeColor="text1"/>
          <w:sz w:val="16"/>
          <w:szCs w:val="16"/>
        </w:rPr>
        <w:t xml:space="preserve"> в 1942 году организованы: Комиссия Академии Наук СССР по научно-техническим военно-морским вопросам (председатель А.Ф.Иоффе, ученый секретарь И.В.Курчатов) и Комиссия Академии Наук СССР по выявлению дополнительных пищевых ресурсов для фронта и тыла (председатель Л.А.Орбели) (15088).</w:t>
      </w:r>
    </w:p>
    <w:p w14:paraId="33944EC9"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53C37BD7"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 апреля 1942 года на заводе № 592 был готов первый эскизный проект 122-СГ, вместе с еще несколькими проектами КБ завода №592. Шасси, по сравнению с StuG III, не менялось, также частично использовалась рубка. Для того чтобы разместить внутри StuG III гораздо более громоздкую артиллерийскую систему, боевое отделение САУ пришлось переделать. Крышу рубки конструкторы подняли на 100 мм, благодаря чему высота боевого отделения выросла до 1620 мм. В лобовой части рубки появились специальные экраны, благодаря чему толщина брони достигла 70 мм. Благодаря более высокому боевому отделению экипаж, особенно если его составляли низкорослые самоходчики, вполне комфортно мог работать и стоя, что заметно улучшало условия работы. Общая высота машины при этом выросла до 2050 мм по крыше рубки. Таким образом, самоходная установка по-прежнему имела достаточно низкий профиль.</w:t>
      </w:r>
    </w:p>
    <w:p w14:paraId="0D72BE7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принципов разработки САУ являлось минимальное изменение конструкции как шасси, так и орудия. Штатная тумба от 7,5 cm StuK L/24 осталась на месте, поскольку ее прочности хватало для установки более мощной системы. Поскольку у гаубицы М-30 наводка по горизонтали и вертикали производилась раздельно, экипаж вырос. Теперь он составлял 5 человек: механик-водитель, наводчик по горизонтали, наводчик по вертикали, заряжающий и замковой. Откатные механизмы гаубицы прикрыли бронировкой толщиной 30 мм. С бортов также появились экраны толщиной 10 мм, которыми дополнительно прикрыли подвижную бронировку. Более громоздкая, чем 7,5 cm StuK L/24, система не позволяла расчету работать позади нее, впрочем, и у StuG III расчет также располагался по бокам от орудия. За счет увеличения высоты боевого отделения удалось увеличить боекомплект - до 50 выстрелов. Снаряды разместили в двух больших укладках, находившихся в кормовой части боевого отделения.</w:t>
      </w:r>
    </w:p>
    <w:p w14:paraId="0601F9DC"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Расчеты показывали, что боевая масса вырастала на 2,4 тонны, из которых 1200 кг приходилось на гаубицу, 900 кг на боекомплект, и еще 400 кг на дополнительную броню. Максимальная скорость оценивалась в 60 км/ч. Столь оптимистичные данные основывались на том, что при испытаниях Pz.Kpfw.III Ausf.G в 1940 году танк достиг скорости около 70 км/ч. В реальности скорость StuG III составляла 40 км/ч, правда, не у всех модификаций. Например, StuG III Ausf.A все еще оснащались 10-скоростной полуавтоматической коробкой передач Maybach Variorex 328 145, которая была рассчитана на максимальную скорость 67 км/ч. Кроме того, не стоит забывать о том, что в ходе ремонта какие-то узлы могли меняться.</w:t>
      </w:r>
    </w:p>
    <w:p w14:paraId="14DB0E7E"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Сначала проект 122-СГ был представлен на рассмотрение Технического Совета НКВ. Далее, 6 апреля 1942 года, состоялось заседание Артиллерийского Комитета ГАУ КА. Там также одобрили проект 122-СГ, требуя при этом внести некоторые изменение в конструкцию гаубицы. Предполагалось провести дополнительный расчет и, при необходимости, усилить пружины уравновешивающего механизма, поскольку появление бронировки системы увеличило нагрузку. Также требовалось провести расчет усилий на рукоятки механизмов вертикальной и горизонтальной наводки, это также оказалось связано с увеличением нагрузки. Требовалось обеспечить возможность производить спуск наводчику по горизонтали, одновременно исключив возможность стрельбы при отставании в работе наводчика по вертикали. Наконец, орудие получало гильзоулавливатель, это требовалось для обеспечения безопасной работы расчета. Так или иначе, но проект утвердили. 2-й отдел Арткома ГАУ КА просил НКВ определить производственную базу для производства 122-СГ (23368).</w:t>
      </w:r>
    </w:p>
    <w:p w14:paraId="32C7B9A3" w14:textId="77777777" w:rsidR="00CF1221" w:rsidRPr="008A2E5A" w:rsidRDefault="00CF1221" w:rsidP="00CF1221">
      <w:pPr>
        <w:spacing w:after="0" w:line="240" w:lineRule="auto"/>
        <w:jc w:val="both"/>
        <w:rPr>
          <w:rFonts w:ascii="Times New Roman" w:hAnsi="Times New Roman"/>
          <w:color w:val="0070C0"/>
          <w:sz w:val="16"/>
          <w:szCs w:val="16"/>
        </w:rPr>
      </w:pPr>
    </w:p>
    <w:p w14:paraId="57830AAF"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г.</w:t>
      </w:r>
    </w:p>
    <w:p w14:paraId="593DB8A2"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О СОЗДАНИИ В СИСТЕМЕ НАРКОМСУДПРОМА СПЕЦИАЛЬНОГО КОНСТРУКТОРСКОГО БЮРО</w:t>
      </w:r>
    </w:p>
    <w:p w14:paraId="2FE10F9F"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0082</w:t>
      </w:r>
      <w:r w:rsidRPr="008127F8">
        <w:rPr>
          <w:rFonts w:ascii="Times New Roman" w:hAnsi="Times New Roman"/>
          <w:color w:val="000000" w:themeColor="text1"/>
          <w:sz w:val="16"/>
          <w:szCs w:val="16"/>
        </w:rPr>
        <w:tab/>
        <w:t>3 апреля 1942 г.</w:t>
      </w:r>
    </w:p>
    <w:p w14:paraId="68210866"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 ГОКО-1521 сс от 1 апреля 1942 г. постановляет:</w:t>
      </w:r>
    </w:p>
    <w:p w14:paraId="564C0F63"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Создать в системе Наркомсудпрома специальное конструкторское бюро (СКБ-НКСП) по проектированию, изготовлению и испытанию первых образцов и отработке чертежей для серийного производства торпед и мин акустического действия.</w:t>
      </w:r>
    </w:p>
    <w:p w14:paraId="3EF73D1B"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Назначить начальником специального конструкторского бюро Наркомсудпрома тов. Розанова А. А. и ведущими конструкторами тов. Сметанникова Ф. С., тов. Розина М. К. и тов. Чижова В. Д.</w:t>
      </w:r>
    </w:p>
    <w:p w14:paraId="2DEFFD1E"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Возложить на специальное конструкторское бюро НКСП разработку:</w:t>
      </w:r>
    </w:p>
    <w:p w14:paraId="6ACE263D"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самонаправляющей акустической торпеды (CAT), автоматически меняющей свой курс под действием шума вражеского корабля и обеспечивающей обязательное попадание в корабль противника без точного прицельного огня;</w:t>
      </w:r>
    </w:p>
    <w:p w14:paraId="019DD0CC"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авиационно-морской акустической мины (AM), автоматически взрывающейся под действием шума близко проходящего корабля противника.</w:t>
      </w:r>
    </w:p>
    <w:p w14:paraId="1E5FE579"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Наркомсудпром (тов. Носенко) и начальника СКБ НКСП (тов. Розанова):</w:t>
      </w:r>
    </w:p>
    <w:p w14:paraId="5FF311BF"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 июля 1942 г. переделать 5 штук морских торпед образца «53-38» в самонаправляющиеся акустические торпеды (CAT);</w:t>
      </w:r>
    </w:p>
    <w:p w14:paraId="0AFCB9F9"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15 июня 1942 г. изготовить 5 штук авиационно-морских акустических мин.</w:t>
      </w:r>
    </w:p>
    <w:p w14:paraId="1C773EB4"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наркома Военно-Морского Флота ов. Кузнецова и начальника минно-торпедного управления НКВМФ тов. Шибаева:</w:t>
      </w:r>
    </w:p>
    <w:p w14:paraId="25AD508A"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передать СКБ Наркомсудпрома к 15 апреля 1942 г. 5 штук торпед образца «53-38»;</w:t>
      </w:r>
    </w:p>
    <w:p w14:paraId="04F78D1C"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закончить морские испытания торпеды «САТ» к 1 августа 1942 г. и мины «АМ» к 15 июля 1942 г., представить заключение об испытаниях и внести свои предложения в Государственный Комитет Обороны.</w:t>
      </w:r>
    </w:p>
    <w:p w14:paraId="27ED2FE2"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Утвердить мероприятия по организации и обеспечению работ специального конструкторского бюро Наркомсудпрома.</w:t>
      </w:r>
    </w:p>
    <w:p w14:paraId="5152BA3B"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6DBF4E0F"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Начальнику минно-торпедного управления ВМФ:</w:t>
      </w:r>
    </w:p>
    <w:p w14:paraId="5F22937A"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передать СКБ НКСП 5 торпед обр. «53—38» к 15.IV, 42 г. для проведения испытаний на полигоне завода № 182.</w:t>
      </w:r>
    </w:p>
    <w:p w14:paraId="4C809D3D"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закончить морские испытания торпеды «САТ» к 1 августа 1942 г. и мины «АМ» к 15 июля 1942 г., по проведении испытаний материал с заключением комиссии представить мне для доклада ГОКО.</w:t>
      </w:r>
    </w:p>
    <w:p w14:paraId="7D1D18E7"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Начальнику управления связи ВМФ и начальнику МТУ ВМФ прикрепить к СКБ НКСП на все время разработки торпеды «САТ» и мины «АМ» своих специалистов для постоянной консультации и контроля за ходом разработки объектов. Старшим от НКВМФ при СКБ НКСП назначить от МТУ ВМФ военинженера 2 ранга тов. Лязгу нова.</w:t>
      </w:r>
    </w:p>
    <w:p w14:paraId="60515DC3"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Командующему КВФ обеспечить проведение испытаний торпеды «САТ» и мины «АМ» кораблями и плавсредствами в сроки и по программе, утвержденной начальником МТУ ВМФ.</w:t>
      </w:r>
    </w:p>
    <w:p w14:paraId="2C86E7D2"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КУЗНЕЦОВ</w:t>
      </w:r>
    </w:p>
    <w:p w14:paraId="4E781EEE" w14:textId="77777777" w:rsidR="000E3C02" w:rsidRPr="008127F8" w:rsidRDefault="000E3C0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ЦВМА, ф. 79, д. 39806, л. 124—126. Подлинник (20998).</w:t>
      </w:r>
    </w:p>
    <w:p w14:paraId="714780C7" w14:textId="77777777" w:rsidR="000E3C02" w:rsidRPr="008127F8" w:rsidRDefault="000E3C02" w:rsidP="001E0A84">
      <w:pPr>
        <w:spacing w:after="0" w:line="240" w:lineRule="auto"/>
        <w:jc w:val="both"/>
        <w:rPr>
          <w:rFonts w:ascii="Times New Roman" w:hAnsi="Times New Roman"/>
          <w:color w:val="000000" w:themeColor="text1"/>
          <w:sz w:val="16"/>
          <w:szCs w:val="16"/>
        </w:rPr>
      </w:pPr>
    </w:p>
    <w:p w14:paraId="4E61E44F"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апреля 1942 г. ПРИКАЗ О СОЗДАНИИ В СИСТЕМЕ НАРКОМСУДПРОМА СПЕЦИАЛЬНОГО КОНСТРУКТОРСКОГО БЮРО № 0082</w:t>
      </w:r>
    </w:p>
    <w:p w14:paraId="1C808C2F"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 ГОКО-1521 сс от 1 апреля 1942 г. постановляет:</w:t>
      </w:r>
    </w:p>
    <w:p w14:paraId="0A8EA69E"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Создать в системе Наркомсудпрома специальное конструкторское бюро (СКБ-НКСП) по проектированию, изготовлению и испытанию первых образцов и отработке чертежей для серийного производства торпед и мин акустического действия.</w:t>
      </w:r>
    </w:p>
    <w:p w14:paraId="1D9AB013"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Назначить начальником специального конструкторского бюро Наркомсудпрома тов. Розанова А. А. и ведущими конструкторами тов. Сметанникова Ф. С., тов. Розина М. К. и тов. Чижова В. Д.</w:t>
      </w:r>
    </w:p>
    <w:p w14:paraId="526196F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Возложить на специальное конструкторское бюро НКСП разработку:</w:t>
      </w:r>
    </w:p>
    <w:p w14:paraId="04E9D901"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самонаправляющей акустической торпеды (CAT), автоматически меняющей свой курс под действием шума вражеского корабля и обеспечивающей обязательное попадание в корабль противника без точного прицельного огня;</w:t>
      </w:r>
    </w:p>
    <w:p w14:paraId="1A36A939"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авиационно-морской акустической мины (AM), автоматически взрывающейся под действием шума близко проходящего корабля противника.</w:t>
      </w:r>
    </w:p>
    <w:p w14:paraId="3E06A97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Наркомсудпром (тов. Носенко) и начальника СКБ НКСП (тов. Розанова):</w:t>
      </w:r>
    </w:p>
    <w:p w14:paraId="20A088E3"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к 1 июля 1942 г. переделать 5 штук морских торпед образца «53-38» в самонаправляющиеся акустические торпеды (CAT);</w:t>
      </w:r>
    </w:p>
    <w:p w14:paraId="49B01E97"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к 15 июня 1942 г. изготовить 5 штук авиационно-морских акустических мин.</w:t>
      </w:r>
    </w:p>
    <w:p w14:paraId="0492748E"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наркома Военно-Морского Флота ов. Кузнецова и начальника минно-торпедного управления НКВМФ тов. Шибаева:</w:t>
      </w:r>
    </w:p>
    <w:p w14:paraId="018E1C12"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передать СКБ Наркомсудпрома к 15 апреля 1942 г. 5 штук торпед образца «53-38»;</w:t>
      </w:r>
    </w:p>
    <w:p w14:paraId="43D77FA8"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закончить морские испытания торпеды «САТ» к 1 августа 1942 г. и мины «АМ» к 15 июля 1942 г., представить заключение об испытаниях и внести свои предложения в Государственный Комитет Обороны.</w:t>
      </w:r>
    </w:p>
    <w:p w14:paraId="3D4934D0"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Утвердить мероприятия по организации и обеспечению работ специального конструкторского бюро Наркомсудпрома.</w:t>
      </w:r>
    </w:p>
    <w:p w14:paraId="3C7BDA44"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76714036"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минно-торпедного управления ВМФ:</w:t>
      </w:r>
    </w:p>
    <w:p w14:paraId="71B94BD4"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передать СКБ НКСП 5 торпед обр. «53—38» к 15.IV, 42 г. для проведения испытаний на полигоне завода № 182.</w:t>
      </w:r>
    </w:p>
    <w:p w14:paraId="6C9EF9BA"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закончить морские испытания торпеды «САТ» к 1 августа 1942 г. и мины «АМ» к 15 июля 1942 г., по проведении испытаний материал с заключением комиссии представить мне для доклада ГОКО.</w:t>
      </w:r>
    </w:p>
    <w:p w14:paraId="29DF3C33"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управления связи ВМФ и начальнику МТУ ВМФ прикрепить к СКБ НКСП на все время разработки торпеды «САТ» и мины «АМ» своих специалистов для постоянной консультации и контроля за ходом разработки объектов. Старшим от НКВМФ при СКБ НКСП назначить от МТУ ВМФ военинженера 2 ранга тов. Лязгунова.</w:t>
      </w:r>
    </w:p>
    <w:p w14:paraId="74152C18"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 Командующему КВФ обеспечить проведение испытаний торпеды «САТ» и мины «АМ» кораблями и плавсредствами в сроки и по программе, утвержденной начальником МТУ ВМФ.</w:t>
      </w:r>
    </w:p>
    <w:p w14:paraId="6B497E11"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КУЗНЕЦОВ</w:t>
      </w:r>
    </w:p>
    <w:p w14:paraId="7D763AFF" w14:textId="77777777" w:rsidR="00CF1221" w:rsidRPr="008A2E5A" w:rsidRDefault="00CF1221" w:rsidP="00CF12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ЦВМА, ф. 79, д. 39806, л. 124—126. Подлинник (23965).</w:t>
      </w:r>
    </w:p>
    <w:p w14:paraId="3BC24D56" w14:textId="77777777" w:rsidR="00CF1221" w:rsidRPr="008A2E5A" w:rsidRDefault="00CF1221" w:rsidP="00CF1221">
      <w:pPr>
        <w:spacing w:after="0" w:line="240" w:lineRule="auto"/>
        <w:jc w:val="both"/>
        <w:rPr>
          <w:rFonts w:ascii="Times New Roman" w:hAnsi="Times New Roman"/>
          <w:color w:val="0070C0"/>
          <w:sz w:val="16"/>
          <w:szCs w:val="16"/>
        </w:rPr>
      </w:pPr>
    </w:p>
    <w:p w14:paraId="5B9F34E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5BE8C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AC56F"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апреля</w:t>
      </w:r>
      <w:r w:rsidRPr="008127F8">
        <w:rPr>
          <w:rFonts w:ascii="Times New Roman" w:hAnsi="Times New Roman"/>
          <w:color w:val="000000" w:themeColor="text1"/>
          <w:sz w:val="16"/>
          <w:szCs w:val="16"/>
        </w:rPr>
        <w:t xml:space="preserve"> в 1942 году утреннее сообщение Совинформбюро:</w:t>
      </w:r>
    </w:p>
    <w:p w14:paraId="70153FB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 апреля на фронте каких-либо существенных изменений не произошло.</w:t>
      </w:r>
    </w:p>
    <w:p w14:paraId="7A3B1EC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стрелковая часть, действующая на Западном фронте, ночью внезапно атаковала противника и выбила его из населённого пункта. Немцы потеряли убитыми до 370 солдат и офицеров. На другом участке фронта наши бойцы успешно отбили вражескую контратаку. Преследуя отступающих немцев, наши бойцы ворвались в деревню Н. и после непродолжительного уличного боя вынудили противника отступить. Захвачены следующие трофеи: 6 орудий, 3 миномета, 7 пулеметов и склад с боеприпасами.</w:t>
      </w:r>
    </w:p>
    <w:p w14:paraId="4918D8D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противник пытался задержать продвижение наших войск и бросил в контратаку батальон пехоты, недавно прибывший из Германии. Наши бойцы метким ружейным и пулемётным огнём рассеяли наступавших немцев. Противник потерял убитыми более 200 солдат и офицеров. На поле боя подобрано 350 немецких винтовок.</w:t>
      </w:r>
    </w:p>
    <w:p w14:paraId="59447A03"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артиллеристы на одном из участков Южного фронта за два дня подавили 3 артиллерийские и 5 миномётных батарей противника, подбили один танк, уничтожили 9 пулемётов и одно противотанковое орудие.</w:t>
      </w:r>
    </w:p>
    <w:p w14:paraId="3309BC3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разведка обнаружила немецкий артиллерийский склад, возле которого стояли подводы и автомашины. Уничтожить склад было поручено орудийному расчёту сержанта Неодева. После третьего выстрела раздался оглушительный взрыв. Склад с боеприпасами, автомашины и подводы вместе с гитлеровскими солдатами взлетели на воздух.</w:t>
      </w:r>
    </w:p>
    <w:p w14:paraId="1786CF9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смоленских партизан, где командиром тов. И., провёл в марте месяце ряд успешных операций, во время которых было уничтожено 540 немецких солдат и офицеров. Бойцы отряда много раз прерывали связь немцев и разрушали их пути сообщения с фронтом. Партизаны захватили немецкий склад с боеприпасами и оружием. Много оружия и патронов партизаны увезли с собой, а остальное взорвали.</w:t>
      </w:r>
    </w:p>
    <w:p w14:paraId="29D5C6F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7 роты 222 полка 75 немецкой пехотной дивизии Гельмут Мюллерфельд рассказал: «222 полк за последнее время понёс тяжёлые потери. Полностью разгромлены 2 и 3 батальоны. В 7 роте осталось всего лишь 13 солдат. Солдаты с тревогой ждут весны. Они боятся весеннего наступления, о котором так много говорят сейчас офицеры. Беседы о предстоящем наступлении не вызывают никакого энтузиазма. Напротив, солдаты ещё больше помрачнели. Они ходят, как обречённые, как смертники. Каждый из них цепляется за малейшую возможность увильнуть с фронта. Многие пишут на родину завещания, предсмертные письма, вкоторых с горечью указывают, что им, наверное, уже не удастся больше увидеть своих родных, свой дом».</w:t>
      </w:r>
    </w:p>
    <w:p w14:paraId="093FC58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из деревни Кузовлево, Калининской области, гитлеровцы расстреляли многих жителей деревни, в том числе женщин и детей. Среди убитых: Тихонова А.Я. и её грудной ребёнок, Кораблёва Е.В. с четырёхлетним сыном и шестилетней дочерью. Фашистские изверги сожгли 65-летнюю Ходакову Марию с двумя внуками —девочкой семи лет и мальчиком трёх лет. Ограбив колхозников, немецко-фашистские бандиты уничтожили в деревне Кузовлево все дома.</w:t>
      </w:r>
    </w:p>
    <w:p w14:paraId="6E89C24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Расквартированный в городе Вэлени (Румыния) румынский пехотный батальон, получив приказ об отправке на фронт, отказался покинуть казармы. Когда казармы батальона были окружены жандармерией и немецкими пулемётчиками, румынские солдаты сложили оружие. Многие из них арестованы.» (15088).</w:t>
      </w:r>
    </w:p>
    <w:p w14:paraId="35EF0FC3"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2F3C69F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апреля</w:t>
      </w:r>
      <w:r w:rsidRPr="008127F8">
        <w:rPr>
          <w:rFonts w:ascii="Times New Roman" w:hAnsi="Times New Roman"/>
          <w:color w:val="000000" w:themeColor="text1"/>
          <w:sz w:val="16"/>
          <w:szCs w:val="16"/>
        </w:rPr>
        <w:t xml:space="preserve"> в 1942 году вечернее сообщение Совинформбюро:</w:t>
      </w:r>
    </w:p>
    <w:p w14:paraId="3BB9A5B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 апреля на некоторых участках фронта наши войска вели наступательные бои против немецко-фашистских войск и заняли несколько населённых пунктов.</w:t>
      </w:r>
    </w:p>
    <w:p w14:paraId="5C17ECF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апреля уничтожено 23 немецких самолёта. Наши потери — 6 самолётов.</w:t>
      </w:r>
    </w:p>
    <w:p w14:paraId="1CE9DCFA"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апреля частями нашей авиации уничтожено или повреждено несколько немецких танков, 45 автомашин с войсками и грузами, 15 подвод с боеприпасами, 6 автоцистерн с горючим, 23 полевых и зенитных орудия, 13 зенитно-пулемётных точек, 24 миномёта, 7 пулемётов, взорван склад с боеприпасами, рассеяно и частью уничтожено до батальона пехоты противника.</w:t>
      </w:r>
    </w:p>
    <w:p w14:paraId="52CF2D3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за день боёв уничтожили более 450 немецких солдат и офицеров, разрушили 10 оборонительных пунктов, 15 блиндажей и землянок. Огневым налётом советских артиллеристов взорван вражеский склад с боеприпасами.</w:t>
      </w:r>
    </w:p>
    <w:p w14:paraId="7106CBB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Тарасова, действующая на Калининском фронте, прорвав укрепления немцев, захватила населённый пункт. На улицах села гитлеровцы оставили 160 трупов солдат в офицеров. В районе действия этой же части старший лейтенант Разувалов прямым попаданием из орудия уничтожил приземлившийся немецкий самолёт.</w:t>
      </w:r>
    </w:p>
    <w:p w14:paraId="2CC1BD1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отрядов «Бати», действующие в районах Смоленской области, наносят большой урон немецко-фашистским захватчикам. За время своей боевой деятельности партизаны истребили свыше 500 немецких оккупантов и взяли в плен 20 солдат и 2 офицеров. Уничтожено 3 вражеских танка, 2 трактора-тягача, 120 автомашин и 300 подвод с боеприпасами и военными грузами, взорвано 36 мостов и сняты десятки километров телефонного провода. Отряды партизан захватили у противника 2 миномёта, 120 винтовок, 25 автоматов, десятки тысяч патронов.</w:t>
      </w:r>
    </w:p>
    <w:p w14:paraId="1F7FE93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последний месяц партизаны освободили от гитлеровцев много сёл и деревень. Взяв под контроль ряд дорог, партизаны вынудили немцев передвигаться в этих направлениях только крупными партиями. Недавно партизаны отряда «Бати» передали частям Красной Армии подарок от колхозников: 250 тонн муки и зерна, мясо, крупу и другие продукты.</w:t>
      </w:r>
    </w:p>
    <w:p w14:paraId="0922658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4 пулемётной роты 516 полка 295 немецкой пехотной дивизии Франц Лянговский рассказал: «Осенью я отстал от своей дивизии и свыше 5 месяцев искал её. Лошади были плохие, да и я не очень спешил. На пути я видел множество могил немецких солдат и офицеров. На кладбище в Либовице есть могила командира 1 батальона 516 полка Генриха Альтен и 50 могил солдат 1 и 2 роты этого же батальона. На одном кладбище под Белой Церковью я насчитал 300 могил, в Богуславе— 600, а под Таращей похоронены тысячи немцев.</w:t>
      </w:r>
    </w:p>
    <w:p w14:paraId="079DCCA1"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деревнях Украины скрывается большое количество немецких солдат, бежавших с фронтов. Гестапо вылавливает дезертиров и расстреливает их без всякого суда и следствия. Под Лозовой я видел, как беспорядочно отступали наши части. Усталые, угрюмые и злые солдаты говорили мне, что наша дивизия разбита. Не желая быть похороненным в России, как сотни тысяч наших солдат, я добровольно сдался в плен».</w:t>
      </w:r>
    </w:p>
    <w:p w14:paraId="4BBFF52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ефрейтора Ганса Линга найдено письмо от ефрейтора Франца Линднера, в котором говорится: «...Здесь надо быть очень осторожным. Особенно приходится остерегаться вечером, когда идёшь один по улицам. В любой момент на тебя могут наброситься и прикончить. Гец Дольфль был убит партизанами, когда он возвращался с позиции».</w:t>
      </w:r>
    </w:p>
    <w:p w14:paraId="1E2BFF7B"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Переездная, Сталинской области, фашистские варвары при отступлении сожгли и взорвали 295 домов колхозников и различные общественные постройки. Гитлеровцы насильно заставляли стариков, женщин и детей носить снаряды и патроны на передовые позиции, строить укрепления. За время оккупации немецкие грабители вывезли из села на сотни тысяч рублей личных вещей колхозников и продуктов. Отступая из села, гитлеровские бандиты расстреляли некоторых жителей, а многих угнали в тыл.</w:t>
      </w:r>
    </w:p>
    <w:p w14:paraId="18F4DB4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на линии Краков - Бохня польские патриоты пустили под откос немецкий воинский эшелон с танками и пехотой, направлявшийся на советско-германский фронт.» (15088).</w:t>
      </w:r>
    </w:p>
    <w:p w14:paraId="048C816B"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1D4DA4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апреля 1942 г. 2-й МТАП, который организационно входил в состав 63-й бомбардировочной авиабригады стал 5-м гвардейским МТАП. До конца боевых действий на Черном море полк был оснащен самолетами одного типа -ДБ-3Ф (Ил-4). Летом 1942 г. на флоте сформировали новый, 36-й МТАП, поначалу также располагавший Ил-4, а </w:t>
      </w:r>
      <w:proofErr w:type="gramStart"/>
      <w:r w:rsidRPr="008127F8">
        <w:rPr>
          <w:rFonts w:ascii="Times New Roman" w:hAnsi="Times New Roman"/>
          <w:color w:val="000000" w:themeColor="text1"/>
          <w:sz w:val="16"/>
          <w:szCs w:val="16"/>
        </w:rPr>
        <w:t>весной 1943 г.</w:t>
      </w:r>
      <w:proofErr w:type="gramEnd"/>
      <w:r w:rsidRPr="008127F8">
        <w:rPr>
          <w:rFonts w:ascii="Times New Roman" w:hAnsi="Times New Roman"/>
          <w:color w:val="000000" w:themeColor="text1"/>
          <w:sz w:val="16"/>
          <w:szCs w:val="16"/>
        </w:rPr>
        <w:t xml:space="preserve"> перевооруженный на "Бостоны". Всего черноморские торпедоносцы выполнили 607 боевых вылетов, в которых израсходовали 276 торпед (2867,31).</w:t>
      </w:r>
    </w:p>
    <w:p w14:paraId="46B889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4F2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НКВМФ Н.Г.Кузнецов выпустил директиву N 0279 об использовании торпедоносной авиации (2120).</w:t>
      </w:r>
    </w:p>
    <w:p w14:paraId="1175B1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206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вечером штаб 1 -го воздушного флота получил приказ: “В соответствии с решением командующего Люфтваффе нанести удар “Айсштосс", не принимая во внимание наземные боевые действия, а с учетом условий погоды..." (6414).</w:t>
      </w:r>
    </w:p>
    <w:p w14:paraId="136C45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329A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1526 [О выделении в Распоряжение ГКО НКО 500 тыс. чел. годных к строевой службе за счет сокращения тыловых, инженерных и саперных частей, рабочих колонн, вернувшихся из окружения, освобожденных из лагерей НКВД.] (7027, 73-75).</w:t>
      </w:r>
    </w:p>
    <w:p w14:paraId="7D8171C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F80E5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1528 [О присвоении персональных воинских званий инженерно-техническому составу ВВС ВМФ.] (7027, 78).</w:t>
      </w:r>
    </w:p>
    <w:p w14:paraId="6C4B922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294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апреля 1942 вышло Постановление ГКО № 1529 О т. Чуянове А.С. РГАНИР, Фонд ГКО, д. 26, лл. 79 (11012).</w:t>
      </w:r>
    </w:p>
    <w:p w14:paraId="71788E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1A81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1530 О замене и изъятии из противотанковых полков фронтов 85 мм зенитных пушек [с передачей их в ПВО]. (7027, 80).</w:t>
      </w:r>
    </w:p>
    <w:p w14:paraId="0F995CE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EFE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г. вышло ПОСТАНОВЛЕНИЕ № ГОКО-1530сс</w:t>
      </w:r>
    </w:p>
    <w:p w14:paraId="4DCA92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6F7413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 замене и изъятии из противотанковых полков фронтов 85 мм зенитных пушек </w:t>
      </w:r>
    </w:p>
    <w:p w14:paraId="531AEB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Ввиду хороших качеств 76 мм пушки УСВ, могущей с успехом разрешить борьбу с танками бронебойным снарядом </w:t>
      </w:r>
      <w:proofErr w:type="gramStart"/>
      <w:r w:rsidRPr="008127F8">
        <w:rPr>
          <w:rFonts w:ascii="Times New Roman" w:hAnsi="Times New Roman"/>
          <w:color w:val="000000" w:themeColor="text1"/>
          <w:sz w:val="16"/>
          <w:szCs w:val="16"/>
        </w:rPr>
        <w:t>и</w:t>
      </w:r>
      <w:proofErr w:type="gramEnd"/>
      <w:r w:rsidRPr="008127F8">
        <w:rPr>
          <w:rFonts w:ascii="Times New Roman" w:hAnsi="Times New Roman"/>
          <w:color w:val="000000" w:themeColor="text1"/>
          <w:sz w:val="16"/>
          <w:szCs w:val="16"/>
        </w:rPr>
        <w:t xml:space="preserve"> в связи с этим отпавшей необходимостью содержать в противотанковых полках фронтов 85 мм зенитные пушки, нужные для ПВО, Государственный Комитет Обороны постановляет: </w:t>
      </w:r>
    </w:p>
    <w:p w14:paraId="4AD628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Изъять в течение апреля месяца 85 мм зенитные пушки из противотанковых полков фронтов: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685"/>
        <w:gridCol w:w="791"/>
        <w:gridCol w:w="791"/>
        <w:gridCol w:w="1521"/>
      </w:tblGrid>
      <w:tr w:rsidR="006F4095" w:rsidRPr="008127F8" w14:paraId="730A33FB" w14:textId="77777777">
        <w:trPr>
          <w:jc w:val="center"/>
        </w:trPr>
        <w:tc>
          <w:tcPr>
            <w:tcW w:w="4685" w:type="dxa"/>
            <w:tcBorders>
              <w:top w:val="single" w:sz="12" w:space="0" w:color="auto"/>
            </w:tcBorders>
          </w:tcPr>
          <w:p w14:paraId="14CDC3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Западного</w:t>
            </w:r>
          </w:p>
        </w:tc>
        <w:tc>
          <w:tcPr>
            <w:tcW w:w="791" w:type="dxa"/>
            <w:tcBorders>
              <w:top w:val="single" w:sz="12" w:space="0" w:color="auto"/>
            </w:tcBorders>
          </w:tcPr>
          <w:p w14:paraId="34C9D7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Borders>
              <w:top w:val="single" w:sz="12" w:space="0" w:color="auto"/>
            </w:tcBorders>
          </w:tcPr>
          <w:p w14:paraId="3E4FFB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1521" w:type="dxa"/>
            <w:tcBorders>
              <w:top w:val="single" w:sz="12" w:space="0" w:color="auto"/>
            </w:tcBorders>
          </w:tcPr>
          <w:p w14:paraId="1D6627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D3B267" w14:textId="77777777">
        <w:trPr>
          <w:jc w:val="center"/>
        </w:trPr>
        <w:tc>
          <w:tcPr>
            <w:tcW w:w="4685" w:type="dxa"/>
          </w:tcPr>
          <w:p w14:paraId="697919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Калининского</w:t>
            </w:r>
          </w:p>
        </w:tc>
        <w:tc>
          <w:tcPr>
            <w:tcW w:w="791" w:type="dxa"/>
          </w:tcPr>
          <w:p w14:paraId="65DD8E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7FA058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521" w:type="dxa"/>
          </w:tcPr>
          <w:p w14:paraId="458336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E389E35" w14:textId="77777777">
        <w:trPr>
          <w:jc w:val="center"/>
        </w:trPr>
        <w:tc>
          <w:tcPr>
            <w:tcW w:w="4685" w:type="dxa"/>
          </w:tcPr>
          <w:p w14:paraId="356FF3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Северо-Западного</w:t>
            </w:r>
          </w:p>
        </w:tc>
        <w:tc>
          <w:tcPr>
            <w:tcW w:w="791" w:type="dxa"/>
          </w:tcPr>
          <w:p w14:paraId="22D11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4B49DB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521" w:type="dxa"/>
          </w:tcPr>
          <w:p w14:paraId="6B823B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3F7E5E" w14:textId="77777777">
        <w:trPr>
          <w:jc w:val="center"/>
        </w:trPr>
        <w:tc>
          <w:tcPr>
            <w:tcW w:w="4685" w:type="dxa"/>
          </w:tcPr>
          <w:p w14:paraId="5D1A5E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Волховского</w:t>
            </w:r>
          </w:p>
        </w:tc>
        <w:tc>
          <w:tcPr>
            <w:tcW w:w="791" w:type="dxa"/>
          </w:tcPr>
          <w:p w14:paraId="57A269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0CB086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521" w:type="dxa"/>
          </w:tcPr>
          <w:p w14:paraId="6B2695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09E258" w14:textId="77777777">
        <w:trPr>
          <w:jc w:val="center"/>
        </w:trPr>
        <w:tc>
          <w:tcPr>
            <w:tcW w:w="4685" w:type="dxa"/>
          </w:tcPr>
          <w:p w14:paraId="18DFBB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Крымского</w:t>
            </w:r>
          </w:p>
        </w:tc>
        <w:tc>
          <w:tcPr>
            <w:tcW w:w="791" w:type="dxa"/>
          </w:tcPr>
          <w:p w14:paraId="5A18F3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0A4D5A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521" w:type="dxa"/>
          </w:tcPr>
          <w:p w14:paraId="5485BF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69B98A" w14:textId="77777777">
        <w:trPr>
          <w:jc w:val="center"/>
        </w:trPr>
        <w:tc>
          <w:tcPr>
            <w:tcW w:w="4685" w:type="dxa"/>
          </w:tcPr>
          <w:p w14:paraId="583D01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Южного</w:t>
            </w:r>
          </w:p>
        </w:tc>
        <w:tc>
          <w:tcPr>
            <w:tcW w:w="791" w:type="dxa"/>
          </w:tcPr>
          <w:p w14:paraId="377D68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611D1C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1521" w:type="dxa"/>
          </w:tcPr>
          <w:p w14:paraId="34EBBA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6FE564" w14:textId="77777777">
        <w:trPr>
          <w:jc w:val="center"/>
        </w:trPr>
        <w:tc>
          <w:tcPr>
            <w:tcW w:w="4685" w:type="dxa"/>
          </w:tcPr>
          <w:p w14:paraId="3CFFBB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Юго-Западного</w:t>
            </w:r>
          </w:p>
        </w:tc>
        <w:tc>
          <w:tcPr>
            <w:tcW w:w="791" w:type="dxa"/>
          </w:tcPr>
          <w:p w14:paraId="39B6B1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30C400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1521" w:type="dxa"/>
          </w:tcPr>
          <w:p w14:paraId="6A494F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9817C9" w14:textId="77777777">
        <w:trPr>
          <w:jc w:val="center"/>
        </w:trPr>
        <w:tc>
          <w:tcPr>
            <w:tcW w:w="4685" w:type="dxa"/>
          </w:tcPr>
          <w:p w14:paraId="74BFF7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7-й отдельной армии</w:t>
            </w:r>
          </w:p>
        </w:tc>
        <w:tc>
          <w:tcPr>
            <w:tcW w:w="791" w:type="dxa"/>
          </w:tcPr>
          <w:p w14:paraId="039848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91" w:type="dxa"/>
          </w:tcPr>
          <w:p w14:paraId="0423F4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521" w:type="dxa"/>
          </w:tcPr>
          <w:p w14:paraId="72773E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A1D375" w14:textId="77777777">
        <w:trPr>
          <w:jc w:val="center"/>
        </w:trPr>
        <w:tc>
          <w:tcPr>
            <w:tcW w:w="4685" w:type="dxa"/>
            <w:tcBorders>
              <w:bottom w:val="single" w:sz="12" w:space="0" w:color="auto"/>
            </w:tcBorders>
          </w:tcPr>
          <w:p w14:paraId="5CD56E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791" w:type="dxa"/>
            <w:tcBorders>
              <w:bottom w:val="single" w:sz="12" w:space="0" w:color="auto"/>
            </w:tcBorders>
          </w:tcPr>
          <w:p w14:paraId="02ED03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1" w:type="dxa"/>
            <w:tcBorders>
              <w:bottom w:val="single" w:sz="12" w:space="0" w:color="auto"/>
            </w:tcBorders>
          </w:tcPr>
          <w:p w14:paraId="59A596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272</w:t>
            </w:r>
          </w:p>
        </w:tc>
        <w:tc>
          <w:tcPr>
            <w:tcW w:w="1521" w:type="dxa"/>
            <w:tcBorders>
              <w:bottom w:val="single" w:sz="12" w:space="0" w:color="auto"/>
            </w:tcBorders>
          </w:tcPr>
          <w:p w14:paraId="408565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орудия</w:t>
            </w:r>
          </w:p>
        </w:tc>
      </w:tr>
    </w:tbl>
    <w:p w14:paraId="533A19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Передать изымаемые 85 мм зенитные пушки в Московский корпус ПВО. </w:t>
      </w:r>
    </w:p>
    <w:p w14:paraId="76E6AB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ГАУ (т. Яковлеву) подать фронтам в апреле месяце на замену изымаемых зенитных пушек - 76 мм пушки УСВ в равном количестве. </w:t>
      </w:r>
    </w:p>
    <w:p w14:paraId="0A438B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Отправку 85 мм зенитные пушек с фронтов произвести тотчас же по получении пушек УСВ. </w:t>
      </w:r>
    </w:p>
    <w:p w14:paraId="5C5695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00AD91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тов. Яковлеву - все; Военным Советам фронтов - вводн., 1 (соотв.), 3, 4 (11434).</w:t>
      </w:r>
    </w:p>
    <w:p w14:paraId="1DB90D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8E2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г. было принято постановление ГКО, по которому вместо корпуса создавался Московский фронт ПВО. Силы и средства защиты должны были вскоре достичь астрономических показателей: число 85-мм зениток предполагалось довести до 1300 шт., аэростатов заграждения – до 1500, а прожекторов —до 1200. Т.е. на одну зенитку приходился один прожектор! ГКО приказал в течение апреля изъять 85-мм зенитные пушки из противотанковых полков различных фронтов, всего 272 орудия, и передать их в Московский корпус ПВО. Таким образом, беспокоящие налеты на Москву, хотя и не приводили к большим разрушениям, сильно нервировали руководство страны и сковывали значительные силы, которые невозможно было использовать на фронте. С целью усиления контроля за личным составом в штат штаба ПВО были введены должности «старшего контролера» и еще 23 «контролеров» при нем, что являлось совершенно беспрецедентным случаем для армии. Мало было комиссаров и политработников, так теперь появились еще и «контролеры», которые, видимо, были зашиты от спиртного (11774).</w:t>
      </w:r>
    </w:p>
    <w:p w14:paraId="0A313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2B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вышло Постановление ГКО № 1531 О сформировании в апреле месяце 20 полков РГК. РГАНИР, Фонд ГКО, д. 26, лл. 81 (11012).</w:t>
      </w:r>
    </w:p>
    <w:p w14:paraId="141D27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A563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F1ABD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DFB8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Ф.Д.Р. направил У.Ч. послание о требовании народов открыть второй фронт в Европе (3186).</w:t>
      </w:r>
    </w:p>
    <w:p w14:paraId="04AB9D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BF0E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апреля</w:t>
      </w:r>
      <w:r w:rsidRPr="008127F8">
        <w:rPr>
          <w:rFonts w:ascii="Times New Roman" w:hAnsi="Times New Roman"/>
          <w:color w:val="000000" w:themeColor="text1"/>
          <w:sz w:val="16"/>
          <w:szCs w:val="16"/>
        </w:rPr>
        <w:t xml:space="preserve"> в 1942 году авиаудары японских ВВС по Мандалаю (15088).</w:t>
      </w:r>
    </w:p>
    <w:p w14:paraId="18E68519"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5E8CD1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1942 японцы начали наступление по всему фронту против последней линии обороны Батаана (2261).</w:t>
      </w:r>
    </w:p>
    <w:p w14:paraId="5B3F5F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4895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F867A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06C5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Ком. 2 РАБ Антошкин и Военком Виноградов писали письмо N 0327 А.И.Ш.:</w:t>
      </w:r>
    </w:p>
    <w:p w14:paraId="2FC952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проведенным обследованием состояния матчасти 505 шап, установлена полная непригодность бронестекол Ил-2 по причине плохой склейки и проникновения в швы влаги и воздуха. Указанный дефект самолетов, выпущенных заводом 1, может задержать дальнейшую отправку полка на фронт, ввиду чего прошу Вашего распоряжения о немедленном выделении 505 полку 11 комплектов бронестекол и 5 листов 10 мм плексигласа и соответствующего распоряжения одному из заводов, находящимся в Москве, о производстве этой работы." (1634,315).</w:t>
      </w:r>
    </w:p>
    <w:p w14:paraId="596D2D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A9C3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в 451 ШАП произошла вынужденная посадка самолета Ил-2 пилотируемого командиром полка майором КЛАБУКОВЫМ. Отказ мотора из-за среза бронзовых червячных шестерен газораспределителя (1634,291).</w:t>
      </w:r>
    </w:p>
    <w:p w14:paraId="30F7E2C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34B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Директор завода № 19 Кожевни</w:t>
      </w:r>
      <w:r w:rsidRPr="008127F8">
        <w:rPr>
          <w:rFonts w:ascii="Times New Roman" w:hAnsi="Times New Roman"/>
          <w:color w:val="000000" w:themeColor="text1"/>
          <w:sz w:val="16"/>
          <w:szCs w:val="16"/>
        </w:rPr>
        <w:softHyphen/>
        <w:t>ков в письме на имя наркома Шахурина и командующего ВВС К.А. Жигарева отмечал:</w:t>
      </w:r>
    </w:p>
    <w:p w14:paraId="4F362B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ГКО № 574 от 24/VIII-1941 г. на основе проведенных государственных стендовых испыта</w:t>
      </w:r>
      <w:r w:rsidRPr="008127F8">
        <w:rPr>
          <w:rFonts w:ascii="Times New Roman" w:hAnsi="Times New Roman"/>
          <w:color w:val="000000" w:themeColor="text1"/>
          <w:sz w:val="16"/>
          <w:szCs w:val="16"/>
        </w:rPr>
        <w:softHyphen/>
        <w:t>ний мотор М-82 был принят на во</w:t>
      </w:r>
      <w:r w:rsidRPr="008127F8">
        <w:rPr>
          <w:rFonts w:ascii="Times New Roman" w:hAnsi="Times New Roman"/>
          <w:color w:val="000000" w:themeColor="text1"/>
          <w:sz w:val="16"/>
          <w:szCs w:val="16"/>
        </w:rPr>
        <w:softHyphen/>
        <w:t>оружение Красной Армии.</w:t>
      </w:r>
    </w:p>
    <w:p w14:paraId="6C3382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июня 1941 г. по март 1942 г. завод № 19 организовал серийное производство и выпустил 829 моторов М-82. Из выпущенно</w:t>
      </w:r>
      <w:r w:rsidRPr="008127F8">
        <w:rPr>
          <w:rFonts w:ascii="Times New Roman" w:hAnsi="Times New Roman"/>
          <w:color w:val="000000" w:themeColor="text1"/>
          <w:sz w:val="16"/>
          <w:szCs w:val="16"/>
        </w:rPr>
        <w:softHyphen/>
        <w:t>го количества только 51 мотор ус</w:t>
      </w:r>
      <w:r w:rsidRPr="008127F8">
        <w:rPr>
          <w:rFonts w:ascii="Times New Roman" w:hAnsi="Times New Roman"/>
          <w:color w:val="000000" w:themeColor="text1"/>
          <w:sz w:val="16"/>
          <w:szCs w:val="16"/>
        </w:rPr>
        <w:softHyphen/>
        <w:t>тановлен на самолеты Су-2 и на</w:t>
      </w:r>
      <w:r w:rsidRPr="008127F8">
        <w:rPr>
          <w:rFonts w:ascii="Times New Roman" w:hAnsi="Times New Roman"/>
          <w:color w:val="000000" w:themeColor="text1"/>
          <w:sz w:val="16"/>
          <w:szCs w:val="16"/>
        </w:rPr>
        <w:softHyphen/>
        <w:t>правлен в войсковую эксплоатацию.</w:t>
      </w:r>
    </w:p>
    <w:p w14:paraId="0F201E8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1/1У на скла</w:t>
      </w:r>
      <w:r w:rsidRPr="008127F8">
        <w:rPr>
          <w:rFonts w:ascii="Times New Roman" w:hAnsi="Times New Roman"/>
          <w:color w:val="000000" w:themeColor="text1"/>
          <w:sz w:val="16"/>
          <w:szCs w:val="16"/>
        </w:rPr>
        <w:softHyphen/>
        <w:t>дах завода находится 370 моторов М-82.</w:t>
      </w:r>
    </w:p>
    <w:p w14:paraId="5E4066C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очевидную ясность, что выпущенные моторы М-82 дол</w:t>
      </w:r>
      <w:r w:rsidRPr="008127F8">
        <w:rPr>
          <w:rFonts w:ascii="Times New Roman" w:hAnsi="Times New Roman"/>
          <w:color w:val="000000" w:themeColor="text1"/>
          <w:sz w:val="16"/>
          <w:szCs w:val="16"/>
        </w:rPr>
        <w:softHyphen/>
        <w:t>жны быть использованы на боевых самолетах, особенно в военное вре</w:t>
      </w:r>
      <w:r w:rsidRPr="008127F8">
        <w:rPr>
          <w:rFonts w:ascii="Times New Roman" w:hAnsi="Times New Roman"/>
          <w:color w:val="000000" w:themeColor="text1"/>
          <w:sz w:val="16"/>
          <w:szCs w:val="16"/>
        </w:rPr>
        <w:softHyphen/>
        <w:t>мя, НИИ ВВС Красной Армии не сделал из указанного положения никаких выводов по практическому применению моторов М-82 в свя</w:t>
      </w:r>
      <w:r w:rsidRPr="008127F8">
        <w:rPr>
          <w:rFonts w:ascii="Times New Roman" w:hAnsi="Times New Roman"/>
          <w:color w:val="000000" w:themeColor="text1"/>
          <w:sz w:val="16"/>
          <w:szCs w:val="16"/>
        </w:rPr>
        <w:softHyphen/>
        <w:t>зи с принятием его на вооружение Красной Армии.</w:t>
      </w:r>
    </w:p>
    <w:p w14:paraId="67B3C78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М-82 проходил летные ис</w:t>
      </w:r>
      <w:r w:rsidRPr="008127F8">
        <w:rPr>
          <w:rFonts w:ascii="Times New Roman" w:hAnsi="Times New Roman"/>
          <w:color w:val="000000" w:themeColor="text1"/>
          <w:sz w:val="16"/>
          <w:szCs w:val="16"/>
        </w:rPr>
        <w:softHyphen/>
        <w:t>пытания на всех современных ти</w:t>
      </w:r>
      <w:r w:rsidRPr="008127F8">
        <w:rPr>
          <w:rFonts w:ascii="Times New Roman" w:hAnsi="Times New Roman"/>
          <w:color w:val="000000" w:themeColor="text1"/>
          <w:sz w:val="16"/>
          <w:szCs w:val="16"/>
        </w:rPr>
        <w:softHyphen/>
        <w:t>пах боевых самолетов: на истреби</w:t>
      </w:r>
      <w:r w:rsidRPr="008127F8">
        <w:rPr>
          <w:rFonts w:ascii="Times New Roman" w:hAnsi="Times New Roman"/>
          <w:color w:val="000000" w:themeColor="text1"/>
          <w:sz w:val="16"/>
          <w:szCs w:val="16"/>
        </w:rPr>
        <w:softHyphen/>
        <w:t>телях ЛАГГ-3 (вариант Гудкова), И-185, МИГ-3, бомбардировщиках СУ-2, 103, ДБ-3Ф и штурмовике ИЛ-2.</w:t>
      </w:r>
    </w:p>
    <w:p w14:paraId="76FB04D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Выявленные в процессе опытной эксплоатации дефекты мотора и винтомоторной группы как-то: выб</w:t>
      </w:r>
      <w:r w:rsidRPr="008127F8">
        <w:rPr>
          <w:rFonts w:ascii="Times New Roman" w:hAnsi="Times New Roman"/>
          <w:color w:val="000000" w:themeColor="text1"/>
          <w:sz w:val="16"/>
          <w:szCs w:val="16"/>
        </w:rPr>
        <w:softHyphen/>
        <w:t xml:space="preserve">рос масла </w:t>
      </w:r>
      <w:proofErr w:type="gramStart"/>
      <w:r w:rsidRPr="008127F8">
        <w:rPr>
          <w:rFonts w:ascii="Times New Roman" w:hAnsi="Times New Roman"/>
          <w:color w:val="000000" w:themeColor="text1"/>
          <w:sz w:val="16"/>
          <w:szCs w:val="16"/>
        </w:rPr>
        <w:t>через суфлеры</w:t>
      </w:r>
      <w:proofErr w:type="gramEnd"/>
      <w:r w:rsidRPr="008127F8">
        <w:rPr>
          <w:rFonts w:ascii="Times New Roman" w:hAnsi="Times New Roman"/>
          <w:color w:val="000000" w:themeColor="text1"/>
          <w:sz w:val="16"/>
          <w:szCs w:val="16"/>
        </w:rPr>
        <w:t>, неста</w:t>
      </w:r>
      <w:r w:rsidRPr="008127F8">
        <w:rPr>
          <w:rFonts w:ascii="Times New Roman" w:hAnsi="Times New Roman"/>
          <w:color w:val="000000" w:themeColor="text1"/>
          <w:sz w:val="16"/>
          <w:szCs w:val="16"/>
        </w:rPr>
        <w:softHyphen/>
        <w:t>бильность расходов топлива по вы</w:t>
      </w:r>
      <w:r w:rsidRPr="008127F8">
        <w:rPr>
          <w:rFonts w:ascii="Times New Roman" w:hAnsi="Times New Roman"/>
          <w:color w:val="000000" w:themeColor="text1"/>
          <w:sz w:val="16"/>
          <w:szCs w:val="16"/>
        </w:rPr>
        <w:softHyphen/>
        <w:t>сотам, недостаточная надежность масломагистрали, соединяющей моторные и самолетные агрегаты, заводом частично устранены и про</w:t>
      </w:r>
      <w:r w:rsidRPr="008127F8">
        <w:rPr>
          <w:rFonts w:ascii="Times New Roman" w:hAnsi="Times New Roman"/>
          <w:color w:val="000000" w:themeColor="text1"/>
          <w:sz w:val="16"/>
          <w:szCs w:val="16"/>
        </w:rPr>
        <w:softHyphen/>
        <w:t>водится дальнейшая доводка с це</w:t>
      </w:r>
      <w:r w:rsidRPr="008127F8">
        <w:rPr>
          <w:rFonts w:ascii="Times New Roman" w:hAnsi="Times New Roman"/>
          <w:color w:val="000000" w:themeColor="text1"/>
          <w:sz w:val="16"/>
          <w:szCs w:val="16"/>
        </w:rPr>
        <w:softHyphen/>
        <w:t>лью еще большего увеличения на</w:t>
      </w:r>
      <w:r w:rsidRPr="008127F8">
        <w:rPr>
          <w:rFonts w:ascii="Times New Roman" w:hAnsi="Times New Roman"/>
          <w:color w:val="000000" w:themeColor="text1"/>
          <w:sz w:val="16"/>
          <w:szCs w:val="16"/>
        </w:rPr>
        <w:softHyphen/>
        <w:t>дежности мотора и винтомоторной группы.</w:t>
      </w:r>
    </w:p>
    <w:p w14:paraId="16F6D60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указанным выше самолетам с моторами М-82 со стороны НИИ ВВС Красной Армии и НКАП до сего времени нет никаких решений о постановке их на серийное произ</w:t>
      </w:r>
      <w:r w:rsidRPr="008127F8">
        <w:rPr>
          <w:rFonts w:ascii="Times New Roman" w:hAnsi="Times New Roman"/>
          <w:color w:val="000000" w:themeColor="text1"/>
          <w:sz w:val="16"/>
          <w:szCs w:val="16"/>
        </w:rPr>
        <w:softHyphen/>
        <w:t>водство, несмотря на то, что приме</w:t>
      </w:r>
      <w:r w:rsidRPr="008127F8">
        <w:rPr>
          <w:rFonts w:ascii="Times New Roman" w:hAnsi="Times New Roman"/>
          <w:color w:val="000000" w:themeColor="text1"/>
          <w:sz w:val="16"/>
          <w:szCs w:val="16"/>
        </w:rPr>
        <w:softHyphen/>
        <w:t>нение мотора М-82 за счет боль</w:t>
      </w:r>
      <w:r w:rsidRPr="008127F8">
        <w:rPr>
          <w:rFonts w:ascii="Times New Roman" w:hAnsi="Times New Roman"/>
          <w:color w:val="000000" w:themeColor="text1"/>
          <w:sz w:val="16"/>
          <w:szCs w:val="16"/>
        </w:rPr>
        <w:softHyphen/>
        <w:t>шей мощности мотора и других преимуществ улучшает тактико-тех</w:t>
      </w:r>
      <w:r w:rsidRPr="008127F8">
        <w:rPr>
          <w:rFonts w:ascii="Times New Roman" w:hAnsi="Times New Roman"/>
          <w:color w:val="000000" w:themeColor="text1"/>
          <w:sz w:val="16"/>
          <w:szCs w:val="16"/>
        </w:rPr>
        <w:softHyphen/>
        <w:t>нические данные самолетов.</w:t>
      </w:r>
    </w:p>
    <w:p w14:paraId="167C829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Проведенные НИИ ВВС Красной Армии в марте с/г Государствен</w:t>
      </w:r>
      <w:r w:rsidRPr="008127F8">
        <w:rPr>
          <w:rFonts w:ascii="Times New Roman" w:hAnsi="Times New Roman"/>
          <w:color w:val="000000" w:themeColor="text1"/>
          <w:sz w:val="16"/>
          <w:szCs w:val="16"/>
        </w:rPr>
        <w:softHyphen/>
        <w:t>ные испытания самолета Ил-2 с мотором М-82 показали нереши</w:t>
      </w:r>
      <w:r w:rsidRPr="008127F8">
        <w:rPr>
          <w:rFonts w:ascii="Times New Roman" w:hAnsi="Times New Roman"/>
          <w:color w:val="000000" w:themeColor="text1"/>
          <w:sz w:val="16"/>
          <w:szCs w:val="16"/>
        </w:rPr>
        <w:softHyphen/>
        <w:t>тельность и боязнь. НИИ ВВС при решении вопроса о применении мотора М-82 в боевой эксплоата</w:t>
      </w:r>
      <w:r w:rsidRPr="008127F8">
        <w:rPr>
          <w:rFonts w:ascii="Times New Roman" w:hAnsi="Times New Roman"/>
          <w:color w:val="000000" w:themeColor="text1"/>
          <w:sz w:val="16"/>
          <w:szCs w:val="16"/>
        </w:rPr>
        <w:softHyphen/>
        <w:t>ции всячески выискивал отрицатель</w:t>
      </w:r>
      <w:r w:rsidRPr="008127F8">
        <w:rPr>
          <w:rFonts w:ascii="Times New Roman" w:hAnsi="Times New Roman"/>
          <w:color w:val="000000" w:themeColor="text1"/>
          <w:sz w:val="16"/>
          <w:szCs w:val="16"/>
        </w:rPr>
        <w:softHyphen/>
        <w:t>ные стороны самолета и мотора. Наряду с этим по самолету, снятому с серийного производства (СУ-2) НИИ ВВС дает смелое и положи</w:t>
      </w:r>
      <w:r w:rsidRPr="008127F8">
        <w:rPr>
          <w:rFonts w:ascii="Times New Roman" w:hAnsi="Times New Roman"/>
          <w:color w:val="000000" w:themeColor="text1"/>
          <w:sz w:val="16"/>
          <w:szCs w:val="16"/>
        </w:rPr>
        <w:softHyphen/>
        <w:t>тельное заключение.</w:t>
      </w:r>
    </w:p>
    <w:p w14:paraId="41A9898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Материалы сравнительных дан</w:t>
      </w:r>
      <w:r w:rsidRPr="008127F8">
        <w:rPr>
          <w:rFonts w:ascii="Times New Roman" w:hAnsi="Times New Roman"/>
          <w:color w:val="000000" w:themeColor="text1"/>
          <w:sz w:val="16"/>
          <w:szCs w:val="16"/>
        </w:rPr>
        <w:softHyphen/>
        <w:t>ных самолета Ил-2 с мотором М-38 и самолета Ил-2 с мотором М-82 подобраны так, чтобы показать не</w:t>
      </w:r>
      <w:r w:rsidRPr="008127F8">
        <w:rPr>
          <w:rFonts w:ascii="Times New Roman" w:hAnsi="Times New Roman"/>
          <w:color w:val="000000" w:themeColor="text1"/>
          <w:sz w:val="16"/>
          <w:szCs w:val="16"/>
        </w:rPr>
        <w:softHyphen/>
        <w:t>выгодность применения мотора М-82...</w:t>
      </w:r>
    </w:p>
    <w:p w14:paraId="200D06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со стороны НИИ ВВС высказываются не проверен</w:t>
      </w:r>
      <w:r w:rsidRPr="008127F8">
        <w:rPr>
          <w:rFonts w:ascii="Times New Roman" w:hAnsi="Times New Roman"/>
          <w:color w:val="000000" w:themeColor="text1"/>
          <w:sz w:val="16"/>
          <w:szCs w:val="16"/>
        </w:rPr>
        <w:softHyphen/>
        <w:t>ные предположения о уязвимости небронированного мотора, в силу чего по мнению НИИ ВВС мотор М-82 на самолете Ил-2 может быть временно применен на ограничен</w:t>
      </w:r>
      <w:r w:rsidRPr="008127F8">
        <w:rPr>
          <w:rFonts w:ascii="Times New Roman" w:hAnsi="Times New Roman"/>
          <w:color w:val="000000" w:themeColor="text1"/>
          <w:sz w:val="16"/>
          <w:szCs w:val="16"/>
        </w:rPr>
        <w:softHyphen/>
        <w:t>ном количестве самолетов в слу</w:t>
      </w:r>
      <w:r w:rsidRPr="008127F8">
        <w:rPr>
          <w:rFonts w:ascii="Times New Roman" w:hAnsi="Times New Roman"/>
          <w:color w:val="000000" w:themeColor="text1"/>
          <w:sz w:val="16"/>
          <w:szCs w:val="16"/>
        </w:rPr>
        <w:softHyphen/>
        <w:t>чае отсутствия моторов АМ-38.</w:t>
      </w:r>
    </w:p>
    <w:p w14:paraId="2EC8313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боевой эксплоатации мо</w:t>
      </w:r>
      <w:r w:rsidRPr="008127F8">
        <w:rPr>
          <w:rFonts w:ascii="Times New Roman" w:hAnsi="Times New Roman"/>
          <w:color w:val="000000" w:themeColor="text1"/>
          <w:sz w:val="16"/>
          <w:szCs w:val="16"/>
        </w:rPr>
        <w:softHyphen/>
        <w:t>торов воздушного охлаждения ука</w:t>
      </w:r>
      <w:r w:rsidRPr="008127F8">
        <w:rPr>
          <w:rFonts w:ascii="Times New Roman" w:hAnsi="Times New Roman"/>
          <w:color w:val="000000" w:themeColor="text1"/>
          <w:sz w:val="16"/>
          <w:szCs w:val="16"/>
        </w:rPr>
        <w:softHyphen/>
        <w:t>зывает на их большую неуязви</w:t>
      </w:r>
      <w:r w:rsidRPr="008127F8">
        <w:rPr>
          <w:rFonts w:ascii="Times New Roman" w:hAnsi="Times New Roman"/>
          <w:color w:val="000000" w:themeColor="text1"/>
          <w:sz w:val="16"/>
          <w:szCs w:val="16"/>
        </w:rPr>
        <w:softHyphen/>
        <w:t>мость.</w:t>
      </w:r>
    </w:p>
    <w:p w14:paraId="5114D96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же необходимости воз</w:t>
      </w:r>
      <w:r w:rsidRPr="008127F8">
        <w:rPr>
          <w:rFonts w:ascii="Times New Roman" w:hAnsi="Times New Roman"/>
          <w:color w:val="000000" w:themeColor="text1"/>
          <w:sz w:val="16"/>
          <w:szCs w:val="16"/>
        </w:rPr>
        <w:softHyphen/>
        <w:t>можно на Ил-2 с М-82 частичное бронирование мотора в его ниж</w:t>
      </w:r>
      <w:r w:rsidRPr="008127F8">
        <w:rPr>
          <w:rFonts w:ascii="Times New Roman" w:hAnsi="Times New Roman"/>
          <w:color w:val="000000" w:themeColor="text1"/>
          <w:sz w:val="16"/>
          <w:szCs w:val="16"/>
        </w:rPr>
        <w:softHyphen/>
        <w:t>ней части.</w:t>
      </w:r>
    </w:p>
    <w:p w14:paraId="27E631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учесть вышеизложенные замечания по выводам НИИ ВВС по самолету Ил-2 с М-82 и через ГКО решить вопрос о внедрении в ши</w:t>
      </w:r>
      <w:r w:rsidRPr="008127F8">
        <w:rPr>
          <w:rFonts w:ascii="Times New Roman" w:hAnsi="Times New Roman"/>
          <w:color w:val="000000" w:themeColor="text1"/>
          <w:sz w:val="16"/>
          <w:szCs w:val="16"/>
        </w:rPr>
        <w:softHyphen/>
        <w:t>рокую эксплоатацию самолетов Ил-2 с моторами М-82.</w:t>
      </w:r>
    </w:p>
    <w:p w14:paraId="450A606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докладываю, что заводом проведено официальное 100-часовое испытание мотора М-82 с односкоростным нагнетателем специально для штурмовика (взлет</w:t>
      </w:r>
      <w:r w:rsidRPr="008127F8">
        <w:rPr>
          <w:rFonts w:ascii="Times New Roman" w:hAnsi="Times New Roman"/>
          <w:color w:val="000000" w:themeColor="text1"/>
          <w:sz w:val="16"/>
          <w:szCs w:val="16"/>
        </w:rPr>
        <w:softHyphen/>
        <w:t>ная мощность 1800 л.с. и 1560 л. с. на высоте 1900 метров).</w:t>
      </w:r>
    </w:p>
    <w:p w14:paraId="3A2024E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производство данного форсированного мотора не вызы</w:t>
      </w:r>
      <w:r w:rsidRPr="008127F8">
        <w:rPr>
          <w:rFonts w:ascii="Times New Roman" w:hAnsi="Times New Roman"/>
          <w:color w:val="000000" w:themeColor="text1"/>
          <w:sz w:val="16"/>
          <w:szCs w:val="16"/>
        </w:rPr>
        <w:softHyphen/>
        <w:t>вает каких-либо затруднений.</w:t>
      </w:r>
    </w:p>
    <w:p w14:paraId="7E33BC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заводом подготовля</w:t>
      </w:r>
      <w:r w:rsidRPr="008127F8">
        <w:rPr>
          <w:rFonts w:ascii="Times New Roman" w:hAnsi="Times New Roman"/>
          <w:color w:val="000000" w:themeColor="text1"/>
          <w:sz w:val="16"/>
          <w:szCs w:val="16"/>
        </w:rPr>
        <w:softHyphen/>
        <w:t>ется к длительному заводскому ис</w:t>
      </w:r>
      <w:r w:rsidRPr="008127F8">
        <w:rPr>
          <w:rFonts w:ascii="Times New Roman" w:hAnsi="Times New Roman"/>
          <w:color w:val="000000" w:themeColor="text1"/>
          <w:sz w:val="16"/>
          <w:szCs w:val="16"/>
        </w:rPr>
        <w:softHyphen/>
        <w:t>пытанию более форсированный мотор, имеющий следующие дан</w:t>
      </w:r>
      <w:r w:rsidRPr="008127F8">
        <w:rPr>
          <w:rFonts w:ascii="Times New Roman" w:hAnsi="Times New Roman"/>
          <w:color w:val="000000" w:themeColor="text1"/>
          <w:sz w:val="16"/>
          <w:szCs w:val="16"/>
        </w:rPr>
        <w:softHyphen/>
        <w:t xml:space="preserve">ные: взлет 1900 л. с. и 1700 л. с. </w:t>
      </w:r>
      <w:r w:rsidRPr="008127F8">
        <w:rPr>
          <w:rFonts w:ascii="Times New Roman" w:hAnsi="Times New Roman"/>
          <w:color w:val="000000" w:themeColor="text1"/>
          <w:sz w:val="16"/>
          <w:szCs w:val="16"/>
        </w:rPr>
        <w:lastRenderedPageBreak/>
        <w:t>на высоте 2000 метров. Габариты мо</w:t>
      </w:r>
      <w:r w:rsidRPr="008127F8">
        <w:rPr>
          <w:rFonts w:ascii="Times New Roman" w:hAnsi="Times New Roman"/>
          <w:color w:val="000000" w:themeColor="text1"/>
          <w:sz w:val="16"/>
          <w:szCs w:val="16"/>
        </w:rPr>
        <w:softHyphen/>
        <w:t>тора при этом не меняются». (10686).</w:t>
      </w:r>
    </w:p>
    <w:p w14:paraId="21C24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FE96D" w14:textId="77777777" w:rsidR="009E2626" w:rsidRPr="008127F8" w:rsidRDefault="009E2626" w:rsidP="001E0A84">
      <w:pPr>
        <w:pStyle w:val="a4"/>
        <w:rPr>
          <w:color w:val="000000" w:themeColor="text1"/>
          <w:lang w:val="ru-RU"/>
        </w:rPr>
      </w:pPr>
      <w:r w:rsidRPr="008127F8">
        <w:rPr>
          <w:color w:val="000000" w:themeColor="text1"/>
          <w:lang w:val="ru-RU"/>
        </w:rPr>
        <w:t xml:space="preserve">4 апреля 1942 г. директор завода № 19 Кожевников в письме на имя наркома Шахурина и командующего ВВС КА Жигарева </w:t>
      </w:r>
      <w:r w:rsidRPr="008127F8">
        <w:rPr>
          <w:color w:val="000000" w:themeColor="text1"/>
        </w:rPr>
        <w:t>i</w:t>
      </w:r>
      <w:r w:rsidRPr="008127F8">
        <w:rPr>
          <w:color w:val="000000" w:themeColor="text1"/>
          <w:lang w:val="ru-RU"/>
        </w:rPr>
        <w:t>отметил:</w:t>
      </w:r>
    </w:p>
    <w:p w14:paraId="6CFAD40F" w14:textId="77777777" w:rsidR="009E2626" w:rsidRPr="008127F8" w:rsidRDefault="009E2626" w:rsidP="001E0A84">
      <w:pPr>
        <w:pStyle w:val="a4"/>
        <w:rPr>
          <w:color w:val="000000" w:themeColor="text1"/>
          <w:lang w:val="ru-RU"/>
        </w:rPr>
      </w:pPr>
      <w:r w:rsidRPr="008127F8">
        <w:rPr>
          <w:color w:val="000000" w:themeColor="text1"/>
          <w:lang w:val="ru-RU"/>
        </w:rPr>
        <w:t>«Решением ГКО № 574 от 24/</w:t>
      </w:r>
      <w:r w:rsidRPr="008127F8">
        <w:rPr>
          <w:color w:val="000000" w:themeColor="text1"/>
        </w:rPr>
        <w:t>VIII</w:t>
      </w:r>
      <w:r w:rsidRPr="008127F8">
        <w:rPr>
          <w:color w:val="000000" w:themeColor="text1"/>
          <w:lang w:val="ru-RU"/>
        </w:rPr>
        <w:t>-1941 г. на основе проведенных государственных гндовых испытаний мотор М-82 был принят на вооружение Красной Армии. За период с июня 1941 г. по март 1942 г. завод № 19 организовал серийное производство и выпустил 829 моторов М-82. Из выпущенного количества только 51 мотор тановлен на самолёты Су-2 и направлен в войсковую эксплуатацию. По состоянию на 1/</w:t>
      </w:r>
      <w:r w:rsidRPr="008127F8">
        <w:rPr>
          <w:color w:val="000000" w:themeColor="text1"/>
        </w:rPr>
        <w:t>IV</w:t>
      </w:r>
      <w:r w:rsidRPr="008127F8">
        <w:rPr>
          <w:color w:val="000000" w:themeColor="text1"/>
          <w:lang w:val="ru-RU"/>
        </w:rPr>
        <w:t xml:space="preserve"> на складах завода находится 370 моторов М-82. Несмотря на очевидную ясность, что выпущенные моторы М-82 должны быть использованы на боевых самолётах, особенно в военное время, НИИ ВВС Красной Армии не сделал из указанного положения никаких выводов по практическому применению мото</w:t>
      </w:r>
      <w:r w:rsidRPr="008127F8">
        <w:rPr>
          <w:color w:val="000000" w:themeColor="text1"/>
          <w:lang w:val="ru-RU"/>
        </w:rPr>
        <w:softHyphen/>
        <w:t>ров М-82 в связи с принятием его на вооружение Красной Армии.</w:t>
      </w:r>
    </w:p>
    <w:p w14:paraId="6DA63F01" w14:textId="77777777" w:rsidR="009E2626" w:rsidRPr="008127F8" w:rsidRDefault="009E2626" w:rsidP="001E0A84">
      <w:pPr>
        <w:pStyle w:val="a4"/>
        <w:rPr>
          <w:color w:val="000000" w:themeColor="text1"/>
          <w:lang w:val="ru-RU"/>
        </w:rPr>
      </w:pPr>
      <w:r w:rsidRPr="008127F8">
        <w:rPr>
          <w:color w:val="000000" w:themeColor="text1"/>
          <w:lang w:val="ru-RU"/>
        </w:rPr>
        <w:t>Мотор М-82 проходил лётные испытания на всех современных типах боевых само</w:t>
      </w:r>
      <w:r w:rsidRPr="008127F8">
        <w:rPr>
          <w:color w:val="000000" w:themeColor="text1"/>
          <w:lang w:val="ru-RU"/>
        </w:rPr>
        <w:softHyphen/>
        <w:t>лётов: на истребителях ЛАГГ-3 (вариант Гудкова), И-185, МИГ-3, бомбардировщиках СУ-2, 103, ДБ-ЗФ и штурмовике ИЛ-2.</w:t>
      </w:r>
    </w:p>
    <w:p w14:paraId="1DCBF76F" w14:textId="77777777" w:rsidR="009E2626" w:rsidRPr="008127F8" w:rsidRDefault="009E2626" w:rsidP="001E0A84">
      <w:pPr>
        <w:pStyle w:val="a4"/>
        <w:rPr>
          <w:color w:val="000000" w:themeColor="text1"/>
          <w:lang w:val="ru-RU"/>
        </w:rPr>
      </w:pPr>
      <w:r w:rsidRPr="008127F8">
        <w:rPr>
          <w:color w:val="000000" w:themeColor="text1"/>
          <w:lang w:val="ru-RU"/>
        </w:rPr>
        <w:t>Выявленные в процессе опытной эксплуатации дефекты мотора и винтомоторной груп</w:t>
      </w:r>
      <w:r w:rsidRPr="008127F8">
        <w:rPr>
          <w:color w:val="000000" w:themeColor="text1"/>
          <w:lang w:val="ru-RU"/>
        </w:rPr>
        <w:softHyphen/>
        <w:t xml:space="preserve">пы как-то: выброс масла </w:t>
      </w:r>
      <w:proofErr w:type="gramStart"/>
      <w:r w:rsidRPr="008127F8">
        <w:rPr>
          <w:color w:val="000000" w:themeColor="text1"/>
          <w:lang w:val="ru-RU"/>
        </w:rPr>
        <w:t>через суфлёры</w:t>
      </w:r>
      <w:proofErr w:type="gramEnd"/>
      <w:r w:rsidRPr="008127F8">
        <w:rPr>
          <w:color w:val="000000" w:themeColor="text1"/>
          <w:lang w:val="ru-RU"/>
        </w:rPr>
        <w:t>, нестабильность расходов топлива по высотам, недостаточная надежность масломагистрали, соединяющей моторные и самолётные аг</w:t>
      </w:r>
      <w:r w:rsidRPr="008127F8">
        <w:rPr>
          <w:color w:val="000000" w:themeColor="text1"/>
          <w:lang w:val="ru-RU"/>
        </w:rPr>
        <w:softHyphen/>
        <w:t>регаты, заводом частично устранены, и проводится дальнейшая доводка с целью ещё большего увеличения надёжности мотора и винтомоторной группы.</w:t>
      </w:r>
    </w:p>
    <w:p w14:paraId="34E030B8" w14:textId="77777777" w:rsidR="009E2626" w:rsidRPr="008127F8" w:rsidRDefault="009E2626" w:rsidP="001E0A84">
      <w:pPr>
        <w:pStyle w:val="a4"/>
        <w:rPr>
          <w:color w:val="000000" w:themeColor="text1"/>
          <w:lang w:val="ru-RU"/>
        </w:rPr>
      </w:pPr>
      <w:r w:rsidRPr="008127F8">
        <w:rPr>
          <w:color w:val="000000" w:themeColor="text1"/>
          <w:lang w:val="ru-RU"/>
        </w:rPr>
        <w:t>По указанным выше самолётам с моторами М-82 со стороны НИИ ВВС Красной Армии и НКАП до сего времени нет никаких решений о постановке их на серийное производст</w:t>
      </w:r>
      <w:r w:rsidRPr="008127F8">
        <w:rPr>
          <w:color w:val="000000" w:themeColor="text1"/>
          <w:lang w:val="ru-RU"/>
        </w:rPr>
        <w:softHyphen/>
        <w:t>во, несмотря на то, что применение мотора М-82 за счет большей мощности мотора и других преимуществ улучшает тактико-технические данные самолётов.</w:t>
      </w:r>
    </w:p>
    <w:p w14:paraId="17B9E30E" w14:textId="77777777" w:rsidR="009E2626" w:rsidRPr="008127F8" w:rsidRDefault="009E2626" w:rsidP="001E0A84">
      <w:pPr>
        <w:pStyle w:val="a4"/>
        <w:rPr>
          <w:color w:val="000000" w:themeColor="text1"/>
          <w:lang w:val="ru-RU"/>
        </w:rPr>
      </w:pPr>
      <w:r w:rsidRPr="008127F8">
        <w:rPr>
          <w:color w:val="000000" w:themeColor="text1"/>
          <w:lang w:val="ru-RU"/>
        </w:rPr>
        <w:t>Проведенные НИИ ВВС Красной Армии в марте с/г Государственные испытания само</w:t>
      </w:r>
      <w:r w:rsidRPr="008127F8">
        <w:rPr>
          <w:color w:val="000000" w:themeColor="text1"/>
          <w:lang w:val="ru-RU"/>
        </w:rPr>
        <w:softHyphen/>
        <w:t>лёта Ил-2 с мотором М-82 показали нерешительность и боязнь. НИИ ВВС при решении вопроса о применении мотора М-82 в боевой эксплуатации всячески выискивал отрица</w:t>
      </w:r>
      <w:r w:rsidRPr="008127F8">
        <w:rPr>
          <w:color w:val="000000" w:themeColor="text1"/>
          <w:lang w:val="ru-RU"/>
        </w:rPr>
        <w:softHyphen/>
        <w:t>тельные стороны самолёта и мотора. Наряду с этим по самолёту, снятому с серийного производства (СУ-2) НИИ ВВС даёт смелое и положительное заключение.</w:t>
      </w:r>
    </w:p>
    <w:p w14:paraId="51484C41" w14:textId="77777777" w:rsidR="009E2626" w:rsidRPr="008127F8" w:rsidRDefault="009E2626" w:rsidP="001E0A84">
      <w:pPr>
        <w:pStyle w:val="a4"/>
        <w:rPr>
          <w:color w:val="000000" w:themeColor="text1"/>
          <w:lang w:val="ru-RU"/>
        </w:rPr>
      </w:pPr>
      <w:r w:rsidRPr="008127F8">
        <w:rPr>
          <w:color w:val="000000" w:themeColor="text1"/>
          <w:lang w:val="ru-RU"/>
        </w:rPr>
        <w:t>Материалы сравнительных данных самолёта Ил-2 с мотором М-38 и самолёта Ил-2 с мотором М-82 подобраны так, чтобы показать невыгодность применения мотора М-82...</w:t>
      </w:r>
    </w:p>
    <w:p w14:paraId="5DA22DFB" w14:textId="77777777" w:rsidR="009E2626" w:rsidRPr="008127F8" w:rsidRDefault="009E2626" w:rsidP="001E0A84">
      <w:pPr>
        <w:pStyle w:val="a4"/>
        <w:rPr>
          <w:color w:val="000000" w:themeColor="text1"/>
          <w:lang w:val="ru-RU"/>
        </w:rPr>
      </w:pPr>
      <w:r w:rsidRPr="008127F8">
        <w:rPr>
          <w:color w:val="000000" w:themeColor="text1"/>
          <w:lang w:val="ru-RU"/>
        </w:rPr>
        <w:t>Одновременно со стороны НИИ ВВС высказываются не проверенные предположения о уязвимости небронированного мотора, в силу чего по мнению НИИ ВВС мотор М-82 на самолёте Ил-2 может быть временно применен на ограниченном количестве само</w:t>
      </w:r>
      <w:r w:rsidRPr="008127F8">
        <w:rPr>
          <w:color w:val="000000" w:themeColor="text1"/>
          <w:lang w:val="ru-RU"/>
        </w:rPr>
        <w:softHyphen/>
        <w:t>лётов в случае отсутствия моторов АМ-38. Опыт боевой эксплуатации моторов воз</w:t>
      </w:r>
      <w:r w:rsidRPr="008127F8">
        <w:rPr>
          <w:color w:val="000000" w:themeColor="text1"/>
          <w:lang w:val="ru-RU"/>
        </w:rPr>
        <w:softHyphen/>
        <w:t>душного охлаждения указывает на их большую неуязвимость.</w:t>
      </w:r>
    </w:p>
    <w:p w14:paraId="31CAE441" w14:textId="77777777" w:rsidR="009E2626" w:rsidRPr="008127F8" w:rsidRDefault="009E2626" w:rsidP="001E0A84">
      <w:pPr>
        <w:pStyle w:val="a4"/>
        <w:rPr>
          <w:color w:val="000000" w:themeColor="text1"/>
          <w:lang w:val="ru-RU"/>
        </w:rPr>
      </w:pPr>
      <w:r w:rsidRPr="008127F8">
        <w:rPr>
          <w:color w:val="000000" w:themeColor="text1"/>
          <w:lang w:val="ru-RU"/>
        </w:rPr>
        <w:t>В случае же необходимости возможно на Ил-2 с М-82 частичное бронирование мо</w:t>
      </w:r>
      <w:r w:rsidRPr="008127F8">
        <w:rPr>
          <w:color w:val="000000" w:themeColor="text1"/>
          <w:lang w:val="ru-RU"/>
        </w:rPr>
        <w:softHyphen/>
        <w:t>тора в его нижней части.</w:t>
      </w:r>
    </w:p>
    <w:p w14:paraId="4FA364EF" w14:textId="77777777" w:rsidR="009E2626" w:rsidRPr="008127F8" w:rsidRDefault="009E2626" w:rsidP="001E0A84">
      <w:pPr>
        <w:pStyle w:val="a4"/>
        <w:rPr>
          <w:color w:val="000000" w:themeColor="text1"/>
          <w:lang w:val="ru-RU"/>
        </w:rPr>
      </w:pPr>
      <w:r w:rsidRPr="008127F8">
        <w:rPr>
          <w:color w:val="000000" w:themeColor="text1"/>
          <w:lang w:val="ru-RU"/>
        </w:rPr>
        <w:t>Прошу учесть вышеизложенные замечания по выводам НИИ ВВС по самолёту Ил-2 с М-82 и через ГКО решить вопрос о внедрении в широкую эксплуатацию самолётов Ил-2 с моторами М-82.</w:t>
      </w:r>
    </w:p>
    <w:p w14:paraId="4A63FE10" w14:textId="77777777" w:rsidR="009E2626" w:rsidRPr="008127F8" w:rsidRDefault="009E2626" w:rsidP="001E0A84">
      <w:pPr>
        <w:pStyle w:val="a4"/>
        <w:rPr>
          <w:color w:val="000000" w:themeColor="text1"/>
          <w:lang w:val="ru-RU"/>
        </w:rPr>
      </w:pPr>
      <w:r w:rsidRPr="008127F8">
        <w:rPr>
          <w:color w:val="000000" w:themeColor="text1"/>
          <w:lang w:val="ru-RU"/>
        </w:rPr>
        <w:t>Одновременно докладываю, что заводом проведено официальное 100-часовое ис</w:t>
      </w:r>
      <w:r w:rsidRPr="008127F8">
        <w:rPr>
          <w:color w:val="000000" w:themeColor="text1"/>
          <w:lang w:val="ru-RU"/>
        </w:rPr>
        <w:softHyphen/>
        <w:t xml:space="preserve">пытание мотора М-82 с односкоростным нагнетателем специально для штурмовика (взлётная мощность 1800 л.с. и 1560 л.с. на высоте </w:t>
      </w:r>
      <w:proofErr w:type="gramStart"/>
      <w:r w:rsidRPr="008127F8">
        <w:rPr>
          <w:color w:val="000000" w:themeColor="text1"/>
          <w:lang w:val="ru-RU"/>
        </w:rPr>
        <w:t>1900</w:t>
      </w:r>
      <w:r w:rsidRPr="008127F8">
        <w:rPr>
          <w:color w:val="000000" w:themeColor="text1"/>
          <w:vertAlign w:val="subscript"/>
          <w:lang w:val="ru-RU"/>
        </w:rPr>
        <w:t>;</w:t>
      </w:r>
      <w:r w:rsidRPr="008127F8">
        <w:rPr>
          <w:color w:val="000000" w:themeColor="text1"/>
          <w:lang w:val="ru-RU"/>
        </w:rPr>
        <w:t>метров</w:t>
      </w:r>
      <w:proofErr w:type="gramEnd"/>
      <w:r w:rsidRPr="008127F8">
        <w:rPr>
          <w:color w:val="000000" w:themeColor="text1"/>
          <w:lang w:val="ru-RU"/>
        </w:rPr>
        <w:t>).</w:t>
      </w:r>
    </w:p>
    <w:p w14:paraId="79169276" w14:textId="77777777" w:rsidR="009E2626" w:rsidRPr="008127F8" w:rsidRDefault="009E2626" w:rsidP="001E0A84">
      <w:pPr>
        <w:pStyle w:val="a4"/>
        <w:rPr>
          <w:color w:val="000000" w:themeColor="text1"/>
          <w:lang w:val="ru-RU"/>
        </w:rPr>
      </w:pPr>
      <w:r w:rsidRPr="008127F8">
        <w:rPr>
          <w:color w:val="000000" w:themeColor="text1"/>
          <w:lang w:val="ru-RU"/>
        </w:rPr>
        <w:t>Серийное производство данного форсированного мотора не вызывает каких-либо затруднений.</w:t>
      </w:r>
    </w:p>
    <w:p w14:paraId="71FDB339" w14:textId="77777777" w:rsidR="009E2626" w:rsidRPr="008127F8" w:rsidRDefault="009E2626" w:rsidP="001E0A84">
      <w:pPr>
        <w:pStyle w:val="a4"/>
        <w:rPr>
          <w:color w:val="000000" w:themeColor="text1"/>
          <w:lang w:val="ru-RU"/>
        </w:rPr>
      </w:pPr>
      <w:r w:rsidRPr="008127F8">
        <w:rPr>
          <w:color w:val="000000" w:themeColor="text1"/>
          <w:lang w:val="ru-RU"/>
        </w:rPr>
        <w:t>Кроме того, заводом подготовляется к длительному заводскому испытанию более форсированный мотор, имеющий следующие данные: взлёт 1900 л.с. и 1700 л.с. на высоте 2000 метров. Габариты мотора при этом не меняются».</w:t>
      </w:r>
    </w:p>
    <w:p w14:paraId="2CD18360" w14:textId="77777777" w:rsidR="009E2626" w:rsidRPr="008127F8" w:rsidRDefault="009E2626" w:rsidP="001E0A84">
      <w:pPr>
        <w:pStyle w:val="a4"/>
        <w:rPr>
          <w:color w:val="000000" w:themeColor="text1"/>
          <w:lang w:val="ru-RU"/>
        </w:rPr>
      </w:pPr>
      <w:r w:rsidRPr="008127F8">
        <w:rPr>
          <w:color w:val="000000" w:themeColor="text1"/>
          <w:lang w:val="ru-RU"/>
        </w:rPr>
        <w:t>Письмо показывает, что завод № 19 весьма рассчитывал на запуск в производство штурмовика с мотором М-82. Отчаявшись найти понимание в авиапроме, Кожевников пытался оказать давление на военных. Вскоре вместо него директором завода № 19 назначили Солдатова.</w:t>
      </w:r>
    </w:p>
    <w:p w14:paraId="7CA9C27A" w14:textId="77777777" w:rsidR="009E2626" w:rsidRPr="008127F8" w:rsidRDefault="009E2626" w:rsidP="001E0A84">
      <w:pPr>
        <w:pStyle w:val="a4"/>
        <w:rPr>
          <w:color w:val="000000" w:themeColor="text1"/>
          <w:lang w:val="ru-RU"/>
        </w:rPr>
      </w:pPr>
      <w:r w:rsidRPr="008127F8">
        <w:rPr>
          <w:color w:val="000000" w:themeColor="text1"/>
          <w:lang w:val="ru-RU"/>
        </w:rPr>
        <w:t>Наркомат же авиапромышленности к этому времени понял, что конструкция Ил-2 с М-82 существенно отличается от серийного Ил-2 с АМ-38, и в одиночку, без помощи основных по выпуску Ил-2 эвакуированных в Куйбышев мощных заводов №№ 1 и 18, за</w:t>
      </w:r>
      <w:r w:rsidRPr="008127F8">
        <w:rPr>
          <w:color w:val="000000" w:themeColor="text1"/>
          <w:lang w:val="ru-RU"/>
        </w:rPr>
        <w:softHyphen/>
        <w:t>вод № 135 не сможет наладить его устойчивый выпуск. В результате приняли решение о расформировании завода № 135 и переводе кадров и оборудования на заводы № 30 и № 381. То же самое касалось и завода № 381 в Нижнем Тагиле (15788).</w:t>
      </w:r>
    </w:p>
    <w:p w14:paraId="1796C2E6" w14:textId="77777777" w:rsidR="009E2626" w:rsidRPr="008127F8" w:rsidRDefault="009E2626" w:rsidP="001E0A84">
      <w:pPr>
        <w:pStyle w:val="a4"/>
        <w:rPr>
          <w:color w:val="000000" w:themeColor="text1"/>
          <w:lang w:val="ru-RU"/>
        </w:rPr>
      </w:pPr>
    </w:p>
    <w:p w14:paraId="04F57D21"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апреля 1942 г. утвердили отчет по испытаниям пушки 11П (23409).</w:t>
      </w:r>
    </w:p>
    <w:p w14:paraId="58CE0DDD" w14:textId="77777777" w:rsidR="00EF77FA" w:rsidRPr="008A2E5A" w:rsidRDefault="00EF77FA" w:rsidP="00EF77FA">
      <w:pPr>
        <w:spacing w:after="0" w:line="240" w:lineRule="auto"/>
        <w:jc w:val="both"/>
        <w:rPr>
          <w:rFonts w:ascii="Times New Roman" w:hAnsi="Times New Roman"/>
          <w:color w:val="0070C0"/>
          <w:sz w:val="16"/>
          <w:szCs w:val="16"/>
        </w:rPr>
      </w:pPr>
    </w:p>
    <w:p w14:paraId="0DBFBF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Шахурин писал письмо N Н-20/1276 Сталину.</w:t>
      </w:r>
    </w:p>
    <w:p w14:paraId="102A47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Созданный по Вашему указанию в июле 1941 года в системе НКАП планерный Главк, исходя из указания построить пяти, десяти и двадцатиместные планеры, провел следующие работы:</w:t>
      </w:r>
    </w:p>
    <w:p w14:paraId="41074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Построены и испытаны опытные образцы десантных планеров:</w:t>
      </w:r>
    </w:p>
    <w:p w14:paraId="4F913C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5-ти местный планер "Сокол" конструкции Воробьева, грузоподъемностью до 550 кг;</w:t>
      </w:r>
    </w:p>
    <w:p w14:paraId="11DBC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7-ми местный планер "РФ-8" конструкции Антонова, грузоподъемностью до 900 кг;</w:t>
      </w:r>
    </w:p>
    <w:p w14:paraId="369EA8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11-ти местный планер "Орел" конструкции Кучеренко, Афанасьева и Роднянского, грузоподъемностью до 1200 кг;</w:t>
      </w:r>
    </w:p>
    <w:p w14:paraId="7FA3DD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11-ти местный планер "Гр-29" конструкции Грибовского, грузоподъемностью до 1200 кг;</w:t>
      </w:r>
    </w:p>
    <w:p w14:paraId="4C62A7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20-ти местный планер КЦ-2 конструкции Колесникова и Цыбина, грузоподъемностью до 2200 кг;</w:t>
      </w:r>
    </w:p>
    <w:p w14:paraId="7FC7DE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грузовой планер К-1 конструкции Курбала, грузоподъемностью до 2800 кг;</w:t>
      </w:r>
    </w:p>
    <w:p w14:paraId="31AF0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7-ми местный планер РФ-8, 11-ти местный планер Гр-29 и 20-ти местный планер КЦ-2 прошли государственные испытания.</w:t>
      </w:r>
    </w:p>
    <w:p w14:paraId="220C59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Государственные испытания грузового планера К-1 заканчиваются.</w:t>
      </w:r>
    </w:p>
    <w:p w14:paraId="4ED09A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5-ти местный планер "Сокол" и 11-ти местный планер "Орел" не прошли государственных испытаний, как неудовлетворяющие тактико-техническим требованиям ВВС.</w:t>
      </w:r>
    </w:p>
    <w:p w14:paraId="33B84E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Организована планерная промышленность в составе девяти заводов:</w:t>
      </w:r>
    </w:p>
    <w:p w14:paraId="40B991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Завода N 445 в г. Алапаевске, Свердловской области, изготовляющего 7-ми местные планеры РФ-8.</w:t>
      </w:r>
    </w:p>
    <w:p w14:paraId="2A0FB1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Завода N 241 в г. Тюмени, Омской области, изготовляющего 7-ми местные планеры РФ-8.</w:t>
      </w:r>
    </w:p>
    <w:p w14:paraId="371723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Завода N 471, на ст. Шумерля, Чувашской АССР, изготовляющего 11-ти местные планеры Гр-29.</w:t>
      </w:r>
    </w:p>
    <w:p w14:paraId="0DA6A6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Завода N 494 в г. Козловке, Чувашской АССР, изготовляющего 11-ти местные планеры Гр-29.</w:t>
      </w:r>
    </w:p>
    <w:p w14:paraId="4D5C73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Завода N 168 в г. Волжске, Марийской АССР, изготовляющего 20-ти местные планеры КЦ-2.</w:t>
      </w:r>
    </w:p>
    <w:p w14:paraId="6ED19C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Завода N 490 в г. Сталинграде, осваивающего производство грузовых планеров К-1.</w:t>
      </w:r>
    </w:p>
    <w:p w14:paraId="7A6F23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Завода N 499 на ст. Заводоуковская, Омской области, изготовляющего 2-х местные учебно-тренировочные планеры УС-6 конструкции Антонова.</w:t>
      </w:r>
    </w:p>
    <w:p w14:paraId="14AE65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Восстанавливается производство 7-ми и 11-ти местных планеров на старых площадях эвакуированных планерных заводов: Рязанского планерного завода в г. Рязани и Тушинского планерного завода в г. Тушино.</w:t>
      </w:r>
    </w:p>
    <w:p w14:paraId="018686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Выпущено заводами Планерного гл. управления на 1-ое апреля 1942 г. 218 десантных и учебно-тренировочных планеров,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8127F8" w14:paraId="7CFE36A4" w14:textId="77777777">
        <w:tc>
          <w:tcPr>
            <w:tcW w:w="3757" w:type="dxa"/>
            <w:tcBorders>
              <w:top w:val="single" w:sz="12" w:space="0" w:color="auto"/>
            </w:tcBorders>
          </w:tcPr>
          <w:p w14:paraId="20DD3E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7-ми местных планеров</w:t>
            </w:r>
          </w:p>
        </w:tc>
        <w:tc>
          <w:tcPr>
            <w:tcW w:w="3757" w:type="dxa"/>
            <w:tcBorders>
              <w:top w:val="single" w:sz="12" w:space="0" w:color="auto"/>
            </w:tcBorders>
          </w:tcPr>
          <w:p w14:paraId="62AC09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r>
      <w:tr w:rsidR="006F4095" w:rsidRPr="008127F8" w14:paraId="068BE6A1" w14:textId="77777777">
        <w:tc>
          <w:tcPr>
            <w:tcW w:w="3757" w:type="dxa"/>
          </w:tcPr>
          <w:p w14:paraId="3F8322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11-ти местных планеров</w:t>
            </w:r>
          </w:p>
        </w:tc>
        <w:tc>
          <w:tcPr>
            <w:tcW w:w="3757" w:type="dxa"/>
          </w:tcPr>
          <w:p w14:paraId="24D7D1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w:t>
            </w:r>
          </w:p>
        </w:tc>
      </w:tr>
      <w:tr w:rsidR="006F4095" w:rsidRPr="008127F8" w14:paraId="554711B4" w14:textId="77777777">
        <w:tc>
          <w:tcPr>
            <w:tcW w:w="3757" w:type="dxa"/>
          </w:tcPr>
          <w:p w14:paraId="401B4F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20-ти местных планеров</w:t>
            </w:r>
          </w:p>
        </w:tc>
        <w:tc>
          <w:tcPr>
            <w:tcW w:w="3757" w:type="dxa"/>
          </w:tcPr>
          <w:p w14:paraId="72C6F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7B8B2993" w14:textId="77777777">
        <w:tc>
          <w:tcPr>
            <w:tcW w:w="3757" w:type="dxa"/>
          </w:tcPr>
          <w:p w14:paraId="227F0B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грузовых планеров</w:t>
            </w:r>
          </w:p>
        </w:tc>
        <w:tc>
          <w:tcPr>
            <w:tcW w:w="3757" w:type="dxa"/>
          </w:tcPr>
          <w:p w14:paraId="7EED95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1F35832B" w14:textId="77777777">
        <w:tc>
          <w:tcPr>
            <w:tcW w:w="3757" w:type="dxa"/>
            <w:tcBorders>
              <w:bottom w:val="single" w:sz="12" w:space="0" w:color="auto"/>
            </w:tcBorders>
          </w:tcPr>
          <w:p w14:paraId="24C6F3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учебно-тренировочных планеров</w:t>
            </w:r>
          </w:p>
        </w:tc>
        <w:tc>
          <w:tcPr>
            <w:tcW w:w="3757" w:type="dxa"/>
            <w:tcBorders>
              <w:bottom w:val="single" w:sz="12" w:space="0" w:color="auto"/>
            </w:tcBorders>
          </w:tcPr>
          <w:p w14:paraId="7F7DFB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r>
    </w:tbl>
    <w:p w14:paraId="62F5CF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сдан за март 81 планер. План второго квартала предусматривает выпуск 337 планеров, из коих в апреле - 100 планеров.</w:t>
      </w:r>
    </w:p>
    <w:p w14:paraId="0B293B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 намечено закончить 2-й этап опытных работ по десантным планерам:</w:t>
      </w:r>
    </w:p>
    <w:p w14:paraId="47CE3D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создание десантных мотопланеров:</w:t>
      </w:r>
    </w:p>
    <w:p w14:paraId="4E09E4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мотопланера конструкции Грибовского с одним мотором М-11, грузоподъемностью в 1000 кг;</w:t>
      </w:r>
    </w:p>
    <w:p w14:paraId="6C9BAA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мотопланера конструкции Цыбина и Колесникова с 2-мя моторами М-11, грузоподъемностью в 2000 году;</w:t>
      </w:r>
    </w:p>
    <w:p w14:paraId="2AD767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мотопланера конструкции Москалева с 2-мя моторами М-11, грузоподъемностью в 1750 кг.</w:t>
      </w:r>
    </w:p>
    <w:p w14:paraId="24B6DE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Мотопланеры, способные совершать самостоятельно горизонтальный полет, позволяет экономить ресурсы мощных самолетов, а также многократно использовать материальную часть путем самостоятельного возвращения на свои базы.</w:t>
      </w:r>
    </w:p>
    <w:p w14:paraId="1695B2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Крыльев для транспортировки по воздуху 6-ти тонных танков Т-60.</w:t>
      </w:r>
    </w:p>
    <w:p w14:paraId="07E25F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Воздушных прицепов для транспортировки бомб и других боевых грузов до 500 кг за самолетами-истребителями.</w:t>
      </w:r>
    </w:p>
    <w:p w14:paraId="127150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дальнейшего развертывания производства планеров необходимо проверить планеры в боевом применении и выбрать типы для массового серийного производства (1623,74).</w:t>
      </w:r>
    </w:p>
    <w:p w14:paraId="203940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96A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 апреля 1942 в НИИ ВВС закончились испытания Як-1 с РО и бомбами N 3855 (796,4).</w:t>
      </w:r>
    </w:p>
    <w:p w14:paraId="1A1E96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испытания окончились 24 апреля.</w:t>
      </w:r>
    </w:p>
    <w:p w14:paraId="227831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вышел приказ НКАП и командующего ВВС КА N 247сс/0015</w:t>
      </w:r>
    </w:p>
    <w:p w14:paraId="780A4A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5 марта 1942 N 1392сс и от 23 марта N 1508сс по самолету Ил-4 (ДБ-3Ф).</w:t>
      </w:r>
    </w:p>
    <w:p w14:paraId="3DE44C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10 ГУ Тарасевичу и директору завода 126 Тимофееву выпускать все самолеты Ил-4 оборудованными:</w:t>
      </w:r>
    </w:p>
    <w:p w14:paraId="7A5E57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бензопроводом к подвесным бензобакам и доп. маслобаками немедленно, </w:t>
      </w:r>
      <w:proofErr w:type="gramStart"/>
      <w:r w:rsidRPr="008127F8">
        <w:rPr>
          <w:rFonts w:ascii="Times New Roman" w:hAnsi="Times New Roman"/>
          <w:color w:val="000000" w:themeColor="text1"/>
          <w:sz w:val="16"/>
          <w:szCs w:val="16"/>
        </w:rPr>
        <w:t>согласно схем</w:t>
      </w:r>
      <w:proofErr w:type="gramEnd"/>
      <w:r w:rsidRPr="008127F8">
        <w:rPr>
          <w:rFonts w:ascii="Times New Roman" w:hAnsi="Times New Roman"/>
          <w:color w:val="000000" w:themeColor="text1"/>
          <w:sz w:val="16"/>
          <w:szCs w:val="16"/>
        </w:rPr>
        <w:t>, испытанных в 3 А дивизии ДД и утвержденных ВВС</w:t>
      </w:r>
    </w:p>
    <w:p w14:paraId="1047DF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15 мая с.г. средними стрелковыми установками УТК-1 конструкции Шебанова под пулемет Березина калибра 12.7 мм взамен МВ-3 под пулемет ШКАС</w:t>
      </w:r>
    </w:p>
    <w:p w14:paraId="304D19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ГК С.В.И.</w:t>
      </w:r>
    </w:p>
    <w:p w14:paraId="18E4C9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связи с тем, что верхняя и люковая установки под пулемет Березина 12.7 мм испытывались отдельно, а не комплексно на самолете, совместно с 3 АДД провести испытания самолета Ил-4 с верхней и люковой установкой под крупнокалиберные пулеметы 12.7 мм вместо ШКАС и совместно с ВВС дать документ о проверке самолета Ил-4 с новым усиленным вооружением</w:t>
      </w:r>
    </w:p>
    <w:p w14:paraId="1C24A4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образцу установки УТК-1 под пулемет Березина на самолете Ил-4 в 3 АДД, разработать чертежи на монтаж УТК-1, как для серийного производства на заводе 126, так и для перевооружения в частях ВВС (1540,127).</w:t>
      </w:r>
    </w:p>
    <w:p w14:paraId="44B778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942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апреля 1942 г. Постановлением Государственного Комитета Обороны на площадях бывшего завода № 82 создается опытный завода № 500, а при нем, приказом НКАП № 444с от 13.07. 1942 г. было создано ОКБ 500 по разработке и внедрению в серийное производство дизельных двигателей. </w:t>
      </w:r>
    </w:p>
    <w:p w14:paraId="0BA06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указанием Сталина 13 июня 1942 г. Главным конструктором завода № 500 назначается Андрей Дмитриевич Чаромский и ему присваивают звание генерал-майора инженерно-авиационной службы. </w:t>
      </w:r>
    </w:p>
    <w:p w14:paraId="24DC64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создание и освоение в серийном производстве авиадизелей А. Д. Чаромскому в 1943 г. была присуждена Сталинская премия первой степени. Его работы как главного конструктора были отмечены рядом высоких правительственных наград: орденами Ленина в 1945 и 1948 гг., Суворова II степени в 1944 г., орденом Трудового Красного Знамени в 1943 г. (12107).</w:t>
      </w:r>
    </w:p>
    <w:p w14:paraId="35FAF6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3C7AF" w14:textId="1C358D24" w:rsidR="007B6A75" w:rsidRPr="008127F8" w:rsidRDefault="007B6A7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Постановлением Государственного Комитета Обороны на площадях бывшего завода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82 создается опытный завода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500, а при нем, приказом НКАП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444с от 13.07.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г. было создано ОКБ 500 по разработке и внедрению в серийное производство дизельных двигателей. В соответствии с указанием Сталина 13 июня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Главным конструктором завода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500 назначается Андрей Дмитриевич Чаромский и ему присваивают звание генерал-майора инженерно-авиационной службы (18668).</w:t>
      </w:r>
    </w:p>
    <w:p w14:paraId="2CD07784" w14:textId="77777777" w:rsidR="007B6A75" w:rsidRPr="008127F8" w:rsidRDefault="007B6A75" w:rsidP="001E0A84">
      <w:pPr>
        <w:spacing w:after="0" w:line="240" w:lineRule="auto"/>
        <w:jc w:val="both"/>
        <w:rPr>
          <w:rFonts w:ascii="Times New Roman" w:hAnsi="Times New Roman"/>
          <w:color w:val="000000" w:themeColor="text1"/>
          <w:sz w:val="16"/>
          <w:szCs w:val="16"/>
        </w:rPr>
      </w:pPr>
    </w:p>
    <w:p w14:paraId="5485CF0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C6341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C9AB60"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31C07E42"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8127F8">
        <w:rPr>
          <w:rFonts w:ascii="Times New Roman" w:hAnsi="Times New Roman"/>
          <w:color w:val="000000" w:themeColor="text1"/>
          <w:sz w:val="16"/>
          <w:szCs w:val="16"/>
        </w:rPr>
        <w:t>машина с М-17</w:t>
      </w:r>
      <w:proofErr w:type="gramEnd"/>
      <w:r w:rsidRPr="008127F8">
        <w:rPr>
          <w:rFonts w:ascii="Times New Roman" w:hAnsi="Times New Roman"/>
          <w:color w:val="000000" w:themeColor="text1"/>
          <w:sz w:val="16"/>
          <w:szCs w:val="16"/>
        </w:rPr>
        <w:t xml:space="preserve"> прошедшая пробег, но требу- юшие небольших доделок.</w:t>
      </w:r>
    </w:p>
    <w:p w14:paraId="40B8718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НКПС т. Хрулева обеспечить немедленную доставку заводу 112 находящихся в пути моторов.</w:t>
      </w:r>
    </w:p>
    <w:p w14:paraId="7EE85A26"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32D76BA7"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0D49A5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было подготовлено СООБЩЕНИЕ НАЧАЛЬНИКА ШТАБА В БТУ ГАБТУ КА О ЗАЩИТНОЙ ОКРАСКЕ БРОНЕТЕХНИКИ</w:t>
      </w:r>
    </w:p>
    <w:p w14:paraId="5D569D2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Главное Военно-инженерное управление Красной Армии в целях экономии защитной краски считает необходимым провести следующие мероприятия:</w:t>
      </w:r>
    </w:p>
    <w:p w14:paraId="5ED81E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Запретить заводам и ремонтным базам красить вновь изготовляемые или отремонтированные танки, бронемашины, бронепоезда, орудия всех калибров и спецмашин в один защитный цвет, пред</w:t>
      </w:r>
      <w:r w:rsidRPr="008127F8">
        <w:rPr>
          <w:rFonts w:ascii="Times New Roman" w:hAnsi="Times New Roman"/>
          <w:color w:val="000000" w:themeColor="text1"/>
          <w:sz w:val="16"/>
          <w:szCs w:val="16"/>
        </w:rPr>
        <w:softHyphen/>
        <w:t>ложив им перейти полностью на камуфляжную окраску.</w:t>
      </w:r>
    </w:p>
    <w:p w14:paraId="240BE22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Все предметы вооружения и снаряжения разделить на 3 группы защитного цвета.</w:t>
      </w:r>
    </w:p>
    <w:p w14:paraId="76F082AE"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Краску «4-БО» (на основе дефицитной окиси хрома) применять только для предметов первой группы.</w:t>
      </w:r>
    </w:p>
    <w:p w14:paraId="03D23F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остальных предметов вооружения и снаряжения допустить применение менее дефицитных красок:</w:t>
      </w:r>
    </w:p>
    <w:tbl>
      <w:tblPr>
        <w:tblW w:w="0" w:type="auto"/>
        <w:tblInd w:w="40" w:type="dxa"/>
        <w:tblLayout w:type="fixed"/>
        <w:tblCellMar>
          <w:left w:w="40" w:type="dxa"/>
          <w:right w:w="40" w:type="dxa"/>
        </w:tblCellMar>
        <w:tblLook w:val="0000" w:firstRow="0" w:lastRow="0" w:firstColumn="0" w:lastColumn="0" w:noHBand="0" w:noVBand="0"/>
      </w:tblPr>
      <w:tblGrid>
        <w:gridCol w:w="442"/>
        <w:gridCol w:w="3379"/>
        <w:gridCol w:w="1248"/>
        <w:gridCol w:w="4330"/>
      </w:tblGrid>
      <w:tr w:rsidR="006F4095" w:rsidRPr="008127F8" w14:paraId="0B014125" w14:textId="77777777">
        <w:trPr>
          <w:trHeight w:val="346"/>
        </w:trPr>
        <w:tc>
          <w:tcPr>
            <w:tcW w:w="442" w:type="dxa"/>
            <w:tcBorders>
              <w:top w:val="single" w:sz="6" w:space="0" w:color="auto"/>
              <w:left w:val="single" w:sz="6" w:space="0" w:color="auto"/>
              <w:bottom w:val="single" w:sz="6" w:space="0" w:color="auto"/>
              <w:right w:val="single" w:sz="6" w:space="0" w:color="auto"/>
            </w:tcBorders>
          </w:tcPr>
          <w:p w14:paraId="33CBA5E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26A795F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п/п</w:t>
            </w:r>
          </w:p>
          <w:p w14:paraId="0631B7F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3C6A78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w:t>
            </w:r>
          </w:p>
          <w:p w14:paraId="5BA78D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D95A1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Номер группы защитного цвета</w:t>
            </w:r>
          </w:p>
          <w:p w14:paraId="3E6238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single" w:sz="6" w:space="0" w:color="auto"/>
              <w:right w:val="single" w:sz="6" w:space="0" w:color="auto"/>
            </w:tcBorders>
          </w:tcPr>
          <w:p w14:paraId="592970B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Характеристика защитного цвета (в пятнах деформирующей окраски или в одноцветн. окраске).</w:t>
            </w:r>
          </w:p>
          <w:p w14:paraId="25D582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3456FC" w14:textId="77777777">
        <w:trPr>
          <w:trHeight w:val="422"/>
        </w:trPr>
        <w:tc>
          <w:tcPr>
            <w:tcW w:w="442" w:type="dxa"/>
            <w:tcBorders>
              <w:top w:val="single" w:sz="6" w:space="0" w:color="auto"/>
              <w:left w:val="single" w:sz="6" w:space="0" w:color="auto"/>
              <w:bottom w:val="single" w:sz="6" w:space="0" w:color="auto"/>
              <w:right w:val="single" w:sz="6" w:space="0" w:color="auto"/>
            </w:tcBorders>
          </w:tcPr>
          <w:p w14:paraId="4A2CD6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351D622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434A73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боевые машины АБТ войск, бронепоезда.</w:t>
            </w:r>
          </w:p>
          <w:p w14:paraId="1A4DAF6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4DC7C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p w14:paraId="0FF5BED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nil"/>
              <w:right w:val="single" w:sz="6" w:space="0" w:color="auto"/>
            </w:tcBorders>
          </w:tcPr>
          <w:p w14:paraId="61A7E62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группа Защитная краска «4-БО» принятого на вооружение оттенка и рецептуры. 2 группа Защитная краска любой рецептуры, но близкая по оттенку и краске «4-БО». 3 группа Серая или серо-коричневая любых оттенков и любой рецептуры.</w:t>
            </w:r>
          </w:p>
          <w:p w14:paraId="01350CA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B1759E" w14:textId="77777777">
        <w:trPr>
          <w:trHeight w:val="413"/>
        </w:trPr>
        <w:tc>
          <w:tcPr>
            <w:tcW w:w="442" w:type="dxa"/>
            <w:tcBorders>
              <w:top w:val="single" w:sz="6" w:space="0" w:color="auto"/>
              <w:left w:val="single" w:sz="6" w:space="0" w:color="auto"/>
              <w:bottom w:val="single" w:sz="6" w:space="0" w:color="auto"/>
              <w:right w:val="single" w:sz="6" w:space="0" w:color="auto"/>
            </w:tcBorders>
          </w:tcPr>
          <w:p w14:paraId="51F9F15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7CAC7C4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0028C2A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Спецмашины АБТВ, ВВС, связи и химцистерны.</w:t>
            </w:r>
          </w:p>
          <w:p w14:paraId="36C05B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C73FD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p w14:paraId="58DEF4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nil"/>
              <w:left w:val="single" w:sz="6" w:space="0" w:color="auto"/>
              <w:bottom w:val="nil"/>
              <w:right w:val="single" w:sz="6" w:space="0" w:color="auto"/>
            </w:tcBorders>
          </w:tcPr>
          <w:p w14:paraId="7C54F8E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EA6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97CE20" w14:textId="77777777">
        <w:trPr>
          <w:trHeight w:val="422"/>
        </w:trPr>
        <w:tc>
          <w:tcPr>
            <w:tcW w:w="442" w:type="dxa"/>
            <w:tcBorders>
              <w:top w:val="single" w:sz="6" w:space="0" w:color="auto"/>
              <w:left w:val="single" w:sz="6" w:space="0" w:color="auto"/>
              <w:bottom w:val="single" w:sz="6" w:space="0" w:color="auto"/>
              <w:right w:val="single" w:sz="6" w:space="0" w:color="auto"/>
            </w:tcBorders>
          </w:tcPr>
          <w:p w14:paraId="3CF9E6E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5A1BB76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7456FC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Транспортные автомашины, тракторы, кухни и повозки.</w:t>
            </w:r>
          </w:p>
          <w:p w14:paraId="481EA2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A4F345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w:t>
            </w:r>
          </w:p>
          <w:p w14:paraId="2B98F3F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nil"/>
              <w:left w:val="single" w:sz="6" w:space="0" w:color="auto"/>
              <w:bottom w:val="nil"/>
              <w:right w:val="single" w:sz="6" w:space="0" w:color="auto"/>
            </w:tcBorders>
          </w:tcPr>
          <w:p w14:paraId="25D4CB5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A66D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35CCF3" w14:textId="77777777">
        <w:trPr>
          <w:trHeight w:val="432"/>
        </w:trPr>
        <w:tc>
          <w:tcPr>
            <w:tcW w:w="442" w:type="dxa"/>
            <w:tcBorders>
              <w:top w:val="single" w:sz="6" w:space="0" w:color="auto"/>
              <w:left w:val="single" w:sz="6" w:space="0" w:color="auto"/>
              <w:bottom w:val="single" w:sz="6" w:space="0" w:color="auto"/>
              <w:right w:val="single" w:sz="6" w:space="0" w:color="auto"/>
            </w:tcBorders>
          </w:tcPr>
          <w:p w14:paraId="79CB65E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0B107B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125137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Внутреннее оборудование (несъемное) боевых, спец. и транспортных машин</w:t>
            </w:r>
          </w:p>
          <w:p w14:paraId="50DC224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81B855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w:t>
            </w:r>
          </w:p>
          <w:p w14:paraId="42D8018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nil"/>
              <w:left w:val="single" w:sz="6" w:space="0" w:color="auto"/>
              <w:bottom w:val="single" w:sz="6" w:space="0" w:color="auto"/>
              <w:right w:val="single" w:sz="6" w:space="0" w:color="auto"/>
            </w:tcBorders>
          </w:tcPr>
          <w:p w14:paraId="73BF49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5032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0456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обороны генерал-лейтенант танковых войск т. Федоренко приказал проработать предложения ГВИУ КА и дать свое заключение, которое прошу представить не позднее 7 апреля с.г.</w:t>
      </w:r>
    </w:p>
    <w:p w14:paraId="4A75614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штаба ГАБТУ КА полковник Бутков</w:t>
      </w:r>
    </w:p>
    <w:p w14:paraId="1420CE8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штаба ГАБТУ КА полковой комиссар Вильховченко</w:t>
      </w:r>
    </w:p>
    <w:p w14:paraId="49A022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634. Л. 171-172. Подлинник (11211).</w:t>
      </w:r>
    </w:p>
    <w:p w14:paraId="1F46529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B41D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вышло УКАЗАНИЕ НАЧАЛЬНИКА ГАБТУ НАЧАЛЬНИКУ АВТОТРАКТОРНОГО УПРАВЛЕНИЯ О ФОРМИРОВАНИИ ОТДЕЛА ВОЕННОЙ ПРИЕМКИ</w:t>
      </w:r>
    </w:p>
    <w:p w14:paraId="6179F7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 5 апреля 1942 года сформировать при автотракторном управлении ГАБТУ КА отдел военной приемки иностранных автомашин и содержать по штату № 1-207-Л, численностью: военнослужащих — 17 человек, вольнонаемных — 6 человек.</w:t>
      </w:r>
    </w:p>
    <w:p w14:paraId="1F0F2E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Начальнику управления кадров ГАБТУ КА укомплектовать отдел военной приемки личным со</w:t>
      </w:r>
      <w:r w:rsidRPr="008127F8">
        <w:rPr>
          <w:rFonts w:ascii="Times New Roman" w:hAnsi="Times New Roman"/>
          <w:color w:val="000000" w:themeColor="text1"/>
          <w:sz w:val="16"/>
          <w:szCs w:val="16"/>
        </w:rPr>
        <w:softHyphen/>
        <w:t xml:space="preserve">ставом, </w:t>
      </w:r>
      <w:proofErr w:type="gramStart"/>
      <w:r w:rsidRPr="008127F8">
        <w:rPr>
          <w:rFonts w:ascii="Times New Roman" w:hAnsi="Times New Roman"/>
          <w:color w:val="000000" w:themeColor="text1"/>
          <w:sz w:val="16"/>
          <w:szCs w:val="16"/>
        </w:rPr>
        <w:t>согласно штата</w:t>
      </w:r>
      <w:proofErr w:type="gramEnd"/>
      <w:r w:rsidRPr="008127F8">
        <w:rPr>
          <w:rFonts w:ascii="Times New Roman" w:hAnsi="Times New Roman"/>
          <w:color w:val="000000" w:themeColor="text1"/>
          <w:sz w:val="16"/>
          <w:szCs w:val="16"/>
        </w:rPr>
        <w:t>.</w:t>
      </w:r>
    </w:p>
    <w:p w14:paraId="2482BB6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Штат № 1/207.</w:t>
      </w:r>
    </w:p>
    <w:p w14:paraId="465B09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2D9B575A"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11373. Д. 187. Л. 471 Подлинник (11211).</w:t>
      </w:r>
    </w:p>
    <w:p w14:paraId="3B72D7C2"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3FCC12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вышло Постановление ГКО № 1535 О постройке стального торпедного катера дальнего действия. РГАНИР, Фонд ГКО, д. 26, лл. 137, 138-141 (11012).</w:t>
      </w:r>
    </w:p>
    <w:p w14:paraId="12FF0C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E35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вышло Постановление ГКО № 1536 О плане производства металла на II квартал и апрель 1942 г. РГАНИР, Фонд ГКО, д. 26, лл. 142-153 (11012).</w:t>
      </w:r>
    </w:p>
    <w:p w14:paraId="4DD837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A450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вышло Постановление ГКО № 1537 О бронепрожигающих снарядах. (7027, 154).</w:t>
      </w:r>
    </w:p>
    <w:p w14:paraId="2296B97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56E7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вышло Постановление ГКО № 1538 «О вооружении танков огнеметами АТО-41» (Д. 46. Л. 65–68).</w:t>
      </w:r>
    </w:p>
    <w:p w14:paraId="1FEF59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642E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по постановлению Государственного Комитета Обороны № 1538 сс от наркомат танковой промышленности был обязан изготовить в мае 190 огнеметных танков, из них 150 ТО-34. Однако за это время заводы смогли сдать только 47 таких машин, из них 24 ТО-34. Для наверстывания отставания от плана своим приказом НКТП № 542 сс от 24 июля 1942 года во исполнение постановления ГКО № 78 сс от 23 июля 1942 года «О вооружении танков огнеметами АТО-41 в 3 квартале 1942 года» нарком танковой промышленности обязывал:</w:t>
      </w:r>
    </w:p>
    <w:p w14:paraId="08B21D1F"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183 изготовить 100 танков Т-34 с АТО-41;</w:t>
      </w:r>
    </w:p>
    <w:p w14:paraId="3413E962"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СТЗ изготовить 90 танков Т-34 с АТО-41;</w:t>
      </w:r>
    </w:p>
    <w:p w14:paraId="7AED142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ОП-34 со снятой бронировкой. 1943 год (РГАЭ).</w:t>
      </w:r>
    </w:p>
    <w:p w14:paraId="742A841D"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112 изготовить 60 танков Т-34 с АТО-41;</w:t>
      </w:r>
    </w:p>
    <w:p w14:paraId="1E1B410D"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Кировскому заводу изготовить 75 танков Т-34 с АТО-41» (12217).</w:t>
      </w:r>
    </w:p>
    <w:p w14:paraId="169B5496"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6008AF3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вышло Постановление ГКО № 1539 О балансах и планах распределения черных металлов на П квартал 1942 г. (7027, 158-161,162-219).</w:t>
      </w:r>
    </w:p>
    <w:p w14:paraId="4835ED8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712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вышло Постановление ГКО № 1540 О заместителе члена ГОКО т. Вознесенского Н.А. по контролю за выполнением решений ГОКО по топливу. РГАНИР, Фонд ГКО, д. 26, лл. 220 (11012).</w:t>
      </w:r>
    </w:p>
    <w:p w14:paraId="56C2DD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9418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вышел приказ № 141с НКБ</w:t>
      </w:r>
    </w:p>
    <w:p w14:paraId="1FE32C1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Указом Президиума Верховного Совета СССР от 2 апреля 1942 года “О передаче крахмально-паточного завода № 2 Наркомата пищевой промышленности РСФСР в ведение НКБ”:</w:t>
      </w:r>
    </w:p>
    <w:p w14:paraId="691E23B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Снаряжательному заводу в Орджоникидзе присвоить № 565 (1 Гл. управление) (5807, 32-33).</w:t>
      </w:r>
    </w:p>
    <w:p w14:paraId="444E509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6BAE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4EBED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F6D45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апреля</w:t>
      </w:r>
      <w:r w:rsidRPr="008127F8">
        <w:rPr>
          <w:rFonts w:ascii="Times New Roman" w:hAnsi="Times New Roman"/>
          <w:color w:val="000000" w:themeColor="text1"/>
          <w:sz w:val="16"/>
          <w:szCs w:val="16"/>
        </w:rPr>
        <w:t xml:space="preserve"> в 1942 году утреннее сообщение Совинформбюро:</w:t>
      </w:r>
    </w:p>
    <w:p w14:paraId="1D3C737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4 апреля на фронте каких-либо существенных изменений не произошло.</w:t>
      </w:r>
    </w:p>
    <w:p w14:paraId="33261A4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Кавалерийская часть, где командиром тов. Тимофеев (Калининский фронт), в ожесточённых боях с противником за два дня уничтожила 1.630 немецких солдат и офицеров. Артиллерийским огнём разбиты 6 вражеских танков и 37 автомашин. На другом участке наши бойцы, выбив противника из созданных им укреплений, уничтожили 7 пулемётных гнёзд, 3 орудия и взорвали склад с боеприпасами. Над полем боя очередью из зенитного пулемёта сбит немецкий бомбардировщик. Четыре лётчика взяты в плен.</w:t>
      </w:r>
    </w:p>
    <w:p w14:paraId="57CB20A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Брянского фронта после артиллерийского и миномётного обстрела советских позиций немцы попытались перейти в контратаку. На небольшом участке гитлеровцы ввели в бой свыше 2, полков пехоты, поддержанных 26 танками. Контрударом наших частей немцы были отброшены. На поле боя осталось свыше 1.000 убитых и раненых солдат и офицеров противника. Подбито 18 вражеских танков. Взяты пленные и трофеи.</w:t>
      </w:r>
    </w:p>
    <w:p w14:paraId="26AFD6F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Преодолев упорное сопротивление противника, наши части, действующие на одном из участков Западного фронта, заняли несколько населённых пунктов, сильно укреплённых немцами. Противник понёс большие потери в людях и технике.</w:t>
      </w:r>
    </w:p>
    <w:p w14:paraId="42D5D19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Взвод под командованием тов. Ульданова ружейно-пулемётным огнём сбил самолёт противника. Охваченный пламенем немецкий бомбардировщик упал на землю.</w:t>
      </w:r>
    </w:p>
    <w:p w14:paraId="1FD55E6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П., действующий в оккупированных немцами районах Смоленской области, совершил за последнее время несколько удачных нападений на вражеские тыловые части. Партизаны уничтожили свыше 100 гитлеровских солдат и офицеров и захватили трофеи.</w:t>
      </w:r>
    </w:p>
    <w:p w14:paraId="5792534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Немецкий унтер-офицер Р.Зейлер писал недавно своей знакомой в Германию: «Наша рота очень сократилась: много убитых и ещё больше раненых. Уже свыше трёх недель мы ведём днём и ночью ожесточённые бои. Сегодня судьба настигает одного, завтра другого. Мы попали в настоящий котёл. Кто отсюда выберется, тот поистине родился в сорочке. Мы дни и ночи в снегу. Русские налетают на нас внезапно с флангов или с тыла. Они оказываются всюду... Надеюсь, что ты сможешь прочесть мои </w:t>
      </w:r>
      <w:proofErr w:type="gramStart"/>
      <w:r w:rsidRPr="008127F8">
        <w:rPr>
          <w:rFonts w:ascii="Times New Roman" w:hAnsi="Times New Roman"/>
          <w:color w:val="000000" w:themeColor="text1"/>
          <w:sz w:val="16"/>
          <w:szCs w:val="16"/>
        </w:rPr>
        <w:t>каракули,—</w:t>
      </w:r>
      <w:proofErr w:type="gramEnd"/>
      <w:r w:rsidRPr="008127F8">
        <w:rPr>
          <w:rFonts w:ascii="Times New Roman" w:hAnsi="Times New Roman"/>
          <w:color w:val="000000" w:themeColor="text1"/>
          <w:sz w:val="16"/>
          <w:szCs w:val="16"/>
        </w:rPr>
        <w:t xml:space="preserve"> лучше не могу, так как я отморозил себе пальцы».</w:t>
      </w:r>
    </w:p>
    <w:p w14:paraId="2391B2CC"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одной из деревень Смоленской области школьники Серёжа Яковлев, Шура Буянов, Коля Чуриков, Ваня Самсуров, Коля Иванов и другие в октябре прошлого года подобрали на поле боя и спрятали от немцев 2 ротных миномёта, 200 винтовок, около 700 гранат, несколько сот снарядов и мин. Всё это оружие и боеприпасы сейчас, когда наши бойцы выбили гитлеровцев из села, ребята сдали нашим войскам.» (15089).</w:t>
      </w:r>
    </w:p>
    <w:p w14:paraId="2784F415"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3294976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апреля</w:t>
      </w:r>
      <w:r w:rsidRPr="008127F8">
        <w:rPr>
          <w:rFonts w:ascii="Times New Roman" w:hAnsi="Times New Roman"/>
          <w:color w:val="000000" w:themeColor="text1"/>
          <w:sz w:val="16"/>
          <w:szCs w:val="16"/>
        </w:rPr>
        <w:t xml:space="preserve"> в 1942 году вечернее сообщение Совинформбюро:</w:t>
      </w:r>
    </w:p>
    <w:p w14:paraId="0981391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4 апреля на фронте чего-либо существенного не произошло.</w:t>
      </w:r>
    </w:p>
    <w:p w14:paraId="3D77E5B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апреля уничтожено 23 немецких самолёта. Наши потери — 3 самолёта.</w:t>
      </w:r>
    </w:p>
    <w:p w14:paraId="3BB3BC4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Баренцевом море потопили транспорт противника водоизмещением в 7.000 тонн и второй транспорт водоизмещением в 3.500 тонн.</w:t>
      </w:r>
    </w:p>
    <w:p w14:paraId="794B9941"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апреля частями нашей авиации уничтожено или повреждено 15 немецких автомашин с войсками и грузами, 15 подвод с боеприпасами, 6 полевых и зенитных орудий, разрушено до 70 железнодорожных вагонов с войсками и боеприпасами.</w:t>
      </w:r>
    </w:p>
    <w:p w14:paraId="6443572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три дня боёв с противником уничтожили свыше 3.400 вражеских солдат и офицеров. Захвачены у противника следующие трофеи: немецкий танк, 28 орудий, 106 пулемётов, 19 миномётов, 43 автомата, около 600 винтовок, много противотанковых ружей, 3.170 снарядов, 1.800 мин и, кроме того, 350 ящиков с минами, 1.400 гранат и 90 ящиков с гранатами, 114.800 ружейных патронов, 20 ящиков ракет, 10 ящиков пороха, 200 коробок с пулемётными лентами, 4 радиостанции, 5 тракторов, 6 грузовых и 2 легковые автомашины. Взяты пленные. Действиями разведывательных групп уничтожены 8 немецких орудий, 35 миномётов, 11 станковых пулемётов, 16 автомашин и 10 повозок с военными грузами.</w:t>
      </w:r>
    </w:p>
    <w:p w14:paraId="0673A62D"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наши части уничтожили до 500 немецких солдат и офицеров. Подбито 6 вражеских танков. На другом участке, захватив населённый пункт, красноармейцы уничтожили немецкий гарнизон в количестве 120 солдат и офицеров.</w:t>
      </w:r>
    </w:p>
    <w:p w14:paraId="1DBABD81"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во главе с красноармейцем тов. Макаровым, проникнув в тыл неприятеля, внезапно атаковала штаб немецкого батальона. Уничтожив 4 офицеров и захватив в плен 2 немецких солдат, наши бойцы вернулись в свою часть с трофеями и ценными документами.</w:t>
      </w:r>
    </w:p>
    <w:p w14:paraId="2004B756"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Партизанский отряд тов. 3., выполняя задание командования одной из наших частей, действующей на Калининском фронте, ударил в тыл немецкому </w:t>
      </w:r>
      <w:proofErr w:type="gramStart"/>
      <w:r w:rsidRPr="008127F8">
        <w:rPr>
          <w:rFonts w:ascii="Times New Roman" w:hAnsi="Times New Roman"/>
          <w:color w:val="000000" w:themeColor="text1"/>
          <w:sz w:val="16"/>
          <w:szCs w:val="16"/>
        </w:rPr>
        <w:t>подразделению.Советские</w:t>
      </w:r>
      <w:proofErr w:type="gramEnd"/>
      <w:r w:rsidRPr="008127F8">
        <w:rPr>
          <w:rFonts w:ascii="Times New Roman" w:hAnsi="Times New Roman"/>
          <w:color w:val="000000" w:themeColor="text1"/>
          <w:sz w:val="16"/>
          <w:szCs w:val="16"/>
        </w:rPr>
        <w:t xml:space="preserve"> патриоты уничтожили 26 вражеских солдат. Взяты в плен 2 немецких офицера и 2 солдата. Захвачены трофеи: 3 пулемёта, 5 автоматов, 15 винтовок, 2 пистолета и 6 лошадей.</w:t>
      </w:r>
    </w:p>
    <w:p w14:paraId="6FFA1DE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секретного письма главного врача 2 немецкой танковой армии за № 322:</w:t>
      </w:r>
    </w:p>
    <w:p w14:paraId="695B1C6F"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недели возросло число больных, поступающих в госпитали, пункты сбора больных и другие санитарные части... Если и дальше число больных, направляемых в госпитали, будет составлять 400 человек в день, то санитарные части через короткий срок не смогут принимать ни раненых, ни больных. Простой расчёт показывает, что они будут переполнены. Поступление больных можно очень сильно сократить, если врачи частей будут подходить более строго к определению боеспособности... При осмотре больных, направляемых в санитарные части, я нашёл людей с диагнозами: «Жалоба на трудности в походе», «простуда», «гриппозная инфекция». Я нашёл направления в санчасть с такими диагнозами: «жалуется на грыжу», «жалуется на боли в рубцах», «натравляется для лечения пупочной грыжи». Согласно распоряжению главного врача армии, операционное лечение грыж и пороков, которые имелись у солдат при вступлении в армию и не препятствовали годности к военной службе, категорически запрещено. Я приказал нескольким санитарным офицерам провести строгую проверку всех больных и приостановить их эвакуацию. Это мероприятие против бегства с фронта должно быть поддержано врачами частей, которые обязаны проявить мужество и твёрдость и признавать людей боеспособными».</w:t>
      </w:r>
    </w:p>
    <w:p w14:paraId="675EBA98"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армейский врач удостоверяет следующее:</w:t>
      </w:r>
    </w:p>
    <w:p w14:paraId="3829451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германское командование, пытаясь восполнить огромные людские потери на советско-германском фронте, мобилизует в ряды армии калек и больных — людей, непригодных к военной службе;</w:t>
      </w:r>
    </w:p>
    <w:p w14:paraId="224D58F5"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запрещают лечить заведомо больных солдат и гонят их на убой;</w:t>
      </w:r>
    </w:p>
    <w:p w14:paraId="0C5A664E"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немецкие солдаты стремятся сбежать с фронта, не желая продолжать бессмысленную и безнадёжную войну.</w:t>
      </w:r>
    </w:p>
    <w:p w14:paraId="031373C4"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Письмо главного врача 2 немецкой танковой армии как нельзя лучше характеризует физическое и моральное состояние немецко-фашистской армии.</w:t>
      </w:r>
    </w:p>
    <w:p w14:paraId="1C4CC6E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бандиты сожгли деревню Великая Нива, Ленинградской области, и расстреляли всех оставшихся в ней жителей, в том числе 70-летнего старика Иванова М.И. и его жену, колхозников: Павлова — 75 лет, Иванова М. — 50 лет, Иванова В.—40 лет и других. В деревне Першнево немецко-фашистские изверги расстреляли стариков: Петрова И.—70 лет, Ефимова Н.—77 лет, Алексеева —50 лет, Васильева—67 лет и Гумбинского—63 лет,</w:t>
      </w:r>
    </w:p>
    <w:p w14:paraId="48763A59"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Количество несчастных случаев на фабриках и заводах Германии катастрофически растёт. Фашистская газета «Франкфуртер цайтунг», отмечая, что «волна несчастных случаев захлестнула германскую промышленность», бьёт тревогу. Продажные писаки из этой газеты требуют привлечения пострадавших рабочих к </w:t>
      </w:r>
      <w:r w:rsidRPr="008127F8">
        <w:rPr>
          <w:rFonts w:ascii="Times New Roman" w:hAnsi="Times New Roman"/>
          <w:color w:val="000000" w:themeColor="text1"/>
          <w:sz w:val="16"/>
          <w:szCs w:val="16"/>
        </w:rPr>
        <w:lastRenderedPageBreak/>
        <w:t>ответственности, так как якобы 80 процентов несчастных случаев происходят по вине самих рабочих. Итак, в гитлеровской Германии рабочих, получивших увечья на производстве в результате непосильной работы по 14 часов в сутки и в результате истощения от голода, теперь ещё будут судить и сажать в тюрьму.».</w:t>
      </w:r>
    </w:p>
    <w:p w14:paraId="7AA930EF"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47C74167"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Западного фронта за период с 23 марта по 4 апреля 1942 года.</w:t>
      </w:r>
    </w:p>
    <w:p w14:paraId="4224DA92"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«Войсками Западного фронта в боях с противником за период с 23 марта по 4 апреля захвачены следующие трофеи: танков — 28, орудий — 122, миномётов — .69, пулемётов — 541, автоматов — 336, винтовок — 3.234, снарядов — 12.968, мин разных — 7.020, гранат — 3.132, патронов —1.206.000, ракет — 1.568, раций — 9, кабеля телефонного — 94 километра, автомашин — 186, повозок — 54, паровозов — 3, железнодорожных вагонов и платформ — 220, парашютов — 350, гильз снарядных —3.200, колючей проволоки — 1 тонна, бензобочек — 347, лошадей — 219, продовольствия — 3 вагона.</w:t>
      </w:r>
    </w:p>
    <w:p w14:paraId="1AE1D7D3"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23 марта по 4 апреля противник потерял убитыми около 40.000 солдат и офицеров.</w:t>
      </w:r>
    </w:p>
    <w:p w14:paraId="652189C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Освобождён от противника войсками Западного фронта 161 населённый пункт.» (15089).</w:t>
      </w:r>
    </w:p>
    <w:p w14:paraId="52AE6B42"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08559B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 бою под Демянском был сбит Маресев (3044,109).</w:t>
      </w:r>
    </w:p>
    <w:p w14:paraId="5728D2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80C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была создана 1-я Белорусская партизанская бригада под командованием М.Ф.Шмырева (3186).</w:t>
      </w:r>
    </w:p>
    <w:p w14:paraId="1F780E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D3B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5, 24, 25, 27 и 30 апреля 1942 состоялись удары немецкой авиации по кораблям Балтфлота по плану Айштосс (3186). Шло 130 самолетов, прорвалось 58, сбили 25 (3398,137).</w:t>
      </w:r>
    </w:p>
    <w:p w14:paraId="513F58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C24F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началась операция фашистов “Ледовый удар” по уничтожению советских кораблей, скованных в устье Невы (4962).</w:t>
      </w:r>
    </w:p>
    <w:p w14:paraId="4C62536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D761E"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на Ленинград внезапно было брошено 100 бомбардировщиков в сопровожде</w:t>
      </w:r>
      <w:r w:rsidRPr="008127F8">
        <w:rPr>
          <w:rFonts w:ascii="Times New Roman" w:hAnsi="Times New Roman"/>
          <w:color w:val="000000" w:themeColor="text1"/>
          <w:sz w:val="16"/>
          <w:szCs w:val="16"/>
        </w:rPr>
        <w:softHyphen/>
        <w:t>нии истребителей прикрытия. Одновременно по аэродромам базирования советских истребите</w:t>
      </w:r>
      <w:r w:rsidRPr="008127F8">
        <w:rPr>
          <w:rFonts w:ascii="Times New Roman" w:hAnsi="Times New Roman"/>
          <w:color w:val="000000" w:themeColor="text1"/>
          <w:sz w:val="16"/>
          <w:szCs w:val="16"/>
        </w:rPr>
        <w:softHyphen/>
        <w:t>лей открыли ураганный артиллерийский огонь. Налёт был дневной, бомбардировщики шли эше</w:t>
      </w:r>
      <w:r w:rsidRPr="008127F8">
        <w:rPr>
          <w:rFonts w:ascii="Times New Roman" w:hAnsi="Times New Roman"/>
          <w:color w:val="000000" w:themeColor="text1"/>
          <w:sz w:val="16"/>
          <w:szCs w:val="16"/>
        </w:rPr>
        <w:softHyphen/>
        <w:t>лонами и на разных высотах, преимущественно около 1000-1200 м. Советские истребители и зе</w:t>
      </w:r>
      <w:r w:rsidRPr="008127F8">
        <w:rPr>
          <w:rFonts w:ascii="Times New Roman" w:hAnsi="Times New Roman"/>
          <w:color w:val="000000" w:themeColor="text1"/>
          <w:sz w:val="16"/>
          <w:szCs w:val="16"/>
        </w:rPr>
        <w:softHyphen/>
        <w:t>нитная артиллерия успели встретить воздуш</w:t>
      </w:r>
      <w:r w:rsidRPr="008127F8">
        <w:rPr>
          <w:rFonts w:ascii="Times New Roman" w:hAnsi="Times New Roman"/>
          <w:color w:val="000000" w:themeColor="text1"/>
          <w:sz w:val="16"/>
          <w:szCs w:val="16"/>
        </w:rPr>
        <w:softHyphen/>
        <w:t>ную армаду и частично её рассеяли, однако 58 бомбардировщиков прорвались к Ленинграду.</w:t>
      </w:r>
    </w:p>
    <w:p w14:paraId="33294520"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Они снизились над городом, разошлись по зара</w:t>
      </w:r>
      <w:r w:rsidRPr="008127F8">
        <w:rPr>
          <w:rFonts w:ascii="Times New Roman" w:hAnsi="Times New Roman"/>
          <w:color w:val="000000" w:themeColor="text1"/>
          <w:sz w:val="16"/>
          <w:szCs w:val="16"/>
        </w:rPr>
        <w:softHyphen/>
        <w:t>нее намеченным целям и начали бомбардировку кораблей. Открыла огонь зенитная артиллерия кораблей КБФ. На исход боя оказал большое влияние отданный командующим 2-й армией ПВО генерал-майором Г.С. Зашихиным приказ поднять аэростаты заграждения. Подъём аэро</w:t>
      </w:r>
      <w:r w:rsidRPr="008127F8">
        <w:rPr>
          <w:rFonts w:ascii="Times New Roman" w:hAnsi="Times New Roman"/>
          <w:color w:val="000000" w:themeColor="text1"/>
          <w:sz w:val="16"/>
          <w:szCs w:val="16"/>
        </w:rPr>
        <w:softHyphen/>
        <w:t>статов в светлое время суток в данных условиях был оправдан, так как в критический момент боя он отжал бомбардировщики противника вверх, снизив эффективность их бомбовых ударов. Из 230 сброшенных немецкими бомбардировщика</w:t>
      </w:r>
      <w:r w:rsidRPr="008127F8">
        <w:rPr>
          <w:rFonts w:ascii="Times New Roman" w:hAnsi="Times New Roman"/>
          <w:color w:val="000000" w:themeColor="text1"/>
          <w:sz w:val="16"/>
          <w:szCs w:val="16"/>
        </w:rPr>
        <w:softHyphen/>
        <w:t>ми фугасных бомб, только 70 упало вблизи кора</w:t>
      </w:r>
      <w:r w:rsidRPr="008127F8">
        <w:rPr>
          <w:rFonts w:ascii="Times New Roman" w:hAnsi="Times New Roman"/>
          <w:color w:val="000000" w:themeColor="text1"/>
          <w:sz w:val="16"/>
          <w:szCs w:val="16"/>
        </w:rPr>
        <w:softHyphen/>
        <w:t>блей, но ни один из крупных кораблей Балтий</w:t>
      </w:r>
      <w:r w:rsidRPr="008127F8">
        <w:rPr>
          <w:rFonts w:ascii="Times New Roman" w:hAnsi="Times New Roman"/>
          <w:color w:val="000000" w:themeColor="text1"/>
          <w:sz w:val="16"/>
          <w:szCs w:val="16"/>
        </w:rPr>
        <w:softHyphen/>
        <w:t>ского Флота не был выведен из строя.</w:t>
      </w:r>
    </w:p>
    <w:p w14:paraId="514DA980"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операция была сорвана в пер</w:t>
      </w:r>
      <w:r w:rsidRPr="008127F8">
        <w:rPr>
          <w:rFonts w:ascii="Times New Roman" w:hAnsi="Times New Roman"/>
          <w:color w:val="000000" w:themeColor="text1"/>
          <w:sz w:val="16"/>
          <w:szCs w:val="16"/>
        </w:rPr>
        <w:softHyphen/>
        <w:t>вый же день её проведения. Столь же безуспешно закончились и последующие налёты (в ночь на 5 апреля и дневные 24, 25, 27 и 30 апреля). Все</w:t>
      </w:r>
      <w:r w:rsidRPr="008127F8">
        <w:rPr>
          <w:rFonts w:ascii="Times New Roman" w:hAnsi="Times New Roman"/>
          <w:color w:val="000000" w:themeColor="text1"/>
          <w:sz w:val="16"/>
          <w:szCs w:val="16"/>
        </w:rPr>
        <w:softHyphen/>
        <w:t>го в апреле 1942 г. авиация противника потеря</w:t>
      </w:r>
      <w:r w:rsidRPr="008127F8">
        <w:rPr>
          <w:rFonts w:ascii="Times New Roman" w:hAnsi="Times New Roman"/>
          <w:color w:val="000000" w:themeColor="text1"/>
          <w:sz w:val="16"/>
          <w:szCs w:val="16"/>
        </w:rPr>
        <w:softHyphen/>
        <w:t>ла над Ленинградом 70 самолётов, так и не сумев уничтожить ядро кораблей КБФ. В срыве планов врага есть и большая заслуга аэростатчиков.</w:t>
      </w:r>
    </w:p>
    <w:p w14:paraId="2B6C7B47"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провала операции бомбардировки Ле</w:t>
      </w:r>
      <w:r w:rsidRPr="008127F8">
        <w:rPr>
          <w:rFonts w:ascii="Times New Roman" w:hAnsi="Times New Roman"/>
          <w:color w:val="000000" w:themeColor="text1"/>
          <w:sz w:val="16"/>
          <w:szCs w:val="16"/>
        </w:rPr>
        <w:softHyphen/>
        <w:t>нинграда прекратились до конца октября 1942 г., когда противник возобновил ночные налёты оди</w:t>
      </w:r>
      <w:r w:rsidRPr="008127F8">
        <w:rPr>
          <w:rFonts w:ascii="Times New Roman" w:hAnsi="Times New Roman"/>
          <w:color w:val="000000" w:themeColor="text1"/>
          <w:sz w:val="16"/>
          <w:szCs w:val="16"/>
        </w:rPr>
        <w:softHyphen/>
        <w:t>ночными самолётами и мелкими группами. Эти налёты носили эпизодический характер, продол</w:t>
      </w:r>
      <w:r w:rsidRPr="008127F8">
        <w:rPr>
          <w:rFonts w:ascii="Times New Roman" w:hAnsi="Times New Roman"/>
          <w:color w:val="000000" w:themeColor="text1"/>
          <w:sz w:val="16"/>
          <w:szCs w:val="16"/>
        </w:rPr>
        <w:softHyphen/>
        <w:t>жались до середины ноября, а затем совсем пре</w:t>
      </w:r>
      <w:r w:rsidRPr="008127F8">
        <w:rPr>
          <w:rFonts w:ascii="Times New Roman" w:hAnsi="Times New Roman"/>
          <w:color w:val="000000" w:themeColor="text1"/>
          <w:sz w:val="16"/>
          <w:szCs w:val="16"/>
        </w:rPr>
        <w:softHyphen/>
        <w:t>кратились (20120).</w:t>
      </w:r>
    </w:p>
    <w:p w14:paraId="7BC21C38" w14:textId="77777777" w:rsidR="00177665" w:rsidRPr="008127F8" w:rsidRDefault="00177665" w:rsidP="001E0A84">
      <w:pPr>
        <w:spacing w:after="0" w:line="240" w:lineRule="auto"/>
        <w:jc w:val="both"/>
        <w:rPr>
          <w:rFonts w:ascii="Times New Roman" w:hAnsi="Times New Roman"/>
          <w:color w:val="000000" w:themeColor="text1"/>
          <w:sz w:val="16"/>
          <w:szCs w:val="16"/>
        </w:rPr>
      </w:pPr>
    </w:p>
    <w:p w14:paraId="60C190D8"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отражения 4 апреля 1942 г. самого круп</w:t>
      </w:r>
      <w:r w:rsidRPr="008127F8">
        <w:rPr>
          <w:rFonts w:ascii="Times New Roman" w:hAnsi="Times New Roman"/>
          <w:color w:val="000000" w:themeColor="text1"/>
          <w:sz w:val="16"/>
          <w:szCs w:val="16"/>
        </w:rPr>
        <w:softHyphen/>
        <w:t>ного налёта авиации противника на базе 2-го корпуса ПВО и 7-го истребительного авиакорпу</w:t>
      </w:r>
      <w:r w:rsidRPr="008127F8">
        <w:rPr>
          <w:rFonts w:ascii="Times New Roman" w:hAnsi="Times New Roman"/>
          <w:color w:val="000000" w:themeColor="text1"/>
          <w:sz w:val="16"/>
          <w:szCs w:val="16"/>
        </w:rPr>
        <w:softHyphen/>
        <w:t>са образовали Ленинградскую армию ПВО (ко</w:t>
      </w:r>
      <w:r w:rsidRPr="008127F8">
        <w:rPr>
          <w:rFonts w:ascii="Times New Roman" w:hAnsi="Times New Roman"/>
          <w:color w:val="000000" w:themeColor="text1"/>
          <w:sz w:val="16"/>
          <w:szCs w:val="16"/>
        </w:rPr>
        <w:softHyphen/>
        <w:t>мандующий — генерал-майор П.Ф. Рожков). В её состав вошли шесть зенитных артиллерийских полков среднего калибра, отдельный зенитный артиллерийский дивизион среднего калибра, зе</w:t>
      </w:r>
      <w:r w:rsidRPr="008127F8">
        <w:rPr>
          <w:rFonts w:ascii="Times New Roman" w:hAnsi="Times New Roman"/>
          <w:color w:val="000000" w:themeColor="text1"/>
          <w:sz w:val="16"/>
          <w:szCs w:val="16"/>
        </w:rPr>
        <w:softHyphen/>
        <w:t>нитный пулемётный полк, два прожекторных полка, три полка аэростатов заграждения, полк и отдельный батальон службы обнаружения са</w:t>
      </w:r>
      <w:r w:rsidRPr="008127F8">
        <w:rPr>
          <w:rFonts w:ascii="Times New Roman" w:hAnsi="Times New Roman"/>
          <w:color w:val="000000" w:themeColor="text1"/>
          <w:sz w:val="16"/>
          <w:szCs w:val="16"/>
        </w:rPr>
        <w:softHyphen/>
        <w:t>молётов ВНОС (20120).</w:t>
      </w:r>
    </w:p>
    <w:p w14:paraId="7CDE9C16" w14:textId="77777777" w:rsidR="00177665" w:rsidRPr="008127F8" w:rsidRDefault="00177665" w:rsidP="001E0A84">
      <w:pPr>
        <w:spacing w:after="0" w:line="240" w:lineRule="auto"/>
        <w:jc w:val="both"/>
        <w:rPr>
          <w:rFonts w:ascii="Times New Roman" w:hAnsi="Times New Roman"/>
          <w:color w:val="000000" w:themeColor="text1"/>
          <w:sz w:val="16"/>
          <w:szCs w:val="16"/>
        </w:rPr>
      </w:pPr>
    </w:p>
    <w:p w14:paraId="0316EE3C" w14:textId="064EF963"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Началась операция 1-го воздушного флота фашистской Германии во 2-й мировой войне «Айсштосс» (нем. «Eisstoss» - «Ледовый удар»), кодовое наименование, проведённой в апреле 1942 с целью уничтожить корабли Краснознамённого Балтийского флота (КБФ), скованные льдом на Неве и в Кронштадте (22547).</w:t>
      </w:r>
    </w:p>
    <w:p w14:paraId="21BE1930" w14:textId="77777777" w:rsidR="00177665" w:rsidRPr="008127F8" w:rsidRDefault="00177665" w:rsidP="001E0A84">
      <w:pPr>
        <w:spacing w:after="0" w:line="240" w:lineRule="auto"/>
        <w:jc w:val="both"/>
        <w:rPr>
          <w:rFonts w:ascii="Times New Roman" w:hAnsi="Times New Roman"/>
          <w:color w:val="000000" w:themeColor="text1"/>
          <w:sz w:val="16"/>
          <w:szCs w:val="16"/>
        </w:rPr>
      </w:pPr>
    </w:p>
    <w:p w14:paraId="732630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оказался ясным и солнечным. После обеда с немецких аэродромов взлетело 62 Ju-87, 33 Ju-88 и 37 He-111. Истребительное прикрытие осуществляли 59 Bf-109F.</w:t>
      </w:r>
    </w:p>
    <w:p w14:paraId="1B27D3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утра противник обрушил на Ленинград всю мощь огня своих дальнобойных орудий. Но поскольку зимой 1941/1942 гг. немцы отвели осадные батареи за пределы радиуса полевой артиллерии Ленинградского фронта (примерно на 20-25 км от переднего края), точность огня была довольно низкой. Выпустив большое число снарядов, противнику удалось поразить только базу торпедных катеров “Литке” и нанести потери расчетам некоторых зенитных орудий. Сильнее пострадали прилегающие к Неве городские кварталы. кое-где вспыхнули пожары. Командующий КБФ адмирал В.Ф.Трибуц вспоминал: "Обычный артиллерийский обстрел по квадратам на этот раз сменился обстрелом районов, прилегающих к Неве и ее основным протокам, а также судостроительных заводов. Когда в моем кабинете от разрыва первого снаряда вылетели стекла (штаб КБФ размещался в здании Военно-морской академии, - прим. авт.), я сказал начальнику штаба флота Юрию Федоровичу Раллю: Гитлеровцы думают, что подавили обстрелом наши зенитки. Теперь будет массированный налет".</w:t>
      </w:r>
    </w:p>
    <w:p w14:paraId="61E2A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факты не подтверждают подобной адмиральской прозорливости. В частности, не был вовремя отдан приказ о развертывании воздушного патруля флотских истребителей над стоянкой кораблей. Впрочем, это и не удивительно - враг часто обстреливал город, но с ноября 1941-го еще ни разу не производил массированных воздушных налетов. В основном реакция штаба КБФ свелась к организации подавления вражеских орудий. Ответный огонь в этот день вели шесть батарей железнодорожной артиллерии. Шестерка И-16 71-го иап обнаружила вражеские батареи в районе поселка им. Володарского и произвела их штурмовку.</w:t>
      </w:r>
    </w:p>
    <w:p w14:paraId="4F4310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события развернулись с наступлением вечера. Вспоминает старший оператор РЛС “Редут-4”4 Е.Ю. Сенятин: “4 апреля в 16.00 на боевое дежурство заступила смена лейтенанта Н.В. Шаталина. (...) Прошло уже более двух часов, а целей все не было. Вдруг в самом конце развертки на индикаторе появился еле заметный импульс. Он постепенно рос. Через некоторое время по скорости полета, характеру отраженного сигнала и курсу стало ясно</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это большая группа бомбардировщиков.</w:t>
      </w:r>
    </w:p>
    <w:p w14:paraId="5AE3ED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18.35 на главный пост ВНОС было передано первое донесение. Через несколько минут появилась вторая. а затем третья группа самолетов. Бомбардировщики шли эшелонами". Все эти данные своевременно поступили на главный пост ВНОС. откуда отражением налета руководил лично генерал Зашихин.</w:t>
      </w:r>
    </w:p>
    <w:p w14:paraId="75195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 все же сигнал воздушной тревоги прозвучал в городе только в 18.52, одновременно с разрывами первых бомб. Вспоминает командир Ленинградской ВМБ контр-адмирал Ю.А. Пантелеев: "Около семи вечера, когда я возвращался из штаба флота по набережной к себе на командный пункт в Адмиралтейство. на кораблях, стоявших в Неве. прозвучали вдруг тревожные сигналы. Все мощные громкоговорители на перекрестках </w:t>
      </w:r>
      <w:proofErr w:type="gramStart"/>
      <w:r w:rsidRPr="008127F8">
        <w:rPr>
          <w:rFonts w:ascii="Times New Roman" w:hAnsi="Times New Roman"/>
          <w:color w:val="000000" w:themeColor="text1"/>
          <w:sz w:val="16"/>
          <w:szCs w:val="16"/>
        </w:rPr>
        <w:t>Васильев-ского</w:t>
      </w:r>
      <w:proofErr w:type="gramEnd"/>
      <w:r w:rsidRPr="008127F8">
        <w:rPr>
          <w:rFonts w:ascii="Times New Roman" w:hAnsi="Times New Roman"/>
          <w:color w:val="000000" w:themeColor="text1"/>
          <w:sz w:val="16"/>
          <w:szCs w:val="16"/>
        </w:rPr>
        <w:t xml:space="preserve"> острова разом загудели: “Воздушная тревога". Почти в ту же минуту кто-то на панели крикнул: “Бомба!" - и мы отчетливо услышали ее противный свист. Высокий ледяной султан взметнулся на Неве. На берегу и на кораблях грохотали зенитки. Мы выскочили из машины и увидели, как вдоль реки с востока летят, медленно снижаясь, восемь или десять “Юнкерсов-88”. Чуть поодаль и ближе к левому берегу реки шла другая группа вражеских самолетов. Вдали за каждой из этих групп видны были в воздухе еще маленькие движущиеся точки. Такого большого налета на Ленинград давно не было".</w:t>
      </w:r>
    </w:p>
    <w:p w14:paraId="6898CA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Чем же было вызвано промедление, которое при других обстоятельствах могло иметь весьма трагические последствия? Дело в том</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что по существовавшим тогда правилам, донесение “Редутов” нуждалось в подтверждении постами ВНОС. Противник же осуществлял выход в атаку со стороны Петергофа и Пушкина, вследствие чего был визуально обнаружен лишь в самый последний момент.</w:t>
      </w:r>
    </w:p>
    <w:p w14:paraId="489B77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штаба Ленармии ПВО, немцы пытались нанести удар силами около 100 бомбардировщиков (реально 132), из которых к городу и кораблям прорвалось лишь 58. Расхождение в данных может объясняться тем, что часть “Хейнкелей” из KG4 сбросила бомбы на позиции 169-го зенап в Торговом порту, то есть - не долетев до места стоянки флота.</w:t>
      </w:r>
    </w:p>
    <w:p w14:paraId="0F5439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Подавить частый заградительный огонь зенитчиков не удалось. Их действия полностью сорвали атаку на крейсер “Максим Горький”, - корабль получил лишь мелкие осколочные пробоины в надводной части, никак не отразившиеся на его боеспособности.</w:t>
      </w:r>
    </w:p>
    <w:p w14:paraId="2D30C5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удар наносился по линкору “Октябрьская революция”. По докладам нашей ПВО нападение осуществлялось следующим образом: на протяжении 36 минут корабль по-эскадрильно атаковало более 30 (по некоторым данным 33) пикирующих бомбардировщиков. Прямых попаданий не было, но не менее семи бомб крупного калибра упало в радиусе 100 м от корабля. Борта и надстройки получили незначительные повреждения от осколков. Зенитчики'“Октябрины” претендовали на уничтожение двух “Юнкерсов”.</w:t>
      </w:r>
    </w:p>
    <w:p w14:paraId="431542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 стоявших поблизости кораблей легкие осколочные повреждения получил эсминец “Стойкий", подлодки “П-2” и “М-79”. Бомба, попавшая в плавдок №508 (разрушен средний отсек 4-го понтона), стала одним из двух прямых попаданий, достигнутых пилотами Люфтваффе в этот день. От близкого разрыва дал течь 200-тонный плавучий кран Адмиралтейского судостроительного завода. Были повреждения и от артогня - осколочные пробоины ниже ватерлинии получили подлодка </w:t>
      </w:r>
      <w:r w:rsidRPr="008127F8">
        <w:rPr>
          <w:rFonts w:ascii="Times New Roman" w:hAnsi="Times New Roman"/>
          <w:color w:val="000000" w:themeColor="text1"/>
          <w:sz w:val="16"/>
          <w:szCs w:val="16"/>
        </w:rPr>
        <w:lastRenderedPageBreak/>
        <w:t>“П-3” и кабельное судно.</w:t>
      </w:r>
    </w:p>
    <w:p w14:paraId="21A4E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Гораздо большие потери понесли береговые зенитные батареи, защищавшие линкор. Ветеран 592-й батареи 9-го зенап КБФ Ф.Н. Сегеда вспоминал: “... Поймать "горбатого" (кличка Ю-87) труда не составляет, но труднее - он быстро пикирует и сильно воет. Тут нужны и </w:t>
      </w:r>
      <w:proofErr w:type="gramStart"/>
      <w:r w:rsidRPr="008127F8">
        <w:rPr>
          <w:rFonts w:ascii="Times New Roman" w:hAnsi="Times New Roman"/>
          <w:color w:val="000000" w:themeColor="text1"/>
          <w:sz w:val="16"/>
          <w:szCs w:val="16"/>
        </w:rPr>
        <w:t>умение</w:t>
      </w:r>
      <w:proofErr w:type="gramEnd"/>
      <w:r w:rsidRPr="008127F8">
        <w:rPr>
          <w:rFonts w:ascii="Times New Roman" w:hAnsi="Times New Roman"/>
          <w:color w:val="000000" w:themeColor="text1"/>
          <w:sz w:val="16"/>
          <w:szCs w:val="16"/>
        </w:rPr>
        <w:t xml:space="preserve"> и выдержка.</w:t>
      </w:r>
    </w:p>
    <w:p w14:paraId="4E1EC5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группы самолетов были рассеяны, но бой продолжался - подходили новые группы. В горячке боя мы не заметили, что батарея находится под вражеским артиллерийским обстрелом. Один из снарядов разорвался в центре батареи. Осколками убиты Н. Евтушенко, М. Никитенко. Второй снаряд попал в орудийный дворик - погибло шесть человек. Чудом уцелел трубочный М. Ковшев.</w:t>
      </w:r>
    </w:p>
    <w:p w14:paraId="0D9B17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Снова появились пикировщики. Мы стреляли злее и сбили одного. Затем перенесли огонь на высотную цель. Самолеты сбрасывали бомбы, но ни одна из них не попала в линкор. Одна фугаска угодила в соседний заводской склад. Сила взрыва подняла в воздух заводские запасы - гайки, болты, всякую другую железную мелочь, которая засыпала нас и стучала по каскам довольно сильно. Разрушило стенку орудийного дворика и завалило землей старшину П.М. Гулько. Меня воздушной волной отбросило от орудия. Кругом потемнело от пыли и дыма, но мы вели бой до конца, пока не рассеялись все фашистские самолеты. Батарея сбила в этом бою три самолета врага, а, главное, не позволила сбросить на линкор ни одной бомбы.</w:t>
      </w:r>
    </w:p>
    <w:p w14:paraId="11D973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Другая большая группа самолетов атаковала крейсер “Киров”, стоявший дальше по Неве, возле моста лейтенанта Шмидта. Слово адмиралу Ю.А. Пантелееву: “Зенитки надрывались, небо усеяно было белыми корзиночками разрывов, между которыми, не меняя курса, шли фашистские самолеты. В толпе на набережной кто-то закричал: - Смотрите, смотрите! Пикируют мерзавцы на крейсер “</w:t>
      </w:r>
      <w:proofErr w:type="gramStart"/>
      <w:r w:rsidRPr="008127F8">
        <w:rPr>
          <w:rFonts w:ascii="Times New Roman" w:hAnsi="Times New Roman"/>
          <w:color w:val="000000" w:themeColor="text1"/>
          <w:sz w:val="16"/>
          <w:szCs w:val="16"/>
        </w:rPr>
        <w:t>Киров”...</w:t>
      </w:r>
      <w:proofErr w:type="gramEnd"/>
    </w:p>
    <w:p w14:paraId="5E1FE5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действительно, фашистские самолеты группами по 6-10 “Юнкер-сов” пикировали на крейсер... Сильные взрывы следовали подряд один за другим через ровные промежутки времени. В разрывы бомб вклинивались резкие звуки разрывов тяжелых снарядов противника...</w:t>
      </w:r>
    </w:p>
    <w:p w14:paraId="08C6BE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Крейсер “Киров” - наш общий любимец, флагман эскадры - получил одну бомбу. Пробив верхнюю палубу и наружный борт у ватерлинии, она разорвалась в воде подо льдом, но крейсер остался боеспоным, у правого борта крейсера ззо-рвалось девять авиабомб, а у левого - две, одна из которых пробила навылет две палубы, обшивку выше ватерлинии и ушла в воду. По-видимому, в крейсер попала бронебойная бомба, так как окажись на ее месте "фугаска" с “мгновенным” взрывателем, картина взрыва выглядела бы куда трагичней.</w:t>
      </w:r>
    </w:p>
    <w:p w14:paraId="4B8FB8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избежал повреждений и стоявший в кильватер “Кирову" эсминец “Свирепый”. У его левого борта в районе кормовой надстройки почти одновременно на расстоянии нескольких метров взорвались три бомбы, очевидно, фугасные небольшого калибра. Но все ограничилось мелкими осколочными пробоинами в надводной части борта. В успешном отражении атаки принимали участие 821-я и 822-я батареи 9-го зенап КБФ.</w:t>
      </w:r>
    </w:p>
    <w:p w14:paraId="63AC3C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штаба ПВО 16 бомб упало в районе стоянки 1-го и 3-го дивизионов подводных лодок, размещавшихся по обе стороны от Республиканского (ныне - Дворцового) моста. “Оглянувшись в сторону Адмиралтейства, - писал адмирал Ю.А. Пантелеев, - я увидел новую группу вражеских самолетов. Друг за другом они пикировали на плавбазу “Полярная звезда" и на подводные лодки, стоявшие вдоль левого берега. Снова сильные взрывы один за другим, под ногами дрожит земля, с крыш полетели ледяные сосульки. Плохо бомбили фашисты. Большинство бомб падало на берег".</w:t>
      </w:r>
    </w:p>
    <w:p w14:paraId="619821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наблюдение соответствовало данным постов ВНОС. Из 230 бомб, сброшенных самолетами противника, в районе стоянки кораблей упало лишь 72, в районе стоянки ПЛ - 16, а остальные - на позиции зенитной артиллерии и городские кварталы. Конечно же, отчасти это объясняется тем, что на корабли сбрасывались в основном тяжелые бомбы, которых было меньше, а на позиции зенитчиков - более легкие. Но все же не вызывает сомнения, что интенсивный огонь зенитных орудий заставил часть вражеских пилотов освободиться от груза, не доходя до цели.</w:t>
      </w:r>
    </w:p>
    <w:p w14:paraId="243CCE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в операции “Айс-штосс” немцы добились лишь двух прямых попаданий, причем, ни один из кораблей не получил серьезных повреждений. Столь низкой эффективности при бомбардировке крупных неподвижных целей асы Люфтваффе ранее никогда не демонстрировали. Но, к сожалению, почти каждый их промах нес разрушения и смерть в городских кварталах. От бомб погибло 116 ленинградцев, а еще 311 получили ранения.</w:t>
      </w:r>
    </w:p>
    <w:p w14:paraId="4BC71B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Документы показывают, что несмотря на заблаговременное обнаружение противника нашей системой ПВО, организовать перехват врага в воздухе силами истребителей 7-го иак не удалось. Многие наши аэродромы оказались блокированы, а взлетные полосы подверглись ожесточенному обстрелу. Те же, кто смог взлететь. сразу вступили в бой с многократно превосходящими силами “Мес-сершмиттов". Пришлось поднимать авиацию, базировавшуюся на более отдаленные аэродромы, например, истребители Балтфлота с аэродрома Бычье Поле (о. Котлин). На принятие решения ушло время, в результате чего взлет состоялся только в 19.15, т.е. через 20 минут после объявления воздушной тревоги.</w:t>
      </w:r>
    </w:p>
    <w:p w14:paraId="306BBF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Атакам перехватчиков над Финским заливом в основном подверглись уже отбомбившиеся эшелоны ударных самолетов и их истребительное прикрытие. В результате нескольких разрозненных воздушных боев наши летчики заявили об уничтожении семи вражеских машин. Отличились пилоты эскадрильи капитана В. Мациевича из 26-го иап Аполлонин, Беликов и Оскален-ко. Каждый из них доложил о сбитии вражеского самолета. Однако имеющиеся у автора сведения, основанные на данных немецких архивов. не дают основания считать, что хотя бы одна из этих заявок имеет полную гарантию. Впрочем, любой подбитый самолет, “перетянувший” через линию фронта и упавший на своей территории, уже не считался по германским нормам “стопроцентно потерянным", что создавало выгодные условия для сокрытия потерь.</w:t>
      </w:r>
    </w:p>
    <w:p w14:paraId="30A37B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урон составил четыре истребителя, один из которых смог приземлиться, но сгорел после посадки.</w:t>
      </w:r>
    </w:p>
    <w:p w14:paraId="0AC97C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Хотя в 20.10 в городе прозвучал отбой воздушной тревоги, вахта на кораблях и батареях была усилена. Как показали дальнейшие события, это оказалось нелишним. Около двух часов ночи в небе вновь раздался гул бомбардировщиков. В соответствии с заранее намеченным планом. 31 He-111 из состава KG4 на протяжении двух часов бомбили с 1000-метровой высоты район стоянки “Октябрьской революции”. Надо отдать должное немецким пилотам, - несмотря на строжайшую светомаскировку, они смогли отыскать цель и, сбросив осветительные бомбы, атаковали линкор. И снова активное противодействие оказали зенитные батареи. Расчет старшего сержанта Беспалова из 351 -го зенап заявил о сбитии одного самолета, а расчеты лейтенанта Выскубова, старшего сержанта Беляева и ефрейтора Горбачева из 2-го зенпулп успешно “гасили” осветительные бомбы. В отражении налета участвовало несколько пилотов 26-го иап (6414).</w:t>
      </w:r>
    </w:p>
    <w:p w14:paraId="6ECAF3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F240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 14 Пе-3 95 иап в варианте бомбардировщиков под прикрытием 33 истребителей “Харрикейн” атаковали аэродром Луостари. Удар был нанесен с горизонтального полета с высот 2700-3500 м, по докладам экипажей на стоянках сгорели 12 вражеских истребителей, а еще 6 удалось сбить истребителям сопровождения. Цена успеха оказалась невысокой - один потерянный “Харрикейн” и один поврежденный Пе-3. К сожалению, попытка повторить этот удачный налет, на этот раз на аэродром Хебугтен, стоила много дороже. Уже отбомбившись, семерка Пе-3, на этот раз действовавшая без истребительного прикрытия, попала под удар большой группы “мессершмиттов”. Пять “пешек” были сбиты, одна совершила вынужденную посадку, но и немцы по признанию пленного летчика из 5-й истребительной эскадры потеряли на аэродроме б машин, а еще до 20 самолетов получили повреждения (4476).</w:t>
      </w:r>
    </w:p>
    <w:p w14:paraId="3A942D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CA2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город Ленинград и его окрестности подверглись самому крупному налету фашистской авиации с целью уничтожения кораблей Краснознаменного Балтийского флота. В апреле 1942 года на базе 2-го корпуса ПВО и 7-го истребительного авиационного корпуса была образована Ленинградская армия ПВО. Командующим армией назначен генерал-майор П.Ф.Рожков. В состав армии входили 6 зенитных артиллерийских полков среднего калибра, отдельный зенитный артиллерийский дивизион среднего калибра, зенитный пулеметный полк, 2 прожекторных полка, 3 полка аэростатов заграждения, полк и отдельный радиобатальон ВНОС. Наиболее напряженной противовоздушная оборона Ленинграда была в период 1942–1943 годов. За это время зафиксировано 1 612 самолето-пролетов авиации противника. Прорвалось к Ленинграду 633 самолета. В 1942 году силами Ленинградской армии ПВО сбито 212 самолетов. 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(10109).</w:t>
      </w:r>
    </w:p>
    <w:p w14:paraId="510183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7101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апреля</w:t>
      </w:r>
      <w:r w:rsidRPr="008127F8">
        <w:rPr>
          <w:rFonts w:ascii="Times New Roman" w:hAnsi="Times New Roman"/>
          <w:color w:val="000000" w:themeColor="text1"/>
          <w:sz w:val="16"/>
          <w:szCs w:val="16"/>
        </w:rPr>
        <w:t xml:space="preserve"> в 1942 году началась операции 1-го воздушного флота фашистской Германии во 2-й мировой войне «Айсштосс» (немецкое название – Eisstoss «Ледовый удар»), кодовое наименование, проведённой в апреле 1942 с целью уничтожить корабли Краснознамённого Балтийского флота (КБФ), скованные льдом на Неве и в Кронштадте (15089).</w:t>
      </w:r>
    </w:p>
    <w:p w14:paraId="6FA24CC6"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40684E20" w14:textId="77777777" w:rsidR="009E2626" w:rsidRPr="008127F8" w:rsidRDefault="009E26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апреля</w:t>
      </w:r>
      <w:r w:rsidRPr="008127F8">
        <w:rPr>
          <w:rFonts w:ascii="Times New Roman" w:hAnsi="Times New Roman"/>
          <w:color w:val="000000" w:themeColor="text1"/>
          <w:sz w:val="16"/>
          <w:szCs w:val="16"/>
        </w:rPr>
        <w:t xml:space="preserve"> в 1942 году рождение морской гвардии в СССР. В этот день гвардейскими стали крейсер «Красный Кавказ» (капитан 2 ранга А.М.Гущин); эсминец «Стойкий» (капитан-лейтенант Б.П.Левченко); минный заградитель «Марти» (капитан 1 ранга Н.И.Мещерский); тральщик «Т-205» «Гафель» (старший лейтенант Е.Ф.Шкребтиенко); подводные лодки «Д-3» (капитан-лейтенант М.А.Бибеев), «М-171» (капитан-лейтенант В.Г.Стариков), «М-174» (капитан-лейтенант Н.Е.Егоров), «К-22» (капитан 2 ранга В.Н.Котельников) (15089).</w:t>
      </w:r>
    </w:p>
    <w:p w14:paraId="7C8A07C0" w14:textId="77777777" w:rsidR="009E2626" w:rsidRPr="008127F8" w:rsidRDefault="009E2626" w:rsidP="001E0A84">
      <w:pPr>
        <w:spacing w:after="0" w:line="240" w:lineRule="auto"/>
        <w:jc w:val="both"/>
        <w:rPr>
          <w:rFonts w:ascii="Times New Roman" w:hAnsi="Times New Roman"/>
          <w:color w:val="000000" w:themeColor="text1"/>
          <w:sz w:val="16"/>
          <w:szCs w:val="16"/>
        </w:rPr>
      </w:pPr>
    </w:p>
    <w:p w14:paraId="565840B1" w14:textId="77777777" w:rsidR="009E2626"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12B6AE87" w14:textId="77777777" w:rsidR="009E2626" w:rsidRPr="008127F8" w:rsidRDefault="009E2626"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523DE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апреля</w:t>
      </w:r>
      <w:r w:rsidRPr="008127F8">
        <w:rPr>
          <w:rFonts w:ascii="Times New Roman" w:hAnsi="Times New Roman"/>
          <w:color w:val="000000" w:themeColor="text1"/>
          <w:sz w:val="16"/>
          <w:szCs w:val="16"/>
        </w:rPr>
        <w:t xml:space="preserve"> в 1942 году приказ НКВД о депортации греков из Крыма и Краснодарского края (15089).</w:t>
      </w:r>
    </w:p>
    <w:p w14:paraId="3F1E4826"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07C2A33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0FD0E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C73EE2" w14:textId="1D106E01"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Состоялся первый полет прототипа Ba.205 (MM.472) итальянского УТС Caproni Ba.205. Вскоре был закончен и второй экземпляр (MM.473) (22547).</w:t>
      </w:r>
    </w:p>
    <w:p w14:paraId="6EC44342" w14:textId="77777777" w:rsidR="00177665" w:rsidRPr="008127F8" w:rsidRDefault="00177665" w:rsidP="001E0A84">
      <w:pPr>
        <w:spacing w:after="0" w:line="240" w:lineRule="auto"/>
        <w:jc w:val="both"/>
        <w:rPr>
          <w:rFonts w:ascii="Times New Roman" w:hAnsi="Times New Roman"/>
          <w:color w:val="000000" w:themeColor="text1"/>
          <w:sz w:val="16"/>
          <w:szCs w:val="16"/>
        </w:rPr>
      </w:pPr>
    </w:p>
    <w:p w14:paraId="1732D45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апреля</w:t>
      </w:r>
      <w:r w:rsidRPr="008127F8">
        <w:rPr>
          <w:rFonts w:ascii="Times New Roman" w:hAnsi="Times New Roman"/>
          <w:color w:val="000000" w:themeColor="text1"/>
          <w:sz w:val="16"/>
          <w:szCs w:val="16"/>
        </w:rPr>
        <w:t xml:space="preserve"> в 1942 году состоялся первый полет прототипа «Ba.205» (MM.472) итальянского УТС </w:t>
      </w:r>
      <w:hyperlink r:id="rId102" w:tgtFrame="_blank" w:history="1">
        <w:r w:rsidRPr="008127F8">
          <w:rPr>
            <w:rFonts w:ascii="Times New Roman" w:hAnsi="Times New Roman"/>
            <w:color w:val="000000" w:themeColor="text1"/>
            <w:sz w:val="16"/>
            <w:szCs w:val="16"/>
          </w:rPr>
          <w:t xml:space="preserve">«Caproni» «Ba.205». </w:t>
        </w:r>
      </w:hyperlink>
      <w:r w:rsidRPr="008127F8">
        <w:rPr>
          <w:rFonts w:ascii="Times New Roman" w:hAnsi="Times New Roman"/>
          <w:color w:val="000000" w:themeColor="text1"/>
          <w:sz w:val="16"/>
          <w:szCs w:val="16"/>
        </w:rPr>
        <w:t>Вскоре был закончен и второй экземпляр («MM.473») (15089).</w:t>
      </w:r>
    </w:p>
    <w:p w14:paraId="140A096C"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1436D7A7"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на Мальте немецкий самолет топит греческую подводную лодку Glaucos и сильно повреждает польскую подводную лодку Sokol (20793).</w:t>
      </w:r>
    </w:p>
    <w:p w14:paraId="16FBDC6A" w14:textId="77777777" w:rsidR="00177665" w:rsidRPr="008127F8" w:rsidRDefault="00177665" w:rsidP="001E0A84">
      <w:pPr>
        <w:spacing w:after="0" w:line="240" w:lineRule="auto"/>
        <w:jc w:val="both"/>
        <w:rPr>
          <w:rFonts w:ascii="Times New Roman" w:hAnsi="Times New Roman"/>
          <w:color w:val="000000" w:themeColor="text1"/>
          <w:sz w:val="16"/>
          <w:szCs w:val="16"/>
        </w:rPr>
      </w:pPr>
    </w:p>
    <w:p w14:paraId="60181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вступило в силу соглашение между США и Великобританией о новом разделении стратегических зон ответственности: Тихий океан - США, Индийский океан - Великобритания (3186).</w:t>
      </w:r>
    </w:p>
    <w:p w14:paraId="183434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C541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японцы потопили в Индийском океане 4 английских корабля (2261).</w:t>
      </w:r>
    </w:p>
    <w:p w14:paraId="1B6FE6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5617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6A918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F7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возобновились заводские испытания Ил-4 М-82 после ремонта и самолет начал выполнять новые испытательные полеты (9528).</w:t>
      </w:r>
    </w:p>
    <w:p w14:paraId="1BE868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 М-82 имел большую номинальную мощность на расчетной высоте по сравнению с М-88Б -1330 л.с. вместо 1100 л.с. На 36 мм по сравнению с М-88Б был меньше его наружный диаметр. Однако вес каждого нового двигателя на 210 кг превышал вес старого, а удельный расход топлива на крейсерском режиме полета у М-82 оказался почти на 15% выше, чем у М-88Б. В результате вес самолета с М-82 на 817 кг превысил вес ДБ-3Ф “эталона 1940 года”. Это, а также недобор мощности двигателем М-82 на расчетной высоте из-за нестабильной работы карбюратора, привели к тому, что установка более мощного двигателя практически не сказалась на скоростных данных самолета. С нормальным полетным весом 8850 кг Ил-4 с двигателями М-82 и с воздушными винтами АВ-5-162 показал максимальную скорость 379 км/ч у земли и 437 км/ч на расчетной высоте 5250 м. Несколько улучшилась скороподъемность самолета, но дальность полета упала. Так как двигатель М-82 еще нуждался в доводке, самолеты ДБ-3Ф с ним серийно не строили, хотя время от времени в ОКБ поступали предложения различных начальников о продолжении работ по переоснащению ДБ-3Ф двигателями М-82. Но С.В.Ильюшин на эти предложения реагировал очень сдержанно. К тому же, несмотря на тяжелейшие условия, коллектив двигателестроительного завода сумел быстро восстановить производство двигателей М-88Б (9528).</w:t>
      </w:r>
    </w:p>
    <w:p w14:paraId="3E061F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F99FB"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начались испытания Ил-4 М-82 по программе. В первый день испытаний 10 февраля 1942 в пер</w:t>
      </w:r>
      <w:r w:rsidRPr="008127F8">
        <w:rPr>
          <w:rFonts w:ascii="Times New Roman" w:hAnsi="Times New Roman"/>
          <w:color w:val="000000" w:themeColor="text1"/>
          <w:sz w:val="16"/>
          <w:szCs w:val="16"/>
        </w:rPr>
        <w:softHyphen/>
        <w:t>вом же вылете Ил-4 М-82 обнаружился сильный выброс моторного масла. Доводки затянулись почти на два месяца.</w:t>
      </w:r>
    </w:p>
    <w:p w14:paraId="2E531B16"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проводились на трех машинах при участии ведущих инженеров НИИ ВВС Г. В. Гри</w:t>
      </w:r>
      <w:r w:rsidRPr="008127F8">
        <w:rPr>
          <w:rFonts w:ascii="Times New Roman" w:hAnsi="Times New Roman"/>
          <w:color w:val="000000" w:themeColor="text1"/>
          <w:sz w:val="16"/>
          <w:szCs w:val="16"/>
        </w:rPr>
        <w:softHyphen/>
        <w:t>бакина и Н. Н. Фингерова, ЛИИ — С.С. Юданова и заводского летчика-испытателя Галицкого.</w:t>
      </w:r>
    </w:p>
    <w:p w14:paraId="4542D9DB"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проведенные при участии ведущих инженера Н.М. Кокори</w:t>
      </w:r>
      <w:r w:rsidRPr="008127F8">
        <w:rPr>
          <w:rFonts w:ascii="Times New Roman" w:hAnsi="Times New Roman"/>
          <w:color w:val="000000" w:themeColor="text1"/>
          <w:sz w:val="16"/>
          <w:szCs w:val="16"/>
        </w:rPr>
        <w:softHyphen/>
        <w:t>на, летчика А. П. Сыроегина и штурмана Л. М. Гоптарева (самолет облетали лет</w:t>
      </w:r>
      <w:r w:rsidRPr="008127F8">
        <w:rPr>
          <w:rFonts w:ascii="Times New Roman" w:hAnsi="Times New Roman"/>
          <w:color w:val="000000" w:themeColor="text1"/>
          <w:sz w:val="16"/>
          <w:szCs w:val="16"/>
        </w:rPr>
        <w:softHyphen/>
        <w:t>чик Л.П. Лупкин и штурман Н.П. Цвет</w:t>
      </w:r>
      <w:r w:rsidRPr="008127F8">
        <w:rPr>
          <w:rFonts w:ascii="Times New Roman" w:hAnsi="Times New Roman"/>
          <w:color w:val="000000" w:themeColor="text1"/>
          <w:sz w:val="16"/>
          <w:szCs w:val="16"/>
        </w:rPr>
        <w:softHyphen/>
        <w:t>ков), показали, что пилотажные харак</w:t>
      </w:r>
      <w:r w:rsidRPr="008127F8">
        <w:rPr>
          <w:rFonts w:ascii="Times New Roman" w:hAnsi="Times New Roman"/>
          <w:color w:val="000000" w:themeColor="text1"/>
          <w:sz w:val="16"/>
          <w:szCs w:val="16"/>
        </w:rPr>
        <w:softHyphen/>
        <w:t>теристики остались неизменными. Од</w:t>
      </w:r>
      <w:r w:rsidRPr="008127F8">
        <w:rPr>
          <w:rFonts w:ascii="Times New Roman" w:hAnsi="Times New Roman"/>
          <w:color w:val="000000" w:themeColor="text1"/>
          <w:sz w:val="16"/>
          <w:szCs w:val="16"/>
        </w:rPr>
        <w:softHyphen/>
        <w:t>нако при повороте пулемета верхней установки МВ-3 в стороны самолет на</w:t>
      </w:r>
      <w:r w:rsidRPr="008127F8">
        <w:rPr>
          <w:rFonts w:ascii="Times New Roman" w:hAnsi="Times New Roman"/>
          <w:color w:val="000000" w:themeColor="text1"/>
          <w:sz w:val="16"/>
          <w:szCs w:val="16"/>
        </w:rPr>
        <w:softHyphen/>
        <w:t>чинал «гулять» по курсу, создавая крен до трех градусов, правда, легко пари</w:t>
      </w:r>
      <w:r w:rsidRPr="008127F8">
        <w:rPr>
          <w:rFonts w:ascii="Times New Roman" w:hAnsi="Times New Roman"/>
          <w:color w:val="000000" w:themeColor="text1"/>
          <w:sz w:val="16"/>
          <w:szCs w:val="16"/>
        </w:rPr>
        <w:softHyphen/>
        <w:t>ровавшийся рулем поворота.</w:t>
      </w:r>
    </w:p>
    <w:p w14:paraId="30AC8F9C"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двигателей не нашлось штатных винтов АВ-5, и вместо них пришлось ставить втулки винтов ВИШ-22 с лопастями ВИШ-21 диаметром 3,4 м. Ско</w:t>
      </w:r>
      <w:r w:rsidRPr="008127F8">
        <w:rPr>
          <w:rFonts w:ascii="Times New Roman" w:hAnsi="Times New Roman"/>
          <w:color w:val="000000" w:themeColor="text1"/>
          <w:sz w:val="16"/>
          <w:szCs w:val="16"/>
        </w:rPr>
        <w:softHyphen/>
        <w:t>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w:t>
      </w:r>
      <w:r w:rsidRPr="008127F8">
        <w:rPr>
          <w:rFonts w:ascii="Times New Roman" w:hAnsi="Times New Roman"/>
          <w:color w:val="000000" w:themeColor="text1"/>
          <w:sz w:val="16"/>
          <w:szCs w:val="16"/>
        </w:rPr>
        <w:softHyphen/>
        <w:t>ным образом за счет топлива) дальность увеличи</w:t>
      </w:r>
      <w:r w:rsidRPr="008127F8">
        <w:rPr>
          <w:rFonts w:ascii="Times New Roman" w:hAnsi="Times New Roman"/>
          <w:color w:val="000000" w:themeColor="text1"/>
          <w:sz w:val="16"/>
          <w:szCs w:val="16"/>
        </w:rPr>
        <w:softHyphen/>
        <w:t>лась на 900 км, максимальная скорость — на 45 км/ч. Улучшились взлетные характеристики и скороподъ</w:t>
      </w:r>
      <w:r w:rsidRPr="008127F8">
        <w:rPr>
          <w:rFonts w:ascii="Times New Roman" w:hAnsi="Times New Roman"/>
          <w:color w:val="000000" w:themeColor="text1"/>
          <w:sz w:val="16"/>
          <w:szCs w:val="16"/>
        </w:rPr>
        <w:softHyphen/>
        <w:t>емность.</w:t>
      </w:r>
    </w:p>
    <w:p w14:paraId="670E2079" w14:textId="77777777" w:rsidR="00177665" w:rsidRPr="008127F8" w:rsidRDefault="0017766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отчета отмечалась целесообраз</w:t>
      </w:r>
      <w:r w:rsidRPr="008127F8">
        <w:rPr>
          <w:rFonts w:ascii="Times New Roman" w:hAnsi="Times New Roman"/>
          <w:color w:val="000000" w:themeColor="text1"/>
          <w:sz w:val="16"/>
          <w:szCs w:val="16"/>
        </w:rPr>
        <w:softHyphen/>
        <w:t>ность установки М-82 на серийные самолеты. Но из- за неудовлетворительной работы системы охлаж</w:t>
      </w:r>
      <w:r w:rsidRPr="008127F8">
        <w:rPr>
          <w:rFonts w:ascii="Times New Roman" w:hAnsi="Times New Roman"/>
          <w:color w:val="000000" w:themeColor="text1"/>
          <w:sz w:val="16"/>
          <w:szCs w:val="16"/>
        </w:rPr>
        <w:softHyphen/>
        <w:t>дения масла, несоответствия колес шасси возрос</w:t>
      </w:r>
      <w:r w:rsidRPr="008127F8">
        <w:rPr>
          <w:rFonts w:ascii="Times New Roman" w:hAnsi="Times New Roman"/>
          <w:color w:val="000000" w:themeColor="text1"/>
          <w:sz w:val="16"/>
          <w:szCs w:val="16"/>
        </w:rPr>
        <w:softHyphen/>
        <w:t>шим нагрузкам, отсутствия амортизации двигателей и неудобного расположения его агрегатов самолет не рекомендовался к серийному производству (23188).</w:t>
      </w:r>
    </w:p>
    <w:p w14:paraId="2400A2C4" w14:textId="77777777" w:rsidR="00177665" w:rsidRPr="008127F8" w:rsidRDefault="00177665" w:rsidP="001E0A84">
      <w:pPr>
        <w:spacing w:after="0" w:line="240" w:lineRule="auto"/>
        <w:jc w:val="both"/>
        <w:rPr>
          <w:rFonts w:ascii="Times New Roman" w:hAnsi="Times New Roman"/>
          <w:color w:val="000000" w:themeColor="text1"/>
          <w:sz w:val="16"/>
          <w:szCs w:val="16"/>
        </w:rPr>
      </w:pPr>
    </w:p>
    <w:p w14:paraId="0BE9D4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А.И.Ш. писал И.В.С. письмо N 2254:</w:t>
      </w:r>
    </w:p>
    <w:p w14:paraId="247FD0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Вашему заданию был рассмотрен вопрос о мероприятиях по сокращению разбега и пробега наших боевых самолетов.</w:t>
      </w:r>
    </w:p>
    <w:p w14:paraId="567061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первую очередь были отобраны и рассмотрены мероприятия, технически не вызывающие сомнения, возможные к применению в ближайшее время и не снижающие скорости полета, а также не требующие больших переделок самолетов и моторов.</w:t>
      </w:r>
    </w:p>
    <w:p w14:paraId="30471F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 второй очереди отнесены мероприятия реальные, но требующие предварительной отработки и проверки путем летных испытаний опытных образцов или меняющие технику пилотирования.</w:t>
      </w:r>
    </w:p>
    <w:p w14:paraId="337E7F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самолету Як-1 и Як-7</w:t>
      </w:r>
    </w:p>
    <w:p w14:paraId="16F8B1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самолету Пе-2</w:t>
      </w:r>
    </w:p>
    <w:p w14:paraId="5DB150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самолету Ил-4</w:t>
      </w:r>
    </w:p>
    <w:p w14:paraId="7673D4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данному самолету следует рассмотреть лишь вопрос о сокращении разбега, т.к. наличие сбрасываемого груза до 40: веса машины приводит к резкой разнице (почти вдвое) в длине разбега и пробега</w:t>
      </w:r>
    </w:p>
    <w:p w14:paraId="54A486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Мероприятия 1-й очереди</w:t>
      </w:r>
    </w:p>
    <w:p w14:paraId="46BB93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Переход на более мощный мотор М-82 даст сокращение разбега, по сравнению с серийным самолетом с М-88 при весе 11500 м на 50%. Разбег уменьшится на 400 м до 400 м вместо 800 м</w:t>
      </w:r>
    </w:p>
    <w:p w14:paraId="252424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самолета ДБ-3Ф с М-88 возможны лишь мероприятия второй очереди:</w:t>
      </w:r>
    </w:p>
    <w:p w14:paraId="76A8A4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увеличение диаметра трехлопастного винта с 3.25 м до 3.4 м даст сокращение разбега на 25%</w:t>
      </w:r>
    </w:p>
    <w:p w14:paraId="3EC677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переход на 4 лопастные винты диаметром 3.4 м даст дополнительно по разбегу сокращение на 10%</w:t>
      </w:r>
    </w:p>
    <w:p w14:paraId="5EF4A9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применение стартовых ракет, при 8 ракетах типа МГ-13, приведет к совращению разбега на 50%</w:t>
      </w:r>
    </w:p>
    <w:p w14:paraId="6B1E2A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суммарно разбег уменьшится на 400 м и станет равным 400 м вместо 800 м</w:t>
      </w:r>
    </w:p>
    <w:p w14:paraId="7F4273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самолету Ил-2</w:t>
      </w:r>
    </w:p>
    <w:p w14:paraId="334F1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Сокращение разбега. Мероприятия первой очереди</w:t>
      </w:r>
    </w:p>
    <w:p w14:paraId="7CB5E1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Применение </w:t>
      </w:r>
      <w:proofErr w:type="gramStart"/>
      <w:r w:rsidRPr="008127F8">
        <w:rPr>
          <w:rFonts w:ascii="Times New Roman" w:hAnsi="Times New Roman"/>
          <w:color w:val="000000" w:themeColor="text1"/>
          <w:sz w:val="16"/>
          <w:szCs w:val="16"/>
        </w:rPr>
        <w:t>винта</w:t>
      </w:r>
      <w:proofErr w:type="gramEnd"/>
      <w:r w:rsidRPr="008127F8">
        <w:rPr>
          <w:rFonts w:ascii="Times New Roman" w:hAnsi="Times New Roman"/>
          <w:color w:val="000000" w:themeColor="text1"/>
          <w:sz w:val="16"/>
          <w:szCs w:val="16"/>
        </w:rPr>
        <w:t xml:space="preserve"> увеличенного до 376 м диаметра даст сокращение разбега на 10%</w:t>
      </w:r>
    </w:p>
    <w:p w14:paraId="68A168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форсаж мотора АМ-38 до 1850 л.с. (на 200 л.с.) на взлете даст сокращение разбега на 15%</w:t>
      </w:r>
    </w:p>
    <w:p w14:paraId="132EE4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введение обязательного открывания щитиков на 16 гр. даст сокращение на 10%</w:t>
      </w:r>
    </w:p>
    <w:p w14:paraId="08EDB0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всех мероприятий разбег уменьшится на 150 м и станет равным 330 м вместо 480 м</w:t>
      </w:r>
    </w:p>
    <w:p w14:paraId="21A2FD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Сокращение пробега</w:t>
      </w:r>
    </w:p>
    <w:p w14:paraId="04ECE7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Могут быть рекомендованы те же мероприятия, что и для Пе-2:</w:t>
      </w:r>
    </w:p>
    <w:p w14:paraId="0F76D0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Мероприятия первой очереди</w:t>
      </w:r>
    </w:p>
    <w:p w14:paraId="5C318B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применение тормозного костыля</w:t>
      </w:r>
    </w:p>
    <w:p w14:paraId="73C5FA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Мероприятия второй очереди</w:t>
      </w:r>
    </w:p>
    <w:p w14:paraId="0D23F8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применение двух посадочных парашютов в 3 кв. метра каждый при условии открытия парашютов в воздухе (может быть открыт и на земле).</w:t>
      </w:r>
    </w:p>
    <w:p w14:paraId="37F821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даст сокращение пробега на 140 м, т.е. он станет равным 260 м вместо 400 м</w:t>
      </w:r>
    </w:p>
    <w:p w14:paraId="451882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указанных выше мероприятий, применимых к серийным самолетам, можно наметить еще целый ряд предложений, возможных к проведению в дальнейшем и требующих для своей реализации значительных НИОКР.</w:t>
      </w:r>
    </w:p>
    <w:p w14:paraId="585D05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относятся: дальнейшее улучшение механизации крыла, сдув и отсос пограничного слоя, реверсивные винты, введение 3-х колесного шасси.</w:t>
      </w:r>
    </w:p>
    <w:p w14:paraId="039D3C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Перечисленные мероприятия этого типа как правило применимы лишь к новым самолетам</w:t>
      </w:r>
    </w:p>
    <w:p w14:paraId="421D9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имеется весьма большое количество других предложений, которые, однако, либо совсем не могут быть применены в виду исключительных конструктивных или эксплуатационных трудностей, либо требуют специфического сложного аэродромного оборудования, невозможного к применению в полевых условиях. К числу первых относятся: крылья переменной площади, применение автожирных винтов, винты переменного диаметра и т.п. К числу вторых относятся - сухопутные катапульты, использование силы тяжести (горы и колодцы).</w:t>
      </w:r>
    </w:p>
    <w:p w14:paraId="04EEC9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Настоящая записка является первым сообщением. Работа продолжается, о результатах буду регулярно докладывать (1652,295).</w:t>
      </w:r>
    </w:p>
    <w:p w14:paraId="57B754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A65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апреля 1942 начались совместные испытания Ил-4 (ДБ-3Ф) с М-82 по программе. Хотя первый вылет был 10 февраля 1942 испытания прервали из-за сильного выброса масла. Доводки заняли 2 месяца. После первого вылета на N 7102 несмотря на выбрасывание масла, с которым постоянно боролись, при устранении дефекта сделали 17 полетов налетав 10:30, но на 18 полете 8 февраля оба мотора потерпели аварию и машина, по-видимому, была разбита. 9 марта 1942 продолжились совместные гос. и заводские испытания, но на ДБ-3Ф 2М-82 N 7103. Вообще на испытания поступило 3 машины (+ N 6614), но при наземных испытаниях еще до </w:t>
      </w:r>
      <w:r w:rsidRPr="008127F8">
        <w:rPr>
          <w:rFonts w:ascii="Times New Roman" w:hAnsi="Times New Roman"/>
          <w:color w:val="000000" w:themeColor="text1"/>
          <w:sz w:val="16"/>
          <w:szCs w:val="16"/>
        </w:rPr>
        <w:lastRenderedPageBreak/>
        <w:t xml:space="preserve">полетов на 6614 была повреждена крыльчатка нагнетателя левого мотора. К 5 апреля 1942 дефект выбрасывания масла на М-82 устранили. Участвовали ви Г.В.Грибакин, ви Н.Н.Фингеров, нач. сер. КБ А.М.Вульман, ви ЛИИ </w:t>
      </w:r>
      <w:proofErr w:type="gramStart"/>
      <w:r w:rsidRPr="008127F8">
        <w:rPr>
          <w:rFonts w:ascii="Times New Roman" w:hAnsi="Times New Roman"/>
          <w:color w:val="000000" w:themeColor="text1"/>
          <w:sz w:val="16"/>
          <w:szCs w:val="16"/>
        </w:rPr>
        <w:t>С.С</w:t>
      </w:r>
      <w:proofErr w:type="gramEnd"/>
      <w:r w:rsidRPr="008127F8">
        <w:rPr>
          <w:rFonts w:ascii="Times New Roman" w:hAnsi="Times New Roman"/>
          <w:color w:val="000000" w:themeColor="text1"/>
          <w:sz w:val="16"/>
          <w:szCs w:val="16"/>
        </w:rPr>
        <w:t>.Юданов (2084). Из-за отсутствия вместо штатных АВ-5 поставили втулки от ВИШ-22 с лопастями от ВИШ-21 диаметром 3.4 м и летали на такой машине до 11 апреля. Всего на машине 7103 сделали 37 полетов налетав 33 час., а всего за время испытаний - 54 с налетом 43:30 из них 25 для устранения выбрасывания масла из суфлеров (2084). Отчет по испытаниям подписали 2 июня 1942 (2084). Летные характеристики были лучше, но ниже расчетных и при возросшем нормальном полетном весе 8850 кг дальность выросла на 900 км, а скорость - на 45 км/час. Улучшились взлетные характеристики и скороподъемность. В серию не рекомендовали из-за неудовлетворительного охлаждения и слабости имеющегося шасси и мелочей в серию не рекомендовали (2467,7).</w:t>
      </w:r>
    </w:p>
    <w:p w14:paraId="6E4ED1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6C1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1542 О производстве авиационных винтов ВИШ-105П на заводе № 27 НКАП. РГАНИР, Фонд ГКО, д. 27, лл. 3-4 (11012).</w:t>
      </w:r>
    </w:p>
    <w:p w14:paraId="29B872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BD7D7"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1542 О производстве авиационных винтов ВИШ-105П на заводе № 27 НКАП</w:t>
      </w:r>
    </w:p>
    <w:p w14:paraId="5B340C20"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постановляет:</w:t>
      </w:r>
    </w:p>
    <w:p w14:paraId="76C20A3A"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Во изменение постановления ГОКО Г </w:t>
      </w:r>
      <w:r w:rsidRPr="008127F8">
        <w:rPr>
          <w:rStyle w:val="0pt"/>
          <w:rFonts w:ascii="Times New Roman" w:hAnsi="Times New Roman" w:cs="Times New Roman"/>
          <w:color w:val="000000" w:themeColor="text1"/>
          <w:spacing w:val="0"/>
          <w:sz w:val="16"/>
          <w:szCs w:val="16"/>
        </w:rPr>
        <w:t>1052сс</w:t>
      </w:r>
      <w:r w:rsidRPr="008127F8">
        <w:rPr>
          <w:rFonts w:ascii="Times New Roman" w:hAnsi="Times New Roman"/>
          <w:color w:val="000000" w:themeColor="text1"/>
          <w:sz w:val="16"/>
          <w:szCs w:val="16"/>
        </w:rPr>
        <w:t xml:space="preserve"> от </w:t>
      </w:r>
      <w:r w:rsidRPr="008127F8">
        <w:rPr>
          <w:rStyle w:val="0pt"/>
          <w:rFonts w:ascii="Times New Roman" w:hAnsi="Times New Roman" w:cs="Times New Roman"/>
          <w:color w:val="000000" w:themeColor="text1"/>
          <w:spacing w:val="0"/>
          <w:sz w:val="16"/>
          <w:szCs w:val="16"/>
        </w:rPr>
        <w:t>23</w:t>
      </w:r>
      <w:r w:rsidRPr="008127F8">
        <w:rPr>
          <w:rFonts w:ascii="Times New Roman" w:hAnsi="Times New Roman"/>
          <w:color w:val="000000" w:themeColor="text1"/>
          <w:sz w:val="16"/>
          <w:szCs w:val="16"/>
        </w:rPr>
        <w:t xml:space="preserve"> де</w:t>
      </w:r>
      <w:r w:rsidRPr="008127F8">
        <w:rPr>
          <w:rFonts w:ascii="Times New Roman" w:hAnsi="Times New Roman"/>
          <w:color w:val="000000" w:themeColor="text1"/>
          <w:sz w:val="16"/>
          <w:szCs w:val="16"/>
        </w:rPr>
        <w:softHyphen/>
        <w:t xml:space="preserve">кабря </w:t>
      </w:r>
      <w:r w:rsidRPr="008127F8">
        <w:rPr>
          <w:rStyle w:val="0pt"/>
          <w:rFonts w:ascii="Times New Roman" w:hAnsi="Times New Roman" w:cs="Times New Roman"/>
          <w:color w:val="000000" w:themeColor="text1"/>
          <w:spacing w:val="0"/>
          <w:sz w:val="16"/>
          <w:szCs w:val="16"/>
        </w:rPr>
        <w:t>1941 г.,</w:t>
      </w:r>
      <w:r w:rsidRPr="008127F8">
        <w:rPr>
          <w:rFonts w:ascii="Times New Roman" w:hAnsi="Times New Roman"/>
          <w:color w:val="000000" w:themeColor="text1"/>
          <w:sz w:val="16"/>
          <w:szCs w:val="16"/>
        </w:rPr>
        <w:t xml:space="preserve"> организованный в гор.Москве эавод 27 по выпуску авиационных винтов </w:t>
      </w:r>
      <w:r w:rsidRPr="008127F8">
        <w:rPr>
          <w:rStyle w:val="0pt"/>
          <w:rFonts w:ascii="Times New Roman" w:hAnsi="Times New Roman" w:cs="Times New Roman"/>
          <w:color w:val="000000" w:themeColor="text1"/>
          <w:spacing w:val="0"/>
          <w:sz w:val="16"/>
          <w:szCs w:val="16"/>
        </w:rPr>
        <w:t>ВИШ-61П</w:t>
      </w:r>
      <w:r w:rsidRPr="008127F8">
        <w:rPr>
          <w:rFonts w:ascii="Times New Roman" w:hAnsi="Times New Roman"/>
          <w:color w:val="000000" w:themeColor="text1"/>
          <w:sz w:val="16"/>
          <w:szCs w:val="16"/>
        </w:rPr>
        <w:t xml:space="preserve"> переключить на серийное производство авиационных винтов </w:t>
      </w:r>
      <w:r w:rsidRPr="008127F8">
        <w:rPr>
          <w:rStyle w:val="0pt"/>
          <w:rFonts w:ascii="Times New Roman" w:hAnsi="Times New Roman" w:cs="Times New Roman"/>
          <w:color w:val="000000" w:themeColor="text1"/>
          <w:spacing w:val="0"/>
          <w:sz w:val="16"/>
          <w:szCs w:val="16"/>
        </w:rPr>
        <w:t>ВИШ-105П,</w:t>
      </w:r>
      <w:r w:rsidRPr="008127F8">
        <w:rPr>
          <w:rFonts w:ascii="Times New Roman" w:hAnsi="Times New Roman"/>
          <w:color w:val="000000" w:themeColor="text1"/>
          <w:sz w:val="16"/>
          <w:szCs w:val="16"/>
        </w:rPr>
        <w:t xml:space="preserve"> установив прог</w:t>
      </w:r>
      <w:r w:rsidRPr="008127F8">
        <w:rPr>
          <w:rFonts w:ascii="Times New Roman" w:hAnsi="Times New Roman"/>
          <w:color w:val="000000" w:themeColor="text1"/>
          <w:sz w:val="16"/>
          <w:szCs w:val="16"/>
        </w:rPr>
        <w:softHyphen/>
        <w:t xml:space="preserve">рамму выпуска на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 </w:t>
      </w:r>
      <w:r w:rsidRPr="008127F8">
        <w:rPr>
          <w:rStyle w:val="0pt"/>
          <w:rFonts w:ascii="Times New Roman" w:hAnsi="Times New Roman" w:cs="Times New Roman"/>
          <w:color w:val="000000" w:themeColor="text1"/>
          <w:spacing w:val="0"/>
          <w:sz w:val="16"/>
          <w:szCs w:val="16"/>
        </w:rPr>
        <w:t>4000</w:t>
      </w:r>
      <w:r w:rsidRPr="008127F8">
        <w:rPr>
          <w:rFonts w:ascii="Times New Roman" w:hAnsi="Times New Roman"/>
          <w:color w:val="000000" w:themeColor="text1"/>
          <w:sz w:val="16"/>
          <w:szCs w:val="16"/>
        </w:rPr>
        <w:t xml:space="preserve"> штук эти:-: винтов, в тем числе:</w:t>
      </w:r>
    </w:p>
    <w:p w14:paraId="0D0F54C6"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- 50</w:t>
      </w:r>
    </w:p>
    <w:p w14:paraId="2033F398"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- 100</w:t>
      </w:r>
    </w:p>
    <w:p w14:paraId="0414C286"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- 200</w:t>
      </w:r>
    </w:p>
    <w:p w14:paraId="2B7739EA"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- 350</w:t>
      </w:r>
    </w:p>
    <w:p w14:paraId="17F5986F"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- 450</w:t>
      </w:r>
    </w:p>
    <w:p w14:paraId="43E5864F"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- 500</w:t>
      </w:r>
    </w:p>
    <w:p w14:paraId="575E5013"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- 600</w:t>
      </w:r>
    </w:p>
    <w:p w14:paraId="5832DEC3"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- 800</w:t>
      </w:r>
    </w:p>
    <w:p w14:paraId="3298D454"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- 900</w:t>
      </w:r>
    </w:p>
    <w:p w14:paraId="2C166D2A"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Обязать Наркомавиапром -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w:t>
      </w:r>
    </w:p>
    <w:p w14:paraId="7366A525" w14:textId="77777777" w:rsidR="00A61A9A" w:rsidRPr="008127F8" w:rsidRDefault="00A61A9A" w:rsidP="001E0A84">
      <w:pPr>
        <w:tabs>
          <w:tab w:val="left" w:pos="950"/>
          <w:tab w:val="left" w:leader="underscore" w:pos="943"/>
          <w:tab w:val="left" w:leader="underscore" w:pos="1655"/>
          <w:tab w:val="left" w:pos="285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доукомплектовать завод № 27 недостающим оборудова</w:t>
      </w:r>
      <w:r w:rsidRPr="008127F8">
        <w:rPr>
          <w:rFonts w:ascii="Times New Roman" w:hAnsi="Times New Roman"/>
          <w:color w:val="000000" w:themeColor="text1"/>
          <w:sz w:val="16"/>
          <w:szCs w:val="16"/>
        </w:rPr>
        <w:softHyphen/>
        <w:t xml:space="preserve">нием в количестве </w:t>
      </w:r>
      <w:r w:rsidRPr="008127F8">
        <w:rPr>
          <w:rStyle w:val="0pt"/>
          <w:rFonts w:ascii="Times New Roman" w:hAnsi="Times New Roman" w:cs="Times New Roman"/>
          <w:color w:val="000000" w:themeColor="text1"/>
          <w:spacing w:val="0"/>
          <w:sz w:val="16"/>
          <w:szCs w:val="16"/>
        </w:rPr>
        <w:t>170</w:t>
      </w:r>
      <w:r w:rsidRPr="008127F8">
        <w:rPr>
          <w:rFonts w:ascii="Times New Roman" w:hAnsi="Times New Roman"/>
          <w:color w:val="000000" w:themeColor="text1"/>
          <w:sz w:val="16"/>
          <w:szCs w:val="16"/>
        </w:rPr>
        <w:t xml:space="preserve"> единиц металлорежущих станков и 20 единиц контрольно-измерительных приборов, в следующие сро- ки:</w:t>
      </w:r>
    </w:p>
    <w:p w14:paraId="43DA61D2"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15 мая </w:t>
      </w:r>
      <w:r w:rsidRPr="008127F8">
        <w:rPr>
          <w:rStyle w:val="0pt"/>
          <w:rFonts w:ascii="Times New Roman" w:hAnsi="Times New Roman" w:cs="Times New Roman"/>
          <w:color w:val="000000" w:themeColor="text1"/>
          <w:spacing w:val="0"/>
          <w:sz w:val="16"/>
          <w:szCs w:val="16"/>
        </w:rPr>
        <w:t xml:space="preserve">1942 </w:t>
      </w:r>
      <w:r w:rsidRPr="008127F8">
        <w:rPr>
          <w:rFonts w:ascii="Times New Roman" w:hAnsi="Times New Roman"/>
          <w:color w:val="000000" w:themeColor="text1"/>
          <w:sz w:val="16"/>
          <w:szCs w:val="16"/>
        </w:rPr>
        <w:t>года - 70 единиц металлорежущих станков и 10 единиц контрольно-изг</w:t>
      </w:r>
      <w:proofErr w:type="gramStart"/>
      <w:r w:rsidRPr="008127F8">
        <w:rPr>
          <w:rFonts w:ascii="Times New Roman" w:hAnsi="Times New Roman"/>
          <w:color w:val="000000" w:themeColor="text1"/>
          <w:sz w:val="16"/>
          <w:szCs w:val="16"/>
        </w:rPr>
        <w:t>.:егзительных</w:t>
      </w:r>
      <w:proofErr w:type="gramEnd"/>
      <w:r w:rsidRPr="008127F8">
        <w:rPr>
          <w:rFonts w:ascii="Times New Roman" w:hAnsi="Times New Roman"/>
          <w:color w:val="000000" w:themeColor="text1"/>
          <w:sz w:val="16"/>
          <w:szCs w:val="16"/>
        </w:rPr>
        <w:t xml:space="preserve"> приборов; в течение третьего квартала с.г. -</w:t>
      </w:r>
      <w:r w:rsidRPr="008127F8">
        <w:rPr>
          <w:rStyle w:val="0pt"/>
          <w:rFonts w:ascii="Times New Roman" w:hAnsi="Times New Roman" w:cs="Times New Roman"/>
          <w:color w:val="000000" w:themeColor="text1"/>
          <w:spacing w:val="0"/>
          <w:sz w:val="16"/>
          <w:szCs w:val="16"/>
        </w:rPr>
        <w:t xml:space="preserve"> 100</w:t>
      </w:r>
      <w:r w:rsidRPr="008127F8">
        <w:rPr>
          <w:rFonts w:ascii="Times New Roman" w:hAnsi="Times New Roman"/>
          <w:color w:val="000000" w:themeColor="text1"/>
          <w:sz w:val="16"/>
          <w:szCs w:val="16"/>
        </w:rPr>
        <w:t xml:space="preserve"> единиц металлорежущих станков и 10 единиц контрольно-измерительных приборов;"</w:t>
      </w:r>
    </w:p>
    <w:p w14:paraId="2BE785FD" w14:textId="77777777" w:rsidR="00A61A9A" w:rsidRPr="008127F8" w:rsidRDefault="00A61A9A" w:rsidP="001E0A84">
      <w:pPr>
        <w:tabs>
          <w:tab w:val="left" w:pos="9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изготовить к 20 мая с.г.</w:t>
      </w:r>
      <w:r w:rsidRPr="008127F8">
        <w:rPr>
          <w:rStyle w:val="0pt"/>
          <w:rFonts w:ascii="Times New Roman" w:hAnsi="Times New Roman" w:cs="Times New Roman"/>
          <w:color w:val="000000" w:themeColor="text1"/>
          <w:spacing w:val="0"/>
          <w:sz w:val="16"/>
          <w:szCs w:val="16"/>
        </w:rPr>
        <w:t xml:space="preserve"> 200</w:t>
      </w:r>
      <w:r w:rsidRPr="008127F8">
        <w:rPr>
          <w:rFonts w:ascii="Times New Roman" w:hAnsi="Times New Roman"/>
          <w:color w:val="000000" w:themeColor="text1"/>
          <w:sz w:val="16"/>
          <w:szCs w:val="16"/>
        </w:rPr>
        <w:t xml:space="preserve"> наименований инстру</w:t>
      </w:r>
      <w:r w:rsidRPr="008127F8">
        <w:rPr>
          <w:rFonts w:ascii="Times New Roman" w:hAnsi="Times New Roman"/>
          <w:color w:val="000000" w:themeColor="text1"/>
          <w:sz w:val="16"/>
          <w:szCs w:val="16"/>
        </w:rPr>
        <w:softHyphen/>
        <w:t xml:space="preserve">мента и приспособлений на заводах НКАП, по чертежам и </w:t>
      </w:r>
      <w:proofErr w:type="gramStart"/>
      <w:r w:rsidRPr="008127F8">
        <w:rPr>
          <w:rFonts w:ascii="Times New Roman" w:hAnsi="Times New Roman"/>
          <w:color w:val="000000" w:themeColor="text1"/>
          <w:sz w:val="16"/>
          <w:szCs w:val="16"/>
        </w:rPr>
        <w:t>тех- условиям</w:t>
      </w:r>
      <w:proofErr w:type="gramEnd"/>
      <w:r w:rsidRPr="008127F8">
        <w:rPr>
          <w:rFonts w:ascii="Times New Roman" w:hAnsi="Times New Roman"/>
          <w:color w:val="000000" w:themeColor="text1"/>
          <w:sz w:val="16"/>
          <w:szCs w:val="16"/>
        </w:rPr>
        <w:t xml:space="preserve"> завода № </w:t>
      </w:r>
      <w:r w:rsidRPr="008127F8">
        <w:rPr>
          <w:rStyle w:val="0pt"/>
          <w:rFonts w:ascii="Times New Roman" w:hAnsi="Times New Roman" w:cs="Times New Roman"/>
          <w:color w:val="000000" w:themeColor="text1"/>
          <w:spacing w:val="0"/>
          <w:sz w:val="16"/>
          <w:szCs w:val="16"/>
        </w:rPr>
        <w:t>27;</w:t>
      </w:r>
    </w:p>
    <w:p w14:paraId="6C0C066F" w14:textId="77777777" w:rsidR="00A61A9A" w:rsidRPr="008127F8" w:rsidRDefault="00A61A9A" w:rsidP="001E0A84">
      <w:pPr>
        <w:tabs>
          <w:tab w:val="left" w:pos="9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передать с завода № </w:t>
      </w:r>
      <w:r w:rsidRPr="008127F8">
        <w:rPr>
          <w:rStyle w:val="0pt"/>
          <w:rFonts w:ascii="Times New Roman" w:hAnsi="Times New Roman" w:cs="Times New Roman"/>
          <w:color w:val="000000" w:themeColor="text1"/>
          <w:spacing w:val="0"/>
          <w:sz w:val="16"/>
          <w:szCs w:val="16"/>
        </w:rPr>
        <w:t>467</w:t>
      </w:r>
      <w:r w:rsidRPr="008127F8">
        <w:rPr>
          <w:rFonts w:ascii="Times New Roman" w:hAnsi="Times New Roman"/>
          <w:color w:val="000000" w:themeColor="text1"/>
          <w:sz w:val="16"/>
          <w:szCs w:val="16"/>
        </w:rPr>
        <w:t xml:space="preserve"> на завод № 27 к 15 апреля с.г. всю техническую документацию по винту </w:t>
      </w:r>
      <w:r w:rsidRPr="008127F8">
        <w:rPr>
          <w:rStyle w:val="0pt"/>
          <w:rFonts w:ascii="Times New Roman" w:hAnsi="Times New Roman" w:cs="Times New Roman"/>
          <w:color w:val="000000" w:themeColor="text1"/>
          <w:spacing w:val="0"/>
          <w:sz w:val="16"/>
          <w:szCs w:val="16"/>
        </w:rPr>
        <w:t>ВИШ-105П</w:t>
      </w:r>
      <w:r w:rsidRPr="008127F8">
        <w:rPr>
          <w:rFonts w:ascii="Times New Roman" w:hAnsi="Times New Roman"/>
          <w:color w:val="000000" w:themeColor="text1"/>
          <w:sz w:val="16"/>
          <w:szCs w:val="16"/>
        </w:rPr>
        <w:t xml:space="preserve"> и ста</w:t>
      </w:r>
      <w:r w:rsidRPr="008127F8">
        <w:rPr>
          <w:rFonts w:ascii="Times New Roman" w:hAnsi="Times New Roman"/>
          <w:color w:val="000000" w:themeColor="text1"/>
          <w:sz w:val="16"/>
          <w:szCs w:val="16"/>
        </w:rPr>
        <w:softHyphen/>
        <w:t>канам для деревянных лопастей, один комплект специального мерительного инструмента, 5С единиц приспособление; и штам</w:t>
      </w:r>
      <w:r w:rsidRPr="008127F8">
        <w:rPr>
          <w:rFonts w:ascii="Times New Roman" w:hAnsi="Times New Roman"/>
          <w:color w:val="000000" w:themeColor="text1"/>
          <w:sz w:val="16"/>
          <w:szCs w:val="16"/>
        </w:rPr>
        <w:softHyphen/>
        <w:t xml:space="preserve">пов из имеющихся дублеров и </w:t>
      </w:r>
      <w:r w:rsidRPr="008127F8">
        <w:rPr>
          <w:rStyle w:val="0pt"/>
          <w:rFonts w:ascii="Times New Roman" w:hAnsi="Times New Roman" w:cs="Times New Roman"/>
          <w:color w:val="000000" w:themeColor="text1"/>
          <w:spacing w:val="0"/>
          <w:sz w:val="16"/>
          <w:szCs w:val="16"/>
        </w:rPr>
        <w:t>100</w:t>
      </w:r>
      <w:r w:rsidRPr="008127F8">
        <w:rPr>
          <w:rFonts w:ascii="Times New Roman" w:hAnsi="Times New Roman"/>
          <w:color w:val="000000" w:themeColor="text1"/>
          <w:sz w:val="16"/>
          <w:szCs w:val="16"/>
        </w:rPr>
        <w:t xml:space="preserve"> комплектов стальных штампо</w:t>
      </w:r>
      <w:r w:rsidRPr="008127F8">
        <w:rPr>
          <w:rFonts w:ascii="Times New Roman" w:hAnsi="Times New Roman"/>
          <w:color w:val="000000" w:themeColor="text1"/>
          <w:sz w:val="16"/>
          <w:szCs w:val="16"/>
        </w:rPr>
        <w:softHyphen/>
        <w:t>вок;</w:t>
      </w:r>
    </w:p>
    <w:p w14:paraId="245FD420" w14:textId="77777777" w:rsidR="00A61A9A" w:rsidRPr="008127F8" w:rsidRDefault="00A61A9A" w:rsidP="001E0A84">
      <w:pPr>
        <w:tabs>
          <w:tab w:val="left" w:pos="9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обеспечить своевременную поставку металлических лопастей на программу завода </w:t>
      </w:r>
      <w:r w:rsidRPr="008127F8">
        <w:rPr>
          <w:rStyle w:val="0pt"/>
          <w:rFonts w:ascii="Times New Roman" w:hAnsi="Times New Roman" w:cs="Times New Roman"/>
          <w:color w:val="000000" w:themeColor="text1"/>
          <w:spacing w:val="0"/>
          <w:sz w:val="16"/>
          <w:szCs w:val="16"/>
        </w:rPr>
        <w:t>27;</w:t>
      </w:r>
    </w:p>
    <w:p w14:paraId="0B599696" w14:textId="77777777" w:rsidR="00A61A9A" w:rsidRPr="008127F8" w:rsidRDefault="00A61A9A" w:rsidP="001E0A84">
      <w:pPr>
        <w:tabs>
          <w:tab w:val="left" w:pos="9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организовать на заводе № 27 конструкторское бюро с опытным цехом и испытательной станцией на один"бокс; пере</w:t>
      </w:r>
      <w:r w:rsidRPr="008127F8">
        <w:rPr>
          <w:rFonts w:ascii="Times New Roman" w:hAnsi="Times New Roman"/>
          <w:color w:val="000000" w:themeColor="text1"/>
          <w:sz w:val="16"/>
          <w:szCs w:val="16"/>
        </w:rPr>
        <w:softHyphen/>
        <w:t>вести с завода</w:t>
      </w:r>
      <w:r w:rsidRPr="008127F8">
        <w:rPr>
          <w:rStyle w:val="MSReferenceSansSerif9pt1pt"/>
          <w:rFonts w:ascii="Times New Roman" w:hAnsi="Times New Roman" w:cs="Times New Roman"/>
          <w:b w:val="0"/>
          <w:color w:val="000000" w:themeColor="text1"/>
          <w:spacing w:val="0"/>
          <w:sz w:val="16"/>
          <w:szCs w:val="16"/>
        </w:rPr>
        <w:t xml:space="preserve"> № </w:t>
      </w:r>
      <w:r w:rsidRPr="008127F8">
        <w:rPr>
          <w:rStyle w:val="0pt"/>
          <w:rFonts w:ascii="Times New Roman" w:hAnsi="Times New Roman" w:cs="Times New Roman"/>
          <w:color w:val="000000" w:themeColor="text1"/>
          <w:spacing w:val="0"/>
          <w:sz w:val="16"/>
          <w:szCs w:val="16"/>
        </w:rPr>
        <w:t>467</w:t>
      </w:r>
      <w:r w:rsidRPr="008127F8">
        <w:rPr>
          <w:rFonts w:ascii="Times New Roman" w:hAnsi="Times New Roman"/>
          <w:color w:val="000000" w:themeColor="text1"/>
          <w:sz w:val="16"/>
          <w:szCs w:val="16"/>
        </w:rPr>
        <w:t xml:space="preserve"> на завод № 27 главных конструкторов т.т. Заславского и Бас-Дубова с необходимым числом контрукторов (19324).</w:t>
      </w:r>
    </w:p>
    <w:p w14:paraId="06F2AC7F" w14:textId="77777777" w:rsidR="00A61A9A" w:rsidRPr="008127F8" w:rsidRDefault="00A61A9A"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039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1543 Об организации заводов-дублеров. по производству моторных агрегатов, авиаприборов и самолетных генераторов. РГАНИР, Фонд ГКО, д. 27, лл. 5-6 (11012).</w:t>
      </w:r>
    </w:p>
    <w:p w14:paraId="1D488F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288DE"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1543 Об организации заводов-дублеров. по производству моторных агрегатов, авиаприборов и самолетных генераторов</w:t>
      </w:r>
    </w:p>
    <w:p w14:paraId="59095FC0"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организации заводов-дублеров Нар- комавиапоома по производству моторных агрегатов, авиацион</w:t>
      </w:r>
      <w:r w:rsidRPr="008127F8">
        <w:rPr>
          <w:rFonts w:ascii="Times New Roman" w:hAnsi="Times New Roman"/>
          <w:color w:val="000000" w:themeColor="text1"/>
          <w:sz w:val="16"/>
          <w:szCs w:val="16"/>
        </w:rPr>
        <w:softHyphen/>
        <w:t>ных поиборов и самолетных генераторов Государственный Ко</w:t>
      </w:r>
      <w:r w:rsidRPr="008127F8">
        <w:rPr>
          <w:rFonts w:ascii="Times New Roman" w:hAnsi="Times New Roman"/>
          <w:color w:val="000000" w:themeColor="text1"/>
          <w:sz w:val="16"/>
          <w:szCs w:val="16"/>
        </w:rPr>
        <w:softHyphen/>
        <w:t>митет' Обороны постановляет:</w:t>
      </w:r>
    </w:p>
    <w:p w14:paraId="57AB1DF1" w14:textId="77777777" w:rsidR="00A61A9A" w:rsidRPr="008127F8" w:rsidRDefault="00A61A9A" w:rsidP="001E0A84">
      <w:pPr>
        <w:tabs>
          <w:tab w:val="left" w:pos="131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 т.Шахурина:</w:t>
      </w:r>
    </w:p>
    <w:p w14:paraId="5AA8948B" w14:textId="77777777" w:rsidR="00A61A9A" w:rsidRPr="008127F8" w:rsidRDefault="00A61A9A" w:rsidP="001E0A84">
      <w:pPr>
        <w:tabs>
          <w:tab w:val="left" w:pos="13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организовать к 15 мая 1942 г. в г.Москве заводы- дублеры по производству приборов зажигания (магнето и свечи) на площади бывшего завода № 476 и по производству бензо-</w:t>
      </w:r>
      <w:proofErr w:type="gramStart"/>
      <w:r w:rsidRPr="008127F8">
        <w:rPr>
          <w:rFonts w:ascii="Times New Roman" w:hAnsi="Times New Roman"/>
          <w:color w:val="000000" w:themeColor="text1"/>
          <w:sz w:val="16"/>
          <w:szCs w:val="16"/>
        </w:rPr>
        <w:t>масло-насосов</w:t>
      </w:r>
      <w:proofErr w:type="gramEnd"/>
      <w:r w:rsidRPr="008127F8">
        <w:rPr>
          <w:rFonts w:ascii="Times New Roman" w:hAnsi="Times New Roman"/>
          <w:color w:val="000000" w:themeColor="text1"/>
          <w:sz w:val="16"/>
          <w:szCs w:val="16"/>
        </w:rPr>
        <w:t xml:space="preserve"> и маслофильтров на площади бывшего за</w:t>
      </w:r>
      <w:r w:rsidRPr="008127F8">
        <w:rPr>
          <w:rFonts w:ascii="Times New Roman" w:hAnsi="Times New Roman"/>
          <w:color w:val="000000" w:themeColor="text1"/>
          <w:sz w:val="16"/>
          <w:szCs w:val="16"/>
        </w:rPr>
        <w:softHyphen/>
        <w:t>вода № 20;</w:t>
      </w:r>
    </w:p>
    <w:p w14:paraId="10578B37" w14:textId="77777777" w:rsidR="00A61A9A" w:rsidRPr="008127F8" w:rsidRDefault="00A61A9A" w:rsidP="001E0A84">
      <w:pPr>
        <w:tabs>
          <w:tab w:val="left" w:pos="13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перебросить в Москву для этих целей 600 станков с заводов № 20, 33, 132, 266 к 306 ИКАЛ;</w:t>
      </w:r>
    </w:p>
    <w:p w14:paraId="098473FB" w14:textId="77777777" w:rsidR="00A61A9A" w:rsidRPr="008127F8" w:rsidRDefault="00A61A9A" w:rsidP="001E0A84">
      <w:pPr>
        <w:tabs>
          <w:tab w:val="left" w:pos="133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вызвать в Москву с периферийных заводов НКАП для работы на организуемых заводах-дублерах 300 человек ква</w:t>
      </w:r>
      <w:r w:rsidRPr="008127F8">
        <w:rPr>
          <w:rFonts w:ascii="Times New Roman" w:hAnsi="Times New Roman"/>
          <w:color w:val="000000" w:themeColor="text1"/>
          <w:sz w:val="16"/>
          <w:szCs w:val="16"/>
        </w:rPr>
        <w:softHyphen/>
        <w:t>лифицированных рабочих и ИТР;</w:t>
      </w:r>
    </w:p>
    <w:p w14:paraId="39622419"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возобновить не позднее 15 апреля 1942 г. производ</w:t>
      </w:r>
      <w:r w:rsidRPr="008127F8">
        <w:rPr>
          <w:rFonts w:ascii="Times New Roman" w:hAnsi="Times New Roman"/>
          <w:color w:val="000000" w:themeColor="text1"/>
          <w:sz w:val="16"/>
          <w:szCs w:val="16"/>
        </w:rPr>
        <w:softHyphen/>
        <w:t>ство авиационных стекол и термометров на площадях эвакуи</w:t>
      </w:r>
      <w:r w:rsidRPr="008127F8">
        <w:rPr>
          <w:rFonts w:ascii="Times New Roman" w:hAnsi="Times New Roman"/>
          <w:color w:val="000000" w:themeColor="text1"/>
          <w:sz w:val="16"/>
          <w:szCs w:val="16"/>
        </w:rPr>
        <w:softHyphen/>
        <w:t>рованного завода "Точизмеритель" в Москве, присвоив этому заводу № 382;</w:t>
      </w:r>
    </w:p>
    <w:p w14:paraId="050FAA9A" w14:textId="77777777" w:rsidR="00A61A9A" w:rsidRPr="008127F8" w:rsidRDefault="00A61A9A" w:rsidP="001E0A84">
      <w:pPr>
        <w:tabs>
          <w:tab w:val="left" w:pos="13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организовать не позднее 15 апреля 1942 г. на пло</w:t>
      </w:r>
      <w:r w:rsidRPr="008127F8">
        <w:rPr>
          <w:rFonts w:ascii="Times New Roman" w:hAnsi="Times New Roman"/>
          <w:color w:val="000000" w:themeColor="text1"/>
          <w:sz w:val="16"/>
          <w:szCs w:val="16"/>
        </w:rPr>
        <w:softHyphen/>
        <w:t>щадях эвакуированных заводов 230 и 474 в Москве произ</w:t>
      </w:r>
      <w:r w:rsidRPr="008127F8">
        <w:rPr>
          <w:rFonts w:ascii="Times New Roman" w:hAnsi="Times New Roman"/>
          <w:color w:val="000000" w:themeColor="text1"/>
          <w:sz w:val="16"/>
          <w:szCs w:val="16"/>
        </w:rPr>
        <w:softHyphen/>
        <w:t>водство и ремонт электрических и манометрических авиацион</w:t>
      </w:r>
      <w:r w:rsidRPr="008127F8">
        <w:rPr>
          <w:rFonts w:ascii="Times New Roman" w:hAnsi="Times New Roman"/>
          <w:color w:val="000000" w:themeColor="text1"/>
          <w:sz w:val="16"/>
          <w:szCs w:val="16"/>
        </w:rPr>
        <w:softHyphen/>
        <w:t>ных приборов, присвоив этим заводам соответственно №№ 339 и 118; *</w:t>
      </w:r>
    </w:p>
    <w:p w14:paraId="45108F6A" w14:textId="77777777" w:rsidR="00A61A9A" w:rsidRPr="008127F8" w:rsidRDefault="00A61A9A" w:rsidP="001E0A84">
      <w:pPr>
        <w:tabs>
          <w:tab w:val="left" w:pos="133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организовать во П квастале 1942 г. на площадях эвакуированных заводов 213 и 214 в Москве и № 279 в Раменском (Московской обл.) заводы по производству и ре</w:t>
      </w:r>
      <w:r w:rsidRPr="008127F8">
        <w:rPr>
          <w:rFonts w:ascii="Times New Roman" w:hAnsi="Times New Roman"/>
          <w:color w:val="000000" w:themeColor="text1"/>
          <w:sz w:val="16"/>
          <w:szCs w:val="16"/>
        </w:rPr>
        <w:softHyphen/>
        <w:t>монту навигационно-пилотажных и гироскопических приборов, присвоив этим заводам соответственно №№ 122, 133 и 149.</w:t>
      </w:r>
    </w:p>
    <w:p w14:paraId="275ABB90" w14:textId="77777777" w:rsidR="00A61A9A" w:rsidRPr="008127F8" w:rsidRDefault="00A61A9A" w:rsidP="001E0A84">
      <w:pPr>
        <w:tabs>
          <w:tab w:val="left" w:pos="132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НКПС - т.Хрулеву обеспечить перевозку оборудова</w:t>
      </w:r>
      <w:r w:rsidRPr="008127F8">
        <w:rPr>
          <w:rFonts w:ascii="Times New Roman" w:hAnsi="Times New Roman"/>
          <w:color w:val="000000" w:themeColor="text1"/>
          <w:sz w:val="16"/>
          <w:szCs w:val="16"/>
        </w:rPr>
        <w:softHyphen/>
        <w:t>ния и людей на указанные в п.1 заводы-дублеры, предоставив Наркомавиапрому необходимое количество вагонов.</w:t>
      </w:r>
    </w:p>
    <w:p w14:paraId="5EDA45EC" w14:textId="77777777" w:rsidR="00A61A9A" w:rsidRPr="008127F8" w:rsidRDefault="00A61A9A" w:rsidP="001E0A84">
      <w:pPr>
        <w:tabs>
          <w:tab w:val="left" w:pos="13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Наркомфин СССР - т.Звереву выделить Наркомавиапро</w:t>
      </w:r>
      <w:r w:rsidRPr="008127F8">
        <w:rPr>
          <w:rFonts w:ascii="Times New Roman" w:hAnsi="Times New Roman"/>
          <w:color w:val="000000" w:themeColor="text1"/>
          <w:sz w:val="16"/>
          <w:szCs w:val="16"/>
        </w:rPr>
        <w:softHyphen/>
        <w:t>му для постановки производства на заводах-дублерах мотор</w:t>
      </w:r>
      <w:r w:rsidRPr="008127F8">
        <w:rPr>
          <w:rFonts w:ascii="Times New Roman" w:hAnsi="Times New Roman"/>
          <w:color w:val="000000" w:themeColor="text1"/>
          <w:sz w:val="16"/>
          <w:szCs w:val="16"/>
        </w:rPr>
        <w:softHyphen/>
        <w:t xml:space="preserve">ных агоегатоз в Москве 3 миллиона рублей, на заводах №№ 118, 122, 133, 149, </w:t>
      </w:r>
      <w:r w:rsidRPr="008127F8">
        <w:rPr>
          <w:rStyle w:val="-1pt"/>
          <w:rFonts w:ascii="Times New Roman" w:hAnsi="Times New Roman" w:cs="Times New Roman"/>
          <w:color w:val="000000" w:themeColor="text1"/>
          <w:spacing w:val="0"/>
          <w:sz w:val="16"/>
          <w:szCs w:val="16"/>
        </w:rPr>
        <w:t>339</w:t>
      </w:r>
      <w:r w:rsidRPr="008127F8">
        <w:rPr>
          <w:rFonts w:ascii="Times New Roman" w:hAnsi="Times New Roman"/>
          <w:color w:val="000000" w:themeColor="text1"/>
          <w:sz w:val="16"/>
          <w:szCs w:val="16"/>
        </w:rPr>
        <w:t xml:space="preserve"> и 382 -3 миллиона рублей и на заводе № 284 - 1,8 миллиона рублей.</w:t>
      </w:r>
    </w:p>
    <w:p w14:paraId="76B95AEE" w14:textId="77777777" w:rsidR="00A61A9A" w:rsidRPr="008127F8" w:rsidRDefault="00A61A9A" w:rsidP="001E0A84">
      <w:pPr>
        <w:tabs>
          <w:tab w:val="left" w:pos="9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Наркомвнетторг - т.Микояну А.К. закупить во П квас- тале </w:t>
      </w:r>
      <w:r w:rsidRPr="008127F8">
        <w:rPr>
          <w:rStyle w:val="2pt0"/>
          <w:rFonts w:ascii="Times New Roman" w:hAnsi="Times New Roman" w:cs="Times New Roman"/>
          <w:color w:val="000000" w:themeColor="text1"/>
          <w:spacing w:val="0"/>
          <w:sz w:val="16"/>
          <w:szCs w:val="16"/>
        </w:rPr>
        <w:t>с.г.</w:t>
      </w:r>
      <w:r w:rsidRPr="008127F8">
        <w:rPr>
          <w:rFonts w:ascii="Times New Roman" w:hAnsi="Times New Roman"/>
          <w:color w:val="000000" w:themeColor="text1"/>
          <w:sz w:val="16"/>
          <w:szCs w:val="16"/>
        </w:rPr>
        <w:t xml:space="preserve"> для организуемых в Москве заводов-дублеров мотор</w:t>
      </w:r>
      <w:r w:rsidRPr="008127F8">
        <w:rPr>
          <w:rFonts w:ascii="Times New Roman" w:hAnsi="Times New Roman"/>
          <w:color w:val="000000" w:themeColor="text1"/>
          <w:sz w:val="16"/>
          <w:szCs w:val="16"/>
        </w:rPr>
        <w:softHyphen/>
        <w:t>ных агрегатов 100 металлорежущих станков, по спецификациям Наркомавиапрома.</w:t>
      </w:r>
    </w:p>
    <w:p w14:paraId="3FE24164" w14:textId="77777777" w:rsidR="00A61A9A" w:rsidRPr="008127F8" w:rsidRDefault="00A61A9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Обязать председателя СНК Удмуртской АССР т.Тронина передать заводу 13 284 из эвакуированного имущества 4.000 </w:t>
      </w:r>
      <w:proofErr w:type="gramStart"/>
      <w:r w:rsidRPr="008127F8">
        <w:rPr>
          <w:rFonts w:ascii="Times New Roman" w:hAnsi="Times New Roman"/>
          <w:color w:val="000000" w:themeColor="text1"/>
          <w:sz w:val="16"/>
          <w:szCs w:val="16"/>
        </w:rPr>
        <w:t>пог.метров</w:t>
      </w:r>
      <w:proofErr w:type="gramEnd"/>
      <w:r w:rsidRPr="008127F8">
        <w:rPr>
          <w:rFonts w:ascii="Times New Roman" w:hAnsi="Times New Roman"/>
          <w:color w:val="000000" w:themeColor="text1"/>
          <w:sz w:val="16"/>
          <w:szCs w:val="16"/>
        </w:rPr>
        <w:t xml:space="preserve"> железнодорожных рельс (19325).</w:t>
      </w:r>
    </w:p>
    <w:p w14:paraId="65F36694" w14:textId="77777777" w:rsidR="00A61A9A" w:rsidRPr="008127F8" w:rsidRDefault="00A61A9A"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320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об организации заводов-дублеров по производству моторов, агрегатов, авиаприборов и самолетных генераторов (573,44).</w:t>
      </w:r>
    </w:p>
    <w:p w14:paraId="03E03B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4471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года по Постановлению ГОКО за № 1543сс и 10 апреля 1942 года по приказу НКАП за № 269сс, а также 20 апреля 1942 года по приказу 4 гл. управления НКАП за № 06сс на площадке эвакуированного завода № 476 был вновь организован завод, которому было присвоено вновь наименование “Завод № 476” по производству магнето, авиасвечей и т.п.</w:t>
      </w:r>
    </w:p>
    <w:p w14:paraId="78BE4B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376F3F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1942 года – директор – Советов В.П.</w:t>
      </w:r>
    </w:p>
    <w:p w14:paraId="41E51D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1944 году,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0DAF29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 Новодмитровская, д. 12</w:t>
      </w:r>
    </w:p>
    <w:p w14:paraId="13DB80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66D289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69E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апреля 1942 г. в соответствии с решением № ГОКО-1543 и приказом № 269сс от 10.04.1942 г. на площадке эвакуированного завода № 476 образован завод-дублер по производству приборов зажигания- свечей и магнето. Новый завод получил прежний литерный номер. </w:t>
      </w:r>
    </w:p>
    <w:p w14:paraId="6B4F22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07.1943 г. создан цех по выпуску керамических изоляторов для свечей, с середины 1944 г. начался серийный выпуск свечей зажигания.</w:t>
      </w:r>
    </w:p>
    <w:p w14:paraId="55DB2B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356с от 30.08.1945 г.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5413B2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началу 1950-х г. из-за развития ГТД потребности в производстве авиационных свечей резко сократились. </w:t>
      </w:r>
    </w:p>
    <w:p w14:paraId="12AAA3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375087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по электроаппаратуре (1957 г.), установкам стрелкового вооружения. </w:t>
      </w:r>
    </w:p>
    <w:p w14:paraId="276C07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8127F8">
        <w:rPr>
          <w:rFonts w:ascii="Times New Roman" w:hAnsi="Times New Roman"/>
          <w:color w:val="000000" w:themeColor="text1"/>
          <w:sz w:val="16"/>
          <w:szCs w:val="16"/>
        </w:rPr>
        <w:t>- это самостоятельное предприятие</w:t>
      </w:r>
      <w:proofErr w:type="gramEnd"/>
      <w:r w:rsidRPr="008127F8">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76753C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~1993-94 г.- АО «Аэро-Электрик», затем- ОАО «Аэроэлектромаш».</w:t>
      </w:r>
    </w:p>
    <w:p w14:paraId="0A96A8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системы электроснабжения ЛА, генераторы,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кондиционирования, топливная, ПОС, ППС, контроля ВСУ, контроля индикации механизмов.</w:t>
      </w:r>
    </w:p>
    <w:p w14:paraId="50C7D9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(1942-01.1943 г.-)- А.О. Казанский, (-03.1944-47 г.-)- В.П. Советов, (1996 г.)- Б.В. Самсонов, (2002 г.)- В.Ф. Овчинников. </w:t>
      </w:r>
    </w:p>
    <w:p w14:paraId="1E0036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(2002 г.)- В.И. Павленко.</w:t>
      </w:r>
    </w:p>
    <w:p w14:paraId="09418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А.Ф. Федосеев, А.В. Делекторский, (02.1978-96 г.-)- В.Д. Жарков.</w:t>
      </w:r>
    </w:p>
    <w:p w14:paraId="32AED3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А.В. Делекторский, В.Г. Калмыков (подвижные установки вооружения), (1966 г.-)- Ф.В. Фонаков (подвижные установки вооружения).</w:t>
      </w:r>
    </w:p>
    <w:p w14:paraId="77FDB4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ВЭС (2002 г.)- В.С. Егоркин.69 </w:t>
      </w:r>
    </w:p>
    <w:p w14:paraId="5B075C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авиационные свечи: ВГ-2, СД-06 (ВОВ); комплекты электрооборудования для МиГ-21, МиГ-23, МиГ-25, МиГ-29, МиГ-31, Су-27, Ил-62, Ил-76, Ту-144, Як-40, Ту-154, Ил-86, Ил-96, Ил-114, Ан-28, Ан-32, Ан-72, Ан-70, Ми-8, В-12; погрузочные агрегаты для Ан-22, Ан-124.</w:t>
      </w:r>
    </w:p>
    <w:p w14:paraId="4472B1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установки пушечного вооружения: УПК-23, УКУ-9К-502,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система электроснабжения для комплекса оборудования самолета А-50 (1970-е), для ВКС «Буран».</w:t>
      </w:r>
    </w:p>
    <w:p w14:paraId="7F1309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476 им. Дзержинского НКАП, МАП, ГКАТ, ГС Опытный завод № 476, Московский агрегатный завод «Дзержинец», ММЗ "Дзержинец", ОАО "Аэро-Электрик", ОАО «Аэроэлектромаш»</w:t>
      </w:r>
    </w:p>
    <w:p w14:paraId="1858B1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Сущевская, 22 (1945 г.)</w:t>
      </w:r>
    </w:p>
    <w:p w14:paraId="1DAFB5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Б. Новодмитровская, 12 тел. 285-94-50</w:t>
      </w:r>
    </w:p>
    <w:p w14:paraId="78D3FE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476 НКАП, ОКБ-476 МАП (1957 г.)</w:t>
      </w:r>
    </w:p>
    <w:p w14:paraId="77DFAA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Сущевская, 224; ул. Новодмитровская</w:t>
      </w:r>
    </w:p>
    <w:p w14:paraId="5A94C3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велись работы по свечам СД-06 для АМ-38Ф.</w:t>
      </w:r>
    </w:p>
    <w:p w14:paraId="182897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6847A4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1954 г. коллектив ОКБ-476 объединен с частью коллектива завода № 25 МАП (вероятно, все вместе объединены в ГС Опытный завод № 476). </w:t>
      </w:r>
    </w:p>
    <w:p w14:paraId="1F6E19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ОКБ-476 организовано вновь (действовало в 1957 г.).</w:t>
      </w:r>
    </w:p>
    <w:p w14:paraId="5DCEC7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(-03-05.1944 г.-)- П.Ф. Воронков, (01.1946 г.)- А.В. Делекторский.</w:t>
      </w:r>
    </w:p>
    <w:p w14:paraId="60B7B4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ОКБ-476 МАП, Филиал ММЗ "Дзержинец", КБ «Электропривод», АООТ, ОАО «Электропривод» </w:t>
      </w:r>
    </w:p>
    <w:p w14:paraId="028D32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610006 г. Киров Октябрьский пр., 24 тел. 23-13-83</w:t>
      </w:r>
    </w:p>
    <w:p w14:paraId="7DD4B0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В 1990-х г.- самостоятельное КБ «Электропривод».</w:t>
      </w:r>
    </w:p>
    <w:p w14:paraId="637899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w:t>
      </w:r>
    </w:p>
    <w:p w14:paraId="24A98A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«Электропривода» входит Конструкторский отдел с КБ электромеханики и КБ электроавтоматики.</w:t>
      </w:r>
    </w:p>
    <w:p w14:paraId="172A9D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58F2FE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г.)- 320 чел.</w:t>
      </w:r>
    </w:p>
    <w:p w14:paraId="7D2425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6ECB14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7FE5C7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электропривод ЭПА-1; электродвигатели: волновой шаговый 3ДШВ 100-1,6, системы защиты атомных реакторов ДП100-500-2,5; электромеханизмы МВ10Д1,5, МВ25Д1,5 (10776).</w:t>
      </w:r>
    </w:p>
    <w:p w14:paraId="2D2F0D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CC5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года в соответствии с решением ГКО № ГОКО-1543 на бывш. территории завода № 20 (в Тимирязевском районе Москвы близь ст. Братцево), откуда завод № 20 в октябре 1941 года был эвакуирован в Омск, был организован дублер завода № 20 для производства моторных агрегатов. Этот завод стал заводом № 451</w:t>
      </w:r>
    </w:p>
    <w:p w14:paraId="47BFFA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НКАП № 424с от 7 июня 1942 года завод № 451 перебазировался на территорию бывш. завода № 132 НКАП, где и помещается.</w:t>
      </w:r>
    </w:p>
    <w:p w14:paraId="2AFCF9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Сперанский</w:t>
      </w:r>
    </w:p>
    <w:p w14:paraId="4608F4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Ядро завода имеет свое начало как “Промвоздухмастерские № 4”. В 1929 году мастерские были переименованы в завод № 1 ВВС. В 1930-1933 гг. гл. продукцией завода была “ветрянка” – ветродвигатель для вращения маломощной динамомашины, которая монтировалась в крыльях самолетов.</w:t>
      </w:r>
    </w:p>
    <w:p w14:paraId="60A57F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1933 году завод был передан в ГУАП НКТП под № 132.</w:t>
      </w:r>
    </w:p>
    <w:p w14:paraId="482394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Бутырская ул., д. 56</w:t>
      </w:r>
    </w:p>
    <w:p w14:paraId="17F502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1941 года завод № 132 был эвакуирован в Сим Челябинской области (9614).</w:t>
      </w:r>
    </w:p>
    <w:p w14:paraId="2D7E56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1F7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по постановлению ГКО № ГОКО-1543сс и по приказу НКАП № 269сс от 10.04.1942 г. еще не развернутый филиал завода № 474 был преобразован в новый серийный Государственный Союзный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 832с от 11.11.1944 г. директором завода назначен И.И. Домбровский.</w:t>
      </w:r>
    </w:p>
    <w:p w14:paraId="2C1028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02F5BD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286868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488B61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26337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07.1955 г. завод передан в 11ГУ МАП, с 03.1973 г. передан в 9ГУ.</w:t>
      </w:r>
    </w:p>
    <w:p w14:paraId="1F6DB9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8127F8">
        <w:rPr>
          <w:rFonts w:ascii="Times New Roman" w:hAnsi="Times New Roman"/>
          <w:color w:val="000000" w:themeColor="text1"/>
          <w:sz w:val="16"/>
          <w:szCs w:val="16"/>
        </w:rPr>
        <w:t>БЦВМ ,</w:t>
      </w:r>
      <w:proofErr w:type="gramEnd"/>
      <w:r w:rsidRPr="008127F8">
        <w:rPr>
          <w:rFonts w:ascii="Times New Roman" w:hAnsi="Times New Roman"/>
          <w:color w:val="000000" w:themeColor="text1"/>
          <w:sz w:val="16"/>
          <w:szCs w:val="16"/>
        </w:rPr>
        <w:t xml:space="preserve"> гидро- и электросервоприводы.</w:t>
      </w:r>
    </w:p>
    <w:p w14:paraId="4F8389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043A09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418B8D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начата разработка медицинского оборудования.</w:t>
      </w:r>
    </w:p>
    <w:p w14:paraId="21C805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117BD1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5617D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г.)- 600 чел.</w:t>
      </w:r>
    </w:p>
    <w:p w14:paraId="6B3F1D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Работали: Л.В. Андрощук, М.С. Чикулаев; (ведущие конструкторы)- О.В. Успенский, В.С. Денисьев, Б.И. Волков; (1980-е г.)- Петров.</w:t>
      </w:r>
    </w:p>
    <w:p w14:paraId="6F62F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42180A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2F577B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(- 12.2002 г.)- В.Н. Дуранин.</w:t>
      </w:r>
    </w:p>
    <w:p w14:paraId="4A272E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5C2596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(04.1942 г.-)- С.Г. Шерман, (2002 г.)- Б.Г. Окороков.69 </w:t>
      </w:r>
    </w:p>
    <w:p w14:paraId="291068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(-1953 г.)- Я.А. Силин, О.В. Успенский (САУ-36, САУ-58).</w:t>
      </w:r>
    </w:p>
    <w:p w14:paraId="7580BB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66AEF0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603E7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Бахметовская, 13</w:t>
      </w:r>
    </w:p>
    <w:p w14:paraId="57DD25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103055 г. Москва, ул. Образцова, 13 тел. 284-27-55 www.avionika.orc.ru</w:t>
      </w:r>
    </w:p>
    <w:p w14:paraId="59FB5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при заводе № 118 НКАП, МАП </w:t>
      </w:r>
    </w:p>
    <w:p w14:paraId="1B932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776117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 г. завод № 118 становится опытной базой гл. конструктора В.Э. Соркина. По приказу № 430с от 4.07.1946 г. на базе завода № 118 и ОКБ-1 был образован ГС опытный завод № 118 МАП по разработке и изготовлению систем и приборов автоматического управления ЛА и гироскопических приборов. </w:t>
      </w:r>
    </w:p>
    <w:p w14:paraId="62D61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после перевода на территорию завода № 118 коллектива КБ Н.П. Никитина вновь начало действовать ОКБ-1 под руководством гл. конструктора И.А. Михалева.</w:t>
      </w:r>
    </w:p>
    <w:p w14:paraId="4B55D4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ОКБ-2 при заводе № 118 МАП </w:t>
      </w:r>
    </w:p>
    <w:p w14:paraId="36C912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5AE01E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503 от 30.07.1955 г. на опытный завод № 118 переведен коллектив гл. конструктора Н.П. Никитина (разработка систем управления для спецобъектов) с завода № 122 МАП. В связи с этим в составе завода № 118 МАП образовано ОКБ-2 гл. конструктора Н.П. Никитина по АП для УРВВ.</w:t>
      </w:r>
    </w:p>
    <w:p w14:paraId="630664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Продолжены работы по автопилотам для УР: АПС-6, АПС-7Л, АПС-70, АПС-8. </w:t>
      </w:r>
    </w:p>
    <w:p w14:paraId="073E5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 Н.П. Никитин.</w:t>
      </w:r>
    </w:p>
    <w:p w14:paraId="7CB211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 В.М. Фролов.</w:t>
      </w:r>
    </w:p>
    <w:p w14:paraId="564E5B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для спецобъектов: АПС-6-А, АПС-7Л8, АПС-8-24М, АПУС-24, АППС-1, АПС-600, АПС-12Б, АПР-9, АПР-757, АПР-700, АПС-8-24М2, АПС-600А.</w:t>
      </w:r>
    </w:p>
    <w:p w14:paraId="171D69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ОКБ-3 при заводе № 118 МАП </w:t>
      </w:r>
    </w:p>
    <w:p w14:paraId="5E5701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завод № 23 ГКАТ (10776).</w:t>
      </w:r>
    </w:p>
    <w:p w14:paraId="4AE889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338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года в соответствии с решением ГКО за № 1543сс и 10 апреля 1942 года приказом НКАП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ED40D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581181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32AD67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ул. Образцова, д. 13, Дзержинский район</w:t>
      </w:r>
    </w:p>
    <w:p w14:paraId="415DAF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422A56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512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апреля 1942 г. в соответствии с постановлением № ГОКО-1543 и приказом № 269сс от 10.04.1942 г. на базе Агрегатных ремонтных мастерских с 15.05.1942 г. организован новый агрегатный завод № 451 НКАП при 4ГУ для производства бензо-, маслонасосов и фильтров. Сформирован из части коллективов заводов № 20 и № 33 НКАП. </w:t>
      </w:r>
    </w:p>
    <w:p w14:paraId="0DDA83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12E688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3105B6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432D75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41F4A3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613BC2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4CAB98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6E154B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г.)- 1100 чел.</w:t>
      </w:r>
    </w:p>
    <w:p w14:paraId="4209E3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106FFC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В.И. Новоселов.</w:t>
      </w:r>
    </w:p>
    <w:p w14:paraId="33254B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(03.2005 г.)- Д.Н. Покровский</w:t>
      </w:r>
    </w:p>
    <w:p w14:paraId="38DD93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(1946-47 г.)- П.Н. Тарасов. </w:t>
      </w:r>
    </w:p>
    <w:p w14:paraId="277D7E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146784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(05.1945 г.)- Крупнов. Гл. специалист по маркетингу (2002 г.)- А.В. Савельев.</w:t>
      </w:r>
    </w:p>
    <w:p w14:paraId="62455E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w:t>
      </w:r>
      <w:r w:rsidRPr="008127F8">
        <w:rPr>
          <w:rFonts w:ascii="Times New Roman" w:hAnsi="Times New Roman"/>
          <w:color w:val="000000" w:themeColor="text1"/>
          <w:sz w:val="16"/>
          <w:szCs w:val="16"/>
        </w:rPr>
        <w:lastRenderedPageBreak/>
        <w:t>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1A5687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048AD4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Старопетровский пр-д</w:t>
      </w:r>
    </w:p>
    <w:p w14:paraId="5CFBB9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127015 г. Москва ул. Б. Новодмитровская, 23 тел. 685-67-92 www.znamia.ru</w:t>
      </w:r>
    </w:p>
    <w:p w14:paraId="3FFD43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ОКБ-451 МАП, ОКБ-451-20 МАП </w:t>
      </w:r>
    </w:p>
    <w:p w14:paraId="720616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E9F8B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79C561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243BFD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1947 г. единое ОКБ именовалось как ОКБ-451-20 с филиалом.</w:t>
      </w:r>
    </w:p>
    <w:p w14:paraId="2C7D74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436с от 5.07.1947 г. филиал ОКБ-451 на завода № 20 преобразован в ОКБ-20 МАП.</w:t>
      </w:r>
    </w:p>
    <w:p w14:paraId="63E89E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6E18D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ОКБ-451 объединено с ОКБ-315 в единое МАКБ «Темп».</w:t>
      </w:r>
    </w:p>
    <w:p w14:paraId="4B48A0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П.Н. Тарасов (10776).</w:t>
      </w:r>
    </w:p>
    <w:p w14:paraId="3C3498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E4C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в соответствии с решением № ГОКО-1543сс и приказом № 269сс от 10.04.1942 г. на базе филиала завода № 230 в Москве на площади эвакуированного завода № 230 был образован новый приборостроительный завод № 339 НКАП в системе 5ГУ НКАП для работ по электроизмерительным приборам и приборам управления.</w:t>
      </w:r>
    </w:p>
    <w:p w14:paraId="477F96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4314сс от 12.10.1943 г. и приказом № 667сс от 5.11.1943 г. началось производство РЛ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04CB0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605сс от 13.10.1944 г. завод с 1.01.1945 г. передан из 5ГУ в 17ГУ НКАП.</w:t>
      </w:r>
    </w:p>
    <w:p w14:paraId="7C2917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из МВ и МАП приказом № 415с от 26.06.1953 г. завод № 339 подчинен 4ГУ МОП, а вскоре с восстановлением МАП с 08.1953 г. передан в 4ГУ МАП, с 08.1955 г.- в 11ГУ МАП (как опытный завод). С 08.1957 г. при реорганизации аппарата МАП (после передачи серийных заводов в СНХ) завод № 339 передан в новое 4ГУ (приборостроение и РЛ). В 12.1958 г. завод № 339 передан в ведение ГКРЭ.</w:t>
      </w:r>
    </w:p>
    <w:p w14:paraId="4F761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Домбровский, Волаев, (1951 г.)- Федосов.</w:t>
      </w:r>
    </w:p>
    <w:p w14:paraId="0013B3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(09.1954 г.-)- М.И. Комиссаров.</w:t>
      </w:r>
    </w:p>
    <w:p w14:paraId="0ED44C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РЛ системы опознавания «свой-чужой»: СЧ-2 (1942-), СЧ-3 (1945-); наземные РЛС обнаружения и опознавания: «Редут» (12.1941-), «Пегматит-3» (1944-); авиационные РЛС: «Гнейс-5с» (1945-), «Барий-М», «Магний-М», «Ротор-С» (1950), "Сокол" (1954-), «Сокол-2».</w:t>
      </w:r>
    </w:p>
    <w:p w14:paraId="018E5F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339 НКАП, МАП, МОП, ГКРЭ</w:t>
      </w:r>
    </w:p>
    <w:p w14:paraId="4DF41E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Электрический пер., 1</w:t>
      </w:r>
    </w:p>
    <w:p w14:paraId="294A7A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ОКБ-339 МАП, ГКРЭ, НИИ-339 МРП, ГосНИИР, НИИ радиостроения (НИИР), ФГУП «Ордена Трудового Красного Знамени НИИР» </w:t>
      </w:r>
    </w:p>
    <w:p w14:paraId="293A6E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103064 г. Москва ул. Казакова, 16 261-36-94</w:t>
      </w:r>
    </w:p>
    <w:p w14:paraId="41B267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744B03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7CD471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7D1F5C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37240B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7CDFC2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2F4441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688A01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11707B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2345B6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448582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50DCC0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3FE298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72FF1E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403E89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конструктора (1948 г.)- Б.А. Веселов. Гл. конструктор (-1955-59 г.-)- Г.М. Кунявский.</w:t>
      </w:r>
    </w:p>
    <w:p w14:paraId="3A2F8C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(1962 г.-)- Ф.Ф. Волков.</w:t>
      </w:r>
    </w:p>
    <w:p w14:paraId="4D39CF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3DEB3C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(1950-е)- Ю.Н. Гуськов.</w:t>
      </w:r>
    </w:p>
    <w:p w14:paraId="047231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2BD71B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7641BF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123557, г. Москва, пер. Электрический, 1 тел. 253-56-13; г. Жуковский; г. Москва ул. М. Грузинская, 54 www.phazotron.com</w:t>
      </w:r>
    </w:p>
    <w:p w14:paraId="536860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663DD7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6D7CF0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6D28B1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Президент (1990-е)- А.И. Канащенков.</w:t>
      </w:r>
    </w:p>
    <w:p w14:paraId="4D22C1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(1972 г.)- В.К. Гришин, (-1990-е-2005 г.-) - А.И. Канащенков.</w:t>
      </w:r>
    </w:p>
    <w:p w14:paraId="496537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(1969 г.-)- Ю.Н. Фигуровский, (1978-82 г.)- В.К. Гришин, (1982-85 г.)- А.Г. Невоструев, (1985-2005 г.-)- А.И. Канащенков.</w:t>
      </w:r>
    </w:p>
    <w:p w14:paraId="4B20E5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департамента (2005 г.)- А.Н. Осокин.</w:t>
      </w:r>
    </w:p>
    <w:p w14:paraId="4823B3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НИИ (МНИИ) "Агат", ОАО «МНИИ «Агат», ФГУП «НПО «Агат»</w:t>
      </w:r>
    </w:p>
    <w:p w14:paraId="1CAC6B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105275 г. Москва, ш. Энтузиастов, 24/53; ш. Энтузиастов, 29 тел. 176-34-96 (2005 г.)</w:t>
      </w:r>
    </w:p>
    <w:p w14:paraId="1DB59A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140182 г. Жуковский-2 Московской обл., тел. 556-50-87</w:t>
      </w:r>
    </w:p>
    <w:p w14:paraId="5AFE72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московское представительство: 123557 ул. М. Грузинская, 54</w:t>
      </w:r>
    </w:p>
    <w:p w14:paraId="6E8C74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w:t>
      </w:r>
      <w:proofErr w:type="gramStart"/>
      <w:r w:rsidRPr="008127F8">
        <w:rPr>
          <w:rFonts w:ascii="Times New Roman" w:hAnsi="Times New Roman"/>
          <w:color w:val="000000" w:themeColor="text1"/>
          <w:sz w:val="16"/>
          <w:szCs w:val="16"/>
        </w:rPr>
        <w:t>29.ВП</w:t>
      </w:r>
      <w:proofErr w:type="gramEnd"/>
      <w:r w:rsidRPr="008127F8">
        <w:rPr>
          <w:rFonts w:ascii="Times New Roman" w:hAnsi="Times New Roman"/>
          <w:color w:val="000000" w:themeColor="text1"/>
          <w:sz w:val="16"/>
          <w:szCs w:val="16"/>
        </w:rPr>
        <w:t>-1/05 По решению правительства № 22-р от 9.01.2004 г. и Указу Президента РФ № 1009 от 4.08.2004 г. ОАО МНИИ «Агат» вошло в число стратегических оборонных предприятий.</w:t>
      </w:r>
    </w:p>
    <w:p w14:paraId="1D5B2A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Принимал участие в программе создания ОК «Буран».</w:t>
      </w:r>
    </w:p>
    <w:p w14:paraId="4D6CE8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6624D6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2E34BD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3845F0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 Конструктор (2002 г.)- И.Г. Акопян, (2005 г.)- Е. Новиков. </w:t>
      </w:r>
    </w:p>
    <w:p w14:paraId="6E3472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А. Касьян, (2002 г.)- И.Г. Акопян, (2005 г.)- Е. Новиков.</w:t>
      </w:r>
    </w:p>
    <w:p w14:paraId="6D0F99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0A7065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(2002 г.)- Б.С. Архипов.69 </w:t>
      </w:r>
    </w:p>
    <w:p w14:paraId="14E3E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научный сотрудник (2005 г.)- Я. Хетагуров, (2005 г.)- П. Мелик-Оганджанян.</w:t>
      </w:r>
    </w:p>
    <w:p w14:paraId="058B2C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47264B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23326B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932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апреля 1942 в соответствии с решением ГКО №ГОКО-1543 и приказом НКАП №269 от 10.4.42 г. на территории эвакуированного завода № 230 был образован Завод №339 в системе 5ГУ НКАП для дублирования производства и ремонта электрических и манометрических авиаприборов. </w:t>
      </w:r>
    </w:p>
    <w:p w14:paraId="58F6E9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135F3C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Директорами завода были Домбровский, Волаев, Федосов (1951 г.). </w:t>
      </w:r>
    </w:p>
    <w:p w14:paraId="478DC0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24222C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4E1628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432249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155E8A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6705A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6009E1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761846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1C58EE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 </w:t>
      </w:r>
    </w:p>
    <w:p w14:paraId="1AC11C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в эти годы осуществлялось серийное производство станций "Барий-М", "Магний-М", "Ротор-С" (1950 г.), БРЛС "Сокол" (с 1954 г.). </w:t>
      </w:r>
    </w:p>
    <w:p w14:paraId="7D6A8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7A5EF6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.12.58 г. ОКБ вместе с заводом №339 переданы в ведение ГКРЭ СССР. </w:t>
      </w:r>
    </w:p>
    <w:p w14:paraId="282AAD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084F19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5D9377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7D53EF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1990-х гг. НПО распалось. Сначала отделился НИИ Приборостроения, потом Государственный Рязанский приборный </w:t>
      </w:r>
      <w:proofErr w:type="gramStart"/>
      <w:r w:rsidRPr="008127F8">
        <w:rPr>
          <w:rFonts w:ascii="Times New Roman" w:hAnsi="Times New Roman"/>
          <w:color w:val="000000" w:themeColor="text1"/>
          <w:sz w:val="16"/>
          <w:szCs w:val="16"/>
        </w:rPr>
        <w:t>завод В настоящее время</w:t>
      </w:r>
      <w:proofErr w:type="gramEnd"/>
      <w:r w:rsidRPr="008127F8">
        <w:rPr>
          <w:rFonts w:ascii="Times New Roman" w:hAnsi="Times New Roman"/>
          <w:color w:val="000000" w:themeColor="text1"/>
          <w:sz w:val="16"/>
          <w:szCs w:val="16"/>
        </w:rPr>
        <w:t xml:space="preserve"> основу Концерна "Ф." представляет НИИР (А.О.НИИР). В наст. вр. </w:t>
      </w:r>
      <w:proofErr w:type="gramStart"/>
      <w:r w:rsidRPr="008127F8">
        <w:rPr>
          <w:rFonts w:ascii="Times New Roman" w:hAnsi="Times New Roman"/>
          <w:color w:val="000000" w:themeColor="text1"/>
          <w:sz w:val="16"/>
          <w:szCs w:val="16"/>
        </w:rPr>
        <w:t>ген.дир</w:t>
      </w:r>
      <w:proofErr w:type="gramEnd"/>
      <w:r w:rsidRPr="008127F8">
        <w:rPr>
          <w:rFonts w:ascii="Times New Roman" w:hAnsi="Times New Roman"/>
          <w:color w:val="000000" w:themeColor="text1"/>
          <w:sz w:val="16"/>
          <w:szCs w:val="16"/>
        </w:rPr>
        <w:t xml:space="preserve">. НИИР (президент и ген.к. НПК "Ф.") А.И.Канащенков. </w:t>
      </w:r>
    </w:p>
    <w:p w14:paraId="180B92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0EFB3E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579E3A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6C2881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68F7BF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Адрес: Россия, 123557, Москва, Электрический переулок, 1, Тел.: 253-5613. Факс: 253-0495. E-mail: phaza@aha.ru </w:t>
      </w:r>
    </w:p>
    <w:p w14:paraId="0371CF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402896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38F6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F427F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2AB3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начались заводские испытания опытного образца 45-мм танковой пушки ЗИС-19БМ для Т-60 и сразу по их завершении, образец был направлен на завод №37, занимавшийся в то время разработкой нового танка Т-45. Т.к. штатная башня Т-60 была слишком малой для установки в него такого орудия, то на Т-60 установили башню от Т-45 в которую и смонтировали орудие. Новый "гибрид" получил обозначение Т-60-2 или "062". Орудие в башне располагалось асимметрично, почти вплотную к правой стенке, что значительно улучшило удобство заряжания, что привело к повышению скорострельности. Но к тому моменту был разработан и принят на вооружение новый танк Т-70, поэтому дальнейшие работы по проектам перевооружения Т-45 и Т-60 сочли неперспективными и были свернуты (3862).</w:t>
      </w:r>
    </w:p>
    <w:p w14:paraId="622F40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174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апреля 1942 вышло Постановление ГКО № 1545 О плане производства боеприпасов на апрель и II квартал 1942 </w:t>
      </w:r>
      <w:proofErr w:type="gramStart"/>
      <w:r w:rsidRPr="008127F8">
        <w:rPr>
          <w:rFonts w:ascii="Times New Roman" w:hAnsi="Times New Roman"/>
          <w:color w:val="000000" w:themeColor="text1"/>
          <w:sz w:val="16"/>
          <w:szCs w:val="16"/>
        </w:rPr>
        <w:t>года..</w:t>
      </w:r>
      <w:proofErr w:type="gramEnd"/>
      <w:r w:rsidRPr="008127F8">
        <w:rPr>
          <w:rFonts w:ascii="Times New Roman" w:hAnsi="Times New Roman"/>
          <w:color w:val="000000" w:themeColor="text1"/>
          <w:sz w:val="16"/>
          <w:szCs w:val="16"/>
        </w:rPr>
        <w:t xml:space="preserve"> РГАНИР, Фонд ГКО, д. 27, лл. 8-23, 24-183 (11012).</w:t>
      </w:r>
    </w:p>
    <w:p w14:paraId="0364E2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5379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1546 О распределении вооружения, оборудования, материалов и товаров, прибывших из-за границы с 13-м караваном. РГАНИР, Фонд ГКО, д. 27, лл. 184-188, 189 (11012).</w:t>
      </w:r>
    </w:p>
    <w:p w14:paraId="2D5DE5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989DC"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w:t>
      </w:r>
    </w:p>
    <w:p w14:paraId="686A7F28" w14:textId="5CE7F43E"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87 лист 86 – 87</w:t>
      </w:r>
      <w:r w:rsidR="008127F8">
        <w:rPr>
          <w:rFonts w:ascii="Times New Roman" w:hAnsi="Times New Roman"/>
          <w:color w:val="000000" w:themeColor="text1"/>
          <w:sz w:val="16"/>
          <w:szCs w:val="16"/>
        </w:rPr>
        <w:t xml:space="preserve">  </w:t>
      </w:r>
    </w:p>
    <w:p w14:paraId="589D1140" w14:textId="782AF02E"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r w:rsidR="008127F8">
        <w:rPr>
          <w:rFonts w:ascii="Times New Roman" w:hAnsi="Times New Roman"/>
          <w:color w:val="000000" w:themeColor="text1"/>
          <w:sz w:val="16"/>
          <w:szCs w:val="16"/>
        </w:rPr>
        <w:t xml:space="preserve">  </w:t>
      </w:r>
    </w:p>
    <w:p w14:paraId="1CAB976C"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7DDCD589"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НАРОДНОМУ КОМИССАРИАТУ ТАНКОВОЙ ПРОМЫШЛЕННОСТИ СОЮЗА ССР</w:t>
      </w:r>
    </w:p>
    <w:p w14:paraId="1BF8D7AA"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321c</w:t>
      </w:r>
    </w:p>
    <w:p w14:paraId="34766801"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3D80C0A3"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w:t>
      </w:r>
    </w:p>
    <w:p w14:paraId="0F6AF1A1" w14:textId="7FB582F2"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Совета Народных Комиссаров Союза ССР за № 391-203, – ПРИКАЗЫВАЮ:</w:t>
      </w:r>
      <w:r w:rsidR="008127F8">
        <w:rPr>
          <w:rFonts w:ascii="Times New Roman" w:hAnsi="Times New Roman"/>
          <w:color w:val="000000" w:themeColor="text1"/>
          <w:sz w:val="16"/>
          <w:szCs w:val="16"/>
        </w:rPr>
        <w:t xml:space="preserve">  </w:t>
      </w:r>
    </w:p>
    <w:p w14:paraId="14C45ABF" w14:textId="0E2D91DD"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Уралмашзавода т. МУЗРУКОВУ произвести и отгрузить во 2 кв. 1942 г. заводу № 37 литье для катков размер 515×104 в количестве 6000 шт.</w:t>
      </w:r>
      <w:r w:rsidR="008127F8">
        <w:rPr>
          <w:rFonts w:ascii="Times New Roman" w:hAnsi="Times New Roman"/>
          <w:color w:val="000000" w:themeColor="text1"/>
          <w:sz w:val="16"/>
          <w:szCs w:val="16"/>
        </w:rPr>
        <w:t xml:space="preserve">  </w:t>
      </w:r>
    </w:p>
    <w:p w14:paraId="4BDA2023" w14:textId="3AAEE746"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Сталинградского тракторного завода т. ЗАДОРОЖНОМУ поставить во 2 кв. 1942 г. отливку катков заводу № 264 – размер 515×104 в количестве 9000 шт.</w:t>
      </w:r>
      <w:r w:rsidR="008127F8">
        <w:rPr>
          <w:rFonts w:ascii="Times New Roman" w:hAnsi="Times New Roman"/>
          <w:color w:val="000000" w:themeColor="text1"/>
          <w:sz w:val="16"/>
          <w:szCs w:val="16"/>
        </w:rPr>
        <w:t xml:space="preserve">  </w:t>
      </w:r>
    </w:p>
    <w:p w14:paraId="0A0FB4E3" w14:textId="75BEE9B8"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начальника 1 отдела т. ДАВТЯН разместить поставку литья катков заводу № 174 размером 305×62 в количестве 10.000 шт. и обеспечить поставку Коломенским заводом НКТМ литья катков заводу № 38 размером 515×104 в количестве 4000 шт.</w:t>
      </w:r>
      <w:r w:rsidR="008127F8">
        <w:rPr>
          <w:rFonts w:ascii="Times New Roman" w:hAnsi="Times New Roman"/>
          <w:color w:val="000000" w:themeColor="text1"/>
          <w:sz w:val="16"/>
          <w:szCs w:val="16"/>
        </w:rPr>
        <w:t xml:space="preserve">  </w:t>
      </w:r>
    </w:p>
    <w:p w14:paraId="179B1799" w14:textId="39518413"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Директорам нижеперечисленных заводов поставить во 2 кв. 1942 г. под обрезинку обработанные бандажи для катков – Ярославскому шинному заводу:</w:t>
      </w:r>
      <w:r w:rsidR="008127F8">
        <w:rPr>
          <w:rFonts w:ascii="Times New Roman" w:hAnsi="Times New Roman"/>
          <w:color w:val="000000" w:themeColor="text1"/>
          <w:sz w:val="16"/>
          <w:szCs w:val="16"/>
        </w:rPr>
        <w:t xml:space="preserve">  </w:t>
      </w:r>
    </w:p>
    <w:p w14:paraId="33E505B9" w14:textId="6E6D47D3"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заводу № 112 (директор т. Михалев)</w:t>
      </w:r>
      <w:r w:rsidR="008127F8">
        <w:rPr>
          <w:rFonts w:ascii="Times New Roman" w:hAnsi="Times New Roman"/>
          <w:color w:val="000000" w:themeColor="text1"/>
          <w:sz w:val="16"/>
          <w:szCs w:val="16"/>
        </w:rPr>
        <w:t xml:space="preserve">  </w:t>
      </w:r>
    </w:p>
    <w:p w14:paraId="74196C6F" w14:textId="71824596"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830×150 – 20.000 шт.</w:t>
      </w:r>
      <w:r w:rsidR="008127F8">
        <w:rPr>
          <w:rFonts w:ascii="Times New Roman" w:hAnsi="Times New Roman"/>
          <w:color w:val="000000" w:themeColor="text1"/>
          <w:sz w:val="16"/>
          <w:szCs w:val="16"/>
        </w:rPr>
        <w:t xml:space="preserve">  </w:t>
      </w:r>
    </w:p>
    <w:p w14:paraId="0E61E38D" w14:textId="7EC826CB"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заводу № 38 (директор т. Рубинчик)</w:t>
      </w:r>
      <w:r w:rsidR="008127F8">
        <w:rPr>
          <w:rFonts w:ascii="Times New Roman" w:hAnsi="Times New Roman"/>
          <w:color w:val="000000" w:themeColor="text1"/>
          <w:sz w:val="16"/>
          <w:szCs w:val="16"/>
        </w:rPr>
        <w:t xml:space="preserve">  </w:t>
      </w:r>
    </w:p>
    <w:p w14:paraId="5C634A33" w14:textId="126F2F3C"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514×104 – 4.000 шт.</w:t>
      </w:r>
      <w:r w:rsidR="008127F8">
        <w:rPr>
          <w:rFonts w:ascii="Times New Roman" w:hAnsi="Times New Roman"/>
          <w:color w:val="000000" w:themeColor="text1"/>
          <w:sz w:val="16"/>
          <w:szCs w:val="16"/>
        </w:rPr>
        <w:t xml:space="preserve">  </w:t>
      </w:r>
    </w:p>
    <w:p w14:paraId="68226649" w14:textId="4C6E09E2"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 заводу № 264 (директор т. Кордунер)</w:t>
      </w:r>
      <w:r w:rsidR="008127F8">
        <w:rPr>
          <w:rFonts w:ascii="Times New Roman" w:hAnsi="Times New Roman"/>
          <w:color w:val="000000" w:themeColor="text1"/>
          <w:sz w:val="16"/>
          <w:szCs w:val="16"/>
        </w:rPr>
        <w:t xml:space="preserve">  </w:t>
      </w:r>
    </w:p>
    <w:p w14:paraId="0ABADD9B" w14:textId="6099D881"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514×104 – 9.000 шт.</w:t>
      </w:r>
      <w:r w:rsidR="008127F8">
        <w:rPr>
          <w:rFonts w:ascii="Times New Roman" w:hAnsi="Times New Roman"/>
          <w:color w:val="000000" w:themeColor="text1"/>
          <w:sz w:val="16"/>
          <w:szCs w:val="16"/>
        </w:rPr>
        <w:t xml:space="preserve">  </w:t>
      </w:r>
    </w:p>
    <w:p w14:paraId="3DD44A0B" w14:textId="56250890"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по заводу № 174 (директор т. Кацнельсон)</w:t>
      </w:r>
      <w:r w:rsidR="008127F8">
        <w:rPr>
          <w:rFonts w:ascii="Times New Roman" w:hAnsi="Times New Roman"/>
          <w:color w:val="000000" w:themeColor="text1"/>
          <w:sz w:val="16"/>
          <w:szCs w:val="16"/>
        </w:rPr>
        <w:t xml:space="preserve">  </w:t>
      </w:r>
    </w:p>
    <w:p w14:paraId="14294D75" w14:textId="08F19928"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306×62 – 10.000 шт.</w:t>
      </w:r>
      <w:r w:rsidR="008127F8">
        <w:rPr>
          <w:rFonts w:ascii="Times New Roman" w:hAnsi="Times New Roman"/>
          <w:color w:val="000000" w:themeColor="text1"/>
          <w:sz w:val="16"/>
          <w:szCs w:val="16"/>
        </w:rPr>
        <w:t xml:space="preserve">  </w:t>
      </w:r>
    </w:p>
    <w:p w14:paraId="0F8D4398" w14:textId="431D7B90"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по Сталинградскому тракторному заводу (директор т. Задорожный)</w:t>
      </w:r>
      <w:r w:rsidR="008127F8">
        <w:rPr>
          <w:rFonts w:ascii="Times New Roman" w:hAnsi="Times New Roman"/>
          <w:color w:val="000000" w:themeColor="text1"/>
          <w:sz w:val="16"/>
          <w:szCs w:val="16"/>
        </w:rPr>
        <w:t xml:space="preserve">  </w:t>
      </w:r>
    </w:p>
    <w:p w14:paraId="3966D9A3" w14:textId="4AF4B456"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370×90 – 40.000 шт.</w:t>
      </w:r>
      <w:r w:rsidR="008127F8">
        <w:rPr>
          <w:rFonts w:ascii="Times New Roman" w:hAnsi="Times New Roman"/>
          <w:color w:val="000000" w:themeColor="text1"/>
          <w:sz w:val="16"/>
          <w:szCs w:val="16"/>
        </w:rPr>
        <w:t xml:space="preserve">  </w:t>
      </w:r>
    </w:p>
    <w:p w14:paraId="39B81DA1" w14:textId="136620D9"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185×50 – 14.000 шт.</w:t>
      </w:r>
      <w:r w:rsidR="008127F8">
        <w:rPr>
          <w:rFonts w:ascii="Times New Roman" w:hAnsi="Times New Roman"/>
          <w:color w:val="000000" w:themeColor="text1"/>
          <w:sz w:val="16"/>
          <w:szCs w:val="16"/>
        </w:rPr>
        <w:t xml:space="preserve">  </w:t>
      </w:r>
    </w:p>
    <w:p w14:paraId="6755740A" w14:textId="33FDE558"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25 вулканизационных форм для размера 368×265×35.</w:t>
      </w:r>
      <w:r w:rsidR="008127F8">
        <w:rPr>
          <w:rFonts w:ascii="Times New Roman" w:hAnsi="Times New Roman"/>
          <w:color w:val="000000" w:themeColor="text1"/>
          <w:sz w:val="16"/>
          <w:szCs w:val="16"/>
        </w:rPr>
        <w:t xml:space="preserve">  </w:t>
      </w:r>
    </w:p>
    <w:p w14:paraId="54519992" w14:textId="6DB7A785"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по заводу № 37 (директор т. Фрезеров)</w:t>
      </w:r>
      <w:r w:rsidR="008127F8">
        <w:rPr>
          <w:rFonts w:ascii="Times New Roman" w:hAnsi="Times New Roman"/>
          <w:color w:val="000000" w:themeColor="text1"/>
          <w:sz w:val="16"/>
          <w:szCs w:val="16"/>
        </w:rPr>
        <w:t xml:space="preserve">  </w:t>
      </w:r>
    </w:p>
    <w:p w14:paraId="597D4C21"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 514×104 – 4.000 шт.</w:t>
      </w:r>
    </w:p>
    <w:p w14:paraId="36DE82E1"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ТАНКОВОЙ ПРОМЫШЛЕННОСТИ СОЮЗА ССР</w:t>
      </w:r>
    </w:p>
    <w:p w14:paraId="114FB301"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(А. ГОРЕГЛЯД) (18926).</w:t>
      </w:r>
    </w:p>
    <w:p w14:paraId="3992E8DB" w14:textId="77777777" w:rsidR="003D436A" w:rsidRPr="008127F8" w:rsidRDefault="003D436A" w:rsidP="001E0A84">
      <w:pPr>
        <w:spacing w:after="0" w:line="240" w:lineRule="auto"/>
        <w:jc w:val="both"/>
        <w:rPr>
          <w:rFonts w:ascii="Times New Roman" w:hAnsi="Times New Roman"/>
          <w:color w:val="000000" w:themeColor="text1"/>
          <w:sz w:val="16"/>
          <w:szCs w:val="16"/>
        </w:rPr>
      </w:pPr>
    </w:p>
    <w:p w14:paraId="53FBFBF0"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года командование Западного фронта было уведомлено: «Ввиду изменения профиля рембазы № 82 данный АБТУ КА план завоза на 2-й квартал по трофейным танкам и бронемашинам полностью переносится на рембазу № 8 (12688).</w:t>
      </w:r>
    </w:p>
    <w:p w14:paraId="04FD12FD"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плану завода на рембазу № 82 сохраняется завоз для ремонта только танков иностранных марок, т. е. английских и американских. Дайте немедленно соответствующие указания войсковым частям фронта». </w:t>
      </w:r>
    </w:p>
    <w:p w14:paraId="7BCE1D7E"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до примерно до лета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2D4E63B6"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3353F73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была подготовлена ДОКЛАДНАЯ ЗАПИСКА НАЧАЛЬНИКА ГОРЬКОВСКОГО АБТ ЦЕНТРА В ГАБТУ ПО ВОПРОСУ ОПТИМИЗАЦИИ РАБОТЫ С ИМПОРТНОЙ ТЕХНИКОЙ, ГСМ И БОЕПРИПАСАМИ</w:t>
      </w:r>
    </w:p>
    <w:p w14:paraId="373EBD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Вам известно, что в г. Горьком происходит разгрузка иностранных танков всех марок, горюче-смазочных материалов и боеприпасов к этим танкам, в результате работы выявилось:</w:t>
      </w:r>
    </w:p>
    <w:p w14:paraId="7CF9129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данное время в 10 ОУТП завезено уже до 400 тонн ГСМ, т.е. образовался большой склад ГСМ. Все это, находясь под открытым небом и с наступлением летней погоды, будет портиться. Полку с этим хозяйством справиться очень трудно.</w:t>
      </w:r>
    </w:p>
    <w:p w14:paraId="7A4B406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Поступающие в очень большом количестве боеприпасы к иностранным танкам принимаются складом 2315, который расположен в 10 км от воинской площадки, где происходит разгрузка. Весь этот груз, исчисляющийся сотнями вагонов, перевозится на автомашинах склада и с помощью мар</w:t>
      </w:r>
      <w:r w:rsidRPr="008127F8">
        <w:rPr>
          <w:rFonts w:ascii="Times New Roman" w:hAnsi="Times New Roman"/>
          <w:color w:val="000000" w:themeColor="text1"/>
          <w:sz w:val="16"/>
          <w:szCs w:val="16"/>
        </w:rPr>
        <w:softHyphen/>
        <w:t>шевых частей, наряженных АБТ Центром. На эти перевозки затрачивается большое количество го</w:t>
      </w:r>
      <w:r w:rsidRPr="008127F8">
        <w:rPr>
          <w:rFonts w:ascii="Times New Roman" w:hAnsi="Times New Roman"/>
          <w:color w:val="000000" w:themeColor="text1"/>
          <w:sz w:val="16"/>
          <w:szCs w:val="16"/>
        </w:rPr>
        <w:softHyphen/>
        <w:t>рючего и ресурс автотранспорта.</w:t>
      </w:r>
    </w:p>
    <w:p w14:paraId="33F2EB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нужно учесть, что большинство этого груза складом будет отправляться на фронт и, следовательно, обратно придется перевозить теми же средствами.</w:t>
      </w:r>
    </w:p>
    <w:p w14:paraId="093851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спешных перевозках неизбежно будет происходить задержка отправок.</w:t>
      </w:r>
    </w:p>
    <w:p w14:paraId="509DF4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Формируемые Горьковским АБТ Центром части получают ротные комплекты запасных час</w:t>
      </w:r>
      <w:r w:rsidRPr="008127F8">
        <w:rPr>
          <w:rFonts w:ascii="Times New Roman" w:hAnsi="Times New Roman"/>
          <w:color w:val="000000" w:themeColor="text1"/>
          <w:sz w:val="16"/>
          <w:szCs w:val="16"/>
        </w:rPr>
        <w:softHyphen/>
        <w:t>тей с филиала склада № 37. Наличие положенных запчастей выдается в размере 10-12%, что явно не обеспечивает необходимую потребность.</w:t>
      </w:r>
    </w:p>
    <w:p w14:paraId="56BBAC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при комплектации ротных комплектов к танкам «Валентин» не учитывается то, что на «Валентин» американского производства ставятся американские моторы «Джемси», а запчасти в ротные комплекты вкладываются к английским моторам АЕС.</w:t>
      </w:r>
    </w:p>
    <w:p w14:paraId="78E8A2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просьбы в устранении этого не удовлетворяются, ссылаются на то, что требуются указа</w:t>
      </w:r>
      <w:r w:rsidRPr="008127F8">
        <w:rPr>
          <w:rFonts w:ascii="Times New Roman" w:hAnsi="Times New Roman"/>
          <w:color w:val="000000" w:themeColor="text1"/>
          <w:sz w:val="16"/>
          <w:szCs w:val="16"/>
        </w:rPr>
        <w:softHyphen/>
        <w:t>ния АБТУ.</w:t>
      </w:r>
    </w:p>
    <w:p w14:paraId="0FAC301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положение с комплектацией и выдачей запчастей только через Москву не обеспечивает постоянную боевую готовность формируемых частей, вооруженных иностранными машинами.</w:t>
      </w:r>
    </w:p>
    <w:p w14:paraId="5BBE1CB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Донося </w:t>
      </w:r>
      <w:proofErr w:type="gramStart"/>
      <w:r w:rsidRPr="008127F8">
        <w:rPr>
          <w:rFonts w:ascii="Times New Roman" w:hAnsi="Times New Roman"/>
          <w:color w:val="000000" w:themeColor="text1"/>
          <w:sz w:val="16"/>
          <w:szCs w:val="16"/>
        </w:rPr>
        <w:t>о вышеизложенном</w:t>
      </w:r>
      <w:proofErr w:type="gramEnd"/>
      <w:r w:rsidRPr="008127F8">
        <w:rPr>
          <w:rFonts w:ascii="Times New Roman" w:hAnsi="Times New Roman"/>
          <w:color w:val="000000" w:themeColor="text1"/>
          <w:sz w:val="16"/>
          <w:szCs w:val="16"/>
        </w:rPr>
        <w:t xml:space="preserve"> прошу:</w:t>
      </w:r>
    </w:p>
    <w:p w14:paraId="275FF5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поступающие на иномашины ГСМ передавать на склады ГСМ системы УСГ КА или же ор</w:t>
      </w:r>
      <w:r w:rsidRPr="008127F8">
        <w:rPr>
          <w:rFonts w:ascii="Times New Roman" w:hAnsi="Times New Roman"/>
          <w:color w:val="000000" w:themeColor="text1"/>
          <w:sz w:val="16"/>
          <w:szCs w:val="16"/>
        </w:rPr>
        <w:softHyphen/>
        <w:t>ганизовать специальный склад с соответствующим штатом системы ГАБТУ КА.</w:t>
      </w:r>
    </w:p>
    <w:p w14:paraId="2750FD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Поручить АБТУ добиться от 112 автозавода предоставления железнодорожной ветки, которая подходит на торфоразработки на расстоянии 1,5 км от склада 2315, и подготовить подъездные пути к складу.</w:t>
      </w:r>
    </w:p>
    <w:p w14:paraId="69127D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Дать указания АБТУ по вопросам упорядочения комплектации ротных комплектов и уполномо</w:t>
      </w:r>
      <w:r w:rsidRPr="008127F8">
        <w:rPr>
          <w:rFonts w:ascii="Times New Roman" w:hAnsi="Times New Roman"/>
          <w:color w:val="000000" w:themeColor="text1"/>
          <w:sz w:val="16"/>
          <w:szCs w:val="16"/>
        </w:rPr>
        <w:softHyphen/>
        <w:t>чить в Горьком человека, который мог бы решить все вопросы, связанные с выдачей запасных час</w:t>
      </w:r>
      <w:r w:rsidRPr="008127F8">
        <w:rPr>
          <w:rFonts w:ascii="Times New Roman" w:hAnsi="Times New Roman"/>
          <w:color w:val="000000" w:themeColor="text1"/>
          <w:sz w:val="16"/>
          <w:szCs w:val="16"/>
        </w:rPr>
        <w:softHyphen/>
        <w:t>тей для формируемых танковых частей Центра.</w:t>
      </w:r>
    </w:p>
    <w:p w14:paraId="056EA4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Вашем решении по данным вопросам прошу информировать нас.</w:t>
      </w:r>
    </w:p>
    <w:p w14:paraId="00B486C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АБТ Центра генерал-майор Т.В. Соломатин</w:t>
      </w:r>
    </w:p>
    <w:p w14:paraId="28A3D01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Комиссар АБТ Центра ст. батальонный комиссар Лавров</w:t>
      </w:r>
    </w:p>
    <w:p w14:paraId="2F72107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670. Л. 41. Подлинник (11211).</w:t>
      </w:r>
    </w:p>
    <w:p w14:paraId="45EE86F9"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6ABCE99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было подготовлено СООБЩЕНИЕ НАЧАЛЬНИКА АТУ В УФИУ АБТВ ГАБТУ О ПОРЯДКЕ КОМПЛЕКТОВАНИЯ ЧАСТЕЙ АВТОМАШИНАМИ</w:t>
      </w:r>
    </w:p>
    <w:p w14:paraId="6C593F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приказания заместителя Народного комиссара обороны генерал-лейтенанта т. Федоренко, ввиду ограниченного количества автомашин, поступающих от промышленности, АТУ ГАБТУ КА будет выдавать:</w:t>
      </w:r>
    </w:p>
    <w:p w14:paraId="36E3646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грузовых автомашин 1,5 т - 73 вместо 83.</w:t>
      </w:r>
    </w:p>
    <w:p w14:paraId="4C8FD6F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санитарных машин - 1 вместо 2.</w:t>
      </w:r>
    </w:p>
    <w:p w14:paraId="45361B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легковых - 5 вместо 9,</w:t>
      </w:r>
    </w:p>
    <w:p w14:paraId="47B93F8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пигмей - 2 вместо 4,</w:t>
      </w:r>
    </w:p>
    <w:p w14:paraId="28C61A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грузовых 1,5 т - 170 вместо 235,</w:t>
      </w:r>
    </w:p>
    <w:p w14:paraId="52E109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грузовых 2,5 т - 70 вместо 74,</w:t>
      </w:r>
    </w:p>
    <w:p w14:paraId="1E3E41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санитарных машин — 6 вместо 8.</w:t>
      </w:r>
    </w:p>
    <w:p w14:paraId="5552FA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Выдача 2-х, 2,5 и 3-х тонных грузовых автомашин взамен 1,5 тонных будет производиться из рас</w:t>
      </w:r>
      <w:r w:rsidRPr="008127F8">
        <w:rPr>
          <w:rFonts w:ascii="Times New Roman" w:hAnsi="Times New Roman"/>
          <w:color w:val="000000" w:themeColor="text1"/>
          <w:sz w:val="16"/>
          <w:szCs w:val="16"/>
        </w:rPr>
        <w:softHyphen/>
        <w:t>чета сохранения общей грузоподъемности заменяемых машин.</w:t>
      </w:r>
    </w:p>
    <w:p w14:paraId="6B6590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АТУ ГАБТУ КА бригинженер Тягунов</w:t>
      </w:r>
    </w:p>
    <w:p w14:paraId="32698B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АТУ ГАБТУ КА полковой комиссар Лозовский</w:t>
      </w:r>
    </w:p>
    <w:p w14:paraId="1610540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Танковым бригадам:</w:t>
      </w:r>
    </w:p>
    <w:p w14:paraId="0B7507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Отдельным танковым батальонам:</w:t>
      </w:r>
    </w:p>
    <w:p w14:paraId="23ADD41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Мотострелковым бригадам:</w:t>
      </w:r>
    </w:p>
    <w:p w14:paraId="5EADD28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132. Л. 82. Копия (11211).</w:t>
      </w:r>
    </w:p>
    <w:p w14:paraId="4D72D8B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0C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1547 О производстве огневых средств во II квартале 1942 года. РГАНИР, Фонд ГКО, д. 27, лл. 190-195, 196-202 (11012).</w:t>
      </w:r>
    </w:p>
    <w:p w14:paraId="348878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850F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1548 Об изготовлении ДАРМов. РГАНИР, Фонд ГКО, д. 27, лл. 203 (11012).</w:t>
      </w:r>
    </w:p>
    <w:p w14:paraId="75B8A1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CBA2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апреля</w:t>
      </w:r>
      <w:r w:rsidRPr="008127F8">
        <w:rPr>
          <w:rFonts w:ascii="Times New Roman" w:hAnsi="Times New Roman"/>
          <w:color w:val="000000" w:themeColor="text1"/>
          <w:sz w:val="16"/>
          <w:szCs w:val="16"/>
        </w:rPr>
        <w:t xml:space="preserve"> в 1942 году создан завод №122, ныне ОАО "Первый Московский приборостроительный завод имени В.А.Казакова". Основные направления деятельности: Аналоговые вычислители пилотажно-навигационной информации; Указатели и индикаторы курса, сигнализатор числа "М" (15090).</w:t>
      </w:r>
    </w:p>
    <w:p w14:paraId="4E4F4768"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527352A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Копия черновика письма Г.Н. Флерова И.В. Сталину</w:t>
      </w:r>
    </w:p>
    <w:p w14:paraId="2D376DE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Юго-Западный фронт </w:t>
      </w:r>
    </w:p>
    <w:p w14:paraId="4280BD9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5FF729C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Дорогой Иосиф Виссарионович!</w:t>
      </w:r>
    </w:p>
    <w:p w14:paraId="280B30F5"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уже 10 месяцев прошло с начала войны, и все это время я чувствую себя, и действительно очутился, в положении человека, пытающегося головою прошибить каменную стену.</w:t>
      </w:r>
    </w:p>
    <w:p w14:paraId="5061E32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чем я ошибаюсь?</w:t>
      </w:r>
    </w:p>
    <w:p w14:paraId="5654E35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Переоцениваю ли значение «проблемы урана»? Нет, это неверно, и единственное, что делает урановые проекты фантастическими, — это слишком большая перспективность в случае удачного решения задачи.</w:t>
      </w:r>
    </w:p>
    <w:p w14:paraId="11A2E1C5"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Мне приходится с самого начала оговориться. Может быть, я не прав, в научной работе всегда есть элемент риска, а в случае урана он больше, чем в каком-либо другом. В письме к тов. Кафтанову я указал 10-20% вероятности удачного решения вопроса, и эта величина ни в коем случае не преуменьшена. Однако, представим на минуту, что с ураном «вышло». Правда, революции в технике это не произведет— уверенность в этом дают работы последних довоенных месяцев, но зато в военной технике произойдет самая настоящая революция. Произойдет она без нашего участия, и мы за это должны будем дорого заплатить; все это только потому, что в научном мире и сейчас, как и раньше, процветает косность.</w:t>
      </w:r>
    </w:p>
    <w:p w14:paraId="30BBEF8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Знаете ли Вы, Иосиф Виссарионович, какой главный довод выставляется против урана: «Слишком здорово было бы, если бы задачу удалось решить. Природа редко балует человека».</w:t>
      </w:r>
    </w:p>
    <w:p w14:paraId="34E0C0E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Может быть, находясь на фронте, я потерял всякую перспективу того, чем должна заниматься наука в настоящее время, и проблемные задачи, подобно урановой, должны быть отложены на «после» войны. Так считает академик А.Ф. Иоффе, и в этом он глубоко ошибается. Мне кажется, что если в отдельных областях физики нам удалось подняться до уровня работ иностранных ученых и кое-где даже их опередить, то сейчас мы совершаем большую ошибку, добровольно сдавая завоеванные позиции. За год, за два мы отстанем настолько, что у того же академика Иоффе опустятся перед трудностями руки, когда придет время вернуться от военного изобретательства к проблемным задачам.</w:t>
      </w:r>
    </w:p>
    <w:p w14:paraId="2D55DE0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Самые большие глупости делаются с самыми лучшими намерениями.</w:t>
      </w:r>
    </w:p>
    <w:p w14:paraId="5233602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все хотим сделать все возможное для уничтожения фашистов, но не нужно пороть горячку— заниматься только теми вопросами, которые подходят под определение «насущных» военных задач.</w:t>
      </w:r>
    </w:p>
    <w:p w14:paraId="17FD6994"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Случайно попав, вместе с К.А. Петржаком, в круг академических ученых благодаря работе о спонтанном делении урана (в настоящее время повисшей в воздухе), с началом войны мы оказались выбитыми из колеи научной работы. Оба мы были мобилизованы, оба мы пытались заикнуться о том, что мы — научные работники, и оба мы остались в армии, потому что как раз в этот момент на оба института, в которых мы работали, Физико-технический и Радиевый, напала немота, что привело к отсутствию всякого ходатайства за нас как за людей, занимающихся научным полезным делом.</w:t>
      </w:r>
    </w:p>
    <w:p w14:paraId="6FC8145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 Петржак— младший лейтенант, я— техник-лейтенант, мы сражаемся, работаем и стараемся делать это как можно лучше, но меня все время мучит, что уран оставлен, между тем как я чувствую, что даже сейчас, в тяжелых условиях войны, с 10-месячным отставанием, мы все же смогли бы очень много сделать в этой области.</w:t>
      </w:r>
    </w:p>
    <w:p w14:paraId="69C0B1E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письма, которые Вы получаете, Иосиф Виссарионович, могут быть разбиты на две группы. В первой — письма с предложениями, которые могут, по мнению авторов, помочь борьбе с фашистами! Во второй — подобные же предложения, но вместе с тем проведение этих предложений связано с какими-то изменениями в положении самих авторов писем. Мне очень тяжело писать, зная, что к письму с полным правом может быть применен «трезвый» подход. Ну что там волнуется Флеров? Занимался наукой, попал в армию, хочет выкарабкаться оттуда, ну и, используя уран, засыпает письмами всех и вся, неодобрительно отзывается об академиках, делая все это из самых эгоистичных личных соображений. Так вот, считаю необходимым для решения вопроса созыв совещания в составе академиков Иоффе, Вавилова, Хлопина, Капицы, акад. YCCP Лейпунского, профессора Ландау, Алиханова, Курчатова, Арцимовича, Френкеля, Харитона, Зельдовича. Желателен также вызов К.А. Петржака. Прошу для доклада 1 ч. 30 м. Очень желательно, Иосиф Виссарионович, Ваше присутствие, явное или неявное. Вообще говоря, сейчас не время устраивать подобные научные турниры, но я лично вижу в этом единственный способ доказать свою правоту— право заниматься ураном, т.к. иные способы — личные переговоры с А.Ф. Иоффе, письмо к т. Кафтанову— все это не приводит к цели, а просто замалчивается.</w:t>
      </w:r>
    </w:p>
    <w:p w14:paraId="2074FD2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письмо и 5 телеграмм т. Кафтанову ответа я не получил. При обсуждении плана Академии наук говорилось, вероятно, о чем угодно, но только не об уране. Это и есть та стена молчания, которую, я надеюсь, Вы мне поможете пробить, так как это письмо последнее, после которого я складываю оружие и жду, когда за границей решат эту задачу (15720).</w:t>
      </w:r>
    </w:p>
    <w:p w14:paraId="432070AC"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4E8F5678"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BF507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22D014"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апреля</w:t>
      </w:r>
      <w:r w:rsidRPr="008127F8">
        <w:rPr>
          <w:rFonts w:ascii="Times New Roman" w:hAnsi="Times New Roman"/>
          <w:color w:val="000000" w:themeColor="text1"/>
          <w:sz w:val="16"/>
          <w:szCs w:val="16"/>
        </w:rPr>
        <w:t xml:space="preserve"> в 1942 году оперативная сводка Совинформбюро:</w:t>
      </w:r>
    </w:p>
    <w:p w14:paraId="7C9555E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стрелковое подразделение получило приказ проникнуть в тыл врага и уничтожить в одном из районов Смоленской области крупный немецкий карательный отряд. Наши бойцы исключительно умело провели эту операцию. Немецкий карательный отряд в составе 500 пехотинцев и 150 кавалеристов был окружён и после девятичасового боя разгромлен. Гитлеровцы потеряли только убитыми 200 солдат и офицеров.» (15090).</w:t>
      </w:r>
    </w:p>
    <w:p w14:paraId="080E2397"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6673E330"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в связи с увеличением численности ави</w:t>
      </w:r>
      <w:r w:rsidRPr="008127F8">
        <w:rPr>
          <w:rFonts w:ascii="Times New Roman" w:hAnsi="Times New Roman"/>
          <w:color w:val="000000" w:themeColor="text1"/>
          <w:sz w:val="16"/>
          <w:szCs w:val="16"/>
        </w:rPr>
        <w:softHyphen/>
        <w:t>ации противника в районе Пскова, Витебска, Смоленска, Орши и Брянска ГКО предпринял ряд мер по усилению ПВО Москвы. Московский корпусной район ПВО по</w:t>
      </w:r>
      <w:r w:rsidRPr="008127F8">
        <w:rPr>
          <w:rFonts w:ascii="Times New Roman" w:hAnsi="Times New Roman"/>
          <w:color w:val="000000" w:themeColor="text1"/>
          <w:sz w:val="16"/>
          <w:szCs w:val="16"/>
        </w:rPr>
        <w:softHyphen/>
        <w:t>становлением ГКО реоргани</w:t>
      </w:r>
      <w:r w:rsidRPr="008127F8">
        <w:rPr>
          <w:rFonts w:ascii="Times New Roman" w:hAnsi="Times New Roman"/>
          <w:color w:val="000000" w:themeColor="text1"/>
          <w:sz w:val="16"/>
          <w:szCs w:val="16"/>
        </w:rPr>
        <w:softHyphen/>
        <w:t>зовали в Московский фронт ПВО. Был сформи</w:t>
      </w:r>
      <w:r w:rsidRPr="008127F8">
        <w:rPr>
          <w:rFonts w:ascii="Times New Roman" w:hAnsi="Times New Roman"/>
          <w:color w:val="000000" w:themeColor="text1"/>
          <w:sz w:val="16"/>
          <w:szCs w:val="16"/>
        </w:rPr>
        <w:softHyphen/>
        <w:t>рован 13-й полк АЗ (командир — подполковник В.М. Шевченко), развёрнутый 1 мая 1942 г. на вос</w:t>
      </w:r>
      <w:r w:rsidRPr="008127F8">
        <w:rPr>
          <w:rFonts w:ascii="Times New Roman" w:hAnsi="Times New Roman"/>
          <w:color w:val="000000" w:themeColor="text1"/>
          <w:sz w:val="16"/>
          <w:szCs w:val="16"/>
        </w:rPr>
        <w:softHyphen/>
        <w:t>точной окраине столицы, чтобы воспрепятство</w:t>
      </w:r>
      <w:r w:rsidRPr="008127F8">
        <w:rPr>
          <w:rFonts w:ascii="Times New Roman" w:hAnsi="Times New Roman"/>
          <w:color w:val="000000" w:themeColor="text1"/>
          <w:sz w:val="16"/>
          <w:szCs w:val="16"/>
        </w:rPr>
        <w:softHyphen/>
        <w:t>вать попытки самолётов противника заходить на бомбардировку Москвы с востока. С 1 июня 1942 г. на боевую службу должен был заступить также 14-й полк АЗ, но его, после формирова</w:t>
      </w:r>
      <w:r w:rsidRPr="008127F8">
        <w:rPr>
          <w:rFonts w:ascii="Times New Roman" w:hAnsi="Times New Roman"/>
          <w:color w:val="000000" w:themeColor="text1"/>
          <w:sz w:val="16"/>
          <w:szCs w:val="16"/>
        </w:rPr>
        <w:softHyphen/>
        <w:t>ния, перевели в Ленинград. Все эти меры сыграли свою роль. Когда в ночь на 6 июня 1942 г. 62 вра</w:t>
      </w:r>
      <w:r w:rsidRPr="008127F8">
        <w:rPr>
          <w:rFonts w:ascii="Times New Roman" w:hAnsi="Times New Roman"/>
          <w:color w:val="000000" w:themeColor="text1"/>
          <w:sz w:val="16"/>
          <w:szCs w:val="16"/>
        </w:rPr>
        <w:softHyphen/>
        <w:t>жеских бомбардировщика группами по 5-12 са</w:t>
      </w:r>
      <w:r w:rsidRPr="008127F8">
        <w:rPr>
          <w:rFonts w:ascii="Times New Roman" w:hAnsi="Times New Roman"/>
          <w:color w:val="000000" w:themeColor="text1"/>
          <w:sz w:val="16"/>
          <w:szCs w:val="16"/>
        </w:rPr>
        <w:softHyphen/>
        <w:t>молётов попытались прорваться к Москве, то находившиеся в воздухе АЗ вынудили их идти к цели на большой высоте, где они были атакова</w:t>
      </w:r>
      <w:r w:rsidRPr="008127F8">
        <w:rPr>
          <w:rFonts w:ascii="Times New Roman" w:hAnsi="Times New Roman"/>
          <w:color w:val="000000" w:themeColor="text1"/>
          <w:sz w:val="16"/>
          <w:szCs w:val="16"/>
        </w:rPr>
        <w:softHyphen/>
        <w:t>ны истребителями ПВО, обстреляны зенитчика</w:t>
      </w:r>
      <w:r w:rsidRPr="008127F8">
        <w:rPr>
          <w:rFonts w:ascii="Times New Roman" w:hAnsi="Times New Roman"/>
          <w:color w:val="000000" w:themeColor="text1"/>
          <w:sz w:val="16"/>
          <w:szCs w:val="16"/>
        </w:rPr>
        <w:softHyphen/>
        <w:t>ми и рассеяны ещё до границ города (20120).</w:t>
      </w:r>
    </w:p>
    <w:p w14:paraId="06DFA14D" w14:textId="77777777" w:rsidR="000133A0" w:rsidRPr="008127F8" w:rsidRDefault="000133A0" w:rsidP="001E0A84">
      <w:pPr>
        <w:spacing w:after="0" w:line="240" w:lineRule="auto"/>
        <w:jc w:val="both"/>
        <w:rPr>
          <w:rFonts w:ascii="Times New Roman" w:hAnsi="Times New Roman"/>
          <w:color w:val="000000" w:themeColor="text1"/>
          <w:sz w:val="16"/>
          <w:szCs w:val="16"/>
        </w:rPr>
      </w:pPr>
    </w:p>
    <w:p w14:paraId="21781E37" w14:textId="77777777" w:rsidR="00723610" w:rsidRPr="008127F8" w:rsidRDefault="00723610"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советское командование отдало приказ о подготовке наступления на советско-германском фронте (4962).</w:t>
      </w:r>
    </w:p>
    <w:p w14:paraId="182BECF7" w14:textId="77777777" w:rsidR="00723610" w:rsidRPr="008127F8" w:rsidRDefault="00723610"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2E700F" w14:textId="77777777" w:rsidR="00723610" w:rsidRPr="008127F8" w:rsidRDefault="00723610"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5th, 1942: Hitler orders plans for the execution of Fall Blau (Operation Blue), the new summer offensive on the southern front in the East designed to reach the Volga, as well as to capture the Caucasus oilfields (3819).</w:t>
      </w:r>
    </w:p>
    <w:p w14:paraId="588DCF5B" w14:textId="77777777" w:rsidR="00723610" w:rsidRPr="008127F8" w:rsidRDefault="00723610"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58C314" w14:textId="77777777" w:rsidR="00723610" w:rsidRPr="008127F8" w:rsidRDefault="0072361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ВГК германской армии издало директиву N 41 о подготовке летней наступательной компании на ВФ (3186).</w:t>
      </w:r>
    </w:p>
    <w:p w14:paraId="0F40BB1F" w14:textId="77777777" w:rsidR="00723610" w:rsidRPr="008127F8" w:rsidRDefault="0072361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75A78" w14:textId="77777777" w:rsidR="00723610" w:rsidRPr="008127F8" w:rsidRDefault="0072361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немцы выпустили директиву 41 с задачей вновь захватить стратегическую инициативу (1074,197).</w:t>
      </w:r>
    </w:p>
    <w:p w14:paraId="4F368F00" w14:textId="77777777" w:rsidR="00723610" w:rsidRPr="008127F8" w:rsidRDefault="00723610"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8D1EE" w14:textId="77777777" w:rsidR="00723610" w:rsidRPr="008127F8" w:rsidRDefault="00723610"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Гитлер подписал директиву, наметившую главной целью немецкого наступления кавказскую нефть (4962).</w:t>
      </w:r>
    </w:p>
    <w:p w14:paraId="023A9CFD" w14:textId="77777777" w:rsidR="00723610" w:rsidRPr="008127F8" w:rsidRDefault="00723610"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A53D6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апреля</w:t>
      </w:r>
      <w:r w:rsidRPr="008127F8">
        <w:rPr>
          <w:rFonts w:ascii="Times New Roman" w:hAnsi="Times New Roman"/>
          <w:color w:val="000000" w:themeColor="text1"/>
          <w:sz w:val="16"/>
          <w:szCs w:val="16"/>
        </w:rPr>
        <w:t xml:space="preserve"> в 1942 году Верховное главное командование вооруженными силами Германии издало директиву № 41 о подготовке летней наступательной кампании на Восточном фронте (15090).</w:t>
      </w:r>
    </w:p>
    <w:p w14:paraId="67314154"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67A42B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1942г. вышел ПРИКАЗ НКО №0249 О ПРЕМИРОВАНИИ ЛИЧНОГО СОСТАВА АВИАМАСТЕРСКИХ ВОЕННО-ВОЗДУШНЫХ СИЛ КРАСНОЙ АРМИИ ЗА БЫСТРЫЙ И КАЧЕСТВЕННЫЙ РЕМОНТ САМОЛЕТОВ И МОТОРОВ</w:t>
      </w:r>
    </w:p>
    <w:p w14:paraId="20165A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решением Государственного Комитета Обороны Союза ССР № 1527 от 3 апреля 1942 г. в целях увеличения выпуска из ремонта самолетов и </w:t>
      </w:r>
      <w:proofErr w:type="gramStart"/>
      <w:r w:rsidRPr="008127F8">
        <w:rPr>
          <w:rFonts w:ascii="Times New Roman" w:hAnsi="Times New Roman"/>
          <w:color w:val="000000" w:themeColor="text1"/>
          <w:sz w:val="16"/>
          <w:szCs w:val="16"/>
        </w:rPr>
        <w:t>моторов</w:t>
      </w:r>
      <w:proofErr w:type="gramEnd"/>
      <w:r w:rsidRPr="008127F8">
        <w:rPr>
          <w:rFonts w:ascii="Times New Roman" w:hAnsi="Times New Roman"/>
          <w:color w:val="000000" w:themeColor="text1"/>
          <w:sz w:val="16"/>
          <w:szCs w:val="16"/>
        </w:rPr>
        <w:t xml:space="preserve"> и сокращения сроков нахождения в ремонте материальной части приказываю:</w:t>
      </w:r>
    </w:p>
    <w:p w14:paraId="14966E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 качественный ремонт самолетов и моторов, выполненный в сроки, предусмотренные приказом командующего Военно-воздушными силами Красной Армии № 012 от 30.1.42 года, отпустить в распоряжение начальников авиационных мастерских Военно-воздушных сил Красной Армии (САМ, ПАМ, ПАРМ-35, ПАРМ-3, ремонтные базы и авиационные мастерские школ, училищ и академий) денежные суммы для награждения личного состава мастерских из расчета (за каждый самолет и мотор):</w:t>
      </w:r>
    </w:p>
    <w:p w14:paraId="6A29F6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p w14:paraId="66F0D0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восстановительный ремонт </w:t>
      </w:r>
      <w:proofErr w:type="gramStart"/>
      <w:r w:rsidRPr="008127F8">
        <w:rPr>
          <w:rFonts w:ascii="Times New Roman" w:hAnsi="Times New Roman"/>
          <w:color w:val="000000" w:themeColor="text1"/>
          <w:sz w:val="16"/>
          <w:szCs w:val="16"/>
        </w:rPr>
        <w:t>бомбардировщика....</w:t>
      </w:r>
      <w:proofErr w:type="gramEnd"/>
      <w:r w:rsidRPr="008127F8">
        <w:rPr>
          <w:rFonts w:ascii="Times New Roman" w:hAnsi="Times New Roman"/>
          <w:color w:val="000000" w:themeColor="text1"/>
          <w:sz w:val="16"/>
          <w:szCs w:val="16"/>
        </w:rPr>
        <w:t>. 2000 руб.</w:t>
      </w:r>
    </w:p>
    <w:p w14:paraId="3F7AE8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текущий ремонт бомбардировщика......... 400 руб.</w:t>
      </w:r>
    </w:p>
    <w:p w14:paraId="692743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1. За ремонт тяжелого бомбардировщика (ТБ-3 или ТБ-7) денежные награды выплачивать в двойном размере.</w:t>
      </w:r>
    </w:p>
    <w:p w14:paraId="225385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2. За ремонт самолета после аварии (аварийный ремонт) премии выплачивать в размере 50 % нормы восстановительного ремонта.</w:t>
      </w:r>
    </w:p>
    <w:p w14:paraId="792F50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w:t>
      </w:r>
    </w:p>
    <w:p w14:paraId="272BFA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восстановительный ремонт истребителя или </w:t>
      </w:r>
      <w:proofErr w:type="gramStart"/>
      <w:r w:rsidRPr="008127F8">
        <w:rPr>
          <w:rFonts w:ascii="Times New Roman" w:hAnsi="Times New Roman"/>
          <w:color w:val="000000" w:themeColor="text1"/>
          <w:sz w:val="16"/>
          <w:szCs w:val="16"/>
        </w:rPr>
        <w:t>штурмовика..</w:t>
      </w:r>
      <w:proofErr w:type="gramEnd"/>
      <w:r w:rsidRPr="008127F8">
        <w:rPr>
          <w:rFonts w:ascii="Times New Roman" w:hAnsi="Times New Roman"/>
          <w:color w:val="000000" w:themeColor="text1"/>
          <w:sz w:val="16"/>
          <w:szCs w:val="16"/>
        </w:rPr>
        <w:t xml:space="preserve"> 750 руб.</w:t>
      </w:r>
    </w:p>
    <w:p w14:paraId="5D432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текущий ремонт истребителя или </w:t>
      </w:r>
      <w:proofErr w:type="gramStart"/>
      <w:r w:rsidRPr="008127F8">
        <w:rPr>
          <w:rFonts w:ascii="Times New Roman" w:hAnsi="Times New Roman"/>
          <w:color w:val="000000" w:themeColor="text1"/>
          <w:sz w:val="16"/>
          <w:szCs w:val="16"/>
        </w:rPr>
        <w:t>штурмовика....</w:t>
      </w:r>
      <w:proofErr w:type="gramEnd"/>
      <w:r w:rsidRPr="008127F8">
        <w:rPr>
          <w:rFonts w:ascii="Times New Roman" w:hAnsi="Times New Roman"/>
          <w:color w:val="000000" w:themeColor="text1"/>
          <w:sz w:val="16"/>
          <w:szCs w:val="16"/>
        </w:rPr>
        <w:t>. 200 руб.</w:t>
      </w:r>
    </w:p>
    <w:p w14:paraId="753C0D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восстановительный ремонт учебного самолета (УТ-2, У-2 и УТ-</w:t>
      </w:r>
      <w:proofErr w:type="gramStart"/>
      <w:r w:rsidRPr="008127F8">
        <w:rPr>
          <w:rFonts w:ascii="Times New Roman" w:hAnsi="Times New Roman"/>
          <w:color w:val="000000" w:themeColor="text1"/>
          <w:sz w:val="16"/>
          <w:szCs w:val="16"/>
        </w:rPr>
        <w:t>1).....................</w:t>
      </w:r>
      <w:proofErr w:type="gramEnd"/>
      <w:r w:rsidRPr="008127F8">
        <w:rPr>
          <w:rFonts w:ascii="Times New Roman" w:hAnsi="Times New Roman"/>
          <w:color w:val="000000" w:themeColor="text1"/>
          <w:sz w:val="16"/>
          <w:szCs w:val="16"/>
        </w:rPr>
        <w:t xml:space="preserve"> 300 руб.</w:t>
      </w:r>
    </w:p>
    <w:p w14:paraId="1BD834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w:t>
      </w:r>
    </w:p>
    <w:p w14:paraId="505B06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восстановительный ремонт каждого мотора всех типов, кроме М-11.................... 200 руб.</w:t>
      </w:r>
    </w:p>
    <w:p w14:paraId="4F2578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восстановительный ремонт мотора М-11....... 100 руб.</w:t>
      </w:r>
    </w:p>
    <w:p w14:paraId="6B8249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Отпуск средств мастерским для выплаты наград производить один раз в месяц на основании отчета мастерских, утвержденного главным инженером Военно-воздушных сил фронта (округа).</w:t>
      </w:r>
    </w:p>
    <w:p w14:paraId="0058D3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Исчисленная за месяц сумма наград распределяется:</w:t>
      </w:r>
    </w:p>
    <w:p w14:paraId="6AA612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5 % начальнику и военному комиссару мастерских;</w:t>
      </w:r>
    </w:p>
    <w:p w14:paraId="00119B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 менее 70 % производственным рабочим мастерских (военнослужащим и вольнонаемным);</w:t>
      </w:r>
    </w:p>
    <w:p w14:paraId="3E80E7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25 % в распоряжение начальника и военного комиссара мастерских для награждения остального личного состава мастерских.</w:t>
      </w:r>
    </w:p>
    <w:p w14:paraId="724FD1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Определение лиц, которым выдается денежное награждение, размер награды каждому устанавливается начальником и военным комиссаром мастерских в зависимости от участия в работе по ремонту самолетов и </w:t>
      </w:r>
      <w:proofErr w:type="gramStart"/>
      <w:r w:rsidRPr="008127F8">
        <w:rPr>
          <w:rFonts w:ascii="Times New Roman" w:hAnsi="Times New Roman"/>
          <w:color w:val="000000" w:themeColor="text1"/>
          <w:sz w:val="16"/>
          <w:szCs w:val="16"/>
        </w:rPr>
        <w:t>моторов</w:t>
      </w:r>
      <w:proofErr w:type="gramEnd"/>
      <w:r w:rsidRPr="008127F8">
        <w:rPr>
          <w:rFonts w:ascii="Times New Roman" w:hAnsi="Times New Roman"/>
          <w:color w:val="000000" w:themeColor="text1"/>
          <w:sz w:val="16"/>
          <w:szCs w:val="16"/>
        </w:rPr>
        <w:t xml:space="preserve"> и качества работы, после чего объявляется приказом по части.</w:t>
      </w:r>
    </w:p>
    <w:p w14:paraId="7B2A38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Денежная награда начальнику и военному комиссару мастерских объявляется приказом командующего Военно-воздушными силами фронта (округа).</w:t>
      </w:r>
    </w:p>
    <w:p w14:paraId="1DCE06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Расходы относить:</w:t>
      </w:r>
    </w:p>
    <w:p w14:paraId="03E847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награждению военнослужащих: в бюджетных мастерских за счет кредитов § 1, ст. 1; в хозрасчетных мастерских за счет кредитов § 21, ст. 76 сметы НКО;</w:t>
      </w:r>
    </w:p>
    <w:p w14:paraId="00F9E6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награждению вольнонаемного состава всех мастерских за счет кредитов § 21, ст. 76 сметы НКО.</w:t>
      </w:r>
    </w:p>
    <w:p w14:paraId="0E0153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При систематическом перевыполнении месячных производственных заданий (по товарной продукции), установленных командованием фронта (округа) и утвержденных Военно-воздушными силами Красной Армии, кроме денежной награды, личный состав авиационных мастерских, особо проявивший себя в выполнении </w:t>
      </w:r>
      <w:proofErr w:type="gramStart"/>
      <w:r w:rsidRPr="008127F8">
        <w:rPr>
          <w:rFonts w:ascii="Times New Roman" w:hAnsi="Times New Roman"/>
          <w:color w:val="000000" w:themeColor="text1"/>
          <w:sz w:val="16"/>
          <w:szCs w:val="16"/>
        </w:rPr>
        <w:t>заданий</w:t>
      </w:r>
      <w:proofErr w:type="gramEnd"/>
      <w:r w:rsidRPr="008127F8">
        <w:rPr>
          <w:rFonts w:ascii="Times New Roman" w:hAnsi="Times New Roman"/>
          <w:color w:val="000000" w:themeColor="text1"/>
          <w:sz w:val="16"/>
          <w:szCs w:val="16"/>
        </w:rPr>
        <w:t xml:space="preserve"> представляется военным советом Воен-нотвоздушных сил фронта (округа) к правительственной награде.</w:t>
      </w:r>
    </w:p>
    <w:p w14:paraId="63DDC9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ввести в действие с 1 апреля с. г. и объявить личному составу авиационных мастерских.</w:t>
      </w:r>
    </w:p>
    <w:p w14:paraId="4E912C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СССР генерал-полковник авиации ЖИГАРЕВ </w:t>
      </w:r>
      <w:r w:rsidRPr="008127F8">
        <w:rPr>
          <w:rFonts w:ascii="Times New Roman" w:hAnsi="Times New Roman"/>
          <w:color w:val="000000" w:themeColor="text1"/>
          <w:sz w:val="16"/>
          <w:szCs w:val="16"/>
        </w:rPr>
        <w:t>(9844).</w:t>
      </w:r>
    </w:p>
    <w:p w14:paraId="3276E5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C89AA"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w:t>
      </w:r>
    </w:p>
    <w:p w14:paraId="34B9FE99"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Государственного Комитета Обороны Союза ССР № 1527 от 3 апреля 1942 г. в целях увеличения выпуска из ремонта</w:t>
      </w:r>
    </w:p>
    <w:p w14:paraId="5E690421"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 качественный ремонт самолетов и моторов, выполненный в сроки, предусмотренные приказом командующего Военно-воздушными силами Красной Армии №012 от 30.1.42 года, отпустить в распоряжение начальников авиационных мастерских Военно-воздушных сил Красной Армии (САМ, ПАМ, ПАРМ-35, ПАРМ-3, ремонтные базы и авиационные мастерские школ, училищ и академий) денежные суммы для награждения личного состава мастерских из расчета (за каждый самолет и мотор):</w:t>
      </w:r>
    </w:p>
    <w:p w14:paraId="7DD049F0"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w:t>
      </w:r>
    </w:p>
    <w:p w14:paraId="3AB1883B"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восстановительный ремонт бомбардировщика............ 2000 руб.</w:t>
      </w:r>
    </w:p>
    <w:p w14:paraId="47C405A4"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текущий ремонт бомбардировщика...................... 400 руб.</w:t>
      </w:r>
    </w:p>
    <w:p w14:paraId="461945FC"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1. За ремонт тяжелого бомбардировщика (ТБ-3 или ТБ-7) денежные награды выплачивать в двойном размере.</w:t>
      </w:r>
    </w:p>
    <w:p w14:paraId="529EB37B"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2. За ремонт самолета после аварии (аварийный ремонт) премии выплачивать в размере 50 % нормы восстановительного ремонта.</w:t>
      </w:r>
    </w:p>
    <w:p w14:paraId="2D5854D8"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w:t>
      </w:r>
    </w:p>
    <w:p w14:paraId="30BBB02C"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восстановительный ремонт истребителя или </w:t>
      </w:r>
      <w:proofErr w:type="gramStart"/>
      <w:r w:rsidRPr="008127F8">
        <w:rPr>
          <w:rFonts w:ascii="Times New Roman" w:hAnsi="Times New Roman"/>
          <w:color w:val="000000" w:themeColor="text1"/>
          <w:sz w:val="16"/>
          <w:szCs w:val="16"/>
        </w:rPr>
        <w:t>штурмовика .</w:t>
      </w:r>
      <w:proofErr w:type="gramEnd"/>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750 руб.</w:t>
      </w:r>
    </w:p>
    <w:p w14:paraId="2B624953"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текущий ремонт истребителя или штурмовика............... 200 руб.</w:t>
      </w:r>
    </w:p>
    <w:p w14:paraId="74A3B79C"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восстановительный ремонт учебного самолета (УТ-2, У-2 и УТ-1)</w:t>
      </w:r>
      <w:proofErr w:type="gramStart"/>
      <w:r w:rsidRPr="008127F8">
        <w:rPr>
          <w:rFonts w:ascii="Times New Roman" w:hAnsi="Times New Roman"/>
          <w:color w:val="000000" w:themeColor="text1"/>
          <w:sz w:val="16"/>
          <w:szCs w:val="16"/>
        </w:rPr>
        <w:tab/>
        <w:t xml:space="preserve">  300</w:t>
      </w:r>
      <w:proofErr w:type="gramEnd"/>
      <w:r w:rsidRPr="008127F8">
        <w:rPr>
          <w:rFonts w:ascii="Times New Roman" w:hAnsi="Times New Roman"/>
          <w:color w:val="000000" w:themeColor="text1"/>
          <w:sz w:val="16"/>
          <w:szCs w:val="16"/>
        </w:rPr>
        <w:tab/>
        <w:t>руб.</w:t>
      </w:r>
    </w:p>
    <w:p w14:paraId="47C7E04B"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w:t>
      </w:r>
    </w:p>
    <w:p w14:paraId="59F48A91"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восстановительный ремонт каждого мотора всех типов,</w:t>
      </w:r>
    </w:p>
    <w:p w14:paraId="1574B70B"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М-11 ................................................... 200</w:t>
      </w:r>
      <w:r w:rsidRPr="008127F8">
        <w:rPr>
          <w:rFonts w:ascii="Times New Roman" w:hAnsi="Times New Roman"/>
          <w:color w:val="000000" w:themeColor="text1"/>
          <w:sz w:val="16"/>
          <w:szCs w:val="16"/>
        </w:rPr>
        <w:tab/>
        <w:t>руб.</w:t>
      </w:r>
    </w:p>
    <w:p w14:paraId="399ED6B8"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восстановительный</w:t>
      </w:r>
      <w:r w:rsidRPr="008127F8">
        <w:rPr>
          <w:rFonts w:ascii="Times New Roman" w:hAnsi="Times New Roman"/>
          <w:color w:val="000000" w:themeColor="text1"/>
          <w:sz w:val="16"/>
          <w:szCs w:val="16"/>
        </w:rPr>
        <w:tab/>
        <w:t>ремонт мотора М-11....................100</w:t>
      </w:r>
      <w:r w:rsidRPr="008127F8">
        <w:rPr>
          <w:rFonts w:ascii="Times New Roman" w:hAnsi="Times New Roman"/>
          <w:color w:val="000000" w:themeColor="text1"/>
          <w:sz w:val="16"/>
          <w:szCs w:val="16"/>
        </w:rPr>
        <w:tab/>
        <w:t>руб.</w:t>
      </w:r>
    </w:p>
    <w:p w14:paraId="1DA033C0"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Отпуск средств мастерским для выплаты наград производить один раз в месяц на основании отчета мастерских, утвержденного главным инженером Военно-воздушных сил фронта (округа).</w:t>
      </w:r>
    </w:p>
    <w:p w14:paraId="25EE1D99"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Исчисленная за месяц сумма наград распределяется:</w:t>
      </w:r>
    </w:p>
    <w:p w14:paraId="3AF2500C"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5 % начальнику и военному комиссару мастерских;</w:t>
      </w:r>
    </w:p>
    <w:p w14:paraId="7CF5B18D"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 менее 70 % производственным рабочим мастерских (военнослужащим и вольнонаемным);</w:t>
      </w:r>
    </w:p>
    <w:p w14:paraId="78A95C37"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25 % в распоряжение начальника и военного комиссара мастерских для награждения остального личного состава мастерских.</w:t>
      </w:r>
    </w:p>
    <w:p w14:paraId="14439CB3"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Определение лиц, которым выдается денежное награждение, размер награды каждому устанавливается начальником и военным комиссаром мастерских в зависимости от участия в работе по ремонту самолетов и </w:t>
      </w:r>
      <w:proofErr w:type="gramStart"/>
      <w:r w:rsidRPr="008127F8">
        <w:rPr>
          <w:rFonts w:ascii="Times New Roman" w:hAnsi="Times New Roman"/>
          <w:color w:val="000000" w:themeColor="text1"/>
          <w:sz w:val="16"/>
          <w:szCs w:val="16"/>
        </w:rPr>
        <w:t>моторов</w:t>
      </w:r>
      <w:proofErr w:type="gramEnd"/>
      <w:r w:rsidRPr="008127F8">
        <w:rPr>
          <w:rFonts w:ascii="Times New Roman" w:hAnsi="Times New Roman"/>
          <w:color w:val="000000" w:themeColor="text1"/>
          <w:sz w:val="16"/>
          <w:szCs w:val="16"/>
        </w:rPr>
        <w:t xml:space="preserve"> и качества работы, после чего объявляется приказом по части.</w:t>
      </w:r>
    </w:p>
    <w:p w14:paraId="00DF361B"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Денежная награда начальнику и военному комиссару мастерских объявляется приказом командующего Военно-воздушными силами фронта (округа).</w:t>
      </w:r>
    </w:p>
    <w:p w14:paraId="0E2B4A55"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Расходы относить:</w:t>
      </w:r>
    </w:p>
    <w:p w14:paraId="2DCF4BEA"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награждению военнослужащих: в бюджетных мастерских за счет кредитов § 1, ст. 1; в хозрасчетных мастерских за счет кредитов § 21, ст. 76 сметы НКО;</w:t>
      </w:r>
    </w:p>
    <w:p w14:paraId="04A0155C"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награждению вольнонаемного состава всех мастерских за счет кредитов § 21, ст. 76 сметы НКО.</w:t>
      </w:r>
    </w:p>
    <w:p w14:paraId="0C600EE1"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При систематическом перевыполнении месячных производственных заданий (по товарной продукции), установленных командованием фронта (округа) и утвержденных Военно-воздушными силами Красной Армии, кроме денежной награды, личный состав авиационных мастерских, особо проявивший себя в выполнении </w:t>
      </w:r>
      <w:proofErr w:type="gramStart"/>
      <w:r w:rsidRPr="008127F8">
        <w:rPr>
          <w:rFonts w:ascii="Times New Roman" w:hAnsi="Times New Roman"/>
          <w:color w:val="000000" w:themeColor="text1"/>
          <w:sz w:val="16"/>
          <w:szCs w:val="16"/>
        </w:rPr>
        <w:t>заданий</w:t>
      </w:r>
      <w:proofErr w:type="gramEnd"/>
      <w:r w:rsidRPr="008127F8">
        <w:rPr>
          <w:rFonts w:ascii="Times New Roman" w:hAnsi="Times New Roman"/>
          <w:color w:val="000000" w:themeColor="text1"/>
          <w:sz w:val="16"/>
          <w:szCs w:val="16"/>
        </w:rPr>
        <w:t xml:space="preserve"> представляется военным советом Военно-воздушных сил фронта (округа) к правительственной награде.</w:t>
      </w:r>
    </w:p>
    <w:p w14:paraId="5C277C28"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ввести в действие с 1 апреля с. г. и объявить личному составу авиационных мастерских.</w:t>
      </w:r>
    </w:p>
    <w:p w14:paraId="71D2E561"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обороны СССР генерал-полковник авиации ЖИГАРЕВ</w:t>
      </w:r>
    </w:p>
    <w:p w14:paraId="42B6B07A"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4, оп. 11, д. 70, л. 53—55. Подлинник (20578).</w:t>
      </w:r>
    </w:p>
    <w:p w14:paraId="759D0412" w14:textId="77777777" w:rsidR="000133A0" w:rsidRPr="008127F8" w:rsidRDefault="000133A0" w:rsidP="001E0A84">
      <w:pPr>
        <w:spacing w:after="0" w:line="240" w:lineRule="auto"/>
        <w:jc w:val="both"/>
        <w:rPr>
          <w:rFonts w:ascii="Times New Roman" w:hAnsi="Times New Roman"/>
          <w:color w:val="000000" w:themeColor="text1"/>
          <w:sz w:val="16"/>
          <w:szCs w:val="16"/>
        </w:rPr>
      </w:pPr>
    </w:p>
    <w:p w14:paraId="163D53E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1541 Об усилении противовоздушной обороны г. Москвы. (7028, 1-2).</w:t>
      </w:r>
    </w:p>
    <w:p w14:paraId="49C973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ОБ УСИЛЕНИИ ПРОТИВОВОЗДУШНОЙ ОБОРОНЫ МОСКВЫ</w:t>
      </w:r>
    </w:p>
    <w:p w14:paraId="506B7A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Кремль</w:t>
      </w:r>
    </w:p>
    <w:p w14:paraId="464664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усиления противовоздушной обороны гор. Москвы Государственный Комитет Обороны постановляет:</w:t>
      </w:r>
    </w:p>
    <w:p w14:paraId="158495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Реорганизовать Московский корпусной район ПВО в Московский фронт ПВО, создав Военный Совет фронта со всеми присвоенными ему правами.</w:t>
      </w:r>
    </w:p>
    <w:p w14:paraId="1A75BF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Приравнять в званиях, окладах и правах по всей системе Московского фронта ПВО начальствующий и политический состав полков к дивизии, дивизионов (батальонов) — к полкам, батарей (рот и отрядов) — к отдельным дивизионам (батальонам).</w:t>
      </w:r>
    </w:p>
    <w:p w14:paraId="32326D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Командующим Московского фронта ПВО утвердить генерал-лейтенанта Журавлева, членами Военного Совета — т. Пронина (Моссовет) и бригадного комиссара Гритчина.</w:t>
      </w:r>
    </w:p>
    <w:p w14:paraId="53A420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Ввести дополнительно к имеющимся двум должностям заместителей Командующего Московским фронтом ПВО еще три должности заместителей. Первым заместителем Командующего Московским фронтом ПВО назначить генерал-майора артиллерии Герасимова.</w:t>
      </w:r>
    </w:p>
    <w:p w14:paraId="5A7875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Ввести в штаты штаба Московского фронта ПВО должности старшего контролера и контролеров при нем в количестве 23 человек с задачей контроля работы в частях и подразделениях фронта и непосредственным подчинением Командующему фронтом.</w:t>
      </w:r>
    </w:p>
    <w:p w14:paraId="5A484F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Шестой авиакорпус истребительной авиации подчинить во всех отношениях Командующему Московским фронтом ПВО. Командира шестого авиакорпуса назначить заместителем Командующего Московским фронтом ПВО по авиации.</w:t>
      </w:r>
    </w:p>
    <w:p w14:paraId="2324D4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Усилить средства противовоздушной обороны города Москвы, доведя количество 85-мм орудий до 1300 штук (в настоящее время имеется 76-мм орудий 224, 85-мм орудий 476, аэростатов — до 1500 штук (имеется 327 штук), прожекторов — до 1200 штук (имеется 840 штук), для чего:</w:t>
      </w:r>
    </w:p>
    <w:p w14:paraId="570C02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обязать ГАУ (тов. Яковлева) передать в систему ПВО 600 85-мм орудий в следующие сроки: в апреле месяце за счет производства — 200 штук и за счет противотанковых полков фронтов — 100 штук; в мае месяце — 220 штук за счет производства и 80 штук за счет противотанковых полков фронтов.</w:t>
      </w:r>
    </w:p>
    <w:p w14:paraId="02D6DC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обязать НКРП (тов. Митрохина) изготовить и передать в систему ПВО 1200 аэростатов в следующие сроки: в апреле — 150 штук, в мае — 300, в июне — 400, в июле — 350 штук.</w:t>
      </w:r>
    </w:p>
    <w:p w14:paraId="07D17E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обязать НКЭП (тов. Кабанова) изготовить и передать в систему ПВО 360 прожекторов в следующие сроки: в апреле — 100, в мае — 130 и в июне — 130 штук;</w:t>
      </w:r>
    </w:p>
    <w:p w14:paraId="0AE952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обязать тов. Сабурова (Госплан), тов. Казакова (НКТП) и тов. Громадина в пятидневный срок разработать и представить на утверждение Государственного Комитета Обороны мероприятия по организации производства лебедок для аэростатов заграждения в количествах и сроки, установленные для изготовления аэростатов.</w:t>
      </w:r>
    </w:p>
    <w:p w14:paraId="34087F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НКАП (тов. Шахурина) не позднее 8 апреля т. г. закончить ремонт всех самолетов и моторов, принадлежащих системе ПВО города Москвы и находящихся в ремонте на заводах НКАП.</w:t>
      </w:r>
    </w:p>
    <w:p w14:paraId="451333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дальнейшем ремонт самолетов и моторов системы ПВО города Москвы НКАП производить вне очереди.</w:t>
      </w:r>
    </w:p>
    <w:p w14:paraId="0CA1F3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Поручить тов. Микояну выделить до конца июня месяца для системы ПВО города Москвы 1500 трехтонных грузовых автомашин.</w:t>
      </w:r>
    </w:p>
    <w:p w14:paraId="3BF6C4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w:t>
      </w:r>
    </w:p>
    <w:p w14:paraId="04E49B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51250E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РГАСПИ. Ф. 644. Оп. 1. Д. 27. Л. 1-2 (12013).</w:t>
      </w:r>
    </w:p>
    <w:p w14:paraId="15A8BCC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E03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вышло Постановление ГКО № 1544 О реорганизации Бакинского и Ленинградского корпусных районов ПВО. РГАНИР, Фонд ГКО, д. 27, лл. 7 (11012).</w:t>
      </w:r>
    </w:p>
    <w:p w14:paraId="02BBA8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2E5E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вышел ПРИКАЗ НКО №0063 О СОСТОЯНИИ ПРОТИВОВОЗДУШНОЙ ОБОРОНЫ МОСКОВСКОГО КОРПУСНОГО РАЙОНА</w:t>
      </w:r>
    </w:p>
    <w:p w14:paraId="31EA0E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Произведенной проверкой установлено, что система противовоздушной обороны города Москвы и Московского корпусного района за последние месяцы ухудшила свою работу.</w:t>
      </w:r>
    </w:p>
    <w:p w14:paraId="7B38B3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Служба ВНОС работает плохо, посты плохо определяют типы самолетов, путают самолеты противника с нашими и наоборот. Все еще продолжается массовое нарушение установленного режима полетов для своей авиации в пределах системы ПВО города Москвы. Оповещение о воздушном противнике проходит медленно, некоторые батареи и взводы ПВО, отдельно обороняющие объекты, иногда вовсе не оповещаются. Плохо используется радиосвязь для наведения истребителей в воздухе на противника.</w:t>
      </w:r>
    </w:p>
    <w:p w14:paraId="493CEE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Огонь зенитной артиллерии на стыках полков 1-го корпуса ПВО организован плохо. Взаимодействие между полками в этих целях не налажено. Большое количество самолетов 6-го авиакорпуса ПВО находится в ремонте в авиаполках, ремонт затягивается.</w:t>
      </w:r>
    </w:p>
    <w:p w14:paraId="418451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ухудшения работы системы противовоздушной обороны города Москвы в марте месяце имели место случаи безнаказанного нападения самолетов противника на объекты как в городе Москве, так и вне его.</w:t>
      </w:r>
    </w:p>
    <w:p w14:paraId="0C467F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марта самолет противника сбросил бомбы на Шошинский железнодорожный мост около деревни Завидово.</w:t>
      </w:r>
    </w:p>
    <w:p w14:paraId="079187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неприятельский самолет не был своевременно опознан постами ВНОС, прорвался в Москву и сбросил 4 фугасных бомбы.</w:t>
      </w:r>
    </w:p>
    <w:p w14:paraId="74F9BD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Дисциплина в Московском корпусном районе ПВО стоит на низком уровне. Довольно широко распространены пьянки, особенно среди начальствующего состава. Борьба с нарушениями дисциплины и пьянками ведется слабо. Растет количество дисциплинарных проступков, совершаемых красноармейцами, курсантами, младшим, средним и высшим начсоставом частей ПВО.</w:t>
      </w:r>
    </w:p>
    <w:p w14:paraId="2BD961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положение дальше терпимо быть не может.</w:t>
      </w:r>
    </w:p>
    <w:p w14:paraId="4D6CD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646378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Арестовать и предать суду военного трибунала:</w:t>
      </w:r>
    </w:p>
    <w:p w14:paraId="5701D8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комиссара Главного управления ПВО территории страны бригадного комиссара Курганова за систематическое пьянство;</w:t>
      </w:r>
    </w:p>
    <w:p w14:paraId="7CCC32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комиссара 745 зап полкового комиссара Захарова за пьянство и неявку на командный пункт во время боевой тревоги;</w:t>
      </w:r>
    </w:p>
    <w:p w14:paraId="40BCA5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политрука 3-й прожекторной роты 176-го артиллерийского полка Андреева и авиатехника той же роты воентехника 2 ранга Кукина за коллективную пьянку, дебош и стрельбу, в результате чего Андреев застрелил начальника связи роты лейтенанта Казановского.</w:t>
      </w:r>
    </w:p>
    <w:p w14:paraId="201FCB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Снять с работы начальника Главного управления ПВО территории страны генерал-майора артиллерии Осипова за пьянство, понизив его в должности распоряжением командующего войсками ПВО территории страны.</w:t>
      </w:r>
    </w:p>
    <w:p w14:paraId="7EC17B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Снять с работы первого заместителя командующего Московским корпусным районом ПВО полковника Макеева как несправившегося с работой и откомандировать его в распоряжение начальника артиллерии Красной Армии для назначения на должность командира полка.</w:t>
      </w:r>
    </w:p>
    <w:p w14:paraId="5F9D39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Предложить командующему Московским корпусным районом ПВО генерал-лейтенанту артиллерии тов. Журавлеву наложить дисциплинарные взыскания на командира 2-го дивизиона 862-го [полка] МЗА старшего лейтенанта Крутикова, комиссара 8-й батареи того же дивизиона политрука Борисова и помощника командира 8-й батареи лейтенанта Рудича за недостаточную боевую готовность подразделения в момент налета вражеской авиации.</w:t>
      </w:r>
    </w:p>
    <w:p w14:paraId="2DC498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тт. Громадина и Журавлева принять решительные меры к наведению должного порядка в системе ПВО Московского корпусного района.</w:t>
      </w:r>
    </w:p>
    <w:p w14:paraId="6A252B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тт. Жигарева, Громадина, Голованова, Молокова, Журавлева принять необходимые меры по установлению утвержденного режима полетов своей авиации в пределах системы ПВО города Москвы.</w:t>
      </w:r>
    </w:p>
    <w:p w14:paraId="2F115C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тов. Пересыпкина в трехдневный срок передать ПВО города Москвы 30 радиостанций, необходимое количество проводных и других материалов по заявкам командующего Московским корпусным районом ПВО и оказывать ПВО гор. Москвы систематическую помощь в налаживании связи.</w:t>
      </w:r>
    </w:p>
    <w:p w14:paraId="4804A4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Ввести дополнительно должность заместителя командующего войсками противовоздушной обороны территории страны.</w:t>
      </w:r>
    </w:p>
    <w:p w14:paraId="7524DD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тов. Громадина, в соответствии с постановлением Государственного Комитета Обороны № 1541 ее от 5 апреля, провести в пятидневный срок реорганизацию Московского корпусного района ПВО.</w:t>
      </w:r>
    </w:p>
    <w:p w14:paraId="225884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Приказ объявить всему начальствующему и политическому составу частей противовоздушной обороны.</w:t>
      </w:r>
    </w:p>
    <w:p w14:paraId="38D075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И. СТАЛИН </w:t>
      </w:r>
      <w:r w:rsidRPr="008127F8">
        <w:rPr>
          <w:rFonts w:ascii="Times New Roman" w:hAnsi="Times New Roman"/>
          <w:color w:val="000000" w:themeColor="text1"/>
          <w:sz w:val="16"/>
          <w:szCs w:val="16"/>
        </w:rPr>
        <w:t>(9844).</w:t>
      </w:r>
    </w:p>
    <w:p w14:paraId="303A33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060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 вышел ПРИКАЗ НКО СССР О РЕОРГАНИЗАЦИИ ОРГАНОВ ПО ИЗОБРЕТАТЕЛЬСТВУ №107</w:t>
      </w:r>
    </w:p>
    <w:p w14:paraId="11DA9C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улучшения изобретательской и рационализаторской работы и приведения организации изобретательского дела в системе НКО в полное соответствие с задачами, возложенными на Нарко</w:t>
      </w:r>
      <w:r w:rsidRPr="008127F8">
        <w:rPr>
          <w:rFonts w:ascii="Times New Roman" w:hAnsi="Times New Roman"/>
          <w:color w:val="000000" w:themeColor="text1"/>
          <w:sz w:val="16"/>
          <w:szCs w:val="16"/>
        </w:rPr>
        <w:softHyphen/>
        <w:t>мат Постановлением СНК Союза ССР № 448 1941 года, ПРИКАЗЫВАЮ:</w:t>
      </w:r>
    </w:p>
    <w:p w14:paraId="0AC3D43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Бюро изобретений НКО при начальнике ГАУ Красной Армии переформировать в Бюро по де</w:t>
      </w:r>
      <w:r w:rsidRPr="008127F8">
        <w:rPr>
          <w:rFonts w:ascii="Times New Roman" w:hAnsi="Times New Roman"/>
          <w:color w:val="000000" w:themeColor="text1"/>
          <w:sz w:val="16"/>
          <w:szCs w:val="16"/>
        </w:rPr>
        <w:softHyphen/>
        <w:t>лам изобретательства Народного комиссариата обороны Союза ССР с подчинением заместителю Народного комиссара обороны генерал-полковнику артиллерии т. Воронову.</w:t>
      </w:r>
    </w:p>
    <w:p w14:paraId="15B230A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Бюро по делам изобретательства возложить:</w:t>
      </w:r>
    </w:p>
    <w:p w14:paraId="70025B1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организацию и руководство изобретательским делом в Красной Армии;</w:t>
      </w:r>
    </w:p>
    <w:p w14:paraId="256DD0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руководство отделами и отделениями по изобретательству при главных и центральных упра</w:t>
      </w:r>
      <w:r w:rsidRPr="008127F8">
        <w:rPr>
          <w:rFonts w:ascii="Times New Roman" w:hAnsi="Times New Roman"/>
          <w:color w:val="000000" w:themeColor="text1"/>
          <w:sz w:val="16"/>
          <w:szCs w:val="16"/>
        </w:rPr>
        <w:softHyphen/>
        <w:t>влениях НКО в отношении: своевременной обработки изобретательских предложений, контроля за реализацией их учета и хранения изобретательских предложений, выдачи вознаграждений за изо</w:t>
      </w:r>
      <w:r w:rsidRPr="008127F8">
        <w:rPr>
          <w:rFonts w:ascii="Times New Roman" w:hAnsi="Times New Roman"/>
          <w:color w:val="000000" w:themeColor="text1"/>
          <w:sz w:val="16"/>
          <w:szCs w:val="16"/>
        </w:rPr>
        <w:softHyphen/>
        <w:t>бретательские предложения и выявления актива изобретателей и работы с ним;</w:t>
      </w:r>
    </w:p>
    <w:p w14:paraId="00EE73E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организацию обмена опытом по массовой изобретательской и рационализаторской работе в Красной Армии;</w:t>
      </w:r>
    </w:p>
    <w:p w14:paraId="56E20F95"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г) прием заявок на изобретения в области вооружения, снабжения и боевой подготовки Крас</w:t>
      </w:r>
      <w:r w:rsidRPr="008127F8">
        <w:rPr>
          <w:rFonts w:ascii="Times New Roman" w:hAnsi="Times New Roman"/>
          <w:color w:val="000000" w:themeColor="text1"/>
          <w:kern w:val="65535"/>
          <w:sz w:val="16"/>
          <w:szCs w:val="16"/>
        </w:rPr>
        <w:softHyphen/>
        <w:t>ной Армии, отработку этих заявок порядком, установленным Постановлением Совнаркома Союза ССР № 448 1941 года, хранение заявок и выдачу авторских свидетельств и патентов;</w:t>
      </w:r>
    </w:p>
    <w:p w14:paraId="397CA1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финансовое обеспечение изобретательской и рационализаторской работы в Красной Армии.</w:t>
      </w:r>
    </w:p>
    <w:p w14:paraId="7D54E5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Сформировать при главных и центральных управлениях НКО отделы и отделения по изобре</w:t>
      </w:r>
      <w:r w:rsidRPr="008127F8">
        <w:rPr>
          <w:rFonts w:ascii="Times New Roman" w:hAnsi="Times New Roman"/>
          <w:color w:val="000000" w:themeColor="text1"/>
          <w:sz w:val="16"/>
          <w:szCs w:val="16"/>
        </w:rPr>
        <w:softHyphen/>
        <w:t>тательству, подчинив их непосредственно начальникам управлений.</w:t>
      </w:r>
    </w:p>
    <w:p w14:paraId="3D05F6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 На отделы и отделения по изобретательству при главных и центральных управлениях возложить:</w:t>
      </w:r>
    </w:p>
    <w:p w14:paraId="28D68BB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рассмотрение изобретательских предложений, учет их и хранение;</w:t>
      </w:r>
    </w:p>
    <w:p w14:paraId="49BBD9E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отбор ценных предложений, составление планов по их разработке и реализации, контроль и наблюдение за реализацией и внедрением;</w:t>
      </w:r>
    </w:p>
    <w:p w14:paraId="46A26F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содействие и оказание помощи изобретателям в оформлении и продвижении их предложений;</w:t>
      </w:r>
    </w:p>
    <w:p w14:paraId="608DBE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представление к вознаграждению изобретателей и рационализаторов за принятые на вооруже</w:t>
      </w:r>
      <w:r w:rsidRPr="008127F8">
        <w:rPr>
          <w:rFonts w:ascii="Times New Roman" w:hAnsi="Times New Roman"/>
          <w:color w:val="000000" w:themeColor="text1"/>
          <w:sz w:val="16"/>
          <w:szCs w:val="16"/>
        </w:rPr>
        <w:softHyphen/>
        <w:t>ние или снабжение Красной Армии предложения, технические усовершенствования и изобретения;</w:t>
      </w:r>
    </w:p>
    <w:p w14:paraId="38D9829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выдачу удостоверений за технические усовершенствования;</w:t>
      </w:r>
    </w:p>
    <w:p w14:paraId="0B74939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разработку тематических планов, организацию и проведение конкурсов и технической ин</w:t>
      </w:r>
      <w:r w:rsidRPr="008127F8">
        <w:rPr>
          <w:rFonts w:ascii="Times New Roman" w:hAnsi="Times New Roman"/>
          <w:color w:val="000000" w:themeColor="text1"/>
          <w:sz w:val="16"/>
          <w:szCs w:val="16"/>
        </w:rPr>
        <w:softHyphen/>
        <w:t>формации по изобретательским предложениям;</w:t>
      </w:r>
    </w:p>
    <w:p w14:paraId="124F819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выявление и изучение кадров изобретателей, как в системе НКО, так и в научно-исследова</w:t>
      </w:r>
      <w:r w:rsidRPr="008127F8">
        <w:rPr>
          <w:rFonts w:ascii="Times New Roman" w:hAnsi="Times New Roman"/>
          <w:color w:val="000000" w:themeColor="text1"/>
          <w:sz w:val="16"/>
          <w:szCs w:val="16"/>
        </w:rPr>
        <w:softHyphen/>
        <w:t>тельских институтах, конструкторских бюро и организациях промышленности, в целях привлече</w:t>
      </w:r>
      <w:r w:rsidRPr="008127F8">
        <w:rPr>
          <w:rFonts w:ascii="Times New Roman" w:hAnsi="Times New Roman"/>
          <w:color w:val="000000" w:themeColor="text1"/>
          <w:sz w:val="16"/>
          <w:szCs w:val="16"/>
        </w:rPr>
        <w:softHyphen/>
        <w:t>ния их к решению оборонных проблем.</w:t>
      </w:r>
    </w:p>
    <w:p w14:paraId="0F2B67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Начальнику Главного управления формирования и укомплектования Красной Армии пере</w:t>
      </w:r>
      <w:r w:rsidRPr="008127F8">
        <w:rPr>
          <w:rFonts w:ascii="Times New Roman" w:hAnsi="Times New Roman"/>
          <w:color w:val="000000" w:themeColor="text1"/>
          <w:sz w:val="16"/>
          <w:szCs w:val="16"/>
        </w:rPr>
        <w:softHyphen/>
        <w:t>смотреть штаты Бюро изобретений НКО и органов по изобретательству в главных и центральных управлениях НКО.</w:t>
      </w:r>
    </w:p>
    <w:p w14:paraId="0F28DE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Начальникам главных и центральных управлений принять все меры и обеспечить в кратчай</w:t>
      </w:r>
      <w:r w:rsidRPr="008127F8">
        <w:rPr>
          <w:rFonts w:ascii="Times New Roman" w:hAnsi="Times New Roman"/>
          <w:color w:val="000000" w:themeColor="text1"/>
          <w:sz w:val="16"/>
          <w:szCs w:val="16"/>
        </w:rPr>
        <w:softHyphen/>
        <w:t>шие сроки реализацию и внедрение ценных изобретательских предложений.</w:t>
      </w:r>
    </w:p>
    <w:p w14:paraId="2DE544C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Приказ народного комиссара обороны Союза ССР № 451 1940 года — отменить.</w:t>
      </w:r>
    </w:p>
    <w:p w14:paraId="4F8C7C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И. Сталин</w:t>
      </w:r>
    </w:p>
    <w:p w14:paraId="5B8F592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11350. Д. 2166. Л. 19-20. Типографский экз. (11211).</w:t>
      </w:r>
    </w:p>
    <w:p w14:paraId="255B7C3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A18E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советское командование отдало приказ о подготовке наступления на советско-германском фронте (4962).</w:t>
      </w:r>
    </w:p>
    <w:p w14:paraId="1B5A79F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4B7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5th, 1942: Hitler orders plans for the execution of Fall Blau (Operation Blue), the new summer offensive on the southern front in the East designed to reach the Volga, as well as to capture the Caucasus oilfields (3819).</w:t>
      </w:r>
    </w:p>
    <w:p w14:paraId="44F1C5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43E3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ВГК германской армии издало директиву N 41 о подготовке летней наступательной компании на ВФ (3186).</w:t>
      </w:r>
    </w:p>
    <w:p w14:paraId="697019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5CA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немцы выпустили директиву 41 с задачей вновь захватить стратегическую инициативу (1074,197).</w:t>
      </w:r>
    </w:p>
    <w:p w14:paraId="03C4BB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2879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Гитлер подписал директиву, наметившую главной целью немецкого наступления кавказскую нефть (4962).</w:t>
      </w:r>
    </w:p>
    <w:p w14:paraId="52276C3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6E553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CC7E8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BDE49"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апреля</w:t>
      </w:r>
      <w:r w:rsidRPr="008127F8">
        <w:rPr>
          <w:rFonts w:ascii="Times New Roman" w:hAnsi="Times New Roman"/>
          <w:color w:val="000000" w:themeColor="text1"/>
          <w:sz w:val="16"/>
          <w:szCs w:val="16"/>
        </w:rPr>
        <w:t xml:space="preserve"> в 1942 году поднялся в воздух первый прототип испанского учебно-тренировочного самолёта </w:t>
      </w:r>
      <w:hyperlink r:id="rId103" w:tgtFrame="_blank" w:history="1">
        <w:r w:rsidRPr="008127F8">
          <w:rPr>
            <w:rFonts w:ascii="Times New Roman" w:hAnsi="Times New Roman"/>
            <w:color w:val="000000" w:themeColor="text1"/>
            <w:sz w:val="16"/>
            <w:szCs w:val="16"/>
          </w:rPr>
          <w:t xml:space="preserve">«HS-42». </w:t>
        </w:r>
      </w:hyperlink>
      <w:r w:rsidRPr="008127F8">
        <w:rPr>
          <w:rFonts w:ascii="Times New Roman" w:hAnsi="Times New Roman"/>
          <w:color w:val="000000" w:themeColor="text1"/>
          <w:sz w:val="16"/>
          <w:szCs w:val="16"/>
        </w:rPr>
        <w:t>Заказчик остался доволен предъявленными показателями и в том же году была заказана партия серийных самолётов. «HS-42» успешно эксплуатировался на протяжении почти 30 лет и последние самолёты были списаны только в начале 1970-х годов (15090).</w:t>
      </w:r>
    </w:p>
    <w:p w14:paraId="79FB5DB3"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4DA7D679" w14:textId="77777777" w:rsidR="000133A0" w:rsidRPr="008127F8" w:rsidRDefault="000133A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105 самолетов с японских авианосцев Akagi, Hiryū, Sryū, Shōkaku и Zuikaku наносят удар по Коломбо, Цейлон. Вторая волна потопила британские тяжелые крейсеры HMS Cornwall и HMS Dorsetshire к юго-западу от Цейлона (20793).</w:t>
      </w:r>
    </w:p>
    <w:p w14:paraId="3ADBB4C7" w14:textId="77777777" w:rsidR="000133A0" w:rsidRPr="008127F8" w:rsidRDefault="000133A0" w:rsidP="001E0A84">
      <w:pPr>
        <w:spacing w:after="0" w:line="240" w:lineRule="auto"/>
        <w:jc w:val="both"/>
        <w:rPr>
          <w:rFonts w:ascii="Times New Roman" w:hAnsi="Times New Roman"/>
          <w:color w:val="000000" w:themeColor="text1"/>
          <w:sz w:val="16"/>
          <w:szCs w:val="16"/>
        </w:rPr>
      </w:pPr>
    </w:p>
    <w:p w14:paraId="3B468B4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японские войска подвергли первой бомбардировки Цейлон (4962).</w:t>
      </w:r>
    </w:p>
    <w:p w14:paraId="1C5AB26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B2A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апреля 1942 японская авиация нанесла бомбовый удар по Коломбо и Тринкомали (9 апреля) на Цейлоне (3907,235).</w:t>
      </w:r>
    </w:p>
    <w:p w14:paraId="3624FC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3C6AD"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апреля</w:t>
      </w:r>
      <w:r w:rsidRPr="008127F8">
        <w:rPr>
          <w:rFonts w:ascii="Times New Roman" w:hAnsi="Times New Roman"/>
          <w:color w:val="000000" w:themeColor="text1"/>
          <w:sz w:val="16"/>
          <w:szCs w:val="16"/>
        </w:rPr>
        <w:t xml:space="preserve"> в 1942 году удар японской авиации по база британского флота на острове Цейлон. Свыше ста японских пикировщиков, отразив налет британских истребителей, успешно бомбили базу "Grand Fleet" в гавани Коломбо. В тот же день пятьдесят японских бомбардировщиков повторили налет, потопив авианосец Hermes, тяжелые крейсера Dorsetshire и Cornwall, эсминец Tenedos и сторожевой корабль. Предназначенное для обороны острова соединение адмирала Соммервила не оказало японцам никакого сопротивления: линкоры ушли в Восточную Африку, а быстроходные корабли в Бомбей. Японская морская авиация 9 апреля нанесла удар по Тринкомали. После этого соединение японского флота беспрепятственно покинуло воды вокруг Цейлона. За этот короткий промежуток времени японские рейдеры потопили в Бенгальском заливе 23 судна общим тоннажем 112 тысяч тонн (15090).</w:t>
      </w:r>
    </w:p>
    <w:p w14:paraId="5FE9B223"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2363DA0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8AF4A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49C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вышел приказ НКАП N 254с</w:t>
      </w:r>
    </w:p>
    <w:p w14:paraId="027707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увеличения длительности и безотказности работы авиамоторов на серийных самолетах:</w:t>
      </w:r>
    </w:p>
    <w:p w14:paraId="2B7499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ЦАГИ Шишкину, нач. ф-ла ЦИАМ Гудзинскому и и.о. нач. ЛИИ Чесалову разработать и испытать для внедрения в серийное производство пылеуловители всасывающих патрубков авиамоторов самолетов Як-1, Як-7, Пе-2, Ил-2, Ил-4</w:t>
      </w:r>
    </w:p>
    <w:p w14:paraId="332328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Всю работу по самолетам Як-1 и Ил-2 закончить к 1 мая 1942, а по остальным - к 1 июня (1539,37).</w:t>
      </w:r>
    </w:p>
    <w:p w14:paraId="66C96F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5DA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ЦАГИ дал заключение по Як-7 М-105ПА и говорилось, что машина безопасна в штопоре (65,75).</w:t>
      </w:r>
    </w:p>
    <w:p w14:paraId="3953E2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3D310"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 ЦАГИ дал заключение по истребителю Як-7 М-105ПА, в котором говорилось, что машина безопасна в штопоре (19727).</w:t>
      </w:r>
    </w:p>
    <w:p w14:paraId="7934FA48" w14:textId="77777777" w:rsidR="003D436A" w:rsidRPr="008127F8" w:rsidRDefault="003D436A" w:rsidP="001E0A84">
      <w:pPr>
        <w:spacing w:after="0" w:line="240" w:lineRule="auto"/>
        <w:jc w:val="both"/>
        <w:rPr>
          <w:rFonts w:ascii="Times New Roman" w:hAnsi="Times New Roman"/>
          <w:color w:val="000000" w:themeColor="text1"/>
          <w:sz w:val="16"/>
          <w:szCs w:val="16"/>
        </w:rPr>
      </w:pPr>
    </w:p>
    <w:p w14:paraId="00728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 для повышения длительности и надежности работы авиационных моторов нарком авиационной промышленности своим приказом № 254 поручил начальнику ЦАГИ Шишкину, начальнику филиала ЦИАМ Гудзинскому, и.о. начальника ЛИИ НКАП Чесалову к 1 мая разработать и испытать для внедрения в серийное производство пылеуловитель для всасывающего патрубка мотора к самолету Як-1.</w:t>
      </w:r>
    </w:p>
    <w:p w14:paraId="445050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Широкая эксплуатация Як-1 с полевых аэродромов в летное время показала, что пыль, мелкие комья земли и камешки, поднятые струей от винта на разбеге, попадали в воздушный тракт мотора, выводя из строя крыльчатку нагнетателя, засоряя карбюраторы. Попадание посторонних предметов в трущиеся части приводило к преждевременному выходу мотора из эксплуатации.</w:t>
      </w:r>
    </w:p>
    <w:p w14:paraId="582749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начались испытаниями в лаборатории ЦАГИ различных образцов материи, решеток и иностранных фильтров для выбора рациональных размеров и форм фильтрующих приспособлений. Руководили испытаниями Е.И. Погосский и Я.Ю. Бутан. В июне 1942 г. в ЦАГИ разработали вариант съемного воздушного фильтра и провели его испытания. Пылефильтр в виде приставного патрубка с боковой поверхностью образованной четырьмя слоями стальной сетки (по типу автомобильной ЗИС-5) располагался перед воздухозаборником нагнетателя мотора. Площадь фильтрующей поверхности составляла 9,5 дм2. В передней части фильтра устанавливалась заслонка, управление которой было связано с системой выпуска-</w:t>
      </w:r>
      <w:proofErr w:type="gramStart"/>
      <w:r w:rsidRPr="008127F8">
        <w:rPr>
          <w:rFonts w:ascii="Times New Roman" w:hAnsi="Times New Roman"/>
          <w:color w:val="000000" w:themeColor="text1"/>
          <w:sz w:val="16"/>
          <w:szCs w:val="16"/>
        </w:rPr>
        <w:t>убор- ки</w:t>
      </w:r>
      <w:proofErr w:type="gramEnd"/>
      <w:r w:rsidRPr="008127F8">
        <w:rPr>
          <w:rFonts w:ascii="Times New Roman" w:hAnsi="Times New Roman"/>
          <w:color w:val="000000" w:themeColor="text1"/>
          <w:sz w:val="16"/>
          <w:szCs w:val="16"/>
        </w:rPr>
        <w:t xml:space="preserve">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При необходимости осмотреть мотор, открыть левый и нижний капоты без снятия </w:t>
      </w:r>
      <w:proofErr w:type="gramStart"/>
      <w:r w:rsidRPr="008127F8">
        <w:rPr>
          <w:rFonts w:ascii="Times New Roman" w:hAnsi="Times New Roman"/>
          <w:color w:val="000000" w:themeColor="text1"/>
          <w:sz w:val="16"/>
          <w:szCs w:val="16"/>
        </w:rPr>
        <w:t>пыле- фильтра</w:t>
      </w:r>
      <w:proofErr w:type="gramEnd"/>
      <w:r w:rsidRPr="008127F8">
        <w:rPr>
          <w:rFonts w:ascii="Times New Roman" w:hAnsi="Times New Roman"/>
          <w:color w:val="000000" w:themeColor="text1"/>
          <w:sz w:val="16"/>
          <w:szCs w:val="16"/>
        </w:rPr>
        <w:t xml:space="preserve"> было невозможно. Для демонтажа и монтажа фильтра ЦАГИ требовалось 25-30 минут. Специалисты ВВС, как заказчик, отводили на эту операцию не более 8 минут, в связи с чем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сократилось до 5 минут.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2 - 3 км/ч. </w:t>
      </w:r>
    </w:p>
    <w:p w14:paraId="764E44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Воздушный фильтр конструкции ЦАГИ в новом виде был принят и внедрен в серийное производство одновременно с Як-16. После начала эксплуатации фильтра в частях выяснилось, что он требует постоянной регулировки. При снятии фильтра с самолета (для ежедневной промывки) тяга управления заслонкой разъединялась, а после установки на самолет управление ею требовалось снова отрегулировать. Кроме того, регулировка требовалась вследствие вытяжки троса управления. Эту операцию можно было выполнить только после установки самолета на козелки. Поэтому работа над фильтрами была продолжена в 1943 г. Число участников расширили, включив ее в перечень тем для изобретателей в частях и мастерских ВВС.</w:t>
      </w:r>
    </w:p>
    <w:p w14:paraId="339A67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(время снятия - 2-3 с, установки - 10-12 с) с площадью фильтрующей поверхности 6,55 дм2 быстро ржавела сетка, </w:t>
      </w:r>
      <w:r w:rsidRPr="008127F8">
        <w:rPr>
          <w:rFonts w:ascii="Times New Roman" w:hAnsi="Times New Roman"/>
          <w:color w:val="000000" w:themeColor="text1"/>
          <w:sz w:val="16"/>
          <w:szCs w:val="16"/>
        </w:rPr>
        <w:lastRenderedPageBreak/>
        <w:t>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w:t>
      </w:r>
    </w:p>
    <w:p w14:paraId="457A30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Совершенно другой принцип пылеулавливания был предложен специалистами авиамастерских Военно-морского авиационного училища им. Сталина (до недавнего времени - Ейское ВВАУЛ). В воздухопод- 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w:t>
      </w:r>
    </w:p>
    <w:p w14:paraId="7B9E6A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Лишь 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07760B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0ADBD"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 вышел приказ НКАП № 254: «Для увеличения длительности и безотказности работы авиамоторов на серийных самолетах:</w:t>
      </w:r>
    </w:p>
    <w:p w14:paraId="530610D0"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ЦАГИ Шишкину, нач. ф-ла ЦИАМ Гудзинскому и и.о. нач. ЛИИ Чесалову разработать и испытать для внедрения в серийное производство пылеуловители всасывающих патрубков авиамоторов самолетов Як-1, Як-7, Пе-2, Ил-2, Ил-4</w:t>
      </w:r>
    </w:p>
    <w:p w14:paraId="2ABFDDA5"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Всю работу по самолетам Як-1 и Ил-2 закончить к 1 мая 1942, а по остальным — к 1 июня» (19727).</w:t>
      </w:r>
    </w:p>
    <w:p w14:paraId="1DA6D3DE" w14:textId="77777777" w:rsidR="003D436A" w:rsidRPr="008127F8" w:rsidRDefault="003D436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лаборатория №4 (Г. Я. Абрамович и Г. В. Миклашевский) провела обширные испытания различных типов (матерчатые, желобковые, сетчатые, решетчатые). Была установлена физическая картина выделения пыли при протекании воздуха через сетки и решетки специальных типов, выбраны схемы, обеспечивающие наиболее эффективную работу решеток. Однако установка воздушных фильтров задерживалась и на серийные самолеты (кроме Ил-2) они не ставились, главные конструктора не проявляли должного интереса. В ЛИИ провели работы по улучшению воздушных фильтров конструкции Путилова для самолета Пе-2, но медленное изготовление их на заводе № 81, задержало окончание летных испытаний. Установленные на самолете Ил-4 воздушные фильтры конструкции ЦАГИ также еще не были испытаны (самолет находился в НИИ ВВС). Для того, чтобы обеспечить серийные самолеты к весне 1943 г. воздушными фильтрами-пылеуловителями, НКАП потребовал «заставить самолетные заводы в ближайшее время подготовить производство воздушных фильтров к серийному изготовлению. В противном случае при эксплуатации самолетов на пыльных аэродромах опять появятся дефекты в винтомоторной группе самолета, благодаря попаданию пыли в мотор». Широкая эксплуатация Як-1 с полевых аэродромов в летное время показала, что пыль, мелкие комья земли и камешки, поднятые струей от винта на разбеге, попадали в воздушный тракт мотора, выводя из строя крыльчатку нагнетателя, засоряя карбюраторы. Попадание посторонних предметов в трущиеся части приводило к преждевременному выходу мотора из эксплуатации. Работы начались испытаниями в лаборатории ЦАГИ различных образцов материи, решеток и иностранных фильтров для выбора рациональных размеров и форм фильтрующих приспособлений. Руково - дили испытаниями Е. И. Погосский и Я. Ю. Бутан. В июне 1942 г. в ЦАГИ разработали вариант съемного воздушного фильтра и провели его испытания. Пылефильтр в виде приставного патрубка с боковой поверхностью образованной четырьмя слоями стальной сетки (по типу автомобильной ЗИС-5) располагался перед воздухозаборником нагнетателя мотора. В передней части фильтра устанавливалась заслонка, управление которой было связано с системой выпуска-уборки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При необходимости осмотреть мотор, открыть левый и нижний капоты без снятия пылефильтра было невозможно. Для демонтажа и монтажа фильтра ЦАГИ требовалось 25—30 минут. Специалисты ВВС, как заказчик, отводили на эту операцию не более 8 минут, в связи с чем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сократилось до 5 мин.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2—3 км/ч. Воздушный фильтр конструкции ЦАГИ в новом виде был принят и внедрен в серийное производство одновременно с внедрением самолета Як-1б. После начала эксплуатации фильтра в частях выяснилось, что он требует постоянной регулировки. При снятии фильтра с самолета (для ежедневной промывки) тяга управления заслонкой разъединялась, а после установки на самолет управление ею требовалось снова отрегулировать. Кроме того, регулировка требовалась вследствие вытяжки троса управления. Эту операцию можно было выполнить только после установки самолета на козелки. Поэтому работа над фильтрами была продолжена в 1943 г. Число участников расширили, включив ее в перечень тем для изобретателей в частях и мастерских ВВС. 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подго35 Пылефильтр ЛИИ на самолете Як-7, проходивший испытания в августе 1942 г. Пылефильтр ЦАГИ на штурмовике Ил-2 ночных работ по месту отдельно для каждой машины. Несъемный фильтр ЦАГИ был очень сложен в изготовлении, требовал больших переделок в кон - 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 Совершенно другой принцип пылеулавливания был предложен специалистами авиамастерских Военно-морского авиационного училища им. Сталина (Ейское ВВАУЛ). В воздухоподводяший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 Лишь к маю 1944 г.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(19727).</w:t>
      </w:r>
    </w:p>
    <w:p w14:paraId="241AA5B8" w14:textId="77777777" w:rsidR="003D436A" w:rsidRPr="008127F8" w:rsidRDefault="003D436A" w:rsidP="001E0A84">
      <w:pPr>
        <w:spacing w:after="0" w:line="240" w:lineRule="auto"/>
        <w:jc w:val="both"/>
        <w:rPr>
          <w:rFonts w:ascii="Times New Roman" w:hAnsi="Times New Roman"/>
          <w:color w:val="000000" w:themeColor="text1"/>
          <w:sz w:val="16"/>
          <w:szCs w:val="16"/>
        </w:rPr>
      </w:pPr>
    </w:p>
    <w:p w14:paraId="206773CE"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апреля 1942 г. приказом №254 НКАП поручил на</w:t>
      </w:r>
      <w:r w:rsidRPr="008A2E5A">
        <w:rPr>
          <w:rFonts w:ascii="Times New Roman" w:hAnsi="Times New Roman"/>
          <w:color w:val="0070C0"/>
          <w:sz w:val="16"/>
          <w:szCs w:val="16"/>
        </w:rPr>
        <w:softHyphen/>
        <w:t>чальнику ЦАГИ С.Н. Шишкину, начальнику филиала ЦИАМ Гудзинскому, и.о. начальника ЛИИ НКАП А.В. Чесалову к 1 мая разработать и испытать для внедрения в серийное производство пылеуловитель для всасывающего патруб</w:t>
      </w:r>
      <w:r w:rsidRPr="008A2E5A">
        <w:rPr>
          <w:rFonts w:ascii="Times New Roman" w:hAnsi="Times New Roman"/>
          <w:color w:val="0070C0"/>
          <w:sz w:val="16"/>
          <w:szCs w:val="16"/>
        </w:rPr>
        <w:softHyphen/>
        <w:t>ка мотора к самолетам Як-1 и Як-7 (23381).</w:t>
      </w:r>
    </w:p>
    <w:p w14:paraId="3BD265E6" w14:textId="77777777" w:rsidR="00EF77FA" w:rsidRPr="008A2E5A" w:rsidRDefault="00EF77FA" w:rsidP="00EF77FA">
      <w:pPr>
        <w:spacing w:after="0" w:line="240" w:lineRule="auto"/>
        <w:jc w:val="both"/>
        <w:rPr>
          <w:rFonts w:ascii="Times New Roman" w:hAnsi="Times New Roman"/>
          <w:color w:val="0070C0"/>
          <w:sz w:val="16"/>
          <w:szCs w:val="16"/>
        </w:rPr>
      </w:pPr>
    </w:p>
    <w:p w14:paraId="119C0E03"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апреля 1942 г. приказом по НКАП № 254с «…для увеличения длительности и безотказности работы авиамоторов на серийных самолетах… нач. ЦАГИ Шишкину, нач. ф-ла ЦИАМ Гудзинскому и и.о. нач. ЛИИ Чесалову разработать и испытать для внедрения в серийное производство пылеуловители всасывающих патрубков авиамоторов самолетов Як-1, Як-7, Пе-2, Ил-2, Ил-4. Всю работу по самолетам Як-1 и Ил-2 закончить к 1 мая 1942, а по остальным - к 1 июня». Фильтры были испытаны к началу 1943 г., но внедрение их в серию (изготовитель завод № 81 НКАП) задержалось, они были внедрены на серийных самолетах Пе-2У, и на части боевых (23565);</w:t>
      </w:r>
    </w:p>
    <w:p w14:paraId="2AD23A52" w14:textId="77777777" w:rsidR="00EF77FA" w:rsidRPr="008A2E5A" w:rsidRDefault="00EF77FA" w:rsidP="00EF77FA">
      <w:pPr>
        <w:spacing w:after="0" w:line="240" w:lineRule="auto"/>
        <w:jc w:val="both"/>
        <w:rPr>
          <w:rFonts w:ascii="Times New Roman" w:hAnsi="Times New Roman"/>
          <w:color w:val="0070C0"/>
          <w:sz w:val="16"/>
          <w:szCs w:val="16"/>
        </w:rPr>
      </w:pPr>
    </w:p>
    <w:p w14:paraId="2D5454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 было письмо Главному инженеру ВВС КА генерал-лейтенанту авиации И.Ф.Петрову от А.С.Яковлева: «Сообщаю, что задание на проектирование и изготовление опытного образца «автоматической ракетной пушки под снаряды РС-82» дано главному конструктору ОКБ завода № 288 тов. Бериеву. Срок предъявления образца на наземные по</w:t>
      </w:r>
      <w:r w:rsidRPr="008127F8">
        <w:rPr>
          <w:rFonts w:ascii="Times New Roman" w:hAnsi="Times New Roman"/>
          <w:color w:val="000000" w:themeColor="text1"/>
          <w:sz w:val="16"/>
          <w:szCs w:val="16"/>
        </w:rPr>
        <w:softHyphen/>
        <w:t>лигонные испытания — апрель 1942 г.». Больше об этом задании неиз</w:t>
      </w:r>
      <w:r w:rsidRPr="008127F8">
        <w:rPr>
          <w:rFonts w:ascii="Times New Roman" w:hAnsi="Times New Roman"/>
          <w:color w:val="000000" w:themeColor="text1"/>
          <w:sz w:val="16"/>
          <w:szCs w:val="16"/>
        </w:rPr>
        <w:softHyphen/>
        <w:t>вестно ничего. А жаль. Таким образом, спираль эволюции достигла того же значения абсцисс, но при возросшем значении ординат, имея ввиду предвоенную разработку АУРС-82 в военно-технической академии для самолетов-ракетоносцев Р-6 (11402).</w:t>
      </w:r>
    </w:p>
    <w:p w14:paraId="174A836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9EE91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B6020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1EB38"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апреля 1942 года, состоялось заседание Артиллерийского Комитета ГАУ КА. Там также одобрили проект 122-СГ, требуя при этом внести некоторые изменение в конструкцию гаубицы. Предполагалось провести дополнительный расчет и, при необходимости, усилить пружины уравновешивающего механизма, поскольку появление бронировки системы увеличило нагрузку. Также требовалось провести расчет усилий на рукоятки механизмов вертикальной и горизонтальной наводки, это также оказалось связано с увеличением нагрузки. Требовалось обеспечить возможность производить спуск наводчику по горизонтали, одновременно исключив возможность стрельбы при отставании в работе наводчика по вертикали. Наконец, орудие получало гильзоулавливатель, это требовалось для обеспечения безопасной работы расчета. Так или иначе, но проект утвердили. 2-й отдел Арткома ГАУ КА просил НКВ определить производственную базу для производства 122-СГ (23368).</w:t>
      </w:r>
    </w:p>
    <w:p w14:paraId="4819976A" w14:textId="77777777" w:rsidR="00EF77FA" w:rsidRPr="008A2E5A" w:rsidRDefault="00EF77FA" w:rsidP="00EF77FA">
      <w:pPr>
        <w:spacing w:after="0" w:line="240" w:lineRule="auto"/>
        <w:jc w:val="both"/>
        <w:rPr>
          <w:rFonts w:ascii="Times New Roman" w:hAnsi="Times New Roman"/>
          <w:color w:val="0070C0"/>
          <w:sz w:val="16"/>
          <w:szCs w:val="16"/>
        </w:rPr>
      </w:pPr>
    </w:p>
    <w:p w14:paraId="01C3C567"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w:t>
      </w:r>
    </w:p>
    <w:p w14:paraId="4E789FF6" w14:textId="2ABAD99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Фонд 8752 Опись 4 Дело 87 лист 103 – 107</w:t>
      </w:r>
      <w:r w:rsidR="008127F8">
        <w:rPr>
          <w:rFonts w:ascii="Times New Roman" w:hAnsi="Times New Roman"/>
          <w:color w:val="000000" w:themeColor="text1"/>
          <w:sz w:val="16"/>
          <w:szCs w:val="16"/>
        </w:rPr>
        <w:t xml:space="preserve">  </w:t>
      </w:r>
    </w:p>
    <w:p w14:paraId="049D8C45" w14:textId="1D8C79D1"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r w:rsidR="008127F8">
        <w:rPr>
          <w:rFonts w:ascii="Times New Roman" w:hAnsi="Times New Roman"/>
          <w:color w:val="000000" w:themeColor="text1"/>
          <w:sz w:val="16"/>
          <w:szCs w:val="16"/>
        </w:rPr>
        <w:t xml:space="preserve">  </w:t>
      </w:r>
    </w:p>
    <w:p w14:paraId="2B1AECC3"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Срочно.</w:t>
      </w:r>
    </w:p>
    <w:p w14:paraId="42F9C96F"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w:t>
      </w:r>
    </w:p>
    <w:p w14:paraId="03B183F1"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НАРОДНОМУ КОМИССАРИАТУ ТАНКОВОЙ ПРОМЫШЛЕННОСТИ СОЮЗА ССР</w:t>
      </w:r>
    </w:p>
    <w:p w14:paraId="4C1F5525"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326сc</w:t>
      </w:r>
    </w:p>
    <w:p w14:paraId="691246CE"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7D3328EB"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w:t>
      </w:r>
    </w:p>
    <w:p w14:paraId="2EB5C8A4" w14:textId="35FBCA9D"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от 4 апреля 1942 г. за № 1538сс "о вооружении танков огнеметами АТО-41", – ПРИКАЗЫВАЮ:</w:t>
      </w:r>
      <w:r w:rsidR="008127F8">
        <w:rPr>
          <w:rFonts w:ascii="Times New Roman" w:hAnsi="Times New Roman"/>
          <w:color w:val="000000" w:themeColor="text1"/>
          <w:sz w:val="16"/>
          <w:szCs w:val="16"/>
        </w:rPr>
        <w:t xml:space="preserve">  </w:t>
      </w:r>
    </w:p>
    <w:p w14:paraId="0EDF0C6E" w14:textId="56D2A714"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заводов Кировского т. Махонину, № 183 т. Зальцман, № 112 т. Михалеву, СТЗ т. Задорожному и № 222 т. Пышкину – приступить к установке огнемета АТО-41 в танки КВ и Т-О34 со следующей тактико-технической характеристикой, утвержденной постановлением ГОКО:</w:t>
      </w:r>
      <w:r w:rsidR="008127F8">
        <w:rPr>
          <w:rFonts w:ascii="Times New Roman" w:hAnsi="Times New Roman"/>
          <w:color w:val="000000" w:themeColor="text1"/>
          <w:sz w:val="16"/>
          <w:szCs w:val="16"/>
        </w:rPr>
        <w:t xml:space="preserve">  </w:t>
      </w:r>
    </w:p>
    <w:p w14:paraId="1DEC8B10" w14:textId="13263814"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наименование огнемета – автоматический танковый огнемет обр. 1941 г. (АТО-41), тип – десятилитровый, пороховой;</w:t>
      </w:r>
      <w:r w:rsidR="008127F8">
        <w:rPr>
          <w:rFonts w:ascii="Times New Roman" w:hAnsi="Times New Roman"/>
          <w:color w:val="000000" w:themeColor="text1"/>
          <w:sz w:val="16"/>
          <w:szCs w:val="16"/>
        </w:rPr>
        <w:t xml:space="preserve">  </w:t>
      </w:r>
    </w:p>
    <w:p w14:paraId="169FBA02" w14:textId="4F51EDC9"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дальность огнеметания:</w:t>
      </w:r>
      <w:r w:rsidR="008127F8">
        <w:rPr>
          <w:rFonts w:ascii="Times New Roman" w:hAnsi="Times New Roman"/>
          <w:color w:val="000000" w:themeColor="text1"/>
          <w:sz w:val="16"/>
          <w:szCs w:val="16"/>
        </w:rPr>
        <w:t xml:space="preserve">  </w:t>
      </w:r>
    </w:p>
    <w:p w14:paraId="08AFA65D" w14:textId="72B4C1C5"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огнесмесях типа мазут, нефть, газойль – не менее 60 м.</w:t>
      </w:r>
      <w:r w:rsidR="008127F8">
        <w:rPr>
          <w:rFonts w:ascii="Times New Roman" w:hAnsi="Times New Roman"/>
          <w:color w:val="000000" w:themeColor="text1"/>
          <w:sz w:val="16"/>
          <w:szCs w:val="16"/>
        </w:rPr>
        <w:t xml:space="preserve">  </w:t>
      </w:r>
    </w:p>
    <w:p w14:paraId="558DE3C6" w14:textId="48FFE5B1"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вязкой огнесмеси – не менее 90 м.;</w:t>
      </w:r>
      <w:r w:rsidR="008127F8">
        <w:rPr>
          <w:rFonts w:ascii="Times New Roman" w:hAnsi="Times New Roman"/>
          <w:color w:val="000000" w:themeColor="text1"/>
          <w:sz w:val="16"/>
          <w:szCs w:val="16"/>
        </w:rPr>
        <w:t xml:space="preserve">  </w:t>
      </w:r>
    </w:p>
    <w:p w14:paraId="3F68004A" w14:textId="69DAF564"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запас огнесмеси:</w:t>
      </w:r>
      <w:r w:rsidR="008127F8">
        <w:rPr>
          <w:rFonts w:ascii="Times New Roman" w:hAnsi="Times New Roman"/>
          <w:color w:val="000000" w:themeColor="text1"/>
          <w:sz w:val="16"/>
          <w:szCs w:val="16"/>
        </w:rPr>
        <w:t xml:space="preserve">  </w:t>
      </w:r>
    </w:p>
    <w:p w14:paraId="13DFFD2A" w14:textId="2ADDF7D0"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танках Т-О34 – 10–12 выстрелов,</w:t>
      </w:r>
      <w:r w:rsidR="008127F8">
        <w:rPr>
          <w:rFonts w:ascii="Times New Roman" w:hAnsi="Times New Roman"/>
          <w:color w:val="000000" w:themeColor="text1"/>
          <w:sz w:val="16"/>
          <w:szCs w:val="16"/>
        </w:rPr>
        <w:t xml:space="preserve">  </w:t>
      </w:r>
    </w:p>
    <w:p w14:paraId="12FFE56A" w14:textId="5046C5F2"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танках КВ-8 – 52–57 выстрелов;</w:t>
      </w:r>
      <w:r w:rsidR="008127F8">
        <w:rPr>
          <w:rFonts w:ascii="Times New Roman" w:hAnsi="Times New Roman"/>
          <w:color w:val="000000" w:themeColor="text1"/>
          <w:sz w:val="16"/>
          <w:szCs w:val="16"/>
        </w:rPr>
        <w:t xml:space="preserve">  </w:t>
      </w:r>
    </w:p>
    <w:p w14:paraId="7E10CCF9" w14:textId="0BC92BD4"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объем одного выстрела – 10 литров;</w:t>
      </w:r>
      <w:r w:rsidR="008127F8">
        <w:rPr>
          <w:rFonts w:ascii="Times New Roman" w:hAnsi="Times New Roman"/>
          <w:color w:val="000000" w:themeColor="text1"/>
          <w:sz w:val="16"/>
          <w:szCs w:val="16"/>
        </w:rPr>
        <w:t xml:space="preserve">  </w:t>
      </w:r>
    </w:p>
    <w:p w14:paraId="659478DF" w14:textId="6D9B3C06"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место установки огнемета:</w:t>
      </w:r>
      <w:r w:rsidR="008127F8">
        <w:rPr>
          <w:rFonts w:ascii="Times New Roman" w:hAnsi="Times New Roman"/>
          <w:color w:val="000000" w:themeColor="text1"/>
          <w:sz w:val="16"/>
          <w:szCs w:val="16"/>
        </w:rPr>
        <w:t xml:space="preserve">  </w:t>
      </w:r>
    </w:p>
    <w:p w14:paraId="0BEDEC24" w14:textId="69443BC5"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танках Т-О34 впереди, справа от водителя (на месте пулемета радиста),</w:t>
      </w:r>
      <w:r w:rsidR="008127F8">
        <w:rPr>
          <w:rFonts w:ascii="Times New Roman" w:hAnsi="Times New Roman"/>
          <w:color w:val="000000" w:themeColor="text1"/>
          <w:sz w:val="16"/>
          <w:szCs w:val="16"/>
        </w:rPr>
        <w:t xml:space="preserve">  </w:t>
      </w:r>
    </w:p>
    <w:p w14:paraId="4188CE7C" w14:textId="504EAB59"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танках КВ-8 в башне, в спарке с 45 мм пушкой, замаскированной под 76 мм пушку;</w:t>
      </w:r>
      <w:r w:rsidR="008127F8">
        <w:rPr>
          <w:rFonts w:ascii="Times New Roman" w:hAnsi="Times New Roman"/>
          <w:color w:val="000000" w:themeColor="text1"/>
          <w:sz w:val="16"/>
          <w:szCs w:val="16"/>
        </w:rPr>
        <w:t xml:space="preserve">  </w:t>
      </w:r>
    </w:p>
    <w:p w14:paraId="386647BC" w14:textId="0D751FC3"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углы наводки:</w:t>
      </w:r>
      <w:r w:rsidR="008127F8">
        <w:rPr>
          <w:rFonts w:ascii="Times New Roman" w:hAnsi="Times New Roman"/>
          <w:color w:val="000000" w:themeColor="text1"/>
          <w:sz w:val="16"/>
          <w:szCs w:val="16"/>
        </w:rPr>
        <w:t xml:space="preserve">  </w:t>
      </w:r>
    </w:p>
    <w:p w14:paraId="46DAC539" w14:textId="5F7B6255"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танках Т-О34 угол возвышения плюс 10˚, угол снижения минус 2˚, горизонтальный сектор 12˚ – 15˚,</w:t>
      </w:r>
      <w:r w:rsidR="008127F8">
        <w:rPr>
          <w:rFonts w:ascii="Times New Roman" w:hAnsi="Times New Roman"/>
          <w:color w:val="000000" w:themeColor="text1"/>
          <w:sz w:val="16"/>
          <w:szCs w:val="16"/>
        </w:rPr>
        <w:t xml:space="preserve">  </w:t>
      </w:r>
    </w:p>
    <w:p w14:paraId="51CCF1F3" w14:textId="7083EB63"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танках КВ-8 угол возвышения плюс 25˚, угол снижения минус 5˚, горизонтальный угол наводки – 360˚;</w:t>
      </w:r>
      <w:r w:rsidR="008127F8">
        <w:rPr>
          <w:rFonts w:ascii="Times New Roman" w:hAnsi="Times New Roman"/>
          <w:color w:val="000000" w:themeColor="text1"/>
          <w:sz w:val="16"/>
          <w:szCs w:val="16"/>
        </w:rPr>
        <w:t xml:space="preserve">  </w:t>
      </w:r>
    </w:p>
    <w:p w14:paraId="3E6AD3BD" w14:textId="26098FC0"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экипаж:</w:t>
      </w:r>
      <w:r w:rsidR="008127F8">
        <w:rPr>
          <w:rFonts w:ascii="Times New Roman" w:hAnsi="Times New Roman"/>
          <w:color w:val="000000" w:themeColor="text1"/>
          <w:sz w:val="16"/>
          <w:szCs w:val="16"/>
        </w:rPr>
        <w:t xml:space="preserve">  </w:t>
      </w:r>
    </w:p>
    <w:p w14:paraId="2349D90C" w14:textId="41C5B57D"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танках КВ-8 – четыре чел.,</w:t>
      </w:r>
      <w:r w:rsidR="008127F8">
        <w:rPr>
          <w:rFonts w:ascii="Times New Roman" w:hAnsi="Times New Roman"/>
          <w:color w:val="000000" w:themeColor="text1"/>
          <w:sz w:val="16"/>
          <w:szCs w:val="16"/>
        </w:rPr>
        <w:t xml:space="preserve">  </w:t>
      </w:r>
    </w:p>
    <w:p w14:paraId="63185D9A" w14:textId="49EE996A"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танках Т-О34 – три чел.</w:t>
      </w:r>
      <w:r w:rsidR="008127F8">
        <w:rPr>
          <w:rFonts w:ascii="Times New Roman" w:hAnsi="Times New Roman"/>
          <w:color w:val="000000" w:themeColor="text1"/>
          <w:sz w:val="16"/>
          <w:szCs w:val="16"/>
        </w:rPr>
        <w:t xml:space="preserve">  </w:t>
      </w:r>
    </w:p>
    <w:p w14:paraId="38CBB849" w14:textId="14C01DDC"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Считать завод № 222 заводом изготовителем танковых огнеметов.</w:t>
      </w:r>
      <w:r w:rsidR="008127F8">
        <w:rPr>
          <w:rFonts w:ascii="Times New Roman" w:hAnsi="Times New Roman"/>
          <w:color w:val="000000" w:themeColor="text1"/>
          <w:sz w:val="16"/>
          <w:szCs w:val="16"/>
        </w:rPr>
        <w:t xml:space="preserve">  </w:t>
      </w:r>
    </w:p>
    <w:p w14:paraId="7A698C1A" w14:textId="03F36EA3"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следующий план выпуска танков КВ-8 и Т-О34, с установкой огнемета АТО-41, на заводах Кировском, № 183, № 112 и СТЗ.</w:t>
      </w:r>
      <w:r w:rsidR="008127F8">
        <w:rPr>
          <w:rFonts w:ascii="Times New Roman" w:hAnsi="Times New Roman"/>
          <w:color w:val="000000" w:themeColor="text1"/>
          <w:sz w:val="16"/>
          <w:szCs w:val="16"/>
        </w:rPr>
        <w:t xml:space="preserve">  </w:t>
      </w:r>
    </w:p>
    <w:p w14:paraId="3E30BB81" w14:textId="5FE368A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для завода № 222 выпуск огнеметов АТО-41 во 2-м квартале 1942 г. и поставку танковым заводам, с обеспечением необходимых заделов для выпуска танков.</w:t>
      </w:r>
      <w:r w:rsidR="008127F8">
        <w:rPr>
          <w:rFonts w:ascii="Times New Roman" w:hAnsi="Times New Roman"/>
          <w:color w:val="000000" w:themeColor="text1"/>
          <w:sz w:val="16"/>
          <w:szCs w:val="16"/>
        </w:rPr>
        <w:t xml:space="preserve">  </w:t>
      </w:r>
    </w:p>
    <w:p w14:paraId="6E9619A7" w14:textId="5C0739F1"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Установить заводу № 222 следующий график суточного выпуска огнеметов АТО-41 во втором квартале 1942 г.</w:t>
      </w:r>
      <w:r w:rsidR="008127F8">
        <w:rPr>
          <w:rFonts w:ascii="Times New Roman" w:hAnsi="Times New Roman"/>
          <w:color w:val="000000" w:themeColor="text1"/>
          <w:sz w:val="16"/>
          <w:szCs w:val="16"/>
        </w:rPr>
        <w:t xml:space="preserve">  </w:t>
      </w:r>
    </w:p>
    <w:p w14:paraId="0F631B0D" w14:textId="5F55DE3B"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завода № 222 т. Пышкину:</w:t>
      </w:r>
      <w:r w:rsidR="008127F8">
        <w:rPr>
          <w:rFonts w:ascii="Times New Roman" w:hAnsi="Times New Roman"/>
          <w:color w:val="000000" w:themeColor="text1"/>
          <w:sz w:val="16"/>
          <w:szCs w:val="16"/>
        </w:rPr>
        <w:t xml:space="preserve">  </w:t>
      </w:r>
    </w:p>
    <w:p w14:paraId="68116D1B" w14:textId="0CC93C02"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 мая с/г. устранить все недостатки, отмеченные актами испытания огнеметов и обеспечить безотказную работу всех узлов и деталей огнемета АТО-41;</w:t>
      </w:r>
      <w:r w:rsidR="008127F8">
        <w:rPr>
          <w:rFonts w:ascii="Times New Roman" w:hAnsi="Times New Roman"/>
          <w:color w:val="000000" w:themeColor="text1"/>
          <w:sz w:val="16"/>
          <w:szCs w:val="16"/>
        </w:rPr>
        <w:t xml:space="preserve">  </w:t>
      </w:r>
    </w:p>
    <w:p w14:paraId="7F93852A" w14:textId="3DB7A5F1"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подготовить к 1 июля производственные мощности на ежемесячный выпуск 400 огнеметов;</w:t>
      </w:r>
      <w:r w:rsidR="008127F8">
        <w:rPr>
          <w:rFonts w:ascii="Times New Roman" w:hAnsi="Times New Roman"/>
          <w:color w:val="000000" w:themeColor="text1"/>
          <w:sz w:val="16"/>
          <w:szCs w:val="16"/>
        </w:rPr>
        <w:t xml:space="preserve">  </w:t>
      </w:r>
    </w:p>
    <w:p w14:paraId="59688CB9" w14:textId="62CDF5D0"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одновременно с отправкой первых огнеметов мартовского выпуска, командировать на заводы № 183, № 112 и СТЗ по одному конструктору эксплоатационщику, для оказания техпомощи на месте, с полным комплектом чертежей и техусловий АТО-41.</w:t>
      </w:r>
      <w:r w:rsidR="008127F8">
        <w:rPr>
          <w:rFonts w:ascii="Times New Roman" w:hAnsi="Times New Roman"/>
          <w:color w:val="000000" w:themeColor="text1"/>
          <w:sz w:val="16"/>
          <w:szCs w:val="16"/>
        </w:rPr>
        <w:t xml:space="preserve">  </w:t>
      </w:r>
    </w:p>
    <w:p w14:paraId="1AEB87C6" w14:textId="71CFD3AC"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Установить следующий график суточного выпуска танков КВ-8 и Т-О34 с установкой огнеметов АТО-41 на заводах Кировском, № 183, № 112 и СТЗ.</w:t>
      </w:r>
      <w:r w:rsidR="008127F8">
        <w:rPr>
          <w:rFonts w:ascii="Times New Roman" w:hAnsi="Times New Roman"/>
          <w:color w:val="000000" w:themeColor="text1"/>
          <w:sz w:val="16"/>
          <w:szCs w:val="16"/>
        </w:rPr>
        <w:t xml:space="preserve">  </w:t>
      </w:r>
    </w:p>
    <w:p w14:paraId="58C4865A" w14:textId="6D113EAC"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Директору завода № 222 т. Пышкину, начальнику Главснаба т. Розину, зам. начальника 1 отдела т. Давтян учесть, что указанным постановлением ГОКО:</w:t>
      </w:r>
      <w:r w:rsidR="008127F8">
        <w:rPr>
          <w:rFonts w:ascii="Times New Roman" w:hAnsi="Times New Roman"/>
          <w:color w:val="000000" w:themeColor="text1"/>
          <w:sz w:val="16"/>
          <w:szCs w:val="16"/>
        </w:rPr>
        <w:t xml:space="preserve">  </w:t>
      </w:r>
    </w:p>
    <w:p w14:paraId="06631938" w14:textId="5539586A"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Наркомат минометного вооружения (т. Паршин) обязан поставить Наркомтанкопрому во втором квартале 1942 г.:</w:t>
      </w:r>
      <w:r w:rsidR="008127F8">
        <w:rPr>
          <w:rFonts w:ascii="Times New Roman" w:hAnsi="Times New Roman"/>
          <w:color w:val="000000" w:themeColor="text1"/>
          <w:sz w:val="16"/>
          <w:szCs w:val="16"/>
        </w:rPr>
        <w:t xml:space="preserve">  </w:t>
      </w:r>
    </w:p>
    <w:p w14:paraId="22CB29C0" w14:textId="239287ED"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Наркомат авиационной промышленности обязан поставить Наркомтанкопрому во 2-м квартале 1942 г. бобины "КП-4716" на 12 вольт в количестве 1750 шт., в том числе в апреле 400 шт., мае 600 шт., июне 750 шт.</w:t>
      </w:r>
      <w:r w:rsidR="008127F8">
        <w:rPr>
          <w:rFonts w:ascii="Times New Roman" w:hAnsi="Times New Roman"/>
          <w:color w:val="000000" w:themeColor="text1"/>
          <w:sz w:val="16"/>
          <w:szCs w:val="16"/>
        </w:rPr>
        <w:t xml:space="preserve">  </w:t>
      </w:r>
    </w:p>
    <w:p w14:paraId="670D6B43" w14:textId="78A1B1E8"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Нач. отдела главного механика и энергетика НКТП тов. БЕЛИКУ и зам. начальника 2-го отдела НКТП т. ГИНЗБУРГ подобрать в апреле с/г. из числа не установленного неиспользуемого оборудования на заводах НКТП (по заявке завода № 222) металлорежущие станки в пределах 100 единиц.</w:t>
      </w:r>
      <w:r w:rsidR="008127F8">
        <w:rPr>
          <w:rFonts w:ascii="Times New Roman" w:hAnsi="Times New Roman"/>
          <w:color w:val="000000" w:themeColor="text1"/>
          <w:sz w:val="16"/>
          <w:szCs w:val="16"/>
        </w:rPr>
        <w:t xml:space="preserve">  </w:t>
      </w:r>
    </w:p>
    <w:p w14:paraId="08D8D23E" w14:textId="38523272"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Начальнику Главснаба т. Розину:</w:t>
      </w:r>
      <w:r w:rsidR="008127F8">
        <w:rPr>
          <w:rFonts w:ascii="Times New Roman" w:hAnsi="Times New Roman"/>
          <w:color w:val="000000" w:themeColor="text1"/>
          <w:sz w:val="16"/>
          <w:szCs w:val="16"/>
        </w:rPr>
        <w:t xml:space="preserve">  </w:t>
      </w:r>
    </w:p>
    <w:p w14:paraId="01065364" w14:textId="1CE098E8"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9 апреля с/г. представить в Госплан Союза ССР заявки н необходимое оборудование и материалы для выпуска огнеметных танков и огнеметов к ним, учтя, что указанным постановлением ГОКО, Госплан Союза ССР обязан в 5-дневный срок рассмотреть заявки Наркомтанкопрома, Наркомата боеприпасов и Наркомата минометного вооружения на дополнительное оборудование и материалы, необходимые для обеспечения выпуска огнеметных танков и огнеметов к ним;</w:t>
      </w:r>
      <w:r w:rsidR="008127F8">
        <w:rPr>
          <w:rFonts w:ascii="Times New Roman" w:hAnsi="Times New Roman"/>
          <w:color w:val="000000" w:themeColor="text1"/>
          <w:sz w:val="16"/>
          <w:szCs w:val="16"/>
        </w:rPr>
        <w:t xml:space="preserve">  </w:t>
      </w:r>
    </w:p>
    <w:p w14:paraId="6AB9E603" w14:textId="6EB513B6"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завод № 222, заводы Кировский, № 183, № 112 и СТЗ всеми необходимыми материалами, инструментом и готовыми деталями в количествах и сроки, обеспечивающие выполнение настоящего постановления ГОКО и создания переходящих заделов;</w:t>
      </w:r>
      <w:r w:rsidR="008127F8">
        <w:rPr>
          <w:rFonts w:ascii="Times New Roman" w:hAnsi="Times New Roman"/>
          <w:color w:val="000000" w:themeColor="text1"/>
          <w:sz w:val="16"/>
          <w:szCs w:val="16"/>
        </w:rPr>
        <w:t xml:space="preserve">  </w:t>
      </w:r>
    </w:p>
    <w:p w14:paraId="78B9F441" w14:textId="38C21206"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выделить заводу № 222 га апрель – май месяцы с/г. 500 рулонов светочувствительной бумаги для размножения чертежей и др. техдокументации;</w:t>
      </w:r>
      <w:r w:rsidR="008127F8">
        <w:rPr>
          <w:rFonts w:ascii="Times New Roman" w:hAnsi="Times New Roman"/>
          <w:color w:val="000000" w:themeColor="text1"/>
          <w:sz w:val="16"/>
          <w:szCs w:val="16"/>
        </w:rPr>
        <w:t xml:space="preserve">  </w:t>
      </w:r>
    </w:p>
    <w:p w14:paraId="10DC4DE3" w14:textId="3D4529DD"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в трехдневный срок представить заявку в НКО (ГАБТУ КА) на патроны к огнемету АТО-41 для испытания и комплектации, и обеспечить своевременную поставку патрон заводам.</w:t>
      </w:r>
      <w:r w:rsidR="008127F8">
        <w:rPr>
          <w:rFonts w:ascii="Times New Roman" w:hAnsi="Times New Roman"/>
          <w:color w:val="000000" w:themeColor="text1"/>
          <w:sz w:val="16"/>
          <w:szCs w:val="16"/>
        </w:rPr>
        <w:t xml:space="preserve">  </w:t>
      </w:r>
    </w:p>
    <w:p w14:paraId="6EA4C312" w14:textId="0CB1629F"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Директору завода № 222 т. Пышкину и зам. начальника 1 отдела т. Давтян организовать с 10 апреля с/г. ежедневную регулярную связь завода с оперативной группой Наркомата в Челябинске.</w:t>
      </w:r>
      <w:r w:rsidR="008127F8">
        <w:rPr>
          <w:rFonts w:ascii="Times New Roman" w:hAnsi="Times New Roman"/>
          <w:color w:val="000000" w:themeColor="text1"/>
          <w:sz w:val="16"/>
          <w:szCs w:val="16"/>
        </w:rPr>
        <w:t xml:space="preserve">  </w:t>
      </w:r>
    </w:p>
    <w:p w14:paraId="41DC7FED" w14:textId="70F8F0D1"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Установить, что отправка готовых огнеметов с завода № 222 должна производиться не позже суток по их поступлению на склад завода. Зам. начальника 1 отдела т. Давтян совместно с Транспортным отделом т. Косолаповым дать указание о порядке перевозок, обеспечивающих выполнение графика суточного выпуска танковых заводов.</w:t>
      </w:r>
      <w:r w:rsidR="008127F8">
        <w:rPr>
          <w:rFonts w:ascii="Times New Roman" w:hAnsi="Times New Roman"/>
          <w:color w:val="000000" w:themeColor="text1"/>
          <w:sz w:val="16"/>
          <w:szCs w:val="16"/>
        </w:rPr>
        <w:t xml:space="preserve">  </w:t>
      </w:r>
    </w:p>
    <w:p w14:paraId="432480A3" w14:textId="1977EF1F"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Директору Кировского завода т. Махонину:</w:t>
      </w:r>
      <w:r w:rsidR="008127F8">
        <w:rPr>
          <w:rFonts w:ascii="Times New Roman" w:hAnsi="Times New Roman"/>
          <w:color w:val="000000" w:themeColor="text1"/>
          <w:sz w:val="16"/>
          <w:szCs w:val="16"/>
        </w:rPr>
        <w:t xml:space="preserve">  </w:t>
      </w:r>
    </w:p>
    <w:p w14:paraId="6A67C960" w14:textId="61F542DF"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оказать немедленную помощь заводу № 222 по его пуску, командировав на место главного механика для определения объема работ, составления графика первоочередных работ по изготовлению деталей, пуска электростанции и термической;</w:t>
      </w:r>
      <w:r w:rsidR="008127F8">
        <w:rPr>
          <w:rFonts w:ascii="Times New Roman" w:hAnsi="Times New Roman"/>
          <w:color w:val="000000" w:themeColor="text1"/>
          <w:sz w:val="16"/>
          <w:szCs w:val="16"/>
        </w:rPr>
        <w:t xml:space="preserve">  </w:t>
      </w:r>
    </w:p>
    <w:p w14:paraId="2AA551C0" w14:textId="12846130"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передать заводу № 222 – три трактора.</w:t>
      </w:r>
      <w:r w:rsidR="008127F8">
        <w:rPr>
          <w:rFonts w:ascii="Times New Roman" w:hAnsi="Times New Roman"/>
          <w:color w:val="000000" w:themeColor="text1"/>
          <w:sz w:val="16"/>
          <w:szCs w:val="16"/>
        </w:rPr>
        <w:t xml:space="preserve">  </w:t>
      </w:r>
    </w:p>
    <w:p w14:paraId="233DFF7B" w14:textId="0D35D87F"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Директору завода № 222 т. Пышкину разработать график пуска 3-х дизелей электростанции и термической с расчетом окончания работ в текущем месяце.</w:t>
      </w:r>
      <w:r w:rsidR="008127F8">
        <w:rPr>
          <w:rFonts w:ascii="Times New Roman" w:hAnsi="Times New Roman"/>
          <w:color w:val="000000" w:themeColor="text1"/>
          <w:sz w:val="16"/>
          <w:szCs w:val="16"/>
        </w:rPr>
        <w:t xml:space="preserve">  </w:t>
      </w:r>
    </w:p>
    <w:p w14:paraId="1C7EC529"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Начальнику Финансово-бухгалтерского отдела тов. Шагалову: выделить в распоряжение директора завода № 222 т. Пышкина 200 тыс. рублей для премирования особо отличившихся рабочих и ИТР в освоении производства танковых огнеметов и за выполнение графика.</w:t>
      </w:r>
    </w:p>
    <w:p w14:paraId="465E8791"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ТАНКОВОЙ ПРОМЫШЛЕННОСТИ СССР</w:t>
      </w:r>
    </w:p>
    <w:p w14:paraId="33839F11"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 (А. ГОРЕГЛЯД) (18927).</w:t>
      </w:r>
    </w:p>
    <w:p w14:paraId="5B7A1D66" w14:textId="77777777" w:rsidR="00E20FF9" w:rsidRPr="008127F8" w:rsidRDefault="00E20FF9" w:rsidP="001E0A84">
      <w:pPr>
        <w:spacing w:after="0" w:line="240" w:lineRule="auto"/>
        <w:jc w:val="both"/>
        <w:rPr>
          <w:rFonts w:ascii="Times New Roman" w:hAnsi="Times New Roman"/>
          <w:color w:val="000000" w:themeColor="text1"/>
          <w:sz w:val="16"/>
          <w:szCs w:val="16"/>
        </w:rPr>
      </w:pPr>
    </w:p>
    <w:p w14:paraId="76C6C42B"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года группа Синельщикова представила проект, именовавшийся как 122-СГ, рассмотрели члены арткома, после чего он был утвержден заместителем начальника ГАУ и председателем арткома генерал-майором Хохловым. При этом в протоколе заседания, на котором рассматривались вопросы самоходной артиллерии, отмечалась необходимость срочного изготовления опытного образца СГ-122.</w:t>
      </w:r>
    </w:p>
    <w:p w14:paraId="426097F6" w14:textId="75B5827A"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проекте машины предусматривалось использовать без изменений вращающаяся часть гаубицы М-30. В качестве нижнего станка применялась тумба специальной конструкции, которую предполагалось отливать. Из-за значительно больших габаритов М-30 (по сравнению с 75-мм пушкой </w:t>
      </w:r>
      <w:proofErr w:type="gramStart"/>
      <w:r w:rsidRPr="008127F8">
        <w:rPr>
          <w:rFonts w:ascii="Times New Roman" w:hAnsi="Times New Roman"/>
          <w:color w:val="000000" w:themeColor="text1"/>
          <w:sz w:val="16"/>
          <w:szCs w:val="16"/>
        </w:rPr>
        <w:t>StuG</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III</w:t>
      </w:r>
      <w:proofErr w:type="gramEnd"/>
      <w:r w:rsidRPr="008127F8">
        <w:rPr>
          <w:rFonts w:ascii="Times New Roman" w:hAnsi="Times New Roman"/>
          <w:color w:val="000000" w:themeColor="text1"/>
          <w:sz w:val="16"/>
          <w:szCs w:val="16"/>
        </w:rPr>
        <w:t>) рубка самоходки увеличивалась по высоте на 100 мм.</w:t>
      </w:r>
    </w:p>
    <w:p w14:paraId="0EB29967" w14:textId="5D423242"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установки М-30 на </w:t>
      </w:r>
      <w:proofErr w:type="gramStart"/>
      <w:r w:rsidRPr="008127F8">
        <w:rPr>
          <w:rFonts w:ascii="Times New Roman" w:hAnsi="Times New Roman"/>
          <w:color w:val="000000" w:themeColor="text1"/>
          <w:sz w:val="16"/>
          <w:szCs w:val="16"/>
        </w:rPr>
        <w:t>StuG</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III</w:t>
      </w:r>
      <w:proofErr w:type="gramEnd"/>
      <w:r w:rsidRPr="008127F8">
        <w:rPr>
          <w:rFonts w:ascii="Times New Roman" w:hAnsi="Times New Roman"/>
          <w:color w:val="000000" w:themeColor="text1"/>
          <w:sz w:val="16"/>
          <w:szCs w:val="16"/>
        </w:rPr>
        <w:t xml:space="preserve"> масса последней, по расчетам, увеличивалась примерно на 2500 килограмм за счет самой гаубицы (120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боекомплекта (900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 дополнительных бронелистов (400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w:t>
      </w:r>
    </w:p>
    <w:p w14:paraId="74B3C082"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обсуждения отмечалось, что «вследствие навешивания бронезащиты на противооткатные устройства гаубицы М-30 имеется сомнение в сохранении усилий на подъемном и поворотном механизмах».</w:t>
      </w:r>
    </w:p>
    <w:p w14:paraId="2EED2EFE"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по проекту говорилось:</w:t>
      </w:r>
    </w:p>
    <w:p w14:paraId="5C30922D" w14:textId="37C1F5B6"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Представленный эскизный проект 122-мм гаубичной самоходной установки 122-СГ на базе шасси трофейного самохода „Артштурм“ одобрить и принять для разработки технического проекта и изготовления опытного образца с внесением изменений согласно замечаний.</w:t>
      </w:r>
    </w:p>
    <w:p w14:paraId="4E64A243" w14:textId="09FBADA4"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Просить наркомат вооружения об определении производственной базы для производства перевооружения трофейных самоходных установок „Артштурм“ отечественными 122-мм гаубицами М-30 обр. </w:t>
      </w:r>
      <w:proofErr w:type="gramStart"/>
      <w:r w:rsidRPr="008127F8">
        <w:rPr>
          <w:rFonts w:ascii="Times New Roman" w:hAnsi="Times New Roman"/>
          <w:color w:val="000000" w:themeColor="text1"/>
          <w:sz w:val="16"/>
          <w:szCs w:val="16"/>
        </w:rPr>
        <w:t>1938</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p>
    <w:p w14:paraId="05B1BCFC" w14:textId="3B5489C8"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Просить распоряжения начальника ГАБТУ КА о срочном восстановлении двух машин „Артштурм“ и передаче их заводам НКВ».</w:t>
      </w:r>
    </w:p>
    <w:p w14:paraId="0EABBE75" w14:textId="7DB45F46"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изготовления опытного образца самоходки, получившей обозначение СГ-122, нарком вооружения 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Устинов 24 апреля 1942 года подписал приказ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217</w:t>
      </w:r>
      <w:proofErr w:type="gramEnd"/>
      <w:r w:rsidRPr="008127F8">
        <w:rPr>
          <w:rFonts w:ascii="Times New Roman" w:hAnsi="Times New Roman"/>
          <w:color w:val="000000" w:themeColor="text1"/>
          <w:sz w:val="16"/>
          <w:szCs w:val="16"/>
        </w:rPr>
        <w:t>с, которым предписывалось организовать на заводе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НКВ (Мытищи Московской области) специальное конструкторское бюро для работ по новым машинам. Чтобы обеспечить сборку опытных СГ-122 начальник ГАБТУ КА генерал-лейтенант 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Федоренко отдал распоряжение об организации ремонта трофейных «артштурмов» на рембазе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82</w:t>
      </w:r>
      <w:proofErr w:type="gramEnd"/>
      <w:r w:rsidRPr="008127F8">
        <w:rPr>
          <w:rFonts w:ascii="Times New Roman" w:hAnsi="Times New Roman"/>
          <w:color w:val="000000" w:themeColor="text1"/>
          <w:sz w:val="16"/>
          <w:szCs w:val="16"/>
        </w:rPr>
        <w:t xml:space="preserve"> в Москве (12688).</w:t>
      </w:r>
    </w:p>
    <w:p w14:paraId="6DB636BD"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025EDF42" w14:textId="77777777" w:rsidR="0002744C" w:rsidRPr="008127F8" w:rsidRDefault="000274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апреля 1942 проект </w:t>
      </w:r>
      <w:hyperlink r:id="rId104" w:history="1">
        <w:r w:rsidRPr="008127F8">
          <w:rPr>
            <w:rFonts w:ascii="Times New Roman" w:eastAsia="Times New Roman" w:hAnsi="Times New Roman"/>
            <w:color w:val="000000" w:themeColor="text1"/>
            <w:sz w:val="16"/>
            <w:szCs w:val="16"/>
            <w:lang w:eastAsia="ru-RU"/>
          </w:rPr>
          <w:t>САУ 122-СГ</w:t>
        </w:r>
      </w:hyperlink>
      <w:r w:rsidRPr="008127F8">
        <w:rPr>
          <w:rFonts w:ascii="Times New Roman" w:hAnsi="Times New Roman"/>
          <w:color w:val="000000" w:themeColor="text1"/>
          <w:sz w:val="16"/>
          <w:szCs w:val="16"/>
        </w:rPr>
        <w:t xml:space="preserve"> </w:t>
      </w:r>
      <w:r w:rsidRPr="008127F8">
        <w:rPr>
          <w:rFonts w:ascii="Times New Roman" w:eastAsia="Times New Roman" w:hAnsi="Times New Roman"/>
          <w:color w:val="000000" w:themeColor="text1"/>
          <w:sz w:val="16"/>
          <w:szCs w:val="16"/>
          <w:lang w:eastAsia="ru-RU"/>
        </w:rPr>
        <w:t>был рассмотрен Арткомом ГАУ и одобрен.</w:t>
      </w:r>
    </w:p>
    <w:p w14:paraId="0CA79E5A" w14:textId="77777777" w:rsidR="0002744C" w:rsidRPr="008127F8" w:rsidRDefault="0002744C"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Весной 1942 года завод №592 Народного комиссариата вооружения (НКВ), организованный на площадке Мытищинского машиностроительного завода, оказался в авангарде разработки советских средних САУ. В то время, как в Свердловске пытались довести до ума концепцию </w:t>
      </w:r>
      <w:hyperlink r:id="rId105" w:history="1">
        <w:r w:rsidRPr="008127F8">
          <w:rPr>
            <w:rFonts w:ascii="Times New Roman" w:eastAsia="Times New Roman" w:hAnsi="Times New Roman"/>
            <w:color w:val="000000" w:themeColor="text1"/>
            <w:sz w:val="16"/>
            <w:szCs w:val="16"/>
            <w:lang w:eastAsia="ru-RU"/>
          </w:rPr>
          <w:t>85-мм истребителя танков на базе Т-34</w:t>
        </w:r>
      </w:hyperlink>
      <w:r w:rsidRPr="008127F8">
        <w:rPr>
          <w:rFonts w:ascii="Times New Roman" w:eastAsia="Times New Roman" w:hAnsi="Times New Roman"/>
          <w:color w:val="000000" w:themeColor="text1"/>
          <w:sz w:val="16"/>
          <w:szCs w:val="16"/>
          <w:lang w:eastAsia="ru-RU"/>
        </w:rPr>
        <w:t xml:space="preserve">, в Мытищах шли работы по проектированию САУ на базе трофейной </w:t>
      </w:r>
      <w:hyperlink r:id="rId106" w:history="1">
        <w:r w:rsidRPr="008127F8">
          <w:rPr>
            <w:rFonts w:ascii="Times New Roman" w:eastAsia="Times New Roman" w:hAnsi="Times New Roman"/>
            <w:color w:val="000000" w:themeColor="text1"/>
            <w:sz w:val="16"/>
            <w:szCs w:val="16"/>
            <w:lang w:eastAsia="ru-RU"/>
          </w:rPr>
          <w:t>немецкой установки StuG III</w:t>
        </w:r>
      </w:hyperlink>
      <w:r w:rsidRPr="008127F8">
        <w:rPr>
          <w:rFonts w:ascii="Times New Roman" w:eastAsia="Times New Roman" w:hAnsi="Times New Roman"/>
          <w:color w:val="000000" w:themeColor="text1"/>
          <w:sz w:val="16"/>
          <w:szCs w:val="16"/>
          <w:lang w:eastAsia="ru-RU"/>
        </w:rPr>
        <w:t xml:space="preserve">. Разработка не носила инициативного характера – задание на нее выдал Артиллерийский комитет Главного артиллерийского управления Красной Армии (ГАУ КА). Разработанный под руководством Е. В. Синильщикова и С. Г. Перерушева проект </w:t>
      </w:r>
      <w:hyperlink r:id="rId107" w:history="1">
        <w:r w:rsidRPr="008127F8">
          <w:rPr>
            <w:rFonts w:ascii="Times New Roman" w:eastAsia="Times New Roman" w:hAnsi="Times New Roman"/>
            <w:color w:val="000000" w:themeColor="text1"/>
            <w:sz w:val="16"/>
            <w:szCs w:val="16"/>
            <w:lang w:eastAsia="ru-RU"/>
          </w:rPr>
          <w:t>САУ 122-СГ</w:t>
        </w:r>
      </w:hyperlink>
      <w:r w:rsidRPr="008127F8">
        <w:rPr>
          <w:rFonts w:ascii="Times New Roman" w:eastAsia="Times New Roman" w:hAnsi="Times New Roman"/>
          <w:color w:val="000000" w:themeColor="text1"/>
          <w:sz w:val="16"/>
          <w:szCs w:val="16"/>
          <w:lang w:eastAsia="ru-RU"/>
        </w:rPr>
        <w:t xml:space="preserve"> предусматривал перевооружение немецкой самоходки советской 122-мм гаубицей М-30 (17681).</w:t>
      </w:r>
    </w:p>
    <w:p w14:paraId="15729F18" w14:textId="77777777" w:rsidR="0002744C" w:rsidRPr="008127F8" w:rsidRDefault="0002744C" w:rsidP="001E0A84">
      <w:pPr>
        <w:spacing w:after="0" w:line="240" w:lineRule="auto"/>
        <w:jc w:val="both"/>
        <w:rPr>
          <w:rFonts w:ascii="Times New Roman" w:hAnsi="Times New Roman"/>
          <w:color w:val="000000" w:themeColor="text1"/>
          <w:sz w:val="16"/>
          <w:szCs w:val="16"/>
        </w:rPr>
      </w:pPr>
    </w:p>
    <w:p w14:paraId="6811DC4D"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апреля 1942 года в адрес ГАБТУ КА ушел запрос о срочном восстановлении двух StuG III и передачи их для изготовления опытных образцов самоходных установок. 15 апреля, в адрес начальника рембазы №82 военинженера 1-го ранга Белобородова ушло письмо о задании на срочный ремонт 4 шасси StuG III. Первые 2 машины предполагалось отремонтировать к 1 мая, еще 2 к 15 мая. При ремонте снимались орудия, но оставлялись тумбы. Требовалось произвести расчет мощности мотора на возможность установки не только 122-мм гаубицы М-30, но и экранировки носовой части 20-мм броней. В задании площадка для переделки StuG III в 122-СГ не указывалась, но еще 13 апреля ей стал завод №592. Для начала, предполагалось изготовить опытную серию из 8 машин. 20 числа директор завода Д.Ф. Панкратов выслал письмо в ГАБТУ и НКВ с запросом на получение 4 гаубиц М-30 и 1 комплект чертежей, 3 снарядов и зарядов к ним, а также техническую литературу. Все это требовалось для разработки технической документации (23368).</w:t>
      </w:r>
    </w:p>
    <w:p w14:paraId="103D70DC" w14:textId="77777777" w:rsidR="00EF77FA" w:rsidRPr="008A2E5A" w:rsidRDefault="00EF77FA" w:rsidP="00EF77FA">
      <w:pPr>
        <w:spacing w:after="0" w:line="240" w:lineRule="auto"/>
        <w:jc w:val="both"/>
        <w:rPr>
          <w:rFonts w:ascii="Times New Roman" w:hAnsi="Times New Roman"/>
          <w:color w:val="0070C0"/>
          <w:sz w:val="16"/>
          <w:szCs w:val="16"/>
        </w:rPr>
      </w:pPr>
    </w:p>
    <w:p w14:paraId="694E0F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1549 О плане отпуска боеприпасов на апрель месяц 1942 года. РГАНИР, Фонд ГКО, д. 28, лл. 1, 2-5 (11012).</w:t>
      </w:r>
    </w:p>
    <w:p w14:paraId="72AC46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25DB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1551 О Центральном грузовом управлении НКПС. (7029, 12,13-20).</w:t>
      </w:r>
    </w:p>
    <w:p w14:paraId="7F72BB0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EE60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1552 О руководящих кадрах Центрального грузового управления НКПС. (7029, 21).</w:t>
      </w:r>
    </w:p>
    <w:p w14:paraId="724C2BC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3968C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1553 О Главном управлении материально-технического обеспечения НКПС. (7029, 22,23-35).</w:t>
      </w:r>
    </w:p>
    <w:p w14:paraId="0874BC1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14BB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1554 О руководящих кадрах Главного управления материально-технического обеспечения НКПС. (7029, 36-36об.).</w:t>
      </w:r>
    </w:p>
    <w:p w14:paraId="0CA2D1F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E082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1555 О Главном управлении кадров НКПС. (7029, 37,38-48).</w:t>
      </w:r>
    </w:p>
    <w:p w14:paraId="7B6BF5E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C5A1B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1556 О руководящих кадрах Главного управления кадров НКПС. (7029, 49-49об.).</w:t>
      </w:r>
    </w:p>
    <w:p w14:paraId="73DAD58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3F993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1557 О структуре и штатах Политического управления НКПС. (7029, 50,51-55).</w:t>
      </w:r>
    </w:p>
    <w:p w14:paraId="7BE53A0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F00C1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B0C97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974C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апреля</w:t>
      </w:r>
      <w:r w:rsidRPr="008127F8">
        <w:rPr>
          <w:rFonts w:ascii="Times New Roman" w:hAnsi="Times New Roman"/>
          <w:color w:val="000000" w:themeColor="text1"/>
          <w:sz w:val="16"/>
          <w:szCs w:val="16"/>
        </w:rPr>
        <w:t xml:space="preserve"> в 1942 году утреннее сообщение Совинформбюро:</w:t>
      </w:r>
    </w:p>
    <w:p w14:paraId="14A2DEA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6 апреля на фронте каких-либо существенных изменений не произошло.</w:t>
      </w:r>
    </w:p>
    <w:p w14:paraId="47436728"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Архипова (Калининский фронт), преодолевая оборонительные укрепления противника, захватила у немцев 4 орудия, 7 пулемётов, 1.660 снарядов, 432 противогаза и другое вооружение. На другом участке фронта одна наша кавалерийская часть, продолжая успешно отражать контратаки врага, за один день уничтожила 780 немецких солдат и офицеров и 6 танков.</w:t>
      </w:r>
    </w:p>
    <w:p w14:paraId="7FD94AD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немцы бросили в контратаку пехотную часть, поддержанную танками. Наши артиллеристы обрушили на врага шквальный огонь. Огнём наших батарей подбито 5 немецких танков, рассеян и частью уничтожен батальон немецкой пехоты.</w:t>
      </w:r>
    </w:p>
    <w:p w14:paraId="4E19D84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Советские лётчики-истребители тт. Соколов, Красиков, Семёнов и Шеремет встретили в воздухе 11 немецких истребителей. Несмотря на численное превосходство противника, наши лётчики атаковали вражеские самолёты и сбили 4 машины. Остальные немецкие самолёты вышли из боя. Все наши истребители благополучно вернулись на свой аэродром.</w:t>
      </w:r>
    </w:p>
    <w:p w14:paraId="5089F2A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танка под командованием лейтенанта Крещеновского участвовал в 60 боях против немецко-фашистских захватчиков. Огнём и гусеницами отважные танкисты уничтожили 51 немецкое противотанковое орудие, 4 миномётных батареи, 3 тяжёлых орудия, 7 лёгких и 5 средних танков и до батальона немецких солдат.</w:t>
      </w:r>
    </w:p>
    <w:p w14:paraId="572FD879"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З., действующий в тылу немецких войск на Калининском фронте, перерезав важную дорогу, выбил немецкие гарнизоны из пяти населённых пунктов и закрепился в них. Все попытки гитлеровцев вновь захватить эти деревни не увенчались успехом.</w:t>
      </w:r>
    </w:p>
    <w:p w14:paraId="61907CF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Захваченный в плен ефрейтор 2 эскадрона разведотряда 257 немецкой пехотной дивизии Альберт Арндт рассказал: «Наш эскадрон почти полностью уничтожен. В нём было 140 солдат. К 10 марта в эскадроне осталось всего 6 человек. Настроение у солдат угнетённое. Они хотят скорейшего окончания войны».</w:t>
      </w:r>
    </w:p>
    <w:p w14:paraId="7F15DB0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Готфрида найдено письмо от жены из Мариенвейера. В письме говорится: «Невозможно больше переносить тяготы войны. Заботы и горе совсем убивают. Ганс не пишет уже с 8 декабря... Ты, бедный Готфрид, ноги обморозил, и к тому же ещё ревматизм. С больными ногами тебе нельзя больше воевать. Тебя должны сменить. Это ведь несправедливо. Или уже дошло до того, что всем надо умереть? Прямо ужасно!.. По соседству с нами находится лазарет, в котором лежат солдаты с обмороженными конечностями, чего только там не увидишь!.. Это ужасно!.. Лучше не вдумываться в создавшееся положение, иначе сойдёшь с ума» (15091).</w:t>
      </w:r>
    </w:p>
    <w:p w14:paraId="047F8AB6"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2BF9176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апреля</w:t>
      </w:r>
      <w:r w:rsidRPr="008127F8">
        <w:rPr>
          <w:rFonts w:ascii="Times New Roman" w:hAnsi="Times New Roman"/>
          <w:color w:val="000000" w:themeColor="text1"/>
          <w:sz w:val="16"/>
          <w:szCs w:val="16"/>
        </w:rPr>
        <w:t xml:space="preserve"> в 1942 году вечернее сообщение Совинформбюро:</w:t>
      </w:r>
    </w:p>
    <w:p w14:paraId="0E036F2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6 апреля на фронте чего-либо существенного не произошло.</w:t>
      </w:r>
    </w:p>
    <w:p w14:paraId="34CB455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апреля сбито в воздушных боях и уничтожено на аэродромах противника 119 немецких самолётов. Наши потери — 17 самолётов.</w:t>
      </w:r>
    </w:p>
    <w:p w14:paraId="752FFA3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апреля частями нашей авиации уничтожено или повреждено 2 немецких танка, 50 автомашин с войсками и грузами, 30 подвод с боеприпасами, 2 автоцистерны с горючим, 16 толевых и зенитных орудий, 2 прожектора, разрушено 12 железнодорожных вагонов, сбит аэростат наблюдения, взорвано 2 склада с боеприпасами и 1 склад с горючим, рассеяно и частью уничтожено до 3 рот пехоты противника.</w:t>
      </w:r>
    </w:p>
    <w:p w14:paraId="4C9EE12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29 марта по 4 апреля немецкая авиация потеряла 296 самолётов. Наши потери за этот же период — 67 самолётов.</w:t>
      </w:r>
    </w:p>
    <w:p w14:paraId="062F7E0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часть, где командиром тов. Березин (Калининский фронт), освободила от немцев 7 населённых пунктов и захватила 3 орудия, 2 миномёта и 300 снарядов. В тылу у врага взорван склад с боеприпасами. На другом участке часть под командованием тов. Мищенко за два дня уничтожила около 100 гитлеровцев, разрушила 6 ДЗОТов и 9 огневых точек. Ружейно-пулемётным огнём бойцы части сбили 2 самолёта «Ю-88». Экипажи самолётов в количестве 10 человек взяты в плен.</w:t>
      </w:r>
    </w:p>
    <w:p w14:paraId="6703114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Ленинградского фронта продолжаются упорные бои с противником. Части Красной Армии за два дня уничтожили 2.300 немецких солдат и офицеров. Захвачены трофеи: 14 станковых пулемётов, 26 запасных стволов к пулемётам, 3 миномёта, 15 автоматов, 154 винтовки, 53.200 винтовочных патронов, 550 снарядов, 500 мин и столько же ракет, радиостанция, свыше 100 противогазов и другое вооружение.</w:t>
      </w:r>
    </w:p>
    <w:p w14:paraId="7BBBEF1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гвардейская часть, действующая на Западном фронте, обороняя занятый накануне рубеж, отбила контратаку противника. Гитлеровцы потеряли убитыми и ранеными до 300 солдат и офицеров. Уничтожено 5 немецких танков и 7 пулемётов. На другом участке фронта за один день наша стрелковая часть уничтожила до 350 гитлеровцев и захватила миномёт, 5 автоматов, 50 винтовок, 400 гранат, 900 мин и 22.000 патронов.</w:t>
      </w:r>
    </w:p>
    <w:p w14:paraId="73CF6A8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действует в оккупированных районах Смоленской области партизанский отряд товарища С. За несколько дней бойцы отряда провели следующие боевые операции: в деревне Д. партизаны уничтожили трёх немецких солдат, грабивших население. Недалеко от этой же деревни бойцы отряда организовали засаду. Вскоре появилась немецкая колонна в количестве 400 человек. Огнём из пулемётов советские патриоты истребили 56 немецко-фашистских оккупантов. На следующий день разведка донесла, что к деревне X. приближаются 40 немцев. Зайдя во фланг гитлеровцам, партизаны открыли огонь. Убито 20 вражеских солдат. Удачную операцию партизаны провели на днях у другой деревни, куда направлялся отряд немцев численностью до 600 штыков. В результате короткой схватки партизаны уничтожили 67 немецких солдат. За 5 дней захвачено у врага 9 пулемётов, 3 автомата, 48 винтовок, 7 пистолетов, 5 биноклей, 10.000 винтовочных патронов.</w:t>
      </w:r>
    </w:p>
    <w:p w14:paraId="77372AA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Эрнст Вач попал на советско-германский фронт совсем недавно.</w:t>
      </w:r>
    </w:p>
    <w:p w14:paraId="1A6BAED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письме к жене и сыну он рассказывает о пережитом: «До Смоленска доехали поездом. Отсюда мы отправились на линию фронта. 10 дней маршировали. Хлеб весь вышел. Начали голодать, подвоза нет никакого</w:t>
      </w:r>
      <w:proofErr w:type="gramStart"/>
      <w:r w:rsidRPr="008127F8">
        <w:rPr>
          <w:rFonts w:ascii="Times New Roman" w:hAnsi="Times New Roman"/>
          <w:color w:val="000000" w:themeColor="text1"/>
          <w:sz w:val="16"/>
          <w:szCs w:val="16"/>
        </w:rPr>
        <w:t>... Русские лётчики</w:t>
      </w:r>
      <w:proofErr w:type="gramEnd"/>
      <w:r w:rsidRPr="008127F8">
        <w:rPr>
          <w:rFonts w:ascii="Times New Roman" w:hAnsi="Times New Roman"/>
          <w:color w:val="000000" w:themeColor="text1"/>
          <w:sz w:val="16"/>
          <w:szCs w:val="16"/>
        </w:rPr>
        <w:t xml:space="preserve"> и партизаны то и дело нападали на нас, причиняя потери. Партизаны находятся в лесах или в деревнях, расположенных в стороне от дорог. Партизанят все: мужчины, женщины и юноши. От рук партизан уже пало много наших солдат. На одиннадцатый день мы достигли линии фронта. За последние 5 дней мы не видели ни кусочка хлеба. Голодных, нас бросили в бой. Результат боя — наша рота потеряла 65 человек. Мы хотели продвинуться вперёд, но русские отбили все наши атаки, и мы опять отступили. Русский солдат храбрый и смелый... Вчера русские окружили наш 404 полк. </w:t>
      </w:r>
      <w:r w:rsidRPr="008127F8">
        <w:rPr>
          <w:rFonts w:ascii="Times New Roman" w:hAnsi="Times New Roman"/>
          <w:color w:val="000000" w:themeColor="text1"/>
          <w:sz w:val="16"/>
          <w:szCs w:val="16"/>
        </w:rPr>
        <w:lastRenderedPageBreak/>
        <w:t>Мы находимся от него на расстоянии 4 километров. Что будет с нами?! В пятницу нам выдали маленький кусочек хлеба на 4 дня, но многие солдаты съели его за 10 минут».</w:t>
      </w:r>
    </w:p>
    <w:p w14:paraId="301E6EA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изверги при отступлении сравняли с землёй деревню Пинашено, Смоленской области. Все жители деревни, в том числе и дети, сожжены.</w:t>
      </w:r>
    </w:p>
    <w:p w14:paraId="1A87D7A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военных заводов в районе Хемница (Германия) за последнее время значительно возросло количество актов саботажа. Только за февраль на заводе произошло 179 различных поломок машин, в результате которых отдельные цехи резко сократили выпуск продукции. Производительность труда упала по сравнению с январём на 21 процент. В первых числах марта полиция по требованию дирекции произвела среди иностранных рабочих многочисленные аресты. В ответ на это на заводе вспыхнула забастовка. Гитлеровцы были вынуждены освободить всех арестованных.» (15091).</w:t>
      </w:r>
    </w:p>
    <w:p w14:paraId="686828F5"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7EF8274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вышло Постановление ГКО № 1550 Об отпуске продовольственных пайков для Красной Армии, Военно-Морского Флота и войск НКВД в апреле 1942 года. (7029, 6-9,10-11).</w:t>
      </w:r>
    </w:p>
    <w:p w14:paraId="1108AF2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55B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одиночный «Юнкере», незамеченный постами ВНОС, снова проник в столичное небо и сбросил семь фугасных бомб. Сигнал «Воздушная тревога» опять не подавался. Хотя Сталина и партийное руководство очень раздражали подобные сюрпризы, эти одиночные удары были скорее случайностью, чем результатом каких-то спланированных действий (11774).</w:t>
      </w:r>
    </w:p>
    <w:p w14:paraId="3B01CE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8472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E7E56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BAAA8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 СССР создан Всеславянский комитет (4962).</w:t>
      </w:r>
    </w:p>
    <w:p w14:paraId="372C804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41835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0958D4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FE03D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6th, 1942: Axis bombers attack the port of Alexandria in Egypt (3819).</w:t>
      </w:r>
    </w:p>
    <w:p w14:paraId="48A474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2393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бомбардировщики оси выполнили налет на Александрию в Египте (3819).</w:t>
      </w:r>
    </w:p>
    <w:p w14:paraId="37E834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970F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1942 в Британии сформирована Первая Канадская армия (4962).</w:t>
      </w:r>
    </w:p>
    <w:p w14:paraId="50B0973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A5014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22DD4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4DA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апреля 1942 года было подготовлено за подписью И.В.Сталина Постановление ГКО О производстве самолетов Ил-2 на заводе N 381 с моторами АМ-38.</w:t>
      </w:r>
    </w:p>
    <w:p w14:paraId="1622FB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отмену постановлений ГКО от 28 марта 1942 года N ГОКО-1502сс и от 1 апреля 1942 года N ГОКО-1522сс о производстве на заводе N 381 самолетов Ил-2 с моторами М-82 ГКО постановляет:</w:t>
      </w:r>
    </w:p>
    <w:p w14:paraId="5729BC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Шахурина А.И. производить на заводе N 381 самолеты Ил-2 только с моторами АМ-38 (2178,220).</w:t>
      </w:r>
    </w:p>
    <w:p w14:paraId="77315F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86C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апреля 1942 года за подписью И.В.Сталина было подготовлено письмо:</w:t>
      </w:r>
    </w:p>
    <w:p w14:paraId="101226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Поручить Шахурину и Щербакову в срочном порядке пустить в ход авиазавод N 23 для производства самолетов Ил-4.</w:t>
      </w:r>
    </w:p>
    <w:p w14:paraId="23608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Доклад Сталину и Молотову через каждые 2 дня (2178,251).</w:t>
      </w:r>
    </w:p>
    <w:p w14:paraId="4907E2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49D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апреля 1942 года авторы пушки Волков и Ярцев писали письмо Маленкову.</w:t>
      </w:r>
    </w:p>
    <w:p w14:paraId="509622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года резолюция Маленкова Шахурину, Новикову, Ванникову</w:t>
      </w:r>
      <w:proofErr w:type="gramStart"/>
      <w:r w:rsidRPr="008127F8">
        <w:rPr>
          <w:rFonts w:ascii="Times New Roman" w:hAnsi="Times New Roman"/>
          <w:color w:val="000000" w:themeColor="text1"/>
          <w:sz w:val="16"/>
          <w:szCs w:val="16"/>
        </w:rPr>
        <w:t>: Прошу</w:t>
      </w:r>
      <w:proofErr w:type="gramEnd"/>
      <w:r w:rsidRPr="008127F8">
        <w:rPr>
          <w:rFonts w:ascii="Times New Roman" w:hAnsi="Times New Roman"/>
          <w:color w:val="000000" w:themeColor="text1"/>
          <w:sz w:val="16"/>
          <w:szCs w:val="16"/>
        </w:rPr>
        <w:t xml:space="preserve"> ознакомиться с этой запиской и сказать свое мнение.</w:t>
      </w:r>
    </w:p>
    <w:p w14:paraId="2AAACC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1941 г. Гос. комиссией под Вашим руководством была принята на вооружение нашей авиации 23 мм пушка системы Волкова-Ярцева (сокращенно В-Я).</w:t>
      </w:r>
    </w:p>
    <w:p w14:paraId="757254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Тульский оружейный завод быстро освоил эту пушку и начал с июля 1941 г. выпуск пушки В-Я, ежемесячно выполнял и перевыполняя план до эвакуации завода из г. Тулы.</w:t>
      </w:r>
    </w:p>
    <w:p w14:paraId="3E1C10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Монтаж пушек В-Я на самолетах штурмовиках ИЛ-2 проходил также успешно и с августа 1941 г. Воронежский завод N 18 перешел на выпуск самолетов с пушками В-Я.</w:t>
      </w:r>
    </w:p>
    <w:p w14:paraId="55A115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состоявшейся в ГУ ВВС 26-27 января 1942 года Технической конференции Западного фронта инженеры-вооруженцы дали положительную оценку пушке В-Я.</w:t>
      </w:r>
    </w:p>
    <w:p w14:paraId="1FBCC1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письме от 24.II.1942 г. N 18фс председатель Технического совета НКВ Сатель сообщает, что "По отзывам летного и инженерно-технического состава авиационных частей КА 23 мм авиационная пушка В-Я является мощным и отличным вооружением самолетов".</w:t>
      </w:r>
    </w:p>
    <w:p w14:paraId="275891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Такая оценка пушки объясняется:</w:t>
      </w:r>
    </w:p>
    <w:p w14:paraId="0BD9D1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Эффективным действием (бронебойно-зажигательных и осколочно-зажигательных снарядов, набиваемых в ленту через один патрон) по танкам, бронемашинам, грузовикам и повозкам, по зенитным точкам и батареям, а также по материальной части самолетов, по живой силе и прочим наземным целям противника.</w:t>
      </w:r>
    </w:p>
    <w:p w14:paraId="3E3E37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Высоким темпом стрельбы для данного мощного патрона.</w:t>
      </w:r>
    </w:p>
    <w:p w14:paraId="73D3F3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Большим боекомплектом - запасом патронов на боевой вылет самолета.</w:t>
      </w:r>
    </w:p>
    <w:p w14:paraId="25314B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Простой эксплуатации пушки (освоение ее в частях ВВС в большинстве случаев проходило без описания пушки).</w:t>
      </w:r>
    </w:p>
    <w:p w14:paraId="6F2255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Безотказностью работы автоматики пушки.</w:t>
      </w:r>
    </w:p>
    <w:p w14:paraId="13309C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до сих пор пушкой В-Я вооружается только один тип самолета - штурмовик ИЛ-2. Через втулку винта мотора истребителей Лагг-3 и ЯК-1 все еще ставится пушка ШВАК.</w:t>
      </w:r>
    </w:p>
    <w:p w14:paraId="4B023F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повышения мощности вооружения самолета часть выпускаемых истребителей Лагг-3 вооружается 37 мм пушкой Шпитального, вместо пушки ШВАК.</w:t>
      </w:r>
    </w:p>
    <w:p w14:paraId="3040F8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той же целью, но в более широком масштабе истребители Лагг-3 можно вооружать 23 мм пушкой В-Я, производство которой в достаточном для этого количестве значительно легче развернуть, чем 37 мм пушек.</w:t>
      </w:r>
    </w:p>
    <w:p w14:paraId="477706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В-Я уступает по эффективности снаряда 37 мм пушке Шпитального. Однако, высокая скорострельность, большой запас патронов, дешевизна и простота изготовления в производстве в сочетании с достаточной мощностью 23 мм снаряда (при стрельбе с самолета 23 мм бронебойно-зажигательный снаряд пробивает броню танков толщиною до 45 мм, а попадание одного 23 мм осколочно-зажигательного снаряда в жизненно-важную часть самолета выводит его из строя) дают пушке В-Я определенные преимущества перед 37 мм пушкой Шпитального. Можно предполагать, что для ведения воздушного боя огонь пушки В-Я будет более интенсивным и действительным, чем огонь 37 мм пушки Шпитального.</w:t>
      </w:r>
    </w:p>
    <w:p w14:paraId="3C5332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 вышеизложенное иллюстрируется следующим:</w:t>
      </w:r>
    </w:p>
    <w:p w14:paraId="5EBDCE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23 мм пушка имеет вдвое большую скорострельность, </w:t>
      </w:r>
      <w:proofErr w:type="gramStart"/>
      <w:r w:rsidRPr="008127F8">
        <w:rPr>
          <w:rFonts w:ascii="Times New Roman" w:hAnsi="Times New Roman"/>
          <w:color w:val="000000" w:themeColor="text1"/>
          <w:sz w:val="16"/>
          <w:szCs w:val="16"/>
        </w:rPr>
        <w:t>а следовательно</w:t>
      </w:r>
      <w:proofErr w:type="gramEnd"/>
      <w:r w:rsidRPr="008127F8">
        <w:rPr>
          <w:rFonts w:ascii="Times New Roman" w:hAnsi="Times New Roman"/>
          <w:color w:val="000000" w:themeColor="text1"/>
          <w:sz w:val="16"/>
          <w:szCs w:val="16"/>
        </w:rPr>
        <w:t xml:space="preserve"> и вдвое большую вероятность попадания, чем 37 мм пушка.</w:t>
      </w:r>
    </w:p>
    <w:p w14:paraId="32B545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Пушка В-Я имеет на самолете Лагг-3 запас патронов 90 шт. - пушка 37 мм имеет на этом же самолете запас патронов 20 шт. Две крыльевых пушки В-Я на самолете ИЛ-2 берут запас патронов 310 штук, а две крыльевых 37 мм пушки - 80 шт. (или 86 шт.).</w:t>
      </w:r>
    </w:p>
    <w:p w14:paraId="6F4A7E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Пушка В-Я имеет в два-три раза меньший вес, чем 37 мм пушка. Пушки В-Я на самолете ИЛ-2 убираются внутрь крыльев, тогда как 37 мм пушки из-за их громоздкости вынуждены подвешивать под крылья и закрывать специальными обтекателями, снижающими скорость самолета.</w:t>
      </w:r>
    </w:p>
    <w:p w14:paraId="17DB70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Изготовление пушки В-Я в производстве значительно проще и быстрее изготовления 37 мм пушки; при равных производственных площадях, станочном парке и прочих одинаковых условиях выпуск пушек В-Я будет по нашим прикидкам в два-три раза больше, чем 37 мм пушек.</w:t>
      </w:r>
    </w:p>
    <w:p w14:paraId="587E01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мощности пушка В-Я вдвое превосходит лучшие иностранные образцы 23 мм пушек Мадсена и 20 мм пушек Эрликона.</w:t>
      </w:r>
    </w:p>
    <w:p w14:paraId="7517D9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Энергия удара (живая сила) 23 мм снаряда пушки В-Я при стрельбе с самолета втрое с лишним больше энергии удара пули нашего 14,5 мм противотанкового ружья.</w:t>
      </w:r>
    </w:p>
    <w:p w14:paraId="2EFA67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вооружения 23 мм пушкой В-Я истребителей Лагг-3 и 2Л-7 (модернизированный Лагг-3) на заводе N 21 проведены большие подготовительные работы.</w:t>
      </w:r>
    </w:p>
    <w:p w14:paraId="576650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1941 г. серийные чертежи установки для пушки были спущены в цеха для разработки техпроцесса и отправлены авиационному заводу в Новосибирск.</w:t>
      </w:r>
    </w:p>
    <w:p w14:paraId="0B367C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стороны гл. конструктора самолета Лагг-3 Лавочкина поступали неоднократные и настоятельные требования к НКАП и ГУ ВВС по вопросу вооружения серийных самолетов Лагг-3 пушкой В-Я. Однако, серийный выпуск истребителя Лагг-3 (не считая 12 самолетов 2Л-7, выпущенных в начале января 1942 г.), вооруженного пушкой В-Я не развернут до сих пор ни в Горьком, ни в Новосибирске.</w:t>
      </w:r>
    </w:p>
    <w:p w14:paraId="4457C9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авторы 23 мм пушки В-Я считаем необходимым довести до Вашего сведения вышеизложенные соображения относительно целесообразности более широкого применения пушки В-Я для вооружения наших самолетов и в первую очередь - истребителей Лагг-3.</w:t>
      </w:r>
    </w:p>
    <w:p w14:paraId="76E4FE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повышении мощности 23 мм снаряда к пушке В-Я.</w:t>
      </w:r>
    </w:p>
    <w:p w14:paraId="4A0B51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настоящее время снаряд, как об этом упоминалось выше, имеет хорошие баллистические данные. Его энергия удара при стрельбе с самолета втрое с лишним больше энергии удара пули нашего 14,5 противотанкового ружья, при сравнительных данных даже на самых коротких дистанциях, а с увеличением дистанции это </w:t>
      </w:r>
      <w:r w:rsidRPr="008127F8">
        <w:rPr>
          <w:rFonts w:ascii="Times New Roman" w:hAnsi="Times New Roman"/>
          <w:color w:val="000000" w:themeColor="text1"/>
          <w:sz w:val="16"/>
          <w:szCs w:val="16"/>
        </w:rPr>
        <w:lastRenderedPageBreak/>
        <w:t>соотношение будет еще больше увеличиваться в пользу 23 мм снаряда. Однако, патрон в целом имеет большие еще неиспользованные до сих пор резервы для дальнейшего повышения мощности снаряда. Большой объем гильзы используется нерационально. Плотность заряжения 23 мм патрона только 0,78 гр/см куб., тогда как у патронов 12,7 мм и 14,5 мм плотность заряжания 0,88-0,9 гр/см куб. Повышение плотности заряжания (при неизменном максимальном давлении), а следовательно и увеличение веса заряда, за счет более правильного подбора пороха, даст увеличение начальной скорости и мощности снаряда.</w:t>
      </w:r>
    </w:p>
    <w:p w14:paraId="2F35D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повышение плотности заряжания, связанное с отработкой пороха, возможно совместить с устранением картузного снаряжения патронов. При этом будут исключены из техпроцесса трудоемкие ручные операции, связанные с применением воспламенителя и расположением его на дне гильзы.</w:t>
      </w:r>
    </w:p>
    <w:p w14:paraId="3F9863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конструкторам-боеприпасникам в целях повышения эффективности 23 мм снарядов, следует вновь просмотреть их конструкции и внести соответствующие корректировки на основании опыты и сведений, полученных за время войны.</w:t>
      </w:r>
    </w:p>
    <w:p w14:paraId="541AB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проведения работ по модернизации 23 мм патрона и их выполнения в максимально сжатый срок, просим Ваших указаний НКБ совместно с ГУ ВВС и НКВ о следующем:</w:t>
      </w:r>
    </w:p>
    <w:p w14:paraId="2101B9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 счет отработки порохового заряда и увеличения плотности заряжания до 0,88-0,9 гр/см куб. повысить до максимально возможных пределов начальную скорость 23 мм снаряда, сохраняя неизменным максимальное давление и объем пороховой каморы.</w:t>
      </w:r>
    </w:p>
    <w:p w14:paraId="5A43A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Произвести модернизацию бронебойно-зажигательного снаряда с целью повышения его бронепробиваемости.</w:t>
      </w:r>
    </w:p>
    <w:p w14:paraId="712295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Отработать самоликвидатор для осколочно-зажигательных снарядов.</w:t>
      </w:r>
    </w:p>
    <w:p w14:paraId="56CEAB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Испытания баллистических данных модернизированного патрона и его влияния на пушку поручить ЦКБ-14.</w:t>
      </w:r>
    </w:p>
    <w:p w14:paraId="519E5F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гильзосбрасывателях на самолетах ИЛ-2.</w:t>
      </w:r>
    </w:p>
    <w:p w14:paraId="43BBD6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 автор пушки В-Я Волков вместе с работниками ГУ ВВС, зам. начальника ГУ ВВС бригинженером Лешуковым, военным комиссаром ГУ ВВС бригадным комиссаром Руденко и начальником 3-го отдела Управления опытного строительства Гу ВВС военинженером 1 ранга Матвеевым посетили 47 авиационную дивизию.</w:t>
      </w:r>
    </w:p>
    <w:p w14:paraId="182C8D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дивизии полковник Толстиков сделал сообщение о работе пушек В-Я на штурмовиках в его дивизии. Толстиков, а также летчики, командиры и инженерно-технический состав 47 АД дают исключительно хорошие отзывы о работе пушек В-Я. В этой дивизии хорошо освоили эксплуатацию пушек В-Я со своей стороны в инициативном порядке делают ценные предложения, проверяя некоторые из них в виде опытов на отдельных самолетах. Особенно ценным является предложение 47АД о сборе стреляных гильз пушек В-Я в специальные гильзособиратели. До сих пор стреляные гильзы автоматически выбрасываются наружу. Установка таких гильзосбрасывателей на ИЛ-2 никаких затруднений не вызывает, т.к. конструкция гильзособирателя представляет собой обычный выбитый по сфере лист обшивки в нижней части крыльев самолета. Выступая своей выпуклой частью от плоскости, гильзосбрасыватели незначительно понижают скорость самолета.</w:t>
      </w:r>
    </w:p>
    <w:p w14:paraId="002A35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полученным в 47 АД на нескольких самолетах с установленными в дивизии гильзособирателями, потеря скорости самолета не превышает 3-5 км/час, что практически является совершенно не существенной величиной.</w:t>
      </w:r>
    </w:p>
    <w:p w14:paraId="6E65B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 результате только одного боевого вылета самолета (при расстреле им всех патронов) в двух гильзособирателях останется 63 кг латунных гильз, чистого дефицитного металла. Несколько тонн гильз было собрано в 47АД на трех-четырех штурмовиках за несколько дней их действий.</w:t>
      </w:r>
    </w:p>
    <w:p w14:paraId="4F2F11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сих пор наши штурмовики разбрасывают по полям сражений дефицитный металл, не только не доставляя этим ущерба врагу, но который, возможно, будет им в какой-то части собран и использован. И еще до сих пор наши авиационные заводы продолжают выпускать ИЛ-2 без гильзособирателей, хотя изготовление и установка их настолько просты и дешевы, что с этой стороны не может быть никаких возражений.</w:t>
      </w:r>
    </w:p>
    <w:p w14:paraId="5BBB8F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интересах экономии государству сотен тонн латуни, идущей на изготовление 23 мм гильз, просим Вас обязать НКАП немедленно приступить к установке гильзособирателей на выпускаемых самолетах ИЛ-2.</w:t>
      </w:r>
    </w:p>
    <w:p w14:paraId="4574A8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Пользуясь </w:t>
      </w:r>
      <w:proofErr w:type="gramStart"/>
      <w:r w:rsidRPr="008127F8">
        <w:rPr>
          <w:rFonts w:ascii="Times New Roman" w:hAnsi="Times New Roman"/>
          <w:color w:val="000000" w:themeColor="text1"/>
          <w:sz w:val="16"/>
          <w:szCs w:val="16"/>
        </w:rPr>
        <w:t>настоящим случаем</w:t>
      </w:r>
      <w:proofErr w:type="gramEnd"/>
      <w:r w:rsidRPr="008127F8">
        <w:rPr>
          <w:rFonts w:ascii="Times New Roman" w:hAnsi="Times New Roman"/>
          <w:color w:val="000000" w:themeColor="text1"/>
          <w:sz w:val="16"/>
          <w:szCs w:val="16"/>
        </w:rPr>
        <w:t xml:space="preserve"> обращаемся к Вам с вопросами, касающимися работе нашего бюро в городе Златоусте. ЦКБ-14 было эвакуировано из города Тулы в город Златоуст в октябре 1941 года. При эвакуации оно потеряло часть станочного парка (до 40%), весь автотранспорт, материалы и некоторую часть конструкторских и рабочих кадров. Обосновавшись на новом месте, и приступив к работе, ЦКБ-14 сразу же столкнулось с непреодолимыми трудностями, связанными с его месторасположением. Связь с фронтом и основными заказчиками ГУ ВВС и ГАУ КА фактически почти порвалась. ЦКБ-14 так живо реагировавшее на запросы фронта и заказчиков в Туле (последние образцы зенитных установок Токарева Н.Ф. и Полюбина Д.Н. по заданиям ГАУ КА и Тульского обкома ВКП (б), полученным в июле-августе 1941 г., были разработаны и запущены в серийное производство в августе и сентябре 1941 г.), вынуждено пребывать в состоянии, совершенно не отвечающем запросам настоящего времени. Это является тем более недопустимым, что из всех видов стрелкового вооружения и ВВС, большинство образцов вышло из ЦКБ-14, было там создано, отработано и спущено в валовое производство.</w:t>
      </w:r>
    </w:p>
    <w:p w14:paraId="276F48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этот мощный, сработавшийся голами коллектив, обречен на относительное бездействие, так как связь с фронтом и заказчиками осуществляется только продолжительными командировками.</w:t>
      </w:r>
    </w:p>
    <w:p w14:paraId="7330BE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нашему мнению для быстрейшего удовлетворения требованиям КА в создании новых и модернизации состоящих на вооружении образцов в условиях войны, ЦКБ-14 должно находиться невдалеке от заказчиков и иметь непосредственную связь с фронтом, располагая при этом достаточными производственной и материальной базами, чему вполне могло бы удовлетворить возвращение ЦКБ-14 на прежнее место в г. Тулу или другое место в непосредственной близости к г. Москве.</w:t>
      </w:r>
    </w:p>
    <w:p w14:paraId="300D65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приносим Вам глубокую благодарность за Ваше внимание к нашей работе над 23 мм пушкой и за награждение нас орденом Ленина.</w:t>
      </w:r>
    </w:p>
    <w:p w14:paraId="0D0832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этим считаем своим долгом просить Вас о представлении к Правительственной награде следующих работников, принимавших непосредственное, активное участие в испытаниях, отработке и внедрению в массовое производство пушки В-Я:</w:t>
      </w:r>
    </w:p>
    <w:p w14:paraId="0E96C8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Жаворонкова Василия Гавриловича - секретаря Тульского обкома ВКП(б);</w:t>
      </w:r>
    </w:p>
    <w:p w14:paraId="498945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Военинженера 1 ранга Матвеева Петра Ивановича - начальника отдела ГУ ВВС;</w:t>
      </w:r>
    </w:p>
    <w:p w14:paraId="3229F4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Руднева Константина Николаевича - бывшего гл. инженера ЦКБ-14;</w:t>
      </w:r>
    </w:p>
    <w:p w14:paraId="0E99E1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Гончарова - летчика-испытателя НИП АВ ВВС;</w:t>
      </w:r>
    </w:p>
    <w:p w14:paraId="405BD4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Воентехника 1 ранга - Макарчева Сергея Андреевича - инженера-испытателя НИП АВ ВВС;</w:t>
      </w:r>
    </w:p>
    <w:p w14:paraId="1E0209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Военинженера 2 ранга - Филиппова Андрея Яковлевича - ведущего инженера НИП АВ ВВС (2147,4).</w:t>
      </w:r>
    </w:p>
    <w:p w14:paraId="4F2093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64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апреля 1942 в Грузию из Горького уехал ряд конструкторов во главе с Алексеевым. Следом отправился эшелон с оборудованием и большей частью работников КБ (4707).</w:t>
      </w:r>
    </w:p>
    <w:p w14:paraId="7ED60B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E2922"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w:t>
      </w:r>
      <w:r w:rsidRPr="008A2E5A">
        <w:rPr>
          <w:rFonts w:ascii="Times New Roman" w:hAnsi="Times New Roman"/>
          <w:color w:val="0070C0"/>
          <w:sz w:val="16"/>
          <w:szCs w:val="16"/>
        </w:rPr>
        <w:softHyphen/>
        <w:t>ле апреля 1942 года в Абадане было 50 авиаспециалистов ВВС Англии, к концу апреля их стало около 200 человек. Англичане осуществляли сборку самолетов не только для СССР, но и для своих ВВС. В мае 1942 года на авиабазе Абадан кроме англи</w:t>
      </w:r>
      <w:r w:rsidRPr="008A2E5A">
        <w:rPr>
          <w:rFonts w:ascii="Times New Roman" w:hAnsi="Times New Roman"/>
          <w:color w:val="0070C0"/>
          <w:sz w:val="16"/>
          <w:szCs w:val="16"/>
        </w:rPr>
        <w:softHyphen/>
        <w:t>чан работали еще свыше 300 американцев из фирмы «Дуглас». К концу мая 1942 года советскими военпредами было принято несколько десятков самолетов.</w:t>
      </w:r>
    </w:p>
    <w:p w14:paraId="37DD0965"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некоторых случаях самолеты от</w:t>
      </w:r>
      <w:r w:rsidRPr="008A2E5A">
        <w:rPr>
          <w:rFonts w:ascii="Times New Roman" w:hAnsi="Times New Roman"/>
          <w:color w:val="0070C0"/>
          <w:sz w:val="16"/>
          <w:szCs w:val="16"/>
        </w:rPr>
        <w:softHyphen/>
        <w:t>правлялись спецпоездами</w:t>
      </w:r>
    </w:p>
    <w:p w14:paraId="35BE2DE6"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сборки облет и проверку самолетов в воздухе про</w:t>
      </w:r>
      <w:r w:rsidRPr="008A2E5A">
        <w:rPr>
          <w:rFonts w:ascii="Times New Roman" w:hAnsi="Times New Roman"/>
          <w:color w:val="0070C0"/>
          <w:sz w:val="16"/>
          <w:szCs w:val="16"/>
        </w:rPr>
        <w:softHyphen/>
        <w:t>водили английские и американские пилоты. По маршруту Аба</w:t>
      </w:r>
      <w:r w:rsidRPr="008A2E5A">
        <w:rPr>
          <w:rFonts w:ascii="Times New Roman" w:hAnsi="Times New Roman"/>
          <w:color w:val="0070C0"/>
          <w:sz w:val="16"/>
          <w:szCs w:val="16"/>
        </w:rPr>
        <w:softHyphen/>
        <w:t>дан—Тегеран самолеты вели уже советские летчики-перегон</w:t>
      </w:r>
      <w:r w:rsidRPr="008A2E5A">
        <w:rPr>
          <w:rFonts w:ascii="Times New Roman" w:hAnsi="Times New Roman"/>
          <w:color w:val="0070C0"/>
          <w:sz w:val="16"/>
          <w:szCs w:val="16"/>
        </w:rPr>
        <w:softHyphen/>
        <w:t>щики. Из Тегерана импортные истребители перегонялись уже на территорию СССР в Аджикабул и Кировабад (24342).</w:t>
      </w:r>
    </w:p>
    <w:p w14:paraId="5BF3B1F6" w14:textId="77777777" w:rsidR="00EF77FA" w:rsidRPr="008A2E5A" w:rsidRDefault="00EF77FA" w:rsidP="00EF77FA">
      <w:pPr>
        <w:spacing w:after="0" w:line="240" w:lineRule="auto"/>
        <w:jc w:val="both"/>
        <w:rPr>
          <w:rFonts w:ascii="Times New Roman" w:hAnsi="Times New Roman"/>
          <w:color w:val="0070C0"/>
          <w:sz w:val="16"/>
          <w:szCs w:val="16"/>
        </w:rPr>
      </w:pPr>
    </w:p>
    <w:p w14:paraId="7474B84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CCED2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72A1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апреля 1942 на имя И.В.Сталина последовал еще один доклад "О реорганизации ВВС Красной Армии", в котором П. Ф. Жигарев и штаб ВВС настаивали на скорейшем изменении структуры ВВС и системы управления (8687).</w:t>
      </w:r>
    </w:p>
    <w:p w14:paraId="79B934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273DE"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апреля 1942 года был подготовлен отчёт Южного фронта по итогам применения ЗИС-30 в мотострелковом батальоне 4-й гвардейской танковой бригады (бывшей 132-й ТБр). В качестве положительных качеств машины в этом документе указывались хорошие прицелы, большая дистанция поражения вражеских танков, достигавшая 2–2,5 километров, а также высокая манёвренность. Машина легко маскировалась, а наличие орудийного щита снижало вероятность поражения расчёта осколками вражеских снарядов.</w:t>
      </w:r>
    </w:p>
    <w:p w14:paraId="31C3F9B8"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Характерным примером боевого применения ЗИС-30 стало отражение вражеской атаки 17 марта 1942 года. Одна ЗИС-30, произведя 13 выстрелов, на дистанции в 2 километра подбила 3 немецких танка, остальные повернули назад. Использовались эти машины и в наступлении, сопровождая советские танки. При этом целью для них становились не только вражеские танки, но и огневые точки.</w:t>
      </w:r>
    </w:p>
    <w:p w14:paraId="464FDB2A"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Вместе с тем имелись к машине и претензии. Главной проблемой пушки ЗИС-2 были её противооткатные устройства. Что же касается гусеничной базы, то здесь вполне ожидаемо критике подвергся двигатель. В условиях бездорожья, особенно заснеженного, его мощности часто не хватало. Кроме того, среди недостатков указывалось и очень слабое бронирование. Красноречиво о пожеланиях военных говорит последняя фраза из доклада: </w:t>
      </w:r>
      <w:r w:rsidRPr="008127F8">
        <w:rPr>
          <w:rFonts w:ascii="Times New Roman" w:eastAsia="Times New Roman" w:hAnsi="Times New Roman"/>
          <w:iCs/>
          <w:color w:val="000000" w:themeColor="text1"/>
          <w:sz w:val="16"/>
          <w:szCs w:val="16"/>
          <w:lang w:eastAsia="ru-RU"/>
        </w:rPr>
        <w:t xml:space="preserve">«Целесообразно было бы орудие установить на шасси Т-60». </w:t>
      </w:r>
    </w:p>
    <w:p w14:paraId="0097B380"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совпадению, как раз к моменту составления доклада Южного фронта в ГАУ и ГАБТУ готовились требования на лёгкую самоходную установку с использованием агрегатов Т-60 (17666).</w:t>
      </w:r>
    </w:p>
    <w:p w14:paraId="56CDF5CA" w14:textId="77777777" w:rsidR="003D763F" w:rsidRPr="008127F8" w:rsidRDefault="003D763F" w:rsidP="001E0A84">
      <w:pPr>
        <w:spacing w:after="0" w:line="240" w:lineRule="auto"/>
        <w:jc w:val="both"/>
        <w:rPr>
          <w:rFonts w:ascii="Times New Roman" w:hAnsi="Times New Roman"/>
          <w:color w:val="000000" w:themeColor="text1"/>
          <w:sz w:val="16"/>
          <w:szCs w:val="16"/>
        </w:rPr>
      </w:pPr>
    </w:p>
    <w:p w14:paraId="365B1A6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00FD1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DFB487" w14:textId="77777777" w:rsidR="000133A0" w:rsidRPr="008127F8" w:rsidRDefault="000133A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7 апреля 1942 на втором опытном самолете Су-6 М-71 («82») с новым М-71 зав. №033 выполнили короткий по</w:t>
      </w:r>
      <w:r w:rsidRPr="008127F8">
        <w:rPr>
          <w:rFonts w:ascii="Times New Roman" w:hAnsi="Times New Roman" w:cs="Times New Roman"/>
          <w:color w:val="000000" w:themeColor="text1"/>
          <w:sz w:val="16"/>
          <w:szCs w:val="16"/>
        </w:rPr>
        <w:softHyphen/>
        <w:t>лет (20 мин) на отработку винтомоторной группы, 9 апреля - еще три полета. Этот день закончился вынужденной посадкой на аэродром. В полете с левой плоскости сорвало крышку лючка пулемета, которая пробила фюзеляж и застряла в киле. От</w:t>
      </w:r>
      <w:r w:rsidRPr="008127F8">
        <w:rPr>
          <w:rFonts w:ascii="Times New Roman" w:hAnsi="Times New Roman" w:cs="Times New Roman"/>
          <w:color w:val="000000" w:themeColor="text1"/>
          <w:sz w:val="16"/>
          <w:szCs w:val="16"/>
        </w:rPr>
        <w:softHyphen/>
        <w:t>ремонтировали самолет довольно быстро, но 13 апреля при пробе мотора на земле поломали щиток шасси. Пришлось ре</w:t>
      </w:r>
      <w:r w:rsidRPr="008127F8">
        <w:rPr>
          <w:rFonts w:ascii="Times New Roman" w:hAnsi="Times New Roman" w:cs="Times New Roman"/>
          <w:color w:val="000000" w:themeColor="text1"/>
          <w:sz w:val="16"/>
          <w:szCs w:val="16"/>
        </w:rPr>
        <w:softHyphen/>
        <w:t>монтировать. На следующий день, во вто</w:t>
      </w:r>
      <w:r w:rsidRPr="008127F8">
        <w:rPr>
          <w:rFonts w:ascii="Times New Roman" w:hAnsi="Times New Roman" w:cs="Times New Roman"/>
          <w:color w:val="000000" w:themeColor="text1"/>
          <w:sz w:val="16"/>
          <w:szCs w:val="16"/>
        </w:rPr>
        <w:softHyphen/>
        <w:t>ром по счету полете при посадке на бе</w:t>
      </w:r>
      <w:r w:rsidRPr="008127F8">
        <w:rPr>
          <w:rFonts w:ascii="Times New Roman" w:hAnsi="Times New Roman" w:cs="Times New Roman"/>
          <w:color w:val="000000" w:themeColor="text1"/>
          <w:sz w:val="16"/>
          <w:szCs w:val="16"/>
        </w:rPr>
        <w:softHyphen/>
        <w:t>тонную полосу с боковым ветром само</w:t>
      </w:r>
      <w:r w:rsidRPr="008127F8">
        <w:rPr>
          <w:rFonts w:ascii="Times New Roman" w:hAnsi="Times New Roman" w:cs="Times New Roman"/>
          <w:color w:val="000000" w:themeColor="text1"/>
          <w:sz w:val="16"/>
          <w:szCs w:val="16"/>
        </w:rPr>
        <w:softHyphen/>
        <w:t>лет в конце пробега развернуло на 270° вправо. В результате были поломаны 16-й шпангоут фюзеляжа, верхний узел подъ</w:t>
      </w:r>
      <w:r w:rsidRPr="008127F8">
        <w:rPr>
          <w:rFonts w:ascii="Times New Roman" w:hAnsi="Times New Roman" w:cs="Times New Roman"/>
          <w:color w:val="000000" w:themeColor="text1"/>
          <w:sz w:val="16"/>
          <w:szCs w:val="16"/>
        </w:rPr>
        <w:softHyphen/>
        <w:t>ема хвостового костыля и нижний пра</w:t>
      </w:r>
      <w:r w:rsidRPr="008127F8">
        <w:rPr>
          <w:rFonts w:ascii="Times New Roman" w:hAnsi="Times New Roman" w:cs="Times New Roman"/>
          <w:color w:val="000000" w:themeColor="text1"/>
          <w:sz w:val="16"/>
          <w:szCs w:val="16"/>
        </w:rPr>
        <w:softHyphen/>
        <w:t>вый узел его крепления. Самолет вновь встал в ремонт. К летному состоянию при</w:t>
      </w:r>
      <w:r w:rsidRPr="008127F8">
        <w:rPr>
          <w:rFonts w:ascii="Times New Roman" w:hAnsi="Times New Roman" w:cs="Times New Roman"/>
          <w:color w:val="000000" w:themeColor="text1"/>
          <w:sz w:val="16"/>
          <w:szCs w:val="16"/>
        </w:rPr>
        <w:softHyphen/>
        <w:t>водился силами ремонтной бригады за</w:t>
      </w:r>
      <w:r w:rsidRPr="008127F8">
        <w:rPr>
          <w:rFonts w:ascii="Times New Roman" w:hAnsi="Times New Roman" w:cs="Times New Roman"/>
          <w:color w:val="000000" w:themeColor="text1"/>
          <w:sz w:val="16"/>
          <w:szCs w:val="16"/>
        </w:rPr>
        <w:softHyphen/>
        <w:t>вода №289.</w:t>
      </w:r>
    </w:p>
    <w:p w14:paraId="591D5B36" w14:textId="77777777" w:rsidR="000133A0" w:rsidRPr="008127F8" w:rsidRDefault="000133A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Поскольку к этому времени про</w:t>
      </w:r>
      <w:r w:rsidRPr="008127F8">
        <w:rPr>
          <w:rFonts w:ascii="Times New Roman" w:hAnsi="Times New Roman" w:cs="Times New Roman"/>
          <w:color w:val="000000" w:themeColor="text1"/>
          <w:sz w:val="16"/>
          <w:szCs w:val="16"/>
        </w:rPr>
        <w:softHyphen/>
        <w:t>грамма испытаний была практически выполнена (не успели испытать в воз</w:t>
      </w:r>
      <w:r w:rsidRPr="008127F8">
        <w:rPr>
          <w:rFonts w:ascii="Times New Roman" w:hAnsi="Times New Roman" w:cs="Times New Roman"/>
          <w:color w:val="000000" w:themeColor="text1"/>
          <w:sz w:val="16"/>
          <w:szCs w:val="16"/>
        </w:rPr>
        <w:softHyphen/>
        <w:t>духе только кассеты мелких бомб), а лет</w:t>
      </w:r>
      <w:r w:rsidRPr="008127F8">
        <w:rPr>
          <w:rFonts w:ascii="Times New Roman" w:hAnsi="Times New Roman" w:cs="Times New Roman"/>
          <w:color w:val="000000" w:themeColor="text1"/>
          <w:sz w:val="16"/>
          <w:szCs w:val="16"/>
        </w:rPr>
        <w:softHyphen/>
        <w:t>ные происшествия по своему характеру и причинам на итоговые выводы и оценку летно-боевых качеств самолета повлиять не могли</w:t>
      </w:r>
      <w:proofErr w:type="gramStart"/>
      <w:r w:rsidRPr="008127F8">
        <w:rPr>
          <w:rFonts w:ascii="Times New Roman" w:hAnsi="Times New Roman" w:cs="Times New Roman"/>
          <w:color w:val="000000" w:themeColor="text1"/>
          <w:sz w:val="16"/>
          <w:szCs w:val="16"/>
        </w:rPr>
        <w:t>.</w:t>
      </w:r>
      <w:proofErr w:type="gramEnd"/>
      <w:r w:rsidRPr="008127F8">
        <w:rPr>
          <w:rFonts w:ascii="Times New Roman" w:hAnsi="Times New Roman" w:cs="Times New Roman"/>
          <w:color w:val="000000" w:themeColor="text1"/>
          <w:sz w:val="16"/>
          <w:szCs w:val="16"/>
        </w:rPr>
        <w:t xml:space="preserve"> то приняли решение составить официальный акт (19844).</w:t>
      </w:r>
    </w:p>
    <w:p w14:paraId="5640FAFC" w14:textId="77777777" w:rsidR="000133A0" w:rsidRPr="008127F8" w:rsidRDefault="000133A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9F5775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апреля 1942 после ремонта испытания дублера ОБШ продолжались до 9 мая летчиком-испы</w:t>
      </w:r>
      <w:r w:rsidRPr="008127F8">
        <w:rPr>
          <w:rFonts w:ascii="Times New Roman" w:hAnsi="Times New Roman"/>
          <w:color w:val="000000" w:themeColor="text1"/>
          <w:sz w:val="16"/>
          <w:szCs w:val="16"/>
        </w:rPr>
        <w:softHyphen/>
        <w:t>тателем майором А. К. Долговым, веду</w:t>
      </w:r>
      <w:r w:rsidRPr="008127F8">
        <w:rPr>
          <w:rFonts w:ascii="Times New Roman" w:hAnsi="Times New Roman"/>
          <w:color w:val="000000" w:themeColor="text1"/>
          <w:sz w:val="16"/>
          <w:szCs w:val="16"/>
        </w:rPr>
        <w:softHyphen/>
        <w:t>щим инженером военинженером 2-го ранга А. В. Синельниковым, летчиками облета майором Нюхтиковым и капита</w:t>
      </w:r>
      <w:r w:rsidRPr="008127F8">
        <w:rPr>
          <w:rFonts w:ascii="Times New Roman" w:hAnsi="Times New Roman"/>
          <w:color w:val="000000" w:themeColor="text1"/>
          <w:sz w:val="16"/>
          <w:szCs w:val="16"/>
        </w:rPr>
        <w:softHyphen/>
        <w:t>ном Коробовым (10718).</w:t>
      </w:r>
    </w:p>
    <w:p w14:paraId="38F13E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ADC7A" w14:textId="2A69E5AF"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апреля 1942 </w:t>
      </w:r>
      <w:proofErr w:type="gramStart"/>
      <w:r w:rsidRPr="008127F8">
        <w:rPr>
          <w:rFonts w:ascii="Times New Roman" w:hAnsi="Times New Roman"/>
          <w:color w:val="000000" w:themeColor="text1"/>
          <w:sz w:val="16"/>
          <w:szCs w:val="16"/>
        </w:rPr>
        <w:t>года, после того, как</w:t>
      </w:r>
      <w:proofErr w:type="gramEnd"/>
      <w:r w:rsidRPr="008127F8">
        <w:rPr>
          <w:rFonts w:ascii="Times New Roman" w:hAnsi="Times New Roman"/>
          <w:color w:val="000000" w:themeColor="text1"/>
          <w:sz w:val="16"/>
          <w:szCs w:val="16"/>
        </w:rPr>
        <w:t xml:space="preserve"> на самолете Су-6 («82») заменили мотор М-71 и возобновились государственные испытания. Через неделю, при посадке с боковым ветром, самолет развернуло, и в результате был сломан узел креп</w:t>
      </w:r>
      <w:r w:rsidRPr="008127F8">
        <w:rPr>
          <w:rFonts w:ascii="Times New Roman" w:hAnsi="Times New Roman"/>
          <w:color w:val="000000" w:themeColor="text1"/>
          <w:sz w:val="16"/>
          <w:szCs w:val="16"/>
        </w:rPr>
        <w:softHyphen/>
        <w:t>ления хвостового колеса. После ремонта провели дополнительные государственные испытания, завер</w:t>
      </w:r>
      <w:r w:rsidRPr="008127F8">
        <w:rPr>
          <w:rFonts w:ascii="Times New Roman" w:hAnsi="Times New Roman"/>
          <w:color w:val="000000" w:themeColor="text1"/>
          <w:sz w:val="16"/>
          <w:szCs w:val="16"/>
        </w:rPr>
        <w:softHyphen/>
        <w:t>шившиеся 28 мая перелетом само</w:t>
      </w:r>
      <w:r w:rsidRPr="008127F8">
        <w:rPr>
          <w:rFonts w:ascii="Times New Roman" w:hAnsi="Times New Roman"/>
          <w:color w:val="000000" w:themeColor="text1"/>
          <w:sz w:val="16"/>
          <w:szCs w:val="16"/>
        </w:rPr>
        <w:softHyphen/>
        <w:t>лета на завод №289 (г. Молотов) (11845).</w:t>
      </w:r>
    </w:p>
    <w:p w14:paraId="6218FA8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FEE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вышел приказ НКАП N 258сс:</w:t>
      </w:r>
    </w:p>
    <w:p w14:paraId="5C7B90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N ГОКО-1522сс от 1 апреля 1942 установил, что большинство эвакуированных авиазаводов работает не на полную мощность, в результате чего АП дает меньше половины продукции по сравнению с тем, что может быть снято с имеющихся производственных мощностей. Полезная отдача оборудования и производительность труда неудовлетворительны.</w:t>
      </w:r>
    </w:p>
    <w:p w14:paraId="0B6B75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Наиболее слабо используемой </w:t>
      </w:r>
      <w:proofErr w:type="gramStart"/>
      <w:r w:rsidRPr="008127F8">
        <w:rPr>
          <w:rFonts w:ascii="Times New Roman" w:hAnsi="Times New Roman"/>
          <w:color w:val="000000" w:themeColor="text1"/>
          <w:sz w:val="16"/>
          <w:szCs w:val="16"/>
        </w:rPr>
        <w:t>по прежнему</w:t>
      </w:r>
      <w:proofErr w:type="gramEnd"/>
      <w:r w:rsidRPr="008127F8">
        <w:rPr>
          <w:rFonts w:ascii="Times New Roman" w:hAnsi="Times New Roman"/>
          <w:color w:val="000000" w:themeColor="text1"/>
          <w:sz w:val="16"/>
          <w:szCs w:val="16"/>
        </w:rPr>
        <w:t xml:space="preserve"> является группа сибирских заводов.</w:t>
      </w:r>
    </w:p>
    <w:p w14:paraId="3481D2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целью максимального увеличения выпуска продукции, ГКО утвердил основные типы боевых самолетов для массово-серийного производства на заводах НКАП в 1942: одноместный истребитель Як-1, Як-7, одноместный штурмовик Ил-2, ББ Пе-2 и ДБ Ил-4.</w:t>
      </w:r>
    </w:p>
    <w:p w14:paraId="73701D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установил в 1942 план производства самолетов и моторов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3"/>
        <w:gridCol w:w="1912"/>
      </w:tblGrid>
      <w:tr w:rsidR="006F4095" w:rsidRPr="008127F8" w14:paraId="00535817" w14:textId="77777777">
        <w:tc>
          <w:tcPr>
            <w:tcW w:w="1773" w:type="dxa"/>
            <w:tcBorders>
              <w:top w:val="single" w:sz="12" w:space="0" w:color="auto"/>
            </w:tcBorders>
          </w:tcPr>
          <w:p w14:paraId="2F2361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боевых самолетов</w:t>
            </w:r>
          </w:p>
        </w:tc>
        <w:tc>
          <w:tcPr>
            <w:tcW w:w="1912" w:type="dxa"/>
            <w:tcBorders>
              <w:top w:val="single" w:sz="12" w:space="0" w:color="auto"/>
            </w:tcBorders>
          </w:tcPr>
          <w:p w14:paraId="7B72DB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r>
      <w:tr w:rsidR="006F4095" w:rsidRPr="008127F8" w14:paraId="10ED691A" w14:textId="77777777">
        <w:tc>
          <w:tcPr>
            <w:tcW w:w="1773" w:type="dxa"/>
          </w:tcPr>
          <w:p w14:paraId="18671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транспортных</w:t>
            </w:r>
          </w:p>
        </w:tc>
        <w:tc>
          <w:tcPr>
            <w:tcW w:w="1912" w:type="dxa"/>
          </w:tcPr>
          <w:p w14:paraId="453B59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r>
      <w:tr w:rsidR="006F4095" w:rsidRPr="008127F8" w14:paraId="01C3F2C6" w14:textId="77777777">
        <w:tc>
          <w:tcPr>
            <w:tcW w:w="1773" w:type="dxa"/>
          </w:tcPr>
          <w:p w14:paraId="7EE5C9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учебных</w:t>
            </w:r>
          </w:p>
        </w:tc>
        <w:tc>
          <w:tcPr>
            <w:tcW w:w="1912" w:type="dxa"/>
          </w:tcPr>
          <w:p w14:paraId="506305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3889</w:t>
            </w:r>
          </w:p>
        </w:tc>
      </w:tr>
      <w:tr w:rsidR="006F4095" w:rsidRPr="008127F8" w14:paraId="7DD96374" w14:textId="77777777">
        <w:tc>
          <w:tcPr>
            <w:tcW w:w="1773" w:type="dxa"/>
            <w:tcBorders>
              <w:bottom w:val="single" w:sz="12" w:space="0" w:color="auto"/>
            </w:tcBorders>
          </w:tcPr>
          <w:p w14:paraId="55454F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авиамоторов</w:t>
            </w:r>
          </w:p>
        </w:tc>
        <w:tc>
          <w:tcPr>
            <w:tcW w:w="1912" w:type="dxa"/>
            <w:tcBorders>
              <w:bottom w:val="single" w:sz="12" w:space="0" w:color="auto"/>
            </w:tcBorders>
          </w:tcPr>
          <w:p w14:paraId="5F0C81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50312, в т.ч. по типам:</w:t>
            </w:r>
          </w:p>
        </w:tc>
      </w:tr>
    </w:tbl>
    <w:p w14:paraId="17C963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т.ч.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773"/>
        <w:gridCol w:w="1912"/>
        <w:gridCol w:w="564"/>
        <w:gridCol w:w="564"/>
        <w:gridCol w:w="564"/>
        <w:gridCol w:w="623"/>
      </w:tblGrid>
      <w:tr w:rsidR="006F4095" w:rsidRPr="008127F8" w14:paraId="55D72C08" w14:textId="77777777">
        <w:tc>
          <w:tcPr>
            <w:tcW w:w="1668" w:type="dxa"/>
            <w:tcBorders>
              <w:top w:val="single" w:sz="12" w:space="0" w:color="auto"/>
            </w:tcBorders>
          </w:tcPr>
          <w:p w14:paraId="2404E4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Borders>
              <w:top w:val="single" w:sz="12" w:space="0" w:color="auto"/>
            </w:tcBorders>
          </w:tcPr>
          <w:p w14:paraId="6ACAE9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Borders>
              <w:top w:val="single" w:sz="12" w:space="0" w:color="auto"/>
            </w:tcBorders>
          </w:tcPr>
          <w:p w14:paraId="056D1A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564" w:type="dxa"/>
            <w:tcBorders>
              <w:top w:val="single" w:sz="12" w:space="0" w:color="auto"/>
            </w:tcBorders>
          </w:tcPr>
          <w:p w14:paraId="459638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564" w:type="dxa"/>
            <w:tcBorders>
              <w:top w:val="single" w:sz="12" w:space="0" w:color="auto"/>
            </w:tcBorders>
          </w:tcPr>
          <w:p w14:paraId="2EFB2E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564" w:type="dxa"/>
            <w:tcBorders>
              <w:top w:val="single" w:sz="12" w:space="0" w:color="auto"/>
            </w:tcBorders>
          </w:tcPr>
          <w:p w14:paraId="752387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623" w:type="dxa"/>
            <w:tcBorders>
              <w:top w:val="single" w:sz="12" w:space="0" w:color="auto"/>
            </w:tcBorders>
          </w:tcPr>
          <w:p w14:paraId="6EFF5E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61EF55FA" w14:textId="77777777">
        <w:tc>
          <w:tcPr>
            <w:tcW w:w="1668" w:type="dxa"/>
          </w:tcPr>
          <w:p w14:paraId="3AC109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Истребителей</w:t>
            </w:r>
          </w:p>
        </w:tc>
        <w:tc>
          <w:tcPr>
            <w:tcW w:w="1773" w:type="dxa"/>
          </w:tcPr>
          <w:p w14:paraId="1A84D8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757415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c>
          <w:tcPr>
            <w:tcW w:w="564" w:type="dxa"/>
          </w:tcPr>
          <w:p w14:paraId="0165E0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1660</w:t>
            </w:r>
          </w:p>
        </w:tc>
        <w:tc>
          <w:tcPr>
            <w:tcW w:w="564" w:type="dxa"/>
          </w:tcPr>
          <w:p w14:paraId="3C54A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2330</w:t>
            </w:r>
          </w:p>
        </w:tc>
        <w:tc>
          <w:tcPr>
            <w:tcW w:w="564" w:type="dxa"/>
          </w:tcPr>
          <w:p w14:paraId="16E85D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2836</w:t>
            </w:r>
          </w:p>
        </w:tc>
        <w:tc>
          <w:tcPr>
            <w:tcW w:w="623" w:type="dxa"/>
          </w:tcPr>
          <w:p w14:paraId="6B561E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3404</w:t>
            </w:r>
          </w:p>
        </w:tc>
      </w:tr>
      <w:tr w:rsidR="006F4095" w:rsidRPr="008127F8" w14:paraId="7007D428" w14:textId="77777777">
        <w:tc>
          <w:tcPr>
            <w:tcW w:w="1668" w:type="dxa"/>
          </w:tcPr>
          <w:p w14:paraId="35C24D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1773" w:type="dxa"/>
          </w:tcPr>
          <w:p w14:paraId="7A1402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912" w:type="dxa"/>
          </w:tcPr>
          <w:p w14:paraId="6CB9B3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564" w:type="dxa"/>
          </w:tcPr>
          <w:p w14:paraId="2B29E6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w:t>
            </w:r>
          </w:p>
        </w:tc>
        <w:tc>
          <w:tcPr>
            <w:tcW w:w="564" w:type="dxa"/>
          </w:tcPr>
          <w:p w14:paraId="0170A1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564" w:type="dxa"/>
          </w:tcPr>
          <w:p w14:paraId="58F6FB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w:t>
            </w:r>
          </w:p>
        </w:tc>
        <w:tc>
          <w:tcPr>
            <w:tcW w:w="623" w:type="dxa"/>
          </w:tcPr>
          <w:p w14:paraId="162DA4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926</w:t>
            </w:r>
          </w:p>
        </w:tc>
      </w:tr>
      <w:tr w:rsidR="006F4095" w:rsidRPr="008127F8" w14:paraId="5CC5FD1F" w14:textId="77777777">
        <w:tc>
          <w:tcPr>
            <w:tcW w:w="1668" w:type="dxa"/>
          </w:tcPr>
          <w:p w14:paraId="776308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D3E8E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912" w:type="dxa"/>
          </w:tcPr>
          <w:p w14:paraId="53EEB0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4077</w:t>
            </w:r>
          </w:p>
        </w:tc>
        <w:tc>
          <w:tcPr>
            <w:tcW w:w="564" w:type="dxa"/>
          </w:tcPr>
          <w:p w14:paraId="06F8E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564" w:type="dxa"/>
          </w:tcPr>
          <w:p w14:paraId="15E702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w:t>
            </w:r>
          </w:p>
        </w:tc>
        <w:tc>
          <w:tcPr>
            <w:tcW w:w="564" w:type="dxa"/>
          </w:tcPr>
          <w:p w14:paraId="5A44F1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1415</w:t>
            </w:r>
          </w:p>
        </w:tc>
        <w:tc>
          <w:tcPr>
            <w:tcW w:w="623" w:type="dxa"/>
          </w:tcPr>
          <w:p w14:paraId="21EEAF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1963</w:t>
            </w:r>
          </w:p>
        </w:tc>
      </w:tr>
      <w:tr w:rsidR="006F4095" w:rsidRPr="008127F8" w14:paraId="354643B1" w14:textId="77777777">
        <w:tc>
          <w:tcPr>
            <w:tcW w:w="1668" w:type="dxa"/>
          </w:tcPr>
          <w:p w14:paraId="328C64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4EE746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912" w:type="dxa"/>
          </w:tcPr>
          <w:p w14:paraId="197925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2791</w:t>
            </w:r>
          </w:p>
        </w:tc>
        <w:tc>
          <w:tcPr>
            <w:tcW w:w="564" w:type="dxa"/>
          </w:tcPr>
          <w:p w14:paraId="5794A9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c>
          <w:tcPr>
            <w:tcW w:w="564" w:type="dxa"/>
          </w:tcPr>
          <w:p w14:paraId="7D2A53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564" w:type="dxa"/>
          </w:tcPr>
          <w:p w14:paraId="5BE550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w:t>
            </w:r>
          </w:p>
        </w:tc>
        <w:tc>
          <w:tcPr>
            <w:tcW w:w="623" w:type="dxa"/>
          </w:tcPr>
          <w:p w14:paraId="073FCA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24A57C20" w14:textId="77777777">
        <w:tc>
          <w:tcPr>
            <w:tcW w:w="1668" w:type="dxa"/>
          </w:tcPr>
          <w:p w14:paraId="639FB3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Штурмовиков</w:t>
            </w:r>
          </w:p>
        </w:tc>
        <w:tc>
          <w:tcPr>
            <w:tcW w:w="1773" w:type="dxa"/>
          </w:tcPr>
          <w:p w14:paraId="00BD77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912" w:type="dxa"/>
          </w:tcPr>
          <w:p w14:paraId="7FA5E5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9917</w:t>
            </w:r>
          </w:p>
        </w:tc>
        <w:tc>
          <w:tcPr>
            <w:tcW w:w="564" w:type="dxa"/>
          </w:tcPr>
          <w:p w14:paraId="1A5585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821</w:t>
            </w:r>
          </w:p>
        </w:tc>
        <w:tc>
          <w:tcPr>
            <w:tcW w:w="564" w:type="dxa"/>
          </w:tcPr>
          <w:p w14:paraId="5E01A7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2101</w:t>
            </w:r>
          </w:p>
        </w:tc>
        <w:tc>
          <w:tcPr>
            <w:tcW w:w="564" w:type="dxa"/>
          </w:tcPr>
          <w:p w14:paraId="008997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3024</w:t>
            </w:r>
          </w:p>
        </w:tc>
        <w:tc>
          <w:tcPr>
            <w:tcW w:w="623" w:type="dxa"/>
          </w:tcPr>
          <w:p w14:paraId="398E56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3777</w:t>
            </w:r>
          </w:p>
        </w:tc>
      </w:tr>
      <w:tr w:rsidR="006F4095" w:rsidRPr="008127F8" w14:paraId="76A45F8C" w14:textId="77777777">
        <w:tc>
          <w:tcPr>
            <w:tcW w:w="1668" w:type="dxa"/>
          </w:tcPr>
          <w:p w14:paraId="7B97A1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Бомбардировщиков</w:t>
            </w:r>
          </w:p>
        </w:tc>
        <w:tc>
          <w:tcPr>
            <w:tcW w:w="1773" w:type="dxa"/>
          </w:tcPr>
          <w:p w14:paraId="03216F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34B377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63FA70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19A80F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5F7647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3" w:type="dxa"/>
          </w:tcPr>
          <w:p w14:paraId="579E80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2DC92B" w14:textId="77777777">
        <w:tc>
          <w:tcPr>
            <w:tcW w:w="1668" w:type="dxa"/>
          </w:tcPr>
          <w:p w14:paraId="1AF267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w:t>
            </w:r>
          </w:p>
        </w:tc>
        <w:tc>
          <w:tcPr>
            <w:tcW w:w="1773" w:type="dxa"/>
          </w:tcPr>
          <w:p w14:paraId="607404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912" w:type="dxa"/>
          </w:tcPr>
          <w:p w14:paraId="5DE402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4242</w:t>
            </w:r>
          </w:p>
        </w:tc>
        <w:tc>
          <w:tcPr>
            <w:tcW w:w="564" w:type="dxa"/>
          </w:tcPr>
          <w:p w14:paraId="0F434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564" w:type="dxa"/>
          </w:tcPr>
          <w:p w14:paraId="22A6C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564" w:type="dxa"/>
          </w:tcPr>
          <w:p w14:paraId="724539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1292</w:t>
            </w:r>
          </w:p>
        </w:tc>
        <w:tc>
          <w:tcPr>
            <w:tcW w:w="623" w:type="dxa"/>
          </w:tcPr>
          <w:p w14:paraId="64AEE9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1464</w:t>
            </w:r>
          </w:p>
        </w:tc>
      </w:tr>
      <w:tr w:rsidR="006F4095" w:rsidRPr="008127F8" w14:paraId="7AD76597" w14:textId="77777777">
        <w:tc>
          <w:tcPr>
            <w:tcW w:w="1668" w:type="dxa"/>
          </w:tcPr>
          <w:p w14:paraId="688B4F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437532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912" w:type="dxa"/>
          </w:tcPr>
          <w:p w14:paraId="02147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1199</w:t>
            </w:r>
          </w:p>
        </w:tc>
        <w:tc>
          <w:tcPr>
            <w:tcW w:w="564" w:type="dxa"/>
          </w:tcPr>
          <w:p w14:paraId="6623EB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564" w:type="dxa"/>
          </w:tcPr>
          <w:p w14:paraId="0B0589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w:t>
            </w:r>
          </w:p>
        </w:tc>
        <w:tc>
          <w:tcPr>
            <w:tcW w:w="564" w:type="dxa"/>
          </w:tcPr>
          <w:p w14:paraId="6E6ECB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328</w:t>
            </w:r>
          </w:p>
        </w:tc>
        <w:tc>
          <w:tcPr>
            <w:tcW w:w="623" w:type="dxa"/>
          </w:tcPr>
          <w:p w14:paraId="2B807A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r>
      <w:tr w:rsidR="006F4095" w:rsidRPr="008127F8" w14:paraId="60EDAFBB" w14:textId="77777777">
        <w:tc>
          <w:tcPr>
            <w:tcW w:w="1668" w:type="dxa"/>
          </w:tcPr>
          <w:p w14:paraId="346151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147BFC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1912" w:type="dxa"/>
          </w:tcPr>
          <w:p w14:paraId="739014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564" w:type="dxa"/>
          </w:tcPr>
          <w:p w14:paraId="796A8F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64" w:type="dxa"/>
          </w:tcPr>
          <w:p w14:paraId="081D64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564" w:type="dxa"/>
          </w:tcPr>
          <w:p w14:paraId="6A9625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623" w:type="dxa"/>
          </w:tcPr>
          <w:p w14:paraId="1D2649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3961A244" w14:textId="77777777">
        <w:tc>
          <w:tcPr>
            <w:tcW w:w="1668" w:type="dxa"/>
          </w:tcPr>
          <w:p w14:paraId="197B75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1773" w:type="dxa"/>
          </w:tcPr>
          <w:p w14:paraId="304803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55BEAA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25683</w:t>
            </w:r>
          </w:p>
        </w:tc>
        <w:tc>
          <w:tcPr>
            <w:tcW w:w="564" w:type="dxa"/>
          </w:tcPr>
          <w:p w14:paraId="0EB0DF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3121</w:t>
            </w:r>
          </w:p>
        </w:tc>
        <w:tc>
          <w:tcPr>
            <w:tcW w:w="564" w:type="dxa"/>
          </w:tcPr>
          <w:p w14:paraId="3284C0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5651</w:t>
            </w:r>
          </w:p>
        </w:tc>
        <w:tc>
          <w:tcPr>
            <w:tcW w:w="564" w:type="dxa"/>
          </w:tcPr>
          <w:p w14:paraId="29E4B8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7561</w:t>
            </w:r>
          </w:p>
        </w:tc>
        <w:tc>
          <w:tcPr>
            <w:tcW w:w="623" w:type="dxa"/>
          </w:tcPr>
          <w:p w14:paraId="468362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9350</w:t>
            </w:r>
          </w:p>
        </w:tc>
      </w:tr>
      <w:tr w:rsidR="006F4095" w:rsidRPr="008127F8" w14:paraId="0ABE1DF2" w14:textId="77777777">
        <w:tc>
          <w:tcPr>
            <w:tcW w:w="1668" w:type="dxa"/>
          </w:tcPr>
          <w:p w14:paraId="719AD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Моторов</w:t>
            </w:r>
          </w:p>
        </w:tc>
        <w:tc>
          <w:tcPr>
            <w:tcW w:w="1773" w:type="dxa"/>
          </w:tcPr>
          <w:p w14:paraId="5C2AB2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6CFF17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112E34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34A797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1C7794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3" w:type="dxa"/>
          </w:tcPr>
          <w:p w14:paraId="327D44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FB82D5" w14:textId="77777777">
        <w:tc>
          <w:tcPr>
            <w:tcW w:w="1668" w:type="dxa"/>
          </w:tcPr>
          <w:p w14:paraId="3A8F77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CE45D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912" w:type="dxa"/>
          </w:tcPr>
          <w:p w14:paraId="4FE48C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c>
          <w:tcPr>
            <w:tcW w:w="564" w:type="dxa"/>
          </w:tcPr>
          <w:p w14:paraId="0DEF45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1478</w:t>
            </w:r>
          </w:p>
        </w:tc>
        <w:tc>
          <w:tcPr>
            <w:tcW w:w="564" w:type="dxa"/>
          </w:tcPr>
          <w:p w14:paraId="2F3F68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3080</w:t>
            </w:r>
          </w:p>
        </w:tc>
        <w:tc>
          <w:tcPr>
            <w:tcW w:w="564" w:type="dxa"/>
          </w:tcPr>
          <w:p w14:paraId="2E87E4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4035</w:t>
            </w:r>
          </w:p>
        </w:tc>
        <w:tc>
          <w:tcPr>
            <w:tcW w:w="623" w:type="dxa"/>
          </w:tcPr>
          <w:p w14:paraId="2E61B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4511</w:t>
            </w:r>
          </w:p>
        </w:tc>
      </w:tr>
      <w:tr w:rsidR="006F4095" w:rsidRPr="008127F8" w14:paraId="47F657D5" w14:textId="77777777">
        <w:tc>
          <w:tcPr>
            <w:tcW w:w="1668" w:type="dxa"/>
          </w:tcPr>
          <w:p w14:paraId="29D72B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3EAF8C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912" w:type="dxa"/>
          </w:tcPr>
          <w:p w14:paraId="6FAF06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9488</w:t>
            </w:r>
          </w:p>
        </w:tc>
        <w:tc>
          <w:tcPr>
            <w:tcW w:w="564" w:type="dxa"/>
          </w:tcPr>
          <w:p w14:paraId="28ABD9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w:t>
            </w:r>
          </w:p>
        </w:tc>
        <w:tc>
          <w:tcPr>
            <w:tcW w:w="564" w:type="dxa"/>
          </w:tcPr>
          <w:p w14:paraId="63C88E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2158</w:t>
            </w:r>
          </w:p>
        </w:tc>
        <w:tc>
          <w:tcPr>
            <w:tcW w:w="564" w:type="dxa"/>
          </w:tcPr>
          <w:p w14:paraId="2001CB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3050</w:t>
            </w:r>
          </w:p>
        </w:tc>
        <w:tc>
          <w:tcPr>
            <w:tcW w:w="623" w:type="dxa"/>
          </w:tcPr>
          <w:p w14:paraId="7FF07C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3485</w:t>
            </w:r>
          </w:p>
        </w:tc>
      </w:tr>
      <w:tr w:rsidR="006F4095" w:rsidRPr="008127F8" w14:paraId="637A4663" w14:textId="77777777">
        <w:tc>
          <w:tcPr>
            <w:tcW w:w="1668" w:type="dxa"/>
          </w:tcPr>
          <w:p w14:paraId="509473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6A1BF4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912" w:type="dxa"/>
          </w:tcPr>
          <w:p w14:paraId="4D8F54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11411</w:t>
            </w:r>
          </w:p>
        </w:tc>
        <w:tc>
          <w:tcPr>
            <w:tcW w:w="564" w:type="dxa"/>
          </w:tcPr>
          <w:p w14:paraId="0EB71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683</w:t>
            </w:r>
          </w:p>
        </w:tc>
        <w:tc>
          <w:tcPr>
            <w:tcW w:w="564" w:type="dxa"/>
          </w:tcPr>
          <w:p w14:paraId="2004C2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2473</w:t>
            </w:r>
          </w:p>
        </w:tc>
        <w:tc>
          <w:tcPr>
            <w:tcW w:w="564" w:type="dxa"/>
          </w:tcPr>
          <w:p w14:paraId="71B51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3670</w:t>
            </w:r>
          </w:p>
        </w:tc>
        <w:tc>
          <w:tcPr>
            <w:tcW w:w="623" w:type="dxa"/>
          </w:tcPr>
          <w:p w14:paraId="4A561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4585</w:t>
            </w:r>
          </w:p>
        </w:tc>
      </w:tr>
      <w:tr w:rsidR="006F4095" w:rsidRPr="008127F8" w14:paraId="7D5D1BC5" w14:textId="77777777">
        <w:tc>
          <w:tcPr>
            <w:tcW w:w="1668" w:type="dxa"/>
          </w:tcPr>
          <w:p w14:paraId="64EB33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E2D73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912" w:type="dxa"/>
          </w:tcPr>
          <w:p w14:paraId="20B93B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c>
          <w:tcPr>
            <w:tcW w:w="564" w:type="dxa"/>
          </w:tcPr>
          <w:p w14:paraId="7D2F8C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564" w:type="dxa"/>
          </w:tcPr>
          <w:p w14:paraId="241C04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w:t>
            </w:r>
          </w:p>
        </w:tc>
        <w:tc>
          <w:tcPr>
            <w:tcW w:w="564" w:type="dxa"/>
          </w:tcPr>
          <w:p w14:paraId="61F868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623" w:type="dxa"/>
          </w:tcPr>
          <w:p w14:paraId="11C63E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7303615C" w14:textId="77777777">
        <w:tc>
          <w:tcPr>
            <w:tcW w:w="1668" w:type="dxa"/>
            <w:tcBorders>
              <w:bottom w:val="single" w:sz="12" w:space="0" w:color="auto"/>
            </w:tcBorders>
          </w:tcPr>
          <w:p w14:paraId="77FF55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Borders>
              <w:bottom w:val="single" w:sz="12" w:space="0" w:color="auto"/>
            </w:tcBorders>
          </w:tcPr>
          <w:p w14:paraId="198939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912" w:type="dxa"/>
            <w:tcBorders>
              <w:bottom w:val="single" w:sz="12" w:space="0" w:color="auto"/>
            </w:tcBorders>
          </w:tcPr>
          <w:p w14:paraId="4071ED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c>
          <w:tcPr>
            <w:tcW w:w="564" w:type="dxa"/>
            <w:tcBorders>
              <w:bottom w:val="single" w:sz="12" w:space="0" w:color="auto"/>
            </w:tcBorders>
          </w:tcPr>
          <w:p w14:paraId="6DA5BD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564" w:type="dxa"/>
            <w:tcBorders>
              <w:bottom w:val="single" w:sz="12" w:space="0" w:color="auto"/>
            </w:tcBorders>
          </w:tcPr>
          <w:p w14:paraId="0A7520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927</w:t>
            </w:r>
          </w:p>
        </w:tc>
        <w:tc>
          <w:tcPr>
            <w:tcW w:w="564" w:type="dxa"/>
            <w:tcBorders>
              <w:bottom w:val="single" w:sz="12" w:space="0" w:color="auto"/>
            </w:tcBorders>
          </w:tcPr>
          <w:p w14:paraId="4A61D1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623" w:type="dxa"/>
            <w:tcBorders>
              <w:bottom w:val="single" w:sz="12" w:space="0" w:color="auto"/>
            </w:tcBorders>
          </w:tcPr>
          <w:p w14:paraId="25ACD8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1275 (1604,60)</w:t>
            </w:r>
          </w:p>
        </w:tc>
      </w:tr>
    </w:tbl>
    <w:p w14:paraId="63BB08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ГОКО-1522сс от 1 апреля 1942 ПРИКАЗЫВАЮ:</w:t>
      </w:r>
    </w:p>
    <w:p w14:paraId="193097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тов. Репину А.К., зам. Нач. ПГУ тов. Шиц А.Д. и директорам заводов N 292, 153, 21, 31, 387, 116 и 47 (считать основными типами боевых самолетов для массово-серийного производства Як-1 и Як-7 и - вычеркнуто) обеспечить выполнение утвержденного плана выпуска самолетов в 1942 - истребителей 10320, учебных 3889, в т.ч.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2667"/>
        <w:gridCol w:w="1276"/>
        <w:gridCol w:w="858"/>
        <w:gridCol w:w="858"/>
        <w:gridCol w:w="858"/>
        <w:gridCol w:w="834"/>
      </w:tblGrid>
      <w:tr w:rsidR="006F4095" w:rsidRPr="008127F8" w14:paraId="799CF3E7" w14:textId="77777777">
        <w:tc>
          <w:tcPr>
            <w:tcW w:w="1127" w:type="dxa"/>
            <w:tcBorders>
              <w:top w:val="single" w:sz="12" w:space="0" w:color="auto"/>
            </w:tcBorders>
          </w:tcPr>
          <w:p w14:paraId="78307C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667" w:type="dxa"/>
            <w:tcBorders>
              <w:top w:val="single" w:sz="12" w:space="0" w:color="auto"/>
            </w:tcBorders>
          </w:tcPr>
          <w:p w14:paraId="771824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самолета и мотора</w:t>
            </w:r>
          </w:p>
        </w:tc>
        <w:tc>
          <w:tcPr>
            <w:tcW w:w="1276" w:type="dxa"/>
            <w:tcBorders>
              <w:top w:val="single" w:sz="12" w:space="0" w:color="auto"/>
            </w:tcBorders>
          </w:tcPr>
          <w:p w14:paraId="7437B3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1942</w:t>
            </w:r>
          </w:p>
        </w:tc>
        <w:tc>
          <w:tcPr>
            <w:tcW w:w="858" w:type="dxa"/>
            <w:tcBorders>
              <w:top w:val="single" w:sz="12" w:space="0" w:color="auto"/>
            </w:tcBorders>
          </w:tcPr>
          <w:p w14:paraId="17FA1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858" w:type="dxa"/>
            <w:tcBorders>
              <w:top w:val="single" w:sz="12" w:space="0" w:color="auto"/>
            </w:tcBorders>
          </w:tcPr>
          <w:p w14:paraId="7138C0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858" w:type="dxa"/>
            <w:tcBorders>
              <w:top w:val="single" w:sz="12" w:space="0" w:color="auto"/>
            </w:tcBorders>
          </w:tcPr>
          <w:p w14:paraId="293C08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834" w:type="dxa"/>
            <w:tcBorders>
              <w:top w:val="single" w:sz="12" w:space="0" w:color="auto"/>
            </w:tcBorders>
          </w:tcPr>
          <w:p w14:paraId="7F18E8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15C15DCD" w14:textId="77777777">
        <w:tc>
          <w:tcPr>
            <w:tcW w:w="1127" w:type="dxa"/>
          </w:tcPr>
          <w:p w14:paraId="1545F1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2667" w:type="dxa"/>
          </w:tcPr>
          <w:p w14:paraId="373F93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М-105П</w:t>
            </w:r>
          </w:p>
        </w:tc>
        <w:tc>
          <w:tcPr>
            <w:tcW w:w="1276" w:type="dxa"/>
          </w:tcPr>
          <w:p w14:paraId="1D0363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3362</w:t>
            </w:r>
          </w:p>
        </w:tc>
        <w:tc>
          <w:tcPr>
            <w:tcW w:w="858" w:type="dxa"/>
          </w:tcPr>
          <w:p w14:paraId="261077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736</w:t>
            </w:r>
          </w:p>
        </w:tc>
        <w:tc>
          <w:tcPr>
            <w:tcW w:w="858" w:type="dxa"/>
          </w:tcPr>
          <w:p w14:paraId="60C6C1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840</w:t>
            </w:r>
          </w:p>
        </w:tc>
        <w:tc>
          <w:tcPr>
            <w:tcW w:w="858" w:type="dxa"/>
          </w:tcPr>
          <w:p w14:paraId="43F07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w:t>
            </w:r>
          </w:p>
        </w:tc>
        <w:tc>
          <w:tcPr>
            <w:tcW w:w="834" w:type="dxa"/>
          </w:tcPr>
          <w:p w14:paraId="7C48F3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926</w:t>
            </w:r>
          </w:p>
        </w:tc>
      </w:tr>
      <w:tr w:rsidR="006F4095" w:rsidRPr="008127F8" w14:paraId="0AC78AF8" w14:textId="77777777">
        <w:tc>
          <w:tcPr>
            <w:tcW w:w="1127" w:type="dxa"/>
          </w:tcPr>
          <w:p w14:paraId="363851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2667" w:type="dxa"/>
          </w:tcPr>
          <w:p w14:paraId="299E2E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М-105П</w:t>
            </w:r>
          </w:p>
        </w:tc>
        <w:tc>
          <w:tcPr>
            <w:tcW w:w="1276" w:type="dxa"/>
          </w:tcPr>
          <w:p w14:paraId="346C88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2602</w:t>
            </w:r>
          </w:p>
        </w:tc>
        <w:tc>
          <w:tcPr>
            <w:tcW w:w="858" w:type="dxa"/>
          </w:tcPr>
          <w:p w14:paraId="42CCC9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858" w:type="dxa"/>
          </w:tcPr>
          <w:p w14:paraId="4566A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858" w:type="dxa"/>
          </w:tcPr>
          <w:p w14:paraId="0F0944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885</w:t>
            </w:r>
          </w:p>
        </w:tc>
        <w:tc>
          <w:tcPr>
            <w:tcW w:w="834" w:type="dxa"/>
          </w:tcPr>
          <w:p w14:paraId="718B5E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1068</w:t>
            </w:r>
          </w:p>
        </w:tc>
      </w:tr>
      <w:tr w:rsidR="006F4095" w:rsidRPr="008127F8" w14:paraId="19D299D8" w14:textId="77777777">
        <w:tc>
          <w:tcPr>
            <w:tcW w:w="1127" w:type="dxa"/>
          </w:tcPr>
          <w:p w14:paraId="242B00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67" w:type="dxa"/>
          </w:tcPr>
          <w:p w14:paraId="20B254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1276" w:type="dxa"/>
          </w:tcPr>
          <w:p w14:paraId="74674F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858" w:type="dxa"/>
          </w:tcPr>
          <w:p w14:paraId="3A66CB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858" w:type="dxa"/>
          </w:tcPr>
          <w:p w14:paraId="14896D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8" w:type="dxa"/>
          </w:tcPr>
          <w:p w14:paraId="7747DE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B2C9E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24DF1E" w14:textId="77777777">
        <w:tc>
          <w:tcPr>
            <w:tcW w:w="1127" w:type="dxa"/>
          </w:tcPr>
          <w:p w14:paraId="3F64BD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2667" w:type="dxa"/>
          </w:tcPr>
          <w:p w14:paraId="16C69C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276" w:type="dxa"/>
          </w:tcPr>
          <w:p w14:paraId="5C74CB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1466</w:t>
            </w:r>
          </w:p>
        </w:tc>
        <w:tc>
          <w:tcPr>
            <w:tcW w:w="858" w:type="dxa"/>
          </w:tcPr>
          <w:p w14:paraId="07C1DB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702</w:t>
            </w:r>
          </w:p>
        </w:tc>
        <w:tc>
          <w:tcPr>
            <w:tcW w:w="858" w:type="dxa"/>
          </w:tcPr>
          <w:p w14:paraId="330932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648</w:t>
            </w:r>
          </w:p>
        </w:tc>
        <w:tc>
          <w:tcPr>
            <w:tcW w:w="858" w:type="dxa"/>
          </w:tcPr>
          <w:p w14:paraId="02DCE5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834" w:type="dxa"/>
          </w:tcPr>
          <w:p w14:paraId="6F6BE4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EEF1A81" w14:textId="77777777">
        <w:tc>
          <w:tcPr>
            <w:tcW w:w="1127" w:type="dxa"/>
          </w:tcPr>
          <w:p w14:paraId="36903A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67" w:type="dxa"/>
          </w:tcPr>
          <w:p w14:paraId="562B6C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276" w:type="dxa"/>
          </w:tcPr>
          <w:p w14:paraId="5AE41D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1475</w:t>
            </w:r>
          </w:p>
        </w:tc>
        <w:tc>
          <w:tcPr>
            <w:tcW w:w="858" w:type="dxa"/>
          </w:tcPr>
          <w:p w14:paraId="7C47D5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8" w:type="dxa"/>
          </w:tcPr>
          <w:p w14:paraId="6AC61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858" w:type="dxa"/>
          </w:tcPr>
          <w:p w14:paraId="4C12B0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w:t>
            </w:r>
          </w:p>
        </w:tc>
        <w:tc>
          <w:tcPr>
            <w:tcW w:w="834" w:type="dxa"/>
          </w:tcPr>
          <w:p w14:paraId="03FF2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895</w:t>
            </w:r>
          </w:p>
        </w:tc>
      </w:tr>
      <w:tr w:rsidR="006F4095" w:rsidRPr="008127F8" w14:paraId="4EF9B455" w14:textId="77777777">
        <w:tc>
          <w:tcPr>
            <w:tcW w:w="1127" w:type="dxa"/>
          </w:tcPr>
          <w:p w14:paraId="65D8B1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2667" w:type="dxa"/>
          </w:tcPr>
          <w:p w14:paraId="45180E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М-105П</w:t>
            </w:r>
          </w:p>
        </w:tc>
        <w:tc>
          <w:tcPr>
            <w:tcW w:w="1276" w:type="dxa"/>
          </w:tcPr>
          <w:p w14:paraId="46EE51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858" w:type="dxa"/>
          </w:tcPr>
          <w:p w14:paraId="3FC4F6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858" w:type="dxa"/>
          </w:tcPr>
          <w:p w14:paraId="021F01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w:t>
            </w:r>
          </w:p>
        </w:tc>
        <w:tc>
          <w:tcPr>
            <w:tcW w:w="858" w:type="dxa"/>
          </w:tcPr>
          <w:p w14:paraId="7A93C8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834" w:type="dxa"/>
          </w:tcPr>
          <w:p w14:paraId="1275DF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19940266" w14:textId="77777777">
        <w:tc>
          <w:tcPr>
            <w:tcW w:w="1127" w:type="dxa"/>
          </w:tcPr>
          <w:p w14:paraId="5C8801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2667" w:type="dxa"/>
          </w:tcPr>
          <w:p w14:paraId="68BB4A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41B8A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10230</w:t>
            </w:r>
          </w:p>
        </w:tc>
        <w:tc>
          <w:tcPr>
            <w:tcW w:w="858" w:type="dxa"/>
          </w:tcPr>
          <w:p w14:paraId="5FAEA4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1660</w:t>
            </w:r>
          </w:p>
        </w:tc>
        <w:tc>
          <w:tcPr>
            <w:tcW w:w="858" w:type="dxa"/>
          </w:tcPr>
          <w:p w14:paraId="49E7F3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2330</w:t>
            </w:r>
          </w:p>
        </w:tc>
        <w:tc>
          <w:tcPr>
            <w:tcW w:w="858" w:type="dxa"/>
          </w:tcPr>
          <w:p w14:paraId="6263E5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2836</w:t>
            </w:r>
          </w:p>
        </w:tc>
        <w:tc>
          <w:tcPr>
            <w:tcW w:w="834" w:type="dxa"/>
          </w:tcPr>
          <w:p w14:paraId="2D61B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3404</w:t>
            </w:r>
          </w:p>
        </w:tc>
      </w:tr>
      <w:tr w:rsidR="006F4095" w:rsidRPr="008127F8" w14:paraId="4FA0537A" w14:textId="77777777">
        <w:tc>
          <w:tcPr>
            <w:tcW w:w="1127" w:type="dxa"/>
          </w:tcPr>
          <w:p w14:paraId="5E2CD0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w:t>
            </w:r>
          </w:p>
        </w:tc>
        <w:tc>
          <w:tcPr>
            <w:tcW w:w="2667" w:type="dxa"/>
          </w:tcPr>
          <w:p w14:paraId="784024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 М-11</w:t>
            </w:r>
          </w:p>
        </w:tc>
        <w:tc>
          <w:tcPr>
            <w:tcW w:w="1276" w:type="dxa"/>
          </w:tcPr>
          <w:p w14:paraId="4FC890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2225</w:t>
            </w:r>
          </w:p>
        </w:tc>
        <w:tc>
          <w:tcPr>
            <w:tcW w:w="858" w:type="dxa"/>
          </w:tcPr>
          <w:p w14:paraId="5C4AD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269</w:t>
            </w:r>
          </w:p>
        </w:tc>
        <w:tc>
          <w:tcPr>
            <w:tcW w:w="858" w:type="dxa"/>
          </w:tcPr>
          <w:p w14:paraId="3D6A52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646</w:t>
            </w:r>
          </w:p>
        </w:tc>
        <w:tc>
          <w:tcPr>
            <w:tcW w:w="858" w:type="dxa"/>
          </w:tcPr>
          <w:p w14:paraId="32ED22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w:t>
            </w:r>
          </w:p>
        </w:tc>
        <w:tc>
          <w:tcPr>
            <w:tcW w:w="834" w:type="dxa"/>
          </w:tcPr>
          <w:p w14:paraId="4E55E0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w:t>
            </w:r>
          </w:p>
        </w:tc>
      </w:tr>
      <w:tr w:rsidR="006F4095" w:rsidRPr="008127F8" w14:paraId="6C29D949" w14:textId="77777777">
        <w:tc>
          <w:tcPr>
            <w:tcW w:w="1127" w:type="dxa"/>
          </w:tcPr>
          <w:p w14:paraId="54AF5D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w:t>
            </w:r>
          </w:p>
        </w:tc>
        <w:tc>
          <w:tcPr>
            <w:tcW w:w="2667" w:type="dxa"/>
          </w:tcPr>
          <w:p w14:paraId="669BB8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1276" w:type="dxa"/>
          </w:tcPr>
          <w:p w14:paraId="7F0C87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924</w:t>
            </w:r>
          </w:p>
        </w:tc>
        <w:tc>
          <w:tcPr>
            <w:tcW w:w="858" w:type="dxa"/>
          </w:tcPr>
          <w:p w14:paraId="1EBCF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8" w:type="dxa"/>
          </w:tcPr>
          <w:p w14:paraId="5280D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c>
          <w:tcPr>
            <w:tcW w:w="858" w:type="dxa"/>
          </w:tcPr>
          <w:p w14:paraId="33B1F9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834" w:type="dxa"/>
          </w:tcPr>
          <w:p w14:paraId="4DC3D0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r>
      <w:tr w:rsidR="006F4095" w:rsidRPr="008127F8" w14:paraId="23F422E2" w14:textId="77777777">
        <w:tc>
          <w:tcPr>
            <w:tcW w:w="1127" w:type="dxa"/>
          </w:tcPr>
          <w:p w14:paraId="1C81AE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667" w:type="dxa"/>
          </w:tcPr>
          <w:p w14:paraId="360484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 М-11</w:t>
            </w:r>
          </w:p>
        </w:tc>
        <w:tc>
          <w:tcPr>
            <w:tcW w:w="1276" w:type="dxa"/>
          </w:tcPr>
          <w:p w14:paraId="665E5E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740</w:t>
            </w:r>
          </w:p>
        </w:tc>
        <w:tc>
          <w:tcPr>
            <w:tcW w:w="858" w:type="dxa"/>
          </w:tcPr>
          <w:p w14:paraId="4D55A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w:t>
            </w:r>
          </w:p>
        </w:tc>
        <w:tc>
          <w:tcPr>
            <w:tcW w:w="858" w:type="dxa"/>
          </w:tcPr>
          <w:p w14:paraId="6A7850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c>
          <w:tcPr>
            <w:tcW w:w="858" w:type="dxa"/>
          </w:tcPr>
          <w:p w14:paraId="24A4A4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214</w:t>
            </w:r>
          </w:p>
        </w:tc>
        <w:tc>
          <w:tcPr>
            <w:tcW w:w="834" w:type="dxa"/>
          </w:tcPr>
          <w:p w14:paraId="5B3539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w:t>
            </w:r>
          </w:p>
        </w:tc>
      </w:tr>
      <w:tr w:rsidR="006F4095" w:rsidRPr="008127F8" w14:paraId="76F14873" w14:textId="77777777">
        <w:tc>
          <w:tcPr>
            <w:tcW w:w="1127" w:type="dxa"/>
          </w:tcPr>
          <w:p w14:paraId="67EB06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2667" w:type="dxa"/>
          </w:tcPr>
          <w:p w14:paraId="3E58D0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449F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3889</w:t>
            </w:r>
          </w:p>
        </w:tc>
        <w:tc>
          <w:tcPr>
            <w:tcW w:w="858" w:type="dxa"/>
          </w:tcPr>
          <w:p w14:paraId="139EAD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w:t>
            </w:r>
          </w:p>
        </w:tc>
        <w:tc>
          <w:tcPr>
            <w:tcW w:w="858" w:type="dxa"/>
          </w:tcPr>
          <w:p w14:paraId="4971D6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1221</w:t>
            </w:r>
          </w:p>
        </w:tc>
        <w:tc>
          <w:tcPr>
            <w:tcW w:w="858" w:type="dxa"/>
          </w:tcPr>
          <w:p w14:paraId="2F4264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1144</w:t>
            </w:r>
          </w:p>
        </w:tc>
        <w:tc>
          <w:tcPr>
            <w:tcW w:w="834" w:type="dxa"/>
          </w:tcPr>
          <w:p w14:paraId="211D2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1276</w:t>
            </w:r>
          </w:p>
        </w:tc>
      </w:tr>
      <w:tr w:rsidR="006F4095" w:rsidRPr="008127F8" w14:paraId="636BA8CE" w14:textId="77777777">
        <w:tc>
          <w:tcPr>
            <w:tcW w:w="1127" w:type="dxa"/>
            <w:tcBorders>
              <w:bottom w:val="single" w:sz="12" w:space="0" w:color="auto"/>
            </w:tcBorders>
          </w:tcPr>
          <w:p w14:paraId="21754E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2667" w:type="dxa"/>
            <w:tcBorders>
              <w:bottom w:val="single" w:sz="12" w:space="0" w:color="auto"/>
            </w:tcBorders>
          </w:tcPr>
          <w:p w14:paraId="2C420B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7CC773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14119</w:t>
            </w:r>
          </w:p>
        </w:tc>
        <w:tc>
          <w:tcPr>
            <w:tcW w:w="858" w:type="dxa"/>
            <w:tcBorders>
              <w:bottom w:val="single" w:sz="12" w:space="0" w:color="auto"/>
            </w:tcBorders>
          </w:tcPr>
          <w:p w14:paraId="0AB036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2008</w:t>
            </w:r>
          </w:p>
        </w:tc>
        <w:tc>
          <w:tcPr>
            <w:tcW w:w="858" w:type="dxa"/>
            <w:tcBorders>
              <w:bottom w:val="single" w:sz="12" w:space="0" w:color="auto"/>
            </w:tcBorders>
          </w:tcPr>
          <w:p w14:paraId="251B94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3451</w:t>
            </w:r>
          </w:p>
        </w:tc>
        <w:tc>
          <w:tcPr>
            <w:tcW w:w="858" w:type="dxa"/>
            <w:tcBorders>
              <w:bottom w:val="single" w:sz="12" w:space="0" w:color="auto"/>
            </w:tcBorders>
          </w:tcPr>
          <w:p w14:paraId="2E0F3E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3980</w:t>
            </w:r>
          </w:p>
        </w:tc>
        <w:tc>
          <w:tcPr>
            <w:tcW w:w="834" w:type="dxa"/>
            <w:tcBorders>
              <w:bottom w:val="single" w:sz="12" w:space="0" w:color="auto"/>
            </w:tcBorders>
          </w:tcPr>
          <w:p w14:paraId="19EE3B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4680</w:t>
            </w:r>
          </w:p>
        </w:tc>
      </w:tr>
    </w:tbl>
    <w:p w14:paraId="3437D4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выпуском по месяцам согласно приложению</w:t>
      </w:r>
    </w:p>
    <w:p w14:paraId="5CE41C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 наркома тов. Воронину П.А., нач. 10 ГУ тов. Тарасевичу Б.Н. и директорам заводов N 1, 18, 30, 381, 22, 39, 23, 126, 166 и 84 (считать основными типами боевых самолетов для серийного массового производства одноместный штурмовик Ил-2, ББ Пе-2, ДБ Ил-4 и - вычеркнуто) обеспечить выполнение утвержденного плана выпуска самолетов в 1942 штурмовиков 9717, бомбардировщиков 5736, транспортных 563, в т.ч.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2553"/>
        <w:gridCol w:w="1221"/>
        <w:gridCol w:w="821"/>
        <w:gridCol w:w="821"/>
        <w:gridCol w:w="821"/>
        <w:gridCol w:w="895"/>
      </w:tblGrid>
      <w:tr w:rsidR="006F4095" w:rsidRPr="008127F8" w14:paraId="58555759" w14:textId="77777777">
        <w:tc>
          <w:tcPr>
            <w:tcW w:w="1526" w:type="dxa"/>
            <w:tcBorders>
              <w:top w:val="single" w:sz="12" w:space="0" w:color="auto"/>
            </w:tcBorders>
          </w:tcPr>
          <w:p w14:paraId="361794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553" w:type="dxa"/>
            <w:tcBorders>
              <w:top w:val="single" w:sz="12" w:space="0" w:color="auto"/>
            </w:tcBorders>
          </w:tcPr>
          <w:p w14:paraId="41AD7C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самолета и мотора</w:t>
            </w:r>
          </w:p>
        </w:tc>
        <w:tc>
          <w:tcPr>
            <w:tcW w:w="1221" w:type="dxa"/>
            <w:tcBorders>
              <w:top w:val="single" w:sz="12" w:space="0" w:color="auto"/>
            </w:tcBorders>
          </w:tcPr>
          <w:p w14:paraId="379DFF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1942</w:t>
            </w:r>
          </w:p>
        </w:tc>
        <w:tc>
          <w:tcPr>
            <w:tcW w:w="821" w:type="dxa"/>
            <w:tcBorders>
              <w:top w:val="single" w:sz="12" w:space="0" w:color="auto"/>
            </w:tcBorders>
          </w:tcPr>
          <w:p w14:paraId="434FE6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821" w:type="dxa"/>
            <w:tcBorders>
              <w:top w:val="single" w:sz="12" w:space="0" w:color="auto"/>
            </w:tcBorders>
          </w:tcPr>
          <w:p w14:paraId="6B4212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821" w:type="dxa"/>
            <w:tcBorders>
              <w:top w:val="single" w:sz="12" w:space="0" w:color="auto"/>
            </w:tcBorders>
          </w:tcPr>
          <w:p w14:paraId="60C20C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895" w:type="dxa"/>
            <w:tcBorders>
              <w:top w:val="single" w:sz="12" w:space="0" w:color="auto"/>
            </w:tcBorders>
          </w:tcPr>
          <w:p w14:paraId="0F58AF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1CAEF4B6" w14:textId="77777777">
        <w:tc>
          <w:tcPr>
            <w:tcW w:w="1526" w:type="dxa"/>
          </w:tcPr>
          <w:p w14:paraId="5D04D8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553" w:type="dxa"/>
          </w:tcPr>
          <w:p w14:paraId="1DE752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221" w:type="dxa"/>
          </w:tcPr>
          <w:p w14:paraId="4E4787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3526</w:t>
            </w:r>
          </w:p>
        </w:tc>
        <w:tc>
          <w:tcPr>
            <w:tcW w:w="821" w:type="dxa"/>
          </w:tcPr>
          <w:p w14:paraId="292216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821" w:type="dxa"/>
          </w:tcPr>
          <w:p w14:paraId="1BCF43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730</w:t>
            </w:r>
          </w:p>
        </w:tc>
        <w:tc>
          <w:tcPr>
            <w:tcW w:w="821" w:type="dxa"/>
          </w:tcPr>
          <w:p w14:paraId="7969D6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1170</w:t>
            </w:r>
          </w:p>
        </w:tc>
        <w:tc>
          <w:tcPr>
            <w:tcW w:w="895" w:type="dxa"/>
          </w:tcPr>
          <w:p w14:paraId="6C553A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1472</w:t>
            </w:r>
          </w:p>
        </w:tc>
      </w:tr>
      <w:tr w:rsidR="006F4095" w:rsidRPr="008127F8" w14:paraId="7DF4D782" w14:textId="77777777">
        <w:tc>
          <w:tcPr>
            <w:tcW w:w="1526" w:type="dxa"/>
          </w:tcPr>
          <w:p w14:paraId="7EEEBB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2553" w:type="dxa"/>
          </w:tcPr>
          <w:p w14:paraId="27A9ED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221" w:type="dxa"/>
          </w:tcPr>
          <w:p w14:paraId="3D0E9D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4376</w:t>
            </w:r>
          </w:p>
        </w:tc>
        <w:tc>
          <w:tcPr>
            <w:tcW w:w="821" w:type="dxa"/>
          </w:tcPr>
          <w:p w14:paraId="74B16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594</w:t>
            </w:r>
          </w:p>
        </w:tc>
        <w:tc>
          <w:tcPr>
            <w:tcW w:w="821" w:type="dxa"/>
          </w:tcPr>
          <w:p w14:paraId="53EBD4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1106</w:t>
            </w:r>
          </w:p>
        </w:tc>
        <w:tc>
          <w:tcPr>
            <w:tcW w:w="821" w:type="dxa"/>
          </w:tcPr>
          <w:p w14:paraId="1949B1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1246</w:t>
            </w:r>
          </w:p>
        </w:tc>
        <w:tc>
          <w:tcPr>
            <w:tcW w:w="895" w:type="dxa"/>
          </w:tcPr>
          <w:p w14:paraId="3B27B9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1430</w:t>
            </w:r>
          </w:p>
        </w:tc>
      </w:tr>
      <w:tr w:rsidR="006F4095" w:rsidRPr="008127F8" w14:paraId="73FA865F" w14:textId="77777777">
        <w:tc>
          <w:tcPr>
            <w:tcW w:w="1526" w:type="dxa"/>
          </w:tcPr>
          <w:p w14:paraId="34FC97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553" w:type="dxa"/>
          </w:tcPr>
          <w:p w14:paraId="595A69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221" w:type="dxa"/>
          </w:tcPr>
          <w:p w14:paraId="7C877A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w:t>
            </w:r>
          </w:p>
        </w:tc>
        <w:tc>
          <w:tcPr>
            <w:tcW w:w="821" w:type="dxa"/>
          </w:tcPr>
          <w:p w14:paraId="7482E3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821" w:type="dxa"/>
          </w:tcPr>
          <w:p w14:paraId="5C59FC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w:t>
            </w:r>
          </w:p>
        </w:tc>
        <w:tc>
          <w:tcPr>
            <w:tcW w:w="821" w:type="dxa"/>
          </w:tcPr>
          <w:p w14:paraId="034B86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tc>
        <w:tc>
          <w:tcPr>
            <w:tcW w:w="895" w:type="dxa"/>
          </w:tcPr>
          <w:p w14:paraId="037D2B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w:t>
            </w:r>
          </w:p>
        </w:tc>
      </w:tr>
      <w:tr w:rsidR="006F4095" w:rsidRPr="008127F8" w14:paraId="0A64A957" w14:textId="77777777">
        <w:tc>
          <w:tcPr>
            <w:tcW w:w="1526" w:type="dxa"/>
          </w:tcPr>
          <w:p w14:paraId="6D01D6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553" w:type="dxa"/>
          </w:tcPr>
          <w:p w14:paraId="7A8247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221" w:type="dxa"/>
          </w:tcPr>
          <w:p w14:paraId="73039A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821" w:type="dxa"/>
          </w:tcPr>
          <w:p w14:paraId="6C4249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821" w:type="dxa"/>
          </w:tcPr>
          <w:p w14:paraId="4612E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821" w:type="dxa"/>
          </w:tcPr>
          <w:p w14:paraId="5F1C60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5" w:type="dxa"/>
          </w:tcPr>
          <w:p w14:paraId="5EA8BC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44F5FB" w14:textId="77777777">
        <w:tc>
          <w:tcPr>
            <w:tcW w:w="1526" w:type="dxa"/>
          </w:tcPr>
          <w:p w14:paraId="52C12E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381</w:t>
            </w:r>
          </w:p>
        </w:tc>
        <w:tc>
          <w:tcPr>
            <w:tcW w:w="2553" w:type="dxa"/>
          </w:tcPr>
          <w:p w14:paraId="5830DB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М-82</w:t>
            </w:r>
          </w:p>
        </w:tc>
        <w:tc>
          <w:tcPr>
            <w:tcW w:w="1221" w:type="dxa"/>
          </w:tcPr>
          <w:p w14:paraId="65558B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678</w:t>
            </w:r>
          </w:p>
        </w:tc>
        <w:tc>
          <w:tcPr>
            <w:tcW w:w="821" w:type="dxa"/>
          </w:tcPr>
          <w:p w14:paraId="1DDBE0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4770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821" w:type="dxa"/>
          </w:tcPr>
          <w:p w14:paraId="2AC49F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895" w:type="dxa"/>
          </w:tcPr>
          <w:p w14:paraId="5425C6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w:t>
            </w:r>
          </w:p>
        </w:tc>
      </w:tr>
      <w:tr w:rsidR="006F4095" w:rsidRPr="008127F8" w14:paraId="364D0434" w14:textId="77777777">
        <w:tc>
          <w:tcPr>
            <w:tcW w:w="1526" w:type="dxa"/>
          </w:tcPr>
          <w:p w14:paraId="189D6B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2553" w:type="dxa"/>
          </w:tcPr>
          <w:p w14:paraId="6A2106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Pr>
          <w:p w14:paraId="0FF8A8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9717</w:t>
            </w:r>
          </w:p>
        </w:tc>
        <w:tc>
          <w:tcPr>
            <w:tcW w:w="821" w:type="dxa"/>
          </w:tcPr>
          <w:p w14:paraId="516510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821</w:t>
            </w:r>
          </w:p>
        </w:tc>
        <w:tc>
          <w:tcPr>
            <w:tcW w:w="821" w:type="dxa"/>
          </w:tcPr>
          <w:p w14:paraId="2D3C2A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2101</w:t>
            </w:r>
          </w:p>
        </w:tc>
        <w:tc>
          <w:tcPr>
            <w:tcW w:w="821" w:type="dxa"/>
          </w:tcPr>
          <w:p w14:paraId="784143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3024</w:t>
            </w:r>
          </w:p>
        </w:tc>
        <w:tc>
          <w:tcPr>
            <w:tcW w:w="895" w:type="dxa"/>
          </w:tcPr>
          <w:p w14:paraId="7AD0C6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3771</w:t>
            </w:r>
          </w:p>
        </w:tc>
      </w:tr>
      <w:tr w:rsidR="006F4095" w:rsidRPr="008127F8" w14:paraId="17F0587C" w14:textId="77777777">
        <w:tc>
          <w:tcPr>
            <w:tcW w:w="1526" w:type="dxa"/>
          </w:tcPr>
          <w:p w14:paraId="43A705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22</w:t>
            </w:r>
          </w:p>
        </w:tc>
        <w:tc>
          <w:tcPr>
            <w:tcW w:w="2553" w:type="dxa"/>
          </w:tcPr>
          <w:p w14:paraId="79813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1221" w:type="dxa"/>
          </w:tcPr>
          <w:p w14:paraId="6C4A7B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2522</w:t>
            </w:r>
          </w:p>
        </w:tc>
        <w:tc>
          <w:tcPr>
            <w:tcW w:w="821" w:type="dxa"/>
          </w:tcPr>
          <w:p w14:paraId="00625A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267</w:t>
            </w:r>
          </w:p>
        </w:tc>
        <w:tc>
          <w:tcPr>
            <w:tcW w:w="821" w:type="dxa"/>
          </w:tcPr>
          <w:p w14:paraId="583AE0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821" w:type="dxa"/>
          </w:tcPr>
          <w:p w14:paraId="65BE8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776</w:t>
            </w:r>
          </w:p>
        </w:tc>
        <w:tc>
          <w:tcPr>
            <w:tcW w:w="895" w:type="dxa"/>
          </w:tcPr>
          <w:p w14:paraId="58E30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879</w:t>
            </w:r>
          </w:p>
        </w:tc>
      </w:tr>
      <w:tr w:rsidR="006F4095" w:rsidRPr="008127F8" w14:paraId="7B8FC50A" w14:textId="77777777">
        <w:tc>
          <w:tcPr>
            <w:tcW w:w="1526" w:type="dxa"/>
          </w:tcPr>
          <w:p w14:paraId="7A7F3B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w:t>
            </w:r>
          </w:p>
        </w:tc>
        <w:tc>
          <w:tcPr>
            <w:tcW w:w="2553" w:type="dxa"/>
          </w:tcPr>
          <w:p w14:paraId="7E28EE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2М-105Р</w:t>
            </w:r>
          </w:p>
        </w:tc>
        <w:tc>
          <w:tcPr>
            <w:tcW w:w="1221" w:type="dxa"/>
          </w:tcPr>
          <w:p w14:paraId="034D7E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1720</w:t>
            </w:r>
          </w:p>
        </w:tc>
        <w:tc>
          <w:tcPr>
            <w:tcW w:w="821" w:type="dxa"/>
          </w:tcPr>
          <w:p w14:paraId="4F08C1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204</w:t>
            </w:r>
          </w:p>
        </w:tc>
        <w:tc>
          <w:tcPr>
            <w:tcW w:w="821" w:type="dxa"/>
          </w:tcPr>
          <w:p w14:paraId="1DFC9D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415</w:t>
            </w:r>
          </w:p>
        </w:tc>
        <w:tc>
          <w:tcPr>
            <w:tcW w:w="821" w:type="dxa"/>
          </w:tcPr>
          <w:p w14:paraId="7F2365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w:t>
            </w:r>
          </w:p>
        </w:tc>
        <w:tc>
          <w:tcPr>
            <w:tcW w:w="895" w:type="dxa"/>
          </w:tcPr>
          <w:p w14:paraId="0C0374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585</w:t>
            </w:r>
          </w:p>
        </w:tc>
      </w:tr>
      <w:tr w:rsidR="006F4095" w:rsidRPr="008127F8" w14:paraId="4589EEF5" w14:textId="77777777">
        <w:tc>
          <w:tcPr>
            <w:tcW w:w="1526" w:type="dxa"/>
          </w:tcPr>
          <w:p w14:paraId="558712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2553" w:type="dxa"/>
          </w:tcPr>
          <w:p w14:paraId="39D451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1221" w:type="dxa"/>
          </w:tcPr>
          <w:p w14:paraId="21385E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821" w:type="dxa"/>
          </w:tcPr>
          <w:p w14:paraId="0A9087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21" w:type="dxa"/>
          </w:tcPr>
          <w:p w14:paraId="65A7C3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21" w:type="dxa"/>
          </w:tcPr>
          <w:p w14:paraId="70105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895" w:type="dxa"/>
          </w:tcPr>
          <w:p w14:paraId="3E3655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r>
      <w:tr w:rsidR="006F4095" w:rsidRPr="008127F8" w14:paraId="5DFECBE6" w14:textId="77777777">
        <w:tc>
          <w:tcPr>
            <w:tcW w:w="1526" w:type="dxa"/>
          </w:tcPr>
          <w:p w14:paraId="57A112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2553" w:type="dxa"/>
          </w:tcPr>
          <w:p w14:paraId="595969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2М-88</w:t>
            </w:r>
          </w:p>
        </w:tc>
        <w:tc>
          <w:tcPr>
            <w:tcW w:w="1221" w:type="dxa"/>
          </w:tcPr>
          <w:p w14:paraId="563429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859</w:t>
            </w:r>
          </w:p>
        </w:tc>
        <w:tc>
          <w:tcPr>
            <w:tcW w:w="821" w:type="dxa"/>
          </w:tcPr>
          <w:p w14:paraId="2A18EE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164</w:t>
            </w:r>
          </w:p>
        </w:tc>
        <w:tc>
          <w:tcPr>
            <w:tcW w:w="821" w:type="dxa"/>
          </w:tcPr>
          <w:p w14:paraId="197190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w:t>
            </w:r>
          </w:p>
        </w:tc>
        <w:tc>
          <w:tcPr>
            <w:tcW w:w="821" w:type="dxa"/>
          </w:tcPr>
          <w:p w14:paraId="34C979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w:t>
            </w:r>
          </w:p>
        </w:tc>
        <w:tc>
          <w:tcPr>
            <w:tcW w:w="895" w:type="dxa"/>
          </w:tcPr>
          <w:p w14:paraId="30378B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r>
      <w:tr w:rsidR="006F4095" w:rsidRPr="008127F8" w14:paraId="06C48048" w14:textId="77777777">
        <w:tc>
          <w:tcPr>
            <w:tcW w:w="1526" w:type="dxa"/>
          </w:tcPr>
          <w:p w14:paraId="12E10C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553" w:type="dxa"/>
          </w:tcPr>
          <w:p w14:paraId="5E9AEB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2М-82</w:t>
            </w:r>
          </w:p>
        </w:tc>
        <w:tc>
          <w:tcPr>
            <w:tcW w:w="1221" w:type="dxa"/>
          </w:tcPr>
          <w:p w14:paraId="785269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821" w:type="dxa"/>
          </w:tcPr>
          <w:p w14:paraId="0CA29A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21" w:type="dxa"/>
          </w:tcPr>
          <w:p w14:paraId="54FB6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821" w:type="dxa"/>
          </w:tcPr>
          <w:p w14:paraId="4AA648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895" w:type="dxa"/>
          </w:tcPr>
          <w:p w14:paraId="684053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w:t>
            </w:r>
          </w:p>
        </w:tc>
      </w:tr>
      <w:tr w:rsidR="006F4095" w:rsidRPr="008127F8" w14:paraId="5F4BBEB1" w14:textId="77777777">
        <w:tc>
          <w:tcPr>
            <w:tcW w:w="1526" w:type="dxa"/>
          </w:tcPr>
          <w:p w14:paraId="3B79F8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2553" w:type="dxa"/>
          </w:tcPr>
          <w:p w14:paraId="514C09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Pr>
          <w:p w14:paraId="6D20D2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5736</w:t>
            </w:r>
          </w:p>
        </w:tc>
        <w:tc>
          <w:tcPr>
            <w:tcW w:w="821" w:type="dxa"/>
          </w:tcPr>
          <w:p w14:paraId="1F27B2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640</w:t>
            </w:r>
          </w:p>
        </w:tc>
        <w:tc>
          <w:tcPr>
            <w:tcW w:w="821" w:type="dxa"/>
          </w:tcPr>
          <w:p w14:paraId="5102B6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1220</w:t>
            </w:r>
          </w:p>
        </w:tc>
        <w:tc>
          <w:tcPr>
            <w:tcW w:w="821" w:type="dxa"/>
          </w:tcPr>
          <w:p w14:paraId="701A01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1701</w:t>
            </w:r>
          </w:p>
        </w:tc>
        <w:tc>
          <w:tcPr>
            <w:tcW w:w="895" w:type="dxa"/>
          </w:tcPr>
          <w:p w14:paraId="30CA63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2175</w:t>
            </w:r>
          </w:p>
        </w:tc>
      </w:tr>
      <w:tr w:rsidR="006F4095" w:rsidRPr="008127F8" w14:paraId="5387B057" w14:textId="77777777">
        <w:tc>
          <w:tcPr>
            <w:tcW w:w="1526" w:type="dxa"/>
          </w:tcPr>
          <w:p w14:paraId="77DF64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боевых</w:t>
            </w:r>
          </w:p>
        </w:tc>
        <w:tc>
          <w:tcPr>
            <w:tcW w:w="2553" w:type="dxa"/>
          </w:tcPr>
          <w:p w14:paraId="5010A8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Pr>
          <w:p w14:paraId="2A1328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15453</w:t>
            </w:r>
          </w:p>
        </w:tc>
        <w:tc>
          <w:tcPr>
            <w:tcW w:w="821" w:type="dxa"/>
          </w:tcPr>
          <w:p w14:paraId="3BF8C4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1461</w:t>
            </w:r>
          </w:p>
        </w:tc>
        <w:tc>
          <w:tcPr>
            <w:tcW w:w="821" w:type="dxa"/>
          </w:tcPr>
          <w:p w14:paraId="519EE1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3321</w:t>
            </w:r>
          </w:p>
        </w:tc>
        <w:tc>
          <w:tcPr>
            <w:tcW w:w="821" w:type="dxa"/>
          </w:tcPr>
          <w:p w14:paraId="572B36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4725</w:t>
            </w:r>
          </w:p>
        </w:tc>
        <w:tc>
          <w:tcPr>
            <w:tcW w:w="895" w:type="dxa"/>
          </w:tcPr>
          <w:p w14:paraId="2FC5D4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5946</w:t>
            </w:r>
          </w:p>
        </w:tc>
      </w:tr>
      <w:tr w:rsidR="006F4095" w:rsidRPr="008127F8" w14:paraId="36C3B07A" w14:textId="77777777">
        <w:tc>
          <w:tcPr>
            <w:tcW w:w="1526" w:type="dxa"/>
          </w:tcPr>
          <w:p w14:paraId="1784E4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w:t>
            </w:r>
          </w:p>
        </w:tc>
        <w:tc>
          <w:tcPr>
            <w:tcW w:w="2553" w:type="dxa"/>
          </w:tcPr>
          <w:p w14:paraId="6045B0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 2М-62ИР</w:t>
            </w:r>
          </w:p>
        </w:tc>
        <w:tc>
          <w:tcPr>
            <w:tcW w:w="1221" w:type="dxa"/>
          </w:tcPr>
          <w:p w14:paraId="6C8ADE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w:t>
            </w:r>
          </w:p>
        </w:tc>
        <w:tc>
          <w:tcPr>
            <w:tcW w:w="821" w:type="dxa"/>
          </w:tcPr>
          <w:p w14:paraId="267C7B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w:t>
            </w:r>
          </w:p>
        </w:tc>
        <w:tc>
          <w:tcPr>
            <w:tcW w:w="821" w:type="dxa"/>
          </w:tcPr>
          <w:p w14:paraId="10994B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821" w:type="dxa"/>
          </w:tcPr>
          <w:p w14:paraId="63FD49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895" w:type="dxa"/>
          </w:tcPr>
          <w:p w14:paraId="0703C5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r>
      <w:tr w:rsidR="006F4095" w:rsidRPr="008127F8" w14:paraId="431AE048" w14:textId="77777777">
        <w:tc>
          <w:tcPr>
            <w:tcW w:w="1526" w:type="dxa"/>
            <w:tcBorders>
              <w:bottom w:val="single" w:sz="12" w:space="0" w:color="auto"/>
            </w:tcBorders>
          </w:tcPr>
          <w:p w14:paraId="0C5613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2553" w:type="dxa"/>
            <w:tcBorders>
              <w:bottom w:val="single" w:sz="12" w:space="0" w:color="auto"/>
            </w:tcBorders>
          </w:tcPr>
          <w:p w14:paraId="5D317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Borders>
              <w:bottom w:val="single" w:sz="12" w:space="0" w:color="auto"/>
            </w:tcBorders>
          </w:tcPr>
          <w:p w14:paraId="4ECEB2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16016</w:t>
            </w:r>
          </w:p>
        </w:tc>
        <w:tc>
          <w:tcPr>
            <w:tcW w:w="821" w:type="dxa"/>
            <w:tcBorders>
              <w:bottom w:val="single" w:sz="12" w:space="0" w:color="auto"/>
            </w:tcBorders>
          </w:tcPr>
          <w:p w14:paraId="6A9BA1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1514</w:t>
            </w:r>
          </w:p>
        </w:tc>
        <w:tc>
          <w:tcPr>
            <w:tcW w:w="821" w:type="dxa"/>
            <w:tcBorders>
              <w:bottom w:val="single" w:sz="12" w:space="0" w:color="auto"/>
            </w:tcBorders>
          </w:tcPr>
          <w:p w14:paraId="6F9517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3471</w:t>
            </w:r>
          </w:p>
        </w:tc>
        <w:tc>
          <w:tcPr>
            <w:tcW w:w="821" w:type="dxa"/>
            <w:tcBorders>
              <w:bottom w:val="single" w:sz="12" w:space="0" w:color="auto"/>
            </w:tcBorders>
          </w:tcPr>
          <w:p w14:paraId="45A30F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4905</w:t>
            </w:r>
          </w:p>
        </w:tc>
        <w:tc>
          <w:tcPr>
            <w:tcW w:w="895" w:type="dxa"/>
            <w:tcBorders>
              <w:bottom w:val="single" w:sz="12" w:space="0" w:color="auto"/>
            </w:tcBorders>
          </w:tcPr>
          <w:p w14:paraId="1B9520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6126</w:t>
            </w:r>
          </w:p>
        </w:tc>
      </w:tr>
    </w:tbl>
    <w:p w14:paraId="791AF8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выпуском по месяцам согласно приложению</w:t>
      </w:r>
    </w:p>
    <w:p w14:paraId="1AC5F2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 наркома тов. Кузнецову В.П., Зам. нач. 3 ГУ тов. Степину М.Н. и директорам заводов 26, 16, 466, 36, 24, 45, 19, 29, 154 и 41 обеспечить выполнение утвержденного плана выпуска 50312 моторов в 1942, в т.ч.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079"/>
        <w:gridCol w:w="1079"/>
        <w:gridCol w:w="1079"/>
        <w:gridCol w:w="1079"/>
        <w:gridCol w:w="1079"/>
        <w:gridCol w:w="1107"/>
      </w:tblGrid>
      <w:tr w:rsidR="006F4095" w:rsidRPr="008127F8" w14:paraId="4A19E0F3" w14:textId="77777777">
        <w:tc>
          <w:tcPr>
            <w:tcW w:w="1526" w:type="dxa"/>
            <w:tcBorders>
              <w:top w:val="single" w:sz="12" w:space="0" w:color="auto"/>
            </w:tcBorders>
          </w:tcPr>
          <w:p w14:paraId="36FCE7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1079" w:type="dxa"/>
            <w:tcBorders>
              <w:top w:val="single" w:sz="12" w:space="0" w:color="auto"/>
            </w:tcBorders>
          </w:tcPr>
          <w:p w14:paraId="1F4989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мотора</w:t>
            </w:r>
          </w:p>
        </w:tc>
        <w:tc>
          <w:tcPr>
            <w:tcW w:w="1079" w:type="dxa"/>
            <w:tcBorders>
              <w:top w:val="single" w:sz="12" w:space="0" w:color="auto"/>
            </w:tcBorders>
          </w:tcPr>
          <w:p w14:paraId="631FF9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1942</w:t>
            </w:r>
          </w:p>
        </w:tc>
        <w:tc>
          <w:tcPr>
            <w:tcW w:w="1079" w:type="dxa"/>
            <w:tcBorders>
              <w:top w:val="single" w:sz="12" w:space="0" w:color="auto"/>
            </w:tcBorders>
          </w:tcPr>
          <w:p w14:paraId="5CB4B8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кв.</w:t>
            </w:r>
          </w:p>
        </w:tc>
        <w:tc>
          <w:tcPr>
            <w:tcW w:w="1079" w:type="dxa"/>
            <w:tcBorders>
              <w:top w:val="single" w:sz="12" w:space="0" w:color="auto"/>
            </w:tcBorders>
          </w:tcPr>
          <w:p w14:paraId="1C0804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кв.</w:t>
            </w:r>
          </w:p>
        </w:tc>
        <w:tc>
          <w:tcPr>
            <w:tcW w:w="1079" w:type="dxa"/>
            <w:tcBorders>
              <w:top w:val="single" w:sz="12" w:space="0" w:color="auto"/>
            </w:tcBorders>
          </w:tcPr>
          <w:p w14:paraId="7AB3D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кв.</w:t>
            </w:r>
          </w:p>
        </w:tc>
        <w:tc>
          <w:tcPr>
            <w:tcW w:w="1107" w:type="dxa"/>
            <w:tcBorders>
              <w:top w:val="single" w:sz="12" w:space="0" w:color="auto"/>
            </w:tcBorders>
          </w:tcPr>
          <w:p w14:paraId="619FCA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кв.</w:t>
            </w:r>
          </w:p>
        </w:tc>
      </w:tr>
      <w:tr w:rsidR="006F4095" w:rsidRPr="008127F8" w14:paraId="158F85AF" w14:textId="77777777">
        <w:tc>
          <w:tcPr>
            <w:tcW w:w="1526" w:type="dxa"/>
          </w:tcPr>
          <w:p w14:paraId="5DD7B4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079" w:type="dxa"/>
          </w:tcPr>
          <w:p w14:paraId="372FA8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079" w:type="dxa"/>
          </w:tcPr>
          <w:p w14:paraId="3A6050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13104</w:t>
            </w:r>
          </w:p>
        </w:tc>
        <w:tc>
          <w:tcPr>
            <w:tcW w:w="1079" w:type="dxa"/>
          </w:tcPr>
          <w:p w14:paraId="1C04DC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1478</w:t>
            </w:r>
          </w:p>
        </w:tc>
        <w:tc>
          <w:tcPr>
            <w:tcW w:w="1079" w:type="dxa"/>
          </w:tcPr>
          <w:p w14:paraId="017FE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3080</w:t>
            </w:r>
          </w:p>
        </w:tc>
        <w:tc>
          <w:tcPr>
            <w:tcW w:w="1079" w:type="dxa"/>
          </w:tcPr>
          <w:p w14:paraId="2397A3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4035</w:t>
            </w:r>
          </w:p>
        </w:tc>
        <w:tc>
          <w:tcPr>
            <w:tcW w:w="1107" w:type="dxa"/>
          </w:tcPr>
          <w:p w14:paraId="0B6750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4511</w:t>
            </w:r>
          </w:p>
        </w:tc>
      </w:tr>
      <w:tr w:rsidR="006F4095" w:rsidRPr="008127F8" w14:paraId="5CE9DF64" w14:textId="77777777">
        <w:tc>
          <w:tcPr>
            <w:tcW w:w="1526" w:type="dxa"/>
          </w:tcPr>
          <w:p w14:paraId="3E0851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079" w:type="dxa"/>
          </w:tcPr>
          <w:p w14:paraId="602E18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079" w:type="dxa"/>
          </w:tcPr>
          <w:p w14:paraId="63769E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6023</w:t>
            </w:r>
          </w:p>
        </w:tc>
        <w:tc>
          <w:tcPr>
            <w:tcW w:w="1079" w:type="dxa"/>
          </w:tcPr>
          <w:p w14:paraId="58B0A6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w:t>
            </w:r>
          </w:p>
        </w:tc>
        <w:tc>
          <w:tcPr>
            <w:tcW w:w="1079" w:type="dxa"/>
          </w:tcPr>
          <w:p w14:paraId="0BF48E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1343</w:t>
            </w:r>
          </w:p>
        </w:tc>
        <w:tc>
          <w:tcPr>
            <w:tcW w:w="1079" w:type="dxa"/>
          </w:tcPr>
          <w:p w14:paraId="401A30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1985</w:t>
            </w:r>
          </w:p>
        </w:tc>
        <w:tc>
          <w:tcPr>
            <w:tcW w:w="1107" w:type="dxa"/>
          </w:tcPr>
          <w:p w14:paraId="47BA9B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2450</w:t>
            </w:r>
          </w:p>
        </w:tc>
      </w:tr>
      <w:tr w:rsidR="006F4095" w:rsidRPr="008127F8" w14:paraId="0A135741" w14:textId="77777777">
        <w:tc>
          <w:tcPr>
            <w:tcW w:w="1526" w:type="dxa"/>
          </w:tcPr>
          <w:p w14:paraId="132BF9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1079" w:type="dxa"/>
          </w:tcPr>
          <w:p w14:paraId="18FCC1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079" w:type="dxa"/>
          </w:tcPr>
          <w:p w14:paraId="33919A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3335</w:t>
            </w:r>
          </w:p>
        </w:tc>
        <w:tc>
          <w:tcPr>
            <w:tcW w:w="1079" w:type="dxa"/>
          </w:tcPr>
          <w:p w14:paraId="73D437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079" w:type="dxa"/>
          </w:tcPr>
          <w:p w14:paraId="2F6673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815</w:t>
            </w:r>
          </w:p>
        </w:tc>
        <w:tc>
          <w:tcPr>
            <w:tcW w:w="1079" w:type="dxa"/>
          </w:tcPr>
          <w:p w14:paraId="086EA9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1045</w:t>
            </w:r>
          </w:p>
        </w:tc>
        <w:tc>
          <w:tcPr>
            <w:tcW w:w="1107" w:type="dxa"/>
          </w:tcPr>
          <w:p w14:paraId="18582F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1225</w:t>
            </w:r>
          </w:p>
        </w:tc>
      </w:tr>
      <w:tr w:rsidR="006F4095" w:rsidRPr="008127F8" w14:paraId="2C76AC4D" w14:textId="77777777">
        <w:tc>
          <w:tcPr>
            <w:tcW w:w="1526" w:type="dxa"/>
          </w:tcPr>
          <w:p w14:paraId="230720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079" w:type="dxa"/>
          </w:tcPr>
          <w:p w14:paraId="63785C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079" w:type="dxa"/>
          </w:tcPr>
          <w:p w14:paraId="1B89F2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079" w:type="dxa"/>
          </w:tcPr>
          <w:p w14:paraId="1618F7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Pr>
          <w:p w14:paraId="56D81A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Pr>
          <w:p w14:paraId="3B7263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107" w:type="dxa"/>
          </w:tcPr>
          <w:p w14:paraId="2E69D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r>
      <w:tr w:rsidR="006F4095" w:rsidRPr="008127F8" w14:paraId="203B8900" w14:textId="77777777">
        <w:tc>
          <w:tcPr>
            <w:tcW w:w="1526" w:type="dxa"/>
          </w:tcPr>
          <w:p w14:paraId="5FBCD5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079" w:type="dxa"/>
          </w:tcPr>
          <w:p w14:paraId="6A5EF1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079" w:type="dxa"/>
          </w:tcPr>
          <w:p w14:paraId="576AF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10611</w:t>
            </w:r>
          </w:p>
        </w:tc>
        <w:tc>
          <w:tcPr>
            <w:tcW w:w="1079" w:type="dxa"/>
          </w:tcPr>
          <w:p w14:paraId="3EE9CF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683</w:t>
            </w:r>
          </w:p>
        </w:tc>
        <w:tc>
          <w:tcPr>
            <w:tcW w:w="1079" w:type="dxa"/>
          </w:tcPr>
          <w:p w14:paraId="2AC224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2468</w:t>
            </w:r>
          </w:p>
        </w:tc>
        <w:tc>
          <w:tcPr>
            <w:tcW w:w="1079" w:type="dxa"/>
          </w:tcPr>
          <w:p w14:paraId="7506A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3475</w:t>
            </w:r>
          </w:p>
        </w:tc>
        <w:tc>
          <w:tcPr>
            <w:tcW w:w="1107" w:type="dxa"/>
          </w:tcPr>
          <w:p w14:paraId="1A3C8E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3985</w:t>
            </w:r>
          </w:p>
        </w:tc>
      </w:tr>
      <w:tr w:rsidR="006F4095" w:rsidRPr="008127F8" w14:paraId="689154CF" w14:textId="77777777">
        <w:tc>
          <w:tcPr>
            <w:tcW w:w="1526" w:type="dxa"/>
          </w:tcPr>
          <w:p w14:paraId="270397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079" w:type="dxa"/>
          </w:tcPr>
          <w:p w14:paraId="4FCF1C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АМ-35</w:t>
            </w:r>
          </w:p>
        </w:tc>
        <w:tc>
          <w:tcPr>
            <w:tcW w:w="1079" w:type="dxa"/>
          </w:tcPr>
          <w:p w14:paraId="579237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079" w:type="dxa"/>
          </w:tcPr>
          <w:p w14:paraId="1F70A9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079" w:type="dxa"/>
          </w:tcPr>
          <w:p w14:paraId="401C84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Pr>
          <w:p w14:paraId="212580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7" w:type="dxa"/>
          </w:tcPr>
          <w:p w14:paraId="36BF6B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BDA512" w14:textId="77777777">
        <w:tc>
          <w:tcPr>
            <w:tcW w:w="1526" w:type="dxa"/>
          </w:tcPr>
          <w:p w14:paraId="2A6F68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079" w:type="dxa"/>
          </w:tcPr>
          <w:p w14:paraId="0EF7D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ГАМ-34БС</w:t>
            </w:r>
          </w:p>
        </w:tc>
        <w:tc>
          <w:tcPr>
            <w:tcW w:w="1079" w:type="dxa"/>
          </w:tcPr>
          <w:p w14:paraId="564B68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227</w:t>
            </w:r>
          </w:p>
        </w:tc>
        <w:tc>
          <w:tcPr>
            <w:tcW w:w="1079" w:type="dxa"/>
          </w:tcPr>
          <w:p w14:paraId="25F0F8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79" w:type="dxa"/>
          </w:tcPr>
          <w:p w14:paraId="28758D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1079" w:type="dxa"/>
          </w:tcPr>
          <w:p w14:paraId="40C57F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c>
          <w:tcPr>
            <w:tcW w:w="1107" w:type="dxa"/>
          </w:tcPr>
          <w:p w14:paraId="73CC1E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r>
      <w:tr w:rsidR="006F4095" w:rsidRPr="008127F8" w14:paraId="24BA7BB0" w14:textId="77777777">
        <w:tc>
          <w:tcPr>
            <w:tcW w:w="1526" w:type="dxa"/>
          </w:tcPr>
          <w:p w14:paraId="1E72A2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079" w:type="dxa"/>
          </w:tcPr>
          <w:p w14:paraId="2EC704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079" w:type="dxa"/>
          </w:tcPr>
          <w:p w14:paraId="23FEFD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1079" w:type="dxa"/>
          </w:tcPr>
          <w:p w14:paraId="084104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79" w:type="dxa"/>
          </w:tcPr>
          <w:p w14:paraId="4148EB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079" w:type="dxa"/>
          </w:tcPr>
          <w:p w14:paraId="2584B1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1107" w:type="dxa"/>
          </w:tcPr>
          <w:p w14:paraId="6E8CA5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6F4095" w:rsidRPr="008127F8" w14:paraId="38B9D269" w14:textId="77777777">
        <w:tc>
          <w:tcPr>
            <w:tcW w:w="1526" w:type="dxa"/>
          </w:tcPr>
          <w:p w14:paraId="2127C7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079" w:type="dxa"/>
          </w:tcPr>
          <w:p w14:paraId="0E2EE4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079" w:type="dxa"/>
          </w:tcPr>
          <w:p w14:paraId="380510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3809</w:t>
            </w:r>
          </w:p>
        </w:tc>
        <w:tc>
          <w:tcPr>
            <w:tcW w:w="1079" w:type="dxa"/>
          </w:tcPr>
          <w:p w14:paraId="35440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w:t>
            </w:r>
          </w:p>
        </w:tc>
        <w:tc>
          <w:tcPr>
            <w:tcW w:w="1079" w:type="dxa"/>
          </w:tcPr>
          <w:p w14:paraId="0DC0EE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927</w:t>
            </w:r>
          </w:p>
        </w:tc>
        <w:tc>
          <w:tcPr>
            <w:tcW w:w="1079" w:type="dxa"/>
          </w:tcPr>
          <w:p w14:paraId="3D8C20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1195</w:t>
            </w:r>
          </w:p>
        </w:tc>
        <w:tc>
          <w:tcPr>
            <w:tcW w:w="1107" w:type="dxa"/>
          </w:tcPr>
          <w:p w14:paraId="43BCB0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1275</w:t>
            </w:r>
          </w:p>
        </w:tc>
      </w:tr>
      <w:tr w:rsidR="006F4095" w:rsidRPr="008127F8" w14:paraId="46190CF1" w14:textId="77777777">
        <w:tc>
          <w:tcPr>
            <w:tcW w:w="1526" w:type="dxa"/>
          </w:tcPr>
          <w:p w14:paraId="4BC9E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079" w:type="dxa"/>
          </w:tcPr>
          <w:p w14:paraId="1B8E4D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М-62ИР</w:t>
            </w:r>
          </w:p>
        </w:tc>
        <w:tc>
          <w:tcPr>
            <w:tcW w:w="1079" w:type="dxa"/>
          </w:tcPr>
          <w:p w14:paraId="3D4460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2098</w:t>
            </w:r>
          </w:p>
        </w:tc>
        <w:tc>
          <w:tcPr>
            <w:tcW w:w="1079" w:type="dxa"/>
          </w:tcPr>
          <w:p w14:paraId="03412C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329</w:t>
            </w:r>
          </w:p>
        </w:tc>
        <w:tc>
          <w:tcPr>
            <w:tcW w:w="1079" w:type="dxa"/>
          </w:tcPr>
          <w:p w14:paraId="76478B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572</w:t>
            </w:r>
          </w:p>
        </w:tc>
        <w:tc>
          <w:tcPr>
            <w:tcW w:w="1079" w:type="dxa"/>
          </w:tcPr>
          <w:p w14:paraId="31C6CF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w:t>
            </w:r>
          </w:p>
        </w:tc>
        <w:tc>
          <w:tcPr>
            <w:tcW w:w="1107" w:type="dxa"/>
          </w:tcPr>
          <w:p w14:paraId="33184B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595</w:t>
            </w:r>
          </w:p>
        </w:tc>
      </w:tr>
      <w:tr w:rsidR="006F4095" w:rsidRPr="008127F8" w14:paraId="385106C2" w14:textId="77777777">
        <w:tc>
          <w:tcPr>
            <w:tcW w:w="1526" w:type="dxa"/>
          </w:tcPr>
          <w:p w14:paraId="4A124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079" w:type="dxa"/>
          </w:tcPr>
          <w:p w14:paraId="39BA50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079" w:type="dxa"/>
          </w:tcPr>
          <w:p w14:paraId="3BA1FD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5049</w:t>
            </w:r>
          </w:p>
        </w:tc>
        <w:tc>
          <w:tcPr>
            <w:tcW w:w="1079" w:type="dxa"/>
          </w:tcPr>
          <w:p w14:paraId="508131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c>
          <w:tcPr>
            <w:tcW w:w="1079" w:type="dxa"/>
          </w:tcPr>
          <w:p w14:paraId="0766F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w:t>
            </w:r>
          </w:p>
        </w:tc>
        <w:tc>
          <w:tcPr>
            <w:tcW w:w="1079" w:type="dxa"/>
          </w:tcPr>
          <w:p w14:paraId="13A5B6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1107" w:type="dxa"/>
          </w:tcPr>
          <w:p w14:paraId="574CCC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57E2F926" w14:textId="77777777">
        <w:tc>
          <w:tcPr>
            <w:tcW w:w="1526" w:type="dxa"/>
          </w:tcPr>
          <w:p w14:paraId="177D14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w:t>
            </w:r>
          </w:p>
        </w:tc>
        <w:tc>
          <w:tcPr>
            <w:tcW w:w="1079" w:type="dxa"/>
          </w:tcPr>
          <w:p w14:paraId="3492B0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1079" w:type="dxa"/>
          </w:tcPr>
          <w:p w14:paraId="7A906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3798</w:t>
            </w:r>
          </w:p>
        </w:tc>
        <w:tc>
          <w:tcPr>
            <w:tcW w:w="1079" w:type="dxa"/>
          </w:tcPr>
          <w:p w14:paraId="10E1D8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518</w:t>
            </w:r>
          </w:p>
        </w:tc>
        <w:tc>
          <w:tcPr>
            <w:tcW w:w="1079" w:type="dxa"/>
          </w:tcPr>
          <w:p w14:paraId="432F20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964</w:t>
            </w:r>
          </w:p>
        </w:tc>
        <w:tc>
          <w:tcPr>
            <w:tcW w:w="1079" w:type="dxa"/>
          </w:tcPr>
          <w:p w14:paraId="020536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1118</w:t>
            </w:r>
          </w:p>
        </w:tc>
        <w:tc>
          <w:tcPr>
            <w:tcW w:w="1107" w:type="dxa"/>
          </w:tcPr>
          <w:p w14:paraId="1D0EB2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1198</w:t>
            </w:r>
          </w:p>
        </w:tc>
      </w:tr>
      <w:tr w:rsidR="006F4095" w:rsidRPr="008127F8" w14:paraId="760DFB7A" w14:textId="77777777">
        <w:tc>
          <w:tcPr>
            <w:tcW w:w="1526" w:type="dxa"/>
          </w:tcPr>
          <w:p w14:paraId="397D02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c>
          <w:tcPr>
            <w:tcW w:w="1079" w:type="dxa"/>
          </w:tcPr>
          <w:p w14:paraId="0BC529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w:t>
            </w:r>
          </w:p>
        </w:tc>
        <w:tc>
          <w:tcPr>
            <w:tcW w:w="1079" w:type="dxa"/>
          </w:tcPr>
          <w:p w14:paraId="25C8BB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w:t>
            </w:r>
          </w:p>
        </w:tc>
        <w:tc>
          <w:tcPr>
            <w:tcW w:w="1079" w:type="dxa"/>
          </w:tcPr>
          <w:p w14:paraId="20C81A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79" w:type="dxa"/>
          </w:tcPr>
          <w:p w14:paraId="37B434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079" w:type="dxa"/>
          </w:tcPr>
          <w:p w14:paraId="174BB0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1107" w:type="dxa"/>
          </w:tcPr>
          <w:p w14:paraId="4DD16B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r>
      <w:tr w:rsidR="006F4095" w:rsidRPr="008127F8" w14:paraId="7C653A02" w14:textId="77777777">
        <w:tc>
          <w:tcPr>
            <w:tcW w:w="1526" w:type="dxa"/>
            <w:tcBorders>
              <w:bottom w:val="single" w:sz="12" w:space="0" w:color="auto"/>
            </w:tcBorders>
          </w:tcPr>
          <w:p w14:paraId="11757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079" w:type="dxa"/>
            <w:tcBorders>
              <w:bottom w:val="single" w:sz="12" w:space="0" w:color="auto"/>
            </w:tcBorders>
          </w:tcPr>
          <w:p w14:paraId="61B0CA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Borders>
              <w:bottom w:val="single" w:sz="12" w:space="0" w:color="auto"/>
            </w:tcBorders>
          </w:tcPr>
          <w:p w14:paraId="565288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50312</w:t>
            </w:r>
          </w:p>
        </w:tc>
        <w:tc>
          <w:tcPr>
            <w:tcW w:w="1079" w:type="dxa"/>
            <w:tcBorders>
              <w:bottom w:val="single" w:sz="12" w:space="0" w:color="auto"/>
            </w:tcBorders>
          </w:tcPr>
          <w:p w14:paraId="374677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4707</w:t>
            </w:r>
          </w:p>
        </w:tc>
        <w:tc>
          <w:tcPr>
            <w:tcW w:w="1079" w:type="dxa"/>
            <w:tcBorders>
              <w:bottom w:val="single" w:sz="12" w:space="0" w:color="auto"/>
            </w:tcBorders>
          </w:tcPr>
          <w:p w14:paraId="255061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11340</w:t>
            </w:r>
          </w:p>
        </w:tc>
        <w:tc>
          <w:tcPr>
            <w:tcW w:w="1079" w:type="dxa"/>
            <w:tcBorders>
              <w:bottom w:val="single" w:sz="12" w:space="0" w:color="auto"/>
            </w:tcBorders>
          </w:tcPr>
          <w:p w14:paraId="17A7AA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15781</w:t>
            </w:r>
          </w:p>
        </w:tc>
        <w:tc>
          <w:tcPr>
            <w:tcW w:w="1107" w:type="dxa"/>
            <w:tcBorders>
              <w:bottom w:val="single" w:sz="12" w:space="0" w:color="auto"/>
            </w:tcBorders>
          </w:tcPr>
          <w:p w14:paraId="163B4F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18484</w:t>
            </w:r>
          </w:p>
        </w:tc>
      </w:tr>
    </w:tbl>
    <w:p w14:paraId="526F69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выпуском по месяцам согласно приложению.</w:t>
      </w:r>
    </w:p>
    <w:p w14:paraId="172EEF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Заместителям Наркома, т.т. Воронину, Репину, Кузнецову В.П., Зам. Начальника 1-го Главного Управления - т. Шиц, Начальнику 10 Главного Управления тов. Тарасевич, Зам. Начальника 3 Главного Управления - т. Степину - принять к руководству, что этим поста</w:t>
      </w:r>
      <w:r w:rsidRPr="008127F8">
        <w:rPr>
          <w:rFonts w:ascii="Times New Roman" w:hAnsi="Times New Roman"/>
          <w:color w:val="000000" w:themeColor="text1"/>
          <w:sz w:val="16"/>
          <w:szCs w:val="16"/>
        </w:rPr>
        <w:softHyphen/>
        <w:t>новлением Государственного Комитета Обороны считаются исчерпанны</w:t>
      </w:r>
      <w:r w:rsidRPr="008127F8">
        <w:rPr>
          <w:rFonts w:ascii="Times New Roman" w:hAnsi="Times New Roman"/>
          <w:color w:val="000000" w:themeColor="text1"/>
          <w:sz w:val="16"/>
          <w:szCs w:val="16"/>
        </w:rPr>
        <w:softHyphen/>
        <w:t>ми все ранее вынесенные решения ГОКО о плане выпуска самолетов и моторов в 1942 г. по отдельным заводам НКЛП.</w:t>
      </w:r>
    </w:p>
    <w:p w14:paraId="7EB61E5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Заместителям Наркома т.т. Дементьеву П.В. и т. Яковлеву А.С. для увеличения выпуска продукции на сибирских заводах НКЛП в месячный срок разработать и представить мне на утверждение план конкретных мероприятий по обеспечению выполнения утвержденной программы на 1942 г. указанной группе заводов.</w:t>
      </w:r>
    </w:p>
    <w:p w14:paraId="2BB632D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Начальникам Главънх Управлений и директорам заводов НКАП принять к исполнению постановление </w:t>
      </w:r>
      <w:proofErr w:type="gramStart"/>
      <w:r w:rsidRPr="008127F8">
        <w:rPr>
          <w:rFonts w:ascii="Times New Roman" w:hAnsi="Times New Roman"/>
          <w:color w:val="000000" w:themeColor="text1"/>
          <w:sz w:val="16"/>
          <w:szCs w:val="16"/>
        </w:rPr>
        <w:t>ГОКО</w:t>
      </w:r>
      <w:proofErr w:type="gramEnd"/>
      <w:r w:rsidRPr="008127F8">
        <w:rPr>
          <w:rFonts w:ascii="Times New Roman" w:hAnsi="Times New Roman"/>
          <w:color w:val="000000" w:themeColor="text1"/>
          <w:sz w:val="16"/>
          <w:szCs w:val="16"/>
        </w:rPr>
        <w:t xml:space="preserve"> категорически запрещающее вывоз оборудования с заводов НКЛП Сибири и Урала в европейскую часть СССР.</w:t>
      </w:r>
    </w:p>
    <w:p w14:paraId="07C930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Начальникам Главных Управлений принять решительные меры по улучшению работы заводов, стопроцентному использованию рабси</w:t>
      </w:r>
      <w:r w:rsidRPr="008127F8">
        <w:rPr>
          <w:rFonts w:ascii="Times New Roman" w:hAnsi="Times New Roman"/>
          <w:color w:val="000000" w:themeColor="text1"/>
          <w:sz w:val="16"/>
          <w:szCs w:val="16"/>
        </w:rPr>
        <w:softHyphen/>
        <w:t>лы и оборудования, резкому повышению производительности труда, и по бесперебойному снабжению заводов НКАП материалами и агрегатами,] для чего в месячный срок разработать и утвердить по каждому заво</w:t>
      </w:r>
      <w:r w:rsidRPr="008127F8">
        <w:rPr>
          <w:rFonts w:ascii="Times New Roman" w:hAnsi="Times New Roman"/>
          <w:color w:val="000000" w:themeColor="text1"/>
          <w:sz w:val="16"/>
          <w:szCs w:val="16"/>
        </w:rPr>
        <w:softHyphen/>
        <w:t>ду план оргтехмероприятий, обеспечивающий выполнение установлен</w:t>
      </w:r>
      <w:r w:rsidRPr="008127F8">
        <w:rPr>
          <w:rFonts w:ascii="Times New Roman" w:hAnsi="Times New Roman"/>
          <w:color w:val="000000" w:themeColor="text1"/>
          <w:sz w:val="16"/>
          <w:szCs w:val="16"/>
        </w:rPr>
        <w:softHyphen/>
        <w:t>ной программы- выпуска самолетов, моторов, винтов, колес, прибо</w:t>
      </w:r>
      <w:r w:rsidRPr="008127F8">
        <w:rPr>
          <w:rFonts w:ascii="Times New Roman" w:hAnsi="Times New Roman"/>
          <w:color w:val="000000" w:themeColor="text1"/>
          <w:sz w:val="16"/>
          <w:szCs w:val="16"/>
        </w:rPr>
        <w:softHyphen/>
        <w:t>ров, радиаторов и других агрегатов.</w:t>
      </w:r>
    </w:p>
    <w:p w14:paraId="4C4759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Заместителям Наркома т.т. Дементьеву П.В., Воронину П.А., т. Репину А.К. - по нижеперечисленным заводам проследить за разработкой Главными Управлениями плана оргтехмероприятие по обеспечению выполнения утвержденного плана на 1942 год и утвердить их </w:t>
      </w:r>
      <w:proofErr w:type="gramStart"/>
      <w:r w:rsidRPr="008127F8">
        <w:rPr>
          <w:rFonts w:ascii="Times New Roman" w:hAnsi="Times New Roman"/>
          <w:color w:val="000000" w:themeColor="text1"/>
          <w:sz w:val="16"/>
          <w:szCs w:val="16"/>
        </w:rPr>
        <w:t>непосредственно :</w:t>
      </w:r>
      <w:proofErr w:type="gramEnd"/>
    </w:p>
    <w:p w14:paraId="682EED2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тов. Дементьеву по заводам №№ 1, 18, 22 и 32.</w:t>
      </w:r>
    </w:p>
    <w:p w14:paraId="6B4CF74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тов. Воронину по заводам №№ 30, 23, 39, 120 и 286.</w:t>
      </w:r>
    </w:p>
    <w:p w14:paraId="02B7B0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тов. Репину по заводу № 21, 292</w:t>
      </w:r>
    </w:p>
    <w:p w14:paraId="5C0CE0E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Заместителям Наркома т.т. Баландину В.П., Кузнецову В.П., Зам. Начальника 3 Главного Управления т. Степину М.Н. разработать и представить мне на утверждение к 5 мая 1942 го</w:t>
      </w:r>
      <w:r w:rsidRPr="008127F8">
        <w:rPr>
          <w:rFonts w:ascii="Times New Roman" w:hAnsi="Times New Roman"/>
          <w:color w:val="000000" w:themeColor="text1"/>
          <w:sz w:val="16"/>
          <w:szCs w:val="16"/>
        </w:rPr>
        <w:softHyphen/>
        <w:t>да план оргтехмероприятии по обеспечению выполнения установ</w:t>
      </w:r>
      <w:r w:rsidRPr="008127F8">
        <w:rPr>
          <w:rFonts w:ascii="Times New Roman" w:hAnsi="Times New Roman"/>
          <w:color w:val="000000" w:themeColor="text1"/>
          <w:sz w:val="16"/>
          <w:szCs w:val="16"/>
        </w:rPr>
        <w:softHyphen/>
        <w:t xml:space="preserve">ленного плана выпуска моторов в 1942 г. по заводам </w:t>
      </w:r>
      <w:r w:rsidRPr="008127F8">
        <w:rPr>
          <w:rFonts w:ascii="Times New Roman" w:hAnsi="Times New Roman"/>
          <w:iCs/>
          <w:color w:val="000000" w:themeColor="text1"/>
          <w:sz w:val="16"/>
          <w:szCs w:val="16"/>
        </w:rPr>
        <w:t xml:space="preserve">Ш </w:t>
      </w:r>
      <w:r w:rsidRPr="008127F8">
        <w:rPr>
          <w:rFonts w:ascii="Times New Roman" w:hAnsi="Times New Roman"/>
          <w:color w:val="000000" w:themeColor="text1"/>
          <w:sz w:val="16"/>
          <w:szCs w:val="16"/>
        </w:rPr>
        <w:t>26,24, 16 и 466.</w:t>
      </w:r>
    </w:p>
    <w:p w14:paraId="751CCA5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Этим же постановлением ГОКО обязал Госплан СССР и Наркомавиапром разработать и представить на утверждение ГОКО к 1 мая 1942 г. мероприятия по материально техническому обес</w:t>
      </w:r>
      <w:r w:rsidRPr="008127F8">
        <w:rPr>
          <w:rFonts w:ascii="Times New Roman" w:hAnsi="Times New Roman"/>
          <w:color w:val="000000" w:themeColor="text1"/>
          <w:sz w:val="16"/>
          <w:szCs w:val="16"/>
        </w:rPr>
        <w:softHyphen/>
        <w:t>печению установленной программы выпуска самолетов и моторов в 1942 г.</w:t>
      </w:r>
    </w:p>
    <w:p w14:paraId="6C8B8D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Заместителям Наркома т.т. Сандлер СЛ.1., Кузнецову А.И., т. Завитаеву А.А., Начальнику Главснаба т. Гришину Л.А.-| с привлечением Начальников Главных Управлений и Отделов НКАП представить мне к 25 апреля с.г. проект решения Государствен</w:t>
      </w:r>
      <w:r w:rsidRPr="008127F8">
        <w:rPr>
          <w:rFonts w:ascii="Times New Roman" w:hAnsi="Times New Roman"/>
          <w:color w:val="000000" w:themeColor="text1"/>
          <w:sz w:val="16"/>
          <w:szCs w:val="16"/>
        </w:rPr>
        <w:softHyphen/>
        <w:t>ного Комитета Обороны по материально-техническому обеспечению заводов Наркомавиапрома. в 1942 г.</w:t>
      </w:r>
    </w:p>
    <w:p w14:paraId="40B89C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Заместителю Наркома т. Сандлер С.1/1. и Начальнику •Главснаба НКАП тов. Гришину принять к исполнению постановле</w:t>
      </w:r>
      <w:r w:rsidRPr="008127F8">
        <w:rPr>
          <w:rFonts w:ascii="Times New Roman" w:hAnsi="Times New Roman"/>
          <w:color w:val="000000" w:themeColor="text1"/>
          <w:sz w:val="16"/>
          <w:szCs w:val="16"/>
        </w:rPr>
        <w:softHyphen/>
        <w:t>ние ГОРЮ об организации в г. Новосибирске крупной базы Глав</w:t>
      </w:r>
      <w:r w:rsidRPr="008127F8">
        <w:rPr>
          <w:rFonts w:ascii="Times New Roman" w:hAnsi="Times New Roman"/>
          <w:color w:val="000000" w:themeColor="text1"/>
          <w:sz w:val="16"/>
          <w:szCs w:val="16"/>
        </w:rPr>
        <w:softHyphen/>
        <w:t>снаба НКАП и обеспечении этой базы соответствующими материаль</w:t>
      </w:r>
      <w:r w:rsidRPr="008127F8">
        <w:rPr>
          <w:rFonts w:ascii="Times New Roman" w:hAnsi="Times New Roman"/>
          <w:color w:val="000000" w:themeColor="text1"/>
          <w:sz w:val="16"/>
          <w:szCs w:val="16"/>
        </w:rPr>
        <w:softHyphen/>
        <w:t>ными Фондами.</w:t>
      </w:r>
    </w:p>
    <w:p w14:paraId="054DAA5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Наркома т. Визирян Г.В. и Управляющему Стройтрестом т. Капустину обеспечить окончание во П-м квартале с.г. крытых складов площадью 6000 кв.метров , на</w:t>
      </w:r>
      <w:r w:rsidRPr="008127F8">
        <w:rPr>
          <w:rFonts w:ascii="Times New Roman" w:hAnsi="Times New Roman"/>
          <w:color w:val="000000" w:themeColor="text1"/>
          <w:sz w:val="16"/>
          <w:szCs w:val="16"/>
        </w:rPr>
        <w:softHyphen/>
        <w:t>чатых строительством на площадке завода Д 335 и окончание строительства всех об»ектов базы с вводом в ексшюатациго их в Ш квартале 1942 г.</w:t>
      </w:r>
    </w:p>
    <w:p w14:paraId="0F8CCC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Начальнику Планово-Экономического Отдела НКАП -тов. Голубцову Е.Ф. немедленно приступить к составлению пла</w:t>
      </w:r>
      <w:r w:rsidRPr="008127F8">
        <w:rPr>
          <w:rFonts w:ascii="Times New Roman" w:hAnsi="Times New Roman"/>
          <w:color w:val="000000" w:themeColor="text1"/>
          <w:sz w:val="16"/>
          <w:szCs w:val="16"/>
        </w:rPr>
        <w:softHyphen/>
        <w:t xml:space="preserve">на на 1942 г. и представить мне на. </w:t>
      </w:r>
      <w:proofErr w:type="gramStart"/>
      <w:r w:rsidRPr="008127F8">
        <w:rPr>
          <w:rFonts w:ascii="Times New Roman" w:hAnsi="Times New Roman"/>
          <w:color w:val="000000" w:themeColor="text1"/>
          <w:sz w:val="16"/>
          <w:szCs w:val="16"/>
        </w:rPr>
        <w:t>утверждение :</w:t>
      </w:r>
      <w:proofErr w:type="gramEnd"/>
    </w:p>
    <w:p w14:paraId="279EB3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 позднее 20 апреля с.г. план выпуска продукции в 1942 г. по агрегатным, винтовым, приборным</w:t>
      </w:r>
      <w:proofErr w:type="gramStart"/>
      <w:r w:rsidRPr="008127F8">
        <w:rPr>
          <w:rFonts w:ascii="Times New Roman" w:hAnsi="Times New Roman"/>
          <w:color w:val="000000" w:themeColor="text1"/>
          <w:sz w:val="16"/>
          <w:szCs w:val="16"/>
        </w:rPr>
        <w:t>, ?леталлургичес</w:t>
      </w:r>
      <w:proofErr w:type="gramEnd"/>
      <w:r w:rsidRPr="008127F8">
        <w:rPr>
          <w:rFonts w:ascii="Times New Roman" w:hAnsi="Times New Roman"/>
          <w:color w:val="000000" w:themeColor="text1"/>
          <w:sz w:val="16"/>
          <w:szCs w:val="16"/>
        </w:rPr>
        <w:t>-ким и планерным заводам НКАП,</w:t>
      </w:r>
    </w:p>
    <w:p w14:paraId="0E6999C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10 мая с.г, контрольные цифры плана по НКАП на 1942 г. по ценостным и качественным показателям.</w:t>
      </w:r>
    </w:p>
    <w:p w14:paraId="043CA1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Начальникам Главных Управлений представить в ПЭО НКАП не позднее 10 апреля с.г. заявки на изделия ыаркоматс-кой кооперации / винты, агрегаты, приборы, поковки, штампов</w:t>
      </w:r>
      <w:r w:rsidRPr="008127F8">
        <w:rPr>
          <w:rFonts w:ascii="Times New Roman" w:hAnsi="Times New Roman"/>
          <w:color w:val="000000" w:themeColor="text1"/>
          <w:sz w:val="16"/>
          <w:szCs w:val="16"/>
        </w:rPr>
        <w:softHyphen/>
        <w:t>ки и прокат / на 1942 г (1604,60).</w:t>
      </w:r>
    </w:p>
    <w:p w14:paraId="25139A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0933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ГКО № 1560 [О разрешении совместных испытаний НИИ ВВС и НКАП.] (7029, 63).</w:t>
      </w:r>
    </w:p>
    <w:p w14:paraId="22ED61C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CCE83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Нач. ГУ ГВФ В.С.Молоков писал Л.П.Б., что на два ПС-84 вместо МВ-3 поставили УТК-1 с УБК - одну на завлде, а другую - в мастерских ГВФ</w:t>
      </w:r>
    </w:p>
    <w:p w14:paraId="5AF6109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37163C8"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апреля 1942 г. Нарком авиапромышленности Шахурин в приказе №258сс констатировал: «ГКО постановлением № ГОКО- 1522сс от 1 апреля 1942 установил, что большинство эваку</w:t>
      </w:r>
      <w:r w:rsidRPr="008A2E5A">
        <w:rPr>
          <w:rFonts w:ascii="Times New Roman" w:hAnsi="Times New Roman"/>
          <w:color w:val="0070C0"/>
          <w:sz w:val="16"/>
          <w:szCs w:val="16"/>
        </w:rPr>
        <w:softHyphen/>
        <w:t>ированных авиазаводов работает не на полную мощность, в результате чего авиапромышленность дает меньше поло</w:t>
      </w:r>
      <w:r w:rsidRPr="008A2E5A">
        <w:rPr>
          <w:rFonts w:ascii="Times New Roman" w:hAnsi="Times New Roman"/>
          <w:color w:val="0070C0"/>
          <w:sz w:val="16"/>
          <w:szCs w:val="16"/>
        </w:rPr>
        <w:softHyphen/>
        <w:t>вины продукции по сравнению с тем, что может быть сня</w:t>
      </w:r>
      <w:r w:rsidRPr="008A2E5A">
        <w:rPr>
          <w:rFonts w:ascii="Times New Roman" w:hAnsi="Times New Roman"/>
          <w:color w:val="0070C0"/>
          <w:sz w:val="16"/>
          <w:szCs w:val="16"/>
        </w:rPr>
        <w:softHyphen/>
        <w:t>то с имеющихся производственных мощностей. Полезная отдача оборудования и производительность труда неудов</w:t>
      </w:r>
      <w:r w:rsidRPr="008A2E5A">
        <w:rPr>
          <w:rFonts w:ascii="Times New Roman" w:hAnsi="Times New Roman"/>
          <w:color w:val="0070C0"/>
          <w:sz w:val="16"/>
          <w:szCs w:val="16"/>
        </w:rPr>
        <w:softHyphen/>
        <w:t>летворительны. Наиболее слабо используемой по-прежнему является группа сибирских заводов. С целью максимального увеличения выпуска продукции, ГКО утвердил основные типы боевых самолетов для массово-серийного производства на заводах НКАП в 1942: одноместный истребитель Як-1, Як-7, одноместный штурмовик Ил-2, ББ Пе-2 и ДБ Ил-4...» (24139).</w:t>
      </w:r>
    </w:p>
    <w:p w14:paraId="100DE48D"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25683 боевых самолетов, которые требовалось сдать в 1942 году, 1199 должны были быть типа Ил-4. Нарком требовал: «Начальникам ГУ (главков Наркомата) принять решительные меры по улучшению работы заводов, стопроцентному использованию рабсилы и оборудования, резкому повышению производитель</w:t>
      </w:r>
      <w:r w:rsidRPr="008A2E5A">
        <w:rPr>
          <w:rFonts w:ascii="Times New Roman" w:hAnsi="Times New Roman"/>
          <w:color w:val="0070C0"/>
          <w:sz w:val="16"/>
          <w:szCs w:val="16"/>
        </w:rPr>
        <w:softHyphen/>
        <w:t>ности труда и по бесперебойному снабжению заводов НКАП материалами и агрегатами, для чего в месячный срок разра</w:t>
      </w:r>
      <w:r w:rsidRPr="008A2E5A">
        <w:rPr>
          <w:rFonts w:ascii="Times New Roman" w:hAnsi="Times New Roman"/>
          <w:color w:val="0070C0"/>
          <w:sz w:val="16"/>
          <w:szCs w:val="16"/>
        </w:rPr>
        <w:softHyphen/>
        <w:t>ботать и утвердить по каждому заводу план оргтехмероприятий, обеспечивающий выполнение установленной програм</w:t>
      </w:r>
      <w:r w:rsidRPr="008A2E5A">
        <w:rPr>
          <w:rFonts w:ascii="Times New Roman" w:hAnsi="Times New Roman"/>
          <w:color w:val="0070C0"/>
          <w:sz w:val="16"/>
          <w:szCs w:val="16"/>
        </w:rPr>
        <w:softHyphen/>
        <w:t>мы выпуска самолетов, моторов, винтов, колес, приборов, радиаторов и других агрегатов». Выполнить это было непросто. Только не срывавшийся с места завод №126 в Комсомольске-на-Амуре существенно при</w:t>
      </w:r>
      <w:r w:rsidRPr="008A2E5A">
        <w:rPr>
          <w:rFonts w:ascii="Times New Roman" w:hAnsi="Times New Roman"/>
          <w:color w:val="0070C0"/>
          <w:sz w:val="16"/>
          <w:szCs w:val="16"/>
        </w:rPr>
        <w:softHyphen/>
        <w:t>бавил темп выпуска Ил-4: за 1941 год он сдал 385 Ил-4, а в 1942 году — уже 695, за что коллектив был отмечен орденом Ленина и премиями (24139).</w:t>
      </w:r>
    </w:p>
    <w:p w14:paraId="0005A721" w14:textId="77777777" w:rsidR="00EF77FA" w:rsidRPr="008A2E5A" w:rsidRDefault="00EF77FA" w:rsidP="00EF77FA">
      <w:pPr>
        <w:spacing w:after="0" w:line="240" w:lineRule="auto"/>
        <w:jc w:val="both"/>
        <w:rPr>
          <w:rFonts w:ascii="Times New Roman" w:hAnsi="Times New Roman"/>
          <w:color w:val="0070C0"/>
          <w:sz w:val="16"/>
          <w:szCs w:val="16"/>
        </w:rPr>
      </w:pPr>
    </w:p>
    <w:p w14:paraId="399726FA"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апреля 1942 г. Из объяснительной записки директора завода № 387 И. В. Федина к акту проверки производственной деятельности завода Наркоматом госконтроля СССР</w:t>
      </w:r>
    </w:p>
    <w:p w14:paraId="76BF173D"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В 1-м квартале 1942 г. заводом изготовлено и сдано 258 самолетов У-2 М-11. Для обеспечения утвержденного плана выпуска самолетов в I-м квартале с. г. завод вместо 571 мотора М-11 получил только 180. Нормальной работе завода также препятствовали систематические недопоставки материалов (углеродистые </w:t>
      </w:r>
      <w:proofErr w:type="gramStart"/>
      <w:r w:rsidRPr="008A2E5A">
        <w:rPr>
          <w:rFonts w:ascii="Times New Roman" w:hAnsi="Times New Roman"/>
          <w:color w:val="0070C0"/>
          <w:sz w:val="16"/>
          <w:szCs w:val="16"/>
        </w:rPr>
        <w:t>трубы,.</w:t>
      </w:r>
      <w:proofErr w:type="gramEnd"/>
      <w:r w:rsidRPr="008A2E5A">
        <w:rPr>
          <w:rFonts w:ascii="Times New Roman" w:hAnsi="Times New Roman"/>
          <w:color w:val="0070C0"/>
          <w:sz w:val="16"/>
          <w:szCs w:val="16"/>
        </w:rPr>
        <w:t xml:space="preserve"> листовая сталь, пруток, эмалит, казеин и др.) и готовых изделий (аккумуляторы, магнето, колеса, ленты расчалки и др.). Напряженное положение с получением ряда материалов и готовых изделий поставило перед заводом задачу максимального использования имеющихся на месте возможностей. </w:t>
      </w:r>
    </w:p>
    <w:p w14:paraId="1BEB77DF"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Так, например, вследствие полного прекращения поставок заводом № 36 в октябре-ноябре прошлого года аэролака А.1.Н — основного для производства самолета материала, - завод № 387 в результате лабораторных экспериментов и изысканий, добился изготовления эмалита по рецептуре из компонентов, имеющихся в г. Казани и частично получаемых из восточных районов Союза. </w:t>
      </w:r>
    </w:p>
    <w:p w14:paraId="33627177"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дало возможность организовать производство эмалита в г. Казани на фабрике № 8. [L]1</w:t>
      </w:r>
    </w:p>
    <w:p w14:paraId="62A7B8B2"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Получение заводом ремонтных моторов различных старых серий потребовало от завода проведение большой работы по индивидуальной переделке винтомоторной группы, изготовлению недостающих и переходных деталей, а также длительной доводки в процессе испытания. Все перечисленное нарушало нормальный ход серийного производства и приводило к дополнительным затратам времени и материалов. [...]</w:t>
      </w:r>
    </w:p>
    <w:p w14:paraId="57657608"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 с середины IV квартала прошлого -года перешел на выпуск вооруженного самолета. Постановка серийного производства бомбового вооружения, кассет, шкворневой и люковой установок увеличили трудоемкость самолета на 443 часа. Кроме этого, введение ряда новых дополнительных операций (камуфляж, </w:t>
      </w:r>
    </w:p>
    <w:p w14:paraId="6A6DE3ED"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отепление винтомоторной группы, изготовление деревянных ободов и капотов из фанеры вместо дюралевых и др.), а также изготовление некоторых изделий, ранее получаемых со стороны, увеличил и фактическую, и плановую трудоемкость.</w:t>
      </w:r>
    </w:p>
    <w:p w14:paraId="14CDDED5"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387</w:t>
      </w:r>
      <w:r w:rsidRPr="008A2E5A">
        <w:rPr>
          <w:rFonts w:ascii="Times New Roman" w:hAnsi="Times New Roman"/>
          <w:color w:val="0070C0"/>
          <w:sz w:val="16"/>
          <w:szCs w:val="16"/>
        </w:rPr>
        <w:tab/>
        <w:t>Федин</w:t>
      </w:r>
    </w:p>
    <w:p w14:paraId="38EA3BCA"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инженер</w:t>
      </w:r>
      <w:r w:rsidRPr="008A2E5A">
        <w:rPr>
          <w:rFonts w:ascii="Times New Roman" w:hAnsi="Times New Roman"/>
          <w:color w:val="0070C0"/>
          <w:sz w:val="16"/>
          <w:szCs w:val="16"/>
        </w:rPr>
        <w:tab/>
        <w:t>Зафьянцев</w:t>
      </w:r>
    </w:p>
    <w:p w14:paraId="0D0486E2"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Опущены части текста о перебоях в снабжении завода материалами, о работах</w:t>
      </w:r>
    </w:p>
    <w:p w14:paraId="01B73F0F"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расширению производственных площадей, по обеспечению производства техпроцессом и его</w:t>
      </w:r>
    </w:p>
    <w:p w14:paraId="6DFAC357"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оснащению инструментом и т. д.</w:t>
      </w:r>
    </w:p>
    <w:p w14:paraId="4824D6D8" w14:textId="77777777" w:rsidR="00EF77FA" w:rsidRPr="008A2E5A" w:rsidRDefault="00EF77FA" w:rsidP="00EF77F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P-7483. On. 1. Д. 36. Л. 9-17, 13-14. Отпуск (23802).</w:t>
      </w:r>
    </w:p>
    <w:p w14:paraId="4852FF26" w14:textId="77777777" w:rsidR="00EF77FA" w:rsidRPr="008A2E5A" w:rsidRDefault="00EF77FA" w:rsidP="00EF77FA">
      <w:pPr>
        <w:spacing w:after="0" w:line="240" w:lineRule="auto"/>
        <w:jc w:val="both"/>
        <w:rPr>
          <w:rFonts w:ascii="Times New Roman" w:hAnsi="Times New Roman"/>
          <w:color w:val="0070C0"/>
          <w:sz w:val="16"/>
          <w:szCs w:val="16"/>
        </w:rPr>
      </w:pPr>
    </w:p>
    <w:p w14:paraId="2CE6BBE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г. было письмо: «Инженеру по вооружению ВВС Юго-Западного фронт от инженера по вооружению 6-й армии военинженера 2 ранга Моисеев ко. При сем представляю снимки зенитной установки для стрельбы по воздушным целям снарядами РС-82, изготовленной начальником артил-лерийско-воздушной службы 13-го гбап капитаном Стельмуховым. Лич</w:t>
      </w:r>
      <w:r w:rsidRPr="008127F8">
        <w:rPr>
          <w:rFonts w:ascii="Times New Roman" w:hAnsi="Times New Roman"/>
          <w:color w:val="000000" w:themeColor="text1"/>
          <w:sz w:val="16"/>
          <w:szCs w:val="16"/>
        </w:rPr>
        <w:softHyphen/>
        <w:t>но мое мнение:</w:t>
      </w:r>
    </w:p>
    <w:p w14:paraId="2AC296D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Изготовленная зенитная установка и прицельное приспособление для стрельбы по воздушным целям снарядами РС-82 не является совер</w:t>
      </w:r>
      <w:r w:rsidRPr="008127F8">
        <w:rPr>
          <w:rFonts w:ascii="Times New Roman" w:hAnsi="Times New Roman"/>
          <w:color w:val="000000" w:themeColor="text1"/>
          <w:sz w:val="16"/>
          <w:szCs w:val="16"/>
        </w:rPr>
        <w:softHyphen/>
        <w:t>шенным средством.</w:t>
      </w:r>
    </w:p>
    <w:p w14:paraId="0621390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Практика стрельб из таких установок по воздушному противнику существенных результатов не дала.</w:t>
      </w:r>
    </w:p>
    <w:p w14:paraId="43959E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Ограниченность снабжения летных частей снарядами РС-82 ис</w:t>
      </w:r>
      <w:r w:rsidRPr="008127F8">
        <w:rPr>
          <w:rFonts w:ascii="Times New Roman" w:hAnsi="Times New Roman"/>
          <w:color w:val="000000" w:themeColor="text1"/>
          <w:sz w:val="16"/>
          <w:szCs w:val="16"/>
        </w:rPr>
        <w:softHyphen/>
        <w:t>ключает возможность широкого применения данных установок и при</w:t>
      </w:r>
      <w:r w:rsidRPr="008127F8">
        <w:rPr>
          <w:rFonts w:ascii="Times New Roman" w:hAnsi="Times New Roman"/>
          <w:color w:val="000000" w:themeColor="text1"/>
          <w:sz w:val="16"/>
          <w:szCs w:val="16"/>
        </w:rPr>
        <w:softHyphen/>
        <w:t>менение их в системе ПВО из-за отсутствия снарядов РС-82».</w:t>
      </w:r>
    </w:p>
    <w:p w14:paraId="5DF26A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Верность гипотезы о такой своеобразной «утилизации» РС в пол</w:t>
      </w:r>
      <w:r w:rsidRPr="008127F8">
        <w:rPr>
          <w:rFonts w:ascii="Times New Roman" w:hAnsi="Times New Roman"/>
          <w:color w:val="000000" w:themeColor="text1"/>
          <w:sz w:val="16"/>
          <w:szCs w:val="16"/>
        </w:rPr>
        <w:softHyphen/>
        <w:t>ках истребительной авиации подтверждает то, что подобные установ</w:t>
      </w:r>
      <w:r w:rsidRPr="008127F8">
        <w:rPr>
          <w:rFonts w:ascii="Times New Roman" w:hAnsi="Times New Roman"/>
          <w:color w:val="000000" w:themeColor="text1"/>
          <w:sz w:val="16"/>
          <w:szCs w:val="16"/>
        </w:rPr>
        <w:softHyphen/>
        <w:t>ки «фронтовых умельцев» повсеместно стреляли только 82-мм РС, которыми в основном и снабжали истребительную авиацию. Хотя, вроде бы, кто мешал изготовить подобную установку и для стрельбы 132-мм снарядами? Возможные возражения, что тогда установка бу</w:t>
      </w:r>
      <w:r w:rsidRPr="008127F8">
        <w:rPr>
          <w:rFonts w:ascii="Times New Roman" w:hAnsi="Times New Roman"/>
          <w:color w:val="000000" w:themeColor="text1"/>
          <w:sz w:val="16"/>
          <w:szCs w:val="16"/>
        </w:rPr>
        <w:softHyphen/>
        <w:t>дет тяжелее или что продукты горения РЗ более мощного снаряда бу</w:t>
      </w:r>
      <w:r w:rsidRPr="008127F8">
        <w:rPr>
          <w:rFonts w:ascii="Times New Roman" w:hAnsi="Times New Roman"/>
          <w:color w:val="000000" w:themeColor="text1"/>
          <w:sz w:val="16"/>
          <w:szCs w:val="16"/>
        </w:rPr>
        <w:softHyphen/>
        <w:t>дут обжигать стрелка-оператора, неочевидны. Скорее, РС-132, стар</w:t>
      </w:r>
      <w:r w:rsidRPr="008127F8">
        <w:rPr>
          <w:rFonts w:ascii="Times New Roman" w:hAnsi="Times New Roman"/>
          <w:color w:val="000000" w:themeColor="text1"/>
          <w:sz w:val="16"/>
          <w:szCs w:val="16"/>
        </w:rPr>
        <w:softHyphen/>
        <w:t>туя практически в зенит, будут поднимать еще большие клубы пыли, что не столько демаскирует позицию «ракетного зенитчика», сколько закроет ему весь обзор. Что же касается «установки Бородина», то, по-видимому, последующая ее модернизация сводилась не столько к уси</w:t>
      </w:r>
      <w:r w:rsidRPr="008127F8">
        <w:rPr>
          <w:rFonts w:ascii="Times New Roman" w:hAnsi="Times New Roman"/>
          <w:color w:val="000000" w:themeColor="text1"/>
          <w:sz w:val="16"/>
          <w:szCs w:val="16"/>
        </w:rPr>
        <w:softHyphen/>
        <w:t>лению прочности зенитной турели, сколько к увеличению количества РО на ней.</w:t>
      </w:r>
    </w:p>
    <w:p w14:paraId="37F4B0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воспоминаниям фронтовика штурмана-бомбардировщика Лилина А.В., «мы всегда ожидали нападений немцев на наши аэродро</w:t>
      </w:r>
      <w:r w:rsidRPr="008127F8">
        <w:rPr>
          <w:rFonts w:ascii="Times New Roman" w:hAnsi="Times New Roman"/>
          <w:color w:val="000000" w:themeColor="text1"/>
          <w:sz w:val="16"/>
          <w:szCs w:val="16"/>
        </w:rPr>
        <w:softHyphen/>
        <w:t>мы, и поэтому в районе каждого аэродрома находились установки МЗА и зенитных пулемётов. Для усиления этих средств на нашем аэродроме Хотилово весной 1942 г. была смонтирована установка реактивных снаря</w:t>
      </w:r>
      <w:r w:rsidRPr="008127F8">
        <w:rPr>
          <w:rFonts w:ascii="Times New Roman" w:hAnsi="Times New Roman"/>
          <w:color w:val="000000" w:themeColor="text1"/>
          <w:sz w:val="16"/>
          <w:szCs w:val="16"/>
        </w:rPr>
        <w:softHyphen/>
        <w:t>дов РС-82 (таких же, какие были закреплены на направляющих «Пе-2»). Что собой представляла эта установка? В земле рыли яму диаметром в один метр и глубиной 70—80 см. Внутри этой ямы устанавливалась ту</w:t>
      </w:r>
      <w:r w:rsidRPr="008127F8">
        <w:rPr>
          <w:rFonts w:ascii="Times New Roman" w:hAnsi="Times New Roman"/>
          <w:color w:val="000000" w:themeColor="text1"/>
          <w:sz w:val="16"/>
          <w:szCs w:val="16"/>
        </w:rPr>
        <w:softHyphen/>
        <w:t>рель, изготовленная в самолётных мастерских (ПАРМ). К ней по бокам приваривались направляющие для восьми РС-82. На турели устанавли</w:t>
      </w:r>
      <w:r w:rsidRPr="008127F8">
        <w:rPr>
          <w:rFonts w:ascii="Times New Roman" w:hAnsi="Times New Roman"/>
          <w:color w:val="000000" w:themeColor="text1"/>
          <w:sz w:val="16"/>
          <w:szCs w:val="16"/>
        </w:rPr>
        <w:softHyphen/>
        <w:t>вали простейший визир для прицеливания. Дистанционные трубки ста</w:t>
      </w:r>
      <w:r w:rsidRPr="008127F8">
        <w:rPr>
          <w:rFonts w:ascii="Times New Roman" w:hAnsi="Times New Roman"/>
          <w:color w:val="000000" w:themeColor="text1"/>
          <w:sz w:val="16"/>
          <w:szCs w:val="16"/>
        </w:rPr>
        <w:softHyphen/>
        <w:t xml:space="preserve">вились на различную дальность (от 800 до 4000 м). От аккумулятора к тумблерам включения подводились провода. Дежурный штурман </w:t>
      </w:r>
      <w:proofErr w:type="gramStart"/>
      <w:r w:rsidRPr="008127F8">
        <w:rPr>
          <w:rFonts w:ascii="Times New Roman" w:hAnsi="Times New Roman"/>
          <w:color w:val="000000" w:themeColor="text1"/>
          <w:sz w:val="16"/>
          <w:szCs w:val="16"/>
        </w:rPr>
        <w:t>( дежурили</w:t>
      </w:r>
      <w:proofErr w:type="gramEnd"/>
      <w:r w:rsidRPr="008127F8">
        <w:rPr>
          <w:rFonts w:ascii="Times New Roman" w:hAnsi="Times New Roman"/>
          <w:color w:val="000000" w:themeColor="text1"/>
          <w:sz w:val="16"/>
          <w:szCs w:val="16"/>
        </w:rPr>
        <w:t xml:space="preserve"> на этой установке только штурмана) находился внутри турели, ничем не защищённый ни от возможных взрывов бомб в районе установки, ни от пыли и земли, поднимавшейся позади установки при возгора</w:t>
      </w:r>
      <w:r w:rsidRPr="008127F8">
        <w:rPr>
          <w:rFonts w:ascii="Times New Roman" w:hAnsi="Times New Roman"/>
          <w:color w:val="000000" w:themeColor="text1"/>
          <w:sz w:val="16"/>
          <w:szCs w:val="16"/>
        </w:rPr>
        <w:softHyphen/>
        <w:t>нии заряда РС.</w:t>
      </w:r>
    </w:p>
    <w:p w14:paraId="41154D3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Мне дежурить пришлось как-то в начале августа. И, замечу, что до этого ни одному дежурному не приходилось стрелять из этой установки. Но кому-то ж надо было начинать. Времени было примерно четыре-пять часов вечера. Погода стояла малооблачная. Отдельные облака были на высоте 1500—2000 м. Вдруг по телефону с КП полка передали, что груп</w:t>
      </w:r>
      <w:r w:rsidRPr="008127F8">
        <w:rPr>
          <w:rFonts w:ascii="Times New Roman" w:hAnsi="Times New Roman"/>
          <w:color w:val="000000" w:themeColor="text1"/>
          <w:sz w:val="16"/>
          <w:szCs w:val="16"/>
        </w:rPr>
        <w:softHyphen/>
        <w:t>па Ю-88 идёт на аэродром от железнодорожной станции Бологое. И дей</w:t>
      </w:r>
      <w:r w:rsidRPr="008127F8">
        <w:rPr>
          <w:rFonts w:ascii="Times New Roman" w:hAnsi="Times New Roman"/>
          <w:color w:val="000000" w:themeColor="text1"/>
          <w:sz w:val="16"/>
          <w:szCs w:val="16"/>
        </w:rPr>
        <w:softHyphen/>
        <w:t>ствительно, минут через семь-десять я сначала услышал шум, а затем увидел на горизонте на удалении 10—12 км группу около двадцати само</w:t>
      </w:r>
      <w:r w:rsidRPr="008127F8">
        <w:rPr>
          <w:rFonts w:ascii="Times New Roman" w:hAnsi="Times New Roman"/>
          <w:color w:val="000000" w:themeColor="text1"/>
          <w:sz w:val="16"/>
          <w:szCs w:val="16"/>
        </w:rPr>
        <w:softHyphen/>
        <w:t>летов, летящих в направлении нашего аэродрома.</w:t>
      </w:r>
    </w:p>
    <w:p w14:paraId="6940C4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теперь представьте, я никогда не имел возможности видеть на чьем-то опыте, как происходит стрельба из нашей импровизированной установки. Соответственно, определенный страх ощущался. Но в то же время долг, который был возложен на меня, заставлял подобраться внут</w:t>
      </w:r>
      <w:r w:rsidRPr="008127F8">
        <w:rPr>
          <w:rFonts w:ascii="Times New Roman" w:hAnsi="Times New Roman"/>
          <w:color w:val="000000" w:themeColor="text1"/>
          <w:sz w:val="16"/>
          <w:szCs w:val="16"/>
        </w:rPr>
        <w:softHyphen/>
        <w:t>ренне и подготовиться к пуску ракет. Я включил тумблер аккумулятора и стал ждать, когда группа подойдет на заданную дистанцию. Определив дальность, включил тумблер пускаемой ракеты и стал ждать. А у самого так сердце забилось... Но вот пора, нажимаю: пуск! Ракета пошла, под</w:t>
      </w:r>
      <w:r w:rsidRPr="008127F8">
        <w:rPr>
          <w:rFonts w:ascii="Times New Roman" w:hAnsi="Times New Roman"/>
          <w:color w:val="000000" w:themeColor="text1"/>
          <w:sz w:val="16"/>
          <w:szCs w:val="16"/>
        </w:rPr>
        <w:softHyphen/>
        <w:t>няв с правой стороны и сзади клубы пыли.</w:t>
      </w:r>
    </w:p>
    <w:p w14:paraId="74C203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я поторопился в тот раз, и ракета разорвалась впереди бое</w:t>
      </w:r>
      <w:r w:rsidRPr="008127F8">
        <w:rPr>
          <w:rFonts w:ascii="Times New Roman" w:hAnsi="Times New Roman"/>
          <w:color w:val="000000" w:themeColor="text1"/>
          <w:sz w:val="16"/>
          <w:szCs w:val="16"/>
        </w:rPr>
        <w:softHyphen/>
        <w:t>вого порядка. Но тут же приободрился, так как увидел, что со мной ни</w:t>
      </w:r>
      <w:r w:rsidRPr="008127F8">
        <w:rPr>
          <w:rFonts w:ascii="Times New Roman" w:hAnsi="Times New Roman"/>
          <w:color w:val="000000" w:themeColor="text1"/>
          <w:sz w:val="16"/>
          <w:szCs w:val="16"/>
        </w:rPr>
        <w:softHyphen/>
        <w:t>чего не случилось, и начал пускать ракеты по мере подхода противника на нужную дистанцию. Признаюсь, в тот раз ни одного самолёта я не сбил, однако боевой порядок фашистов отвернул от аэродрома, и бомбы были сброшены на его окраине, не причинив особого вреда.</w:t>
      </w:r>
    </w:p>
    <w:p w14:paraId="52151B7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 все пришли в себя после бомбежки, ко мне подбежали с бли</w:t>
      </w:r>
      <w:r w:rsidRPr="008127F8">
        <w:rPr>
          <w:rFonts w:ascii="Times New Roman" w:hAnsi="Times New Roman"/>
          <w:color w:val="000000" w:themeColor="text1"/>
          <w:sz w:val="16"/>
          <w:szCs w:val="16"/>
        </w:rPr>
        <w:softHyphen/>
        <w:t>жайших стоянок ребята из летного и технического состава. Все так и по</w:t>
      </w:r>
      <w:r w:rsidRPr="008127F8">
        <w:rPr>
          <w:rFonts w:ascii="Times New Roman" w:hAnsi="Times New Roman"/>
          <w:color w:val="000000" w:themeColor="text1"/>
          <w:sz w:val="16"/>
          <w:szCs w:val="16"/>
        </w:rPr>
        <w:softHyphen/>
        <w:t>падали от смеха, настолько я был грязен от пыли и пороховых выхлопов после пуска ракет. Благодаря такому моему опыту, на станины турели бы</w:t>
      </w:r>
      <w:r w:rsidRPr="008127F8">
        <w:rPr>
          <w:rFonts w:ascii="Times New Roman" w:hAnsi="Times New Roman"/>
          <w:color w:val="000000" w:themeColor="text1"/>
          <w:sz w:val="16"/>
          <w:szCs w:val="16"/>
        </w:rPr>
        <w:softHyphen/>
        <w:t xml:space="preserve">ли навешены металлические щиты для предохранения дежурного. Мне опыт тоже пошел впрок, и в следующий раз, когда пришлось дежурить, </w:t>
      </w:r>
      <w:proofErr w:type="gramStart"/>
      <w:r w:rsidRPr="008127F8">
        <w:rPr>
          <w:rFonts w:ascii="Times New Roman" w:hAnsi="Times New Roman"/>
          <w:color w:val="000000" w:themeColor="text1"/>
          <w:sz w:val="16"/>
          <w:szCs w:val="16"/>
        </w:rPr>
        <w:t>я Уже</w:t>
      </w:r>
      <w:proofErr w:type="gramEnd"/>
      <w:r w:rsidRPr="008127F8">
        <w:rPr>
          <w:rFonts w:ascii="Times New Roman" w:hAnsi="Times New Roman"/>
          <w:color w:val="000000" w:themeColor="text1"/>
          <w:sz w:val="16"/>
          <w:szCs w:val="16"/>
        </w:rPr>
        <w:t xml:space="preserve"> не боялся установки и готов был опять смело выполнять поставленную передо мной задачу» (11402).</w:t>
      </w:r>
    </w:p>
    <w:p w14:paraId="0ECB362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8C65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10EBB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DFF4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ГКО № 1558 Об организации сбора стальных шлемов на полях сражений. (7029, 56).</w:t>
      </w:r>
    </w:p>
    <w:p w14:paraId="3447D72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15FD9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ГКО № 1559 О повышении заработной платы руководящих работников железных дорог. (7029, 57,58-62).</w:t>
      </w:r>
    </w:p>
    <w:p w14:paraId="3DAD439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7069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ГКО № 1561 О приеме в постоянную эксплуатацию железнодорожного тоннельного перехода реки Амур (строительстве № 4 НКПС). (7029, 64-65).</w:t>
      </w:r>
    </w:p>
    <w:p w14:paraId="1794D00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DA2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ГКО № 1563 О строительстве газопровода Бугуруслан-Куйбышев. РГАНИР, Фонд ГКО, д. 28, лл. 67-71, 72-73 (11012).</w:t>
      </w:r>
    </w:p>
    <w:p w14:paraId="174D93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61188"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7AB52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20FAD"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апреля</w:t>
      </w:r>
      <w:r w:rsidRPr="008127F8">
        <w:rPr>
          <w:rFonts w:ascii="Times New Roman" w:hAnsi="Times New Roman"/>
          <w:color w:val="000000" w:themeColor="text1"/>
          <w:sz w:val="16"/>
          <w:szCs w:val="16"/>
        </w:rPr>
        <w:t xml:space="preserve"> в 1942 году утреннее сообщение Совинформбюро:</w:t>
      </w:r>
    </w:p>
    <w:p w14:paraId="287032B8"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7 апреля на фронте каких-либо существенных изменений не произошло.</w:t>
      </w:r>
    </w:p>
    <w:p w14:paraId="735692A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стремясь вернуть захваченные на днях советскими войсками населённые пункты, немцы предприняли контратаку, поддержанную танками. Наши бойцы, отбросив противника, подбили 3 немецких танка и захватили 5 пулемётов. На поле боя осталось около 100 вражеских трупов. На другом участке советские артиллеристы за два дня разрушили 17 ДЗОТов и блиндажей, 5 пулемётных гнёзд, 2 наблюдательных пункта и взорвали склад с боеприпасами.</w:t>
      </w:r>
    </w:p>
    <w:p w14:paraId="5B44503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действующие на одном из участков Калининского фронта, за день освободили от немецко-фашистских захватчиков 11 населённых пунктов. Враг понёс большие потери в живой силе и технике. Взяты трофеи. На другом участке фронта наша часть уничтожила до роты пехоты противника, 20 пулемётов и 25 ДЗОТов и блиндажей. Наш тяжёлый танк в этом бою раздавил 4 немецких орудия и 7 пулемётных гнёзд.</w:t>
      </w:r>
    </w:p>
    <w:p w14:paraId="66C6B92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красноармейцев во главе с тов. Шелингер по заданию командования проникла в тыл противника. Немцам удалось окружить наших бойцов. Советские патриоты вступили в бой, прорвали кольцо окружения и вышли к своей части. В этом бою тов. Шелингер лично уничтожил офицера и 6 немецких солдат.</w:t>
      </w:r>
    </w:p>
    <w:p w14:paraId="70BAFA1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ленинградских партизанских отрядов, объединённых под командованием товарищей В. и Т., в течение месяца уничтожили 770 гитлеровцев. Бойцы партизанских отрядов организовали 2 взрыва железнодорожного полотна и заминировали дороги. На минах взорвалось 30 автомашин с грузами и пехотой противника.</w:t>
      </w:r>
    </w:p>
    <w:p w14:paraId="50184EA4"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Немецкий солдат Эрик Мерке писал недавно на родину: «Кругом мертво... В деревнях только одни женщины и дети. Мужчин нет. Они все ушли в партизаны. Поэтому здесь очень опасно. Каждый неосторожный шаг приводит к гибели... Из-за каждого угла то и дело раздаются выстрелы по нас. Одному здесь опасно ходить. Даже на расстояние в 1 километр от деревни посылают не меньше 4 солдат. Но и это связано с большим риском.</w:t>
      </w:r>
    </w:p>
    <w:p w14:paraId="4F8DDC25"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снабжены всем необходимым вооружением. За линией фронта, в необозримых лесах, находятся их логовища, где хранятся продовольствие, боеприпасы и радио. Их трудно найти. День и ночь они носятся по нашему району, появляются молниеносно, совершат нападение, а потом так же внезапно исчезают».</w:t>
      </w:r>
    </w:p>
    <w:p w14:paraId="104346D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полка «Нордланд» немецкой дивизии «Викинг» норвежец Асбьерн Бекстрем рассказал: «Немцы очень жестоко обращаются с населением в оккупированных советских районах. Солдаты разбойничают, грабят жителей и забирают всё, что находят. Я сам видел, как солдаты Генрих Райберт и Ганс Мюллер отняли гусей у одной крестьянки. Она запротестовала, тогда Райберт ударил её штыком в грудь».</w:t>
      </w:r>
    </w:p>
    <w:p w14:paraId="00027AC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Многочисленные партизанские отряды блокировали почти все города Боснии (Югославия). В области разрушены все железнодорожные пути и постройки. В осаждённых городах находятся крупные немецкие и итальянские гарнизоны. Между партизанами и осаждёнными войсками оккупантов происходят ожесточённые бои. На днях немцы произвели попытку прорваться из города Приедор на соединение со своими войсками. Партизаны напали на гитлеровцев и истребили более 200 немецких солдат и офицеров.» (15092).</w:t>
      </w:r>
    </w:p>
    <w:p w14:paraId="7A2E079A"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52E685D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апреля</w:t>
      </w:r>
      <w:r w:rsidRPr="008127F8">
        <w:rPr>
          <w:rFonts w:ascii="Times New Roman" w:hAnsi="Times New Roman"/>
          <w:color w:val="000000" w:themeColor="text1"/>
          <w:sz w:val="16"/>
          <w:szCs w:val="16"/>
        </w:rPr>
        <w:t xml:space="preserve"> в 1942 году вечернее сообщение Совинформбюро:</w:t>
      </w:r>
    </w:p>
    <w:p w14:paraId="70A8C00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7 апреля на фронте каких-либо существенных изменений не произошло.</w:t>
      </w:r>
    </w:p>
    <w:p w14:paraId="14DC88B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апреля сбито в воздушных боях и уничтожено на аэродромах 79 самолётов противника. Наши потери—19 самолётов.</w:t>
      </w:r>
    </w:p>
    <w:p w14:paraId="6B76A894"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апреля частями нашей авиации уничтожено или повреждено несколько немецких танков и бронемашин, 100 автомашин с войсками и грузами, около 30 повозок с боеприпасами, 35 полевых и зенитных орудий, 11 зенитно-пулемётных точек, 10 миномётов, взорваны склад с горючим и склад с боеприпасами, разрушен железнодорожный состав, рассеяно и частью уничтожено до 2 рот пехоты противника.</w:t>
      </w:r>
    </w:p>
    <w:p w14:paraId="422E218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(Западный фронт), сломив упорное сопротивление противника, овладела одним из вражеских оборонительных рубежей. Захвачены 3 орудия, 8 пулемётов, 7 автоматов, радиостанция и другие трофеи. В окопах и блиндажах осталось около 100 трупов немецких солдат и офицеров.</w:t>
      </w:r>
    </w:p>
    <w:p w14:paraId="7EC88038"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части, действующей на одном из участков Калининского фронта, 6 апреля ружейно-пулемётным огнём сбили 6 самолётов противника. На другом участке фронта огнём нашей артиллерии подавлено 4 немецкие артиллерийские батареи, 5 миномётных батарей и подбит один танк.</w:t>
      </w:r>
    </w:p>
    <w:p w14:paraId="6CEBD82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младшего лейтенанта Семенихина в течение одного дня четыре раза ходил в атаку на врага. Отважный танкист уничтожил немецкий танк, 2 орудия противотанковой обороны, 2 миномётные батареи, 3 пулемётные точки и разрушил 8 блиндажей. Танк лейтенанта Кутшера, дравшийся на этом же участке, в течение одного дня уничтожил 2 танка противника, 2 орудия противотанковой обороны и пулемётную точку. Отважные танкисты нанесли большой урон живой силе противника.</w:t>
      </w:r>
    </w:p>
    <w:p w14:paraId="2ED15605"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Красноармейцы-повара Дмитриев и Фёдоров везли ужин на передовую позицию. Неожиданно они были обстреляны 5 немецкими автоматчиками. Умело замаскировавшись, красноармейцы открыли огонь и уничтожили 4 немцев. Один вражеский автоматчик взят в плен.</w:t>
      </w:r>
    </w:p>
    <w:p w14:paraId="2FDDDAA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территории Польши уже продолжительное время действует партизанский отряд, которым руководит Казимир Соколинский. Польские патриоты совершают смелые налёты на склады воинских частей и комендатуры немцев. За январь и февраль отряд уничтожил свыше 200 немецких солдат и офицеров. Партизаны взорвали несколько немецких воинских эшелонов и до 40 автомашин. В конце февраля Соколинский во главе отряда пробрался на немецкий аэродром в районе Н. и забросал гранатами дом, где спали немецкие лётчики. Все гитлеровцы были уничтожены. На аэродроме польские патриоты сожгли 3 транспортных самолёта «Ю-52», склад с бензином и запасными частями.</w:t>
      </w:r>
    </w:p>
    <w:p w14:paraId="6D1A148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8 роты 92 полка 18 румынской пехотной дивизии Александр Мареш рассказал: «Наш батальон находился в резерве. Когда русские прорвали нашу линию обороны, офицеры тотчас же удрали. Воспользовавшись этим, сержант Ремулус Груеску собрал солдат своего отделения и сказал: «Сдадимся в плен. В плену нам будет лучше, чем на фронте». Все согласились с ним. Как только русские приблизились к окопам, мы подняли руки и сдались в плен. Солдаты очень обозлены. Некоторые вслух высказывают недовольство войной. За короткий срок из 1 взвода 8роты дезертировали Павел Велическу, Кориолан Попеску и Соломон Мику. Солдаты ругают Антонеску, который, по общему мнению, продал румынскую армию Гитлеру. Солдаты говорят друг другу: «За что мы гибнем в Крыму и на Украине? Нам здесь нечего делать. Пускай нас лучше пошлют против венгров, которые отняли у нас Трансильванию».</w:t>
      </w:r>
    </w:p>
    <w:p w14:paraId="1C927369"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наступлением весенних дней в городах Германии резко возросло количество заболеваний брюшным и сыпным тифом. В особенности много заболеваний среди иностранных рабочих, которые живут в переполненных и грязных бараках. Больным иностранным рабочим не оказывается никакой медицинской помощи. Стало известно, что в начале марта на одном из заводов близ города Гладбах гитлеровцы убили 112 заболевших сыпным тифом рабочих — поляков, французов и норвежцев.» (15092).</w:t>
      </w:r>
    </w:p>
    <w:p w14:paraId="39623A11"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085A7D7D" w14:textId="77777777" w:rsidR="00E20FF9" w:rsidRPr="008127F8" w:rsidRDefault="00E20FF9"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7 апреля 1942 года:</w:t>
      </w:r>
    </w:p>
    <w:p w14:paraId="128CD9B0" w14:textId="77777777" w:rsidR="00E20FF9" w:rsidRPr="008127F8" w:rsidRDefault="00E20FF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ТБ-7 № 42015 - командир корабля полковник Алексеев, штурман майор Романов в 19.20 7/</w:t>
      </w:r>
      <w:r w:rsidRPr="008127F8">
        <w:rPr>
          <w:color w:val="000000" w:themeColor="text1"/>
          <w:sz w:val="16"/>
          <w:szCs w:val="16"/>
          <w:lang w:val="en-US"/>
        </w:rPr>
        <w:t>IV</w:t>
      </w:r>
      <w:r w:rsidRPr="008127F8">
        <w:rPr>
          <w:color w:val="000000" w:themeColor="text1"/>
          <w:sz w:val="16"/>
          <w:szCs w:val="16"/>
        </w:rPr>
        <w:t>-42 г. стартовал с аэродрома Раменское на бомбардирование шел. дор. узла Псков с с задачей уничтожения железнодорожных эшелонов и разрушения путей на ст. пассажирской и товарной. В 22.15 высоты 5000 м на цель сброшено 2 ФАБ-500 и 8 ФАБ-250, бомбы сброшены в один заход серией с интервалом 0,5 сек БК 270°. Бомбы попали на ст. Псков-2я по путям и станционным постройкам. Наблюдение результатов бомбометания было затруднено облачностью. При подходе к цели экипаж наблюдал отдельные огни в г. Псков, которые были потушены с выходом самолета на боевой курс. На участке от Холм до цели и в районе цели сброшено 190 тыс. листовок.</w:t>
      </w:r>
    </w:p>
    <w:p w14:paraId="4087EE08" w14:textId="77777777" w:rsidR="00E20FF9" w:rsidRPr="008127F8" w:rsidRDefault="00E20FF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ПВО противника: Противодействия ЗА у цели не было, прожектора не действовали.</w:t>
      </w:r>
    </w:p>
    <w:p w14:paraId="39C3927B" w14:textId="77777777" w:rsidR="00E20FF9" w:rsidRPr="008127F8" w:rsidRDefault="00E20FF9"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Наблюдениями экипажей установлено: в 21.30 район Холм разрывы снарядов ЗА над облаками, высота около 3000 метров. Действовали три зенитных прожектора. В 20.45 впереди по курсу нашего самолета наблюдался взрыв в воздухе на высоте около 3000 метров, факел огня образовался после взрыва, пошел вниз и скрылся за облаками. Очевидно, был сбит самолет, так как перед взрывом и появлением факела огня видели разрывы снарядов ЗА. В 00.45 экипаж произвел посадку на своем аэродроме. Продолжительность полета 5 часов 25 минут. Матчасть исправна (19105).</w:t>
      </w:r>
    </w:p>
    <w:p w14:paraId="1ED74FE7" w14:textId="77777777" w:rsidR="00E20FF9" w:rsidRPr="008127F8" w:rsidRDefault="00E20FF9" w:rsidP="001E0A84">
      <w:pPr>
        <w:pStyle w:val="31b"/>
        <w:shd w:val="clear" w:color="auto" w:fill="auto"/>
        <w:spacing w:after="0" w:line="240" w:lineRule="auto"/>
        <w:jc w:val="both"/>
        <w:rPr>
          <w:rFonts w:ascii="Times New Roman" w:hAnsi="Times New Roman" w:cs="Times New Roman"/>
          <w:color w:val="000000" w:themeColor="text1"/>
          <w:sz w:val="16"/>
          <w:szCs w:val="16"/>
        </w:rPr>
      </w:pPr>
    </w:p>
    <w:p w14:paraId="452114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ГКО № 1562 О продолжении формирования 15 стрелковых дивизий, выводе с фронта и развертывании в дивизии 20 стрелковых бригад и сформировании 5 гвардейских стрелковых корпусов. РГАНИР, Фонд ГКО, д. 28, лл. 66 (11012).</w:t>
      </w:r>
    </w:p>
    <w:p w14:paraId="212ACB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D912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C1526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669D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СНК и ЦК ВКП(б) выпустили постановление о выделении земли под подсобное хозяйство для рабочих и служащих (512,276).</w:t>
      </w:r>
    </w:p>
    <w:p w14:paraId="75AEC8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F20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вышло постановление ЦК ВКП(б) и СНК О выделении земель для подсобных хозяйств и под огороды рабочих и служащих (3186).</w:t>
      </w:r>
    </w:p>
    <w:p w14:paraId="556A4C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A69B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46B670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014B0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7 April 1942 2000 plane raid on Malta (270).</w:t>
      </w:r>
    </w:p>
    <w:p w14:paraId="14D2F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3A93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1942 в налетах на Мальту приняло участие 2000 немецких самолетов (270).</w:t>
      </w:r>
    </w:p>
    <w:p w14:paraId="6E2E2B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8DF1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апреля</w:t>
      </w:r>
      <w:r w:rsidRPr="008127F8">
        <w:rPr>
          <w:rFonts w:ascii="Times New Roman" w:hAnsi="Times New Roman"/>
          <w:color w:val="000000" w:themeColor="text1"/>
          <w:sz w:val="16"/>
          <w:szCs w:val="16"/>
        </w:rPr>
        <w:t xml:space="preserve"> в 1942 году У.Черчилль обратился к американскому командованию с просьбой о помощи английским силам в Индийском океане (15092).</w:t>
      </w:r>
    </w:p>
    <w:p w14:paraId="78728EA0"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5DD68F4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апреля</w:t>
      </w:r>
      <w:r w:rsidRPr="008127F8">
        <w:rPr>
          <w:rFonts w:ascii="Times New Roman" w:hAnsi="Times New Roman"/>
          <w:color w:val="000000" w:themeColor="text1"/>
          <w:sz w:val="16"/>
          <w:szCs w:val="16"/>
        </w:rPr>
        <w:t xml:space="preserve"> в 1942 году Абвер-2 разрабатывает операцию «Пастух» — ряд крупномасштабных диверсий на алюминиевых заводах США, поставляющих стратегическое сырье на предприятия авиационной промышленности западных союзников. В качестве объектов диверсий и саботажа выбраны: электростанция в Теннеси, снабжающая электроэнергией секретную «атомную лабораторию» и алюминиевые заводы, предприятия «Алюминиевого концерна» США, криолитовый завод в Филадельфии, заводы в Чезапике, водохранилище в Огайо (Цинциннати и Сент-Луис), железнодорожное депо в Пенсильвании (Ньюарк) и стратегические мосты в Нью-Йорке (15092).</w:t>
      </w:r>
    </w:p>
    <w:p w14:paraId="0B437A14"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36AEF83B"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175B4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9278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вышел годовой отчет N 1425 по заводу 1 за 1941:</w:t>
      </w:r>
    </w:p>
    <w:p w14:paraId="4D1E71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было сдано:</w:t>
      </w:r>
    </w:p>
    <w:p w14:paraId="23F8E0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3100 МиГ-3</w:t>
      </w:r>
    </w:p>
    <w:p w14:paraId="1DDA0F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 Ил-2</w:t>
      </w:r>
    </w:p>
    <w:p w14:paraId="518A25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 И-153 (2525).</w:t>
      </w:r>
    </w:p>
    <w:p w14:paraId="3BCA13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DAD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вышел приказ НКАП N 265с в дополнение к приказу N 233 от 27 марта для обеспечения оборудования самолетов Ил-4 дополнительными маслобаками и подвесными бензобаками:</w:t>
      </w:r>
    </w:p>
    <w:p w14:paraId="6ED592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Оборудование машин в Монино и Чкаловском производить заводу 81</w:t>
      </w:r>
    </w:p>
    <w:p w14:paraId="125CE0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Оборудование машин в Раменском и Астафьево производить заводу 23 по чертежам завода 81</w:t>
      </w:r>
    </w:p>
    <w:p w14:paraId="1020BC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Оборудование машин в Воронеже производить ремонтному заводу (бывшему 18) по чертежам завода 81</w:t>
      </w:r>
    </w:p>
    <w:p w14:paraId="52E964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Всю комплектовку изделий для оборудования самолетов Ил-2 возложить на завод 81</w:t>
      </w:r>
    </w:p>
    <w:p w14:paraId="5EC490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Доработку основных маслобаков производить заводам 81, 23 и б. филиалу завода 18 на машинах, которые прикреплены к ним на дооборудование (1538,51).</w:t>
      </w:r>
    </w:p>
    <w:p w14:paraId="35F3FF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096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вышел приказ НКАП N 265ас о мероприятиях по обеспечению разворота производства самолетов Як-7 на 21 заводе (1538,58). Этот приказ был подписан Зам. НКАП Репиным прямо на заводе 21 (1648,262).</w:t>
      </w:r>
    </w:p>
    <w:p w14:paraId="01FB8D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3C5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года НКАП А.И.Ш. подписал указ о переходе завода № 21 на выпуск истребителей Як-7. Конструкторское бюро Лавочкина планировали отправить в Тбилиси, где должен был продолжаться выпуск ЛаГГов-3. Но уже в марте 1942 года в воздух поднялся прототип будущего Ла-5, в то время носивший обозначение ЛаГГ-3 М-82. После завершения государственных испытаний появилось решение о начале серийного выпуска нового истребителя. Указ о переходе завода № 21 на выпуск Яков-7 отменили. Вместо этого, на заводе развернули выпуск Ла-5. Для первых Ла-5 использовали готовые фюзеляжи ЛаГГ-3, подвергнув их необходимой переделке. Указом ГКО от 19 мая 1942 года заводы № 21 и 31 обязывались не позднее 25 мая приступить к выпуску ЛаГТов-3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667E6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EC2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г. приказом НКАП, когда ЛаГГ-3 М-82 уже практически подготовили к испытаниям, завод № 21 переводился на выпуск Як-7; ОКБ Лавочкина перебазировалось в Тбилиси, на завод № 31 (4707).</w:t>
      </w:r>
    </w:p>
    <w:p w14:paraId="105536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E28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г. вышел приказ о переводе завода № 21 на выпуск Як-7. Конструкторское бюро Лавочкина должно было перебраться в Тбилиси, где собирались продолжать выпуск ЛаГГ-3. Однако еще в марте начал летать опытный образец будущего Ла-5 (называвшийся тогда ЛаГГ-3 М-82). Удачно пройдя государственные испытания, он был запущен в серийное производство.</w:t>
      </w:r>
    </w:p>
    <w:p w14:paraId="2A35E4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 о переходе на Як-7 отменили. Завод № 21 продолжил выпуск ЛаГГ-3. В цехах их постепенно вытесняли Ла-5, для которых использовали уже готовые планеры с доработкой фюзеляжа. При этом ГКО постановлением от 19 мая 1942 г. обязал заводы №21 и №31 не позднее 25 мая перейти на выпуск ЛаГГ-3 только с моторами М-105ПФ. Согласно другому постановлению, от 7 июня 1942 г., завод № 21 должен был строить ЛаГГ-3 с автоматическими предкрылками и убирающимся костыльным колесом, а также с улучшенной компенсацией элеронов и рулей высоты. Выпуск первых усовершенствованных машин требовалось начать с 1 июля, но завод, занятый переходом на Ла-5, эти распоряжения фактически не выполнил: на 12 июля заказчик принял лишь семь ЛаГГ-3 с предкрылками. В том же месяце завод построил еще 30 таких же машин и подготовил к сдаче столько же, но без предкрылков.</w:t>
      </w:r>
    </w:p>
    <w:p w14:paraId="709D9F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самолеты двух последних серий, 28-й и 29-й, сдававшихся в Горьком летом 1942 г., имели моторы М-105ПФ. Общий выхлопной коллектор заменили тремя сдвоенными патрубками. Консольные бензобаки восстановили. Вооружение соответствовало "облегченному" варианту: одна пушка ШВАК и один пулемет БС. В соответствии с приказом НКАП от 13 июля директору завода № 293 Болховитинову и главному конструктору М.И. Гудкову поручили установку на ЛаГГ-3 новой 20-мм пушки Березина, но из этого ничего не вышло.</w:t>
      </w:r>
    </w:p>
    <w:p w14:paraId="69F77F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21 полностью перешел на выпуск Ла-5, на которые истратили весь оставшийся задел планеров. Еще почти полгода новые истребители представляли собой переделку недостроенных ЛаГГ-3 (11983).</w:t>
      </w:r>
    </w:p>
    <w:p w14:paraId="56D53F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5E4F9"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апреля 1942 года нарком АП подписал указ о переходе завода № 21 на выпуск истребителей Як-7. Конструкторское бюро Лавочкина планировали отправить в Тбилиси, где должен был продолжаться выпуск ЛаГГов-3. Но уже в марте 1942 года в воздух поднялся прототип будущего Ла-5, в то время носивший обозначение ЛаГГ-3 М-82. После завершения государственных испытаний появилось решение о начале серийного выпуска нового истребителя. Указ о переходе завода № 21 на выпуск Яков-7 отменили. Вместо этого, на заводе развернули выпуск Ла-5. Для первых Ла-5 использовали готовые фюзеляжи ЛаГГ-3, подвергнув их необходимой переделке. Указом ГКО от 19 мая 1942 года заводы № 21 и 31 обязывались не позднее 25 мая приступить к выпуску ЛаГГов-3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4ADE069D" w14:textId="77777777" w:rsidR="00382010" w:rsidRPr="008A2E5A" w:rsidRDefault="00382010" w:rsidP="00382010">
      <w:pPr>
        <w:spacing w:after="0" w:line="240" w:lineRule="auto"/>
        <w:jc w:val="both"/>
        <w:rPr>
          <w:rFonts w:ascii="Times New Roman" w:hAnsi="Times New Roman"/>
          <w:color w:val="0070C0"/>
          <w:sz w:val="16"/>
          <w:szCs w:val="16"/>
        </w:rPr>
      </w:pPr>
    </w:p>
    <w:p w14:paraId="42B08CED"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8 апреля 1942 г. на заводе № 21 побы</w:t>
      </w:r>
      <w:r w:rsidRPr="008A2E5A">
        <w:rPr>
          <w:rFonts w:ascii="Times New Roman" w:hAnsi="Times New Roman"/>
          <w:color w:val="0070C0"/>
          <w:sz w:val="16"/>
          <w:szCs w:val="16"/>
        </w:rPr>
        <w:softHyphen/>
        <w:t>вал заместитель наркома авиапромышленности А.К. Репин и своим приказом на месте уточнил порядок и сроки под</w:t>
      </w:r>
      <w:r w:rsidRPr="008A2E5A">
        <w:rPr>
          <w:rFonts w:ascii="Times New Roman" w:hAnsi="Times New Roman"/>
          <w:color w:val="0070C0"/>
          <w:sz w:val="16"/>
          <w:szCs w:val="16"/>
        </w:rPr>
        <w:softHyphen/>
        <w:t>готовки производства новой машины (приказ по НКАП № 42с). Согласно постановлению ГКО, работы щедро преми</w:t>
      </w:r>
      <w:r w:rsidRPr="008A2E5A">
        <w:rPr>
          <w:rFonts w:ascii="Times New Roman" w:hAnsi="Times New Roman"/>
          <w:color w:val="0070C0"/>
          <w:sz w:val="16"/>
          <w:szCs w:val="16"/>
        </w:rPr>
        <w:softHyphen/>
        <w:t>ровались: за выпуск к 10 июня 20 самолетов Як-7Б из сво</w:t>
      </w:r>
      <w:r w:rsidRPr="008A2E5A">
        <w:rPr>
          <w:rFonts w:ascii="Times New Roman" w:hAnsi="Times New Roman"/>
          <w:color w:val="0070C0"/>
          <w:sz w:val="16"/>
          <w:szCs w:val="16"/>
        </w:rPr>
        <w:softHyphen/>
        <w:t>их деталей выделялся премиальный фонд в размере одно</w:t>
      </w:r>
      <w:r w:rsidRPr="008A2E5A">
        <w:rPr>
          <w:rFonts w:ascii="Times New Roman" w:hAnsi="Times New Roman"/>
          <w:color w:val="0070C0"/>
          <w:sz w:val="16"/>
          <w:szCs w:val="16"/>
        </w:rPr>
        <w:softHyphen/>
        <w:t>го миллиона рублей для ИТР и двух миллионов рублей для рабочих (в том числе 150 тысяч рублей выделялись заводу № 119 за выпуск 20 комплектов шасси к 20 мая 1942 г). Для обеспечения быстрого освоения массового выпуска само</w:t>
      </w:r>
      <w:r w:rsidRPr="008A2E5A">
        <w:rPr>
          <w:rFonts w:ascii="Times New Roman" w:hAnsi="Times New Roman"/>
          <w:color w:val="0070C0"/>
          <w:sz w:val="16"/>
          <w:szCs w:val="16"/>
        </w:rPr>
        <w:softHyphen/>
        <w:t>летов и решения вопросов взаимозаменяемости вновь ор</w:t>
      </w:r>
      <w:r w:rsidRPr="008A2E5A">
        <w:rPr>
          <w:rFonts w:ascii="Times New Roman" w:hAnsi="Times New Roman"/>
          <w:color w:val="0070C0"/>
          <w:sz w:val="16"/>
          <w:szCs w:val="16"/>
        </w:rPr>
        <w:softHyphen/>
        <w:t>ганизовали плазово-шаблонный цех и цех крупных приспо</w:t>
      </w:r>
      <w:r w:rsidRPr="008A2E5A">
        <w:rPr>
          <w:rFonts w:ascii="Times New Roman" w:hAnsi="Times New Roman"/>
          <w:color w:val="0070C0"/>
          <w:sz w:val="16"/>
          <w:szCs w:val="16"/>
        </w:rPr>
        <w:softHyphen/>
        <w:t>соблений и эталонов (используя для этого площади эваку</w:t>
      </w:r>
      <w:r w:rsidRPr="008A2E5A">
        <w:rPr>
          <w:rFonts w:ascii="Times New Roman" w:hAnsi="Times New Roman"/>
          <w:color w:val="0070C0"/>
          <w:sz w:val="16"/>
          <w:szCs w:val="16"/>
        </w:rPr>
        <w:softHyphen/>
        <w:t>ированного в Тбилиси ОКБ С.А. Лавочкина). Организация этих цехов и расширение цеховых инструментальных ма</w:t>
      </w:r>
      <w:r w:rsidRPr="008A2E5A">
        <w:rPr>
          <w:rFonts w:ascii="Times New Roman" w:hAnsi="Times New Roman"/>
          <w:color w:val="0070C0"/>
          <w:sz w:val="16"/>
          <w:szCs w:val="16"/>
        </w:rPr>
        <w:softHyphen/>
        <w:t>стерских способствовали изготовлению в рекордные сро</w:t>
      </w:r>
      <w:r w:rsidRPr="008A2E5A">
        <w:rPr>
          <w:rFonts w:ascii="Times New Roman" w:hAnsi="Times New Roman"/>
          <w:color w:val="0070C0"/>
          <w:sz w:val="16"/>
          <w:szCs w:val="16"/>
        </w:rPr>
        <w:softHyphen/>
        <w:t>ки 18 эталонов, 17 крупных стапелей и прессов, станков по разделке и фрезеровке моторамы и фюзеляжа, 60 кузнеч</w:t>
      </w:r>
      <w:r w:rsidRPr="008A2E5A">
        <w:rPr>
          <w:rFonts w:ascii="Times New Roman" w:hAnsi="Times New Roman"/>
          <w:color w:val="0070C0"/>
          <w:sz w:val="16"/>
          <w:szCs w:val="16"/>
        </w:rPr>
        <w:softHyphen/>
        <w:t>ных штампов, 300 инструментальных штампов и около 500 наименований различного инструмента с высокой техни</w:t>
      </w:r>
      <w:r w:rsidRPr="008A2E5A">
        <w:rPr>
          <w:rFonts w:ascii="Times New Roman" w:hAnsi="Times New Roman"/>
          <w:color w:val="0070C0"/>
          <w:sz w:val="16"/>
          <w:szCs w:val="16"/>
        </w:rPr>
        <w:softHyphen/>
        <w:t>ческой культурой и качеством. За счет применения совер</w:t>
      </w:r>
      <w:r w:rsidRPr="008A2E5A">
        <w:rPr>
          <w:rFonts w:ascii="Times New Roman" w:hAnsi="Times New Roman"/>
          <w:color w:val="0070C0"/>
          <w:sz w:val="16"/>
          <w:szCs w:val="16"/>
        </w:rPr>
        <w:softHyphen/>
        <w:t>шенных технологий, правильного подбора сортамента ма</w:t>
      </w:r>
      <w:r w:rsidRPr="008A2E5A">
        <w:rPr>
          <w:rFonts w:ascii="Times New Roman" w:hAnsi="Times New Roman"/>
          <w:color w:val="0070C0"/>
          <w:sz w:val="16"/>
          <w:szCs w:val="16"/>
        </w:rPr>
        <w:softHyphen/>
        <w:t>териалов, передовых методов их раскроя уже на этапе вне</w:t>
      </w:r>
      <w:r w:rsidRPr="008A2E5A">
        <w:rPr>
          <w:rFonts w:ascii="Times New Roman" w:hAnsi="Times New Roman"/>
          <w:color w:val="0070C0"/>
          <w:sz w:val="16"/>
          <w:szCs w:val="16"/>
        </w:rPr>
        <w:softHyphen/>
        <w:t>дрения Як-7Б достигли экономии цветных металлов на 90 кг, черных - на 280 кг, лесоматериалов - на 0,8 м3. При этом заводская себестоимость первой серии оказалась сравни</w:t>
      </w:r>
      <w:r w:rsidRPr="008A2E5A">
        <w:rPr>
          <w:rFonts w:ascii="Times New Roman" w:hAnsi="Times New Roman"/>
          <w:color w:val="0070C0"/>
          <w:sz w:val="16"/>
          <w:szCs w:val="16"/>
        </w:rPr>
        <w:softHyphen/>
        <w:t>тельно невысокой - 166,6 тысяч рублей.</w:t>
      </w:r>
    </w:p>
    <w:p w14:paraId="0A1B3C6A"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россыпи, полученной с завода №153, в Горьком все</w:t>
      </w:r>
      <w:r w:rsidRPr="008A2E5A">
        <w:rPr>
          <w:rFonts w:ascii="Times New Roman" w:hAnsi="Times New Roman"/>
          <w:color w:val="0070C0"/>
          <w:sz w:val="16"/>
          <w:szCs w:val="16"/>
        </w:rPr>
        <w:softHyphen/>
        <w:t>го собрали 7 Як-7Б, но при остановке производства этой машины приняли решение закончить полностью только пять из них. Самолеты выкатили из сборочного цеха на аэ</w:t>
      </w:r>
      <w:r w:rsidRPr="008A2E5A">
        <w:rPr>
          <w:rFonts w:ascii="Times New Roman" w:hAnsi="Times New Roman"/>
          <w:color w:val="0070C0"/>
          <w:sz w:val="16"/>
          <w:szCs w:val="16"/>
        </w:rPr>
        <w:softHyphen/>
        <w:t>родром с 18 по 27 мая 1942 г. и сдали ВВС по готовности к бою четыре машины в июне и одну в июле 1942 г. Изго</w:t>
      </w:r>
      <w:r w:rsidRPr="008A2E5A">
        <w:rPr>
          <w:rFonts w:ascii="Times New Roman" w:hAnsi="Times New Roman"/>
          <w:color w:val="0070C0"/>
          <w:sz w:val="16"/>
          <w:szCs w:val="16"/>
        </w:rPr>
        <w:softHyphen/>
        <w:t>товленные на заводе оснастку, приспособления и инстру</w:t>
      </w:r>
      <w:r w:rsidRPr="008A2E5A">
        <w:rPr>
          <w:rFonts w:ascii="Times New Roman" w:hAnsi="Times New Roman"/>
          <w:color w:val="0070C0"/>
          <w:sz w:val="16"/>
          <w:szCs w:val="16"/>
        </w:rPr>
        <w:softHyphen/>
        <w:t>мент, разработанную техническую документацию, специ</w:t>
      </w:r>
      <w:r w:rsidRPr="008A2E5A">
        <w:rPr>
          <w:rFonts w:ascii="Times New Roman" w:hAnsi="Times New Roman"/>
          <w:color w:val="0070C0"/>
          <w:sz w:val="16"/>
          <w:szCs w:val="16"/>
        </w:rPr>
        <w:softHyphen/>
        <w:t>фические материалы и готовые изделия на сумму 5512,9 тысяч рублей (в том числе задел готовых деталей и агре</w:t>
      </w:r>
      <w:r w:rsidRPr="008A2E5A">
        <w:rPr>
          <w:rFonts w:ascii="Times New Roman" w:hAnsi="Times New Roman"/>
          <w:color w:val="0070C0"/>
          <w:sz w:val="16"/>
          <w:szCs w:val="16"/>
        </w:rPr>
        <w:softHyphen/>
        <w:t>гатов Як-7Б на сумму 2922,4 тысячи рублей) уже 28 мая отправили на завод №82. Туда же переадресовали допо</w:t>
      </w:r>
      <w:r w:rsidRPr="008A2E5A">
        <w:rPr>
          <w:rFonts w:ascii="Times New Roman" w:hAnsi="Times New Roman"/>
          <w:color w:val="0070C0"/>
          <w:sz w:val="16"/>
          <w:szCs w:val="16"/>
        </w:rPr>
        <w:softHyphen/>
        <w:t>ставленные 11 вагонов деталей с завода №153.</w:t>
      </w:r>
    </w:p>
    <w:p w14:paraId="51E95997"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Серийный номер машин выпуска завода №21 пред</w:t>
      </w:r>
      <w:r w:rsidRPr="008A2E5A">
        <w:rPr>
          <w:rFonts w:ascii="Times New Roman" w:hAnsi="Times New Roman"/>
          <w:color w:val="0070C0"/>
          <w:sz w:val="16"/>
          <w:szCs w:val="16"/>
        </w:rPr>
        <w:softHyphen/>
        <w:t>ставлял собой набор цифр, из которых две первых явля</w:t>
      </w:r>
      <w:r w:rsidRPr="008A2E5A">
        <w:rPr>
          <w:rFonts w:ascii="Times New Roman" w:hAnsi="Times New Roman"/>
          <w:color w:val="0070C0"/>
          <w:sz w:val="16"/>
          <w:szCs w:val="16"/>
        </w:rPr>
        <w:softHyphen/>
        <w:t>лись номенклатурным номером (типом) модели самоле</w:t>
      </w:r>
      <w:r w:rsidRPr="008A2E5A">
        <w:rPr>
          <w:rFonts w:ascii="Times New Roman" w:hAnsi="Times New Roman"/>
          <w:color w:val="0070C0"/>
          <w:sz w:val="16"/>
          <w:szCs w:val="16"/>
        </w:rPr>
        <w:softHyphen/>
        <w:t>та «42», две следующих - номером завода «21», затем две цифры номера серии «01», а далее следовал номер само</w:t>
      </w:r>
      <w:r w:rsidRPr="008A2E5A">
        <w:rPr>
          <w:rFonts w:ascii="Times New Roman" w:hAnsi="Times New Roman"/>
          <w:color w:val="0070C0"/>
          <w:sz w:val="16"/>
          <w:szCs w:val="16"/>
        </w:rPr>
        <w:softHyphen/>
        <w:t>лета в серии (в разных документах встречалось обозначе</w:t>
      </w:r>
      <w:r w:rsidRPr="008A2E5A">
        <w:rPr>
          <w:rFonts w:ascii="Times New Roman" w:hAnsi="Times New Roman"/>
          <w:color w:val="0070C0"/>
          <w:sz w:val="16"/>
          <w:szCs w:val="16"/>
        </w:rPr>
        <w:softHyphen/>
        <w:t>ние первых номеров машин в серии, как с добавлением нуля «42210101», так и без добавления «4221011») (23381).</w:t>
      </w:r>
    </w:p>
    <w:p w14:paraId="001EE0B5" w14:textId="77777777" w:rsidR="00382010" w:rsidRPr="008A2E5A" w:rsidRDefault="00382010" w:rsidP="00382010">
      <w:pPr>
        <w:spacing w:after="0" w:line="240" w:lineRule="auto"/>
        <w:jc w:val="both"/>
        <w:rPr>
          <w:rFonts w:ascii="Times New Roman" w:hAnsi="Times New Roman"/>
          <w:color w:val="0070C0"/>
          <w:sz w:val="16"/>
          <w:szCs w:val="16"/>
        </w:rPr>
      </w:pPr>
    </w:p>
    <w:p w14:paraId="4DE482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вышел приказ командующего ВВС и НКАП N 057/266ас об ускорении проведения летных испытаний самолета ТБ-7 с 4хМ-82 с целью определения ЛТД, а также для определения работы ВМГ (1538,76).</w:t>
      </w:r>
    </w:p>
    <w:p w14:paraId="525E00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2396BAFC" w14:textId="77777777">
        <w:tc>
          <w:tcPr>
            <w:tcW w:w="675" w:type="dxa"/>
            <w:tcBorders>
              <w:top w:val="single" w:sz="12" w:space="0" w:color="auto"/>
            </w:tcBorders>
          </w:tcPr>
          <w:p w14:paraId="7B375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164871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7430EB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w:t>
            </w:r>
            <w:r w:rsidRPr="008127F8">
              <w:rPr>
                <w:rFonts w:ascii="Times New Roman" w:hAnsi="Times New Roman"/>
                <w:color w:val="000000" w:themeColor="text1"/>
                <w:sz w:val="16"/>
                <w:szCs w:val="16"/>
              </w:rPr>
              <w:lastRenderedPageBreak/>
              <w:t>в</w:t>
            </w:r>
          </w:p>
        </w:tc>
        <w:tc>
          <w:tcPr>
            <w:tcW w:w="1418" w:type="dxa"/>
            <w:tcBorders>
              <w:top w:val="single" w:sz="12" w:space="0" w:color="auto"/>
            </w:tcBorders>
          </w:tcPr>
          <w:p w14:paraId="13B620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Летчик</w:t>
            </w:r>
          </w:p>
        </w:tc>
        <w:tc>
          <w:tcPr>
            <w:tcW w:w="2364" w:type="dxa"/>
            <w:tcBorders>
              <w:top w:val="single" w:sz="12" w:space="0" w:color="auto"/>
            </w:tcBorders>
          </w:tcPr>
          <w:p w14:paraId="4D05B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6F802E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206AB44B" w14:textId="77777777">
        <w:tc>
          <w:tcPr>
            <w:tcW w:w="675" w:type="dxa"/>
            <w:tcBorders>
              <w:bottom w:val="single" w:sz="12" w:space="0" w:color="auto"/>
            </w:tcBorders>
          </w:tcPr>
          <w:p w14:paraId="689015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993" w:type="dxa"/>
            <w:tcBorders>
              <w:bottom w:val="single" w:sz="12" w:space="0" w:color="auto"/>
            </w:tcBorders>
          </w:tcPr>
          <w:p w14:paraId="7A9FA6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w:t>
            </w:r>
          </w:p>
        </w:tc>
        <w:tc>
          <w:tcPr>
            <w:tcW w:w="708" w:type="dxa"/>
            <w:tcBorders>
              <w:bottom w:val="single" w:sz="12" w:space="0" w:color="auto"/>
            </w:tcBorders>
          </w:tcPr>
          <w:p w14:paraId="59D161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458</w:t>
            </w:r>
          </w:p>
        </w:tc>
        <w:tc>
          <w:tcPr>
            <w:tcW w:w="1418" w:type="dxa"/>
            <w:tcBorders>
              <w:bottom w:val="single" w:sz="12" w:space="0" w:color="auto"/>
            </w:tcBorders>
          </w:tcPr>
          <w:p w14:paraId="50A95B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С.Г.Петухов</w:t>
            </w:r>
          </w:p>
        </w:tc>
        <w:tc>
          <w:tcPr>
            <w:tcW w:w="2364" w:type="dxa"/>
            <w:tcBorders>
              <w:bottom w:val="single" w:sz="12" w:space="0" w:color="auto"/>
            </w:tcBorders>
          </w:tcPr>
          <w:p w14:paraId="0C1EFB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на испытаниях</w:t>
            </w:r>
          </w:p>
        </w:tc>
        <w:tc>
          <w:tcPr>
            <w:tcW w:w="4440" w:type="dxa"/>
            <w:tcBorders>
              <w:bottom w:val="single" w:sz="12" w:space="0" w:color="auto"/>
            </w:tcBorders>
          </w:tcPr>
          <w:p w14:paraId="1B978F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Воздушное хулиганство. При посадке с-т не выдержал направление по вине л</w:t>
            </w:r>
          </w:p>
        </w:tc>
      </w:tr>
    </w:tbl>
    <w:p w14:paraId="389371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4C0A5991" w14:textId="77777777" w:rsidR="00243C7E" w:rsidRPr="008127F8" w:rsidRDefault="00243C7E"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961869"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апреля 1942 г. Письмо главного конструктора завода № 240 Наркомата авиационной промышленности СССР В. Г. Ермолаева председателю ГКО СССР И. В. Сталину о содействии серийному выпуску модифицированного самолета Ер-2</w:t>
      </w:r>
    </w:p>
    <w:p w14:paraId="3B331DCE"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30B4160"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Вашему личному указанию нами был спроектирован и построен дальний бомбардировщик Ер-2. Выпущенный небольшой серией (70 самолетов с моторами М-105) на заводе № 18 в Воронеже, самолет с начала войны участвует в операциях по бомбардировке глубоких тылов противника. На самолетах Ер-2 дивизия </w:t>
      </w:r>
      <w:proofErr w:type="gramStart"/>
      <w:r w:rsidRPr="008A2E5A">
        <w:rPr>
          <w:rFonts w:ascii="Times New Roman" w:hAnsi="Times New Roman"/>
          <w:color w:val="0070C0"/>
          <w:sz w:val="16"/>
          <w:szCs w:val="16"/>
        </w:rPr>
        <w:t>генерал майора</w:t>
      </w:r>
      <w:proofErr w:type="gramEnd"/>
      <w:r w:rsidRPr="008A2E5A">
        <w:rPr>
          <w:rFonts w:ascii="Times New Roman" w:hAnsi="Times New Roman"/>
          <w:color w:val="0070C0"/>
          <w:sz w:val="16"/>
          <w:szCs w:val="16"/>
        </w:rPr>
        <w:t xml:space="preserve"> авиации т. Голованова бомбила глубокие тылы врага — Берлин, Кенигсберг, Данциг. Последнее время самолет используется для бомбежки узлов сопротивления противника в дневное и ночное время. За время своей боевой работы самолеты получили высокую оценку со стороны командного и летного состава полковников т. Гусева и т. Новодранова, входящих в дивизию генерал-майора авиации т. Голованова.</w:t>
      </w:r>
    </w:p>
    <w:p w14:paraId="51D7DC09"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1941 г. самолет Ер-2 был нами модифицирован: на нем установлены мощные моторы АМ-37, усилено вооружение4* — установлены крупнокалиберные пулеметы системы Березина, увеличено бронирование самолета, установлены усовершенствованные прицелы ПС-1, усилены шасси и проведены другие улучшения, требуемые боевой эксплуатацией.</w:t>
      </w:r>
    </w:p>
    <w:p w14:paraId="61212F24"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1942 г. самолет Ер-2 2АМ-37 прошел государственные испытания в НИИ ВВС и показал следующие результаты: максимальная скорость на высоте тыс. м — 512 км/ч, практический потолок — 9150 м, разбег с весом 13 тыс. кг (по укатанному снегу) — 760 м, посадочная скорость с весом 12,3 тыс. кг — 142 км/ч, тнхническая дальность полета на высоте 7 тыс. м с крейсерской скоростью 437 км/ч Vmax) с запасом горючего 4650 кг и 1 тыс. бомбовой нагрузки при взлетном весе 12,8 тыс. кг — 3500 км (по данным ЛИИ НКАП). НИИ ВВС в целом была дана в акте госиспытаниям следующая оценка самолету: «Самолет, имея значительную скорость, хороший обзор пилота и штурмана, наличие крупнокалиберного стрелкового оружения, большую емкость бензобаков и большую бомбовую нагрузку до 4 тыс. кг, является нужным самолетом ВВС Красной армии». Вместе с тем были отмечены и недостатки: основной — плохая работа моторов АМ-37 вследствие недоведенности их моторным заводом № 24 и — несколько велика длина разбега с полной нагрузкой, доходящей до 1200 м по укатанному снегу.</w:t>
      </w:r>
    </w:p>
    <w:p w14:paraId="511A6B2B"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устранения этих недостатков нами принято решение о замене моторов АМ-37 на доведенные серийные моторы АМ-35А и установке винтов увеличенного </w:t>
      </w:r>
      <w:proofErr w:type="gramStart"/>
      <w:r w:rsidRPr="008A2E5A">
        <w:rPr>
          <w:rFonts w:ascii="Times New Roman" w:hAnsi="Times New Roman"/>
          <w:color w:val="0070C0"/>
          <w:sz w:val="16"/>
          <w:szCs w:val="16"/>
        </w:rPr>
        <w:t>диаметра,  причем</w:t>
      </w:r>
      <w:proofErr w:type="gramEnd"/>
      <w:r w:rsidRPr="008A2E5A">
        <w:rPr>
          <w:rFonts w:ascii="Times New Roman" w:hAnsi="Times New Roman"/>
          <w:color w:val="0070C0"/>
          <w:sz w:val="16"/>
          <w:szCs w:val="16"/>
        </w:rPr>
        <w:t xml:space="preserve"> после указанной замены летные данные самолета будут следующие:</w:t>
      </w:r>
    </w:p>
    <w:tbl>
      <w:tblPr>
        <w:tblStyle w:val="afffff5"/>
        <w:tblW w:w="0" w:type="auto"/>
        <w:tblInd w:w="150" w:type="dxa"/>
        <w:tblLook w:val="04A0" w:firstRow="1" w:lastRow="0" w:firstColumn="1" w:lastColumn="0" w:noHBand="0" w:noVBand="1"/>
      </w:tblPr>
      <w:tblGrid>
        <w:gridCol w:w="2510"/>
        <w:gridCol w:w="1701"/>
        <w:gridCol w:w="1559"/>
      </w:tblGrid>
      <w:tr w:rsidR="00382010" w:rsidRPr="008A2E5A" w14:paraId="6267FFA5" w14:textId="77777777" w:rsidTr="004C5D62">
        <w:tc>
          <w:tcPr>
            <w:tcW w:w="2510" w:type="dxa"/>
          </w:tcPr>
          <w:p w14:paraId="7D8E2A75" w14:textId="77777777" w:rsidR="00382010" w:rsidRPr="008A2E5A" w:rsidRDefault="00382010" w:rsidP="004C5D62">
            <w:pPr>
              <w:spacing w:after="0" w:line="240" w:lineRule="auto"/>
              <w:jc w:val="both"/>
              <w:rPr>
                <w:color w:val="0070C0"/>
                <w:sz w:val="16"/>
                <w:szCs w:val="16"/>
              </w:rPr>
            </w:pPr>
          </w:p>
        </w:tc>
        <w:tc>
          <w:tcPr>
            <w:tcW w:w="1701" w:type="dxa"/>
          </w:tcPr>
          <w:p w14:paraId="51FFC28A" w14:textId="77777777" w:rsidR="00382010" w:rsidRPr="008A2E5A" w:rsidRDefault="00382010" w:rsidP="004C5D62">
            <w:pPr>
              <w:spacing w:after="0" w:line="240" w:lineRule="auto"/>
              <w:jc w:val="both"/>
              <w:rPr>
                <w:color w:val="0070C0"/>
                <w:sz w:val="16"/>
                <w:szCs w:val="16"/>
              </w:rPr>
            </w:pPr>
            <w:r w:rsidRPr="008A2E5A">
              <w:rPr>
                <w:color w:val="0070C0"/>
                <w:sz w:val="16"/>
                <w:szCs w:val="16"/>
              </w:rPr>
              <w:t>Ер-2 2АМ-37</w:t>
            </w:r>
          </w:p>
        </w:tc>
        <w:tc>
          <w:tcPr>
            <w:tcW w:w="1559" w:type="dxa"/>
          </w:tcPr>
          <w:p w14:paraId="5BD701AC" w14:textId="77777777" w:rsidR="00382010" w:rsidRPr="008A2E5A" w:rsidRDefault="00382010" w:rsidP="004C5D62">
            <w:pPr>
              <w:spacing w:after="0" w:line="240" w:lineRule="auto"/>
              <w:jc w:val="both"/>
              <w:rPr>
                <w:color w:val="0070C0"/>
                <w:sz w:val="16"/>
                <w:szCs w:val="16"/>
              </w:rPr>
            </w:pPr>
            <w:r w:rsidRPr="008A2E5A">
              <w:rPr>
                <w:color w:val="0070C0"/>
                <w:sz w:val="16"/>
                <w:szCs w:val="16"/>
              </w:rPr>
              <w:t>Ер-2 2АМ-35А</w:t>
            </w:r>
          </w:p>
        </w:tc>
      </w:tr>
      <w:tr w:rsidR="00382010" w:rsidRPr="008A2E5A" w14:paraId="378098E6" w14:textId="77777777" w:rsidTr="004C5D62">
        <w:tc>
          <w:tcPr>
            <w:tcW w:w="2510" w:type="dxa"/>
          </w:tcPr>
          <w:p w14:paraId="4AC746D1" w14:textId="77777777" w:rsidR="00382010" w:rsidRPr="008A2E5A" w:rsidRDefault="00382010" w:rsidP="004C5D62">
            <w:pPr>
              <w:spacing w:after="0" w:line="240" w:lineRule="auto"/>
              <w:jc w:val="both"/>
              <w:rPr>
                <w:color w:val="0070C0"/>
                <w:sz w:val="16"/>
                <w:szCs w:val="16"/>
              </w:rPr>
            </w:pPr>
            <w:r w:rsidRPr="008A2E5A">
              <w:rPr>
                <w:color w:val="0070C0"/>
                <w:sz w:val="16"/>
                <w:szCs w:val="16"/>
              </w:rPr>
              <w:t>Нормальный вес</w:t>
            </w:r>
          </w:p>
        </w:tc>
        <w:tc>
          <w:tcPr>
            <w:tcW w:w="1701" w:type="dxa"/>
          </w:tcPr>
          <w:p w14:paraId="59F48CA7" w14:textId="77777777" w:rsidR="00382010" w:rsidRPr="008A2E5A" w:rsidRDefault="00382010" w:rsidP="004C5D62">
            <w:pPr>
              <w:spacing w:after="0" w:line="240" w:lineRule="auto"/>
              <w:jc w:val="both"/>
              <w:rPr>
                <w:color w:val="0070C0"/>
                <w:sz w:val="16"/>
                <w:szCs w:val="16"/>
              </w:rPr>
            </w:pPr>
            <w:r w:rsidRPr="008A2E5A">
              <w:rPr>
                <w:color w:val="0070C0"/>
                <w:sz w:val="16"/>
                <w:szCs w:val="16"/>
              </w:rPr>
              <w:t>13 000 кг</w:t>
            </w:r>
          </w:p>
        </w:tc>
        <w:tc>
          <w:tcPr>
            <w:tcW w:w="1559" w:type="dxa"/>
          </w:tcPr>
          <w:p w14:paraId="15C4BC83" w14:textId="77777777" w:rsidR="00382010" w:rsidRPr="008A2E5A" w:rsidRDefault="00382010" w:rsidP="004C5D62">
            <w:pPr>
              <w:spacing w:after="0" w:line="240" w:lineRule="auto"/>
              <w:jc w:val="both"/>
              <w:rPr>
                <w:color w:val="0070C0"/>
                <w:sz w:val="16"/>
                <w:szCs w:val="16"/>
              </w:rPr>
            </w:pPr>
            <w:r w:rsidRPr="008A2E5A">
              <w:rPr>
                <w:color w:val="0070C0"/>
                <w:sz w:val="16"/>
                <w:szCs w:val="16"/>
              </w:rPr>
              <w:t>13 000 кг</w:t>
            </w:r>
          </w:p>
        </w:tc>
      </w:tr>
      <w:tr w:rsidR="00382010" w:rsidRPr="008A2E5A" w14:paraId="2149F16F" w14:textId="77777777" w:rsidTr="004C5D62">
        <w:tc>
          <w:tcPr>
            <w:tcW w:w="2510" w:type="dxa"/>
          </w:tcPr>
          <w:p w14:paraId="5B7688F1" w14:textId="77777777" w:rsidR="00382010" w:rsidRPr="008A2E5A" w:rsidRDefault="00382010" w:rsidP="004C5D62">
            <w:pPr>
              <w:spacing w:after="0" w:line="240" w:lineRule="auto"/>
              <w:jc w:val="both"/>
              <w:rPr>
                <w:color w:val="0070C0"/>
                <w:sz w:val="16"/>
                <w:szCs w:val="16"/>
              </w:rPr>
            </w:pPr>
            <w:r w:rsidRPr="008A2E5A">
              <w:rPr>
                <w:color w:val="0070C0"/>
                <w:sz w:val="16"/>
                <w:szCs w:val="16"/>
              </w:rPr>
              <w:t>Максимальная скорость</w:t>
            </w:r>
          </w:p>
        </w:tc>
        <w:tc>
          <w:tcPr>
            <w:tcW w:w="1701" w:type="dxa"/>
          </w:tcPr>
          <w:p w14:paraId="6D707A23" w14:textId="77777777" w:rsidR="00382010" w:rsidRPr="008A2E5A" w:rsidRDefault="00382010" w:rsidP="004C5D62">
            <w:pPr>
              <w:spacing w:after="0" w:line="240" w:lineRule="auto"/>
              <w:jc w:val="both"/>
              <w:rPr>
                <w:color w:val="0070C0"/>
                <w:sz w:val="16"/>
                <w:szCs w:val="16"/>
              </w:rPr>
            </w:pPr>
            <w:r w:rsidRPr="008A2E5A">
              <w:rPr>
                <w:color w:val="0070C0"/>
                <w:sz w:val="16"/>
                <w:szCs w:val="16"/>
              </w:rPr>
              <w:t>512 км/ч</w:t>
            </w:r>
          </w:p>
        </w:tc>
        <w:tc>
          <w:tcPr>
            <w:tcW w:w="1559" w:type="dxa"/>
          </w:tcPr>
          <w:p w14:paraId="0F0A82D5" w14:textId="77777777" w:rsidR="00382010" w:rsidRPr="008A2E5A" w:rsidRDefault="00382010" w:rsidP="004C5D62">
            <w:pPr>
              <w:spacing w:after="0" w:line="240" w:lineRule="auto"/>
              <w:jc w:val="both"/>
              <w:rPr>
                <w:color w:val="0070C0"/>
                <w:sz w:val="16"/>
                <w:szCs w:val="16"/>
              </w:rPr>
            </w:pPr>
            <w:r w:rsidRPr="008A2E5A">
              <w:rPr>
                <w:color w:val="0070C0"/>
                <w:sz w:val="16"/>
                <w:szCs w:val="16"/>
              </w:rPr>
              <w:t>490 км/ч</w:t>
            </w:r>
          </w:p>
        </w:tc>
      </w:tr>
      <w:tr w:rsidR="00382010" w:rsidRPr="008A2E5A" w14:paraId="12D26786" w14:textId="77777777" w:rsidTr="004C5D62">
        <w:tc>
          <w:tcPr>
            <w:tcW w:w="2510" w:type="dxa"/>
          </w:tcPr>
          <w:p w14:paraId="2CBFF0D0" w14:textId="77777777" w:rsidR="00382010" w:rsidRPr="008A2E5A" w:rsidRDefault="00382010" w:rsidP="004C5D62">
            <w:pPr>
              <w:spacing w:after="0" w:line="240" w:lineRule="auto"/>
              <w:jc w:val="both"/>
              <w:rPr>
                <w:color w:val="0070C0"/>
                <w:sz w:val="16"/>
                <w:szCs w:val="16"/>
              </w:rPr>
            </w:pPr>
            <w:r w:rsidRPr="008A2E5A">
              <w:rPr>
                <w:color w:val="0070C0"/>
                <w:sz w:val="16"/>
                <w:szCs w:val="16"/>
              </w:rPr>
              <w:t>Практический потолок</w:t>
            </w:r>
          </w:p>
        </w:tc>
        <w:tc>
          <w:tcPr>
            <w:tcW w:w="1701" w:type="dxa"/>
          </w:tcPr>
          <w:p w14:paraId="5A862BF6" w14:textId="77777777" w:rsidR="00382010" w:rsidRPr="008A2E5A" w:rsidRDefault="00382010" w:rsidP="004C5D62">
            <w:pPr>
              <w:spacing w:after="0" w:line="240" w:lineRule="auto"/>
              <w:jc w:val="both"/>
              <w:rPr>
                <w:color w:val="0070C0"/>
                <w:sz w:val="16"/>
                <w:szCs w:val="16"/>
              </w:rPr>
            </w:pPr>
            <w:r w:rsidRPr="008A2E5A">
              <w:rPr>
                <w:color w:val="0070C0"/>
                <w:sz w:val="16"/>
                <w:szCs w:val="16"/>
              </w:rPr>
              <w:t>9150 м1 2*</w:t>
            </w:r>
          </w:p>
        </w:tc>
        <w:tc>
          <w:tcPr>
            <w:tcW w:w="1559" w:type="dxa"/>
          </w:tcPr>
          <w:p w14:paraId="68515262" w14:textId="77777777" w:rsidR="00382010" w:rsidRPr="008A2E5A" w:rsidRDefault="00382010" w:rsidP="004C5D62">
            <w:pPr>
              <w:spacing w:after="0" w:line="240" w:lineRule="auto"/>
              <w:jc w:val="both"/>
              <w:rPr>
                <w:color w:val="0070C0"/>
                <w:sz w:val="16"/>
                <w:szCs w:val="16"/>
              </w:rPr>
            </w:pPr>
            <w:r w:rsidRPr="008A2E5A">
              <w:rPr>
                <w:color w:val="0070C0"/>
                <w:sz w:val="16"/>
                <w:szCs w:val="16"/>
              </w:rPr>
              <w:t>9500 м</w:t>
            </w:r>
          </w:p>
        </w:tc>
      </w:tr>
      <w:tr w:rsidR="00382010" w:rsidRPr="008A2E5A" w14:paraId="4C9E5BD8" w14:textId="77777777" w:rsidTr="004C5D62">
        <w:tc>
          <w:tcPr>
            <w:tcW w:w="2510" w:type="dxa"/>
          </w:tcPr>
          <w:p w14:paraId="2CDA4511" w14:textId="77777777" w:rsidR="00382010" w:rsidRPr="008A2E5A" w:rsidRDefault="00382010" w:rsidP="004C5D62">
            <w:pPr>
              <w:spacing w:after="0" w:line="240" w:lineRule="auto"/>
              <w:jc w:val="both"/>
              <w:rPr>
                <w:color w:val="0070C0"/>
                <w:sz w:val="16"/>
                <w:szCs w:val="16"/>
              </w:rPr>
            </w:pPr>
            <w:r w:rsidRPr="008A2E5A">
              <w:rPr>
                <w:color w:val="0070C0"/>
                <w:sz w:val="16"/>
                <w:szCs w:val="16"/>
              </w:rPr>
              <w:t>Длина разбега</w:t>
            </w:r>
          </w:p>
        </w:tc>
        <w:tc>
          <w:tcPr>
            <w:tcW w:w="1701" w:type="dxa"/>
          </w:tcPr>
          <w:p w14:paraId="4C98584B" w14:textId="77777777" w:rsidR="00382010" w:rsidRPr="008A2E5A" w:rsidRDefault="00382010" w:rsidP="004C5D62">
            <w:pPr>
              <w:spacing w:after="0" w:line="240" w:lineRule="auto"/>
              <w:jc w:val="both"/>
              <w:rPr>
                <w:color w:val="0070C0"/>
                <w:sz w:val="16"/>
                <w:szCs w:val="16"/>
              </w:rPr>
            </w:pPr>
            <w:r w:rsidRPr="008A2E5A">
              <w:rPr>
                <w:color w:val="0070C0"/>
                <w:sz w:val="16"/>
                <w:szCs w:val="16"/>
              </w:rPr>
              <w:t>760 м</w:t>
            </w:r>
          </w:p>
        </w:tc>
        <w:tc>
          <w:tcPr>
            <w:tcW w:w="1559" w:type="dxa"/>
          </w:tcPr>
          <w:p w14:paraId="0B801B27" w14:textId="77777777" w:rsidR="00382010" w:rsidRPr="008A2E5A" w:rsidRDefault="00382010" w:rsidP="004C5D62">
            <w:pPr>
              <w:spacing w:after="0" w:line="240" w:lineRule="auto"/>
              <w:jc w:val="both"/>
              <w:rPr>
                <w:color w:val="0070C0"/>
                <w:sz w:val="16"/>
                <w:szCs w:val="16"/>
              </w:rPr>
            </w:pPr>
            <w:r w:rsidRPr="008A2E5A">
              <w:rPr>
                <w:color w:val="0070C0"/>
                <w:sz w:val="16"/>
                <w:szCs w:val="16"/>
              </w:rPr>
              <w:t>600 м</w:t>
            </w:r>
          </w:p>
        </w:tc>
      </w:tr>
      <w:tr w:rsidR="00382010" w:rsidRPr="008A2E5A" w14:paraId="6D45082D" w14:textId="77777777" w:rsidTr="004C5D62">
        <w:tc>
          <w:tcPr>
            <w:tcW w:w="2510" w:type="dxa"/>
          </w:tcPr>
          <w:p w14:paraId="72363B8B" w14:textId="77777777" w:rsidR="00382010" w:rsidRPr="008A2E5A" w:rsidRDefault="00382010" w:rsidP="004C5D62">
            <w:pPr>
              <w:spacing w:after="0" w:line="240" w:lineRule="auto"/>
              <w:jc w:val="both"/>
              <w:rPr>
                <w:color w:val="0070C0"/>
                <w:sz w:val="16"/>
                <w:szCs w:val="16"/>
              </w:rPr>
            </w:pPr>
            <w:r w:rsidRPr="008A2E5A">
              <w:rPr>
                <w:color w:val="0070C0"/>
                <w:sz w:val="16"/>
                <w:szCs w:val="16"/>
              </w:rPr>
              <w:t>Полный вес</w:t>
            </w:r>
          </w:p>
        </w:tc>
        <w:tc>
          <w:tcPr>
            <w:tcW w:w="1701" w:type="dxa"/>
          </w:tcPr>
          <w:p w14:paraId="259727AD" w14:textId="77777777" w:rsidR="00382010" w:rsidRPr="008A2E5A" w:rsidRDefault="00382010" w:rsidP="004C5D62">
            <w:pPr>
              <w:spacing w:after="0" w:line="240" w:lineRule="auto"/>
              <w:jc w:val="both"/>
              <w:rPr>
                <w:color w:val="0070C0"/>
                <w:sz w:val="16"/>
                <w:szCs w:val="16"/>
              </w:rPr>
            </w:pPr>
            <w:r w:rsidRPr="008A2E5A">
              <w:rPr>
                <w:color w:val="0070C0"/>
                <w:sz w:val="16"/>
                <w:szCs w:val="16"/>
              </w:rPr>
              <w:t>15 500 кг</w:t>
            </w:r>
          </w:p>
        </w:tc>
        <w:tc>
          <w:tcPr>
            <w:tcW w:w="1559" w:type="dxa"/>
          </w:tcPr>
          <w:p w14:paraId="32D9EC25" w14:textId="77777777" w:rsidR="00382010" w:rsidRPr="008A2E5A" w:rsidRDefault="00382010" w:rsidP="004C5D62">
            <w:pPr>
              <w:spacing w:after="0" w:line="240" w:lineRule="auto"/>
              <w:jc w:val="both"/>
              <w:rPr>
                <w:color w:val="0070C0"/>
                <w:sz w:val="16"/>
                <w:szCs w:val="16"/>
              </w:rPr>
            </w:pPr>
            <w:r w:rsidRPr="008A2E5A">
              <w:rPr>
                <w:color w:val="0070C0"/>
                <w:sz w:val="16"/>
                <w:szCs w:val="16"/>
              </w:rPr>
              <w:t>15 500 кг</w:t>
            </w:r>
          </w:p>
        </w:tc>
      </w:tr>
      <w:tr w:rsidR="00382010" w:rsidRPr="008A2E5A" w14:paraId="74F507C1" w14:textId="77777777" w:rsidTr="004C5D62">
        <w:tc>
          <w:tcPr>
            <w:tcW w:w="2510" w:type="dxa"/>
          </w:tcPr>
          <w:p w14:paraId="0C57A428" w14:textId="77777777" w:rsidR="00382010" w:rsidRPr="008A2E5A" w:rsidRDefault="00382010" w:rsidP="004C5D62">
            <w:pPr>
              <w:spacing w:after="0" w:line="240" w:lineRule="auto"/>
              <w:jc w:val="both"/>
              <w:rPr>
                <w:color w:val="0070C0"/>
                <w:sz w:val="16"/>
                <w:szCs w:val="16"/>
              </w:rPr>
            </w:pPr>
            <w:r w:rsidRPr="008A2E5A">
              <w:rPr>
                <w:color w:val="0070C0"/>
                <w:sz w:val="16"/>
                <w:szCs w:val="16"/>
              </w:rPr>
              <w:t>Запас горючего</w:t>
            </w:r>
          </w:p>
        </w:tc>
        <w:tc>
          <w:tcPr>
            <w:tcW w:w="1701" w:type="dxa"/>
          </w:tcPr>
          <w:p w14:paraId="1941451C" w14:textId="77777777" w:rsidR="00382010" w:rsidRPr="008A2E5A" w:rsidRDefault="00382010" w:rsidP="004C5D62">
            <w:pPr>
              <w:spacing w:after="0" w:line="240" w:lineRule="auto"/>
              <w:jc w:val="both"/>
              <w:rPr>
                <w:color w:val="0070C0"/>
                <w:sz w:val="16"/>
                <w:szCs w:val="16"/>
              </w:rPr>
            </w:pPr>
            <w:r w:rsidRPr="008A2E5A">
              <w:rPr>
                <w:color w:val="0070C0"/>
                <w:sz w:val="16"/>
                <w:szCs w:val="16"/>
              </w:rPr>
              <w:t>4650 кг</w:t>
            </w:r>
          </w:p>
        </w:tc>
        <w:tc>
          <w:tcPr>
            <w:tcW w:w="1559" w:type="dxa"/>
          </w:tcPr>
          <w:p w14:paraId="78050DF2" w14:textId="77777777" w:rsidR="00382010" w:rsidRPr="008A2E5A" w:rsidRDefault="00382010" w:rsidP="004C5D62">
            <w:pPr>
              <w:spacing w:after="0" w:line="240" w:lineRule="auto"/>
              <w:jc w:val="both"/>
              <w:rPr>
                <w:color w:val="0070C0"/>
                <w:sz w:val="16"/>
                <w:szCs w:val="16"/>
              </w:rPr>
            </w:pPr>
            <w:r w:rsidRPr="008A2E5A">
              <w:rPr>
                <w:color w:val="0070C0"/>
                <w:sz w:val="16"/>
                <w:szCs w:val="16"/>
              </w:rPr>
              <w:t>4650 кг</w:t>
            </w:r>
          </w:p>
        </w:tc>
      </w:tr>
      <w:tr w:rsidR="00382010" w:rsidRPr="008A2E5A" w14:paraId="4FBB168D" w14:textId="77777777" w:rsidTr="004C5D62">
        <w:tc>
          <w:tcPr>
            <w:tcW w:w="2510" w:type="dxa"/>
          </w:tcPr>
          <w:p w14:paraId="77376747" w14:textId="77777777" w:rsidR="00382010" w:rsidRPr="008A2E5A" w:rsidRDefault="00382010" w:rsidP="004C5D62">
            <w:pPr>
              <w:spacing w:after="0" w:line="240" w:lineRule="auto"/>
              <w:jc w:val="both"/>
              <w:rPr>
                <w:color w:val="0070C0"/>
                <w:sz w:val="16"/>
                <w:szCs w:val="16"/>
              </w:rPr>
            </w:pPr>
            <w:r w:rsidRPr="008A2E5A">
              <w:rPr>
                <w:color w:val="0070C0"/>
                <w:sz w:val="16"/>
                <w:szCs w:val="16"/>
              </w:rPr>
              <w:t>Крейсерская скорость</w:t>
            </w:r>
          </w:p>
        </w:tc>
        <w:tc>
          <w:tcPr>
            <w:tcW w:w="1701" w:type="dxa"/>
          </w:tcPr>
          <w:p w14:paraId="23820BDA" w14:textId="77777777" w:rsidR="00382010" w:rsidRPr="008A2E5A" w:rsidRDefault="00382010" w:rsidP="004C5D62">
            <w:pPr>
              <w:spacing w:after="0" w:line="240" w:lineRule="auto"/>
              <w:jc w:val="both"/>
              <w:rPr>
                <w:color w:val="0070C0"/>
                <w:sz w:val="16"/>
                <w:szCs w:val="16"/>
              </w:rPr>
            </w:pPr>
            <w:r w:rsidRPr="008A2E5A">
              <w:rPr>
                <w:color w:val="0070C0"/>
                <w:sz w:val="16"/>
                <w:szCs w:val="16"/>
              </w:rPr>
              <w:t>437 км/ч</w:t>
            </w:r>
          </w:p>
        </w:tc>
        <w:tc>
          <w:tcPr>
            <w:tcW w:w="1559" w:type="dxa"/>
          </w:tcPr>
          <w:p w14:paraId="4F0D63D1" w14:textId="77777777" w:rsidR="00382010" w:rsidRPr="008A2E5A" w:rsidRDefault="00382010" w:rsidP="004C5D62">
            <w:pPr>
              <w:spacing w:after="0" w:line="240" w:lineRule="auto"/>
              <w:jc w:val="both"/>
              <w:rPr>
                <w:color w:val="0070C0"/>
                <w:sz w:val="16"/>
                <w:szCs w:val="16"/>
              </w:rPr>
            </w:pPr>
            <w:r w:rsidRPr="008A2E5A">
              <w:rPr>
                <w:color w:val="0070C0"/>
                <w:sz w:val="16"/>
                <w:szCs w:val="16"/>
              </w:rPr>
              <w:t>410 км/ч аа</w:t>
            </w:r>
          </w:p>
        </w:tc>
      </w:tr>
      <w:tr w:rsidR="00382010" w:rsidRPr="008A2E5A" w14:paraId="652F6B91" w14:textId="77777777" w:rsidTr="004C5D62">
        <w:tc>
          <w:tcPr>
            <w:tcW w:w="2510" w:type="dxa"/>
          </w:tcPr>
          <w:p w14:paraId="575CFFF4" w14:textId="77777777" w:rsidR="00382010" w:rsidRPr="008A2E5A" w:rsidRDefault="00382010" w:rsidP="004C5D62">
            <w:pPr>
              <w:spacing w:after="0" w:line="240" w:lineRule="auto"/>
              <w:jc w:val="both"/>
              <w:rPr>
                <w:color w:val="0070C0"/>
                <w:sz w:val="16"/>
                <w:szCs w:val="16"/>
              </w:rPr>
            </w:pPr>
            <w:r w:rsidRPr="008A2E5A">
              <w:rPr>
                <w:color w:val="0070C0"/>
                <w:sz w:val="16"/>
                <w:szCs w:val="16"/>
              </w:rPr>
              <w:t>Дальность полета</w:t>
            </w:r>
          </w:p>
        </w:tc>
        <w:tc>
          <w:tcPr>
            <w:tcW w:w="1701" w:type="dxa"/>
          </w:tcPr>
          <w:p w14:paraId="25D42097" w14:textId="77777777" w:rsidR="00382010" w:rsidRPr="008A2E5A" w:rsidRDefault="00382010" w:rsidP="004C5D62">
            <w:pPr>
              <w:spacing w:after="0" w:line="240" w:lineRule="auto"/>
              <w:jc w:val="both"/>
              <w:rPr>
                <w:color w:val="0070C0"/>
                <w:sz w:val="16"/>
                <w:szCs w:val="16"/>
              </w:rPr>
            </w:pPr>
            <w:r w:rsidRPr="008A2E5A">
              <w:rPr>
                <w:color w:val="0070C0"/>
                <w:sz w:val="16"/>
                <w:szCs w:val="16"/>
              </w:rPr>
              <w:t>3500 км</w:t>
            </w:r>
          </w:p>
        </w:tc>
        <w:tc>
          <w:tcPr>
            <w:tcW w:w="1559" w:type="dxa"/>
          </w:tcPr>
          <w:p w14:paraId="55F2F860" w14:textId="77777777" w:rsidR="00382010" w:rsidRPr="008A2E5A" w:rsidRDefault="00382010" w:rsidP="004C5D62">
            <w:pPr>
              <w:spacing w:after="0" w:line="240" w:lineRule="auto"/>
              <w:jc w:val="both"/>
              <w:rPr>
                <w:color w:val="0070C0"/>
                <w:sz w:val="16"/>
                <w:szCs w:val="16"/>
              </w:rPr>
            </w:pPr>
            <w:r w:rsidRPr="008A2E5A">
              <w:rPr>
                <w:color w:val="0070C0"/>
                <w:sz w:val="16"/>
                <w:szCs w:val="16"/>
              </w:rPr>
              <w:t>3600 км</w:t>
            </w:r>
          </w:p>
        </w:tc>
      </w:tr>
      <w:tr w:rsidR="00382010" w:rsidRPr="008A2E5A" w14:paraId="470EB0A5" w14:textId="77777777" w:rsidTr="004C5D62">
        <w:tc>
          <w:tcPr>
            <w:tcW w:w="2510" w:type="dxa"/>
          </w:tcPr>
          <w:p w14:paraId="673E7AB5" w14:textId="77777777" w:rsidR="00382010" w:rsidRPr="008A2E5A" w:rsidRDefault="00382010" w:rsidP="004C5D62">
            <w:pPr>
              <w:spacing w:after="0" w:line="240" w:lineRule="auto"/>
              <w:jc w:val="both"/>
              <w:rPr>
                <w:color w:val="0070C0"/>
                <w:sz w:val="16"/>
                <w:szCs w:val="16"/>
              </w:rPr>
            </w:pPr>
            <w:r w:rsidRPr="008A2E5A">
              <w:rPr>
                <w:color w:val="0070C0"/>
                <w:sz w:val="16"/>
                <w:szCs w:val="16"/>
              </w:rPr>
              <w:t>Длина разбега</w:t>
            </w:r>
          </w:p>
        </w:tc>
        <w:tc>
          <w:tcPr>
            <w:tcW w:w="1701" w:type="dxa"/>
          </w:tcPr>
          <w:p w14:paraId="62F65435" w14:textId="77777777" w:rsidR="00382010" w:rsidRPr="008A2E5A" w:rsidRDefault="00382010" w:rsidP="004C5D62">
            <w:pPr>
              <w:spacing w:after="0" w:line="240" w:lineRule="auto"/>
              <w:jc w:val="both"/>
              <w:rPr>
                <w:color w:val="0070C0"/>
                <w:sz w:val="16"/>
                <w:szCs w:val="16"/>
              </w:rPr>
            </w:pPr>
            <w:r w:rsidRPr="008A2E5A">
              <w:rPr>
                <w:color w:val="0070C0"/>
                <w:sz w:val="16"/>
                <w:szCs w:val="16"/>
              </w:rPr>
              <w:t>1200 м</w:t>
            </w:r>
          </w:p>
        </w:tc>
        <w:tc>
          <w:tcPr>
            <w:tcW w:w="1559" w:type="dxa"/>
          </w:tcPr>
          <w:p w14:paraId="1F096905" w14:textId="77777777" w:rsidR="00382010" w:rsidRPr="008A2E5A" w:rsidRDefault="00382010" w:rsidP="004C5D62">
            <w:pPr>
              <w:spacing w:after="0" w:line="240" w:lineRule="auto"/>
              <w:jc w:val="both"/>
              <w:rPr>
                <w:color w:val="0070C0"/>
                <w:sz w:val="16"/>
                <w:szCs w:val="16"/>
              </w:rPr>
            </w:pPr>
            <w:r w:rsidRPr="008A2E5A">
              <w:rPr>
                <w:color w:val="0070C0"/>
                <w:sz w:val="16"/>
                <w:szCs w:val="16"/>
              </w:rPr>
              <w:t>850 м</w:t>
            </w:r>
          </w:p>
        </w:tc>
      </w:tr>
    </w:tbl>
    <w:p w14:paraId="199B7CE4"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самолета Ер-2 допускает подвеску 4 тыс. кг бомб и изменяется связи с дальностью полета следующим образом3*: на дальность 3,5 тыс. км — 1 тыс. кг бомб, на дальность 2,5 тыс. км — 2 тыс. кг бомб, на дальность 1 тыс. км — 3-4 тыс. кг.</w:t>
      </w:r>
    </w:p>
    <w:p w14:paraId="7D12ED39"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самолет, стартуя, к примеру, из Москвы, может перебросить в районы Старой Руссы, Невеля, Орши, Витебска 3-4 тыс. кг бомбовой нагрузки любого калибра, включая бомбы весом 2 тыс. кг. Указанная бомбовая нагрузка является непревзойденной из всех находящихся на вооружении двухмоторных бомбардировщиков и приближается по нагрузке к четырехмоторным самолетам.</w:t>
      </w:r>
    </w:p>
    <w:p w14:paraId="5A239EF6"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Следует также отметить, что размерность, прочность и конструкция винтомоторной группы самолета Ер-2 позволяет без всякой переделки и усиления его частей устанавливать любой из моторов: авиадизель М-30, мотор М-82 или мотор АМ-38 с турбокомпрессором ТК-3, обеспечивая тем самым возможность дальнейшей</w:t>
      </w:r>
    </w:p>
    <w:p w14:paraId="23963BEE"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перспективной модернизации этого самолета без всяких затруднений. В результате модернизации самолет будет иметь следующие данные:</w:t>
      </w:r>
    </w:p>
    <w:tbl>
      <w:tblPr>
        <w:tblStyle w:val="afffff5"/>
        <w:tblW w:w="0" w:type="auto"/>
        <w:tblInd w:w="150" w:type="dxa"/>
        <w:tblLook w:val="04A0" w:firstRow="1" w:lastRow="0" w:firstColumn="1" w:lastColumn="0" w:noHBand="0" w:noVBand="1"/>
      </w:tblPr>
      <w:tblGrid>
        <w:gridCol w:w="1219"/>
        <w:gridCol w:w="916"/>
        <w:gridCol w:w="916"/>
        <w:gridCol w:w="916"/>
      </w:tblGrid>
      <w:tr w:rsidR="00382010" w:rsidRPr="008A2E5A" w14:paraId="4F9512B6" w14:textId="77777777" w:rsidTr="004C5D62">
        <w:tc>
          <w:tcPr>
            <w:tcW w:w="916" w:type="dxa"/>
          </w:tcPr>
          <w:p w14:paraId="5585D6E7" w14:textId="77777777" w:rsidR="00382010" w:rsidRPr="008A2E5A" w:rsidRDefault="00382010" w:rsidP="004C5D62">
            <w:pPr>
              <w:spacing w:after="0" w:line="240" w:lineRule="auto"/>
              <w:jc w:val="both"/>
              <w:rPr>
                <w:color w:val="0070C0"/>
                <w:sz w:val="16"/>
                <w:szCs w:val="16"/>
              </w:rPr>
            </w:pPr>
          </w:p>
        </w:tc>
        <w:tc>
          <w:tcPr>
            <w:tcW w:w="916" w:type="dxa"/>
          </w:tcPr>
          <w:p w14:paraId="0A9233AA" w14:textId="77777777" w:rsidR="00382010" w:rsidRPr="008A2E5A" w:rsidRDefault="00382010" w:rsidP="004C5D62">
            <w:pPr>
              <w:spacing w:after="0" w:line="240" w:lineRule="auto"/>
              <w:jc w:val="both"/>
              <w:rPr>
                <w:color w:val="0070C0"/>
                <w:sz w:val="16"/>
                <w:szCs w:val="16"/>
              </w:rPr>
            </w:pPr>
            <w:r w:rsidRPr="008A2E5A">
              <w:rPr>
                <w:color w:val="0070C0"/>
                <w:sz w:val="16"/>
                <w:szCs w:val="16"/>
              </w:rPr>
              <w:t>М-30</w:t>
            </w:r>
          </w:p>
        </w:tc>
        <w:tc>
          <w:tcPr>
            <w:tcW w:w="916" w:type="dxa"/>
          </w:tcPr>
          <w:p w14:paraId="25D4A8C5" w14:textId="77777777" w:rsidR="00382010" w:rsidRPr="008A2E5A" w:rsidRDefault="00382010" w:rsidP="004C5D62">
            <w:pPr>
              <w:spacing w:after="0" w:line="240" w:lineRule="auto"/>
              <w:jc w:val="both"/>
              <w:rPr>
                <w:color w:val="0070C0"/>
                <w:sz w:val="16"/>
                <w:szCs w:val="16"/>
              </w:rPr>
            </w:pPr>
            <w:r w:rsidRPr="008A2E5A">
              <w:rPr>
                <w:color w:val="0070C0"/>
                <w:sz w:val="16"/>
                <w:szCs w:val="16"/>
              </w:rPr>
              <w:t>М-82</w:t>
            </w:r>
          </w:p>
        </w:tc>
        <w:tc>
          <w:tcPr>
            <w:tcW w:w="916" w:type="dxa"/>
          </w:tcPr>
          <w:p w14:paraId="6A5B6741" w14:textId="77777777" w:rsidR="00382010" w:rsidRPr="008A2E5A" w:rsidRDefault="00382010" w:rsidP="004C5D62">
            <w:pPr>
              <w:spacing w:after="0" w:line="240" w:lineRule="auto"/>
              <w:jc w:val="both"/>
              <w:rPr>
                <w:color w:val="0070C0"/>
                <w:sz w:val="16"/>
                <w:szCs w:val="16"/>
              </w:rPr>
            </w:pPr>
            <w:r w:rsidRPr="008A2E5A">
              <w:rPr>
                <w:color w:val="0070C0"/>
                <w:sz w:val="16"/>
                <w:szCs w:val="16"/>
              </w:rPr>
              <w:t>АМ-38 с ТК-3</w:t>
            </w:r>
          </w:p>
        </w:tc>
      </w:tr>
      <w:tr w:rsidR="00382010" w:rsidRPr="008A2E5A" w14:paraId="75A32117" w14:textId="77777777" w:rsidTr="004C5D62">
        <w:tc>
          <w:tcPr>
            <w:tcW w:w="916" w:type="dxa"/>
          </w:tcPr>
          <w:p w14:paraId="24FBB1C0" w14:textId="77777777" w:rsidR="00382010" w:rsidRPr="008A2E5A" w:rsidRDefault="00382010" w:rsidP="004C5D62">
            <w:pPr>
              <w:spacing w:after="0" w:line="240" w:lineRule="auto"/>
              <w:jc w:val="both"/>
              <w:rPr>
                <w:color w:val="0070C0"/>
                <w:sz w:val="16"/>
                <w:szCs w:val="16"/>
              </w:rPr>
            </w:pPr>
            <w:r w:rsidRPr="008A2E5A">
              <w:rPr>
                <w:color w:val="0070C0"/>
                <w:sz w:val="16"/>
                <w:szCs w:val="16"/>
              </w:rPr>
              <w:t>Максимальная скорость</w:t>
            </w:r>
          </w:p>
        </w:tc>
        <w:tc>
          <w:tcPr>
            <w:tcW w:w="916" w:type="dxa"/>
          </w:tcPr>
          <w:p w14:paraId="66DEE039" w14:textId="77777777" w:rsidR="00382010" w:rsidRPr="008A2E5A" w:rsidRDefault="00382010" w:rsidP="004C5D62">
            <w:pPr>
              <w:spacing w:after="0" w:line="240" w:lineRule="auto"/>
              <w:jc w:val="both"/>
              <w:rPr>
                <w:color w:val="0070C0"/>
                <w:sz w:val="16"/>
                <w:szCs w:val="16"/>
              </w:rPr>
            </w:pPr>
            <w:r w:rsidRPr="008A2E5A">
              <w:rPr>
                <w:color w:val="0070C0"/>
                <w:sz w:val="16"/>
                <w:szCs w:val="16"/>
              </w:rPr>
              <w:t>480</w:t>
            </w:r>
          </w:p>
        </w:tc>
        <w:tc>
          <w:tcPr>
            <w:tcW w:w="916" w:type="dxa"/>
          </w:tcPr>
          <w:p w14:paraId="0F4CE3DF" w14:textId="77777777" w:rsidR="00382010" w:rsidRPr="008A2E5A" w:rsidRDefault="00382010" w:rsidP="004C5D62">
            <w:pPr>
              <w:spacing w:after="0" w:line="240" w:lineRule="auto"/>
              <w:jc w:val="both"/>
              <w:rPr>
                <w:color w:val="0070C0"/>
                <w:sz w:val="16"/>
                <w:szCs w:val="16"/>
              </w:rPr>
            </w:pPr>
            <w:r w:rsidRPr="008A2E5A">
              <w:rPr>
                <w:color w:val="0070C0"/>
                <w:sz w:val="16"/>
                <w:szCs w:val="16"/>
              </w:rPr>
              <w:t>490</w:t>
            </w:r>
          </w:p>
        </w:tc>
        <w:tc>
          <w:tcPr>
            <w:tcW w:w="916" w:type="dxa"/>
          </w:tcPr>
          <w:p w14:paraId="13CE8A7A" w14:textId="77777777" w:rsidR="00382010" w:rsidRPr="008A2E5A" w:rsidRDefault="00382010" w:rsidP="004C5D62">
            <w:pPr>
              <w:spacing w:after="0" w:line="240" w:lineRule="auto"/>
              <w:jc w:val="both"/>
              <w:rPr>
                <w:color w:val="0070C0"/>
                <w:sz w:val="16"/>
                <w:szCs w:val="16"/>
              </w:rPr>
            </w:pPr>
            <w:r w:rsidRPr="008A2E5A">
              <w:rPr>
                <w:color w:val="0070C0"/>
                <w:sz w:val="16"/>
                <w:szCs w:val="16"/>
              </w:rPr>
              <w:t>550</w:t>
            </w:r>
          </w:p>
        </w:tc>
      </w:tr>
      <w:tr w:rsidR="00382010" w:rsidRPr="008A2E5A" w14:paraId="14147B28" w14:textId="77777777" w:rsidTr="004C5D62">
        <w:tc>
          <w:tcPr>
            <w:tcW w:w="916" w:type="dxa"/>
          </w:tcPr>
          <w:p w14:paraId="0E396718" w14:textId="77777777" w:rsidR="00382010" w:rsidRPr="008A2E5A" w:rsidRDefault="00382010" w:rsidP="004C5D62">
            <w:pPr>
              <w:spacing w:after="0" w:line="240" w:lineRule="auto"/>
              <w:jc w:val="both"/>
              <w:rPr>
                <w:color w:val="0070C0"/>
                <w:sz w:val="16"/>
                <w:szCs w:val="16"/>
              </w:rPr>
            </w:pPr>
            <w:r w:rsidRPr="008A2E5A">
              <w:rPr>
                <w:color w:val="0070C0"/>
                <w:sz w:val="16"/>
                <w:szCs w:val="16"/>
              </w:rPr>
              <w:t>Дальность полета</w:t>
            </w:r>
          </w:p>
        </w:tc>
        <w:tc>
          <w:tcPr>
            <w:tcW w:w="916" w:type="dxa"/>
          </w:tcPr>
          <w:p w14:paraId="4B34C162" w14:textId="77777777" w:rsidR="00382010" w:rsidRPr="008A2E5A" w:rsidRDefault="00382010" w:rsidP="004C5D62">
            <w:pPr>
              <w:spacing w:after="0" w:line="240" w:lineRule="auto"/>
              <w:jc w:val="both"/>
              <w:rPr>
                <w:color w:val="0070C0"/>
                <w:sz w:val="16"/>
                <w:szCs w:val="16"/>
              </w:rPr>
            </w:pPr>
            <w:r w:rsidRPr="008A2E5A">
              <w:rPr>
                <w:color w:val="0070C0"/>
                <w:sz w:val="16"/>
                <w:szCs w:val="16"/>
              </w:rPr>
              <w:t>6000</w:t>
            </w:r>
          </w:p>
        </w:tc>
        <w:tc>
          <w:tcPr>
            <w:tcW w:w="916" w:type="dxa"/>
          </w:tcPr>
          <w:p w14:paraId="41EBB93F" w14:textId="77777777" w:rsidR="00382010" w:rsidRPr="008A2E5A" w:rsidRDefault="00382010" w:rsidP="004C5D62">
            <w:pPr>
              <w:spacing w:after="0" w:line="240" w:lineRule="auto"/>
              <w:jc w:val="both"/>
              <w:rPr>
                <w:color w:val="0070C0"/>
                <w:sz w:val="16"/>
                <w:szCs w:val="16"/>
              </w:rPr>
            </w:pPr>
            <w:r w:rsidRPr="008A2E5A">
              <w:rPr>
                <w:color w:val="0070C0"/>
                <w:sz w:val="16"/>
                <w:szCs w:val="16"/>
              </w:rPr>
              <w:t>3600</w:t>
            </w:r>
          </w:p>
        </w:tc>
        <w:tc>
          <w:tcPr>
            <w:tcW w:w="916" w:type="dxa"/>
          </w:tcPr>
          <w:p w14:paraId="0B2E8E44" w14:textId="77777777" w:rsidR="00382010" w:rsidRPr="008A2E5A" w:rsidRDefault="00382010" w:rsidP="004C5D62">
            <w:pPr>
              <w:spacing w:after="0" w:line="240" w:lineRule="auto"/>
              <w:jc w:val="both"/>
              <w:rPr>
                <w:color w:val="0070C0"/>
                <w:sz w:val="16"/>
                <w:szCs w:val="16"/>
              </w:rPr>
            </w:pPr>
            <w:r w:rsidRPr="008A2E5A">
              <w:rPr>
                <w:color w:val="0070C0"/>
                <w:sz w:val="16"/>
                <w:szCs w:val="16"/>
              </w:rPr>
              <w:t>4000</w:t>
            </w:r>
          </w:p>
        </w:tc>
      </w:tr>
      <w:tr w:rsidR="00382010" w:rsidRPr="008A2E5A" w14:paraId="410D1328" w14:textId="77777777" w:rsidTr="004C5D62">
        <w:tc>
          <w:tcPr>
            <w:tcW w:w="916" w:type="dxa"/>
          </w:tcPr>
          <w:p w14:paraId="70C566B3" w14:textId="77777777" w:rsidR="00382010" w:rsidRPr="008A2E5A" w:rsidRDefault="00382010" w:rsidP="004C5D62">
            <w:pPr>
              <w:spacing w:after="0" w:line="240" w:lineRule="auto"/>
              <w:jc w:val="both"/>
              <w:rPr>
                <w:color w:val="0070C0"/>
                <w:sz w:val="16"/>
                <w:szCs w:val="16"/>
              </w:rPr>
            </w:pPr>
            <w:r w:rsidRPr="008A2E5A">
              <w:rPr>
                <w:color w:val="0070C0"/>
                <w:sz w:val="16"/>
                <w:szCs w:val="16"/>
              </w:rPr>
              <w:t>Крейсерская скорость</w:t>
            </w:r>
          </w:p>
        </w:tc>
        <w:tc>
          <w:tcPr>
            <w:tcW w:w="916" w:type="dxa"/>
          </w:tcPr>
          <w:p w14:paraId="6001D191" w14:textId="77777777" w:rsidR="00382010" w:rsidRPr="008A2E5A" w:rsidRDefault="00382010" w:rsidP="004C5D62">
            <w:pPr>
              <w:spacing w:after="0" w:line="240" w:lineRule="auto"/>
              <w:jc w:val="both"/>
              <w:rPr>
                <w:color w:val="0070C0"/>
                <w:sz w:val="16"/>
                <w:szCs w:val="16"/>
              </w:rPr>
            </w:pPr>
            <w:r w:rsidRPr="008A2E5A">
              <w:rPr>
                <w:color w:val="0070C0"/>
                <w:sz w:val="16"/>
                <w:szCs w:val="16"/>
              </w:rPr>
              <w:t>400</w:t>
            </w:r>
          </w:p>
        </w:tc>
        <w:tc>
          <w:tcPr>
            <w:tcW w:w="916" w:type="dxa"/>
          </w:tcPr>
          <w:p w14:paraId="40D1A149" w14:textId="77777777" w:rsidR="00382010" w:rsidRPr="008A2E5A" w:rsidRDefault="00382010" w:rsidP="004C5D62">
            <w:pPr>
              <w:spacing w:after="0" w:line="240" w:lineRule="auto"/>
              <w:jc w:val="both"/>
              <w:rPr>
                <w:color w:val="0070C0"/>
                <w:sz w:val="16"/>
                <w:szCs w:val="16"/>
              </w:rPr>
            </w:pPr>
            <w:r w:rsidRPr="008A2E5A">
              <w:rPr>
                <w:color w:val="0070C0"/>
                <w:sz w:val="16"/>
                <w:szCs w:val="16"/>
              </w:rPr>
              <w:t>410</w:t>
            </w:r>
          </w:p>
        </w:tc>
        <w:tc>
          <w:tcPr>
            <w:tcW w:w="916" w:type="dxa"/>
          </w:tcPr>
          <w:p w14:paraId="45253FCA" w14:textId="77777777" w:rsidR="00382010" w:rsidRPr="008A2E5A" w:rsidRDefault="00382010" w:rsidP="004C5D62">
            <w:pPr>
              <w:spacing w:after="0" w:line="240" w:lineRule="auto"/>
              <w:jc w:val="both"/>
              <w:rPr>
                <w:color w:val="0070C0"/>
                <w:sz w:val="16"/>
                <w:szCs w:val="16"/>
              </w:rPr>
            </w:pPr>
            <w:r w:rsidRPr="008A2E5A">
              <w:rPr>
                <w:color w:val="0070C0"/>
                <w:sz w:val="16"/>
                <w:szCs w:val="16"/>
              </w:rPr>
              <w:t>460</w:t>
            </w:r>
          </w:p>
        </w:tc>
      </w:tr>
      <w:tr w:rsidR="00382010" w:rsidRPr="008A2E5A" w14:paraId="0A0DF0A2" w14:textId="77777777" w:rsidTr="004C5D62">
        <w:tc>
          <w:tcPr>
            <w:tcW w:w="916" w:type="dxa"/>
          </w:tcPr>
          <w:p w14:paraId="2DA4B927" w14:textId="77777777" w:rsidR="00382010" w:rsidRPr="008A2E5A" w:rsidRDefault="00382010" w:rsidP="004C5D62">
            <w:pPr>
              <w:spacing w:after="0" w:line="240" w:lineRule="auto"/>
              <w:jc w:val="both"/>
              <w:rPr>
                <w:color w:val="0070C0"/>
                <w:sz w:val="16"/>
                <w:szCs w:val="16"/>
              </w:rPr>
            </w:pPr>
            <w:r w:rsidRPr="008A2E5A">
              <w:rPr>
                <w:color w:val="0070C0"/>
                <w:sz w:val="16"/>
                <w:szCs w:val="16"/>
              </w:rPr>
              <w:t>Потолок</w:t>
            </w:r>
          </w:p>
        </w:tc>
        <w:tc>
          <w:tcPr>
            <w:tcW w:w="916" w:type="dxa"/>
          </w:tcPr>
          <w:p w14:paraId="235FDBEB" w14:textId="77777777" w:rsidR="00382010" w:rsidRPr="008A2E5A" w:rsidRDefault="00382010" w:rsidP="004C5D62">
            <w:pPr>
              <w:spacing w:after="0" w:line="240" w:lineRule="auto"/>
              <w:jc w:val="both"/>
              <w:rPr>
                <w:color w:val="0070C0"/>
                <w:sz w:val="16"/>
                <w:szCs w:val="16"/>
              </w:rPr>
            </w:pPr>
            <w:r w:rsidRPr="008A2E5A">
              <w:rPr>
                <w:color w:val="0070C0"/>
                <w:sz w:val="16"/>
                <w:szCs w:val="16"/>
              </w:rPr>
              <w:t>8500</w:t>
            </w:r>
          </w:p>
        </w:tc>
        <w:tc>
          <w:tcPr>
            <w:tcW w:w="916" w:type="dxa"/>
          </w:tcPr>
          <w:p w14:paraId="2F849C8A" w14:textId="77777777" w:rsidR="00382010" w:rsidRPr="008A2E5A" w:rsidRDefault="00382010" w:rsidP="004C5D62">
            <w:pPr>
              <w:spacing w:after="0" w:line="240" w:lineRule="auto"/>
              <w:jc w:val="both"/>
              <w:rPr>
                <w:color w:val="0070C0"/>
                <w:sz w:val="16"/>
                <w:szCs w:val="16"/>
              </w:rPr>
            </w:pPr>
            <w:r w:rsidRPr="008A2E5A">
              <w:rPr>
                <w:color w:val="0070C0"/>
                <w:sz w:val="16"/>
                <w:szCs w:val="16"/>
              </w:rPr>
              <w:t>9000</w:t>
            </w:r>
          </w:p>
        </w:tc>
        <w:tc>
          <w:tcPr>
            <w:tcW w:w="916" w:type="dxa"/>
          </w:tcPr>
          <w:p w14:paraId="0D762FA1" w14:textId="77777777" w:rsidR="00382010" w:rsidRPr="008A2E5A" w:rsidRDefault="00382010" w:rsidP="004C5D62">
            <w:pPr>
              <w:spacing w:after="0" w:line="240" w:lineRule="auto"/>
              <w:jc w:val="both"/>
              <w:rPr>
                <w:color w:val="0070C0"/>
                <w:sz w:val="16"/>
                <w:szCs w:val="16"/>
              </w:rPr>
            </w:pPr>
            <w:r w:rsidRPr="008A2E5A">
              <w:rPr>
                <w:color w:val="0070C0"/>
                <w:sz w:val="16"/>
                <w:szCs w:val="16"/>
              </w:rPr>
              <w:t>11000</w:t>
            </w:r>
          </w:p>
        </w:tc>
      </w:tr>
    </w:tbl>
    <w:p w14:paraId="53D532B8"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разбега при полном полетном весе для всех трех видов моторов не превышает 800-850 м по грунту.</w:t>
      </w:r>
    </w:p>
    <w:p w14:paraId="35079BB4"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высокие летно-тактические качества самолета, единодушно отмеченные командованием и летным составом войсковых соединений, где проходила боевая работа самолетов Ер-2, значительную скорость, непревзойденную бомбовую нагрузку для двухмоторных самолетов (4 тыс. кг), мощное оборонительное вооруженние, простоту пилотирования и большую дальность полета, обеспеченную наличием большой емкости бензобаков (5 тыс. кг), и указанных выше перспектив дальнейшего развития, самолет Ер-2 до сих пор не пущен в серийное производство.</w:t>
      </w:r>
    </w:p>
    <w:p w14:paraId="7FED2094"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Вместе с тем на вооружении ВВС Красной армии не имеется в настоящее время современного двухмоторного дальнего бомбардировщика; имеющиеся же на вооруженнии и находящиеся в серийном производстве двухмоторные бомбардировочные самоелеты в связи с их недостаточным вооружением, малой бомбовой нагрузкой (внутрь фюзеляжа берутся лишь бомбы малого калибра) и главным образом их недостаточной дальностью — не свыше 2-2,5 тыс. км, лимитируемой малым количеством горючего на борту, не удовлетворяет требованиям, предъявляемым к дальним бомбардировщикам в условиях современной войны. В то же время выпуск 70 дальних бомбардировщиков Ер-2 с завода № 18 в г. Воронеже в 1940-1941 гг. в течение всего времени постройки тормозился, и только неоднократное Ваше личное вмешательство и поездка по Вашему указанию наркома т. Шахурина на завод № 18 позволило, наконец, закончить постройку и передачу их для боевой работы в части ВВС Красной армии, где они и получили единодушную высокую оценку благодаря своим летно-тактическим качествам.</w:t>
      </w:r>
    </w:p>
    <w:p w14:paraId="4707C5F3"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 стороны летно-технического состава, ведущего боевую работу на самолетах Ер-2, неоднократно высказывались требования и пожелания о возобновлении серийного выпуска самолетов Ер-2 как вполне соответствующих требованиям, предъявляемым к современным дальним бомбардировщикам. (Оценку боевых качеств самолета Ер-2 от лиц, непосредственно ведущих боевую работу на нем, прилагаются.)</w:t>
      </w:r>
    </w:p>
    <w:p w14:paraId="1041E29B"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этого и со своей стороны, прошу вас, товарищ Сталин, оказать содействие по вопросу серийного выпуска модифицированного самолета Ер-2. Серийная постройка модифицированного самолета Ер-2 может быть осуществлена на одном из следуйющих заводов: № 23, ранее выпускавшего бомбардировщики, на быв. № 84 (ст. Химки), выпускавшего самолеты ПС-84, или № 81 (быв. № 39), также выпускавшего бомбардировщики и в настоящее время не загруженного серийным производством самолетов.</w:t>
      </w:r>
    </w:p>
    <w:p w14:paraId="4A9F1A4B"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этим я вынужден, товарищ Сталин, обратиться к Вам со следующим: после передачи в 1940 г. нашего завода № 240 из Аэрофлота в систему НКАП условия работы нашего молодого коллектива резко ухудшились. На протяжении этих трех лет были неоднократные попытки передать нашу базу другим конструкторам (Архангельскому, Кочеригину). Кроме этого, в начале войны наш завод был передан 2-му Главному управлению НКАП для производства бомбовых кассет, но после его решительного протеста наркомом т. Шахуриным это решение было отменено, в результате этого завод в течение двух месяцев не работал над выполнением Ваших указаний. Затем, в момент эвакуации, наш завод был направлен в г. Казань на площадь в. завода № 124, где не было дано никаких условий для работы, и по истечении трех месяцев возвращен обратно в Москву. В течение марта сего года завод нами восстановлен.</w:t>
      </w:r>
    </w:p>
    <w:p w14:paraId="54C07BBF"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Молодой коллектив завода, который по Вашему личному заданию создал дальний бомбардировщик Ер-2, в настоящее время, обобщив опыт его боевой эксплуатации горячо желая еще лучше выполнить Ваше задание по постройке у нас бомбардинциков с дальностью до 5 тыс. км, заканчивает работу по созданию такого боевого самолета. Одновременно с опытной работой наш завод работает непосредственно для фронта, ремонтируя самолеты Ер-2, изготавливает запасные части и полностью вспенивает техническую эксплуатацию указанных боевых самолетов, находящихся в авиации дальнего действия. Кроме того, заводом подготавливаются 5 модифицированных самолетов Ер-2 с установкой на них моторов и винтов большой мощности (моторы AM-35А) с данными: максимальная скорость — 490 км/ч, дальность полета — 5 тыс. км, длина разбега с полным полетным весом — 850 м, для передачи их в мае месяце сего года в авиацию дальнего действия.</w:t>
      </w:r>
    </w:p>
    <w:p w14:paraId="775839AE"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Несмотря на это, по непонятным мне причинам, снова имеются попытки прекратить работу нашего коллектива путем передачи нашей небольшой базы конструктору Ильюшину С. В., хотя для этого нет никакой необходимости, так как в Москве имеется достаточное количество свободных, ничем не загруженных баз: на заводе № 30 (быв. 1), на заводе № 23 (быв. № 22), на которых строятся серийные самолеты т. Ильюшина, заводе № 81 (быв. № 39) и, наконец, опытная база завода № 156, на которой ранее умещались 5 конструкторских коллективов, также не занятой.</w:t>
      </w:r>
    </w:p>
    <w:p w14:paraId="0EA9CC9D"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Обращаясь к Вам с горячей просьбой, товарищ Сталин, прошу Вашего содействия помощи в решении затронутых выше вопросов, так как только Ваша постоянная помощь и поддержка давали возможность нашему коллективу выполнять работы по строительству дальних бомбардировщиков.</w:t>
      </w:r>
    </w:p>
    <w:p w14:paraId="231B5504"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завода № 240 НКАП Ермолаев</w:t>
      </w:r>
    </w:p>
    <w:p w14:paraId="6A9933D9"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158-162. Подлинник (23677).</w:t>
      </w:r>
    </w:p>
    <w:p w14:paraId="1266EAEB" w14:textId="77777777" w:rsidR="00382010" w:rsidRPr="008A2E5A" w:rsidRDefault="00382010" w:rsidP="00382010">
      <w:pPr>
        <w:spacing w:after="0" w:line="240" w:lineRule="auto"/>
        <w:jc w:val="both"/>
        <w:rPr>
          <w:rFonts w:ascii="Times New Roman" w:hAnsi="Times New Roman"/>
          <w:color w:val="0070C0"/>
          <w:sz w:val="16"/>
          <w:szCs w:val="16"/>
        </w:rPr>
      </w:pPr>
    </w:p>
    <w:p w14:paraId="0A9AD5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Нач. ГУ Обучения, формирования и укомплектования ВВС Никитин и Военком Однолов писали письмо N 355070сс в НКАП и просили в связи с необходимостью размещения личного состава 50 маршевых полков занять под казармы два этажа в Куйбышеве в доме Промышленности (1634,89).</w:t>
      </w:r>
    </w:p>
    <w:p w14:paraId="710078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народному комиссару авиационной промышленности союза сср.</w:t>
      </w:r>
    </w:p>
    <w:p w14:paraId="3A1298F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Запасную авиационную бригаду, дислоцируемую вгор. КУЙБЫШЕВ и его районах, на ближайшие месяцы возложена большая задача по подготовке маршевых полков на самолетах ИЛ-2.</w:t>
      </w:r>
    </w:p>
    <w:p w14:paraId="768290C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Пригодные аэродромы находятся вгор. КУЙБЫШЕВЕ.</w:t>
      </w:r>
    </w:p>
    <w:p w14:paraId="09F9B8E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1-й ЗАБ вданное время направлено до пятидесяти маршевых полков для переучивания.</w:t>
      </w:r>
    </w:p>
    <w:p w14:paraId="4C3650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Возникли большие трудности в размещением прибывающего личного состава, т.к. части бри</w:t>
      </w:r>
      <w:r w:rsidRPr="008127F8">
        <w:rPr>
          <w:rFonts w:ascii="Times New Roman" w:hAnsi="Times New Roman"/>
          <w:color w:val="000000" w:themeColor="text1"/>
          <w:sz w:val="16"/>
          <w:szCs w:val="16"/>
        </w:rPr>
        <w:softHyphen/>
        <w:t>гады в основном размещены на полевых аэродро</w:t>
      </w:r>
      <w:r w:rsidRPr="008127F8">
        <w:rPr>
          <w:rFonts w:ascii="Times New Roman" w:hAnsi="Times New Roman"/>
          <w:color w:val="000000" w:themeColor="text1"/>
          <w:sz w:val="16"/>
          <w:szCs w:val="16"/>
        </w:rPr>
        <w:softHyphen/>
        <w:t>мах, не-имеющих жилфонда и отсутствуют зем</w:t>
      </w:r>
      <w:r w:rsidRPr="008127F8">
        <w:rPr>
          <w:rFonts w:ascii="Times New Roman" w:hAnsi="Times New Roman"/>
          <w:color w:val="000000" w:themeColor="text1"/>
          <w:sz w:val="16"/>
          <w:szCs w:val="16"/>
        </w:rPr>
        <w:softHyphen/>
        <w:t>лянки.</w:t>
      </w:r>
    </w:p>
    <w:p w14:paraId="5AB74FE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Подготовка полков </w:t>
      </w:r>
      <w:proofErr w:type="gramStart"/>
      <w:r w:rsidRPr="008127F8">
        <w:rPr>
          <w:rFonts w:ascii="Times New Roman" w:hAnsi="Times New Roman"/>
          <w:color w:val="000000" w:themeColor="text1"/>
          <w:sz w:val="16"/>
          <w:szCs w:val="16"/>
        </w:rPr>
        <w:t>зависит.от</w:t>
      </w:r>
      <w:proofErr w:type="gramEnd"/>
      <w:r w:rsidRPr="008127F8">
        <w:rPr>
          <w:rFonts w:ascii="Times New Roman" w:hAnsi="Times New Roman"/>
          <w:color w:val="000000" w:themeColor="text1"/>
          <w:sz w:val="16"/>
          <w:szCs w:val="16"/>
        </w:rPr>
        <w:t xml:space="preserve"> личного состава в казармах. Прошу Вашего разрешения занять два этажа дома Промышленности в КУЙБЫШЕВЕ до потепления, т.е. до 15 мая 42 г.</w:t>
      </w:r>
    </w:p>
    <w:p w14:paraId="4580BA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BA75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6A060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49288"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8 апреля 1942 года.</w:t>
      </w:r>
    </w:p>
    <w:p w14:paraId="119643AD"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8 – 10</w:t>
      </w:r>
      <w:r w:rsidRPr="008127F8">
        <w:rPr>
          <w:rFonts w:ascii="Times New Roman" w:eastAsia="Times New Roman" w:hAnsi="Times New Roman"/>
          <w:color w:val="000000" w:themeColor="text1"/>
          <w:sz w:val="16"/>
          <w:szCs w:val="16"/>
          <w:lang w:eastAsia="ru-RU"/>
        </w:rPr>
        <w:t xml:space="preserve"> </w:t>
      </w:r>
    </w:p>
    <w:p w14:paraId="4CAEF646"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6F2ABEA2"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55E03992"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НАРОДНОМУ КОМИССАРИАТУ ТАНКОВОЙ ПРОМЫШЛЕННОСТИ СССР</w:t>
      </w:r>
    </w:p>
    <w:p w14:paraId="160D8576"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303c</w:t>
      </w:r>
    </w:p>
    <w:p w14:paraId="1FC5B72B"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гор. Москва </w:t>
      </w:r>
    </w:p>
    <w:p w14:paraId="7F10A20B"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"8" апреля 1942 года.</w:t>
      </w:r>
    </w:p>
    <w:p w14:paraId="3C256D64"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Для обеспечения исполнения утвержденного мною плана мероприятий по улучшению эксплоатации танков в весенне-летних условиях приказываю: </w:t>
      </w:r>
    </w:p>
    <w:p w14:paraId="02E276AA"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 Директору завода № 112 тов. МИХАЛЕВУ разработать улучшенную систему охлаждения мотора М-17, обеспечивающую нормальную эксплоатацию танка в летних условиях. Испытания закончить к 20 апреля с.г. Выводы по испытаниям вместе с инструкцией по доводке системы охлаждения на ранее выпущенных танках представить на утверждение в НКТП к 1.V-42 года. </w:t>
      </w:r>
    </w:p>
    <w:p w14:paraId="44EF095C"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2. Директорам заводов № 112 тов. МИХАЛЕВУ и СТЗ тов. ЗАДОРОЖНОМУ разработать инструкцию по замене моторов М-17 на дизель В-2, и вместе со спецификацией на измененные детали 15.IV представить через 2-й отдел НКТП на мое утверждение. </w:t>
      </w:r>
    </w:p>
    <w:p w14:paraId="2146F1B5"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3. Зам. Нач-ка 2-го Отдела т. ГИНЗБУРГ к 18.IV согласовать с ГАБТУ КА инструкцию по замене двигателя М-17 на В-2 в танках Т-34 завода № 112. </w:t>
      </w:r>
    </w:p>
    <w:p w14:paraId="39B36AB8"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4. Начальнику 1 отдела тов. ДАВТЯН к 18.IV составить и согласовать с БТУ КА график на поставку заводами рембазам ГАБТУ КА моторов В-2, со всеми измененными деталями для замены двигателя М-17 и деталей для улучшения системы охлаждения на тех танках, на которых двигатель М-17 остается. </w:t>
      </w:r>
    </w:p>
    <w:p w14:paraId="3311F700"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5. Директорам Кировского завода т. МАХОНИНУ и з-да № 183 т. ЗАЛЬЦМАН к 15.IV составить инструкцию по замене воздухоочистителей старого типа на "Циклон" со спецификацией на все измененные детали и представить через 2-й Отдел НКТП на мое утверждение. </w:t>
      </w:r>
    </w:p>
    <w:p w14:paraId="533D92E4"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6. Начальнику 1 отдела тов. ДАВТЯН к 18.IV составить и согласовать с БТУ КА график на поставку заводами НКТП воздухоочистителей типа "Циклон" для установки в ранее выпущенные танки. Учесть, что замена воздухоочистителей будет производиться как на рембазах, так и в войсковых частях силами этих частей. Директорам заводов № 183 и Кировского обеспечить соответствующий инструктаж войсковых частей. </w:t>
      </w:r>
    </w:p>
    <w:p w14:paraId="7C391123"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7. Директорам заводов № 183 т. ЗАЛЬЦМАН, № 112 тов. МИХАЛЕВУ и СТЗ тов. ЗАДОРОЖНОМУ к 1.V-42 года устанавливать на всех вновь выпускаемых танках Т-34 маслорадиаторы или маслобаки-радиаторы для охлаждения масла мотора. </w:t>
      </w:r>
    </w:p>
    <w:p w14:paraId="34536387"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8. Начальнику 1-го Отдела тов. ДАВТЯН к 15.IV составить график выпуска Кировским заводом новых расширительных бачков увеличенной емкости с комплектами переходных деталей для установки на ранее выпущенных танках "КВ". Поставку новых бачков производить согласно графика, согласованного с ГАБТУ КА. </w:t>
      </w:r>
    </w:p>
    <w:p w14:paraId="7E1DF699"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9. Директорам: Кировского завода т. МАХОНИНУ, завода № 76 т. КОЧЕТКОВУ и СТЗ т. ЗАДОРОЖНОМУ с целью увеличения срока службы моторов на танках Т-34 и КВ изготовлять маслофильтры с частичной регенерацией масла, по чертежам завода № 174 (маслофильтр Т-50), приспособив его с необходимыми изменениями для установки в танках. Новые маслофильтры ввести в серию до 1.VI-42 года. Директору завода № 174 т. КАЦНЕЛЬСОН выслать к 15.IV комплекты чертежей маслофильтра Т-50 Кировскому заводу, СТЗ и заводу № 76. </w:t>
      </w:r>
    </w:p>
    <w:p w14:paraId="5E8A5380"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10. Директорам Кировского завода т. МАХОНИНУ, СТЗ т. ЗАДОРОЖНОМУ, завода № 76 т. КОЧЕТКОВУ: </w:t>
      </w:r>
    </w:p>
    <w:p w14:paraId="7BB24284"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Для обеспечения лучшей очистки моторного топлива с 1.VI ввести в серию на всех выпускаемых моторах отработанный ранее на заводе № 75 бумажный топливный фильтр. </w:t>
      </w:r>
    </w:p>
    <w:p w14:paraId="00AECD2D"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Для улучшения работы мотора и значительного упрощения производства ввести в серию с 15.V пневматический регулятор "Настенко" (отработанный и испытанный на Кировском заводе). </w:t>
      </w:r>
    </w:p>
    <w:p w14:paraId="4D01D757"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С целью обеспечения безопасного запуска мотора ввести с 1.V на всех выпускаемых танках "КВ" и Т-34 ручной насос для прокачки масла в магистрали перед запуском двигателя. </w:t>
      </w:r>
    </w:p>
    <w:p w14:paraId="5AAF13F3"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11. Директору Кировского завода отменить изготовление радиаторов для танков "КВ" из железных трубок и с 1.V восстановить производство радиаторов из алюминиевых или латунных трубок. </w:t>
      </w:r>
    </w:p>
    <w:p w14:paraId="099D3370"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12. Директору Кировского завода т. МАХОНИНУ для обеспечения надежной работы ходовой части (траков, несущих и поддерживающих катков) в летних условиях, на всех вновь выпускаемых танках "КВ" восстановить: </w:t>
      </w:r>
    </w:p>
    <w:p w14:paraId="6ECB0136"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с 25.IV восстановить внутреннюю амортизацию несущих катков. </w:t>
      </w:r>
    </w:p>
    <w:p w14:paraId="7CFA774A"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с 15.V обрезинку верхних катков. </w:t>
      </w:r>
    </w:p>
    <w:p w14:paraId="2FBF49B2"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13. Для проверки в летних условиях эксплоатации танков Т-34 с опорными катками без обрезинки, директору СТЗ тов. ЗАДОРОЖНОМУ к 1.V-42 года провести в Сталинграде длительные испытания катков с внутренней амортизацией. Материал испытания выслать в НКТП. </w:t>
      </w:r>
    </w:p>
    <w:p w14:paraId="587AF639"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14. Начальнику 2-го отдела тов. ГИНЗБУРГ к 20.IV согласовать с ГАБТУ КА вопрос о введении на танках Т-34 единого унифицированного трака. Директорам заводов: № 183 тов. ЗАЛЬЦМАН, СТЗ тов. ЗАДОРОЖНЫЙ и завода № 112 тов. МИХАЛЕВУ принятый трак ввести в серию с 15.V-42 года. </w:t>
      </w:r>
    </w:p>
    <w:p w14:paraId="0044CA45"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15. Главному инженеру завода № 183 тов. МАКСАРЕВУ с целью предохранения главного фрикциона от попадания пыли (приводящей к отказам в работе) к 1.V разработать и испытать защитное устройство. По окончании испытаний Нач. 2-го отдела т. ГИНЗБУРГ согласовать вопрос с ГАБТУ КА о сроках ввода защитного устройства в серию. </w:t>
      </w:r>
    </w:p>
    <w:p w14:paraId="6A105935"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16. Директорам заводов: № 183 т. ЗАЛЬЦМАН, Кировского т. МАХОНИНУ, СТЗ т. ЗАДОРОЖНОМУ и № 112 т. МИХАЛЕВУ для облегчения перебросок танковых десантов и предохранения от аварий, ввести с 20.IV-42 года на крыше танков Т-34 и КВ и на бортах кормовой части башни поручни, а в люке для засоса воздуха ставить более мелкую сетку, предохраняющую от попадания патронов внутрь танка. </w:t>
      </w:r>
    </w:p>
    <w:p w14:paraId="103B438A"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17. Директорам заводов: № 183 т. ЗАЛЬЦМАН, Кировского т. МАХОНИНУ, СТЗ т. ЗАДОРОЖНОМУ, № 112 т. МИХАЛЕВУ, с целью создания нормальных условий для наблюдения из танков, к 1.V-42 года разработать средства очистки смотровых приборов танков и дать предложения для совместного рассмотрения и утверждения НКТП и ГАБТУ КА. </w:t>
      </w:r>
    </w:p>
    <w:p w14:paraId="4C9ABB9B"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 25.IV-42 года восстановить на всех вновь выпускаемых танках удлиненные защитные подкрылки. </w:t>
      </w:r>
    </w:p>
    <w:p w14:paraId="671C052B"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18. Контроль за выполнением приказа возлагаю на Зам. начальника 2-го отдела тов. ГИНЗБУРГ. </w:t>
      </w:r>
    </w:p>
    <w:p w14:paraId="38FF36FC"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31ED3EC2"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ГОРЕГЛЯД</w:t>
      </w:r>
    </w:p>
    <w:p w14:paraId="758D70D0"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 экз. </w:t>
      </w:r>
    </w:p>
    <w:p w14:paraId="4E2DE1AF"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исп. Быстрицкий </w:t>
      </w:r>
    </w:p>
    <w:p w14:paraId="5137D5CF"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lastRenderedPageBreak/>
        <w:t>27.4-42 г./кш (18928).</w:t>
      </w:r>
    </w:p>
    <w:p w14:paraId="66123ADE" w14:textId="77777777" w:rsidR="00E20FF9" w:rsidRPr="008127F8" w:rsidRDefault="00E20FF9" w:rsidP="001E0A84">
      <w:pPr>
        <w:spacing w:after="0" w:line="240" w:lineRule="auto"/>
        <w:jc w:val="both"/>
        <w:rPr>
          <w:rFonts w:ascii="Times New Roman" w:hAnsi="Times New Roman"/>
          <w:color w:val="000000" w:themeColor="text1"/>
          <w:sz w:val="16"/>
          <w:szCs w:val="16"/>
        </w:rPr>
      </w:pPr>
    </w:p>
    <w:p w14:paraId="64693A3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г. была подготовлена СПРАВКА ПО ИСПЫТАНИЯМ БРОНЕТАНКОВОГО ВООРУЖЕНИЯ, ПРОВЕДЕННЫМ ПО ЛИНИИ БТУ КА</w:t>
      </w:r>
    </w:p>
    <w:tbl>
      <w:tblPr>
        <w:tblW w:w="0" w:type="auto"/>
        <w:tblInd w:w="40" w:type="dxa"/>
        <w:tblLayout w:type="fixed"/>
        <w:tblCellMar>
          <w:left w:w="40" w:type="dxa"/>
          <w:right w:w="40" w:type="dxa"/>
        </w:tblCellMar>
        <w:tblLook w:val="0000" w:firstRow="0" w:lastRow="0" w:firstColumn="0" w:lastColumn="0" w:noHBand="0" w:noVBand="0"/>
      </w:tblPr>
      <w:tblGrid>
        <w:gridCol w:w="374"/>
        <w:gridCol w:w="1611"/>
        <w:gridCol w:w="1542"/>
        <w:gridCol w:w="8"/>
        <w:gridCol w:w="9"/>
        <w:gridCol w:w="2126"/>
        <w:gridCol w:w="1701"/>
        <w:gridCol w:w="12"/>
        <w:gridCol w:w="2207"/>
        <w:gridCol w:w="12"/>
      </w:tblGrid>
      <w:tr w:rsidR="006F4095" w:rsidRPr="008127F8" w14:paraId="30A9CB1F" w14:textId="77777777">
        <w:trPr>
          <w:gridAfter w:val="1"/>
          <w:wAfter w:w="11" w:type="dxa"/>
          <w:trHeight w:val="173"/>
        </w:trPr>
        <w:tc>
          <w:tcPr>
            <w:tcW w:w="374" w:type="dxa"/>
            <w:tcBorders>
              <w:top w:val="single" w:sz="6" w:space="0" w:color="auto"/>
              <w:left w:val="single" w:sz="6" w:space="0" w:color="auto"/>
              <w:bottom w:val="nil"/>
              <w:right w:val="single" w:sz="6" w:space="0" w:color="auto"/>
            </w:tcBorders>
          </w:tcPr>
          <w:p w14:paraId="33EBAC4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733CADC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п/п</w:t>
            </w:r>
          </w:p>
          <w:p w14:paraId="79E490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nil"/>
              <w:right w:val="single" w:sz="6" w:space="0" w:color="auto"/>
            </w:tcBorders>
          </w:tcPr>
          <w:p w14:paraId="50848D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объекта</w:t>
            </w:r>
          </w:p>
          <w:p w14:paraId="08435E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8" w:type="dxa"/>
            <w:gridSpan w:val="6"/>
            <w:tcBorders>
              <w:top w:val="single" w:sz="6" w:space="0" w:color="auto"/>
              <w:left w:val="single" w:sz="6" w:space="0" w:color="auto"/>
              <w:bottom w:val="single" w:sz="6" w:space="0" w:color="auto"/>
              <w:right w:val="single" w:sz="6" w:space="0" w:color="auto"/>
            </w:tcBorders>
          </w:tcPr>
          <w:p w14:paraId="1B889C3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и место проведенных испытаний</w:t>
            </w:r>
          </w:p>
          <w:p w14:paraId="62DC94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7" w:type="dxa"/>
            <w:tcBorders>
              <w:top w:val="single" w:sz="6" w:space="0" w:color="auto"/>
              <w:left w:val="single" w:sz="6" w:space="0" w:color="auto"/>
              <w:bottom w:val="nil"/>
              <w:right w:val="single" w:sz="6" w:space="0" w:color="auto"/>
            </w:tcBorders>
          </w:tcPr>
          <w:p w14:paraId="434B6B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p w14:paraId="3F6F6C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611173" w14:textId="77777777">
        <w:trPr>
          <w:gridAfter w:val="1"/>
          <w:wAfter w:w="12" w:type="dxa"/>
          <w:trHeight w:val="173"/>
        </w:trPr>
        <w:tc>
          <w:tcPr>
            <w:tcW w:w="374" w:type="dxa"/>
            <w:tcBorders>
              <w:top w:val="nil"/>
              <w:left w:val="single" w:sz="6" w:space="0" w:color="auto"/>
              <w:bottom w:val="single" w:sz="6" w:space="0" w:color="auto"/>
              <w:right w:val="single" w:sz="6" w:space="0" w:color="auto"/>
            </w:tcBorders>
          </w:tcPr>
          <w:p w14:paraId="7CE231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812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nil"/>
              <w:left w:val="single" w:sz="6" w:space="0" w:color="auto"/>
              <w:bottom w:val="single" w:sz="6" w:space="0" w:color="auto"/>
              <w:right w:val="single" w:sz="6" w:space="0" w:color="auto"/>
            </w:tcBorders>
          </w:tcPr>
          <w:p w14:paraId="410DD7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EC0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42" w:type="dxa"/>
            <w:tcBorders>
              <w:top w:val="single" w:sz="6" w:space="0" w:color="auto"/>
              <w:left w:val="single" w:sz="6" w:space="0" w:color="auto"/>
              <w:bottom w:val="single" w:sz="6" w:space="0" w:color="auto"/>
              <w:right w:val="nil"/>
            </w:tcBorders>
          </w:tcPr>
          <w:p w14:paraId="0FF9D0A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Заводские</w:t>
            </w:r>
          </w:p>
          <w:p w14:paraId="7DC728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3" w:type="dxa"/>
            <w:gridSpan w:val="3"/>
            <w:tcBorders>
              <w:top w:val="single" w:sz="6" w:space="0" w:color="auto"/>
              <w:left w:val="nil"/>
              <w:bottom w:val="single" w:sz="6" w:space="0" w:color="auto"/>
              <w:right w:val="single" w:sz="6" w:space="0" w:color="auto"/>
            </w:tcBorders>
          </w:tcPr>
          <w:p w14:paraId="5C6D9F2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Полигонные</w:t>
            </w:r>
          </w:p>
          <w:p w14:paraId="747F2A6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D89A0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Войсковые</w:t>
            </w:r>
          </w:p>
          <w:p w14:paraId="33D3EA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nil"/>
              <w:left w:val="single" w:sz="6" w:space="0" w:color="auto"/>
              <w:bottom w:val="single" w:sz="6" w:space="0" w:color="auto"/>
              <w:right w:val="single" w:sz="6" w:space="0" w:color="auto"/>
            </w:tcBorders>
          </w:tcPr>
          <w:p w14:paraId="63D7CA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D8B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D941DB" w14:textId="77777777">
        <w:trPr>
          <w:gridAfter w:val="1"/>
          <w:wAfter w:w="11" w:type="dxa"/>
          <w:trHeight w:val="912"/>
        </w:trPr>
        <w:tc>
          <w:tcPr>
            <w:tcW w:w="374" w:type="dxa"/>
            <w:tcBorders>
              <w:top w:val="single" w:sz="6" w:space="0" w:color="auto"/>
              <w:left w:val="single" w:sz="6" w:space="0" w:color="auto"/>
              <w:bottom w:val="single" w:sz="6" w:space="0" w:color="auto"/>
              <w:right w:val="single" w:sz="6" w:space="0" w:color="auto"/>
            </w:tcBorders>
          </w:tcPr>
          <w:p w14:paraId="2DE72A5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185022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55A7C5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КВ-1</w:t>
            </w:r>
          </w:p>
          <w:p w14:paraId="0B6176F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351EB02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 декабрь 1939 г. Полигонные и заводские испытания были объединены и проведены на Кировском заводе. Отчет утвержден начальником АБТУ т. Павловым.</w:t>
            </w:r>
          </w:p>
          <w:p w14:paraId="7557FB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B5BB7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08B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9" w:type="dxa"/>
            <w:gridSpan w:val="2"/>
            <w:tcBorders>
              <w:top w:val="single" w:sz="6" w:space="0" w:color="auto"/>
              <w:left w:val="single" w:sz="6" w:space="0" w:color="auto"/>
              <w:bottom w:val="single" w:sz="6" w:space="0" w:color="auto"/>
              <w:right w:val="single" w:sz="6" w:space="0" w:color="auto"/>
            </w:tcBorders>
          </w:tcPr>
          <w:p w14:paraId="620F032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Принят на вооружение постановлением КО № 443сс от 19.12. 1939 г.</w:t>
            </w:r>
          </w:p>
          <w:p w14:paraId="74F94BA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9C87C1" w14:textId="77777777">
        <w:trPr>
          <w:gridAfter w:val="1"/>
          <w:wAfter w:w="12" w:type="dxa"/>
          <w:trHeight w:val="739"/>
        </w:trPr>
        <w:tc>
          <w:tcPr>
            <w:tcW w:w="374" w:type="dxa"/>
            <w:tcBorders>
              <w:top w:val="single" w:sz="6" w:space="0" w:color="auto"/>
              <w:left w:val="single" w:sz="6" w:space="0" w:color="auto"/>
              <w:bottom w:val="single" w:sz="6" w:space="0" w:color="auto"/>
              <w:right w:val="single" w:sz="6" w:space="0" w:color="auto"/>
            </w:tcBorders>
          </w:tcPr>
          <w:p w14:paraId="1BC03A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38A0DA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0DD83EA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КВ-2</w:t>
            </w:r>
          </w:p>
          <w:p w14:paraId="3BE7F11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2" w:type="dxa"/>
            <w:tcBorders>
              <w:top w:val="single" w:sz="6" w:space="0" w:color="auto"/>
              <w:left w:val="single" w:sz="6" w:space="0" w:color="auto"/>
              <w:bottom w:val="single" w:sz="6" w:space="0" w:color="auto"/>
              <w:right w:val="single" w:sz="6" w:space="0" w:color="auto"/>
            </w:tcBorders>
          </w:tcPr>
          <w:p w14:paraId="4C1905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 - июль 1940 г. Кировский завод.</w:t>
            </w:r>
          </w:p>
          <w:p w14:paraId="76F6D84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3" w:type="dxa"/>
            <w:gridSpan w:val="3"/>
            <w:tcBorders>
              <w:top w:val="single" w:sz="6" w:space="0" w:color="auto"/>
              <w:left w:val="single" w:sz="6" w:space="0" w:color="auto"/>
              <w:bottom w:val="single" w:sz="6" w:space="0" w:color="auto"/>
              <w:right w:val="single" w:sz="6" w:space="0" w:color="auto"/>
            </w:tcBorders>
          </w:tcPr>
          <w:p w14:paraId="76D3DE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801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335A8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DC2A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0B41F3A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Принят на производство Постановлением СНК СССР и ЦК ВКП(б) № 548-232сс от 5.03.1941 г.</w:t>
            </w:r>
          </w:p>
          <w:p w14:paraId="7C2D8D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624FA6" w14:textId="77777777">
        <w:trPr>
          <w:gridAfter w:val="1"/>
          <w:wAfter w:w="12" w:type="dxa"/>
          <w:trHeight w:val="739"/>
        </w:trPr>
        <w:tc>
          <w:tcPr>
            <w:tcW w:w="374" w:type="dxa"/>
            <w:tcBorders>
              <w:top w:val="single" w:sz="6" w:space="0" w:color="auto"/>
              <w:left w:val="single" w:sz="6" w:space="0" w:color="auto"/>
              <w:bottom w:val="single" w:sz="6" w:space="0" w:color="auto"/>
              <w:right w:val="single" w:sz="6" w:space="0" w:color="auto"/>
            </w:tcBorders>
          </w:tcPr>
          <w:p w14:paraId="6210EB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3E1545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113924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Т-34</w:t>
            </w:r>
          </w:p>
          <w:p w14:paraId="76DF60D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2" w:type="dxa"/>
            <w:tcBorders>
              <w:top w:val="single" w:sz="6" w:space="0" w:color="auto"/>
              <w:left w:val="single" w:sz="6" w:space="0" w:color="auto"/>
              <w:bottom w:val="single" w:sz="6" w:space="0" w:color="auto"/>
              <w:right w:val="single" w:sz="6" w:space="0" w:color="auto"/>
            </w:tcBorders>
          </w:tcPr>
          <w:p w14:paraId="729226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C61B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3" w:type="dxa"/>
            <w:gridSpan w:val="3"/>
            <w:tcBorders>
              <w:top w:val="single" w:sz="6" w:space="0" w:color="auto"/>
              <w:left w:val="single" w:sz="6" w:space="0" w:color="auto"/>
              <w:bottom w:val="single" w:sz="6" w:space="0" w:color="auto"/>
              <w:right w:val="single" w:sz="6" w:space="0" w:color="auto"/>
            </w:tcBorders>
          </w:tcPr>
          <w:p w14:paraId="009D28C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-декабрь 1940 г. Длительный пробег на 3000 км по маршруту Харьков -Кубинка - Киев - Харьков</w:t>
            </w:r>
          </w:p>
          <w:p w14:paraId="28334E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36166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 апрель 1940 г. ХВО. Отчет утвержден т. Тимошенко.</w:t>
            </w:r>
          </w:p>
          <w:p w14:paraId="5A9ADCA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020FC94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Принят на вооружение Постановлением КО №443ссот19.12.1939г.</w:t>
            </w:r>
          </w:p>
          <w:p w14:paraId="32A9CE7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1B8FF4" w14:textId="77777777">
        <w:trPr>
          <w:gridAfter w:val="1"/>
          <w:wAfter w:w="12" w:type="dxa"/>
          <w:trHeight w:val="1459"/>
        </w:trPr>
        <w:tc>
          <w:tcPr>
            <w:tcW w:w="374" w:type="dxa"/>
            <w:tcBorders>
              <w:top w:val="single" w:sz="6" w:space="0" w:color="auto"/>
              <w:left w:val="single" w:sz="6" w:space="0" w:color="auto"/>
              <w:bottom w:val="single" w:sz="6" w:space="0" w:color="auto"/>
              <w:right w:val="single" w:sz="6" w:space="0" w:color="auto"/>
            </w:tcBorders>
          </w:tcPr>
          <w:p w14:paraId="519668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1230DE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77CB80C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Т-40</w:t>
            </w:r>
          </w:p>
          <w:p w14:paraId="5519888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4F984C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 1939 г. Завод № 37.</w:t>
            </w:r>
          </w:p>
          <w:p w14:paraId="20C495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3095E1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1939 г. Полигон ГАБТУ КА. Отчет утвержден т. Пугановым.</w:t>
            </w:r>
          </w:p>
          <w:p w14:paraId="00E64E7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E5DEAC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Май - июнь 1940 г. Отчет утвержден т. Тимошенко. 2. Сентябрь -октябрь 1940 г. Пробег на 3000 км по маршруту Москва - Киев - Москва.</w:t>
            </w:r>
          </w:p>
          <w:p w14:paraId="140588B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335A124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Принят на вооружение Постановлением КО №443ссот19.12.1939г.</w:t>
            </w:r>
          </w:p>
          <w:p w14:paraId="217C2EC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0C2F8C"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206E44F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4157A3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A304A4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Т-50</w:t>
            </w:r>
          </w:p>
          <w:p w14:paraId="099D8C9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7C2627D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D3071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60C31E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 февраль 1941 г. Завод № 174. Отчет утвержден т. Кулик, т. Горегляд</w:t>
            </w:r>
          </w:p>
          <w:p w14:paraId="3878A9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80B3A8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18BF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4EF32F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Принят на вооружение Постановлением СНК СССР и ЦК ВКП(б) № 1025-420СС от 16.04.1941 г.</w:t>
            </w:r>
          </w:p>
          <w:p w14:paraId="626AECD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92FD37" w14:textId="77777777">
        <w:trPr>
          <w:gridAfter w:val="1"/>
          <w:wAfter w:w="12" w:type="dxa"/>
          <w:trHeight w:val="547"/>
        </w:trPr>
        <w:tc>
          <w:tcPr>
            <w:tcW w:w="374" w:type="dxa"/>
            <w:tcBorders>
              <w:top w:val="single" w:sz="6" w:space="0" w:color="auto"/>
              <w:left w:val="single" w:sz="6" w:space="0" w:color="auto"/>
              <w:bottom w:val="single" w:sz="6" w:space="0" w:color="auto"/>
              <w:right w:val="single" w:sz="6" w:space="0" w:color="auto"/>
            </w:tcBorders>
          </w:tcPr>
          <w:p w14:paraId="5D88DFF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p w14:paraId="67057D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89A04A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БА-11</w:t>
            </w:r>
          </w:p>
          <w:p w14:paraId="27B2553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7F7BD5D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 - апрель 1939 г.</w:t>
            </w:r>
          </w:p>
          <w:p w14:paraId="4CC6FE5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918C8E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Май - сентябрь 1940 </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Полигон ГАБТУ КА.</w:t>
            </w:r>
          </w:p>
          <w:p w14:paraId="16DFB8E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FC478B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 - август 1940 г. КОВО</w:t>
            </w:r>
          </w:p>
          <w:p w14:paraId="4F57CA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75F943F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Принят на вооружение Постановлением КО №443ссот19.12.1939г.</w:t>
            </w:r>
          </w:p>
          <w:p w14:paraId="76B2347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FD04E4"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7B08ED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p w14:paraId="209CEA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3EDEFF7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ГАЗ-62</w:t>
            </w:r>
          </w:p>
          <w:p w14:paraId="0BFB1C5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3B7B4AF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1941 г. Полигонные и заводские испытания были объединены и проведены частью на ГАЗ им. Молотова и частью на полигоне ГАБТУ КА.</w:t>
            </w:r>
          </w:p>
          <w:p w14:paraId="03F6B36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3" w:type="dxa"/>
            <w:gridSpan w:val="2"/>
            <w:tcBorders>
              <w:top w:val="single" w:sz="6" w:space="0" w:color="auto"/>
              <w:left w:val="single" w:sz="6" w:space="0" w:color="auto"/>
              <w:bottom w:val="single" w:sz="6" w:space="0" w:color="auto"/>
              <w:right w:val="single" w:sz="6" w:space="0" w:color="auto"/>
            </w:tcBorders>
          </w:tcPr>
          <w:p w14:paraId="2A4D44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C59D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6" w:type="dxa"/>
            <w:tcBorders>
              <w:top w:val="single" w:sz="6" w:space="0" w:color="auto"/>
              <w:left w:val="single" w:sz="6" w:space="0" w:color="auto"/>
              <w:bottom w:val="single" w:sz="6" w:space="0" w:color="auto"/>
              <w:right w:val="single" w:sz="6" w:space="0" w:color="auto"/>
            </w:tcBorders>
          </w:tcPr>
          <w:p w14:paraId="191EC3C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87D5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2B163C" w14:textId="77777777">
        <w:trPr>
          <w:gridAfter w:val="1"/>
          <w:wAfter w:w="12" w:type="dxa"/>
          <w:trHeight w:val="1094"/>
        </w:trPr>
        <w:tc>
          <w:tcPr>
            <w:tcW w:w="374" w:type="dxa"/>
            <w:tcBorders>
              <w:top w:val="single" w:sz="6" w:space="0" w:color="auto"/>
              <w:left w:val="single" w:sz="6" w:space="0" w:color="auto"/>
              <w:bottom w:val="single" w:sz="6" w:space="0" w:color="auto"/>
              <w:right w:val="single" w:sz="6" w:space="0" w:color="auto"/>
            </w:tcBorders>
          </w:tcPr>
          <w:p w14:paraId="6CB15E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p w14:paraId="6B86B6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2A1F985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Телетанк БТ-7</w:t>
            </w:r>
          </w:p>
          <w:p w14:paraId="1923E83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118F8E8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C56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30628A2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5A246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032518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Госиспытания октябрь 1940 г. Полигон ГАБТУ КА. Отчет утвержден зам. НКО т. Кулик.</w:t>
            </w:r>
          </w:p>
          <w:p w14:paraId="356EECB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7B7C945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439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EDD286" w14:textId="77777777">
        <w:trPr>
          <w:gridAfter w:val="1"/>
          <w:wAfter w:w="12" w:type="dxa"/>
          <w:trHeight w:val="365"/>
        </w:trPr>
        <w:tc>
          <w:tcPr>
            <w:tcW w:w="374" w:type="dxa"/>
            <w:tcBorders>
              <w:top w:val="single" w:sz="6" w:space="0" w:color="auto"/>
              <w:left w:val="single" w:sz="6" w:space="0" w:color="auto"/>
              <w:bottom w:val="single" w:sz="6" w:space="0" w:color="auto"/>
              <w:right w:val="single" w:sz="6" w:space="0" w:color="auto"/>
            </w:tcBorders>
          </w:tcPr>
          <w:p w14:paraId="7F00D25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p w14:paraId="5D92259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AB86DD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Телетанки Т-38 и Т-20</w:t>
            </w:r>
          </w:p>
          <w:p w14:paraId="2059B6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2CBF1D5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D4916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7DBFD1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 1940 г. Полигон ГАБТУ КА.</w:t>
            </w:r>
          </w:p>
          <w:p w14:paraId="1D89CDF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AAFA92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F8A23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107323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33B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2A1AB7" w14:textId="77777777">
        <w:trPr>
          <w:gridAfter w:val="1"/>
          <w:wAfter w:w="12" w:type="dxa"/>
          <w:trHeight w:val="1814"/>
        </w:trPr>
        <w:tc>
          <w:tcPr>
            <w:tcW w:w="374" w:type="dxa"/>
            <w:tcBorders>
              <w:top w:val="single" w:sz="6" w:space="0" w:color="auto"/>
              <w:left w:val="single" w:sz="6" w:space="0" w:color="auto"/>
              <w:bottom w:val="single" w:sz="6" w:space="0" w:color="auto"/>
              <w:right w:val="single" w:sz="6" w:space="0" w:color="auto"/>
            </w:tcBorders>
          </w:tcPr>
          <w:p w14:paraId="56B255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p w14:paraId="127646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E83B6A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В-2 500 л. с.</w:t>
            </w:r>
          </w:p>
          <w:p w14:paraId="7E029B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45127D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3877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7821981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437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75548D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Госиспытания: 1. Апрель 1938 г. Завод № 183. 2. Май - июнь 1939г. Завод № 75. Отчет утвержден т. Ворошиловым, т. Кагановичем, т. Лихачевым.</w:t>
            </w:r>
          </w:p>
          <w:p w14:paraId="7DD8EA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05A53A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Принят на вооружение Постановлением КО №443ссот 19.12.1939г.</w:t>
            </w:r>
          </w:p>
          <w:p w14:paraId="2EAFD27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E87C4E" w14:textId="77777777">
        <w:trPr>
          <w:gridAfter w:val="1"/>
          <w:wAfter w:w="12" w:type="dxa"/>
          <w:trHeight w:val="1277"/>
        </w:trPr>
        <w:tc>
          <w:tcPr>
            <w:tcW w:w="374" w:type="dxa"/>
            <w:tcBorders>
              <w:top w:val="single" w:sz="6" w:space="0" w:color="auto"/>
              <w:left w:val="single" w:sz="6" w:space="0" w:color="auto"/>
              <w:bottom w:val="single" w:sz="6" w:space="0" w:color="auto"/>
              <w:right w:val="single" w:sz="6" w:space="0" w:color="auto"/>
            </w:tcBorders>
          </w:tcPr>
          <w:p w14:paraId="2C4F9F2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p w14:paraId="05991E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E43D3F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В-2В 375 л. с.</w:t>
            </w:r>
          </w:p>
          <w:p w14:paraId="6B28A11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10B81B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A00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54BF543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F0DD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B93AB2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Госиспытания май - июнь 1939 г. Завод № 75 Отчет утвержден т. Ворошиловым, т. Кагановичем, т. Лихачевым.</w:t>
            </w:r>
          </w:p>
          <w:p w14:paraId="0B18F4A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576E27B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w:t>
            </w:r>
            <w:proofErr w:type="gramStart"/>
            <w:r w:rsidRPr="008127F8">
              <w:rPr>
                <w:rFonts w:ascii="Times New Roman" w:hAnsi="Times New Roman"/>
                <w:color w:val="000000" w:themeColor="text1"/>
                <w:sz w:val="16"/>
                <w:szCs w:val="16"/>
              </w:rPr>
              <w:t>1 .</w:t>
            </w:r>
            <w:proofErr w:type="gramEnd"/>
            <w:r w:rsidRPr="008127F8">
              <w:rPr>
                <w:rFonts w:ascii="Times New Roman" w:hAnsi="Times New Roman"/>
                <w:color w:val="000000" w:themeColor="text1"/>
                <w:sz w:val="16"/>
                <w:szCs w:val="16"/>
              </w:rPr>
              <w:t xml:space="preserve"> Принят на вооружение Постановлением КО №443ссот19.12.1939г.</w:t>
            </w:r>
          </w:p>
          <w:p w14:paraId="37F7A10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6332F3" w14:textId="77777777">
        <w:trPr>
          <w:gridAfter w:val="1"/>
          <w:wAfter w:w="12" w:type="dxa"/>
          <w:trHeight w:val="547"/>
        </w:trPr>
        <w:tc>
          <w:tcPr>
            <w:tcW w:w="374" w:type="dxa"/>
            <w:tcBorders>
              <w:top w:val="single" w:sz="6" w:space="0" w:color="auto"/>
              <w:left w:val="single" w:sz="6" w:space="0" w:color="auto"/>
              <w:bottom w:val="single" w:sz="6" w:space="0" w:color="auto"/>
              <w:right w:val="single" w:sz="6" w:space="0" w:color="auto"/>
            </w:tcBorders>
          </w:tcPr>
          <w:p w14:paraId="3EF5871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p w14:paraId="6C4D480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6BD08B2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В-2К 600 л. с.</w:t>
            </w:r>
          </w:p>
          <w:p w14:paraId="3A7859B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3616EB5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 - июль 1940 г.</w:t>
            </w:r>
          </w:p>
          <w:p w14:paraId="284F605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82FCD7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EAEC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B8998B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517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566678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Принят на вооружение Постановлением КО №428ссот19.12.1939г.</w:t>
            </w:r>
          </w:p>
          <w:p w14:paraId="341EA31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75E353"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76A6515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p w14:paraId="658B78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3290529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В-4 300 л.с.</w:t>
            </w:r>
          </w:p>
          <w:p w14:paraId="65BC441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028C0D4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E6331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7439C9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 - февраль 1941 г. Завод № 174. Дизель испытан в танке Т-50.</w:t>
            </w:r>
          </w:p>
          <w:p w14:paraId="47DBB2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2509B8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6B890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2D7566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EFD3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CCEC8F"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479EE3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p w14:paraId="3577A7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A5764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Огнемет</w:t>
            </w:r>
          </w:p>
          <w:p w14:paraId="15BDAC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289401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 март 1941 г. Завод № 1 74.</w:t>
            </w:r>
          </w:p>
          <w:p w14:paraId="510DCFA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19E5072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 -апрель 1941 г. Завод № 174. Отчет утвержден т. Кулик, т. Горегляд</w:t>
            </w:r>
          </w:p>
          <w:p w14:paraId="02510F5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AC5FC6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0008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1BD17CE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Принят на вооружение Постановлением СНК СССР и ЦК ВКП(б) № 525-224сс от 13.05.1941 г.</w:t>
            </w:r>
          </w:p>
          <w:p w14:paraId="4EB0C04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247FE8" w14:textId="77777777">
        <w:trPr>
          <w:gridAfter w:val="1"/>
          <w:wAfter w:w="12" w:type="dxa"/>
          <w:trHeight w:val="912"/>
        </w:trPr>
        <w:tc>
          <w:tcPr>
            <w:tcW w:w="374" w:type="dxa"/>
            <w:tcBorders>
              <w:top w:val="single" w:sz="6" w:space="0" w:color="auto"/>
              <w:left w:val="single" w:sz="6" w:space="0" w:color="auto"/>
              <w:bottom w:val="single" w:sz="6" w:space="0" w:color="auto"/>
              <w:right w:val="single" w:sz="6" w:space="0" w:color="auto"/>
            </w:tcBorders>
          </w:tcPr>
          <w:p w14:paraId="699C0D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15.</w:t>
            </w:r>
          </w:p>
          <w:p w14:paraId="22BCFD6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751045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Рация КРСТБ</w:t>
            </w:r>
          </w:p>
          <w:p w14:paraId="0A2188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438633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1940 г. Завод № 203.</w:t>
            </w:r>
          </w:p>
          <w:p w14:paraId="0E6785F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348A5AE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 1940 г. Полигон ГАБТУ КА. Отчет утвержден: нач. АБТУ т. Павловым, нач. УСКА т. Найденовым.</w:t>
            </w:r>
          </w:p>
          <w:p w14:paraId="3ACDF60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A65626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 1940 г. МВО Приказ НКО № 031 -1941 г. о принятии на вооружение.</w:t>
            </w:r>
          </w:p>
          <w:p w14:paraId="6E7C27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2C09707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2CF7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F4A609" w14:textId="77777777">
        <w:trPr>
          <w:gridAfter w:val="1"/>
          <w:wAfter w:w="12" w:type="dxa"/>
          <w:trHeight w:val="394"/>
        </w:trPr>
        <w:tc>
          <w:tcPr>
            <w:tcW w:w="374" w:type="dxa"/>
            <w:tcBorders>
              <w:top w:val="single" w:sz="6" w:space="0" w:color="auto"/>
              <w:left w:val="single" w:sz="6" w:space="0" w:color="auto"/>
              <w:bottom w:val="nil"/>
              <w:right w:val="single" w:sz="6" w:space="0" w:color="auto"/>
            </w:tcBorders>
          </w:tcPr>
          <w:p w14:paraId="544BA5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p w14:paraId="75150F4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3F841C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Инженерный танк ИТ-28.</w:t>
            </w:r>
          </w:p>
          <w:p w14:paraId="26005C9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76EDCD6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 1940 г. НАТИ.</w:t>
            </w:r>
          </w:p>
          <w:p w14:paraId="1BED9E2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5D8AE1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 1940 г. Полигон ГАБТУ.</w:t>
            </w:r>
          </w:p>
          <w:p w14:paraId="649A4D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E92FF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F44E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5414229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F19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54D1C0" w14:textId="77777777">
        <w:trPr>
          <w:trHeight w:val="739"/>
        </w:trPr>
        <w:tc>
          <w:tcPr>
            <w:tcW w:w="374" w:type="dxa"/>
            <w:tcBorders>
              <w:top w:val="single" w:sz="6" w:space="0" w:color="auto"/>
              <w:left w:val="single" w:sz="6" w:space="0" w:color="auto"/>
              <w:bottom w:val="single" w:sz="6" w:space="0" w:color="auto"/>
              <w:right w:val="single" w:sz="6" w:space="0" w:color="auto"/>
            </w:tcBorders>
          </w:tcPr>
          <w:p w14:paraId="0D92A24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p w14:paraId="4D6947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AEAD5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76 -мм пушка Л-10</w:t>
            </w:r>
          </w:p>
          <w:p w14:paraId="7E0A6AF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70B6AB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CBD3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882A83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1937г. АНИОП. Отчет утвержден Арткомом АУКА.</w:t>
            </w:r>
          </w:p>
          <w:p w14:paraId="777C59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87A49C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1938г. Лужский полигон.</w:t>
            </w:r>
          </w:p>
          <w:p w14:paraId="066CD4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1833162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654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ACA621" w14:textId="77777777">
        <w:trPr>
          <w:trHeight w:val="547"/>
        </w:trPr>
        <w:tc>
          <w:tcPr>
            <w:tcW w:w="374" w:type="dxa"/>
            <w:tcBorders>
              <w:top w:val="single" w:sz="6" w:space="0" w:color="auto"/>
              <w:left w:val="single" w:sz="6" w:space="0" w:color="auto"/>
              <w:bottom w:val="single" w:sz="6" w:space="0" w:color="auto"/>
              <w:right w:val="single" w:sz="6" w:space="0" w:color="auto"/>
            </w:tcBorders>
          </w:tcPr>
          <w:p w14:paraId="5DFFA1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p w14:paraId="32F1A9E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7C0EC3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 мм пушка Л-11</w:t>
            </w:r>
          </w:p>
          <w:p w14:paraId="5D65560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13A214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E7F17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C274BA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1939 г. Отчет утвержден Арткомом АУКА.</w:t>
            </w:r>
          </w:p>
          <w:p w14:paraId="2A8E35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2CA00A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B6A22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0376942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E26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88F3CC" w14:textId="77777777">
        <w:trPr>
          <w:trHeight w:val="557"/>
        </w:trPr>
        <w:tc>
          <w:tcPr>
            <w:tcW w:w="374" w:type="dxa"/>
            <w:tcBorders>
              <w:top w:val="single" w:sz="6" w:space="0" w:color="auto"/>
              <w:left w:val="single" w:sz="6" w:space="0" w:color="auto"/>
              <w:bottom w:val="single" w:sz="6" w:space="0" w:color="auto"/>
              <w:right w:val="single" w:sz="6" w:space="0" w:color="auto"/>
            </w:tcBorders>
          </w:tcPr>
          <w:p w14:paraId="2C6E28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p w14:paraId="1926519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6E13E63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76 - мм пушка Ф-32</w:t>
            </w:r>
          </w:p>
          <w:p w14:paraId="0C74A5B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7205A17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0191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DA0411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 1939г. Отчет утвержден Арткомом АУКА.</w:t>
            </w:r>
          </w:p>
          <w:p w14:paraId="17ED8A6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EE3B87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1939 г.</w:t>
            </w:r>
          </w:p>
          <w:p w14:paraId="51274F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6C1F89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DA94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EBC0E7" w14:textId="77777777">
        <w:trPr>
          <w:trHeight w:val="557"/>
        </w:trPr>
        <w:tc>
          <w:tcPr>
            <w:tcW w:w="374" w:type="dxa"/>
            <w:tcBorders>
              <w:top w:val="single" w:sz="6" w:space="0" w:color="auto"/>
              <w:left w:val="single" w:sz="6" w:space="0" w:color="auto"/>
              <w:bottom w:val="single" w:sz="6" w:space="0" w:color="auto"/>
              <w:right w:val="single" w:sz="6" w:space="0" w:color="auto"/>
            </w:tcBorders>
          </w:tcPr>
          <w:p w14:paraId="1CFDAA7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p w14:paraId="4A82149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7B5BB70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76 - мм пушка Ф-34</w:t>
            </w:r>
          </w:p>
          <w:p w14:paraId="08892B7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11541B7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E6B6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85B8A6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 1940 г.</w:t>
            </w:r>
          </w:p>
          <w:p w14:paraId="4AD9D4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21AFBF7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 1940 г.</w:t>
            </w:r>
          </w:p>
          <w:p w14:paraId="6E50FE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3440CF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Принят на вооружение Постановлением КО № 56сс от 30.04. 1941 г.</w:t>
            </w:r>
          </w:p>
          <w:p w14:paraId="357711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563BB2" w14:textId="77777777">
        <w:trPr>
          <w:trHeight w:val="211"/>
        </w:trPr>
        <w:tc>
          <w:tcPr>
            <w:tcW w:w="374" w:type="dxa"/>
            <w:tcBorders>
              <w:top w:val="single" w:sz="6" w:space="0" w:color="auto"/>
              <w:left w:val="single" w:sz="6" w:space="0" w:color="auto"/>
              <w:bottom w:val="single" w:sz="6" w:space="0" w:color="auto"/>
              <w:right w:val="single" w:sz="6" w:space="0" w:color="auto"/>
            </w:tcBorders>
          </w:tcPr>
          <w:p w14:paraId="765423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p w14:paraId="14F501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163F5B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152-мм гаубица М-10</w:t>
            </w:r>
          </w:p>
          <w:p w14:paraId="179AEC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2D739C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5AC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6FFA0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 1 940 г.</w:t>
            </w:r>
          </w:p>
          <w:p w14:paraId="27AFD0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EDC0B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33A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6311516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BE5A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3CD11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3 отдела БТУ КА военинженер 1 ранга Афонин</w:t>
      </w:r>
    </w:p>
    <w:p w14:paraId="0B2E266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935. Л. 86-89. Подлинник (11211).</w:t>
      </w:r>
    </w:p>
    <w:p w14:paraId="0483854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D8C9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г. была подготовлена ДОКЛАДНАЯ ЗАПИСКА НАЧАЛЬНИКА ГАБТУ ЗАМПРЕДУ ГКО СССР О МЕРАХ ПО ПОДГОТОВКЕ ТАНКОВОГО ПАРКА К ЛЕТНЕЙ ЭКСПЛУАТАЦИИ</w:t>
      </w:r>
    </w:p>
    <w:p w14:paraId="6B26C6A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подготовки танкового парка к летней эксплуатации и обеспечения безотказной работы машин при высокой температуре воздуха, танковые заводы в апреле - мае месяцах должны проде</w:t>
      </w:r>
      <w:r w:rsidRPr="008127F8">
        <w:rPr>
          <w:rFonts w:ascii="Times New Roman" w:hAnsi="Times New Roman"/>
          <w:color w:val="000000" w:themeColor="text1"/>
          <w:sz w:val="16"/>
          <w:szCs w:val="16"/>
        </w:rPr>
        <w:softHyphen/>
        <w:t>лать следующие работы:</w:t>
      </w:r>
    </w:p>
    <w:p w14:paraId="49A0F4E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танкам «КВ» (Кировский завод).</w:t>
      </w:r>
    </w:p>
    <w:p w14:paraId="3EE006C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Усилить систему охлаждения двигателя в танке, т.к. существующая система охлаждения не обеспечивает работу танка на средних и максимальных скоростях движения в летних условиях.</w:t>
      </w:r>
    </w:p>
    <w:p w14:paraId="3370D7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Температура воды в этом случае доходит до 4- 105°С и температура масла до + 115°С.</w:t>
      </w:r>
    </w:p>
    <w:p w14:paraId="0B02C0D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Кировский завод заменил алюминиевые трубки радиатора на стальные, тем самым теплоотдача стала еще хуже и перегрев увеличился.</w:t>
      </w:r>
    </w:p>
    <w:p w14:paraId="03AB9D9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Заменить воздухоочиститель типа «Вортокс» на воздухоочиститель типа «Циклон», т.к. пос</w:t>
      </w:r>
      <w:r w:rsidRPr="008127F8">
        <w:rPr>
          <w:rFonts w:ascii="Times New Roman" w:hAnsi="Times New Roman"/>
          <w:color w:val="000000" w:themeColor="text1"/>
          <w:sz w:val="16"/>
          <w:szCs w:val="16"/>
        </w:rPr>
        <w:softHyphen/>
        <w:t>ледний обеспечивает лучшую очистку воздуха и увеличивает срок работы дизель-мотора.</w:t>
      </w:r>
    </w:p>
    <w:p w14:paraId="69CA76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Произвести замену воздухоочистителей в танках, находящихся в войсках и на рембазах. 2. По танкам Т-34 (заводы № 183, СТЗ и № 112).</w:t>
      </w:r>
    </w:p>
    <w:p w14:paraId="173AF1C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Проверить систему охлаждения двигателя при работе с высокой температурой наружного воздуха, так как в связи с отменой гофра на маслобаках, введением чугунного блока в дизель-моторах и уменьшением охлаждающей поверхности радиаторов, за счет замены эллиптических трубок круглыми, температурные условия работы двигателя ухудшились.</w:t>
      </w:r>
    </w:p>
    <w:p w14:paraId="4B5B32F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Начать с 1.05.1942 г. установку воздухоочистителей типа «Циклон» в танках производства за</w:t>
      </w:r>
      <w:r w:rsidRPr="008127F8">
        <w:rPr>
          <w:rFonts w:ascii="Times New Roman" w:hAnsi="Times New Roman"/>
          <w:color w:val="000000" w:themeColor="text1"/>
          <w:sz w:val="16"/>
          <w:szCs w:val="16"/>
        </w:rPr>
        <w:softHyphen/>
        <w:t>водов № 183 и 112.</w:t>
      </w:r>
    </w:p>
    <w:p w14:paraId="04BE2FD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Произвести замену воздухоочистителей на воздухоочиститель типа «Циклон» в танках произ</w:t>
      </w:r>
      <w:r w:rsidRPr="008127F8">
        <w:rPr>
          <w:rFonts w:ascii="Times New Roman" w:hAnsi="Times New Roman"/>
          <w:color w:val="000000" w:themeColor="text1"/>
          <w:sz w:val="16"/>
          <w:szCs w:val="16"/>
        </w:rPr>
        <w:softHyphen/>
        <w:t>водства заводов №183 и 112, находящихся в войсках и на рембазах.</w:t>
      </w:r>
    </w:p>
    <w:p w14:paraId="0F3E920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Разработать защиту главного фрикциона от попадания пыли, т.к. главный фрикцион плохо за</w:t>
      </w:r>
      <w:r w:rsidRPr="008127F8">
        <w:rPr>
          <w:rFonts w:ascii="Times New Roman" w:hAnsi="Times New Roman"/>
          <w:color w:val="000000" w:themeColor="text1"/>
          <w:sz w:val="16"/>
          <w:szCs w:val="16"/>
        </w:rPr>
        <w:softHyphen/>
        <w:t>щищен от пыли, вследствие чего диски быстро изнашиваются.</w:t>
      </w:r>
    </w:p>
    <w:p w14:paraId="6E756D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Перевести танки Т-34 производства всех заводов на единый трак гусеницы, т.к. в настоящее время каждый завод выпускает свой трак, невзаимозаменяемый с траком других заводов.</w:t>
      </w:r>
    </w:p>
    <w:p w14:paraId="29EE79B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Такое положение затрудняет снабжение войск </w:t>
      </w:r>
      <w:proofErr w:type="gramStart"/>
      <w:r w:rsidRPr="008127F8">
        <w:rPr>
          <w:rFonts w:ascii="Times New Roman" w:hAnsi="Times New Roman"/>
          <w:color w:val="000000" w:themeColor="text1"/>
          <w:sz w:val="16"/>
          <w:szCs w:val="16"/>
        </w:rPr>
        <w:t>и кроме того</w:t>
      </w:r>
      <w:proofErr w:type="gramEnd"/>
      <w:r w:rsidRPr="008127F8">
        <w:rPr>
          <w:rFonts w:ascii="Times New Roman" w:hAnsi="Times New Roman"/>
          <w:color w:val="000000" w:themeColor="text1"/>
          <w:sz w:val="16"/>
          <w:szCs w:val="16"/>
        </w:rPr>
        <w:t xml:space="preserve"> траки производства заводов СТЗ и № 112 не проверены в летних условиях.</w:t>
      </w:r>
    </w:p>
    <w:p w14:paraId="3CBF2B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танку Т-70 (ГАЗ им. Молотова).</w:t>
      </w:r>
    </w:p>
    <w:p w14:paraId="0CF99F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Проверить систему охлаждения танка при работе с высокой температурой воздуха (в южных районах Союза).</w:t>
      </w:r>
    </w:p>
    <w:p w14:paraId="5F64D2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Проверить ходовую часть танка и особенно гусеницу в летних условиях (в южных районах Союза).</w:t>
      </w:r>
    </w:p>
    <w:p w14:paraId="39F474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Инструкции по эксплуатации танков в летних условиях.</w:t>
      </w:r>
    </w:p>
    <w:p w14:paraId="72383AA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15.04.1942 г. разработать инструкции по эксплуатации танков «КВ», Т-34, Т-60 и Т-70 в летних условиях.</w:t>
      </w:r>
    </w:p>
    <w:p w14:paraId="722F6D2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Докладывая о вышеизложенном, прошу Ваших указаний Наркомтанкопрому и Наркомсредма-шу о проведении перечисленных работ в течение апреля — мая месяцев текущего года.</w:t>
      </w:r>
    </w:p>
    <w:p w14:paraId="207BC33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46FC0E0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4EB343F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634. Л. 174-175. Подлинник (11211).</w:t>
      </w:r>
    </w:p>
    <w:p w14:paraId="4E4231C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C15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вышло Постановление ГКО № 1564 О т. Данилове Л.Л. и Кузнецове В.А. РГАНИР, Фонд ГКО, д. 28, лл. 74 (11012).</w:t>
      </w:r>
    </w:p>
    <w:p w14:paraId="1F4DEB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3361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C7F2B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0215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апреля</w:t>
      </w:r>
      <w:r w:rsidRPr="008127F8">
        <w:rPr>
          <w:rFonts w:ascii="Times New Roman" w:hAnsi="Times New Roman"/>
          <w:color w:val="000000" w:themeColor="text1"/>
          <w:sz w:val="16"/>
          <w:szCs w:val="16"/>
        </w:rPr>
        <w:t xml:space="preserve"> в 1942 году утреннее сообщение Совинформбюро:</w:t>
      </w:r>
    </w:p>
    <w:p w14:paraId="70FB350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8 апреля на фронте каких-либо существенных изменений не произошло.</w:t>
      </w:r>
    </w:p>
    <w:p w14:paraId="702D6EF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продвигаясь вперёд, нанесли немцам большой урон. Только за день боёв противник потерял 1.125 солдат убитыми и ранеными. С исключительным умением и упорством дерутся пулемётчики тт.Изонов и Шевчук. Они вдвоём уничтожили 30 солдат противника. Заместитель политрука Кузнецов истребил 43 немецко-фашистских оккупанта.</w:t>
      </w:r>
    </w:p>
    <w:p w14:paraId="1A078AB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Юго-Западного фронта, отбили у немцев сильно укреплённый населённый пункт. На улицах села осталось 250 трупов вражеских солдат и офицеров, а также 7 подбитых танков и 4 орудия.</w:t>
      </w:r>
    </w:p>
    <w:p w14:paraId="2E609DB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наши части за день боёв уничтожили 2 немецких танка, 6 орудий, 15 пулемётов и 2 миномётные батареи. Противник потерял убитыми 300 солдат и офицеров.</w:t>
      </w:r>
    </w:p>
    <w:p w14:paraId="4B8F4128"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ведут борьбу с немецко-фашистскими захватчиками снайперы одного нашего подразделения, действующего на Южном фронте. Снайпер тов. Касьянов уничтожил 79 гитлеровцев, тов. Песковец—61, тов. Никитасов—40, тов. Помазан—37, тов. Урванцев—33, тов. Минаков—31 гитлеровца.</w:t>
      </w:r>
    </w:p>
    <w:p w14:paraId="51C386E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марта несколько объединённых партизанских отрядов Приазовья совершили налёт на крупный населённый пункт, занятый немцами. Высланная вперёд разведка партизан донесла, что все отлогие берега реки на подступах к селу </w:t>
      </w:r>
      <w:proofErr w:type="gramStart"/>
      <w:r w:rsidRPr="008127F8">
        <w:rPr>
          <w:rFonts w:ascii="Times New Roman" w:hAnsi="Times New Roman"/>
          <w:color w:val="000000" w:themeColor="text1"/>
          <w:sz w:val="16"/>
          <w:szCs w:val="16"/>
        </w:rPr>
        <w:t>минированы.Тогда</w:t>
      </w:r>
      <w:proofErr w:type="gramEnd"/>
      <w:r w:rsidRPr="008127F8">
        <w:rPr>
          <w:rFonts w:ascii="Times New Roman" w:hAnsi="Times New Roman"/>
          <w:color w:val="000000" w:themeColor="text1"/>
          <w:sz w:val="16"/>
          <w:szCs w:val="16"/>
        </w:rPr>
        <w:t xml:space="preserve"> партизаны решили пробраться через крутой обрыв. С помощью верёвок бойцы преодолели препятствия и в час ночи бесшумно вошли в село. В четырёхчасовом бою с гитлеровцами партизаны уничтожили много немецких солдат, семитонную автомашину, прожектор и телефонную станцию.</w:t>
      </w:r>
    </w:p>
    <w:p w14:paraId="551B30E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корреспонденции, найденной в захваченной нами полевой почте противника, обращает на себя внимание письмо отъявленного гитлеровского бандита ефрейтора Менга к своей жене Фриде. Ниже приводятся выдержки из этого письма: «Если ты думаешь, что я всё ещё нахожусь во Франции, то ты ошибаешься. Я уже на Восточном фронте... Мы питаемся картошкой и другими продуктами, которые отнимаем у русских жителей. Что касается кур, то их уже нет... Мы сделали открытие: русские закапывают своё имущество в снег. Недавно мы нашли в снегу бочку с солёной свининой и салом. Кроме того, мы нашли мёд, тёплые вещи и материал на костюм. Днём и ночью мы ищем такие находки... Здесь все наши враги, каждый русский, независимо от возраста и пола, будь ему 10, 20 или 80 лет. Когда их всех уничтожат, будет лучше и спокойнее. Русское население заслуживает только уничтожения. Их всех надо истребить, всех до единого».</w:t>
      </w:r>
    </w:p>
    <w:p w14:paraId="0F30A1E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Фашистский ублюдок, вскормленный в гитлеровском вертеле, мечтает об истреблении всех советских людей. Разбойник с большой дороги хочет спокойствия. Можно не сомневаться в том, что наши бойцы навечно успокоят немцев и всех им подобных гитлеровских бандитов.</w:t>
      </w:r>
    </w:p>
    <w:p w14:paraId="57BF0DE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Французские патриоты ведут самоотверженную борьбу против немецких оккупантов. 31 марта на линии Аррас — Дуэ произошло крушение воинского эшелона с немецкими солдатами, направлявшимися на советско-германский фронт. Семь вагонов целиком разбиты. Погибло около 150 солдат. Кроме того, немецкие власти недосчитались 35 солдат. Предполагают, что они дезертировали, не желая погибнуть на советско-германском фронте.</w:t>
      </w:r>
    </w:p>
    <w:p w14:paraId="5785369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Население прифронтовых районов всемерно помогает бойцам Красной Армии. Во время боя за одну высоту на Южном фронте бухгалтер Нина Ивановна Андриенко под огнём противника вынесла с поля боя 19 раненых бойцов и командиров вместе с их оружием. Ученик 6-го класса Костя Хворостянов вынес с поля боя 6 раненых бойцов,12 винтовок и 10 гранат.» (15093).</w:t>
      </w:r>
    </w:p>
    <w:p w14:paraId="2C8C8A10"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269952A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апреля</w:t>
      </w:r>
      <w:r w:rsidRPr="008127F8">
        <w:rPr>
          <w:rFonts w:ascii="Times New Roman" w:hAnsi="Times New Roman"/>
          <w:color w:val="000000" w:themeColor="text1"/>
          <w:sz w:val="16"/>
          <w:szCs w:val="16"/>
        </w:rPr>
        <w:t xml:space="preserve"> в 1942 году вечернее сообщение Совинформбюро:</w:t>
      </w:r>
    </w:p>
    <w:p w14:paraId="63052F34"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8 апреля на фронте чего-либо существенного не произошло.</w:t>
      </w:r>
    </w:p>
    <w:p w14:paraId="58F0C9DC"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апреля сбит в воздушных боях и уничтожен на аэродромах 51 самолет противника. Наши потери—14 самолётов.</w:t>
      </w:r>
    </w:p>
    <w:p w14:paraId="287CF34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потоплены транспорт противника водоизмещением в 5.500 тонн и другой немецкий транспорт водоизмещением в 10.500 тонн.</w:t>
      </w:r>
    </w:p>
    <w:p w14:paraId="5C8EF73D"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апреля частями нашей авиация уничтожено или повреждено 5 немецких танков, 60 автомашин с войсками и грузами, 56 подвод с боеприпасами, 9 автоцистерн с горючим, 5 тягачей, 29 полевых и зенитных орудий, 6 зенитно-пулемётных точек, взорваны склад с горючим и 4 склада с боеприпасами, разрушено 8 вагонов и 3 паровоза, рассеяно и частью уничтожено до 3 рот пехоты противника.</w:t>
      </w:r>
    </w:p>
    <w:p w14:paraId="73AFBB5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Ленинградского фронта наши части, продолжая активные действия, уничтожили свыше 1.500 немецких солдат и офицеров. Захвачены трофеи: 43 пулемёта и 23 запасных ствола к ним, 18 миномётов, 13 автоматов, 200 винтовок, 325.000 винтовочных патронов, более 8.000 мин, 3.300 снарядов, 11.000 гранат, радиостанция, 160 противогазов, 9 мотоциклов и другое снаряжение.</w:t>
      </w:r>
    </w:p>
    <w:p w14:paraId="37B222A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гвардейская часть (Западный фронт), атаковав вражеский узел обороны, уничтожила 7 ДЗОТов и 9 пулемётных расчётов. Немцы потеряли убитыми свыше 100 солдат и офицеров. Над полем боя зенитчики сбили немецкий истребитель. На соседнем участке наша часть отразила несколько контратак немцев с большими для них потерями. Захвачено у противника 9 пулемётов, один миномёт, 62 повозки с грузом и другие трофеи.</w:t>
      </w:r>
    </w:p>
    <w:p w14:paraId="47E8A08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немцы перешли в контратаку. Наши бойцы встретили гитлеровцев сокрушительным огнём артиллерии, миномётов и пулемётов. Оставив на поле боя свыше 500 трупов, враг был вынужден отойти. Образцы меткой стрельбы показали в этом бою миномётчики. Ими уничтожено да 200 немцев. Особенно отличились миномётчики батареи старшего лейтенанта Саулина и лейтенанта Набикеева, а также миномётные расчёты тт. Брод, Бобровского и Сидельникова.</w:t>
      </w:r>
    </w:p>
    <w:p w14:paraId="42646EC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Возвращаясь с разведки, красноармеец тов. Беляков заметил немецкую засаду. Советский разведчик близко подполз к противнику и, бросив несколько гранат, уничтожил 17 гитлеровцев.</w:t>
      </w:r>
    </w:p>
    <w:p w14:paraId="21F9D608"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сокращённые выписки из дневника убитого немецкого обер-ефрейтора Эриха Гофмана:</w:t>
      </w:r>
    </w:p>
    <w:p w14:paraId="0894A45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января 1942 года. ...Мы, кажется, основательно увязли. Ко всем ранее изведанным лишениям и мукам прибавился ещё позор отступления. Наши танки брошены, изуродованы. Мы теперь без дела. Удобный случай попасть на родину.</w:t>
      </w:r>
    </w:p>
    <w:p w14:paraId="4970356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января. Всех танкистов, остающихся без машин, превратили в пехотинцев. Такая же участь постигла многих артиллеристов.</w:t>
      </w:r>
    </w:p>
    <w:p w14:paraId="70BD8DED"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января. Ночью русские внезапно атаковали нас. Для многих старых солдат эта ночь была последней. Погибли мои лучшие друзья: Штейн, Бредшнайдер и Бауэр.</w:t>
      </w:r>
    </w:p>
    <w:p w14:paraId="32FAB15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Все наши разговоры сводятся к одному: когда нас сменят.</w:t>
      </w:r>
    </w:p>
    <w:p w14:paraId="56711969"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февраля. Унылые и безрадостные дни. Много разговоров о предстоящем весеннем наступлении. Все взбудоражены. Старые солдаты говорят: «Мы по горло сыты войной. Пусть теперь повоюют те, кто с 1939 года отсиживается в пивных и до хрипоты кричит о победах».</w:t>
      </w:r>
    </w:p>
    <w:p w14:paraId="4BE8B8B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марта. Несбыточная мечта о чистом белье. Всё тело чешется, одолевают вши... Непонятно, почему так шумят газеты и радио о весеннем наступлении? Военные планы обычно держатся в глубокой тайне.</w:t>
      </w:r>
    </w:p>
    <w:p w14:paraId="3A025F8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Последняя надежда рухнула: о смене запрещено даже думать.</w:t>
      </w:r>
    </w:p>
    <w:p w14:paraId="08188AB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марта. Атака потерпела полную неудачу. Мы наткнулись на полосу сплошного огня. 4 машины загорелись. В танке Ортмана отказал мотор. Многие новички бросили танки. Кто знает, чем это всё кончится?».</w:t>
      </w:r>
    </w:p>
    <w:p w14:paraId="308EC7A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освобождённого от немецких оккупантов села Подбелье, Ленинградской области, составили акт об издевательствах гитлеровцев над пленными красноармейцами. В акте говорится, что в деревне Подбелье, Ленинградскойобласти, немецкое командование организовало лагерь для пленных красноармейцев. Немецкие изверги издевались над пленными. Их кормили похлёбкой из гнилой картошки. Гитлеровцы раздели и разули пленных. Красноармейцы, несмотря на 30—35-градусные морозы, жили в сараях и нетопленных банях. Всех тяжело больных немцы расстреливали. Отступая под ударами Красной Армии, гитлеровцы загнали 9 больных красноармейцев в баню, закрыли её и подожгли. Всего в этой деревне от рук палачей погибло более 60 пленных. Акт о зверствах немецких бандитов подписали: колхозницы деревни Подбелье Л.А.Ефтеева, Н.Я.Пантелеева, членисполкома районного совета Е.П.Петров и батальонный комиссар М.С.Фадеев.</w:t>
      </w:r>
    </w:p>
    <w:p w14:paraId="708D3EF5"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Греческие патриоты в последнее время усилили свою борьбу против немецких и итальянских оккупантов. В городах и селениях Греции всё чаще находят трупы немецких и итальянских солдат. В марте на железных дорогах Греции произошёл ряд крушений воинских эшелонов. Особенно крупное крушение было между городами Ксантии Комотини. Под обломками вагонов погибло около 150 немецких солдат и офицеров, разбито несколько десятков грузовых машин и прожекторов.» (15093).</w:t>
      </w:r>
    </w:p>
    <w:p w14:paraId="75B5242D"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4139D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на подступах к Мурманску 6 и под командой к А.П.Поздняка вступила в бой с 28 с и пять сбила, причем три - тараном. Погиб во время тарана Поздняков, а А.С.Хлобыстов таранил два и смог вернуться. Стали ГСС (438,841).</w:t>
      </w:r>
    </w:p>
    <w:p w14:paraId="630174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07B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апреля 1942 года Герой Советского Союза А.С.Хлобыстов на Р-40 таранил два раза в одном и том же бою. Более того, бил он одной и тон же правой плоскостью, а потом благополучно вернулся домой. Важной чертой всех Р-40 была прочность и живучесть. Многочисленные удачные тараны, совершенные </w:t>
      </w:r>
      <w:proofErr w:type="gramStart"/>
      <w:r w:rsidRPr="008127F8">
        <w:rPr>
          <w:rFonts w:ascii="Times New Roman" w:hAnsi="Times New Roman"/>
          <w:color w:val="000000" w:themeColor="text1"/>
          <w:sz w:val="16"/>
          <w:szCs w:val="16"/>
        </w:rPr>
        <w:t>на этом истребителе</w:t>
      </w:r>
      <w:proofErr w:type="gramEnd"/>
      <w:r w:rsidRPr="008127F8">
        <w:rPr>
          <w:rFonts w:ascii="Times New Roman" w:hAnsi="Times New Roman"/>
          <w:color w:val="000000" w:themeColor="text1"/>
          <w:sz w:val="16"/>
          <w:szCs w:val="16"/>
        </w:rPr>
        <w:t xml:space="preserve"> свидетельствуют об этом. Первым был В.А.Чирков из 154-го полка: 20 января 1942 года он на "Томагауке" таранил немецкий самолет в районе Погостья. В марте 1943 года два "Киттихаука" из 768-го полка дрались с 12 "мессершмиттами". В этом бою лейтенант В. Николаев протаранил немецкий истребитель и спасся на парашюте (3457,68).</w:t>
      </w:r>
    </w:p>
    <w:p w14:paraId="29C556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067E5" w14:textId="77777777" w:rsidR="00723610" w:rsidRPr="008127F8" w:rsidRDefault="00723610" w:rsidP="001E0A84">
      <w:pPr>
        <w:pStyle w:val="book"/>
        <w:ind w:firstLine="0"/>
        <w:jc w:val="both"/>
        <w:rPr>
          <w:color w:val="000000" w:themeColor="text1"/>
          <w:sz w:val="16"/>
          <w:szCs w:val="16"/>
        </w:rPr>
      </w:pPr>
      <w:r w:rsidRPr="008127F8">
        <w:rPr>
          <w:color w:val="000000" w:themeColor="text1"/>
          <w:sz w:val="16"/>
          <w:szCs w:val="16"/>
        </w:rPr>
        <w:t>8 апреля 1942 г. танки 107-й отдельной танковой бригады (10 трофейных, 1 KB и 3 Т-34) поддерживали атаку частей 8-й армии в районе Веняголово. В ходе этого боя экипаж Н. Барышева на танке Т-III вместе с батальоном 1-й отдельной горно-стрелковой бригады и 59-м лыжным батальоном прорвался в тыл противника. В течение четырех суток танкисты вместе с пехотой вели бой в окружении, надеясь на подкрепление. Но, так и не дождавшись помощи, 12 апреля Барышев со своим танком вышел к своим, вывезя на броне 23 пехотинца — оставшихся в живых из двух батальонов (15225).</w:t>
      </w:r>
    </w:p>
    <w:p w14:paraId="2EBE791C" w14:textId="77777777" w:rsidR="00723610" w:rsidRPr="008127F8" w:rsidRDefault="00723610" w:rsidP="001E0A84">
      <w:pPr>
        <w:pStyle w:val="book"/>
        <w:ind w:firstLine="0"/>
        <w:jc w:val="both"/>
        <w:rPr>
          <w:color w:val="000000" w:themeColor="text1"/>
          <w:sz w:val="16"/>
          <w:szCs w:val="16"/>
        </w:rPr>
      </w:pPr>
    </w:p>
    <w:p w14:paraId="5C38F47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 СССР создана 1-я Белорусская партизанская бригада (4962).</w:t>
      </w:r>
    </w:p>
    <w:p w14:paraId="1008975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7B7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EC546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39D88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вышло Постановление ГКО № 1565 О перевозке грузов для Ленинградского фронта через Ладожское озеро в навигацию 1942 года. (7029, 75-76).</w:t>
      </w:r>
    </w:p>
    <w:p w14:paraId="5334736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C37D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73641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670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8 по 14 апреля 1942 в Лондоне прошло совещание представителей президента США Дж. Маршала и Г.Гопкинса с У.Ч. и английским комитетом обороны по выработке стратегического плана действий против Германии (план Маршала). Приняли план накапливания сил и средств США на Британских островах (Болеро) и вторжения через Ла-Манш во Францию в 1943 (Раундап) (3186).</w:t>
      </w:r>
    </w:p>
    <w:p w14:paraId="25D887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45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г Дж. Маршал и Г.Гопкинс прибыли из США в Лондон для обсуждения плана нападения на Германию с целью снижения давления на СССР (3907,235).</w:t>
      </w:r>
    </w:p>
    <w:p w14:paraId="18AD78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C906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у берегов Турции разбился о камни и затонул греческий пароход “Эндерания”, 211 человек погибли (4962).</w:t>
      </w:r>
    </w:p>
    <w:p w14:paraId="613C47F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A176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1942 в Дании вышел первый номер общенациональной газеты Фрит Данмарк, подготовленный коммунистами (3186).</w:t>
      </w:r>
    </w:p>
    <w:p w14:paraId="2D5DD0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DDD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апреля 1942 болгарский царь Борис приехал к </w:t>
      </w:r>
      <w:proofErr w:type="gramStart"/>
      <w:r w:rsidRPr="008127F8">
        <w:rPr>
          <w:rFonts w:ascii="Times New Roman" w:hAnsi="Times New Roman"/>
          <w:color w:val="000000" w:themeColor="text1"/>
          <w:sz w:val="16"/>
          <w:szCs w:val="16"/>
        </w:rPr>
        <w:t>Ванге</w:t>
      </w:r>
      <w:proofErr w:type="gramEnd"/>
      <w:r w:rsidRPr="008127F8">
        <w:rPr>
          <w:rFonts w:ascii="Times New Roman" w:hAnsi="Times New Roman"/>
          <w:color w:val="000000" w:themeColor="text1"/>
          <w:sz w:val="16"/>
          <w:szCs w:val="16"/>
        </w:rPr>
        <w:t xml:space="preserve"> и она предсказала, что тот умрет через год 28 августа (3481).</w:t>
      </w:r>
    </w:p>
    <w:p w14:paraId="460630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4BD9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79B4F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6B0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1572 О производстве авиахимприборов для вооружения самолетов ВВС Красной Армии. РГАНИР, Фонд ГКО, д. 28, лл. 172-173 (11012).</w:t>
      </w:r>
    </w:p>
    <w:p w14:paraId="7922C0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63218"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1572 О производстве авиахимприборов для вооружения самолетов ВВС Красной Армии</w:t>
      </w:r>
    </w:p>
    <w:p w14:paraId="30FC91C5"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eastAsia="MS Mincho" w:hAnsi="Times New Roman"/>
          <w:color w:val="000000" w:themeColor="text1"/>
          <w:sz w:val="16"/>
          <w:szCs w:val="16"/>
        </w:rPr>
        <w:t>В целях обеспечения химическим</w:t>
      </w:r>
      <w:r w:rsidRPr="008127F8">
        <w:rPr>
          <w:rFonts w:ascii="Times New Roman" w:hAnsi="Times New Roman"/>
          <w:color w:val="000000" w:themeColor="text1"/>
          <w:sz w:val="16"/>
          <w:szCs w:val="16"/>
        </w:rPr>
        <w:t xml:space="preserve">вооружением всех боевых самолетов, действующих на фронтах, ВВС Дальнего Востока и Морской Авиации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ВС с учетом самолетов, поступающих от про</w:t>
      </w:r>
      <w:r w:rsidRPr="008127F8">
        <w:rPr>
          <w:rFonts w:ascii="Times New Roman" w:hAnsi="Times New Roman"/>
          <w:color w:val="000000" w:themeColor="text1"/>
          <w:sz w:val="16"/>
          <w:szCs w:val="16"/>
        </w:rPr>
        <w:softHyphen/>
        <w:t xml:space="preserve">мышленности до 1 апреля </w:t>
      </w:r>
      <w:r w:rsidRPr="008127F8">
        <w:rPr>
          <w:rStyle w:val="0pt"/>
          <w:rFonts w:ascii="Times New Roman" w:hAnsi="Times New Roman" w:cs="Times New Roman"/>
          <w:color w:val="000000" w:themeColor="text1"/>
          <w:spacing w:val="0"/>
          <w:sz w:val="16"/>
          <w:szCs w:val="16"/>
        </w:rPr>
        <w:t>1942</w:t>
      </w:r>
      <w:r w:rsidRPr="008127F8">
        <w:rPr>
          <w:rFonts w:ascii="Times New Roman" w:hAnsi="Times New Roman"/>
          <w:color w:val="000000" w:themeColor="text1"/>
          <w:sz w:val="16"/>
          <w:szCs w:val="16"/>
        </w:rPr>
        <w:t xml:space="preserve"> года, Государственный Комитет Обороны постановляет:</w:t>
      </w:r>
    </w:p>
    <w:p w14:paraId="6470FE3E" w14:textId="77777777" w:rsidR="001A54AD" w:rsidRPr="008127F8" w:rsidRDefault="001A54AD" w:rsidP="001E0A84">
      <w:pPr>
        <w:tabs>
          <w:tab w:val="left" w:pos="9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изготовить во П квартале с.г. для ВВС Красной Армии и Военно-Морского Фло</w:t>
      </w:r>
      <w:r w:rsidRPr="008127F8">
        <w:rPr>
          <w:rFonts w:ascii="Times New Roman" w:hAnsi="Times New Roman"/>
          <w:color w:val="000000" w:themeColor="text1"/>
          <w:sz w:val="16"/>
          <w:szCs w:val="16"/>
        </w:rPr>
        <w:softHyphen/>
        <w:t>та авиахимприборы в следующих количествах:</w:t>
      </w:r>
    </w:p>
    <w:p w14:paraId="5DD67BE5"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Выливных авиационных приборов ВАП-бм - </w:t>
      </w:r>
      <w:r w:rsidRPr="008127F8">
        <w:rPr>
          <w:rStyle w:val="0pt"/>
          <w:rFonts w:ascii="Times New Roman" w:hAnsi="Times New Roman" w:cs="Times New Roman"/>
          <w:color w:val="000000" w:themeColor="text1"/>
          <w:spacing w:val="0"/>
          <w:sz w:val="16"/>
          <w:szCs w:val="16"/>
        </w:rPr>
        <w:t>2.000</w:t>
      </w:r>
      <w:r w:rsidRPr="008127F8">
        <w:rPr>
          <w:rFonts w:ascii="Times New Roman" w:hAnsi="Times New Roman"/>
          <w:color w:val="000000" w:themeColor="text1"/>
          <w:sz w:val="16"/>
          <w:szCs w:val="16"/>
        </w:rPr>
        <w:t xml:space="preserve"> шт. в комплекте с дополнительными приборами</w:t>
      </w:r>
    </w:p>
    <w:p w14:paraId="085BE533"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Выливных авиационных приборов </w:t>
      </w:r>
      <w:r w:rsidRPr="008127F8">
        <w:rPr>
          <w:rStyle w:val="0pt"/>
          <w:rFonts w:ascii="Times New Roman" w:hAnsi="Times New Roman" w:cs="Times New Roman"/>
          <w:color w:val="000000" w:themeColor="text1"/>
          <w:spacing w:val="0"/>
          <w:sz w:val="16"/>
          <w:szCs w:val="16"/>
        </w:rPr>
        <w:t xml:space="preserve">ВАП-250 </w:t>
      </w:r>
      <w:r w:rsidRPr="008127F8">
        <w:rPr>
          <w:rFonts w:ascii="Times New Roman" w:hAnsi="Times New Roman"/>
          <w:color w:val="000000" w:themeColor="text1"/>
          <w:sz w:val="16"/>
          <w:szCs w:val="16"/>
        </w:rPr>
        <w:t>в комплекте с дополнительными приборами -</w:t>
      </w:r>
    </w:p>
    <w:p w14:paraId="4874834F"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Выливных авиационных приборов </w:t>
      </w:r>
      <w:r w:rsidRPr="008127F8">
        <w:rPr>
          <w:rStyle w:val="0pt"/>
          <w:rFonts w:ascii="Times New Roman" w:hAnsi="Times New Roman" w:cs="Times New Roman"/>
          <w:color w:val="000000" w:themeColor="text1"/>
          <w:spacing w:val="0"/>
          <w:sz w:val="16"/>
          <w:szCs w:val="16"/>
        </w:rPr>
        <w:t>ВАП-500</w:t>
      </w:r>
    </w:p>
    <w:p w14:paraId="38DE46DD"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Универсальных химических авиационных приборов УХАП-250</w:t>
      </w:r>
    </w:p>
    <w:p w14:paraId="42516BF8"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Универсальных химических авиационных приборов УХАП-500</w:t>
      </w:r>
    </w:p>
    <w:p w14:paraId="48A7E136"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для авиации Военно-Морского Флота:</w:t>
      </w:r>
    </w:p>
    <w:p w14:paraId="6B779F78"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Выливных авиационных приборов ВАЛ-6м</w:t>
      </w:r>
    </w:p>
    <w:p w14:paraId="672DAA0A"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Выливных авиационных приборов </w:t>
      </w:r>
      <w:r w:rsidRPr="008127F8">
        <w:rPr>
          <w:rStyle w:val="0pt"/>
          <w:rFonts w:ascii="Times New Roman" w:hAnsi="Times New Roman" w:cs="Times New Roman"/>
          <w:color w:val="000000" w:themeColor="text1"/>
          <w:spacing w:val="0"/>
          <w:sz w:val="16"/>
          <w:szCs w:val="16"/>
        </w:rPr>
        <w:t>ЗАП-250</w:t>
      </w:r>
    </w:p>
    <w:p w14:paraId="5DE12DC1"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Универсальных химических авиационных приборов УХАП-250</w:t>
      </w:r>
    </w:p>
    <w:p w14:paraId="22A52313"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Универсальных химических авиационных приборов УХАП-500</w:t>
      </w:r>
    </w:p>
    <w:p w14:paraId="343F6133"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Изготовляемые приборы дать в следующие сроки:</w:t>
      </w:r>
    </w:p>
    <w:p w14:paraId="7E80BE6F"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Апрель </w:t>
      </w:r>
      <w:r w:rsidRPr="008127F8">
        <w:rPr>
          <w:rStyle w:val="2pt0"/>
          <w:rFonts w:ascii="Times New Roman" w:hAnsi="Times New Roman" w:cs="Times New Roman"/>
          <w:color w:val="000000" w:themeColor="text1"/>
          <w:spacing w:val="0"/>
          <w:sz w:val="16"/>
          <w:szCs w:val="16"/>
        </w:rPr>
        <w:t>Май</w:t>
      </w:r>
      <w:r w:rsidRPr="008127F8">
        <w:rPr>
          <w:rFonts w:ascii="Times New Roman" w:hAnsi="Times New Roman"/>
          <w:color w:val="000000" w:themeColor="text1"/>
          <w:sz w:val="16"/>
          <w:szCs w:val="16"/>
        </w:rPr>
        <w:t xml:space="preserve"> Июнь</w:t>
      </w:r>
    </w:p>
    <w:p w14:paraId="2C16B185" w14:textId="77777777" w:rsidR="001A54AD" w:rsidRPr="008127F8" w:rsidRDefault="00A34F1D" w:rsidP="001E0A84">
      <w:pPr>
        <w:tabs>
          <w:tab w:val="right" w:pos="4620"/>
          <w:tab w:val="right" w:pos="5670"/>
          <w:tab w:val="right" w:pos="64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fldChar w:fldCharType="begin"/>
      </w:r>
      <w:r w:rsidR="001A54AD" w:rsidRPr="008127F8">
        <w:rPr>
          <w:rFonts w:ascii="Times New Roman" w:hAnsi="Times New Roman"/>
          <w:color w:val="000000" w:themeColor="text1"/>
          <w:sz w:val="16"/>
          <w:szCs w:val="16"/>
        </w:rPr>
        <w:instrText xml:space="preserve"> TOC \o "1-3" \h \z </w:instrText>
      </w:r>
      <w:r w:rsidRPr="008127F8">
        <w:rPr>
          <w:rFonts w:ascii="Times New Roman" w:hAnsi="Times New Roman"/>
          <w:color w:val="000000" w:themeColor="text1"/>
          <w:sz w:val="16"/>
          <w:szCs w:val="16"/>
        </w:rPr>
        <w:fldChar w:fldCharType="separate"/>
      </w:r>
      <w:r w:rsidR="001A54AD" w:rsidRPr="008127F8">
        <w:rPr>
          <w:rFonts w:ascii="Times New Roman" w:hAnsi="Times New Roman"/>
          <w:color w:val="000000" w:themeColor="text1"/>
          <w:sz w:val="16"/>
          <w:szCs w:val="16"/>
        </w:rPr>
        <w:t>ВАП-бм</w:t>
      </w:r>
      <w:r w:rsidR="001A54AD" w:rsidRPr="008127F8">
        <w:rPr>
          <w:rFonts w:ascii="Times New Roman" w:hAnsi="Times New Roman"/>
          <w:color w:val="000000" w:themeColor="text1"/>
          <w:sz w:val="16"/>
          <w:szCs w:val="16"/>
        </w:rPr>
        <w:tab/>
      </w:r>
      <w:r w:rsidR="001A54AD" w:rsidRPr="008127F8">
        <w:rPr>
          <w:rStyle w:val="0pt4"/>
          <w:rFonts w:ascii="Times New Roman" w:hAnsi="Times New Roman" w:cs="Times New Roman"/>
          <w:color w:val="000000" w:themeColor="text1"/>
          <w:sz w:val="16"/>
          <w:szCs w:val="16"/>
        </w:rPr>
        <w:t>100</w:t>
      </w:r>
      <w:r w:rsidR="001A54AD" w:rsidRPr="008127F8">
        <w:rPr>
          <w:rStyle w:val="0pt4"/>
          <w:rFonts w:ascii="Times New Roman" w:hAnsi="Times New Roman" w:cs="Times New Roman"/>
          <w:color w:val="000000" w:themeColor="text1"/>
          <w:sz w:val="16"/>
          <w:szCs w:val="16"/>
        </w:rPr>
        <w:tab/>
        <w:t>800</w:t>
      </w:r>
      <w:r w:rsidR="001A54AD" w:rsidRPr="008127F8">
        <w:rPr>
          <w:rStyle w:val="0pt4"/>
          <w:rFonts w:ascii="Times New Roman" w:hAnsi="Times New Roman" w:cs="Times New Roman"/>
          <w:color w:val="000000" w:themeColor="text1"/>
          <w:sz w:val="16"/>
          <w:szCs w:val="16"/>
        </w:rPr>
        <w:tab/>
        <w:t>1.100</w:t>
      </w:r>
    </w:p>
    <w:p w14:paraId="7DA50544" w14:textId="77777777" w:rsidR="001A54AD" w:rsidRPr="008127F8" w:rsidRDefault="001A54AD" w:rsidP="001E0A84">
      <w:pPr>
        <w:tabs>
          <w:tab w:val="right" w:pos="4613"/>
          <w:tab w:val="right" w:pos="5663"/>
          <w:tab w:val="right" w:pos="6486"/>
        </w:tabs>
        <w:spacing w:after="0" w:line="240" w:lineRule="auto"/>
        <w:jc w:val="both"/>
        <w:rPr>
          <w:rFonts w:ascii="Times New Roman" w:hAnsi="Times New Roman"/>
          <w:color w:val="000000" w:themeColor="text1"/>
          <w:sz w:val="16"/>
          <w:szCs w:val="16"/>
        </w:rPr>
      </w:pPr>
      <w:r w:rsidRPr="008127F8">
        <w:rPr>
          <w:rStyle w:val="0pt4"/>
          <w:rFonts w:ascii="Times New Roman" w:hAnsi="Times New Roman" w:cs="Times New Roman"/>
          <w:color w:val="000000" w:themeColor="text1"/>
          <w:sz w:val="16"/>
          <w:szCs w:val="16"/>
        </w:rPr>
        <w:t>ВАП-250</w:t>
      </w:r>
      <w:r w:rsidRPr="008127F8">
        <w:rPr>
          <w:rStyle w:val="0pt4"/>
          <w:rFonts w:ascii="Times New Roman" w:hAnsi="Times New Roman" w:cs="Times New Roman"/>
          <w:color w:val="000000" w:themeColor="text1"/>
          <w:sz w:val="16"/>
          <w:szCs w:val="16"/>
        </w:rPr>
        <w:tab/>
        <w:t>700</w:t>
      </w:r>
      <w:r w:rsidRPr="008127F8">
        <w:rPr>
          <w:rStyle w:val="0pt4"/>
          <w:rFonts w:ascii="Times New Roman" w:hAnsi="Times New Roman" w:cs="Times New Roman"/>
          <w:color w:val="000000" w:themeColor="text1"/>
          <w:sz w:val="16"/>
          <w:szCs w:val="16"/>
        </w:rPr>
        <w:tab/>
        <w:t>1.000</w:t>
      </w:r>
      <w:r w:rsidRPr="008127F8">
        <w:rPr>
          <w:rStyle w:val="0pt4"/>
          <w:rFonts w:ascii="Times New Roman" w:hAnsi="Times New Roman" w:cs="Times New Roman"/>
          <w:color w:val="000000" w:themeColor="text1"/>
          <w:sz w:val="16"/>
          <w:szCs w:val="16"/>
        </w:rPr>
        <w:tab/>
        <w:t>1.300</w:t>
      </w:r>
    </w:p>
    <w:p w14:paraId="3EC80C9F" w14:textId="77777777" w:rsidR="001A54AD" w:rsidRPr="008127F8" w:rsidRDefault="001A54AD" w:rsidP="001E0A84">
      <w:pPr>
        <w:tabs>
          <w:tab w:val="right" w:pos="4613"/>
          <w:tab w:val="right" w:pos="5663"/>
          <w:tab w:val="right" w:pos="64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ВАП-500</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400</w:t>
      </w:r>
      <w:r w:rsidRPr="008127F8">
        <w:rPr>
          <w:rStyle w:val="0pt4"/>
          <w:rFonts w:ascii="Times New Roman" w:hAnsi="Times New Roman" w:cs="Times New Roman"/>
          <w:color w:val="000000" w:themeColor="text1"/>
          <w:sz w:val="16"/>
          <w:szCs w:val="16"/>
        </w:rPr>
        <w:tab/>
        <w:t>800</w:t>
      </w:r>
      <w:r w:rsidRPr="008127F8">
        <w:rPr>
          <w:rStyle w:val="0pt4"/>
          <w:rFonts w:ascii="Times New Roman" w:hAnsi="Times New Roman" w:cs="Times New Roman"/>
          <w:color w:val="000000" w:themeColor="text1"/>
          <w:sz w:val="16"/>
          <w:szCs w:val="16"/>
        </w:rPr>
        <w:tab/>
        <w:t>1.300</w:t>
      </w:r>
    </w:p>
    <w:p w14:paraId="1B99009D" w14:textId="77777777" w:rsidR="001A54AD" w:rsidRPr="008127F8" w:rsidRDefault="001A54AD" w:rsidP="001E0A84">
      <w:pPr>
        <w:tabs>
          <w:tab w:val="right" w:pos="4620"/>
          <w:tab w:val="right" w:pos="5670"/>
          <w:tab w:val="right" w:pos="64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УХАП-250</w:t>
      </w:r>
      <w:r w:rsidRPr="008127F8">
        <w:rPr>
          <w:rFonts w:ascii="Times New Roman" w:hAnsi="Times New Roman"/>
          <w:color w:val="000000" w:themeColor="text1"/>
          <w:sz w:val="16"/>
          <w:szCs w:val="16"/>
        </w:rPr>
        <w:tab/>
        <w:t>75</w:t>
      </w:r>
      <w:r w:rsidRPr="008127F8">
        <w:rPr>
          <w:rFonts w:ascii="Times New Roman" w:hAnsi="Times New Roman"/>
          <w:color w:val="000000" w:themeColor="text1"/>
          <w:sz w:val="16"/>
          <w:szCs w:val="16"/>
        </w:rPr>
        <w:tab/>
      </w:r>
      <w:r w:rsidRPr="008127F8">
        <w:rPr>
          <w:rStyle w:val="0pt4"/>
          <w:rFonts w:ascii="Times New Roman" w:hAnsi="Times New Roman" w:cs="Times New Roman"/>
          <w:color w:val="000000" w:themeColor="text1"/>
          <w:sz w:val="16"/>
          <w:szCs w:val="16"/>
        </w:rPr>
        <w:t>125</w:t>
      </w:r>
      <w:r w:rsidRPr="008127F8">
        <w:rPr>
          <w:rStyle w:val="0pt4"/>
          <w:rFonts w:ascii="Times New Roman" w:hAnsi="Times New Roman" w:cs="Times New Roman"/>
          <w:color w:val="000000" w:themeColor="text1"/>
          <w:sz w:val="16"/>
          <w:szCs w:val="16"/>
        </w:rPr>
        <w:tab/>
        <w:t>120</w:t>
      </w:r>
    </w:p>
    <w:p w14:paraId="57B93A23" w14:textId="77777777" w:rsidR="001A54AD" w:rsidRPr="008127F8" w:rsidRDefault="001A54AD" w:rsidP="001E0A84">
      <w:pPr>
        <w:tabs>
          <w:tab w:val="right" w:pos="4620"/>
          <w:tab w:val="right" w:pos="5670"/>
          <w:tab w:val="right" w:pos="64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УХАП-500</w:t>
      </w:r>
      <w:r w:rsidRPr="008127F8">
        <w:rPr>
          <w:rFonts w:ascii="Times New Roman" w:hAnsi="Times New Roman"/>
          <w:color w:val="000000" w:themeColor="text1"/>
          <w:sz w:val="16"/>
          <w:szCs w:val="16"/>
        </w:rPr>
        <w:tab/>
        <w:t>20</w:t>
      </w:r>
      <w:r w:rsidRPr="008127F8">
        <w:rPr>
          <w:rFonts w:ascii="Times New Roman" w:hAnsi="Times New Roman"/>
          <w:color w:val="000000" w:themeColor="text1"/>
          <w:sz w:val="16"/>
          <w:szCs w:val="16"/>
        </w:rPr>
        <w:tab/>
        <w:t>40</w:t>
      </w:r>
      <w:r w:rsidRPr="008127F8">
        <w:rPr>
          <w:rFonts w:ascii="Times New Roman" w:hAnsi="Times New Roman"/>
          <w:color w:val="000000" w:themeColor="text1"/>
          <w:sz w:val="16"/>
          <w:szCs w:val="16"/>
        </w:rPr>
        <w:tab/>
        <w:t>40</w:t>
      </w:r>
      <w:r w:rsidR="00A34F1D" w:rsidRPr="008127F8">
        <w:rPr>
          <w:rFonts w:ascii="Times New Roman" w:hAnsi="Times New Roman"/>
          <w:color w:val="000000" w:themeColor="text1"/>
          <w:sz w:val="16"/>
          <w:szCs w:val="16"/>
        </w:rPr>
        <w:fldChar w:fldCharType="end"/>
      </w:r>
    </w:p>
    <w:p w14:paraId="77F825E8" w14:textId="77777777" w:rsidR="001A54AD" w:rsidRPr="008127F8" w:rsidRDefault="001A54AD" w:rsidP="001E0A84">
      <w:pPr>
        <w:tabs>
          <w:tab w:val="left" w:pos="9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Наркомат Минометного Вооружения (</w:t>
      </w:r>
      <w:proofErr w:type="gramStart"/>
      <w:r w:rsidRPr="008127F8">
        <w:rPr>
          <w:rFonts w:ascii="Times New Roman" w:hAnsi="Times New Roman"/>
          <w:color w:val="000000" w:themeColor="text1"/>
          <w:sz w:val="16"/>
          <w:szCs w:val="16"/>
        </w:rPr>
        <w:t>тов.Паршина</w:t>
      </w:r>
      <w:proofErr w:type="gramEnd"/>
      <w:r w:rsidRPr="008127F8">
        <w:rPr>
          <w:rFonts w:ascii="Times New Roman" w:hAnsi="Times New Roman"/>
          <w:color w:val="000000" w:themeColor="text1"/>
          <w:sz w:val="16"/>
          <w:szCs w:val="16"/>
        </w:rPr>
        <w:t xml:space="preserve">) изготовить и сдать во П квартале с.г. для ВВС Красной Армии выливные авиационные приборы ВАП-бм в количестве </w:t>
      </w:r>
      <w:r w:rsidRPr="008127F8">
        <w:rPr>
          <w:rStyle w:val="0pt"/>
          <w:rFonts w:ascii="Times New Roman" w:hAnsi="Times New Roman" w:cs="Times New Roman"/>
          <w:color w:val="000000" w:themeColor="text1"/>
          <w:spacing w:val="0"/>
          <w:sz w:val="16"/>
          <w:szCs w:val="16"/>
        </w:rPr>
        <w:t>1.500</w:t>
      </w:r>
      <w:r w:rsidRPr="008127F8">
        <w:rPr>
          <w:rFonts w:ascii="Times New Roman" w:hAnsi="Times New Roman"/>
          <w:color w:val="000000" w:themeColor="text1"/>
          <w:sz w:val="16"/>
          <w:szCs w:val="16"/>
        </w:rPr>
        <w:t xml:space="preserve"> штук со сдачей их в следующие сроки:</w:t>
      </w:r>
    </w:p>
    <w:p w14:paraId="05D32348"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 м-ц -</w:t>
      </w:r>
      <w:r w:rsidRPr="008127F8">
        <w:rPr>
          <w:rStyle w:val="0pt"/>
          <w:rFonts w:ascii="Times New Roman" w:hAnsi="Times New Roman" w:cs="Times New Roman"/>
          <w:color w:val="000000" w:themeColor="text1"/>
          <w:spacing w:val="0"/>
          <w:sz w:val="16"/>
          <w:szCs w:val="16"/>
        </w:rPr>
        <w:t xml:space="preserve"> 500</w:t>
      </w:r>
      <w:r w:rsidRPr="008127F8">
        <w:rPr>
          <w:rFonts w:ascii="Times New Roman" w:hAnsi="Times New Roman"/>
          <w:color w:val="000000" w:themeColor="text1"/>
          <w:sz w:val="16"/>
          <w:szCs w:val="16"/>
        </w:rPr>
        <w:t xml:space="preserve"> шт.</w:t>
      </w:r>
    </w:p>
    <w:p w14:paraId="0FFD2726"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май м-ц - </w:t>
      </w:r>
      <w:r w:rsidRPr="008127F8">
        <w:rPr>
          <w:rStyle w:val="0pt"/>
          <w:rFonts w:ascii="Times New Roman" w:hAnsi="Times New Roman" w:cs="Times New Roman"/>
          <w:color w:val="000000" w:themeColor="text1"/>
          <w:spacing w:val="0"/>
          <w:sz w:val="16"/>
          <w:szCs w:val="16"/>
        </w:rPr>
        <w:t>500</w:t>
      </w:r>
      <w:r w:rsidRPr="008127F8">
        <w:rPr>
          <w:rFonts w:ascii="Times New Roman" w:hAnsi="Times New Roman"/>
          <w:color w:val="000000" w:themeColor="text1"/>
          <w:sz w:val="16"/>
          <w:szCs w:val="16"/>
        </w:rPr>
        <w:t xml:space="preserve"> шт.</w:t>
      </w:r>
    </w:p>
    <w:p w14:paraId="7DD393CC"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июнь м-ц - </w:t>
      </w:r>
      <w:r w:rsidRPr="008127F8">
        <w:rPr>
          <w:rStyle w:val="0pt"/>
          <w:rFonts w:ascii="Times New Roman" w:hAnsi="Times New Roman" w:cs="Times New Roman"/>
          <w:color w:val="000000" w:themeColor="text1"/>
          <w:spacing w:val="0"/>
          <w:sz w:val="16"/>
          <w:szCs w:val="16"/>
        </w:rPr>
        <w:t>500</w:t>
      </w:r>
      <w:r w:rsidRPr="008127F8">
        <w:rPr>
          <w:rFonts w:ascii="Times New Roman" w:hAnsi="Times New Roman"/>
          <w:color w:val="000000" w:themeColor="text1"/>
          <w:sz w:val="16"/>
          <w:szCs w:val="16"/>
        </w:rPr>
        <w:t xml:space="preserve"> шт.</w:t>
      </w:r>
    </w:p>
    <w:p w14:paraId="38DA05C0" w14:textId="77777777" w:rsidR="001A54AD" w:rsidRPr="008127F8" w:rsidRDefault="001A54AD" w:rsidP="001E0A84">
      <w:pPr>
        <w:tabs>
          <w:tab w:val="left" w:pos="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Создать во втором квартале </w:t>
      </w:r>
      <w:proofErr w:type="gramStart"/>
      <w:r w:rsidRPr="008127F8">
        <w:rPr>
          <w:rFonts w:ascii="Times New Roman" w:hAnsi="Times New Roman"/>
          <w:color w:val="000000" w:themeColor="text1"/>
          <w:sz w:val="16"/>
          <w:szCs w:val="16"/>
        </w:rPr>
        <w:t>производственные .мощности</w:t>
      </w:r>
      <w:proofErr w:type="gramEnd"/>
      <w:r w:rsidRPr="008127F8">
        <w:rPr>
          <w:rFonts w:ascii="Times New Roman" w:hAnsi="Times New Roman"/>
          <w:color w:val="000000" w:themeColor="text1"/>
          <w:sz w:val="16"/>
          <w:szCs w:val="16"/>
        </w:rPr>
        <w:t xml:space="preserve"> по производству химических авиационных приооров на эаводах Наркомавиапрома и Наркомата Минометного Вооружения, обеспечи</w:t>
      </w:r>
      <w:r w:rsidRPr="008127F8">
        <w:rPr>
          <w:rFonts w:ascii="Times New Roman" w:hAnsi="Times New Roman"/>
          <w:color w:val="000000" w:themeColor="text1"/>
          <w:sz w:val="16"/>
          <w:szCs w:val="16"/>
        </w:rPr>
        <w:softHyphen/>
        <w:t>вающие поставку для ВВС Красной Армии в месяц:</w:t>
      </w:r>
    </w:p>
    <w:p w14:paraId="1F1B6E58" w14:textId="77777777" w:rsidR="001A54AD" w:rsidRPr="008127F8" w:rsidRDefault="001A54AD" w:rsidP="001E0A84">
      <w:pPr>
        <w:tabs>
          <w:tab w:val="left" w:pos="94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заводах Наркомавиапрома:</w:t>
      </w:r>
    </w:p>
    <w:p w14:paraId="7A64E667" w14:textId="77777777" w:rsidR="001A54AD" w:rsidRPr="008127F8" w:rsidRDefault="001A54AD" w:rsidP="001E0A84">
      <w:pPr>
        <w:tabs>
          <w:tab w:val="left" w:pos="2473"/>
          <w:tab w:val="right" w:pos="41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ВАП-бм </w:t>
      </w:r>
      <w:r w:rsidRPr="008127F8">
        <w:rPr>
          <w:rStyle w:val="0pt"/>
          <w:rFonts w:ascii="Times New Roman" w:hAnsi="Times New Roman" w:cs="Times New Roman"/>
          <w:color w:val="000000" w:themeColor="text1"/>
          <w:spacing w:val="0"/>
          <w:sz w:val="16"/>
          <w:szCs w:val="16"/>
        </w:rPr>
        <w:t xml:space="preserve">- 1.200 </w:t>
      </w:r>
      <w:r w:rsidRPr="008127F8">
        <w:rPr>
          <w:rFonts w:ascii="Times New Roman" w:hAnsi="Times New Roman"/>
          <w:color w:val="000000" w:themeColor="text1"/>
          <w:sz w:val="16"/>
          <w:szCs w:val="16"/>
        </w:rPr>
        <w:t>шт.</w:t>
      </w:r>
    </w:p>
    <w:p w14:paraId="0BE805B7" w14:textId="77777777" w:rsidR="001A54AD" w:rsidRPr="008127F8" w:rsidRDefault="001A54AD" w:rsidP="001E0A84">
      <w:pPr>
        <w:tabs>
          <w:tab w:val="left" w:pos="2465"/>
          <w:tab w:val="right" w:pos="413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ВАЛ-250 </w:t>
      </w:r>
      <w:r w:rsidRPr="008127F8">
        <w:rPr>
          <w:rStyle w:val="0pt"/>
          <w:rFonts w:ascii="Times New Roman" w:hAnsi="Times New Roman" w:cs="Times New Roman"/>
          <w:color w:val="000000" w:themeColor="text1"/>
          <w:spacing w:val="0"/>
          <w:sz w:val="16"/>
          <w:szCs w:val="16"/>
        </w:rPr>
        <w:t xml:space="preserve">- 1.500 </w:t>
      </w:r>
      <w:r w:rsidRPr="008127F8">
        <w:rPr>
          <w:rFonts w:ascii="Times New Roman" w:hAnsi="Times New Roman"/>
          <w:color w:val="000000" w:themeColor="text1"/>
          <w:sz w:val="16"/>
          <w:szCs w:val="16"/>
        </w:rPr>
        <w:t>шт.</w:t>
      </w:r>
    </w:p>
    <w:p w14:paraId="5F30008A"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ЗАП-500 - 1.000 шт.</w:t>
      </w:r>
    </w:p>
    <w:p w14:paraId="4F919DC6"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УХАП-250 - 125 шт.</w:t>
      </w:r>
    </w:p>
    <w:p w14:paraId="205EA77F" w14:textId="77777777" w:rsidR="001A54AD" w:rsidRPr="008127F8" w:rsidRDefault="001A54AD" w:rsidP="001E0A84">
      <w:pPr>
        <w:tabs>
          <w:tab w:val="left" w:pos="92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заводах На</w:t>
      </w:r>
      <w:r w:rsidR="004F7072" w:rsidRPr="008127F8">
        <w:rPr>
          <w:rFonts w:ascii="Times New Roman" w:hAnsi="Times New Roman"/>
          <w:color w:val="000000" w:themeColor="text1"/>
          <w:sz w:val="16"/>
          <w:szCs w:val="16"/>
        </w:rPr>
        <w:t>р</w:t>
      </w:r>
      <w:r w:rsidRPr="008127F8">
        <w:rPr>
          <w:rFonts w:ascii="Times New Roman" w:hAnsi="Times New Roman"/>
          <w:color w:val="000000" w:themeColor="text1"/>
          <w:sz w:val="16"/>
          <w:szCs w:val="16"/>
        </w:rPr>
        <w:t>комата Минометного Вооружения.</w:t>
      </w:r>
    </w:p>
    <w:p w14:paraId="6A4C828F"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ВАП-бм -</w:t>
      </w:r>
      <w:r w:rsidRPr="008127F8">
        <w:rPr>
          <w:rStyle w:val="0pt"/>
          <w:rFonts w:ascii="Times New Roman" w:hAnsi="Times New Roman" w:cs="Times New Roman"/>
          <w:color w:val="000000" w:themeColor="text1"/>
          <w:spacing w:val="0"/>
          <w:sz w:val="16"/>
          <w:szCs w:val="16"/>
        </w:rPr>
        <w:t xml:space="preserve"> 2.000шт.</w:t>
      </w:r>
    </w:p>
    <w:p w14:paraId="14399679" w14:textId="77777777" w:rsidR="001A54AD" w:rsidRPr="008127F8" w:rsidRDefault="001A54AD" w:rsidP="001E0A84">
      <w:pPr>
        <w:tabs>
          <w:tab w:val="left" w:pos="98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Наркомавиапром (</w:t>
      </w:r>
      <w:proofErr w:type="gramStart"/>
      <w:r w:rsidRPr="008127F8">
        <w:rPr>
          <w:rFonts w:ascii="Times New Roman" w:hAnsi="Times New Roman"/>
          <w:color w:val="000000" w:themeColor="text1"/>
          <w:sz w:val="16"/>
          <w:szCs w:val="16"/>
        </w:rPr>
        <w:t>тов.Пахурина</w:t>
      </w:r>
      <w:proofErr w:type="gramEnd"/>
      <w:r w:rsidRPr="008127F8">
        <w:rPr>
          <w:rFonts w:ascii="Times New Roman" w:hAnsi="Times New Roman"/>
          <w:color w:val="000000" w:themeColor="text1"/>
          <w:sz w:val="16"/>
          <w:szCs w:val="16"/>
        </w:rPr>
        <w:t xml:space="preserve">) изготозить для ВВС Красной Армии и Военно-морского Флота </w:t>
      </w:r>
      <w:r w:rsidRPr="008127F8">
        <w:rPr>
          <w:rStyle w:val="0pt"/>
          <w:rFonts w:ascii="Times New Roman" w:hAnsi="Times New Roman" w:cs="Times New Roman"/>
          <w:color w:val="000000" w:themeColor="text1"/>
          <w:spacing w:val="0"/>
          <w:sz w:val="16"/>
          <w:szCs w:val="16"/>
        </w:rPr>
        <w:t>205</w:t>
      </w:r>
      <w:r w:rsidRPr="008127F8">
        <w:rPr>
          <w:rFonts w:ascii="Times New Roman" w:hAnsi="Times New Roman"/>
          <w:color w:val="000000" w:themeColor="text1"/>
          <w:sz w:val="16"/>
          <w:szCs w:val="16"/>
        </w:rPr>
        <w:t xml:space="preserve"> авторазливочнкх станций (АРС'а) для снаряжения авиационных ампул с подачей их в следующие сроки:</w:t>
      </w:r>
    </w:p>
    <w:p w14:paraId="004E505D"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1942г. - 25 шт.</w:t>
      </w:r>
    </w:p>
    <w:p w14:paraId="576DC04C"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 а е 1942г. - 80 шт.</w:t>
      </w:r>
    </w:p>
    <w:p w14:paraId="28770C83"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1942г. -100 шт.</w:t>
      </w:r>
    </w:p>
    <w:p w14:paraId="7A27CAD6"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для авиации Военно-Морского Флота - 20 штук.</w:t>
      </w:r>
    </w:p>
    <w:p w14:paraId="639D7E5C" w14:textId="77777777" w:rsidR="001A54AD" w:rsidRPr="008127F8" w:rsidRDefault="001A54AD" w:rsidP="001E0A84">
      <w:pPr>
        <w:tabs>
          <w:tab w:val="left" w:pos="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Наркомат Боеприпасов (</w:t>
      </w:r>
      <w:proofErr w:type="gramStart"/>
      <w:r w:rsidRPr="008127F8">
        <w:rPr>
          <w:rFonts w:ascii="Times New Roman" w:hAnsi="Times New Roman"/>
          <w:color w:val="000000" w:themeColor="text1"/>
          <w:sz w:val="16"/>
          <w:szCs w:val="16"/>
        </w:rPr>
        <w:t>тов.Ванникова</w:t>
      </w:r>
      <w:proofErr w:type="gramEnd"/>
      <w:r w:rsidRPr="008127F8">
        <w:rPr>
          <w:rFonts w:ascii="Times New Roman" w:hAnsi="Times New Roman"/>
          <w:color w:val="000000" w:themeColor="text1"/>
          <w:sz w:val="16"/>
          <w:szCs w:val="16"/>
        </w:rPr>
        <w:t>) изгото</w:t>
      </w:r>
      <w:r w:rsidRPr="008127F8">
        <w:rPr>
          <w:rFonts w:ascii="Times New Roman" w:hAnsi="Times New Roman"/>
          <w:color w:val="000000" w:themeColor="text1"/>
          <w:sz w:val="16"/>
          <w:szCs w:val="16"/>
        </w:rPr>
        <w:softHyphen/>
        <w:t>вить для ВВС Красной Армии и Воекно-Морсхого Олота пирозаряды и подать в следующие сроки:</w:t>
      </w:r>
    </w:p>
    <w:tbl>
      <w:tblPr>
        <w:tblW w:w="0" w:type="auto"/>
        <w:tblLayout w:type="fixed"/>
        <w:tblCellMar>
          <w:left w:w="10" w:type="dxa"/>
          <w:right w:w="10" w:type="dxa"/>
        </w:tblCellMar>
        <w:tblLook w:val="04A0" w:firstRow="1" w:lastRow="0" w:firstColumn="1" w:lastColumn="0" w:noHBand="0" w:noVBand="1"/>
      </w:tblPr>
      <w:tblGrid>
        <w:gridCol w:w="1035"/>
        <w:gridCol w:w="1035"/>
        <w:gridCol w:w="945"/>
        <w:gridCol w:w="690"/>
      </w:tblGrid>
      <w:tr w:rsidR="006F4095" w:rsidRPr="008127F8" w14:paraId="548A06C7" w14:textId="77777777" w:rsidTr="00DF49EC">
        <w:trPr>
          <w:trHeight w:val="233"/>
        </w:trPr>
        <w:tc>
          <w:tcPr>
            <w:tcW w:w="1035" w:type="dxa"/>
            <w:tcBorders>
              <w:bottom w:val="single" w:sz="4" w:space="0" w:color="auto"/>
            </w:tcBorders>
            <w:shd w:val="clear" w:color="auto" w:fill="FFFFFF"/>
          </w:tcPr>
          <w:p w14:paraId="2C056AC3"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c>
          <w:tcPr>
            <w:tcW w:w="1035" w:type="dxa"/>
            <w:tcBorders>
              <w:bottom w:val="single" w:sz="4" w:space="0" w:color="auto"/>
            </w:tcBorders>
            <w:shd w:val="clear" w:color="auto" w:fill="FFFFFF"/>
          </w:tcPr>
          <w:p w14:paraId="66DD7E6C"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945" w:type="dxa"/>
            <w:tcBorders>
              <w:bottom w:val="single" w:sz="4" w:space="0" w:color="auto"/>
            </w:tcBorders>
            <w:shd w:val="clear" w:color="auto" w:fill="FFFFFF"/>
          </w:tcPr>
          <w:p w14:paraId="5A47EF4B"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а й</w:t>
            </w:r>
          </w:p>
        </w:tc>
        <w:tc>
          <w:tcPr>
            <w:tcW w:w="690" w:type="dxa"/>
            <w:shd w:val="clear" w:color="auto" w:fill="FFFFFF"/>
          </w:tcPr>
          <w:p w14:paraId="14B3E5F8"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r>
      <w:tr w:rsidR="006F4095" w:rsidRPr="008127F8" w14:paraId="138F7BE7" w14:textId="77777777" w:rsidTr="00DF49EC">
        <w:trPr>
          <w:trHeight w:val="233"/>
        </w:trPr>
        <w:tc>
          <w:tcPr>
            <w:tcW w:w="1035" w:type="dxa"/>
            <w:tcBorders>
              <w:top w:val="single" w:sz="4" w:space="0" w:color="auto"/>
            </w:tcBorders>
            <w:shd w:val="clear" w:color="auto" w:fill="FFFFFF"/>
          </w:tcPr>
          <w:p w14:paraId="4E32D629" w14:textId="77777777" w:rsidR="001A54AD" w:rsidRPr="008127F8" w:rsidRDefault="001A54AD" w:rsidP="001E0A84">
            <w:pPr>
              <w:spacing w:after="0" w:line="240" w:lineRule="auto"/>
              <w:jc w:val="both"/>
              <w:rPr>
                <w:rStyle w:val="0pt"/>
                <w:rFonts w:ascii="Times New Roman" w:hAnsi="Times New Roman" w:cs="Times New Roman"/>
                <w:color w:val="000000" w:themeColor="text1"/>
                <w:spacing w:val="0"/>
                <w:sz w:val="16"/>
                <w:szCs w:val="16"/>
              </w:rPr>
            </w:pPr>
            <w:r w:rsidRPr="008127F8">
              <w:rPr>
                <w:rFonts w:ascii="Times New Roman" w:hAnsi="Times New Roman"/>
                <w:color w:val="000000" w:themeColor="text1"/>
                <w:sz w:val="16"/>
                <w:szCs w:val="16"/>
              </w:rPr>
              <w:t>Пирозаряды ПЗ - "34"</w:t>
            </w:r>
          </w:p>
        </w:tc>
        <w:tc>
          <w:tcPr>
            <w:tcW w:w="1035" w:type="dxa"/>
            <w:tcBorders>
              <w:top w:val="single" w:sz="4" w:space="0" w:color="auto"/>
            </w:tcBorders>
            <w:shd w:val="clear" w:color="auto" w:fill="FFFFFF"/>
          </w:tcPr>
          <w:p w14:paraId="0F4EC2E2"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7000</w:t>
            </w:r>
          </w:p>
        </w:tc>
        <w:tc>
          <w:tcPr>
            <w:tcW w:w="945" w:type="dxa"/>
            <w:tcBorders>
              <w:top w:val="single" w:sz="4" w:space="0" w:color="auto"/>
            </w:tcBorders>
            <w:shd w:val="clear" w:color="auto" w:fill="FFFFFF"/>
          </w:tcPr>
          <w:p w14:paraId="5B96FF5D"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7000</w:t>
            </w:r>
          </w:p>
        </w:tc>
        <w:tc>
          <w:tcPr>
            <w:tcW w:w="690" w:type="dxa"/>
            <w:shd w:val="clear" w:color="auto" w:fill="FFFFFF"/>
          </w:tcPr>
          <w:p w14:paraId="4ACF7384"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7000</w:t>
            </w:r>
          </w:p>
        </w:tc>
      </w:tr>
      <w:tr w:rsidR="006F4095" w:rsidRPr="008127F8" w14:paraId="305E2A74" w14:textId="77777777" w:rsidTr="00DF49EC">
        <w:trPr>
          <w:trHeight w:val="180"/>
        </w:trPr>
        <w:tc>
          <w:tcPr>
            <w:tcW w:w="1035" w:type="dxa"/>
            <w:shd w:val="clear" w:color="auto" w:fill="FFFFFF"/>
          </w:tcPr>
          <w:p w14:paraId="02910472" w14:textId="77777777" w:rsidR="001A54AD" w:rsidRPr="008127F8" w:rsidRDefault="001A54AD" w:rsidP="001E0A84">
            <w:pPr>
              <w:spacing w:after="0" w:line="240" w:lineRule="auto"/>
              <w:jc w:val="both"/>
              <w:rPr>
                <w:rStyle w:val="0pt"/>
                <w:rFonts w:ascii="Times New Roman" w:hAnsi="Times New Roman" w:cs="Times New Roman"/>
                <w:color w:val="000000" w:themeColor="text1"/>
                <w:spacing w:val="0"/>
                <w:sz w:val="16"/>
                <w:szCs w:val="16"/>
              </w:rPr>
            </w:pPr>
            <w:r w:rsidRPr="008127F8">
              <w:rPr>
                <w:rFonts w:ascii="Times New Roman" w:hAnsi="Times New Roman"/>
                <w:color w:val="000000" w:themeColor="text1"/>
                <w:sz w:val="16"/>
                <w:szCs w:val="16"/>
              </w:rPr>
              <w:t>Пирозаряды ПЗ - "54"</w:t>
            </w:r>
          </w:p>
        </w:tc>
        <w:tc>
          <w:tcPr>
            <w:tcW w:w="1035" w:type="dxa"/>
            <w:shd w:val="clear" w:color="auto" w:fill="FFFFFF"/>
          </w:tcPr>
          <w:p w14:paraId="10642D62"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1500</w:t>
            </w:r>
          </w:p>
        </w:tc>
        <w:tc>
          <w:tcPr>
            <w:tcW w:w="945" w:type="dxa"/>
            <w:shd w:val="clear" w:color="auto" w:fill="FFFFFF"/>
          </w:tcPr>
          <w:p w14:paraId="6E2DC345"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r w:rsidR="00234C3E" w:rsidRPr="008127F8">
              <w:rPr>
                <w:rFonts w:ascii="Times New Roman" w:hAnsi="Times New Roman"/>
                <w:color w:val="000000" w:themeColor="text1"/>
                <w:sz w:val="16"/>
                <w:szCs w:val="16"/>
              </w:rPr>
              <w:t>0</w:t>
            </w:r>
            <w:r w:rsidRPr="008127F8">
              <w:rPr>
                <w:rFonts w:ascii="Times New Roman" w:hAnsi="Times New Roman"/>
                <w:color w:val="000000" w:themeColor="text1"/>
                <w:sz w:val="16"/>
                <w:szCs w:val="16"/>
              </w:rPr>
              <w:t>0</w:t>
            </w:r>
          </w:p>
        </w:tc>
        <w:tc>
          <w:tcPr>
            <w:tcW w:w="690" w:type="dxa"/>
            <w:shd w:val="clear" w:color="auto" w:fill="FFFFFF"/>
          </w:tcPr>
          <w:p w14:paraId="6CA92786"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1500</w:t>
            </w:r>
          </w:p>
        </w:tc>
      </w:tr>
      <w:tr w:rsidR="006F4095" w:rsidRPr="008127F8" w14:paraId="4D85295C" w14:textId="77777777" w:rsidTr="00DF49EC">
        <w:trPr>
          <w:trHeight w:val="180"/>
        </w:trPr>
        <w:tc>
          <w:tcPr>
            <w:tcW w:w="1035" w:type="dxa"/>
            <w:shd w:val="clear" w:color="auto" w:fill="FFFFFF"/>
          </w:tcPr>
          <w:p w14:paraId="278F77D6" w14:textId="77777777" w:rsidR="001A54AD" w:rsidRPr="008127F8" w:rsidRDefault="001A54AD" w:rsidP="001E0A84">
            <w:pPr>
              <w:spacing w:after="0" w:line="240" w:lineRule="auto"/>
              <w:jc w:val="both"/>
              <w:rPr>
                <w:rStyle w:val="0pt"/>
                <w:rFonts w:ascii="Times New Roman" w:hAnsi="Times New Roman" w:cs="Times New Roman"/>
                <w:color w:val="000000" w:themeColor="text1"/>
                <w:spacing w:val="0"/>
                <w:sz w:val="16"/>
                <w:szCs w:val="16"/>
              </w:rPr>
            </w:pPr>
            <w:r w:rsidRPr="008127F8">
              <w:rPr>
                <w:rFonts w:ascii="Times New Roman" w:hAnsi="Times New Roman"/>
                <w:color w:val="000000" w:themeColor="text1"/>
                <w:sz w:val="16"/>
                <w:szCs w:val="16"/>
              </w:rPr>
              <w:t>Пирозаряды ПЗ - "23"</w:t>
            </w:r>
          </w:p>
        </w:tc>
        <w:tc>
          <w:tcPr>
            <w:tcW w:w="1035" w:type="dxa"/>
            <w:shd w:val="clear" w:color="auto" w:fill="FFFFFF"/>
          </w:tcPr>
          <w:p w14:paraId="45F52276"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4000</w:t>
            </w:r>
          </w:p>
        </w:tc>
        <w:tc>
          <w:tcPr>
            <w:tcW w:w="945" w:type="dxa"/>
            <w:shd w:val="clear" w:color="auto" w:fill="FFFFFF"/>
          </w:tcPr>
          <w:p w14:paraId="6837DAE9"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3000</w:t>
            </w:r>
          </w:p>
        </w:tc>
        <w:tc>
          <w:tcPr>
            <w:tcW w:w="690" w:type="dxa"/>
            <w:shd w:val="clear" w:color="auto" w:fill="FFFFFF"/>
          </w:tcPr>
          <w:p w14:paraId="41D618E0"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3000</w:t>
            </w:r>
          </w:p>
        </w:tc>
      </w:tr>
    </w:tbl>
    <w:p w14:paraId="08907C0D"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для авиации ВМФ;</w:t>
      </w:r>
    </w:p>
    <w:tbl>
      <w:tblPr>
        <w:tblW w:w="0" w:type="auto"/>
        <w:tblLayout w:type="fixed"/>
        <w:tblCellMar>
          <w:left w:w="10" w:type="dxa"/>
          <w:right w:w="10" w:type="dxa"/>
        </w:tblCellMar>
        <w:tblLook w:val="04A0" w:firstRow="1" w:lastRow="0" w:firstColumn="1" w:lastColumn="0" w:noHBand="0" w:noVBand="1"/>
      </w:tblPr>
      <w:tblGrid>
        <w:gridCol w:w="1035"/>
        <w:gridCol w:w="1035"/>
        <w:gridCol w:w="945"/>
        <w:gridCol w:w="690"/>
      </w:tblGrid>
      <w:tr w:rsidR="006F4095" w:rsidRPr="008127F8" w14:paraId="76A8B547" w14:textId="77777777" w:rsidTr="00DF49EC">
        <w:trPr>
          <w:trHeight w:val="188"/>
        </w:trPr>
        <w:tc>
          <w:tcPr>
            <w:tcW w:w="1035" w:type="dxa"/>
            <w:shd w:val="clear" w:color="auto" w:fill="FFFFFF"/>
          </w:tcPr>
          <w:p w14:paraId="29F3B918" w14:textId="77777777" w:rsidR="001A54AD" w:rsidRPr="008127F8" w:rsidRDefault="001A54AD" w:rsidP="001E0A84">
            <w:pPr>
              <w:spacing w:after="0" w:line="240" w:lineRule="auto"/>
              <w:jc w:val="both"/>
              <w:rPr>
                <w:rStyle w:val="0pt"/>
                <w:rFonts w:ascii="Times New Roman" w:hAnsi="Times New Roman" w:cs="Times New Roman"/>
                <w:color w:val="000000" w:themeColor="text1"/>
                <w:spacing w:val="0"/>
                <w:sz w:val="16"/>
                <w:szCs w:val="16"/>
              </w:rPr>
            </w:pPr>
            <w:r w:rsidRPr="008127F8">
              <w:rPr>
                <w:rFonts w:ascii="Times New Roman" w:hAnsi="Times New Roman"/>
                <w:color w:val="000000" w:themeColor="text1"/>
                <w:sz w:val="16"/>
                <w:szCs w:val="16"/>
              </w:rPr>
              <w:t>ПЗ - "34"</w:t>
            </w:r>
          </w:p>
        </w:tc>
        <w:tc>
          <w:tcPr>
            <w:tcW w:w="1035" w:type="dxa"/>
            <w:shd w:val="clear" w:color="auto" w:fill="FFFFFF"/>
          </w:tcPr>
          <w:p w14:paraId="0610944E"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12000</w:t>
            </w:r>
          </w:p>
        </w:tc>
        <w:tc>
          <w:tcPr>
            <w:tcW w:w="945" w:type="dxa"/>
            <w:shd w:val="clear" w:color="auto" w:fill="FFFFFF"/>
          </w:tcPr>
          <w:p w14:paraId="45162BDC"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c>
          <w:tcPr>
            <w:tcW w:w="690" w:type="dxa"/>
            <w:shd w:val="clear" w:color="auto" w:fill="FFFFFF"/>
          </w:tcPr>
          <w:p w14:paraId="7E9D613F"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r>
      <w:tr w:rsidR="006F4095" w:rsidRPr="008127F8" w14:paraId="724642E3" w14:textId="77777777" w:rsidTr="00DF49EC">
        <w:trPr>
          <w:trHeight w:val="180"/>
        </w:trPr>
        <w:tc>
          <w:tcPr>
            <w:tcW w:w="1035" w:type="dxa"/>
            <w:shd w:val="clear" w:color="auto" w:fill="FFFFFF"/>
          </w:tcPr>
          <w:p w14:paraId="413F6DB0" w14:textId="77777777" w:rsidR="001A54AD" w:rsidRPr="008127F8" w:rsidRDefault="001A54AD" w:rsidP="001E0A84">
            <w:pPr>
              <w:spacing w:after="0" w:line="240" w:lineRule="auto"/>
              <w:jc w:val="both"/>
              <w:rPr>
                <w:rStyle w:val="0pt"/>
                <w:rFonts w:ascii="Times New Roman" w:hAnsi="Times New Roman" w:cs="Times New Roman"/>
                <w:color w:val="000000" w:themeColor="text1"/>
                <w:spacing w:val="0"/>
                <w:sz w:val="16"/>
                <w:szCs w:val="16"/>
              </w:rPr>
            </w:pPr>
            <w:r w:rsidRPr="008127F8">
              <w:rPr>
                <w:rFonts w:ascii="Times New Roman" w:hAnsi="Times New Roman"/>
                <w:color w:val="000000" w:themeColor="text1"/>
                <w:sz w:val="16"/>
                <w:szCs w:val="16"/>
              </w:rPr>
              <w:t>ПЗ - "54"</w:t>
            </w:r>
          </w:p>
        </w:tc>
        <w:tc>
          <w:tcPr>
            <w:tcW w:w="1035" w:type="dxa"/>
            <w:shd w:val="clear" w:color="auto" w:fill="FFFFFF"/>
          </w:tcPr>
          <w:p w14:paraId="395FCD62"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pacing w:val="0"/>
                <w:sz w:val="16"/>
                <w:szCs w:val="16"/>
              </w:rPr>
              <w:t>4500</w:t>
            </w:r>
          </w:p>
        </w:tc>
        <w:tc>
          <w:tcPr>
            <w:tcW w:w="945" w:type="dxa"/>
            <w:shd w:val="clear" w:color="auto" w:fill="FFFFFF"/>
          </w:tcPr>
          <w:p w14:paraId="2B56F747"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c>
          <w:tcPr>
            <w:tcW w:w="690" w:type="dxa"/>
            <w:shd w:val="clear" w:color="auto" w:fill="FFFFFF"/>
          </w:tcPr>
          <w:p w14:paraId="42592DFE"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r>
      <w:tr w:rsidR="006F4095" w:rsidRPr="008127F8" w14:paraId="6680EA55" w14:textId="77777777" w:rsidTr="00DF49EC">
        <w:trPr>
          <w:trHeight w:val="210"/>
        </w:trPr>
        <w:tc>
          <w:tcPr>
            <w:tcW w:w="1035" w:type="dxa"/>
            <w:shd w:val="clear" w:color="auto" w:fill="FFFFFF"/>
          </w:tcPr>
          <w:p w14:paraId="0C80E199"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ПЗ - "23"</w:t>
            </w:r>
          </w:p>
        </w:tc>
        <w:tc>
          <w:tcPr>
            <w:tcW w:w="1035" w:type="dxa"/>
            <w:shd w:val="clear" w:color="auto" w:fill="FFFFFF"/>
          </w:tcPr>
          <w:p w14:paraId="475B6A0C"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945" w:type="dxa"/>
            <w:shd w:val="clear" w:color="auto" w:fill="FFFFFF"/>
          </w:tcPr>
          <w:p w14:paraId="1900226E"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c>
          <w:tcPr>
            <w:tcW w:w="690" w:type="dxa"/>
            <w:shd w:val="clear" w:color="auto" w:fill="FFFFFF"/>
          </w:tcPr>
          <w:p w14:paraId="3535A829" w14:textId="77777777" w:rsidR="001A54AD" w:rsidRPr="008127F8" w:rsidRDefault="001A54AD" w:rsidP="001E0A84">
            <w:pPr>
              <w:spacing w:after="0" w:line="240" w:lineRule="auto"/>
              <w:jc w:val="both"/>
              <w:rPr>
                <w:rFonts w:ascii="Times New Roman" w:hAnsi="Times New Roman"/>
                <w:color w:val="000000" w:themeColor="text1"/>
                <w:sz w:val="16"/>
                <w:szCs w:val="16"/>
              </w:rPr>
            </w:pPr>
          </w:p>
        </w:tc>
      </w:tr>
    </w:tbl>
    <w:p w14:paraId="7AAABCFB" w14:textId="77777777" w:rsidR="001A54AD" w:rsidRPr="008127F8" w:rsidRDefault="001A54AD" w:rsidP="001E0A84">
      <w:pPr>
        <w:tabs>
          <w:tab w:val="left" w:pos="6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Наркомчермет (</w:t>
      </w:r>
      <w:proofErr w:type="gramStart"/>
      <w:r w:rsidRPr="008127F8">
        <w:rPr>
          <w:rFonts w:ascii="Times New Roman" w:hAnsi="Times New Roman"/>
          <w:color w:val="000000" w:themeColor="text1"/>
          <w:sz w:val="16"/>
          <w:szCs w:val="16"/>
        </w:rPr>
        <w:t>тов.Тевосян</w:t>
      </w:r>
      <w:proofErr w:type="gramEnd"/>
      <w:r w:rsidRPr="008127F8">
        <w:rPr>
          <w:rFonts w:ascii="Times New Roman" w:hAnsi="Times New Roman"/>
          <w:color w:val="000000" w:themeColor="text1"/>
          <w:sz w:val="16"/>
          <w:szCs w:val="16"/>
        </w:rPr>
        <w:t xml:space="preserve">) отгрузить заводам </w:t>
      </w:r>
      <w:r w:rsidRPr="008127F8">
        <w:rPr>
          <w:rStyle w:val="0pt"/>
          <w:rFonts w:ascii="Times New Roman" w:hAnsi="Times New Roman" w:cs="Times New Roman"/>
          <w:color w:val="000000" w:themeColor="text1"/>
          <w:spacing w:val="0"/>
          <w:sz w:val="16"/>
          <w:szCs w:val="16"/>
        </w:rPr>
        <w:t>145 и 43 Н</w:t>
      </w:r>
      <w:r w:rsidRPr="008127F8">
        <w:rPr>
          <w:rFonts w:ascii="Times New Roman" w:hAnsi="Times New Roman"/>
          <w:color w:val="000000" w:themeColor="text1"/>
          <w:sz w:val="16"/>
          <w:szCs w:val="16"/>
        </w:rPr>
        <w:t xml:space="preserve">КАП предназначенные им черные металлы и метизы по фондам П квартала - в апреле </w:t>
      </w:r>
      <w:r w:rsidRPr="008127F8">
        <w:rPr>
          <w:rStyle w:val="0pt"/>
          <w:rFonts w:ascii="Times New Roman" w:hAnsi="Times New Roman" w:cs="Times New Roman"/>
          <w:color w:val="000000" w:themeColor="text1"/>
          <w:spacing w:val="0"/>
          <w:sz w:val="16"/>
          <w:szCs w:val="16"/>
        </w:rPr>
        <w:t>50£</w:t>
      </w:r>
      <w:r w:rsidRPr="008127F8">
        <w:rPr>
          <w:rFonts w:ascii="Times New Roman" w:hAnsi="Times New Roman"/>
          <w:color w:val="000000" w:themeColor="text1"/>
          <w:sz w:val="16"/>
          <w:szCs w:val="16"/>
        </w:rPr>
        <w:t xml:space="preserve"> и б первой половине мая </w:t>
      </w:r>
      <w:r w:rsidRPr="008127F8">
        <w:rPr>
          <w:rStyle w:val="0pt"/>
          <w:rFonts w:ascii="Times New Roman" w:hAnsi="Times New Roman" w:cs="Times New Roman"/>
          <w:color w:val="000000" w:themeColor="text1"/>
          <w:spacing w:val="0"/>
          <w:sz w:val="16"/>
          <w:szCs w:val="16"/>
        </w:rPr>
        <w:t>50%.</w:t>
      </w:r>
    </w:p>
    <w:p w14:paraId="0320DDED" w14:textId="77777777" w:rsidR="001A54AD" w:rsidRPr="008127F8" w:rsidRDefault="001A54AD" w:rsidP="001E0A84">
      <w:pPr>
        <w:tabs>
          <w:tab w:val="left" w:pos="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НКПС (</w:t>
      </w:r>
      <w:proofErr w:type="gramStart"/>
      <w:r w:rsidRPr="008127F8">
        <w:rPr>
          <w:rFonts w:ascii="Times New Roman" w:hAnsi="Times New Roman"/>
          <w:color w:val="000000" w:themeColor="text1"/>
          <w:sz w:val="16"/>
          <w:szCs w:val="16"/>
        </w:rPr>
        <w:t>тов.Хрулева</w:t>
      </w:r>
      <w:proofErr w:type="gramEnd"/>
      <w:r w:rsidRPr="008127F8">
        <w:rPr>
          <w:rFonts w:ascii="Times New Roman" w:hAnsi="Times New Roman"/>
          <w:color w:val="000000" w:themeColor="text1"/>
          <w:sz w:val="16"/>
          <w:szCs w:val="16"/>
        </w:rPr>
        <w:t xml:space="preserve">) обеспечить доставку черных металлов и метизов заводам №№ </w:t>
      </w:r>
      <w:r w:rsidRPr="008127F8">
        <w:rPr>
          <w:rStyle w:val="0pt"/>
          <w:rFonts w:ascii="Times New Roman" w:hAnsi="Times New Roman" w:cs="Times New Roman"/>
          <w:color w:val="000000" w:themeColor="text1"/>
          <w:spacing w:val="0"/>
          <w:sz w:val="16"/>
          <w:szCs w:val="16"/>
        </w:rPr>
        <w:t>145</w:t>
      </w:r>
      <w:r w:rsidRPr="008127F8">
        <w:rPr>
          <w:rFonts w:ascii="Times New Roman" w:hAnsi="Times New Roman"/>
          <w:color w:val="000000" w:themeColor="text1"/>
          <w:sz w:val="16"/>
          <w:szCs w:val="16"/>
        </w:rPr>
        <w:t xml:space="preserve"> и </w:t>
      </w:r>
      <w:r w:rsidRPr="008127F8">
        <w:rPr>
          <w:rStyle w:val="0pt"/>
          <w:rFonts w:ascii="Times New Roman" w:hAnsi="Times New Roman" w:cs="Times New Roman"/>
          <w:color w:val="000000" w:themeColor="text1"/>
          <w:spacing w:val="0"/>
          <w:sz w:val="16"/>
          <w:szCs w:val="16"/>
        </w:rPr>
        <w:t>43</w:t>
      </w:r>
      <w:r w:rsidRPr="008127F8">
        <w:rPr>
          <w:rFonts w:ascii="Times New Roman" w:hAnsi="Times New Roman"/>
          <w:color w:val="000000" w:themeColor="text1"/>
          <w:sz w:val="16"/>
          <w:szCs w:val="16"/>
        </w:rPr>
        <w:t xml:space="preserve"> НКАП в десятидневный срок с момента погрузки их на заводах Наркомчермета.</w:t>
      </w:r>
    </w:p>
    <w:p w14:paraId="1EEE8093" w14:textId="77777777" w:rsidR="001A54AD" w:rsidRPr="008127F8" w:rsidRDefault="001A54AD" w:rsidP="001E0A84">
      <w:pPr>
        <w:tabs>
          <w:tab w:val="left" w:pos="9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Наркомэлектсостанций (</w:t>
      </w:r>
      <w:proofErr w:type="gramStart"/>
      <w:r w:rsidRPr="008127F8">
        <w:rPr>
          <w:rFonts w:ascii="Times New Roman" w:hAnsi="Times New Roman"/>
          <w:color w:val="000000" w:themeColor="text1"/>
          <w:sz w:val="16"/>
          <w:szCs w:val="16"/>
        </w:rPr>
        <w:t>тов.Лимерина</w:t>
      </w:r>
      <w:proofErr w:type="gramEnd"/>
      <w:r w:rsidRPr="008127F8">
        <w:rPr>
          <w:rFonts w:ascii="Times New Roman" w:hAnsi="Times New Roman"/>
          <w:color w:val="000000" w:themeColor="text1"/>
          <w:sz w:val="16"/>
          <w:szCs w:val="16"/>
        </w:rPr>
        <w:t xml:space="preserve">) обеспечить электроэнергией заводы № 43 и </w:t>
      </w:r>
      <w:r w:rsidRPr="008127F8">
        <w:rPr>
          <w:rStyle w:val="0pt"/>
          <w:rFonts w:ascii="Times New Roman" w:hAnsi="Times New Roman" w:cs="Times New Roman"/>
          <w:color w:val="000000" w:themeColor="text1"/>
          <w:spacing w:val="0"/>
          <w:sz w:val="16"/>
          <w:szCs w:val="16"/>
        </w:rPr>
        <w:t>472 -</w:t>
      </w:r>
      <w:r w:rsidRPr="008127F8">
        <w:rPr>
          <w:rFonts w:ascii="Times New Roman" w:hAnsi="Times New Roman"/>
          <w:color w:val="000000" w:themeColor="text1"/>
          <w:sz w:val="16"/>
          <w:szCs w:val="16"/>
        </w:rPr>
        <w:t xml:space="preserve"> Болшево - НКАП.</w:t>
      </w:r>
    </w:p>
    <w:p w14:paraId="3EC75914" w14:textId="77777777" w:rsidR="001A54AD" w:rsidRPr="008127F8" w:rsidRDefault="001A54AD" w:rsidP="001E0A84">
      <w:pPr>
        <w:tabs>
          <w:tab w:val="left" w:pos="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Наркомтяжмаш (</w:t>
      </w:r>
      <w:proofErr w:type="gramStart"/>
      <w:r w:rsidRPr="008127F8">
        <w:rPr>
          <w:rFonts w:ascii="Times New Roman" w:hAnsi="Times New Roman"/>
          <w:color w:val="000000" w:themeColor="text1"/>
          <w:sz w:val="16"/>
          <w:szCs w:val="16"/>
        </w:rPr>
        <w:t>тов.Казакова</w:t>
      </w:r>
      <w:proofErr w:type="gramEnd"/>
      <w:r w:rsidRPr="008127F8">
        <w:rPr>
          <w:rFonts w:ascii="Times New Roman" w:hAnsi="Times New Roman"/>
          <w:color w:val="000000" w:themeColor="text1"/>
          <w:sz w:val="16"/>
          <w:szCs w:val="16"/>
        </w:rPr>
        <w:t>) обеспечить ежеднев</w:t>
      </w:r>
      <w:r w:rsidRPr="008127F8">
        <w:rPr>
          <w:rFonts w:ascii="Times New Roman" w:hAnsi="Times New Roman"/>
          <w:color w:val="000000" w:themeColor="text1"/>
          <w:sz w:val="16"/>
          <w:szCs w:val="16"/>
        </w:rPr>
        <w:softHyphen/>
        <w:t>ную подачу 60 баллонов кислорода заводу № 43 НКАП.</w:t>
      </w:r>
    </w:p>
    <w:p w14:paraId="00B11E4D" w14:textId="77777777" w:rsidR="001A54AD" w:rsidRPr="008127F8" w:rsidRDefault="001A54AD" w:rsidP="001E0A84">
      <w:pPr>
        <w:tabs>
          <w:tab w:val="left" w:pos="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Обязать Управление Особого Строительства НКВД достроить производственный корпус (эллинг) завода № </w:t>
      </w:r>
      <w:r w:rsidRPr="008127F8">
        <w:rPr>
          <w:rStyle w:val="0pt"/>
          <w:rFonts w:ascii="Times New Roman" w:hAnsi="Times New Roman" w:cs="Times New Roman"/>
          <w:color w:val="000000" w:themeColor="text1"/>
          <w:spacing w:val="0"/>
          <w:sz w:val="16"/>
          <w:szCs w:val="16"/>
        </w:rPr>
        <w:t>145</w:t>
      </w:r>
      <w:r w:rsidRPr="008127F8">
        <w:rPr>
          <w:rFonts w:ascii="Times New Roman" w:hAnsi="Times New Roman"/>
          <w:color w:val="000000" w:themeColor="text1"/>
          <w:sz w:val="16"/>
          <w:szCs w:val="16"/>
        </w:rPr>
        <w:t xml:space="preserve"> в г.Куйбышеве площадью </w:t>
      </w:r>
      <w:r w:rsidRPr="008127F8">
        <w:rPr>
          <w:rStyle w:val="0pt"/>
          <w:rFonts w:ascii="Times New Roman" w:hAnsi="Times New Roman" w:cs="Times New Roman"/>
          <w:color w:val="000000" w:themeColor="text1"/>
          <w:spacing w:val="0"/>
          <w:sz w:val="16"/>
          <w:szCs w:val="16"/>
        </w:rPr>
        <w:t>7.500</w:t>
      </w:r>
      <w:r w:rsidRPr="008127F8">
        <w:rPr>
          <w:rStyle w:val="Garamond11pt0pt"/>
          <w:rFonts w:ascii="Times New Roman" w:hAnsi="Times New Roman" w:cs="Times New Roman"/>
          <w:color w:val="000000" w:themeColor="text1"/>
          <w:spacing w:val="0"/>
          <w:sz w:val="16"/>
          <w:szCs w:val="16"/>
          <w:lang w:val="ru-RU"/>
        </w:rPr>
        <w:t xml:space="preserve"> мтр</w:t>
      </w:r>
      <w:r w:rsidRPr="008127F8">
        <w:rPr>
          <w:rStyle w:val="Garamond11pt0pt"/>
          <w:rFonts w:ascii="Times New Roman" w:hAnsi="Times New Roman" w:cs="Times New Roman"/>
          <w:color w:val="000000" w:themeColor="text1"/>
          <w:spacing w:val="0"/>
          <w:sz w:val="16"/>
          <w:szCs w:val="16"/>
        </w:rPr>
        <w:t>r</w:t>
      </w:r>
      <w:r w:rsidRPr="008127F8">
        <w:rPr>
          <w:rFonts w:ascii="Times New Roman" w:hAnsi="Times New Roman"/>
          <w:color w:val="000000" w:themeColor="text1"/>
          <w:sz w:val="16"/>
          <w:szCs w:val="16"/>
        </w:rPr>
        <w:t xml:space="preserve"> и сдать в эксплоатацию к 1 мая </w:t>
      </w:r>
      <w:r w:rsidRPr="008127F8">
        <w:rPr>
          <w:rStyle w:val="0pt"/>
          <w:rFonts w:ascii="Times New Roman" w:hAnsi="Times New Roman" w:cs="Times New Roman"/>
          <w:color w:val="000000" w:themeColor="text1"/>
          <w:spacing w:val="0"/>
          <w:sz w:val="16"/>
          <w:szCs w:val="16"/>
        </w:rPr>
        <w:t>1942 г.</w:t>
      </w:r>
    </w:p>
    <w:p w14:paraId="25E40EC5" w14:textId="77777777" w:rsidR="001A54AD" w:rsidRPr="008127F8" w:rsidRDefault="001A54AD" w:rsidP="001E0A84">
      <w:pPr>
        <w:tabs>
          <w:tab w:val="left" w:pos="98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Обязать директора и </w:t>
      </w:r>
      <w:proofErr w:type="gramStart"/>
      <w:r w:rsidRPr="008127F8">
        <w:rPr>
          <w:rFonts w:ascii="Times New Roman" w:hAnsi="Times New Roman"/>
          <w:color w:val="000000" w:themeColor="text1"/>
          <w:sz w:val="16"/>
          <w:szCs w:val="16"/>
        </w:rPr>
        <w:t>гл.конструктора</w:t>
      </w:r>
      <w:proofErr w:type="gramEnd"/>
      <w:r w:rsidRPr="008127F8">
        <w:rPr>
          <w:rFonts w:ascii="Times New Roman" w:hAnsi="Times New Roman"/>
          <w:color w:val="000000" w:themeColor="text1"/>
          <w:sz w:val="16"/>
          <w:szCs w:val="16"/>
        </w:rPr>
        <w:t xml:space="preserve"> завода № </w:t>
      </w:r>
      <w:r w:rsidRPr="008127F8">
        <w:rPr>
          <w:rStyle w:val="0pt"/>
          <w:rFonts w:ascii="Times New Roman" w:hAnsi="Times New Roman" w:cs="Times New Roman"/>
          <w:color w:val="000000" w:themeColor="text1"/>
          <w:spacing w:val="0"/>
          <w:sz w:val="16"/>
          <w:szCs w:val="16"/>
        </w:rPr>
        <w:t>156</w:t>
      </w:r>
      <w:r w:rsidRPr="008127F8">
        <w:rPr>
          <w:rFonts w:ascii="Times New Roman" w:hAnsi="Times New Roman"/>
          <w:color w:val="000000" w:themeColor="text1"/>
          <w:sz w:val="16"/>
          <w:szCs w:val="16"/>
        </w:rPr>
        <w:t xml:space="preserve"> НКАП тов. Гулянского и гл.конструктора завода № </w:t>
      </w:r>
      <w:r w:rsidRPr="008127F8">
        <w:rPr>
          <w:rStyle w:val="0pt"/>
          <w:rFonts w:ascii="Times New Roman" w:hAnsi="Times New Roman" w:cs="Times New Roman"/>
          <w:color w:val="000000" w:themeColor="text1"/>
          <w:spacing w:val="0"/>
          <w:sz w:val="16"/>
          <w:szCs w:val="16"/>
        </w:rPr>
        <w:t>145</w:t>
      </w:r>
      <w:r w:rsidRPr="008127F8">
        <w:rPr>
          <w:rFonts w:ascii="Times New Roman" w:hAnsi="Times New Roman"/>
          <w:color w:val="000000" w:themeColor="text1"/>
          <w:sz w:val="16"/>
          <w:szCs w:val="16"/>
        </w:rPr>
        <w:t xml:space="preserve"> тов. Картукова к 25 апреля 1942г. разработать конструкцию приборов ВАП-бм, ВАП-250 и ЗАП-500 из литого картона.</w:t>
      </w:r>
    </w:p>
    <w:p w14:paraId="39176825" w14:textId="77777777" w:rsidR="001A54AD" w:rsidRPr="008127F8" w:rsidRDefault="001A54A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Командующему ВВС тов. Жигареву в пятидневный срок прове</w:t>
      </w:r>
      <w:r w:rsidRPr="008127F8">
        <w:rPr>
          <w:rFonts w:ascii="Times New Roman" w:hAnsi="Times New Roman"/>
          <w:color w:val="000000" w:themeColor="text1"/>
          <w:sz w:val="16"/>
          <w:szCs w:val="16"/>
        </w:rPr>
        <w:softHyphen/>
        <w:t>сти испытания этих приборов и дать заключение о возможности запуска их в серийное производство (19326).</w:t>
      </w:r>
    </w:p>
    <w:p w14:paraId="52032AD8" w14:textId="77777777" w:rsidR="00085898" w:rsidRPr="008127F8" w:rsidRDefault="0008589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F89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1573 О создании производственной базы для ОКБ т. Ильюшина. РГАНИР, Фонд ГКО, д. 28, лл. 174 (11012).</w:t>
      </w:r>
    </w:p>
    <w:p w14:paraId="438A4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8645D" w14:textId="77777777" w:rsidR="0079384D" w:rsidRPr="008127F8" w:rsidRDefault="007938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1573 О создании производственной базы для ОКБ т. Ильюшина</w:t>
      </w:r>
    </w:p>
    <w:p w14:paraId="535F0F16" w14:textId="77777777" w:rsidR="0079384D" w:rsidRPr="008127F8" w:rsidRDefault="007938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создания производственной базы для Опытно-</w:t>
      </w:r>
      <w:proofErr w:type="gramStart"/>
      <w:r w:rsidRPr="008127F8">
        <w:rPr>
          <w:rFonts w:ascii="Times New Roman" w:hAnsi="Times New Roman"/>
          <w:color w:val="000000" w:themeColor="text1"/>
          <w:sz w:val="16"/>
          <w:szCs w:val="16"/>
        </w:rPr>
        <w:t>Кон- структорского</w:t>
      </w:r>
      <w:proofErr w:type="gramEnd"/>
      <w:r w:rsidRPr="008127F8">
        <w:rPr>
          <w:rFonts w:ascii="Times New Roman" w:hAnsi="Times New Roman"/>
          <w:color w:val="000000" w:themeColor="text1"/>
          <w:sz w:val="16"/>
          <w:szCs w:val="16"/>
        </w:rPr>
        <w:t xml:space="preserve"> Бюро т.Ильютина, Государственный Комитет Обо</w:t>
      </w:r>
      <w:r w:rsidRPr="008127F8">
        <w:rPr>
          <w:rFonts w:ascii="Times New Roman" w:hAnsi="Times New Roman"/>
          <w:color w:val="000000" w:themeColor="text1"/>
          <w:sz w:val="16"/>
          <w:szCs w:val="16"/>
        </w:rPr>
        <w:softHyphen/>
        <w:t>роны постановляет:</w:t>
      </w:r>
    </w:p>
    <w:p w14:paraId="00D2ADE4" w14:textId="77777777" w:rsidR="0079384D" w:rsidRPr="008127F8" w:rsidRDefault="0079384D" w:rsidP="001E0A84">
      <w:pPr>
        <w:tabs>
          <w:tab w:val="left" w:pos="10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Определить в качестве базы т.Ильюшину опытный завод № 240 НКАП.</w:t>
      </w:r>
    </w:p>
    <w:p w14:paraId="2D65B0B6" w14:textId="77777777" w:rsidR="0079384D" w:rsidRPr="008127F8" w:rsidRDefault="0079384D" w:rsidP="001E0A84">
      <w:pPr>
        <w:tabs>
          <w:tab w:val="left" w:pos="103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Директором и главным конструктором завода № 240 наз</w:t>
      </w:r>
      <w:r w:rsidRPr="008127F8">
        <w:rPr>
          <w:rFonts w:ascii="Times New Roman" w:hAnsi="Times New Roman"/>
          <w:color w:val="000000" w:themeColor="text1"/>
          <w:sz w:val="16"/>
          <w:szCs w:val="16"/>
        </w:rPr>
        <w:softHyphen/>
        <w:t>начить т.Ильютина Сергея Владимировича.</w:t>
      </w:r>
    </w:p>
    <w:p w14:paraId="31390864" w14:textId="77777777" w:rsidR="0079384D" w:rsidRPr="008127F8" w:rsidRDefault="0079384D" w:rsidP="001E0A84">
      <w:pPr>
        <w:tabs>
          <w:tab w:val="left" w:pos="103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производства ремонта самолетов Ер-2 оставить вре</w:t>
      </w:r>
      <w:r w:rsidRPr="008127F8">
        <w:rPr>
          <w:rFonts w:ascii="Times New Roman" w:hAnsi="Times New Roman"/>
          <w:color w:val="000000" w:themeColor="text1"/>
          <w:sz w:val="16"/>
          <w:szCs w:val="16"/>
        </w:rPr>
        <w:softHyphen/>
        <w:t>менно в распоряжении главного конструктора т.Ермолаева часть площади филиала завода № 240, размещенного на Центральном аэродроме, выделив т.Ермолаеву необходимый состав конструк</w:t>
      </w:r>
      <w:r w:rsidRPr="008127F8">
        <w:rPr>
          <w:rFonts w:ascii="Times New Roman" w:hAnsi="Times New Roman"/>
          <w:color w:val="000000" w:themeColor="text1"/>
          <w:sz w:val="16"/>
          <w:szCs w:val="16"/>
        </w:rPr>
        <w:softHyphen/>
        <w:t>торов и рабочих.</w:t>
      </w:r>
    </w:p>
    <w:p w14:paraId="7403B43C" w14:textId="77777777" w:rsidR="0079384D" w:rsidRPr="008127F8" w:rsidRDefault="0079384D" w:rsidP="001E0A84">
      <w:pPr>
        <w:tabs>
          <w:tab w:val="left" w:pos="10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Разрешить вернуть в Москву из Куйбышева оборудование и весь состав работников ОКБ т.Ильютина и из г.Казани обору</w:t>
      </w:r>
      <w:r w:rsidRPr="008127F8">
        <w:rPr>
          <w:rFonts w:ascii="Times New Roman" w:hAnsi="Times New Roman"/>
          <w:color w:val="000000" w:themeColor="text1"/>
          <w:sz w:val="16"/>
          <w:szCs w:val="16"/>
        </w:rPr>
        <w:softHyphen/>
        <w:t>дование завода № 240, эвакуированное ранее из Москвы.</w:t>
      </w:r>
    </w:p>
    <w:p w14:paraId="4D266A6E" w14:textId="77777777" w:rsidR="0079384D" w:rsidRPr="008127F8" w:rsidRDefault="0079384D" w:rsidP="001E0A84">
      <w:pPr>
        <w:tabs>
          <w:tab w:val="left" w:pos="10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НКПС, т.Хрулева, предоставить для перевозки в Москву железнодорожный транспорт в количестве 20 вагонов.</w:t>
      </w:r>
    </w:p>
    <w:p w14:paraId="55CDCD29" w14:textId="77777777" w:rsidR="0079384D" w:rsidRPr="008127F8" w:rsidRDefault="0079384D" w:rsidP="001E0A84">
      <w:pPr>
        <w:tabs>
          <w:tab w:val="left" w:pos="105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6. Обязать Госплан Союза ССР (т.Сабурова) выделить це</w:t>
      </w:r>
      <w:r w:rsidRPr="008127F8">
        <w:rPr>
          <w:rFonts w:ascii="Times New Roman" w:hAnsi="Times New Roman"/>
          <w:color w:val="000000" w:themeColor="text1"/>
          <w:sz w:val="16"/>
          <w:szCs w:val="16"/>
        </w:rPr>
        <w:softHyphen/>
        <w:t>левым назначением ОКБ т.Ильюшина сверх фондов НКАП с постав</w:t>
      </w:r>
      <w:r w:rsidRPr="008127F8">
        <w:rPr>
          <w:rFonts w:ascii="Times New Roman" w:hAnsi="Times New Roman"/>
          <w:color w:val="000000" w:themeColor="text1"/>
          <w:sz w:val="16"/>
          <w:szCs w:val="16"/>
        </w:rPr>
        <w:softHyphen/>
        <w:t>кой в апреле месяце четыре автомашины ГАЗ-АА.</w:t>
      </w:r>
    </w:p>
    <w:p w14:paraId="53447782" w14:textId="77777777" w:rsidR="0079384D" w:rsidRPr="008127F8" w:rsidRDefault="007938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Наркомсредмашу (т.Акопову) отгрузить указанные машины немедленно.</w:t>
      </w:r>
    </w:p>
    <w:p w14:paraId="04A9995C" w14:textId="77777777" w:rsidR="0079384D" w:rsidRPr="008127F8" w:rsidRDefault="0079384D" w:rsidP="001E0A84">
      <w:pPr>
        <w:tabs>
          <w:tab w:val="left" w:pos="10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Разрешить НКАП организовать при заводе № 240 Отдел рабочего снабжения, для совместного обслуживания заводов №№ 115 и 240.</w:t>
      </w:r>
    </w:p>
    <w:p w14:paraId="796D1DCF" w14:textId="77777777" w:rsidR="0079384D" w:rsidRPr="008127F8" w:rsidRDefault="0079384D" w:rsidP="001E0A84">
      <w:pPr>
        <w:tabs>
          <w:tab w:val="left" w:pos="10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w:t>
      </w:r>
    </w:p>
    <w:p w14:paraId="6A1D81A9" w14:textId="77777777" w:rsidR="0079384D" w:rsidRPr="008127F8" w:rsidRDefault="0079384D" w:rsidP="001E0A84">
      <w:pPr>
        <w:tabs>
          <w:tab w:val="left" w:pos="10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Народного Комиссара Совхозов СССР т.Лобанова передать ОРС"у при заводе № 240 свиноводческий совхоз Ачкасово, Воскресенского района Московской области;</w:t>
      </w:r>
    </w:p>
    <w:p w14:paraId="09042D27" w14:textId="77777777" w:rsidR="0079384D" w:rsidRPr="008127F8" w:rsidRDefault="0079384D" w:rsidP="001E0A84">
      <w:pPr>
        <w:tabs>
          <w:tab w:val="left" w:pos="10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Московский областной трест овощесовхозов передать ОРС"у завода № 240 Московский плодоовощной совхоз "Комсомо</w:t>
      </w:r>
      <w:r w:rsidRPr="008127F8">
        <w:rPr>
          <w:rFonts w:ascii="Times New Roman" w:hAnsi="Times New Roman"/>
          <w:color w:val="000000" w:themeColor="text1"/>
          <w:sz w:val="16"/>
          <w:szCs w:val="16"/>
        </w:rPr>
        <w:softHyphen/>
        <w:t>лец" (19327).</w:t>
      </w:r>
    </w:p>
    <w:p w14:paraId="0044F535" w14:textId="77777777" w:rsidR="0079384D" w:rsidRPr="008127F8" w:rsidRDefault="0079384D" w:rsidP="001E0A84">
      <w:pPr>
        <w:spacing w:after="0" w:line="240" w:lineRule="auto"/>
        <w:jc w:val="both"/>
        <w:rPr>
          <w:rFonts w:ascii="Times New Roman" w:hAnsi="Times New Roman"/>
          <w:color w:val="000000" w:themeColor="text1"/>
          <w:sz w:val="16"/>
          <w:szCs w:val="16"/>
        </w:rPr>
      </w:pPr>
    </w:p>
    <w:p w14:paraId="707FA308" w14:textId="77777777" w:rsidR="0079384D" w:rsidRPr="008127F8" w:rsidRDefault="0079384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E4D43" w14:textId="77777777" w:rsidR="003D763F" w:rsidRPr="008127F8" w:rsidRDefault="003D763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ГОКО N 1573 о создании производственной базы для ОКБ С.В.И. (2659,178).</w:t>
      </w:r>
    </w:p>
    <w:p w14:paraId="3306E606" w14:textId="77777777" w:rsidR="003D763F" w:rsidRPr="008127F8" w:rsidRDefault="003D763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33033" w14:textId="6B0FE9F6" w:rsidR="003D763F" w:rsidRPr="008127F8" w:rsidRDefault="003D763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Постановлением ГКО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1573сс ОКБ Ильюшина передавался московский завод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240. Директором и главным конструктором завода назначался С.</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Ильюшин. Одновременно из Куйбышева в Москву «возвращался весь состав работников ОКБ т. Ильюшина», а из Казани вывозилось все оборудование завода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240</w:t>
      </w:r>
      <w:proofErr w:type="gramEnd"/>
      <w:r w:rsidRPr="008127F8">
        <w:rPr>
          <w:rFonts w:ascii="Times New Roman" w:hAnsi="Times New Roman"/>
          <w:color w:val="000000" w:themeColor="text1"/>
          <w:sz w:val="16"/>
          <w:szCs w:val="16"/>
        </w:rPr>
        <w:t xml:space="preserve">, «эвакуированное ранее из Москвы». В официальной переписке ОКБ Ильюшина стало именоваться по номеру </w:t>
      </w:r>
      <w:proofErr w:type="gramStart"/>
      <w:r w:rsidRPr="008127F8">
        <w:rPr>
          <w:rFonts w:ascii="Times New Roman" w:hAnsi="Times New Roman"/>
          <w:color w:val="000000" w:themeColor="text1"/>
          <w:sz w:val="16"/>
          <w:szCs w:val="16"/>
        </w:rPr>
        <w:t>завода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ОКБ-240 (17490).</w:t>
      </w:r>
    </w:p>
    <w:p w14:paraId="374CDAF6"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p>
    <w:p w14:paraId="1A78DF5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апреля 1942 г. Отчет по испытаниям винта Винт АВ-5Л-158. </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373"/>
        <w:gridCol w:w="1684"/>
        <w:gridCol w:w="1771"/>
        <w:gridCol w:w="4047"/>
      </w:tblGrid>
      <w:tr w:rsidR="008127F8" w:rsidRPr="008127F8" w14:paraId="0E2C2EEC" w14:textId="77777777" w:rsidTr="00F37FC7">
        <w:trPr>
          <w:tblCellSpacing w:w="7" w:type="dxa"/>
          <w:jc w:val="center"/>
        </w:trPr>
        <w:tc>
          <w:tcPr>
            <w:tcW w:w="0" w:type="auto"/>
            <w:gridSpan w:val="4"/>
            <w:vAlign w:val="center"/>
            <w:hideMark/>
          </w:tcPr>
          <w:p w14:paraId="2A1BF900" w14:textId="63B00CF1"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Винт АВ-5Л-158. </w:t>
            </w:r>
            <w:r w:rsidR="008127F8">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Производство завода № 35. </w:t>
            </w:r>
            <w:r w:rsidR="008127F8">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Конструктор Жданов.</w:t>
            </w:r>
          </w:p>
        </w:tc>
      </w:tr>
      <w:tr w:rsidR="008127F8" w:rsidRPr="008127F8" w14:paraId="0760A972" w14:textId="77777777" w:rsidTr="00F37FC7">
        <w:trPr>
          <w:tblCellSpacing w:w="7" w:type="dxa"/>
          <w:jc w:val="center"/>
        </w:trPr>
        <w:tc>
          <w:tcPr>
            <w:tcW w:w="0" w:type="auto"/>
            <w:vAlign w:val="center"/>
            <w:hideMark/>
          </w:tcPr>
          <w:p w14:paraId="5010D6DF"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винта</w:t>
            </w:r>
          </w:p>
        </w:tc>
        <w:tc>
          <w:tcPr>
            <w:tcW w:w="0" w:type="auto"/>
            <w:vAlign w:val="center"/>
            <w:hideMark/>
          </w:tcPr>
          <w:p w14:paraId="310FF94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гидравлическ. автомат</w:t>
            </w:r>
          </w:p>
        </w:tc>
        <w:tc>
          <w:tcPr>
            <w:tcW w:w="0" w:type="auto"/>
            <w:vMerge w:val="restart"/>
            <w:vAlign w:val="center"/>
            <w:hideMark/>
          </w:tcPr>
          <w:p w14:paraId="4CDA476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Предназначен для</w:t>
            </w:r>
          </w:p>
          <w:p w14:paraId="6CF2CA0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установки на самолетах</w:t>
            </w:r>
          </w:p>
        </w:tc>
        <w:tc>
          <w:tcPr>
            <w:tcW w:w="0" w:type="auto"/>
            <w:vMerge w:val="restart"/>
            <w:vAlign w:val="center"/>
            <w:hideMark/>
          </w:tcPr>
          <w:p w14:paraId="393D7FE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с АМ-38 и АМ-38Ф</w:t>
            </w:r>
          </w:p>
        </w:tc>
      </w:tr>
      <w:tr w:rsidR="008127F8" w:rsidRPr="008127F8" w14:paraId="0398EC46" w14:textId="77777777" w:rsidTr="00F37FC7">
        <w:trPr>
          <w:tblCellSpacing w:w="7" w:type="dxa"/>
          <w:jc w:val="center"/>
        </w:trPr>
        <w:tc>
          <w:tcPr>
            <w:tcW w:w="0" w:type="auto"/>
            <w:vAlign w:val="center"/>
            <w:hideMark/>
          </w:tcPr>
          <w:p w14:paraId="22513CCD"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действия</w:t>
            </w:r>
          </w:p>
        </w:tc>
        <w:tc>
          <w:tcPr>
            <w:tcW w:w="0" w:type="auto"/>
            <w:vAlign w:val="center"/>
            <w:hideMark/>
          </w:tcPr>
          <w:p w14:paraId="21965BC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обратная</w:t>
            </w:r>
          </w:p>
        </w:tc>
        <w:tc>
          <w:tcPr>
            <w:tcW w:w="0" w:type="auto"/>
            <w:vMerge/>
            <w:vAlign w:val="center"/>
            <w:hideMark/>
          </w:tcPr>
          <w:p w14:paraId="204B3922"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c>
          <w:tcPr>
            <w:tcW w:w="0" w:type="auto"/>
            <w:vMerge/>
            <w:vAlign w:val="center"/>
            <w:hideMark/>
          </w:tcPr>
          <w:p w14:paraId="00DB9968"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1A9F3035" w14:textId="77777777" w:rsidTr="00F37FC7">
        <w:trPr>
          <w:tblCellSpacing w:w="7" w:type="dxa"/>
          <w:jc w:val="center"/>
        </w:trPr>
        <w:tc>
          <w:tcPr>
            <w:tcW w:w="0" w:type="auto"/>
            <w:vAlign w:val="center"/>
            <w:hideMark/>
          </w:tcPr>
          <w:p w14:paraId="1CACE37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лопастей</w:t>
            </w:r>
          </w:p>
        </w:tc>
        <w:tc>
          <w:tcPr>
            <w:tcW w:w="0" w:type="auto"/>
            <w:vAlign w:val="center"/>
            <w:hideMark/>
          </w:tcPr>
          <w:p w14:paraId="2F9F2DBF"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0" w:type="auto"/>
            <w:gridSpan w:val="2"/>
            <w:vMerge w:val="restart"/>
            <w:vAlign w:val="center"/>
            <w:hideMark/>
          </w:tcPr>
          <w:p w14:paraId="08AAC6F4"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632F6758" w14:textId="77777777" w:rsidTr="00F37FC7">
        <w:trPr>
          <w:tblCellSpacing w:w="7" w:type="dxa"/>
          <w:jc w:val="center"/>
        </w:trPr>
        <w:tc>
          <w:tcPr>
            <w:tcW w:w="0" w:type="auto"/>
            <w:vAlign w:val="center"/>
            <w:hideMark/>
          </w:tcPr>
          <w:p w14:paraId="68092DDE"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 лопастей</w:t>
            </w:r>
          </w:p>
        </w:tc>
        <w:tc>
          <w:tcPr>
            <w:tcW w:w="0" w:type="auto"/>
            <w:vAlign w:val="center"/>
            <w:hideMark/>
          </w:tcPr>
          <w:p w14:paraId="4331803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дюраль</w:t>
            </w:r>
          </w:p>
        </w:tc>
        <w:tc>
          <w:tcPr>
            <w:tcW w:w="0" w:type="auto"/>
            <w:gridSpan w:val="2"/>
            <w:vMerge/>
            <w:vAlign w:val="center"/>
            <w:hideMark/>
          </w:tcPr>
          <w:p w14:paraId="5D10A8FA"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7B6C93FE" w14:textId="77777777" w:rsidTr="00F37FC7">
        <w:trPr>
          <w:tblCellSpacing w:w="7" w:type="dxa"/>
          <w:jc w:val="center"/>
        </w:trPr>
        <w:tc>
          <w:tcPr>
            <w:tcW w:w="0" w:type="auto"/>
            <w:vAlign w:val="center"/>
            <w:hideMark/>
          </w:tcPr>
          <w:p w14:paraId="2C9C83B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винта (м)</w:t>
            </w:r>
          </w:p>
        </w:tc>
        <w:tc>
          <w:tcPr>
            <w:tcW w:w="0" w:type="auto"/>
            <w:vAlign w:val="center"/>
            <w:hideMark/>
          </w:tcPr>
          <w:p w14:paraId="0B76012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0" w:type="auto"/>
            <w:gridSpan w:val="2"/>
            <w:vMerge/>
            <w:vAlign w:val="center"/>
            <w:hideMark/>
          </w:tcPr>
          <w:p w14:paraId="491666A5"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0F0DE2DE" w14:textId="77777777" w:rsidTr="00F37FC7">
        <w:trPr>
          <w:tblCellSpacing w:w="7" w:type="dxa"/>
          <w:jc w:val="center"/>
        </w:trPr>
        <w:tc>
          <w:tcPr>
            <w:tcW w:w="0" w:type="auto"/>
            <w:vAlign w:val="center"/>
            <w:hideMark/>
          </w:tcPr>
          <w:p w14:paraId="0F765F2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ширина лопасти (мм)</w:t>
            </w:r>
          </w:p>
        </w:tc>
        <w:tc>
          <w:tcPr>
            <w:tcW w:w="0" w:type="auto"/>
            <w:vAlign w:val="center"/>
            <w:hideMark/>
          </w:tcPr>
          <w:p w14:paraId="4B2C1F2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0" w:type="auto"/>
            <w:gridSpan w:val="2"/>
            <w:vMerge/>
            <w:vAlign w:val="center"/>
            <w:hideMark/>
          </w:tcPr>
          <w:p w14:paraId="76B4BEF0"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2315E8EC" w14:textId="77777777" w:rsidTr="00F37FC7">
        <w:trPr>
          <w:tblCellSpacing w:w="7" w:type="dxa"/>
          <w:jc w:val="center"/>
        </w:trPr>
        <w:tc>
          <w:tcPr>
            <w:tcW w:w="0" w:type="auto"/>
            <w:vAlign w:val="center"/>
            <w:hideMark/>
          </w:tcPr>
          <w:p w14:paraId="22C524D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0023C6F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0" w:type="auto"/>
            <w:gridSpan w:val="2"/>
            <w:vMerge/>
            <w:vAlign w:val="center"/>
            <w:hideMark/>
          </w:tcPr>
          <w:p w14:paraId="7794D0A9"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7B3D8FCF" w14:textId="77777777" w:rsidTr="00F37FC7">
        <w:trPr>
          <w:tblCellSpacing w:w="7" w:type="dxa"/>
          <w:jc w:val="center"/>
        </w:trPr>
        <w:tc>
          <w:tcPr>
            <w:tcW w:w="0" w:type="auto"/>
            <w:vAlign w:val="center"/>
            <w:hideMark/>
          </w:tcPr>
          <w:p w14:paraId="1A955B76"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Профиль сечения лопасти</w:t>
            </w:r>
          </w:p>
        </w:tc>
        <w:tc>
          <w:tcPr>
            <w:tcW w:w="0" w:type="auto"/>
            <w:vAlign w:val="center"/>
            <w:hideMark/>
          </w:tcPr>
          <w:p w14:paraId="6EE27A6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w:t>
            </w:r>
          </w:p>
        </w:tc>
        <w:tc>
          <w:tcPr>
            <w:tcW w:w="0" w:type="auto"/>
            <w:gridSpan w:val="2"/>
            <w:vMerge/>
            <w:vAlign w:val="center"/>
            <w:hideMark/>
          </w:tcPr>
          <w:p w14:paraId="017EDEFF"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088AF710" w14:textId="77777777" w:rsidTr="00F37FC7">
        <w:trPr>
          <w:tblCellSpacing w:w="7" w:type="dxa"/>
          <w:jc w:val="center"/>
        </w:trPr>
        <w:tc>
          <w:tcPr>
            <w:tcW w:w="0" w:type="auto"/>
            <w:vAlign w:val="center"/>
            <w:hideMark/>
          </w:tcPr>
          <w:p w14:paraId="03C2FABB"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Диапазон поворота лопастей (град.)</w:t>
            </w:r>
          </w:p>
        </w:tc>
        <w:tc>
          <w:tcPr>
            <w:tcW w:w="0" w:type="auto"/>
            <w:vAlign w:val="center"/>
            <w:hideMark/>
          </w:tcPr>
          <w:p w14:paraId="6A19809E"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0" w:type="auto"/>
            <w:gridSpan w:val="2"/>
            <w:vMerge/>
            <w:vAlign w:val="center"/>
            <w:hideMark/>
          </w:tcPr>
          <w:p w14:paraId="6F681F70"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435D969C" w14:textId="77777777" w:rsidTr="00F37FC7">
        <w:trPr>
          <w:tblCellSpacing w:w="7" w:type="dxa"/>
          <w:jc w:val="center"/>
        </w:trPr>
        <w:tc>
          <w:tcPr>
            <w:tcW w:w="0" w:type="auto"/>
            <w:vAlign w:val="center"/>
            <w:hideMark/>
          </w:tcPr>
          <w:p w14:paraId="5634DF8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Минимальный установочный угол</w:t>
            </w:r>
          </w:p>
          <w:p w14:paraId="4570192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лопастей (град.)</w:t>
            </w:r>
          </w:p>
        </w:tc>
        <w:tc>
          <w:tcPr>
            <w:tcW w:w="0" w:type="auto"/>
            <w:vAlign w:val="center"/>
            <w:hideMark/>
          </w:tcPr>
          <w:p w14:paraId="7881E892"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0" w:type="auto"/>
            <w:gridSpan w:val="2"/>
            <w:vMerge/>
            <w:vAlign w:val="center"/>
            <w:hideMark/>
          </w:tcPr>
          <w:p w14:paraId="2AC42F76"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4FCFEB3F" w14:textId="77777777" w:rsidTr="00F37FC7">
        <w:trPr>
          <w:tblCellSpacing w:w="7" w:type="dxa"/>
          <w:jc w:val="center"/>
        </w:trPr>
        <w:tc>
          <w:tcPr>
            <w:tcW w:w="0" w:type="auto"/>
            <w:vAlign w:val="center"/>
            <w:hideMark/>
          </w:tcPr>
          <w:p w14:paraId="7867C93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лопасти (кг)</w:t>
            </w:r>
          </w:p>
        </w:tc>
        <w:tc>
          <w:tcPr>
            <w:tcW w:w="0" w:type="auto"/>
            <w:vAlign w:val="center"/>
            <w:hideMark/>
          </w:tcPr>
          <w:p w14:paraId="409F4E6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28,5</w:t>
            </w:r>
          </w:p>
        </w:tc>
        <w:tc>
          <w:tcPr>
            <w:tcW w:w="0" w:type="auto"/>
            <w:gridSpan w:val="2"/>
            <w:vMerge/>
            <w:vAlign w:val="center"/>
            <w:hideMark/>
          </w:tcPr>
          <w:p w14:paraId="3A90606C"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23F661A7" w14:textId="77777777" w:rsidTr="00F37FC7">
        <w:trPr>
          <w:tblCellSpacing w:w="7" w:type="dxa"/>
          <w:jc w:val="center"/>
        </w:trPr>
        <w:tc>
          <w:tcPr>
            <w:tcW w:w="0" w:type="auto"/>
            <w:vAlign w:val="center"/>
            <w:hideMark/>
          </w:tcPr>
          <w:p w14:paraId="7680ABD2"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винта (кг)</w:t>
            </w:r>
          </w:p>
        </w:tc>
        <w:tc>
          <w:tcPr>
            <w:tcW w:w="0" w:type="auto"/>
            <w:vAlign w:val="center"/>
            <w:hideMark/>
          </w:tcPr>
          <w:p w14:paraId="414C929F"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w:t>
            </w:r>
          </w:p>
        </w:tc>
        <w:tc>
          <w:tcPr>
            <w:tcW w:w="0" w:type="auto"/>
            <w:gridSpan w:val="2"/>
            <w:vMerge/>
            <w:vAlign w:val="center"/>
            <w:hideMark/>
          </w:tcPr>
          <w:p w14:paraId="31A1B701"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3461EF53" w14:textId="77777777" w:rsidTr="00F37FC7">
        <w:trPr>
          <w:tblCellSpacing w:w="7" w:type="dxa"/>
          <w:jc w:val="center"/>
        </w:trPr>
        <w:tc>
          <w:tcPr>
            <w:tcW w:w="0" w:type="auto"/>
            <w:vAlign w:val="center"/>
            <w:hideMark/>
          </w:tcPr>
          <w:p w14:paraId="3E0D17AA"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17519FFD"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2050</w:t>
            </w:r>
          </w:p>
        </w:tc>
        <w:tc>
          <w:tcPr>
            <w:tcW w:w="0" w:type="auto"/>
            <w:gridSpan w:val="2"/>
            <w:vMerge/>
            <w:vAlign w:val="center"/>
            <w:hideMark/>
          </w:tcPr>
          <w:p w14:paraId="31736E79"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31580725" w14:textId="77777777" w:rsidTr="00F37FC7">
        <w:trPr>
          <w:tblCellSpacing w:w="7" w:type="dxa"/>
          <w:jc w:val="center"/>
        </w:trPr>
        <w:tc>
          <w:tcPr>
            <w:tcW w:w="0" w:type="auto"/>
            <w:vAlign w:val="center"/>
            <w:hideMark/>
          </w:tcPr>
          <w:p w14:paraId="2C27150D"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Редукция мотора</w:t>
            </w:r>
          </w:p>
        </w:tc>
        <w:tc>
          <w:tcPr>
            <w:tcW w:w="0" w:type="auto"/>
            <w:vAlign w:val="center"/>
            <w:hideMark/>
          </w:tcPr>
          <w:p w14:paraId="725F5BA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0,732</w:t>
            </w:r>
          </w:p>
        </w:tc>
        <w:tc>
          <w:tcPr>
            <w:tcW w:w="0" w:type="auto"/>
            <w:gridSpan w:val="2"/>
            <w:vMerge/>
            <w:vAlign w:val="center"/>
            <w:hideMark/>
          </w:tcPr>
          <w:p w14:paraId="4F4BFDE5"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71D01B49" w14:textId="77777777" w:rsidTr="00F37FC7">
        <w:trPr>
          <w:tblCellSpacing w:w="7" w:type="dxa"/>
          <w:jc w:val="center"/>
        </w:trPr>
        <w:tc>
          <w:tcPr>
            <w:tcW w:w="0" w:type="auto"/>
            <w:vAlign w:val="center"/>
            <w:hideMark/>
          </w:tcPr>
          <w:p w14:paraId="1916DED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Направление вращения винта</w:t>
            </w:r>
          </w:p>
        </w:tc>
        <w:tc>
          <w:tcPr>
            <w:tcW w:w="0" w:type="auto"/>
            <w:vAlign w:val="center"/>
            <w:hideMark/>
          </w:tcPr>
          <w:p w14:paraId="1D6F09F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левое</w:t>
            </w:r>
          </w:p>
        </w:tc>
        <w:tc>
          <w:tcPr>
            <w:tcW w:w="0" w:type="auto"/>
            <w:vMerge w:val="restart"/>
            <w:vAlign w:val="center"/>
            <w:hideMark/>
          </w:tcPr>
          <w:p w14:paraId="47DDFCE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w:t>
            </w:r>
          </w:p>
          <w:p w14:paraId="2A3B2DC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винта</w:t>
            </w:r>
          </w:p>
        </w:tc>
        <w:tc>
          <w:tcPr>
            <w:tcW w:w="0" w:type="auto"/>
            <w:vMerge w:val="restart"/>
            <w:vAlign w:val="center"/>
            <w:hideMark/>
          </w:tcPr>
          <w:p w14:paraId="3B576C8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 испытания прошел удовлетворительно в 1942 г.</w:t>
            </w:r>
          </w:p>
          <w:p w14:paraId="23EA6276"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эксплоатации* и в серийном производстве.</w:t>
            </w:r>
          </w:p>
        </w:tc>
      </w:tr>
      <w:tr w:rsidR="008127F8" w:rsidRPr="008127F8" w14:paraId="244F731D" w14:textId="77777777" w:rsidTr="00F37FC7">
        <w:trPr>
          <w:tblCellSpacing w:w="7" w:type="dxa"/>
          <w:jc w:val="center"/>
        </w:trPr>
        <w:tc>
          <w:tcPr>
            <w:tcW w:w="0" w:type="auto"/>
            <w:vAlign w:val="center"/>
            <w:hideMark/>
          </w:tcPr>
          <w:p w14:paraId="57B3B83A"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регулятора оборотов</w:t>
            </w:r>
          </w:p>
        </w:tc>
        <w:tc>
          <w:tcPr>
            <w:tcW w:w="0" w:type="auto"/>
            <w:vAlign w:val="center"/>
            <w:hideMark/>
          </w:tcPr>
          <w:p w14:paraId="24AF7AE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Р-7</w:t>
            </w:r>
          </w:p>
        </w:tc>
        <w:tc>
          <w:tcPr>
            <w:tcW w:w="0" w:type="auto"/>
            <w:vMerge/>
            <w:vAlign w:val="center"/>
            <w:hideMark/>
          </w:tcPr>
          <w:p w14:paraId="7B0A2CEE"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c>
          <w:tcPr>
            <w:tcW w:w="0" w:type="auto"/>
            <w:vMerge/>
            <w:vAlign w:val="center"/>
            <w:hideMark/>
          </w:tcPr>
          <w:p w14:paraId="506A97D4"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5258D2E9" w14:textId="77777777" w:rsidTr="00F37FC7">
        <w:trPr>
          <w:tblCellSpacing w:w="7" w:type="dxa"/>
          <w:jc w:val="center"/>
        </w:trPr>
        <w:tc>
          <w:tcPr>
            <w:tcW w:w="0" w:type="auto"/>
            <w:vAlign w:val="center"/>
            <w:hideMark/>
          </w:tcPr>
          <w:p w14:paraId="16FFE3DF"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Носок вала редуктора мотора</w:t>
            </w:r>
          </w:p>
        </w:tc>
        <w:tc>
          <w:tcPr>
            <w:tcW w:w="0" w:type="auto"/>
            <w:vAlign w:val="center"/>
            <w:hideMark/>
          </w:tcPr>
          <w:p w14:paraId="71D5AEA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w:t>
            </w:r>
          </w:p>
        </w:tc>
        <w:tc>
          <w:tcPr>
            <w:tcW w:w="0" w:type="auto"/>
            <w:vMerge/>
            <w:vAlign w:val="center"/>
            <w:hideMark/>
          </w:tcPr>
          <w:p w14:paraId="2D9A82A1"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c>
          <w:tcPr>
            <w:tcW w:w="0" w:type="auto"/>
            <w:vMerge/>
            <w:vAlign w:val="center"/>
            <w:hideMark/>
          </w:tcPr>
          <w:p w14:paraId="1B92306F"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r>
      <w:tr w:rsidR="008127F8" w:rsidRPr="008127F8" w14:paraId="72767FB5" w14:textId="77777777" w:rsidTr="00F37FC7">
        <w:trPr>
          <w:tblCellSpacing w:w="7" w:type="dxa"/>
          <w:jc w:val="center"/>
        </w:trPr>
        <w:tc>
          <w:tcPr>
            <w:tcW w:w="0" w:type="auto"/>
            <w:vAlign w:val="center"/>
            <w:hideMark/>
          </w:tcPr>
          <w:p w14:paraId="34A02483"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c>
          <w:tcPr>
            <w:tcW w:w="0" w:type="auto"/>
            <w:vAlign w:val="center"/>
            <w:hideMark/>
          </w:tcPr>
          <w:p w14:paraId="7EA596B2" w14:textId="77777777" w:rsidR="00882234" w:rsidRPr="008127F8" w:rsidRDefault="00882234" w:rsidP="001E0A84">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3193141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 сведений: Отчет по испытаниям винта от 9.4.42 г.</w:t>
            </w:r>
          </w:p>
        </w:tc>
      </w:tr>
    </w:tbl>
    <w:p w14:paraId="470E3C4A"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по принятой на то время орфографии (здесь и далее по тексту) (12227). </w:t>
      </w:r>
    </w:p>
    <w:p w14:paraId="082BAE57"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0ECBEF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года начальник Главвоенсанупра корврач Смирнов и военком Главсанупра бригадный комиссар Редькин писали письмо Маленкову.</w:t>
      </w:r>
    </w:p>
    <w:p w14:paraId="40B7E4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Резолюция Маленкова Шахурину и Дементьеву</w:t>
      </w:r>
      <w:proofErr w:type="gramStart"/>
      <w:r w:rsidRPr="008127F8">
        <w:rPr>
          <w:rFonts w:ascii="Times New Roman" w:hAnsi="Times New Roman"/>
          <w:color w:val="000000" w:themeColor="text1"/>
          <w:sz w:val="16"/>
          <w:szCs w:val="16"/>
        </w:rPr>
        <w:t>: Прошу</w:t>
      </w:r>
      <w:proofErr w:type="gramEnd"/>
      <w:r w:rsidRPr="008127F8">
        <w:rPr>
          <w:rFonts w:ascii="Times New Roman" w:hAnsi="Times New Roman"/>
          <w:color w:val="000000" w:themeColor="text1"/>
          <w:sz w:val="16"/>
          <w:szCs w:val="16"/>
        </w:rPr>
        <w:t xml:space="preserve"> дать Ваши предложения.</w:t>
      </w:r>
    </w:p>
    <w:p w14:paraId="69B74C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Справка-доклад.</w:t>
      </w:r>
    </w:p>
    <w:p w14:paraId="37F649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Санитарная авиация ГВФ и ВВС к началу войны имела 350 самолетов С-1, С-2, С-3.</w:t>
      </w:r>
    </w:p>
    <w:p w14:paraId="7E7D5A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Пополнение потерь санитарных самолетов шло за счет внутренних ресурсов ГВФ. С ноября пополнение убыли парка самолетов совершенно прекращено, а промышленность за весь период войны санитарных самолетов не производит.</w:t>
      </w:r>
    </w:p>
    <w:p w14:paraId="29FBA8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Положено по всем фронтам сан. самолетов легких - 600 и тяжелых 90 шт.</w:t>
      </w:r>
    </w:p>
    <w:p w14:paraId="36820E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имеется 180 легких сан. самолетов, из них исправных 140 и ни одного тяжелого сан самолета.</w:t>
      </w:r>
    </w:p>
    <w:p w14:paraId="367013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Сан. авиация работает по обеспечению экстренной эвакуации тяжело раненых и больных, главным образом, из числа командно-начальствующего состава.</w:t>
      </w:r>
    </w:p>
    <w:p w14:paraId="04A761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Вывоз раненых из партизанских отрядов и частей, находящихся </w:t>
      </w:r>
      <w:proofErr w:type="gramStart"/>
      <w:r w:rsidRPr="008127F8">
        <w:rPr>
          <w:rFonts w:ascii="Times New Roman" w:hAnsi="Times New Roman"/>
          <w:color w:val="000000" w:themeColor="text1"/>
          <w:sz w:val="16"/>
          <w:szCs w:val="16"/>
        </w:rPr>
        <w:t>в окружении</w:t>
      </w:r>
      <w:proofErr w:type="gramEnd"/>
      <w:r w:rsidRPr="008127F8">
        <w:rPr>
          <w:rFonts w:ascii="Times New Roman" w:hAnsi="Times New Roman"/>
          <w:color w:val="000000" w:themeColor="text1"/>
          <w:sz w:val="16"/>
          <w:szCs w:val="16"/>
        </w:rPr>
        <w:t xml:space="preserve"> выполняется только сан. авиацией. Вся система обеспечения фронтов срочным медимуществом и кровью построена на использовании санитарных самолетов.</w:t>
      </w:r>
    </w:p>
    <w:p w14:paraId="2458DC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отсутствии пополнений парка самолетов сан. авиация скоро потеряет всякое значение.</w:t>
      </w:r>
    </w:p>
    <w:p w14:paraId="00191F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постановления ГКО о производстве санитарных самолетов в 1942 г. завизирован заместителем командующего ВВС генерал-лейтенантом авиации Петровым и начальником Гл. управления ГВФ генерал-майором авиации Молоковым.</w:t>
      </w:r>
    </w:p>
    <w:p w14:paraId="5EDBEC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Копия проекта постановления на 1 листе, только адресату (1631,113).</w:t>
      </w:r>
    </w:p>
    <w:p w14:paraId="35FA2B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436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года приказом НКАП № 291 директором был назначен Бугров А.П. (9460).</w:t>
      </w:r>
    </w:p>
    <w:p w14:paraId="0EC70C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B4D1C"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w:t>
      </w:r>
    </w:p>
    <w:p w14:paraId="175A046A"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Письмо секретаря Молотовского обкома ВКП(б) Н. И. Гусарова секретарю Центрального Комитета ЦК ВКП(б) Маленкову об оказании содействия в испытании и принятии на вооружение нового образца 37-мм пушки, разработанной и изготовленной ОКБЛ-46</w:t>
      </w:r>
    </w:p>
    <w:p w14:paraId="736816CB"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w:t>
      </w:r>
    </w:p>
    <w:p w14:paraId="7B3F641A"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Молотов</w:t>
      </w:r>
    </w:p>
    <w:p w14:paraId="49F02B1C"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Обком ВКП(б) направляет к Вам конструкторов ОКБЛ-46 тов. Чарнко Е. В. и Комарицкого с новым типом образца вооружения, разработанным и изготовленным ОКБЛ-46.</w:t>
      </w:r>
    </w:p>
    <w:p w14:paraId="1DB2C025"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Данный образец мощной 37 мм пушки, имеющий начальную скорость 860 метров в секунду, при весе снаряда 0,732 килограмма, благодаря примененному новому принципу поглащения энергии отката имеет настолько незначительное усилие на цапфы, что дает возможность вести стрельбу из пушки непосредственно с плечевого упора, причем ощущение отдачи получается меньше, чем при стрельбе из винтовки.</w:t>
      </w:r>
    </w:p>
    <w:p w14:paraId="6D81FF4A"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незначительного усилия на цапфы, потребность в лафете для данной пушки отпала, система устанавливается на мотоциклетные колеса с небольшими сошниками.</w:t>
      </w:r>
    </w:p>
    <w:p w14:paraId="2F2BAE66"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Данная система имеет очень малую высоту линии огня - 280 мм, стрельба из нее ведется лежа, благодаря чему блестяще разрешен вопрос маскировки системы и расчета.</w:t>
      </w:r>
    </w:p>
    <w:p w14:paraId="39CE43EA"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системы всего 188 кгр., что дает возможность транспортировать пушку на марше на мотоцикле или же по 4 штуки (батарею) вместе с их расчетами на 1,5-тонной автомашине.</w:t>
      </w:r>
    </w:p>
    <w:p w14:paraId="39103F13"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передовых же позициях и в условиях боя пушка перевозится усилием двух бойцов, т. е. расчетом.</w:t>
      </w:r>
    </w:p>
    <w:p w14:paraId="3F50984A"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Система обладает хорошей меткостью и большой бронепробиваемостью.</w:t>
      </w:r>
    </w:p>
    <w:p w14:paraId="11EF274D"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испытании на полигоне в г. Молотове была пробита хромо-никелево-молибденовая броня 52 и 60 мм на дистанцию 100 м.</w:t>
      </w:r>
    </w:p>
    <w:p w14:paraId="1EC37557"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Боекомплект для данной пушки как бронебойно-фугасный, а также фугасно-осколочный-штатный от 37 мм системы.</w:t>
      </w:r>
    </w:p>
    <w:p w14:paraId="4B793F34"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современной маневренной войне пушка может быть использована, так:</w:t>
      </w:r>
    </w:p>
    <w:p w14:paraId="057A9B5D"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Противотанковая - способная бороться со всеми видами танков.</w:t>
      </w:r>
    </w:p>
    <w:p w14:paraId="4BA700B9"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Противодесантная.</w:t>
      </w:r>
    </w:p>
    <w:p w14:paraId="60D38D0D"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Десантная.</w:t>
      </w:r>
    </w:p>
    <w:p w14:paraId="2ED70F61"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Освоение в производстве данного образца не представляет никаких трудностей, так как система очень проста, технологична и по спроектированной в ГСПКИ-40 маршрутной технологии, при серийном производстве потребует всего 83 станко-часа на систему.</w:t>
      </w:r>
    </w:p>
    <w:p w14:paraId="0B75C60C"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Обком ВКП(б) считает, что данная система, благодаря своей мобильности, большой бронепробиваемости, малому весу и прекрасной возможности маскировки является как раз тем необходимым образцом противотанкового вооружения, вопрос о котором был поставлен лично товарищем Сталиным.</w:t>
      </w:r>
    </w:p>
    <w:p w14:paraId="403B6A9D"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вышеизложенного обком ВКП(б) просит Вас довести до сведения правительства о данном образце и оказать содействие в скорейшем испытании и принятии его на вооружение.</w:t>
      </w:r>
    </w:p>
    <w:p w14:paraId="4275E1FA"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Молотовского обкома ВКП(б) Гусаров</w:t>
      </w:r>
    </w:p>
    <w:p w14:paraId="3F6AFE99"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ПермГАСПИ. Ф. 105. Оп. 8. Д. 98. Л. 218-219. Копия. Машиннопись (20739).</w:t>
      </w:r>
    </w:p>
    <w:p w14:paraId="06B61811" w14:textId="77777777" w:rsidR="006D662C" w:rsidRPr="008127F8" w:rsidRDefault="006D662C" w:rsidP="001E0A84">
      <w:pPr>
        <w:spacing w:after="0" w:line="240" w:lineRule="auto"/>
        <w:jc w:val="both"/>
        <w:rPr>
          <w:rFonts w:ascii="Times New Roman" w:hAnsi="Times New Roman"/>
          <w:color w:val="000000" w:themeColor="text1"/>
          <w:sz w:val="16"/>
          <w:szCs w:val="16"/>
        </w:rPr>
      </w:pPr>
    </w:p>
    <w:p w14:paraId="05317CD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68E00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94BD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года приказ № 035/Н по НКБ Новосибирск</w:t>
      </w:r>
    </w:p>
    <w:p w14:paraId="19CF1EE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нормальных условий работы завода № 556 и завода № 4-А и упорядочения взаимоотношений между этими заводами и комбинатом № 179:</w:t>
      </w:r>
    </w:p>
    <w:p w14:paraId="39E0FBF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 140 от 9 февраля 1942 года по комбинату № 179 о слиянии завода № 187-а и завода № 4-а отменить.</w:t>
      </w:r>
    </w:p>
    <w:p w14:paraId="072F75E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Выделить из состава комбината завод № 556 в самостоятельный завод с непосредственным подчинением его 5-му Главному управлению НКБ.</w:t>
      </w:r>
    </w:p>
    <w:p w14:paraId="42CB98E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Выделить завод № 4-а в самостоятельный завод Комбината и в дальнейшем именовать его завод № 3 комбината № 179 (5752, 42-50).</w:t>
      </w:r>
    </w:p>
    <w:p w14:paraId="17B4C7C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107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года Приказом НКБ № 035/Н будущий завод 556 был выведен из системы комбината № 179 в самостоятельный завод, а приказом НКБ № 120 от 23 марта 1942 года заводу присвоен № 556</w:t>
      </w:r>
    </w:p>
    <w:p w14:paraId="5E6B28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Паспорт завода № 556 на 1 июля 1952 года Министерство с/х машиностроения</w:t>
      </w:r>
    </w:p>
    <w:p w14:paraId="500546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Новосибирск, п/я 167</w:t>
      </w:r>
    </w:p>
    <w:p w14:paraId="75733B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556 размещен на площадке комбината № 179 МСМХ, 702 завода МЧМ и введен в эксплуатацию в 1942 году на профиль изготовления латунных гильз и сборка авиапатронов. (10000).</w:t>
      </w:r>
    </w:p>
    <w:p w14:paraId="60C4FD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F8DB9"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апреля 1942 г. Письмо секретаря Молотовского обкома ВКП(б) Н. И. Гусарова секретарю Центрального Комитета ЦК ВКП(б) Маленкову об оказании содействия в испытании и принятии на вооружение нового образца 37-мм пушки, разработанной и изготовленной ОКБЛ-46</w:t>
      </w:r>
    </w:p>
    <w:p w14:paraId="6DBCBB09"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Молотов</w:t>
      </w:r>
    </w:p>
    <w:p w14:paraId="7C603763"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Обком ВКП(б) направляет к Вам конструкторов ОКБЛ-46 тов. Чарнко Е. В. и Комарицкого с новым типом образца вооружения, разработанным и изготовленным ОКБЛ-46.</w:t>
      </w:r>
    </w:p>
    <w:p w14:paraId="1239B931"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Данный образец мощной 37 мм пушки, имеющий начальную скорость 860 метров в секунду, при весе снаряда 0,732 килограмма, благодаря примененному новому принципу поглащения энергии отката имеет настолько незначительное усилие на цапфы, что дает возможность вести стрельбу из пушки непосредственно с плечевого упора, причем ощущение отдачи получается меньше, чем при стрельбе из винтовки.</w:t>
      </w:r>
    </w:p>
    <w:p w14:paraId="4B8259C0"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незначительного усилия на цапфы, потребность в лафете для данной пушки отпала, система устанавливается на мотоциклетные колеса с небольшими сошниками.</w:t>
      </w:r>
    </w:p>
    <w:p w14:paraId="62BA097E"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Данная система имеет очень малую высоту линии огня - 280 мм, стрельба из нее ведется лежа, благодаря чему блестяще разрешен вопрос маскировки системы и расчета.</w:t>
      </w:r>
    </w:p>
    <w:p w14:paraId="160B1273"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системы всего 188 кгр., что дает возможность транспортировать пушку на марше на мотоцикле или же по 4 штуки (батарею) вместе с их расчетами на 1,5-тонной автомашине.</w:t>
      </w:r>
    </w:p>
    <w:p w14:paraId="41CF79ED"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передовых же позициях и в условиях боя пушка перевозится усилием двух бойцов, т. е. расчетом.</w:t>
      </w:r>
    </w:p>
    <w:p w14:paraId="4F85631F"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Система обладает хорошей меткостью и большой бронепробиваемостью.</w:t>
      </w:r>
    </w:p>
    <w:p w14:paraId="4B3876ED"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испытании на полигоне в г. Молотове была пробита хромо-никелево-молибденовая броня 52 и 60 мм на дистанцию 100 м.</w:t>
      </w:r>
    </w:p>
    <w:p w14:paraId="503733B2"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Боекомплект для данной пушки как бронебойно-фугасный, а также фугасно-осколочный-штатный от 37 мм системы.</w:t>
      </w:r>
    </w:p>
    <w:p w14:paraId="70C70615"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современной маневренной войне пушка может быть использована, так:</w:t>
      </w:r>
    </w:p>
    <w:p w14:paraId="1E414C57"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Противотанковая - способная бороться со всеми видами танков.</w:t>
      </w:r>
    </w:p>
    <w:p w14:paraId="4A1A710F"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Противодесантная.</w:t>
      </w:r>
    </w:p>
    <w:p w14:paraId="737022EA"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Десантная.</w:t>
      </w:r>
    </w:p>
    <w:p w14:paraId="2FF85C60"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Освоение в производстве данного образца не представляет никаких трудностей, так как система очень проста, технологична и по спроектированной в ГСПКИ-40 маршрутной технологии, при серийном производстве потребует всего 83 станко-часа на систему.</w:t>
      </w:r>
    </w:p>
    <w:p w14:paraId="65FCA1F8"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Обком ВКП(б) считает, что данная система, благодаря своей мобильности, большой бронепробиваемости, малому весу и прекрасной возможности маскировки является как раз тем необходимым образцом противотанкового вооружения, вопрос о котором был поставлен лично товарищем Сталиным.</w:t>
      </w:r>
    </w:p>
    <w:p w14:paraId="27DE91CB"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вышеизложенного обком ВКП(б) просит Вас довести до сведения правительства о данном образце и оказать содействие в скорейшем испытании и принятии его на вооружение.</w:t>
      </w:r>
    </w:p>
    <w:p w14:paraId="208BE566"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Молотовского обкома ВКП(б) Гусаров</w:t>
      </w:r>
    </w:p>
    <w:p w14:paraId="31EC4CED" w14:textId="77777777" w:rsidR="00B5392C" w:rsidRPr="008A2E5A" w:rsidRDefault="00B5392C" w:rsidP="00B539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ПермГАСПИ. Ф. 105. Оп. 8. Д. 98. Л. 218-219. Копия. Машиннопись (23755).</w:t>
      </w:r>
    </w:p>
    <w:p w14:paraId="514FF5E4" w14:textId="77777777" w:rsidR="00B5392C" w:rsidRPr="008A2E5A" w:rsidRDefault="00B5392C" w:rsidP="00B5392C">
      <w:pPr>
        <w:spacing w:after="0" w:line="240" w:lineRule="auto"/>
        <w:jc w:val="both"/>
        <w:rPr>
          <w:rFonts w:ascii="Times New Roman" w:hAnsi="Times New Roman"/>
          <w:color w:val="0070C0"/>
          <w:sz w:val="16"/>
          <w:szCs w:val="16"/>
        </w:rPr>
      </w:pPr>
    </w:p>
    <w:p w14:paraId="0034F425"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9 апреля 1942 было созвано совещание на заводе № 264, куда были приглашены представители заводов «Красный Октябрь» и № 180. Вот как оценивал ситуацию с корпусами старший начальник 1-го отдела БТУ КА военинженер 1-го ранга И. А. Бурцев:</w:t>
      </w:r>
    </w:p>
    <w:p w14:paraId="0A86EC23"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появилось большое количество трещин в броне на корпусах Т-60 производства завода «Красный Октябрь» и завода № 180.</w:t>
      </w:r>
    </w:p>
    <w:p w14:paraId="751DB322"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Качество изготовления корпусов и башен танка Т-60 является не</w:t>
      </w:r>
      <w:r w:rsidRPr="008127F8">
        <w:rPr>
          <w:rFonts w:ascii="Times New Roman" w:hAnsi="Times New Roman"/>
          <w:color w:val="000000" w:themeColor="text1"/>
          <w:sz w:val="16"/>
          <w:szCs w:val="16"/>
        </w:rPr>
        <w:softHyphen/>
        <w:t>удовлетворительным: на бронедеталях много трещин, имеется большое количество наплавок на кромках деталей, при сборке допускается боль</w:t>
      </w:r>
      <w:r w:rsidRPr="008127F8">
        <w:rPr>
          <w:rFonts w:ascii="Times New Roman" w:hAnsi="Times New Roman"/>
          <w:color w:val="000000" w:themeColor="text1"/>
          <w:sz w:val="16"/>
          <w:szCs w:val="16"/>
        </w:rPr>
        <w:softHyphen/>
        <w:t>шое количество прокладок — зазоры не выдерживаются по ТУ и черте</w:t>
      </w:r>
      <w:r w:rsidRPr="008127F8">
        <w:rPr>
          <w:rFonts w:ascii="Times New Roman" w:hAnsi="Times New Roman"/>
          <w:color w:val="000000" w:themeColor="text1"/>
          <w:sz w:val="16"/>
          <w:szCs w:val="16"/>
        </w:rPr>
        <w:softHyphen/>
        <w:t>жам.</w:t>
      </w:r>
    </w:p>
    <w:p w14:paraId="0F6E255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Сварка корпусов и башен вследствие больших зазоров, большого коли</w:t>
      </w:r>
      <w:r w:rsidRPr="008127F8">
        <w:rPr>
          <w:rFonts w:ascii="Times New Roman" w:hAnsi="Times New Roman"/>
          <w:color w:val="000000" w:themeColor="text1"/>
          <w:sz w:val="16"/>
          <w:szCs w:val="16"/>
        </w:rPr>
        <w:softHyphen/>
        <w:t>чества прокладок и плохой подготовки кромок деталей к сварке является некачественной.</w:t>
      </w:r>
    </w:p>
    <w:p w14:paraId="0F9A567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бронедеталей на корпусах завода «Красный Октябрь» не</w:t>
      </w:r>
      <w:r w:rsidRPr="008127F8">
        <w:rPr>
          <w:rFonts w:ascii="Times New Roman" w:hAnsi="Times New Roman"/>
          <w:color w:val="000000" w:themeColor="text1"/>
          <w:sz w:val="16"/>
          <w:szCs w:val="16"/>
        </w:rPr>
        <w:softHyphen/>
        <w:t>удовлетворительная — не соответствует требованиям техусловий.</w:t>
      </w:r>
    </w:p>
    <w:p w14:paraId="2EF2E18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Заводы в процессе упрощения производства корпусов Т-60 вопросами качества бронекорпуса и башен не занимались.</w:t>
      </w:r>
    </w:p>
    <w:p w14:paraId="36C1CB09"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производства корпусов и башен заводы производили значи</w:t>
      </w:r>
      <w:r w:rsidRPr="008127F8">
        <w:rPr>
          <w:rFonts w:ascii="Times New Roman" w:hAnsi="Times New Roman"/>
          <w:color w:val="000000" w:themeColor="text1"/>
          <w:sz w:val="16"/>
          <w:szCs w:val="16"/>
        </w:rPr>
        <w:softHyphen/>
        <w:t>тельное количество изменений, причем эти изменения вносились без тща</w:t>
      </w:r>
      <w:r w:rsidRPr="008127F8">
        <w:rPr>
          <w:rFonts w:ascii="Times New Roman" w:hAnsi="Times New Roman"/>
          <w:color w:val="000000" w:themeColor="text1"/>
          <w:sz w:val="16"/>
          <w:szCs w:val="16"/>
        </w:rPr>
        <w:softHyphen/>
        <w:t>тельной предварительной проверки. Результатом неудовлетворительной работы заводов и является массовое количество трещин в бронекорпусах машин Т-60»'.</w:t>
      </w:r>
    </w:p>
    <w:p w14:paraId="4396E273"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 результатам совещания было выработано следующее решение:</w:t>
      </w:r>
    </w:p>
    <w:p w14:paraId="0E7A28E0"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Изготовлять корпуса и башни строго по ТУ, чертежам и техноло</w:t>
      </w:r>
      <w:r w:rsidRPr="008127F8">
        <w:rPr>
          <w:rFonts w:ascii="Times New Roman" w:hAnsi="Times New Roman"/>
          <w:color w:val="000000" w:themeColor="text1"/>
          <w:sz w:val="16"/>
          <w:szCs w:val="16"/>
        </w:rPr>
        <w:softHyphen/>
        <w:t>гии.</w:t>
      </w:r>
    </w:p>
    <w:p w14:paraId="7F7EDDB5" w14:textId="77777777" w:rsidR="00024525" w:rsidRPr="008127F8" w:rsidRDefault="00024525" w:rsidP="001E0A84">
      <w:pPr>
        <w:tabs>
          <w:tab w:val="left" w:pos="6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Выдерживать сварочные зазоры, тщательно подготовить кромки листов перед сваркой.</w:t>
      </w:r>
    </w:p>
    <w:p w14:paraId="410C5BC5" w14:textId="77777777" w:rsidR="00024525" w:rsidRPr="008127F8" w:rsidRDefault="00024525" w:rsidP="001E0A84">
      <w:pPr>
        <w:tabs>
          <w:tab w:val="left" w:pos="6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Прекратить наварку кромок бронедеталей, приварки планок на кромки бронелистов и подрезку огнерезом по каленому.</w:t>
      </w:r>
    </w:p>
    <w:p w14:paraId="12296784" w14:textId="77777777" w:rsidR="00024525" w:rsidRPr="008127F8" w:rsidRDefault="00024525" w:rsidP="001E0A84">
      <w:pPr>
        <w:tabs>
          <w:tab w:val="left" w:pos="5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Выдержать сечение сварных швов и улучшить качество их.</w:t>
      </w:r>
    </w:p>
    <w:p w14:paraId="5974E95A" w14:textId="77777777" w:rsidR="00024525" w:rsidRPr="008127F8" w:rsidRDefault="00024525" w:rsidP="001E0A84">
      <w:pPr>
        <w:tabs>
          <w:tab w:val="left" w:pos="70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Систематически производить исследование деталей с трещина</w:t>
      </w:r>
      <w:r w:rsidRPr="008127F8">
        <w:rPr>
          <w:rFonts w:ascii="Times New Roman" w:hAnsi="Times New Roman"/>
          <w:color w:val="000000" w:themeColor="text1"/>
          <w:sz w:val="16"/>
          <w:szCs w:val="16"/>
        </w:rPr>
        <w:softHyphen/>
        <w:t>ми и другими дефектами, с целью выявления причин образования трещин в бронедеталях корпуса и появления других дефектов, и наметить методы борьбы с ними.</w:t>
      </w:r>
    </w:p>
    <w:p w14:paraId="7528F696" w14:textId="77777777" w:rsidR="00024525" w:rsidRPr="008127F8" w:rsidRDefault="00024525" w:rsidP="001E0A84">
      <w:pPr>
        <w:tabs>
          <w:tab w:val="left" w:pos="58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Ввести механическую обработку деталей кабины водителя.</w:t>
      </w:r>
    </w:p>
    <w:p w14:paraId="3F88D0FA" w14:textId="77777777" w:rsidR="00024525" w:rsidRPr="008127F8" w:rsidRDefault="00024525" w:rsidP="001E0A84">
      <w:pPr>
        <w:tabs>
          <w:tab w:val="left" w:pos="55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Периодически производить проверку качества брони обстрелом.</w:t>
      </w:r>
    </w:p>
    <w:p w14:paraId="7EC5E3A7" w14:textId="77777777" w:rsidR="00024525" w:rsidRPr="008127F8" w:rsidRDefault="00024525" w:rsidP="001E0A84">
      <w:pPr>
        <w:tabs>
          <w:tab w:val="left" w:pos="6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Производить проверку брони на характер поражений пулей ДК и снарядом в зависимости от толщины.</w:t>
      </w:r>
    </w:p>
    <w:p w14:paraId="08BB7FE6" w14:textId="77777777" w:rsidR="00024525" w:rsidRPr="008127F8" w:rsidRDefault="00024525" w:rsidP="001E0A84">
      <w:pPr>
        <w:tabs>
          <w:tab w:val="left" w:pos="62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Прекратить доделку корпусов на заводе № 264, а заводу «Красный Октябрь» и заводу № 180 недоделанные корпуса прекратить отгружать.</w:t>
      </w:r>
    </w:p>
    <w:p w14:paraId="1C264258" w14:textId="77777777" w:rsidR="00024525" w:rsidRPr="008127F8" w:rsidRDefault="00024525" w:rsidP="001E0A84">
      <w:pPr>
        <w:tabs>
          <w:tab w:val="left" w:pos="67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Прекратить производить закалку брони марки «ИЗ-1» в воде.</w:t>
      </w:r>
    </w:p>
    <w:p w14:paraId="02CBEEC2"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Пересмотреть технологию и конструкцию объекта с целью улучшения качества бронекорпусов и ликвидации трещин.</w:t>
      </w:r>
    </w:p>
    <w:p w14:paraId="64933236"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Увеличить конструктивную прочность кабины водителя, башни и других узлов.</w:t>
      </w:r>
    </w:p>
    <w:p w14:paraId="7DFA2220"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Твердость брони определить по Бринеллю.</w:t>
      </w:r>
    </w:p>
    <w:p w14:paraId="7FFC14AA"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14. Выделить бригаду ИГР на завод «Красный Октябрь» и завод № 180 для оказания технологической помощи и наладки технологического процесса производства корпусов.</w:t>
      </w:r>
    </w:p>
    <w:p w14:paraId="04B1C575"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Усилить контроль за качеством продукции как на заводе «Красный Октябрь», так и на заводе № 180.</w:t>
      </w:r>
    </w:p>
    <w:p w14:paraId="32F0CB2F"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Ввести на заводе «Красный Октябрь» наружную окраску или грун</w:t>
      </w:r>
      <w:r w:rsidRPr="008127F8">
        <w:rPr>
          <w:rFonts w:ascii="Times New Roman" w:hAnsi="Times New Roman"/>
          <w:color w:val="000000" w:themeColor="text1"/>
          <w:sz w:val="16"/>
          <w:szCs w:val="16"/>
        </w:rPr>
        <w:softHyphen/>
        <w:t>товку корпусов.</w:t>
      </w:r>
    </w:p>
    <w:p w14:paraId="5AAF8DF5" w14:textId="77777777" w:rsidR="00024525" w:rsidRPr="008127F8" w:rsidRDefault="00024525" w:rsidP="001E0A84">
      <w:pPr>
        <w:tabs>
          <w:tab w:val="left" w:pos="38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Не допускать введения всевозможных изменений без тщательной проверки последствий.</w:t>
      </w:r>
    </w:p>
    <w:p w14:paraId="1BE5DF93" w14:textId="77777777" w:rsidR="00024525" w:rsidRPr="008127F8" w:rsidRDefault="00024525" w:rsidP="001E0A84">
      <w:pPr>
        <w:tabs>
          <w:tab w:val="left" w:pos="3839"/>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Предложить заводу «Красный Октябрь» производить подгонку бро- недеталей корпуса строго по чертежу и ТУ.</w:t>
      </w:r>
    </w:p>
    <w:p w14:paraId="5CBECFA2" w14:textId="77777777" w:rsidR="00024525" w:rsidRPr="008127F8" w:rsidRDefault="00024525" w:rsidP="001E0A84">
      <w:pPr>
        <w:tabs>
          <w:tab w:val="left" w:pos="38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Военпредам ГАБТУ КА на заводе «Красный Октябрь» и на заводе № 180 донести до 1 мая сего года в БТУ ГАБТУ КА о намеченных совмест</w:t>
      </w:r>
      <w:r w:rsidRPr="008127F8">
        <w:rPr>
          <w:rFonts w:ascii="Times New Roman" w:hAnsi="Times New Roman"/>
          <w:color w:val="000000" w:themeColor="text1"/>
          <w:sz w:val="16"/>
          <w:szCs w:val="16"/>
        </w:rPr>
        <w:softHyphen/>
        <w:t>но с заводами мероприятий по улучшению качества бронекорпусов и башен танка Т-60.</w:t>
      </w:r>
    </w:p>
    <w:p w14:paraId="1F3073C3" w14:textId="77777777" w:rsidR="00024525" w:rsidRPr="008127F8" w:rsidRDefault="00024525" w:rsidP="001E0A84">
      <w:pPr>
        <w:tabs>
          <w:tab w:val="left" w:pos="388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Военпредам ГАБТУ КА предлагаю производить приемку бронекор</w:t>
      </w:r>
      <w:r w:rsidRPr="008127F8">
        <w:rPr>
          <w:rFonts w:ascii="Times New Roman" w:hAnsi="Times New Roman"/>
          <w:color w:val="000000" w:themeColor="text1"/>
          <w:sz w:val="16"/>
          <w:szCs w:val="16"/>
        </w:rPr>
        <w:softHyphen/>
        <w:t>пусов и башен Т-60 строго по утвержденным ГАБТУ КА техническим ус</w:t>
      </w:r>
      <w:r w:rsidRPr="008127F8">
        <w:rPr>
          <w:rFonts w:ascii="Times New Roman" w:hAnsi="Times New Roman"/>
          <w:color w:val="000000" w:themeColor="text1"/>
          <w:sz w:val="16"/>
          <w:szCs w:val="16"/>
        </w:rPr>
        <w:softHyphen/>
        <w:t>ловиям и чертежам заказа 1942 года» (17485).</w:t>
      </w:r>
    </w:p>
    <w:p w14:paraId="20D5C7A0" w14:textId="77777777" w:rsidR="00024525" w:rsidRPr="008127F8" w:rsidRDefault="00024525" w:rsidP="001E0A84">
      <w:pPr>
        <w:spacing w:after="0" w:line="240" w:lineRule="auto"/>
        <w:jc w:val="both"/>
        <w:rPr>
          <w:rFonts w:ascii="Times New Roman" w:hAnsi="Times New Roman"/>
          <w:color w:val="000000" w:themeColor="text1"/>
          <w:sz w:val="16"/>
          <w:szCs w:val="16"/>
        </w:rPr>
      </w:pPr>
    </w:p>
    <w:p w14:paraId="4457F90D" w14:textId="77777777" w:rsidR="00024525" w:rsidRPr="008127F8" w:rsidRDefault="00024525" w:rsidP="001E0A84">
      <w:pPr>
        <w:pStyle w:val="162"/>
        <w:shd w:val="clear" w:color="auto" w:fill="auto"/>
        <w:tabs>
          <w:tab w:val="left" w:pos="5879"/>
        </w:tabs>
        <w:spacing w:line="240" w:lineRule="auto"/>
        <w:jc w:val="both"/>
        <w:rPr>
          <w:rFonts w:eastAsia="Calibri"/>
          <w:color w:val="000000" w:themeColor="text1"/>
          <w:sz w:val="16"/>
          <w:szCs w:val="16"/>
        </w:rPr>
      </w:pPr>
      <w:r w:rsidRPr="008127F8">
        <w:rPr>
          <w:rFonts w:eastAsia="Calibri"/>
          <w:color w:val="000000" w:themeColor="text1"/>
          <w:sz w:val="16"/>
          <w:szCs w:val="16"/>
        </w:rPr>
        <w:t>9 апреля 1942 года вышло постановление ГКО № 1571сс, в соответствии с которым завод № 264 был обязан выпустить за 2-й квартал 1942 года 825 танков. Из этого числа 660 танков предполагалось изготовить ли</w:t>
      </w:r>
      <w:r w:rsidRPr="008127F8">
        <w:rPr>
          <w:rFonts w:eastAsia="Calibri"/>
          <w:color w:val="000000" w:themeColor="text1"/>
          <w:sz w:val="16"/>
          <w:szCs w:val="16"/>
        </w:rPr>
        <w:softHyphen/>
        <w:t xml:space="preserve">нейными, а 165 радийными (с радиостанцией 9-Р), впрочем, отсутствие радиостанций и экранированной проводки заставило забыть о </w:t>
      </w:r>
      <w:proofErr w:type="gramStart"/>
      <w:r w:rsidRPr="008127F8">
        <w:rPr>
          <w:rFonts w:eastAsia="Calibri"/>
          <w:color w:val="000000" w:themeColor="text1"/>
          <w:sz w:val="16"/>
          <w:szCs w:val="16"/>
        </w:rPr>
        <w:t>радий- ных</w:t>
      </w:r>
      <w:proofErr w:type="gramEnd"/>
      <w:r w:rsidRPr="008127F8">
        <w:rPr>
          <w:rFonts w:eastAsia="Calibri"/>
          <w:color w:val="000000" w:themeColor="text1"/>
          <w:sz w:val="16"/>
          <w:szCs w:val="16"/>
        </w:rPr>
        <w:t xml:space="preserve"> машинах. Цену за линейный Т-60 утвердили на уровне 75 000 руб</w:t>
      </w:r>
      <w:r w:rsidRPr="008127F8">
        <w:rPr>
          <w:rFonts w:eastAsia="Calibri"/>
          <w:color w:val="000000" w:themeColor="text1"/>
          <w:sz w:val="16"/>
          <w:szCs w:val="16"/>
        </w:rPr>
        <w:softHyphen/>
        <w:t>лей, а за радийный танк — 77 500 рублей.</w:t>
      </w:r>
    </w:p>
    <w:p w14:paraId="7DFA3CD6"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Снятие проблемы с корпусами и частичное решение проблем по запчастям сказалось и на темпах выпуска: в апреле при плане в 250 танков удалось сдать 255 штук! Впрочем, из-за проблем с корпусами за</w:t>
      </w:r>
      <w:r w:rsidRPr="008127F8">
        <w:rPr>
          <w:rFonts w:eastAsia="Calibri"/>
          <w:color w:val="000000" w:themeColor="text1"/>
          <w:sz w:val="16"/>
          <w:szCs w:val="16"/>
        </w:rPr>
        <w:softHyphen/>
        <w:t>вода № 180 девять танков апрельского выпуска пришлось ремонтиро</w:t>
      </w:r>
      <w:r w:rsidRPr="008127F8">
        <w:rPr>
          <w:rFonts w:eastAsia="Calibri"/>
          <w:color w:val="000000" w:themeColor="text1"/>
          <w:sz w:val="16"/>
          <w:szCs w:val="16"/>
        </w:rPr>
        <w:softHyphen/>
        <w:t>вать и собирать заново. Для решения проблем с поставками радиаторов с СТЗ (из 350 заказанных пришло 190 штук россыпью) завод № 264 ор</w:t>
      </w:r>
      <w:r w:rsidRPr="008127F8">
        <w:rPr>
          <w:rFonts w:eastAsia="Calibri"/>
          <w:color w:val="000000" w:themeColor="text1"/>
          <w:sz w:val="16"/>
          <w:szCs w:val="16"/>
        </w:rPr>
        <w:softHyphen/>
        <w:t>ганизовал сборку радиаторов на собственных мощностях.</w:t>
      </w:r>
    </w:p>
    <w:p w14:paraId="03FCEB23"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Увеличение числа поставщиков корпусов и башен внесло сумятицу и во внешний вид танков выпуска завода № 264. Первоначально танки, выпускавшиеся в Красноармейске, были почти идентичны Т-60 про</w:t>
      </w:r>
      <w:r w:rsidRPr="008127F8">
        <w:rPr>
          <w:rFonts w:eastAsia="Calibri"/>
          <w:color w:val="000000" w:themeColor="text1"/>
          <w:sz w:val="16"/>
          <w:szCs w:val="16"/>
        </w:rPr>
        <w:softHyphen/>
        <w:t>изводства ГАЗ, главным отличием были лишь литые опорные катки. Как уже говорилось выше, машины сразу выпускались с утолщенным бронированием, исключением была лишь небольшая партия корпу</w:t>
      </w:r>
      <w:r w:rsidRPr="008127F8">
        <w:rPr>
          <w:rFonts w:eastAsia="Calibri"/>
          <w:color w:val="000000" w:themeColor="text1"/>
          <w:sz w:val="16"/>
          <w:szCs w:val="16"/>
        </w:rPr>
        <w:softHyphen/>
        <w:t>сов, которую экранировали на самом заводе. С весны ситуация стала меняться: помимо завода № 180, корпуса и башни поставлялись и за</w:t>
      </w:r>
      <w:r w:rsidRPr="008127F8">
        <w:rPr>
          <w:rFonts w:eastAsia="Calibri"/>
          <w:color w:val="000000" w:themeColor="text1"/>
          <w:sz w:val="16"/>
          <w:szCs w:val="16"/>
        </w:rPr>
        <w:softHyphen/>
        <w:t>водом № 176, который так и не перешел на утолщенную броню. В ре</w:t>
      </w:r>
      <w:r w:rsidRPr="008127F8">
        <w:rPr>
          <w:rFonts w:eastAsia="Calibri"/>
          <w:color w:val="000000" w:themeColor="text1"/>
          <w:sz w:val="16"/>
          <w:szCs w:val="16"/>
        </w:rPr>
        <w:softHyphen/>
        <w:t>зультате экранированные корпуса и башни (экраны ставили на заводе № 264) стали довольно частым явлением.</w:t>
      </w:r>
    </w:p>
    <w:p w14:paraId="18D547E7"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Весной 1942 года новые штрихи в облик танков завода № 264 доба</w:t>
      </w:r>
      <w:r w:rsidRPr="008127F8">
        <w:rPr>
          <w:rFonts w:eastAsia="Calibri"/>
          <w:color w:val="000000" w:themeColor="text1"/>
          <w:sz w:val="16"/>
          <w:szCs w:val="16"/>
        </w:rPr>
        <w:softHyphen/>
        <w:t>вил «Красный Октябрь», внеся ряд изменений в корпус и башню. Целью изменений являлось упрощение производства. Наиболее характерной деталью стало появление башенного люка восьмигранной формы, который стал своеобразной визитной карточкой танков производства завода № 264. Данный люк выпускался еще и в двух вариантах — с за</w:t>
      </w:r>
      <w:r w:rsidRPr="008127F8">
        <w:rPr>
          <w:rFonts w:eastAsia="Calibri"/>
          <w:color w:val="000000" w:themeColor="text1"/>
          <w:sz w:val="16"/>
          <w:szCs w:val="16"/>
        </w:rPr>
        <w:softHyphen/>
        <w:t>гибом краев под 45 градусов (как на обычных люках), и с загибом под прямым углом. Для установки люков новой формы пришлось переде</w:t>
      </w:r>
      <w:r w:rsidRPr="008127F8">
        <w:rPr>
          <w:rFonts w:eastAsia="Calibri"/>
          <w:color w:val="000000" w:themeColor="text1"/>
          <w:sz w:val="16"/>
          <w:szCs w:val="16"/>
        </w:rPr>
        <w:softHyphen/>
        <w:t>лать и крышу башни. В целях сокращения объема клепаных соедине</w:t>
      </w:r>
      <w:r w:rsidRPr="008127F8">
        <w:rPr>
          <w:rFonts w:eastAsia="Calibri"/>
          <w:color w:val="000000" w:themeColor="text1"/>
          <w:sz w:val="16"/>
          <w:szCs w:val="16"/>
        </w:rPr>
        <w:softHyphen/>
        <w:t>ний петли башенного люка, а также козырьки над смотровыми щелями сделали приварными. Упрощения внесли и в корпус: клепаное соединение половинок бортов заменили на сварное (сварка, к слову, выпол</w:t>
      </w:r>
      <w:r w:rsidRPr="008127F8">
        <w:rPr>
          <w:rFonts w:eastAsia="Calibri"/>
          <w:color w:val="000000" w:themeColor="text1"/>
          <w:sz w:val="16"/>
          <w:szCs w:val="16"/>
        </w:rPr>
        <w:softHyphen/>
        <w:t>нялась весьма грубо). Кроме того, воздухоприток люка механика-</w:t>
      </w:r>
      <w:proofErr w:type="gramStart"/>
      <w:r w:rsidRPr="008127F8">
        <w:rPr>
          <w:rFonts w:eastAsia="Calibri"/>
          <w:color w:val="000000" w:themeColor="text1"/>
          <w:sz w:val="16"/>
          <w:szCs w:val="16"/>
        </w:rPr>
        <w:t>во- дителя</w:t>
      </w:r>
      <w:proofErr w:type="gramEnd"/>
      <w:r w:rsidRPr="008127F8">
        <w:rPr>
          <w:rFonts w:eastAsia="Calibri"/>
          <w:color w:val="000000" w:themeColor="text1"/>
          <w:sz w:val="16"/>
          <w:szCs w:val="16"/>
        </w:rPr>
        <w:t xml:space="preserve"> упростили, сделав его угловатым. Как и в случае с башенным люком, существовало два варианта конструкции воздухопритока.</w:t>
      </w:r>
    </w:p>
    <w:p w14:paraId="49342682" w14:textId="77777777" w:rsidR="00024525" w:rsidRPr="008127F8" w:rsidRDefault="00024525" w:rsidP="001E0A84">
      <w:pPr>
        <w:pStyle w:val="162"/>
        <w:shd w:val="clear" w:color="auto" w:fill="auto"/>
        <w:tabs>
          <w:tab w:val="left" w:pos="5879"/>
        </w:tabs>
        <w:spacing w:line="240" w:lineRule="auto"/>
        <w:jc w:val="both"/>
        <w:rPr>
          <w:color w:val="000000" w:themeColor="text1"/>
          <w:sz w:val="16"/>
          <w:szCs w:val="16"/>
        </w:rPr>
      </w:pPr>
      <w:r w:rsidRPr="008127F8">
        <w:rPr>
          <w:rFonts w:eastAsia="Calibri"/>
          <w:color w:val="000000" w:themeColor="text1"/>
          <w:sz w:val="16"/>
          <w:szCs w:val="16"/>
        </w:rPr>
        <w:t>Определенные изменения во внешнем виде танка появились и бла</w:t>
      </w:r>
      <w:r w:rsidRPr="008127F8">
        <w:rPr>
          <w:rFonts w:eastAsia="Calibri"/>
          <w:color w:val="000000" w:themeColor="text1"/>
          <w:sz w:val="16"/>
          <w:szCs w:val="16"/>
        </w:rPr>
        <w:softHyphen/>
        <w:t>годаря самому заводу № 264. В течение зимы-весны 1942 года завод</w:t>
      </w:r>
      <w:r w:rsidRPr="008127F8">
        <w:rPr>
          <w:rFonts w:eastAsia="Calibri"/>
          <w:color w:val="000000" w:themeColor="text1"/>
          <w:sz w:val="16"/>
          <w:szCs w:val="16"/>
        </w:rPr>
        <w:softHyphen/>
        <w:t>ское КБ разработало проект модернизированного Т-60, в котором уга</w:t>
      </w:r>
      <w:r w:rsidRPr="008127F8">
        <w:rPr>
          <w:rFonts w:eastAsia="Calibri"/>
          <w:color w:val="000000" w:themeColor="text1"/>
          <w:sz w:val="16"/>
          <w:szCs w:val="16"/>
        </w:rPr>
        <w:softHyphen/>
        <w:t>дывались некоторые решения аналогичного проекта ГАЗ. Воздуховод с лобовой части башни убрали, перенеся его на башенный люк. В апре</w:t>
      </w:r>
      <w:r w:rsidRPr="008127F8">
        <w:rPr>
          <w:rFonts w:eastAsia="Calibri"/>
          <w:color w:val="000000" w:themeColor="text1"/>
          <w:sz w:val="16"/>
          <w:szCs w:val="16"/>
        </w:rPr>
        <w:softHyphen/>
        <w:t>ле был разработан смотровой люк механика-водителя литой конструк</w:t>
      </w:r>
      <w:r w:rsidRPr="008127F8">
        <w:rPr>
          <w:rFonts w:eastAsia="Calibri"/>
          <w:color w:val="000000" w:themeColor="text1"/>
          <w:sz w:val="16"/>
          <w:szCs w:val="16"/>
        </w:rPr>
        <w:softHyphen/>
        <w:t>ции. Данная разработка представляла единую с петлями и козырьком деталь с толщиной брони 38 мм (17485).</w:t>
      </w:r>
    </w:p>
    <w:p w14:paraId="70B62EE7" w14:textId="77777777" w:rsidR="00024525" w:rsidRPr="008127F8" w:rsidRDefault="00024525" w:rsidP="001E0A84">
      <w:pPr>
        <w:spacing w:after="0" w:line="240" w:lineRule="auto"/>
        <w:jc w:val="both"/>
        <w:rPr>
          <w:rFonts w:ascii="Times New Roman" w:hAnsi="Times New Roman"/>
          <w:color w:val="000000" w:themeColor="text1"/>
          <w:sz w:val="16"/>
          <w:szCs w:val="16"/>
        </w:rPr>
      </w:pPr>
    </w:p>
    <w:p w14:paraId="1832406B"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9 апреля 1942 вышло постановление ГКО № 1571сс, согласно которому завод № 264 был обязан выпустить за 2-й квартал 1942 года 825 танков. Из этого числа 660 танков предполагалось изготовить линейными, а 165 радийными (с радиостанцией 9-Р). Цена за линейный Т-60 была утверждена на уровне 75 000 рублей, а за радийный танк — 77 500 рублей. Впрочем, как уже упоминалось выше, ни одного танка с радиостанцией так и не было сделано.</w:t>
      </w:r>
    </w:p>
    <w:p w14:paraId="5ADDFCF2"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Проблемы с корпусами удалось решить благодаря энергичной деятельности заводского руководства. 16 апреля были подготовлены новые технические условия на приёмку корпусов и башен. С «Красного Октября» и завода № 180 в Москву отправились жалобы, но правда была за заводом № 264. Кроме того, завод стал практиковать использование для постройки одной машины корпусов и башен разных заводов. Благодаря решению большей части проблем предприятие в Красноармейске смогло перевыполнить план: вместо 250 танков за апрель было сдано 255 (17677).</w:t>
      </w:r>
    </w:p>
    <w:p w14:paraId="113DB2F9"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707B2E2"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9 апреля 1942 года на стол Молотову легла служебная записка следующего содержания:</w:t>
      </w:r>
    </w:p>
    <w:p w14:paraId="4D6632F6"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постановлениям ГКО</w:t>
      </w:r>
      <w:r w:rsidR="003D763F"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от 9марта</w:t>
      </w:r>
      <w:r w:rsidR="003D763F"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с.г. заводы ГАЗ</w:t>
      </w:r>
      <w:r w:rsidR="003D763F"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38</w:t>
      </w:r>
      <w:r w:rsidR="003D763F"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w:t>
      </w:r>
      <w:r w:rsidR="003D763F"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37 пе</w:t>
      </w:r>
      <w:r w:rsidRPr="008127F8">
        <w:rPr>
          <w:rFonts w:ascii="Times New Roman" w:hAnsi="Times New Roman"/>
          <w:color w:val="000000" w:themeColor="text1"/>
          <w:sz w:val="16"/>
          <w:szCs w:val="16"/>
        </w:rPr>
        <w:softHyphen/>
        <w:t>реходят в апреле и мае месяцах с.г. на производство танков Т- 70.</w:t>
      </w:r>
    </w:p>
    <w:p w14:paraId="64BDDD4F"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Сейчас выяснилось, что:</w:t>
      </w:r>
    </w:p>
    <w:p w14:paraId="62E006A6" w14:textId="77777777" w:rsidR="00024525" w:rsidRPr="008127F8" w:rsidRDefault="00024525" w:rsidP="001E0A84">
      <w:pPr>
        <w:tabs>
          <w:tab w:val="left" w:pos="14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Конструкция танка Т- 70 еще окончательно не доработана, и поэто</w:t>
      </w:r>
      <w:r w:rsidRPr="008127F8">
        <w:rPr>
          <w:rFonts w:ascii="Times New Roman" w:hAnsi="Times New Roman"/>
          <w:color w:val="000000" w:themeColor="text1"/>
          <w:sz w:val="16"/>
          <w:szCs w:val="16"/>
        </w:rPr>
        <w:softHyphen/>
        <w:t>му окончательных чертежей еще нет.</w:t>
      </w:r>
    </w:p>
    <w:p w14:paraId="476BFE2C" w14:textId="77777777" w:rsidR="00024525" w:rsidRPr="008127F8" w:rsidRDefault="00024525" w:rsidP="001E0A84">
      <w:pPr>
        <w:tabs>
          <w:tab w:val="left" w:pos="143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Новых, по сравнению с танком Т-60, деталей в танке Т-70 оказалось значительно больше, чем предполагалось вначале, поэтому подготовка про</w:t>
      </w:r>
      <w:r w:rsidRPr="008127F8">
        <w:rPr>
          <w:rFonts w:ascii="Times New Roman" w:hAnsi="Times New Roman"/>
          <w:color w:val="000000" w:themeColor="text1"/>
          <w:sz w:val="16"/>
          <w:szCs w:val="16"/>
        </w:rPr>
        <w:softHyphen/>
        <w:t>изводства требует большего времени, чем предусмотрено в решении ГКО.</w:t>
      </w:r>
    </w:p>
    <w:p w14:paraId="1502BF18"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Освоение и поставка кооперированных изделий (электрооборудова</w:t>
      </w:r>
      <w:r w:rsidRPr="008127F8">
        <w:rPr>
          <w:rFonts w:ascii="Times New Roman" w:hAnsi="Times New Roman"/>
          <w:color w:val="000000" w:themeColor="text1"/>
          <w:sz w:val="16"/>
          <w:szCs w:val="16"/>
        </w:rPr>
        <w:softHyphen/>
        <w:t>ния, металла и др.) также запаздывает по срокам. Все это грозит срывом сроков освоения и выпуска танков Т-70, особенно на заводе №37, имею</w:t>
      </w:r>
      <w:r w:rsidRPr="008127F8">
        <w:rPr>
          <w:rFonts w:ascii="Times New Roman" w:hAnsi="Times New Roman"/>
          <w:color w:val="000000" w:themeColor="text1"/>
          <w:sz w:val="16"/>
          <w:szCs w:val="16"/>
        </w:rPr>
        <w:softHyphen/>
        <w:t>щем плохую связь с ГАЗом, а в то же время танки Т-60 на этих заводах снимаются с производства</w:t>
      </w:r>
    </w:p>
    <w:p w14:paraId="2569BEC8"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Армия может недополучить значительное количество танков в самое ответственное время.</w:t>
      </w:r>
    </w:p>
    <w:p w14:paraId="64C8C7EF"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я считаю правильным, оставив в силе решение ГКО о танке Т- 70 в части ГАЗа и завода № 38, по заводу № 37отсрочить постановку танка Т-70 на 3 месяца и продолжить выпускать танки Т-60. В этом случае Армия получит дополнительно свыше 400 танков Т-60.</w:t>
      </w:r>
    </w:p>
    <w:p w14:paraId="05AB0E65"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только после того, как ГАЗ и завод № 38 полностью освоят и начнут серийный выпуск танков Т- 70, переходить на выпуск танков Т- 70 и на за</w:t>
      </w:r>
      <w:r w:rsidRPr="008127F8">
        <w:rPr>
          <w:rFonts w:ascii="Times New Roman" w:hAnsi="Times New Roman"/>
          <w:color w:val="000000" w:themeColor="text1"/>
          <w:sz w:val="16"/>
          <w:szCs w:val="16"/>
        </w:rPr>
        <w:softHyphen/>
        <w:t>воде № 37».</w:t>
      </w:r>
    </w:p>
    <w:p w14:paraId="0E53E1C1" w14:textId="77777777" w:rsidR="00024525" w:rsidRPr="008127F8" w:rsidRDefault="00024525"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К служебной записке прилагался проект постановления ГКО «О вы</w:t>
      </w:r>
      <w:r w:rsidRPr="008127F8">
        <w:rPr>
          <w:rFonts w:eastAsia="Calibri"/>
          <w:color w:val="000000" w:themeColor="text1"/>
          <w:sz w:val="16"/>
          <w:szCs w:val="16"/>
        </w:rPr>
        <w:softHyphen/>
        <w:t>пуске танков Т-60 на заводе № 37 Наркомсредмаша». Изучив документ, 10 апреля Молотов дал резолюцию: «товарищам Федоренко, Акопову. Надо обсудить сегодня вечером. Я вызову». По результатам разговора проект был утвержден как Постановление ГКО № 1581 от 12 апреля 1942 года:</w:t>
      </w:r>
    </w:p>
    <w:p w14:paraId="43087145"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выяснившегося большого объема по подготовке производства к изготовлению танка Т-70, в частности, на заводе № 37, что недоста</w:t>
      </w:r>
      <w:r w:rsidRPr="008127F8">
        <w:rPr>
          <w:rFonts w:ascii="Times New Roman" w:hAnsi="Times New Roman"/>
          <w:color w:val="000000" w:themeColor="text1"/>
          <w:sz w:val="16"/>
          <w:szCs w:val="16"/>
        </w:rPr>
        <w:softHyphen/>
        <w:t>точно было учтено НКТМ, а также НКТП, Государственный Комитет Обороны, в частичное изменение постановления ГКО от 9 марта сего года, постановляет:</w:t>
      </w:r>
    </w:p>
    <w:p w14:paraId="35EE3AD6" w14:textId="77777777" w:rsidR="00024525" w:rsidRPr="008127F8" w:rsidRDefault="00024525" w:rsidP="001E0A84">
      <w:pPr>
        <w:tabs>
          <w:tab w:val="left" w:pos="373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Наркомтанкопром — т. Малышева и директора завода № 37 — т. Фрезерова продолжать выпуск танков Т-60, проводя одновре</w:t>
      </w:r>
      <w:r w:rsidRPr="008127F8">
        <w:rPr>
          <w:rFonts w:ascii="Times New Roman" w:hAnsi="Times New Roman"/>
          <w:color w:val="000000" w:themeColor="text1"/>
          <w:sz w:val="16"/>
          <w:szCs w:val="16"/>
        </w:rPr>
        <w:softHyphen/>
        <w:t>менно подготовку производства к выпуску танков Т- 70.</w:t>
      </w:r>
    </w:p>
    <w:p w14:paraId="0F53E442" w14:textId="77777777" w:rsidR="00024525" w:rsidRPr="008127F8" w:rsidRDefault="00024525" w:rsidP="001E0A84">
      <w:pPr>
        <w:tabs>
          <w:tab w:val="left" w:pos="36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следующий план выпуска танков Т-60 и Т-70 на заводе №37.</w:t>
      </w:r>
    </w:p>
    <w:tbl>
      <w:tblPr>
        <w:tblW w:w="0" w:type="auto"/>
        <w:tblLayout w:type="fixed"/>
        <w:tblCellMar>
          <w:left w:w="10" w:type="dxa"/>
          <w:right w:w="10" w:type="dxa"/>
        </w:tblCellMar>
        <w:tblLook w:val="04A0" w:firstRow="1" w:lastRow="0" w:firstColumn="1" w:lastColumn="0" w:noHBand="0" w:noVBand="1"/>
      </w:tblPr>
      <w:tblGrid>
        <w:gridCol w:w="1248"/>
        <w:gridCol w:w="1238"/>
        <w:gridCol w:w="1090"/>
        <w:gridCol w:w="1152"/>
        <w:gridCol w:w="1056"/>
        <w:gridCol w:w="1349"/>
      </w:tblGrid>
      <w:tr w:rsidR="006F4095" w:rsidRPr="008127F8" w14:paraId="13E2A59F" w14:textId="77777777" w:rsidTr="00A72CAA">
        <w:trPr>
          <w:trHeight w:val="571"/>
        </w:trPr>
        <w:tc>
          <w:tcPr>
            <w:tcW w:w="1248" w:type="dxa"/>
            <w:tcBorders>
              <w:top w:val="single" w:sz="4" w:space="0" w:color="auto"/>
              <w:bottom w:val="single" w:sz="4" w:space="0" w:color="auto"/>
            </w:tcBorders>
            <w:shd w:val="clear" w:color="auto" w:fill="FFFFFF"/>
          </w:tcPr>
          <w:p w14:paraId="20687A84" w14:textId="77777777" w:rsidR="00024525" w:rsidRPr="008127F8" w:rsidRDefault="00024525" w:rsidP="001E0A84">
            <w:pPr>
              <w:spacing w:after="0" w:line="240" w:lineRule="auto"/>
              <w:jc w:val="both"/>
              <w:rPr>
                <w:rFonts w:ascii="Times New Roman" w:hAnsi="Times New Roman"/>
                <w:color w:val="000000" w:themeColor="text1"/>
                <w:sz w:val="16"/>
                <w:szCs w:val="16"/>
              </w:rPr>
            </w:pPr>
          </w:p>
        </w:tc>
        <w:tc>
          <w:tcPr>
            <w:tcW w:w="1238" w:type="dxa"/>
            <w:tcBorders>
              <w:top w:val="single" w:sz="4" w:space="0" w:color="auto"/>
              <w:bottom w:val="single" w:sz="4" w:space="0" w:color="auto"/>
            </w:tcBorders>
            <w:shd w:val="clear" w:color="auto" w:fill="FFFFFF"/>
          </w:tcPr>
          <w:p w14:paraId="6330D8D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Апрель</w:t>
            </w:r>
          </w:p>
        </w:tc>
        <w:tc>
          <w:tcPr>
            <w:tcW w:w="1090" w:type="dxa"/>
            <w:tcBorders>
              <w:top w:val="single" w:sz="4" w:space="0" w:color="auto"/>
              <w:bottom w:val="single" w:sz="4" w:space="0" w:color="auto"/>
            </w:tcBorders>
            <w:shd w:val="clear" w:color="auto" w:fill="FFFFFF"/>
          </w:tcPr>
          <w:p w14:paraId="63FAB2F9"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Май</w:t>
            </w:r>
          </w:p>
        </w:tc>
        <w:tc>
          <w:tcPr>
            <w:tcW w:w="1152" w:type="dxa"/>
            <w:tcBorders>
              <w:top w:val="single" w:sz="4" w:space="0" w:color="auto"/>
              <w:bottom w:val="single" w:sz="4" w:space="0" w:color="auto"/>
            </w:tcBorders>
            <w:shd w:val="clear" w:color="auto" w:fill="FFFFFF"/>
          </w:tcPr>
          <w:p w14:paraId="23B0EDA0"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Июнь</w:t>
            </w:r>
          </w:p>
        </w:tc>
        <w:tc>
          <w:tcPr>
            <w:tcW w:w="1056" w:type="dxa"/>
            <w:tcBorders>
              <w:top w:val="single" w:sz="4" w:space="0" w:color="auto"/>
              <w:bottom w:val="single" w:sz="4" w:space="0" w:color="auto"/>
            </w:tcBorders>
            <w:shd w:val="clear" w:color="auto" w:fill="FFFFFF"/>
          </w:tcPr>
          <w:p w14:paraId="5598CD9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Июль</w:t>
            </w:r>
          </w:p>
        </w:tc>
        <w:tc>
          <w:tcPr>
            <w:tcW w:w="1349" w:type="dxa"/>
            <w:tcBorders>
              <w:top w:val="single" w:sz="4" w:space="0" w:color="auto"/>
              <w:bottom w:val="single" w:sz="4" w:space="0" w:color="auto"/>
            </w:tcBorders>
            <w:shd w:val="clear" w:color="auto" w:fill="FFFFFF"/>
          </w:tcPr>
          <w:p w14:paraId="62132797"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Август</w:t>
            </w:r>
          </w:p>
        </w:tc>
      </w:tr>
      <w:tr w:rsidR="006F4095" w:rsidRPr="008127F8" w14:paraId="7FE65649" w14:textId="77777777" w:rsidTr="00A72CAA">
        <w:trPr>
          <w:trHeight w:val="576"/>
        </w:trPr>
        <w:tc>
          <w:tcPr>
            <w:tcW w:w="1248" w:type="dxa"/>
            <w:tcBorders>
              <w:top w:val="single" w:sz="4" w:space="0" w:color="auto"/>
              <w:bottom w:val="single" w:sz="4" w:space="0" w:color="auto"/>
            </w:tcBorders>
            <w:shd w:val="clear" w:color="auto" w:fill="FFFFFF"/>
          </w:tcPr>
          <w:p w14:paraId="78F88F76"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Танк Т-60</w:t>
            </w:r>
          </w:p>
        </w:tc>
        <w:tc>
          <w:tcPr>
            <w:tcW w:w="1238" w:type="dxa"/>
            <w:tcBorders>
              <w:top w:val="single" w:sz="4" w:space="0" w:color="auto"/>
              <w:bottom w:val="single" w:sz="4" w:space="0" w:color="auto"/>
            </w:tcBorders>
            <w:shd w:val="clear" w:color="auto" w:fill="FFFFFF"/>
          </w:tcPr>
          <w:p w14:paraId="72A4A5BD"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230</w:t>
            </w:r>
          </w:p>
        </w:tc>
        <w:tc>
          <w:tcPr>
            <w:tcW w:w="1090" w:type="dxa"/>
            <w:tcBorders>
              <w:top w:val="single" w:sz="4" w:space="0" w:color="auto"/>
              <w:bottom w:val="single" w:sz="4" w:space="0" w:color="auto"/>
            </w:tcBorders>
            <w:shd w:val="clear" w:color="auto" w:fill="FFFFFF"/>
          </w:tcPr>
          <w:p w14:paraId="317737E0"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280</w:t>
            </w:r>
          </w:p>
        </w:tc>
        <w:tc>
          <w:tcPr>
            <w:tcW w:w="1152" w:type="dxa"/>
            <w:tcBorders>
              <w:top w:val="single" w:sz="4" w:space="0" w:color="auto"/>
              <w:bottom w:val="single" w:sz="4" w:space="0" w:color="auto"/>
            </w:tcBorders>
            <w:shd w:val="clear" w:color="auto" w:fill="FFFFFF"/>
          </w:tcPr>
          <w:p w14:paraId="45A75BB9"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300</w:t>
            </w:r>
          </w:p>
        </w:tc>
        <w:tc>
          <w:tcPr>
            <w:tcW w:w="1056" w:type="dxa"/>
            <w:tcBorders>
              <w:top w:val="single" w:sz="4" w:space="0" w:color="auto"/>
              <w:bottom w:val="single" w:sz="4" w:space="0" w:color="auto"/>
            </w:tcBorders>
            <w:shd w:val="clear" w:color="auto" w:fill="FFFFFF"/>
          </w:tcPr>
          <w:p w14:paraId="4076AFC2"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200</w:t>
            </w:r>
          </w:p>
        </w:tc>
        <w:tc>
          <w:tcPr>
            <w:tcW w:w="1349" w:type="dxa"/>
            <w:tcBorders>
              <w:top w:val="single" w:sz="4" w:space="0" w:color="auto"/>
              <w:bottom w:val="single" w:sz="4" w:space="0" w:color="auto"/>
            </w:tcBorders>
            <w:shd w:val="clear" w:color="auto" w:fill="FFFFFF"/>
          </w:tcPr>
          <w:p w14:paraId="2441805E"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100</w:t>
            </w:r>
          </w:p>
        </w:tc>
      </w:tr>
    </w:tbl>
    <w:p w14:paraId="42891AF1" w14:textId="77777777" w:rsidR="00024525" w:rsidRPr="008127F8" w:rsidRDefault="00024525" w:rsidP="001E0A84">
      <w:pPr>
        <w:tabs>
          <w:tab w:val="left" w:pos="1656"/>
          <w:tab w:val="left" w:pos="5107"/>
          <w:tab w:val="left" w:pos="6062"/>
        </w:tabs>
        <w:spacing w:after="0" w:line="240" w:lineRule="auto"/>
        <w:jc w:val="both"/>
        <w:rPr>
          <w:rFonts w:ascii="Times New Roman" w:hAnsi="Times New Roman"/>
          <w:color w:val="000000" w:themeColor="text1"/>
          <w:sz w:val="16"/>
          <w:szCs w:val="16"/>
        </w:rPr>
      </w:pPr>
      <w:r w:rsidRPr="008127F8">
        <w:rPr>
          <w:rStyle w:val="Tablecaption3"/>
          <w:rFonts w:eastAsia="Calibri"/>
          <w:color w:val="000000" w:themeColor="text1"/>
          <w:sz w:val="16"/>
          <w:szCs w:val="16"/>
        </w:rPr>
        <w:t>Танк Т-70</w:t>
      </w:r>
      <w:r w:rsidRPr="008127F8">
        <w:rPr>
          <w:rStyle w:val="Tablecaption3"/>
          <w:rFonts w:eastAsia="Calibri"/>
          <w:color w:val="000000" w:themeColor="text1"/>
          <w:sz w:val="16"/>
          <w:szCs w:val="16"/>
        </w:rPr>
        <w:tab/>
        <w:t>-</w:t>
      </w:r>
      <w:r w:rsidRPr="008127F8">
        <w:rPr>
          <w:rStyle w:val="Tablecaption3"/>
          <w:rFonts w:eastAsia="Calibri"/>
          <w:color w:val="000000" w:themeColor="text1"/>
          <w:sz w:val="16"/>
          <w:szCs w:val="16"/>
        </w:rPr>
        <w:tab/>
        <w:t>10</w:t>
      </w:r>
      <w:r w:rsidRPr="008127F8">
        <w:rPr>
          <w:rStyle w:val="Tablecaption3"/>
          <w:rFonts w:eastAsia="Calibri"/>
          <w:color w:val="000000" w:themeColor="text1"/>
          <w:sz w:val="16"/>
          <w:szCs w:val="16"/>
        </w:rPr>
        <w:tab/>
        <w:t>75</w:t>
      </w:r>
    </w:p>
    <w:p w14:paraId="20DB6319"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Наркомсредмаш — т. Акопова:</w:t>
      </w:r>
    </w:p>
    <w:p w14:paraId="1B757DDE"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обеспечить поставку заводу №37 Наркомтанкопрома моторов «202» одиночных и спаренных на раме, комплектно с электрооборудовани</w:t>
      </w:r>
      <w:r w:rsidRPr="008127F8">
        <w:rPr>
          <w:rFonts w:ascii="Times New Roman" w:hAnsi="Times New Roman"/>
          <w:color w:val="000000" w:themeColor="text1"/>
          <w:sz w:val="16"/>
          <w:szCs w:val="16"/>
        </w:rPr>
        <w:softHyphen/>
        <w:t>ем и карбюраторами, по следующему графику:</w:t>
      </w:r>
    </w:p>
    <w:p w14:paraId="056A6194" w14:textId="77777777" w:rsidR="00024525" w:rsidRPr="008127F8" w:rsidRDefault="00024525" w:rsidP="001E0A84">
      <w:pPr>
        <w:tabs>
          <w:tab w:val="left" w:pos="7636"/>
        </w:tabs>
        <w:spacing w:after="0" w:line="240" w:lineRule="auto"/>
        <w:jc w:val="both"/>
        <w:rPr>
          <w:rFonts w:ascii="Times New Roman" w:hAnsi="Times New Roman"/>
          <w:color w:val="000000" w:themeColor="text1"/>
          <w:sz w:val="16"/>
          <w:szCs w:val="16"/>
        </w:rPr>
      </w:pPr>
      <w:r w:rsidRPr="008127F8">
        <w:rPr>
          <w:rStyle w:val="Bodytext3"/>
          <w:rFonts w:ascii="Times New Roman" w:hAnsi="Times New Roman"/>
          <w:color w:val="000000" w:themeColor="text1"/>
          <w:sz w:val="16"/>
          <w:szCs w:val="16"/>
        </w:rPr>
        <w:t>Апрель Май</w:t>
      </w:r>
      <w:r w:rsidRPr="008127F8">
        <w:rPr>
          <w:rStyle w:val="Bodytext3"/>
          <w:rFonts w:ascii="Times New Roman" w:hAnsi="Times New Roman"/>
          <w:color w:val="000000" w:themeColor="text1"/>
          <w:sz w:val="16"/>
          <w:szCs w:val="16"/>
        </w:rPr>
        <w:tab/>
        <w:t>Июнь Июль Август</w:t>
      </w:r>
    </w:p>
    <w:p w14:paraId="5D2E1985" w14:textId="77777777" w:rsidR="00024525" w:rsidRPr="008127F8" w:rsidRDefault="00024525" w:rsidP="001E0A84">
      <w:pPr>
        <w:tabs>
          <w:tab w:val="left" w:pos="5642"/>
          <w:tab w:val="left" w:pos="6582"/>
          <w:tab w:val="left" w:pos="7528"/>
          <w:tab w:val="left" w:pos="8474"/>
          <w:tab w:val="left" w:pos="9405"/>
        </w:tabs>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Моторов 202</w:t>
      </w:r>
      <w:r w:rsidRPr="008127F8">
        <w:rPr>
          <w:rStyle w:val="Bodytext5"/>
          <w:rFonts w:eastAsia="Calibri"/>
          <w:color w:val="000000" w:themeColor="text1"/>
          <w:sz w:val="16"/>
          <w:szCs w:val="16"/>
        </w:rPr>
        <w:tab/>
        <w:t>230</w:t>
      </w:r>
      <w:r w:rsidRPr="008127F8">
        <w:rPr>
          <w:rStyle w:val="Bodytext5"/>
          <w:rFonts w:eastAsia="Calibri"/>
          <w:color w:val="000000" w:themeColor="text1"/>
          <w:sz w:val="16"/>
          <w:szCs w:val="16"/>
        </w:rPr>
        <w:tab/>
        <w:t>280</w:t>
      </w:r>
      <w:r w:rsidRPr="008127F8">
        <w:rPr>
          <w:rStyle w:val="Bodytext5"/>
          <w:rFonts w:eastAsia="Calibri"/>
          <w:color w:val="000000" w:themeColor="text1"/>
          <w:sz w:val="16"/>
          <w:szCs w:val="16"/>
        </w:rPr>
        <w:tab/>
        <w:t>300</w:t>
      </w:r>
      <w:r w:rsidRPr="008127F8">
        <w:rPr>
          <w:rStyle w:val="Bodytext5"/>
          <w:rFonts w:eastAsia="Calibri"/>
          <w:color w:val="000000" w:themeColor="text1"/>
          <w:sz w:val="16"/>
          <w:szCs w:val="16"/>
        </w:rPr>
        <w:tab/>
        <w:t>200</w:t>
      </w:r>
      <w:r w:rsidRPr="008127F8">
        <w:rPr>
          <w:rStyle w:val="Bodytext5"/>
          <w:rFonts w:eastAsia="Calibri"/>
          <w:color w:val="000000" w:themeColor="text1"/>
          <w:sz w:val="16"/>
          <w:szCs w:val="16"/>
        </w:rPr>
        <w:tab/>
        <w:t>100</w:t>
      </w:r>
    </w:p>
    <w:p w14:paraId="4C95EA58"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Спаренных моторов 202</w:t>
      </w:r>
      <w:r w:rsidRPr="008127F8">
        <w:rPr>
          <w:rStyle w:val="Bodytext5"/>
          <w:rFonts w:eastAsia="Calibri"/>
          <w:color w:val="000000" w:themeColor="text1"/>
          <w:sz w:val="16"/>
          <w:szCs w:val="16"/>
        </w:rPr>
        <w:tab/>
        <w:t>—</w:t>
      </w:r>
      <w:r w:rsidRPr="008127F8">
        <w:rPr>
          <w:rStyle w:val="Bodytext5"/>
          <w:rFonts w:eastAsia="Calibri"/>
          <w:color w:val="000000" w:themeColor="text1"/>
          <w:sz w:val="16"/>
          <w:szCs w:val="16"/>
        </w:rPr>
        <w:tab/>
        <w:t>—</w:t>
      </w:r>
      <w:r w:rsidRPr="008127F8">
        <w:rPr>
          <w:rStyle w:val="Bodytext5"/>
          <w:rFonts w:eastAsia="Calibri"/>
          <w:color w:val="000000" w:themeColor="text1"/>
          <w:sz w:val="16"/>
          <w:szCs w:val="16"/>
        </w:rPr>
        <w:tab/>
        <w:t>—</w:t>
      </w:r>
      <w:r w:rsidRPr="008127F8">
        <w:rPr>
          <w:rStyle w:val="Bodytext5"/>
          <w:rFonts w:eastAsia="Calibri"/>
          <w:color w:val="000000" w:themeColor="text1"/>
          <w:sz w:val="16"/>
          <w:szCs w:val="16"/>
        </w:rPr>
        <w:tab/>
        <w:t>10</w:t>
      </w:r>
      <w:r w:rsidRPr="008127F8">
        <w:rPr>
          <w:rStyle w:val="Bodytext5"/>
          <w:rFonts w:eastAsia="Calibri"/>
          <w:color w:val="000000" w:themeColor="text1"/>
          <w:sz w:val="16"/>
          <w:szCs w:val="16"/>
        </w:rPr>
        <w:tab/>
        <w:t>75</w:t>
      </w:r>
    </w:p>
    <w:p w14:paraId="2E4C027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установить общий план поставки моторов «202» Нар- комтанкопрому на II квартал в следующих количествах:</w:t>
      </w:r>
    </w:p>
    <w:p w14:paraId="3506860A" w14:textId="77777777" w:rsidR="00024525" w:rsidRPr="008127F8" w:rsidRDefault="00024525" w:rsidP="001E0A84">
      <w:pPr>
        <w:tabs>
          <w:tab w:val="left" w:pos="1186"/>
          <w:tab w:val="left" w:pos="2362"/>
          <w:tab w:val="left" w:pos="3533"/>
        </w:tabs>
        <w:spacing w:after="0" w:line="240" w:lineRule="auto"/>
        <w:jc w:val="both"/>
        <w:rPr>
          <w:rFonts w:ascii="Times New Roman" w:hAnsi="Times New Roman"/>
          <w:color w:val="000000" w:themeColor="text1"/>
          <w:sz w:val="16"/>
          <w:szCs w:val="16"/>
        </w:rPr>
      </w:pPr>
      <w:r w:rsidRPr="008127F8">
        <w:rPr>
          <w:rStyle w:val="Tablecaption2"/>
          <w:rFonts w:ascii="Times New Roman" w:hAnsi="Times New Roman"/>
          <w:color w:val="000000" w:themeColor="text1"/>
          <w:sz w:val="16"/>
          <w:szCs w:val="16"/>
        </w:rPr>
        <w:t>Апрель</w:t>
      </w:r>
      <w:r w:rsidRPr="008127F8">
        <w:rPr>
          <w:rStyle w:val="Tablecaption2"/>
          <w:rFonts w:ascii="Times New Roman" w:hAnsi="Times New Roman"/>
          <w:color w:val="000000" w:themeColor="text1"/>
          <w:sz w:val="16"/>
          <w:szCs w:val="16"/>
        </w:rPr>
        <w:tab/>
      </w:r>
      <w:proofErr w:type="gramStart"/>
      <w:r w:rsidRPr="008127F8">
        <w:rPr>
          <w:rStyle w:val="Tablecaption2"/>
          <w:rFonts w:ascii="Times New Roman" w:hAnsi="Times New Roman"/>
          <w:color w:val="000000" w:themeColor="text1"/>
          <w:sz w:val="16"/>
          <w:szCs w:val="16"/>
        </w:rPr>
        <w:t>Май</w:t>
      </w:r>
      <w:r w:rsidRPr="008127F8">
        <w:rPr>
          <w:rStyle w:val="Tablecaption2"/>
          <w:rFonts w:ascii="Times New Roman" w:hAnsi="Times New Roman"/>
          <w:color w:val="000000" w:themeColor="text1"/>
          <w:sz w:val="16"/>
          <w:szCs w:val="16"/>
        </w:rPr>
        <w:tab/>
        <w:t>Июнь</w:t>
      </w:r>
      <w:proofErr w:type="gramEnd"/>
      <w:r w:rsidRPr="008127F8">
        <w:rPr>
          <w:rStyle w:val="Tablecaption2"/>
          <w:rFonts w:ascii="Times New Roman" w:hAnsi="Times New Roman"/>
          <w:color w:val="000000" w:themeColor="text1"/>
          <w:sz w:val="16"/>
          <w:szCs w:val="16"/>
        </w:rPr>
        <w:tab/>
        <w:t>Всего</w:t>
      </w:r>
    </w:p>
    <w:tbl>
      <w:tblPr>
        <w:tblW w:w="0" w:type="auto"/>
        <w:tblLayout w:type="fixed"/>
        <w:tblCellMar>
          <w:left w:w="10" w:type="dxa"/>
          <w:right w:w="10" w:type="dxa"/>
        </w:tblCellMar>
        <w:tblLook w:val="04A0" w:firstRow="1" w:lastRow="0" w:firstColumn="1" w:lastColumn="0" w:noHBand="0" w:noVBand="1"/>
      </w:tblPr>
      <w:tblGrid>
        <w:gridCol w:w="2352"/>
        <w:gridCol w:w="1027"/>
        <w:gridCol w:w="1176"/>
        <w:gridCol w:w="1176"/>
        <w:gridCol w:w="1421"/>
      </w:tblGrid>
      <w:tr w:rsidR="006F4095" w:rsidRPr="008127F8" w14:paraId="62376AC7" w14:textId="77777777" w:rsidTr="00024525">
        <w:trPr>
          <w:trHeight w:val="552"/>
        </w:trPr>
        <w:tc>
          <w:tcPr>
            <w:tcW w:w="2352" w:type="dxa"/>
            <w:tcBorders>
              <w:top w:val="single" w:sz="4" w:space="0" w:color="auto"/>
              <w:bottom w:val="single" w:sz="4" w:space="0" w:color="auto"/>
            </w:tcBorders>
            <w:shd w:val="clear" w:color="auto" w:fill="FFFFFF"/>
          </w:tcPr>
          <w:p w14:paraId="5650F111"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Моторов 202</w:t>
            </w:r>
          </w:p>
        </w:tc>
        <w:tc>
          <w:tcPr>
            <w:tcW w:w="1027" w:type="dxa"/>
            <w:tcBorders>
              <w:top w:val="single" w:sz="4" w:space="0" w:color="auto"/>
              <w:bottom w:val="single" w:sz="4" w:space="0" w:color="auto"/>
            </w:tcBorders>
            <w:shd w:val="clear" w:color="auto" w:fill="FFFFFF"/>
          </w:tcPr>
          <w:p w14:paraId="7A3D054B"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650</w:t>
            </w:r>
          </w:p>
        </w:tc>
        <w:tc>
          <w:tcPr>
            <w:tcW w:w="1176" w:type="dxa"/>
            <w:tcBorders>
              <w:top w:val="single" w:sz="4" w:space="0" w:color="auto"/>
              <w:bottom w:val="single" w:sz="4" w:space="0" w:color="auto"/>
            </w:tcBorders>
            <w:shd w:val="clear" w:color="auto" w:fill="FFFFFF"/>
          </w:tcPr>
          <w:p w14:paraId="12011293"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580</w:t>
            </w:r>
          </w:p>
        </w:tc>
        <w:tc>
          <w:tcPr>
            <w:tcW w:w="1176" w:type="dxa"/>
            <w:tcBorders>
              <w:top w:val="single" w:sz="4" w:space="0" w:color="auto"/>
              <w:bottom w:val="single" w:sz="4" w:space="0" w:color="auto"/>
            </w:tcBorders>
            <w:shd w:val="clear" w:color="auto" w:fill="FFFFFF"/>
          </w:tcPr>
          <w:p w14:paraId="4E323C7C"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625</w:t>
            </w:r>
          </w:p>
        </w:tc>
        <w:tc>
          <w:tcPr>
            <w:tcW w:w="1421" w:type="dxa"/>
            <w:tcBorders>
              <w:top w:val="single" w:sz="4" w:space="0" w:color="auto"/>
              <w:bottom w:val="single" w:sz="4" w:space="0" w:color="auto"/>
            </w:tcBorders>
            <w:shd w:val="clear" w:color="auto" w:fill="FFFFFF"/>
          </w:tcPr>
          <w:p w14:paraId="78474BE4"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1855</w:t>
            </w:r>
          </w:p>
        </w:tc>
      </w:tr>
      <w:tr w:rsidR="006F4095" w:rsidRPr="008127F8" w14:paraId="1531A3EA" w14:textId="77777777" w:rsidTr="00024525">
        <w:trPr>
          <w:trHeight w:val="552"/>
        </w:trPr>
        <w:tc>
          <w:tcPr>
            <w:tcW w:w="2352" w:type="dxa"/>
            <w:tcBorders>
              <w:top w:val="single" w:sz="4" w:space="0" w:color="auto"/>
              <w:bottom w:val="single" w:sz="4" w:space="0" w:color="auto"/>
            </w:tcBorders>
            <w:shd w:val="clear" w:color="auto" w:fill="FFFFFF"/>
          </w:tcPr>
          <w:p w14:paraId="0308455D"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Спаренных моторов 202</w:t>
            </w:r>
          </w:p>
        </w:tc>
        <w:tc>
          <w:tcPr>
            <w:tcW w:w="1027" w:type="dxa"/>
            <w:tcBorders>
              <w:top w:val="single" w:sz="4" w:space="0" w:color="auto"/>
              <w:bottom w:val="single" w:sz="4" w:space="0" w:color="auto"/>
            </w:tcBorders>
            <w:shd w:val="clear" w:color="auto" w:fill="FFFFFF"/>
          </w:tcPr>
          <w:p w14:paraId="6F59B7EE"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50</w:t>
            </w:r>
          </w:p>
        </w:tc>
        <w:tc>
          <w:tcPr>
            <w:tcW w:w="1176" w:type="dxa"/>
            <w:tcBorders>
              <w:top w:val="single" w:sz="4" w:space="0" w:color="auto"/>
              <w:bottom w:val="single" w:sz="4" w:space="0" w:color="auto"/>
            </w:tcBorders>
            <w:shd w:val="clear" w:color="auto" w:fill="FFFFFF"/>
          </w:tcPr>
          <w:p w14:paraId="5FF219AD"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100</w:t>
            </w:r>
          </w:p>
        </w:tc>
        <w:tc>
          <w:tcPr>
            <w:tcW w:w="1176" w:type="dxa"/>
            <w:tcBorders>
              <w:top w:val="single" w:sz="4" w:space="0" w:color="auto"/>
              <w:bottom w:val="single" w:sz="4" w:space="0" w:color="auto"/>
            </w:tcBorders>
            <w:shd w:val="clear" w:color="auto" w:fill="FFFFFF"/>
          </w:tcPr>
          <w:p w14:paraId="65CFE81F"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150</w:t>
            </w:r>
          </w:p>
        </w:tc>
        <w:tc>
          <w:tcPr>
            <w:tcW w:w="1421" w:type="dxa"/>
            <w:tcBorders>
              <w:top w:val="single" w:sz="4" w:space="0" w:color="auto"/>
              <w:bottom w:val="single" w:sz="4" w:space="0" w:color="auto"/>
            </w:tcBorders>
            <w:shd w:val="clear" w:color="auto" w:fill="FFFFFF"/>
          </w:tcPr>
          <w:p w14:paraId="7408EB23"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Style w:val="Bodytext5"/>
                <w:rFonts w:eastAsia="Calibri"/>
                <w:color w:val="000000" w:themeColor="text1"/>
                <w:sz w:val="16"/>
                <w:szCs w:val="16"/>
              </w:rPr>
              <w:t>300</w:t>
            </w:r>
          </w:p>
        </w:tc>
      </w:tr>
    </w:tbl>
    <w:p w14:paraId="2C6A07C6"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обеспечить поставку заводу № 37заготовки для танка Т-60 по су</w:t>
      </w:r>
      <w:r w:rsidRPr="008127F8">
        <w:rPr>
          <w:rFonts w:ascii="Times New Roman" w:hAnsi="Times New Roman"/>
          <w:color w:val="000000" w:themeColor="text1"/>
          <w:sz w:val="16"/>
          <w:szCs w:val="16"/>
        </w:rPr>
        <w:softHyphen/>
        <w:t>ществующей кооперации, по этому же графику.</w:t>
      </w:r>
    </w:p>
    <w:p w14:paraId="7AB90082"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Председатель Государственного Комитета Обороны</w:t>
      </w:r>
    </w:p>
    <w:p w14:paraId="2655634E" w14:textId="77777777" w:rsidR="00024525" w:rsidRPr="008127F8" w:rsidRDefault="0002452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 (17485).</w:t>
      </w:r>
    </w:p>
    <w:p w14:paraId="34CF665A" w14:textId="77777777" w:rsidR="00024525" w:rsidRPr="008127F8" w:rsidRDefault="00024525" w:rsidP="001E0A84">
      <w:pPr>
        <w:spacing w:after="0" w:line="240" w:lineRule="auto"/>
        <w:jc w:val="both"/>
        <w:rPr>
          <w:rFonts w:ascii="Times New Roman" w:hAnsi="Times New Roman"/>
          <w:color w:val="000000" w:themeColor="text1"/>
          <w:sz w:val="16"/>
          <w:szCs w:val="16"/>
        </w:rPr>
      </w:pPr>
    </w:p>
    <w:p w14:paraId="13965B5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 была подготовлена ЗАЯВКА НАЧАЛЬНИКА ГАБТУ КА В НКВТ СССР О ЗАКУПКЕ ЗАПАСНЫХ ТАНКОВЫХ ПУШЕК</w:t>
      </w:r>
    </w:p>
    <w:p w14:paraId="0A3A1D5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дать заказ на высылку из Англии и Америки запасных танковых пушек с установочными деталями из расчета одна пушка на каждые 20 танков, отправленных и отправляемых в СССР. Пушки необходимы для замены выбывающих из строя в результате боевых действий.</w:t>
      </w:r>
    </w:p>
    <w:p w14:paraId="7284C0E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69E8B15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1EE8073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691. Л. 17. Копия (11211).</w:t>
      </w:r>
    </w:p>
    <w:p w14:paraId="466A5E3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0638" w14:textId="77777777" w:rsidR="00382010" w:rsidRPr="008A2E5A" w:rsidRDefault="00382010" w:rsidP="003820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апреля 1942 года на стол Молотову легла служебная записка, подписанная В.А. Малышевым, наркомом танковой промышленности. В ней указывалось, что такой резкий переход с Т-60 на Т-70 грозит срывам поставок танков в Красную Армию. На следующий день состоялось совещание, а 12 апреля Молотов подписал постановление ГКО №1581 "О выпуске танков Т-60 на заводе №37 Наркомсредмаша". Выпуск Т-70 сдвигался на июль (23355).</w:t>
      </w:r>
    </w:p>
    <w:p w14:paraId="01595A94" w14:textId="77777777" w:rsidR="00382010" w:rsidRPr="008A2E5A" w:rsidRDefault="00382010" w:rsidP="00382010">
      <w:pPr>
        <w:spacing w:after="0" w:line="240" w:lineRule="auto"/>
        <w:jc w:val="both"/>
        <w:rPr>
          <w:rFonts w:ascii="Times New Roman" w:hAnsi="Times New Roman"/>
          <w:color w:val="0070C0"/>
          <w:sz w:val="16"/>
          <w:szCs w:val="16"/>
        </w:rPr>
      </w:pPr>
    </w:p>
    <w:p w14:paraId="79AD408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 вышел ПРИКАЗ НАЧАЛЬНИКА ГАБТУ ОБ ОБОБЩЕНИИ ОПЫТА БОЕВОГО ИСПОЛЬЗОВАНИЯ ВООРУЖЕНИЯ</w:t>
      </w:r>
    </w:p>
    <w:p w14:paraId="0690EE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обобщения опыта боевого использования вооружения и устранения конструктивных и эксплуатационных недостатков ПРИКАЗЫВАЮ:</w:t>
      </w:r>
    </w:p>
    <w:p w14:paraId="011304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 по 15 мая 1942 года путем опроса командиров и бойцов-танкистов отработать в про</w:t>
      </w:r>
      <w:r w:rsidRPr="008127F8">
        <w:rPr>
          <w:rFonts w:ascii="Times New Roman" w:hAnsi="Times New Roman"/>
          <w:color w:val="000000" w:themeColor="text1"/>
          <w:sz w:val="16"/>
          <w:szCs w:val="16"/>
        </w:rPr>
        <w:softHyphen/>
        <w:t>извольном виде и выслать в адрес начальника 4 отдела БТУ ГАБТУ КА свои замечания по качеству и боевому использованию танкового вооружения, в которых осветить следующие вопросы: 1. По пушкам и минометам</w:t>
      </w:r>
    </w:p>
    <w:p w14:paraId="51B287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Какова безотказность танковых артсистем при стрельбе?</w:t>
      </w:r>
    </w:p>
    <w:p w14:paraId="490E62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Наиболее часто встречающиеся неисправности и задержки у танковых артсистем:</w:t>
      </w:r>
    </w:p>
    <w:p w14:paraId="47DA7C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отечественных (152, 76, 45 и 20 мм),</w:t>
      </w:r>
    </w:p>
    <w:p w14:paraId="23F732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английских (76 и 40 мм, включая 107 и 50 мм танковые минометы),</w:t>
      </w:r>
    </w:p>
    <w:p w14:paraId="5D502DF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американских (37 и 75 мм).</w:t>
      </w:r>
    </w:p>
    <w:p w14:paraId="67FF958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Достаточность возимого в танке пушечного ЗИПа и как часто им приходится пользоваться. Указать остродефицитные детали и детали редко употребляемые.</w:t>
      </w:r>
    </w:p>
    <w:p w14:paraId="531906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Удобно ли существующее распределение артиллерийского ЗИПа (орудийный, ротный и др.) и куда желательно его направлять.</w:t>
      </w:r>
    </w:p>
    <w:p w14:paraId="0220487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Какой ЗИП нужен для английских и американских артсистем и минометов.</w:t>
      </w:r>
    </w:p>
    <w:p w14:paraId="2B8918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Удобство обслуживания артсистем (чистка, смазка, разборка, ремонт) и удобство расположе</w:t>
      </w:r>
      <w:r w:rsidRPr="008127F8">
        <w:rPr>
          <w:rFonts w:ascii="Times New Roman" w:hAnsi="Times New Roman"/>
          <w:color w:val="000000" w:themeColor="text1"/>
          <w:sz w:val="16"/>
          <w:szCs w:val="16"/>
        </w:rPr>
        <w:softHyphen/>
        <w:t>ния механизмов наводки.</w:t>
      </w:r>
    </w:p>
    <w:p w14:paraId="4585AD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Наиболее часто встречаемые механические повреждения артсистем.</w:t>
      </w:r>
    </w:p>
    <w:p w14:paraId="346E23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Как часто, по каким целям, при каких условиях ведется стрельба с хода и эффективность та</w:t>
      </w:r>
      <w:r w:rsidRPr="008127F8">
        <w:rPr>
          <w:rFonts w:ascii="Times New Roman" w:hAnsi="Times New Roman"/>
          <w:color w:val="000000" w:themeColor="text1"/>
          <w:sz w:val="16"/>
          <w:szCs w:val="16"/>
        </w:rPr>
        <w:softHyphen/>
        <w:t>кой стрельбы.</w:t>
      </w:r>
    </w:p>
    <w:p w14:paraId="004A68E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Удовлетворительна ли скорострельность существующих пушек.</w:t>
      </w:r>
    </w:p>
    <w:p w14:paraId="41A616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Всегда ли достаточно количества боеприпасов, находящихся в танке, на весь период боя.</w:t>
      </w:r>
    </w:p>
    <w:p w14:paraId="1BA968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Каково процентное соотношение бронебойных, осколочных и осколочно-фугасных снаря</w:t>
      </w:r>
      <w:r w:rsidRPr="008127F8">
        <w:rPr>
          <w:rFonts w:ascii="Times New Roman" w:hAnsi="Times New Roman"/>
          <w:color w:val="000000" w:themeColor="text1"/>
          <w:sz w:val="16"/>
          <w:szCs w:val="16"/>
        </w:rPr>
        <w:softHyphen/>
        <w:t>дов желательно иметь в боекомплекте танка, желательное количество возимых в танке патронов для стрелкового оружия.</w:t>
      </w:r>
    </w:p>
    <w:p w14:paraId="4D2C84F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Эффективность действия различных типов снарядов по различным целям.</w:t>
      </w:r>
    </w:p>
    <w:p w14:paraId="3FF63BF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Удобство пользования укладкой боеприпасов. 2. По пулеметам</w:t>
      </w:r>
    </w:p>
    <w:p w14:paraId="646768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Какие задержки в работе пулеметов.</w:t>
      </w:r>
    </w:p>
    <w:p w14:paraId="6E103F3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Какие детали наиболее часто выходят из строя.</w:t>
      </w:r>
    </w:p>
    <w:p w14:paraId="005743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Достаточно ли магазинов к пулеметам.</w:t>
      </w:r>
    </w:p>
    <w:p w14:paraId="2EC0C4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Хватает ли деталей ЗИПа и в каких ощущается наибольшая нужда. 3. По танковым приборам</w:t>
      </w:r>
    </w:p>
    <w:p w14:paraId="344D505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Характерные неисправности и отказы в работе танковых прицелов и приборов наблюдения.</w:t>
      </w:r>
    </w:p>
    <w:p w14:paraId="150F093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Много ли было случаев стрельбы ночью и пользовались ли при этом ночным освещением при</w:t>
      </w:r>
      <w:r w:rsidRPr="008127F8">
        <w:rPr>
          <w:rFonts w:ascii="Times New Roman" w:hAnsi="Times New Roman"/>
          <w:color w:val="000000" w:themeColor="text1"/>
          <w:sz w:val="16"/>
          <w:szCs w:val="16"/>
        </w:rPr>
        <w:softHyphen/>
        <w:t>цельных шкал.</w:t>
      </w:r>
    </w:p>
    <w:p w14:paraId="7CE1825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Пользуются ли рычагом угла места цели прибора ПТК.</w:t>
      </w:r>
    </w:p>
    <w:p w14:paraId="7252D52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Пользуются ли и нужен ли механизм боковых поправок.</w:t>
      </w:r>
    </w:p>
    <w:p w14:paraId="6EC8B3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Удовлетворяют или нет наглазники и налобники танковых приборов.</w:t>
      </w:r>
    </w:p>
    <w:p w14:paraId="2489F13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Как часты случаи выхода из строя в бою телескопических и перископических прицелов и как это отражается на боеспособности танка.</w:t>
      </w:r>
    </w:p>
    <w:p w14:paraId="5AF859D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Безотказность работы приборов при различных метеорологических условиях.</w:t>
      </w:r>
    </w:p>
    <w:p w14:paraId="049BA5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Работа приборов при низких температурах.</w:t>
      </w:r>
    </w:p>
    <w:p w14:paraId="6229579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Наиболее характерные дистанции стрельб.</w:t>
      </w:r>
    </w:p>
    <w:p w14:paraId="67126D9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Как часто применялись танки для стрельбы с закрытых позиций.</w:t>
      </w:r>
    </w:p>
    <w:p w14:paraId="4902E7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Надежность монтажа приборов и несбиваемость прицельных линий (ПТ, ТМФД, ТМФП и т.д.).</w:t>
      </w:r>
    </w:p>
    <w:p w14:paraId="0F7D31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Удобство пользования и безотказность зеркальных и призменных смотровых приборов.</w:t>
      </w:r>
    </w:p>
    <w:p w14:paraId="50DC35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Красной Армии генерал-лейтенант танковых войск Федоренко</w:t>
      </w:r>
    </w:p>
    <w:p w14:paraId="2B0D76D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Красной Армии армейский комиссар 2 ранга Бирюков</w:t>
      </w:r>
    </w:p>
    <w:p w14:paraId="3E95540D"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691. Л. 15-16. Подлинник (11211).</w:t>
      </w:r>
    </w:p>
    <w:p w14:paraId="01C63BD0"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2CF139C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1568 Об обеспечении топливом Hаркомморфлота и Hаркомречфлота к навигации 1942 года. (7029, 81-84,85-92).</w:t>
      </w:r>
    </w:p>
    <w:p w14:paraId="3D438A3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1A9D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1569 О т.т. Пинчуке И.РГАНИР, Фонд ГКО, д. и Чернышеве Н.Г. РГАНИР, Фонд ГКО, д. 28, лл. 93 (11012).</w:t>
      </w:r>
    </w:p>
    <w:p w14:paraId="0F0F73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C8E1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1570 О возвращении на Назиевское торфпредприятие эвакуированного оборудования. РГАНИР, Фонд ГКО, д. 28, лл. 94 (11012).</w:t>
      </w:r>
    </w:p>
    <w:p w14:paraId="5B8629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D63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1571 О плане производства танков и о материально-техническом обеспечении танковой промышленности на II квартал 1942 г. РГАНИР, Фонд ГКО, д. 28, лл. 95-105, 106-171 (11012).</w:t>
      </w:r>
    </w:p>
    <w:p w14:paraId="47EA85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75A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1571сс "О плане производства танков и материально-техническом обеспечении танковой промышленности на II квартал 1942 года, приложение к которому заняло почти 70 листов (РГАСПИ. Ф. 644. Оп. 1. Д. 28. Л. 106-172.). Но какова была реальная ценность этих детальных расчётов, если спустя всего 8 дней в другом постановлении ГКО констатируется, что "график движения поездов нарушен, и железные дороги по существу работают без графика" (РГАСПИ. Ф. 644. Оп. 1. Д. 31. Л. 23.) (11787).</w:t>
      </w:r>
    </w:p>
    <w:p w14:paraId="343016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F7F3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0202B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1B71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в 1942 году утреннее сообщение Совинформбюро:</w:t>
      </w:r>
    </w:p>
    <w:p w14:paraId="617AE8B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9 апреля на фронте каких-либо существенных изменений не произошло.</w:t>
      </w:r>
    </w:p>
    <w:p w14:paraId="433EA71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Стрелковая часть под командованием тов. Богданова (Западный фронт) выбила немцев из одного населённого пункта. Пытаясь вернуть потерянные позиции, противник предпринял контратаку. Огнём нашей артиллерии и пулемётов немцы были отброшены. Подступы к селу усеяны трупами гитлеровских солдат. На другом участке немцы предприняли контратаку при поддержке танков. Наши бойцы успешно отбили контратаку. На поле боя осталось свыше 300 убитых немецких солдат и офицеров. Уничтожено 3 немецких танка. Захвачены трофеи, в том числе 4 исправных танка.</w:t>
      </w:r>
    </w:p>
    <w:p w14:paraId="559E26A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 стрелковый батальон был атакован превосходящими силами немцев. Подбив несколько танков противника, красноармейцы дружным огнём привели в замешательство гитлеровцев, а затем бросились в штыки. Не выдержав удара, немцы отступили. На поле боя ваши санитары насчитали 450 трупов вражеских солдат и офицеров.</w:t>
      </w:r>
    </w:p>
    <w:p w14:paraId="2F3DBF1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командира тов. Лопатина, поддерживая наступление наших войск, ворвался в глубину вражеской обороны. Огнём и гусеницами своей машины танкисты уничтожили 5 немецких противотанковых орудий и несколько десятков солдат и офицеров противника.</w:t>
      </w:r>
    </w:p>
    <w:p w14:paraId="6ED7C651"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во главе с лейтенантом Гавриковым, проникнув в тылпротивника, столкнулась с немецким отрядом. Огнём из автоматов и гранатами разведчики уничтожили 35 гитлеровцев.</w:t>
      </w:r>
    </w:p>
    <w:p w14:paraId="66DFF4C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Захватив оружие и документы, наши бойцы без потерь вернулись в свою часть.</w:t>
      </w:r>
    </w:p>
    <w:p w14:paraId="38BE711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Зенитчики дивизиона, которым командует тов. Будник, сбили немецкий </w:t>
      </w:r>
      <w:proofErr w:type="gramStart"/>
      <w:r w:rsidRPr="008127F8">
        <w:rPr>
          <w:rFonts w:ascii="Times New Roman" w:hAnsi="Times New Roman"/>
          <w:color w:val="000000" w:themeColor="text1"/>
          <w:sz w:val="16"/>
          <w:szCs w:val="16"/>
        </w:rPr>
        <w:t>самолет«</w:t>
      </w:r>
      <w:proofErr w:type="gramEnd"/>
      <w:r w:rsidRPr="008127F8">
        <w:rPr>
          <w:rFonts w:ascii="Times New Roman" w:hAnsi="Times New Roman"/>
          <w:color w:val="000000" w:themeColor="text1"/>
          <w:sz w:val="16"/>
          <w:szCs w:val="16"/>
        </w:rPr>
        <w:t>Ю-88», выпущенный с завода 26 февраля 1942 года за № 6719. Через несколько дней зенитчики этого же дивизиона сбили ещё 3 самолёта, выпущенных заводом в марте 1942 г. Один из лётчиков, выбросившийся с парашютом, взят в плен.</w:t>
      </w:r>
    </w:p>
    <w:p w14:paraId="7D05C11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А., действующий в одном из районов Смоленской области, за две недели произвёл ряд успешных нападений на немецких оккупантов. Гитлеровцы потеряли 47 солдат убитыми. Этот же отряд уничтожил на территории района всех немецких полицейских, в том числе начальника полиции и его помощников.</w:t>
      </w:r>
    </w:p>
    <w:p w14:paraId="60CE917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роты 6 немецкого истребительного отряда Леопольд Шальк рассказал: «В нашу часть недавно прибыл унтер-офицер Герберг. Ему уже 56 лет. Он стар, болен и совершенно непригоден к военной службе. На одном из привалов Герберг мне заявил: «Я согласен пойти на всё, лишь бы попасть живым домой».</w:t>
      </w:r>
    </w:p>
    <w:p w14:paraId="6FAF358E"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Генрих Тампен недавно писал семье Лкевенс в город Ольденбург: «...Русские атакуют нас везде и всюду. Здесь воевать тяжело. Из 1.000 человек у нас осталось только 200. Каждый день мы несём всё новые и новые потери. Продовольствие получаем с большими перерывами и перебиваемся картошкой и снежной водой. Мы живём, как животные, и выглядим, как животные».</w:t>
      </w:r>
    </w:p>
    <w:p w14:paraId="2FA672B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сейчас стало известно, в марте на одной из станций близ города Шверина (Германия) произошло кровавое столкновение между полицией и солдатами, отправлявшимися на советско-германский фронт. Полиция с помощью штурмовиков пыталась вытеснить женщин, собравшихся на станции. Между солдатами, выступившимина защиту своих жён, и полицией произошла ссора, вскоре перешедшая в побоище. Раздавались крики: «Долой войну!», «Пусть воюют толсторожие эсэсовцы!». Многие солдаты арестованы и под конвоем отправлены в тюрьму.» (15094).</w:t>
      </w:r>
    </w:p>
    <w:p w14:paraId="1F8A8535"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20250FB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в 1942 году вечернее сообщение Совинформбюро:</w:t>
      </w:r>
    </w:p>
    <w:p w14:paraId="48D94BB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апреля на фронте чего-либо существенного не произошло.</w:t>
      </w:r>
    </w:p>
    <w:p w14:paraId="533B13C2"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7 апреля уничтожен не 51 самолёт противника, как обэтом сообщалось ранее, а 63 немецких самолёта.</w:t>
      </w:r>
    </w:p>
    <w:p w14:paraId="1C71D69D"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апреля сбито в воздушных боях и уничтожено на аэродромах 25 немецких самолётов. Наши потери — 6 самолётов,</w:t>
      </w:r>
    </w:p>
    <w:p w14:paraId="56431668"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апреля частями нашей авиации уничтожено или повреждено 4 немецких танка, 15 автомашин с пехотой и грузами, 50 подвод с боеприпасами, 22 полевых и зенитных орудия; 11 миномётов, взорван склад с боеприпасами, рассеяно и частью уничтожено до 2 батальонов пехоты противника.</w:t>
      </w:r>
    </w:p>
    <w:p w14:paraId="66BF77A9"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(Западный фронт) в результате упорного боя заняла 40 немецких блиндажей. Захвачены у противника 3 орудия, 11 пулемётов, 35 винтовок и другие трофеи. В блиндажах, окопах и на дорогах осталось много трупов немецких солдат и офицеров.</w:t>
      </w:r>
    </w:p>
    <w:p w14:paraId="5A5E6D1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наши части уничтожили до 900 немецких солдат и офицеров.</w:t>
      </w:r>
    </w:p>
    <w:p w14:paraId="738C6F0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Звено лётчиков лейтенанта Олейника за два дня сбило в воздушных боях 4 и уничтожило на аэродромах 17 немецких самолётов «Ю-52». Звено лейтенанта Германа за это же время сбило в воздушных боях 5 и уничтожило на аэродромах 14 самолётов противника.</w:t>
      </w:r>
    </w:p>
    <w:p w14:paraId="6D8D92E0"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наших бойцов во главе с тов. Радыгиным (Калининский фронт) ворвались взанятую немцами деревню X. Красноармейцам в деревне присоединился колхозник тов. Савенков. Гитлеровцы пытались окружить дом, из которого вели огонь наши бойцы и колхозник. Однако, потеряв 10 солдат убитыми и 9 ранеными, немцы были вынуждены отступить. Подоспевшая наша часть заняла деревню.</w:t>
      </w:r>
    </w:p>
    <w:p w14:paraId="6B488219"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Смоленской области во главе с командиром тов. П. Организовал налёт на немецкий обоз. Советские патриоты огнём из автоматов и гранатами уничтожили 98 немецких солдат и захватили 2 автомашины и 8 повозок с военными грузами.</w:t>
      </w:r>
    </w:p>
    <w:p w14:paraId="57B3FA7B"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поле боя подобрано письмо немецкого солдата по имени Гельмут. Ниже приводятся выписки из письма:</w:t>
      </w:r>
    </w:p>
    <w:p w14:paraId="2E9D3533"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прожил только 16 фронтовых дней. Но всё, что я видел и пережил за эти дни, не поддаётся никакому описанию... Русские партизаны очень дерзки. Это самые бесстрашные люди на свете. Города и деревни, через которые мы проходили, ещё не завоёваны нашей армией.</w:t>
      </w:r>
    </w:p>
    <w:p w14:paraId="600EAA4F"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Война уже длится девятый месяц, но вы, в Мюнстере, не представляете себе, что творится на фронте. Вам морочат головы. Вы знаете, что Германия на очистках теряет ежегодно 4 с половиной миллиона тонн картофеля. Чтобы этот картофель не пропадал, газеты вам советуют кушать картофель в мундире. Это очень трогательно. Но сколько голов ежедневно теряют наши войска на Востоке, вы никогда, быть может, не узнаете... Наш полк сильно потрепали. Второй батальон полностью ликвидирован. От него осталась жалкая кучка. Много пулемётов, автомашин, боеприпасов досталось русским... Я прекрасно понимаю, что всякая война требует жертв. Но когда прибывающие резервы тают с такой быстротой, теряется вера впобеду. Это самое страшное. Солдаты уже не хотят воевать — таково впечатление свежего человека. Здесь не услышишь громких слов. Все стремятся как можно скорее выбраться отсюда с целыми костями. Всё остальное совершенно безразлично...».</w:t>
      </w:r>
    </w:p>
    <w:p w14:paraId="2DA88F2A"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натиском советских войск из деревни Семёновская, Калининской области, гитлеровские изверги расстреляли из пулемётов всех жителей деревни в количестве 140 человек. Вслед за этим гитлеровцы подожгли дома. В огне погибли все постройки, скот и несколько тяжело раненных колхозников.</w:t>
      </w:r>
    </w:p>
    <w:p w14:paraId="3688F867"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лесах, западнее Глогау (Германия), скрываются многочисленные группы немецких солдат, дезертировавших из немецкой армии. Недавно военные власти произвели массовую облаву на дезертиров. Однако солдаты, предупреждённые местными жителями, благополучно избежали опасности. Облава закончилась полным провалом.</w:t>
      </w:r>
    </w:p>
    <w:p w14:paraId="3FAE5F76" w14:textId="77777777" w:rsidR="00723610" w:rsidRPr="008127F8" w:rsidRDefault="0072361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войны трудящиеся Северного Корякского национального округа на Камчатке внесли в фонд обороны СССР 2.393.000 рублей наличными деньгами, на 4.593.000 рублей облигаций государственных займов, на 65.000 рублей различных сельскохозяйственных продуктов, 24 черно-бурые лисы, 60 соболей, 940 оленей и 25.000 тёплых меховых вещей для бойцов Красной Армии.» (15094).</w:t>
      </w:r>
    </w:p>
    <w:p w14:paraId="1F90F5C1" w14:textId="77777777" w:rsidR="00723610" w:rsidRPr="008127F8" w:rsidRDefault="00723610" w:rsidP="001E0A84">
      <w:pPr>
        <w:spacing w:after="0" w:line="240" w:lineRule="auto"/>
        <w:jc w:val="both"/>
        <w:rPr>
          <w:rFonts w:ascii="Times New Roman" w:hAnsi="Times New Roman"/>
          <w:color w:val="000000" w:themeColor="text1"/>
          <w:sz w:val="16"/>
          <w:szCs w:val="16"/>
        </w:rPr>
      </w:pPr>
    </w:p>
    <w:p w14:paraId="1730B65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1566 Об обеспечении строительства дополнительной линии укреплений вокруг г. Москвы. (7029, 77).</w:t>
      </w:r>
    </w:p>
    <w:p w14:paraId="42CF2D0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F12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вышло Постановление ГКО № 1567 О порядке денежного обеспечения лиц, вступивших в народное ополчение, истребительные батальоны и партизанские отряды, мобилизованных на оборонные работы и призванных в формирования МПВО. РГАНИР, Фонд ГКО, д. 28, лл. 78-80 (11012).</w:t>
      </w:r>
    </w:p>
    <w:p w14:paraId="747E31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ПОРЯДКЕ ДЕНЕЖНОГО ОБЕСПЕЧЕНИЯ ЛИЦ, ВСТУПИВШИХ В НАРОДНОЕ ОПОЛЧЕНИЕ, ИСТРЕБИТЕЛЬНЫЕ БАТАЛЬОНЫ И ПАРТИЗАНСКИЕ ОТРЯДЫ, МОБИЛИЗОВАННЫХ НА ОБОРОННЫЕ РАБОТЫ И ПРИЗВАННЫХ В ФОРМИРОВАНИЯ МПВО</w:t>
      </w:r>
    </w:p>
    <w:p w14:paraId="283823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Кремль</w:t>
      </w:r>
    </w:p>
    <w:p w14:paraId="0CC94F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2204F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Установить, что лица, вступившие </w:t>
      </w:r>
      <w:proofErr w:type="gramStart"/>
      <w:r w:rsidRPr="008127F8">
        <w:rPr>
          <w:rFonts w:ascii="Times New Roman" w:hAnsi="Times New Roman"/>
          <w:color w:val="000000" w:themeColor="text1"/>
          <w:sz w:val="16"/>
          <w:szCs w:val="16"/>
        </w:rPr>
        <w:t>в народное ополчение</w:t>
      </w:r>
      <w:proofErr w:type="gramEnd"/>
      <w:r w:rsidRPr="008127F8">
        <w:rPr>
          <w:rFonts w:ascii="Times New Roman" w:hAnsi="Times New Roman"/>
          <w:color w:val="000000" w:themeColor="text1"/>
          <w:sz w:val="16"/>
          <w:szCs w:val="16"/>
        </w:rPr>
        <w:t xml:space="preserve"> обеспечиваются Народным комиссариатом обороны денежным и материальным довольствием по нормам, действующим в Красной Армии.</w:t>
      </w:r>
    </w:p>
    <w:p w14:paraId="330440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Бойцы истребительных батальонов, переведенные на казарменное положение, обеспечиваются денежным и материальным довольствием Народным комиссариатом внутренних дел СССР в порядке:</w:t>
      </w:r>
    </w:p>
    <w:p w14:paraId="4526CCF6"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лица, сверстники которых мобилизованы, — по нормам, действующим в Красной Армии;</w:t>
      </w:r>
    </w:p>
    <w:p w14:paraId="7C91DFA4"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лица, не подлежащие призыву, — по нормам, действующим для рядового и младшего начальствующего состава милиции.</w:t>
      </w:r>
    </w:p>
    <w:p w14:paraId="033D9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рабочим и служащим государственных предприятий, учреждений, кооперативных и общественных организаций, а также учащимся, состоящим в партизанских отрядах, пособие в размере их среднего заработка по месту прежней работы.</w:t>
      </w:r>
    </w:p>
    <w:p w14:paraId="6C752C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Семьям партизан, не имевших ко дню вступления в партизанские отряды заработка, а также семьям партизан-колхозников, свободных профессий выплачивать пособие в соответствии с Указом Президиума Верховного Совета СССР от 26 июня 1941 года “О порядке назначения и выплаты пособий семьям военнослужащих рядового и младшего начальствующего состава в военное время”.</w:t>
      </w:r>
    </w:p>
    <w:p w14:paraId="6632C5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Наркомфин СССР совместно с НКВД СССР издать инструкцию о порядке выдачи пособий партизанам и их семьям.</w:t>
      </w:r>
    </w:p>
    <w:p w14:paraId="44C7CE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Лицам, временно призванным в городские и участковые формирования местной противовоздушной обороны с отрывом от производства, выплачивать за счет местного бюджета их средний заработок, но не свыше 400 рублей в месяц, включая стоимость питания.</w:t>
      </w:r>
    </w:p>
    <w:p w14:paraId="404223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Распространить на ополченцев, бойцов истребительных батальонов, содержащихся по нормам Красной Армии, и партизан, а также на семьи этих лиц постановления СНК СССР № 1269 от 16 июля 1940г. “О пенсиях военнослужащих рядового и младшего начальствующего состава срочной службы и их семьям”, № 14 от 5 июня 1941 г. “О пенсиях и пособиях лицам высшего, старшего и среднего начальствующего состава и их семьям” и Указ Президиума Верховного Совета СССР от 26 июня 1941 г. “О порядке назначения и выплаты пособий семьям военнослужащих рядового и младшего начальствующего состава в военное время”.</w:t>
      </w:r>
    </w:p>
    <w:p w14:paraId="4460B8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Прекратить с 1 апреля 1942 г. выплату заработной платы по месту прежней работы:</w:t>
      </w:r>
    </w:p>
    <w:p w14:paraId="4D8E7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ополченцам и бойцам истребительных батальонов;</w:t>
      </w:r>
    </w:p>
    <w:p w14:paraId="6E2270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лицам, призванным в формирования МПВО и мобилизованным на оборонные работы.</w:t>
      </w:r>
    </w:p>
    <w:p w14:paraId="3A500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Считать утратившими силу постановления:</w:t>
      </w:r>
    </w:p>
    <w:p w14:paraId="2AA921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"/wiki/%D0%9F%D0%BE%D1%81%D1%82%D0%B0%D0%BD%D0%BE%D0%B2%D0%BB%D0%B5%D0%BD%D0%B8%D0%B5_%D0%93%D0%9A%D0%9E_%E2%84%96_10_%D0%BE%D1%82_4.07.41"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ГОКО от 4 июля 1941 г. № 10</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 xml:space="preserve"> и 10 июля 1941 г. № 84 “О денежном обеспечении лиц, вступивших в народное ополчение”.</w:t>
      </w:r>
    </w:p>
    <w:p w14:paraId="356A3F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ГОКО от 29 июля 1941 г. № 326 и СНК СССР от 27 августа 1941 г. № 2010 “О денежном обеспечении партизан и их семей”.</w:t>
      </w:r>
    </w:p>
    <w:p w14:paraId="4825D7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"/wiki/%D0%9F%D0%BE%D1%81%D1%82%D0%B0%D0%BD%D0%BE%D0%B2%D0%BB%D0%B5%D0%BD%D0%B8%D0%B5_%D0%93%D0%9A%D0%9E_%E2%84%96_76c%D1%81_%D0%BE%D1%82_9.07.41"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ГОКО от 9 июля 1941 г. № 76</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 от 24 июля 1941 г. № 260сс и 261сс, от 24 августа 1941 г. № 575сс и распоряжение СНК СССР от 25 июля 1941 г. № 3937рс “О зарплате и питании бойцов истребительных батальонов”.</w:t>
      </w:r>
    </w:p>
    <w:p w14:paraId="6EBBD1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Распоряжение СНК СССР от 2 июля 1941 г. № 2410рс “О бесплатном питании личного состава милиции и пожарной охраны”.</w:t>
      </w:r>
    </w:p>
    <w:p w14:paraId="366F6E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 Постановление СНК СССР от 4 октября 1932 г. № 1525/319 в части сохранения за призванными на сборы МПВО средней заработной платы по месту их работы.</w:t>
      </w:r>
    </w:p>
    <w:p w14:paraId="6C01E0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w:t>
      </w:r>
    </w:p>
    <w:p w14:paraId="1F0B0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Комитета Обороны</w:t>
      </w:r>
    </w:p>
    <w:p w14:paraId="057F94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w:t>
      </w:r>
    </w:p>
    <w:p w14:paraId="0A6B44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РГАСПИ Ф. 644. Оп. 1. Дело 28 Листы 78—80</w:t>
      </w:r>
    </w:p>
    <w:p w14:paraId="503822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РГВА Ф. 4. Оп. 11. Дело 70 Листы. 132—134. Подлинник (12013).</w:t>
      </w:r>
    </w:p>
    <w:p w14:paraId="149567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F2A6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ACBBC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3462A"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 Президиум Верховного Совета СССР Указом с 1 апреля отменял выдачу денежной компенсации трудящимся. Государственные, кооперативные и общественные учреждения и организации обязаны были переводить суммы денежной компенсации за неиспользованные отпуска в сберегательные кассы на специальные счета граждан (под 3% годовых). Выдача средств по этим вкладам откладывалась до окончания войны. На 1 декабря 1945 г. в сберкассах имелось по специальным вкладам около 32 млн. счетов. Средства, поступавшие на эти счета, направлялись в государственный бюджет СССР в порядке особого государственного займа (18390).</w:t>
      </w:r>
    </w:p>
    <w:p w14:paraId="59A78695" w14:textId="77777777" w:rsidR="00E20FF9" w:rsidRPr="008127F8" w:rsidRDefault="00E20FF9" w:rsidP="001E0A84">
      <w:pPr>
        <w:spacing w:after="0" w:line="240" w:lineRule="auto"/>
        <w:jc w:val="both"/>
        <w:rPr>
          <w:rFonts w:ascii="Times New Roman" w:hAnsi="Times New Roman"/>
          <w:color w:val="000000" w:themeColor="text1"/>
          <w:sz w:val="16"/>
          <w:szCs w:val="16"/>
        </w:rPr>
      </w:pPr>
    </w:p>
    <w:p w14:paraId="0AE2ED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ГКО принял постановление о перевозке грузов для Ленинграда и ЛФ через Ладожское озеро в навигацию 1942 (3186).</w:t>
      </w:r>
    </w:p>
    <w:p w14:paraId="3EB86C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1513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305F6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CDD9C7"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в 1942 году боевое применение «Aichi» «D3A» и «Nakajima» «B5N». 9 апреля в 6:00 утра с японских авианосцев, находящихся в 100 милях от Трикомали поднялся 91 бомбардировщик «B5N2» полковника Фучиды. Их сопровождали 45 «А6М2» полковника Итаи. Построившись, самолеты взяли курс на Тринкомали (Шри-Ланка). Как и три дня назад англичане заметили приближающиеся самолеты, и снова опоздали поднять в воздух истребители. Японцы спокойно отбомбились, пустив на дно транспорт "Сагаинг" и вспомогательный монитор "Эребус". Лишь группа «А6М2» с авианосца "Дзуйкаку" перехватила звено "Харрикейнов" и 261-й эскадрильи RAF. Обе стороны потеряли по два самолета. Лишь когда японские бомбардировщики легли на обратный курс, их перехватили английские истребители. Японские истребители организовали прикрытие. Завязался бой, в котором англичане потеряли 9 "Харрикейнов", а японцы 3 «А6М2» и 2 «B5N2». Тем временем гидроплан линейного крейсера "Харуна" в 7:55 обнаружил английский авианосец "Гермес" в сопровождении трех эсминцев. Повторились события трехдневной давности. Нагумо поднял в воздух резервные пикировщики, всего 85 «D3A1», которых сопровождали 9 истребителей. В 10:23 японцы обнаружили "Гермес" и атаковали авианосец противника. Налет проходил в две фазы. Первый эшелон, состоявший из самолетов с авианосцев "Сёкаку" и "Дзуйкаку", сумел добиться более десяти прямых попаданий.</w:t>
      </w:r>
    </w:p>
    <w:p w14:paraId="22285BE5"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Авианосец «Гермес» («HMS Hermes») начал тонуть. Тогда боевой заход совершили пикировщики с "Акаги" и "Хирю". Самолеты шли над самой водой и лишь перед целью резко набирали высоту 30-40 метров, сбрасывая при этом бомбы. Авианосец пошел на дно, унося с собой капитана и 306 матросов и офицеров экипажа. Кроме авианосца на дно пошли эсминец "Вампайр", корвет "Холлихок" и вспомогательное судно "Этельстоун". Пикировщики с "Сорю", которые немного опоздали к началу налета, уже ничего не обнаружили, поэтому отправились на поиск какой-либо цели. Им удалось обнаружить шедший неподалеку конвой из трех кораблей. Японцы пустили на дно танкер "Бритиш Сержант" и транспорт "Норвикен". Шедшее третьим госпитальное судно "Вита" японцы не тронули. Спустя несколько минут после того, как "Гермес" скрылся в пучине, к месту боя подоспели "Фульмары" из 273-й эскадрильи FAA. Хотя было уже поздно, истребителям удалось сбить три пикировщика, а еще три повредить. Еще восемь "Фульмаров" (803-я и 806-я эскадрильи) перехватили бомбардировщики с "Сорю", которые несмотря на отсутствие истребителей сопровождения оказались серьезным противником. Воды Индийского океана поглотили два английских истребителя и четыре D3A1</w:t>
      </w:r>
    </w:p>
    <w:p w14:paraId="015A274D"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 японцы бомбили Трикомали и охотились за "Гермесом", над японскими авианосцами показались девять "Бленхеймов" из 11-й эскадрильи RAF, которые вылетели в 8:20 с аэродрома Рейскорс. Японцы оказались застигнутыми врасплох, но воспользоваться неожиданностью англичанам не удалось. Бомбы, сброшенные с высоты 3000 метров, легли неподалеку от "Акаги" и "Тонэ", не причинив кораблям вреда. На обратном пути англичан перехватили японские истребители, поэтому на аэродром вернулось только три "Бленхейма". Однако эта жертва оказалась ненапрасной. Адмирал Нагумо решил не рисковать и увел эскадру. Опыт боев показал, что самолеты D3A1 оказались великолепными пикировщиками, и до появления у американцев бомбардировщиков "Донтлесс" и "Хеллдайвер" не имели себе равных (15094).</w:t>
      </w:r>
    </w:p>
    <w:p w14:paraId="7AA276E8"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26905B81" w14:textId="77777777" w:rsidR="006D662C" w:rsidRPr="008127F8" w:rsidRDefault="006D66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апреля 1942 129 самолетов с японских авианосцев Akagi, Hiryū, Sryū, Shōkaku и Zuikaku наносят удар по Тринкомали, </w:t>
      </w:r>
      <w:proofErr w:type="gramStart"/>
      <w:r w:rsidRPr="008127F8">
        <w:rPr>
          <w:rFonts w:ascii="Times New Roman" w:hAnsi="Times New Roman"/>
          <w:color w:val="000000" w:themeColor="text1"/>
          <w:sz w:val="16"/>
          <w:szCs w:val="16"/>
        </w:rPr>
        <w:t>Цейлон .</w:t>
      </w:r>
      <w:proofErr w:type="gramEnd"/>
      <w:r w:rsidRPr="008127F8">
        <w:rPr>
          <w:rFonts w:ascii="Times New Roman" w:hAnsi="Times New Roman"/>
          <w:color w:val="000000" w:themeColor="text1"/>
          <w:sz w:val="16"/>
          <w:szCs w:val="16"/>
        </w:rPr>
        <w:t xml:space="preserve"> Вторая волна в полдень потопила британский авианосец HMS Hermes у Баттикалоа, Цейлон. Гермес становится первым авианосцем, потопленным самолетами (20793).</w:t>
      </w:r>
    </w:p>
    <w:p w14:paraId="0B132E45" w14:textId="77777777" w:rsidR="006D662C" w:rsidRPr="008127F8" w:rsidRDefault="006D662C" w:rsidP="001E0A84">
      <w:pPr>
        <w:spacing w:after="0" w:line="240" w:lineRule="auto"/>
        <w:jc w:val="both"/>
        <w:rPr>
          <w:rFonts w:ascii="Times New Roman" w:hAnsi="Times New Roman"/>
          <w:color w:val="000000" w:themeColor="text1"/>
          <w:sz w:val="16"/>
          <w:szCs w:val="16"/>
        </w:rPr>
      </w:pPr>
    </w:p>
    <w:p w14:paraId="45B89C7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апреля 1942 японцы погнали в концлагерь на острове Батаан (Филиппины) 70 тысяч американских и филиппинских военнопленных, </w:t>
      </w:r>
      <w:proofErr w:type="gramStart"/>
      <w:r w:rsidRPr="008127F8">
        <w:rPr>
          <w:rFonts w:ascii="Times New Roman" w:hAnsi="Times New Roman"/>
          <w:color w:val="000000" w:themeColor="text1"/>
          <w:sz w:val="16"/>
          <w:szCs w:val="16"/>
        </w:rPr>
        <w:t>около 10 тысяч</w:t>
      </w:r>
      <w:proofErr w:type="gramEnd"/>
      <w:r w:rsidRPr="008127F8">
        <w:rPr>
          <w:rFonts w:ascii="Times New Roman" w:hAnsi="Times New Roman"/>
          <w:color w:val="000000" w:themeColor="text1"/>
          <w:sz w:val="16"/>
          <w:szCs w:val="16"/>
        </w:rPr>
        <w:t xml:space="preserve"> из которых погибли в пути (“марш смерти”) (4962).</w:t>
      </w:r>
    </w:p>
    <w:p w14:paraId="565856A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0220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1942 японцы захватили Батаан на Филиппинах. Из 75 тыс., отбывших 15 апреля в 100 км марш дошло 29 апреля 51 тыс. (2245,3).</w:t>
      </w:r>
    </w:p>
    <w:p w14:paraId="6AB654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21BD7"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в 1942 году японские самолеты атаковали и потопили британские авианосец Гермес и подводную лодку к северу от Цейлона (15094).</w:t>
      </w:r>
    </w:p>
    <w:p w14:paraId="5052EF7B"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18BA1C93"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в 1942 году колониальные власти Индии арестовали Махатму Ганди (15094).</w:t>
      </w:r>
    </w:p>
    <w:p w14:paraId="36E6F38B"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5519E18E"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апреля в 1942 году американские и филлипинские войска на острове Лузон (Филипины) сдались японцам. Японцы гонят в концлагерь на острове Батаан (Филиппины) 70 тысяч американских и филиппинских военнопленных, </w:t>
      </w:r>
      <w:proofErr w:type="gramStart"/>
      <w:r w:rsidRPr="008127F8">
        <w:rPr>
          <w:rFonts w:ascii="Times New Roman" w:hAnsi="Times New Roman"/>
          <w:color w:val="000000" w:themeColor="text1"/>
          <w:sz w:val="16"/>
          <w:szCs w:val="16"/>
        </w:rPr>
        <w:t>около 10 тысяч</w:t>
      </w:r>
      <w:proofErr w:type="gramEnd"/>
      <w:r w:rsidRPr="008127F8">
        <w:rPr>
          <w:rFonts w:ascii="Times New Roman" w:hAnsi="Times New Roman"/>
          <w:color w:val="000000" w:themeColor="text1"/>
          <w:sz w:val="16"/>
          <w:szCs w:val="16"/>
        </w:rPr>
        <w:t xml:space="preserve"> из которых погибнет в пути ("марш смерти") (15094).</w:t>
      </w:r>
    </w:p>
    <w:p w14:paraId="5CEED80E"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51E3784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E8980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1D1A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или 11 апреля 1942 вышел приказ Командующего ВВС и НКАП N 061/271с о проведении совместных испытаний самолета ЛаГГ-3 с М-82.</w:t>
      </w:r>
    </w:p>
    <w:p w14:paraId="238E3E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определения ЛТД самолета ЛаГГ-3 с М-82:</w:t>
      </w:r>
    </w:p>
    <w:p w14:paraId="22F9B4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НИИ ВВС Федорову и нач. ЛИИ Чесалову провести совместные испытаний самолета ЛаГГ-3 с М-82 в Горьком на заводе 21 по прилагаемой программе, утвержденной ГИ ВВС И.Ф.П. (1547,3).</w:t>
      </w:r>
    </w:p>
    <w:p w14:paraId="609C83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7A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(спустя всего два дня после приказа о прекращении выпуска ЛаГГов и передаче завода № 21 Яковлеву!) совместным приказом ВВС и НКАП предписывалось провести совместные государственные испытания, выполнять которые была назначена комиссия в составе летчиков-испытателей А.П.Якимова (НКАП), А.Г.Кубышкина (НИИ ВВС) и ведущих инженеров В.Н.Сагинова (от НКАП), А.Н.Фролова (НИИ ВВС). Срок испытаний - пять дней (4707).</w:t>
      </w:r>
    </w:p>
    <w:p w14:paraId="5BFD52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5C3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вышел совместный приказ ВВС и НКАП № 061/271 об организации совместных испытаний ЛаГГ-3 с М-82 в г. Горьком. Для про</w:t>
      </w:r>
      <w:r w:rsidRPr="008127F8">
        <w:rPr>
          <w:rFonts w:ascii="Times New Roman" w:hAnsi="Times New Roman"/>
          <w:color w:val="000000" w:themeColor="text1"/>
          <w:sz w:val="16"/>
          <w:szCs w:val="16"/>
        </w:rPr>
        <w:softHyphen/>
        <w:t>ведения испытания были назначены: ведущий инженер по самолету - на</w:t>
      </w:r>
      <w:r w:rsidRPr="008127F8">
        <w:rPr>
          <w:rFonts w:ascii="Times New Roman" w:hAnsi="Times New Roman"/>
          <w:color w:val="000000" w:themeColor="text1"/>
          <w:sz w:val="16"/>
          <w:szCs w:val="16"/>
        </w:rPr>
        <w:softHyphen/>
        <w:t>чальник истребительного отдела НИИ ВВС военинженер 1 ранга А.Н. Фро</w:t>
      </w:r>
      <w:r w:rsidRPr="008127F8">
        <w:rPr>
          <w:rFonts w:ascii="Times New Roman" w:hAnsi="Times New Roman"/>
          <w:color w:val="000000" w:themeColor="text1"/>
          <w:sz w:val="16"/>
          <w:szCs w:val="16"/>
        </w:rPr>
        <w:softHyphen/>
        <w:t>лов, ведущий инженер от ЛИИ НКАП - инженер В.Н. Сатинов, 1-й веду</w:t>
      </w:r>
      <w:r w:rsidRPr="008127F8">
        <w:rPr>
          <w:rFonts w:ascii="Times New Roman" w:hAnsi="Times New Roman"/>
          <w:color w:val="000000" w:themeColor="text1"/>
          <w:sz w:val="16"/>
          <w:szCs w:val="16"/>
        </w:rPr>
        <w:softHyphen/>
        <w:t>щий летчик - летчик-испытатель НИИ ВВС капитан А.Г. Кубышкин, 2-й веду</w:t>
      </w:r>
      <w:r w:rsidRPr="008127F8">
        <w:rPr>
          <w:rFonts w:ascii="Times New Roman" w:hAnsi="Times New Roman"/>
          <w:color w:val="000000" w:themeColor="text1"/>
          <w:sz w:val="16"/>
          <w:szCs w:val="16"/>
        </w:rPr>
        <w:softHyphen/>
        <w:t>щий летчик - летчик-испытатель ЛИИ НКАП А.П. Якимов (10686).</w:t>
      </w:r>
    </w:p>
    <w:p w14:paraId="2F6F2E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1D3EB" w14:textId="77777777" w:rsidR="00A23368" w:rsidRPr="008127F8" w:rsidRDefault="00A23368" w:rsidP="001E0A84">
      <w:pPr>
        <w:pStyle w:val="a4"/>
        <w:rPr>
          <w:color w:val="000000" w:themeColor="text1"/>
          <w:lang w:val="ru-RU"/>
        </w:rPr>
      </w:pPr>
      <w:r w:rsidRPr="008127F8">
        <w:rPr>
          <w:color w:val="000000" w:themeColor="text1"/>
          <w:lang w:val="ru-RU"/>
        </w:rPr>
        <w:t>10 апреля 1942 вышел совместный приказ ВВС и НКАП № 061/271 об органи</w:t>
      </w:r>
      <w:r w:rsidRPr="008127F8">
        <w:rPr>
          <w:color w:val="000000" w:themeColor="text1"/>
          <w:lang w:val="ru-RU"/>
        </w:rPr>
        <w:softHyphen/>
        <w:t>ки совместных испытаний ЛаГГ-3 с М-82 в г. Горьком. Для проведения испытания были назначены: ведущий инженер по самолёту — начальник истребительного отдела НИИ ВВС военинженер 1 ранга А.Н. Фролов, ведущий инженер от ЛИИ НКАП — инженер В.Н. Сагинов, 1-й ведущий лётчик — лётчик-испытатель НИИ ВВС капитан А.Г. Кубышкин, 2-й ведущий лётчик — лётчик-испытатель ЛИИ НКАП А.П. Якимов. Бригада прибыла в Горький 16 апреля и начала готовить самолёт к испытаниям. Дело осложнилось тем, что заводской грунтовой аэродром раскис, и 20 числа испытания пришлось перевести в г. Правдинск, там на военном аэродроме имелась бетонная полоса, (течение 21-23 апреля Якимов и Кубышкин провели ряд полётов по снятию летных характеристик,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5F0BB97B" w14:textId="77777777" w:rsidR="00A23368" w:rsidRPr="008127F8" w:rsidRDefault="00A23368" w:rsidP="001E0A84">
      <w:pPr>
        <w:pStyle w:val="a4"/>
        <w:rPr>
          <w:color w:val="000000" w:themeColor="text1"/>
          <w:lang w:val="ru-RU"/>
        </w:rPr>
      </w:pPr>
    </w:p>
    <w:p w14:paraId="615028B5"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10 апреля 1942 года вышел приказ НКАП №061/271с, по которому для определения летно</w:t>
      </w:r>
      <w:r w:rsidRPr="008127F8">
        <w:rPr>
          <w:rFonts w:ascii="Times New Roman" w:hAnsi="Times New Roman"/>
          <w:color w:val="000000" w:themeColor="text1"/>
          <w:sz w:val="16"/>
          <w:szCs w:val="16"/>
        </w:rPr>
        <w:softHyphen/>
        <w:t>тактических данных самолета ЛАГГ-3 с мотором М-82, в Горьком, на заводе №21, проводились совместные (НИИ ВВС и ЛИИ) испытания самолета. Испытания должны были завершиться в течение пяти летных дней. Для проведения испытаний назначались:</w:t>
      </w:r>
    </w:p>
    <w:p w14:paraId="5B369F90"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«Ведущим инженером по самолету — начальник истребительного отряда отделения НИИ ВВС, военинженер 1 ранга — т. Фролов А.Н.,</w:t>
      </w:r>
    </w:p>
    <w:p w14:paraId="59944229"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Ведущим инженерам от ЛИИ НКАП - инженер т. Сагинов</w:t>
      </w:r>
    </w:p>
    <w:p w14:paraId="27BAF97C"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летчикам - летчик-испытатель НИИ ВВС капитан т, Кубышкин П.В., 2-м ведущим летчикам - летчик-испытатель ЛИИ ИКАП т. Якимов А.П.» (21100).</w:t>
      </w:r>
    </w:p>
    <w:p w14:paraId="4B01D4AD" w14:textId="77777777" w:rsidR="00B503F2" w:rsidRPr="008127F8" w:rsidRDefault="00B503F2" w:rsidP="001E0A84">
      <w:pPr>
        <w:spacing w:after="0" w:line="240" w:lineRule="auto"/>
        <w:jc w:val="both"/>
        <w:rPr>
          <w:rFonts w:ascii="Times New Roman" w:hAnsi="Times New Roman"/>
          <w:color w:val="000000" w:themeColor="text1"/>
          <w:sz w:val="16"/>
          <w:szCs w:val="16"/>
        </w:rPr>
      </w:pPr>
    </w:p>
    <w:p w14:paraId="5E78B389" w14:textId="77777777" w:rsidR="009E593A" w:rsidRPr="008A2E5A" w:rsidRDefault="009E593A" w:rsidP="009E59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апреля 1942 г. вышел приказ ВВС-НКАП № 061/271 об орга</w:t>
      </w:r>
      <w:r w:rsidRPr="008A2E5A">
        <w:rPr>
          <w:rFonts w:ascii="Times New Roman" w:hAnsi="Times New Roman"/>
          <w:color w:val="0070C0"/>
          <w:sz w:val="16"/>
          <w:szCs w:val="16"/>
        </w:rPr>
        <w:softHyphen/>
        <w:t>низации совместных испытаний ЛаГГ-3 с М</w:t>
      </w:r>
      <w:r w:rsidRPr="008A2E5A">
        <w:rPr>
          <w:rFonts w:ascii="Times New Roman" w:hAnsi="Times New Roman"/>
          <w:color w:val="0070C0"/>
          <w:sz w:val="16"/>
          <w:szCs w:val="16"/>
        </w:rPr>
        <w:softHyphen/>
        <w:t>82 в городе Горьком. Передача самолета на эти испытания происходила во второй поло</w:t>
      </w:r>
      <w:r w:rsidRPr="008A2E5A">
        <w:rPr>
          <w:rFonts w:ascii="Times New Roman" w:hAnsi="Times New Roman"/>
          <w:color w:val="0070C0"/>
          <w:sz w:val="16"/>
          <w:szCs w:val="16"/>
        </w:rPr>
        <w:softHyphen/>
        <w:t>вине апреля, когда воздух прогрелся до 10</w:t>
      </w:r>
      <w:r w:rsidRPr="008A2E5A">
        <w:rPr>
          <w:rFonts w:ascii="Times New Roman" w:hAnsi="Times New Roman"/>
          <w:color w:val="0070C0"/>
          <w:sz w:val="16"/>
          <w:szCs w:val="16"/>
        </w:rPr>
        <w:softHyphen/>
        <w:t>15 градусов. В этих условиях температурный режим работы двигателя не обеспечивал не</w:t>
      </w:r>
      <w:r w:rsidRPr="008A2E5A">
        <w:rPr>
          <w:rFonts w:ascii="Times New Roman" w:hAnsi="Times New Roman"/>
          <w:color w:val="0070C0"/>
          <w:sz w:val="16"/>
          <w:szCs w:val="16"/>
        </w:rPr>
        <w:softHyphen/>
        <w:t>прерывного набора высоты. Уже на высоте 2</w:t>
      </w:r>
      <w:r w:rsidRPr="008A2E5A">
        <w:rPr>
          <w:rFonts w:ascii="Times New Roman" w:hAnsi="Times New Roman"/>
          <w:color w:val="0070C0"/>
          <w:sz w:val="16"/>
          <w:szCs w:val="16"/>
        </w:rPr>
        <w:softHyphen/>
        <w:t>3 км головки цилиндров нагревались до 270 градусов, а масло на выходе из мотора - до 127 градусов.</w:t>
      </w:r>
    </w:p>
    <w:p w14:paraId="578C6FF3" w14:textId="77777777" w:rsidR="009E593A" w:rsidRPr="008A2E5A" w:rsidRDefault="009E593A" w:rsidP="009E59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Объединенный испытательной бригаде, в которую вошли ведущий инженер по самоле</w:t>
      </w:r>
      <w:r w:rsidRPr="008A2E5A">
        <w:rPr>
          <w:rFonts w:ascii="Times New Roman" w:hAnsi="Times New Roman"/>
          <w:color w:val="0070C0"/>
          <w:sz w:val="16"/>
          <w:szCs w:val="16"/>
        </w:rPr>
        <w:softHyphen/>
        <w:t>ту начальник истребительного отдела НИИ ВВС военинженер 1 ранга А.Н. Фролов, веду</w:t>
      </w:r>
      <w:r w:rsidRPr="008A2E5A">
        <w:rPr>
          <w:rFonts w:ascii="Times New Roman" w:hAnsi="Times New Roman"/>
          <w:color w:val="0070C0"/>
          <w:sz w:val="16"/>
          <w:szCs w:val="16"/>
        </w:rPr>
        <w:softHyphen/>
        <w:t>щий инженер ЛИИ - инженер В.Н. Сатинов, 1</w:t>
      </w:r>
      <w:r w:rsidRPr="008A2E5A">
        <w:rPr>
          <w:rFonts w:ascii="Times New Roman" w:hAnsi="Times New Roman"/>
          <w:color w:val="0070C0"/>
          <w:sz w:val="16"/>
          <w:szCs w:val="16"/>
        </w:rPr>
        <w:softHyphen/>
        <w:t>й ведущий летчик - летчик-испытатель НИИ ВВС капитан А.Г. Кубышкин, 2-й ведущий лет</w:t>
      </w:r>
      <w:r w:rsidRPr="008A2E5A">
        <w:rPr>
          <w:rFonts w:ascii="Times New Roman" w:hAnsi="Times New Roman"/>
          <w:color w:val="0070C0"/>
          <w:sz w:val="16"/>
          <w:szCs w:val="16"/>
        </w:rPr>
        <w:softHyphen/>
        <w:t>чик - летчик-испытатель ЛИИ А.П. Якимов предстояло не только провести испытания новой машины, но и принять участие в ее до</w:t>
      </w:r>
      <w:r w:rsidRPr="008A2E5A">
        <w:rPr>
          <w:rFonts w:ascii="Times New Roman" w:hAnsi="Times New Roman"/>
          <w:color w:val="0070C0"/>
          <w:sz w:val="16"/>
          <w:szCs w:val="16"/>
        </w:rPr>
        <w:softHyphen/>
        <w:t>водке до приемлемого состояния. На это ушло больше трех недель (23389).</w:t>
      </w:r>
    </w:p>
    <w:p w14:paraId="41AFADAC" w14:textId="77777777" w:rsidR="009E593A" w:rsidRPr="008A2E5A" w:rsidRDefault="009E593A" w:rsidP="009E593A">
      <w:pPr>
        <w:spacing w:after="0" w:line="240" w:lineRule="auto"/>
        <w:jc w:val="both"/>
        <w:rPr>
          <w:rFonts w:ascii="Times New Roman" w:hAnsi="Times New Roman"/>
          <w:color w:val="0070C0"/>
          <w:sz w:val="16"/>
          <w:szCs w:val="16"/>
        </w:rPr>
      </w:pPr>
    </w:p>
    <w:p w14:paraId="2048C764"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года</w:t>
      </w:r>
    </w:p>
    <w:p w14:paraId="2316194D" w14:textId="77777777" w:rsidR="00B503F2" w:rsidRPr="008127F8" w:rsidRDefault="00B503F2" w:rsidP="001E0A84">
      <w:pPr>
        <w:spacing w:after="0" w:line="240" w:lineRule="auto"/>
        <w:jc w:val="both"/>
        <w:rPr>
          <w:rFonts w:ascii="Times New Roman" w:hAnsi="Times New Roman"/>
          <w:color w:val="000000" w:themeColor="text1"/>
          <w:sz w:val="16"/>
          <w:szCs w:val="16"/>
        </w:rPr>
      </w:pPr>
      <w:bookmarkStart w:id="22" w:name="bookmark56"/>
      <w:r w:rsidRPr="008127F8">
        <w:rPr>
          <w:rFonts w:ascii="Times New Roman" w:hAnsi="Times New Roman"/>
          <w:color w:val="000000" w:themeColor="text1"/>
          <w:sz w:val="16"/>
          <w:szCs w:val="16"/>
        </w:rPr>
        <w:t>“Утверждаю”</w:t>
      </w:r>
      <w:bookmarkEnd w:id="22"/>
    </w:p>
    <w:p w14:paraId="21D56DE0"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инженер ВВС</w:t>
      </w:r>
    </w:p>
    <w:p w14:paraId="13E4E81E"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Красной Армии</w:t>
      </w:r>
    </w:p>
    <w:p w14:paraId="4FA99426"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Генерал-лейтенант Авиации</w:t>
      </w:r>
    </w:p>
    <w:p w14:paraId="37A55A0F"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Петров</w:t>
      </w:r>
    </w:p>
    <w:p w14:paraId="5D7CCCA3"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года</w:t>
      </w:r>
    </w:p>
    <w:p w14:paraId="17C3653B"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w:t>
      </w:r>
    </w:p>
    <w:p w14:paraId="3E0F3E02"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проведения совместных летных испытаний самолета ЛАГГ-3 с мотором М-82.</w:t>
      </w:r>
    </w:p>
    <w:p w14:paraId="69CAA7B1"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Цель испытания</w:t>
      </w:r>
    </w:p>
    <w:p w14:paraId="1E9030C2"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Определить летно-тактические данные самолета ЛАГГ-3 с М-82.</w:t>
      </w:r>
    </w:p>
    <w:p w14:paraId="1CAB34D5"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Определить целесообразность принятия самолета на вооружение Красной Армии.</w:t>
      </w:r>
    </w:p>
    <w:p w14:paraId="6F168540"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mc:AlternateContent>
          <mc:Choice Requires="wps">
            <w:drawing>
              <wp:anchor distT="0" distB="0" distL="0" distR="0" simplePos="0" relativeHeight="251659264" behindDoc="0" locked="0" layoutInCell="1" allowOverlap="1" wp14:anchorId="5AAC2C48" wp14:editId="1A2BA2EC">
                <wp:simplePos x="0" y="0"/>
                <wp:positionH relativeFrom="page">
                  <wp:posOffset>3518535</wp:posOffset>
                </wp:positionH>
                <wp:positionV relativeFrom="margin">
                  <wp:posOffset>12325350</wp:posOffset>
                </wp:positionV>
                <wp:extent cx="3524250" cy="400050"/>
                <wp:effectExtent l="0" t="0" r="0" b="0"/>
                <wp:wrapNone/>
                <wp:docPr id="556" name="Shape 556"/>
                <wp:cNvGraphicFramePr/>
                <a:graphic xmlns:a="http://schemas.openxmlformats.org/drawingml/2006/main">
                  <a:graphicData uri="http://schemas.microsoft.com/office/word/2010/wordprocessingShape">
                    <wps:wsp>
                      <wps:cNvSpPr txBox="1"/>
                      <wps:spPr>
                        <a:xfrm>
                          <a:off x="0" y="0"/>
                          <a:ext cx="3524250" cy="400050"/>
                        </a:xfrm>
                        <a:prstGeom prst="rect">
                          <a:avLst/>
                        </a:prstGeom>
                        <a:noFill/>
                      </wps:spPr>
                      <wps:txbx>
                        <w:txbxContent>
                          <w:p w14:paraId="4ABB75C9" w14:textId="77777777" w:rsidR="00B503F2" w:rsidRDefault="00B503F2" w:rsidP="00B503F2">
                            <w:pPr>
                              <w:pStyle w:val="affc"/>
                              <w:rPr>
                                <w:sz w:val="52"/>
                                <w:szCs w:val="52"/>
                              </w:rPr>
                            </w:pPr>
                            <w:r>
                              <w:rPr>
                                <w:i/>
                                <w:iCs/>
                                <w:sz w:val="52"/>
                                <w:szCs w:val="52"/>
                              </w:rPr>
                              <w:t>Летные испытания</w:t>
                            </w:r>
                          </w:p>
                        </w:txbxContent>
                      </wps:txbx>
                      <wps:bodyPr lIns="0" tIns="0" rIns="0" bIns="0"/>
                    </wps:wsp>
                  </a:graphicData>
                </a:graphic>
              </wp:anchor>
            </w:drawing>
          </mc:Choice>
          <mc:Fallback>
            <w:pict>
              <v:shapetype w14:anchorId="5AAC2C48" id="_x0000_t202" coordsize="21600,21600" o:spt="202" path="m,l,21600r21600,l21600,xe">
                <v:stroke joinstyle="miter"/>
                <v:path gradientshapeok="t" o:connecttype="rect"/>
              </v:shapetype>
              <v:shape id="Shape 556" o:spid="_x0000_s1026" type="#_x0000_t202" style="position:absolute;left:0;text-align:left;margin-left:277.05pt;margin-top:970.5pt;width:277.5pt;height:31.5pt;z-index:25165926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" filled="f" stroked="f">
                <v:textbox inset="0,0,0,0">
                  <w:txbxContent>
                    <w:p w14:paraId="4ABB75C9" w14:textId="77777777" w:rsidR="00B503F2" w:rsidRDefault="00B503F2" w:rsidP="00B503F2">
                      <w:pPr>
                        <w:pStyle w:val="affc"/>
                        <w:rPr>
                          <w:sz w:val="52"/>
                          <w:szCs w:val="52"/>
                        </w:rPr>
                      </w:pPr>
                      <w:r>
                        <w:rPr>
                          <w:i/>
                          <w:iCs/>
                          <w:sz w:val="52"/>
                          <w:szCs w:val="52"/>
                        </w:rPr>
                        <w:t>Летные испытания</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0288" behindDoc="0" locked="0" layoutInCell="1" allowOverlap="1" wp14:anchorId="1715E645" wp14:editId="3E2F90D3">
                <wp:simplePos x="0" y="0"/>
                <wp:positionH relativeFrom="page">
                  <wp:posOffset>15380335</wp:posOffset>
                </wp:positionH>
                <wp:positionV relativeFrom="margin">
                  <wp:posOffset>13830300</wp:posOffset>
                </wp:positionV>
                <wp:extent cx="977900" cy="393700"/>
                <wp:effectExtent l="0" t="0" r="0" b="0"/>
                <wp:wrapNone/>
                <wp:docPr id="558" name="Shape 558"/>
                <wp:cNvGraphicFramePr/>
                <a:graphic xmlns:a="http://schemas.openxmlformats.org/drawingml/2006/main">
                  <a:graphicData uri="http://schemas.microsoft.com/office/word/2010/wordprocessingShape">
                    <wps:wsp>
                      <wps:cNvSpPr txBox="1"/>
                      <wps:spPr>
                        <a:xfrm>
                          <a:off x="0" y="0"/>
                          <a:ext cx="977900" cy="393700"/>
                        </a:xfrm>
                        <a:prstGeom prst="rect">
                          <a:avLst/>
                        </a:prstGeom>
                        <a:noFill/>
                      </wps:spPr>
                      <wps:txbx>
                        <w:txbxContent>
                          <w:p w14:paraId="379FC4CD" w14:textId="77777777" w:rsidR="00B503F2" w:rsidRDefault="00B503F2" w:rsidP="00B503F2">
                            <w:pPr>
                              <w:pStyle w:val="affc"/>
                              <w:rPr>
                                <w:sz w:val="52"/>
                                <w:szCs w:val="52"/>
                              </w:rPr>
                            </w:pPr>
                            <w:r>
                              <w:rPr>
                                <w:i/>
                                <w:iCs/>
                                <w:sz w:val="52"/>
                                <w:szCs w:val="52"/>
                              </w:rPr>
                              <w:t>1пол.</w:t>
                            </w:r>
                          </w:p>
                        </w:txbxContent>
                      </wps:txbx>
                      <wps:bodyPr lIns="0" tIns="0" rIns="0" bIns="0"/>
                    </wps:wsp>
                  </a:graphicData>
                </a:graphic>
              </wp:anchor>
            </w:drawing>
          </mc:Choice>
          <mc:Fallback>
            <w:pict>
              <v:shape w14:anchorId="1715E645" id="Shape 558" o:spid="_x0000_s1027" type="#_x0000_t202" style="position:absolute;left:0;text-align:left;margin-left:1211.05pt;margin-top:1089pt;width:77pt;height:31pt;z-index:25166028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" filled="f" stroked="f">
                <v:textbox inset="0,0,0,0">
                  <w:txbxContent>
                    <w:p w14:paraId="379FC4CD" w14:textId="77777777" w:rsidR="00B503F2" w:rsidRDefault="00B503F2" w:rsidP="00B503F2">
                      <w:pPr>
                        <w:pStyle w:val="affc"/>
                        <w:rPr>
                          <w:sz w:val="52"/>
                          <w:szCs w:val="52"/>
                        </w:rPr>
                      </w:pPr>
                      <w:r>
                        <w:rPr>
                          <w:i/>
                          <w:iCs/>
                          <w:sz w:val="52"/>
                          <w:szCs w:val="52"/>
                        </w:rPr>
                        <w:t>1пол.</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1312" behindDoc="0" locked="0" layoutInCell="1" allowOverlap="1" wp14:anchorId="41D3CB7D" wp14:editId="75325645">
                <wp:simplePos x="0" y="0"/>
                <wp:positionH relativeFrom="page">
                  <wp:posOffset>17018635</wp:posOffset>
                </wp:positionH>
                <wp:positionV relativeFrom="margin">
                  <wp:posOffset>13830300</wp:posOffset>
                </wp:positionV>
                <wp:extent cx="1314450" cy="400050"/>
                <wp:effectExtent l="0" t="0" r="0" b="0"/>
                <wp:wrapNone/>
                <wp:docPr id="560" name="Shape 560"/>
                <wp:cNvGraphicFramePr/>
                <a:graphic xmlns:a="http://schemas.openxmlformats.org/drawingml/2006/main">
                  <a:graphicData uri="http://schemas.microsoft.com/office/word/2010/wordprocessingShape">
                    <wps:wsp>
                      <wps:cNvSpPr txBox="1"/>
                      <wps:spPr>
                        <a:xfrm>
                          <a:off x="0" y="0"/>
                          <a:ext cx="1314450" cy="400050"/>
                        </a:xfrm>
                        <a:prstGeom prst="rect">
                          <a:avLst/>
                        </a:prstGeom>
                        <a:noFill/>
                      </wps:spPr>
                      <wps:txbx>
                        <w:txbxContent>
                          <w:p w14:paraId="4E92732A" w14:textId="77777777" w:rsidR="00B503F2" w:rsidRDefault="00B503F2" w:rsidP="00B503F2">
                            <w:pPr>
                              <w:pStyle w:val="affc"/>
                              <w:jc w:val="both"/>
                              <w:rPr>
                                <w:sz w:val="52"/>
                                <w:szCs w:val="52"/>
                              </w:rPr>
                            </w:pPr>
                            <w:r>
                              <w:rPr>
                                <w:i/>
                                <w:iCs/>
                                <w:sz w:val="52"/>
                                <w:szCs w:val="52"/>
                              </w:rPr>
                              <w:t>ЗОмин.</w:t>
                            </w:r>
                          </w:p>
                        </w:txbxContent>
                      </wps:txbx>
                      <wps:bodyPr lIns="0" tIns="0" rIns="0" bIns="0"/>
                    </wps:wsp>
                  </a:graphicData>
                </a:graphic>
              </wp:anchor>
            </w:drawing>
          </mc:Choice>
          <mc:Fallback>
            <w:pict>
              <v:shape w14:anchorId="41D3CB7D" id="Shape 560" o:spid="_x0000_s1028" type="#_x0000_t202" style="position:absolute;left:0;text-align:left;margin-left:1340.05pt;margin-top:1089pt;width:103.5pt;height:31.5pt;z-index:25166131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" filled="f" stroked="f">
                <v:textbox inset="0,0,0,0">
                  <w:txbxContent>
                    <w:p w14:paraId="4E92732A" w14:textId="77777777" w:rsidR="00B503F2" w:rsidRDefault="00B503F2" w:rsidP="00B503F2">
                      <w:pPr>
                        <w:pStyle w:val="affc"/>
                        <w:jc w:val="both"/>
                        <w:rPr>
                          <w:sz w:val="52"/>
                          <w:szCs w:val="52"/>
                        </w:rPr>
                      </w:pPr>
                      <w:r>
                        <w:rPr>
                          <w:i/>
                          <w:iCs/>
                          <w:sz w:val="52"/>
                          <w:szCs w:val="52"/>
                        </w:rPr>
                        <w:t>ЗОмин.</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2336" behindDoc="0" locked="0" layoutInCell="1" allowOverlap="1" wp14:anchorId="2724896F" wp14:editId="3FB91E3F">
                <wp:simplePos x="0" y="0"/>
                <wp:positionH relativeFrom="page">
                  <wp:posOffset>15373985</wp:posOffset>
                </wp:positionH>
                <wp:positionV relativeFrom="margin">
                  <wp:posOffset>14789150</wp:posOffset>
                </wp:positionV>
                <wp:extent cx="539750" cy="400050"/>
                <wp:effectExtent l="0" t="0" r="0" b="0"/>
                <wp:wrapNone/>
                <wp:docPr id="562" name="Shape 562"/>
                <wp:cNvGraphicFramePr/>
                <a:graphic xmlns:a="http://schemas.openxmlformats.org/drawingml/2006/main">
                  <a:graphicData uri="http://schemas.microsoft.com/office/word/2010/wordprocessingShape">
                    <wps:wsp>
                      <wps:cNvSpPr txBox="1"/>
                      <wps:spPr>
                        <a:xfrm>
                          <a:off x="0" y="0"/>
                          <a:ext cx="539750" cy="400050"/>
                        </a:xfrm>
                        <a:prstGeom prst="rect">
                          <a:avLst/>
                        </a:prstGeom>
                        <a:noFill/>
                      </wps:spPr>
                      <wps:txbx>
                        <w:txbxContent>
                          <w:p w14:paraId="659FCA2A" w14:textId="77777777" w:rsidR="00B503F2" w:rsidRDefault="00B503F2" w:rsidP="00B503F2">
                            <w:pPr>
                              <w:pStyle w:val="affc"/>
                              <w:rPr>
                                <w:sz w:val="52"/>
                                <w:szCs w:val="52"/>
                              </w:rPr>
                            </w:pPr>
                            <w:r>
                              <w:rPr>
                                <w:i/>
                                <w:iCs/>
                                <w:sz w:val="52"/>
                                <w:szCs w:val="52"/>
                              </w:rPr>
                              <w:t>1 п.</w:t>
                            </w:r>
                          </w:p>
                        </w:txbxContent>
                      </wps:txbx>
                      <wps:bodyPr lIns="0" tIns="0" rIns="0" bIns="0"/>
                    </wps:wsp>
                  </a:graphicData>
                </a:graphic>
              </wp:anchor>
            </w:drawing>
          </mc:Choice>
          <mc:Fallback>
            <w:pict>
              <v:shape w14:anchorId="2724896F" id="Shape 562" o:spid="_x0000_s1029" type="#_x0000_t202" style="position:absolute;left:0;text-align:left;margin-left:1210.55pt;margin-top:1164.5pt;width:42.5pt;height:31.5pt;z-index:25166233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" filled="f" stroked="f">
                <v:textbox inset="0,0,0,0">
                  <w:txbxContent>
                    <w:p w14:paraId="659FCA2A" w14:textId="77777777" w:rsidR="00B503F2" w:rsidRDefault="00B503F2" w:rsidP="00B503F2">
                      <w:pPr>
                        <w:pStyle w:val="affc"/>
                        <w:rPr>
                          <w:sz w:val="52"/>
                          <w:szCs w:val="52"/>
                        </w:rPr>
                      </w:pPr>
                      <w:r>
                        <w:rPr>
                          <w:i/>
                          <w:iCs/>
                          <w:sz w:val="52"/>
                          <w:szCs w:val="52"/>
                        </w:rPr>
                        <w:t>1 п.</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3360" behindDoc="0" locked="0" layoutInCell="1" allowOverlap="1" wp14:anchorId="3BCA3632" wp14:editId="578DF7CD">
                <wp:simplePos x="0" y="0"/>
                <wp:positionH relativeFrom="page">
                  <wp:posOffset>17012285</wp:posOffset>
                </wp:positionH>
                <wp:positionV relativeFrom="margin">
                  <wp:posOffset>14795500</wp:posOffset>
                </wp:positionV>
                <wp:extent cx="1314450" cy="400050"/>
                <wp:effectExtent l="0" t="0" r="0" b="0"/>
                <wp:wrapNone/>
                <wp:docPr id="564" name="Shape 564"/>
                <wp:cNvGraphicFramePr/>
                <a:graphic xmlns:a="http://schemas.openxmlformats.org/drawingml/2006/main">
                  <a:graphicData uri="http://schemas.microsoft.com/office/word/2010/wordprocessingShape">
                    <wps:wsp>
                      <wps:cNvSpPr txBox="1"/>
                      <wps:spPr>
                        <a:xfrm>
                          <a:off x="0" y="0"/>
                          <a:ext cx="1314450" cy="400050"/>
                        </a:xfrm>
                        <a:prstGeom prst="rect">
                          <a:avLst/>
                        </a:prstGeom>
                        <a:noFill/>
                      </wps:spPr>
                      <wps:txbx>
                        <w:txbxContent>
                          <w:p w14:paraId="45EEA425" w14:textId="77777777" w:rsidR="00B503F2" w:rsidRDefault="00B503F2" w:rsidP="00B503F2">
                            <w:pPr>
                              <w:pStyle w:val="affc"/>
                              <w:jc w:val="both"/>
                              <w:rPr>
                                <w:sz w:val="52"/>
                                <w:szCs w:val="52"/>
                              </w:rPr>
                            </w:pPr>
                            <w:r>
                              <w:rPr>
                                <w:i/>
                                <w:iCs/>
                                <w:sz w:val="52"/>
                                <w:szCs w:val="52"/>
                              </w:rPr>
                              <w:t>ЗОмин.</w:t>
                            </w:r>
                          </w:p>
                        </w:txbxContent>
                      </wps:txbx>
                      <wps:bodyPr lIns="0" tIns="0" rIns="0" bIns="0"/>
                    </wps:wsp>
                  </a:graphicData>
                </a:graphic>
              </wp:anchor>
            </w:drawing>
          </mc:Choice>
          <mc:Fallback>
            <w:pict>
              <v:shape w14:anchorId="3BCA3632" id="Shape 564" o:spid="_x0000_s1030" type="#_x0000_t202" style="position:absolute;left:0;text-align:left;margin-left:1339.55pt;margin-top:1165pt;width:103.5pt;height:31.5pt;z-index:25166336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" filled="f" stroked="f">
                <v:textbox inset="0,0,0,0">
                  <w:txbxContent>
                    <w:p w14:paraId="45EEA425" w14:textId="77777777" w:rsidR="00B503F2" w:rsidRDefault="00B503F2" w:rsidP="00B503F2">
                      <w:pPr>
                        <w:pStyle w:val="affc"/>
                        <w:jc w:val="both"/>
                        <w:rPr>
                          <w:sz w:val="52"/>
                          <w:szCs w:val="52"/>
                        </w:rPr>
                      </w:pPr>
                      <w:r>
                        <w:rPr>
                          <w:i/>
                          <w:iCs/>
                          <w:sz w:val="52"/>
                          <w:szCs w:val="52"/>
                        </w:rPr>
                        <w:t>ЗОмин.</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4384" behindDoc="0" locked="0" layoutInCell="1" allowOverlap="1" wp14:anchorId="7C6852EE" wp14:editId="49425E09">
                <wp:simplePos x="0" y="0"/>
                <wp:positionH relativeFrom="page">
                  <wp:posOffset>17005935</wp:posOffset>
                </wp:positionH>
                <wp:positionV relativeFrom="margin">
                  <wp:posOffset>15760700</wp:posOffset>
                </wp:positionV>
                <wp:extent cx="558800" cy="400050"/>
                <wp:effectExtent l="0" t="0" r="0" b="0"/>
                <wp:wrapNone/>
                <wp:docPr id="566" name="Shape 566"/>
                <wp:cNvGraphicFramePr/>
                <a:graphic xmlns:a="http://schemas.openxmlformats.org/drawingml/2006/main">
                  <a:graphicData uri="http://schemas.microsoft.com/office/word/2010/wordprocessingShape">
                    <wps:wsp>
                      <wps:cNvSpPr txBox="1"/>
                      <wps:spPr>
                        <a:xfrm>
                          <a:off x="0" y="0"/>
                          <a:ext cx="558800" cy="400050"/>
                        </a:xfrm>
                        <a:prstGeom prst="rect">
                          <a:avLst/>
                        </a:prstGeom>
                        <a:noFill/>
                      </wps:spPr>
                      <wps:txbx>
                        <w:txbxContent>
                          <w:p w14:paraId="1E0C1E48" w14:textId="77777777" w:rsidR="00B503F2" w:rsidRDefault="00B503F2" w:rsidP="00B503F2">
                            <w:pPr>
                              <w:pStyle w:val="affc"/>
                              <w:jc w:val="both"/>
                              <w:rPr>
                                <w:sz w:val="52"/>
                                <w:szCs w:val="52"/>
                              </w:rPr>
                            </w:pPr>
                            <w:r>
                              <w:rPr>
                                <w:i/>
                                <w:iCs/>
                                <w:sz w:val="52"/>
                                <w:szCs w:val="52"/>
                              </w:rPr>
                              <w:t>2ч.</w:t>
                            </w:r>
                          </w:p>
                        </w:txbxContent>
                      </wps:txbx>
                      <wps:bodyPr lIns="0" tIns="0" rIns="0" bIns="0"/>
                    </wps:wsp>
                  </a:graphicData>
                </a:graphic>
              </wp:anchor>
            </w:drawing>
          </mc:Choice>
          <mc:Fallback>
            <w:pict>
              <v:shape w14:anchorId="7C6852EE" id="Shape 566" o:spid="_x0000_s1031" type="#_x0000_t202" style="position:absolute;left:0;text-align:left;margin-left:1339.05pt;margin-top:1241pt;width:44pt;height:31.5pt;z-index:25166438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" filled="f" stroked="f">
                <v:textbox inset="0,0,0,0">
                  <w:txbxContent>
                    <w:p w14:paraId="1E0C1E48" w14:textId="77777777" w:rsidR="00B503F2" w:rsidRDefault="00B503F2" w:rsidP="00B503F2">
                      <w:pPr>
                        <w:pStyle w:val="affc"/>
                        <w:jc w:val="both"/>
                        <w:rPr>
                          <w:sz w:val="52"/>
                          <w:szCs w:val="52"/>
                        </w:rPr>
                      </w:pPr>
                      <w:r>
                        <w:rPr>
                          <w:i/>
                          <w:iCs/>
                          <w:sz w:val="52"/>
                          <w:szCs w:val="52"/>
                        </w:rPr>
                        <w:t>2ч.</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5408" behindDoc="0" locked="0" layoutInCell="1" allowOverlap="1" wp14:anchorId="121E5690" wp14:editId="30EB9D3E">
                <wp:simplePos x="0" y="0"/>
                <wp:positionH relativeFrom="page">
                  <wp:posOffset>16999585</wp:posOffset>
                </wp:positionH>
                <wp:positionV relativeFrom="margin">
                  <wp:posOffset>16744950</wp:posOffset>
                </wp:positionV>
                <wp:extent cx="1739900" cy="406400"/>
                <wp:effectExtent l="0" t="0" r="0" b="0"/>
                <wp:wrapNone/>
                <wp:docPr id="568" name="Shape 568"/>
                <wp:cNvGraphicFramePr/>
                <a:graphic xmlns:a="http://schemas.openxmlformats.org/drawingml/2006/main">
                  <a:graphicData uri="http://schemas.microsoft.com/office/word/2010/wordprocessingShape">
                    <wps:wsp>
                      <wps:cNvSpPr txBox="1"/>
                      <wps:spPr>
                        <a:xfrm>
                          <a:off x="0" y="0"/>
                          <a:ext cx="1739900" cy="406400"/>
                        </a:xfrm>
                        <a:prstGeom prst="rect">
                          <a:avLst/>
                        </a:prstGeom>
                        <a:noFill/>
                      </wps:spPr>
                      <wps:txbx>
                        <w:txbxContent>
                          <w:p w14:paraId="5BD684A9" w14:textId="77777777" w:rsidR="00B503F2" w:rsidRDefault="00B503F2" w:rsidP="00B503F2">
                            <w:pPr>
                              <w:pStyle w:val="affc"/>
                              <w:jc w:val="both"/>
                              <w:rPr>
                                <w:sz w:val="52"/>
                                <w:szCs w:val="52"/>
                              </w:rPr>
                            </w:pPr>
                            <w:r>
                              <w:rPr>
                                <w:i/>
                                <w:iCs/>
                                <w:sz w:val="52"/>
                                <w:szCs w:val="52"/>
                              </w:rPr>
                              <w:t>2ч.ЗОмин</w:t>
                            </w:r>
                          </w:p>
                        </w:txbxContent>
                      </wps:txbx>
                      <wps:bodyPr lIns="0" tIns="0" rIns="0" bIns="0"/>
                    </wps:wsp>
                  </a:graphicData>
                </a:graphic>
              </wp:anchor>
            </w:drawing>
          </mc:Choice>
          <mc:Fallback>
            <w:pict>
              <v:shape w14:anchorId="121E5690" id="Shape 568" o:spid="_x0000_s1032" type="#_x0000_t202" style="position:absolute;left:0;text-align:left;margin-left:1338.55pt;margin-top:1318.5pt;width:137pt;height:32pt;z-index:25166540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" filled="f" stroked="f">
                <v:textbox inset="0,0,0,0">
                  <w:txbxContent>
                    <w:p w14:paraId="5BD684A9" w14:textId="77777777" w:rsidR="00B503F2" w:rsidRDefault="00B503F2" w:rsidP="00B503F2">
                      <w:pPr>
                        <w:pStyle w:val="affc"/>
                        <w:jc w:val="both"/>
                        <w:rPr>
                          <w:sz w:val="52"/>
                          <w:szCs w:val="52"/>
                        </w:rPr>
                      </w:pPr>
                      <w:r>
                        <w:rPr>
                          <w:i/>
                          <w:iCs/>
                          <w:sz w:val="52"/>
                          <w:szCs w:val="52"/>
                        </w:rPr>
                        <w:t>2ч.ЗОмин</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6432" behindDoc="0" locked="0" layoutInCell="1" allowOverlap="1" wp14:anchorId="59FC1F93" wp14:editId="38543241">
                <wp:simplePos x="0" y="0"/>
                <wp:positionH relativeFrom="page">
                  <wp:posOffset>15316835</wp:posOffset>
                </wp:positionH>
                <wp:positionV relativeFrom="margin">
                  <wp:posOffset>17716500</wp:posOffset>
                </wp:positionV>
                <wp:extent cx="584200" cy="400050"/>
                <wp:effectExtent l="0" t="0" r="0" b="0"/>
                <wp:wrapNone/>
                <wp:docPr id="570" name="Shape 570"/>
                <wp:cNvGraphicFramePr/>
                <a:graphic xmlns:a="http://schemas.openxmlformats.org/drawingml/2006/main">
                  <a:graphicData uri="http://schemas.microsoft.com/office/word/2010/wordprocessingShape">
                    <wps:wsp>
                      <wps:cNvSpPr txBox="1"/>
                      <wps:spPr>
                        <a:xfrm>
                          <a:off x="0" y="0"/>
                          <a:ext cx="584200" cy="400050"/>
                        </a:xfrm>
                        <a:prstGeom prst="rect">
                          <a:avLst/>
                        </a:prstGeom>
                        <a:noFill/>
                      </wps:spPr>
                      <wps:txbx>
                        <w:txbxContent>
                          <w:p w14:paraId="19500ECD" w14:textId="77777777" w:rsidR="00B503F2" w:rsidRDefault="00B503F2" w:rsidP="00B503F2">
                            <w:pPr>
                              <w:pStyle w:val="affc"/>
                              <w:jc w:val="both"/>
                              <w:rPr>
                                <w:sz w:val="52"/>
                                <w:szCs w:val="52"/>
                              </w:rPr>
                            </w:pPr>
                            <w:r>
                              <w:rPr>
                                <w:i/>
                                <w:iCs/>
                                <w:sz w:val="52"/>
                                <w:szCs w:val="52"/>
                              </w:rPr>
                              <w:t>6п.</w:t>
                            </w:r>
                          </w:p>
                        </w:txbxContent>
                      </wps:txbx>
                      <wps:bodyPr lIns="0" tIns="0" rIns="0" bIns="0"/>
                    </wps:wsp>
                  </a:graphicData>
                </a:graphic>
              </wp:anchor>
            </w:drawing>
          </mc:Choice>
          <mc:Fallback>
            <w:pict>
              <v:shape w14:anchorId="59FC1F93" id="Shape 570" o:spid="_x0000_s1033" type="#_x0000_t202" style="position:absolute;left:0;text-align:left;margin-left:1206.05pt;margin-top:1395pt;width:46pt;height:31.5pt;z-index:25166643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" filled="f" stroked="f">
                <v:textbox inset="0,0,0,0">
                  <w:txbxContent>
                    <w:p w14:paraId="19500ECD" w14:textId="77777777" w:rsidR="00B503F2" w:rsidRDefault="00B503F2" w:rsidP="00B503F2">
                      <w:pPr>
                        <w:pStyle w:val="affc"/>
                        <w:jc w:val="both"/>
                        <w:rPr>
                          <w:sz w:val="52"/>
                          <w:szCs w:val="52"/>
                        </w:rPr>
                      </w:pPr>
                      <w:r>
                        <w:rPr>
                          <w:i/>
                          <w:iCs/>
                          <w:sz w:val="52"/>
                          <w:szCs w:val="52"/>
                        </w:rPr>
                        <w:t>6п.</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7456" behindDoc="0" locked="0" layoutInCell="1" allowOverlap="1" wp14:anchorId="1118B804" wp14:editId="7C58211B">
                <wp:simplePos x="0" y="0"/>
                <wp:positionH relativeFrom="page">
                  <wp:posOffset>16993235</wp:posOffset>
                </wp:positionH>
                <wp:positionV relativeFrom="margin">
                  <wp:posOffset>17729200</wp:posOffset>
                </wp:positionV>
                <wp:extent cx="1308100" cy="406400"/>
                <wp:effectExtent l="0" t="0" r="0" b="0"/>
                <wp:wrapNone/>
                <wp:docPr id="572" name="Shape 572"/>
                <wp:cNvGraphicFramePr/>
                <a:graphic xmlns:a="http://schemas.openxmlformats.org/drawingml/2006/main">
                  <a:graphicData uri="http://schemas.microsoft.com/office/word/2010/wordprocessingShape">
                    <wps:wsp>
                      <wps:cNvSpPr txBox="1"/>
                      <wps:spPr>
                        <a:xfrm>
                          <a:off x="0" y="0"/>
                          <a:ext cx="1308100" cy="406400"/>
                        </a:xfrm>
                        <a:prstGeom prst="rect">
                          <a:avLst/>
                        </a:prstGeom>
                        <a:noFill/>
                      </wps:spPr>
                      <wps:txbx>
                        <w:txbxContent>
                          <w:p w14:paraId="57971E1F" w14:textId="77777777" w:rsidR="00B503F2" w:rsidRDefault="00B503F2" w:rsidP="00B503F2">
                            <w:pPr>
                              <w:pStyle w:val="affc"/>
                              <w:jc w:val="both"/>
                              <w:rPr>
                                <w:sz w:val="52"/>
                                <w:szCs w:val="52"/>
                              </w:rPr>
                            </w:pPr>
                            <w:r>
                              <w:rPr>
                                <w:i/>
                                <w:iCs/>
                                <w:sz w:val="52"/>
                                <w:szCs w:val="52"/>
                              </w:rPr>
                              <w:t>ЗОмин.</w:t>
                            </w:r>
                          </w:p>
                        </w:txbxContent>
                      </wps:txbx>
                      <wps:bodyPr lIns="0" tIns="0" rIns="0" bIns="0"/>
                    </wps:wsp>
                  </a:graphicData>
                </a:graphic>
              </wp:anchor>
            </w:drawing>
          </mc:Choice>
          <mc:Fallback>
            <w:pict>
              <v:shape w14:anchorId="1118B804" id="Shape 572" o:spid="_x0000_s1034" type="#_x0000_t202" style="position:absolute;left:0;text-align:left;margin-left:1338.05pt;margin-top:1396pt;width:103pt;height:32pt;z-index:25166745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" filled="f" stroked="f">
                <v:textbox inset="0,0,0,0">
                  <w:txbxContent>
                    <w:p w14:paraId="57971E1F" w14:textId="77777777" w:rsidR="00B503F2" w:rsidRDefault="00B503F2" w:rsidP="00B503F2">
                      <w:pPr>
                        <w:pStyle w:val="affc"/>
                        <w:jc w:val="both"/>
                        <w:rPr>
                          <w:sz w:val="52"/>
                          <w:szCs w:val="52"/>
                        </w:rPr>
                      </w:pPr>
                      <w:r>
                        <w:rPr>
                          <w:i/>
                          <w:iCs/>
                          <w:sz w:val="52"/>
                          <w:szCs w:val="52"/>
                        </w:rPr>
                        <w:t>ЗОмин.</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8480" behindDoc="0" locked="0" layoutInCell="1" allowOverlap="1" wp14:anchorId="5BFAF6BA" wp14:editId="45D82964">
                <wp:simplePos x="0" y="0"/>
                <wp:positionH relativeFrom="page">
                  <wp:posOffset>15297785</wp:posOffset>
                </wp:positionH>
                <wp:positionV relativeFrom="margin">
                  <wp:posOffset>18700750</wp:posOffset>
                </wp:positionV>
                <wp:extent cx="596900" cy="406400"/>
                <wp:effectExtent l="0" t="0" r="0" b="0"/>
                <wp:wrapNone/>
                <wp:docPr id="574" name="Shape 574"/>
                <wp:cNvGraphicFramePr/>
                <a:graphic xmlns:a="http://schemas.openxmlformats.org/drawingml/2006/main">
                  <a:graphicData uri="http://schemas.microsoft.com/office/word/2010/wordprocessingShape">
                    <wps:wsp>
                      <wps:cNvSpPr txBox="1"/>
                      <wps:spPr>
                        <a:xfrm>
                          <a:off x="0" y="0"/>
                          <a:ext cx="596900" cy="406400"/>
                        </a:xfrm>
                        <a:prstGeom prst="rect">
                          <a:avLst/>
                        </a:prstGeom>
                        <a:noFill/>
                      </wps:spPr>
                      <wps:txbx>
                        <w:txbxContent>
                          <w:p w14:paraId="43B6153C" w14:textId="77777777" w:rsidR="00B503F2" w:rsidRDefault="00B503F2" w:rsidP="00B503F2">
                            <w:pPr>
                              <w:pStyle w:val="affc"/>
                              <w:jc w:val="both"/>
                              <w:rPr>
                                <w:sz w:val="52"/>
                                <w:szCs w:val="52"/>
                              </w:rPr>
                            </w:pPr>
                            <w:r>
                              <w:rPr>
                                <w:i/>
                                <w:iCs/>
                                <w:sz w:val="52"/>
                                <w:szCs w:val="52"/>
                              </w:rPr>
                              <w:t>2п.</w:t>
                            </w:r>
                          </w:p>
                        </w:txbxContent>
                      </wps:txbx>
                      <wps:bodyPr lIns="0" tIns="0" rIns="0" bIns="0"/>
                    </wps:wsp>
                  </a:graphicData>
                </a:graphic>
              </wp:anchor>
            </w:drawing>
          </mc:Choice>
          <mc:Fallback>
            <w:pict>
              <v:shape w14:anchorId="5BFAF6BA" id="Shape 574" o:spid="_x0000_s1035" type="#_x0000_t202" style="position:absolute;left:0;text-align:left;margin-left:1204.55pt;margin-top:1472.5pt;width:47pt;height:32pt;z-index:25166848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" filled="f" stroked="f">
                <v:textbox inset="0,0,0,0">
                  <w:txbxContent>
                    <w:p w14:paraId="43B6153C" w14:textId="77777777" w:rsidR="00B503F2" w:rsidRDefault="00B503F2" w:rsidP="00B503F2">
                      <w:pPr>
                        <w:pStyle w:val="affc"/>
                        <w:jc w:val="both"/>
                        <w:rPr>
                          <w:sz w:val="52"/>
                          <w:szCs w:val="52"/>
                        </w:rPr>
                      </w:pPr>
                      <w:r>
                        <w:rPr>
                          <w:i/>
                          <w:iCs/>
                          <w:sz w:val="52"/>
                          <w:szCs w:val="52"/>
                        </w:rPr>
                        <w:t>2п.</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69504" behindDoc="0" locked="0" layoutInCell="1" allowOverlap="1" wp14:anchorId="10B8C9C8" wp14:editId="1C21B914">
                <wp:simplePos x="0" y="0"/>
                <wp:positionH relativeFrom="page">
                  <wp:posOffset>17044035</wp:posOffset>
                </wp:positionH>
                <wp:positionV relativeFrom="margin">
                  <wp:posOffset>18713450</wp:posOffset>
                </wp:positionV>
                <wp:extent cx="1790700" cy="406400"/>
                <wp:effectExtent l="0" t="0" r="0" b="0"/>
                <wp:wrapNone/>
                <wp:docPr id="576" name="Shape 576"/>
                <wp:cNvGraphicFramePr/>
                <a:graphic xmlns:a="http://schemas.openxmlformats.org/drawingml/2006/main">
                  <a:graphicData uri="http://schemas.microsoft.com/office/word/2010/wordprocessingShape">
                    <wps:wsp>
                      <wps:cNvSpPr txBox="1"/>
                      <wps:spPr>
                        <a:xfrm>
                          <a:off x="0" y="0"/>
                          <a:ext cx="1790700" cy="406400"/>
                        </a:xfrm>
                        <a:prstGeom prst="rect">
                          <a:avLst/>
                        </a:prstGeom>
                        <a:noFill/>
                      </wps:spPr>
                      <wps:txbx>
                        <w:txbxContent>
                          <w:p w14:paraId="743642B6" w14:textId="77777777" w:rsidR="00B503F2" w:rsidRDefault="00B503F2" w:rsidP="00B503F2">
                            <w:pPr>
                              <w:pStyle w:val="affc"/>
                              <w:jc w:val="both"/>
                              <w:rPr>
                                <w:sz w:val="52"/>
                                <w:szCs w:val="52"/>
                              </w:rPr>
                            </w:pPr>
                            <w:r>
                              <w:rPr>
                                <w:i/>
                                <w:iCs/>
                                <w:sz w:val="52"/>
                                <w:szCs w:val="52"/>
                              </w:rPr>
                              <w:t>1ч.ЗОмин.</w:t>
                            </w:r>
                          </w:p>
                        </w:txbxContent>
                      </wps:txbx>
                      <wps:bodyPr lIns="0" tIns="0" rIns="0" bIns="0"/>
                    </wps:wsp>
                  </a:graphicData>
                </a:graphic>
              </wp:anchor>
            </w:drawing>
          </mc:Choice>
          <mc:Fallback>
            <w:pict>
              <v:shape w14:anchorId="10B8C9C8" id="Shape 576" o:spid="_x0000_s1036" type="#_x0000_t202" style="position:absolute;left:0;text-align:left;margin-left:1342.05pt;margin-top:1473.5pt;width:141pt;height:32pt;z-index:25166950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" filled="f" stroked="f">
                <v:textbox inset="0,0,0,0">
                  <w:txbxContent>
                    <w:p w14:paraId="743642B6" w14:textId="77777777" w:rsidR="00B503F2" w:rsidRDefault="00B503F2" w:rsidP="00B503F2">
                      <w:pPr>
                        <w:pStyle w:val="affc"/>
                        <w:jc w:val="both"/>
                        <w:rPr>
                          <w:sz w:val="52"/>
                          <w:szCs w:val="52"/>
                        </w:rPr>
                      </w:pPr>
                      <w:r>
                        <w:rPr>
                          <w:i/>
                          <w:iCs/>
                          <w:sz w:val="52"/>
                          <w:szCs w:val="52"/>
                        </w:rPr>
                        <w:t>1ч.ЗОмин.</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0528" behindDoc="0" locked="0" layoutInCell="1" allowOverlap="1" wp14:anchorId="54C5E950" wp14:editId="479492FB">
                <wp:simplePos x="0" y="0"/>
                <wp:positionH relativeFrom="page">
                  <wp:posOffset>15342235</wp:posOffset>
                </wp:positionH>
                <wp:positionV relativeFrom="margin">
                  <wp:posOffset>22117050</wp:posOffset>
                </wp:positionV>
                <wp:extent cx="1187450" cy="406400"/>
                <wp:effectExtent l="0" t="0" r="0" b="0"/>
                <wp:wrapNone/>
                <wp:docPr id="578" name="Shape 578"/>
                <wp:cNvGraphicFramePr/>
                <a:graphic xmlns:a="http://schemas.openxmlformats.org/drawingml/2006/main">
                  <a:graphicData uri="http://schemas.microsoft.com/office/word/2010/wordprocessingShape">
                    <wps:wsp>
                      <wps:cNvSpPr txBox="1"/>
                      <wps:spPr>
                        <a:xfrm>
                          <a:off x="0" y="0"/>
                          <a:ext cx="1187450" cy="406400"/>
                        </a:xfrm>
                        <a:prstGeom prst="rect">
                          <a:avLst/>
                        </a:prstGeom>
                        <a:noFill/>
                      </wps:spPr>
                      <wps:txbx>
                        <w:txbxContent>
                          <w:p w14:paraId="7A05CE7D" w14:textId="77777777" w:rsidR="00B503F2" w:rsidRDefault="00B503F2" w:rsidP="00B503F2">
                            <w:pPr>
                              <w:pStyle w:val="affc"/>
                              <w:jc w:val="both"/>
                              <w:rPr>
                                <w:sz w:val="52"/>
                                <w:szCs w:val="52"/>
                              </w:rPr>
                            </w:pPr>
                            <w:r>
                              <w:rPr>
                                <w:i/>
                                <w:iCs/>
                                <w:sz w:val="52"/>
                                <w:szCs w:val="52"/>
                              </w:rPr>
                              <w:t>18пол.</w:t>
                            </w:r>
                          </w:p>
                        </w:txbxContent>
                      </wps:txbx>
                      <wps:bodyPr lIns="0" tIns="0" rIns="0" bIns="0"/>
                    </wps:wsp>
                  </a:graphicData>
                </a:graphic>
              </wp:anchor>
            </w:drawing>
          </mc:Choice>
          <mc:Fallback>
            <w:pict>
              <v:shape w14:anchorId="54C5E950" id="Shape 578" o:spid="_x0000_s1037" type="#_x0000_t202" style="position:absolute;left:0;text-align:left;margin-left:1208.05pt;margin-top:1741.5pt;width:93.5pt;height:32pt;z-index:25167052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" filled="f" stroked="f">
                <v:textbox inset="0,0,0,0">
                  <w:txbxContent>
                    <w:p w14:paraId="7A05CE7D" w14:textId="77777777" w:rsidR="00B503F2" w:rsidRDefault="00B503F2" w:rsidP="00B503F2">
                      <w:pPr>
                        <w:pStyle w:val="affc"/>
                        <w:jc w:val="both"/>
                        <w:rPr>
                          <w:sz w:val="52"/>
                          <w:szCs w:val="52"/>
                        </w:rPr>
                      </w:pPr>
                      <w:r>
                        <w:rPr>
                          <w:i/>
                          <w:iCs/>
                          <w:sz w:val="52"/>
                          <w:szCs w:val="52"/>
                        </w:rPr>
                        <w:t>18пол.</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1552" behindDoc="0" locked="0" layoutInCell="1" allowOverlap="1" wp14:anchorId="29D776C2" wp14:editId="49F3C692">
                <wp:simplePos x="0" y="0"/>
                <wp:positionH relativeFrom="page">
                  <wp:posOffset>17113885</wp:posOffset>
                </wp:positionH>
                <wp:positionV relativeFrom="margin">
                  <wp:posOffset>22129750</wp:posOffset>
                </wp:positionV>
                <wp:extent cx="2006600" cy="406400"/>
                <wp:effectExtent l="0" t="0" r="0" b="0"/>
                <wp:wrapNone/>
                <wp:docPr id="580" name="Shape 580"/>
                <wp:cNvGraphicFramePr/>
                <a:graphic xmlns:a="http://schemas.openxmlformats.org/drawingml/2006/main">
                  <a:graphicData uri="http://schemas.microsoft.com/office/word/2010/wordprocessingShape">
                    <wps:wsp>
                      <wps:cNvSpPr txBox="1"/>
                      <wps:spPr>
                        <a:xfrm>
                          <a:off x="0" y="0"/>
                          <a:ext cx="2006600" cy="406400"/>
                        </a:xfrm>
                        <a:prstGeom prst="rect">
                          <a:avLst/>
                        </a:prstGeom>
                        <a:noFill/>
                      </wps:spPr>
                      <wps:txbx>
                        <w:txbxContent>
                          <w:p w14:paraId="72298733" w14:textId="77777777" w:rsidR="00B503F2" w:rsidRDefault="00B503F2" w:rsidP="00B503F2">
                            <w:pPr>
                              <w:pStyle w:val="affc"/>
                              <w:rPr>
                                <w:sz w:val="52"/>
                                <w:szCs w:val="52"/>
                              </w:rPr>
                            </w:pPr>
                            <w:r>
                              <w:rPr>
                                <w:i/>
                                <w:iCs/>
                                <w:sz w:val="52"/>
                                <w:szCs w:val="52"/>
                              </w:rPr>
                              <w:t>11ч.ЗОмин.</w:t>
                            </w:r>
                          </w:p>
                        </w:txbxContent>
                      </wps:txbx>
                      <wps:bodyPr lIns="0" tIns="0" rIns="0" bIns="0"/>
                    </wps:wsp>
                  </a:graphicData>
                </a:graphic>
              </wp:anchor>
            </w:drawing>
          </mc:Choice>
          <mc:Fallback>
            <w:pict>
              <v:shape w14:anchorId="29D776C2" id="Shape 580" o:spid="_x0000_s1038" type="#_x0000_t202" style="position:absolute;left:0;text-align:left;margin-left:1347.55pt;margin-top:1742.5pt;width:158pt;height:32pt;z-index:25167155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" filled="f" stroked="f">
                <v:textbox inset="0,0,0,0">
                  <w:txbxContent>
                    <w:p w14:paraId="72298733" w14:textId="77777777" w:rsidR="00B503F2" w:rsidRDefault="00B503F2" w:rsidP="00B503F2">
                      <w:pPr>
                        <w:pStyle w:val="affc"/>
                        <w:rPr>
                          <w:sz w:val="52"/>
                          <w:szCs w:val="52"/>
                        </w:rPr>
                      </w:pPr>
                      <w:r>
                        <w:rPr>
                          <w:i/>
                          <w:iCs/>
                          <w:sz w:val="52"/>
                          <w:szCs w:val="52"/>
                        </w:rPr>
                        <w:t>11ч.ЗОмин.</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2576" behindDoc="0" locked="0" layoutInCell="1" allowOverlap="1" wp14:anchorId="28159D91" wp14:editId="604A84F0">
                <wp:simplePos x="0" y="0"/>
                <wp:positionH relativeFrom="page">
                  <wp:posOffset>7944485</wp:posOffset>
                </wp:positionH>
                <wp:positionV relativeFrom="margin">
                  <wp:posOffset>26371550</wp:posOffset>
                </wp:positionV>
                <wp:extent cx="2457450" cy="425450"/>
                <wp:effectExtent l="0" t="0" r="0" b="0"/>
                <wp:wrapNone/>
                <wp:docPr id="582" name="Shape 582"/>
                <wp:cNvGraphicFramePr/>
                <a:graphic xmlns:a="http://schemas.openxmlformats.org/drawingml/2006/main">
                  <a:graphicData uri="http://schemas.microsoft.com/office/word/2010/wordprocessingShape">
                    <wps:wsp>
                      <wps:cNvSpPr txBox="1"/>
                      <wps:spPr>
                        <a:xfrm>
                          <a:off x="0" y="0"/>
                          <a:ext cx="2457450" cy="425450"/>
                        </a:xfrm>
                        <a:prstGeom prst="rect">
                          <a:avLst/>
                        </a:prstGeom>
                        <a:noFill/>
                      </wps:spPr>
                      <wps:txbx>
                        <w:txbxContent>
                          <w:p w14:paraId="052F974E" w14:textId="77777777" w:rsidR="00B503F2" w:rsidRDefault="00B503F2" w:rsidP="00B503F2">
                            <w:pPr>
                              <w:pStyle w:val="affc"/>
                              <w:rPr>
                                <w:sz w:val="52"/>
                                <w:szCs w:val="52"/>
                              </w:rPr>
                            </w:pPr>
                            <w:r>
                              <w:rPr>
                                <w:i/>
                                <w:iCs/>
                                <w:sz w:val="52"/>
                                <w:szCs w:val="52"/>
                              </w:rPr>
                              <w:t>Подлесецкий</w:t>
                            </w:r>
                          </w:p>
                        </w:txbxContent>
                      </wps:txbx>
                      <wps:bodyPr lIns="0" tIns="0" rIns="0" bIns="0"/>
                    </wps:wsp>
                  </a:graphicData>
                </a:graphic>
              </wp:anchor>
            </w:drawing>
          </mc:Choice>
          <mc:Fallback>
            <w:pict>
              <v:shape w14:anchorId="28159D91" id="Shape 582" o:spid="_x0000_s1039" type="#_x0000_t202" style="position:absolute;left:0;text-align:left;margin-left:625.55pt;margin-top:2076.5pt;width:193.5pt;height:33.5pt;z-index:25167257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" filled="f" stroked="f">
                <v:textbox inset="0,0,0,0">
                  <w:txbxContent>
                    <w:p w14:paraId="052F974E" w14:textId="77777777" w:rsidR="00B503F2" w:rsidRDefault="00B503F2" w:rsidP="00B503F2">
                      <w:pPr>
                        <w:pStyle w:val="affc"/>
                        <w:rPr>
                          <w:sz w:val="52"/>
                          <w:szCs w:val="52"/>
                        </w:rPr>
                      </w:pPr>
                      <w:r>
                        <w:rPr>
                          <w:i/>
                          <w:iCs/>
                          <w:sz w:val="52"/>
                          <w:szCs w:val="52"/>
                        </w:rPr>
                        <w:t>Подлесецкий</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3600" behindDoc="0" locked="0" layoutInCell="1" allowOverlap="1" wp14:anchorId="25DACD0C" wp14:editId="55F90160">
                <wp:simplePos x="0" y="0"/>
                <wp:positionH relativeFrom="page">
                  <wp:posOffset>15310485</wp:posOffset>
                </wp:positionH>
                <wp:positionV relativeFrom="margin">
                  <wp:posOffset>16249650</wp:posOffset>
                </wp:positionV>
                <wp:extent cx="596900" cy="889000"/>
                <wp:effectExtent l="0" t="0" r="0" b="0"/>
                <wp:wrapNone/>
                <wp:docPr id="584" name="Shape 584"/>
                <wp:cNvGraphicFramePr/>
                <a:graphic xmlns:a="http://schemas.openxmlformats.org/drawingml/2006/main">
                  <a:graphicData uri="http://schemas.microsoft.com/office/word/2010/wordprocessingShape">
                    <wps:wsp>
                      <wps:cNvSpPr txBox="1"/>
                      <wps:spPr>
                        <a:xfrm>
                          <a:off x="0" y="0"/>
                          <a:ext cx="596900" cy="889000"/>
                        </a:xfrm>
                        <a:prstGeom prst="rect">
                          <a:avLst/>
                        </a:prstGeom>
                        <a:noFill/>
                      </wps:spPr>
                      <wps:txbx>
                        <w:txbxContent>
                          <w:p w14:paraId="6E42325D" w14:textId="77777777" w:rsidR="00B503F2" w:rsidRDefault="00B503F2" w:rsidP="00B503F2">
                            <w:pPr>
                              <w:pStyle w:val="affc"/>
                              <w:spacing w:after="180"/>
                              <w:jc w:val="right"/>
                              <w:rPr>
                                <w:sz w:val="52"/>
                                <w:szCs w:val="52"/>
                              </w:rPr>
                            </w:pPr>
                            <w:r>
                              <w:rPr>
                                <w:i/>
                                <w:iCs/>
                                <w:sz w:val="52"/>
                                <w:szCs w:val="52"/>
                              </w:rPr>
                              <w:t>2п.</w:t>
                            </w:r>
                          </w:p>
                          <w:p w14:paraId="7C9308FA" w14:textId="77777777" w:rsidR="00B503F2" w:rsidRDefault="00B503F2" w:rsidP="00B503F2">
                            <w:pPr>
                              <w:pStyle w:val="affc"/>
                              <w:rPr>
                                <w:sz w:val="52"/>
                                <w:szCs w:val="52"/>
                              </w:rPr>
                            </w:pPr>
                            <w:r>
                              <w:rPr>
                                <w:i/>
                                <w:iCs/>
                                <w:sz w:val="52"/>
                                <w:szCs w:val="52"/>
                              </w:rPr>
                              <w:t>2п.</w:t>
                            </w:r>
                          </w:p>
                        </w:txbxContent>
                      </wps:txbx>
                      <wps:bodyPr lIns="0" tIns="0" rIns="0" bIns="0"/>
                    </wps:wsp>
                  </a:graphicData>
                </a:graphic>
              </wp:anchor>
            </w:drawing>
          </mc:Choice>
          <mc:Fallback>
            <w:pict>
              <v:shape w14:anchorId="25DACD0C" id="Shape 584" o:spid="_x0000_s1040" type="#_x0000_t202" style="position:absolute;left:0;text-align:left;margin-left:1205.55pt;margin-top:1279.5pt;width:47pt;height:70pt;z-index:25167360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" filled="f" stroked="f">
                <v:textbox inset="0,0,0,0">
                  <w:txbxContent>
                    <w:p w14:paraId="6E42325D" w14:textId="77777777" w:rsidR="00B503F2" w:rsidRDefault="00B503F2" w:rsidP="00B503F2">
                      <w:pPr>
                        <w:pStyle w:val="affc"/>
                        <w:spacing w:after="180"/>
                        <w:jc w:val="right"/>
                        <w:rPr>
                          <w:sz w:val="52"/>
                          <w:szCs w:val="52"/>
                        </w:rPr>
                      </w:pPr>
                      <w:r>
                        <w:rPr>
                          <w:i/>
                          <w:iCs/>
                          <w:sz w:val="52"/>
                          <w:szCs w:val="52"/>
                        </w:rPr>
                        <w:t>2п.</w:t>
                      </w:r>
                    </w:p>
                    <w:p w14:paraId="7C9308FA" w14:textId="77777777" w:rsidR="00B503F2" w:rsidRDefault="00B503F2" w:rsidP="00B503F2">
                      <w:pPr>
                        <w:pStyle w:val="affc"/>
                        <w:rPr>
                          <w:sz w:val="52"/>
                          <w:szCs w:val="52"/>
                        </w:rPr>
                      </w:pPr>
                      <w:r>
                        <w:rPr>
                          <w:i/>
                          <w:iCs/>
                          <w:sz w:val="52"/>
                          <w:szCs w:val="52"/>
                        </w:rPr>
                        <w:t>2п.</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4624" behindDoc="0" locked="0" layoutInCell="1" allowOverlap="1" wp14:anchorId="4CB6ACAC" wp14:editId="170B1270">
                <wp:simplePos x="0" y="0"/>
                <wp:positionH relativeFrom="page">
                  <wp:posOffset>2267585</wp:posOffset>
                </wp:positionH>
                <wp:positionV relativeFrom="margin">
                  <wp:posOffset>25349200</wp:posOffset>
                </wp:positionV>
                <wp:extent cx="8445500" cy="1454150"/>
                <wp:effectExtent l="0" t="0" r="0" b="0"/>
                <wp:wrapNone/>
                <wp:docPr id="586" name="Shape 586"/>
                <wp:cNvGraphicFramePr/>
                <a:graphic xmlns:a="http://schemas.openxmlformats.org/drawingml/2006/main">
                  <a:graphicData uri="http://schemas.microsoft.com/office/word/2010/wordprocessingShape">
                    <wps:wsp>
                      <wps:cNvSpPr txBox="1"/>
                      <wps:spPr>
                        <a:xfrm>
                          <a:off x="0" y="0"/>
                          <a:ext cx="8445500" cy="1454150"/>
                        </a:xfrm>
                        <a:prstGeom prst="rect">
                          <a:avLst/>
                        </a:prstGeom>
                        <a:noFill/>
                      </wps:spPr>
                      <wps:txbx>
                        <w:txbxContent>
                          <w:p w14:paraId="4BD6D86A" w14:textId="77777777" w:rsidR="00B503F2" w:rsidRDefault="00B503F2" w:rsidP="00B503F2">
                            <w:pPr>
                              <w:pStyle w:val="affc"/>
                              <w:spacing w:line="293" w:lineRule="auto"/>
                              <w:rPr>
                                <w:sz w:val="52"/>
                                <w:szCs w:val="52"/>
                              </w:rPr>
                            </w:pPr>
                            <w:r>
                              <w:rPr>
                                <w:i/>
                                <w:iCs/>
                                <w:sz w:val="52"/>
                                <w:szCs w:val="52"/>
                              </w:rPr>
                              <w:t>Ст. Пом. Нач. 1 Отдела Главного Управления Инженерно-Авиационной службы ВВС КА Военинженер 1 ранга</w:t>
                            </w:r>
                          </w:p>
                        </w:txbxContent>
                      </wps:txbx>
                      <wps:bodyPr lIns="0" tIns="0" rIns="0" bIns="0"/>
                    </wps:wsp>
                  </a:graphicData>
                </a:graphic>
              </wp:anchor>
            </w:drawing>
          </mc:Choice>
          <mc:Fallback>
            <w:pict>
              <v:shape w14:anchorId="4CB6ACAC" id="Shape 586" o:spid="_x0000_s1041" type="#_x0000_t202" style="position:absolute;left:0;text-align:left;margin-left:178.55pt;margin-top:1996pt;width:665pt;height:114.5pt;z-index:25167462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" filled="f" stroked="f">
                <v:textbox inset="0,0,0,0">
                  <w:txbxContent>
                    <w:p w14:paraId="4BD6D86A" w14:textId="77777777" w:rsidR="00B503F2" w:rsidRDefault="00B503F2" w:rsidP="00B503F2">
                      <w:pPr>
                        <w:pStyle w:val="affc"/>
                        <w:spacing w:line="293" w:lineRule="auto"/>
                        <w:rPr>
                          <w:sz w:val="52"/>
                          <w:szCs w:val="52"/>
                        </w:rPr>
                      </w:pPr>
                      <w:r>
                        <w:rPr>
                          <w:i/>
                          <w:iCs/>
                          <w:sz w:val="52"/>
                          <w:szCs w:val="52"/>
                        </w:rPr>
                        <w:t>Ст. Пом. Нач. 1 Отдела Главного Управления Инженерно-Авиационной службы ВВС КА Военинженер 1 ранга</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5648" behindDoc="0" locked="0" layoutInCell="1" allowOverlap="1" wp14:anchorId="1ECEFEE6" wp14:editId="0615777A">
                <wp:simplePos x="0" y="0"/>
                <wp:positionH relativeFrom="page">
                  <wp:posOffset>2286635</wp:posOffset>
                </wp:positionH>
                <wp:positionV relativeFrom="margin">
                  <wp:posOffset>23431500</wp:posOffset>
                </wp:positionV>
                <wp:extent cx="7994650" cy="1492250"/>
                <wp:effectExtent l="0" t="0" r="0" b="0"/>
                <wp:wrapNone/>
                <wp:docPr id="588" name="Shape 588"/>
                <wp:cNvGraphicFramePr/>
                <a:graphic xmlns:a="http://schemas.openxmlformats.org/drawingml/2006/main">
                  <a:graphicData uri="http://schemas.microsoft.com/office/word/2010/wordprocessingShape">
                    <wps:wsp>
                      <wps:cNvSpPr txBox="1"/>
                      <wps:spPr>
                        <a:xfrm>
                          <a:off x="0" y="0"/>
                          <a:ext cx="7994650" cy="1492250"/>
                        </a:xfrm>
                        <a:prstGeom prst="rect">
                          <a:avLst/>
                        </a:prstGeom>
                        <a:noFill/>
                      </wps:spPr>
                      <wps:txbx>
                        <w:txbxContent>
                          <w:p w14:paraId="07A8C262" w14:textId="77777777" w:rsidR="00B503F2" w:rsidRDefault="00B503F2" w:rsidP="00B503F2">
                            <w:pPr>
                              <w:pStyle w:val="affc"/>
                              <w:tabs>
                                <w:tab w:val="left" w:pos="8760"/>
                              </w:tabs>
                              <w:spacing w:line="302" w:lineRule="auto"/>
                              <w:rPr>
                                <w:sz w:val="52"/>
                                <w:szCs w:val="52"/>
                              </w:rPr>
                            </w:pPr>
                            <w:r>
                              <w:rPr>
                                <w:i/>
                                <w:iCs/>
                                <w:sz w:val="52"/>
                                <w:szCs w:val="52"/>
                              </w:rPr>
                              <w:t>Начальник 1 Отдела Главного Управления Инженерно-Авиационной службы ВВС КА Бригинженер</w:t>
                            </w:r>
                            <w:r>
                              <w:rPr>
                                <w:i/>
                                <w:iCs/>
                                <w:sz w:val="52"/>
                                <w:szCs w:val="52"/>
                              </w:rPr>
                              <w:tab/>
                              <w:t>Гребенев</w:t>
                            </w:r>
                          </w:p>
                        </w:txbxContent>
                      </wps:txbx>
                      <wps:bodyPr lIns="0" tIns="0" rIns="0" bIns="0"/>
                    </wps:wsp>
                  </a:graphicData>
                </a:graphic>
              </wp:anchor>
            </w:drawing>
          </mc:Choice>
          <mc:Fallback>
            <w:pict>
              <v:shape w14:anchorId="1ECEFEE6" id="Shape 588" o:spid="_x0000_s1042" type="#_x0000_t202" style="position:absolute;left:0;text-align:left;margin-left:180.05pt;margin-top:1845pt;width:629.5pt;height:117.5pt;z-index:25167564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" filled="f" stroked="f">
                <v:textbox inset="0,0,0,0">
                  <w:txbxContent>
                    <w:p w14:paraId="07A8C262" w14:textId="77777777" w:rsidR="00B503F2" w:rsidRDefault="00B503F2" w:rsidP="00B503F2">
                      <w:pPr>
                        <w:pStyle w:val="affc"/>
                        <w:tabs>
                          <w:tab w:val="left" w:pos="8760"/>
                        </w:tabs>
                        <w:spacing w:line="302" w:lineRule="auto"/>
                        <w:rPr>
                          <w:sz w:val="52"/>
                          <w:szCs w:val="52"/>
                        </w:rPr>
                      </w:pPr>
                      <w:r>
                        <w:rPr>
                          <w:i/>
                          <w:iCs/>
                          <w:sz w:val="52"/>
                          <w:szCs w:val="52"/>
                        </w:rPr>
                        <w:t>Начальник 1 Отдела Главного Управления Инженерно-Авиационной службы ВВС КА Бригинженер</w:t>
                      </w:r>
                      <w:r>
                        <w:rPr>
                          <w:i/>
                          <w:iCs/>
                          <w:sz w:val="52"/>
                          <w:szCs w:val="52"/>
                        </w:rPr>
                        <w:tab/>
                        <w:t>Гребенев</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6672" behindDoc="0" locked="0" layoutInCell="1" allowOverlap="1" wp14:anchorId="00954676" wp14:editId="79BCC6C0">
                <wp:simplePos x="0" y="0"/>
                <wp:positionH relativeFrom="page">
                  <wp:posOffset>13646785</wp:posOffset>
                </wp:positionH>
                <wp:positionV relativeFrom="margin">
                  <wp:posOffset>20161250</wp:posOffset>
                </wp:positionV>
                <wp:extent cx="6159500" cy="2444750"/>
                <wp:effectExtent l="0" t="0" r="0" b="0"/>
                <wp:wrapNone/>
                <wp:docPr id="590" name="Shape 590"/>
                <wp:cNvGraphicFramePr/>
                <a:graphic xmlns:a="http://schemas.openxmlformats.org/drawingml/2006/main">
                  <a:graphicData uri="http://schemas.microsoft.com/office/word/2010/wordprocessingShape">
                    <wps:wsp>
                      <wps:cNvSpPr txBox="1"/>
                      <wps:spPr>
                        <a:xfrm>
                          <a:off x="0" y="0"/>
                          <a:ext cx="6159500" cy="2444750"/>
                        </a:xfrm>
                        <a:prstGeom prst="rect">
                          <a:avLst/>
                        </a:prstGeom>
                        <a:noFill/>
                      </wps:spPr>
                      <wps:txbx>
                        <w:txbxContent>
                          <w:p w14:paraId="5AF99642" w14:textId="77777777" w:rsidR="00B503F2" w:rsidRDefault="00B503F2" w:rsidP="00B503F2">
                            <w:pPr>
                              <w:pStyle w:val="affc"/>
                              <w:tabs>
                                <w:tab w:val="left" w:pos="5220"/>
                              </w:tabs>
                              <w:spacing w:line="302" w:lineRule="auto"/>
                              <w:ind w:left="2580"/>
                              <w:rPr>
                                <w:sz w:val="52"/>
                                <w:szCs w:val="52"/>
                              </w:rPr>
                            </w:pPr>
                            <w:r>
                              <w:rPr>
                                <w:i/>
                                <w:iCs/>
                                <w:sz w:val="52"/>
                                <w:szCs w:val="52"/>
                              </w:rPr>
                              <w:t>2п.</w:t>
                            </w:r>
                            <w:r>
                              <w:rPr>
                                <w:i/>
                                <w:iCs/>
                                <w:sz w:val="52"/>
                                <w:szCs w:val="52"/>
                              </w:rPr>
                              <w:tab/>
                              <w:t>2ч.</w:t>
                            </w:r>
                          </w:p>
                          <w:p w14:paraId="34064F99" w14:textId="77777777" w:rsidR="00B503F2" w:rsidRDefault="00B503F2" w:rsidP="00B503F2">
                            <w:pPr>
                              <w:pStyle w:val="affc"/>
                              <w:spacing w:line="302" w:lineRule="auto"/>
                              <w:ind w:left="2580"/>
                              <w:rPr>
                                <w:sz w:val="52"/>
                                <w:szCs w:val="52"/>
                              </w:rPr>
                            </w:pPr>
                            <w:r>
                              <w:rPr>
                                <w:i/>
                                <w:iCs/>
                                <w:sz w:val="52"/>
                                <w:szCs w:val="52"/>
                              </w:rPr>
                              <w:t>Кроме того проверяется в комплексе с другими</w:t>
                            </w:r>
                          </w:p>
                          <w:p w14:paraId="71287074" w14:textId="77777777" w:rsidR="00B503F2" w:rsidRDefault="00B503F2" w:rsidP="00B503F2">
                            <w:pPr>
                              <w:pStyle w:val="affc"/>
                              <w:tabs>
                                <w:tab w:val="left" w:leader="underscore" w:pos="1950"/>
                              </w:tabs>
                              <w:spacing w:line="302" w:lineRule="auto"/>
                              <w:rPr>
                                <w:sz w:val="52"/>
                                <w:szCs w:val="52"/>
                              </w:rPr>
                            </w:pPr>
                            <w:r>
                              <w:rPr>
                                <w:i/>
                                <w:iCs/>
                                <w:sz w:val="52"/>
                                <w:szCs w:val="52"/>
                              </w:rPr>
                              <w:tab/>
                              <w:t xml:space="preserve"> заданиями</w:t>
                            </w:r>
                          </w:p>
                          <w:p w14:paraId="376F041B" w14:textId="77777777" w:rsidR="00B503F2" w:rsidRDefault="00B503F2" w:rsidP="00B503F2">
                            <w:pPr>
                              <w:pStyle w:val="affc"/>
                              <w:spacing w:line="302" w:lineRule="auto"/>
                              <w:rPr>
                                <w:sz w:val="52"/>
                                <w:szCs w:val="52"/>
                              </w:rPr>
                            </w:pPr>
                            <w:r>
                              <w:rPr>
                                <w:i/>
                                <w:iCs/>
                                <w:sz w:val="52"/>
                                <w:szCs w:val="52"/>
                              </w:rPr>
                              <w:t>Итого:</w:t>
                            </w:r>
                          </w:p>
                        </w:txbxContent>
                      </wps:txbx>
                      <wps:bodyPr lIns="0" tIns="0" rIns="0" bIns="0"/>
                    </wps:wsp>
                  </a:graphicData>
                </a:graphic>
              </wp:anchor>
            </w:drawing>
          </mc:Choice>
          <mc:Fallback>
            <w:pict>
              <v:shape w14:anchorId="00954676" id="Shape 590" o:spid="_x0000_s1043" type="#_x0000_t202" style="position:absolute;left:0;text-align:left;margin-left:1074.55pt;margin-top:1587.5pt;width:485pt;height:192.5pt;z-index:25167667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" filled="f" stroked="f">
                <v:textbox inset="0,0,0,0">
                  <w:txbxContent>
                    <w:p w14:paraId="5AF99642" w14:textId="77777777" w:rsidR="00B503F2" w:rsidRDefault="00B503F2" w:rsidP="00B503F2">
                      <w:pPr>
                        <w:pStyle w:val="affc"/>
                        <w:tabs>
                          <w:tab w:val="left" w:pos="5220"/>
                        </w:tabs>
                        <w:spacing w:line="302" w:lineRule="auto"/>
                        <w:ind w:left="2580"/>
                        <w:rPr>
                          <w:sz w:val="52"/>
                          <w:szCs w:val="52"/>
                        </w:rPr>
                      </w:pPr>
                      <w:r>
                        <w:rPr>
                          <w:i/>
                          <w:iCs/>
                          <w:sz w:val="52"/>
                          <w:szCs w:val="52"/>
                        </w:rPr>
                        <w:t>2п.</w:t>
                      </w:r>
                      <w:r>
                        <w:rPr>
                          <w:i/>
                          <w:iCs/>
                          <w:sz w:val="52"/>
                          <w:szCs w:val="52"/>
                        </w:rPr>
                        <w:tab/>
                        <w:t>2ч.</w:t>
                      </w:r>
                    </w:p>
                    <w:p w14:paraId="34064F99" w14:textId="77777777" w:rsidR="00B503F2" w:rsidRDefault="00B503F2" w:rsidP="00B503F2">
                      <w:pPr>
                        <w:pStyle w:val="affc"/>
                        <w:spacing w:line="302" w:lineRule="auto"/>
                        <w:ind w:left="2580"/>
                        <w:rPr>
                          <w:sz w:val="52"/>
                          <w:szCs w:val="52"/>
                        </w:rPr>
                      </w:pPr>
                      <w:r>
                        <w:rPr>
                          <w:i/>
                          <w:iCs/>
                          <w:sz w:val="52"/>
                          <w:szCs w:val="52"/>
                        </w:rPr>
                        <w:t>Кроме того проверяется в комплексе с другими</w:t>
                      </w:r>
                    </w:p>
                    <w:p w14:paraId="71287074" w14:textId="77777777" w:rsidR="00B503F2" w:rsidRDefault="00B503F2" w:rsidP="00B503F2">
                      <w:pPr>
                        <w:pStyle w:val="affc"/>
                        <w:tabs>
                          <w:tab w:val="left" w:leader="underscore" w:pos="1950"/>
                        </w:tabs>
                        <w:spacing w:line="302" w:lineRule="auto"/>
                        <w:rPr>
                          <w:sz w:val="52"/>
                          <w:szCs w:val="52"/>
                        </w:rPr>
                      </w:pPr>
                      <w:r>
                        <w:rPr>
                          <w:i/>
                          <w:iCs/>
                          <w:sz w:val="52"/>
                          <w:szCs w:val="52"/>
                        </w:rPr>
                        <w:tab/>
                        <w:t xml:space="preserve"> заданиями</w:t>
                      </w:r>
                    </w:p>
                    <w:p w14:paraId="376F041B" w14:textId="77777777" w:rsidR="00B503F2" w:rsidRDefault="00B503F2" w:rsidP="00B503F2">
                      <w:pPr>
                        <w:pStyle w:val="affc"/>
                        <w:spacing w:line="302" w:lineRule="auto"/>
                        <w:rPr>
                          <w:sz w:val="52"/>
                          <w:szCs w:val="52"/>
                        </w:rPr>
                      </w:pPr>
                      <w:r>
                        <w:rPr>
                          <w:i/>
                          <w:iCs/>
                          <w:sz w:val="52"/>
                          <w:szCs w:val="52"/>
                        </w:rPr>
                        <w:t>Итого:</w:t>
                      </w:r>
                    </w:p>
                  </w:txbxContent>
                </v:textbox>
                <w10:wrap anchorx="page" anchory="margin"/>
              </v:shape>
            </w:pict>
          </mc:Fallback>
        </mc:AlternateContent>
      </w:r>
      <w:r w:rsidRPr="008127F8">
        <w:rPr>
          <w:rFonts w:ascii="Times New Roman" w:hAnsi="Times New Roman"/>
          <w:noProof/>
          <w:color w:val="000000" w:themeColor="text1"/>
          <w:sz w:val="16"/>
          <w:szCs w:val="16"/>
        </w:rPr>
        <mc:AlternateContent>
          <mc:Choice Requires="wps">
            <w:drawing>
              <wp:anchor distT="0" distB="0" distL="0" distR="0" simplePos="0" relativeHeight="251677696" behindDoc="0" locked="0" layoutInCell="1" allowOverlap="1" wp14:anchorId="5A21A232" wp14:editId="57583380">
                <wp:simplePos x="0" y="0"/>
                <wp:positionH relativeFrom="page">
                  <wp:posOffset>8636635</wp:posOffset>
                </wp:positionH>
                <wp:positionV relativeFrom="margin">
                  <wp:posOffset>27470100</wp:posOffset>
                </wp:positionV>
                <wp:extent cx="5130800" cy="463550"/>
                <wp:effectExtent l="0" t="0" r="0" b="0"/>
                <wp:wrapNone/>
                <wp:docPr id="592" name="Shape 592"/>
                <wp:cNvGraphicFramePr/>
                <a:graphic xmlns:a="http://schemas.openxmlformats.org/drawingml/2006/main">
                  <a:graphicData uri="http://schemas.microsoft.com/office/word/2010/wordprocessingShape">
                    <wps:wsp>
                      <wps:cNvSpPr txBox="1"/>
                      <wps:spPr>
                        <a:xfrm>
                          <a:off x="0" y="0"/>
                          <a:ext cx="5130800" cy="463550"/>
                        </a:xfrm>
                        <a:prstGeom prst="rect">
                          <a:avLst/>
                        </a:prstGeom>
                        <a:noFill/>
                      </wps:spPr>
                      <wps:txbx>
                        <w:txbxContent>
                          <w:p w14:paraId="6BFD349C" w14:textId="77777777" w:rsidR="00B503F2" w:rsidRDefault="00B503F2" w:rsidP="00B503F2">
                            <w:pPr>
                              <w:pStyle w:val="affc"/>
                              <w:jc w:val="center"/>
                            </w:pPr>
                            <w:r>
                              <w:t>(текст оригинала сохранен)</w:t>
                            </w:r>
                          </w:p>
                        </w:txbxContent>
                      </wps:txbx>
                      <wps:bodyPr lIns="0" tIns="0" rIns="0" bIns="0"/>
                    </wps:wsp>
                  </a:graphicData>
                </a:graphic>
              </wp:anchor>
            </w:drawing>
          </mc:Choice>
          <mc:Fallback>
            <w:pict>
              <v:shape w14:anchorId="5A21A232" id="Shape 592" o:spid="_x0000_s1044" type="#_x0000_t202" style="position:absolute;left:0;text-align:left;margin-left:680.05pt;margin-top:2163pt;width:404pt;height:36.5pt;z-index:25167769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" filled="f" stroked="f">
                <v:textbox inset="0,0,0,0">
                  <w:txbxContent>
                    <w:p w14:paraId="6BFD349C" w14:textId="77777777" w:rsidR="00B503F2" w:rsidRDefault="00B503F2" w:rsidP="00B503F2">
                      <w:pPr>
                        <w:pStyle w:val="affc"/>
                        <w:jc w:val="center"/>
                      </w:pPr>
                      <w:r>
                        <w:t>(текст оригинала сохранен)</w:t>
                      </w:r>
                    </w:p>
                  </w:txbxContent>
                </v:textbox>
                <w10:wrap anchorx="page" anchory="margin"/>
              </v:shape>
            </w:pict>
          </mc:Fallback>
        </mc:AlternateContent>
      </w:r>
      <w:r w:rsidRPr="008127F8">
        <w:rPr>
          <w:rFonts w:ascii="Times New Roman" w:hAnsi="Times New Roman"/>
          <w:color w:val="000000" w:themeColor="text1"/>
          <w:sz w:val="16"/>
          <w:szCs w:val="16"/>
        </w:rPr>
        <w:t>Взвешивание и определение центра тяжести самолета в пустом и нормальном варианте.</w:t>
      </w:r>
    </w:p>
    <w:p w14:paraId="4E02D917"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Определение геометрических и регулировочных данных самолета.</w:t>
      </w:r>
    </w:p>
    <w:p w14:paraId="5E4F3679"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работы ВМГ.</w:t>
      </w:r>
    </w:p>
    <w:p w14:paraId="1FE9A81C"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действия механизмов шасси и щитков.</w:t>
      </w:r>
    </w:p>
    <w:p w14:paraId="61E30014"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работы стрелковых точек.</w:t>
      </w:r>
    </w:p>
    <w:p w14:paraId="5C86EB29"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действия электрооборудования и средств связи под током.</w:t>
      </w:r>
    </w:p>
    <w:p w14:paraId="3EF87350" w14:textId="77777777" w:rsidR="00B503F2" w:rsidRPr="008127F8" w:rsidRDefault="00B503F2"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 .Контрольный</w:t>
      </w:r>
      <w:proofErr w:type="gramEnd"/>
      <w:r w:rsidRPr="008127F8">
        <w:rPr>
          <w:rFonts w:ascii="Times New Roman" w:hAnsi="Times New Roman"/>
          <w:color w:val="000000" w:themeColor="text1"/>
          <w:sz w:val="16"/>
          <w:szCs w:val="16"/>
        </w:rPr>
        <w:t xml:space="preserve"> полет для проверки работы ВМГ матчасти самолета</w:t>
      </w:r>
    </w:p>
    <w:p w14:paraId="5C6CA1B9"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2.Выявление поведения самолета на сверх</w:t>
      </w:r>
      <w:r w:rsidRPr="008127F8">
        <w:rPr>
          <w:rFonts w:ascii="Times New Roman" w:hAnsi="Times New Roman"/>
          <w:color w:val="000000" w:themeColor="text1"/>
          <w:sz w:val="16"/>
          <w:szCs w:val="16"/>
        </w:rPr>
        <w:softHyphen/>
        <w:t>максимальных скоростях</w:t>
      </w:r>
    </w:p>
    <w:p w14:paraId="4E8511FE"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3.Определение скороподъемности и скоростей по высотам</w:t>
      </w:r>
    </w:p>
    <w:p w14:paraId="62102AAB"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Километраж</w:t>
      </w:r>
    </w:p>
    <w:p w14:paraId="2141C375"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5.Определение дальности полета</w:t>
      </w:r>
    </w:p>
    <w:p w14:paraId="72F4111B"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Определение взлетно-посадочных свойств самолета</w:t>
      </w:r>
    </w:p>
    <w:p w14:paraId="18411C17"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7.Определение маневренности и устойчивости самолета</w:t>
      </w:r>
    </w:p>
    <w:p w14:paraId="14DF6BC2"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8.Проверка действия стрелковых установок в воздухе с выпуском по 1 боекомплекту из каждой установки</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21100).</w:t>
      </w:r>
    </w:p>
    <w:p w14:paraId="5A35BD4D" w14:textId="77777777" w:rsidR="00B503F2" w:rsidRPr="008127F8" w:rsidRDefault="00B503F2" w:rsidP="001E0A84">
      <w:pPr>
        <w:spacing w:after="0" w:line="240" w:lineRule="auto"/>
        <w:jc w:val="both"/>
        <w:rPr>
          <w:rFonts w:ascii="Times New Roman" w:hAnsi="Times New Roman"/>
          <w:color w:val="000000" w:themeColor="text1"/>
          <w:sz w:val="16"/>
          <w:szCs w:val="16"/>
        </w:rPr>
      </w:pPr>
    </w:p>
    <w:p w14:paraId="5FD79F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был закончен Як-7-37 с пушкой МПШ-37 Б.Г.Шпитального + 2 УБС и в перегруз 6 РС-82, о чем имеется соответствующий акт (65,93). Это был модифицированный Як-7Б с М-105ПА. Кабину сдвинули на 400 мм назад (1046,33).</w:t>
      </w:r>
    </w:p>
    <w:p w14:paraId="6DFF15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55819"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закончена постройка истребителя «Як-7-37», ОКБ Яковлева. «Як-7-37» являлся модификацией серийного самолета «Як-7БМ-105ПА» и отличался от него более мощным пушечным вооружением. Вооружение: мотор-пушка МПШ-37 Б.Г.Шпитального калибра 37 мм, два синхронных пулемета УБС калибра 12,7 мм и в перегрузку - шесть РС-82 [Изменения в фюзеляже самолета обеспечивали установку любой из следующих пушек: МПШ-37, ВЯ-23, ШВАК (при двух последних боезапас увеличивался) в сочетании с двумя пулеметами УБС или ШКАС]. По мощности огня «Як-7-37» значительно превосходил все известные истребители, участвовавшие в боевых действиях в 1942 г. Секундная масса залпа составляла 4,15 кг/с и была больше, чем у «Як-1» и «Як-7А» в 2,4 раза, «Як-7Б»- в 1,53 раза, «ЛаГГ-З-37» - в 1,15 раза, «ЛаГГ-З» последних серий - в 2,07 раза, «Кертисс» «P-40» «Киттихаук»- в 2,55 раза, «Me-109F» с пулеметом «MG-151» - в 4,4 раза и с пушкой «MG-FF» - в 1,46 раза (15095).</w:t>
      </w:r>
    </w:p>
    <w:p w14:paraId="1271BA22"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2FFE785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постройка Як-7-37 закончилась. Самолет про</w:t>
      </w:r>
      <w:r w:rsidRPr="008127F8">
        <w:rPr>
          <w:rFonts w:ascii="Times New Roman" w:hAnsi="Times New Roman"/>
          <w:color w:val="000000" w:themeColor="text1"/>
          <w:sz w:val="16"/>
          <w:szCs w:val="16"/>
        </w:rPr>
        <w:softHyphen/>
        <w:t>шел совместные заводские и государственные испытания на заводе № 153 с 15 апреля по 10 мая 1942 г. В ходе испытаний на стволе МПШ-37 появилась кольцевая трещина, а лопасти винта были прострелены пулями синхронных пулеметов УБС. Тем не менее Як-7-37 в августе 1942 г. был выпущен малой серией (22 самолета). Эти машины прошли войсковые испытания на Северном фронте в 42-м истребительном авиаполку 240-й истребительной авиадиви</w:t>
      </w:r>
      <w:r w:rsidRPr="008127F8">
        <w:rPr>
          <w:rFonts w:ascii="Times New Roman" w:hAnsi="Times New Roman"/>
          <w:color w:val="000000" w:themeColor="text1"/>
          <w:sz w:val="16"/>
          <w:szCs w:val="16"/>
        </w:rPr>
        <w:softHyphen/>
        <w:t>зии и хорошо проявили себя в воздушных боях. На Як-7-37 было проведено 12 групповых боев при примерно равном соотношении сил. Сбито 10 самолетов противника, из них: Ме-109 — 8, РМ-190 — 1</w:t>
      </w:r>
      <w:proofErr w:type="gramStart"/>
      <w:r w:rsidRPr="008127F8">
        <w:rPr>
          <w:rFonts w:ascii="Times New Roman" w:hAnsi="Times New Roman"/>
          <w:color w:val="000000" w:themeColor="text1"/>
          <w:sz w:val="16"/>
          <w:szCs w:val="16"/>
        </w:rPr>
        <w:t>, Не</w:t>
      </w:r>
      <w:proofErr w:type="gramEnd"/>
      <w:r w:rsidRPr="008127F8">
        <w:rPr>
          <w:rFonts w:ascii="Times New Roman" w:hAnsi="Times New Roman"/>
          <w:color w:val="000000" w:themeColor="text1"/>
          <w:sz w:val="16"/>
          <w:szCs w:val="16"/>
        </w:rPr>
        <w:t>-129 — 1. Подбито два Ме-109. Свои потери: сбито четыре самолета, повреждено три (10695).</w:t>
      </w:r>
    </w:p>
    <w:p w14:paraId="505BF1E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C299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закончилась построй</w:t>
      </w:r>
      <w:r w:rsidRPr="008127F8">
        <w:rPr>
          <w:rFonts w:ascii="Times New Roman" w:hAnsi="Times New Roman"/>
          <w:color w:val="000000" w:themeColor="text1"/>
          <w:sz w:val="16"/>
          <w:szCs w:val="16"/>
        </w:rPr>
        <w:softHyphen/>
        <w:t>ка опытного образца истребителя Як-7-37 М-105ПА - модификации серийного Як-7Б в отношении повышения огневой мощи. Теперь вооружение состояло из 37-мм мотор-пушки Ш-37 с боезапасом в 20 патронов и двух 12.7-мм синхронных пулеметов УБС. Боезапас левого составлял 260 патронов, правого - 190. В перегрузку самолет мог брать еще шесть РС-82. По огне</w:t>
      </w:r>
      <w:r w:rsidRPr="008127F8">
        <w:rPr>
          <w:rFonts w:ascii="Times New Roman" w:hAnsi="Times New Roman"/>
          <w:color w:val="000000" w:themeColor="text1"/>
          <w:sz w:val="16"/>
          <w:szCs w:val="16"/>
        </w:rPr>
        <w:softHyphen/>
        <w:t>вой мощи машина превосходила любой из истребителей 1942 г. Совместные заво</w:t>
      </w:r>
      <w:r w:rsidRPr="008127F8">
        <w:rPr>
          <w:rFonts w:ascii="Times New Roman" w:hAnsi="Times New Roman"/>
          <w:color w:val="000000" w:themeColor="text1"/>
          <w:sz w:val="16"/>
          <w:szCs w:val="16"/>
        </w:rPr>
        <w:softHyphen/>
        <w:t>дские и госиспытания проходили с 15 апреля по 10 мая на новосибир</w:t>
      </w:r>
      <w:r w:rsidRPr="008127F8">
        <w:rPr>
          <w:rFonts w:ascii="Times New Roman" w:hAnsi="Times New Roman"/>
          <w:color w:val="000000" w:themeColor="text1"/>
          <w:sz w:val="16"/>
          <w:szCs w:val="16"/>
        </w:rPr>
        <w:softHyphen/>
        <w:t>ском заводе №153 бригадой в составе ведущего инженера летчика-испы</w:t>
      </w:r>
      <w:r w:rsidRPr="008127F8">
        <w:rPr>
          <w:rFonts w:ascii="Times New Roman" w:hAnsi="Times New Roman"/>
          <w:color w:val="000000" w:themeColor="text1"/>
          <w:sz w:val="16"/>
          <w:szCs w:val="16"/>
        </w:rPr>
        <w:softHyphen/>
        <w:t>тателя П.Я.Федрови, ведущего инженера по самолету А.Т.Степанца, по вооружению - Г.И.Гудименко и А.Г.Аронова, по испытаниям -П.С.Лимара. 14 полетов было выполнено за 8 ч 20 мин по далеко непол</w:t>
      </w:r>
      <w:r w:rsidRPr="008127F8">
        <w:rPr>
          <w:rFonts w:ascii="Times New Roman" w:hAnsi="Times New Roman"/>
          <w:color w:val="000000" w:themeColor="text1"/>
          <w:sz w:val="16"/>
          <w:szCs w:val="16"/>
        </w:rPr>
        <w:softHyphen/>
        <w:t>ной программе.</w:t>
      </w:r>
    </w:p>
    <w:p w14:paraId="54B5988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что толку? Похоже, это был вообще единственный экземпляр по</w:t>
      </w:r>
      <w:r w:rsidRPr="008127F8">
        <w:rPr>
          <w:rFonts w:ascii="Times New Roman" w:hAnsi="Times New Roman"/>
          <w:color w:val="000000" w:themeColor="text1"/>
          <w:sz w:val="16"/>
          <w:szCs w:val="16"/>
        </w:rPr>
        <w:softHyphen/>
        <w:t>добной машины в варианте ракетоносца, поскольку ее госиспытания за</w:t>
      </w:r>
      <w:r w:rsidRPr="008127F8">
        <w:rPr>
          <w:rFonts w:ascii="Times New Roman" w:hAnsi="Times New Roman"/>
          <w:color w:val="000000" w:themeColor="text1"/>
          <w:sz w:val="16"/>
          <w:szCs w:val="16"/>
        </w:rPr>
        <w:softHyphen/>
        <w:t>вершились аккурат в день выхода постановления ГКО о ракетном «разо</w:t>
      </w:r>
      <w:r w:rsidRPr="008127F8">
        <w:rPr>
          <w:rFonts w:ascii="Times New Roman" w:hAnsi="Times New Roman"/>
          <w:color w:val="000000" w:themeColor="text1"/>
          <w:sz w:val="16"/>
          <w:szCs w:val="16"/>
        </w:rPr>
        <w:softHyphen/>
        <w:t>ружении» истребителей. А без РС ни о каком превосходстве в огневой мощи над остальными истребителями 1942 г. и речи быть не может (11402).</w:t>
      </w:r>
    </w:p>
    <w:p w14:paraId="55A905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D8A5F" w14:textId="77777777" w:rsidR="009E593A" w:rsidRPr="008A2E5A" w:rsidRDefault="009E593A" w:rsidP="009E59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апреля 1942 г. самолет Як-7 с пушкой М-37 Шпитального закончили производством и подписали акт готовности к первому вылету. К отстре</w:t>
      </w:r>
      <w:r w:rsidRPr="008A2E5A">
        <w:rPr>
          <w:rFonts w:ascii="Times New Roman" w:hAnsi="Times New Roman"/>
          <w:color w:val="0070C0"/>
          <w:sz w:val="16"/>
          <w:szCs w:val="16"/>
        </w:rPr>
        <w:softHyphen/>
        <w:t>лу вооружения на земле в рамках совместных заводских и государственных испытаний приступили 15 апреля (вы</w:t>
      </w:r>
      <w:r w:rsidRPr="008A2E5A">
        <w:rPr>
          <w:rFonts w:ascii="Times New Roman" w:hAnsi="Times New Roman"/>
          <w:color w:val="0070C0"/>
          <w:sz w:val="16"/>
          <w:szCs w:val="16"/>
        </w:rPr>
        <w:softHyphen/>
        <w:t>везти машину в тир удалось только 13 апреля, так как про</w:t>
      </w:r>
      <w:r w:rsidRPr="008A2E5A">
        <w:rPr>
          <w:rFonts w:ascii="Times New Roman" w:hAnsi="Times New Roman"/>
          <w:color w:val="0070C0"/>
          <w:sz w:val="16"/>
          <w:szCs w:val="16"/>
        </w:rPr>
        <w:softHyphen/>
        <w:t>ходы в цехе №11 завода №153, в котором производилась сборка опытной машины, были заставлены стапелями с крыльями серийных Як-7). В первую очередь испытани</w:t>
      </w:r>
      <w:r w:rsidRPr="008A2E5A">
        <w:rPr>
          <w:rFonts w:ascii="Times New Roman" w:hAnsi="Times New Roman"/>
          <w:color w:val="0070C0"/>
          <w:sz w:val="16"/>
          <w:szCs w:val="16"/>
        </w:rPr>
        <w:softHyphen/>
        <w:t>ям подвергли установку пулеметов УБС. До 20 апреля из них выполнили 1050 выстрелов, в результате которых об</w:t>
      </w:r>
      <w:r w:rsidRPr="008A2E5A">
        <w:rPr>
          <w:rFonts w:ascii="Times New Roman" w:hAnsi="Times New Roman"/>
          <w:color w:val="0070C0"/>
          <w:sz w:val="16"/>
          <w:szCs w:val="16"/>
        </w:rPr>
        <w:softHyphen/>
        <w:t>наружилась необходимость усиления кронштейнов кре</w:t>
      </w:r>
      <w:r w:rsidRPr="008A2E5A">
        <w:rPr>
          <w:rFonts w:ascii="Times New Roman" w:hAnsi="Times New Roman"/>
          <w:color w:val="0070C0"/>
          <w:sz w:val="16"/>
          <w:szCs w:val="16"/>
        </w:rPr>
        <w:softHyphen/>
        <w:t>пления газоотводных труб (произошел прострел капо</w:t>
      </w:r>
      <w:r w:rsidRPr="008A2E5A">
        <w:rPr>
          <w:rFonts w:ascii="Times New Roman" w:hAnsi="Times New Roman"/>
          <w:color w:val="0070C0"/>
          <w:sz w:val="16"/>
          <w:szCs w:val="16"/>
        </w:rPr>
        <w:softHyphen/>
        <w:t>та и блока мотора из-за разрушения кронштейна) и уве</w:t>
      </w:r>
      <w:r w:rsidRPr="008A2E5A">
        <w:rPr>
          <w:rFonts w:ascii="Times New Roman" w:hAnsi="Times New Roman"/>
          <w:color w:val="0070C0"/>
          <w:sz w:val="16"/>
          <w:szCs w:val="16"/>
        </w:rPr>
        <w:softHyphen/>
        <w:t>личения размера стальной накладки желобов пулеметов (из-за температурной деформации капота при стрель</w:t>
      </w:r>
      <w:r w:rsidRPr="008A2E5A">
        <w:rPr>
          <w:rFonts w:ascii="Times New Roman" w:hAnsi="Times New Roman"/>
          <w:color w:val="0070C0"/>
          <w:sz w:val="16"/>
          <w:szCs w:val="16"/>
        </w:rPr>
        <w:softHyphen/>
        <w:t>бе). Проверить установку вооружения в полном объеме не представилось возможным из-за дефекта мотора, от</w:t>
      </w:r>
      <w:r w:rsidRPr="008A2E5A">
        <w:rPr>
          <w:rFonts w:ascii="Times New Roman" w:hAnsi="Times New Roman"/>
          <w:color w:val="0070C0"/>
          <w:sz w:val="16"/>
          <w:szCs w:val="16"/>
        </w:rPr>
        <w:softHyphen/>
        <w:t xml:space="preserve">верстие в вале </w:t>
      </w:r>
      <w:proofErr w:type="gramStart"/>
      <w:r w:rsidRPr="008A2E5A">
        <w:rPr>
          <w:rFonts w:ascii="Times New Roman" w:hAnsi="Times New Roman"/>
          <w:color w:val="0070C0"/>
          <w:sz w:val="16"/>
          <w:szCs w:val="16"/>
        </w:rPr>
        <w:t>редуктора</w:t>
      </w:r>
      <w:proofErr w:type="gramEnd"/>
      <w:r w:rsidRPr="008A2E5A">
        <w:rPr>
          <w:rFonts w:ascii="Times New Roman" w:hAnsi="Times New Roman"/>
          <w:color w:val="0070C0"/>
          <w:sz w:val="16"/>
          <w:szCs w:val="16"/>
        </w:rPr>
        <w:t xml:space="preserve"> которого оказалось (как у ста</w:t>
      </w:r>
      <w:r w:rsidRPr="008A2E5A">
        <w:rPr>
          <w:rFonts w:ascii="Times New Roman" w:hAnsi="Times New Roman"/>
          <w:color w:val="0070C0"/>
          <w:sz w:val="16"/>
          <w:szCs w:val="16"/>
        </w:rPr>
        <w:softHyphen/>
        <w:t>рых серий выпуска) с кольцевым выступом вместо прото</w:t>
      </w:r>
      <w:r w:rsidRPr="008A2E5A">
        <w:rPr>
          <w:rFonts w:ascii="Times New Roman" w:hAnsi="Times New Roman"/>
          <w:color w:val="0070C0"/>
          <w:sz w:val="16"/>
          <w:szCs w:val="16"/>
        </w:rPr>
        <w:softHyphen/>
        <w:t>чки. При этом зазор между стволом Ш-37 валом редукто</w:t>
      </w:r>
      <w:r w:rsidRPr="008A2E5A">
        <w:rPr>
          <w:rFonts w:ascii="Times New Roman" w:hAnsi="Times New Roman"/>
          <w:color w:val="0070C0"/>
          <w:sz w:val="16"/>
          <w:szCs w:val="16"/>
        </w:rPr>
        <w:softHyphen/>
        <w:t>ра в районе выступа уменьшился с ± 1 до ± 0,25-0,45 мм. Биение, возникшее при работе мотора и отстреле пуле</w:t>
      </w:r>
      <w:r w:rsidRPr="008A2E5A">
        <w:rPr>
          <w:rFonts w:ascii="Times New Roman" w:hAnsi="Times New Roman"/>
          <w:color w:val="0070C0"/>
          <w:sz w:val="16"/>
          <w:szCs w:val="16"/>
        </w:rPr>
        <w:softHyphen/>
        <w:t>метов, способствовало появлению усталостной трещины ствола пушки в районе носка вала редуктора. После за</w:t>
      </w:r>
      <w:r w:rsidRPr="008A2E5A">
        <w:rPr>
          <w:rFonts w:ascii="Times New Roman" w:hAnsi="Times New Roman"/>
          <w:color w:val="0070C0"/>
          <w:sz w:val="16"/>
          <w:szCs w:val="16"/>
        </w:rPr>
        <w:softHyphen/>
        <w:t>мены мотора в ствол пушки вставили специальный сталь</w:t>
      </w:r>
      <w:r w:rsidRPr="008A2E5A">
        <w:rPr>
          <w:rFonts w:ascii="Times New Roman" w:hAnsi="Times New Roman"/>
          <w:color w:val="0070C0"/>
          <w:sz w:val="16"/>
          <w:szCs w:val="16"/>
        </w:rPr>
        <w:softHyphen/>
        <w:t>ной буж, закрепив его в районе трещины. В таком вари</w:t>
      </w:r>
      <w:r w:rsidRPr="008A2E5A">
        <w:rPr>
          <w:rFonts w:ascii="Times New Roman" w:hAnsi="Times New Roman"/>
          <w:color w:val="0070C0"/>
          <w:sz w:val="16"/>
          <w:szCs w:val="16"/>
        </w:rPr>
        <w:softHyphen/>
        <w:t>анте машина совершила свой первый полет 1 мая 1942 г. Всего за время испытаний выполнили 14 полетов общей продолжительностью 8 часов 20 минут, в том числе четы</w:t>
      </w:r>
      <w:r w:rsidRPr="008A2E5A">
        <w:rPr>
          <w:rFonts w:ascii="Times New Roman" w:hAnsi="Times New Roman"/>
          <w:color w:val="0070C0"/>
          <w:sz w:val="16"/>
          <w:szCs w:val="16"/>
        </w:rPr>
        <w:softHyphen/>
        <w:t>ре полета на отстрел пулеметного вооружения в воздухе. 11 мая в четвертом за день полете при отстреле УБС над р.Обь на высоте 200 м произошел прострел и обрыв двух лопастей винта (в каждую лопасть попало по три пули) по вине оружия. При вынужденной посадке без шасси само</w:t>
      </w:r>
      <w:r w:rsidRPr="008A2E5A">
        <w:rPr>
          <w:rFonts w:ascii="Times New Roman" w:hAnsi="Times New Roman"/>
          <w:color w:val="0070C0"/>
          <w:sz w:val="16"/>
          <w:szCs w:val="16"/>
        </w:rPr>
        <w:softHyphen/>
        <w:t>лет потерпел аварию, в которой пострадал летчик-испы</w:t>
      </w:r>
      <w:r w:rsidRPr="008A2E5A">
        <w:rPr>
          <w:rFonts w:ascii="Times New Roman" w:hAnsi="Times New Roman"/>
          <w:color w:val="0070C0"/>
          <w:sz w:val="16"/>
          <w:szCs w:val="16"/>
        </w:rPr>
        <w:softHyphen/>
        <w:t>татель П.Я. Федрови. Из-за аварии самолет не только не завершил испытания, но и не был сфотографирован. В от</w:t>
      </w:r>
      <w:r w:rsidRPr="008A2E5A">
        <w:rPr>
          <w:rFonts w:ascii="Times New Roman" w:hAnsi="Times New Roman"/>
          <w:color w:val="0070C0"/>
          <w:sz w:val="16"/>
          <w:szCs w:val="16"/>
        </w:rPr>
        <w:softHyphen/>
        <w:t>чет по испытаниям вклеили отретушированные фото Як- 75 №1413.</w:t>
      </w:r>
    </w:p>
    <w:p w14:paraId="2CE24384" w14:textId="77777777" w:rsidR="009E593A" w:rsidRPr="008A2E5A" w:rsidRDefault="009E593A" w:rsidP="009E59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своим летным характеристикам Як-7-37, за счет вне</w:t>
      </w:r>
      <w:r w:rsidRPr="008A2E5A">
        <w:rPr>
          <w:rFonts w:ascii="Times New Roman" w:hAnsi="Times New Roman"/>
          <w:color w:val="0070C0"/>
          <w:sz w:val="16"/>
          <w:szCs w:val="16"/>
        </w:rPr>
        <w:softHyphen/>
        <w:t>дрения некоторых аэродинамических улучшений, оказал</w:t>
      </w:r>
      <w:r w:rsidRPr="008A2E5A">
        <w:rPr>
          <w:rFonts w:ascii="Times New Roman" w:hAnsi="Times New Roman"/>
          <w:color w:val="0070C0"/>
          <w:sz w:val="16"/>
          <w:szCs w:val="16"/>
        </w:rPr>
        <w:softHyphen/>
        <w:t xml:space="preserve">ся близким к выпускающемуся серийно истребителю Як- 7А, уступая последнему лишь в вертикальном маневре. А по весу секундного залпа, равного 4,15 кг, превысил и Як- 75 (2,86 кг), и Як-7М (3,92 кг), и Як-3-l (3,96 </w:t>
      </w:r>
      <w:r w:rsidRPr="008A2E5A">
        <w:rPr>
          <w:rFonts w:ascii="Times New Roman" w:hAnsi="Times New Roman"/>
          <w:color w:val="0070C0"/>
          <w:sz w:val="16"/>
          <w:szCs w:val="16"/>
        </w:rPr>
        <w:lastRenderedPageBreak/>
        <w:t>кг). Исходя из этого 20 июля 1942 г. было принято постановление ГКО №2066сс о выпуске на заводе №153 к 5 сентября 1942 г. войсковой серии из 20 самолетов Як-7 с 37-мм пушкой.</w:t>
      </w:r>
    </w:p>
    <w:p w14:paraId="7F44F318" w14:textId="77777777" w:rsidR="009E593A" w:rsidRPr="008A2E5A" w:rsidRDefault="009E593A" w:rsidP="009E59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состав вооружения для улучшения взлетно-по</w:t>
      </w:r>
      <w:r w:rsidRPr="008A2E5A">
        <w:rPr>
          <w:rFonts w:ascii="Times New Roman" w:hAnsi="Times New Roman"/>
          <w:color w:val="0070C0"/>
          <w:sz w:val="16"/>
          <w:szCs w:val="16"/>
        </w:rPr>
        <w:softHyphen/>
        <w:t>садочных характеристик и вертикального маневра сокра</w:t>
      </w:r>
      <w:r w:rsidRPr="008A2E5A">
        <w:rPr>
          <w:rFonts w:ascii="Times New Roman" w:hAnsi="Times New Roman"/>
          <w:color w:val="0070C0"/>
          <w:sz w:val="16"/>
          <w:szCs w:val="16"/>
        </w:rPr>
        <w:softHyphen/>
        <w:t>тили на один пулемет БС. Боекомплект к оставшемуся ле</w:t>
      </w:r>
      <w:r w:rsidRPr="008A2E5A">
        <w:rPr>
          <w:rFonts w:ascii="Times New Roman" w:hAnsi="Times New Roman"/>
          <w:color w:val="0070C0"/>
          <w:sz w:val="16"/>
          <w:szCs w:val="16"/>
        </w:rPr>
        <w:softHyphen/>
        <w:t>вому пулемету увеличили до 360 патронов. Из-за задер</w:t>
      </w:r>
      <w:r w:rsidRPr="008A2E5A">
        <w:rPr>
          <w:rFonts w:ascii="Times New Roman" w:hAnsi="Times New Roman"/>
          <w:color w:val="0070C0"/>
          <w:sz w:val="16"/>
          <w:szCs w:val="16"/>
        </w:rPr>
        <w:softHyphen/>
        <w:t>жки с поставкой пушек Ш-37 с Ижевского завода 22 са</w:t>
      </w:r>
      <w:r w:rsidRPr="008A2E5A">
        <w:rPr>
          <w:rFonts w:ascii="Times New Roman" w:hAnsi="Times New Roman"/>
          <w:color w:val="0070C0"/>
          <w:sz w:val="16"/>
          <w:szCs w:val="16"/>
        </w:rPr>
        <w:softHyphen/>
        <w:t>молета войсковой серии изготовили только в конце авгу</w:t>
      </w:r>
      <w:r w:rsidRPr="008A2E5A">
        <w:rPr>
          <w:rFonts w:ascii="Times New Roman" w:hAnsi="Times New Roman"/>
          <w:color w:val="0070C0"/>
          <w:sz w:val="16"/>
          <w:szCs w:val="16"/>
        </w:rPr>
        <w:softHyphen/>
        <w:t>ста 1942 г. Машины Як-7Т, как их неофициально обозначи</w:t>
      </w:r>
      <w:r w:rsidRPr="008A2E5A">
        <w:rPr>
          <w:rFonts w:ascii="Times New Roman" w:hAnsi="Times New Roman"/>
          <w:color w:val="0070C0"/>
          <w:sz w:val="16"/>
          <w:szCs w:val="16"/>
        </w:rPr>
        <w:softHyphen/>
        <w:t>ли на заводе, имели номера самолетов с 81 по 102 в 25-й производственной серии. Контрольные испытания голов</w:t>
      </w:r>
      <w:r w:rsidRPr="008A2E5A">
        <w:rPr>
          <w:rFonts w:ascii="Times New Roman" w:hAnsi="Times New Roman"/>
          <w:color w:val="0070C0"/>
          <w:sz w:val="16"/>
          <w:szCs w:val="16"/>
        </w:rPr>
        <w:softHyphen/>
        <w:t>ного самолета Як-7Т №2515381 летчиком военного пред</w:t>
      </w:r>
      <w:r w:rsidRPr="008A2E5A">
        <w:rPr>
          <w:rFonts w:ascii="Times New Roman" w:hAnsi="Times New Roman"/>
          <w:color w:val="0070C0"/>
          <w:sz w:val="16"/>
          <w:szCs w:val="16"/>
        </w:rPr>
        <w:softHyphen/>
        <w:t>ставительства показали, что мероприятия по облегчению машины дали положительный эффект: противокапотаж- ный угол увеличился с 23 до 26° и приблизился к задан</w:t>
      </w:r>
      <w:r w:rsidRPr="008A2E5A">
        <w:rPr>
          <w:rFonts w:ascii="Times New Roman" w:hAnsi="Times New Roman"/>
          <w:color w:val="0070C0"/>
          <w:sz w:val="16"/>
          <w:szCs w:val="16"/>
        </w:rPr>
        <w:softHyphen/>
        <w:t>ному тактико-техническими требованиями (27°). Это су</w:t>
      </w:r>
      <w:r w:rsidRPr="008A2E5A">
        <w:rPr>
          <w:rFonts w:ascii="Times New Roman" w:hAnsi="Times New Roman"/>
          <w:color w:val="0070C0"/>
          <w:sz w:val="16"/>
          <w:szCs w:val="16"/>
        </w:rPr>
        <w:softHyphen/>
        <w:t>щественным образом сокращало пробег при посадке, а вместе с тем требуемые размеры аэродромов для экс</w:t>
      </w:r>
      <w:r w:rsidRPr="008A2E5A">
        <w:rPr>
          <w:rFonts w:ascii="Times New Roman" w:hAnsi="Times New Roman"/>
          <w:color w:val="0070C0"/>
          <w:sz w:val="16"/>
          <w:szCs w:val="16"/>
        </w:rPr>
        <w:softHyphen/>
        <w:t>плуатации Як-7Т. Самолеты войсковой серии отличались от опытной машины Як-7-37 обычным крылом без пред</w:t>
      </w:r>
      <w:r w:rsidRPr="008A2E5A">
        <w:rPr>
          <w:rFonts w:ascii="Times New Roman" w:hAnsi="Times New Roman"/>
          <w:color w:val="0070C0"/>
          <w:sz w:val="16"/>
          <w:szCs w:val="16"/>
        </w:rPr>
        <w:softHyphen/>
        <w:t>крылков, поэтому маневренные характеристики машин по сравнению с опытной были несколько хуже. За счет об</w:t>
      </w:r>
      <w:r w:rsidRPr="008A2E5A">
        <w:rPr>
          <w:rFonts w:ascii="Times New Roman" w:hAnsi="Times New Roman"/>
          <w:color w:val="0070C0"/>
          <w:sz w:val="16"/>
          <w:szCs w:val="16"/>
        </w:rPr>
        <w:softHyphen/>
        <w:t>легчения и установки моторов М-105ПФ характеристики вертикального маневра практически сравнялись с серий</w:t>
      </w:r>
      <w:r w:rsidRPr="008A2E5A">
        <w:rPr>
          <w:rFonts w:ascii="Times New Roman" w:hAnsi="Times New Roman"/>
          <w:color w:val="0070C0"/>
          <w:sz w:val="16"/>
          <w:szCs w:val="16"/>
        </w:rPr>
        <w:softHyphen/>
        <w:t>но выпускающимися Як-7Б, но максимальная скорость оказалась меньше, чем у Як-7-37, из-за установки бомбо</w:t>
      </w:r>
      <w:r w:rsidRPr="008A2E5A">
        <w:rPr>
          <w:rFonts w:ascii="Times New Roman" w:hAnsi="Times New Roman"/>
          <w:color w:val="0070C0"/>
          <w:sz w:val="16"/>
          <w:szCs w:val="16"/>
        </w:rPr>
        <w:softHyphen/>
        <w:t>держателей, гондолы радиатора с расширяющимся вхо</w:t>
      </w:r>
      <w:r w:rsidRPr="008A2E5A">
        <w:rPr>
          <w:rFonts w:ascii="Times New Roman" w:hAnsi="Times New Roman"/>
          <w:color w:val="0070C0"/>
          <w:sz w:val="16"/>
          <w:szCs w:val="16"/>
        </w:rPr>
        <w:softHyphen/>
        <w:t>дом и серийного качества внешней отделки самолета. Все самолеты сдали военной приемке досрочно в конце августа и в сентябре 1942 г. отправили на фронт. Предло</w:t>
      </w:r>
      <w:r w:rsidRPr="008A2E5A">
        <w:rPr>
          <w:rFonts w:ascii="Times New Roman" w:hAnsi="Times New Roman"/>
          <w:color w:val="0070C0"/>
          <w:sz w:val="16"/>
          <w:szCs w:val="16"/>
        </w:rPr>
        <w:softHyphen/>
        <w:t>жение А.С. Яковлева о выпуске дополнительно еще 40 ма</w:t>
      </w:r>
      <w:r w:rsidRPr="008A2E5A">
        <w:rPr>
          <w:rFonts w:ascii="Times New Roman" w:hAnsi="Times New Roman"/>
          <w:color w:val="0070C0"/>
          <w:sz w:val="16"/>
          <w:szCs w:val="16"/>
        </w:rPr>
        <w:softHyphen/>
        <w:t>шин Як-7-37, чтобы вооружить этой машиной два полка, встретило поддержку у руководства ВВС КА, но не было санкционировано ГКО (23381).</w:t>
      </w:r>
    </w:p>
    <w:p w14:paraId="132EDF40" w14:textId="77777777" w:rsidR="009E593A" w:rsidRPr="008A2E5A" w:rsidRDefault="009E593A" w:rsidP="009E593A">
      <w:pPr>
        <w:spacing w:after="0" w:line="240" w:lineRule="auto"/>
        <w:jc w:val="both"/>
        <w:rPr>
          <w:rFonts w:ascii="Times New Roman" w:hAnsi="Times New Roman"/>
          <w:color w:val="0070C0"/>
          <w:sz w:val="16"/>
          <w:szCs w:val="16"/>
        </w:rPr>
      </w:pPr>
    </w:p>
    <w:p w14:paraId="5046C6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 268с в соответствии с пост. ГКО от 4.04.1942 г. на площадке эвакуированного завода № 82 НКАП в Тушино организован филиал ЦИАМ для окончания работ по доводке мотора М-30 и оснащения ими Ер-2 (на этой же площадке действовал ремонтный завод № 453 6ГУ НКАП). Начальником филиала назначен Ф.Я. Тулупов, зам. начальника/ гл. инженером- А. Г. Таканаев. Сюда начался возврат кадров и оборудования бывшего завода № 82 с завода № 45 и из ЦИАМ.</w:t>
      </w:r>
    </w:p>
    <w:p w14:paraId="4648FC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в соответствии с пост. ГКО № 1866сс от 4.06.1942 г. и приказом № 444сс от 13.06.1942 г. для концентрации работ по авиадизелям, их доводки и выпуска небольших серий на площадке бывшего завода № 82 организован опытный двигателестроительный завод № 500 8ГУ НКАП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  г. Москва, ул. Вишневая, 7 тел. 491-55-44/). На завод возвращены кадры, ранее работавшие на заводе № 82, с заводов № 45, № 315, № 82. Сюда переведена часть завода № 296 НКАП (оборудование, кадры) по электродрелям.</w:t>
      </w:r>
    </w:p>
    <w:p w14:paraId="79080A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в 06.1942 г. переведена из ОТБ НКВД завода № 16 дизельная группа под руководством А.Д. Чаромского.</w:t>
      </w:r>
    </w:p>
    <w:p w14:paraId="449A19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1943 г. завод № 500 переведен в серийные. Подготовка к производству М-30 шла трудно. В 1943-44 г. происходило постоянное укрепление производства. По приказу № 158с от 19.03.1943 г. заводу передана разделочная база завода № 453 НКАП. В соответствии с пост. ГКО № 4006с от 29.08.1943 г. и по приказу № 528с от 2.09.1943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66E14B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6C1577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0E8895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31.12.1947 г. был построен 1-й РД-500, в 10.1948 г. начат серийный выпуск двигателя.</w:t>
      </w:r>
    </w:p>
    <w:p w14:paraId="28CA8F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 создан отдел систем ЧПУ.</w:t>
      </w:r>
    </w:p>
    <w:p w14:paraId="7DE861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56F808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046A40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8127F8">
        <w:rPr>
          <w:rFonts w:ascii="Times New Roman" w:hAnsi="Times New Roman"/>
          <w:color w:val="000000" w:themeColor="text1"/>
          <w:sz w:val="16"/>
          <w:szCs w:val="16"/>
          <w:lang w:val="en-US"/>
        </w:rPr>
        <w:t>FC</w:t>
      </w:r>
      <w:r w:rsidRPr="008127F8">
        <w:rPr>
          <w:rFonts w:ascii="Times New Roman" w:hAnsi="Times New Roman"/>
          <w:color w:val="000000" w:themeColor="text1"/>
          <w:sz w:val="16"/>
          <w:szCs w:val="16"/>
        </w:rPr>
        <w:t>-1 на базе РД-33; ВК-3000; освоение выпуска РД-ЗЗМК, РД-1700.</w:t>
      </w:r>
    </w:p>
    <w:p w14:paraId="7B35BA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575144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(04.1944 г.-)- В.М. Яковлев.</w:t>
      </w:r>
    </w:p>
    <w:p w14:paraId="63CD49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(2002-04; 12.2008 г.)- А.С. Новиков, (10.2004 г.)- О.Н. Третьяков.</w:t>
      </w:r>
    </w:p>
    <w:p w14:paraId="558110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53571B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(1945-47 г.)- В.В. Чернышев, (1984-97 г.)- О.Н. Третьяков.</w:t>
      </w:r>
    </w:p>
    <w:p w14:paraId="4FB816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(1945 г.)- И.Н. Смирнов.</w:t>
      </w:r>
    </w:p>
    <w:p w14:paraId="643B8D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физической (1945 г.)- А.И. Маслов.</w:t>
      </w:r>
    </w:p>
    <w:p w14:paraId="5BAEE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техбюро (1945 г.)- П.В. Погостин.</w:t>
      </w:r>
    </w:p>
    <w:p w14:paraId="6023AB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дизельные двигатели: авиационные:</w:t>
      </w:r>
      <w:r w:rsidRPr="008127F8">
        <w:rPr>
          <w:rFonts w:ascii="Times New Roman" w:hAnsi="Times New Roman"/>
          <w:color w:val="000000" w:themeColor="text1"/>
          <w:sz w:val="16"/>
          <w:szCs w:val="16"/>
        </w:rPr>
        <w:t xml:space="preserve"> АЧ-30Б (1943-46)- 900, АЧ-31 (1945-46)- 58, АЧ-30БФ, М501 (1946-53); танковый ТД-30 (1946);</w:t>
      </w:r>
      <w:r w:rsidRPr="008127F8">
        <w:rPr>
          <w:rFonts w:ascii="Times New Roman" w:hAnsi="Times New Roman"/>
          <w:iCs/>
          <w:color w:val="000000" w:themeColor="text1"/>
          <w:sz w:val="16"/>
          <w:szCs w:val="16"/>
        </w:rPr>
        <w:t xml:space="preserve"> ГТД:</w:t>
      </w:r>
      <w:r w:rsidRPr="008127F8">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8127F8">
        <w:rPr>
          <w:rFonts w:ascii="Times New Roman" w:hAnsi="Times New Roman"/>
          <w:iCs/>
          <w:color w:val="000000" w:themeColor="text1"/>
          <w:sz w:val="16"/>
          <w:szCs w:val="16"/>
        </w:rPr>
        <w:t xml:space="preserve"> ЖРД </w:t>
      </w:r>
      <w:r w:rsidRPr="008127F8">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8127F8">
        <w:rPr>
          <w:rFonts w:ascii="Times New Roman" w:hAnsi="Times New Roman"/>
          <w:color w:val="000000" w:themeColor="text1"/>
          <w:sz w:val="16"/>
          <w:szCs w:val="16"/>
          <w:vertAlign w:val="superscript"/>
        </w:rPr>
        <w:t xml:space="preserve">69 </w:t>
      </w:r>
      <w:r w:rsidRPr="008127F8">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5365C6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Специальная конструкторская группа (СКГ) при заводе № 500 МАП, п/я 010</w:t>
      </w:r>
    </w:p>
    <w:p w14:paraId="026AA5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506695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w:t>
      </w:r>
      <w:proofErr w:type="gramStart"/>
      <w:r w:rsidRPr="008127F8">
        <w:rPr>
          <w:rFonts w:ascii="Times New Roman" w:hAnsi="Times New Roman"/>
          <w:color w:val="000000" w:themeColor="text1"/>
          <w:sz w:val="16"/>
          <w:szCs w:val="16"/>
        </w:rPr>
        <w:t>125362  г.</w:t>
      </w:r>
      <w:proofErr w:type="gramEnd"/>
      <w:r w:rsidRPr="008127F8">
        <w:rPr>
          <w:rFonts w:ascii="Times New Roman" w:hAnsi="Times New Roman"/>
          <w:color w:val="000000" w:themeColor="text1"/>
          <w:sz w:val="16"/>
          <w:szCs w:val="16"/>
        </w:rPr>
        <w:t xml:space="preserve"> Москва ул. Вишневая, 7 тел. 491-58-65/</w:t>
      </w:r>
    </w:p>
    <w:p w14:paraId="0A8A5F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798B2A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6AE651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20D0F8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дизелям АЧ-31, М-51 (М.М. Масленников), М-501 (В.М. Яковлев). В 1946-53</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работы по воспроизводству немецкого дизеля </w:t>
      </w:r>
      <w:r w:rsidRPr="008127F8">
        <w:rPr>
          <w:rFonts w:ascii="Times New Roman" w:hAnsi="Times New Roman"/>
          <w:color w:val="000000" w:themeColor="text1"/>
          <w:sz w:val="16"/>
          <w:szCs w:val="16"/>
          <w:lang w:val="en-US"/>
        </w:rPr>
        <w:t>Jumo</w:t>
      </w:r>
      <w:r w:rsidRPr="008127F8">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0BD4B4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A0CD7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59B155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033C28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35EB41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 предприятия входит (2002 г.): КБ, ОП, лабораторная база, испытательная станция. Имелись филиалы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Жуковский и в  г. Ахтубинске Астраханской обл.</w:t>
      </w:r>
    </w:p>
    <w:p w14:paraId="1D49D8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2006 г. ТМКБ «Союз» являлось дочерним предприятием РСК «МиГ».</w:t>
      </w:r>
    </w:p>
    <w:p w14:paraId="35131A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38DFAD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(2005 г.-)- Л.С. Бардычев.</w:t>
      </w:r>
    </w:p>
    <w:p w14:paraId="782124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2A7ACD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441D4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31F010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ТРД:</w:t>
      </w:r>
      <w:r w:rsidRPr="008127F8">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8127F8">
        <w:rPr>
          <w:rFonts w:ascii="Times New Roman" w:hAnsi="Times New Roman"/>
          <w:color w:val="000000" w:themeColor="text1"/>
          <w:sz w:val="16"/>
          <w:szCs w:val="16"/>
          <w:vertAlign w:val="superscript"/>
        </w:rPr>
        <w:t>101</w:t>
      </w:r>
    </w:p>
    <w:p w14:paraId="61B1BD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 завода № 500, ОКБ-500-2 МАП гл. конструктора С.С. Баландина /Тушино/</w:t>
      </w:r>
    </w:p>
    <w:p w14:paraId="7ABBA9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0C56F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(08.1946-04.1947 г.-) - С.С. Баландин.</w:t>
      </w:r>
    </w:p>
    <w:p w14:paraId="005131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(08.1946 г.-)</w:t>
      </w:r>
      <w:proofErr w:type="gramStart"/>
      <w:r w:rsidRPr="008127F8">
        <w:rPr>
          <w:rFonts w:ascii="Times New Roman" w:hAnsi="Times New Roman"/>
          <w:color w:val="000000" w:themeColor="text1"/>
          <w:sz w:val="16"/>
          <w:szCs w:val="16"/>
        </w:rPr>
        <w:t>-  Г.П.</w:t>
      </w:r>
      <w:proofErr w:type="gramEnd"/>
      <w:r w:rsidRPr="008127F8">
        <w:rPr>
          <w:rFonts w:ascii="Times New Roman" w:hAnsi="Times New Roman"/>
          <w:color w:val="000000" w:themeColor="text1"/>
          <w:sz w:val="16"/>
          <w:szCs w:val="16"/>
        </w:rPr>
        <w:t xml:space="preserve"> Зайцев, (08.1946 г.-) - К.А. Гильзин (11982).</w:t>
      </w:r>
    </w:p>
    <w:p w14:paraId="45DFF1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FCD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г. приказом НКАП № 269сс в соответствии с постановлением № ГОКО-1543 от 05.04.1942 г. на базе Агрегатных ремонтных мастерских с 15.05.1942 г. организован новый агрегатный завод № 451 НКАП при 4ГУ для производства бензо-, маслонасосов и фильтров. Сформирован из части коллективов заводов № 20 и № 33 НКАП. </w:t>
      </w:r>
    </w:p>
    <w:p w14:paraId="33F340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160E3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3A9F80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141982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31A23F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385D64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71EF12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7BACA3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г.)- 1100 чел.</w:t>
      </w:r>
    </w:p>
    <w:p w14:paraId="2916F2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7053D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В.И. Новоселов.</w:t>
      </w:r>
    </w:p>
    <w:p w14:paraId="5BD159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(03.2005 г.)- Д.Н. Покровский</w:t>
      </w:r>
    </w:p>
    <w:p w14:paraId="09718C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(1946-47 г.)- П.Н. Тарасов. </w:t>
      </w:r>
    </w:p>
    <w:p w14:paraId="641729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67A62F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(05.1945 г.)- Крупнов. Гл. специалист по маркетингу (2002 г.)- А.В. Савельев.</w:t>
      </w:r>
    </w:p>
    <w:p w14:paraId="6D6BE7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5F9ED3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6B2F65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Старопетровский пр-д</w:t>
      </w:r>
    </w:p>
    <w:p w14:paraId="1446F1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127015 г. Москва ул. Б. Новодмитровская, 23 тел. 685-67-92 www.znamia.ru</w:t>
      </w:r>
    </w:p>
    <w:p w14:paraId="00BE32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ОКБ-451 МАП, ОКБ-451-20 МАП </w:t>
      </w:r>
    </w:p>
    <w:p w14:paraId="1BA35B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50097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62CC48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5216D6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1947 г. единое ОКБ именовалось как ОКБ-451-20 с филиалом.</w:t>
      </w:r>
    </w:p>
    <w:p w14:paraId="512F2E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436с от 5.07.1947 г. филиал ОКБ-451 на завода № 20 преобразован в ОКБ-20 МАП.</w:t>
      </w:r>
    </w:p>
    <w:p w14:paraId="1A248E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078623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ОКБ-451 объединено с ОКБ-315 в единое МАКБ «Темп».</w:t>
      </w:r>
    </w:p>
    <w:p w14:paraId="400399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П.Н. Тарасов (10776).</w:t>
      </w:r>
    </w:p>
    <w:p w14:paraId="651D28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C02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вышел приказ НКАП N 269сс об организации заводов-дублеров по производству моторов, агрегатов, авиаприборов и самолетных генераторов (573,44) в исполнение решения ГКО N ГКО-1543сс от 5 апреля 1942</w:t>
      </w:r>
    </w:p>
    <w:p w14:paraId="23F15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4 ГУ В.И.Тарасевичу:</w:t>
      </w:r>
    </w:p>
    <w:p w14:paraId="7DC079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организовать к 15 мая 1942 в Москве заводы дублеры по производству приборов зажигания (магнето и свечи) на площадях бывшего завода 476 и по производству бензомаслонасосов и маслофильтров на площадях бывшего завода 20, присвоив соответственно NN 476 и 451 (1538,113).</w:t>
      </w:r>
    </w:p>
    <w:p w14:paraId="5BEFDD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21CB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года приказом НКАП за № 269сс во исполнение решения ГОКО за № 11593сс от 15 апреля 1942 года и 17 апреля 1942 года приказом 5-го гл. управления за № 3с был организован завод № 122 как завод-дублер по выпуску авиаприборов (9432).</w:t>
      </w:r>
    </w:p>
    <w:p w14:paraId="579A16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025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г. приказом № 269сс в соответствии с решением № ГОКО-1543 от 5 апреля 1942 </w:t>
      </w:r>
      <w:proofErr w:type="gramStart"/>
      <w:r w:rsidRPr="008127F8">
        <w:rPr>
          <w:rFonts w:ascii="Times New Roman" w:hAnsi="Times New Roman"/>
          <w:color w:val="000000" w:themeColor="text1"/>
          <w:sz w:val="16"/>
          <w:szCs w:val="16"/>
        </w:rPr>
        <w:t>г.на</w:t>
      </w:r>
      <w:proofErr w:type="gramEnd"/>
      <w:r w:rsidRPr="008127F8">
        <w:rPr>
          <w:rFonts w:ascii="Times New Roman" w:hAnsi="Times New Roman"/>
          <w:color w:val="000000" w:themeColor="text1"/>
          <w:sz w:val="16"/>
          <w:szCs w:val="16"/>
        </w:rPr>
        <w:t xml:space="preserve"> площадке эвакуированного завода № 476 образован завод-дублер по производству приборов зажигания- свечей и магнето. Новый завод получил прежний литерный номер.</w:t>
      </w:r>
    </w:p>
    <w:p w14:paraId="6253C2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07.1943 г. создан цех по выпуску керамических изоляторов для свечей, с середины 1944 г. начался серийный выпуск свечей зажигания.</w:t>
      </w:r>
    </w:p>
    <w:p w14:paraId="4257C0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356с от 30.08.1945 г.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3B90DC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началу 1950-х г. из-за развития ГТД потребности в производстве авиационных свечей резко сократились. </w:t>
      </w:r>
    </w:p>
    <w:p w14:paraId="3F7A21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4B769F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по электроаппаратуре (1957 г.), установкам стрелкового вооружения. </w:t>
      </w:r>
    </w:p>
    <w:p w14:paraId="20C2B1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w:t>
      </w:r>
      <w:r w:rsidRPr="008127F8">
        <w:rPr>
          <w:rFonts w:ascii="Times New Roman" w:hAnsi="Times New Roman"/>
          <w:color w:val="000000" w:themeColor="text1"/>
          <w:sz w:val="16"/>
          <w:szCs w:val="16"/>
        </w:rPr>
        <w:lastRenderedPageBreak/>
        <w:t>микроэлектроники. Там налажен выпуск подвижных ПУ для КР ОКБ-52. Затем</w:t>
      </w:r>
      <w:proofErr w:type="gramStart"/>
      <w:r w:rsidRPr="008127F8">
        <w:rPr>
          <w:rFonts w:ascii="Times New Roman" w:hAnsi="Times New Roman"/>
          <w:color w:val="000000" w:themeColor="text1"/>
          <w:sz w:val="16"/>
          <w:szCs w:val="16"/>
        </w:rPr>
        <w:t>- это самостоятельное предприятие</w:t>
      </w:r>
      <w:proofErr w:type="gramEnd"/>
      <w:r w:rsidRPr="008127F8">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681FEA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~1993-94 г.- АО «Аэро-Электрик», затем- ОАО «Аэроэлектромаш».</w:t>
      </w:r>
    </w:p>
    <w:p w14:paraId="2B7C54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системы электроснабжения ЛА, генераторы,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кондиционирования, топливная, ПОС, ППС, контроля ВСУ, контроля индикации механизмов.</w:t>
      </w:r>
    </w:p>
    <w:p w14:paraId="5BBB2E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(1942-01.1943 г.-)- А.О. Казанский, (-03.1944-47 г.-)- В.П. Советов, (1996 г.)- Б.В. Самсонов, (2002 г.)- В.Ф. Овчинников. </w:t>
      </w:r>
    </w:p>
    <w:p w14:paraId="36FE0D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(2002 г.)- В.И. Павленко.</w:t>
      </w:r>
    </w:p>
    <w:p w14:paraId="4B62D5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А.Ф. Федосеев, А.В. Делекторский, (02.1978-96 г.-)- В.Д. Жарков.</w:t>
      </w:r>
    </w:p>
    <w:p w14:paraId="29AAF2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А.В. Делекторский, В.Г. Калмыков (подвижные установки вооружения), (1966 г.-)- Ф.В. Фонаков (подвижные установки вооружения).</w:t>
      </w:r>
    </w:p>
    <w:p w14:paraId="1E2CF1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ВЭС (2002 г.)- В.С. Егоркин.69 </w:t>
      </w:r>
    </w:p>
    <w:p w14:paraId="3D4AD0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авиационные свечи: ВГ-2, СД-06 (ВОВ); комплекты электрооборудования для МиГ-21, МиГ-23, МиГ-25, МиГ-29, МиГ-31, Су-27, Ил-62, Ил-76, Ту-144, Як-40, Ту-154, Ил-86, Ил-96, Ил-114, Ан-28, Ан-32, Ан-72, Ан-70, Ми-8, В-12; погрузочные агрегаты для Ан-22, Ан-124.</w:t>
      </w:r>
    </w:p>
    <w:p w14:paraId="7A3F7D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установки пушечного вооружения: УПК-23, УКУ-9К-502,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система электроснабжения для комплекса оборудования самолета А-50 (1970-е), для ВКС «Буран».</w:t>
      </w:r>
    </w:p>
    <w:p w14:paraId="70CB0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476 им. Дзержинского НКАП, МАП, ГКАТ, ГС Опытный завод № 476, Московский агрегатный завод «Дзержинец», ММЗ "Дзержинец", ОАО "Аэро-Электрик", ОАО «Аэроэлектромаш»</w:t>
      </w:r>
    </w:p>
    <w:p w14:paraId="392420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Сущевская, 22 (1945 г.)</w:t>
      </w:r>
    </w:p>
    <w:p w14:paraId="3A0D4B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125015 г. Москва ул. Б. Новодмитровская, 12 тел. 285-94-50</w:t>
      </w:r>
    </w:p>
    <w:p w14:paraId="2B1259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476 НКАП, ОКБ-476 МАП (1957 г.)</w:t>
      </w:r>
    </w:p>
    <w:p w14:paraId="7A090D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Сущевская, 224; ул. Новодмитровская</w:t>
      </w:r>
    </w:p>
    <w:p w14:paraId="486964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велись работы по свечам СД-06 для АМ-38Ф.</w:t>
      </w:r>
    </w:p>
    <w:p w14:paraId="0E44E6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045DAA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1954 г. коллектив ОКБ-476 объединен с частью коллектива завода № 25 МАП (вероятно, все вместе объединены в ГС Опытный завод № 476). </w:t>
      </w:r>
    </w:p>
    <w:p w14:paraId="186045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ОКБ-476 организовано вновь (действовало в 1957 г.).</w:t>
      </w:r>
    </w:p>
    <w:p w14:paraId="404BD6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(-03-05.1944 г.-)- П.Ф. Воронков, (01.1946 г.)- А.В. Делекторский.</w:t>
      </w:r>
    </w:p>
    <w:p w14:paraId="387B3F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ОКБ-476 МАП, Филиал ММЗ "Дзержинец", КБ «Электропривод», АООТ, ОАО «Электропривод» </w:t>
      </w:r>
    </w:p>
    <w:p w14:paraId="6B42B5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610006 г. Киров Октябрьский пр., 24 тел. 23-13-83</w:t>
      </w:r>
    </w:p>
    <w:p w14:paraId="793909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В 1990-х г.- самостоятельное КБ «Электропривод».</w:t>
      </w:r>
    </w:p>
    <w:p w14:paraId="1C34EB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w:t>
      </w:r>
    </w:p>
    <w:p w14:paraId="352EA8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«Электропривода» входит Конструкторский отдел с КБ электромеханики и КБ электроавтоматики.</w:t>
      </w:r>
    </w:p>
    <w:p w14:paraId="5A0F05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0D4E67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г.)- 320 чел.</w:t>
      </w:r>
    </w:p>
    <w:p w14:paraId="13F5DB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59F070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7828AC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электропривод ЭПА-1; электродвигатели: волновой шаговый 3ДШВ 100-1,6, системы защиты атомных реакторов ДП100-500-2,5; электромеханизмы МВ10Д1,5, МВ25Д1,5 (10776).</w:t>
      </w:r>
    </w:p>
    <w:p w14:paraId="4B670A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5B6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НКАП № 269сс в соответствии с решением № ГОКО-1543сс от 05.04.1942 г. на базе филиала завода № 230 в Москве на площади эвакуированного завода № 230 был образован новый приборостроительный завод № 339 НКАП в системе 5ГУ НКАП для работ по электроизмерительным приборам и приборам управления.</w:t>
      </w:r>
    </w:p>
    <w:p w14:paraId="3544A8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4314сс от 12.10.1943 г. и приказом № 667сс от 5.11.1943 г. началось производство РЛ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261277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605сс от 13.10.1944 г. завод с 1.01.1945 г. передан из 5ГУ в 17ГУ НКАП.</w:t>
      </w:r>
    </w:p>
    <w:p w14:paraId="2D87E1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из МВ и МАП приказом № 415с от 26.06.1953 г. завод № 339 подчинен 4ГУ МОП, а вскоре с восстановлением МАП с 08.1953 г. передан в 4ГУ МАП, с 08.1955 г.- в 11ГУ МАП (как опытный завод). С 08.1957 г. при реорганизации аппарата МАП (после передачи серийных заводов в СНХ) завод № 339 передан в новое 4ГУ (приборостроение и РЛ). В 12.1958 г. завод № 339 передан в ведение ГКРЭ.</w:t>
      </w:r>
    </w:p>
    <w:p w14:paraId="50DB32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Домбровский, Волаев, (1951 г.)- Федосов.</w:t>
      </w:r>
    </w:p>
    <w:p w14:paraId="04387E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(09.1954 г.-)- М.И. Комиссаров.</w:t>
      </w:r>
    </w:p>
    <w:p w14:paraId="064E25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РЛ системы опознавания «свой-чужой»: СЧ-2 (1942-), СЧ-3 (1945-); наземные РЛС обнаружения и опознавания: «Редут» (12.1941-), «Пегматит-3» (1944-); авиационные РЛС: «Гнейс-5с» (1945-), «Барий-М», «Магний-М», «Ротор-С» (1950), "Сокол" (1954-), «Сокол-2».</w:t>
      </w:r>
    </w:p>
    <w:p w14:paraId="7F1290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339 НКАП, МАП, МОП, ГКРЭ</w:t>
      </w:r>
    </w:p>
    <w:p w14:paraId="0637B1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Электрический пер., 1</w:t>
      </w:r>
    </w:p>
    <w:p w14:paraId="2190CF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ОКБ-339 МАП, ГКРЭ, НИИ-339 МРП, ГосНИИР, НИИ радиостроения (НИИР), ФГУП «Ордена Трудового Красного Знамени НИИР» </w:t>
      </w:r>
    </w:p>
    <w:p w14:paraId="4B6941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103064 г. Москва ул. Казакова, 16 261-36-94</w:t>
      </w:r>
    </w:p>
    <w:p w14:paraId="200295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1E3DA6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3E3963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3AB2E4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7BF5FD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271313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21EC3D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7F1070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34B43D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01B32E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5203F1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7C4638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2CF0DD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2F7096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w:t>
      </w:r>
      <w:r w:rsidRPr="008127F8">
        <w:rPr>
          <w:rFonts w:ascii="Times New Roman" w:hAnsi="Times New Roman"/>
          <w:color w:val="000000" w:themeColor="text1"/>
          <w:sz w:val="16"/>
          <w:szCs w:val="16"/>
        </w:rPr>
        <w:lastRenderedPageBreak/>
        <w:t xml:space="preserve">вопросам (2002 г.)- Е.В. Ляхницкий.69 </w:t>
      </w:r>
    </w:p>
    <w:p w14:paraId="0D5B1C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конструктора (1948 г.)- Б.А. Веселов. Гл. конструктор (-1955-59 г.-)- Г.М. Кунявский.</w:t>
      </w:r>
    </w:p>
    <w:p w14:paraId="7B5F48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(1962 г.-)- Ф.Ф. Волков.</w:t>
      </w:r>
    </w:p>
    <w:p w14:paraId="116D90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3340C6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(1950-е)- Ю.Н. Гуськов.</w:t>
      </w:r>
    </w:p>
    <w:p w14:paraId="56F986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3D99AC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4B7868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123557, г. Москва, пер. Электрический, 1 тел. 253-56-13; г. Жуковский; г. Москва ул. М. Грузинская, 54 www.phazotron.com</w:t>
      </w:r>
    </w:p>
    <w:p w14:paraId="653D8D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056EFC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0DCA6E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29FE04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Президент (1990-е)- А.И. Канащенков.</w:t>
      </w:r>
    </w:p>
    <w:p w14:paraId="10FBF6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(1972 г.)- В.К. Гришин, (-1990-е-2005 г.-) - А.И. Канащенков.</w:t>
      </w:r>
    </w:p>
    <w:p w14:paraId="2D37FB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(1969 г.-)- Ю.Н. Фигуровский, (1978-82 г.)- В.К. Гришин, (1982-85 г.)- А.Г. Невоструев, (1985-2005 г.-)- А.И. Канащенков.</w:t>
      </w:r>
    </w:p>
    <w:p w14:paraId="57B18B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департамента (2005 г.)- А.Н. Осокин.</w:t>
      </w:r>
    </w:p>
    <w:p w14:paraId="514A19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НИИ (МНИИ) "Агат", ОАО «МНИИ «Агат», ФГУП «НПО «Агат»</w:t>
      </w:r>
    </w:p>
    <w:p w14:paraId="22C57A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105275 г. Москва, ш. Энтузиастов, 24/53; ш. Энтузиастов, 29 тел. 176-34-96 (2005 г.)</w:t>
      </w:r>
    </w:p>
    <w:p w14:paraId="0D0B5B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140182 г. Жуковский-2 Московской обл., тел. 556-50-87</w:t>
      </w:r>
    </w:p>
    <w:p w14:paraId="07B89A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московское представительство: 123557 ул. М. Грузинская, 54</w:t>
      </w:r>
    </w:p>
    <w:p w14:paraId="5004D6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w:t>
      </w:r>
      <w:proofErr w:type="gramStart"/>
      <w:r w:rsidRPr="008127F8">
        <w:rPr>
          <w:rFonts w:ascii="Times New Roman" w:hAnsi="Times New Roman"/>
          <w:color w:val="000000" w:themeColor="text1"/>
          <w:sz w:val="16"/>
          <w:szCs w:val="16"/>
        </w:rPr>
        <w:t>29.ВП</w:t>
      </w:r>
      <w:proofErr w:type="gramEnd"/>
      <w:r w:rsidRPr="008127F8">
        <w:rPr>
          <w:rFonts w:ascii="Times New Roman" w:hAnsi="Times New Roman"/>
          <w:color w:val="000000" w:themeColor="text1"/>
          <w:sz w:val="16"/>
          <w:szCs w:val="16"/>
        </w:rPr>
        <w:t>-1/05 По решению правительства № 22-р от 9.01.2004 г. и Указу Президента РФ № 1009 от 4.08.2004 г. ОАО МНИИ «Агат» вошло в число стратегических оборонных предприятий.</w:t>
      </w:r>
    </w:p>
    <w:p w14:paraId="64AFDF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программе создания ОК «Буран».</w:t>
      </w:r>
    </w:p>
    <w:p w14:paraId="4A245B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6FC495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63ACE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7B3BF0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 Конструктор (2002 г.)- И.Г. Акопян, (2005 г.)- Е. Новиков. </w:t>
      </w:r>
    </w:p>
    <w:p w14:paraId="458833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А. Касьян, (2002 г.)- И.Г. Акопян, (2005 г.)- Е. Новиков.</w:t>
      </w:r>
    </w:p>
    <w:p w14:paraId="1527E8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3706D6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(2002 г.)- Б.С. Архипов.69 </w:t>
      </w:r>
    </w:p>
    <w:p w14:paraId="1C4E2D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научный сотрудник (2005 г.)- Я. Хетагуров, (2005 г.)- П. Мелик-Оганджанян.</w:t>
      </w:r>
    </w:p>
    <w:p w14:paraId="7E28E9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028444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273813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E00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НКАП № 269сс в соответствии с пост. ГКО № 1543сс от 5.04.1942 г. создан новый приборный завод № 122 5ГУ НКАП (Завод № 122 им. В.А. Казакова НКАП, МАП, Первый Московский Приборостроительный завод (1-й МПЗ) им. В.А. Казакова, АООТ, ОАО «1-й МПЗ им. В.А. Казакова» / г. Москва Кутузовский пр., 10 (1947 г.)/ /121170  г. Москва Кутузовский пр., 36 тел. 249-63-38/). Сначала осуществлял ремонт приборов и работы по авиаоборудованию.</w:t>
      </w:r>
    </w:p>
    <w:p w14:paraId="0A40D7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площадке завода (корпус «В») в 1944 г. образован ЦКБ-17 НКАП.</w:t>
      </w:r>
    </w:p>
    <w:p w14:paraId="74A318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в 1945 г. на завод было поставлено 1000 единиц металлообрабатывающего оборудования, вывезенного с приборного завода «Асканиа-Верке» в Берлине (Мариендорф).</w:t>
      </w:r>
    </w:p>
    <w:p w14:paraId="2FEA28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452D62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791D0A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6A3457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50336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территорию 11 га (2006 г.) в районе пересечения Кутузовского пр. с Третьим транспортным кольцом. В составе завода (2000 г.): тарный участок / г. Москва пос. Рублево ул. Василия Ботылева, 22 тел. 414-12- 65/.</w:t>
      </w:r>
    </w:p>
    <w:p w14:paraId="175050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(1942-43 г.)- М.С. Гоцеридзе, (1951 г.-)- М.И. Комиссаров, (-1959-66 г.-)- А.И. Солдатов. Гендиректор (2000 г.)- О.В. Шубин, (2002 г.)- Р.Ф. Пятибрат.</w:t>
      </w:r>
    </w:p>
    <w:p w14:paraId="7F3129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(1940-е- 50-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Е.Ф. Антипов.</w:t>
      </w:r>
    </w:p>
    <w:p w14:paraId="1C138E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В.В. Голюсов.</w:t>
      </w:r>
    </w:p>
    <w:p w14:paraId="3541C4FD" w14:textId="77777777" w:rsidR="00A23368"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терморегуляторы 842МСБ-5; рулевые машинки для РС-2-УС; автопилоты: АП-73 для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-17</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АП-5 для Ту-4, АП-15; автоматические бортовые системы управления для Ту-154, Ту-204, Ил-96; гироскопические приборы, автоматы триммирования; наркозно-дыхательная аппаратура Р09Н, «Фаза 5НР, эхосканы, эхоофтальмометры; электробритва «Эра-100»;</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конструкторы радиоприемников: «Юность», «Эфир».</w:t>
      </w:r>
    </w:p>
    <w:p w14:paraId="372EEE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ОКБ-122 НКАП, МАП, ОКБ-7 завода № 122 МАП /г. Москва/</w:t>
      </w:r>
    </w:p>
    <w:p w14:paraId="1E8782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4F95C5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643с от 25.12.43 г. в состав ОКБ-122 влито ОКБ-214 НКАП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Свердловск)</w:t>
      </w:r>
    </w:p>
    <w:p w14:paraId="3FD429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641с от 5.11.44 г. в ОКБ-122 влито ОКБ-213 НКАП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Энгельс).</w:t>
      </w:r>
    </w:p>
    <w:p w14:paraId="495506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распоряжением СМ СССР № 4652 от 9.06.1955 г. образован филиал ОКБ-122 для разработки астронавигационных систем управления (см. завод № 914).</w:t>
      </w:r>
    </w:p>
    <w:p w14:paraId="5DF2B2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(1940-е-55 г.-)- Е.Ф. Антипов.</w:t>
      </w:r>
    </w:p>
    <w:p w14:paraId="42A6674E" w14:textId="77777777" w:rsidR="00A23368"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04D604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 НКАП гл. конструктора В.М. Соркина при заводе № 122 НКАП /г. Москва, Кутузовский пр./</w:t>
      </w:r>
    </w:p>
    <w:p w14:paraId="2175F6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w:t>
      </w:r>
    </w:p>
    <w:p w14:paraId="4583A7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66CD16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64F232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АП-1У и АП-4 для «10Х» (11982).</w:t>
      </w:r>
    </w:p>
    <w:p w14:paraId="3A904C94"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6A9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года по приказу НКАП за № 269сс, а также 20 апреля 1942 года по приказу 4 гл. управления НКАП за № 06сс во исполнение Постановления ГОКО за № 1543сс от 5 апреля 1942 года на площадке эвакуированного завода № 476 был вновь организован завод, которому было присвоено вновь наименование “Завод № 476” по производству магнето, авиасвечей и т.п.</w:t>
      </w:r>
    </w:p>
    <w:p w14:paraId="6223F9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19240C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1942 года – директор – Советов В.П.</w:t>
      </w:r>
    </w:p>
    <w:p w14:paraId="16FFB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1944 году,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6AC17E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 Новодмитровская, д. 12</w:t>
      </w:r>
    </w:p>
    <w:p w14:paraId="1C2096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293D7D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06A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 269сс в соответствии с решением ГКО № 1543сс от 5.04.1942 г. на площадке эвакуированного завода № 476 образован завод-дублер по производству приборов зажигания- свечей и магнето. Новый завод получил прежний литерный номер (Завод № 476 им. Дзержинского НКАП, МАП, ГКАТ, ГС Опытный завод № 476, Московский агрегатный завод (МАЗ) «Дзержинец», ОАО «Аэроэлектромаш» /г. Москва ул. Сущевская, 22 (1945 г.)/ /125015  г. Москва ул. Б. Новодмитровская, 12 тел. 980-65-01/).</w:t>
      </w:r>
    </w:p>
    <w:p w14:paraId="0BCFDD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07.1943 г. создан цех по выпуску керамических изоляторов для свечей, с середины 1944 г. начался серийный выпуск свечей зажигания.</w:t>
      </w:r>
    </w:p>
    <w:p w14:paraId="40825A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356с от 30.08.1945 г.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w:t>
      </w:r>
    </w:p>
    <w:p w14:paraId="63D840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передано в полном составе оборудование лаборатории фирмы «Сименс-Шуккерт» в Берлине по авиационным свечам.</w:t>
      </w:r>
    </w:p>
    <w:p w14:paraId="7A3D4B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из-за развития ГТД потребности в производстве авиационных свечей резко сократились.</w:t>
      </w:r>
    </w:p>
    <w:p w14:paraId="1C7BF4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 В 08.1957 г. - в ведении 1ГУ МАП.</w:t>
      </w:r>
    </w:p>
    <w:p w14:paraId="5A58B8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электроаппаратуре (1957 г.), установкам стрелкового вооружения.</w:t>
      </w:r>
    </w:p>
    <w:p w14:paraId="189F17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8127F8">
        <w:rPr>
          <w:rFonts w:ascii="Times New Roman" w:hAnsi="Times New Roman"/>
          <w:color w:val="000000" w:themeColor="text1"/>
          <w:sz w:val="16"/>
          <w:szCs w:val="16"/>
        </w:rPr>
        <w:t>- это самостоятельное предприятие</w:t>
      </w:r>
      <w:proofErr w:type="gramEnd"/>
      <w:r w:rsidRPr="008127F8">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2A60F1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Московский агрегатный завод «Дзержинец» преобразован в АООТ «Аэро-Электрик», с 1999 г.- ОАО «Аэроэлектромаш».</w:t>
      </w:r>
    </w:p>
    <w:p w14:paraId="64295F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системы электроснабжения ЛА, генераторы постоянного и переменного тока,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электрозапуска, кондиционирования, топливная, ПОС, ППС, контроля ВСУ, контроля индикации механизмов.</w:t>
      </w:r>
    </w:p>
    <w:p w14:paraId="2253C2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Являлся головным предприятием Научно-производственного холдинга «Аэроэлектромаш», в состав которого также входили (2005 г.): СЭГЗ, ЛЕПСЕ, ВЭЛКОНТ, «Прибор»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Курск), Электромашиностроительный завод ( г. Северо-Задонск), Завод «Электроприбор» ( г. Алатырь, с 2004 г.).</w:t>
      </w:r>
    </w:p>
    <w:p w14:paraId="024B2A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(1942-01.1943 г.-)- А.О. Казанский, (-03.1944-47 г.-)- В.П. Советов, (1996 г.)- Б.В. Самсонов, (2002 г.)- В.Ф. Овчинников. Гендиректор (2005 г.)- Б.В. Иванов.</w:t>
      </w:r>
      <w:r w:rsidRPr="008127F8">
        <w:rPr>
          <w:rFonts w:ascii="Times New Roman" w:hAnsi="Times New Roman"/>
          <w:color w:val="000000" w:themeColor="text1"/>
          <w:sz w:val="16"/>
          <w:szCs w:val="16"/>
          <w:vertAlign w:val="superscript"/>
        </w:rPr>
        <w:t>101</w:t>
      </w:r>
    </w:p>
    <w:p w14:paraId="18A3B7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(2002 г.)- В.И. Павленко.</w:t>
      </w:r>
    </w:p>
    <w:p w14:paraId="5BB616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(1950-е)- А.Ф. Федосеев, А.В. Делекторский, (02.1978-96 г.-&gt; В.Д. Жарков, (-2000-06 г.-)- В.В. Кушнерев.</w:t>
      </w:r>
    </w:p>
    <w:p w14:paraId="738855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А.В. Делекторский, В. Г. Калмыков (подвижные установки вооружения), (1966 г.-)- Ф.В. Фонаков (подвижные установки вооружения).</w:t>
      </w:r>
    </w:p>
    <w:p w14:paraId="503E54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(2006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Калинин.</w:t>
      </w:r>
    </w:p>
    <w:p w14:paraId="02425C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авиационные свечи: ВГ-2, СД-06 (ВОВ); комплекты электрооборудования для МиГ-21, МиГ- 23, МиГ-25, МиГ-29, МиГ-31, Су-27, Ил-62, Ил-76, Ту-144, Як-40, Ту-154, Ил-86, Ил-96, Ил-114, Ан-28, Ан-32, Ан-72, Ан-70, Ми-8, В-12; погрузочные агрегаты для Ан-22, Ан-124.</w:t>
      </w:r>
    </w:p>
    <w:p w14:paraId="46D4AF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установки пушечного вооружения: УПК-23, УКУ-9К-502 для Ту-22М1,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стартовая автоматика противоракеты В-1000 (1950-е); система электроснабжения для комплекса оборудования самолета А-50 (1970-е), для ВКС «Буран».</w:t>
      </w:r>
    </w:p>
    <w:p w14:paraId="68591D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476 НКАП, ОКБ-476 МАП / г. Москва, ул. Сущевская, 22; ул. Новодмитровская/</w:t>
      </w:r>
    </w:p>
    <w:p w14:paraId="3DC1C2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велись работы по свечам СД-06 для АМ-38Ф.</w:t>
      </w:r>
    </w:p>
    <w:p w14:paraId="4D4CE9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1AB230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разработана система дистанционного пушечного вооружения для бомбардировщика М-4 СПВ-25, включавшую управление башнями: верхней ДБ-ЗЗА, нижней ДБ-34А, кормовой ДБ-35А.</w:t>
      </w:r>
    </w:p>
    <w:p w14:paraId="40F295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1954 г. коллектив ОКБ-476 объединен с частью коллектива завода № 25 МАП (вероятно, все вместе объединены в ГС Опытный завод № 476).</w:t>
      </w:r>
    </w:p>
    <w:p w14:paraId="356D28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ОКБ-476 организовано вновь (действовало в 1957 г.).</w:t>
      </w:r>
    </w:p>
    <w:p w14:paraId="37C95D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(-03-05.1944 г.-)- П.Ф. Воронков, (01.1946 г.)- А.В. Делекторский.</w:t>
      </w:r>
    </w:p>
    <w:p w14:paraId="430592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ОАО «НПП «Аэроэлектрик» /</w:t>
      </w:r>
      <w:proofErr w:type="gramStart"/>
      <w:r w:rsidRPr="008127F8">
        <w:rPr>
          <w:rFonts w:ascii="Times New Roman" w:hAnsi="Times New Roman"/>
          <w:color w:val="000000" w:themeColor="text1"/>
          <w:sz w:val="16"/>
          <w:szCs w:val="16"/>
        </w:rPr>
        <w:t>125015  г.</w:t>
      </w:r>
      <w:proofErr w:type="gramEnd"/>
      <w:r w:rsidRPr="008127F8">
        <w:rPr>
          <w:rFonts w:ascii="Times New Roman" w:hAnsi="Times New Roman"/>
          <w:color w:val="000000" w:themeColor="text1"/>
          <w:sz w:val="16"/>
          <w:szCs w:val="16"/>
        </w:rPr>
        <w:t xml:space="preserve"> Москва ул. Б. Новодмитровская, 12 тел. 285-94-50/</w:t>
      </w:r>
    </w:p>
    <w:p w14:paraId="47CB58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Возможно, это - бывшее ОКБ-476.</w:t>
      </w:r>
    </w:p>
    <w:p w14:paraId="5F1CE0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 г.): системы электроснабжения самолетов и вертолетов; генераторы, аппаратура регулировки и защиты, системы электрификации и электроавтоматики; системы привода шасси; средства управления авиадвигателями; системы: кондиционирования и регулировки давления в кабине, ПОС, топливные, гидравлического контроля, противопожарная, контроля индикации механизмов, контроля ВСУ.</w:t>
      </w:r>
    </w:p>
    <w:p w14:paraId="71DEE8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 г.)- В.Ф. Овчинников.</w:t>
      </w:r>
    </w:p>
    <w:p w14:paraId="0F7EAC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(2002 г.)- В.И. Павленко.</w:t>
      </w:r>
    </w:p>
    <w:p w14:paraId="09B5C2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отдела ВЭС (2002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Егоркин.</w:t>
      </w:r>
      <w:r w:rsidRPr="008127F8">
        <w:rPr>
          <w:rFonts w:ascii="Times New Roman" w:hAnsi="Times New Roman"/>
          <w:color w:val="000000" w:themeColor="text1"/>
          <w:sz w:val="16"/>
          <w:szCs w:val="16"/>
          <w:vertAlign w:val="superscript"/>
        </w:rPr>
        <w:t>69</w:t>
      </w:r>
    </w:p>
    <w:p w14:paraId="1CE51B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ОКБ-476 МАП, Филиал ММЗ «Дзержинец», Государственное конструкторско- технологическое бюро «Электропривод», АООТ, ОАО «Электропривод» /</w:t>
      </w:r>
      <w:proofErr w:type="gramStart"/>
      <w:r w:rsidRPr="008127F8">
        <w:rPr>
          <w:rFonts w:ascii="Times New Roman" w:hAnsi="Times New Roman"/>
          <w:color w:val="000000" w:themeColor="text1"/>
          <w:sz w:val="16"/>
          <w:szCs w:val="16"/>
        </w:rPr>
        <w:t>610006  г.</w:t>
      </w:r>
      <w:proofErr w:type="gramEnd"/>
      <w:r w:rsidRPr="008127F8">
        <w:rPr>
          <w:rFonts w:ascii="Times New Roman" w:hAnsi="Times New Roman"/>
          <w:color w:val="000000" w:themeColor="text1"/>
          <w:sz w:val="16"/>
          <w:szCs w:val="16"/>
        </w:rPr>
        <w:t xml:space="preserve"> Киров Октябрьский пр., 24 тел. 23-13-83/</w:t>
      </w:r>
    </w:p>
    <w:p w14:paraId="1C6DCF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и сопровождению серийного производства. В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самостоятельное КБ «Электропривод».</w:t>
      </w:r>
    </w:p>
    <w:p w14:paraId="3BD0AB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 г. организован филиал ГК'ГБ «Электропривод» на Ташкентском электротехническом заводе.</w:t>
      </w:r>
    </w:p>
    <w:p w14:paraId="4F4E17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 исполнительные механизмы, датчики обратной связи.</w:t>
      </w:r>
    </w:p>
    <w:p w14:paraId="01E455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«Электропривода» входили Конструкторский отдел с КБ электромеханики и КБ электроавтоматики.</w:t>
      </w:r>
    </w:p>
    <w:p w14:paraId="2FB131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3BC783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г.)- 320 чел.</w:t>
      </w:r>
    </w:p>
    <w:p w14:paraId="7010D2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50733E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7020CB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электропривод ЭПА-1; электродвигатели: волновой шаговый ЗДШВ 100-1,6, системы защиты атомных реакторов ДП100-500-2,5; электромеханизмы МВ10Д1,5, МВ25Д1,5.</w:t>
      </w:r>
      <w:r w:rsidRPr="008127F8">
        <w:rPr>
          <w:rFonts w:ascii="Times New Roman" w:hAnsi="Times New Roman"/>
          <w:color w:val="000000" w:themeColor="text1"/>
          <w:sz w:val="16"/>
          <w:szCs w:val="16"/>
          <w:vertAlign w:val="superscript"/>
        </w:rPr>
        <w:t>69</w:t>
      </w:r>
    </w:p>
    <w:p w14:paraId="353CDE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«Электроприбор» МРП, МПСС, А-3625, ОАО «Завод «Электроприбор» /Чувашия </w:t>
      </w:r>
      <w:proofErr w:type="gramStart"/>
      <w:r w:rsidRPr="008127F8">
        <w:rPr>
          <w:rFonts w:ascii="Times New Roman" w:hAnsi="Times New Roman"/>
          <w:color w:val="000000" w:themeColor="text1"/>
          <w:sz w:val="16"/>
          <w:szCs w:val="16"/>
        </w:rPr>
        <w:t>429820  г.</w:t>
      </w:r>
      <w:proofErr w:type="gramEnd"/>
      <w:r w:rsidRPr="008127F8">
        <w:rPr>
          <w:rFonts w:ascii="Times New Roman" w:hAnsi="Times New Roman"/>
          <w:color w:val="000000" w:themeColor="text1"/>
          <w:sz w:val="16"/>
          <w:szCs w:val="16"/>
        </w:rPr>
        <w:t xml:space="preserve"> Алатырь пл. Октябрьской революции, 23 тел. (83531) 5-05-76 «Сура»/</w:t>
      </w:r>
    </w:p>
    <w:p w14:paraId="7B2FC6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«Электроприбор» основан 10.05.1958 г. для производства электромагнитных слаботочных реле. В 1971 г. завод- в ведении 15ГУ МРП, затем 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в ведении 9ГУ МПСС. Имел наименование «п/я А-3625».</w:t>
      </w:r>
    </w:p>
    <w:p w14:paraId="72F0A0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реле: открытого типа, пылевлагозащищенные, герметичные; герконовые; промежуточные; электротепловые токовые; времени; датчики: указателей давления масла, сигнализаторов давления воздуха; выключатели света заднего хода для автомобилей.</w:t>
      </w:r>
    </w:p>
    <w:p w14:paraId="144F5B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387E8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 2004 г. входил в состав Научно-производственного холдинга «Аэроэлектромаш».</w:t>
      </w:r>
    </w:p>
    <w:p w14:paraId="500174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(1971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Чирков.</w:t>
      </w:r>
    </w:p>
    <w:p w14:paraId="62EF3A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инженера (01.1971 г.)- В.И. Юклутов. Гл. инженер (08.1971 г.)- В.П. Баканов (11982).</w:t>
      </w:r>
    </w:p>
    <w:p w14:paraId="0EADE0B9"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2CE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по приказу НКАП № 269сс во исполнение постановления ГКО № ГОКО-1543сс от 05.04.1942 г. еще не развернутый филиал завода № 474 был преобразован в новый серийный Государственный Союзный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 832с от 11.11.1944 г. директором завода назначен И.И. Домбровский.</w:t>
      </w:r>
    </w:p>
    <w:p w14:paraId="7DFCA4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6045BB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6E2737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17B85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2AC99B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07.1955 г. завод передан в 11ГУ МАП, с 03.1973 г. передан в 9ГУ.</w:t>
      </w:r>
    </w:p>
    <w:p w14:paraId="134D88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8127F8">
        <w:rPr>
          <w:rFonts w:ascii="Times New Roman" w:hAnsi="Times New Roman"/>
          <w:color w:val="000000" w:themeColor="text1"/>
          <w:sz w:val="16"/>
          <w:szCs w:val="16"/>
        </w:rPr>
        <w:t>БЦВМ ,</w:t>
      </w:r>
      <w:proofErr w:type="gramEnd"/>
      <w:r w:rsidRPr="008127F8">
        <w:rPr>
          <w:rFonts w:ascii="Times New Roman" w:hAnsi="Times New Roman"/>
          <w:color w:val="000000" w:themeColor="text1"/>
          <w:sz w:val="16"/>
          <w:szCs w:val="16"/>
        </w:rPr>
        <w:t xml:space="preserve"> гидро- и электросервоприводы.</w:t>
      </w:r>
    </w:p>
    <w:p w14:paraId="208232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3DD6C7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73A637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начата разработка медицинского оборудования.</w:t>
      </w:r>
    </w:p>
    <w:p w14:paraId="4ABED4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15D8F8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3FCC6A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г.)- 600 чел.</w:t>
      </w:r>
    </w:p>
    <w:p w14:paraId="201C58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7A8886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629A9D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609B17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(- 12.2002 г.)- В.Н. Дуранин.</w:t>
      </w:r>
    </w:p>
    <w:p w14:paraId="38EE89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3217C0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(04.1942 г.-)- С.Г. Шерман, (2002 г.)- Б.Г. Окороков.69 </w:t>
      </w:r>
    </w:p>
    <w:p w14:paraId="544385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(-1953 г.)- Я.А. Силин, О.В. Успенский (САУ-36, САУ-58).</w:t>
      </w:r>
    </w:p>
    <w:p w14:paraId="3D6329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202F7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57F99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ул. Бахметовская, 13</w:t>
      </w:r>
    </w:p>
    <w:p w14:paraId="1D12C6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103055 г. Москва, ул. Образцова, 13 тел. 284-27-55 www.avionika.orc.ru</w:t>
      </w:r>
    </w:p>
    <w:p w14:paraId="7452CD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при заводе № 118 НКАП, МАП </w:t>
      </w:r>
    </w:p>
    <w:p w14:paraId="2793AE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6786EF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 г. завод № 118 становится опытной базой гл. конструктора В.Э. Соркина. По приказу № 430с от 4.07.1946 г. на базе завода № 118 и ОКБ-1 был образован ГС опытный завод № 118 МАП по разработке и изготовлению систем и приборов автоматического управления ЛА и гироскопических приборов. </w:t>
      </w:r>
    </w:p>
    <w:p w14:paraId="3E9235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после перевода на территорию завода № 118 коллектива КБ Н.П. Никитина вновь начало действовать ОКБ-1 под руководством гл. конструктора И.А. Михалева.</w:t>
      </w:r>
    </w:p>
    <w:p w14:paraId="0A0E5F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ОКБ-2 при заводе № 118 МАП </w:t>
      </w:r>
    </w:p>
    <w:p w14:paraId="646CEA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168F1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503 от 30.07.1955 г. на опытный завод № 118 переведен коллектив гл. конструктора Н.П. Никитина (разработка систем управления для спецобъектов) с завода № 122 МАП. В связи с этим в составе завода № 118 МАП образовано ОКБ-2 гл. конструктора Н.П. Никитина по АП для УРВВ.</w:t>
      </w:r>
    </w:p>
    <w:p w14:paraId="71FF8F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Продолжены работы по автопилотам для УР: АПС-6, АПС-7Л, АПС-70, АПС-8. </w:t>
      </w:r>
    </w:p>
    <w:p w14:paraId="743E0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 Н.П. Никитин.</w:t>
      </w:r>
    </w:p>
    <w:p w14:paraId="09B550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 В.М. Фролов.</w:t>
      </w:r>
    </w:p>
    <w:p w14:paraId="0BE3A2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для спецобъектов: АПС-6-А, АПС-7Л8, АПС-8-24М, АПУС-24, АППС-1, АПС-600, АПС-12Б, АПР-9, АПР-757, АПР-700, АПС-8-24М2, АПС-600А.</w:t>
      </w:r>
    </w:p>
    <w:p w14:paraId="36E6C3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ОКБ-3 при заводе № 118 МАП </w:t>
      </w:r>
    </w:p>
    <w:p w14:paraId="4DD902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завод № 23 ГКАТ (10776).</w:t>
      </w:r>
    </w:p>
    <w:p w14:paraId="193F4B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6B5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на базе еще не развернутого филиала заволда № 474 образован новый серийный завод (по приказу НКАП №269) - Государственный Союзный завод №118 НКАП для дублирования производства и ремонта электрич</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манометрич. ав. приборов. </w:t>
      </w:r>
    </w:p>
    <w:p w14:paraId="2FB9CC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Вел производство манометров масла и бензина, аэротермометров. Директором завода назначен Н.Б.Валаев (руководил заводом до 1944 г.). </w:t>
      </w:r>
    </w:p>
    <w:p w14:paraId="05E604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1944 г. директором завода назначен И.И.Домбровский (в 1944-46гг.). </w:t>
      </w:r>
    </w:p>
    <w:p w14:paraId="644BDF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ноября 1945 г. (приказ №411 от 22.10.45 г.) на территорию завода №118 НКАП перебазировано ОКБ-1 НКАП. </w:t>
      </w:r>
    </w:p>
    <w:p w14:paraId="4DD8F4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w:t>
      </w:r>
    </w:p>
    <w:p w14:paraId="1716DE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w:t>
      </w:r>
    </w:p>
    <w:p w14:paraId="636971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w:t>
      </w:r>
    </w:p>
    <w:p w14:paraId="5F3EE4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№430 от 4.7.46 г. завод №118 выведен из числа серийных заводов 5ГУ и получил статус опытного завода, на базе завода и ОКБ-1 был образован Государственный Союзный опытный завод №118 НКАП по разработке и изготовлению систем и приборов автоматического управления и гироскопических приборов. ОКБ как часть завода действовало в его составе. Гл.к. остался В.М.Соркин. </w:t>
      </w:r>
    </w:p>
    <w:p w14:paraId="0ADCF3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 завод проводил разработку п испытания опытных партий, после чего передавал документацию для серийного производства на заводы №122, №123, №149, №157, №214, №218, №230, №293 и №43. Первые работы опытного завода - доводка первого отечественного электрического автопилота АП-5 для Ту-4 (ведущий конструктор О.В.Успенский) и автопилота АП-4 для управляемого снаряда "10Х" (ведущий конструктор В.С.Денисьев), работы по авиагоризонту АГК-47Б (ведущий конструктор Б.И.Волков), гиромагнитному компасу ДГМК (ведущий конструктор А.А.Давыдов). </w:t>
      </w:r>
    </w:p>
    <w:p w14:paraId="597B28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18.6.46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w:t>
      </w:r>
    </w:p>
    <w:p w14:paraId="64DA0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w:t>
      </w:r>
    </w:p>
    <w:p w14:paraId="1C9099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Вновь начало действовать заводское ОКБ-1 под руководством гл.к. И.А.Михалева. Это преобразование сделано в связи с переводом (в соответствии с приказом МАП №503 от 30.7.55 г.) на опытный завод №118 коллектива гл.к. Н.П.Никитина с завода №122 МАП (см. ОАО "Первый Московский приборостроительный завод им. В.А.Казакова"), которое вело разработку систем управления для ракет. В составе завода №118 МАП образовано ОКБ-2, руководимое Н.П.Никитиным. Продолжены работы по автопилотам для ракет: АПС-6, АПС-7Л, АПС-70, АПС-8, АПС-6-А, АПС-7Л8, АПС-8-24М, АПУС-24, АППС-1, АПС-600, АПС-12Б, АПР-9, АПР-757, АПР-700, АПС-8-24М2, АПС-600А. </w:t>
      </w:r>
    </w:p>
    <w:p w14:paraId="7260AF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ГКАТ №111 от 12.4.61 г. ОКБ гл.к. Н.П.Никитина было переведено на новую производственную базу - завод №23 ГКАТ (ранее база ликвидированного ОКБ-23 В.М.Мясищева). </w:t>
      </w:r>
    </w:p>
    <w:p w14:paraId="024A56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1963 г. вновь принята тематика автопилотов для ракет от ОКБ Н.П.Никитина. Продолжены работы по автопилотам для К-80, К-40, далее созданы СУР для К-24, К-73, К-33, К-33С, К-33М. Созданы автопилоты для вертолетов (тема началась с 1956 г.) Ми-4, Як-24, Ка-22, Ми-8. Разработаны автопилоты для самолетов-мишеней МиГ-19М. Создана система дистанционного управления для самолета Т-4. </w:t>
      </w:r>
    </w:p>
    <w:p w14:paraId="78E9A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1950-х гг. и в последующие годы под руководством гл.к. В.М.Соркина, И.А.Михалева и далее О.В.Успенского (гл.к. с 1963 г., ответственный руководитель завода с 1972 г.) создан ряд пилотажных и пилотажно-навигационных приборов и комплексов, СУ, элементов автоматики (датчики угловых и линейных перемещений) и БЦВМ. Среди них: автопилоты для самолетов Ту-114, Ил-62, Ил-76, Ил-86, Ту-95, 3М, И-3, И-7У, И-75, Е-150, Е-152, Е-152А, Су-9, Су-7Б, Су-11, М-50, Як-26, Як-28И-1, Як-28Б, Як-28Л, Ту-95К, Ил-18, Ан-18, Ан-10, Ан-12, Ан-22, Ан-24, "РСР", Як-25РВ, 3МР и др. Созданы САУ для самолетов М-52, МиГ-25, МиГ-29, МиГ-23БН, МиГ-31, Су-25, Су-27, Як-36, Ил-18. Созданы автопилоты для ракет и БПЛА: "ЛМ", "Щука", "Щука-1", "Шторм", "И-126", "250" (СНАРС-250), "Комета". </w:t>
      </w:r>
    </w:p>
    <w:p w14:paraId="371336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1.1.67 г. в соответствии с приказом МАП №175 от 30.4.67 г. заводу №118 было присвоено название 3-й Московский приборостроительный завод (3-МПЗ). </w:t>
      </w:r>
    </w:p>
    <w:p w14:paraId="772FAA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1991 г. 3-й МПЗ переименован в МНПК "Авионика". </w:t>
      </w:r>
    </w:p>
    <w:p w14:paraId="7AAD8A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1994 году образовано Акционерное общество открытого типа МНПК "Авионика", а в 1997 г. - Открытое акционерное общество МНПК "Авионика". </w:t>
      </w:r>
    </w:p>
    <w:p w14:paraId="6EA851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Предприятие предлагает в настоящее время следующее оборудование. Приборы для Военной авиации (КСУ-821 - цифровая комплексная система управления, СДУ-915-01 - система дистанционного управления, СДУ-10МК - серийная СДУ, обеспечивающая управление вектором тяги, САУ-10М-03 - СДУ, САУ-10В - многофункциональная цифровая СДУ, БЛП-3,5-2 - составная часть электрической системы аварийного покидания экипажем самолета), приборы для Гражданской авиации (ЭДСУ-200 - цифровая система ДУ самолета Бе-200, АП-103 - двухканальный автопилот, САУ-140 - цифровая дублированная система автоматического управления, приборы САРД и СИМЦ-324), приборы для вертолетов (СДУ-А для легкого многоцелевого вертолета ”АНСАТ”, КСУ-А цифровая четырежды резервированная, четырехканальная (тангаж, крен, курс, высота) комплексная система для вертолета ”АНСАТ”, ВТУ-123 - четырехканальное аналоговое вычислительное устройство траекторного управления), системы управления тактических ракет классов ”воздух-ввоздух", "воздух-земля”, ”воздух-корабль”, ”земля-воздух” и управляемых бомб (К-73, Х-31П, Х-31А, 9М-330, КАБ-500, КАБ-1500). Проводится модернизация оборудования САУ-451-05СМТ(УБТ), АПУ-70 и др. </w:t>
      </w:r>
    </w:p>
    <w:p w14:paraId="4A4D9F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Генеральный директор - Воробьев Александр Владимирович. </w:t>
      </w:r>
    </w:p>
    <w:p w14:paraId="1EF89F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Авионика, Московский научно-производственный комплекс, ОАО (ОАО МНПК "Авионика") </w:t>
      </w:r>
    </w:p>
    <w:p w14:paraId="4305AF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Завода №474, Завод №118, Гос.Союзн. завод №118, Гос. Союзный опытный завод №118, 3-й МПЗ, Московский научно-производственный комплекс (МНПК) "Авионика", АООТ МНПК "Авионика") </w:t>
      </w:r>
    </w:p>
    <w:p w14:paraId="4C3C44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Адрес: 103055, Россия, Москва, ул. Образцова, 127, Телефон: +7 (095) 681-33-55; 684-49-61, Факс: +7 (095) 681-27-33; 684-49-61, Web: http://www.avionika.orc.ru/, E-mail: avionika@orc.ru </w:t>
      </w:r>
    </w:p>
    <w:p w14:paraId="3F22E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Крупный разработчик и производитель авиационных приборов (10778).</w:t>
      </w:r>
    </w:p>
    <w:p w14:paraId="3A2455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3E7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по приказу НКАП № 269сс по постановлению ГКО № 1543сс от 5.04.1942 г. еще не развернутый филиал завода № 474 был преобразован в новый серийный ГС завод № 118 НКАП в системе 5ГУ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  г. Москва ул. Образцова, 13 тел. 684-27-55/) для производства манометрических приборов контроля работы авиадвигателей - манометров масла и бензина, а также аэротермометров. Приказом НКАП№ 832с от 11.11.1944 г. директором завода назначен И.И. Домбровский.</w:t>
      </w:r>
    </w:p>
    <w:p w14:paraId="0E09F5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2F223C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4F8ACB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1AC0A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6B24BA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07.1955 г. завод передан в 11ГУ МАП, с 08.1957 г.- в ведении 4ГУ ГКАТ, с 03.1973 г. передан в 9ГУ.</w:t>
      </w:r>
    </w:p>
    <w:p w14:paraId="7B1BED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796E4F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17DE2A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41156E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1965 г. начата разработка медицинского оборудования.</w:t>
      </w:r>
    </w:p>
    <w:p w14:paraId="6E2E98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0C8D9B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2F9BDB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Имелся (2007 г.) филиал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Чебоксары.</w:t>
      </w:r>
    </w:p>
    <w:p w14:paraId="093903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г.)- 600 чел., (2007 г.)- 726 чел.</w:t>
      </w:r>
    </w:p>
    <w:p w14:paraId="6B4EAA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(-2000-02 г.-)- В.М. Петров, (-2005-07 г.-)- А.В. Воробьев.</w:t>
      </w:r>
    </w:p>
    <w:p w14:paraId="43E1D3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конструктор (18.06.1946-53 г.)- В.Э. Соркин, (3.06.1953-57 г.-)- И.А. Михалев, (1963 г.-)- О.В. Успенский, Е.Ф. Антипов.</w:t>
      </w:r>
    </w:p>
    <w:p w14:paraId="497EF7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(-12.2002 г.)- В.Н. Дуранин.</w:t>
      </w:r>
    </w:p>
    <w:p w14:paraId="26E744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w:t>
      </w:r>
      <w:proofErr w:type="gramStart"/>
      <w:r w:rsidRPr="008127F8">
        <w:rPr>
          <w:rFonts w:ascii="Times New Roman" w:hAnsi="Times New Roman"/>
          <w:color w:val="000000" w:themeColor="text1"/>
          <w:sz w:val="16"/>
          <w:szCs w:val="16"/>
        </w:rPr>
        <w:t>-  Г.Л.</w:t>
      </w:r>
      <w:proofErr w:type="gramEnd"/>
      <w:r w:rsidRPr="008127F8">
        <w:rPr>
          <w:rFonts w:ascii="Times New Roman" w:hAnsi="Times New Roman"/>
          <w:color w:val="000000" w:themeColor="text1"/>
          <w:sz w:val="16"/>
          <w:szCs w:val="16"/>
        </w:rPr>
        <w:t xml:space="preserve"> Ярмаков.</w:t>
      </w:r>
    </w:p>
    <w:p w14:paraId="113321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(04.1942 г.-)- С. Г. Шерман, (2002 г.)- Б. Г. Окороков.</w:t>
      </w:r>
      <w:r w:rsidRPr="008127F8">
        <w:rPr>
          <w:rFonts w:ascii="Times New Roman" w:hAnsi="Times New Roman"/>
          <w:color w:val="000000" w:themeColor="text1"/>
          <w:sz w:val="16"/>
          <w:szCs w:val="16"/>
          <w:vertAlign w:val="superscript"/>
        </w:rPr>
        <w:t>69</w:t>
      </w:r>
    </w:p>
    <w:p w14:paraId="719141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(-1953 г.)- Я.А. Силин, О.В. Успенский (САУ-36, САУ-58).</w:t>
      </w:r>
    </w:p>
    <w:p w14:paraId="6C92F2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Ведущие конструкторы: Б.И. Волков (АГК-47Б),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Денисьев (АП-4), О.В. Успенский (АП-5), А.А. Давыдов (ДГМК).</w:t>
      </w:r>
    </w:p>
    <w:p w14:paraId="5C7D77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54637B76"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8430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 269с в соответствии с пост. ГКО № 1543 от 5.04.1942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753799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(01.1942 г.-)- Н.Б. Валаев.</w:t>
      </w:r>
    </w:p>
    <w:p w14:paraId="710824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(01.1942 г.-)- Гаврилин (11982).</w:t>
      </w:r>
    </w:p>
    <w:p w14:paraId="605B15A7"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AA4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НКАП № 269сс создан новый приборный завод № 122 5ГУ НКАП. Сначала осуществлял ремонт приборов и работы по авиаоборудованию.</w:t>
      </w:r>
    </w:p>
    <w:p w14:paraId="2D5CED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площадке завода (корпус «В») в 1944 г. образован ЦКБ-17 НКАП. </w:t>
      </w:r>
    </w:p>
    <w:p w14:paraId="611F23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0296B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6A19B3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6F696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(-1951 г.-)- М.И. Комиссаров, (-1959-66 г.-)- А.И. Солдатов.</w:t>
      </w:r>
    </w:p>
    <w:p w14:paraId="6D09AC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(1940-е- 50-е г.)- Е.Ф. Антипов. </w:t>
      </w:r>
    </w:p>
    <w:p w14:paraId="272FCF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Ольман, (1940-е г.)- Р.Г. Чачикян (системы управления, затем- в НИИ-1 МАП).</w:t>
      </w:r>
    </w:p>
    <w:p w14:paraId="703F65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4B346B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351AD2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Кутузовский пр., 10 (1947 г.)</w:t>
      </w:r>
    </w:p>
    <w:p w14:paraId="6103C0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121170 г. Москва, Кутузовский пр., 36 тел. 249-68-10</w:t>
      </w:r>
    </w:p>
    <w:p w14:paraId="67FF9B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ОКБ-122 НКАП, МАП, ОКБ-7 завода № 122 МАП </w:t>
      </w:r>
    </w:p>
    <w:p w14:paraId="541062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1395F8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7B5FE3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643с от 25.12.43 г. в состав ОКБ-122 влито ОКБ-214 НКАП (г. Свердловск)</w:t>
      </w:r>
    </w:p>
    <w:p w14:paraId="28AC00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641с от 5.11.44 г. в ОКБ-122 влито ОКБ-213 НКАП (г. Энгельс).</w:t>
      </w:r>
    </w:p>
    <w:p w14:paraId="699B78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0C587C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(1940-е-55 г.-)- Е.Ф. Антипов.</w:t>
      </w:r>
    </w:p>
    <w:p w14:paraId="39A7AA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704EF6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 при заводе № 122 НКАП </w:t>
      </w:r>
    </w:p>
    <w:p w14:paraId="205DCE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Кутузовский пр.</w:t>
      </w:r>
    </w:p>
    <w:p w14:paraId="49B633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6DEEBF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7B2725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27D7DC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автопилоты: АП-1У и АП-4 для "10Х". </w:t>
      </w:r>
    </w:p>
    <w:p w14:paraId="1F3E6A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ОКБ-122 МАП, Московское ОКБ «Марс», ФГУП «МОКБ «Марс» ФКА</w:t>
      </w:r>
    </w:p>
    <w:p w14:paraId="389536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103030 г. Москва 1-й Щемиловский пер., 16 тел. 288-64-44</w:t>
      </w:r>
    </w:p>
    <w:p w14:paraId="4F533E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территория «б» завода № 119 НКАП) для разработки астронавигационных систем управления (САН). С 1964 г. ОКБ стало филиалом МИЭА (или ОКБ-923).</w:t>
      </w:r>
    </w:p>
    <w:p w14:paraId="4782BE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7DD0E2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517DB1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 имеется опытное производство.</w:t>
      </w:r>
    </w:p>
    <w:p w14:paraId="5E0B36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6F255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06EF25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(2005 г.)- А.С. Сыров.</w:t>
      </w:r>
    </w:p>
    <w:p w14:paraId="1F6E76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(-1999-2005 г.-)- А.С. Сыров.</w:t>
      </w:r>
    </w:p>
    <w:p w14:paraId="6BC93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(1996 г.)- В.И. Шувалов.</w:t>
      </w:r>
    </w:p>
    <w:p w14:paraId="20A95E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САН: для КР «Буря» (1959), для КА Е-6, «Луна»; СУ для разгонного блока «Бриз-М» (10776).</w:t>
      </w:r>
    </w:p>
    <w:p w14:paraId="1C8CDE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4644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приказом НКАП №269 в соответствии с решением ГКО №ГОКО-1543 от 05.4.42 г. на территории эвакуированного завода № 230 был образован Завод №339 в системе 5ГУ НКАП для дублирования производства и ремонта электрических и манометрических авиаприборов. </w:t>
      </w:r>
    </w:p>
    <w:p w14:paraId="19CA0C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774760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Директорами завода были Домбровский, Волаев, Федосов (1951 г.). </w:t>
      </w:r>
    </w:p>
    <w:p w14:paraId="085AAA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19449E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78799E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6CB9ED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33D43E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707986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013541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732D6C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3095C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 </w:t>
      </w:r>
    </w:p>
    <w:p w14:paraId="7DA89C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в эти годы осуществлялось серийное производство станций "Барий-М", "Магний-М", "Ротор-С" (1950 г.), БРЛС "Сокол" (с 1954 г.). </w:t>
      </w:r>
    </w:p>
    <w:p w14:paraId="489A56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64026F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.12.58 г. ОКБ вместе с заводом №339 переданы в ведение ГКРЭ СССР. </w:t>
      </w:r>
    </w:p>
    <w:p w14:paraId="4C791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5BBEB5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3E5770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3B8348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1990-х гг. НПО распалось. Сначала отделился НИИ Приборостроения, потом Государственный Рязанский приборный </w:t>
      </w:r>
      <w:proofErr w:type="gramStart"/>
      <w:r w:rsidRPr="008127F8">
        <w:rPr>
          <w:rFonts w:ascii="Times New Roman" w:hAnsi="Times New Roman"/>
          <w:color w:val="000000" w:themeColor="text1"/>
          <w:sz w:val="16"/>
          <w:szCs w:val="16"/>
        </w:rPr>
        <w:t>завод В настоящее время</w:t>
      </w:r>
      <w:proofErr w:type="gramEnd"/>
      <w:r w:rsidRPr="008127F8">
        <w:rPr>
          <w:rFonts w:ascii="Times New Roman" w:hAnsi="Times New Roman"/>
          <w:color w:val="000000" w:themeColor="text1"/>
          <w:sz w:val="16"/>
          <w:szCs w:val="16"/>
        </w:rPr>
        <w:t xml:space="preserve"> основу Концерна "Ф." представляет НИИР (А.О.НИИР). В наст. вр. </w:t>
      </w:r>
      <w:proofErr w:type="gramStart"/>
      <w:r w:rsidRPr="008127F8">
        <w:rPr>
          <w:rFonts w:ascii="Times New Roman" w:hAnsi="Times New Roman"/>
          <w:color w:val="000000" w:themeColor="text1"/>
          <w:sz w:val="16"/>
          <w:szCs w:val="16"/>
        </w:rPr>
        <w:t>ген.дир</w:t>
      </w:r>
      <w:proofErr w:type="gramEnd"/>
      <w:r w:rsidRPr="008127F8">
        <w:rPr>
          <w:rFonts w:ascii="Times New Roman" w:hAnsi="Times New Roman"/>
          <w:color w:val="000000" w:themeColor="text1"/>
          <w:sz w:val="16"/>
          <w:szCs w:val="16"/>
        </w:rPr>
        <w:t xml:space="preserve">. НИИР (президент и ген.к. НПК "Ф.") А.И.Канащенков. </w:t>
      </w:r>
    </w:p>
    <w:p w14:paraId="367774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1FC6B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25841D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587E3E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7E3885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Адрес: Россия, 123557, Москва, Электрический переулок, 1, Тел.: 253-5613. Факс: 253-0495. E-mail: phaza@aha.ru </w:t>
      </w:r>
    </w:p>
    <w:p w14:paraId="5966D1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5886A0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E1975"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создание завода N 339, сосредоточенного на выпуске самолетных радиолокационных средств, ныне ОАО "Корпорация "Фазотрон-НИИР" (15095).</w:t>
      </w:r>
    </w:p>
    <w:p w14:paraId="60B381D5"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6188AA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 269сс в соответствии с пост. ГКО № 1543сс от 5.04.1942 г. был образован новый приборостроительный завод № 339 НКАП в системе 5ГУ НКАП для работ по электроизмерительным приборам и приборам управления (Завод № 339 НКАП, МАП, МОП, ГКРЭ /г. Москва Электрический пер., 1/).</w:t>
      </w:r>
    </w:p>
    <w:p w14:paraId="530321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4314сс от 12.10.1943 г. и приказом № 667сс от 5.11.1943 г. началось производство </w:t>
      </w:r>
      <w:r w:rsidRPr="008127F8">
        <w:rPr>
          <w:rFonts w:ascii="Times New Roman" w:hAnsi="Times New Roman"/>
          <w:color w:val="000000" w:themeColor="text1"/>
          <w:sz w:val="16"/>
          <w:szCs w:val="16"/>
          <w:lang w:val="en-US"/>
        </w:rPr>
        <w:t>PJI</w:t>
      </w:r>
      <w:r w:rsidRPr="008127F8">
        <w:rPr>
          <w:rFonts w:ascii="Times New Roman" w:hAnsi="Times New Roman"/>
          <w:color w:val="000000" w:themeColor="text1"/>
          <w:sz w:val="16"/>
          <w:szCs w:val="16"/>
        </w:rPr>
        <w:t xml:space="preserve">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3A2F2C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605сс от 13.10.1944 г. завод с 1.01.1945 г. передан из 5ГУ в 17ГУ НКАП.</w:t>
      </w:r>
    </w:p>
    <w:p w14:paraId="3ED2ED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приказом № 415с от 26.06.1953 г. завод № 339 подчинен 4ГУ МОП, а вскоре с восстановлением МАП с 08.1953 г. передан в 4ГУ МАП, с 08.1955 г. - в 11ГУ МАП (как опытный завод). С 08.1957 г. при реорганизации аппарата МАП (после передачи серийных заводов в СНХ) завод № 339 передан в новое 4ГУ ГКАТ. В 12.1958 г. завод № 339 передан в ведение ГКРЭ.</w:t>
      </w:r>
    </w:p>
    <w:p w14:paraId="3CE2A8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899-385сс от 13.05.1954 г. РЛС «Сокол» пнв.</w:t>
      </w:r>
    </w:p>
    <w:p w14:paraId="5E6245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1962 г. ОКБ слито с заводом в НИИ-339.</w:t>
      </w:r>
    </w:p>
    <w:p w14:paraId="7B0FB0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(1942-44 г.)- И.И. Домбровский, (1944-47 г.)- Н.Б. Валаев, (1947-48 г.)- Н.А. Забелин, (1948-49 г.)- И.И. Штейнберг (репрессирован), (1949-51 г.)- Н.В. Федосов, (1951-52 г.)- П.К. Объедков, (1952-54 г.)- А.Н. Голеншцев, (1954-62 г.)- М.И. Комиссаров.</w:t>
      </w:r>
    </w:p>
    <w:p w14:paraId="2400BE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(1948-49 г.)- Н.В. Федосов.</w:t>
      </w:r>
    </w:p>
    <w:p w14:paraId="4B97AD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lang w:val="en-US"/>
        </w:rPr>
        <w:t>PJI</w:t>
      </w:r>
      <w:r w:rsidRPr="008127F8">
        <w:rPr>
          <w:rFonts w:ascii="Times New Roman" w:hAnsi="Times New Roman"/>
          <w:color w:val="000000" w:themeColor="text1"/>
          <w:sz w:val="16"/>
          <w:szCs w:val="16"/>
        </w:rPr>
        <w:t xml:space="preserve"> системы опознавания «свой-чужой»: СЧ-1, СЧ-2 (1942-), СЧ-3 (1945-);</w:t>
      </w:r>
      <w:r w:rsidRPr="008127F8">
        <w:rPr>
          <w:rFonts w:ascii="Times New Roman" w:hAnsi="Times New Roman"/>
          <w:iCs/>
          <w:color w:val="000000" w:themeColor="text1"/>
          <w:sz w:val="16"/>
          <w:szCs w:val="16"/>
        </w:rPr>
        <w:t xml:space="preserve"> РЛС:</w:t>
      </w:r>
      <w:r w:rsidRPr="008127F8">
        <w:rPr>
          <w:rFonts w:ascii="Times New Roman" w:hAnsi="Times New Roman"/>
          <w:color w:val="000000" w:themeColor="text1"/>
          <w:sz w:val="16"/>
          <w:szCs w:val="16"/>
        </w:rPr>
        <w:t xml:space="preserve"> наземные обнаружения и опознавания «Редут» (РУС-2) (12.1941-), «Пегматит» (РУС-2с) (1942-), «Пегматит-3» (1944-); авиационные: «Гнейс-5с» (1945-), «Барий-М», «Магний-М», «Ротор-С» (1950), «Сокол» для Як-25 (пнв 13.05.1954 г.), «Сокол-2».</w:t>
      </w:r>
    </w:p>
    <w:p w14:paraId="14DF52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ОКБ-339 МАП, ГКРЭ, НИИ-339 МРП, НИИ Аппаратостроения, п/я 2264, НИИ радиостроения (НИИР), Государственный НИИР, ФГУП «Ордена Трудового Красного Знамени НИИ радио» (НИИР) /</w:t>
      </w:r>
      <w:proofErr w:type="gramStart"/>
      <w:r w:rsidRPr="008127F8">
        <w:rPr>
          <w:rFonts w:ascii="Times New Roman" w:hAnsi="Times New Roman"/>
          <w:color w:val="000000" w:themeColor="text1"/>
          <w:sz w:val="16"/>
          <w:szCs w:val="16"/>
        </w:rPr>
        <w:t>103064  г.</w:t>
      </w:r>
      <w:proofErr w:type="gramEnd"/>
      <w:r w:rsidRPr="008127F8">
        <w:rPr>
          <w:rFonts w:ascii="Times New Roman" w:hAnsi="Times New Roman"/>
          <w:color w:val="000000" w:themeColor="text1"/>
          <w:sz w:val="16"/>
          <w:szCs w:val="16"/>
        </w:rPr>
        <w:t xml:space="preserve"> Москва ул. Казакова, 16 тел. 261-36-94/</w:t>
      </w:r>
    </w:p>
    <w:p w14:paraId="5672FD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146F3F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0AF1E2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велась отработка станции разведки и помех ПР-1, созданной в ЦНИИ-108. В 1954 г. велись работы по системе самонаведения Г-301 для УРВБ «211» (В.А. Малаха).</w:t>
      </w:r>
    </w:p>
    <w:p w14:paraId="7C78A0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w:t>
      </w:r>
      <w:r w:rsidRPr="008127F8">
        <w:rPr>
          <w:rFonts w:ascii="Times New Roman" w:hAnsi="Times New Roman"/>
          <w:color w:val="000000" w:themeColor="text1"/>
          <w:sz w:val="16"/>
          <w:szCs w:val="16"/>
          <w:lang w:val="en-US"/>
        </w:rPr>
        <w:t>PJIC</w:t>
      </w:r>
      <w:r w:rsidRPr="008127F8">
        <w:rPr>
          <w:rFonts w:ascii="Times New Roman" w:hAnsi="Times New Roman"/>
          <w:color w:val="000000" w:themeColor="text1"/>
          <w:sz w:val="16"/>
          <w:szCs w:val="16"/>
        </w:rPr>
        <w:t>. В 08.1955 г. ОКБ переведеново вновь образованное 11ГУ.</w:t>
      </w:r>
    </w:p>
    <w:p w14:paraId="3AAE46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ОКБ была выделена из НИИ-17 тематика БРЛС «Сокол» с частью коллектива во главе с Кунявским.</w:t>
      </w:r>
    </w:p>
    <w:p w14:paraId="4AE455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образовался филиал ОКБ при серийном заводе № 463 МАП ( г. Рязань) для решения вопросов, связанных с серийным производством БРЛС.</w:t>
      </w:r>
    </w:p>
    <w:p w14:paraId="34C25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1EF5C6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1955 г. начата разработка самолетных РЛС. В 1958 г. сюда из ОСКБ-15 переданы работы по системе «Ураган- 5Б-80»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УРВБ. В 12.1958 г. ОКБ передано в ведение ГКРЭ.</w:t>
      </w:r>
    </w:p>
    <w:p w14:paraId="55DCC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ОКБ-339 в 1960 г. образовался коллектив по разработке РЛГСН для УРВБ.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 «Агат», объединившись с такой же группой из НИИП.</w:t>
      </w:r>
    </w:p>
    <w:p w14:paraId="12A903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1962 г. опытный завод № 339 и ОКБ-339 объединены в НИИ-339. Имел также наименование НИИ аппаратостроеня (1969 г.), «п/я 2264». В 1970 г. НИИ-339 (НИИ аппаратостроения) переименован в НИИ радиостроения (НИИР). В 1969 г. образовано НКО аппаратостроения (с 1970 г. - «Фазотрон») путем объединения НИИР и </w:t>
      </w:r>
      <w:r w:rsidRPr="008127F8">
        <w:rPr>
          <w:rFonts w:ascii="Times New Roman" w:hAnsi="Times New Roman"/>
          <w:color w:val="000000" w:themeColor="text1"/>
          <w:sz w:val="16"/>
          <w:szCs w:val="16"/>
        </w:rPr>
        <w:lastRenderedPageBreak/>
        <w:t>КБ радиостроения (НИИП), НИИР являлся головным предприятием объединения.</w:t>
      </w:r>
    </w:p>
    <w:p w14:paraId="78F16B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БРЛС «Сапфир-23» - первая отечественная РЛС, обеспечившая поражение низколетящих целей на фоне земли.</w:t>
      </w:r>
    </w:p>
    <w:p w14:paraId="60C38F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w:t>
      </w:r>
      <w:proofErr w:type="gramStart"/>
      <w:r w:rsidRPr="008127F8">
        <w:rPr>
          <w:rFonts w:ascii="Times New Roman" w:hAnsi="Times New Roman"/>
          <w:color w:val="000000" w:themeColor="text1"/>
          <w:sz w:val="16"/>
          <w:szCs w:val="16"/>
        </w:rPr>
        <w:t>инициативе  Г.М.</w:t>
      </w:r>
      <w:proofErr w:type="gramEnd"/>
      <w:r w:rsidRPr="008127F8">
        <w:rPr>
          <w:rFonts w:ascii="Times New Roman" w:hAnsi="Times New Roman"/>
          <w:color w:val="000000" w:themeColor="text1"/>
          <w:sz w:val="16"/>
          <w:szCs w:val="16"/>
        </w:rPr>
        <w:t xml:space="preserve"> Кунявского начато новое направление - разработка контрольно-индикаторных систем для пилотируемых космических кораблей (шифр «Стрелка»).</w:t>
      </w:r>
    </w:p>
    <w:p w14:paraId="495934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Выполнены НИР: «Гроза», «Вихрь», «Смерч-100».</w:t>
      </w:r>
    </w:p>
    <w:p w14:paraId="7E40DD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w:t>
      </w:r>
      <w:proofErr w:type="gramStart"/>
      <w:r w:rsidRPr="008127F8">
        <w:rPr>
          <w:rFonts w:ascii="Times New Roman" w:hAnsi="Times New Roman"/>
          <w:color w:val="000000" w:themeColor="text1"/>
          <w:sz w:val="16"/>
          <w:szCs w:val="16"/>
        </w:rPr>
        <w:t>( 2002</w:t>
      </w:r>
      <w:proofErr w:type="gramEnd"/>
      <w:r w:rsidRPr="008127F8">
        <w:rPr>
          <w:rFonts w:ascii="Times New Roman" w:hAnsi="Times New Roman"/>
          <w:color w:val="000000" w:themeColor="text1"/>
          <w:sz w:val="16"/>
          <w:szCs w:val="16"/>
        </w:rPr>
        <w:t xml:space="preserve">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198B16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Сотрудничало с АО «Рост», РосНИИКП, ГПКС и ЦНИИС. По Указу Президента РФ № 1009 от 4.08.2004 г. вошло в число стратегических оборонных предприятий.</w:t>
      </w:r>
    </w:p>
    <w:p w14:paraId="07E97D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Е.А. Левитин. Директор (1962-67 г.)- М.И. Комиссаров, (1967 г.-)- Я.И. Павлов, (1969- 78 г.)- Ю.Н. Фшуровский, (1978-82г&gt; В.К. Гришин, (1982-85 г.)- А. Г. Невструев, (1985 г.-)- А.И. Канащенков. Гендиректор (1990-е)- А.И. Канащенков, (-2000-03 г.-)- Ю.Б. Зубарев.</w:t>
      </w:r>
    </w:p>
    <w:p w14:paraId="238E6E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М.М. Симонов, (2002 г.)- А.И. Куштуев. Зам. директора, Гендиректора: по научной работе (-1969 г.)- Я.о технико-производственным вопросам (1962 г.-)- Н.В. Федосов; И. Павлов, (1970- 73 г.)- В.К. Гришин, по науке (2002 г.)- И.С. Цирлин; по науке и экономике (2002 г.)- В.П. Кокошкин; по общим вопросам (2002 г.)- Е.В. Ляхницкий, (2002 г.)- С.Н. Астахов;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по вычислительным системам и ПО СУВ (2000-е)- О.Ф. Самарин.</w:t>
      </w:r>
    </w:p>
    <w:p w14:paraId="2A3922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конструктора (1948 г.)- Б.А. Веселов. Гл. конструктор (1955-62 г.-)</w:t>
      </w:r>
      <w:proofErr w:type="gramStart"/>
      <w:r w:rsidRPr="008127F8">
        <w:rPr>
          <w:rFonts w:ascii="Times New Roman" w:hAnsi="Times New Roman"/>
          <w:color w:val="000000" w:themeColor="text1"/>
          <w:sz w:val="16"/>
          <w:szCs w:val="16"/>
        </w:rPr>
        <w:t>-  Г.М.</w:t>
      </w:r>
      <w:proofErr w:type="gramEnd"/>
      <w:r w:rsidRPr="008127F8">
        <w:rPr>
          <w:rFonts w:ascii="Times New Roman" w:hAnsi="Times New Roman"/>
          <w:color w:val="000000" w:themeColor="text1"/>
          <w:sz w:val="16"/>
          <w:szCs w:val="16"/>
        </w:rPr>
        <w:t xml:space="preserve"> Кунявский, (1967 г.-)- Я.И. Павлов.</w:t>
      </w:r>
    </w:p>
    <w:p w14:paraId="6CFC4D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(-1986 г.)- Б.С. Архипов, М.А. Виноградов.</w:t>
      </w:r>
    </w:p>
    <w:p w14:paraId="262AD5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руководитель (1962 г.-)- Ф.Ф. Волков.</w:t>
      </w:r>
    </w:p>
    <w:p w14:paraId="545DBF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(1953-62 г.)- Н.В. Федосов, (1967-82 г.)- А. Г. Невструев, (1982 г.-)- Д.С. Трифонов.</w:t>
      </w:r>
    </w:p>
    <w:p w14:paraId="2B8F8D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(-1967 г.)- А. Г. Невструев.</w:t>
      </w:r>
    </w:p>
    <w:p w14:paraId="3D36CA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(1954 г.)- В.А. Малаха,  Г.М. Кунявский («Орел», «Сапфир-23») (затем- в ГосННИАС), (1958 г.-)- Ф.Ф. Волков («Смерч», «Смерч-А», «Тайфун-М», «Салфир-21»), В.К. Гришин («Сапфир-23»), (1980 г.-)- Ю. Г. Винник (НО 19), Ю.П. Кирпичев («Сапфир-25», Н019), (1984-2000-е)- Ю.Н. Гуськов (НОЮ), (1986-96 г.-)- В.В. Францев (Н019М, «Жук-МСЭ, -МСФЭ»), Н.В. Шерстюк («Стрелка», «Символ-Ц, -Д»).</w:t>
      </w:r>
    </w:p>
    <w:p w14:paraId="79F898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Ю.П. Кирпичев («Смерч-А»), Зам. гл. конструктора: В.А. Бабичев («Жук», «Копье»), (-1974-2003 г.-&gt; Ю. Г. Винник («Сапфир-23», Н019, «Жук-МСФЭ»), Ю.Н. Гуськов («Смерч-А2», «Сапфир-25». «Тайфун-М», СУВ-29), (2000-е)- Л.С. Ривес, О.Ф. Самарин (ПО СУВ МиГ-29), В.В. Францев (НО 19), (-1986 г.)- В.В. Чубров.</w:t>
      </w:r>
    </w:p>
    <w:p w14:paraId="50F82A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НИО (1971-82 г.)- Д.С. Трифонов, Б.С. Архипов, (1984 г.-)- Ю.Н. Гуськов, (-2001 г.)- В.В. Овсянников. Начальник НИЦ- В.В. Францев.</w:t>
      </w:r>
    </w:p>
    <w:p w14:paraId="5B7C9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комплексного по БРЛС- М.А. Виноградов; комплексного по ГСН для УРВВ (1967-71 г.)- Д.С. Трифонов; перспективных научных исследований (1987 г.-)- И.С. Рыжак, И.П. Цивлин; конструкторского (- 1986 г.)- У.Д. Шапиро; (-1986 г.)- Д.И. Аверин, Б.С. Архипов,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Когель, А.К. Кантаровский, (1978 г.-)- В.В. Овсянников.</w:t>
      </w:r>
    </w:p>
    <w:p w14:paraId="55A00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комплексной по БРЛС (1964-97 г.)- В.А. Бабичев; Д.И. Аверин, (-1986 г.)-  Г.М. Борзенко, (1968 г.-)- Ю. Г. Винник, М.Л. Когель, А.К. Кантаровский, (-1986 г.)- Ю.В. Медведев, (1958 г.-)- А. Г. Невструев, (2000-е)- Л.С. Ривес, (1984-87 г.)- И.С. Рыжак, (-1986 г.)- В.А. Сулим, (-1967 г.)- Д.С. Трифонов, (1964 г.- )- В.В. Чубров. Начальник комплекса</w:t>
      </w:r>
      <w:proofErr w:type="gramStart"/>
      <w:r w:rsidRPr="008127F8">
        <w:rPr>
          <w:rFonts w:ascii="Times New Roman" w:hAnsi="Times New Roman"/>
          <w:color w:val="000000" w:themeColor="text1"/>
          <w:sz w:val="16"/>
          <w:szCs w:val="16"/>
        </w:rPr>
        <w:t>-  Г.М.</w:t>
      </w:r>
      <w:proofErr w:type="gramEnd"/>
      <w:r w:rsidRPr="008127F8">
        <w:rPr>
          <w:rFonts w:ascii="Times New Roman" w:hAnsi="Times New Roman"/>
          <w:color w:val="000000" w:themeColor="text1"/>
          <w:sz w:val="16"/>
          <w:szCs w:val="16"/>
        </w:rPr>
        <w:t xml:space="preserve"> Кунявский.</w:t>
      </w:r>
      <w:r w:rsidRPr="008127F8">
        <w:rPr>
          <w:rFonts w:ascii="Times New Roman" w:hAnsi="Times New Roman"/>
          <w:color w:val="000000" w:themeColor="text1"/>
          <w:sz w:val="16"/>
          <w:szCs w:val="16"/>
          <w:vertAlign w:val="superscript"/>
        </w:rPr>
        <w:t>130</w:t>
      </w:r>
    </w:p>
    <w:p w14:paraId="787012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лаборатории: комплексной по БРЛС (1974 г.)- Ю. Г. Винник.</w:t>
      </w:r>
    </w:p>
    <w:p w14:paraId="7E77A3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секторов: (1976-86 г.)- В.М. Чкунин.</w:t>
      </w:r>
    </w:p>
    <w:p w14:paraId="4EC9E4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Научные руководители НИР: (1959-63 г.)- В.А. Бабичев («Гроза»).</w:t>
      </w:r>
    </w:p>
    <w:p w14:paraId="3241E8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 конструкторской (1958 г.-)- У.Д. Шапиро.</w:t>
      </w:r>
    </w:p>
    <w:p w14:paraId="25705D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БРЛС:</w:t>
      </w:r>
      <w:r w:rsidRPr="008127F8">
        <w:rPr>
          <w:rFonts w:ascii="Times New Roman" w:hAnsi="Times New Roman"/>
          <w:color w:val="000000" w:themeColor="text1"/>
          <w:sz w:val="16"/>
          <w:szCs w:val="16"/>
        </w:rPr>
        <w:t xml:space="preserve"> «Барий», «Барий-М» (1950), «Магний-М» (1950), «Ротор-С», «Протон», «Сокол» для Як-25, «Сокол-2», «Сокол-2К», «Пантера-2» (проект) для комплекса Як-35МВ, «Орел» для Су-11, «Орел-Д» для Як-28П, «Смерч» для Ту-28-80, «Смерч-А, -А2» для МиГ-25П, «Коршун», «Тайфун» и «Тайфун-М» для Су-15ТМ (пнв в 1977 г.), «Сапфир-21» для МиГ-21, «Сапфир-23» для МиГ-23, «Сапфир-25» для МиГ-25ПД, Н019 для МиГ-29, Н019М для МиГ-29С, НОЮ «Жук» для МиГ-29М, «Жук-АЭ» с АФАР для МиГ-35, «Жук-МЭ» для МиГ-29К, «Жук-МФЭ» для МиГ-29СМТ, «Жук-МСФЭ» («Сокол») для Су-27КУБ, «Жук-МСЭ» для Су-ЗОМКЗ, «Жук-8П» для</w:t>
      </w:r>
      <w:r w:rsidRPr="008127F8">
        <w:rPr>
          <w:rFonts w:ascii="Times New Roman" w:hAnsi="Times New Roman"/>
          <w:smallCaps/>
          <w:color w:val="000000" w:themeColor="text1"/>
          <w:sz w:val="16"/>
          <w:szCs w:val="16"/>
          <w:lang w:val="en-US"/>
        </w:rPr>
        <w:t>F</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IIM</w:t>
      </w:r>
      <w:r w:rsidRPr="008127F8">
        <w:rPr>
          <w:rFonts w:ascii="Times New Roman" w:hAnsi="Times New Roman"/>
          <w:color w:val="000000" w:themeColor="text1"/>
          <w:sz w:val="16"/>
          <w:szCs w:val="16"/>
        </w:rPr>
        <w:t>», НО 14 для</w:t>
      </w:r>
      <w:r w:rsidRPr="008127F8">
        <w:rPr>
          <w:rFonts w:ascii="Times New Roman" w:hAnsi="Times New Roman"/>
          <w:smallCaps/>
          <w:color w:val="000000" w:themeColor="text1"/>
          <w:sz w:val="16"/>
          <w:szCs w:val="16"/>
        </w:rPr>
        <w:t xml:space="preserve"> «1</w:t>
      </w:r>
      <w:r w:rsidRPr="008127F8">
        <w:rPr>
          <w:rFonts w:ascii="Times New Roman" w:hAnsi="Times New Roman"/>
          <w:color w:val="000000" w:themeColor="text1"/>
          <w:sz w:val="16"/>
          <w:szCs w:val="16"/>
        </w:rPr>
        <w:t>-42», «Копье», «Копье-А» для Ми-28, «Копье-21И» для МиГ-21 6</w:t>
      </w:r>
      <w:r w:rsidRPr="008127F8">
        <w:rPr>
          <w:rFonts w:ascii="Times New Roman" w:hAnsi="Times New Roman"/>
          <w:smallCaps/>
          <w:color w:val="000000" w:themeColor="text1"/>
          <w:sz w:val="16"/>
          <w:szCs w:val="16"/>
          <w:lang w:val="en-US"/>
        </w:rPr>
        <w:t>hcUPG</w:t>
      </w:r>
      <w:r w:rsidRPr="008127F8">
        <w:rPr>
          <w:rFonts w:ascii="Times New Roman" w:hAnsi="Times New Roman"/>
          <w:color w:val="000000" w:themeColor="text1"/>
          <w:sz w:val="16"/>
          <w:szCs w:val="16"/>
        </w:rPr>
        <w:t xml:space="preserve">, «Копье-М» для Су-25, «Арбалет» для Ка-52, М002 (для «48М»), «Шлем» для ЗПРК «Панцирь-С1», «Жемчуг» (экспортная); </w:t>
      </w:r>
      <w:r w:rsidRPr="008127F8">
        <w:rPr>
          <w:rFonts w:ascii="Times New Roman" w:hAnsi="Times New Roman"/>
          <w:iCs/>
          <w:color w:val="000000" w:themeColor="text1"/>
          <w:sz w:val="16"/>
          <w:szCs w:val="16"/>
        </w:rPr>
        <w:t>РЛГСН:</w:t>
      </w:r>
      <w:r w:rsidRPr="008127F8">
        <w:rPr>
          <w:rFonts w:ascii="Times New Roman" w:hAnsi="Times New Roman"/>
          <w:color w:val="000000" w:themeColor="text1"/>
          <w:sz w:val="16"/>
          <w:szCs w:val="16"/>
        </w:rPr>
        <w:t xml:space="preserve"> «Магнит» для ЗУР «Даль» (конец 1950-х), ПАРГС-12ВВ (ПАРГ-12) для Р-40Р, РГС-23 для Р-23, РГС-24 для Р-24, РГС-27 (9Б-1101К) для Р-27Р1; система углового сопровождения «Орел» для ракет (конец 1950-х); РЛ- дальномер для СРД-3; СУВ-29 для МиГ-29; контрольно-индикаторная система «Стрелка» для РН «Союз», комплексы операторского контроля «Символ-Д, -Ц» для станции «Мир».</w:t>
      </w:r>
    </w:p>
    <w:p w14:paraId="62AD4C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Научно-конструкторское объединение (НКО) аппаратостроения, «Фазотрон», НПО, МПК «Фазотрон» МРП, Научно-производственная компания (НПК) «Фазотрон», Концерн «Фазотрон»,</w:t>
      </w:r>
    </w:p>
    <w:p w14:paraId="2D6CFE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ОАО «Корпорация «Фазотрон-НИИР» /</w:t>
      </w:r>
      <w:proofErr w:type="gramStart"/>
      <w:r w:rsidRPr="008127F8">
        <w:rPr>
          <w:rFonts w:ascii="Times New Roman" w:hAnsi="Times New Roman"/>
          <w:color w:val="000000" w:themeColor="text1"/>
          <w:sz w:val="16"/>
          <w:szCs w:val="16"/>
        </w:rPr>
        <w:t>123557  г.</w:t>
      </w:r>
      <w:proofErr w:type="gramEnd"/>
      <w:r w:rsidRPr="008127F8">
        <w:rPr>
          <w:rFonts w:ascii="Times New Roman" w:hAnsi="Times New Roman"/>
          <w:color w:val="000000" w:themeColor="text1"/>
          <w:sz w:val="16"/>
          <w:szCs w:val="16"/>
        </w:rPr>
        <w:t xml:space="preserve"> Москва пер. Электрический, 1 тел. 253-16-42;  г. Жуковский;  г. Москва ул. М. Грузинская, 54; ул. М. Грузинская, 52/34/</w:t>
      </w:r>
    </w:p>
    <w:p w14:paraId="496116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НКО аппаратостроения (с 1970 г. - «Фазотрон») образовано 22.12.1969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1985 г.- НПО «Фазотрон», в 1991 г.- Концерн «Фазотрон», в 1997 г.- ОАО «Корпорация «Фазотрон-НИИР». В конце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из состава «Фазотрона» вышел НИИП, потом ГРПЗ.</w:t>
      </w:r>
    </w:p>
    <w:p w14:paraId="2CA88E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595F78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3EABDF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Корпорации (2007 г.)- НИЦ «Фазотрон».</w:t>
      </w:r>
    </w:p>
    <w:p w14:paraId="62B07D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(1969-78 г.)- Ю.Н. Фигуровский, (1978-82 г.)- В.К. Гришин, (1982-85 г.)- А. Г. Невструев, (1985- 05.2006 г.)- А.И. Канащенков, (2006-07 г.-)- М.В. Коржуев.</w:t>
      </w:r>
    </w:p>
    <w:p w14:paraId="27D939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(1982 г.-)- Д.С. Трифонов, (1995-2006 г.)- В.Я. Рогов. Зам. гендиректора: по науке (05.2006-07 г.-)- А.И. Канащенков; по электронной технике (1999-2007 г.-&gt; В.В. Копылов; (1971-81 г.)- М.С. Гоцеридзе, (1980-85 г.)- А.Н. Осокин, В.Я. Рогов, (-2000-02 г.-)- Ю.Н. Гуськов, (2006-07 г.-)- А.И. Гридчин, (1998- 2007 г.-)- А.Н. Могуев.</w:t>
      </w:r>
    </w:p>
    <w:p w14:paraId="537F3E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(1969-78 г.)- Ю.Н. Фигуровский, (1978-82 г.)- В.К. Гришин, (1982-85 г.)- А. Г. Невоструев, (1985-2007 г.-)-А.И. Канащенков {19.09.1937-}.</w:t>
      </w:r>
    </w:p>
    <w:p w14:paraId="53959E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по разработке РЛ СУВ для истребителей и штурмовиков (1994 г.-)- А.И. Канащенков.</w:t>
      </w:r>
    </w:p>
    <w:p w14:paraId="2DFB65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(-2000-07 г.-)- Ю.Н. Гуськов. Зам. ген. конструктора: по системам управления (1979 г.-)- Т.О. Бекирбаев; (1972-73 г.)- В.К. Гришин, Л. Г. Волошин.</w:t>
      </w:r>
    </w:p>
    <w:p w14:paraId="20836F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(1995-2006 г.)- В.Я. Рогов.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Директор департамента: анализа рынков (2001-06 г.-)- В.Ф. Медовников; информационных стратегий (2000-07 г.-)- А.Н. Осокин.</w:t>
      </w:r>
    </w:p>
    <w:p w14:paraId="6D5E1E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исполнительного директора (2006-07 г.-)- В.Я. Рогов.</w:t>
      </w:r>
    </w:p>
    <w:p w14:paraId="4EB672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(1967-82 г.)- А. Г. Невструев, (1982 г.-)- Д.С. Трифонов, (1995-2006 г.)- В.Я. Рогов.</w:t>
      </w:r>
    </w:p>
    <w:p w14:paraId="4859B0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 (1988 г.-)- В.Я. Рогов, Л. Г. Волошин.</w:t>
      </w:r>
    </w:p>
    <w:p w14:paraId="33DCFE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В.В. Францев, В.И. Кустов, В.Д. Ратнер, А.С. Матюшин, (-2005-07 г.-)- Ю.Н. Гуськов.</w:t>
      </w:r>
      <w:r w:rsidRPr="008127F8">
        <w:rPr>
          <w:rFonts w:ascii="Times New Roman" w:hAnsi="Times New Roman"/>
          <w:color w:val="000000" w:themeColor="text1"/>
          <w:sz w:val="16"/>
          <w:szCs w:val="16"/>
          <w:vertAlign w:val="superscript"/>
        </w:rPr>
        <w:t>101</w:t>
      </w:r>
    </w:p>
    <w:p w14:paraId="401C39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(1979 г.-)- А.Н. Осокин.</w:t>
      </w:r>
    </w:p>
    <w:p w14:paraId="15E294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комплекса научно-информационного обеспечения (1994-2000 г.)- А.Н. Осокин.</w:t>
      </w:r>
    </w:p>
    <w:p w14:paraId="306FF4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стандартизции (1985-94 г.)- А.Н. Осокин.</w:t>
      </w:r>
    </w:p>
    <w:p w14:paraId="51F5E3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БРЛС: «Копье-21И», «Жук-МЭ».</w:t>
      </w:r>
    </w:p>
    <w:p w14:paraId="612EC1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НИИ (МНИИ) «Агат», ФГУП, ОАО «МНИИ «Агат» ФАП /</w:t>
      </w:r>
      <w:proofErr w:type="gramStart"/>
      <w:r w:rsidRPr="008127F8">
        <w:rPr>
          <w:rFonts w:ascii="Times New Roman" w:hAnsi="Times New Roman"/>
          <w:color w:val="000000" w:themeColor="text1"/>
          <w:sz w:val="16"/>
          <w:szCs w:val="16"/>
        </w:rPr>
        <w:t>140182  г.</w:t>
      </w:r>
      <w:proofErr w:type="gramEnd"/>
      <w:r w:rsidRPr="008127F8">
        <w:rPr>
          <w:rFonts w:ascii="Times New Roman" w:hAnsi="Times New Roman"/>
          <w:color w:val="000000" w:themeColor="text1"/>
          <w:sz w:val="16"/>
          <w:szCs w:val="16"/>
        </w:rPr>
        <w:t xml:space="preserve"> Жуковский-2 Московской обл. ул. Туполева, 2А тел. (095) 556-50-87, 742-35-87/ /Московское представительство: 123557 ул. М. Грузинская, 54 тел. 253-09-96/</w:t>
      </w:r>
    </w:p>
    <w:p w14:paraId="59C6C3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Бывший НИО-4 при НИИР, МНИИ «Агат» образован 27.01.1986 г. в составе НПО «Фазотрон» путем объединения разрозненных подразделений НИИР и НИИП, специализирующихся на РЛГСН. В 2002 г. имел форму ФГУП. По решению правительства № 22-р от 9.01.2004 г. и Указу Президента РФ № 1009 от 4.08.2004 г. ОАО МНИИ «Агат» вошло в число стратегических оборонных предприятий. Входит в концерн «Алмаз-Антей» (2005 г.).</w:t>
      </w:r>
    </w:p>
    <w:p w14:paraId="393AB4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Выполнены НИР: «Союз» (совместно с ГНПП «Исток») по созданию </w:t>
      </w:r>
      <w:r w:rsidRPr="008127F8">
        <w:rPr>
          <w:rFonts w:ascii="Times New Roman" w:hAnsi="Times New Roman"/>
          <w:color w:val="000000" w:themeColor="text1"/>
          <w:sz w:val="16"/>
          <w:szCs w:val="16"/>
          <w:lang w:val="en-US"/>
        </w:rPr>
        <w:t>APJI</w:t>
      </w:r>
      <w:r w:rsidRPr="008127F8">
        <w:rPr>
          <w:rFonts w:ascii="Times New Roman" w:hAnsi="Times New Roman"/>
          <w:color w:val="000000" w:themeColor="text1"/>
          <w:sz w:val="16"/>
          <w:szCs w:val="16"/>
        </w:rPr>
        <w:t xml:space="preserve"> ГСН 9Б-1348 для Р-77; «Агат» по созданию АРЛ ГСН 9Б-И03М для Р-27.</w:t>
      </w:r>
    </w:p>
    <w:p w14:paraId="1C285E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программе создания ОК «Буран».</w:t>
      </w:r>
    </w:p>
    <w:p w14:paraId="53C27C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Ведущее предприятие России по разработке РЛ ГСН для УРВВ и ЗУР.</w:t>
      </w:r>
    </w:p>
    <w:p w14:paraId="673062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464EBD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автомат «Араке-1» для сборки электронных модулей методом тонкопроводного монтажа.</w:t>
      </w:r>
    </w:p>
    <w:p w14:paraId="55D5A1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и производство (2002 г.): РЛ ГСН для УРВВ и ЗУР, антенные устройства для них и малогабаритные бортовые ЭВМ; диагностическая медицинская </w:t>
      </w:r>
      <w:r w:rsidRPr="008127F8">
        <w:rPr>
          <w:rFonts w:ascii="Times New Roman" w:hAnsi="Times New Roman"/>
          <w:color w:val="000000" w:themeColor="text1"/>
          <w:sz w:val="16"/>
          <w:szCs w:val="16"/>
        </w:rPr>
        <w:lastRenderedPageBreak/>
        <w:t>аппаратура.</w:t>
      </w:r>
    </w:p>
    <w:p w14:paraId="7FB472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(1986-94 г.)- И. Г. Акопян. Ген. Конструктор (1994-2007 г.-)- И. Г. Акопян {28.08.1931-}, (2005 г.)- Е. Новиков.</w:t>
      </w:r>
    </w:p>
    <w:p w14:paraId="489F41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 конструктора (2004-07 г.-&gt; С.И. Вексин.</w:t>
      </w:r>
    </w:p>
    <w:p w14:paraId="20989E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(1986 г.-)- И. Г. Акопян. Гендиректор (2002 г.)- А. Касьян, (2002-06 г.)- И. Г. Акопян, (2006 г.)- Е. Новиков.</w:t>
      </w:r>
    </w:p>
    <w:p w14:paraId="1A1126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гендиректора по научной работе (1986-2002 г.-)- Б.С. Архипов. Зам. Директора: по научной работе (2002 г.)- В.Д. Чернов; по военно-техническим вопросам- Н.Д. Лановский; по экономическим вопросам- Е.И. Скороходов. Зам. гендиректора: по научной работе (2007 г.)- В.Д. Чернов; по военно-техническим вопросам (2007 г.)- Н.Д. Лановский; по ВЭД (2007 г.)- Е.И. Скороходов; (2006-07 г.-)- И. Г. Акопян.</w:t>
      </w:r>
    </w:p>
    <w:p w14:paraId="1EFAB7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(-2002-07 г.-)- Б.С. Архипов.</w:t>
      </w:r>
    </w:p>
    <w:p w14:paraId="1352F6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(2007 г.)- Р.Б. Сухолинский.</w:t>
      </w:r>
    </w:p>
    <w:p w14:paraId="70C541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(2007 г.)-  Г.М. Борзенко, С.И. Вексин, (2007 г.)- В.П. Герасимов, (2007 г.)- А.Н. Лагуткин, (2007 г.)- Л.М. Липкин, (2007 г.)- А.В. Мохонько, (2007 г.)- Ю.И. Рудаков, (2007 г.)- В.А. Сулим, (2007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Сухов, В.М. Чкунин, (2007 г.)- В.В. Чубров.</w:t>
      </w:r>
    </w:p>
    <w:p w14:paraId="5A7C9B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w:t>
      </w:r>
      <w:proofErr w:type="gramStart"/>
      <w:r w:rsidRPr="008127F8">
        <w:rPr>
          <w:rFonts w:ascii="Times New Roman" w:hAnsi="Times New Roman"/>
          <w:color w:val="000000" w:themeColor="text1"/>
          <w:sz w:val="16"/>
          <w:szCs w:val="16"/>
        </w:rPr>
        <w:t>конструкторов:  Г.М.</w:t>
      </w:r>
      <w:proofErr w:type="gramEnd"/>
      <w:r w:rsidRPr="008127F8">
        <w:rPr>
          <w:rFonts w:ascii="Times New Roman" w:hAnsi="Times New Roman"/>
          <w:color w:val="000000" w:themeColor="text1"/>
          <w:sz w:val="16"/>
          <w:szCs w:val="16"/>
        </w:rPr>
        <w:t xml:space="preserve"> Борзенко, (2007 г.)- Э.П. Рослик,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Сухов, (2007 г.)- В.М. Чкунин, (2007 г.)- В.Д. Шадрин.</w:t>
      </w:r>
    </w:p>
    <w:p w14:paraId="797752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НИО (1986-2007 г.-)- Д.И. Аверин, (2007 г.)</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Валаев, (1986 г.-)- В.Д. Чернов; конструкторского (1986-94 г.)- У.Д. Шапиро.</w:t>
      </w:r>
    </w:p>
    <w:p w14:paraId="71ABA6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комплексного (2007 г.)</w:t>
      </w:r>
      <w:proofErr w:type="gramStart"/>
      <w:r w:rsidRPr="008127F8">
        <w:rPr>
          <w:rFonts w:ascii="Times New Roman" w:hAnsi="Times New Roman"/>
          <w:color w:val="000000" w:themeColor="text1"/>
          <w:sz w:val="16"/>
          <w:szCs w:val="16"/>
        </w:rPr>
        <w:t>-  Г.М.</w:t>
      </w:r>
      <w:proofErr w:type="gramEnd"/>
      <w:r w:rsidRPr="008127F8">
        <w:rPr>
          <w:rFonts w:ascii="Times New Roman" w:hAnsi="Times New Roman"/>
          <w:color w:val="000000" w:themeColor="text1"/>
          <w:sz w:val="16"/>
          <w:szCs w:val="16"/>
        </w:rPr>
        <w:t xml:space="preserve"> Борзенко, (1986-2007 г.-)- Е.Д. Вастягин; (1986 г.-)-  Г.Н. Валаев, А.Н. Лагуткин, (2007 г.)- Ю.В. Медведев.</w:t>
      </w:r>
    </w:p>
    <w:p w14:paraId="612A7B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лабораторий: (1986 г.-)-  Г.М. Борзенко, (1986 г.-)- В.П. Герасимов, (1986 г.-)- А.Н. Лагуткин, (2007 г.)- А.Я. Лаппо, (1986 г.-)- Ю.В. Медведев, А.В. Мохонько, (2007 г.)- В.А. Нефедов, (1986 г.-)- Ю.И. Рудаков, (1986-2007 г.-)- В .А. Сулим, (1986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Сухов, (1986 г.-)- В.В. Чубров.</w:t>
      </w:r>
    </w:p>
    <w:p w14:paraId="35D4DC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секторов: С.И. Вексин, (1995 г.-)- </w:t>
      </w:r>
      <w:proofErr w:type="gramStart"/>
      <w:r w:rsidRPr="008127F8">
        <w:rPr>
          <w:rFonts w:ascii="Times New Roman" w:hAnsi="Times New Roman"/>
          <w:color w:val="000000" w:themeColor="text1"/>
          <w:sz w:val="16"/>
          <w:szCs w:val="16"/>
        </w:rPr>
        <w:t>А</w:t>
      </w:r>
      <w:r w:rsidRPr="008127F8">
        <w:rPr>
          <w:rFonts w:ascii="Times New Roman" w:hAnsi="Times New Roman"/>
          <w:iCs/>
          <w:color w:val="000000" w:themeColor="text1"/>
          <w:sz w:val="16"/>
          <w:szCs w:val="16"/>
        </w:rPr>
        <w:t xml:space="preserve"> .</w:t>
      </w:r>
      <w:proofErr w:type="gramEnd"/>
      <w:r w:rsidRPr="008127F8">
        <w:rPr>
          <w:rFonts w:ascii="Times New Roman" w:hAnsi="Times New Roman"/>
          <w:iCs/>
          <w:color w:val="000000" w:themeColor="text1"/>
          <w:sz w:val="16"/>
          <w:szCs w:val="16"/>
        </w:rPr>
        <w:t>Я.</w:t>
      </w:r>
      <w:r w:rsidRPr="008127F8">
        <w:rPr>
          <w:rFonts w:ascii="Times New Roman" w:hAnsi="Times New Roman"/>
          <w:color w:val="000000" w:themeColor="text1"/>
          <w:sz w:val="16"/>
          <w:szCs w:val="16"/>
        </w:rPr>
        <w:t xml:space="preserve"> Лаппо, (1986 г.-)- В.М. Чкунин, (1994 г.-)- В.Д. Шадрин.</w:t>
      </w:r>
    </w:p>
    <w:p w14:paraId="4220AE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научный сотрудник (2005 г.)-</w:t>
      </w:r>
      <w:r w:rsidRPr="008127F8">
        <w:rPr>
          <w:rFonts w:ascii="Times New Roman" w:hAnsi="Times New Roman"/>
          <w:iCs/>
          <w:color w:val="000000" w:themeColor="text1"/>
          <w:sz w:val="16"/>
          <w:szCs w:val="16"/>
        </w:rPr>
        <w:t xml:space="preserve"> Я.</w:t>
      </w:r>
      <w:r w:rsidRPr="008127F8">
        <w:rPr>
          <w:rFonts w:ascii="Times New Roman" w:hAnsi="Times New Roman"/>
          <w:color w:val="000000" w:themeColor="text1"/>
          <w:sz w:val="16"/>
          <w:szCs w:val="16"/>
        </w:rPr>
        <w:t xml:space="preserve"> Хетагуров, (2005 г.)- П. Мелик-Огандасанян.</w:t>
      </w:r>
    </w:p>
    <w:p w14:paraId="7AD376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групп: Л.М. Липкин.</w:t>
      </w:r>
    </w:p>
    <w:p w14:paraId="1D7740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РЛГСН:</w:t>
      </w:r>
      <w:r w:rsidRPr="008127F8">
        <w:rPr>
          <w:rFonts w:ascii="Times New Roman" w:hAnsi="Times New Roman"/>
          <w:color w:val="000000" w:themeColor="text1"/>
          <w:sz w:val="16"/>
          <w:szCs w:val="16"/>
        </w:rPr>
        <w:t xml:space="preserve"> для УРВВ: активная 9Б-1103, 9Б-1103М для Р-27, ПАРГС 9Б-1101К для Р-27Р, 9Б-1388, 9Б- 1348Э для Р-77, ПАРЛ ГСН для Р-40Р, РЛ ГСН дня Р-23Р, Р-24Р, РГС-23, РГС-24, РГС-27; для ЗУР: инерциально- полуактивная РГС 9Э50М1Э для 9М38М1Э (ЗРК «Ганг» и «Штиль»), для ЗМ9, для 9М38, для ЗРК «Куб», «Квадрат», «Урал»;</w:t>
      </w:r>
      <w:r w:rsidRPr="008127F8">
        <w:rPr>
          <w:rFonts w:ascii="Times New Roman" w:hAnsi="Times New Roman"/>
          <w:iCs/>
          <w:color w:val="000000" w:themeColor="text1"/>
          <w:sz w:val="16"/>
          <w:szCs w:val="16"/>
        </w:rPr>
        <w:t xml:space="preserve"> тепловые ГСН:</w:t>
      </w:r>
      <w:r w:rsidRPr="008127F8">
        <w:rPr>
          <w:rFonts w:ascii="Times New Roman" w:hAnsi="Times New Roman"/>
          <w:color w:val="000000" w:themeColor="text1"/>
          <w:sz w:val="16"/>
          <w:szCs w:val="16"/>
        </w:rPr>
        <w:t xml:space="preserve"> для Р-40Т, Р-23Т, Р-24Т; медицинское оборудование: электрокардиограф ЭК15ЦП-01, анализатор уровня билирубина в крови АБЧК-02, аппарат диагностики урологических заболеваний «Урофлоуметр-Агат» (11982).</w:t>
      </w:r>
    </w:p>
    <w:p w14:paraId="02E9F42F"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963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НКАП № 269сс в соответствии с решением ГКО № 1543сс от 5.04.1942 г. на площадке эвакуированного завода № 279 НКАП образован новый приборный завод № 149 НКАП (Завод № 149 НКАП, МАП, Раменский приборостроительный завод (РПЗ), Р-8956(6956), ПО, ОАО «РПЗ» / г. Раменское Московской обл., 1-я Сафоновская ул., 49 (1947 г.)/ /140100  г. Раменское Московской обл., ул. Михалевича, 39 тел. 501-41-11,35-453/) для ремонта и производства навигационно-пилотажных и гироскопических приборов. На площадку нового завода в 07.1942 г. перебазирована часть завода № 218 НКАП («Пирометр») и влита в его состав.</w:t>
      </w:r>
    </w:p>
    <w:p w14:paraId="6E762B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велось производство (кроме всего остального) вольтметров и амперметров. В 03.1944 г. работы по морским измерительным приборам переданы на завод № 531 НКЭП.</w:t>
      </w:r>
    </w:p>
    <w:p w14:paraId="466EAA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3919с от 13.08.1943 г. и приказом НКАП № 532с от 3.09.1943 г. в 10.1943 г. организован филиал завода на площадке эвакуированного завода № 119 (1-й Щемиловский пер., 16). В соответствии с распоряжением правительства № 17703рс от 1.09.1944 г. и приказом НКАП № 570с от 20.09.1944 г. филиал преобразован в самостоятельный завод № 295 НКАП.</w:t>
      </w:r>
    </w:p>
    <w:p w14:paraId="1E8B3A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339с от 15.08.1945 г. часта личного состава, материалов и оборудования расформированного завода № 279 НКАП переданы заводу № 149. В соответствии с пост. ГКО в 1945 г. на завод было поставлено 250 единиц металлообрабатывающего оборудования, аппаратура и приборы, вывезенные с приборного завода «Асканиа-Верке» в Берлине (Фриденау).</w:t>
      </w:r>
    </w:p>
    <w:p w14:paraId="5E619C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при заводе создано ОКБ.</w:t>
      </w:r>
    </w:p>
    <w:p w14:paraId="61B135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Начато освоение производства новых видов продукции, особенно в период 1948-56 г.: приборов для измерения эмиссии и вакуума ламп, потенциометрических дистанционных и гиромагнитных компасов, авиагоризонтов, выключателей коррекции, указателей положения закрылков, новых навигационных приборов, наземного оборудования для авиации.</w:t>
      </w:r>
    </w:p>
    <w:p w14:paraId="66641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27CE47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1950-60 г. проведена реконструкция завода. Освоено производство новой продукции: курсовых и пилотажно-навигационных систем, центральных гировертикалей, гироскопических индукционных компасов, автопилотов. Для РКТ производились телеметрические датчики, гироорбитант, комплексы командных приборов для систем управления.</w:t>
      </w:r>
    </w:p>
    <w:p w14:paraId="2FA449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1970-80 г. освоены изделия: указатели штурмана, системы траекторного управления, выключатели поперечной коррекции, навигационные системы.</w:t>
      </w:r>
    </w:p>
    <w:p w14:paraId="4C9914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освоен выпуск лазерных гироскопов, кремниевых акселерометров, высокоточных навигационных систем на их основе.</w:t>
      </w:r>
    </w:p>
    <w:p w14:paraId="27ACA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три филиала (2002 г.), в т.ч. (2002 г.)- Макаровский на ПО «Потенциал» в пос. Макаровский (Киевская обл.), Белозерский на ст. Фаустово (Московская обл., был 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w:t>
      </w:r>
    </w:p>
    <w:p w14:paraId="24C012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наименование «п/я Р-</w:t>
      </w:r>
      <w:proofErr w:type="gramStart"/>
      <w:r w:rsidRPr="008127F8">
        <w:rPr>
          <w:rFonts w:ascii="Times New Roman" w:hAnsi="Times New Roman"/>
          <w:color w:val="000000" w:themeColor="text1"/>
          <w:sz w:val="16"/>
          <w:szCs w:val="16"/>
        </w:rPr>
        <w:t>8956»(</w:t>
      </w:r>
      <w:proofErr w:type="gramEnd"/>
      <w:r w:rsidRPr="008127F8">
        <w:rPr>
          <w:rFonts w:ascii="Times New Roman" w:hAnsi="Times New Roman"/>
          <w:color w:val="000000" w:themeColor="text1"/>
          <w:sz w:val="16"/>
          <w:szCs w:val="16"/>
        </w:rPr>
        <w:t>6956) (1983 г.). В 1986 г. завод преобразован в ПО «РПЗ», а в 1992 г.- в АО «РПЗ». Завод в 1997 г. вошел в НПЦ «Технокомплекс», а затем- в концерн «Авионика». По решению правительства № 22-р от 9.01.2004 г. вошло в перечень стратегических предприятий.</w:t>
      </w:r>
    </w:p>
    <w:p w14:paraId="77A48A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производство инерциальных навигационных систем, ПНК, многофункциональных индикаторных приборов; гироскопов (в т.ч. лазерных); систем траекторного управления; датчиков давления и температуры; электродвигателей; блоков путевой автоматики для метро; режущего и мерительного инструмента; (2006): освоение производства мобильных гравиметров для ЮАР и Австралии.</w:t>
      </w:r>
    </w:p>
    <w:p w14:paraId="7E5901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г.)- 6150 чел., (1.04.2003 г.)- 3982 чел.</w:t>
      </w:r>
    </w:p>
    <w:p w14:paraId="37A82B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(10.1942-03.1944 г.-)- Т.В. Молодых, (1945-48 г.)- Б.И. Фридкин, (1948-51 г.)- А.И. Бронников, (1951- 52 г.)- Н.Б. Валаев, (1952-68 г.)- М.Л. Михалевич, (1968-72 г.)- И.А. Симагин, (1972-93 г.)- В.Н. Степнов. Гендиректор (1993-2006 г.-)- А.В. Чумаков.</w:t>
      </w:r>
    </w:p>
    <w:p w14:paraId="49AB3F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(-1968 г.)- И.А. Симагин, (2002 г.)- Е.В. Гавров.</w:t>
      </w:r>
      <w:r w:rsidRPr="008127F8">
        <w:rPr>
          <w:rFonts w:ascii="Times New Roman" w:hAnsi="Times New Roman"/>
          <w:color w:val="000000" w:themeColor="text1"/>
          <w:sz w:val="16"/>
          <w:szCs w:val="16"/>
          <w:vertAlign w:val="superscript"/>
        </w:rPr>
        <w:t>69</w:t>
      </w:r>
    </w:p>
    <w:p w14:paraId="49A768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производству (2002 г.)- В.Н. Хатилин; по экономике (2002 г.)- Н.А. Полшцук; по кадрам (2002 г.)- В.А. Шнитцер; по качеству (2002 г.)- В.И. Медовник. Коммерческий директор (-2002-06 г.-)- С.К. Сукнов.</w:t>
      </w:r>
    </w:p>
    <w:p w14:paraId="3660CA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внешних связей (2005 г.)- Э.А. Иринец.</w:t>
      </w:r>
    </w:p>
    <w:p w14:paraId="3A5674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гиромагнитный компас ЭГМК-3; автопилоты АГ1-15, АП-39, АП-25 для ракеты «Щука»; пилотажно-навигационная система «Путь-Б» (1959), «Привод-В», «Пеленг-Д» (1960-е); датчики: давления топлива ДЦМ, давления в КС ЖРД ДЦ-2; автономная инерциальная система «Анис-8» (1960-е); ИНС: И-42 (1960- е), И-11, И-21 (1970-е), ИНС-2000, ИНС-80, бесплатформенная БИНС-СП для Як-130, Су-35 (2006); малогабаритная навигационная система МИС (1970-е); навигационные комплексы А-826 (1970-е-2005-), 911-02, Н-202 (2005); гироскопы ГВК (1970-е-2005-) и системы на их базе Ц-050, Ц-060 (1970-е); курсовертикали 705-6, БКВ-2 (2005); система формирования курса «МК-Компас», курсовая система «Кайра» (2005); вычислительная система «Регата» (2006); показывающие приборы ПНП-72, ПКП-77, ИНП-РД (2005); выключатели коррекции ВК-53, ВК-90М (2005); датчики давления и температуры (2006); многофункциональный индикатор МФИ-10-5 (2005), радиомагнитный индикатор РМИ-3 (2005); лазерные гироскопы ГЛ-1, ГЛ-2, трехосный «Трилаг» (2005), лазерный чувствительный элемент ЛЧЭ (2006);</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видеомагнитофон «Сатурн-505Б» (1983) (11982).</w:t>
      </w:r>
    </w:p>
    <w:p w14:paraId="21C3940F"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3B6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на площадке эвакуированного завода № 279 НКАП (Завод № 279 НКАП, Завод «Панель» НКОП /г. Раменское Московской обл. Сафоновское ш., 49 (1939 г.);  г. Ижевск/) был образован новый приборный завод № 149 НКАП (11982).</w:t>
      </w:r>
    </w:p>
    <w:p w14:paraId="7A54D4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BE849"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решением ГКО был образован Государственный союзный завод №118 по разработке и производству серийных авиационных изделий и изделий автоматики (с 1957 г. 3-й Московский приборостроительный завод). С 1997 г. ОАО "Московский научно-производственный комплекс "Авионика". Деятельность предприятия охватывает разработку, изготовление, испытание в наземных и летных условиях, полунатурное и математическое моделирование в реальном масштабе времени, техническое обслуживание в эксплуатации авиационных изделий и изделий автоматики, а также разработку, производство и обслуживание наукоемких медицинских изделий (15095).</w:t>
      </w:r>
    </w:p>
    <w:p w14:paraId="17EB05C6"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2E493AD2"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организован приборный завод N 118, ныне МНПК "Авионика". Деятельность предприятия охватывает разработку, изготовление, испытание в наземных и летных условиях, полунатурное и математическое моделирование в реальном масштабе времени, техническое обслуживание в эксплуатации авиационных изделий и изделий автоматики, а также разработку, производство и обслуживание наукоемких медицинских изделий;</w:t>
      </w:r>
    </w:p>
    <w:p w14:paraId="4A62657A"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3BDBD5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г. приказом № 268с </w:t>
      </w:r>
      <w:proofErr w:type="gramStart"/>
      <w:r w:rsidRPr="008127F8">
        <w:rPr>
          <w:rFonts w:ascii="Times New Roman" w:hAnsi="Times New Roman"/>
          <w:color w:val="000000" w:themeColor="text1"/>
          <w:sz w:val="16"/>
          <w:szCs w:val="16"/>
        </w:rPr>
        <w:t>в</w:t>
      </w:r>
      <w:proofErr w:type="gramEnd"/>
      <w:r w:rsidRPr="008127F8">
        <w:rPr>
          <w:rFonts w:ascii="Times New Roman" w:hAnsi="Times New Roman"/>
          <w:color w:val="000000" w:themeColor="text1"/>
          <w:sz w:val="16"/>
          <w:szCs w:val="16"/>
        </w:rPr>
        <w:t xml:space="preserve"> В соответствии с пост. ГКО от 4.04.1942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w:t>
      </w:r>
      <w:r w:rsidRPr="008127F8">
        <w:rPr>
          <w:rFonts w:ascii="Times New Roman" w:hAnsi="Times New Roman"/>
          <w:color w:val="000000" w:themeColor="text1"/>
          <w:sz w:val="16"/>
          <w:szCs w:val="16"/>
        </w:rPr>
        <w:lastRenderedPageBreak/>
        <w:t>завод № 500 8ГУ НКАП.</w:t>
      </w:r>
    </w:p>
    <w:p w14:paraId="7B93F9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(1932-35 г.)- С.Е. Киселев, (1936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Войтов, (1937 г.)- А.С. Черняков, (1938-41 г.)- С.Н. Жилин, (1941-42 г.-)- В.Н. Дубов.</w:t>
      </w:r>
      <w:r w:rsidRPr="008127F8">
        <w:rPr>
          <w:rFonts w:ascii="Times New Roman" w:hAnsi="Times New Roman"/>
          <w:color w:val="000000" w:themeColor="text1"/>
          <w:sz w:val="16"/>
          <w:szCs w:val="16"/>
          <w:vertAlign w:val="superscript"/>
        </w:rPr>
        <w:t>49</w:t>
      </w:r>
    </w:p>
    <w:p w14:paraId="76E39B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(конец 1930-х)- А. Г. Таканаев.</w:t>
      </w:r>
    </w:p>
    <w:p w14:paraId="14E079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Ф.Я. Тулупов (М-30) (11982).</w:t>
      </w:r>
    </w:p>
    <w:p w14:paraId="029F57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3D5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 268с в соответствии с пост. ГКО от 4.04.1942 г. на площадке бывшего завода № 82, которая получила наименование ГС завод № 453 НКАП при 6ГУ был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6661C6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4FF6D3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C0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 приказом № 269сс в соответствии с решением ГКО № 1543сс от 5.04.1942 г. на базе мастерских образован завод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  г. Москва ул. Россолимо, 17 тел. 246-67-20, -93-07/) для ремонта и производства аэронавигационных и гироскопических приборов. После войны начато производство парашютных автоматов.</w:t>
      </w:r>
    </w:p>
    <w:p w14:paraId="0D3EB1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 Распоряжением МосгорСНХ № 00260 от 23.07.1963 г. завод № 133 переименован во 2-й Московский приборостроительный завод.</w:t>
      </w:r>
    </w:p>
    <w:p w14:paraId="391E2F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программе создания ОК «Буран».</w:t>
      </w:r>
    </w:p>
    <w:p w14:paraId="560108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страхующие приборы для парашютистов и летчиков; навигационные приборы и комплексы, датчики давления, упругие чувствительные элементы; медтехника.</w:t>
      </w:r>
    </w:p>
    <w:p w14:paraId="00A768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указом президента РФ № 721 от 1.07.1992 г. ГП «2-й МПЗ» 5.11.1992 г. преобразовано в АО. По решению правительства № 22-р от 9.01.2004 г. вошло в перечень стратегических предприятий.</w:t>
      </w:r>
    </w:p>
    <w:p w14:paraId="316E63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(на 1.04.2004 г.)- 559 чел.</w:t>
      </w:r>
    </w:p>
    <w:p w14:paraId="72FDBC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(07.1942 г.)- Качкачян, (1943-47 г.-)- М.И. Комиссаров. Гендиректор (2000 г.; 2003-04 г.-)- А.И. Цуцков, (2003 г.)- В.А. Трудов.</w:t>
      </w:r>
    </w:p>
    <w:p w14:paraId="0B304B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маркетинга (2002 г.)- П.О. Орлеанский.</w:t>
      </w:r>
      <w:r w:rsidRPr="008127F8">
        <w:rPr>
          <w:rFonts w:ascii="Times New Roman" w:hAnsi="Times New Roman"/>
          <w:color w:val="000000" w:themeColor="text1"/>
          <w:sz w:val="16"/>
          <w:szCs w:val="16"/>
          <w:vertAlign w:val="superscript"/>
        </w:rPr>
        <w:t>69</w:t>
      </w:r>
    </w:p>
    <w:p w14:paraId="56DFDF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аэронавигационные приборы (в т.ч. автоматы курса); анероид АРС-1 (1945-); парашютные автоматы АД, ПАС (после ВОВ), КПА-4, КАП, П-141; манометры керосина, мановакууметры, вариометры, высотомеры; (2004 г.): датчики давления МДДА, МДД-ТЕ, перепада давления ЭДПД, высоты, автомата рулей, высотной коррекции, скоростного напора ДНПСТ, скорости; измерительный комплекс давления ИКД-27ДА, ИКД-6Т, ИКДР; реле давления РДИА; сигнализатор перепада давления СПД; упругие чувствительные элементы (АЧЭ-12, -18, -19, -29, -177, -178, -202, -261, МЧЭ-65, -262, -648, -649, ВМ-3, АР-8, ВС-4, ВП, М-2500), страхующие приборы для парашютистов и летчиков (ППК-У, -1М, КПА-4М, АЧ-1,2, АД-ЗУ, ВП, ВП-3), затвор баровременной ЗБВ для К-36ДМ и К-93 (2004); метеорологические, геодезические, геофизические приборы (11982).</w:t>
      </w:r>
    </w:p>
    <w:p w14:paraId="657E0E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191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г. приказом № 269сс в соответствии с решением ГКО № 1543сс от 5.04.1942 г. образован новый завод № 382 НКАП </w:t>
      </w:r>
      <w:proofErr w:type="gramStart"/>
      <w:r w:rsidRPr="008127F8">
        <w:rPr>
          <w:rFonts w:ascii="Times New Roman" w:hAnsi="Times New Roman"/>
          <w:color w:val="000000" w:themeColor="text1"/>
          <w:sz w:val="16"/>
          <w:szCs w:val="16"/>
        </w:rPr>
        <w:t>для,возобновления</w:t>
      </w:r>
      <w:proofErr w:type="gramEnd"/>
      <w:r w:rsidRPr="008127F8">
        <w:rPr>
          <w:rFonts w:ascii="Times New Roman" w:hAnsi="Times New Roman"/>
          <w:color w:val="000000" w:themeColor="text1"/>
          <w:sz w:val="16"/>
          <w:szCs w:val="16"/>
        </w:rPr>
        <w:t xml:space="preserve"> производства авиационных стекол и термометров.</w:t>
      </w:r>
    </w:p>
    <w:p w14:paraId="2D0E28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605сс от 23.10.1944 г. передан из 5ГУ в 17ГУ НКАП с 1.10.1944 г. Начался выпуск электровакуумных приборов, в т.ч. для РПБ «Кобальт», магнетронов. Далее опять в 5ГУ, с 1.01.1950 г. передан из 5ГУ в 17ГУ. С 1.10.1950 г. в соответствии с пост. СМ № 4244-1907сс от 11.10.1950 г. и приказом № 836сс от 19.10.1950 г. завод № 382 передан в МПСС.</w:t>
      </w:r>
    </w:p>
    <w:p w14:paraId="134159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1947 г. начат выпуск СВЧ-приборов. В 1972 г. освоен выпуск бытовых микроволновых печей.</w:t>
      </w:r>
    </w:p>
    <w:p w14:paraId="4D1F19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«Измеритель» в 1960 г. - в ведении ГКЭТ. В 1972 г. переименован в завод «Плутон» МЭП, имел наименование «п/я В-2239», ПО «Плутон» имело наименование «п/я Ю-9395».</w:t>
      </w:r>
    </w:p>
    <w:p w14:paraId="3D1A03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1992 г. ГП «Плутон» преобразовано в АООТ (зарегистрировано 30.04.1993 г.), а затем - в ОАО «Плутон».</w:t>
      </w:r>
    </w:p>
    <w:p w14:paraId="2A041F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B4337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электровакуумные приборы СВЧ для аппаратуры связи и управления.</w:t>
      </w:r>
    </w:p>
    <w:p w14:paraId="5CB17A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(-08.1942-10.1943 г.-)- И.А. Живописцев. Гендиректор (1990-е)-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Лобачев. Внешний управляющий (2000 г.)- В.П. Минаев.</w:t>
      </w:r>
    </w:p>
    <w:p w14:paraId="1FA72C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(1946 г.)- В.А. Абрамович.</w:t>
      </w:r>
    </w:p>
    <w:p w14:paraId="6B6F05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Научный руководитель (1962-95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Семенов.</w:t>
      </w:r>
    </w:p>
    <w:p w14:paraId="1D3F36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(1961-62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Семенов.</w:t>
      </w:r>
    </w:p>
    <w:p w14:paraId="1D1919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лабораторий: (1960-61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Семенов.</w:t>
      </w:r>
    </w:p>
    <w:p w14:paraId="66EF16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термометры (1942-46-), оптические приборы (1942-); запал ГИА-2 для зажигательных бутылок (ВОВ).</w:t>
      </w:r>
    </w:p>
    <w:p w14:paraId="7D3CF1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ОКБ-382 НКАП, МАП, МПСС /г. Москва/</w:t>
      </w:r>
    </w:p>
    <w:p w14:paraId="2607A1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КБ-382 вновь образовалось в системе 17ГУ при заводе № 382 МАП по приказу № 247с от 26.04.1946 г. Работы по созданию электровакуумных приборов (магнетроны, элементная база).</w:t>
      </w:r>
    </w:p>
    <w:p w14:paraId="0DB9FB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1949 г. передано в 5ГУ МАП, с 1.01.1950 г. передано обратно из 5ГУ в 17ГУ МАП. В соответствии с пост. СМ № 4244-1907сс от 11.10.1950 г. и приказом МАП № 836сс от 19.10.1950 г. ОКБ с 1.10.1950 г. передано в систему МПСС. Было в 1960 г.</w:t>
      </w:r>
    </w:p>
    <w:p w14:paraId="3302F0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(04.1946 г.-)- А.И. Симаков.</w:t>
      </w:r>
    </w:p>
    <w:p w14:paraId="12E318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А.И. Симаков (11982).</w:t>
      </w:r>
    </w:p>
    <w:p w14:paraId="2D2499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BBAFA" w14:textId="77777777" w:rsidR="00A23368"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2E10C3E"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F9771"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в подмосковном городе Коломна создано КБ гладкоствольной артиллерии (Б.И.Шавырин), ныне КБ машиностроения, для разработки минометного вооружения. С 1956 г. КБ специализируется на создании управляемого ракетного оружия. Здесь разработаны ПТУРС «Шмель», «Малютка», «Штурм», «Атака», «Хризантема», ЗРК «Игла», «Стрела», ОТРК «Точка», «Ока», «Искандер» (15095).</w:t>
      </w:r>
    </w:p>
    <w:p w14:paraId="0B8199B4"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05F24518"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10 апреля 1942 г.</w:t>
      </w:r>
    </w:p>
    <w:p w14:paraId="3A514DC3"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 xml:space="preserve">РГАЭ Фонд 8752 Опись 1 Дело 9 лист 18 – 19 </w:t>
      </w:r>
    </w:p>
    <w:p w14:paraId="5C20F37A"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77296DA7"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0B6093CF"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131-М</w:t>
      </w:r>
    </w:p>
    <w:p w14:paraId="131334A8"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62D7DD4E"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"10" апреля 1942 г.</w:t>
      </w:r>
    </w:p>
    <w:p w14:paraId="0E51F618"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 целью экономии ферромарганца для траков Т-34 и Т-60 и увеличения выпуска стали в электропечах ПРИКАЗЫВАЮ: </w:t>
      </w:r>
    </w:p>
    <w:p w14:paraId="795ABAC0"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Директору НИИ-48 тов. ЗАВЬЯЛОВУ сформировать из лучших специалистов бригады работников Института для решения вопроса создания новой марки стали для траков и командировать одну бригаду на завод № 183 и другую на завод № 37 для руководства и работы на заводах по данному заданию. </w:t>
      </w:r>
    </w:p>
    <w:p w14:paraId="28BB5542"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Директору НИИ-48 тов. ЗАВЬЯЛОВУ совместно с Главным инженером завода № 183 тов. МАКСАРЕВЫМ разработать план опытных работ по траку Т-34 и с Главным инженером завода № 37 тов. МАРТИРОСОВЫМ по траку Т-60, включив в него следующие основные варианты и требования: </w:t>
      </w:r>
    </w:p>
    <w:p w14:paraId="35C2820B"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I-й вариант: </w:t>
      </w:r>
    </w:p>
    <w:p w14:paraId="0203BB43"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Литой трак из новой марки стали с минимальным содержанием легирующих элементов, обеспечивающей требования к тракам (по износостойкости, прочности и пределу упругости) и приближающейся к стали Гатфильда. </w:t>
      </w:r>
    </w:p>
    <w:p w14:paraId="6433B5F4"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II-й вариант: </w:t>
      </w:r>
    </w:p>
    <w:p w14:paraId="2ED84FD3"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Штампованные траки: </w:t>
      </w:r>
    </w:p>
    <w:p w14:paraId="3B7B17A3"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а) для Т-34 из 3-х составных звеньев (середина с клыком литая, крайние звенья с беговыми дорожками штампованные); </w:t>
      </w:r>
    </w:p>
    <w:p w14:paraId="7C4694B7"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для т-60 – цельноштампованный трак. </w:t>
      </w:r>
    </w:p>
    <w:p w14:paraId="3AC41BC7"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Траки из новой марки металла должны быть взаимозаменяемы с существующими траками заводов № 183 и 37. </w:t>
      </w:r>
    </w:p>
    <w:p w14:paraId="106A7F55"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К работе приступить немедленно. </w:t>
      </w:r>
    </w:p>
    <w:p w14:paraId="60A391C8"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Срок выезда бригад на заводы – 14/IV-42 г. </w:t>
      </w:r>
    </w:p>
    <w:p w14:paraId="7E1C7E71"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Срок разработки плана работ – 16/IV- с/г. </w:t>
      </w:r>
    </w:p>
    <w:p w14:paraId="262BBE9F"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Срок на 1-ю очередь работ (включая испытания) – 1/VI-с/г. </w:t>
      </w:r>
    </w:p>
    <w:p w14:paraId="773CA01E"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Главным инженерам, Главным металлургам и Главным конструкторам заводов №№ 183 и 37 обеспечить создание необходимых условий для выполнения настоящего задания путем личного участия и помощи в работе бригад в организационно-технических вопросах. </w:t>
      </w:r>
    </w:p>
    <w:p w14:paraId="6BD78E3D"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п/п ЗАМЕСТИТЕЛЬ НАРОДНОГО КОМИССАРА ТАНКОВОЙ ПРОМЫШЛЕННОСТИ СОЮЗА ССР</w:t>
      </w:r>
    </w:p>
    <w:p w14:paraId="4778B75D" w14:textId="77777777" w:rsidR="00E20FF9" w:rsidRPr="008127F8" w:rsidRDefault="00E20FF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(ПОПОВ) (18929).</w:t>
      </w:r>
    </w:p>
    <w:p w14:paraId="7D1F58B4" w14:textId="77777777" w:rsidR="00E20FF9" w:rsidRPr="008127F8" w:rsidRDefault="00E20FF9" w:rsidP="001E0A84">
      <w:pPr>
        <w:spacing w:after="0" w:line="240" w:lineRule="auto"/>
        <w:jc w:val="both"/>
        <w:rPr>
          <w:rFonts w:ascii="Times New Roman" w:hAnsi="Times New Roman"/>
          <w:color w:val="000000" w:themeColor="text1"/>
          <w:sz w:val="16"/>
          <w:szCs w:val="16"/>
        </w:rPr>
      </w:pPr>
    </w:p>
    <w:p w14:paraId="369ADD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вышло Постановление ГКО № 1574 О передаче совхоза "Маяк" заводу N102 HКХП, а совхоза им. Чапаева - HКАП. РГАНИР, Фонд ГКО, д. 29, лл. 1 (11012).</w:t>
      </w:r>
    </w:p>
    <w:p w14:paraId="6E2269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048CF" w14:textId="77777777" w:rsidR="00A23368"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C660026" w14:textId="77777777" w:rsidR="00A23368" w:rsidRPr="008127F8" w:rsidRDefault="00A23368"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206834"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утреннее сообщение Совинформбюро:</w:t>
      </w:r>
    </w:p>
    <w:p w14:paraId="364A67C9"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10 апреля на фронте каких-либо существенных изменений не произошло.</w:t>
      </w:r>
    </w:p>
    <w:p w14:paraId="5F7C5C24"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дней тому назад на одном из участков Северо-Западного фронта немцы пытались контратаковать наши части. Немецкое командование бросило в бой резервы, недавно прибывшие из глубокого тыла. В результате упорной борьбы контрнаступление немцев было сорвано. Только на небольшом участке фронта противник потерял 4.470 солдат и офицеров. Понеся огромные потери в живой силе и технике, гитлеровцы вынуждены были перейти к обороне.</w:t>
      </w:r>
    </w:p>
    <w:p w14:paraId="40E7ADEA"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заняли сильно укреплённый немцами населённый пункт. На улицах села гитлеровцы оставили 850 солдат и офицеров убитыми и ранеными. Захвачены трофеи и пленные.</w:t>
      </w:r>
    </w:p>
    <w:p w14:paraId="1307C5DF"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Пытаясь вернуть потерянные накануне позиции, противник на одном из участков Южного фронта перешёл в контратаку. Советские бойцы встретили гитлеровцев артиллерийским и ружейно-пулемётным огнём. Враг отступил, оставив на поле боя сотни трупов. На другом участке одна наша часть уничтожила 3 танка и свыше 300 немецких солдат и офицеров.</w:t>
      </w:r>
    </w:p>
    <w:p w14:paraId="2C3ECA03"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Эскадрилья советских самолётов под командованием капитана Торопуева совершила успешный ночной налёт на вражеский аэродром. Лётчики уничтожили 10 немецких самолётов и 11 самолётам нанесли повреждения.</w:t>
      </w:r>
    </w:p>
    <w:p w14:paraId="7FD8B24C"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во главе с тов. В., оперирующий в тылу немецких войск на Западном фронте, минировал железнодорожный путь и пустил под откос немецкий воинский эшелон. Убито и ранено свыше 150 гитлеровцев. В соседнем районе партизаны взорвали большой железнодорожный мост и организовали крушение немецкого поезда с боеприпасами.</w:t>
      </w:r>
    </w:p>
    <w:p w14:paraId="373D0C50"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10 роты 303 полка 162 немецкой пехотной дивизии Вальтер Платте рассказал: «На мне надеты валенки, снятые с русского пленного, а телогрейка, снятая с убитого русского солдата. В начале зимы нам объявили приказ Гитлера о том, что каждый солдат сам обязан обеспечить себя тёплым обмундированием и обувью. Солдат, который не экипирует себя и обморозит ноги или руки, должен рассматриваться как членовредитель и подлежит преданию военному суду. Другой приказ Гитлера прямо предписывал отбирать у пленных всё тёплое обмундирование. В полку очень много больных цингой и другими болезнями. Того, кто обращается в санитарный пункт, считают симулянтом. Ему говорят, что он не хочет воевать и защищать честь Германии».</w:t>
      </w:r>
    </w:p>
    <w:p w14:paraId="3C0E38E5"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солдата Герда Адлера найдено письмо от родителей, в котором они пишут: «Мы очень огорчены, что ты попал на Восточный фронт. Ты ведь ещё такой молодой... В случае нападения противника прячься в канаву или куда-нибудь ещё...Постарайся устроиться посыльным в штаб. Избегай передовых позиций» (15095).</w:t>
      </w:r>
    </w:p>
    <w:p w14:paraId="08A98F3F"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6BE9267F"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в 1942 году вечернее сообщение Совинформбюро:</w:t>
      </w:r>
    </w:p>
    <w:p w14:paraId="6A76C255"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апреля на фронте чего-либо существенного не произошло.</w:t>
      </w:r>
    </w:p>
    <w:p w14:paraId="690A1BCE"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8 апреля уничтожен» не 25, как об этом сообщалась ранее, а 30 немецких самолётов.</w:t>
      </w:r>
    </w:p>
    <w:p w14:paraId="43D9A160"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апреля сбито в воздушных боях 9 немецких самолётов. Наши потери — 5 самолётов.</w:t>
      </w:r>
    </w:p>
    <w:p w14:paraId="0F10BD2A"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апреля частями нашей авиации уничтожено или повреждено 4 немецких танка, 40 автомашин с пехотой и грузами, 25 полевых и зенитных орудий, 12 миномётов, 18 зенитно-пулемётных точек, подавлен огонь 5 артиллерийских батарей, рассеяно и частью уничтожено до 6 рот пехоты противника.</w:t>
      </w:r>
    </w:p>
    <w:p w14:paraId="1035AD35"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Брянского фронта, заняли два населённых пункта. На улицах сёл немцы оставили свыше 100 трупов, 3 орудия и 17 ящиков с минами.</w:t>
      </w:r>
    </w:p>
    <w:p w14:paraId="76427F86"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бойцы за один день захватили 30 немецких блиндажей, 1 орудие и 8 пулемётов. Немцы понесли большие потери в живой силе. На другом участке фронта, стремясь вернуть накануне занятый нашей частью населённый пункт, гитлеровцы при поддержке танков трижды пытались контратаковать наши позиции. Огнём артиллерии и пулемётов противник был отброшен, оставив на поле боя несколько сот трупов.</w:t>
      </w:r>
    </w:p>
    <w:p w14:paraId="70233D80"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Рота, где командиром младший лейтенант Черепанов, выбила гитлеровцев из 30 ДЗОТов и уничтожила 67 немецких солдат и 3 офицеров. Бойцы роты захватили орудие, несколько десятков винтовок, 10.000 патронов и радиостанцию.</w:t>
      </w:r>
    </w:p>
    <w:p w14:paraId="12FB413A"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Смело громят гитлеровских захватчиков партизанские отряды, действующие в Брянских лесах. За несколько месяцев бойцы партизанских отрядов уничтожили 4.273 гитлеровских солдата и 257 офицеров. 163 немецких солдата и 23 офицера захваченыв плен. Гранатами и бутылками с горючей жидкостью партизаны уничтожили на аэродромах 19 немецких самолётов, сожгли 38 танков, подбили 19 бронемашин, взорвали бронепоезд, 365 автомашин, 8 складов с боеприпасами и различным снаряжением, 13 цистерн с горючим, 88 мостов, пустили под откос 19 воинских эшелонов. Захвачены трофеи: 16 автомашин, 706 винтовок, 57 пулемётов, 43 автомата, 9 орудий, 8 миномётов и 5 радиостанций.</w:t>
      </w:r>
    </w:p>
    <w:p w14:paraId="4C020CEF"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дневника, найденного у убитого на Южном фронте немецкого обер-ефрейтора фон Шторена:</w:t>
      </w:r>
    </w:p>
    <w:p w14:paraId="05B715E1"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января. Краков. Занятия с пулемётом. Маршевая группа за Лембергом подверглась нападению партизан.</w:t>
      </w:r>
    </w:p>
    <w:p w14:paraId="5BCEFF2D"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января. Отъезд из Тарнополя. По дороге очень много немецких могил.</w:t>
      </w:r>
    </w:p>
    <w:p w14:paraId="2F204228"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января. Прибыли в Умань. В городе безлюдно. Уже 3 дня без питания. Проклинаем всё.</w:t>
      </w:r>
    </w:p>
    <w:p w14:paraId="0396C616"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января. В Кировограде. На улицах никого не видать. Разместились в пустом заводе.</w:t>
      </w:r>
    </w:p>
    <w:p w14:paraId="4A39ED65"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января. Днепропетровск. Вся колонна опять перепуталась... Многие заболели и слегли. В городе кладбище павших солдат 60 дивизии. Неисчислимое количество могил. На днях здесь судили группу солдат за бегство с поля боя.</w:t>
      </w:r>
    </w:p>
    <w:p w14:paraId="2B550666"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февраля. Прибыли, наконец, в дивизию. Участники последних боёв рассказали, что наша дивизия понесла ужасные потери.</w:t>
      </w:r>
    </w:p>
    <w:p w14:paraId="77E32E33"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Днём показываться нельзя. На высоте лежат русские снайперы. В полдень к нам приходит полковник Драбе, обросший и постаревший. Он говорит: «Мы окружены, пункт необходимо удержать любой ценой».</w:t>
      </w:r>
    </w:p>
    <w:p w14:paraId="61704EBD"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марта. В 2 часа 30 минут тревога. Русская артиллерия угощает нас... Кажется, сейчас остановится земной шар: такое убийственное переживание... В батальоне очень большие потери. Полка уже фактически нет. Многих, многих знакомых уже не стало».</w:t>
      </w:r>
    </w:p>
    <w:p w14:paraId="2C899E60"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Голод, перебои с доставкой сырья и большой недостаток квалифицированных рабочих на предприятиях Германии приводят к непрерывному сокращению выпуска продукции. На металлургическом заводе близ Нюрнберга в марте производительность труда по сравнению с февралём упала на 16 процентов. Резко выросло число несчастных случаев. Так, в феврале было 12 случаев со смертельным исходом. Более 50 рабочих за это же время получили тяжёлые увечья. В связи с многочисленными актами саботажа в цехах установлены посты штурмовиков.</w:t>
      </w:r>
    </w:p>
    <w:p w14:paraId="368D8A10" w14:textId="77777777" w:rsidR="00A23368" w:rsidRPr="008127F8" w:rsidRDefault="00A2336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Немцы уже несколько раз назначали сроки для сдачи оружия, находящегося у населения Франции. Французские патриоты не только не выполняют этих приказов, но и усиливают борьбу с оккупантами. В Эпиле (департамент Сены) недавно произошло крушение поезда с военными материалами. В Бресте взорван дом, где помещались немецкие солдаты. В Нанте подожжён на улице грузовик с военным грузом и убит один немецкий офицер. Рабочие главных мастерских в Льевене объявили забастовку и заставили немцев освободить 80 арестованных рабочих. Крестьяне многих департаментов активно выступают против реквизиций продовольствия. Гитлеровцы, используя полицию и предателей, производят многочисленные аресты. Однако это приводит к прямо противоположным результатам. На борьбу с немецкими поработителями поднимаются всё новые и новые отряды французских патриотов.» (15095).</w:t>
      </w:r>
    </w:p>
    <w:p w14:paraId="6EF662B3" w14:textId="77777777" w:rsidR="00A23368" w:rsidRPr="008127F8" w:rsidRDefault="00A23368" w:rsidP="001E0A84">
      <w:pPr>
        <w:spacing w:after="0" w:line="240" w:lineRule="auto"/>
        <w:jc w:val="both"/>
        <w:rPr>
          <w:rFonts w:ascii="Times New Roman" w:hAnsi="Times New Roman"/>
          <w:color w:val="000000" w:themeColor="text1"/>
          <w:sz w:val="16"/>
          <w:szCs w:val="16"/>
        </w:rPr>
      </w:pPr>
    </w:p>
    <w:p w14:paraId="7D355387" w14:textId="77777777" w:rsidR="00E20FF9" w:rsidRPr="008127F8" w:rsidRDefault="00E20FF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1D24E78" w14:textId="77777777" w:rsidR="00E20FF9" w:rsidRPr="008127F8" w:rsidRDefault="00E20FF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8FEC6" w14:textId="77777777" w:rsidR="00E20FF9" w:rsidRPr="008127F8" w:rsidRDefault="00E20FF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г. был подписан Указ "О местных налогах и сборах". На основании этого Указа реализовывалось пять основных налогов и сборов: налог со строений, земельная рента (сбор за пользование участками земли), сбор с владельцев транспортных средств (в том числе велосипедов), сбор с владельцев скота и разовый сбор </w:t>
      </w:r>
      <w:r w:rsidRPr="008127F8">
        <w:rPr>
          <w:rFonts w:ascii="Times New Roman" w:hAnsi="Times New Roman"/>
          <w:color w:val="000000" w:themeColor="text1"/>
          <w:sz w:val="16"/>
          <w:szCs w:val="16"/>
        </w:rPr>
        <w:lastRenderedPageBreak/>
        <w:t>на колхозных рынках. Указ о местных налогах и сборах расширил круг плательщиков, повысил их ставки. Это обеспечило повышение эффективности местных налогов и сборов. В 1944 г. поступления по ним в три раза превысили поступления за 1940 г. и составили около 20% всех доходов местных бюджетов (18390).</w:t>
      </w:r>
    </w:p>
    <w:p w14:paraId="65F2E013" w14:textId="77777777" w:rsidR="00E20FF9" w:rsidRPr="008127F8" w:rsidRDefault="00E20FF9" w:rsidP="001E0A84">
      <w:pPr>
        <w:spacing w:after="0" w:line="240" w:lineRule="auto"/>
        <w:jc w:val="both"/>
        <w:rPr>
          <w:rFonts w:ascii="Times New Roman" w:hAnsi="Times New Roman"/>
          <w:color w:val="000000" w:themeColor="text1"/>
          <w:sz w:val="16"/>
          <w:szCs w:val="16"/>
        </w:rPr>
      </w:pPr>
    </w:p>
    <w:p w14:paraId="318B2A4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2E16C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FC6B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года было получено:</w:t>
      </w:r>
    </w:p>
    <w:p w14:paraId="5ABD68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 *</w:t>
      </w:r>
    </w:p>
    <w:p w14:paraId="2F7137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ЛИЧНО И СЕКРЕТНО</w:t>
      </w:r>
    </w:p>
    <w:p w14:paraId="2571E7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Отвечаю на Ваше послание от 29 марта.</w:t>
      </w:r>
    </w:p>
    <w:p w14:paraId="1DCBED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начале мая я сделаю заявление, в котором нацисты будут предупреждены о применении нами ядовитых газов в ответ на аналогичные атаки на Вашу страну. Предупреждение, конечно, будет в одинаковой степени касаться и Финляндии, и она также будет упомянута, хотя я не вижу, как мы до нее доберемся.</w:t>
      </w:r>
    </w:p>
    <w:p w14:paraId="335B72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Пожалуйста, направьте Вашего специалиста по вопросам противохимической обороны и контрнападения для точного объяснения того, какие материалы Советскому Правительству необходимо получить из Англии. Мы тогда сделаем все от нас зависящее, чтобы удовлетворить его пожелания.</w:t>
      </w:r>
    </w:p>
    <w:p w14:paraId="5651B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Конечно, если необходимо, то мы до получения сообщения от этого специалиста сможем предоставить Вам первым ближайшим пароходом по крайней мере тысячу тонн иприта и тысячу тонн хлора. Опрыскивание ипритом представляет большую опасность для войск в открытом поле, чем для жителей в городах (7430).</w:t>
      </w:r>
    </w:p>
    <w:p w14:paraId="186A18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380B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DAD00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62F57"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10–11 апреля (ночь) 1942 Королевские военно-воздушные силы вводят новую бомбу "Super Cookie" массой 8000 фунтов (3629 кг) - самую большую бомбу на тот день и вторую из своих "блокбастерных" бомб, примененных в ходе рейда на Эссен, Германия. Слишком большая </w:t>
      </w:r>
      <w:proofErr w:type="gramStart"/>
      <w:r w:rsidRPr="008127F8">
        <w:rPr>
          <w:rFonts w:ascii="Times New Roman" w:hAnsi="Times New Roman"/>
          <w:color w:val="000000" w:themeColor="text1"/>
          <w:sz w:val="16"/>
          <w:szCs w:val="16"/>
        </w:rPr>
        <w:t>для бомбоотсек</w:t>
      </w:r>
      <w:proofErr w:type="gramEnd"/>
      <w:r w:rsidRPr="008127F8">
        <w:rPr>
          <w:rFonts w:ascii="Times New Roman" w:hAnsi="Times New Roman"/>
          <w:color w:val="000000" w:themeColor="text1"/>
          <w:sz w:val="16"/>
          <w:szCs w:val="16"/>
        </w:rPr>
        <w:t xml:space="preserve"> Шорт Стирлинга и Vickers Wellington, оно может быть сброшена с Хэндли Page Halifax и Avro Lancaster (20793).</w:t>
      </w:r>
    </w:p>
    <w:p w14:paraId="7EF2DC5E" w14:textId="77777777" w:rsidR="00B503F2" w:rsidRPr="008127F8" w:rsidRDefault="00B503F2" w:rsidP="001E0A84">
      <w:pPr>
        <w:spacing w:after="0" w:line="240" w:lineRule="auto"/>
        <w:jc w:val="both"/>
        <w:rPr>
          <w:rFonts w:ascii="Times New Roman" w:hAnsi="Times New Roman"/>
          <w:color w:val="000000" w:themeColor="text1"/>
          <w:sz w:val="16"/>
          <w:szCs w:val="16"/>
        </w:rPr>
      </w:pPr>
    </w:p>
    <w:p w14:paraId="45FCF217"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ночи на 10 апреля 1942 года ни одного «стирлинга» немцы сбить не смогли. В ту ночь 7-я АЭ шла на Берлин, но в районе Лингена ее перехватили истребители, и тяжелый перехватчик Bf 110 открыл счет. «Стирлинги» участвовали в тысячесамолетных рейдах на Киль и на Эссен (22823).</w:t>
      </w:r>
    </w:p>
    <w:p w14:paraId="13E04495" w14:textId="77777777" w:rsidR="00B503F2" w:rsidRPr="008127F8" w:rsidRDefault="00B503F2" w:rsidP="001E0A84">
      <w:pPr>
        <w:spacing w:after="0" w:line="240" w:lineRule="auto"/>
        <w:jc w:val="both"/>
        <w:rPr>
          <w:rFonts w:ascii="Times New Roman" w:hAnsi="Times New Roman"/>
          <w:color w:val="000000" w:themeColor="text1"/>
          <w:sz w:val="16"/>
          <w:szCs w:val="16"/>
        </w:rPr>
      </w:pPr>
    </w:p>
    <w:p w14:paraId="20F67F0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апреля 1942 епископ Осло Бергграв арестован нацистами и отправлен в концлагерь (4962).</w:t>
      </w:r>
    </w:p>
    <w:p w14:paraId="2B73641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78182" w14:textId="77777777" w:rsidR="00B503F2" w:rsidRPr="008127F8" w:rsidRDefault="00B503F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апреля 1942 японские авианосные силы покидают Индийский океан, уничтожив авианосец, два тяжелых крейсера, два </w:t>
      </w:r>
      <w:proofErr w:type="gramStart"/>
      <w:r w:rsidRPr="008127F8">
        <w:rPr>
          <w:rFonts w:ascii="Times New Roman" w:hAnsi="Times New Roman"/>
          <w:color w:val="000000" w:themeColor="text1"/>
          <w:sz w:val="16"/>
          <w:szCs w:val="16"/>
        </w:rPr>
        <w:t>эсминца ,</w:t>
      </w:r>
      <w:proofErr w:type="gramEnd"/>
      <w:r w:rsidRPr="008127F8">
        <w:rPr>
          <w:rFonts w:ascii="Times New Roman" w:hAnsi="Times New Roman"/>
          <w:color w:val="000000" w:themeColor="text1"/>
          <w:sz w:val="16"/>
          <w:szCs w:val="16"/>
        </w:rPr>
        <w:t xml:space="preserve"> три меньших боевых корабля, 23 торговых корабля и более 40 самолетов. Ни один японский авианосец больше не будет работать в Индийском океане (20793).</w:t>
      </w:r>
    </w:p>
    <w:p w14:paraId="1810325E" w14:textId="77777777" w:rsidR="00B503F2" w:rsidRPr="008127F8" w:rsidRDefault="00B503F2" w:rsidP="001E0A84">
      <w:pPr>
        <w:spacing w:after="0" w:line="240" w:lineRule="auto"/>
        <w:jc w:val="both"/>
        <w:rPr>
          <w:rFonts w:ascii="Times New Roman" w:hAnsi="Times New Roman"/>
          <w:color w:val="000000" w:themeColor="text1"/>
          <w:sz w:val="16"/>
          <w:szCs w:val="16"/>
        </w:rPr>
      </w:pPr>
    </w:p>
    <w:p w14:paraId="04D3A39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636CA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F0DB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года П. Дементьев писал письмо N Н-25/1383 Маленкову.</w:t>
      </w:r>
    </w:p>
    <w:p w14:paraId="391685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построено 70 самолетов Ер-2, принято дивизией дальнего действия - 68 самолетов, из которых 60 самолетов приступило к боевой работе и 8 самолетов разбиты при формировании.</w:t>
      </w:r>
    </w:p>
    <w:p w14:paraId="301411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10.IV-42 года:</w:t>
      </w:r>
    </w:p>
    <w:p w14:paraId="0CE1BE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 самолет уничтожен в боевых операциях;</w:t>
      </w:r>
    </w:p>
    <w:p w14:paraId="4B4614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самолетов находятся в строю (у Голованова);</w:t>
      </w:r>
    </w:p>
    <w:p w14:paraId="5A7D25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самолетов находятся в ремонте (у Ермолаева);</w:t>
      </w:r>
    </w:p>
    <w:p w14:paraId="0E0318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 находится на Калининском фронте, требует ремонта и должен быть доставлен Ермолаеву.</w:t>
      </w:r>
    </w:p>
    <w:p w14:paraId="27DA2E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этого</w:t>
      </w:r>
      <w:proofErr w:type="gramEnd"/>
      <w:r w:rsidRPr="008127F8">
        <w:rPr>
          <w:rFonts w:ascii="Times New Roman" w:hAnsi="Times New Roman"/>
          <w:color w:val="000000" w:themeColor="text1"/>
          <w:sz w:val="16"/>
          <w:szCs w:val="16"/>
        </w:rPr>
        <w:t xml:space="preserve"> имеются 5 самолетов у Ермолаева, на которых установлены моторы АМ-37 и проводились опытные работы.</w:t>
      </w:r>
    </w:p>
    <w:p w14:paraId="78361A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заявлению гл. конструктора Ермолаева самолеты Ер-2 с моторами Ам-37 для боевого применения не годятся и считает целесообразным на эти самолеты поставить моторы Ам-35А с редукцией 0,59 (2160,279).</w:t>
      </w:r>
    </w:p>
    <w:p w14:paraId="4EA81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16F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или 10 апреля 1942 вышел приказ Командующего ВВС и НКАП N 061/271с о проведении совместных испытаний самолета ЛаГГ-3 с М-82.</w:t>
      </w:r>
    </w:p>
    <w:p w14:paraId="435240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определения ЛТД самолета ЛаГГ-3 с М-82:</w:t>
      </w:r>
    </w:p>
    <w:p w14:paraId="4572E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НИИ ВВС Федорову и нач. ЛИИ Чесалову провести совместные испытаний самолета ЛаГГ-3 с М-82 в Горьком на заводе 21 по прилагаемой программе, утвержденной ГИ ВВС И.Ф.П. (1547,3).</w:t>
      </w:r>
    </w:p>
    <w:p w14:paraId="646F51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819F4"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апреля 1942 года вышел совместный приказ Командующего ВВС РККА и НКАП № 061/271с, обязывавший начальника НИИ ВВС П. И. Федорова и начальника ЛИИ НКАП А. В. Чесалова провести объединенные «Испытания по определению тактических и технических характеристик самолета ЛаГГ-3 с М-82».</w:t>
      </w:r>
    </w:p>
    <w:p w14:paraId="67A8991A"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состав испытательной бригады входили летчики и ведущие инженеры А. П. Якимов и В. Н. Сагинов от ЛИИ, А. Г. Кубышкин и А. Н. Фролов от НИИ ВВС. Начало испытаний было запланировано на 21 апреля, а окончание — на 25 апреля 1942 года. Испытательная бригада прибыла в Горький 20 апреля, но оказалось, что Лавочкин должен на следующий день отбыть к месту нового назначения в Тбилиси, где уже находился Алексеев. Сагинов добился от Шахурина, чтобы Лавочкину позволили оставаться в Горьком до завершения испытаний. Еще одной проблемой стал выбор подходящего аэродрома — заводской был непригоден для полетов из-за весенней распутицы. Летное поле было найдено в нескольких километрах от завода, но подходящим его можно было назвать с натяжкой — одна бетонная ВПП была затоплена, вторая — незакончена, а по краям обеих стояли самолеты полка ПВО. На аэродроме не было никаких построек, и в качестве штаба использовали «полуторку» ГАЗ-АА с брезентовым тентом. На аэродром прислали цистерны с бензином и маслом, а персонал доставляли по воздуху на поликарповских бипланах По-2.</w:t>
      </w:r>
    </w:p>
    <w:p w14:paraId="4A067733"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начались 22 апреля 1942 года. Оба пилота подтвердили проблемы с перегревом двигателя. Кроме того, было затруднено управление его оборотами. Кубышкин чуть не разбил самолет из-за отказа щитков, а финальная фаза обоих полетов скорее походила на хорошо выполненную вынужденную посадку. Но оба пилота не «предали» самолет, несмотря на неприятности, увидев его большой потенциал. Фролов и Сагинов прервали испытания на десять дней, до 2 мая 1942 года.</w:t>
      </w:r>
    </w:p>
    <w:p w14:paraId="7517C9EC"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это время маслорадиатор от мотора М-105, не справлявшийся с отводом тепла от мощного М-82, заменили на новый, большей площади. Этой замене предшествовала драматическая операция по «заимствованию» радиатора ОП-293 от мотора М-107, предназначенного для строившегося на заводе № 21 истребителя Яковлева. Несмотря на неодобрение Лавочкина, его коллеги демонтировали радиатор и за два дня изготовили для него новый обтекатель. Также изменили конструкцию всасывающих патрубков мотора. Первоначально она состояла из трех труб позади переднего кольца капота: одной сверху и двух по бортам. После доработки боковые патрубки устранили, оставив только верхний увеличенного сечения, обтекатель которого стал выступать за обводы капота. Изменения также внесли в конструкцию посадочных щитков и некоторых других элементов. Первый полет модернизированного прототипа, проведенный В. Я. Мищенко, показал, что доработки положительно сказались на летных характеристиках машины (23547).</w:t>
      </w:r>
    </w:p>
    <w:p w14:paraId="2CAA603E" w14:textId="77777777" w:rsidR="00484D7D" w:rsidRPr="008A2E5A" w:rsidRDefault="00484D7D" w:rsidP="00484D7D">
      <w:pPr>
        <w:spacing w:after="0" w:line="240" w:lineRule="auto"/>
        <w:jc w:val="both"/>
        <w:rPr>
          <w:rFonts w:ascii="Times New Roman" w:hAnsi="Times New Roman"/>
          <w:color w:val="0070C0"/>
          <w:sz w:val="16"/>
          <w:szCs w:val="16"/>
        </w:rPr>
      </w:pPr>
    </w:p>
    <w:p w14:paraId="1D8A14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был подготовлен Отчет НИИ ВВС и завода N М-51-18с о совместных испытаниях И-185 М-71 (1684,139).</w:t>
      </w:r>
    </w:p>
    <w:p w14:paraId="5545F9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045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работник авиадивизии Якушкин направил в адрес 7 ГУ НКАП за N 00101 материал проекта новой системы вооружения боевых одноместных самолетов истребителей, штурмовиков, а также о внедрении в боевую практику нового прибора ППЗС (1684,151).</w:t>
      </w:r>
    </w:p>
    <w:p w14:paraId="6BE55F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6290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AE198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9A3A1"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апреля 1942 начались испытания стрельбой ЗИС-42. Впрочем, они очень быстро завершились, паузу взяли до 25 мая.</w:t>
      </w:r>
    </w:p>
    <w:p w14:paraId="56672EC7"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качестве места испытаний был выбран филиал АНИОП, он же Гороховецкий АНИОП (район поселка Мулино). Туда программа испытаний и предписание Артиллерийского Комитета ГАУ КА прибыли 24 февраля, а ЗИС-41 поступила 13 марта. Подготовительные работы, в том числе и по вине полигона, закончились только 10 апреля.</w:t>
      </w:r>
    </w:p>
    <w:p w14:paraId="4F7A7995"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собственно испытаний, на Гороховецком АНИОП шло изучение опытного образца САУ. Надо сказать, что в Мулино довольно щепетильно подходили к вопросу размещения экипажа, в том числе и в отделении управления. И вот тут к ЗИС-41 возникла целая масса вопросов. На самом-то деле вопрос скорее не к Грабину и его КБ. Им было изначально сказано, что в конструкцию шасси вносятся минимальные изменения. Тут скорее надо спрашивать заказчика, как он представлял себе размещение экипажа при старой схеме педального узла и низкой кабине.</w:t>
      </w:r>
    </w:p>
    <w:p w14:paraId="28973B8C"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Поскольку требовалось понизить кабину, сиденье уехало максимально вниз. Результатом стало то, что механик-водитель и пассажир сидели в крайне неудобной позе. Что-то похожее, лет за 10 до того, вытворял Дыренков на своих броневиках. Водить можно, но ноги торчат на уровне ушей. Специалисты Гороховецкого АНИОП указали на необходимость переделки кабины. Прежде всего это касалось переноса педалей вперед, тем самым посадка становилась более-менее сносной. Но тут завод №92, без ЗИС, ничего сделать не мог.</w:t>
      </w:r>
    </w:p>
    <w:p w14:paraId="4CD42B59"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всё гладко оказалось и с размещением расчета. Причина та же - требование максимально снизить высоту. Расположение маховиков и прицела осталось штатным, но раньше-то наводчик размещался иначе. В результате сложилась ситуация, когда при прицеливании грудь наводчика ложилась на маховик поворотного механизма. При стрельбе наводчик отвлекался от прицеливания, нажимая на спуск. Полигон предлагал сделать кнопочный спуск на рукоятке поворотного механизма, а на прицел ставился налобник. Также критике подверглись сиденья. При стрельбе наводчика сносило, требовались сиденья вроде тех, что использовались на зенитных автоматических пушках (они неспроста имели форму ковшей) (23521).</w:t>
      </w:r>
    </w:p>
    <w:p w14:paraId="028FC5BC" w14:textId="77777777" w:rsidR="00484D7D" w:rsidRPr="008A2E5A" w:rsidRDefault="00484D7D" w:rsidP="00484D7D">
      <w:pPr>
        <w:spacing w:after="0" w:line="240" w:lineRule="auto"/>
        <w:jc w:val="both"/>
        <w:rPr>
          <w:rFonts w:ascii="Times New Roman" w:hAnsi="Times New Roman"/>
          <w:color w:val="0070C0"/>
          <w:sz w:val="16"/>
          <w:szCs w:val="16"/>
        </w:rPr>
      </w:pPr>
    </w:p>
    <w:p w14:paraId="0BB6DD6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вышло Постановление ГКО № 1576 О создании Специального конструкторского бюро гладкоствольной артиллерии Наркомата вооружения. (7030, 4-5,6-7).</w:t>
      </w:r>
    </w:p>
    <w:p w14:paraId="01589AC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3770E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года было принято постановление ГКО за подписью Председателя Государственного комитета обороны СССР И. Сталина, в котором говорилось:</w:t>
      </w:r>
    </w:p>
    <w:p w14:paraId="4CF3443B"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разработки и создания опытных образцов минометного вооружения и мин выделить из состава НИИ 13 Специальное конструкторское бюро и минометную группу конструкторов завода № 7 в качестве самостоятельной организации.</w:t>
      </w:r>
    </w:p>
    <w:p w14:paraId="2B8D697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Утвердить начальником Специального конструкторского бюро гладкоствольной артиллерии Наркомата Вооружения инженера Шавырина Б.И.</w:t>
      </w:r>
    </w:p>
    <w:p w14:paraId="6B13F8DB"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Специальное конструкторское бюро Наркомата Вооружения разместить в цехе 11 "б" завода № 4 НКВ в г. Коломне, организовать экспериментальный цех для изготовления опытных образцов минометов и мин" (11502).</w:t>
      </w:r>
    </w:p>
    <w:p w14:paraId="783EE8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271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апреля 1942 г. по постановлению ГКО № 1576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СКБГА разместили в цехе № 11б завода № 4 (территория Коломенского завода тяжелых станков). </w:t>
      </w:r>
    </w:p>
    <w:p w14:paraId="617523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1966 г.- КБМ МОП. Входит в Корпорацию ТРВ (2005 г.). По решению правительства № 22-р от 9.01.2004 г. и Указу Президента РФ № 1009 от 4.08.2004 г. вошло в число стратегических оборонных предприятий.</w:t>
      </w:r>
    </w:p>
    <w:p w14:paraId="65DE0B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1950-х г. – разработка ракетного оружия. Головное предприятие по разработке ОТРК, ПТУРС, ПЗРК.</w:t>
      </w:r>
    </w:p>
    <w:p w14:paraId="12658E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1957 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т).ПМ-5/04 </w:t>
      </w:r>
    </w:p>
    <w:p w14:paraId="5D2511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(2004 г.): завершены госиспытания берегового ракетного комплекса (БРК) «Бал-Э» с ПКР Х-35Э.ВП-2/05</w:t>
      </w:r>
    </w:p>
    <w:p w14:paraId="7219E4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(1989- 2002 г.-)- Н.И. Гущин.69 Директор (2002-05 г.)- В.Г. Петрушенко, (12.2005 г.-)- В. Кашин.</w:t>
      </w:r>
    </w:p>
    <w:p w14:paraId="665C15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(1942-65 г.)- Б.И. Шавырин, (1965-89 г.)- С.П. Непобедимый, (1989- 2002 г.-)- Н.И. Гущин.69 </w:t>
      </w:r>
    </w:p>
    <w:p w14:paraId="75B32B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гл. конструктора (-12.2005 г.)- В. Кашин. Зам. Гл. конструктора (1961 г.-)- С.П. Непобедимый. </w:t>
      </w:r>
    </w:p>
    <w:p w14:paraId="75AAA4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(2005 г.)- А. Маслов («Бал-Э»).</w:t>
      </w:r>
    </w:p>
    <w:p w14:paraId="2E8719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(-1998 г.)- П. Сериков (начальник сектора противодействия технической разведке).</w:t>
      </w:r>
    </w:p>
    <w:p w14:paraId="0FDCD8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420-мм самоходный миномет «Ока»; ОТРК: "Точка" (ОТР-21, 9К79, пнв в 1975 г.), «Точка-Р» (пнв в 1983 г.), "Точка-У" (9К39-1, пнв в 1989 г.); "Ока" (ОТР-23, 9К714, пнв в 1980 г.), «Ока-У» (опытная, 1989 г.); ОТР-25 (опытная, 1995 г.); «Искандер-Э»; ПТРК: "Шмель" (2К15, 2К16, пнв в 1960 г.); "Малютка" (9К11, пнв в 1961 г.; 9К14, пнв в 1963 г.), «Малютка-М» (9К14М, пнв в 1968 г.), «Малютка-П» (9К14П, пнв в 1969 г.); «Штурм-В» (пнв в 1978 г.), "Штурм-С" (9К113, пнв в 1978 г.); «Атака» (пнв в 1990-е); «Хризантема-С (1990-е)»; ПЗРК: "Стрела-2" (9К32, пнв в 1968 г.), «Стрела-2М» (9К32М, пнв в 1970 г.), «Стрела-3» (9К34, пнв в 1974 г.); "Игла-1" (9К310, пнв в 1981 г.), «Игла» (9К38, пнв в 1983 г.), «Игла-Супер» (пнв в 2002 г.); ЗУР: 9М32 для ПЗРК «Стрела-2», 9М32М- для «Стрела-2М», 9М313 для «Игла-1», 9М39 для «Игла»;57 УРВВ "Игла-В"; комплекс активной защиты танка «Арена-Э»; БРК «Бал-Э» (2004); МБР «Гном» (опытная, конец 1950-х).58 </w:t>
      </w:r>
    </w:p>
    <w:p w14:paraId="26664B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109316 г. Москва ул. Сосинская, 43 тел. 676-07-77 (10776).</w:t>
      </w:r>
    </w:p>
    <w:p w14:paraId="3D673E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55D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года Постановлением Комитета обороны было создано Специальное конструкторское бюро гладкоствольной артиллерии (СКБ). Новое КБ разместилось на территории завода № 4 в городе Коломна. Руководителем КБ стал Б.И. Шавырин. В 1945-1947 годах в СКБ был создан новый мощный 160-мм миномет СКБ-21. Миномет СКБ-21 выиграл конкурс с минометом МТ-13Д и под наименованием "160-мм дивизионный миномет М-160 обр. 1949 г." был принят на вооружение. В 1949 году миномет М-160 был запущен в серийное производство на заводе № 535. В 1952 году производство М-160 было перенесено на завод № 172, где и продолжалось до 1957 года. Всего с 1949 года по 1957 год было изготовлено 2353 миномета М-160. М-160 представлял собой жесткую (без противооткатных устройств) казнозарядную гладкоствольную систему на колесном ходу. Отдача при выстреле воспринимается грунтом через опорную плиту. Для уменьшения действия отдачи при выстреле миномет имел пружинный амортизатор.</w:t>
      </w:r>
    </w:p>
    <w:p w14:paraId="7AA7C2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Миномет состоял из: ствола, казенника, станка, стрелы, опорной плиты и шворневой лапы.</w:t>
      </w:r>
    </w:p>
    <w:p w14:paraId="10EE4C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Ствол гладкостенная труба, закрепленная в цапфенной обойме, шарнирно соединенной с амортизатором. Закрывание ствола с казенной части осуществляется затвором, имеющим пластический обтюратор.</w:t>
      </w:r>
    </w:p>
    <w:p w14:paraId="20EC3B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затворе смонтированы бойковый и блокирующий механизмы. Перед выстрелом ствол запирается в казеннике, при этом затвор отпирается на зеркало казенника.</w:t>
      </w:r>
    </w:p>
    <w:p w14:paraId="21B094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Казенник поковка П-образной формы, имеет шаровую пяту. Казенник шаровой пятой соединен с опорной плитой. В казеннике смонтирован ударно-спусковой механизм. Щеки казенника соединены с амортизатором</w:t>
      </w:r>
    </w:p>
    <w:p w14:paraId="0E3CB1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Амортизатор пружинного типа, находится в двух станинах, симметрично расположенных относительно ствола. Амортизатор при помощи вертлюга соединен с поворотным механизмом, смонтированном в верхней раме станка.</w:t>
      </w:r>
    </w:p>
    <w:p w14:paraId="49749F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Станок представляет собой 2 рамы (верхнюю и нижнюю) штампованной конструкции, шарнирно соединенные между собой. Нижняя рама станка собрана на боевой оси. Для вертикального наведения миномета служит собранный между кронштейнами боевой оси и верхней рамой станка подъемно-уравновешивающий механизм. Поворотный механизм собран на рейке, надетой на стяжную ось в верхней раме станка.</w:t>
      </w:r>
    </w:p>
    <w:p w14:paraId="1A1228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Стрела трубчатая конструкция П-образной формы, соединенная с боевой осью при помощи кривошипов. На стреле смонтирована лебедка.</w:t>
      </w:r>
    </w:p>
    <w:p w14:paraId="45B4D4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Колеса хода наполнены губчатой резиной. Подрессоривание миномета пружинного типа, при стрельбе не выключается.</w:t>
      </w:r>
    </w:p>
    <w:p w14:paraId="453820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Опорная плита представляет собой </w:t>
      </w:r>
      <w:proofErr w:type="gramStart"/>
      <w:r w:rsidRPr="008127F8">
        <w:rPr>
          <w:rFonts w:ascii="Times New Roman" w:hAnsi="Times New Roman"/>
          <w:color w:val="000000" w:themeColor="text1"/>
          <w:sz w:val="16"/>
          <w:szCs w:val="16"/>
        </w:rPr>
        <w:t>штампо-сварную</w:t>
      </w:r>
      <w:proofErr w:type="gramEnd"/>
      <w:r w:rsidRPr="008127F8">
        <w:rPr>
          <w:rFonts w:ascii="Times New Roman" w:hAnsi="Times New Roman"/>
          <w:color w:val="000000" w:themeColor="text1"/>
          <w:sz w:val="16"/>
          <w:szCs w:val="16"/>
        </w:rPr>
        <w:t xml:space="preserve"> конструкцию. Она предназначена для передачи на грунт отдачи при выстреле.</w:t>
      </w:r>
    </w:p>
    <w:p w14:paraId="1535AC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Шворневая лапа закрепляется за дульную часть ствола. Она служит для соединения миномета с крюком тягача.</w:t>
      </w:r>
    </w:p>
    <w:p w14:paraId="472CE5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Миномет снабжен оптическим минометным прицелом МП-46 панорамного типа, который закрепляется в кронштейне механизма горизонтального прицела.</w:t>
      </w:r>
    </w:p>
    <w:p w14:paraId="207985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Заряжание миномета производится с казенной части, для чего ствол приводится в положение для заряжания (примерно в горизонтальное положение) и удерживается стойкой.</w:t>
      </w:r>
    </w:p>
    <w:p w14:paraId="710CF6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Позже в комплект миномета М-160 введен механизм досылания мин (для полного досылания мин).</w:t>
      </w:r>
    </w:p>
    <w:p w14:paraId="194B58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миномет опирается на грунт опорной плитой, колесами и стрелой, которая удерживается от перемещения двумя забивными сошниками.</w:t>
      </w:r>
    </w:p>
    <w:p w14:paraId="7AA08A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походном положении качающаяся часть миномета укладывается на кронштейны боевой оси и закрепляется в них зажимами.</w:t>
      </w:r>
    </w:p>
    <w:p w14:paraId="7BE815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Стрела в походном положении крепится к стволу при помощи обоймы. Крепление по походному опорной плиты осуществляется двумя крюками, соединяющими нижнюю часть плиты со станинами амортизатора.</w:t>
      </w:r>
    </w:p>
    <w:p w14:paraId="118FBC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Боеприпасы и баллистика</w:t>
      </w:r>
    </w:p>
    <w:p w14:paraId="523CAB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существовала 160-мм мина ОТ, снаряженная ОВ типа Р-35.</w:t>
      </w:r>
    </w:p>
    <w:p w14:paraId="7C9376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стрельбы из миномета М-160 применяют два типа зарядов: полный переменный и дальнобойный.</w:t>
      </w:r>
    </w:p>
    <w:p w14:paraId="402589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Полный переменный заряд состоит из воспламенительного заряда и 3-х дополнительных равновесных пучков.</w:t>
      </w:r>
    </w:p>
    <w:p w14:paraId="7B14E7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Воспламенительный заряд помещается в трубке стабилизатора. От состоит из дополнительного воспламенителя (2 гр. дымного пороха) и ленточного пороха весом 6065 гр.</w:t>
      </w:r>
    </w:p>
    <w:p w14:paraId="6BFFCE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Каждый дополнительный пучок переменного заряда состоит из пластинчатого пороха весом около 0,28 кг, помещенного в кольцеобразный картуз. Дополнительные пучки надеваются на трубку стабилизатора.</w:t>
      </w:r>
    </w:p>
    <w:p w14:paraId="4FA735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Дальнобойный заряд состоит из воспламенительного заряда и специального дополнительного пучка весом около 1,6 кг, помещенного в специальный картуз цилиндрической формы (3861).</w:t>
      </w:r>
    </w:p>
    <w:p w14:paraId="5CB5C9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09750"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апреля в 1942 году в Коломне было создано специальное конструкторское бюро для разработки минометного вооружения (ныне ФГУП "Конструкторское бюро машиностроения (ФГУП "КБМ"). В начале 1942 года Государственным комитетом обороны (ГКО) было принято решение о концентрации всех конструкторских </w:t>
      </w:r>
      <w:r w:rsidRPr="008127F8">
        <w:rPr>
          <w:rFonts w:ascii="Times New Roman" w:hAnsi="Times New Roman"/>
          <w:color w:val="000000" w:themeColor="text1"/>
          <w:sz w:val="16"/>
          <w:szCs w:val="16"/>
        </w:rPr>
        <w:lastRenderedPageBreak/>
        <w:t>работ по минометной тематике на одном специализированном предприятии (постановление ГКО № 1576). Возглавить его было поручено талантливому военному конструктору Борису Ивановичу Шавырину, а местом базирования определен один из заводов Наркомата вооружения в городе Коломна. Вновь назначенному руководителю лично председателем ГКО Иосифом Виссарионовичем Сталиным был дан карт-бланш по укомплектованию конструкторского бюро (КБ) самыми квалифицированными специалистами в области минометного вооружения, ранее работавшими на различных предприятиях. Так родилось одно из самых знаменитых предприятий российского оборонно-промышленного комплекса - ФГУП "Конструкторское Бюро машиностроения". История коллектива КБМ хранит немало ярких страниц достижений в его творческой деятельности: в минометном вооружении - значительная часть минометов нашей армии (около 80%), участвовавших в боевых операциях Великой Отечественной войны, были разработаны коллективом КБМ. В послевоенный период (1947-1956 г.г.) разработана система минометного вооружения Советской Армии, завершившаяся созданием единственного в мире самого мощного миномета - 420 мм самоходной минометной установки "Ока". В середине 1950-х годов были сданы на вооружение впервые в СССР противотанковые безоткатные орудия Б-10 и Б-11; в противотанковом вооружении (ПТРК) разработаны первый в СССР ПТУРС "Шмель" и самый массовый в мире комплекс "Малютка", впервые применена одноканальная система управления. В 70-80 г.г. были созданы первые в мире - сверхзвуковая управляемая ракета "Штурм" и на ее основе - система вооружения Сухопутных войск с комплексами "Штурм-В" (вертолетный) и "Штурм-С" (самоходный); в классе ПЗРК КБ машиностроения - мировой лидер и единственное в России предприятие по созданию комплексов этого класса, способных вести эффективную борьбу с низколетящими самолетами и вертолетами. Начатые в 1960-х годах на предприятии разработки в этом направлении дали блестящую серию ПЗРК: "Стрела-2" (первый в СССР), "Стрела -2М", "Стрела-3", "Игла-1", "Игла". Впервые в мире были решены задачи стрельбы ПЗРК навстречу, защищенности от тепловых помех, залповой стрельбы. Впервые в мире для ПЗРК применено детонирующее топливо. Комплекс "Игла" - сегодня пользуется большой популярностью и стоит на вооружении многих зарубежных армий; в классе ТРК и ОТРК КБ машиностроения держит первенство по созданию комплексов высокой точности и эффективной стрельбы. Начиная с 1970-х годов, на вооружение армии поступили ТРК "Точка", "Точка-У" и ОТРК "Ока". "Точка" стала первым в мире мобильным и высокоточным ТРК, а ТРК "Точка-У" продемонстрировал всему миру свои блестящие характеристики на международной выставке "IDEX-93" в Абу Даби (ОАЭ), где на демонстрации комплекса была достигнута высочайшая точность стрельбы. Поступивший на вооружение в 1980 г. ОТРК "Ока" не имел себе равных в мире, но в 1987-1889 г.г. был уничтожен в соответствии с советско-американским Договором о ликвидации РСМД; по комплексам активной защиты КБМ впервые решило принципиально новую сложнейшую научно-техническую проблему и создало КАЗ "Арена-Э", способный поражать средства, представляющие наибольшую угрозу для объектов БТВТ, что позволяет поднять их выживаемость на поле боя (15096).</w:t>
      </w:r>
    </w:p>
    <w:p w14:paraId="2889A876" w14:textId="77777777" w:rsidR="00C8368C" w:rsidRPr="008127F8" w:rsidRDefault="00C8368C" w:rsidP="001E0A84">
      <w:pPr>
        <w:spacing w:after="0" w:line="240" w:lineRule="auto"/>
        <w:jc w:val="both"/>
        <w:rPr>
          <w:rFonts w:ascii="Times New Roman" w:hAnsi="Times New Roman"/>
          <w:color w:val="000000" w:themeColor="text1"/>
          <w:sz w:val="16"/>
          <w:szCs w:val="16"/>
        </w:rPr>
      </w:pPr>
    </w:p>
    <w:p w14:paraId="44108CE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9F9A8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AFB391"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в 1942 году утреннее сообщение Совинформбюро:</w:t>
      </w:r>
    </w:p>
    <w:p w14:paraId="34887CCC"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11 апреля на фронте каких-либо существенных изменений не произошло.</w:t>
      </w:r>
    </w:p>
    <w:p w14:paraId="73285DA5"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6 немецких ДЗОТов и 7 блиндажей, уничтожили танк, 9 орудий, 4 миномётные батареи и 3 станковых пулемёта. Немцы потеряли убитыми 1.600 солдат и офицеров. Захвачены у противника следующие трофеи: 4 орудия, 35 пулемётов, 9 миномётов, 23 автомата и много боеприпасов.</w:t>
      </w:r>
    </w:p>
    <w:p w14:paraId="6E9D8457"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Брянского фронта за последние дни противник потерял только убитыми свыше 3.000 солдат и офицеров. Нашими частями захвачены трофеи, в том числе 3 танка и 26 пулемётов. От немецких оккупантов освобождено несколько населённых пунктов.</w:t>
      </w:r>
    </w:p>
    <w:p w14:paraId="2BEAF21F"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 день уничтожили 4 немецких орудия, 5 станковых пулемётов, миномётную батарею, 3 автомашины, разрушили 8 ДЗОТов и взорвали 2 склада с боеприпасами. Противник оставил на поле боя свыше 200 трупов солдат и офицеров. Нашими бойцами ружейно-пулемётным огнём сбито 2 немецких самолёта, из которых один сбил красноармеец тов. Крылов.</w:t>
      </w:r>
    </w:p>
    <w:p w14:paraId="6F57541E"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батареи старшего лейтенанта Алферёнок в течение дня отразили пять атак пикирующих бомбардировщиков противника и сбили два самолёта «Ю-87».</w:t>
      </w:r>
    </w:p>
    <w:p w14:paraId="04430055"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Орудийные расчёты сержантов тт. Каторгина и Зотова прямой наводкой подбили 5 немецких танков.</w:t>
      </w:r>
    </w:p>
    <w:p w14:paraId="1970730E"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немецких солдат, засевшая в одном из домов населённого пункта, своим огнём мешала продвижению нашей пехоты. Сержант Николаев с двумя бойцами проникна чердак дома, проломал отверстие в потолке и бросил несколько гранат. 12 гитлеровцев были уничтожены.</w:t>
      </w:r>
    </w:p>
    <w:p w14:paraId="09FAA014"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11 роты 514 полка 294 немецкой пехотной дивизии Генрих Постулька рассказал: «24 марта наш 3 батальон пошёл в атаку. Мы были отброшены русскими с большими потерями. Под угрозой расстрела обер-лейтенант Климас заставил солдат вторично пойти в атаку. С револьвером в руках он подгонял солдат. Когда атака захлебнулась, Климас удрал с поля боя. Вслед за ним разбежались и солдаты. Вскоре нам в помощь подоспел 1 батальон, но все его попытки прорваться в село также были отбиты. Первый батальон, как и третий, понёс крупные потери».</w:t>
      </w:r>
    </w:p>
    <w:p w14:paraId="6EDBD762"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Партизаны Югославии наносят непрерывные удары оккупантам. В марте отряды партизан истребили одну итальянскую часть и захватили 12 пулеметов, 200 винтовок, 25.000 патронов и другие военные материалы. Партизаны постоянно разрушают железнодорожную линию Загреб — Сплит, </w:t>
      </w:r>
      <w:proofErr w:type="gramStart"/>
      <w:r w:rsidRPr="008127F8">
        <w:rPr>
          <w:rFonts w:ascii="Times New Roman" w:hAnsi="Times New Roman"/>
          <w:color w:val="000000" w:themeColor="text1"/>
          <w:sz w:val="16"/>
          <w:szCs w:val="16"/>
        </w:rPr>
        <w:t>которая</w:t>
      </w:r>
      <w:proofErr w:type="gramEnd"/>
      <w:r w:rsidRPr="008127F8">
        <w:rPr>
          <w:rFonts w:ascii="Times New Roman" w:hAnsi="Times New Roman"/>
          <w:color w:val="000000" w:themeColor="text1"/>
          <w:sz w:val="16"/>
          <w:szCs w:val="16"/>
        </w:rPr>
        <w:t xml:space="preserve"> в связи с этим не работает уже больше двух месяцев. Пущены под откос два поезда с войсками и вооружением. Трофейным оружием и боеприпасами партизаны изо дня в день бьют фашистских захватчиков.» (15096).</w:t>
      </w:r>
    </w:p>
    <w:p w14:paraId="02E2CCAE" w14:textId="77777777" w:rsidR="00C8368C" w:rsidRPr="008127F8" w:rsidRDefault="00C8368C" w:rsidP="001E0A84">
      <w:pPr>
        <w:spacing w:after="0" w:line="240" w:lineRule="auto"/>
        <w:jc w:val="both"/>
        <w:rPr>
          <w:rFonts w:ascii="Times New Roman" w:hAnsi="Times New Roman"/>
          <w:color w:val="000000" w:themeColor="text1"/>
          <w:sz w:val="16"/>
          <w:szCs w:val="16"/>
        </w:rPr>
      </w:pPr>
    </w:p>
    <w:p w14:paraId="51D2EF46"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в 1942 году вечернее сообщение Совинформбюро:</w:t>
      </w:r>
    </w:p>
    <w:p w14:paraId="243235E3"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апреля на фронте чего-либо существенного не произошло.</w:t>
      </w:r>
    </w:p>
    <w:p w14:paraId="354A0DB2"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апреля сбито в воздушных боях и уничтожено на аэродромах 17 немецкихсамолёта. Наши потери — 5 самолётов.</w:t>
      </w:r>
    </w:p>
    <w:p w14:paraId="74FC4365"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Баренцовом море потоплен транспорт противника водоизмещением в 7.000 тонн.</w:t>
      </w:r>
    </w:p>
    <w:p w14:paraId="0CB282D0"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Продолжая вести упорные бои с противником, наши части, действующие на одномиз участков Северо-Западного фронта, за день уничтожили 655 немецких солдат и офицеров. Несколько дней тому назад на этом участке фронта было уничтожено 20 немецких самолётов, из них 15 самолётов в воздушных боях и 5 — на аэродромах противника.</w:t>
      </w:r>
    </w:p>
    <w:p w14:paraId="375128A0"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Западного фронта, за два дня боёв нанесли большой урон живой силе противника и его боевой технике. Немцы потеряли только убитыми до 500 солдат и офицеров. Уничтожено 2 орудия, 5 пулемётов, 3 миномёта и 5 подвод с боеприпасами. Захвачены трофеи.</w:t>
      </w:r>
    </w:p>
    <w:p w14:paraId="3F904B68"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Отвагу и бесстрашие в бою проявил старший политрук Сирия. В течение одного дня он трижды водил роту в атаки, в результате которых противник понёс большие потери. На поле боя осталось около 400 убитых немецких солдат и офицеров. Лично тов. Сирик уничтожил 30 гитлеровцев. Укрывшись в разбитом немецком танке, старший политрук в упор расстреливал врагов из автомата и забрасывал их гранатами.</w:t>
      </w:r>
    </w:p>
    <w:p w14:paraId="1DA9A0FC"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Находясь в разведке, сержант Кирилин и красноармейцы Гречишкин и Тупатурин установили, что противник подтягивает резервы для контратаки на занятый советскими войсками населённый пункт. Разведчики немедленно сообщили об этом командованию артиллерийской батареи. Огневым налётом наши артиллеристы уничтожили свыше 300 немецких солдат и офицеров.</w:t>
      </w:r>
    </w:p>
    <w:p w14:paraId="0F91B2F9"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Абельдяев и красноармеец Комиссаров огнём из противотанковых ружей уничтожили один и повредили два немецких танка.</w:t>
      </w:r>
    </w:p>
    <w:p w14:paraId="638BC29C"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«Дедушка», действующий в одном из оккупированных немцами районов Смоленской области, ночью атаковал большую группу немецких солдат, расположившихся в населённом пункте. Потеряв свыше 40 человек убитыми, немцы отступили из села, оставив много оружия и боеприпасов.</w:t>
      </w:r>
    </w:p>
    <w:p w14:paraId="03B5D7CE"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обер-ефрейгор 1 роты 42 немецкого отдельного сапёрного батальона Герберт Бидерштедт рассказал: «Разговоры о предстоящих боях внушают солдатам страх. Все знают об огромных потерях, которые несут наши войска. Это показали и последние бои. Только у деревни Д. одна рота 2 батальона 445 полка 134 пехотной дивизии, которой придан наш сапёрный батальон, потеряла 100 человек. Многие солдаты стараются заблаговременно под разными предлогами убраться подальше от передовых позиций. На всех дорогах можно видеть шатающихся солдат, шофёров и даже унтер-офицеров. Обер-фельдфебель нашей роты Кнофф поехал за грузом и застрял где-то, стараясь отсидеться в тылу. Его разыскали и предали суду. Недавно лейтенант Аурас зачитал нам перед строем приговоры военно-полевого судаза бегство с передовых позиций. Среди приговорённых было много унтер-офицеров».</w:t>
      </w:r>
    </w:p>
    <w:p w14:paraId="7224BA59"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Чудовищные преступления совершили гитлеровские изверги в деревнях Кокорево и Овинищи, Калининской области. Несколько уцелевших от кровавой расправы жителей этих деревень, ныне освобождённых от оккупантов частями Красной Армии, рассказали: «Немцы, захватив деревни, выгнали всех колхозников на улицы и стали грабить дома. Тех, кто пытался протестовать, расстреливали на месте. Затем, по сигналу офицера, деревни были подожжены со всех сторон. Многие колхозники бросились спасать своё имущество, но их убивали из автоматов и прикладами. Всегобыло убито 72 жителя, среди них много детей. Спастись удалось лишь тем, кто накануне спрятался в лесу. Обе деревни сожжены дотла».</w:t>
      </w:r>
    </w:p>
    <w:p w14:paraId="060DD13C" w14:textId="77777777" w:rsidR="00C8368C" w:rsidRPr="008127F8" w:rsidRDefault="00C8368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ряде городов Венгрии произошли демонстрации голодающего населения с требованием прекратить отправку продовольствия в Германию. Близ города Фюзешабонь толпа разгромила железнодорожные склады с продовольствием, предназначенным для отправки в Германию. Разгоняя демонстрацию, полиция применила огнестрельное оружие. Имеются убитые и раненые.» (15096).</w:t>
      </w:r>
    </w:p>
    <w:p w14:paraId="5B20A9A9" w14:textId="77777777" w:rsidR="00C8368C" w:rsidRPr="008127F8" w:rsidRDefault="00C8368C" w:rsidP="001E0A84">
      <w:pPr>
        <w:spacing w:after="0" w:line="240" w:lineRule="auto"/>
        <w:jc w:val="both"/>
        <w:rPr>
          <w:rFonts w:ascii="Times New Roman" w:hAnsi="Times New Roman"/>
          <w:color w:val="000000" w:themeColor="text1"/>
          <w:sz w:val="16"/>
          <w:szCs w:val="16"/>
        </w:rPr>
      </w:pPr>
    </w:p>
    <w:p w14:paraId="0F19A1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А.А.Новиков стал командующим ВВС и зам. наркома обороны по авиации (340,75). До этого командовал ВВС Ленинградского фронта (505,205). Начальником штаба ВВС стал С.А.Худяков, а Г.А.Ворожейкина повысили до первого зама (340,77).</w:t>
      </w:r>
    </w:p>
    <w:p w14:paraId="65535F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78A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апреля 1942 г. командующий ВВС КА генерал-полковник авиации П. Ф. Жигарев был снят с должности, а вместо него назначен генерал-полковник авиации А. А. </w:t>
      </w:r>
      <w:r w:rsidRPr="008127F8">
        <w:rPr>
          <w:rFonts w:ascii="Times New Roman" w:hAnsi="Times New Roman"/>
          <w:color w:val="000000" w:themeColor="text1"/>
          <w:sz w:val="16"/>
          <w:szCs w:val="16"/>
        </w:rPr>
        <w:lastRenderedPageBreak/>
        <w:t>Новиков. Вскоре после этого Ставкой были приняты все необходимые решения, позволявшие ликвидировать организационную раздробленность авиации и приступить к созданию авиационных объединений и соединений (8687).</w:t>
      </w:r>
    </w:p>
    <w:p w14:paraId="10E38F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59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г. заместитель наркома П.В. Дементьев сообщил в ЦК ВКП(б) Г.М. Маленкову: "Из 70 построенных Ер-2 68 принято АДД, из которых 60 приступило к боевой работе и 8 самолетов разбиты при формировании. По состоянию на 10 апреля 1942 г. 41 самолет уничтожен в боевых операциях, 11 - в строю у Голованова, 7 - в ремонте у Ермолаева, 1 - на Калининском фронте и требует ремонта.</w:t>
      </w:r>
    </w:p>
    <w:p w14:paraId="294B74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5 самолетов у Ермолаева, на которых установлены АМ-37 и проводятся опытные работы. По заявлению... Ермолаева, самолеты... с АМ-37 для боевого применения не годятся и целесообразно на них поставить моторы АМ-35" (11994).</w:t>
      </w:r>
    </w:p>
    <w:p w14:paraId="4EC36F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97CFB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вышло Постановление ГКО № 1575 [О дополнительном призыве 500 тыс. чел. за счет военнообязанных, пользовавшихся отсрочками, казахов, узбеков, ограниченно годных и освобожденных по состоянию здоровья, работников милиции и военизированной охраны, переселенцев и их детей.] (7030, 2,3).</w:t>
      </w:r>
    </w:p>
    <w:p w14:paraId="6D08951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D80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вышло Постановление ГКО № 1577 Вопросы НКО. РГАНИР, Фонд ГКО, д. 29, лл. 8 (11012).</w:t>
      </w:r>
    </w:p>
    <w:p w14:paraId="2146CD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0C56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19B0C0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CE2E4E" w14:textId="0954B1C5"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глава НКВД Лаврентий Берия своим приказом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182 установил единые нормы питания заключенных, которые по некоторым параметрам даже превосходили нормы граждан 2-й категории. Согласно им, зэки должны были получать в день 700 граммов хлеба, 25 граммов мяса (750 — в месяц), 100 граммов рыбы, 10 граммов сахара (300 — в месяц), 0,6</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кг картофеля и др. [376 — Блокада Ленинграда в документах рассекреченных архивов, с. 699.]. Однако на практике этот приказ часто не выполнялся. К примеру, Ленинградский горсовет 8 июня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самовольно изменил нормы питания заключенных, понизив выдачу хлеба до 400 граммов в день, а мяса и рыбы — до 1</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в месяц и 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 Незаконные нормы просуществовали до 20 октября того же года, пока не были отменены по указанию областной прокуратуры. Нарушался приказ Берии и в других регионах (11741).</w:t>
      </w:r>
    </w:p>
    <w:p w14:paraId="7CD3222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123E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45A4B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00E30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11 колледжей США отказались принимать студентов японского происхождения (4962).</w:t>
      </w:r>
    </w:p>
    <w:p w14:paraId="6812DD5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2ED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11 April 1942 India demands for Independence rejected by England (270).</w:t>
      </w:r>
    </w:p>
    <w:p w14:paraId="6F19B6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6AB8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апреля 1942 Индия потребовала независимости, но Англия отказалась (270).</w:t>
      </w:r>
    </w:p>
    <w:p w14:paraId="4141E3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2C4E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BD9CE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D8CD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г. по приказу № 273сс часть конструкторского состава завода № 467 НКАП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во главе с гл. конструкторами С.Ш. Бас-Дубовым и  Г.М. Заславским переведена на завод № 27, туда передана вся документация по ВИШ-105П (оставшаяся часть коллектива продолжала работать по винтам и в 01.1944 г.).</w:t>
      </w:r>
    </w:p>
    <w:p w14:paraId="41415D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762с от 29.07.1941 г. на завод № 467 НКАП эвакуировано небольшое (7 чел., ведущий конструктор Л.С. Аринукин, инженеры И.И. Румянцев, Н. Г. Петров и др.) ОКБ-3 гл. конструктора Н. Г. Никифорова при заводе № 28 НКАП, Н. 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Приказом НКАП № 43с от 15.01.1942 г. ОКБ переведено со всем имуществом и документацией с завода № 467 на завод № 27 НКАП (11982).</w:t>
      </w:r>
    </w:p>
    <w:p w14:paraId="03B659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574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1941 Нач. 11 ГУ НКАП И.В.Куликовым была подготовлена справка:</w:t>
      </w:r>
    </w:p>
    <w:p w14:paraId="51A4026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Докладываю, Одиннадцатым Главным Управлением сдано Воздушно десантным воискам за март месяц десантных и учебно-тренировочных планеров в количестве 100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8127F8" w14:paraId="44C60FF2" w14:textId="77777777">
        <w:tc>
          <w:tcPr>
            <w:tcW w:w="2818" w:type="dxa"/>
            <w:tcBorders>
              <w:top w:val="single" w:sz="12" w:space="0" w:color="auto"/>
            </w:tcBorders>
          </w:tcPr>
          <w:p w14:paraId="1BFD45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top w:val="single" w:sz="12" w:space="0" w:color="auto"/>
            </w:tcBorders>
          </w:tcPr>
          <w:p w14:paraId="5E6B59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w:t>
            </w:r>
          </w:p>
        </w:tc>
        <w:tc>
          <w:tcPr>
            <w:tcW w:w="2818" w:type="dxa"/>
            <w:tcBorders>
              <w:top w:val="single" w:sz="12" w:space="0" w:color="auto"/>
            </w:tcBorders>
          </w:tcPr>
          <w:p w14:paraId="576124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w:t>
            </w:r>
          </w:p>
        </w:tc>
      </w:tr>
      <w:tr w:rsidR="006F4095" w:rsidRPr="008127F8" w14:paraId="4B186347" w14:textId="77777777">
        <w:tc>
          <w:tcPr>
            <w:tcW w:w="2818" w:type="dxa"/>
          </w:tcPr>
          <w:p w14:paraId="7D5E95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А-2</w:t>
            </w:r>
          </w:p>
        </w:tc>
        <w:tc>
          <w:tcPr>
            <w:tcW w:w="2818" w:type="dxa"/>
          </w:tcPr>
          <w:p w14:paraId="309086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2818" w:type="dxa"/>
          </w:tcPr>
          <w:p w14:paraId="337283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r>
      <w:tr w:rsidR="006F4095" w:rsidRPr="008127F8" w14:paraId="4356B4E7" w14:textId="77777777">
        <w:tc>
          <w:tcPr>
            <w:tcW w:w="2818" w:type="dxa"/>
          </w:tcPr>
          <w:p w14:paraId="01A571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А-7</w:t>
            </w:r>
          </w:p>
        </w:tc>
        <w:tc>
          <w:tcPr>
            <w:tcW w:w="2818" w:type="dxa"/>
          </w:tcPr>
          <w:p w14:paraId="42F402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818" w:type="dxa"/>
          </w:tcPr>
          <w:p w14:paraId="260FB3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r>
      <w:tr w:rsidR="006F4095" w:rsidRPr="008127F8" w14:paraId="47D3418F" w14:textId="77777777">
        <w:tc>
          <w:tcPr>
            <w:tcW w:w="2818" w:type="dxa"/>
          </w:tcPr>
          <w:p w14:paraId="7066CE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А-11</w:t>
            </w:r>
          </w:p>
        </w:tc>
        <w:tc>
          <w:tcPr>
            <w:tcW w:w="2818" w:type="dxa"/>
          </w:tcPr>
          <w:p w14:paraId="33012A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2818" w:type="dxa"/>
          </w:tcPr>
          <w:p w14:paraId="4ECA74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r>
      <w:tr w:rsidR="006F4095" w:rsidRPr="008127F8" w14:paraId="79821224" w14:textId="77777777">
        <w:tc>
          <w:tcPr>
            <w:tcW w:w="2818" w:type="dxa"/>
          </w:tcPr>
          <w:p w14:paraId="0E86EA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КЦ-20</w:t>
            </w:r>
          </w:p>
        </w:tc>
        <w:tc>
          <w:tcPr>
            <w:tcW w:w="2818" w:type="dxa"/>
          </w:tcPr>
          <w:p w14:paraId="68D2E1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818" w:type="dxa"/>
          </w:tcPr>
          <w:p w14:paraId="7D2B19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r>
      <w:tr w:rsidR="00687FE2" w:rsidRPr="008127F8" w14:paraId="754A5454" w14:textId="77777777">
        <w:tc>
          <w:tcPr>
            <w:tcW w:w="2818" w:type="dxa"/>
            <w:tcBorders>
              <w:bottom w:val="single" w:sz="12" w:space="0" w:color="auto"/>
            </w:tcBorders>
          </w:tcPr>
          <w:p w14:paraId="0DFEF0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К-Г</w:t>
            </w:r>
          </w:p>
        </w:tc>
        <w:tc>
          <w:tcPr>
            <w:tcW w:w="2818" w:type="dxa"/>
            <w:tcBorders>
              <w:bottom w:val="single" w:sz="12" w:space="0" w:color="auto"/>
            </w:tcBorders>
          </w:tcPr>
          <w:p w14:paraId="0850ED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818" w:type="dxa"/>
            <w:tcBorders>
              <w:bottom w:val="single" w:sz="12" w:space="0" w:color="auto"/>
            </w:tcBorders>
          </w:tcPr>
          <w:p w14:paraId="23AE6A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(2503,4)</w:t>
            </w:r>
          </w:p>
        </w:tc>
      </w:tr>
    </w:tbl>
    <w:p w14:paraId="3F920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454E8"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9EA2B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81E18B" w14:textId="77777777" w:rsidR="00FA1C99" w:rsidRPr="008127F8" w:rsidRDefault="00FA1C9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года в переписке по Главному автобронетанковому управлению Красной армии (ГАБТУ КА) предлагалось освоить выпуск танков Т-34М на заводе №174, который как раз в тот момент переводился в Омск. Доводами в пользу Т-34М служила меньшая боевая масса, торсионная подвеска, расширенная башня с командирской башенкой, а также увеличенная ёмкость баков. Это предложение поддержки не получило: возможности завода №174 на тот момент не позволяли запустить в серию модернизированный танк (18420).</w:t>
      </w:r>
    </w:p>
    <w:p w14:paraId="2CB67334" w14:textId="77777777" w:rsidR="00FA1C99" w:rsidRPr="008127F8" w:rsidRDefault="00FA1C99" w:rsidP="001E0A84">
      <w:pPr>
        <w:spacing w:after="0" w:line="240" w:lineRule="auto"/>
        <w:jc w:val="both"/>
        <w:rPr>
          <w:rFonts w:ascii="Times New Roman" w:hAnsi="Times New Roman"/>
          <w:color w:val="000000" w:themeColor="text1"/>
          <w:sz w:val="16"/>
          <w:szCs w:val="16"/>
        </w:rPr>
      </w:pPr>
    </w:p>
    <w:p w14:paraId="1F192DFE"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1942 года появилось предложение осваивать в Омске Т-34М. Правда, дальше предложений дело не продвинулось. Завод №174 не был готов к такому танку, да и мечты о меньшей массе выглядели сомнительными. Конструкцию танка тоже пришлось бы упрощать, с соответствующими результатами.</w:t>
      </w:r>
    </w:p>
    <w:p w14:paraId="24062DD6"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Имелись и другие причины, по которым в текущем виде Т-34М не имело смысла запускать в серию. Создавался танк в условиях, когда требовалась защита от снарядов калибра 37 мм. Между тем, у немцев имелись орудия более крупного калибра, против них даже 60 мм брони было маловато. Кроме того, специфика военного производства состояла в том, что требовалось конструкцию танка упрощать. Одним словом, требовался слегка иной танк, более простой, более защищенный и созданный под иной объем оборудования. Именно такой Т-34М стали разрабатывать на заводе №183 под руководством А.А. Морозова и был готов в мае 1942 года.</w:t>
      </w:r>
    </w:p>
    <w:p w14:paraId="1C1925F0"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Точной даты начала работ по третьей итерации Т-34М, увы, неизвестно. В то время отчеты по опытным работам были довольно скудными. В этом смысле ситуация вокруг Т-34М мало отличалась от происходившего с еще одним перспективным танком - КВ-13. Про него также мало что известно, когда его стартовали. Объединяет эти два танка и то, какой подход использовали при их создании. Что индекс КВ, что индекс Т-34 оказались весьма условными. Безусловно, что-то от указанных танков использовалось, но разница оказалась очень существенной (23824).</w:t>
      </w:r>
    </w:p>
    <w:p w14:paraId="0BD12EB3" w14:textId="77777777" w:rsidR="00484D7D" w:rsidRPr="008A2E5A" w:rsidRDefault="00484D7D" w:rsidP="00484D7D">
      <w:pPr>
        <w:spacing w:after="0" w:line="240" w:lineRule="auto"/>
        <w:jc w:val="both"/>
        <w:rPr>
          <w:rFonts w:ascii="Times New Roman" w:hAnsi="Times New Roman"/>
          <w:color w:val="0070C0"/>
          <w:sz w:val="16"/>
          <w:szCs w:val="16"/>
        </w:rPr>
      </w:pPr>
    </w:p>
    <w:p w14:paraId="6E6E6655" w14:textId="77777777" w:rsidR="00FA1C99" w:rsidRPr="008127F8" w:rsidRDefault="00FA1C9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12 апреля 1942 года.</w:t>
      </w:r>
    </w:p>
    <w:p w14:paraId="1C58BFE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151 – 152</w:t>
      </w:r>
      <w:r w:rsidRPr="008127F8">
        <w:rPr>
          <w:rFonts w:ascii="Times New Roman" w:eastAsia="Times New Roman" w:hAnsi="Times New Roman"/>
          <w:color w:val="000000" w:themeColor="text1"/>
          <w:sz w:val="16"/>
          <w:szCs w:val="16"/>
          <w:lang w:eastAsia="ru-RU"/>
        </w:rPr>
        <w:t xml:space="preserve"> </w:t>
      </w:r>
    </w:p>
    <w:p w14:paraId="13C769B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642F9F6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1202C09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0EA2D44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332c</w:t>
      </w:r>
    </w:p>
    <w:p w14:paraId="17B6212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41219C1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апреля 1942 года.</w:t>
      </w:r>
    </w:p>
    <w:p w14:paraId="416E2BE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 плане производства танковых запасных частей во II квартале 1942 г."</w:t>
      </w:r>
    </w:p>
    <w:p w14:paraId="3A96CE9A"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постановления ГКО от 9/IV-1942 г. за № 1571с – ПРИКАЗЫВАЮ: </w:t>
      </w:r>
    </w:p>
    <w:p w14:paraId="4680BEB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Установить на II кв. 1942 г. план производства заводами Наркомтанкопрома танковых запасных частей в сумме 95800 тыс. руб. с разбивкой задания по заводам НКТП согласно приложению № 1. </w:t>
      </w:r>
    </w:p>
    <w:p w14:paraId="5420507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2. Директорам заводов Наркомтанкопрома: Кировского – т. МАХОНИНУ; СТЗ – т. ЗАДОРОЖНОМУ; № 183 – т. ЗАЛЬЦМАНУ; № 112 – т. МИХАЛЕВУ; № 174 – т. КАЦНЕЛЬСОНУ; № 76 – т. КОЧЕТКОВУ; № 264 – т. КОРДУНЕР; № 37 – т. ФРЕЗЕРОВУ; № 38 – т. РУБИНЧИКУ; ЗЭМ – т. МОРОЗУ: изготовить во II кв. с/г и поставить ГАБТУ КА и ремонтным заводам промышленности других Наркоматов запасные части к танкам "КВ"; Т-34, Т-60, Т-70, БТ, Т-26, Т-37, Т-38, дизельмоторам "В-2" и электрооборудование на сумму и по номенклатуре, согласно приложений №№ 1, 2, 3, 4, 5, 6, 7, 8, 9, 10 и 11. </w:t>
      </w:r>
    </w:p>
    <w:p w14:paraId="76BC8A1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Директорам заводов: СТЗ – т. ЗАДОРОЖНОМУ; № 112 – т. МИХАЛЕВУ; № 37 – т. ФРЕЗЕРОВУ и № 76 – т. КОЧЕТКОВУ учесть, что в сумму установленного им плана по запчастям не включаются запчасти для капитального ремонта танков и двигателей, как на самих заводах (СТЗ и № 112), а также и на московских филиалах заводов № 37 и № 76. </w:t>
      </w:r>
    </w:p>
    <w:p w14:paraId="3A0BC8B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Установить, что все танки укомплектовываются заводами изготовителями ротными комплектами запасных частей, которые отгружаются одновременно станками из расчета: один ротный комплект на каждые 5 танков "КВ" и на каждые 10 танков "Т-34", "Т-70" и "Т-60" по номенклатуре, утвержденной приказом НКО, НКТП и НКСМ за № 95/104М/М82 от 25/III-42 г. </w:t>
      </w:r>
    </w:p>
    <w:p w14:paraId="7120CFB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Стоимость ротных комплектов входит в общую сумму по запасным частям. </w:t>
      </w:r>
    </w:p>
    <w:p w14:paraId="12CD0C7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Директорам заводов-изготовителей танков и моторов обеспечить укомплектование отправляемых рот запасными частями в сроки, установленные для погрузки машин в эшелоны: </w:t>
      </w:r>
    </w:p>
    <w:p w14:paraId="5F636C8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выделить ответственных лиц за укомплектование машин запчастями; </w:t>
      </w:r>
    </w:p>
    <w:p w14:paraId="044714D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Организовать ежедневную сдачу готовых деталей их цехов на склад запчастей для своевременной подготовки комплектов; </w:t>
      </w:r>
    </w:p>
    <w:p w14:paraId="35F8475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За задержку эшелонов из-за неукомплектовки машин ротными комплектами запчастей, виновных работников завода привлекать к строжайшей административной и материальной ответственности. </w:t>
      </w:r>
    </w:p>
    <w:p w14:paraId="10D695E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Директору Кировского завода т. МАХОНИНУ изготовить во II кв. и поставить Кемеровскому заводу Наркомэлектропрома и заводу № 174 НКТП поковки и стальное литье для производства запчастей к танкам БТ и Т-26, по спецификациям Наркомэлектропрома и завода № 174. </w:t>
      </w:r>
    </w:p>
    <w:p w14:paraId="13416D9A"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Директору Сталинградского тракторного завода тов. ЗАДОРОЖНОМУ изготовить во II кв. 1942 года и поставить Астраханской судоверфи Наркомрыбпрома и заводу № 174 НКТП для производства запчастей к танкам Т-26 отливки ковкого чугуна по спецификациям Наркомрыбпрома и завода № 174. </w:t>
      </w:r>
    </w:p>
    <w:p w14:paraId="501666A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Учесть, что указанным постановлением ГКО обязал Наркомрезинпром производить обрезинку катков танков Т-26 и БТ по заявкам и в срок заводов НКТП, изготавливающих эти катки. </w:t>
      </w:r>
    </w:p>
    <w:p w14:paraId="066C762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Директорам перечисленных в п. 2 заводов принять к сведению и руководству, что премирование работников танковых заводов за выполнение программы по танкам должно производиться при условии выполнения программы по запчастям к танкам. </w:t>
      </w:r>
    </w:p>
    <w:p w14:paraId="09FE529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Обязываю директоров заводов НКТП, изготавливающих запасные части, сохранить установленный порядок отчетности и каждую пятидневку передавать в Наркомат по "ВЧ" сводки о выполнении плана поставки танковых запчастей и электрооборудования. </w:t>
      </w:r>
    </w:p>
    <w:p w14:paraId="7CB37E8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11. Начальнику Диспетчерской службы Наркомата т. Воробейчик обеспечить своевременное получение от заводов сведений о выполнении плана по запчастям, а и.о. Нач. группы запчастей тов. ЛУКЬЯНОВУ – подготовку отчетов для представления в Совнарком СССР и Госплан каждую пятидневку. </w:t>
      </w:r>
    </w:p>
    <w:p w14:paraId="0D0A4E8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12. Начальнику Главснаба НКТП тов. РОЗИНУ обеспечить выделение фондов на необходимые материалы заводам, получившим задание по танковым запчастям. </w:t>
      </w:r>
    </w:p>
    <w:p w14:paraId="5F723A5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13. Оперативный контроль за выполнением Постановления № 1571 ГКО поручил Наркомату Госконтроля – тов. ПОПОВУ и по ГКО тов. ЗЕРНОВУ. </w:t>
      </w:r>
    </w:p>
    <w:p w14:paraId="3C363F5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14. Контроль за выполнением настоящего приказа возлагаю на начальника группы запчастей т. ЛУКЬЯНОВА. </w:t>
      </w:r>
    </w:p>
    <w:p w14:paraId="08294EA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33BBA9F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МАЛЫШЕВ.</w:t>
      </w:r>
    </w:p>
    <w:p w14:paraId="4174839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150</w:t>
      </w:r>
      <w:r w:rsidRPr="008127F8">
        <w:rPr>
          <w:rFonts w:ascii="Times New Roman" w:eastAsia="Times New Roman" w:hAnsi="Times New Roman"/>
          <w:color w:val="000000" w:themeColor="text1"/>
          <w:sz w:val="16"/>
          <w:szCs w:val="16"/>
          <w:lang w:eastAsia="ru-RU"/>
        </w:rPr>
        <w:t xml:space="preserve"> </w:t>
      </w:r>
    </w:p>
    <w:p w14:paraId="2DE9BC7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7AEFA49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1 </w:t>
      </w:r>
    </w:p>
    <w:p w14:paraId="568A887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332с от 12 апреля 1942 г. </w:t>
      </w:r>
    </w:p>
    <w:p w14:paraId="1BA1A22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ВЕДОМОСТЬ</w:t>
      </w:r>
    </w:p>
    <w:p w14:paraId="22D7A8F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распределения производства запчастей по заводам Наркомтанкопрома на 2-й кв. 1942 г.</w:t>
      </w:r>
    </w:p>
    <w:p w14:paraId="4679AE9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тыс. руб.) </w:t>
      </w:r>
    </w:p>
    <w:p w14:paraId="452B02A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НАЧАЛЬНИКА 1-го ОТДЕЛА НКТП подпись (ДАВТЯН)</w:t>
      </w:r>
    </w:p>
    <w:p w14:paraId="1E10FAC3" w14:textId="77777777" w:rsidR="00FA1C99" w:rsidRPr="008127F8" w:rsidRDefault="00FA1C9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[Приложения №№ 2 – 11 не публикуются] (18930).</w:t>
      </w:r>
    </w:p>
    <w:p w14:paraId="0C70D2A0" w14:textId="77777777" w:rsidR="00FA1C99" w:rsidRPr="008127F8" w:rsidRDefault="00FA1C99" w:rsidP="001E0A84">
      <w:pPr>
        <w:spacing w:after="0" w:line="240" w:lineRule="auto"/>
        <w:jc w:val="both"/>
        <w:rPr>
          <w:rFonts w:ascii="Times New Roman" w:hAnsi="Times New Roman"/>
          <w:color w:val="000000" w:themeColor="text1"/>
          <w:sz w:val="16"/>
          <w:szCs w:val="16"/>
        </w:rPr>
      </w:pPr>
    </w:p>
    <w:p w14:paraId="5F4CF80C" w14:textId="77777777" w:rsidR="00FA1C99" w:rsidRPr="008127F8" w:rsidRDefault="00FA1C9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12 апреля 1942 г.</w:t>
      </w:r>
    </w:p>
    <w:p w14:paraId="26D4DFD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176 – 186</w:t>
      </w:r>
      <w:r w:rsidRPr="008127F8">
        <w:rPr>
          <w:rFonts w:ascii="Times New Roman" w:eastAsia="Times New Roman" w:hAnsi="Times New Roman"/>
          <w:color w:val="000000" w:themeColor="text1"/>
          <w:sz w:val="16"/>
          <w:szCs w:val="16"/>
          <w:lang w:eastAsia="ru-RU"/>
        </w:rPr>
        <w:t xml:space="preserve"> </w:t>
      </w:r>
    </w:p>
    <w:p w14:paraId="4F9C222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Сов.секретно. </w:t>
      </w:r>
    </w:p>
    <w:p w14:paraId="33D642D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3DCE75A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3483D80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334сc</w:t>
      </w:r>
    </w:p>
    <w:p w14:paraId="4102D73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2507109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апреля 1942 г</w:t>
      </w:r>
    </w:p>
    <w:p w14:paraId="1B13CF1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 плане производства танков</w:t>
      </w:r>
    </w:p>
    <w:p w14:paraId="61FB75B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 о материально-техническом обеспечении танковой промышленности на 2 квартал 1942 г.</w:t>
      </w:r>
    </w:p>
    <w:p w14:paraId="06E01D0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Государственный Комитет Обороны постановлением за № 1571сс от 9 апреля 1942 г. утвердил на 2 квартал 1942 г. следующий план производства танков и запасных частей к ним: </w:t>
      </w:r>
    </w:p>
    <w:p w14:paraId="5EC6D28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указанного постановления ГОКО – ПРИКАЗЫВАЮ: </w:t>
      </w:r>
    </w:p>
    <w:p w14:paraId="0C86C92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Директорам танковых, моторных, корпусных заводов обеспечить выпуск во 2 квартале: </w:t>
      </w:r>
    </w:p>
    <w:p w14:paraId="29E0982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по Кировскому заводу – и.о. директора завода т. Махонин: </w:t>
      </w:r>
    </w:p>
    <w:p w14:paraId="283A74C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по заводу № 183 – директор завода т. Зальцман: </w:t>
      </w:r>
    </w:p>
    <w:p w14:paraId="659EB0E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по Сталинградскому тракторному заводу – директор завода т. Задорожный: </w:t>
      </w:r>
    </w:p>
    <w:p w14:paraId="13F4CFF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по заводу № 112 – директор завода т. Михалев: </w:t>
      </w:r>
    </w:p>
    <w:p w14:paraId="31DA952A"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 по заводу № 174 – директор завода т. Кацнельсон: </w:t>
      </w:r>
    </w:p>
    <w:p w14:paraId="299937B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е) по заводу № 37 – директор завода т. Фрезеров: </w:t>
      </w:r>
    </w:p>
    <w:p w14:paraId="75FB179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ж) по заводу № 38 – директор завода т. Рубинчик: </w:t>
      </w:r>
    </w:p>
    <w:p w14:paraId="3CC4A07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 по заводу № 264 – директор завода т. Кордунер: </w:t>
      </w:r>
    </w:p>
    <w:p w14:paraId="5E4DFB3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и) по Уралмашзаводу – директор т. Музруков: </w:t>
      </w:r>
    </w:p>
    <w:p w14:paraId="70ABF12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по заводу № 200 – директор завода т. Сочивко: </w:t>
      </w:r>
    </w:p>
    <w:p w14:paraId="0F4E720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л) по заводу № 76 – директор завода т. Кочетков: </w:t>
      </w:r>
    </w:p>
    <w:p w14:paraId="4F78634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 по заводу № 176 – директор завода т. Федотов: </w:t>
      </w:r>
    </w:p>
    <w:p w14:paraId="5886AA7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 по заводу № 177 – директор завода т. Волков: </w:t>
      </w:r>
    </w:p>
    <w:p w14:paraId="414645C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 по заводу № 178 – директор завода т. Скиба: </w:t>
      </w:r>
    </w:p>
    <w:p w14:paraId="3FEF1BF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 по заводу № 180 – директор завода т. Суворов: </w:t>
      </w:r>
    </w:p>
    <w:p w14:paraId="5310893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Зам. начальника 1 отдела т. Давтян и директору завода № 264 т. Кордунер учесть, что указанным постановлением ГОКО завод "Красный Октябрь" Наркомчермета обязан поставить для завода № 264 бронекорпуса к танкам Т-60 во II квартале с.г. 500 шт., в том числе: </w:t>
      </w:r>
    </w:p>
    <w:p w14:paraId="3C6C6BC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апреле – 160 шт. </w:t>
      </w:r>
    </w:p>
    <w:p w14:paraId="266E991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мае – 170 шт. </w:t>
      </w:r>
    </w:p>
    <w:p w14:paraId="7BF4CAB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июне – 170 шт. </w:t>
      </w:r>
    </w:p>
    <w:p w14:paraId="7912D9B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Во изменение приказа НКТП от 15.III за № 286-Мс отгрузить Наркомату Обороны танковые дизельмоторы В-2 во 2-м квартале в следующем количестве: </w:t>
      </w:r>
    </w:p>
    <w:p w14:paraId="6337946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Зам. начальника 1 отдела т. Давтян и директорам заводов: № 37 – т. Фрезерову, № 38 – т. Рубинчик, № 164 – т. Кордунер учесть, что ГОКО обязало Наркомсредмаш (т. Акопова) изготовить и поставить комплектно с электрооборудованием и карбюраторами во 2 квартале 1942 г. с Горьковского автозавода им. Молотова для НКТП моторов ГАЗ-202 для Т-60 – 1130 шт. и для Т-70 сдвоенных моторов – 690 комплектов. </w:t>
      </w:r>
    </w:p>
    <w:p w14:paraId="6645198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Распределить указанное количество моторов </w:t>
      </w:r>
      <w:proofErr w:type="gramStart"/>
      <w:r w:rsidRPr="008127F8">
        <w:rPr>
          <w:rFonts w:ascii="Times New Roman" w:eastAsia="Times New Roman" w:hAnsi="Times New Roman"/>
          <w:color w:val="000000" w:themeColor="text1"/>
          <w:sz w:val="16"/>
          <w:szCs w:val="16"/>
          <w:lang w:eastAsia="ru-RU"/>
        </w:rPr>
        <w:t>о заводам</w:t>
      </w:r>
      <w:proofErr w:type="gramEnd"/>
      <w:r w:rsidRPr="008127F8">
        <w:rPr>
          <w:rFonts w:ascii="Times New Roman" w:eastAsia="Times New Roman" w:hAnsi="Times New Roman"/>
          <w:color w:val="000000" w:themeColor="text1"/>
          <w:sz w:val="16"/>
          <w:szCs w:val="16"/>
          <w:lang w:eastAsia="ru-RU"/>
        </w:rPr>
        <w:t xml:space="preserve">: </w:t>
      </w:r>
    </w:p>
    <w:p w14:paraId="03F1D97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5. Зам. начальника 1 отдела т. Давтян и директору завода № 264 т. Кордунер учесть, что ГОКО обязало Наркомтяжмаш тов. Казакова изготовить во 2 квартале 1942 г. на Коломенском и Ворошиловском заводах 800 шт. литых башен к танкам Т-34 и поставить их НКТП для завода № 264 в апреле – 250 шт., в мае – 275 шт., в июне – 275 шт. </w:t>
      </w:r>
    </w:p>
    <w:p w14:paraId="702F85C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Директору завода № 183 – т. Зальцману принять к сведению и руководству, что означенным постановлением ГОКО отметил "недопустимость длительного цикла (31 день) изготовления корпусов танка Т-34 на заводе № 183, в то время как на заводе № 264 цикл составляет 17 – 18 дней, а на заводе № 112 – 22 дня, как факт низкого уровня организации корпусного производства на заводе № 183". </w:t>
      </w:r>
    </w:p>
    <w:p w14:paraId="6A2B6F2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Обязать директора завода № 183 – т. Зальцмана наметить мероприятия и обеспечить во II квартале доведение цикла изготовления корпуса Т-34 до 18 дней. О принятых мерах и результатах работы сообщить мне для доклада ГОКО. </w:t>
      </w:r>
    </w:p>
    <w:p w14:paraId="1F53A81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Зам. начальника 1 отдела НКТП т. Давтян и директорам заводов: Кировского – т. Махонину, № 183 – т. Зальцман, СТЗ – т. Задорожному, № 112 – т. Михалеву, № 174 – т. Кацнельсон, № 37 – т. Фрезерову, № 38 – т. Рубинчик, № 264 – т. Кордунер и № 177 – т. Волкову учесть, что указанным постановлением ГОКО обязало НКО (ГАУ КА) т. Яковлева и ГАБТУ КА т. Федоренко поставить во 2 квартале 1942 г. Наркомтанкопрому для комплектации танков вооружение и оптику: </w:t>
      </w:r>
    </w:p>
    <w:p w14:paraId="67648FC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Директорам заводов: № 112 – т. Михалеву, № 37 – т. Фрезерову, № 38 – т. Рубинчик, № 264 – т. Кордунер, Кировского – т. Махонину, № 183 – т. Зальцман обеспечить получение с заводов НКСМ, НКТМ, НКБ, НКСС и НКПС узлов и деталей к танкам во 2 квартале с/г., предусмотренных в указанном постановлении ГОКО в количествах и в сроки, согласно приложению № 1. </w:t>
      </w:r>
    </w:p>
    <w:p w14:paraId="17EC0D0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Зам начальника 1 отдела т. Давтян обеспечить надлежащий контроль за выполнением этих поставок. </w:t>
      </w:r>
    </w:p>
    <w:p w14:paraId="55BC693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Директорам заводов: № 183 – т. Зальцман и № 112 – т. Михалеву обеспечить своевременную поставку заводам НКСС им. Горького гор. Кизил, Станкопатрон г. Муром – металла, штамповок, поковок, литья серого и ковкого чугуна, обеспечивающих выполнение установленного им плана поставки по танковым узлам и деталям во 2 кв. 1942 г. </w:t>
      </w:r>
    </w:p>
    <w:p w14:paraId="381D01C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11. Директору Кировского завода – т. Махонину поставить во 2 кв. 1942 г. Томскому и Прокопьевскому электромеханическим заводам НКЭП 3000 узлов сцепления для укомплектования стартеров, в том числе 1000 узлов сцепления в апреле м-це 1942 г. Учесть, что указанным постановлением ГОКО НКЭП обязан подготовить мощности и обеспечить изготовление узлов сцепления для стартеров СТ-700 с 3 кв. 1942 г. на своих заводах. </w:t>
      </w:r>
    </w:p>
    <w:p w14:paraId="4BD9FBD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12. Обязать директора ЗЭМ – т. Мороз и директора филиала завода ЗЭМ – т. Козлова организовать в апреле 1942 г. производство стартера СТ-700 и реле к ним на заводе № 254 – г. Москва, с выпуском во 2 кв. с.г. – 600 шт. </w:t>
      </w:r>
    </w:p>
    <w:p w14:paraId="04A065E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13. Утвердить план внутринаркоматовской кооперации заводов НКТП на 2 квартал (приложения №№ 2, 3, 4, 5, 6, 7, 8). </w:t>
      </w:r>
    </w:p>
    <w:p w14:paraId="18729BE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14. Начальнику 3-го отдела НКТП т. ВАСИНУ утвержденный план на 2 квартал 1942 года по внутринаркоматовской кооперации включить в заводские планы, а директорам заводов – в цеховые планы с жестким графиком изготовления поковок, штамповок, литья и готовых изделий заводам-потребителям. </w:t>
      </w:r>
    </w:p>
    <w:p w14:paraId="7FD4855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15. Отметить имевшее место в 1 квартале крайне неудовлетворительное выполнение заказов внутринаркоматовской кооперации. </w:t>
      </w:r>
    </w:p>
    <w:p w14:paraId="170D892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обеспечение выполнения плана 2 квартала директорам заводов, главным инженерам и главным металлургам изготовлять для танковых заводов заготовки и изделия по кооперированным поставкам в первую очередь, наравне с изготовлением танков, дизелей и корпусов. </w:t>
      </w:r>
    </w:p>
    <w:p w14:paraId="7D531F3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16. Предупредить директоров, главных инженеров и главных металлургов заводов, что за невыполнение плана по внутринаркоматовской кооперации они будут привлекаться к судебной ответственности по законам военного времени, в соответствии с решением ГОКО от 3.I-1942 года. </w:t>
      </w:r>
    </w:p>
    <w:p w14:paraId="78E070F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17. Начальнику Главснаба тов. РОЗИНУ: выделять потребные на производство заказов по кооперации материалы целевым назначением заводам-поставщикам в соответствии с утвержденными планами и организовать наблюдение за правильным расходованием материалов по целевому назначению. </w:t>
      </w:r>
    </w:p>
    <w:p w14:paraId="555AAFB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18. И.о. директора Кировского завода т. МАХОНИНУ учесть, что поставка поковок кривошипов "КВ" с Уралмашзавода будет производиться только до 1-го июня. </w:t>
      </w:r>
    </w:p>
    <w:p w14:paraId="1314B0D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19. Директору завода № 183 т. Зальцман обеспечить штамповку: кривошипов 34-15-027-1, шестерни 34-16-006 и деталь № 1 к М-13 у себя на заводе в следующие сроки: </w:t>
      </w:r>
    </w:p>
    <w:p w14:paraId="1BCFFC8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кривошипы – с 1.V с.г. </w:t>
      </w:r>
    </w:p>
    <w:p w14:paraId="151755C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шестерни – с 15.V с.г. на прессах по технологии завода № 112. </w:t>
      </w:r>
    </w:p>
    <w:p w14:paraId="3B43915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деталь № 1 к М-13 с 1 июня (на ковочных машинах "Нейшенел", полученных с СТЗ. </w:t>
      </w:r>
    </w:p>
    <w:p w14:paraId="2A2C41E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20. Директору завода № 76 т. Кочеткову с 1.VI с.г. полностью обеспечить изготовление поршневых колец и клапанов дизельмоторов В-2 у себя на заводе. </w:t>
      </w:r>
    </w:p>
    <w:p w14:paraId="7EE804D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21. Директору Уралмашзавода т. Музрукову обеспечить с 1 июля с.г. штамповку рым и литье кронштейнов к корпусам КВ и Т-34 у себя на заводе. </w:t>
      </w:r>
    </w:p>
    <w:p w14:paraId="260E9D7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22. Директорам заводов в соответствии с утвержденным на 2 квартал 1942 года планом поставки литья, поковок и обработанных деталей в порядке кооперации (внутринаркоматовской и внешненаркоматовской) представлять ежедекадно и ежемесячно отчет о выполнении плана по установленной ЦСУ форме № 1. </w:t>
      </w:r>
    </w:p>
    <w:p w14:paraId="19BBFE0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Возложить персональную ответственность за своевременное представление этих отчетов на нач. Плановых отделов заводов. </w:t>
      </w:r>
    </w:p>
    <w:p w14:paraId="5C0E236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23. Разрешить директорам заводов премировать особо отличившихся заводских работников по выполнению планов внутринаркоматовской кооперации по танкам, корпусам и моторам, для чего выделить в распоряжение директоров фонд в размере 3% от стоимости выпущенных изделий по кооперации. </w:t>
      </w:r>
    </w:p>
    <w:p w14:paraId="2571B2E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24. Обязать под личную ответственность заместителей директоров заводов по снабжению и сбыту отправлять грузы по кооперированным заказам по танкам, дизелям, корпусам не позже, чем в суточный срок с момента поступления их на склад Отдела Сбыта. </w:t>
      </w:r>
    </w:p>
    <w:p w14:paraId="15E8815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25. Обязать директоров заводов телеграфировать заводам-потребителям, в копии Наркомату, о каждой произведенной отгрузке изделий по кооперации. </w:t>
      </w:r>
    </w:p>
    <w:p w14:paraId="13B6960A"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26. Директорам и главным инженерам учесть, приняв к сведению и руководству, что означенным решением: </w:t>
      </w:r>
    </w:p>
    <w:p w14:paraId="5EA6B04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ГОКО установил, что во 2 квартале 1942 г. важнейшей задачей работы Обкомов ВКП(б): Челябинского, Свердловского, Сталинградского, Горьковского, Омского, Кировского и их первых секретарей т.т. Патоличева, Андрианова, Чуянова, Родионова, Кудинова и Лукьянова должно являться обеспечение выполнения плана по выпуску танков, танковых дизелей и запасных частей к ним. </w:t>
      </w:r>
    </w:p>
    <w:p w14:paraId="3BC5B24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Наркомату Госконтроля т. Попову и по ГОКО т. Зернову поручено установить оперативный контроль за выполнением постановления. </w:t>
      </w:r>
    </w:p>
    <w:p w14:paraId="2A54BB1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План II квартала, и в особенности апрельский, полностью обеспечен на всех заводах имеющимися мощностями механических и заготовительных цехов, рабочей силой и материально-техническим снабжением. Остальное зависит от способностей руководителей заводов и командиров. </w:t>
      </w:r>
    </w:p>
    <w:p w14:paraId="0F991EE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Уверен, что руководители заводов Наркомтанкопрома приложат все силы к безусловному выполнению плана II квартала. </w:t>
      </w:r>
    </w:p>
    <w:p w14:paraId="0043E98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48619BF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МАЛЫШЕВ</w:t>
      </w:r>
    </w:p>
    <w:p w14:paraId="63A8D24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18 экз. </w:t>
      </w:r>
    </w:p>
    <w:p w14:paraId="5E97F8E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173 – 175</w:t>
      </w:r>
      <w:r w:rsidRPr="008127F8">
        <w:rPr>
          <w:rFonts w:ascii="Times New Roman" w:eastAsia="Times New Roman" w:hAnsi="Times New Roman"/>
          <w:color w:val="000000" w:themeColor="text1"/>
          <w:sz w:val="16"/>
          <w:szCs w:val="16"/>
          <w:lang w:eastAsia="ru-RU"/>
        </w:rPr>
        <w:t xml:space="preserve"> </w:t>
      </w:r>
    </w:p>
    <w:p w14:paraId="0735CE6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363D112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1 </w:t>
      </w:r>
    </w:p>
    <w:p w14:paraId="5FC6D72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6A3A08C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ВЕДОМОСТЬ</w:t>
      </w:r>
    </w:p>
    <w:p w14:paraId="4F6EB66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основных танковых узлов и деталей заводам Наркомтанкопрома во II квартале 1942 года. </w:t>
      </w:r>
    </w:p>
    <w:p w14:paraId="65590CB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ПЕРВОГО ОТДЕЛА НКТП</w:t>
      </w:r>
    </w:p>
    <w:p w14:paraId="2449031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(ДАВТЯН)</w:t>
      </w:r>
    </w:p>
    <w:p w14:paraId="2008A84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072C8F9A"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170 – 172</w:t>
      </w:r>
      <w:r w:rsidRPr="008127F8">
        <w:rPr>
          <w:rFonts w:ascii="Times New Roman" w:eastAsia="Times New Roman" w:hAnsi="Times New Roman"/>
          <w:color w:val="000000" w:themeColor="text1"/>
          <w:sz w:val="16"/>
          <w:szCs w:val="16"/>
          <w:lang w:eastAsia="ru-RU"/>
        </w:rPr>
        <w:t xml:space="preserve"> </w:t>
      </w:r>
    </w:p>
    <w:p w14:paraId="538DB85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7EE5168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2 </w:t>
      </w:r>
    </w:p>
    <w:p w14:paraId="359E12B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0C417A1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46F6466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литья, штамповок и готовых деталей во II-м квартале 1942 года с завода № 183. </w:t>
      </w:r>
    </w:p>
    <w:p w14:paraId="70F7F37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ПЕРВОГО ОТДЕЛА НКТП</w:t>
      </w:r>
    </w:p>
    <w:p w14:paraId="734548A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(ДАВТЯН)</w:t>
      </w:r>
    </w:p>
    <w:p w14:paraId="4401B9F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114702B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167 – 169</w:t>
      </w:r>
      <w:r w:rsidRPr="008127F8">
        <w:rPr>
          <w:rFonts w:ascii="Times New Roman" w:eastAsia="Times New Roman" w:hAnsi="Times New Roman"/>
          <w:color w:val="000000" w:themeColor="text1"/>
          <w:sz w:val="16"/>
          <w:szCs w:val="16"/>
          <w:lang w:eastAsia="ru-RU"/>
        </w:rPr>
        <w:t xml:space="preserve"> </w:t>
      </w:r>
    </w:p>
    <w:p w14:paraId="6C4091E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042A402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3 </w:t>
      </w:r>
    </w:p>
    <w:p w14:paraId="63ED08E3"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177AE70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60FE977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деталей (литья и штамповок) во 2-м квартале 1942 г. с СТЗ. </w:t>
      </w:r>
    </w:p>
    <w:p w14:paraId="2206985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ПЕРВОГО ОТДЕЛА НКТП</w:t>
      </w:r>
    </w:p>
    <w:p w14:paraId="720EF3B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подпись (ДАВТЯН)</w:t>
      </w:r>
    </w:p>
    <w:p w14:paraId="42A93AA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713B095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166</w:t>
      </w:r>
      <w:r w:rsidRPr="008127F8">
        <w:rPr>
          <w:rFonts w:ascii="Times New Roman" w:eastAsia="Times New Roman" w:hAnsi="Times New Roman"/>
          <w:color w:val="000000" w:themeColor="text1"/>
          <w:sz w:val="16"/>
          <w:szCs w:val="16"/>
          <w:lang w:eastAsia="ru-RU"/>
        </w:rPr>
        <w:t xml:space="preserve"> </w:t>
      </w:r>
    </w:p>
    <w:p w14:paraId="00E1C95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70F6B35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4 </w:t>
      </w:r>
    </w:p>
    <w:p w14:paraId="434B50D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3B6A63D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7B84E70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деталей (поковок, штамповок и литья) во II-м квартале 1942 г. с УРАЛМАШЗАВОДА. </w:t>
      </w:r>
    </w:p>
    <w:p w14:paraId="349ED82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ПЕРВОГО ОТДЕЛА НКТП</w:t>
      </w:r>
    </w:p>
    <w:p w14:paraId="4CD7DC7C"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(ДАВТЯН)</w:t>
      </w:r>
    </w:p>
    <w:p w14:paraId="10326C5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79734A0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165</w:t>
      </w:r>
      <w:r w:rsidRPr="008127F8">
        <w:rPr>
          <w:rFonts w:ascii="Times New Roman" w:eastAsia="Times New Roman" w:hAnsi="Times New Roman"/>
          <w:color w:val="000000" w:themeColor="text1"/>
          <w:sz w:val="16"/>
          <w:szCs w:val="16"/>
          <w:lang w:eastAsia="ru-RU"/>
        </w:rPr>
        <w:t xml:space="preserve"> </w:t>
      </w:r>
    </w:p>
    <w:p w14:paraId="56EAE0A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0BB8596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5 </w:t>
      </w:r>
    </w:p>
    <w:p w14:paraId="3A4B9BB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01A28625"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5300DCC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ОТРАБОТАННЫХ ПОГОН ВО ВТОРОМ КВАРТАЛЕ 1942 г. С ЗАВОДА № 177 (ВЫКСУНСКОГО ЗАВОДА ДРО) </w:t>
      </w:r>
    </w:p>
    <w:p w14:paraId="6323C0D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ПЕРВОГО ОТДЕЛА НКТП</w:t>
      </w:r>
    </w:p>
    <w:p w14:paraId="6DAA2D5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(ДАВТЯН)</w:t>
      </w:r>
    </w:p>
    <w:p w14:paraId="349AE4C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3548B0A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160 – 164</w:t>
      </w:r>
      <w:r w:rsidRPr="008127F8">
        <w:rPr>
          <w:rFonts w:ascii="Times New Roman" w:eastAsia="Times New Roman" w:hAnsi="Times New Roman"/>
          <w:color w:val="000000" w:themeColor="text1"/>
          <w:sz w:val="16"/>
          <w:szCs w:val="16"/>
          <w:lang w:eastAsia="ru-RU"/>
        </w:rPr>
        <w:t xml:space="preserve"> </w:t>
      </w:r>
    </w:p>
    <w:p w14:paraId="40AD5C7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55C0453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6 </w:t>
      </w:r>
    </w:p>
    <w:p w14:paraId="4C2C844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62DC940D"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4328B042"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деталей (литья и поковок) во 2-м квартале 1942 года с Кировского завода. </w:t>
      </w:r>
    </w:p>
    <w:p w14:paraId="0AFE9F4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1-го ОТДЕЛА НКТП</w:t>
      </w:r>
    </w:p>
    <w:p w14:paraId="653155A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подпись (МАГИДСОН) </w:t>
      </w:r>
    </w:p>
    <w:p w14:paraId="30B1142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14602159"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159</w:t>
      </w:r>
      <w:r w:rsidRPr="008127F8">
        <w:rPr>
          <w:rFonts w:ascii="Times New Roman" w:eastAsia="Times New Roman" w:hAnsi="Times New Roman"/>
          <w:color w:val="000000" w:themeColor="text1"/>
          <w:sz w:val="16"/>
          <w:szCs w:val="16"/>
          <w:lang w:eastAsia="ru-RU"/>
        </w:rPr>
        <w:t xml:space="preserve"> </w:t>
      </w:r>
    </w:p>
    <w:p w14:paraId="46EC17B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6A57A7A4"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7 </w:t>
      </w:r>
    </w:p>
    <w:p w14:paraId="3FC733B1"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5816E37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0121481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ПОКОВОК КРИВОШИПОВ К "КВ" во 2-м квартале 1942 г. с завода № 200 </w:t>
      </w:r>
    </w:p>
    <w:p w14:paraId="74D7577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1-го ОТДЕЛА НКТП</w:t>
      </w:r>
    </w:p>
    <w:p w14:paraId="0444855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подпись (МАГИДСОН) </w:t>
      </w:r>
    </w:p>
    <w:p w14:paraId="53BD519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19 экз. </w:t>
      </w:r>
    </w:p>
    <w:p w14:paraId="20F11EE0"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158</w:t>
      </w:r>
      <w:r w:rsidRPr="008127F8">
        <w:rPr>
          <w:rFonts w:ascii="Times New Roman" w:eastAsia="Times New Roman" w:hAnsi="Times New Roman"/>
          <w:color w:val="000000" w:themeColor="text1"/>
          <w:sz w:val="16"/>
          <w:szCs w:val="16"/>
          <w:lang w:eastAsia="ru-RU"/>
        </w:rPr>
        <w:t xml:space="preserve"> </w:t>
      </w:r>
    </w:p>
    <w:p w14:paraId="5D3A303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1C59B58F"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8 </w:t>
      </w:r>
    </w:p>
    <w:p w14:paraId="3896EC2B"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Приказа НКТП № 334сс от 12 апреля 1942 г. </w:t>
      </w:r>
    </w:p>
    <w:p w14:paraId="10EEF076"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ПЛАН</w:t>
      </w:r>
    </w:p>
    <w:p w14:paraId="398B933E"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ПОСТАВКИ ГОТОВЫХ ДЕТАЛЕЙ ВО II КВАРТАЛЕ 1942 ГОДА С ЗАВОДА № 176 </w:t>
      </w:r>
    </w:p>
    <w:p w14:paraId="3A9C8A17"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НАЧАЛЬНИКА 1-го ОТДЕЛА НКТП СССР</w:t>
      </w:r>
    </w:p>
    <w:p w14:paraId="226A62A8" w14:textId="77777777" w:rsidR="00FA1C99" w:rsidRPr="008127F8" w:rsidRDefault="00FA1C9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(МАГИДСОН)</w:t>
      </w:r>
    </w:p>
    <w:p w14:paraId="665799C0" w14:textId="77777777" w:rsidR="00FA1C99" w:rsidRPr="008127F8" w:rsidRDefault="00FA1C99"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Отп. 19 экз. (18931)/</w:t>
      </w:r>
    </w:p>
    <w:p w14:paraId="49B248F8" w14:textId="77777777" w:rsidR="00FA1C99" w:rsidRPr="008127F8" w:rsidRDefault="00FA1C99" w:rsidP="001E0A84">
      <w:pPr>
        <w:spacing w:after="0" w:line="240" w:lineRule="auto"/>
        <w:jc w:val="both"/>
        <w:rPr>
          <w:rFonts w:ascii="Times New Roman" w:hAnsi="Times New Roman"/>
          <w:color w:val="000000" w:themeColor="text1"/>
          <w:sz w:val="16"/>
          <w:szCs w:val="16"/>
        </w:rPr>
      </w:pPr>
    </w:p>
    <w:p w14:paraId="57A6335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г. приказом № 334сс Наркома танковой промышленности В.А.Малышева «О плане производства танков и о материально-техническом обеспечении танковой промышленности на II кв. 1942 г.» предусматривал следующие меры: «Предупредить директоров, главных инженеров и главных металлургов заводов, что за невыполнение плана по внутринаркоматовской кооперации они будут привлекаться к судебной ответственности по законам военного времени в соответствии с решением ГКО от 3.1. 1942 г.</w:t>
      </w:r>
    </w:p>
    <w:p w14:paraId="1E0CD4B2"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директоров заводов телеграфировать заводам-потребителям, в копии наркомату о каждой производственной отгрузке изделий по кооперации» </w:t>
      </w:r>
      <w:r w:rsidR="00D335F6" w:rsidRPr="008127F8">
        <w:rPr>
          <w:rFonts w:ascii="Times New Roman" w:hAnsi="Times New Roman"/>
          <w:color w:val="000000" w:themeColor="text1"/>
          <w:sz w:val="16"/>
          <w:szCs w:val="16"/>
        </w:rPr>
        <w:fldChar w:fldCharType="begin"/>
      </w:r>
      <w:r w:rsidR="00D335F6" w:rsidRPr="008127F8">
        <w:rPr>
          <w:rFonts w:ascii="Times New Roman" w:hAnsi="Times New Roman"/>
          <w:color w:val="000000" w:themeColor="text1"/>
          <w:sz w:val="16"/>
          <w:szCs w:val="16"/>
        </w:rPr>
        <w:instrText xml:space="preserve">REF HYPERLINK  \l "22" \* MERGEFORMAT </w:instrText>
      </w:r>
      <w:r w:rsidR="00D335F6"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[22]</w:t>
      </w:r>
      <w:r w:rsidR="00D335F6"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w:t>
      </w:r>
    </w:p>
    <w:p w14:paraId="6D4871B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Сокращение сроков отчетности по военным заказам: отчеты наркоматов по выполнению планов производства оборонной продукции давались за следующие сроки: месяц, 20 дней, 15 дней, декада, пятидневка, день (например, 11,12,13,14,15 декабря 1942 г.).</w:t>
      </w:r>
    </w:p>
    <w:p w14:paraId="0F3ED35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Сосредоточение ресурсов на небольшом количестве заводов-гигантов. Так, в системе Наркомтанкопрома создавались предприятия с числом рабочих 5.000-10.000 - ориентированные на самообеспечение комбинаты, объединяющие различные производства, максимально независимые от поставщиков и работы транспорта (12291).</w:t>
      </w:r>
    </w:p>
    <w:p w14:paraId="783E9F6C"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1576E4E1"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w:t>
      </w:r>
    </w:p>
    <w:p w14:paraId="0D373BEC"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Между тем, завод столкнулся с ещё одной проблемой, которой стали моторы. За 1-й квартал 1942 года ГАЗ им. Молотова недопоставил 664 двигателя. Из-за проблем с поставками моторов сборочный цех завода №37 простаивал в течение апреля 8 дней. При этом за тот же апрель было изготовлено 230 корпусов (100% плана), так что задержка с двигателями очень сильно повлияла на выпуск Т-60. Именно в этот момент пригодилась теоретическая возможность установки в Т-60 двигателя ЗИС-5, которая предусматривалась на момент проработки корпуса танка проекта 060 ещё в июле 1941 года.</w:t>
      </w:r>
    </w:p>
    <w:p w14:paraId="1B027858"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Работой над установкой двигателя ЗИС-5/ЗИС-16 в Т-60 занялось конструкторского бюро завода №37. Костяк КБ составляли конструкторы, ранее работавшие в отделе 22 завода №37 до его эвакуации в Свердловск (данный отдел был ответственным за опытные работы по танковой тематике). К весне 1942 года КБ возглавил Н. А. Попов, до эвакуации работавший старшим конструктором по теме Т-40. На посту начальника отдела №22 он сменил Г. С. Суреняна, возглавлявшего отдел ещё до эвакуации (также до Попова он возглавлял заводское КБ)/</w:t>
      </w:r>
    </w:p>
    <w:p w14:paraId="48CF96DE"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Необходимый для установки в танк двигатель был снят с автобуса ЗИС-16, который к тому моменту проездил без капитального ремонта 35000 километров. Танковая версия двигателя ЗИС-16 получила обозначение ЗИС-60. По сравнению с ЗИС-16 новый мотор имел изменённые выхлопной коллектор, картер маховика с креплениями двигателя, а также конус коленчатого вала с насаженным шкивом для привода вентилятора. Кроме того, на ЗИС-60 ставились заводной механизм от Т-60 и усиленный радиатор. Помимо нового двигателя, на танк была установлена главная передача с изменёнными передаточными соотношениями. Также была переделана выхлопная система (17468).</w:t>
      </w:r>
    </w:p>
    <w:p w14:paraId="5EDBA6C0" w14:textId="77777777" w:rsidR="00F76B33" w:rsidRPr="008127F8" w:rsidRDefault="00F76B33" w:rsidP="001E0A84">
      <w:pPr>
        <w:pStyle w:val="af"/>
        <w:spacing w:before="0" w:after="0"/>
        <w:jc w:val="both"/>
        <w:rPr>
          <w:color w:val="000000" w:themeColor="text1"/>
          <w:sz w:val="16"/>
          <w:szCs w:val="16"/>
        </w:rPr>
      </w:pPr>
    </w:p>
    <w:p w14:paraId="2B99075E"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 (17636).</w:t>
      </w:r>
    </w:p>
    <w:p w14:paraId="28BC5F0A"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p>
    <w:p w14:paraId="3C590E52"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апреля 1942 года было подписано Постановление ГКО №1581 "О выпуске танков Т-60 на заводе №37 Наркомсредмаша". Согласно ему, производство Т-60 сохранялось до августа 1942 года. А еще так совпало, что у Гинзбурга имелся в запасе проект требований на универсальное шасси с использованием агрегатов Т-60. Одним словом, интересы завода и заместителя начальника Техотдела НКТП совпали. Самое интересное, что в НКТП использование агрегатов двух разных танков утвердили уже через неделю после пленума Арткома ГАУ КА. Про Т-70 в Свердловске, естественно, не забыли, но однозначным приоритетом стало шасси на агрегатах Т-60.</w:t>
      </w:r>
    </w:p>
    <w:p w14:paraId="3F874578"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То, что именно Т-60 являлся приоритетным при разработке универсальных шасси, говорит и нумерация данной разработки. Она получила обозначение "шасси 31", а то же самое, но на агрегатах Т-70 - "шасси 32". Ведущим инженером "шасси 31" стал инженер-конструктор отдела 030 К.Е.Истомин. Компоновка шасси полностью соответствовала тем требованиям, которые выдвигал в начале 1942 года С.А. Гинзбург. Собственно говоря, Семен Александрович принимал самое активное участие </w:t>
      </w:r>
      <w:r w:rsidRPr="008127F8">
        <w:rPr>
          <w:rFonts w:ascii="Times New Roman" w:eastAsia="Times New Roman" w:hAnsi="Times New Roman"/>
          <w:color w:val="000000" w:themeColor="text1"/>
          <w:sz w:val="16"/>
          <w:szCs w:val="16"/>
          <w:lang w:eastAsia="ru-RU"/>
        </w:rPr>
        <w:lastRenderedPageBreak/>
        <w:t>в данной работе. Поскольку предполагалось, что шасси будет выпускаться на заводе №37, в случае его одобрения, то степень унификации с Т-60 была максимальной. Отчасти даже использовались некоторые элементы корпуса (например, рубка механика-водителя). Вместе с тем, в ходовую часть пришлось вносить изменения. Например, длина торсионных валов увеличивалась с 1718 до 2225 мм. Связано это оказалось с тем, что ширина шасси выросла с 2030 до 2546 мм. В связи с тем, что теперь моторы, а также коробки передач, стояли параллельно, пришлось городить довольно оригинальную систему переключения КПП. Механик-водитель управлял одним большим рычагом. В зависимости от типа вооружения, масса варьировалась в пределах 9,5-9,9 тонн. Броневая защита корпуса достигала 30 мм, а рубки - 10-30 мм. Более толстая броня предполагалась для штурмовой САУ.</w:t>
      </w:r>
    </w:p>
    <w:p w14:paraId="4380D2BA"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Более высокий приоритет "шасси 31" виден и по той причине, что оно планировалось в трех вариантах исполнения, а "шасси 32" - в двух. Под обозначением БГС-1 (Боевая Гусеничная Машина 1) скрывалась ЗСУ с 25-мм зенитной пушкой 72-К. Вообще-то ее должен был разрабатывать завод №4 совместно с заводом №37, но на самом деле данная тема перешла заводу №8 НКВ. Непосредственно на заводе №37, совместно с УЗТМ, разрабатывали другую ЗСУ - БГС-2, данная машина предполагала установку 37-мм зенитной автоматической пушки 61-К. В отличие от 72-К, с производством которой была откровенная беда, 61-К являлась основной малокалиберной зенитной пушкой Красной Армии, так что с ней вообще никаких проблем не имелось. Некоторое время в воздухе маячила и зенитная башня разработки В.И. Савина, но эту тему очень быстро убрали в стол. Точнее, выкинули вместе с чертежными столами, о чем 26 июня 1942 года Савин сообщил начальнику 4-го отдела БТУ инженер-майору Ф.А. Ненарокову. Случилось это, кстати говоря, 22 мая 1942 года, как раз в тот день, когда утверждали проекты обоих шасси. Также стоит отметить, что БГС-2 </w:t>
      </w:r>
      <w:proofErr w:type="gramStart"/>
      <w:r w:rsidRPr="008127F8">
        <w:rPr>
          <w:rFonts w:ascii="Times New Roman" w:eastAsia="Times New Roman" w:hAnsi="Times New Roman"/>
          <w:color w:val="000000" w:themeColor="text1"/>
          <w:sz w:val="16"/>
          <w:szCs w:val="16"/>
          <w:lang w:eastAsia="ru-RU"/>
        </w:rPr>
        <w:t>- это</w:t>
      </w:r>
      <w:proofErr w:type="gramEnd"/>
      <w:r w:rsidRPr="008127F8">
        <w:rPr>
          <w:rFonts w:ascii="Times New Roman" w:eastAsia="Times New Roman" w:hAnsi="Times New Roman"/>
          <w:color w:val="000000" w:themeColor="text1"/>
          <w:sz w:val="16"/>
          <w:szCs w:val="16"/>
          <w:lang w:eastAsia="ru-RU"/>
        </w:rPr>
        <w:t xml:space="preserve"> та самая загадочная САУ "У-32", которая указана в историческом формуляре УЗТМ. Наконец, под индексом БГС-3 значилась штурмовая САУ с вооружением в виде 76-мм дивизионного орудия ЗИС-3. Она же, в формуляре УЗТМ, значится как У-31. Работы, со стороны УЗТМ, велись под руководством Л.И. Горлицкого, ведущими инженерами были К. Н. Ильин и А. Н. Шляков (21063).</w:t>
      </w:r>
    </w:p>
    <w:p w14:paraId="40210402"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E6D7F4"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1942 Молотов подписал постановление ГКО №1581 "О выпуске танков Т-60 на заводе №37 Наркомсредмаша". Выпуск Т-70 сдвигался на июль.</w:t>
      </w:r>
    </w:p>
    <w:p w14:paraId="1CF7AC85"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Заводу №37 принятое решение облегчило жизнь, но не лишило статуса едва ли не самого несчастного советского завода по производству танков. Такого уровня страданий, как в Свердловске, не испытывал ни один другой завод. Срыв поставок узлов и агрегатов смежниками носил систематический характер. Прежде всего это касалось моторов (ГАЗ) и элементов ходовой части (завод №183). Ни о каких 200 линейных и 50 радийных Т-60 в марте 1942 года не шло и речи. В марте было принято 165 танков, но рост выпуска сопровождался растущими проблемами с заводами-кооператорами. Достаточно сказать, что из 190 Т-60, принятых в апреле, 86 танков оказалось без гусениц. Апрельский план, на всякий пожарный, составлял 184 линейных и 46 радийных танков. Из-за проблем с поставками моторов сборочный цех завода №37 простаивал в течение апреля 8 дней. За апрель было изготовлено 230 корпусов (100% плана), так что задержка с двигателями очень сильно повлияла на выпуск Т-60. Такая кошмарная ситуация привела к началу работ по установке в Т-60 моторов ЗИ (23355).</w:t>
      </w:r>
    </w:p>
    <w:p w14:paraId="64A22DFA" w14:textId="77777777" w:rsidR="00484D7D" w:rsidRPr="008A2E5A" w:rsidRDefault="00484D7D" w:rsidP="00484D7D">
      <w:pPr>
        <w:spacing w:after="0" w:line="240" w:lineRule="auto"/>
        <w:jc w:val="both"/>
        <w:rPr>
          <w:rFonts w:ascii="Times New Roman" w:hAnsi="Times New Roman"/>
          <w:color w:val="0070C0"/>
          <w:sz w:val="16"/>
          <w:szCs w:val="16"/>
        </w:rPr>
      </w:pPr>
    </w:p>
    <w:p w14:paraId="3CCAAA7C"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12 апреля 1942 года было подписано постановление ГКО №1581 "О выпуске танков Т-60 на заводе №37 Наркомсредмаша". Данное постановление сдвигало начало производства Т-70 на июль 1942 года (в этом месяце сдавалось 10 танков). На таком переносе настоял В.А. Малышев, нарком танковой промышленности. Между тем, и в апреле имелись проблемы с поставкой моторов. Из-за этого завод простаивал 8 дней апреля и первые 10 дней мая. В результате появилось логичное решение о переводе танка на мотор ЗИС-16, либо, если совсем дела будут плохи, на ЗИС-5. Такие моторы весной 1942 года освоили в Миассе, куда в 1941 году эвакуировали часть производства ЗИС. Коробки передач для Т-70, к слову, делалась там же. Инициаторами появления Т-45 следует считать руководство НКТП и военную приёмку завода №37. Сам Малышев в апреле 1942 года продвигал идею отсрочки выпуска Т-70 в Свердловске тем, что это даст Красной Армии лишние 400 Т-60. А тут получалось, что еще и с моторами беда. Военная приёмка </w:t>
      </w:r>
      <w:proofErr w:type="gramStart"/>
      <w:r w:rsidRPr="008A2E5A">
        <w:rPr>
          <w:rFonts w:ascii="Times New Roman" w:hAnsi="Times New Roman"/>
          <w:color w:val="0070C0"/>
          <w:sz w:val="16"/>
          <w:szCs w:val="16"/>
        </w:rPr>
        <w:t>на завода</w:t>
      </w:r>
      <w:proofErr w:type="gramEnd"/>
      <w:r w:rsidRPr="008A2E5A">
        <w:rPr>
          <w:rFonts w:ascii="Times New Roman" w:hAnsi="Times New Roman"/>
          <w:color w:val="0070C0"/>
          <w:sz w:val="16"/>
          <w:szCs w:val="16"/>
        </w:rPr>
        <w:t xml:space="preserve"> била тревогу и предлагала решать вопрос с моторами в начале мая 1942 года. Но по факту всё началось явно раньше. За неделю подобные решения точно не выполняются. Кроме того, к ремоторизации свердловских Т-60 подключили С.А. Гинзбурга, явно с санкции Малышева и Ж.Я. Котина.</w:t>
      </w:r>
    </w:p>
    <w:p w14:paraId="45FB28A5"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теме перевода Т-60 на мотор ЗИС-5/ЗИС-16 вел возрожденный на новом месте отдел "22". Возглавил работы Н.А. Попов, имевший большой опыт по теме Т-40 и точно участвовавший в первой попытке перевода малого танка на мотор ЗИС. Задача усложнялась тем, что производство моторов ЗИС-16 еще не освоили, поэтому и была "заплатка" в виде ЗИС-5. На заводе №37 уже были в курсе, что мотор этот для Т-60 слабоват, поскольку масса танка достигла отметки в 6 тонн. В любом случае, приоритетом становился доработанный мотор ЗИС-16, причем заводу достался подержанны двигатель с пробегом 35000 километров. Мотор доработали: выхлопной коллектор переделали, также доработали картер маховика с креплениями двигателя, и конус коленчатого вала с насаженным шкивом для привода вентилятора. Поскольку было понятно, что нагрузка на мотор возрастет, а у Т-60 и так с тепловым режимом дела обстояли не очень, поставили усиленный радиатор. Переработанную силовую установку обозначили как ЗИС-60. В случае успеха смежником по двигателю становился завод в Миассе.</w:t>
      </w:r>
    </w:p>
    <w:p w14:paraId="4F53145D"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Самое смешное, что завод №37 построил именно то, что просили в ГАБТУ КА. Но просили осенью 1941 года, а на дворе был уже май 1942 года.</w:t>
      </w:r>
    </w:p>
    <w:p w14:paraId="41410622" w14:textId="77777777" w:rsidR="00484D7D" w:rsidRPr="008A2E5A" w:rsidRDefault="00484D7D" w:rsidP="00484D7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корпус Т-60 мотор с доработанной системой охлаждения вписались без особых проблем. Внешне корпус не менялся, правда, пришлось дорабатывать заводной механизм и выхлопную систему. Успех в работе привел к тому, что отдел "22", явно получив согласие от НКТП, пошел дальше. Там начали работы по более глубокой модернизации Т-60, которая и получила индекс Т-45. К началу мая проект был готов, а к 8 числу уже изготовили опытный образец. Корпус менялся не сильно: толщину верхнего лобового листа увеличили до 25 мм, также переделывался люк механика-водителя. Его сделали сдвигающимся вбок, поскольку вылезать через него оказалось затруднительно. Сильнее всего изменилась башня. За основу взяли штатную башню Т-60, которая получила кормовую нишу и вытянутую вперед орудийную установку. Внутрь поставили 45-мм пушку, сдвинутую максимально вправо. По центру разместили телескопический прицел ТМФП, а справа - спаренный пулемет ДТ. Толщина башни выросла до 35 мм, а общая масса танка - до 6800 кг. Именно до такой массы нагрузили переделанный Т-60 (23347).</w:t>
      </w:r>
    </w:p>
    <w:p w14:paraId="769511BA" w14:textId="77777777" w:rsidR="00484D7D" w:rsidRPr="008A2E5A" w:rsidRDefault="00484D7D" w:rsidP="00484D7D">
      <w:pPr>
        <w:spacing w:after="0" w:line="240" w:lineRule="auto"/>
        <w:jc w:val="both"/>
        <w:rPr>
          <w:rFonts w:ascii="Times New Roman" w:hAnsi="Times New Roman"/>
          <w:color w:val="0070C0"/>
          <w:sz w:val="16"/>
          <w:szCs w:val="16"/>
        </w:rPr>
      </w:pPr>
    </w:p>
    <w:p w14:paraId="625D3192" w14:textId="77777777" w:rsidR="005F6526" w:rsidRPr="007155F3" w:rsidRDefault="005F6526" w:rsidP="005F6526">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12 апреля 1942 года Сталин подписал постановление ГКО №1581сс "О выпуске танков Т-60 на заводе № 37 Наркомтанкопрома". Согласно ему, первые Т-70 в Свердловске выпускались в июле 1942 года, а в августе завод сдавал уже 75 танков данного типа. (24898).</w:t>
      </w:r>
    </w:p>
    <w:p w14:paraId="2C43AAF2" w14:textId="77777777" w:rsidR="005F6526" w:rsidRPr="007155F3" w:rsidRDefault="005F6526" w:rsidP="005F6526">
      <w:pPr>
        <w:spacing w:after="0" w:line="240" w:lineRule="auto"/>
        <w:jc w:val="both"/>
        <w:rPr>
          <w:rFonts w:ascii="Times New Roman" w:hAnsi="Times New Roman"/>
          <w:color w:val="0070C0"/>
          <w:sz w:val="16"/>
          <w:szCs w:val="16"/>
        </w:rPr>
      </w:pPr>
    </w:p>
    <w:p w14:paraId="5D96DDD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г. вышел ПРИКАЗ ПО ГАБТУ КА О РАБОТЕ СКЛАДА № 37</w:t>
      </w:r>
    </w:p>
    <w:p w14:paraId="7FC89D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АБТ склад № 37 разместить на территории склада № 84 ГИУ КА в г. Горьком, назначив его для хранения машин иностранных марок, запчастей и материалов.</w:t>
      </w:r>
    </w:p>
    <w:p w14:paraId="4E476E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 складе организовать:</w:t>
      </w:r>
    </w:p>
    <w:p w14:paraId="2576B5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отдел запасных частей и агрегатов к английским и американским танкам;</w:t>
      </w:r>
    </w:p>
    <w:p w14:paraId="562500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отдел запасных частей колесных машин к английским и американским колесным машинам;</w:t>
      </w:r>
    </w:p>
    <w:p w14:paraId="64A40B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отдел электро- и радиооборудования к боевым и колесным машинам;</w:t>
      </w:r>
    </w:p>
    <w:p w14:paraId="044FB3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отдел горюче-смазочных материалов к английским и американским танкам и автомашинам.</w:t>
      </w:r>
    </w:p>
    <w:p w14:paraId="00949A5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15 апреля 1942 г. прекратить завоз на склад № 37 имущества отечественного производства.</w:t>
      </w:r>
    </w:p>
    <w:p w14:paraId="5FF0EF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Всем управлениям ГАБТУ КА к 1 мая 1942 г. освободить склад № 37 от имущества отечествен</w:t>
      </w:r>
      <w:r w:rsidRPr="008127F8">
        <w:rPr>
          <w:rFonts w:ascii="Times New Roman" w:hAnsi="Times New Roman"/>
          <w:color w:val="000000" w:themeColor="text1"/>
          <w:sz w:val="16"/>
          <w:szCs w:val="16"/>
        </w:rPr>
        <w:softHyphen/>
        <w:t>ного производства.</w:t>
      </w:r>
    </w:p>
    <w:p w14:paraId="392BF47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Начальнику склада № 37 полковнику т. Зырянову провести по складу следующие мероприятия:</w:t>
      </w:r>
    </w:p>
    <w:p w14:paraId="664E8DF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25.4.1942 г. организовать консервацию запасных частей с горячей обработкой и к 15.6.1942 г. закончить обработку всех деталей, находящихся на складе;</w:t>
      </w:r>
    </w:p>
    <w:p w14:paraId="6EA905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полностью закончить приемку запасных частей к 1.5.1942 г. и в дальнейшем прием имущест</w:t>
      </w:r>
      <w:r w:rsidRPr="008127F8">
        <w:rPr>
          <w:rFonts w:ascii="Times New Roman" w:hAnsi="Times New Roman"/>
          <w:color w:val="000000" w:themeColor="text1"/>
          <w:sz w:val="16"/>
          <w:szCs w:val="16"/>
        </w:rPr>
        <w:softHyphen/>
        <w:t>ва производить в течение 3-5 дней. Документы на принятое имущество представлять немедленно;</w:t>
      </w:r>
    </w:p>
    <w:p w14:paraId="65472E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 1.6.1942 г. построить стеллажи и имущество разложить на них по маркам машин.</w:t>
      </w:r>
    </w:p>
    <w:p w14:paraId="76BF2A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 ходе разгрузки, от имущества отечественного производства, начальнику склада № 37 доло</w:t>
      </w:r>
      <w:r w:rsidRPr="008127F8">
        <w:rPr>
          <w:rFonts w:ascii="Times New Roman" w:hAnsi="Times New Roman"/>
          <w:color w:val="000000" w:themeColor="text1"/>
          <w:sz w:val="16"/>
          <w:szCs w:val="16"/>
        </w:rPr>
        <w:softHyphen/>
        <w:t>жить начальнику АТУ ГАБТУ КА 20, 25 и 30 апреля 1942 г.</w:t>
      </w:r>
    </w:p>
    <w:p w14:paraId="1ECA7E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ГАБТУ КА генерал-майор технических войск Лебедев</w:t>
      </w:r>
    </w:p>
    <w:p w14:paraId="595BEB2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военного комиссара ГАБТУ КА полковой комиссар Вильховченко</w:t>
      </w:r>
    </w:p>
    <w:p w14:paraId="3659CE5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138. Л. 48. Копия (11211).</w:t>
      </w:r>
    </w:p>
    <w:p w14:paraId="2E4E249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DEA3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вышло Постановление ГКО № 1578 О мерах обеспечения навигации 1942 года и улучшения портового хозяйства в Каспийском бассейне. РГАНИР, Фонд ГКО, д. 29, лл. 9-17, 18-27 (11012).</w:t>
      </w:r>
    </w:p>
    <w:p w14:paraId="2625D1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0EC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вышло Постановление ГКО № 1579 О поручении Первухину М.Г. принять участие в передаче дел по ГВХУ НКО. РГАНИР, Фонд ГКО, д. 29, лл. 28 (11012).</w:t>
      </w:r>
    </w:p>
    <w:p w14:paraId="51189C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61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вышло Постановление ГКО № 1581 О выпуске танков Т-60 на заводе № 37 Наркомтанкопрома. РГАНИР, Фонд ГКО, д. 29, лл. 47-48 (11012).</w:t>
      </w:r>
    </w:p>
    <w:p w14:paraId="0E3A2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A81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г., когда была выпущена первая аккумуляторная батарея (этот день стал днем рождения завода) вступил в строй действующих завод «Дальаккстрой» по производству аккумуляторных батарей для ПЛ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Производство морских и автобронетанковых аккумуляторных батарей.</w:t>
      </w:r>
    </w:p>
    <w:p w14:paraId="7EF23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1936 г. по постановлению СТО было начато строительство завода «Дальаккстрой» по производству аккумуляторных батарей для ПЛ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В соответствии с пост. СНК № 2139-425сс от 21.12.1936 г. и пр. № 59 от 14.02.1937 г. «Дальаккстрой» передан из ВАКТ в ведение ГУ аккумуляторной промышленности НКОП.</w:t>
      </w:r>
      <w:r w:rsidRPr="008127F8">
        <w:rPr>
          <w:rFonts w:ascii="Times New Roman" w:hAnsi="Times New Roman"/>
          <w:color w:val="000000" w:themeColor="text1"/>
          <w:sz w:val="16"/>
          <w:szCs w:val="16"/>
          <w:vertAlign w:val="superscript"/>
        </w:rPr>
        <w:t>139</w:t>
      </w:r>
      <w:r w:rsidRPr="008127F8">
        <w:rPr>
          <w:rFonts w:ascii="Times New Roman" w:hAnsi="Times New Roman"/>
          <w:color w:val="000000" w:themeColor="text1"/>
          <w:sz w:val="16"/>
          <w:szCs w:val="16"/>
        </w:rPr>
        <w:t xml:space="preserve"> По пр. № 18с от 19.01.1938 г. переименован в завод № 364 19ГУ НКОП. В 02.1939 г. из 19ГУ передан в ведение НКСП, далее - в ведении НКЭП.</w:t>
      </w:r>
    </w:p>
    <w:p w14:paraId="2D5BC1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правительства № 140сс от 27.06.1938 г. и приказами № 199сс от 5.06.1938 г. и № 402с от 15.10.1938 г. требовалось закончить техпроект завода к 15.03.1939 г. (ГПИ-9); завершить строительство завода в 1-й половине 1940 г. Проектная мощность была установлена 200 тыс. батарей в год. Приказом № 405с от 16.10.1938 г. была назначена комиссия для выбора к 1.01.1939 г. площадки под строительство завода.</w:t>
      </w:r>
    </w:p>
    <w:p w14:paraId="340EBF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После начала войны строительство было резко форсировано. Сюда был эвакуирован из Ленинграда завод № 223. </w:t>
      </w:r>
    </w:p>
    <w:p w14:paraId="34D0B2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1993 г. освоено производство гражданской продукции- автомобильных аккумуляторов.</w:t>
      </w:r>
    </w:p>
    <w:p w14:paraId="455D80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КАЭТЗ акционирован и преобразован в АООТ КАЭТЗ, в 2000 г. ОАО КАЭТЗ преобразовано в ОАО КнААЗ. В 2009 г. предприятие являлось банкротом, имущество выставлено на торги.</w:t>
      </w:r>
    </w:p>
    <w:p w14:paraId="2F1EE1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(2000-02 г.)- В.Д. Щетинин, (-2007 г.)- Е.В. Высотин, (2007 г.-)- С. Г. Кузьменко. Конкурсный управляющий (18.03.2009 г.-)- В.А. Легалов.</w:t>
      </w:r>
    </w:p>
    <w:p w14:paraId="4EAEF5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строительства (-8.07.1937 г.)- Б.А. Адмиральский, (8.07.1937-11.1938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Вальков.</w:t>
      </w:r>
    </w:p>
    <w:p w14:paraId="28FC7D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(16.05.1937-5.02.1938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Москвин; и.о. (-10-11.1938 г.)- И.Д. Салов.</w:t>
      </w:r>
      <w:r w:rsidRPr="008127F8">
        <w:rPr>
          <w:rFonts w:ascii="Times New Roman" w:hAnsi="Times New Roman"/>
          <w:color w:val="000000" w:themeColor="text1"/>
          <w:sz w:val="16"/>
          <w:szCs w:val="16"/>
          <w:vertAlign w:val="superscript"/>
        </w:rPr>
        <w:t>139</w:t>
      </w:r>
    </w:p>
    <w:p w14:paraId="796FCE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аккумуляторные батареи: ЗСТ-80 (1942-), морская 29-ЩН (1942-), танковая 6СТЭН-140 (1942- ), 6СТ-90А (2008), 12СТС-85АС (2008), 6СТС-140АС (2008) (11982).</w:t>
      </w:r>
    </w:p>
    <w:p w14:paraId="5162B7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54C1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EB5ED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6F745B"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в 1942 году утреннее сообщение Совинформбюро:</w:t>
      </w:r>
    </w:p>
    <w:p w14:paraId="22CFC670"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12 апреля на фронте каких-либо существенных изменений не произошло.</w:t>
      </w:r>
    </w:p>
    <w:p w14:paraId="17FC8870"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(Западный фронт) отбила контратаку немецкой пехоты. Противник оставил на поле боя около 200 трупов. Захвачены трофеи. На другом участке наши бойцы, сломив упорное сопротивление противника, продвинулись вперёд. Немцы понесли большие потери в живой силе и боевой технике.</w:t>
      </w:r>
    </w:p>
    <w:p w14:paraId="4E0AEAAE"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Чистякова (Калининский фронт) в бою за укреплённый пункт уничтожила 4 немецких орудия, 7 миномётов, 13 автомашин с пехотой и боеприпасами. Немцы потеряли убитыми и ранеными 320 человек. На другом участке часть под командованием т. Колоскова, отбив атаку противника, на его плечах ворвалась в укреплённый район и выбила гитлеровцев из двух населённых пунктов.</w:t>
      </w:r>
    </w:p>
    <w:p w14:paraId="13DA05AE"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Мачужинского в одном из боёв огнём и гусеницами уничтожил немецкий танк, 2 пулемёта и около 120 вражеских солдат и офицеров.</w:t>
      </w:r>
    </w:p>
    <w:p w14:paraId="2E18B057"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бойцов, оперирующая в тылу противника на Западном фронте, уничтожила 250 немецких солдат и офицеров.</w:t>
      </w:r>
    </w:p>
    <w:p w14:paraId="0431C211"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Отечественной войны врач-хирург К.Стефаненков в боевой обстановке произвёл 952 хирургические операции. Часто он по много часов не отходил от операционного стола, спасая жизнь раненых бойцов, командиров и политработников.</w:t>
      </w:r>
    </w:p>
    <w:p w14:paraId="03EEAC18"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Будучи ранен во время одной из бомбардировок госпиталя немецкими самолётами, т. Стефаненков не оставил своего поста до тех пор, пока не укрыл всех раненых бойцов.</w:t>
      </w:r>
    </w:p>
    <w:p w14:paraId="764CC4BF"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под командованием тов. П., действующий в одном из оккупированных немцами районов Курской области, за время своей боевой деятельности совершил 48 налётов на гарнизоны противника. Партизанами убито и ранено 342 гитлеровских солдата и офицера. Захвачено много оружия, патронов, гранат, пистолетов, а также документы штаба немецкой части. Партизанам стало известно, что немцы численностью до одного батальона грабят жителей одного села. Партизанский отряд внезапно атаковал немцев и выбил их из села. В бою партизаны уничтожили свыше 100 гитлеровцев. Недавно партизаны совершили два налёта на ДЗОТы противника и забросали их гранатами. Один ДЗОТ взорван вместе с находившимися в нём немецкими солдатами.</w:t>
      </w:r>
    </w:p>
    <w:p w14:paraId="7A24BDC8"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5 роты 516 полка 295 немецкой пехотной дивизии Пауль Штарк рассказал: «Меня вместе со многими другими рабочими военных заводов Германии в середине января мобилизовали в армию, погрузили в эшелон и спешно отправили на фронт. Здесь мы с первых же дней узнали всё то, что германское командование так тщательно скрывает от населения. Мы узнали, что германские войска несут тяжёлые потери. В нашей 5 роте из солдат, перешедших русскую границу в начале войны, осталось только четверо, остальные убиты и ранены. Многие из нас пришли к выводу, что тот, кто останется на передовых позициях, отсюда живым не уйдёт. Мы решили, что самый верный выход из войны — это сдаться в плен».</w:t>
      </w:r>
    </w:p>
    <w:p w14:paraId="6E919F29"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военном заводе в Бремене (Германия) мастер-немец избил трёх рабочих-французов за невыполнение нормы. В знак протеста иностранные рабочие организовали 10-минутную забастовку. Вызванные на завод штурмовики произвели многочисленные аресты. Тогда рабочие — французы, поляки, бельгийцы — бросили работу и пригрозили разрушить оборудование. Гитлеровцы были вынуждены освободить арестованных.» (15097).</w:t>
      </w:r>
    </w:p>
    <w:p w14:paraId="6393CB53" w14:textId="77777777" w:rsidR="006A6227" w:rsidRPr="008127F8" w:rsidRDefault="006A6227" w:rsidP="001E0A84">
      <w:pPr>
        <w:spacing w:after="0" w:line="240" w:lineRule="auto"/>
        <w:jc w:val="both"/>
        <w:rPr>
          <w:rFonts w:ascii="Times New Roman" w:hAnsi="Times New Roman"/>
          <w:color w:val="000000" w:themeColor="text1"/>
          <w:sz w:val="16"/>
          <w:szCs w:val="16"/>
        </w:rPr>
      </w:pPr>
    </w:p>
    <w:p w14:paraId="37EC0A7E"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в 1942 году вечернее сообщение Совинформбюро:</w:t>
      </w:r>
    </w:p>
    <w:p w14:paraId="755B475B"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апреля на фронте ничего существенного не произошло.</w:t>
      </w:r>
    </w:p>
    <w:p w14:paraId="49CD681E"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апреля уничтожено 5 самолётов противника. Наши потери — 2 самолёта.</w:t>
      </w:r>
    </w:p>
    <w:p w14:paraId="68201CB0"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апреля частями нашей авиации уничтожено я повреждено несколько немецких танков, около 30 автомашин с войсками и грузами, до 30 полевых и зенитных орудий, 30 миномётов, 20 пулемётных точек, рассеяно и частью уничтожено до 2 батальонов пехоты противника.</w:t>
      </w:r>
    </w:p>
    <w:p w14:paraId="32F98B51"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Продолжая активные боевые действия, наши части на отдельных участках Ленинградского фронта уничтожили за два дня свыше 2.000 вражеских солдат и офицеров. Огнём артиллерии и разведывательными группами разрушено 22 ДЗОТа и блиндажа противника и уничтожено 6 танков, 10 орудий, 44 пулемёта, свыше 30 миномётов. Захвачены трофеи, в том числе 4 орудия, 10 пулемётов, миномёты, автоматы, винтовки и другое вооружение.</w:t>
      </w:r>
    </w:p>
    <w:p w14:paraId="2A62742D"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в бою за укреплённый пункт наше подразделение уничтожило 2 немецких орудия и миномётную батарею. Немцы потеряли убитыми 105 солдат и офицеров. Захвачено у противника 3 орудия, 5 станковых пулеметов и 6 миномётов. Ружейно-пулемётным огнём наши бойцы сбили немецкий самолёт.</w:t>
      </w:r>
    </w:p>
    <w:p w14:paraId="1E0F9C58"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часть, действующая на Западном фронте, за два дня боёв уничтожила свыше 300 немецких солдат и офицеров. На другом участке немецкая пехота при поддержке танков и артиллерии несколько раз пыталась контратаковать наши позиции. Все контратаки, доходившие порой до рукопашных схваток, были отбиты с большими потерями для противника. Огнём артиллерии подбито 5 немецких танков.</w:t>
      </w:r>
    </w:p>
    <w:p w14:paraId="57EDA612"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Танковая часть под командованием тов. Пушкина (Южный фронт) за два месяца уничтожила 23 немецких танка, 60 орудий и до 3.000 вражеских солдат и офицеров.</w:t>
      </w:r>
    </w:p>
    <w:p w14:paraId="5308F307"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 сержант Попов (Калининский фронт) в тылу врага замаскировался у просёлочной дороги. Вскоре показались 13 гитлеровцев. Подпустив солдат на 10 метров, тов. Попов уничтожил их из автомата. Через некоторое время подошло ещё 8 немцев. Их постигла та же участь, что и первых. Продвинувшись немного вперёд, тов. Попов стал терпеливо ждать, что будет дальше. Вскоре подошёл немецкий обоз из 14 подвод под охраной взвода пехоты. Когда обоз поравнялся с разведчиком, он бросил 4 гранаты и, воспользовавшись замешательством, быстро скрылся.</w:t>
      </w:r>
    </w:p>
    <w:p w14:paraId="1960425D"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С, действующий в одном из районов Орловской области, недавно организовал засаду на пути следования немецкой части. По сигналу командира бойцы отряда открыли ружейно-пулемётный огонь по гитлеровцам. Немцы потеряли убитыми более 100 солдат и офицеров. Партизаны захватили трофеи: орудие, 4 ручных пулемёта, 60 винтовок, 3 автомата, 400 снарядов, 7.000 патронов.</w:t>
      </w:r>
    </w:p>
    <w:p w14:paraId="1CDEB611"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294 немецкой пехотной дивизии Карл Дейбель рассказал: «Наша рота не получала </w:t>
      </w:r>
      <w:proofErr w:type="gramStart"/>
      <w:r w:rsidRPr="008127F8">
        <w:rPr>
          <w:rFonts w:ascii="Times New Roman" w:hAnsi="Times New Roman"/>
          <w:color w:val="000000" w:themeColor="text1"/>
          <w:sz w:val="16"/>
          <w:szCs w:val="16"/>
        </w:rPr>
        <w:t>продовольствия</w:t>
      </w:r>
      <w:proofErr w:type="gramEnd"/>
      <w:r w:rsidRPr="008127F8">
        <w:rPr>
          <w:rFonts w:ascii="Times New Roman" w:hAnsi="Times New Roman"/>
          <w:color w:val="000000" w:themeColor="text1"/>
          <w:sz w:val="16"/>
          <w:szCs w:val="16"/>
        </w:rPr>
        <w:t xml:space="preserve"> и сама себе добывала питание. Зерно, скот отнимали у населения. Кроме того, солдаты группами и в одиночку грабили крестьян, забирали кур, свиней, коров и всё, что находили. Брали не только продукты, но и различные вещи: одежду, меха, валенки, шашни. Недавно я был в Харькове. Все магазины в городе закрыты, нигде ничего купить нельзя. Население голодает. Я видел большое количество виселиц. На балконах домов центральных улиц, а также и окраин подолгу висят трупы повешенных. В городе часто возникают пожары. Неизвестные и неуловимые люди поджигают и взрывают дома и казармы, занятые германскими военными учреждениями и воинскими частями. Наши солдаты теряют надежду на то, что Германия победит. На печальном опыте своих товарищей мы убедились, что всякого, кто здесь остается, неизбежно ожидает смерть».</w:t>
      </w:r>
    </w:p>
    <w:p w14:paraId="26FB5A35"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побережье Норвегии, близ города Мольде, группа норвежских патриотов захватила крупную немецкую моторную лодку, уничтожив при этом пять немцев. Сняв 2 пулемёта и боеприпасы, норвежцы затопили лодку. В этом же районе недавно пожаром уничтожен немецкий склад с бензином.».</w:t>
      </w:r>
    </w:p>
    <w:p w14:paraId="13C0674B"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57475906"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Трофеи войск Ленинградского фронта за период с 1 по 10 апреля 1942 года.</w:t>
      </w:r>
    </w:p>
    <w:p w14:paraId="672F1E88"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1 по 10 апреля войсками Ленинградского фронта захвачены у противника следующие трофеи: танков—8, орудий—23, миномётов — 43, пулеметов — 177, противотанковых ружей — 27, автоматов— 170, пистолетов — 148, винтовок — 855, запасных стволов к пулеметам — 92, радиостанций — 3, мотоциклов — 10, снарядов — 5. 283 и отдельно 70 ящиков со снарядами, мин — 11.269 и 350 ящиков с минами, гранат — свыше 2.600 и 94 ящика с гранатами, ракет — 1.500, пороха—10 ящиков, взрывчатых веществ — 7 ящиков, патронов винтовочных — 1.683.000 и 60 ящиков с патронами. Кроме того, захвачено 2 склада с боеприпасами, 3 вещевых и продовольственных склада, телефонная аппаратура, стереотрубы, дальномеры, бочки с бензином, сёдла, шинели, плащ-палатки и другое военное имущество.</w:t>
      </w:r>
    </w:p>
    <w:p w14:paraId="15B34211"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это же время уничтожено: 76 немецких самолётов, 6 танков, 19 орудий и одна артиллерийская батарея, 13 миномётов и 5 миномётных батарей, 14 пулемётов, свыше 50 автомашин, склад боеприпасов и склад горючего, много оборонительных пунктов, блиндажей и огневых точек.</w:t>
      </w:r>
    </w:p>
    <w:p w14:paraId="18FA46EB"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1 по 10 апреля немцы потеряли в районе Ленинградского фронта убитыми свыше 9.000 солдат и офицеров.» (15097).</w:t>
      </w:r>
    </w:p>
    <w:p w14:paraId="547F5673" w14:textId="77777777" w:rsidR="006A6227" w:rsidRPr="008127F8" w:rsidRDefault="006A6227" w:rsidP="001E0A84">
      <w:pPr>
        <w:spacing w:after="0" w:line="240" w:lineRule="auto"/>
        <w:jc w:val="both"/>
        <w:rPr>
          <w:rFonts w:ascii="Times New Roman" w:hAnsi="Times New Roman"/>
          <w:color w:val="000000" w:themeColor="text1"/>
          <w:sz w:val="16"/>
          <w:szCs w:val="16"/>
        </w:rPr>
      </w:pPr>
    </w:p>
    <w:p w14:paraId="342452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вышло Постановление ГКО № 1582 О ВВС.РГАНИР, Фонд ГКО, д. 29, лл. 49 (11012).</w:t>
      </w:r>
    </w:p>
    <w:p w14:paraId="708347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4795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4903B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634F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вышло Постановление ГКО № 1580 О неотложных мерах по открытию навигации 1942 г. по Волге. (7030, 29-31,32-46).</w:t>
      </w:r>
    </w:p>
    <w:p w14:paraId="169AE05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E3A8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273953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47D6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года было получено:</w:t>
      </w:r>
    </w:p>
    <w:p w14:paraId="2807D9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ЛИЧНО ОТ ПРЕЗИДЕНТА г-ну СТАЛИНУ</w:t>
      </w:r>
    </w:p>
    <w:p w14:paraId="5031CB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несчастью, географическое расстояние делает нашу встречу практически невозможной в настоящее время. Такая встреча, дающая возможность личной беседы, была бы чрезвычайно полезна для ведения войны против гитлеризма. Возможно, что, если дела пойдут так хорошо, как мы надеемся, мы с Вами сможем провести несколько дней вместе будущим летом близ нашей общей границы возле Аляски. Но пока что я считаю крайне важным с военной и других точек зрения иметь что-то максимально приближающееся к обмену мнениями.</w:t>
      </w:r>
    </w:p>
    <w:p w14:paraId="21610E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имею в виду весьма важное военное предложение, связанное с использованием наших вооруженных сил таким образом, чтобы облегчить критическое положение на Вашем западном фронте. Этой цели я придаю огромное значение.</w:t>
      </w:r>
    </w:p>
    <w:p w14:paraId="2388BB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я хотел бы, чтобы Вы обдумали вопрос о возможности направить в самое ближайшее время в Вашингтон г-на Молотова и доверенного генерала. Время имеет большое значение, если мы должны оказать существенную помощь. Мы предоставим в их распоряжение хороший транспортный самолет, и они смогут совершить перелет туда и обратно в две недели.</w:t>
      </w:r>
    </w:p>
    <w:p w14:paraId="4F98A0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Предлагая эту поездку, я не хочу действовать, каким бы то ни было образом минуя моего друга г-на Литвинова, как он это сам поймет, но предлагаемый мною визит поможет нам выиграть время.</w:t>
      </w:r>
    </w:p>
    <w:p w14:paraId="2D44D0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предлагаю такую процедуру не только из соображений секретности, которая является столь необходимой, но и потому, что мне нужен Ваш совет, прежде чем мы примем окончательное решение о стратегическом направлении нашей совместной военной акции.</w:t>
      </w:r>
    </w:p>
    <w:p w14:paraId="43FA2B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Я послал Гопкинса в </w:t>
      </w:r>
      <w:proofErr w:type="gramStart"/>
      <w:r w:rsidRPr="008127F8">
        <w:rPr>
          <w:rFonts w:ascii="Times New Roman" w:hAnsi="Times New Roman"/>
          <w:color w:val="000000" w:themeColor="text1"/>
          <w:sz w:val="16"/>
          <w:szCs w:val="16"/>
        </w:rPr>
        <w:t>Лондон</w:t>
      </w:r>
      <w:proofErr w:type="gramEnd"/>
      <w:r w:rsidRPr="008127F8">
        <w:rPr>
          <w:rFonts w:ascii="Times New Roman" w:hAnsi="Times New Roman"/>
          <w:color w:val="000000" w:themeColor="text1"/>
          <w:sz w:val="16"/>
          <w:szCs w:val="16"/>
        </w:rPr>
        <w:t xml:space="preserve"> в связи с этим предложением.</w:t>
      </w:r>
    </w:p>
    <w:p w14:paraId="6F59D0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Американский народ в восторге от замечательной борьбы Ваших вооруженных сил, и мы хотим Вам оказывать помощь в уничтожении гитлеровских армий и материальных сил лучше, чем мы это делали до сих пор.</w:t>
      </w:r>
    </w:p>
    <w:p w14:paraId="63AE01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Шлю искренний привет.</w:t>
      </w:r>
    </w:p>
    <w:p w14:paraId="25700E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РУЗВЕЛЬТ (7430).</w:t>
      </w:r>
    </w:p>
    <w:p w14:paraId="56E3D8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B7AD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3A3C9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7C76DF" w14:textId="77777777" w:rsidR="006A6227" w:rsidRPr="008127F8" w:rsidRDefault="006A622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в 1942 году поднялся в воздух опытного экземпляра истребителя «MC.202bis» (разработчик: «Macchi», Италия). Его переделали из серийного «MC.202» с номером М.М.9487, присвоив при этом новый номер - М.М.9287. Внешне самолёт отличался устройством маслорадиатора (в виде двух цилиндров по бокам носовой части фюзеляжа), убираемой хвостовой стойкой шасси и формой кока воздушного винта. Решение о серийном выпуске нового истребителя ВВС приняли еще до взлета первого прототипа. Второй прототип, выпущенный чуть позже, получил серийный номер М.М.9288. Самолету дали обозначение «MC.205V» и наименование «Veltro» (Борзая) (15097).</w:t>
      </w:r>
    </w:p>
    <w:p w14:paraId="1AE90302" w14:textId="77777777" w:rsidR="006A6227" w:rsidRPr="008127F8" w:rsidRDefault="006A6227" w:rsidP="001E0A84">
      <w:pPr>
        <w:spacing w:after="0" w:line="240" w:lineRule="auto"/>
        <w:jc w:val="both"/>
        <w:rPr>
          <w:rFonts w:ascii="Times New Roman" w:hAnsi="Times New Roman"/>
          <w:color w:val="000000" w:themeColor="text1"/>
          <w:sz w:val="16"/>
          <w:szCs w:val="16"/>
        </w:rPr>
      </w:pPr>
    </w:p>
    <w:p w14:paraId="6389D9F3"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1942 г. в воздух поднялся прототип самоле</w:t>
      </w:r>
      <w:r w:rsidRPr="008A2E5A">
        <w:rPr>
          <w:rFonts w:ascii="Times New Roman" w:hAnsi="Times New Roman"/>
          <w:color w:val="0070C0"/>
          <w:sz w:val="16"/>
          <w:szCs w:val="16"/>
        </w:rPr>
        <w:softHyphen/>
        <w:t>та MC.202bis (ММ9287), переоборудованный из се</w:t>
      </w:r>
      <w:r w:rsidRPr="008A2E5A">
        <w:rPr>
          <w:rFonts w:ascii="Times New Roman" w:hAnsi="Times New Roman"/>
          <w:color w:val="0070C0"/>
          <w:sz w:val="16"/>
          <w:szCs w:val="16"/>
        </w:rPr>
        <w:softHyphen/>
        <w:t>рийного МС.202 (ММ9487) путем установки двигателя DB 605А. Внешне самолет отличался устройством маслорадитора (в виде двух цилиндров по бокам но</w:t>
      </w:r>
      <w:r w:rsidRPr="008A2E5A">
        <w:rPr>
          <w:rFonts w:ascii="Times New Roman" w:hAnsi="Times New Roman"/>
          <w:color w:val="0070C0"/>
          <w:sz w:val="16"/>
          <w:szCs w:val="16"/>
        </w:rPr>
        <w:softHyphen/>
        <w:t>совой части фюзеляжа), убираемой хвостовой стойкой шасси и формой кока воздушного винта. Конверсия была довольно простой, и впоследствии несколько де</w:t>
      </w:r>
      <w:r w:rsidRPr="008A2E5A">
        <w:rPr>
          <w:rFonts w:ascii="Times New Roman" w:hAnsi="Times New Roman"/>
          <w:color w:val="0070C0"/>
          <w:sz w:val="16"/>
          <w:szCs w:val="16"/>
        </w:rPr>
        <w:softHyphen/>
        <w:t>сятков серийных планеров МС.202 переделали под мотор RA.1050 RC58. Чуть позже вышел на испытания второй прототип ММ9288, но ещё до взлета первой машины «Реджиа Аэронаутика» выдала заказ на се</w:t>
      </w:r>
      <w:r w:rsidRPr="008A2E5A">
        <w:rPr>
          <w:rFonts w:ascii="Times New Roman" w:hAnsi="Times New Roman"/>
          <w:color w:val="0070C0"/>
          <w:sz w:val="16"/>
          <w:szCs w:val="16"/>
        </w:rPr>
        <w:softHyphen/>
        <w:t>рийную постройку. Истребитель, получивший обозна</w:t>
      </w:r>
      <w:r w:rsidRPr="008A2E5A">
        <w:rPr>
          <w:rFonts w:ascii="Times New Roman" w:hAnsi="Times New Roman"/>
          <w:color w:val="0070C0"/>
          <w:sz w:val="16"/>
          <w:szCs w:val="16"/>
        </w:rPr>
        <w:softHyphen/>
        <w:t>чение MC.205V и название «Вельтро» (Veltro - «Бор</w:t>
      </w:r>
      <w:r w:rsidRPr="008A2E5A">
        <w:rPr>
          <w:rFonts w:ascii="Times New Roman" w:hAnsi="Times New Roman"/>
          <w:color w:val="0070C0"/>
          <w:sz w:val="16"/>
          <w:szCs w:val="16"/>
        </w:rPr>
        <w:softHyphen/>
        <w:t>зая») должна была строить не только «Макки» получив</w:t>
      </w:r>
      <w:r w:rsidRPr="008A2E5A">
        <w:rPr>
          <w:rFonts w:ascii="Times New Roman" w:hAnsi="Times New Roman"/>
          <w:color w:val="0070C0"/>
          <w:sz w:val="16"/>
          <w:szCs w:val="16"/>
        </w:rPr>
        <w:softHyphen/>
        <w:t>шая заказ на 100 самолетов 1-й серии и 450 - 3-й, но и её конкурент «Фиат». Последнему заказали 150 MC.205V 2-й серии. Но в декабре 1942 г. самолетост</w:t>
      </w:r>
      <w:r w:rsidRPr="008A2E5A">
        <w:rPr>
          <w:rFonts w:ascii="Times New Roman" w:hAnsi="Times New Roman"/>
          <w:color w:val="0070C0"/>
          <w:sz w:val="16"/>
          <w:szCs w:val="16"/>
        </w:rPr>
        <w:softHyphen/>
        <w:t>роительный завод туринского концерна разбомбила авиация союзников, и ни одного «Вельтро» он так и не выпустил.</w:t>
      </w:r>
    </w:p>
    <w:p w14:paraId="3A7B2255"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конструктивном отношении MC.205V мало отли</w:t>
      </w:r>
      <w:r w:rsidRPr="008A2E5A">
        <w:rPr>
          <w:rFonts w:ascii="Times New Roman" w:hAnsi="Times New Roman"/>
          <w:color w:val="0070C0"/>
          <w:sz w:val="16"/>
          <w:szCs w:val="16"/>
        </w:rPr>
        <w:softHyphen/>
        <w:t>чался от МС.202. Машина имела фюзеляж овального сечения типа полумонокок, с металлической работаю</w:t>
      </w:r>
      <w:r w:rsidRPr="008A2E5A">
        <w:rPr>
          <w:rFonts w:ascii="Times New Roman" w:hAnsi="Times New Roman"/>
          <w:color w:val="0070C0"/>
          <w:sz w:val="16"/>
          <w:szCs w:val="16"/>
        </w:rPr>
        <w:softHyphen/>
        <w:t>щей обшивкой и 19-ю шпангоутами. Моторама - кова</w:t>
      </w:r>
      <w:r w:rsidRPr="008A2E5A">
        <w:rPr>
          <w:rFonts w:ascii="Times New Roman" w:hAnsi="Times New Roman"/>
          <w:color w:val="0070C0"/>
          <w:sz w:val="16"/>
          <w:szCs w:val="16"/>
        </w:rPr>
        <w:softHyphen/>
        <w:t>ная, кресло пилота оснащено бронеспинкой. Крыло - двухлонжеронное цельнометаллическое с работающей обшивкой. Образовано центропланом, выполненным интегрально с фюзеляжем, и двумя консолями. Размах левой консоли - 4520 мм, правой - 4330 мм. Угол по</w:t>
      </w:r>
      <w:r w:rsidRPr="008A2E5A">
        <w:rPr>
          <w:rFonts w:ascii="Times New Roman" w:hAnsi="Times New Roman"/>
          <w:color w:val="0070C0"/>
          <w:sz w:val="16"/>
          <w:szCs w:val="16"/>
        </w:rPr>
        <w:softHyphen/>
        <w:t>перечного V крыла - 4,5°. Закрылки типа «крокодил» (размах по 2760 мм) с углом отклонения 45°. Элероны (правый размахом 2040 мм, левый - 2230 мм) откло</w:t>
      </w:r>
      <w:r w:rsidRPr="008A2E5A">
        <w:rPr>
          <w:rFonts w:ascii="Times New Roman" w:hAnsi="Times New Roman"/>
          <w:color w:val="0070C0"/>
          <w:sz w:val="16"/>
          <w:szCs w:val="16"/>
        </w:rPr>
        <w:softHyphen/>
        <w:t>нялись в диапазоне от +23° до -25°. Оперение - свободнонесущее с переставным стабилизатором (угол установки - от +1°45' до -5°30'). Киль и стабилизатор - цельнометаллические с работающей обшивкой, рули высоты и направления обтянуты полотном. Руль на</w:t>
      </w:r>
      <w:r w:rsidRPr="008A2E5A">
        <w:rPr>
          <w:rFonts w:ascii="Times New Roman" w:hAnsi="Times New Roman"/>
          <w:color w:val="0070C0"/>
          <w:sz w:val="16"/>
          <w:szCs w:val="16"/>
        </w:rPr>
        <w:softHyphen/>
        <w:t>правления - с аэродинамической компенсацией.</w:t>
      </w:r>
    </w:p>
    <w:p w14:paraId="20E0F5AA"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Шасси - трехстоечное убираемое с хвостовой опо</w:t>
      </w:r>
      <w:r w:rsidRPr="008A2E5A">
        <w:rPr>
          <w:rFonts w:ascii="Times New Roman" w:hAnsi="Times New Roman"/>
          <w:color w:val="0070C0"/>
          <w:sz w:val="16"/>
          <w:szCs w:val="16"/>
        </w:rPr>
        <w:softHyphen/>
        <w:t>рой. Основные стойки имели масляно-воздушную амортизацию и тормозные колеса 600x200 мм. Хвос</w:t>
      </w:r>
      <w:r w:rsidRPr="008A2E5A">
        <w:rPr>
          <w:rFonts w:ascii="Times New Roman" w:hAnsi="Times New Roman"/>
          <w:color w:val="0070C0"/>
          <w:sz w:val="16"/>
          <w:szCs w:val="16"/>
        </w:rPr>
        <w:softHyphen/>
        <w:t>товая опора с колесом 300x100 мм.</w:t>
      </w:r>
    </w:p>
    <w:p w14:paraId="713D4BFA"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 - двигатель RA.1050 RC58 мощ</w:t>
      </w:r>
      <w:r w:rsidRPr="008A2E5A">
        <w:rPr>
          <w:rFonts w:ascii="Times New Roman" w:hAnsi="Times New Roman"/>
          <w:color w:val="0070C0"/>
          <w:sz w:val="16"/>
          <w:szCs w:val="16"/>
        </w:rPr>
        <w:softHyphen/>
        <w:t>ностью 1350 л.с. с трехлопастным воздушным винтом изменяемого шага «Пьяджо» Р.1001 диаметром 3050 мм. Топливо находится в 270-л фюзеляжном баке и двух баках в консолях крыла емкостью по 80 л. Масло</w:t>
      </w:r>
      <w:r w:rsidRPr="008A2E5A">
        <w:rPr>
          <w:rFonts w:ascii="Times New Roman" w:hAnsi="Times New Roman"/>
          <w:color w:val="0070C0"/>
          <w:sz w:val="16"/>
          <w:szCs w:val="16"/>
        </w:rPr>
        <w:softHyphen/>
        <w:t>бак емкостью 40 л размещен в фюзеляже.</w:t>
      </w:r>
    </w:p>
    <w:p w14:paraId="5798B220"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комплектовались приемопередающими радиостанциями В.30. Самолеты 1-й серии вооружа</w:t>
      </w:r>
      <w:r w:rsidRPr="008A2E5A">
        <w:rPr>
          <w:rFonts w:ascii="Times New Roman" w:hAnsi="Times New Roman"/>
          <w:color w:val="0070C0"/>
          <w:sz w:val="16"/>
          <w:szCs w:val="16"/>
        </w:rPr>
        <w:softHyphen/>
        <w:t>лись четырьмя пулеметами SAFAT: двумя 12,7-мм син</w:t>
      </w:r>
      <w:r w:rsidRPr="008A2E5A">
        <w:rPr>
          <w:rFonts w:ascii="Times New Roman" w:hAnsi="Times New Roman"/>
          <w:color w:val="0070C0"/>
          <w:sz w:val="16"/>
          <w:szCs w:val="16"/>
        </w:rPr>
        <w:softHyphen/>
        <w:t>хронными в фюзеляже (боекомплект по 370 патронов) и двумя 7,7-мм крыльевыми (по 500 патронов). На ис</w:t>
      </w:r>
      <w:r w:rsidRPr="008A2E5A">
        <w:rPr>
          <w:rFonts w:ascii="Times New Roman" w:hAnsi="Times New Roman"/>
          <w:color w:val="0070C0"/>
          <w:sz w:val="16"/>
          <w:szCs w:val="16"/>
        </w:rPr>
        <w:softHyphen/>
        <w:t>требителях 3-й серии вместо крыльевых пулеметов устанавливались 20-мм пушки MG 151/20 германского производства. Из-за вызванного установкой пушек возрастания лобового сопротивления максимальная скорость самолетов 3-й серии уменьшилась примерно на 20 км/ч по сравнению с 1-й серией. Но установка пушечного вооружения была крайне необходимой - пулеметы винтовочного калибра были бессильны про</w:t>
      </w:r>
      <w:r w:rsidRPr="008A2E5A">
        <w:rPr>
          <w:rFonts w:ascii="Times New Roman" w:hAnsi="Times New Roman"/>
          <w:color w:val="0070C0"/>
          <w:sz w:val="16"/>
          <w:szCs w:val="16"/>
        </w:rPr>
        <w:softHyphen/>
        <w:t>тив бомбардировщиков союзников.</w:t>
      </w:r>
    </w:p>
    <w:p w14:paraId="17F65CA7"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MC.205V 3-й серии переоборудовали в вариант истребителя сопровождения MC.205S - на них сняли фюзеляжные пулеметы и установили 200-л дополни</w:t>
      </w:r>
      <w:r w:rsidRPr="008A2E5A">
        <w:rPr>
          <w:rFonts w:ascii="Times New Roman" w:hAnsi="Times New Roman"/>
          <w:color w:val="0070C0"/>
          <w:sz w:val="16"/>
          <w:szCs w:val="16"/>
        </w:rPr>
        <w:softHyphen/>
        <w:t>тельный топливный бак.</w:t>
      </w:r>
    </w:p>
    <w:p w14:paraId="614D4324" w14:textId="77777777" w:rsidR="00735356" w:rsidRPr="008A2E5A" w:rsidRDefault="00735356" w:rsidP="007353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показали отличные качества «Вельтро» - пилоты подчеркивали, что на малых и средних высотах он не уступает американскому «Мус</w:t>
      </w:r>
      <w:r w:rsidRPr="008A2E5A">
        <w:rPr>
          <w:rFonts w:ascii="Times New Roman" w:hAnsi="Times New Roman"/>
          <w:color w:val="0070C0"/>
          <w:sz w:val="16"/>
          <w:szCs w:val="16"/>
        </w:rPr>
        <w:softHyphen/>
        <w:t>тангу». Но выше 6000 м его характеристики падали - крыло, доставшееся по наследству от «Фольгоре» бы</w:t>
      </w:r>
      <w:r w:rsidRPr="008A2E5A">
        <w:rPr>
          <w:rFonts w:ascii="Times New Roman" w:hAnsi="Times New Roman"/>
          <w:color w:val="0070C0"/>
          <w:sz w:val="16"/>
          <w:szCs w:val="16"/>
        </w:rPr>
        <w:softHyphen/>
        <w:t>ло слишком мало для потяжелевшего на четыре цент</w:t>
      </w:r>
      <w:r w:rsidRPr="008A2E5A">
        <w:rPr>
          <w:rFonts w:ascii="Times New Roman" w:hAnsi="Times New Roman"/>
          <w:color w:val="0070C0"/>
          <w:sz w:val="16"/>
          <w:szCs w:val="16"/>
        </w:rPr>
        <w:softHyphen/>
        <w:t>нера самолета. Улучшить высотные качества предпо</w:t>
      </w:r>
      <w:r w:rsidRPr="008A2E5A">
        <w:rPr>
          <w:rFonts w:ascii="Times New Roman" w:hAnsi="Times New Roman"/>
          <w:color w:val="0070C0"/>
          <w:sz w:val="16"/>
          <w:szCs w:val="16"/>
        </w:rPr>
        <w:softHyphen/>
        <w:t>лагалось на новой модификации - MC.205N «Орионе» (Orione) (24178).</w:t>
      </w:r>
    </w:p>
    <w:p w14:paraId="6C159910" w14:textId="77777777" w:rsidR="00735356" w:rsidRPr="008A2E5A" w:rsidRDefault="00735356" w:rsidP="00735356">
      <w:pPr>
        <w:spacing w:after="0" w:line="240" w:lineRule="auto"/>
        <w:jc w:val="both"/>
        <w:rPr>
          <w:rFonts w:ascii="Times New Roman" w:hAnsi="Times New Roman"/>
          <w:color w:val="0070C0"/>
          <w:sz w:val="16"/>
          <w:szCs w:val="16"/>
        </w:rPr>
      </w:pPr>
    </w:p>
    <w:p w14:paraId="3769D646"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суперинтендант Мальтийского судоремонтного завода сообщает, что из - за немецких налетов на Мальте военно - морской базы практически нет, кроме подразделений, что расположены под землей, все доки повреждены, электроснаюжение и телефоны в основном вышли из строя (20793).</w:t>
      </w:r>
    </w:p>
    <w:p w14:paraId="724E115F" w14:textId="77777777" w:rsidR="009F56D6" w:rsidRPr="008127F8" w:rsidRDefault="009F56D6" w:rsidP="001E0A84">
      <w:pPr>
        <w:spacing w:after="0" w:line="240" w:lineRule="auto"/>
        <w:jc w:val="both"/>
        <w:rPr>
          <w:rFonts w:ascii="Times New Roman" w:hAnsi="Times New Roman"/>
          <w:color w:val="000000" w:themeColor="text1"/>
          <w:sz w:val="16"/>
          <w:szCs w:val="16"/>
        </w:rPr>
      </w:pPr>
    </w:p>
    <w:p w14:paraId="78252D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1942 Иран разорвал дипотношения с Японией (3186).</w:t>
      </w:r>
    </w:p>
    <w:p w14:paraId="455C10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213A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CE9EC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303D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Д.Ф.Устинов посетил Ковровский завод для проверки подготовки серийного производства пушек ВЯ и 18 апреля провел совещание, на котором поставил задачу безусловного выполнения программы по выпуску ВЯ (1857,103).</w:t>
      </w:r>
    </w:p>
    <w:p w14:paraId="36BD4D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80E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13-19 апреля 1942 командир 102 тап к Осипчук, в прошлом л НИИ ГВФ, провел испытания Ли-2, переоборудованного в НБ, которые прошли успешно (4143,34).</w:t>
      </w:r>
    </w:p>
    <w:p w14:paraId="283AB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F01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вышел отчет ЛИИ N 96 об испытаниях Як-1М М-105Д (1684,137).</w:t>
      </w:r>
    </w:p>
    <w:p w14:paraId="365546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CEE7D"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апреля 1942 г. после этапа доводки самолет Як-7 М-82 пере</w:t>
      </w:r>
      <w:r w:rsidRPr="008A2E5A">
        <w:rPr>
          <w:rFonts w:ascii="Times New Roman" w:hAnsi="Times New Roman"/>
          <w:color w:val="0070C0"/>
          <w:sz w:val="16"/>
          <w:szCs w:val="16"/>
        </w:rPr>
        <w:softHyphen/>
        <w:t>дали в ЛИИ НКАП для проведения совместных завод</w:t>
      </w:r>
      <w:r w:rsidRPr="008A2E5A">
        <w:rPr>
          <w:rFonts w:ascii="Times New Roman" w:hAnsi="Times New Roman"/>
          <w:color w:val="0070C0"/>
          <w:sz w:val="16"/>
          <w:szCs w:val="16"/>
        </w:rPr>
        <w:softHyphen/>
        <w:t>ских и государственных испытаний. Полеты проводили П.Я. Федрови (на тот момент исполнявший обязанности заместителя начальника Инспекции ВВС КА при нарко</w:t>
      </w:r>
      <w:r w:rsidRPr="008A2E5A">
        <w:rPr>
          <w:rFonts w:ascii="Times New Roman" w:hAnsi="Times New Roman"/>
          <w:color w:val="0070C0"/>
          <w:sz w:val="16"/>
          <w:szCs w:val="16"/>
        </w:rPr>
        <w:softHyphen/>
        <w:t xml:space="preserve">ме обороны) и летчик-испытатель ЛИИ </w:t>
      </w:r>
      <w:r w:rsidRPr="008A2E5A">
        <w:rPr>
          <w:rFonts w:ascii="Times New Roman" w:hAnsi="Times New Roman"/>
          <w:color w:val="0070C0"/>
          <w:sz w:val="16"/>
          <w:szCs w:val="16"/>
        </w:rPr>
        <w:lastRenderedPageBreak/>
        <w:t>НКАП А.В. Евдо</w:t>
      </w:r>
      <w:r w:rsidRPr="008A2E5A">
        <w:rPr>
          <w:rFonts w:ascii="Times New Roman" w:hAnsi="Times New Roman"/>
          <w:color w:val="0070C0"/>
          <w:sz w:val="16"/>
          <w:szCs w:val="16"/>
        </w:rPr>
        <w:softHyphen/>
        <w:t>кимов. Несмотря на прилагаемые усилия по доводке си</w:t>
      </w:r>
      <w:r w:rsidRPr="008A2E5A">
        <w:rPr>
          <w:rFonts w:ascii="Times New Roman" w:hAnsi="Times New Roman"/>
          <w:color w:val="0070C0"/>
          <w:sz w:val="16"/>
          <w:szCs w:val="16"/>
        </w:rPr>
        <w:softHyphen/>
        <w:t>ловой установки, в трех полетах на определение макси</w:t>
      </w:r>
      <w:r w:rsidRPr="008A2E5A">
        <w:rPr>
          <w:rFonts w:ascii="Times New Roman" w:hAnsi="Times New Roman"/>
          <w:color w:val="0070C0"/>
          <w:sz w:val="16"/>
          <w:szCs w:val="16"/>
        </w:rPr>
        <w:softHyphen/>
        <w:t>мальных скоростей по высотам, из-за ненормальной ра</w:t>
      </w:r>
      <w:r w:rsidRPr="008A2E5A">
        <w:rPr>
          <w:rFonts w:ascii="Times New Roman" w:hAnsi="Times New Roman"/>
          <w:color w:val="0070C0"/>
          <w:sz w:val="16"/>
          <w:szCs w:val="16"/>
        </w:rPr>
        <w:softHyphen/>
        <w:t>боты мотора не удалось снять максимальную скорость на второй границе высотности мотора. Кроме того, испыта</w:t>
      </w:r>
      <w:r w:rsidRPr="008A2E5A">
        <w:rPr>
          <w:rFonts w:ascii="Times New Roman" w:hAnsi="Times New Roman"/>
          <w:color w:val="0070C0"/>
          <w:sz w:val="16"/>
          <w:szCs w:val="16"/>
        </w:rPr>
        <w:softHyphen/>
        <w:t>ния неоднократно прерывались по погодным условиям, один раз из-за аварии (произошедшей 18.04.42 г. при по</w:t>
      </w:r>
      <w:r w:rsidRPr="008A2E5A">
        <w:rPr>
          <w:rFonts w:ascii="Times New Roman" w:hAnsi="Times New Roman"/>
          <w:color w:val="0070C0"/>
          <w:sz w:val="16"/>
          <w:szCs w:val="16"/>
        </w:rPr>
        <w:softHyphen/>
        <w:t>садке с одной невышедшей стойкой основного шасси) и один раз из-за болезни П.Я. Федрови (после аварийной посадки Як-7-37). Вскоре после выздоровления Федро</w:t>
      </w:r>
      <w:r w:rsidRPr="008A2E5A">
        <w:rPr>
          <w:rFonts w:ascii="Times New Roman" w:hAnsi="Times New Roman"/>
          <w:color w:val="0070C0"/>
          <w:sz w:val="16"/>
          <w:szCs w:val="16"/>
        </w:rPr>
        <w:softHyphen/>
        <w:t>ви отозвали в Москву, испытания прервали, а самолет 17 мая 1942 г. перегнали с аэродрома ЛИИ НКАП Толмачево на аэродром завода №153.</w:t>
      </w:r>
    </w:p>
    <w:p w14:paraId="57561896"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негласном соревновании за выпуск серийного ис</w:t>
      </w:r>
      <w:r w:rsidRPr="008A2E5A">
        <w:rPr>
          <w:rFonts w:ascii="Times New Roman" w:hAnsi="Times New Roman"/>
          <w:color w:val="0070C0"/>
          <w:sz w:val="16"/>
          <w:szCs w:val="16"/>
        </w:rPr>
        <w:softHyphen/>
        <w:t>требителя с мотором М-82 победителем оказалось ОКБ С.А.Лавочкина, которое позже всех приступило к рабо</w:t>
      </w:r>
      <w:r w:rsidRPr="008A2E5A">
        <w:rPr>
          <w:rFonts w:ascii="Times New Roman" w:hAnsi="Times New Roman"/>
          <w:color w:val="0070C0"/>
          <w:sz w:val="16"/>
          <w:szCs w:val="16"/>
        </w:rPr>
        <w:softHyphen/>
        <w:t>там по модификации своего самолета. По иронии судь</w:t>
      </w:r>
      <w:r w:rsidRPr="008A2E5A">
        <w:rPr>
          <w:rFonts w:ascii="Times New Roman" w:hAnsi="Times New Roman"/>
          <w:color w:val="0070C0"/>
          <w:sz w:val="16"/>
          <w:szCs w:val="16"/>
        </w:rPr>
        <w:softHyphen/>
        <w:t>бы, заблаговременно спроектированный и построен</w:t>
      </w:r>
      <w:r w:rsidRPr="008A2E5A">
        <w:rPr>
          <w:rFonts w:ascii="Times New Roman" w:hAnsi="Times New Roman"/>
          <w:color w:val="0070C0"/>
          <w:sz w:val="16"/>
          <w:szCs w:val="16"/>
        </w:rPr>
        <w:softHyphen/>
        <w:t>ный ЛаГ с М-82 отправили согласно постановлению ГКО по железной дороге вместе с другим имуще</w:t>
      </w:r>
      <w:r w:rsidRPr="008A2E5A">
        <w:rPr>
          <w:rFonts w:ascii="Times New Roman" w:hAnsi="Times New Roman"/>
          <w:color w:val="0070C0"/>
          <w:sz w:val="16"/>
          <w:szCs w:val="16"/>
        </w:rPr>
        <w:softHyphen/>
        <w:t>ством и сотрудниками ОКБ в г.Тбилиси. Точно так же, как два экземпляра ЛаГГ-3 с мотором М-107 и ЛаГГ-3 с мотором М-105 с трехскоростным нагнетателем Трескина, эта машина обратно в Горький не вернулась «в связи с военными действиями на Кавказе». Созданная С.А. Лавочкиным и нескольким его сотрудниками, оста</w:t>
      </w:r>
      <w:r w:rsidRPr="008A2E5A">
        <w:rPr>
          <w:rFonts w:ascii="Times New Roman" w:hAnsi="Times New Roman"/>
          <w:color w:val="0070C0"/>
          <w:sz w:val="16"/>
          <w:szCs w:val="16"/>
        </w:rPr>
        <w:softHyphen/>
        <w:t>вавшимся на заводе №21 для завершения производст</w:t>
      </w:r>
      <w:r w:rsidRPr="008A2E5A">
        <w:rPr>
          <w:rFonts w:ascii="Times New Roman" w:hAnsi="Times New Roman"/>
          <w:color w:val="0070C0"/>
          <w:sz w:val="16"/>
          <w:szCs w:val="16"/>
        </w:rPr>
        <w:softHyphen/>
        <w:t>ва самолетов ЛаГГ-3, экспромтом, переделка этой се</w:t>
      </w:r>
      <w:r w:rsidRPr="008A2E5A">
        <w:rPr>
          <w:rFonts w:ascii="Times New Roman" w:hAnsi="Times New Roman"/>
          <w:color w:val="0070C0"/>
          <w:sz w:val="16"/>
          <w:szCs w:val="16"/>
        </w:rPr>
        <w:softHyphen/>
        <w:t>рийной машины под мотор М-82 с 22 апреля по 6 мая 1942 г. успешно прошла совместные заводские и госу</w:t>
      </w:r>
      <w:r w:rsidRPr="008A2E5A">
        <w:rPr>
          <w:rFonts w:ascii="Times New Roman" w:hAnsi="Times New Roman"/>
          <w:color w:val="0070C0"/>
          <w:sz w:val="16"/>
          <w:szCs w:val="16"/>
        </w:rPr>
        <w:softHyphen/>
        <w:t>дарственные испытания, показав максимальную ско</w:t>
      </w:r>
      <w:r w:rsidRPr="008A2E5A">
        <w:rPr>
          <w:rFonts w:ascii="Times New Roman" w:hAnsi="Times New Roman"/>
          <w:color w:val="0070C0"/>
          <w:sz w:val="16"/>
          <w:szCs w:val="16"/>
        </w:rPr>
        <w:softHyphen/>
        <w:t>рость 600 км/ч на высоте 6450 м (23381).</w:t>
      </w:r>
    </w:p>
    <w:p w14:paraId="1CFA10E8" w14:textId="77777777" w:rsidR="00836181" w:rsidRPr="008A2E5A" w:rsidRDefault="00836181" w:rsidP="00836181">
      <w:pPr>
        <w:spacing w:after="0" w:line="240" w:lineRule="auto"/>
        <w:jc w:val="both"/>
        <w:rPr>
          <w:rFonts w:ascii="Times New Roman" w:hAnsi="Times New Roman"/>
          <w:color w:val="0070C0"/>
          <w:sz w:val="16"/>
          <w:szCs w:val="16"/>
        </w:rPr>
      </w:pPr>
    </w:p>
    <w:p w14:paraId="007CAB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года зам. наркома авиапрома Яковлев, зам. наркома авиапрома Репин, директор завода N 21 Гостинцев, гл. конструктор Лавочкин Сталину и Дементьеву.</w:t>
      </w:r>
    </w:p>
    <w:p w14:paraId="49CB51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материалам заводских испытаний самолета Лагг-3 с М-82 при весе 3280 кг, построенного на заводе N 21, получены нижеследующие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6F4095" w:rsidRPr="008127F8" w14:paraId="79A7B135" w14:textId="77777777">
        <w:tc>
          <w:tcPr>
            <w:tcW w:w="4928" w:type="dxa"/>
            <w:tcBorders>
              <w:top w:val="single" w:sz="12" w:space="0" w:color="auto"/>
            </w:tcBorders>
          </w:tcPr>
          <w:p w14:paraId="17F997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(без форсажа)</w:t>
            </w:r>
          </w:p>
        </w:tc>
        <w:tc>
          <w:tcPr>
            <w:tcW w:w="5528" w:type="dxa"/>
            <w:tcBorders>
              <w:top w:val="single" w:sz="12" w:space="0" w:color="auto"/>
            </w:tcBorders>
          </w:tcPr>
          <w:p w14:paraId="5D3FF5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531 км/час</w:t>
            </w:r>
          </w:p>
        </w:tc>
      </w:tr>
      <w:tr w:rsidR="006F4095" w:rsidRPr="008127F8" w14:paraId="607BADC8" w14:textId="77777777">
        <w:tc>
          <w:tcPr>
            <w:tcW w:w="4928" w:type="dxa"/>
          </w:tcPr>
          <w:p w14:paraId="314629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1 тыс. м</w:t>
            </w:r>
          </w:p>
        </w:tc>
        <w:tc>
          <w:tcPr>
            <w:tcW w:w="5528" w:type="dxa"/>
          </w:tcPr>
          <w:p w14:paraId="6BBD83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 км/час</w:t>
            </w:r>
          </w:p>
        </w:tc>
      </w:tr>
      <w:tr w:rsidR="006F4095" w:rsidRPr="008127F8" w14:paraId="0EB53C4C" w14:textId="77777777">
        <w:tc>
          <w:tcPr>
            <w:tcW w:w="4928" w:type="dxa"/>
          </w:tcPr>
          <w:p w14:paraId="03C6CD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2 тыс. м</w:t>
            </w:r>
          </w:p>
        </w:tc>
        <w:tc>
          <w:tcPr>
            <w:tcW w:w="5528" w:type="dxa"/>
          </w:tcPr>
          <w:p w14:paraId="7CD83D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 км/час</w:t>
            </w:r>
          </w:p>
        </w:tc>
      </w:tr>
      <w:tr w:rsidR="006F4095" w:rsidRPr="008127F8" w14:paraId="1792A06F" w14:textId="77777777">
        <w:tc>
          <w:tcPr>
            <w:tcW w:w="4928" w:type="dxa"/>
          </w:tcPr>
          <w:p w14:paraId="59D6E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3025 м</w:t>
            </w:r>
          </w:p>
        </w:tc>
        <w:tc>
          <w:tcPr>
            <w:tcW w:w="5528" w:type="dxa"/>
          </w:tcPr>
          <w:p w14:paraId="24EC47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586 км/час</w:t>
            </w:r>
          </w:p>
        </w:tc>
      </w:tr>
      <w:tr w:rsidR="006F4095" w:rsidRPr="008127F8" w14:paraId="7E29F546" w14:textId="77777777">
        <w:tc>
          <w:tcPr>
            <w:tcW w:w="4928" w:type="dxa"/>
          </w:tcPr>
          <w:p w14:paraId="6F218E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6070 м</w:t>
            </w:r>
          </w:p>
        </w:tc>
        <w:tc>
          <w:tcPr>
            <w:tcW w:w="5528" w:type="dxa"/>
          </w:tcPr>
          <w:p w14:paraId="7573FF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 км/час</w:t>
            </w:r>
          </w:p>
        </w:tc>
      </w:tr>
      <w:tr w:rsidR="006F4095" w:rsidRPr="008127F8" w14:paraId="1F95B76A" w14:textId="77777777">
        <w:tc>
          <w:tcPr>
            <w:tcW w:w="4928" w:type="dxa"/>
          </w:tcPr>
          <w:p w14:paraId="2AB38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подъема на 5 тыс. м</w:t>
            </w:r>
          </w:p>
        </w:tc>
        <w:tc>
          <w:tcPr>
            <w:tcW w:w="5528" w:type="dxa"/>
          </w:tcPr>
          <w:p w14:paraId="43EE14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 мин.</w:t>
            </w:r>
          </w:p>
        </w:tc>
      </w:tr>
      <w:tr w:rsidR="006F4095" w:rsidRPr="008127F8" w14:paraId="006C630F" w14:textId="77777777">
        <w:tc>
          <w:tcPr>
            <w:tcW w:w="4928" w:type="dxa"/>
            <w:tcBorders>
              <w:bottom w:val="single" w:sz="12" w:space="0" w:color="auto"/>
            </w:tcBorders>
          </w:tcPr>
          <w:p w14:paraId="4DAA1E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по расчету</w:t>
            </w:r>
          </w:p>
        </w:tc>
        <w:tc>
          <w:tcPr>
            <w:tcW w:w="5528" w:type="dxa"/>
            <w:tcBorders>
              <w:bottom w:val="single" w:sz="12" w:space="0" w:color="auto"/>
            </w:tcBorders>
          </w:tcPr>
          <w:p w14:paraId="125FCD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w:t>
            </w:r>
          </w:p>
        </w:tc>
      </w:tr>
    </w:tbl>
    <w:p w14:paraId="5920D5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полностью заполненных горючим баках (400 кг), дальность по расчету увеличится до 720 км и полетный вес самолета составит 3340 кг.</w:t>
      </w:r>
    </w:p>
    <w:p w14:paraId="5B98FE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увеличения безопасности на самолете необходимо установить предкрылки и тогда полный полетный вес машины будет 3370 кг.</w:t>
      </w:r>
    </w:p>
    <w:p w14:paraId="1775D4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машине установлено вооружение, состоящее из двух синхронных пушек ШВАК, с запасом патронов 440 шт. На самолете оборудована подводка для съемной установки на 6 шт. РС и на 2 бомбы по 100 кг.</w:t>
      </w:r>
    </w:p>
    <w:p w14:paraId="1E7658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по сравнению с серийной машиной полностью изменяется:</w:t>
      </w:r>
    </w:p>
    <w:p w14:paraId="3D3C35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винтомоторная группа;</w:t>
      </w:r>
    </w:p>
    <w:p w14:paraId="49DD95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моторная рама;</w:t>
      </w:r>
    </w:p>
    <w:p w14:paraId="54BEBC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вооружение;</w:t>
      </w:r>
    </w:p>
    <w:p w14:paraId="345C07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лопасти винта правого вращения;</w:t>
      </w:r>
    </w:p>
    <w:p w14:paraId="49AB40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снимается водо-радиатор и система водяного охлаждения мотора;</w:t>
      </w:r>
    </w:p>
    <w:p w14:paraId="49D6C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частично изменяется</w:t>
      </w:r>
    </w:p>
    <w:p w14:paraId="4F768A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фюзеляж;</w:t>
      </w:r>
    </w:p>
    <w:p w14:paraId="11A83E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оборудование;</w:t>
      </w:r>
    </w:p>
    <w:p w14:paraId="7E7F01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маслосистема;</w:t>
      </w:r>
    </w:p>
    <w:p w14:paraId="696334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остаются без изменений</w:t>
      </w:r>
    </w:p>
    <w:p w14:paraId="1DE31B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крылья;</w:t>
      </w:r>
    </w:p>
    <w:p w14:paraId="2CA88B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центроплан;</w:t>
      </w:r>
    </w:p>
    <w:p w14:paraId="5906BD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вертикальное и горизонтальное оперение;</w:t>
      </w:r>
    </w:p>
    <w:p w14:paraId="72A406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управление;</w:t>
      </w:r>
    </w:p>
    <w:p w14:paraId="198AC8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шасси;</w:t>
      </w:r>
    </w:p>
    <w:p w14:paraId="7C379A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костыль;</w:t>
      </w:r>
    </w:p>
    <w:p w14:paraId="7C3E1D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бензобаки;</w:t>
      </w:r>
    </w:p>
    <w:p w14:paraId="760C2C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маслорадиатор;</w:t>
      </w:r>
    </w:p>
    <w:p w14:paraId="4C0C8C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кок винта.</w:t>
      </w:r>
    </w:p>
    <w:p w14:paraId="188132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 изменений таков, что завод, выпускающий самолеты Лагг-3 с мотором М-105П, может примерно через один месяц начать выпуск машин с мотором М-82 с тем, чтобы через два месяца стать окончательно на график.</w:t>
      </w:r>
    </w:p>
    <w:p w14:paraId="2F8365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 не была испытана: на дальность, на потолок, на высший пилотаж, на отстрел оружия, на эксплуатационные данные.</w:t>
      </w:r>
    </w:p>
    <w:p w14:paraId="5ED7FE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Приняты меры к срочному проведению гос. испытаний для окончательного решения по машине (2178,70).</w:t>
      </w:r>
    </w:p>
    <w:p w14:paraId="1F404D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B0F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года на имя Сталина была послана телеграмма за подписью заместителя наркома А.С. Яковлева, заместителя главкома ВВС А.К. Репина, директора завода № 21 Гостинцева и главного конструктора С.А. Лавочкина. В ней сообщалось, что в ходе заводских испытаний самолета ЛаГГ-3 с мотором М-82А, двумя пушками ШВАК и с 440 патронами при весе 3280 кг (подругам данным - 3380 кг - прим. авт.) получена максимальная скорость у земли без применения форсажа - 531 км/ч, а на высоте 3025 м - 586 км/ч. На высоту 5000 м машина поднималась за 6,1 минуты. Расчетная дальность - 600 км.</w:t>
      </w:r>
    </w:p>
    <w:p w14:paraId="6EFA03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полностью заполненных баках (400 кг топлива), говорилось в телефонограмме, - дальность по расчету увеличится до 720 км и взлетный вес (...) составит 3370 кг.</w:t>
      </w:r>
    </w:p>
    <w:p w14:paraId="08574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машине установлено вооружение, состоящее из двух синхронных пушек ШВАК с запасом патронов 440 шт.</w:t>
      </w:r>
    </w:p>
    <w:p w14:paraId="16C4D5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по сравнению с серийной машиной (ЛаГГ-3 - прим. авт.) полностью изменяется:</w:t>
      </w:r>
    </w:p>
    <w:p w14:paraId="183E4C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w:t>
      </w:r>
      <w:proofErr w:type="gramStart"/>
      <w:r w:rsidRPr="008127F8">
        <w:rPr>
          <w:rFonts w:ascii="Times New Roman" w:hAnsi="Times New Roman"/>
          <w:color w:val="000000" w:themeColor="text1"/>
          <w:sz w:val="16"/>
          <w:szCs w:val="16"/>
        </w:rPr>
        <w:t>винто-моторная</w:t>
      </w:r>
      <w:proofErr w:type="gramEnd"/>
      <w:r w:rsidRPr="008127F8">
        <w:rPr>
          <w:rFonts w:ascii="Times New Roman" w:hAnsi="Times New Roman"/>
          <w:color w:val="000000" w:themeColor="text1"/>
          <w:sz w:val="16"/>
          <w:szCs w:val="16"/>
        </w:rPr>
        <w:tab/>
        <w:t>группа;</w:t>
      </w:r>
    </w:p>
    <w:p w14:paraId="28FF8C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моторная рама;</w:t>
      </w:r>
    </w:p>
    <w:p w14:paraId="6EB89B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вооружение;</w:t>
      </w:r>
    </w:p>
    <w:p w14:paraId="3B272E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лопасти винта правого вращения;</w:t>
      </w:r>
    </w:p>
    <w:p w14:paraId="693A38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снимается водорадиатор и система водяного охлаждения мотора...</w:t>
      </w:r>
    </w:p>
    <w:p w14:paraId="79A0CB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Частично изменяются:</w:t>
      </w:r>
    </w:p>
    <w:p w14:paraId="28A85F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фюзеляж;</w:t>
      </w:r>
    </w:p>
    <w:p w14:paraId="5E74C6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центроплан;</w:t>
      </w:r>
    </w:p>
    <w:p w14:paraId="40EC96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вертикальное и горизонтальное оперение;</w:t>
      </w:r>
    </w:p>
    <w:p w14:paraId="4F5BEC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шасси;</w:t>
      </w:r>
    </w:p>
    <w:p w14:paraId="147A38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костыль;</w:t>
      </w:r>
    </w:p>
    <w:p w14:paraId="2FD6B2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бензобаки;</w:t>
      </w:r>
    </w:p>
    <w:p w14:paraId="5A77E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маслорадиатор;</w:t>
      </w:r>
    </w:p>
    <w:p w14:paraId="45FE49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кок винта.</w:t>
      </w:r>
    </w:p>
    <w:p w14:paraId="474392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 изменений таков, что завод, выпускающий ЛаГГ-3 с мотором М-105П, может примерно через 1 месяц начать выпуск ЛаГГ-3 с мотором М-82 с тем, чтобы через 2 месяца стать окончательно в график...</w:t>
      </w:r>
    </w:p>
    <w:p w14:paraId="0650F6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Приняты меры к срочному проведению государственных испытаний для окончательного решения по машине" (12032).</w:t>
      </w:r>
    </w:p>
    <w:p w14:paraId="6B1DE9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649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13 апреля по 5 июля 1942 проходили гос. испытания второго варианта И-185 с М-82А (228,165).</w:t>
      </w:r>
    </w:p>
    <w:p w14:paraId="217F33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312B8" w14:textId="77777777" w:rsidR="00D61AEB" w:rsidRPr="008127F8" w:rsidRDefault="00D61AEB" w:rsidP="001E0A84">
      <w:pPr>
        <w:pStyle w:val="a4"/>
        <w:rPr>
          <w:color w:val="000000" w:themeColor="text1"/>
          <w:lang w:val="ru-RU"/>
        </w:rPr>
      </w:pPr>
      <w:r w:rsidRPr="008127F8">
        <w:rPr>
          <w:color w:val="000000" w:themeColor="text1"/>
          <w:lang w:val="ru-RU"/>
        </w:rPr>
        <w:t>13 апреля 1942 в Новосибирске наконец-то начались совместные испытания самолёта И-185 с М-82. Однако удача не шла в руки «короля ис</w:t>
      </w:r>
      <w:r w:rsidRPr="008127F8">
        <w:rPr>
          <w:color w:val="000000" w:themeColor="text1"/>
          <w:lang w:val="ru-RU"/>
        </w:rPr>
        <w:softHyphen/>
        <w:t>требителей». В первых же полетах обнаружилась высокая температура масла и выброс его из суфлёров, что потребовало доводки маслосистемы. Первые зачётные площадки прогнали только 6 мая, однако расчётных скоростей, особенно на 2-й границе высотно</w:t>
      </w:r>
      <w:r w:rsidRPr="008127F8">
        <w:rPr>
          <w:color w:val="000000" w:themeColor="text1"/>
          <w:lang w:val="ru-RU"/>
        </w:rPr>
        <w:softHyphen/>
        <w:t>сти, получить опять не удалось. И этот момент, по существу, решил судьбу истребителя Поликарпова — в Горьком совместные испытания уже успешно завершились (15788).</w:t>
      </w:r>
    </w:p>
    <w:p w14:paraId="3321EF1E" w14:textId="77777777" w:rsidR="00D61AEB" w:rsidRPr="008127F8" w:rsidRDefault="00D61AEB" w:rsidP="001E0A84">
      <w:pPr>
        <w:pStyle w:val="a4"/>
        <w:rPr>
          <w:color w:val="000000" w:themeColor="text1"/>
          <w:lang w:val="ru-RU"/>
        </w:rPr>
      </w:pPr>
    </w:p>
    <w:p w14:paraId="37DF16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13 апреля по 5 июля 1942 г. в Новосибирске на аэродроме ГВФ проходили совместные заводские и государственные испытания И-185 М-82 «И». Всего было произведено 42 полета с налетом 31 час 58 минут. </w:t>
      </w:r>
      <w:proofErr w:type="gramStart"/>
      <w:r w:rsidRPr="008127F8">
        <w:rPr>
          <w:rFonts w:ascii="Times New Roman" w:hAnsi="Times New Roman"/>
          <w:color w:val="000000" w:themeColor="text1"/>
          <w:sz w:val="16"/>
          <w:szCs w:val="16"/>
        </w:rPr>
        <w:t>От завод</w:t>
      </w:r>
      <w:proofErr w:type="gramEnd"/>
      <w:r w:rsidRPr="008127F8">
        <w:rPr>
          <w:rFonts w:ascii="Times New Roman" w:hAnsi="Times New Roman"/>
          <w:color w:val="000000" w:themeColor="text1"/>
          <w:sz w:val="16"/>
          <w:szCs w:val="16"/>
        </w:rPr>
        <w:t xml:space="preserve"> №51 летал Логинов, от НИИ ВВС - Никашин. Максимальная скорость у земли на форса же составила 549 км/ч, на высоте 6470 м - 615 км/ч. Указывалось, что И-185 М-82А «по своим летным данным в основном соответствует со</w:t>
      </w:r>
      <w:r w:rsidRPr="008127F8">
        <w:rPr>
          <w:rFonts w:ascii="Times New Roman" w:hAnsi="Times New Roman"/>
          <w:color w:val="000000" w:themeColor="text1"/>
          <w:sz w:val="16"/>
          <w:szCs w:val="16"/>
        </w:rPr>
        <w:softHyphen/>
        <w:t>временным требованиям ВВС Красной Армии» и может быть рекомендован для постройки вой</w:t>
      </w:r>
      <w:r w:rsidRPr="008127F8">
        <w:rPr>
          <w:rFonts w:ascii="Times New Roman" w:hAnsi="Times New Roman"/>
          <w:color w:val="000000" w:themeColor="text1"/>
          <w:sz w:val="16"/>
          <w:szCs w:val="16"/>
        </w:rPr>
        <w:softHyphen/>
        <w:t>сковой серии. Предлагалось устранить недо</w:t>
      </w:r>
      <w:r w:rsidRPr="008127F8">
        <w:rPr>
          <w:rFonts w:ascii="Times New Roman" w:hAnsi="Times New Roman"/>
          <w:color w:val="000000" w:themeColor="text1"/>
          <w:sz w:val="16"/>
          <w:szCs w:val="16"/>
        </w:rPr>
        <w:softHyphen/>
        <w:t>статки и довести самолет до боевого состоя</w:t>
      </w:r>
      <w:r w:rsidRPr="008127F8">
        <w:rPr>
          <w:rFonts w:ascii="Times New Roman" w:hAnsi="Times New Roman"/>
          <w:color w:val="000000" w:themeColor="text1"/>
          <w:sz w:val="16"/>
          <w:szCs w:val="16"/>
        </w:rPr>
        <w:softHyphen/>
        <w:t>ния вместе с М-71 №6204 не позднее 15 авгус</w:t>
      </w:r>
      <w:r w:rsidRPr="008127F8">
        <w:rPr>
          <w:rFonts w:ascii="Times New Roman" w:hAnsi="Times New Roman"/>
          <w:color w:val="000000" w:themeColor="text1"/>
          <w:sz w:val="16"/>
          <w:szCs w:val="16"/>
        </w:rPr>
        <w:softHyphen/>
        <w:t>та 1942 г. (9979).</w:t>
      </w:r>
    </w:p>
    <w:p w14:paraId="0467A85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B120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w:t>
      </w:r>
      <w:r w:rsidRPr="008127F8">
        <w:rPr>
          <w:rFonts w:ascii="Times New Roman" w:hAnsi="Times New Roman"/>
          <w:color w:val="000000" w:themeColor="text1"/>
          <w:sz w:val="16"/>
          <w:szCs w:val="16"/>
        </w:rPr>
        <w:softHyphen/>
        <w:t>ля 1942 в Новосибирске начались совместные испытания самоле</w:t>
      </w:r>
      <w:r w:rsidRPr="008127F8">
        <w:rPr>
          <w:rFonts w:ascii="Times New Roman" w:hAnsi="Times New Roman"/>
          <w:color w:val="000000" w:themeColor="text1"/>
          <w:sz w:val="16"/>
          <w:szCs w:val="16"/>
        </w:rPr>
        <w:softHyphen/>
        <w:t>та И-185 с М-82. В первых же полетах обнаружилась высокая температура масла и выб</w:t>
      </w:r>
      <w:r w:rsidRPr="008127F8">
        <w:rPr>
          <w:rFonts w:ascii="Times New Roman" w:hAnsi="Times New Roman"/>
          <w:color w:val="000000" w:themeColor="text1"/>
          <w:sz w:val="16"/>
          <w:szCs w:val="16"/>
        </w:rPr>
        <w:softHyphen/>
        <w:t>рос его из суфлеров, что потребовало доводки маслосистемы. Первые за</w:t>
      </w:r>
      <w:r w:rsidRPr="008127F8">
        <w:rPr>
          <w:rFonts w:ascii="Times New Roman" w:hAnsi="Times New Roman"/>
          <w:color w:val="000000" w:themeColor="text1"/>
          <w:sz w:val="16"/>
          <w:szCs w:val="16"/>
        </w:rPr>
        <w:softHyphen/>
        <w:t>четные площадки прогнали только 6 мая, однако расчетных скоростей, осо</w:t>
      </w:r>
      <w:r w:rsidRPr="008127F8">
        <w:rPr>
          <w:rFonts w:ascii="Times New Roman" w:hAnsi="Times New Roman"/>
          <w:color w:val="000000" w:themeColor="text1"/>
          <w:sz w:val="16"/>
          <w:szCs w:val="16"/>
        </w:rPr>
        <w:softHyphen/>
        <w:t>бенно на 2-й границе высотности, по</w:t>
      </w:r>
      <w:r w:rsidRPr="008127F8">
        <w:rPr>
          <w:rFonts w:ascii="Times New Roman" w:hAnsi="Times New Roman"/>
          <w:color w:val="000000" w:themeColor="text1"/>
          <w:sz w:val="16"/>
          <w:szCs w:val="16"/>
        </w:rPr>
        <w:softHyphen/>
        <w:t>лучить опять не удалось. И этот мо</w:t>
      </w:r>
      <w:r w:rsidRPr="008127F8">
        <w:rPr>
          <w:rFonts w:ascii="Times New Roman" w:hAnsi="Times New Roman"/>
          <w:color w:val="000000" w:themeColor="text1"/>
          <w:sz w:val="16"/>
          <w:szCs w:val="16"/>
        </w:rPr>
        <w:softHyphen/>
        <w:t xml:space="preserve">мент, </w:t>
      </w:r>
      <w:proofErr w:type="gramStart"/>
      <w:r w:rsidRPr="008127F8">
        <w:rPr>
          <w:rFonts w:ascii="Times New Roman" w:hAnsi="Times New Roman"/>
          <w:color w:val="000000" w:themeColor="text1"/>
          <w:sz w:val="16"/>
          <w:szCs w:val="16"/>
        </w:rPr>
        <w:t>по существу</w:t>
      </w:r>
      <w:proofErr w:type="gramEnd"/>
      <w:r w:rsidRPr="008127F8">
        <w:rPr>
          <w:rFonts w:ascii="Times New Roman" w:hAnsi="Times New Roman"/>
          <w:color w:val="000000" w:themeColor="text1"/>
          <w:sz w:val="16"/>
          <w:szCs w:val="16"/>
        </w:rPr>
        <w:t xml:space="preserve"> решил судьбу ис</w:t>
      </w:r>
      <w:r w:rsidRPr="008127F8">
        <w:rPr>
          <w:rFonts w:ascii="Times New Roman" w:hAnsi="Times New Roman"/>
          <w:color w:val="000000" w:themeColor="text1"/>
          <w:sz w:val="16"/>
          <w:szCs w:val="16"/>
        </w:rPr>
        <w:softHyphen/>
        <w:t>требителя Поликарпова - в Горьком совместные испытания ЛаГГ-3 М-82 уже успешно завершились (10686).</w:t>
      </w:r>
    </w:p>
    <w:p w14:paraId="013A24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F7378"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04D7F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C58A16"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апреля 1942 завод №592 стал площадкой для переделки StuG III в 122-СГ. Для начала, предполагалось изготовить опытную серию из 8 машин. 20 числа директор завода Д.Ф. Панкратов выслал письмо в ГАБТУ и НКВ с запросом на получение 4 гаубиц М-30 и 1 комплект чертежей, 3 снарядов и зарядов к ним, а также техническую литературу. Все это требовалось для разработки технической документации (23368)/</w:t>
      </w:r>
    </w:p>
    <w:p w14:paraId="094F685B" w14:textId="77777777" w:rsidR="00836181" w:rsidRPr="008A2E5A" w:rsidRDefault="00836181" w:rsidP="00836181">
      <w:pPr>
        <w:spacing w:after="0" w:line="240" w:lineRule="auto"/>
        <w:jc w:val="both"/>
        <w:rPr>
          <w:rFonts w:ascii="Times New Roman" w:hAnsi="Times New Roman"/>
          <w:color w:val="0070C0"/>
          <w:sz w:val="16"/>
          <w:szCs w:val="16"/>
        </w:rPr>
      </w:pPr>
    </w:p>
    <w:p w14:paraId="482A3D0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1584 О переброске установки селективной очистки авиамасел с Константиновского завода им. Менделеева на Орский нефтеперерабатывающий завод им. Чкалова. (7030, 51).</w:t>
      </w:r>
    </w:p>
    <w:p w14:paraId="1774231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72F24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1585 Об использовании демонтированного оборудования Туапсинского и двух установок Грозненских нефтеперерабатывающих заводов. (7030, 52).</w:t>
      </w:r>
    </w:p>
    <w:p w14:paraId="1DC4C41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27D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1586 Об испытании новой марки безникелевой брони для корпусов танков Т-34. РГАНИР, Фонд ГКО, д. 29, лл. 53 (11012).</w:t>
      </w:r>
    </w:p>
    <w:p w14:paraId="14C28D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4E7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1587 Справка о том, что постановление "О производстве полугусеничных автомашин 3ИС-42" временно приостановлено. РГАНИР, Фонд ГКО, д. 29, лл. 54 (11012).</w:t>
      </w:r>
    </w:p>
    <w:p w14:paraId="4AE39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F55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1588 О транспортировке нефтепродуктов в направлении Баку-Гурьев-Кандагач. РГАНИР, Фонд ГКО, д. 29, лл. 55-58, 59-64 (11012).</w:t>
      </w:r>
    </w:p>
    <w:p w14:paraId="598535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11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 вышло Постановление ГКО № 1589 «О производстве и поставках основных химических продуктов и средств противохимической защиты во II квартале и апреле 1942 г.» (Д. 50. Л. 113–146, 149–184).</w:t>
      </w:r>
    </w:p>
    <w:p w14:paraId="1BC810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37C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1590 О восстановлении производства электроаппаратуры в Москве на заводе АТЭ-2. РГАНИР, Фонд ГКО, д. 29, лл. 95 (11012).</w:t>
      </w:r>
    </w:p>
    <w:p w14:paraId="034D95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B88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1591 О восстановлении мощностей эвакуированного Рубежанского химкомбината Наркомхимпрома. РГАНИР, Фонд ГКО, д. 29, лл. 96-100, 101-102 (11012).</w:t>
      </w:r>
    </w:p>
    <w:p w14:paraId="6823B2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8FFF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1592 О строительстве и восстановлении предприятий черной металлургии. (7030, 103-121,122-169).</w:t>
      </w:r>
    </w:p>
    <w:p w14:paraId="6ED07E0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7F77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апреля 1942 вышло Постановление ГКО № 1594 О т. Гурьянове </w:t>
      </w:r>
      <w:proofErr w:type="gramStart"/>
      <w:r w:rsidRPr="008127F8">
        <w:rPr>
          <w:rFonts w:ascii="Times New Roman" w:hAnsi="Times New Roman"/>
          <w:color w:val="000000" w:themeColor="text1"/>
          <w:sz w:val="16"/>
          <w:szCs w:val="16"/>
        </w:rPr>
        <w:t>Г.Г</w:t>
      </w:r>
      <w:proofErr w:type="gramEnd"/>
      <w:r w:rsidRPr="008127F8">
        <w:rPr>
          <w:rFonts w:ascii="Times New Roman" w:hAnsi="Times New Roman"/>
          <w:color w:val="000000" w:themeColor="text1"/>
          <w:sz w:val="16"/>
          <w:szCs w:val="16"/>
        </w:rPr>
        <w:t>.РГАНИР, Фонд ГКО, д. 29, лл. 171 (11012).</w:t>
      </w:r>
    </w:p>
    <w:p w14:paraId="680939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52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1596 О восстановлении Ново-Краматорского завода им.Сталина Наркомата тяжелого машиностроения. РГАНИР, Фонд ГКО, д. 29, лл. 174-179, 180-189 (11012).</w:t>
      </w:r>
    </w:p>
    <w:p w14:paraId="262B69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551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апреля 1942 вышло Постановление ГКО № 1597 О монтаже </w:t>
      </w:r>
      <w:proofErr w:type="gramStart"/>
      <w:r w:rsidRPr="008127F8">
        <w:rPr>
          <w:rFonts w:ascii="Times New Roman" w:hAnsi="Times New Roman"/>
          <w:color w:val="000000" w:themeColor="text1"/>
          <w:sz w:val="16"/>
          <w:szCs w:val="16"/>
        </w:rPr>
        <w:t>гидро-акустических</w:t>
      </w:r>
      <w:proofErr w:type="gramEnd"/>
      <w:r w:rsidRPr="008127F8">
        <w:rPr>
          <w:rFonts w:ascii="Times New Roman" w:hAnsi="Times New Roman"/>
          <w:color w:val="000000" w:themeColor="text1"/>
          <w:sz w:val="16"/>
          <w:szCs w:val="16"/>
        </w:rPr>
        <w:t xml:space="preserve"> станций в Ленинграде и о прокладке подводного кабеля в Белом море. РГАНИР, Фонд ГКО, д. 29, лл. 190 (11012).</w:t>
      </w:r>
    </w:p>
    <w:p w14:paraId="31BEB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2CFF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1598 О строительстве вторых путей Коноша-Обозерская на линии Коноша-Архангельск. (7030, 191-194,195-197).</w:t>
      </w:r>
    </w:p>
    <w:p w14:paraId="30124B1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D8A3E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1599 О строительстве железнодорожной линии Крымская - Тамань. (7030, 198-202,203-205).</w:t>
      </w:r>
    </w:p>
    <w:p w14:paraId="3A13AA6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C3B8F" w14:textId="77777777" w:rsidR="00882234" w:rsidRPr="008127F8" w:rsidRDefault="00882234" w:rsidP="001E0A84">
      <w:pPr>
        <w:pStyle w:val="a4"/>
        <w:rPr>
          <w:color w:val="000000" w:themeColor="text1"/>
          <w:lang w:val="ru-RU"/>
        </w:rPr>
      </w:pPr>
      <w:r w:rsidRPr="008127F8">
        <w:rPr>
          <w:color w:val="000000" w:themeColor="text1"/>
          <w:lang w:val="ru-RU"/>
        </w:rPr>
        <w:t>13 апреля 1942 г. в СКБ-2 поступило зада</w:t>
      </w:r>
      <w:r w:rsidRPr="008127F8">
        <w:rPr>
          <w:color w:val="000000" w:themeColor="text1"/>
          <w:lang w:val="ru-RU"/>
        </w:rPr>
        <w:softHyphen/>
        <w:t>ние на разработку принципиально нового среднего танка усиленного бронирования — КВ-13. Ведущим конструктором машины был назначен Н.В. Цейц. В рабочую группу вошли: Г.Н. Москвин — общая компоновка, С.В. Мицкевич — конструкция корпуса и башни, а также Е.П. Дедов, Н.М. Синев, Б.А. Красников, В.И. Торотько и другие. Общее руководство проектированием осуществлял заместитель главного конструктора А.С. Ермолаев.</w:t>
      </w:r>
    </w:p>
    <w:p w14:paraId="7C059B23" w14:textId="77777777" w:rsidR="00882234" w:rsidRPr="008127F8" w:rsidRDefault="00882234" w:rsidP="001E0A84">
      <w:pPr>
        <w:pStyle w:val="a4"/>
        <w:rPr>
          <w:color w:val="000000" w:themeColor="text1"/>
          <w:lang w:val="ru-RU"/>
        </w:rPr>
      </w:pPr>
      <w:r w:rsidRPr="008127F8">
        <w:rPr>
          <w:color w:val="000000" w:themeColor="text1"/>
          <w:lang w:val="ru-RU"/>
        </w:rPr>
        <w:t>В соответствии с поставленной задачей боевая масса танка была определена до 30 т, скорость — до 65 км/ч, броневая защита лобо</w:t>
      </w:r>
      <w:r w:rsidRPr="008127F8">
        <w:rPr>
          <w:color w:val="000000" w:themeColor="text1"/>
          <w:lang w:val="ru-RU"/>
        </w:rPr>
        <w:softHyphen/>
        <w:t>вых частей — способная противостоять бро</w:t>
      </w:r>
      <w:r w:rsidRPr="008127F8">
        <w:rPr>
          <w:color w:val="000000" w:themeColor="text1"/>
          <w:lang w:val="ru-RU"/>
        </w:rPr>
        <w:softHyphen/>
        <w:t>небойным снарядам новых немецких пушек калибра 88 мм. Артиллерийское вооружение включало пушкуЗИС-5 во вращающейся башне (углы наводки по вертикали — +25' — -5°).</w:t>
      </w:r>
    </w:p>
    <w:p w14:paraId="7E1D84C6" w14:textId="77777777" w:rsidR="00882234" w:rsidRPr="008127F8" w:rsidRDefault="00882234" w:rsidP="001E0A84">
      <w:pPr>
        <w:pStyle w:val="a4"/>
        <w:rPr>
          <w:color w:val="000000" w:themeColor="text1"/>
          <w:lang w:val="ru-RU"/>
        </w:rPr>
      </w:pPr>
      <w:r w:rsidRPr="008127F8">
        <w:rPr>
          <w:color w:val="000000" w:themeColor="text1"/>
          <w:lang w:val="ru-RU"/>
        </w:rPr>
        <w:t>Усиление защищенности должно было достигаться за счет уменьшения габаритов машины и увеличения толщины брони до 120 мм, с приданием обтекаемой формы кор</w:t>
      </w:r>
      <w:r w:rsidRPr="008127F8">
        <w:rPr>
          <w:color w:val="000000" w:themeColor="text1"/>
          <w:lang w:val="ru-RU"/>
        </w:rPr>
        <w:softHyphen/>
        <w:t>пусу и башне. Корпус танка (комбинирован</w:t>
      </w:r>
      <w:r w:rsidRPr="008127F8">
        <w:rPr>
          <w:color w:val="000000" w:themeColor="text1"/>
          <w:lang w:val="ru-RU"/>
        </w:rPr>
        <w:softHyphen/>
        <w:t>ной конструкции) предполагалось выполнить из крупных литых и прокатных деталей, а башню — отливать из брони высокой твердо</w:t>
      </w:r>
      <w:r w:rsidRPr="008127F8">
        <w:rPr>
          <w:color w:val="000000" w:themeColor="text1"/>
          <w:lang w:val="ru-RU"/>
        </w:rPr>
        <w:softHyphen/>
        <w:t>сти. Соединение отдельных частей корпуса предусматривалось выполнять путем сварки. Доступ к месту механика-водителя и в боевое отделение предполагался через люк в башне и аварийный люк в днище. Орудие в башню должно было заводиться через съемную крышу башни и крепиться при помощи наклад</w:t>
      </w:r>
      <w:r w:rsidRPr="008127F8">
        <w:rPr>
          <w:color w:val="000000" w:themeColor="text1"/>
          <w:lang w:val="ru-RU"/>
        </w:rPr>
        <w:softHyphen/>
        <w:t>ных боковин с подшипниками, имеющими шаровые опоры.</w:t>
      </w:r>
    </w:p>
    <w:p w14:paraId="4D7B91E5" w14:textId="77777777" w:rsidR="00882234" w:rsidRPr="008127F8" w:rsidRDefault="00882234" w:rsidP="001E0A84">
      <w:pPr>
        <w:pStyle w:val="a4"/>
        <w:rPr>
          <w:color w:val="000000" w:themeColor="text1"/>
          <w:lang w:val="ru-RU"/>
        </w:rPr>
      </w:pPr>
      <w:r w:rsidRPr="008127F8">
        <w:rPr>
          <w:color w:val="000000" w:themeColor="text1"/>
          <w:lang w:val="ru-RU"/>
        </w:rPr>
        <w:t>Моторная установка — дизель В-2К мощ</w:t>
      </w:r>
      <w:r w:rsidRPr="008127F8">
        <w:rPr>
          <w:color w:val="000000" w:themeColor="text1"/>
          <w:lang w:val="ru-RU"/>
        </w:rPr>
        <w:softHyphen/>
        <w:t>ностью 600 л.е., система охлаждения — с вен</w:t>
      </w:r>
      <w:r w:rsidRPr="008127F8">
        <w:rPr>
          <w:color w:val="000000" w:themeColor="text1"/>
          <w:lang w:val="ru-RU"/>
        </w:rPr>
        <w:softHyphen/>
        <w:t>тилятором центробежного типа, двусторон</w:t>
      </w:r>
      <w:r w:rsidRPr="008127F8">
        <w:rPr>
          <w:color w:val="000000" w:themeColor="text1"/>
          <w:lang w:val="ru-RU"/>
        </w:rPr>
        <w:softHyphen/>
        <w:t>него всасывания. Радиатор — пластинчатого типа, подковообразной формы. Трансмиссия танка включала главный фрикцион, КПП, бор</w:t>
      </w:r>
      <w:r w:rsidRPr="008127F8">
        <w:rPr>
          <w:color w:val="000000" w:themeColor="text1"/>
          <w:lang w:val="ru-RU"/>
        </w:rPr>
        <w:softHyphen/>
        <w:t>товые фрикционы и бортредукторы. Бортре- дуктор — планетарный, одноступенчатый, был вмонтирован в кронштейн ведущего колеса. Ходовая часть — пятикатковая.</w:t>
      </w:r>
    </w:p>
    <w:p w14:paraId="1898E2AC" w14:textId="77777777" w:rsidR="00882234" w:rsidRPr="008127F8" w:rsidRDefault="00882234" w:rsidP="001E0A84">
      <w:pPr>
        <w:pStyle w:val="a4"/>
        <w:rPr>
          <w:color w:val="000000" w:themeColor="text1"/>
          <w:lang w:val="ru-RU"/>
        </w:rPr>
      </w:pPr>
      <w:r w:rsidRPr="008127F8">
        <w:rPr>
          <w:color w:val="000000" w:themeColor="text1"/>
          <w:lang w:val="ru-RU"/>
        </w:rPr>
        <w:t>Спроектировали два варианта коробки передач: 9-скоростную, конструкции А.Ф. Маришкина и 8-скоростную — Н.Ф. Шашмурина.</w:t>
      </w:r>
    </w:p>
    <w:p w14:paraId="3C3CAA37" w14:textId="77777777" w:rsidR="00882234" w:rsidRPr="008127F8" w:rsidRDefault="00882234" w:rsidP="001E0A84">
      <w:pPr>
        <w:pStyle w:val="a4"/>
        <w:rPr>
          <w:color w:val="000000" w:themeColor="text1"/>
          <w:lang w:val="ru-RU"/>
        </w:rPr>
      </w:pPr>
      <w:r w:rsidRPr="008127F8">
        <w:rPr>
          <w:color w:val="000000" w:themeColor="text1"/>
          <w:lang w:val="ru-RU"/>
        </w:rPr>
        <w:t>В первой КП было три передачи и три ступени редуктора, во второй — четыре передачи и две ступени редуктора-демультипликатора. Шашмурин разработал также одноступенча</w:t>
      </w:r>
      <w:r w:rsidRPr="008127F8">
        <w:rPr>
          <w:color w:val="000000" w:themeColor="text1"/>
          <w:lang w:val="ru-RU"/>
        </w:rPr>
        <w:softHyphen/>
        <w:t>тый планетарный механизм поворота (вместо бортового фрикциона) (12616).</w:t>
      </w:r>
    </w:p>
    <w:p w14:paraId="7E5ACFA0" w14:textId="77777777" w:rsidR="00882234" w:rsidRPr="008127F8" w:rsidRDefault="00882234" w:rsidP="001E0A84">
      <w:pPr>
        <w:pStyle w:val="a4"/>
        <w:rPr>
          <w:color w:val="000000" w:themeColor="text1"/>
          <w:lang w:val="ru-RU"/>
        </w:rPr>
      </w:pPr>
    </w:p>
    <w:p w14:paraId="7CDC308C"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года директор завода № 592 Наркомата Вооружений (НКВ) получил письмо следующего содержания:</w:t>
      </w:r>
    </w:p>
    <w:p w14:paraId="263F5BC7"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67B0B0F1"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ремонтного управления АБТУКА бригадинженеру Сосенкову.</w:t>
      </w:r>
    </w:p>
    <w:p w14:paraId="0080EA9E"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Копия: директору завода № 592 Панкратову Д. Ф.</w:t>
      </w:r>
    </w:p>
    <w:p w14:paraId="6CB55370"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в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года на заводе № 592 прошу Вас дать необходимое распоряжение о ремонте и доставке на завод № 592 четырех трофейных "артштурмов". Для ускорения всех работ первый отремонтированный "артштурм" необходимо доставить на завод до 25 апреля. 13 апреля 1942 г. Председатель техсовета, член коллегии НКВ Э.Сатель (подпись)" (9695).</w:t>
      </w:r>
    </w:p>
    <w:p w14:paraId="034ED7B1"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564D1"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13 апреля 1942 г. директор завода № 592 получил письмо из Наркомата вооружения:</w:t>
      </w:r>
    </w:p>
    <w:p w14:paraId="03E94C4C"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«Начальнику ремонтного управления АБТУКА бригадинженеру Сосенкову.</w:t>
      </w:r>
    </w:p>
    <w:p w14:paraId="2820A3B9"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lastRenderedPageBreak/>
        <w:t>Копия: директору завода № 592 Панкратову Д.Ф.</w:t>
      </w:r>
    </w:p>
    <w:p w14:paraId="0735B130"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В соответствии с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 на заводе № 592 прошу Вас дать необходимое распоряжение о ремонте и доставке на завод № 592 четырех трофейных "артштурмов". Для ускорения всех работ первый отремонтированный "артштурм" необходимо доставить на завод до 25 апреля.</w:t>
      </w:r>
    </w:p>
    <w:p w14:paraId="31DB34F3"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13 апреля 1942 г. Председатель техсовета, член коллегии НКВ Э. Сатель».</w:t>
      </w:r>
    </w:p>
    <w:p w14:paraId="418B1A71"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В том же апреле конструкторская группа завода под руководством А. Каштанова начала проектирование 122-мм самоходной гаубицы. В этом «самоходе» использовалась качающаяся часть 122-мм буксируемой гаубицы М-30.</w:t>
      </w:r>
    </w:p>
    <w:p w14:paraId="1082402D"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В качестве базы для новой машины использовалось штурмовое орудие StuG III с наращенной вверх боевой рубкой. Такое увеличение рубки позволило установить в боевом отделении 122-мм гаубицу М-30. Новая САУ получила название «штурмовая самоходная гаубица "артштурм" СГ-122», или сокращенно СГ-122А.</w:t>
      </w:r>
    </w:p>
    <w:p w14:paraId="6FE4B558"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Боевая рубка штурмового орудия с демонтированной крышей была несколько обрезана по высоте. На оставшийся пояс наварили простую призматическую коробку из 45-мм (лоб) и 35—25-мм (борта и корма) броневых листов. Для необходимой прочности горизонтального стыка он был усилен снаружи и изнутри накладками толщиной 6—8 мм.</w:t>
      </w:r>
    </w:p>
    <w:p w14:paraId="340DD73F"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На днище боевого отделения на месте станка 75-мм орудия StuK 37 смонтировали новый станок гаубицы М-30, изготовленный по типу немецкого. Основной боекомплект гаубицы размещался по бортам САУ, а несколько снарядов «оперативного использования» — на дне позади гаубичного станка.</w:t>
      </w:r>
    </w:p>
    <w:p w14:paraId="1207637B" w14:textId="77777777" w:rsidR="00D61AEB" w:rsidRPr="008127F8" w:rsidRDefault="00D61AEB" w:rsidP="001E0A84">
      <w:pPr>
        <w:pStyle w:val="book"/>
        <w:ind w:firstLine="0"/>
        <w:jc w:val="both"/>
        <w:rPr>
          <w:color w:val="000000" w:themeColor="text1"/>
          <w:sz w:val="16"/>
          <w:szCs w:val="16"/>
        </w:rPr>
      </w:pPr>
      <w:r w:rsidRPr="008127F8">
        <w:rPr>
          <w:color w:val="000000" w:themeColor="text1"/>
          <w:sz w:val="16"/>
          <w:szCs w:val="16"/>
        </w:rPr>
        <w:t>Экипаж СГ-122(A) состоял из пяти человек (15225).</w:t>
      </w:r>
    </w:p>
    <w:p w14:paraId="4080261F" w14:textId="77777777" w:rsidR="00D61AEB" w:rsidRPr="008127F8" w:rsidRDefault="00D61AEB" w:rsidP="001E0A84">
      <w:pPr>
        <w:pStyle w:val="book"/>
        <w:ind w:firstLine="0"/>
        <w:jc w:val="both"/>
        <w:rPr>
          <w:color w:val="000000" w:themeColor="text1"/>
          <w:sz w:val="16"/>
          <w:szCs w:val="16"/>
        </w:rPr>
      </w:pPr>
    </w:p>
    <w:p w14:paraId="0F435532" w14:textId="27C7BD01"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года председатель техсовета НКВ Э.</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Сатель направил начальнику ремонтного управления ГАБТУ КА бригадинженеру Сосенкову следующий документ:</w:t>
      </w:r>
    </w:p>
    <w:p w14:paraId="25282227" w14:textId="77777777"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0FB2F47C" w14:textId="36A9A3EC" w:rsidR="0093288E" w:rsidRPr="008127F8" w:rsidRDefault="0093288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года на заводе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прошу Вас дать необходимое распоряжение о ремонте и доставке на завод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четырех трофейных „артштурмов“. Для ускорения всех работ первый отремонтированный „артштурм“ необходимо доставить на завод до 25 апреля» (12688).</w:t>
      </w:r>
    </w:p>
    <w:p w14:paraId="5F59E301" w14:textId="77777777" w:rsidR="0093288E" w:rsidRPr="008127F8" w:rsidRDefault="0093288E" w:rsidP="001E0A84">
      <w:pPr>
        <w:spacing w:after="0" w:line="240" w:lineRule="auto"/>
        <w:jc w:val="both"/>
        <w:rPr>
          <w:rFonts w:ascii="Times New Roman" w:hAnsi="Times New Roman"/>
          <w:color w:val="000000" w:themeColor="text1"/>
          <w:sz w:val="16"/>
          <w:szCs w:val="16"/>
        </w:rPr>
      </w:pPr>
    </w:p>
    <w:p w14:paraId="166692C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819A7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DC078"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в 1942 году утреннее сообщение Совинформбюро:</w:t>
      </w:r>
    </w:p>
    <w:p w14:paraId="40DD7A4F"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13 апреля на фронте каких-либо существенных изменений не произошло.</w:t>
      </w:r>
    </w:p>
    <w:p w14:paraId="0BAA03D1"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Танкисты гвардейской части, где командиром тов. Михайлов (Юго-Западный фронт), отбив контратаку противника, уничтожили свыше 100 немецких солдат и офицеров и подбили 2 танка противника.</w:t>
      </w:r>
    </w:p>
    <w:p w14:paraId="1461179C"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одном из участков Ленинградского фронта наша часть под командованием </w:t>
      </w:r>
      <w:proofErr w:type="gramStart"/>
      <w:r w:rsidRPr="008127F8">
        <w:rPr>
          <w:rFonts w:ascii="Times New Roman" w:hAnsi="Times New Roman"/>
          <w:color w:val="000000" w:themeColor="text1"/>
          <w:sz w:val="16"/>
          <w:szCs w:val="16"/>
        </w:rPr>
        <w:t>тов.Черепанова</w:t>
      </w:r>
      <w:proofErr w:type="gramEnd"/>
      <w:r w:rsidRPr="008127F8">
        <w:rPr>
          <w:rFonts w:ascii="Times New Roman" w:hAnsi="Times New Roman"/>
          <w:color w:val="000000" w:themeColor="text1"/>
          <w:sz w:val="16"/>
          <w:szCs w:val="16"/>
        </w:rPr>
        <w:t xml:space="preserve"> за один день разрушила 19 ДЗОТов и блиндажей и 4 наблюдательных пункта белофиннов. Огнём нашей артиллерии подавлено 13 артиллерийских и 5 миномётных батарей противника. Белофинны потеряли убитыми и ранеными 350 солдат и офицеров.</w:t>
      </w:r>
    </w:p>
    <w:p w14:paraId="6BD3755D"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Около роты пьяных немецких солдат ночью предприняли атаку на рубеж, обороняемый отделением </w:t>
      </w:r>
      <w:proofErr w:type="gramStart"/>
      <w:r w:rsidRPr="008127F8">
        <w:rPr>
          <w:rFonts w:ascii="Times New Roman" w:hAnsi="Times New Roman"/>
          <w:color w:val="000000" w:themeColor="text1"/>
          <w:sz w:val="16"/>
          <w:szCs w:val="16"/>
        </w:rPr>
        <w:t>сержанта</w:t>
      </w:r>
      <w:proofErr w:type="gramEnd"/>
      <w:r w:rsidRPr="008127F8">
        <w:rPr>
          <w:rFonts w:ascii="Times New Roman" w:hAnsi="Times New Roman"/>
          <w:color w:val="000000" w:themeColor="text1"/>
          <w:sz w:val="16"/>
          <w:szCs w:val="16"/>
        </w:rPr>
        <w:t xml:space="preserve"> Семёнова (Западный фронт). Выждав, когда гитлеровцы приблизились на короткую дистанцию, красноармеец Чуданов открыл огонь из ручного пулемёта. Его поддержали огнём из винтовок другие бойцы. Немцы не выдержали и отступили. На рассвете командир отделения насчитал на поле боя около100 трупов немецких солдат и офицеров.</w:t>
      </w:r>
    </w:p>
    <w:p w14:paraId="2A4A6BBE"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Танковое подразделение лейтенанта Лазарева атаковало опорный пункт противника на одном из участков Калининского фронта. Наши танкисты разрушили 2 вражеских ДЗОТа, уничтожили 5 немецких танков и до 3 взводов пехоты противника.</w:t>
      </w:r>
    </w:p>
    <w:p w14:paraId="041434B7"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роты 93 румынского пехотного полка Иосиф Бонтяру рассказал: «В январе я был на родине. На вокзале в Бухаресте сотни стариков и женщин встречали санитарные поезда, разыскивая родных среди раненых и обмороженных солдат. Многие плакали и ругали румынское правительство. Дома у меня царитнищета. Жену я застал без хлеба и без денег. Она задолжала, где только могла. Много жителей деревни убито и ранено на фронте. Все крестьяне спрашивали меня, когда же закончится эта война. На фронт я возвратился с твёрдым намерением сдаться в плен. В последнем бою, когда красноармейцы приблизились к нашим позициям, я поднял руки. Это увидел командир моей роты лейтенант Ницу. Он дважды выстрелил по мне, но промахнулся».</w:t>
      </w:r>
    </w:p>
    <w:p w14:paraId="1636F80C"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мерзавцы зверски расправляются с мирным населением оккупированных районов Харьковской области. В селе Огиевке немцы расстреляли 18 жителей и среди них несколько детей. Старик крестьянин Пугач Емельян Авксентьевич, когда его вели на расстрел, обратился к жителям села со следующими словами: «Сыны мои, соколы, дочки, бейте фашистских гадов беспощадно, русский народ непобедим». В Сахновщине немецкие палачи расстреляли свыше 200 местных жителей.</w:t>
      </w:r>
    </w:p>
    <w:p w14:paraId="55D6943D"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Италии всё чаще происходят столкновения между итальянскими солдатами и немцами, которые ведут себя, как в завоёванной ими стране. Недавно на одной из улиц города Авеллино (Италия) пьяные немцы избили одного итальянского </w:t>
      </w:r>
      <w:proofErr w:type="gramStart"/>
      <w:r w:rsidRPr="008127F8">
        <w:rPr>
          <w:rFonts w:ascii="Times New Roman" w:hAnsi="Times New Roman"/>
          <w:color w:val="000000" w:themeColor="text1"/>
          <w:sz w:val="16"/>
          <w:szCs w:val="16"/>
        </w:rPr>
        <w:t>солдата</w:t>
      </w:r>
      <w:proofErr w:type="gramEnd"/>
      <w:r w:rsidRPr="008127F8">
        <w:rPr>
          <w:rFonts w:ascii="Times New Roman" w:hAnsi="Times New Roman"/>
          <w:color w:val="000000" w:themeColor="text1"/>
          <w:sz w:val="16"/>
          <w:szCs w:val="16"/>
        </w:rPr>
        <w:t xml:space="preserve"> зато, что он не отдал честь немецкому унтер-офицеру. В завязавшейся драке на стороне итальянских солдат приняли участие местные жители. 7 гитлеровцев были тяжело ранены. Из толпы, собравшейся на улице, раздавались крики: «Вон немцев из Италии!», «К черту Гитлера и его солдат!» (15098).</w:t>
      </w:r>
    </w:p>
    <w:p w14:paraId="2401C4A0" w14:textId="77777777" w:rsidR="00D61AEB" w:rsidRPr="008127F8" w:rsidRDefault="00D61AEB" w:rsidP="001E0A84">
      <w:pPr>
        <w:spacing w:after="0" w:line="240" w:lineRule="auto"/>
        <w:jc w:val="both"/>
        <w:rPr>
          <w:rFonts w:ascii="Times New Roman" w:hAnsi="Times New Roman"/>
          <w:color w:val="000000" w:themeColor="text1"/>
          <w:sz w:val="16"/>
          <w:szCs w:val="16"/>
        </w:rPr>
      </w:pPr>
    </w:p>
    <w:p w14:paraId="72E0E725"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в 1942 году вечернее сообщение Совинформбюро:</w:t>
      </w:r>
    </w:p>
    <w:p w14:paraId="3910590C"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апреля на некоторых участках фронта наши войска вели наступательные бои и заняли несколько населённых пунктов.</w:t>
      </w:r>
    </w:p>
    <w:p w14:paraId="4334FCB2"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апреля сбито в воздушных боях 8 немецких самолётов. Наши потери — 3 самолёта.</w:t>
      </w:r>
    </w:p>
    <w:p w14:paraId="62CF229C"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суда в Баренцевом море потопили транспорт и тральщик противника.</w:t>
      </w:r>
    </w:p>
    <w:p w14:paraId="3F6FB4BB"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апреля частями нашей авиации уничтожено или повреждено 25 немецких автомашин с пехотой и грузами, 20 повозок с боеприпасами, 8 полевых и зенитныхорудий, 9 миномётов, 13 зенитно-пулемётных точек, рассеяно и частью уничтожено до 2 рот пехоты противника.</w:t>
      </w:r>
    </w:p>
    <w:p w14:paraId="3B753FA7"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5 по 11 апреля немецкая авиация потеряла 322 самолёта. Наши потери за этот же период — 68 самолётов.</w:t>
      </w:r>
    </w:p>
    <w:p w14:paraId="1C17BBB8"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месяц с 11 марта по 11 апреля немецкая авиация потеряла 1.103 самолёта. Наши потери за это же время — 314 самолётов.</w:t>
      </w:r>
    </w:p>
    <w:p w14:paraId="55893159"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часть под командованием тов. Чистякова (Калининский фронт) в результате упорных боёв с противником уничтожила 5 немецких орудий, 21 пулемёт, 58 грузовых машин, 2 легковые машины, тягач, 16 повозок с боеприпасами, 2 минометные батареи и 20 блиндажей. Немцы оставили на поле боя 1.160 трупов солдат и офицеров. Проникнув в тыл противника, гвардейцы взорвали склады боеприпасов и продовольствия.</w:t>
      </w:r>
    </w:p>
    <w:p w14:paraId="0B370352"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поддержке нескольких танков бойцы подразделения, где командиром </w:t>
      </w:r>
      <w:proofErr w:type="gramStart"/>
      <w:r w:rsidRPr="008127F8">
        <w:rPr>
          <w:rFonts w:ascii="Times New Roman" w:hAnsi="Times New Roman"/>
          <w:color w:val="000000" w:themeColor="text1"/>
          <w:sz w:val="16"/>
          <w:szCs w:val="16"/>
        </w:rPr>
        <w:t>тов.Андреев</w:t>
      </w:r>
      <w:proofErr w:type="gramEnd"/>
      <w:r w:rsidRPr="008127F8">
        <w:rPr>
          <w:rFonts w:ascii="Times New Roman" w:hAnsi="Times New Roman"/>
          <w:color w:val="000000" w:themeColor="text1"/>
          <w:sz w:val="16"/>
          <w:szCs w:val="16"/>
        </w:rPr>
        <w:t xml:space="preserve"> (Северо-Западный фронт), внезапным ударом овладели одним населённым пунктом, имеющим важное значение. Взяты пленные и трофеи. В бою за этот населённый пункт немцы потеряли около 150 солдат и офицеров.</w:t>
      </w:r>
    </w:p>
    <w:p w14:paraId="5887080D"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Иовлева (Западный фронт) после упорного боя овладела одним из оборонительных рубежей противника. Немцы понесли значительные потери. На поле боя подобрано 10 пулемётов, 10 автоматов и много винтовок. Взяты пленные.</w:t>
      </w:r>
    </w:p>
    <w:p w14:paraId="4F4CBB74"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лейтенант Сергиенко на своём танке скрытно проник в тыл немцев, а затем, повернув обратно, стремительно ринулся на артиллерийские позиции противника. 6 немецких орудий было уничтожено гусеницами и огнём. Просочившиеся вслед за танком наши автоматчики уничтожили около 100 немецких солдат и офицеров.</w:t>
      </w:r>
    </w:p>
    <w:p w14:paraId="4DC03E16"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Евсеев захватил немецкий миномёт и выпустил из него по врагу свыше 200 мин. Метким огнём отважный боец уничтожил 2 вражеские миномётные батареи и несколько десятков солдат и офицеров противника.</w:t>
      </w:r>
    </w:p>
    <w:p w14:paraId="631AAFE0"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Смело громят немецких захватчиков партизанские отряды тов. Бати и тов. З., действующие в Белоруссии. С 15 марта по 5 апреля партизаны уничтожили 768 немецких солдат и офицеров, 13 автомашин, взорвали 9 ДЗОТов, мост и 3 склада сбоеприпасами. Взяты в плен 10 офицеров и 3 полицейских.</w:t>
      </w:r>
    </w:p>
    <w:p w14:paraId="11DA1512"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взвода охранной команды 10 немецкого армейского корпуса Генрих Прис рассказал: «Меня призвали в армию недавно. До этого я работал на военном заводе. В связи с большими потерями немецких войск на фронте Гитлер сейчас мобилизует в армию даже высококвалифицированных рабочих, инженеров и конструкторов. Так, например, на заводе, где я работал, из 12 очень нужных и, пожалуй, незаменимых специалистов 9 взяты в армию. О квалифицированных рабочих и говорить нечего. Их массами гонят сейчас на фронт. Рабочие, оставшиеся на заводах, изнемогают от непосильного труда. Даже женщин заставляют работать по две смены подряд. Среди рабочих растёт недовольство фашистским режимом».</w:t>
      </w:r>
    </w:p>
    <w:p w14:paraId="76670E34"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Тяжёлые потери, которые несут гитлеровские войска на советско-германском фронте, вызвали рост дезертирства из немецкой армии. На территории Польши, Белоруссии, Украины, Литвы, Латвии и Эстонии появилось много дезертиров —немецких солдат. Скрываясь в лесах, они нападают на продовольственные и вещевые склады германской армии и грабят их. В конце марта в районе Бяла (Польша) и Ионава (Литва) группы дезертиров разгромили карательные отряды. Для борьбы с дезертирами немецкое командование вынуждаю создавать особые моторизованные отряды с бронемашинами.» (15098).</w:t>
      </w:r>
    </w:p>
    <w:p w14:paraId="6A98E9B5" w14:textId="77777777" w:rsidR="00D61AEB" w:rsidRPr="008127F8" w:rsidRDefault="00D61AEB" w:rsidP="001E0A84">
      <w:pPr>
        <w:spacing w:after="0" w:line="240" w:lineRule="auto"/>
        <w:jc w:val="both"/>
        <w:rPr>
          <w:rFonts w:ascii="Times New Roman" w:hAnsi="Times New Roman"/>
          <w:color w:val="000000" w:themeColor="text1"/>
          <w:sz w:val="16"/>
          <w:szCs w:val="16"/>
        </w:rPr>
      </w:pPr>
    </w:p>
    <w:p w14:paraId="074AB8A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вышло Постановление ГКО № 1593 [О поручении Ворошилову К.Е. контроля за формированием новых соединений и подготовкой маршевых пополнений.] (7030, 170).</w:t>
      </w:r>
    </w:p>
    <w:p w14:paraId="589B51E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13C2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13 апреля 1942 вышло Постановление ГКО № 1595 О замене в фронтовых, армейских и запасных частях связи и тыловых узлах связи красноармейцев женщинами. (7030, 172-173).</w:t>
      </w:r>
    </w:p>
    <w:p w14:paraId="198E1B2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3B5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года управление корпуса переформировано в управление Бакинской армии ПВО, которая была создана для охраны основного нефтедобывающего района страны. Командующим армией был генерал-майор артиллерии Бескровнов. Бакинская армия переформирована 18 ноября 1945 года (10109).</w:t>
      </w:r>
    </w:p>
    <w:p w14:paraId="383B5B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53AF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754E8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5F7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вышел указ о мобилизации всех сельских жителей на сбор урожая (1348,201).</w:t>
      </w:r>
    </w:p>
    <w:p w14:paraId="6BA29A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74C0E" w14:textId="6636D32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вышло постановление правительства «О повышении для колхозников минимума трудодней». Согласно ему, каждый колхозник старше 16 лет должен был теперь отработать 100 трудодней, а подростки — 50. А в хлопковых районах крепостные колхозники обязаны были отработать аж 150 трудодней. [436 — Там же, с. 33.] Не выполнявшие норму предавались суду и карались исправительно-трудовыми работами. До войны минимум трудодней еще был довольно гуманным и равнялся 60. То есть 305 дней в году крестьянин мог работать на своем участке, а остальные 60 был обязан бесплатно трудиться на государство. Причем приходились они, как правило, на посевную и уборочную (11741).</w:t>
      </w:r>
    </w:p>
    <w:p w14:paraId="10CD97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E5CC5" w14:textId="77777777" w:rsidR="00D61AEB" w:rsidRPr="008127F8" w:rsidRDefault="00D61AE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г. было издано постановление СНК СССР и ЦК ВКП (б) “О повышении для колхозников обязательного минимума трудодней”. 15 апреля 1942 г. положения этого постановления были узаконены Указом Президиума Верховного Совета СССР’. Трудоспособные колхозники, не выработавшие без уважительной причины обязательного минимума трудодней, карались исправительно-трудовыми работами в колхозах на срок до шести месяцев с удержанием из оплаты трудодней до 25% в пользу колхозов. Председатели правлений колхозов и бригадиры за уклонения от предания суду виновных колхозников привлекались к уголовной ответственности в зависимости от конкретных обстоятельств дела по ст. 109 УК РСФСР “Злоупотребление властью” или по ст. 109 УК РСФСР “Бездействие власти и халатность” (17460).</w:t>
      </w:r>
    </w:p>
    <w:p w14:paraId="0579B947" w14:textId="77777777" w:rsidR="00D61AEB" w:rsidRPr="008127F8" w:rsidRDefault="00D61AEB" w:rsidP="001E0A84">
      <w:pPr>
        <w:spacing w:after="0" w:line="240" w:lineRule="auto"/>
        <w:jc w:val="both"/>
        <w:rPr>
          <w:rFonts w:ascii="Times New Roman" w:hAnsi="Times New Roman"/>
          <w:color w:val="000000" w:themeColor="text1"/>
          <w:sz w:val="16"/>
          <w:szCs w:val="16"/>
        </w:rPr>
      </w:pPr>
    </w:p>
    <w:p w14:paraId="29C585C0" w14:textId="77777777" w:rsidR="00693C4D" w:rsidRPr="008127F8" w:rsidRDefault="00693C4D" w:rsidP="001E0A84">
      <w:pPr>
        <w:pStyle w:val="af"/>
        <w:shd w:val="clear" w:color="auto" w:fill="FFFFFF"/>
        <w:spacing w:before="0" w:after="0"/>
        <w:jc w:val="both"/>
        <w:rPr>
          <w:color w:val="000000" w:themeColor="text1"/>
          <w:sz w:val="16"/>
          <w:szCs w:val="16"/>
        </w:rPr>
      </w:pPr>
      <w:r w:rsidRPr="008127F8">
        <w:rPr>
          <w:color w:val="000000" w:themeColor="text1"/>
          <w:sz w:val="16"/>
          <w:szCs w:val="16"/>
        </w:rPr>
        <w:t>13 апреля 1942 года Совет Народных Комиссаров Союза ССР принял постановление «О выпуске Государственного Военного Заема 1942 года на сумму 10 миллиардов рублей со сроком погашения 20 лет. Он выпускался «в целях привлечения дополнительных средств и финансирования мероприятий, связанных с войной с немецкими захватчиками».</w:t>
      </w:r>
    </w:p>
    <w:p w14:paraId="19A8EFFE" w14:textId="77777777" w:rsidR="00693C4D" w:rsidRPr="008127F8" w:rsidRDefault="00693C4D"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Хотя заем назывался выигрышным, было оговорено, что выигрышными будут не все облигации, а только треть из них. Поэтому люди не горели большим желанием подписаться на заем, и распространение облигаций осуществлялось добровольно-принудительным порядком. Заводская газета «Сталинец» призвала рабочих, ИТР и служащих отдать взаймы государству свой месячный заработок. Коммунисты проводили в цехах разъяснительную работу. В итоге многие рабочие подписались даже </w:t>
      </w:r>
      <w:proofErr w:type="gramStart"/>
      <w:r w:rsidRPr="008127F8">
        <w:rPr>
          <w:color w:val="000000" w:themeColor="text1"/>
          <w:sz w:val="16"/>
          <w:szCs w:val="16"/>
        </w:rPr>
        <w:t>больше</w:t>
      </w:r>
      <w:proofErr w:type="gramEnd"/>
      <w:r w:rsidRPr="008127F8">
        <w:rPr>
          <w:color w:val="000000" w:themeColor="text1"/>
          <w:sz w:val="16"/>
          <w:szCs w:val="16"/>
        </w:rPr>
        <w:t xml:space="preserve"> чем на месячный заработок. И в целом по заводу подписка составила 107 процентов к среднемесячному заработку. Отличились коллективы цехов Васильева, Гладкова, Городецкого, Мельникова и других (19828).</w:t>
      </w:r>
    </w:p>
    <w:p w14:paraId="010BA391" w14:textId="77777777" w:rsidR="00693C4D" w:rsidRPr="008127F8" w:rsidRDefault="00693C4D" w:rsidP="001E0A84">
      <w:pPr>
        <w:pStyle w:val="af"/>
        <w:shd w:val="clear" w:color="auto" w:fill="FFFFFF"/>
        <w:spacing w:before="0" w:after="0"/>
        <w:jc w:val="both"/>
        <w:rPr>
          <w:color w:val="000000" w:themeColor="text1"/>
          <w:sz w:val="16"/>
          <w:szCs w:val="16"/>
        </w:rPr>
      </w:pPr>
    </w:p>
    <w:p w14:paraId="368E9F4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88264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66CB7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немецкими фашистами казнен голландский коммунист, член Коминтерна Х. Снеевлит (4962).</w:t>
      </w:r>
    </w:p>
    <w:p w14:paraId="4B9949C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AF7F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13 1942 American aircraft carrier Hornet meets Task Force 16, led by the carrier Enterprise (1242).</w:t>
      </w:r>
    </w:p>
    <w:p w14:paraId="31A90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0204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Хорнет встретился и соединился с Лексингтоном (1242).</w:t>
      </w:r>
    </w:p>
    <w:p w14:paraId="11720F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D0C98"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апреля 1942 тактическая группа 16.2 встретилась с тактической группой 16.1 (TG-16.1), состоящей из авианосца «</w:t>
      </w:r>
      <w:proofErr w:type="gramStart"/>
      <w:r w:rsidRPr="008A2E5A">
        <w:rPr>
          <w:rFonts w:ascii="Times New Roman" w:hAnsi="Times New Roman"/>
          <w:color w:val="0070C0"/>
          <w:sz w:val="16"/>
          <w:szCs w:val="16"/>
        </w:rPr>
        <w:t>Энтерпрай»з</w:t>
      </w:r>
      <w:proofErr w:type="gramEnd"/>
      <w:r w:rsidRPr="008A2E5A">
        <w:rPr>
          <w:rFonts w:ascii="Times New Roman" w:hAnsi="Times New Roman"/>
          <w:color w:val="0070C0"/>
          <w:sz w:val="16"/>
          <w:szCs w:val="16"/>
        </w:rPr>
        <w:t>, крейсеров «Нортхемптон» и «Солт-Лейк-Сити», эсминцев « Балч», «Бенхам», «Фаннинг», «Эллет» и танкера сопровождения «Сабина». Обе эти такти</w:t>
      </w:r>
      <w:r w:rsidRPr="008A2E5A">
        <w:rPr>
          <w:rFonts w:ascii="Times New Roman" w:hAnsi="Times New Roman"/>
          <w:color w:val="0070C0"/>
          <w:sz w:val="16"/>
          <w:szCs w:val="16"/>
        </w:rPr>
        <w:softHyphen/>
        <w:t>ческие группы составили оперативное соединение 16, под командованием вице-адмирала Вильяма Ф. Хэлси.</w:t>
      </w:r>
    </w:p>
    <w:p w14:paraId="35D91C74"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Вся группа шла в полном радиомолчании. Не</w:t>
      </w:r>
      <w:r w:rsidRPr="008A2E5A">
        <w:rPr>
          <w:rFonts w:ascii="Times New Roman" w:hAnsi="Times New Roman"/>
          <w:color w:val="0070C0"/>
          <w:sz w:val="16"/>
          <w:szCs w:val="16"/>
        </w:rPr>
        <w:softHyphen/>
        <w:t>сколько подводных лодок ВМС США заранее были от</w:t>
      </w:r>
      <w:r w:rsidRPr="008A2E5A">
        <w:rPr>
          <w:rFonts w:ascii="Times New Roman" w:hAnsi="Times New Roman"/>
          <w:color w:val="0070C0"/>
          <w:sz w:val="16"/>
          <w:szCs w:val="16"/>
        </w:rPr>
        <w:softHyphen/>
        <w:t>правлены в районы, прилегающие к возможному месту старта бомбардировщиков с целью сообщать соедине</w:t>
      </w:r>
      <w:r w:rsidRPr="008A2E5A">
        <w:rPr>
          <w:rFonts w:ascii="Times New Roman" w:hAnsi="Times New Roman"/>
          <w:color w:val="0070C0"/>
          <w:sz w:val="16"/>
          <w:szCs w:val="16"/>
        </w:rPr>
        <w:softHyphen/>
        <w:t>нию о вражеских кораблях.</w:t>
      </w:r>
    </w:p>
    <w:p w14:paraId="65256415"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 авианосец шел к предполагаемому месту старта, экипажи были проинструктированы о месте, предполага</w:t>
      </w:r>
      <w:r w:rsidRPr="008A2E5A">
        <w:rPr>
          <w:rFonts w:ascii="Times New Roman" w:hAnsi="Times New Roman"/>
          <w:color w:val="0070C0"/>
          <w:sz w:val="16"/>
          <w:szCs w:val="16"/>
        </w:rPr>
        <w:softHyphen/>
        <w:t>емом сроке и времени начала операции. Им были пред</w:t>
      </w:r>
      <w:r w:rsidRPr="008A2E5A">
        <w:rPr>
          <w:rFonts w:ascii="Times New Roman" w:hAnsi="Times New Roman"/>
          <w:color w:val="0070C0"/>
          <w:sz w:val="16"/>
          <w:szCs w:val="16"/>
        </w:rPr>
        <w:softHyphen/>
        <w:t>ставлены маршруты следования к целям и к аэродромам в Китае, названы ориентиры. Для летчиков проводили инструктажи как вести себя в Китае и в Японии (в случае если они попадут в плен).</w:t>
      </w:r>
    </w:p>
    <w:p w14:paraId="667D6094"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плану десяти самолетам предстояло атаковать воен</w:t>
      </w:r>
      <w:r w:rsidRPr="008A2E5A">
        <w:rPr>
          <w:rFonts w:ascii="Times New Roman" w:hAnsi="Times New Roman"/>
          <w:color w:val="0070C0"/>
          <w:sz w:val="16"/>
          <w:szCs w:val="16"/>
        </w:rPr>
        <w:softHyphen/>
        <w:t>ные цели в Токио, трем в Йокогаме, и по одному самолету должны были атаковать военные цели в городах Кобе, Нагойе и Осаке. Экипажам было предложено выбрать цели, которые они хотят бомбить (это были металлургические за</w:t>
      </w:r>
      <w:r w:rsidRPr="008A2E5A">
        <w:rPr>
          <w:rFonts w:ascii="Times New Roman" w:hAnsi="Times New Roman"/>
          <w:color w:val="0070C0"/>
          <w:sz w:val="16"/>
          <w:szCs w:val="16"/>
        </w:rPr>
        <w:softHyphen/>
        <w:t>воды, нефтеперерабатывающие заводы, нефтебазы, склады боеприпасов, верфи, авиационные заводы). Было катего</w:t>
      </w:r>
      <w:r w:rsidRPr="008A2E5A">
        <w:rPr>
          <w:rFonts w:ascii="Times New Roman" w:hAnsi="Times New Roman"/>
          <w:color w:val="0070C0"/>
          <w:sz w:val="16"/>
          <w:szCs w:val="16"/>
        </w:rPr>
        <w:softHyphen/>
        <w:t>рически запрещено бомбить дома мирных жителей и им</w:t>
      </w:r>
      <w:r w:rsidRPr="008A2E5A">
        <w:rPr>
          <w:rFonts w:ascii="Times New Roman" w:hAnsi="Times New Roman"/>
          <w:color w:val="0070C0"/>
          <w:sz w:val="16"/>
          <w:szCs w:val="16"/>
        </w:rPr>
        <w:softHyphen/>
        <w:t>ператорский дворец. Также экипажам были даны запасные цели на случай, если основные цели они не найдут или не смогут их бомбить по другим причинам. Первым должен был стартовать Дулиттл. Вылет наметили после обеда 18 апреля, хотя по плану старт должен был состояться 19-го, но корабли шли к району старта с опережением графика на сутки. Остальные самолеты должны были взлететь спустя три часа после Дулиттла. Дулиттл должен был отбомбиться по Токио незадолго до наступления темноты. Вызванные от его бомб пожары (в его самолет были подвешены только зажигательные бомбы) должны были послужить ориенти</w:t>
      </w:r>
      <w:r w:rsidRPr="008A2E5A">
        <w:rPr>
          <w:rFonts w:ascii="Times New Roman" w:hAnsi="Times New Roman"/>
          <w:color w:val="0070C0"/>
          <w:sz w:val="16"/>
          <w:szCs w:val="16"/>
        </w:rPr>
        <w:softHyphen/>
        <w:t>ром для остальных девяти бомбардировщиков, бомбящих цели в Токио. Остальные шесть бомбардировщиков бом</w:t>
      </w:r>
      <w:r w:rsidRPr="008A2E5A">
        <w:rPr>
          <w:rFonts w:ascii="Times New Roman" w:hAnsi="Times New Roman"/>
          <w:color w:val="0070C0"/>
          <w:sz w:val="16"/>
          <w:szCs w:val="16"/>
        </w:rPr>
        <w:softHyphen/>
        <w:t>били бы свои цели индивидуально. Посадка должна была быть произведена на аэродром Чучжоу.</w:t>
      </w:r>
    </w:p>
    <w:p w14:paraId="72EEFDA1"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походе стрелки тренировались в стрельбе по воз</w:t>
      </w:r>
      <w:r w:rsidRPr="008A2E5A">
        <w:rPr>
          <w:rFonts w:ascii="Times New Roman" w:hAnsi="Times New Roman"/>
          <w:color w:val="0070C0"/>
          <w:sz w:val="16"/>
          <w:szCs w:val="16"/>
        </w:rPr>
        <w:softHyphen/>
        <w:t>душным змеям и шарам из своих турелей. Авиатехники постоянно проводили осмотры бомбардировщиков, им помогали авиатехники из авиагруппы «Хорнета». За три дня до рейда в левом двигателе B-25 лейтенанта Смита об</w:t>
      </w:r>
      <w:r w:rsidRPr="008A2E5A">
        <w:rPr>
          <w:rFonts w:ascii="Times New Roman" w:hAnsi="Times New Roman"/>
          <w:color w:val="0070C0"/>
          <w:sz w:val="16"/>
          <w:szCs w:val="16"/>
        </w:rPr>
        <w:softHyphen/>
        <w:t>наружилась неисправность, но авиатехники её устранили. Во время похода с пропагандистской целью к одной бомбе были прикреплены Японские медали, которые до войны были вручены Японским правительством американским ди</w:t>
      </w:r>
      <w:r w:rsidRPr="008A2E5A">
        <w:rPr>
          <w:rFonts w:ascii="Times New Roman" w:hAnsi="Times New Roman"/>
          <w:color w:val="0070C0"/>
          <w:sz w:val="16"/>
          <w:szCs w:val="16"/>
        </w:rPr>
        <w:softHyphen/>
        <w:t>пломатам в знак дружбы и сотрудничества между Японией и США. Американцы решили «вернуть» их. Также на бомбе были сделаны разные надписи. Эту бомбу затем погрузили на самолет лейтенанта Лоусона (23348).</w:t>
      </w:r>
    </w:p>
    <w:p w14:paraId="558510F5" w14:textId="77777777" w:rsidR="00836181" w:rsidRPr="008A2E5A" w:rsidRDefault="00836181" w:rsidP="00836181">
      <w:pPr>
        <w:spacing w:after="0" w:line="240" w:lineRule="auto"/>
        <w:jc w:val="both"/>
        <w:rPr>
          <w:rFonts w:ascii="Times New Roman" w:hAnsi="Times New Roman"/>
          <w:color w:val="0070C0"/>
          <w:sz w:val="16"/>
          <w:szCs w:val="16"/>
        </w:rPr>
      </w:pPr>
    </w:p>
    <w:p w14:paraId="5FC15D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апреля 1942 в Нью Йорке состоялся митинг солидарности с СССР (3186).</w:t>
      </w:r>
    </w:p>
    <w:p w14:paraId="18272C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456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00114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A383A0" w14:textId="77777777" w:rsidR="009F56D6" w:rsidRPr="008127F8" w:rsidRDefault="009F56D6"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14 апреля 1942 во вто</w:t>
      </w:r>
      <w:r w:rsidRPr="008127F8">
        <w:rPr>
          <w:rFonts w:ascii="Times New Roman" w:hAnsi="Times New Roman" w:cs="Times New Roman"/>
          <w:color w:val="000000" w:themeColor="text1"/>
          <w:sz w:val="16"/>
          <w:szCs w:val="16"/>
        </w:rPr>
        <w:softHyphen/>
        <w:t>ром по счету полете второго опытного самолета Су-6 М-71 («82») с новым М-71 зав. №033 при посадке на бе</w:t>
      </w:r>
      <w:r w:rsidRPr="008127F8">
        <w:rPr>
          <w:rFonts w:ascii="Times New Roman" w:hAnsi="Times New Roman" w:cs="Times New Roman"/>
          <w:color w:val="000000" w:themeColor="text1"/>
          <w:sz w:val="16"/>
          <w:szCs w:val="16"/>
        </w:rPr>
        <w:softHyphen/>
        <w:t>тонную полосу с боковым ветром само</w:t>
      </w:r>
      <w:r w:rsidRPr="008127F8">
        <w:rPr>
          <w:rFonts w:ascii="Times New Roman" w:hAnsi="Times New Roman" w:cs="Times New Roman"/>
          <w:color w:val="000000" w:themeColor="text1"/>
          <w:sz w:val="16"/>
          <w:szCs w:val="16"/>
        </w:rPr>
        <w:softHyphen/>
        <w:t>лет в конце пробега развернуло на 270° вправо. В результате были поломаны 16-й шпангоут фюзеляжа, верхний узел подъ</w:t>
      </w:r>
      <w:r w:rsidRPr="008127F8">
        <w:rPr>
          <w:rFonts w:ascii="Times New Roman" w:hAnsi="Times New Roman" w:cs="Times New Roman"/>
          <w:color w:val="000000" w:themeColor="text1"/>
          <w:sz w:val="16"/>
          <w:szCs w:val="16"/>
        </w:rPr>
        <w:softHyphen/>
        <w:t>ема хвостового костыля и нижний пра</w:t>
      </w:r>
      <w:r w:rsidRPr="008127F8">
        <w:rPr>
          <w:rFonts w:ascii="Times New Roman" w:hAnsi="Times New Roman" w:cs="Times New Roman"/>
          <w:color w:val="000000" w:themeColor="text1"/>
          <w:sz w:val="16"/>
          <w:szCs w:val="16"/>
        </w:rPr>
        <w:softHyphen/>
        <w:t>вый узел его крепления. Самолет вновь встал в ремонт. К летному состоянию при</w:t>
      </w:r>
      <w:r w:rsidRPr="008127F8">
        <w:rPr>
          <w:rFonts w:ascii="Times New Roman" w:hAnsi="Times New Roman" w:cs="Times New Roman"/>
          <w:color w:val="000000" w:themeColor="text1"/>
          <w:sz w:val="16"/>
          <w:szCs w:val="16"/>
        </w:rPr>
        <w:softHyphen/>
        <w:t>водился силами ремонтной бригады за</w:t>
      </w:r>
      <w:r w:rsidRPr="008127F8">
        <w:rPr>
          <w:rFonts w:ascii="Times New Roman" w:hAnsi="Times New Roman" w:cs="Times New Roman"/>
          <w:color w:val="000000" w:themeColor="text1"/>
          <w:sz w:val="16"/>
          <w:szCs w:val="16"/>
        </w:rPr>
        <w:softHyphen/>
        <w:t>вода №289.</w:t>
      </w:r>
    </w:p>
    <w:p w14:paraId="52FD5B27" w14:textId="77777777" w:rsidR="009F56D6" w:rsidRPr="008127F8" w:rsidRDefault="009F56D6"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Поскольку к этому времени про</w:t>
      </w:r>
      <w:r w:rsidRPr="008127F8">
        <w:rPr>
          <w:rFonts w:ascii="Times New Roman" w:hAnsi="Times New Roman" w:cs="Times New Roman"/>
          <w:color w:val="000000" w:themeColor="text1"/>
          <w:sz w:val="16"/>
          <w:szCs w:val="16"/>
        </w:rPr>
        <w:softHyphen/>
        <w:t>грамма испытаний была практически выполнена (не успели испытать в воз</w:t>
      </w:r>
      <w:r w:rsidRPr="008127F8">
        <w:rPr>
          <w:rFonts w:ascii="Times New Roman" w:hAnsi="Times New Roman" w:cs="Times New Roman"/>
          <w:color w:val="000000" w:themeColor="text1"/>
          <w:sz w:val="16"/>
          <w:szCs w:val="16"/>
        </w:rPr>
        <w:softHyphen/>
        <w:t>духе только кассеты мелких бомб), а лет</w:t>
      </w:r>
      <w:r w:rsidRPr="008127F8">
        <w:rPr>
          <w:rFonts w:ascii="Times New Roman" w:hAnsi="Times New Roman" w:cs="Times New Roman"/>
          <w:color w:val="000000" w:themeColor="text1"/>
          <w:sz w:val="16"/>
          <w:szCs w:val="16"/>
        </w:rPr>
        <w:softHyphen/>
        <w:t>ные происшествия по своему характеру и причинам на итоговые выводы и оценку летно-боевых качеств самолета повлиять не могли</w:t>
      </w:r>
      <w:proofErr w:type="gramStart"/>
      <w:r w:rsidRPr="008127F8">
        <w:rPr>
          <w:rFonts w:ascii="Times New Roman" w:hAnsi="Times New Roman" w:cs="Times New Roman"/>
          <w:color w:val="000000" w:themeColor="text1"/>
          <w:sz w:val="16"/>
          <w:szCs w:val="16"/>
        </w:rPr>
        <w:t>.</w:t>
      </w:r>
      <w:proofErr w:type="gramEnd"/>
      <w:r w:rsidRPr="008127F8">
        <w:rPr>
          <w:rFonts w:ascii="Times New Roman" w:hAnsi="Times New Roman" w:cs="Times New Roman"/>
          <w:color w:val="000000" w:themeColor="text1"/>
          <w:sz w:val="16"/>
          <w:szCs w:val="16"/>
        </w:rPr>
        <w:t xml:space="preserve"> то приняли решение составить официальный акт (19844).</w:t>
      </w:r>
    </w:p>
    <w:p w14:paraId="5C9ED2B0" w14:textId="77777777" w:rsidR="009F56D6" w:rsidRPr="008127F8" w:rsidRDefault="009F56D6"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48EA5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с письмом N 9с Нач. 11 ГУ было направлено Зам. НКАП П.А.Воронину заключение по материалам, представленным ГК Н.Н.П. о планере БДП:</w:t>
      </w:r>
    </w:p>
    <w:p w14:paraId="3F6AEC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"Рассмотрение представленных материалов позволяет сделать следующие выводы:</w:t>
      </w:r>
    </w:p>
    <w:p w14:paraId="03F548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Планер имеет высокую весовую отдачу</w:t>
      </w:r>
    </w:p>
    <w:p w14:paraId="73DF08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Конструкция планера не сложнее существующих того же тоннажа</w:t>
      </w:r>
    </w:p>
    <w:p w14:paraId="4E4746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Конструкция доведена и хорошо проработана технологически</w:t>
      </w:r>
    </w:p>
    <w:p w14:paraId="1F79F9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Представленные расчеты стоимости по трудоемкости - реальны</w:t>
      </w:r>
    </w:p>
    <w:p w14:paraId="256EFE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Прочность планера сомнений не вызывает, однако не проведены гос. испытания</w:t>
      </w:r>
    </w:p>
    <w:p w14:paraId="2E36FB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центроплана</w:t>
      </w:r>
    </w:p>
    <w:p w14:paraId="0E6AA8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управления</w:t>
      </w:r>
    </w:p>
    <w:p w14:paraId="2CBD0F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фюзеляжа</w:t>
      </w:r>
    </w:p>
    <w:p w14:paraId="6C19BD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некоторых деталей</w:t>
      </w:r>
    </w:p>
    <w:p w14:paraId="328160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6. Согласно заключению </w:t>
      </w:r>
      <w:proofErr w:type="gramStart"/>
      <w:r w:rsidRPr="008127F8">
        <w:rPr>
          <w:rFonts w:ascii="Times New Roman" w:hAnsi="Times New Roman"/>
          <w:color w:val="000000" w:themeColor="text1"/>
          <w:sz w:val="16"/>
          <w:szCs w:val="16"/>
        </w:rPr>
        <w:t>ЛИИ</w:t>
      </w:r>
      <w:proofErr w:type="gramEnd"/>
      <w:r w:rsidRPr="008127F8">
        <w:rPr>
          <w:rFonts w:ascii="Times New Roman" w:hAnsi="Times New Roman"/>
          <w:color w:val="000000" w:themeColor="text1"/>
          <w:sz w:val="16"/>
          <w:szCs w:val="16"/>
        </w:rPr>
        <w:t xml:space="preserve"> планер имеет некоторые недочеты, которые м.б. устранены перед запуском в серию</w:t>
      </w:r>
    </w:p>
    <w:p w14:paraId="286CC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Предложенный график развертывания производства слишком растянут и д.б. сокращен в 2-3 раза</w:t>
      </w:r>
    </w:p>
    <w:p w14:paraId="71381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Ввиду того, что планер К-1 Курбалы до сих пор не доведен, что ставит завод 490 в Сталинграде под угрозу невыполнения плана 2 </w:t>
      </w:r>
      <w:proofErr w:type="gramStart"/>
      <w:r w:rsidRPr="008127F8">
        <w:rPr>
          <w:rFonts w:ascii="Times New Roman" w:hAnsi="Times New Roman"/>
          <w:color w:val="000000" w:themeColor="text1"/>
          <w:sz w:val="16"/>
          <w:szCs w:val="16"/>
        </w:rPr>
        <w:t>кв...</w:t>
      </w:r>
      <w:proofErr w:type="gramEnd"/>
      <w:r w:rsidRPr="008127F8">
        <w:rPr>
          <w:rFonts w:ascii="Times New Roman" w:hAnsi="Times New Roman"/>
          <w:color w:val="000000" w:themeColor="text1"/>
          <w:sz w:val="16"/>
          <w:szCs w:val="16"/>
        </w:rPr>
        <w:t xml:space="preserve"> считаю возможным внедрить в серийное производство планер БДП Н.Н.П...при условии помощи завода 51..." (2503,5).</w:t>
      </w:r>
    </w:p>
    <w:p w14:paraId="112C1D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C854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 был выполнен первый полет серийного истребителя Ла-5 на Нижегородском авиазаводе (4962).</w:t>
      </w:r>
    </w:p>
    <w:p w14:paraId="18124E3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503249"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в 1942 году первый полет серийного истребителя «Ла-5» на Нижегородском авиазаводе. Новый самолет был создан весной 1942 г. и после испытаний его, под маркой «Ла-5», немедленно запустили в серию. «Ла-5» быстро завоевал признание. Летчикам нравились его высокие характеристики и мощное вооружение. С весны 1943 г, на фронт начал поступать уже улучшенный вариант этого истребителя – «Ла-5Ф», имевший более мощный мотор «М-82Ф» и лучший обзор из кабины летчика. В том же году в серию пошла самая совершенная модификация истребителя – «Ла-5ФН», который был одним из самых легкоуправляемых истребителей (15099).</w:t>
      </w:r>
    </w:p>
    <w:p w14:paraId="4CA5CFDE" w14:textId="77777777" w:rsidR="00F3622C" w:rsidRPr="008127F8" w:rsidRDefault="00F3622C" w:rsidP="001E0A84">
      <w:pPr>
        <w:spacing w:after="0" w:line="240" w:lineRule="auto"/>
        <w:jc w:val="both"/>
        <w:rPr>
          <w:rFonts w:ascii="Times New Roman" w:hAnsi="Times New Roman"/>
          <w:color w:val="000000" w:themeColor="text1"/>
          <w:sz w:val="16"/>
          <w:szCs w:val="16"/>
        </w:rPr>
      </w:pPr>
    </w:p>
    <w:p w14:paraId="10245E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на 21 заводе первый полет совершил серийный Ла-5 (2668).</w:t>
      </w:r>
    </w:p>
    <w:p w14:paraId="5E39E4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A4EA6" w14:textId="77777777" w:rsidR="007468BD" w:rsidRPr="008127F8" w:rsidRDefault="007468BD"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14 апреля 1942 года Комитет обороны СССР принял решение о начале государственных испытаний нового истребителя ЛаГГ-3 М-82. Чтобы привести летные данные слишком тяжелого ЛаГГ-3 в приемлемые рамки, требовалось резкое повышение его энерговооруженности. Такое повышение обеспечила установка С.А. Лавочкиным на самолет весьма удачного 14-цилиндрового двухрядного звездообразного мотора воздушного охлаждения М-82 мощностью 1700 л.с. на пятиминутном взлетном режиме и 1540 л.с. на высоте 2000 метров. М-82 хорошо вписался в облик истребителя, хотя поначалу никто и не думал, что ЛаГГ когда-нибудь придется «скрещивать» с этим мотором.</w:t>
      </w:r>
    </w:p>
    <w:p w14:paraId="36A81D1B" w14:textId="6499D3E6" w:rsidR="007468BD" w:rsidRPr="008127F8" w:rsidRDefault="007468BD"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 xml:space="preserve">На испытаниях ЛаГГ-3 М-82, в дальнейшем ненадолго переименованный в ЛаГГ-5, а затем – в Ла-5 (поскольку Горбунов и Гудков фактически не принимали участия в его создании), развил скорость 531 км/ч у земли и 586 км/ч на высоте 3000 метров. В сравнении с ЛаГГ-3 такие данные сочли обнадеживающими и самолет немедленно, уже в июне, запустили в серию на горьковском </w:t>
      </w:r>
      <w:r w:rsidR="008127F8">
        <w:rPr>
          <w:color w:val="000000" w:themeColor="text1"/>
          <w:sz w:val="16"/>
          <w:szCs w:val="16"/>
        </w:rPr>
        <w:t xml:space="preserve">  </w:t>
      </w:r>
      <w:r w:rsidRPr="008127F8">
        <w:rPr>
          <w:color w:val="000000" w:themeColor="text1"/>
          <w:sz w:val="16"/>
          <w:szCs w:val="16"/>
        </w:rPr>
        <w:t>авиазаводе №21, который ранее планировали перевести с ЛаГГ-3 на истребители Яковлева.</w:t>
      </w:r>
    </w:p>
    <w:p w14:paraId="6A7176BD" w14:textId="77777777" w:rsidR="007468BD" w:rsidRPr="008127F8" w:rsidRDefault="007468BD"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Первые серийные ЛаГГ-5 собирали на базе скопившихся на 21-м заводе частично готовых планеров ЛаГГ-3 с пятью бензобаками. Они поступили на фронт в сентябре 1942-го. Взлетная масса этих машин составляла 3370 кг, вооружение – две синхронные пушки ШВАК с боекомплектом 220 снарядов на ствол (масса секундного залпа 2,55 кг) (19178).</w:t>
      </w:r>
    </w:p>
    <w:p w14:paraId="1DE51A03" w14:textId="77777777" w:rsidR="007468BD" w:rsidRPr="008127F8" w:rsidRDefault="007468BD" w:rsidP="001E0A84">
      <w:pPr>
        <w:pStyle w:val="rtejustify"/>
        <w:shd w:val="clear" w:color="auto" w:fill="FFFFFF"/>
        <w:spacing w:before="0" w:after="0"/>
        <w:textAlignment w:val="baseline"/>
        <w:rPr>
          <w:color w:val="000000" w:themeColor="text1"/>
          <w:sz w:val="16"/>
          <w:szCs w:val="16"/>
        </w:rPr>
      </w:pPr>
    </w:p>
    <w:p w14:paraId="7923A7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вышел приказ НКАП N 278с:</w:t>
      </w:r>
    </w:p>
    <w:p w14:paraId="67D9EA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повышения пожарной безопасности самолетов путем наполнения нейтральными газами крыльевых отсеков по системам спец. КБ завода 156 и проверке ее на войсковых испытаниях в условиях фронта:</w:t>
      </w:r>
    </w:p>
    <w:p w14:paraId="2E0F4A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156 Гулянскому:</w:t>
      </w:r>
    </w:p>
    <w:p w14:paraId="1B998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оборудовать к 30 апреля с.г. 5 самолетов Пе-2 системой газонаполнения крыльевых отсеков и сдать их на испытания ГУ ВВС. работу выполнять на территории завода 23 (1547,20).</w:t>
      </w:r>
    </w:p>
    <w:p w14:paraId="6BCCC7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06E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Нач. 11 ГУ НКАП Куликов направил за № 9с Зам. НКАП П.А.Воронину</w:t>
      </w:r>
    </w:p>
    <w:p w14:paraId="6DA45CF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ЗАМЕЧАНИЯ</w:t>
      </w:r>
    </w:p>
    <w:p w14:paraId="55902F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По .материалам</w:t>
      </w:r>
      <w:proofErr w:type="gramEnd"/>
      <w:r w:rsidRPr="008127F8">
        <w:rPr>
          <w:rFonts w:ascii="Times New Roman" w:hAnsi="Times New Roman"/>
          <w:color w:val="000000" w:themeColor="text1"/>
          <w:sz w:val="16"/>
          <w:szCs w:val="16"/>
        </w:rPr>
        <w:t xml:space="preserve"> представленным главным конструктором т. Поликарповым Н.Н. о планере БДП</w:t>
      </w:r>
    </w:p>
    <w:p w14:paraId="176ACB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Рассмотрение представленных материалов позволяет сделать следующие выводы:</w:t>
      </w:r>
    </w:p>
    <w:p w14:paraId="7716D15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Планер имеет высокую весовую отдачу.</w:t>
      </w:r>
    </w:p>
    <w:p w14:paraId="416A2C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Конструкция планера не сложнее существующих планеро того жее тоннажа.</w:t>
      </w:r>
    </w:p>
    <w:p w14:paraId="2132989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Конструкция планера доведена и хорошо проработана с технолгческой стороны.</w:t>
      </w:r>
    </w:p>
    <w:p w14:paraId="2D155E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Представленные расчеты стоимости на основепредполагае</w:t>
      </w:r>
      <w:r w:rsidRPr="008127F8">
        <w:rPr>
          <w:rFonts w:ascii="Times New Roman" w:hAnsi="Times New Roman"/>
          <w:color w:val="000000" w:themeColor="text1"/>
          <w:sz w:val="16"/>
          <w:szCs w:val="16"/>
        </w:rPr>
        <w:softHyphen/>
        <w:t>мой трудоемкости планера реальны.</w:t>
      </w:r>
    </w:p>
    <w:p w14:paraId="27CBE0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Прочность планета сомнений не вызывает, однако не прове</w:t>
      </w:r>
      <w:r w:rsidRPr="008127F8">
        <w:rPr>
          <w:rFonts w:ascii="Times New Roman" w:hAnsi="Times New Roman"/>
          <w:color w:val="000000" w:themeColor="text1"/>
          <w:sz w:val="16"/>
          <w:szCs w:val="16"/>
        </w:rPr>
        <w:softHyphen/>
        <w:t>дены статсипытания:</w:t>
      </w:r>
    </w:p>
    <w:p w14:paraId="536914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центроплана</w:t>
      </w:r>
    </w:p>
    <w:p w14:paraId="013EE93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управления ручного и ножного</w:t>
      </w:r>
    </w:p>
    <w:p w14:paraId="658583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8127F8">
        <w:rPr>
          <w:rFonts w:ascii="Times New Roman" w:hAnsi="Times New Roman"/>
          <w:smallCaps/>
          <w:color w:val="000000" w:themeColor="text1"/>
          <w:sz w:val="16"/>
          <w:szCs w:val="16"/>
        </w:rPr>
        <w:t>3) фюзеляжа</w:t>
      </w:r>
    </w:p>
    <w:p w14:paraId="4E1858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некоторых деталей, что д.б. сделано вдальнейшем.</w:t>
      </w:r>
    </w:p>
    <w:p w14:paraId="170D48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Согласно заключению </w:t>
      </w:r>
      <w:proofErr w:type="gramStart"/>
      <w:r w:rsidRPr="008127F8">
        <w:rPr>
          <w:rFonts w:ascii="Times New Roman" w:hAnsi="Times New Roman"/>
          <w:color w:val="000000" w:themeColor="text1"/>
          <w:sz w:val="16"/>
          <w:szCs w:val="16"/>
        </w:rPr>
        <w:t>ЛИИ</w:t>
      </w:r>
      <w:proofErr w:type="gramEnd"/>
      <w:r w:rsidRPr="008127F8">
        <w:rPr>
          <w:rFonts w:ascii="Times New Roman" w:hAnsi="Times New Roman"/>
          <w:color w:val="000000" w:themeColor="text1"/>
          <w:sz w:val="16"/>
          <w:szCs w:val="16"/>
        </w:rPr>
        <w:t xml:space="preserve"> планер имеет отдельное недочеты, которые должны быть устранены перед запуском в серию.</w:t>
      </w:r>
    </w:p>
    <w:p w14:paraId="73A8BD3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Предложенный график развертывания производства слишком растянут и должен бытъ сокращен в2-5 раза.</w:t>
      </w:r>
    </w:p>
    <w:p w14:paraId="2B6F56D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 xml:space="preserve">Ввиду </w:t>
      </w:r>
      <w:r w:rsidRPr="008127F8">
        <w:rPr>
          <w:rFonts w:ascii="Times New Roman" w:hAnsi="Times New Roman"/>
          <w:color w:val="000000" w:themeColor="text1"/>
          <w:sz w:val="16"/>
          <w:szCs w:val="16"/>
        </w:rPr>
        <w:t>того, что планер К-1 конструкции т. Курбала до сих пор еще не доведен, что стави завод № 490 вСталинграде под угрозу невыполнения плана П квартала и усугубляет тяжелое положение завода, считаю возможным</w:t>
      </w:r>
      <w:r w:rsidRPr="008127F8">
        <w:rPr>
          <w:rFonts w:ascii="Times New Roman" w:hAnsi="Times New Roman"/>
          <w:smallCaps/>
          <w:color w:val="000000" w:themeColor="text1"/>
          <w:sz w:val="16"/>
          <w:szCs w:val="16"/>
        </w:rPr>
        <w:t xml:space="preserve"> в</w:t>
      </w:r>
      <w:r w:rsidRPr="008127F8">
        <w:rPr>
          <w:rFonts w:ascii="Times New Roman" w:hAnsi="Times New Roman"/>
          <w:color w:val="000000" w:themeColor="text1"/>
          <w:sz w:val="16"/>
          <w:szCs w:val="16"/>
        </w:rPr>
        <w:t>недрить в серийное производство планер БДП т. Поликарпова на Сталинградском заводе, при условии помощи от завода № 51, путем: 1) посылки бригады ИТР и квалиыфицированных рабочих /70-80 чел./ на все время освоения; 2) изготовление металлических узлов и нормалей на первые 100 шт. планеров на заводе № 51 (2503,5).</w:t>
      </w:r>
    </w:p>
    <w:p w14:paraId="696480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1FA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вышел приказ НКАП № 277с:</w:t>
      </w:r>
    </w:p>
    <w:p w14:paraId="79D97A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оперативного обслуживания баз фронта:</w:t>
      </w:r>
    </w:p>
    <w:p w14:paraId="274BF4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Организовать на бывших площадях з-да 472 филиал з-да 145 по ремонту агрегатов спецоборудования, по отработке опытных образцов и по производству лент-расчелок, с выделением филиала на хозрасчет.</w:t>
      </w:r>
    </w:p>
    <w:p w14:paraId="27F2F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 (1547, 85).</w:t>
      </w:r>
    </w:p>
    <w:p w14:paraId="2F5025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83F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вышел приказ НКАП № 279с:</w:t>
      </w:r>
    </w:p>
    <w:p w14:paraId="41913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дальнейшего развития пр-ва колес и шасси для с-тов:</w:t>
      </w:r>
    </w:p>
    <w:p w14:paraId="7C4557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Объеденить з-ды 120 и 261 2 ГУ в единый з-д по выпуску шасси и колес для самолетов,</w:t>
      </w:r>
    </w:p>
    <w:p w14:paraId="0B3B6A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Объединенному з-ду присвоить № 120.</w:t>
      </w:r>
    </w:p>
    <w:p w14:paraId="01745A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 (1547, 24).</w:t>
      </w:r>
    </w:p>
    <w:p w14:paraId="67C2A2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543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вышел приказ НКАП № 281с:</w:t>
      </w:r>
    </w:p>
    <w:p w14:paraId="00814F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авиазаводов и создания маневренного фонда, обеспечивающего текущие потребности фронта:</w:t>
      </w:r>
    </w:p>
    <w:p w14:paraId="7BDD7B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Реорганизовать ремонтно-механические мастерские № 132 в филиал з-да № 132</w:t>
      </w:r>
    </w:p>
    <w:p w14:paraId="7AE055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срок начала выпуска продукции с 1 июня 1942.</w:t>
      </w:r>
    </w:p>
    <w:p w14:paraId="0B3E02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Завитаев (1548, 3).</w:t>
      </w:r>
    </w:p>
    <w:p w14:paraId="64E05B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25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 по приказу № 277с на площадке эвакуированного завода № 472 НКАП организован филиал завода № 145 НКАП для организации ремонта спецоборудования и производства лент-расчалок. Здесь работал филиал ОКБ завода № 145, за которым закреплена испытательная станция в Кузьминках.</w:t>
      </w:r>
    </w:p>
    <w:p w14:paraId="3C52C3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расширения производства ВАП по приказу № 438с от 12.06.1942 г. на базе филиала был образован дублер завода № 145. Дополнительно было передано необходимое оборудование с заводов № 472, № 145 и № 481.</w:t>
      </w:r>
    </w:p>
    <w:p w14:paraId="4E2C94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постановлением ГОКО № 1868сс от 3.07.1942 г. и приказом № 533с от 16.07.1942 г. заводу-дублеру присвоено наименование ГС завод № 455 в системе 2ГУ НКАП. </w:t>
      </w:r>
    </w:p>
    <w:p w14:paraId="1F3DBD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1E9987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02E644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56E42F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0B07DE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47FCE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B50C9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1973 г. КМЗ имел наименование «предприятие- п/я В-2704». До начала 1990-х г. действовало НПО «Стрела», в состав которого входили КМЗ, КБ «Звезда», </w:t>
      </w:r>
      <w:r w:rsidRPr="008127F8">
        <w:rPr>
          <w:rFonts w:ascii="Times New Roman" w:hAnsi="Times New Roman"/>
          <w:color w:val="000000" w:themeColor="text1"/>
          <w:sz w:val="16"/>
          <w:szCs w:val="16"/>
        </w:rPr>
        <w:lastRenderedPageBreak/>
        <w:t>Бендерский машиностроительный завод (возможно, это завод «Прибор») и Костромской механический завод. Затем НПО распалось.</w:t>
      </w:r>
    </w:p>
    <w:p w14:paraId="75574F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31A39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6B35D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г.)- 2500 чел.</w:t>
      </w:r>
    </w:p>
    <w:p w14:paraId="0CCB30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6A1AF3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(2002 г.)- Ю.Д. Новиков. </w:t>
      </w:r>
    </w:p>
    <w:p w14:paraId="2702DB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директор (2002 г.)- Ю.Д. Новиков. Технический директор (2002 г.)- И.Д. Тесля.</w:t>
      </w:r>
    </w:p>
    <w:p w14:paraId="33B960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(1946 г.-)- М.И. Муромцев.</w:t>
      </w:r>
    </w:p>
    <w:p w14:paraId="69BC2A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Работали: Горбунов, (начало 1950-х)- Кузьмин. </w:t>
      </w:r>
    </w:p>
    <w:p w14:paraId="72C1A9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(1974 г.)- В.Г. Кореньков.</w:t>
      </w:r>
    </w:p>
    <w:p w14:paraId="0A84D7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253914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19CCF7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Костино Московской обл. ст. Болшево</w:t>
      </w:r>
    </w:p>
    <w:p w14:paraId="673E3E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Королев Московской обл. ул. Ильича, 7</w:t>
      </w:r>
    </w:p>
    <w:p w14:paraId="59FA90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455, ОКБ-455 НКАП гл. конструктора И.И. Картукова</w:t>
      </w:r>
    </w:p>
    <w:p w14:paraId="7C980A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Костино Московской обл.</w:t>
      </w:r>
    </w:p>
    <w:p w14:paraId="6FCC48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0B0FE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7B680F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завода № 455, ОКБ-455 МАП, ОКБ "Звезда", А-3497</w:t>
      </w:r>
    </w:p>
    <w:p w14:paraId="6229DE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Королев Московской обл., ул. Ильича, 7 тел. 519-55-01</w:t>
      </w:r>
    </w:p>
    <w:p w14:paraId="7B450B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22E191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1966 г.- ОКБ-455 МАП. Головное предприятие по разработке тактических УРВП.</w:t>
      </w:r>
    </w:p>
    <w:p w14:paraId="428F55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0FDB10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(1956-59 г.-)- М.Е. Едидович, Н.Т. Пикот.</w:t>
      </w:r>
    </w:p>
    <w:p w14:paraId="6202E1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238215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5081DF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(1956 г.-)- М.Е. Едидович (изд. «М»), С.П. Яковлев (Х-35).</w:t>
      </w:r>
    </w:p>
    <w:p w14:paraId="2167EF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2B4C2B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Научно-производственный центр (ГНПЦ) "Звезда-Стрела"</w:t>
      </w:r>
    </w:p>
    <w:p w14:paraId="241BBE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Калининград, г. Королев Московской обл. ул. Ильича, 7 тел. 519-20-02</w:t>
      </w:r>
    </w:p>
    <w:p w14:paraId="57644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3E5867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(1995-2002 г.-)- С.П. Яковлев.</w:t>
      </w:r>
    </w:p>
    <w:p w14:paraId="608BD0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(2002 г.)- С.П. Яковлев.</w:t>
      </w:r>
    </w:p>
    <w:p w14:paraId="6ED6D9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ОАО «Корпорация «Тактическое ракетное вооружение» (ТРВ) РАКА</w:t>
      </w:r>
    </w:p>
    <w:p w14:paraId="43634C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Королев Московской обл. ул. Ильича, 7 тел. 542-57-09 www.ktrv.ru</w:t>
      </w:r>
    </w:p>
    <w:p w14:paraId="537BE4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52F746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производство, поставка и модернизация комплексов УР.</w:t>
      </w:r>
    </w:p>
    <w:p w14:paraId="7363DD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(2003-05 г.-)- Б.В. Обносов.</w:t>
      </w:r>
    </w:p>
    <w:p w14:paraId="5925CB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совета директоров (2005 г.)- С. Приходько (10776).</w:t>
      </w:r>
    </w:p>
    <w:p w14:paraId="19FD7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47D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апреля 1942 г. по приказу № 279с завод № 261 (ГС Завод № 261 НКАП /г. Москва ул. Фабричная, 11 (р-н ст. Ростокино) (1939 г.)/ / г. </w:t>
      </w:r>
      <w:proofErr w:type="gramStart"/>
      <w:r w:rsidRPr="008127F8">
        <w:rPr>
          <w:rFonts w:ascii="Times New Roman" w:hAnsi="Times New Roman"/>
          <w:color w:val="000000" w:themeColor="text1"/>
          <w:sz w:val="16"/>
          <w:szCs w:val="16"/>
        </w:rPr>
        <w:t>Березовск;  г.</w:t>
      </w:r>
      <w:proofErr w:type="gramEnd"/>
      <w:r w:rsidRPr="008127F8">
        <w:rPr>
          <w:rFonts w:ascii="Times New Roman" w:hAnsi="Times New Roman"/>
          <w:color w:val="000000" w:themeColor="text1"/>
          <w:sz w:val="16"/>
          <w:szCs w:val="16"/>
        </w:rPr>
        <w:t xml:space="preserve"> Верхний Нейвинск Свердловской обл./) влит в состав завода № 120. Затем по приказу НКАП № 150с от 15.03.1943 г. завод № 261 НКАП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Березовске восстановлен как самостоятельный под прежним номером.</w:t>
      </w:r>
    </w:p>
    <w:p w14:paraId="17CD58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8127F8">
        <w:rPr>
          <w:rFonts w:ascii="Times New Roman" w:hAnsi="Times New Roman"/>
          <w:color w:val="000000" w:themeColor="text1"/>
          <w:sz w:val="16"/>
          <w:szCs w:val="16"/>
          <w:lang w:val="en-US"/>
        </w:rPr>
        <w:t>HKAII</w:t>
      </w:r>
      <w:r w:rsidRPr="008127F8">
        <w:rPr>
          <w:rFonts w:ascii="Times New Roman" w:hAnsi="Times New Roman"/>
          <w:color w:val="000000" w:themeColor="text1"/>
          <w:sz w:val="16"/>
          <w:szCs w:val="16"/>
        </w:rPr>
        <w:t>.</w:t>
      </w:r>
    </w:p>
    <w:p w14:paraId="3BCC29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Верхний Нейвинск на площадку завода № 484 НКАП. Оба завода были объединены в ГС завод № 261 2ГУ НКАП. Все помещения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Березовске были переданы в распоряжение НКЭС.</w:t>
      </w:r>
    </w:p>
    <w:p w14:paraId="224F47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56756A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717491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Производственные площади (1945 г.)- 14.200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200894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(-1940-02.1942 г.-)- А.И. Пастер (одновременно директор завода № 120), (12.1943 г.)- Явиц.</w:t>
      </w:r>
    </w:p>
    <w:p w14:paraId="042DF2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71C703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984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14 апреля 1942 площади и сооружения эвакуированного завода №472 в Болшево были переданы (приказ №277) в качестве филиала заводу №145 НКАП для налаживания производства приборов хим. вооружения и лент-расчалок.</w:t>
      </w:r>
    </w:p>
    <w:p w14:paraId="6B90B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1945 г. территория завод №472 в г.Кузнецке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2936BE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г.Болшево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342BD0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0FF018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08DBF5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w:t>
      </w:r>
      <w:r w:rsidRPr="008127F8">
        <w:rPr>
          <w:rFonts w:ascii="Times New Roman" w:hAnsi="Times New Roman"/>
          <w:color w:val="000000" w:themeColor="text1"/>
          <w:sz w:val="16"/>
          <w:szCs w:val="16"/>
        </w:rPr>
        <w:lastRenderedPageBreak/>
        <w:t xml:space="preserve">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79612F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w:t>
      </w:r>
      <w:proofErr w:type="gramStart"/>
      <w:r w:rsidRPr="008127F8">
        <w:rPr>
          <w:rFonts w:ascii="Times New Roman" w:hAnsi="Times New Roman"/>
          <w:color w:val="000000" w:themeColor="text1"/>
          <w:sz w:val="16"/>
          <w:szCs w:val="16"/>
        </w:rPr>
        <w:t>объединением ”Стрела</w:t>
      </w:r>
      <w:proofErr w:type="gramEnd"/>
      <w:r w:rsidRPr="008127F8">
        <w:rPr>
          <w:rFonts w:ascii="Times New Roman" w:hAnsi="Times New Roman"/>
          <w:color w:val="000000" w:themeColor="text1"/>
          <w:sz w:val="16"/>
          <w:szCs w:val="16"/>
        </w:rPr>
        <w:t xml:space="preserve">”.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w:t>
      </w:r>
      <w:proofErr w:type="gramStart"/>
      <w:r w:rsidRPr="008127F8">
        <w:rPr>
          <w:rFonts w:ascii="Times New Roman" w:hAnsi="Times New Roman"/>
          <w:color w:val="000000" w:themeColor="text1"/>
          <w:sz w:val="16"/>
          <w:szCs w:val="16"/>
        </w:rPr>
        <w:t>КПО ”Стрела</w:t>
      </w:r>
      <w:proofErr w:type="gramEnd"/>
      <w:r w:rsidRPr="008127F8">
        <w:rPr>
          <w:rFonts w:ascii="Times New Roman" w:hAnsi="Times New Roman"/>
          <w:color w:val="000000" w:themeColor="text1"/>
          <w:sz w:val="16"/>
          <w:szCs w:val="16"/>
        </w:rPr>
        <w:t xml:space="preserve">” в качестве самостоятельного юридического лица было выделено ОКБ ”Звезда”. Далее из объединения вышли и др. предприятия. </w:t>
      </w:r>
    </w:p>
    <w:p w14:paraId="20759F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5B6496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w:t>
      </w:r>
      <w:proofErr w:type="gramStart"/>
      <w:r w:rsidRPr="008127F8">
        <w:rPr>
          <w:rFonts w:ascii="Times New Roman" w:hAnsi="Times New Roman"/>
          <w:color w:val="000000" w:themeColor="text1"/>
          <w:sz w:val="16"/>
          <w:szCs w:val="16"/>
        </w:rPr>
        <w:t>ГНПЦ ”Звезда</w:t>
      </w:r>
      <w:proofErr w:type="gramEnd"/>
      <w:r w:rsidRPr="008127F8">
        <w:rPr>
          <w:rFonts w:ascii="Times New Roman" w:hAnsi="Times New Roman"/>
          <w:color w:val="000000" w:themeColor="text1"/>
          <w:sz w:val="16"/>
          <w:szCs w:val="16"/>
        </w:rPr>
        <w:t xml:space="preserve">-Стрела” и преобразование его в ОАО ”Корпорация ”Тактическое ракетное вооружение”. В состав Корпорации также вошли следующие предприятия: ОАО </w:t>
      </w:r>
      <w:proofErr w:type="gramStart"/>
      <w:r w:rsidRPr="008127F8">
        <w:rPr>
          <w:rFonts w:ascii="Times New Roman" w:hAnsi="Times New Roman"/>
          <w:color w:val="000000" w:themeColor="text1"/>
          <w:sz w:val="16"/>
          <w:szCs w:val="16"/>
        </w:rPr>
        <w:t>ТМКБ ”Союз</w:t>
      </w:r>
      <w:proofErr w:type="gramEnd"/>
      <w:r w:rsidRPr="008127F8">
        <w:rPr>
          <w:rFonts w:ascii="Times New Roman" w:hAnsi="Times New Roman"/>
          <w:color w:val="000000" w:themeColor="text1"/>
          <w:sz w:val="16"/>
          <w:szCs w:val="16"/>
        </w:rPr>
        <w:t xml:space="preserve">”,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3CFC52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Выпускаемая продукция в текущее время: Х-35Э, Х-31А, Х-31П, Х-25МПУ, Х-25МЛ. </w:t>
      </w:r>
    </w:p>
    <w:p w14:paraId="36F718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Генеральный директор корпорации - Б.В.Обносов. </w:t>
      </w:r>
    </w:p>
    <w:p w14:paraId="407C71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Корпорация ”Тактическое</w:t>
      </w:r>
      <w:proofErr w:type="gramEnd"/>
      <w:r w:rsidRPr="008127F8">
        <w:rPr>
          <w:rFonts w:ascii="Times New Roman" w:hAnsi="Times New Roman"/>
          <w:color w:val="000000" w:themeColor="text1"/>
          <w:sz w:val="16"/>
          <w:szCs w:val="16"/>
        </w:rPr>
        <w:t xml:space="preserve"> ракетное вооружение”, ОАО (ОАО "КТРВ") </w:t>
      </w:r>
    </w:p>
    <w:p w14:paraId="012BB9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058802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4DD6AC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3F9413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CF1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 по приказу № 277с на площадке эвакуированного завода № 472 НКАП организован филиал завода № 145 НКАП для организации ремонта спецоборудования и производства лент-расчалок. Здесь работал филиал ОКБ завода № 145, за которым закреплена испытательная станция в Кузьминках.</w:t>
      </w:r>
    </w:p>
    <w:p w14:paraId="2192AA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расширения производства ВАП по приказу № 438с от 12.06.1942 г. на базе филиала был образован дублер завода № 145, которому было передано необходимое оборудование с заводов № 472, № 145 и № 481.</w:t>
      </w:r>
    </w:p>
    <w:p w14:paraId="1295EF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1868сс от 4.06.1942 г. и приказом № 533с от 16.07.1942 г. заводу-дублеру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в системе 2ГУ НКАП.</w:t>
      </w:r>
    </w:p>
    <w:p w14:paraId="1D18E6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5F5AA1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1943-46 г. на заводе действовало ОКБ-455 НКАП гл. конструктора И.И. Картукова.</w:t>
      </w:r>
    </w:p>
    <w:p w14:paraId="32F3C9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4D881C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79C146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06AA6B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52F16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начато освоение производства первых отечественных УРВВ РС-1-У.</w:t>
      </w:r>
    </w:p>
    <w:p w14:paraId="12670A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160E03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32BB15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1972 г. на КМЗ выпущена первая партия (-150 шт.) мини-ЭВМ «Электроника-ЮО».</w:t>
      </w:r>
      <w:r w:rsidRPr="008127F8">
        <w:rPr>
          <w:rFonts w:ascii="Times New Roman" w:hAnsi="Times New Roman"/>
          <w:color w:val="000000" w:themeColor="text1"/>
          <w:sz w:val="16"/>
          <w:szCs w:val="16"/>
          <w:vertAlign w:val="superscript"/>
        </w:rPr>
        <w:t>40</w:t>
      </w:r>
    </w:p>
    <w:p w14:paraId="4E21FE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КМЗ имел наименование «предприятие- п/я В-2704». До начала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093578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634FBA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04A8FE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г.)- 2500 чел.</w:t>
      </w:r>
    </w:p>
    <w:p w14:paraId="623EC2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8127F8">
        <w:rPr>
          <w:rFonts w:ascii="Times New Roman" w:hAnsi="Times New Roman"/>
          <w:color w:val="000000" w:themeColor="text1"/>
          <w:sz w:val="16"/>
          <w:szCs w:val="16"/>
          <w:vertAlign w:val="superscript"/>
        </w:rPr>
        <w:t>143</w:t>
      </w:r>
      <w:r w:rsidRPr="008127F8">
        <w:rPr>
          <w:rFonts w:ascii="Times New Roman" w:hAnsi="Times New Roman"/>
          <w:color w:val="000000" w:themeColor="text1"/>
          <w:sz w:val="16"/>
          <w:szCs w:val="16"/>
        </w:rPr>
        <w:t xml:space="preserve"> (1987-90 г.)- В.А. Шаповалов. Гендиректор (1990-94 г.)- Н.С. Жучков, (-1995 г.)- С.П. Яковлев.</w:t>
      </w:r>
    </w:p>
    <w:p w14:paraId="1CBE8D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5542C7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химвооружение: ВАП-6М, ВАП-500 (1942-), ВАП-100, ВАГ1-250 (ВОВ);</w:t>
      </w:r>
      <w:r w:rsidRPr="008127F8">
        <w:rPr>
          <w:rFonts w:ascii="Times New Roman" w:hAnsi="Times New Roman"/>
          <w:iCs/>
          <w:color w:val="000000" w:themeColor="text1"/>
          <w:sz w:val="16"/>
          <w:szCs w:val="16"/>
        </w:rPr>
        <w:t xml:space="preserve"> УРВБ:</w:t>
      </w:r>
      <w:r w:rsidRPr="008127F8">
        <w:rPr>
          <w:rFonts w:ascii="Times New Roman" w:hAnsi="Times New Roman"/>
          <w:color w:val="000000" w:themeColor="text1"/>
          <w:sz w:val="16"/>
          <w:szCs w:val="16"/>
        </w:rPr>
        <w:t xml:space="preserve"> изд. «М» (РС- 1-У) (1956-57), «И» (РС-2У) (1957-59), «ИС» (РС-2-УС) (1959-), «24» (Р-8М) (1959-), К-13, Р-98, К-55, К-40 (- 1991), К-80 (Р-4);</w:t>
      </w:r>
      <w:r w:rsidRPr="008127F8">
        <w:rPr>
          <w:rFonts w:ascii="Times New Roman" w:hAnsi="Times New Roman"/>
          <w:iCs/>
          <w:color w:val="000000" w:themeColor="text1"/>
          <w:sz w:val="16"/>
          <w:szCs w:val="16"/>
        </w:rPr>
        <w:t xml:space="preserve"> УРВП:</w:t>
      </w:r>
      <w:r w:rsidRPr="008127F8">
        <w:rPr>
          <w:rFonts w:ascii="Times New Roman" w:hAnsi="Times New Roman"/>
          <w:color w:val="000000" w:themeColor="text1"/>
          <w:sz w:val="16"/>
          <w:szCs w:val="16"/>
        </w:rPr>
        <w:t xml:space="preserve"> Х-66 (1968-), Х-23, Х-27ПС, Х-25, Х-25М, -25МЛ, -25МП, -25МПУ, Х-31А, -31П, Х-35; </w:t>
      </w:r>
      <w:r w:rsidRPr="008127F8">
        <w:rPr>
          <w:rFonts w:ascii="Times New Roman" w:hAnsi="Times New Roman"/>
          <w:iCs/>
          <w:color w:val="000000" w:themeColor="text1"/>
          <w:sz w:val="16"/>
          <w:szCs w:val="16"/>
        </w:rPr>
        <w:t>ЗУР:</w:t>
      </w:r>
      <w:r w:rsidRPr="008127F8">
        <w:rPr>
          <w:rFonts w:ascii="Times New Roman" w:hAnsi="Times New Roman"/>
          <w:color w:val="000000" w:themeColor="text1"/>
          <w:sz w:val="16"/>
          <w:szCs w:val="16"/>
        </w:rPr>
        <w:t xml:space="preserve"> ЗМ9; мишень МА-31;</w:t>
      </w:r>
    </w:p>
    <w:p w14:paraId="7DDC72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мини-ЭВМ «Электроника-100» (1972)- около150 шт.; гладильные машины «Калинка».</w:t>
      </w:r>
      <w:r w:rsidRPr="008127F8">
        <w:rPr>
          <w:rFonts w:ascii="Times New Roman" w:hAnsi="Times New Roman"/>
          <w:color w:val="000000" w:themeColor="text1"/>
          <w:sz w:val="16"/>
          <w:szCs w:val="16"/>
          <w:vertAlign w:val="superscript"/>
        </w:rPr>
        <w:t>69</w:t>
      </w:r>
    </w:p>
    <w:p w14:paraId="0D2949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0401BC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ОКБ-145 НКАП И.И. Картукова в соответствии с приказом НКАП № 272с от 6.05.1943 г. возвращается из эвакуации на новое место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51A78C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23CD91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завода № 455, ОКБ-455 МАП, ОКБ «Звезда», А-3497 /</w:t>
      </w:r>
      <w:proofErr w:type="gramStart"/>
      <w:r w:rsidRPr="008127F8">
        <w:rPr>
          <w:rFonts w:ascii="Times New Roman" w:hAnsi="Times New Roman"/>
          <w:color w:val="000000" w:themeColor="text1"/>
          <w:sz w:val="16"/>
          <w:szCs w:val="16"/>
        </w:rPr>
        <w:t>141070  г.</w:t>
      </w:r>
      <w:proofErr w:type="gramEnd"/>
      <w:r w:rsidRPr="008127F8">
        <w:rPr>
          <w:rFonts w:ascii="Times New Roman" w:hAnsi="Times New Roman"/>
          <w:color w:val="000000" w:themeColor="text1"/>
          <w:sz w:val="16"/>
          <w:szCs w:val="16"/>
        </w:rPr>
        <w:t xml:space="preserve"> Королев Московской обл. ул. Ильича, 7 тел. 519-55-01/</w:t>
      </w:r>
    </w:p>
    <w:p w14:paraId="205BAF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w:t>
      </w:r>
      <w:proofErr w:type="gramStart"/>
      <w:r w:rsidRPr="008127F8">
        <w:rPr>
          <w:rFonts w:ascii="Times New Roman" w:hAnsi="Times New Roman"/>
          <w:color w:val="000000" w:themeColor="text1"/>
          <w:sz w:val="16"/>
          <w:szCs w:val="16"/>
        </w:rPr>
        <w:t>, В результате</w:t>
      </w:r>
      <w:proofErr w:type="gramEnd"/>
      <w:r w:rsidRPr="008127F8">
        <w:rPr>
          <w:rFonts w:ascii="Times New Roman" w:hAnsi="Times New Roman"/>
          <w:color w:val="000000" w:themeColor="text1"/>
          <w:sz w:val="16"/>
          <w:szCs w:val="16"/>
        </w:rPr>
        <w:t xml:space="preserve"> модернизации создана РС-2УС. На базе К-5 и К-8 создана Х-66, пост. № 325-129 от 13.05.1968 г. она пнв. На базе РС-2-УС создана К-55.</w:t>
      </w:r>
    </w:p>
    <w:p w14:paraId="7857B8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58454F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7615A3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от 16.03.1983 г. задана разработка ПКР Х-35Э.</w:t>
      </w:r>
    </w:p>
    <w:p w14:paraId="37334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458D2C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53E0FE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(1956-59 г.-)- М.Е. Едидович, Н.Т. Пикот, (-1978 г.)- В.А. Шаповалов.</w:t>
      </w:r>
    </w:p>
    <w:p w14:paraId="799796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(1966-73(1) г.)- Ю.Н. Королев, (1974(1)-83 г.)- В.Н. Бугайский, (1983-86 г.)- В. Г. Галушко, (25.11.1986-94 г.)-  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477D5F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УРВВ: К-5 (РС-1У, пнв 17.05.1956 г.);</w:t>
      </w:r>
      <w:r w:rsidRPr="008127F8">
        <w:rPr>
          <w:rFonts w:ascii="Times New Roman" w:hAnsi="Times New Roman"/>
          <w:iCs/>
          <w:color w:val="000000" w:themeColor="text1"/>
          <w:sz w:val="16"/>
          <w:szCs w:val="16"/>
        </w:rPr>
        <w:t xml:space="preserve"> УРВП:</w:t>
      </w:r>
      <w:r w:rsidRPr="008127F8">
        <w:rPr>
          <w:rFonts w:ascii="Times New Roman" w:hAnsi="Times New Roman"/>
          <w:color w:val="000000" w:themeColor="text1"/>
          <w:sz w:val="16"/>
          <w:szCs w:val="16"/>
        </w:rPr>
        <w:t xml:space="preserve"> РС-2УС (пнв в 1960 г.), Х-66 (пнв 13.05.1968 г.), Х-23 (1972, пнв в 1973 г.), -М, -Л, Х-27ПС (1974), Х-25 (1976), -Р, -</w:t>
      </w:r>
      <w:r w:rsidRPr="008127F8">
        <w:rPr>
          <w:rFonts w:ascii="Times New Roman" w:hAnsi="Times New Roman"/>
          <w:color w:val="000000" w:themeColor="text1"/>
          <w:sz w:val="16"/>
          <w:szCs w:val="16"/>
          <w:lang w:val="en-US"/>
        </w:rPr>
        <w:t>MP</w:t>
      </w:r>
      <w:r w:rsidRPr="008127F8">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8127F8">
        <w:rPr>
          <w:rFonts w:ascii="Times New Roman" w:hAnsi="Times New Roman"/>
          <w:color w:val="000000" w:themeColor="text1"/>
          <w:sz w:val="16"/>
          <w:szCs w:val="16"/>
          <w:vertAlign w:val="superscript"/>
        </w:rPr>
        <w:t>58</w:t>
      </w:r>
      <w:r w:rsidRPr="008127F8">
        <w:rPr>
          <w:rFonts w:ascii="Times New Roman" w:hAnsi="Times New Roman"/>
          <w:color w:val="000000" w:themeColor="text1"/>
          <w:sz w:val="16"/>
          <w:szCs w:val="16"/>
        </w:rPr>
        <w:t>; ракеты-мишени: высотная ИЦ-59В (1960-е), ИЦ-60 «Заяц».</w:t>
      </w:r>
    </w:p>
    <w:p w14:paraId="2FC15D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ГП «Бендерский машиностроительный завод» (БМЗ) /Молдавия </w:t>
      </w:r>
      <w:r w:rsidRPr="008127F8">
        <w:rPr>
          <w:rFonts w:ascii="Times New Roman" w:hAnsi="Times New Roman"/>
          <w:color w:val="000000" w:themeColor="text1"/>
          <w:sz w:val="16"/>
          <w:szCs w:val="16"/>
          <w:lang w:val="en-US"/>
        </w:rPr>
        <w:t>MD</w:t>
      </w:r>
      <w:r w:rsidRPr="008127F8">
        <w:rPr>
          <w:rFonts w:ascii="Times New Roman" w:hAnsi="Times New Roman"/>
          <w:color w:val="000000" w:themeColor="text1"/>
          <w:sz w:val="16"/>
          <w:szCs w:val="16"/>
        </w:rPr>
        <w:t>-</w:t>
      </w:r>
      <w:proofErr w:type="gramStart"/>
      <w:r w:rsidRPr="008127F8">
        <w:rPr>
          <w:rFonts w:ascii="Times New Roman" w:hAnsi="Times New Roman"/>
          <w:color w:val="000000" w:themeColor="text1"/>
          <w:sz w:val="16"/>
          <w:szCs w:val="16"/>
        </w:rPr>
        <w:t>3200  г.</w:t>
      </w:r>
      <w:proofErr w:type="gramEnd"/>
      <w:r w:rsidRPr="008127F8">
        <w:rPr>
          <w:rFonts w:ascii="Times New Roman" w:hAnsi="Times New Roman"/>
          <w:color w:val="000000" w:themeColor="text1"/>
          <w:sz w:val="16"/>
          <w:szCs w:val="16"/>
        </w:rPr>
        <w:t xml:space="preserve"> Бендеры ул. Бендерского восстания, 5 тел. 26-843/ Завод основан в 1970 г. В 10.2006 г. куплен компанией ЗАО «АвиаМЗкомплект».</w:t>
      </w:r>
    </w:p>
    <w:p w14:paraId="283310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8127F8">
        <w:rPr>
          <w:rFonts w:ascii="Times New Roman" w:hAnsi="Times New Roman"/>
          <w:color w:val="000000" w:themeColor="text1"/>
          <w:sz w:val="16"/>
          <w:szCs w:val="16"/>
          <w:lang w:val="en-US"/>
        </w:rPr>
        <w:t>AT</w:t>
      </w:r>
      <w:r w:rsidRPr="008127F8">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8127F8">
        <w:rPr>
          <w:rFonts w:ascii="Times New Roman" w:hAnsi="Times New Roman"/>
          <w:color w:val="000000" w:themeColor="text1"/>
          <w:sz w:val="16"/>
          <w:szCs w:val="16"/>
          <w:vertAlign w:val="superscript"/>
        </w:rPr>
        <w:t>69</w:t>
      </w:r>
    </w:p>
    <w:p w14:paraId="4A0E20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w:t>
      </w:r>
      <w:proofErr w:type="gramStart"/>
      <w:r w:rsidRPr="008127F8">
        <w:rPr>
          <w:rFonts w:ascii="Times New Roman" w:hAnsi="Times New Roman"/>
          <w:color w:val="000000" w:themeColor="text1"/>
          <w:sz w:val="16"/>
          <w:szCs w:val="16"/>
        </w:rPr>
        <w:t>141075  г.</w:t>
      </w:r>
      <w:proofErr w:type="gramEnd"/>
      <w:r w:rsidRPr="008127F8">
        <w:rPr>
          <w:rFonts w:ascii="Times New Roman" w:hAnsi="Times New Roman"/>
          <w:color w:val="000000" w:themeColor="text1"/>
          <w:sz w:val="16"/>
          <w:szCs w:val="16"/>
        </w:rPr>
        <w:t xml:space="preserve"> Королев Московской обл. ул. Ильича, 7 тел. 519-22-03/</w:t>
      </w:r>
    </w:p>
    <w:p w14:paraId="1AF15D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38A0E1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Указу Президента РФ № 84 от 24.01.2002 г. и постановлению правительства № 149 от 13.03.2002 г. ГНПЦ «Звезда-Стрела» преобразован в «Корпорацию ТРВ». 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0F08C4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E5BB6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7F7D4A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(1995-2002 г.-&gt; С.П. Яковлев, (2003-08 г.-)- Б.В. Обносов.</w:t>
      </w:r>
    </w:p>
    <w:p w14:paraId="0498FC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(-1997-2002 г.-)- С.П. Яковлев.</w:t>
      </w:r>
    </w:p>
    <w:p w14:paraId="7C1553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по НИОКР (2006 г.)- В.Н. Ярмолюк.</w:t>
      </w:r>
    </w:p>
    <w:p w14:paraId="59286A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(2006 г.)- А.И. Глазков.</w:t>
      </w:r>
    </w:p>
    <w:p w14:paraId="7E92B0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(1997 г.)- Ю. Новиков.</w:t>
      </w:r>
    </w:p>
    <w:p w14:paraId="5C8F6C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(1997 г.)- Д. Иванов.</w:t>
      </w:r>
    </w:p>
    <w:p w14:paraId="053BA9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центра информационных технологий (-2005-07 г.-)- Н. Васильев (11982).</w:t>
      </w:r>
    </w:p>
    <w:p w14:paraId="5CF3F4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5D2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 по приказу № 277с филиал завода № 472, созданный на площадке эвакуированного завода № 472 НКАП (ГС Завод № 472 НКАП, НКЭС /г. Костино ст. Болшево Московской обл. п/я 91 (1941 г.);  г. Кузнецк Пензенской обл./), был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7875AA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5529B6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3C3EFC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(1939 г.)- И.О. Кузнецов, (03.1941-09.1943 г.-&gt; Ермолов.</w:t>
      </w:r>
    </w:p>
    <w:p w14:paraId="5762A8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472 НКАП /ст. Болшево Московской обл./</w:t>
      </w:r>
    </w:p>
    <w:p w14:paraId="7ED632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7A5188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668сс от 12.07.1941. ОКБ-472 НКАП с опытным цехом планировалось эвакуировать на завод № 163 в Пензу. Но затем переведено на площадку филиала завода № 34 НКАП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Кузнецк и подчинено ему как ОКБ филиала для работ по плану завода. Гл. конструктор С.Н. Рыбкин снят с должности, старая тематика ликвидирована.</w:t>
      </w:r>
    </w:p>
    <w:p w14:paraId="24E7CD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(03-07.1941 г.)- С.Н. Рыбкин (11982).</w:t>
      </w:r>
    </w:p>
    <w:p w14:paraId="6BBA7FF1" w14:textId="77777777" w:rsidR="00F3622C" w:rsidRPr="008127F8" w:rsidRDefault="00F3622C"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B43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 по приказу № 277с часть оборудования завода (ГС завод № 481 НКАП, МАП, МСХМ /</w:t>
      </w:r>
      <w:proofErr w:type="gramStart"/>
      <w:r w:rsidRPr="008127F8">
        <w:rPr>
          <w:rFonts w:ascii="Times New Roman" w:hAnsi="Times New Roman"/>
          <w:color w:val="000000" w:themeColor="text1"/>
          <w:sz w:val="16"/>
          <w:szCs w:val="16"/>
        </w:rPr>
        <w:t>Украина  г.</w:t>
      </w:r>
      <w:proofErr w:type="gramEnd"/>
      <w:r w:rsidRPr="008127F8">
        <w:rPr>
          <w:rFonts w:ascii="Times New Roman" w:hAnsi="Times New Roman"/>
          <w:color w:val="000000" w:themeColor="text1"/>
          <w:sz w:val="16"/>
          <w:szCs w:val="16"/>
        </w:rPr>
        <w:t xml:space="preserve"> Днепропетровск;  г. Сызрань Куйбышевской обл./) передана филиалу завода № 145 НКАП в Болшево.</w:t>
      </w:r>
    </w:p>
    <w:p w14:paraId="4CE499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07.1943 г. на завод передано производство лафетов для пушки «ВЯ» с завода № 165 НКАП.</w:t>
      </w:r>
    </w:p>
    <w:p w14:paraId="78DE1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1.01.1947 г. завод передан из 2ГУ в ИГУ. В соответствии с пост. СМ № 2118-814с от 25.05.1949 г. и приказом № 414с от 2.06.1949 г. завод № 481 с 1.01.1949 г. передан в МСХМ.</w:t>
      </w:r>
    </w:p>
    <w:p w14:paraId="7BCDF2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(-10.1941 г.)- Кравцов, (10.1941-)- Н.В. Климовицкий, (-04.1942-06.1945 г.-)- Гулай.</w:t>
      </w:r>
    </w:p>
    <w:p w14:paraId="26CE4F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(10.1941 г.-)- А.И. Хвостюк.</w:t>
      </w:r>
    </w:p>
    <w:p w14:paraId="53D188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(ВОВ) агрегаты вооружения: ухваты к Дер-31, АСИ-140, АСТ-141, блоки РО-82, балки для РС-82, петрофлексы, электропуски, синхронные установки для Як-1, лафеты УБС для ЛаГГ-3, лафеты ШВАК для Пе-3, элементы вооружения для Ту-2, бомбовые кассеты АБКП-100; лыжи для Ил-2, запчасти для И-153, Р-5.</w:t>
      </w:r>
    </w:p>
    <w:p w14:paraId="286181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завода № 481 НКАП /г. Москва/</w:t>
      </w:r>
    </w:p>
    <w:p w14:paraId="3FAB7E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образован по приказу № 116с от 11.02.1942 г. на площадке эвакуированного завода № 487 НКАП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-132, подкрыльевых кассет АБКП-500 для Ил-4, ампулометов.</w:t>
      </w:r>
    </w:p>
    <w:p w14:paraId="310FD9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481E5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4EB97A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3C90E8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1E4147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495E6A87" w14:textId="77777777" w:rsidR="004E5AF9" w:rsidRPr="008127F8" w:rsidRDefault="004E5AF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9AAE3" w14:textId="77777777" w:rsidR="00D93217" w:rsidRPr="008127F8" w:rsidRDefault="00D9321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 по приказу № 277с на площадке эвакуированного завода № 472 НКАП был организрован филиал завода № 145 НКАП /ст. Болшево Московской обл./ для ремонта спецоборудования, разработки и производства лент-расчалок. Этим же приказом сюда переведен филиал КБ завода № 145 с завода № 221, 100 чел. рабочих и ИТР, несмонтированное оборудование с завода № 472, заводов № 119, 145,481 и 30 НКАП. За филиалом закреплена испытательная станция в Кузьминках.</w:t>
      </w:r>
    </w:p>
    <w:p w14:paraId="478DAB3E" w14:textId="77777777" w:rsidR="00D93217" w:rsidRPr="008127F8" w:rsidRDefault="00D9321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Налаживалось производство приборов химвооружения, лент-расчалок.</w:t>
      </w:r>
    </w:p>
    <w:p w14:paraId="20EF4F21" w14:textId="77777777" w:rsidR="00D93217" w:rsidRPr="008127F8" w:rsidRDefault="00D9321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расширения производства ВАП по приказу № 438с от 12.06.1942 г. на базе филиала был образован дублер завода № 145. По приказу № 533с от 3.07.1942 г. он получил название ГС завод № 455 НКАП.</w:t>
      </w:r>
    </w:p>
    <w:p w14:paraId="17BB6428" w14:textId="77777777" w:rsidR="00D93217" w:rsidRPr="008127F8" w:rsidRDefault="00D9321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Эскин, Н.К. Сорокин.</w:t>
      </w:r>
    </w:p>
    <w:p w14:paraId="0AFE0ABB" w14:textId="77777777" w:rsidR="00D93217" w:rsidRPr="008127F8" w:rsidRDefault="00D93217"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 Гольтвейгер (11982)</w:t>
      </w:r>
    </w:p>
    <w:p w14:paraId="4EEE6440" w14:textId="77777777" w:rsidR="004E5AF9" w:rsidRPr="008127F8" w:rsidRDefault="004E5AF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8CD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вышел приказ НКАП N 301к о назначении С.Шишкина Нач. 7 ГУ с оставлением в должности Нач. ЦАГИ (1684,114).</w:t>
      </w:r>
    </w:p>
    <w:p w14:paraId="5D42A6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7049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F7773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A8882C" w14:textId="77777777" w:rsidR="007468BD" w:rsidRPr="008127F8" w:rsidRDefault="007468BD"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14 апреля 1942 г.</w:t>
      </w:r>
    </w:p>
    <w:p w14:paraId="707CD7B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1 Дело 9 лист 44 – 45</w:t>
      </w:r>
    </w:p>
    <w:p w14:paraId="006CC8F3"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6865C5C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23604ECA"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136-М</w:t>
      </w:r>
    </w:p>
    <w:p w14:paraId="40BB59E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6E73AC95"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апреля 1942 г.</w:t>
      </w:r>
    </w:p>
    <w:p w14:paraId="66B0B18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Для обеспечения выпуска танков Т-34 на Омском заводе № 174 стальными отливками – ПРИКАЗЫВАЮ: </w:t>
      </w:r>
    </w:p>
    <w:p w14:paraId="2397B3B5"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Директору завода № 200 тов. СОЧИВКО: </w:t>
      </w:r>
    </w:p>
    <w:p w14:paraId="0DD5DF8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немедленно приступить к организации производства отливок для Т-34 и принять заказ от завода № 174 на стальное литье, согласно прилагаемой спецификации с поставкой во II-м квартале 1942 г., начиная с 1-го Мая 1942 г.: </w:t>
      </w:r>
    </w:p>
    <w:p w14:paraId="60EDF1EC"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марке "8с" – 477,15 тонн </w:t>
      </w:r>
    </w:p>
    <w:p w14:paraId="2366D27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марке "СЛ-2" – 135,35 тонн </w:t>
      </w:r>
    </w:p>
    <w:p w14:paraId="3AA3D526"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марке "40СГ" – 13,2 тонны </w:t>
      </w:r>
    </w:p>
    <w:p w14:paraId="3A34F11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ВСЕГО: 625,7 тонн на квартал. </w:t>
      </w:r>
    </w:p>
    <w:p w14:paraId="1C10DFFC"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том числе: в мае – 237,55 тонн и в июне – 387,15 тонн; </w:t>
      </w:r>
    </w:p>
    <w:p w14:paraId="4E6D92F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обеспечить комплектную и своевременную поставку всех 20 наименований литья в сроки, указанные в прилагаемой спецификации. </w:t>
      </w:r>
    </w:p>
    <w:p w14:paraId="5CAC3EC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2. Директору завода № 174 – тов. КАЦНЕЛЬСОН: </w:t>
      </w:r>
    </w:p>
    <w:p w14:paraId="56F1872D"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не позднее 25 апреля 1942 г. обеспечить завод № 200 необходимыми моделями, стержневыми ящиками, чертежами и техническими условиями на все наименования стальных отливок, согласовав технологию отливки с заводом № 200; </w:t>
      </w:r>
    </w:p>
    <w:p w14:paraId="0ADBA13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передать во временное пользование заводу № 200 из числа неустановленного оборудования две формовочные машины "Герман" и "Табора" инв. № 10035 и 11555; </w:t>
      </w:r>
    </w:p>
    <w:p w14:paraId="26C57D7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командировать сроком на 2 месяца 5 человек формовщиков и 5 человек литейщиков для оказания помощи заводу № 200 на период освоения заказа, а также опытного инженера металлурга по сталефасонному производству; </w:t>
      </w:r>
    </w:p>
    <w:p w14:paraId="016B5C6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немедленно перевести на горячую штамповку и ковку 14 деталей из стального литья согласно приложению № 2; </w:t>
      </w:r>
    </w:p>
    <w:p w14:paraId="0EC4C645"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 начиная с 1/V-42 г приступить у себя к отливке траков и шпор из устанавливаемой 1,5 т. электропечи, а также мелких отливок согласно приложению № 3; </w:t>
      </w:r>
    </w:p>
    <w:p w14:paraId="2DF6F94B"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е) вести подготовку производства машины Т-34 с расчетом минимального потребления стального литья со стороны, за счет введения в производство существующих конструкций машины Т-34: </w:t>
      </w:r>
    </w:p>
    <w:p w14:paraId="76C6886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Штампованных колес гр. 12 и гр. 11 с обрезинкой их на Омском Шинном заводе. </w:t>
      </w:r>
    </w:p>
    <w:p w14:paraId="396AB01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Штампованных балансиров. </w:t>
      </w:r>
    </w:p>
    <w:p w14:paraId="4CF14EAC"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Сварной башни с термообработкой ее в цельносваренном виде; </w:t>
      </w:r>
    </w:p>
    <w:p w14:paraId="6063F5CC"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ж) По установке 1500 тн. парогидравлического пресса перевести на горячую штамповку детали № 34-29-021-4; 34-29-022-4; 34-29-023-2; 34-09-001; 34-09-002; 34-12-006 используя технологию и опыт завода № 112. </w:t>
      </w:r>
    </w:p>
    <w:p w14:paraId="75D980BA"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342C55CF"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(ПОПОВ)</w:t>
      </w:r>
    </w:p>
    <w:p w14:paraId="23E4B1F4"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1 Дело 9 лист 46</w:t>
      </w:r>
      <w:r w:rsidRPr="008127F8">
        <w:rPr>
          <w:rFonts w:ascii="Times New Roman" w:eastAsia="Times New Roman" w:hAnsi="Times New Roman"/>
          <w:color w:val="000000" w:themeColor="text1"/>
          <w:sz w:val="16"/>
          <w:szCs w:val="16"/>
          <w:lang w:eastAsia="ru-RU"/>
        </w:rPr>
        <w:t xml:space="preserve"> </w:t>
      </w:r>
    </w:p>
    <w:p w14:paraId="178BA99F"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1 </w:t>
      </w:r>
    </w:p>
    <w:p w14:paraId="63F6F347"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приказу НКТП № 136-М от 14.IV-1942 г. </w:t>
      </w:r>
    </w:p>
    <w:p w14:paraId="13DFE5A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СПЕЦИФИКАЦИЯ</w:t>
      </w:r>
    </w:p>
    <w:p w14:paraId="0F7AF37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СТАЛЬНЫХ ОТЛИВОК МАШИНЫ Т-34, ПОСТАВЛЯЕМЫХ ВО II КВАРТАЛЕ 1942 г.</w:t>
      </w:r>
    </w:p>
    <w:p w14:paraId="7ADBF3D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 ЗАВОДА № 200 ДЛЯ ОМСКОГО ЗАВОДА № 174. </w:t>
      </w:r>
    </w:p>
    <w:p w14:paraId="6326CC2F"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ПРИМЕЧАНИЕ: Две детали: 34-29-615-4 и 34-29-616-4 отливаются из стали марки "40СГ", остальные из марки "СЛ-2". </w:t>
      </w:r>
    </w:p>
    <w:p w14:paraId="627406C2"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Главный металлург НКТП: подпись (Чернушевич)</w:t>
      </w:r>
    </w:p>
    <w:p w14:paraId="18341898"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1 Дело 9 лист 47</w:t>
      </w:r>
      <w:r w:rsidRPr="008127F8">
        <w:rPr>
          <w:rFonts w:ascii="Times New Roman" w:eastAsia="Times New Roman" w:hAnsi="Times New Roman"/>
          <w:color w:val="000000" w:themeColor="text1"/>
          <w:sz w:val="16"/>
          <w:szCs w:val="16"/>
          <w:lang w:eastAsia="ru-RU"/>
        </w:rPr>
        <w:t xml:space="preserve"> </w:t>
      </w:r>
    </w:p>
    <w:p w14:paraId="21A04A13"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2 </w:t>
      </w:r>
    </w:p>
    <w:p w14:paraId="1D467FFD"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приказу НКТП № 136-М от 14.IV-1942 г. </w:t>
      </w:r>
    </w:p>
    <w:p w14:paraId="34A8D285"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СПЕЦИФИКАЦИЯ</w:t>
      </w:r>
    </w:p>
    <w:p w14:paraId="4BA10857"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СТАЛЬНЫХ ОТЛИВОК Т-34, ПОДЛЕЖАЩИХ НЕМЕДЛЕННОМУ ПЕРЕВОДУ НА ГОРЯЧУЮ ШТАМПОВКУ</w:t>
      </w:r>
    </w:p>
    <w:p w14:paraId="7BC9CB24"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 ИЗГОТОВЛЕНИЕМ ИХ НА КУЗНЕЧНО-ПРЕССОВОМ ОБОРУДОВАНИИ ЗАВОДА № 174. </w:t>
      </w:r>
    </w:p>
    <w:p w14:paraId="0783269B"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Главный металлург НКТП: подпись (Чернушевич)</w:t>
      </w:r>
    </w:p>
    <w:p w14:paraId="4D6CCBF8"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1 Дело 9 лист 48</w:t>
      </w:r>
      <w:r w:rsidRPr="008127F8">
        <w:rPr>
          <w:rFonts w:ascii="Times New Roman" w:eastAsia="Times New Roman" w:hAnsi="Times New Roman"/>
          <w:color w:val="000000" w:themeColor="text1"/>
          <w:sz w:val="16"/>
          <w:szCs w:val="16"/>
          <w:lang w:eastAsia="ru-RU"/>
        </w:rPr>
        <w:t xml:space="preserve"> </w:t>
      </w:r>
    </w:p>
    <w:p w14:paraId="61D9C3C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Приложение № 3 </w:t>
      </w:r>
    </w:p>
    <w:p w14:paraId="7A37BB12"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приказу НКТП № 136-М от 14.IV-1942 г. </w:t>
      </w:r>
    </w:p>
    <w:p w14:paraId="47109A53"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СПЕЦИФИКАЦИЯ</w:t>
      </w:r>
    </w:p>
    <w:p w14:paraId="62FD347F"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СТАЛЬНОГО ЛИТЬЯ Т-34, ПОДЛЕЖАЩЕГО ОСВОЕНИЮ НА ЗАВОДЕ № 174</w:t>
      </w:r>
    </w:p>
    <w:p w14:paraId="26D3DDE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И ОТЛИВКЕ ИЗ УСТАНАВЛИВАЕМОЙ С 1/V – 1,5 тн. ЭЛЕКТРОПЕЧИ. </w:t>
      </w:r>
    </w:p>
    <w:p w14:paraId="28F3D03D"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Главный металлург НКТП: подпись (Чернушевич) (18932).</w:t>
      </w:r>
    </w:p>
    <w:p w14:paraId="2C888349" w14:textId="77777777" w:rsidR="007468BD" w:rsidRPr="008127F8" w:rsidRDefault="007468BD" w:rsidP="001E0A84">
      <w:pPr>
        <w:spacing w:after="0" w:line="240" w:lineRule="auto"/>
        <w:jc w:val="both"/>
        <w:rPr>
          <w:rFonts w:ascii="Times New Roman" w:hAnsi="Times New Roman"/>
          <w:color w:val="000000" w:themeColor="text1"/>
          <w:sz w:val="16"/>
          <w:szCs w:val="16"/>
        </w:rPr>
      </w:pPr>
    </w:p>
    <w:p w14:paraId="0C215A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14-15 апреля 1942 г. состоялся пленум арткомитета ГАУ, на котором также поднимались вопросы создания САУ. Артиллеристы выработали собственные требования к самоходным установкам и выдвинули собственные ТТТ, которые отличались от выдвинутых 2-м отделом НКТП (6205, 14).</w:t>
      </w:r>
    </w:p>
    <w:p w14:paraId="768CE4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7349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14—15 апреля 1942 г. состоялся пленум арткомитета ГАУ, на котором поднимались вопросы создания САУ. Артиллерис</w:t>
      </w:r>
      <w:r w:rsidRPr="008127F8">
        <w:rPr>
          <w:rFonts w:ascii="Times New Roman" w:hAnsi="Times New Roman"/>
          <w:color w:val="000000" w:themeColor="text1"/>
          <w:sz w:val="16"/>
          <w:szCs w:val="16"/>
        </w:rPr>
        <w:softHyphen/>
        <w:t>ты выработали свои требования к самоходным установкам, выдвинув и собственные ТТТ, которые немного отличались от выдвинутых 2-м отделом НКТП (11417). В июне 1942 г. распоря</w:t>
      </w:r>
      <w:r w:rsidRPr="008127F8">
        <w:rPr>
          <w:rFonts w:ascii="Times New Roman" w:hAnsi="Times New Roman"/>
          <w:color w:val="000000" w:themeColor="text1"/>
          <w:sz w:val="16"/>
          <w:szCs w:val="16"/>
        </w:rPr>
        <w:softHyphen/>
        <w:t>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w:t>
      </w:r>
      <w:r w:rsidRPr="008127F8">
        <w:rPr>
          <w:rFonts w:ascii="Times New Roman" w:hAnsi="Times New Roman"/>
          <w:color w:val="000000" w:themeColor="text1"/>
          <w:sz w:val="16"/>
          <w:szCs w:val="16"/>
        </w:rPr>
        <w:softHyphen/>
        <w:t>ний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w:t>
      </w:r>
      <w:r w:rsidRPr="008127F8">
        <w:rPr>
          <w:rFonts w:ascii="Times New Roman" w:hAnsi="Times New Roman"/>
          <w:color w:val="000000" w:themeColor="text1"/>
          <w:sz w:val="16"/>
          <w:szCs w:val="16"/>
        </w:rPr>
        <w:softHyphen/>
        <w:t>ками. Общая координация работ по САУ осуществлялась спецбюро САУ под руководством С.А. Гинзбурга (11417).</w:t>
      </w:r>
    </w:p>
    <w:p w14:paraId="7919EF0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2EB40" w14:textId="77777777" w:rsidR="004E5AF9" w:rsidRPr="008127F8" w:rsidRDefault="004E5AF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14-15 апреля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xml:space="preserve">. состоялся пленум арткомитета ГАУ, на котором поднимались вопросы создания САУ. Артиллеристы выработали свои требования к самоходным установкам, выдвинув и собственные ТТТ, которые немного отличались от выдвинутых 2-м отделом НКТП. В июне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распоряжением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требования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установками. Общая координация работ по САУ осуществлялась спецбюро САУ под руководством С.А. Гинзбурга (15218).</w:t>
      </w:r>
    </w:p>
    <w:p w14:paraId="6C37FA0C" w14:textId="77777777" w:rsidR="004E5AF9" w:rsidRPr="008127F8" w:rsidRDefault="004E5AF9" w:rsidP="001E0A84">
      <w:pPr>
        <w:widowControl w:val="0"/>
        <w:spacing w:after="0" w:line="240" w:lineRule="auto"/>
        <w:jc w:val="both"/>
        <w:rPr>
          <w:rFonts w:ascii="Times New Roman" w:hAnsi="Times New Roman"/>
          <w:color w:val="000000" w:themeColor="text1"/>
          <w:sz w:val="16"/>
          <w:szCs w:val="16"/>
        </w:rPr>
      </w:pPr>
    </w:p>
    <w:p w14:paraId="3A808BAE"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апреля 1942 года состоялся пленум Артиллерийского комитета Главного артиллерийского управления Красной Армии (ГАУ КА), на котором был создан план развития советской самоходной артиллерии. В числе прочих решений пленум постановил дополнить систему самоходной артиллерии «гаубичной артиллерийской установкой для борьбы с ДЗОТ-ами и скоплениями живой силы противника».</w:t>
      </w:r>
    </w:p>
    <w:p w14:paraId="707B6CA6"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Работу по созданию установки «122-мм гаубицы М-30 на шасси танка Т-34» поручили двум предприятиям – заводу №183 (г. Нижний Тагил) и заводу №8 (г. Свердловск). Одновременно было решено прекратить работы по теме У-20.</w:t>
      </w:r>
    </w:p>
    <w:p w14:paraId="4A03FF5C"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Хотя это решение не отменяло работ по СГ-122, приоритет отдавался самоходу на отечественном шасси. Решение было абсолютно верным. Мало того, что количество трофейных шасси было ограниченным, так и доставались они отнюдь не в новом состоянии. В результате в войска САУ на базе Т-34 попали даже раньше СГ-122. Тем не менее, путь к будущей СУ-122 оказался совсем не простым (17679).</w:t>
      </w:r>
    </w:p>
    <w:p w14:paraId="16684B5C"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p>
    <w:p w14:paraId="22372518" w14:textId="77777777" w:rsidR="009F56D6" w:rsidRPr="008127F8" w:rsidRDefault="009F56D6"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14-15 апреля 1942 года на пленуме Артиллерийского Комитета ГАУ КА, было объявлено новое направление разработки средних САУ. В списке "штурмовых самоходных орудий" появилась "122-мм гаубица обр.1938 г. на шасси Т-34". Работа по ней поручалась заводам №183 (Нижний Тагил) и №8 (Свердловск). Обычно этот самый пленум указывают как отправную точку в разработке СУ-122, первой отечественной массовой средней САУ. Во многом это так, но не совсем. Дело в том, что совместная разработка заводов №183 и №8 была отнюдь не САУ. Отчасти она оказалась связана с другой разработкой - тяжелым танком КВ-9, работы по которому как раз в то время сворачивались под нажимом ГАУ КА (20881).</w:t>
      </w:r>
    </w:p>
    <w:p w14:paraId="3896D9F8" w14:textId="77777777" w:rsidR="009F56D6" w:rsidRPr="008127F8" w:rsidRDefault="009F56D6"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11 ноября 1941 года вышел приказ НКТП №22. Согласно ему, к 15 ноября ожидалось получение рабочих чертежей на "установку М-30 в башне КВ", а к 15 декабря планировалось изготовить опытный образец такого орудия. Данная разработка являлась отнюдь не желанием поднять огневую мощь КВ-1. Причина появления орудия, получившего обозначение У-11, прозаична: имелась реальная угроза срыва поставок орудий ЗИС-5, которыми оснащались КВ-1. Наиболее критичной ситуация с орудиями была в сентябре-октябре 1941 года, а на ноябрь план по КВ-1 выглядел так, что завод №92, производитель ЗИС-5, мог и не справиться. Поэтому конструкторскому бюро УЗТМ и было дано задание на разработку У-11, а также перспективной 85-мм системы У-12. Всё просто: в Свердловске выпускали гаубицы М-30, так что организация танковых орудий с баллистикой данного орудия выглядела довольно простой. Работы по У-11 поначалу шли, по сути, в стол, но это не помешало построить орудие, после чего НКТП и ГАБТУ КА стали напирать на серийном производстве системы. ГАУ КА этому сопротивлялось, поскольку М-30 не имела бронебойного снаряда, а полученные результаты бронепробития имели массу подводных камней. В итоге "артиллеристы" смогли остановить выпуск КВ-9, который уже почти состоялся, но завод №8 уже сделал 10 орудий У-11 (20881).</w:t>
      </w:r>
    </w:p>
    <w:p w14:paraId="0E34C72E" w14:textId="77777777" w:rsidR="009F56D6" w:rsidRPr="008127F8" w:rsidRDefault="009F56D6" w:rsidP="001E0A84">
      <w:pPr>
        <w:pStyle w:val="article-renderblock"/>
        <w:shd w:val="clear" w:color="auto" w:fill="FFFFFF"/>
        <w:spacing w:before="0" w:beforeAutospacing="0" w:after="0" w:afterAutospacing="0"/>
        <w:jc w:val="both"/>
        <w:rPr>
          <w:color w:val="000000" w:themeColor="text1"/>
          <w:sz w:val="16"/>
          <w:szCs w:val="16"/>
        </w:rPr>
      </w:pPr>
    </w:p>
    <w:p w14:paraId="19C9D926"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 xml:space="preserve">14-15 апреля 1942 года рассмотрели средний "Штурмовик", истребитель </w:t>
      </w:r>
      <w:proofErr w:type="gramStart"/>
      <w:r w:rsidRPr="008127F8">
        <w:rPr>
          <w:rFonts w:ascii="Times New Roman" w:hAnsi="Times New Roman"/>
          <w:color w:val="000000" w:themeColor="text1"/>
          <w:sz w:val="16"/>
          <w:szCs w:val="16"/>
          <w:shd w:val="clear" w:color="auto" w:fill="FFFFFF"/>
        </w:rPr>
        <w:t>ДОТ-ов</w:t>
      </w:r>
      <w:proofErr w:type="gramEnd"/>
      <w:r w:rsidRPr="008127F8">
        <w:rPr>
          <w:rFonts w:ascii="Times New Roman" w:hAnsi="Times New Roman"/>
          <w:color w:val="000000" w:themeColor="text1"/>
          <w:sz w:val="16"/>
          <w:szCs w:val="16"/>
          <w:shd w:val="clear" w:color="auto" w:fill="FFFFFF"/>
        </w:rPr>
        <w:t xml:space="preserve"> на базе "212" стал штурмовой САУ на базе КВ-7, сменилась база легких САУ. Но общий концепт остался на месте (21343).</w:t>
      </w:r>
    </w:p>
    <w:p w14:paraId="6F9C4B70" w14:textId="77777777" w:rsidR="009F56D6" w:rsidRPr="008127F8" w:rsidRDefault="009F56D6" w:rsidP="001E0A84">
      <w:pPr>
        <w:spacing w:after="0" w:line="240" w:lineRule="auto"/>
        <w:jc w:val="both"/>
        <w:rPr>
          <w:rFonts w:ascii="Times New Roman" w:hAnsi="Times New Roman"/>
          <w:color w:val="000000" w:themeColor="text1"/>
          <w:sz w:val="16"/>
          <w:szCs w:val="16"/>
        </w:rPr>
      </w:pPr>
    </w:p>
    <w:p w14:paraId="5A06F036"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14-15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и С.А. Гинзбург, представлявший НКТП и курировавший вопросы самоходной артиллерии. Данный пленум стал отправной точкой в разработке отечественных САУ нового поколения. Правда, при этом можно с улыбкой заметить, что на решение пленума надо читать внимательно. Средняя штурмовая САУ на самом деле изначально являлась штурмовым танком. Истребитель </w:t>
      </w:r>
      <w:proofErr w:type="gramStart"/>
      <w:r w:rsidRPr="008127F8">
        <w:rPr>
          <w:rFonts w:ascii="Times New Roman" w:eastAsia="Times New Roman" w:hAnsi="Times New Roman"/>
          <w:color w:val="000000" w:themeColor="text1"/>
          <w:sz w:val="16"/>
          <w:szCs w:val="16"/>
          <w:lang w:eastAsia="ru-RU"/>
        </w:rPr>
        <w:t>ДОТ-ов</w:t>
      </w:r>
      <w:proofErr w:type="gramEnd"/>
      <w:r w:rsidRPr="008127F8">
        <w:rPr>
          <w:rFonts w:ascii="Times New Roman" w:eastAsia="Times New Roman" w:hAnsi="Times New Roman"/>
          <w:color w:val="000000" w:themeColor="text1"/>
          <w:sz w:val="16"/>
          <w:szCs w:val="16"/>
          <w:lang w:eastAsia="ru-RU"/>
        </w:rPr>
        <w:t xml:space="preserve"> фактически представлял собой попытку трудоустроить корпуса штурмовых танков КВ-7. Также предполагалось создать два типа ЗСУ и штурмовую САУ на шасси из агрегатов танка Т-70. Но при этом исполнителем работ по данным машинам являлся завод №37, который только что отбился от выпуска данного танка (21063). </w:t>
      </w:r>
    </w:p>
    <w:p w14:paraId="573A3071"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1FC138"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апреля 1942 начались ходовые испытаниях ЗИС-41. Со стрельбой пришлось подождать. В программу испытаний пришлось вносить дополнительные изменения. Дело в том, что платформа ЗИС-41 позволяла оперативно демонтировать орудие и тумбу, превращая машину в полубронированный артиллерийский тягач, а весной 1942 года вопрос с тягачами стоял крайне остро.</w:t>
      </w:r>
    </w:p>
    <w:p w14:paraId="6F444F0B" w14:textId="77777777" w:rsidR="003D763F" w:rsidRPr="008127F8" w:rsidRDefault="003D763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ГАУ КА примерно в это же время прорабатывались требования на полубронированный артиллерийский тягач дивизионной артиллерии. Потенциально ЗИС-41 в эти ТТТ вписывался. Кроме того, в конце апреля 1942 года на испытания вышел ЗИС-42, который проверяли на пригодность к использованию в качестве тягача 122-мм гаубицы М-30. Машина успешно справлялась с задачей, таская гаубицу в условиях бездорожья (17671).</w:t>
      </w:r>
    </w:p>
    <w:p w14:paraId="2A9940B3"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p>
    <w:p w14:paraId="5453D57D" w14:textId="77777777" w:rsidR="004E5AF9" w:rsidRPr="008127F8" w:rsidRDefault="004E5AF9"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вышло распоряжение об организации в составе цеха №5 ГАЗ мастерской термической обработки в связи с производством корпуса БА-64-125. 8 июня 1942 года вышел приказ о преобразовании мастерской корпусов и термического отделения цеха №5 в самостоятельный цех корпусов в связи с резким увеличением производственной программы и необходимостью бесперебойного снабжения сборки бронеавтомобилей БА-64-125 (начальником цеха назначен П.П. Денисов) (15218).</w:t>
      </w:r>
    </w:p>
    <w:p w14:paraId="2F31FAAC" w14:textId="77777777" w:rsidR="004E5AF9" w:rsidRPr="008127F8" w:rsidRDefault="004E5AF9" w:rsidP="001E0A84">
      <w:pPr>
        <w:widowControl w:val="0"/>
        <w:spacing w:after="0" w:line="240" w:lineRule="auto"/>
        <w:jc w:val="both"/>
        <w:rPr>
          <w:rFonts w:ascii="Times New Roman" w:hAnsi="Times New Roman"/>
          <w:color w:val="000000" w:themeColor="text1"/>
          <w:sz w:val="16"/>
          <w:szCs w:val="16"/>
        </w:rPr>
      </w:pPr>
    </w:p>
    <w:p w14:paraId="5F8E6476"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14 апреля по 27 апреля 1942 года проводились специальные испытания ЗИС-42. С ЗИС-42 временно сняли орудие и использовали как артиллерийский тягач. Инициаторами таких испытаний стали заместитель Наркома обороны генерал-полковник Н.Н. Воронов и начальник ГАУ КА генерал-полковник Н.Д. Яковлев. Причины прозаичны - необходимость иметь артиллерийский тягач, прежде всего для 122-мм гаубицы М-30. Наиболее активный этап испытаний проходил в период с 24 по 27 апреля 1942 года. За это время машина прошла 192 километра, из них 8 по снежной целине с лыжами на управляемых колесах, 145 по шоссе и еще 49 по бездорожью.</w:t>
      </w:r>
    </w:p>
    <w:p w14:paraId="74B0EA91"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на платформу погрузили 40 снарядных ящиков М-30, полный расчет (в общей сложности 10 человек), сзади прицепили гаубицу и передок к ней. Фактическая нагрузка оказалась еще больше, чем у САУ. В таких условиях ЗИС-41 разгонялась до 37 км/ч по шоссе и до 12–30 км/ч на грязном проселке. На шоссе расход топлива составлял 50 литров на 100 км пути, при переходе на бездорожье он возрастал до 200 литров. Кроме того, как уже говорилось выше, машина перегревалась. Неслучайно уже 26 апреля на испытания вышел ЗИС-22 (не М) с той же нагрузкой, который показал себя лучше. Выбор пал на небронированную версию, которую пустили в серию как ЗИС-42 (23521).</w:t>
      </w:r>
    </w:p>
    <w:p w14:paraId="4223A580" w14:textId="77777777" w:rsidR="0008298E" w:rsidRPr="008A2E5A" w:rsidRDefault="0008298E" w:rsidP="0008298E">
      <w:pPr>
        <w:spacing w:after="0" w:line="240" w:lineRule="auto"/>
        <w:jc w:val="both"/>
        <w:rPr>
          <w:rFonts w:ascii="Times New Roman" w:hAnsi="Times New Roman"/>
          <w:color w:val="0070C0"/>
          <w:sz w:val="16"/>
          <w:szCs w:val="16"/>
        </w:rPr>
      </w:pPr>
    </w:p>
    <w:p w14:paraId="2B6A5F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вышло Постановление ГКО № 1600 Об обеспечении Наркомвоенморфлота трально-караванным и противолодочным вооружением во втором квартале и апреле месяце 1942 года. РГАНИР, Фонд ГКО, д. 30, лл. 1-3, 4-8 (11012).</w:t>
      </w:r>
    </w:p>
    <w:p w14:paraId="2AD68C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F86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апреля 1942 вышло Постановление ГКО № 1601 О т.т. Попенко А.И. и Воронине </w:t>
      </w:r>
      <w:proofErr w:type="gramStart"/>
      <w:r w:rsidRPr="008127F8">
        <w:rPr>
          <w:rFonts w:ascii="Times New Roman" w:hAnsi="Times New Roman"/>
          <w:color w:val="000000" w:themeColor="text1"/>
          <w:sz w:val="16"/>
          <w:szCs w:val="16"/>
        </w:rPr>
        <w:t>Ф.Н. .</w:t>
      </w:r>
      <w:proofErr w:type="gramEnd"/>
      <w:r w:rsidRPr="008127F8">
        <w:rPr>
          <w:rFonts w:ascii="Times New Roman" w:hAnsi="Times New Roman"/>
          <w:color w:val="000000" w:themeColor="text1"/>
          <w:sz w:val="16"/>
          <w:szCs w:val="16"/>
        </w:rPr>
        <w:t xml:space="preserve"> РГАНИР, Фонд ГКО, д. 30, лл. 9 (11012).</w:t>
      </w:r>
    </w:p>
    <w:p w14:paraId="3143BB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559B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вышло Постановление ГКО № 1602 О мероприятиях по обеспечению оборудованием строек черной металлургии. (7031, 10-21,22-126).</w:t>
      </w:r>
    </w:p>
    <w:p w14:paraId="2CD05D9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3FB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Ждановцы приступили к капитальному ремонту СКР "Тайфун"; 13 августа 1943 г. корабль вступил в строй (10671).</w:t>
      </w:r>
    </w:p>
    <w:p w14:paraId="3DE598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1B1F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3B58E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26A853"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в 1942 году утреннее сообщение Совинформбюро:</w:t>
      </w:r>
    </w:p>
    <w:p w14:paraId="711423C2"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14 апреля на фронте чего-либо существенного не произошло.</w:t>
      </w:r>
    </w:p>
    <w:p w14:paraId="2CACBEBE"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овладели укреплённым пунктом противника. На улицах и выходах из села немцы оставили до 900 трупов солдат и офицеров. Уничтожено 8 немецких орудий, 15 пулемётов, миномётная батарея, 2 танка, разрушено 8 блиндажей с пулемётными и орудийными расчётами. Захвачены пленные.</w:t>
      </w:r>
    </w:p>
    <w:p w14:paraId="7A1E3CD6"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одной нашей части, действующей в тылу противника на Западном фронте, в течение дня истребили свыше 200 немецко-фашистских оккупантов.</w:t>
      </w:r>
    </w:p>
    <w:p w14:paraId="7510D852"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где командиром тов. Соколов, уничтожили 11 пулемётных точек, 3 противотанковых орудия, разрушили 3 блиндажа и наблюдательный пункт противника.</w:t>
      </w:r>
    </w:p>
    <w:p w14:paraId="2247C84A"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Морозов, выполняя боевое задание, подвергся нападению группы немецких солдат. Гитлеровцы пытались взять его в плен. Отважный боец открыл огонь из винтовки и уничтожил 12 гитлеровцев. Остальные немецкие солдаты отступили.</w:t>
      </w:r>
    </w:p>
    <w:p w14:paraId="36DB7428"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Связисты старшина Ползычев и красноармеец Коплев на днях захватили в плен экипаж немецкого самолета «Ю-88», сделавшего вынужденную посадку.</w:t>
      </w:r>
    </w:p>
    <w:p w14:paraId="1C0401FE"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тылу немецких войск на Калининском фронте, в упорном бою уничтожил в одном селе немецкий гарнизон численностью в 160 солдат и офицеров. Партизаны взорвали вражеские склады с горючим и боеприпасами.</w:t>
      </w:r>
    </w:p>
    <w:p w14:paraId="60CD307C"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капрал 2 батальона 31 полка 2 румынской дивизии Ион Ольстенау рассказал: «Я добровольно сдался в плен, потому что не хотел воевать против русских. За последнее время среди румынских солдат пошли слухи о том, что венгерские войска оккупировали румынский город Арад. В связи с этим у нас произошли столкновения с венгерцами. В последних боях наш батальон понёс огромные потери. К 22 марта из 800 человек осталось не более 200. Через несколько дней 30 человек дезертировали».</w:t>
      </w:r>
    </w:p>
    <w:p w14:paraId="3AC9DC44"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Житель германского города Крефельда Герд Б. писал недавно немецкому фельдфебелю Эрнсту Штарншраеру: «Многие рабочие военных предприятий, пользовавшиеся до сих пор отсрочкой, уже мобилизованы в армию. Забрали даже Стефана Шерница и Олиса Барльгейна, ранее признанных негодными к военнойслужбе... Здесь все по-старому, всюду саботаж, прикрывающийся халатностью».</w:t>
      </w:r>
    </w:p>
    <w:p w14:paraId="6D13E0A9"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Колине (Чехословакия) отказался выступить на фронт немецкий пехотный полк, скомплектованный из чехов, австрийцев и немцев. Многие солдаты — чехи и </w:t>
      </w:r>
      <w:proofErr w:type="gramStart"/>
      <w:r w:rsidRPr="008127F8">
        <w:rPr>
          <w:rFonts w:ascii="Times New Roman" w:hAnsi="Times New Roman"/>
          <w:color w:val="000000" w:themeColor="text1"/>
          <w:sz w:val="16"/>
          <w:szCs w:val="16"/>
        </w:rPr>
        <w:t>австрийцы,—</w:t>
      </w:r>
      <w:proofErr w:type="gramEnd"/>
      <w:r w:rsidRPr="008127F8">
        <w:rPr>
          <w:rFonts w:ascii="Times New Roman" w:hAnsi="Times New Roman"/>
          <w:color w:val="000000" w:themeColor="text1"/>
          <w:sz w:val="16"/>
          <w:szCs w:val="16"/>
        </w:rPr>
        <w:t xml:space="preserve"> узнав о предстоящей отправке на советско-германский фронт, дезертировали.</w:t>
      </w:r>
    </w:p>
    <w:p w14:paraId="2E9EA9EF"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одного оккупированного немцами села в Белоруссии собралимногочисленные подарки для Красной Армии. 15 подвод с подарками советские патриоты сумели провести через фронт и вручить их бойцам одной нашей части.» (15099).</w:t>
      </w:r>
    </w:p>
    <w:p w14:paraId="17E9F717" w14:textId="77777777" w:rsidR="00F3622C" w:rsidRPr="008127F8" w:rsidRDefault="00F3622C" w:rsidP="001E0A84">
      <w:pPr>
        <w:spacing w:after="0" w:line="240" w:lineRule="auto"/>
        <w:jc w:val="both"/>
        <w:rPr>
          <w:rFonts w:ascii="Times New Roman" w:hAnsi="Times New Roman"/>
          <w:color w:val="000000" w:themeColor="text1"/>
          <w:sz w:val="16"/>
          <w:szCs w:val="16"/>
        </w:rPr>
      </w:pPr>
    </w:p>
    <w:p w14:paraId="05B8E8DA"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в 1942 году вечернее сообщение Совинформбюро:</w:t>
      </w:r>
    </w:p>
    <w:p w14:paraId="21C9AF37"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апреля на некоторых участках фронта наши войска вели наступательные бои и заняли несколько населённых пунктов.</w:t>
      </w:r>
    </w:p>
    <w:p w14:paraId="5153976A"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апреля уничтожено 17 немецких самолётов. Наши потери — 6 самолётов.</w:t>
      </w:r>
    </w:p>
    <w:p w14:paraId="0EE48D76"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апреля частями нашей авиации уничтожено или повреждено около 30 автомашин с войсками и грузами, 25 подвод с боеприпасами, 9 полевых и зенитных орудий, 2 зенитно-пулемётные точки, 16 миномётов, рассеяно и частью уничтожено до 3 рот пехоты противника.</w:t>
      </w:r>
    </w:p>
    <w:p w14:paraId="71139412"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в ночном боюуничтожила 2 батальон 488 пехотного полка 268 немецкой пехотной дивизии. На поле боя осталось до 400 трупов вражеских солдат и офицеров.</w:t>
      </w:r>
    </w:p>
    <w:p w14:paraId="17247D30"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уничтожили 2.200 вражеских солдат и офицеров. Захвачены трофеи: 4 орудия, 6 пулемётов и 28 запасных стволов к пулемётам, 3 миномёта, автоматы, пистолеты, винтовки, 62.000 винтовочных патронов, 1.100 ручных гранат, 700 мин, 2 радиостанции, артиллерийский и продовольственный склады.</w:t>
      </w:r>
    </w:p>
    <w:p w14:paraId="6DE35DA5"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Танкисты, артиллеристы и пехотинцы, действующие на одном из участков Северо-Западного фронта, уничтожили около 400 немецких солдат и офицеров. На другом участке наши бойцы, выбив гитлеровцев из населённого пункта, захватили у противника 6 орудий, 300 снарядов, 5 пулемётов, 2 радиостанции, много винтовок, автоматов и склад с боеприпасами.</w:t>
      </w:r>
    </w:p>
    <w:p w14:paraId="468C8085"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наших разведчиков (Калининский фронт) в тылу врага устроили засаду удороги и уничтожили 22 немецких автоматчика. Обнаружив засаду, противник направил против наших бойцов отряд в 30 человек. В завязавшейся перестрелке гитлеровцы потеряли ещё 10 солдат. Все наши разведчики благополучно вернулись в своё подразделение.</w:t>
      </w:r>
    </w:p>
    <w:p w14:paraId="172B58A4"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Военфельдшер Руденко под огнём противника вынес с поля боя 47 раненых бойцов и командиров с их оружием.</w:t>
      </w:r>
    </w:p>
    <w:p w14:paraId="74F45BC0"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Партизанские отряды под командованием товарищей В. и Т., действующие в одном из оккупированных немцами районов Ленинградской области, напали на населённыйпункт, занятый немецко-фашистскими войсками. Партизаны уничтожили свыше 50 немцев, в том числе двух офицеров. 3 немецких солдата взяты в плен. Противотанковыми гранатами партизаны взорвали вражеский склад с боеприпасами.</w:t>
      </w:r>
    </w:p>
    <w:p w14:paraId="5D70BC39"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лейтенанта Генриха Раумера найдено письмо к своему школьному учителю Рудольфу Веберу. Приводим выдержки из письма: «...В июле нам казалось, что война кончится так же быстро, как и началась... С каким возбуждением и азартом мы глядели на карту, подсчитывая, сколько километров прошли наши войска за первую неделю войны, за вторую, за месяц. А вот недавно я и лейтенант Ратцель вспоминали первые дни похода.</w:t>
      </w:r>
    </w:p>
    <w:p w14:paraId="48F1D111" w14:textId="77777777" w:rsidR="00F3622C" w:rsidRPr="008127F8" w:rsidRDefault="00F3622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Ратцель</w:t>
      </w:r>
      <w:proofErr w:type="gramEnd"/>
      <w:r w:rsidRPr="008127F8">
        <w:rPr>
          <w:rFonts w:ascii="Times New Roman" w:hAnsi="Times New Roman"/>
          <w:color w:val="000000" w:themeColor="text1"/>
          <w:sz w:val="16"/>
          <w:szCs w:val="16"/>
        </w:rPr>
        <w:t xml:space="preserve"> но этому поводу заметил: «Мы здесь воюем уже 273 дня. И если теперь произвести вычисления, то окажется, что в России мы продвигались значительно медленнее, чем во всех предыдущих походах». Это факт... А теперь мы бесславно отступаем, обильно поливая своею кровью русские равнины. Солдаты сбиты с толку, измучены и озлоблены. Они не смогут долго выдержать такого напряжения... В душе каждый унтер-офицер ненавидит фельдфебеля, фельдфебель — офицера, а солдат ненавидит всех — от унтера до генерала... Остаётся одно призрачное утешение, что солдаты никогда между собой не сговорятся» (15099).</w:t>
      </w:r>
    </w:p>
    <w:p w14:paraId="7FEE4466" w14:textId="77777777" w:rsidR="00F3622C" w:rsidRPr="008127F8" w:rsidRDefault="00F3622C" w:rsidP="001E0A84">
      <w:pPr>
        <w:spacing w:after="0" w:line="240" w:lineRule="auto"/>
        <w:jc w:val="both"/>
        <w:rPr>
          <w:rFonts w:ascii="Times New Roman" w:hAnsi="Times New Roman"/>
          <w:color w:val="000000" w:themeColor="text1"/>
          <w:sz w:val="16"/>
          <w:szCs w:val="16"/>
        </w:rPr>
      </w:pPr>
    </w:p>
    <w:p w14:paraId="72C30B5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вышло Постановление ГКО № 1603 Об организации, штатном составе и вооружении отдельной стрелковой бригады. (7031, 127).</w:t>
      </w:r>
    </w:p>
    <w:p w14:paraId="3F97066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DDC31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991ED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B83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группа г Маршала и Г.Гопкинса, собравшаяся в Лондоне с представителями армии Великобритании, пришла к выводу, что в 1942 второй фронт в Европе открыт быть не может (3907,235).</w:t>
      </w:r>
    </w:p>
    <w:p w14:paraId="67BF2D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19B0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1942 впервые для себя американские корабли в Атлантике потопили немецкую подлодку (4962).</w:t>
      </w:r>
    </w:p>
    <w:p w14:paraId="0614526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AAEA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1943 в ответ налет английской авиации на немецкий порт Любека 28 марта 1942 года, в котором участвовало 234 самолета, верховное главнокомандование вермахта отдало германским ВВС приказ, в котором говорилось: «Фюрер приказал в воздушной войне против Англии перейти к более агрессивным действиям. В соответствии с этим при выборе целей предпочтение отдавать таким объектам, налеты на которые в наибольшей степени скажутся на жизни гражданского населения. Кроме ударов по портам и промышленным объектам должны производиться террористические налеты возмездия по английским городам». Конечно, термин «удары возмездия» был не более чем пропагандистским трюком, призванным внушить немецкому народу, что фюрер отомстит за бомбардировки немецких городов, поднять моральный дух немцев, подавленный поражением под Москвой, и повысить престиж нацистского руководства в глазах народа. Основной целью этих ударов было продолжение старой политики Гитлера по отношению к Англии – военным давлением заставить ее выйти из войны. Вспоминая свою беседу с Гитлером об «ударах возмездия» 27 апреля 1942 года, Геббельс писал: «Фюрер заявил, что он будет продолжать эти налеты ночь за ночью, пока не измотает англичан этими террористическими ударами. Он абсолютно разделяет мое мнение, что теперь ударам следует подвергнуть культурные центры, курорты, гражданское население городов. Это даст большой психологический эффект, а в настоящее время это наиболее важная вещь. &lt;…&gt; Это необходимо делать в возможно большем масштабе &lt;…&gt; Нет другого пути, чтобы привести англичан в чувство. Они относятся к такому типу людей, с которыми можно говорить только после того, как им дадут по зубам».</w:t>
      </w:r>
    </w:p>
    <w:p w14:paraId="3BDFEA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первые же «удары возмездия» немецкой авиации по английским городам показали их весьма малую эффективность. Точность бомбометания была крайне низкой, а потери в самолетах большими. Существовал еще один выход – увеличить массированность бомбардировок, но в отличие от 1940 и 1941 годов, когда в налетах участвовало по 300 – 700 самолетов, в 1942 году гитлеровские ВВС уже не могли этого сделать. Теперь для ударов по Англии привлекалось небольшое количество бомбардировщиков. Лишь однажды (25 апреля) наряд сил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1820E0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B110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AD8B5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A94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командующий воздушно-десантными войсками генерал-майор Глазунов и член военного совета ВДВ дивизионный комиссар Клоков писали письмо N 832543с Маленкову.</w:t>
      </w:r>
    </w:p>
    <w:p w14:paraId="27ADC4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 Поликарпов Н.Н. сконструировал и построил 16-ти местный десантный планер.</w:t>
      </w:r>
    </w:p>
    <w:p w14:paraId="50530D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Особенностью планера является применение броневых щитков для защиты десантников как в воздухе, так и при боевых действиях на земле.</w:t>
      </w:r>
    </w:p>
    <w:p w14:paraId="1D3739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обладая полезной отдачей 54% от полетного веса, имеет большой запас устойчивости, в управлении прост, но обладает сравнительно высокой посадочной скоростью 80-90 км/час. Конструкция планера деревянная и несложна для производства.</w:t>
      </w:r>
    </w:p>
    <w:p w14:paraId="6AA616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целесообразным принять планер на вооружение частей ВДВ и дать задание Наркомавиапрому о подготовке серийного производства этого планера.</w:t>
      </w:r>
    </w:p>
    <w:p w14:paraId="00B74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тактико-технические данные планера и копия письма командующего СИБВО на 4-х листах (2178,286).</w:t>
      </w:r>
    </w:p>
    <w:p w14:paraId="12B241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B67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 апреля по 10 мая 1942 проходили совместные заводские и гос. испытания и летали от ОКБ П.Я.Федрови и от НИИ ВВС А.Т.Степанец и выполнили 14 полетов продолжительностью 8:20, но пушку не отстреляли из-за неисправности МПШ-37 (65,93). МПШ-37 была безотказной, но имела сильную отдачу. И были А.Т.Степанец от НИИ ВВС, Г.И.Гудименко по вооружению от ОКБ и А.Г.Аронов от НИИ ВВС, и по испытаниям П.С.Лимар от ЛИИ (65,94).</w:t>
      </w:r>
    </w:p>
    <w:p w14:paraId="283A38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81E6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 апреля по 10 мая на новосибир</w:t>
      </w:r>
      <w:r w:rsidRPr="008127F8">
        <w:rPr>
          <w:rFonts w:ascii="Times New Roman" w:hAnsi="Times New Roman"/>
          <w:color w:val="000000" w:themeColor="text1"/>
          <w:sz w:val="16"/>
          <w:szCs w:val="16"/>
        </w:rPr>
        <w:softHyphen/>
        <w:t>ском заводе №153 бригадой в составе ведущего инженера летчика-испы</w:t>
      </w:r>
      <w:r w:rsidRPr="008127F8">
        <w:rPr>
          <w:rFonts w:ascii="Times New Roman" w:hAnsi="Times New Roman"/>
          <w:color w:val="000000" w:themeColor="text1"/>
          <w:sz w:val="16"/>
          <w:szCs w:val="16"/>
        </w:rPr>
        <w:softHyphen/>
        <w:t>тателя П.Я.Федрови, ведущего инженера по самолету А.Т.Степанца, по вооружению - Г.И.Гудименко и А.Г.Аронова, по испытаниям - П.С.Лимара проводились совместные заво</w:t>
      </w:r>
      <w:r w:rsidRPr="008127F8">
        <w:rPr>
          <w:rFonts w:ascii="Times New Roman" w:hAnsi="Times New Roman"/>
          <w:color w:val="000000" w:themeColor="text1"/>
          <w:sz w:val="16"/>
          <w:szCs w:val="16"/>
        </w:rPr>
        <w:softHyphen/>
        <w:t>дские и госиспытания Як-7-37. 14 полетов было выполнено за 8 ч 20 мин по далеко непол</w:t>
      </w:r>
      <w:r w:rsidRPr="008127F8">
        <w:rPr>
          <w:rFonts w:ascii="Times New Roman" w:hAnsi="Times New Roman"/>
          <w:color w:val="000000" w:themeColor="text1"/>
          <w:sz w:val="16"/>
          <w:szCs w:val="16"/>
        </w:rPr>
        <w:softHyphen/>
        <w:t>ной программе.</w:t>
      </w:r>
    </w:p>
    <w:p w14:paraId="38A3BBA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что толку? Похоже, это был вообще единственный экземпляр по</w:t>
      </w:r>
      <w:r w:rsidRPr="008127F8">
        <w:rPr>
          <w:rFonts w:ascii="Times New Roman" w:hAnsi="Times New Roman"/>
          <w:color w:val="000000" w:themeColor="text1"/>
          <w:sz w:val="16"/>
          <w:szCs w:val="16"/>
        </w:rPr>
        <w:softHyphen/>
        <w:t>добной машины в варианте ракетоносца, поскольку ее госиспытания за</w:t>
      </w:r>
      <w:r w:rsidRPr="008127F8">
        <w:rPr>
          <w:rFonts w:ascii="Times New Roman" w:hAnsi="Times New Roman"/>
          <w:color w:val="000000" w:themeColor="text1"/>
          <w:sz w:val="16"/>
          <w:szCs w:val="16"/>
        </w:rPr>
        <w:softHyphen/>
        <w:t>вершились аккурат в день выхода постановления ГКО о ракетном «разо</w:t>
      </w:r>
      <w:r w:rsidRPr="008127F8">
        <w:rPr>
          <w:rFonts w:ascii="Times New Roman" w:hAnsi="Times New Roman"/>
          <w:color w:val="000000" w:themeColor="text1"/>
          <w:sz w:val="16"/>
          <w:szCs w:val="16"/>
        </w:rPr>
        <w:softHyphen/>
        <w:t>ружении» истребителей. А без РС ни о каком превосходстве в огневой мощи над остальными истребителями 1942 г. и речи быть не может (11402).</w:t>
      </w:r>
    </w:p>
    <w:p w14:paraId="7C63964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988CD" w14:textId="77777777" w:rsidR="00377126" w:rsidRPr="008127F8" w:rsidRDefault="00377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в 1942 году на заводе № 153 начались (по 10 мая) совместные заводские и Госиспытания истребителя «Як-7-37», ОКБ Яковлева. «Як-7-37» являлся модификацией серийного самолета «Як-7БМ-105ПА» и отличался от него более мощным пушечным вооружением. Вооружение: мотор-пушка «МПШ-37» Б.Г.Шпитального калибра 37 мм, два синхронных пулемета «УБС» калибра 12,7 мм и в перегрузку - шесть «РС-82» [Изменения в фюзеляже самолета обеспечивали установку любой из следующих пушек: «МПШ-37», «ВЯ-23», «ШВАК» (при двух последних боезапас увеличивался) в сочетании с двумя пулеметами «УБС» или «ШКАС»] (15100).</w:t>
      </w:r>
    </w:p>
    <w:p w14:paraId="1E51D3F3" w14:textId="77777777" w:rsidR="00377126" w:rsidRPr="008127F8" w:rsidRDefault="00377126" w:rsidP="001E0A84">
      <w:pPr>
        <w:spacing w:after="0" w:line="240" w:lineRule="auto"/>
        <w:jc w:val="both"/>
        <w:rPr>
          <w:rFonts w:ascii="Times New Roman" w:hAnsi="Times New Roman"/>
          <w:color w:val="000000" w:themeColor="text1"/>
          <w:sz w:val="16"/>
          <w:szCs w:val="16"/>
        </w:rPr>
      </w:pPr>
    </w:p>
    <w:p w14:paraId="443CE2F3"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 15 апреля по 10 мая 1942 г. Як-7-37 с мотор-пушкой Ш-37 (20 снарядов), построенный на заводе № 153 в Новосибирске, проходил совместные заводские и государственные испытания.</w:t>
      </w:r>
    </w:p>
    <w:p w14:paraId="6EDB5DAA"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размещения пушки и сохранения центров</w:t>
      </w:r>
      <w:r w:rsidRPr="008127F8">
        <w:rPr>
          <w:color w:val="000000" w:themeColor="text1"/>
          <w:sz w:val="16"/>
          <w:szCs w:val="16"/>
        </w:rPr>
        <w:softHyphen/>
        <w:t>ки самолета кабина летчика была смещена назад на 400 мм, а задняя кабина ликвидирована. Крыло оборудовалось автоматическими предкрылками, установлено новое хвостовое колесо увеличенных размеров, система нейтральных газов от выхлопа отработанных газов мотора и т.д.</w:t>
      </w:r>
    </w:p>
    <w:p w14:paraId="70A53758"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Наличие предкрылков заметно улучшило устой</w:t>
      </w:r>
      <w:r w:rsidRPr="008127F8">
        <w:rPr>
          <w:color w:val="000000" w:themeColor="text1"/>
          <w:sz w:val="16"/>
          <w:szCs w:val="16"/>
        </w:rPr>
        <w:softHyphen/>
        <w:t>чивость самолета и уменьшило опасность срыва в штопор на малых скоростях и критических углах атаки.</w:t>
      </w:r>
    </w:p>
    <w:p w14:paraId="0D491D17"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После всех доработок полетный вес Як-7-37 по сравнению с серийным Як-7б увеличился с 3042 до 3235 кг. В связи с этим летные данные самолета несколько ухудшились. Максимальная скорость во всем диапазоне высот уменьшилась примерно на 15 км/ч, возросли время набора высоты 5000 м — на 0,65 мин, разбег и пробег — на 100 м, время виража на высоте 1000 м — на 2 с, а набор высоты за боевой разворот с высоты 1000 м уменьшился на 100 м.</w:t>
      </w:r>
    </w:p>
    <w:p w14:paraId="48EDA10B"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ходе очередного испытательного полета 11 мая при отстреле пулеметов УБС произошел прострел лопастей винта. При вынужденной по</w:t>
      </w:r>
      <w:r w:rsidRPr="008127F8">
        <w:rPr>
          <w:color w:val="000000" w:themeColor="text1"/>
          <w:sz w:val="16"/>
          <w:szCs w:val="16"/>
        </w:rPr>
        <w:softHyphen/>
        <w:t>садке вне аэродрома без шасси самолет получил повреждения.</w:t>
      </w:r>
    </w:p>
    <w:p w14:paraId="5F480AD8"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Программу испытаний в полном объеме выпол</w:t>
      </w:r>
      <w:r w:rsidRPr="008127F8">
        <w:rPr>
          <w:color w:val="000000" w:themeColor="text1"/>
          <w:sz w:val="16"/>
          <w:szCs w:val="16"/>
        </w:rPr>
        <w:softHyphen/>
        <w:t>нить не удалось. Так, не были определены взлет</w:t>
      </w:r>
      <w:r w:rsidRPr="008127F8">
        <w:rPr>
          <w:color w:val="000000" w:themeColor="text1"/>
          <w:sz w:val="16"/>
          <w:szCs w:val="16"/>
        </w:rPr>
        <w:softHyphen/>
        <w:t>но-посадочные свойства самолета, дальность по</w:t>
      </w:r>
      <w:r w:rsidRPr="008127F8">
        <w:rPr>
          <w:color w:val="000000" w:themeColor="text1"/>
          <w:sz w:val="16"/>
          <w:szCs w:val="16"/>
        </w:rPr>
        <w:softHyphen/>
        <w:t>лета, неполностью отстреляны пулеметы в воздухе, совершенно не отстреляна пушка Ш-37 по причине ее неисправности (из-за биений вала мотора во время работы и при стрельбе из пулеметов на ство</w:t>
      </w:r>
      <w:r w:rsidRPr="008127F8">
        <w:rPr>
          <w:color w:val="000000" w:themeColor="text1"/>
          <w:sz w:val="16"/>
          <w:szCs w:val="16"/>
        </w:rPr>
        <w:softHyphen/>
        <w:t>ле пушки появилась усталостная трещина).</w:t>
      </w:r>
    </w:p>
    <w:p w14:paraId="69D4F73A"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Всего за время испытаний выполнили 14 поле</w:t>
      </w:r>
      <w:r w:rsidRPr="008127F8">
        <w:rPr>
          <w:color w:val="000000" w:themeColor="text1"/>
          <w:sz w:val="16"/>
          <w:szCs w:val="16"/>
        </w:rPr>
        <w:softHyphen/>
        <w:t>тов с налетом 8 ч 20 мин, в том числе 4 полета с от</w:t>
      </w:r>
      <w:r w:rsidRPr="008127F8">
        <w:rPr>
          <w:color w:val="000000" w:themeColor="text1"/>
          <w:sz w:val="16"/>
          <w:szCs w:val="16"/>
        </w:rPr>
        <w:softHyphen/>
        <w:t>стрелом пулеметов в воздухе.</w:t>
      </w:r>
    </w:p>
    <w:p w14:paraId="2A1D6874"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Поскольку Як-7-37 по летным данным был бли</w:t>
      </w:r>
      <w:r w:rsidRPr="008127F8">
        <w:rPr>
          <w:color w:val="000000" w:themeColor="text1"/>
          <w:sz w:val="16"/>
          <w:szCs w:val="16"/>
        </w:rPr>
        <w:softHyphen/>
        <w:t>зок к Як-7б, а по весу секундного залпа (4,26 кг) превосходил все советские истребители, в том чис</w:t>
      </w:r>
      <w:r w:rsidRPr="008127F8">
        <w:rPr>
          <w:color w:val="000000" w:themeColor="text1"/>
          <w:sz w:val="16"/>
          <w:szCs w:val="16"/>
        </w:rPr>
        <w:softHyphen/>
        <w:t>ле и серийный ЛаГГ-3 с такой же пушкой (3,53 кг), но уступал ему по живучести, то было решено сна</w:t>
      </w:r>
      <w:r w:rsidRPr="008127F8">
        <w:rPr>
          <w:color w:val="000000" w:themeColor="text1"/>
          <w:sz w:val="16"/>
          <w:szCs w:val="16"/>
        </w:rPr>
        <w:softHyphen/>
        <w:t>чала выпустить небольшую серию этого самолета. Предполагалось испытать самолет в бою, после че</w:t>
      </w:r>
      <w:r w:rsidRPr="008127F8">
        <w:rPr>
          <w:color w:val="000000" w:themeColor="text1"/>
          <w:sz w:val="16"/>
          <w:szCs w:val="16"/>
        </w:rPr>
        <w:softHyphen/>
        <w:t>го сделать вывод о целесообразности запуска его в массовое производство. Постановлением ГКО от 20 июня 1942 г. завод № 153 обязывался к 5 сентя</w:t>
      </w:r>
      <w:r w:rsidRPr="008127F8">
        <w:rPr>
          <w:color w:val="000000" w:themeColor="text1"/>
          <w:sz w:val="16"/>
          <w:szCs w:val="16"/>
        </w:rPr>
        <w:softHyphen/>
        <w:t>бря изготовить 20 самолетов Як-7-37.</w:t>
      </w:r>
    </w:p>
    <w:p w14:paraId="453CF1B2"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На Як-7-37 войсковой серии сняли автомати</w:t>
      </w:r>
      <w:r w:rsidRPr="008127F8">
        <w:rPr>
          <w:color w:val="000000" w:themeColor="text1"/>
          <w:sz w:val="16"/>
          <w:szCs w:val="16"/>
        </w:rPr>
        <w:softHyphen/>
        <w:t>ческие предкрылки для упрощения производства и экономии веса самолета, немного улучшили мест</w:t>
      </w:r>
      <w:r w:rsidRPr="008127F8">
        <w:rPr>
          <w:color w:val="000000" w:themeColor="text1"/>
          <w:sz w:val="16"/>
          <w:szCs w:val="16"/>
        </w:rPr>
        <w:softHyphen/>
        <w:t>ную аэродинамику, установили форсированный мо</w:t>
      </w:r>
      <w:r w:rsidRPr="008127F8">
        <w:rPr>
          <w:color w:val="000000" w:themeColor="text1"/>
          <w:sz w:val="16"/>
          <w:szCs w:val="16"/>
        </w:rPr>
        <w:softHyphen/>
        <w:t>тор М-105ПФ, бомбодержатели и новый обтекатель радиатора с расширяющимся входом. Летные дан</w:t>
      </w:r>
      <w:r w:rsidRPr="008127F8">
        <w:rPr>
          <w:color w:val="000000" w:themeColor="text1"/>
          <w:sz w:val="16"/>
          <w:szCs w:val="16"/>
        </w:rPr>
        <w:softHyphen/>
        <w:t>ные и характеристики вертикального маневра воз</w:t>
      </w:r>
      <w:r w:rsidRPr="008127F8">
        <w:rPr>
          <w:color w:val="000000" w:themeColor="text1"/>
          <w:sz w:val="16"/>
          <w:szCs w:val="16"/>
        </w:rPr>
        <w:softHyphen/>
        <w:t>росли, практически сравнявшись с Як-7б, но ухуд</w:t>
      </w:r>
      <w:r w:rsidRPr="008127F8">
        <w:rPr>
          <w:color w:val="000000" w:themeColor="text1"/>
          <w:sz w:val="16"/>
          <w:szCs w:val="16"/>
        </w:rPr>
        <w:softHyphen/>
        <w:t>шилась устойчивость самолета при больших углах атаки. Всего было построено 22 самолета Як-7-37.</w:t>
      </w:r>
    </w:p>
    <w:p w14:paraId="4E112569" w14:textId="77777777" w:rsidR="003D763F" w:rsidRPr="008127F8" w:rsidRDefault="003D763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Известно, что А. С. Яковлев предложил увели</w:t>
      </w:r>
      <w:r w:rsidRPr="008127F8">
        <w:rPr>
          <w:color w:val="000000" w:themeColor="text1"/>
          <w:sz w:val="16"/>
          <w:szCs w:val="16"/>
        </w:rPr>
        <w:softHyphen/>
        <w:t>чить объемы выпуска Як-7-37 до 60 самолетов для вооружения ими полностью двух истребительных авиаполков. Но командование ВВС решило повре</w:t>
      </w:r>
      <w:r w:rsidRPr="008127F8">
        <w:rPr>
          <w:color w:val="000000" w:themeColor="text1"/>
          <w:sz w:val="16"/>
          <w:szCs w:val="16"/>
        </w:rPr>
        <w:softHyphen/>
        <w:t>менить и дождаться итогов войсковых испытаний (17500).</w:t>
      </w:r>
    </w:p>
    <w:p w14:paraId="02D50EA1"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p>
    <w:p w14:paraId="0A36CCAB"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1942 г. приступили к отстре</w:t>
      </w:r>
      <w:r w:rsidRPr="008A2E5A">
        <w:rPr>
          <w:rFonts w:ascii="Times New Roman" w:hAnsi="Times New Roman"/>
          <w:color w:val="0070C0"/>
          <w:sz w:val="16"/>
          <w:szCs w:val="16"/>
        </w:rPr>
        <w:softHyphen/>
        <w:t>лу вооружения Як-7 с пушкой М-37 Шпитального на земле в рамках совместных заводских и государственных испытаний К отстре</w:t>
      </w:r>
      <w:r w:rsidRPr="008A2E5A">
        <w:rPr>
          <w:rFonts w:ascii="Times New Roman" w:hAnsi="Times New Roman"/>
          <w:color w:val="0070C0"/>
          <w:sz w:val="16"/>
          <w:szCs w:val="16"/>
        </w:rPr>
        <w:softHyphen/>
        <w:t>лу вооружения на земле в рамках совместных заводских и государственных испытаний приступили (вы</w:t>
      </w:r>
      <w:r w:rsidRPr="008A2E5A">
        <w:rPr>
          <w:rFonts w:ascii="Times New Roman" w:hAnsi="Times New Roman"/>
          <w:color w:val="0070C0"/>
          <w:sz w:val="16"/>
          <w:szCs w:val="16"/>
        </w:rPr>
        <w:softHyphen/>
        <w:t>везти машину в тир удалось только 13 апреля, так как про</w:t>
      </w:r>
      <w:r w:rsidRPr="008A2E5A">
        <w:rPr>
          <w:rFonts w:ascii="Times New Roman" w:hAnsi="Times New Roman"/>
          <w:color w:val="0070C0"/>
          <w:sz w:val="16"/>
          <w:szCs w:val="16"/>
        </w:rPr>
        <w:softHyphen/>
        <w:t>ходы в цехе №11 завода №153, в котором производилась сборка опытной машины, были заставлены стапелями с крыльями серийных Як-7). В первую очередь испытани</w:t>
      </w:r>
      <w:r w:rsidRPr="008A2E5A">
        <w:rPr>
          <w:rFonts w:ascii="Times New Roman" w:hAnsi="Times New Roman"/>
          <w:color w:val="0070C0"/>
          <w:sz w:val="16"/>
          <w:szCs w:val="16"/>
        </w:rPr>
        <w:softHyphen/>
        <w:t>ям подвергли установку пулеметов УБС. До 20 апреля из них выполнили 1050 выстрелов, в результате которых об</w:t>
      </w:r>
      <w:r w:rsidRPr="008A2E5A">
        <w:rPr>
          <w:rFonts w:ascii="Times New Roman" w:hAnsi="Times New Roman"/>
          <w:color w:val="0070C0"/>
          <w:sz w:val="16"/>
          <w:szCs w:val="16"/>
        </w:rPr>
        <w:softHyphen/>
        <w:t>наружилась необходимость усиления кронштейнов кре</w:t>
      </w:r>
      <w:r w:rsidRPr="008A2E5A">
        <w:rPr>
          <w:rFonts w:ascii="Times New Roman" w:hAnsi="Times New Roman"/>
          <w:color w:val="0070C0"/>
          <w:sz w:val="16"/>
          <w:szCs w:val="16"/>
        </w:rPr>
        <w:softHyphen/>
        <w:t>пления газоотводных труб (произошел прострел капо</w:t>
      </w:r>
      <w:r w:rsidRPr="008A2E5A">
        <w:rPr>
          <w:rFonts w:ascii="Times New Roman" w:hAnsi="Times New Roman"/>
          <w:color w:val="0070C0"/>
          <w:sz w:val="16"/>
          <w:szCs w:val="16"/>
        </w:rPr>
        <w:softHyphen/>
        <w:t>та и блока мотора из-за разрушения кронштейна) и уве</w:t>
      </w:r>
      <w:r w:rsidRPr="008A2E5A">
        <w:rPr>
          <w:rFonts w:ascii="Times New Roman" w:hAnsi="Times New Roman"/>
          <w:color w:val="0070C0"/>
          <w:sz w:val="16"/>
          <w:szCs w:val="16"/>
        </w:rPr>
        <w:softHyphen/>
        <w:t>личения размера стальной накладки желобов пулеметов (из-за температурной деформации капота при стрель</w:t>
      </w:r>
      <w:r w:rsidRPr="008A2E5A">
        <w:rPr>
          <w:rFonts w:ascii="Times New Roman" w:hAnsi="Times New Roman"/>
          <w:color w:val="0070C0"/>
          <w:sz w:val="16"/>
          <w:szCs w:val="16"/>
        </w:rPr>
        <w:softHyphen/>
        <w:t>бе). Проверить установку вооружения в полном объеме не представилось возможным из-за дефекта мотора, от</w:t>
      </w:r>
      <w:r w:rsidRPr="008A2E5A">
        <w:rPr>
          <w:rFonts w:ascii="Times New Roman" w:hAnsi="Times New Roman"/>
          <w:color w:val="0070C0"/>
          <w:sz w:val="16"/>
          <w:szCs w:val="16"/>
        </w:rPr>
        <w:softHyphen/>
        <w:t xml:space="preserve">верстие в вале </w:t>
      </w:r>
      <w:proofErr w:type="gramStart"/>
      <w:r w:rsidRPr="008A2E5A">
        <w:rPr>
          <w:rFonts w:ascii="Times New Roman" w:hAnsi="Times New Roman"/>
          <w:color w:val="0070C0"/>
          <w:sz w:val="16"/>
          <w:szCs w:val="16"/>
        </w:rPr>
        <w:t>редуктора</w:t>
      </w:r>
      <w:proofErr w:type="gramEnd"/>
      <w:r w:rsidRPr="008A2E5A">
        <w:rPr>
          <w:rFonts w:ascii="Times New Roman" w:hAnsi="Times New Roman"/>
          <w:color w:val="0070C0"/>
          <w:sz w:val="16"/>
          <w:szCs w:val="16"/>
        </w:rPr>
        <w:t xml:space="preserve"> которого оказалось (как у ста</w:t>
      </w:r>
      <w:r w:rsidRPr="008A2E5A">
        <w:rPr>
          <w:rFonts w:ascii="Times New Roman" w:hAnsi="Times New Roman"/>
          <w:color w:val="0070C0"/>
          <w:sz w:val="16"/>
          <w:szCs w:val="16"/>
        </w:rPr>
        <w:softHyphen/>
        <w:t>рых серий выпуска) с кольцевым выступом вместо прото</w:t>
      </w:r>
      <w:r w:rsidRPr="008A2E5A">
        <w:rPr>
          <w:rFonts w:ascii="Times New Roman" w:hAnsi="Times New Roman"/>
          <w:color w:val="0070C0"/>
          <w:sz w:val="16"/>
          <w:szCs w:val="16"/>
        </w:rPr>
        <w:softHyphen/>
        <w:t>чки. При этом зазор между стволом Ш-37 валом редукто</w:t>
      </w:r>
      <w:r w:rsidRPr="008A2E5A">
        <w:rPr>
          <w:rFonts w:ascii="Times New Roman" w:hAnsi="Times New Roman"/>
          <w:color w:val="0070C0"/>
          <w:sz w:val="16"/>
          <w:szCs w:val="16"/>
        </w:rPr>
        <w:softHyphen/>
        <w:t>ра в районе выступа уменьшился с ± 1 до ± 0,25-0,45 мм. Биение, возникшее при работе мотора и отстреле пуле</w:t>
      </w:r>
      <w:r w:rsidRPr="008A2E5A">
        <w:rPr>
          <w:rFonts w:ascii="Times New Roman" w:hAnsi="Times New Roman"/>
          <w:color w:val="0070C0"/>
          <w:sz w:val="16"/>
          <w:szCs w:val="16"/>
        </w:rPr>
        <w:softHyphen/>
        <w:t>метов, способствовало появлению усталостной трещины ствола пушки в районе носка вала редуктора. После за</w:t>
      </w:r>
      <w:r w:rsidRPr="008A2E5A">
        <w:rPr>
          <w:rFonts w:ascii="Times New Roman" w:hAnsi="Times New Roman"/>
          <w:color w:val="0070C0"/>
          <w:sz w:val="16"/>
          <w:szCs w:val="16"/>
        </w:rPr>
        <w:softHyphen/>
        <w:t>мены мотора в ствол пушки вставили специальный сталь</w:t>
      </w:r>
      <w:r w:rsidRPr="008A2E5A">
        <w:rPr>
          <w:rFonts w:ascii="Times New Roman" w:hAnsi="Times New Roman"/>
          <w:color w:val="0070C0"/>
          <w:sz w:val="16"/>
          <w:szCs w:val="16"/>
        </w:rPr>
        <w:softHyphen/>
        <w:t>ной буж, закрепив его в районе трещины. В таком вари</w:t>
      </w:r>
      <w:r w:rsidRPr="008A2E5A">
        <w:rPr>
          <w:rFonts w:ascii="Times New Roman" w:hAnsi="Times New Roman"/>
          <w:color w:val="0070C0"/>
          <w:sz w:val="16"/>
          <w:szCs w:val="16"/>
        </w:rPr>
        <w:softHyphen/>
        <w:t>анте машина совершила свой первый полет 1 мая 1942 г. Всего за время испытаний выполнили 14 полетов общей продолжительностью 8 часов 20 минут, в том числе четы</w:t>
      </w:r>
      <w:r w:rsidRPr="008A2E5A">
        <w:rPr>
          <w:rFonts w:ascii="Times New Roman" w:hAnsi="Times New Roman"/>
          <w:color w:val="0070C0"/>
          <w:sz w:val="16"/>
          <w:szCs w:val="16"/>
        </w:rPr>
        <w:softHyphen/>
        <w:t>ре полета на отстрел пулеметного вооружения в воздухе. 11 мая в четвертом за день полете при отстреле УБС над р.Обь на высоте 200 м произошел прострел и обрыв двух лопастей винта (в каждую лопасть попало по три пули) по вине оружия. При вынужденной посадке без шасси само</w:t>
      </w:r>
      <w:r w:rsidRPr="008A2E5A">
        <w:rPr>
          <w:rFonts w:ascii="Times New Roman" w:hAnsi="Times New Roman"/>
          <w:color w:val="0070C0"/>
          <w:sz w:val="16"/>
          <w:szCs w:val="16"/>
        </w:rPr>
        <w:softHyphen/>
        <w:t>лет потерпел аварию, в которой пострадал летчик-испы</w:t>
      </w:r>
      <w:r w:rsidRPr="008A2E5A">
        <w:rPr>
          <w:rFonts w:ascii="Times New Roman" w:hAnsi="Times New Roman"/>
          <w:color w:val="0070C0"/>
          <w:sz w:val="16"/>
          <w:szCs w:val="16"/>
        </w:rPr>
        <w:softHyphen/>
        <w:t>татель П.Я. Федрови. Из-за аварии самолет не только не завершил испытания, но и не был сфотографирован. В от</w:t>
      </w:r>
      <w:r w:rsidRPr="008A2E5A">
        <w:rPr>
          <w:rFonts w:ascii="Times New Roman" w:hAnsi="Times New Roman"/>
          <w:color w:val="0070C0"/>
          <w:sz w:val="16"/>
          <w:szCs w:val="16"/>
        </w:rPr>
        <w:softHyphen/>
        <w:t>чет по испытаниям вклеили отретушированные фото Як- 75 №1413.</w:t>
      </w:r>
    </w:p>
    <w:p w14:paraId="735683AD"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своим летным характеристикам Як-7-37, за счет вне</w:t>
      </w:r>
      <w:r w:rsidRPr="008A2E5A">
        <w:rPr>
          <w:rFonts w:ascii="Times New Roman" w:hAnsi="Times New Roman"/>
          <w:color w:val="0070C0"/>
          <w:sz w:val="16"/>
          <w:szCs w:val="16"/>
        </w:rPr>
        <w:softHyphen/>
        <w:t>дрения некоторых аэродинамических улучшений, оказал</w:t>
      </w:r>
      <w:r w:rsidRPr="008A2E5A">
        <w:rPr>
          <w:rFonts w:ascii="Times New Roman" w:hAnsi="Times New Roman"/>
          <w:color w:val="0070C0"/>
          <w:sz w:val="16"/>
          <w:szCs w:val="16"/>
        </w:rPr>
        <w:softHyphen/>
        <w:t>ся близким к выпускающемуся серийно истребителю Як- 7А, уступая последнему лишь в вертикальном маневре. А по весу секундного залпа, равного 4,15 кг, превысил и Як- 75 (2,86 кг), и Як-7М (3,92 кг), и Як-3-l (3,96 кг). Исходя из этого 20 июля 1942 г. было принято постановление ГКО №2066сс о выпуске на заводе №153 к 5 сентября 1942 г. войсковой серии из 20 самолетов Як-7 с 37-мм пушкой.</w:t>
      </w:r>
    </w:p>
    <w:p w14:paraId="59066F98"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состав вооружения для улучшения взлетно-по</w:t>
      </w:r>
      <w:r w:rsidRPr="008A2E5A">
        <w:rPr>
          <w:rFonts w:ascii="Times New Roman" w:hAnsi="Times New Roman"/>
          <w:color w:val="0070C0"/>
          <w:sz w:val="16"/>
          <w:szCs w:val="16"/>
        </w:rPr>
        <w:softHyphen/>
        <w:t>садочных характеристик и вертикального маневра сокра</w:t>
      </w:r>
      <w:r w:rsidRPr="008A2E5A">
        <w:rPr>
          <w:rFonts w:ascii="Times New Roman" w:hAnsi="Times New Roman"/>
          <w:color w:val="0070C0"/>
          <w:sz w:val="16"/>
          <w:szCs w:val="16"/>
        </w:rPr>
        <w:softHyphen/>
        <w:t>тили на один пулемет БС. Боекомплект к оставшемуся ле</w:t>
      </w:r>
      <w:r w:rsidRPr="008A2E5A">
        <w:rPr>
          <w:rFonts w:ascii="Times New Roman" w:hAnsi="Times New Roman"/>
          <w:color w:val="0070C0"/>
          <w:sz w:val="16"/>
          <w:szCs w:val="16"/>
        </w:rPr>
        <w:softHyphen/>
        <w:t>вому пулемету увеличили до 360 патронов. Из-за задер</w:t>
      </w:r>
      <w:r w:rsidRPr="008A2E5A">
        <w:rPr>
          <w:rFonts w:ascii="Times New Roman" w:hAnsi="Times New Roman"/>
          <w:color w:val="0070C0"/>
          <w:sz w:val="16"/>
          <w:szCs w:val="16"/>
        </w:rPr>
        <w:softHyphen/>
        <w:t>жки с поставкой пушек Ш-37 с Ижевского завода 22 са</w:t>
      </w:r>
      <w:r w:rsidRPr="008A2E5A">
        <w:rPr>
          <w:rFonts w:ascii="Times New Roman" w:hAnsi="Times New Roman"/>
          <w:color w:val="0070C0"/>
          <w:sz w:val="16"/>
          <w:szCs w:val="16"/>
        </w:rPr>
        <w:softHyphen/>
        <w:t>молета войсковой серии изготовили только в конце авгу</w:t>
      </w:r>
      <w:r w:rsidRPr="008A2E5A">
        <w:rPr>
          <w:rFonts w:ascii="Times New Roman" w:hAnsi="Times New Roman"/>
          <w:color w:val="0070C0"/>
          <w:sz w:val="16"/>
          <w:szCs w:val="16"/>
        </w:rPr>
        <w:softHyphen/>
        <w:t>ста 1942 г. Машины Як-7Т, как их неофициально обозначи</w:t>
      </w:r>
      <w:r w:rsidRPr="008A2E5A">
        <w:rPr>
          <w:rFonts w:ascii="Times New Roman" w:hAnsi="Times New Roman"/>
          <w:color w:val="0070C0"/>
          <w:sz w:val="16"/>
          <w:szCs w:val="16"/>
        </w:rPr>
        <w:softHyphen/>
        <w:t>ли на заводе, имели номера самолетов с 81 по 102 в 25-й производственной серии. Контрольные испытания голов</w:t>
      </w:r>
      <w:r w:rsidRPr="008A2E5A">
        <w:rPr>
          <w:rFonts w:ascii="Times New Roman" w:hAnsi="Times New Roman"/>
          <w:color w:val="0070C0"/>
          <w:sz w:val="16"/>
          <w:szCs w:val="16"/>
        </w:rPr>
        <w:softHyphen/>
        <w:t>ного самолета Як-7Т №2515381 летчиком военного пред</w:t>
      </w:r>
      <w:r w:rsidRPr="008A2E5A">
        <w:rPr>
          <w:rFonts w:ascii="Times New Roman" w:hAnsi="Times New Roman"/>
          <w:color w:val="0070C0"/>
          <w:sz w:val="16"/>
          <w:szCs w:val="16"/>
        </w:rPr>
        <w:softHyphen/>
        <w:t>ставительства показали, что мероприятия по облегчению машины дали положительный эффект: противокапотажный угол увеличился с 23 до 26° и приблизился к задан</w:t>
      </w:r>
      <w:r w:rsidRPr="008A2E5A">
        <w:rPr>
          <w:rFonts w:ascii="Times New Roman" w:hAnsi="Times New Roman"/>
          <w:color w:val="0070C0"/>
          <w:sz w:val="16"/>
          <w:szCs w:val="16"/>
        </w:rPr>
        <w:softHyphen/>
        <w:t>ному тактико-техническими требованиями (27°). Это су</w:t>
      </w:r>
      <w:r w:rsidRPr="008A2E5A">
        <w:rPr>
          <w:rFonts w:ascii="Times New Roman" w:hAnsi="Times New Roman"/>
          <w:color w:val="0070C0"/>
          <w:sz w:val="16"/>
          <w:szCs w:val="16"/>
        </w:rPr>
        <w:softHyphen/>
        <w:t>щественным образом сокращало пробег при посадке, а вместе с тем требуемые размеры аэродромов для экс</w:t>
      </w:r>
      <w:r w:rsidRPr="008A2E5A">
        <w:rPr>
          <w:rFonts w:ascii="Times New Roman" w:hAnsi="Times New Roman"/>
          <w:color w:val="0070C0"/>
          <w:sz w:val="16"/>
          <w:szCs w:val="16"/>
        </w:rPr>
        <w:softHyphen/>
        <w:t>плуатации Як-7Т. Самолеты войсковой серии отличались от опытной машины Як-7-37 обычным крылом без пред</w:t>
      </w:r>
      <w:r w:rsidRPr="008A2E5A">
        <w:rPr>
          <w:rFonts w:ascii="Times New Roman" w:hAnsi="Times New Roman"/>
          <w:color w:val="0070C0"/>
          <w:sz w:val="16"/>
          <w:szCs w:val="16"/>
        </w:rPr>
        <w:softHyphen/>
        <w:t>крылков, поэтому маневренные характеристики машин по сравнению с опытной были несколько хуже. За счет об</w:t>
      </w:r>
      <w:r w:rsidRPr="008A2E5A">
        <w:rPr>
          <w:rFonts w:ascii="Times New Roman" w:hAnsi="Times New Roman"/>
          <w:color w:val="0070C0"/>
          <w:sz w:val="16"/>
          <w:szCs w:val="16"/>
        </w:rPr>
        <w:softHyphen/>
        <w:t>легчения и установки моторов М-105ПФ характеристики вертикального маневра практически сравнялись с серий</w:t>
      </w:r>
      <w:r w:rsidRPr="008A2E5A">
        <w:rPr>
          <w:rFonts w:ascii="Times New Roman" w:hAnsi="Times New Roman"/>
          <w:color w:val="0070C0"/>
          <w:sz w:val="16"/>
          <w:szCs w:val="16"/>
        </w:rPr>
        <w:softHyphen/>
        <w:t>но выпускающимися Як-7Б, но максимальная скорость оказалась меньше, чем у Як-7-37, из-за установки бомбо</w:t>
      </w:r>
      <w:r w:rsidRPr="008A2E5A">
        <w:rPr>
          <w:rFonts w:ascii="Times New Roman" w:hAnsi="Times New Roman"/>
          <w:color w:val="0070C0"/>
          <w:sz w:val="16"/>
          <w:szCs w:val="16"/>
        </w:rPr>
        <w:softHyphen/>
        <w:t>держателей, гондолы радиатора с расширяющимся вхо</w:t>
      </w:r>
      <w:r w:rsidRPr="008A2E5A">
        <w:rPr>
          <w:rFonts w:ascii="Times New Roman" w:hAnsi="Times New Roman"/>
          <w:color w:val="0070C0"/>
          <w:sz w:val="16"/>
          <w:szCs w:val="16"/>
        </w:rPr>
        <w:softHyphen/>
        <w:t>дом и серийного качества внешней отделки самолета. Все самолеты сдали военной приемке досрочно в конце августа и в сентябре 1942 г. отправили на фронт. Предло</w:t>
      </w:r>
      <w:r w:rsidRPr="008A2E5A">
        <w:rPr>
          <w:rFonts w:ascii="Times New Roman" w:hAnsi="Times New Roman"/>
          <w:color w:val="0070C0"/>
          <w:sz w:val="16"/>
          <w:szCs w:val="16"/>
        </w:rPr>
        <w:softHyphen/>
        <w:t>жение А.С. Яковлева о выпуске дополнительно еще 40 ма</w:t>
      </w:r>
      <w:r w:rsidRPr="008A2E5A">
        <w:rPr>
          <w:rFonts w:ascii="Times New Roman" w:hAnsi="Times New Roman"/>
          <w:color w:val="0070C0"/>
          <w:sz w:val="16"/>
          <w:szCs w:val="16"/>
        </w:rPr>
        <w:softHyphen/>
        <w:t>шин Як-7-37, чтобы вооружить этой машиной два полка, встретило поддержку у руководства ВВС КА, но не было санкционировано ГКО (23381).</w:t>
      </w:r>
    </w:p>
    <w:p w14:paraId="66F3FBD9" w14:textId="77777777" w:rsidR="00836181" w:rsidRPr="008A2E5A" w:rsidRDefault="00836181" w:rsidP="00836181">
      <w:pPr>
        <w:spacing w:after="0" w:line="240" w:lineRule="auto"/>
        <w:jc w:val="both"/>
        <w:rPr>
          <w:rFonts w:ascii="Times New Roman" w:hAnsi="Times New Roman"/>
          <w:color w:val="0070C0"/>
          <w:sz w:val="16"/>
          <w:szCs w:val="16"/>
        </w:rPr>
      </w:pPr>
    </w:p>
    <w:p w14:paraId="3911A7AC"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1942 г. приступили к отстре</w:t>
      </w:r>
      <w:r w:rsidRPr="008A2E5A">
        <w:rPr>
          <w:rFonts w:ascii="Times New Roman" w:hAnsi="Times New Roman"/>
          <w:color w:val="0070C0"/>
          <w:sz w:val="16"/>
          <w:szCs w:val="16"/>
        </w:rPr>
        <w:softHyphen/>
        <w:t>лу вооружения Як-7 с пушкой М-37 Шпитального на земле в рамках совместных заводских и государственных испытаний К отстре</w:t>
      </w:r>
      <w:r w:rsidRPr="008A2E5A">
        <w:rPr>
          <w:rFonts w:ascii="Times New Roman" w:hAnsi="Times New Roman"/>
          <w:color w:val="0070C0"/>
          <w:sz w:val="16"/>
          <w:szCs w:val="16"/>
        </w:rPr>
        <w:softHyphen/>
        <w:t>лу вооружения на земле в рамках совместных заводских и государственных испытаний приступили (вы</w:t>
      </w:r>
      <w:r w:rsidRPr="008A2E5A">
        <w:rPr>
          <w:rFonts w:ascii="Times New Roman" w:hAnsi="Times New Roman"/>
          <w:color w:val="0070C0"/>
          <w:sz w:val="16"/>
          <w:szCs w:val="16"/>
        </w:rPr>
        <w:softHyphen/>
        <w:t>везти машину в тир удалось только 13 апреля, так как про</w:t>
      </w:r>
      <w:r w:rsidRPr="008A2E5A">
        <w:rPr>
          <w:rFonts w:ascii="Times New Roman" w:hAnsi="Times New Roman"/>
          <w:color w:val="0070C0"/>
          <w:sz w:val="16"/>
          <w:szCs w:val="16"/>
        </w:rPr>
        <w:softHyphen/>
        <w:t>ходы в цехе №11 завода №153, в котором производилась сборка опытной машины, были заставлены стапелями с крыльями серийных Як-7). В первую очередь испытани</w:t>
      </w:r>
      <w:r w:rsidRPr="008A2E5A">
        <w:rPr>
          <w:rFonts w:ascii="Times New Roman" w:hAnsi="Times New Roman"/>
          <w:color w:val="0070C0"/>
          <w:sz w:val="16"/>
          <w:szCs w:val="16"/>
        </w:rPr>
        <w:softHyphen/>
        <w:t>ям подвергли установку пулеметов УБС. До 20 апреля из них выполнили 1050 выстрелов, в результате которых об</w:t>
      </w:r>
      <w:r w:rsidRPr="008A2E5A">
        <w:rPr>
          <w:rFonts w:ascii="Times New Roman" w:hAnsi="Times New Roman"/>
          <w:color w:val="0070C0"/>
          <w:sz w:val="16"/>
          <w:szCs w:val="16"/>
        </w:rPr>
        <w:softHyphen/>
        <w:t>наружилась необходимость усиления кронштейнов кре</w:t>
      </w:r>
      <w:r w:rsidRPr="008A2E5A">
        <w:rPr>
          <w:rFonts w:ascii="Times New Roman" w:hAnsi="Times New Roman"/>
          <w:color w:val="0070C0"/>
          <w:sz w:val="16"/>
          <w:szCs w:val="16"/>
        </w:rPr>
        <w:softHyphen/>
        <w:t>пления газоотводных труб (произошел прострел капо</w:t>
      </w:r>
      <w:r w:rsidRPr="008A2E5A">
        <w:rPr>
          <w:rFonts w:ascii="Times New Roman" w:hAnsi="Times New Roman"/>
          <w:color w:val="0070C0"/>
          <w:sz w:val="16"/>
          <w:szCs w:val="16"/>
        </w:rPr>
        <w:softHyphen/>
        <w:t>та и блока мотора из-за разрушения кронштейна) и уве</w:t>
      </w:r>
      <w:r w:rsidRPr="008A2E5A">
        <w:rPr>
          <w:rFonts w:ascii="Times New Roman" w:hAnsi="Times New Roman"/>
          <w:color w:val="0070C0"/>
          <w:sz w:val="16"/>
          <w:szCs w:val="16"/>
        </w:rPr>
        <w:softHyphen/>
        <w:t>личения размера стальной накладки желобов пулеметов (из-за температурной деформации капота при стрель</w:t>
      </w:r>
      <w:r w:rsidRPr="008A2E5A">
        <w:rPr>
          <w:rFonts w:ascii="Times New Roman" w:hAnsi="Times New Roman"/>
          <w:color w:val="0070C0"/>
          <w:sz w:val="16"/>
          <w:szCs w:val="16"/>
        </w:rPr>
        <w:softHyphen/>
        <w:t>бе). Проверить установку вооружения в полном объеме не представилось возможным из-за дефекта мотора, от</w:t>
      </w:r>
      <w:r w:rsidRPr="008A2E5A">
        <w:rPr>
          <w:rFonts w:ascii="Times New Roman" w:hAnsi="Times New Roman"/>
          <w:color w:val="0070C0"/>
          <w:sz w:val="16"/>
          <w:szCs w:val="16"/>
        </w:rPr>
        <w:softHyphen/>
        <w:t xml:space="preserve">верстие в вале </w:t>
      </w:r>
      <w:proofErr w:type="gramStart"/>
      <w:r w:rsidRPr="008A2E5A">
        <w:rPr>
          <w:rFonts w:ascii="Times New Roman" w:hAnsi="Times New Roman"/>
          <w:color w:val="0070C0"/>
          <w:sz w:val="16"/>
          <w:szCs w:val="16"/>
        </w:rPr>
        <w:t>редуктора</w:t>
      </w:r>
      <w:proofErr w:type="gramEnd"/>
      <w:r w:rsidRPr="008A2E5A">
        <w:rPr>
          <w:rFonts w:ascii="Times New Roman" w:hAnsi="Times New Roman"/>
          <w:color w:val="0070C0"/>
          <w:sz w:val="16"/>
          <w:szCs w:val="16"/>
        </w:rPr>
        <w:t xml:space="preserve"> которого оказалось (как у ста</w:t>
      </w:r>
      <w:r w:rsidRPr="008A2E5A">
        <w:rPr>
          <w:rFonts w:ascii="Times New Roman" w:hAnsi="Times New Roman"/>
          <w:color w:val="0070C0"/>
          <w:sz w:val="16"/>
          <w:szCs w:val="16"/>
        </w:rPr>
        <w:softHyphen/>
        <w:t>рых серий выпуска) с кольцевым выступом вместо прото</w:t>
      </w:r>
      <w:r w:rsidRPr="008A2E5A">
        <w:rPr>
          <w:rFonts w:ascii="Times New Roman" w:hAnsi="Times New Roman"/>
          <w:color w:val="0070C0"/>
          <w:sz w:val="16"/>
          <w:szCs w:val="16"/>
        </w:rPr>
        <w:softHyphen/>
        <w:t>чки. При этом зазор между стволом Ш-37 валом редукто</w:t>
      </w:r>
      <w:r w:rsidRPr="008A2E5A">
        <w:rPr>
          <w:rFonts w:ascii="Times New Roman" w:hAnsi="Times New Roman"/>
          <w:color w:val="0070C0"/>
          <w:sz w:val="16"/>
          <w:szCs w:val="16"/>
        </w:rPr>
        <w:softHyphen/>
        <w:t>ра в районе выступа уменьшился с ± 1 до ± 0,25-0,45 мм. Биение, возникшее при работе мотора и отстреле пуле</w:t>
      </w:r>
      <w:r w:rsidRPr="008A2E5A">
        <w:rPr>
          <w:rFonts w:ascii="Times New Roman" w:hAnsi="Times New Roman"/>
          <w:color w:val="0070C0"/>
          <w:sz w:val="16"/>
          <w:szCs w:val="16"/>
        </w:rPr>
        <w:softHyphen/>
        <w:t xml:space="preserve">метов, способствовало появлению усталостной трещины ствола пушки в районе носка вала редуктора. </w:t>
      </w:r>
    </w:p>
    <w:p w14:paraId="755A4447" w14:textId="77777777" w:rsidR="00836181" w:rsidRPr="008A2E5A" w:rsidRDefault="00836181" w:rsidP="00836181">
      <w:pPr>
        <w:spacing w:after="0" w:line="240" w:lineRule="auto"/>
        <w:jc w:val="both"/>
        <w:rPr>
          <w:rFonts w:ascii="Times New Roman" w:hAnsi="Times New Roman"/>
          <w:color w:val="0070C0"/>
          <w:sz w:val="16"/>
          <w:szCs w:val="16"/>
        </w:rPr>
      </w:pPr>
    </w:p>
    <w:p w14:paraId="429EF6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состоялся первый полет И-185 М-82 (662,63).</w:t>
      </w:r>
    </w:p>
    <w:p w14:paraId="675145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74A35" w14:textId="77777777" w:rsidR="003D763F" w:rsidRPr="008127F8" w:rsidRDefault="003D763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1941 испытания ИТП (М-1) прекратили. Заводу № 51 было предписано до 10 августа 1942 г. подготовить самолет для передачи на испытания в НИИ ВВС. Позднее распоряжением 7-го ГУ НКАП срок предъ</w:t>
      </w:r>
      <w:r w:rsidRPr="008127F8">
        <w:rPr>
          <w:rFonts w:ascii="Times New Roman" w:hAnsi="Times New Roman"/>
          <w:color w:val="000000" w:themeColor="text1"/>
          <w:sz w:val="16"/>
          <w:szCs w:val="16"/>
        </w:rPr>
        <w:softHyphen/>
        <w:t>явления ИТП (М-1) перенесли на октябрь.</w:t>
      </w:r>
    </w:p>
    <w:p w14:paraId="4B16AE5E" w14:textId="77777777" w:rsidR="003D763F" w:rsidRPr="008127F8" w:rsidRDefault="003D763F"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hAnsi="Times New Roman"/>
          <w:color w:val="000000" w:themeColor="text1"/>
          <w:sz w:val="16"/>
          <w:szCs w:val="16"/>
        </w:rPr>
        <w:t>Самолет разобрали и перевезли на завод для установки вооружения, отладки мотора, капотов и систем управления винтомоторной группы. Одна</w:t>
      </w:r>
      <w:r w:rsidRPr="008127F8">
        <w:rPr>
          <w:rFonts w:ascii="Times New Roman" w:hAnsi="Times New Roman"/>
          <w:color w:val="000000" w:themeColor="text1"/>
          <w:sz w:val="16"/>
          <w:szCs w:val="16"/>
        </w:rPr>
        <w:softHyphen/>
        <w:t>ко из-за дефектов мотора довести самолет до нор</w:t>
      </w:r>
      <w:r w:rsidRPr="008127F8">
        <w:rPr>
          <w:rFonts w:ascii="Times New Roman" w:hAnsi="Times New Roman"/>
          <w:color w:val="000000" w:themeColor="text1"/>
          <w:sz w:val="16"/>
          <w:szCs w:val="16"/>
        </w:rPr>
        <w:softHyphen/>
        <w:t>мального летного состояния долго не удавалось (17500).</w:t>
      </w:r>
    </w:p>
    <w:p w14:paraId="402C2131" w14:textId="77777777" w:rsidR="003D763F" w:rsidRPr="008127F8" w:rsidRDefault="003D763F" w:rsidP="001E0A84">
      <w:pPr>
        <w:spacing w:after="0" w:line="240" w:lineRule="auto"/>
        <w:jc w:val="both"/>
        <w:rPr>
          <w:rFonts w:ascii="Times New Roman" w:hAnsi="Times New Roman"/>
          <w:color w:val="000000" w:themeColor="text1"/>
          <w:sz w:val="16"/>
          <w:szCs w:val="16"/>
        </w:rPr>
      </w:pPr>
    </w:p>
    <w:p w14:paraId="5EB90087"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1942 г. испытания ИТП (М-1) прекратили. Завод №51 должен был до 10 августа 1942 г. подготовить самолет для передачи на испытания в НИИ ВВС. Позднее распо</w:t>
      </w:r>
      <w:r w:rsidRPr="008A2E5A">
        <w:rPr>
          <w:rFonts w:ascii="Times New Roman" w:hAnsi="Times New Roman"/>
          <w:color w:val="0070C0"/>
          <w:sz w:val="16"/>
          <w:szCs w:val="16"/>
        </w:rPr>
        <w:softHyphen/>
        <w:t>ряжением 7-го ГУ НКАП срок предъявле</w:t>
      </w:r>
      <w:r w:rsidRPr="008A2E5A">
        <w:rPr>
          <w:rFonts w:ascii="Times New Roman" w:hAnsi="Times New Roman"/>
          <w:color w:val="0070C0"/>
          <w:sz w:val="16"/>
          <w:szCs w:val="16"/>
        </w:rPr>
        <w:softHyphen/>
        <w:t>ния ИТП (М-1) перенесли на октябрь.</w:t>
      </w:r>
    </w:p>
    <w:p w14:paraId="7A561448" w14:textId="77777777" w:rsidR="00836181" w:rsidRPr="008A2E5A" w:rsidRDefault="00836181" w:rsidP="008361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разобрали и перевезли на завод для установки вооружения, от</w:t>
      </w:r>
      <w:r w:rsidRPr="008A2E5A">
        <w:rPr>
          <w:rFonts w:ascii="Times New Roman" w:hAnsi="Times New Roman"/>
          <w:color w:val="0070C0"/>
          <w:sz w:val="16"/>
          <w:szCs w:val="16"/>
        </w:rPr>
        <w:softHyphen/>
        <w:t>ладки мотора, капотов и систем управле</w:t>
      </w:r>
      <w:r w:rsidRPr="008A2E5A">
        <w:rPr>
          <w:rFonts w:ascii="Times New Roman" w:hAnsi="Times New Roman"/>
          <w:color w:val="0070C0"/>
          <w:sz w:val="16"/>
          <w:szCs w:val="16"/>
        </w:rPr>
        <w:softHyphen/>
        <w:t>ния винтомоторной группы. Однако из-за дефектов мотора довести самолет до нор</w:t>
      </w:r>
      <w:r w:rsidRPr="008A2E5A">
        <w:rPr>
          <w:rFonts w:ascii="Times New Roman" w:hAnsi="Times New Roman"/>
          <w:color w:val="0070C0"/>
          <w:sz w:val="16"/>
          <w:szCs w:val="16"/>
        </w:rPr>
        <w:softHyphen/>
        <w:t>мального летного состояния долго не уда</w:t>
      </w:r>
      <w:r w:rsidRPr="008A2E5A">
        <w:rPr>
          <w:rFonts w:ascii="Times New Roman" w:hAnsi="Times New Roman"/>
          <w:color w:val="0070C0"/>
          <w:sz w:val="16"/>
          <w:szCs w:val="16"/>
        </w:rPr>
        <w:softHyphen/>
        <w:t>валось. К 22 июля 1942 г. выполнили все</w:t>
      </w:r>
      <w:r w:rsidRPr="008A2E5A">
        <w:rPr>
          <w:rFonts w:ascii="Times New Roman" w:hAnsi="Times New Roman"/>
          <w:color w:val="0070C0"/>
          <w:sz w:val="16"/>
          <w:szCs w:val="16"/>
        </w:rPr>
        <w:softHyphen/>
        <w:t>го девять полетов, а после вынужденной посадки 26 августа, когда в полете разру</w:t>
      </w:r>
      <w:r w:rsidRPr="008A2E5A">
        <w:rPr>
          <w:rFonts w:ascii="Times New Roman" w:hAnsi="Times New Roman"/>
          <w:color w:val="0070C0"/>
          <w:sz w:val="16"/>
          <w:szCs w:val="16"/>
        </w:rPr>
        <w:softHyphen/>
        <w:t>шились подшипники вала мотора, поле</w:t>
      </w:r>
      <w:r w:rsidRPr="008A2E5A">
        <w:rPr>
          <w:rFonts w:ascii="Times New Roman" w:hAnsi="Times New Roman"/>
          <w:color w:val="0070C0"/>
          <w:sz w:val="16"/>
          <w:szCs w:val="16"/>
        </w:rPr>
        <w:softHyphen/>
        <w:t>ты прекратили. Самолет в ожидании по</w:t>
      </w:r>
      <w:r w:rsidRPr="008A2E5A">
        <w:rPr>
          <w:rFonts w:ascii="Times New Roman" w:hAnsi="Times New Roman"/>
          <w:color w:val="0070C0"/>
          <w:sz w:val="16"/>
          <w:szCs w:val="16"/>
        </w:rPr>
        <w:softHyphen/>
        <w:t>ступления кондиционного мотора М-107П законсервировали. Всего к этому времени заменили три мотора (24308).</w:t>
      </w:r>
    </w:p>
    <w:p w14:paraId="5354F4CF" w14:textId="77777777" w:rsidR="00836181" w:rsidRPr="008A2E5A" w:rsidRDefault="00836181" w:rsidP="00836181">
      <w:pPr>
        <w:spacing w:after="0" w:line="240" w:lineRule="auto"/>
        <w:jc w:val="both"/>
        <w:rPr>
          <w:rFonts w:ascii="Times New Roman" w:hAnsi="Times New Roman"/>
          <w:color w:val="0070C0"/>
          <w:sz w:val="16"/>
          <w:szCs w:val="16"/>
        </w:rPr>
      </w:pPr>
    </w:p>
    <w:p w14:paraId="780234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ЦИАМ отправил 400 своих специалистов из Уфы, куда эвакуировался, в Москву (173,219).</w:t>
      </w:r>
    </w:p>
    <w:p w14:paraId="07B2B0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A9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решением ГОКО за № 11593сс 10 апреля 1942 года приказом НКАП за № 269сс и 17 апреля 1942 года приказом 5-го гл. управления за № 3с от был организован завод № 122 как завод-дублер по выпуску авиаприборов (9432).</w:t>
      </w:r>
    </w:p>
    <w:p w14:paraId="159525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C9C1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58D94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7DFA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w:t>
      </w:r>
      <w:r w:rsidRPr="008127F8">
        <w:rPr>
          <w:rFonts w:ascii="Times New Roman" w:hAnsi="Times New Roman"/>
          <w:iCs/>
          <w:color w:val="000000" w:themeColor="text1"/>
          <w:sz w:val="16"/>
          <w:szCs w:val="16"/>
        </w:rPr>
        <w:t xml:space="preserve">15 </w:t>
      </w:r>
      <w:r w:rsidRPr="008127F8">
        <w:rPr>
          <w:rFonts w:ascii="Times New Roman" w:hAnsi="Times New Roman"/>
          <w:color w:val="000000" w:themeColor="text1"/>
          <w:sz w:val="16"/>
          <w:szCs w:val="16"/>
        </w:rPr>
        <w:t xml:space="preserve">апреля </w:t>
      </w:r>
      <w:r w:rsidRPr="008127F8">
        <w:rPr>
          <w:rFonts w:ascii="Times New Roman" w:hAnsi="Times New Roman"/>
          <w:iCs/>
          <w:color w:val="000000" w:themeColor="text1"/>
          <w:sz w:val="16"/>
          <w:szCs w:val="16"/>
        </w:rPr>
        <w:t xml:space="preserve">1942 </w:t>
      </w:r>
      <w:r w:rsidRPr="008127F8">
        <w:rPr>
          <w:rFonts w:ascii="Times New Roman" w:hAnsi="Times New Roman"/>
          <w:color w:val="000000" w:themeColor="text1"/>
          <w:sz w:val="16"/>
          <w:szCs w:val="16"/>
        </w:rPr>
        <w:t>года в артиллерийский ко</w:t>
      </w:r>
      <w:r w:rsidRPr="008127F8">
        <w:rPr>
          <w:rFonts w:ascii="Times New Roman" w:hAnsi="Times New Roman"/>
          <w:color w:val="000000" w:themeColor="text1"/>
          <w:sz w:val="16"/>
          <w:szCs w:val="16"/>
        </w:rPr>
        <w:softHyphen/>
        <w:t>митет ГАУ поступили отзывы из войско</w:t>
      </w:r>
      <w:r w:rsidRPr="008127F8">
        <w:rPr>
          <w:rFonts w:ascii="Times New Roman" w:hAnsi="Times New Roman"/>
          <w:color w:val="000000" w:themeColor="text1"/>
          <w:sz w:val="16"/>
          <w:szCs w:val="16"/>
        </w:rPr>
        <w:softHyphen/>
        <w:t>вых частей на 57 мм противотанковые пуш</w:t>
      </w:r>
      <w:r w:rsidRPr="008127F8">
        <w:rPr>
          <w:rFonts w:ascii="Times New Roman" w:hAnsi="Times New Roman"/>
          <w:color w:val="000000" w:themeColor="text1"/>
          <w:sz w:val="16"/>
          <w:szCs w:val="16"/>
        </w:rPr>
        <w:softHyphen/>
        <w:t>ки, ЗИС-2 и ЗИС-30. В отношении послед</w:t>
      </w:r>
      <w:r w:rsidRPr="008127F8">
        <w:rPr>
          <w:rFonts w:ascii="Times New Roman" w:hAnsi="Times New Roman"/>
          <w:color w:val="000000" w:themeColor="text1"/>
          <w:sz w:val="16"/>
          <w:szCs w:val="16"/>
        </w:rPr>
        <w:softHyphen/>
        <w:t>ней, в частности, было сказано следующее: «Машина неустойчива, ходовая часть пере</w:t>
      </w:r>
      <w:r w:rsidRPr="008127F8">
        <w:rPr>
          <w:rFonts w:ascii="Times New Roman" w:hAnsi="Times New Roman"/>
          <w:color w:val="000000" w:themeColor="text1"/>
          <w:sz w:val="16"/>
          <w:szCs w:val="16"/>
        </w:rPr>
        <w:softHyphen/>
        <w:t>гружена, особенно задние тележки, мал за</w:t>
      </w:r>
      <w:r w:rsidRPr="008127F8">
        <w:rPr>
          <w:rFonts w:ascii="Times New Roman" w:hAnsi="Times New Roman"/>
          <w:color w:val="000000" w:themeColor="text1"/>
          <w:sz w:val="16"/>
          <w:szCs w:val="16"/>
        </w:rPr>
        <w:softHyphen/>
        <w:t>пас хода и возимый боекомплект, велики габариты, слаба защищенность моторной группы, не обеспечена связь расчета с во</w:t>
      </w:r>
      <w:r w:rsidRPr="008127F8">
        <w:rPr>
          <w:rFonts w:ascii="Times New Roman" w:hAnsi="Times New Roman"/>
          <w:color w:val="000000" w:themeColor="text1"/>
          <w:sz w:val="16"/>
          <w:szCs w:val="16"/>
        </w:rPr>
        <w:softHyphen/>
        <w:t>дителем. Стрельба часто ведется с подня</w:t>
      </w:r>
      <w:r w:rsidRPr="008127F8">
        <w:rPr>
          <w:rFonts w:ascii="Times New Roman" w:hAnsi="Times New Roman"/>
          <w:color w:val="000000" w:themeColor="text1"/>
          <w:sz w:val="16"/>
          <w:szCs w:val="16"/>
        </w:rPr>
        <w:softHyphen/>
        <w:t>тыми сошниками, так как нет времени на развертывание, при этом наблюдались слу</w:t>
      </w:r>
      <w:r w:rsidRPr="008127F8">
        <w:rPr>
          <w:rFonts w:ascii="Times New Roman" w:hAnsi="Times New Roman"/>
          <w:color w:val="000000" w:themeColor="text1"/>
          <w:sz w:val="16"/>
          <w:szCs w:val="16"/>
        </w:rPr>
        <w:softHyphen/>
        <w:t>чаи опрокидывания машин». Тем не менее, при всех недостатках ЗИС-30 воевали и ус</w:t>
      </w:r>
      <w:r w:rsidRPr="008127F8">
        <w:rPr>
          <w:rFonts w:ascii="Times New Roman" w:hAnsi="Times New Roman"/>
          <w:color w:val="000000" w:themeColor="text1"/>
          <w:sz w:val="16"/>
          <w:szCs w:val="16"/>
        </w:rPr>
        <w:softHyphen/>
        <w:t xml:space="preserve">пешно боролись с вражескими танками. Но их век оказался недолог. К лету </w:t>
      </w:r>
      <w:r w:rsidRPr="008127F8">
        <w:rPr>
          <w:rFonts w:ascii="Times New Roman" w:hAnsi="Times New Roman"/>
          <w:iCs/>
          <w:color w:val="000000" w:themeColor="text1"/>
          <w:sz w:val="16"/>
          <w:szCs w:val="16"/>
        </w:rPr>
        <w:t xml:space="preserve">1942 </w:t>
      </w:r>
      <w:r w:rsidRPr="008127F8">
        <w:rPr>
          <w:rFonts w:ascii="Times New Roman" w:hAnsi="Times New Roman"/>
          <w:color w:val="000000" w:themeColor="text1"/>
          <w:sz w:val="16"/>
          <w:szCs w:val="16"/>
        </w:rPr>
        <w:t>года в войсках практически не осталось ЗИС-30. Часть из них была потеряна в бо</w:t>
      </w:r>
      <w:r w:rsidRPr="008127F8">
        <w:rPr>
          <w:rFonts w:ascii="Times New Roman" w:hAnsi="Times New Roman"/>
          <w:color w:val="000000" w:themeColor="text1"/>
          <w:sz w:val="16"/>
          <w:szCs w:val="16"/>
        </w:rPr>
        <w:softHyphen/>
        <w:t xml:space="preserve">ях, а часть вышла из строя по причине </w:t>
      </w:r>
      <w:proofErr w:type="gramStart"/>
      <w:r w:rsidRPr="008127F8">
        <w:rPr>
          <w:rFonts w:ascii="Times New Roman" w:hAnsi="Times New Roman"/>
          <w:color w:val="000000" w:themeColor="text1"/>
          <w:sz w:val="16"/>
          <w:szCs w:val="16"/>
        </w:rPr>
        <w:t>по</w:t>
      </w:r>
      <w:r w:rsidRPr="008127F8">
        <w:rPr>
          <w:rFonts w:ascii="Times New Roman" w:hAnsi="Times New Roman"/>
          <w:color w:val="000000" w:themeColor="text1"/>
          <w:sz w:val="16"/>
          <w:szCs w:val="16"/>
        </w:rPr>
        <w:softHyphen/>
        <w:t>ломок.(</w:t>
      </w:r>
      <w:proofErr w:type="gramEnd"/>
      <w:r w:rsidRPr="008127F8">
        <w:rPr>
          <w:rFonts w:ascii="Times New Roman" w:hAnsi="Times New Roman"/>
          <w:color w:val="000000" w:themeColor="text1"/>
          <w:sz w:val="16"/>
          <w:szCs w:val="16"/>
        </w:rPr>
        <w:t>11089).</w:t>
      </w:r>
    </w:p>
    <w:p w14:paraId="12FDF06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FBBAF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 апреля 1942 г. в арткоме ГАУ накопилось большое число нелестных отзы</w:t>
      </w:r>
      <w:r w:rsidRPr="008127F8">
        <w:rPr>
          <w:rFonts w:ascii="Times New Roman" w:hAnsi="Times New Roman"/>
          <w:color w:val="000000" w:themeColor="text1"/>
          <w:sz w:val="16"/>
          <w:szCs w:val="16"/>
        </w:rPr>
        <w:softHyphen/>
        <w:t>вов из войсковых частей на 57-мм противотанковые пуш</w:t>
      </w:r>
      <w:r w:rsidRPr="008127F8">
        <w:rPr>
          <w:rFonts w:ascii="Times New Roman" w:hAnsi="Times New Roman"/>
          <w:color w:val="000000" w:themeColor="text1"/>
          <w:sz w:val="16"/>
          <w:szCs w:val="16"/>
        </w:rPr>
        <w:softHyphen/>
        <w:t>ки, ЗИС-2 и ЗИС-30. В отношении последней, в частнос</w:t>
      </w:r>
      <w:r w:rsidRPr="008127F8">
        <w:rPr>
          <w:rFonts w:ascii="Times New Roman" w:hAnsi="Times New Roman"/>
          <w:color w:val="000000" w:themeColor="text1"/>
          <w:sz w:val="16"/>
          <w:szCs w:val="16"/>
        </w:rPr>
        <w:softHyphen/>
        <w:t>ти, было сказано следующее: «Машина неустойчива, ходо</w:t>
      </w:r>
      <w:r w:rsidRPr="008127F8">
        <w:rPr>
          <w:rFonts w:ascii="Times New Roman" w:hAnsi="Times New Roman"/>
          <w:color w:val="000000" w:themeColor="text1"/>
          <w:sz w:val="16"/>
          <w:szCs w:val="16"/>
        </w:rPr>
        <w:softHyphen/>
        <w:t>вая часть перегружена, особенно задние тележки, мал запас хода и возимый боекомплект, велики габариты, слаба защи</w:t>
      </w:r>
      <w:r w:rsidRPr="008127F8">
        <w:rPr>
          <w:rFonts w:ascii="Times New Roman" w:hAnsi="Times New Roman"/>
          <w:color w:val="000000" w:themeColor="text1"/>
          <w:sz w:val="16"/>
          <w:szCs w:val="16"/>
        </w:rPr>
        <w:softHyphen/>
        <w:t>щенность моторной группы, не обеспечена связь расчета с во</w:t>
      </w:r>
      <w:r w:rsidRPr="008127F8">
        <w:rPr>
          <w:rFonts w:ascii="Times New Roman" w:hAnsi="Times New Roman"/>
          <w:color w:val="000000" w:themeColor="text1"/>
          <w:sz w:val="16"/>
          <w:szCs w:val="16"/>
        </w:rPr>
        <w:softHyphen/>
        <w:t>дителем. Стрельба часто ведется с поднятыми сошниками, так как нет времени на развертывание, при этом наблюда</w:t>
      </w:r>
      <w:r w:rsidRPr="008127F8">
        <w:rPr>
          <w:rFonts w:ascii="Times New Roman" w:hAnsi="Times New Roman"/>
          <w:color w:val="000000" w:themeColor="text1"/>
          <w:sz w:val="16"/>
          <w:szCs w:val="16"/>
        </w:rPr>
        <w:softHyphen/>
        <w:t>лись случаи опрокидывания машин. Тем не менее при всех отмеченных недостатках ЗИС-30 воевали и успешно боро</w:t>
      </w:r>
      <w:r w:rsidRPr="008127F8">
        <w:rPr>
          <w:rFonts w:ascii="Times New Roman" w:hAnsi="Times New Roman"/>
          <w:color w:val="000000" w:themeColor="text1"/>
          <w:sz w:val="16"/>
          <w:szCs w:val="16"/>
        </w:rPr>
        <w:softHyphen/>
        <w:t>лись с вражескими танками под Москвой. К лету 1942 г. ЗИС-30 практически не осталось в вой</w:t>
      </w:r>
      <w:r w:rsidRPr="008127F8">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7E3F732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E03C7"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15 апреля 1942 танк КВ-1с №10279 с КПП "группа 12–21" Ф.А. Маришкина прошел 111 километров. "Скоростным" этот КВ стал не просто так: согласно отчету об опытных работах, по шоссе танк развил скорость 40 км/ч. Правда, ехал он так недолго - происходил быстрый перегрев. Второй танк, с КПП "группа 12–21" Шашмурина, запаздывал, на испытания он вышел 21 апреля, пройдя 99 километров. Поначалу КПП "группа 21–212" показала себя не очень хорошо, но далее выбрали </w:t>
      </w:r>
      <w:r w:rsidRPr="008A2E5A">
        <w:rPr>
          <w:rFonts w:ascii="Times New Roman" w:hAnsi="Times New Roman"/>
          <w:color w:val="0070C0"/>
          <w:sz w:val="16"/>
          <w:szCs w:val="16"/>
        </w:rPr>
        <w:lastRenderedPageBreak/>
        <w:t>именно конструкцию Шашмурина. Вместе с тем, к началу июня 1942 года стало очевидно, что такой "скоростной" танк не получится. Естественно, шли работы по улучшенной системе охлаждения, также работали по новым воздухоочистителям. Но ключевая проблема оставалась - чрезмерная боевая масса. Так что постановление ГКО №1878 от 5 июня 1942 года стало логичным решением проблемы. Без облегчения машины решить проблему надежности и теплового режима было невозможно (23351).</w:t>
      </w:r>
    </w:p>
    <w:p w14:paraId="2DC3AEAE" w14:textId="77777777" w:rsidR="002848F2" w:rsidRPr="008A2E5A" w:rsidRDefault="002848F2" w:rsidP="002848F2">
      <w:pPr>
        <w:spacing w:after="0" w:line="240" w:lineRule="auto"/>
        <w:jc w:val="both"/>
        <w:rPr>
          <w:rFonts w:ascii="Times New Roman" w:hAnsi="Times New Roman"/>
          <w:color w:val="0070C0"/>
          <w:sz w:val="16"/>
          <w:szCs w:val="16"/>
        </w:rPr>
      </w:pPr>
    </w:p>
    <w:p w14:paraId="6330D96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вышло решение пленума Артиллерийского комитета ГАУ РККА о создании самоходно-артиллерийских установок для поддержки пехоты (10703)</w:t>
      </w:r>
    </w:p>
    <w:p w14:paraId="641166F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A6DE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соответствии с решением пле</w:t>
      </w:r>
      <w:r w:rsidRPr="008127F8">
        <w:rPr>
          <w:rFonts w:ascii="Times New Roman" w:hAnsi="Times New Roman"/>
          <w:color w:val="000000" w:themeColor="text1"/>
          <w:sz w:val="16"/>
          <w:szCs w:val="16"/>
        </w:rPr>
        <w:softHyphen/>
        <w:t>нума Артиллерийского комитета ГАУ РККА началась работа по созданию ЗСУ. В работе приняли участие представители от войск, промышленности и Наркомата вооружения. Пленум признал желательным наряду с созда</w:t>
      </w:r>
      <w:r w:rsidRPr="008127F8">
        <w:rPr>
          <w:rFonts w:ascii="Times New Roman" w:hAnsi="Times New Roman"/>
          <w:color w:val="000000" w:themeColor="text1"/>
          <w:sz w:val="16"/>
          <w:szCs w:val="16"/>
        </w:rPr>
        <w:softHyphen/>
        <w:t>нием САУ разработать для борьбы с авиацией противника зенитную са</w:t>
      </w:r>
      <w:r w:rsidRPr="008127F8">
        <w:rPr>
          <w:rFonts w:ascii="Times New Roman" w:hAnsi="Times New Roman"/>
          <w:color w:val="000000" w:themeColor="text1"/>
          <w:sz w:val="16"/>
          <w:szCs w:val="16"/>
        </w:rPr>
        <w:softHyphen/>
        <w:t>моходную установку с 37-мм автоматической пушкой. Выполняя реше</w:t>
      </w:r>
      <w:r w:rsidRPr="008127F8">
        <w:rPr>
          <w:rFonts w:ascii="Times New Roman" w:hAnsi="Times New Roman"/>
          <w:color w:val="000000" w:themeColor="text1"/>
          <w:sz w:val="16"/>
          <w:szCs w:val="16"/>
        </w:rPr>
        <w:softHyphen/>
        <w:t>ния этого пленума в конструкторском бюро УЗТМ весной 1942 г. был разработан проект ЗСУ на базе танка Т-60 с 37-мм автоматической зе</w:t>
      </w:r>
      <w:r w:rsidRPr="008127F8">
        <w:rPr>
          <w:rFonts w:ascii="Times New Roman" w:hAnsi="Times New Roman"/>
          <w:color w:val="000000" w:themeColor="text1"/>
          <w:sz w:val="16"/>
          <w:szCs w:val="16"/>
        </w:rPr>
        <w:softHyphen/>
        <w:t>нитной пушкой (проект У-32). Непосредственная разработка проекта У-32 была выполнена конструкторами К.Н. Ильиным и А.Н. Шляковым совместно с конструкторами завода № 37, причем установку ору</w:t>
      </w:r>
      <w:r w:rsidRPr="008127F8">
        <w:rPr>
          <w:rFonts w:ascii="Times New Roman" w:hAnsi="Times New Roman"/>
          <w:color w:val="000000" w:themeColor="text1"/>
          <w:sz w:val="16"/>
          <w:szCs w:val="16"/>
        </w:rPr>
        <w:softHyphen/>
        <w:t>дий вел УЗТМ, а базу проектировал завод № 37. Во второй половине октября 1942 г. по решению правительства разработанный проект зе</w:t>
      </w:r>
      <w:r w:rsidRPr="008127F8">
        <w:rPr>
          <w:rFonts w:ascii="Times New Roman" w:hAnsi="Times New Roman"/>
          <w:color w:val="000000" w:themeColor="text1"/>
          <w:sz w:val="16"/>
          <w:szCs w:val="16"/>
        </w:rPr>
        <w:softHyphen/>
        <w:t>нитной самоходной установки У-32 был передан в КБ завода № 38 (10703).</w:t>
      </w:r>
    </w:p>
    <w:p w14:paraId="3EA742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44793" w14:textId="77777777" w:rsidR="00F3622C" w:rsidRPr="008127F8" w:rsidRDefault="00F3622C" w:rsidP="001E0A84">
      <w:pPr>
        <w:pStyle w:val="af"/>
        <w:shd w:val="clear" w:color="auto" w:fill="FFFFFF"/>
        <w:spacing w:before="0" w:after="0"/>
        <w:jc w:val="both"/>
        <w:rPr>
          <w:iCs/>
          <w:color w:val="000000" w:themeColor="text1"/>
          <w:sz w:val="16"/>
          <w:szCs w:val="16"/>
        </w:rPr>
      </w:pPr>
      <w:r w:rsidRPr="008127F8">
        <w:rPr>
          <w:iCs/>
          <w:color w:val="000000" w:themeColor="text1"/>
          <w:sz w:val="16"/>
          <w:szCs w:val="16"/>
        </w:rPr>
        <w:t xml:space="preserve">15 апреля 1942 года состоялось заседание пленума Артиллерийского Комитета ГАУ КА, посвященное дальнейшему развитию самоходной артиллерии. Выработанные по его итогам решения стали ключевыми при разработке основных советских самоходных артиллерийских установок (САУ) военного периода. Среди прочих на заседании были утверждены требования на тяжелую самоходную установку, которая должна была стать заменой </w:t>
      </w:r>
      <w:hyperlink r:id="rId108" w:history="1">
        <w:r w:rsidRPr="008127F8">
          <w:rPr>
            <w:rStyle w:val="a6"/>
            <w:iCs/>
            <w:color w:val="000000" w:themeColor="text1"/>
            <w:sz w:val="16"/>
            <w:szCs w:val="16"/>
            <w:u w:val="none"/>
          </w:rPr>
          <w:t>«истребителю ДОТов» 212</w:t>
        </w:r>
      </w:hyperlink>
      <w:r w:rsidRPr="008127F8">
        <w:rPr>
          <w:iCs/>
          <w:color w:val="000000" w:themeColor="text1"/>
          <w:sz w:val="16"/>
          <w:szCs w:val="16"/>
        </w:rPr>
        <w:t xml:space="preserve">. САУ на базе </w:t>
      </w:r>
      <w:hyperlink r:id="rId109" w:history="1">
        <w:r w:rsidRPr="008127F8">
          <w:rPr>
            <w:rStyle w:val="a6"/>
            <w:iCs/>
            <w:color w:val="000000" w:themeColor="text1"/>
            <w:sz w:val="16"/>
            <w:szCs w:val="16"/>
            <w:u w:val="none"/>
          </w:rPr>
          <w:t>КВ-7</w:t>
        </w:r>
      </w:hyperlink>
      <w:r w:rsidRPr="008127F8">
        <w:rPr>
          <w:iCs/>
          <w:color w:val="000000" w:themeColor="text1"/>
          <w:sz w:val="16"/>
          <w:szCs w:val="16"/>
        </w:rPr>
        <w:t xml:space="preserve"> начал проектировать коллектив КБ УЗТМ во главе с Л.И. Горлицким. К осени 1942 года проект У-18 был готов, но к тому моменту у машины появился конкурент, также разработанный в Свердловске (15806).</w:t>
      </w:r>
    </w:p>
    <w:p w14:paraId="6C2A9C81" w14:textId="77777777" w:rsidR="00F3622C" w:rsidRPr="008127F8" w:rsidRDefault="00F3622C" w:rsidP="001E0A84">
      <w:pPr>
        <w:pStyle w:val="af"/>
        <w:shd w:val="clear" w:color="auto" w:fill="FFFFFF"/>
        <w:spacing w:before="0" w:after="0"/>
        <w:jc w:val="both"/>
        <w:rPr>
          <w:color w:val="000000" w:themeColor="text1"/>
          <w:sz w:val="16"/>
          <w:szCs w:val="16"/>
        </w:rPr>
      </w:pPr>
    </w:p>
    <w:p w14:paraId="39C2F35B" w14:textId="77777777" w:rsidR="00377126" w:rsidRPr="008127F8" w:rsidRDefault="00377126"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15 апреля 1942 года состоялся пленум Артиллерийского Комитета ГАУ КА, посвящённый вопросу развития самоходной артиллерии. Именно он окончательно утвердил направления, по которым в дальнейшем развивалась советская самоходная артиллерия. По вопросу тяжелой САУ было принято следующее решение:</w:t>
      </w:r>
    </w:p>
    <w:p w14:paraId="06FEB285" w14:textId="77777777" w:rsidR="00377126" w:rsidRPr="008127F8" w:rsidRDefault="00377126"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w:t>
      </w:r>
      <w:r w:rsidRPr="008127F8">
        <w:rPr>
          <w:rFonts w:ascii="Times New Roman" w:eastAsia="Times New Roman" w:hAnsi="Times New Roman"/>
          <w:iCs/>
          <w:color w:val="000000" w:themeColor="text1"/>
          <w:sz w:val="16"/>
          <w:szCs w:val="16"/>
        </w:rPr>
        <w:t>2) Истребители ДОТ-ов – 152-мм пушка «БР-2» на специальном шасси из агрегатов танка «КВ».</w:t>
      </w:r>
    </w:p>
    <w:p w14:paraId="74133E3A" w14:textId="77777777" w:rsidR="00377126" w:rsidRPr="008127F8" w:rsidRDefault="00377126"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iCs/>
          <w:color w:val="000000" w:themeColor="text1"/>
          <w:sz w:val="16"/>
          <w:szCs w:val="16"/>
        </w:rPr>
        <w:t>Работу поручить Кировскому заводу (НКТП) с привлечением завода №221 (НКВ). В виду того, что получение шасси на этот самоход сопряжено с большими трудностями, считать целесообразным ограничиться в ближайшее время получением проекта этого самохода.</w:t>
      </w:r>
    </w:p>
    <w:p w14:paraId="214733D4" w14:textId="77777777" w:rsidR="00377126" w:rsidRPr="008127F8" w:rsidRDefault="00377126" w:rsidP="001E0A84">
      <w:pPr>
        <w:shd w:val="clear" w:color="auto" w:fill="FFFFFF"/>
        <w:spacing w:after="0" w:line="240" w:lineRule="auto"/>
        <w:jc w:val="both"/>
        <w:rPr>
          <w:rFonts w:ascii="Times New Roman" w:eastAsia="Times New Roman" w:hAnsi="Times New Roman"/>
          <w:iCs/>
          <w:color w:val="000000" w:themeColor="text1"/>
          <w:sz w:val="16"/>
          <w:szCs w:val="16"/>
        </w:rPr>
      </w:pPr>
      <w:r w:rsidRPr="008127F8">
        <w:rPr>
          <w:rFonts w:ascii="Times New Roman" w:eastAsia="Times New Roman" w:hAnsi="Times New Roman"/>
          <w:iCs/>
          <w:color w:val="000000" w:themeColor="text1"/>
          <w:sz w:val="16"/>
          <w:szCs w:val="16"/>
        </w:rPr>
        <w:t>Временно ограничиться установкой 152-мм пушки-гаубицы обр. 1937 года в корпусе танка «КВ-7». Работу поручить Кировскому заводу (НКТП) и заводу №172 (НКВ)» (15838).</w:t>
      </w:r>
    </w:p>
    <w:p w14:paraId="439C1020" w14:textId="77777777" w:rsidR="00377126" w:rsidRPr="008127F8" w:rsidRDefault="00377126" w:rsidP="001E0A84">
      <w:pPr>
        <w:shd w:val="clear" w:color="auto" w:fill="FFFFFF"/>
        <w:spacing w:after="0" w:line="240" w:lineRule="auto"/>
        <w:jc w:val="both"/>
        <w:rPr>
          <w:rFonts w:ascii="Times New Roman" w:eastAsia="Times New Roman" w:hAnsi="Times New Roman"/>
          <w:color w:val="000000" w:themeColor="text1"/>
          <w:sz w:val="16"/>
          <w:szCs w:val="16"/>
        </w:rPr>
      </w:pPr>
    </w:p>
    <w:p w14:paraId="552379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состоялся пленум Артил</w:t>
      </w:r>
      <w:r w:rsidRPr="008127F8">
        <w:rPr>
          <w:rFonts w:ascii="Times New Roman" w:hAnsi="Times New Roman"/>
          <w:color w:val="000000" w:themeColor="text1"/>
          <w:sz w:val="16"/>
          <w:szCs w:val="16"/>
        </w:rPr>
        <w:softHyphen/>
        <w:t>лерийского комитета ГАУ РККА, на котором помимо предложения о создании самоходно-артиллерийских установок поддержки пехоты, во</w:t>
      </w:r>
      <w:r w:rsidRPr="008127F8">
        <w:rPr>
          <w:rFonts w:ascii="Times New Roman" w:hAnsi="Times New Roman"/>
          <w:color w:val="000000" w:themeColor="text1"/>
          <w:sz w:val="16"/>
          <w:szCs w:val="16"/>
        </w:rPr>
        <w:softHyphen/>
        <w:t>оруженных 76,2-мм пушкой ЗИС-3 и 122-мм гаубицей обр. 1938 г., бы</w:t>
      </w:r>
      <w:r w:rsidRPr="008127F8">
        <w:rPr>
          <w:rFonts w:ascii="Times New Roman" w:hAnsi="Times New Roman"/>
          <w:color w:val="000000" w:themeColor="text1"/>
          <w:sz w:val="16"/>
          <w:szCs w:val="16"/>
        </w:rPr>
        <w:softHyphen/>
        <w:t>ло признано необходимым и создание тяжелых самоходных истребите</w:t>
      </w:r>
      <w:r w:rsidRPr="008127F8">
        <w:rPr>
          <w:rFonts w:ascii="Times New Roman" w:hAnsi="Times New Roman"/>
          <w:color w:val="000000" w:themeColor="text1"/>
          <w:sz w:val="16"/>
          <w:szCs w:val="16"/>
        </w:rPr>
        <w:softHyphen/>
        <w:t>лей ДОТов. Эти машины предполагалось вооружить 152,4-мм пушкой-гаубицей обр. 1937 г., и использовать для прорыва обороны противника в наступательных операциях, которые командование Красной Армии планировало провести в 1942 - 1943 гг. Разработка тяжелых САУ - истребителей ДОТов была поручена ЧКЗ, для чего в конструкторском бюро завода была создана специаль</w:t>
      </w:r>
      <w:r w:rsidRPr="008127F8">
        <w:rPr>
          <w:rFonts w:ascii="Times New Roman" w:hAnsi="Times New Roman"/>
          <w:color w:val="000000" w:themeColor="text1"/>
          <w:sz w:val="16"/>
          <w:szCs w:val="16"/>
        </w:rPr>
        <w:softHyphen/>
        <w:t>ная конструкторская группа, в состав которой приказом НКТП от 13 ноября 1942 г. были включены конструкторы Н.В. Курин, Г.Н. Рыбин, К.Н. Ильин, и В.А. Вишняков, переведенные с УЗТМ. Задание на разработку тяжелой самоходной установки на базе танка КВ-1С, вооруженной 152,4-мм пушкой-гаубицей МЛ-20С, было дано ЧКЗ по инициативе начальника ГБТУ генерал-лейтенанта Я.Н. Федоренко и наркома вооружения Д.Ф. Устинова. Ведущим конструктором проекта был назначен Л.С. Троянов, в помощь ему были привлечены конструкторы Г.Н. Москвин, Г.Н. Рыбин и К.Н. Ильин (10703).</w:t>
      </w:r>
    </w:p>
    <w:p w14:paraId="4D02008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84DC1"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15 апреля 1942 года было подписано постановление пленума Артиллерийского Комитета ГАУ КА, посвященного самоходной артиллерии. Согласно постановлению, в работу запускалась легкая штурмовая САУ, базой для которой служило шасси из агрегатов Т-70. Вооружение предполагалось в виде 76-мм дивизионной пушки ЗИС-3, либо 76-мм дивизионной пушки УСВ. Работа по шасси поручалась заводу №37 НКТП, к тому моменту находившемуся в Свердловске. Также на том же шасси предполагалось установить 37-мм зенитную автоматическую пушку 61-К и 25-мм автоматическую зенитную пушку 72-К. НКТП (Наркомат Танковой Промышленности) данные работы подтвердил, но при этом была оговорка про шасси танков Т-60 и Т-70. Собственно говоря, уже на этом моменте в НКТП отчасти признали простой факт - разработка шла на двух типах шасси. Как нелепо это не прозвучит, но началось борьба между Т-60 и Т-70. Причины прозаичны: завод №37 НКТП выпускал Т-60, причем смог отстоять их производство. Поэтому и шасси на агрегатах Т-60 для него считалось приоритетным. Это, впрочем, не снимало с повестки дня шасси на базе Т-70, которым всё же пришлось заниматься.</w:t>
      </w:r>
    </w:p>
    <w:p w14:paraId="00DBBD15"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Одним из идеологов создания самоходных артиллерийских установок на заводе №37 выступал Г.С. Суренян, активно продвигавший подобные машины еще с лета 1941 года. Сначала на базе Т-40, затем было предложение создавать аналогичные машины на базе Т-60. Правда, Суренян планировал использовать готовые шасси, что делало проекты не особо перспективными. Поэтому даже вариант на базе Т-70, который стал формироваться в мае 1942 года, не являлся простой адаптацией танка под более мощное вооружение. Шасси "32", ведущим инженером которого стал Н.Н. Ефимов (инженер-конструктор отдела 030), сохраняло от Т-70 агрегатную базу, а также общую ширину. В последнем случае сразу же получался минус по сравнению с шасси "31", поскольку оно получалось заведомо шире, а значит и объем боевого отделения больше. С другой же стороны, для шасси "31" требовалось делать заново торсионные валы, это осложняло освоение машины в серии. Впрочем, на опытном образце предполагалось использовать базу Т-60 с удлинёнными торсионными валами, поскольку завод №37 базу Т-70 еще не начинал осваивать (21099).</w:t>
      </w:r>
    </w:p>
    <w:p w14:paraId="08F18B8D" w14:textId="77777777" w:rsidR="009F56D6" w:rsidRPr="008127F8" w:rsidRDefault="009F56D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DB36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пленум артиллерийского комитета Главного артиллерийского управления (ГАУ) высказался за создание СУ поддержки пехоты, вооруженных 76-мм пушкой ЗИС-3 и 122-мм гаубицей М-30 образца 1938 г. ГКО одобрил это решение (3905).</w:t>
      </w:r>
    </w:p>
    <w:p w14:paraId="54B65A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A09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состоялся пленум Артиллерийского комитета ГАУ. Пленум, в работе которого принимали участие представители войск, НКТП и НКВ. признал желательным создание САУ поддержки пехоты, вооруженных 76-мм пушкои ЗИС-3 и 122-мм гаубицей обр. 1938, а также самоходпых истребителей ДОТов, вооруженных 152 мм гаубицей-пушкой обр. 1937, т.е. созданию гакои системы аргиллерийского вооружения, которая обеспечила бы поддержку и сопровождение наступающей пехоты и танкон огнем орудий, способпых в любых условиях боя и во все его периоды следовать в боевых порядках войск и непрерывно вести эффективный огонь (6001,20).</w:t>
      </w:r>
    </w:p>
    <w:p w14:paraId="6619FD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BF9C0"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состоялся пленум Артиллерийского комитета Главного артиллерийского управления с участием представителей от промышленности и войск, а также Народного комиссариата вооружения, который признал желательным создание самоходно-артиллерийсних установок поддержки пехоты, вооруженных 76-мм пушной ЗИС-30 и 122-мм гаубицей М-30, а также самоходных истребителей дотов, вооруженных 152-мм пушкой-гаубицей МЛ-20. Для борьбы с воздушными целями предлагалось сконструировать 37-мм зенитную самоходную автоматическую пушку. В основном решение пленума сводилось к созданию такой системы артиллерийского вооружения, которая обеспечивала бы поддержку и сопровождение наступающей пехоты и танков огнем орудий, способных следовать в боевых порядках войск и непрерывно вести эффективный огонь. Решение пленума было одобрено Государственным Комитетом Обороны (9636).</w:t>
      </w:r>
    </w:p>
    <w:p w14:paraId="4818E9A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7EC8A0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состоялся пленум Артиллерийского комитета ГАУ РККА, на котором, помимо предложения о создании самоходно-артиллерийских установок поддержки пехоты, вооруженных 76-мм пушкой ЗИС-3 и 122-мм гаубицей обр.1938 г., было признано необходимым и создание тяжелых самоходных истребителей дотов. Эти машины предполагалось вооружить 152-мм пушкой-гаубицей обр. 1937 г. и использовать для прорыва обороны противника в наступательных операциях, которые командование Красной Армии планировало провести в 1942 — 1943 годах. Решение пленума Артиллерийского комитета ГАУ одобрил Государственный Комитет обороны, и в июне 1942 года НКТП совместно с НКВ разработали «Систему самоходной артиллерии для вооружения Красной Армии». При этом НКВ был ответственным за изготовление артиллерийской части САУ, а НКТП занимался проектированием шасси (11638).</w:t>
      </w:r>
    </w:p>
    <w:p w14:paraId="71C72F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6165E" w14:textId="77777777" w:rsidR="00F76B33" w:rsidRPr="008127F8" w:rsidRDefault="00F76B33" w:rsidP="001E0A84">
      <w:pPr>
        <w:pStyle w:val="a4"/>
        <w:rPr>
          <w:color w:val="000000" w:themeColor="text1"/>
          <w:lang w:val="ru-RU"/>
        </w:rPr>
      </w:pPr>
      <w:r w:rsidRPr="008127F8">
        <w:rPr>
          <w:color w:val="000000" w:themeColor="text1"/>
          <w:lang w:val="ru-RU"/>
        </w:rPr>
        <w:t>15 апреля 1942 года состоялся пленум Артиллерийского комите</w:t>
      </w:r>
      <w:r w:rsidRPr="008127F8">
        <w:rPr>
          <w:color w:val="000000" w:themeColor="text1"/>
          <w:lang w:val="ru-RU"/>
        </w:rPr>
        <w:softHyphen/>
        <w:t>та ГАУ КА, посвященный вопросу развития самоходной артиллерии. На нем, помимо членов Артиллерийского комитета, присутствовал С.А. Гинзбург, представлявший НКТП и курировавший вопросы са</w:t>
      </w:r>
      <w:r w:rsidRPr="008127F8">
        <w:rPr>
          <w:color w:val="000000" w:themeColor="text1"/>
          <w:lang w:val="ru-RU"/>
        </w:rPr>
        <w:softHyphen/>
        <w:t>моходной артиллерии. Пленум постановил:</w:t>
      </w:r>
    </w:p>
    <w:p w14:paraId="4474D09E"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Подтвердить правильность требований Артиллерийского Комитета ГАУ Красной Армии о необходимости иметь в системе вооружения Красной Армии следующие типы пушечных самоходных установок:</w:t>
      </w:r>
    </w:p>
    <w:p w14:paraId="50740747" w14:textId="77777777" w:rsidR="00F76B33" w:rsidRPr="008127F8" w:rsidRDefault="00F76B33" w:rsidP="001E0A84">
      <w:pPr>
        <w:pStyle w:val="Bodytext141"/>
        <w:shd w:val="clear" w:color="auto" w:fill="auto"/>
        <w:tabs>
          <w:tab w:val="left" w:pos="3850"/>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1) Самоходные орудия истребления </w:t>
      </w:r>
      <w:proofErr w:type="gramStart"/>
      <w:r w:rsidRPr="008127F8">
        <w:rPr>
          <w:rStyle w:val="Bodytext145"/>
          <w:i w:val="0"/>
          <w:iCs w:val="0"/>
          <w:color w:val="000000" w:themeColor="text1"/>
          <w:sz w:val="16"/>
          <w:szCs w:val="16"/>
        </w:rPr>
        <w:t>ДОТ-ов</w:t>
      </w:r>
      <w:proofErr w:type="gramEnd"/>
      <w:r w:rsidRPr="008127F8">
        <w:rPr>
          <w:rStyle w:val="Bodytext145"/>
          <w:i w:val="0"/>
          <w:iCs w:val="0"/>
          <w:color w:val="000000" w:themeColor="text1"/>
          <w:sz w:val="16"/>
          <w:szCs w:val="16"/>
        </w:rPr>
        <w:t>;</w:t>
      </w:r>
    </w:p>
    <w:p w14:paraId="0E4817D9" w14:textId="77777777" w:rsidR="00F76B33" w:rsidRPr="008127F8" w:rsidRDefault="00F76B33" w:rsidP="001E0A84">
      <w:pPr>
        <w:pStyle w:val="Bodytext141"/>
        <w:shd w:val="clear" w:color="auto" w:fill="auto"/>
        <w:tabs>
          <w:tab w:val="left" w:pos="3874"/>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2) Самоходные орудия истребления танков;</w:t>
      </w:r>
    </w:p>
    <w:p w14:paraId="7EC78644" w14:textId="77777777" w:rsidR="00F76B33" w:rsidRPr="008127F8" w:rsidRDefault="00F76B33" w:rsidP="001E0A84">
      <w:pPr>
        <w:pStyle w:val="Bodytext141"/>
        <w:shd w:val="clear" w:color="auto" w:fill="auto"/>
        <w:tabs>
          <w:tab w:val="left" w:pos="3865"/>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3) Штурмовые самоходные орудия поддержки моторизованной пехоты;</w:t>
      </w:r>
    </w:p>
    <w:p w14:paraId="4776E5E0" w14:textId="77777777" w:rsidR="00F76B33" w:rsidRPr="008127F8" w:rsidRDefault="00F76B33" w:rsidP="001E0A84">
      <w:pPr>
        <w:pStyle w:val="Bodytext141"/>
        <w:shd w:val="clear" w:color="auto" w:fill="auto"/>
        <w:tabs>
          <w:tab w:val="left" w:pos="3870"/>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4) Самоходные зенитные установки сопровождения танковых и мото</w:t>
      </w:r>
      <w:r w:rsidRPr="008127F8">
        <w:rPr>
          <w:rStyle w:val="Bodytext145"/>
          <w:i w:val="0"/>
          <w:iCs w:val="0"/>
          <w:color w:val="000000" w:themeColor="text1"/>
          <w:sz w:val="16"/>
          <w:szCs w:val="16"/>
        </w:rPr>
        <w:softHyphen/>
        <w:t>ризованных войск.</w:t>
      </w:r>
    </w:p>
    <w:p w14:paraId="375D8FED" w14:textId="77777777" w:rsidR="00F76B33" w:rsidRPr="008127F8" w:rsidRDefault="00F76B33" w:rsidP="001E0A84">
      <w:pPr>
        <w:pStyle w:val="Bodytext141"/>
        <w:shd w:val="clear" w:color="auto" w:fill="auto"/>
        <w:tabs>
          <w:tab w:val="left" w:pos="3855"/>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lastRenderedPageBreak/>
        <w:t>2. Считать необходимым дополнить систему вооружения Красной Ар</w:t>
      </w:r>
      <w:r w:rsidRPr="008127F8">
        <w:rPr>
          <w:rStyle w:val="Bodytext145"/>
          <w:i w:val="0"/>
          <w:iCs w:val="0"/>
          <w:color w:val="000000" w:themeColor="text1"/>
          <w:sz w:val="16"/>
          <w:szCs w:val="16"/>
        </w:rPr>
        <w:softHyphen/>
        <w:t>мии типом гаубичной самоходной установки для борьбы с ДЗОТами и со скоплениями живой силы противника.</w:t>
      </w:r>
    </w:p>
    <w:p w14:paraId="1B6750DD" w14:textId="77777777" w:rsidR="00F76B33" w:rsidRPr="008127F8" w:rsidRDefault="00F76B33" w:rsidP="001E0A84">
      <w:pPr>
        <w:pStyle w:val="Bodytext141"/>
        <w:shd w:val="clear" w:color="auto" w:fill="auto"/>
        <w:tabs>
          <w:tab w:val="left" w:pos="3846"/>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3. Считать необходимым выдать заводам задание на изготовление сле</w:t>
      </w:r>
      <w:r w:rsidRPr="008127F8">
        <w:rPr>
          <w:rStyle w:val="Bodytext145"/>
          <w:i w:val="0"/>
          <w:iCs w:val="0"/>
          <w:color w:val="000000" w:themeColor="text1"/>
          <w:sz w:val="16"/>
          <w:szCs w:val="16"/>
        </w:rPr>
        <w:softHyphen/>
        <w:t>дующих образцов самоходных установок:</w:t>
      </w:r>
    </w:p>
    <w:p w14:paraId="6595F8FD" w14:textId="77777777" w:rsidR="00F76B33" w:rsidRPr="008127F8" w:rsidRDefault="00F76B33" w:rsidP="001E0A84">
      <w:pPr>
        <w:pStyle w:val="Bodytext141"/>
        <w:shd w:val="clear" w:color="auto" w:fill="auto"/>
        <w:tabs>
          <w:tab w:val="left" w:pos="4161"/>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1) штурмовые самоходные орудия:</w:t>
      </w:r>
    </w:p>
    <w:p w14:paraId="457DDF6C" w14:textId="77777777" w:rsidR="00F76B33" w:rsidRPr="008127F8" w:rsidRDefault="00F76B33" w:rsidP="001E0A84">
      <w:pPr>
        <w:pStyle w:val="Bodytext141"/>
        <w:shd w:val="clear" w:color="auto" w:fill="auto"/>
        <w:tabs>
          <w:tab w:val="left" w:pos="4209"/>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а) 76-мм дивизионная пушка «УСВ» или «ЗИС-З» на универсальном шасси из агрегатов танка «Т- 70».</w:t>
      </w:r>
    </w:p>
    <w:p w14:paraId="08F10017"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Работу поручить заводу №37(НКТП) с привлечением завода №92 (Н </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p>
    <w:p w14:paraId="209D1B45" w14:textId="77777777" w:rsidR="00F76B33" w:rsidRPr="008127F8" w:rsidRDefault="00F76B33" w:rsidP="001E0A84">
      <w:pPr>
        <w:pStyle w:val="Bodytext141"/>
        <w:shd w:val="clear" w:color="auto" w:fill="auto"/>
        <w:tabs>
          <w:tab w:val="left" w:pos="4204"/>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б) 122мм гаубица М-30обр. 1938года на шасси танка «Т-34».</w:t>
      </w:r>
    </w:p>
    <w:p w14:paraId="462BE049"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Работу поручить заводу №183 (НКТП) и заводу №8 (Н</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p>
    <w:p w14:paraId="1C482F88" w14:textId="77777777" w:rsidR="00F76B33" w:rsidRPr="008127F8" w:rsidRDefault="00F76B33" w:rsidP="001E0A84">
      <w:pPr>
        <w:pStyle w:val="Bodytext141"/>
        <w:shd w:val="clear" w:color="auto" w:fill="auto"/>
        <w:tabs>
          <w:tab w:val="left" w:pos="4233"/>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 xml:space="preserve">2) Истребители </w:t>
      </w:r>
      <w:proofErr w:type="gramStart"/>
      <w:r w:rsidRPr="008127F8">
        <w:rPr>
          <w:rStyle w:val="Bodytext145"/>
          <w:i w:val="0"/>
          <w:iCs w:val="0"/>
          <w:color w:val="000000" w:themeColor="text1"/>
          <w:sz w:val="16"/>
          <w:szCs w:val="16"/>
        </w:rPr>
        <w:t>ДОТ-ов</w:t>
      </w:r>
      <w:proofErr w:type="gramEnd"/>
      <w:r w:rsidRPr="008127F8">
        <w:rPr>
          <w:rStyle w:val="Bodytext145"/>
          <w:i w:val="0"/>
          <w:iCs w:val="0"/>
          <w:color w:val="000000" w:themeColor="text1"/>
          <w:sz w:val="16"/>
          <w:szCs w:val="16"/>
        </w:rPr>
        <w:t xml:space="preserve"> — 152 мм пушка «БР-2» на специальном шасси из агрегатов танка «КВ».</w:t>
      </w:r>
    </w:p>
    <w:p w14:paraId="1854342C"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Работу поручить Кировскому заводу (НКТП) с привлечением завода №221 (НКВ). В виду того, что получение шасси на этот самоход сопряжено с большими трудностями, считать целесооб</w:t>
      </w:r>
      <w:r w:rsidRPr="008127F8">
        <w:rPr>
          <w:rStyle w:val="Bodytext145"/>
          <w:i w:val="0"/>
          <w:iCs w:val="0"/>
          <w:color w:val="000000" w:themeColor="text1"/>
          <w:sz w:val="16"/>
          <w:szCs w:val="16"/>
        </w:rPr>
        <w:softHyphen/>
        <w:t>разным ограничиться в ближайшее время получением проекта этого самохода.</w:t>
      </w:r>
    </w:p>
    <w:p w14:paraId="71624590"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Временно ограничиться установкой 152мм пушки-гаубицы обр. 1937года в корпусе танка «КВ-7». Работу поручить Кировскому заводу (НКТП) и заводу №172 (НКВ).</w:t>
      </w:r>
    </w:p>
    <w:p w14:paraId="62138D63" w14:textId="77777777" w:rsidR="00F76B33" w:rsidRPr="008127F8" w:rsidRDefault="00F76B33" w:rsidP="001E0A84">
      <w:pPr>
        <w:pStyle w:val="Bodytext141"/>
        <w:shd w:val="clear" w:color="auto" w:fill="auto"/>
        <w:tabs>
          <w:tab w:val="left" w:pos="4194"/>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3) Самоходные зенитные установки:</w:t>
      </w:r>
    </w:p>
    <w:p w14:paraId="2323F458" w14:textId="77777777" w:rsidR="00F76B33" w:rsidRPr="008127F8" w:rsidRDefault="00F76B33" w:rsidP="001E0A84">
      <w:pPr>
        <w:pStyle w:val="af"/>
        <w:spacing w:before="0" w:after="0"/>
        <w:jc w:val="both"/>
        <w:rPr>
          <w:color w:val="000000" w:themeColor="text1"/>
          <w:sz w:val="16"/>
          <w:szCs w:val="16"/>
        </w:rPr>
      </w:pPr>
      <w:r w:rsidRPr="008127F8">
        <w:rPr>
          <w:rStyle w:val="Bodytext145"/>
          <w:color w:val="000000" w:themeColor="text1"/>
          <w:sz w:val="16"/>
          <w:szCs w:val="16"/>
        </w:rPr>
        <w:t>а) установка 37 мм автоматической зенитной пушки обр. 1939 года на универсальном шасси из агрегатов танка «Т- 70».</w:t>
      </w:r>
    </w:p>
    <w:p w14:paraId="3561A498"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Работу поручить заводу №37 (НКТП) с привлечением завода №4 (Н</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w:t>
      </w:r>
    </w:p>
    <w:p w14:paraId="7DF41FC6"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б) установка 25мм автоматической зенитной пушки обр. 1940года на том же универсальном шасси.</w:t>
      </w:r>
    </w:p>
    <w:p w14:paraId="1973F6DA"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Работу поручить заводу №3 7с привлечением завода №172 (НКВ) (бюро тов. Локтева).</w:t>
      </w:r>
    </w:p>
    <w:p w14:paraId="10D1CFDB" w14:textId="77777777" w:rsidR="00F76B33" w:rsidRPr="008127F8" w:rsidRDefault="00F76B33" w:rsidP="001E0A84">
      <w:pPr>
        <w:pStyle w:val="Bodytext141"/>
        <w:shd w:val="clear" w:color="auto" w:fill="auto"/>
        <w:tabs>
          <w:tab w:val="left" w:pos="1398"/>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4. Вследствие отсутствия возможностей быстрого получения спе</w:t>
      </w:r>
      <w:r w:rsidRPr="008127F8">
        <w:rPr>
          <w:rStyle w:val="Bodytext145"/>
          <w:i w:val="0"/>
          <w:iCs w:val="0"/>
          <w:color w:val="000000" w:themeColor="text1"/>
          <w:sz w:val="16"/>
          <w:szCs w:val="16"/>
        </w:rPr>
        <w:softHyphen/>
        <w:t>циального шасси из агрегатов танка «Т-34» под артиллерийскую 85 мм установку с круговым обстрелом, именуемую истребителем танков, дальнейшую работу над этой установкой прекратить.</w:t>
      </w:r>
    </w:p>
    <w:p w14:paraId="5C1FC30C" w14:textId="77777777" w:rsidR="00F76B33" w:rsidRPr="008127F8" w:rsidRDefault="00F76B33" w:rsidP="001E0A84">
      <w:pPr>
        <w:pStyle w:val="Bodytext141"/>
        <w:shd w:val="clear" w:color="auto" w:fill="auto"/>
        <w:tabs>
          <w:tab w:val="left" w:pos="1398"/>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5. В целях ускорения изготовления образцов самоходных установок, согласно пункта 3 настоящего постановления, просить Народного Комиссара Танковой Промышленности тов. Малышева и Народно</w:t>
      </w:r>
      <w:r w:rsidRPr="008127F8">
        <w:rPr>
          <w:rStyle w:val="Bodytext145"/>
          <w:i w:val="0"/>
          <w:iCs w:val="0"/>
          <w:color w:val="000000" w:themeColor="text1"/>
          <w:sz w:val="16"/>
          <w:szCs w:val="16"/>
        </w:rPr>
        <w:softHyphen/>
        <w:t>го Комиссара Вооружений тов. Устинова об отдаче соответству</w:t>
      </w:r>
      <w:r w:rsidRPr="008127F8">
        <w:rPr>
          <w:rStyle w:val="Bodytext145"/>
          <w:i w:val="0"/>
          <w:iCs w:val="0"/>
          <w:color w:val="000000" w:themeColor="text1"/>
          <w:sz w:val="16"/>
          <w:szCs w:val="16"/>
        </w:rPr>
        <w:softHyphen/>
        <w:t>ющих распоряжений директорам вышеуказанных заводов о срочном заключении договоров с ГАУ Красной Армии.</w:t>
      </w:r>
    </w:p>
    <w:p w14:paraId="498A8FEE" w14:textId="77777777" w:rsidR="00F76B33" w:rsidRPr="008127F8" w:rsidRDefault="00F76B33" w:rsidP="001E0A84">
      <w:pPr>
        <w:pStyle w:val="Bodytext141"/>
        <w:shd w:val="clear" w:color="auto" w:fill="auto"/>
        <w:tabs>
          <w:tab w:val="left" w:pos="1370"/>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6. В целях увеличения парка самоходной артиллерии считать рацио</w:t>
      </w:r>
      <w:r w:rsidRPr="008127F8">
        <w:rPr>
          <w:rStyle w:val="Bodytext145"/>
          <w:i w:val="0"/>
          <w:iCs w:val="0"/>
          <w:color w:val="000000" w:themeColor="text1"/>
          <w:sz w:val="16"/>
          <w:szCs w:val="16"/>
        </w:rPr>
        <w:softHyphen/>
        <w:t>нальным использование трофейных машин для переоборудования их под самоходные артиллерийские установки с установкой отече</w:t>
      </w:r>
      <w:r w:rsidRPr="008127F8">
        <w:rPr>
          <w:rStyle w:val="Bodytext145"/>
          <w:i w:val="0"/>
          <w:iCs w:val="0"/>
          <w:color w:val="000000" w:themeColor="text1"/>
          <w:sz w:val="16"/>
          <w:szCs w:val="16"/>
        </w:rPr>
        <w:softHyphen/>
        <w:t>ственных образцов вооружения» (17484).</w:t>
      </w:r>
    </w:p>
    <w:p w14:paraId="63C07EDE" w14:textId="77777777" w:rsidR="00F76B33" w:rsidRPr="008127F8" w:rsidRDefault="00F76B33" w:rsidP="001E0A84">
      <w:pPr>
        <w:pStyle w:val="af"/>
        <w:spacing w:before="0" w:after="0"/>
        <w:jc w:val="both"/>
        <w:rPr>
          <w:color w:val="000000" w:themeColor="text1"/>
          <w:sz w:val="16"/>
          <w:szCs w:val="16"/>
        </w:rPr>
      </w:pPr>
    </w:p>
    <w:p w14:paraId="6ACFE995"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15 апреля 1942 года состоялся пленум Артиллерийского Комитета ГАУ КА, посвящённый вопросу развития самоходной артиллерии. Именно он окончательно утвердил направления, по которым в дальнейшем развивалась советская самоходная артиллерия. По вопросу тяжелой САУ было принято следующее решение:</w:t>
      </w:r>
    </w:p>
    <w:p w14:paraId="4540D84A"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r w:rsidRPr="008127F8">
        <w:rPr>
          <w:rFonts w:ascii="Times New Roman" w:eastAsia="Times New Roman" w:hAnsi="Times New Roman"/>
          <w:iCs/>
          <w:color w:val="000000" w:themeColor="text1"/>
          <w:sz w:val="16"/>
          <w:szCs w:val="16"/>
          <w:lang w:eastAsia="ru-RU"/>
        </w:rPr>
        <w:t>2) Истребители ДОТ-ов – 152-мм пушка «БР-2» на специальном шасси из агрегатов танка «КВ».</w:t>
      </w:r>
    </w:p>
    <w:p w14:paraId="63B65CBB"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Работу поручить Кировскому заводу (НКТП) с привлечением завода №221 (НКВ). В виду того, что получение шасси на этот самоход сопряжено с большими трудностями, считать целесообразным ограничиться в ближайшее время получением проекта этого самохода.</w:t>
      </w:r>
    </w:p>
    <w:p w14:paraId="66106792"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Временно ограничиться установкой 152-мм пушки-гаубицы обр. 1937 года в корпусе танка «КВ-7». Работу поручить Кировскому заводу (НКТП) и заводу №172 (НКВ)».</w:t>
      </w:r>
    </w:p>
    <w:p w14:paraId="1E622CA0"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Вскоре вместо завода №172 НКВ работы по орудийной части были возложены на УЗТМ. Таким образом, сотрудничество по теме КВ-7 между Уралмашем и ЧКЗ продолжилось. Тема, которую в Свердловске прорабатывали ещё с начала 1942 года, получила заводской индекс У-18. Как и в случае с установками У-13 и У-14, руководил разработкой установки МЛ-20 в КВ-7 Л. И. Горлицкий (17647).</w:t>
      </w:r>
    </w:p>
    <w:p w14:paraId="3756AEC6"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7BA1B2"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15 апреля 1942 года состоялось заседание пленума Артиллерийского Комитета ГАУ КА, посвящённое дальнейшему развитию самоходной артиллерии. Выработанные по его итогам решения стали ключевыми при разработке основных советских самоходных артиллерийских установок (САУ) военного периода. Среди прочих на заседании были утверждены требования на тяжёлую самоходную установку, которая должна была стать заменой истребителю ДОТов 212. САУ на базе КВ-7 начал проектировать коллектив КБ УЗТМ во главе с Л. И. Горлицким. К осени 1942 года проект У-18 был готов, но к тому моменту у машины появился конкурент, также разработанный в Свердловске (17648).</w:t>
      </w:r>
    </w:p>
    <w:p w14:paraId="08F6F33F"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4DE799A"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15 апреля 1942 года состоялся Пленум Артиллерийского комитета ГАУ КА, который окончательно утвердил направления развития советской самоходной артиллерии. Несмотря на </w:t>
      </w:r>
      <w:proofErr w:type="gramStart"/>
      <w:r w:rsidRPr="008127F8">
        <w:rPr>
          <w:rFonts w:ascii="Times New Roman" w:eastAsia="Times New Roman" w:hAnsi="Times New Roman"/>
          <w:color w:val="000000" w:themeColor="text1"/>
          <w:sz w:val="16"/>
          <w:szCs w:val="16"/>
          <w:lang w:eastAsia="ru-RU"/>
        </w:rPr>
        <w:t>то</w:t>
      </w:r>
      <w:proofErr w:type="gramEnd"/>
      <w:r w:rsidRPr="008127F8">
        <w:rPr>
          <w:rFonts w:ascii="Times New Roman" w:eastAsia="Times New Roman" w:hAnsi="Times New Roman"/>
          <w:color w:val="000000" w:themeColor="text1"/>
          <w:sz w:val="16"/>
          <w:szCs w:val="16"/>
          <w:lang w:eastAsia="ru-RU"/>
        </w:rPr>
        <w:t xml:space="preserve"> что в планах пока ещё значился истребитель танков на базе Т-34 с 85-мм пушкой, в дальнейшем развитие пошло по совсем иному сценарию. Было принято решение эту тему закрыть, а вместо неё развивать концепцию средней штурмовой САУ на базе Т-34. А на ближайшее время планировался запуск в производство самоходной установки на шасси StuG III, обозначение которой поменялось на СГ-122.</w:t>
      </w:r>
    </w:p>
    <w:p w14:paraId="65EBC7E2"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Требование Пленума Артиллерийского Комитета ГАУ КА о разработке аналогичной СГ-122 САУ на базе Т-34 имело веские основания. Дело в том, что использование трофейной базы имело массу узких мест. Прежде всего, для получения необходимого числа шасси их следовало захватить в пригодном для дальнейшей эксплуатации виде. Впрочем, даже захват конкретной машины совсем не означал, что её пошлют на переделку. Трофеями восполняли потери матчасти. Только на бронетанковом ремонтном заводе (БТРЗ) №82, который стал основным источником шасси для изготовления СГ-122, из 27 поступивших StuG III 8 штук после ремонта было отправлено на фронт. 15 трофейных немецких самоходных установок поступило за март месяц, что вселило надежду на большие объёмы поступления в будущем. На деле же таких объёмов, как в марте, в 1942 году больше не было (17663).</w:t>
      </w:r>
    </w:p>
    <w:p w14:paraId="2160191F"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EB082F0"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15 апреля 1942 состоялся пленум Арткома ГАУ КА, который был посвящён развитию самоходной артиллерии. Фактически это совещание стало отправной точкой к практическим работам по советским САУ. Разумеется, речь шла и про лёгкие самоходы, что было отмечено в протоколе пленума:</w:t>
      </w:r>
    </w:p>
    <w:p w14:paraId="549C38BB"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Подтвердить правильность требований Артиллерийского Комитета ГАУ Красной Армии о необходимости иметь в системе вооружения Красной Армии следующие типы пушечных самоходных установок:</w:t>
      </w:r>
    </w:p>
    <w:p w14:paraId="08394E68"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Самоходные орудия истребления ДОТов;</w:t>
      </w:r>
    </w:p>
    <w:p w14:paraId="1981918C"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Самоходные орудия истребления танков;</w:t>
      </w:r>
    </w:p>
    <w:p w14:paraId="1AB97051"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Штурмовые самоходные орудия поддержки моторизованной пехоты;</w:t>
      </w:r>
    </w:p>
    <w:p w14:paraId="57169FB4"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 Самоходные зенитные установки сопровождения танковых и моторизованных войск.</w:t>
      </w:r>
    </w:p>
    <w:p w14:paraId="19F992C9"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Считать необходимым дополнить систему вооружения Красной Армии типом гаубичной самоходной установки для борьбы с ДЗОТами и со скоплениями живой силы противника.</w:t>
      </w:r>
    </w:p>
    <w:p w14:paraId="1680ED0F"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Считать необходимым выдать заводам задание на изготовление следующих образцов самоходных установок:</w:t>
      </w:r>
    </w:p>
    <w:p w14:paraId="6B13093A"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штурмовые самоходные орудия:</w:t>
      </w:r>
    </w:p>
    <w:p w14:paraId="5455D96D"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а) 76 мм дивизионная пушка УСВ или ЗИС-3 на универсальном шасси из агрегатов танка Т-70. Работу поручить заводу №37 (НКТП) с привлечением завода №92 (НКВ)».</w:t>
      </w:r>
    </w:p>
    <w:p w14:paraId="7C82FF0A"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Поскольку Т-70 уже был принят на вооружение, лёгкий танк из списка проектируемых машин исчез. Из-за отсутствия острой необходимости из перечня пропал и транспортёр боеприпасов, а с зенитным танком в это время разворачивалась отдельная драма. Что же касается использования Т-70 в качестве базы для универсального шасси, то требования ГАУ КА были интерпретированы весьма оригинальным способом.</w:t>
      </w:r>
    </w:p>
    <w:p w14:paraId="487F17AC"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Не отказываясь от навязанной базы, КБ завода №37 стало проектировать сразу два варианта шасси. Формально главным конструктором при этом выступал Н. А. Попов, но в эскизных наработках и переписке значится другой человек — Г. С. Суренян. Тот самый Суренян, который в августе 1941 года предлагал строить на базе Т-40 противотанковые самоходные установки </w:t>
      </w:r>
      <w:hyperlink r:id="rId110" w:history="1">
        <w:r w:rsidRPr="008127F8">
          <w:rPr>
            <w:rFonts w:ascii="Times New Roman" w:eastAsia="Times New Roman" w:hAnsi="Times New Roman"/>
            <w:color w:val="000000" w:themeColor="text1"/>
            <w:sz w:val="16"/>
            <w:szCs w:val="16"/>
            <w:lang w:eastAsia="ru-RU"/>
          </w:rPr>
          <w:t>ШИТ</w:t>
        </w:r>
      </w:hyperlink>
      <w:r w:rsidRPr="008127F8">
        <w:rPr>
          <w:rFonts w:ascii="Times New Roman" w:eastAsia="Times New Roman" w:hAnsi="Times New Roman"/>
          <w:color w:val="000000" w:themeColor="text1"/>
          <w:sz w:val="16"/>
          <w:szCs w:val="16"/>
          <w:lang w:eastAsia="ru-RU"/>
        </w:rPr>
        <w:t xml:space="preserve"> (штурмовик-истребитель танков).</w:t>
      </w:r>
    </w:p>
    <w:p w14:paraId="4EBBF0D5"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Надо сказать, что Суренян, судя по его активности, в коллективе завода №37 был одним из основных идеологов создания самоходных установок. И здесь трудно с ним не согласиться: Т-60 в качестве вооружения имел 20-мм автоматическую пушку, а Т-70 — 45-мм пушку. Оба орудия к 1942 году явно устарели для использования в качестве основного вооружения танков, что очень сильно снижало эффективность машин на поле боя. Выпуск вместо них САУ с тем же бронированием, но при этом оснащённых куда более мощным вооружением, выглядел вполне здравой идеей. Правильность этого мнения подтверждает и дальнейшее развитие событий: к осени 1943 года вместо лёгких танков заводы начали выпуск СУ-76 (17668).</w:t>
      </w:r>
    </w:p>
    <w:p w14:paraId="1B1302EF"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3643F59"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После того, как 15 апреля 1942 года пленум Артиллерийского комитета ГАУ КА утвердил перспективы развития САУ, в работу включился Научно-исследовательский тракторный институт (НАТИ). 4 мая 1942 года на рассмотрение Артиллерийского комитета ГАУ КА были представлены эскизные проекты Т-133-Б, Т-133-В и Т-133Ж. Первые две машины представляли собой 37-мм ЗСУ, а Т-133-Ж являлась самоходной установкой с вооружением в виде двух 120-мм минометов. Машины, боевая масса которых составляла 7500 кг, предполагалось выпускать с использованием агрегатов танков </w:t>
      </w:r>
      <w:hyperlink r:id="rId111" w:history="1">
        <w:r w:rsidRPr="008127F8">
          <w:rPr>
            <w:rFonts w:ascii="Times New Roman" w:eastAsia="Times New Roman" w:hAnsi="Times New Roman"/>
            <w:color w:val="000000" w:themeColor="text1"/>
            <w:sz w:val="16"/>
            <w:szCs w:val="16"/>
            <w:lang w:eastAsia="ru-RU"/>
          </w:rPr>
          <w:t>Т-60</w:t>
        </w:r>
      </w:hyperlink>
      <w:r w:rsidRPr="008127F8">
        <w:rPr>
          <w:rFonts w:ascii="Times New Roman" w:eastAsia="Times New Roman" w:hAnsi="Times New Roman"/>
          <w:color w:val="000000" w:themeColor="text1"/>
          <w:sz w:val="16"/>
          <w:szCs w:val="16"/>
          <w:lang w:eastAsia="ru-RU"/>
        </w:rPr>
        <w:t xml:space="preserve"> и </w:t>
      </w:r>
      <w:hyperlink r:id="rId112" w:history="1">
        <w:r w:rsidRPr="008127F8">
          <w:rPr>
            <w:rFonts w:ascii="Times New Roman" w:eastAsia="Times New Roman" w:hAnsi="Times New Roman"/>
            <w:color w:val="000000" w:themeColor="text1"/>
            <w:sz w:val="16"/>
            <w:szCs w:val="16"/>
            <w:lang w:eastAsia="ru-RU"/>
          </w:rPr>
          <w:t>Т-70</w:t>
        </w:r>
      </w:hyperlink>
      <w:r w:rsidRPr="008127F8">
        <w:rPr>
          <w:rFonts w:ascii="Times New Roman" w:eastAsia="Times New Roman" w:hAnsi="Times New Roman"/>
          <w:color w:val="000000" w:themeColor="text1"/>
          <w:sz w:val="16"/>
          <w:szCs w:val="16"/>
          <w:lang w:eastAsia="ru-RU"/>
        </w:rPr>
        <w:t>. Т-133-Б предполагалось оснащать двумя двигателей ГАЗ АА с параллельным размещением, в качестве силовой установки для Т-133-В и Т-133-Ж предусматривался мотор ЗИС-5, установленный под углом.</w:t>
      </w:r>
    </w:p>
    <w:p w14:paraId="77DF1FD5"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Шасси Т-133-В и Т-133-Ж были признаны неудачными, поскольку требовали организации производства новых узлов и агрегатов, а проект Т-133-Б Арткомитет одобрил. Предполагалось использовать это шасси как базу для создания 76-мм штурмовой САУ, ЗСУ с 25-мм и 37-мм автоматами, а также САУ со спаркой 120-мм минометов. Приоритетной называлась работа по 76-мм штурмовой самоходной установке. Опытные образцы планировалось получить к августу 1942 года, но они так и не были изготовлены.</w:t>
      </w:r>
    </w:p>
    <w:p w14:paraId="45D51ACD"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идее схожей по конструкции САУ НАТИ вернется уже в 1943 году, но это совсем другая история. Кроме того, проект Т-133Б отчасти оказался связан с артиллерийским тягачом НАТИ Д, запущенным в серийное производство как Я-11 (17683).</w:t>
      </w:r>
    </w:p>
    <w:p w14:paraId="1B71FE05"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0778ED"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1942 года состоялся пленум Артиллерийского Комитета ГАУ КА, на котором утвердили работы по самоходной артиллерии. Среди утвержденных тем были и штурмовые самоходные орудия. 122-СГ на нем не поминалась, что несколько вводило в заблуждение. На самом деле обсуждать было уже нечего - работы по САУ запустили. Пленум санкционировал работы по аналогичным штурмовым самоходам, но уже с Т-34 как база. Как показали дальнейшие события, решения были правильными, поскольку зависимость от трофейных шасси стала самым узким местом. За весь 1942 год на БТРЗ №82 поступило 27 трофейных StuG III, из которых 8 ушло на фронт. Больше всего (14 штук) прибыло в марте 1942 года. Далее ручеек трофеев стал очень узким (23368).</w:t>
      </w:r>
    </w:p>
    <w:p w14:paraId="69B7091E" w14:textId="77777777" w:rsidR="002848F2" w:rsidRPr="008A2E5A" w:rsidRDefault="002848F2" w:rsidP="002848F2">
      <w:pPr>
        <w:spacing w:after="0" w:line="240" w:lineRule="auto"/>
        <w:jc w:val="both"/>
        <w:rPr>
          <w:rFonts w:ascii="Times New Roman" w:hAnsi="Times New Roman"/>
          <w:color w:val="0070C0"/>
          <w:sz w:val="16"/>
          <w:szCs w:val="16"/>
        </w:rPr>
      </w:pPr>
    </w:p>
    <w:p w14:paraId="2DE5A8D4"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С.А. Гинзбург. С одной стороны ГАУ КА выкатило свои пожелания, а НКТП, в лице Гинзбурга, предложил то, что можно сделать. В этот момент и сложилась концепция базы КВ-7 и вооружения в виде МЛ-20.</w:t>
      </w:r>
    </w:p>
    <w:p w14:paraId="5E8A9A31"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утверждение задания в апреле 1942 года, работы затянулись.</w:t>
      </w:r>
    </w:p>
    <w:p w14:paraId="064A2717"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Изначально предполагалось, что установку вооружения будет проектировать завод №172 НКВ, производитель МЛ-20. Но далее орудийную часть доверили ОКБ-3 УЗТМ, возглавил работы Л.И. Горлицкий. Впрочем, работать по данной теме в Свердловске не торопились. Дело в том, что на заводское КБ свалилось немало других задач, связанных как с буксируемой, так и самоходной артиллерией. Не говоря уже о том, что в высшем приоритете находилась спаренная установка У-14. Не стоит забывать и тот момент, что МЛ-20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"чужая" система, что создавало дополнительные проблемы (23889).</w:t>
      </w:r>
    </w:p>
    <w:p w14:paraId="65CA564D" w14:textId="77777777" w:rsidR="002848F2" w:rsidRPr="008A2E5A" w:rsidRDefault="002848F2" w:rsidP="002848F2">
      <w:pPr>
        <w:spacing w:after="0" w:line="240" w:lineRule="auto"/>
        <w:jc w:val="both"/>
        <w:rPr>
          <w:rFonts w:ascii="Times New Roman" w:hAnsi="Times New Roman"/>
          <w:color w:val="0070C0"/>
          <w:sz w:val="16"/>
          <w:szCs w:val="16"/>
        </w:rPr>
      </w:pPr>
    </w:p>
    <w:p w14:paraId="7F2AC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на испытания было представлено несколько опытных образцов САУ (1073,219).</w:t>
      </w:r>
    </w:p>
    <w:p w14:paraId="281E40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D21B8"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1942 в адрес начальника рембазы №82 военинженера 1-го ранга Белобородова ушло письмо о задании на срочный ремонт 4 шасси StuG III. Первые 2 машины предполагалось отремонтировать к 1 мая, еще 2 к 15 мая. При ремонте снимались орудия, но оставлялись тумбы (23368).</w:t>
      </w:r>
    </w:p>
    <w:p w14:paraId="44538482" w14:textId="77777777" w:rsidR="002848F2" w:rsidRPr="008A2E5A" w:rsidRDefault="002848F2" w:rsidP="002848F2">
      <w:pPr>
        <w:spacing w:after="0" w:line="240" w:lineRule="auto"/>
        <w:jc w:val="both"/>
        <w:rPr>
          <w:rFonts w:ascii="Times New Roman" w:hAnsi="Times New Roman"/>
          <w:color w:val="0070C0"/>
          <w:sz w:val="16"/>
          <w:szCs w:val="16"/>
        </w:rPr>
      </w:pPr>
    </w:p>
    <w:p w14:paraId="2BAB8035" w14:textId="77777777" w:rsidR="007468BD" w:rsidRPr="008127F8" w:rsidRDefault="007468BD"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15 апреля 1942 года.</w:t>
      </w:r>
    </w:p>
    <w:p w14:paraId="6D6238E2"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245 – 247</w:t>
      </w:r>
      <w:r w:rsidRPr="008127F8">
        <w:rPr>
          <w:rFonts w:ascii="Times New Roman" w:eastAsia="Times New Roman" w:hAnsi="Times New Roman"/>
          <w:color w:val="000000" w:themeColor="text1"/>
          <w:sz w:val="16"/>
          <w:szCs w:val="16"/>
          <w:lang w:eastAsia="ru-RU"/>
        </w:rPr>
        <w:t xml:space="preserve"> </w:t>
      </w:r>
    </w:p>
    <w:p w14:paraId="6C2D28D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1B83B75D"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271E31B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4C672063"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343c</w:t>
      </w:r>
    </w:p>
    <w:p w14:paraId="2B52520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10229FA2"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"15" апреля 1942 года.</w:t>
      </w:r>
    </w:p>
    <w:p w14:paraId="1B52B457"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Только для центрального аппарата, без рассылки по заводам.</w:t>
      </w:r>
    </w:p>
    <w:p w14:paraId="4EDD20B5"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Опыт работы показывает, что танковые заводы испытывают в последние месяцы постоянные затруднения в работе, а зачастую и срывают выполнение плана из-за недостатка и перебоев в снабжении, в основном, одними и теми же видами материалов и изделий, а именно: шарикоподшипниками, электрооборудованием, пуками, радиаторами, моторами, траками и некоторыми сортами металлов и ферросплавов. </w:t>
      </w:r>
    </w:p>
    <w:p w14:paraId="143C94F3"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Следовательно, задача аппарата Наркомата и аппарата Управления заводов заключается в том, чтобы в кратчайшие сроки выправить снабжение этими наиболее дефицитными материалами и изделиями. </w:t>
      </w:r>
    </w:p>
    <w:p w14:paraId="732AF5E8"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Для этого надо в первую очередь установить ежедневный и систематический учет за ходом отгрузки заводами-поставщиками этих изделий и учет наличия на танковых заводах, обеспечивать быстрейшее продвижение этих грузов и оперативно регулировать распределение дефицитных материалов и изделий между танковыми заводами. </w:t>
      </w:r>
    </w:p>
    <w:p w14:paraId="5228B7FF"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Для выполнения этих задач ПРИКАЗЫВАЮ: </w:t>
      </w:r>
    </w:p>
    <w:p w14:paraId="7F278F12"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Выделить в центральном аппарате Наркомата группу работников, ответственных за бесперебойное обеспечение снабжения заводов следующими материалами и изделиями: </w:t>
      </w:r>
    </w:p>
    <w:p w14:paraId="2BA892C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т. ВОРОБЕЙЧИКА – за пушки, пулеметы, огнеметы и оптику. </w:t>
      </w:r>
    </w:p>
    <w:p w14:paraId="7D13FC9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т. АНТЮХИНА – за моторы 202, холодную штамповку с ГАЗа и за радиаторы. </w:t>
      </w:r>
    </w:p>
    <w:p w14:paraId="02CD0E76"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т. ФРАДКИНА – за траки. </w:t>
      </w:r>
    </w:p>
    <w:p w14:paraId="0FB078F2"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т. МАГИДСОНА – за дизеля В-2, штамповку коленвалов, форсунки и насосы. </w:t>
      </w:r>
    </w:p>
    <w:p w14:paraId="001C989D"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т. ТРОИЦКОГО – за радиаторную ленту, радиаторные трубки, алюминиевые прокладки, силумин и дюраль. </w:t>
      </w:r>
    </w:p>
    <w:p w14:paraId="64176818"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т. ФАРБМАНА – за электрооборудование (стартеры, генераторы, комплектно с реле, моторы МБ-20, МВ-12), рации и ТПУ. </w:t>
      </w:r>
    </w:p>
    <w:p w14:paraId="71014F3D"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т. ЕФРЕМОВА – за шарикоподшипники и шарики. </w:t>
      </w:r>
    </w:p>
    <w:p w14:paraId="5A49BC5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т. ПЕРЕВОЗЩИКОВА – за лист рядовой и конструкционный, трубы для маслопроводов и гильз. </w:t>
      </w:r>
    </w:p>
    <w:p w14:paraId="59CA2B4B"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т. ОЛЕШКЕВИЧА – за мазут и уголь. </w:t>
      </w:r>
    </w:p>
    <w:p w14:paraId="3BEBBB1B"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т. ФРАНЦМАНА – за аммиак, серную кислоту, графит. </w:t>
      </w:r>
    </w:p>
    <w:p w14:paraId="5D75D2FF"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11. т. МОРОЗОВА – за абразивы сверла 0,25. </w:t>
      </w:r>
    </w:p>
    <w:p w14:paraId="0C2C78D3"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12. т. АНДРИАНОВА – за обрезинку катков, дюритовые шланги, паранит, бакелитовый лак. </w:t>
      </w:r>
    </w:p>
    <w:p w14:paraId="2123F79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13. т. ЛОМОВСКОГО – за ферромарганец, феррохром, ферросилиций, никель, электроды для электропечей. </w:t>
      </w:r>
    </w:p>
    <w:p w14:paraId="7BDF2E6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Считать основной обязанностью перечисленных в п. 1 товарищей, создание и поддержание на танковых заводах следующих минимальных запасов этих материалов и изделий: </w:t>
      </w:r>
    </w:p>
    <w:p w14:paraId="3C03321B"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по пушкам, пулеметам, огнеметам и оптике – на 8 дней; </w:t>
      </w:r>
    </w:p>
    <w:p w14:paraId="61A5FAD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по моторам "202" и радиаторам для Т-60, по холодной штамповке с газа – на 10 дней; </w:t>
      </w:r>
    </w:p>
    <w:p w14:paraId="379408E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по тракам, по заводам № 37, 38 и 112 – на 8 дней; </w:t>
      </w:r>
    </w:p>
    <w:p w14:paraId="4527669B"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по дизелям В-2: на заводе № 183 – на 5 дней, на заводе № 112 – на 8 дней; </w:t>
      </w:r>
    </w:p>
    <w:p w14:paraId="1398217A"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штамповке коленвалов – на 10 дней; </w:t>
      </w:r>
    </w:p>
    <w:p w14:paraId="4E48FEA4"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форсункам и насосам – на 5 дней; </w:t>
      </w:r>
    </w:p>
    <w:p w14:paraId="615DB1B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 по электрооборудованию – на 10 дней; </w:t>
      </w:r>
    </w:p>
    <w:p w14:paraId="6276C484"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е) по шарикоподшипникам и шарикам – на 5 дней; </w:t>
      </w:r>
    </w:p>
    <w:p w14:paraId="015DE768"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по остальным материалам и изделиям не менее чем на 15 дней. </w:t>
      </w:r>
    </w:p>
    <w:p w14:paraId="0A832008"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Товарищи, перечисленные в п. 1 и ответственные за снабжение заводов отдельными материалами и изделиями, обязаны: </w:t>
      </w:r>
    </w:p>
    <w:p w14:paraId="63707C91"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на каждый день знать положение с обеспечением этими материалами танковых заводов, состояние изготовления их на заводах-поставщиках, наличие и местонахождение материалов и изделий в пути; </w:t>
      </w:r>
    </w:p>
    <w:p w14:paraId="6D67ABB7"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представлять через своих начальников отделов мне и моим заместителям ежедневные сводки о состоянии обеспечения; </w:t>
      </w:r>
    </w:p>
    <w:p w14:paraId="3D337654"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принимать безотлагательные меры к своевременной отгрузке и быстрейшей доставке материалов на танковые заводы; </w:t>
      </w:r>
    </w:p>
    <w:p w14:paraId="7A4F4F40"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своевременно докладывать мне и моим заместителям о возможных трудностях и давать предложения, обеспечивающие бесперебойное снабжение заводов. </w:t>
      </w:r>
    </w:p>
    <w:p w14:paraId="4FA0492E"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53243829" w14:textId="77777777" w:rsidR="007468BD" w:rsidRPr="008127F8" w:rsidRDefault="007468BD"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 Малышев) (18933).</w:t>
      </w:r>
    </w:p>
    <w:p w14:paraId="2F8B5D8E" w14:textId="77777777" w:rsidR="007468BD" w:rsidRPr="008127F8" w:rsidRDefault="007468BD" w:rsidP="001E0A84">
      <w:pPr>
        <w:spacing w:after="0" w:line="240" w:lineRule="auto"/>
        <w:jc w:val="both"/>
        <w:rPr>
          <w:rFonts w:ascii="Times New Roman" w:hAnsi="Times New Roman"/>
          <w:color w:val="000000" w:themeColor="text1"/>
          <w:sz w:val="16"/>
          <w:szCs w:val="16"/>
        </w:rPr>
      </w:pPr>
    </w:p>
    <w:p w14:paraId="1090D03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появилось СООБЩЕНИЕ НАЧАЛЬНИКА ОТДЕЛА ВОЕННОЙ ПРИЕМКИ АТУ ГАБТУ ДИРЕКТОРУ АВТОЗАВОДА ИМ. МОЛОТОВА О ВЫЯВЛЕННЫХ НЕДОСТАТКАХ ПРИ СБОРКЕ АВТОМОБИЛЕЙ</w:t>
      </w:r>
    </w:p>
    <w:p w14:paraId="1E90168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Ваши приказы от 27.03.1942 г. № 33 о выпуске в апреле 2500 иномашин и от 2.04.1942 г. № 39 о вы</w:t>
      </w:r>
      <w:r w:rsidRPr="008127F8">
        <w:rPr>
          <w:rFonts w:ascii="Times New Roman" w:hAnsi="Times New Roman"/>
          <w:color w:val="000000" w:themeColor="text1"/>
          <w:sz w:val="16"/>
          <w:szCs w:val="16"/>
        </w:rPr>
        <w:softHyphen/>
        <w:t>пуске ежедневно, начиная с 2.04 по 200 иномашин, сборочным цехом не выполняются. Темп сборки основных марок автомобилей (Форд и Додж) в среднем за 13 дней апреля месяца не превышает 55 автомашин в день. Не сданные в сбыт автомашины, главным образом благодаря внутризаводским неполадкам, ежедневно ставятся на так называемую дефектную площадку.</w:t>
      </w:r>
    </w:p>
    <w:p w14:paraId="18BD4F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состоянию на 15.04.1942 г. на дефектной площадке находится:</w:t>
      </w:r>
    </w:p>
    <w:p w14:paraId="31A850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автомобилей Форд — 227 машин;</w:t>
      </w:r>
    </w:p>
    <w:p w14:paraId="212F198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автомобилей Додж — 142 машины. По причинам:</w:t>
      </w:r>
    </w:p>
    <w:p w14:paraId="26F38E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Некомплектной подачи узлов и агрегатов на сборку отделом запчастей (50 автомашин Форд стоят без платформ при наличии их на заводе 1238 штук, 40 автомобилей Додж без платформ при на</w:t>
      </w:r>
      <w:r w:rsidRPr="008127F8">
        <w:rPr>
          <w:rFonts w:ascii="Times New Roman" w:hAnsi="Times New Roman"/>
          <w:color w:val="000000" w:themeColor="text1"/>
          <w:sz w:val="16"/>
          <w:szCs w:val="16"/>
        </w:rPr>
        <w:softHyphen/>
        <w:t>личии их на заводе 556 штук).</w:t>
      </w:r>
    </w:p>
    <w:p w14:paraId="68B4C6D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Поломок отдельных деталей во время распаковки и сборки.</w:t>
      </w:r>
    </w:p>
    <w:p w14:paraId="7A3CA04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Раскулачивания (хищения) деталей автомобиля на дефектной площадке в результате отсутст</w:t>
      </w:r>
      <w:r w:rsidRPr="008127F8">
        <w:rPr>
          <w:rFonts w:ascii="Times New Roman" w:hAnsi="Times New Roman"/>
          <w:color w:val="000000" w:themeColor="text1"/>
          <w:sz w:val="16"/>
          <w:szCs w:val="16"/>
        </w:rPr>
        <w:softHyphen/>
        <w:t>вия элементарной охраны.</w:t>
      </w:r>
    </w:p>
    <w:p w14:paraId="02DCFD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привожу несколько фактов вывода из строя отдельных деталей:</w:t>
      </w:r>
    </w:p>
    <w:p w14:paraId="72FEF5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29.03.1942 г. при перевертывании шасси автомобиля Форд двигатель 78454 разбит карбюра</w:t>
      </w:r>
      <w:r w:rsidRPr="008127F8">
        <w:rPr>
          <w:rFonts w:ascii="Times New Roman" w:hAnsi="Times New Roman"/>
          <w:color w:val="000000" w:themeColor="text1"/>
          <w:sz w:val="16"/>
          <w:szCs w:val="16"/>
        </w:rPr>
        <w:softHyphen/>
        <w:t>тор и сломаны две свечи зажигания. При перевертывании шасси Форд двигатель 77843 разбиты кар</w:t>
      </w:r>
      <w:r w:rsidRPr="008127F8">
        <w:rPr>
          <w:rFonts w:ascii="Times New Roman" w:hAnsi="Times New Roman"/>
          <w:color w:val="000000" w:themeColor="text1"/>
          <w:sz w:val="16"/>
          <w:szCs w:val="16"/>
        </w:rPr>
        <w:softHyphen/>
        <w:t>бюратор и бобина. В обоих случаях работа производилась небрежно (рабочие т. Троицкий раб. № 6482, т. Штыков раб. № 6449, т. Григорьев раб. № 6485 и крановщики Петров и Сидоров).</w:t>
      </w:r>
    </w:p>
    <w:p w14:paraId="3A20184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31.03.1942 г. рабочие железнодорожного цеха Мунин пропуск № 73757 и Зайцев пропуск № 84611 по указанию т. Галиева поставили на кабину автомобиля Студебекер № 2020 четыре ящика шасси, в результате чего помяли кабину.</w:t>
      </w:r>
    </w:p>
    <w:p w14:paraId="7C4FD0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31.03.1942 г. при перевертывании шасси автомобиля Форд по вине крановщиков Гришина и Гребенова и рабочих Троицкого и Григорьева разбит карбюратор.</w:t>
      </w:r>
    </w:p>
    <w:p w14:paraId="1CEC88E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3.04.1942 г. при вскрытии ящика автомобиля Форд шасси № 52061 по вине рабочего Григорье</w:t>
      </w:r>
      <w:r w:rsidRPr="008127F8">
        <w:rPr>
          <w:rFonts w:ascii="Times New Roman" w:hAnsi="Times New Roman"/>
          <w:color w:val="000000" w:themeColor="text1"/>
          <w:sz w:val="16"/>
          <w:szCs w:val="16"/>
        </w:rPr>
        <w:softHyphen/>
        <w:t>ва разбиты корпус карбюратора и бобины и им же того же числа разбита бобина при вскрытии ящи</w:t>
      </w:r>
      <w:r w:rsidRPr="008127F8">
        <w:rPr>
          <w:rFonts w:ascii="Times New Roman" w:hAnsi="Times New Roman"/>
          <w:color w:val="000000" w:themeColor="text1"/>
          <w:sz w:val="16"/>
          <w:szCs w:val="16"/>
        </w:rPr>
        <w:softHyphen/>
        <w:t>ка автомобиля Форд шасси № 52016.</w:t>
      </w:r>
    </w:p>
    <w:p w14:paraId="394C5F7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5.04.1942 г. по вине рабочего железнодорожного цеха Ливанова К.А. таб. № 3775 пробита в двух местах краном кабина.</w:t>
      </w:r>
    </w:p>
    <w:p w14:paraId="41F7C4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В ночь на 12.04.1942 г. крановщиком Сухаревым, рабочими Малягиным и Лаптевым при пере</w:t>
      </w:r>
      <w:r w:rsidRPr="008127F8">
        <w:rPr>
          <w:rFonts w:ascii="Times New Roman" w:hAnsi="Times New Roman"/>
          <w:color w:val="000000" w:themeColor="text1"/>
          <w:sz w:val="16"/>
          <w:szCs w:val="16"/>
        </w:rPr>
        <w:softHyphen/>
        <w:t>вертывании шасси автомобиля Форд № 78245 произведены следующие поломки:</w:t>
      </w:r>
    </w:p>
    <w:p w14:paraId="593C516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сломан водяной патрубок двигателя;</w:t>
      </w:r>
    </w:p>
    <w:p w14:paraId="7A0ACF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выведена из строя одна свеча зажигания;</w:t>
      </w:r>
    </w:p>
    <w:p w14:paraId="0BBDC25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погнут карданный вал;</w:t>
      </w:r>
    </w:p>
    <w:p w14:paraId="09D623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смят лонжерон рамы в двух местах;</w:t>
      </w:r>
    </w:p>
    <w:p w14:paraId="772A59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разбит правый задний тормозной барабан и ряд других поломок.</w:t>
      </w:r>
    </w:p>
    <w:p w14:paraId="2EBD63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Мер к недопущению подобных безобразий руководством цеха не принимается, а непосредст</w:t>
      </w:r>
      <w:r w:rsidRPr="008127F8">
        <w:rPr>
          <w:rFonts w:ascii="Times New Roman" w:hAnsi="Times New Roman"/>
          <w:color w:val="000000" w:themeColor="text1"/>
          <w:sz w:val="16"/>
          <w:szCs w:val="16"/>
        </w:rPr>
        <w:softHyphen/>
        <w:t>венные виновники [гс наказываются.</w:t>
      </w:r>
    </w:p>
    <w:p w14:paraId="32ACB7D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организации работ по разгрузке, распаковке и транспортировке на конвейер нет никакого по</w:t>
      </w:r>
      <w:r w:rsidRPr="008127F8">
        <w:rPr>
          <w:rFonts w:ascii="Times New Roman" w:hAnsi="Times New Roman"/>
          <w:color w:val="000000" w:themeColor="text1"/>
          <w:sz w:val="16"/>
          <w:szCs w:val="16"/>
        </w:rPr>
        <w:softHyphen/>
        <w:t>рядка и контроля. Имеются случаи сборки автомобилей, подлежащих предварительно ремонту. Так, например, 11.04. 1942 г. шасси автомобиля Додж с пробитыми осколками снаряда бензобаком и правым лонжероном рамы с расколотым штурвалом и пробитым крылом, было подано на конвейер и со</w:t>
      </w:r>
      <w:r w:rsidRPr="008127F8">
        <w:rPr>
          <w:rFonts w:ascii="Times New Roman" w:hAnsi="Times New Roman"/>
          <w:color w:val="000000" w:themeColor="text1"/>
          <w:sz w:val="16"/>
          <w:szCs w:val="16"/>
        </w:rPr>
        <w:softHyphen/>
        <w:t>бран автомобиль. А затем ОТК этот автомобиль бракуется и ставится на дефектную площадку. Те</w:t>
      </w:r>
      <w:r w:rsidRPr="008127F8">
        <w:rPr>
          <w:rFonts w:ascii="Times New Roman" w:hAnsi="Times New Roman"/>
          <w:color w:val="000000" w:themeColor="text1"/>
          <w:sz w:val="16"/>
          <w:szCs w:val="16"/>
        </w:rPr>
        <w:softHyphen/>
        <w:t>перь для ремонта автомобиля потребуются дополнительно демонтаж узлов и непроизводительные затраты. Всего этого можно было избежать, и работникам цеха это было известно.</w:t>
      </w:r>
    </w:p>
    <w:p w14:paraId="27150F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Площадка разгрузки — распаковки крайне захламлена и находится в безнадзорном состоянии. В результате отсутствия на площадке элементарной охраны — явления раскулачивания (хищения) не прекращаются. Например, на 32-х кабинах Додж нет ключей зажигания (утеряны или похище</w:t>
      </w:r>
      <w:r w:rsidRPr="008127F8">
        <w:rPr>
          <w:rFonts w:ascii="Times New Roman" w:hAnsi="Times New Roman"/>
          <w:color w:val="000000" w:themeColor="text1"/>
          <w:sz w:val="16"/>
          <w:szCs w:val="16"/>
        </w:rPr>
        <w:softHyphen/>
        <w:t>ны), а собранные автомашины без ключей зажигания поставлены на дефектную площадку.</w:t>
      </w:r>
    </w:p>
    <w:p w14:paraId="6E09A9B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всем этим недопустимым явлениям в сборке иномашин руководство сборочного цеха (и в первую очередь зам. начальника цеха т. Кишкин) неоднократно ставились мной в известность, но мер к устранению их до сих пор не принимается.</w:t>
      </w:r>
    </w:p>
    <w:p w14:paraId="03BFB1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Доводя о вышеизложенном до Вашего сведения, прошу:</w:t>
      </w:r>
    </w:p>
    <w:p w14:paraId="6C0C89A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Дать категорическое приказание руководству сборочного цеха и отделу запчастей немедленно навести надлежащий порядок в деле сборки, распаковки, транспортировки и хранения импортного автоимущества. Наличие автомашин на дефектной площадке привести в порядок и сдать военведу.</w:t>
      </w:r>
    </w:p>
    <w:p w14:paraId="3809B46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всем фактам поломок и хищения импортного автоимущества, изложенным в настоящем письме, а также по известным Вам фактам из моего письма от 14.03.1942 г. и из письма начальника ГАБТУ КА от 1.04.1942 г., привлечь виновных к строжайшей ответственности, как лиц, нерадиво от</w:t>
      </w:r>
      <w:r w:rsidRPr="008127F8">
        <w:rPr>
          <w:rFonts w:ascii="Times New Roman" w:hAnsi="Times New Roman"/>
          <w:color w:val="000000" w:themeColor="text1"/>
          <w:sz w:val="16"/>
          <w:szCs w:val="16"/>
        </w:rPr>
        <w:softHyphen/>
        <w:t>носящихся к военному имуществу.</w:t>
      </w:r>
    </w:p>
    <w:p w14:paraId="675B44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принятых Вами мерах прошу поставить меня в известность.</w:t>
      </w:r>
    </w:p>
    <w:p w14:paraId="335889E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военной приемки АТУ ГАБТУ КА иномашин на ГАЗе</w:t>
      </w:r>
    </w:p>
    <w:p w14:paraId="66B0334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военинженер 2 ранга Куроптев</w:t>
      </w:r>
    </w:p>
    <w:p w14:paraId="10ABC6A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175. Л. 109-110. Поминник (11211).</w:t>
      </w:r>
    </w:p>
    <w:p w14:paraId="28F1577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B5B67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было подготовлено СООБЩЕНИЕ ЗАМЕСТИТЕЛЯ НАЧАЛЬНИКА ИНЖЕНЕРНОГО УПРАВЛЕНИЯ НКВТ СССР В ГАБТУ КА О ТАНКЕ РАМ-2</w:t>
      </w:r>
    </w:p>
    <w:p w14:paraId="4F26CB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Сообщаю сведения, полученные из Америки:</w:t>
      </w:r>
    </w:p>
    <w:p w14:paraId="1E4986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РАМ-2 не является самостоятельной конструкцией, а есть подобие американского среднего танка. Танк имеет два дизель-мотора, 75-мм пушку с такой же начальной скоростью снаряда, как у пушки среднего танка, 5 пулеметов Браунинг калибра 0,45, миномета и командирской башенки нет.</w:t>
      </w:r>
    </w:p>
    <w:p w14:paraId="05C5135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Толщина брони 60-70 мм, вес танка около 30 тонн.</w:t>
      </w:r>
    </w:p>
    <w:p w14:paraId="74845C5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решения о целесообразности закупки.</w:t>
      </w:r>
    </w:p>
    <w:p w14:paraId="14D6ED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инженерного управления НКВТ СССР Рябченко</w:t>
      </w:r>
    </w:p>
    <w:p w14:paraId="145A0395"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647. Л. 57. Подлинник (11211).</w:t>
      </w:r>
    </w:p>
    <w:p w14:paraId="5C481A7B"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552CD9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завод № 113 был передан из НК танковой промышленности в НК судостроения. Завод расположен в Ленинском районе Горького, по левому берегу Оки. В 1942 году завод выпускал детали и узлы к танкам, детали для вооружения, ППШ, установки М-8 и боеприпасы (8865).</w:t>
      </w:r>
    </w:p>
    <w:p w14:paraId="349143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AB17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вышел приказ № 344с/160с Наркомата тяжелого машиностроения и НКТП</w:t>
      </w:r>
    </w:p>
    <w:p w14:paraId="37D762F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13 апреля 1942 года за № 1596-с “о восстановлении Новокраматорского завода им. Сталина тяжелого машиностроения для обеспечения производства металлургического оборудования”:</w:t>
      </w:r>
    </w:p>
    <w:p w14:paraId="5CFBBEA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в систему Наркомтяжмаша Чкаловский паровозоремонтный завод.</w:t>
      </w:r>
    </w:p>
    <w:p w14:paraId="40CDACE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Передаче подлежат все </w:t>
      </w:r>
      <w:proofErr w:type="gramStart"/>
      <w:r w:rsidRPr="008127F8">
        <w:rPr>
          <w:rFonts w:ascii="Times New Roman" w:hAnsi="Times New Roman"/>
          <w:color w:val="000000" w:themeColor="text1"/>
          <w:sz w:val="16"/>
          <w:szCs w:val="16"/>
        </w:rPr>
        <w:t>оборудование....</w:t>
      </w:r>
      <w:proofErr w:type="gramEnd"/>
      <w:r w:rsidRPr="008127F8">
        <w:rPr>
          <w:rFonts w:ascii="Times New Roman" w:hAnsi="Times New Roman"/>
          <w:color w:val="000000" w:themeColor="text1"/>
          <w:sz w:val="16"/>
          <w:szCs w:val="16"/>
        </w:rPr>
        <w:t>.завода № 174, за исключением только производственного оборудования …. завода № 174. Занятых на изготовлении танков и направляемых в Омск (6125, 249).</w:t>
      </w:r>
    </w:p>
    <w:p w14:paraId="2D6E5E5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66D0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года вышло распоряжения СНК № 6425-рс от:</w:t>
      </w:r>
    </w:p>
    <w:p w14:paraId="2331603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Построить на базе законсервированного строительства кирпичного завода Кузбассугля в г. Ленинске-Кузнецке завод оптического стекла. Вновь строящемуся заводу оптического стекла в Ленинск-Кузнецке присвоить № 588 (6319, 224).</w:t>
      </w:r>
    </w:p>
    <w:p w14:paraId="3844DA2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71B8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г. на вновь созданной Сясьской судоверфи были заложены первые десять барж, три из них спустили на воду уже через месяц, а в течение 2,5 мес. завершили и всю серию. 4 ноября была спущена на воду 31-я, сверхплановая, баржа, подарок строи</w:t>
      </w:r>
      <w:r w:rsidRPr="008127F8">
        <w:rPr>
          <w:rFonts w:ascii="Times New Roman" w:hAnsi="Times New Roman"/>
          <w:color w:val="000000" w:themeColor="text1"/>
          <w:sz w:val="16"/>
          <w:szCs w:val="16"/>
        </w:rPr>
        <w:softHyphen/>
        <w:t>телей защитникам Ленинграда (3898).</w:t>
      </w:r>
    </w:p>
    <w:p w14:paraId="59B35E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C12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15 апреля 1942 года был подготовлен Паспорт завода № 180. 1940 год – директор Логвин, 1941 год – директор – Майоров, 1942 год – директор Суворов</w:t>
      </w:r>
    </w:p>
    <w:p w14:paraId="22CAF9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 основания – завод НКСП 1870 год, переведен в систему НКТП в 1941 году (9673).</w:t>
      </w:r>
    </w:p>
    <w:p w14:paraId="5FC01B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A9E9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ED2D2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D2578D"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в 1942 году утреннее сообщение Совинформбюро:</w:t>
      </w:r>
    </w:p>
    <w:p w14:paraId="6875B9F3"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15 апреля на фронте чего-либо существенного не произошло.</w:t>
      </w:r>
    </w:p>
    <w:p w14:paraId="076B978B" w14:textId="77777777" w:rsidR="00F3622C" w:rsidRPr="008127F8" w:rsidRDefault="00F3622C"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На одром</w:t>
      </w:r>
      <w:proofErr w:type="gramEnd"/>
      <w:r w:rsidRPr="008127F8">
        <w:rPr>
          <w:rFonts w:ascii="Times New Roman" w:hAnsi="Times New Roman"/>
          <w:color w:val="000000" w:themeColor="text1"/>
          <w:sz w:val="16"/>
          <w:szCs w:val="16"/>
        </w:rPr>
        <w:t xml:space="preserve"> из участков Калининского фронта наши части продолжали вести бои спротивником. За истекшие сутки немцы потеряли убитыми и ранеными до 850 солдат иофицеров. Взяты пленные и трофеи. На другом участке часть под командованием тов. Юдинцева продолжает теснить немцев. Захвачены 10 пулемётов, 2 миномёта, автоматы, винтовки и другое вооружение. Зенитным огнём над полем боя сбит немецкий самолёт «Ю-88».</w:t>
      </w:r>
    </w:p>
    <w:p w14:paraId="45A15110"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кавалерийская часть (Западный фронт) овладела 4 населёнными пунктами. Противник понёс большие потери в живой силе и технике. На другом участке фронта гитлеровцы, пытаясь вернуть захваченную нашими бойцами высоту, бросили в атаку 16 танков. Немецкие танки были встречены огнём нашей противотанковой артиллерии. Потеряв 5 машин, враг был вынужден отступить. Экипаж одного из вражеских танков взят в плен.</w:t>
      </w:r>
    </w:p>
    <w:p w14:paraId="58AFBB09"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Группа советских разведчиков, зайдя в тыл противника, атаковала вражеский ДЗОТ. Застигнутые врасплох немцы были уничтожены. Разведчики захватили станковый пулемёт, 3 автомата, 7 винтовок и свыше 2.000 патронов.</w:t>
      </w:r>
    </w:p>
    <w:p w14:paraId="68A73B82"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 зенитного орудия сержанта Кузнецова тремя выстрелами сбил немецкий самолёт «Ю-88», пытавшийся бомбить боевые порядки ваших войск.</w:t>
      </w:r>
    </w:p>
    <w:p w14:paraId="72A2D200"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днём, ни ночью не даёт покоя немецким оккупантам партизанский отряд «За Родину», действующий в оккупированных районах Смоленской области. За последнее время отряд провёл ряд удачных операций, во время которых уничтожено 205 немецких солдат, 6 офицеров и 20 полицейских. Партизаны неоднократно прерывали связь между штабами немецких частей. Только в последних боях партизаны захватилиу гитлеровцев 3 пулемёта, 6 автоматов, 36 винтовок, 5 биноклей и до 10.000 патронов.</w:t>
      </w:r>
    </w:p>
    <w:p w14:paraId="6B5F39CA"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одном из участков Ленинградского фронта у убитого немецкого солдата найдено неотправленное письмо в Германию. В письме говорится: «Нам опять пришлось переехать на новое место. Раньше мы двигались вперёд, а теперь пятимся назад. Четыре дня мы были вовсе отрезаны от своих, находились в кольце у русских, не имели никакого продовольствия. Нашли дохлую лошадь и сварили обед. Мы переживаем тяжёлое время. Всем нам война опротивела, и ни у кого нет ни малейшего желания продолжать эту ужасную жизнь. Да, дорогой Вилли, наши </w:t>
      </w:r>
      <w:proofErr w:type="gramStart"/>
      <w:r w:rsidRPr="008127F8">
        <w:rPr>
          <w:rFonts w:ascii="Times New Roman" w:hAnsi="Times New Roman"/>
          <w:color w:val="000000" w:themeColor="text1"/>
          <w:sz w:val="16"/>
          <w:szCs w:val="16"/>
        </w:rPr>
        <w:t>господа,по</w:t>
      </w:r>
      <w:proofErr w:type="gramEnd"/>
      <w:r w:rsidRPr="008127F8">
        <w:rPr>
          <w:rFonts w:ascii="Times New Roman" w:hAnsi="Times New Roman"/>
          <w:color w:val="000000" w:themeColor="text1"/>
          <w:sz w:val="16"/>
          <w:szCs w:val="16"/>
        </w:rPr>
        <w:t>-видимому, просчитались, а мы должны расхлёбывать».</w:t>
      </w:r>
    </w:p>
    <w:p w14:paraId="3F38FAE3"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28 полка 8 немецкой дивизии Иоганн Гиллер </w:t>
      </w:r>
      <w:proofErr w:type="gramStart"/>
      <w:r w:rsidRPr="008127F8">
        <w:rPr>
          <w:rFonts w:ascii="Times New Roman" w:hAnsi="Times New Roman"/>
          <w:color w:val="000000" w:themeColor="text1"/>
          <w:sz w:val="16"/>
          <w:szCs w:val="16"/>
        </w:rPr>
        <w:t>рассказал:«</w:t>
      </w:r>
      <w:proofErr w:type="gramEnd"/>
      <w:r w:rsidRPr="008127F8">
        <w:rPr>
          <w:rFonts w:ascii="Times New Roman" w:hAnsi="Times New Roman"/>
          <w:color w:val="000000" w:themeColor="text1"/>
          <w:sz w:val="16"/>
          <w:szCs w:val="16"/>
        </w:rPr>
        <w:t>Через день после прибытия на фронт наш полк был брошен в бой. В первом же сражении мы понесли большие потери. Трупы убитых, длинная вереница транспортов с ранеными произвели на солдат потрясающее впечатление. Многие отказались идти в бой. Несколько солдат было расстреляно на месте» (15100).</w:t>
      </w:r>
    </w:p>
    <w:p w14:paraId="07FD9DBA" w14:textId="77777777" w:rsidR="00F3622C" w:rsidRPr="008127F8" w:rsidRDefault="00F3622C" w:rsidP="001E0A84">
      <w:pPr>
        <w:spacing w:after="0" w:line="240" w:lineRule="auto"/>
        <w:jc w:val="both"/>
        <w:rPr>
          <w:rFonts w:ascii="Times New Roman" w:hAnsi="Times New Roman"/>
          <w:color w:val="000000" w:themeColor="text1"/>
          <w:sz w:val="16"/>
          <w:szCs w:val="16"/>
        </w:rPr>
      </w:pPr>
    </w:p>
    <w:p w14:paraId="27989215"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в 1942 году вечернее сообщение Совинформбюро:</w:t>
      </w:r>
    </w:p>
    <w:p w14:paraId="2328FB3C"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апреля на фронте чего-либо существенного не произошло.</w:t>
      </w:r>
    </w:p>
    <w:p w14:paraId="763AEAD6"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апреля уничтожено 14 немецких самолётов. Наши потери — 5 самолётов.</w:t>
      </w:r>
    </w:p>
    <w:p w14:paraId="4D4FFCDE"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Баренцевом море торпедировали транспорт противника водоизмещением в 9.000 тонн и другой транспорт водоизмещением в 8.000 тонн.</w:t>
      </w:r>
    </w:p>
    <w:p w14:paraId="10A4A47F"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немцы ввели в бой резервы и предприняли контратаки, поддержанные танками и артиллерией. Наши бойцы отбросили противника и овладели укреплённым населённым пунктом. В течение суток немцы потеряли убитыми свыше 500 солдат и офицеров. Огнём нашей артиллерии и пехоты уничтожены немецкий танк, орудие, 22 пулемета и разрушено 22 блиндажа. Захвачены трофеи, в числе которых 11 орудий, 38 станковых и ручных пулемётов, 3 крупнокалиберных пулемёта, миномёт, 87 винтовок, свыше 2.000 патронов, 2 радиостанции, 2 полевые кухни и другое военное имущество. На другом участке фронта артиллерийским огнём уничтожено 9 немецких орудий и 4 пулемётных точки. Противник потерял убитыми до 180 солдат и офицеров.</w:t>
      </w:r>
    </w:p>
    <w:p w14:paraId="1747596E"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за день боёв с противником захватила 5 немецких орудий, 6 миномётов, 17 пулемётов, 20 ящиков снарядов, 1.000 мин, 10.000 винтовочных патронов, автоцистерну и 20 повозок с продовольствием. Немцы понесли большие потери в людях.</w:t>
      </w:r>
    </w:p>
    <w:p w14:paraId="273E9AC4"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под командой лейтенанта Крюка заметила передвижение вражеского подразделения. Несмотря на численное превосходство немцев, лейтенант решил принять бой, и смело атаковал противника. Немцы отступили, потеряв убитыми 60 солдат и офицеров.</w:t>
      </w:r>
    </w:p>
    <w:p w14:paraId="27C427D2"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Смелую вылазку в тыл противника на днях совершил танковый экипаж младшего лейтенанта Миронова. Во время рейда танкисты нанесли врагу большой урон в живой силе и уничтожили 6 орудий и свыше 20 оборонительных пунктов.</w:t>
      </w:r>
    </w:p>
    <w:p w14:paraId="2B387C3B"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сержант Геннадий Харламов огнём из винтовки сбил над полем боя немецкий истребитель.</w:t>
      </w:r>
    </w:p>
    <w:p w14:paraId="3102AE37"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под командованием тов. Ж., действующий в тылу немецких войскна Западном фронте, организовал засаду на одной из дорог, соединяющей два крупных населённых пункта. По дороге подошла колонна немецкой пехоты. Внезапно напав на врага, партизаны уничтожили 22 гитлеровца и захватили ручной пулемёт, миномёт, 6 винтовок и несколько автоматов.</w:t>
      </w:r>
    </w:p>
    <w:p w14:paraId="4EE23218"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2 роты разведывательного отряда 30 немецкой пехотной дивизии Георг Коль рассказал: «Недавно в одном из штабных зданий города Старая Русса собрались 40 немецких солдат. Их вызвало сюда командование для того, чтобы вручить железные кресты. В самый разгар церемонии раздался взрыв необычайной силы. В результате взрыва погибли все 40 солдат, а также присутствовавшие на торжестве офицеры. Позднее выяснилось, что дом заминировали и взорвали партизаны. Несмотря на все розыски, виновники взрыва не были обнаружены».</w:t>
      </w:r>
    </w:p>
    <w:p w14:paraId="56A8B2CF"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 роты 40 мотострелкового полка 17 немецкой танковой дивизии Георг Цехетмайер рассказал: «В армию меня призвали в середине января этого года. 11 дней я пробыл в казармах в Дуисбурге. На двенадцатый день меня направили на фронт. В 3 роте много солдат, которые прошли лишь двухнедельный курс военного обучения. Это главным образом рабочие, которые до самого последнеговремени работали на военных заводах и пользовались отсрочкой. Из 120 солдат роты здоровых и годных к военной службе насчитывается не более 30 человек».</w:t>
      </w:r>
    </w:p>
    <w:p w14:paraId="20E0A537"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советских войск, немецкие изверги грабят население, жгут деревни, расстреливают стариков, женщин и детей. Только в деревнях Маслино, Дубовицы, Шевелево, Ефремово, Арефино, Городок и Борисово, Ленинградской области, гитлеровцы за последнее время расстреляли 76 колхозников. Многие жители получили тяжёлые увечья. По неполным данным, в перечисленных деревнях сожжено и разрушено 365 домов колхозников, 4 школы, 3 клуба, все больницы, сотни общественных колхозных построек.» (15100).</w:t>
      </w:r>
    </w:p>
    <w:p w14:paraId="652EE5AD" w14:textId="77777777" w:rsidR="00F3622C" w:rsidRPr="008127F8" w:rsidRDefault="00F3622C" w:rsidP="001E0A84">
      <w:pPr>
        <w:spacing w:after="0" w:line="240" w:lineRule="auto"/>
        <w:jc w:val="both"/>
        <w:rPr>
          <w:rFonts w:ascii="Times New Roman" w:hAnsi="Times New Roman"/>
          <w:color w:val="000000" w:themeColor="text1"/>
          <w:sz w:val="16"/>
          <w:szCs w:val="16"/>
        </w:rPr>
      </w:pPr>
    </w:p>
    <w:p w14:paraId="532E0E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апреля 1942 г. четверка Пе-3, возглавляемая капитаном В. </w:t>
      </w:r>
      <w:proofErr w:type="gramStart"/>
      <w:r w:rsidRPr="008127F8">
        <w:rPr>
          <w:rFonts w:ascii="Times New Roman" w:hAnsi="Times New Roman"/>
          <w:color w:val="000000" w:themeColor="text1"/>
          <w:sz w:val="16"/>
          <w:szCs w:val="16"/>
        </w:rPr>
        <w:t>Куликовым,  атаковала</w:t>
      </w:r>
      <w:proofErr w:type="gramEnd"/>
      <w:r w:rsidRPr="008127F8">
        <w:rPr>
          <w:rFonts w:ascii="Times New Roman" w:hAnsi="Times New Roman"/>
          <w:color w:val="000000" w:themeColor="text1"/>
          <w:sz w:val="16"/>
          <w:szCs w:val="16"/>
        </w:rPr>
        <w:t xml:space="preserve"> военно-морскую базу Линахамари. Результатом удара стало потопление транспорта водоизмещением 4000 т и повреждение нескольких судов, а также причалов и портовых сооружений. Четверка потерь не имела. 20 апреля в районе порта Киркенес открыл свой боевой счет на севере экипаж лейтенанта B.C. Стрельцова. Вылетевший на "свободную охоту" одиночный Пе-3 удачно атаковал танкер водоизмещением около 5000 т, подкравшись к нему со стороны моря. После сброса бомб самолет Стрельцова оказался мишенью для зенитной артиллерии стоявших в порту кораблей и судов. Летчик уклонился от огня, сделав иммельман, а затем спикировал на горящий танкер и добил его реактивными снарядами. Этот незаурядный авиатор за три года войны совершил 146 боевых вылетов, по официальным данным потопил три и повредил два корабля, уничтожил 12 самолетов, 9 танков, 2 железнодорожных эшелона и 45 автомобилей противника. Он стал единственным летчиком 95-го иап, получившим в годы войны звание Героя Советского Союза (12042).</w:t>
      </w:r>
    </w:p>
    <w:p w14:paraId="28F385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3889B" w14:textId="77777777" w:rsidR="00377126" w:rsidRPr="008127F8" w:rsidRDefault="0037712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А.Г. издал директиву о сформировании на ВФ из венгерских, румынских и итальянских национальных частей национальных армий (3186).</w:t>
      </w:r>
    </w:p>
    <w:p w14:paraId="36DC7016" w14:textId="77777777" w:rsidR="00377126" w:rsidRPr="008127F8" w:rsidRDefault="0037712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4C44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4AB7C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CCE7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возобновилась работа общественного транспорта в Ленинграде (2070,64).</w:t>
      </w:r>
    </w:p>
    <w:p w14:paraId="1CE181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AB8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вышли на маршруты первые "блокадные" трамваи, восстановлено трамвайное движение в осажденном Ленинграде. После начала блокады трамваи выходили на маршруты вплоть до начала декабря, но 8 декабря 1941 года подача электроэнергии прекратилась так неожиданно, что десятки трамваев и троллейбусов застряли посреди улиц. Всю самую суровую блокадную зиму разбитые и засыпанные снегом трамваи навевали грусть на ленинградцев. Ольга Берггольц писала: "... у Лавры на путях цепь трамваев с выбитыми стеклами, с сугробами на скамейках. Тоже стоят... Неужели мы в этом когда-то ездили? Странно! Я шла мимо умерших трамваев и троллейбусов в каком- то другом столетии, в другой жизни".</w:t>
      </w:r>
    </w:p>
    <w:p w14:paraId="0BEB2F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Какой же радостью для измученных ленинградцев стало появление на улицах первых трамваев утром 15 апреля 1942 года. Плакали от радости вагоновожатые, плакали от радости пассажиры. Люди с удивлением и восхищением оборачивались на звук приближающегося трамвая, кричали "ура" и просили вагоновожатых... еще раз позвонить в звонок. Вот что вспоминала вагоновожатая Ефросинья Федоровна Агапова о том, как 15 апреля она снова вывела вагон на линию: "... И вдруг вагон ожил. Не могу передать, что испытала в эту минуту. Вывела трамвай из парка. На остановках входят люди, смеются, плачут от радости. Многие спрашивают: "Сколько же теперь будет стоить билет?" А я тоже смеюсь и слезы вытираю от радости, говорю: "Все те же 15 копеек, дорогие мои, все те же 15 копеек". ... Тот рейс, 15 апреля, я не забуду никогда. И всегда у меня в памяти лица тех моих блокадных пассажиров".</w:t>
      </w:r>
    </w:p>
    <w:p w14:paraId="587A55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обстрелами и бомбежками движение пассажирских трамваев не прекращалось. Грузовые трамваи вышли на линию еще раньше, 7 марта 1942 года, и помогали очищать город от снега. Все это помогло тысячам ленинградцев выжить, внушало им веру в скорую победу. А в конце 1942 года, инженеры-трамвайщики начали проектировать троллейбусную линию... по льду Ладожского озера. Построить ее не пришлось. 18 января 1943 года блокада была прорвана. На невзрачном здании на набережной Фонтанки, у цирка, висит мемориальная доска в память о тех сотрудниках тяговой подстанции трамвайной сети, которые обеспечивали движение блокадных трамваевь (10739).</w:t>
      </w:r>
    </w:p>
    <w:p w14:paraId="683E62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3EAB1" w14:textId="77777777" w:rsidR="00F3622C" w:rsidRPr="008127F8" w:rsidRDefault="00F3622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апреля в 1942 году вышли на маршруты первые "блокадные" трамваи, восстановлено трамвайное движение в осажденном Ленинграде. После начала блокады трамваи выходили на маршруты вплоть до начала декабря, но 8 декабря 1941 года подача электроэнергии прекратилась так неожиданно, что десятки трамваев и троллейбусов застряли посреди улиц. Всю самую суровую блокадную зиму разбитые и засыпанные снегом трамваи навевали грусть на ленинградцев. Ольга Берггольц писала: "... у Лавры на путях цепь трамваев с выбитыми стеклами, с сугробами на скамейках. Тоже стоят... Неужели мы в этом когда-то ездили? Странно! Я шла мимо умерших трамваев и троллейбусов в каком- то другом столетии, в другой жизни". Какой же радостью для измученных ленинградцев стало появление на улицах первых трамваев утром 15 апреля 1942 года. Плакали от радости вагоновожатые, плакали от радости пассажиры. Люди с удивлением и восхищением оборачивались </w:t>
      </w:r>
      <w:r w:rsidRPr="008127F8">
        <w:rPr>
          <w:rFonts w:ascii="Times New Roman" w:hAnsi="Times New Roman"/>
          <w:color w:val="000000" w:themeColor="text1"/>
          <w:sz w:val="16"/>
          <w:szCs w:val="16"/>
        </w:rPr>
        <w:lastRenderedPageBreak/>
        <w:t>на звук приближающегося трамвая, кричали "ура" и просили вагоновожатых... еще раз позвонить в звонок. Вот что вспоминала вагоновожатая Ефросинья Федоровна Агапова о том, как 15 апреля она снова вывела вагон на линию: "... И вдруг вагон ожил. Не могу передать, что испытала в эту минуту. Вывела трамвай из парка. На остановках входят люди, смеются, плачут от радости. Многие спрашивают: "Сколько же теперь будет стоить билет?" А я тоже смеюсь и слезы вытираю от радости, говорю: "Все те же 15 копеек, дорогие мои, все те же 15 копеек". ... Тот рейс, 15 апреля, я не забуду никогда. И всегда у меня в памяти лица тех моих блокадных пассажиров". По обстрелами и бомбежками движение пассажирских трамваев не прекращалось. Грузовые трамваи вышли на линию еще раньше, 7 марта 1942 года, и помогали очищать город от снега. Все это помогло тысячам ленинградцев выжить, внушало им веру в скорую победу. А в конце 1942 года, инженеры-трамвайщики начали проектировать троллейбусную линию... по льду Ладожского озера. Построить ее не пришлось. 18 января 1943 года блокада была прорвана. На невзрачном здании на набережной Фонтанки, у цирка, висит мемориальная доска в память о тех сотрудниках тяговой подстанции трамвайной сети, которые обеспечивали движение блокадных трамваев (15100).</w:t>
      </w:r>
    </w:p>
    <w:p w14:paraId="602F4E6F" w14:textId="77777777" w:rsidR="00F3622C" w:rsidRPr="008127F8" w:rsidRDefault="00F3622C" w:rsidP="001E0A84">
      <w:pPr>
        <w:spacing w:after="0" w:line="240" w:lineRule="auto"/>
        <w:jc w:val="both"/>
        <w:rPr>
          <w:rFonts w:ascii="Times New Roman" w:hAnsi="Times New Roman"/>
          <w:color w:val="000000" w:themeColor="text1"/>
          <w:sz w:val="16"/>
          <w:szCs w:val="16"/>
        </w:rPr>
      </w:pPr>
    </w:p>
    <w:p w14:paraId="11E0D2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 апреля 1942 в Сталинграде, где спешно велись работы по приведению в порядок укрытий для населения, имелись 66 км открытых и закрытых щелей для населения, в которых могли разместиться 132 тыс. человек. Для газо– и бомбоубежищ предназначались 237 подвалов на 33 500 человек. Имевшихся в городе укрытий тем не менее было недостаточно. Вблизи многих домов до сих пор вообще отсутствовали какие-либо «щели». Все это заставляло принимать срочные меры для увеличения убежищ. Кроме того, Сталинградский горкомитет обороны поручил предприятиям области дополнительно изготовить 50 тыс. противогазов, дегазаторов, защитных комбинезонов и фартуков. Поскольку соответствующих промышленных мощностей не было, приняли решение создать специальную мастерскую по производству средств индивидуальной защиты (11774).</w:t>
      </w:r>
    </w:p>
    <w:p w14:paraId="790265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BE0F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EC2A8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393DC"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 апреля 1942 Мальта подверглась 115 воздушным налетам, при этом в среднем ежедневно остров атаковали 170 немецких бомбардировщиков (20793).</w:t>
      </w:r>
    </w:p>
    <w:p w14:paraId="541C5263" w14:textId="77777777" w:rsidR="009F56D6" w:rsidRPr="008127F8" w:rsidRDefault="009F56D6" w:rsidP="001E0A84">
      <w:pPr>
        <w:spacing w:after="0" w:line="240" w:lineRule="auto"/>
        <w:jc w:val="both"/>
        <w:rPr>
          <w:rFonts w:ascii="Times New Roman" w:hAnsi="Times New Roman"/>
          <w:color w:val="000000" w:themeColor="text1"/>
          <w:sz w:val="16"/>
          <w:szCs w:val="16"/>
        </w:rPr>
      </w:pPr>
    </w:p>
    <w:p w14:paraId="2CB863E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1942 английский король Георг наградил остров Мальту Георгиевским крестом за сопротивление фашистам (4962).</w:t>
      </w:r>
    </w:p>
    <w:p w14:paraId="38DCBEE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469AE" w14:textId="77777777" w:rsidR="00377126" w:rsidRPr="008127F8" w:rsidRDefault="00377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в 1942 году У.Черчилль обратился к американскому командованию с просьбой о помощи английским силам в Индийском океане.</w:t>
      </w:r>
    </w:p>
    <w:p w14:paraId="63A6EFCE" w14:textId="77777777" w:rsidR="00377126" w:rsidRPr="008127F8" w:rsidRDefault="00377126" w:rsidP="001E0A84">
      <w:pPr>
        <w:spacing w:after="0" w:line="240" w:lineRule="auto"/>
        <w:jc w:val="both"/>
        <w:rPr>
          <w:rFonts w:ascii="Times New Roman" w:hAnsi="Times New Roman"/>
          <w:color w:val="000000" w:themeColor="text1"/>
          <w:sz w:val="16"/>
          <w:szCs w:val="16"/>
        </w:rPr>
      </w:pPr>
    </w:p>
    <w:p w14:paraId="164AA980" w14:textId="77777777" w:rsidR="00377126" w:rsidRPr="008127F8" w:rsidRDefault="00377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апреля в 1942 году из Великобритании на Ближний Восток отправлено 45 тысяч солдат (15100).</w:t>
      </w:r>
    </w:p>
    <w:p w14:paraId="49554A0C" w14:textId="77777777" w:rsidR="00377126" w:rsidRPr="008127F8" w:rsidRDefault="00377126" w:rsidP="001E0A84">
      <w:pPr>
        <w:spacing w:after="0" w:line="240" w:lineRule="auto"/>
        <w:jc w:val="both"/>
        <w:rPr>
          <w:rFonts w:ascii="Times New Roman" w:hAnsi="Times New Roman"/>
          <w:color w:val="000000" w:themeColor="text1"/>
          <w:sz w:val="16"/>
          <w:szCs w:val="16"/>
        </w:rPr>
      </w:pPr>
    </w:p>
    <w:p w14:paraId="5556CFAD" w14:textId="77777777" w:rsidR="002848F2" w:rsidRPr="008127F8" w:rsidRDefault="002848F2" w:rsidP="002848F2">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E6A0047" w14:textId="77777777" w:rsidR="002848F2" w:rsidRPr="008127F8" w:rsidRDefault="002848F2" w:rsidP="002848F2">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68CFE"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первой половине апреля 1942 года происходили </w:t>
      </w:r>
      <w:proofErr w:type="gramStart"/>
      <w:r w:rsidRPr="008A2E5A">
        <w:rPr>
          <w:rFonts w:ascii="Times New Roman" w:hAnsi="Times New Roman"/>
          <w:color w:val="0070C0"/>
          <w:sz w:val="16"/>
          <w:szCs w:val="16"/>
        </w:rPr>
        <w:t>процессы</w:t>
      </w:r>
      <w:proofErr w:type="gramEnd"/>
      <w:r w:rsidRPr="008A2E5A">
        <w:rPr>
          <w:rFonts w:ascii="Times New Roman" w:hAnsi="Times New Roman"/>
          <w:color w:val="0070C0"/>
          <w:sz w:val="16"/>
          <w:szCs w:val="16"/>
        </w:rPr>
        <w:t xml:space="preserve"> долгое время находившиеся за бортом "каноничной" истории отечественной самоходной артиллерии. Считается, что процесс разработки советских штурмовых САУ запустили 15 апреля 1942 года. В этот день состоялся пленум Артиллерийского Комитета ГАУ КА, на котором утвердили работы по самоходной артиллерии. Среди утвержденных тем были и штурмовые самоходные орудия. 122-СГ на нем не поминалась, что несколько вводило в заблуждение. На самом деле обсуждать было уже нечего - работы по САУ запустили. Пленум санкционировал работы по аналогичным штурмовым самоходам, но уже с Т-34 как база. Как показали дальнейшие события, решения были правильными, поскольку зависимость от трофейных шасси стала самым узким местом. За весь 1942 год на БТРЗ №82 поступило 27 трофейных StuG III, из которых 8 ушло на фронт. Больше всего (14 штук) прибыло в марте 1942 года. Далее ручеек трофеев стал очень узким (23368).</w:t>
      </w:r>
    </w:p>
    <w:p w14:paraId="4EFBD566" w14:textId="77777777" w:rsidR="002848F2" w:rsidRPr="008A2E5A" w:rsidRDefault="002848F2" w:rsidP="002848F2">
      <w:pPr>
        <w:spacing w:after="0" w:line="240" w:lineRule="auto"/>
        <w:jc w:val="both"/>
        <w:rPr>
          <w:rFonts w:ascii="Times New Roman" w:hAnsi="Times New Roman"/>
          <w:color w:val="0070C0"/>
          <w:sz w:val="16"/>
          <w:szCs w:val="16"/>
        </w:rPr>
      </w:pPr>
    </w:p>
    <w:p w14:paraId="5977904B" w14:textId="69345D12" w:rsidR="002848F2" w:rsidRDefault="002848F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7D27E91B" w14:textId="77777777" w:rsidR="002848F2" w:rsidRDefault="002848F2"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F26A877"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апреля 1942 г. завершили составление отче</w:t>
      </w:r>
      <w:r w:rsidRPr="008A2E5A">
        <w:rPr>
          <w:rFonts w:ascii="Times New Roman" w:hAnsi="Times New Roman"/>
          <w:color w:val="0070C0"/>
          <w:sz w:val="16"/>
          <w:szCs w:val="16"/>
        </w:rPr>
        <w:softHyphen/>
        <w:t>та по испытаниям Bf 109F-2 (зав. № 9209). Выво</w:t>
      </w:r>
      <w:r w:rsidRPr="008A2E5A">
        <w:rPr>
          <w:rFonts w:ascii="Times New Roman" w:hAnsi="Times New Roman"/>
          <w:color w:val="0070C0"/>
          <w:sz w:val="16"/>
          <w:szCs w:val="16"/>
        </w:rPr>
        <w:softHyphen/>
        <w:t>ды Розанова мало отличались от тех, что сде</w:t>
      </w:r>
      <w:r w:rsidRPr="008A2E5A">
        <w:rPr>
          <w:rFonts w:ascii="Times New Roman" w:hAnsi="Times New Roman"/>
          <w:color w:val="0070C0"/>
          <w:sz w:val="16"/>
          <w:szCs w:val="16"/>
        </w:rPr>
        <w:softHyphen/>
        <w:t>лал А.Н. Фролов до проведения испытаний, однако имелись и кое-какие отличия. В част</w:t>
      </w:r>
      <w:r w:rsidRPr="008A2E5A">
        <w:rPr>
          <w:rFonts w:ascii="Times New Roman" w:hAnsi="Times New Roman"/>
          <w:color w:val="0070C0"/>
          <w:sz w:val="16"/>
          <w:szCs w:val="16"/>
        </w:rPr>
        <w:softHyphen/>
        <w:t>ности, было достоверно установлено, что Bf 109F летал у земли на 70 км/ч быстрее, чем Bf 109Е, причем примерно половина при</w:t>
      </w:r>
      <w:r w:rsidRPr="008A2E5A">
        <w:rPr>
          <w:rFonts w:ascii="Times New Roman" w:hAnsi="Times New Roman"/>
          <w:color w:val="0070C0"/>
          <w:sz w:val="16"/>
          <w:szCs w:val="16"/>
        </w:rPr>
        <w:softHyphen/>
        <w:t>роста скорости была получена благодаря более мощному двигателю DB 601N, а дру</w:t>
      </w:r>
      <w:r w:rsidRPr="008A2E5A">
        <w:rPr>
          <w:rFonts w:ascii="Times New Roman" w:hAnsi="Times New Roman"/>
          <w:color w:val="0070C0"/>
          <w:sz w:val="16"/>
          <w:szCs w:val="16"/>
        </w:rPr>
        <w:softHyphen/>
        <w:t>гая — благодаря лучшей аэродинамике. Так, улучшение тоннелей и формы жидкостных радиаторов добавляло 12—14 км/ч, уборка хвостового колеса и ликвидация подкосов оперения — 7—8 км/ч, отказ от зависающих элеронов и щелевых закрылков (при этом ликвидировались щели, создававшие допол</w:t>
      </w:r>
      <w:r w:rsidRPr="008A2E5A">
        <w:rPr>
          <w:rFonts w:ascii="Times New Roman" w:hAnsi="Times New Roman"/>
          <w:color w:val="0070C0"/>
          <w:sz w:val="16"/>
          <w:szCs w:val="16"/>
        </w:rPr>
        <w:softHyphen/>
        <w:t>нительное сопротивление) — еще 6—7 км/ч.</w:t>
      </w:r>
    </w:p>
    <w:p w14:paraId="0919E095"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Важное место в отчете заняла эксплуата</w:t>
      </w:r>
      <w:r w:rsidRPr="008A2E5A">
        <w:rPr>
          <w:rFonts w:ascii="Times New Roman" w:hAnsi="Times New Roman"/>
          <w:color w:val="0070C0"/>
          <w:sz w:val="16"/>
          <w:szCs w:val="16"/>
        </w:rPr>
        <w:softHyphen/>
        <w:t>ционная оценка истребителя. Советские спе</w:t>
      </w:r>
      <w:r w:rsidRPr="008A2E5A">
        <w:rPr>
          <w:rFonts w:ascii="Times New Roman" w:hAnsi="Times New Roman"/>
          <w:color w:val="0070C0"/>
          <w:sz w:val="16"/>
          <w:szCs w:val="16"/>
        </w:rPr>
        <w:softHyphen/>
        <w:t>циалисты отметили хорошие подходы к агре</w:t>
      </w:r>
      <w:r w:rsidRPr="008A2E5A">
        <w:rPr>
          <w:rFonts w:ascii="Times New Roman" w:hAnsi="Times New Roman"/>
          <w:color w:val="0070C0"/>
          <w:sz w:val="16"/>
          <w:szCs w:val="16"/>
        </w:rPr>
        <w:softHyphen/>
        <w:t>гатам мотора, особенно свечам, удобно вы</w:t>
      </w:r>
      <w:r w:rsidRPr="008A2E5A">
        <w:rPr>
          <w:rFonts w:ascii="Times New Roman" w:hAnsi="Times New Roman"/>
          <w:color w:val="0070C0"/>
          <w:sz w:val="16"/>
          <w:szCs w:val="16"/>
        </w:rPr>
        <w:softHyphen/>
        <w:t>полненное капотирование двигателя, значи</w:t>
      </w:r>
      <w:r w:rsidRPr="008A2E5A">
        <w:rPr>
          <w:rFonts w:ascii="Times New Roman" w:hAnsi="Times New Roman"/>
          <w:color w:val="0070C0"/>
          <w:sz w:val="16"/>
          <w:szCs w:val="16"/>
        </w:rPr>
        <w:softHyphen/>
        <w:t>тельное облегчение работы пилота благодаря внедрению различных автоматов, в том числе регулирующих температуру воды и масла в моторе.</w:t>
      </w:r>
    </w:p>
    <w:p w14:paraId="40C977A4"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специалисты института провели учебный воздушный бой Bf 109F с Як-1 (зав. № 0511) и выработали рекоменда</w:t>
      </w:r>
      <w:r w:rsidRPr="008A2E5A">
        <w:rPr>
          <w:rFonts w:ascii="Times New Roman" w:hAnsi="Times New Roman"/>
          <w:color w:val="0070C0"/>
          <w:sz w:val="16"/>
          <w:szCs w:val="16"/>
        </w:rPr>
        <w:softHyphen/>
        <w:t>ции для летного состава строевых частей ВВС Красной Армии. При этом они «закрыли гла</w:t>
      </w:r>
      <w:r w:rsidRPr="008A2E5A">
        <w:rPr>
          <w:rFonts w:ascii="Times New Roman" w:hAnsi="Times New Roman"/>
          <w:color w:val="0070C0"/>
          <w:sz w:val="16"/>
          <w:szCs w:val="16"/>
        </w:rPr>
        <w:softHyphen/>
        <w:t>за» на неисправность турбомуфты трофейной машины. В результате получилось, что шансы советского истребителя на победу станови</w:t>
      </w:r>
      <w:r w:rsidRPr="008A2E5A">
        <w:rPr>
          <w:rFonts w:ascii="Times New Roman" w:hAnsi="Times New Roman"/>
          <w:color w:val="0070C0"/>
          <w:sz w:val="16"/>
          <w:szCs w:val="16"/>
        </w:rPr>
        <w:softHyphen/>
        <w:t>лись тем больше, чем выше поднимались самолеты. Если вблизи земли полное превос</w:t>
      </w:r>
      <w:r w:rsidRPr="008A2E5A">
        <w:rPr>
          <w:rFonts w:ascii="Times New Roman" w:hAnsi="Times New Roman"/>
          <w:color w:val="0070C0"/>
          <w:sz w:val="16"/>
          <w:szCs w:val="16"/>
        </w:rPr>
        <w:softHyphen/>
        <w:t>ходство «мессера» не вызывало сомнений, и отечественным летчикам рекомендовались лобовые атаки, то с высоты 3000 м шансы уравнивались, а на 5000 м «Яковлев», будто бы, получал полное преимущество вскорости и маневренности. Иными словами, летчикам предписывалось затягивать немецкие истре</w:t>
      </w:r>
      <w:r w:rsidRPr="008A2E5A">
        <w:rPr>
          <w:rFonts w:ascii="Times New Roman" w:hAnsi="Times New Roman"/>
          <w:color w:val="0070C0"/>
          <w:sz w:val="16"/>
          <w:szCs w:val="16"/>
        </w:rPr>
        <w:softHyphen/>
        <w:t>бители на высоту.</w:t>
      </w:r>
    </w:p>
    <w:p w14:paraId="0BFF9B4F" w14:textId="77777777" w:rsidR="002848F2" w:rsidRPr="008A2E5A" w:rsidRDefault="002848F2" w:rsidP="002848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Увы, эти рекомендации не отражали ис</w:t>
      </w:r>
      <w:r w:rsidRPr="008A2E5A">
        <w:rPr>
          <w:rFonts w:ascii="Times New Roman" w:hAnsi="Times New Roman"/>
          <w:color w:val="0070C0"/>
          <w:sz w:val="16"/>
          <w:szCs w:val="16"/>
        </w:rPr>
        <w:softHyphen/>
        <w:t>тинного положения дел. Из германских мате</w:t>
      </w:r>
      <w:r w:rsidRPr="008A2E5A">
        <w:rPr>
          <w:rFonts w:ascii="Times New Roman" w:hAnsi="Times New Roman"/>
          <w:color w:val="0070C0"/>
          <w:sz w:val="16"/>
          <w:szCs w:val="16"/>
        </w:rPr>
        <w:softHyphen/>
        <w:t>риалов и результатов испытаний в Велико</w:t>
      </w:r>
      <w:r w:rsidRPr="008A2E5A">
        <w:rPr>
          <w:rFonts w:ascii="Times New Roman" w:hAnsi="Times New Roman"/>
          <w:color w:val="0070C0"/>
          <w:sz w:val="16"/>
          <w:szCs w:val="16"/>
        </w:rPr>
        <w:softHyphen/>
        <w:t>британии следовало, что Bf I09F с мотором DB 601N развивал на высоте 6000 м макси</w:t>
      </w:r>
      <w:r w:rsidRPr="008A2E5A">
        <w:rPr>
          <w:rFonts w:ascii="Times New Roman" w:hAnsi="Times New Roman"/>
          <w:color w:val="0070C0"/>
          <w:sz w:val="16"/>
          <w:szCs w:val="16"/>
        </w:rPr>
        <w:softHyphen/>
        <w:t>мальную скорость 597—600 км/ч, а вовсе не 552 км/ч. как это указано в отчете в НИИ ВВС. Следовательно, «мессер» превосходил на высотах до 5000 м все отечественные ис</w:t>
      </w:r>
      <w:r w:rsidRPr="008A2E5A">
        <w:rPr>
          <w:rFonts w:ascii="Times New Roman" w:hAnsi="Times New Roman"/>
          <w:color w:val="0070C0"/>
          <w:sz w:val="16"/>
          <w:szCs w:val="16"/>
        </w:rPr>
        <w:softHyphen/>
        <w:t>требители, включая серийные МиГ-3 (на 20— 30 км/ч). Для «яка» же рекомендация о пред</w:t>
      </w:r>
      <w:r w:rsidRPr="008A2E5A">
        <w:rPr>
          <w:rFonts w:ascii="Times New Roman" w:hAnsi="Times New Roman"/>
          <w:color w:val="0070C0"/>
          <w:sz w:val="16"/>
          <w:szCs w:val="16"/>
        </w:rPr>
        <w:softHyphen/>
        <w:t>почтительности затягивания противника на высоты более 5000 м диаметрально противо</w:t>
      </w:r>
      <w:r w:rsidRPr="008A2E5A">
        <w:rPr>
          <w:rFonts w:ascii="Times New Roman" w:hAnsi="Times New Roman"/>
          <w:color w:val="0070C0"/>
          <w:sz w:val="16"/>
          <w:szCs w:val="16"/>
        </w:rPr>
        <w:softHyphen/>
        <w:t>речила действительности. Материалы работы и подробное техническое описание Bf 109F размножили и довели до сведения команди</w:t>
      </w:r>
      <w:r w:rsidRPr="008A2E5A">
        <w:rPr>
          <w:rFonts w:ascii="Times New Roman" w:hAnsi="Times New Roman"/>
          <w:color w:val="0070C0"/>
          <w:sz w:val="16"/>
          <w:szCs w:val="16"/>
        </w:rPr>
        <w:softHyphen/>
        <w:t>ров и штабов (24195).</w:t>
      </w:r>
    </w:p>
    <w:p w14:paraId="67F5D92C" w14:textId="77777777" w:rsidR="002848F2" w:rsidRPr="008A2E5A" w:rsidRDefault="002848F2" w:rsidP="002848F2">
      <w:pPr>
        <w:spacing w:after="0" w:line="240" w:lineRule="auto"/>
        <w:jc w:val="both"/>
        <w:rPr>
          <w:rFonts w:ascii="Times New Roman" w:hAnsi="Times New Roman"/>
          <w:color w:val="0070C0"/>
          <w:sz w:val="16"/>
          <w:szCs w:val="16"/>
        </w:rPr>
      </w:pPr>
    </w:p>
    <w:p w14:paraId="68069130" w14:textId="5AE7795E" w:rsidR="00FC48A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EFCCEAE" w14:textId="77777777" w:rsidR="00FC48A3" w:rsidRPr="008127F8" w:rsidRDefault="00FC48A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1C6CC" w14:textId="77777777" w:rsidR="00FC48A3" w:rsidRPr="008127F8" w:rsidRDefault="00FC48A3"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середине апреля 1942 года Кировский за</w:t>
      </w:r>
      <w:r w:rsidRPr="008127F8">
        <w:rPr>
          <w:rFonts w:ascii="Times New Roman" w:cs="Times New Roman"/>
          <w:color w:val="000000" w:themeColor="text1"/>
          <w:spacing w:val="0"/>
        </w:rPr>
        <w:softHyphen/>
        <w:t xml:space="preserve">вод изготовил два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с рядом модер</w:t>
      </w:r>
      <w:r w:rsidRPr="008127F8">
        <w:rPr>
          <w:rFonts w:ascii="Times New Roman" w:cs="Times New Roman"/>
          <w:color w:val="000000" w:themeColor="text1"/>
          <w:spacing w:val="0"/>
        </w:rPr>
        <w:softHyphen/>
        <w:t>низированных узлов и деталей (машины с за</w:t>
      </w:r>
      <w:r w:rsidRPr="008127F8">
        <w:rPr>
          <w:rFonts w:ascii="Times New Roman" w:cs="Times New Roman"/>
          <w:color w:val="000000" w:themeColor="text1"/>
          <w:spacing w:val="0"/>
        </w:rPr>
        <w:softHyphen/>
        <w:t xml:space="preserve">водскими №№ 10279 и 10334). Именно тогда в документах впервые появляется индекс -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(15226).</w:t>
      </w:r>
    </w:p>
    <w:p w14:paraId="2A8454EE" w14:textId="77777777" w:rsidR="00FC48A3" w:rsidRPr="008127F8" w:rsidRDefault="00FC48A3" w:rsidP="001E0A84">
      <w:pPr>
        <w:pStyle w:val="27"/>
        <w:shd w:val="clear" w:color="auto" w:fill="auto"/>
        <w:spacing w:after="0" w:line="240" w:lineRule="auto"/>
        <w:ind w:firstLine="0"/>
        <w:rPr>
          <w:rFonts w:ascii="Times New Roman" w:cs="Times New Roman"/>
          <w:color w:val="000000" w:themeColor="text1"/>
          <w:spacing w:val="0"/>
        </w:rPr>
      </w:pPr>
    </w:p>
    <w:p w14:paraId="31BAF99D"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середине апреля 1942 года в КБ завода №37 официально были начаты работы по теме лёгких САУ. К двадцатым числам мая удалось подготовить расчёты и эскизные наработки. Одновременно разрабатывались и штурмовые САУ, и ЗСУ, причём в двух вариантах: с 37-мм пушкой 61-К и 25-мм зенитной пушкой 72-К. По понятным причинам приоритет был отдан варианту на базе Т-60. Он получил обозначение «шасси 31», или «объект 31». Старшим инженером проекта был инженер-конструктор отдела 030 К. Е. Истомин.</w:t>
      </w:r>
    </w:p>
    <w:p w14:paraId="6D06DCFD"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«Объект 31» во многом соответствовал тактико-техническим требованиям на универсальное шасси, разработанным в январе 1942 года. В качестве силовой установки применялись расположенные параллельно двигатели ГАЗ-202, система охлаждения, коробки передач и главные передачи брались с Т-60. Система управления позволяла машине в случае необходимости двигаться на одном работающем двигателе. Коробки передач для переключения соединялись общим удлинённым рычагом. Ходовая часть бралась с Т-60, при этом длина торсионных валов увеличивалась с 1718 до 2225 мм, а число опорных катков — с 4 до 6 на каждый борт.</w:t>
      </w:r>
    </w:p>
    <w:p w14:paraId="3B58D7C3"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Согласно проекту, «шасси 31» предусматривалось для установки на нём 25-мм зенитного автомата 72-К обр.1940 г, 37-мм зенитного автомата 61-К обр.1939 г.; также предусматривалась возможность установки 76-мм пушки ЗИС-3 обр.1942 г. Во всех вариантах предусматривалась дополнительное оборонительное вооружение в виде пулемёта ДТ. Толщина брони зенитного варианта составляла 10 мм по периметру, в варианте штурмового орудия — 30 мм в лобовой части и 15 мм с бортов и кормы. ЗСУ с 25-мм пушкой имела индекс БГС-1, ЗСУ с 37-мм пушкой называлась БГС-2, а штурмовая САУ — БГС-3, их боевая масса оценивалась в 9500 кг, 9700 кг и 9900 кг соответственно.</w:t>
      </w:r>
    </w:p>
    <w:p w14:paraId="5A5A256F"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Второй проект, получивший обозначение «шасси 32» или «объект 32», представлял собой универсальное шасси, спроектированное на базе агрегатов Т-70. Работами по этой машине руководил инженер-конструктор отдела 030 Н. Н. Ефимов. Согласно проекту, в качестве силовой установки здесь применялся двигатель ГАЗ-203, коробка, система охлаждения и бортовые передачи брались с Т-70. Ходовая часть также «заимствовалась» у Т-70, но ввиду того, что эту машину на заводе ещё так и не освоили, на опытном образце предполагалось использовать базу Т-60 с удлинёнными торсионными валами.</w:t>
      </w:r>
    </w:p>
    <w:p w14:paraId="4F5B0C1C"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отличие от «шасси 31», на «объекте 32» предполагалось использовать 76-мм танковую пушку ЗИС-5. Штурмовой вариант «шасси 32» являлся приоритетным. Также на его базе проектировались ЗСУ с установкой 25-мм зенитного автомата 72-К обр.1940 г или 37-мм зенитного автомата 61-К обр.1939 г. Как и в случае с «объектом 31», здесь предусматривалось оборонительное вооружение в виде пулемёта ДТ. Толщина лобовой брони штурмового варианта была больше, чем у «шасси 31» — 35 мм. ЗСУ получила индекс БГС-4, а штурмовая версия — БГС-5. Их боевая масса оценивалась, соответственно, в 8700 и 10 500 кг (17668).</w:t>
      </w:r>
    </w:p>
    <w:p w14:paraId="72EC6084"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001CD53"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середине апреля 1942 года установку ТОГ для Т-34 разработал завод №112, ставший новатором в ряде решений. Но - ТОГ опять не повезло. Пока обсуждали перспективы и готовились к выпуску, время вышло. А там уже и АТО-41, и улучшенный АТО-42 подоспели, поэтому возвращения ТОГ не случилось (22299).</w:t>
      </w:r>
    </w:p>
    <w:p w14:paraId="202ECFBB" w14:textId="77777777" w:rsidR="009F56D6" w:rsidRPr="008127F8" w:rsidRDefault="009F56D6" w:rsidP="001E0A84">
      <w:pPr>
        <w:spacing w:after="0" w:line="240" w:lineRule="auto"/>
        <w:jc w:val="both"/>
        <w:rPr>
          <w:rFonts w:ascii="Times New Roman" w:hAnsi="Times New Roman"/>
          <w:color w:val="000000" w:themeColor="text1"/>
          <w:sz w:val="16"/>
          <w:szCs w:val="16"/>
        </w:rPr>
      </w:pPr>
    </w:p>
    <w:p w14:paraId="713F99B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FF811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D0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середины апреля 1942 г., прибыв на Северный флот, 95-й иап и в течение месяца прйдя подготовку к полетам над местностью, не имевшей ярких ориентиров, включился в боевые действия. Флот не располагал необходимым количеством бомбардировщиков, поэтому тяжелые истребители полка прежде всего были задействованы для нанесения </w:t>
      </w:r>
      <w:proofErr w:type="gramStart"/>
      <w:r w:rsidRPr="008127F8">
        <w:rPr>
          <w:rFonts w:ascii="Times New Roman" w:hAnsi="Times New Roman"/>
          <w:color w:val="000000" w:themeColor="text1"/>
          <w:sz w:val="16"/>
          <w:szCs w:val="16"/>
        </w:rPr>
        <w:t>бомбо-штурмовых</w:t>
      </w:r>
      <w:proofErr w:type="gramEnd"/>
      <w:r w:rsidRPr="008127F8">
        <w:rPr>
          <w:rFonts w:ascii="Times New Roman" w:hAnsi="Times New Roman"/>
          <w:color w:val="000000" w:themeColor="text1"/>
          <w:sz w:val="16"/>
          <w:szCs w:val="16"/>
        </w:rPr>
        <w:t xml:space="preserve"> ударов по кораблям и аэродромам противника (12042).</w:t>
      </w:r>
    </w:p>
    <w:p w14:paraId="20CA00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31789" w14:textId="1F156D61" w:rsidR="009F56D6" w:rsidRPr="008127F8" w:rsidRDefault="009F56D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5936061A" w14:textId="77777777" w:rsidR="009F56D6" w:rsidRPr="008127F8" w:rsidRDefault="009F56D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411F736" w14:textId="0E14DB8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апреля 1942 года И.В. Сталин вызвал командующего авиации дальнего действия генерал-лейтенанта А.Е. Головано</w:t>
      </w:r>
      <w:r w:rsidRPr="008127F8">
        <w:rPr>
          <w:rFonts w:ascii="Times New Roman" w:hAnsi="Times New Roman"/>
          <w:color w:val="000000" w:themeColor="text1"/>
          <w:sz w:val="16"/>
          <w:szCs w:val="16"/>
        </w:rPr>
        <w:softHyphen/>
        <w:t>ва. Ему было приказано проработать план и маршрут полета Молотова. Голованов предложил лететь на бомбардировщике ТБ-7 через линию фронта и над оккупированной терри</w:t>
      </w:r>
      <w:r w:rsidRPr="008127F8">
        <w:rPr>
          <w:rFonts w:ascii="Times New Roman" w:hAnsi="Times New Roman"/>
          <w:color w:val="000000" w:themeColor="text1"/>
          <w:sz w:val="16"/>
          <w:szCs w:val="16"/>
        </w:rPr>
        <w:softHyphen/>
        <w:t>торией СССР в Англию, а потом через Атланти</w:t>
      </w:r>
      <w:r w:rsidRPr="008127F8">
        <w:rPr>
          <w:rFonts w:ascii="Times New Roman" w:hAnsi="Times New Roman"/>
          <w:color w:val="000000" w:themeColor="text1"/>
          <w:sz w:val="16"/>
          <w:szCs w:val="16"/>
        </w:rPr>
        <w:softHyphen/>
        <w:t>ческий океан - в США. Сталин одобрил этот план. Также было принято решение совер</w:t>
      </w:r>
      <w:r w:rsidRPr="008127F8">
        <w:rPr>
          <w:rFonts w:ascii="Times New Roman" w:hAnsi="Times New Roman"/>
          <w:color w:val="000000" w:themeColor="text1"/>
          <w:sz w:val="16"/>
          <w:szCs w:val="16"/>
        </w:rPr>
        <w:softHyphen/>
        <w:t>шить один пробный полет в Англию без деле</w:t>
      </w:r>
      <w:r w:rsidRPr="008127F8">
        <w:rPr>
          <w:rFonts w:ascii="Times New Roman" w:hAnsi="Times New Roman"/>
          <w:color w:val="000000" w:themeColor="text1"/>
          <w:sz w:val="16"/>
          <w:szCs w:val="16"/>
        </w:rPr>
        <w:softHyphen/>
        <w:t>гации. В середине апреля 1942 года генерал- лейтенант А.Е. Голованов вызвал в свой штаб командиров кораблей ТБ-7 майора С.А. Ася мова, капитана Э.К. Пусэпа, штурманов май</w:t>
      </w:r>
      <w:r w:rsidRPr="008127F8">
        <w:rPr>
          <w:rFonts w:ascii="Times New Roman" w:hAnsi="Times New Roman"/>
          <w:color w:val="000000" w:themeColor="text1"/>
          <w:sz w:val="16"/>
          <w:szCs w:val="16"/>
        </w:rPr>
        <w:softHyphen/>
        <w:t>оров А.П. Штепенко и С.М. Романова. Они получили приказ готовиться к дальнему перелету за границу, маршрут и дата которого будут сообщены позже.</w:t>
      </w:r>
    </w:p>
    <w:p w14:paraId="10458559"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Было принято решение готовить два ТБ-7 с заводскими номерами 42066 и </w:t>
      </w:r>
      <w:proofErr w:type="gramStart"/>
      <w:r w:rsidRPr="008127F8">
        <w:rPr>
          <w:rFonts w:ascii="Times New Roman" w:hAnsi="Times New Roman"/>
          <w:color w:val="000000" w:themeColor="text1"/>
          <w:sz w:val="16"/>
          <w:szCs w:val="16"/>
        </w:rPr>
        <w:t>42076</w:t>
      </w:r>
      <w:proofErr w:type="gramEnd"/>
      <w:r w:rsidRPr="008127F8">
        <w:rPr>
          <w:rFonts w:ascii="Times New Roman" w:hAnsi="Times New Roman"/>
          <w:color w:val="000000" w:themeColor="text1"/>
          <w:sz w:val="16"/>
          <w:szCs w:val="16"/>
        </w:rPr>
        <w:t xml:space="preserve"> и два их экипажа к предстоящему перелету. Выбор на эти два корабля пал, </w:t>
      </w:r>
      <w:proofErr w:type="gramStart"/>
      <w:r w:rsidRPr="008127F8">
        <w:rPr>
          <w:rFonts w:ascii="Times New Roman" w:hAnsi="Times New Roman"/>
          <w:color w:val="000000" w:themeColor="text1"/>
          <w:sz w:val="16"/>
          <w:szCs w:val="16"/>
        </w:rPr>
        <w:t>скорее всего, потому, что</w:t>
      </w:r>
      <w:proofErr w:type="gramEnd"/>
      <w:r w:rsidRPr="008127F8">
        <w:rPr>
          <w:rFonts w:ascii="Times New Roman" w:hAnsi="Times New Roman"/>
          <w:color w:val="000000" w:themeColor="text1"/>
          <w:sz w:val="16"/>
          <w:szCs w:val="16"/>
        </w:rPr>
        <w:t xml:space="preserve"> они недавно поступили в полк и еще не были изношены и имели запас ресурса двигателей. К 26 апреля оба корабля были готовы к выле</w:t>
      </w:r>
      <w:r w:rsidRPr="008127F8">
        <w:rPr>
          <w:rFonts w:ascii="Times New Roman" w:hAnsi="Times New Roman"/>
          <w:color w:val="000000" w:themeColor="text1"/>
          <w:sz w:val="16"/>
          <w:szCs w:val="16"/>
        </w:rPr>
        <w:softHyphen/>
        <w:t>ту. Подготовка бомбардировщиков заключа</w:t>
      </w:r>
      <w:r w:rsidRPr="008127F8">
        <w:rPr>
          <w:rFonts w:ascii="Times New Roman" w:hAnsi="Times New Roman"/>
          <w:color w:val="000000" w:themeColor="text1"/>
          <w:sz w:val="16"/>
          <w:szCs w:val="16"/>
        </w:rPr>
        <w:softHyphen/>
        <w:t>лась в установке кислородных баллонов и скамеек для пассажиров в центральной части фюзеляжа, машины получили дополнитель</w:t>
      </w:r>
      <w:r w:rsidRPr="008127F8">
        <w:rPr>
          <w:rFonts w:ascii="Times New Roman" w:hAnsi="Times New Roman"/>
          <w:color w:val="000000" w:themeColor="text1"/>
          <w:sz w:val="16"/>
          <w:szCs w:val="16"/>
        </w:rPr>
        <w:softHyphen/>
        <w:t>ное радиооборудование, проверили двигате</w:t>
      </w:r>
      <w:r w:rsidRPr="008127F8">
        <w:rPr>
          <w:rFonts w:ascii="Times New Roman" w:hAnsi="Times New Roman"/>
          <w:color w:val="000000" w:themeColor="text1"/>
          <w:sz w:val="16"/>
          <w:szCs w:val="16"/>
        </w:rPr>
        <w:softHyphen/>
        <w:t>ли. Так как ТБ-7 не был оборудован туалетом, то в кормовой части было поставлено ведро для пассажиров и экипажа (19936).</w:t>
      </w:r>
    </w:p>
    <w:p w14:paraId="561959AF" w14:textId="77777777" w:rsidR="009F56D6" w:rsidRPr="008127F8" w:rsidRDefault="009F56D6" w:rsidP="001E0A84">
      <w:pPr>
        <w:spacing w:after="0" w:line="240" w:lineRule="auto"/>
        <w:jc w:val="both"/>
        <w:rPr>
          <w:rFonts w:ascii="Times New Roman" w:hAnsi="Times New Roman"/>
          <w:color w:val="000000" w:themeColor="text1"/>
          <w:sz w:val="16"/>
          <w:szCs w:val="16"/>
        </w:rPr>
      </w:pPr>
    </w:p>
    <w:p w14:paraId="00915B70" w14:textId="1FBAB81D"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36D90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3B73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апреля 1942 г. на заводе № 183 закончилась эпопея по размагничиванию бронекорпусов Ил-2, продолжавшаяся всего 4 дня. По итогам работы на заводе был издан приказ, в котором отмечались успехи коллектива работников завода по размагничиванию бронекорпусов, а также о поощрении представителей Военно-воздушной Академии Красной Армии им. Жуковского - инженера 3-го ранга Красюка Б.А. и техника-лейтенанта Селезнева В.П. </w:t>
      </w:r>
    </w:p>
    <w:p w14:paraId="6CCBC1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ночную смену первых же суток, когда уровень шумов на заводе несколько снизился, удалось разработать и согласовать с военпредом цеха временные «Технические условия» по проведению размагничивания и устранения девиации бортового магнитного компаса. Справедливость предложенной методики устранения девиации в дальнейшем была полностью подтверждена: повторные измерения девиации у самолетов с размагниченными бронекорпусами, выполненные в нормальных условиях на аэродроме, показали достаточно полное совпадение графиков девиаций, полученных в цехе и на аэродроме.</w:t>
      </w:r>
    </w:p>
    <w:p w14:paraId="5FBFE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Вторые сутки работы отличались особым напряжением и динамизмом. Для того, чтобы размагнитить бронекорпус, нужно было всю его поверхность многократно «отутюжить» весьма тяжелым электромагнитом. Процесс размагничивания сводился к тому, что разомкнутую часть магнитопровода электромагнита поднимали 4-6 человек, прикладывали к поверхности бронекорпуса и вручную «утюжили» («гладили») ее.</w:t>
      </w:r>
    </w:p>
    <w:p w14:paraId="60EFAA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магнитное поле электромагнита замыкалось на броню, создавая внутри стали переменные магнитные поля высокой напряженности. При скольжении электромагнита по поверхности брони участки с концентрацией поля меняли свое положение, и изменение напряженности поля приводило к размагничиванию.</w:t>
      </w:r>
    </w:p>
    <w:p w14:paraId="6560D8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работы выяснилось, что громоздкие электромагниты не размагничивают полностью бронекорпус: остаются труднодоступные участки, в которых намагниченность сохраняется. Пришлось срочно разработать и изготовить малогабаритные соленоиды диаметром 20-40 см (рабочие прозвали их «мочалками»), с помощью которых удавалось размагнитить полностью все участки бронекорпусов.</w:t>
      </w:r>
    </w:p>
    <w:p w14:paraId="4F61FA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Известие о том, что бронекорпуса удается размагнитить, разнеслось по заводу. Все три бригады приняли решение работать круглосуточно, чтобы в течение двух-трех суток размагнитить все бронекорпуса, имеющиеся на заводе, ликвидировать «пробку» в цехах и наладить ритмичный, выпуск самолетов.</w:t>
      </w:r>
    </w:p>
    <w:p w14:paraId="7CE49A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третьи сутки работа в бригадах полностью наладилась: было размагничено более двух десятков бронекорпусов и выполнены все необходимые операции по устранению девиации</w:t>
      </w:r>
      <w:proofErr w:type="gramStart"/>
      <w:r w:rsidRPr="008127F8">
        <w:rPr>
          <w:rFonts w:ascii="Times New Roman" w:hAnsi="Times New Roman"/>
          <w:color w:val="000000" w:themeColor="text1"/>
          <w:sz w:val="16"/>
          <w:szCs w:val="16"/>
        </w:rPr>
        <w:t>, У</w:t>
      </w:r>
      <w:proofErr w:type="gramEnd"/>
      <w:r w:rsidRPr="008127F8">
        <w:rPr>
          <w:rFonts w:ascii="Times New Roman" w:hAnsi="Times New Roman"/>
          <w:color w:val="000000" w:themeColor="text1"/>
          <w:sz w:val="16"/>
          <w:szCs w:val="16"/>
        </w:rPr>
        <w:t xml:space="preserve"> меня появилась возможность оторваться от этой кипучей работы и вместе с главным инженером завода начать поиски причин возникновения магнитных полей у бронекорпусов и в цехе.</w:t>
      </w:r>
    </w:p>
    <w:p w14:paraId="68F904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Причина возникновения намагниченности бронекорпусов, а также и стальных конструкций цеха, заключалась в неправильной технологии транспортировки листов брони с помощью электромагнитных кранов. Этот способ транспортировки достался заводу «по наследству» от вагоностроительного завода, где перемещения вагонных колес и других стальных элементов конструкций вагонов производились именно таким способом. В результате этого обследования руководством завода было немедленно принято решение об устранении электромагнитных кранов и внедрении другого способа транспортировки. Одновременно развернулись работы по размагничиванию стальных элементов конструкций цехов с помощью той же аппаратуры, которая применялась для размагничивания бронекорпусов (11922).</w:t>
      </w:r>
    </w:p>
    <w:p w14:paraId="34327F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07A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ОКБ С.В.И возвратилось в Москву на Красноармейскую ул., д. 17 на территорию завода 240 НКАП (на территории завода с 1924 по 1930 располагались центральные мастерские Добролета по ремонту самолетов, а с 1930 по 1936 - ЗОС при НИИ ГВФ и ремонтный завод ГВФ, где ремонтировали Сталь-2 и Сталь-3 (3846,17).</w:t>
      </w:r>
    </w:p>
    <w:p w14:paraId="7A7785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53C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и приказом № 287с в соответствии с пост. СНК № 913-472сс от 11.06.1942 г. филиал завода № 18 в Воронеже реорганизован в ГС Завод № 450 НКАП.</w:t>
      </w:r>
    </w:p>
    <w:p w14:paraId="393B28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529с от 16.07.1942 г. завод № 450 со всем личным составом и оборудованием переведен в Пензу и влит в состав завода № 163 НКАП.</w:t>
      </w:r>
    </w:p>
    <w:p w14:paraId="2D9D97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этом месте сформирован новый завод № 64 НКАП (11982).</w:t>
      </w:r>
    </w:p>
    <w:p w14:paraId="11B8220B" w14:textId="77777777" w:rsidR="00FC48A3" w:rsidRPr="008127F8" w:rsidRDefault="00FC48A3" w:rsidP="001E0A84">
      <w:pPr>
        <w:pStyle w:val="a4"/>
        <w:rPr>
          <w:color w:val="000000" w:themeColor="text1"/>
          <w:lang w:val="ru-RU"/>
        </w:rPr>
      </w:pPr>
    </w:p>
    <w:p w14:paraId="5FFEB771" w14:textId="77777777" w:rsidR="00693C4D" w:rsidRPr="008127F8" w:rsidRDefault="00693C4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16 апреля 1942 года приказом НКАП ремонтному заводу, который создавался на площадях бывшего завода №18, присвоен номер 450 (19822).</w:t>
      </w:r>
    </w:p>
    <w:p w14:paraId="49D053C6" w14:textId="77777777" w:rsidR="00693C4D" w:rsidRPr="008127F8" w:rsidRDefault="00693C4D" w:rsidP="001E0A84">
      <w:pPr>
        <w:spacing w:after="0" w:line="240" w:lineRule="auto"/>
        <w:jc w:val="both"/>
        <w:rPr>
          <w:rFonts w:ascii="Times New Roman" w:hAnsi="Times New Roman"/>
          <w:color w:val="000000" w:themeColor="text1"/>
          <w:sz w:val="16"/>
          <w:szCs w:val="16"/>
        </w:rPr>
      </w:pPr>
    </w:p>
    <w:p w14:paraId="582AB815" w14:textId="77777777" w:rsidR="00FC48A3" w:rsidRPr="008127F8" w:rsidRDefault="00FC48A3" w:rsidP="001E0A84">
      <w:pPr>
        <w:pStyle w:val="a4"/>
        <w:rPr>
          <w:color w:val="000000" w:themeColor="text1"/>
          <w:lang w:val="ru-RU"/>
        </w:rPr>
      </w:pPr>
      <w:r w:rsidRPr="008127F8">
        <w:rPr>
          <w:color w:val="000000" w:themeColor="text1"/>
          <w:lang w:val="ru-RU"/>
        </w:rPr>
        <w:t>16 апреля 1942 бригада НИИ ВВС и ЛИИ: ведущий инженер по самолёту — начальник истребительного отдела НИИ ВВС военинженер 1 ранга А.Н. Фролов, ведущий инженер от ЛИИ НКАП — инженер В.Н. Сагинов, 1-й ведущий лётчик — лётчик-испытатель НИИ ВВС капитан А.Г. Кубышкин, 2-й ведущий лётчик — лётчик-испытатель ЛИИ НКАП А.П. Якимов прибыла в Горький и начала готовить самолёт ЛаГГ М-82 к испытаниям. Дело осложнилось тем, что заводской грунтовой аэродром раскис, и 20 числа испытания пришлось перевести в г. Правдинск, там на военном аэродроме имелась бетонная полоса, в течение 21-23 апреля Якимов и Кубышкин провели ряд полётов по снятию летных характеристик,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79E4DFB5" w14:textId="77777777" w:rsidR="00FC48A3" w:rsidRPr="008127F8" w:rsidRDefault="00FC48A3" w:rsidP="001E0A84">
      <w:pPr>
        <w:pStyle w:val="a4"/>
        <w:rPr>
          <w:color w:val="000000" w:themeColor="text1"/>
          <w:lang w:val="ru-RU"/>
        </w:rPr>
      </w:pPr>
    </w:p>
    <w:p w14:paraId="5C671A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Главвоенсанупр КА писал в ЦК ВКП(б) письмо (вх. N 3691оп) о производстве санитарных самолетов в 1942 и это письмо в дальнейшем было передано в НКАП А.И.Ш. (2728,142).</w:t>
      </w:r>
    </w:p>
    <w:p w14:paraId="7A5ED2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DA7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года зам. начальника седьмого гл. управления НКАП Алексеев писал письмо N 4638с зав. отделом управления кадров ЦК ВКП(б) Вавилову и инженеру Малюкову завод N 22.</w:t>
      </w:r>
    </w:p>
    <w:p w14:paraId="7AF60A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письму инженера Малюкова сообщаю, что эскизный проект 2-х моторного истребителя со спаркой моторов М-107, конструкции Малюкова, был рассмотрен в Экспертной комиссии НКАП в присутствии автора. Заключение по проекту дано отрицательное. Протокол утвержден зам. наркомом Яковлевым.</w:t>
      </w:r>
    </w:p>
    <w:p w14:paraId="4BFA0E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Протокол комиссии в августе 1941 г. направлен 1 экз. в ЦК ВКП(б) исходящий N 2526 и 1 экз. автору на завод N 380 (2860,77).</w:t>
      </w:r>
    </w:p>
    <w:p w14:paraId="530CF7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E8F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вышел приказ НКАП N 287с, по которому Главное ремонтное управление стало ГУ 6 (1548,65).</w:t>
      </w:r>
    </w:p>
    <w:p w14:paraId="7F34C7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9CC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вышел приказ НКАП № 287с:</w:t>
      </w:r>
    </w:p>
    <w:p w14:paraId="26C200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НКАП № 239с от 30 марта 1942 об организации Главного ремонтного управления:</w:t>
      </w:r>
    </w:p>
    <w:p w14:paraId="7BA4B0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 именовать в дальнейшем 6 ГУ</w:t>
      </w:r>
    </w:p>
    <w:p w14:paraId="780A7E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Ремонтным з-м, входящим в 6 ГУ, присвоить следующие номера и в дальнейшем именовать:</w:t>
      </w:r>
    </w:p>
    <w:p w14:paraId="45B38D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з-д, организованный на площадях бывшего з-да 16 в Воронеже - з-д 444,</w:t>
      </w:r>
    </w:p>
    <w:p w14:paraId="144D43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з-д, организованный на площадях бывшего з-да 18 в Воронеже - з-д 450,</w:t>
      </w:r>
    </w:p>
    <w:p w14:paraId="731E13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з-д, организованный на площадях бывшего з-да 84 в Химках - з-д 456,</w:t>
      </w:r>
    </w:p>
    <w:p w14:paraId="63DF62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з-д, организованный на площадях бывшего з-да 82 в Тушино - з-д 453,</w:t>
      </w:r>
    </w:p>
    <w:p w14:paraId="0BCFE7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з-д, организованный на площадях бывшего з-да 89 в Москве - з-д 89,</w:t>
      </w:r>
    </w:p>
    <w:p w14:paraId="41F8EB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з-д, организованный на площадях бывшего з-да 207 в Долгопрудном - з-д 462,</w:t>
      </w:r>
    </w:p>
    <w:p w14:paraId="056081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з-д, организованный на площадях бывшего з-да 301 в Химках - з-д 301.</w:t>
      </w:r>
    </w:p>
    <w:p w14:paraId="625A3C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Дементьев (1548, 65).</w:t>
      </w:r>
    </w:p>
    <w:p w14:paraId="3AD7B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F00C4" w14:textId="77777777" w:rsidR="00A35EFC" w:rsidRPr="008A2E5A" w:rsidRDefault="00A35EFC" w:rsidP="00A35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апре</w:t>
      </w:r>
      <w:r w:rsidRPr="008A2E5A">
        <w:rPr>
          <w:rFonts w:ascii="Times New Roman" w:hAnsi="Times New Roman"/>
          <w:color w:val="0070C0"/>
          <w:sz w:val="16"/>
          <w:szCs w:val="16"/>
        </w:rPr>
        <w:softHyphen/>
        <w:t>ля 1942 г. мастерским, созданным в конце октября 1941 на базе эвакуированного завода № 301, приказом НКАП №287с присвоили наименование - «Го</w:t>
      </w:r>
      <w:r w:rsidRPr="008A2E5A">
        <w:rPr>
          <w:rFonts w:ascii="Times New Roman" w:hAnsi="Times New Roman"/>
          <w:color w:val="0070C0"/>
          <w:sz w:val="16"/>
          <w:szCs w:val="16"/>
        </w:rPr>
        <w:softHyphen/>
        <w:t>сударственный Союзный завод №301». В связи с отменой задания заводу №23 по выпуску истребителей Як-7А за</w:t>
      </w:r>
      <w:r w:rsidRPr="008A2E5A">
        <w:rPr>
          <w:rFonts w:ascii="Times New Roman" w:hAnsi="Times New Roman"/>
          <w:color w:val="0070C0"/>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w:t>
      </w:r>
    </w:p>
    <w:p w14:paraId="5BDD4A59" w14:textId="77777777" w:rsidR="00A35EFC" w:rsidRPr="008A2E5A" w:rsidRDefault="00A35EFC" w:rsidP="00A35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Производственные мощности заводов № 82 и №153 на 01.01.1943 г.</w:t>
      </w:r>
    </w:p>
    <w:tbl>
      <w:tblPr>
        <w:tblOverlap w:val="never"/>
        <w:tblW w:w="0" w:type="auto"/>
        <w:tblLayout w:type="fixed"/>
        <w:tblCellMar>
          <w:left w:w="10" w:type="dxa"/>
          <w:right w:w="10" w:type="dxa"/>
        </w:tblCellMar>
        <w:tblLook w:val="04A0" w:firstRow="1" w:lastRow="0" w:firstColumn="1" w:lastColumn="0" w:noHBand="0" w:noVBand="1"/>
      </w:tblPr>
      <w:tblGrid>
        <w:gridCol w:w="4718"/>
        <w:gridCol w:w="1651"/>
        <w:gridCol w:w="1651"/>
        <w:gridCol w:w="1656"/>
      </w:tblGrid>
      <w:tr w:rsidR="00A35EFC" w:rsidRPr="008A2E5A" w14:paraId="510FE650" w14:textId="77777777" w:rsidTr="004C5D62">
        <w:trPr>
          <w:trHeight w:val="437"/>
        </w:trPr>
        <w:tc>
          <w:tcPr>
            <w:tcW w:w="4718" w:type="dxa"/>
            <w:tcBorders>
              <w:top w:val="single" w:sz="4" w:space="0" w:color="auto"/>
              <w:left w:val="single" w:sz="4" w:space="0" w:color="auto"/>
            </w:tcBorders>
            <w:shd w:val="clear" w:color="auto" w:fill="auto"/>
            <w:vAlign w:val="center"/>
          </w:tcPr>
          <w:p w14:paraId="537A2EF1"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Показатели</w:t>
            </w:r>
          </w:p>
        </w:tc>
        <w:tc>
          <w:tcPr>
            <w:tcW w:w="1651" w:type="dxa"/>
            <w:tcBorders>
              <w:top w:val="single" w:sz="4" w:space="0" w:color="auto"/>
              <w:left w:val="single" w:sz="4" w:space="0" w:color="auto"/>
            </w:tcBorders>
            <w:shd w:val="clear" w:color="auto" w:fill="auto"/>
          </w:tcPr>
          <w:p w14:paraId="1167C200"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№81 на 1.1.41 г.*</w:t>
            </w:r>
          </w:p>
        </w:tc>
        <w:tc>
          <w:tcPr>
            <w:tcW w:w="1651" w:type="dxa"/>
            <w:tcBorders>
              <w:top w:val="single" w:sz="4" w:space="0" w:color="auto"/>
              <w:left w:val="single" w:sz="4" w:space="0" w:color="auto"/>
            </w:tcBorders>
            <w:shd w:val="clear" w:color="auto" w:fill="auto"/>
            <w:vAlign w:val="center"/>
          </w:tcPr>
          <w:p w14:paraId="548A236F"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№82</w:t>
            </w:r>
          </w:p>
        </w:tc>
        <w:tc>
          <w:tcPr>
            <w:tcW w:w="1656" w:type="dxa"/>
            <w:tcBorders>
              <w:top w:val="single" w:sz="4" w:space="0" w:color="auto"/>
              <w:left w:val="single" w:sz="4" w:space="0" w:color="auto"/>
              <w:right w:val="single" w:sz="4" w:space="0" w:color="auto"/>
            </w:tcBorders>
            <w:shd w:val="clear" w:color="auto" w:fill="auto"/>
            <w:vAlign w:val="center"/>
          </w:tcPr>
          <w:p w14:paraId="527E4452"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№153</w:t>
            </w:r>
          </w:p>
        </w:tc>
      </w:tr>
      <w:tr w:rsidR="00A35EFC" w:rsidRPr="008A2E5A" w14:paraId="6A1A0AB7" w14:textId="77777777" w:rsidTr="004C5D62">
        <w:trPr>
          <w:trHeight w:val="250"/>
        </w:trPr>
        <w:tc>
          <w:tcPr>
            <w:tcW w:w="4718" w:type="dxa"/>
            <w:tcBorders>
              <w:top w:val="single" w:sz="4" w:space="0" w:color="auto"/>
              <w:left w:val="single" w:sz="4" w:space="0" w:color="auto"/>
            </w:tcBorders>
            <w:shd w:val="clear" w:color="auto" w:fill="auto"/>
            <w:vAlign w:val="bottom"/>
          </w:tcPr>
          <w:p w14:paraId="6A0373CF"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м2</w:t>
            </w:r>
          </w:p>
        </w:tc>
        <w:tc>
          <w:tcPr>
            <w:tcW w:w="1651" w:type="dxa"/>
            <w:tcBorders>
              <w:top w:val="single" w:sz="4" w:space="0" w:color="auto"/>
              <w:left w:val="single" w:sz="4" w:space="0" w:color="auto"/>
            </w:tcBorders>
            <w:shd w:val="clear" w:color="auto" w:fill="auto"/>
            <w:vAlign w:val="bottom"/>
          </w:tcPr>
          <w:p w14:paraId="217EC9DB"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52 946</w:t>
            </w:r>
          </w:p>
        </w:tc>
        <w:tc>
          <w:tcPr>
            <w:tcW w:w="1651" w:type="dxa"/>
            <w:tcBorders>
              <w:top w:val="single" w:sz="4" w:space="0" w:color="auto"/>
              <w:left w:val="single" w:sz="4" w:space="0" w:color="auto"/>
            </w:tcBorders>
            <w:shd w:val="clear" w:color="auto" w:fill="auto"/>
            <w:vAlign w:val="bottom"/>
          </w:tcPr>
          <w:p w14:paraId="1812A17D"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63 333</w:t>
            </w:r>
          </w:p>
        </w:tc>
        <w:tc>
          <w:tcPr>
            <w:tcW w:w="1656" w:type="dxa"/>
            <w:tcBorders>
              <w:top w:val="single" w:sz="4" w:space="0" w:color="auto"/>
              <w:left w:val="single" w:sz="4" w:space="0" w:color="auto"/>
              <w:right w:val="single" w:sz="4" w:space="0" w:color="auto"/>
            </w:tcBorders>
            <w:shd w:val="clear" w:color="auto" w:fill="auto"/>
            <w:vAlign w:val="bottom"/>
          </w:tcPr>
          <w:p w14:paraId="1DCA0477"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203 313</w:t>
            </w:r>
          </w:p>
        </w:tc>
      </w:tr>
      <w:tr w:rsidR="00A35EFC" w:rsidRPr="008A2E5A" w14:paraId="47BB93F2" w14:textId="77777777" w:rsidTr="004C5D62">
        <w:trPr>
          <w:trHeight w:val="250"/>
        </w:trPr>
        <w:tc>
          <w:tcPr>
            <w:tcW w:w="4718" w:type="dxa"/>
            <w:tcBorders>
              <w:top w:val="single" w:sz="4" w:space="0" w:color="auto"/>
              <w:left w:val="single" w:sz="4" w:space="0" w:color="auto"/>
            </w:tcBorders>
            <w:shd w:val="clear" w:color="auto" w:fill="auto"/>
            <w:vAlign w:val="bottom"/>
          </w:tcPr>
          <w:p w14:paraId="041A053F"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станков, шт.</w:t>
            </w:r>
          </w:p>
        </w:tc>
        <w:tc>
          <w:tcPr>
            <w:tcW w:w="1651" w:type="dxa"/>
            <w:tcBorders>
              <w:top w:val="single" w:sz="4" w:space="0" w:color="auto"/>
              <w:left w:val="single" w:sz="4" w:space="0" w:color="auto"/>
            </w:tcBorders>
            <w:shd w:val="clear" w:color="auto" w:fill="auto"/>
            <w:vAlign w:val="bottom"/>
          </w:tcPr>
          <w:p w14:paraId="7547F18A"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482</w:t>
            </w:r>
          </w:p>
        </w:tc>
        <w:tc>
          <w:tcPr>
            <w:tcW w:w="1651" w:type="dxa"/>
            <w:tcBorders>
              <w:top w:val="single" w:sz="4" w:space="0" w:color="auto"/>
              <w:left w:val="single" w:sz="4" w:space="0" w:color="auto"/>
            </w:tcBorders>
            <w:shd w:val="clear" w:color="auto" w:fill="auto"/>
            <w:vAlign w:val="bottom"/>
          </w:tcPr>
          <w:p w14:paraId="640A290D"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557</w:t>
            </w:r>
          </w:p>
        </w:tc>
        <w:tc>
          <w:tcPr>
            <w:tcW w:w="1656" w:type="dxa"/>
            <w:tcBorders>
              <w:top w:val="single" w:sz="4" w:space="0" w:color="auto"/>
              <w:left w:val="single" w:sz="4" w:space="0" w:color="auto"/>
              <w:right w:val="single" w:sz="4" w:space="0" w:color="auto"/>
            </w:tcBorders>
            <w:shd w:val="clear" w:color="auto" w:fill="auto"/>
            <w:vAlign w:val="bottom"/>
          </w:tcPr>
          <w:p w14:paraId="74D5C38B"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2313</w:t>
            </w:r>
          </w:p>
        </w:tc>
      </w:tr>
      <w:tr w:rsidR="00A35EFC" w:rsidRPr="008A2E5A" w14:paraId="28EEAB6A" w14:textId="77777777" w:rsidTr="004C5D62">
        <w:trPr>
          <w:trHeight w:val="254"/>
        </w:trPr>
        <w:tc>
          <w:tcPr>
            <w:tcW w:w="4718" w:type="dxa"/>
            <w:tcBorders>
              <w:top w:val="single" w:sz="4" w:space="0" w:color="auto"/>
              <w:left w:val="single" w:sz="4" w:space="0" w:color="auto"/>
            </w:tcBorders>
            <w:shd w:val="clear" w:color="auto" w:fill="auto"/>
            <w:vAlign w:val="bottom"/>
          </w:tcPr>
          <w:p w14:paraId="02278CD9"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Общее число работающих, чел.</w:t>
            </w:r>
          </w:p>
        </w:tc>
        <w:tc>
          <w:tcPr>
            <w:tcW w:w="1651" w:type="dxa"/>
            <w:tcBorders>
              <w:top w:val="single" w:sz="4" w:space="0" w:color="auto"/>
              <w:left w:val="single" w:sz="4" w:space="0" w:color="auto"/>
            </w:tcBorders>
            <w:shd w:val="clear" w:color="auto" w:fill="auto"/>
            <w:vAlign w:val="bottom"/>
          </w:tcPr>
          <w:p w14:paraId="425323D1"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4658</w:t>
            </w:r>
          </w:p>
        </w:tc>
        <w:tc>
          <w:tcPr>
            <w:tcW w:w="1651" w:type="dxa"/>
            <w:tcBorders>
              <w:top w:val="single" w:sz="4" w:space="0" w:color="auto"/>
              <w:left w:val="single" w:sz="4" w:space="0" w:color="auto"/>
            </w:tcBorders>
            <w:shd w:val="clear" w:color="auto" w:fill="auto"/>
            <w:vAlign w:val="bottom"/>
          </w:tcPr>
          <w:p w14:paraId="0A91F19B"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6341</w:t>
            </w:r>
          </w:p>
        </w:tc>
        <w:tc>
          <w:tcPr>
            <w:tcW w:w="1656" w:type="dxa"/>
            <w:tcBorders>
              <w:top w:val="single" w:sz="4" w:space="0" w:color="auto"/>
              <w:left w:val="single" w:sz="4" w:space="0" w:color="auto"/>
              <w:right w:val="single" w:sz="4" w:space="0" w:color="auto"/>
            </w:tcBorders>
            <w:shd w:val="clear" w:color="auto" w:fill="auto"/>
            <w:vAlign w:val="bottom"/>
          </w:tcPr>
          <w:p w14:paraId="1BEE8846"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21 125</w:t>
            </w:r>
          </w:p>
        </w:tc>
      </w:tr>
      <w:tr w:rsidR="00A35EFC" w:rsidRPr="008A2E5A" w14:paraId="2AE471AE" w14:textId="77777777" w:rsidTr="004C5D62">
        <w:trPr>
          <w:trHeight w:val="250"/>
        </w:trPr>
        <w:tc>
          <w:tcPr>
            <w:tcW w:w="4718" w:type="dxa"/>
            <w:tcBorders>
              <w:top w:val="single" w:sz="4" w:space="0" w:color="auto"/>
              <w:left w:val="single" w:sz="4" w:space="0" w:color="auto"/>
            </w:tcBorders>
            <w:shd w:val="clear" w:color="auto" w:fill="auto"/>
            <w:vAlign w:val="bottom"/>
          </w:tcPr>
          <w:p w14:paraId="6732CE02"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производственных рабочих, чел.</w:t>
            </w:r>
          </w:p>
        </w:tc>
        <w:tc>
          <w:tcPr>
            <w:tcW w:w="1651" w:type="dxa"/>
            <w:tcBorders>
              <w:top w:val="single" w:sz="4" w:space="0" w:color="auto"/>
              <w:left w:val="single" w:sz="4" w:space="0" w:color="auto"/>
            </w:tcBorders>
            <w:shd w:val="clear" w:color="auto" w:fill="auto"/>
          </w:tcPr>
          <w:p w14:paraId="23160E07" w14:textId="77777777" w:rsidR="00A35EFC" w:rsidRPr="008A2E5A" w:rsidRDefault="00A35EFC" w:rsidP="004C5D62">
            <w:pPr>
              <w:spacing w:after="0" w:line="240" w:lineRule="auto"/>
              <w:jc w:val="both"/>
              <w:rPr>
                <w:rFonts w:ascii="Times New Roman" w:hAnsi="Times New Roman"/>
                <w:color w:val="0070C0"/>
                <w:sz w:val="16"/>
                <w:szCs w:val="16"/>
              </w:rPr>
            </w:pPr>
          </w:p>
        </w:tc>
        <w:tc>
          <w:tcPr>
            <w:tcW w:w="1651" w:type="dxa"/>
            <w:tcBorders>
              <w:top w:val="single" w:sz="4" w:space="0" w:color="auto"/>
              <w:left w:val="single" w:sz="4" w:space="0" w:color="auto"/>
            </w:tcBorders>
            <w:shd w:val="clear" w:color="auto" w:fill="auto"/>
            <w:vAlign w:val="bottom"/>
          </w:tcPr>
          <w:p w14:paraId="2024DA38"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1882</w:t>
            </w:r>
          </w:p>
        </w:tc>
        <w:tc>
          <w:tcPr>
            <w:tcW w:w="1656" w:type="dxa"/>
            <w:tcBorders>
              <w:top w:val="single" w:sz="4" w:space="0" w:color="auto"/>
              <w:left w:val="single" w:sz="4" w:space="0" w:color="auto"/>
              <w:right w:val="single" w:sz="4" w:space="0" w:color="auto"/>
            </w:tcBorders>
            <w:shd w:val="clear" w:color="auto" w:fill="auto"/>
            <w:vAlign w:val="bottom"/>
          </w:tcPr>
          <w:p w14:paraId="40D4483F"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15 577</w:t>
            </w:r>
          </w:p>
        </w:tc>
      </w:tr>
      <w:tr w:rsidR="00A35EFC" w:rsidRPr="008A2E5A" w14:paraId="15EF1A83" w14:textId="77777777" w:rsidTr="004C5D62">
        <w:trPr>
          <w:trHeight w:val="259"/>
        </w:trPr>
        <w:tc>
          <w:tcPr>
            <w:tcW w:w="4718" w:type="dxa"/>
            <w:tcBorders>
              <w:top w:val="single" w:sz="4" w:space="0" w:color="auto"/>
              <w:left w:val="single" w:sz="4" w:space="0" w:color="auto"/>
              <w:bottom w:val="single" w:sz="4" w:space="0" w:color="auto"/>
            </w:tcBorders>
            <w:shd w:val="clear" w:color="auto" w:fill="auto"/>
            <w:vAlign w:val="bottom"/>
          </w:tcPr>
          <w:p w14:paraId="18E9DD0E"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Плановое производственное задание, машин в сутки</w:t>
            </w:r>
          </w:p>
        </w:tc>
        <w:tc>
          <w:tcPr>
            <w:tcW w:w="1651" w:type="dxa"/>
            <w:tcBorders>
              <w:top w:val="single" w:sz="4" w:space="0" w:color="auto"/>
              <w:left w:val="single" w:sz="4" w:space="0" w:color="auto"/>
              <w:bottom w:val="single" w:sz="4" w:space="0" w:color="auto"/>
            </w:tcBorders>
            <w:shd w:val="clear" w:color="auto" w:fill="auto"/>
            <w:vAlign w:val="bottom"/>
          </w:tcPr>
          <w:p w14:paraId="5ED22871"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651" w:type="dxa"/>
            <w:tcBorders>
              <w:top w:val="single" w:sz="4" w:space="0" w:color="auto"/>
              <w:left w:val="single" w:sz="4" w:space="0" w:color="auto"/>
              <w:bottom w:val="single" w:sz="4" w:space="0" w:color="auto"/>
            </w:tcBorders>
            <w:shd w:val="clear" w:color="auto" w:fill="auto"/>
            <w:vAlign w:val="bottom"/>
          </w:tcPr>
          <w:p w14:paraId="3F666665"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656" w:type="dxa"/>
            <w:tcBorders>
              <w:top w:val="single" w:sz="4" w:space="0" w:color="auto"/>
              <w:left w:val="single" w:sz="4" w:space="0" w:color="auto"/>
              <w:bottom w:val="single" w:sz="4" w:space="0" w:color="auto"/>
              <w:right w:val="single" w:sz="4" w:space="0" w:color="auto"/>
            </w:tcBorders>
            <w:shd w:val="clear" w:color="auto" w:fill="auto"/>
            <w:vAlign w:val="bottom"/>
          </w:tcPr>
          <w:p w14:paraId="56730762" w14:textId="77777777" w:rsidR="00A35EFC" w:rsidRPr="008A2E5A" w:rsidRDefault="00A35EFC"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r>
    </w:tbl>
    <w:p w14:paraId="10D8DA40" w14:textId="77777777" w:rsidR="00A35EFC" w:rsidRPr="008A2E5A" w:rsidRDefault="00A35EFC" w:rsidP="00A35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 Для сравнения приведены довоенные производственные мощности завода №81, на площадях которого образовали завод №82.</w:t>
      </w:r>
    </w:p>
    <w:p w14:paraId="6A3987BD" w14:textId="77777777" w:rsidR="00A35EFC" w:rsidRPr="008A2E5A" w:rsidRDefault="00A35EFC" w:rsidP="00A35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 Плановый авиавыпуск завода № 81 на 1941 г. составлял 500 бомбардировщиков Як-4, а после уточнения — 350 истребителей Як-3 и 63 бомбардиров</w:t>
      </w:r>
      <w:r w:rsidRPr="008A2E5A">
        <w:rPr>
          <w:rFonts w:ascii="Times New Roman" w:hAnsi="Times New Roman"/>
          <w:color w:val="0070C0"/>
          <w:sz w:val="16"/>
          <w:szCs w:val="16"/>
        </w:rPr>
        <w:softHyphen/>
        <w:t>щика Як-4 (23381).</w:t>
      </w:r>
    </w:p>
    <w:p w14:paraId="3C194A3B" w14:textId="77777777" w:rsidR="00A35EFC" w:rsidRPr="008A2E5A" w:rsidRDefault="00A35EFC" w:rsidP="00A35EFC">
      <w:pPr>
        <w:spacing w:after="0" w:line="240" w:lineRule="auto"/>
        <w:jc w:val="both"/>
        <w:rPr>
          <w:rFonts w:ascii="Times New Roman" w:hAnsi="Times New Roman"/>
          <w:color w:val="0070C0"/>
          <w:sz w:val="16"/>
          <w:szCs w:val="16"/>
        </w:rPr>
      </w:pPr>
    </w:p>
    <w:p w14:paraId="002947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1942г Создан государственный союзный завод №456 НКАП в Химках для ремонта самолетов различных типов на территории завода №84, эвакуированного в Ташкент (11330).</w:t>
      </w:r>
    </w:p>
    <w:p w14:paraId="4AB7F2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228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(приказ НКАП №287) ремонтный завод 6ГУ получил литерный номер и наименование Государственный Союзный завод №462 НКАП.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(10777).</w:t>
      </w:r>
    </w:p>
    <w:p w14:paraId="3839A8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4C7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16-25 апреля 1942 на Ли-2, переоборудованном в НБ, смонтировали наружные бомбодержатели для 4 ФАБ-250 (4143,34).</w:t>
      </w:r>
    </w:p>
    <w:p w14:paraId="2D6A1B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4BBA5"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года приказом НКАП № 287с на базе бывшего эвакуированного завода № 84 МАП был организован Завод № 456. После выезда завода № 84 в 1941 году, первоначально организованы ремонтные мастерские, которые в последующем были переведены на завод № 89. С 1942 года по май 1943 года завод занимался ремонтом самолетов, находясь в составе 6 Гл. управления МАП.</w:t>
      </w:r>
    </w:p>
    <w:p w14:paraId="7CBF8EC4"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МАП от 12 ноября 1946 года за № 722с заводу поручена доработка 130 единиц самолетов-снарядов. Приказом МАП от 10 марта 1947 года заводу поручено изготовление в 1947 году 30 штук самолетов-снарядов. Получив новый производственный профиль завод с начала 1947 года развернул работы по подготовке производства изделия А-4 из немецких заготовок и реактивных двигателей РД-100 из отечественных материалов и деталей.</w:t>
      </w:r>
    </w:p>
    <w:p w14:paraId="5BD4EFA2"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второй половины 1946 года завод № 456 стал восстанавливаться по производственному профилю для изготовления малых серий мощных жидкостных реактивных изделий.</w:t>
      </w:r>
    </w:p>
    <w:p w14:paraId="12FA1290"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октября 1950 года завод перешел из МАП в Министерство вооружения на основании Постановления СМ от 25 ноября 1950 года № 4730-2047сс и приказов министра вооружения и авиапромышленности от 7 и 16 декабря 1950 года №№ 947сс и 969с.</w:t>
      </w:r>
    </w:p>
    <w:p w14:paraId="1EA6E9B1"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течение последних лет </w:t>
      </w:r>
      <w:proofErr w:type="gramStart"/>
      <w:r w:rsidRPr="008127F8">
        <w:rPr>
          <w:rFonts w:ascii="Times New Roman" w:hAnsi="Times New Roman"/>
          <w:color w:val="000000" w:themeColor="text1"/>
          <w:sz w:val="16"/>
          <w:szCs w:val="16"/>
        </w:rPr>
        <w:t>завод ;</w:t>
      </w:r>
      <w:proofErr w:type="gramEnd"/>
      <w:r w:rsidRPr="008127F8">
        <w:rPr>
          <w:rFonts w:ascii="Times New Roman" w:hAnsi="Times New Roman"/>
          <w:color w:val="000000" w:themeColor="text1"/>
          <w:sz w:val="16"/>
          <w:szCs w:val="16"/>
        </w:rPr>
        <w:t xml:space="preserve"> 456 работает над освоением и изготовлением малых серий реактивных двигателей гл. конструктора Глушко В.П.</w:t>
      </w:r>
    </w:p>
    <w:p w14:paraId="045FFACE"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МОП от 27 октября 1956 года № 791 завод № 456 переименован в Опытный завод ОКБ-456.</w:t>
      </w:r>
    </w:p>
    <w:p w14:paraId="7125599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Химки Московской области, п/я 5</w:t>
      </w:r>
    </w:p>
    <w:p w14:paraId="40EB153A"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Опытного завода – Евтеев (9558).</w:t>
      </w:r>
    </w:p>
    <w:p w14:paraId="159A3966"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5898C4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w:t>
      </w:r>
      <w:r w:rsidRPr="008127F8">
        <w:rPr>
          <w:rFonts w:ascii="Times New Roman" w:hAnsi="Times New Roman"/>
          <w:color w:val="000000" w:themeColor="text1"/>
          <w:sz w:val="16"/>
          <w:szCs w:val="16"/>
        </w:rPr>
        <w:softHyphen/>
        <w:t>реля 1941 Бригада ЛИИ НКАП для испытаний ЛаГГ-3 М-82 прибыла в Горький. Для про</w:t>
      </w:r>
      <w:r w:rsidRPr="008127F8">
        <w:rPr>
          <w:rFonts w:ascii="Times New Roman" w:hAnsi="Times New Roman"/>
          <w:color w:val="000000" w:themeColor="text1"/>
          <w:sz w:val="16"/>
          <w:szCs w:val="16"/>
        </w:rPr>
        <w:softHyphen/>
        <w:t>ведения совместного испытания были назначены: ведущий инженер по самолету - на</w:t>
      </w:r>
      <w:r w:rsidRPr="008127F8">
        <w:rPr>
          <w:rFonts w:ascii="Times New Roman" w:hAnsi="Times New Roman"/>
          <w:color w:val="000000" w:themeColor="text1"/>
          <w:sz w:val="16"/>
          <w:szCs w:val="16"/>
        </w:rPr>
        <w:softHyphen/>
        <w:t>чальник истребительного отдела НИИ ВВС военинженер 1 ранга А.Н. Фро</w:t>
      </w:r>
      <w:r w:rsidRPr="008127F8">
        <w:rPr>
          <w:rFonts w:ascii="Times New Roman" w:hAnsi="Times New Roman"/>
          <w:color w:val="000000" w:themeColor="text1"/>
          <w:sz w:val="16"/>
          <w:szCs w:val="16"/>
        </w:rPr>
        <w:softHyphen/>
        <w:t>лов, ведущий инженер от ЛИИ НКАП - инженер В.Н. Сатинов, 1-й веду</w:t>
      </w:r>
      <w:r w:rsidRPr="008127F8">
        <w:rPr>
          <w:rFonts w:ascii="Times New Roman" w:hAnsi="Times New Roman"/>
          <w:color w:val="000000" w:themeColor="text1"/>
          <w:sz w:val="16"/>
          <w:szCs w:val="16"/>
        </w:rPr>
        <w:softHyphen/>
        <w:t>щий летчик - летчик-испытатель НИИ ВВС капитан А.Г. Кубышкин, 2-й веду</w:t>
      </w:r>
      <w:r w:rsidRPr="008127F8">
        <w:rPr>
          <w:rFonts w:ascii="Times New Roman" w:hAnsi="Times New Roman"/>
          <w:color w:val="000000" w:themeColor="text1"/>
          <w:sz w:val="16"/>
          <w:szCs w:val="16"/>
        </w:rPr>
        <w:softHyphen/>
        <w:t>щий летчик - летчик-испытатель ЛИИ НКАП А.П. Якимов (10686).</w:t>
      </w:r>
    </w:p>
    <w:p w14:paraId="77A580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183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приказом НКАП № 287с, в связи с преобразованием Главремуправления в 6ГУ НКАП, ремонтный завод на площадке эвакуированного завода № 301 переименован в ГС завод № 301 6ГУ НКАП.</w:t>
      </w:r>
    </w:p>
    <w:p w14:paraId="3D9455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w:t>
      </w:r>
    </w:p>
    <w:p w14:paraId="7E9AC2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1232BD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393с от 2.10.1945 г.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w:t>
      </w:r>
    </w:p>
    <w:p w14:paraId="3FA844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35626D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09.1950 г. началась разработка и опытное производство управляемой ракетной техники. С 1.10.1951 г. завод передан из 7ГУ в 6ГУ. Из НИИ-88 МВ в ОКБ-301 переданы наработки по ЗУР, перешла работать группа Бабакина.</w:t>
      </w:r>
    </w:p>
    <w:p w14:paraId="1C0D4C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1955 г. в ОКБ-301 переведена часть кадров (39 чел.) расформированного КБ завода № 82. </w:t>
      </w:r>
    </w:p>
    <w:p w14:paraId="454C5D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08.1955 г. КБ завода № 82 МОП было восстановлено и подчинено ОКБ-301 С.М. Лавочкина.</w:t>
      </w:r>
    </w:p>
    <w:p w14:paraId="1DB3EB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1960 г.- ГС завод им. С.А. Лавочкина. </w:t>
      </w:r>
    </w:p>
    <w:p w14:paraId="1A5E8C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П-7, П-120, П-500, «Аметист». В соответствии с постановлением СМ от 18.12.1962 г. с завода № 642 передано производство П-25.3</w:t>
      </w:r>
    </w:p>
    <w:p w14:paraId="383866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03.1965 г., вновь став самостоятельным, завод им. Лавочкина ГКОТ передан в подчинение 3ГУ МОМ и по приказу от 6.03.1966 г. преобразован в Машиностроительный завод им. С.А. Лавочкина. Началась разработка космической техники. В 1974 г. завод преобразован в НПО им. С.А. Лавочкина.</w:t>
      </w:r>
    </w:p>
    <w:p w14:paraId="66C1D7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06.1950 г. вышло постановление СМ СССР о создании мишени «201» (Ла-17) (гл. конструктор- И.А. Меркулов, затем- А.Г. Чесноков). В 06.1956 г.- постановление СМ СССР о разработке на базе Ла-17 разведчика «210-ФР». В 11.1960 г.- постановление о создании разведчика «204». В 11.1961 г.- постановление СМ СССР о создании Ла-17ММ (госиспытания- в 10-12.1963 г.).</w:t>
      </w:r>
    </w:p>
    <w:p w14:paraId="356CA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10.03.1952 г. вышло постановление № 1264-417 о создании ЗУР «207» (В-300). </w:t>
      </w:r>
    </w:p>
    <w:p w14:paraId="25196E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20.05.1954 г. постановление СМ СССР № 957-409 о разработке носителя ядерного заряда- МКР «Буря» (гл. конструктор- С.А. Лавочкин, научный руководитель- М.В. Келдыш). Постановлением СМ СССР от 5.02.1960 г. работы по «Буре» прекращены.59 </w:t>
      </w:r>
    </w:p>
    <w:p w14:paraId="5BB65D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24.03.1955 г. вышло постановление СМ СССР № 602-369 о создании зенитно-ракетной системы «Даль». Постановлением № 1148-581 от 17.08.1956 г. изменены ТТТ к ЗРК «Даль». Постановлением № 735-338 от 4.04.1958 г. установлен срок предъявления ЗРК «Даль» на совместные испытания- I-й квартал 1960 г. Постановлением от 4.07.1959 г. задавалась разработка «Даль-М» с ЗУР «420» и «Даль-2» с ЗУР «500». Постановлением № 1096-460 от 22.10.1962 г. работы по «Даль» прекращены.57 </w:t>
      </w:r>
    </w:p>
    <w:p w14:paraId="7E2ADB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1955-57 г. работы по экспериментальной крылатой атомной ракете (КАР) «375» с ЯРД.</w:t>
      </w:r>
    </w:p>
    <w:p w14:paraId="4D4283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Постановлением СМ от 14.05.1962 г. принята на вооружение ракета «217М», а постановлением от 6.08.1964 г.- ракета «218» для С-25М. </w:t>
      </w:r>
    </w:p>
    <w:p w14:paraId="0BC0B4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1964 г. завод принимал участие в работах по бомбардировщику Т-4. </w:t>
      </w:r>
    </w:p>
    <w:p w14:paraId="7ADB1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конца 1960-х г. разработка совместно с ЦНИИ «Комета» и НИИ-45 МО системы предупреждения о ракетном нападении «Око». Включает 4 спутника УС-КС и 1 УС-КМО (71Х6) «Прогноз». Первый спутник, «Космос-520», запущен в 09.1972 г. Постановлением правительства № 5721 от 01.1979 г. система «Око» принята на вооружение, приказом МО № 00178 от 27.12.1982 г. поставлена на боевое дежурство. (По [Ъ-28.04.03]- состоит из 8 спутников УС-КС на высокоэллиптических орбитах и 4-х УС-КМО (71Х6) на геостационарных орбитах; двух КП- западного (г. Солнечногорск) и Восточного. Включает также систему отображения «Крокус» и терминалы командной боевой системы «Казбек», находящиеся у Президента, министра обороны и начальника Генштаба. Указом президента № 1770 в 12.1996 г. СПРН принята на вооружение, в 2002 г., после ввода восточного КП, заступила на боевое </w:t>
      </w:r>
      <w:proofErr w:type="gramStart"/>
      <w:r w:rsidRPr="008127F8">
        <w:rPr>
          <w:rFonts w:ascii="Times New Roman" w:hAnsi="Times New Roman"/>
          <w:color w:val="000000" w:themeColor="text1"/>
          <w:sz w:val="16"/>
          <w:szCs w:val="16"/>
        </w:rPr>
        <w:t>дежурство.Ъ</w:t>
      </w:r>
      <w:proofErr w:type="gramEnd"/>
      <w:r w:rsidRPr="008127F8">
        <w:rPr>
          <w:rFonts w:ascii="Times New Roman" w:hAnsi="Times New Roman"/>
          <w:color w:val="000000" w:themeColor="text1"/>
          <w:sz w:val="16"/>
          <w:szCs w:val="16"/>
        </w:rPr>
        <w:t xml:space="preserve">-28.04.03 </w:t>
      </w:r>
    </w:p>
    <w:p w14:paraId="424414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1989 г. при НПО создан НИЦ им. Бабакина как открытая организация для работы с иностранными специалистами.</w:t>
      </w:r>
    </w:p>
    <w:p w14:paraId="48D0F1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НПО им. Лавчкина входит: ОКБ, экспериментальный завод («Вымпел»?), Калужское ОКБ (2002 г.); НИЦ им. Бабакина (2003 г.). В 2004 г. в состав НПО входил Центр «Наземно-космических систем».</w:t>
      </w:r>
    </w:p>
    <w:p w14:paraId="12D207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E796F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на 2002 г.: участвует в программах: «Луна», «Марс», «Венера», «Банкир», «Вега», «Фобос», ИРС-1, «Гранат», «Интербол», «Спектр».</w:t>
      </w:r>
    </w:p>
    <w:p w14:paraId="33BE92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(1962 г.)- 7966 чел., (1972 г.)- 10.655 чел.77 </w:t>
      </w:r>
    </w:p>
    <w:p w14:paraId="30FD56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(1945-06.1960 г.)- С.А. Лавочкин {1900-1960}, (1960 г.-)- М.М. Пашинин, И.Н. Лукин, А.П. Милованов, (-1965-70 г.-)- Г.Н. Бабакин, С.С. Крюков, (1978 г.)- В.М. Ковтуненко,77 (1996-08.2003 г.)- С.Д. Куликов, (10.2003-1.02.2005 г.)- К.М. Пичхадзе, (1.02.2005 г.-)- Г.М. Полищук (до этого- зам. гендиректора ФКА). И.О. ген. конструктора (08-10.2003 г.)- К.М. Пичхадзе (гендиректор НИЦ им. Бабакина).</w:t>
      </w:r>
    </w:p>
    <w:p w14:paraId="01ED32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(до этого- директор опытного завода № 1), (1965 г.)- А.П. Милованов. Гендиректор (-1996-99 г.-)- А.М. Баклунов,58 (-08.2003 г.)- С.Д. Куликов; И.О. гендиректора (08-10.2003 г.)- К.М. Пичхадзе; (10.2003-1.02.2005 г.)- К.М. Пичхадзе, (1.02.2005 г.-)- Г.М. Полищук (до этого- зам. гендиректора ФКА</w:t>
      </w:r>
      <w:proofErr w:type="gramStart"/>
      <w:r w:rsidRPr="008127F8">
        <w:rPr>
          <w:rFonts w:ascii="Times New Roman" w:hAnsi="Times New Roman"/>
          <w:color w:val="000000" w:themeColor="text1"/>
          <w:sz w:val="16"/>
          <w:szCs w:val="16"/>
        </w:rPr>
        <w:t>)..</w:t>
      </w:r>
      <w:proofErr w:type="gramEnd"/>
    </w:p>
    <w:p w14:paraId="03A952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гендиректора (01.2004 г.)- Р. Кремнев, (1.02.2005 г.-)- К.М. Пичхадзе. Зам. Гендиректора: по ВЭД (2002 г.)- И.П. Зайцев.69 </w:t>
      </w:r>
    </w:p>
    <w:p w14:paraId="11C6B8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(06.1951-53 г.)- П.Д. Грушин (затем- гл. конструктор ОКБ-2 МСМ). Зам. гл., ген. конструктора (-1955-60 г.-)- Н.С. Черняков, (1960 г.)- Хейфец, (-1956-60 г.)- М.М. Пашинин, (10.2005 г.)- К.М. Пичхадзе.</w:t>
      </w:r>
    </w:p>
    <w:p w14:paraId="0F919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(06.1951-53 г.)- П.Д. Грушин. </w:t>
      </w:r>
    </w:p>
    <w:p w14:paraId="5F905F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(1940-е-1950 г.-)- И.А. Меркулов («201»; затем работал в ЦИАМ), А.Г. Чесноков («201»), (1955 г.)- Н.С. Черняков (МКР «Буря»),59 (1960-е)- О.Г. Ивановский («Луноходы»).</w:t>
      </w:r>
    </w:p>
    <w:p w14:paraId="40A3FD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(1951 г.)- Н.С. Черняков («205»).</w:t>
      </w:r>
    </w:p>
    <w:p w14:paraId="6E392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теоретического- Г.Н. Бабакин.</w:t>
      </w:r>
    </w:p>
    <w:p w14:paraId="22B2A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крылья для Як-7, Як-9 (1943-45); Ла-150; УР: «350» (В-350, МКР «Буря)- 19, ЗУР «400» (1961)- опытная партия.</w:t>
      </w:r>
    </w:p>
    <w:p w14:paraId="3BC512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самолеты: «150», «156», «160», «168», «174», «176», «190», «200», «250»; ":мишени: «201» (Ла-17), «203» (Ла-17М), «202» (Ла-17ММ), Ла-17У; БПЛА-разведчики: «204» (Ла-17Р, госиспытания в 1963), «204М» (Ла-17РМ), «210-ФР» (1956), Ла-17БР (1958); ЗУР: изд. "205" (В-300 для С-25 «Беркут», серия с 1952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 УРВВ: "210" (Г-300 на базе В-300, опытная), «211» (Г-310), «275», «277», «278», «279»; МКР "Буря" ("350", В-350, испытана в 1957-60 г.); КАР «375» (1957); КА: станции «Луна-9» (запущена в 01.1966), -10, -11, -12, -13 (запущена в 12.1966), -14, -15, -16 (запущена 12.09.1970, доставлен лунный грунт), -17 («Луноход-1», запущена 10.11.1970); «Венера-4» (запущена 12.06.1967), -5 (запущена 5.01.1969), -6 (запущена 10.01.1969), -7 (запущена 17.08.1970), -11 (запущена 9.09.1978), -12 (запущена 14.09.1978г); исследования геомагнитной и радиационной обстановки «Прогноз-1…5» (1972-76); для астрофизических исследований «Астрон» (1983); для исследований Венеры «Вега» (запуски 15, 21.12.1984); автоматическая обсерватория «Гранат» (запущена 1.12.1989); оптико-электронной разведки «Аркон» («Аракс», 11Ф664, «Космос-2344», «Космос-2392») (1984 г., 1-й запуск в 1997), станция «Марс-8» (1996), спутник связи «Купон» (1997), спутник СПРН «Око» («Космос-2345», «Космос-2350», 1998, «Космос-2397», 2003), разгонный блок «Фрегат» для РН «Союз-2»; «Космос-1» с «солнечным парусом» (запущен 22.06.2005 г.); «Демонстратор» (запуски 9.02.200, 20.07.2001, 12.07.2002, 7.10.2005).</w:t>
      </w:r>
    </w:p>
    <w:p w14:paraId="126D99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ФГУП «НИЦ (Научно- исследовательский центр) им. Г.Н. Бабакина» </w:t>
      </w:r>
    </w:p>
    <w:p w14:paraId="1193B7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Химки Московской обл.</w:t>
      </w:r>
    </w:p>
    <w:p w14:paraId="6AE8C2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7E87E1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космической техники. Здесь созданы все советские планетоходы. Имеется испытательный полигон- </w:t>
      </w:r>
      <w:proofErr w:type="gramStart"/>
      <w:r w:rsidRPr="008127F8">
        <w:rPr>
          <w:rFonts w:ascii="Times New Roman" w:hAnsi="Times New Roman"/>
          <w:color w:val="000000" w:themeColor="text1"/>
          <w:sz w:val="16"/>
          <w:szCs w:val="16"/>
        </w:rPr>
        <w:t>марсодром.ПМ</w:t>
      </w:r>
      <w:proofErr w:type="gramEnd"/>
      <w:r w:rsidRPr="008127F8">
        <w:rPr>
          <w:rFonts w:ascii="Times New Roman" w:hAnsi="Times New Roman"/>
          <w:color w:val="000000" w:themeColor="text1"/>
          <w:sz w:val="16"/>
          <w:szCs w:val="16"/>
        </w:rPr>
        <w:t>-2/02 Создан «Солнечный парус» (2001 г.). Проект марсохода (2000-е).</w:t>
      </w:r>
    </w:p>
    <w:p w14:paraId="3DD201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2002 г. входил в состав НПО им. Лавочкина.</w:t>
      </w:r>
    </w:p>
    <w:p w14:paraId="3C99DB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директор (-10.2003 г.)- К.М. Пичхадзе.</w:t>
      </w:r>
    </w:p>
    <w:p w14:paraId="758B37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(1960-е)- А.Л. Кемурджиан (ходовая часть «Лунохода»).</w:t>
      </w:r>
    </w:p>
    <w:p w14:paraId="78DA5A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«Луноход-1» (запущен 10.11.1970 г., «Луна-17»), «Луноход-2» (запущен в 01.1973 г.), «Луноход-3» (не запускался), марсоход М-71 (запущен в 1971 г., «Марс-3»</w:t>
      </w:r>
      <w:proofErr w:type="gramStart"/>
      <w:r w:rsidRPr="008127F8">
        <w:rPr>
          <w:rFonts w:ascii="Times New Roman" w:hAnsi="Times New Roman"/>
          <w:color w:val="000000" w:themeColor="text1"/>
          <w:sz w:val="16"/>
          <w:szCs w:val="16"/>
        </w:rPr>
        <w:t>).ПМ</w:t>
      </w:r>
      <w:proofErr w:type="gramEnd"/>
      <w:r w:rsidRPr="008127F8">
        <w:rPr>
          <w:rFonts w:ascii="Times New Roman" w:hAnsi="Times New Roman"/>
          <w:color w:val="000000" w:themeColor="text1"/>
          <w:sz w:val="16"/>
          <w:szCs w:val="16"/>
        </w:rPr>
        <w:t xml:space="preserve">-7/04 </w:t>
      </w:r>
    </w:p>
    <w:p w14:paraId="6BD049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 «Наземно-космических систем»</w:t>
      </w:r>
    </w:p>
    <w:p w14:paraId="309CFC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(2004 г.)- К.Г. Суханов.</w:t>
      </w:r>
    </w:p>
    <w:p w14:paraId="1191FB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(2004 г.)- К.Г. Суханов.</w:t>
      </w:r>
    </w:p>
    <w:p w14:paraId="2875B8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ООО «Инновационное предприятие «Луноход» </w:t>
      </w:r>
    </w:p>
    <w:p w14:paraId="4746DA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 Московской обл. ул. Ленинградская, 24 тел. 573-00-75</w:t>
      </w:r>
    </w:p>
    <w:p w14:paraId="04297A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создано в 1991 г., учредитель- НПО им. С.А. Лавочкина.</w:t>
      </w:r>
    </w:p>
    <w:p w14:paraId="4659BB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7B80EF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г.)- 17 чел.</w:t>
      </w:r>
    </w:p>
    <w:p w14:paraId="1C5FA9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М.Ф. Тулянкин.</w:t>
      </w:r>
    </w:p>
    <w:p w14:paraId="1CF497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С.В. Титенок.</w:t>
      </w:r>
    </w:p>
    <w:p w14:paraId="6E779E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301 НКАП, МАП, ГКАТ, Машиностроительный завод им. С.А. Лавочкина МОМ, ГСЗ им. С.А. Лавочкина, НПО им. С.А. Лавочкина, НПАО им. С.А. Лавочкина, ФГУП «НПО им. С.А. Лавочкина» РАКА, ФКА </w:t>
      </w:r>
    </w:p>
    <w:p w14:paraId="7E039E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 Московской обл. ул. Ленинградская, 24 тел. 573-90-56 www.berc.rssi.ru (10776)</w:t>
      </w:r>
    </w:p>
    <w:p w14:paraId="6BD3E0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EA4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приказом № 287с в соответствии с пост. СНК № 913-472сс от 11.06.1942 г., в связи с преобразованием Главремуправления в 6ГУ НКАП, ремонтный завод переименован в ГС завод № 301 6ГУ НКАП.</w:t>
      </w:r>
    </w:p>
    <w:p w14:paraId="76013E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w:t>
      </w:r>
    </w:p>
    <w:p w14:paraId="28C538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в 1946 г. на завод передано 1024 единицы трофейного оборудования (111 вагонов) с завода «Арадо»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Ратенов (Германия) и 1733 единицы оборудования с завода «Зибельфлюгцойгверке» в  г. Галле (в т.ч. 231 металлорежущий станок).</w:t>
      </w:r>
    </w:p>
    <w:p w14:paraId="310959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4EC27D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1642F8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22488A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53E43D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xml:space="preserve">, правительства от 09.1950 г. начата разработка и опытное производство управляемой ракетной техники - ЗУР для системы ПВО Москвы С-25 «Беркут». Из НИИ-88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76158D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33EA56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08.1955 г. КБ завода № 82 МОП было восстановлено и подчинено ОКБ-301 С.М. Лавочкина.</w:t>
      </w:r>
    </w:p>
    <w:p w14:paraId="4001C5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8127F8">
        <w:rPr>
          <w:rFonts w:ascii="Times New Roman" w:hAnsi="Times New Roman"/>
          <w:color w:val="000000" w:themeColor="text1"/>
          <w:sz w:val="16"/>
          <w:szCs w:val="16"/>
          <w:lang w:val="en-US"/>
        </w:rPr>
        <w:t>nocf</w:t>
      </w:r>
      <w:r w:rsidRPr="008127F8">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1EF515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3B532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7F8137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1B3630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08EA85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8127F8">
        <w:rPr>
          <w:rFonts w:ascii="Times New Roman" w:hAnsi="Times New Roman"/>
          <w:color w:val="000000" w:themeColor="text1"/>
          <w:sz w:val="16"/>
          <w:szCs w:val="16"/>
          <w:vertAlign w:val="superscript"/>
        </w:rPr>
        <w:t>57</w:t>
      </w:r>
    </w:p>
    <w:p w14:paraId="281FBD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64A800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1955-57 г. работы по экспериментальной крылатой атомной ракете (КАР) «375» с ЯРД.</w:t>
      </w:r>
    </w:p>
    <w:p w14:paraId="1C1C4A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045527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51EAD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1964 г. завод принимал участие в работах по бомбардировщику Т-4.</w:t>
      </w:r>
    </w:p>
    <w:p w14:paraId="3A28C6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1965-66 г. сюда из ОКБ-1 передана тематика КА для исследования Луны, Венеры и Марса. 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велась разработка проекта доставки на Марс самоходного зонда.</w:t>
      </w:r>
    </w:p>
    <w:p w14:paraId="4944EB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28 04</w:t>
      </w:r>
      <w:r w:rsidRPr="008127F8">
        <w:rPr>
          <w:rFonts w:ascii="Times New Roman" w:hAnsi="Times New Roman"/>
          <w:color w:val="000000" w:themeColor="text1"/>
          <w:sz w:val="16"/>
          <w:szCs w:val="16"/>
          <w:vertAlign w:val="superscript"/>
          <w:lang w:val="en-US"/>
        </w:rPr>
        <w:t>Cb</w:t>
      </w:r>
    </w:p>
    <w:p w14:paraId="7401D0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049E93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5297BD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255E4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542A21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(1962 г.)- 7966 чел., (1972 г.)- 10.655 чел.</w:t>
      </w:r>
      <w:r w:rsidRPr="008127F8">
        <w:rPr>
          <w:rFonts w:ascii="Times New Roman" w:hAnsi="Times New Roman"/>
          <w:color w:val="000000" w:themeColor="text1"/>
          <w:sz w:val="16"/>
          <w:szCs w:val="16"/>
          <w:vertAlign w:val="superscript"/>
        </w:rPr>
        <w:t>77</w:t>
      </w:r>
    </w:p>
    <w:p w14:paraId="6F4904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w:t>
      </w:r>
      <w:proofErr w:type="gramStart"/>
      <w:r w:rsidRPr="008127F8">
        <w:rPr>
          <w:rFonts w:ascii="Times New Roman" w:hAnsi="Times New Roman"/>
          <w:color w:val="000000" w:themeColor="text1"/>
          <w:sz w:val="16"/>
          <w:szCs w:val="16"/>
        </w:rPr>
        <w:t>&gt;  Г.М.</w:t>
      </w:r>
      <w:proofErr w:type="gramEnd"/>
      <w:r w:rsidRPr="008127F8">
        <w:rPr>
          <w:rFonts w:ascii="Times New Roman" w:hAnsi="Times New Roman"/>
          <w:color w:val="000000" w:themeColor="text1"/>
          <w:sz w:val="16"/>
          <w:szCs w:val="16"/>
        </w:rPr>
        <w:t xml:space="preserve"> Полищук.</w:t>
      </w:r>
    </w:p>
    <w:p w14:paraId="5F2F8A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Бабакин, (1968 г.-)- А. Г. Чесноков, (-1969 г.)- И.А. Скробко, (10.2005 г.)- К.М. Пичхадзе; по информационным спутниковым системам (1998-2004 г.-&gt; А.Л. Родин.</w:t>
      </w:r>
    </w:p>
    <w:p w14:paraId="3DECB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8127F8">
        <w:rPr>
          <w:rFonts w:ascii="Times New Roman" w:hAnsi="Times New Roman"/>
          <w:color w:val="000000" w:themeColor="text1"/>
          <w:sz w:val="16"/>
          <w:szCs w:val="16"/>
          <w:vertAlign w:val="superscript"/>
        </w:rPr>
        <w:t>58</w:t>
      </w:r>
      <w:r w:rsidRPr="008127F8">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w:t>
      </w:r>
      <w:proofErr w:type="gramStart"/>
      <w:r w:rsidRPr="008127F8">
        <w:rPr>
          <w:rFonts w:ascii="Times New Roman" w:hAnsi="Times New Roman"/>
          <w:color w:val="000000" w:themeColor="text1"/>
          <w:sz w:val="16"/>
          <w:szCs w:val="16"/>
        </w:rPr>
        <w:t>&gt;  Г.М.</w:t>
      </w:r>
      <w:proofErr w:type="gramEnd"/>
      <w:r w:rsidRPr="008127F8">
        <w:rPr>
          <w:rFonts w:ascii="Times New Roman" w:hAnsi="Times New Roman"/>
          <w:color w:val="000000" w:themeColor="text1"/>
          <w:sz w:val="16"/>
          <w:szCs w:val="16"/>
        </w:rPr>
        <w:t xml:space="preserve"> Полищук.</w:t>
      </w:r>
    </w:p>
    <w:p w14:paraId="3C7DB6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8127F8">
        <w:rPr>
          <w:rFonts w:ascii="Times New Roman" w:hAnsi="Times New Roman"/>
          <w:color w:val="000000" w:themeColor="text1"/>
          <w:sz w:val="16"/>
          <w:szCs w:val="16"/>
          <w:vertAlign w:val="superscript"/>
        </w:rPr>
        <w:t>69</w:t>
      </w:r>
    </w:p>
    <w:p w14:paraId="3DC99A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(06.1951-53 г.)- П.Д. Грушин.</w:t>
      </w:r>
    </w:p>
    <w:p w14:paraId="7A427B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(1965 г.)- И.Н. Лукин.</w:t>
      </w:r>
    </w:p>
    <w:p w14:paraId="638825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791A51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(1940-е-1950 г.-)- И.А. Меркулов («201»), (-1955-60 г.)- Н.С. Черняков («205», МКР «Буря»),</w:t>
      </w:r>
      <w:r w:rsidRPr="008127F8">
        <w:rPr>
          <w:rFonts w:ascii="Times New Roman" w:hAnsi="Times New Roman"/>
          <w:color w:val="000000" w:themeColor="text1"/>
          <w:sz w:val="16"/>
          <w:szCs w:val="16"/>
          <w:vertAlign w:val="superscript"/>
        </w:rPr>
        <w:t>59</w:t>
      </w:r>
      <w:r w:rsidRPr="008127F8">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01BF7F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2A8F28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теоретического (1951 г.-)</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Бабакин; по системам управления (1970-е)- Н.Д. Капырин; электроавтоматики (1970-е)- А.И. Ступников.</w:t>
      </w:r>
    </w:p>
    <w:p w14:paraId="510498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Летчики-испытатели: (1955 г.)- А. Г. Кочетков.</w:t>
      </w:r>
    </w:p>
    <w:p w14:paraId="385544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самолеты: истребители:</w:t>
      </w:r>
      <w:r w:rsidRPr="008127F8">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8127F8">
        <w:rPr>
          <w:rFonts w:ascii="Times New Roman" w:hAnsi="Times New Roman"/>
          <w:iCs/>
          <w:color w:val="000000" w:themeColor="text1"/>
          <w:sz w:val="16"/>
          <w:szCs w:val="16"/>
        </w:rPr>
        <w:t xml:space="preserve"> мишени:</w:t>
      </w:r>
      <w:r w:rsidRPr="008127F8">
        <w:rPr>
          <w:rFonts w:ascii="Times New Roman" w:hAnsi="Times New Roman"/>
          <w:color w:val="000000" w:themeColor="text1"/>
          <w:sz w:val="16"/>
          <w:szCs w:val="16"/>
        </w:rPr>
        <w:t xml:space="preserve"> «201» (Ла-17), «203» (Ла-17М), «202» (Ла-17ММ), Ла-17У;</w:t>
      </w:r>
      <w:r w:rsidRPr="008127F8">
        <w:rPr>
          <w:rFonts w:ascii="Times New Roman" w:hAnsi="Times New Roman"/>
          <w:iCs/>
          <w:color w:val="000000" w:themeColor="text1"/>
          <w:sz w:val="16"/>
          <w:szCs w:val="16"/>
        </w:rPr>
        <w:t xml:space="preserve"> БПЛА- разведчит:</w:t>
      </w:r>
      <w:r w:rsidRPr="008127F8">
        <w:rPr>
          <w:rFonts w:ascii="Times New Roman" w:hAnsi="Times New Roman"/>
          <w:color w:val="000000" w:themeColor="text1"/>
          <w:sz w:val="16"/>
          <w:szCs w:val="16"/>
        </w:rPr>
        <w:t xml:space="preserve"> «204» (Ла-17Р, госиспытания в 1963), «204М» (Ла-17РМ), «210-ФР» (1956), Ла-17БР (1958);</w:t>
      </w:r>
    </w:p>
    <w:p w14:paraId="3A34CF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ЗУР:</w:t>
      </w:r>
      <w:r w:rsidRPr="008127F8">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8127F8">
        <w:rPr>
          <w:rFonts w:ascii="Times New Roman" w:hAnsi="Times New Roman"/>
          <w:iCs/>
          <w:color w:val="000000" w:themeColor="text1"/>
          <w:sz w:val="16"/>
          <w:szCs w:val="16"/>
        </w:rPr>
        <w:t xml:space="preserve"> УРВБ:</w:t>
      </w:r>
      <w:r w:rsidRPr="008127F8">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16F95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w:t>
      </w:r>
      <w:r w:rsidRPr="008127F8">
        <w:rPr>
          <w:rFonts w:ascii="Times New Roman" w:hAnsi="Times New Roman"/>
          <w:color w:val="000000" w:themeColor="text1"/>
          <w:sz w:val="16"/>
          <w:szCs w:val="16"/>
        </w:rPr>
        <w:lastRenderedPageBreak/>
        <w:t>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76E5D4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6A0872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611791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60296B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8127F8">
        <w:rPr>
          <w:rFonts w:ascii="Times New Roman" w:hAnsi="Times New Roman"/>
          <w:color w:val="000000" w:themeColor="text1"/>
          <w:sz w:val="16"/>
          <w:szCs w:val="16"/>
          <w:vertAlign w:val="superscript"/>
        </w:rPr>
        <w:t>37</w:t>
      </w:r>
      <w:r w:rsidRPr="008127F8">
        <w:rPr>
          <w:rFonts w:ascii="Times New Roman" w:hAnsi="Times New Roman"/>
          <w:color w:val="000000" w:themeColor="text1"/>
          <w:sz w:val="16"/>
          <w:szCs w:val="16"/>
        </w:rPr>
        <w:t xml:space="preserve"> Создан «Солнечный парус» (2001 г.). Проект марсохода (2000-е).</w:t>
      </w:r>
    </w:p>
    <w:p w14:paraId="30017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2002 г. входил в состав НПО им. Лавочкина.</w:t>
      </w:r>
    </w:p>
    <w:p w14:paraId="42940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(-10.2003 г.)- К.М. Пичхадзе.</w:t>
      </w:r>
    </w:p>
    <w:p w14:paraId="43BBEC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8127F8">
        <w:rPr>
          <w:rFonts w:ascii="Times New Roman" w:hAnsi="Times New Roman"/>
          <w:color w:val="000000" w:themeColor="text1"/>
          <w:sz w:val="16"/>
          <w:szCs w:val="16"/>
          <w:vertAlign w:val="superscript"/>
        </w:rPr>
        <w:t>138</w:t>
      </w:r>
    </w:p>
    <w:p w14:paraId="1B66A2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Калужский филиал, ФГУДП «Калужское ОКБ» НПО им. Лавочкина</w:t>
      </w:r>
    </w:p>
    <w:p w14:paraId="4B86C4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roofErr w:type="gramStart"/>
      <w:r w:rsidRPr="008127F8">
        <w:rPr>
          <w:rFonts w:ascii="Times New Roman" w:hAnsi="Times New Roman"/>
          <w:color w:val="000000" w:themeColor="text1"/>
          <w:sz w:val="16"/>
          <w:szCs w:val="16"/>
        </w:rPr>
        <w:t>248601  г.</w:t>
      </w:r>
      <w:proofErr w:type="gramEnd"/>
      <w:r w:rsidRPr="008127F8">
        <w:rPr>
          <w:rFonts w:ascii="Times New Roman" w:hAnsi="Times New Roman"/>
          <w:color w:val="000000" w:themeColor="text1"/>
          <w:sz w:val="16"/>
          <w:szCs w:val="16"/>
        </w:rPr>
        <w:t xml:space="preserve"> Калуга ул. Октябрьская, 17 тел. 49-523/</w:t>
      </w:r>
    </w:p>
    <w:p w14:paraId="0C1A58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69B82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программах: «Марс-96», «Спектр», «Кластер».</w:t>
      </w:r>
    </w:p>
    <w:p w14:paraId="580AE3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34B792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 г.)- С. Г. Потехин.</w:t>
      </w:r>
    </w:p>
    <w:p w14:paraId="016E81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С. Г. Потехин.</w:t>
      </w:r>
    </w:p>
    <w:p w14:paraId="07702F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(2002 г.)- В.И. Михальский, (2002 г.)- Д.В. Кондратьев.</w:t>
      </w:r>
      <w:r w:rsidRPr="008127F8">
        <w:rPr>
          <w:rFonts w:ascii="Times New Roman" w:hAnsi="Times New Roman"/>
          <w:color w:val="000000" w:themeColor="text1"/>
          <w:sz w:val="16"/>
          <w:szCs w:val="16"/>
          <w:vertAlign w:val="superscript"/>
        </w:rPr>
        <w:t>69</w:t>
      </w:r>
    </w:p>
    <w:p w14:paraId="75CD6B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ФГУП Научно-исследовательский центр космической системотехники (НИЦКС) /</w:t>
      </w:r>
      <w:proofErr w:type="gramStart"/>
      <w:r w:rsidRPr="008127F8">
        <w:rPr>
          <w:rFonts w:ascii="Times New Roman" w:hAnsi="Times New Roman"/>
          <w:color w:val="000000" w:themeColor="text1"/>
          <w:sz w:val="16"/>
          <w:szCs w:val="16"/>
        </w:rPr>
        <w:t>249032  г.</w:t>
      </w:r>
      <w:proofErr w:type="gramEnd"/>
      <w:r w:rsidRPr="008127F8">
        <w:rPr>
          <w:rFonts w:ascii="Times New Roman" w:hAnsi="Times New Roman"/>
          <w:color w:val="000000" w:themeColor="text1"/>
          <w:sz w:val="16"/>
          <w:szCs w:val="16"/>
        </w:rPr>
        <w:t xml:space="preserve"> Обнинск Калужской обл. ул. Королева, 6А тел. 23-912, 255-23-93/</w:t>
      </w:r>
    </w:p>
    <w:p w14:paraId="64A675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60EA7A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1E5CB0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г.)- 24 чел.</w:t>
      </w:r>
    </w:p>
    <w:p w14:paraId="64F602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 г.)- И.Л. Озерных.</w:t>
      </w:r>
    </w:p>
    <w:p w14:paraId="4CBA9F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И.Л. Озерных.</w:t>
      </w:r>
    </w:p>
    <w:p w14:paraId="2E95CE5E" w14:textId="77777777" w:rsidR="00FC48A3"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Зам. гл. конструктора (2002 г.)- А.Н. Подтуркин.</w:t>
      </w:r>
      <w:r w:rsidRPr="008127F8">
        <w:rPr>
          <w:rFonts w:ascii="Times New Roman" w:hAnsi="Times New Roman"/>
          <w:color w:val="000000" w:themeColor="text1"/>
          <w:sz w:val="16"/>
          <w:szCs w:val="16"/>
          <w:vertAlign w:val="superscript"/>
        </w:rPr>
        <w:t>69</w:t>
      </w:r>
    </w:p>
    <w:p w14:paraId="441AB7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ООО «Инновационное предприятие «Луноход» /</w:t>
      </w:r>
      <w:proofErr w:type="gramStart"/>
      <w:r w:rsidRPr="008127F8">
        <w:rPr>
          <w:rFonts w:ascii="Times New Roman" w:hAnsi="Times New Roman"/>
          <w:color w:val="000000" w:themeColor="text1"/>
          <w:sz w:val="16"/>
          <w:szCs w:val="16"/>
        </w:rPr>
        <w:t>141400  г.</w:t>
      </w:r>
      <w:proofErr w:type="gramEnd"/>
      <w:r w:rsidRPr="008127F8">
        <w:rPr>
          <w:rFonts w:ascii="Times New Roman" w:hAnsi="Times New Roman"/>
          <w:color w:val="000000" w:themeColor="text1"/>
          <w:sz w:val="16"/>
          <w:szCs w:val="16"/>
        </w:rPr>
        <w:t xml:space="preserve"> Химки Московской обл. ул. Ленинградская, 24 тел. 573-00-75/</w:t>
      </w:r>
    </w:p>
    <w:p w14:paraId="4FF9C5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создано в 1991 г., учредитель- НПО им. С.А. Лавочкина.</w:t>
      </w:r>
    </w:p>
    <w:p w14:paraId="3C2620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1DC6AA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г.)-17 чел.</w:t>
      </w:r>
    </w:p>
    <w:p w14:paraId="6974B0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М.Ф. Тулянкин.</w:t>
      </w:r>
    </w:p>
    <w:p w14:paraId="3C9C15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С.В. Титенок (11982).</w:t>
      </w:r>
    </w:p>
    <w:p w14:paraId="4AF08FD5" w14:textId="77777777" w:rsidR="00FC48A3" w:rsidRPr="008127F8" w:rsidRDefault="00FC48A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AC6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в связи с переименованием Главремуправления в 6ГУ, по приказу № 287с ремонтный завод в Химках, созданный на площадке эвакуированного завода № 84, получил наименование ГС завод № 456 в 6ГУ НКАП. Передан в 10ГУ с 1.07.1943 г. Заводу поручено освоение сборки Ил-4 из узлов завода № 39 и № 126 и перевооружение самолетов А-20Ж (08.1944 г.).</w:t>
      </w:r>
    </w:p>
    <w:p w14:paraId="4320B5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58F178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42A8DA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w:t>
      </w:r>
    </w:p>
    <w:p w14:paraId="62CFB7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специального 14ГУ завод по приказу № 360сс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55AE3D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18782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завод – в ведении 8ГУ. В соответствии с постановлением СМ СССР № 4730-2047(</w:t>
      </w:r>
      <w:proofErr w:type="gramStart"/>
      <w:r w:rsidRPr="008127F8">
        <w:rPr>
          <w:rFonts w:ascii="Times New Roman" w:hAnsi="Times New Roman"/>
          <w:color w:val="000000" w:themeColor="text1"/>
          <w:sz w:val="16"/>
          <w:szCs w:val="16"/>
        </w:rPr>
        <w:t>6)сс</w:t>
      </w:r>
      <w:proofErr w:type="gramEnd"/>
      <w:r w:rsidRPr="008127F8">
        <w:rPr>
          <w:rFonts w:ascii="Times New Roman" w:hAnsi="Times New Roman"/>
          <w:color w:val="000000" w:themeColor="text1"/>
          <w:sz w:val="16"/>
          <w:szCs w:val="16"/>
        </w:rPr>
        <w:t xml:space="preserve"> от 25.11.1950 г. и приказами № 947ссов/712с от 7.12.1950 г. и № 969с от 16.12.1950 г. завод № 456 и ОКБ-456 МАП переданы в 7ГУ (специальное) МВ, с 04.1953 г. – в системе МОП.</w:t>
      </w:r>
    </w:p>
    <w:p w14:paraId="53CE35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27.10.1954 г. завод № 456 стал опытным заводом при ОКБ-456. С 03.1965 г. опытный завод № 456 передан в МОМ. С 1.01.1967 г. завод получил наименование ОЗЭМ МОМ. Затем ОЗЭМ и КБЭМ объединены в НПО ЭМ.</w:t>
      </w:r>
    </w:p>
    <w:p w14:paraId="28EED6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Производственная площадь (2002 г.)- 205 тыс. м2, станочный парк- 4400 ед.</w:t>
      </w:r>
    </w:p>
    <w:p w14:paraId="6D9618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Бугров, (-06.1943-03.1945 г.-)- Т.Х. Филимончук, (14.03-1.10.1946 г.)- Б.И. Свет, (1.10-1.11.1946 г.)- А.Г. Плоскинный, (1.11.1946-57 г.-)- Л.А. Гришин (затем- начальник 7ГУ ГКОТ), (16.12.1960 г.-)- Ю.Д. Соловьев, (1968-92 г.)- С.П. Богдановский, (-2000-02 г.-)- С.С. Головченко.</w:t>
      </w:r>
    </w:p>
    <w:p w14:paraId="3234AC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(1940-е г.)- В.П. Глушко.</w:t>
      </w:r>
    </w:p>
    <w:p w14:paraId="29DBB0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Ер-2 (1944-45)- 20 (из деталей завода № 39), Ил-4 (01-04.1945 г.)- 96 (из деталей заводов № 39 и № 126); самолеты-снаряды «10Х» и двигатели к ним (1944-45).</w:t>
      </w:r>
    </w:p>
    <w:p w14:paraId="6C102B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456 НКАП, МАП, МВ, МОП, МОМ, Опытный завод энергетического машиностроения (ОЗЭМ) МОМ</w:t>
      </w:r>
    </w:p>
    <w:p w14:paraId="436081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Химки Московской обл.</w:t>
      </w:r>
    </w:p>
    <w:p w14:paraId="68484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М.Ф. Поликарпова</w:t>
      </w:r>
    </w:p>
    <w:p w14:paraId="371C1C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4C76E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377с от 25.06.1943 г. ОКБ в полном составе влито в НИСО.</w:t>
      </w:r>
    </w:p>
    <w:p w14:paraId="08675B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А.П. Голубкова</w:t>
      </w:r>
    </w:p>
    <w:p w14:paraId="002489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14B174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76C590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СКБ-456 МАП, ОКБ-456 МАП, МВ, МОП, ГКОТ, ГКАТ, МОМ, КБ ЭМ (энергетического машиностроения) МОМ</w:t>
      </w:r>
    </w:p>
    <w:p w14:paraId="1448FB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Химки-1 Московской обл.</w:t>
      </w:r>
    </w:p>
    <w:p w14:paraId="4ED7F4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получила название ГДЛ (Газодинамическая лаборатория) (по [54]- в 1928 г.).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w:t>
      </w:r>
    </w:p>
    <w:p w14:paraId="4DD6B9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418DE4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w:t>
      </w:r>
    </w:p>
    <w:p w14:paraId="7B86E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w:t>
      </w:r>
    </w:p>
    <w:p w14:paraId="0138E8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1946-48 г. работала группа немецких специалистов по ЖРД на базе двигателя ракеты ФАУ-2 (А-4). Затем они переведены на другие предприятия. </w:t>
      </w:r>
    </w:p>
    <w:p w14:paraId="7F45BB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05.1948 г. ОКБ передано из 8ГУ в 14ГУ. Работы по завершению РД-1ХЗ, по РД-2. Затем ОКБ специализировалось на мощных ЖРД на двухкомпонентном топливе для баллистических ракет и РН.</w:t>
      </w:r>
    </w:p>
    <w:p w14:paraId="312CAA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 г. в состав ОКБ переведена часть чпециалистов ликвидированного ОКБ-1 гл. конструктора Л.С. Душкина.</w:t>
      </w:r>
    </w:p>
    <w:p w14:paraId="198609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 4730-2046(</w:t>
      </w:r>
      <w:proofErr w:type="gramStart"/>
      <w:r w:rsidRPr="008127F8">
        <w:rPr>
          <w:rFonts w:ascii="Times New Roman" w:hAnsi="Times New Roman"/>
          <w:color w:val="000000" w:themeColor="text1"/>
          <w:sz w:val="16"/>
          <w:szCs w:val="16"/>
        </w:rPr>
        <w:t>7)сс</w:t>
      </w:r>
      <w:proofErr w:type="gramEnd"/>
      <w:r w:rsidRPr="008127F8">
        <w:rPr>
          <w:rFonts w:ascii="Times New Roman" w:hAnsi="Times New Roman"/>
          <w:color w:val="000000" w:themeColor="text1"/>
          <w:sz w:val="16"/>
          <w:szCs w:val="16"/>
        </w:rPr>
        <w:t xml:space="preserve"> от 25.11.1950 г. и приказами МАП/МВ № 947ссов/712с от 7.12.50 г. и № 969с от 16.12.1950 г. завод № 456 МАП и ОКБ-456 МАП переданы в систему МВ СССР в 7ГУ (специальное). С 04.1953 г.- в системе МОП, с 12.1957 г.- в ГКОТ. </w:t>
      </w:r>
    </w:p>
    <w:p w14:paraId="462EE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27.10.1954 г. завод № 456 влит в состав ОКБ-456 в качестве опытного завода.</w:t>
      </w:r>
    </w:p>
    <w:p w14:paraId="115DCA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производства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 Позднее, 7.06.1983 г. вновь организован Омский филиал № 3 на ПО «Полет» для сопровождения серии РД-170 и РД-171.</w:t>
      </w:r>
    </w:p>
    <w:p w14:paraId="5635C6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03.1965 г. ОКБ-456 ГКАТ передано в подчинение 2ГУ МОМ и по приказу от 6.03.1966 г. преобразовано с 1.01.1967 г. в КБЭМ.</w:t>
      </w:r>
    </w:p>
    <w:p w14:paraId="680989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50E822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749001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в ОКБ в инициативном порядке разрабатывалась серия мощных РН- «ракетных летательных аппаратов: РЛА-110 «Гроза» грузоподъемностью 20т; РЛА-120 – 100т; РЛА-130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3A43E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 г. создан стенд для испытаний двигателя блока А РН «Энергия».</w:t>
      </w:r>
    </w:p>
    <w:p w14:paraId="5EF006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392306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(07.1946-74 г.)- В.П. Глушко {1908-10.01.1989}, (1974-91 г.)- В.П. Радовский, (1991-2004 г.-)- Б.И. Каторгин.</w:t>
      </w:r>
    </w:p>
    <w:p w14:paraId="0FBFB6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(2000 г.)- В.К. Чванов. Зам. гл. конструктора (1946 г.-)- Д.Д. Севрук, (1946 г.-)- Г.С. Жирицкий.</w:t>
      </w:r>
    </w:p>
    <w:p w14:paraId="48DB67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(1974 г.)- В.П. Радовский. Директор (-2000-02 г.-)- В.К. Чванов.</w:t>
      </w:r>
    </w:p>
    <w:p w14:paraId="242007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7BC6E8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(2000 г.)- С.А. Лизгунов.</w:t>
      </w:r>
    </w:p>
    <w:p w14:paraId="18E3A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(1977 г.)- В.П. Радовский (РД-170).</w:t>
      </w:r>
    </w:p>
    <w:p w14:paraId="70EFB9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конструктор – А.С. Назаров.</w:t>
      </w:r>
    </w:p>
    <w:p w14:paraId="37B38F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(1930-е)- Б.С. Петропавловский (ОРМ); Л.А. Гришин; В.А. Витк, В.И. Курбатов, А.Д. Вебер, А.Д. Дарон, М.Р. Гнесин (конструкторы).</w:t>
      </w:r>
    </w:p>
    <w:p w14:paraId="7E8A41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ЖРД: ОРМ-1 (1930-31), ОРМ-47, ОРМ-52, ОРМ-65 для РП-318 (1936), ОРМ-70, ОРМ-101,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РД-111 (8Д716) для БР Р-9 (1959-65), РД-112, РД-113, РД-114, РД-115, РД-119 для РН «Космос» (1958-62), РД-120 для РН «Зенит» (1976-85), РД-134, РД-146, РД-161, РД-167, РД-169, РД-170 для РН «Энергия» (1976-87), РД-171 для РН «Зенит» (1976-85), РД-172, РД-180 для РН Atlas IIIA (1994-98), РД-182, РД-185, РД-190, РД-191, РД-192, РД-200, РД-210, РД-212, РД-213 для КР «Буран» (1956-57), РД-214 для БР Р-12 (1952-57), РД-215 и РД-216 для БР Р-14 (1958-60), РД-217, РД-218 и РД-219 для БР Р-16 (1958-61), РД-220, РД-221, РД-250, РД-251 и РД-252 для МБР Р-36 (1961-65), РД-253 для МБР УР-500 (РН «Протон», 1961-65), РД-261 и РД-262 для РН «Циклон» (1968-70), РД-263, РД-264 для МБР Р-36М (1969-73), РД-268 для МБР УР-100 (1969-76), РД-270 для УР-700 (1962-71), РД-273, РД-274 для МБР Р-36М2 (1982-88), РД-275 для РН «Протон» (1987-93), РД-280, РД-301 для РН «Протон-К» (1969-77), РД-302, РД-303, РД-350, РД-502 (1960-66), РД-511 (1970-74), РД-550, РД-701 для орбитального корабля системы МАКС (1989-92), РД-704; ядерная силовая установка РД-410 (1956-58), РД-600 (1962-68), ЯЭУ «Топаз» (1987).50 </w:t>
      </w:r>
    </w:p>
    <w:p w14:paraId="19118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Приморский филиал № 1 ОКБ-456, НПО «Энергия», ОАО «Приморский НТЦ» РКК «Энергия» </w:t>
      </w:r>
    </w:p>
    <w:p w14:paraId="515285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188910 г. Приморск Ленинградской обл. тел. 75-331</w:t>
      </w:r>
    </w:p>
    <w:p w14:paraId="65D5D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5799A5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3C6F2C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01CD7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(1958 г.-)- Е.Н. Кузьмин, (2002 г.)- С.К. Петров.</w:t>
      </w:r>
    </w:p>
    <w:p w14:paraId="3D778B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С.М. Андрюшкин.</w:t>
      </w:r>
    </w:p>
    <w:p w14:paraId="2E3CEE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Ю.В. Сидельников.69</w:t>
      </w:r>
    </w:p>
    <w:p w14:paraId="728384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"Энергомаш" (НПОЭМ), ФГУП, ОАО «НПО "Энергомаш" им. академика В.П. Глушко» ФКА</w:t>
      </w:r>
    </w:p>
    <w:p w14:paraId="3A90C1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Химки-1 Московской обл. ул. Бурденко, 1 тел. 572-22-00</w:t>
      </w:r>
    </w:p>
    <w:p w14:paraId="5E4C3C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22.05.1974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DAFC2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AC2E0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НПО входят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Площадь территории- 136 га.</w:t>
      </w:r>
    </w:p>
    <w:p w14:paraId="31345F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(1974-89 г.)- академик В.П. Глушко, (1991-2004 г.-)- Б.И. Каторгин, (2005 г.)- Н. Пирогов.</w:t>
      </w:r>
    </w:p>
    <w:p w14:paraId="415089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(1974-89 г.)- академик В.П. Глушко, (1991-2004 г.-)- Б.И. Каторгин.</w:t>
      </w:r>
    </w:p>
    <w:p w14:paraId="49A940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В.К. Чванов. Зам. гендиректора (2002 г.)- С.С. Головченко, (2002 г.)- Н.В. Акимов, (2002 г.)- Н.А. Пирогов, (2002 г.)- Г.Г. Деркач.</w:t>
      </w:r>
    </w:p>
    <w:p w14:paraId="7D1991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 Г.Г. Деркач. Директор испытательного комплекса (2002 г.)- Н.В. Акимов. Начальник ОНТИ (2002 г.)- В.С. Судаков (10776).</w:t>
      </w:r>
    </w:p>
    <w:p w14:paraId="58EDF2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286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апреля 1942 г. по приказу № 287с завод (ГС Завод № 456 НКАП, МАП,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МОП,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Опытный завод энергетического машиностроения (ОЗЭМ)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/г. Химки Московской обл./) получил наименование ГС завод № 456 в 6ГУ НКАП. Передан в ЮГУ с 1.07.1943 г. Заводу поручено освоение сборки Ил-4 из узлов завода № 39 и № 126 и перевооружение самолетов А-20Ж (08.1944 г.). Летом 1946 г. два Ли-2 переоборудованы в минные тральщики Ли- 2МТ.</w:t>
      </w:r>
    </w:p>
    <w:p w14:paraId="196224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652C4A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6F3907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 В 1946 г. заводу поставлено 606 трофейных металлорежущих станков.</w:t>
      </w:r>
    </w:p>
    <w:p w14:paraId="79D6B0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образованием специального 14ГУ завод по приказу № ЗбОсс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w:t>
      </w:r>
      <w:r w:rsidRPr="008127F8">
        <w:rPr>
          <w:rFonts w:ascii="Times New Roman" w:hAnsi="Times New Roman"/>
          <w:color w:val="000000" w:themeColor="text1"/>
          <w:sz w:val="16"/>
          <w:szCs w:val="16"/>
        </w:rPr>
        <w:lastRenderedPageBreak/>
        <w:t>09.1948 г.- 23 чел.) под руководством Баума, которая участвовала в создании ЖРД.</w:t>
      </w:r>
    </w:p>
    <w:p w14:paraId="3C368C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13C2C2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завод - в ведении 8ГУ. В соответствии с пост. СМ СССР № 4730-2047(</w:t>
      </w:r>
      <w:proofErr w:type="gramStart"/>
      <w:r w:rsidRPr="008127F8">
        <w:rPr>
          <w:rFonts w:ascii="Times New Roman" w:hAnsi="Times New Roman"/>
          <w:color w:val="000000" w:themeColor="text1"/>
          <w:sz w:val="16"/>
          <w:szCs w:val="16"/>
        </w:rPr>
        <w:t>6)сс</w:t>
      </w:r>
      <w:proofErr w:type="gramEnd"/>
      <w:r w:rsidRPr="008127F8">
        <w:rPr>
          <w:rFonts w:ascii="Times New Roman" w:hAnsi="Times New Roman"/>
          <w:color w:val="000000" w:themeColor="text1"/>
          <w:sz w:val="16"/>
          <w:szCs w:val="16"/>
        </w:rPr>
        <w:t xml:space="preserve"> от 25.11.1950 г. и приказами № 947ссов/712с от 7.12.1950 г. и № 969с от 16.12.1950 г. завод № 456 и ОКБ-456 МАЛ переданы в 7ГУ (специальное)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с 04.1953 г. - в системе МОП.</w:t>
      </w:r>
    </w:p>
    <w:p w14:paraId="319A27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С 1.01.1967 г. завод получил наименование ОЗЭМ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Затем ОЗЭМ и КБЭМ объединены в НПО ЭМ.</w:t>
      </w:r>
    </w:p>
    <w:p w14:paraId="01FBE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Производственная площадь (2002 г.)- 205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станочный парк- 4400 ед.</w:t>
      </w:r>
    </w:p>
    <w:p w14:paraId="37331C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3ECBC4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В.П. Глушко.</w:t>
      </w:r>
    </w:p>
    <w:p w14:paraId="2A4B06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1B52D3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М.Ф. Поликарпова</w:t>
      </w:r>
    </w:p>
    <w:p w14:paraId="5387D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1DC0DE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377с от 25.06.1943 г. ОКБ в полном составе влито в НИСО.</w:t>
      </w:r>
    </w:p>
    <w:p w14:paraId="0B286A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456 НКАП гл. конструктора А.П. Голубкова</w:t>
      </w:r>
    </w:p>
    <w:p w14:paraId="288D5E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527B7A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6623D7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СКБ-456 МАП, ОКБ-456 МАП,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МОП, ГКОТ, ГКАТ,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КБ энергетического машиностроения (КБ ЭМ)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w:t>
      </w:r>
      <w:proofErr w:type="gramStart"/>
      <w:r w:rsidRPr="008127F8">
        <w:rPr>
          <w:rFonts w:ascii="Times New Roman" w:hAnsi="Times New Roman"/>
          <w:color w:val="000000" w:themeColor="text1"/>
          <w:sz w:val="16"/>
          <w:szCs w:val="16"/>
        </w:rPr>
        <w:t>141400  г.</w:t>
      </w:r>
      <w:proofErr w:type="gramEnd"/>
      <w:r w:rsidRPr="008127F8">
        <w:rPr>
          <w:rFonts w:ascii="Times New Roman" w:hAnsi="Times New Roman"/>
          <w:color w:val="000000" w:themeColor="text1"/>
          <w:sz w:val="16"/>
          <w:szCs w:val="16"/>
        </w:rPr>
        <w:t xml:space="preserve"> Химки-1 Московской обл./</w:t>
      </w:r>
    </w:p>
    <w:p w14:paraId="07FC1F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6E5EA3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3FB4F1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8127F8">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1BB1D0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8127F8">
        <w:rPr>
          <w:rFonts w:ascii="Times New Roman" w:hAnsi="Times New Roman"/>
          <w:color w:val="000000" w:themeColor="text1"/>
          <w:sz w:val="16"/>
          <w:szCs w:val="16"/>
          <w:vertAlign w:val="superscript"/>
        </w:rPr>
        <w:t xml:space="preserve">3 </w:t>
      </w:r>
      <w:r w:rsidRPr="008127F8">
        <w:rPr>
          <w:rFonts w:ascii="Times New Roman" w:hAnsi="Times New Roman"/>
          <w:color w:val="000000" w:themeColor="text1"/>
          <w:sz w:val="16"/>
          <w:szCs w:val="16"/>
        </w:rPr>
        <w:t>Передислокация продолжалась до 12.1946 г.</w:t>
      </w:r>
    </w:p>
    <w:p w14:paraId="0F8F78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0E1DF2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DE2CA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70702D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4730-2046(</w:t>
      </w:r>
      <w:proofErr w:type="gramStart"/>
      <w:r w:rsidRPr="008127F8">
        <w:rPr>
          <w:rFonts w:ascii="Times New Roman" w:hAnsi="Times New Roman"/>
          <w:color w:val="000000" w:themeColor="text1"/>
          <w:sz w:val="16"/>
          <w:szCs w:val="16"/>
        </w:rPr>
        <w:t>7)сс</w:t>
      </w:r>
      <w:proofErr w:type="gramEnd"/>
      <w:r w:rsidRPr="008127F8">
        <w:rPr>
          <w:rFonts w:ascii="Times New Roman" w:hAnsi="Times New Roman"/>
          <w:color w:val="000000" w:themeColor="text1"/>
          <w:sz w:val="16"/>
          <w:szCs w:val="16"/>
        </w:rPr>
        <w:t xml:space="preserve"> от 25.11.1950 г. и приказами МАП/МВ № 947ссов/712с от 7.12.50 г. и № 969с от 16.12.1950 г. завод № 456 МАП и ОКБ-456 МАП переданы в систему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СССР в 7ГУ (специальное). С 04.1953 г.- в системе МОП, с 12.1957 г.- в ГКОТ.</w:t>
      </w:r>
    </w:p>
    <w:p w14:paraId="1A85AA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27.10.1954 г. завод № 456 влит в состав ОКБ-456 в качестве опытного завода.</w:t>
      </w:r>
    </w:p>
    <w:p w14:paraId="14EAC2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0D41CA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FF749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3CBCD3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32F85F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03.1965 г. ОКБ-456 ГКАТ передано в подчинение 2ГУ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xml:space="preserve"> и по приказу от 6.03.1966 г. преобразовано с 1.01.1967 г. в КБЭМ.</w:t>
      </w:r>
    </w:p>
    <w:p w14:paraId="7D8108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5A3F6B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начались работы по фторной тематике, с конца 1950-х  г.- по созданию ЯРД.</w:t>
      </w:r>
    </w:p>
    <w:p w14:paraId="4E0413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 ОКБ в инициативном порядке разрабатывалась серия мощных РН- «ракетных летательных аппаратов: </w:t>
      </w:r>
      <w:r w:rsidRPr="008127F8">
        <w:rPr>
          <w:rFonts w:ascii="Times New Roman" w:hAnsi="Times New Roman"/>
          <w:color w:val="000000" w:themeColor="text1"/>
          <w:sz w:val="16"/>
          <w:szCs w:val="16"/>
          <w:lang w:val="en-US"/>
        </w:rPr>
        <w:t>PJIA</w:t>
      </w:r>
      <w:r w:rsidRPr="008127F8">
        <w:rPr>
          <w:rFonts w:ascii="Times New Roman" w:hAnsi="Times New Roman"/>
          <w:color w:val="000000" w:themeColor="text1"/>
          <w:sz w:val="16"/>
          <w:szCs w:val="16"/>
        </w:rPr>
        <w:t xml:space="preserve">-110 «Гроза» грузоподъемностью 20т; </w:t>
      </w:r>
      <w:r w:rsidRPr="008127F8">
        <w:rPr>
          <w:rFonts w:ascii="Times New Roman" w:hAnsi="Times New Roman"/>
          <w:color w:val="000000" w:themeColor="text1"/>
          <w:sz w:val="16"/>
          <w:szCs w:val="16"/>
          <w:lang w:val="en-US"/>
        </w:rPr>
        <w:t>PJIA</w:t>
      </w:r>
      <w:r w:rsidRPr="008127F8">
        <w:rPr>
          <w:rFonts w:ascii="Times New Roman" w:hAnsi="Times New Roman"/>
          <w:color w:val="000000" w:themeColor="text1"/>
          <w:sz w:val="16"/>
          <w:szCs w:val="16"/>
        </w:rPr>
        <w:t xml:space="preserve">-120 - 100т; </w:t>
      </w:r>
      <w:r w:rsidRPr="008127F8">
        <w:rPr>
          <w:rFonts w:ascii="Times New Roman" w:hAnsi="Times New Roman"/>
          <w:color w:val="000000" w:themeColor="text1"/>
          <w:sz w:val="16"/>
          <w:szCs w:val="16"/>
          <w:lang w:val="en-US"/>
        </w:rPr>
        <w:t>PJIA</w:t>
      </w:r>
      <w:r w:rsidRPr="008127F8">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0D658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 стенд для испытаний двигателя блока А РН «Энергия».</w:t>
      </w:r>
    </w:p>
    <w:p w14:paraId="0B4E53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56E66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05B2A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w:t>
      </w:r>
      <w:proofErr w:type="gramStart"/>
      <w:r w:rsidRPr="008127F8">
        <w:rPr>
          <w:rFonts w:ascii="Times New Roman" w:hAnsi="Times New Roman"/>
          <w:color w:val="000000" w:themeColor="text1"/>
          <w:sz w:val="16"/>
          <w:szCs w:val="16"/>
        </w:rPr>
        <w:t>-  Г.С.</w:t>
      </w:r>
      <w:proofErr w:type="gramEnd"/>
      <w:r w:rsidRPr="008127F8">
        <w:rPr>
          <w:rFonts w:ascii="Times New Roman" w:hAnsi="Times New Roman"/>
          <w:color w:val="000000" w:themeColor="text1"/>
          <w:sz w:val="16"/>
          <w:szCs w:val="16"/>
        </w:rPr>
        <w:t xml:space="preserve"> Жирицкий, (-24.10.1960 г.)-  Г.Ф. Фирсов (погиб в катастрофе Р-16); по производству (-1951 г.)- Н.С. Шнякин.</w:t>
      </w:r>
    </w:p>
    <w:p w14:paraId="247CD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(1974 г.)- В.П. Радовский. Директор (-2000-02 г.-&gt; В.К. Чванов.</w:t>
      </w:r>
    </w:p>
    <w:p w14:paraId="6532AC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641597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(2000 г.)- С.А. Лизгунов.</w:t>
      </w:r>
    </w:p>
    <w:p w14:paraId="2B572D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(1974-91 г.)- В.П. Радовский (РД-170).</w:t>
      </w:r>
    </w:p>
    <w:p w14:paraId="4A760E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конструктор - А.С. Назаров.</w:t>
      </w:r>
    </w:p>
    <w:p w14:paraId="2E23B4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(1979 г.)- И.А. Клепиков (МД-185).</w:t>
      </w:r>
    </w:p>
    <w:p w14:paraId="2AC708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ЖРД:</w:t>
      </w:r>
      <w:r w:rsidRPr="008127F8">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8127F8">
        <w:rPr>
          <w:rFonts w:ascii="Times New Roman" w:hAnsi="Times New Roman"/>
          <w:color w:val="000000" w:themeColor="text1"/>
          <w:sz w:val="16"/>
          <w:szCs w:val="16"/>
          <w:lang w:val="en-US"/>
        </w:rPr>
        <w:t>AtlasIIIA</w:t>
      </w:r>
      <w:r w:rsidRPr="008127F8">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8127F8">
        <w:rPr>
          <w:rFonts w:ascii="Times New Roman" w:hAnsi="Times New Roman"/>
          <w:color w:val="000000" w:themeColor="text1"/>
          <w:sz w:val="16"/>
          <w:szCs w:val="16"/>
          <w:vertAlign w:val="superscript"/>
        </w:rPr>
        <w:t>50</w:t>
      </w:r>
    </w:p>
    <w:p w14:paraId="3094EC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Приморский филиал № 1 ОКБ-456, НПО «Энергия», ОАО «Приморский НТЦ» РКК «Энергия» /</w:t>
      </w:r>
      <w:proofErr w:type="gramStart"/>
      <w:r w:rsidRPr="008127F8">
        <w:rPr>
          <w:rFonts w:ascii="Times New Roman" w:hAnsi="Times New Roman"/>
          <w:color w:val="000000" w:themeColor="text1"/>
          <w:sz w:val="16"/>
          <w:szCs w:val="16"/>
        </w:rPr>
        <w:t>188910  г.</w:t>
      </w:r>
      <w:proofErr w:type="gramEnd"/>
      <w:r w:rsidRPr="008127F8">
        <w:rPr>
          <w:rFonts w:ascii="Times New Roman" w:hAnsi="Times New Roman"/>
          <w:color w:val="000000" w:themeColor="text1"/>
          <w:sz w:val="16"/>
          <w:szCs w:val="16"/>
        </w:rPr>
        <w:t xml:space="preserve"> Приморск Ленинградской обл. тел. 75-331/</w:t>
      </w:r>
    </w:p>
    <w:p w14:paraId="5C495A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051857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 стенд для огневых испытаний объединенной двигательной установки ОК «Буран».</w:t>
      </w:r>
    </w:p>
    <w:p w14:paraId="11E32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5162A0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(1958 г.-)- Е.Н. Кузьмин, (2002 г.)- С.К. Петров.</w:t>
      </w:r>
    </w:p>
    <w:p w14:paraId="4FB030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(2002 г.)- С.М. Андрюшкин.</w:t>
      </w:r>
    </w:p>
    <w:p w14:paraId="35541B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Ю.В. Сидельников.</w:t>
      </w:r>
      <w:r w:rsidRPr="008127F8">
        <w:rPr>
          <w:rFonts w:ascii="Times New Roman" w:hAnsi="Times New Roman"/>
          <w:color w:val="000000" w:themeColor="text1"/>
          <w:sz w:val="16"/>
          <w:szCs w:val="16"/>
          <w:vertAlign w:val="superscript"/>
        </w:rPr>
        <w:t>69</w:t>
      </w:r>
    </w:p>
    <w:p w14:paraId="76BA47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«Энергомаш» (НПОЭМ), ФГУП, ОАО «НПО «Энергомаш» им. академика В.П. Глушко» ФКА /</w:t>
      </w:r>
      <w:proofErr w:type="gramStart"/>
      <w:r w:rsidRPr="008127F8">
        <w:rPr>
          <w:rFonts w:ascii="Times New Roman" w:hAnsi="Times New Roman"/>
          <w:color w:val="000000" w:themeColor="text1"/>
          <w:sz w:val="16"/>
          <w:szCs w:val="16"/>
        </w:rPr>
        <w:t>141400  г.</w:t>
      </w:r>
      <w:proofErr w:type="gramEnd"/>
      <w:r w:rsidRPr="008127F8">
        <w:rPr>
          <w:rFonts w:ascii="Times New Roman" w:hAnsi="Times New Roman"/>
          <w:color w:val="000000" w:themeColor="text1"/>
          <w:sz w:val="16"/>
          <w:szCs w:val="16"/>
        </w:rPr>
        <w:t xml:space="preserve"> Химки-1 Московской обл. ул. Бурденко, 1 тел. 777-27-27/</w:t>
      </w:r>
    </w:p>
    <w:p w14:paraId="636191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311BFD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1996 г. заключен контракт на поставку 50 РД-180 в США.</w:t>
      </w:r>
    </w:p>
    <w:p w14:paraId="19DA78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D43A5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573434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08D95C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5B613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(1974-89 г.)- В.П. Глушко, (1991-2005 г.-)- Б.И. Каторгин.</w:t>
      </w:r>
    </w:p>
    <w:p w14:paraId="051795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Деркач.</w:t>
      </w:r>
    </w:p>
    <w:p w14:paraId="74C4C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Г. Деркач. Директор испытательного комплекса (2002 г.)- Н.В. Акимов. Начальник ОНТИ (2002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Судаков.</w:t>
      </w:r>
    </w:p>
    <w:p w14:paraId="3D6A7D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ЦОС (2007 г.)- Ю. Короткое.</w:t>
      </w:r>
    </w:p>
    <w:p w14:paraId="394E81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 «РД-Амрос» ("</w:t>
      </w:r>
      <w:r w:rsidRPr="008127F8">
        <w:rPr>
          <w:rFonts w:ascii="Times New Roman" w:hAnsi="Times New Roman"/>
          <w:color w:val="000000" w:themeColor="text1"/>
          <w:sz w:val="16"/>
          <w:szCs w:val="16"/>
          <w:lang w:val="en-US"/>
        </w:rPr>
        <w:t>RDAmrossLLC</w:t>
      </w:r>
      <w:r w:rsidRPr="008127F8">
        <w:rPr>
          <w:rFonts w:ascii="Times New Roman" w:hAnsi="Times New Roman"/>
          <w:color w:val="000000" w:themeColor="text1"/>
          <w:sz w:val="16"/>
          <w:szCs w:val="16"/>
        </w:rPr>
        <w:t>")</w:t>
      </w:r>
    </w:p>
    <w:p w14:paraId="13C330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Совместное предприятие, учрежденное НПО «Энергомаш» и "</w:t>
      </w:r>
      <w:r w:rsidRPr="008127F8">
        <w:rPr>
          <w:rFonts w:ascii="Times New Roman" w:hAnsi="Times New Roman"/>
          <w:color w:val="000000" w:themeColor="text1"/>
          <w:sz w:val="16"/>
          <w:szCs w:val="16"/>
          <w:lang w:val="en-US"/>
        </w:rPr>
        <w:t>Pratt</w:t>
      </w:r>
      <w:r w:rsidRPr="008127F8">
        <w:rPr>
          <w:rFonts w:ascii="Times New Roman" w:hAnsi="Times New Roman"/>
          <w:color w:val="000000" w:themeColor="text1"/>
          <w:sz w:val="16"/>
          <w:szCs w:val="16"/>
        </w:rPr>
        <w:t>&amp;</w:t>
      </w:r>
      <w:r w:rsidRPr="008127F8">
        <w:rPr>
          <w:rFonts w:ascii="Times New Roman" w:hAnsi="Times New Roman"/>
          <w:color w:val="000000" w:themeColor="text1"/>
          <w:sz w:val="16"/>
          <w:szCs w:val="16"/>
          <w:lang w:val="en-US"/>
        </w:rPr>
        <w:t>Whitney</w:t>
      </w:r>
      <w:r w:rsidRPr="008127F8">
        <w:rPr>
          <w:rFonts w:ascii="Times New Roman" w:hAnsi="Times New Roman"/>
          <w:color w:val="000000" w:themeColor="text1"/>
          <w:sz w:val="16"/>
          <w:szCs w:val="16"/>
        </w:rPr>
        <w:t>" в 1997 г.</w:t>
      </w:r>
    </w:p>
    <w:p w14:paraId="422A79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Расположено на территории НПО. Производство ЖРД РД-180 для компани "</w:t>
      </w:r>
      <w:r w:rsidRPr="008127F8">
        <w:rPr>
          <w:rFonts w:ascii="Times New Roman" w:hAnsi="Times New Roman"/>
          <w:color w:val="000000" w:themeColor="text1"/>
          <w:sz w:val="16"/>
          <w:szCs w:val="16"/>
          <w:lang w:val="en-US"/>
        </w:rPr>
        <w:t>LockheedMartin</w:t>
      </w:r>
      <w:r w:rsidRPr="008127F8">
        <w:rPr>
          <w:rFonts w:ascii="Times New Roman" w:hAnsi="Times New Roman"/>
          <w:color w:val="000000" w:themeColor="text1"/>
          <w:sz w:val="16"/>
          <w:szCs w:val="16"/>
        </w:rPr>
        <w:t>" (2007 г.) (11982).</w:t>
      </w:r>
    </w:p>
    <w:p w14:paraId="727C3DE9" w14:textId="77777777" w:rsidR="00FC48A3" w:rsidRPr="008127F8" w:rsidRDefault="00FC48A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003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по приказу № 287с новый завод, соззданный на площадке бывшего завода № 82,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35795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(1932-35 г.)- С.Е. Киселев, (1936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Войтов, (1937 г.)- А.С. Черняков, (1938-41 г.)- С.Н. Жилин, (1941-42 г.-)- В.Н. Дубов.</w:t>
      </w:r>
      <w:r w:rsidRPr="008127F8">
        <w:rPr>
          <w:rFonts w:ascii="Times New Roman" w:hAnsi="Times New Roman"/>
          <w:color w:val="000000" w:themeColor="text1"/>
          <w:sz w:val="16"/>
          <w:szCs w:val="16"/>
          <w:vertAlign w:val="superscript"/>
        </w:rPr>
        <w:t>49</w:t>
      </w:r>
    </w:p>
    <w:p w14:paraId="0B6BDE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(конец 1930-х)- А. Г. Таканаев.</w:t>
      </w:r>
    </w:p>
    <w:p w14:paraId="444CE4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Ф.Я. Тулупов (М-30) (11982).</w:t>
      </w:r>
    </w:p>
    <w:p w14:paraId="54F76A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B81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апреля 1942 г. по приказу № 287с в соответствии с пост. СНК № 913-472сс от 11.06.1942 г. новый завод по ремонту моторов «Мерлин» и «Аллисон», созданный 30 марта 1942 г. по приказу № 239с на площадке бывшего завода № </w:t>
      </w:r>
      <w:proofErr w:type="gramStart"/>
      <w:r w:rsidRPr="008127F8">
        <w:rPr>
          <w:rFonts w:ascii="Times New Roman" w:hAnsi="Times New Roman"/>
          <w:color w:val="000000" w:themeColor="text1"/>
          <w:sz w:val="16"/>
          <w:szCs w:val="16"/>
        </w:rPr>
        <w:t>82  получил</w:t>
      </w:r>
      <w:proofErr w:type="gramEnd"/>
      <w:r w:rsidRPr="008127F8">
        <w:rPr>
          <w:rFonts w:ascii="Times New Roman" w:hAnsi="Times New Roman"/>
          <w:color w:val="000000" w:themeColor="text1"/>
          <w:sz w:val="16"/>
          <w:szCs w:val="16"/>
        </w:rPr>
        <w:t xml:space="preserve"> наименование ГС завод № 453 НКАП при 6ГУ. На этой же площадке в соответствии с пост. ГКО от 4.04.1942 г. и приказом № 268с от 10.04.1942 г.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5AF669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3A4C9D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520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приказом № 287с в соответствии с пост. СНК № 913-472сс от 11.06.1942 г. в связи с переименованием Главремуправления в 6ГУ НКАП ремонтный завод, созданный на месте эвакуированного завода № 89, получил прежний литерный номер и наименование ГС завод № 89 6ГУ НКАП.</w:t>
      </w:r>
    </w:p>
    <w:p w14:paraId="64CC3C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8127F8">
        <w:rPr>
          <w:rFonts w:ascii="Times New Roman" w:hAnsi="Times New Roman"/>
          <w:color w:val="000000" w:themeColor="text1"/>
          <w:sz w:val="16"/>
          <w:szCs w:val="16"/>
          <w:lang w:val="en-US"/>
        </w:rPr>
        <w:t>HKAJQ</w:t>
      </w:r>
      <w:r w:rsidRPr="008127F8">
        <w:rPr>
          <w:rFonts w:ascii="Times New Roman" w:hAnsi="Times New Roman"/>
          <w:color w:val="000000" w:themeColor="text1"/>
          <w:sz w:val="16"/>
          <w:szCs w:val="16"/>
        </w:rPr>
        <w:t xml:space="preserve"> на завод </w:t>
      </w:r>
      <w:r w:rsidRPr="008127F8">
        <w:rPr>
          <w:rFonts w:ascii="Times New Roman" w:hAnsi="Times New Roman"/>
          <w:color w:val="000000" w:themeColor="text1"/>
          <w:sz w:val="16"/>
          <w:szCs w:val="16"/>
          <w:lang w:val="en-US"/>
        </w:rPr>
        <w:t>N</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bscript"/>
        </w:rPr>
        <w:t>:</w:t>
      </w:r>
      <w:r w:rsidRPr="008127F8">
        <w:rPr>
          <w:rFonts w:ascii="Times New Roman" w:hAnsi="Times New Roman"/>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0A431C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4BBBF9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05539A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734CA8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(1941-43 г.-)- А.П. Голубков.</w:t>
      </w:r>
    </w:p>
    <w:p w14:paraId="5EF663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ПС-9 (1934), ПС-89- 7 шт. (11982).</w:t>
      </w:r>
    </w:p>
    <w:p w14:paraId="2D634B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497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приказом 287с в соответствии с пост. СНК № 913-472сс от 11.06.1942 г. в связи с переименованием Главремуправления в 6ГУ НКАП, ремонтный завод на площадке эвакуированного завода № 207 НКАП получил наименование ГС завод</w:t>
      </w:r>
      <w:r w:rsidRPr="008127F8">
        <w:rPr>
          <w:rFonts w:ascii="Times New Roman" w:hAnsi="Times New Roman"/>
          <w:iCs/>
          <w:color w:val="000000" w:themeColor="text1"/>
          <w:sz w:val="16"/>
          <w:szCs w:val="16"/>
        </w:rPr>
        <w:t xml:space="preserve"> № 462 (</w:t>
      </w:r>
      <w:r w:rsidRPr="008127F8">
        <w:rPr>
          <w:rFonts w:ascii="Times New Roman" w:hAnsi="Times New Roman"/>
          <w:color w:val="000000" w:themeColor="text1"/>
          <w:sz w:val="16"/>
          <w:szCs w:val="16"/>
        </w:rPr>
        <w:t>Завод № 462 НКАП /г. Долгопрудный Московской обл./</w:t>
      </w:r>
      <w:r w:rsidRPr="008127F8">
        <w:rPr>
          <w:rFonts w:ascii="Times New Roman" w:hAnsi="Times New Roman"/>
          <w:iCs/>
          <w:color w:val="000000" w:themeColor="text1"/>
          <w:sz w:val="16"/>
          <w:szCs w:val="16"/>
        </w:rPr>
        <w:t>).</w:t>
      </w:r>
    </w:p>
    <w:p w14:paraId="437CD9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передан из 6ГУ в 7ГУ. По приказу № 416с от 14.07.1943 г. на площадку завода № 462 переведен из Тушино Завод № 464 НКАП, оба завода объединены под названием Завод № 464 НКАП.</w:t>
      </w:r>
    </w:p>
    <w:p w14:paraId="27A6D4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М.П. Озимков.</w:t>
      </w:r>
    </w:p>
    <w:p w14:paraId="464155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(05.1943 г.)- Кузнецов (11982).</w:t>
      </w:r>
    </w:p>
    <w:p w14:paraId="53778F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B2F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приказом № 287с в соответствии с пост. СНК № 913-472сс от 11.06.1942 г., в связи с переименованием Главремуправления в 6ГУ НКАП, завод на месте эвакуированного завода № 16, созданного 28 декабря 1941 г. по приказу № 1090с, должен был получить наименование ГС завод № 444 НКАП.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242099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1944 г. началось восстановление мощностей для производства авиамоторов.</w:t>
      </w:r>
    </w:p>
    <w:p w14:paraId="11BDD4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с завода № 265 переведено на завод № 500 на постоянную работу около 600 специалистов. По 1фиказу № 707с от 29.12.1944 г. завод передан из ЗГУ в 4ГУ и получил задание освоить производство насосов непосредственного впрыска топлива для АШ-82ФН и АШ-83.</w:t>
      </w:r>
    </w:p>
    <w:p w14:paraId="3A9467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выделено 2760 трофейных станков (в т.ч. 561 металлорежущий).</w:t>
      </w:r>
    </w:p>
    <w:p w14:paraId="6A445F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приказам № 154с от 23.03.1946 г. и № 184с от 1.04.1946 г. в Воронеж на площадку завода № 265 МАП перебазирован завод № 154 МАП, в результате слияния образован единый завод № 154 МАП.</w:t>
      </w:r>
    </w:p>
    <w:p w14:paraId="5C0FE8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(02.1944 г.)- В.И. Сухоруков (11982).</w:t>
      </w:r>
    </w:p>
    <w:p w14:paraId="6952538F" w14:textId="77777777" w:rsidR="00FC48A3" w:rsidRPr="008127F8" w:rsidRDefault="00FC48A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C86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приказом № 287с в соответствии с пост. СНК № 913-472сс от 11.06.1942 г.  в связи с переименованием Главремуправления в 6ГУ НКАП, завод на площадке эвакуированного завода № 16 НКАП созданный 28 декабря 1941 г. по приказу № 1090с как Ремонтные моторные мастерские (начальник- А.И. Седов) ГС Завод № 444 НКАП /г. Воронеж/ должен был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76B383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(05.1942 г.)- Давыдов (11982).</w:t>
      </w:r>
    </w:p>
    <w:p w14:paraId="5FC046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06709" w14:textId="7D475C32" w:rsidR="00FC48A3" w:rsidRPr="008127F8" w:rsidRDefault="00FC48A3"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16 апреля 1942 года в письме за подписью адмирала Галлера в адрес Командующего Минометными частями Красной Армии Аборенкова В.В. указано, что на кораблях Военно-морского и речного флота устанавливаются</w:t>
      </w:r>
      <w:r w:rsidR="008127F8">
        <w:rPr>
          <w:rFonts w:ascii="Times New Roman" w:eastAsia="Times New Roman" w:hAnsi="Times New Roman"/>
          <w:color w:val="000000" w:themeColor="text1"/>
          <w:sz w:val="16"/>
          <w:szCs w:val="16"/>
        </w:rPr>
        <w:t xml:space="preserve">  </w:t>
      </w:r>
      <w:r w:rsidRPr="008127F8">
        <w:rPr>
          <w:rFonts w:ascii="Times New Roman" w:eastAsia="Times New Roman" w:hAnsi="Times New Roman"/>
          <w:color w:val="000000" w:themeColor="text1"/>
          <w:sz w:val="16"/>
          <w:szCs w:val="16"/>
        </w:rPr>
        <w:t xml:space="preserve"> "М-8" и "М-13". У Аборенкова В.В. просилось распоряжение об ознакомлении руководящего начсостава НКВМФ с боевой стрельбой этих установок (15982).</w:t>
      </w:r>
    </w:p>
    <w:p w14:paraId="1D8DC3CD" w14:textId="77777777" w:rsidR="00FC48A3" w:rsidRPr="008127F8" w:rsidRDefault="00FC48A3" w:rsidP="001E0A84">
      <w:pPr>
        <w:spacing w:after="0" w:line="240" w:lineRule="auto"/>
        <w:jc w:val="both"/>
        <w:rPr>
          <w:rFonts w:ascii="Times New Roman" w:eastAsia="Times New Roman" w:hAnsi="Times New Roman"/>
          <w:color w:val="000000" w:themeColor="text1"/>
          <w:sz w:val="16"/>
          <w:szCs w:val="16"/>
        </w:rPr>
      </w:pPr>
    </w:p>
    <w:p w14:paraId="629D48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вышло Постановление ГКО № 1606 О директорах заводов НКАП. РГАНИР, Фонд ГКО, д. 31, лл. 12 (11012).</w:t>
      </w:r>
    </w:p>
    <w:p w14:paraId="47042B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57040"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А.Г. Костиков писал записку лично И.В. Сталину:</w:t>
      </w:r>
    </w:p>
    <w:p w14:paraId="40900D4F"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«Своеобразные условия развития работ в Институте, с момента его организации и до настоящего времени, позволили реализовать для нужд обороны лишь самые простейшие объекты, каковыми являются пороховые ракетные снаряды. Целый ряд других направлений института: реактивная авиация - с двигателями на жидком топливе..., дальнобойные ракеты, торпеды и др. (перечисляет темы В.П. Глушко и СП. Королева) не получили должного развития в институте вследствие ограничения этих работ условиями ведомственной принадлежности Института Наркомату Боеприпасов, с одной стороны, и неверия в эту новую технику до самого последнего времени со стороны других Наркоматов, организаций и представителей смежных областей техники, - с другой стороны (две последних причины совершенно справедливы - прим. авт.)». Далее он пишет: «В настоящее время НИИ № 3 на основе накопленного опыта (опыта Королева и Глушко) имеет возможность решать следующие задачи актуальные для фронта и важные для ближайшего будущего: ... Создать реактивные снаряды на жидком топливе с дальностью боя 20-40 км и воздушные реактивные торпеды с автоматическим управлением и с дальностью действия свыше 40 км (пометка рукой Сталина «МВ»)... Разработать проект самолета с реактивными двигателями РД-ВРД, которые обеспечивают самолету подъем на высоту 5-8 км в течение 2,5 мин.(пометка рукой Сталина «Очень важно»)».</w:t>
      </w:r>
    </w:p>
    <w:p w14:paraId="715B632B" w14:textId="77777777" w:rsidR="009F56D6" w:rsidRPr="008127F8" w:rsidRDefault="009F56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Костиков вносит предложение: «Своеобразие ракетной техники, являющейся весьма молодой отраслью техники, начавшей еще только развиваться, тесная зависимость объектов между собой и необходимость единства методов в решении технических задач при создании объектов на реактивном принципе, наконец, необходимость иметь для успепшой работы достаточно мощную и хорошо оснащенную производственную и техническую базу выдвигают непременным условием производить работу в области ракетной техники на базе одной целеустремленной мощной организации...., стоящей вне ведомственных интересов того или иного наркомата и подчиненной непосредственно Совнаркому СССР» (22685).</w:t>
      </w:r>
    </w:p>
    <w:p w14:paraId="59F84FCC" w14:textId="77777777" w:rsidR="009F56D6" w:rsidRPr="008127F8" w:rsidRDefault="009F56D6" w:rsidP="001E0A84">
      <w:pPr>
        <w:spacing w:after="0" w:line="240" w:lineRule="auto"/>
        <w:jc w:val="both"/>
        <w:rPr>
          <w:rFonts w:ascii="Times New Roman" w:hAnsi="Times New Roman"/>
          <w:color w:val="000000" w:themeColor="text1"/>
          <w:sz w:val="16"/>
          <w:szCs w:val="16"/>
        </w:rPr>
      </w:pPr>
    </w:p>
    <w:p w14:paraId="06099BE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9AF72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CB099B" w14:textId="77777777" w:rsidR="00DB1913" w:rsidRPr="008127F8" w:rsidRDefault="00DB1913" w:rsidP="001E0A84">
      <w:pPr>
        <w:spacing w:after="0" w:line="240" w:lineRule="auto"/>
        <w:jc w:val="both"/>
        <w:rPr>
          <w:rFonts w:ascii="Times New Roman" w:eastAsia="Times New Roman" w:hAnsi="Times New Roman"/>
          <w:bCs/>
          <w:i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16 апреля 1942 г.</w:t>
      </w:r>
    </w:p>
    <w:p w14:paraId="7A3C4C7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1 Дело 9 лист 54</w:t>
      </w:r>
    </w:p>
    <w:p w14:paraId="764F0E54"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51E5B243"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СССР</w:t>
      </w:r>
    </w:p>
    <w:p w14:paraId="73F49704"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140-М</w:t>
      </w:r>
    </w:p>
    <w:p w14:paraId="09527D20"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3C96F417"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"16" апреля 1942 г.</w:t>
      </w:r>
    </w:p>
    <w:p w14:paraId="061EEA6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Коллектив работников Сталинградского Тракторного завода включился в предмайское соревнование и вызвал на соревнование коллективы работников Кировского завода, заводов № 183 и 112. </w:t>
      </w:r>
    </w:p>
    <w:p w14:paraId="6B1429C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Одобряя инициативу коллектива работников Сталинградского Тракторного завода, направленную на выполнение указания товарища СТАЛИНА о производстве в еще большем количестве вооружения для Красной Армии, призываю коллективы работников Кировского завода, заводов № 183 и 112 и другие танковые заводы в ответ на вызов Сталинградского Тракторного завода, ознаменовать встречу 1-го Мая новыми производственными победами и обеспечить успешное выполнение и перевыполнение задания Партии и Правительства по выпуску оборонной продукции для нужд фронта. </w:t>
      </w:r>
    </w:p>
    <w:p w14:paraId="7F94348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Учредить переходящее Красное Знамя Наркомата Танковой Промышленности для вручения его коллективу завода, успешно выполнившему свои обязательства. </w:t>
      </w:r>
    </w:p>
    <w:p w14:paraId="73B0DCF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Выражаю уверенность, что директора и командный состав заводов Наркомтанкопрома возглавят предмайское соревнование и ознаменуют 1-е Мая 1942 года новыми успехами по увеличению выпуска боевых машин для разгрома фашистов. </w:t>
      </w:r>
    </w:p>
    <w:p w14:paraId="6319BE2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СССР</w:t>
      </w:r>
    </w:p>
    <w:p w14:paraId="6DA1CB71"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 МАЛЫШЕВ (18934).</w:t>
      </w:r>
    </w:p>
    <w:p w14:paraId="73069AFE" w14:textId="77777777" w:rsidR="00DB1913" w:rsidRPr="008127F8" w:rsidRDefault="00DB1913" w:rsidP="001E0A84">
      <w:pPr>
        <w:spacing w:after="0" w:line="240" w:lineRule="auto"/>
        <w:jc w:val="both"/>
        <w:rPr>
          <w:rFonts w:ascii="Times New Roman" w:hAnsi="Times New Roman"/>
          <w:color w:val="000000" w:themeColor="text1"/>
          <w:sz w:val="16"/>
          <w:szCs w:val="16"/>
        </w:rPr>
      </w:pPr>
    </w:p>
    <w:p w14:paraId="5F7506AC" w14:textId="77777777" w:rsidR="00F76B33" w:rsidRPr="008127F8" w:rsidRDefault="00F76B33"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16 апреля 1942 конструкторское бюро завода № 264 во главе с главным конструктором Фроловым и главным инженером Ходосом подготови</w:t>
      </w:r>
      <w:r w:rsidRPr="008127F8">
        <w:rPr>
          <w:rFonts w:eastAsia="Calibri"/>
          <w:color w:val="000000" w:themeColor="text1"/>
          <w:sz w:val="16"/>
          <w:szCs w:val="16"/>
        </w:rPr>
        <w:softHyphen/>
        <w:t>ло новые технические условия на корпус, башню и бронезащиту си</w:t>
      </w:r>
      <w:r w:rsidRPr="008127F8">
        <w:rPr>
          <w:rFonts w:eastAsia="Calibri"/>
          <w:color w:val="000000" w:themeColor="text1"/>
          <w:sz w:val="16"/>
          <w:szCs w:val="16"/>
        </w:rPr>
        <w:softHyphen/>
        <w:t>стемы Т-60. Условия были подписаны Бурцевым, что вызвало бурную реакцию со стороны «Красного Октября», поскольку их не согласовали с заводским руководством. В Москву ушла жалоба, примерно в то же время на завод № 264 пожаловался и завод № 180. Выяснилось, что при сборке Т-60 имели случаи, когда на корпуса одних заводов ставились башни других поставщиков. В частности, 22 башни завода № 180 были поставлены на корпуса изготовления «Красного Октября». Кроме того, имели место случаи демонтажа с корпусов деталей и установки их на изделия других заводов. При сложившейся ситуации представители завода № 180 справедливо замечали, что будет сложно установить, ка</w:t>
      </w:r>
      <w:r w:rsidRPr="008127F8">
        <w:rPr>
          <w:rFonts w:eastAsia="Calibri"/>
          <w:color w:val="000000" w:themeColor="text1"/>
          <w:sz w:val="16"/>
          <w:szCs w:val="16"/>
        </w:rPr>
        <w:softHyphen/>
        <w:t>кому производителю корпуса или башни в случае брака пойдет рекла</w:t>
      </w:r>
      <w:r w:rsidRPr="008127F8">
        <w:rPr>
          <w:rFonts w:eastAsia="Calibri"/>
          <w:color w:val="000000" w:themeColor="text1"/>
          <w:sz w:val="16"/>
          <w:szCs w:val="16"/>
        </w:rPr>
        <w:softHyphen/>
        <w:t>мация (17485).</w:t>
      </w:r>
    </w:p>
    <w:p w14:paraId="278DCCD4" w14:textId="77777777" w:rsidR="00F76B33" w:rsidRPr="008127F8" w:rsidRDefault="00F76B33" w:rsidP="001E0A84">
      <w:pPr>
        <w:pStyle w:val="af"/>
        <w:spacing w:before="0" w:after="0"/>
        <w:jc w:val="both"/>
        <w:rPr>
          <w:color w:val="000000" w:themeColor="text1"/>
          <w:sz w:val="16"/>
          <w:szCs w:val="16"/>
        </w:rPr>
      </w:pPr>
    </w:p>
    <w:p w14:paraId="05F79A6A" w14:textId="77777777" w:rsidR="00BA3976" w:rsidRPr="008127F8" w:rsidRDefault="00BA3976" w:rsidP="001E0A84">
      <w:pPr>
        <w:pStyle w:val="af"/>
        <w:shd w:val="clear" w:color="auto" w:fill="FFFFFF"/>
        <w:spacing w:before="0" w:after="0"/>
        <w:jc w:val="both"/>
        <w:rPr>
          <w:color w:val="000000" w:themeColor="text1"/>
          <w:sz w:val="16"/>
          <w:szCs w:val="16"/>
        </w:rPr>
      </w:pPr>
      <w:r w:rsidRPr="008127F8">
        <w:rPr>
          <w:color w:val="000000" w:themeColor="text1"/>
          <w:sz w:val="16"/>
          <w:szCs w:val="16"/>
        </w:rPr>
        <w:t>16 апреля 1942 начались заводские испытания танкового прицепа ТД-200. На первых ходовых испытаниях средняя скорость передвижения ТД-200 №1 за КВ-1 составила 16 км/ч. Было пройдено 48 километров, из них 37 километров — по булыжному шоссе и 11 километров — по просёлку. В ходе испытаний отмечалось два случая спадания гусениц: в первый раз при движении назад под углом 75 градусов и второй при движении вперёд под углом 50 градусов. Кроме того, отмечалось слабое натяжение гусеничных лент. Прицеп было невозможно отцепить на ходу, а клиренс в 30 см оказался недостаточным. Помимо этого, выяснилось, что заслонки бойниц можно было открыть с внешней стороны. После испытаний прототип, изначально имевший одностворчатые верхние люки, был переделан, что привело к затягиванию испытаний на месяц. Чижиков, волнуясь за судьбу своего детища, 22 апреля написал очередное письмо Сталину с просьбой посодействовать ускорению работ. Впрочем, на ход испытаний это никак не повлияло.</w:t>
      </w:r>
    </w:p>
    <w:p w14:paraId="06EB8D3B" w14:textId="77777777" w:rsidR="00BA3976" w:rsidRPr="008127F8" w:rsidRDefault="00BA397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Второй этап испытаний, проходивший с 19 по 25 мая, совпал с учениями на Челябинском танкодроме. Всего за это время было пройдено 28 километров. ТД-200 испытали с полной нагрузкой: в прицеп погрузились 20 бойцов, посадка занимала 60 секунд. Была произведена и успешная выгрузка десанта на скорости 4-5 км/ч. Прицеп с полной нагрузкой испытывался и на бездорожье: были успешно пройдены 2 ямы глубиной 1 метр и 4 ямы глубиной 1,2 метра. Для усложнения задачи между танком и прицепом было положено бревно диаметром 25 см, это препятствие на небольшой скорости было пройдено 2 раза. При прохождении препятствий был погнуты тяги дышла, кроме того, между гусеницей и правой надгусеничной полкой попал камень, который частично прогнул заднюю часть полки. 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При этом не было зафиксировано ни одного случая спадания гусениц.</w:t>
      </w:r>
    </w:p>
    <w:p w14:paraId="1595D72B" w14:textId="77777777" w:rsidR="00BA3976" w:rsidRPr="008127F8" w:rsidRDefault="00BA3976" w:rsidP="001E0A84">
      <w:pPr>
        <w:pStyle w:val="af"/>
        <w:shd w:val="clear" w:color="auto" w:fill="FFFFFF"/>
        <w:spacing w:before="0" w:after="0"/>
        <w:jc w:val="both"/>
        <w:rPr>
          <w:color w:val="000000" w:themeColor="text1"/>
          <w:sz w:val="16"/>
          <w:szCs w:val="16"/>
        </w:rPr>
      </w:pPr>
      <w:r w:rsidRPr="008127F8">
        <w:rPr>
          <w:color w:val="000000" w:themeColor="text1"/>
          <w:sz w:val="16"/>
          <w:szCs w:val="16"/>
        </w:rPr>
        <w:t>15 июня заводские испытания завершились. Осмотр ходовой части ТД-200 №1 показал, что все детали оставались в пределах нормы. Таким образом, прицеп вполне успешно прошёл заводскую программу. В течение мая были изготовлены 2-й и 3-й экземпляры ТД-200, сдали их уже в начале июня.</w:t>
      </w:r>
    </w:p>
    <w:p w14:paraId="306C5215" w14:textId="77777777" w:rsidR="00BA3976" w:rsidRPr="008127F8" w:rsidRDefault="00BA3976"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Однако на этом дело застопорилось. Официального отказа от программы ТД-200 не было, но больше эти прицепы в переписке не фигурируют. Не исключено, что виной этому стала их слишком большая масса, ведь про требования, сформулированные в феврале 1942 года, в ГАБТУ КА не забыли. Кроме того, на судьбу ТД-200 могла повлиять и финансовая сторона вопроса. Общая стоимость трёх бронеприцепов составила 126 000 рублей, то есть каждый ТД-200 обошелся в 42 000. С учётом того, что прицеп предполагалось изготовлять из отходов корпусного производства, такая цена выглядела не очень адекватной: танк Т-60 стоил </w:t>
      </w:r>
      <w:proofErr w:type="gramStart"/>
      <w:r w:rsidRPr="008127F8">
        <w:rPr>
          <w:color w:val="000000" w:themeColor="text1"/>
          <w:sz w:val="16"/>
          <w:szCs w:val="16"/>
        </w:rPr>
        <w:t>не намного</w:t>
      </w:r>
      <w:proofErr w:type="gramEnd"/>
      <w:r w:rsidRPr="008127F8">
        <w:rPr>
          <w:color w:val="000000" w:themeColor="text1"/>
          <w:sz w:val="16"/>
          <w:szCs w:val="16"/>
        </w:rPr>
        <w:t xml:space="preserve"> больше этого прицепа (17711).</w:t>
      </w:r>
    </w:p>
    <w:p w14:paraId="4695B1B7"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CF9B4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вышло Постановление ГКО № 1605 О повышении заработной платы работникам, связанным с движением поездов, и инженерно-техническим работникам линейно-хозяйственных организаций железных дорог. (7004, 2,3-11).</w:t>
      </w:r>
    </w:p>
    <w:p w14:paraId="728434C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89A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16-18 апреля 1942 300 рабочих, в основном женщины, стройтреста № 16 в бухте Гольсмана приступили к сооружению стапелей, прокладке подъездных путей. </w:t>
      </w:r>
      <w:r w:rsidRPr="008127F8">
        <w:rPr>
          <w:rFonts w:ascii="Times New Roman" w:hAnsi="Times New Roman"/>
          <w:color w:val="000000" w:themeColor="text1"/>
          <w:sz w:val="16"/>
          <w:szCs w:val="16"/>
        </w:rPr>
        <w:lastRenderedPageBreak/>
        <w:t>Началась подготовка производства к строительству барж-"блокадок" (10671).</w:t>
      </w:r>
    </w:p>
    <w:p w14:paraId="7A8261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D9FA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511AE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EABA5"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в 1942 году утреннее сообщение Совинформбюро:</w:t>
      </w:r>
    </w:p>
    <w:p w14:paraId="7F1BB600"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16 апреля на фронте чего-либо существенного не произошло.</w:t>
      </w:r>
    </w:p>
    <w:p w14:paraId="65220EC4"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один день боёв захватила 11 немецких орудий, 59 пулемётов, 250 винтовок, 16 автоматов, 300 снарядов, 60.000 патронов, 3 радиостанции и другое военное имущество. На другом участке фронта гвардейская кавалерийская часть заняла два населённых пункта.</w:t>
      </w:r>
    </w:p>
    <w:p w14:paraId="669D5D47"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отбили контратаки противника, в результате которых немцы потеряли 750 солдат и офицеров убитыми иранеными.</w:t>
      </w:r>
    </w:p>
    <w:p w14:paraId="3E105219"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где командиром тов. Загольев, контратаковав противника, заняло укреплённый населённый пункт. На поле боя осталось свыше 100 трупов гитлеровцев.</w:t>
      </w:r>
    </w:p>
    <w:p w14:paraId="132A52BD"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зенитчики, действующие на Южном фронте, за время боевых действий сбили 386 вражеских самолётов.</w:t>
      </w:r>
    </w:p>
    <w:p w14:paraId="59B4E557"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танк прорвался на участок, где находился командный пункт нашего батальона. Старший лейтенант Семёнов подпустил вражескую машину на близкое расстояние и противотанковой гранатой подорвал её.</w:t>
      </w:r>
    </w:p>
    <w:p w14:paraId="0BCF1BCA"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Георгий Волков за последний месяц уничтожил 20 немецких солдат и вывел из строя 3 пулемётных расчёта.</w:t>
      </w:r>
    </w:p>
    <w:p w14:paraId="2369DE6A"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Д., действующий на оккупированной немцами территории Витебской области, за последние два месяца успешно провёл ряд операций. В одной операции партизаны уничтожили немецкий гарнизон. На улицах осталось 80 трупов гитлеровцев. Через несколько дней партизаны сожгли пущенный немцами лесопильный завод и все склады с материалами. В бою уничтожено 80 солдат и полицейских из охраны завода.</w:t>
      </w:r>
    </w:p>
    <w:p w14:paraId="2F864DAB"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отряд тов. Д. объединился с другим партизанским отрядом, действующим в соседнем районе. Объединёнными силами партизаны разгромили немецкий гарнизон в большом населённом пункте.</w:t>
      </w:r>
    </w:p>
    <w:p w14:paraId="4E5E65B2"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потеряли более 300 солдат и офицеров. Командование отряда провело через линию фронта из оккупированных немцами районов свыше 1.500 советских граждан, решивших встать в ряды Красной Армии.</w:t>
      </w:r>
    </w:p>
    <w:p w14:paraId="16704FEF"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лейтенанта, фамилия которого не установлена, найдено письмо от Эмиля Гертнера из Белграда. Гертнер — махровый фашист, именующий себя доктором, пишет: «Здесь до сих пор не удаётся наладить нормальную жизнь. Несмотря на строжайшие меры наказания, акты саботажа всё ещё имеют место. К сожалению, у нас не хватает солдат для того, чтобы призвать к порядку непокорный сербский народ. Мне жаль наших солдат, которые здесь гибнут. Цены на товары бешено растут. Предметов первой необходимости не найти» (15101).</w:t>
      </w:r>
    </w:p>
    <w:p w14:paraId="6DB7375F" w14:textId="77777777" w:rsidR="00FC48A3" w:rsidRPr="008127F8" w:rsidRDefault="00FC48A3" w:rsidP="001E0A84">
      <w:pPr>
        <w:spacing w:after="0" w:line="240" w:lineRule="auto"/>
        <w:jc w:val="both"/>
        <w:rPr>
          <w:rFonts w:ascii="Times New Roman" w:hAnsi="Times New Roman"/>
          <w:color w:val="000000" w:themeColor="text1"/>
          <w:sz w:val="16"/>
          <w:szCs w:val="16"/>
        </w:rPr>
      </w:pPr>
    </w:p>
    <w:p w14:paraId="28D43684"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в 1942 году вечернее сообщение Совинформбюро:</w:t>
      </w:r>
    </w:p>
    <w:p w14:paraId="703C3B4B"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16 апреля на фронте чего-либо существенного не произошло.</w:t>
      </w:r>
    </w:p>
    <w:p w14:paraId="51BBA82D"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апреля сбито не 14 немецких самолётов, как об этом сообщалось ранее, а 20 самолётов.</w:t>
      </w:r>
    </w:p>
    <w:p w14:paraId="272FB0F9"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апреля уничтожено 32 немецких самолёта. Наши потери — 5 самолётов.</w:t>
      </w:r>
    </w:p>
    <w:p w14:paraId="6BA50623"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апреля частями нашей авиации уничтожено и повреждено около 30 немецких автомашин с войсками и грузами, 7 полевых и зенитных орудий, 2 зенитно-пулемётные точки и 8 миномётов.</w:t>
      </w:r>
    </w:p>
    <w:p w14:paraId="34E96A12"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боёв с противником наши части, действующие на отдельных участках Ленинградского фронта, за последние два дня уничтожили свыше 2.000 вражеских солдат и офицеров. Захвачены трофеи.</w:t>
      </w:r>
    </w:p>
    <w:p w14:paraId="79970A07"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под командованием капитана Зеленского (Северо-Западный фронт), преодолев упорное сопротивление врага, выбили гитлеровцев из укреплённого населённого пункта. Немцы несколько раз пытались вернуть утерянные позиции, но каждый раз откатывались назад с большими потерями.</w:t>
      </w:r>
    </w:p>
    <w:p w14:paraId="3268B86A"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где командиром тов. Куприянов (Калининский фронт), успешно отразила контратаку противника. Немцы оставили на поле боя 450 убитых солдат и офицеров.</w:t>
      </w:r>
    </w:p>
    <w:p w14:paraId="7677765F"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в ночном бою заняла важный пункт обороны противника. Гитлеровцы потеряли большое число солдат убитыми и ранеными. Захвачено у противника 3 орудия, 25 пулемётов, 150 винтовок, 3 радиостанции и другое вооружение. Взяты пленные.</w:t>
      </w:r>
    </w:p>
    <w:p w14:paraId="60051FBC"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Красноармеец-снайпер Д. Третьяк за три месяца уничтожил 65 фашистов.</w:t>
      </w:r>
    </w:p>
    <w:p w14:paraId="3F9F47A3"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красноармейцев под командованием сержанта Бирюкова во время разведки вражеских огневых позиций подверглись нападению 50 немецких солдат. Отважные бойцы приняли неравный бой. Красноармеец тов. Малахов несколькими очередями из автомата уничтожил расчёт вражеского пулемёта. Вслед за этим разведчики бросились в атаку на врага. Немцы не выдержали и бежали. Преследуя противника, разведчики уничтожили 30 немецких солдат.</w:t>
      </w:r>
    </w:p>
    <w:p w14:paraId="5C8C17F9"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7 роты 468 полка 268 немецкой пехотной дивизии Вильгельм Цвингель рассказал: «В феврале из города Байрета был отправлен на фронт маршевый батальон в количестве 1.200 человек. Этот батальон, в который я попал, был укомплектован рабочими военных заводов. Мы прошли краткосрочную подготовку, во время которой нас обучали главным образом стрельбе из винтовки. В первом же бою мы понесли большие потери. Из 50 резервистов, прибывших в 7 роту, осталось в живых только 10. Но и у уцелевших не было никакой надежды на благополучное возвращение домой. Я даже написал посмертное завещание, так как решил, что дни мои сочтены. Такие же завещания написали после боя и многие другие солдаты. На другой день русские снова предприняли атаку. Наша рота отступила, а я остался на месте и сдался в плен».</w:t>
      </w:r>
    </w:p>
    <w:p w14:paraId="05808A8C"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Рихард Приферт писал недавно из Парижа ефрейтору Гергарту Бекман, находившемуся на советско-германском фронте: «...За последнее время здесь стало неспокойно. Несколько солдат нашей роты убито. Представь себе, что их убивали в оживлённых и людных местах. В солдат стреляли даже на станциях метро с другой стороны платформы, разделённой рельсами, непосредственно перед приходом поезда. В отместку за это было расстреляно много французов. Но кто же может рассчитывать, что эти нападения прекратятся?».</w:t>
      </w:r>
    </w:p>
    <w:p w14:paraId="2F4FBD3B" w14:textId="77777777" w:rsidR="00FC48A3" w:rsidRPr="008127F8" w:rsidRDefault="00FC48A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заём в Румынии, выпущенный ещё в августе прошлого года, позорно провалился. Для того, чтобы добиться хотя бы видимости успеха займа, власти были вынуждены объявить, что облигации займа продаются с большой скидкой. Но и это не помогает. Заём реализован на ничтожную сумму. Срок окончания подписки переносится уже четвёртый раз. Несмотря на все уговоры и репрессии, население Румынии не хочет поддерживать грабительскую войну, начатую по указке Гитлера.» (15101).</w:t>
      </w:r>
    </w:p>
    <w:p w14:paraId="211B45E5" w14:textId="77777777" w:rsidR="00FC48A3" w:rsidRPr="008127F8" w:rsidRDefault="00FC48A3" w:rsidP="001E0A84">
      <w:pPr>
        <w:spacing w:after="0" w:line="240" w:lineRule="auto"/>
        <w:jc w:val="both"/>
        <w:rPr>
          <w:rFonts w:ascii="Times New Roman" w:hAnsi="Times New Roman"/>
          <w:color w:val="000000" w:themeColor="text1"/>
          <w:sz w:val="16"/>
          <w:szCs w:val="16"/>
        </w:rPr>
      </w:pPr>
    </w:p>
    <w:p w14:paraId="2E5524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16 апреля на складах ВВС ВМФ находилось 212 торпед 45-36АН, 415 45-36АВА. 151 мина АМГ-1 и 124 англииских А-1-4 (12002).</w:t>
      </w:r>
    </w:p>
    <w:p w14:paraId="135D99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D977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вышло Постановление ГКО № 1604 О начальнике инженерных войск Красной Армии. РГАНИР, Фонд ГКО, д. 31, лл. 1 (11012).</w:t>
      </w:r>
    </w:p>
    <w:p w14:paraId="19D65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6D9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вышло Постановление ГКО № 1607 Об организации, штатном составе и вооружении истребительной бригады РГАНИР, Фонд ГКО, д. 31, лл. 13-13об (11012).</w:t>
      </w:r>
    </w:p>
    <w:p w14:paraId="09298F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274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вышло Постановление ГКО № 1608 Вопросы ВВС. РГАНИР, Фонд ГКО, д. 31, лл. 14 (11012).</w:t>
      </w:r>
    </w:p>
    <w:p w14:paraId="4E0B7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BB78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48D31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BF4B2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1942 г. была подготовлена ДОКЛАДНАЯ ЗАПИСКА НАЧАЛЬНИКА БТУ ГАБТУ КА В ИНЖЕНЕРНЫЙ ОТДЕЛ НКВТ ПО ВОПРОСУ ПОСТАВКИ АМЕРИКАНСКИХ ТАНКОВ И МОТОРОВ</w:t>
      </w:r>
    </w:p>
    <w:p w14:paraId="20B3A6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вопросу поставки некоторого количества американских легких танков с дизель-мотором фирмы «Гуильберсон», вместо легких танков с бензиновым мотором — возражений не имею.</w:t>
      </w:r>
    </w:p>
    <w:p w14:paraId="2717F1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уточнить условия — сроки и какое количество таких танков американцы могут нам по</w:t>
      </w:r>
      <w:r w:rsidRPr="008127F8">
        <w:rPr>
          <w:rFonts w:ascii="Times New Roman" w:hAnsi="Times New Roman"/>
          <w:color w:val="000000" w:themeColor="text1"/>
          <w:sz w:val="16"/>
          <w:szCs w:val="16"/>
        </w:rPr>
        <w:softHyphen/>
        <w:t>ставлять. При этом поставки легких танков с дизель-моторами, не должны служить основанием со</w:t>
      </w:r>
      <w:r w:rsidRPr="008127F8">
        <w:rPr>
          <w:rFonts w:ascii="Times New Roman" w:hAnsi="Times New Roman"/>
          <w:color w:val="000000" w:themeColor="text1"/>
          <w:sz w:val="16"/>
          <w:szCs w:val="16"/>
        </w:rPr>
        <w:softHyphen/>
        <w:t>кращения обусловленных месячных поставок, которые до сего времени сильно отстают.</w:t>
      </w:r>
    </w:p>
    <w:p w14:paraId="5C948F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вопросу отправленных из Америки 83 запасных моторов прошу сообщить, для какого ко</w:t>
      </w:r>
      <w:r w:rsidRPr="008127F8">
        <w:rPr>
          <w:rFonts w:ascii="Times New Roman" w:hAnsi="Times New Roman"/>
          <w:color w:val="000000" w:themeColor="text1"/>
          <w:sz w:val="16"/>
          <w:szCs w:val="16"/>
        </w:rPr>
        <w:softHyphen/>
        <w:t>личества легких танков предназначены эти моторы.</w:t>
      </w:r>
    </w:p>
    <w:p w14:paraId="4A642C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БТУ ГАБТУ КА генерал-майор танковых войск Коробков</w:t>
      </w:r>
    </w:p>
    <w:p w14:paraId="001D834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БТУ ГАБТУ КА полковой комиссар Воробьев</w:t>
      </w:r>
    </w:p>
    <w:p w14:paraId="07411CB3"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647. Л. 56. Копия (11211).</w:t>
      </w:r>
    </w:p>
    <w:p w14:paraId="67F6A876"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7CA9B03D" w14:textId="77777777" w:rsidR="00A710B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4DB0EF8" w14:textId="77777777" w:rsidR="00A710B3" w:rsidRPr="008127F8" w:rsidRDefault="00A710B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DA0ED8"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16 апреля в 1942 году командование армейской авиации США заказала партию машин «NA-97», представлявших собой вариант штурмовика на базе «Р-51». Начальник штаба USAAF, генерал "Хап" Арнольд (H.H. "Hap" Arnold) с большим трудом добился разрешения на заказ «Mustang». Штурмовой вариант получил обозначение в армии «A-36A». Всего было заказано 500 машин с серийными номерами от 42-83663 до 42-84162. «A-36» «Apache» (15101).</w:t>
      </w:r>
    </w:p>
    <w:p w14:paraId="72784AA2" w14:textId="77777777" w:rsidR="00A710B3" w:rsidRPr="008127F8" w:rsidRDefault="00A710B3" w:rsidP="001E0A84">
      <w:pPr>
        <w:spacing w:after="0" w:line="240" w:lineRule="auto"/>
        <w:jc w:val="both"/>
        <w:rPr>
          <w:rFonts w:ascii="Times New Roman" w:hAnsi="Times New Roman"/>
          <w:color w:val="000000" w:themeColor="text1"/>
          <w:sz w:val="16"/>
          <w:szCs w:val="16"/>
        </w:rPr>
      </w:pPr>
    </w:p>
    <w:p w14:paraId="36C3A4A8" w14:textId="77777777" w:rsidR="00A35EFC" w:rsidRPr="008A2E5A" w:rsidRDefault="00A35EFC" w:rsidP="00A35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апреля 1941 г. из цеха завода в Инглвуде выкатили первый серийный истребитель Мустанг. На испытаниях в Англии одна из первых машин показала скорость 614 км/ч, по дальности ему не было рав</w:t>
      </w:r>
      <w:r w:rsidRPr="008A2E5A">
        <w:rPr>
          <w:rFonts w:ascii="Times New Roman" w:hAnsi="Times New Roman"/>
          <w:color w:val="0070C0"/>
          <w:sz w:val="16"/>
          <w:szCs w:val="16"/>
        </w:rPr>
        <w:softHyphen/>
        <w:t>ных среди одномоторных машин. Но из-за того, что ПЦН у «аллисона» был односко</w:t>
      </w:r>
      <w:r w:rsidRPr="008A2E5A">
        <w:rPr>
          <w:rFonts w:ascii="Times New Roman" w:hAnsi="Times New Roman"/>
          <w:color w:val="0070C0"/>
          <w:sz w:val="16"/>
          <w:szCs w:val="16"/>
        </w:rPr>
        <w:softHyphen/>
        <w:t>ростным, на высоте более 4500 м данные ухудшались. Из-за этого в британских ВВС «Мустанги» первоначально исполь</w:t>
      </w:r>
      <w:r w:rsidRPr="008A2E5A">
        <w:rPr>
          <w:rFonts w:ascii="Times New Roman" w:hAnsi="Times New Roman"/>
          <w:color w:val="0070C0"/>
          <w:sz w:val="16"/>
          <w:szCs w:val="16"/>
        </w:rPr>
        <w:softHyphen/>
        <w:t>зовали в основном как скоростные развед</w:t>
      </w:r>
      <w:r w:rsidRPr="008A2E5A">
        <w:rPr>
          <w:rFonts w:ascii="Times New Roman" w:hAnsi="Times New Roman"/>
          <w:color w:val="0070C0"/>
          <w:sz w:val="16"/>
          <w:szCs w:val="16"/>
        </w:rPr>
        <w:softHyphen/>
        <w:t>чики и штурмовики. В строевые части они стали поступать в феврале 1942 г. И предложили десять истребителей Советскому Союзу (23513).</w:t>
      </w:r>
    </w:p>
    <w:p w14:paraId="0A907FE6" w14:textId="77777777" w:rsidR="00A35EFC" w:rsidRPr="008A2E5A" w:rsidRDefault="00A35EFC" w:rsidP="00A35EFC">
      <w:pPr>
        <w:spacing w:after="0" w:line="240" w:lineRule="auto"/>
        <w:jc w:val="both"/>
        <w:rPr>
          <w:rFonts w:ascii="Times New Roman" w:hAnsi="Times New Roman"/>
          <w:color w:val="0070C0"/>
          <w:sz w:val="16"/>
          <w:szCs w:val="16"/>
        </w:rPr>
      </w:pPr>
    </w:p>
    <w:p w14:paraId="64875D3D" w14:textId="77777777" w:rsidR="00A35EFC" w:rsidRPr="008A2E5A" w:rsidRDefault="00A35EFC" w:rsidP="00A35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апреля 1942 г. должна была состояться заправка авианос</w:t>
      </w:r>
      <w:r w:rsidRPr="008A2E5A">
        <w:rPr>
          <w:rFonts w:ascii="Times New Roman" w:hAnsi="Times New Roman"/>
          <w:color w:val="0070C0"/>
          <w:sz w:val="16"/>
          <w:szCs w:val="16"/>
        </w:rPr>
        <w:softHyphen/>
        <w:t>цев и крейсеров от танкеров сопровождения. Однако из-за непогоды это сделали лишь на следующий день. Когда заправка была почти закончена, разыгрался шторм и с па</w:t>
      </w:r>
      <w:r w:rsidRPr="008A2E5A">
        <w:rPr>
          <w:rFonts w:ascii="Times New Roman" w:hAnsi="Times New Roman"/>
          <w:color w:val="0070C0"/>
          <w:sz w:val="16"/>
          <w:szCs w:val="16"/>
        </w:rPr>
        <w:softHyphen/>
        <w:t>лубы танкера «Симаррон» волной был смыт один человек. К счастью, через некоторое время его подобрал эсминец сопровождения. После заправки, когда до побережья Япо</w:t>
      </w:r>
      <w:r w:rsidRPr="008A2E5A">
        <w:rPr>
          <w:rFonts w:ascii="Times New Roman" w:hAnsi="Times New Roman"/>
          <w:color w:val="0070C0"/>
          <w:sz w:val="16"/>
          <w:szCs w:val="16"/>
        </w:rPr>
        <w:softHyphen/>
        <w:t>нии оставалось около 1000 миль, танкеры сопровождения ушли вместе со всеми эсминцами. Оба авианосца и четыре крейсера на скорости 20 узлов направились дальше к по</w:t>
      </w:r>
      <w:r w:rsidRPr="008A2E5A">
        <w:rPr>
          <w:rFonts w:ascii="Times New Roman" w:hAnsi="Times New Roman"/>
          <w:color w:val="0070C0"/>
          <w:sz w:val="16"/>
          <w:szCs w:val="16"/>
        </w:rPr>
        <w:softHyphen/>
        <w:t>бережью Японии (23348).</w:t>
      </w:r>
    </w:p>
    <w:p w14:paraId="3810E053" w14:textId="77777777" w:rsidR="00A35EFC" w:rsidRPr="008A2E5A" w:rsidRDefault="00A35EFC" w:rsidP="00A35EFC">
      <w:pPr>
        <w:spacing w:after="0" w:line="240" w:lineRule="auto"/>
        <w:jc w:val="both"/>
        <w:rPr>
          <w:rFonts w:ascii="Times New Roman" w:hAnsi="Times New Roman"/>
          <w:color w:val="0070C0"/>
          <w:sz w:val="16"/>
          <w:szCs w:val="16"/>
        </w:rPr>
      </w:pPr>
    </w:p>
    <w:p w14:paraId="0BD424B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49117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901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вышел приказ НКАП N 292с:</w:t>
      </w:r>
    </w:p>
    <w:p w14:paraId="7EEB37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упорядочения вопроса снабжения заводов, изготавливающих бронекорпуса самолетов Ил-2 метизами и деталями самолетных заводов:</w:t>
      </w:r>
    </w:p>
    <w:p w14:paraId="20A9F9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1, 18, 30 и 381 заключить договора с броневыми заводами на поставку им метизов и деталей в соответствии с программой, утвержденной броневым заводам (1549,26).</w:t>
      </w:r>
    </w:p>
    <w:p w14:paraId="33E5ED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BCC1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апреля 1942 г. с утра до вечера 20 апреля вы</w:t>
      </w:r>
      <w:r w:rsidRPr="008A2E5A">
        <w:rPr>
          <w:rFonts w:ascii="Times New Roman" w:hAnsi="Times New Roman"/>
          <w:color w:val="0070C0"/>
          <w:sz w:val="16"/>
          <w:szCs w:val="16"/>
        </w:rPr>
        <w:softHyphen/>
        <w:t>полнялась наземная подготовка ЛаГГ-3М- 82. Взвешива</w:t>
      </w:r>
      <w:r w:rsidRPr="008A2E5A">
        <w:rPr>
          <w:rFonts w:ascii="Times New Roman" w:hAnsi="Times New Roman"/>
          <w:color w:val="0070C0"/>
          <w:sz w:val="16"/>
          <w:szCs w:val="16"/>
        </w:rPr>
        <w:softHyphen/>
        <w:t>ние и фотографирование самолета, опробо</w:t>
      </w:r>
      <w:r w:rsidRPr="008A2E5A">
        <w:rPr>
          <w:rFonts w:ascii="Times New Roman" w:hAnsi="Times New Roman"/>
          <w:color w:val="0070C0"/>
          <w:sz w:val="16"/>
          <w:szCs w:val="16"/>
        </w:rPr>
        <w:softHyphen/>
        <w:t>вание двигателя и гонка шасси, тарировка приборов, устранение выявленных дефектов, подготовка предварительных полетных зада</w:t>
      </w:r>
      <w:r w:rsidRPr="008A2E5A">
        <w:rPr>
          <w:rFonts w:ascii="Times New Roman" w:hAnsi="Times New Roman"/>
          <w:color w:val="0070C0"/>
          <w:sz w:val="16"/>
          <w:szCs w:val="16"/>
        </w:rPr>
        <w:softHyphen/>
        <w:t>ний по программе испытаний и участие в со</w:t>
      </w:r>
      <w:r w:rsidRPr="008A2E5A">
        <w:rPr>
          <w:rFonts w:ascii="Times New Roman" w:hAnsi="Times New Roman"/>
          <w:color w:val="0070C0"/>
          <w:sz w:val="16"/>
          <w:szCs w:val="16"/>
        </w:rPr>
        <w:softHyphen/>
        <w:t>вещаниях у директора. Состояние заводского аэродрома не внушало оптимизма. Было ре</w:t>
      </w:r>
      <w:r w:rsidRPr="008A2E5A">
        <w:rPr>
          <w:rFonts w:ascii="Times New Roman" w:hAnsi="Times New Roman"/>
          <w:color w:val="0070C0"/>
          <w:sz w:val="16"/>
          <w:szCs w:val="16"/>
        </w:rPr>
        <w:softHyphen/>
        <w:t>шено перенести летные испытания в более походящее место. В 17-00 двадцатого числа Г.А. Мищенко вылетел на ЛаГГ-3М-82 в Правдинск, где имелась дорожка с твердым по</w:t>
      </w:r>
      <w:r w:rsidRPr="008A2E5A">
        <w:rPr>
          <w:rFonts w:ascii="Times New Roman" w:hAnsi="Times New Roman"/>
          <w:color w:val="0070C0"/>
          <w:sz w:val="16"/>
          <w:szCs w:val="16"/>
        </w:rPr>
        <w:softHyphen/>
        <w:t>крытием. На следующий день двумя рейсами туда же перебросили всех участников испы</w:t>
      </w:r>
      <w:r w:rsidRPr="008A2E5A">
        <w:rPr>
          <w:rFonts w:ascii="Times New Roman" w:hAnsi="Times New Roman"/>
          <w:color w:val="0070C0"/>
          <w:sz w:val="16"/>
          <w:szCs w:val="16"/>
        </w:rPr>
        <w:softHyphen/>
        <w:t>таний. Вечером А.П. Якимов даже успел вы</w:t>
      </w:r>
      <w:r w:rsidRPr="008A2E5A">
        <w:rPr>
          <w:rFonts w:ascii="Times New Roman" w:hAnsi="Times New Roman"/>
          <w:color w:val="0070C0"/>
          <w:sz w:val="16"/>
          <w:szCs w:val="16"/>
        </w:rPr>
        <w:softHyphen/>
        <w:t>полнить сорокаминутный полет на проверку работы ВМГ и пикирования (23389).</w:t>
      </w:r>
    </w:p>
    <w:p w14:paraId="3B215BE8" w14:textId="77777777" w:rsidR="009577B1" w:rsidRPr="008A2E5A" w:rsidRDefault="009577B1" w:rsidP="009577B1">
      <w:pPr>
        <w:spacing w:after="0" w:line="240" w:lineRule="auto"/>
        <w:jc w:val="both"/>
        <w:rPr>
          <w:rFonts w:ascii="Times New Roman" w:hAnsi="Times New Roman"/>
          <w:color w:val="0070C0"/>
          <w:sz w:val="16"/>
          <w:szCs w:val="16"/>
        </w:rPr>
      </w:pPr>
    </w:p>
    <w:p w14:paraId="16E4E4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года начальник ГУГВФ генерал-майор авиации Молоков писал письмо № 0566/см председателю ГКО Сталину И.В.</w:t>
      </w:r>
    </w:p>
    <w:p w14:paraId="661743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454 изготовлен и испытан магазинный пулемет “ШМ”, который можно установить на всех транспортных самолетах ГВФ.</w:t>
      </w:r>
    </w:p>
    <w:p w14:paraId="2596A3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Преимущество пулемета “ШМ” перед выпускаемым серийно пулеметом Шкас заключается в магазинном питании вместо ленточного и удобной и быстрой установке его на транспортных самолетах.</w:t>
      </w:r>
    </w:p>
    <w:p w14:paraId="1F02F1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перехода от пулемета “Шкас” к пулемету “ШМ” требуется дополнительное изготовление небольшого количества деталей, что не вызовет нарушения технологического процесса завода, изготавливающего пулеметы “Шкас”.</w:t>
      </w:r>
    </w:p>
    <w:p w14:paraId="4EF693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пулемета “ШМ” производились 19-24 августа 1941 года Научно-испытательным полигоном АВ ВВС.</w:t>
      </w:r>
    </w:p>
    <w:p w14:paraId="6485D9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распоряжения заводу № 454 о запуске пулемета “ШМ” в серию (7852, 1).</w:t>
      </w:r>
    </w:p>
    <w:p w14:paraId="7DEDB7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214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года приказом 5-го гл. управления за № 3с, 15 апреля 1942 года решением ГОКО за № 11593сс и 10 апреля 1942 года приказом НКАП за № 269сс был организован завод № 122 как завод-дублер по выпуску авиаприборов (9432).</w:t>
      </w:r>
    </w:p>
    <w:p w14:paraId="1BFC5F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8A95B" w14:textId="77777777" w:rsidR="00D21962" w:rsidRPr="008127F8" w:rsidRDefault="00D21962"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 было образовано ОАО "Техприбор", Санкт-Петербург (6395).</w:t>
      </w:r>
    </w:p>
    <w:p w14:paraId="01E5E426" w14:textId="77777777" w:rsidR="00D21962" w:rsidRPr="008127F8" w:rsidRDefault="00D21962"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E4258" w14:textId="77777777" w:rsidR="00D21962" w:rsidRPr="008127F8" w:rsidRDefault="00D2196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в 1942 году филиал завода "Пирометр", эвакуированный в город Казань, был преобразован в самостоятельный завод №448. Это первое наименование завода "Техприбор". 26 июля 1946 г. на базе завода было образовано опытно-конструкторское бюро ОКБ-8. В 1947 г. ОКБ-8 было переименовано в ОКБ-448. В 1965 г. ему присваивается новое наименование - Конструкторское бюро топливно-измерительной аппаратуры (КБ ТИЗА). 1966 г. - заводу, который в служебной переписке имел и другое наименование - п/я 936, присваивается открытое название - завод "Техприбор". 1 апреля введено новое название предприятия: ОАО "Техприбор". Со дня своего основания ОАО "Техприбор" специализируется на разработке и производстве приборов и систем, которыми оснащены все самолеты, вертолеты, выпускаемые в стране, а также ряд космических аппаратов (15102).</w:t>
      </w:r>
    </w:p>
    <w:p w14:paraId="7FF4212E" w14:textId="77777777" w:rsidR="00D21962" w:rsidRPr="008127F8" w:rsidRDefault="00D21962" w:rsidP="001E0A84">
      <w:pPr>
        <w:spacing w:after="0" w:line="240" w:lineRule="auto"/>
        <w:jc w:val="both"/>
        <w:rPr>
          <w:rFonts w:ascii="Times New Roman" w:hAnsi="Times New Roman"/>
          <w:color w:val="000000" w:themeColor="text1"/>
          <w:sz w:val="16"/>
          <w:szCs w:val="16"/>
        </w:rPr>
      </w:pPr>
    </w:p>
    <w:p w14:paraId="53A9D22D" w14:textId="77777777" w:rsidR="00D21962" w:rsidRPr="008127F8" w:rsidRDefault="00D2196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года вышел приказ Наркомата авиационной промышленности об организации завода. В 1946 году завод был переведен из Казани в Ленинград, на территорию бывшего Корпусного аэродрома. Было организовано опытное конструкторское бюро и завод определён как ведущий в отрасли по проблемам измерения запасов и расходов топлива для всех летательных аппаратов, выпускаемых в стране. Развитие реактивной авиации поставило перед разработчиками и изготовителями топливоизмерительной аппаратуры новые задачи, решению которых КБ и завод посвятили свою дальнейшую деятельностью. Многие годы предприятие разрабатывало и выпускало приборы для радионавигационных систем "слепой" посадки и являлось поставщиком авиационных прицелов бомбометания. Вторым определяющим направлением в истории предприятия была космическая тематика. Предстартовая проверка космических кораблей и их запуск осуществлялись с помощью наземной аппаратуры и кабелей, изготовленных в ПКО "Техприбор. Начиная с 1960 года предприятие обеспечивало население страны магнитофонами "Астра". Всего было выпущено около 1,5 млн шт. Магнитофон "Астра" был первым бытовым магнитофоном, выпущенны в Ленинграде в 1960 году, и первым, освоенным на заводах авиационной промышленности. Санкт-Петербург/Ленинград, улица Бассейная 17 (10775).</w:t>
      </w:r>
    </w:p>
    <w:p w14:paraId="34F0FAEA" w14:textId="77777777" w:rsidR="00D21962" w:rsidRPr="008127F8" w:rsidRDefault="00D21962"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6B26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68814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86897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года вышел приказ № 347с НКТП</w:t>
      </w:r>
    </w:p>
    <w:p w14:paraId="2D53E7A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СНК от 4 апреля 1942 года и в дополнение к приказу НКТП за № 340сс от 13 апреля 1942 года:</w:t>
      </w:r>
    </w:p>
    <w:p w14:paraId="06EADAA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 нового танкового завода (С-70) в Челябинске, как не включенного в план работ II квартала 1942 года впредь до особого распоряжения приостановить (6125, 271).</w:t>
      </w:r>
    </w:p>
    <w:p w14:paraId="7AD2B1C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ADD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 1609 Об обеспечении производства артиллерийских передков на заводе "Ташсельмаш" Наркомминвооружения. РГАНИР, Фонд ГКО, д. 31, лл. 15-16, 17-22 (11012).</w:t>
      </w:r>
    </w:p>
    <w:p w14:paraId="561E0E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29250" w14:textId="77777777" w:rsidR="00DB1913" w:rsidRPr="008127F8" w:rsidRDefault="00DB1913"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17 апреля 1942 года.</w:t>
      </w:r>
    </w:p>
    <w:p w14:paraId="1583E93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270 – 271</w:t>
      </w:r>
      <w:r w:rsidRPr="008127F8">
        <w:rPr>
          <w:rFonts w:ascii="Times New Roman" w:eastAsia="Times New Roman" w:hAnsi="Times New Roman"/>
          <w:color w:val="000000" w:themeColor="text1"/>
          <w:sz w:val="16"/>
          <w:szCs w:val="16"/>
          <w:lang w:eastAsia="ru-RU"/>
        </w:rPr>
        <w:t xml:space="preserve"> </w:t>
      </w:r>
    </w:p>
    <w:p w14:paraId="0096E13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374B971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69F0DE9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589949B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347c</w:t>
      </w:r>
    </w:p>
    <w:p w14:paraId="0BAD9DB1"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1E87493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"17" апреля 1942 года.</w:t>
      </w:r>
    </w:p>
    <w:p w14:paraId="4710D2D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постановления СНК Союза ССР от 4.IV.1942 г. и в дополнение к приказу НКТП за № 340сс от 13.IV.42 г. ПРИКАЗЫВАЮ: </w:t>
      </w:r>
    </w:p>
    <w:p w14:paraId="6B7578B7"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Строительство нового танкового завода (С-70) в г. Челябинске, как не включенного в план работ II кв. 1942 г. впредь до особого распоряжения приостановить. </w:t>
      </w:r>
    </w:p>
    <w:p w14:paraId="14A4F2E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Директору завода т Гвелесиани: </w:t>
      </w:r>
    </w:p>
    <w:p w14:paraId="17083E0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прекратить дальнейшее проектирование завода, кроме проектов технологической части основных цехов (бронекорпусного с отделениями, механического, инструментального с термическим отделением, кузнечного, сталелитейного и чугунно-бронзово-литейного), которые закончить к 5-му мая 1942 года. Все проектные материалы принять от 8ГПИ по акту и произвести с ним расчет за выполненные работы. </w:t>
      </w:r>
    </w:p>
    <w:p w14:paraId="324124E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произвести с подрядной организацией ОСМЧ-22 НКС расчеты за выполненные работы и по взаимным расчетам за счет погашения аванса, выданного ОСМЧ-22 заводом "Стройсемь". Остатки аванса передать Кировскому заводу для дальнейшего его погашения с ОСМЧ-22. </w:t>
      </w:r>
    </w:p>
    <w:p w14:paraId="08329EB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в) немедленно сократить штат дирекции, оставив для окончания работ три штатных единицы (директора, инженера по технадзору и бухгалтера) и закончить всю работу по временному прекращению строительства к 10-му мая 1942 г. </w:t>
      </w:r>
    </w:p>
    <w:p w14:paraId="1900C88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Директору завода С-70 т. Гвелесиани сдать, а директору завода № 200 т. Сочивко принять законченные и незаконченные строительством объекты, материалы и инвентарь. </w:t>
      </w:r>
    </w:p>
    <w:p w14:paraId="4E198CE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Директору завода № 200 т. Сочивко обеспечить сохранность законченных и незаконченных объектов, представив в ОКС НКТП смету на проведение работ и затрат, связанных м их сохранностью. </w:t>
      </w:r>
    </w:p>
    <w:p w14:paraId="45404E8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Начальнику 8ГПИ т. Солину прекратить проектирование завода, кроме проектов технологической части основных цехов (бронекорпусного с отделениями, механического, инструментального с термическим отделением, кузнечного, сталелитейного и чугунно-бронзово-литейного), которые привести в такое состояние, чтобы в случае надобности можно было их использовать. Работу эту закончить к 5 мая 1942 г. </w:t>
      </w:r>
    </w:p>
    <w:p w14:paraId="4F11FA4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Во изменение § 2 приказа НКТП № 39с оборудование, эвакуированное с Мариупольского и Ижорского заводов, оставить за заводом № 200. </w:t>
      </w:r>
    </w:p>
    <w:p w14:paraId="7FBBFA3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Начальнику </w:t>
      </w:r>
      <w:proofErr w:type="gramStart"/>
      <w:r w:rsidRPr="008127F8">
        <w:rPr>
          <w:rFonts w:ascii="Times New Roman" w:eastAsia="Times New Roman" w:hAnsi="Times New Roman"/>
          <w:color w:val="000000" w:themeColor="text1"/>
          <w:sz w:val="16"/>
          <w:szCs w:val="16"/>
          <w:lang w:eastAsia="ru-RU"/>
        </w:rPr>
        <w:t>Механо-энергетического</w:t>
      </w:r>
      <w:proofErr w:type="gramEnd"/>
      <w:r w:rsidRPr="008127F8">
        <w:rPr>
          <w:rFonts w:ascii="Times New Roman" w:eastAsia="Times New Roman" w:hAnsi="Times New Roman"/>
          <w:color w:val="000000" w:themeColor="text1"/>
          <w:sz w:val="16"/>
          <w:szCs w:val="16"/>
          <w:lang w:eastAsia="ru-RU"/>
        </w:rPr>
        <w:t xml:space="preserve"> отдела т. Белик в 10-ти дневный срок дать предложение об использовании оборудования, эвакуированного с Мариупольского и Ижорского заводов, в первую очередь для ввода в строй металлургических цехов НКТП. </w:t>
      </w:r>
    </w:p>
    <w:p w14:paraId="697C050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Директору завода т. Гвелесиани по окончании работы поступить в распоряжение Отдела Кадров НКТП для использования на другой работе. </w:t>
      </w:r>
    </w:p>
    <w:p w14:paraId="55DA862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3B5A975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(ГОРЕГЛЯД А.А.) (18935)/</w:t>
      </w:r>
    </w:p>
    <w:p w14:paraId="1D6C850D" w14:textId="77777777" w:rsidR="00DB1913" w:rsidRPr="008127F8" w:rsidRDefault="00DB1913" w:rsidP="001E0A84">
      <w:pPr>
        <w:spacing w:after="0" w:line="240" w:lineRule="auto"/>
        <w:jc w:val="both"/>
        <w:rPr>
          <w:rFonts w:ascii="Times New Roman" w:hAnsi="Times New Roman"/>
          <w:color w:val="000000" w:themeColor="text1"/>
          <w:sz w:val="16"/>
          <w:szCs w:val="16"/>
        </w:rPr>
      </w:pPr>
    </w:p>
    <w:p w14:paraId="67391026" w14:textId="77777777" w:rsidR="00DB1913" w:rsidRPr="008127F8" w:rsidRDefault="00DB1913"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17 апреля 1942 г.</w:t>
      </w:r>
    </w:p>
    <w:p w14:paraId="132D6623"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87 лист 273 – 275</w:t>
      </w:r>
      <w:r w:rsidRPr="008127F8">
        <w:rPr>
          <w:rFonts w:ascii="Times New Roman" w:eastAsia="Times New Roman" w:hAnsi="Times New Roman"/>
          <w:color w:val="000000" w:themeColor="text1"/>
          <w:sz w:val="16"/>
          <w:szCs w:val="16"/>
          <w:lang w:eastAsia="ru-RU"/>
        </w:rPr>
        <w:t xml:space="preserve"> </w:t>
      </w:r>
    </w:p>
    <w:p w14:paraId="4FB40882"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48B73B1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3863CA3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67514B10"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348c</w:t>
      </w:r>
    </w:p>
    <w:p w14:paraId="34B98FA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4DC920F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"17" апреля 1942 г.</w:t>
      </w:r>
    </w:p>
    <w:p w14:paraId="38032E2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постановления ГОКО за № 1592с от 13 апреля 1942 года ПРИКАЗЫВАЮ: </w:t>
      </w:r>
    </w:p>
    <w:p w14:paraId="6D0F4AE3"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Установить по НКТП на 1942 год план строительства мартеновских печей в количестве 15, мощностью 530 тысяч тонн стали в год и обеспечить ввод в действие 12 печей, общей мощностью 440 тысяч тонн стали в год, в том числе во II квартале 5 печей, общей мощностью 180 тысяч тонн стали в год. </w:t>
      </w:r>
    </w:p>
    <w:p w14:paraId="7EB8DEC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Директорам заводов: № 183 т. Зальцман, Уралмашзавода т. Музрукову, № 200 т. Сочивко, № 112 т. Михалеву, № 174 т. Кацнельсон обеспечить ввод в действие во II кв. и IV кв. 1942 года мартеновских печей в следующие сроки: </w:t>
      </w:r>
    </w:p>
    <w:p w14:paraId="15482D8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183: </w:t>
      </w:r>
    </w:p>
    <w:p w14:paraId="0D073970"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5 стали 40 т. тн., апрель 1942 г. </w:t>
      </w:r>
    </w:p>
    <w:p w14:paraId="6933234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6 стали 40 т. тн., май 1942 г. </w:t>
      </w:r>
    </w:p>
    <w:p w14:paraId="69DE21DA"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7 стали 60 т. тн., декабрь 1942 г. </w:t>
      </w:r>
    </w:p>
    <w:p w14:paraId="09C5A31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8 стали 60 т. тн., декабрь 1942 г. </w:t>
      </w:r>
    </w:p>
    <w:p w14:paraId="7E0E0BE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Уралмашзавод – г. Свердловск: </w:t>
      </w:r>
    </w:p>
    <w:p w14:paraId="7BEBB4B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5 стали 40 т. тн., октябрь 1942 г. </w:t>
      </w:r>
    </w:p>
    <w:p w14:paraId="1C80F75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200: </w:t>
      </w:r>
    </w:p>
    <w:p w14:paraId="1A9DD897"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3 стали 30 т. тн., апрель 1942 г. </w:t>
      </w:r>
    </w:p>
    <w:p w14:paraId="348AE8B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4 стали 30 т. тн., апрель 1942 г. </w:t>
      </w:r>
    </w:p>
    <w:p w14:paraId="500F198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112: </w:t>
      </w:r>
    </w:p>
    <w:p w14:paraId="6E53812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10 стали 40 т. тн., июнь 1942 г. </w:t>
      </w:r>
    </w:p>
    <w:p w14:paraId="148F5E1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Омский завод: </w:t>
      </w:r>
    </w:p>
    <w:p w14:paraId="5B1A2C04"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стали 25 т. тн., ноябрь 1942 г. </w:t>
      </w:r>
    </w:p>
    <w:p w14:paraId="1617791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стали 25 т. тн., ноябрь 1942 г. </w:t>
      </w:r>
    </w:p>
    <w:p w14:paraId="1D8DF0F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стали 25 т. тн., декабрь 1942 г. </w:t>
      </w:r>
    </w:p>
    <w:p w14:paraId="69627D6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стали 25 т. тн., декабрь 1942 г. </w:t>
      </w:r>
    </w:p>
    <w:p w14:paraId="02730AA2"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Директорам заводов: Уралмашзавод т. Музрукову и завода № 174 т. Кацнельсон обеспечить техническую готовность мартеновских печей по состоянию на 1-е января 1943 года в следующих процентах: </w:t>
      </w:r>
    </w:p>
    <w:p w14:paraId="126B8D4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Уралмашзавод: </w:t>
      </w:r>
    </w:p>
    <w:p w14:paraId="43174E2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 6 стали 40 т. тн. – 40%. </w:t>
      </w:r>
    </w:p>
    <w:p w14:paraId="701F41C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Омский завод: </w:t>
      </w:r>
    </w:p>
    <w:p w14:paraId="7A2C68C7"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стали 25 т. тн. – 30% </w:t>
      </w:r>
    </w:p>
    <w:p w14:paraId="14BC9EB2"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Мартеновскую печь стали 25 т. тн. – 30%. </w:t>
      </w:r>
    </w:p>
    <w:p w14:paraId="2320C4A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Директорам заводов, перечисленных в §§ 2 и 3, представить в НКТП рабочие графики и мероприятия по обеспечению материалами, оборудованием и техдокументацией вводимых в действие мартеновских печей в сроки: </w:t>
      </w:r>
    </w:p>
    <w:p w14:paraId="3B24A75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печам, вводимым в мае и июне 1942 г. – к 25 апреля 1942 г. </w:t>
      </w:r>
    </w:p>
    <w:p w14:paraId="08346D54"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 печам, вводимым в IV кв. 1942 г. – к 5 мая 1942 г. </w:t>
      </w:r>
    </w:p>
    <w:p w14:paraId="5E52F63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Начальнику Главснаба НКТП обеспечить строительство мартеновских печей материалами и оборудованием по заявкам заводов. </w:t>
      </w:r>
    </w:p>
    <w:p w14:paraId="2FBDBAB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Директору завода С-70 т. Гвелесиани передать Наркомчермету строящиеся здания из металлических конструкций колоннады Дворца Советов. </w:t>
      </w:r>
    </w:p>
    <w:p w14:paraId="1CB09A3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Директору завода № 200 т. Сочивко: </w:t>
      </w:r>
    </w:p>
    <w:p w14:paraId="3E189EAC"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передать НКВД для строительства Бакальского металлургического комбината все металлоконструкции, эвакуированные с Мариупольского и Ижорского заводов НКСП на площадку Стройсемь; </w:t>
      </w:r>
    </w:p>
    <w:p w14:paraId="518C07E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учесть, что данным постановлением ГОКО возложено на НКТП снабжение слитками мартеновского цеха завода № 200, восстанавливаемого трубопрокатного стана в Челябинске по планам, утвержденным Правительством. </w:t>
      </w:r>
    </w:p>
    <w:p w14:paraId="0417CD1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Начальнику ОКСа т. КОРНЕВУ, директорам заводов – СТЗ т. Задорожному и № 264 т. Кордунер учесть, что данным постановлением ГОКО: </w:t>
      </w:r>
    </w:p>
    <w:p w14:paraId="20247AB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Наркомстрой т. Гинзбург обязан переключить на строительство заводов черной металлургии следующие строительные организации со всеми механизмами, материалами и рабочей силой: стройучасток ОСМЧ-22 и ОСМЧ-14 – г. Сталинград; </w:t>
      </w:r>
    </w:p>
    <w:p w14:paraId="3285C77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Заводы НКТП – СТЗ и № 264 переводятся на хозяйственный способ ведения работ. </w:t>
      </w:r>
    </w:p>
    <w:p w14:paraId="5142883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Директорам заводов, перечисленных в §§ 2 и 3 настоящего приказа, сообщать ежедекадно по ВЧ о ходе работ по строительству мартеновских печей, а начальнику ОКСа т. Корневу – ежедекадно докладывать мне. </w:t>
      </w:r>
    </w:p>
    <w:p w14:paraId="007040E2"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Контроль за выполнением настоящего приказа возлагаю на начальника ОКСа т. Корнева и начальника 2-го отдела т. Гинзбург. </w:t>
      </w:r>
    </w:p>
    <w:p w14:paraId="6D75D99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5D297E9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(А. ГОРЕГЛЯД) (18936)/</w:t>
      </w:r>
    </w:p>
    <w:p w14:paraId="1BEAABFF" w14:textId="77777777" w:rsidR="00DB1913" w:rsidRPr="008127F8" w:rsidRDefault="00DB1913" w:rsidP="001E0A84">
      <w:pPr>
        <w:spacing w:after="0" w:line="240" w:lineRule="auto"/>
        <w:jc w:val="both"/>
        <w:rPr>
          <w:rFonts w:ascii="Times New Roman" w:hAnsi="Times New Roman"/>
          <w:color w:val="000000" w:themeColor="text1"/>
          <w:sz w:val="16"/>
          <w:szCs w:val="16"/>
        </w:rPr>
      </w:pPr>
    </w:p>
    <w:p w14:paraId="14D5052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 1610 Об оживлении движения и создании устойчивости в работе железных дорог. (7004, 23-29,30-51).</w:t>
      </w:r>
    </w:p>
    <w:p w14:paraId="4B33161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E2317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года постановление ГКО 1610с:</w:t>
      </w:r>
    </w:p>
    <w:p w14:paraId="5D8F766B"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устанавливает, что при остром недостатке вагонов на дорогах Востока, Средней Азии, Сибири, - дороги Сев. Запада, центра и частично юга перегружены избытком вагонов, которые мешают нормальному продвижению поездов и затрудняют работу узлов. На семи дорогах ... сосредоточилось более 246.000 вагонов, что составляет почти 40% рабочего парка вагонов. Усиленное поступление груженых вагонов с востока не было своевременно компенсировано возвращением порожняка после выгрузки, главным образом, вследствие упадка регулировочной дисциплины по передаче порожних вагонов.</w:t>
      </w:r>
    </w:p>
    <w:p w14:paraId="63BED3D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Длительная задержка паровозов на подходах к сортировочным станциям, многочасовые простои под экипировкой, простои паровозов под готовыми поездами ухудшили оборот паровозов, а неправильное формирование поездов - включение в маршрутные поезда вагонов, следующих на ближайшие станции - вызвало повторную их переработку и чрезвычайную загрузку одних станций сортировочной работой (Перово, Вологда, Киров, Свердловск и др.) за счет менее загруженных.</w:t>
      </w:r>
    </w:p>
    <w:p w14:paraId="2AD0EDD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результате узлы и станции оказались забиты вагонами, промежуточные станции заполнены оставленными без паровозов брошенными поездами, что послужило главной причиной недопустимого снижения коммерческой скорости движения поездов с 20 до 14 км. в час по сети.... Выгрузка на дорогах сети сократилась до 37.000-38.000 вагонов, тогда как по наличию груза выгрузка должна составлять 50.000-55.000 вагонов. График движения поездов нарушен, и железные </w:t>
      </w:r>
      <w:proofErr w:type="gramStart"/>
      <w:r w:rsidRPr="008127F8">
        <w:rPr>
          <w:rFonts w:ascii="Times New Roman" w:hAnsi="Times New Roman"/>
          <w:color w:val="000000" w:themeColor="text1"/>
          <w:sz w:val="16"/>
          <w:szCs w:val="16"/>
        </w:rPr>
        <w:t>дороги по существу</w:t>
      </w:r>
      <w:proofErr w:type="gramEnd"/>
      <w:r w:rsidRPr="008127F8">
        <w:rPr>
          <w:rFonts w:ascii="Times New Roman" w:hAnsi="Times New Roman"/>
          <w:color w:val="000000" w:themeColor="text1"/>
          <w:sz w:val="16"/>
          <w:szCs w:val="16"/>
        </w:rPr>
        <w:t xml:space="preserve"> работают без графика. Поезда со станции выпускаются без учета возможности приема их на соседние участковые и сортировочные станции, зашивая их» (РГАСПИ. Ф. 644. Оп. 1. Д. 31. л. 23).</w:t>
      </w:r>
    </w:p>
    <w:p w14:paraId="2C402C3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постановление ставит под сомнение весь смысл детальных планов материально-технического снабжения, к составлению которых тяготел ГКО. Примером этого может служить семидесятистраничное приложение к принятому 9 апреля постановлению ГКО № 1571сс «О плане производства танков и материально-техническом обеспечении танковой промышленности на II квартал 1942 года» (РГАСПИ. Ф. 644. Оп. 1. Д. 28. Л. 106-172). Но какова была реальная ценность этих детальных расчётов, если спустя всего 8 дней в другом постановлении ГКО констатируется, что железные дороги не соблюдают график перевозок? (12290).</w:t>
      </w:r>
    </w:p>
    <w:p w14:paraId="34EC0F4B"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5F139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1612 О переделке пулеметов ПВ-1 в станковые пулеметы "максим" на станке Соколова. РГАНИР, Фонд ГКО, д. 31, лл. 56 (11012).</w:t>
      </w:r>
    </w:p>
    <w:p w14:paraId="0CECF0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35DA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58DD5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6CCDF"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в 1942 году утреннее сообщение Совинформбюро:</w:t>
      </w:r>
    </w:p>
    <w:p w14:paraId="6A5E7E72"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17 апреля на фронте чего-либо существенного не произошло.</w:t>
      </w:r>
    </w:p>
    <w:p w14:paraId="4625C9EF"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Баренцевом море потопили танкер противника водоизмещением в 10.000 тонн.</w:t>
      </w:r>
    </w:p>
    <w:p w14:paraId="32C0AC98"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Симонова (Ленинградский фронт) нанесла противнику большой урон. Захвачены трофеи: 2 пулемета, 2 миномёта, много винтовок и автоматов, 11.000 винтовочных патронов, 5 ящиков снарядов, 10 ящиков пороха, 370 мин и 250 ручных гранат. В бою отважно действовало подразделение младшего лейтенанта Моисеева. Когда свыше 300 гитлеровцев пытались перейти вконтратаку, советские бойцы встретили их штыковым ударом. В завязавшейся схватке немцы потеряли только убитыми 120 солдат и офицеров.</w:t>
      </w:r>
    </w:p>
    <w:p w14:paraId="24AA03BC"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которой командует тов. Иовлев (Западный фронт), за день боёв захватила у противника 24 пулемёта, 2 миномёта и другое вооружение. На поле боя осталосьоколо 200 убитых гитлеровцев.</w:t>
      </w:r>
    </w:p>
    <w:p w14:paraId="295E05D6"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немецких танка атаковали отделение сержанта Мошкова. Бойцы, подпустив противника на близкое расстояние, открыли огонь из противотанковых ружей. Первыми же выстрелами один вражеский танк был подбит. Другой танк повернул обратно.</w:t>
      </w:r>
    </w:p>
    <w:p w14:paraId="1712A19C"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тов. Гнедаша на полном ходу ворвался в деревню, занятую немцами. Огнём пулемётов и пушек экипаж танка уничтожил до сотни немецких захватчиков и раздавил гусеницами 2 противотанковых орудия и 4 станковых пулемёта противника.</w:t>
      </w:r>
    </w:p>
    <w:p w14:paraId="40CEA05C"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командира Миронова в течение дня прямым попадавшем уничтожил немецкий танк, подавил 6 пулемётных точек и миномётную батарею.</w:t>
      </w:r>
    </w:p>
    <w:p w14:paraId="51EAB639"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объединившихся партизанских отрядов Ленинградской области на днях произвели одновременное нападение на четыре немецких гарнизона. Во время этой операции партизаны уничтожили 783 гитлеровца, в том числе одного подполковника. Советские патриоты взорвали 3 немецких оклада с боеприпасами и 2 склада с горючим, уничтожили 4 танка, 2 автоматические пушки, автомашину с грузом и 700 снарядов. Партизаны захватили у немцев станковый пулемёт, 3 ручных пулемёта, 8.800 патронов, свыше 100 винтовок и около 200 гранат.</w:t>
      </w:r>
    </w:p>
    <w:p w14:paraId="345D8984"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противотанкового дивизиона 268 немецкой пехотной дивизии Карл Шникк рассказал: «Я пробыл на советско-германском фронте всего лишь 3 дня и 30 марта сдался в плен. Перед отправкой на фронт я 14 дней находился в Берлине. В городе очень тревожное положение. Население голодает, особенно тяжело приходится неквалифицированным рабочим и семьям солдат. В связи с последними мобилизациями ощущается острый недостаток рабочих. Власти в принудительном порядке посылают на заводы инвалидов и женщин. На улицах Берлина неизвестно кем по ночам расклеиваются листовки с лозунгами: «Долой Гитлера!», «Долой войну!». Население сочувственно относится к этим лозунгам».</w:t>
      </w:r>
    </w:p>
    <w:p w14:paraId="03715A82"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в одном из рудников Кривого Рога, в котором немцы пытались организовать добычу руды, произошёл сильный взрыв. Уничтожена немецкая комиссия из 12 офицеров и специалистов.</w:t>
      </w:r>
    </w:p>
    <w:p w14:paraId="2EA9E0A1"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заводов Урала слесарь-механик тов. Бирюков изготовил специальный штамп, пользуясь которым выполнил свою производственную норму на 2.580 процентов.» (15102).</w:t>
      </w:r>
    </w:p>
    <w:p w14:paraId="461B4B31" w14:textId="77777777" w:rsidR="00A710B3" w:rsidRPr="008127F8" w:rsidRDefault="00A710B3" w:rsidP="001E0A84">
      <w:pPr>
        <w:spacing w:after="0" w:line="240" w:lineRule="auto"/>
        <w:jc w:val="both"/>
        <w:rPr>
          <w:rFonts w:ascii="Times New Roman" w:hAnsi="Times New Roman"/>
          <w:color w:val="000000" w:themeColor="text1"/>
          <w:sz w:val="16"/>
          <w:szCs w:val="16"/>
        </w:rPr>
      </w:pPr>
    </w:p>
    <w:p w14:paraId="20207450"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в 1942 году вечернее сообщение Совинформбюро:</w:t>
      </w:r>
    </w:p>
    <w:p w14:paraId="181AEEEA"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апреля на некоторых участках фронта наши войска вели наступательные бои и улучшили свои позиции.</w:t>
      </w:r>
    </w:p>
    <w:p w14:paraId="5C4C5648"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апреля уничтожено 15 немецких самолётов. Наши потери — 5 самолётов.</w:t>
      </w:r>
    </w:p>
    <w:p w14:paraId="7796E8BC"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апреля частями нашей авиации уничтожено и повреждено 27 немецких автомашин с войсками и грузами, 6 полевых орудий, 2 зенитно-пулемётные точки и 9 миномётов.</w:t>
      </w:r>
    </w:p>
    <w:p w14:paraId="736B79AB"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Западного фронта, при поддержке танков ворвались в занятый немцами населённый пункт. На улицах деревни и отступая из неё противник потерял убитыми свыше 300 солдат и офицеров.</w:t>
      </w:r>
    </w:p>
    <w:p w14:paraId="7D277B3F"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 9 вражеских пулемётов и 2 миномёта. На другом участке фронта наша стрелковая часть отразила контратаку немецкой пехоты. На поЛе боя осталось до200 трупов немецких солдат и офицеров.</w:t>
      </w:r>
    </w:p>
    <w:p w14:paraId="6EB00FE7"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боевых действий наших войск на отдельных участках Калининскогофронта гитлеровцы потеряли убитыми более 600 солдат и офицеров, а также большое количество военной техники. Захвачены трофеи.</w:t>
      </w:r>
    </w:p>
    <w:p w14:paraId="735F0009"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где командиром тов. Бортников, за последний месяц огнём орудий разрушили 8 вражеских ДЗОТов и 33 блиндажа, уничтожили 3 немецких танка, 3 орудия, 20 пулемётов, 5 миномётов, 6 повозок с грузами и нанесли большой урон живой силе противника.</w:t>
      </w:r>
    </w:p>
    <w:p w14:paraId="1E91417F"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налёте немецких бомбардировщиков на железнодорожную станцию загорелось два вагона с боеприпасами. Пренебрегая опасностью, сержант Корчемаха вместе скрасноармейцами Крючковым и Золотовым отцепили горящие вагоны от поезда и спасли ценный военный груз.</w:t>
      </w:r>
    </w:p>
    <w:p w14:paraId="458A7217"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под командованием тов. Р. совершил на днях налёт на немецкий гарнизон в одном населённом пункте. Партизаны уничтожили 35 немецких солдат и офицеров, вывели из строя 2 станковых и 4 ручных пулемёта противника.</w:t>
      </w:r>
    </w:p>
    <w:p w14:paraId="6B47A4BC"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разведотряда 32 пехотной дивизии Макс Винтер рассказал: «Ещё воктябре прошлого года 32 дивизия понесла крупные потери. Я тогда был санитаром. В течение двух недель на санпункт ежедневно доставляли от 70 до 100 </w:t>
      </w:r>
      <w:proofErr w:type="gramStart"/>
      <w:r w:rsidRPr="008127F8">
        <w:rPr>
          <w:rFonts w:ascii="Times New Roman" w:hAnsi="Times New Roman"/>
          <w:color w:val="000000" w:themeColor="text1"/>
          <w:sz w:val="16"/>
          <w:szCs w:val="16"/>
        </w:rPr>
        <w:t>раненых.Число</w:t>
      </w:r>
      <w:proofErr w:type="gramEnd"/>
      <w:r w:rsidRPr="008127F8">
        <w:rPr>
          <w:rFonts w:ascii="Times New Roman" w:hAnsi="Times New Roman"/>
          <w:color w:val="000000" w:themeColor="text1"/>
          <w:sz w:val="16"/>
          <w:szCs w:val="16"/>
        </w:rPr>
        <w:t xml:space="preserve"> убитых было значительно больше. За последнее время дивизия подвергалась многочисленным атакам русских. Её потери ещё больше </w:t>
      </w:r>
      <w:proofErr w:type="gramStart"/>
      <w:r w:rsidRPr="008127F8">
        <w:rPr>
          <w:rFonts w:ascii="Times New Roman" w:hAnsi="Times New Roman"/>
          <w:color w:val="000000" w:themeColor="text1"/>
          <w:sz w:val="16"/>
          <w:szCs w:val="16"/>
        </w:rPr>
        <w:t>возросли.Солдаты</w:t>
      </w:r>
      <w:proofErr w:type="gramEnd"/>
      <w:r w:rsidRPr="008127F8">
        <w:rPr>
          <w:rFonts w:ascii="Times New Roman" w:hAnsi="Times New Roman"/>
          <w:color w:val="000000" w:themeColor="text1"/>
          <w:sz w:val="16"/>
          <w:szCs w:val="16"/>
        </w:rPr>
        <w:t xml:space="preserve"> знают, что дивизия находится в окружении. Настроение у всех подавленное. Солдатский паёк с каждым днём сокращается. Беспрерывные атаки русских на земле и с воздуха измотали нас. Тяжёлые лишения и невыносимые условия изменили внешний облик солдат. Многие опустились. Они ходят грязные, не соблюдают элементарных правил гигиены. Солдаты стали относиться ко всему с тупым безразличием».</w:t>
      </w:r>
    </w:p>
    <w:p w14:paraId="3687ABF8"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Народные мстители, партизаны, неустанно преследуют немецко-фашистских захватчиков. Гитлеровцы в оккупированных советских районах испытывают постоянный страх за свою жизнь. Вот что писал немецкий солдат Горг своей знакомой Гэди: «...Теперь у нас опять черт знает что творится. Десять дней тому назад из нашего полка была отобрана рота для борьбы с партизанами. Это просто безумие: на расстоянии 200 километров от фронта сейчас происходят боевые действия. У нас здесь постоянная война с партизанами, которые нам всячески досаждают. К сожалению, это стоит нам всё новых и новых потерь. Как видишь, тут тоже жизнь висит на волоске».</w:t>
      </w:r>
    </w:p>
    <w:p w14:paraId="0DDD23AF"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освобождённом два с лишним месяца назад от немецких захватчиков городе Лозовая до сих пор вскрываются всё новые факты чудовищных преступлений гитлеровцев. На днях при обследовании подвалов помещений Военстроя обнаружено более 900 трупов расстрелянных немцами мирных жителей города и окрестных сёл.</w:t>
      </w:r>
    </w:p>
    <w:p w14:paraId="77AEBB33" w14:textId="77777777" w:rsidR="00A710B3" w:rsidRPr="008127F8" w:rsidRDefault="00A710B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Югославские партизаны на днях нанесли сильный удар итальянским оккупантам. Блокировав дорогу южнее города Сараево, партизаны атаковали и разгромили батальон итальянских стрелков, сопровождавший большой обоз. Югославские патриоты захватили трофеи.» (15102).</w:t>
      </w:r>
    </w:p>
    <w:p w14:paraId="05509070" w14:textId="77777777" w:rsidR="00A710B3" w:rsidRPr="008127F8" w:rsidRDefault="00A710B3" w:rsidP="001E0A84">
      <w:pPr>
        <w:spacing w:after="0" w:line="240" w:lineRule="auto"/>
        <w:jc w:val="both"/>
        <w:rPr>
          <w:rFonts w:ascii="Times New Roman" w:hAnsi="Times New Roman"/>
          <w:color w:val="000000" w:themeColor="text1"/>
          <w:sz w:val="16"/>
          <w:szCs w:val="16"/>
        </w:rPr>
      </w:pPr>
    </w:p>
    <w:p w14:paraId="7EC1C4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 1611 О плане формирования авиаполков с 10 апреля по 10 мая 1942 г. в резерв Ставки Верховного Главнокомандования. РГАНИР, Фонд ГКО, д. 31, лл. 52-54, 55 (11012).</w:t>
      </w:r>
    </w:p>
    <w:p w14:paraId="6A9746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3D7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г. вышло ПОСТАНОВЛЕНИЕ № ГОКО-1611сс</w:t>
      </w:r>
    </w:p>
    <w:p w14:paraId="1F1A3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4B2638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плане формирования авиаполков с 10 апреля по 10 мая 1942 г. в резерв Ставки Верховного Главнокомандования</w:t>
      </w:r>
    </w:p>
    <w:p w14:paraId="144E42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ВВС Красной Армии (т.т. Новикова и Никитина) сформировать с 10 апреля по 10 мая 1942 года в резерв Ставки Верховного Главнокомандования следующее количество авиаполков: </w:t>
      </w:r>
    </w:p>
    <w:p w14:paraId="1947B7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17 авиаполков ИЛ-2 </w:t>
      </w:r>
    </w:p>
    <w:p w14:paraId="6F4528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авиаполков ЯК-1 и ЯК-7 </w:t>
      </w:r>
    </w:p>
    <w:p w14:paraId="4B35C0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авиаполков ЛАГГ-3 </w:t>
      </w:r>
    </w:p>
    <w:p w14:paraId="681A3D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авиаполков ПЕ-2 </w:t>
      </w:r>
    </w:p>
    <w:p w14:paraId="51BC68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авиаполков Харрикейн </w:t>
      </w:r>
      <w:proofErr w:type="gramStart"/>
      <w:r w:rsidRPr="008127F8">
        <w:rPr>
          <w:rFonts w:ascii="Times New Roman" w:hAnsi="Times New Roman"/>
          <w:color w:val="000000" w:themeColor="text1"/>
          <w:sz w:val="16"/>
          <w:szCs w:val="16"/>
        </w:rPr>
        <w:t>( в</w:t>
      </w:r>
      <w:proofErr w:type="gramEnd"/>
      <w:r w:rsidRPr="008127F8">
        <w:rPr>
          <w:rFonts w:ascii="Times New Roman" w:hAnsi="Times New Roman"/>
          <w:color w:val="000000" w:themeColor="text1"/>
          <w:sz w:val="16"/>
          <w:szCs w:val="16"/>
        </w:rPr>
        <w:t xml:space="preserve"> том числе для ПВО и ВВС Карельского фронта - 6 авиаполков). </w:t>
      </w:r>
    </w:p>
    <w:p w14:paraId="4410CD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авиаполк Су-2 </w:t>
      </w:r>
    </w:p>
    <w:p w14:paraId="539F8C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авиаполка Аэрокобра (в том числе 1 авиаполк для ВВС Карельского фронта) </w:t>
      </w:r>
    </w:p>
    <w:p w14:paraId="2AE7CD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авиаполк Томагаук </w:t>
      </w:r>
    </w:p>
    <w:p w14:paraId="19BA54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авиаполков У-2. </w:t>
      </w:r>
    </w:p>
    <w:p w14:paraId="1C4AE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Утвердить следующий календарный план формирования авиаполков: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688"/>
        <w:gridCol w:w="1688"/>
        <w:gridCol w:w="1319"/>
        <w:gridCol w:w="1319"/>
        <w:gridCol w:w="1196"/>
        <w:gridCol w:w="1196"/>
        <w:gridCol w:w="702"/>
      </w:tblGrid>
      <w:tr w:rsidR="006F4095" w:rsidRPr="008127F8" w14:paraId="614F00EB" w14:textId="77777777">
        <w:trPr>
          <w:jc w:val="center"/>
        </w:trPr>
        <w:tc>
          <w:tcPr>
            <w:tcW w:w="1688" w:type="dxa"/>
            <w:tcBorders>
              <w:top w:val="single" w:sz="12" w:space="0" w:color="auto"/>
            </w:tcBorders>
          </w:tcPr>
          <w:p w14:paraId="01A31A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88" w:type="dxa"/>
            <w:tcBorders>
              <w:top w:val="single" w:sz="12" w:space="0" w:color="auto"/>
            </w:tcBorders>
          </w:tcPr>
          <w:p w14:paraId="693EF6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по 15</w:t>
            </w:r>
            <w:r w:rsidRPr="008127F8">
              <w:rPr>
                <w:rFonts w:ascii="Times New Roman" w:hAnsi="Times New Roman"/>
                <w:color w:val="000000" w:themeColor="text1"/>
                <w:sz w:val="16"/>
                <w:szCs w:val="16"/>
              </w:rPr>
              <w:br/>
              <w:t>апреля (фактически</w:t>
            </w:r>
            <w:r w:rsidRPr="008127F8">
              <w:rPr>
                <w:rFonts w:ascii="Times New Roman" w:hAnsi="Times New Roman"/>
                <w:color w:val="000000" w:themeColor="text1"/>
                <w:sz w:val="16"/>
                <w:szCs w:val="16"/>
              </w:rPr>
              <w:br/>
              <w:t>сформировано)</w:t>
            </w:r>
          </w:p>
        </w:tc>
        <w:tc>
          <w:tcPr>
            <w:tcW w:w="1319" w:type="dxa"/>
            <w:tcBorders>
              <w:top w:val="single" w:sz="12" w:space="0" w:color="auto"/>
            </w:tcBorders>
          </w:tcPr>
          <w:p w14:paraId="2F7723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16 по 21</w:t>
            </w:r>
            <w:r w:rsidRPr="008127F8">
              <w:rPr>
                <w:rFonts w:ascii="Times New Roman" w:hAnsi="Times New Roman"/>
                <w:color w:val="000000" w:themeColor="text1"/>
                <w:sz w:val="16"/>
                <w:szCs w:val="16"/>
              </w:rPr>
              <w:br/>
              <w:t>апреля</w:t>
            </w:r>
          </w:p>
        </w:tc>
        <w:tc>
          <w:tcPr>
            <w:tcW w:w="1319" w:type="dxa"/>
            <w:tcBorders>
              <w:top w:val="single" w:sz="12" w:space="0" w:color="auto"/>
            </w:tcBorders>
          </w:tcPr>
          <w:p w14:paraId="08A5FD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22 по 26</w:t>
            </w:r>
            <w:r w:rsidRPr="008127F8">
              <w:rPr>
                <w:rFonts w:ascii="Times New Roman" w:hAnsi="Times New Roman"/>
                <w:color w:val="000000" w:themeColor="text1"/>
                <w:sz w:val="16"/>
                <w:szCs w:val="16"/>
              </w:rPr>
              <w:br/>
              <w:t>апреля</w:t>
            </w:r>
          </w:p>
        </w:tc>
        <w:tc>
          <w:tcPr>
            <w:tcW w:w="1196" w:type="dxa"/>
            <w:tcBorders>
              <w:top w:val="single" w:sz="12" w:space="0" w:color="auto"/>
            </w:tcBorders>
          </w:tcPr>
          <w:p w14:paraId="6306FC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27 по 1</w:t>
            </w:r>
            <w:r w:rsidRPr="008127F8">
              <w:rPr>
                <w:rFonts w:ascii="Times New Roman" w:hAnsi="Times New Roman"/>
                <w:color w:val="000000" w:themeColor="text1"/>
                <w:sz w:val="16"/>
                <w:szCs w:val="16"/>
              </w:rPr>
              <w:br/>
              <w:t>мая</w:t>
            </w:r>
          </w:p>
        </w:tc>
        <w:tc>
          <w:tcPr>
            <w:tcW w:w="1196" w:type="dxa"/>
            <w:tcBorders>
              <w:top w:val="single" w:sz="12" w:space="0" w:color="auto"/>
            </w:tcBorders>
          </w:tcPr>
          <w:p w14:paraId="1E059F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 по 10</w:t>
            </w:r>
            <w:r w:rsidRPr="008127F8">
              <w:rPr>
                <w:rFonts w:ascii="Times New Roman" w:hAnsi="Times New Roman"/>
                <w:color w:val="000000" w:themeColor="text1"/>
                <w:sz w:val="16"/>
                <w:szCs w:val="16"/>
              </w:rPr>
              <w:br/>
              <w:t>мая</w:t>
            </w:r>
          </w:p>
        </w:tc>
        <w:tc>
          <w:tcPr>
            <w:tcW w:w="702" w:type="dxa"/>
            <w:tcBorders>
              <w:top w:val="single" w:sz="12" w:space="0" w:color="auto"/>
            </w:tcBorders>
          </w:tcPr>
          <w:p w14:paraId="58BCE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712AAF5A" w14:textId="77777777">
        <w:trPr>
          <w:jc w:val="center"/>
        </w:trPr>
        <w:tc>
          <w:tcPr>
            <w:tcW w:w="1688" w:type="dxa"/>
          </w:tcPr>
          <w:p w14:paraId="2EE32D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ИЛ-2</w:t>
            </w:r>
          </w:p>
        </w:tc>
        <w:tc>
          <w:tcPr>
            <w:tcW w:w="1688" w:type="dxa"/>
          </w:tcPr>
          <w:p w14:paraId="5C5C65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19" w:type="dxa"/>
          </w:tcPr>
          <w:p w14:paraId="5FA11C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319" w:type="dxa"/>
          </w:tcPr>
          <w:p w14:paraId="42D7CE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96" w:type="dxa"/>
          </w:tcPr>
          <w:p w14:paraId="6C21C6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96" w:type="dxa"/>
          </w:tcPr>
          <w:p w14:paraId="66B5DC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02" w:type="dxa"/>
          </w:tcPr>
          <w:p w14:paraId="69D6D1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r>
      <w:tr w:rsidR="006F4095" w:rsidRPr="008127F8" w14:paraId="41804CD1" w14:textId="77777777">
        <w:trPr>
          <w:jc w:val="center"/>
        </w:trPr>
        <w:tc>
          <w:tcPr>
            <w:tcW w:w="1688" w:type="dxa"/>
          </w:tcPr>
          <w:p w14:paraId="0D9616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ЯК-1, ЯК-7</w:t>
            </w:r>
          </w:p>
        </w:tc>
        <w:tc>
          <w:tcPr>
            <w:tcW w:w="1688" w:type="dxa"/>
          </w:tcPr>
          <w:p w14:paraId="51E3F1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319" w:type="dxa"/>
          </w:tcPr>
          <w:p w14:paraId="30A848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319" w:type="dxa"/>
          </w:tcPr>
          <w:p w14:paraId="430296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96" w:type="dxa"/>
          </w:tcPr>
          <w:p w14:paraId="55517D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96" w:type="dxa"/>
          </w:tcPr>
          <w:p w14:paraId="3244E6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702" w:type="dxa"/>
          </w:tcPr>
          <w:p w14:paraId="184245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r>
      <w:tr w:rsidR="006F4095" w:rsidRPr="008127F8" w14:paraId="42CE9B13" w14:textId="77777777">
        <w:trPr>
          <w:jc w:val="center"/>
        </w:trPr>
        <w:tc>
          <w:tcPr>
            <w:tcW w:w="1688" w:type="dxa"/>
          </w:tcPr>
          <w:p w14:paraId="720FB3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ЛАГГ-3</w:t>
            </w:r>
          </w:p>
        </w:tc>
        <w:tc>
          <w:tcPr>
            <w:tcW w:w="1688" w:type="dxa"/>
          </w:tcPr>
          <w:p w14:paraId="5F6A3E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319" w:type="dxa"/>
          </w:tcPr>
          <w:p w14:paraId="09F2D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319" w:type="dxa"/>
          </w:tcPr>
          <w:p w14:paraId="43EBDB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96" w:type="dxa"/>
          </w:tcPr>
          <w:p w14:paraId="4A5A5D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196" w:type="dxa"/>
          </w:tcPr>
          <w:p w14:paraId="07BBD7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702" w:type="dxa"/>
          </w:tcPr>
          <w:p w14:paraId="4C53B8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r>
      <w:tr w:rsidR="006F4095" w:rsidRPr="008127F8" w14:paraId="381F8A27" w14:textId="77777777">
        <w:trPr>
          <w:jc w:val="center"/>
        </w:trPr>
        <w:tc>
          <w:tcPr>
            <w:tcW w:w="1688" w:type="dxa"/>
          </w:tcPr>
          <w:p w14:paraId="0B200F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ПЕ-2</w:t>
            </w:r>
          </w:p>
        </w:tc>
        <w:tc>
          <w:tcPr>
            <w:tcW w:w="1688" w:type="dxa"/>
          </w:tcPr>
          <w:p w14:paraId="67F510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319" w:type="dxa"/>
          </w:tcPr>
          <w:p w14:paraId="3F83A5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19" w:type="dxa"/>
          </w:tcPr>
          <w:p w14:paraId="386C18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196" w:type="dxa"/>
          </w:tcPr>
          <w:p w14:paraId="26009B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196" w:type="dxa"/>
          </w:tcPr>
          <w:p w14:paraId="005025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702" w:type="dxa"/>
          </w:tcPr>
          <w:p w14:paraId="1DAAAF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r>
      <w:tr w:rsidR="006F4095" w:rsidRPr="008127F8" w14:paraId="1C8340CD" w14:textId="77777777">
        <w:trPr>
          <w:jc w:val="center"/>
        </w:trPr>
        <w:tc>
          <w:tcPr>
            <w:tcW w:w="1688" w:type="dxa"/>
          </w:tcPr>
          <w:p w14:paraId="2D03CE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Харрикейн</w:t>
            </w:r>
          </w:p>
        </w:tc>
        <w:tc>
          <w:tcPr>
            <w:tcW w:w="1688" w:type="dxa"/>
          </w:tcPr>
          <w:p w14:paraId="0625AB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319" w:type="dxa"/>
          </w:tcPr>
          <w:p w14:paraId="6E255B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19" w:type="dxa"/>
          </w:tcPr>
          <w:p w14:paraId="2A42A1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196" w:type="dxa"/>
          </w:tcPr>
          <w:p w14:paraId="5947FD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96" w:type="dxa"/>
          </w:tcPr>
          <w:p w14:paraId="39CAED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702" w:type="dxa"/>
          </w:tcPr>
          <w:p w14:paraId="38FB51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1F344288" w14:textId="77777777">
        <w:trPr>
          <w:jc w:val="center"/>
        </w:trPr>
        <w:tc>
          <w:tcPr>
            <w:tcW w:w="1688" w:type="dxa"/>
          </w:tcPr>
          <w:p w14:paraId="7259BF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Аэрокобра</w:t>
            </w:r>
          </w:p>
        </w:tc>
        <w:tc>
          <w:tcPr>
            <w:tcW w:w="1688" w:type="dxa"/>
          </w:tcPr>
          <w:p w14:paraId="7811B9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319" w:type="dxa"/>
          </w:tcPr>
          <w:p w14:paraId="5AFF81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319" w:type="dxa"/>
          </w:tcPr>
          <w:p w14:paraId="1713A3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96" w:type="dxa"/>
          </w:tcPr>
          <w:p w14:paraId="6782E4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96" w:type="dxa"/>
          </w:tcPr>
          <w:p w14:paraId="238B96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702" w:type="dxa"/>
          </w:tcPr>
          <w:p w14:paraId="3D2A6A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r>
      <w:tr w:rsidR="006F4095" w:rsidRPr="008127F8" w14:paraId="787FBAEB" w14:textId="77777777">
        <w:trPr>
          <w:jc w:val="center"/>
        </w:trPr>
        <w:tc>
          <w:tcPr>
            <w:tcW w:w="1688" w:type="dxa"/>
          </w:tcPr>
          <w:p w14:paraId="32E916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У-2</w:t>
            </w:r>
          </w:p>
        </w:tc>
        <w:tc>
          <w:tcPr>
            <w:tcW w:w="1688" w:type="dxa"/>
          </w:tcPr>
          <w:p w14:paraId="332057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19" w:type="dxa"/>
          </w:tcPr>
          <w:p w14:paraId="7ADA58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19" w:type="dxa"/>
          </w:tcPr>
          <w:p w14:paraId="25869B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96" w:type="dxa"/>
          </w:tcPr>
          <w:p w14:paraId="381067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96" w:type="dxa"/>
          </w:tcPr>
          <w:p w14:paraId="68698B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702" w:type="dxa"/>
          </w:tcPr>
          <w:p w14:paraId="3409D6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377FFD9C" w14:textId="77777777">
        <w:trPr>
          <w:jc w:val="center"/>
        </w:trPr>
        <w:tc>
          <w:tcPr>
            <w:tcW w:w="1688" w:type="dxa"/>
            <w:tcBorders>
              <w:bottom w:val="single" w:sz="12" w:space="0" w:color="auto"/>
            </w:tcBorders>
          </w:tcPr>
          <w:p w14:paraId="5732B4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Томагаук</w:t>
            </w:r>
          </w:p>
        </w:tc>
        <w:tc>
          <w:tcPr>
            <w:tcW w:w="1688" w:type="dxa"/>
            <w:tcBorders>
              <w:bottom w:val="single" w:sz="12" w:space="0" w:color="auto"/>
            </w:tcBorders>
          </w:tcPr>
          <w:p w14:paraId="4F3B82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tc>
        <w:tc>
          <w:tcPr>
            <w:tcW w:w="1319" w:type="dxa"/>
            <w:tcBorders>
              <w:bottom w:val="single" w:sz="12" w:space="0" w:color="auto"/>
            </w:tcBorders>
          </w:tcPr>
          <w:p w14:paraId="3918BF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19" w:type="dxa"/>
            <w:tcBorders>
              <w:bottom w:val="single" w:sz="12" w:space="0" w:color="auto"/>
            </w:tcBorders>
          </w:tcPr>
          <w:p w14:paraId="056C73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196" w:type="dxa"/>
            <w:tcBorders>
              <w:bottom w:val="single" w:sz="12" w:space="0" w:color="auto"/>
            </w:tcBorders>
          </w:tcPr>
          <w:p w14:paraId="2CA26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96" w:type="dxa"/>
            <w:tcBorders>
              <w:bottom w:val="single" w:sz="12" w:space="0" w:color="auto"/>
            </w:tcBorders>
          </w:tcPr>
          <w:p w14:paraId="6D8124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2" w:type="dxa"/>
            <w:tcBorders>
              <w:bottom w:val="single" w:sz="12" w:space="0" w:color="auto"/>
            </w:tcBorders>
          </w:tcPr>
          <w:p w14:paraId="0E503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bl>
    <w:p w14:paraId="44310F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т. Шахурина сдать облетанные и готовые к бою самолеты для ВВС Красной Армии в следующие календарные сроки: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914"/>
        <w:gridCol w:w="783"/>
        <w:gridCol w:w="1387"/>
        <w:gridCol w:w="1387"/>
        <w:gridCol w:w="1387"/>
        <w:gridCol w:w="1387"/>
        <w:gridCol w:w="1126"/>
        <w:gridCol w:w="734"/>
      </w:tblGrid>
      <w:tr w:rsidR="006F4095" w:rsidRPr="008127F8" w14:paraId="25BD5894" w14:textId="77777777" w:rsidTr="00BE3C69">
        <w:trPr>
          <w:jc w:val="center"/>
        </w:trPr>
        <w:tc>
          <w:tcPr>
            <w:tcW w:w="914" w:type="dxa"/>
            <w:gridSpan w:val="2"/>
            <w:tcBorders>
              <w:top w:val="single" w:sz="12" w:space="0" w:color="auto"/>
            </w:tcBorders>
          </w:tcPr>
          <w:p w14:paraId="293DEC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7" w:type="dxa"/>
            <w:tcBorders>
              <w:top w:val="single" w:sz="12" w:space="0" w:color="auto"/>
            </w:tcBorders>
          </w:tcPr>
          <w:p w14:paraId="479430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 по 15</w:t>
            </w:r>
            <w:r w:rsidRPr="008127F8">
              <w:rPr>
                <w:rFonts w:ascii="Times New Roman" w:hAnsi="Times New Roman"/>
                <w:color w:val="000000" w:themeColor="text1"/>
                <w:sz w:val="16"/>
                <w:szCs w:val="16"/>
              </w:rPr>
              <w:br/>
              <w:t>апреля фактически</w:t>
            </w:r>
            <w:r w:rsidRPr="008127F8">
              <w:rPr>
                <w:rFonts w:ascii="Times New Roman" w:hAnsi="Times New Roman"/>
                <w:color w:val="000000" w:themeColor="text1"/>
                <w:sz w:val="16"/>
                <w:szCs w:val="16"/>
              </w:rPr>
              <w:br/>
              <w:t>сдано</w:t>
            </w:r>
          </w:p>
        </w:tc>
        <w:tc>
          <w:tcPr>
            <w:tcW w:w="1387" w:type="dxa"/>
            <w:tcBorders>
              <w:top w:val="single" w:sz="12" w:space="0" w:color="auto"/>
            </w:tcBorders>
          </w:tcPr>
          <w:p w14:paraId="1B0C8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16 по 20</w:t>
            </w:r>
            <w:r w:rsidRPr="008127F8">
              <w:rPr>
                <w:rFonts w:ascii="Times New Roman" w:hAnsi="Times New Roman"/>
                <w:color w:val="000000" w:themeColor="text1"/>
                <w:sz w:val="16"/>
                <w:szCs w:val="16"/>
              </w:rPr>
              <w:br/>
              <w:t>апреля</w:t>
            </w:r>
          </w:p>
        </w:tc>
        <w:tc>
          <w:tcPr>
            <w:tcW w:w="1387" w:type="dxa"/>
            <w:tcBorders>
              <w:top w:val="single" w:sz="12" w:space="0" w:color="auto"/>
            </w:tcBorders>
          </w:tcPr>
          <w:p w14:paraId="49A06E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по 25</w:t>
            </w:r>
            <w:r w:rsidRPr="008127F8">
              <w:rPr>
                <w:rFonts w:ascii="Times New Roman" w:hAnsi="Times New Roman"/>
                <w:color w:val="000000" w:themeColor="text1"/>
                <w:sz w:val="16"/>
                <w:szCs w:val="16"/>
              </w:rPr>
              <w:br/>
              <w:t>апреля</w:t>
            </w:r>
          </w:p>
        </w:tc>
        <w:tc>
          <w:tcPr>
            <w:tcW w:w="1387" w:type="dxa"/>
            <w:tcBorders>
              <w:top w:val="single" w:sz="12" w:space="0" w:color="auto"/>
            </w:tcBorders>
          </w:tcPr>
          <w:p w14:paraId="2AB5D2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по 30</w:t>
            </w:r>
            <w:r w:rsidRPr="008127F8">
              <w:rPr>
                <w:rFonts w:ascii="Times New Roman" w:hAnsi="Times New Roman"/>
                <w:color w:val="000000" w:themeColor="text1"/>
                <w:sz w:val="16"/>
                <w:szCs w:val="16"/>
              </w:rPr>
              <w:br/>
              <w:t>апреля</w:t>
            </w:r>
          </w:p>
        </w:tc>
        <w:tc>
          <w:tcPr>
            <w:tcW w:w="1126" w:type="dxa"/>
            <w:tcBorders>
              <w:top w:val="single" w:sz="12" w:space="0" w:color="auto"/>
            </w:tcBorders>
          </w:tcPr>
          <w:p w14:paraId="1C6107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5</w:t>
            </w:r>
            <w:r w:rsidRPr="008127F8">
              <w:rPr>
                <w:rFonts w:ascii="Times New Roman" w:hAnsi="Times New Roman"/>
                <w:color w:val="000000" w:themeColor="text1"/>
                <w:sz w:val="16"/>
                <w:szCs w:val="16"/>
              </w:rPr>
              <w:br/>
              <w:t>мая</w:t>
            </w:r>
          </w:p>
        </w:tc>
        <w:tc>
          <w:tcPr>
            <w:tcW w:w="734" w:type="dxa"/>
            <w:tcBorders>
              <w:top w:val="single" w:sz="12" w:space="0" w:color="auto"/>
            </w:tcBorders>
          </w:tcPr>
          <w:p w14:paraId="517237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757BD3D2" w14:textId="77777777">
        <w:trPr>
          <w:jc w:val="center"/>
        </w:trPr>
        <w:tc>
          <w:tcPr>
            <w:tcW w:w="914" w:type="dxa"/>
          </w:tcPr>
          <w:p w14:paraId="6BFBFB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18</w:t>
            </w:r>
          </w:p>
        </w:tc>
        <w:tc>
          <w:tcPr>
            <w:tcW w:w="783" w:type="dxa"/>
          </w:tcPr>
          <w:p w14:paraId="3CEE75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387" w:type="dxa"/>
          </w:tcPr>
          <w:p w14:paraId="233056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1387" w:type="dxa"/>
          </w:tcPr>
          <w:p w14:paraId="107266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w:t>
            </w:r>
          </w:p>
        </w:tc>
        <w:tc>
          <w:tcPr>
            <w:tcW w:w="1387" w:type="dxa"/>
          </w:tcPr>
          <w:p w14:paraId="0FD9EB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387" w:type="dxa"/>
          </w:tcPr>
          <w:p w14:paraId="36254E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1126" w:type="dxa"/>
          </w:tcPr>
          <w:p w14:paraId="504366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734" w:type="dxa"/>
          </w:tcPr>
          <w:p w14:paraId="44AE80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w:t>
            </w:r>
          </w:p>
        </w:tc>
      </w:tr>
      <w:tr w:rsidR="006F4095" w:rsidRPr="008127F8" w14:paraId="394362BD" w14:textId="77777777">
        <w:trPr>
          <w:jc w:val="center"/>
        </w:trPr>
        <w:tc>
          <w:tcPr>
            <w:tcW w:w="914" w:type="dxa"/>
          </w:tcPr>
          <w:p w14:paraId="2A7A09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381</w:t>
            </w:r>
          </w:p>
        </w:tc>
        <w:tc>
          <w:tcPr>
            <w:tcW w:w="783" w:type="dxa"/>
          </w:tcPr>
          <w:p w14:paraId="26D27C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387" w:type="dxa"/>
          </w:tcPr>
          <w:p w14:paraId="73EEEE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387" w:type="dxa"/>
          </w:tcPr>
          <w:p w14:paraId="30451E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387" w:type="dxa"/>
          </w:tcPr>
          <w:p w14:paraId="669EE6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387" w:type="dxa"/>
          </w:tcPr>
          <w:p w14:paraId="78F476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126" w:type="dxa"/>
          </w:tcPr>
          <w:p w14:paraId="557C78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734" w:type="dxa"/>
          </w:tcPr>
          <w:p w14:paraId="232764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568A3BBB" w14:textId="77777777">
        <w:trPr>
          <w:jc w:val="center"/>
        </w:trPr>
        <w:tc>
          <w:tcPr>
            <w:tcW w:w="914" w:type="dxa"/>
          </w:tcPr>
          <w:p w14:paraId="692FC3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w:t>
            </w:r>
          </w:p>
        </w:tc>
        <w:tc>
          <w:tcPr>
            <w:tcW w:w="783" w:type="dxa"/>
          </w:tcPr>
          <w:p w14:paraId="6871B3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387" w:type="dxa"/>
          </w:tcPr>
          <w:p w14:paraId="6CF02F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1387" w:type="dxa"/>
          </w:tcPr>
          <w:p w14:paraId="555C34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387" w:type="dxa"/>
          </w:tcPr>
          <w:p w14:paraId="4D52E5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387" w:type="dxa"/>
          </w:tcPr>
          <w:p w14:paraId="00348A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126" w:type="dxa"/>
          </w:tcPr>
          <w:p w14:paraId="7ABDB8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734" w:type="dxa"/>
          </w:tcPr>
          <w:p w14:paraId="5B61EB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r>
      <w:tr w:rsidR="006F4095" w:rsidRPr="008127F8" w14:paraId="24AF1AAC" w14:textId="77777777">
        <w:trPr>
          <w:jc w:val="center"/>
        </w:trPr>
        <w:tc>
          <w:tcPr>
            <w:tcW w:w="914" w:type="dxa"/>
          </w:tcPr>
          <w:p w14:paraId="102254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30</w:t>
            </w:r>
          </w:p>
        </w:tc>
        <w:tc>
          <w:tcPr>
            <w:tcW w:w="783" w:type="dxa"/>
          </w:tcPr>
          <w:p w14:paraId="1000EA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387" w:type="dxa"/>
          </w:tcPr>
          <w:p w14:paraId="0E2DF2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387" w:type="dxa"/>
          </w:tcPr>
          <w:p w14:paraId="13BFB3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87" w:type="dxa"/>
          </w:tcPr>
          <w:p w14:paraId="3C6403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87" w:type="dxa"/>
          </w:tcPr>
          <w:p w14:paraId="63E8D8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26" w:type="dxa"/>
          </w:tcPr>
          <w:p w14:paraId="76CCE4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734" w:type="dxa"/>
          </w:tcPr>
          <w:p w14:paraId="2D68B3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r>
      <w:tr w:rsidR="006F4095" w:rsidRPr="008127F8" w14:paraId="749538B5" w14:textId="77777777">
        <w:trPr>
          <w:jc w:val="center"/>
        </w:trPr>
        <w:tc>
          <w:tcPr>
            <w:tcW w:w="914" w:type="dxa"/>
          </w:tcPr>
          <w:p w14:paraId="6C9EF0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292</w:t>
            </w:r>
          </w:p>
        </w:tc>
        <w:tc>
          <w:tcPr>
            <w:tcW w:w="783" w:type="dxa"/>
          </w:tcPr>
          <w:p w14:paraId="288FA5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387" w:type="dxa"/>
          </w:tcPr>
          <w:p w14:paraId="29C825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w:t>
            </w:r>
          </w:p>
        </w:tc>
        <w:tc>
          <w:tcPr>
            <w:tcW w:w="1387" w:type="dxa"/>
          </w:tcPr>
          <w:p w14:paraId="7E5DE4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tc>
        <w:tc>
          <w:tcPr>
            <w:tcW w:w="1387" w:type="dxa"/>
          </w:tcPr>
          <w:p w14:paraId="7321B4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1387" w:type="dxa"/>
          </w:tcPr>
          <w:p w14:paraId="6F08E2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c>
          <w:tcPr>
            <w:tcW w:w="1126" w:type="dxa"/>
          </w:tcPr>
          <w:p w14:paraId="42EFF4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734" w:type="dxa"/>
          </w:tcPr>
          <w:p w14:paraId="0A9441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737A7CAD" w14:textId="77777777">
        <w:trPr>
          <w:jc w:val="center"/>
        </w:trPr>
        <w:tc>
          <w:tcPr>
            <w:tcW w:w="914" w:type="dxa"/>
          </w:tcPr>
          <w:p w14:paraId="1BAD5E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153</w:t>
            </w:r>
          </w:p>
        </w:tc>
        <w:tc>
          <w:tcPr>
            <w:tcW w:w="783" w:type="dxa"/>
          </w:tcPr>
          <w:p w14:paraId="64FD30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387" w:type="dxa"/>
          </w:tcPr>
          <w:p w14:paraId="603A5E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387" w:type="dxa"/>
          </w:tcPr>
          <w:p w14:paraId="3A58FF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387" w:type="dxa"/>
          </w:tcPr>
          <w:p w14:paraId="03400B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387" w:type="dxa"/>
          </w:tcPr>
          <w:p w14:paraId="4AFC58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126" w:type="dxa"/>
          </w:tcPr>
          <w:p w14:paraId="4DDE5C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734" w:type="dxa"/>
          </w:tcPr>
          <w:p w14:paraId="6694BF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r>
      <w:tr w:rsidR="006F4095" w:rsidRPr="008127F8" w14:paraId="5D98B194" w14:textId="77777777">
        <w:trPr>
          <w:jc w:val="center"/>
        </w:trPr>
        <w:tc>
          <w:tcPr>
            <w:tcW w:w="914" w:type="dxa"/>
          </w:tcPr>
          <w:p w14:paraId="3D0DE5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21</w:t>
            </w:r>
          </w:p>
        </w:tc>
        <w:tc>
          <w:tcPr>
            <w:tcW w:w="783" w:type="dxa"/>
          </w:tcPr>
          <w:p w14:paraId="5918BB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387" w:type="dxa"/>
          </w:tcPr>
          <w:p w14:paraId="24EE40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1387" w:type="dxa"/>
          </w:tcPr>
          <w:p w14:paraId="63249A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387" w:type="dxa"/>
          </w:tcPr>
          <w:p w14:paraId="0E503D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1387" w:type="dxa"/>
          </w:tcPr>
          <w:p w14:paraId="375F4A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126" w:type="dxa"/>
          </w:tcPr>
          <w:p w14:paraId="5DA781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734" w:type="dxa"/>
          </w:tcPr>
          <w:p w14:paraId="7E1744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r>
      <w:tr w:rsidR="006F4095" w:rsidRPr="008127F8" w14:paraId="6DE357B3" w14:textId="77777777">
        <w:trPr>
          <w:jc w:val="center"/>
        </w:trPr>
        <w:tc>
          <w:tcPr>
            <w:tcW w:w="914" w:type="dxa"/>
          </w:tcPr>
          <w:p w14:paraId="45E165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31</w:t>
            </w:r>
          </w:p>
        </w:tc>
        <w:tc>
          <w:tcPr>
            <w:tcW w:w="783" w:type="dxa"/>
          </w:tcPr>
          <w:p w14:paraId="72EFF3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387" w:type="dxa"/>
          </w:tcPr>
          <w:p w14:paraId="7A5E6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387" w:type="dxa"/>
          </w:tcPr>
          <w:p w14:paraId="1302E7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387" w:type="dxa"/>
          </w:tcPr>
          <w:p w14:paraId="7170B3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387" w:type="dxa"/>
          </w:tcPr>
          <w:p w14:paraId="0B9DE5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126" w:type="dxa"/>
          </w:tcPr>
          <w:p w14:paraId="438117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734" w:type="dxa"/>
          </w:tcPr>
          <w:p w14:paraId="4A6DB5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r>
      <w:tr w:rsidR="006F4095" w:rsidRPr="008127F8" w14:paraId="6B641E0D" w14:textId="77777777">
        <w:trPr>
          <w:jc w:val="center"/>
        </w:trPr>
        <w:tc>
          <w:tcPr>
            <w:tcW w:w="914" w:type="dxa"/>
          </w:tcPr>
          <w:p w14:paraId="45A86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22</w:t>
            </w:r>
          </w:p>
        </w:tc>
        <w:tc>
          <w:tcPr>
            <w:tcW w:w="783" w:type="dxa"/>
          </w:tcPr>
          <w:p w14:paraId="68AB09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387" w:type="dxa"/>
          </w:tcPr>
          <w:p w14:paraId="04A553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w:t>
            </w:r>
          </w:p>
        </w:tc>
        <w:tc>
          <w:tcPr>
            <w:tcW w:w="1387" w:type="dxa"/>
          </w:tcPr>
          <w:p w14:paraId="557879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387" w:type="dxa"/>
          </w:tcPr>
          <w:p w14:paraId="09EA36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387" w:type="dxa"/>
          </w:tcPr>
          <w:p w14:paraId="792FA4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126" w:type="dxa"/>
          </w:tcPr>
          <w:p w14:paraId="33C26F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734" w:type="dxa"/>
          </w:tcPr>
          <w:p w14:paraId="45305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r>
      <w:tr w:rsidR="006F4095" w:rsidRPr="008127F8" w14:paraId="1840D3EA" w14:textId="77777777">
        <w:trPr>
          <w:jc w:val="center"/>
        </w:trPr>
        <w:tc>
          <w:tcPr>
            <w:tcW w:w="914" w:type="dxa"/>
          </w:tcPr>
          <w:p w14:paraId="7AE1B7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39</w:t>
            </w:r>
          </w:p>
        </w:tc>
        <w:tc>
          <w:tcPr>
            <w:tcW w:w="783" w:type="dxa"/>
          </w:tcPr>
          <w:p w14:paraId="405547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387" w:type="dxa"/>
          </w:tcPr>
          <w:p w14:paraId="2291E4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1387" w:type="dxa"/>
          </w:tcPr>
          <w:p w14:paraId="51ED70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387" w:type="dxa"/>
          </w:tcPr>
          <w:p w14:paraId="1CFCA4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387" w:type="dxa"/>
          </w:tcPr>
          <w:p w14:paraId="233377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126" w:type="dxa"/>
          </w:tcPr>
          <w:p w14:paraId="08761D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734" w:type="dxa"/>
          </w:tcPr>
          <w:p w14:paraId="36528E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r>
      <w:tr w:rsidR="006F4095" w:rsidRPr="008127F8" w14:paraId="1E0E9D64" w14:textId="77777777">
        <w:trPr>
          <w:jc w:val="center"/>
        </w:trPr>
        <w:tc>
          <w:tcPr>
            <w:tcW w:w="914" w:type="dxa"/>
          </w:tcPr>
          <w:p w14:paraId="0A0E80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126</w:t>
            </w:r>
          </w:p>
        </w:tc>
        <w:tc>
          <w:tcPr>
            <w:tcW w:w="783" w:type="dxa"/>
          </w:tcPr>
          <w:p w14:paraId="697740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387" w:type="dxa"/>
          </w:tcPr>
          <w:p w14:paraId="1EF633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387" w:type="dxa"/>
          </w:tcPr>
          <w:p w14:paraId="66301F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387" w:type="dxa"/>
          </w:tcPr>
          <w:p w14:paraId="5F2A65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387" w:type="dxa"/>
          </w:tcPr>
          <w:p w14:paraId="789188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126" w:type="dxa"/>
          </w:tcPr>
          <w:p w14:paraId="023FB3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34" w:type="dxa"/>
          </w:tcPr>
          <w:p w14:paraId="60DD1F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0D66B67C" w14:textId="77777777">
        <w:trPr>
          <w:jc w:val="center"/>
        </w:trPr>
        <w:tc>
          <w:tcPr>
            <w:tcW w:w="914" w:type="dxa"/>
            <w:tcBorders>
              <w:bottom w:val="single" w:sz="12" w:space="0" w:color="auto"/>
            </w:tcBorders>
          </w:tcPr>
          <w:p w14:paraId="31B8C3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bottom w:val="single" w:sz="12" w:space="0" w:color="auto"/>
            </w:tcBorders>
          </w:tcPr>
          <w:p w14:paraId="183755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7" w:type="dxa"/>
            <w:tcBorders>
              <w:bottom w:val="single" w:sz="12" w:space="0" w:color="auto"/>
            </w:tcBorders>
          </w:tcPr>
          <w:p w14:paraId="1DE1B6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w:t>
            </w:r>
          </w:p>
        </w:tc>
        <w:tc>
          <w:tcPr>
            <w:tcW w:w="1387" w:type="dxa"/>
            <w:tcBorders>
              <w:bottom w:val="single" w:sz="12" w:space="0" w:color="auto"/>
            </w:tcBorders>
          </w:tcPr>
          <w:p w14:paraId="772D35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w:t>
            </w:r>
          </w:p>
        </w:tc>
        <w:tc>
          <w:tcPr>
            <w:tcW w:w="1387" w:type="dxa"/>
            <w:tcBorders>
              <w:bottom w:val="single" w:sz="12" w:space="0" w:color="auto"/>
            </w:tcBorders>
          </w:tcPr>
          <w:p w14:paraId="1C580D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336</w:t>
            </w:r>
          </w:p>
        </w:tc>
        <w:tc>
          <w:tcPr>
            <w:tcW w:w="1387" w:type="dxa"/>
            <w:tcBorders>
              <w:bottom w:val="single" w:sz="12" w:space="0" w:color="auto"/>
            </w:tcBorders>
          </w:tcPr>
          <w:p w14:paraId="790639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w:t>
            </w:r>
          </w:p>
        </w:tc>
        <w:tc>
          <w:tcPr>
            <w:tcW w:w="1126" w:type="dxa"/>
            <w:tcBorders>
              <w:bottom w:val="single" w:sz="12" w:space="0" w:color="auto"/>
            </w:tcBorders>
          </w:tcPr>
          <w:p w14:paraId="7ECB4A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265</w:t>
            </w:r>
          </w:p>
        </w:tc>
        <w:tc>
          <w:tcPr>
            <w:tcW w:w="734" w:type="dxa"/>
            <w:tcBorders>
              <w:bottom w:val="single" w:sz="12" w:space="0" w:color="auto"/>
            </w:tcBorders>
          </w:tcPr>
          <w:p w14:paraId="57FFD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1733</w:t>
            </w:r>
          </w:p>
        </w:tc>
      </w:tr>
    </w:tbl>
    <w:p w14:paraId="387365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Утвердить следующий план распределения облетанных и готовых к бою самолетов, поступающих от авиапромышленности в период с 1 апреля по 5 мая 1942 года: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552"/>
        <w:gridCol w:w="1559"/>
        <w:gridCol w:w="1701"/>
        <w:gridCol w:w="1559"/>
        <w:gridCol w:w="1737"/>
      </w:tblGrid>
      <w:tr w:rsidR="006F4095" w:rsidRPr="008127F8" w14:paraId="2A4829F1" w14:textId="77777777">
        <w:trPr>
          <w:jc w:val="center"/>
        </w:trPr>
        <w:tc>
          <w:tcPr>
            <w:tcW w:w="2552" w:type="dxa"/>
            <w:tcBorders>
              <w:top w:val="single" w:sz="12" w:space="0" w:color="auto"/>
            </w:tcBorders>
          </w:tcPr>
          <w:p w14:paraId="3E1715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16A14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701" w:type="dxa"/>
            <w:tcBorders>
              <w:top w:val="single" w:sz="12" w:space="0" w:color="auto"/>
            </w:tcBorders>
          </w:tcPr>
          <w:p w14:paraId="434A1A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и ЯК-7</w:t>
            </w:r>
          </w:p>
        </w:tc>
        <w:tc>
          <w:tcPr>
            <w:tcW w:w="1559" w:type="dxa"/>
            <w:tcBorders>
              <w:top w:val="single" w:sz="12" w:space="0" w:color="auto"/>
            </w:tcBorders>
          </w:tcPr>
          <w:p w14:paraId="0CE359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737" w:type="dxa"/>
            <w:tcBorders>
              <w:top w:val="single" w:sz="12" w:space="0" w:color="auto"/>
            </w:tcBorders>
          </w:tcPr>
          <w:p w14:paraId="08F7EC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r>
      <w:tr w:rsidR="006F4095" w:rsidRPr="008127F8" w14:paraId="771961F4" w14:textId="77777777">
        <w:trPr>
          <w:jc w:val="center"/>
        </w:trPr>
        <w:tc>
          <w:tcPr>
            <w:tcW w:w="2552" w:type="dxa"/>
          </w:tcPr>
          <w:p w14:paraId="2D7DDC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доукомплектования авиаполков, </w:t>
            </w:r>
            <w:r w:rsidRPr="008127F8">
              <w:rPr>
                <w:rFonts w:ascii="Times New Roman" w:hAnsi="Times New Roman"/>
                <w:color w:val="000000" w:themeColor="text1"/>
                <w:sz w:val="16"/>
                <w:szCs w:val="16"/>
              </w:rPr>
              <w:br/>
              <w:t xml:space="preserve">формируемых в резерв Ставки </w:t>
            </w:r>
            <w:r w:rsidRPr="008127F8">
              <w:rPr>
                <w:rFonts w:ascii="Times New Roman" w:hAnsi="Times New Roman"/>
                <w:color w:val="000000" w:themeColor="text1"/>
                <w:sz w:val="16"/>
                <w:szCs w:val="16"/>
              </w:rPr>
              <w:br/>
              <w:t>Верховного Главнокомандования</w:t>
            </w:r>
          </w:p>
        </w:tc>
        <w:tc>
          <w:tcPr>
            <w:tcW w:w="1559" w:type="dxa"/>
          </w:tcPr>
          <w:p w14:paraId="50713A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w:t>
            </w:r>
          </w:p>
        </w:tc>
        <w:tc>
          <w:tcPr>
            <w:tcW w:w="1701" w:type="dxa"/>
          </w:tcPr>
          <w:p w14:paraId="22DEC3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1559" w:type="dxa"/>
          </w:tcPr>
          <w:p w14:paraId="570B6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c>
          <w:tcPr>
            <w:tcW w:w="1737" w:type="dxa"/>
          </w:tcPr>
          <w:p w14:paraId="6BBE1A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w:t>
            </w:r>
          </w:p>
        </w:tc>
      </w:tr>
      <w:tr w:rsidR="006F4095" w:rsidRPr="008127F8" w14:paraId="224FA55F" w14:textId="77777777">
        <w:trPr>
          <w:jc w:val="center"/>
        </w:trPr>
        <w:tc>
          <w:tcPr>
            <w:tcW w:w="2552" w:type="dxa"/>
          </w:tcPr>
          <w:p w14:paraId="23CFCD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пополнения авиаполков на фронтах </w:t>
            </w:r>
            <w:r w:rsidRPr="008127F8">
              <w:rPr>
                <w:rFonts w:ascii="Times New Roman" w:hAnsi="Times New Roman"/>
                <w:color w:val="000000" w:themeColor="text1"/>
                <w:sz w:val="16"/>
                <w:szCs w:val="16"/>
              </w:rPr>
              <w:br/>
              <w:t xml:space="preserve">и ударных групп Ставки </w:t>
            </w:r>
            <w:r w:rsidRPr="008127F8">
              <w:rPr>
                <w:rFonts w:ascii="Times New Roman" w:hAnsi="Times New Roman"/>
                <w:color w:val="000000" w:themeColor="text1"/>
                <w:sz w:val="16"/>
                <w:szCs w:val="16"/>
              </w:rPr>
              <w:br/>
              <w:t>Верховного Главнокомандования</w:t>
            </w:r>
          </w:p>
        </w:tc>
        <w:tc>
          <w:tcPr>
            <w:tcW w:w="1559" w:type="dxa"/>
          </w:tcPr>
          <w:p w14:paraId="760D29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701" w:type="dxa"/>
          </w:tcPr>
          <w:p w14:paraId="7206DB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559" w:type="dxa"/>
          </w:tcPr>
          <w:p w14:paraId="0C2A2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737" w:type="dxa"/>
          </w:tcPr>
          <w:p w14:paraId="489BF6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r>
      <w:tr w:rsidR="006F4095" w:rsidRPr="008127F8" w14:paraId="7BA3BED3" w14:textId="77777777">
        <w:trPr>
          <w:jc w:val="center"/>
        </w:trPr>
        <w:tc>
          <w:tcPr>
            <w:tcW w:w="2552" w:type="dxa"/>
          </w:tcPr>
          <w:p w14:paraId="6487EE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запасных авиаполков</w:t>
            </w:r>
          </w:p>
        </w:tc>
        <w:tc>
          <w:tcPr>
            <w:tcW w:w="1559" w:type="dxa"/>
          </w:tcPr>
          <w:p w14:paraId="4DE5C3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701" w:type="dxa"/>
          </w:tcPr>
          <w:p w14:paraId="028AEC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559" w:type="dxa"/>
          </w:tcPr>
          <w:p w14:paraId="26938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737" w:type="dxa"/>
          </w:tcPr>
          <w:p w14:paraId="05C542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7CCB0215" w14:textId="77777777">
        <w:trPr>
          <w:jc w:val="center"/>
        </w:trPr>
        <w:tc>
          <w:tcPr>
            <w:tcW w:w="2552" w:type="dxa"/>
          </w:tcPr>
          <w:p w14:paraId="53DCA5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школ и академий КШС и Полтавских </w:t>
            </w:r>
            <w:r w:rsidRPr="008127F8">
              <w:rPr>
                <w:rFonts w:ascii="Times New Roman" w:hAnsi="Times New Roman"/>
                <w:color w:val="000000" w:themeColor="text1"/>
                <w:sz w:val="16"/>
                <w:szCs w:val="16"/>
              </w:rPr>
              <w:br/>
              <w:t>курсов</w:t>
            </w:r>
          </w:p>
        </w:tc>
        <w:tc>
          <w:tcPr>
            <w:tcW w:w="1559" w:type="dxa"/>
          </w:tcPr>
          <w:p w14:paraId="52D855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w:t>
            </w:r>
          </w:p>
        </w:tc>
        <w:tc>
          <w:tcPr>
            <w:tcW w:w="1701" w:type="dxa"/>
          </w:tcPr>
          <w:p w14:paraId="50529F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1559" w:type="dxa"/>
          </w:tcPr>
          <w:p w14:paraId="0CCE12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737" w:type="dxa"/>
          </w:tcPr>
          <w:p w14:paraId="58B041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6F4095" w:rsidRPr="008127F8" w14:paraId="63371C83" w14:textId="77777777">
        <w:trPr>
          <w:jc w:val="center"/>
        </w:trPr>
        <w:tc>
          <w:tcPr>
            <w:tcW w:w="2552" w:type="dxa"/>
          </w:tcPr>
          <w:p w14:paraId="131BD9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учебно-тренировочных авиаполков</w:t>
            </w:r>
          </w:p>
        </w:tc>
        <w:tc>
          <w:tcPr>
            <w:tcW w:w="1559" w:type="dxa"/>
          </w:tcPr>
          <w:p w14:paraId="2E7DEA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701" w:type="dxa"/>
          </w:tcPr>
          <w:p w14:paraId="2FA0CA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559" w:type="dxa"/>
          </w:tcPr>
          <w:p w14:paraId="468D76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37" w:type="dxa"/>
          </w:tcPr>
          <w:p w14:paraId="3BF93A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28A4353" w14:textId="77777777">
        <w:trPr>
          <w:jc w:val="center"/>
        </w:trPr>
        <w:tc>
          <w:tcPr>
            <w:tcW w:w="2552" w:type="dxa"/>
          </w:tcPr>
          <w:p w14:paraId="544DAD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П.В.О.</w:t>
            </w:r>
          </w:p>
        </w:tc>
        <w:tc>
          <w:tcPr>
            <w:tcW w:w="1559" w:type="dxa"/>
          </w:tcPr>
          <w:p w14:paraId="43000E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01" w:type="dxa"/>
          </w:tcPr>
          <w:p w14:paraId="7435E5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559" w:type="dxa"/>
          </w:tcPr>
          <w:p w14:paraId="52B630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737" w:type="dxa"/>
          </w:tcPr>
          <w:p w14:paraId="3279B7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45611C0" w14:textId="77777777">
        <w:trPr>
          <w:jc w:val="center"/>
        </w:trPr>
        <w:tc>
          <w:tcPr>
            <w:tcW w:w="2552" w:type="dxa"/>
          </w:tcPr>
          <w:p w14:paraId="0D4578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разведывательной авиации</w:t>
            </w:r>
          </w:p>
        </w:tc>
        <w:tc>
          <w:tcPr>
            <w:tcW w:w="1559" w:type="dxa"/>
          </w:tcPr>
          <w:p w14:paraId="3D1C8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01" w:type="dxa"/>
          </w:tcPr>
          <w:p w14:paraId="0AAFB9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559" w:type="dxa"/>
          </w:tcPr>
          <w:p w14:paraId="1258DE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37" w:type="dxa"/>
          </w:tcPr>
          <w:p w14:paraId="764EB3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6F4095" w:rsidRPr="008127F8" w14:paraId="3AD84BF5" w14:textId="77777777">
        <w:trPr>
          <w:jc w:val="center"/>
        </w:trPr>
        <w:tc>
          <w:tcPr>
            <w:tcW w:w="2552" w:type="dxa"/>
          </w:tcPr>
          <w:p w14:paraId="34F3DA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укомплектования третьих эскадрилий </w:t>
            </w:r>
            <w:r w:rsidRPr="008127F8">
              <w:rPr>
                <w:rFonts w:ascii="Times New Roman" w:hAnsi="Times New Roman"/>
                <w:color w:val="000000" w:themeColor="text1"/>
                <w:sz w:val="16"/>
                <w:szCs w:val="16"/>
              </w:rPr>
              <w:br/>
              <w:t>Гвардейских авиаполков</w:t>
            </w:r>
          </w:p>
        </w:tc>
        <w:tc>
          <w:tcPr>
            <w:tcW w:w="1559" w:type="dxa"/>
          </w:tcPr>
          <w:p w14:paraId="0A01F7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701" w:type="dxa"/>
          </w:tcPr>
          <w:p w14:paraId="08771E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1559" w:type="dxa"/>
          </w:tcPr>
          <w:p w14:paraId="5CE397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737" w:type="dxa"/>
          </w:tcPr>
          <w:p w14:paraId="222685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6F4095" w:rsidRPr="008127F8" w14:paraId="38EB1706" w14:textId="77777777">
        <w:trPr>
          <w:jc w:val="center"/>
        </w:trPr>
        <w:tc>
          <w:tcPr>
            <w:tcW w:w="2552" w:type="dxa"/>
          </w:tcPr>
          <w:p w14:paraId="16E6C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ДВФ и ЗабВО</w:t>
            </w:r>
          </w:p>
        </w:tc>
        <w:tc>
          <w:tcPr>
            <w:tcW w:w="1559" w:type="dxa"/>
          </w:tcPr>
          <w:p w14:paraId="2F9824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701" w:type="dxa"/>
          </w:tcPr>
          <w:p w14:paraId="7ACE6A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(для ДВФ)</w:t>
            </w:r>
          </w:p>
        </w:tc>
        <w:tc>
          <w:tcPr>
            <w:tcW w:w="1559" w:type="dxa"/>
          </w:tcPr>
          <w:p w14:paraId="5BEBA7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37" w:type="dxa"/>
          </w:tcPr>
          <w:p w14:paraId="7A981F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2A4452DD" w14:textId="77777777">
        <w:trPr>
          <w:jc w:val="center"/>
        </w:trPr>
        <w:tc>
          <w:tcPr>
            <w:tcW w:w="2552" w:type="dxa"/>
            <w:tcBorders>
              <w:bottom w:val="single" w:sz="12" w:space="0" w:color="auto"/>
            </w:tcBorders>
          </w:tcPr>
          <w:p w14:paraId="2DDF26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Резерв Ставки Верховного </w:t>
            </w:r>
            <w:r w:rsidRPr="008127F8">
              <w:rPr>
                <w:rFonts w:ascii="Times New Roman" w:hAnsi="Times New Roman"/>
                <w:color w:val="000000" w:themeColor="text1"/>
                <w:sz w:val="16"/>
                <w:szCs w:val="16"/>
              </w:rPr>
              <w:br/>
              <w:t>Главнокомандования</w:t>
            </w:r>
          </w:p>
        </w:tc>
        <w:tc>
          <w:tcPr>
            <w:tcW w:w="1559" w:type="dxa"/>
            <w:tcBorders>
              <w:bottom w:val="single" w:sz="12" w:space="0" w:color="auto"/>
            </w:tcBorders>
          </w:tcPr>
          <w:p w14:paraId="64C5CD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701" w:type="dxa"/>
            <w:tcBorders>
              <w:bottom w:val="single" w:sz="12" w:space="0" w:color="auto"/>
            </w:tcBorders>
          </w:tcPr>
          <w:p w14:paraId="1363AC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559" w:type="dxa"/>
            <w:tcBorders>
              <w:bottom w:val="single" w:sz="12" w:space="0" w:color="auto"/>
            </w:tcBorders>
          </w:tcPr>
          <w:p w14:paraId="71E208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737" w:type="dxa"/>
            <w:tcBorders>
              <w:bottom w:val="single" w:sz="12" w:space="0" w:color="auto"/>
            </w:tcBorders>
          </w:tcPr>
          <w:p w14:paraId="0774E3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bl>
    <w:p w14:paraId="1A2BB2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Утвердить список авиаполков, формируемых ВВС Красной Армии в апреле 1942 года (см. приложение). </w:t>
      </w:r>
    </w:p>
    <w:p w14:paraId="196A52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Обязать НКАП (т. Шахурина) передать до 1 мая 1942 года 9 самолетов ПС-84 в распоряжение ВВС Красной Армии для лидирования самолетов ИЛ-2 при перегонке их с аэродромов запасных полков на аэродромы резерва Ставки. </w:t>
      </w:r>
    </w:p>
    <w:p w14:paraId="1EE524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57C38B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Выписки посланы: т.т. Маленкову, Новикову, Шахурину. </w:t>
      </w:r>
    </w:p>
    <w:p w14:paraId="03D8D6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Сов. секретно </w:t>
      </w:r>
    </w:p>
    <w:p w14:paraId="30B18D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w:t>
      </w:r>
    </w:p>
    <w:p w14:paraId="26821D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постановлению ГОКО № 1611сс от 17 апреля 1942 года. </w:t>
      </w:r>
    </w:p>
    <w:p w14:paraId="68A2CD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СПИСОК </w:t>
      </w:r>
    </w:p>
    <w:p w14:paraId="48A33E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авиаполков, намеченных к формированию в ВВС Красной Армии с 10 апреля по 10 мая 1942 г.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
        <w:gridCol w:w="759"/>
        <w:gridCol w:w="1908"/>
        <w:gridCol w:w="1155"/>
        <w:gridCol w:w="780"/>
        <w:gridCol w:w="1720"/>
        <w:gridCol w:w="1720"/>
        <w:gridCol w:w="1435"/>
        <w:gridCol w:w="21"/>
      </w:tblGrid>
      <w:tr w:rsidR="006F4095" w:rsidRPr="008127F8" w14:paraId="43EE9FAE" w14:textId="77777777">
        <w:trPr>
          <w:gridBefore w:val="1"/>
          <w:wBefore w:w="21" w:type="dxa"/>
          <w:jc w:val="center"/>
        </w:trPr>
        <w:tc>
          <w:tcPr>
            <w:tcW w:w="9498" w:type="dxa"/>
            <w:gridSpan w:val="8"/>
            <w:tcBorders>
              <w:top w:val="single" w:sz="12" w:space="0" w:color="auto"/>
            </w:tcBorders>
          </w:tcPr>
          <w:p w14:paraId="39AD2E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Авиаполки:</w:t>
            </w:r>
          </w:p>
        </w:tc>
      </w:tr>
      <w:tr w:rsidR="006F4095" w:rsidRPr="008127F8" w14:paraId="02CDEB51" w14:textId="77777777">
        <w:tblPrEx>
          <w:tblCellMar>
            <w:left w:w="39" w:type="dxa"/>
            <w:right w:w="39" w:type="dxa"/>
          </w:tblCellMar>
        </w:tblPrEx>
        <w:trPr>
          <w:gridAfter w:val="1"/>
          <w:wAfter w:w="21" w:type="dxa"/>
          <w:jc w:val="center"/>
        </w:trPr>
        <w:tc>
          <w:tcPr>
            <w:tcW w:w="780" w:type="dxa"/>
            <w:gridSpan w:val="2"/>
          </w:tcPr>
          <w:p w14:paraId="34709E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Ил-2</w:t>
            </w:r>
          </w:p>
        </w:tc>
        <w:tc>
          <w:tcPr>
            <w:tcW w:w="1908" w:type="dxa"/>
          </w:tcPr>
          <w:p w14:paraId="5F83D2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Як-1, Як-7</w:t>
            </w:r>
          </w:p>
        </w:tc>
        <w:tc>
          <w:tcPr>
            <w:tcW w:w="1155" w:type="dxa"/>
          </w:tcPr>
          <w:p w14:paraId="5F2B6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Лагг-3</w:t>
            </w:r>
          </w:p>
        </w:tc>
        <w:tc>
          <w:tcPr>
            <w:tcW w:w="780" w:type="dxa"/>
          </w:tcPr>
          <w:p w14:paraId="1F7924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Пе-2</w:t>
            </w:r>
          </w:p>
        </w:tc>
        <w:tc>
          <w:tcPr>
            <w:tcW w:w="1720" w:type="dxa"/>
          </w:tcPr>
          <w:p w14:paraId="058616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Харрикейн</w:t>
            </w:r>
          </w:p>
        </w:tc>
        <w:tc>
          <w:tcPr>
            <w:tcW w:w="1720" w:type="dxa"/>
          </w:tcPr>
          <w:p w14:paraId="0421DA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Аэрокобра</w:t>
            </w:r>
          </w:p>
        </w:tc>
        <w:tc>
          <w:tcPr>
            <w:tcW w:w="1435" w:type="dxa"/>
          </w:tcPr>
          <w:p w14:paraId="21D1A5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У-2</w:t>
            </w:r>
          </w:p>
        </w:tc>
      </w:tr>
      <w:tr w:rsidR="006F4095" w:rsidRPr="008127F8" w14:paraId="55408118" w14:textId="77777777">
        <w:tblPrEx>
          <w:tblCellMar>
            <w:left w:w="39" w:type="dxa"/>
            <w:right w:w="39" w:type="dxa"/>
          </w:tblCellMar>
        </w:tblPrEx>
        <w:trPr>
          <w:gridAfter w:val="1"/>
          <w:wAfter w:w="21" w:type="dxa"/>
          <w:jc w:val="center"/>
        </w:trPr>
        <w:tc>
          <w:tcPr>
            <w:tcW w:w="780" w:type="dxa"/>
            <w:gridSpan w:val="2"/>
          </w:tcPr>
          <w:p w14:paraId="30C933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tc>
        <w:tc>
          <w:tcPr>
            <w:tcW w:w="1908" w:type="dxa"/>
          </w:tcPr>
          <w:p w14:paraId="31C9B4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c>
          <w:tcPr>
            <w:tcW w:w="1155" w:type="dxa"/>
          </w:tcPr>
          <w:p w14:paraId="222744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508</w:t>
            </w:r>
          </w:p>
        </w:tc>
        <w:tc>
          <w:tcPr>
            <w:tcW w:w="780" w:type="dxa"/>
          </w:tcPr>
          <w:p w14:paraId="578532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w:t>
            </w:r>
          </w:p>
        </w:tc>
        <w:tc>
          <w:tcPr>
            <w:tcW w:w="1720" w:type="dxa"/>
          </w:tcPr>
          <w:p w14:paraId="2BFF51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c>
          <w:tcPr>
            <w:tcW w:w="1720" w:type="dxa"/>
          </w:tcPr>
          <w:p w14:paraId="7CF651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435" w:type="dxa"/>
          </w:tcPr>
          <w:p w14:paraId="10923D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644</w:t>
            </w:r>
          </w:p>
        </w:tc>
      </w:tr>
      <w:tr w:rsidR="006F4095" w:rsidRPr="008127F8" w14:paraId="72DB0349" w14:textId="77777777">
        <w:tblPrEx>
          <w:tblCellMar>
            <w:left w:w="39" w:type="dxa"/>
            <w:right w:w="39" w:type="dxa"/>
          </w:tblCellMar>
        </w:tblPrEx>
        <w:trPr>
          <w:gridAfter w:val="1"/>
          <w:wAfter w:w="21" w:type="dxa"/>
          <w:jc w:val="center"/>
        </w:trPr>
        <w:tc>
          <w:tcPr>
            <w:tcW w:w="780" w:type="dxa"/>
            <w:gridSpan w:val="2"/>
          </w:tcPr>
          <w:p w14:paraId="26A548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w:t>
            </w:r>
          </w:p>
        </w:tc>
        <w:tc>
          <w:tcPr>
            <w:tcW w:w="1908" w:type="dxa"/>
          </w:tcPr>
          <w:p w14:paraId="2DDE9E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795</w:t>
            </w:r>
          </w:p>
        </w:tc>
        <w:tc>
          <w:tcPr>
            <w:tcW w:w="1155" w:type="dxa"/>
          </w:tcPr>
          <w:p w14:paraId="50791F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tc>
        <w:tc>
          <w:tcPr>
            <w:tcW w:w="780" w:type="dxa"/>
          </w:tcPr>
          <w:p w14:paraId="51B35E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1720" w:type="dxa"/>
          </w:tcPr>
          <w:p w14:paraId="693E8E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436</w:t>
            </w:r>
          </w:p>
        </w:tc>
        <w:tc>
          <w:tcPr>
            <w:tcW w:w="1720" w:type="dxa"/>
          </w:tcPr>
          <w:p w14:paraId="1FDF52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177</w:t>
            </w:r>
          </w:p>
        </w:tc>
        <w:tc>
          <w:tcPr>
            <w:tcW w:w="1435" w:type="dxa"/>
          </w:tcPr>
          <w:p w14:paraId="555D2E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640</w:t>
            </w:r>
          </w:p>
        </w:tc>
      </w:tr>
      <w:tr w:rsidR="006F4095" w:rsidRPr="008127F8" w14:paraId="690923CF" w14:textId="77777777">
        <w:tblPrEx>
          <w:tblCellMar>
            <w:left w:w="39" w:type="dxa"/>
            <w:right w:w="39" w:type="dxa"/>
          </w:tblCellMar>
        </w:tblPrEx>
        <w:trPr>
          <w:gridAfter w:val="1"/>
          <w:wAfter w:w="21" w:type="dxa"/>
          <w:jc w:val="center"/>
        </w:trPr>
        <w:tc>
          <w:tcPr>
            <w:tcW w:w="780" w:type="dxa"/>
            <w:gridSpan w:val="2"/>
          </w:tcPr>
          <w:p w14:paraId="5719FA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w:t>
            </w:r>
          </w:p>
        </w:tc>
        <w:tc>
          <w:tcPr>
            <w:tcW w:w="1908" w:type="dxa"/>
          </w:tcPr>
          <w:p w14:paraId="1A9ECD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286</w:t>
            </w:r>
          </w:p>
        </w:tc>
        <w:tc>
          <w:tcPr>
            <w:tcW w:w="1155" w:type="dxa"/>
          </w:tcPr>
          <w:p w14:paraId="593C1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w:t>
            </w:r>
          </w:p>
        </w:tc>
        <w:tc>
          <w:tcPr>
            <w:tcW w:w="780" w:type="dxa"/>
          </w:tcPr>
          <w:p w14:paraId="70CB0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c>
          <w:tcPr>
            <w:tcW w:w="1720" w:type="dxa"/>
          </w:tcPr>
          <w:p w14:paraId="383066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1720" w:type="dxa"/>
          </w:tcPr>
          <w:p w14:paraId="33D35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p>
        </w:tc>
        <w:tc>
          <w:tcPr>
            <w:tcW w:w="1435" w:type="dxa"/>
          </w:tcPr>
          <w:p w14:paraId="4DE1C3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638</w:t>
            </w:r>
          </w:p>
        </w:tc>
      </w:tr>
      <w:tr w:rsidR="006F4095" w:rsidRPr="008127F8" w14:paraId="2D6B2926" w14:textId="77777777">
        <w:tblPrEx>
          <w:tblCellMar>
            <w:left w:w="39" w:type="dxa"/>
            <w:right w:w="39" w:type="dxa"/>
          </w:tblCellMar>
        </w:tblPrEx>
        <w:trPr>
          <w:gridAfter w:val="1"/>
          <w:wAfter w:w="21" w:type="dxa"/>
          <w:jc w:val="center"/>
        </w:trPr>
        <w:tc>
          <w:tcPr>
            <w:tcW w:w="780" w:type="dxa"/>
            <w:gridSpan w:val="2"/>
          </w:tcPr>
          <w:p w14:paraId="1EAF98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766</w:t>
            </w:r>
          </w:p>
        </w:tc>
        <w:tc>
          <w:tcPr>
            <w:tcW w:w="1908" w:type="dxa"/>
          </w:tcPr>
          <w:p w14:paraId="516F2B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155" w:type="dxa"/>
          </w:tcPr>
          <w:p w14:paraId="30E6BB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437</w:t>
            </w:r>
          </w:p>
        </w:tc>
        <w:tc>
          <w:tcPr>
            <w:tcW w:w="780" w:type="dxa"/>
          </w:tcPr>
          <w:p w14:paraId="1EB60F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720" w:type="dxa"/>
          </w:tcPr>
          <w:p w14:paraId="498438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185</w:t>
            </w:r>
          </w:p>
        </w:tc>
        <w:tc>
          <w:tcPr>
            <w:tcW w:w="1720" w:type="dxa"/>
          </w:tcPr>
          <w:p w14:paraId="707AC8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6C93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645</w:t>
            </w:r>
          </w:p>
        </w:tc>
      </w:tr>
      <w:tr w:rsidR="006F4095" w:rsidRPr="008127F8" w14:paraId="49340EE9" w14:textId="77777777">
        <w:tblPrEx>
          <w:tblCellMar>
            <w:left w:w="39" w:type="dxa"/>
            <w:right w:w="39" w:type="dxa"/>
          </w:tblCellMar>
        </w:tblPrEx>
        <w:trPr>
          <w:gridAfter w:val="1"/>
          <w:wAfter w:w="21" w:type="dxa"/>
          <w:jc w:val="center"/>
        </w:trPr>
        <w:tc>
          <w:tcPr>
            <w:tcW w:w="780" w:type="dxa"/>
            <w:gridSpan w:val="2"/>
          </w:tcPr>
          <w:p w14:paraId="031658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w:t>
            </w:r>
          </w:p>
        </w:tc>
        <w:tc>
          <w:tcPr>
            <w:tcW w:w="1908" w:type="dxa"/>
          </w:tcPr>
          <w:p w14:paraId="0B5185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770</w:t>
            </w:r>
          </w:p>
        </w:tc>
        <w:tc>
          <w:tcPr>
            <w:tcW w:w="1155" w:type="dxa"/>
          </w:tcPr>
          <w:p w14:paraId="516D08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737</w:t>
            </w:r>
          </w:p>
        </w:tc>
        <w:tc>
          <w:tcPr>
            <w:tcW w:w="780" w:type="dxa"/>
          </w:tcPr>
          <w:p w14:paraId="5EECDC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720" w:type="dxa"/>
          </w:tcPr>
          <w:p w14:paraId="3FDCB7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835</w:t>
            </w:r>
          </w:p>
        </w:tc>
        <w:tc>
          <w:tcPr>
            <w:tcW w:w="1720" w:type="dxa"/>
          </w:tcPr>
          <w:p w14:paraId="116EA0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FE63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648</w:t>
            </w:r>
          </w:p>
        </w:tc>
      </w:tr>
      <w:tr w:rsidR="006F4095" w:rsidRPr="008127F8" w14:paraId="627BBB2F" w14:textId="77777777">
        <w:tblPrEx>
          <w:tblCellMar>
            <w:left w:w="39" w:type="dxa"/>
            <w:right w:w="39" w:type="dxa"/>
          </w:tblCellMar>
        </w:tblPrEx>
        <w:trPr>
          <w:gridAfter w:val="1"/>
          <w:wAfter w:w="21" w:type="dxa"/>
          <w:jc w:val="center"/>
        </w:trPr>
        <w:tc>
          <w:tcPr>
            <w:tcW w:w="780" w:type="dxa"/>
            <w:gridSpan w:val="2"/>
          </w:tcPr>
          <w:p w14:paraId="6D2CD2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235</w:t>
            </w:r>
          </w:p>
        </w:tc>
        <w:tc>
          <w:tcPr>
            <w:tcW w:w="1908" w:type="dxa"/>
          </w:tcPr>
          <w:p w14:paraId="6B8A66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155" w:type="dxa"/>
          </w:tcPr>
          <w:p w14:paraId="379C24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w:t>
            </w:r>
          </w:p>
        </w:tc>
        <w:tc>
          <w:tcPr>
            <w:tcW w:w="780" w:type="dxa"/>
          </w:tcPr>
          <w:p w14:paraId="7C27E9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tc>
        <w:tc>
          <w:tcPr>
            <w:tcW w:w="1720" w:type="dxa"/>
          </w:tcPr>
          <w:p w14:paraId="2240E7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837</w:t>
            </w:r>
          </w:p>
        </w:tc>
        <w:tc>
          <w:tcPr>
            <w:tcW w:w="1720" w:type="dxa"/>
          </w:tcPr>
          <w:p w14:paraId="2EF2F4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8C9D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649</w:t>
            </w:r>
          </w:p>
        </w:tc>
      </w:tr>
      <w:tr w:rsidR="006F4095" w:rsidRPr="008127F8" w14:paraId="115CA3C5" w14:textId="77777777">
        <w:tblPrEx>
          <w:tblCellMar>
            <w:left w:w="39" w:type="dxa"/>
            <w:right w:w="39" w:type="dxa"/>
          </w:tblCellMar>
        </w:tblPrEx>
        <w:trPr>
          <w:gridAfter w:val="1"/>
          <w:wAfter w:w="21" w:type="dxa"/>
          <w:jc w:val="center"/>
        </w:trPr>
        <w:tc>
          <w:tcPr>
            <w:tcW w:w="780" w:type="dxa"/>
            <w:gridSpan w:val="2"/>
          </w:tcPr>
          <w:p w14:paraId="3FC8F1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w:t>
            </w:r>
          </w:p>
        </w:tc>
        <w:tc>
          <w:tcPr>
            <w:tcW w:w="1908" w:type="dxa"/>
          </w:tcPr>
          <w:p w14:paraId="1AF735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754</w:t>
            </w:r>
          </w:p>
        </w:tc>
        <w:tc>
          <w:tcPr>
            <w:tcW w:w="1155" w:type="dxa"/>
          </w:tcPr>
          <w:p w14:paraId="18D88F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297</w:t>
            </w:r>
          </w:p>
        </w:tc>
        <w:tc>
          <w:tcPr>
            <w:tcW w:w="780" w:type="dxa"/>
          </w:tcPr>
          <w:p w14:paraId="470FD0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720" w:type="dxa"/>
          </w:tcPr>
          <w:p w14:paraId="44BDD1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839</w:t>
            </w:r>
          </w:p>
        </w:tc>
        <w:tc>
          <w:tcPr>
            <w:tcW w:w="1720" w:type="dxa"/>
          </w:tcPr>
          <w:p w14:paraId="4122CA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B0D8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715</w:t>
            </w:r>
          </w:p>
        </w:tc>
      </w:tr>
      <w:tr w:rsidR="006F4095" w:rsidRPr="008127F8" w14:paraId="61EDB5C5" w14:textId="77777777">
        <w:tblPrEx>
          <w:tblCellMar>
            <w:left w:w="39" w:type="dxa"/>
            <w:right w:w="39" w:type="dxa"/>
          </w:tblCellMar>
        </w:tblPrEx>
        <w:trPr>
          <w:gridAfter w:val="1"/>
          <w:wAfter w:w="21" w:type="dxa"/>
          <w:jc w:val="center"/>
        </w:trPr>
        <w:tc>
          <w:tcPr>
            <w:tcW w:w="780" w:type="dxa"/>
            <w:gridSpan w:val="2"/>
          </w:tcPr>
          <w:p w14:paraId="2A036F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606</w:t>
            </w:r>
          </w:p>
        </w:tc>
        <w:tc>
          <w:tcPr>
            <w:tcW w:w="1908" w:type="dxa"/>
          </w:tcPr>
          <w:p w14:paraId="60DCE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237</w:t>
            </w:r>
          </w:p>
        </w:tc>
        <w:tc>
          <w:tcPr>
            <w:tcW w:w="1155" w:type="dxa"/>
          </w:tcPr>
          <w:p w14:paraId="15CE29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780" w:type="dxa"/>
          </w:tcPr>
          <w:p w14:paraId="210E22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720" w:type="dxa"/>
          </w:tcPr>
          <w:p w14:paraId="365228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841</w:t>
            </w:r>
          </w:p>
        </w:tc>
        <w:tc>
          <w:tcPr>
            <w:tcW w:w="1720" w:type="dxa"/>
          </w:tcPr>
          <w:p w14:paraId="08E731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6C68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714</w:t>
            </w:r>
          </w:p>
        </w:tc>
      </w:tr>
      <w:tr w:rsidR="006F4095" w:rsidRPr="008127F8" w14:paraId="2E3147C9" w14:textId="77777777">
        <w:tblPrEx>
          <w:tblCellMar>
            <w:left w:w="39" w:type="dxa"/>
            <w:right w:w="39" w:type="dxa"/>
          </w:tblCellMar>
        </w:tblPrEx>
        <w:trPr>
          <w:gridAfter w:val="1"/>
          <w:wAfter w:w="21" w:type="dxa"/>
          <w:jc w:val="center"/>
        </w:trPr>
        <w:tc>
          <w:tcPr>
            <w:tcW w:w="780" w:type="dxa"/>
            <w:gridSpan w:val="2"/>
          </w:tcPr>
          <w:p w14:paraId="776320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61</w:t>
            </w:r>
          </w:p>
        </w:tc>
        <w:tc>
          <w:tcPr>
            <w:tcW w:w="1908" w:type="dxa"/>
          </w:tcPr>
          <w:p w14:paraId="30E4C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513</w:t>
            </w:r>
          </w:p>
        </w:tc>
        <w:tc>
          <w:tcPr>
            <w:tcW w:w="1155" w:type="dxa"/>
          </w:tcPr>
          <w:p w14:paraId="53BA9A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509</w:t>
            </w:r>
          </w:p>
        </w:tc>
        <w:tc>
          <w:tcPr>
            <w:tcW w:w="780" w:type="dxa"/>
          </w:tcPr>
          <w:p w14:paraId="38BEBE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w:t>
            </w:r>
          </w:p>
        </w:tc>
        <w:tc>
          <w:tcPr>
            <w:tcW w:w="1720" w:type="dxa"/>
          </w:tcPr>
          <w:p w14:paraId="088D4A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831</w:t>
            </w:r>
          </w:p>
        </w:tc>
        <w:tc>
          <w:tcPr>
            <w:tcW w:w="1720" w:type="dxa"/>
          </w:tcPr>
          <w:p w14:paraId="2F69DB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0732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6B8CEBD" w14:textId="77777777">
        <w:tblPrEx>
          <w:tblCellMar>
            <w:left w:w="39" w:type="dxa"/>
            <w:right w:w="39" w:type="dxa"/>
          </w:tblCellMar>
        </w:tblPrEx>
        <w:trPr>
          <w:gridAfter w:val="1"/>
          <w:wAfter w:w="21" w:type="dxa"/>
          <w:jc w:val="center"/>
        </w:trPr>
        <w:tc>
          <w:tcPr>
            <w:tcW w:w="780" w:type="dxa"/>
            <w:gridSpan w:val="2"/>
          </w:tcPr>
          <w:p w14:paraId="339BB1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w:t>
            </w:r>
          </w:p>
        </w:tc>
        <w:tc>
          <w:tcPr>
            <w:tcW w:w="1908" w:type="dxa"/>
          </w:tcPr>
          <w:p w14:paraId="76F280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283</w:t>
            </w:r>
          </w:p>
        </w:tc>
        <w:tc>
          <w:tcPr>
            <w:tcW w:w="1155" w:type="dxa"/>
          </w:tcPr>
          <w:p w14:paraId="5034FF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272</w:t>
            </w:r>
          </w:p>
        </w:tc>
        <w:tc>
          <w:tcPr>
            <w:tcW w:w="780" w:type="dxa"/>
          </w:tcPr>
          <w:p w14:paraId="1C3ADD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793</w:t>
            </w:r>
          </w:p>
        </w:tc>
        <w:tc>
          <w:tcPr>
            <w:tcW w:w="1720" w:type="dxa"/>
          </w:tcPr>
          <w:p w14:paraId="1940A4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832</w:t>
            </w:r>
          </w:p>
        </w:tc>
        <w:tc>
          <w:tcPr>
            <w:tcW w:w="1720" w:type="dxa"/>
          </w:tcPr>
          <w:p w14:paraId="5FEFF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D392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B5C1A6" w14:textId="77777777">
        <w:tblPrEx>
          <w:tblCellMar>
            <w:left w:w="39" w:type="dxa"/>
            <w:right w:w="39" w:type="dxa"/>
          </w:tblCellMar>
        </w:tblPrEx>
        <w:trPr>
          <w:gridAfter w:val="1"/>
          <w:wAfter w:w="21" w:type="dxa"/>
          <w:jc w:val="center"/>
        </w:trPr>
        <w:tc>
          <w:tcPr>
            <w:tcW w:w="780" w:type="dxa"/>
            <w:gridSpan w:val="2"/>
          </w:tcPr>
          <w:p w14:paraId="6AE002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593</w:t>
            </w:r>
          </w:p>
        </w:tc>
        <w:tc>
          <w:tcPr>
            <w:tcW w:w="1908" w:type="dxa"/>
          </w:tcPr>
          <w:p w14:paraId="2EC9DA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183</w:t>
            </w:r>
          </w:p>
        </w:tc>
        <w:tc>
          <w:tcPr>
            <w:tcW w:w="1155" w:type="dxa"/>
          </w:tcPr>
          <w:p w14:paraId="10C899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780" w:type="dxa"/>
          </w:tcPr>
          <w:p w14:paraId="7AB7D7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745</w:t>
            </w:r>
          </w:p>
        </w:tc>
        <w:tc>
          <w:tcPr>
            <w:tcW w:w="1720" w:type="dxa"/>
          </w:tcPr>
          <w:p w14:paraId="79DD6B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3E7A52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CA3D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Томагаук</w:t>
            </w:r>
          </w:p>
        </w:tc>
      </w:tr>
      <w:tr w:rsidR="006F4095" w:rsidRPr="008127F8" w14:paraId="08C7F987" w14:textId="77777777">
        <w:tblPrEx>
          <w:tblCellMar>
            <w:left w:w="39" w:type="dxa"/>
            <w:right w:w="39" w:type="dxa"/>
          </w:tblCellMar>
        </w:tblPrEx>
        <w:trPr>
          <w:gridAfter w:val="1"/>
          <w:wAfter w:w="21" w:type="dxa"/>
          <w:jc w:val="center"/>
        </w:trPr>
        <w:tc>
          <w:tcPr>
            <w:tcW w:w="780" w:type="dxa"/>
            <w:gridSpan w:val="2"/>
          </w:tcPr>
          <w:p w14:paraId="59D2EB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569</w:t>
            </w:r>
          </w:p>
        </w:tc>
        <w:tc>
          <w:tcPr>
            <w:tcW w:w="1908" w:type="dxa"/>
          </w:tcPr>
          <w:p w14:paraId="0BA254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822</w:t>
            </w:r>
          </w:p>
        </w:tc>
        <w:tc>
          <w:tcPr>
            <w:tcW w:w="1155" w:type="dxa"/>
          </w:tcPr>
          <w:p w14:paraId="6DA14C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w:t>
            </w:r>
          </w:p>
        </w:tc>
        <w:tc>
          <w:tcPr>
            <w:tcW w:w="780" w:type="dxa"/>
          </w:tcPr>
          <w:p w14:paraId="5FF48E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440AAB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685964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87D44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p>
        </w:tc>
      </w:tr>
      <w:tr w:rsidR="006F4095" w:rsidRPr="008127F8" w14:paraId="71E73968" w14:textId="77777777">
        <w:tblPrEx>
          <w:tblCellMar>
            <w:left w:w="39" w:type="dxa"/>
            <w:right w:w="39" w:type="dxa"/>
          </w:tblCellMar>
        </w:tblPrEx>
        <w:trPr>
          <w:gridAfter w:val="1"/>
          <w:wAfter w:w="21" w:type="dxa"/>
          <w:jc w:val="center"/>
        </w:trPr>
        <w:tc>
          <w:tcPr>
            <w:tcW w:w="780" w:type="dxa"/>
            <w:gridSpan w:val="2"/>
          </w:tcPr>
          <w:p w14:paraId="7ABC73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w:t>
            </w:r>
          </w:p>
        </w:tc>
        <w:tc>
          <w:tcPr>
            <w:tcW w:w="1908" w:type="dxa"/>
          </w:tcPr>
          <w:p w14:paraId="2AAF9B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155" w:type="dxa"/>
          </w:tcPr>
          <w:p w14:paraId="2DDC39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791</w:t>
            </w:r>
          </w:p>
        </w:tc>
        <w:tc>
          <w:tcPr>
            <w:tcW w:w="780" w:type="dxa"/>
          </w:tcPr>
          <w:p w14:paraId="74A380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3F8E9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5D20D7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F480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BAE6B1" w14:textId="77777777">
        <w:tblPrEx>
          <w:tblCellMar>
            <w:left w:w="39" w:type="dxa"/>
            <w:right w:w="39" w:type="dxa"/>
          </w:tblCellMar>
        </w:tblPrEx>
        <w:trPr>
          <w:gridAfter w:val="1"/>
          <w:wAfter w:w="21" w:type="dxa"/>
          <w:jc w:val="center"/>
        </w:trPr>
        <w:tc>
          <w:tcPr>
            <w:tcW w:w="780" w:type="dxa"/>
            <w:gridSpan w:val="2"/>
          </w:tcPr>
          <w:p w14:paraId="4E9247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237</w:t>
            </w:r>
          </w:p>
        </w:tc>
        <w:tc>
          <w:tcPr>
            <w:tcW w:w="1908" w:type="dxa"/>
          </w:tcPr>
          <w:p w14:paraId="5CDD9C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632</w:t>
            </w:r>
          </w:p>
        </w:tc>
        <w:tc>
          <w:tcPr>
            <w:tcW w:w="1155" w:type="dxa"/>
          </w:tcPr>
          <w:p w14:paraId="3CD042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792</w:t>
            </w:r>
          </w:p>
        </w:tc>
        <w:tc>
          <w:tcPr>
            <w:tcW w:w="780" w:type="dxa"/>
          </w:tcPr>
          <w:p w14:paraId="1CA58D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16450C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720567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6EDA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FD4F46" w14:textId="77777777">
        <w:tblPrEx>
          <w:tblCellMar>
            <w:left w:w="39" w:type="dxa"/>
            <w:right w:w="39" w:type="dxa"/>
          </w:tblCellMar>
        </w:tblPrEx>
        <w:trPr>
          <w:gridAfter w:val="1"/>
          <w:wAfter w:w="21" w:type="dxa"/>
          <w:jc w:val="center"/>
        </w:trPr>
        <w:tc>
          <w:tcPr>
            <w:tcW w:w="780" w:type="dxa"/>
            <w:gridSpan w:val="2"/>
          </w:tcPr>
          <w:p w14:paraId="0C30D8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w:t>
            </w:r>
          </w:p>
        </w:tc>
        <w:tc>
          <w:tcPr>
            <w:tcW w:w="1908" w:type="dxa"/>
          </w:tcPr>
          <w:p w14:paraId="48F971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p>
        </w:tc>
        <w:tc>
          <w:tcPr>
            <w:tcW w:w="1155" w:type="dxa"/>
          </w:tcPr>
          <w:p w14:paraId="248838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274</w:t>
            </w:r>
          </w:p>
        </w:tc>
        <w:tc>
          <w:tcPr>
            <w:tcW w:w="780" w:type="dxa"/>
          </w:tcPr>
          <w:p w14:paraId="18E4B8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198771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7C2A5F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0B19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290C02" w14:textId="77777777">
        <w:tblPrEx>
          <w:tblCellMar>
            <w:left w:w="39" w:type="dxa"/>
            <w:right w:w="39" w:type="dxa"/>
          </w:tblCellMar>
        </w:tblPrEx>
        <w:trPr>
          <w:gridAfter w:val="1"/>
          <w:wAfter w:w="21" w:type="dxa"/>
          <w:jc w:val="center"/>
        </w:trPr>
        <w:tc>
          <w:tcPr>
            <w:tcW w:w="780" w:type="dxa"/>
            <w:gridSpan w:val="2"/>
          </w:tcPr>
          <w:p w14:paraId="68D714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571</w:t>
            </w:r>
          </w:p>
        </w:tc>
        <w:tc>
          <w:tcPr>
            <w:tcW w:w="1908" w:type="dxa"/>
          </w:tcPr>
          <w:p w14:paraId="1E4164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c>
          <w:tcPr>
            <w:tcW w:w="1155" w:type="dxa"/>
          </w:tcPr>
          <w:p w14:paraId="4DAED9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780" w:type="dxa"/>
          </w:tcPr>
          <w:p w14:paraId="47CA2C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321653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1D882E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666B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61D538A" w14:textId="77777777">
        <w:tblPrEx>
          <w:tblCellMar>
            <w:left w:w="39" w:type="dxa"/>
            <w:right w:w="39" w:type="dxa"/>
          </w:tblCellMar>
        </w:tblPrEx>
        <w:trPr>
          <w:gridAfter w:val="1"/>
          <w:wAfter w:w="21" w:type="dxa"/>
          <w:jc w:val="center"/>
        </w:trPr>
        <w:tc>
          <w:tcPr>
            <w:tcW w:w="780" w:type="dxa"/>
            <w:gridSpan w:val="2"/>
            <w:tcBorders>
              <w:bottom w:val="single" w:sz="12" w:space="0" w:color="auto"/>
            </w:tcBorders>
          </w:tcPr>
          <w:p w14:paraId="51BE90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505</w:t>
            </w:r>
          </w:p>
        </w:tc>
        <w:tc>
          <w:tcPr>
            <w:tcW w:w="1908" w:type="dxa"/>
            <w:tcBorders>
              <w:bottom w:val="single" w:sz="12" w:space="0" w:color="auto"/>
            </w:tcBorders>
          </w:tcPr>
          <w:p w14:paraId="16CBAD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Borders>
              <w:bottom w:val="single" w:sz="12" w:space="0" w:color="auto"/>
            </w:tcBorders>
          </w:tcPr>
          <w:p w14:paraId="1ECC88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27A637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Borders>
              <w:bottom w:val="single" w:sz="12" w:space="0" w:color="auto"/>
            </w:tcBorders>
          </w:tcPr>
          <w:p w14:paraId="2EA6C4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Borders>
              <w:bottom w:val="single" w:sz="12" w:space="0" w:color="auto"/>
            </w:tcBorders>
          </w:tcPr>
          <w:p w14:paraId="4EDD7F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Borders>
              <w:bottom w:val="single" w:sz="12" w:space="0" w:color="auto"/>
            </w:tcBorders>
          </w:tcPr>
          <w:p w14:paraId="2268B6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E1A92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Верно: Хряпкина (11434).</w:t>
      </w:r>
    </w:p>
    <w:p w14:paraId="6C7E88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13C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 1613 О строительстве взлетно-посадочных полос для ВВС Тихоокеанского флота. РГАНИР, Фонд ГКО, д. 31, лл. 57, 58 (11012).</w:t>
      </w:r>
    </w:p>
    <w:p w14:paraId="408A62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9E4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 1615 О перераспределении оборудования между заводами НКВ. РГАНИР, Фонд ГКО, д. 31, лл. 61, 62-63 (11012).</w:t>
      </w:r>
    </w:p>
    <w:p w14:paraId="02E0F2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784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вышло Постановление ГКО № 1616 Об организации заготовок крепежного леса в ближайших районах к Подмосковному и Донецкому угольным бассейнам в 1942 году. РГАНИР, Фонд ГКО, д. 31, лл. 64-69, 70-71 (11012).</w:t>
      </w:r>
    </w:p>
    <w:p w14:paraId="233A3B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ABCF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Одна из наиболее вероятных дат гибели командующего 33-й армии М.Г.Ефремова недалеко от пос. Тибекино Угранского р-на Смоленской обл. (в то время)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2D2F25F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0E7C4" w14:textId="77777777" w:rsidR="00A710B3"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D57F04D" w14:textId="77777777" w:rsidR="00A710B3" w:rsidRPr="008127F8" w:rsidRDefault="00A710B3"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AAB4F8" w14:textId="77777777" w:rsidR="00D21962" w:rsidRPr="008127F8" w:rsidRDefault="00D2196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в 1942 году опубликовано сообщение: Государственный военный заем размещен в течение 2 дней с перевыполнением на 68 млн руб (15102).</w:t>
      </w:r>
    </w:p>
    <w:p w14:paraId="5CED5AF8" w14:textId="77777777" w:rsidR="00D21962" w:rsidRPr="008127F8" w:rsidRDefault="00D21962" w:rsidP="001E0A84">
      <w:pPr>
        <w:spacing w:after="0" w:line="240" w:lineRule="auto"/>
        <w:jc w:val="both"/>
        <w:rPr>
          <w:rFonts w:ascii="Times New Roman" w:hAnsi="Times New Roman"/>
          <w:color w:val="000000" w:themeColor="text1"/>
          <w:sz w:val="16"/>
          <w:szCs w:val="16"/>
        </w:rPr>
      </w:pPr>
    </w:p>
    <w:p w14:paraId="18C7C3D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2B20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6DC831" w14:textId="77777777" w:rsidR="00D21962" w:rsidRPr="008127F8" w:rsidRDefault="00D2196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в 1942 году завершилось рассмотрение полноразмерного макета истребителя бомбардировщиков ХР-67» макетной комиссией. В результате ее работы в конструкцию были внесены следующие основные изменения: носовую часть удлинили на 380 мм, полностью изменили схему шасси (вместо крыла основные стойки стали убираться в мотогондолы), а рулевые тяги заменили тросовой проводкой (15102).</w:t>
      </w:r>
    </w:p>
    <w:p w14:paraId="65A5C6FB" w14:textId="77777777" w:rsidR="00D21962" w:rsidRPr="008127F8" w:rsidRDefault="00D21962" w:rsidP="001E0A84">
      <w:pPr>
        <w:spacing w:after="0" w:line="240" w:lineRule="auto"/>
        <w:jc w:val="both"/>
        <w:rPr>
          <w:rFonts w:ascii="Times New Roman" w:hAnsi="Times New Roman"/>
          <w:color w:val="000000" w:themeColor="text1"/>
          <w:sz w:val="16"/>
          <w:szCs w:val="16"/>
        </w:rPr>
      </w:pPr>
    </w:p>
    <w:p w14:paraId="23CF7A74" w14:textId="77777777" w:rsidR="00D21962" w:rsidRPr="008127F8" w:rsidRDefault="00D2196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в 1942 году атака шестью самолетами "Ланкастер" из 44-й и 97-й эскадрилий завода «MAN» в Аугсбурге, где выпускались дизели для подводных лодок. Этот налет стал первым, которому была придана публичная известность. Первым, но не очень удачным, так как задание выполнялось днем на малой высоте в сомкнутом строю, и потери были предельно велики - из 12 самолетов 7 не вернулись (15102).</w:t>
      </w:r>
    </w:p>
    <w:p w14:paraId="699983DD" w14:textId="77777777" w:rsidR="00D21962" w:rsidRPr="008127F8" w:rsidRDefault="00D21962" w:rsidP="001E0A84">
      <w:pPr>
        <w:spacing w:after="0" w:line="240" w:lineRule="auto"/>
        <w:jc w:val="both"/>
        <w:rPr>
          <w:rFonts w:ascii="Times New Roman" w:hAnsi="Times New Roman"/>
          <w:color w:val="000000" w:themeColor="text1"/>
          <w:sz w:val="16"/>
          <w:szCs w:val="16"/>
        </w:rPr>
      </w:pPr>
    </w:p>
    <w:p w14:paraId="33A9A2B1"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апреля 1942 двенадцать Avro Lancaster - шесть каждый из эскадрона № 44 (Родезия) и шесть и № 97 Squadron проводят длинное проникновение на небольшрй высоте в рамках первого во время Второй мировой войны дневного налета на завод дизельных двигателей для подводных лодок в Аугсбурге, Германия. Две эскадрильи не могут встретиться, и четыре Ланкастера из 44-й эскадрильи бомбардировщиков, возглавляемые командиром эскадрильи ВВС ЮАР Джоном Дерингом Нетлтоном, сбиты немецкими истребителями вскоре после пересечения Северного моря, но Нетлтон продолжает </w:t>
      </w:r>
      <w:proofErr w:type="gramStart"/>
      <w:r w:rsidRPr="008127F8">
        <w:rPr>
          <w:rFonts w:ascii="Times New Roman" w:hAnsi="Times New Roman"/>
          <w:color w:val="000000" w:themeColor="text1"/>
          <w:sz w:val="16"/>
          <w:szCs w:val="16"/>
        </w:rPr>
        <w:t>полет  с</w:t>
      </w:r>
      <w:proofErr w:type="gramEnd"/>
      <w:r w:rsidRPr="008127F8">
        <w:rPr>
          <w:rFonts w:ascii="Times New Roman" w:hAnsi="Times New Roman"/>
          <w:color w:val="000000" w:themeColor="text1"/>
          <w:sz w:val="16"/>
          <w:szCs w:val="16"/>
        </w:rPr>
        <w:t xml:space="preserve"> двумя выжившими Ланкастерами. и атакует цель под сильным огнем зенитной артиллерии. За выполнение задания он награжден Крестом Виктории. 97-я эскадрилья теряет одного Ланкастера (20793).</w:t>
      </w:r>
    </w:p>
    <w:p w14:paraId="0DD33CFE" w14:textId="77777777" w:rsidR="0037361C" w:rsidRPr="008127F8" w:rsidRDefault="0037361C" w:rsidP="001E0A84">
      <w:pPr>
        <w:spacing w:after="0" w:line="240" w:lineRule="auto"/>
        <w:jc w:val="both"/>
        <w:rPr>
          <w:rFonts w:ascii="Times New Roman" w:hAnsi="Times New Roman"/>
          <w:color w:val="000000" w:themeColor="text1"/>
          <w:sz w:val="16"/>
          <w:szCs w:val="16"/>
        </w:rPr>
      </w:pPr>
    </w:p>
    <w:p w14:paraId="4164995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апреля 1942 французский генерал Анри Жиро сбежал из немецкого лагеря военнопленных в Саксонии (вскоре он появился в Швейцарии) (4962).</w:t>
      </w:r>
    </w:p>
    <w:p w14:paraId="4B5A7EB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BBCE2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4DFA2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757201"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18 апреля 1942 начальник НИИ ВВС бригинженер Федоров подписал Акт по результатам испытаний Ил-2 М-82 и заключение к нему. Спустя пять дней - 23 апреля, по представлению заместителя начальника ГУ ВВС генерал-лейтенанта Петрова акт утвердил командующий ВВС КА генерал-лейтенант Новиков.</w:t>
      </w:r>
    </w:p>
    <w:p w14:paraId="1EA380E8" w14:textId="77777777" w:rsidR="00DB1913" w:rsidRPr="008127F8" w:rsidRDefault="00DB1913"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уже на следующий день Новикову на стол лег отчет НИИ ВВС по результатам государственных испытаний опытного штурмовика Су-6 конструкции ОКБ Сухого с мотором М-71, Из материа</w:t>
      </w:r>
      <w:r w:rsidRPr="008127F8">
        <w:rPr>
          <w:rFonts w:ascii="Times New Roman" w:hAnsi="Times New Roman"/>
          <w:color w:val="000000" w:themeColor="text1"/>
          <w:sz w:val="16"/>
          <w:szCs w:val="16"/>
        </w:rPr>
        <w:softHyphen/>
        <w:t>лов отчета следовало, что с нормальной боевой нагрузкой (10 РС-132,200 кг бомб, 2 пушки ВЯ и 4 ШКАС с боеком</w:t>
      </w:r>
      <w:r w:rsidRPr="008127F8">
        <w:rPr>
          <w:rFonts w:ascii="Times New Roman" w:hAnsi="Times New Roman"/>
          <w:color w:val="000000" w:themeColor="text1"/>
          <w:sz w:val="16"/>
          <w:szCs w:val="16"/>
        </w:rPr>
        <w:softHyphen/>
        <w:t>плектом) Су-6 М-71 по определяющим летно-боевым качествам значительно превосходит и серийный Ил-2 АМ-38, и опытный Ил-2 М-82. Максимальная ско</w:t>
      </w:r>
      <w:r w:rsidRPr="008127F8">
        <w:rPr>
          <w:rFonts w:ascii="Times New Roman" w:hAnsi="Times New Roman"/>
          <w:color w:val="000000" w:themeColor="text1"/>
          <w:sz w:val="16"/>
          <w:szCs w:val="16"/>
        </w:rPr>
        <w:softHyphen/>
        <w:t>рость у земли достигала 445 км/ч (496 км/ч на форсаже). Весьма важным пре</w:t>
      </w:r>
      <w:r w:rsidRPr="008127F8">
        <w:rPr>
          <w:rFonts w:ascii="Times New Roman" w:hAnsi="Times New Roman"/>
          <w:color w:val="000000" w:themeColor="text1"/>
          <w:sz w:val="16"/>
          <w:szCs w:val="16"/>
        </w:rPr>
        <w:softHyphen/>
        <w:t>имуществом Су-6 М-71 являлись более высокие величины диапазона рабочих скоростей, маневренной перегрузки и приемистости. На Су-6 появлялась возможность практически реализовать метод атаки цели с форсированного боевого разворота со средних высот. Резко возрастала эффективность ударов (улучшались условия прицеливания, стрельбы и бомбометания) и одновре</w:t>
      </w:r>
      <w:r w:rsidRPr="008127F8">
        <w:rPr>
          <w:rFonts w:ascii="Times New Roman" w:hAnsi="Times New Roman"/>
          <w:color w:val="000000" w:themeColor="text1"/>
          <w:sz w:val="16"/>
          <w:szCs w:val="16"/>
        </w:rPr>
        <w:softHyphen/>
        <w:t>менно уменьшалась вероятность сбития огнем зенитной артиллерии противника. За боевой разворот с высоты 100-200 м самолет с нормальной боевой нагрузкой выходил на рабочую высоту для атаки цели - 600-800 м. При этом боевой разворот выполнялся за минимальное время. На начальном этапе маневр получался энергичным и с высокой перегрузкой, а достаточно большой угол крена в конце боевого разворота позволял более интенсивно выполнять участок ввода самолета в пикирование. Продолжительность атаки и простран</w:t>
      </w:r>
      <w:r w:rsidRPr="008127F8">
        <w:rPr>
          <w:rFonts w:ascii="Times New Roman" w:hAnsi="Times New Roman"/>
          <w:color w:val="000000" w:themeColor="text1"/>
          <w:sz w:val="16"/>
          <w:szCs w:val="16"/>
        </w:rPr>
        <w:softHyphen/>
        <w:t>ственный размах круга сокращались. Все это вместе взятое затрудняло зенитным расчетам противника вести прицельный огонь.</w:t>
      </w:r>
    </w:p>
    <w:p w14:paraId="01951788"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По всему выходило, что Су-6 М-71 </w:t>
      </w:r>
      <w:proofErr w:type="gramStart"/>
      <w:r w:rsidRPr="008127F8">
        <w:rPr>
          <w:rFonts w:ascii="Times New Roman" w:hAnsi="Times New Roman" w:cs="Times New Roman"/>
          <w:color w:val="000000" w:themeColor="text1"/>
          <w:sz w:val="16"/>
          <w:szCs w:val="16"/>
        </w:rPr>
        <w:t>- это</w:t>
      </w:r>
      <w:proofErr w:type="gramEnd"/>
      <w:r w:rsidRPr="008127F8">
        <w:rPr>
          <w:rFonts w:ascii="Times New Roman" w:hAnsi="Times New Roman" w:cs="Times New Roman"/>
          <w:color w:val="000000" w:themeColor="text1"/>
          <w:sz w:val="16"/>
          <w:szCs w:val="16"/>
        </w:rPr>
        <w:t xml:space="preserve"> тот штурмовик, который крайне необходим ВВС КА на фронте. К этому времени Управление опытного строи</w:t>
      </w:r>
      <w:r w:rsidRPr="008127F8">
        <w:rPr>
          <w:rFonts w:ascii="Times New Roman" w:hAnsi="Times New Roman" w:cs="Times New Roman"/>
          <w:color w:val="000000" w:themeColor="text1"/>
          <w:sz w:val="16"/>
          <w:szCs w:val="16"/>
        </w:rPr>
        <w:softHyphen/>
        <w:t>тельства ГУ И АС ВВС уже проработало вопрос о выпуске опытной серии Су-6 М-71 в количестве 25 самолетов для проведения фронтовых испытаний и подготовило проект соответствующего постановления ГКО.</w:t>
      </w:r>
    </w:p>
    <w:p w14:paraId="4FB46850"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Однако еще был двухместный Ил-2 М-82 и утвержденная накануне рекомен</w:t>
      </w:r>
      <w:r w:rsidRPr="008127F8">
        <w:rPr>
          <w:rFonts w:ascii="Times New Roman" w:hAnsi="Times New Roman" w:cs="Times New Roman"/>
          <w:color w:val="000000" w:themeColor="text1"/>
          <w:sz w:val="16"/>
          <w:szCs w:val="16"/>
        </w:rPr>
        <w:softHyphen/>
        <w:t>дация по его внедрению в серию. Получа</w:t>
      </w:r>
      <w:r w:rsidRPr="008127F8">
        <w:rPr>
          <w:rFonts w:ascii="Times New Roman" w:hAnsi="Times New Roman" w:cs="Times New Roman"/>
          <w:color w:val="000000" w:themeColor="text1"/>
          <w:sz w:val="16"/>
          <w:szCs w:val="16"/>
        </w:rPr>
        <w:softHyphen/>
        <w:t>лось так, что если ставить на вооружение Ил-2 М-82, то шансы запустить большую серию Су-6 М-71 сводились к нулю. Производственные мощности завода № 19, который собирал М-82 и М-71, все же были не безграничными.</w:t>
      </w:r>
    </w:p>
    <w:p w14:paraId="5712AFD6"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Здесь следует учитывать, что в это время на заводе № 21 в Горьком успешно проходил испытания модернизированный в ОКБ Лавочкина истребитель ЛаГГ-3 с мотором М-82 (будущий Ла-5), летные данные которого были выше, чем у ЛаГГ-3 с мотором М-105П. Предполагался запуск самолета в массовое производство.</w:t>
      </w:r>
    </w:p>
    <w:p w14:paraId="02F083D5"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Оценив обстановку, Новиков утвер</w:t>
      </w:r>
      <w:r w:rsidRPr="008127F8">
        <w:rPr>
          <w:rFonts w:ascii="Times New Roman" w:hAnsi="Times New Roman" w:cs="Times New Roman"/>
          <w:color w:val="000000" w:themeColor="text1"/>
          <w:sz w:val="16"/>
          <w:szCs w:val="16"/>
        </w:rPr>
        <w:softHyphen/>
        <w:t>ждает акт по государственным испыта</w:t>
      </w:r>
      <w:r w:rsidRPr="008127F8">
        <w:rPr>
          <w:rFonts w:ascii="Times New Roman" w:hAnsi="Times New Roman" w:cs="Times New Roman"/>
          <w:color w:val="000000" w:themeColor="text1"/>
          <w:sz w:val="16"/>
          <w:szCs w:val="16"/>
        </w:rPr>
        <w:softHyphen/>
        <w:t>ниям Су-6 М-71 и одновременно выносит на рассмотрение Военного Совета ВВС КА вопрос о серийном выпуске двухместного Ил-2 с М-82, где по самолету принимается отрицательное решение.</w:t>
      </w:r>
    </w:p>
    <w:p w14:paraId="5FFE22BF"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постановлении Военного Совета ВВС КА от 25 апреля 1942 г. «О резуль</w:t>
      </w:r>
      <w:r w:rsidRPr="008127F8">
        <w:rPr>
          <w:rFonts w:ascii="Times New Roman" w:hAnsi="Times New Roman" w:cs="Times New Roman"/>
          <w:color w:val="000000" w:themeColor="text1"/>
          <w:sz w:val="16"/>
          <w:szCs w:val="16"/>
        </w:rPr>
        <w:softHyphen/>
        <w:t>татах государственных испытаний двух</w:t>
      </w:r>
      <w:r w:rsidRPr="008127F8">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8127F8">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3387E536"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8127F8">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7F7121B4" w14:textId="77777777" w:rsidR="00DB1913" w:rsidRPr="008127F8" w:rsidRDefault="00DB1913"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226F5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И.В.С. писал записку "Поручить тт. А.И.Ш. и Щербакову в срочном порядке пустить в ход авиазавод N 23 для производства самолетов Ил-4.</w:t>
      </w:r>
    </w:p>
    <w:p w14:paraId="1BA3D8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Доклад тт. И.В.С. и Молотову через каждые 2 дня. Пред. ГКО." (1651,252).</w:t>
      </w:r>
    </w:p>
    <w:p w14:paraId="77C22D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BA49B"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апреля 1942 г. была записка И.В. Сталина членам ГКО, которая стала прямым указанием о нормализации положения на заводе № 82:</w:t>
      </w:r>
    </w:p>
    <w:p w14:paraId="6E669D5B"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Поручить Берия, Микояну и Маленкову в срочном порядке мобилизовать необходимое оборудование для завода №82 (производство самолетов Як-7) с тем, что</w:t>
      </w:r>
      <w:r w:rsidRPr="008A2E5A">
        <w:rPr>
          <w:rFonts w:ascii="Times New Roman" w:hAnsi="Times New Roman"/>
          <w:color w:val="0070C0"/>
          <w:sz w:val="16"/>
          <w:szCs w:val="16"/>
        </w:rPr>
        <w:softHyphen/>
        <w:t>бы армия могла в минимально сжатые сроки получить са</w:t>
      </w:r>
      <w:r w:rsidRPr="008A2E5A">
        <w:rPr>
          <w:rFonts w:ascii="Times New Roman" w:hAnsi="Times New Roman"/>
          <w:color w:val="0070C0"/>
          <w:sz w:val="16"/>
          <w:szCs w:val="16"/>
        </w:rPr>
        <w:softHyphen/>
        <w:t>молеты Як-7.</w:t>
      </w:r>
    </w:p>
    <w:p w14:paraId="71AF9E19"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Доклад Сталину и Молотову через каждые 4 дня».</w:t>
      </w:r>
    </w:p>
    <w:p w14:paraId="7951109A"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начал пополняться оборудованием и кадрами. Некоторое количество станков, оснастки и оборудования для производства истребителей Як перевели с заво</w:t>
      </w:r>
      <w:r w:rsidRPr="008A2E5A">
        <w:rPr>
          <w:rFonts w:ascii="Times New Roman" w:hAnsi="Times New Roman"/>
          <w:color w:val="0070C0"/>
          <w:sz w:val="16"/>
          <w:szCs w:val="16"/>
        </w:rPr>
        <w:softHyphen/>
        <w:t>да №23, часть оборудования пере</w:t>
      </w:r>
      <w:r w:rsidRPr="008A2E5A">
        <w:rPr>
          <w:rFonts w:ascii="Times New Roman" w:hAnsi="Times New Roman"/>
          <w:color w:val="0070C0"/>
          <w:sz w:val="16"/>
          <w:szCs w:val="16"/>
        </w:rPr>
        <w:softHyphen/>
        <w:t>везли с завода №135 в Молотове. Остальные станки завод получил из ресурсов НКАП. Кадровый со</w:t>
      </w:r>
      <w:r w:rsidRPr="008A2E5A">
        <w:rPr>
          <w:rFonts w:ascii="Times New Roman" w:hAnsi="Times New Roman"/>
          <w:color w:val="0070C0"/>
          <w:sz w:val="16"/>
          <w:szCs w:val="16"/>
        </w:rPr>
        <w:softHyphen/>
        <w:t>став из рабочих и ИТР, переведен</w:t>
      </w:r>
      <w:r w:rsidRPr="008A2E5A">
        <w:rPr>
          <w:rFonts w:ascii="Times New Roman" w:hAnsi="Times New Roman"/>
          <w:color w:val="0070C0"/>
          <w:sz w:val="16"/>
          <w:szCs w:val="16"/>
        </w:rPr>
        <w:softHyphen/>
        <w:t>ных с разных заводов НКАП, по</w:t>
      </w:r>
      <w:r w:rsidRPr="008A2E5A">
        <w:rPr>
          <w:rFonts w:ascii="Times New Roman" w:hAnsi="Times New Roman"/>
          <w:color w:val="0070C0"/>
          <w:sz w:val="16"/>
          <w:szCs w:val="16"/>
        </w:rPr>
        <w:softHyphen/>
        <w:t>полнили выпускниками ремеслен</w:t>
      </w:r>
      <w:r w:rsidRPr="008A2E5A">
        <w:rPr>
          <w:rFonts w:ascii="Times New Roman" w:hAnsi="Times New Roman"/>
          <w:color w:val="0070C0"/>
          <w:sz w:val="16"/>
          <w:szCs w:val="16"/>
        </w:rPr>
        <w:softHyphen/>
        <w:t>ных училищ Московской области, Ленинграда, Сталинграда, Нико</w:t>
      </w:r>
      <w:r w:rsidRPr="008A2E5A">
        <w:rPr>
          <w:rFonts w:ascii="Times New Roman" w:hAnsi="Times New Roman"/>
          <w:color w:val="0070C0"/>
          <w:sz w:val="16"/>
          <w:szCs w:val="16"/>
        </w:rPr>
        <w:softHyphen/>
        <w:t>лаева, Краснодара и других горо</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дов юга Советского Союза. При восстановлении завода провели его техническую модернизацию, заменив трансмиссионный привод станков электрическим, а также создали ряд новых производств, цехов и конвейерных линий (23381).</w:t>
      </w:r>
    </w:p>
    <w:p w14:paraId="35F6D6F6" w14:textId="77777777" w:rsidR="009577B1" w:rsidRPr="008A2E5A" w:rsidRDefault="009577B1" w:rsidP="009577B1">
      <w:pPr>
        <w:spacing w:after="0" w:line="240" w:lineRule="auto"/>
        <w:jc w:val="both"/>
        <w:rPr>
          <w:rFonts w:ascii="Times New Roman" w:hAnsi="Times New Roman"/>
          <w:color w:val="0070C0"/>
          <w:sz w:val="16"/>
          <w:szCs w:val="16"/>
        </w:rPr>
      </w:pPr>
    </w:p>
    <w:p w14:paraId="59A16E50"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апреля 1942 г. Указание председателя ГКО СССР И. В. Сталина членам ГКО СССР Л. П. Берии, А. И. Микояну и Г. М. Маленкову об обеспечении оборудованием авиационного завода № 82 для производства самолетов Як-7</w:t>
      </w:r>
    </w:p>
    <w:p w14:paraId="2111CFD3"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Поручить т. Берия, Микояну и Маленкову в срочном порядке мобилизовать необходимое оборудование для завода № 82 (производство самолетов Як-7) с тем, чтобы армия могла в1 2* максимально сжатые сроки получить самолеты Як-7.</w:t>
      </w:r>
    </w:p>
    <w:p w14:paraId="435EA68C"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Доклад т. Сталину и Молотову — через каждые 4 дня.</w:t>
      </w:r>
    </w:p>
    <w:p w14:paraId="21281AFC"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Председатель Государственного] ком[итета] обороны И. </w:t>
      </w:r>
      <w:proofErr w:type="gramStart"/>
      <w:r w:rsidRPr="008A2E5A">
        <w:rPr>
          <w:rFonts w:ascii="Times New Roman" w:hAnsi="Times New Roman"/>
          <w:color w:val="0070C0"/>
          <w:sz w:val="16"/>
          <w:szCs w:val="16"/>
        </w:rPr>
        <w:t>Сталин &gt;</w:t>
      </w:r>
      <w:proofErr w:type="gramEnd"/>
    </w:p>
    <w:p w14:paraId="1A9FEC06"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35. Л. 179. Автограф синим карандашом, подпись — красным карандашом (23830).</w:t>
      </w:r>
    </w:p>
    <w:p w14:paraId="042E57AF" w14:textId="77777777" w:rsidR="009577B1" w:rsidRPr="008A2E5A" w:rsidRDefault="009577B1" w:rsidP="009577B1">
      <w:pPr>
        <w:spacing w:after="0" w:line="240" w:lineRule="auto"/>
        <w:jc w:val="both"/>
        <w:rPr>
          <w:rFonts w:ascii="Times New Roman" w:hAnsi="Times New Roman"/>
          <w:color w:val="0070C0"/>
          <w:sz w:val="16"/>
          <w:szCs w:val="16"/>
        </w:rPr>
      </w:pPr>
    </w:p>
    <w:p w14:paraId="00E67C3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18 апреля 1942 г. Сталин, вызвав в Кремль Шахурина, вручил ему блокнотный листок со следующим собственноручно написанным карандашом указанием, адресованным руководству НКАП и МГК ВКП(б): </w:t>
      </w:r>
    </w:p>
    <w:p w14:paraId="253800D4"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«Поручить:</w:t>
      </w:r>
    </w:p>
    <w:p w14:paraId="70849D5B"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тт. Шахурину и Щербакову в срочном порядке пустить в ход авиазавод №23 для производства Ил-4;</w:t>
      </w:r>
    </w:p>
    <w:p w14:paraId="2A959752"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докладывать тт. Сталину и Молотову через каждые 2 дня».</w:t>
      </w:r>
    </w:p>
    <w:p w14:paraId="47DAEC32"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с заводского аэродрома взмыли в небо первые бомбардировочные «илы», а всего в 1942 г. предприятие дало фронту 110 самолетов Ил-4 (23472).</w:t>
      </w:r>
    </w:p>
    <w:p w14:paraId="34A417FA" w14:textId="77777777" w:rsidR="009577B1" w:rsidRPr="008A2E5A" w:rsidRDefault="009577B1" w:rsidP="009577B1">
      <w:pPr>
        <w:spacing w:after="0" w:line="240" w:lineRule="auto"/>
        <w:jc w:val="both"/>
        <w:rPr>
          <w:rFonts w:ascii="Times New Roman" w:hAnsi="Times New Roman"/>
          <w:color w:val="0070C0"/>
          <w:sz w:val="16"/>
          <w:szCs w:val="16"/>
        </w:rPr>
      </w:pPr>
    </w:p>
    <w:p w14:paraId="6F661986" w14:textId="77777777" w:rsidR="00C733D6" w:rsidRPr="008127F8" w:rsidRDefault="00C733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г. Сталин, вызвав в Кремль Шахурина, вручил ему блокнотный листок со следующим собственноручно написанным карандашом указанием, адресованным руководству НКАП и МГК ВКП(б): «Поручить: 1) тт. Шахурину и Щербакову в срочном порядке пустить в ход авиазавод № 23 для производства Ил-4; 2) докладывать тт. Сталину и Молотову через каждые 2 дня». Вскоре с заводского аэродрома взмыли в небо первые бомбардировочные «илы», а всего в 1942 г. предприятие дало фронту 110 самолетов Ил-4 (18305).</w:t>
      </w:r>
    </w:p>
    <w:p w14:paraId="3AEE2A55" w14:textId="77777777" w:rsidR="00C733D6" w:rsidRPr="008127F8" w:rsidRDefault="00C733D6" w:rsidP="001E0A84">
      <w:pPr>
        <w:spacing w:after="0" w:line="240" w:lineRule="auto"/>
        <w:jc w:val="both"/>
        <w:rPr>
          <w:rFonts w:ascii="Times New Roman" w:hAnsi="Times New Roman"/>
          <w:color w:val="000000" w:themeColor="text1"/>
          <w:sz w:val="16"/>
          <w:szCs w:val="16"/>
        </w:rPr>
      </w:pPr>
    </w:p>
    <w:p w14:paraId="5DDAD412" w14:textId="77777777" w:rsidR="00C733D6" w:rsidRPr="008127F8" w:rsidRDefault="00C733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апреля 1942 г. И.В.С. дал следующее собственноручно подготовленное указание: </w:t>
      </w:r>
    </w:p>
    <w:p w14:paraId="2F06A489" w14:textId="77777777" w:rsidR="00C733D6" w:rsidRPr="008127F8" w:rsidRDefault="00C733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Поручить тт. Берия, Микояну и Маленкову в срочном порядке мобилизовать необходимое оборудование для завода № 82 производство самолетов Як-7 с тем, чтобы армия могла в максимально сжатые сроки получить самолеты Як-7. </w:t>
      </w:r>
    </w:p>
    <w:p w14:paraId="2CE2E81F" w14:textId="77777777" w:rsidR="00C733D6" w:rsidRPr="008127F8" w:rsidRDefault="00C733D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Доклад тт. Сталину и Молотову через каждые 4 дня» (18305).</w:t>
      </w:r>
    </w:p>
    <w:p w14:paraId="17EFCAA0" w14:textId="77777777" w:rsidR="00C733D6" w:rsidRPr="008127F8" w:rsidRDefault="00C733D6" w:rsidP="001E0A84">
      <w:pPr>
        <w:spacing w:after="0" w:line="240" w:lineRule="auto"/>
        <w:jc w:val="both"/>
        <w:rPr>
          <w:rFonts w:ascii="Times New Roman" w:hAnsi="Times New Roman"/>
          <w:color w:val="000000" w:themeColor="text1"/>
          <w:sz w:val="16"/>
          <w:szCs w:val="16"/>
        </w:rPr>
      </w:pPr>
    </w:p>
    <w:p w14:paraId="653D1C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ГК завода N 240 НКАП Ермолаев писал в ЦК ВКП(б) письмо (вх. N 3797оп) о передаче КБ Ермолаева С.В.И. и это письмо в дальнейшем было передано в НКАП А.И.Ш. (2728,142).</w:t>
      </w:r>
    </w:p>
    <w:p w14:paraId="746983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928A4"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BF8DB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388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г. приказом наркома ВМФ на вооружение были приняты 130/50-мм осколочно-химические снаряды ОХС (осколочно-фугасный снаряд с добавкой твердого отравляющего вещества) (3861).</w:t>
      </w:r>
    </w:p>
    <w:p w14:paraId="039A4A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998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г. заместителем начальника 2-го отдела НКТП инженером-конструктором С.А. Гинзбургом на имя Сталина (ГКО), Молотова (СНК), Федоренко (НКО) и Горегляда (НКТП) была отправлена докладная записка “По вопросу создания современного тяжелого танка прорыва “ИС”:</w:t>
      </w:r>
    </w:p>
    <w:p w14:paraId="298DF3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Отечественной воины показал, что одной из характерных особенностей современных боевых действий является преодоление мощных укреплений - ДОТ-ов и ДЗОТ-ов на важнейших стратегических рубежах.</w:t>
      </w:r>
    </w:p>
    <w:p w14:paraId="45C8C9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 сомнений в том, что по мере продвижения наших войск на Запад они будут встречать укрепления, все более мощные и лучше вооруженные артиллерией и оснащенные минными полями.</w:t>
      </w:r>
    </w:p>
    <w:p w14:paraId="42EBB9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Какими </w:t>
      </w:r>
      <w:proofErr w:type="gramStart"/>
      <w:r w:rsidRPr="008127F8">
        <w:rPr>
          <w:rFonts w:ascii="Times New Roman" w:hAnsi="Times New Roman"/>
          <w:color w:val="000000" w:themeColor="text1"/>
          <w:sz w:val="16"/>
          <w:szCs w:val="16"/>
        </w:rPr>
        <w:t>средства.ми</w:t>
      </w:r>
      <w:proofErr w:type="gramEnd"/>
      <w:r w:rsidRPr="008127F8">
        <w:rPr>
          <w:rFonts w:ascii="Times New Roman" w:hAnsi="Times New Roman"/>
          <w:color w:val="000000" w:themeColor="text1"/>
          <w:sz w:val="16"/>
          <w:szCs w:val="16"/>
        </w:rPr>
        <w:t xml:space="preserve"> возможно с малой кровью и наименьшими расходом мета, на и времени преодолеть - прогрызть эти препятствия?</w:t>
      </w:r>
    </w:p>
    <w:p w14:paraId="684942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глубокого ансииза и при учете располагаемых нами средств я пришел к твердому убеж'дению о необходимости сделать нижеследующее предложение.</w:t>
      </w:r>
    </w:p>
    <w:p w14:paraId="5D9A03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комплексного решения этой задачи требуется мощная артиллерийская установка с калибром не менее 152 мм. Эта установка должна быть защищена тяжелой броней и обладать высокой проходимостыо и маневренностью. Таким требованиям может удовлетворять только тяжелый танк, вооруженный 152-</w:t>
      </w:r>
      <w:proofErr w:type="gramStart"/>
      <w:r w:rsidRPr="008127F8">
        <w:rPr>
          <w:rFonts w:ascii="Times New Roman" w:hAnsi="Times New Roman"/>
          <w:color w:val="000000" w:themeColor="text1"/>
          <w:sz w:val="16"/>
          <w:szCs w:val="16"/>
        </w:rPr>
        <w:t>м.м</w:t>
      </w:r>
      <w:proofErr w:type="gramEnd"/>
      <w:r w:rsidRPr="008127F8">
        <w:rPr>
          <w:rFonts w:ascii="Times New Roman" w:hAnsi="Times New Roman"/>
          <w:color w:val="000000" w:themeColor="text1"/>
          <w:sz w:val="16"/>
          <w:szCs w:val="16"/>
        </w:rPr>
        <w:t xml:space="preserve"> пушкой и тяжелой броней 120-150 м.м толщиной.</w:t>
      </w:r>
    </w:p>
    <w:p w14:paraId="7874BC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Выбор артиллерийской системы.</w:t>
      </w:r>
    </w:p>
    <w:p w14:paraId="316F86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Наиболее подходящем орудием для этого танка явились бы 152-мм пушка БР-2, но габариты и вес пушки столь значительны, что они не позволят решить эту задачу в варианте, достаточно защищенном, при максимально допусти.мом для транспортировки весе нера-юорной части около 60 т.</w:t>
      </w:r>
    </w:p>
    <w:p w14:paraId="1E8B02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1935 году система БР-2 мною бьиа установлена и испытана на самоходе СУ-14 весом в 48 т при основном бронировании до 20 м.м толщиной. Этот самоход в 1940 г.. был дополнительно забронирован броней до 10 мм толщиной, что вызвало увеличение веса свыше 60 тонн и привело к значительной потере проходимости и маневренности.</w:t>
      </w:r>
    </w:p>
    <w:p w14:paraId="55EB08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Современные противотанковое оружие и бронебойные снаряды (комбини рованные) требуют уже сегодня для защиты этого типа самохода минимум толщину бронирования в 100 мм, при этом вес неразборной части самохода будет не менее 100 т, что, безусловно, является неприемлемым.</w:t>
      </w:r>
    </w:p>
    <w:p w14:paraId="34A9F6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Други.м типом артиллерийской системы, подходящим для решения этой заоачи является 152-</w:t>
      </w:r>
      <w:proofErr w:type="gramStart"/>
      <w:r w:rsidRPr="008127F8">
        <w:rPr>
          <w:rFonts w:ascii="Times New Roman" w:hAnsi="Times New Roman"/>
          <w:color w:val="000000" w:themeColor="text1"/>
          <w:sz w:val="16"/>
          <w:szCs w:val="16"/>
        </w:rPr>
        <w:t>м.м</w:t>
      </w:r>
      <w:proofErr w:type="gramEnd"/>
      <w:r w:rsidRPr="008127F8">
        <w:rPr>
          <w:rFonts w:ascii="Times New Roman" w:hAnsi="Times New Roman"/>
          <w:color w:val="000000" w:themeColor="text1"/>
          <w:sz w:val="16"/>
          <w:szCs w:val="16"/>
        </w:rPr>
        <w:t xml:space="preserve"> пушка-гаубица МЛ-20. Эта пушка значительно уступает против БР-2 по мощности, но зато она значительно конструктивнее для установки по своим габаритам. Пушка БР-2, имея начальную скорость в 800 м/с, решает задачу поражения ДОТ-а на дистанции 400-500 м одним выстрелом, пушка МЛ-20, имея начальную скорость в 610 м/с для решения той же задачи потребует попадания двумя снарядами в одну и ту же воронку, что будет возможно при ведении огня по цели упор на 100-200 м.</w:t>
      </w:r>
    </w:p>
    <w:p w14:paraId="775E4F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достижения последнего необходимо надежно забронировать эту систему. дабы она могла без особого риска подойти вплотную к цели, выдерживая не только огонь противотанковой артиллерии, но и не опасаясь преодоления даже минных полей. Пушка МЛ-20 позволяет создать самоход такого типа с достаточной защищенностью. Поэтому в выборе системы нужно остановиться на пушке МЛ-20.</w:t>
      </w:r>
    </w:p>
    <w:p w14:paraId="782317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Выбор типа самохода.</w:t>
      </w:r>
    </w:p>
    <w:p w14:paraId="75560F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выбранном типе пушки МЛ-20 разрешение задачи создания тяжелого самохода возможно в двух вариантах:</w:t>
      </w:r>
    </w:p>
    <w:p w14:paraId="01A0B2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Компромиссное решение: установка 152-</w:t>
      </w:r>
      <w:proofErr w:type="gramStart"/>
      <w:r w:rsidRPr="008127F8">
        <w:rPr>
          <w:rFonts w:ascii="Times New Roman" w:hAnsi="Times New Roman"/>
          <w:color w:val="000000" w:themeColor="text1"/>
          <w:sz w:val="16"/>
          <w:szCs w:val="16"/>
        </w:rPr>
        <w:t>м.м</w:t>
      </w:r>
      <w:proofErr w:type="gramEnd"/>
      <w:r w:rsidRPr="008127F8">
        <w:rPr>
          <w:rFonts w:ascii="Times New Roman" w:hAnsi="Times New Roman"/>
          <w:color w:val="000000" w:themeColor="text1"/>
          <w:sz w:val="16"/>
          <w:szCs w:val="16"/>
        </w:rPr>
        <w:t xml:space="preserve"> пушки МЛ-20 на шасси танка KB без башни с ограниченными углами горизонтальной наводки. В этом случае передние листы брони должны быть утолщены. по крайней мере, до 100-110 мм. В сумме всех иззменений этот артиллерийский самоход будет иметь вес 50-56 тонн. Таким образом, полученное решение вопроса не является кардинальным, и вот почему. Нашему современному тяжело му танку КВ-1 по своему типу первоклассной боевой машины присуши, как первенцу, органические конструкторскис пороки (недостаточная прочность отдельных агрегатов, низкая маневренность и др.).</w:t>
      </w:r>
    </w:p>
    <w:p w14:paraId="0CF83D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этих недостатков сам танк KB-1, путем доработки, можно в основном излечить, но перспектива дальнейшего использования его шасси, при его утяжелении, останется все же ограниченной из-за несоблюдения условия надежности и резкого падения маневренности самого танка.</w:t>
      </w:r>
    </w:p>
    <w:p w14:paraId="2A4B5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острую нужду в данном самоходе, я считаю допустимым изготовление небольшой серии этих танков с пушкой МЛ-20, ибо это можно сделать очень быстро, в течение. 1,5-2 месяцев.</w:t>
      </w:r>
    </w:p>
    <w:p w14:paraId="27B326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Радикальным решением настоящей задачи может явиться только новый тип тяжелого танка прорыва, вооруженного основной артиллерийской системой МЛ-20 и защищенного броней 120-130 мм. Исходя из имеющегося опыта, можно гарантировать постройку этого танка с использованием дизель-моторов В-2 с достаточной защищенностью. маневренностью и с круговым обстрелом из 152-м.м пушки МЛ-20 при боевом весе до 100 т и весе его неразборной части для перевозки по железной дороге не свыше 60 т. Проект характеристики такого типа танка “ИC” при сем прилагаю.</w:t>
      </w:r>
    </w:p>
    <w:p w14:paraId="1EC947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Взвешивая свой личный 13-летний опыт конструктора-танкиста и руководителя танкового конструкторского бюро, имеющего на протяжении последнего десятка лет ряд выполненных аналогичных работ (Т-26, Б-Т, Т-28, Т-35, СУ-14, СУ-5, АТЗ-1, Т-23, Т-37 и Т-50). считаю возможным разрешить задачу постройки нового танка с полной гарантией за качество и в минимальные сроки.</w:t>
      </w:r>
    </w:p>
    <w:p w14:paraId="2AC2A3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поручении мне этого задания и оказании незначительной помощи с полной гарантией берусь вместе с коллективом сработавшихся со мной конструкторов и спутников завода № 174 выполнить работу по проектированию и постройке сразу небольшой серии в 5 таких танков к </w:t>
      </w:r>
      <w:proofErr w:type="gramStart"/>
      <w:r w:rsidRPr="008127F8">
        <w:rPr>
          <w:rFonts w:ascii="Times New Roman" w:hAnsi="Times New Roman"/>
          <w:color w:val="000000" w:themeColor="text1"/>
          <w:sz w:val="16"/>
          <w:szCs w:val="16"/>
        </w:rPr>
        <w:t>1.IX.</w:t>
      </w:r>
      <w:proofErr w:type="gramEnd"/>
      <w:r w:rsidRPr="008127F8">
        <w:rPr>
          <w:rFonts w:ascii="Times New Roman" w:hAnsi="Times New Roman"/>
          <w:color w:val="000000" w:themeColor="text1"/>
          <w:sz w:val="16"/>
          <w:szCs w:val="16"/>
        </w:rPr>
        <w:t xml:space="preserve"> 1942 г. Одновременно может быть закончена подгоглавка к последующему выпуску мелких (серий этого типа танков. Четкой организации выполнения этого задания поможет в значительной степени коллективный опыт по выполнению скоростными методами постройки танка Т-50, имеющийся у этого коллектива.</w:t>
      </w:r>
    </w:p>
    <w:p w14:paraId="08173F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Прошу рассмотреть вопрос о принятии моего предложения, ибо оно, я уверен. отражая задачи ближайших дней, позволит нашей Красной </w:t>
      </w:r>
      <w:proofErr w:type="gramStart"/>
      <w:r w:rsidRPr="008127F8">
        <w:rPr>
          <w:rFonts w:ascii="Times New Roman" w:hAnsi="Times New Roman"/>
          <w:color w:val="000000" w:themeColor="text1"/>
          <w:sz w:val="16"/>
          <w:szCs w:val="16"/>
        </w:rPr>
        <w:t>Армии так же как</w:t>
      </w:r>
      <w:proofErr w:type="gramEnd"/>
      <w:r w:rsidRPr="008127F8">
        <w:rPr>
          <w:rFonts w:ascii="Times New Roman" w:hAnsi="Times New Roman"/>
          <w:color w:val="000000" w:themeColor="text1"/>
          <w:sz w:val="16"/>
          <w:szCs w:val="16"/>
        </w:rPr>
        <w:t xml:space="preserve"> примененные по моему предложению в финской кампанию экранированные танки Т-26, надежно прогрызать вражеские укрепленные районы ценой малой крови и </w:t>
      </w:r>
      <w:r w:rsidRPr="008127F8">
        <w:rPr>
          <w:rFonts w:ascii="Times New Roman" w:hAnsi="Times New Roman"/>
          <w:color w:val="000000" w:themeColor="text1"/>
          <w:sz w:val="16"/>
          <w:szCs w:val="16"/>
        </w:rPr>
        <w:lastRenderedPageBreak/>
        <w:t>большой экономии времени и металла.</w:t>
      </w:r>
    </w:p>
    <w:p w14:paraId="7EE290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Товарищ. Сталин, прошу разрешить лично доложить Вам по данному предложению.</w:t>
      </w:r>
    </w:p>
    <w:p w14:paraId="54D7AF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краткая тактико-техническая характеристика танка “ИС”.</w:t>
      </w:r>
    </w:p>
    <w:p w14:paraId="716E6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Инженер-конструктор, воениженер 1 ранга Гинзбург” (6001,19).</w:t>
      </w:r>
    </w:p>
    <w:p w14:paraId="3310E4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C70C6" w14:textId="77777777" w:rsidR="00DB1913" w:rsidRPr="008127F8" w:rsidRDefault="00DB1913" w:rsidP="001E0A84">
      <w:pPr>
        <w:spacing w:after="0" w:line="240" w:lineRule="auto"/>
        <w:jc w:val="both"/>
        <w:rPr>
          <w:rFonts w:ascii="Times New Roman" w:eastAsia="Times New Roman" w:hAnsi="Times New Roman"/>
          <w:bCs/>
          <w:i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18 апреля 1942 г.</w:t>
      </w:r>
    </w:p>
    <w:p w14:paraId="3A4F2AE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1 Дело 9 лист 85 – 90</w:t>
      </w:r>
    </w:p>
    <w:p w14:paraId="0A2DCAF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19D13B6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0AE0C30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ВА-105/151-М</w:t>
      </w:r>
    </w:p>
    <w:p w14:paraId="6BA77B0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 "18" апреля 1942 г.</w:t>
      </w:r>
    </w:p>
    <w:p w14:paraId="132782F4"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Признать, что в результате недостаточного внимания к делу организации производства топливной аппаратуры со стороны директора СТЗ тов. ЗАДОРОЖНОГО и главного инженера завода тов. ДЕМЬЯНОВИЧА – производство топливной аппаратуры на СТЗ провалено и цех топливной аппаратуры не подготовлен к выполнению майской программы. </w:t>
      </w:r>
    </w:p>
    <w:p w14:paraId="6DD7822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Еще раз обращаю внимание руководителей Сталинградского тракторного завода, что от успешного производства топливной аппаратуры будет зависеть выпуск дизелей и танков, поэтому этому делу должно быть уделено должное внимание и оказана соответствующая поддержка. </w:t>
      </w:r>
    </w:p>
    <w:p w14:paraId="7FA94F9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ПРИКАЗЫВАЮ: </w:t>
      </w:r>
    </w:p>
    <w:p w14:paraId="1D5F0E87"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Во изменение ранее изданного приказа по производству топливной аппаратуры утвердить представленный начальником дизельного отдела тов. ПОДДУБНЫМ и начальником цеха топливной аппаратуры тов. БОЛДЫРЕВЫМ – график производства форсунок в оставшиеся дни апреля в количестве 75 комплектов в следующих количествах по дням: </w:t>
      </w:r>
    </w:p>
    <w:p w14:paraId="62BD0D3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18 апреля – 3 комплекта, 19 апреля – 3 комплекта, 20 апреля – 4 комплекта, 21 апреля – 4 комплекта, 22 апреля – 5 комплектов, 23 апреля – 5 комплектов, 24 апреля – 6 комплектов, 25 апреля – 7 комплектов, 26 апреля – 7 комплектов, 27 апреля – 7 комплектов, 28 апреля – 7 комплектов, 29 апреля – 7 комплектов, 30 апреля – 8 комплектов. </w:t>
      </w:r>
    </w:p>
    <w:p w14:paraId="09B0A4FD"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Всего: 75 комплектов без учета ремонтных, переданных с 75 завода. </w:t>
      </w:r>
    </w:p>
    <w:p w14:paraId="58B6459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Установить следующий график по производству насосов: </w:t>
      </w:r>
    </w:p>
    <w:p w14:paraId="639991B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20 апреля – 3 комплекта, 21 апреля – 3 комплекта, 22 апреля – 3 комплекта, 23 апреля – 4 комплекта, 24 апреля – 4 комплекта, 25 апреля – 4 комплекта, 26 апреля – 4 комплекта, 27 апреля – 5 комплектов, 28 апреля – 5 комплектов, 29 апреля – 5 комплектов, 30 апреля – 5 комплектов. </w:t>
      </w:r>
    </w:p>
    <w:p w14:paraId="1578191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Всего: 45 насосов. </w:t>
      </w:r>
    </w:p>
    <w:p w14:paraId="3B67214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Установить на май месяц с.г. программу по производству форсунок и насосов 200 комплектов, с расчетом обеспечения в 3-1 декаде мая производство ежесуточно 10-ти комплектов форсунок и насосов. </w:t>
      </w:r>
    </w:p>
    <w:p w14:paraId="7E749B2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Возложить личную ответственность и руководство организацией цеха топливной аппаратуры и выпуск насосов и форсунок на главного инженера завода тов. ДЕМЬЯНОВИЧА и начальника дизельного отдела тов. ПОДДУБНОГО. </w:t>
      </w:r>
    </w:p>
    <w:p w14:paraId="5A70F26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Директору завода тов. ЗАДОРОЖНОМУ к 15 мая с.г. закончить все строительные и монтажные работы по цеху топливной аппаратуры и привести весь цех в образцовый порядок (свет дневной, искусственный, хорошие полы, покраска стен белой масляной краской, окраска всех станков в светло-серый цвет, хорошие сборочные столы, покрытые фиброй), а также навести порядок на подходах к цеху. </w:t>
      </w:r>
    </w:p>
    <w:p w14:paraId="3A0FF49E"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Выдать рабочим на всех финишных операциях (сборка насосов, форсунок, доводка сопел и игл, переборка насосов и форсунок) – хорошую спецодежду, которую отбирать у рабочих по окончании работ и выдавать с начала работ, а начальнику цеха топливной аппаратуры организовать гардеробную для хранения спецодежды. </w:t>
      </w:r>
    </w:p>
    <w:p w14:paraId="112828C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Начальнику Главснаба тов. РОЗИНУ выделить фонды для пошивки спецодежды из расчета на 300 чел. рабочих. </w:t>
      </w:r>
    </w:p>
    <w:p w14:paraId="4CB0B919"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Выдать на доводочных операциях и на сборке рабочим туфли, которые должны также отбираться по окончании работ и выдаваться с начала работы. </w:t>
      </w:r>
    </w:p>
    <w:p w14:paraId="32B9E261"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Обязать главного инженера завода тов. ДЕМЬЯНОВИЧА обеспечить к 10 мая с.г. изготовление необходимого количества испытательных стендов монтажного инструмента и приспособлений. </w:t>
      </w:r>
    </w:p>
    <w:p w14:paraId="202E651A"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Обязать главного инженера завода тов. ДЕМЬЯНОВИЧА и нач. дизельного отдела тов. ПОДДУБНОГО в 5-ти дневный срок направить на Кировский завод группу мастеров и рабочих для обучения наиболее сложным операциям по изготовлению топливной аппаратуры. </w:t>
      </w:r>
    </w:p>
    <w:p w14:paraId="2EE96353"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свою очередь директору Кировского завода тов. МАХОНИНУ и заместителю директора по дизельному производству тов. НЕВЯЖСКОМУ в 5-ти дневный срок направить на СТЗ в цех топливной аппаратуры на срок 1 – 2 месяца 5 человек опытных рабочих и мастеров по доводке и механизации доводочных работ. </w:t>
      </w:r>
    </w:p>
    <w:p w14:paraId="4A942890"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Обязать главного инженера завода тов. ДЕМЬЯНОВИЧА в 5-ти дневный срок направить в цех топливной аппаратуры необходимое количество высококвалифицированных инженерно-технических работников (технологов и мастеров) и высококвалифицированных рабочих из других цехов завода, а также из конторы Заводоуправления. </w:t>
      </w:r>
    </w:p>
    <w:p w14:paraId="30E50C1B"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Обязать директора завода тов. ЗАДОРОЖНОГО в 5-ти дневный срок организовать мобилизацию 100 человек женщин из аппарата Заводоуправления и цехов и направить в цех топливной аппаратуры на точную прецизионную работу. Сохранить за переводимыми в цех топливной аппаратуры в течение 2-х месяцев их заработную плату. </w:t>
      </w:r>
    </w:p>
    <w:p w14:paraId="5E0E41F2"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11. Главному инженеру завода тов. ДЕМЬЯНОВИЧУ доукомплектовать цех топливной аппаратуры недостающим оборудованием на выпуск 15 комплектов топливной аппаратуры в сутки, а также обеспечить организацию в цехах завода специального оборудования (доводочных бабок, шлифовальных станков) для цеха топливной аппаратуры. </w:t>
      </w:r>
    </w:p>
    <w:p w14:paraId="6404CE75"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12. Для обеспечения изготовления прецизионных деталей топливной аппаратуры разрешить директору СТЗ тов. ЗАДОРОЖНОМУ срочно пересмотреть действующий тарифно-квалификационный справочник работ и профессий цеха топливной аппаратуры и вести в него необходимые коррективы. Повысить существующие оклады инженерно-техническим работникам цеха в среднем на 15% с тем, однако, чтобы оклады мастеров не превышали окладов, предусмотренных постановлением Совнаркома Союза ССР и ЦК ВКП(б) за № 900 от 27.V-1940 г. – о повышении роли мастера на производстве. </w:t>
      </w:r>
    </w:p>
    <w:p w14:paraId="27714DC6"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13. Заместителю директора завода тов. ТКАЧЕВУ под его личную ответственность обеспечить бесперебойное снабжение цеха топливной аппаратуры всем необходимым материалом, инструментом, абразивами и вспомогательными материалами. </w:t>
      </w:r>
    </w:p>
    <w:p w14:paraId="40C174A7"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Начальнику Главснаба НКТП тов. РОЗИНУ оказать СТЗ необходимую помощь в обеспечении цеха топливной аппаратуры: быстрорезами, как для производства топливной аппаратуры, так и для изготовления инструмента, абразивов и сверл, представив мне предложения по обеспечению цеха топливной аппаратуры импортными абразивами и сверлами. </w:t>
      </w:r>
    </w:p>
    <w:p w14:paraId="58A50EB2"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14. Обязать заместителя директора завода по ОРСу тов. СТРЕПЕТОВА организовать для выполняющих и перевыполняющих нормы рабочих и ИТР цеха топливной аппаратуры улучшенное питание. </w:t>
      </w:r>
    </w:p>
    <w:p w14:paraId="4F31AF4F"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15. Выделить в распоряжение начальника цеха топливной аппаратуры тов. БОЛДЫРЕВА за выполнение апрельской и майской программы для премирования лучших рабочих и инженерно-технических работников по 10 тысяч рублей в месяц и: мужских костюмов – 15 пар, ботинок хромовых – 20 пар, сапог хромовых – 5 пар, отрезов на мужские костюмы – 5 шт., отрезов на дамские платья – 10 шт., часов карманных – 10 шт., калош – 5 пар и ткани хлопчатобумажной – 200 мтр. </w:t>
      </w:r>
    </w:p>
    <w:p w14:paraId="401F5213"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Надеюсь, что рабочие инженерно-технические работники цеха топливной аппаратуры приложат все усилия к тому, чтобы быстрее и лучше освоить и наладить серийный выпуск форсунок и насосов. </w:t>
      </w:r>
    </w:p>
    <w:p w14:paraId="0C9C7DB8"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6A8FB503" w14:textId="77777777" w:rsidR="00DB1913" w:rsidRPr="008127F8" w:rsidRDefault="00DB1913"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(МАЛЫШЕВ) (18937).</w:t>
      </w:r>
    </w:p>
    <w:p w14:paraId="262024A2" w14:textId="77777777" w:rsidR="00DB1913" w:rsidRPr="008127F8" w:rsidRDefault="00DB1913" w:rsidP="001E0A84">
      <w:pPr>
        <w:spacing w:after="0" w:line="240" w:lineRule="auto"/>
        <w:jc w:val="both"/>
        <w:rPr>
          <w:rFonts w:ascii="Times New Roman" w:hAnsi="Times New Roman"/>
          <w:color w:val="000000" w:themeColor="text1"/>
          <w:sz w:val="16"/>
          <w:szCs w:val="16"/>
        </w:rPr>
      </w:pPr>
    </w:p>
    <w:p w14:paraId="3A2A2DF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вышло Постановление ГКО № 1617 [О выплате сезонных премий-надбавок и отпуске продовольственных и промышленных товаров рабочим, мобилизованным на заготовку дров для железных дорог.] (7004, 72).</w:t>
      </w:r>
    </w:p>
    <w:p w14:paraId="7F31879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C5EB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33958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13B2D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в 1942 году утреннее сообщение Совинформбюро:</w:t>
      </w:r>
    </w:p>
    <w:p w14:paraId="70C19D2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18 апреля на фронте чего-либо существенного не произошло.</w:t>
      </w:r>
    </w:p>
    <w:p w14:paraId="4EB7D6D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 один день боевых действий разрушили 35 немецких ДЗОТов, 10 блиндажей, уничтожили 2 танка, артиллерийскую и миномётную батареи, 6 пулемётов, 6 автомашин с грузом и боеприпасами. В тылу противника взорвано 2 склада с боеприпасами. Захвачены трофеи: танкетка, планёр, миномётная батарея, 3 пулемета, противотанковые ружья, 5 автомашин и 13 повозок с грузом. Немцы потеряли убитыми свыше 800 солдат и офицеров.</w:t>
      </w:r>
    </w:p>
    <w:p w14:paraId="7DB9A39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Наши бойцы, действующие на одном из участков Западного фронта, преодолевая сопротивление немцев, заняли несколько опорных пунктов противника. На поле боя остались сотни вражеских трупов. Захвачено 8 орудий, 21 пулемёт, свыше 100 винтовок, 6 автоматов, миномёт и другие трофеи.</w:t>
      </w:r>
    </w:p>
    <w:p w14:paraId="55C5952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пехотинцы при поддержке артиллерии атаковали немцев и уничтожили 150 вражеских солдат и офицеров.</w:t>
      </w:r>
    </w:p>
    <w:p w14:paraId="17F79CC3"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 тов. Лешинский ворвался в село, где засели гитлеровцы, и уничтожил 4 немецких орудия, 2 автомашины с автоматчиками и подавил 6 пулемётных точек.</w:t>
      </w:r>
    </w:p>
    <w:p w14:paraId="1145A309"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смоленских партизан под командованием тов. Н. организовал засаду на дороге, по которой проходила вражеская колонна. Партизаны открыли по гитлеровцам огонь из автоматов и ручных пулемётов. В результате этой операции уничтожено 60 солдат и офицеров противника. В руки партизан попало много оружия и несколько грузовых машин с военным имуществом.</w:t>
      </w:r>
    </w:p>
    <w:p w14:paraId="378C3A9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5 роты 488 полка 268 немецкой пехотной дивизии Герман Ульрих рассказал: «268 дивизия понесла огромные потери. Например, в 488 полкуостался всего один батальон, да и тот неполноценный. В феврале и марте полк три раза получал значительные пополнения. Но наши потери были слишком велики, и полк в какой-нибудь месяц буквально растаял. Резервисты плохо обучены и идут в бой под страхом расстрела. Когда начинает бить советская артиллерия, новички в панике бегут, как безумные, не находя себе места».</w:t>
      </w:r>
    </w:p>
    <w:p w14:paraId="19B117D7"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окраине освобождённой от немецко-фашистских захватчиков деревни Червинская Лука, Ленинградской области, обнаружено 63 трупа стариков, женщин и детей. Все трупы облиты водой и заморожены. Медицинским освидетельствованием </w:t>
      </w:r>
      <w:proofErr w:type="gramStart"/>
      <w:r w:rsidRPr="008127F8">
        <w:rPr>
          <w:rFonts w:ascii="Times New Roman" w:hAnsi="Times New Roman"/>
          <w:color w:val="000000" w:themeColor="text1"/>
          <w:sz w:val="16"/>
          <w:szCs w:val="16"/>
        </w:rPr>
        <w:t>установлено,что</w:t>
      </w:r>
      <w:proofErr w:type="gramEnd"/>
      <w:r w:rsidRPr="008127F8">
        <w:rPr>
          <w:rFonts w:ascii="Times New Roman" w:hAnsi="Times New Roman"/>
          <w:color w:val="000000" w:themeColor="text1"/>
          <w:sz w:val="16"/>
          <w:szCs w:val="16"/>
        </w:rPr>
        <w:t xml:space="preserve"> все эти мирные жители были расстреляны гитлеровскими извергами. Несколько женщин были изнасилованы, а потом заколоты штыками. У многих трупов отрублены пальцы на руках, вывернуты ноги. У двух женщин отрезаны груди. Немецкие бандиты сожгли все дома и общественные здания деревни. Оставшиеся в живых крестьяне угнаны в тыл немецкой армии.».</w:t>
      </w:r>
    </w:p>
    <w:p w14:paraId="39EC4A2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командира партизанского отряда тов. Г., действующего в одном из оккупированных районов Белоруссии, получено следующее сообщение:</w:t>
      </w:r>
    </w:p>
    <w:p w14:paraId="38E68D98"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собравшись на митинг, приветствуем выпуск Военного Займа. Подписываемся на сумму (указано какую).</w:t>
      </w:r>
    </w:p>
    <w:p w14:paraId="7FD2D39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 здравствует Родина и великий Сталин!».</w:t>
      </w:r>
    </w:p>
    <w:p w14:paraId="560D0E3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Другой партизанский отряд, где командиром тов. Н., передал следующуюрадиограмму:</w:t>
      </w:r>
    </w:p>
    <w:p w14:paraId="4DE8430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«Приветствуем выпуск Военного Займа. Подписываемся на сумму (указано какую).</w:t>
      </w:r>
    </w:p>
    <w:p w14:paraId="62614474"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Привет родной Москве!</w:t>
      </w:r>
    </w:p>
    <w:p w14:paraId="488C043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Смерть немецким оккупантам!» (15103).</w:t>
      </w:r>
    </w:p>
    <w:p w14:paraId="3E8A5EF0"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5D68F66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в 1942 году вечернее сообщение Совинформбюро:</w:t>
      </w:r>
    </w:p>
    <w:p w14:paraId="1EC29A40"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апреля на фронте чего-либо существенного не произошло.</w:t>
      </w:r>
    </w:p>
    <w:p w14:paraId="2AA45D3F"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апреля уничтожено 6 немецких самолётов. Наши потери — 4 самолёта.</w:t>
      </w:r>
    </w:p>
    <w:p w14:paraId="7E9A051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апреля частями нашей авиации уничтожено или повреждено 32 немецких автомашины с войсками и грузами, 2 автоцистерны с горючим, 15 полевых и зенитных орудий, 12 миномётов и 5 зенитно-пулемётных точек, рассеяно и частью уничтожено до батальона пехоты противника.</w:t>
      </w:r>
    </w:p>
    <w:p w14:paraId="75C3117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Ленинградского фронта наши бойцы за два дня боёв уничтожили 2 немецких полевых орудия, 6 станковых пулемётов и миномётную батарею. Захвачены трофеи и пленные. На поле боя враг оставил до 1.600 трупов солдат и офицеров.</w:t>
      </w:r>
    </w:p>
    <w:p w14:paraId="5781B34F"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продолжаливести упорные бои с противником. В течение последних дней немцы потеряли убитыми3.160 солдат и офицеров. Уничтожено 14 немецких орудий. 2 танка, 20 пулемётов, миномётная батарея и разрушено 22 блиндажа. Захвачены у противника 7 орудий, 91 пулемёт, 3 автомашины, много винтовок и автоматов. Взяты пленные.</w:t>
      </w:r>
    </w:p>
    <w:p w14:paraId="25C8B6A4"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лётчики Ленинградского фронта совершили налёт на один из аэродромов противника. Успешно обойдя заградительный огонь вражеских зениток, наши лётчики бомбами и пулемётным огнём уничтожили на земле 10 вражеских самолётов и повредили не менее 10 самолётов. Два немецких истребителя обиты в воздушном бою над аэродромом.</w:t>
      </w:r>
    </w:p>
    <w:p w14:paraId="20137C5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силой до 200 человек, обойдя с трёх сторон деревню З., атаковал заходившихся в этой деревне 19 красноармейцев во главе с лейтенантами Панченко и Горбоконем. Наши бойцы приняли неравный бой и в течение нескольких часов отбрасывали гитлеровцев гранатами и винтовочным огнём. Когда на помощь красноармейцам подоспело подкрепление, немцы отступили. На поле боя осталось 50 убитых и раненых гитлеровцев.</w:t>
      </w:r>
    </w:p>
    <w:p w14:paraId="2696938A"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за один населённый пункт красноармеец Леонид Виноградов заметил, что немецкий офицер прицеливается в комиссара части. Отважный боец бросился вперёд, своим телом прикрыл комиссара и спас его жизнь. Будучи ранен, тов. Виноградов не покинул поля боя и продолжал вести огонь по врагу.</w:t>
      </w:r>
    </w:p>
    <w:p w14:paraId="79A6DED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одном из оккупированных немцами районов Калининской области, за последние дни уничтожил свыше 200 немецких солдат и офицеров и взял в плен 6 гитлеровцев. Партизаны захватили следующие трофеи: 7 пулемётов, миномёт, 11 автоматов, 179 винтовок, 10 револьверов, 21.000 винтовочных патронов и 38 лошадей.</w:t>
      </w:r>
    </w:p>
    <w:p w14:paraId="11C093F0"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 сапёрного взвода штаба 499 пехотного полка 268 немецкой пехотной дивизии Килиан Вернер рассказал: «На фронт продолжают прибывать маршевые батальоны. Солдаты этих батальонов прошли всего лишь шестинедельную подготовку. На советско-германском фронте я пробыл только несколько дней. 10 апреля сапёрный взвод устанавливал проволочные заграждения на переднем крае обороны. Русская артиллерия открыла такой интенсивный огонь, что мы целые сутки лежали в снегу и не могли поднять головы. В этот день взвод потерял убитыми и ранеными 15 человек. Я спрятался в лесу. Ко мне присоединились ещё два товарища. Когда русские перешли в атаку, мы все трое сдались в плен».</w:t>
      </w:r>
    </w:p>
    <w:p w14:paraId="23F814F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первых числах апреля между Фюрстенвальде и Франкфуртом (Германия) произошло большое крушение воинского эшелона с резервистами, направлявшимися на советско-германский фронт. Из-под обломков вагонов было извлечено свыше 100 трупов немецких солдат. Погибло много различного вооружения.</w:t>
      </w:r>
    </w:p>
    <w:p w14:paraId="7F48F2B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Советского Союза с большой любовью готовят первомайские подарки бойцам, командирам и политработникам Действующей Красной Армии. В Якутии собран 21 вагон подарков, в Узбекской республике — 15 вагонов, в Бурят-Монгольской республике — 19 вагонов. Трудящиеся Краснодарского края отправляют бойцам, командирам и политработникам Красной Армии 80 вагонов с первомайскими подарками. Трудящиеся Молотовской области собрали на подарки бойцам мясо, колбасу, сыр, масло, яйца, печенье, сахар, мыло, кружки, носовые платки, бритвы и много других предметов. В Свердловской области собрано 120 тысяч индивидуальных посылок для бойцов Красной Армии.».</w:t>
      </w:r>
    </w:p>
    <w:p w14:paraId="2C95208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раз о жуликах и шулерах из игорного дома Гитлер и Ко</w:t>
      </w:r>
    </w:p>
    <w:p w14:paraId="700E2CEA"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«Огромные потери германской армии на советско-германском фронте, жестокие поражения, которые нанесла Красная Армия гитлеровским войскам в течение зимних месяцев, и явная бесперспективность пресловутого «весеннего наступления», о котором так много шумела в последнее время гитлеровская пропаганда, вынуждают еёискать новые способы обмана немецкого народа. Желая подбодрить армию и народ, рассеять уныние, всё более овладевающее немцами, гитлеровские газеты и радио развернули в последние дни новую кампанию самой безудержной лжи. Фашистская печать и радио — эти зловонные кухни низкопробной лжи — на сей раз превзошли самих себя. Гитлеровские разбойники пера пустили в ход самые невероятные фантастические выдумки и провокационные измышления, нисколько не заботясь о том, что у них не сходятся концы с концами. Они действуют по принципу: «Клевещите, клевещите — что-нибудь да останется».</w:t>
      </w:r>
    </w:p>
    <w:p w14:paraId="6ADE0497"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«Берлинер берзенцейтунг», «Гамбургер фремденблатт» и другие фашистские листки изо дня в день публикуют фальшивки о Красной Армии. Так, например, всю немецко-фашистскую печать обошла басня о том, будто бы «большевики посылают в бой 14-летних красноармейцев». Своим хозяевам подвывает из подворотни финская газетка «Хельсингин саномат», утверждающая, что «большинство русских военнопленных являются юношами в возрасте от 16 до 17 лет или же стариками от 60 до 70 лет». Для вящей убедительности германское министерство пропаганды разослало всем немецким газетам фотоснимок, изображающий якобы советских «четырнадцатилетних солдат, взятых в плен». Фотофальшивка была помещена в десятках германских газет. Однако эта фальшивка разоблачается без особого труда. Достаточно тщательно рассмотреть немецкое фото, как немедленно обнаружится, чтоу «четырнадцатилетних солдат» имеются и зрядные бороды, а большинство лиц на фотоснимке вообще невозможно рассмотреть.</w:t>
      </w:r>
    </w:p>
    <w:p w14:paraId="62631129"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и их лакеи, особенно финские, из кожи лезут вон, стараясь завернуть что-нибудь покрепче об истощении советской армии, об уничтожении советской авиации и т. п. Но теперь в мире осталось мало дураков, которые верят гитлеровской брехне. Никто не верит и новым трюкам немецкой прессы. Да и как имверить. Гитлеровцы каждый день распускают столько лжи, что нередко сами потом забывают о том, что говорили вчера, и утверждают прямо противоположное. Известно, например, что германское информационное бюро не раз сообщало о том, что Красная Армия не имеет обмундирования, что красноармейцы одеты в гражданское платье, ходят в лохмотьях и т. д. Вся эта ложь объяснялась довольно просто. Обовшивевшие и окоченевшие от холода гитлеровские вояки воровски снимали одеждуи обувь с убитых красноармейцев, фоторепортеры щёлкали аппаратом, и снимок готов. Редактору оставалось только выпустить очередную брехню.</w:t>
      </w:r>
    </w:p>
    <w:p w14:paraId="0D9638E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газета «Гамбургер фремденблатт», однако, вскоре забыла об этой лжи и 11 апреля писала уже прямо противоположное. «Большевистские солдаты, — писала эта газета, — безусловно, были во много раз лучше обмундированы и снаряжены для борьбы в зимних условиях, чем их германский противник».</w:t>
      </w:r>
    </w:p>
    <w:p w14:paraId="5712863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Поистине, у лжи короткие ноги...</w:t>
      </w:r>
    </w:p>
    <w:p w14:paraId="7CB37C3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Известно, что ложь была и остаётся одним из основных орудий гитлеризма. В этом откровенно признались и сами гитлеровские шулеры. Так, в «Сообщении для войск» № 161 верховного командования вооружённых сил Германии опубликовано разъяснение по поводу одного из заявлений имперского руководителя прессы доктора Дитриха. Как известно, ещё 9 октября Дитрих заявил представителям печати, что поход на Восток можно считать уже законченным. Это заявление вызвало огромное возмущение у солдат немецкой армии. В «Сообщении для войск» № 161 в связи с этимговорится: «Когда об этом заявлении узнали солдаты восточной армии, они были поражены и кое-где отвергали это утверждение. «Как, — говорили они, например, —поход закончен? Осколки свистят вокруг нас, противник успешно наступает; он всё ещё имеет вооружение, да ещё какое. Мы увязли в оборонительных и наступательных боях, а на родине утверждают, что поход закончен. </w:t>
      </w:r>
      <w:r w:rsidRPr="008127F8">
        <w:rPr>
          <w:rFonts w:ascii="Times New Roman" w:hAnsi="Times New Roman"/>
          <w:color w:val="000000" w:themeColor="text1"/>
          <w:sz w:val="16"/>
          <w:szCs w:val="16"/>
        </w:rPr>
        <w:lastRenderedPageBreak/>
        <w:t>Это переходит всякие границы». Возмущение солдат приняло такие острые формы, что немецкое командование было вынуждено разъяснить солдатам, почему гитлеровцы прибегают к заведомой лжи: «Ясно сформулированная, остро обработанная и поданная в правильный психологический момент информация может оказать сильнейшее воздействие. Утверждение доктора Дитриха в момент тяжелейшей борьбы было для мира документом твёрдости, доверия и уверенности в победе немецкого народа и оказало необходимое влияние на мировое общественное мнение».</w:t>
      </w:r>
    </w:p>
    <w:p w14:paraId="0CB219F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гитлеровцы сами признают, что все их громковещательные и многообещающие заявления рассчитаны на психологический эффект как в собственной стране, так и за границей. Сейчас, когда гитлеровская Германия очутилась перед катастрофой, гитлеровцы прибегают к своим старым излюбленным приёмам. На сцену снова выходят гитлеровские мошенники и барабанным боем пытаются скрыть подлинное состояние немецкой армии и тыла и оказать необходимое воздействие «на мировое общественное мнение». Не трудно понять, следовательно, что шумиха, поднятая в немецко-фашистской печати и радио, есть не что иное, как проявление страха перед приближающимся часом расплаты за все преступления, которые совершила гитлеровская клика. Поистине — «трус поёт, чтобы скрыть свой страх».</w:t>
      </w:r>
    </w:p>
    <w:p w14:paraId="279AB821"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восстановления истины считаем уместным опубликовать некоторые выдержки из заявления Гитлера, приказов немецких властей и гитлеровской прессы о действительном положении дел.</w:t>
      </w:r>
    </w:p>
    <w:p w14:paraId="7596819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кто иной, как Гитлер, 30 января заявил: «Мы имеем перед собой противника, который, возможно, численно нас превосходит», Командир 59 немецкого армейского корпуса фон дер Шевальдерье писал в своём приказе от 27 января 1942 г.: «Русскийсолдат — мастер в создании укрытых позиций и в маскировке... Русский солдат лукав и хитёр в бою...». Генерал Шевальдерье вовсе не имел здесь в виду ни 70-летних старцев, ни женских полков, ни тем более подразделений младенцев. Фашистская газета «Франкфуртерцейтунг» в номере от 5 апреля скорбит о многих «тысячах немых крестов на полях сражений, раненых в лазаретах и на улицах, о мертвецах Берлина, Маннгейма, Любека и бесчисленных других городов». Другая газета — «Кракауэр цейтунг</w:t>
      </w:r>
      <w:proofErr w:type="gramStart"/>
      <w:r w:rsidRPr="008127F8">
        <w:rPr>
          <w:rFonts w:ascii="Times New Roman" w:hAnsi="Times New Roman"/>
          <w:color w:val="000000" w:themeColor="text1"/>
          <w:sz w:val="16"/>
          <w:szCs w:val="16"/>
        </w:rPr>
        <w:t>»,опровергая</w:t>
      </w:r>
      <w:proofErr w:type="gramEnd"/>
      <w:r w:rsidRPr="008127F8">
        <w:rPr>
          <w:rFonts w:ascii="Times New Roman" w:hAnsi="Times New Roman"/>
          <w:color w:val="000000" w:themeColor="text1"/>
          <w:sz w:val="16"/>
          <w:szCs w:val="16"/>
        </w:rPr>
        <w:t xml:space="preserve"> неумную брехню германского командования об истощении людских ресурсов СССР, в номере от 28 марта с. г. вынуждена признать, что «никто не отрицает наличия человеческих резервов в СССР». Немецкая газета «Данцигер форпостен» вопит о том, что «атаки большевиков ставят германские войска в критическое положение и являются необычайно тяжёлым испытанием для нервов солдат и командования».</w:t>
      </w:r>
    </w:p>
    <w:p w14:paraId="29F628C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Такова, по заявлениям самих же гитлеровцев, цена всей глупой кампании гитлеровской клики об истощении людских резервов СССР.</w:t>
      </w:r>
    </w:p>
    <w:p w14:paraId="6387AA5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Цель новой нелепой, пропагандистской шумихи гитлеровцев совершенно очевидна. Гитлеровское правительство делает неуклюжую попытку отвлечь внимание немецкого народа от той огромной мобилизации в армию, которую вынуждена была провести Германия для покрытия тяжёлых потерь, понесённых ею на советско-германском фронте. В германскую армию действительно призываются сейчас 16—17-летние подростки и 50—55-летние старики. Немецкое командование вынуждено призвать под ружьё рабочих военных заводов, инвалидов и калек. Людские ресурсы гитлеровской Германии быстро уменьшаются. Она всё более вынуждена прибегать к угрозам и нажиму на вассальные страны, чтобы добиться от них новых поставок пушечного мяса. Вместе с тем гитлеровскую пропаганду мало смущает то обстоятельство, что она сама себя ставит в глупейшее положение. Ведь если действительно Красная Армия состоит из «14-летних солдат» или «60 — 70-летних старцев», то почему же тогда германская армия в течение ряда месяцев отступает под натиском советских бойцов? Выходит, что «непобедимая» германская армия теряет сотни тысяч людей, огромную массу оружия и боеприпасов под натиском детей и стариков!</w:t>
      </w:r>
    </w:p>
    <w:p w14:paraId="669FC1F2"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Дела гитлеровцев на фронте и в тылу идут всё хуже. Чем ближе к неминуемой катастрофе приближается фашистская Германия и её армия, тем глупее и нахальнее становится брехня немецкого командования и фашистской прессы. Гитлеровские дурачки начали понемногу усваивать ту горькую для них истину, что между громогласными их заявлениями о победах немецкого оружия и о слабости армии противника и действительным ходом войны существует серьёзная разница. Не за горами время, когда жулики и шулера из игорного дома Гитлера и К° навсегда будут лишены возможности обманывать, разорять, грабить народы и продолжать свою преступную игру.» (15103).</w:t>
      </w:r>
    </w:p>
    <w:p w14:paraId="19E04D0A"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4CF830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18-29 апреля 1942 проходило наступление немцев на ВФ - двигались по Восточной Украине на Кавказ (3907,236).</w:t>
      </w:r>
    </w:p>
    <w:p w14:paraId="685F18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49AD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вышло Постановление ГКО № 1618 О замене в тыловых частях и учреждениях ВВС КА военнослужащих мужчин женщинами. (7004, 73-74).</w:t>
      </w:r>
    </w:p>
    <w:p w14:paraId="19F5334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DDAD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вышло Постановление ГКО № 1619 О формировании частей для укрепленных районов. (7004, 75-76).</w:t>
      </w:r>
    </w:p>
    <w:p w14:paraId="0481BAC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75F8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A4976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DEA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апреля 1942, согласно воспоминаниям советского военного разведчика Михаила Иванова, работавшего в Токио под дипломатическим прикрытием, около 14 часов, во время обеденного перерыва, находясь на территории посольства, мы услышали гул авиационных моторов. Поднявшись спешно на крышу посольского здания, мы обнаружили летевшие со стороны Тихого океана на высоте 300-400 м с большой скоростью американские самолеты. Присутствовавший на крыше военно-воздушный атташе полковник М. А. Сергеечев в бинокль следил за самолетами и попутно комментировал их действия. Самолеты сбросили небольшие бомбы и обстреляли из пулеметов порт и заводы района Токио — Кавасаки. В воздух не поднялся ни один японский истребитель. Да и зенитный огонь был открыт лишь после того, как самолеты уже удалились на запад. В тот же день вечерние газеты Токио сообщили об этом налете. Молчать, надо полагать, не имело смысла: уж слишком много было очевидцев. Сообщения газет переполняли негодование и злоба. В них утверждалось, что воздушные разбойники Америки якобы горько поплатились за дерзкое посягательство на "священную землю Ямато": девять самолетов из двенадцати, писали газеты, нашли себе могилу. Однако вечерняя сводка радио из Сан-Франциско внесла существенные коррективы в сообщения о результатах налета. В ней указывалось, что только один из шестнадцати самолетов не вернулся на базу. Как потом стало известно, действительно один самолет Б-25 сел на аэродроме в Наньчане (Китай), который вскоре занят японскими войсками, захватившими самолет с экипажем... Благодаря налету выяснилось, что Япония не готова к обороне от ударов с воздуха". </w:t>
      </w:r>
    </w:p>
    <w:p w14:paraId="0B35BC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Получалось, что авиация Тихоокеанского флота сможет наносить разрушительные удары по Японии не только ночью, но и днем, не неся особых потерь. Так что при серьезной поддержке союзников СССР мог решить все проблемы на Дальнем Востоке и лишить Японию и советского сырья, и сырья из Маньчжурии в ходе одного мощного наступления, сопровождающегося авиаударами. </w:t>
      </w:r>
    </w:p>
    <w:p w14:paraId="2794ED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Существует версия, подкрепленная различными косвенными доказательствами, что неожиданное для японцев "отражение японского нападения" намечалось на лето 1942 года. Однако неудачные операции против вермахта на советско-германском фронте поставили крест на наступательных планах Ставки. Адмирал Кузнецов, вспоминая события 1942 года, писал: </w:t>
      </w:r>
    </w:p>
    <w:p w14:paraId="175602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разгрома немцев под Москвой, после огромных потерь, которые фашистские войска понесли в 1941 году на всем фронте от Мурманска до Севастополя, военная обстановка действительно представлялась многообещающей. Первые месяцы 1942 года мы прожили в надежде, что вскоре Красная Армия перейдет в наступление по всему фронту. Для моряков эти надежды были связаны прежде всего с Крымом, освобождение которого, как мы считали, начнется с наступлением наших войск от Керчи и Севастополя... Мы не предполагали тогда, что очень скоро обстановка на фронте, особенно на юге, в районе Керчи и Севастополя, станет для нас чрезвычайно тяжелой, что решающий этап в обеспечении коренного перелома в ходе войны произойдет только после Сталинградской битвы и сражения на Курской дуге, что план наступления придется пока отложить: весной и летом, собрав большие силы, враг нанесет ряд ударов по нашему фронту, стремясь прорваться на Кавказ и к Волге. События 1942 года показали, что при более осторожной и точной оценке сил противника, учете нехватки техники в нашей армии в начале 1942 года и уровня подготовки войск нам следовало планировать наступательные операции в более скромных масштабах и тщательнее готовиться к тому, чтобы измотать врага в оборонительных боях, если он предпримет наступление. Чего бывает достаточно для обороны, может оказаться мало на случай наступления!" (12066).</w:t>
      </w:r>
    </w:p>
    <w:p w14:paraId="59B47E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407E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48FE1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91E69"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из-за трудовых, управленческих и финансовых проблем в Brewster Aeronautical Corporation, ВМС США перехватывают контроль над фирмой и передают ее под надзор Бюро аэронавтики ВМФ. Военно-морской флот назначает в компанию Джорджа Конрада Вестервельта. В мае ВМС также назначат новый совет директоров Brewster (20793).</w:t>
      </w:r>
    </w:p>
    <w:p w14:paraId="56106521" w14:textId="77777777" w:rsidR="0037361C" w:rsidRPr="008127F8" w:rsidRDefault="0037361C" w:rsidP="001E0A84">
      <w:pPr>
        <w:spacing w:after="0" w:line="240" w:lineRule="auto"/>
        <w:jc w:val="both"/>
        <w:rPr>
          <w:rFonts w:ascii="Times New Roman" w:hAnsi="Times New Roman"/>
          <w:color w:val="000000" w:themeColor="text1"/>
          <w:sz w:val="16"/>
          <w:szCs w:val="16"/>
        </w:rPr>
      </w:pPr>
    </w:p>
    <w:p w14:paraId="3ED017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в вишистской Франции П.Лаваль стал президентом, МИД и МВД (3907,236).</w:t>
      </w:r>
    </w:p>
    <w:p w14:paraId="501DFD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EC9A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апреля 1942 американская авиация совершила первую бомбардировку территории Японии (4962), 16 американских бомбардировщиков Б-25 </w:t>
      </w:r>
      <w:proofErr w:type="gramStart"/>
      <w:r w:rsidRPr="008127F8">
        <w:rPr>
          <w:rFonts w:ascii="Times New Roman" w:hAnsi="Times New Roman"/>
          <w:color w:val="000000" w:themeColor="text1"/>
          <w:sz w:val="16"/>
          <w:szCs w:val="16"/>
        </w:rPr>
        <w:t>Митчелл,взлетевших</w:t>
      </w:r>
      <w:proofErr w:type="gramEnd"/>
      <w:r w:rsidRPr="008127F8">
        <w:rPr>
          <w:rFonts w:ascii="Times New Roman" w:hAnsi="Times New Roman"/>
          <w:color w:val="000000" w:themeColor="text1"/>
          <w:sz w:val="16"/>
          <w:szCs w:val="16"/>
        </w:rPr>
        <w:t xml:space="preserve"> с авианосца Хорнет, под командованием полковника Джеймса Дулиттла, нанесли бомбовые удары по промышленным объектам в Токио , Йокагаме и Йокасуке. </w:t>
      </w:r>
      <w:proofErr w:type="gramStart"/>
      <w:r w:rsidRPr="008127F8">
        <w:rPr>
          <w:rFonts w:ascii="Times New Roman" w:hAnsi="Times New Roman"/>
          <w:color w:val="000000" w:themeColor="text1"/>
          <w:sz w:val="16"/>
          <w:szCs w:val="16"/>
        </w:rPr>
        <w:t>Отбомбившись ,самолёты</w:t>
      </w:r>
      <w:proofErr w:type="gramEnd"/>
      <w:r w:rsidRPr="008127F8">
        <w:rPr>
          <w:rFonts w:ascii="Times New Roman" w:hAnsi="Times New Roman"/>
          <w:color w:val="000000" w:themeColor="text1"/>
          <w:sz w:val="16"/>
          <w:szCs w:val="16"/>
        </w:rPr>
        <w:t xml:space="preserve"> совершили вынужденную посадку на территории Китая , а один самолёт сел на советском аеродроме под Владивостоком. Это был первый налёт американской авиации на Японию с начала ВМВ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65DB142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24D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18 1942 Raid on Tokyo 1942 From a position at sea 668 miles from Tokyo, the carrier Hornet launched 16 B-25's of the 17th AAF Air Group led by Lieutenant Colonel J. H. Doolittle, USA, for the first attack on the Japanese homeland. The Hornet sortied from Alameda 2 April, made rendezvous with Enterprise and other ships of Task Force 16 (Vice Admiral W. F. Halsey) north of the Hawaiian Islands, and proceeded across the Pacific to the launching point without making port (1090).</w:t>
      </w:r>
    </w:p>
    <w:p w14:paraId="0D7D6B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9E75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Rade involved 16 North American B-25 AAF medium bombers flown off carrier Hornet, led by Lt. Col. James H. Doolittle (1038).</w:t>
      </w:r>
    </w:p>
    <w:p w14:paraId="1D0D1A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C6B9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состоялся рейд 15 Б-25 Дулитла. Многие упали у нас (223,61). По другим данным в рейде приняло участие 16 машин. Взлетели с Хорнета. Прошли 668 миль и атаковали Токио и Иокогаму (1038;1090;2245).</w:t>
      </w:r>
    </w:p>
    <w:p w14:paraId="54B6B2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из машин под управлением Captain York не пошла в Китай, а села во Владивостоке и экипаж был интернирован и был освобожден через Иран через 14 месяцев (2251).</w:t>
      </w:r>
    </w:p>
    <w:p w14:paraId="7FDDF2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A0073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в 1942 году 16 американских бомбардировщиков «Б-25» "Митчелл</w:t>
      </w:r>
      <w:proofErr w:type="gramStart"/>
      <w:r w:rsidRPr="008127F8">
        <w:rPr>
          <w:rFonts w:ascii="Times New Roman" w:hAnsi="Times New Roman"/>
          <w:color w:val="000000" w:themeColor="text1"/>
          <w:sz w:val="16"/>
          <w:szCs w:val="16"/>
        </w:rPr>
        <w:t>",взлетевших</w:t>
      </w:r>
      <w:proofErr w:type="gramEnd"/>
      <w:r w:rsidRPr="008127F8">
        <w:rPr>
          <w:rFonts w:ascii="Times New Roman" w:hAnsi="Times New Roman"/>
          <w:color w:val="000000" w:themeColor="text1"/>
          <w:sz w:val="16"/>
          <w:szCs w:val="16"/>
        </w:rPr>
        <w:t xml:space="preserve"> с авианосца "Хорнет", под командованием подполковника Джеймса Дулиттла, нанесли бомбовые удары по промышленным объектам в Токио, Йокагаме и Йокасуке. </w:t>
      </w:r>
      <w:proofErr w:type="gramStart"/>
      <w:r w:rsidRPr="008127F8">
        <w:rPr>
          <w:rFonts w:ascii="Times New Roman" w:hAnsi="Times New Roman"/>
          <w:color w:val="000000" w:themeColor="text1"/>
          <w:sz w:val="16"/>
          <w:szCs w:val="16"/>
        </w:rPr>
        <w:t>Отбомбившись ,самолёты</w:t>
      </w:r>
      <w:proofErr w:type="gramEnd"/>
      <w:r w:rsidRPr="008127F8">
        <w:rPr>
          <w:rFonts w:ascii="Times New Roman" w:hAnsi="Times New Roman"/>
          <w:color w:val="000000" w:themeColor="text1"/>
          <w:sz w:val="16"/>
          <w:szCs w:val="16"/>
        </w:rPr>
        <w:t xml:space="preserve"> совершили вынужденную посадку на территории Китая , а один самолёт сел на советском аеродроме под Владивостоком. Это был первый налёт американской авиации на Японию с начала ВМВ (15103).</w:t>
      </w:r>
    </w:p>
    <w:p w14:paraId="1642317C"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04712DB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18 апреля в 1942 году первый налет авиации США на Токио, в ответ на атаку Перл-Харбора 7 декабря 1941 года, 16 бомбардировщиков «В-25» «Митчелл», взлетевших с авианосца "Хорнет", под командованием подполковника Джеймса Дулиттла, нанесли бомбовые удары по промышленным объектам в Токио, Йокагаме и Йокасуке. Отбомбившись, самолёты совершили вынужденную посадку на территории </w:t>
      </w:r>
      <w:proofErr w:type="gramStart"/>
      <w:r w:rsidRPr="008127F8">
        <w:rPr>
          <w:rFonts w:ascii="Times New Roman" w:hAnsi="Times New Roman"/>
          <w:color w:val="000000" w:themeColor="text1"/>
          <w:sz w:val="16"/>
          <w:szCs w:val="16"/>
        </w:rPr>
        <w:t>Китая ,</w:t>
      </w:r>
      <w:proofErr w:type="gramEnd"/>
      <w:r w:rsidRPr="008127F8">
        <w:rPr>
          <w:rFonts w:ascii="Times New Roman" w:hAnsi="Times New Roman"/>
          <w:color w:val="000000" w:themeColor="text1"/>
          <w:sz w:val="16"/>
          <w:szCs w:val="16"/>
        </w:rPr>
        <w:t xml:space="preserve"> а один самолёт сел на советском аеродроме под Владивостоком. Это был первый налёт американской авиации на Японию с начала ВМВ.</w:t>
      </w:r>
    </w:p>
    <w:p w14:paraId="04F4091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Подполковник Джеймс Дулиттл, командующий историческим «рейдом Дулиттла», прикручивает к 225-кг бомбе японские медали для «возврата японцам с процентами» за атаку на Перл-Харбор (15103).</w:t>
      </w:r>
    </w:p>
    <w:p w14:paraId="210D37EB"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1E8790AC"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1942 подполковник Джеймс Дулиттл возглавил первую атаку США на материковую часть Японии, возглавив группу из шестнадцати американских B-25 Mitchell ВВС США, стартовавших с авианосца ВМС США USS Hornet по целям в Токио и его окрестностях, которая стала известной как «Рейд Дулиттла» (20793).</w:t>
      </w:r>
    </w:p>
    <w:p w14:paraId="51C5CBD5" w14:textId="77777777" w:rsidR="0037361C" w:rsidRPr="008127F8" w:rsidRDefault="0037361C" w:rsidP="001E0A84">
      <w:pPr>
        <w:spacing w:after="0" w:line="240" w:lineRule="auto"/>
        <w:jc w:val="both"/>
        <w:rPr>
          <w:rFonts w:ascii="Times New Roman" w:hAnsi="Times New Roman"/>
          <w:color w:val="000000" w:themeColor="text1"/>
          <w:sz w:val="16"/>
          <w:szCs w:val="16"/>
        </w:rPr>
      </w:pPr>
    </w:p>
    <w:p w14:paraId="19871A93"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апреля 1942 г. в 3 часа 12 минут, на радаре были за</w:t>
      </w:r>
      <w:r w:rsidRPr="008A2E5A">
        <w:rPr>
          <w:rFonts w:ascii="Times New Roman" w:hAnsi="Times New Roman"/>
          <w:color w:val="0070C0"/>
          <w:sz w:val="16"/>
          <w:szCs w:val="16"/>
        </w:rPr>
        <w:softHyphen/>
        <w:t>мечены два вражеских корабля (соединение находилось на расстоянии семьсот морских миль от Японии), немедленно был изменен курс соединения и в 3 часа 41 минуту враже</w:t>
      </w:r>
      <w:r w:rsidRPr="008A2E5A">
        <w:rPr>
          <w:rFonts w:ascii="Times New Roman" w:hAnsi="Times New Roman"/>
          <w:color w:val="0070C0"/>
          <w:sz w:val="16"/>
          <w:szCs w:val="16"/>
        </w:rPr>
        <w:softHyphen/>
        <w:t>ские корабли исчезли с радаров, не заметив соединение. В 5 часов 58 минут один из «Доунтлееов» с «Энтерпрайза», стартовавший на рассвете для разведки, заметил неболь</w:t>
      </w:r>
      <w:r w:rsidRPr="008A2E5A">
        <w:rPr>
          <w:rFonts w:ascii="Times New Roman" w:hAnsi="Times New Roman"/>
          <w:color w:val="0070C0"/>
          <w:sz w:val="16"/>
          <w:szCs w:val="16"/>
        </w:rPr>
        <w:softHyphen/>
        <w:t>шое патрульное судно в сорока двух милях от соединения. 1-й лейтенант Осборн В. Вайзмен, пилотировавший его, поспешил уйти от него и, не нарушая радиомолчания, сбро</w:t>
      </w:r>
      <w:r w:rsidRPr="008A2E5A">
        <w:rPr>
          <w:rFonts w:ascii="Times New Roman" w:hAnsi="Times New Roman"/>
          <w:color w:val="0070C0"/>
          <w:sz w:val="16"/>
          <w:szCs w:val="16"/>
        </w:rPr>
        <w:softHyphen/>
        <w:t>сил на палубу своего авианосца пакет с донесением, в ко</w:t>
      </w:r>
      <w:r w:rsidRPr="008A2E5A">
        <w:rPr>
          <w:rFonts w:ascii="Times New Roman" w:hAnsi="Times New Roman"/>
          <w:color w:val="0070C0"/>
          <w:sz w:val="16"/>
          <w:szCs w:val="16"/>
        </w:rPr>
        <w:softHyphen/>
        <w:t>тором называл координаты японского корабля и сообщал, что японцы его скорее всего заметили.</w:t>
      </w:r>
    </w:p>
    <w:p w14:paraId="6F1338B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действительно было так. С японского патрульного судна было отправлено сообщение. В 7 часов 44 минуты другое японское судно заметили с кораблей соединения. Радист с этого патрульного корабля, который назывался «Нитто-Мару 23», отправил сообщение об обнаружении американского авианосного соединения с указанием ко</w:t>
      </w:r>
      <w:r w:rsidRPr="008A2E5A">
        <w:rPr>
          <w:rFonts w:ascii="Times New Roman" w:hAnsi="Times New Roman"/>
          <w:color w:val="0070C0"/>
          <w:sz w:val="16"/>
          <w:szCs w:val="16"/>
        </w:rPr>
        <w:softHyphen/>
        <w:t>ординат. Крейсер «Нэшвилл» получил приказ потопить патрульное судно, что и было им сделано. Черед десять минут на расстоянии 5 миль по левому борту обнаружили еще один японский патрульный корабль, его также пото</w:t>
      </w:r>
      <w:r w:rsidRPr="008A2E5A">
        <w:rPr>
          <w:rFonts w:ascii="Times New Roman" w:hAnsi="Times New Roman"/>
          <w:color w:val="0070C0"/>
          <w:sz w:val="16"/>
          <w:szCs w:val="16"/>
        </w:rPr>
        <w:softHyphen/>
        <w:t>пили. Стало ясно, что соединение было засечено и о его присутствии известно Японскому командованию.</w:t>
      </w:r>
    </w:p>
    <w:p w14:paraId="4F73B0FA"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Японское командование, узнав о появлении американ</w:t>
      </w:r>
      <w:r w:rsidRPr="008A2E5A">
        <w:rPr>
          <w:rFonts w:ascii="Times New Roman" w:hAnsi="Times New Roman"/>
          <w:color w:val="0070C0"/>
          <w:sz w:val="16"/>
          <w:szCs w:val="16"/>
        </w:rPr>
        <w:softHyphen/>
        <w:t>ского авианосного соединения и его координатах, сразу же тревогу не объявляло. Японцы предположили, что аме</w:t>
      </w:r>
      <w:r w:rsidRPr="008A2E5A">
        <w:rPr>
          <w:rFonts w:ascii="Times New Roman" w:hAnsi="Times New Roman"/>
          <w:color w:val="0070C0"/>
          <w:sz w:val="16"/>
          <w:szCs w:val="16"/>
        </w:rPr>
        <w:softHyphen/>
        <w:t>риканцы будут наносить удар по Японии силами палубных самолетов и поэтому им надо время для того, чтобы по</w:t>
      </w:r>
      <w:r w:rsidRPr="008A2E5A">
        <w:rPr>
          <w:rFonts w:ascii="Times New Roman" w:hAnsi="Times New Roman"/>
          <w:color w:val="0070C0"/>
          <w:sz w:val="16"/>
          <w:szCs w:val="16"/>
        </w:rPr>
        <w:softHyphen/>
        <w:t>дойти к Японскому побережью на дальность, позволявшую палубным самолетам долететь до Японии. Они предполо</w:t>
      </w:r>
      <w:r w:rsidRPr="008A2E5A">
        <w:rPr>
          <w:rFonts w:ascii="Times New Roman" w:hAnsi="Times New Roman"/>
          <w:color w:val="0070C0"/>
          <w:sz w:val="16"/>
          <w:szCs w:val="16"/>
        </w:rPr>
        <w:softHyphen/>
        <w:t xml:space="preserve">жили, что атака произойдет утром следующего дня или же американцы </w:t>
      </w:r>
      <w:proofErr w:type="gramStart"/>
      <w:r w:rsidRPr="008A2E5A">
        <w:rPr>
          <w:rFonts w:ascii="Times New Roman" w:hAnsi="Times New Roman"/>
          <w:color w:val="0070C0"/>
          <w:sz w:val="16"/>
          <w:szCs w:val="16"/>
        </w:rPr>
        <w:t>от нее</w:t>
      </w:r>
      <w:proofErr w:type="gramEnd"/>
      <w:r w:rsidRPr="008A2E5A">
        <w:rPr>
          <w:rFonts w:ascii="Times New Roman" w:hAnsi="Times New Roman"/>
          <w:color w:val="0070C0"/>
          <w:sz w:val="16"/>
          <w:szCs w:val="16"/>
        </w:rPr>
        <w:t xml:space="preserve"> вообще откажутся после того, как их обнаружили.</w:t>
      </w:r>
    </w:p>
    <w:p w14:paraId="24594143"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этот момент соединение находилось приблизительно в 650 морских милях от побережья Японии, до предполага</w:t>
      </w:r>
      <w:r w:rsidRPr="008A2E5A">
        <w:rPr>
          <w:rFonts w:ascii="Times New Roman" w:hAnsi="Times New Roman"/>
          <w:color w:val="0070C0"/>
          <w:sz w:val="16"/>
          <w:szCs w:val="16"/>
        </w:rPr>
        <w:softHyphen/>
        <w:t>емого места старта оставалось пройти 150 морских миль, около десяти часов хода. Перед вице-адмиралом Хэлси встал вопрос: либо немедленно возвращаться, не выполнив задание, или же выпускать самолеты сейчас же. Ясно было одно: рисковать всем соединением и идти еще 150 морских миль к побережью Японии после того, как их обнаружили, было нельзя. Посоветовавшись с Дулиттлом, было принято решение выпускать самолеты немедленно. Тут же была объ</w:t>
      </w:r>
      <w:r w:rsidRPr="008A2E5A">
        <w:rPr>
          <w:rFonts w:ascii="Times New Roman" w:hAnsi="Times New Roman"/>
          <w:color w:val="0070C0"/>
          <w:sz w:val="16"/>
          <w:szCs w:val="16"/>
        </w:rPr>
        <w:softHyphen/>
        <w:t>явлена тревога, авиатехники стали заправлять самолеты то</w:t>
      </w:r>
      <w:r w:rsidRPr="008A2E5A">
        <w:rPr>
          <w:rFonts w:ascii="Times New Roman" w:hAnsi="Times New Roman"/>
          <w:color w:val="0070C0"/>
          <w:sz w:val="16"/>
          <w:szCs w:val="16"/>
        </w:rPr>
        <w:softHyphen/>
        <w:t>пливом, прогревать двигатели. Некоторые летчики думали, что тревога была учебной, так как до намеченного времени старта было еще около 10 часов. Но после того, как им было сказано, что тревога не учебная, беспечность прошла. Экипажи получили инструктаж, штурманы сводку о погоде и местонахождении авианосца. В последнюю минуту перед стартом на самолете капитана Дэвида Джонса была обна</w:t>
      </w:r>
      <w:r w:rsidRPr="008A2E5A">
        <w:rPr>
          <w:rFonts w:ascii="Times New Roman" w:hAnsi="Times New Roman"/>
          <w:color w:val="0070C0"/>
          <w:sz w:val="16"/>
          <w:szCs w:val="16"/>
        </w:rPr>
        <w:softHyphen/>
        <w:t>ружена утечка топлива в баке, расположенном в бомбовом отсеке. Часть топлива вылилась при заправке, поэтому бак оставили заполненным не полностью, а с соседних самоле</w:t>
      </w:r>
      <w:r w:rsidRPr="008A2E5A">
        <w:rPr>
          <w:rFonts w:ascii="Times New Roman" w:hAnsi="Times New Roman"/>
          <w:color w:val="0070C0"/>
          <w:sz w:val="16"/>
          <w:szCs w:val="16"/>
        </w:rPr>
        <w:softHyphen/>
        <w:t>тов были взяты пять дополнительных канистр в надежде, что это хоть как-то восполнит потерю топлива.</w:t>
      </w:r>
    </w:p>
    <w:p w14:paraId="0F296409"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подготовки всех самолетов, они были разме</w:t>
      </w:r>
      <w:r w:rsidRPr="008A2E5A">
        <w:rPr>
          <w:rFonts w:ascii="Times New Roman" w:hAnsi="Times New Roman"/>
          <w:color w:val="0070C0"/>
          <w:sz w:val="16"/>
          <w:szCs w:val="16"/>
        </w:rPr>
        <w:softHyphen/>
        <w:t>щены ближе к корме более компактно, для того чтобы увеличить длину разбега во время взлета. Авианосец дал полный ход против ветра, дабы помочь взлететь са</w:t>
      </w:r>
      <w:r w:rsidRPr="008A2E5A">
        <w:rPr>
          <w:rFonts w:ascii="Times New Roman" w:hAnsi="Times New Roman"/>
          <w:color w:val="0070C0"/>
          <w:sz w:val="16"/>
          <w:szCs w:val="16"/>
        </w:rPr>
        <w:softHyphen/>
        <w:t>молетам. Первым взлетел самолет под командованием подполковника Дулиттла, на часах было 8 часов 20 минут. У Дулиттла была самая маленькая дистанция взлета (142 метра). Дулиттлу специально была дана отмашка фла</w:t>
      </w:r>
      <w:r w:rsidRPr="008A2E5A">
        <w:rPr>
          <w:rFonts w:ascii="Times New Roman" w:hAnsi="Times New Roman"/>
          <w:color w:val="0070C0"/>
          <w:sz w:val="16"/>
          <w:szCs w:val="16"/>
        </w:rPr>
        <w:softHyphen/>
        <w:t>гом разрешающая взлет, когда авианосец своим носом приподнялся вверх на гребне очередной набежавшей волны. Самолет взлетел, резко задрав нос, но он сразу же был выровнен. Для взлета даже не потребовалось всей длины отведенной полосы. Сразу после взлета на</w:t>
      </w:r>
      <w:r w:rsidRPr="008A2E5A">
        <w:rPr>
          <w:rFonts w:ascii="Times New Roman" w:hAnsi="Times New Roman"/>
          <w:color w:val="0070C0"/>
          <w:sz w:val="16"/>
          <w:szCs w:val="16"/>
        </w:rPr>
        <w:softHyphen/>
        <w:t>пряжение у всех спало. Все, кто наблюдал взлет, начали ликовать. Следующие пятнадцать самолетов также взле</w:t>
      </w:r>
      <w:r w:rsidRPr="008A2E5A">
        <w:rPr>
          <w:rFonts w:ascii="Times New Roman" w:hAnsi="Times New Roman"/>
          <w:color w:val="0070C0"/>
          <w:sz w:val="16"/>
          <w:szCs w:val="16"/>
        </w:rPr>
        <w:softHyphen/>
        <w:t>тели. Самолет лейтенанта Хувера, стартовал вторым, во время взлета он сильно задрал нос и, казалось, произой</w:t>
      </w:r>
      <w:r w:rsidRPr="008A2E5A">
        <w:rPr>
          <w:rFonts w:ascii="Times New Roman" w:hAnsi="Times New Roman"/>
          <w:color w:val="0070C0"/>
          <w:sz w:val="16"/>
          <w:szCs w:val="16"/>
        </w:rPr>
        <w:softHyphen/>
        <w:t>дет катастрофа, но пилот выровнял самолет. Лейтенант Тед Лоусон не опустил закрылки перед взлетом, в резуль</w:t>
      </w:r>
      <w:r w:rsidRPr="008A2E5A">
        <w:rPr>
          <w:rFonts w:ascii="Times New Roman" w:hAnsi="Times New Roman"/>
          <w:color w:val="0070C0"/>
          <w:sz w:val="16"/>
          <w:szCs w:val="16"/>
        </w:rPr>
        <w:softHyphen/>
        <w:t>тате после отрыва от палубы самолет опустился очень низко к воде, но все же набрав скорость, не столкнулся с водой и продолжил полет. Возле самолета лейтенанта Вильяма Фэрроу во время прогрева двигателя проходил моряк из палубной команды «Хорнета». Из-за качки он подскользнулся и упал в зоне вращения винта, в резуль</w:t>
      </w:r>
      <w:r w:rsidRPr="008A2E5A">
        <w:rPr>
          <w:rFonts w:ascii="Times New Roman" w:hAnsi="Times New Roman"/>
          <w:color w:val="0070C0"/>
          <w:sz w:val="16"/>
          <w:szCs w:val="16"/>
        </w:rPr>
        <w:softHyphen/>
        <w:t>тате чего винтом самолета ему отрубило руку. Осталь</w:t>
      </w:r>
      <w:r w:rsidRPr="008A2E5A">
        <w:rPr>
          <w:rFonts w:ascii="Times New Roman" w:hAnsi="Times New Roman"/>
          <w:color w:val="0070C0"/>
          <w:sz w:val="16"/>
          <w:szCs w:val="16"/>
        </w:rPr>
        <w:softHyphen/>
        <w:t>ные самолеты взлетели без происшествий. Последний самолет стартовал в 9 часов 19 минут. На момент взлета самолета подполковника Дулиттла авианосец находился в 610 морских милях от побережья Японии, при взлете крайнего 16-го самолета авианосец находился в 600 мор</w:t>
      </w:r>
      <w:r w:rsidRPr="008A2E5A">
        <w:rPr>
          <w:rFonts w:ascii="Times New Roman" w:hAnsi="Times New Roman"/>
          <w:color w:val="0070C0"/>
          <w:sz w:val="16"/>
          <w:szCs w:val="16"/>
        </w:rPr>
        <w:softHyphen/>
        <w:t>ских милях от побережья Японии.</w:t>
      </w:r>
    </w:p>
    <w:p w14:paraId="41EF65B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Сразу после взлета самолетов все соединение по</w:t>
      </w:r>
      <w:r w:rsidRPr="008A2E5A">
        <w:rPr>
          <w:rFonts w:ascii="Times New Roman" w:hAnsi="Times New Roman"/>
          <w:color w:val="0070C0"/>
          <w:sz w:val="16"/>
          <w:szCs w:val="16"/>
        </w:rPr>
        <w:softHyphen/>
        <w:t>вернуло назад. В 12 часов 14 минут на экранах радара появилось японское судно, однако оно быстро исчезло. В 14 часов 00 минут высланными с «Энтерпрайза» па</w:t>
      </w:r>
      <w:r w:rsidRPr="008A2E5A">
        <w:rPr>
          <w:rFonts w:ascii="Times New Roman" w:hAnsi="Times New Roman"/>
          <w:color w:val="0070C0"/>
          <w:sz w:val="16"/>
          <w:szCs w:val="16"/>
        </w:rPr>
        <w:softHyphen/>
        <w:t>трульными самолетами были обнаружены два японских патрульных корабля. Один был ими потоплен, а второй поврежден. В 14 часов 13 минут крейсер «Нэшвилл» по</w:t>
      </w:r>
      <w:r w:rsidRPr="008A2E5A">
        <w:rPr>
          <w:rFonts w:ascii="Times New Roman" w:hAnsi="Times New Roman"/>
          <w:color w:val="0070C0"/>
          <w:sz w:val="16"/>
          <w:szCs w:val="16"/>
        </w:rPr>
        <w:softHyphen/>
        <w:t>топил и его, подобрав пять пленных. Во время этих атак один самолет был поврежден зенитной артиллерией и сел на воду, его экипаж был спасен. После этого до при</w:t>
      </w:r>
      <w:r w:rsidRPr="008A2E5A">
        <w:rPr>
          <w:rFonts w:ascii="Times New Roman" w:hAnsi="Times New Roman"/>
          <w:color w:val="0070C0"/>
          <w:sz w:val="16"/>
          <w:szCs w:val="16"/>
        </w:rPr>
        <w:softHyphen/>
        <w:t>хода на базу встреч с японскими кораблями не было. Один экипаж палубного самолета во время патрульного полета пропал без вести.</w:t>
      </w:r>
    </w:p>
    <w:p w14:paraId="181D088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Никто из экипажей бомбардировщиков не знал, что на аэродроме Чучжоу, где они должны приземлиться, нет ра</w:t>
      </w:r>
      <w:r w:rsidRPr="008A2E5A">
        <w:rPr>
          <w:rFonts w:ascii="Times New Roman" w:hAnsi="Times New Roman"/>
          <w:color w:val="0070C0"/>
          <w:sz w:val="16"/>
          <w:szCs w:val="16"/>
        </w:rPr>
        <w:softHyphen/>
        <w:t>диомаяка, по сигналам которого они должны были выйти на него. Дело в том, что самолет, который должен был доставить специалистов с радиомаяком и оборудованием для встречи самолетов, потерпел катастрофу, погибли все находившиеся на борту. Новый самолет с оборудо</w:t>
      </w:r>
      <w:r w:rsidRPr="008A2E5A">
        <w:rPr>
          <w:rFonts w:ascii="Times New Roman" w:hAnsi="Times New Roman"/>
          <w:color w:val="0070C0"/>
          <w:sz w:val="16"/>
          <w:szCs w:val="16"/>
        </w:rPr>
        <w:softHyphen/>
        <w:t>ванием не успели выслать. Из-за режима радиомолчания на авианосец этого не сообщили. Также с авианосца не сообщили, что операция началась утром 18 апреля, а не в конце дня 19-го, как предполагалось. В результате, когда самолеты после бомбежки Японии пересекли побережье Китая, то на аэродроме были выключены все огни, ори</w:t>
      </w:r>
      <w:r w:rsidRPr="008A2E5A">
        <w:rPr>
          <w:rFonts w:ascii="Times New Roman" w:hAnsi="Times New Roman"/>
          <w:color w:val="0070C0"/>
          <w:sz w:val="16"/>
          <w:szCs w:val="16"/>
        </w:rPr>
        <w:softHyphen/>
        <w:t>ентируясь по которым можно было бы выйти на него и произвести посадку. Также над районом Китая, где пред</w:t>
      </w:r>
      <w:r w:rsidRPr="008A2E5A">
        <w:rPr>
          <w:rFonts w:ascii="Times New Roman" w:hAnsi="Times New Roman"/>
          <w:color w:val="0070C0"/>
          <w:sz w:val="16"/>
          <w:szCs w:val="16"/>
        </w:rPr>
        <w:softHyphen/>
        <w:t>стояло произвести посадку, была плохая погода. Все это в конечном итоге не позволило ни одному экипажу произ</w:t>
      </w:r>
      <w:r w:rsidRPr="008A2E5A">
        <w:rPr>
          <w:rFonts w:ascii="Times New Roman" w:hAnsi="Times New Roman"/>
          <w:color w:val="0070C0"/>
          <w:sz w:val="16"/>
          <w:szCs w:val="16"/>
        </w:rPr>
        <w:softHyphen/>
        <w:t>вести посадку на отведенном им аэродроме.</w:t>
      </w:r>
    </w:p>
    <w:p w14:paraId="2CDCD2A0"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Итак, первый B-25 Джеймса Дулиттла c заводским номером 40-2344 взлетел в 8 часов 20 минут с заданием бомбить цели в Токио. Через полчаса после взлета к нему присоединился взлетевшим вторым B-25 лейтенанта Трэ</w:t>
      </w:r>
      <w:r w:rsidRPr="008A2E5A">
        <w:rPr>
          <w:rFonts w:ascii="Times New Roman" w:hAnsi="Times New Roman"/>
          <w:color w:val="0070C0"/>
          <w:sz w:val="16"/>
          <w:szCs w:val="16"/>
        </w:rPr>
        <w:softHyphen/>
        <w:t>виса Гувера. Они так и летели до Японии вместе. Чем ближе было побережье Японии, тем чаще им попадались япон</w:t>
      </w:r>
      <w:r w:rsidRPr="008A2E5A">
        <w:rPr>
          <w:rFonts w:ascii="Times New Roman" w:hAnsi="Times New Roman"/>
          <w:color w:val="0070C0"/>
          <w:sz w:val="16"/>
          <w:szCs w:val="16"/>
        </w:rPr>
        <w:softHyphen/>
        <w:t>ские суда, которые они старались облетать стороной. Когда они подлетели к Токио, то выяснилось, что летят севернее своего маршрута, но экипажи курс не поменяли, решив зайти на цель с севера, где как ожидалось, была слабее ПВО. Здесь они увидели много аэродромов и много учеб</w:t>
      </w:r>
      <w:r w:rsidRPr="008A2E5A">
        <w:rPr>
          <w:rFonts w:ascii="Times New Roman" w:hAnsi="Times New Roman"/>
          <w:color w:val="0070C0"/>
          <w:sz w:val="16"/>
          <w:szCs w:val="16"/>
        </w:rPr>
        <w:softHyphen/>
        <w:t>ных бипланов в воздухе, скорее всего у курсантов летных училищ были учебные полеты. Также вдалеке они увидели три звена истребителей по три самолета в каждом, но те их не заметили, так как все это время они летели на низ</w:t>
      </w:r>
      <w:r w:rsidRPr="008A2E5A">
        <w:rPr>
          <w:rFonts w:ascii="Times New Roman" w:hAnsi="Times New Roman"/>
          <w:color w:val="0070C0"/>
          <w:sz w:val="16"/>
          <w:szCs w:val="16"/>
        </w:rPr>
        <w:softHyphen/>
        <w:t>кой высоте. Затем Дулиттл поднялся на высоту 1200 футов и направился к центру Токио, его целью была оружейная фабрика. В 13 часов 30 минут (по корабельному времени), или в 12 часов 20 минут (по Токийскому времени) бомбар</w:t>
      </w:r>
      <w:r w:rsidRPr="008A2E5A">
        <w:rPr>
          <w:rFonts w:ascii="Times New Roman" w:hAnsi="Times New Roman"/>
          <w:color w:val="0070C0"/>
          <w:sz w:val="16"/>
          <w:szCs w:val="16"/>
        </w:rPr>
        <w:softHyphen/>
        <w:t>дир сержант Фред Брэмер сбросил четыре зажигательные бомбы на эту фабрику. Японцы открыли зенитный огонь, но ни одного попадания не добились. После этого В-25 на низ</w:t>
      </w:r>
      <w:r w:rsidRPr="008A2E5A">
        <w:rPr>
          <w:rFonts w:ascii="Times New Roman" w:hAnsi="Times New Roman"/>
          <w:color w:val="0070C0"/>
          <w:sz w:val="16"/>
          <w:szCs w:val="16"/>
        </w:rPr>
        <w:softHyphen/>
        <w:t>кой высоте направился в сторону Китая. Вскоре их опять догнал самолет лейтенанта Гувера. Над морем вплоть до Китая стал дуть попутный ветер, что помогло экипажам лететь быстрее. По пути им встречались корабли ВМС Япо</w:t>
      </w:r>
      <w:r w:rsidRPr="008A2E5A">
        <w:rPr>
          <w:rFonts w:ascii="Times New Roman" w:hAnsi="Times New Roman"/>
          <w:color w:val="0070C0"/>
          <w:sz w:val="16"/>
          <w:szCs w:val="16"/>
        </w:rPr>
        <w:softHyphen/>
        <w:t>нии и мелкие рыбацкие лодки. Китайское побережье они пересекли в 20 часов 10 минут (время корабельное). На</w:t>
      </w:r>
      <w:r w:rsidRPr="008A2E5A">
        <w:rPr>
          <w:rFonts w:ascii="Times New Roman" w:hAnsi="Times New Roman"/>
          <w:color w:val="0070C0"/>
          <w:sz w:val="16"/>
          <w:szCs w:val="16"/>
        </w:rPr>
        <w:softHyphen/>
        <w:t>строиться на радиомаяк аэродрома Чучжоу не удавалось.</w:t>
      </w:r>
    </w:p>
    <w:p w14:paraId="2E8904B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 Китаем погода испортилась, видимость была пло</w:t>
      </w:r>
      <w:r w:rsidRPr="008A2E5A">
        <w:rPr>
          <w:rFonts w:ascii="Times New Roman" w:hAnsi="Times New Roman"/>
          <w:color w:val="0070C0"/>
          <w:sz w:val="16"/>
          <w:szCs w:val="16"/>
        </w:rPr>
        <w:softHyphen/>
        <w:t>хой, и с наступлением темноты экипажи потеряли друг друга из вида. Чтобы не столкнуться с землей, Дулиттл под</w:t>
      </w:r>
      <w:r w:rsidRPr="008A2E5A">
        <w:rPr>
          <w:rFonts w:ascii="Times New Roman" w:hAnsi="Times New Roman"/>
          <w:color w:val="0070C0"/>
          <w:sz w:val="16"/>
          <w:szCs w:val="16"/>
        </w:rPr>
        <w:softHyphen/>
        <w:t>нялся на высоту 8000 футов. Видя бесперспективность по</w:t>
      </w:r>
      <w:r w:rsidRPr="008A2E5A">
        <w:rPr>
          <w:rFonts w:ascii="Times New Roman" w:hAnsi="Times New Roman"/>
          <w:color w:val="0070C0"/>
          <w:sz w:val="16"/>
          <w:szCs w:val="16"/>
        </w:rPr>
        <w:softHyphen/>
        <w:t>исков аэродрома или подходящей площадки, Дулиттл при</w:t>
      </w:r>
      <w:r w:rsidRPr="008A2E5A">
        <w:rPr>
          <w:rFonts w:ascii="Times New Roman" w:hAnsi="Times New Roman"/>
          <w:color w:val="0070C0"/>
          <w:sz w:val="16"/>
          <w:szCs w:val="16"/>
        </w:rPr>
        <w:softHyphen/>
        <w:t>казал экипажу прыгать с самолета, на часах было 21 час 20 минут (время корабельное), они провели в полете 13 часов. Все они приземлились на территории занятой Китайскими войсками. К сожалению, во время прыжка у стрелка выпали пленки с результатами бомбометания, которые он снял с камеры. На следующий день Дулиттла нашли несколько молодых китайских студентов и отвели его к военной адми</w:t>
      </w:r>
      <w:r w:rsidRPr="008A2E5A">
        <w:rPr>
          <w:rFonts w:ascii="Times New Roman" w:hAnsi="Times New Roman"/>
          <w:color w:val="0070C0"/>
          <w:sz w:val="16"/>
          <w:szCs w:val="16"/>
        </w:rPr>
        <w:softHyphen/>
        <w:t>нистрации. Вскоре он нашел свой экипаж (все были живы) и принялся с помощью Китайской военной администрации искать остальные экипажи.</w:t>
      </w:r>
    </w:p>
    <w:p w14:paraId="5986A9FC"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Как уже отмечалось ранее, вторым с авианосца взле</w:t>
      </w:r>
      <w:r w:rsidRPr="008A2E5A">
        <w:rPr>
          <w:rFonts w:ascii="Times New Roman" w:hAnsi="Times New Roman"/>
          <w:color w:val="0070C0"/>
          <w:sz w:val="16"/>
          <w:szCs w:val="16"/>
        </w:rPr>
        <w:softHyphen/>
        <w:t>тел B-25 лейтенанта Гувера c заводским номером 40-2292, на часах было 8 часов 25 минут. Через полчаса после взлета они догнали самолет Дулиттла и летели вместе. Достигнув побережья Японии, они разделились. Целью бомбометания у Гувера был завод по производству по</w:t>
      </w:r>
      <w:r w:rsidRPr="008A2E5A">
        <w:rPr>
          <w:rFonts w:ascii="Times New Roman" w:hAnsi="Times New Roman"/>
          <w:color w:val="0070C0"/>
          <w:sz w:val="16"/>
          <w:szCs w:val="16"/>
        </w:rPr>
        <w:softHyphen/>
        <w:t>роха. Однако бомбардир не смог найти этот завод и ему пришлось сбросить три осколочно-фугасных и одну зажигательную бомбу на другой завод и склад с высоты 900 футов. После бомбежки они направились в сторону Китая и над морем опять догнали самолет Дулиттла. Над Китаем с наступлением темноты они потеряли друг друга. Не найдя аэродрома, Гувер посадил самолет на рисовое поле недалеко от города Нинбо, никто не пострадал. Эта территория была оккупирована Японией, и чтобы самолет не достался врагу, его сожгли. С помощью местных пар</w:t>
      </w:r>
      <w:r w:rsidRPr="008A2E5A">
        <w:rPr>
          <w:rFonts w:ascii="Times New Roman" w:hAnsi="Times New Roman"/>
          <w:color w:val="0070C0"/>
          <w:sz w:val="16"/>
          <w:szCs w:val="16"/>
        </w:rPr>
        <w:softHyphen/>
        <w:t xml:space="preserve">тизан они через некоторое время вышли </w:t>
      </w:r>
      <w:proofErr w:type="gramStart"/>
      <w:r w:rsidRPr="008A2E5A">
        <w:rPr>
          <w:rFonts w:ascii="Times New Roman" w:hAnsi="Times New Roman"/>
          <w:color w:val="0070C0"/>
          <w:sz w:val="16"/>
          <w:szCs w:val="16"/>
        </w:rPr>
        <w:t>на территорию</w:t>
      </w:r>
      <w:proofErr w:type="gramEnd"/>
      <w:r w:rsidRPr="008A2E5A">
        <w:rPr>
          <w:rFonts w:ascii="Times New Roman" w:hAnsi="Times New Roman"/>
          <w:color w:val="0070C0"/>
          <w:sz w:val="16"/>
          <w:szCs w:val="16"/>
        </w:rPr>
        <w:t xml:space="preserve"> занятую китайским правительством.</w:t>
      </w:r>
    </w:p>
    <w:p w14:paraId="1E3409A8"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Третий самолет с заводским номером 40-2270 и собст</w:t>
      </w:r>
      <w:r w:rsidRPr="008A2E5A">
        <w:rPr>
          <w:rFonts w:ascii="Times New Roman" w:hAnsi="Times New Roman"/>
          <w:color w:val="0070C0"/>
          <w:sz w:val="16"/>
          <w:szCs w:val="16"/>
        </w:rPr>
        <w:softHyphen/>
        <w:t>венным именем Whiskey Pete взлетел в 8 часов 30 минут. Его командиром был лейтенант Роберт Грей. Целью были также заводы в Токио. Три осколочно-фугасные бомбы бомбардир сбросил на три разных завода металлургической и химической про</w:t>
      </w:r>
      <w:r w:rsidRPr="008A2E5A">
        <w:rPr>
          <w:rFonts w:ascii="Times New Roman" w:hAnsi="Times New Roman"/>
          <w:color w:val="0070C0"/>
          <w:sz w:val="16"/>
          <w:szCs w:val="16"/>
        </w:rPr>
        <w:softHyphen/>
        <w:t>мышленности. Зажигательную бомбу он сбросил на небольшой населенный пункт. На часах было 12 часов 35 минут (по Токийскому времени). В это время в Токио уже объявили воздушную тре</w:t>
      </w:r>
      <w:r w:rsidRPr="008A2E5A">
        <w:rPr>
          <w:rFonts w:ascii="Times New Roman" w:hAnsi="Times New Roman"/>
          <w:color w:val="0070C0"/>
          <w:sz w:val="16"/>
          <w:szCs w:val="16"/>
        </w:rPr>
        <w:softHyphen/>
        <w:t>вогу. Стрелки из пулеметов обстреляли военные казармы. Зенитный огонь, который велся по самолету, был ин</w:t>
      </w:r>
      <w:r w:rsidRPr="008A2E5A">
        <w:rPr>
          <w:rFonts w:ascii="Times New Roman" w:hAnsi="Times New Roman"/>
          <w:color w:val="0070C0"/>
          <w:sz w:val="16"/>
          <w:szCs w:val="16"/>
        </w:rPr>
        <w:softHyphen/>
        <w:t>тенсивным, но не точным, самолет по</w:t>
      </w:r>
      <w:r w:rsidRPr="008A2E5A">
        <w:rPr>
          <w:rFonts w:ascii="Times New Roman" w:hAnsi="Times New Roman"/>
          <w:color w:val="0070C0"/>
          <w:sz w:val="16"/>
          <w:szCs w:val="16"/>
        </w:rPr>
        <w:softHyphen/>
        <w:t>вреждений не получил. Над Токийским заливом рядом с бомбардировщиком пролетели 12 японских истребителей, но не заметили бомбардировщик. Над Китаем была плохая погода и экипаж, не найдя подходящей площадки для приземления, выпрыгнул с парашю</w:t>
      </w:r>
      <w:r w:rsidRPr="008A2E5A">
        <w:rPr>
          <w:rFonts w:ascii="Times New Roman" w:hAnsi="Times New Roman"/>
          <w:color w:val="0070C0"/>
          <w:sz w:val="16"/>
          <w:szCs w:val="16"/>
        </w:rPr>
        <w:softHyphen/>
        <w:t>тами, приземлившись на территории, занятой китайскими войсками, на часах было около 22 часа (по кора</w:t>
      </w:r>
      <w:r w:rsidRPr="008A2E5A">
        <w:rPr>
          <w:rFonts w:ascii="Times New Roman" w:hAnsi="Times New Roman"/>
          <w:color w:val="0070C0"/>
          <w:sz w:val="16"/>
          <w:szCs w:val="16"/>
        </w:rPr>
        <w:softHyphen/>
        <w:t>бельному времени). Штурман призем</w:t>
      </w:r>
      <w:r w:rsidRPr="008A2E5A">
        <w:rPr>
          <w:rFonts w:ascii="Times New Roman" w:hAnsi="Times New Roman"/>
          <w:color w:val="0070C0"/>
          <w:sz w:val="16"/>
          <w:szCs w:val="16"/>
        </w:rPr>
        <w:softHyphen/>
        <w:t>лился на склоне утеса, его парашют зацепился за камни. Он провисел более суток на подвесной системе парашюта, на этом утесе, пока его не сняли нашедшие его местные жители. Вдобавок ко всему во время приземления он сильно порезал ногу об острый камень. Один член эки</w:t>
      </w:r>
      <w:r w:rsidRPr="008A2E5A">
        <w:rPr>
          <w:rFonts w:ascii="Times New Roman" w:hAnsi="Times New Roman"/>
          <w:color w:val="0070C0"/>
          <w:sz w:val="16"/>
          <w:szCs w:val="16"/>
        </w:rPr>
        <w:softHyphen/>
        <w:t>пажа был найден мертвым, его парашют был раскрытым. Скорее всего он погиб из-за того, что неудачно приземлился на пересеченной местности. Остальные были живы. Стоит отметить, что прыжки с парашютом были не столь просты, как может показаться. Второй пилот лейтенант Манч в по</w:t>
      </w:r>
      <w:r w:rsidRPr="008A2E5A">
        <w:rPr>
          <w:rFonts w:ascii="Times New Roman" w:hAnsi="Times New Roman"/>
          <w:color w:val="0070C0"/>
          <w:sz w:val="16"/>
          <w:szCs w:val="16"/>
        </w:rPr>
        <w:softHyphen/>
        <w:t>лет взял фонограф, два пистолета 45-го калибра и карабин. Перед прыжком с парашютом он привязал к себе оба пи</w:t>
      </w:r>
      <w:r w:rsidRPr="008A2E5A">
        <w:rPr>
          <w:rFonts w:ascii="Times New Roman" w:hAnsi="Times New Roman"/>
          <w:color w:val="0070C0"/>
          <w:sz w:val="16"/>
          <w:szCs w:val="16"/>
        </w:rPr>
        <w:softHyphen/>
        <w:t>столета, взял карабин в одну руку и фонограф в другую и прыгнул. Когда он приземлился, то из всего этого богатства в его руках осталась только ручка фонографа.</w:t>
      </w:r>
    </w:p>
    <w:p w14:paraId="4D63351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Четвертым взлетел B-25 лейтенанта Холстрома с завод</w:t>
      </w:r>
      <w:r w:rsidRPr="008A2E5A">
        <w:rPr>
          <w:rFonts w:ascii="Times New Roman" w:hAnsi="Times New Roman"/>
          <w:color w:val="0070C0"/>
          <w:sz w:val="16"/>
          <w:szCs w:val="16"/>
        </w:rPr>
        <w:softHyphen/>
        <w:t>ским номером 40-2282. Сразу же после взлета стрелок до</w:t>
      </w:r>
      <w:r w:rsidRPr="008A2E5A">
        <w:rPr>
          <w:rFonts w:ascii="Times New Roman" w:hAnsi="Times New Roman"/>
          <w:color w:val="0070C0"/>
          <w:sz w:val="16"/>
          <w:szCs w:val="16"/>
        </w:rPr>
        <w:softHyphen/>
        <w:t xml:space="preserve">ложил, что верхняя турель заклинила, и ее нельзя починить. Самолет остался только с одним пулеметом 30-го калибра, расположенном в носовой кабине. </w:t>
      </w:r>
      <w:proofErr w:type="gramStart"/>
      <w:r w:rsidRPr="008A2E5A">
        <w:rPr>
          <w:rFonts w:ascii="Times New Roman" w:hAnsi="Times New Roman"/>
          <w:color w:val="0070C0"/>
          <w:sz w:val="16"/>
          <w:szCs w:val="16"/>
        </w:rPr>
        <w:t>К несчастью</w:t>
      </w:r>
      <w:proofErr w:type="gramEnd"/>
      <w:r w:rsidRPr="008A2E5A">
        <w:rPr>
          <w:rFonts w:ascii="Times New Roman" w:hAnsi="Times New Roman"/>
          <w:color w:val="0070C0"/>
          <w:sz w:val="16"/>
          <w:szCs w:val="16"/>
        </w:rPr>
        <w:t xml:space="preserve"> над Токий</w:t>
      </w:r>
      <w:r w:rsidRPr="008A2E5A">
        <w:rPr>
          <w:rFonts w:ascii="Times New Roman" w:hAnsi="Times New Roman"/>
          <w:color w:val="0070C0"/>
          <w:sz w:val="16"/>
          <w:szCs w:val="16"/>
        </w:rPr>
        <w:softHyphen/>
        <w:t>ским заливом самолет, летящий на высоте 23 метра, был атакован с передней полусферы двумя японскими истреби</w:t>
      </w:r>
      <w:r w:rsidRPr="008A2E5A">
        <w:rPr>
          <w:rFonts w:ascii="Times New Roman" w:hAnsi="Times New Roman"/>
          <w:color w:val="0070C0"/>
          <w:sz w:val="16"/>
          <w:szCs w:val="16"/>
        </w:rPr>
        <w:softHyphen/>
        <w:t>телями. Экипаж доложил, что еще два истребителя заходят для атаки и девять других летят в их сторону со стороны Токио. Видя все это, командир приказал бомбардиру сбро</w:t>
      </w:r>
      <w:r w:rsidRPr="008A2E5A">
        <w:rPr>
          <w:rFonts w:ascii="Times New Roman" w:hAnsi="Times New Roman"/>
          <w:color w:val="0070C0"/>
          <w:sz w:val="16"/>
          <w:szCs w:val="16"/>
        </w:rPr>
        <w:softHyphen/>
        <w:t>сить бомбы в воду и после этого стал уходить. Сбросив бомбы, они быстро оторвались от истребителей и направи</w:t>
      </w:r>
      <w:r w:rsidRPr="008A2E5A">
        <w:rPr>
          <w:rFonts w:ascii="Times New Roman" w:hAnsi="Times New Roman"/>
          <w:color w:val="0070C0"/>
          <w:sz w:val="16"/>
          <w:szCs w:val="16"/>
        </w:rPr>
        <w:softHyphen/>
        <w:t>лись в Китай. Здесь из-за плохой погоды и не найдя аэро</w:t>
      </w:r>
      <w:r w:rsidRPr="008A2E5A">
        <w:rPr>
          <w:rFonts w:ascii="Times New Roman" w:hAnsi="Times New Roman"/>
          <w:color w:val="0070C0"/>
          <w:sz w:val="16"/>
          <w:szCs w:val="16"/>
        </w:rPr>
        <w:softHyphen/>
        <w:t>дрома и подходящей площадки для вынужденной посадки, члены экипажа покинули самолет с парашютами. Призем</w:t>
      </w:r>
      <w:r w:rsidRPr="008A2E5A">
        <w:rPr>
          <w:rFonts w:ascii="Times New Roman" w:hAnsi="Times New Roman"/>
          <w:color w:val="0070C0"/>
          <w:sz w:val="16"/>
          <w:szCs w:val="16"/>
        </w:rPr>
        <w:softHyphen/>
        <w:t>лились все без происшествий и травм на оккупированной японскими войсками территории. Через несколько дней с помощью китайских партизан они были уже на территории, занятой китайскими войсками.</w:t>
      </w:r>
    </w:p>
    <w:p w14:paraId="71F8A2FF"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Пятым, в 8 часов 37 минут взлетел B-25 с заводским номером 40-2283 капитана Дэвида Джонса. Несмотря на течь бака, потери топлива не были критичны. Но все же, не собираясь рисковать, командир принял решение бомбить ближайшие цели в порту Токио. В бомбовом отсеке было три осколочно-фугасных и одна зажигатель</w:t>
      </w:r>
      <w:r w:rsidRPr="008A2E5A">
        <w:rPr>
          <w:rFonts w:ascii="Times New Roman" w:hAnsi="Times New Roman"/>
          <w:color w:val="0070C0"/>
          <w:sz w:val="16"/>
          <w:szCs w:val="16"/>
        </w:rPr>
        <w:softHyphen/>
        <w:t>ная бомбы. Первая бомба попала в крупный резервуар с топливом, вторая в электростанцию, две оставшиеся поразили два здания военного завода. Зенитки открыли огонь, но он был неэффективным. Бомбометание про</w:t>
      </w:r>
      <w:r w:rsidRPr="008A2E5A">
        <w:rPr>
          <w:rFonts w:ascii="Times New Roman" w:hAnsi="Times New Roman"/>
          <w:color w:val="0070C0"/>
          <w:sz w:val="16"/>
          <w:szCs w:val="16"/>
        </w:rPr>
        <w:softHyphen/>
        <w:t>водилось с высоты 1200 футов. Члены этого экипажа выпрыгнули из самолета с парашютами на территории, занятой китайскими войсками. Все они остались живы.</w:t>
      </w:r>
    </w:p>
    <w:p w14:paraId="6A920333"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Шестым стартовал B-25 лейтенанта Хэлморка с заводским номером 40-2298 и собственным именем Green Hornet. Он сбросил бомбы на сталелитейный завод в центре Токио. Зенитный огонь, который велся по самолету, был плотным, но не причинил каких-либо серьезных повреждений. Командир произвел посадку в море недалеко от побережья Китая, так как закончилось топливо. Бомбардир и бортинженер-стрелок утонули после приводнения. Оставшиеся члены экипажа были взяты в плен. Их всех осудили. Лейтенант Хэлморк был казнен 15 октября 1942 года, второй пилот лейтенант Медер умер в декабре 1943 года от истощения и плохого обращения. Лишь штурман лейтенант Нильсен выжил и был освобожден после войны.</w:t>
      </w:r>
    </w:p>
    <w:p w14:paraId="7E91B163"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Седьмым взлетел в 8 часов 43 минуты B-25 лейтенанта Лоусона с заводским номером 40-2261 и собственным именем Ruptured Duck. Взлетев с авианосца с невыпущен</w:t>
      </w:r>
      <w:r w:rsidRPr="008A2E5A">
        <w:rPr>
          <w:rFonts w:ascii="Times New Roman" w:hAnsi="Times New Roman"/>
          <w:color w:val="0070C0"/>
          <w:sz w:val="16"/>
          <w:szCs w:val="16"/>
        </w:rPr>
        <w:softHyphen/>
        <w:t>ными закрылками, которые экипаж забыл выпустить из-за волнения, самолет после отрыва от палубы провалился вниз, и чуть было не задел воду, но, набрав скорость, полетел в сторону Японии. Их целью также был Токио. Достигнув побережья Японии в 13 часов по корабельному времени, они повернули на юг, в сторону Токийского за</w:t>
      </w:r>
      <w:r w:rsidRPr="008A2E5A">
        <w:rPr>
          <w:rFonts w:ascii="Times New Roman" w:hAnsi="Times New Roman"/>
          <w:color w:val="0070C0"/>
          <w:sz w:val="16"/>
          <w:szCs w:val="16"/>
        </w:rPr>
        <w:softHyphen/>
        <w:t>лива. По пути они встретили четыре японских истреби</w:t>
      </w:r>
      <w:r w:rsidRPr="008A2E5A">
        <w:rPr>
          <w:rFonts w:ascii="Times New Roman" w:hAnsi="Times New Roman"/>
          <w:color w:val="0070C0"/>
          <w:sz w:val="16"/>
          <w:szCs w:val="16"/>
        </w:rPr>
        <w:softHyphen/>
        <w:t>теля, один из них пытался их атаковать, однако командир прибавил газу и бомбардировщик оторвался от истре</w:t>
      </w:r>
      <w:r w:rsidRPr="008A2E5A">
        <w:rPr>
          <w:rFonts w:ascii="Times New Roman" w:hAnsi="Times New Roman"/>
          <w:color w:val="0070C0"/>
          <w:sz w:val="16"/>
          <w:szCs w:val="16"/>
        </w:rPr>
        <w:softHyphen/>
        <w:t>бителя, который так и не смог выйти в атаку. Достигнув Токийского залива, они заметили летящий после бомбо</w:t>
      </w:r>
      <w:r w:rsidRPr="008A2E5A">
        <w:rPr>
          <w:rFonts w:ascii="Times New Roman" w:hAnsi="Times New Roman"/>
          <w:color w:val="0070C0"/>
          <w:sz w:val="16"/>
          <w:szCs w:val="16"/>
        </w:rPr>
        <w:softHyphen/>
        <w:t>метания самолет капитана Джонса. Набрав высоту 3 км, они сбросили три осколочно-фугасных бомбы на завод, расположенный на берегу залива, а одну зажигательную бомбу на городской квартал. По ним велся сильный зенит</w:t>
      </w:r>
      <w:r w:rsidRPr="008A2E5A">
        <w:rPr>
          <w:rFonts w:ascii="Times New Roman" w:hAnsi="Times New Roman"/>
          <w:color w:val="0070C0"/>
          <w:sz w:val="16"/>
          <w:szCs w:val="16"/>
        </w:rPr>
        <w:softHyphen/>
        <w:t>ный огонь, но он самолету не принес повреждений. Когда они долетели до побережья Китая, у них оставалось мало топлива, поэтому командир решил садиться на пляже. При посадке шасси завязли, самолет был разбит, все члены экипажа кроме сержанта Тэтчера получили серьезные ра</w:t>
      </w:r>
      <w:r w:rsidRPr="008A2E5A">
        <w:rPr>
          <w:rFonts w:ascii="Times New Roman" w:hAnsi="Times New Roman"/>
          <w:color w:val="0070C0"/>
          <w:sz w:val="16"/>
          <w:szCs w:val="16"/>
        </w:rPr>
        <w:softHyphen/>
        <w:t>нения. Местные жители помогли раненым и их перевезли в безопасный район, занятый китайскими войсками. Через несколько дней китайский врач и военный врач Томас Уайт, который был включен в качестве стрелка в состав 15-го стартовавшего самолета, который приземлился недалеко от места аварийной посадки B-25 лейтенанта Лоусона, оказали раненым помощь. Лейтенанту Лоусону пришлось ампутировать ногу. По возвращению домой он написал книгу «Тридцать секунд над Токио», рассказыва</w:t>
      </w:r>
      <w:r w:rsidRPr="008A2E5A">
        <w:rPr>
          <w:rFonts w:ascii="Times New Roman" w:hAnsi="Times New Roman"/>
          <w:color w:val="0070C0"/>
          <w:sz w:val="16"/>
          <w:szCs w:val="16"/>
        </w:rPr>
        <w:softHyphen/>
        <w:t>ющую о подготовке и участии в рейде. По мотивам этой книги сняли фильм с одноименным названием, который вышел в прокат в 1944 году.</w:t>
      </w:r>
    </w:p>
    <w:p w14:paraId="364F1874"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Восьмым взлетел B-25 капитана Эдварда Йорка с заводским номером 40-2242. Самолет взлетел в 8 часов 46 минут по корабельному времени. Целью также был Токио. Во время полета к цели выяснилось, что и у этого самолета не работает верхняя турель. Также в полете выяснилось, что двигатели расходуют много топлива. По путик цели выше самолета пролетело девять японских истребителей, к счастью, они не заметили бомбардиров</w:t>
      </w:r>
      <w:r w:rsidRPr="008A2E5A">
        <w:rPr>
          <w:rFonts w:ascii="Times New Roman" w:hAnsi="Times New Roman"/>
          <w:color w:val="0070C0"/>
          <w:sz w:val="16"/>
          <w:szCs w:val="16"/>
        </w:rPr>
        <w:softHyphen/>
        <w:t>щик. Не найдя ориентиров и видя, что топлива стано</w:t>
      </w:r>
      <w:r w:rsidRPr="008A2E5A">
        <w:rPr>
          <w:rFonts w:ascii="Times New Roman" w:hAnsi="Times New Roman"/>
          <w:color w:val="0070C0"/>
          <w:sz w:val="16"/>
          <w:szCs w:val="16"/>
        </w:rPr>
        <w:softHyphen/>
        <w:t>вится все меньше и меньше, командир приказал сбросить бомбы на первую попавшуюся цель. Три осколочно-фу</w:t>
      </w:r>
      <w:r w:rsidRPr="008A2E5A">
        <w:rPr>
          <w:rFonts w:ascii="Times New Roman" w:hAnsi="Times New Roman"/>
          <w:color w:val="0070C0"/>
          <w:sz w:val="16"/>
          <w:szCs w:val="16"/>
        </w:rPr>
        <w:softHyphen/>
        <w:t>гасных и одна зажигательная бомбы были сброшены на завод, электростанцию и расположенную рядом с ними железнодорожную станцию. В какой-то момент они про</w:t>
      </w:r>
      <w:r w:rsidRPr="008A2E5A">
        <w:rPr>
          <w:rFonts w:ascii="Times New Roman" w:hAnsi="Times New Roman"/>
          <w:color w:val="0070C0"/>
          <w:sz w:val="16"/>
          <w:szCs w:val="16"/>
        </w:rPr>
        <w:softHyphen/>
        <w:t>летали над аэродромом и обстреляли из носового пуле</w:t>
      </w:r>
      <w:r w:rsidRPr="008A2E5A">
        <w:rPr>
          <w:rFonts w:ascii="Times New Roman" w:hAnsi="Times New Roman"/>
          <w:color w:val="0070C0"/>
          <w:sz w:val="16"/>
          <w:szCs w:val="16"/>
        </w:rPr>
        <w:softHyphen/>
        <w:t>мета стоящие в ряд бипланы. Понимая, что до Китая они вряд ли доберутся, командир принял решение лететь в СССР. Перелетев береговую линию, самолет был замечен наблюдательными постами, но был принят за советский самолет. Вскоре B-25 вышел к советскому аэродрому Унаши, где базировался 39-й отдельный истребительный полк ВВС Тихоокеанского флота. В этот момент над аэ</w:t>
      </w:r>
      <w:r w:rsidRPr="008A2E5A">
        <w:rPr>
          <w:rFonts w:ascii="Times New Roman" w:hAnsi="Times New Roman"/>
          <w:color w:val="0070C0"/>
          <w:sz w:val="16"/>
          <w:szCs w:val="16"/>
        </w:rPr>
        <w:softHyphen/>
        <w:t>родромом выполняла учебный полет пара И-15, ведущий лейтенант Луговой. Они, увидев неизвестный самолет, подлетели к нему и сопроводили до аэродрома. В 17 часов 25 минут по местному времени экипаж произвел посадку. В СССР самолет был конфискован, а экипаж интернирован. Самолет в дальнейшем эксплуатиро</w:t>
      </w:r>
      <w:r w:rsidRPr="008A2E5A">
        <w:rPr>
          <w:rFonts w:ascii="Times New Roman" w:hAnsi="Times New Roman"/>
          <w:color w:val="0070C0"/>
          <w:sz w:val="16"/>
          <w:szCs w:val="16"/>
        </w:rPr>
        <w:softHyphen/>
        <w:t>вался в советских ВВС. А экипаж в сопровождении трех офицеров перевели сначала в город Хабаровск, потом в деревню Охун рядом с Пензой. Затем их перевезли в город Оханск, в Пермской области. В СССР они должны были находиться до конца войны. Командир экипажа от своего имени и имени экипажа написали письмо на имя начальника генерального штаба красной армии генерала Василевского, в котором просили отпустить экипаж на Родину. Также жена командира экипажа в письме к пре</w:t>
      </w:r>
      <w:r w:rsidRPr="008A2E5A">
        <w:rPr>
          <w:rFonts w:ascii="Times New Roman" w:hAnsi="Times New Roman"/>
          <w:color w:val="0070C0"/>
          <w:sz w:val="16"/>
          <w:szCs w:val="16"/>
        </w:rPr>
        <w:softHyphen/>
        <w:t>зиденту США Рузвельту попросила, чтобы он содейство</w:t>
      </w:r>
      <w:r w:rsidRPr="008A2E5A">
        <w:rPr>
          <w:rFonts w:ascii="Times New Roman" w:hAnsi="Times New Roman"/>
          <w:color w:val="0070C0"/>
          <w:sz w:val="16"/>
          <w:szCs w:val="16"/>
        </w:rPr>
        <w:softHyphen/>
        <w:t>вал освобождению экипажа. Рузвельт вскоре попросил об освобождении экипажа у И.В. Сталина. После этого экипаж перевели в Ашхабад, рядом с границей Ирана. В мае 1943-го года, они совершили побег в Иран, после чего вернулись домой. Американцы так и не догадались, что побег был подстроен и до самой границы за ними на</w:t>
      </w:r>
      <w:r w:rsidRPr="008A2E5A">
        <w:rPr>
          <w:rFonts w:ascii="Times New Roman" w:hAnsi="Times New Roman"/>
          <w:color w:val="0070C0"/>
          <w:sz w:val="16"/>
          <w:szCs w:val="16"/>
        </w:rPr>
        <w:softHyphen/>
        <w:t>блюдали сотрудники НКВД.</w:t>
      </w:r>
    </w:p>
    <w:p w14:paraId="1369ECCA"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Девятый B-25 лейтенанта Уотсона с заводским но</w:t>
      </w:r>
      <w:r w:rsidRPr="008A2E5A">
        <w:rPr>
          <w:rFonts w:ascii="Times New Roman" w:hAnsi="Times New Roman"/>
          <w:color w:val="0070C0"/>
          <w:sz w:val="16"/>
          <w:szCs w:val="16"/>
        </w:rPr>
        <w:softHyphen/>
        <w:t>мером 40-2303 и собственным именем Whirling Dervish взлетел в 8 часов 50 минут по корабельному времени. Це</w:t>
      </w:r>
      <w:r w:rsidRPr="008A2E5A">
        <w:rPr>
          <w:rFonts w:ascii="Times New Roman" w:hAnsi="Times New Roman"/>
          <w:color w:val="0070C0"/>
          <w:sz w:val="16"/>
          <w:szCs w:val="16"/>
        </w:rPr>
        <w:softHyphen/>
        <w:t>лью был также город Токио. Они пересекли японское по</w:t>
      </w:r>
      <w:r w:rsidRPr="008A2E5A">
        <w:rPr>
          <w:rFonts w:ascii="Times New Roman" w:hAnsi="Times New Roman"/>
          <w:color w:val="0070C0"/>
          <w:sz w:val="16"/>
          <w:szCs w:val="16"/>
        </w:rPr>
        <w:softHyphen/>
        <w:t>бережье севернее Токио. Повернув на юг, они пролетели над аэродромом, в воздухе было пять учебных бипланов, которые не представляли угрозы. Выйдя на Токио, они сбросили три осколочно-фугасные и одну зажигательную бомбы на здания Токийской газотранспортной компании. Во время бомбометания их атаковал один японский ис</w:t>
      </w:r>
      <w:r w:rsidRPr="008A2E5A">
        <w:rPr>
          <w:rFonts w:ascii="Times New Roman" w:hAnsi="Times New Roman"/>
          <w:color w:val="0070C0"/>
          <w:sz w:val="16"/>
          <w:szCs w:val="16"/>
        </w:rPr>
        <w:softHyphen/>
        <w:t>требитель, стрелок сержант Скотт открыл ответный огонь из своей турели и утверждал, что сбил его. Затем они пролетели на бреющем полете над императорским двор</w:t>
      </w:r>
      <w:r w:rsidRPr="008A2E5A">
        <w:rPr>
          <w:rFonts w:ascii="Times New Roman" w:hAnsi="Times New Roman"/>
          <w:color w:val="0070C0"/>
          <w:sz w:val="16"/>
          <w:szCs w:val="16"/>
        </w:rPr>
        <w:softHyphen/>
        <w:t>цом, пересекли Токийский залив и повернули в сторону Китая. Здесь они выпрыгнули с парашютами и приземли</w:t>
      </w:r>
      <w:r w:rsidRPr="008A2E5A">
        <w:rPr>
          <w:rFonts w:ascii="Times New Roman" w:hAnsi="Times New Roman"/>
          <w:color w:val="0070C0"/>
          <w:sz w:val="16"/>
          <w:szCs w:val="16"/>
        </w:rPr>
        <w:softHyphen/>
        <w:t>лись на территории, занятой китайскими войсками. По</w:t>
      </w:r>
      <w:r w:rsidRPr="008A2E5A">
        <w:rPr>
          <w:rFonts w:ascii="Times New Roman" w:hAnsi="Times New Roman"/>
          <w:color w:val="0070C0"/>
          <w:sz w:val="16"/>
          <w:szCs w:val="16"/>
        </w:rPr>
        <w:softHyphen/>
        <w:t>страдал только командир экипажа, который сломал руку.</w:t>
      </w:r>
    </w:p>
    <w:p w14:paraId="61ADC245"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Десятым в 8 часов 53 минуты взлетел B-25 лейтенанта Ричарда Джойса с заводским номером 40-2250. Это был тот самый самолет, который должен был взлететь с ави</w:t>
      </w:r>
      <w:r w:rsidRPr="008A2E5A">
        <w:rPr>
          <w:rFonts w:ascii="Times New Roman" w:hAnsi="Times New Roman"/>
          <w:color w:val="0070C0"/>
          <w:sz w:val="16"/>
          <w:szCs w:val="16"/>
        </w:rPr>
        <w:softHyphen/>
        <w:t>аносца через два дня после начала похода и вернуться обратно с США, для того чтобы показать экипажам, что взлет B-25 с полной загрузкой с авианосца возможен. Теперь его целью был город Токио. Пересекая Токийский залив, самолет попал под зенитный огонь проходящих кораблей. Первые две осколочно-фугасные бомбы по</w:t>
      </w:r>
      <w:r w:rsidRPr="008A2E5A">
        <w:rPr>
          <w:rFonts w:ascii="Times New Roman" w:hAnsi="Times New Roman"/>
          <w:color w:val="0070C0"/>
          <w:sz w:val="16"/>
          <w:szCs w:val="16"/>
        </w:rPr>
        <w:softHyphen/>
        <w:t>пали в цеха японской сталелитейной компании. Третья осколочно-фугасная и зажигательная бомбы упали на квартал с промышленными и жилыми зданиями. Куда точно они их сбросили, экипаж не видел, так как был сильный зенитный огонь. Самолет получил попадание, в хвостовой части была большая дыра. Это был единст</w:t>
      </w:r>
      <w:r w:rsidRPr="008A2E5A">
        <w:rPr>
          <w:rFonts w:ascii="Times New Roman" w:hAnsi="Times New Roman"/>
          <w:color w:val="0070C0"/>
          <w:sz w:val="16"/>
          <w:szCs w:val="16"/>
        </w:rPr>
        <w:softHyphen/>
        <w:t>венный бомбардировщик, который получил повреждение от зенитного огня во время рейда. Командир перевел самолет в пике, чтобы уйти от обстрела зениток. В этот момент появилось девять японских истребителей, два из них атаковали бомбардировщик, пулеметная очередь прошила законцовку левого крыла.</w:t>
      </w:r>
    </w:p>
    <w:p w14:paraId="6202B67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оторвался от них на бреющем полете. Сер</w:t>
      </w:r>
      <w:r w:rsidRPr="008A2E5A">
        <w:rPr>
          <w:rFonts w:ascii="Times New Roman" w:hAnsi="Times New Roman"/>
          <w:color w:val="0070C0"/>
          <w:sz w:val="16"/>
          <w:szCs w:val="16"/>
        </w:rPr>
        <w:softHyphen/>
        <w:t>жант Хортон предположительно сбил один истребитель. Три других истребителя пытались атаковать бомбарди</w:t>
      </w:r>
      <w:r w:rsidRPr="008A2E5A">
        <w:rPr>
          <w:rFonts w:ascii="Times New Roman" w:hAnsi="Times New Roman"/>
          <w:color w:val="0070C0"/>
          <w:sz w:val="16"/>
          <w:szCs w:val="16"/>
        </w:rPr>
        <w:softHyphen/>
        <w:t>ровщик, но не смогли его догнать. Через некоторое время В-25 наткнулся еще на две группы истребителей, но огонь из пулеметов отогнал их, не дав выйти в атаку. Пролетая западнее города Йокосука, бомбардировщик снова попал под огонь зенитной артиллерии. Выйдя из-под обстрела, их снова атаковали три японских истребителя. Командир ушел в облака. Около 22 часов по корабельному времени экипаж покинул самолет с парашютами над Китаем и приземлился на территории, занятой китайскими вой</w:t>
      </w:r>
      <w:r w:rsidRPr="008A2E5A">
        <w:rPr>
          <w:rFonts w:ascii="Times New Roman" w:hAnsi="Times New Roman"/>
          <w:color w:val="0070C0"/>
          <w:sz w:val="16"/>
          <w:szCs w:val="16"/>
        </w:rPr>
        <w:softHyphen/>
        <w:t>сками. Никто из экипажа не пострадал. Это был крайний самолет, бомбивший Токио.</w:t>
      </w:r>
    </w:p>
    <w:p w14:paraId="1D1E040A"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Одиннадцатым взлетел B-25 капитана Грининга с за</w:t>
      </w:r>
      <w:r w:rsidRPr="008A2E5A">
        <w:rPr>
          <w:rFonts w:ascii="Times New Roman" w:hAnsi="Times New Roman"/>
          <w:color w:val="0070C0"/>
          <w:sz w:val="16"/>
          <w:szCs w:val="16"/>
        </w:rPr>
        <w:softHyphen/>
        <w:t>водским номером 40-2249 и собственным именем Hari Kari-er. Самолет взлетел в 8 часов 56 минут по корабель</w:t>
      </w:r>
      <w:r w:rsidRPr="008A2E5A">
        <w:rPr>
          <w:rFonts w:ascii="Times New Roman" w:hAnsi="Times New Roman"/>
          <w:color w:val="0070C0"/>
          <w:sz w:val="16"/>
          <w:szCs w:val="16"/>
        </w:rPr>
        <w:softHyphen/>
        <w:t>ному времени. Его целью был город Йокогама. Они пе</w:t>
      </w:r>
      <w:r w:rsidRPr="008A2E5A">
        <w:rPr>
          <w:rFonts w:ascii="Times New Roman" w:hAnsi="Times New Roman"/>
          <w:color w:val="0070C0"/>
          <w:sz w:val="16"/>
          <w:szCs w:val="16"/>
        </w:rPr>
        <w:softHyphen/>
        <w:t>ресекли побережье Японии севернее своей цели. Вскоре их атаковали четыре японских истребителя нового типа с моторами жидкостного охлаждения. По докладу сержанта Гарднера, он огнем из башенной турели сбил один истре</w:t>
      </w:r>
      <w:r w:rsidRPr="008A2E5A">
        <w:rPr>
          <w:rFonts w:ascii="Times New Roman" w:hAnsi="Times New Roman"/>
          <w:color w:val="0070C0"/>
          <w:sz w:val="16"/>
          <w:szCs w:val="16"/>
        </w:rPr>
        <w:softHyphen/>
        <w:t>битель, а другой повредил. В действительности же их ата</w:t>
      </w:r>
      <w:r w:rsidRPr="008A2E5A">
        <w:rPr>
          <w:rFonts w:ascii="Times New Roman" w:hAnsi="Times New Roman"/>
          <w:color w:val="0070C0"/>
          <w:sz w:val="16"/>
          <w:szCs w:val="16"/>
        </w:rPr>
        <w:softHyphen/>
        <w:t>ковал всего один истребитель Ки.61, еще не принятый на вооружение и проходивший испытание. Самолет пилоти</w:t>
      </w:r>
      <w:r w:rsidRPr="008A2E5A">
        <w:rPr>
          <w:rFonts w:ascii="Times New Roman" w:hAnsi="Times New Roman"/>
          <w:color w:val="0070C0"/>
          <w:sz w:val="16"/>
          <w:szCs w:val="16"/>
        </w:rPr>
        <w:softHyphen/>
        <w:t xml:space="preserve">ровал лейтенант Мито Умикава. Он совершал </w:t>
      </w:r>
      <w:r w:rsidRPr="008A2E5A">
        <w:rPr>
          <w:rFonts w:ascii="Times New Roman" w:hAnsi="Times New Roman"/>
          <w:color w:val="0070C0"/>
          <w:sz w:val="16"/>
          <w:szCs w:val="16"/>
        </w:rPr>
        <w:lastRenderedPageBreak/>
        <w:t>тренировоч</w:t>
      </w:r>
      <w:r w:rsidRPr="008A2E5A">
        <w:rPr>
          <w:rFonts w:ascii="Times New Roman" w:hAnsi="Times New Roman"/>
          <w:color w:val="0070C0"/>
          <w:sz w:val="16"/>
          <w:szCs w:val="16"/>
        </w:rPr>
        <w:softHyphen/>
        <w:t>ный полет и во время полета получил приказ перехватить американский бомбардировщик. Однако из-за отказа во</w:t>
      </w:r>
      <w:r w:rsidRPr="008A2E5A">
        <w:rPr>
          <w:rFonts w:ascii="Times New Roman" w:hAnsi="Times New Roman"/>
          <w:color w:val="0070C0"/>
          <w:sz w:val="16"/>
          <w:szCs w:val="16"/>
        </w:rPr>
        <w:softHyphen/>
        <w:t>оружения ему не удалось сбить бомбардировщик. Выпол</w:t>
      </w:r>
      <w:r w:rsidRPr="008A2E5A">
        <w:rPr>
          <w:rFonts w:ascii="Times New Roman" w:hAnsi="Times New Roman"/>
          <w:color w:val="0070C0"/>
          <w:sz w:val="16"/>
          <w:szCs w:val="16"/>
        </w:rPr>
        <w:softHyphen/>
        <w:t>нив несколько атак, в которых так и не смог открыть огня, он ушел на свой аэродром.</w:t>
      </w:r>
    </w:p>
    <w:p w14:paraId="238DB832"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дойдя до цели, экипаж В-25 впереди по курсу увидел замаскированный склад ГСМ. Командир принял решение бомбить его, так как вдалеке показались япон</w:t>
      </w:r>
      <w:r w:rsidRPr="008A2E5A">
        <w:rPr>
          <w:rFonts w:ascii="Times New Roman" w:hAnsi="Times New Roman"/>
          <w:color w:val="0070C0"/>
          <w:sz w:val="16"/>
          <w:szCs w:val="16"/>
        </w:rPr>
        <w:softHyphen/>
        <w:t>ские истребители. Сбросив на склад четыре зажигатель</w:t>
      </w:r>
      <w:r w:rsidRPr="008A2E5A">
        <w:rPr>
          <w:rFonts w:ascii="Times New Roman" w:hAnsi="Times New Roman"/>
          <w:color w:val="0070C0"/>
          <w:sz w:val="16"/>
          <w:szCs w:val="16"/>
        </w:rPr>
        <w:softHyphen/>
        <w:t>ных бомбы, облегченный бомбардировщик быстро ушел от истребителей, которые не смогли выйти в атаку. От взрыва склада возник большой пожар, видимый на боль</w:t>
      </w:r>
      <w:r w:rsidRPr="008A2E5A">
        <w:rPr>
          <w:rFonts w:ascii="Times New Roman" w:hAnsi="Times New Roman"/>
          <w:color w:val="0070C0"/>
          <w:sz w:val="16"/>
          <w:szCs w:val="16"/>
        </w:rPr>
        <w:softHyphen/>
        <w:t>шом расстоянии.</w:t>
      </w:r>
    </w:p>
    <w:p w14:paraId="0EE0115C"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Выйдя к Токийскому заливу, из носового пулемета были обстреляны три патрульных катера, один из кото</w:t>
      </w:r>
      <w:r w:rsidRPr="008A2E5A">
        <w:rPr>
          <w:rFonts w:ascii="Times New Roman" w:hAnsi="Times New Roman"/>
          <w:color w:val="0070C0"/>
          <w:sz w:val="16"/>
          <w:szCs w:val="16"/>
        </w:rPr>
        <w:softHyphen/>
        <w:t>рых загорелся. Затем экипаж покинул самолет с пара</w:t>
      </w:r>
      <w:r w:rsidRPr="008A2E5A">
        <w:rPr>
          <w:rFonts w:ascii="Times New Roman" w:hAnsi="Times New Roman"/>
          <w:color w:val="0070C0"/>
          <w:sz w:val="16"/>
          <w:szCs w:val="16"/>
        </w:rPr>
        <w:softHyphen/>
        <w:t>шютами над территорией, занятой китайскими войсками. При приземлении двое получили травмы.</w:t>
      </w:r>
    </w:p>
    <w:p w14:paraId="4506BCEE"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Двенадцатым взлетел B-25 лейтенанта Бауэра с завод</w:t>
      </w:r>
      <w:r w:rsidRPr="008A2E5A">
        <w:rPr>
          <w:rFonts w:ascii="Times New Roman" w:hAnsi="Times New Roman"/>
          <w:color w:val="0070C0"/>
          <w:sz w:val="16"/>
          <w:szCs w:val="16"/>
        </w:rPr>
        <w:softHyphen/>
        <w:t>ским номером 40-2278 и собственным именем Fickle Finger. После взлета он догнал самолет капитана Грининга и до Японии они летели вместе. После пересечения побережья Японии к Йокогаме они летели уже по одиночке. Штурман сначала не знал, где они находятся, а поэтому самолет ле</w:t>
      </w:r>
      <w:r w:rsidRPr="008A2E5A">
        <w:rPr>
          <w:rFonts w:ascii="Times New Roman" w:hAnsi="Times New Roman"/>
          <w:color w:val="0070C0"/>
          <w:sz w:val="16"/>
          <w:szCs w:val="16"/>
        </w:rPr>
        <w:softHyphen/>
        <w:t>тел вдоль побережья на юг в надежде отыскать ориентиры. Пролетая вдоль побережья, они вышли к Токийскому заливу и после этого повернули в сторону своей цели. Все это время за ними летела пара японских истребителей, однако так и не смогла их догнать и выйти в атаку. В какой-то мо</w:t>
      </w:r>
      <w:r w:rsidRPr="008A2E5A">
        <w:rPr>
          <w:rFonts w:ascii="Times New Roman" w:hAnsi="Times New Roman"/>
          <w:color w:val="0070C0"/>
          <w:sz w:val="16"/>
          <w:szCs w:val="16"/>
        </w:rPr>
        <w:softHyphen/>
        <w:t>мент В-25 пролетел над японским аэродромом, над которым кружило много японских самолетов, однако те никак не отреагировали. Подойдя к цели, летчики увидел аэростаты заграждения. Набрав высоту, они их перелетели. Также по самолету велся зенитный огонь, не причинивший ему вреда.</w:t>
      </w:r>
    </w:p>
    <w:p w14:paraId="2E8ACD6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Они сбросили три осколочно-фугасных и одну зажи</w:t>
      </w:r>
      <w:r w:rsidRPr="008A2E5A">
        <w:rPr>
          <w:rFonts w:ascii="Times New Roman" w:hAnsi="Times New Roman"/>
          <w:color w:val="0070C0"/>
          <w:sz w:val="16"/>
          <w:szCs w:val="16"/>
        </w:rPr>
        <w:softHyphen/>
        <w:t>гательную бомбы на нефтеперегонный завод и большой склад в порту Йокогамы, после чего полетели в сторону Китая. По пути стрелки обстреляли и потопили одно не</w:t>
      </w:r>
      <w:r w:rsidRPr="008A2E5A">
        <w:rPr>
          <w:rFonts w:ascii="Times New Roman" w:hAnsi="Times New Roman"/>
          <w:color w:val="0070C0"/>
          <w:sz w:val="16"/>
          <w:szCs w:val="16"/>
        </w:rPr>
        <w:softHyphen/>
        <w:t xml:space="preserve">большое судно. В 23 часа 30 минут </w:t>
      </w:r>
      <w:proofErr w:type="gramStart"/>
      <w:r w:rsidRPr="008A2E5A">
        <w:rPr>
          <w:rFonts w:ascii="Times New Roman" w:hAnsi="Times New Roman"/>
          <w:color w:val="0070C0"/>
          <w:sz w:val="16"/>
          <w:szCs w:val="16"/>
        </w:rPr>
        <w:t>по корабельному</w:t>
      </w:r>
      <w:proofErr w:type="gramEnd"/>
      <w:r w:rsidRPr="008A2E5A">
        <w:rPr>
          <w:rFonts w:ascii="Times New Roman" w:hAnsi="Times New Roman"/>
          <w:color w:val="0070C0"/>
          <w:sz w:val="16"/>
          <w:szCs w:val="16"/>
        </w:rPr>
        <w:t xml:space="preserve"> вре</w:t>
      </w:r>
      <w:r w:rsidRPr="008A2E5A">
        <w:rPr>
          <w:rFonts w:ascii="Times New Roman" w:hAnsi="Times New Roman"/>
          <w:color w:val="0070C0"/>
          <w:sz w:val="16"/>
          <w:szCs w:val="16"/>
        </w:rPr>
        <w:softHyphen/>
        <w:t>мени они выпрыгнули с парашютами над Китаем и призем</w:t>
      </w:r>
      <w:r w:rsidRPr="008A2E5A">
        <w:rPr>
          <w:rFonts w:ascii="Times New Roman" w:hAnsi="Times New Roman"/>
          <w:color w:val="0070C0"/>
          <w:sz w:val="16"/>
          <w:szCs w:val="16"/>
        </w:rPr>
        <w:softHyphen/>
        <w:t>лились на территории, занятой китайскими войсками. При приземлении один член экипажа сломал ногу.</w:t>
      </w:r>
    </w:p>
    <w:p w14:paraId="1DF5D0B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Тринадцатым с курсом на Йокогаму взлетел B-25 лейте</w:t>
      </w:r>
      <w:r w:rsidRPr="008A2E5A">
        <w:rPr>
          <w:rFonts w:ascii="Times New Roman" w:hAnsi="Times New Roman"/>
          <w:color w:val="0070C0"/>
          <w:sz w:val="16"/>
          <w:szCs w:val="16"/>
        </w:rPr>
        <w:softHyphen/>
        <w:t>нанта МакИлроя с заводским номером 40-2247 и собствен</w:t>
      </w:r>
      <w:r w:rsidRPr="008A2E5A">
        <w:rPr>
          <w:rFonts w:ascii="Times New Roman" w:hAnsi="Times New Roman"/>
          <w:color w:val="0070C0"/>
          <w:sz w:val="16"/>
          <w:szCs w:val="16"/>
        </w:rPr>
        <w:softHyphen/>
        <w:t>ным именем Avenger. Было 9 часов 01 минута. После взлета он также догнал самолет капитана Грининга и до Японии они летели вместе. После пересечения берега Японии они отде</w:t>
      </w:r>
      <w:r w:rsidRPr="008A2E5A">
        <w:rPr>
          <w:rFonts w:ascii="Times New Roman" w:hAnsi="Times New Roman"/>
          <w:color w:val="0070C0"/>
          <w:sz w:val="16"/>
          <w:szCs w:val="16"/>
        </w:rPr>
        <w:softHyphen/>
        <w:t>лились от двух остальных экипажей и к цели летели одни. По пути к цели они пролетели над японским аэродромом, с которого по ним открыли огонь зенитки. Выйдя к городу Йокосука, они решили бомбить военно-морскую базу, распо</w:t>
      </w:r>
      <w:r w:rsidRPr="008A2E5A">
        <w:rPr>
          <w:rFonts w:ascii="Times New Roman" w:hAnsi="Times New Roman"/>
          <w:color w:val="0070C0"/>
          <w:sz w:val="16"/>
          <w:szCs w:val="16"/>
        </w:rPr>
        <w:softHyphen/>
        <w:t>ложенную в порту города, сбросив три осколочно-фугасных и одну зажигательную бомбы. Одна осколочно-фугасная бомба попала в достраивающийся и находящийся в сухом доке авианосец «Рюхо», от попадания бомбы он опроки</w:t>
      </w:r>
      <w:r w:rsidRPr="008A2E5A">
        <w:rPr>
          <w:rFonts w:ascii="Times New Roman" w:hAnsi="Times New Roman"/>
          <w:color w:val="0070C0"/>
          <w:sz w:val="16"/>
          <w:szCs w:val="16"/>
        </w:rPr>
        <w:softHyphen/>
        <w:t>нулся на борт. Вторая осколочно-фугасная бомба попала в другой корабль, который загорелся. Третья осколочно-фу</w:t>
      </w:r>
      <w:r w:rsidRPr="008A2E5A">
        <w:rPr>
          <w:rFonts w:ascii="Times New Roman" w:hAnsi="Times New Roman"/>
          <w:color w:val="0070C0"/>
          <w:sz w:val="16"/>
          <w:szCs w:val="16"/>
        </w:rPr>
        <w:softHyphen/>
        <w:t>гасная бомба попала в большой кран, который упал. Зажига</w:t>
      </w:r>
      <w:r w:rsidRPr="008A2E5A">
        <w:rPr>
          <w:rFonts w:ascii="Times New Roman" w:hAnsi="Times New Roman"/>
          <w:color w:val="0070C0"/>
          <w:sz w:val="16"/>
          <w:szCs w:val="16"/>
        </w:rPr>
        <w:softHyphen/>
        <w:t>тельная бомба была сброшена на жилой квартал. Над целью вела огонь зенитная артиллерия, которая не причинила им вреда. В 22 часа 30 минут по корабельному времени экипаж выпрыгнул с парашютами над территорией занятой китай</w:t>
      </w:r>
      <w:r w:rsidRPr="008A2E5A">
        <w:rPr>
          <w:rFonts w:ascii="Times New Roman" w:hAnsi="Times New Roman"/>
          <w:color w:val="0070C0"/>
          <w:sz w:val="16"/>
          <w:szCs w:val="16"/>
        </w:rPr>
        <w:softHyphen/>
        <w:t>скими войсками. Один член экипажа вывихнул колено.</w:t>
      </w:r>
    </w:p>
    <w:p w14:paraId="7A53D09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Четырнадцатым через шесть минут взлетел B-25 май</w:t>
      </w:r>
      <w:r w:rsidRPr="008A2E5A">
        <w:rPr>
          <w:rFonts w:ascii="Times New Roman" w:hAnsi="Times New Roman"/>
          <w:color w:val="0070C0"/>
          <w:sz w:val="16"/>
          <w:szCs w:val="16"/>
        </w:rPr>
        <w:softHyphen/>
        <w:t>ора Хилгера с заводским номером 40-2297. Его целью был город Осака, но бомбили они Нагою. По пути к Японии эки</w:t>
      </w:r>
      <w:r w:rsidRPr="008A2E5A">
        <w:rPr>
          <w:rFonts w:ascii="Times New Roman" w:hAnsi="Times New Roman"/>
          <w:color w:val="0070C0"/>
          <w:sz w:val="16"/>
          <w:szCs w:val="16"/>
        </w:rPr>
        <w:softHyphen/>
        <w:t>паж увидел вдалеке японский патрульный самолет, но тот их не заметил. Побережье Японии они пересекли в районе Токийского залива, недалеко от города Йокосука. Выйдя к Нагое, они попали под огонь зенитной артиллерии, которая не причинила им вреда. Бомбовая нагрузка этого самолета состояла из четырех зажигательных бомб. Они сбросили по одной бомбе на склад ГСМ, авиационный завод фирмы «Мицубиси» и две бомбы на военные казармы. В 22 часа 22 минуты по корабельному времени все выпрыгнули с пара</w:t>
      </w:r>
      <w:r w:rsidRPr="008A2E5A">
        <w:rPr>
          <w:rFonts w:ascii="Times New Roman" w:hAnsi="Times New Roman"/>
          <w:color w:val="0070C0"/>
          <w:sz w:val="16"/>
          <w:szCs w:val="16"/>
        </w:rPr>
        <w:softHyphen/>
        <w:t>шютами на территорию, занятую китайскими войсками. Из экипажа никто не пострадал.</w:t>
      </w:r>
    </w:p>
    <w:p w14:paraId="7C763D3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Пятнадцатым взлетел B-25 лейтенанта Смита с завод</w:t>
      </w:r>
      <w:r w:rsidRPr="008A2E5A">
        <w:rPr>
          <w:rFonts w:ascii="Times New Roman" w:hAnsi="Times New Roman"/>
          <w:color w:val="0070C0"/>
          <w:sz w:val="16"/>
          <w:szCs w:val="16"/>
        </w:rPr>
        <w:softHyphen/>
        <w:t>ским номером 40-2267. Самолет взлетел в 9 часов 15 минут. Целью был город Кобе. В состав этого экипажа входил вышеупомянутый военный врач лейтенант Уайт. В Кобе были сброшены четыре зажигательные бомбы на сталели</w:t>
      </w:r>
      <w:r w:rsidRPr="008A2E5A">
        <w:rPr>
          <w:rFonts w:ascii="Times New Roman" w:hAnsi="Times New Roman"/>
          <w:color w:val="0070C0"/>
          <w:sz w:val="16"/>
          <w:szCs w:val="16"/>
        </w:rPr>
        <w:softHyphen/>
        <w:t>тейный завод, верфь, электромеханический завод и ави</w:t>
      </w:r>
      <w:r w:rsidRPr="008A2E5A">
        <w:rPr>
          <w:rFonts w:ascii="Times New Roman" w:hAnsi="Times New Roman"/>
          <w:color w:val="0070C0"/>
          <w:sz w:val="16"/>
          <w:szCs w:val="16"/>
        </w:rPr>
        <w:softHyphen/>
        <w:t xml:space="preserve">ационный завод фирмы «Кавасаки». После бомбометания по самолету открыла огонь зенитная артиллерия, но он не причинил вреда. После этого В-25 пытались перехватить два истребителя, но они не смогли его догнать. Посадка была произведена на воду в пятистах метрах от побережья после </w:t>
      </w:r>
      <w:proofErr w:type="gramStart"/>
      <w:r w:rsidRPr="008A2E5A">
        <w:rPr>
          <w:rFonts w:ascii="Times New Roman" w:hAnsi="Times New Roman"/>
          <w:color w:val="0070C0"/>
          <w:sz w:val="16"/>
          <w:szCs w:val="16"/>
        </w:rPr>
        <w:t>того</w:t>
      </w:r>
      <w:proofErr w:type="gramEnd"/>
      <w:r w:rsidRPr="008A2E5A">
        <w:rPr>
          <w:rFonts w:ascii="Times New Roman" w:hAnsi="Times New Roman"/>
          <w:color w:val="0070C0"/>
          <w:sz w:val="16"/>
          <w:szCs w:val="16"/>
        </w:rPr>
        <w:t xml:space="preserve"> как, закончилось топливо. При посадке никто не пострадал, все добрались до берега. Лейтенант Уайт потерял в воде свои медицинские инструменты и аптечку. На берегу им помогли местные жители, которые вывели их в район, занятый китайскими войсками. По пути их отвели к раненым членам экипажа лейтенанта Лоусона, которым Уайт оказал необходимую помощь.</w:t>
      </w:r>
    </w:p>
    <w:p w14:paraId="5F16893E"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Последним взлетел B-25 лейтенанта Фэрроу с за</w:t>
      </w:r>
      <w:r w:rsidRPr="008A2E5A">
        <w:rPr>
          <w:rFonts w:ascii="Times New Roman" w:hAnsi="Times New Roman"/>
          <w:color w:val="0070C0"/>
          <w:sz w:val="16"/>
          <w:szCs w:val="16"/>
        </w:rPr>
        <w:softHyphen/>
        <w:t>водским номером 40-2268 и собственным именем Bat out of Hell. Было 9 часов 19 минут. Целью экипажа был город Нагоя. При полете над Японией их преследовали три японских истребителеля, но они скрылись от них в облаках. Подойдя к городу, летчики увидели пожары, образовавшиеся после бомбометания майора Хилгера. Бомбовая нагрузка В-25 Фэрроу состояла из четырех за</w:t>
      </w:r>
      <w:r w:rsidRPr="008A2E5A">
        <w:rPr>
          <w:rFonts w:ascii="Times New Roman" w:hAnsi="Times New Roman"/>
          <w:color w:val="0070C0"/>
          <w:sz w:val="16"/>
          <w:szCs w:val="16"/>
        </w:rPr>
        <w:softHyphen/>
        <w:t>жигательных бомб. Три из них были сброшены на склад ГСМ, а четвертая на авиационный завод. Над целью их об</w:t>
      </w:r>
      <w:r w:rsidRPr="008A2E5A">
        <w:rPr>
          <w:rFonts w:ascii="Times New Roman" w:hAnsi="Times New Roman"/>
          <w:color w:val="0070C0"/>
          <w:sz w:val="16"/>
          <w:szCs w:val="16"/>
        </w:rPr>
        <w:softHyphen/>
        <w:t>стреляла зенитная артиллерия, но не причинила видимых повреждений. После бомбометания экипаж выпрыгнул с парашютами и приземлился на территории, занятой япон</w:t>
      </w:r>
      <w:r w:rsidRPr="008A2E5A">
        <w:rPr>
          <w:rFonts w:ascii="Times New Roman" w:hAnsi="Times New Roman"/>
          <w:color w:val="0070C0"/>
          <w:sz w:val="16"/>
          <w:szCs w:val="16"/>
        </w:rPr>
        <w:softHyphen/>
        <w:t>скими войсками. Здесь все были взяты в плен солдатами китайского марионеточного правительства, которые со</w:t>
      </w:r>
      <w:r w:rsidRPr="008A2E5A">
        <w:rPr>
          <w:rFonts w:ascii="Times New Roman" w:hAnsi="Times New Roman"/>
          <w:color w:val="0070C0"/>
          <w:sz w:val="16"/>
          <w:szCs w:val="16"/>
        </w:rPr>
        <w:softHyphen/>
        <w:t>трудничали с японцами. Вскоре их передали японцам, ко</w:t>
      </w:r>
      <w:r w:rsidRPr="008A2E5A">
        <w:rPr>
          <w:rFonts w:ascii="Times New Roman" w:hAnsi="Times New Roman"/>
          <w:color w:val="0070C0"/>
          <w:sz w:val="16"/>
          <w:szCs w:val="16"/>
        </w:rPr>
        <w:softHyphen/>
        <w:t>торые их судили. Лейтенант Фэрроу и сержант Спац были приговорены к смертной казни. Их казнили 15 октября 1942 года. Остальные члены экипажа были освобождены из плена после окончания войны.</w:t>
      </w:r>
    </w:p>
    <w:p w14:paraId="7E9C06E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некоторое время после рейда Дулиттл собрал тринадцать экипажей. Стало известно, что капитан Йорк</w:t>
      </w:r>
    </w:p>
    <w:p w14:paraId="42C0F381"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В-25 № 40-2249, взлетевший одиннадцатым. С обеих сторон носовой части нанесен рисунок обнаженной женщины с крыльями на спине, которая в руках держит бомбу. Перед рисунком видно пятно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место, где было написано имя самолета Hari karier, которое закрасили</w:t>
      </w:r>
    </w:p>
    <w:p w14:paraId="7F4A68D0"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сел в СССР и что весь экипаж цел. Оставалась неизвестна судьба двух экипажей. Дулиттлу сообщили, </w:t>
      </w:r>
      <w:proofErr w:type="gramStart"/>
      <w:r w:rsidRPr="008A2E5A">
        <w:rPr>
          <w:rFonts w:ascii="Times New Roman" w:hAnsi="Times New Roman"/>
          <w:color w:val="0070C0"/>
          <w:sz w:val="16"/>
          <w:szCs w:val="16"/>
        </w:rPr>
        <w:t>что по некоторым сведениям</w:t>
      </w:r>
      <w:proofErr w:type="gramEnd"/>
      <w:r w:rsidRPr="008A2E5A">
        <w:rPr>
          <w:rFonts w:ascii="Times New Roman" w:hAnsi="Times New Roman"/>
          <w:color w:val="0070C0"/>
          <w:sz w:val="16"/>
          <w:szCs w:val="16"/>
        </w:rPr>
        <w:t>, несколько членов одного из пропавших экипа</w:t>
      </w:r>
      <w:r w:rsidRPr="008A2E5A">
        <w:rPr>
          <w:rFonts w:ascii="Times New Roman" w:hAnsi="Times New Roman"/>
          <w:color w:val="0070C0"/>
          <w:sz w:val="16"/>
          <w:szCs w:val="16"/>
        </w:rPr>
        <w:softHyphen/>
        <w:t>жей находятся в плену у марионе</w:t>
      </w:r>
      <w:r w:rsidRPr="008A2E5A">
        <w:rPr>
          <w:rFonts w:ascii="Times New Roman" w:hAnsi="Times New Roman"/>
          <w:color w:val="0070C0"/>
          <w:sz w:val="16"/>
          <w:szCs w:val="16"/>
        </w:rPr>
        <w:softHyphen/>
        <w:t>точного китайского правительства, подконтрольного японцам. Дулиттл предложил китайскому командова</w:t>
      </w:r>
      <w:r w:rsidRPr="008A2E5A">
        <w:rPr>
          <w:rFonts w:ascii="Times New Roman" w:hAnsi="Times New Roman"/>
          <w:color w:val="0070C0"/>
          <w:sz w:val="16"/>
          <w:szCs w:val="16"/>
        </w:rPr>
        <w:softHyphen/>
        <w:t>нию организовать спецоперацию для освобождения пленных летчи</w:t>
      </w:r>
      <w:r w:rsidRPr="008A2E5A">
        <w:rPr>
          <w:rFonts w:ascii="Times New Roman" w:hAnsi="Times New Roman"/>
          <w:color w:val="0070C0"/>
          <w:sz w:val="16"/>
          <w:szCs w:val="16"/>
        </w:rPr>
        <w:softHyphen/>
        <w:t>ков или подкупить кого-то, у кого со</w:t>
      </w:r>
      <w:r w:rsidRPr="008A2E5A">
        <w:rPr>
          <w:rFonts w:ascii="Times New Roman" w:hAnsi="Times New Roman"/>
          <w:color w:val="0070C0"/>
          <w:sz w:val="16"/>
          <w:szCs w:val="16"/>
        </w:rPr>
        <w:softHyphen/>
        <w:t>держатся пленники. Однако из этого ничего не вышло.</w:t>
      </w:r>
    </w:p>
    <w:p w14:paraId="64A3E24E"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из 80 летчиков, принимав</w:t>
      </w:r>
      <w:r w:rsidRPr="008A2E5A">
        <w:rPr>
          <w:rFonts w:ascii="Times New Roman" w:hAnsi="Times New Roman"/>
          <w:color w:val="0070C0"/>
          <w:sz w:val="16"/>
          <w:szCs w:val="16"/>
        </w:rPr>
        <w:softHyphen/>
        <w:t>ших участие в рейде, во время опе</w:t>
      </w:r>
      <w:r w:rsidRPr="008A2E5A">
        <w:rPr>
          <w:rFonts w:ascii="Times New Roman" w:hAnsi="Times New Roman"/>
          <w:color w:val="0070C0"/>
          <w:sz w:val="16"/>
          <w:szCs w:val="16"/>
        </w:rPr>
        <w:softHyphen/>
        <w:t>рации погибло три человека, восемь человек попало в плен, троих из них казнили, один умер в плену. Во время рейда получили травмы (при прыжках с парашютом и вынужденных посад</w:t>
      </w:r>
      <w:r w:rsidRPr="008A2E5A">
        <w:rPr>
          <w:rFonts w:ascii="Times New Roman" w:hAnsi="Times New Roman"/>
          <w:color w:val="0070C0"/>
          <w:sz w:val="16"/>
          <w:szCs w:val="16"/>
        </w:rPr>
        <w:softHyphen/>
        <w:t>ках) десять человек.</w:t>
      </w:r>
    </w:p>
    <w:p w14:paraId="7E2DB627"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японским данным в результате бомбардировки погибло восемьдесят семь человек, был тяжело ранен 151 человек, легкие ранения получили 311 человек (в основном гражданские лица, в том числе и дети). Погибшие гражданские лица были главной причиной вынесенного приговора о смертной казни троим пилотам, попавшим в плен. Стрелки бомбарди</w:t>
      </w:r>
      <w:r w:rsidRPr="008A2E5A">
        <w:rPr>
          <w:rFonts w:ascii="Times New Roman" w:hAnsi="Times New Roman"/>
          <w:color w:val="0070C0"/>
          <w:sz w:val="16"/>
          <w:szCs w:val="16"/>
        </w:rPr>
        <w:softHyphen/>
        <w:t>ровщиков сбили два японских истре</w:t>
      </w:r>
      <w:r w:rsidRPr="008A2E5A">
        <w:rPr>
          <w:rFonts w:ascii="Times New Roman" w:hAnsi="Times New Roman"/>
          <w:color w:val="0070C0"/>
          <w:sz w:val="16"/>
          <w:szCs w:val="16"/>
        </w:rPr>
        <w:softHyphen/>
        <w:t>бителя, один возможно сбили и три повредили. Экипажам повезло, что на тот момент истребительные группы, базировавшиеся на территории Япо</w:t>
      </w:r>
      <w:r w:rsidRPr="008A2E5A">
        <w:rPr>
          <w:rFonts w:ascii="Times New Roman" w:hAnsi="Times New Roman"/>
          <w:color w:val="0070C0"/>
          <w:sz w:val="16"/>
          <w:szCs w:val="16"/>
        </w:rPr>
        <w:softHyphen/>
        <w:t>нии и обеспечивающие её ПВО, имели на вооружении устаревшие самолеты. Это привело к тому, что эти истреби</w:t>
      </w:r>
      <w:r w:rsidRPr="008A2E5A">
        <w:rPr>
          <w:rFonts w:ascii="Times New Roman" w:hAnsi="Times New Roman"/>
          <w:color w:val="0070C0"/>
          <w:sz w:val="16"/>
          <w:szCs w:val="16"/>
        </w:rPr>
        <w:softHyphen/>
        <w:t>тели не могли догнать бомбардиров</w:t>
      </w:r>
      <w:r w:rsidRPr="008A2E5A">
        <w:rPr>
          <w:rFonts w:ascii="Times New Roman" w:hAnsi="Times New Roman"/>
          <w:color w:val="0070C0"/>
          <w:sz w:val="16"/>
          <w:szCs w:val="16"/>
        </w:rPr>
        <w:softHyphen/>
        <w:t>щики (особенно после того, как по</w:t>
      </w:r>
      <w:r w:rsidRPr="008A2E5A">
        <w:rPr>
          <w:rFonts w:ascii="Times New Roman" w:hAnsi="Times New Roman"/>
          <w:color w:val="0070C0"/>
          <w:sz w:val="16"/>
          <w:szCs w:val="16"/>
        </w:rPr>
        <w:softHyphen/>
        <w:t>следние освобождались от бомб) или произвести более одной атаки.</w:t>
      </w:r>
    </w:p>
    <w:p w14:paraId="3AB204FB"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Японская общественность осу</w:t>
      </w:r>
      <w:r w:rsidRPr="008A2E5A">
        <w:rPr>
          <w:rFonts w:ascii="Times New Roman" w:hAnsi="Times New Roman"/>
          <w:color w:val="0070C0"/>
          <w:sz w:val="16"/>
          <w:szCs w:val="16"/>
        </w:rPr>
        <w:softHyphen/>
        <w:t>ждала варварскую бомбардировку. Японское командование поначалу предположило, что самолеты, бом</w:t>
      </w:r>
      <w:r w:rsidRPr="008A2E5A">
        <w:rPr>
          <w:rFonts w:ascii="Times New Roman" w:hAnsi="Times New Roman"/>
          <w:color w:val="0070C0"/>
          <w:sz w:val="16"/>
          <w:szCs w:val="16"/>
        </w:rPr>
        <w:softHyphen/>
        <w:t>бившие Японию, стартовали с атолла Мидуэй или с Аляски. Это ускорило сроки и укрепило их уверенность в необходимости проведения операции по захвату Мидуэя. Также японское командование в Китае провело опе</w:t>
      </w:r>
      <w:r w:rsidRPr="008A2E5A">
        <w:rPr>
          <w:rFonts w:ascii="Times New Roman" w:hAnsi="Times New Roman"/>
          <w:color w:val="0070C0"/>
          <w:sz w:val="16"/>
          <w:szCs w:val="16"/>
        </w:rPr>
        <w:softHyphen/>
        <w:t>рацию по поиску приземлившихся на их территории американских летчи</w:t>
      </w:r>
      <w:r w:rsidRPr="008A2E5A">
        <w:rPr>
          <w:rFonts w:ascii="Times New Roman" w:hAnsi="Times New Roman"/>
          <w:color w:val="0070C0"/>
          <w:sz w:val="16"/>
          <w:szCs w:val="16"/>
        </w:rPr>
        <w:softHyphen/>
        <w:t xml:space="preserve">ков. Во время этой операции было убито много жителей, разграблено и сожжено много сел. </w:t>
      </w:r>
      <w:proofErr w:type="gramStart"/>
      <w:r w:rsidRPr="008A2E5A">
        <w:rPr>
          <w:rFonts w:ascii="Times New Roman" w:hAnsi="Times New Roman"/>
          <w:color w:val="0070C0"/>
          <w:sz w:val="16"/>
          <w:szCs w:val="16"/>
        </w:rPr>
        <w:t>Там где</w:t>
      </w:r>
      <w:proofErr w:type="gramEnd"/>
      <w:r w:rsidRPr="008A2E5A">
        <w:rPr>
          <w:rFonts w:ascii="Times New Roman" w:hAnsi="Times New Roman"/>
          <w:color w:val="0070C0"/>
          <w:sz w:val="16"/>
          <w:szCs w:val="16"/>
        </w:rPr>
        <w:t xml:space="preserve"> японцы узнавали, что население помогало американским летчикам, репрессии были особенно зверскими. Для уси</w:t>
      </w:r>
      <w:r w:rsidRPr="008A2E5A">
        <w:rPr>
          <w:rFonts w:ascii="Times New Roman" w:hAnsi="Times New Roman"/>
          <w:color w:val="0070C0"/>
          <w:sz w:val="16"/>
          <w:szCs w:val="16"/>
        </w:rPr>
        <w:softHyphen/>
        <w:t>ления обороны территории Японии от авианалётов, японское командование перебросило туда четыре истреби</w:t>
      </w:r>
      <w:r w:rsidRPr="008A2E5A">
        <w:rPr>
          <w:rFonts w:ascii="Times New Roman" w:hAnsi="Times New Roman"/>
          <w:color w:val="0070C0"/>
          <w:sz w:val="16"/>
          <w:szCs w:val="16"/>
        </w:rPr>
        <w:softHyphen/>
        <w:t>тельных группы армейской авиации, которые были нужны на других теа</w:t>
      </w:r>
      <w:r w:rsidRPr="008A2E5A">
        <w:rPr>
          <w:rFonts w:ascii="Times New Roman" w:hAnsi="Times New Roman"/>
          <w:color w:val="0070C0"/>
          <w:sz w:val="16"/>
          <w:szCs w:val="16"/>
        </w:rPr>
        <w:softHyphen/>
        <w:t>трах боевых действий.</w:t>
      </w:r>
    </w:p>
    <w:p w14:paraId="5A75F31D" w14:textId="77777777" w:rsidR="009577B1" w:rsidRPr="008A2E5A" w:rsidRDefault="009577B1" w:rsidP="00957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воспоминаниям Дулиттла, он думал, что рейд, закончившийся поте</w:t>
      </w:r>
      <w:r w:rsidRPr="008A2E5A">
        <w:rPr>
          <w:rFonts w:ascii="Times New Roman" w:hAnsi="Times New Roman"/>
          <w:color w:val="0070C0"/>
          <w:sz w:val="16"/>
          <w:szCs w:val="16"/>
        </w:rPr>
        <w:softHyphen/>
        <w:t>рей всех самолетов, был неудачным. Он считал, что его будут судить су</w:t>
      </w:r>
      <w:r w:rsidRPr="008A2E5A">
        <w:rPr>
          <w:rFonts w:ascii="Times New Roman" w:hAnsi="Times New Roman"/>
          <w:color w:val="0070C0"/>
          <w:sz w:val="16"/>
          <w:szCs w:val="16"/>
        </w:rPr>
        <w:softHyphen/>
        <w:t>дом военного трибунала. Однако он ошибался. Главная цель рейда была выполнена, в глазах общественности США этот рейд был первой победой, одержанной США в этой войне. В дей</w:t>
      </w:r>
      <w:r w:rsidRPr="008A2E5A">
        <w:rPr>
          <w:rFonts w:ascii="Times New Roman" w:hAnsi="Times New Roman"/>
          <w:color w:val="0070C0"/>
          <w:sz w:val="16"/>
          <w:szCs w:val="16"/>
        </w:rPr>
        <w:softHyphen/>
        <w:t>ствительности, до этого у армии США не было никаких крупных успехов. И хотя ущерб, который они нанесли, был небольшим, рейд серьезно укрепил боевой дух населения США, его веру в победу и необходимость вести борьбу до конца. После того как стало из</w:t>
      </w:r>
      <w:r w:rsidRPr="008A2E5A">
        <w:rPr>
          <w:rFonts w:ascii="Times New Roman" w:hAnsi="Times New Roman"/>
          <w:color w:val="0070C0"/>
          <w:sz w:val="16"/>
          <w:szCs w:val="16"/>
        </w:rPr>
        <w:softHyphen/>
        <w:t>вестно о рейде Дулиттла, заголовки американских газет начинались с со</w:t>
      </w:r>
      <w:r w:rsidRPr="008A2E5A">
        <w:rPr>
          <w:rFonts w:ascii="Times New Roman" w:hAnsi="Times New Roman"/>
          <w:color w:val="0070C0"/>
          <w:sz w:val="16"/>
          <w:szCs w:val="16"/>
        </w:rPr>
        <w:softHyphen/>
        <w:t>общения об этом событии. Американское командование не хотело раскры</w:t>
      </w:r>
      <w:r w:rsidRPr="008A2E5A">
        <w:rPr>
          <w:rFonts w:ascii="Times New Roman" w:hAnsi="Times New Roman"/>
          <w:color w:val="0070C0"/>
          <w:sz w:val="16"/>
          <w:szCs w:val="16"/>
        </w:rPr>
        <w:softHyphen/>
        <w:t>вать все детали операции и поэтому на вопрос одного журналиста, задан</w:t>
      </w:r>
      <w:r w:rsidRPr="008A2E5A">
        <w:rPr>
          <w:rFonts w:ascii="Times New Roman" w:hAnsi="Times New Roman"/>
          <w:color w:val="0070C0"/>
          <w:sz w:val="16"/>
          <w:szCs w:val="16"/>
        </w:rPr>
        <w:softHyphen/>
        <w:t xml:space="preserve">ный президенту Ф.Д.Рузвельту о том, откуда стартовали бомбардировщики, нанесшие удар по Японии, тот ответил, что бомбардировщики стартовали из Шангри-Ла. Шангри-Ла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вы</w:t>
      </w:r>
      <w:r w:rsidRPr="008A2E5A">
        <w:rPr>
          <w:rFonts w:ascii="Times New Roman" w:hAnsi="Times New Roman"/>
          <w:color w:val="0070C0"/>
          <w:sz w:val="16"/>
          <w:szCs w:val="16"/>
        </w:rPr>
        <w:softHyphen/>
        <w:t xml:space="preserve">мышленная страна, которую описал писатель-фантаст Джеймс Хилтон в романе «Потерянный горизонт» в 1933 году. Шангри-ла Хилтона является литературной аллегорией Шамбалы (мифической страны, расположенной где-то в Тибете). В 1937 году по книге был снят одноименный фильм. Позже, в 1944 году, один из авианосцев ВМС США назвали «Шангри-Ла». Лишь год спустя командование США раскрыло детали операции и рассказало, откуда стартовали бомбардировщики (23348). </w:t>
      </w:r>
    </w:p>
    <w:p w14:paraId="79FC88E2" w14:textId="77777777" w:rsidR="009577B1" w:rsidRPr="008A2E5A" w:rsidRDefault="009577B1" w:rsidP="009577B1">
      <w:pPr>
        <w:spacing w:after="0" w:line="240" w:lineRule="auto"/>
        <w:jc w:val="both"/>
        <w:rPr>
          <w:rFonts w:ascii="Times New Roman" w:hAnsi="Times New Roman"/>
          <w:color w:val="0070C0"/>
          <w:sz w:val="16"/>
          <w:szCs w:val="16"/>
        </w:rPr>
      </w:pPr>
    </w:p>
    <w:p w14:paraId="132706E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B419E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66D7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с положительным результатом закончились испытания Ил-4 с турельной и ЛУ под Березина 12.7 мм, проведенные НКАП совместно с АДД (1631,136).</w:t>
      </w:r>
    </w:p>
    <w:p w14:paraId="277892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52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л ЛИИ Раменское В.П.Федоров допустил аварию транспортного ДБ-3, т.к. сдали оба мотора и при посадке машина столкнулась с другим самолетом (2108).</w:t>
      </w:r>
    </w:p>
    <w:p w14:paraId="0F27B3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81C15" w14:textId="36637A35"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года по заводу № 21 (Ла-5) выпущен приказ №46с от, по которому назначались ответственные лица и конкретно выполняющие работу:</w:t>
      </w:r>
    </w:p>
    <w:p w14:paraId="751A271F"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Попов Р.А. - ответственный по подготовке самолета к госиспытаниям,</w:t>
      </w:r>
    </w:p>
    <w:p w14:paraId="075BB3C5"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3атван - ведущий инженер по испытаниям самолета,</w:t>
      </w:r>
    </w:p>
    <w:p w14:paraId="640C486F"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Раманов В.И. - ст. механик,</w:t>
      </w:r>
    </w:p>
    <w:p w14:paraId="4643A92F"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 болемов В. М. - механик, моторист,</w:t>
      </w:r>
    </w:p>
    <w:p w14:paraId="2CBE4844"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 Кондрашин - контролер,</w:t>
      </w:r>
    </w:p>
    <w:p w14:paraId="1AE72A87"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Рабов - контролер,</w:t>
      </w:r>
    </w:p>
    <w:p w14:paraId="31573E02"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Рощин инженер завода по вооружению, ответственный за испытания по вооружению,</w:t>
      </w:r>
    </w:p>
    <w:p w14:paraId="7AF298B5"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Смирнов </w:t>
      </w:r>
      <w:proofErr w:type="gramStart"/>
      <w:r w:rsidRPr="008127F8">
        <w:rPr>
          <w:rFonts w:ascii="Times New Roman" w:hAnsi="Times New Roman"/>
          <w:color w:val="000000" w:themeColor="text1"/>
          <w:sz w:val="16"/>
          <w:szCs w:val="16"/>
        </w:rPr>
        <w:t>В.А</w:t>
      </w:r>
      <w:proofErr w:type="gramEnd"/>
      <w:r w:rsidRPr="008127F8">
        <w:rPr>
          <w:rFonts w:ascii="Times New Roman" w:hAnsi="Times New Roman"/>
          <w:color w:val="000000" w:themeColor="text1"/>
          <w:sz w:val="16"/>
          <w:szCs w:val="16"/>
        </w:rPr>
        <w:t xml:space="preserve"> - моторист,</w:t>
      </w:r>
    </w:p>
    <w:p w14:paraId="47D94A9E"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9.Симанович - ведущий инженер по вооружению,</w:t>
      </w:r>
    </w:p>
    <w:p w14:paraId="76107AC5"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Малышев - мастер по вооружению,</w:t>
      </w:r>
    </w:p>
    <w:p w14:paraId="7142BC91"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Сурин - слесарь- вооруженец,</w:t>
      </w:r>
    </w:p>
    <w:p w14:paraId="2849012F"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Карпунин - слесарь- вооруженец».</w:t>
      </w:r>
    </w:p>
    <w:p w14:paraId="13BF4151"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цеха 50 т.Фокину предписывалось «под личную ответственность обеспечить всем необходимым для проведения испытания в первую очередь и лично проследить за ходам испытания с учетом окончания работ в установленный срок, согласно приказу НКАП» (21100).</w:t>
      </w:r>
    </w:p>
    <w:p w14:paraId="2B3980B7" w14:textId="77777777" w:rsidR="0037361C" w:rsidRPr="008127F8" w:rsidRDefault="0037361C" w:rsidP="001E0A84">
      <w:pPr>
        <w:spacing w:after="0" w:line="240" w:lineRule="auto"/>
        <w:jc w:val="both"/>
        <w:rPr>
          <w:rFonts w:ascii="Times New Roman" w:hAnsi="Times New Roman"/>
          <w:color w:val="000000" w:themeColor="text1"/>
          <w:sz w:val="16"/>
          <w:szCs w:val="16"/>
        </w:rPr>
      </w:pPr>
    </w:p>
    <w:p w14:paraId="010C56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вышло постановление ГКО N 1573 о создании производственной базы для ОКБ С.В.И. (1550,18).</w:t>
      </w:r>
    </w:p>
    <w:p w14:paraId="516824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постановлением ОКБ С.В.И. было возвращено в Москву и слито с заводом 240 (1680,168).</w:t>
      </w:r>
    </w:p>
    <w:p w14:paraId="234ADB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D458B"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апреля 1942 г. Постановление ГКО опреде</w:t>
      </w:r>
      <w:r w:rsidRPr="008A2E5A">
        <w:rPr>
          <w:rFonts w:ascii="Times New Roman" w:hAnsi="Times New Roman"/>
          <w:color w:val="0070C0"/>
          <w:sz w:val="16"/>
          <w:szCs w:val="16"/>
        </w:rPr>
        <w:softHyphen/>
        <w:t>ляло дату сдачи самолета «А» МиГ на Государст</w:t>
      </w:r>
      <w:r w:rsidRPr="008A2E5A">
        <w:rPr>
          <w:rFonts w:ascii="Times New Roman" w:hAnsi="Times New Roman"/>
          <w:color w:val="0070C0"/>
          <w:sz w:val="16"/>
          <w:szCs w:val="16"/>
        </w:rPr>
        <w:softHyphen/>
        <w:t>венные испытания не позднее 1 октября 1942 г. Оно же задавало и его основ</w:t>
      </w:r>
      <w:r w:rsidRPr="008A2E5A">
        <w:rPr>
          <w:rFonts w:ascii="Times New Roman" w:hAnsi="Times New Roman"/>
          <w:color w:val="0070C0"/>
          <w:sz w:val="16"/>
          <w:szCs w:val="16"/>
        </w:rPr>
        <w:softHyphen/>
        <w:t>ные летные данные - скорость на высо</w:t>
      </w:r>
      <w:r w:rsidRPr="008A2E5A">
        <w:rPr>
          <w:rFonts w:ascii="Times New Roman" w:hAnsi="Times New Roman"/>
          <w:color w:val="0070C0"/>
          <w:sz w:val="16"/>
          <w:szCs w:val="16"/>
        </w:rPr>
        <w:softHyphen/>
        <w:t>те 7600 м не хуже 680 км/ч, время на</w:t>
      </w:r>
      <w:r w:rsidRPr="008A2E5A">
        <w:rPr>
          <w:rFonts w:ascii="Times New Roman" w:hAnsi="Times New Roman"/>
          <w:color w:val="0070C0"/>
          <w:sz w:val="16"/>
          <w:szCs w:val="16"/>
        </w:rPr>
        <w:softHyphen/>
        <w:t>бора 5000 м не более 5 мин, практиче</w:t>
      </w:r>
      <w:r w:rsidRPr="008A2E5A">
        <w:rPr>
          <w:rFonts w:ascii="Times New Roman" w:hAnsi="Times New Roman"/>
          <w:color w:val="0070C0"/>
          <w:sz w:val="16"/>
          <w:szCs w:val="16"/>
        </w:rPr>
        <w:softHyphen/>
        <w:t>ский потолок не ниже 11000 м и даль</w:t>
      </w:r>
      <w:r w:rsidRPr="008A2E5A">
        <w:rPr>
          <w:rFonts w:ascii="Times New Roman" w:hAnsi="Times New Roman"/>
          <w:color w:val="0070C0"/>
          <w:sz w:val="16"/>
          <w:szCs w:val="16"/>
        </w:rPr>
        <w:softHyphen/>
        <w:t>ность на скорости 90% от максимальной не меньше 700 км с нормальным весом и 850 - с перегрузочным.</w:t>
      </w:r>
    </w:p>
    <w:p w14:paraId="0471D4B2"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проектирование самолета «А» и на строительство двух его опытных экзем</w:t>
      </w:r>
      <w:r w:rsidRPr="008A2E5A">
        <w:rPr>
          <w:rFonts w:ascii="Times New Roman" w:hAnsi="Times New Roman"/>
          <w:color w:val="0070C0"/>
          <w:sz w:val="16"/>
          <w:szCs w:val="16"/>
        </w:rPr>
        <w:softHyphen/>
        <w:t>пляров в уточненном бюджете на 1942 г. было выделено шесть миллионов рублей, а на создание мотора АМ-39 - четыре миллиона (23400).</w:t>
      </w:r>
    </w:p>
    <w:p w14:paraId="1DF9530F" w14:textId="77777777" w:rsidR="00607B0C" w:rsidRPr="008A2E5A" w:rsidRDefault="00607B0C" w:rsidP="00607B0C">
      <w:pPr>
        <w:spacing w:after="0" w:line="240" w:lineRule="auto"/>
        <w:jc w:val="both"/>
        <w:rPr>
          <w:rFonts w:ascii="Times New Roman" w:hAnsi="Times New Roman"/>
          <w:color w:val="0070C0"/>
          <w:sz w:val="16"/>
          <w:szCs w:val="16"/>
        </w:rPr>
      </w:pPr>
    </w:p>
    <w:p w14:paraId="09C3F7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на заседании Военного Совета ВВС рассмотрели вопрос о запчастях к самолетам и моторам (340,73).</w:t>
      </w:r>
    </w:p>
    <w:p w14:paraId="3DEA2E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F70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года за подписью И.В.Сталина было подготовлено Постановление ГКО По вопросу: утверждения плана опытного самолетостроения на 1942 г.</w:t>
      </w:r>
    </w:p>
    <w:p w14:paraId="575A1F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постановляет:</w:t>
      </w:r>
    </w:p>
    <w:p w14:paraId="376455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Утвердить план опытного строительства самолетов и модификаций на 1942 год, </w:t>
      </w:r>
      <w:proofErr w:type="gramStart"/>
      <w:r w:rsidRPr="008127F8">
        <w:rPr>
          <w:rFonts w:ascii="Times New Roman" w:hAnsi="Times New Roman"/>
          <w:color w:val="000000" w:themeColor="text1"/>
          <w:sz w:val="16"/>
          <w:szCs w:val="16"/>
        </w:rPr>
        <w:t>согласно приложений</w:t>
      </w:r>
      <w:proofErr w:type="gramEnd"/>
      <w:r w:rsidRPr="008127F8">
        <w:rPr>
          <w:rFonts w:ascii="Times New Roman" w:hAnsi="Times New Roman"/>
          <w:color w:val="000000" w:themeColor="text1"/>
          <w:sz w:val="16"/>
          <w:szCs w:val="16"/>
        </w:rPr>
        <w:t xml:space="preserve"> NN 1 и 2.</w:t>
      </w:r>
    </w:p>
    <w:p w14:paraId="1F3BD3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Прекратить работы по опытным самолетам и модификациям, перечисленным в приложении N 3 и отменить соответствующие постановления о строительстве этих самолетов.</w:t>
      </w:r>
    </w:p>
    <w:p w14:paraId="552D49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Опытно-конструкторское бюро Кочеригина, Грушина, Архангельского, Голубкова, Незваль, Камова и Горбунова не имеющие самолетов в серийном производстве, использовать в дальнейшем на заводах НКАП для усиления работы по серийным самолетам и по ремонту отечественных и заграничных самолетов.</w:t>
      </w:r>
    </w:p>
    <w:p w14:paraId="456CDD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Наркомфину выделить НКАП для проведения работ 102 млн. рублей из госбюджета, из них:</w:t>
      </w:r>
    </w:p>
    <w:p w14:paraId="7C89BB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строительство новых опытных самолетов и модификаций,</w:t>
      </w:r>
    </w:p>
    <w:p w14:paraId="4AF12C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приложения</w:t>
      </w:r>
      <w:proofErr w:type="gramEnd"/>
      <w:r w:rsidRPr="008127F8">
        <w:rPr>
          <w:rFonts w:ascii="Times New Roman" w:hAnsi="Times New Roman"/>
          <w:color w:val="000000" w:themeColor="text1"/>
          <w:sz w:val="16"/>
          <w:szCs w:val="16"/>
        </w:rPr>
        <w:t xml:space="preserve"> N 1 - 65 млн. руб.</w:t>
      </w:r>
    </w:p>
    <w:p w14:paraId="2155FE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на строительство опытных самолетов, переходящих с</w:t>
      </w:r>
    </w:p>
    <w:p w14:paraId="7B1C01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плана 1941 г. </w:t>
      </w:r>
      <w:proofErr w:type="gramStart"/>
      <w:r w:rsidRPr="008127F8">
        <w:rPr>
          <w:rFonts w:ascii="Times New Roman" w:hAnsi="Times New Roman"/>
          <w:color w:val="000000" w:themeColor="text1"/>
          <w:sz w:val="16"/>
          <w:szCs w:val="16"/>
        </w:rPr>
        <w:t>согласно приложения</w:t>
      </w:r>
      <w:proofErr w:type="gramEnd"/>
      <w:r w:rsidRPr="008127F8">
        <w:rPr>
          <w:rFonts w:ascii="Times New Roman" w:hAnsi="Times New Roman"/>
          <w:color w:val="000000" w:themeColor="text1"/>
          <w:sz w:val="16"/>
          <w:szCs w:val="16"/>
        </w:rPr>
        <w:t xml:space="preserve"> N 2 - 37 млн. руб.</w:t>
      </w:r>
    </w:p>
    <w:p w14:paraId="7C6C59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Наркому Авиапрома производить в необходимых случаях перераспределение средств между отдельными объектами в пределах общего ассигнования средств.</w:t>
      </w:r>
    </w:p>
    <w:p w14:paraId="63BCBB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целях быстрейшего проведения работ по улучшению летно-тактических данных серийных самолетов, разрешить НКАП проводить в 1942 году необходимые для этого научно-исследовательские работы, постройку образцов самолетов, предметов вооружения, агрегатов и приборов без специальных решений правительства в каждом отдельном случае.</w:t>
      </w:r>
    </w:p>
    <w:p w14:paraId="5A6FFF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Наркомфину выделить для проведения указанных работ в распоряжение НКАП 20 млн. рублей из госбюджета.</w:t>
      </w:r>
    </w:p>
    <w:p w14:paraId="15A4BC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Разрешить НКАП списать расходы, произведенные до 1.171942 года по самолетам прекращенным строительством за счет </w:t>
      </w:r>
      <w:proofErr w:type="gramStart"/>
      <w:r w:rsidRPr="008127F8">
        <w:rPr>
          <w:rFonts w:ascii="Times New Roman" w:hAnsi="Times New Roman"/>
          <w:color w:val="000000" w:themeColor="text1"/>
          <w:sz w:val="16"/>
          <w:szCs w:val="16"/>
        </w:rPr>
        <w:t>средств</w:t>
      </w:r>
      <w:proofErr w:type="gramEnd"/>
      <w:r w:rsidRPr="008127F8">
        <w:rPr>
          <w:rFonts w:ascii="Times New Roman" w:hAnsi="Times New Roman"/>
          <w:color w:val="000000" w:themeColor="text1"/>
          <w:sz w:val="16"/>
          <w:szCs w:val="16"/>
        </w:rPr>
        <w:t xml:space="preserve"> ассигнованных на эти объекты, обязать Наркомфин покрыть фактические затраты, произведенные с 171.1942 г. до момента прекращения работ по этим объектам за счет резервного фонда СНК по представлению НКАП отчетов.</w:t>
      </w:r>
    </w:p>
    <w:p w14:paraId="6BD1DE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Наркомфин выделить в распоряжение Наркома Авиапрома 6 млн. рублей на инициативные работы главных конструкторов.</w:t>
      </w:r>
    </w:p>
    <w:p w14:paraId="6D54D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строительства новых опытных самолетов и модификаций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860"/>
        <w:gridCol w:w="649"/>
        <w:gridCol w:w="755"/>
        <w:gridCol w:w="817"/>
        <w:gridCol w:w="746"/>
        <w:gridCol w:w="893"/>
        <w:gridCol w:w="667"/>
        <w:gridCol w:w="1135"/>
        <w:gridCol w:w="598"/>
        <w:gridCol w:w="958"/>
      </w:tblGrid>
      <w:tr w:rsidR="006F4095" w:rsidRPr="008127F8" w14:paraId="32576B75" w14:textId="77777777">
        <w:tc>
          <w:tcPr>
            <w:tcW w:w="1668" w:type="dxa"/>
            <w:tcBorders>
              <w:top w:val="single" w:sz="12" w:space="0" w:color="auto"/>
            </w:tcBorders>
          </w:tcPr>
          <w:p w14:paraId="6A68C2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w:t>
            </w:r>
          </w:p>
        </w:tc>
        <w:tc>
          <w:tcPr>
            <w:tcW w:w="850" w:type="dxa"/>
            <w:tcBorders>
              <w:top w:val="single" w:sz="12" w:space="0" w:color="auto"/>
            </w:tcBorders>
          </w:tcPr>
          <w:p w14:paraId="4FE7B7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км/час</w:t>
            </w:r>
          </w:p>
        </w:tc>
        <w:tc>
          <w:tcPr>
            <w:tcW w:w="860" w:type="dxa"/>
            <w:tcBorders>
              <w:top w:val="single" w:sz="12" w:space="0" w:color="auto"/>
            </w:tcBorders>
          </w:tcPr>
          <w:p w14:paraId="077D04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Borders>
              <w:top w:val="single" w:sz="12" w:space="0" w:color="auto"/>
            </w:tcBorders>
          </w:tcPr>
          <w:p w14:paraId="622312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Borders>
              <w:top w:val="single" w:sz="12" w:space="0" w:color="auto"/>
            </w:tcBorders>
          </w:tcPr>
          <w:p w14:paraId="76782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w:t>
            </w:r>
          </w:p>
        </w:tc>
        <w:tc>
          <w:tcPr>
            <w:tcW w:w="817" w:type="dxa"/>
            <w:tcBorders>
              <w:top w:val="single" w:sz="12" w:space="0" w:color="auto"/>
            </w:tcBorders>
          </w:tcPr>
          <w:p w14:paraId="7A2BD9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w:t>
            </w:r>
          </w:p>
        </w:tc>
        <w:tc>
          <w:tcPr>
            <w:tcW w:w="746" w:type="dxa"/>
            <w:tcBorders>
              <w:top w:val="single" w:sz="12" w:space="0" w:color="auto"/>
            </w:tcBorders>
          </w:tcPr>
          <w:p w14:paraId="7F4C96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893" w:type="dxa"/>
            <w:tcBorders>
              <w:top w:val="single" w:sz="12" w:space="0" w:color="auto"/>
            </w:tcBorders>
          </w:tcPr>
          <w:p w14:paraId="383695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tc>
        <w:tc>
          <w:tcPr>
            <w:tcW w:w="667" w:type="dxa"/>
            <w:tcBorders>
              <w:top w:val="single" w:sz="12" w:space="0" w:color="auto"/>
            </w:tcBorders>
          </w:tcPr>
          <w:p w14:paraId="21226E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Borders>
              <w:top w:val="single" w:sz="12" w:space="0" w:color="auto"/>
            </w:tcBorders>
          </w:tcPr>
          <w:p w14:paraId="40F42B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w:t>
            </w:r>
          </w:p>
        </w:tc>
        <w:tc>
          <w:tcPr>
            <w:tcW w:w="598" w:type="dxa"/>
            <w:tcBorders>
              <w:top w:val="single" w:sz="12" w:space="0" w:color="auto"/>
            </w:tcBorders>
          </w:tcPr>
          <w:p w14:paraId="722E67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w:t>
            </w:r>
          </w:p>
        </w:tc>
        <w:tc>
          <w:tcPr>
            <w:tcW w:w="958" w:type="dxa"/>
            <w:tcBorders>
              <w:top w:val="single" w:sz="12" w:space="0" w:color="auto"/>
            </w:tcBorders>
          </w:tcPr>
          <w:p w14:paraId="794049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A2C36C" w14:textId="77777777">
        <w:tc>
          <w:tcPr>
            <w:tcW w:w="1668" w:type="dxa"/>
          </w:tcPr>
          <w:p w14:paraId="5EC23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w:t>
            </w:r>
          </w:p>
        </w:tc>
        <w:tc>
          <w:tcPr>
            <w:tcW w:w="850" w:type="dxa"/>
          </w:tcPr>
          <w:p w14:paraId="5C322B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860" w:type="dxa"/>
          </w:tcPr>
          <w:p w14:paraId="0BBE75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расч</w:t>
            </w:r>
          </w:p>
        </w:tc>
        <w:tc>
          <w:tcPr>
            <w:tcW w:w="649" w:type="dxa"/>
          </w:tcPr>
          <w:p w14:paraId="24BDEE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w:t>
            </w:r>
          </w:p>
        </w:tc>
        <w:tc>
          <w:tcPr>
            <w:tcW w:w="755" w:type="dxa"/>
          </w:tcPr>
          <w:p w14:paraId="2561E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w:t>
            </w:r>
          </w:p>
        </w:tc>
        <w:tc>
          <w:tcPr>
            <w:tcW w:w="817" w:type="dxa"/>
          </w:tcPr>
          <w:p w14:paraId="390CF0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5 тыс.</w:t>
            </w:r>
          </w:p>
        </w:tc>
        <w:tc>
          <w:tcPr>
            <w:tcW w:w="746" w:type="dxa"/>
          </w:tcPr>
          <w:p w14:paraId="407FDA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3EA25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w:t>
            </w:r>
          </w:p>
        </w:tc>
        <w:tc>
          <w:tcPr>
            <w:tcW w:w="667" w:type="dxa"/>
          </w:tcPr>
          <w:p w14:paraId="48A658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w:t>
            </w:r>
          </w:p>
        </w:tc>
        <w:tc>
          <w:tcPr>
            <w:tcW w:w="1135" w:type="dxa"/>
          </w:tcPr>
          <w:p w14:paraId="30B09D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Реактивн.</w:t>
            </w:r>
          </w:p>
        </w:tc>
        <w:tc>
          <w:tcPr>
            <w:tcW w:w="598" w:type="dxa"/>
          </w:tcPr>
          <w:p w14:paraId="0287DB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экз.</w:t>
            </w:r>
          </w:p>
        </w:tc>
        <w:tc>
          <w:tcPr>
            <w:tcW w:w="958" w:type="dxa"/>
          </w:tcPr>
          <w:p w14:paraId="30F589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предяв.</w:t>
            </w:r>
          </w:p>
        </w:tc>
      </w:tr>
      <w:tr w:rsidR="006F4095" w:rsidRPr="008127F8" w14:paraId="629283D4" w14:textId="77777777">
        <w:tc>
          <w:tcPr>
            <w:tcW w:w="1668" w:type="dxa"/>
          </w:tcPr>
          <w:p w14:paraId="3D2FD7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6C59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AAB5B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w:t>
            </w:r>
          </w:p>
        </w:tc>
        <w:tc>
          <w:tcPr>
            <w:tcW w:w="649" w:type="dxa"/>
          </w:tcPr>
          <w:p w14:paraId="0AD8BC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7D4DB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норм./</w:t>
            </w:r>
            <w:proofErr w:type="gramEnd"/>
          </w:p>
        </w:tc>
        <w:tc>
          <w:tcPr>
            <w:tcW w:w="817" w:type="dxa"/>
          </w:tcPr>
          <w:p w14:paraId="7BE2F9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746" w:type="dxa"/>
          </w:tcPr>
          <w:p w14:paraId="4D7D18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32942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0D9A6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8CEB7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D7245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3F17E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гос.</w:t>
            </w:r>
          </w:p>
        </w:tc>
      </w:tr>
      <w:tr w:rsidR="006F4095" w:rsidRPr="008127F8" w14:paraId="01AB4E00" w14:textId="77777777">
        <w:tc>
          <w:tcPr>
            <w:tcW w:w="1668" w:type="dxa"/>
          </w:tcPr>
          <w:p w14:paraId="29D84A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AD60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B6244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3F48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72ABD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w:t>
            </w:r>
          </w:p>
        </w:tc>
        <w:tc>
          <w:tcPr>
            <w:tcW w:w="817" w:type="dxa"/>
          </w:tcPr>
          <w:p w14:paraId="5DC68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C3A5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3A1EF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66345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9704F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4A0D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AA547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w:t>
            </w:r>
          </w:p>
        </w:tc>
      </w:tr>
      <w:tr w:rsidR="006F4095" w:rsidRPr="008127F8" w14:paraId="61427FA2" w14:textId="77777777">
        <w:tc>
          <w:tcPr>
            <w:tcW w:w="1668" w:type="dxa"/>
          </w:tcPr>
          <w:p w14:paraId="23DC11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Истребители.</w:t>
            </w:r>
          </w:p>
        </w:tc>
        <w:tc>
          <w:tcPr>
            <w:tcW w:w="850" w:type="dxa"/>
          </w:tcPr>
          <w:p w14:paraId="4C8991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4AB57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C4927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D8EED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F352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8BEB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3CABC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3BBA8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14D3D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B2F06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616BC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0B2E7F" w14:textId="77777777">
        <w:tc>
          <w:tcPr>
            <w:tcW w:w="1668" w:type="dxa"/>
          </w:tcPr>
          <w:p w14:paraId="4F2743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w:t>
            </w:r>
          </w:p>
        </w:tc>
        <w:tc>
          <w:tcPr>
            <w:tcW w:w="850" w:type="dxa"/>
          </w:tcPr>
          <w:p w14:paraId="30512F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w:t>
            </w:r>
          </w:p>
        </w:tc>
        <w:tc>
          <w:tcPr>
            <w:tcW w:w="860" w:type="dxa"/>
          </w:tcPr>
          <w:p w14:paraId="3597B8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w:t>
            </w:r>
          </w:p>
        </w:tc>
        <w:tc>
          <w:tcPr>
            <w:tcW w:w="649" w:type="dxa"/>
          </w:tcPr>
          <w:p w14:paraId="188595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755" w:type="dxa"/>
          </w:tcPr>
          <w:p w14:paraId="57BB6B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700/850</w:t>
            </w:r>
          </w:p>
        </w:tc>
        <w:tc>
          <w:tcPr>
            <w:tcW w:w="817" w:type="dxa"/>
          </w:tcPr>
          <w:p w14:paraId="4C2090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46" w:type="dxa"/>
          </w:tcPr>
          <w:p w14:paraId="184A73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w:t>
            </w:r>
          </w:p>
        </w:tc>
        <w:tc>
          <w:tcPr>
            <w:tcW w:w="893" w:type="dxa"/>
          </w:tcPr>
          <w:p w14:paraId="7B4DA6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w:t>
            </w:r>
          </w:p>
        </w:tc>
        <w:tc>
          <w:tcPr>
            <w:tcW w:w="667" w:type="dxa"/>
          </w:tcPr>
          <w:p w14:paraId="6CEF17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0/200</w:t>
            </w:r>
          </w:p>
        </w:tc>
        <w:tc>
          <w:tcPr>
            <w:tcW w:w="1135" w:type="dxa"/>
          </w:tcPr>
          <w:p w14:paraId="2B6748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6РО-82</w:t>
            </w:r>
          </w:p>
        </w:tc>
        <w:tc>
          <w:tcPr>
            <w:tcW w:w="598" w:type="dxa"/>
          </w:tcPr>
          <w:p w14:paraId="344C8D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77D7B3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1.Х.42</w:t>
            </w:r>
          </w:p>
        </w:tc>
      </w:tr>
      <w:tr w:rsidR="006F4095" w:rsidRPr="008127F8" w14:paraId="0340C010" w14:textId="77777777">
        <w:tc>
          <w:tcPr>
            <w:tcW w:w="1668" w:type="dxa"/>
          </w:tcPr>
          <w:p w14:paraId="2D0386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w:t>
            </w:r>
          </w:p>
        </w:tc>
        <w:tc>
          <w:tcPr>
            <w:tcW w:w="850" w:type="dxa"/>
          </w:tcPr>
          <w:p w14:paraId="7B3E0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4EA00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7600</w:t>
            </w:r>
          </w:p>
        </w:tc>
        <w:tc>
          <w:tcPr>
            <w:tcW w:w="649" w:type="dxa"/>
          </w:tcPr>
          <w:p w14:paraId="7015F3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5239D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26B75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916A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8BCB2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мм</w:t>
            </w:r>
          </w:p>
        </w:tc>
        <w:tc>
          <w:tcPr>
            <w:tcW w:w="667" w:type="dxa"/>
          </w:tcPr>
          <w:p w14:paraId="0A1388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A584F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8EE61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C250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7B931E" w14:textId="77777777">
        <w:tc>
          <w:tcPr>
            <w:tcW w:w="1668" w:type="dxa"/>
          </w:tcPr>
          <w:p w14:paraId="6614D9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w:t>
            </w:r>
          </w:p>
        </w:tc>
        <w:tc>
          <w:tcPr>
            <w:tcW w:w="850" w:type="dxa"/>
          </w:tcPr>
          <w:p w14:paraId="48EC3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9EE88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EF903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1FAD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EA4B0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0FA7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697A6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w:t>
            </w:r>
          </w:p>
        </w:tc>
        <w:tc>
          <w:tcPr>
            <w:tcW w:w="667" w:type="dxa"/>
          </w:tcPr>
          <w:p w14:paraId="22D44C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5863F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A3777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CF0D7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AC49B6" w14:textId="77777777">
        <w:tc>
          <w:tcPr>
            <w:tcW w:w="1668" w:type="dxa"/>
          </w:tcPr>
          <w:p w14:paraId="75C7C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АМ-39</w:t>
            </w:r>
          </w:p>
        </w:tc>
        <w:tc>
          <w:tcPr>
            <w:tcW w:w="850" w:type="dxa"/>
          </w:tcPr>
          <w:p w14:paraId="0B55A4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F8F24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184B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B66A6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C0996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CD6C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1CD0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419717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C73A1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B0F8B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E6772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7E6BE0" w14:textId="77777777">
        <w:tc>
          <w:tcPr>
            <w:tcW w:w="1668" w:type="dxa"/>
          </w:tcPr>
          <w:p w14:paraId="2994B5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конструкции</w:t>
            </w:r>
          </w:p>
        </w:tc>
        <w:tc>
          <w:tcPr>
            <w:tcW w:w="850" w:type="dxa"/>
          </w:tcPr>
          <w:p w14:paraId="48F600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0874A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14688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9E345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EEB0B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2961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07C74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3180EC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A0B94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95E37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E748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37B3FEB" w14:textId="77777777">
        <w:tc>
          <w:tcPr>
            <w:tcW w:w="1668" w:type="dxa"/>
          </w:tcPr>
          <w:p w14:paraId="07FD43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Микояна и </w:t>
            </w:r>
          </w:p>
        </w:tc>
        <w:tc>
          <w:tcPr>
            <w:tcW w:w="850" w:type="dxa"/>
          </w:tcPr>
          <w:p w14:paraId="1A0C7D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C395F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002D4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78CA0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8FC02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FCC9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AC281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2FD93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51C95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49336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EA7B9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63C16D" w14:textId="77777777">
        <w:tc>
          <w:tcPr>
            <w:tcW w:w="1668" w:type="dxa"/>
          </w:tcPr>
          <w:p w14:paraId="6A4FE8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Гуревича</w:t>
            </w:r>
          </w:p>
        </w:tc>
        <w:tc>
          <w:tcPr>
            <w:tcW w:w="850" w:type="dxa"/>
          </w:tcPr>
          <w:p w14:paraId="169821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548A2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E8851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E992B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51BE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76A9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4E7F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88AE1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30A08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3037A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76D33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FE69B39" w14:textId="77777777">
        <w:tc>
          <w:tcPr>
            <w:tcW w:w="1668" w:type="dxa"/>
          </w:tcPr>
          <w:p w14:paraId="25001C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w:t>
            </w:r>
          </w:p>
        </w:tc>
        <w:tc>
          <w:tcPr>
            <w:tcW w:w="850" w:type="dxa"/>
          </w:tcPr>
          <w:p w14:paraId="105A2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60" w:type="dxa"/>
          </w:tcPr>
          <w:p w14:paraId="6DD9C4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c>
          <w:tcPr>
            <w:tcW w:w="649" w:type="dxa"/>
          </w:tcPr>
          <w:p w14:paraId="5652A8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755" w:type="dxa"/>
          </w:tcPr>
          <w:p w14:paraId="3C1BE0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817" w:type="dxa"/>
          </w:tcPr>
          <w:p w14:paraId="14735D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746" w:type="dxa"/>
          </w:tcPr>
          <w:p w14:paraId="28C9C6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893" w:type="dxa"/>
          </w:tcPr>
          <w:p w14:paraId="5FD80A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w:t>
            </w:r>
          </w:p>
        </w:tc>
        <w:tc>
          <w:tcPr>
            <w:tcW w:w="667" w:type="dxa"/>
          </w:tcPr>
          <w:p w14:paraId="7E2261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0/200</w:t>
            </w:r>
          </w:p>
        </w:tc>
        <w:tc>
          <w:tcPr>
            <w:tcW w:w="1135" w:type="dxa"/>
          </w:tcPr>
          <w:p w14:paraId="07F09F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6РО-82</w:t>
            </w:r>
          </w:p>
        </w:tc>
        <w:tc>
          <w:tcPr>
            <w:tcW w:w="598" w:type="dxa"/>
          </w:tcPr>
          <w:p w14:paraId="35213C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570E05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1.II.43</w:t>
            </w:r>
          </w:p>
        </w:tc>
      </w:tr>
      <w:tr w:rsidR="006F4095" w:rsidRPr="008127F8" w14:paraId="35D5D1CA" w14:textId="77777777">
        <w:tc>
          <w:tcPr>
            <w:tcW w:w="1668" w:type="dxa"/>
          </w:tcPr>
          <w:p w14:paraId="5CDDBF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w:t>
            </w:r>
          </w:p>
        </w:tc>
        <w:tc>
          <w:tcPr>
            <w:tcW w:w="850" w:type="dxa"/>
          </w:tcPr>
          <w:p w14:paraId="42011F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017D2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649" w:type="dxa"/>
          </w:tcPr>
          <w:p w14:paraId="6CF84D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CB54C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25505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2D129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D2528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мм</w:t>
            </w:r>
          </w:p>
        </w:tc>
        <w:tc>
          <w:tcPr>
            <w:tcW w:w="667" w:type="dxa"/>
          </w:tcPr>
          <w:p w14:paraId="359BBD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2CA8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E9D69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7DA89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492CD7" w14:textId="77777777">
        <w:tc>
          <w:tcPr>
            <w:tcW w:w="1668" w:type="dxa"/>
          </w:tcPr>
          <w:p w14:paraId="66DE14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w:t>
            </w:r>
          </w:p>
        </w:tc>
        <w:tc>
          <w:tcPr>
            <w:tcW w:w="850" w:type="dxa"/>
          </w:tcPr>
          <w:p w14:paraId="70B2AA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1543F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80B95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F8196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976B9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C7EA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26BDC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w:t>
            </w:r>
          </w:p>
        </w:tc>
        <w:tc>
          <w:tcPr>
            <w:tcW w:w="667" w:type="dxa"/>
          </w:tcPr>
          <w:p w14:paraId="4EF52A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E61D5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A5AA8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30581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F526D1" w14:textId="77777777">
        <w:tc>
          <w:tcPr>
            <w:tcW w:w="1668" w:type="dxa"/>
          </w:tcPr>
          <w:p w14:paraId="6349E3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М-250</w:t>
            </w:r>
          </w:p>
        </w:tc>
        <w:tc>
          <w:tcPr>
            <w:tcW w:w="850" w:type="dxa"/>
          </w:tcPr>
          <w:p w14:paraId="24A24F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1C3EA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40369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1E79A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D2B84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898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C4421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6CCFC6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A03B5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B6907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744E4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74C18C8" w14:textId="77777777">
        <w:tc>
          <w:tcPr>
            <w:tcW w:w="1668" w:type="dxa"/>
          </w:tcPr>
          <w:p w14:paraId="6FDF09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5A73AB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27DBA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C79C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74943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0AB38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39169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C8ABC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17922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F3A78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1263F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35537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365AE2" w14:textId="77777777">
        <w:tc>
          <w:tcPr>
            <w:tcW w:w="1668" w:type="dxa"/>
          </w:tcPr>
          <w:p w14:paraId="4D5F9D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Яковлева</w:t>
            </w:r>
          </w:p>
        </w:tc>
        <w:tc>
          <w:tcPr>
            <w:tcW w:w="850" w:type="dxa"/>
          </w:tcPr>
          <w:p w14:paraId="681CBB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1560C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D252A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5DEF4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54D84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D8A5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742EC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D8449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70C12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53BD8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3FE3B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4AE0A6" w14:textId="77777777">
        <w:tc>
          <w:tcPr>
            <w:tcW w:w="1668" w:type="dxa"/>
          </w:tcPr>
          <w:p w14:paraId="0F495C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Штурмовики.</w:t>
            </w:r>
          </w:p>
        </w:tc>
        <w:tc>
          <w:tcPr>
            <w:tcW w:w="850" w:type="dxa"/>
          </w:tcPr>
          <w:p w14:paraId="0C69CB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1B5C9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60EE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3CB7D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0A0B7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9B54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11FA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6B443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C9195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81993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83F37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F128BFE" w14:textId="77777777">
        <w:tc>
          <w:tcPr>
            <w:tcW w:w="1668" w:type="dxa"/>
          </w:tcPr>
          <w:p w14:paraId="6F990B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Двухместный</w:t>
            </w:r>
          </w:p>
        </w:tc>
        <w:tc>
          <w:tcPr>
            <w:tcW w:w="850" w:type="dxa"/>
          </w:tcPr>
          <w:p w14:paraId="5D5F28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860" w:type="dxa"/>
          </w:tcPr>
          <w:p w14:paraId="269626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49" w:type="dxa"/>
          </w:tcPr>
          <w:p w14:paraId="6941DE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755" w:type="dxa"/>
          </w:tcPr>
          <w:p w14:paraId="1F1454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c>
          <w:tcPr>
            <w:tcW w:w="817" w:type="dxa"/>
          </w:tcPr>
          <w:p w14:paraId="69F3A1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746" w:type="dxa"/>
          </w:tcPr>
          <w:p w14:paraId="428407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893" w:type="dxa"/>
          </w:tcPr>
          <w:p w14:paraId="5E2FB2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w:t>
            </w:r>
          </w:p>
        </w:tc>
        <w:tc>
          <w:tcPr>
            <w:tcW w:w="667" w:type="dxa"/>
          </w:tcPr>
          <w:p w14:paraId="66DA48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135" w:type="dxa"/>
          </w:tcPr>
          <w:p w14:paraId="5F2C1C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10РО-132 мм</w:t>
            </w:r>
          </w:p>
        </w:tc>
        <w:tc>
          <w:tcPr>
            <w:tcW w:w="598" w:type="dxa"/>
          </w:tcPr>
          <w:p w14:paraId="3A4EAF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77BBEA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15.XI.42</w:t>
            </w:r>
          </w:p>
        </w:tc>
      </w:tr>
      <w:tr w:rsidR="006F4095" w:rsidRPr="008127F8" w14:paraId="654890A9" w14:textId="77777777">
        <w:tc>
          <w:tcPr>
            <w:tcW w:w="1668" w:type="dxa"/>
          </w:tcPr>
          <w:p w14:paraId="059187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бронированный</w:t>
            </w:r>
          </w:p>
        </w:tc>
        <w:tc>
          <w:tcPr>
            <w:tcW w:w="850" w:type="dxa"/>
          </w:tcPr>
          <w:p w14:paraId="3B095A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0EC4D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4578D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DD7AA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817" w:type="dxa"/>
          </w:tcPr>
          <w:p w14:paraId="75B364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1447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B0B0E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мм</w:t>
            </w:r>
          </w:p>
        </w:tc>
        <w:tc>
          <w:tcPr>
            <w:tcW w:w="667" w:type="dxa"/>
          </w:tcPr>
          <w:p w14:paraId="224B2D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135" w:type="dxa"/>
          </w:tcPr>
          <w:p w14:paraId="39299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C3B3D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7BF69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7B474B" w14:textId="77777777">
        <w:tc>
          <w:tcPr>
            <w:tcW w:w="1668" w:type="dxa"/>
          </w:tcPr>
          <w:p w14:paraId="2BE2A0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 с</w:t>
            </w:r>
          </w:p>
        </w:tc>
        <w:tc>
          <w:tcPr>
            <w:tcW w:w="850" w:type="dxa"/>
          </w:tcPr>
          <w:p w14:paraId="3026BC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90EEE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CCE8C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AE7BA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6EFBF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A3CB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4B2B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w:t>
            </w:r>
          </w:p>
        </w:tc>
        <w:tc>
          <w:tcPr>
            <w:tcW w:w="667" w:type="dxa"/>
          </w:tcPr>
          <w:p w14:paraId="481F54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505BA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7CCF1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C59FE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5A4472" w14:textId="77777777">
        <w:tc>
          <w:tcPr>
            <w:tcW w:w="1668" w:type="dxa"/>
          </w:tcPr>
          <w:p w14:paraId="5B6AFF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двумя моторами</w:t>
            </w:r>
          </w:p>
        </w:tc>
        <w:tc>
          <w:tcPr>
            <w:tcW w:w="850" w:type="dxa"/>
          </w:tcPr>
          <w:p w14:paraId="32EB24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1D918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084AA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C960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2EF78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F93E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FE8A7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6B685D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DD591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54209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1822F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ACDC36" w14:textId="77777777">
        <w:tc>
          <w:tcPr>
            <w:tcW w:w="1668" w:type="dxa"/>
          </w:tcPr>
          <w:p w14:paraId="64009F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М-71</w:t>
            </w:r>
          </w:p>
        </w:tc>
        <w:tc>
          <w:tcPr>
            <w:tcW w:w="850" w:type="dxa"/>
          </w:tcPr>
          <w:p w14:paraId="06FF8C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4B3B0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C97CA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6420A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EA4CE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9242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D0D8E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пулем.</w:t>
            </w:r>
          </w:p>
        </w:tc>
        <w:tc>
          <w:tcPr>
            <w:tcW w:w="667" w:type="dxa"/>
          </w:tcPr>
          <w:p w14:paraId="1C17FD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F6EA5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C7C8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576B2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549DB9" w14:textId="77777777">
        <w:tc>
          <w:tcPr>
            <w:tcW w:w="1668" w:type="dxa"/>
          </w:tcPr>
          <w:p w14:paraId="7388C9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619F65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B178A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11E90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C8F4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010E8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BBA6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0EF0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667" w:type="dxa"/>
          </w:tcPr>
          <w:p w14:paraId="1C1D19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35BE8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7EEB5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BC6BD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721635" w14:textId="77777777">
        <w:tc>
          <w:tcPr>
            <w:tcW w:w="1668" w:type="dxa"/>
          </w:tcPr>
          <w:p w14:paraId="1333A0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Сухого</w:t>
            </w:r>
          </w:p>
        </w:tc>
        <w:tc>
          <w:tcPr>
            <w:tcW w:w="850" w:type="dxa"/>
          </w:tcPr>
          <w:p w14:paraId="3E9D0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876EB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546D3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93053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E0F64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996E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C2745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9AE68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2ECB1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D5C86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1B081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F18144" w14:textId="77777777">
        <w:tc>
          <w:tcPr>
            <w:tcW w:w="1668" w:type="dxa"/>
          </w:tcPr>
          <w:p w14:paraId="42CAC7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w:t>
            </w:r>
          </w:p>
        </w:tc>
        <w:tc>
          <w:tcPr>
            <w:tcW w:w="850" w:type="dxa"/>
          </w:tcPr>
          <w:p w14:paraId="786091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w:t>
            </w:r>
          </w:p>
        </w:tc>
        <w:tc>
          <w:tcPr>
            <w:tcW w:w="860" w:type="dxa"/>
          </w:tcPr>
          <w:p w14:paraId="2BBE20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49" w:type="dxa"/>
          </w:tcPr>
          <w:p w14:paraId="37F495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755" w:type="dxa"/>
          </w:tcPr>
          <w:p w14:paraId="3D1CD6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c>
          <w:tcPr>
            <w:tcW w:w="817" w:type="dxa"/>
          </w:tcPr>
          <w:p w14:paraId="164B4E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746" w:type="dxa"/>
          </w:tcPr>
          <w:p w14:paraId="621B68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w:t>
            </w:r>
          </w:p>
        </w:tc>
        <w:tc>
          <w:tcPr>
            <w:tcW w:w="893" w:type="dxa"/>
          </w:tcPr>
          <w:p w14:paraId="509698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w:t>
            </w:r>
          </w:p>
        </w:tc>
        <w:tc>
          <w:tcPr>
            <w:tcW w:w="667" w:type="dxa"/>
          </w:tcPr>
          <w:p w14:paraId="3C6C3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кг</w:t>
            </w:r>
          </w:p>
        </w:tc>
        <w:tc>
          <w:tcPr>
            <w:tcW w:w="1135" w:type="dxa"/>
          </w:tcPr>
          <w:p w14:paraId="1EF831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12РС-132 мм</w:t>
            </w:r>
          </w:p>
        </w:tc>
        <w:tc>
          <w:tcPr>
            <w:tcW w:w="598" w:type="dxa"/>
          </w:tcPr>
          <w:p w14:paraId="3288A4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3F1E85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15.XI.42</w:t>
            </w:r>
          </w:p>
        </w:tc>
      </w:tr>
      <w:tr w:rsidR="006F4095" w:rsidRPr="008127F8" w14:paraId="646423F3" w14:textId="77777777">
        <w:tc>
          <w:tcPr>
            <w:tcW w:w="1668" w:type="dxa"/>
          </w:tcPr>
          <w:p w14:paraId="1BF8B8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бронированный</w:t>
            </w:r>
          </w:p>
        </w:tc>
        <w:tc>
          <w:tcPr>
            <w:tcW w:w="850" w:type="dxa"/>
          </w:tcPr>
          <w:p w14:paraId="2FDBA1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7D3B0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F147B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FC6FC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FD7D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0EB4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D38EA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мм</w:t>
            </w:r>
          </w:p>
        </w:tc>
        <w:tc>
          <w:tcPr>
            <w:tcW w:w="667" w:type="dxa"/>
          </w:tcPr>
          <w:p w14:paraId="2B8E54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счет</w:t>
            </w:r>
          </w:p>
        </w:tc>
        <w:tc>
          <w:tcPr>
            <w:tcW w:w="1135" w:type="dxa"/>
          </w:tcPr>
          <w:p w14:paraId="0E501B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48F2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379D8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EFC033" w14:textId="77777777">
        <w:tc>
          <w:tcPr>
            <w:tcW w:w="1668" w:type="dxa"/>
          </w:tcPr>
          <w:p w14:paraId="70C41E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 с</w:t>
            </w:r>
          </w:p>
        </w:tc>
        <w:tc>
          <w:tcPr>
            <w:tcW w:w="850" w:type="dxa"/>
          </w:tcPr>
          <w:p w14:paraId="2ED522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19583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FEDA2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A91BB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3D766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8CCE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9DECC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пул.</w:t>
            </w:r>
          </w:p>
        </w:tc>
        <w:tc>
          <w:tcPr>
            <w:tcW w:w="667" w:type="dxa"/>
          </w:tcPr>
          <w:p w14:paraId="235458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w:t>
            </w:r>
          </w:p>
        </w:tc>
        <w:tc>
          <w:tcPr>
            <w:tcW w:w="1135" w:type="dxa"/>
          </w:tcPr>
          <w:p w14:paraId="75E03C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66F1D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FD8C4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AF1B4C" w14:textId="77777777">
        <w:tc>
          <w:tcPr>
            <w:tcW w:w="1668" w:type="dxa"/>
          </w:tcPr>
          <w:p w14:paraId="1DAD3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двумя моторами</w:t>
            </w:r>
          </w:p>
        </w:tc>
        <w:tc>
          <w:tcPr>
            <w:tcW w:w="850" w:type="dxa"/>
          </w:tcPr>
          <w:p w14:paraId="187842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8928F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9A963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2571F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3526E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C71E7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8B893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667" w:type="dxa"/>
          </w:tcPr>
          <w:p w14:paraId="4BF679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99F65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3042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1DC40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4AC9A0" w14:textId="77777777">
        <w:tc>
          <w:tcPr>
            <w:tcW w:w="1668" w:type="dxa"/>
          </w:tcPr>
          <w:p w14:paraId="1DB6F1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850" w:type="dxa"/>
          </w:tcPr>
          <w:p w14:paraId="0E6617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D9FF9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D23C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0FC3E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7EBE4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B758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7C5A1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3C260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30D2E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BCF0B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10484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3ACDE1" w14:textId="77777777">
        <w:tc>
          <w:tcPr>
            <w:tcW w:w="1668" w:type="dxa"/>
          </w:tcPr>
          <w:p w14:paraId="0125F6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28681A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CD56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1DB4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4E8D6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36AB7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0607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24AF7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210832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2981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0BFD7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AAE8B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469A5B" w14:textId="77777777">
        <w:tc>
          <w:tcPr>
            <w:tcW w:w="1668" w:type="dxa"/>
          </w:tcPr>
          <w:p w14:paraId="5BF8EE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Ильюшина</w:t>
            </w:r>
          </w:p>
        </w:tc>
        <w:tc>
          <w:tcPr>
            <w:tcW w:w="850" w:type="dxa"/>
          </w:tcPr>
          <w:p w14:paraId="77F011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FD413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5FE25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1F316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5C126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EFE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79AA1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22D6D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3C397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18C26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8A1F5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39ECEE" w14:textId="77777777">
        <w:tc>
          <w:tcPr>
            <w:tcW w:w="1668" w:type="dxa"/>
          </w:tcPr>
          <w:p w14:paraId="379C6F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850" w:type="dxa"/>
          </w:tcPr>
          <w:p w14:paraId="077F7D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 с</w:t>
            </w:r>
          </w:p>
        </w:tc>
        <w:tc>
          <w:tcPr>
            <w:tcW w:w="860" w:type="dxa"/>
          </w:tcPr>
          <w:p w14:paraId="40FB37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49" w:type="dxa"/>
          </w:tcPr>
          <w:p w14:paraId="009D78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55" w:type="dxa"/>
          </w:tcPr>
          <w:p w14:paraId="343529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817" w:type="dxa"/>
          </w:tcPr>
          <w:p w14:paraId="768B30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на</w:t>
            </w:r>
          </w:p>
        </w:tc>
        <w:tc>
          <w:tcPr>
            <w:tcW w:w="746" w:type="dxa"/>
          </w:tcPr>
          <w:p w14:paraId="54D54A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6500</w:t>
            </w:r>
          </w:p>
        </w:tc>
        <w:tc>
          <w:tcPr>
            <w:tcW w:w="893" w:type="dxa"/>
          </w:tcPr>
          <w:p w14:paraId="1592F1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w:t>
            </w:r>
          </w:p>
        </w:tc>
        <w:tc>
          <w:tcPr>
            <w:tcW w:w="667" w:type="dxa"/>
          </w:tcPr>
          <w:p w14:paraId="4145F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400/600</w:t>
            </w:r>
          </w:p>
        </w:tc>
        <w:tc>
          <w:tcPr>
            <w:tcW w:w="1135" w:type="dxa"/>
          </w:tcPr>
          <w:p w14:paraId="336BEF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РС-132 мм</w:t>
            </w:r>
          </w:p>
        </w:tc>
        <w:tc>
          <w:tcPr>
            <w:tcW w:w="598" w:type="dxa"/>
          </w:tcPr>
          <w:p w14:paraId="4ED392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958" w:type="dxa"/>
          </w:tcPr>
          <w:p w14:paraId="25AFE0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1.VIII.42</w:t>
            </w:r>
          </w:p>
        </w:tc>
      </w:tr>
      <w:tr w:rsidR="006F4095" w:rsidRPr="008127F8" w14:paraId="02930047" w14:textId="77777777">
        <w:tc>
          <w:tcPr>
            <w:tcW w:w="1668" w:type="dxa"/>
          </w:tcPr>
          <w:p w14:paraId="34435A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одноместного</w:t>
            </w:r>
          </w:p>
        </w:tc>
        <w:tc>
          <w:tcPr>
            <w:tcW w:w="850" w:type="dxa"/>
          </w:tcPr>
          <w:p w14:paraId="17002D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РС</w:t>
            </w:r>
          </w:p>
        </w:tc>
        <w:tc>
          <w:tcPr>
            <w:tcW w:w="860" w:type="dxa"/>
          </w:tcPr>
          <w:p w14:paraId="7CEC4F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0B78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CA49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19B4C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м</w:t>
            </w:r>
          </w:p>
        </w:tc>
        <w:tc>
          <w:tcPr>
            <w:tcW w:w="746" w:type="dxa"/>
          </w:tcPr>
          <w:p w14:paraId="3DE26A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217B5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мм</w:t>
            </w:r>
          </w:p>
        </w:tc>
        <w:tc>
          <w:tcPr>
            <w:tcW w:w="667" w:type="dxa"/>
          </w:tcPr>
          <w:p w14:paraId="52A07F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23F24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B7B4D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468C6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F7D860" w14:textId="77777777">
        <w:tc>
          <w:tcPr>
            <w:tcW w:w="1668" w:type="dxa"/>
          </w:tcPr>
          <w:p w14:paraId="5C7E61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штурмовика</w:t>
            </w:r>
          </w:p>
        </w:tc>
        <w:tc>
          <w:tcPr>
            <w:tcW w:w="850" w:type="dxa"/>
          </w:tcPr>
          <w:p w14:paraId="7781D1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 мм</w:t>
            </w:r>
          </w:p>
        </w:tc>
        <w:tc>
          <w:tcPr>
            <w:tcW w:w="860" w:type="dxa"/>
          </w:tcPr>
          <w:p w14:paraId="4A4540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DC51D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E027B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03963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B08A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3C32C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w:t>
            </w:r>
          </w:p>
        </w:tc>
        <w:tc>
          <w:tcPr>
            <w:tcW w:w="667" w:type="dxa"/>
          </w:tcPr>
          <w:p w14:paraId="519537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491FA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F56B5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C7BA1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008BF3" w14:textId="77777777">
        <w:tc>
          <w:tcPr>
            <w:tcW w:w="1668" w:type="dxa"/>
          </w:tcPr>
          <w:p w14:paraId="6834AE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под</w:t>
            </w:r>
          </w:p>
        </w:tc>
        <w:tc>
          <w:tcPr>
            <w:tcW w:w="850" w:type="dxa"/>
          </w:tcPr>
          <w:p w14:paraId="4808AD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 без</w:t>
            </w:r>
          </w:p>
        </w:tc>
        <w:tc>
          <w:tcPr>
            <w:tcW w:w="860" w:type="dxa"/>
          </w:tcPr>
          <w:p w14:paraId="0FF625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0FD29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B2770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318A6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C130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56A72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667" w:type="dxa"/>
          </w:tcPr>
          <w:p w14:paraId="0FACE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6E39B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4D129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72E65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127AC7" w14:textId="77777777">
        <w:tc>
          <w:tcPr>
            <w:tcW w:w="1668" w:type="dxa"/>
          </w:tcPr>
          <w:p w14:paraId="5205AF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М-250</w:t>
            </w:r>
          </w:p>
        </w:tc>
        <w:tc>
          <w:tcPr>
            <w:tcW w:w="850" w:type="dxa"/>
          </w:tcPr>
          <w:p w14:paraId="3F3588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РС</w:t>
            </w:r>
          </w:p>
        </w:tc>
        <w:tc>
          <w:tcPr>
            <w:tcW w:w="860" w:type="dxa"/>
          </w:tcPr>
          <w:p w14:paraId="03D32D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78AA6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D309E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D5031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97CE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2D32A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A1A32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A0E5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3461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328EC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FA09DA" w14:textId="77777777">
        <w:tc>
          <w:tcPr>
            <w:tcW w:w="1668" w:type="dxa"/>
          </w:tcPr>
          <w:p w14:paraId="53FCDE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26E5A7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348FA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1B14B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9B913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C24DC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25B7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B07C2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23CEE1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2BE58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B6290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F3C8D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7918D9" w14:textId="77777777">
        <w:tc>
          <w:tcPr>
            <w:tcW w:w="1668" w:type="dxa"/>
          </w:tcPr>
          <w:p w14:paraId="6358A3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Ильюшина</w:t>
            </w:r>
          </w:p>
        </w:tc>
        <w:tc>
          <w:tcPr>
            <w:tcW w:w="850" w:type="dxa"/>
          </w:tcPr>
          <w:p w14:paraId="5A7D6F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936F9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D0D3C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FE7ED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F867C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70C3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1F621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A7CB6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D7BE3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4DF19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DE7B7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6B9F3B0" w14:textId="77777777">
        <w:tc>
          <w:tcPr>
            <w:tcW w:w="1668" w:type="dxa"/>
          </w:tcPr>
          <w:p w14:paraId="59BB36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Бомбардировщики.</w:t>
            </w:r>
          </w:p>
        </w:tc>
        <w:tc>
          <w:tcPr>
            <w:tcW w:w="850" w:type="dxa"/>
          </w:tcPr>
          <w:p w14:paraId="7E245F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46C97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4FA4C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167C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5AABD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23D23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E97D3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1A05D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02FE6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8AC43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3AD34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4B3E00" w14:textId="77777777">
        <w:tc>
          <w:tcPr>
            <w:tcW w:w="1668" w:type="dxa"/>
          </w:tcPr>
          <w:p w14:paraId="26C64D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Двухмоторный</w:t>
            </w:r>
          </w:p>
        </w:tc>
        <w:tc>
          <w:tcPr>
            <w:tcW w:w="850" w:type="dxa"/>
          </w:tcPr>
          <w:p w14:paraId="208A9D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w:t>
            </w:r>
          </w:p>
        </w:tc>
        <w:tc>
          <w:tcPr>
            <w:tcW w:w="860" w:type="dxa"/>
          </w:tcPr>
          <w:p w14:paraId="00B895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649" w:type="dxa"/>
          </w:tcPr>
          <w:p w14:paraId="444A5B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tc>
        <w:tc>
          <w:tcPr>
            <w:tcW w:w="755" w:type="dxa"/>
          </w:tcPr>
          <w:p w14:paraId="73AFDC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817" w:type="dxa"/>
          </w:tcPr>
          <w:p w14:paraId="3CBB4A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46" w:type="dxa"/>
          </w:tcPr>
          <w:p w14:paraId="7818ED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F60C7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667" w:type="dxa"/>
          </w:tcPr>
          <w:p w14:paraId="6EDAF1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135" w:type="dxa"/>
          </w:tcPr>
          <w:p w14:paraId="607C21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98" w:type="dxa"/>
          </w:tcPr>
          <w:p w14:paraId="152FD3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66CCF1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1.Х.42</w:t>
            </w:r>
          </w:p>
        </w:tc>
      </w:tr>
      <w:tr w:rsidR="006F4095" w:rsidRPr="008127F8" w14:paraId="067695A7" w14:textId="77777777">
        <w:tc>
          <w:tcPr>
            <w:tcW w:w="1668" w:type="dxa"/>
          </w:tcPr>
          <w:p w14:paraId="64967C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ночной</w:t>
            </w:r>
          </w:p>
        </w:tc>
        <w:tc>
          <w:tcPr>
            <w:tcW w:w="850" w:type="dxa"/>
          </w:tcPr>
          <w:p w14:paraId="7C45BA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A0F6F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tc>
        <w:tc>
          <w:tcPr>
            <w:tcW w:w="649" w:type="dxa"/>
          </w:tcPr>
          <w:p w14:paraId="5D27F1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0751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817" w:type="dxa"/>
          </w:tcPr>
          <w:p w14:paraId="06071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34B0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86CD4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w:t>
            </w:r>
          </w:p>
        </w:tc>
        <w:tc>
          <w:tcPr>
            <w:tcW w:w="667" w:type="dxa"/>
          </w:tcPr>
          <w:p w14:paraId="022F27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1135" w:type="dxa"/>
          </w:tcPr>
          <w:p w14:paraId="6616FE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B1D08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3C8B9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2C860B" w14:textId="77777777">
        <w:tc>
          <w:tcPr>
            <w:tcW w:w="1668" w:type="dxa"/>
          </w:tcPr>
          <w:p w14:paraId="0E57E8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бомбовоз</w:t>
            </w:r>
          </w:p>
        </w:tc>
        <w:tc>
          <w:tcPr>
            <w:tcW w:w="850" w:type="dxa"/>
          </w:tcPr>
          <w:p w14:paraId="5D75F5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15750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DC33E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64D54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FAEBE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DDD9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2FCC7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6690E5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FBCF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F0B6D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481FF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EA03EC" w14:textId="77777777">
        <w:tc>
          <w:tcPr>
            <w:tcW w:w="1668" w:type="dxa"/>
          </w:tcPr>
          <w:p w14:paraId="091F0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деревян.</w:t>
            </w:r>
          </w:p>
        </w:tc>
        <w:tc>
          <w:tcPr>
            <w:tcW w:w="850" w:type="dxa"/>
          </w:tcPr>
          <w:p w14:paraId="07A7D0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BF7D5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DD80F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4C6CA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95B38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9FE3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FF6C1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Задняя сфера:</w:t>
            </w:r>
          </w:p>
        </w:tc>
        <w:tc>
          <w:tcPr>
            <w:tcW w:w="667" w:type="dxa"/>
          </w:tcPr>
          <w:p w14:paraId="787B6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140C2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C7086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3D28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A2074F" w14:textId="77777777">
        <w:tc>
          <w:tcPr>
            <w:tcW w:w="1668" w:type="dxa"/>
          </w:tcPr>
          <w:p w14:paraId="75A55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конструкции</w:t>
            </w:r>
          </w:p>
        </w:tc>
        <w:tc>
          <w:tcPr>
            <w:tcW w:w="850" w:type="dxa"/>
          </w:tcPr>
          <w:p w14:paraId="64567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34B7E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23A3A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EEDAB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EC9D0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5EDF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5AAEE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w:t>
            </w:r>
          </w:p>
        </w:tc>
        <w:tc>
          <w:tcPr>
            <w:tcW w:w="667" w:type="dxa"/>
          </w:tcPr>
          <w:p w14:paraId="499686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EBB90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C9992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A8FB1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6B524A" w14:textId="77777777">
        <w:tc>
          <w:tcPr>
            <w:tcW w:w="1668" w:type="dxa"/>
          </w:tcPr>
          <w:p w14:paraId="43FF3A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w:t>
            </w:r>
          </w:p>
        </w:tc>
        <w:tc>
          <w:tcPr>
            <w:tcW w:w="850" w:type="dxa"/>
          </w:tcPr>
          <w:p w14:paraId="316B1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37826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359E1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A3A23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363DA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B79F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7817A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5D3E1A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29A6F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9BEDB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9FEEA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208D2A" w14:textId="77777777">
        <w:tc>
          <w:tcPr>
            <w:tcW w:w="1668" w:type="dxa"/>
          </w:tcPr>
          <w:p w14:paraId="674097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850" w:type="dxa"/>
          </w:tcPr>
          <w:p w14:paraId="33FB59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CB580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A1889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A6018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39B52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B64B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477C1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Люков.:</w:t>
            </w:r>
          </w:p>
        </w:tc>
        <w:tc>
          <w:tcPr>
            <w:tcW w:w="667" w:type="dxa"/>
          </w:tcPr>
          <w:p w14:paraId="61559A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C0958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D9960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0240D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C3C104" w14:textId="77777777">
        <w:tc>
          <w:tcPr>
            <w:tcW w:w="1668" w:type="dxa"/>
          </w:tcPr>
          <w:p w14:paraId="35D42D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27E139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656E4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E8D58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F766A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CDC6F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AD33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8D29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w:t>
            </w:r>
          </w:p>
        </w:tc>
        <w:tc>
          <w:tcPr>
            <w:tcW w:w="667" w:type="dxa"/>
          </w:tcPr>
          <w:p w14:paraId="3C82FB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7F73A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8E70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D8704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558548" w14:textId="77777777">
        <w:tc>
          <w:tcPr>
            <w:tcW w:w="1668" w:type="dxa"/>
          </w:tcPr>
          <w:p w14:paraId="73D0AA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Поликарпова</w:t>
            </w:r>
          </w:p>
        </w:tc>
        <w:tc>
          <w:tcPr>
            <w:tcW w:w="850" w:type="dxa"/>
          </w:tcPr>
          <w:p w14:paraId="272D51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09D66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1707C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355FD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4E4AA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7968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3AF4F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4790E8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D2627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BD8BA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486E6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200486" w14:textId="77777777">
        <w:tc>
          <w:tcPr>
            <w:tcW w:w="1668" w:type="dxa"/>
          </w:tcPr>
          <w:p w14:paraId="79E719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850" w:type="dxa"/>
          </w:tcPr>
          <w:p w14:paraId="31B84E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те же, что и для серийного самолета</w:t>
            </w:r>
          </w:p>
        </w:tc>
        <w:tc>
          <w:tcPr>
            <w:tcW w:w="860" w:type="dxa"/>
          </w:tcPr>
          <w:p w14:paraId="069921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BA9CD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C4FFE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3DA0F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8906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6D722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64985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DA0FA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3B7C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CCBAF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B81B69" w14:textId="77777777">
        <w:tc>
          <w:tcPr>
            <w:tcW w:w="1668" w:type="dxa"/>
          </w:tcPr>
          <w:p w14:paraId="305A5F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w:t>
            </w:r>
          </w:p>
        </w:tc>
        <w:tc>
          <w:tcPr>
            <w:tcW w:w="850" w:type="dxa"/>
          </w:tcPr>
          <w:p w14:paraId="161ADE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60" w:type="dxa"/>
          </w:tcPr>
          <w:p w14:paraId="1FDC34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575/</w:t>
            </w:r>
          </w:p>
        </w:tc>
        <w:tc>
          <w:tcPr>
            <w:tcW w:w="649" w:type="dxa"/>
          </w:tcPr>
          <w:p w14:paraId="5DCCC8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55" w:type="dxa"/>
          </w:tcPr>
          <w:p w14:paraId="1443F7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817" w:type="dxa"/>
          </w:tcPr>
          <w:p w14:paraId="0E676D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46" w:type="dxa"/>
          </w:tcPr>
          <w:p w14:paraId="30E0B1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70CFC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667" w:type="dxa"/>
          </w:tcPr>
          <w:p w14:paraId="082FA1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135" w:type="dxa"/>
          </w:tcPr>
          <w:p w14:paraId="264DA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РО-82</w:t>
            </w:r>
          </w:p>
        </w:tc>
        <w:tc>
          <w:tcPr>
            <w:tcW w:w="598" w:type="dxa"/>
          </w:tcPr>
          <w:p w14:paraId="0BF96E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7B0430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1.VIII.42</w:t>
            </w:r>
          </w:p>
        </w:tc>
      </w:tr>
      <w:tr w:rsidR="006F4095" w:rsidRPr="008127F8" w14:paraId="401F2A23" w14:textId="77777777">
        <w:tc>
          <w:tcPr>
            <w:tcW w:w="1668" w:type="dxa"/>
          </w:tcPr>
          <w:p w14:paraId="340083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с двумя</w:t>
            </w:r>
          </w:p>
        </w:tc>
        <w:tc>
          <w:tcPr>
            <w:tcW w:w="850" w:type="dxa"/>
          </w:tcPr>
          <w:p w14:paraId="12CF33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2084D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6500</w:t>
            </w:r>
          </w:p>
        </w:tc>
        <w:tc>
          <w:tcPr>
            <w:tcW w:w="649" w:type="dxa"/>
          </w:tcPr>
          <w:p w14:paraId="039928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5A2C0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817" w:type="dxa"/>
          </w:tcPr>
          <w:p w14:paraId="6FBE2F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3AE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45C86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w:t>
            </w:r>
          </w:p>
        </w:tc>
        <w:tc>
          <w:tcPr>
            <w:tcW w:w="667" w:type="dxa"/>
          </w:tcPr>
          <w:p w14:paraId="4C9F9B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1135" w:type="dxa"/>
          </w:tcPr>
          <w:p w14:paraId="221FA1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7DE2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27366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6B7D7A" w14:textId="77777777">
        <w:tc>
          <w:tcPr>
            <w:tcW w:w="1668" w:type="dxa"/>
          </w:tcPr>
          <w:p w14:paraId="06A04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М-82</w:t>
            </w:r>
          </w:p>
        </w:tc>
        <w:tc>
          <w:tcPr>
            <w:tcW w:w="850" w:type="dxa"/>
          </w:tcPr>
          <w:p w14:paraId="4EF5BF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4CCB7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B220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8879A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55084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CF1E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74D06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мм</w:t>
            </w:r>
          </w:p>
        </w:tc>
        <w:tc>
          <w:tcPr>
            <w:tcW w:w="667" w:type="dxa"/>
          </w:tcPr>
          <w:p w14:paraId="70F6C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744DC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7C8F1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2D932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74829A" w14:textId="77777777">
        <w:tc>
          <w:tcPr>
            <w:tcW w:w="1668" w:type="dxa"/>
          </w:tcPr>
          <w:p w14:paraId="23B992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вариантах</w:t>
            </w:r>
          </w:p>
        </w:tc>
        <w:tc>
          <w:tcPr>
            <w:tcW w:w="850" w:type="dxa"/>
          </w:tcPr>
          <w:p w14:paraId="213349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7853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C3A5F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65E04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FF13F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2CBE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08AC4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w:t>
            </w:r>
          </w:p>
        </w:tc>
        <w:tc>
          <w:tcPr>
            <w:tcW w:w="667" w:type="dxa"/>
          </w:tcPr>
          <w:p w14:paraId="0699F3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B2319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CA203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E637B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5B5850" w14:textId="77777777">
        <w:tc>
          <w:tcPr>
            <w:tcW w:w="1668" w:type="dxa"/>
          </w:tcPr>
          <w:p w14:paraId="35C348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фоторазведчика</w:t>
            </w:r>
          </w:p>
        </w:tc>
        <w:tc>
          <w:tcPr>
            <w:tcW w:w="850" w:type="dxa"/>
          </w:tcPr>
          <w:p w14:paraId="1FCDC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3B198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F3333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A5CAA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006A7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613E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FBA5A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667" w:type="dxa"/>
          </w:tcPr>
          <w:p w14:paraId="0B413E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10E57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E3EBA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79843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775BE2B" w14:textId="77777777">
        <w:tc>
          <w:tcPr>
            <w:tcW w:w="1668" w:type="dxa"/>
          </w:tcPr>
          <w:p w14:paraId="4657BF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увелич.</w:t>
            </w:r>
          </w:p>
        </w:tc>
        <w:tc>
          <w:tcPr>
            <w:tcW w:w="850" w:type="dxa"/>
          </w:tcPr>
          <w:p w14:paraId="2F5640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AEFEB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138E4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E9504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5EA0B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BD9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A8E28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667" w:type="dxa"/>
          </w:tcPr>
          <w:p w14:paraId="3AAA18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A7EBC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B14BA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53EDB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09D32C" w14:textId="77777777">
        <w:tc>
          <w:tcPr>
            <w:tcW w:w="1668" w:type="dxa"/>
          </w:tcPr>
          <w:p w14:paraId="1B0D46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дальностью и</w:t>
            </w:r>
          </w:p>
        </w:tc>
        <w:tc>
          <w:tcPr>
            <w:tcW w:w="850" w:type="dxa"/>
          </w:tcPr>
          <w:p w14:paraId="67687F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EF5B7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39A26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BC482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CCA70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44C7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9E74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w:t>
            </w:r>
          </w:p>
        </w:tc>
        <w:tc>
          <w:tcPr>
            <w:tcW w:w="667" w:type="dxa"/>
          </w:tcPr>
          <w:p w14:paraId="53EE97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33A63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1F608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6A9E0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912971" w14:textId="77777777">
        <w:tc>
          <w:tcPr>
            <w:tcW w:w="1668" w:type="dxa"/>
          </w:tcPr>
          <w:p w14:paraId="19F71B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торпедоносца</w:t>
            </w:r>
          </w:p>
        </w:tc>
        <w:tc>
          <w:tcPr>
            <w:tcW w:w="850" w:type="dxa"/>
          </w:tcPr>
          <w:p w14:paraId="37D384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891D0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CF3A5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A24DD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3587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18A9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124EA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667" w:type="dxa"/>
          </w:tcPr>
          <w:p w14:paraId="304471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CBCC5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0EF21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0DE13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465317" w14:textId="77777777">
        <w:tc>
          <w:tcPr>
            <w:tcW w:w="1668" w:type="dxa"/>
          </w:tcPr>
          <w:p w14:paraId="65EF9F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34C6EE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EB1FD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D659A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DD67A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83933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6825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7811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w:t>
            </w:r>
          </w:p>
        </w:tc>
        <w:tc>
          <w:tcPr>
            <w:tcW w:w="667" w:type="dxa"/>
          </w:tcPr>
          <w:p w14:paraId="0F1727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65841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2DE48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483A4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177A44" w14:textId="77777777">
        <w:tc>
          <w:tcPr>
            <w:tcW w:w="1668" w:type="dxa"/>
          </w:tcPr>
          <w:p w14:paraId="49EE84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Туполева</w:t>
            </w:r>
          </w:p>
        </w:tc>
        <w:tc>
          <w:tcPr>
            <w:tcW w:w="850" w:type="dxa"/>
          </w:tcPr>
          <w:p w14:paraId="5E4FB9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39064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56959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59799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3F863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008B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EE2B7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667" w:type="dxa"/>
          </w:tcPr>
          <w:p w14:paraId="3A9845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EA887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25A67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141F9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16A3AB8" w14:textId="77777777">
        <w:tc>
          <w:tcPr>
            <w:tcW w:w="1668" w:type="dxa"/>
          </w:tcPr>
          <w:p w14:paraId="2EBA67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Разведчики.</w:t>
            </w:r>
          </w:p>
        </w:tc>
        <w:tc>
          <w:tcPr>
            <w:tcW w:w="850" w:type="dxa"/>
          </w:tcPr>
          <w:p w14:paraId="400F8B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F6889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87FC7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9277F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B610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E514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64212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3FD344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70236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AE512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1017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C809CD" w14:textId="77777777">
        <w:tc>
          <w:tcPr>
            <w:tcW w:w="1668" w:type="dxa"/>
          </w:tcPr>
          <w:p w14:paraId="335B59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850" w:type="dxa"/>
          </w:tcPr>
          <w:p w14:paraId="529190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c>
          <w:tcPr>
            <w:tcW w:w="860" w:type="dxa"/>
          </w:tcPr>
          <w:p w14:paraId="356FB5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585/</w:t>
            </w:r>
          </w:p>
        </w:tc>
        <w:tc>
          <w:tcPr>
            <w:tcW w:w="649" w:type="dxa"/>
          </w:tcPr>
          <w:p w14:paraId="198249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755" w:type="dxa"/>
          </w:tcPr>
          <w:p w14:paraId="36413B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817" w:type="dxa"/>
          </w:tcPr>
          <w:p w14:paraId="7F822B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746" w:type="dxa"/>
          </w:tcPr>
          <w:p w14:paraId="3FBA4B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8E93C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w:t>
            </w:r>
          </w:p>
        </w:tc>
        <w:tc>
          <w:tcPr>
            <w:tcW w:w="667" w:type="dxa"/>
          </w:tcPr>
          <w:p w14:paraId="56C953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5" w:type="dxa"/>
          </w:tcPr>
          <w:p w14:paraId="04A18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98" w:type="dxa"/>
          </w:tcPr>
          <w:p w14:paraId="43EF9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958" w:type="dxa"/>
          </w:tcPr>
          <w:p w14:paraId="5AABBE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1.VI.42</w:t>
            </w:r>
          </w:p>
        </w:tc>
      </w:tr>
      <w:tr w:rsidR="006F4095" w:rsidRPr="008127F8" w14:paraId="23DE9CB6" w14:textId="77777777">
        <w:tc>
          <w:tcPr>
            <w:tcW w:w="1668" w:type="dxa"/>
          </w:tcPr>
          <w:p w14:paraId="5A2CBB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одноместного</w:t>
            </w:r>
          </w:p>
        </w:tc>
        <w:tc>
          <w:tcPr>
            <w:tcW w:w="850" w:type="dxa"/>
          </w:tcPr>
          <w:p w14:paraId="011F9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45DCB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649" w:type="dxa"/>
          </w:tcPr>
          <w:p w14:paraId="0D4F64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9D85D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C7E0D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C653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588E6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мм</w:t>
            </w:r>
          </w:p>
        </w:tc>
        <w:tc>
          <w:tcPr>
            <w:tcW w:w="667" w:type="dxa"/>
          </w:tcPr>
          <w:p w14:paraId="6009AF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E90CB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3EC00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FD7C6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C0A914" w14:textId="77777777">
        <w:tc>
          <w:tcPr>
            <w:tcW w:w="1668" w:type="dxa"/>
          </w:tcPr>
          <w:p w14:paraId="2E2EC2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истребителя</w:t>
            </w:r>
          </w:p>
        </w:tc>
        <w:tc>
          <w:tcPr>
            <w:tcW w:w="850" w:type="dxa"/>
          </w:tcPr>
          <w:p w14:paraId="52F497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C631A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0FF66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111C1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140D0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8170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6BF1A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C773E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598F1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76E16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564EC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E88D8E" w14:textId="77777777">
        <w:tc>
          <w:tcPr>
            <w:tcW w:w="1668" w:type="dxa"/>
          </w:tcPr>
          <w:p w14:paraId="592355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в</w:t>
            </w:r>
          </w:p>
        </w:tc>
        <w:tc>
          <w:tcPr>
            <w:tcW w:w="850" w:type="dxa"/>
          </w:tcPr>
          <w:p w14:paraId="3BA19A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1B05E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622DA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2218F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C9321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2F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CE7B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10CE9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755B6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E413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7B1BE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DC0B303" w14:textId="77777777">
        <w:tc>
          <w:tcPr>
            <w:tcW w:w="1668" w:type="dxa"/>
          </w:tcPr>
          <w:p w14:paraId="5C8B41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варианте</w:t>
            </w:r>
          </w:p>
        </w:tc>
        <w:tc>
          <w:tcPr>
            <w:tcW w:w="850" w:type="dxa"/>
          </w:tcPr>
          <w:p w14:paraId="656FC3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BA92D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43405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AC8BA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1A38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1E9A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61670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5DF49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203A8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16183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4F2B2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E164E9C" w14:textId="77777777">
        <w:tc>
          <w:tcPr>
            <w:tcW w:w="1668" w:type="dxa"/>
          </w:tcPr>
          <w:p w14:paraId="74A061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разведчика</w:t>
            </w:r>
          </w:p>
        </w:tc>
        <w:tc>
          <w:tcPr>
            <w:tcW w:w="850" w:type="dxa"/>
          </w:tcPr>
          <w:p w14:paraId="47CBCB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04E70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C4BD4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416B3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5E9C1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A00A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DBB12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CBB6B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D0684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E0B69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6C928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EA62E71" w14:textId="77777777">
        <w:tc>
          <w:tcPr>
            <w:tcW w:w="1668" w:type="dxa"/>
          </w:tcPr>
          <w:p w14:paraId="68D2AC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753D52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C90F5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01E3C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30B50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41594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EC52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7155E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9CA8B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A57E0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84DB2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7C4A9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E97BE5D" w14:textId="77777777">
        <w:tc>
          <w:tcPr>
            <w:tcW w:w="1668" w:type="dxa"/>
          </w:tcPr>
          <w:p w14:paraId="78509A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Яковлева</w:t>
            </w:r>
          </w:p>
        </w:tc>
        <w:tc>
          <w:tcPr>
            <w:tcW w:w="850" w:type="dxa"/>
          </w:tcPr>
          <w:p w14:paraId="474B32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AE3B7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F5C4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B90CB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CC9D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BF62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A4399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E69A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71608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34BA8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899C7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F37622" w14:textId="77777777">
        <w:tc>
          <w:tcPr>
            <w:tcW w:w="1668" w:type="dxa"/>
          </w:tcPr>
          <w:p w14:paraId="1E6EEB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Учебно-тренировочные.</w:t>
            </w:r>
          </w:p>
        </w:tc>
        <w:tc>
          <w:tcPr>
            <w:tcW w:w="850" w:type="dxa"/>
          </w:tcPr>
          <w:p w14:paraId="205BAE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830A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CE66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5325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7C713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4F92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6C1F7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A45E9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717EF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C4A29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429F6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4DBA9F" w14:textId="77777777">
        <w:tc>
          <w:tcPr>
            <w:tcW w:w="1668" w:type="dxa"/>
          </w:tcPr>
          <w:p w14:paraId="3F07D6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Двухмоторный</w:t>
            </w:r>
          </w:p>
        </w:tc>
        <w:tc>
          <w:tcPr>
            <w:tcW w:w="850" w:type="dxa"/>
          </w:tcPr>
          <w:p w14:paraId="2ABC2E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w:t>
            </w:r>
          </w:p>
        </w:tc>
        <w:tc>
          <w:tcPr>
            <w:tcW w:w="860" w:type="dxa"/>
          </w:tcPr>
          <w:p w14:paraId="1054EF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49" w:type="dxa"/>
          </w:tcPr>
          <w:p w14:paraId="2567E5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55" w:type="dxa"/>
          </w:tcPr>
          <w:p w14:paraId="1DDFA8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817" w:type="dxa"/>
          </w:tcPr>
          <w:p w14:paraId="2857A2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46" w:type="dxa"/>
          </w:tcPr>
          <w:p w14:paraId="45023A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1781D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w:t>
            </w:r>
          </w:p>
        </w:tc>
        <w:tc>
          <w:tcPr>
            <w:tcW w:w="667" w:type="dxa"/>
          </w:tcPr>
          <w:p w14:paraId="782272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135" w:type="dxa"/>
          </w:tcPr>
          <w:p w14:paraId="5C862C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98" w:type="dxa"/>
          </w:tcPr>
          <w:p w14:paraId="226771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958" w:type="dxa"/>
          </w:tcPr>
          <w:p w14:paraId="758CD8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15.VII.42</w:t>
            </w:r>
          </w:p>
        </w:tc>
      </w:tr>
      <w:tr w:rsidR="006F4095" w:rsidRPr="008127F8" w14:paraId="113C1B9B" w14:textId="77777777">
        <w:tc>
          <w:tcPr>
            <w:tcW w:w="1668" w:type="dxa"/>
          </w:tcPr>
          <w:p w14:paraId="3BFD26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учебно</w:t>
            </w:r>
          </w:p>
        </w:tc>
        <w:tc>
          <w:tcPr>
            <w:tcW w:w="850" w:type="dxa"/>
          </w:tcPr>
          <w:p w14:paraId="79C933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6C1AE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F5E66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39971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0A519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8C9FB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7C2D9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667" w:type="dxa"/>
          </w:tcPr>
          <w:p w14:paraId="7929BD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166FE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7307F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AAA45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2FE72AB" w14:textId="77777777">
        <w:tc>
          <w:tcPr>
            <w:tcW w:w="1668" w:type="dxa"/>
          </w:tcPr>
          <w:p w14:paraId="49FBBE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тренировочный</w:t>
            </w:r>
          </w:p>
        </w:tc>
        <w:tc>
          <w:tcPr>
            <w:tcW w:w="850" w:type="dxa"/>
          </w:tcPr>
          <w:p w14:paraId="59D3D9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F4056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24C69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86504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67465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690C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AFFED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варианте</w:t>
            </w:r>
          </w:p>
        </w:tc>
        <w:tc>
          <w:tcPr>
            <w:tcW w:w="667" w:type="dxa"/>
          </w:tcPr>
          <w:p w14:paraId="675353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2B26B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1D8E7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933C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959126" w14:textId="77777777">
        <w:tc>
          <w:tcPr>
            <w:tcW w:w="1668" w:type="dxa"/>
          </w:tcPr>
          <w:p w14:paraId="5681FD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с</w:t>
            </w:r>
          </w:p>
        </w:tc>
        <w:tc>
          <w:tcPr>
            <w:tcW w:w="850" w:type="dxa"/>
          </w:tcPr>
          <w:p w14:paraId="53E759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D7233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137B4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11645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E72A6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7289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81E71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w:t>
            </w:r>
          </w:p>
        </w:tc>
        <w:tc>
          <w:tcPr>
            <w:tcW w:w="667" w:type="dxa"/>
          </w:tcPr>
          <w:p w14:paraId="72F7A2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12A14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6636F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FC94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54E481" w14:textId="77777777">
        <w:tc>
          <w:tcPr>
            <w:tcW w:w="1668" w:type="dxa"/>
          </w:tcPr>
          <w:p w14:paraId="7FEE3B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w:t>
            </w:r>
          </w:p>
        </w:tc>
        <w:tc>
          <w:tcPr>
            <w:tcW w:w="850" w:type="dxa"/>
          </w:tcPr>
          <w:p w14:paraId="715EBF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ADF7D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AED75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2BFFD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A66EB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6F8D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78222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6793E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462BE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B2031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D183F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DE5296" w14:textId="77777777">
        <w:tc>
          <w:tcPr>
            <w:tcW w:w="1668" w:type="dxa"/>
          </w:tcPr>
          <w:p w14:paraId="41CF0F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М-11 в </w:t>
            </w:r>
          </w:p>
        </w:tc>
        <w:tc>
          <w:tcPr>
            <w:tcW w:w="850" w:type="dxa"/>
          </w:tcPr>
          <w:p w14:paraId="3F9E8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0CAF3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4DBBC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CDF29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83D6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EFE6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F7827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F986E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5CA4D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D161A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40CA9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2CF38E" w14:textId="77777777">
        <w:tc>
          <w:tcPr>
            <w:tcW w:w="1668" w:type="dxa"/>
          </w:tcPr>
          <w:p w14:paraId="10133E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вариантах</w:t>
            </w:r>
          </w:p>
        </w:tc>
        <w:tc>
          <w:tcPr>
            <w:tcW w:w="850" w:type="dxa"/>
          </w:tcPr>
          <w:p w14:paraId="4D565C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53925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5616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DA77D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D87C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3B16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EEB87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CC18C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8317C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D807D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5633D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E38B2D" w14:textId="77777777">
        <w:tc>
          <w:tcPr>
            <w:tcW w:w="1668" w:type="dxa"/>
          </w:tcPr>
          <w:p w14:paraId="46885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учебн. с-та</w:t>
            </w:r>
          </w:p>
        </w:tc>
        <w:tc>
          <w:tcPr>
            <w:tcW w:w="850" w:type="dxa"/>
          </w:tcPr>
          <w:p w14:paraId="786043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FFE50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A5B2E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716BB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E2CD8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7543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29A06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9F20F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64957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6ACA8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8BE7D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C5FDB5" w14:textId="77777777">
        <w:tc>
          <w:tcPr>
            <w:tcW w:w="1668" w:type="dxa"/>
          </w:tcPr>
          <w:p w14:paraId="4A5F07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ночного</w:t>
            </w:r>
          </w:p>
        </w:tc>
        <w:tc>
          <w:tcPr>
            <w:tcW w:w="850" w:type="dxa"/>
          </w:tcPr>
          <w:p w14:paraId="3AC1D8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99639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33296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6BFC4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5F49E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6EEC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E76C4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D6EA0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81602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F6EC9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82F61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9C0753" w14:textId="77777777">
        <w:tc>
          <w:tcPr>
            <w:tcW w:w="1668" w:type="dxa"/>
          </w:tcPr>
          <w:p w14:paraId="62A2E5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w:t>
            </w:r>
          </w:p>
        </w:tc>
        <w:tc>
          <w:tcPr>
            <w:tcW w:w="850" w:type="dxa"/>
          </w:tcPr>
          <w:p w14:paraId="1E48ED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EDE66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4FE50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B5A6C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71309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7002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425F7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3F8F51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82618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89139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66047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7BE178" w14:textId="77777777">
        <w:tc>
          <w:tcPr>
            <w:tcW w:w="1668" w:type="dxa"/>
          </w:tcPr>
          <w:p w14:paraId="3AD1D7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конструктора</w:t>
            </w:r>
          </w:p>
        </w:tc>
        <w:tc>
          <w:tcPr>
            <w:tcW w:w="850" w:type="dxa"/>
          </w:tcPr>
          <w:p w14:paraId="1F40E1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7238A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990DB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5304F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97509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ED39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CD6A5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1A2C1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BEDB3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91EC1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BE22A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533814" w14:textId="77777777">
        <w:tc>
          <w:tcPr>
            <w:tcW w:w="1668" w:type="dxa"/>
            <w:tcBorders>
              <w:bottom w:val="single" w:sz="12" w:space="0" w:color="auto"/>
            </w:tcBorders>
          </w:tcPr>
          <w:p w14:paraId="31859A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Яковлева</w:t>
            </w:r>
          </w:p>
        </w:tc>
        <w:tc>
          <w:tcPr>
            <w:tcW w:w="850" w:type="dxa"/>
            <w:tcBorders>
              <w:bottom w:val="single" w:sz="12" w:space="0" w:color="auto"/>
            </w:tcBorders>
          </w:tcPr>
          <w:p w14:paraId="6D972F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Borders>
              <w:bottom w:val="single" w:sz="12" w:space="0" w:color="auto"/>
            </w:tcBorders>
          </w:tcPr>
          <w:p w14:paraId="5BFCA0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Borders>
              <w:bottom w:val="single" w:sz="12" w:space="0" w:color="auto"/>
            </w:tcBorders>
          </w:tcPr>
          <w:p w14:paraId="05A886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Borders>
              <w:bottom w:val="single" w:sz="12" w:space="0" w:color="auto"/>
            </w:tcBorders>
          </w:tcPr>
          <w:p w14:paraId="2D4E4C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Borders>
              <w:bottom w:val="single" w:sz="12" w:space="0" w:color="auto"/>
            </w:tcBorders>
          </w:tcPr>
          <w:p w14:paraId="2FD03E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Borders>
              <w:bottom w:val="single" w:sz="12" w:space="0" w:color="auto"/>
            </w:tcBorders>
          </w:tcPr>
          <w:p w14:paraId="630D66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bottom w:val="single" w:sz="12" w:space="0" w:color="auto"/>
            </w:tcBorders>
          </w:tcPr>
          <w:p w14:paraId="14314A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Borders>
              <w:bottom w:val="single" w:sz="12" w:space="0" w:color="auto"/>
            </w:tcBorders>
          </w:tcPr>
          <w:p w14:paraId="41F51C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Borders>
              <w:bottom w:val="single" w:sz="12" w:space="0" w:color="auto"/>
            </w:tcBorders>
          </w:tcPr>
          <w:p w14:paraId="73438B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Borders>
              <w:bottom w:val="single" w:sz="12" w:space="0" w:color="auto"/>
            </w:tcBorders>
          </w:tcPr>
          <w:p w14:paraId="014106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36B5E6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29B48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p w14:paraId="5A4121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истребителей на 0.9 максимальной скорости.</w:t>
      </w:r>
    </w:p>
    <w:p w14:paraId="0FBE15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штурмовиков и бомбардировщиков на 0.8 максимальной скорости.</w:t>
      </w:r>
    </w:p>
    <w:p w14:paraId="0A46CC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М-250 на истребителе конструктора Яковлева устанавливается вместо ранее заданного мотора МБ-100.</w:t>
      </w:r>
    </w:p>
    <w:p w14:paraId="592AE4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 опытных самолетов и модификаций, переходящих с плана 1941 года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919"/>
        <w:gridCol w:w="1207"/>
        <w:gridCol w:w="866"/>
        <w:gridCol w:w="3811"/>
      </w:tblGrid>
      <w:tr w:rsidR="006F4095" w:rsidRPr="008127F8" w14:paraId="6B4ABE34" w14:textId="77777777">
        <w:tc>
          <w:tcPr>
            <w:tcW w:w="2376" w:type="dxa"/>
            <w:tcBorders>
              <w:top w:val="single" w:sz="12" w:space="0" w:color="auto"/>
            </w:tcBorders>
          </w:tcPr>
          <w:p w14:paraId="5D8841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самолета</w:t>
            </w:r>
          </w:p>
        </w:tc>
        <w:tc>
          <w:tcPr>
            <w:tcW w:w="1418" w:type="dxa"/>
            <w:tcBorders>
              <w:top w:val="single" w:sz="12" w:space="0" w:color="auto"/>
            </w:tcBorders>
          </w:tcPr>
          <w:p w14:paraId="4F3CBA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w:t>
            </w:r>
          </w:p>
        </w:tc>
        <w:tc>
          <w:tcPr>
            <w:tcW w:w="919" w:type="dxa"/>
            <w:tcBorders>
              <w:top w:val="single" w:sz="12" w:space="0" w:color="auto"/>
            </w:tcBorders>
          </w:tcPr>
          <w:p w14:paraId="67C5D0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w:t>
            </w:r>
          </w:p>
        </w:tc>
        <w:tc>
          <w:tcPr>
            <w:tcW w:w="1207" w:type="dxa"/>
            <w:tcBorders>
              <w:top w:val="single" w:sz="12" w:space="0" w:color="auto"/>
            </w:tcBorders>
          </w:tcPr>
          <w:p w14:paraId="2AE48A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w:t>
            </w:r>
          </w:p>
        </w:tc>
        <w:tc>
          <w:tcPr>
            <w:tcW w:w="866" w:type="dxa"/>
            <w:tcBorders>
              <w:top w:val="single" w:sz="12" w:space="0" w:color="auto"/>
            </w:tcBorders>
          </w:tcPr>
          <w:p w14:paraId="1CA4BC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Затраты</w:t>
            </w:r>
          </w:p>
        </w:tc>
        <w:tc>
          <w:tcPr>
            <w:tcW w:w="3811" w:type="dxa"/>
            <w:tcBorders>
              <w:top w:val="single" w:sz="12" w:space="0" w:color="auto"/>
            </w:tcBorders>
          </w:tcPr>
          <w:p w14:paraId="76D52D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7E518A51" w14:textId="77777777">
        <w:tc>
          <w:tcPr>
            <w:tcW w:w="2376" w:type="dxa"/>
          </w:tcPr>
          <w:p w14:paraId="2D6FBB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27F3C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завода</w:t>
            </w:r>
          </w:p>
        </w:tc>
        <w:tc>
          <w:tcPr>
            <w:tcW w:w="919" w:type="dxa"/>
          </w:tcPr>
          <w:p w14:paraId="563F03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экз.</w:t>
            </w:r>
          </w:p>
        </w:tc>
        <w:tc>
          <w:tcPr>
            <w:tcW w:w="1207" w:type="dxa"/>
          </w:tcPr>
          <w:p w14:paraId="4A83E0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предъявлен.</w:t>
            </w:r>
          </w:p>
        </w:tc>
        <w:tc>
          <w:tcPr>
            <w:tcW w:w="866" w:type="dxa"/>
          </w:tcPr>
          <w:p w14:paraId="405A5F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w:t>
            </w:r>
          </w:p>
        </w:tc>
        <w:tc>
          <w:tcPr>
            <w:tcW w:w="3811" w:type="dxa"/>
          </w:tcPr>
          <w:p w14:paraId="662040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475FFB" w14:textId="77777777">
        <w:tc>
          <w:tcPr>
            <w:tcW w:w="2376" w:type="dxa"/>
          </w:tcPr>
          <w:p w14:paraId="19344C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66877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0B703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7FE9C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госиспыт.</w:t>
            </w:r>
          </w:p>
        </w:tc>
        <w:tc>
          <w:tcPr>
            <w:tcW w:w="866" w:type="dxa"/>
          </w:tcPr>
          <w:p w14:paraId="3DBEA4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тыс. руб.</w:t>
            </w:r>
          </w:p>
        </w:tc>
        <w:tc>
          <w:tcPr>
            <w:tcW w:w="3811" w:type="dxa"/>
          </w:tcPr>
          <w:p w14:paraId="55B469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8AEB3E" w14:textId="77777777">
        <w:tc>
          <w:tcPr>
            <w:tcW w:w="2376" w:type="dxa"/>
          </w:tcPr>
          <w:p w14:paraId="1E39C7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Истребители.</w:t>
            </w:r>
          </w:p>
        </w:tc>
        <w:tc>
          <w:tcPr>
            <w:tcW w:w="1418" w:type="dxa"/>
          </w:tcPr>
          <w:p w14:paraId="29B680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96790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752836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2AF05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F7BFC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9AD52A" w14:textId="77777777">
        <w:tc>
          <w:tcPr>
            <w:tcW w:w="2376" w:type="dxa"/>
          </w:tcPr>
          <w:p w14:paraId="666F78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истребителя</w:t>
            </w:r>
          </w:p>
        </w:tc>
        <w:tc>
          <w:tcPr>
            <w:tcW w:w="1418" w:type="dxa"/>
          </w:tcPr>
          <w:p w14:paraId="5D602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Лавочкин</w:t>
            </w:r>
          </w:p>
        </w:tc>
        <w:tc>
          <w:tcPr>
            <w:tcW w:w="919" w:type="dxa"/>
          </w:tcPr>
          <w:p w14:paraId="4D7F4E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27EB76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15.VII.42</w:t>
            </w:r>
          </w:p>
        </w:tc>
        <w:tc>
          <w:tcPr>
            <w:tcW w:w="866" w:type="dxa"/>
          </w:tcPr>
          <w:p w14:paraId="0F1AC7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11" w:type="dxa"/>
          </w:tcPr>
          <w:p w14:paraId="115BAA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AD4A97" w14:textId="77777777">
        <w:tc>
          <w:tcPr>
            <w:tcW w:w="2376" w:type="dxa"/>
          </w:tcPr>
          <w:p w14:paraId="42F054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под мотор М-107</w:t>
            </w:r>
          </w:p>
        </w:tc>
        <w:tc>
          <w:tcPr>
            <w:tcW w:w="1418" w:type="dxa"/>
          </w:tcPr>
          <w:p w14:paraId="18E934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21</w:t>
            </w:r>
          </w:p>
        </w:tc>
        <w:tc>
          <w:tcPr>
            <w:tcW w:w="919" w:type="dxa"/>
          </w:tcPr>
          <w:p w14:paraId="4585E1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C334C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16F9C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675B4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8E7632" w14:textId="77777777">
        <w:tc>
          <w:tcPr>
            <w:tcW w:w="2376" w:type="dxa"/>
          </w:tcPr>
          <w:p w14:paraId="4F1366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 истребитель</w:t>
            </w:r>
          </w:p>
        </w:tc>
        <w:tc>
          <w:tcPr>
            <w:tcW w:w="1418" w:type="dxa"/>
          </w:tcPr>
          <w:p w14:paraId="3647D9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Томашевич</w:t>
            </w:r>
          </w:p>
        </w:tc>
        <w:tc>
          <w:tcPr>
            <w:tcW w:w="919" w:type="dxa"/>
          </w:tcPr>
          <w:p w14:paraId="7D7D9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551D9E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15.VII.42</w:t>
            </w:r>
          </w:p>
        </w:tc>
        <w:tc>
          <w:tcPr>
            <w:tcW w:w="866" w:type="dxa"/>
          </w:tcPr>
          <w:p w14:paraId="6C6699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w:t>
            </w:r>
          </w:p>
        </w:tc>
        <w:tc>
          <w:tcPr>
            <w:tcW w:w="3811" w:type="dxa"/>
          </w:tcPr>
          <w:p w14:paraId="371CA9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7FC6BC8" w14:textId="77777777">
        <w:tc>
          <w:tcPr>
            <w:tcW w:w="2376" w:type="dxa"/>
          </w:tcPr>
          <w:p w14:paraId="31593C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 с мотором М-107</w:t>
            </w:r>
          </w:p>
        </w:tc>
        <w:tc>
          <w:tcPr>
            <w:tcW w:w="1418" w:type="dxa"/>
          </w:tcPr>
          <w:p w14:paraId="4773AA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288</w:t>
            </w:r>
          </w:p>
        </w:tc>
        <w:tc>
          <w:tcPr>
            <w:tcW w:w="919" w:type="dxa"/>
          </w:tcPr>
          <w:p w14:paraId="3B6BAD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CDE53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82CFD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10A6C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D28817" w14:textId="77777777">
        <w:tc>
          <w:tcPr>
            <w:tcW w:w="2376" w:type="dxa"/>
          </w:tcPr>
          <w:p w14:paraId="19BFAE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истребителя</w:t>
            </w:r>
          </w:p>
        </w:tc>
        <w:tc>
          <w:tcPr>
            <w:tcW w:w="1418" w:type="dxa"/>
          </w:tcPr>
          <w:p w14:paraId="69A1AB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w:t>
            </w:r>
          </w:p>
        </w:tc>
        <w:tc>
          <w:tcPr>
            <w:tcW w:w="919" w:type="dxa"/>
          </w:tcPr>
          <w:p w14:paraId="7A3BC8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6288A3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15.VI.42</w:t>
            </w:r>
          </w:p>
        </w:tc>
        <w:tc>
          <w:tcPr>
            <w:tcW w:w="866" w:type="dxa"/>
          </w:tcPr>
          <w:p w14:paraId="2F0007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tc>
        <w:tc>
          <w:tcPr>
            <w:tcW w:w="3811" w:type="dxa"/>
          </w:tcPr>
          <w:p w14:paraId="2F1D22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01D08C" w14:textId="77777777">
        <w:tc>
          <w:tcPr>
            <w:tcW w:w="2376" w:type="dxa"/>
          </w:tcPr>
          <w:p w14:paraId="26BB9C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под мотор М-105П с</w:t>
            </w:r>
          </w:p>
        </w:tc>
        <w:tc>
          <w:tcPr>
            <w:tcW w:w="1418" w:type="dxa"/>
          </w:tcPr>
          <w:p w14:paraId="06733C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115</w:t>
            </w:r>
          </w:p>
        </w:tc>
        <w:tc>
          <w:tcPr>
            <w:tcW w:w="919" w:type="dxa"/>
          </w:tcPr>
          <w:p w14:paraId="0DE7A6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AEE20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1.Х.42</w:t>
            </w:r>
          </w:p>
        </w:tc>
        <w:tc>
          <w:tcPr>
            <w:tcW w:w="866" w:type="dxa"/>
          </w:tcPr>
          <w:p w14:paraId="6C6988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79E2B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35AEB3" w14:textId="77777777">
        <w:tc>
          <w:tcPr>
            <w:tcW w:w="2376" w:type="dxa"/>
          </w:tcPr>
          <w:p w14:paraId="32AA7C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нагнетателем конструкции</w:t>
            </w:r>
          </w:p>
        </w:tc>
        <w:tc>
          <w:tcPr>
            <w:tcW w:w="1418" w:type="dxa"/>
          </w:tcPr>
          <w:p w14:paraId="517AEF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44677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E5ACF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CD989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06A90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CD65AD" w14:textId="77777777">
        <w:tc>
          <w:tcPr>
            <w:tcW w:w="2376" w:type="dxa"/>
          </w:tcPr>
          <w:p w14:paraId="1D7BF8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Доллежаля и под мотор</w:t>
            </w:r>
          </w:p>
        </w:tc>
        <w:tc>
          <w:tcPr>
            <w:tcW w:w="1418" w:type="dxa"/>
          </w:tcPr>
          <w:p w14:paraId="37E8AB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410A2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D2CC3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94DED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D9ADA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1C70A5" w14:textId="77777777">
        <w:tc>
          <w:tcPr>
            <w:tcW w:w="2376" w:type="dxa"/>
          </w:tcPr>
          <w:p w14:paraId="7AC284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М-107Ф</w:t>
            </w:r>
          </w:p>
        </w:tc>
        <w:tc>
          <w:tcPr>
            <w:tcW w:w="1418" w:type="dxa"/>
          </w:tcPr>
          <w:p w14:paraId="136D7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9599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D4599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21219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B5FBE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952ED0" w14:textId="77777777">
        <w:tc>
          <w:tcPr>
            <w:tcW w:w="2376" w:type="dxa"/>
          </w:tcPr>
          <w:p w14:paraId="051A47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истребителя</w:t>
            </w:r>
          </w:p>
        </w:tc>
        <w:tc>
          <w:tcPr>
            <w:tcW w:w="1418" w:type="dxa"/>
          </w:tcPr>
          <w:p w14:paraId="5C3C9A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w:t>
            </w:r>
          </w:p>
        </w:tc>
        <w:tc>
          <w:tcPr>
            <w:tcW w:w="919" w:type="dxa"/>
          </w:tcPr>
          <w:p w14:paraId="1C03EF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5DFD19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15.V.42</w:t>
            </w:r>
          </w:p>
        </w:tc>
        <w:tc>
          <w:tcPr>
            <w:tcW w:w="866" w:type="dxa"/>
          </w:tcPr>
          <w:p w14:paraId="51B6DC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11" w:type="dxa"/>
          </w:tcPr>
          <w:p w14:paraId="6F292C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CCB35E9" w14:textId="77777777">
        <w:tc>
          <w:tcPr>
            <w:tcW w:w="2376" w:type="dxa"/>
          </w:tcPr>
          <w:p w14:paraId="0B3194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 под мотор М-82</w:t>
            </w:r>
          </w:p>
        </w:tc>
        <w:tc>
          <w:tcPr>
            <w:tcW w:w="1418" w:type="dxa"/>
          </w:tcPr>
          <w:p w14:paraId="0829B2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153</w:t>
            </w:r>
          </w:p>
        </w:tc>
        <w:tc>
          <w:tcPr>
            <w:tcW w:w="919" w:type="dxa"/>
          </w:tcPr>
          <w:p w14:paraId="42B41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33A54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FC453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9B5C1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B854CB" w14:textId="77777777">
        <w:tc>
          <w:tcPr>
            <w:tcW w:w="2376" w:type="dxa"/>
          </w:tcPr>
          <w:p w14:paraId="1AE02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Одноместный истребитель</w:t>
            </w:r>
          </w:p>
        </w:tc>
        <w:tc>
          <w:tcPr>
            <w:tcW w:w="1418" w:type="dxa"/>
          </w:tcPr>
          <w:p w14:paraId="23BA24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Поликарпов</w:t>
            </w:r>
          </w:p>
        </w:tc>
        <w:tc>
          <w:tcPr>
            <w:tcW w:w="919" w:type="dxa"/>
          </w:tcPr>
          <w:p w14:paraId="370E31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207" w:type="dxa"/>
          </w:tcPr>
          <w:p w14:paraId="36880B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66" w:type="dxa"/>
          </w:tcPr>
          <w:p w14:paraId="1C35F9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w:t>
            </w:r>
          </w:p>
        </w:tc>
        <w:tc>
          <w:tcPr>
            <w:tcW w:w="3811" w:type="dxa"/>
          </w:tcPr>
          <w:p w14:paraId="5DB40F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проходит испытания.</w:t>
            </w:r>
          </w:p>
        </w:tc>
      </w:tr>
      <w:tr w:rsidR="006F4095" w:rsidRPr="008127F8" w14:paraId="4AC45913" w14:textId="77777777">
        <w:tc>
          <w:tcPr>
            <w:tcW w:w="2376" w:type="dxa"/>
          </w:tcPr>
          <w:p w14:paraId="3D99E9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И-185 под моторы М-71,</w:t>
            </w:r>
          </w:p>
        </w:tc>
        <w:tc>
          <w:tcPr>
            <w:tcW w:w="1418" w:type="dxa"/>
          </w:tcPr>
          <w:p w14:paraId="54945A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51</w:t>
            </w:r>
          </w:p>
        </w:tc>
        <w:tc>
          <w:tcPr>
            <w:tcW w:w="919" w:type="dxa"/>
          </w:tcPr>
          <w:p w14:paraId="5A641F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E1991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5E041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74C07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31E121" w14:textId="77777777">
        <w:tc>
          <w:tcPr>
            <w:tcW w:w="2376" w:type="dxa"/>
          </w:tcPr>
          <w:p w14:paraId="699A0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 и М-90</w:t>
            </w:r>
          </w:p>
        </w:tc>
        <w:tc>
          <w:tcPr>
            <w:tcW w:w="1418" w:type="dxa"/>
          </w:tcPr>
          <w:p w14:paraId="5621EA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E2BE3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4C513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79B43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A8C44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536029" w14:textId="77777777">
        <w:tc>
          <w:tcPr>
            <w:tcW w:w="2376" w:type="dxa"/>
          </w:tcPr>
          <w:p w14:paraId="5E968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 тяжелый</w:t>
            </w:r>
          </w:p>
        </w:tc>
        <w:tc>
          <w:tcPr>
            <w:tcW w:w="1418" w:type="dxa"/>
          </w:tcPr>
          <w:p w14:paraId="4FB2E2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19" w:type="dxa"/>
          </w:tcPr>
          <w:p w14:paraId="1CAFAC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1A81D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66" w:type="dxa"/>
          </w:tcPr>
          <w:p w14:paraId="014D3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w:t>
            </w:r>
          </w:p>
        </w:tc>
        <w:tc>
          <w:tcPr>
            <w:tcW w:w="3811" w:type="dxa"/>
          </w:tcPr>
          <w:p w14:paraId="0AEA37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A868DF" w14:textId="77777777">
        <w:tc>
          <w:tcPr>
            <w:tcW w:w="2376" w:type="dxa"/>
          </w:tcPr>
          <w:p w14:paraId="579CED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истребитель "ИТП" с </w:t>
            </w:r>
          </w:p>
        </w:tc>
        <w:tc>
          <w:tcPr>
            <w:tcW w:w="1418" w:type="dxa"/>
          </w:tcPr>
          <w:p w14:paraId="3A571A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A952F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8502A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681C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BF1C8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5A9C2C8" w14:textId="77777777">
        <w:tc>
          <w:tcPr>
            <w:tcW w:w="2376" w:type="dxa"/>
          </w:tcPr>
          <w:p w14:paraId="68CC19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мотором М-107 и АМ-37</w:t>
            </w:r>
          </w:p>
        </w:tc>
        <w:tc>
          <w:tcPr>
            <w:tcW w:w="1418" w:type="dxa"/>
          </w:tcPr>
          <w:p w14:paraId="78EA63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3030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578DC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8BFA3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AFC8C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8BB2D07" w14:textId="77777777">
        <w:tc>
          <w:tcPr>
            <w:tcW w:w="2376" w:type="dxa"/>
          </w:tcPr>
          <w:p w14:paraId="0CA27B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Тяжелый двухместный</w:t>
            </w:r>
          </w:p>
        </w:tc>
        <w:tc>
          <w:tcPr>
            <w:tcW w:w="1418" w:type="dxa"/>
          </w:tcPr>
          <w:p w14:paraId="507064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19" w:type="dxa"/>
          </w:tcPr>
          <w:p w14:paraId="02C8D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6DDCBB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1.VI.42</w:t>
            </w:r>
          </w:p>
        </w:tc>
        <w:tc>
          <w:tcPr>
            <w:tcW w:w="866" w:type="dxa"/>
          </w:tcPr>
          <w:p w14:paraId="481A2E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3811" w:type="dxa"/>
          </w:tcPr>
          <w:p w14:paraId="2F65A0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и доводки.</w:t>
            </w:r>
          </w:p>
        </w:tc>
      </w:tr>
      <w:tr w:rsidR="006F4095" w:rsidRPr="008127F8" w14:paraId="19B26F3C" w14:textId="77777777">
        <w:tc>
          <w:tcPr>
            <w:tcW w:w="2376" w:type="dxa"/>
          </w:tcPr>
          <w:p w14:paraId="6FBB58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 "ТИС" с двумя</w:t>
            </w:r>
          </w:p>
        </w:tc>
        <w:tc>
          <w:tcPr>
            <w:tcW w:w="1418" w:type="dxa"/>
          </w:tcPr>
          <w:p w14:paraId="014CB8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7474D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5804D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61E6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701C3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622C5CC" w14:textId="77777777">
        <w:tc>
          <w:tcPr>
            <w:tcW w:w="2376" w:type="dxa"/>
          </w:tcPr>
          <w:p w14:paraId="6D620D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АМ-37</w:t>
            </w:r>
          </w:p>
        </w:tc>
        <w:tc>
          <w:tcPr>
            <w:tcW w:w="1418" w:type="dxa"/>
          </w:tcPr>
          <w:p w14:paraId="65A973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0BA0C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C7E39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17898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A8D34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0E1542" w14:textId="77777777">
        <w:tc>
          <w:tcPr>
            <w:tcW w:w="2376" w:type="dxa"/>
          </w:tcPr>
          <w:p w14:paraId="1F0AF3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Бомбардировщики.</w:t>
            </w:r>
          </w:p>
        </w:tc>
        <w:tc>
          <w:tcPr>
            <w:tcW w:w="1418" w:type="dxa"/>
          </w:tcPr>
          <w:p w14:paraId="023257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06644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E542B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E0A5B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E5EA5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CF44DA" w14:textId="77777777">
        <w:tc>
          <w:tcPr>
            <w:tcW w:w="2376" w:type="dxa"/>
          </w:tcPr>
          <w:p w14:paraId="475256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бомбардиров.</w:t>
            </w:r>
          </w:p>
        </w:tc>
        <w:tc>
          <w:tcPr>
            <w:tcW w:w="1418" w:type="dxa"/>
          </w:tcPr>
          <w:p w14:paraId="3CBED8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Изаксон</w:t>
            </w:r>
          </w:p>
        </w:tc>
        <w:tc>
          <w:tcPr>
            <w:tcW w:w="919" w:type="dxa"/>
          </w:tcPr>
          <w:p w14:paraId="00885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088B06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1.VIII.42</w:t>
            </w:r>
          </w:p>
        </w:tc>
        <w:tc>
          <w:tcPr>
            <w:tcW w:w="866" w:type="dxa"/>
          </w:tcPr>
          <w:p w14:paraId="587837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w:t>
            </w:r>
          </w:p>
        </w:tc>
        <w:tc>
          <w:tcPr>
            <w:tcW w:w="3811" w:type="dxa"/>
          </w:tcPr>
          <w:p w14:paraId="16F6F2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М-107 устанавлив. Вместо</w:t>
            </w:r>
          </w:p>
        </w:tc>
      </w:tr>
      <w:tr w:rsidR="006F4095" w:rsidRPr="008127F8" w14:paraId="723EC46F" w14:textId="77777777">
        <w:tc>
          <w:tcPr>
            <w:tcW w:w="2376" w:type="dxa"/>
          </w:tcPr>
          <w:p w14:paraId="1C9126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под моторы М-107</w:t>
            </w:r>
          </w:p>
        </w:tc>
        <w:tc>
          <w:tcPr>
            <w:tcW w:w="1418" w:type="dxa"/>
          </w:tcPr>
          <w:p w14:paraId="07887F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22</w:t>
            </w:r>
          </w:p>
        </w:tc>
        <w:tc>
          <w:tcPr>
            <w:tcW w:w="919" w:type="dxa"/>
          </w:tcPr>
          <w:p w14:paraId="1A900C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340EF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D2938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15699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моторов М-105Ф.</w:t>
            </w:r>
          </w:p>
        </w:tc>
      </w:tr>
      <w:tr w:rsidR="006F4095" w:rsidRPr="008127F8" w14:paraId="2C9B76F5" w14:textId="77777777">
        <w:tc>
          <w:tcPr>
            <w:tcW w:w="2376" w:type="dxa"/>
          </w:tcPr>
          <w:p w14:paraId="6D02D0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бомбардиров.</w:t>
            </w:r>
          </w:p>
        </w:tc>
        <w:tc>
          <w:tcPr>
            <w:tcW w:w="1418" w:type="dxa"/>
          </w:tcPr>
          <w:p w14:paraId="20153F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Изаксон</w:t>
            </w:r>
          </w:p>
        </w:tc>
        <w:tc>
          <w:tcPr>
            <w:tcW w:w="919" w:type="dxa"/>
          </w:tcPr>
          <w:p w14:paraId="6A434E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331CF8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1.VII.42</w:t>
            </w:r>
          </w:p>
        </w:tc>
        <w:tc>
          <w:tcPr>
            <w:tcW w:w="866" w:type="dxa"/>
          </w:tcPr>
          <w:p w14:paraId="796554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2800</w:t>
            </w:r>
          </w:p>
        </w:tc>
        <w:tc>
          <w:tcPr>
            <w:tcW w:w="3811" w:type="dxa"/>
          </w:tcPr>
          <w:p w14:paraId="3F61F9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6A7E26" w14:textId="77777777">
        <w:tc>
          <w:tcPr>
            <w:tcW w:w="2376" w:type="dxa"/>
          </w:tcPr>
          <w:p w14:paraId="632F60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под моторы М-82</w:t>
            </w:r>
          </w:p>
        </w:tc>
        <w:tc>
          <w:tcPr>
            <w:tcW w:w="1418" w:type="dxa"/>
          </w:tcPr>
          <w:p w14:paraId="2B9CDE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22</w:t>
            </w:r>
          </w:p>
        </w:tc>
        <w:tc>
          <w:tcPr>
            <w:tcW w:w="919" w:type="dxa"/>
          </w:tcPr>
          <w:p w14:paraId="3C13DF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163EF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1E7B4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0FCCD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39F29E" w14:textId="77777777">
        <w:tc>
          <w:tcPr>
            <w:tcW w:w="2376" w:type="dxa"/>
          </w:tcPr>
          <w:p w14:paraId="39764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бомбардиров.</w:t>
            </w:r>
          </w:p>
        </w:tc>
        <w:tc>
          <w:tcPr>
            <w:tcW w:w="1418" w:type="dxa"/>
          </w:tcPr>
          <w:p w14:paraId="08E812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19" w:type="dxa"/>
          </w:tcPr>
          <w:p w14:paraId="4A19BE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58A613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15.VII.42</w:t>
            </w:r>
          </w:p>
        </w:tc>
        <w:tc>
          <w:tcPr>
            <w:tcW w:w="866" w:type="dxa"/>
          </w:tcPr>
          <w:p w14:paraId="763E17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w:t>
            </w:r>
          </w:p>
        </w:tc>
        <w:tc>
          <w:tcPr>
            <w:tcW w:w="3811" w:type="dxa"/>
          </w:tcPr>
          <w:p w14:paraId="471C7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9052CA" w14:textId="77777777">
        <w:tc>
          <w:tcPr>
            <w:tcW w:w="2376" w:type="dxa"/>
          </w:tcPr>
          <w:p w14:paraId="2F1D72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с М-105 с деревян.</w:t>
            </w:r>
          </w:p>
        </w:tc>
        <w:tc>
          <w:tcPr>
            <w:tcW w:w="1418" w:type="dxa"/>
          </w:tcPr>
          <w:p w14:paraId="17ADA1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B160B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7C68C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6F68D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BA456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E9F735" w14:textId="77777777">
        <w:tc>
          <w:tcPr>
            <w:tcW w:w="2376" w:type="dxa"/>
          </w:tcPr>
          <w:p w14:paraId="6DC508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консолями крыльев</w:t>
            </w:r>
          </w:p>
        </w:tc>
        <w:tc>
          <w:tcPr>
            <w:tcW w:w="1418" w:type="dxa"/>
          </w:tcPr>
          <w:p w14:paraId="3AEE2A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DF1E3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3B81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8553D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92412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8FE7DA" w14:textId="77777777">
        <w:tc>
          <w:tcPr>
            <w:tcW w:w="2376" w:type="dxa"/>
          </w:tcPr>
          <w:p w14:paraId="15BD89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улучшенного профиля</w:t>
            </w:r>
          </w:p>
        </w:tc>
        <w:tc>
          <w:tcPr>
            <w:tcW w:w="1418" w:type="dxa"/>
          </w:tcPr>
          <w:p w14:paraId="235532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677FE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46E53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789FA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36101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100D56" w14:textId="77777777">
        <w:tc>
          <w:tcPr>
            <w:tcW w:w="2376" w:type="dxa"/>
          </w:tcPr>
          <w:p w14:paraId="4ABE54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бомбардиров.</w:t>
            </w:r>
          </w:p>
        </w:tc>
        <w:tc>
          <w:tcPr>
            <w:tcW w:w="1418" w:type="dxa"/>
          </w:tcPr>
          <w:p w14:paraId="02C68A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Ильюшин</w:t>
            </w:r>
          </w:p>
        </w:tc>
        <w:tc>
          <w:tcPr>
            <w:tcW w:w="919" w:type="dxa"/>
          </w:tcPr>
          <w:p w14:paraId="15A99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265569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15.VII.42</w:t>
            </w:r>
          </w:p>
        </w:tc>
        <w:tc>
          <w:tcPr>
            <w:tcW w:w="866" w:type="dxa"/>
          </w:tcPr>
          <w:p w14:paraId="35CF41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3811" w:type="dxa"/>
          </w:tcPr>
          <w:p w14:paraId="6B199F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затраты включена стоимость работ</w:t>
            </w:r>
          </w:p>
        </w:tc>
      </w:tr>
      <w:tr w:rsidR="006F4095" w:rsidRPr="008127F8" w14:paraId="7D1E0390" w14:textId="77777777">
        <w:tc>
          <w:tcPr>
            <w:tcW w:w="2376" w:type="dxa"/>
          </w:tcPr>
          <w:p w14:paraId="6FDC7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с моторами М-82, с</w:t>
            </w:r>
          </w:p>
        </w:tc>
        <w:tc>
          <w:tcPr>
            <w:tcW w:w="1418" w:type="dxa"/>
          </w:tcPr>
          <w:p w14:paraId="774359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DDEE0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A556A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9E493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0F333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по проектиров</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испытаниям.</w:t>
            </w:r>
          </w:p>
        </w:tc>
      </w:tr>
      <w:tr w:rsidR="006F4095" w:rsidRPr="008127F8" w14:paraId="0A51DA36" w14:textId="77777777">
        <w:tc>
          <w:tcPr>
            <w:tcW w:w="2376" w:type="dxa"/>
          </w:tcPr>
          <w:p w14:paraId="037BB4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деревянным фюзеляжем и</w:t>
            </w:r>
          </w:p>
        </w:tc>
        <w:tc>
          <w:tcPr>
            <w:tcW w:w="1418" w:type="dxa"/>
          </w:tcPr>
          <w:p w14:paraId="3BC009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13910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5435C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44FDF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7434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994BB47" w14:textId="77777777">
        <w:tc>
          <w:tcPr>
            <w:tcW w:w="2376" w:type="dxa"/>
          </w:tcPr>
          <w:p w14:paraId="012D03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крыльями, с дальностью</w:t>
            </w:r>
          </w:p>
        </w:tc>
        <w:tc>
          <w:tcPr>
            <w:tcW w:w="1418" w:type="dxa"/>
          </w:tcPr>
          <w:p w14:paraId="36E208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877E7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B02A9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0205F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5069B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B95247" w14:textId="77777777">
        <w:tc>
          <w:tcPr>
            <w:tcW w:w="2376" w:type="dxa"/>
          </w:tcPr>
          <w:p w14:paraId="39E173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увеличенной на 800 км</w:t>
            </w:r>
          </w:p>
        </w:tc>
        <w:tc>
          <w:tcPr>
            <w:tcW w:w="1418" w:type="dxa"/>
          </w:tcPr>
          <w:p w14:paraId="1919C8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D3280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565BD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B2092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BB08A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CCEA49" w14:textId="77777777">
        <w:tc>
          <w:tcPr>
            <w:tcW w:w="2376" w:type="dxa"/>
          </w:tcPr>
          <w:p w14:paraId="66963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пикирующего</w:t>
            </w:r>
          </w:p>
        </w:tc>
        <w:tc>
          <w:tcPr>
            <w:tcW w:w="1418" w:type="dxa"/>
          </w:tcPr>
          <w:p w14:paraId="2C303B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Туполев</w:t>
            </w:r>
          </w:p>
        </w:tc>
        <w:tc>
          <w:tcPr>
            <w:tcW w:w="919" w:type="dxa"/>
          </w:tcPr>
          <w:p w14:paraId="516A7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7C26EC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66" w:type="dxa"/>
          </w:tcPr>
          <w:p w14:paraId="7C3A7D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3811" w:type="dxa"/>
          </w:tcPr>
          <w:p w14:paraId="6AE6A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проходит испытания.</w:t>
            </w:r>
          </w:p>
        </w:tc>
      </w:tr>
      <w:tr w:rsidR="006F4095" w:rsidRPr="008127F8" w14:paraId="0C2102FD" w14:textId="77777777">
        <w:tc>
          <w:tcPr>
            <w:tcW w:w="2376" w:type="dxa"/>
          </w:tcPr>
          <w:p w14:paraId="4C44B1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Ту-2</w:t>
            </w:r>
          </w:p>
        </w:tc>
        <w:tc>
          <w:tcPr>
            <w:tcW w:w="1418" w:type="dxa"/>
          </w:tcPr>
          <w:p w14:paraId="026724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166</w:t>
            </w:r>
          </w:p>
        </w:tc>
        <w:tc>
          <w:tcPr>
            <w:tcW w:w="919" w:type="dxa"/>
          </w:tcPr>
          <w:p w14:paraId="49FE7F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37A31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1CE70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7B2A9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847BA8" w14:textId="77777777">
        <w:tc>
          <w:tcPr>
            <w:tcW w:w="2376" w:type="dxa"/>
          </w:tcPr>
          <w:p w14:paraId="697C64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моторы М-82</w:t>
            </w:r>
          </w:p>
        </w:tc>
        <w:tc>
          <w:tcPr>
            <w:tcW w:w="1418" w:type="dxa"/>
          </w:tcPr>
          <w:p w14:paraId="64256C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AB239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7257CB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D32DD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37109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29845D" w14:textId="77777777">
        <w:tc>
          <w:tcPr>
            <w:tcW w:w="2376" w:type="dxa"/>
          </w:tcPr>
          <w:p w14:paraId="5F88D8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тяжелого</w:t>
            </w:r>
          </w:p>
        </w:tc>
        <w:tc>
          <w:tcPr>
            <w:tcW w:w="1418" w:type="dxa"/>
          </w:tcPr>
          <w:p w14:paraId="1FD4C2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Незваль</w:t>
            </w:r>
          </w:p>
        </w:tc>
        <w:tc>
          <w:tcPr>
            <w:tcW w:w="919" w:type="dxa"/>
          </w:tcPr>
          <w:p w14:paraId="404179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2AF147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66" w:type="dxa"/>
          </w:tcPr>
          <w:p w14:paraId="054973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3811" w:type="dxa"/>
          </w:tcPr>
          <w:p w14:paraId="6DD61D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проходит совместные испытания.</w:t>
            </w:r>
          </w:p>
        </w:tc>
      </w:tr>
      <w:tr w:rsidR="006F4095" w:rsidRPr="008127F8" w14:paraId="7EA36E98" w14:textId="77777777">
        <w:tc>
          <w:tcPr>
            <w:tcW w:w="2376" w:type="dxa"/>
          </w:tcPr>
          <w:p w14:paraId="35C7AE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ТБ-7</w:t>
            </w:r>
          </w:p>
        </w:tc>
        <w:tc>
          <w:tcPr>
            <w:tcW w:w="1418" w:type="dxa"/>
          </w:tcPr>
          <w:p w14:paraId="488F0E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22</w:t>
            </w:r>
          </w:p>
        </w:tc>
        <w:tc>
          <w:tcPr>
            <w:tcW w:w="919" w:type="dxa"/>
          </w:tcPr>
          <w:p w14:paraId="331E7C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3AB87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68C9A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AFCC8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A1C902" w14:textId="77777777">
        <w:tc>
          <w:tcPr>
            <w:tcW w:w="2376" w:type="dxa"/>
          </w:tcPr>
          <w:p w14:paraId="5ED6B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моторы М-82</w:t>
            </w:r>
          </w:p>
        </w:tc>
        <w:tc>
          <w:tcPr>
            <w:tcW w:w="1418" w:type="dxa"/>
          </w:tcPr>
          <w:p w14:paraId="6E2AF5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11DA8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9D186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61C00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B59FF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941758" w14:textId="77777777">
        <w:tc>
          <w:tcPr>
            <w:tcW w:w="2376" w:type="dxa"/>
          </w:tcPr>
          <w:p w14:paraId="67A94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Дальний бомбардировщик</w:t>
            </w:r>
          </w:p>
        </w:tc>
        <w:tc>
          <w:tcPr>
            <w:tcW w:w="1418" w:type="dxa"/>
          </w:tcPr>
          <w:p w14:paraId="6479D7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Мясищев</w:t>
            </w:r>
          </w:p>
        </w:tc>
        <w:tc>
          <w:tcPr>
            <w:tcW w:w="919" w:type="dxa"/>
          </w:tcPr>
          <w:p w14:paraId="314CAC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6590FE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1.VI.42</w:t>
            </w:r>
          </w:p>
        </w:tc>
        <w:tc>
          <w:tcPr>
            <w:tcW w:w="866" w:type="dxa"/>
          </w:tcPr>
          <w:p w14:paraId="068992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w:t>
            </w:r>
          </w:p>
        </w:tc>
        <w:tc>
          <w:tcPr>
            <w:tcW w:w="3811" w:type="dxa"/>
          </w:tcPr>
          <w:p w14:paraId="66B493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Проводятся летные испытания</w:t>
            </w:r>
          </w:p>
        </w:tc>
      </w:tr>
      <w:tr w:rsidR="006F4095" w:rsidRPr="008127F8" w14:paraId="3F2E8153" w14:textId="77777777">
        <w:tc>
          <w:tcPr>
            <w:tcW w:w="2376" w:type="dxa"/>
          </w:tcPr>
          <w:p w14:paraId="24505D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 с двумя моторами</w:t>
            </w:r>
          </w:p>
        </w:tc>
        <w:tc>
          <w:tcPr>
            <w:tcW w:w="1418" w:type="dxa"/>
          </w:tcPr>
          <w:p w14:paraId="3A1E77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288</w:t>
            </w:r>
          </w:p>
        </w:tc>
        <w:tc>
          <w:tcPr>
            <w:tcW w:w="919" w:type="dxa"/>
          </w:tcPr>
          <w:p w14:paraId="3DDCF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1E737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E5372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25DAF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винтомоторной группы.</w:t>
            </w:r>
          </w:p>
        </w:tc>
      </w:tr>
      <w:tr w:rsidR="006F4095" w:rsidRPr="008127F8" w14:paraId="540F41E8" w14:textId="77777777">
        <w:tc>
          <w:tcPr>
            <w:tcW w:w="2376" w:type="dxa"/>
          </w:tcPr>
          <w:p w14:paraId="762420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М-120</w:t>
            </w:r>
          </w:p>
        </w:tc>
        <w:tc>
          <w:tcPr>
            <w:tcW w:w="1418" w:type="dxa"/>
          </w:tcPr>
          <w:p w14:paraId="630FDA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23B2F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38FEE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3AA9B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30BBA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31E5F9" w14:textId="77777777">
        <w:tc>
          <w:tcPr>
            <w:tcW w:w="2376" w:type="dxa"/>
          </w:tcPr>
          <w:p w14:paraId="68604E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дальнего</w:t>
            </w:r>
          </w:p>
        </w:tc>
        <w:tc>
          <w:tcPr>
            <w:tcW w:w="1418" w:type="dxa"/>
          </w:tcPr>
          <w:p w14:paraId="51ABA4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Ермолаев</w:t>
            </w:r>
          </w:p>
        </w:tc>
        <w:tc>
          <w:tcPr>
            <w:tcW w:w="919" w:type="dxa"/>
          </w:tcPr>
          <w:p w14:paraId="40DA29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0C681F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25.V.42</w:t>
            </w:r>
          </w:p>
        </w:tc>
        <w:tc>
          <w:tcPr>
            <w:tcW w:w="866" w:type="dxa"/>
          </w:tcPr>
          <w:p w14:paraId="118641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w:t>
            </w:r>
          </w:p>
        </w:tc>
        <w:tc>
          <w:tcPr>
            <w:tcW w:w="3811" w:type="dxa"/>
          </w:tcPr>
          <w:p w14:paraId="66989F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выпускается для отработки в</w:t>
            </w:r>
          </w:p>
        </w:tc>
      </w:tr>
      <w:tr w:rsidR="006F4095" w:rsidRPr="008127F8" w14:paraId="7DC7DBDC" w14:textId="77777777">
        <w:tc>
          <w:tcPr>
            <w:tcW w:w="2376" w:type="dxa"/>
          </w:tcPr>
          <w:p w14:paraId="7D5031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Ер-2</w:t>
            </w:r>
          </w:p>
        </w:tc>
        <w:tc>
          <w:tcPr>
            <w:tcW w:w="1418" w:type="dxa"/>
          </w:tcPr>
          <w:p w14:paraId="087BCC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240</w:t>
            </w:r>
          </w:p>
        </w:tc>
        <w:tc>
          <w:tcPr>
            <w:tcW w:w="919" w:type="dxa"/>
          </w:tcPr>
          <w:p w14:paraId="1072E0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22E52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6119E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CF568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полете </w:t>
            </w:r>
            <w:proofErr w:type="gramStart"/>
            <w:r w:rsidRPr="008127F8">
              <w:rPr>
                <w:rFonts w:ascii="Times New Roman" w:hAnsi="Times New Roman"/>
                <w:color w:val="000000" w:themeColor="text1"/>
                <w:sz w:val="16"/>
                <w:szCs w:val="16"/>
              </w:rPr>
              <w:t>дизель моторов</w:t>
            </w:r>
            <w:proofErr w:type="gramEnd"/>
            <w:r w:rsidRPr="008127F8">
              <w:rPr>
                <w:rFonts w:ascii="Times New Roman" w:hAnsi="Times New Roman"/>
                <w:color w:val="000000" w:themeColor="text1"/>
                <w:sz w:val="16"/>
                <w:szCs w:val="16"/>
              </w:rPr>
              <w:t>.</w:t>
            </w:r>
          </w:p>
        </w:tc>
      </w:tr>
      <w:tr w:rsidR="006F4095" w:rsidRPr="008127F8" w14:paraId="6E2410AB" w14:textId="77777777">
        <w:tc>
          <w:tcPr>
            <w:tcW w:w="2376" w:type="dxa"/>
          </w:tcPr>
          <w:p w14:paraId="774A7F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дизель-моторы М-30</w:t>
            </w:r>
          </w:p>
        </w:tc>
        <w:tc>
          <w:tcPr>
            <w:tcW w:w="1418" w:type="dxa"/>
          </w:tcPr>
          <w:p w14:paraId="0017D4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D52E5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0382F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677FC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4305B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E9F1A3" w14:textId="77777777">
        <w:tc>
          <w:tcPr>
            <w:tcW w:w="2376" w:type="dxa"/>
          </w:tcPr>
          <w:p w14:paraId="78A065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бомбардиров.</w:t>
            </w:r>
          </w:p>
        </w:tc>
        <w:tc>
          <w:tcPr>
            <w:tcW w:w="1418" w:type="dxa"/>
          </w:tcPr>
          <w:p w14:paraId="3C66E4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w:t>
            </w:r>
          </w:p>
        </w:tc>
        <w:tc>
          <w:tcPr>
            <w:tcW w:w="919" w:type="dxa"/>
          </w:tcPr>
          <w:p w14:paraId="5251DE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29DB58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15.V.42</w:t>
            </w:r>
          </w:p>
        </w:tc>
        <w:tc>
          <w:tcPr>
            <w:tcW w:w="866" w:type="dxa"/>
          </w:tcPr>
          <w:p w14:paraId="5ECF83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3811" w:type="dxa"/>
          </w:tcPr>
          <w:p w14:paraId="59F7D6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выпускается для отработки мотора</w:t>
            </w:r>
          </w:p>
        </w:tc>
      </w:tr>
      <w:tr w:rsidR="006F4095" w:rsidRPr="008127F8" w14:paraId="3FD40B4A" w14:textId="77777777">
        <w:tc>
          <w:tcPr>
            <w:tcW w:w="2376" w:type="dxa"/>
          </w:tcPr>
          <w:p w14:paraId="10E7AC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под мотор М-90</w:t>
            </w:r>
          </w:p>
        </w:tc>
        <w:tc>
          <w:tcPr>
            <w:tcW w:w="1418" w:type="dxa"/>
          </w:tcPr>
          <w:p w14:paraId="22C2D3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289</w:t>
            </w:r>
          </w:p>
        </w:tc>
        <w:tc>
          <w:tcPr>
            <w:tcW w:w="919" w:type="dxa"/>
          </w:tcPr>
          <w:p w14:paraId="273FEA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5A0653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FC9A8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65040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М-90 в полете.</w:t>
            </w:r>
          </w:p>
        </w:tc>
      </w:tr>
      <w:tr w:rsidR="006F4095" w:rsidRPr="008127F8" w14:paraId="57E699C5" w14:textId="77777777">
        <w:tc>
          <w:tcPr>
            <w:tcW w:w="2376" w:type="dxa"/>
          </w:tcPr>
          <w:p w14:paraId="44C1DC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Морской дальний</w:t>
            </w:r>
          </w:p>
        </w:tc>
        <w:tc>
          <w:tcPr>
            <w:tcW w:w="1418" w:type="dxa"/>
          </w:tcPr>
          <w:p w14:paraId="5C367E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И.В.Четвериков</w:t>
            </w:r>
          </w:p>
        </w:tc>
        <w:tc>
          <w:tcPr>
            <w:tcW w:w="919" w:type="dxa"/>
          </w:tcPr>
          <w:p w14:paraId="31B276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266A3E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15.V.42</w:t>
            </w:r>
          </w:p>
        </w:tc>
        <w:tc>
          <w:tcPr>
            <w:tcW w:w="866" w:type="dxa"/>
          </w:tcPr>
          <w:p w14:paraId="54E515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w:t>
            </w:r>
          </w:p>
        </w:tc>
        <w:tc>
          <w:tcPr>
            <w:tcW w:w="3811" w:type="dxa"/>
          </w:tcPr>
          <w:p w14:paraId="736DD7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B80321" w14:textId="77777777">
        <w:tc>
          <w:tcPr>
            <w:tcW w:w="2376" w:type="dxa"/>
          </w:tcPr>
          <w:p w14:paraId="44A602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 с двумя</w:t>
            </w:r>
          </w:p>
        </w:tc>
        <w:tc>
          <w:tcPr>
            <w:tcW w:w="1418" w:type="dxa"/>
          </w:tcPr>
          <w:p w14:paraId="2FB4B3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2532A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B8687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3032A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B783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28D8C8" w14:textId="77777777">
        <w:tc>
          <w:tcPr>
            <w:tcW w:w="2376" w:type="dxa"/>
          </w:tcPr>
          <w:p w14:paraId="175CF5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М-105</w:t>
            </w:r>
          </w:p>
        </w:tc>
        <w:tc>
          <w:tcPr>
            <w:tcW w:w="1418" w:type="dxa"/>
          </w:tcPr>
          <w:p w14:paraId="644B10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EB845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E54A6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08D1A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05057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6DF111" w14:textId="77777777">
        <w:tc>
          <w:tcPr>
            <w:tcW w:w="2376" w:type="dxa"/>
          </w:tcPr>
          <w:p w14:paraId="2B112D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Экспериментальные.</w:t>
            </w:r>
          </w:p>
        </w:tc>
        <w:tc>
          <w:tcPr>
            <w:tcW w:w="1418" w:type="dxa"/>
          </w:tcPr>
          <w:p w14:paraId="4D0E3C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6250A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62264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082A3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ED5D5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E33C19" w14:textId="77777777">
        <w:tc>
          <w:tcPr>
            <w:tcW w:w="2376" w:type="dxa"/>
          </w:tcPr>
          <w:p w14:paraId="70C5DC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 истребитель</w:t>
            </w:r>
          </w:p>
        </w:tc>
        <w:tc>
          <w:tcPr>
            <w:tcW w:w="1418" w:type="dxa"/>
          </w:tcPr>
          <w:p w14:paraId="719BF9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Гудков</w:t>
            </w:r>
          </w:p>
        </w:tc>
        <w:tc>
          <w:tcPr>
            <w:tcW w:w="919" w:type="dxa"/>
          </w:tcPr>
          <w:p w14:paraId="07C226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07" w:type="dxa"/>
          </w:tcPr>
          <w:p w14:paraId="3E496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1.VIII.42</w:t>
            </w:r>
          </w:p>
        </w:tc>
        <w:tc>
          <w:tcPr>
            <w:tcW w:w="866" w:type="dxa"/>
          </w:tcPr>
          <w:p w14:paraId="21DF03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3811" w:type="dxa"/>
          </w:tcPr>
          <w:p w14:paraId="0389E3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4008AF" w14:textId="77777777">
        <w:tc>
          <w:tcPr>
            <w:tcW w:w="2376" w:type="dxa"/>
          </w:tcPr>
          <w:p w14:paraId="37856D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 АМ-37 типа</w:t>
            </w:r>
          </w:p>
        </w:tc>
        <w:tc>
          <w:tcPr>
            <w:tcW w:w="1418" w:type="dxa"/>
          </w:tcPr>
          <w:p w14:paraId="14C534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301</w:t>
            </w:r>
          </w:p>
        </w:tc>
        <w:tc>
          <w:tcPr>
            <w:tcW w:w="919" w:type="dxa"/>
          </w:tcPr>
          <w:p w14:paraId="6C822D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59204B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6F68F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BEF3E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2F62E5" w14:textId="77777777">
        <w:tc>
          <w:tcPr>
            <w:tcW w:w="2376" w:type="dxa"/>
          </w:tcPr>
          <w:p w14:paraId="4799EA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"Аэрокобра"</w:t>
            </w:r>
          </w:p>
        </w:tc>
        <w:tc>
          <w:tcPr>
            <w:tcW w:w="1418" w:type="dxa"/>
          </w:tcPr>
          <w:p w14:paraId="76C540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844B9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F9926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176F4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B96E7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ED9E7C" w14:textId="77777777">
        <w:tc>
          <w:tcPr>
            <w:tcW w:w="2376" w:type="dxa"/>
          </w:tcPr>
          <w:p w14:paraId="2FF1B1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 истребитель</w:t>
            </w:r>
          </w:p>
        </w:tc>
        <w:tc>
          <w:tcPr>
            <w:tcW w:w="1418" w:type="dxa"/>
          </w:tcPr>
          <w:p w14:paraId="6640B6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Болховитинов</w:t>
            </w:r>
          </w:p>
        </w:tc>
        <w:tc>
          <w:tcPr>
            <w:tcW w:w="919" w:type="dxa"/>
          </w:tcPr>
          <w:p w14:paraId="5BAD44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207" w:type="dxa"/>
          </w:tcPr>
          <w:p w14:paraId="211C20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25.IV.42</w:t>
            </w:r>
          </w:p>
        </w:tc>
        <w:tc>
          <w:tcPr>
            <w:tcW w:w="866" w:type="dxa"/>
          </w:tcPr>
          <w:p w14:paraId="4F2503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w:t>
            </w:r>
          </w:p>
        </w:tc>
        <w:tc>
          <w:tcPr>
            <w:tcW w:w="3811" w:type="dxa"/>
          </w:tcPr>
          <w:p w14:paraId="5A0E55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2B1EFE" w14:textId="77777777">
        <w:tc>
          <w:tcPr>
            <w:tcW w:w="2376" w:type="dxa"/>
          </w:tcPr>
          <w:p w14:paraId="20E5E2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перехватчик с реактивным</w:t>
            </w:r>
          </w:p>
        </w:tc>
        <w:tc>
          <w:tcPr>
            <w:tcW w:w="1418" w:type="dxa"/>
          </w:tcPr>
          <w:p w14:paraId="2E38A2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293</w:t>
            </w:r>
          </w:p>
        </w:tc>
        <w:tc>
          <w:tcPr>
            <w:tcW w:w="919" w:type="dxa"/>
          </w:tcPr>
          <w:p w14:paraId="4DB3CF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63AB1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14BA14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1A918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D0EBC3" w14:textId="77777777">
        <w:tc>
          <w:tcPr>
            <w:tcW w:w="2376" w:type="dxa"/>
          </w:tcPr>
          <w:p w14:paraId="0450A7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двигателем</w:t>
            </w:r>
          </w:p>
        </w:tc>
        <w:tc>
          <w:tcPr>
            <w:tcW w:w="1418" w:type="dxa"/>
          </w:tcPr>
          <w:p w14:paraId="25423F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995D3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3DE67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62545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ED50F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BD9D74" w14:textId="77777777">
        <w:tc>
          <w:tcPr>
            <w:tcW w:w="2376" w:type="dxa"/>
          </w:tcPr>
          <w:p w14:paraId="1FF16A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Пе-2 со</w:t>
            </w:r>
          </w:p>
        </w:tc>
        <w:tc>
          <w:tcPr>
            <w:tcW w:w="1418" w:type="dxa"/>
          </w:tcPr>
          <w:p w14:paraId="0B91DE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Надирадзе</w:t>
            </w:r>
          </w:p>
        </w:tc>
        <w:tc>
          <w:tcPr>
            <w:tcW w:w="919" w:type="dxa"/>
          </w:tcPr>
          <w:p w14:paraId="7604F8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07" w:type="dxa"/>
          </w:tcPr>
          <w:p w14:paraId="37CCA0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1.VII.42</w:t>
            </w:r>
          </w:p>
        </w:tc>
        <w:tc>
          <w:tcPr>
            <w:tcW w:w="866" w:type="dxa"/>
          </w:tcPr>
          <w:p w14:paraId="403F33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c>
          <w:tcPr>
            <w:tcW w:w="3811" w:type="dxa"/>
          </w:tcPr>
          <w:p w14:paraId="53B206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1B009FF" w14:textId="77777777">
        <w:tc>
          <w:tcPr>
            <w:tcW w:w="2376" w:type="dxa"/>
          </w:tcPr>
          <w:p w14:paraId="584E57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специальными</w:t>
            </w:r>
          </w:p>
        </w:tc>
        <w:tc>
          <w:tcPr>
            <w:tcW w:w="1418" w:type="dxa"/>
          </w:tcPr>
          <w:p w14:paraId="5073A3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Ефремов</w:t>
            </w:r>
          </w:p>
        </w:tc>
        <w:tc>
          <w:tcPr>
            <w:tcW w:w="919" w:type="dxa"/>
          </w:tcPr>
          <w:p w14:paraId="7F574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5276A1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C20AB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C6A36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7454D3" w14:textId="77777777">
        <w:tc>
          <w:tcPr>
            <w:tcW w:w="2376" w:type="dxa"/>
          </w:tcPr>
          <w:p w14:paraId="297C3F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взлетно-посадочными</w:t>
            </w:r>
          </w:p>
        </w:tc>
        <w:tc>
          <w:tcPr>
            <w:tcW w:w="1418" w:type="dxa"/>
          </w:tcPr>
          <w:p w14:paraId="1EAC20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22</w:t>
            </w:r>
          </w:p>
        </w:tc>
        <w:tc>
          <w:tcPr>
            <w:tcW w:w="919" w:type="dxa"/>
          </w:tcPr>
          <w:p w14:paraId="4C5D9B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E15FC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C87E3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41D69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B94882" w14:textId="77777777">
        <w:tc>
          <w:tcPr>
            <w:tcW w:w="2376" w:type="dxa"/>
          </w:tcPr>
          <w:p w14:paraId="74E70C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приспособлениями</w:t>
            </w:r>
          </w:p>
        </w:tc>
        <w:tc>
          <w:tcPr>
            <w:tcW w:w="1418" w:type="dxa"/>
          </w:tcPr>
          <w:p w14:paraId="5ECFC4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3A518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FB594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41710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3D9B3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D354E6" w14:textId="77777777">
        <w:tc>
          <w:tcPr>
            <w:tcW w:w="2376" w:type="dxa"/>
          </w:tcPr>
          <w:p w14:paraId="4C1F8F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Геликоптер с двумя</w:t>
            </w:r>
          </w:p>
        </w:tc>
        <w:tc>
          <w:tcPr>
            <w:tcW w:w="1418" w:type="dxa"/>
          </w:tcPr>
          <w:p w14:paraId="71CE07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Братухин</w:t>
            </w:r>
          </w:p>
        </w:tc>
        <w:tc>
          <w:tcPr>
            <w:tcW w:w="919" w:type="dxa"/>
          </w:tcPr>
          <w:p w14:paraId="07F5A3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758BB6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866" w:type="dxa"/>
          </w:tcPr>
          <w:p w14:paraId="0BEF1D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F5415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74A144" w14:textId="77777777">
        <w:tc>
          <w:tcPr>
            <w:tcW w:w="2376" w:type="dxa"/>
          </w:tcPr>
          <w:p w14:paraId="516CAF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МВ-6</w:t>
            </w:r>
          </w:p>
        </w:tc>
        <w:tc>
          <w:tcPr>
            <w:tcW w:w="1418" w:type="dxa"/>
          </w:tcPr>
          <w:p w14:paraId="519A96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МАИ</w:t>
            </w:r>
          </w:p>
        </w:tc>
        <w:tc>
          <w:tcPr>
            <w:tcW w:w="919" w:type="dxa"/>
          </w:tcPr>
          <w:p w14:paraId="328E31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40568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E8227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225F6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105521" w14:textId="77777777">
        <w:tc>
          <w:tcPr>
            <w:tcW w:w="2376" w:type="dxa"/>
          </w:tcPr>
          <w:p w14:paraId="365B68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BC2C6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A52EF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AB675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4BF81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1E2E2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2274D5" w14:textId="77777777">
        <w:tc>
          <w:tcPr>
            <w:tcW w:w="2376" w:type="dxa"/>
            <w:tcBorders>
              <w:bottom w:val="single" w:sz="12" w:space="0" w:color="auto"/>
            </w:tcBorders>
          </w:tcPr>
          <w:p w14:paraId="759E8C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5E7F4A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Borders>
              <w:bottom w:val="single" w:sz="12" w:space="0" w:color="auto"/>
            </w:tcBorders>
          </w:tcPr>
          <w:p w14:paraId="545C12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Borders>
              <w:bottom w:val="single" w:sz="12" w:space="0" w:color="auto"/>
            </w:tcBorders>
          </w:tcPr>
          <w:p w14:paraId="6B46A3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Borders>
              <w:bottom w:val="single" w:sz="12" w:space="0" w:color="auto"/>
            </w:tcBorders>
          </w:tcPr>
          <w:p w14:paraId="100A18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Borders>
              <w:bottom w:val="single" w:sz="12" w:space="0" w:color="auto"/>
            </w:tcBorders>
          </w:tcPr>
          <w:p w14:paraId="6E4D5E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9E8E7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w:t>
      </w:r>
    </w:p>
    <w:p w14:paraId="670E5D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опытных самолетов и модификаций, прекращаемых</w:t>
      </w:r>
    </w:p>
    <w:p w14:paraId="2D29BC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строительством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5601"/>
        <w:gridCol w:w="2977"/>
      </w:tblGrid>
      <w:tr w:rsidR="006F4095" w:rsidRPr="008127F8" w14:paraId="2D884BA0" w14:textId="77777777">
        <w:tc>
          <w:tcPr>
            <w:tcW w:w="1878" w:type="dxa"/>
            <w:tcBorders>
              <w:top w:val="single" w:sz="12" w:space="0" w:color="auto"/>
            </w:tcBorders>
          </w:tcPr>
          <w:p w14:paraId="351F45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w:t>
            </w:r>
          </w:p>
        </w:tc>
        <w:tc>
          <w:tcPr>
            <w:tcW w:w="5601" w:type="dxa"/>
            <w:tcBorders>
              <w:top w:val="single" w:sz="12" w:space="0" w:color="auto"/>
            </w:tcBorders>
          </w:tcPr>
          <w:p w14:paraId="0BBF6A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самолета</w:t>
            </w:r>
          </w:p>
        </w:tc>
        <w:tc>
          <w:tcPr>
            <w:tcW w:w="2977" w:type="dxa"/>
            <w:tcBorders>
              <w:top w:val="single" w:sz="12" w:space="0" w:color="auto"/>
            </w:tcBorders>
          </w:tcPr>
          <w:p w14:paraId="4953C3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w:t>
            </w:r>
          </w:p>
        </w:tc>
      </w:tr>
      <w:tr w:rsidR="006F4095" w:rsidRPr="008127F8" w14:paraId="13C826AF" w14:textId="77777777">
        <w:tc>
          <w:tcPr>
            <w:tcW w:w="1878" w:type="dxa"/>
          </w:tcPr>
          <w:p w14:paraId="60CA14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П.О.</w:t>
            </w:r>
          </w:p>
        </w:tc>
        <w:tc>
          <w:tcPr>
            <w:tcW w:w="5601" w:type="dxa"/>
          </w:tcPr>
          <w:p w14:paraId="4382BC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Модификация одномоторного</w:t>
            </w:r>
          </w:p>
        </w:tc>
        <w:tc>
          <w:tcPr>
            <w:tcW w:w="2977" w:type="dxa"/>
          </w:tcPr>
          <w:p w14:paraId="098D7B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20.1-41 и</w:t>
            </w:r>
          </w:p>
        </w:tc>
      </w:tr>
      <w:tr w:rsidR="006F4095" w:rsidRPr="008127F8" w14:paraId="59272F84" w14:textId="77777777">
        <w:tc>
          <w:tcPr>
            <w:tcW w:w="1878" w:type="dxa"/>
          </w:tcPr>
          <w:p w14:paraId="0080D6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69A264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Су-2 с мотором</w:t>
            </w:r>
          </w:p>
        </w:tc>
        <w:tc>
          <w:tcPr>
            <w:tcW w:w="2977" w:type="dxa"/>
          </w:tcPr>
          <w:p w14:paraId="15FE55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15.V-41 за</w:t>
            </w:r>
          </w:p>
        </w:tc>
      </w:tr>
      <w:tr w:rsidR="006F4095" w:rsidRPr="008127F8" w14:paraId="08F4192C" w14:textId="77777777">
        <w:tc>
          <w:tcPr>
            <w:tcW w:w="1878" w:type="dxa"/>
          </w:tcPr>
          <w:p w14:paraId="4F56B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E064E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М-89 с непосредственным</w:t>
            </w:r>
          </w:p>
        </w:tc>
        <w:tc>
          <w:tcPr>
            <w:tcW w:w="2977" w:type="dxa"/>
          </w:tcPr>
          <w:p w14:paraId="62FFC3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1334-547</w:t>
            </w:r>
          </w:p>
        </w:tc>
      </w:tr>
      <w:tr w:rsidR="006F4095" w:rsidRPr="008127F8" w14:paraId="554845D5" w14:textId="77777777">
        <w:tc>
          <w:tcPr>
            <w:tcW w:w="1878" w:type="dxa"/>
          </w:tcPr>
          <w:p w14:paraId="177669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4B291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впрыском.</w:t>
            </w:r>
          </w:p>
        </w:tc>
        <w:tc>
          <w:tcPr>
            <w:tcW w:w="2977" w:type="dxa"/>
          </w:tcPr>
          <w:p w14:paraId="417C36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A43604" w14:textId="77777777">
        <w:tc>
          <w:tcPr>
            <w:tcW w:w="1878" w:type="dxa"/>
          </w:tcPr>
          <w:p w14:paraId="50ABCE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6A20C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Модификация одномоторного</w:t>
            </w:r>
          </w:p>
        </w:tc>
        <w:tc>
          <w:tcPr>
            <w:tcW w:w="2977" w:type="dxa"/>
          </w:tcPr>
          <w:p w14:paraId="05A0E6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9-</w:t>
            </w:r>
            <w:proofErr w:type="gramStart"/>
            <w:r w:rsidRPr="008127F8">
              <w:rPr>
                <w:rFonts w:ascii="Times New Roman" w:hAnsi="Times New Roman"/>
                <w:color w:val="000000" w:themeColor="text1"/>
                <w:sz w:val="16"/>
                <w:szCs w:val="16"/>
              </w:rPr>
              <w:t>10.V.</w:t>
            </w:r>
            <w:proofErr w:type="gramEnd"/>
            <w:r w:rsidRPr="008127F8">
              <w:rPr>
                <w:rFonts w:ascii="Times New Roman" w:hAnsi="Times New Roman"/>
                <w:color w:val="000000" w:themeColor="text1"/>
                <w:sz w:val="16"/>
                <w:szCs w:val="16"/>
              </w:rPr>
              <w:t>41</w:t>
            </w:r>
          </w:p>
        </w:tc>
      </w:tr>
      <w:tr w:rsidR="006F4095" w:rsidRPr="008127F8" w14:paraId="2AE521D8" w14:textId="77777777">
        <w:tc>
          <w:tcPr>
            <w:tcW w:w="1878" w:type="dxa"/>
          </w:tcPr>
          <w:p w14:paraId="1EB8EA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713BE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Су-2 с мотором</w:t>
            </w:r>
          </w:p>
        </w:tc>
        <w:tc>
          <w:tcPr>
            <w:tcW w:w="2977" w:type="dxa"/>
          </w:tcPr>
          <w:p w14:paraId="0B7BE3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E7B8B15" w14:textId="77777777">
        <w:tc>
          <w:tcPr>
            <w:tcW w:w="1878" w:type="dxa"/>
          </w:tcPr>
          <w:p w14:paraId="33502E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60BB5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2977" w:type="dxa"/>
          </w:tcPr>
          <w:p w14:paraId="2A3FD9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CFCD900" w14:textId="77777777">
        <w:tc>
          <w:tcPr>
            <w:tcW w:w="1878" w:type="dxa"/>
          </w:tcPr>
          <w:p w14:paraId="149388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AE8C2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Модификация того же самолета</w:t>
            </w:r>
          </w:p>
        </w:tc>
        <w:tc>
          <w:tcPr>
            <w:tcW w:w="2977" w:type="dxa"/>
          </w:tcPr>
          <w:p w14:paraId="4E67B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25.1-1941</w:t>
            </w:r>
          </w:p>
        </w:tc>
      </w:tr>
      <w:tr w:rsidR="006F4095" w:rsidRPr="008127F8" w14:paraId="23E6ACE2" w14:textId="77777777">
        <w:tc>
          <w:tcPr>
            <w:tcW w:w="1878" w:type="dxa"/>
          </w:tcPr>
          <w:p w14:paraId="0B1DE2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48007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мотор АМ-37</w:t>
            </w:r>
          </w:p>
        </w:tc>
        <w:tc>
          <w:tcPr>
            <w:tcW w:w="2977" w:type="dxa"/>
          </w:tcPr>
          <w:p w14:paraId="0E9C79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0E6C86" w14:textId="77777777">
        <w:tc>
          <w:tcPr>
            <w:tcW w:w="1878" w:type="dxa"/>
          </w:tcPr>
          <w:p w14:paraId="638324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Поликарпов Н.Н.</w:t>
            </w:r>
          </w:p>
        </w:tc>
        <w:tc>
          <w:tcPr>
            <w:tcW w:w="5601" w:type="dxa"/>
          </w:tcPr>
          <w:p w14:paraId="390DF1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Тяжелый двухместный истреб.</w:t>
            </w:r>
          </w:p>
        </w:tc>
        <w:tc>
          <w:tcPr>
            <w:tcW w:w="2977" w:type="dxa"/>
          </w:tcPr>
          <w:p w14:paraId="66F6FB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431 от 25.XI-1940</w:t>
            </w:r>
          </w:p>
        </w:tc>
      </w:tr>
      <w:tr w:rsidR="006F4095" w:rsidRPr="008127F8" w14:paraId="344F4867" w14:textId="77777777">
        <w:tc>
          <w:tcPr>
            <w:tcW w:w="1878" w:type="dxa"/>
          </w:tcPr>
          <w:p w14:paraId="40662A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A7CE1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сопровождения "ТИС" с двумя</w:t>
            </w:r>
          </w:p>
        </w:tc>
        <w:tc>
          <w:tcPr>
            <w:tcW w:w="2977" w:type="dxa"/>
          </w:tcPr>
          <w:p w14:paraId="13F18A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006265" w14:textId="77777777">
        <w:tc>
          <w:tcPr>
            <w:tcW w:w="1878" w:type="dxa"/>
          </w:tcPr>
          <w:p w14:paraId="60995F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6F741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АМ-37, 2-й и 3-й экз.</w:t>
            </w:r>
          </w:p>
        </w:tc>
        <w:tc>
          <w:tcPr>
            <w:tcW w:w="2977" w:type="dxa"/>
          </w:tcPr>
          <w:p w14:paraId="0686FF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957C7A0" w14:textId="77777777">
        <w:tc>
          <w:tcPr>
            <w:tcW w:w="1878" w:type="dxa"/>
          </w:tcPr>
          <w:p w14:paraId="1DCB5F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Микоян А.И.</w:t>
            </w:r>
          </w:p>
        </w:tc>
        <w:tc>
          <w:tcPr>
            <w:tcW w:w="5601" w:type="dxa"/>
          </w:tcPr>
          <w:p w14:paraId="1E1FAF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Одноместный истребитель</w:t>
            </w:r>
          </w:p>
        </w:tc>
        <w:tc>
          <w:tcPr>
            <w:tcW w:w="2977" w:type="dxa"/>
          </w:tcPr>
          <w:p w14:paraId="40AAF3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430сс от 25.XI.1940</w:t>
            </w:r>
          </w:p>
        </w:tc>
      </w:tr>
      <w:tr w:rsidR="006F4095" w:rsidRPr="008127F8" w14:paraId="1BC231B6" w14:textId="77777777">
        <w:tc>
          <w:tcPr>
            <w:tcW w:w="1878" w:type="dxa"/>
          </w:tcPr>
          <w:p w14:paraId="379242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1049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сопровождения ДИС-200 с двумя</w:t>
            </w:r>
          </w:p>
        </w:tc>
        <w:tc>
          <w:tcPr>
            <w:tcW w:w="2977" w:type="dxa"/>
          </w:tcPr>
          <w:p w14:paraId="2946CA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3DAEE2" w14:textId="77777777">
        <w:tc>
          <w:tcPr>
            <w:tcW w:w="1878" w:type="dxa"/>
          </w:tcPr>
          <w:p w14:paraId="03F9E2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46207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АМ-37 - 3 экз.</w:t>
            </w:r>
          </w:p>
        </w:tc>
        <w:tc>
          <w:tcPr>
            <w:tcW w:w="2977" w:type="dxa"/>
          </w:tcPr>
          <w:p w14:paraId="5FC64B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4D984B" w14:textId="77777777">
        <w:tc>
          <w:tcPr>
            <w:tcW w:w="1878" w:type="dxa"/>
          </w:tcPr>
          <w:p w14:paraId="3A6AED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328A8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Модификация того же самолета</w:t>
            </w:r>
          </w:p>
        </w:tc>
        <w:tc>
          <w:tcPr>
            <w:tcW w:w="2977" w:type="dxa"/>
          </w:tcPr>
          <w:p w14:paraId="39E33A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9-</w:t>
            </w:r>
            <w:proofErr w:type="gramStart"/>
            <w:r w:rsidRPr="008127F8">
              <w:rPr>
                <w:rFonts w:ascii="Times New Roman" w:hAnsi="Times New Roman"/>
                <w:color w:val="000000" w:themeColor="text1"/>
                <w:sz w:val="16"/>
                <w:szCs w:val="16"/>
              </w:rPr>
              <w:t>10.V.</w:t>
            </w:r>
            <w:proofErr w:type="gramEnd"/>
            <w:r w:rsidRPr="008127F8">
              <w:rPr>
                <w:rFonts w:ascii="Times New Roman" w:hAnsi="Times New Roman"/>
                <w:color w:val="000000" w:themeColor="text1"/>
                <w:sz w:val="16"/>
                <w:szCs w:val="16"/>
              </w:rPr>
              <w:t>1941</w:t>
            </w:r>
          </w:p>
        </w:tc>
      </w:tr>
      <w:tr w:rsidR="006F4095" w:rsidRPr="008127F8" w14:paraId="3E54B08F" w14:textId="77777777">
        <w:tc>
          <w:tcPr>
            <w:tcW w:w="1878" w:type="dxa"/>
          </w:tcPr>
          <w:p w14:paraId="04D852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9E5EA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мотор М-82 - 1 экз.</w:t>
            </w:r>
          </w:p>
        </w:tc>
        <w:tc>
          <w:tcPr>
            <w:tcW w:w="2977" w:type="dxa"/>
          </w:tcPr>
          <w:p w14:paraId="046554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F73398" w14:textId="77777777">
        <w:tc>
          <w:tcPr>
            <w:tcW w:w="1878" w:type="dxa"/>
          </w:tcPr>
          <w:p w14:paraId="520644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56B9C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Модификация истребителя</w:t>
            </w:r>
          </w:p>
        </w:tc>
        <w:tc>
          <w:tcPr>
            <w:tcW w:w="2977" w:type="dxa"/>
          </w:tcPr>
          <w:p w14:paraId="1C71E8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9-</w:t>
            </w:r>
            <w:proofErr w:type="gramStart"/>
            <w:r w:rsidRPr="008127F8">
              <w:rPr>
                <w:rFonts w:ascii="Times New Roman" w:hAnsi="Times New Roman"/>
                <w:color w:val="000000" w:themeColor="text1"/>
                <w:sz w:val="16"/>
                <w:szCs w:val="16"/>
              </w:rPr>
              <w:t>10.V.</w:t>
            </w:r>
            <w:proofErr w:type="gramEnd"/>
            <w:r w:rsidRPr="008127F8">
              <w:rPr>
                <w:rFonts w:ascii="Times New Roman" w:hAnsi="Times New Roman"/>
                <w:color w:val="000000" w:themeColor="text1"/>
                <w:sz w:val="16"/>
                <w:szCs w:val="16"/>
              </w:rPr>
              <w:t>1941</w:t>
            </w:r>
          </w:p>
        </w:tc>
      </w:tr>
      <w:tr w:rsidR="006F4095" w:rsidRPr="008127F8" w14:paraId="09A53172" w14:textId="77777777">
        <w:tc>
          <w:tcPr>
            <w:tcW w:w="1878" w:type="dxa"/>
          </w:tcPr>
          <w:p w14:paraId="1E8341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C7E8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 под мотор М-82 - 2 экз.</w:t>
            </w:r>
          </w:p>
        </w:tc>
        <w:tc>
          <w:tcPr>
            <w:tcW w:w="2977" w:type="dxa"/>
          </w:tcPr>
          <w:p w14:paraId="0DEAF4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8FC843" w14:textId="77777777">
        <w:tc>
          <w:tcPr>
            <w:tcW w:w="1878" w:type="dxa"/>
          </w:tcPr>
          <w:p w14:paraId="21669B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868B3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Модификация истребителя</w:t>
            </w:r>
          </w:p>
        </w:tc>
        <w:tc>
          <w:tcPr>
            <w:tcW w:w="2977" w:type="dxa"/>
          </w:tcPr>
          <w:p w14:paraId="63C696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1.III.1941</w:t>
            </w:r>
          </w:p>
        </w:tc>
      </w:tr>
      <w:tr w:rsidR="006F4095" w:rsidRPr="008127F8" w14:paraId="33337E58" w14:textId="77777777">
        <w:tc>
          <w:tcPr>
            <w:tcW w:w="1878" w:type="dxa"/>
          </w:tcPr>
          <w:p w14:paraId="2B0282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55C3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под пушку ОКБ-16 калибра</w:t>
            </w:r>
          </w:p>
        </w:tc>
        <w:tc>
          <w:tcPr>
            <w:tcW w:w="2977" w:type="dxa"/>
          </w:tcPr>
          <w:p w14:paraId="672937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81BC19" w14:textId="77777777">
        <w:tc>
          <w:tcPr>
            <w:tcW w:w="1878" w:type="dxa"/>
          </w:tcPr>
          <w:p w14:paraId="5982BB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765CC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 мм 1 экз.</w:t>
            </w:r>
          </w:p>
        </w:tc>
        <w:tc>
          <w:tcPr>
            <w:tcW w:w="2977" w:type="dxa"/>
          </w:tcPr>
          <w:p w14:paraId="676944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D36612" w14:textId="77777777">
        <w:tc>
          <w:tcPr>
            <w:tcW w:w="1878" w:type="dxa"/>
          </w:tcPr>
          <w:p w14:paraId="2819F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6500D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Двухмоторный одноместный</w:t>
            </w:r>
          </w:p>
        </w:tc>
        <w:tc>
          <w:tcPr>
            <w:tcW w:w="2977" w:type="dxa"/>
          </w:tcPr>
          <w:p w14:paraId="482E99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16.IV-1941</w:t>
            </w:r>
          </w:p>
        </w:tc>
      </w:tr>
      <w:tr w:rsidR="006F4095" w:rsidRPr="008127F8" w14:paraId="5AEE96EC" w14:textId="77777777">
        <w:tc>
          <w:tcPr>
            <w:tcW w:w="1878" w:type="dxa"/>
          </w:tcPr>
          <w:p w14:paraId="4EFFA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08FD8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 сопровождения с</w:t>
            </w:r>
          </w:p>
        </w:tc>
        <w:tc>
          <w:tcPr>
            <w:tcW w:w="2977" w:type="dxa"/>
          </w:tcPr>
          <w:p w14:paraId="697F7D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N 1021-416 сс</w:t>
            </w:r>
          </w:p>
        </w:tc>
      </w:tr>
      <w:tr w:rsidR="006F4095" w:rsidRPr="008127F8" w14:paraId="61897971" w14:textId="77777777">
        <w:tc>
          <w:tcPr>
            <w:tcW w:w="1878" w:type="dxa"/>
          </w:tcPr>
          <w:p w14:paraId="0E20C5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359F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АМ-37 - 2 экз.</w:t>
            </w:r>
          </w:p>
        </w:tc>
        <w:tc>
          <w:tcPr>
            <w:tcW w:w="2977" w:type="dxa"/>
          </w:tcPr>
          <w:p w14:paraId="162D43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D7226B" w14:textId="77777777">
        <w:tc>
          <w:tcPr>
            <w:tcW w:w="1878" w:type="dxa"/>
          </w:tcPr>
          <w:p w14:paraId="7204D6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Лавочкин С.А.</w:t>
            </w:r>
          </w:p>
        </w:tc>
        <w:tc>
          <w:tcPr>
            <w:tcW w:w="5601" w:type="dxa"/>
          </w:tcPr>
          <w:p w14:paraId="3E961B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Модификация истребителя</w:t>
            </w:r>
          </w:p>
        </w:tc>
        <w:tc>
          <w:tcPr>
            <w:tcW w:w="2977" w:type="dxa"/>
          </w:tcPr>
          <w:p w14:paraId="1FB293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16.IV.1941</w:t>
            </w:r>
          </w:p>
        </w:tc>
      </w:tr>
      <w:tr w:rsidR="006F4095" w:rsidRPr="008127F8" w14:paraId="1E204DEC" w14:textId="77777777">
        <w:tc>
          <w:tcPr>
            <w:tcW w:w="1878" w:type="dxa"/>
          </w:tcPr>
          <w:p w14:paraId="785037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87DEC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под мотор М-105П с</w:t>
            </w:r>
          </w:p>
        </w:tc>
        <w:tc>
          <w:tcPr>
            <w:tcW w:w="2977" w:type="dxa"/>
          </w:tcPr>
          <w:p w14:paraId="51D61C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N 1017-412сс</w:t>
            </w:r>
          </w:p>
        </w:tc>
      </w:tr>
      <w:tr w:rsidR="006F4095" w:rsidRPr="008127F8" w14:paraId="49229D12" w14:textId="77777777">
        <w:tc>
          <w:tcPr>
            <w:tcW w:w="1878" w:type="dxa"/>
          </w:tcPr>
          <w:p w14:paraId="585A15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2F5B7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нагнетателем Трескина - 1 экз.</w:t>
            </w:r>
          </w:p>
        </w:tc>
        <w:tc>
          <w:tcPr>
            <w:tcW w:w="2977" w:type="dxa"/>
          </w:tcPr>
          <w:p w14:paraId="779C7A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41A0B5" w14:textId="77777777">
        <w:tc>
          <w:tcPr>
            <w:tcW w:w="1878" w:type="dxa"/>
          </w:tcPr>
          <w:p w14:paraId="4FF090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ADC0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Тот же самолет с</w:t>
            </w:r>
          </w:p>
        </w:tc>
        <w:tc>
          <w:tcPr>
            <w:tcW w:w="2977" w:type="dxa"/>
          </w:tcPr>
          <w:p w14:paraId="45AD52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701B6EAA" w14:textId="77777777">
        <w:tc>
          <w:tcPr>
            <w:tcW w:w="1878" w:type="dxa"/>
          </w:tcPr>
          <w:p w14:paraId="61BF14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A8DB6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герметической кабиной - 2-й экз.</w:t>
            </w:r>
          </w:p>
        </w:tc>
        <w:tc>
          <w:tcPr>
            <w:tcW w:w="2977" w:type="dxa"/>
          </w:tcPr>
          <w:p w14:paraId="299264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38CB2A" w14:textId="77777777">
        <w:tc>
          <w:tcPr>
            <w:tcW w:w="1878" w:type="dxa"/>
          </w:tcPr>
          <w:p w14:paraId="677164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Ермолаев В.Г.</w:t>
            </w:r>
          </w:p>
        </w:tc>
        <w:tc>
          <w:tcPr>
            <w:tcW w:w="5601" w:type="dxa"/>
          </w:tcPr>
          <w:p w14:paraId="0417F6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Модификация дальнего</w:t>
            </w:r>
          </w:p>
        </w:tc>
        <w:tc>
          <w:tcPr>
            <w:tcW w:w="2977" w:type="dxa"/>
          </w:tcPr>
          <w:p w14:paraId="265C4E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0EDFD1" w14:textId="77777777">
        <w:tc>
          <w:tcPr>
            <w:tcW w:w="1878" w:type="dxa"/>
          </w:tcPr>
          <w:p w14:paraId="23D6EC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749B5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Ер-2 с двумя</w:t>
            </w:r>
          </w:p>
        </w:tc>
        <w:tc>
          <w:tcPr>
            <w:tcW w:w="2977" w:type="dxa"/>
          </w:tcPr>
          <w:p w14:paraId="31C97E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9EA275" w14:textId="77777777">
        <w:tc>
          <w:tcPr>
            <w:tcW w:w="1878" w:type="dxa"/>
          </w:tcPr>
          <w:p w14:paraId="47AD04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38A10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моторами Ам-37 1 экз.</w:t>
            </w:r>
          </w:p>
        </w:tc>
        <w:tc>
          <w:tcPr>
            <w:tcW w:w="2977" w:type="dxa"/>
          </w:tcPr>
          <w:p w14:paraId="729C70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6E3A2E" w14:textId="77777777">
        <w:tc>
          <w:tcPr>
            <w:tcW w:w="1878" w:type="dxa"/>
          </w:tcPr>
          <w:p w14:paraId="3ECB56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9C4E0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Модификация дальнего</w:t>
            </w:r>
          </w:p>
        </w:tc>
        <w:tc>
          <w:tcPr>
            <w:tcW w:w="2977" w:type="dxa"/>
          </w:tcPr>
          <w:p w14:paraId="30E38B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BE73DE" w14:textId="77777777">
        <w:tc>
          <w:tcPr>
            <w:tcW w:w="1878" w:type="dxa"/>
          </w:tcPr>
          <w:p w14:paraId="33BABD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E13C3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Ер-2 с</w:t>
            </w:r>
          </w:p>
        </w:tc>
        <w:tc>
          <w:tcPr>
            <w:tcW w:w="2977" w:type="dxa"/>
          </w:tcPr>
          <w:p w14:paraId="773065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2BEA53" w14:textId="77777777">
        <w:tc>
          <w:tcPr>
            <w:tcW w:w="1878" w:type="dxa"/>
          </w:tcPr>
          <w:p w14:paraId="236FD2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3D85F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дизельмоторами М-40ф - 1 экз.</w:t>
            </w:r>
          </w:p>
        </w:tc>
        <w:tc>
          <w:tcPr>
            <w:tcW w:w="2977" w:type="dxa"/>
          </w:tcPr>
          <w:p w14:paraId="6EDC7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89B365" w14:textId="77777777">
        <w:tc>
          <w:tcPr>
            <w:tcW w:w="1878" w:type="dxa"/>
          </w:tcPr>
          <w:p w14:paraId="7EC938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89542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Тот же самолет с двумя</w:t>
            </w:r>
          </w:p>
        </w:tc>
        <w:tc>
          <w:tcPr>
            <w:tcW w:w="2977" w:type="dxa"/>
          </w:tcPr>
          <w:p w14:paraId="6113D9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0664BE" w14:textId="77777777">
        <w:tc>
          <w:tcPr>
            <w:tcW w:w="1878" w:type="dxa"/>
          </w:tcPr>
          <w:p w14:paraId="2AB400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67F8F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дизельмоторами М-40ф или М-30</w:t>
            </w:r>
          </w:p>
        </w:tc>
        <w:tc>
          <w:tcPr>
            <w:tcW w:w="2977" w:type="dxa"/>
          </w:tcPr>
          <w:p w14:paraId="76B15B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D1B133" w14:textId="77777777">
        <w:tc>
          <w:tcPr>
            <w:tcW w:w="1878" w:type="dxa"/>
          </w:tcPr>
          <w:p w14:paraId="49539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649DF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экз. (5-й экземпляр)</w:t>
            </w:r>
          </w:p>
        </w:tc>
        <w:tc>
          <w:tcPr>
            <w:tcW w:w="2977" w:type="dxa"/>
          </w:tcPr>
          <w:p w14:paraId="7B132D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E53045" w14:textId="77777777">
        <w:tc>
          <w:tcPr>
            <w:tcW w:w="1878" w:type="dxa"/>
          </w:tcPr>
          <w:p w14:paraId="6C87B8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Изаксон А.М.</w:t>
            </w:r>
          </w:p>
        </w:tc>
        <w:tc>
          <w:tcPr>
            <w:tcW w:w="5601" w:type="dxa"/>
          </w:tcPr>
          <w:p w14:paraId="2DB1C7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Высотный бомбардировщик</w:t>
            </w:r>
          </w:p>
        </w:tc>
        <w:tc>
          <w:tcPr>
            <w:tcW w:w="2977" w:type="dxa"/>
          </w:tcPr>
          <w:p w14:paraId="184FBB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5.VI-41</w:t>
            </w:r>
          </w:p>
        </w:tc>
      </w:tr>
      <w:tr w:rsidR="006F4095" w:rsidRPr="008127F8" w14:paraId="66F5779D" w14:textId="77777777">
        <w:tc>
          <w:tcPr>
            <w:tcW w:w="1878" w:type="dxa"/>
          </w:tcPr>
          <w:p w14:paraId="04799D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8A5FB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ВБ-100 с двумя моторами М-105ф</w:t>
            </w:r>
          </w:p>
        </w:tc>
        <w:tc>
          <w:tcPr>
            <w:tcW w:w="2977" w:type="dxa"/>
          </w:tcPr>
          <w:p w14:paraId="22A9CB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FF99AC" w14:textId="77777777">
        <w:tc>
          <w:tcPr>
            <w:tcW w:w="1878" w:type="dxa"/>
          </w:tcPr>
          <w:p w14:paraId="71FAAE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90951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герметической кабиной,</w:t>
            </w:r>
          </w:p>
        </w:tc>
        <w:tc>
          <w:tcPr>
            <w:tcW w:w="2977" w:type="dxa"/>
          </w:tcPr>
          <w:p w14:paraId="3590B8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6E7F5A2" w14:textId="77777777">
        <w:tc>
          <w:tcPr>
            <w:tcW w:w="1878" w:type="dxa"/>
          </w:tcPr>
          <w:p w14:paraId="67B702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2F419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самолета Пе-2</w:t>
            </w:r>
          </w:p>
        </w:tc>
        <w:tc>
          <w:tcPr>
            <w:tcW w:w="2977" w:type="dxa"/>
          </w:tcPr>
          <w:p w14:paraId="1995E7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47BB69" w14:textId="77777777">
        <w:tc>
          <w:tcPr>
            <w:tcW w:w="1878" w:type="dxa"/>
          </w:tcPr>
          <w:p w14:paraId="2BC715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F9589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экз.</w:t>
            </w:r>
          </w:p>
        </w:tc>
        <w:tc>
          <w:tcPr>
            <w:tcW w:w="2977" w:type="dxa"/>
          </w:tcPr>
          <w:p w14:paraId="76D415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A1DF53" w14:textId="77777777">
        <w:tc>
          <w:tcPr>
            <w:tcW w:w="1878" w:type="dxa"/>
          </w:tcPr>
          <w:p w14:paraId="77ED94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074ED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Высотный истребитель</w:t>
            </w:r>
          </w:p>
        </w:tc>
        <w:tc>
          <w:tcPr>
            <w:tcW w:w="2977" w:type="dxa"/>
          </w:tcPr>
          <w:p w14:paraId="50D3B3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16DE6AF6" w14:textId="77777777">
        <w:tc>
          <w:tcPr>
            <w:tcW w:w="1878" w:type="dxa"/>
          </w:tcPr>
          <w:p w14:paraId="310152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BF94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ВИ-100 с двумя моторами М-105ф</w:t>
            </w:r>
          </w:p>
        </w:tc>
        <w:tc>
          <w:tcPr>
            <w:tcW w:w="2977" w:type="dxa"/>
          </w:tcPr>
          <w:p w14:paraId="42BAE4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29B5A7" w14:textId="77777777">
        <w:tc>
          <w:tcPr>
            <w:tcW w:w="1878" w:type="dxa"/>
          </w:tcPr>
          <w:p w14:paraId="6DBA17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71B52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герметическими кабинами,</w:t>
            </w:r>
          </w:p>
        </w:tc>
        <w:tc>
          <w:tcPr>
            <w:tcW w:w="2977" w:type="dxa"/>
          </w:tcPr>
          <w:p w14:paraId="0E3938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077E91" w14:textId="77777777">
        <w:tc>
          <w:tcPr>
            <w:tcW w:w="1878" w:type="dxa"/>
          </w:tcPr>
          <w:p w14:paraId="0F2AA5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223C2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самолета Пе-2</w:t>
            </w:r>
          </w:p>
        </w:tc>
        <w:tc>
          <w:tcPr>
            <w:tcW w:w="2977" w:type="dxa"/>
          </w:tcPr>
          <w:p w14:paraId="60EF7F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553622" w14:textId="77777777">
        <w:tc>
          <w:tcPr>
            <w:tcW w:w="1878" w:type="dxa"/>
          </w:tcPr>
          <w:p w14:paraId="3D8F74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36FFF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экземпляров</w:t>
            </w:r>
          </w:p>
        </w:tc>
        <w:tc>
          <w:tcPr>
            <w:tcW w:w="2977" w:type="dxa"/>
          </w:tcPr>
          <w:p w14:paraId="3A96C6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C44094" w14:textId="77777777">
        <w:tc>
          <w:tcPr>
            <w:tcW w:w="1878" w:type="dxa"/>
          </w:tcPr>
          <w:p w14:paraId="710A8E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Ильюшин С.В.</w:t>
            </w:r>
          </w:p>
        </w:tc>
        <w:tc>
          <w:tcPr>
            <w:tcW w:w="5601" w:type="dxa"/>
          </w:tcPr>
          <w:p w14:paraId="3D13DB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Дальний бомбардировщик</w:t>
            </w:r>
          </w:p>
        </w:tc>
        <w:tc>
          <w:tcPr>
            <w:tcW w:w="2977" w:type="dxa"/>
          </w:tcPr>
          <w:p w14:paraId="3DE914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29.VII-39</w:t>
            </w:r>
          </w:p>
        </w:tc>
      </w:tr>
      <w:tr w:rsidR="006F4095" w:rsidRPr="008127F8" w14:paraId="0A098DCC" w14:textId="77777777">
        <w:tc>
          <w:tcPr>
            <w:tcW w:w="1878" w:type="dxa"/>
          </w:tcPr>
          <w:p w14:paraId="50EE2B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C0AC7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ДБ-4 с двумя моторами АМ-37</w:t>
            </w:r>
          </w:p>
        </w:tc>
        <w:tc>
          <w:tcPr>
            <w:tcW w:w="2977" w:type="dxa"/>
          </w:tcPr>
          <w:p w14:paraId="248E8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N 226сс</w:t>
            </w:r>
          </w:p>
        </w:tc>
      </w:tr>
      <w:tr w:rsidR="006F4095" w:rsidRPr="008127F8" w14:paraId="7D2E40E0" w14:textId="77777777">
        <w:tc>
          <w:tcPr>
            <w:tcW w:w="1878" w:type="dxa"/>
          </w:tcPr>
          <w:p w14:paraId="2B917D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77E5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экз.</w:t>
            </w:r>
          </w:p>
        </w:tc>
        <w:tc>
          <w:tcPr>
            <w:tcW w:w="2977" w:type="dxa"/>
          </w:tcPr>
          <w:p w14:paraId="147C3C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1EFADB" w14:textId="77777777">
        <w:tc>
          <w:tcPr>
            <w:tcW w:w="1878" w:type="dxa"/>
          </w:tcPr>
          <w:p w14:paraId="727BDC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Кочеригин С.А.</w:t>
            </w:r>
          </w:p>
        </w:tc>
        <w:tc>
          <w:tcPr>
            <w:tcW w:w="5601" w:type="dxa"/>
          </w:tcPr>
          <w:p w14:paraId="14C799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Одноместный пикирующий</w:t>
            </w:r>
          </w:p>
        </w:tc>
        <w:tc>
          <w:tcPr>
            <w:tcW w:w="2977" w:type="dxa"/>
          </w:tcPr>
          <w:p w14:paraId="485DA2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 </w:t>
            </w:r>
            <w:proofErr w:type="gramStart"/>
            <w:r w:rsidRPr="008127F8">
              <w:rPr>
                <w:rFonts w:ascii="Times New Roman" w:hAnsi="Times New Roman"/>
                <w:color w:val="000000" w:themeColor="text1"/>
                <w:sz w:val="16"/>
                <w:szCs w:val="16"/>
              </w:rPr>
              <w:t>7.VIII</w:t>
            </w:r>
            <w:proofErr w:type="gramEnd"/>
            <w:r w:rsidRPr="008127F8">
              <w:rPr>
                <w:rFonts w:ascii="Times New Roman" w:hAnsi="Times New Roman"/>
                <w:color w:val="000000" w:themeColor="text1"/>
                <w:sz w:val="16"/>
                <w:szCs w:val="16"/>
              </w:rPr>
              <w:t>.40</w:t>
            </w:r>
          </w:p>
        </w:tc>
      </w:tr>
      <w:tr w:rsidR="006F4095" w:rsidRPr="008127F8" w14:paraId="04366C20" w14:textId="77777777">
        <w:tc>
          <w:tcPr>
            <w:tcW w:w="1878" w:type="dxa"/>
          </w:tcPr>
          <w:p w14:paraId="7E8A82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2BCFA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 с мотором М-90</w:t>
            </w:r>
          </w:p>
        </w:tc>
        <w:tc>
          <w:tcPr>
            <w:tcW w:w="2977" w:type="dxa"/>
          </w:tcPr>
          <w:p w14:paraId="46F370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N 342сс</w:t>
            </w:r>
          </w:p>
        </w:tc>
      </w:tr>
      <w:tr w:rsidR="006F4095" w:rsidRPr="008127F8" w14:paraId="01F5655C" w14:textId="77777777">
        <w:tc>
          <w:tcPr>
            <w:tcW w:w="1878" w:type="dxa"/>
          </w:tcPr>
          <w:p w14:paraId="36DEC1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BF5A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экз.</w:t>
            </w:r>
          </w:p>
        </w:tc>
        <w:tc>
          <w:tcPr>
            <w:tcW w:w="2977" w:type="dxa"/>
          </w:tcPr>
          <w:p w14:paraId="39FEE0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E7D011" w14:textId="77777777">
        <w:tc>
          <w:tcPr>
            <w:tcW w:w="1878" w:type="dxa"/>
          </w:tcPr>
          <w:p w14:paraId="3E3E3C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Камов Н.И.</w:t>
            </w:r>
          </w:p>
        </w:tc>
        <w:tc>
          <w:tcPr>
            <w:tcW w:w="5601" w:type="dxa"/>
          </w:tcPr>
          <w:p w14:paraId="7495C9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Автожир </w:t>
            </w:r>
            <w:proofErr w:type="gramStart"/>
            <w:r w:rsidRPr="008127F8">
              <w:rPr>
                <w:rFonts w:ascii="Times New Roman" w:hAnsi="Times New Roman"/>
                <w:color w:val="000000" w:themeColor="text1"/>
                <w:sz w:val="16"/>
                <w:szCs w:val="16"/>
              </w:rPr>
              <w:t>АК</w:t>
            </w:r>
            <w:proofErr w:type="gramEnd"/>
            <w:r w:rsidRPr="008127F8">
              <w:rPr>
                <w:rFonts w:ascii="Times New Roman" w:hAnsi="Times New Roman"/>
                <w:color w:val="000000" w:themeColor="text1"/>
                <w:sz w:val="16"/>
                <w:szCs w:val="16"/>
              </w:rPr>
              <w:t xml:space="preserve"> взлетающий без</w:t>
            </w:r>
          </w:p>
        </w:tc>
        <w:tc>
          <w:tcPr>
            <w:tcW w:w="2977" w:type="dxa"/>
          </w:tcPr>
          <w:p w14:paraId="316612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 N 120</w:t>
            </w:r>
          </w:p>
        </w:tc>
      </w:tr>
      <w:tr w:rsidR="006F4095" w:rsidRPr="008127F8" w14:paraId="03BA2DAF" w14:textId="77777777">
        <w:tc>
          <w:tcPr>
            <w:tcW w:w="1878" w:type="dxa"/>
          </w:tcPr>
          <w:p w14:paraId="5F25E5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BEC05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разбега с мотором МВ-6 - 2 экз.</w:t>
            </w:r>
          </w:p>
        </w:tc>
        <w:tc>
          <w:tcPr>
            <w:tcW w:w="2977" w:type="dxa"/>
          </w:tcPr>
          <w:p w14:paraId="388FE7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AF036B" w14:textId="77777777">
        <w:tc>
          <w:tcPr>
            <w:tcW w:w="1878" w:type="dxa"/>
          </w:tcPr>
          <w:p w14:paraId="187734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Архангельский</w:t>
            </w:r>
          </w:p>
        </w:tc>
        <w:tc>
          <w:tcPr>
            <w:tcW w:w="5601" w:type="dxa"/>
          </w:tcPr>
          <w:p w14:paraId="3034F0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Двухмоторный бомбардировщик</w:t>
            </w:r>
          </w:p>
        </w:tc>
        <w:tc>
          <w:tcPr>
            <w:tcW w:w="2977" w:type="dxa"/>
          </w:tcPr>
          <w:p w14:paraId="79E86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108 сс от 4.III.40</w:t>
            </w:r>
          </w:p>
        </w:tc>
      </w:tr>
      <w:tr w:rsidR="006F4095" w:rsidRPr="008127F8" w14:paraId="241D9049" w14:textId="77777777">
        <w:tc>
          <w:tcPr>
            <w:tcW w:w="1878" w:type="dxa"/>
          </w:tcPr>
          <w:p w14:paraId="292312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19861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СБ "Б" с моторами М-105 ТК 1 экз.</w:t>
            </w:r>
          </w:p>
        </w:tc>
        <w:tc>
          <w:tcPr>
            <w:tcW w:w="2977" w:type="dxa"/>
          </w:tcPr>
          <w:p w14:paraId="0DDAF6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70C980" w14:textId="77777777">
        <w:tc>
          <w:tcPr>
            <w:tcW w:w="1878" w:type="dxa"/>
          </w:tcPr>
          <w:p w14:paraId="1D351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Мосолов И.П.</w:t>
            </w:r>
          </w:p>
        </w:tc>
        <w:tc>
          <w:tcPr>
            <w:tcW w:w="5601" w:type="dxa"/>
          </w:tcPr>
          <w:p w14:paraId="180A9B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Модификация самолета ПС-84</w:t>
            </w:r>
          </w:p>
        </w:tc>
        <w:tc>
          <w:tcPr>
            <w:tcW w:w="2977" w:type="dxa"/>
          </w:tcPr>
          <w:p w14:paraId="69EB7E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18.III.41</w:t>
            </w:r>
          </w:p>
        </w:tc>
      </w:tr>
      <w:tr w:rsidR="006F4095" w:rsidRPr="008127F8" w14:paraId="61D0C741" w14:textId="77777777">
        <w:tc>
          <w:tcPr>
            <w:tcW w:w="1878" w:type="dxa"/>
          </w:tcPr>
          <w:p w14:paraId="23EEFB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244B2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w:t>
            </w:r>
            <w:proofErr w:type="gramStart"/>
            <w:r w:rsidRPr="008127F8">
              <w:rPr>
                <w:rFonts w:ascii="Times New Roman" w:hAnsi="Times New Roman"/>
                <w:color w:val="000000" w:themeColor="text1"/>
                <w:sz w:val="16"/>
                <w:szCs w:val="16"/>
              </w:rPr>
              <w:t>дизель моторами</w:t>
            </w:r>
            <w:proofErr w:type="gramEnd"/>
            <w:r w:rsidRPr="008127F8">
              <w:rPr>
                <w:rFonts w:ascii="Times New Roman" w:hAnsi="Times New Roman"/>
                <w:color w:val="000000" w:themeColor="text1"/>
                <w:sz w:val="16"/>
                <w:szCs w:val="16"/>
              </w:rPr>
              <w:t xml:space="preserve"> М-30 в варианте</w:t>
            </w:r>
          </w:p>
        </w:tc>
        <w:tc>
          <w:tcPr>
            <w:tcW w:w="2977" w:type="dxa"/>
          </w:tcPr>
          <w:p w14:paraId="40784A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87FE2" w:rsidRPr="008127F8" w14:paraId="25F56862" w14:textId="77777777">
        <w:tc>
          <w:tcPr>
            <w:tcW w:w="1878" w:type="dxa"/>
            <w:tcBorders>
              <w:bottom w:val="single" w:sz="12" w:space="0" w:color="auto"/>
            </w:tcBorders>
          </w:tcPr>
          <w:p w14:paraId="217906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Borders>
              <w:bottom w:val="single" w:sz="12" w:space="0" w:color="auto"/>
            </w:tcBorders>
          </w:tcPr>
          <w:p w14:paraId="3AEC90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бомбардировщика - 2 экз. (2178,181)</w:t>
            </w:r>
          </w:p>
        </w:tc>
        <w:tc>
          <w:tcPr>
            <w:tcW w:w="2977" w:type="dxa"/>
            <w:tcBorders>
              <w:bottom w:val="single" w:sz="12" w:space="0" w:color="auto"/>
            </w:tcBorders>
          </w:tcPr>
          <w:p w14:paraId="2066E1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2B24F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F31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вышел приказ НКАП N 291с о мероприятиях по организации завода 82 по производству самолетов Як-7.</w:t>
      </w:r>
    </w:p>
    <w:p w14:paraId="1978A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быстрейшей организации производства самолетов Як-7 на заводе 82 в Москве:</w:t>
      </w:r>
    </w:p>
    <w:p w14:paraId="45E214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Директором завода назначить Бугрова, ГИ Артамонова (1549,20).</w:t>
      </w:r>
    </w:p>
    <w:p w14:paraId="0D3257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5F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командир 102 тап к Осипчук, в прошлом л НИИ ГВФ, закончил испытания Ли-2, переоборудованного в НБ, которые прошли успешно с 13 апреля (4143,34).</w:t>
      </w:r>
    </w:p>
    <w:p w14:paraId="1A85C7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D1D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л завода 1 Иващенко при взлете без разрешения стартера в ходе испытаний налетел на стоящий вблизи полосы СБ и срезал крыло (2108).</w:t>
      </w:r>
    </w:p>
    <w:p w14:paraId="58939A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CA1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от Волкова и Ярцева в ЦК ВКП(б) поступило письмо N М-3804оп о целесообразности применения ВЯ и о переводе ЦКБ-14 в тулу или Москву и письмо затем было передано в НКАП А.И.Ш. (2728,142).</w:t>
      </w:r>
    </w:p>
    <w:p w14:paraId="46C1D4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4C1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от Кондратьева, Озерова и др. в ЦК ВКП(б) поступило письмо N М-3804оп о целесообразности продолжения работ над Аэрокоброй Гудкова и письмо затем было передано в НКАП А.И.Ш. (2728,142).</w:t>
      </w:r>
    </w:p>
    <w:p w14:paraId="58514D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9CDB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D2521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83CED2" w14:textId="77777777" w:rsidR="00F76B33" w:rsidRPr="008127F8" w:rsidRDefault="00F76B3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г. вышел отчет, согласно которому утвержденный к изготовлению КВ-13 совер</w:t>
      </w:r>
      <w:r w:rsidRPr="008127F8">
        <w:rPr>
          <w:rFonts w:ascii="Times New Roman" w:hAnsi="Times New Roman"/>
          <w:color w:val="000000" w:themeColor="text1"/>
          <w:sz w:val="16"/>
          <w:szCs w:val="16"/>
        </w:rPr>
        <w:softHyphen/>
        <w:t>шенно не имел цветных металлов в узлах и деталях, кроме входивших в конструкцию дизель-мотора и электроцепей (10782).</w:t>
      </w:r>
    </w:p>
    <w:p w14:paraId="2FA23085" w14:textId="77777777" w:rsidR="00F76B33" w:rsidRPr="008127F8" w:rsidRDefault="00F76B3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9223AD"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апреля 1942 года на совещании первые прозвучал индекс КВ-1с. К тому моменту было подготовлено два проекта коробок передач, поскольку ситуация с КПП выглядела крайне сложной. Разработка Шашмурина, считавшаяся основной, получила обозначение "группа 21–212". Установка этой КПП требовала наименьший объем изменений конструкции танка. Вместе с тем, требовалось доработать радиаторы, поскольку проблемы теплового режима были связаны и с ними. Вторая КПП, которая обозначалась как "группа 12–21", была разработана Ф.А. Маришкиным. Он также участвовал в создании 8-скоростной КПП для Т-222, но коробка передач Маришкина имела отличия. Больше отличий было и по начинке танка: в него ставились водяные радиаторы по типу КВ-3 (Т-223), а масляный радиатор – от самолета Р-5ЗЕТ. Оба варианта коробок передач утвердили: КПП "группа 21–212" поставили в танк с серийным номером 10334, а КПП "группа 12–21" - в танк 10279. Обе машины, получившие обозначение КВ-1с, по факту являлись самыми обычными КВ-1 выпуска апреля 1942 года. Боевая масса танков составляла 48,5 тонн, при этом на них поставили моторы В-2КФ мощностью 650 лошадиных сил.</w:t>
      </w:r>
    </w:p>
    <w:p w14:paraId="676F584C"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8-скоростным КПП шли с большой задержкой. На испытания танки с новыми коробками передач должны были выйти 20 марта, а по факту, как уже говорилось выше, работы сдвинулись на апрель. К 15 числу танк №10279 прошел 111 километров. "Скоростным" этот КВ стал не просто так: согласно отчету об опытных работах, по шоссе танк развил скорость 40 км/ч. Правда, ехал он так недолго - происходил быстрый перегрев. Второй танк, с КПП Шашмурина, запаздывал, на испытания он вышел 21 апреля, пройдя 99 километров. Поначалу КПП "группа 21–212" показала себя не очень хорошо, но далее выбрали именно конструкцию Шашмурина. Вместе с тем, к началу июня 1942 года стало очевидно, что такой "скоростной" танк не получится. Естественно, шли работы по улучшенной системе охлаждения, также работали по новым воздухоочистителям. Но ключевая проблема оставалась - чрезмерная боевая масса. Так что постановление ГКО №1878 от 5 июня 1942 года стало логичным решением проблемы. Без облегчения машины решить проблему надежности и теплового режима было невозможно (23351).</w:t>
      </w:r>
    </w:p>
    <w:p w14:paraId="359B3B25" w14:textId="77777777" w:rsidR="00607B0C" w:rsidRPr="008A2E5A" w:rsidRDefault="00607B0C" w:rsidP="00607B0C">
      <w:pPr>
        <w:spacing w:after="0" w:line="240" w:lineRule="auto"/>
        <w:jc w:val="both"/>
        <w:rPr>
          <w:rFonts w:ascii="Times New Roman" w:hAnsi="Times New Roman"/>
          <w:color w:val="0070C0"/>
          <w:sz w:val="16"/>
          <w:szCs w:val="16"/>
        </w:rPr>
      </w:pPr>
    </w:p>
    <w:p w14:paraId="7C2C3D2C"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 xml:space="preserve">19 апреля 1942 были начаты испытания ЗИС-19 в новой башне. По их результатам выяснилось, что из-за более высокой начальной скорости снаряда живучесть ствола </w:t>
      </w:r>
      <w:r w:rsidRPr="008127F8">
        <w:rPr>
          <w:color w:val="000000" w:themeColor="text1"/>
          <w:sz w:val="16"/>
          <w:szCs w:val="16"/>
        </w:rPr>
        <w:lastRenderedPageBreak/>
        <w:t>ЗИС-19 оказалась ниже, чем у 45-мм танковой пушки. Показатели бронепробиваемости, скорострельности и кучности оказались практически идентичными, зато по эффективности осколочно-фугасного боеприпаса ЗИС-19 оказалась далеко позади. В виду того, что одной из основных задач малых и лёгких танков являлась поддержка пехоты и борьба с живой силой противника, данный показатель считался весьма важным.</w:t>
      </w:r>
    </w:p>
    <w:p w14:paraId="4833BF8A"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Тем не менее, 37-мм пушка показала себя неплохо, и в случае устранения обнаруженных конструктивных недостатков планировалась её установка в Т-70. Не в последнюю очередь положительные отзывы были вызваны простотой ЗИС-19 по сравнению с орудием-конкурентом и почти в два раза меньшей массой. Проблема заключалась в том, что про Т-60 к окончанию испытаний (19 июля) можно было уже окончательно забыть: в начале июля 1942 года вышло постановление ГКО о снятии танка с производства на заводах №37, 38 и 264. Но и на Т-70 ЗИС-19 в итоге тоже опоздала: к тому моменту уже вовсю шла работа над танковой версией 45-мм танковой пушки с удлинённым стволом, более известной как ВТ-42. Она выглядела куда более перспективной (17468).</w:t>
      </w:r>
    </w:p>
    <w:p w14:paraId="0447E309" w14:textId="77777777" w:rsidR="00F76B33" w:rsidRPr="008127F8" w:rsidRDefault="00F76B33" w:rsidP="001E0A84">
      <w:pPr>
        <w:pStyle w:val="af"/>
        <w:spacing w:before="0" w:after="0"/>
        <w:jc w:val="both"/>
        <w:rPr>
          <w:color w:val="000000" w:themeColor="text1"/>
          <w:sz w:val="16"/>
          <w:szCs w:val="16"/>
        </w:rPr>
      </w:pPr>
    </w:p>
    <w:p w14:paraId="54DD71D6" w14:textId="77777777" w:rsidR="00F76B33" w:rsidRPr="008127F8" w:rsidRDefault="00F76B33"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19 апреля 1941, не до</w:t>
      </w:r>
      <w:r w:rsidRPr="008127F8">
        <w:rPr>
          <w:rFonts w:eastAsia="Calibri"/>
          <w:color w:val="000000" w:themeColor="text1"/>
          <w:sz w:val="16"/>
          <w:szCs w:val="16"/>
        </w:rPr>
        <w:softHyphen/>
        <w:t>жидаясь прибытия Т-70, начались испытания ЗИС-19 в новой башне. По их результатам выяснилось, что живу</w:t>
      </w:r>
      <w:r w:rsidRPr="008127F8">
        <w:rPr>
          <w:rFonts w:eastAsia="Calibri"/>
          <w:color w:val="000000" w:themeColor="text1"/>
          <w:sz w:val="16"/>
          <w:szCs w:val="16"/>
        </w:rPr>
        <w:softHyphen/>
        <w:t>честь ствола ЗИС-19 оказалась ниже, чем у 45-мм танковой пушки, ввиду более высокой начальной скорости снаряда. Показатели бро- непробиваемости, скорострельности и кучности оказались практи</w:t>
      </w:r>
      <w:r w:rsidRPr="008127F8">
        <w:rPr>
          <w:rFonts w:eastAsia="Calibri"/>
          <w:color w:val="000000" w:themeColor="text1"/>
          <w:sz w:val="16"/>
          <w:szCs w:val="16"/>
        </w:rPr>
        <w:softHyphen/>
        <w:t>чески идентичными, зато по эффективности осколочно-фугасного боеприпаса ЗИС-19 осталась далеко позади. Ввиду того что одной из основных задач малых и легких танков являлась поддержка пехо</w:t>
      </w:r>
      <w:r w:rsidRPr="008127F8">
        <w:rPr>
          <w:rFonts w:eastAsia="Calibri"/>
          <w:color w:val="000000" w:themeColor="text1"/>
          <w:sz w:val="16"/>
          <w:szCs w:val="16"/>
        </w:rPr>
        <w:softHyphen/>
        <w:t>ты и борьба с живой силой противника, данный показатель являлся весьма важным. Тем не менее пушка показала себя перспективной, и в случае устранения обнаруженных конструктивных недостатков планировалась ее установка в Т-70. Не в последнюю очередь положи</w:t>
      </w:r>
      <w:r w:rsidRPr="008127F8">
        <w:rPr>
          <w:rFonts w:eastAsia="Calibri"/>
          <w:color w:val="000000" w:themeColor="text1"/>
          <w:sz w:val="16"/>
          <w:szCs w:val="16"/>
        </w:rPr>
        <w:softHyphen/>
        <w:t>тельные отзывы были вызваны гораздо большей простотой ЗИС-19 и почти в два раза меньшей массой системы. Проблема заключалась в том, что про Т-60 к окончанию испытаний (19 июля) можно было уже окончательно забыть: в начале июля 1942 года вышло постанов</w:t>
      </w:r>
      <w:r w:rsidRPr="008127F8">
        <w:rPr>
          <w:rFonts w:eastAsia="Calibri"/>
          <w:color w:val="000000" w:themeColor="text1"/>
          <w:sz w:val="16"/>
          <w:szCs w:val="16"/>
        </w:rPr>
        <w:softHyphen/>
        <w:t>ление ГКО о снятии танка с производства на заводах № 37, 38 и 264. ЗИС-19, впрочем, тоже опоздала: к тому моменту уже вовсю шла работа над танковой версией 45-мм танковой пушки с удлиненным стволом, более известной как ВТ-42. Она выглядела куда более пер</w:t>
      </w:r>
      <w:r w:rsidRPr="008127F8">
        <w:rPr>
          <w:rFonts w:eastAsia="Calibri"/>
          <w:color w:val="000000" w:themeColor="text1"/>
          <w:sz w:val="16"/>
          <w:szCs w:val="16"/>
        </w:rPr>
        <w:softHyphen/>
        <w:t>спективной (17485).</w:t>
      </w:r>
    </w:p>
    <w:p w14:paraId="4E6506F8" w14:textId="77777777" w:rsidR="00F76B33" w:rsidRPr="008127F8" w:rsidRDefault="00F76B33" w:rsidP="001E0A84">
      <w:pPr>
        <w:pStyle w:val="af"/>
        <w:spacing w:before="0" w:after="0"/>
        <w:jc w:val="both"/>
        <w:rPr>
          <w:color w:val="000000" w:themeColor="text1"/>
          <w:sz w:val="16"/>
          <w:szCs w:val="16"/>
        </w:rPr>
      </w:pPr>
    </w:p>
    <w:p w14:paraId="14C924F9"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19 апреля 1942 на Гороховетском полигоне были начаты испытания ЗИС-19 в новой башне. По их результатам выяснилось, что из-за более высокой начальной скорости снаряда живучесть ствола ЗИС-19 оказалась ниже, чем у 45-мм танковой пушки. Показатели бронепробиваемости, скорострельности и кучности оказались практически идентичными, зато по эффективности осколочно-фугасного боеприпаса ЗИС-19 оказалась далеко позади. В виду того, что одной из основных задач малых и лёгких танков являлась поддержка пехоты и борьба с живой силой противника, данный показатель считался весьма важным.</w:t>
      </w:r>
    </w:p>
    <w:p w14:paraId="039C25E0" w14:textId="77777777" w:rsidR="00BA3976" w:rsidRPr="008127F8" w:rsidRDefault="00BA3976"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Тем не менее, 37-мм пушка показала себя неплохо, и в случае устранения обнаруженных конструктивных недостатков планировалась её установка в Т-70. Не в последнюю очередь положительные отзывы были вызваны простотой ЗИС-19 по сравнению с орудием-конкурентом и почти в два раза меньшей массой. Проблема заключалась в том, что про Т-60 к окончанию испытаний (19 июля) можно было уже окончательно забыть: в начале июля 1942 года вышло постановление ГКО о снятии танка с производства на заводах №37, 38 и 264. Но и на Т-70 ЗИС-19 в итоге тоже опоздала: к тому моменту уже вовсю шла работа над танковой версией 45-мм танковой пушки с удлинённым стволом, более известной как ВТ-42. Она выглядела куда более перспективной (17636).</w:t>
      </w:r>
    </w:p>
    <w:p w14:paraId="1865A572" w14:textId="77777777" w:rsidR="00BA3976" w:rsidRPr="008127F8" w:rsidRDefault="00BA3976" w:rsidP="001E0A84">
      <w:pPr>
        <w:spacing w:after="0" w:line="240" w:lineRule="auto"/>
        <w:jc w:val="both"/>
        <w:rPr>
          <w:rFonts w:ascii="Times New Roman" w:hAnsi="Times New Roman"/>
          <w:color w:val="000000" w:themeColor="text1"/>
          <w:sz w:val="16"/>
          <w:szCs w:val="16"/>
        </w:rPr>
      </w:pPr>
    </w:p>
    <w:p w14:paraId="0E88BA31" w14:textId="77777777" w:rsidR="009123B5" w:rsidRPr="008127F8" w:rsidRDefault="009123B5"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19 апреля 1942 г.</w:t>
      </w:r>
    </w:p>
    <w:p w14:paraId="2E5BB0FC"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25 – 26</w:t>
      </w:r>
      <w:r w:rsidRPr="008127F8">
        <w:rPr>
          <w:rFonts w:ascii="Times New Roman" w:eastAsia="Times New Roman" w:hAnsi="Times New Roman"/>
          <w:color w:val="000000" w:themeColor="text1"/>
          <w:sz w:val="16"/>
          <w:szCs w:val="16"/>
          <w:lang w:eastAsia="ru-RU"/>
        </w:rPr>
        <w:t xml:space="preserve"> </w:t>
      </w:r>
    </w:p>
    <w:p w14:paraId="0EA17C75"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Сов.секретно. </w:t>
      </w:r>
    </w:p>
    <w:p w14:paraId="64303DDD"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29C22B51"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190488B6"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358сc</w:t>
      </w:r>
    </w:p>
    <w:p w14:paraId="5DFD7021"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5EC37CCD"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"19" апреля 1942 г.</w:t>
      </w:r>
    </w:p>
    <w:p w14:paraId="0C97A402"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Государственный Комитет Обороны своим постановлением № 1586сс от 12 апреля 1942 г. "Об испытании новой марки безникелевой брони для корпусов танков Т-34" обязал Наркомтанкопром: </w:t>
      </w:r>
    </w:p>
    <w:p w14:paraId="307BAAE8"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С 10 мая с.г. перевести отливку башен и броневых литых деталей танка Т-34 на безникелевую сталь МЗ-5 взамен стали МЗ-2. </w:t>
      </w:r>
    </w:p>
    <w:p w14:paraId="13585961"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Изготовить на заводе № 112 до 10 мая с.г. 15 корпусов танка Т-34 из безникелевой стали МЗ-5 и совместно с ГАБТУ КА провести до 10 мая испытания одного корпуса отстрелом и при положительных результатах по сварке и отстрелу корпусов, разрешил НКЧМ, НКТП и ГАБТУ КА перевести с мая 1942 года изготовление танковой брони и корпусов Т-34 на безникелевую сталь МЗ-5 взамен стали МЗ-2 в соответствии с техническими условиями. </w:t>
      </w:r>
    </w:p>
    <w:p w14:paraId="3F69A293"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постановления ГОКО ПРИКАЗЫВАЮ: </w:t>
      </w:r>
    </w:p>
    <w:p w14:paraId="528EAE0E"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Директорам заводов № 112 – тов. Михалеву, № 183 – т. Зальцману, УЗТМ – т. Музрукову с 10 мая с.г. перевести отливку башен и броневых деталей танка Т-34 на сталь марки МЗ-5 взамен МЗ-2, организовав специальное наблюдение и учет результатов перехода на новую марку по всем переделам. Ежедекадно сообщать в Наркомтанкопром о ходе работ. </w:t>
      </w:r>
    </w:p>
    <w:p w14:paraId="46B821F5"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Директору завода № 112 тов. Михалеву немедленно выслать с нарочным заводу № 183 и УЗТМ технологию выплавки стали марки МЗ-5, а также все особенности технологии отливки и дальнейшей обработки башен и броневых деталей из стали МЗ-5, особенно детально изложить следующие моменты: </w:t>
      </w:r>
    </w:p>
    <w:p w14:paraId="20FB89CD"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условия заливки и охлаждения; </w:t>
      </w:r>
    </w:p>
    <w:p w14:paraId="6CE2301F"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оптимальные пределы химанализа и зависимость между химанализом и температурой закалки; </w:t>
      </w:r>
    </w:p>
    <w:p w14:paraId="3C5D0D5F"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последовательность и методику операций обрезки, термообработки и механической обработки; </w:t>
      </w:r>
    </w:p>
    <w:p w14:paraId="58D6D5F1"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описание всех встреченных в период освоения трудностей, их причины и методы устранения. </w:t>
      </w:r>
    </w:p>
    <w:p w14:paraId="44DA75FD"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Обязать И.о. начальника 3 Главного Управления тов. Хабахпашева и Директора завода № 178 – тов. Скиба изготовить и отгрузить на завод № 112 не позже 20 апреля на 15-ть корпусов бронелист марки МЗ-5 по действующей спецификации МЗ-2. За всеми плавками по всем переделам и испытаниям установить специальный учет результатов, выслав весь материал в Наркомтанкопром. </w:t>
      </w:r>
    </w:p>
    <w:p w14:paraId="0BED32EB"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Директору завода № 112 – тов. Михалеву к 10 мая изготовить 15 корпусов танков Т-34 из стали МЗ-5 и один из них испытать отстрелом совместно с Военпредом ГАБТУ КА. Для отработки технологии валового производства корпусов Т-34 из стали МЗ-5 вести в процессе изготовления 15-ти корпусов особо тщательное наблюдение за технологией и учет всех результатов по каждому переделу. </w:t>
      </w:r>
    </w:p>
    <w:p w14:paraId="25C72A34"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Акт об испытании одного корпуса отстрелом, материалы по технологии производства 15-ти корпусов, выводы и предложения о переходе на валовое производство корпусов Т-34 из стали МЗ-5 выслать 10 мая в Наркомтанкопром и ГАБТУ КА. </w:t>
      </w:r>
    </w:p>
    <w:p w14:paraId="64AAD5A5"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Обязать директора НИИ-48 тов. Завьялова оказать заводу № 183 и УЗТМ необходимую помощь в освоении новой марки стали, прикрепив к этим заводам на период освоения ответственных специалистов Института. </w:t>
      </w:r>
    </w:p>
    <w:p w14:paraId="08D30318"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Зам. начальника 2 Отдела тов. Гинзбургу и И.о. начальника 3 Главного Управления т. Хабахпашеву: </w:t>
      </w:r>
    </w:p>
    <w:p w14:paraId="222A75A1"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доложить мне 15 мая результаты изготовления 15-ти корпусов и испытаний одного из них отстрелом и представить предложения о переводе изготовления корпусов Т-34 из марки МЗ-5 взамен МЗ-2; </w:t>
      </w:r>
    </w:p>
    <w:p w14:paraId="51EF6705"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на период освоения на заводах № 183 и УЗТМ литых башен и других броневых деталей из стали МЗ-5 обеспечить специальный контроль за ходом работы. </w:t>
      </w:r>
    </w:p>
    <w:p w14:paraId="68501A3C"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Учесть, что ГОКО обязал Наркомчермет обеспечить выпуск необходимого количества малоуглеродистого феррохрома ля выплавки стали МЗ-5. </w:t>
      </w:r>
    </w:p>
    <w:p w14:paraId="640B4D75"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Заместителю Наркома тов. Попову исполнение настоящего приказа взять под особое наблюдение. </w:t>
      </w:r>
    </w:p>
    <w:p w14:paraId="20A75D4B"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НАРОДНЫЙ КОМИССАР ТАНКОВОЙ ПРОМЫШЛЕННОСТИ СОЮЗА ССР</w:t>
      </w:r>
    </w:p>
    <w:p w14:paraId="4FB2CD47" w14:textId="77777777" w:rsidR="009123B5" w:rsidRPr="008127F8" w:rsidRDefault="009123B5"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А.А. Горегляда (В. МАЛЫШЕВ)</w:t>
      </w:r>
    </w:p>
    <w:p w14:paraId="1979FE21" w14:textId="77777777" w:rsidR="009123B5" w:rsidRPr="008127F8" w:rsidRDefault="009123B5"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Приказ завизирован А.А. Гореглядом, А.А. Хабахпашевым и С.А. Гинзбургом 13 апреля 1942 г. (18938).</w:t>
      </w:r>
    </w:p>
    <w:p w14:paraId="7816E996" w14:textId="77777777" w:rsidR="009123B5" w:rsidRPr="008127F8" w:rsidRDefault="009123B5" w:rsidP="001E0A84">
      <w:pPr>
        <w:spacing w:after="0" w:line="240" w:lineRule="auto"/>
        <w:jc w:val="both"/>
        <w:rPr>
          <w:rFonts w:ascii="Times New Roman" w:hAnsi="Times New Roman"/>
          <w:color w:val="000000" w:themeColor="text1"/>
          <w:sz w:val="16"/>
          <w:szCs w:val="16"/>
        </w:rPr>
      </w:pPr>
    </w:p>
    <w:p w14:paraId="220C2923"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г. был подготовлен про</w:t>
      </w:r>
      <w:r w:rsidRPr="008127F8">
        <w:rPr>
          <w:rFonts w:ascii="Times New Roman" w:hAnsi="Times New Roman"/>
          <w:color w:val="000000" w:themeColor="text1"/>
          <w:sz w:val="16"/>
          <w:szCs w:val="16"/>
        </w:rPr>
        <w:softHyphen/>
        <w:t>ект Постановления ГКО «О производстве полугусеничных автомашин ЗИС-42», которым предусматривалось начать их выпуск с августа 1942 г. При этом программа на 1942 г. состав</w:t>
      </w:r>
      <w:r w:rsidRPr="008127F8">
        <w:rPr>
          <w:rFonts w:ascii="Times New Roman" w:hAnsi="Times New Roman"/>
          <w:color w:val="000000" w:themeColor="text1"/>
          <w:sz w:val="16"/>
          <w:szCs w:val="16"/>
        </w:rPr>
        <w:softHyphen/>
        <w:t>ляла 4000 вездеходов. В III квартале предпо</w:t>
      </w:r>
      <w:r w:rsidRPr="008127F8">
        <w:rPr>
          <w:rFonts w:ascii="Times New Roman" w:hAnsi="Times New Roman"/>
          <w:color w:val="000000" w:themeColor="text1"/>
          <w:sz w:val="16"/>
          <w:szCs w:val="16"/>
        </w:rPr>
        <w:softHyphen/>
        <w:t>лагалось собрать 1000 машин (200 в августе и 800 в сентябре). Наркомрезинпрому предпи</w:t>
      </w:r>
      <w:r w:rsidRPr="008127F8">
        <w:rPr>
          <w:rFonts w:ascii="Times New Roman" w:hAnsi="Times New Roman"/>
          <w:color w:val="000000" w:themeColor="text1"/>
          <w:sz w:val="16"/>
          <w:szCs w:val="16"/>
        </w:rPr>
        <w:softHyphen/>
        <w:t>сывалось изготовить во втором полугодии 2000 комплектов резинотканевых гусеничных лент, башмаков и обрезинок катков, что может быть объяснено наличием задела комплектующих с довоенного периода (12729).</w:t>
      </w:r>
    </w:p>
    <w:p w14:paraId="4792F11E" w14:textId="77777777" w:rsidR="0050778F" w:rsidRPr="008127F8" w:rsidRDefault="0050778F" w:rsidP="001E0A84">
      <w:pPr>
        <w:spacing w:after="0" w:line="240" w:lineRule="auto"/>
        <w:jc w:val="both"/>
        <w:rPr>
          <w:rFonts w:ascii="Times New Roman" w:hAnsi="Times New Roman"/>
          <w:color w:val="000000" w:themeColor="text1"/>
          <w:sz w:val="16"/>
          <w:szCs w:val="16"/>
        </w:rPr>
      </w:pPr>
    </w:p>
    <w:p w14:paraId="6B38D7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вышло Постановление ГКО № 1620 О т.т. Пожидаеве Е.Т., Данилове Л.Л., Черном И.Л., Коннове И.П. и Шлыкове Ф.И. РГАНИР, Фонд ГКО, д. 31, лл. 77 (11012).</w:t>
      </w:r>
    </w:p>
    <w:p w14:paraId="7EB8CD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11D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вышло Постановление ГКО № 1621 О т.т. Попель Н.К., Михальчуке И.И. и Абрамове Н.В. РГАНИР, Фонд ГКО, д. 31, лл. 78 (11012).</w:t>
      </w:r>
    </w:p>
    <w:p w14:paraId="2FD0AA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2E0C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C154B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00D27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19 апреля в 1942 году утреннее сообщение Совинформбюро:</w:t>
      </w:r>
    </w:p>
    <w:p w14:paraId="5297026F"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19 апреля на фронте чего-либо существенного не произошло.</w:t>
      </w:r>
    </w:p>
    <w:p w14:paraId="0645490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наши бойцы в течение дня отразили три контратаки немецкой пехоты, поддержанной танками и авиацией. Противник оставил на поле боя сотни убитых и раненых солдат и офицеров.</w:t>
      </w:r>
    </w:p>
    <w:p w14:paraId="2B101A57"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рота противника пыталась перейти в контратаку, но была отброшена. Вскоре немцы предприняли вторую попытку проникнуть в расположение наших войск. На этот раз в бой было брошено дв авражеских батальона, поддержанных танками. Пулемётным и ружейным огнём наши бойцы сковали пехоту противника. Три прорвавшихся вперёд вражеских танка были уничтожены огнём из противотанковых пушек. Затем ударом с флангов наши автоматчики обратили немцев в бегство. На поле боя осталось 360 вражеских трупов.</w:t>
      </w:r>
    </w:p>
    <w:p w14:paraId="23CF524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стрелковое подразделение (Западный фронт), действуя совместно с партизанским отрядом тов. П., освободило 3 населённых пункта. Немецко-фашистские захватчики понесли большие потери.</w:t>
      </w:r>
    </w:p>
    <w:p w14:paraId="63950D84"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наших танков под командованием старшего лейтенанта Свинухова (Южныйфронт) выбили немцев из одного населённого пункта. Танкисты уничтожили 13 противотанковых орудий, бронемашину и более 150 немецких солдат и офицеров.</w:t>
      </w:r>
    </w:p>
    <w:p w14:paraId="68346DF9"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орудия старший сержант Дрёмин, ведя огонь с открытой позиции, разрушил 2 немецких ДЗОТа, подавил 2 миномётные батареи и 2 пулемётных гнезда противника.</w:t>
      </w:r>
    </w:p>
    <w:p w14:paraId="3E6BCE50"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дней снайперы одной нашей части, действующей на Крымском фронте, уничтожили 286 вражеских солдат и офицеров.</w:t>
      </w:r>
    </w:p>
    <w:p w14:paraId="48D6994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под командованием тов. Г. за последние дниуничтожил 235 немецких оккупантов, 24 автомашины с военными грузами и сбил немецкий бомбардировщик «Ю-88». Партизаны разгромили штаб немецкой части и доставили нашему командованию ценные документы.</w:t>
      </w:r>
    </w:p>
    <w:p w14:paraId="6BC2CD79"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инженерного взвода 499 запасного батальона, Вильфрид Вейнман рассказал: «Наш батальон прибыл на фронт 9 апреля 1942 года. До этого батальон больше года находился в Югославии. В связи с огромными потерями германской армии в России одну часть за другой перебрасывают на советско-германский фронт. Пользуясь этим, югославские партизаны усилили свою активность. В стычках с партизанами немецкие войска несут большие жертвы. Партизаны совершают внезапные налёты на немецкие гарнизоны и тотчас же бесследно исчезают в лесах и горах».</w:t>
      </w:r>
    </w:p>
    <w:p w14:paraId="2B5179E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северной части Норвегии в концентрационном лагере недалеко от Стамсунна произошло восстание заключённых норвежских патриотов. Восставшие обезоружили и перебили охрану лагеря, взорвали радиостанцию и скрылись в горах.</w:t>
      </w:r>
    </w:p>
    <w:p w14:paraId="6FBDFF0F"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марта многие поляки и евреи, проживающие в местечках близ Грубешува (Польша), получили повестки, предлагающие немедленно явиться в город для медицинского освидетельствования. После врачебного осмотра у большинства вызванных мужчин и женщин под угрозой смерти немецкие врачи взяли большое количество крови, а затем отравили их. Родные несчастных получили извещения, что их родственники умерли от заразной болезни. После стало известно, что таким преступным путём гитлеровцы получают кровь для переливания раненым офицерам немецкой армии.» (15104).</w:t>
      </w:r>
    </w:p>
    <w:p w14:paraId="66EEDD7B"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74B39B69"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в 1942 году вечернее сообщение Совинформбюро:</w:t>
      </w:r>
    </w:p>
    <w:p w14:paraId="295E0248"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 апреля на фронте каких-либо существенных изменений не произошло.</w:t>
      </w:r>
    </w:p>
    <w:p w14:paraId="168A56C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апреля уничтожено 14 самолётов противника. Наши потери — 5 самолётов.</w:t>
      </w:r>
    </w:p>
    <w:p w14:paraId="5430DDB9"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апреля частями нашей авиации уничтожено или повреждено свыше 50 немецких автомашин с войсками и грузами, 15 подвод с боеприпасами, 16 полевых и зенитных орудий, 3 зенитно-пулемётных точки, 20 миномётов, рассеяно и частью уничтожено до роты пехоты противника.</w:t>
      </w:r>
    </w:p>
    <w:p w14:paraId="71B6E79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в течение дня заняла населённый пункт и захватила ряд вражеских блиндажей и окопов. На поле боя осталось свыше 200 убитых немецких солдат и офицеров. Советские артиллеристы прямой наводкой подбили немецкий танк и уничтожили 3 орудия и 3 крупнокалиберных пулемёта. На другом участке фронта наши бойцы внезапным ударом выбили гитлеровцев из укреплённого района и захватили 14 немецких пулемётов, 2 миномёта, много винтовок, радиостанцию и другое военное имущество. Противник оставил сотни убитых и раненых.</w:t>
      </w:r>
    </w:p>
    <w:p w14:paraId="10DF361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которым командует тов. Павлов (Северо-Западный фронт), огнём из миномётов, пулемётов и винтовок отбило контратаку немцев с большими для них потерями. Поле боя усеяно трупами гитлеровских солдат и офицеров. Наши батареи в этот день разгромили вражеский штаб, взорвали склад боеприпасов, уничтожили несколько десятков немецких повозок и автомашин с грузами. На другом участке отряд красноармейцев выбил противника из леса, в котором он пытался накопить свои силы для атаки. Бойцы при этом уничтожили 27 вражеских ДЗОТов, 2 пушки и захватили 3 пулемёта, 180 винтовок, миномёт и другое военное снаряжение.</w:t>
      </w:r>
    </w:p>
    <w:p w14:paraId="5E2BE17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Большой урон наносят врагу снайперы части, где командиром тов. Беззубов. Красноармеец Чухряев за три месяца уничтожил 99 немецких солдат и офицеров, боец Гребенюк — 45, снайпер Прохоров— 30, сержант Афанасьев — 34 немецко-фашистских захватчика.</w:t>
      </w:r>
    </w:p>
    <w:p w14:paraId="5475270F"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четыре дня зенитчики батареи старшего лейтенанта Гоголева (Западный фронт) сбили 4 немецких бомбардировщика.</w:t>
      </w:r>
    </w:p>
    <w:p w14:paraId="2D685752"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К., действующий в оккупированных немцами районах Смоленской области, в одном бою с гитлеровцами уничтожил 86 немецких солдат иофицеров и захватил станковый пулемёт, 19 винтовок, 7 револьверов и походную кухню.</w:t>
      </w:r>
    </w:p>
    <w:p w14:paraId="16EABBB5"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захватили доклад врача 1 батальона 391 полка 170 немецкой пехотной дивизии дивизионному врачу. В докладе говорится: «...Большие потери 1 батальона привели к тому, что из офицеров, унтер-офицеров и солдат, участвовавших в восточном походе с самого начала, остались лишь единицы. Батальон за последнее время понёс особенно кровавые потери. У солдат установлено значительное похудание. Много больных катаром желудка. Широко распространена чесотка, экзема и очень большая вшивость. Моральное состояние солдат сильно пострадало вследствие боёв с тяжёлыми потерями. Наступило отупение и апатия по отношению ко всем событиям...».</w:t>
      </w:r>
    </w:p>
    <w:p w14:paraId="462FDD34"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унтер-офицера Ойгена найдено неотправленное письмо на родину. Письмо отражает упадочнические настроения немецких солдат. Вот что писал Ойген своим родным: «...Напишу ли я вам ещё одно письмо — не знаю... Русские захватили много пленных... Не верится мне, что я выйду отсюда с целыми костями. Моё завещание вы, надеюсь, положили в безопасное место. Пусть Эльза и мама всё унаследуют. Русские самолёты, как сумасшедшие, кружатся над нашими головами, и я удивляюсь, что меня до сих пор не настигла пуля, не поразил осколок снаряда...».</w:t>
      </w:r>
    </w:p>
    <w:p w14:paraId="3545F48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Датские патриоты усиливают своё сопротивление немецким оккупантам. На заводах и фабриках, выполняющих заказы германской армии, в марте произошло свыше 50пожаров. В огне погибло много различного военного снаряжения, консервов, спирта.</w:t>
      </w:r>
    </w:p>
    <w:p w14:paraId="57C384D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Население Латвии в результате хозяйничанья немцев обречено на голод и лишения. Гитлеровцы, как саранча, уничтожили и растащили национальные ценности и личное имущество жителей. Всё вывезено в Германию. Сейчас немцы пытаются отнять у крестьян последнее зерно, оставленное для посевов. Однако, как сообщило 18 апреля немецкое радио, «поставки хлеба и зерна из Латвии до сих пор не дали желаемых результатов». Латвийские крестьяне оказывают упорное сопротивление оккупантам, пряча хлеб в ямах. Гитлеровцы производят повальные обыски в деревняхи хуторах. Сотни крестьян арестованы и отправлены в концлагеря.» (15104).</w:t>
      </w:r>
    </w:p>
    <w:p w14:paraId="02CBE7C1"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63867AB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застрелился тяжело раненый и окруженный под Вязьмой советский генерал Михаил Ефремов (4962).</w:t>
      </w:r>
    </w:p>
    <w:p w14:paraId="391E2FF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23E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 апреля 1942 ТБ-3 челночными рейсами с аэродрома Монино доставляли в район Демянска войскам СЗФ военные грузы и продовольствие. Сбрасывали с парашютами с 1500-200 м и без парашютов с 20-50 м. Потом садились на аэродроме подскока в Ям-Хотилово и бросали снова. Отдельные экипажи делали до 3 рейсов за ночь. Немцы тоже снабжали своих по воздуху и использовали аэродром у с Глебовщина. Разбомбили его также с ТБ-3 (1859).</w:t>
      </w:r>
    </w:p>
    <w:p w14:paraId="7AC8F5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CD7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в Мурманск прибыли пять судов из каравана PQ-14 (4476).</w:t>
      </w:r>
    </w:p>
    <w:p w14:paraId="5827ED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D26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г. вышел ПРИКАЗ НКО №0296 О СОКРАЩЕНИИ ШТАТОВ ТЫЛОВЫХ ЧАСТЕЙ И УЧРЕЖДЕНИЙ И О ЗАМЕНЕ ОТДЕЛЬНЫХ ДОЛЖНОСТЕЙ В ВОЙСКОВЫХ ЧАСТЯХ И УЧРЕЖДЕНИЯХ КРАСНОЙ АРМИИ ВОЕННОСЛУЖАЩИХ МУЖЧИН ЖЕНЩИНАМИ</w:t>
      </w:r>
    </w:p>
    <w:p w14:paraId="097201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высвобождения людских ресурсов для укомплектования боевых частей приказываю к 1.05.1942г.:</w:t>
      </w:r>
    </w:p>
    <w:p w14:paraId="75A318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Все тыловые части и учреждения — интендантские, продовольственные, санитарные, ветеринарные, артиллерийские и прочие тыловые учреждения, сформированные решением военных советов фронтов (округов) и армий без моего утверждения или без утверждения моих заместителей, расформировать.</w:t>
      </w:r>
    </w:p>
    <w:p w14:paraId="0CDF61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Содержащийся сверх штата личный состав войсковых частей в тыловых учреждениях немедленно откомандировать: годный к строевой службе в боевые части и остальной в тыловые подразделения строевых частей.</w:t>
      </w:r>
    </w:p>
    <w:p w14:paraId="70B5DC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Расформировать интендантские и продовольственные склады согласно прилагаемому перечню (приложение № </w:t>
      </w:r>
      <w:proofErr w:type="gramStart"/>
      <w:r w:rsidRPr="008127F8">
        <w:rPr>
          <w:rFonts w:ascii="Times New Roman" w:hAnsi="Times New Roman"/>
          <w:color w:val="000000" w:themeColor="text1"/>
          <w:sz w:val="16"/>
          <w:szCs w:val="16"/>
        </w:rPr>
        <w:t>1)*</w:t>
      </w:r>
      <w:proofErr w:type="gramEnd"/>
      <w:r w:rsidRPr="008127F8">
        <w:rPr>
          <w:rFonts w:ascii="Times New Roman" w:hAnsi="Times New Roman"/>
          <w:color w:val="000000" w:themeColor="text1"/>
          <w:sz w:val="16"/>
          <w:szCs w:val="16"/>
        </w:rPr>
        <w:t>.</w:t>
      </w:r>
    </w:p>
    <w:p w14:paraId="0BD0DF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 состава гвардейских корпусов исключить корпусные санитарные учреждения:</w:t>
      </w:r>
    </w:p>
    <w:p w14:paraId="670993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один полевой подвижной госпиталь (из двух);</w:t>
      </w:r>
    </w:p>
    <w:p w14:paraId="755A01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отдельную конно-санитарную роту;</w:t>
      </w:r>
    </w:p>
    <w:p w14:paraId="18F79D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управление головного отделения эвакоприемника;</w:t>
      </w:r>
    </w:p>
    <w:p w14:paraId="6E59A5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эвакоприемник;</w:t>
      </w:r>
    </w:p>
    <w:p w14:paraId="0034D0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обмывочный дезинфекционный взвод; е) полевой прачечный отряд;</w:t>
      </w:r>
    </w:p>
    <w:p w14:paraId="05421A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ж) подвижную санитарно-эпидемическую лабораторию. Корпуса перевести на обслуживание армейскими санитарными учреждениями.</w:t>
      </w:r>
    </w:p>
    <w:p w14:paraId="540B20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Сократить штаты обслуживающих и тыловых частей и учреждений Красной Армии согласно прилагаемому перечню (приложение № 2).</w:t>
      </w:r>
    </w:p>
    <w:p w14:paraId="49F2C0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Заменить военнослужащих мужчин женщинами по вольному найму в войсковых частях и учреждениях на должностях согласно перечню (приложение № 3).</w:t>
      </w:r>
    </w:p>
    <w:p w14:paraId="00C021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Заменить в тыловых учреждениях стрелковых войск, укрепленных районов, политических учреждениях Красной Армии военнослужащих мужчин женщинами с зачислением их в кадры Красной Армии на должностях согласно перечню (приложение № 4).</w:t>
      </w:r>
    </w:p>
    <w:p w14:paraId="65D107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Замену военнослужащих мужчин женщинами провести 15.5.1942 г.</w:t>
      </w:r>
    </w:p>
    <w:p w14:paraId="1F0A83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Высвобождающийся личный состав военнослужащих обратить на укомплектование стрелковых дивизий, стрелковых бригад, танковых бригад</w:t>
      </w:r>
    </w:p>
    <w:p w14:paraId="71538D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и артиллерийских полков.</w:t>
      </w:r>
    </w:p>
    <w:p w14:paraId="2D6D1A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СССР И. СТАЛИН </w:t>
      </w:r>
      <w:r w:rsidRPr="008127F8">
        <w:rPr>
          <w:rFonts w:ascii="Times New Roman" w:hAnsi="Times New Roman"/>
          <w:color w:val="000000" w:themeColor="text1"/>
          <w:sz w:val="16"/>
          <w:szCs w:val="16"/>
        </w:rPr>
        <w:t>(9844).</w:t>
      </w:r>
    </w:p>
    <w:p w14:paraId="4D9F79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7F4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г. вышел ПРИКАЗ НКО №0297 О МОБИЛИЗАЦИИ В ВВС 40000 ЖЕНЩИН ДЛЯ ЗАМЕНЫ КРАСНОАРМЕЙЦЕВ-МУЖЧИН</w:t>
      </w:r>
    </w:p>
    <w:p w14:paraId="03F929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за № ГОКО 1618сс от 18 апреля 1942 г. в Военные воздушные силы мобилизуется 40000 женщин для замены красноармейцев.</w:t>
      </w:r>
    </w:p>
    <w:p w14:paraId="08AB8B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380887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Призываемых женщин направить в части ВВС Красной Армии для замены красноармейцев и младших командиров следующих специальностей:</w:t>
      </w:r>
    </w:p>
    <w:p w14:paraId="3A474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бодистов, эстистов, морзистов, телефонистов, радистов, телеграфистов, экспедиторов и других специалистов связи, требующих специальной подготовки — всего 11 000 человек;</w:t>
      </w:r>
    </w:p>
    <w:p w14:paraId="5AC409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шоферов (кроме спецавтотранспорта), трактористов, стрелков воору-женцев (красноармейцев для чистки оружия и набивки патронов) требующих специальной подготовки — всего 14000 человек;</w:t>
      </w:r>
    </w:p>
    <w:p w14:paraId="2DBEA4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зав. складов, пом. зав. складов, кладовщиков, завделопроизводством, делопроизводителей, писарей, зав. столовой, поваров, зав. библиотекой, бухгалтеров, счетоводов и других специалистов — административно-хозяйственной службы — всего 15000 человек.</w:t>
      </w:r>
    </w:p>
    <w:p w14:paraId="05BB26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Командующему ВВС Красной Армии в период с 25 апреля по 1 августа 1942 г. заменить:</w:t>
      </w:r>
    </w:p>
    <w:p w14:paraId="77B6BF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15 мая 1942 года должности мужчин, указанные в пункте 1“в” в числе — 15 000 человек;</w:t>
      </w:r>
    </w:p>
    <w:p w14:paraId="38DA03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1 июня 1942 года должности мужчин стрелков вооруженцев (красноармейцев для чистки оружия и набивки патронов) в числе 5 000 человек.</w:t>
      </w:r>
    </w:p>
    <w:p w14:paraId="1EC13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Главупраформа Красной Армии к 1 июня 1942 года подготовить и передать в Военные воздушные силы Красной Армии по заявке командующего ВВС Красной Армии — 9 000 человек женщин шоферов и трактористок.</w:t>
      </w:r>
    </w:p>
    <w:p w14:paraId="761055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Главного управления связи Красной Армии к 1 августа 1942 года подготовить и передать в Военные воздушные силы Красной Армии по заявке командующего ВВС Красной Армии — 11 000 человек женщин бодистов, эстистов, морзистов, телефонистов, радистов, телеграфистов, экспедиторов и других специалистов связи.</w:t>
      </w:r>
    </w:p>
    <w:p w14:paraId="6BA458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 1 августа 1942 года командующему ВВС Красной Армии закончить замену должностей мужчин, указанных в пункте 1 -м в количестве — 40 000 человек.</w:t>
      </w:r>
    </w:p>
    <w:p w14:paraId="1AE389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Освобождающихся красноармейцев и младших командиров из частей ВВС, находящихся на фронте, после замены женщинами, использовать на укомплектование наземных и авиачастей фронта, распоряжением командующих фронтов, а находящихся в военных округах — по плану Главупраформа.</w:t>
      </w:r>
    </w:p>
    <w:p w14:paraId="261368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Мобилизованных женщин, назначаемых на перечисленные в пункте 1 должности в авиачастях, входящих в состав действующей армии Забфронта, ДВфронта и ЗакВО обеспечивать всеми видами довольствия наравне с военнослужащими и распространить на них действие указа Президиума Верховного Совета Союза ССР от 26.6.1941 года* и постановление Совнаркома СССР от 16.7.1940 года № 1269.</w:t>
      </w:r>
    </w:p>
    <w:p w14:paraId="51AF3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Главному интенданту Красной Армии выделить к 10 мая 1942 года 40 000 комплектов обмундирования для мобилизованных женщин.</w:t>
      </w:r>
    </w:p>
    <w:p w14:paraId="4AE67C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Начальнику Главного продовольственного управления Красной Армии выделить 25 000 пайков на период обучения женщин.</w:t>
      </w:r>
    </w:p>
    <w:p w14:paraId="074E42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Командующему ВВС Красной Армии о ходе замены крайноармей-цев мужчин на женщин докладывать мне 15 мая, 1 июня и 1 августа 1942 года.</w:t>
      </w:r>
    </w:p>
    <w:p w14:paraId="604F73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И. СТАЛИН </w:t>
      </w:r>
      <w:r w:rsidRPr="008127F8">
        <w:rPr>
          <w:rFonts w:ascii="Times New Roman" w:hAnsi="Times New Roman"/>
          <w:color w:val="000000" w:themeColor="text1"/>
          <w:sz w:val="16"/>
          <w:szCs w:val="16"/>
        </w:rPr>
        <w:t>(9844).</w:t>
      </w:r>
    </w:p>
    <w:p w14:paraId="63158E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7C9F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90BCD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811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в газете «Горьковская коммуна» была опубликована статья начальника штаба МПВО Горького майора С. Антропова «Беречь город от воздушных нападений врага». В ней он призывал население города тщательно соблюдать светомаскировку, упирая на то, что даже лучики света, проникающие через окна и двери, могут создать над городом световое зарево. «Наибольшая эффективность светомаскировки будет достигнута лишь тогда, когда не только все здания города и его окраин, но и прилегающие к нему населенные пункты в радиусе нескольких десятков километров будут погружены в абсолютную темноту. В этом случае, если даже отдельные самолеты противника проскользнут незамеченными нашей истребительной авиацией и прорвутся сквозь огонь зенитной артиллерии, им не удастся осуществить прицельное бомбометание по наиболее важным объектам города. Наша задача – немедленно осуществить надлежащую светомаскировку города. Всю ночь город и прилегающие к нему населенные пункты должны быть погружены в полную темноту» (11774).</w:t>
      </w:r>
    </w:p>
    <w:p w14:paraId="601300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FCAF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апреля 1942 г. приказом Наркомата внутренних дел СССР было создано Проектно-изыскательское управление гидротехнических работ. С 15 ноября 1947 г. именовалось Проектно-изыскательским управлением гидротехнических работ "Гидропроект". Постановлением Совета Министров СССР от 13 марта 1950 г. на его базе создано Управление проектирования, изысканий и исследований для строительства гидротехнических сооружений "Гидропроект". </w:t>
      </w:r>
    </w:p>
    <w:p w14:paraId="1FE49F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Управление находилось в ведении: </w:t>
      </w:r>
    </w:p>
    <w:p w14:paraId="20BC7D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Наркомата-Министерства внутренних дел СССР (1942 - 1950). </w:t>
      </w:r>
    </w:p>
    <w:p w14:paraId="7A25DD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Управление имело Куйбышевский филиал. </w:t>
      </w:r>
    </w:p>
    <w:p w14:paraId="19A001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Управление занималось проектно-изыскательскими работами для строительства гидроузлов, гидростанций, ирригационных систем, восстановления каналов и портов. </w:t>
      </w:r>
    </w:p>
    <w:p w14:paraId="2A7935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проектирования, изысканий и исследований для строительства гидротехнических сооружений "Гидропроект" создано постановлением Совета Министров СССР от 13 марта 1950 г. на базе Проектно-изыскательского управления гидротехнических работ "Гидропроект". Постановлением Совета Министров СССР от 28 марта 1957 г. управление переименовано во Всесоюзный проектно-изыскательский и научно-исследовательский институт "Гидропроект". 4 апреля 1957 г. приказом Министерства электростанций СССР институту присвоено имя С. Я. Жука, первого директора института, в 1961 г. Указом Президиума Верховного Совета СССР институт был награжден орденом Ленина. В июне 1962 г. с институтом был объединен Всесоюзный государственный проектный институт "Гидроэнергопроект" (12102).</w:t>
      </w:r>
    </w:p>
    <w:p w14:paraId="06F81440" w14:textId="77777777" w:rsidR="004759C1" w:rsidRPr="008127F8" w:rsidRDefault="004759C1"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2D85E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B761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4A1FD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1942 американский авианосец ''Уосп'' перебросил на остров Мальту 46 истребителей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12B35D4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F6503"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19 апреля в 1942 году Три года спустя после гибели в гавани Гавра океанского лайнера «Париж» история почти </w:t>
      </w:r>
      <w:proofErr w:type="gramStart"/>
      <w:r w:rsidRPr="008127F8">
        <w:rPr>
          <w:rFonts w:ascii="Times New Roman" w:hAnsi="Times New Roman"/>
          <w:color w:val="000000" w:themeColor="text1"/>
          <w:sz w:val="16"/>
          <w:szCs w:val="16"/>
        </w:rPr>
        <w:t>точь в точь</w:t>
      </w:r>
      <w:proofErr w:type="gramEnd"/>
      <w:r w:rsidRPr="008127F8">
        <w:rPr>
          <w:rFonts w:ascii="Times New Roman" w:hAnsi="Times New Roman"/>
          <w:color w:val="000000" w:themeColor="text1"/>
          <w:sz w:val="16"/>
          <w:szCs w:val="16"/>
        </w:rPr>
        <w:t xml:space="preserve"> повторилась с гордостью французского флота пароходом «Нормандия». Правда, уже шла война, корабль был реквизирован американцами, которые переименовали его в «Лафайетт» и стали переоборудовать для транспортировки войск. В феврале, когда работы шли полным ходом, неожиданно вспыхнул пожар, который все стали усердно тушить и пустили в результате корабль на дно. Казалось бы, точка поставлена. Но кому что суждено, того не миновать. Специалисты пришли к мнению, что судно можно поднять. 19 апреля в уже поднятом наверх корабле вновь возник пожар, который за шесть часов нанес неисправимый ущерб. Останки отбуксировали и после войны пустили на слом (15104).</w:t>
      </w:r>
    </w:p>
    <w:p w14:paraId="17A2D83E"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5D4E862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87E93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F68B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20 апреля по 16 сентября 1942 в ОКБ С.В.И и на заводе 240 осуществлялось проектирование БШ с 2хАМ-38. Имея техническую готовность по проектированию 75%, по изготовлению макета 80% и модели 100% работа была прекращена вследствие изменения темы с 2-х моторного на отдномоторный штурмовик с АМ-42 (2212,64).</w:t>
      </w:r>
    </w:p>
    <w:p w14:paraId="7F4935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D8328"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20 апреля 1942 генерал-лейтенант Пет</w:t>
      </w:r>
      <w:r w:rsidRPr="008127F8">
        <w:rPr>
          <w:rFonts w:ascii="Times New Roman" w:hAnsi="Times New Roman" w:cs="Times New Roman"/>
          <w:color w:val="000000" w:themeColor="text1"/>
          <w:sz w:val="16"/>
          <w:szCs w:val="16"/>
        </w:rPr>
        <w:softHyphen/>
        <w:t>ров представил главному инженеру ВВС КА генерал-лейтенанту Репину «Акт по ре</w:t>
      </w:r>
      <w:r w:rsidRPr="008127F8">
        <w:rPr>
          <w:rFonts w:ascii="Times New Roman" w:hAnsi="Times New Roman" w:cs="Times New Roman"/>
          <w:color w:val="000000" w:themeColor="text1"/>
          <w:sz w:val="16"/>
          <w:szCs w:val="16"/>
        </w:rPr>
        <w:softHyphen/>
        <w:t>зультатам государственных испытаний совместно с заводом №289 одноместного бронированного штурмовика Су-6 с опыт</w:t>
      </w:r>
      <w:r w:rsidRPr="008127F8">
        <w:rPr>
          <w:rFonts w:ascii="Times New Roman" w:hAnsi="Times New Roman" w:cs="Times New Roman"/>
          <w:color w:val="000000" w:themeColor="text1"/>
          <w:sz w:val="16"/>
          <w:szCs w:val="16"/>
        </w:rPr>
        <w:softHyphen/>
        <w:t>ным мотором М-71».</w:t>
      </w:r>
    </w:p>
    <w:p w14:paraId="221D5645"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Из материалов акта следовало, что в общей сложности по программе совмест</w:t>
      </w:r>
      <w:r w:rsidRPr="008127F8">
        <w:rPr>
          <w:rFonts w:ascii="Times New Roman" w:hAnsi="Times New Roman" w:cs="Times New Roman"/>
          <w:color w:val="000000" w:themeColor="text1"/>
          <w:sz w:val="16"/>
          <w:szCs w:val="16"/>
        </w:rPr>
        <w:softHyphen/>
        <w:t>ных государственных испытаний было выполнено 32 полета с суммарным нале</w:t>
      </w:r>
      <w:r w:rsidRPr="008127F8">
        <w:rPr>
          <w:rFonts w:ascii="Times New Roman" w:hAnsi="Times New Roman" w:cs="Times New Roman"/>
          <w:color w:val="000000" w:themeColor="text1"/>
          <w:sz w:val="16"/>
          <w:szCs w:val="16"/>
        </w:rPr>
        <w:softHyphen/>
        <w:t>том 15 ч 30 мин. Мотор М-71 зав. №023 наработал 27 ч 17 мин, мотор зав. №033 - 10 ч 45 мин.</w:t>
      </w:r>
    </w:p>
    <w:p w14:paraId="5A836C82"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Летные данные, маневренные и пи</w:t>
      </w:r>
      <w:r w:rsidRPr="008127F8">
        <w:rPr>
          <w:rFonts w:ascii="Times New Roman" w:hAnsi="Times New Roman" w:cs="Times New Roman"/>
          <w:color w:val="000000" w:themeColor="text1"/>
          <w:sz w:val="16"/>
          <w:szCs w:val="16"/>
        </w:rPr>
        <w:softHyphen/>
        <w:t>лотажные качества Су-6 оказались зна</w:t>
      </w:r>
      <w:r w:rsidRPr="008127F8">
        <w:rPr>
          <w:rFonts w:ascii="Times New Roman" w:hAnsi="Times New Roman" w:cs="Times New Roman"/>
          <w:color w:val="000000" w:themeColor="text1"/>
          <w:sz w:val="16"/>
          <w:szCs w:val="16"/>
        </w:rPr>
        <w:softHyphen/>
        <w:t>чительно выше, чем у серийного штурмо</w:t>
      </w:r>
      <w:r w:rsidRPr="008127F8">
        <w:rPr>
          <w:rFonts w:ascii="Times New Roman" w:hAnsi="Times New Roman" w:cs="Times New Roman"/>
          <w:color w:val="000000" w:themeColor="text1"/>
          <w:sz w:val="16"/>
          <w:szCs w:val="16"/>
        </w:rPr>
        <w:softHyphen/>
        <w:t>вика Ил-2 АМ-38.</w:t>
      </w:r>
    </w:p>
    <w:p w14:paraId="7EE69017"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С нормальной боевой нагрузкой (10 РС-132 (!), 200 кг бомб, боекомплект к пушкам и пулеметам) Су-6 на номиналь</w:t>
      </w:r>
      <w:r w:rsidRPr="008127F8">
        <w:rPr>
          <w:rFonts w:ascii="Times New Roman" w:hAnsi="Times New Roman" w:cs="Times New Roman"/>
          <w:color w:val="000000" w:themeColor="text1"/>
          <w:sz w:val="16"/>
          <w:szCs w:val="16"/>
        </w:rPr>
        <w:softHyphen/>
        <w:t>ном режиме работы мотора развивал ско</w:t>
      </w:r>
      <w:r w:rsidRPr="008127F8">
        <w:rPr>
          <w:rFonts w:ascii="Times New Roman" w:hAnsi="Times New Roman" w:cs="Times New Roman"/>
          <w:color w:val="000000" w:themeColor="text1"/>
          <w:sz w:val="16"/>
          <w:szCs w:val="16"/>
        </w:rPr>
        <w:softHyphen/>
        <w:t>рость 445 км/ч - у земли, и 491 км/ч - на высоте 2500 м. При форсировании мотора («5-минутный режим форсажа») скорость у земли достигала 496 км/ч.</w:t>
      </w:r>
    </w:p>
    <w:p w14:paraId="6E32AC87"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 бомб и реактивных снарядов (то есть, после выполнения боевого задания) самолет показывал максимальную скоростьуземли 462 км/ч - на номиналь</w:t>
      </w:r>
      <w:r w:rsidRPr="008127F8">
        <w:rPr>
          <w:rFonts w:ascii="Times New Roman" w:hAnsi="Times New Roman"/>
          <w:color w:val="000000" w:themeColor="text1"/>
          <w:sz w:val="16"/>
          <w:szCs w:val="16"/>
        </w:rPr>
        <w:softHyphen/>
        <w:t>ной мощности мотора и 488 км/ч - «на 10-ти минутном форсаже». При «5-ти ми</w:t>
      </w:r>
      <w:r w:rsidRPr="008127F8">
        <w:rPr>
          <w:rFonts w:ascii="Times New Roman" w:hAnsi="Times New Roman"/>
          <w:color w:val="000000" w:themeColor="text1"/>
          <w:sz w:val="16"/>
          <w:szCs w:val="16"/>
        </w:rPr>
        <w:softHyphen/>
        <w:t>нутном форсаже» скорость оценивалась в 513 км/ч.</w:t>
      </w:r>
    </w:p>
    <w:p w14:paraId="29119FB8"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Отмечалось, что полученные скоро</w:t>
      </w:r>
      <w:r w:rsidRPr="008127F8">
        <w:rPr>
          <w:rFonts w:ascii="Times New Roman" w:hAnsi="Times New Roman" w:cs="Times New Roman"/>
          <w:color w:val="000000" w:themeColor="text1"/>
          <w:sz w:val="16"/>
          <w:szCs w:val="16"/>
        </w:rPr>
        <w:softHyphen/>
        <w:t>сти «делают самолет Су-6 трудно дося</w:t>
      </w:r>
      <w:r w:rsidRPr="008127F8">
        <w:rPr>
          <w:rFonts w:ascii="Times New Roman" w:hAnsi="Times New Roman" w:cs="Times New Roman"/>
          <w:color w:val="000000" w:themeColor="text1"/>
          <w:sz w:val="16"/>
          <w:szCs w:val="16"/>
        </w:rPr>
        <w:softHyphen/>
        <w:t>гаемым для истребителей противника, имеющих незначительное преимущество в скорости».</w:t>
      </w:r>
    </w:p>
    <w:p w14:paraId="2429263E"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Время подъема на высоту 1000 м не превышало 1,7 мин. Вираж на высоте 1000 м выполнялся за 24-25 с. Посадоч</w:t>
      </w:r>
      <w:r w:rsidRPr="008127F8">
        <w:rPr>
          <w:rFonts w:ascii="Times New Roman" w:hAnsi="Times New Roman" w:cs="Times New Roman"/>
          <w:color w:val="000000" w:themeColor="text1"/>
          <w:sz w:val="16"/>
          <w:szCs w:val="16"/>
        </w:rPr>
        <w:softHyphen/>
        <w:t>ная скорость - 136 км/ч. Разбег - 520 м.</w:t>
      </w:r>
    </w:p>
    <w:p w14:paraId="59ACEE8A"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Скоростная дальность полета Су-6 на высоте 670 м и скорости 412 км/ч с под</w:t>
      </w:r>
      <w:r w:rsidRPr="008127F8">
        <w:rPr>
          <w:rFonts w:ascii="Times New Roman" w:hAnsi="Times New Roman" w:cs="Times New Roman"/>
          <w:color w:val="000000" w:themeColor="text1"/>
          <w:sz w:val="16"/>
          <w:szCs w:val="16"/>
        </w:rPr>
        <w:softHyphen/>
        <w:t xml:space="preserve">вешенными 10 РС-132 составляла 450 км, тогда как дальность полета Ил-2 (без </w:t>
      </w:r>
      <w:r w:rsidRPr="008127F8">
        <w:rPr>
          <w:rFonts w:ascii="Times New Roman" w:hAnsi="Times New Roman" w:cs="Times New Roman"/>
          <w:color w:val="000000" w:themeColor="text1"/>
          <w:sz w:val="16"/>
          <w:szCs w:val="16"/>
          <w:lang w:val="en-US"/>
        </w:rPr>
        <w:t>PC</w:t>
      </w:r>
      <w:r w:rsidRPr="008127F8">
        <w:rPr>
          <w:rFonts w:ascii="Times New Roman" w:hAnsi="Times New Roman" w:cs="Times New Roman"/>
          <w:color w:val="000000" w:themeColor="text1"/>
          <w:sz w:val="16"/>
          <w:szCs w:val="16"/>
        </w:rPr>
        <w:t>) на высоте 570 м и скорости полета 365 км/ч достигала 608 км. Требовалось поднять дальность полета хотя бы до уровня Ил-2.</w:t>
      </w:r>
    </w:p>
    <w:p w14:paraId="5A48120D" w14:textId="77777777" w:rsidR="0037361C" w:rsidRPr="008127F8" w:rsidRDefault="0037361C" w:rsidP="001E0A84">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Style w:val="28pt100"/>
          <w:rFonts w:ascii="Times New Roman" w:hAnsi="Times New Roman" w:cs="Times New Roman"/>
          <w:i w:val="0"/>
          <w:iCs w:val="0"/>
          <w:color w:val="000000" w:themeColor="text1"/>
        </w:rPr>
        <w:t>По технике пилотирования штурмо</w:t>
      </w:r>
      <w:r w:rsidRPr="008127F8">
        <w:rPr>
          <w:rStyle w:val="28pt100"/>
          <w:rFonts w:ascii="Times New Roman" w:hAnsi="Times New Roman" w:cs="Times New Roman"/>
          <w:i w:val="0"/>
          <w:iCs w:val="0"/>
          <w:color w:val="000000" w:themeColor="text1"/>
        </w:rPr>
        <w:softHyphen/>
        <w:t>вик был доступен летчикам средней ква</w:t>
      </w:r>
      <w:r w:rsidRPr="008127F8">
        <w:rPr>
          <w:rStyle w:val="28pt100"/>
          <w:rFonts w:ascii="Times New Roman" w:hAnsi="Times New Roman" w:cs="Times New Roman"/>
          <w:i w:val="0"/>
          <w:iCs w:val="0"/>
          <w:color w:val="000000" w:themeColor="text1"/>
        </w:rPr>
        <w:softHyphen/>
        <w:t>лификации. Во всем диапазоне скоро</w:t>
      </w:r>
      <w:r w:rsidRPr="008127F8">
        <w:rPr>
          <w:rStyle w:val="28pt100"/>
          <w:rFonts w:ascii="Times New Roman" w:hAnsi="Times New Roman" w:cs="Times New Roman"/>
          <w:i w:val="0"/>
          <w:iCs w:val="0"/>
          <w:color w:val="000000" w:themeColor="text1"/>
        </w:rPr>
        <w:softHyphen/>
        <w:t>стей самолет был устойчив по всем трем осям. Самолет допускал</w:t>
      </w:r>
      <w:r w:rsidRPr="008127F8">
        <w:rPr>
          <w:rFonts w:ascii="Times New Roman" w:hAnsi="Times New Roman" w:cs="Times New Roman"/>
          <w:color w:val="000000" w:themeColor="text1"/>
          <w:sz w:val="16"/>
          <w:szCs w:val="16"/>
        </w:rPr>
        <w:t xml:space="preserve"> «полет с бро</w:t>
      </w:r>
      <w:r w:rsidRPr="008127F8">
        <w:rPr>
          <w:rFonts w:ascii="Times New Roman" w:hAnsi="Times New Roman" w:cs="Times New Roman"/>
          <w:color w:val="000000" w:themeColor="text1"/>
          <w:sz w:val="16"/>
          <w:szCs w:val="16"/>
        </w:rPr>
        <w:softHyphen/>
        <w:t>шенной ручкой управления на всех скоро</w:t>
      </w:r>
      <w:r w:rsidRPr="008127F8">
        <w:rPr>
          <w:rFonts w:ascii="Times New Roman" w:hAnsi="Times New Roman" w:cs="Times New Roman"/>
          <w:color w:val="000000" w:themeColor="text1"/>
          <w:sz w:val="16"/>
          <w:szCs w:val="16"/>
        </w:rPr>
        <w:softHyphen/>
        <w:t>стях горизонтального полета и на всем диапазоне рабочей центровки, в то время как на Ил-2 полет с брошенной ручкой не</w:t>
      </w:r>
      <w:r w:rsidRPr="008127F8">
        <w:rPr>
          <w:rFonts w:ascii="Times New Roman" w:hAnsi="Times New Roman" w:cs="Times New Roman"/>
          <w:color w:val="000000" w:themeColor="text1"/>
          <w:sz w:val="16"/>
          <w:szCs w:val="16"/>
        </w:rPr>
        <w:softHyphen/>
        <w:t>возможен». При полете на максимальной скорости с полетным весом 5250 кг на</w:t>
      </w:r>
      <w:r w:rsidRPr="008127F8">
        <w:rPr>
          <w:rFonts w:ascii="Times New Roman" w:hAnsi="Times New Roman" w:cs="Times New Roman"/>
          <w:color w:val="000000" w:themeColor="text1"/>
          <w:sz w:val="16"/>
          <w:szCs w:val="16"/>
        </w:rPr>
        <w:softHyphen/>
        <w:t>грузки на управление рулем высоты и эле</w:t>
      </w:r>
      <w:r w:rsidRPr="008127F8">
        <w:rPr>
          <w:rFonts w:ascii="Times New Roman" w:hAnsi="Times New Roman" w:cs="Times New Roman"/>
          <w:color w:val="000000" w:themeColor="text1"/>
          <w:sz w:val="16"/>
          <w:szCs w:val="16"/>
        </w:rPr>
        <w:softHyphen/>
        <w:t>ронами «превышали нагрузки на управ</w:t>
      </w:r>
      <w:r w:rsidRPr="008127F8">
        <w:rPr>
          <w:rFonts w:ascii="Times New Roman" w:hAnsi="Times New Roman" w:cs="Times New Roman"/>
          <w:color w:val="000000" w:themeColor="text1"/>
          <w:sz w:val="16"/>
          <w:szCs w:val="16"/>
        </w:rPr>
        <w:softHyphen/>
        <w:t xml:space="preserve">ление, имеющиеся /.../ на самолете Ил-2». </w:t>
      </w:r>
      <w:r w:rsidRPr="008127F8">
        <w:rPr>
          <w:rStyle w:val="28pt100"/>
          <w:rFonts w:ascii="Times New Roman" w:hAnsi="Times New Roman" w:cs="Times New Roman"/>
          <w:color w:val="000000" w:themeColor="text1"/>
        </w:rPr>
        <w:t>Тем не менее, по технике пилотирования Су-6 М-71 оценивался не сложнее само</w:t>
      </w:r>
      <w:r w:rsidRPr="008127F8">
        <w:rPr>
          <w:rStyle w:val="28pt100"/>
          <w:rFonts w:ascii="Times New Roman" w:hAnsi="Times New Roman" w:cs="Times New Roman"/>
          <w:color w:val="000000" w:themeColor="text1"/>
        </w:rPr>
        <w:softHyphen/>
        <w:t>лета Ил-2 АМ-38.</w:t>
      </w:r>
    </w:p>
    <w:p w14:paraId="19E96879"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Вираж выполнялся устойчиво. Опти</w:t>
      </w:r>
      <w:r w:rsidRPr="008127F8">
        <w:rPr>
          <w:rFonts w:ascii="Times New Roman" w:hAnsi="Times New Roman" w:cs="Times New Roman"/>
          <w:color w:val="000000" w:themeColor="text1"/>
          <w:sz w:val="16"/>
          <w:szCs w:val="16"/>
        </w:rPr>
        <w:softHyphen/>
        <w:t>мальной скоростью при выполнении ви</w:t>
      </w:r>
      <w:r w:rsidRPr="008127F8">
        <w:rPr>
          <w:rFonts w:ascii="Times New Roman" w:hAnsi="Times New Roman" w:cs="Times New Roman"/>
          <w:color w:val="000000" w:themeColor="text1"/>
          <w:sz w:val="16"/>
          <w:szCs w:val="16"/>
        </w:rPr>
        <w:softHyphen/>
        <w:t>ража или восьмерки с креном до 60° яв</w:t>
      </w:r>
      <w:r w:rsidRPr="008127F8">
        <w:rPr>
          <w:rFonts w:ascii="Times New Roman" w:hAnsi="Times New Roman" w:cs="Times New Roman"/>
          <w:color w:val="000000" w:themeColor="text1"/>
          <w:sz w:val="16"/>
          <w:szCs w:val="16"/>
        </w:rPr>
        <w:softHyphen/>
        <w:t>лялась скорость 310-320 км/ч по прибору.</w:t>
      </w:r>
    </w:p>
    <w:p w14:paraId="2A59A514"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Управляемость и маневренность само</w:t>
      </w:r>
      <w:r w:rsidRPr="008127F8">
        <w:rPr>
          <w:rFonts w:ascii="Times New Roman" w:hAnsi="Times New Roman" w:cs="Times New Roman"/>
          <w:color w:val="000000" w:themeColor="text1"/>
          <w:sz w:val="16"/>
          <w:szCs w:val="16"/>
        </w:rPr>
        <w:softHyphen/>
        <w:t>лета (как в горизонтальной, так и в верти</w:t>
      </w:r>
      <w:r w:rsidRPr="008127F8">
        <w:rPr>
          <w:rFonts w:ascii="Times New Roman" w:hAnsi="Times New Roman" w:cs="Times New Roman"/>
          <w:color w:val="000000" w:themeColor="text1"/>
          <w:sz w:val="16"/>
          <w:szCs w:val="16"/>
        </w:rPr>
        <w:softHyphen/>
        <w:t>кальной плоскости) были отличными. На</w:t>
      </w:r>
      <w:r w:rsidRPr="008127F8">
        <w:rPr>
          <w:rFonts w:ascii="Times New Roman" w:hAnsi="Times New Roman" w:cs="Times New Roman"/>
          <w:color w:val="000000" w:themeColor="text1"/>
          <w:sz w:val="16"/>
          <w:szCs w:val="16"/>
        </w:rPr>
        <w:softHyphen/>
        <w:t>личие автоматических предкрылков и щитков Шренка обеспечивало устойчи</w:t>
      </w:r>
      <w:r w:rsidRPr="008127F8">
        <w:rPr>
          <w:rFonts w:ascii="Times New Roman" w:hAnsi="Times New Roman" w:cs="Times New Roman"/>
          <w:color w:val="000000" w:themeColor="text1"/>
          <w:sz w:val="16"/>
          <w:szCs w:val="16"/>
        </w:rPr>
        <w:softHyphen/>
        <w:t>вое поведение самолета при больших углах атаки и хорошие взлетно-посадоч</w:t>
      </w:r>
      <w:r w:rsidRPr="008127F8">
        <w:rPr>
          <w:rFonts w:ascii="Times New Roman" w:hAnsi="Times New Roman" w:cs="Times New Roman"/>
          <w:color w:val="000000" w:themeColor="text1"/>
          <w:sz w:val="16"/>
          <w:szCs w:val="16"/>
        </w:rPr>
        <w:softHyphen/>
        <w:t>ные свойства.</w:t>
      </w:r>
    </w:p>
    <w:p w14:paraId="4C1EAFCE"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Вертикальная скорость с полной бо</w:t>
      </w:r>
      <w:r w:rsidRPr="008127F8">
        <w:rPr>
          <w:rFonts w:ascii="Times New Roman" w:hAnsi="Times New Roman" w:cs="Times New Roman"/>
          <w:color w:val="000000" w:themeColor="text1"/>
          <w:sz w:val="16"/>
          <w:szCs w:val="16"/>
        </w:rPr>
        <w:softHyphen/>
        <w:t>евой нагрузкой у земли равнялась 9,8 м/с. За боевой разворот самолет наби</w:t>
      </w:r>
      <w:r w:rsidRPr="008127F8">
        <w:rPr>
          <w:rFonts w:ascii="Times New Roman" w:hAnsi="Times New Roman" w:cs="Times New Roman"/>
          <w:color w:val="000000" w:themeColor="text1"/>
          <w:sz w:val="16"/>
          <w:szCs w:val="16"/>
        </w:rPr>
        <w:softHyphen/>
        <w:t>рал 600-700 м высоты. Серийные Ил-2 за боевой разворот могли набрать не более 300-350 м.</w:t>
      </w:r>
    </w:p>
    <w:p w14:paraId="504B4CE0"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Самолет устойчиво пикировал под углами до 40-45°. Стремления к переходу в пикирование под большими углами не проявлял. Скорость при пикировании са</w:t>
      </w:r>
      <w:r w:rsidRPr="008127F8">
        <w:rPr>
          <w:rFonts w:ascii="Times New Roman" w:hAnsi="Times New Roman" w:cs="Times New Roman"/>
          <w:color w:val="000000" w:themeColor="text1"/>
          <w:sz w:val="16"/>
          <w:szCs w:val="16"/>
        </w:rPr>
        <w:softHyphen/>
        <w:t>молет набирал довольно быстро. При пи</w:t>
      </w:r>
      <w:r w:rsidRPr="008127F8">
        <w:rPr>
          <w:rFonts w:ascii="Times New Roman" w:hAnsi="Times New Roman" w:cs="Times New Roman"/>
          <w:color w:val="000000" w:themeColor="text1"/>
          <w:sz w:val="16"/>
          <w:szCs w:val="16"/>
        </w:rPr>
        <w:softHyphen/>
        <w:t>кировании под углом 45° самолет на выводе терял 250-350 м высоты. Ско</w:t>
      </w:r>
      <w:r w:rsidRPr="008127F8">
        <w:rPr>
          <w:rFonts w:ascii="Times New Roman" w:hAnsi="Times New Roman" w:cs="Times New Roman"/>
          <w:color w:val="000000" w:themeColor="text1"/>
          <w:sz w:val="16"/>
          <w:szCs w:val="16"/>
        </w:rPr>
        <w:softHyphen/>
        <w:t>рость при выводе ограничивалась 480- 500 км/ч по прибору.</w:t>
      </w:r>
    </w:p>
    <w:p w14:paraId="73D0FB73"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Взлет и посадка были простыми, хотя и несколько сложнее, чем на Ил-2. При пробеге самолет вел себя устойчиво. Из- за большого лба мотора обзор летчику из кабины на рулежке был недостаточен, вследствие чего, руление приходилось производить змейкой. Обзор при полете оценивался удовлетворительно. Для улуч</w:t>
      </w:r>
      <w:r w:rsidRPr="008127F8">
        <w:rPr>
          <w:rFonts w:ascii="Times New Roman" w:hAnsi="Times New Roman" w:cs="Times New Roman"/>
          <w:color w:val="000000" w:themeColor="text1"/>
          <w:sz w:val="16"/>
          <w:szCs w:val="16"/>
        </w:rPr>
        <w:softHyphen/>
        <w:t>шения обзора рекомендовалось поднять на 45-50 мм сиденье летчика.</w:t>
      </w:r>
    </w:p>
    <w:p w14:paraId="334B4EF5"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ряду недостатков отмечалось отсут</w:t>
      </w:r>
      <w:r w:rsidRPr="008127F8">
        <w:rPr>
          <w:rFonts w:ascii="Times New Roman" w:hAnsi="Times New Roman" w:cs="Times New Roman"/>
          <w:color w:val="000000" w:themeColor="text1"/>
          <w:sz w:val="16"/>
          <w:szCs w:val="16"/>
        </w:rPr>
        <w:softHyphen/>
        <w:t>ствие бронезащиты агрегатов мотора, маслорадиаторов и трубопроводов. Предла</w:t>
      </w:r>
      <w:r w:rsidRPr="008127F8">
        <w:rPr>
          <w:rFonts w:ascii="Times New Roman" w:hAnsi="Times New Roman" w:cs="Times New Roman"/>
          <w:color w:val="000000" w:themeColor="text1"/>
          <w:sz w:val="16"/>
          <w:szCs w:val="16"/>
        </w:rPr>
        <w:softHyphen/>
        <w:t>галось изменить бронирование согласно схеме, утвержденной НИИ ВВС в январе 1942 г., в том числе, козырек сделать по типу Ил-2 (на Су-6 он выполнен из плек</w:t>
      </w:r>
      <w:r w:rsidRPr="008127F8">
        <w:rPr>
          <w:rFonts w:ascii="Times New Roman" w:hAnsi="Times New Roman" w:cs="Times New Roman"/>
          <w:color w:val="000000" w:themeColor="text1"/>
          <w:sz w:val="16"/>
          <w:szCs w:val="16"/>
        </w:rPr>
        <w:softHyphen/>
        <w:t>сигласа, а бронестекло устанавливалось внутри кабины), забронировать трубопро</w:t>
      </w:r>
      <w:r w:rsidRPr="008127F8">
        <w:rPr>
          <w:rFonts w:ascii="Times New Roman" w:hAnsi="Times New Roman" w:cs="Times New Roman"/>
          <w:color w:val="000000" w:themeColor="text1"/>
          <w:sz w:val="16"/>
          <w:szCs w:val="16"/>
        </w:rPr>
        <w:softHyphen/>
        <w:t>воды, идущие по центроплану к маслорадиаторам, и втулку воздушного винта спе</w:t>
      </w:r>
      <w:r w:rsidRPr="008127F8">
        <w:rPr>
          <w:rFonts w:ascii="Times New Roman" w:hAnsi="Times New Roman" w:cs="Times New Roman"/>
          <w:color w:val="000000" w:themeColor="text1"/>
          <w:sz w:val="16"/>
          <w:szCs w:val="16"/>
        </w:rPr>
        <w:softHyphen/>
        <w:t>реди, установить дублированное управле</w:t>
      </w:r>
      <w:r w:rsidRPr="008127F8">
        <w:rPr>
          <w:rFonts w:ascii="Times New Roman" w:hAnsi="Times New Roman" w:cs="Times New Roman"/>
          <w:color w:val="000000" w:themeColor="text1"/>
          <w:sz w:val="16"/>
          <w:szCs w:val="16"/>
        </w:rPr>
        <w:softHyphen/>
        <w:t>ние рулем высоты.</w:t>
      </w:r>
    </w:p>
    <w:p w14:paraId="6B20E14C"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Для аварийного выпуска шасси необ</w:t>
      </w:r>
      <w:r w:rsidRPr="008127F8">
        <w:rPr>
          <w:rFonts w:ascii="Times New Roman" w:hAnsi="Times New Roman" w:cs="Times New Roman"/>
          <w:color w:val="000000" w:themeColor="text1"/>
          <w:sz w:val="16"/>
          <w:szCs w:val="16"/>
        </w:rPr>
        <w:softHyphen/>
        <w:t>ходимо было сделать 150 двойных качков рукояткой гидравлической помпы, на что уходило 10 минут, тогда как аварийный выпуск шасси в воздухе должен был про</w:t>
      </w:r>
      <w:r w:rsidRPr="008127F8">
        <w:rPr>
          <w:rFonts w:ascii="Times New Roman" w:hAnsi="Times New Roman" w:cs="Times New Roman"/>
          <w:color w:val="000000" w:themeColor="text1"/>
          <w:sz w:val="16"/>
          <w:szCs w:val="16"/>
        </w:rPr>
        <w:softHyphen/>
        <w:t>исходить максимум за 30-40 с.</w:t>
      </w:r>
    </w:p>
    <w:p w14:paraId="677007B5"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 целью экономии металла рекомен</w:t>
      </w:r>
      <w:r w:rsidRPr="008127F8">
        <w:rPr>
          <w:rFonts w:ascii="Times New Roman" w:hAnsi="Times New Roman" w:cs="Times New Roman"/>
          <w:color w:val="000000" w:themeColor="text1"/>
          <w:sz w:val="16"/>
          <w:szCs w:val="16"/>
        </w:rPr>
        <w:softHyphen/>
        <w:t>довалось крыло на Су-6 сделать деревян</w:t>
      </w:r>
      <w:r w:rsidRPr="008127F8">
        <w:rPr>
          <w:rFonts w:ascii="Times New Roman" w:hAnsi="Times New Roman" w:cs="Times New Roman"/>
          <w:color w:val="000000" w:themeColor="text1"/>
          <w:sz w:val="16"/>
          <w:szCs w:val="16"/>
        </w:rPr>
        <w:softHyphen/>
        <w:t>ным с металлическими лонжеронами.</w:t>
      </w:r>
    </w:p>
    <w:p w14:paraId="4FE4A88F"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При испытании пулеметного и пушеч</w:t>
      </w:r>
      <w:r w:rsidRPr="008127F8">
        <w:rPr>
          <w:rFonts w:ascii="Times New Roman" w:hAnsi="Times New Roman" w:cs="Times New Roman"/>
          <w:color w:val="000000" w:themeColor="text1"/>
          <w:sz w:val="16"/>
          <w:szCs w:val="16"/>
        </w:rPr>
        <w:softHyphen/>
        <w:t>ного вооружения оказалось, что давление в воздушной системе перезарядки и спу</w:t>
      </w:r>
      <w:r w:rsidRPr="008127F8">
        <w:rPr>
          <w:rFonts w:ascii="Times New Roman" w:hAnsi="Times New Roman" w:cs="Times New Roman"/>
          <w:color w:val="000000" w:themeColor="text1"/>
          <w:sz w:val="16"/>
          <w:szCs w:val="16"/>
        </w:rPr>
        <w:softHyphen/>
        <w:t>сков (30 атм) обеспечивает «только раз</w:t>
      </w:r>
      <w:r w:rsidRPr="008127F8">
        <w:rPr>
          <w:rFonts w:ascii="Times New Roman" w:hAnsi="Times New Roman" w:cs="Times New Roman"/>
          <w:color w:val="000000" w:themeColor="text1"/>
          <w:sz w:val="16"/>
          <w:szCs w:val="16"/>
        </w:rPr>
        <w:softHyphen/>
        <w:t>дельную стрельбу из пушек или из пуле</w:t>
      </w:r>
      <w:r w:rsidRPr="008127F8">
        <w:rPr>
          <w:rFonts w:ascii="Times New Roman" w:hAnsi="Times New Roman" w:cs="Times New Roman"/>
          <w:color w:val="000000" w:themeColor="text1"/>
          <w:sz w:val="16"/>
          <w:szCs w:val="16"/>
        </w:rPr>
        <w:softHyphen/>
        <w:t>метов». Пневмоспуски при пониженном до 20 атм давлении «стрельбы не обес</w:t>
      </w:r>
      <w:r w:rsidRPr="008127F8">
        <w:rPr>
          <w:rFonts w:ascii="Times New Roman" w:hAnsi="Times New Roman" w:cs="Times New Roman"/>
          <w:color w:val="000000" w:themeColor="text1"/>
          <w:sz w:val="16"/>
          <w:szCs w:val="16"/>
        </w:rPr>
        <w:softHyphen/>
        <w:t>печивают».</w:t>
      </w:r>
    </w:p>
    <w:p w14:paraId="12234ED1"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Отказы в автоматической стрельбе из пулеметов происходили в основном из-за производственных дефектов в установках, а пушек - исключительно по причине де</w:t>
      </w:r>
      <w:r w:rsidRPr="008127F8">
        <w:rPr>
          <w:rFonts w:ascii="Times New Roman" w:hAnsi="Times New Roman" w:cs="Times New Roman"/>
          <w:color w:val="000000" w:themeColor="text1"/>
          <w:sz w:val="16"/>
          <w:szCs w:val="16"/>
        </w:rPr>
        <w:softHyphen/>
        <w:t>фектов самих пушек ВЯ. Указывалось, что «не разработанность автоматики пушек и слабое производственное исполнение их приводило при автоматической стрельбе к останову подвижных частей в среднем положении (подобные дефекты пушек от</w:t>
      </w:r>
      <w:r w:rsidRPr="008127F8">
        <w:rPr>
          <w:rFonts w:ascii="Times New Roman" w:hAnsi="Times New Roman" w:cs="Times New Roman"/>
          <w:color w:val="000000" w:themeColor="text1"/>
          <w:sz w:val="16"/>
          <w:szCs w:val="16"/>
        </w:rPr>
        <w:softHyphen/>
        <w:t>мечались в отзывах с фронта)».</w:t>
      </w:r>
    </w:p>
    <w:p w14:paraId="6F936BBC" w14:textId="77777777" w:rsidR="0037361C" w:rsidRPr="008127F8" w:rsidRDefault="0037361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бомбардировочное вооружение отработало в ходе испытаний без отка</w:t>
      </w:r>
      <w:r w:rsidRPr="008127F8">
        <w:rPr>
          <w:rFonts w:ascii="Times New Roman" w:hAnsi="Times New Roman"/>
          <w:color w:val="000000" w:themeColor="text1"/>
          <w:sz w:val="16"/>
          <w:szCs w:val="16"/>
        </w:rPr>
        <w:softHyphen/>
        <w:t>зов. Отмечалось, что «низкое расположе</w:t>
      </w:r>
      <w:r w:rsidRPr="008127F8">
        <w:rPr>
          <w:rFonts w:ascii="Times New Roman" w:hAnsi="Times New Roman"/>
          <w:color w:val="000000" w:themeColor="text1"/>
          <w:sz w:val="16"/>
          <w:szCs w:val="16"/>
        </w:rPr>
        <w:softHyphen/>
        <w:t>ние бомбового отсека затрудняет подве</w:t>
      </w:r>
      <w:r w:rsidRPr="008127F8">
        <w:rPr>
          <w:rFonts w:ascii="Times New Roman" w:hAnsi="Times New Roman"/>
          <w:color w:val="000000" w:themeColor="text1"/>
          <w:sz w:val="16"/>
          <w:szCs w:val="16"/>
        </w:rPr>
        <w:softHyphen/>
        <w:t>ску бомб на кассету КД-2-438 и сильно усложняет эксплуатацию». Отсутствие прицела для бомбометания с горизон</w:t>
      </w:r>
      <w:r w:rsidRPr="008127F8">
        <w:rPr>
          <w:rFonts w:ascii="Times New Roman" w:hAnsi="Times New Roman"/>
          <w:color w:val="000000" w:themeColor="text1"/>
          <w:sz w:val="16"/>
          <w:szCs w:val="16"/>
        </w:rPr>
        <w:softHyphen/>
        <w:t>тального полета со средних высот сни</w:t>
      </w:r>
      <w:r w:rsidRPr="008127F8">
        <w:rPr>
          <w:rFonts w:ascii="Times New Roman" w:hAnsi="Times New Roman"/>
          <w:color w:val="000000" w:themeColor="text1"/>
          <w:sz w:val="16"/>
          <w:szCs w:val="16"/>
        </w:rPr>
        <w:softHyphen/>
        <w:t>жает точность бомбометания («недостаток присущий всем одноместным самолетам»). Требовалось «установить в серии для при</w:t>
      </w:r>
      <w:r w:rsidRPr="008127F8">
        <w:rPr>
          <w:rFonts w:ascii="Times New Roman" w:hAnsi="Times New Roman"/>
          <w:color w:val="000000" w:themeColor="text1"/>
          <w:sz w:val="16"/>
          <w:szCs w:val="16"/>
        </w:rPr>
        <w:softHyphen/>
        <w:t>мерного визирования на цель при бомбометании визирные штыри с бортов фю</w:t>
      </w:r>
      <w:r w:rsidRPr="008127F8">
        <w:rPr>
          <w:rFonts w:ascii="Times New Roman" w:hAnsi="Times New Roman"/>
          <w:color w:val="000000" w:themeColor="text1"/>
          <w:sz w:val="16"/>
          <w:szCs w:val="16"/>
        </w:rPr>
        <w:softHyphen/>
        <w:t>зеляжа и сделать разметки, соответствую</w:t>
      </w:r>
      <w:r w:rsidRPr="008127F8">
        <w:rPr>
          <w:rFonts w:ascii="Times New Roman" w:hAnsi="Times New Roman"/>
          <w:color w:val="000000" w:themeColor="text1"/>
          <w:sz w:val="16"/>
          <w:szCs w:val="16"/>
        </w:rPr>
        <w:softHyphen/>
        <w:t>щие различным высотам». Предлагалось предусмотреть сигнализацию летчику при открытых бомболюках, а также «обеспе</w:t>
      </w:r>
      <w:r w:rsidRPr="008127F8">
        <w:rPr>
          <w:rFonts w:ascii="Times New Roman" w:hAnsi="Times New Roman"/>
          <w:color w:val="000000" w:themeColor="text1"/>
          <w:sz w:val="16"/>
          <w:szCs w:val="16"/>
        </w:rPr>
        <w:softHyphen/>
        <w:t>чить подвеску на подкрыльные держатели бомбы калибра 250 кг типа ФАБ-250».</w:t>
      </w:r>
    </w:p>
    <w:p w14:paraId="0598F3E7"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Выливание в полете из авиаприборов ВАП-200 подкрашенной жидкости (вместо ОВ) показало вполне удовлетворительные результаты («химприборы расположены вне плоскости, ометаемой винтом, что ог</w:t>
      </w:r>
      <w:r w:rsidRPr="008127F8">
        <w:rPr>
          <w:rFonts w:ascii="Times New Roman" w:hAnsi="Times New Roman" w:cs="Times New Roman"/>
          <w:color w:val="000000" w:themeColor="text1"/>
          <w:sz w:val="16"/>
          <w:szCs w:val="16"/>
        </w:rPr>
        <w:softHyphen/>
        <w:t>раждает капли ОВ от вредного дробления и не способствует забрызгиванию само</w:t>
      </w:r>
      <w:r w:rsidRPr="008127F8">
        <w:rPr>
          <w:rFonts w:ascii="Times New Roman" w:hAnsi="Times New Roman" w:cs="Times New Roman"/>
          <w:color w:val="000000" w:themeColor="text1"/>
          <w:sz w:val="16"/>
          <w:szCs w:val="16"/>
        </w:rPr>
        <w:softHyphen/>
        <w:t>лета»). «Для определения боевой эффек</w:t>
      </w:r>
      <w:r w:rsidRPr="008127F8">
        <w:rPr>
          <w:rFonts w:ascii="Times New Roman" w:hAnsi="Times New Roman" w:cs="Times New Roman"/>
          <w:color w:val="000000" w:themeColor="text1"/>
          <w:sz w:val="16"/>
          <w:szCs w:val="16"/>
        </w:rPr>
        <w:softHyphen/>
        <w:t>тивности использования ОВ с прибором ВАП-200 на самолете Су-6» считалось не</w:t>
      </w:r>
      <w:r w:rsidRPr="008127F8">
        <w:rPr>
          <w:rFonts w:ascii="Times New Roman" w:hAnsi="Times New Roman" w:cs="Times New Roman"/>
          <w:color w:val="000000" w:themeColor="text1"/>
          <w:sz w:val="16"/>
          <w:szCs w:val="16"/>
        </w:rPr>
        <w:softHyphen/>
        <w:t>обходимым провести специальные испы</w:t>
      </w:r>
      <w:r w:rsidRPr="008127F8">
        <w:rPr>
          <w:rFonts w:ascii="Times New Roman" w:hAnsi="Times New Roman" w:cs="Times New Roman"/>
          <w:color w:val="000000" w:themeColor="text1"/>
          <w:sz w:val="16"/>
          <w:szCs w:val="16"/>
        </w:rPr>
        <w:softHyphen/>
        <w:t>тания на химическом полигоне.</w:t>
      </w:r>
    </w:p>
    <w:p w14:paraId="57D187E9"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Обращалось внимание, что при бом</w:t>
      </w:r>
      <w:r w:rsidRPr="008127F8">
        <w:rPr>
          <w:rFonts w:ascii="Times New Roman" w:hAnsi="Times New Roman" w:cs="Times New Roman"/>
          <w:color w:val="000000" w:themeColor="text1"/>
          <w:sz w:val="16"/>
          <w:szCs w:val="16"/>
        </w:rPr>
        <w:softHyphen/>
        <w:t>бометании с высоты 100-250 м и скоро</w:t>
      </w:r>
      <w:r w:rsidRPr="008127F8">
        <w:rPr>
          <w:rFonts w:ascii="Times New Roman" w:hAnsi="Times New Roman" w:cs="Times New Roman"/>
          <w:color w:val="000000" w:themeColor="text1"/>
          <w:sz w:val="16"/>
          <w:szCs w:val="16"/>
        </w:rPr>
        <w:softHyphen/>
        <w:t>сти полета 380-400 км/ч «бомбы рико</w:t>
      </w:r>
      <w:r w:rsidRPr="008127F8">
        <w:rPr>
          <w:rFonts w:ascii="Times New Roman" w:hAnsi="Times New Roman" w:cs="Times New Roman"/>
          <w:color w:val="000000" w:themeColor="text1"/>
          <w:sz w:val="16"/>
          <w:szCs w:val="16"/>
        </w:rPr>
        <w:softHyphen/>
        <w:t>шетируют при ударе о землю, подпрыги</w:t>
      </w:r>
      <w:r w:rsidRPr="008127F8">
        <w:rPr>
          <w:rFonts w:ascii="Times New Roman" w:hAnsi="Times New Roman" w:cs="Times New Roman"/>
          <w:color w:val="000000" w:themeColor="text1"/>
          <w:sz w:val="16"/>
          <w:szCs w:val="16"/>
        </w:rPr>
        <w:softHyphen/>
        <w:t>вают на 25-30 м и летят от первоначаль</w:t>
      </w:r>
      <w:r w:rsidRPr="008127F8">
        <w:rPr>
          <w:rFonts w:ascii="Times New Roman" w:hAnsi="Times New Roman" w:cs="Times New Roman"/>
          <w:color w:val="000000" w:themeColor="text1"/>
          <w:sz w:val="16"/>
          <w:szCs w:val="16"/>
        </w:rPr>
        <w:softHyphen/>
        <w:t>ной точки падения до 200 м».</w:t>
      </w:r>
    </w:p>
    <w:p w14:paraId="1C57C8D1"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Ракетное оружие полностью удов</w:t>
      </w:r>
      <w:r w:rsidRPr="008127F8">
        <w:rPr>
          <w:rFonts w:ascii="Times New Roman" w:hAnsi="Times New Roman" w:cs="Times New Roman"/>
          <w:color w:val="000000" w:themeColor="text1"/>
          <w:sz w:val="16"/>
          <w:szCs w:val="16"/>
        </w:rPr>
        <w:softHyphen/>
        <w:t>летворяло тактико-техническим требо</w:t>
      </w:r>
      <w:r w:rsidRPr="008127F8">
        <w:rPr>
          <w:rFonts w:ascii="Times New Roman" w:hAnsi="Times New Roman" w:cs="Times New Roman"/>
          <w:color w:val="000000" w:themeColor="text1"/>
          <w:sz w:val="16"/>
          <w:szCs w:val="16"/>
        </w:rPr>
        <w:softHyphen/>
        <w:t xml:space="preserve">ваниям. Стрельба ракетными снарядами РС-132, как на </w:t>
      </w:r>
      <w:proofErr w:type="gramStart"/>
      <w:r w:rsidRPr="008127F8">
        <w:rPr>
          <w:rFonts w:ascii="Times New Roman" w:hAnsi="Times New Roman" w:cs="Times New Roman"/>
          <w:color w:val="000000" w:themeColor="text1"/>
          <w:sz w:val="16"/>
          <w:szCs w:val="16"/>
        </w:rPr>
        <w:t>земле,так</w:t>
      </w:r>
      <w:proofErr w:type="gramEnd"/>
      <w:r w:rsidRPr="008127F8">
        <w:rPr>
          <w:rFonts w:ascii="Times New Roman" w:hAnsi="Times New Roman" w:cs="Times New Roman"/>
          <w:color w:val="000000" w:themeColor="text1"/>
          <w:sz w:val="16"/>
          <w:szCs w:val="16"/>
        </w:rPr>
        <w:t xml:space="preserve"> и в воздухе, ни</w:t>
      </w:r>
      <w:r w:rsidRPr="008127F8">
        <w:rPr>
          <w:rFonts w:ascii="Times New Roman" w:hAnsi="Times New Roman" w:cs="Times New Roman"/>
          <w:color w:val="000000" w:themeColor="text1"/>
          <w:sz w:val="16"/>
          <w:szCs w:val="16"/>
        </w:rPr>
        <w:softHyphen/>
        <w:t>какого влияния на самолет не оказывало. Рекомендовалось в серии «предусмотреть установку двух дополнительных РО-132 и РО-82 в местах крепления подкрыльных замков ДЗ-40».</w:t>
      </w:r>
    </w:p>
    <w:p w14:paraId="6EBFC53A"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Работа системы заполнения бензобака нейтральными газами от выхлопа мотора «была проверена в комплексе с выполне</w:t>
      </w:r>
      <w:r w:rsidRPr="008127F8">
        <w:rPr>
          <w:rFonts w:ascii="Times New Roman" w:hAnsi="Times New Roman" w:cs="Times New Roman"/>
          <w:color w:val="000000" w:themeColor="text1"/>
          <w:sz w:val="16"/>
          <w:szCs w:val="16"/>
        </w:rPr>
        <w:softHyphen/>
        <w:t>нием других видов полетных заданий». Во всех полетах содержание в баке углекис</w:t>
      </w:r>
      <w:r w:rsidRPr="008127F8">
        <w:rPr>
          <w:rFonts w:ascii="Times New Roman" w:hAnsi="Times New Roman" w:cs="Times New Roman"/>
          <w:color w:val="000000" w:themeColor="text1"/>
          <w:sz w:val="16"/>
          <w:szCs w:val="16"/>
        </w:rPr>
        <w:softHyphen/>
        <w:t>лоты и кислорода (С02 - 4,8-7,0%, 02 - 6,5-14,0%) соответствовало ТТТ.</w:t>
      </w:r>
    </w:p>
    <w:p w14:paraId="4DFE30F7" w14:textId="77777777" w:rsidR="0037361C" w:rsidRPr="008127F8" w:rsidRDefault="0037361C" w:rsidP="001E0A84">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Style w:val="28pt100"/>
          <w:rFonts w:ascii="Times New Roman" w:hAnsi="Times New Roman" w:cs="Times New Roman"/>
          <w:color w:val="000000" w:themeColor="text1"/>
        </w:rPr>
        <w:t>Несмотря на выявленные недостатки, в акте по результатам государствен</w:t>
      </w:r>
      <w:r w:rsidRPr="008127F8">
        <w:rPr>
          <w:rStyle w:val="28pt100"/>
          <w:rFonts w:ascii="Times New Roman" w:hAnsi="Times New Roman" w:cs="Times New Roman"/>
          <w:color w:val="000000" w:themeColor="text1"/>
        </w:rPr>
        <w:softHyphen/>
        <w:t>ных испытаний указывалось: «1.</w:t>
      </w:r>
      <w:r w:rsidRPr="008127F8">
        <w:rPr>
          <w:rFonts w:ascii="Times New Roman" w:hAnsi="Times New Roman" w:cs="Times New Roman"/>
          <w:color w:val="000000" w:themeColor="text1"/>
          <w:sz w:val="16"/>
          <w:szCs w:val="16"/>
        </w:rPr>
        <w:t xml:space="preserve"> Опыт</w:t>
      </w:r>
      <w:r w:rsidRPr="008127F8">
        <w:rPr>
          <w:rFonts w:ascii="Times New Roman" w:hAnsi="Times New Roman" w:cs="Times New Roman"/>
          <w:color w:val="000000" w:themeColor="text1"/>
          <w:sz w:val="16"/>
          <w:szCs w:val="16"/>
        </w:rPr>
        <w:softHyphen/>
        <w:t>ный самолет - одноместный брониро</w:t>
      </w:r>
      <w:r w:rsidRPr="008127F8">
        <w:rPr>
          <w:rFonts w:ascii="Times New Roman" w:hAnsi="Times New Roman" w:cs="Times New Roman"/>
          <w:color w:val="000000" w:themeColor="text1"/>
          <w:sz w:val="16"/>
          <w:szCs w:val="16"/>
        </w:rPr>
        <w:softHyphen/>
        <w:t>ванный штурмовик Су-6 с мотором М-71, конструкции т. Сухого производства за</w:t>
      </w:r>
      <w:r w:rsidRPr="008127F8">
        <w:rPr>
          <w:rFonts w:ascii="Times New Roman" w:hAnsi="Times New Roman" w:cs="Times New Roman"/>
          <w:color w:val="000000" w:themeColor="text1"/>
          <w:sz w:val="16"/>
          <w:szCs w:val="16"/>
        </w:rPr>
        <w:softHyphen/>
        <w:t>вода №289 по максимальной горизонталь</w:t>
      </w:r>
      <w:r w:rsidRPr="008127F8">
        <w:rPr>
          <w:rFonts w:ascii="Times New Roman" w:hAnsi="Times New Roman" w:cs="Times New Roman"/>
          <w:color w:val="000000" w:themeColor="text1"/>
          <w:sz w:val="16"/>
          <w:szCs w:val="16"/>
        </w:rPr>
        <w:softHyphen/>
        <w:t>ной скорости, стрелково-пушечному и ре</w:t>
      </w:r>
      <w:r w:rsidRPr="008127F8">
        <w:rPr>
          <w:rFonts w:ascii="Times New Roman" w:hAnsi="Times New Roman" w:cs="Times New Roman"/>
          <w:color w:val="000000" w:themeColor="text1"/>
          <w:sz w:val="16"/>
          <w:szCs w:val="16"/>
        </w:rPr>
        <w:softHyphen/>
        <w:t>активному вооружению и емкости бом</w:t>
      </w:r>
      <w:r w:rsidRPr="008127F8">
        <w:rPr>
          <w:rFonts w:ascii="Times New Roman" w:hAnsi="Times New Roman" w:cs="Times New Roman"/>
          <w:color w:val="000000" w:themeColor="text1"/>
          <w:sz w:val="16"/>
          <w:szCs w:val="16"/>
        </w:rPr>
        <w:softHyphen/>
        <w:t>бовой нагрузки отвечает требованиям ВВС Красной Армии. 2. Дальность само</w:t>
      </w:r>
      <w:r w:rsidRPr="008127F8">
        <w:rPr>
          <w:rFonts w:ascii="Times New Roman" w:hAnsi="Times New Roman" w:cs="Times New Roman"/>
          <w:color w:val="000000" w:themeColor="text1"/>
          <w:sz w:val="16"/>
          <w:szCs w:val="16"/>
        </w:rPr>
        <w:softHyphen/>
        <w:t>лета Су-6 М-71, равная 450 км на скоро</w:t>
      </w:r>
      <w:r w:rsidRPr="008127F8">
        <w:rPr>
          <w:rFonts w:ascii="Times New Roman" w:hAnsi="Times New Roman" w:cs="Times New Roman"/>
          <w:color w:val="000000" w:themeColor="text1"/>
          <w:sz w:val="16"/>
          <w:szCs w:val="16"/>
        </w:rPr>
        <w:softHyphen/>
        <w:t>сти 0,9 от максимальной, недостаточна. Дальность самолета Су-6 с М-71 дове</w:t>
      </w:r>
      <w:r w:rsidRPr="008127F8">
        <w:rPr>
          <w:rFonts w:ascii="Times New Roman" w:hAnsi="Times New Roman" w:cs="Times New Roman"/>
          <w:color w:val="000000" w:themeColor="text1"/>
          <w:sz w:val="16"/>
          <w:szCs w:val="16"/>
        </w:rPr>
        <w:softHyphen/>
        <w:t>сти до дальности самолета Ил-2 сАМ-58. 5. Бронирование самолета Су-6 с М-71 вы</w:t>
      </w:r>
      <w:r w:rsidRPr="008127F8">
        <w:rPr>
          <w:rFonts w:ascii="Times New Roman" w:hAnsi="Times New Roman" w:cs="Times New Roman"/>
          <w:color w:val="000000" w:themeColor="text1"/>
          <w:sz w:val="16"/>
          <w:szCs w:val="16"/>
        </w:rPr>
        <w:softHyphen/>
        <w:t>полнить по схеме, утвержденной НИИ ВВС Красной Армии. 4. Считать целесо</w:t>
      </w:r>
      <w:r w:rsidRPr="008127F8">
        <w:rPr>
          <w:rFonts w:ascii="Times New Roman" w:hAnsi="Times New Roman" w:cs="Times New Roman"/>
          <w:color w:val="000000" w:themeColor="text1"/>
          <w:sz w:val="16"/>
          <w:szCs w:val="16"/>
        </w:rPr>
        <w:softHyphen/>
        <w:t>образным постройку небольшой войско</w:t>
      </w:r>
      <w:r w:rsidRPr="008127F8">
        <w:rPr>
          <w:rFonts w:ascii="Times New Roman" w:hAnsi="Times New Roman" w:cs="Times New Roman"/>
          <w:color w:val="000000" w:themeColor="text1"/>
          <w:sz w:val="16"/>
          <w:szCs w:val="16"/>
        </w:rPr>
        <w:softHyphen/>
        <w:t>вой серии самолетов Су-6 с М-71, как пред</w:t>
      </w:r>
      <w:r w:rsidRPr="008127F8">
        <w:rPr>
          <w:rFonts w:ascii="Times New Roman" w:hAnsi="Times New Roman" w:cs="Times New Roman"/>
          <w:color w:val="000000" w:themeColor="text1"/>
          <w:sz w:val="16"/>
          <w:szCs w:val="16"/>
        </w:rPr>
        <w:softHyphen/>
        <w:t>ставляющих интерес по сравнительно большой максимальной горизонтальной скорости и имеющих мощное стрелково- пушечное и реактивное вооружение».</w:t>
      </w:r>
    </w:p>
    <w:p w14:paraId="2BA946FA" w14:textId="77777777" w:rsidR="0037361C" w:rsidRPr="008127F8" w:rsidRDefault="0037361C" w:rsidP="001E0A84">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Style w:val="28pt100"/>
          <w:rFonts w:ascii="Times New Roman" w:hAnsi="Times New Roman" w:cs="Times New Roman"/>
          <w:color w:val="000000" w:themeColor="text1"/>
        </w:rPr>
        <w:t>Предлагалось</w:t>
      </w:r>
      <w:r w:rsidRPr="008127F8">
        <w:rPr>
          <w:rFonts w:ascii="Times New Roman" w:hAnsi="Times New Roman" w:cs="Times New Roman"/>
          <w:color w:val="000000" w:themeColor="text1"/>
          <w:sz w:val="16"/>
          <w:szCs w:val="16"/>
        </w:rPr>
        <w:t xml:space="preserve"> «обязать завод №19 устранить дефекты мотора М-71, указан</w:t>
      </w:r>
      <w:r w:rsidRPr="008127F8">
        <w:rPr>
          <w:rFonts w:ascii="Times New Roman" w:hAnsi="Times New Roman" w:cs="Times New Roman"/>
          <w:color w:val="000000" w:themeColor="text1"/>
          <w:sz w:val="16"/>
          <w:szCs w:val="16"/>
        </w:rPr>
        <w:softHyphen/>
        <w:t>ные в выводах настоящего акта, и предъ</w:t>
      </w:r>
      <w:r w:rsidRPr="008127F8">
        <w:rPr>
          <w:rFonts w:ascii="Times New Roman" w:hAnsi="Times New Roman" w:cs="Times New Roman"/>
          <w:color w:val="000000" w:themeColor="text1"/>
          <w:sz w:val="16"/>
          <w:szCs w:val="16"/>
        </w:rPr>
        <w:softHyphen/>
        <w:t xml:space="preserve">явить мотор М-71 для испытаний его на самолете с целью отработки нормальной эксплоатации на всех режимах и высотах», </w:t>
      </w:r>
      <w:r w:rsidRPr="008127F8">
        <w:rPr>
          <w:rStyle w:val="28pt100"/>
          <w:rFonts w:ascii="Times New Roman" w:hAnsi="Times New Roman" w:cs="Times New Roman"/>
          <w:color w:val="000000" w:themeColor="text1"/>
        </w:rPr>
        <w:t>а также</w:t>
      </w:r>
      <w:r w:rsidRPr="008127F8">
        <w:rPr>
          <w:rFonts w:ascii="Times New Roman" w:hAnsi="Times New Roman" w:cs="Times New Roman"/>
          <w:color w:val="000000" w:themeColor="text1"/>
          <w:sz w:val="16"/>
          <w:szCs w:val="16"/>
        </w:rPr>
        <w:t xml:space="preserve"> «обязать завод № 289 устранить дефекты по самолету Су-6, указанные в выводах настоящего акта».</w:t>
      </w:r>
    </w:p>
    <w:p w14:paraId="1814B718"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Акт и заключение подписали началь</w:t>
      </w:r>
      <w:r w:rsidRPr="008127F8">
        <w:rPr>
          <w:rFonts w:ascii="Times New Roman" w:hAnsi="Times New Roman" w:cs="Times New Roman"/>
          <w:color w:val="000000" w:themeColor="text1"/>
          <w:sz w:val="16"/>
          <w:szCs w:val="16"/>
        </w:rPr>
        <w:softHyphen/>
        <w:t>ник НИИ ВВС бригинженер Федоров, на</w:t>
      </w:r>
      <w:r w:rsidRPr="008127F8">
        <w:rPr>
          <w:rFonts w:ascii="Times New Roman" w:hAnsi="Times New Roman" w:cs="Times New Roman"/>
          <w:color w:val="000000" w:themeColor="text1"/>
          <w:sz w:val="16"/>
          <w:szCs w:val="16"/>
        </w:rPr>
        <w:softHyphen/>
        <w:t>чальник 3-го отдела НИИ ВВС военинже- нер 1-го ранга Рудинцев и главный кон</w:t>
      </w:r>
      <w:r w:rsidRPr="008127F8">
        <w:rPr>
          <w:rFonts w:ascii="Times New Roman" w:hAnsi="Times New Roman" w:cs="Times New Roman"/>
          <w:color w:val="000000" w:themeColor="text1"/>
          <w:sz w:val="16"/>
          <w:szCs w:val="16"/>
        </w:rPr>
        <w:softHyphen/>
        <w:t>структор самолета Сухой (19844).</w:t>
      </w:r>
    </w:p>
    <w:p w14:paraId="6DC0D820" w14:textId="77777777" w:rsidR="0037361C" w:rsidRPr="008127F8" w:rsidRDefault="0037361C"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6925C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А.С.Я., Зам. командующего ВВС И.Ф.Петров, Нач. ЦАГИ Шишкин, Нач. ЛИИ Чесалов, Нач. ЦИАМ Поликовский писали А.И.Ш. письмо N 2627 по вопросу о перспективе развития основных серийных самолетов: Як-7, Пе-2, Ил-2 и ДБ-3Ф.</w:t>
      </w:r>
    </w:p>
    <w:p w14:paraId="27EFA6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улучшения основных серийных самолетов необходимо срочно провести ряд мероприятий, осуществление которых возможно в ближайшее время:</w:t>
      </w:r>
    </w:p>
    <w:p w14:paraId="2FE18F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самолету Ил-2</w:t>
      </w:r>
    </w:p>
    <w:p w14:paraId="7B4A2C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Улучшение взлетных качеств</w:t>
      </w:r>
    </w:p>
    <w:p w14:paraId="67A12E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первую очередь необходимо улучшить взлетные свойства самолета путем:</w:t>
      </w:r>
    </w:p>
    <w:p w14:paraId="2D9350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кратковременного одноминутного форсажа АМ-38</w:t>
      </w:r>
    </w:p>
    <w:p w14:paraId="078D0D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увеличения диаметра винта до 3.6 м, проверенного летными испытаниями</w:t>
      </w:r>
    </w:p>
    <w:p w14:paraId="493B3E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введения фиксаторов взлетного положения щитков</w:t>
      </w:r>
    </w:p>
    <w:p w14:paraId="00C7B8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самолету Ил-4</w:t>
      </w:r>
    </w:p>
    <w:p w14:paraId="090119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Установка М-82</w:t>
      </w:r>
    </w:p>
    <w:p w14:paraId="0A45AA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мероприятие повысит максимальную скорость самолета у земли на 40%, что составит 400 км/час и на высоте 6000 м - на 40-50 км/час, т.е. 470 км/час</w:t>
      </w:r>
    </w:p>
    <w:p w14:paraId="2DAF93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самолета при условии перехода на новые деревянные консоли крыла, будет повышена на 800 км, при старых крыльях она останется прежней.</w:t>
      </w:r>
    </w:p>
    <w:p w14:paraId="43B00B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самолета сократится на 50%</w:t>
      </w:r>
    </w:p>
    <w:p w14:paraId="53A78D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Сравнительные данные наших основных модернизированных серийных самолетов с данными самолетов противника:</w:t>
      </w:r>
    </w:p>
    <w:p w14:paraId="5DF7B2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Дальние 2-х 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3836"/>
      </w:tblGrid>
      <w:tr w:rsidR="006F4095" w:rsidRPr="008127F8" w14:paraId="59D4E626" w14:textId="77777777">
        <w:tc>
          <w:tcPr>
            <w:tcW w:w="1127" w:type="dxa"/>
            <w:tcBorders>
              <w:top w:val="single" w:sz="12" w:space="0" w:color="auto"/>
            </w:tcBorders>
          </w:tcPr>
          <w:p w14:paraId="0276D9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1127" w:type="dxa"/>
            <w:tcBorders>
              <w:top w:val="single" w:sz="12" w:space="0" w:color="auto"/>
            </w:tcBorders>
          </w:tcPr>
          <w:p w14:paraId="247BD9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w:t>
            </w:r>
          </w:p>
        </w:tc>
        <w:tc>
          <w:tcPr>
            <w:tcW w:w="1127" w:type="dxa"/>
            <w:tcBorders>
              <w:top w:val="single" w:sz="12" w:space="0" w:color="auto"/>
            </w:tcBorders>
          </w:tcPr>
          <w:p w14:paraId="3E551F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127" w:type="dxa"/>
            <w:tcBorders>
              <w:top w:val="single" w:sz="12" w:space="0" w:color="auto"/>
            </w:tcBorders>
          </w:tcPr>
          <w:p w14:paraId="62B30E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127" w:type="dxa"/>
            <w:tcBorders>
              <w:top w:val="single" w:sz="12" w:space="0" w:color="auto"/>
            </w:tcBorders>
          </w:tcPr>
          <w:p w14:paraId="0A465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127" w:type="dxa"/>
            <w:tcBorders>
              <w:top w:val="single" w:sz="12" w:space="0" w:color="auto"/>
            </w:tcBorders>
          </w:tcPr>
          <w:p w14:paraId="46E6E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Borders>
              <w:top w:val="single" w:sz="12" w:space="0" w:color="auto"/>
            </w:tcBorders>
          </w:tcPr>
          <w:p w14:paraId="23E316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r>
      <w:tr w:rsidR="006F4095" w:rsidRPr="008127F8" w14:paraId="4A543289" w14:textId="77777777">
        <w:tc>
          <w:tcPr>
            <w:tcW w:w="1127" w:type="dxa"/>
          </w:tcPr>
          <w:p w14:paraId="578E2A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0CE3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6D39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127" w:type="dxa"/>
          </w:tcPr>
          <w:p w14:paraId="623F62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w:t>
            </w:r>
          </w:p>
        </w:tc>
        <w:tc>
          <w:tcPr>
            <w:tcW w:w="1127" w:type="dxa"/>
          </w:tcPr>
          <w:p w14:paraId="34A948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w:t>
            </w:r>
          </w:p>
        </w:tc>
        <w:tc>
          <w:tcPr>
            <w:tcW w:w="1127" w:type="dxa"/>
          </w:tcPr>
          <w:p w14:paraId="5D6198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наружн.</w:t>
            </w:r>
          </w:p>
        </w:tc>
        <w:tc>
          <w:tcPr>
            <w:tcW w:w="3836" w:type="dxa"/>
          </w:tcPr>
          <w:p w14:paraId="0418E6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w:t>
            </w:r>
          </w:p>
        </w:tc>
      </w:tr>
      <w:tr w:rsidR="006F4095" w:rsidRPr="008127F8" w14:paraId="19EF92BE" w14:textId="77777777">
        <w:tc>
          <w:tcPr>
            <w:tcW w:w="1127" w:type="dxa"/>
          </w:tcPr>
          <w:p w14:paraId="1B2384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C95FE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13ECD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1127" w:type="dxa"/>
          </w:tcPr>
          <w:p w14:paraId="414E21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1127" w:type="dxa"/>
          </w:tcPr>
          <w:p w14:paraId="6D729A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AD27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6DD4D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5A2AD4" w14:textId="77777777">
        <w:tc>
          <w:tcPr>
            <w:tcW w:w="1127" w:type="dxa"/>
          </w:tcPr>
          <w:p w14:paraId="16DD39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127" w:type="dxa"/>
          </w:tcPr>
          <w:p w14:paraId="3FF399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127" w:type="dxa"/>
          </w:tcPr>
          <w:p w14:paraId="7F4162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w:t>
            </w:r>
          </w:p>
        </w:tc>
        <w:tc>
          <w:tcPr>
            <w:tcW w:w="1127" w:type="dxa"/>
          </w:tcPr>
          <w:p w14:paraId="0A7FD4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425/6800</w:t>
            </w:r>
          </w:p>
        </w:tc>
        <w:tc>
          <w:tcPr>
            <w:tcW w:w="1127" w:type="dxa"/>
          </w:tcPr>
          <w:p w14:paraId="64FCF3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127" w:type="dxa"/>
          </w:tcPr>
          <w:p w14:paraId="5727DD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Pr>
          <w:p w14:paraId="2F7360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3300</w:t>
            </w:r>
          </w:p>
        </w:tc>
      </w:tr>
      <w:tr w:rsidR="006F4095" w:rsidRPr="008127F8" w14:paraId="06940010" w14:textId="77777777">
        <w:tc>
          <w:tcPr>
            <w:tcW w:w="1127" w:type="dxa"/>
          </w:tcPr>
          <w:p w14:paraId="3629F2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255E4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127" w:type="dxa"/>
          </w:tcPr>
          <w:p w14:paraId="3422ED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127" w:type="dxa"/>
          </w:tcPr>
          <w:p w14:paraId="3AFC52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470/6000</w:t>
            </w:r>
          </w:p>
        </w:tc>
        <w:tc>
          <w:tcPr>
            <w:tcW w:w="1127" w:type="dxa"/>
          </w:tcPr>
          <w:p w14:paraId="7CF34E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127" w:type="dxa"/>
          </w:tcPr>
          <w:p w14:paraId="1D0DFC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Pr>
          <w:p w14:paraId="3CAE52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3300</w:t>
            </w:r>
          </w:p>
        </w:tc>
      </w:tr>
      <w:tr w:rsidR="006F4095" w:rsidRPr="008127F8" w14:paraId="6979BCC8" w14:textId="77777777">
        <w:tc>
          <w:tcPr>
            <w:tcW w:w="1127" w:type="dxa"/>
          </w:tcPr>
          <w:p w14:paraId="76D32C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Ю-88</w:t>
            </w:r>
          </w:p>
        </w:tc>
        <w:tc>
          <w:tcPr>
            <w:tcW w:w="1127" w:type="dxa"/>
          </w:tcPr>
          <w:p w14:paraId="1E639C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ЮМО-211</w:t>
            </w:r>
          </w:p>
        </w:tc>
        <w:tc>
          <w:tcPr>
            <w:tcW w:w="1127" w:type="dxa"/>
          </w:tcPr>
          <w:p w14:paraId="6E6BC1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365</w:t>
            </w:r>
          </w:p>
        </w:tc>
        <w:tc>
          <w:tcPr>
            <w:tcW w:w="1127" w:type="dxa"/>
          </w:tcPr>
          <w:p w14:paraId="36F55E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535/5000</w:t>
            </w:r>
          </w:p>
        </w:tc>
        <w:tc>
          <w:tcPr>
            <w:tcW w:w="1127" w:type="dxa"/>
          </w:tcPr>
          <w:p w14:paraId="7E31C7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500-900</w:t>
            </w:r>
          </w:p>
        </w:tc>
        <w:tc>
          <w:tcPr>
            <w:tcW w:w="1127" w:type="dxa"/>
          </w:tcPr>
          <w:p w14:paraId="56BDE4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Pr>
          <w:p w14:paraId="4DE51C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r>
      <w:tr w:rsidR="006F4095" w:rsidRPr="008127F8" w14:paraId="75D71642" w14:textId="77777777">
        <w:tc>
          <w:tcPr>
            <w:tcW w:w="1127" w:type="dxa"/>
            <w:tcBorders>
              <w:bottom w:val="single" w:sz="12" w:space="0" w:color="auto"/>
            </w:tcBorders>
          </w:tcPr>
          <w:p w14:paraId="7E4C36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4CCCD6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ЮМО-211Ф</w:t>
            </w:r>
          </w:p>
        </w:tc>
        <w:tc>
          <w:tcPr>
            <w:tcW w:w="1127" w:type="dxa"/>
            <w:tcBorders>
              <w:bottom w:val="single" w:sz="12" w:space="0" w:color="auto"/>
            </w:tcBorders>
          </w:tcPr>
          <w:p w14:paraId="6954CA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395</w:t>
            </w:r>
          </w:p>
        </w:tc>
        <w:tc>
          <w:tcPr>
            <w:tcW w:w="1127" w:type="dxa"/>
            <w:tcBorders>
              <w:bottom w:val="single" w:sz="12" w:space="0" w:color="auto"/>
            </w:tcBorders>
          </w:tcPr>
          <w:p w14:paraId="74F5AC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470/5000</w:t>
            </w:r>
          </w:p>
        </w:tc>
        <w:tc>
          <w:tcPr>
            <w:tcW w:w="1127" w:type="dxa"/>
            <w:tcBorders>
              <w:bottom w:val="single" w:sz="12" w:space="0" w:color="auto"/>
            </w:tcBorders>
          </w:tcPr>
          <w:p w14:paraId="0FE9D4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500-900</w:t>
            </w:r>
          </w:p>
        </w:tc>
        <w:tc>
          <w:tcPr>
            <w:tcW w:w="1127" w:type="dxa"/>
            <w:tcBorders>
              <w:bottom w:val="single" w:sz="12" w:space="0" w:color="auto"/>
            </w:tcBorders>
          </w:tcPr>
          <w:p w14:paraId="189290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Borders>
              <w:bottom w:val="single" w:sz="12" w:space="0" w:color="auto"/>
            </w:tcBorders>
          </w:tcPr>
          <w:p w14:paraId="49CDC3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r>
    </w:tbl>
    <w:p w14:paraId="577DDE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Данные по Ю-88 с ЮМО-211Ф являются предположительными. Они получены перерасчетом, исходя из того, что увеличена лишь мощность мотора, а геометрические и высотные данные - не изменились.</w:t>
      </w:r>
    </w:p>
    <w:p w14:paraId="12C277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таблицы видно, что по сравнению с массовым немецким бомбардировщиком Ю-88 в форсированными моторами ЮМО, самолет Ил-4 при установке М-82 будет иметь преимущества.</w:t>
      </w:r>
    </w:p>
    <w:p w14:paraId="496AEC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Выводы</w:t>
      </w:r>
    </w:p>
    <w:p w14:paraId="2600CF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быстро провести в жизнь предлагаемые мероприятия так, чтобы они вошли в серию к лету - наши основные боевые самолеты не будут уступать немецким.</w:t>
      </w:r>
    </w:p>
    <w:p w14:paraId="082682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этим, необходимо срочное проведение более глубоких модификаций и строительство новых опытных самолетов и моторов, чтобы их противопоставить новым немецким опытным машинам. (1676,3).</w:t>
      </w:r>
    </w:p>
    <w:p w14:paraId="4859F6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A3C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года зам. наркома Авиапрома А. Яковлев, зам. командующего ВВС генерал-лейтенант авиации И. Петров, начальник ЦАГИ С. Шишкин, и.о. начальника ЛИИ А. Чесалов, начальник ЦИАМ В. Поликовский писали письмо Шахурину.</w:t>
      </w:r>
    </w:p>
    <w:p w14:paraId="40FAA0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о перспективе развития основных серийных самолетов: Як-7, Пе-2, Ил-2 и ДБ-3Ф.</w:t>
      </w:r>
    </w:p>
    <w:p w14:paraId="69EE99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улучшения основных серийных самолетов необходимо срочное проведение следующих мероприятий, осуществление которых возможно в ближайшее время.</w:t>
      </w:r>
    </w:p>
    <w:p w14:paraId="01938B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самолетам Як-1 и Як-7.</w:t>
      </w:r>
    </w:p>
    <w:p w14:paraId="145CE5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Повышение наддува мотора 105П.</w:t>
      </w:r>
    </w:p>
    <w:p w14:paraId="4AD6AA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Провести перерегулировку наддува мотора 105П до 1050 мм, что даст повышение скорости самолета у земли и до высоты 4300 м на 20 км/час. Таким образом скорость самолета у земли будет равна 520 км/час и на высоте 575-580 км/час.</w:t>
      </w:r>
    </w:p>
    <w:p w14:paraId="284C2D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Взлетный форсаж мотора 105П.</w:t>
      </w:r>
    </w:p>
    <w:p w14:paraId="0D8C77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дать взлетный одноминутный форсаж мотора 105П до 1300 сил. Это мероприятие сократит разбег самолета на 15-20%.</w:t>
      </w:r>
    </w:p>
    <w:p w14:paraId="60D280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Установка мотора 105Д.</w:t>
      </w:r>
    </w:p>
    <w:p w14:paraId="069BCE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Кроме того</w:t>
      </w:r>
      <w:proofErr w:type="gramEnd"/>
      <w:r w:rsidRPr="008127F8">
        <w:rPr>
          <w:rFonts w:ascii="Times New Roman" w:hAnsi="Times New Roman"/>
          <w:color w:val="000000" w:themeColor="text1"/>
          <w:sz w:val="16"/>
          <w:szCs w:val="16"/>
        </w:rPr>
        <w:t xml:space="preserve"> параллельно по времени, следует провести установку на самолет Як-7 мотора 105Д с нагнетателем Доллежаля. Это мероприятие повысит максимальную скорость существующего самолета: у земли до 515 км/час, на высоте 5000 м до 600 км и даст максимальную скорость на высоте 7500 м равную 630 км/час.</w:t>
      </w:r>
    </w:p>
    <w:p w14:paraId="2255FC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этом варианте самолет Як-7, при общем улучшении, будет иметь особые преимущества для борьбы с разведчиками и высотными бомбардировщиками противника.</w:t>
      </w:r>
    </w:p>
    <w:p w14:paraId="57BAFE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По самолету Пе-2.</w:t>
      </w:r>
    </w:p>
    <w:p w14:paraId="3BCE4A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Повышение наддува мотора 105.</w:t>
      </w:r>
    </w:p>
    <w:p w14:paraId="73FBC2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Провести перерегулировку наддува мотора 105 до 1050 мм, что даст повышение скорости самолета у земли и до высоты 4300 м на 20 км/час, то есть скорость у земли будет равна 466 км/час и на высоте 538 км/час.</w:t>
      </w:r>
    </w:p>
    <w:p w14:paraId="1C5E59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Взлетный форсаж мотора 105.</w:t>
      </w:r>
    </w:p>
    <w:p w14:paraId="6AA489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Взлетный одноминутный форсаж мотора до 1300 сил сократит разбег самолета на 15%.</w:t>
      </w:r>
    </w:p>
    <w:p w14:paraId="452A0A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Установка мотора М-82.</w:t>
      </w:r>
    </w:p>
    <w:p w14:paraId="78CF1C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Следующим шагом усовершенствования самолета Пе-2 должна явиться установка на него моторов М-82. Установка этих моторов возможна без больших переделок серийного самолета. При этом получится повышение скорости у земли и на высоте до 5000 м на 30 км/час; на больших высотах самолет с М-82 получает все большее преимущество по скорости, по сравнению с существующим серийным самолетом, достигающее на высоте 6500 м величины 55-60 км/час; ожидаемая максимальная скорость у земли 475 км/час и на высоте 6500 м 570 км/час. Установка мотора </w:t>
      </w:r>
      <w:proofErr w:type="gramStart"/>
      <w:r w:rsidRPr="008127F8">
        <w:rPr>
          <w:rFonts w:ascii="Times New Roman" w:hAnsi="Times New Roman"/>
          <w:color w:val="000000" w:themeColor="text1"/>
          <w:sz w:val="16"/>
          <w:szCs w:val="16"/>
        </w:rPr>
        <w:t>82 кроме того</w:t>
      </w:r>
      <w:proofErr w:type="gramEnd"/>
      <w:r w:rsidRPr="008127F8">
        <w:rPr>
          <w:rFonts w:ascii="Times New Roman" w:hAnsi="Times New Roman"/>
          <w:color w:val="000000" w:themeColor="text1"/>
          <w:sz w:val="16"/>
          <w:szCs w:val="16"/>
        </w:rPr>
        <w:t xml:space="preserve"> улучшит взлет самолета, сократив разбег на 25-30%.</w:t>
      </w:r>
    </w:p>
    <w:p w14:paraId="3C95E2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По самолету Ил-2.</w:t>
      </w:r>
    </w:p>
    <w:p w14:paraId="5D27D4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Улучшение взлетных качеств.</w:t>
      </w:r>
    </w:p>
    <w:p w14:paraId="5C1432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первую очередь следует улучшить взлетные свойства самолета путем:</w:t>
      </w:r>
    </w:p>
    <w:p w14:paraId="0DEBA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кратковременного одноминутного форсажа мотора АМ-38;</w:t>
      </w:r>
    </w:p>
    <w:p w14:paraId="256E67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увеличения диаметра винта до 3,6 м, проверенного летными испытаниями;</w:t>
      </w:r>
    </w:p>
    <w:p w14:paraId="17949C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введения фиксаторов взлетного положения щитков.</w:t>
      </w:r>
    </w:p>
    <w:p w14:paraId="3B3DF7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Суммарно эти мероприятия сократят разбег самолета на 40%.</w:t>
      </w:r>
    </w:p>
    <w:p w14:paraId="5354FF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По самолету Ил-4.</w:t>
      </w:r>
    </w:p>
    <w:p w14:paraId="7EECBA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Установка моторов М-82.</w:t>
      </w:r>
    </w:p>
    <w:p w14:paraId="5AC6AE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мероприятие повысит максимальную скорость самолета у земли на 40 км/час, что составит 400 км/час и на высоте 6000 м на 40-50 км/час, т.е. 470 км/час.</w:t>
      </w:r>
    </w:p>
    <w:p w14:paraId="1316AE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самолета, при условии перехода на новые деревянные консоли крыла, будет повышена на 800 км; при старых крыльях она остается прежней.</w:t>
      </w:r>
    </w:p>
    <w:p w14:paraId="68361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самолета сокращается на 50%.</w:t>
      </w:r>
    </w:p>
    <w:p w14:paraId="7ED81B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Сравнение основных данных наших модернизированных</w:t>
      </w:r>
    </w:p>
    <w:p w14:paraId="43A39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серийных самолетов с данными самолетов противника.</w:t>
      </w:r>
    </w:p>
    <w:p w14:paraId="75D84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Основные данные наших серийных самолетов, улучшаемых согласно </w:t>
      </w:r>
      <w:proofErr w:type="gramStart"/>
      <w:r w:rsidRPr="008127F8">
        <w:rPr>
          <w:rFonts w:ascii="Times New Roman" w:hAnsi="Times New Roman"/>
          <w:color w:val="000000" w:themeColor="text1"/>
          <w:sz w:val="16"/>
          <w:szCs w:val="16"/>
        </w:rPr>
        <w:t>перечисленных предложений</w:t>
      </w:r>
      <w:proofErr w:type="gramEnd"/>
      <w:r w:rsidRPr="008127F8">
        <w:rPr>
          <w:rFonts w:ascii="Times New Roman" w:hAnsi="Times New Roman"/>
          <w:color w:val="000000" w:themeColor="text1"/>
          <w:sz w:val="16"/>
          <w:szCs w:val="16"/>
        </w:rPr>
        <w:t xml:space="preserve"> сравниваем с данными аналогичных самолетов противника, которые по имеющимся сведениям появились или появятся в ближайшее время на фронте.</w:t>
      </w:r>
    </w:p>
    <w:p w14:paraId="04FDE3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отнесены: по истребителям - Мессершмитт 109F и Фокке-Вульф 190; по скоростным двухмоторным бомбардировщикам Мессершмитт 210; по дальним бомбардировщикам Юнкерс-88 с форсированными моторами Юмо-211.</w:t>
      </w:r>
    </w:p>
    <w:p w14:paraId="1B0F09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Имеются также сведения о новых немецких опытных самолетах, но анализ их данных следует провести при рассмотрении плана опытного самолетостроения на 1942 год.</w:t>
      </w:r>
    </w:p>
    <w:p w14:paraId="2AEAD6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Одноместные 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2688"/>
        <w:gridCol w:w="3402"/>
      </w:tblGrid>
      <w:tr w:rsidR="006F4095" w:rsidRPr="008127F8" w14:paraId="37F9E2B8" w14:textId="77777777">
        <w:tc>
          <w:tcPr>
            <w:tcW w:w="1127" w:type="dxa"/>
            <w:tcBorders>
              <w:top w:val="single" w:sz="12" w:space="0" w:color="auto"/>
            </w:tcBorders>
          </w:tcPr>
          <w:p w14:paraId="0E217C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1127" w:type="dxa"/>
            <w:tcBorders>
              <w:top w:val="single" w:sz="12" w:space="0" w:color="auto"/>
            </w:tcBorders>
          </w:tcPr>
          <w:p w14:paraId="35A19A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w:t>
            </w:r>
          </w:p>
        </w:tc>
        <w:tc>
          <w:tcPr>
            <w:tcW w:w="1127" w:type="dxa"/>
            <w:tcBorders>
              <w:top w:val="single" w:sz="12" w:space="0" w:color="auto"/>
            </w:tcBorders>
          </w:tcPr>
          <w:p w14:paraId="13BE6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127" w:type="dxa"/>
            <w:tcBorders>
              <w:top w:val="single" w:sz="12" w:space="0" w:color="auto"/>
            </w:tcBorders>
          </w:tcPr>
          <w:p w14:paraId="0BA774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2688" w:type="dxa"/>
            <w:tcBorders>
              <w:top w:val="single" w:sz="12" w:space="0" w:color="auto"/>
            </w:tcBorders>
          </w:tcPr>
          <w:p w14:paraId="322A54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tc>
        <w:tc>
          <w:tcPr>
            <w:tcW w:w="3402" w:type="dxa"/>
            <w:tcBorders>
              <w:top w:val="single" w:sz="12" w:space="0" w:color="auto"/>
            </w:tcBorders>
          </w:tcPr>
          <w:p w14:paraId="1CEC80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r>
      <w:tr w:rsidR="006F4095" w:rsidRPr="008127F8" w14:paraId="4EB98F1E" w14:textId="77777777">
        <w:tc>
          <w:tcPr>
            <w:tcW w:w="1127" w:type="dxa"/>
          </w:tcPr>
          <w:p w14:paraId="087B7E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BCE6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DF010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127" w:type="dxa"/>
          </w:tcPr>
          <w:p w14:paraId="5DBFAF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w:t>
            </w:r>
          </w:p>
        </w:tc>
        <w:tc>
          <w:tcPr>
            <w:tcW w:w="2688" w:type="dxa"/>
          </w:tcPr>
          <w:p w14:paraId="1DC556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36A0B7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w:t>
            </w:r>
          </w:p>
        </w:tc>
      </w:tr>
      <w:tr w:rsidR="006F4095" w:rsidRPr="008127F8" w14:paraId="0BDEFE8A" w14:textId="77777777">
        <w:tc>
          <w:tcPr>
            <w:tcW w:w="1127" w:type="dxa"/>
          </w:tcPr>
          <w:p w14:paraId="3FB44D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1ADF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90522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1127" w:type="dxa"/>
          </w:tcPr>
          <w:p w14:paraId="14FE23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2688" w:type="dxa"/>
          </w:tcPr>
          <w:p w14:paraId="74B6D4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24FCA8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F9F576" w14:textId="77777777">
        <w:tc>
          <w:tcPr>
            <w:tcW w:w="1127" w:type="dxa"/>
          </w:tcPr>
          <w:p w14:paraId="04D7AE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127" w:type="dxa"/>
          </w:tcPr>
          <w:p w14:paraId="615CB0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w:t>
            </w:r>
          </w:p>
        </w:tc>
        <w:tc>
          <w:tcPr>
            <w:tcW w:w="1127" w:type="dxa"/>
          </w:tcPr>
          <w:p w14:paraId="3BF771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c>
          <w:tcPr>
            <w:tcW w:w="1127" w:type="dxa"/>
          </w:tcPr>
          <w:p w14:paraId="1ED3C5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575/4300</w:t>
            </w:r>
          </w:p>
        </w:tc>
        <w:tc>
          <w:tcPr>
            <w:tcW w:w="2688" w:type="dxa"/>
          </w:tcPr>
          <w:p w14:paraId="3D458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3402" w:type="dxa"/>
          </w:tcPr>
          <w:p w14:paraId="2EE00A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r>
      <w:tr w:rsidR="006F4095" w:rsidRPr="008127F8" w14:paraId="612405AA" w14:textId="77777777">
        <w:tc>
          <w:tcPr>
            <w:tcW w:w="1127" w:type="dxa"/>
          </w:tcPr>
          <w:p w14:paraId="074A96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385DF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Рк-1050</w:t>
            </w:r>
          </w:p>
        </w:tc>
        <w:tc>
          <w:tcPr>
            <w:tcW w:w="1127" w:type="dxa"/>
          </w:tcPr>
          <w:p w14:paraId="51EC45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044D7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Pr>
          <w:p w14:paraId="1C08F0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12,7 мм</w:t>
            </w:r>
          </w:p>
        </w:tc>
        <w:tc>
          <w:tcPr>
            <w:tcW w:w="3402" w:type="dxa"/>
          </w:tcPr>
          <w:p w14:paraId="1E05D7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70319F" w14:textId="77777777">
        <w:tc>
          <w:tcPr>
            <w:tcW w:w="1127" w:type="dxa"/>
          </w:tcPr>
          <w:p w14:paraId="3DFA46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7998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105Д</w:t>
            </w:r>
          </w:p>
        </w:tc>
        <w:tc>
          <w:tcPr>
            <w:tcW w:w="1127" w:type="dxa"/>
          </w:tcPr>
          <w:p w14:paraId="64D3DC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c>
          <w:tcPr>
            <w:tcW w:w="1127" w:type="dxa"/>
          </w:tcPr>
          <w:p w14:paraId="2EB157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630/7500</w:t>
            </w:r>
          </w:p>
        </w:tc>
        <w:tc>
          <w:tcPr>
            <w:tcW w:w="2688" w:type="dxa"/>
          </w:tcPr>
          <w:p w14:paraId="64655E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3402" w:type="dxa"/>
          </w:tcPr>
          <w:p w14:paraId="1FF55F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w:t>
            </w:r>
          </w:p>
        </w:tc>
      </w:tr>
      <w:tr w:rsidR="006F4095" w:rsidRPr="008127F8" w14:paraId="46FD28BB" w14:textId="77777777">
        <w:tc>
          <w:tcPr>
            <w:tcW w:w="1127" w:type="dxa"/>
          </w:tcPr>
          <w:p w14:paraId="222C69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CE73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CD444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64813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Pr>
          <w:p w14:paraId="361CC1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12,7 мм</w:t>
            </w:r>
          </w:p>
        </w:tc>
        <w:tc>
          <w:tcPr>
            <w:tcW w:w="3402" w:type="dxa"/>
          </w:tcPr>
          <w:p w14:paraId="082D25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8F33B6" w14:textId="77777777">
        <w:tc>
          <w:tcPr>
            <w:tcW w:w="1127" w:type="dxa"/>
          </w:tcPr>
          <w:p w14:paraId="791070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Ме-109</w:t>
            </w:r>
          </w:p>
        </w:tc>
        <w:tc>
          <w:tcPr>
            <w:tcW w:w="1127" w:type="dxa"/>
          </w:tcPr>
          <w:p w14:paraId="06B479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ДВ601-N1</w:t>
            </w:r>
          </w:p>
        </w:tc>
        <w:tc>
          <w:tcPr>
            <w:tcW w:w="1127" w:type="dxa"/>
          </w:tcPr>
          <w:p w14:paraId="54AEC6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w:t>
            </w:r>
          </w:p>
        </w:tc>
        <w:tc>
          <w:tcPr>
            <w:tcW w:w="1127" w:type="dxa"/>
          </w:tcPr>
          <w:p w14:paraId="500ED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560/3000</w:t>
            </w:r>
          </w:p>
        </w:tc>
        <w:tc>
          <w:tcPr>
            <w:tcW w:w="2688" w:type="dxa"/>
          </w:tcPr>
          <w:p w14:paraId="64C0DA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15</w:t>
            </w:r>
          </w:p>
        </w:tc>
        <w:tc>
          <w:tcPr>
            <w:tcW w:w="3402" w:type="dxa"/>
          </w:tcPr>
          <w:p w14:paraId="5591CD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685</w:t>
            </w:r>
          </w:p>
        </w:tc>
      </w:tr>
      <w:tr w:rsidR="006F4095" w:rsidRPr="008127F8" w14:paraId="2C920832" w14:textId="77777777">
        <w:tc>
          <w:tcPr>
            <w:tcW w:w="1127" w:type="dxa"/>
          </w:tcPr>
          <w:p w14:paraId="71BFBB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39112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F8D18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2DF8E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555/5000</w:t>
            </w:r>
          </w:p>
        </w:tc>
        <w:tc>
          <w:tcPr>
            <w:tcW w:w="2688" w:type="dxa"/>
          </w:tcPr>
          <w:p w14:paraId="0567A2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или 20 мм</w:t>
            </w:r>
          </w:p>
        </w:tc>
        <w:tc>
          <w:tcPr>
            <w:tcW w:w="3402" w:type="dxa"/>
          </w:tcPr>
          <w:p w14:paraId="73DE27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CAAD21" w14:textId="77777777">
        <w:tc>
          <w:tcPr>
            <w:tcW w:w="1127" w:type="dxa"/>
          </w:tcPr>
          <w:p w14:paraId="795142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D8432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A016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F898B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Pr>
          <w:p w14:paraId="5AB871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7,93 мм</w:t>
            </w:r>
          </w:p>
        </w:tc>
        <w:tc>
          <w:tcPr>
            <w:tcW w:w="3402" w:type="dxa"/>
          </w:tcPr>
          <w:p w14:paraId="70D606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EACA7C" w14:textId="77777777">
        <w:tc>
          <w:tcPr>
            <w:tcW w:w="1127" w:type="dxa"/>
          </w:tcPr>
          <w:p w14:paraId="4360B1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ФВ-190</w:t>
            </w:r>
          </w:p>
        </w:tc>
        <w:tc>
          <w:tcPr>
            <w:tcW w:w="1127" w:type="dxa"/>
          </w:tcPr>
          <w:p w14:paraId="6F7795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BMW-801С</w:t>
            </w:r>
          </w:p>
        </w:tc>
        <w:tc>
          <w:tcPr>
            <w:tcW w:w="1127" w:type="dxa"/>
          </w:tcPr>
          <w:p w14:paraId="59AE51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7" w:type="dxa"/>
          </w:tcPr>
          <w:p w14:paraId="0F7575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610/6000</w:t>
            </w:r>
          </w:p>
        </w:tc>
        <w:tc>
          <w:tcPr>
            <w:tcW w:w="2688" w:type="dxa"/>
          </w:tcPr>
          <w:p w14:paraId="28190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w:t>
            </w:r>
          </w:p>
        </w:tc>
        <w:tc>
          <w:tcPr>
            <w:tcW w:w="3402" w:type="dxa"/>
          </w:tcPr>
          <w:p w14:paraId="62C183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r>
      <w:tr w:rsidR="006F4095" w:rsidRPr="008127F8" w14:paraId="1C9B3691" w14:textId="77777777">
        <w:tc>
          <w:tcPr>
            <w:tcW w:w="1127" w:type="dxa"/>
            <w:tcBorders>
              <w:bottom w:val="single" w:sz="12" w:space="0" w:color="auto"/>
            </w:tcBorders>
          </w:tcPr>
          <w:p w14:paraId="2E66BD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3682C7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522C6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0D90D3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Borders>
              <w:bottom w:val="single" w:sz="12" w:space="0" w:color="auto"/>
            </w:tcBorders>
          </w:tcPr>
          <w:p w14:paraId="08171F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7,93 мм</w:t>
            </w:r>
          </w:p>
        </w:tc>
        <w:tc>
          <w:tcPr>
            <w:tcW w:w="3402" w:type="dxa"/>
            <w:tcBorders>
              <w:bottom w:val="single" w:sz="12" w:space="0" w:color="auto"/>
            </w:tcBorders>
          </w:tcPr>
          <w:p w14:paraId="7A2C9D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98916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таблицы видно, что по сравнению с наиболее реальным массовым истребителем Ме-109F самолет Як-7 с мотором, форсированным по наддуву, будет иметь преимущество по всем данным; по сравнению с новым истребителем ФВ-190 он будет иметь достаточно хорошие данные при установке моторов 105 с нагнетателем Доллежаля.</w:t>
      </w:r>
    </w:p>
    <w:p w14:paraId="6B41F3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Скоростные двухмоторные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4454"/>
      </w:tblGrid>
      <w:tr w:rsidR="006F4095" w:rsidRPr="008127F8" w14:paraId="2DE53055" w14:textId="77777777">
        <w:tc>
          <w:tcPr>
            <w:tcW w:w="1024" w:type="dxa"/>
            <w:tcBorders>
              <w:top w:val="single" w:sz="12" w:space="0" w:color="auto"/>
            </w:tcBorders>
          </w:tcPr>
          <w:p w14:paraId="5C1C72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1024" w:type="dxa"/>
            <w:tcBorders>
              <w:top w:val="single" w:sz="12" w:space="0" w:color="auto"/>
            </w:tcBorders>
          </w:tcPr>
          <w:p w14:paraId="4A6B0D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w:t>
            </w:r>
          </w:p>
        </w:tc>
        <w:tc>
          <w:tcPr>
            <w:tcW w:w="1024" w:type="dxa"/>
            <w:tcBorders>
              <w:top w:val="single" w:sz="12" w:space="0" w:color="auto"/>
            </w:tcBorders>
          </w:tcPr>
          <w:p w14:paraId="07F6F0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024" w:type="dxa"/>
            <w:tcBorders>
              <w:top w:val="single" w:sz="12" w:space="0" w:color="auto"/>
            </w:tcBorders>
          </w:tcPr>
          <w:p w14:paraId="2776E5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024" w:type="dxa"/>
            <w:tcBorders>
              <w:top w:val="single" w:sz="12" w:space="0" w:color="auto"/>
            </w:tcBorders>
          </w:tcPr>
          <w:p w14:paraId="17504E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024" w:type="dxa"/>
            <w:tcBorders>
              <w:top w:val="single" w:sz="12" w:space="0" w:color="auto"/>
            </w:tcBorders>
          </w:tcPr>
          <w:p w14:paraId="7EE051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4" w:type="dxa"/>
            <w:tcBorders>
              <w:top w:val="single" w:sz="12" w:space="0" w:color="auto"/>
            </w:tcBorders>
          </w:tcPr>
          <w:p w14:paraId="7EB2D6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r>
      <w:tr w:rsidR="006F4095" w:rsidRPr="008127F8" w14:paraId="74A8472A" w14:textId="77777777">
        <w:tc>
          <w:tcPr>
            <w:tcW w:w="1024" w:type="dxa"/>
          </w:tcPr>
          <w:p w14:paraId="4C7C09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8D8D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436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024" w:type="dxa"/>
          </w:tcPr>
          <w:p w14:paraId="676DA5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w:t>
            </w:r>
          </w:p>
        </w:tc>
        <w:tc>
          <w:tcPr>
            <w:tcW w:w="1024" w:type="dxa"/>
          </w:tcPr>
          <w:p w14:paraId="746B79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внутренняя</w:t>
            </w:r>
          </w:p>
        </w:tc>
        <w:tc>
          <w:tcPr>
            <w:tcW w:w="1024" w:type="dxa"/>
          </w:tcPr>
          <w:p w14:paraId="5A27C1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наружная</w:t>
            </w:r>
          </w:p>
        </w:tc>
        <w:tc>
          <w:tcPr>
            <w:tcW w:w="4454" w:type="dxa"/>
          </w:tcPr>
          <w:p w14:paraId="423B36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E8D369" w14:textId="77777777">
        <w:tc>
          <w:tcPr>
            <w:tcW w:w="1024" w:type="dxa"/>
          </w:tcPr>
          <w:p w14:paraId="76BEF9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024" w:type="dxa"/>
          </w:tcPr>
          <w:p w14:paraId="178370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w:t>
            </w:r>
          </w:p>
        </w:tc>
        <w:tc>
          <w:tcPr>
            <w:tcW w:w="1024" w:type="dxa"/>
          </w:tcPr>
          <w:p w14:paraId="286D2B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1024" w:type="dxa"/>
          </w:tcPr>
          <w:p w14:paraId="7F2078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538/4300</w:t>
            </w:r>
          </w:p>
        </w:tc>
        <w:tc>
          <w:tcPr>
            <w:tcW w:w="1024" w:type="dxa"/>
          </w:tcPr>
          <w:p w14:paraId="1BB07A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024" w:type="dxa"/>
          </w:tcPr>
          <w:p w14:paraId="5C4BB9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4454" w:type="dxa"/>
          </w:tcPr>
          <w:p w14:paraId="601D58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r>
      <w:tr w:rsidR="006F4095" w:rsidRPr="008127F8" w14:paraId="69989C8B" w14:textId="77777777">
        <w:tc>
          <w:tcPr>
            <w:tcW w:w="1024" w:type="dxa"/>
          </w:tcPr>
          <w:p w14:paraId="5F034B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6A8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Рк-1050</w:t>
            </w:r>
          </w:p>
        </w:tc>
        <w:tc>
          <w:tcPr>
            <w:tcW w:w="1024" w:type="dxa"/>
          </w:tcPr>
          <w:p w14:paraId="2965A8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ED82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C17D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BDF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4" w:type="dxa"/>
          </w:tcPr>
          <w:p w14:paraId="71EE9A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E53012" w14:textId="77777777">
        <w:tc>
          <w:tcPr>
            <w:tcW w:w="1024" w:type="dxa"/>
          </w:tcPr>
          <w:p w14:paraId="1EBA66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591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1024" w:type="dxa"/>
          </w:tcPr>
          <w:p w14:paraId="20A9A2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w:t>
            </w:r>
          </w:p>
        </w:tc>
        <w:tc>
          <w:tcPr>
            <w:tcW w:w="1024" w:type="dxa"/>
          </w:tcPr>
          <w:p w14:paraId="26C231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570/6500</w:t>
            </w:r>
          </w:p>
        </w:tc>
        <w:tc>
          <w:tcPr>
            <w:tcW w:w="1024" w:type="dxa"/>
          </w:tcPr>
          <w:p w14:paraId="02DF30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024" w:type="dxa"/>
          </w:tcPr>
          <w:p w14:paraId="47428A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4454" w:type="dxa"/>
          </w:tcPr>
          <w:p w14:paraId="5EDAA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0B83CF2C" w14:textId="77777777">
        <w:tc>
          <w:tcPr>
            <w:tcW w:w="1024" w:type="dxa"/>
          </w:tcPr>
          <w:p w14:paraId="6771E2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Ме-110</w:t>
            </w:r>
          </w:p>
        </w:tc>
        <w:tc>
          <w:tcPr>
            <w:tcW w:w="1024" w:type="dxa"/>
          </w:tcPr>
          <w:p w14:paraId="16FDD4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ДБ601А</w:t>
            </w:r>
          </w:p>
        </w:tc>
        <w:tc>
          <w:tcPr>
            <w:tcW w:w="1024" w:type="dxa"/>
          </w:tcPr>
          <w:p w14:paraId="22C18C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442</w:t>
            </w:r>
          </w:p>
        </w:tc>
        <w:tc>
          <w:tcPr>
            <w:tcW w:w="1024" w:type="dxa"/>
          </w:tcPr>
          <w:p w14:paraId="76304A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524/5000</w:t>
            </w:r>
          </w:p>
        </w:tc>
        <w:tc>
          <w:tcPr>
            <w:tcW w:w="1024" w:type="dxa"/>
          </w:tcPr>
          <w:p w14:paraId="35A7ED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024" w:type="dxa"/>
          </w:tcPr>
          <w:p w14:paraId="06585D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tc>
        <w:tc>
          <w:tcPr>
            <w:tcW w:w="4454" w:type="dxa"/>
          </w:tcPr>
          <w:p w14:paraId="070CA7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F31419" w14:textId="77777777">
        <w:tc>
          <w:tcPr>
            <w:tcW w:w="1024" w:type="dxa"/>
          </w:tcPr>
          <w:p w14:paraId="5AAF78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Ме-210</w:t>
            </w:r>
          </w:p>
        </w:tc>
        <w:tc>
          <w:tcPr>
            <w:tcW w:w="1024" w:type="dxa"/>
          </w:tcPr>
          <w:p w14:paraId="18AA71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ДБ-601-N1</w:t>
            </w:r>
          </w:p>
        </w:tc>
        <w:tc>
          <w:tcPr>
            <w:tcW w:w="1024" w:type="dxa"/>
          </w:tcPr>
          <w:p w14:paraId="5DBE74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475</w:t>
            </w:r>
          </w:p>
        </w:tc>
        <w:tc>
          <w:tcPr>
            <w:tcW w:w="1024" w:type="dxa"/>
          </w:tcPr>
          <w:p w14:paraId="6E8383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550/3000</w:t>
            </w:r>
          </w:p>
        </w:tc>
        <w:tc>
          <w:tcPr>
            <w:tcW w:w="1024" w:type="dxa"/>
          </w:tcPr>
          <w:p w14:paraId="4657E2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024" w:type="dxa"/>
          </w:tcPr>
          <w:p w14:paraId="348B84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4454" w:type="dxa"/>
          </w:tcPr>
          <w:p w14:paraId="677934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EBF293" w14:textId="77777777">
        <w:tc>
          <w:tcPr>
            <w:tcW w:w="1024" w:type="dxa"/>
            <w:tcBorders>
              <w:bottom w:val="single" w:sz="12" w:space="0" w:color="auto"/>
            </w:tcBorders>
          </w:tcPr>
          <w:p w14:paraId="1B56C7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6B2D20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3D458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2F6E02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540/5000</w:t>
            </w:r>
          </w:p>
        </w:tc>
        <w:tc>
          <w:tcPr>
            <w:tcW w:w="1024" w:type="dxa"/>
            <w:tcBorders>
              <w:bottom w:val="single" w:sz="12" w:space="0" w:color="auto"/>
            </w:tcBorders>
          </w:tcPr>
          <w:p w14:paraId="2A55EC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3D539D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4" w:type="dxa"/>
            <w:tcBorders>
              <w:bottom w:val="single" w:sz="12" w:space="0" w:color="auto"/>
            </w:tcBorders>
          </w:tcPr>
          <w:p w14:paraId="4BBF8F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CC5BA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таблицы видно, что по сравнению с модифицированным Ме-110, самолет Пе-2 при установке моторов 82 будет иметь преимущество.</w:t>
      </w:r>
    </w:p>
    <w:p w14:paraId="189797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Дальние 2-х 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3836"/>
      </w:tblGrid>
      <w:tr w:rsidR="006F4095" w:rsidRPr="008127F8" w14:paraId="5EC9DCE2" w14:textId="77777777">
        <w:tc>
          <w:tcPr>
            <w:tcW w:w="1127" w:type="dxa"/>
            <w:tcBorders>
              <w:top w:val="single" w:sz="12" w:space="0" w:color="auto"/>
            </w:tcBorders>
          </w:tcPr>
          <w:p w14:paraId="0AA67C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1127" w:type="dxa"/>
            <w:tcBorders>
              <w:top w:val="single" w:sz="12" w:space="0" w:color="auto"/>
            </w:tcBorders>
          </w:tcPr>
          <w:p w14:paraId="300B67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w:t>
            </w:r>
          </w:p>
        </w:tc>
        <w:tc>
          <w:tcPr>
            <w:tcW w:w="1127" w:type="dxa"/>
            <w:tcBorders>
              <w:top w:val="single" w:sz="12" w:space="0" w:color="auto"/>
            </w:tcBorders>
          </w:tcPr>
          <w:p w14:paraId="407B41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127" w:type="dxa"/>
            <w:tcBorders>
              <w:top w:val="single" w:sz="12" w:space="0" w:color="auto"/>
            </w:tcBorders>
          </w:tcPr>
          <w:p w14:paraId="5396E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Max ск.</w:t>
            </w:r>
          </w:p>
        </w:tc>
        <w:tc>
          <w:tcPr>
            <w:tcW w:w="1127" w:type="dxa"/>
            <w:tcBorders>
              <w:top w:val="single" w:sz="12" w:space="0" w:color="auto"/>
            </w:tcBorders>
          </w:tcPr>
          <w:p w14:paraId="5E925F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127" w:type="dxa"/>
            <w:tcBorders>
              <w:top w:val="single" w:sz="12" w:space="0" w:color="auto"/>
            </w:tcBorders>
          </w:tcPr>
          <w:p w14:paraId="3059B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Borders>
              <w:top w:val="single" w:sz="12" w:space="0" w:color="auto"/>
            </w:tcBorders>
          </w:tcPr>
          <w:p w14:paraId="7C4785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w:t>
            </w:r>
          </w:p>
        </w:tc>
      </w:tr>
      <w:tr w:rsidR="006F4095" w:rsidRPr="008127F8" w14:paraId="553CEB24" w14:textId="77777777">
        <w:tc>
          <w:tcPr>
            <w:tcW w:w="1127" w:type="dxa"/>
          </w:tcPr>
          <w:p w14:paraId="012BAA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4B5A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CB13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127" w:type="dxa"/>
          </w:tcPr>
          <w:p w14:paraId="15C435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w:t>
            </w:r>
          </w:p>
        </w:tc>
        <w:tc>
          <w:tcPr>
            <w:tcW w:w="1127" w:type="dxa"/>
          </w:tcPr>
          <w:p w14:paraId="235357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w:t>
            </w:r>
          </w:p>
        </w:tc>
        <w:tc>
          <w:tcPr>
            <w:tcW w:w="1127" w:type="dxa"/>
          </w:tcPr>
          <w:p w14:paraId="4F4C9E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наружн.</w:t>
            </w:r>
          </w:p>
        </w:tc>
        <w:tc>
          <w:tcPr>
            <w:tcW w:w="3836" w:type="dxa"/>
          </w:tcPr>
          <w:p w14:paraId="49582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w:t>
            </w:r>
          </w:p>
        </w:tc>
      </w:tr>
      <w:tr w:rsidR="006F4095" w:rsidRPr="008127F8" w14:paraId="1A16C928" w14:textId="77777777">
        <w:tc>
          <w:tcPr>
            <w:tcW w:w="1127" w:type="dxa"/>
          </w:tcPr>
          <w:p w14:paraId="1D15B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47CED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7BCDA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1127" w:type="dxa"/>
          </w:tcPr>
          <w:p w14:paraId="1321A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1127" w:type="dxa"/>
          </w:tcPr>
          <w:p w14:paraId="0C4F57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AEAE9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01078F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6FB1C4" w14:textId="77777777">
        <w:tc>
          <w:tcPr>
            <w:tcW w:w="1127" w:type="dxa"/>
          </w:tcPr>
          <w:p w14:paraId="772FB4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127" w:type="dxa"/>
          </w:tcPr>
          <w:p w14:paraId="7C30A9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127" w:type="dxa"/>
          </w:tcPr>
          <w:p w14:paraId="71D1B7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362</w:t>
            </w:r>
          </w:p>
        </w:tc>
        <w:tc>
          <w:tcPr>
            <w:tcW w:w="1127" w:type="dxa"/>
          </w:tcPr>
          <w:p w14:paraId="156B46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425/6800</w:t>
            </w:r>
          </w:p>
        </w:tc>
        <w:tc>
          <w:tcPr>
            <w:tcW w:w="1127" w:type="dxa"/>
          </w:tcPr>
          <w:p w14:paraId="4F77C5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127" w:type="dxa"/>
          </w:tcPr>
          <w:p w14:paraId="40E211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Pr>
          <w:p w14:paraId="3BD3C6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3300</w:t>
            </w:r>
          </w:p>
        </w:tc>
      </w:tr>
      <w:tr w:rsidR="006F4095" w:rsidRPr="008127F8" w14:paraId="4C272625" w14:textId="77777777">
        <w:tc>
          <w:tcPr>
            <w:tcW w:w="1127" w:type="dxa"/>
          </w:tcPr>
          <w:p w14:paraId="46037D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EE6F4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127" w:type="dxa"/>
          </w:tcPr>
          <w:p w14:paraId="4D4F1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127" w:type="dxa"/>
          </w:tcPr>
          <w:p w14:paraId="6EDB79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470/6000</w:t>
            </w:r>
          </w:p>
        </w:tc>
        <w:tc>
          <w:tcPr>
            <w:tcW w:w="1127" w:type="dxa"/>
          </w:tcPr>
          <w:p w14:paraId="74DFE5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1127" w:type="dxa"/>
          </w:tcPr>
          <w:p w14:paraId="4C664A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Pr>
          <w:p w14:paraId="0B3D5D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3300</w:t>
            </w:r>
          </w:p>
        </w:tc>
      </w:tr>
      <w:tr w:rsidR="006F4095" w:rsidRPr="008127F8" w14:paraId="2496869E" w14:textId="77777777">
        <w:tc>
          <w:tcPr>
            <w:tcW w:w="1127" w:type="dxa"/>
          </w:tcPr>
          <w:p w14:paraId="14EF27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Ю-88</w:t>
            </w:r>
          </w:p>
        </w:tc>
        <w:tc>
          <w:tcPr>
            <w:tcW w:w="1127" w:type="dxa"/>
          </w:tcPr>
          <w:p w14:paraId="35C337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ЮМО-211</w:t>
            </w:r>
          </w:p>
        </w:tc>
        <w:tc>
          <w:tcPr>
            <w:tcW w:w="1127" w:type="dxa"/>
          </w:tcPr>
          <w:p w14:paraId="1D35C9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365</w:t>
            </w:r>
          </w:p>
        </w:tc>
        <w:tc>
          <w:tcPr>
            <w:tcW w:w="1127" w:type="dxa"/>
          </w:tcPr>
          <w:p w14:paraId="338F5B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535/5000</w:t>
            </w:r>
          </w:p>
        </w:tc>
        <w:tc>
          <w:tcPr>
            <w:tcW w:w="1127" w:type="dxa"/>
          </w:tcPr>
          <w:p w14:paraId="1DB889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500-900</w:t>
            </w:r>
          </w:p>
        </w:tc>
        <w:tc>
          <w:tcPr>
            <w:tcW w:w="1127" w:type="dxa"/>
          </w:tcPr>
          <w:p w14:paraId="4B7D7D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Pr>
          <w:p w14:paraId="284971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r>
      <w:tr w:rsidR="006F4095" w:rsidRPr="008127F8" w14:paraId="01AB7706" w14:textId="77777777">
        <w:tc>
          <w:tcPr>
            <w:tcW w:w="1127" w:type="dxa"/>
            <w:tcBorders>
              <w:bottom w:val="single" w:sz="12" w:space="0" w:color="auto"/>
            </w:tcBorders>
          </w:tcPr>
          <w:p w14:paraId="3DB725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361552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ЮМО-211Ф</w:t>
            </w:r>
          </w:p>
        </w:tc>
        <w:tc>
          <w:tcPr>
            <w:tcW w:w="1127" w:type="dxa"/>
            <w:tcBorders>
              <w:bottom w:val="single" w:sz="12" w:space="0" w:color="auto"/>
            </w:tcBorders>
          </w:tcPr>
          <w:p w14:paraId="6B150A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395</w:t>
            </w:r>
          </w:p>
        </w:tc>
        <w:tc>
          <w:tcPr>
            <w:tcW w:w="1127" w:type="dxa"/>
            <w:tcBorders>
              <w:bottom w:val="single" w:sz="12" w:space="0" w:color="auto"/>
            </w:tcBorders>
          </w:tcPr>
          <w:p w14:paraId="213C41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470/5000</w:t>
            </w:r>
          </w:p>
        </w:tc>
        <w:tc>
          <w:tcPr>
            <w:tcW w:w="1127" w:type="dxa"/>
            <w:tcBorders>
              <w:bottom w:val="single" w:sz="12" w:space="0" w:color="auto"/>
            </w:tcBorders>
          </w:tcPr>
          <w:p w14:paraId="1FBC98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500-900</w:t>
            </w:r>
          </w:p>
        </w:tc>
        <w:tc>
          <w:tcPr>
            <w:tcW w:w="1127" w:type="dxa"/>
            <w:tcBorders>
              <w:bottom w:val="single" w:sz="12" w:space="0" w:color="auto"/>
            </w:tcBorders>
          </w:tcPr>
          <w:p w14:paraId="213E96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3836" w:type="dxa"/>
            <w:tcBorders>
              <w:bottom w:val="single" w:sz="12" w:space="0" w:color="auto"/>
            </w:tcBorders>
          </w:tcPr>
          <w:p w14:paraId="7927A9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r>
    </w:tbl>
    <w:p w14:paraId="2A01D3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p w14:paraId="231A04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по Ю-88 с моторами ЮМО-211Ф являются предположительными. Они получены пересчетом, исходя из того, что увеличена лишь мощность моторов, а геометрические и весовые данные самолета не изменились.</w:t>
      </w:r>
    </w:p>
    <w:p w14:paraId="383605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таблицы видно, что по сравнению с массовым немецким бомбардировщиком Ю-88 с форсированными моторами ЮМО, самолет Ил-4 при установке моторов 82 будет иметь преимущество.</w:t>
      </w:r>
    </w:p>
    <w:p w14:paraId="0B7F17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VI. Выводы.</w:t>
      </w:r>
    </w:p>
    <w:p w14:paraId="25C60A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быстро провести в жизнь предлагаемые мероприятия, так, чтобы они вошли в серию к лету - наши основные боевые самолеты не будут уступать немецким.</w:t>
      </w:r>
    </w:p>
    <w:p w14:paraId="398934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этим необходимо срочное проведение более глубоких модификаций и строительство новых опытных самолетов и моторов, чтобы их противопоставить новым немецким опытным машинам (1676,3).</w:t>
      </w:r>
    </w:p>
    <w:p w14:paraId="5FA790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DE4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состоялся первый полет истребителя Ла-5 (274).</w:t>
      </w:r>
    </w:p>
    <w:p w14:paraId="3F1B54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E827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 состоялся первый полет истребителя Ла-5 (6395).</w:t>
      </w:r>
    </w:p>
    <w:p w14:paraId="7430FF9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9A882" w14:textId="77777777" w:rsidR="004759C1" w:rsidRPr="008127F8" w:rsidRDefault="004759C1" w:rsidP="001E0A84">
      <w:pPr>
        <w:pStyle w:val="a4"/>
        <w:rPr>
          <w:color w:val="000000" w:themeColor="text1"/>
          <w:lang w:val="ru-RU"/>
        </w:rPr>
      </w:pPr>
      <w:r w:rsidRPr="008127F8">
        <w:rPr>
          <w:color w:val="000000" w:themeColor="text1"/>
          <w:lang w:val="ru-RU"/>
        </w:rPr>
        <w:t>20 апреля 1942 испытания ЛаГГ-3 М-82 из-за раскисшего аэродрома пришлось перевести из Горького в г. Правдинск, там на военном аэродроме имелась бетонная полоса, (течение 21-23 апреля Якимов и Кубышкин провели ряд полётов по снятию летных характеристик,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515251AD" w14:textId="77777777" w:rsidR="004759C1" w:rsidRPr="008127F8" w:rsidRDefault="004759C1" w:rsidP="001E0A84">
      <w:pPr>
        <w:pStyle w:val="a4"/>
        <w:rPr>
          <w:color w:val="000000" w:themeColor="text1"/>
          <w:lang w:val="ru-RU"/>
        </w:rPr>
      </w:pPr>
    </w:p>
    <w:p w14:paraId="5E143A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числа испытания ЛаГГ-3 с М-82 из-за раскисшего аэродрома завода № 21 в Горьком пришлось перевести в г. Правдинск, где на во</w:t>
      </w:r>
      <w:r w:rsidRPr="008127F8">
        <w:rPr>
          <w:rFonts w:ascii="Times New Roman" w:hAnsi="Times New Roman"/>
          <w:color w:val="000000" w:themeColor="text1"/>
          <w:sz w:val="16"/>
          <w:szCs w:val="16"/>
        </w:rPr>
        <w:softHyphen/>
        <w:t>енном аэродроме была бетонная по</w:t>
      </w:r>
      <w:r w:rsidRPr="008127F8">
        <w:rPr>
          <w:rFonts w:ascii="Times New Roman" w:hAnsi="Times New Roman"/>
          <w:color w:val="000000" w:themeColor="text1"/>
          <w:sz w:val="16"/>
          <w:szCs w:val="16"/>
        </w:rPr>
        <w:softHyphen/>
        <w:t>лоса. В течение 21-23 апреля Яки</w:t>
      </w:r>
      <w:r w:rsidRPr="008127F8">
        <w:rPr>
          <w:rFonts w:ascii="Times New Roman" w:hAnsi="Times New Roman"/>
          <w:color w:val="000000" w:themeColor="text1"/>
          <w:sz w:val="16"/>
          <w:szCs w:val="16"/>
        </w:rPr>
        <w:softHyphen/>
        <w:t>мов и Кубышкин провели ряд поле</w:t>
      </w:r>
      <w:r w:rsidRPr="008127F8">
        <w:rPr>
          <w:rFonts w:ascii="Times New Roman" w:hAnsi="Times New Roman"/>
          <w:color w:val="000000" w:themeColor="text1"/>
          <w:sz w:val="16"/>
          <w:szCs w:val="16"/>
        </w:rPr>
        <w:softHyphen/>
        <w:t>тов по снятию летных характеристик, но температурный режим мотора был чрезмерно высок. Оказалось, что маслорадиатор, взятый от ЛаГГ-3, недо</w:t>
      </w:r>
      <w:r w:rsidRPr="008127F8">
        <w:rPr>
          <w:rFonts w:ascii="Times New Roman" w:hAnsi="Times New Roman"/>
          <w:color w:val="000000" w:themeColor="text1"/>
          <w:sz w:val="16"/>
          <w:szCs w:val="16"/>
        </w:rPr>
        <w:softHyphen/>
        <w:t>статочен для обеспечения нормаль</w:t>
      </w:r>
      <w:r w:rsidRPr="008127F8">
        <w:rPr>
          <w:rFonts w:ascii="Times New Roman" w:hAnsi="Times New Roman"/>
          <w:color w:val="000000" w:themeColor="text1"/>
          <w:sz w:val="16"/>
          <w:szCs w:val="16"/>
        </w:rPr>
        <w:softHyphen/>
        <w:t xml:space="preserve">ных температур мотора М-82. </w:t>
      </w:r>
      <w:proofErr w:type="gramStart"/>
      <w:r w:rsidRPr="008127F8">
        <w:rPr>
          <w:rFonts w:ascii="Times New Roman" w:hAnsi="Times New Roman"/>
          <w:color w:val="000000" w:themeColor="text1"/>
          <w:sz w:val="16"/>
          <w:szCs w:val="16"/>
        </w:rPr>
        <w:t>Трех-секционный</w:t>
      </w:r>
      <w:proofErr w:type="gramEnd"/>
      <w:r w:rsidRPr="008127F8">
        <w:rPr>
          <w:rFonts w:ascii="Times New Roman" w:hAnsi="Times New Roman"/>
          <w:color w:val="000000" w:themeColor="text1"/>
          <w:sz w:val="16"/>
          <w:szCs w:val="16"/>
        </w:rPr>
        <w:t xml:space="preserve"> всасывающий патрубок внутри капота также препятствовал хорошему охлаждению верхних ци</w:t>
      </w:r>
      <w:r w:rsidRPr="008127F8">
        <w:rPr>
          <w:rFonts w:ascii="Times New Roman" w:hAnsi="Times New Roman"/>
          <w:color w:val="000000" w:themeColor="text1"/>
          <w:sz w:val="16"/>
          <w:szCs w:val="16"/>
        </w:rPr>
        <w:softHyphen/>
        <w:t>линдров. Полеты в конце марта на заводских испытаниях были успешны</w:t>
      </w:r>
      <w:r w:rsidRPr="008127F8">
        <w:rPr>
          <w:rFonts w:ascii="Times New Roman" w:hAnsi="Times New Roman"/>
          <w:color w:val="000000" w:themeColor="text1"/>
          <w:sz w:val="16"/>
          <w:szCs w:val="16"/>
        </w:rPr>
        <w:softHyphen/>
        <w:t>ми только потому, что производились при холодной зимней погоде (10686).</w:t>
      </w:r>
    </w:p>
    <w:p w14:paraId="49154C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C3C1F"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апреля 1942 г в 17-00 Г.А. Мищенко вылетел на ЛаГГ-3М-82 с аэродрома завода № 21 в Правдинск, где имелась дорожка с твердым по</w:t>
      </w:r>
      <w:r w:rsidRPr="008A2E5A">
        <w:rPr>
          <w:rFonts w:ascii="Times New Roman" w:hAnsi="Times New Roman"/>
          <w:color w:val="0070C0"/>
          <w:sz w:val="16"/>
          <w:szCs w:val="16"/>
        </w:rPr>
        <w:softHyphen/>
        <w:t>крытием. На следующий день двумя рейсами туда же перебросили всех участников испы</w:t>
      </w:r>
      <w:r w:rsidRPr="008A2E5A">
        <w:rPr>
          <w:rFonts w:ascii="Times New Roman" w:hAnsi="Times New Roman"/>
          <w:color w:val="0070C0"/>
          <w:sz w:val="16"/>
          <w:szCs w:val="16"/>
        </w:rPr>
        <w:softHyphen/>
        <w:t>таний. Вечером А.П. Якимов даже успел вы</w:t>
      </w:r>
      <w:r w:rsidRPr="008A2E5A">
        <w:rPr>
          <w:rFonts w:ascii="Times New Roman" w:hAnsi="Times New Roman"/>
          <w:color w:val="0070C0"/>
          <w:sz w:val="16"/>
          <w:szCs w:val="16"/>
        </w:rPr>
        <w:softHyphen/>
        <w:t>полнить сорокаминутный полет на проверку работы ВМГ и пикирования (23389).</w:t>
      </w:r>
    </w:p>
    <w:p w14:paraId="56EB3991" w14:textId="77777777" w:rsidR="00607B0C" w:rsidRPr="008A2E5A" w:rsidRDefault="00607B0C" w:rsidP="00607B0C">
      <w:pPr>
        <w:spacing w:after="0" w:line="240" w:lineRule="auto"/>
        <w:jc w:val="both"/>
        <w:rPr>
          <w:rFonts w:ascii="Times New Roman" w:hAnsi="Times New Roman"/>
          <w:color w:val="0070C0"/>
          <w:sz w:val="16"/>
          <w:szCs w:val="16"/>
        </w:rPr>
      </w:pPr>
    </w:p>
    <w:p w14:paraId="5131B6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Комиссия в составе летчиков-испытателей А.П.Якимова (НКАП), А.Г.Кубышкина (НИИ ВВС) и ведущих инженеров В.Н.Сагинова (от НКАП), А.Н.Фролова (НИИ ВВС) прибыла в Горький уже, а через два дня начались полеты.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23-го пришел ответ - недостатки устранить в десять дней, после чего следовало принять решение о дальнейшей судьбе самолета (4707).</w:t>
      </w:r>
    </w:p>
    <w:p w14:paraId="7B2440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ADF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 заместитель главного конструктора Н.А.Жемчужин пи</w:t>
      </w:r>
      <w:r w:rsidRPr="008127F8">
        <w:rPr>
          <w:rFonts w:ascii="Times New Roman" w:hAnsi="Times New Roman"/>
          <w:color w:val="000000" w:themeColor="text1"/>
          <w:sz w:val="16"/>
          <w:szCs w:val="16"/>
        </w:rPr>
        <w:softHyphen/>
        <w:t>сал Н.Н.Поликарпову в Москву:</w:t>
      </w:r>
    </w:p>
    <w:p w14:paraId="59FED7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«Привет, Николай Николаевич!</w:t>
      </w:r>
    </w:p>
    <w:p w14:paraId="20A122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могу Вас порадовать делами нашего з-да. С Ва</w:t>
      </w:r>
      <w:r w:rsidRPr="008127F8">
        <w:rPr>
          <w:rFonts w:ascii="Times New Roman" w:hAnsi="Times New Roman"/>
          <w:color w:val="000000" w:themeColor="text1"/>
          <w:sz w:val="16"/>
          <w:szCs w:val="16"/>
        </w:rPr>
        <w:softHyphen/>
        <w:t>шим отъездом Ив. Ник. (Иван Николаевич Давыдов, за</w:t>
      </w:r>
      <w:r w:rsidRPr="008127F8">
        <w:rPr>
          <w:rFonts w:ascii="Times New Roman" w:hAnsi="Times New Roman"/>
          <w:color w:val="000000" w:themeColor="text1"/>
          <w:sz w:val="16"/>
          <w:szCs w:val="16"/>
        </w:rPr>
        <w:softHyphen/>
        <w:t xml:space="preserve">меститель директора завода № 51 по хозяйственной части. - В.И.) «залез в пузырь» (начал пить. - В.И.), что оставлен директором не он, и «проболел» до </w:t>
      </w:r>
      <w:proofErr w:type="gramStart"/>
      <w:r w:rsidRPr="008127F8">
        <w:rPr>
          <w:rFonts w:ascii="Times New Roman" w:hAnsi="Times New Roman"/>
          <w:color w:val="000000" w:themeColor="text1"/>
          <w:sz w:val="16"/>
          <w:szCs w:val="16"/>
        </w:rPr>
        <w:t>17.IV.</w:t>
      </w:r>
      <w:proofErr w:type="gramEnd"/>
      <w:r w:rsidRPr="008127F8">
        <w:rPr>
          <w:rFonts w:ascii="Times New Roman" w:hAnsi="Times New Roman"/>
          <w:color w:val="000000" w:themeColor="text1"/>
          <w:sz w:val="16"/>
          <w:szCs w:val="16"/>
        </w:rPr>
        <w:t xml:space="preserve"> Так</w:t>
      </w:r>
      <w:r w:rsidRPr="008127F8">
        <w:rPr>
          <w:rFonts w:ascii="Times New Roman" w:hAnsi="Times New Roman"/>
          <w:color w:val="000000" w:themeColor="text1"/>
          <w:sz w:val="16"/>
          <w:szCs w:val="16"/>
        </w:rPr>
        <w:softHyphen/>
        <w:t xml:space="preserve">же болел до </w:t>
      </w:r>
      <w:proofErr w:type="gramStart"/>
      <w:r w:rsidRPr="008127F8">
        <w:rPr>
          <w:rFonts w:ascii="Times New Roman" w:hAnsi="Times New Roman"/>
          <w:color w:val="000000" w:themeColor="text1"/>
          <w:sz w:val="16"/>
          <w:szCs w:val="16"/>
        </w:rPr>
        <w:t>13.IV.</w:t>
      </w:r>
      <w:proofErr w:type="gramEnd"/>
      <w:r w:rsidRPr="008127F8">
        <w:rPr>
          <w:rFonts w:ascii="Times New Roman" w:hAnsi="Times New Roman"/>
          <w:color w:val="000000" w:themeColor="text1"/>
          <w:sz w:val="16"/>
          <w:szCs w:val="16"/>
        </w:rPr>
        <w:t xml:space="preserve"> Бахрах (главный инженер завода. — В.И.), но </w:t>
      </w:r>
      <w:proofErr w:type="gramStart"/>
      <w:r w:rsidRPr="008127F8">
        <w:rPr>
          <w:rFonts w:ascii="Times New Roman" w:hAnsi="Times New Roman"/>
          <w:color w:val="000000" w:themeColor="text1"/>
          <w:sz w:val="16"/>
          <w:szCs w:val="16"/>
        </w:rPr>
        <w:t>по честному</w:t>
      </w:r>
      <w:proofErr w:type="gramEnd"/>
      <w:r w:rsidRPr="008127F8">
        <w:rPr>
          <w:rFonts w:ascii="Times New Roman" w:hAnsi="Times New Roman"/>
          <w:color w:val="000000" w:themeColor="text1"/>
          <w:sz w:val="16"/>
          <w:szCs w:val="16"/>
        </w:rPr>
        <w:t>. Пришлось мне крутиться одно</w:t>
      </w:r>
      <w:r w:rsidRPr="008127F8">
        <w:rPr>
          <w:rFonts w:ascii="Times New Roman" w:hAnsi="Times New Roman"/>
          <w:color w:val="000000" w:themeColor="text1"/>
          <w:sz w:val="16"/>
          <w:szCs w:val="16"/>
        </w:rPr>
        <w:softHyphen/>
        <w:t>му... Вывоз станков, часть которых пришлось снимать с фундаментов, создало тяжелое настроение на з-де...</w:t>
      </w:r>
    </w:p>
    <w:p w14:paraId="60AB06A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станков у нас забрали всех рабочих и конст</w:t>
      </w:r>
      <w:r w:rsidRPr="008127F8">
        <w:rPr>
          <w:rFonts w:ascii="Times New Roman" w:hAnsi="Times New Roman"/>
          <w:color w:val="000000" w:themeColor="text1"/>
          <w:sz w:val="16"/>
          <w:szCs w:val="16"/>
        </w:rPr>
        <w:softHyphen/>
        <w:t>рукторов, которые были временно нами взяты с з-да № 153, поэтому работы в цехе № 4 по «Т» сильно задер</w:t>
      </w:r>
      <w:r w:rsidRPr="008127F8">
        <w:rPr>
          <w:rFonts w:ascii="Times New Roman" w:hAnsi="Times New Roman"/>
          <w:color w:val="000000" w:themeColor="text1"/>
          <w:sz w:val="16"/>
          <w:szCs w:val="16"/>
        </w:rPr>
        <w:softHyphen/>
        <w:t>живаются. Теперь по объектам: «04», как я Вам телегра</w:t>
      </w:r>
      <w:r w:rsidRPr="008127F8">
        <w:rPr>
          <w:rFonts w:ascii="Times New Roman" w:hAnsi="Times New Roman"/>
          <w:color w:val="000000" w:themeColor="text1"/>
          <w:sz w:val="16"/>
          <w:szCs w:val="16"/>
        </w:rPr>
        <w:softHyphen/>
        <w:t xml:space="preserve">фировал, закончил </w:t>
      </w:r>
      <w:proofErr w:type="gramStart"/>
      <w:r w:rsidRPr="008127F8">
        <w:rPr>
          <w:rFonts w:ascii="Times New Roman" w:hAnsi="Times New Roman"/>
          <w:color w:val="000000" w:themeColor="text1"/>
          <w:sz w:val="16"/>
          <w:szCs w:val="16"/>
        </w:rPr>
        <w:t>испытания</w:t>
      </w:r>
      <w:proofErr w:type="gramEnd"/>
      <w:r w:rsidRPr="008127F8">
        <w:rPr>
          <w:rFonts w:ascii="Times New Roman" w:hAnsi="Times New Roman"/>
          <w:color w:val="000000" w:themeColor="text1"/>
          <w:sz w:val="16"/>
          <w:szCs w:val="16"/>
        </w:rPr>
        <w:t xml:space="preserve"> и я перетащил на хранение в цех. «М» перетащили в цех, доводим воору</w:t>
      </w:r>
      <w:r w:rsidRPr="008127F8">
        <w:rPr>
          <w:rFonts w:ascii="Times New Roman" w:hAnsi="Times New Roman"/>
          <w:color w:val="000000" w:themeColor="text1"/>
          <w:sz w:val="16"/>
          <w:szCs w:val="16"/>
        </w:rPr>
        <w:softHyphen/>
        <w:t>жение - выйдет к готовности аэродрома, каковая ожида</w:t>
      </w:r>
      <w:r w:rsidRPr="008127F8">
        <w:rPr>
          <w:rFonts w:ascii="Times New Roman" w:hAnsi="Times New Roman"/>
          <w:color w:val="000000" w:themeColor="text1"/>
          <w:sz w:val="16"/>
          <w:szCs w:val="16"/>
        </w:rPr>
        <w:softHyphen/>
        <w:t>ется между 5-10 мая, если будет солнце...</w:t>
      </w:r>
    </w:p>
    <w:p w14:paraId="1C2A161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летает в «Толмачево», куда успел его перегнать в последний момент. Греется масло и сильно выбрасыва</w:t>
      </w:r>
      <w:r w:rsidRPr="008127F8">
        <w:rPr>
          <w:rFonts w:ascii="Times New Roman" w:hAnsi="Times New Roman"/>
          <w:color w:val="000000" w:themeColor="text1"/>
          <w:sz w:val="16"/>
          <w:szCs w:val="16"/>
        </w:rPr>
        <w:softHyphen/>
        <w:t>ет из суфлеров. По рекомендации з-да № 19 переделали дренаж мотора и сегодня летали - результат пока не знаю. Если выброс не прекратится, буду опускать ради</w:t>
      </w:r>
      <w:r w:rsidRPr="008127F8">
        <w:rPr>
          <w:rFonts w:ascii="Times New Roman" w:hAnsi="Times New Roman"/>
          <w:color w:val="000000" w:themeColor="text1"/>
          <w:sz w:val="16"/>
          <w:szCs w:val="16"/>
        </w:rPr>
        <w:softHyphen/>
        <w:t>атор - все детали заготовил и вчера отправил на место.</w:t>
      </w:r>
    </w:p>
    <w:p w14:paraId="159F6F9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закончил первый этап. Большой недобор скоро</w:t>
      </w:r>
      <w:r w:rsidRPr="008127F8">
        <w:rPr>
          <w:rFonts w:ascii="Times New Roman" w:hAnsi="Times New Roman"/>
          <w:color w:val="000000" w:themeColor="text1"/>
          <w:sz w:val="16"/>
          <w:szCs w:val="16"/>
        </w:rPr>
        <w:softHyphen/>
        <w:t>стей. С центровкой менее 24 [% САХ] не хватает рулей на посадку. С 24 и более все в порядке, но нехорошо с ус</w:t>
      </w:r>
      <w:r w:rsidRPr="008127F8">
        <w:rPr>
          <w:rFonts w:ascii="Times New Roman" w:hAnsi="Times New Roman"/>
          <w:color w:val="000000" w:themeColor="text1"/>
          <w:sz w:val="16"/>
          <w:szCs w:val="16"/>
        </w:rPr>
        <w:softHyphen/>
        <w:t>тойчивостью. 28-го будем обсуждать проект акта - ЛИИ настроено «угробить» [машину]...</w:t>
      </w:r>
    </w:p>
    <w:p w14:paraId="2089B7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«Эталон» кончаем, мотор получили с редукцией 11/16, поставили. Надеемся закончить все по машине к 1.У. Нет в ней винта АБВ-119, маслорадиаторов и гото</w:t>
      </w:r>
      <w:r w:rsidRPr="008127F8">
        <w:rPr>
          <w:rFonts w:ascii="Times New Roman" w:hAnsi="Times New Roman"/>
          <w:color w:val="000000" w:themeColor="text1"/>
          <w:sz w:val="16"/>
          <w:szCs w:val="16"/>
        </w:rPr>
        <w:softHyphen/>
        <w:t>вых изделий по управлению огнем. Работы идут очень медленно...</w:t>
      </w:r>
    </w:p>
    <w:p w14:paraId="5E4D83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Жду с нетерпением, когда Вы вернетесь... Весь кол</w:t>
      </w:r>
      <w:r w:rsidRPr="008127F8">
        <w:rPr>
          <w:rFonts w:ascii="Times New Roman" w:hAnsi="Times New Roman"/>
          <w:color w:val="000000" w:themeColor="text1"/>
          <w:sz w:val="16"/>
          <w:szCs w:val="16"/>
        </w:rPr>
        <w:softHyphen/>
        <w:t>лектив надеется и ждет решения по 185» (10667).</w:t>
      </w:r>
    </w:p>
    <w:p w14:paraId="5ECC98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077881"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 находившемуся в этот момент в Москве Поликарпову его заместитель Н.А. Жемчужин писал: «Вывоз станков, часть которых пришлось сни</w:t>
      </w:r>
      <w:r w:rsidRPr="008127F8">
        <w:rPr>
          <w:rFonts w:ascii="Times New Roman" w:hAnsi="Times New Roman"/>
          <w:color w:val="000000" w:themeColor="text1"/>
          <w:sz w:val="16"/>
          <w:szCs w:val="16"/>
        </w:rPr>
        <w:softHyphen/>
        <w:t>мать с фундаментов, создало тяжёлое настроение на з-де...</w:t>
      </w:r>
    </w:p>
    <w:p w14:paraId="3BA6D2E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станков у нас забрали всех рабочих и конструкторов, которые были временно нами взяты с з-да № 153, поэтому работа в цехе № 4 по «Т» сильно задерживается...».</w:t>
      </w:r>
    </w:p>
    <w:p w14:paraId="09F643F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Парторг ЦК ВКП(б) на заводе № 51 Ионов обратился в этот момент к секретарю ЦК ВКП(б) Г.М. Маленкову с жалобой на действия Наркомата авиапромышленности. Пись</w:t>
      </w:r>
      <w:r w:rsidRPr="008127F8">
        <w:rPr>
          <w:rFonts w:ascii="Times New Roman" w:hAnsi="Times New Roman"/>
          <w:color w:val="000000" w:themeColor="text1"/>
          <w:sz w:val="16"/>
          <w:szCs w:val="16"/>
        </w:rPr>
        <w:softHyphen/>
        <w:t>мо Ионова для рассмотрения отправили в НКАП. Отвечал на него А.С. Яковлев (15804).</w:t>
      </w:r>
    </w:p>
    <w:p w14:paraId="479AE061"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Парторг ЦК ВКП(б) на заводе № 51 Ионов обратился в этот момент к секретарю ЦК ВКП(б) Г.М. Маленкову с жалобой на действия Наркомата авиапромышленности. Пись</w:t>
      </w:r>
      <w:r w:rsidRPr="008127F8">
        <w:rPr>
          <w:rFonts w:ascii="Times New Roman" w:hAnsi="Times New Roman"/>
          <w:color w:val="000000" w:themeColor="text1"/>
          <w:sz w:val="16"/>
          <w:szCs w:val="16"/>
        </w:rPr>
        <w:softHyphen/>
        <w:t>мо Ионова для рассмотрения отправили в НКАП. Отвечал на него А.С. Яковлев:</w:t>
      </w:r>
    </w:p>
    <w:p w14:paraId="1B9ECE2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А.С. Яковлев отвечал на письмо Парторга ЦК ВКП(б) на заводе № 51 Ионов, который обратился в апреле к секретарю ЦК ВКП(б) Г.М. Маленкову с жалобой на действия Наркомата авиапромышленности:</w:t>
      </w:r>
    </w:p>
    <w:p w14:paraId="365814CC"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«28.04.1942 г. В ЦК ВКП (б) т. Маленкову Г.М.</w:t>
      </w:r>
    </w:p>
    <w:p w14:paraId="6C22B365" w14:textId="77777777" w:rsidR="004759C1" w:rsidRPr="008127F8" w:rsidRDefault="004759C1"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Вашего указания</w:t>
      </w:r>
      <w:proofErr w:type="gramEnd"/>
      <w:r w:rsidRPr="008127F8">
        <w:rPr>
          <w:rFonts w:ascii="Times New Roman" w:hAnsi="Times New Roman"/>
          <w:color w:val="000000" w:themeColor="text1"/>
          <w:sz w:val="16"/>
          <w:szCs w:val="16"/>
        </w:rPr>
        <w:t xml:space="preserve"> по письму Парторга ЦК ВКП(б) завода № 51 тов. Ионова, сообщаю, что наркомат проявил к конструктору Поликарпову и к его коллективу исклю</w:t>
      </w:r>
      <w:r w:rsidRPr="008127F8">
        <w:rPr>
          <w:rFonts w:ascii="Times New Roman" w:hAnsi="Times New Roman"/>
          <w:color w:val="000000" w:themeColor="text1"/>
          <w:sz w:val="16"/>
          <w:szCs w:val="16"/>
        </w:rPr>
        <w:softHyphen/>
        <w:t>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w:t>
      </w:r>
    </w:p>
    <w:p w14:paraId="0A490901"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Однако, несмотря на большие затраты государственных средств, т. Поликарпов </w:t>
      </w:r>
      <w:r w:rsidRPr="008127F8">
        <w:rPr>
          <w:rStyle w:val="229"/>
          <w:rFonts w:ascii="Times New Roman" w:hAnsi="Times New Roman" w:cs="Times New Roman"/>
          <w:color w:val="000000" w:themeColor="text1"/>
          <w:sz w:val="16"/>
          <w:szCs w:val="16"/>
        </w:rPr>
        <w:t>не дал своевременно</w:t>
      </w:r>
      <w:r w:rsidRPr="008127F8">
        <w:rPr>
          <w:rFonts w:ascii="Times New Roman" w:hAnsi="Times New Roman"/>
          <w:color w:val="000000" w:themeColor="text1"/>
          <w:sz w:val="16"/>
          <w:szCs w:val="16"/>
        </w:rPr>
        <w:t xml:space="preserve"> (выделено в тексте) в установленные сроки новых машин, имеющих преимущества перед находящимися в серийном производстве самолётами.</w:t>
      </w:r>
    </w:p>
    <w:p w14:paraId="2EEB20A3"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Основная причина — </w:t>
      </w:r>
      <w:r w:rsidRPr="008127F8">
        <w:rPr>
          <w:rStyle w:val="229"/>
          <w:rFonts w:ascii="Times New Roman" w:hAnsi="Times New Roman" w:cs="Times New Roman"/>
          <w:color w:val="000000" w:themeColor="text1"/>
          <w:sz w:val="16"/>
          <w:szCs w:val="16"/>
        </w:rPr>
        <w:t>большая разбрасываемость в работе</w:t>
      </w:r>
      <w:r w:rsidRPr="008127F8">
        <w:rPr>
          <w:rFonts w:ascii="Times New Roman" w:hAnsi="Times New Roman"/>
          <w:color w:val="000000" w:themeColor="text1"/>
          <w:sz w:val="16"/>
          <w:szCs w:val="16"/>
        </w:rPr>
        <w:t>. Поликарпов одновремен</w:t>
      </w:r>
      <w:r w:rsidRPr="008127F8">
        <w:rPr>
          <w:rFonts w:ascii="Times New Roman" w:hAnsi="Times New Roman"/>
          <w:color w:val="000000" w:themeColor="text1"/>
          <w:sz w:val="16"/>
          <w:szCs w:val="16"/>
        </w:rPr>
        <w:softHyphen/>
        <w:t>но работал над многими типами объектов / И-185, СПБ, ИТП, ТИС, планер БДП и др./ Сейчас т. Поликарпов предлагает построить ночной дальний двухмоторный бомбарди</w:t>
      </w:r>
      <w:r w:rsidRPr="008127F8">
        <w:rPr>
          <w:rFonts w:ascii="Times New Roman" w:hAnsi="Times New Roman"/>
          <w:color w:val="000000" w:themeColor="text1"/>
          <w:sz w:val="16"/>
          <w:szCs w:val="16"/>
        </w:rPr>
        <w:softHyphen/>
        <w:t>ровщик, учебный самолёт и т.д. Парторг ЦК тов. Ионов не понимает ошибок Поликар</w:t>
      </w:r>
      <w:r w:rsidRPr="008127F8">
        <w:rPr>
          <w:rFonts w:ascii="Times New Roman" w:hAnsi="Times New Roman"/>
          <w:color w:val="000000" w:themeColor="text1"/>
          <w:sz w:val="16"/>
          <w:szCs w:val="16"/>
        </w:rPr>
        <w:softHyphen/>
        <w:t>пова и углубляет их. Зам. Наркома авиационной промышленности А. Яковлев».</w:t>
      </w:r>
    </w:p>
    <w:p w14:paraId="0D4FECA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на заводе появился другой парторг ЦК — Царик (15804).</w:t>
      </w:r>
    </w:p>
    <w:p w14:paraId="4E376C0F"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3F3952AB" w14:textId="77777777" w:rsidR="004759C1" w:rsidRPr="008127F8" w:rsidRDefault="004759C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20 апреля 1942 по решению ГКО с завода № 51 изъяли 54 станка и передали их омскому заводу №166, который ос</w:t>
      </w:r>
      <w:r w:rsidRPr="008127F8">
        <w:rPr>
          <w:rFonts w:ascii="Times New Roman" w:cs="Times New Roman"/>
          <w:color w:val="000000" w:themeColor="text1"/>
          <w:spacing w:val="0"/>
        </w:rPr>
        <w:softHyphen/>
        <w:t>ваивал производство новых бомбарди</w:t>
      </w:r>
      <w:r w:rsidRPr="008127F8">
        <w:rPr>
          <w:rFonts w:ascii="Times New Roman" w:cs="Times New Roman"/>
          <w:color w:val="000000" w:themeColor="text1"/>
          <w:spacing w:val="0"/>
        </w:rPr>
        <w:softHyphen/>
        <w:t>ровщиков Ту-2. Одновременно из ОКБ забрали всех прикомандированных с за</w:t>
      </w:r>
      <w:r w:rsidRPr="008127F8">
        <w:rPr>
          <w:rFonts w:ascii="Times New Roman" w:cs="Times New Roman"/>
          <w:color w:val="000000" w:themeColor="text1"/>
          <w:spacing w:val="0"/>
        </w:rPr>
        <w:softHyphen/>
        <w:t>вода №153. К этому следует добавить, что наркоматом авиапромышленно</w:t>
      </w:r>
      <w:r w:rsidRPr="008127F8">
        <w:rPr>
          <w:rFonts w:ascii="Times New Roman" w:cs="Times New Roman"/>
          <w:color w:val="000000" w:themeColor="text1"/>
          <w:spacing w:val="0"/>
        </w:rPr>
        <w:softHyphen/>
        <w:t xml:space="preserve">сти совершенно не </w:t>
      </w:r>
      <w:r w:rsidRPr="008127F8">
        <w:rPr>
          <w:rFonts w:ascii="Times New Roman" w:cs="Times New Roman"/>
          <w:color w:val="000000" w:themeColor="text1"/>
          <w:spacing w:val="0"/>
        </w:rPr>
        <w:lastRenderedPageBreak/>
        <w:t>решалась проблема, обеспечения жильем рабочих и инже</w:t>
      </w:r>
      <w:r w:rsidRPr="008127F8">
        <w:rPr>
          <w:rFonts w:ascii="Times New Roman" w:cs="Times New Roman"/>
          <w:color w:val="000000" w:themeColor="text1"/>
          <w:spacing w:val="0"/>
        </w:rPr>
        <w:softHyphen/>
        <w:t>нерно-технических работников заво</w:t>
      </w:r>
      <w:r w:rsidRPr="008127F8">
        <w:rPr>
          <w:rFonts w:ascii="Times New Roman" w:cs="Times New Roman"/>
          <w:color w:val="000000" w:themeColor="text1"/>
          <w:spacing w:val="0"/>
        </w:rPr>
        <w:softHyphen/>
        <w:t>да и ОКБ. Более или менее сносно были устроены всего 20% личного соста</w:t>
      </w:r>
      <w:r w:rsidRPr="008127F8">
        <w:rPr>
          <w:rFonts w:ascii="Times New Roman" w:cs="Times New Roman"/>
          <w:color w:val="000000" w:themeColor="text1"/>
          <w:spacing w:val="0"/>
        </w:rPr>
        <w:softHyphen/>
        <w:t>ва, остальные ютились в бараках и зем</w:t>
      </w:r>
      <w:r w:rsidRPr="008127F8">
        <w:rPr>
          <w:rFonts w:ascii="Times New Roman" w:cs="Times New Roman"/>
          <w:color w:val="000000" w:themeColor="text1"/>
          <w:spacing w:val="0"/>
        </w:rPr>
        <w:softHyphen/>
        <w:t>лянках. Все это в комплексе создавало крайне тяжелую в моральном плане ат</w:t>
      </w:r>
      <w:r w:rsidRPr="008127F8">
        <w:rPr>
          <w:rFonts w:ascii="Times New Roman" w:cs="Times New Roman"/>
          <w:color w:val="000000" w:themeColor="text1"/>
          <w:spacing w:val="0"/>
        </w:rPr>
        <w:softHyphen/>
        <w:t>мосферу и отрицательно сказывалось на темпах проведения опытных работ.</w:t>
      </w:r>
    </w:p>
    <w:p w14:paraId="15252E16" w14:textId="77777777" w:rsidR="004759C1" w:rsidRPr="008127F8" w:rsidRDefault="004759C1"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 целью улучшения материально- технической и жилищной базы Н.Н. По</w:t>
      </w:r>
      <w:r w:rsidRPr="008127F8">
        <w:rPr>
          <w:rFonts w:ascii="Times New Roman" w:cs="Times New Roman"/>
          <w:color w:val="000000" w:themeColor="text1"/>
          <w:spacing w:val="0"/>
        </w:rPr>
        <w:softHyphen/>
        <w:t>ликарпов пытался попасть на прием к А.С. Яковлеву, находившемуся в то вре</w:t>
      </w:r>
      <w:r w:rsidRPr="008127F8">
        <w:rPr>
          <w:rFonts w:ascii="Times New Roman" w:cs="Times New Roman"/>
          <w:color w:val="000000" w:themeColor="text1"/>
          <w:spacing w:val="0"/>
        </w:rPr>
        <w:softHyphen/>
        <w:t>мя в Новосибирске. Но по рассказам очевидцев Поликарпов просидел не</w:t>
      </w:r>
      <w:r w:rsidRPr="008127F8">
        <w:rPr>
          <w:rFonts w:ascii="Times New Roman" w:cs="Times New Roman"/>
          <w:color w:val="000000" w:themeColor="text1"/>
          <w:spacing w:val="0"/>
        </w:rPr>
        <w:softHyphen/>
      </w:r>
      <w:r w:rsidRPr="008127F8">
        <w:rPr>
          <w:rStyle w:val="affb"/>
          <w:rFonts w:ascii="Times New Roman" w:eastAsia="Arial Narrow" w:cs="Times New Roman"/>
          <w:b w:val="0"/>
          <w:color w:val="000000" w:themeColor="text1"/>
          <w:spacing w:val="0"/>
          <w:sz w:val="16"/>
          <w:szCs w:val="16"/>
        </w:rPr>
        <w:t>сколько</w:t>
      </w:r>
      <w:r w:rsidRPr="008127F8">
        <w:rPr>
          <w:rFonts w:ascii="Times New Roman" w:cs="Times New Roman"/>
          <w:color w:val="000000" w:themeColor="text1"/>
          <w:spacing w:val="0"/>
        </w:rPr>
        <w:t xml:space="preserve"> часов в приемной Яковлева, но </w:t>
      </w:r>
      <w:r w:rsidRPr="008127F8">
        <w:rPr>
          <w:rStyle w:val="affb"/>
          <w:rFonts w:ascii="Times New Roman" w:eastAsia="Arial Narrow" w:cs="Times New Roman"/>
          <w:b w:val="0"/>
          <w:color w:val="000000" w:themeColor="text1"/>
          <w:spacing w:val="0"/>
          <w:sz w:val="16"/>
          <w:szCs w:val="16"/>
        </w:rPr>
        <w:t>тот так и</w:t>
      </w:r>
      <w:r w:rsidRPr="008127F8">
        <w:rPr>
          <w:rFonts w:ascii="Times New Roman" w:cs="Times New Roman"/>
          <w:color w:val="000000" w:themeColor="text1"/>
          <w:spacing w:val="0"/>
        </w:rPr>
        <w:t xml:space="preserve"> не удосужился его принять (15755).</w:t>
      </w:r>
    </w:p>
    <w:p w14:paraId="4E65ABCD" w14:textId="77777777" w:rsidR="004759C1" w:rsidRPr="008127F8" w:rsidRDefault="004759C1" w:rsidP="001E0A84">
      <w:pPr>
        <w:pStyle w:val="27"/>
        <w:shd w:val="clear" w:color="auto" w:fill="auto"/>
        <w:spacing w:after="0" w:line="240" w:lineRule="auto"/>
        <w:ind w:firstLine="0"/>
        <w:rPr>
          <w:rFonts w:ascii="Times New Roman" w:cs="Times New Roman"/>
          <w:color w:val="000000" w:themeColor="text1"/>
          <w:spacing w:val="0"/>
        </w:rPr>
      </w:pPr>
    </w:p>
    <w:p w14:paraId="2D7CBE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Зав. 2-й частью Техсекретариата ОБ ЦК ВКП /б/ был подготовлен СПИСОК</w:t>
      </w:r>
    </w:p>
    <w:p w14:paraId="25B6443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материалов, направленных из ЦК ВКП/б/ т. ШАХУРИНУ (Подлежат возврату со спра вкой о рассмотрении).</w:t>
      </w:r>
    </w:p>
    <w:tbl>
      <w:tblPr>
        <w:tblW w:w="0" w:type="auto"/>
        <w:tblInd w:w="40" w:type="dxa"/>
        <w:tblLayout w:type="fixed"/>
        <w:tblCellMar>
          <w:left w:w="40" w:type="dxa"/>
          <w:right w:w="40" w:type="dxa"/>
        </w:tblCellMar>
        <w:tblLook w:val="0000" w:firstRow="0" w:lastRow="0" w:firstColumn="0" w:lastColumn="0" w:noHBand="0" w:noVBand="0"/>
      </w:tblPr>
      <w:tblGrid>
        <w:gridCol w:w="394"/>
        <w:gridCol w:w="1450"/>
        <w:gridCol w:w="2294"/>
        <w:gridCol w:w="4013"/>
      </w:tblGrid>
      <w:tr w:rsidR="006F4095" w:rsidRPr="008127F8" w14:paraId="650758F9"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C631CC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1450" w:type="dxa"/>
            <w:tcBorders>
              <w:top w:val="single" w:sz="12" w:space="0" w:color="auto"/>
              <w:left w:val="single" w:sz="6" w:space="0" w:color="auto"/>
              <w:bottom w:val="single" w:sz="6" w:space="0" w:color="auto"/>
              <w:right w:val="single" w:sz="6" w:space="0" w:color="auto"/>
            </w:tcBorders>
          </w:tcPr>
          <w:p w14:paraId="6154371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 дата поступления</w:t>
            </w:r>
          </w:p>
        </w:tc>
        <w:tc>
          <w:tcPr>
            <w:tcW w:w="2294" w:type="dxa"/>
            <w:tcBorders>
              <w:top w:val="single" w:sz="12" w:space="0" w:color="auto"/>
              <w:left w:val="single" w:sz="6" w:space="0" w:color="auto"/>
              <w:bottom w:val="single" w:sz="6" w:space="0" w:color="auto"/>
              <w:right w:val="single" w:sz="6" w:space="0" w:color="auto"/>
            </w:tcBorders>
          </w:tcPr>
          <w:p w14:paraId="76D15E2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кого</w:t>
            </w:r>
          </w:p>
          <w:p w14:paraId="59166D0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12" w:space="0" w:color="auto"/>
              <w:left w:val="single" w:sz="6" w:space="0" w:color="auto"/>
              <w:bottom w:val="single" w:sz="6" w:space="0" w:color="auto"/>
              <w:right w:val="single" w:sz="12" w:space="0" w:color="auto"/>
            </w:tcBorders>
          </w:tcPr>
          <w:p w14:paraId="4C61F5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содержание</w:t>
            </w:r>
          </w:p>
        </w:tc>
      </w:tr>
      <w:tr w:rsidR="006F4095" w:rsidRPr="008127F8" w14:paraId="6A2E0B9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5ED26F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50" w:type="dxa"/>
            <w:tcBorders>
              <w:top w:val="single" w:sz="12" w:space="0" w:color="auto"/>
              <w:left w:val="single" w:sz="6" w:space="0" w:color="auto"/>
              <w:bottom w:val="single" w:sz="6" w:space="0" w:color="auto"/>
              <w:right w:val="single" w:sz="6" w:space="0" w:color="auto"/>
            </w:tcBorders>
          </w:tcPr>
          <w:p w14:paraId="55FBC7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М-3806оп-19.1У</w:t>
            </w:r>
          </w:p>
        </w:tc>
        <w:tc>
          <w:tcPr>
            <w:tcW w:w="2294" w:type="dxa"/>
            <w:tcBorders>
              <w:top w:val="single" w:sz="12" w:space="0" w:color="auto"/>
              <w:left w:val="single" w:sz="6" w:space="0" w:color="auto"/>
              <w:bottom w:val="single" w:sz="6" w:space="0" w:color="auto"/>
              <w:right w:val="single" w:sz="6" w:space="0" w:color="auto"/>
            </w:tcBorders>
          </w:tcPr>
          <w:p w14:paraId="37183BC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Волков, Ярцев</w:t>
            </w:r>
          </w:p>
        </w:tc>
        <w:tc>
          <w:tcPr>
            <w:tcW w:w="4013" w:type="dxa"/>
            <w:tcBorders>
              <w:top w:val="single" w:sz="12" w:space="0" w:color="auto"/>
              <w:left w:val="single" w:sz="6" w:space="0" w:color="auto"/>
              <w:bottom w:val="single" w:sz="6" w:space="0" w:color="auto"/>
              <w:right w:val="single" w:sz="12" w:space="0" w:color="auto"/>
            </w:tcBorders>
          </w:tcPr>
          <w:p w14:paraId="37B9B3A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отгрузке бензина и мазута заводам НКАП</w:t>
            </w:r>
          </w:p>
        </w:tc>
      </w:tr>
      <w:tr w:rsidR="006F4095" w:rsidRPr="008127F8" w14:paraId="0CCA790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380B99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450" w:type="dxa"/>
            <w:tcBorders>
              <w:top w:val="single" w:sz="12" w:space="0" w:color="auto"/>
              <w:left w:val="single" w:sz="6" w:space="0" w:color="auto"/>
              <w:bottom w:val="single" w:sz="6" w:space="0" w:color="auto"/>
              <w:right w:val="single" w:sz="6" w:space="0" w:color="auto"/>
            </w:tcBorders>
          </w:tcPr>
          <w:p w14:paraId="7C5BAB3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М-3804оп-19.1У</w:t>
            </w:r>
          </w:p>
        </w:tc>
        <w:tc>
          <w:tcPr>
            <w:tcW w:w="2294" w:type="dxa"/>
            <w:tcBorders>
              <w:top w:val="single" w:sz="12" w:space="0" w:color="auto"/>
              <w:left w:val="single" w:sz="6" w:space="0" w:color="auto"/>
              <w:bottom w:val="single" w:sz="6" w:space="0" w:color="auto"/>
              <w:right w:val="single" w:sz="6" w:space="0" w:color="auto"/>
            </w:tcBorders>
          </w:tcPr>
          <w:p w14:paraId="63C552D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Коллективно е-Кондратьев, Озеров и др.</w:t>
            </w:r>
          </w:p>
        </w:tc>
        <w:tc>
          <w:tcPr>
            <w:tcW w:w="4013" w:type="dxa"/>
            <w:tcBorders>
              <w:top w:val="single" w:sz="12" w:space="0" w:color="auto"/>
              <w:left w:val="single" w:sz="6" w:space="0" w:color="auto"/>
              <w:bottom w:val="single" w:sz="6" w:space="0" w:color="auto"/>
              <w:right w:val="single" w:sz="12" w:space="0" w:color="auto"/>
            </w:tcBorders>
          </w:tcPr>
          <w:p w14:paraId="24091DD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 целесообразности применения пушки В-Я.О переводе ЦКБ-14 в г.Тулу или Москву и о представлении к награде </w:t>
            </w:r>
            <w:proofErr w:type="gramStart"/>
            <w:r w:rsidRPr="008127F8">
              <w:rPr>
                <w:rFonts w:ascii="Times New Roman" w:hAnsi="Times New Roman"/>
                <w:color w:val="000000" w:themeColor="text1"/>
                <w:sz w:val="16"/>
                <w:szCs w:val="16"/>
              </w:rPr>
              <w:t>т .Жаворонкова</w:t>
            </w:r>
            <w:proofErr w:type="gramEnd"/>
            <w:r w:rsidRPr="008127F8">
              <w:rPr>
                <w:rFonts w:ascii="Times New Roman" w:hAnsi="Times New Roman"/>
                <w:color w:val="000000" w:themeColor="text1"/>
                <w:sz w:val="16"/>
                <w:szCs w:val="16"/>
              </w:rPr>
              <w:t>.</w:t>
            </w:r>
          </w:p>
        </w:tc>
      </w:tr>
      <w:tr w:rsidR="006F4095" w:rsidRPr="008127F8" w14:paraId="243EBA6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E90E22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450" w:type="dxa"/>
            <w:tcBorders>
              <w:top w:val="single" w:sz="12" w:space="0" w:color="auto"/>
              <w:left w:val="single" w:sz="6" w:space="0" w:color="auto"/>
              <w:bottom w:val="single" w:sz="6" w:space="0" w:color="auto"/>
              <w:right w:val="single" w:sz="6" w:space="0" w:color="auto"/>
            </w:tcBorders>
          </w:tcPr>
          <w:p w14:paraId="27417E6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М-3798оп-18.1У</w:t>
            </w:r>
          </w:p>
        </w:tc>
        <w:tc>
          <w:tcPr>
            <w:tcW w:w="2294" w:type="dxa"/>
            <w:tcBorders>
              <w:top w:val="single" w:sz="12" w:space="0" w:color="auto"/>
              <w:left w:val="single" w:sz="6" w:space="0" w:color="auto"/>
              <w:bottom w:val="single" w:sz="6" w:space="0" w:color="auto"/>
              <w:right w:val="single" w:sz="6" w:space="0" w:color="auto"/>
            </w:tcBorders>
          </w:tcPr>
          <w:p w14:paraId="169B667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6" w:space="0" w:color="auto"/>
              <w:right w:val="single" w:sz="12" w:space="0" w:color="auto"/>
            </w:tcBorders>
          </w:tcPr>
          <w:p w14:paraId="62B7121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продолжении работы по самолету "Аэрокобры"</w:t>
            </w:r>
          </w:p>
        </w:tc>
      </w:tr>
      <w:tr w:rsidR="006F4095" w:rsidRPr="008127F8" w14:paraId="0CA40E6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582C3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450" w:type="dxa"/>
            <w:tcBorders>
              <w:top w:val="single" w:sz="12" w:space="0" w:color="auto"/>
              <w:left w:val="single" w:sz="6" w:space="0" w:color="auto"/>
              <w:bottom w:val="single" w:sz="6" w:space="0" w:color="auto"/>
              <w:right w:val="single" w:sz="6" w:space="0" w:color="auto"/>
            </w:tcBorders>
          </w:tcPr>
          <w:p w14:paraId="54A2931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М-3797оп-18.1У</w:t>
            </w:r>
          </w:p>
        </w:tc>
        <w:tc>
          <w:tcPr>
            <w:tcW w:w="2294" w:type="dxa"/>
            <w:tcBorders>
              <w:top w:val="single" w:sz="12" w:space="0" w:color="auto"/>
              <w:left w:val="single" w:sz="6" w:space="0" w:color="auto"/>
              <w:bottom w:val="single" w:sz="6" w:space="0" w:color="auto"/>
              <w:right w:val="single" w:sz="6" w:space="0" w:color="auto"/>
            </w:tcBorders>
          </w:tcPr>
          <w:p w14:paraId="7BF1C43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з-да № 240 </w:t>
            </w:r>
            <w:proofErr w:type="gramStart"/>
            <w:r w:rsidRPr="008127F8">
              <w:rPr>
                <w:rFonts w:ascii="Times New Roman" w:hAnsi="Times New Roman"/>
                <w:color w:val="000000" w:themeColor="text1"/>
                <w:sz w:val="16"/>
                <w:szCs w:val="16"/>
              </w:rPr>
              <w:t>НКАП .Ермолаев</w:t>
            </w:r>
            <w:proofErr w:type="gramEnd"/>
          </w:p>
        </w:tc>
        <w:tc>
          <w:tcPr>
            <w:tcW w:w="4013" w:type="dxa"/>
            <w:tcBorders>
              <w:top w:val="single" w:sz="12" w:space="0" w:color="auto"/>
              <w:left w:val="single" w:sz="6" w:space="0" w:color="auto"/>
              <w:bottom w:val="single" w:sz="6" w:space="0" w:color="auto"/>
              <w:right w:val="single" w:sz="12" w:space="0" w:color="auto"/>
            </w:tcBorders>
          </w:tcPr>
          <w:p w14:paraId="0500D97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освобождении от при</w:t>
            </w:r>
            <w:r w:rsidRPr="008127F8">
              <w:rPr>
                <w:rFonts w:ascii="Times New Roman" w:hAnsi="Times New Roman"/>
                <w:color w:val="000000" w:themeColor="text1"/>
                <w:sz w:val="16"/>
                <w:szCs w:val="16"/>
              </w:rPr>
              <w:softHyphen/>
              <w:t>зыва в Кр. Армию работ</w:t>
            </w:r>
            <w:r w:rsidRPr="008127F8">
              <w:rPr>
                <w:rFonts w:ascii="Times New Roman" w:hAnsi="Times New Roman"/>
                <w:color w:val="000000" w:themeColor="text1"/>
                <w:sz w:val="16"/>
                <w:szCs w:val="16"/>
              </w:rPr>
              <w:softHyphen/>
              <w:t>ников НКАП.</w:t>
            </w:r>
          </w:p>
        </w:tc>
      </w:tr>
      <w:tr w:rsidR="006F4095" w:rsidRPr="008127F8" w14:paraId="0D5CE6F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CC8C97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50" w:type="dxa"/>
            <w:tcBorders>
              <w:top w:val="single" w:sz="12" w:space="0" w:color="auto"/>
              <w:left w:val="single" w:sz="6" w:space="0" w:color="auto"/>
              <w:bottom w:val="single" w:sz="6" w:space="0" w:color="auto"/>
              <w:right w:val="single" w:sz="6" w:space="0" w:color="auto"/>
            </w:tcBorders>
          </w:tcPr>
          <w:p w14:paraId="0DE61B2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М-3733оп-17.1У</w:t>
            </w:r>
          </w:p>
        </w:tc>
        <w:tc>
          <w:tcPr>
            <w:tcW w:w="2294" w:type="dxa"/>
            <w:tcBorders>
              <w:top w:val="single" w:sz="12" w:space="0" w:color="auto"/>
              <w:left w:val="single" w:sz="6" w:space="0" w:color="auto"/>
              <w:bottom w:val="single" w:sz="6" w:space="0" w:color="auto"/>
              <w:right w:val="single" w:sz="6" w:space="0" w:color="auto"/>
            </w:tcBorders>
          </w:tcPr>
          <w:p w14:paraId="4FAD364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Челябинский обк. ВКП/б/</w:t>
            </w:r>
          </w:p>
        </w:tc>
        <w:tc>
          <w:tcPr>
            <w:tcW w:w="4013" w:type="dxa"/>
            <w:tcBorders>
              <w:top w:val="single" w:sz="12" w:space="0" w:color="auto"/>
              <w:left w:val="single" w:sz="6" w:space="0" w:color="auto"/>
              <w:bottom w:val="single" w:sz="6" w:space="0" w:color="auto"/>
              <w:right w:val="single" w:sz="12" w:space="0" w:color="auto"/>
            </w:tcBorders>
          </w:tcPr>
          <w:p w14:paraId="430762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переттяче конптрук торского бюро Ермола</w:t>
            </w:r>
            <w:r w:rsidRPr="008127F8">
              <w:rPr>
                <w:rFonts w:ascii="Times New Roman" w:hAnsi="Times New Roman"/>
                <w:color w:val="000000" w:themeColor="text1"/>
                <w:sz w:val="16"/>
                <w:szCs w:val="16"/>
              </w:rPr>
              <w:softHyphen/>
              <w:t>ева т. Ильюшину</w:t>
            </w:r>
          </w:p>
        </w:tc>
      </w:tr>
      <w:tr w:rsidR="006F4095" w:rsidRPr="008127F8" w14:paraId="37055D8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0152B2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450" w:type="dxa"/>
            <w:tcBorders>
              <w:top w:val="single" w:sz="12" w:space="0" w:color="auto"/>
              <w:left w:val="single" w:sz="6" w:space="0" w:color="auto"/>
              <w:bottom w:val="single" w:sz="6" w:space="0" w:color="auto"/>
              <w:right w:val="single" w:sz="6" w:space="0" w:color="auto"/>
            </w:tcBorders>
          </w:tcPr>
          <w:p w14:paraId="072480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М-3691оп-16.1У</w:t>
            </w:r>
          </w:p>
        </w:tc>
        <w:tc>
          <w:tcPr>
            <w:tcW w:w="2294" w:type="dxa"/>
            <w:tcBorders>
              <w:top w:val="single" w:sz="12" w:space="0" w:color="auto"/>
              <w:left w:val="single" w:sz="6" w:space="0" w:color="auto"/>
              <w:bottom w:val="single" w:sz="6" w:space="0" w:color="auto"/>
              <w:right w:val="single" w:sz="6" w:space="0" w:color="auto"/>
            </w:tcBorders>
          </w:tcPr>
          <w:p w14:paraId="1E73128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Главвоенсанупр КА</w:t>
            </w:r>
          </w:p>
        </w:tc>
        <w:tc>
          <w:tcPr>
            <w:tcW w:w="4013" w:type="dxa"/>
            <w:tcBorders>
              <w:top w:val="single" w:sz="12" w:space="0" w:color="auto"/>
              <w:left w:val="single" w:sz="6" w:space="0" w:color="auto"/>
              <w:bottom w:val="single" w:sz="6" w:space="0" w:color="auto"/>
              <w:right w:val="single" w:sz="12" w:space="0" w:color="auto"/>
            </w:tcBorders>
          </w:tcPr>
          <w:p w14:paraId="3F9AF7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планировании программы заводам НКАП</w:t>
            </w:r>
          </w:p>
        </w:tc>
      </w:tr>
      <w:tr w:rsidR="006F4095" w:rsidRPr="008127F8" w14:paraId="08D5A21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3E2FF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450" w:type="dxa"/>
            <w:tcBorders>
              <w:top w:val="single" w:sz="12" w:space="0" w:color="auto"/>
              <w:left w:val="single" w:sz="6" w:space="0" w:color="auto"/>
              <w:bottom w:val="single" w:sz="6" w:space="0" w:color="auto"/>
              <w:right w:val="single" w:sz="6" w:space="0" w:color="auto"/>
            </w:tcBorders>
          </w:tcPr>
          <w:p w14:paraId="1675A4A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М-3690оп-16.1У</w:t>
            </w:r>
          </w:p>
        </w:tc>
        <w:tc>
          <w:tcPr>
            <w:tcW w:w="2294" w:type="dxa"/>
            <w:tcBorders>
              <w:top w:val="single" w:sz="12" w:space="0" w:color="auto"/>
              <w:left w:val="single" w:sz="6" w:space="0" w:color="auto"/>
              <w:bottom w:val="single" w:sz="6" w:space="0" w:color="auto"/>
              <w:right w:val="single" w:sz="6" w:space="0" w:color="auto"/>
            </w:tcBorders>
          </w:tcPr>
          <w:p w14:paraId="3A3B248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Нач .ГТГВФ</w:t>
            </w:r>
            <w:proofErr w:type="gramEnd"/>
            <w:r w:rsidRPr="008127F8">
              <w:rPr>
                <w:rFonts w:ascii="Times New Roman" w:hAnsi="Times New Roman"/>
                <w:color w:val="000000" w:themeColor="text1"/>
                <w:sz w:val="16"/>
                <w:szCs w:val="16"/>
              </w:rPr>
              <w:t>-Молоков</w:t>
            </w:r>
          </w:p>
        </w:tc>
        <w:tc>
          <w:tcPr>
            <w:tcW w:w="4013" w:type="dxa"/>
            <w:tcBorders>
              <w:top w:val="single" w:sz="12" w:space="0" w:color="auto"/>
              <w:left w:val="single" w:sz="6" w:space="0" w:color="auto"/>
              <w:bottom w:val="single" w:sz="6" w:space="0" w:color="auto"/>
              <w:right w:val="single" w:sz="12" w:space="0" w:color="auto"/>
            </w:tcBorders>
          </w:tcPr>
          <w:p w14:paraId="09F4A1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 производстве </w:t>
            </w:r>
            <w:proofErr w:type="gramStart"/>
            <w:r w:rsidRPr="008127F8">
              <w:rPr>
                <w:rFonts w:ascii="Times New Roman" w:hAnsi="Times New Roman"/>
                <w:color w:val="000000" w:themeColor="text1"/>
                <w:sz w:val="16"/>
                <w:szCs w:val="16"/>
              </w:rPr>
              <w:t>санитар ных</w:t>
            </w:r>
            <w:proofErr w:type="gramEnd"/>
            <w:r w:rsidRPr="008127F8">
              <w:rPr>
                <w:rFonts w:ascii="Times New Roman" w:hAnsi="Times New Roman"/>
                <w:color w:val="000000" w:themeColor="text1"/>
                <w:sz w:val="16"/>
                <w:szCs w:val="16"/>
              </w:rPr>
              <w:t xml:space="preserve"> самолетов в 1942 г.</w:t>
            </w:r>
          </w:p>
        </w:tc>
      </w:tr>
      <w:tr w:rsidR="006F4095" w:rsidRPr="008127F8" w14:paraId="7C85A570"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6B8FE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450" w:type="dxa"/>
            <w:tcBorders>
              <w:top w:val="single" w:sz="12" w:space="0" w:color="auto"/>
              <w:left w:val="single" w:sz="6" w:space="0" w:color="auto"/>
              <w:bottom w:val="single" w:sz="6" w:space="0" w:color="auto"/>
              <w:right w:val="single" w:sz="6" w:space="0" w:color="auto"/>
            </w:tcBorders>
          </w:tcPr>
          <w:p w14:paraId="0205E8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М-3613оп-15.1У</w:t>
            </w:r>
          </w:p>
        </w:tc>
        <w:tc>
          <w:tcPr>
            <w:tcW w:w="2294" w:type="dxa"/>
            <w:tcBorders>
              <w:top w:val="single" w:sz="12" w:space="0" w:color="auto"/>
              <w:left w:val="single" w:sz="6" w:space="0" w:color="auto"/>
              <w:bottom w:val="single" w:sz="6" w:space="0" w:color="auto"/>
              <w:right w:val="single" w:sz="6" w:space="0" w:color="auto"/>
            </w:tcBorders>
          </w:tcPr>
          <w:p w14:paraId="37B934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 кадров ЦК ВКЦ/б/-</w:t>
            </w:r>
          </w:p>
        </w:tc>
        <w:tc>
          <w:tcPr>
            <w:tcW w:w="4013" w:type="dxa"/>
            <w:tcBorders>
              <w:top w:val="single" w:sz="12" w:space="0" w:color="auto"/>
              <w:left w:val="single" w:sz="6" w:space="0" w:color="auto"/>
              <w:bottom w:val="single" w:sz="6" w:space="0" w:color="auto"/>
              <w:right w:val="single" w:sz="12" w:space="0" w:color="auto"/>
            </w:tcBorders>
          </w:tcPr>
          <w:p w14:paraId="572333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выделении Аэрофлоту турели и пулеметов</w:t>
            </w:r>
          </w:p>
        </w:tc>
      </w:tr>
      <w:tr w:rsidR="006F4095" w:rsidRPr="008127F8" w14:paraId="4E341B6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E28C5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450" w:type="dxa"/>
            <w:tcBorders>
              <w:top w:val="single" w:sz="12" w:space="0" w:color="auto"/>
              <w:left w:val="single" w:sz="6" w:space="0" w:color="auto"/>
              <w:bottom w:val="single" w:sz="6" w:space="0" w:color="auto"/>
              <w:right w:val="single" w:sz="6" w:space="0" w:color="auto"/>
            </w:tcBorders>
          </w:tcPr>
          <w:p w14:paraId="6D309D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М-3478оп-11.1У</w:t>
            </w:r>
          </w:p>
        </w:tc>
        <w:tc>
          <w:tcPr>
            <w:tcW w:w="2294" w:type="dxa"/>
            <w:tcBorders>
              <w:top w:val="single" w:sz="12" w:space="0" w:color="auto"/>
              <w:left w:val="single" w:sz="6" w:space="0" w:color="auto"/>
              <w:bottom w:val="single" w:sz="6" w:space="0" w:color="auto"/>
              <w:right w:val="single" w:sz="6" w:space="0" w:color="auto"/>
            </w:tcBorders>
          </w:tcPr>
          <w:p w14:paraId="7D133BB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военпред на рембазе з-да № 30</w:t>
            </w:r>
          </w:p>
        </w:tc>
        <w:tc>
          <w:tcPr>
            <w:tcW w:w="4013" w:type="dxa"/>
            <w:tcBorders>
              <w:top w:val="single" w:sz="12" w:space="0" w:color="auto"/>
              <w:left w:val="single" w:sz="6" w:space="0" w:color="auto"/>
              <w:bottom w:val="single" w:sz="6" w:space="0" w:color="auto"/>
              <w:right w:val="single" w:sz="12" w:space="0" w:color="auto"/>
            </w:tcBorders>
          </w:tcPr>
          <w:p w14:paraId="65E646B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ходе ремонта самоле</w:t>
            </w:r>
            <w:r w:rsidRPr="008127F8">
              <w:rPr>
                <w:rFonts w:ascii="Times New Roman" w:hAnsi="Times New Roman"/>
                <w:color w:val="000000" w:themeColor="text1"/>
                <w:sz w:val="16"/>
                <w:szCs w:val="16"/>
              </w:rPr>
              <w:softHyphen/>
              <w:t>тов на заводе</w:t>
            </w:r>
          </w:p>
        </w:tc>
      </w:tr>
      <w:tr w:rsidR="006F4095" w:rsidRPr="008127F8" w14:paraId="4309BC4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00CCD8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450" w:type="dxa"/>
            <w:tcBorders>
              <w:top w:val="single" w:sz="12" w:space="0" w:color="auto"/>
              <w:left w:val="single" w:sz="6" w:space="0" w:color="auto"/>
              <w:bottom w:val="single" w:sz="6" w:space="0" w:color="auto"/>
              <w:right w:val="single" w:sz="6" w:space="0" w:color="auto"/>
            </w:tcBorders>
          </w:tcPr>
          <w:p w14:paraId="4634D4C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М-3437оп-11.1У</w:t>
            </w:r>
          </w:p>
        </w:tc>
        <w:tc>
          <w:tcPr>
            <w:tcW w:w="2294" w:type="dxa"/>
            <w:tcBorders>
              <w:top w:val="single" w:sz="12" w:space="0" w:color="auto"/>
              <w:left w:val="single" w:sz="6" w:space="0" w:color="auto"/>
              <w:bottom w:val="single" w:sz="6" w:space="0" w:color="auto"/>
              <w:right w:val="single" w:sz="6" w:space="0" w:color="auto"/>
            </w:tcBorders>
          </w:tcPr>
          <w:p w14:paraId="73D4E8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6" w:space="0" w:color="auto"/>
              <w:right w:val="single" w:sz="12" w:space="0" w:color="auto"/>
            </w:tcBorders>
          </w:tcPr>
          <w:p w14:paraId="49DD1F6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поставке моторов НКВ.</w:t>
            </w:r>
          </w:p>
        </w:tc>
      </w:tr>
      <w:tr w:rsidR="006F4095" w:rsidRPr="008127F8" w14:paraId="2F16C1D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787F8A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450" w:type="dxa"/>
            <w:tcBorders>
              <w:top w:val="single" w:sz="12" w:space="0" w:color="auto"/>
              <w:left w:val="single" w:sz="6" w:space="0" w:color="auto"/>
              <w:bottom w:val="single" w:sz="6" w:space="0" w:color="auto"/>
              <w:right w:val="single" w:sz="6" w:space="0" w:color="auto"/>
            </w:tcBorders>
          </w:tcPr>
          <w:p w14:paraId="665B263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М-3420оп-11.1У</w:t>
            </w:r>
          </w:p>
        </w:tc>
        <w:tc>
          <w:tcPr>
            <w:tcW w:w="2294" w:type="dxa"/>
            <w:tcBorders>
              <w:top w:val="single" w:sz="12" w:space="0" w:color="auto"/>
              <w:left w:val="single" w:sz="6" w:space="0" w:color="auto"/>
              <w:bottom w:val="single" w:sz="6" w:space="0" w:color="auto"/>
              <w:right w:val="single" w:sz="6" w:space="0" w:color="auto"/>
            </w:tcBorders>
          </w:tcPr>
          <w:p w14:paraId="51D5D6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 82</w:t>
            </w:r>
          </w:p>
        </w:tc>
        <w:tc>
          <w:tcPr>
            <w:tcW w:w="4013" w:type="dxa"/>
            <w:tcBorders>
              <w:top w:val="single" w:sz="12" w:space="0" w:color="auto"/>
              <w:left w:val="single" w:sz="6" w:space="0" w:color="auto"/>
              <w:bottom w:val="single" w:sz="6" w:space="0" w:color="auto"/>
              <w:right w:val="single" w:sz="12" w:space="0" w:color="auto"/>
            </w:tcBorders>
          </w:tcPr>
          <w:p w14:paraId="137FF6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производстве моторов М-30 на заводе № 82.</w:t>
            </w:r>
          </w:p>
        </w:tc>
      </w:tr>
      <w:tr w:rsidR="006F4095" w:rsidRPr="008127F8" w14:paraId="3F7C4ED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716AD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450" w:type="dxa"/>
            <w:tcBorders>
              <w:top w:val="single" w:sz="12" w:space="0" w:color="auto"/>
              <w:left w:val="single" w:sz="6" w:space="0" w:color="auto"/>
              <w:bottom w:val="single" w:sz="6" w:space="0" w:color="auto"/>
              <w:right w:val="single" w:sz="6" w:space="0" w:color="auto"/>
            </w:tcBorders>
          </w:tcPr>
          <w:p w14:paraId="5C1AEA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М-3264оп-6.1У</w:t>
            </w:r>
          </w:p>
        </w:tc>
        <w:tc>
          <w:tcPr>
            <w:tcW w:w="2294" w:type="dxa"/>
            <w:tcBorders>
              <w:top w:val="single" w:sz="12" w:space="0" w:color="auto"/>
              <w:left w:val="single" w:sz="6" w:space="0" w:color="auto"/>
              <w:bottom w:val="single" w:sz="6" w:space="0" w:color="auto"/>
              <w:right w:val="single" w:sz="6" w:space="0" w:color="auto"/>
            </w:tcBorders>
          </w:tcPr>
          <w:p w14:paraId="0F9ACB2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НКЭП СССР</w:t>
            </w:r>
          </w:p>
        </w:tc>
        <w:tc>
          <w:tcPr>
            <w:tcW w:w="4013" w:type="dxa"/>
            <w:tcBorders>
              <w:top w:val="single" w:sz="12" w:space="0" w:color="auto"/>
              <w:left w:val="single" w:sz="6" w:space="0" w:color="auto"/>
              <w:bottom w:val="single" w:sz="6" w:space="0" w:color="auto"/>
              <w:right w:val="single" w:sz="12" w:space="0" w:color="auto"/>
            </w:tcBorders>
          </w:tcPr>
          <w:p w14:paraId="4070B92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строительстве авиамо</w:t>
            </w:r>
            <w:r w:rsidRPr="008127F8">
              <w:rPr>
                <w:rFonts w:ascii="Times New Roman" w:hAnsi="Times New Roman"/>
                <w:color w:val="000000" w:themeColor="text1"/>
                <w:sz w:val="16"/>
                <w:szCs w:val="16"/>
              </w:rPr>
              <w:softHyphen/>
              <w:t>торного завода № 335 в г.Новосибирске.</w:t>
            </w:r>
          </w:p>
        </w:tc>
      </w:tr>
      <w:tr w:rsidR="006F4095" w:rsidRPr="008127F8" w14:paraId="1FB8862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EEA162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450" w:type="dxa"/>
            <w:tcBorders>
              <w:top w:val="single" w:sz="12" w:space="0" w:color="auto"/>
              <w:left w:val="single" w:sz="6" w:space="0" w:color="auto"/>
              <w:bottom w:val="single" w:sz="6" w:space="0" w:color="auto"/>
              <w:right w:val="single" w:sz="6" w:space="0" w:color="auto"/>
            </w:tcBorders>
          </w:tcPr>
          <w:p w14:paraId="1560B3E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М-3189оп-4.1У</w:t>
            </w:r>
          </w:p>
        </w:tc>
        <w:tc>
          <w:tcPr>
            <w:tcW w:w="2294" w:type="dxa"/>
            <w:tcBorders>
              <w:top w:val="single" w:sz="12" w:space="0" w:color="auto"/>
              <w:left w:val="single" w:sz="6" w:space="0" w:color="auto"/>
              <w:bottom w:val="single" w:sz="6" w:space="0" w:color="auto"/>
              <w:right w:val="single" w:sz="6" w:space="0" w:color="auto"/>
            </w:tcBorders>
          </w:tcPr>
          <w:p w14:paraId="39E287A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Главн. Управление НВД</w:t>
            </w:r>
          </w:p>
        </w:tc>
        <w:tc>
          <w:tcPr>
            <w:tcW w:w="4013" w:type="dxa"/>
            <w:tcBorders>
              <w:top w:val="single" w:sz="12" w:space="0" w:color="auto"/>
              <w:left w:val="single" w:sz="6" w:space="0" w:color="auto"/>
              <w:bottom w:val="single" w:sz="6" w:space="0" w:color="auto"/>
              <w:right w:val="single" w:sz="12" w:space="0" w:color="auto"/>
            </w:tcBorders>
          </w:tcPr>
          <w:p w14:paraId="427BBA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применении и производстве деревянных лопаетей винтов на самолетах</w:t>
            </w:r>
          </w:p>
        </w:tc>
      </w:tr>
      <w:tr w:rsidR="006F4095" w:rsidRPr="008127F8" w14:paraId="55EBDEA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5008D8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1450" w:type="dxa"/>
            <w:tcBorders>
              <w:top w:val="single" w:sz="12" w:space="0" w:color="auto"/>
              <w:left w:val="single" w:sz="6" w:space="0" w:color="auto"/>
              <w:bottom w:val="single" w:sz="6" w:space="0" w:color="auto"/>
              <w:right w:val="single" w:sz="6" w:space="0" w:color="auto"/>
            </w:tcBorders>
          </w:tcPr>
          <w:p w14:paraId="0141F5F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М-3096оп-1.1У</w:t>
            </w:r>
          </w:p>
        </w:tc>
        <w:tc>
          <w:tcPr>
            <w:tcW w:w="2294" w:type="dxa"/>
            <w:tcBorders>
              <w:top w:val="single" w:sz="12" w:space="0" w:color="auto"/>
              <w:left w:val="single" w:sz="6" w:space="0" w:color="auto"/>
              <w:bottom w:val="single" w:sz="6" w:space="0" w:color="auto"/>
              <w:right w:val="single" w:sz="6" w:space="0" w:color="auto"/>
            </w:tcBorders>
          </w:tcPr>
          <w:p w14:paraId="5A86E07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207</w:t>
            </w:r>
          </w:p>
        </w:tc>
        <w:tc>
          <w:tcPr>
            <w:tcW w:w="4013" w:type="dxa"/>
            <w:tcBorders>
              <w:top w:val="single" w:sz="12" w:space="0" w:color="auto"/>
              <w:left w:val="single" w:sz="6" w:space="0" w:color="auto"/>
              <w:bottom w:val="single" w:sz="6" w:space="0" w:color="auto"/>
              <w:right w:val="single" w:sz="12" w:space="0" w:color="auto"/>
            </w:tcBorders>
          </w:tcPr>
          <w:p w14:paraId="035E5B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испытании самолета</w:t>
            </w:r>
          </w:p>
        </w:tc>
      </w:tr>
      <w:tr w:rsidR="006F4095" w:rsidRPr="008127F8" w14:paraId="3F7B7B6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4C8CA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450" w:type="dxa"/>
            <w:tcBorders>
              <w:top w:val="single" w:sz="12" w:space="0" w:color="auto"/>
              <w:left w:val="single" w:sz="6" w:space="0" w:color="auto"/>
              <w:bottom w:val="single" w:sz="6" w:space="0" w:color="auto"/>
              <w:right w:val="single" w:sz="6" w:space="0" w:color="auto"/>
            </w:tcBorders>
          </w:tcPr>
          <w:p w14:paraId="3610BF4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М-3082оп-1.1У</w:t>
            </w:r>
          </w:p>
        </w:tc>
        <w:tc>
          <w:tcPr>
            <w:tcW w:w="2294" w:type="dxa"/>
            <w:tcBorders>
              <w:top w:val="single" w:sz="12" w:space="0" w:color="auto"/>
              <w:left w:val="single" w:sz="6" w:space="0" w:color="auto"/>
              <w:bottom w:val="single" w:sz="6" w:space="0" w:color="auto"/>
              <w:right w:val="single" w:sz="6" w:space="0" w:color="auto"/>
            </w:tcBorders>
          </w:tcPr>
          <w:p w14:paraId="3B85BD2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Опгавиапром НКАП</w:t>
            </w:r>
          </w:p>
        </w:tc>
        <w:tc>
          <w:tcPr>
            <w:tcW w:w="4013" w:type="dxa"/>
            <w:tcBorders>
              <w:top w:val="single" w:sz="12" w:space="0" w:color="auto"/>
              <w:left w:val="single" w:sz="6" w:space="0" w:color="auto"/>
              <w:bottom w:val="single" w:sz="6" w:space="0" w:color="auto"/>
              <w:right w:val="single" w:sz="12" w:space="0" w:color="auto"/>
            </w:tcBorders>
          </w:tcPr>
          <w:p w14:paraId="14B6AF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освоении самолета Та-3</w:t>
            </w:r>
          </w:p>
        </w:tc>
      </w:tr>
      <w:tr w:rsidR="006F4095" w:rsidRPr="008127F8" w14:paraId="786763B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F397A0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50" w:type="dxa"/>
            <w:tcBorders>
              <w:top w:val="single" w:sz="12" w:space="0" w:color="auto"/>
              <w:left w:val="single" w:sz="6" w:space="0" w:color="auto"/>
              <w:bottom w:val="single" w:sz="6" w:space="0" w:color="auto"/>
              <w:right w:val="single" w:sz="6" w:space="0" w:color="auto"/>
            </w:tcBorders>
          </w:tcPr>
          <w:p w14:paraId="5B0A479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М-3010оп-</w:t>
            </w:r>
            <w:proofErr w:type="gramStart"/>
            <w:r w:rsidRPr="008127F8">
              <w:rPr>
                <w:rFonts w:ascii="Times New Roman" w:hAnsi="Times New Roman"/>
                <w:color w:val="000000" w:themeColor="text1"/>
                <w:sz w:val="16"/>
                <w:szCs w:val="16"/>
              </w:rPr>
              <w:t>30.Ш</w:t>
            </w:r>
            <w:proofErr w:type="gramEnd"/>
          </w:p>
        </w:tc>
        <w:tc>
          <w:tcPr>
            <w:tcW w:w="2294" w:type="dxa"/>
            <w:tcBorders>
              <w:top w:val="single" w:sz="12" w:space="0" w:color="auto"/>
              <w:left w:val="single" w:sz="6" w:space="0" w:color="auto"/>
              <w:bottom w:val="single" w:sz="6" w:space="0" w:color="auto"/>
              <w:right w:val="single" w:sz="6" w:space="0" w:color="auto"/>
            </w:tcBorders>
          </w:tcPr>
          <w:p w14:paraId="346839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НКТяжмаш СССР</w:t>
            </w:r>
          </w:p>
        </w:tc>
        <w:tc>
          <w:tcPr>
            <w:tcW w:w="4013" w:type="dxa"/>
            <w:tcBorders>
              <w:top w:val="single" w:sz="12" w:space="0" w:color="auto"/>
              <w:left w:val="single" w:sz="6" w:space="0" w:color="auto"/>
              <w:bottom w:val="single" w:sz="6" w:space="0" w:color="auto"/>
              <w:right w:val="single" w:sz="12" w:space="0" w:color="auto"/>
            </w:tcBorders>
          </w:tcPr>
          <w:p w14:paraId="1D5F9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передаче завода "Под" емник" в систему НКАП.</w:t>
            </w:r>
          </w:p>
        </w:tc>
      </w:tr>
      <w:tr w:rsidR="006F4095" w:rsidRPr="008127F8" w14:paraId="13192D2B"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316930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450" w:type="dxa"/>
            <w:tcBorders>
              <w:top w:val="single" w:sz="12" w:space="0" w:color="auto"/>
              <w:left w:val="single" w:sz="6" w:space="0" w:color="auto"/>
              <w:bottom w:val="single" w:sz="6" w:space="0" w:color="auto"/>
              <w:right w:val="single" w:sz="6" w:space="0" w:color="auto"/>
            </w:tcBorders>
          </w:tcPr>
          <w:p w14:paraId="2B87F9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М-3007оп-</w:t>
            </w:r>
            <w:proofErr w:type="gramStart"/>
            <w:r w:rsidRPr="008127F8">
              <w:rPr>
                <w:rFonts w:ascii="Times New Roman" w:hAnsi="Times New Roman"/>
                <w:color w:val="000000" w:themeColor="text1"/>
                <w:sz w:val="16"/>
                <w:szCs w:val="16"/>
              </w:rPr>
              <w:t>30.Ш</w:t>
            </w:r>
            <w:proofErr w:type="gramEnd"/>
          </w:p>
        </w:tc>
        <w:tc>
          <w:tcPr>
            <w:tcW w:w="2294" w:type="dxa"/>
            <w:tcBorders>
              <w:top w:val="single" w:sz="12" w:space="0" w:color="auto"/>
              <w:left w:val="single" w:sz="6" w:space="0" w:color="auto"/>
              <w:bottom w:val="single" w:sz="6" w:space="0" w:color="auto"/>
              <w:right w:val="single" w:sz="6" w:space="0" w:color="auto"/>
            </w:tcBorders>
          </w:tcPr>
          <w:p w14:paraId="1A8CBC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240 Ермолаев</w:t>
            </w:r>
          </w:p>
        </w:tc>
        <w:tc>
          <w:tcPr>
            <w:tcW w:w="4013" w:type="dxa"/>
            <w:tcBorders>
              <w:top w:val="single" w:sz="12" w:space="0" w:color="auto"/>
              <w:left w:val="single" w:sz="6" w:space="0" w:color="auto"/>
              <w:bottom w:val="single" w:sz="6" w:space="0" w:color="auto"/>
              <w:right w:val="single" w:sz="12" w:space="0" w:color="auto"/>
            </w:tcBorders>
          </w:tcPr>
          <w:p w14:paraId="2416A0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Осерийном выпуске дизелей</w:t>
            </w:r>
          </w:p>
        </w:tc>
      </w:tr>
      <w:tr w:rsidR="006F4095" w:rsidRPr="008127F8" w14:paraId="4101D6BD"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7E6811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450" w:type="dxa"/>
            <w:tcBorders>
              <w:top w:val="single" w:sz="12" w:space="0" w:color="auto"/>
              <w:left w:val="single" w:sz="6" w:space="0" w:color="auto"/>
              <w:bottom w:val="single" w:sz="6" w:space="0" w:color="auto"/>
              <w:right w:val="single" w:sz="6" w:space="0" w:color="auto"/>
            </w:tcBorders>
          </w:tcPr>
          <w:p w14:paraId="70F351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М-3006оп-</w:t>
            </w:r>
            <w:proofErr w:type="gramStart"/>
            <w:r w:rsidRPr="008127F8">
              <w:rPr>
                <w:rFonts w:ascii="Times New Roman" w:hAnsi="Times New Roman"/>
                <w:color w:val="000000" w:themeColor="text1"/>
                <w:sz w:val="16"/>
                <w:szCs w:val="16"/>
              </w:rPr>
              <w:t>30.Ш</w:t>
            </w:r>
            <w:proofErr w:type="gramEnd"/>
          </w:p>
        </w:tc>
        <w:tc>
          <w:tcPr>
            <w:tcW w:w="2294" w:type="dxa"/>
            <w:tcBorders>
              <w:top w:val="single" w:sz="12" w:space="0" w:color="auto"/>
              <w:left w:val="single" w:sz="6" w:space="0" w:color="auto"/>
              <w:bottom w:val="single" w:sz="6" w:space="0" w:color="auto"/>
              <w:right w:val="single" w:sz="6" w:space="0" w:color="auto"/>
            </w:tcBorders>
          </w:tcPr>
          <w:p w14:paraId="418D8F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НКВМФ СССР</w:t>
            </w:r>
          </w:p>
        </w:tc>
        <w:tc>
          <w:tcPr>
            <w:tcW w:w="4013" w:type="dxa"/>
            <w:tcBorders>
              <w:top w:val="single" w:sz="12" w:space="0" w:color="auto"/>
              <w:left w:val="single" w:sz="6" w:space="0" w:color="auto"/>
              <w:bottom w:val="single" w:sz="6" w:space="0" w:color="auto"/>
              <w:right w:val="single" w:sz="12" w:space="0" w:color="auto"/>
            </w:tcBorders>
          </w:tcPr>
          <w:p w14:paraId="6EB8C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Об изготовлении моторов ГАМ.</w:t>
            </w:r>
          </w:p>
        </w:tc>
      </w:tr>
      <w:tr w:rsidR="006F4095" w:rsidRPr="008127F8" w14:paraId="255545D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E97EC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1450" w:type="dxa"/>
            <w:tcBorders>
              <w:top w:val="single" w:sz="12" w:space="0" w:color="auto"/>
              <w:left w:val="single" w:sz="6" w:space="0" w:color="auto"/>
              <w:bottom w:val="single" w:sz="6" w:space="0" w:color="auto"/>
              <w:right w:val="single" w:sz="6" w:space="0" w:color="auto"/>
            </w:tcBorders>
          </w:tcPr>
          <w:p w14:paraId="2550FF1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М-2921оп-</w:t>
            </w:r>
            <w:proofErr w:type="gramStart"/>
            <w:r w:rsidRPr="008127F8">
              <w:rPr>
                <w:rFonts w:ascii="Times New Roman" w:hAnsi="Times New Roman"/>
                <w:color w:val="000000" w:themeColor="text1"/>
                <w:sz w:val="16"/>
                <w:szCs w:val="16"/>
              </w:rPr>
              <w:t>27.Ш</w:t>
            </w:r>
            <w:proofErr w:type="gramEnd"/>
          </w:p>
        </w:tc>
        <w:tc>
          <w:tcPr>
            <w:tcW w:w="2294" w:type="dxa"/>
            <w:tcBorders>
              <w:top w:val="single" w:sz="12" w:space="0" w:color="auto"/>
              <w:left w:val="single" w:sz="6" w:space="0" w:color="auto"/>
              <w:bottom w:val="single" w:sz="6" w:space="0" w:color="auto"/>
              <w:right w:val="single" w:sz="6" w:space="0" w:color="auto"/>
            </w:tcBorders>
          </w:tcPr>
          <w:p w14:paraId="2F5618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Алексеев</w:t>
            </w:r>
          </w:p>
        </w:tc>
        <w:tc>
          <w:tcPr>
            <w:tcW w:w="4013" w:type="dxa"/>
            <w:tcBorders>
              <w:top w:val="single" w:sz="12" w:space="0" w:color="auto"/>
              <w:left w:val="single" w:sz="6" w:space="0" w:color="auto"/>
              <w:bottom w:val="single" w:sz="6" w:space="0" w:color="auto"/>
              <w:right w:val="single" w:sz="12" w:space="0" w:color="auto"/>
            </w:tcBorders>
          </w:tcPr>
          <w:p w14:paraId="150614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положении с самолетами конструкции Ермолаева.</w:t>
            </w:r>
          </w:p>
        </w:tc>
      </w:tr>
      <w:tr w:rsidR="006F4095" w:rsidRPr="008127F8" w14:paraId="17C25A8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364F3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50" w:type="dxa"/>
            <w:tcBorders>
              <w:top w:val="single" w:sz="12" w:space="0" w:color="auto"/>
              <w:left w:val="single" w:sz="6" w:space="0" w:color="auto"/>
              <w:bottom w:val="single" w:sz="6" w:space="0" w:color="auto"/>
              <w:right w:val="single" w:sz="6" w:space="0" w:color="auto"/>
            </w:tcBorders>
          </w:tcPr>
          <w:p w14:paraId="62E4A13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М-2770оп-</w:t>
            </w:r>
            <w:proofErr w:type="gramStart"/>
            <w:r w:rsidRPr="008127F8">
              <w:rPr>
                <w:rFonts w:ascii="Times New Roman" w:hAnsi="Times New Roman"/>
                <w:color w:val="000000" w:themeColor="text1"/>
                <w:sz w:val="16"/>
                <w:szCs w:val="16"/>
              </w:rPr>
              <w:t>24.Ш</w:t>
            </w:r>
            <w:proofErr w:type="gramEnd"/>
          </w:p>
        </w:tc>
        <w:tc>
          <w:tcPr>
            <w:tcW w:w="2294" w:type="dxa"/>
            <w:tcBorders>
              <w:top w:val="single" w:sz="12" w:space="0" w:color="auto"/>
              <w:left w:val="single" w:sz="6" w:space="0" w:color="auto"/>
              <w:bottom w:val="single" w:sz="6" w:space="0" w:color="auto"/>
              <w:right w:val="single" w:sz="6" w:space="0" w:color="auto"/>
            </w:tcBorders>
          </w:tcPr>
          <w:p w14:paraId="7808A5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Метрострой</w:t>
            </w:r>
          </w:p>
        </w:tc>
        <w:tc>
          <w:tcPr>
            <w:tcW w:w="4013" w:type="dxa"/>
            <w:tcBorders>
              <w:top w:val="single" w:sz="12" w:space="0" w:color="auto"/>
              <w:left w:val="single" w:sz="6" w:space="0" w:color="auto"/>
              <w:bottom w:val="single" w:sz="6" w:space="0" w:color="auto"/>
              <w:right w:val="single" w:sz="12" w:space="0" w:color="auto"/>
            </w:tcBorders>
          </w:tcPr>
          <w:p w14:paraId="7ED04A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передаче компрессоров заводу № 45 НКАП.</w:t>
            </w:r>
          </w:p>
        </w:tc>
      </w:tr>
      <w:tr w:rsidR="006F4095" w:rsidRPr="008127F8" w14:paraId="77682F2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616FD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50" w:type="dxa"/>
            <w:tcBorders>
              <w:top w:val="single" w:sz="12" w:space="0" w:color="auto"/>
              <w:left w:val="single" w:sz="6" w:space="0" w:color="auto"/>
              <w:bottom w:val="single" w:sz="6" w:space="0" w:color="auto"/>
              <w:right w:val="single" w:sz="6" w:space="0" w:color="auto"/>
            </w:tcBorders>
          </w:tcPr>
          <w:p w14:paraId="0AF5BA2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М-2110оп-</w:t>
            </w:r>
            <w:proofErr w:type="gramStart"/>
            <w:r w:rsidRPr="008127F8">
              <w:rPr>
                <w:rFonts w:ascii="Times New Roman" w:hAnsi="Times New Roman"/>
                <w:color w:val="000000" w:themeColor="text1"/>
                <w:sz w:val="16"/>
                <w:szCs w:val="16"/>
              </w:rPr>
              <w:t>6.Ш</w:t>
            </w:r>
            <w:proofErr w:type="gramEnd"/>
          </w:p>
        </w:tc>
        <w:tc>
          <w:tcPr>
            <w:tcW w:w="2294" w:type="dxa"/>
            <w:tcBorders>
              <w:top w:val="single" w:sz="12" w:space="0" w:color="auto"/>
              <w:left w:val="single" w:sz="6" w:space="0" w:color="auto"/>
              <w:bottom w:val="single" w:sz="6" w:space="0" w:color="auto"/>
              <w:right w:val="single" w:sz="6" w:space="0" w:color="auto"/>
            </w:tcBorders>
          </w:tcPr>
          <w:p w14:paraId="0FF438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Шахов</w:t>
            </w:r>
          </w:p>
        </w:tc>
        <w:tc>
          <w:tcPr>
            <w:tcW w:w="4013" w:type="dxa"/>
            <w:tcBorders>
              <w:top w:val="single" w:sz="12" w:space="0" w:color="auto"/>
              <w:left w:val="single" w:sz="6" w:space="0" w:color="auto"/>
              <w:bottom w:val="single" w:sz="6" w:space="0" w:color="auto"/>
              <w:right w:val="single" w:sz="12" w:space="0" w:color="auto"/>
            </w:tcBorders>
          </w:tcPr>
          <w:p w14:paraId="2736AB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конструкции коловратного двигателя внутр. сгорания.</w:t>
            </w:r>
          </w:p>
        </w:tc>
      </w:tr>
      <w:tr w:rsidR="006F4095" w:rsidRPr="008127F8" w14:paraId="3043422A"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2E4F64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450" w:type="dxa"/>
            <w:tcBorders>
              <w:top w:val="single" w:sz="12" w:space="0" w:color="auto"/>
              <w:left w:val="single" w:sz="6" w:space="0" w:color="auto"/>
              <w:bottom w:val="single" w:sz="6" w:space="0" w:color="auto"/>
              <w:right w:val="single" w:sz="6" w:space="0" w:color="auto"/>
            </w:tcBorders>
          </w:tcPr>
          <w:p w14:paraId="54C8F4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М-1814оп-</w:t>
            </w:r>
            <w:proofErr w:type="gramStart"/>
            <w:r w:rsidRPr="008127F8">
              <w:rPr>
                <w:rFonts w:ascii="Times New Roman" w:hAnsi="Times New Roman"/>
                <w:color w:val="000000" w:themeColor="text1"/>
                <w:sz w:val="16"/>
                <w:szCs w:val="16"/>
              </w:rPr>
              <w:t>26.П</w:t>
            </w:r>
            <w:proofErr w:type="gramEnd"/>
          </w:p>
        </w:tc>
        <w:tc>
          <w:tcPr>
            <w:tcW w:w="2294" w:type="dxa"/>
            <w:tcBorders>
              <w:top w:val="single" w:sz="12" w:space="0" w:color="auto"/>
              <w:left w:val="single" w:sz="6" w:space="0" w:color="auto"/>
              <w:bottom w:val="single" w:sz="6" w:space="0" w:color="auto"/>
              <w:right w:val="single" w:sz="6" w:space="0" w:color="auto"/>
            </w:tcBorders>
          </w:tcPr>
          <w:p w14:paraId="3C4D7D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Полковник-Сталин</w:t>
            </w:r>
          </w:p>
        </w:tc>
        <w:tc>
          <w:tcPr>
            <w:tcW w:w="4013" w:type="dxa"/>
            <w:tcBorders>
              <w:top w:val="single" w:sz="12" w:space="0" w:color="auto"/>
              <w:left w:val="single" w:sz="6" w:space="0" w:color="auto"/>
              <w:bottom w:val="single" w:sz="6" w:space="0" w:color="auto"/>
              <w:right w:val="single" w:sz="12" w:space="0" w:color="auto"/>
            </w:tcBorders>
          </w:tcPr>
          <w:p w14:paraId="03C82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объединении заводов №№ 18 и 1.</w:t>
            </w:r>
          </w:p>
        </w:tc>
      </w:tr>
      <w:tr w:rsidR="006F4095" w:rsidRPr="008127F8" w14:paraId="3515AFEB"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F4E0D3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450" w:type="dxa"/>
            <w:tcBorders>
              <w:top w:val="single" w:sz="12" w:space="0" w:color="auto"/>
              <w:left w:val="single" w:sz="6" w:space="0" w:color="auto"/>
              <w:bottom w:val="single" w:sz="6" w:space="0" w:color="auto"/>
              <w:right w:val="single" w:sz="6" w:space="0" w:color="auto"/>
            </w:tcBorders>
          </w:tcPr>
          <w:p w14:paraId="105CD2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М-1387оп-</w:t>
            </w:r>
            <w:proofErr w:type="gramStart"/>
            <w:r w:rsidRPr="008127F8">
              <w:rPr>
                <w:rFonts w:ascii="Times New Roman" w:hAnsi="Times New Roman"/>
                <w:color w:val="000000" w:themeColor="text1"/>
                <w:sz w:val="16"/>
                <w:szCs w:val="16"/>
              </w:rPr>
              <w:t>15.П</w:t>
            </w:r>
            <w:proofErr w:type="gramEnd"/>
          </w:p>
        </w:tc>
        <w:tc>
          <w:tcPr>
            <w:tcW w:w="2294" w:type="dxa"/>
            <w:tcBorders>
              <w:top w:val="single" w:sz="12" w:space="0" w:color="auto"/>
              <w:left w:val="single" w:sz="6" w:space="0" w:color="auto"/>
              <w:bottom w:val="single" w:sz="6" w:space="0" w:color="auto"/>
              <w:right w:val="single" w:sz="6" w:space="0" w:color="auto"/>
            </w:tcBorders>
          </w:tcPr>
          <w:p w14:paraId="540A90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КА</w:t>
            </w:r>
          </w:p>
        </w:tc>
        <w:tc>
          <w:tcPr>
            <w:tcW w:w="4013" w:type="dxa"/>
            <w:tcBorders>
              <w:top w:val="single" w:sz="12" w:space="0" w:color="auto"/>
              <w:left w:val="single" w:sz="6" w:space="0" w:color="auto"/>
              <w:bottom w:val="single" w:sz="6" w:space="0" w:color="auto"/>
              <w:right w:val="single" w:sz="12" w:space="0" w:color="auto"/>
            </w:tcBorders>
          </w:tcPr>
          <w:p w14:paraId="345B7E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подаче на заводы НКАП моторов.</w:t>
            </w:r>
          </w:p>
        </w:tc>
      </w:tr>
      <w:tr w:rsidR="006F4095" w:rsidRPr="008127F8" w14:paraId="19597643"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C0AA4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450" w:type="dxa"/>
            <w:tcBorders>
              <w:top w:val="single" w:sz="12" w:space="0" w:color="auto"/>
              <w:left w:val="single" w:sz="6" w:space="0" w:color="auto"/>
              <w:bottom w:val="single" w:sz="6" w:space="0" w:color="auto"/>
              <w:right w:val="single" w:sz="6" w:space="0" w:color="auto"/>
            </w:tcBorders>
          </w:tcPr>
          <w:p w14:paraId="5F55FCC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М-1119оп-</w:t>
            </w:r>
            <w:proofErr w:type="gramStart"/>
            <w:r w:rsidRPr="008127F8">
              <w:rPr>
                <w:rFonts w:ascii="Times New Roman" w:hAnsi="Times New Roman"/>
                <w:color w:val="000000" w:themeColor="text1"/>
                <w:sz w:val="16"/>
                <w:szCs w:val="16"/>
              </w:rPr>
              <w:t>8.П</w:t>
            </w:r>
            <w:proofErr w:type="gramEnd"/>
          </w:p>
        </w:tc>
        <w:tc>
          <w:tcPr>
            <w:tcW w:w="2294" w:type="dxa"/>
            <w:tcBorders>
              <w:top w:val="single" w:sz="12" w:space="0" w:color="auto"/>
              <w:left w:val="single" w:sz="6" w:space="0" w:color="auto"/>
              <w:bottom w:val="single" w:sz="6" w:space="0" w:color="auto"/>
              <w:right w:val="single" w:sz="6" w:space="0" w:color="auto"/>
            </w:tcBorders>
          </w:tcPr>
          <w:p w14:paraId="00CF00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Связи и особ. техники</w:t>
            </w:r>
          </w:p>
        </w:tc>
        <w:tc>
          <w:tcPr>
            <w:tcW w:w="4013" w:type="dxa"/>
            <w:tcBorders>
              <w:top w:val="single" w:sz="12" w:space="0" w:color="auto"/>
              <w:left w:val="single" w:sz="6" w:space="0" w:color="auto"/>
              <w:bottom w:val="single" w:sz="6" w:space="0" w:color="auto"/>
              <w:right w:val="single" w:sz="12" w:space="0" w:color="auto"/>
            </w:tcBorders>
          </w:tcPr>
          <w:p w14:paraId="205FE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О6 обнаружении и пеленгации самолетов. РККА</w:t>
            </w:r>
          </w:p>
        </w:tc>
      </w:tr>
      <w:tr w:rsidR="006F4095" w:rsidRPr="008127F8" w14:paraId="7681784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81ABA2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450" w:type="dxa"/>
            <w:tcBorders>
              <w:top w:val="single" w:sz="12" w:space="0" w:color="auto"/>
              <w:left w:val="single" w:sz="6" w:space="0" w:color="auto"/>
              <w:bottom w:val="single" w:sz="6" w:space="0" w:color="auto"/>
              <w:right w:val="single" w:sz="6" w:space="0" w:color="auto"/>
            </w:tcBorders>
          </w:tcPr>
          <w:p w14:paraId="54632E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М-1118оп-</w:t>
            </w:r>
            <w:proofErr w:type="gramStart"/>
            <w:r w:rsidRPr="008127F8">
              <w:rPr>
                <w:rFonts w:ascii="Times New Roman" w:hAnsi="Times New Roman"/>
                <w:color w:val="000000" w:themeColor="text1"/>
                <w:sz w:val="16"/>
                <w:szCs w:val="16"/>
              </w:rPr>
              <w:t>8.П</w:t>
            </w:r>
            <w:proofErr w:type="gramEnd"/>
          </w:p>
        </w:tc>
        <w:tc>
          <w:tcPr>
            <w:tcW w:w="2294" w:type="dxa"/>
            <w:tcBorders>
              <w:top w:val="single" w:sz="12" w:space="0" w:color="auto"/>
              <w:left w:val="single" w:sz="6" w:space="0" w:color="auto"/>
              <w:bottom w:val="single" w:sz="6" w:space="0" w:color="auto"/>
              <w:right w:val="single" w:sz="6" w:space="0" w:color="auto"/>
            </w:tcBorders>
          </w:tcPr>
          <w:p w14:paraId="7BF381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ТАСС</w:t>
            </w:r>
          </w:p>
        </w:tc>
        <w:tc>
          <w:tcPr>
            <w:tcW w:w="4013" w:type="dxa"/>
            <w:tcBorders>
              <w:top w:val="single" w:sz="12" w:space="0" w:color="auto"/>
              <w:left w:val="single" w:sz="6" w:space="0" w:color="auto"/>
              <w:bottom w:val="single" w:sz="6" w:space="0" w:color="auto"/>
              <w:right w:val="single" w:sz="12" w:space="0" w:color="auto"/>
            </w:tcBorders>
          </w:tcPr>
          <w:p w14:paraId="47C548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немецком изобретении бесшумного </w:t>
            </w:r>
            <w:proofErr w:type="gramStart"/>
            <w:r w:rsidRPr="008127F8">
              <w:rPr>
                <w:rFonts w:ascii="Times New Roman" w:hAnsi="Times New Roman"/>
                <w:color w:val="000000" w:themeColor="text1"/>
                <w:sz w:val="16"/>
                <w:szCs w:val="16"/>
              </w:rPr>
              <w:t>мотора .</w:t>
            </w:r>
            <w:proofErr w:type="gramEnd"/>
          </w:p>
        </w:tc>
      </w:tr>
      <w:tr w:rsidR="006F4095" w:rsidRPr="008127F8" w14:paraId="1A02DE2D"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FF0F3F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1450" w:type="dxa"/>
            <w:tcBorders>
              <w:top w:val="single" w:sz="12" w:space="0" w:color="auto"/>
              <w:left w:val="single" w:sz="6" w:space="0" w:color="auto"/>
              <w:bottom w:val="single" w:sz="6" w:space="0" w:color="auto"/>
              <w:right w:val="single" w:sz="6" w:space="0" w:color="auto"/>
            </w:tcBorders>
          </w:tcPr>
          <w:p w14:paraId="39CB59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М-1172оп-</w:t>
            </w:r>
            <w:proofErr w:type="gramStart"/>
            <w:r w:rsidRPr="008127F8">
              <w:rPr>
                <w:rFonts w:ascii="Times New Roman" w:hAnsi="Times New Roman"/>
                <w:color w:val="000000" w:themeColor="text1"/>
                <w:sz w:val="16"/>
                <w:szCs w:val="16"/>
              </w:rPr>
              <w:t>8.П</w:t>
            </w:r>
            <w:proofErr w:type="gramEnd"/>
          </w:p>
        </w:tc>
        <w:tc>
          <w:tcPr>
            <w:tcW w:w="2294" w:type="dxa"/>
            <w:tcBorders>
              <w:top w:val="single" w:sz="12" w:space="0" w:color="auto"/>
              <w:left w:val="single" w:sz="6" w:space="0" w:color="auto"/>
              <w:bottom w:val="single" w:sz="6" w:space="0" w:color="auto"/>
              <w:right w:val="single" w:sz="6" w:space="0" w:color="auto"/>
            </w:tcBorders>
          </w:tcPr>
          <w:p w14:paraId="494724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6" w:space="0" w:color="auto"/>
              <w:right w:val="single" w:sz="12" w:space="0" w:color="auto"/>
            </w:tcBorders>
          </w:tcPr>
          <w:p w14:paraId="494C95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заглушении шума само-— ^ летов.</w:t>
            </w:r>
          </w:p>
        </w:tc>
      </w:tr>
      <w:tr w:rsidR="006F4095" w:rsidRPr="008127F8" w14:paraId="725F6AA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B12122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1450" w:type="dxa"/>
            <w:tcBorders>
              <w:top w:val="single" w:sz="12" w:space="0" w:color="auto"/>
              <w:left w:val="single" w:sz="6" w:space="0" w:color="auto"/>
              <w:bottom w:val="single" w:sz="6" w:space="0" w:color="auto"/>
              <w:right w:val="single" w:sz="6" w:space="0" w:color="auto"/>
            </w:tcBorders>
          </w:tcPr>
          <w:p w14:paraId="7F4E552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М-0668оп-26.1</w:t>
            </w:r>
          </w:p>
        </w:tc>
        <w:tc>
          <w:tcPr>
            <w:tcW w:w="2294" w:type="dxa"/>
            <w:tcBorders>
              <w:top w:val="single" w:sz="12" w:space="0" w:color="auto"/>
              <w:left w:val="single" w:sz="6" w:space="0" w:color="auto"/>
              <w:bottom w:val="single" w:sz="6" w:space="0" w:color="auto"/>
              <w:right w:val="single" w:sz="6" w:space="0" w:color="auto"/>
            </w:tcBorders>
          </w:tcPr>
          <w:p w14:paraId="7B2598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 22 НКАП</w:t>
            </w:r>
          </w:p>
        </w:tc>
        <w:tc>
          <w:tcPr>
            <w:tcW w:w="4013" w:type="dxa"/>
            <w:tcBorders>
              <w:top w:val="single" w:sz="12" w:space="0" w:color="auto"/>
              <w:left w:val="single" w:sz="6" w:space="0" w:color="auto"/>
              <w:bottom w:val="single" w:sz="6" w:space="0" w:color="auto"/>
              <w:right w:val="single" w:sz="12" w:space="0" w:color="auto"/>
            </w:tcBorders>
          </w:tcPr>
          <w:p w14:paraId="6C6B7B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самолете Пе-2. Изаксон</w:t>
            </w:r>
          </w:p>
        </w:tc>
      </w:tr>
      <w:tr w:rsidR="006F4095" w:rsidRPr="008127F8" w14:paraId="21B10F2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18B04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1450" w:type="dxa"/>
            <w:tcBorders>
              <w:top w:val="single" w:sz="12" w:space="0" w:color="auto"/>
              <w:left w:val="single" w:sz="6" w:space="0" w:color="auto"/>
              <w:bottom w:val="single" w:sz="6" w:space="0" w:color="auto"/>
              <w:right w:val="single" w:sz="6" w:space="0" w:color="auto"/>
            </w:tcBorders>
          </w:tcPr>
          <w:p w14:paraId="5D4008E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М-0290оп-13.1</w:t>
            </w:r>
          </w:p>
        </w:tc>
        <w:tc>
          <w:tcPr>
            <w:tcW w:w="2294" w:type="dxa"/>
            <w:tcBorders>
              <w:top w:val="single" w:sz="12" w:space="0" w:color="auto"/>
              <w:left w:val="single" w:sz="6" w:space="0" w:color="auto"/>
              <w:bottom w:val="single" w:sz="6" w:space="0" w:color="auto"/>
              <w:right w:val="single" w:sz="6" w:space="0" w:color="auto"/>
            </w:tcBorders>
          </w:tcPr>
          <w:p w14:paraId="7CA1DF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 ГК -ВКП/б/</w:t>
            </w:r>
          </w:p>
        </w:tc>
        <w:tc>
          <w:tcPr>
            <w:tcW w:w="4013" w:type="dxa"/>
            <w:tcBorders>
              <w:top w:val="single" w:sz="12" w:space="0" w:color="auto"/>
              <w:left w:val="single" w:sz="6" w:space="0" w:color="auto"/>
              <w:bottom w:val="single" w:sz="6" w:space="0" w:color="auto"/>
              <w:right w:val="single" w:sz="12" w:space="0" w:color="auto"/>
            </w:tcBorders>
          </w:tcPr>
          <w:p w14:paraId="690FE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производстве алюминиевых ребристых радиаторов.</w:t>
            </w:r>
          </w:p>
        </w:tc>
      </w:tr>
      <w:tr w:rsidR="006F4095" w:rsidRPr="008127F8" w14:paraId="5295836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09E1F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1450" w:type="dxa"/>
            <w:tcBorders>
              <w:top w:val="single" w:sz="12" w:space="0" w:color="auto"/>
              <w:left w:val="single" w:sz="6" w:space="0" w:color="auto"/>
              <w:bottom w:val="single" w:sz="6" w:space="0" w:color="auto"/>
              <w:right w:val="single" w:sz="6" w:space="0" w:color="auto"/>
            </w:tcBorders>
          </w:tcPr>
          <w:p w14:paraId="6D34325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М-0289оп-13.1</w:t>
            </w:r>
          </w:p>
        </w:tc>
        <w:tc>
          <w:tcPr>
            <w:tcW w:w="2294" w:type="dxa"/>
            <w:tcBorders>
              <w:top w:val="single" w:sz="12" w:space="0" w:color="auto"/>
              <w:left w:val="single" w:sz="6" w:space="0" w:color="auto"/>
              <w:bottom w:val="single" w:sz="6" w:space="0" w:color="auto"/>
              <w:right w:val="single" w:sz="6" w:space="0" w:color="auto"/>
            </w:tcBorders>
          </w:tcPr>
          <w:p w14:paraId="067CBC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Парторг ЦК ВКЦ/б/ на заводе № 35</w:t>
            </w:r>
          </w:p>
        </w:tc>
        <w:tc>
          <w:tcPr>
            <w:tcW w:w="4013" w:type="dxa"/>
            <w:tcBorders>
              <w:top w:val="single" w:sz="12" w:space="0" w:color="auto"/>
              <w:left w:val="single" w:sz="6" w:space="0" w:color="auto"/>
              <w:bottom w:val="single" w:sz="6" w:space="0" w:color="auto"/>
              <w:right w:val="single" w:sz="12" w:space="0" w:color="auto"/>
            </w:tcBorders>
          </w:tcPr>
          <w:p w14:paraId="7A6011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снабжении завода электроэнергией.</w:t>
            </w:r>
          </w:p>
        </w:tc>
      </w:tr>
      <w:tr w:rsidR="006F4095" w:rsidRPr="008127F8" w14:paraId="78E7AF05"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CDE2D0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30</w:t>
            </w:r>
          </w:p>
        </w:tc>
        <w:tc>
          <w:tcPr>
            <w:tcW w:w="1450" w:type="dxa"/>
            <w:tcBorders>
              <w:top w:val="single" w:sz="12" w:space="0" w:color="auto"/>
              <w:left w:val="single" w:sz="6" w:space="0" w:color="auto"/>
              <w:bottom w:val="single" w:sz="6" w:space="0" w:color="auto"/>
              <w:right w:val="single" w:sz="6" w:space="0" w:color="auto"/>
            </w:tcBorders>
          </w:tcPr>
          <w:p w14:paraId="02724B0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М-8496оп-</w:t>
            </w:r>
            <w:proofErr w:type="gramStart"/>
            <w:r w:rsidRPr="008127F8">
              <w:rPr>
                <w:rFonts w:ascii="Times New Roman" w:hAnsi="Times New Roman"/>
                <w:color w:val="000000" w:themeColor="text1"/>
                <w:sz w:val="16"/>
                <w:szCs w:val="16"/>
              </w:rPr>
              <w:t>5.Х</w:t>
            </w:r>
            <w:proofErr w:type="gramEnd"/>
          </w:p>
        </w:tc>
        <w:tc>
          <w:tcPr>
            <w:tcW w:w="2294" w:type="dxa"/>
            <w:tcBorders>
              <w:top w:val="single" w:sz="12" w:space="0" w:color="auto"/>
              <w:left w:val="single" w:sz="6" w:space="0" w:color="auto"/>
              <w:bottom w:val="single" w:sz="6" w:space="0" w:color="auto"/>
              <w:right w:val="single" w:sz="6" w:space="0" w:color="auto"/>
            </w:tcBorders>
          </w:tcPr>
          <w:p w14:paraId="75B3F0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51 НКАП -Поликарпов</w:t>
            </w:r>
          </w:p>
        </w:tc>
        <w:tc>
          <w:tcPr>
            <w:tcW w:w="4013" w:type="dxa"/>
            <w:tcBorders>
              <w:top w:val="single" w:sz="12" w:space="0" w:color="auto"/>
              <w:left w:val="single" w:sz="6" w:space="0" w:color="auto"/>
              <w:bottom w:val="single" w:sz="6" w:space="0" w:color="auto"/>
              <w:right w:val="single" w:sz="12" w:space="0" w:color="auto"/>
            </w:tcBorders>
          </w:tcPr>
          <w:p w14:paraId="1313C7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планере-бомбардировщике.</w:t>
            </w:r>
          </w:p>
        </w:tc>
      </w:tr>
      <w:tr w:rsidR="006F4095" w:rsidRPr="008127F8" w14:paraId="149808AB"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B323A1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450" w:type="dxa"/>
            <w:tcBorders>
              <w:top w:val="single" w:sz="12" w:space="0" w:color="auto"/>
              <w:left w:val="single" w:sz="6" w:space="0" w:color="auto"/>
              <w:bottom w:val="single" w:sz="6" w:space="0" w:color="auto"/>
              <w:right w:val="single" w:sz="6" w:space="0" w:color="auto"/>
            </w:tcBorders>
          </w:tcPr>
          <w:p w14:paraId="00EA83B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М-7412оп-19.1Х</w:t>
            </w:r>
          </w:p>
        </w:tc>
        <w:tc>
          <w:tcPr>
            <w:tcW w:w="2294" w:type="dxa"/>
            <w:tcBorders>
              <w:top w:val="single" w:sz="12" w:space="0" w:color="auto"/>
              <w:left w:val="single" w:sz="6" w:space="0" w:color="auto"/>
              <w:bottom w:val="single" w:sz="6" w:space="0" w:color="auto"/>
              <w:right w:val="single" w:sz="6" w:space="0" w:color="auto"/>
            </w:tcBorders>
          </w:tcPr>
          <w:p w14:paraId="3FCB6F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w:t>
            </w:r>
            <w:proofErr w:type="gramStart"/>
            <w:r w:rsidRPr="008127F8">
              <w:rPr>
                <w:rFonts w:ascii="Times New Roman" w:hAnsi="Times New Roman"/>
                <w:color w:val="000000" w:themeColor="text1"/>
                <w:sz w:val="16"/>
                <w:szCs w:val="16"/>
              </w:rPr>
              <w:t>_.конструкторн</w:t>
            </w:r>
            <w:proofErr w:type="gramEnd"/>
            <w:r w:rsidRPr="008127F8">
              <w:rPr>
                <w:rFonts w:ascii="Times New Roman" w:hAnsi="Times New Roman"/>
                <w:color w:val="000000" w:themeColor="text1"/>
                <w:sz w:val="16"/>
                <w:szCs w:val="16"/>
              </w:rPr>
              <w:t xml:space="preserve"> НКАП Можаровский, Веневидов</w:t>
            </w:r>
          </w:p>
        </w:tc>
        <w:tc>
          <w:tcPr>
            <w:tcW w:w="4013" w:type="dxa"/>
            <w:tcBorders>
              <w:top w:val="single" w:sz="12" w:space="0" w:color="auto"/>
              <w:left w:val="single" w:sz="6" w:space="0" w:color="auto"/>
              <w:bottom w:val="single" w:sz="6" w:space="0" w:color="auto"/>
              <w:right w:val="single" w:sz="12" w:space="0" w:color="auto"/>
            </w:tcBorders>
          </w:tcPr>
          <w:p w14:paraId="7A6F2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применении новых конструкций для борьбы с противником.</w:t>
            </w:r>
          </w:p>
        </w:tc>
      </w:tr>
      <w:tr w:rsidR="006F4095" w:rsidRPr="008127F8" w14:paraId="0232FFC0"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791401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450" w:type="dxa"/>
            <w:tcBorders>
              <w:top w:val="single" w:sz="12" w:space="0" w:color="auto"/>
              <w:left w:val="single" w:sz="6" w:space="0" w:color="auto"/>
              <w:bottom w:val="single" w:sz="6" w:space="0" w:color="auto"/>
              <w:right w:val="single" w:sz="6" w:space="0" w:color="auto"/>
            </w:tcBorders>
          </w:tcPr>
          <w:p w14:paraId="0A54A6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М-08518-18.1У</w:t>
            </w:r>
          </w:p>
        </w:tc>
        <w:tc>
          <w:tcPr>
            <w:tcW w:w="2294" w:type="dxa"/>
            <w:tcBorders>
              <w:top w:val="single" w:sz="12" w:space="0" w:color="auto"/>
              <w:left w:val="single" w:sz="6" w:space="0" w:color="auto"/>
              <w:bottom w:val="single" w:sz="6" w:space="0" w:color="auto"/>
              <w:right w:val="single" w:sz="6" w:space="0" w:color="auto"/>
            </w:tcBorders>
          </w:tcPr>
          <w:p w14:paraId="6C841E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НКТяжмаш СССР</w:t>
            </w:r>
          </w:p>
        </w:tc>
        <w:tc>
          <w:tcPr>
            <w:tcW w:w="4013" w:type="dxa"/>
            <w:tcBorders>
              <w:top w:val="single" w:sz="12" w:space="0" w:color="auto"/>
              <w:left w:val="single" w:sz="6" w:space="0" w:color="auto"/>
              <w:bottom w:val="single" w:sz="6" w:space="0" w:color="auto"/>
              <w:right w:val="single" w:sz="12" w:space="0" w:color="auto"/>
            </w:tcBorders>
          </w:tcPr>
          <w:p w14:paraId="2390B9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передаче Безымянского автогенного завода.</w:t>
            </w:r>
          </w:p>
        </w:tc>
      </w:tr>
      <w:tr w:rsidR="006F4095" w:rsidRPr="008127F8" w14:paraId="34B32F58"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798A2C0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1450" w:type="dxa"/>
            <w:tcBorders>
              <w:top w:val="single" w:sz="12" w:space="0" w:color="auto"/>
              <w:left w:val="single" w:sz="6" w:space="0" w:color="auto"/>
              <w:bottom w:val="single" w:sz="12" w:space="0" w:color="auto"/>
              <w:right w:val="single" w:sz="6" w:space="0" w:color="auto"/>
            </w:tcBorders>
          </w:tcPr>
          <w:p w14:paraId="44C8337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М-08415-17.1У</w:t>
            </w:r>
          </w:p>
        </w:tc>
        <w:tc>
          <w:tcPr>
            <w:tcW w:w="2294" w:type="dxa"/>
            <w:tcBorders>
              <w:top w:val="single" w:sz="12" w:space="0" w:color="auto"/>
              <w:left w:val="single" w:sz="6" w:space="0" w:color="auto"/>
              <w:bottom w:val="single" w:sz="12" w:space="0" w:color="auto"/>
              <w:right w:val="single" w:sz="6" w:space="0" w:color="auto"/>
            </w:tcBorders>
          </w:tcPr>
          <w:p w14:paraId="4F6AE6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Сельхозотдел ЦК ВКП/б/</w:t>
            </w:r>
          </w:p>
        </w:tc>
        <w:tc>
          <w:tcPr>
            <w:tcW w:w="4013" w:type="dxa"/>
            <w:tcBorders>
              <w:top w:val="single" w:sz="12" w:space="0" w:color="auto"/>
              <w:left w:val="single" w:sz="6" w:space="0" w:color="auto"/>
              <w:bottom w:val="single" w:sz="12" w:space="0" w:color="auto"/>
              <w:right w:val="single" w:sz="12" w:space="0" w:color="auto"/>
            </w:tcBorders>
          </w:tcPr>
          <w:p w14:paraId="5313AB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 снабжении авиазаводов в Татарской республике картофелем и овощами.</w:t>
            </w:r>
          </w:p>
        </w:tc>
      </w:tr>
      <w:tr w:rsidR="006F4095" w:rsidRPr="008127F8" w14:paraId="654474B3"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592C023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450" w:type="dxa"/>
            <w:tcBorders>
              <w:top w:val="single" w:sz="12" w:space="0" w:color="auto"/>
              <w:left w:val="single" w:sz="6" w:space="0" w:color="auto"/>
              <w:bottom w:val="single" w:sz="12" w:space="0" w:color="auto"/>
              <w:right w:val="single" w:sz="6" w:space="0" w:color="auto"/>
            </w:tcBorders>
          </w:tcPr>
          <w:p w14:paraId="085D90C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М-08119-15.1У</w:t>
            </w:r>
          </w:p>
        </w:tc>
        <w:tc>
          <w:tcPr>
            <w:tcW w:w="2294" w:type="dxa"/>
            <w:tcBorders>
              <w:top w:val="single" w:sz="12" w:space="0" w:color="auto"/>
              <w:left w:val="single" w:sz="6" w:space="0" w:color="auto"/>
              <w:bottom w:val="single" w:sz="12" w:space="0" w:color="auto"/>
              <w:right w:val="single" w:sz="6" w:space="0" w:color="auto"/>
            </w:tcBorders>
          </w:tcPr>
          <w:p w14:paraId="088827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Татарский обком ВКЦ/б/</w:t>
            </w:r>
          </w:p>
        </w:tc>
        <w:tc>
          <w:tcPr>
            <w:tcW w:w="4013" w:type="dxa"/>
            <w:tcBorders>
              <w:top w:val="single" w:sz="12" w:space="0" w:color="auto"/>
              <w:left w:val="single" w:sz="6" w:space="0" w:color="auto"/>
              <w:bottom w:val="single" w:sz="12" w:space="0" w:color="auto"/>
              <w:right w:val="single" w:sz="12" w:space="0" w:color="auto"/>
            </w:tcBorders>
          </w:tcPr>
          <w:p w14:paraId="6A554B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снабжении завода № 218 специнструментом</w:t>
            </w:r>
          </w:p>
        </w:tc>
      </w:tr>
      <w:tr w:rsidR="006F4095" w:rsidRPr="008127F8" w14:paraId="1F1EA0DA"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0E3DDC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450" w:type="dxa"/>
            <w:tcBorders>
              <w:top w:val="single" w:sz="12" w:space="0" w:color="auto"/>
              <w:left w:val="single" w:sz="6" w:space="0" w:color="auto"/>
              <w:bottom w:val="single" w:sz="12" w:space="0" w:color="auto"/>
              <w:right w:val="single" w:sz="6" w:space="0" w:color="auto"/>
            </w:tcBorders>
          </w:tcPr>
          <w:p w14:paraId="764E91A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М-07565-09.1У</w:t>
            </w:r>
          </w:p>
        </w:tc>
        <w:tc>
          <w:tcPr>
            <w:tcW w:w="2294" w:type="dxa"/>
            <w:tcBorders>
              <w:top w:val="single" w:sz="12" w:space="0" w:color="auto"/>
              <w:left w:val="single" w:sz="6" w:space="0" w:color="auto"/>
              <w:bottom w:val="single" w:sz="12" w:space="0" w:color="auto"/>
              <w:right w:val="single" w:sz="6" w:space="0" w:color="auto"/>
            </w:tcBorders>
          </w:tcPr>
          <w:p w14:paraId="3F359F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кадров ЦК ВКП/б/</w:t>
            </w:r>
          </w:p>
        </w:tc>
        <w:tc>
          <w:tcPr>
            <w:tcW w:w="4013" w:type="dxa"/>
            <w:tcBorders>
              <w:top w:val="single" w:sz="12" w:space="0" w:color="auto"/>
              <w:left w:val="single" w:sz="6" w:space="0" w:color="auto"/>
              <w:bottom w:val="single" w:sz="12" w:space="0" w:color="auto"/>
              <w:right w:val="single" w:sz="12" w:space="0" w:color="auto"/>
            </w:tcBorders>
          </w:tcPr>
          <w:p w14:paraId="073BE0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спецификациях и разна</w:t>
            </w:r>
            <w:r w:rsidRPr="008127F8">
              <w:rPr>
                <w:rFonts w:ascii="Times New Roman" w:hAnsi="Times New Roman"/>
                <w:color w:val="000000" w:themeColor="text1"/>
                <w:sz w:val="16"/>
                <w:szCs w:val="16"/>
              </w:rPr>
              <w:softHyphen/>
              <w:t>рядках для заводов Сверд</w:t>
            </w:r>
            <w:r w:rsidRPr="008127F8">
              <w:rPr>
                <w:rFonts w:ascii="Times New Roman" w:hAnsi="Times New Roman"/>
                <w:color w:val="000000" w:themeColor="text1"/>
                <w:sz w:val="16"/>
                <w:szCs w:val="16"/>
              </w:rPr>
              <w:softHyphen/>
              <w:t>лове кой области</w:t>
            </w:r>
          </w:p>
        </w:tc>
      </w:tr>
      <w:tr w:rsidR="006F4095" w:rsidRPr="008127F8" w14:paraId="255C811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50D957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52B36D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 М-07501-9.1У</w:t>
            </w:r>
          </w:p>
        </w:tc>
        <w:tc>
          <w:tcPr>
            <w:tcW w:w="2294" w:type="dxa"/>
            <w:tcBorders>
              <w:top w:val="single" w:sz="12" w:space="0" w:color="auto"/>
              <w:left w:val="single" w:sz="6" w:space="0" w:color="auto"/>
              <w:bottom w:val="single" w:sz="6" w:space="0" w:color="auto"/>
              <w:right w:val="single" w:sz="6" w:space="0" w:color="auto"/>
            </w:tcBorders>
          </w:tcPr>
          <w:p w14:paraId="05E3BCD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Куйбышевский обком ВКЦ/б/</w:t>
            </w:r>
          </w:p>
        </w:tc>
        <w:tc>
          <w:tcPr>
            <w:tcW w:w="4013" w:type="dxa"/>
            <w:tcBorders>
              <w:top w:val="single" w:sz="12" w:space="0" w:color="auto"/>
              <w:left w:val="single" w:sz="6" w:space="0" w:color="auto"/>
              <w:bottom w:val="single" w:sz="6" w:space="0" w:color="auto"/>
              <w:right w:val="single" w:sz="12" w:space="0" w:color="auto"/>
            </w:tcBorders>
          </w:tcPr>
          <w:p w14:paraId="0CD0125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жилищном и коммунально-бытовом стр-ве для заводов НКАП.</w:t>
            </w:r>
          </w:p>
        </w:tc>
      </w:tr>
      <w:tr w:rsidR="006F4095" w:rsidRPr="008127F8" w14:paraId="42717908"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8D09E3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65204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 М-07486- 9.1У</w:t>
            </w:r>
          </w:p>
        </w:tc>
        <w:tc>
          <w:tcPr>
            <w:tcW w:w="2294" w:type="dxa"/>
            <w:tcBorders>
              <w:top w:val="single" w:sz="12" w:space="0" w:color="auto"/>
              <w:left w:val="single" w:sz="6" w:space="0" w:color="auto"/>
              <w:bottom w:val="single" w:sz="6" w:space="0" w:color="auto"/>
              <w:right w:val="single" w:sz="6" w:space="0" w:color="auto"/>
            </w:tcBorders>
          </w:tcPr>
          <w:p w14:paraId="338C83F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Свердловский обком ВКП/б/</w:t>
            </w:r>
          </w:p>
        </w:tc>
        <w:tc>
          <w:tcPr>
            <w:tcW w:w="4013" w:type="dxa"/>
            <w:tcBorders>
              <w:top w:val="single" w:sz="12" w:space="0" w:color="auto"/>
              <w:left w:val="single" w:sz="6" w:space="0" w:color="auto"/>
              <w:bottom w:val="single" w:sz="6" w:space="0" w:color="auto"/>
              <w:right w:val="single" w:sz="12" w:space="0" w:color="auto"/>
            </w:tcBorders>
          </w:tcPr>
          <w:p w14:paraId="30AEF17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стройматериалах для треста № 4 НКАП.</w:t>
            </w:r>
          </w:p>
        </w:tc>
      </w:tr>
      <w:tr w:rsidR="006F4095" w:rsidRPr="008127F8" w14:paraId="03AC7C35"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63D00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D564F9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 М-07370-8.1У</w:t>
            </w:r>
          </w:p>
        </w:tc>
        <w:tc>
          <w:tcPr>
            <w:tcW w:w="2294" w:type="dxa"/>
            <w:tcBorders>
              <w:top w:val="single" w:sz="12" w:space="0" w:color="auto"/>
              <w:left w:val="single" w:sz="6" w:space="0" w:color="auto"/>
              <w:bottom w:val="single" w:sz="6" w:space="0" w:color="auto"/>
              <w:right w:val="single" w:sz="6" w:space="0" w:color="auto"/>
            </w:tcBorders>
          </w:tcPr>
          <w:p w14:paraId="3338F8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НКСредмаш СССР</w:t>
            </w:r>
          </w:p>
        </w:tc>
        <w:tc>
          <w:tcPr>
            <w:tcW w:w="4013" w:type="dxa"/>
            <w:tcBorders>
              <w:top w:val="single" w:sz="12" w:space="0" w:color="auto"/>
              <w:left w:val="single" w:sz="6" w:space="0" w:color="auto"/>
              <w:bottom w:val="single" w:sz="6" w:space="0" w:color="auto"/>
              <w:right w:val="single" w:sz="12" w:space="0" w:color="auto"/>
            </w:tcBorders>
          </w:tcPr>
          <w:p w14:paraId="2B94B9E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выделении Главподшипнику самолета.</w:t>
            </w:r>
          </w:p>
        </w:tc>
      </w:tr>
      <w:tr w:rsidR="006F4095" w:rsidRPr="008127F8" w14:paraId="7E19014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B25B3F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075620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 М-07369-8.1У</w:t>
            </w:r>
          </w:p>
        </w:tc>
        <w:tc>
          <w:tcPr>
            <w:tcW w:w="2294" w:type="dxa"/>
            <w:tcBorders>
              <w:top w:val="single" w:sz="12" w:space="0" w:color="auto"/>
              <w:left w:val="single" w:sz="6" w:space="0" w:color="auto"/>
              <w:bottom w:val="single" w:sz="6" w:space="0" w:color="auto"/>
              <w:right w:val="single" w:sz="6" w:space="0" w:color="auto"/>
            </w:tcBorders>
          </w:tcPr>
          <w:p w14:paraId="723F27F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Куйбышевский обком ВКП/б/</w:t>
            </w:r>
          </w:p>
        </w:tc>
        <w:tc>
          <w:tcPr>
            <w:tcW w:w="4013" w:type="dxa"/>
            <w:tcBorders>
              <w:top w:val="single" w:sz="12" w:space="0" w:color="auto"/>
              <w:left w:val="single" w:sz="6" w:space="0" w:color="auto"/>
              <w:bottom w:val="single" w:sz="6" w:space="0" w:color="auto"/>
              <w:right w:val="single" w:sz="12" w:space="0" w:color="auto"/>
            </w:tcBorders>
          </w:tcPr>
          <w:p w14:paraId="7BEE3FF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 утверждении Галкина А.И. </w:t>
            </w:r>
            <w:proofErr w:type="gramStart"/>
            <w:r w:rsidRPr="008127F8">
              <w:rPr>
                <w:rFonts w:ascii="Times New Roman" w:hAnsi="Times New Roman"/>
                <w:color w:val="000000" w:themeColor="text1"/>
                <w:sz w:val="16"/>
                <w:szCs w:val="16"/>
              </w:rPr>
              <w:t>зав.облторготделом</w:t>
            </w:r>
            <w:proofErr w:type="gramEnd"/>
            <w:r w:rsidRPr="008127F8">
              <w:rPr>
                <w:rFonts w:ascii="Times New Roman" w:hAnsi="Times New Roman"/>
                <w:color w:val="000000" w:themeColor="text1"/>
                <w:sz w:val="16"/>
                <w:szCs w:val="16"/>
              </w:rPr>
              <w:t>.</w:t>
            </w:r>
          </w:p>
        </w:tc>
      </w:tr>
      <w:tr w:rsidR="006F4095" w:rsidRPr="008127F8" w14:paraId="1FFC6AE8"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05403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5205CAF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М-07118-5.1У</w:t>
            </w:r>
          </w:p>
        </w:tc>
        <w:tc>
          <w:tcPr>
            <w:tcW w:w="2294" w:type="dxa"/>
            <w:tcBorders>
              <w:top w:val="single" w:sz="12" w:space="0" w:color="auto"/>
              <w:left w:val="single" w:sz="6" w:space="0" w:color="auto"/>
              <w:bottom w:val="single" w:sz="6" w:space="0" w:color="auto"/>
              <w:right w:val="single" w:sz="6" w:space="0" w:color="auto"/>
            </w:tcBorders>
          </w:tcPr>
          <w:p w14:paraId="434907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Упр.Труд.Резерв.</w:t>
            </w:r>
          </w:p>
        </w:tc>
        <w:tc>
          <w:tcPr>
            <w:tcW w:w="4013" w:type="dxa"/>
            <w:tcBorders>
              <w:top w:val="single" w:sz="12" w:space="0" w:color="auto"/>
              <w:left w:val="single" w:sz="6" w:space="0" w:color="auto"/>
              <w:bottom w:val="single" w:sz="6" w:space="0" w:color="auto"/>
              <w:right w:val="single" w:sz="12" w:space="0" w:color="auto"/>
            </w:tcBorders>
          </w:tcPr>
          <w:p w14:paraId="63ADDCC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обеспечении рабочей силой завода № 335 НКАП.</w:t>
            </w:r>
          </w:p>
        </w:tc>
      </w:tr>
      <w:tr w:rsidR="006F4095" w:rsidRPr="008127F8" w14:paraId="51C9F44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319E16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8C7A8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 М-07102-5.1У</w:t>
            </w:r>
          </w:p>
        </w:tc>
        <w:tc>
          <w:tcPr>
            <w:tcW w:w="2294" w:type="dxa"/>
            <w:tcBorders>
              <w:top w:val="single" w:sz="12" w:space="0" w:color="auto"/>
              <w:left w:val="single" w:sz="6" w:space="0" w:color="auto"/>
              <w:bottom w:val="single" w:sz="6" w:space="0" w:color="auto"/>
              <w:right w:val="single" w:sz="6" w:space="0" w:color="auto"/>
            </w:tcBorders>
          </w:tcPr>
          <w:p w14:paraId="3E850E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 по строитель</w:t>
            </w:r>
            <w:r w:rsidRPr="008127F8">
              <w:rPr>
                <w:rFonts w:ascii="Times New Roman" w:hAnsi="Times New Roman"/>
                <w:color w:val="000000" w:themeColor="text1"/>
                <w:sz w:val="16"/>
                <w:szCs w:val="16"/>
              </w:rPr>
              <w:softHyphen/>
              <w:t>ству</w:t>
            </w:r>
          </w:p>
        </w:tc>
        <w:tc>
          <w:tcPr>
            <w:tcW w:w="4013" w:type="dxa"/>
            <w:tcBorders>
              <w:top w:val="single" w:sz="12" w:space="0" w:color="auto"/>
              <w:left w:val="single" w:sz="6" w:space="0" w:color="auto"/>
              <w:bottom w:val="single" w:sz="6" w:space="0" w:color="auto"/>
              <w:right w:val="single" w:sz="12" w:space="0" w:color="auto"/>
            </w:tcBorders>
          </w:tcPr>
          <w:p w14:paraId="118FB97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освобождении от пос</w:t>
            </w:r>
            <w:r w:rsidRPr="008127F8">
              <w:rPr>
                <w:rFonts w:ascii="Times New Roman" w:hAnsi="Times New Roman"/>
                <w:color w:val="000000" w:themeColor="text1"/>
                <w:sz w:val="16"/>
                <w:szCs w:val="16"/>
              </w:rPr>
              <w:softHyphen/>
              <w:t xml:space="preserve">тавки </w:t>
            </w:r>
            <w:proofErr w:type="gramStart"/>
            <w:r w:rsidRPr="008127F8">
              <w:rPr>
                <w:rFonts w:ascii="Times New Roman" w:hAnsi="Times New Roman"/>
                <w:color w:val="000000" w:themeColor="text1"/>
                <w:sz w:val="16"/>
                <w:szCs w:val="16"/>
              </w:rPr>
              <w:t>зап.частей</w:t>
            </w:r>
            <w:proofErr w:type="gramEnd"/>
            <w:r w:rsidRPr="008127F8">
              <w:rPr>
                <w:rFonts w:ascii="Times New Roman" w:hAnsi="Times New Roman"/>
                <w:color w:val="000000" w:themeColor="text1"/>
                <w:sz w:val="16"/>
                <w:szCs w:val="16"/>
              </w:rPr>
              <w:t>.к строймеханизмам.</w:t>
            </w:r>
          </w:p>
        </w:tc>
      </w:tr>
      <w:tr w:rsidR="006F4095" w:rsidRPr="008127F8" w14:paraId="2DA5FD0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BADF60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6BC546E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 М-0727-4.1У</w:t>
            </w:r>
          </w:p>
        </w:tc>
        <w:tc>
          <w:tcPr>
            <w:tcW w:w="2294" w:type="dxa"/>
            <w:tcBorders>
              <w:top w:val="single" w:sz="12" w:space="0" w:color="auto"/>
              <w:left w:val="single" w:sz="6" w:space="0" w:color="auto"/>
              <w:bottom w:val="single" w:sz="6" w:space="0" w:color="auto"/>
              <w:right w:val="single" w:sz="6" w:space="0" w:color="auto"/>
            </w:tcBorders>
          </w:tcPr>
          <w:p w14:paraId="0A3D371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Уралмашзавод</w:t>
            </w:r>
          </w:p>
        </w:tc>
        <w:tc>
          <w:tcPr>
            <w:tcW w:w="4013" w:type="dxa"/>
            <w:tcBorders>
              <w:top w:val="single" w:sz="12" w:space="0" w:color="auto"/>
              <w:left w:val="single" w:sz="6" w:space="0" w:color="auto"/>
              <w:bottom w:val="single" w:sz="6" w:space="0" w:color="auto"/>
              <w:right w:val="single" w:sz="12" w:space="0" w:color="auto"/>
            </w:tcBorders>
          </w:tcPr>
          <w:p w14:paraId="6977A2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отгрузке заготовок авиадеталей заводом № 95.</w:t>
            </w:r>
          </w:p>
        </w:tc>
      </w:tr>
      <w:tr w:rsidR="006F4095" w:rsidRPr="008127F8" w14:paraId="462F58B7"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3E9FFB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5304E6F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 М-06873-3.1У</w:t>
            </w:r>
          </w:p>
        </w:tc>
        <w:tc>
          <w:tcPr>
            <w:tcW w:w="2294" w:type="dxa"/>
            <w:tcBorders>
              <w:top w:val="single" w:sz="12" w:space="0" w:color="auto"/>
              <w:left w:val="single" w:sz="6" w:space="0" w:color="auto"/>
              <w:bottom w:val="single" w:sz="6" w:space="0" w:color="auto"/>
              <w:right w:val="single" w:sz="6" w:space="0" w:color="auto"/>
            </w:tcBorders>
          </w:tcPr>
          <w:p w14:paraId="7E1CEAB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Горьковский обком ВКЦ/б/</w:t>
            </w:r>
          </w:p>
        </w:tc>
        <w:tc>
          <w:tcPr>
            <w:tcW w:w="4013" w:type="dxa"/>
            <w:tcBorders>
              <w:top w:val="single" w:sz="12" w:space="0" w:color="auto"/>
              <w:left w:val="single" w:sz="6" w:space="0" w:color="auto"/>
              <w:bottom w:val="single" w:sz="6" w:space="0" w:color="auto"/>
              <w:right w:val="single" w:sz="12" w:space="0" w:color="auto"/>
            </w:tcBorders>
          </w:tcPr>
          <w:p w14:paraId="366470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ходе выполнения зака</w:t>
            </w:r>
            <w:r w:rsidRPr="008127F8">
              <w:rPr>
                <w:rFonts w:ascii="Times New Roman" w:hAnsi="Times New Roman"/>
                <w:color w:val="000000" w:themeColor="text1"/>
                <w:sz w:val="16"/>
                <w:szCs w:val="16"/>
              </w:rPr>
              <w:softHyphen/>
              <w:t>зов НКАП.</w:t>
            </w:r>
          </w:p>
        </w:tc>
      </w:tr>
      <w:tr w:rsidR="006F4095" w:rsidRPr="008127F8" w14:paraId="3106C07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16B487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BC6B00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 М-06858-3.1У</w:t>
            </w:r>
          </w:p>
        </w:tc>
        <w:tc>
          <w:tcPr>
            <w:tcW w:w="2294" w:type="dxa"/>
            <w:tcBorders>
              <w:top w:val="single" w:sz="12" w:space="0" w:color="auto"/>
              <w:left w:val="single" w:sz="6" w:space="0" w:color="auto"/>
              <w:bottom w:val="single" w:sz="6" w:space="0" w:color="auto"/>
              <w:right w:val="single" w:sz="6" w:space="0" w:color="auto"/>
            </w:tcBorders>
          </w:tcPr>
          <w:p w14:paraId="005ADC8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Уралмашзавод </w:t>
            </w:r>
          </w:p>
        </w:tc>
        <w:tc>
          <w:tcPr>
            <w:tcW w:w="4013" w:type="dxa"/>
            <w:tcBorders>
              <w:top w:val="single" w:sz="12" w:space="0" w:color="auto"/>
              <w:left w:val="single" w:sz="6" w:space="0" w:color="auto"/>
              <w:bottom w:val="single" w:sz="6" w:space="0" w:color="auto"/>
              <w:right w:val="single" w:sz="12" w:space="0" w:color="auto"/>
            </w:tcBorders>
          </w:tcPr>
          <w:p w14:paraId="38C9CE9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выполнении заказа авиации.</w:t>
            </w:r>
          </w:p>
        </w:tc>
      </w:tr>
      <w:tr w:rsidR="006F4095" w:rsidRPr="008127F8" w14:paraId="3B0CCDB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B1235A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4A1FA4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 М-06462-</w:t>
            </w:r>
            <w:proofErr w:type="gramStart"/>
            <w:r w:rsidRPr="008127F8">
              <w:rPr>
                <w:rFonts w:ascii="Times New Roman" w:hAnsi="Times New Roman"/>
                <w:color w:val="000000" w:themeColor="text1"/>
                <w:sz w:val="16"/>
                <w:szCs w:val="16"/>
              </w:rPr>
              <w:t>30.Ш</w:t>
            </w:r>
            <w:proofErr w:type="gramEnd"/>
          </w:p>
        </w:tc>
        <w:tc>
          <w:tcPr>
            <w:tcW w:w="2294" w:type="dxa"/>
            <w:tcBorders>
              <w:top w:val="single" w:sz="12" w:space="0" w:color="auto"/>
              <w:left w:val="single" w:sz="6" w:space="0" w:color="auto"/>
              <w:bottom w:val="single" w:sz="6" w:space="0" w:color="auto"/>
              <w:right w:val="single" w:sz="6" w:space="0" w:color="auto"/>
            </w:tcBorders>
          </w:tcPr>
          <w:p w14:paraId="450B33C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ЦК КП/б/Армении</w:t>
            </w:r>
          </w:p>
        </w:tc>
        <w:tc>
          <w:tcPr>
            <w:tcW w:w="4013" w:type="dxa"/>
            <w:tcBorders>
              <w:top w:val="single" w:sz="12" w:space="0" w:color="auto"/>
              <w:left w:val="single" w:sz="6" w:space="0" w:color="auto"/>
              <w:bottom w:val="single" w:sz="6" w:space="0" w:color="auto"/>
              <w:right w:val="single" w:sz="12" w:space="0" w:color="auto"/>
            </w:tcBorders>
          </w:tcPr>
          <w:p w14:paraId="59CD7B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отгрузке карбида.</w:t>
            </w:r>
          </w:p>
        </w:tc>
      </w:tr>
      <w:tr w:rsidR="006F4095" w:rsidRPr="008127F8" w14:paraId="1FEFD63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53DCE5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5F218AB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 М-06294-</w:t>
            </w:r>
            <w:proofErr w:type="gramStart"/>
            <w:r w:rsidRPr="008127F8">
              <w:rPr>
                <w:rFonts w:ascii="Times New Roman" w:hAnsi="Times New Roman"/>
                <w:color w:val="000000" w:themeColor="text1"/>
                <w:sz w:val="16"/>
                <w:szCs w:val="16"/>
              </w:rPr>
              <w:t>28.Ш</w:t>
            </w:r>
            <w:proofErr w:type="gramEnd"/>
          </w:p>
        </w:tc>
        <w:tc>
          <w:tcPr>
            <w:tcW w:w="2294" w:type="dxa"/>
            <w:tcBorders>
              <w:top w:val="single" w:sz="12" w:space="0" w:color="auto"/>
              <w:left w:val="single" w:sz="6" w:space="0" w:color="auto"/>
              <w:bottom w:val="single" w:sz="6" w:space="0" w:color="auto"/>
              <w:right w:val="single" w:sz="6" w:space="0" w:color="auto"/>
            </w:tcBorders>
          </w:tcPr>
          <w:p w14:paraId="24D26C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Лесозавод "Пролетарий"</w:t>
            </w:r>
          </w:p>
        </w:tc>
        <w:tc>
          <w:tcPr>
            <w:tcW w:w="4013" w:type="dxa"/>
            <w:tcBorders>
              <w:top w:val="single" w:sz="12" w:space="0" w:color="auto"/>
              <w:left w:val="single" w:sz="6" w:space="0" w:color="auto"/>
              <w:bottom w:val="single" w:sz="6" w:space="0" w:color="auto"/>
              <w:right w:val="single" w:sz="12" w:space="0" w:color="auto"/>
            </w:tcBorders>
          </w:tcPr>
          <w:p w14:paraId="37A715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вывозке авиабруска с завода.</w:t>
            </w:r>
          </w:p>
        </w:tc>
      </w:tr>
      <w:tr w:rsidR="006F4095" w:rsidRPr="008127F8" w14:paraId="65FA203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EF8EC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E9E1D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 М-06027-</w:t>
            </w:r>
            <w:proofErr w:type="gramStart"/>
            <w:r w:rsidRPr="008127F8">
              <w:rPr>
                <w:rFonts w:ascii="Times New Roman" w:hAnsi="Times New Roman"/>
                <w:color w:val="000000" w:themeColor="text1"/>
                <w:sz w:val="16"/>
                <w:szCs w:val="16"/>
              </w:rPr>
              <w:t>26 .Ш</w:t>
            </w:r>
            <w:proofErr w:type="gramEnd"/>
          </w:p>
        </w:tc>
        <w:tc>
          <w:tcPr>
            <w:tcW w:w="2294" w:type="dxa"/>
            <w:tcBorders>
              <w:top w:val="single" w:sz="12" w:space="0" w:color="auto"/>
              <w:left w:val="single" w:sz="6" w:space="0" w:color="auto"/>
              <w:bottom w:val="single" w:sz="6" w:space="0" w:color="auto"/>
              <w:right w:val="single" w:sz="6" w:space="0" w:color="auto"/>
            </w:tcBorders>
          </w:tcPr>
          <w:p w14:paraId="52D6A6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 по строительству</w:t>
            </w:r>
          </w:p>
        </w:tc>
        <w:tc>
          <w:tcPr>
            <w:tcW w:w="4013" w:type="dxa"/>
            <w:tcBorders>
              <w:top w:val="single" w:sz="12" w:space="0" w:color="auto"/>
              <w:left w:val="single" w:sz="6" w:space="0" w:color="auto"/>
              <w:bottom w:val="single" w:sz="6" w:space="0" w:color="auto"/>
              <w:right w:val="single" w:sz="12" w:space="0" w:color="auto"/>
            </w:tcBorders>
          </w:tcPr>
          <w:p w14:paraId="0FCDD1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передаче Стройуправле</w:t>
            </w:r>
            <w:r w:rsidRPr="008127F8">
              <w:rPr>
                <w:rFonts w:ascii="Times New Roman" w:hAnsi="Times New Roman"/>
                <w:color w:val="000000" w:themeColor="text1"/>
                <w:sz w:val="16"/>
                <w:szCs w:val="16"/>
              </w:rPr>
              <w:softHyphen/>
              <w:t>ния № 22 тресту № 31 НКАП.</w:t>
            </w:r>
          </w:p>
        </w:tc>
      </w:tr>
      <w:tr w:rsidR="006F4095" w:rsidRPr="008127F8" w14:paraId="20849137"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7B20E7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4E2693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 М-05743-</w:t>
            </w:r>
            <w:proofErr w:type="gramStart"/>
            <w:r w:rsidRPr="008127F8">
              <w:rPr>
                <w:rFonts w:ascii="Times New Roman" w:hAnsi="Times New Roman"/>
                <w:color w:val="000000" w:themeColor="text1"/>
                <w:sz w:val="16"/>
                <w:szCs w:val="16"/>
              </w:rPr>
              <w:t>23.Ш</w:t>
            </w:r>
            <w:proofErr w:type="gramEnd"/>
          </w:p>
        </w:tc>
        <w:tc>
          <w:tcPr>
            <w:tcW w:w="2294" w:type="dxa"/>
            <w:tcBorders>
              <w:top w:val="single" w:sz="12" w:space="0" w:color="auto"/>
              <w:left w:val="single" w:sz="6" w:space="0" w:color="auto"/>
              <w:bottom w:val="single" w:sz="6" w:space="0" w:color="auto"/>
              <w:right w:val="single" w:sz="6" w:space="0" w:color="auto"/>
            </w:tcBorders>
          </w:tcPr>
          <w:p w14:paraId="4CEC19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309 НКБ</w:t>
            </w:r>
          </w:p>
        </w:tc>
        <w:tc>
          <w:tcPr>
            <w:tcW w:w="4013" w:type="dxa"/>
            <w:tcBorders>
              <w:top w:val="single" w:sz="12" w:space="0" w:color="auto"/>
              <w:left w:val="single" w:sz="6" w:space="0" w:color="auto"/>
              <w:bottom w:val="single" w:sz="6" w:space="0" w:color="auto"/>
              <w:right w:val="single" w:sz="12" w:space="0" w:color="auto"/>
            </w:tcBorders>
          </w:tcPr>
          <w:p w14:paraId="18A8D87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поставке молока совхозом "Маяк".</w:t>
            </w:r>
          </w:p>
        </w:tc>
      </w:tr>
      <w:tr w:rsidR="006F4095" w:rsidRPr="008127F8" w14:paraId="42A3A3CA"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8C3B1D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68B3EA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 М-05741-</w:t>
            </w:r>
            <w:proofErr w:type="gramStart"/>
            <w:r w:rsidRPr="008127F8">
              <w:rPr>
                <w:rFonts w:ascii="Times New Roman" w:hAnsi="Times New Roman"/>
                <w:color w:val="000000" w:themeColor="text1"/>
                <w:sz w:val="16"/>
                <w:szCs w:val="16"/>
              </w:rPr>
              <w:t>23.Ш</w:t>
            </w:r>
            <w:proofErr w:type="gramEnd"/>
          </w:p>
        </w:tc>
        <w:tc>
          <w:tcPr>
            <w:tcW w:w="2294" w:type="dxa"/>
            <w:tcBorders>
              <w:top w:val="single" w:sz="12" w:space="0" w:color="auto"/>
              <w:left w:val="single" w:sz="6" w:space="0" w:color="auto"/>
              <w:bottom w:val="single" w:sz="6" w:space="0" w:color="auto"/>
              <w:right w:val="single" w:sz="6" w:space="0" w:color="auto"/>
            </w:tcBorders>
          </w:tcPr>
          <w:p w14:paraId="46F0796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Челябинский обком ВКП/б/</w:t>
            </w:r>
          </w:p>
        </w:tc>
        <w:tc>
          <w:tcPr>
            <w:tcW w:w="4013" w:type="dxa"/>
            <w:tcBorders>
              <w:top w:val="single" w:sz="12" w:space="0" w:color="auto"/>
              <w:left w:val="single" w:sz="6" w:space="0" w:color="auto"/>
              <w:bottom w:val="single" w:sz="6" w:space="0" w:color="auto"/>
              <w:right w:val="single" w:sz="12" w:space="0" w:color="auto"/>
            </w:tcBorders>
          </w:tcPr>
          <w:p w14:paraId="126EE06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выполнении программы на Каменском заводе № 286.</w:t>
            </w:r>
          </w:p>
        </w:tc>
      </w:tr>
      <w:tr w:rsidR="006F4095" w:rsidRPr="008127F8" w14:paraId="66DF0AE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ACF441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C73F9A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 М-04362-</w:t>
            </w:r>
            <w:proofErr w:type="gramStart"/>
            <w:r w:rsidRPr="008127F8">
              <w:rPr>
                <w:rFonts w:ascii="Times New Roman" w:hAnsi="Times New Roman"/>
                <w:color w:val="000000" w:themeColor="text1"/>
                <w:sz w:val="16"/>
                <w:szCs w:val="16"/>
              </w:rPr>
              <w:t>8.Ш</w:t>
            </w:r>
            <w:proofErr w:type="gramEnd"/>
          </w:p>
        </w:tc>
        <w:tc>
          <w:tcPr>
            <w:tcW w:w="2294" w:type="dxa"/>
            <w:tcBorders>
              <w:top w:val="single" w:sz="12" w:space="0" w:color="auto"/>
              <w:left w:val="single" w:sz="6" w:space="0" w:color="auto"/>
              <w:bottom w:val="single" w:sz="6" w:space="0" w:color="auto"/>
              <w:right w:val="single" w:sz="6" w:space="0" w:color="auto"/>
            </w:tcBorders>
          </w:tcPr>
          <w:p w14:paraId="283E3B1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Сельхозотдел ЦК ВКЦ/б/</w:t>
            </w:r>
          </w:p>
        </w:tc>
        <w:tc>
          <w:tcPr>
            <w:tcW w:w="4013" w:type="dxa"/>
            <w:tcBorders>
              <w:top w:val="single" w:sz="12" w:space="0" w:color="auto"/>
              <w:left w:val="single" w:sz="6" w:space="0" w:color="auto"/>
              <w:bottom w:val="single" w:sz="6" w:space="0" w:color="auto"/>
              <w:right w:val="single" w:sz="12" w:space="0" w:color="auto"/>
            </w:tcBorders>
          </w:tcPr>
          <w:p w14:paraId="766DA1A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 снабжении картофелем и овощами и </w:t>
            </w:r>
            <w:proofErr w:type="gramStart"/>
            <w:r w:rsidRPr="008127F8">
              <w:rPr>
                <w:rFonts w:ascii="Times New Roman" w:hAnsi="Times New Roman"/>
                <w:color w:val="000000" w:themeColor="text1"/>
                <w:sz w:val="16"/>
                <w:szCs w:val="16"/>
              </w:rPr>
              <w:t>др.продуктами</w:t>
            </w:r>
            <w:proofErr w:type="gramEnd"/>
            <w:r w:rsidRPr="008127F8">
              <w:rPr>
                <w:rFonts w:ascii="Times New Roman" w:hAnsi="Times New Roman"/>
                <w:color w:val="000000" w:themeColor="text1"/>
                <w:sz w:val="16"/>
                <w:szCs w:val="16"/>
              </w:rPr>
              <w:t xml:space="preserve"> рабоч. и служащ. авиазаводов.</w:t>
            </w:r>
          </w:p>
        </w:tc>
      </w:tr>
      <w:tr w:rsidR="006F4095" w:rsidRPr="008127F8" w14:paraId="1199D2D5"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15B3647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1E22FE4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 М-04172</w:t>
            </w:r>
          </w:p>
        </w:tc>
        <w:tc>
          <w:tcPr>
            <w:tcW w:w="2294" w:type="dxa"/>
            <w:tcBorders>
              <w:top w:val="single" w:sz="12" w:space="0" w:color="auto"/>
              <w:left w:val="single" w:sz="6" w:space="0" w:color="auto"/>
              <w:bottom w:val="single" w:sz="12" w:space="0" w:color="auto"/>
              <w:right w:val="single" w:sz="6" w:space="0" w:color="auto"/>
            </w:tcBorders>
          </w:tcPr>
          <w:p w14:paraId="3F82C99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Свердловск.обком ЗКП/б/</w:t>
            </w:r>
          </w:p>
        </w:tc>
        <w:tc>
          <w:tcPr>
            <w:tcW w:w="4013" w:type="dxa"/>
            <w:tcBorders>
              <w:top w:val="single" w:sz="12" w:space="0" w:color="auto"/>
              <w:left w:val="single" w:sz="6" w:space="0" w:color="auto"/>
              <w:bottom w:val="single" w:sz="12" w:space="0" w:color="auto"/>
              <w:right w:val="single" w:sz="12" w:space="0" w:color="auto"/>
            </w:tcBorders>
          </w:tcPr>
          <w:p w14:paraId="177C2B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досрочном выполнении за</w:t>
            </w:r>
            <w:r w:rsidRPr="008127F8">
              <w:rPr>
                <w:rFonts w:ascii="Times New Roman" w:hAnsi="Times New Roman"/>
                <w:color w:val="000000" w:themeColor="text1"/>
                <w:sz w:val="16"/>
                <w:szCs w:val="16"/>
              </w:rPr>
              <w:softHyphen/>
              <w:t>дания по двухклетьевому листопрокатному стану</w:t>
            </w:r>
          </w:p>
        </w:tc>
      </w:tr>
      <w:tr w:rsidR="006F4095" w:rsidRPr="008127F8" w14:paraId="6C05B2DD"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5539E2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28B855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52. М-03625 </w:t>
            </w:r>
            <w:proofErr w:type="gramStart"/>
            <w:r w:rsidRPr="008127F8">
              <w:rPr>
                <w:rFonts w:ascii="Times New Roman" w:hAnsi="Times New Roman"/>
                <w:color w:val="000000" w:themeColor="text1"/>
                <w:sz w:val="16"/>
                <w:szCs w:val="16"/>
              </w:rPr>
              <w:t>1.Ш</w:t>
            </w:r>
            <w:proofErr w:type="gramEnd"/>
          </w:p>
        </w:tc>
        <w:tc>
          <w:tcPr>
            <w:tcW w:w="2294" w:type="dxa"/>
            <w:tcBorders>
              <w:top w:val="single" w:sz="12" w:space="0" w:color="auto"/>
              <w:left w:val="single" w:sz="6" w:space="0" w:color="auto"/>
              <w:bottom w:val="single" w:sz="12" w:space="0" w:color="auto"/>
              <w:right w:val="single" w:sz="6" w:space="0" w:color="auto"/>
            </w:tcBorders>
          </w:tcPr>
          <w:p w14:paraId="42C6BA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НКЧермет СССР</w:t>
            </w:r>
          </w:p>
        </w:tc>
        <w:tc>
          <w:tcPr>
            <w:tcW w:w="4013" w:type="dxa"/>
            <w:tcBorders>
              <w:top w:val="single" w:sz="12" w:space="0" w:color="auto"/>
              <w:left w:val="single" w:sz="6" w:space="0" w:color="auto"/>
              <w:bottom w:val="single" w:sz="12" w:space="0" w:color="auto"/>
              <w:right w:val="single" w:sz="12" w:space="0" w:color="auto"/>
            </w:tcBorders>
          </w:tcPr>
          <w:p w14:paraId="5CFCDF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снижении фондов НКАП на 38 тн. листа для изго</w:t>
            </w:r>
            <w:r w:rsidRPr="008127F8">
              <w:rPr>
                <w:rFonts w:ascii="Times New Roman" w:hAnsi="Times New Roman"/>
                <w:color w:val="000000" w:themeColor="text1"/>
                <w:sz w:val="16"/>
                <w:szCs w:val="16"/>
              </w:rPr>
              <w:softHyphen/>
              <w:t>товления деталей ППШ</w:t>
            </w:r>
          </w:p>
        </w:tc>
      </w:tr>
      <w:tr w:rsidR="006F4095" w:rsidRPr="008127F8" w14:paraId="7959145A"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31ABAA8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21B968E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 М-33450П-</w:t>
            </w:r>
            <w:proofErr w:type="gramStart"/>
            <w:r w:rsidRPr="008127F8">
              <w:rPr>
                <w:rFonts w:ascii="Times New Roman" w:hAnsi="Times New Roman"/>
                <w:color w:val="000000" w:themeColor="text1"/>
                <w:sz w:val="16"/>
                <w:szCs w:val="16"/>
              </w:rPr>
              <w:t>9.IX</w:t>
            </w:r>
            <w:proofErr w:type="gramEnd"/>
          </w:p>
        </w:tc>
        <w:tc>
          <w:tcPr>
            <w:tcW w:w="2294" w:type="dxa"/>
            <w:tcBorders>
              <w:top w:val="single" w:sz="12" w:space="0" w:color="auto"/>
              <w:left w:val="single" w:sz="6" w:space="0" w:color="auto"/>
              <w:bottom w:val="single" w:sz="12" w:space="0" w:color="auto"/>
              <w:right w:val="single" w:sz="6" w:space="0" w:color="auto"/>
            </w:tcBorders>
          </w:tcPr>
          <w:p w14:paraId="60F9AB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 Гудков</w:t>
            </w:r>
          </w:p>
        </w:tc>
        <w:tc>
          <w:tcPr>
            <w:tcW w:w="4013" w:type="dxa"/>
            <w:tcBorders>
              <w:top w:val="single" w:sz="12" w:space="0" w:color="auto"/>
              <w:left w:val="single" w:sz="6" w:space="0" w:color="auto"/>
              <w:bottom w:val="single" w:sz="12" w:space="0" w:color="auto"/>
              <w:right w:val="single" w:sz="12" w:space="0" w:color="auto"/>
            </w:tcBorders>
          </w:tcPr>
          <w:p w14:paraId="6539E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постройке самолета типа "Аэрокобра"</w:t>
            </w:r>
          </w:p>
        </w:tc>
      </w:tr>
      <w:tr w:rsidR="006F4095" w:rsidRPr="008127F8" w14:paraId="5262298C"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696EA98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556A31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 М-3319оп-8.1У</w:t>
            </w:r>
          </w:p>
        </w:tc>
        <w:tc>
          <w:tcPr>
            <w:tcW w:w="2294" w:type="dxa"/>
            <w:tcBorders>
              <w:top w:val="single" w:sz="12" w:space="0" w:color="auto"/>
              <w:left w:val="single" w:sz="6" w:space="0" w:color="auto"/>
              <w:bottom w:val="single" w:sz="12" w:space="0" w:color="auto"/>
              <w:right w:val="single" w:sz="6" w:space="0" w:color="auto"/>
            </w:tcBorders>
          </w:tcPr>
          <w:p w14:paraId="65FFA1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12" w:space="0" w:color="auto"/>
              <w:right w:val="single" w:sz="12" w:space="0" w:color="auto"/>
            </w:tcBorders>
          </w:tcPr>
          <w:p w14:paraId="1AE15AB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передаче компрессоров заводу №- 45.</w:t>
            </w:r>
          </w:p>
        </w:tc>
      </w:tr>
      <w:tr w:rsidR="006F4095" w:rsidRPr="008127F8" w14:paraId="7C98C67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AE0BE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AF8D1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 М-3266оп-6.1У</w:t>
            </w:r>
          </w:p>
        </w:tc>
        <w:tc>
          <w:tcPr>
            <w:tcW w:w="2294" w:type="dxa"/>
            <w:tcBorders>
              <w:top w:val="single" w:sz="12" w:space="0" w:color="auto"/>
              <w:left w:val="single" w:sz="6" w:space="0" w:color="auto"/>
              <w:bottom w:val="single" w:sz="6" w:space="0" w:color="auto"/>
              <w:right w:val="single" w:sz="6" w:space="0" w:color="auto"/>
            </w:tcBorders>
          </w:tcPr>
          <w:p w14:paraId="7686FA6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Гл.Управл.ВВС КА</w:t>
            </w:r>
          </w:p>
        </w:tc>
        <w:tc>
          <w:tcPr>
            <w:tcW w:w="4013" w:type="dxa"/>
            <w:tcBorders>
              <w:top w:val="single" w:sz="12" w:space="0" w:color="auto"/>
              <w:left w:val="single" w:sz="6" w:space="0" w:color="auto"/>
              <w:bottom w:val="single" w:sz="6" w:space="0" w:color="auto"/>
              <w:right w:val="single" w:sz="12" w:space="0" w:color="auto"/>
            </w:tcBorders>
          </w:tcPr>
          <w:p w14:paraId="3341C1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увеличении программы по выпуску самолетов У-2.</w:t>
            </w:r>
          </w:p>
        </w:tc>
      </w:tr>
      <w:tr w:rsidR="006F4095" w:rsidRPr="008127F8" w14:paraId="559807E9"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C020D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5D5A4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 М-03154-</w:t>
            </w:r>
            <w:proofErr w:type="gramStart"/>
            <w:r w:rsidRPr="008127F8">
              <w:rPr>
                <w:rFonts w:ascii="Times New Roman" w:hAnsi="Times New Roman"/>
                <w:color w:val="000000" w:themeColor="text1"/>
                <w:sz w:val="16"/>
                <w:szCs w:val="16"/>
              </w:rPr>
              <w:t>24.П</w:t>
            </w:r>
            <w:proofErr w:type="gramEnd"/>
          </w:p>
        </w:tc>
        <w:tc>
          <w:tcPr>
            <w:tcW w:w="2294" w:type="dxa"/>
            <w:tcBorders>
              <w:top w:val="single" w:sz="12" w:space="0" w:color="auto"/>
              <w:left w:val="single" w:sz="6" w:space="0" w:color="auto"/>
              <w:bottom w:val="single" w:sz="6" w:space="0" w:color="auto"/>
              <w:right w:val="single" w:sz="6" w:space="0" w:color="auto"/>
            </w:tcBorders>
          </w:tcPr>
          <w:p w14:paraId="301EA0E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ЦК ВЛКСМ</w:t>
            </w:r>
          </w:p>
        </w:tc>
        <w:tc>
          <w:tcPr>
            <w:tcW w:w="4013" w:type="dxa"/>
            <w:tcBorders>
              <w:top w:val="single" w:sz="12" w:space="0" w:color="auto"/>
              <w:left w:val="single" w:sz="6" w:space="0" w:color="auto"/>
              <w:bottom w:val="single" w:sz="6" w:space="0" w:color="auto"/>
              <w:right w:val="single" w:sz="12" w:space="0" w:color="auto"/>
            </w:tcBorders>
          </w:tcPr>
          <w:p w14:paraId="220FDCD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расширении производства балинита.</w:t>
            </w:r>
          </w:p>
        </w:tc>
      </w:tr>
      <w:tr w:rsidR="006F4095" w:rsidRPr="008127F8" w14:paraId="632C8899"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4744D6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CC99D5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 М-01165-24.1</w:t>
            </w:r>
          </w:p>
        </w:tc>
        <w:tc>
          <w:tcPr>
            <w:tcW w:w="2294" w:type="dxa"/>
            <w:tcBorders>
              <w:top w:val="single" w:sz="12" w:space="0" w:color="auto"/>
              <w:left w:val="single" w:sz="6" w:space="0" w:color="auto"/>
              <w:bottom w:val="single" w:sz="6" w:space="0" w:color="auto"/>
              <w:right w:val="single" w:sz="6" w:space="0" w:color="auto"/>
            </w:tcBorders>
          </w:tcPr>
          <w:p w14:paraId="1DA5EC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ЦС Осоавиахима</w:t>
            </w:r>
          </w:p>
        </w:tc>
        <w:tc>
          <w:tcPr>
            <w:tcW w:w="4013" w:type="dxa"/>
            <w:tcBorders>
              <w:top w:val="single" w:sz="12" w:space="0" w:color="auto"/>
              <w:left w:val="single" w:sz="6" w:space="0" w:color="auto"/>
              <w:bottom w:val="single" w:sz="6" w:space="0" w:color="auto"/>
              <w:right w:val="single" w:sz="12" w:space="0" w:color="auto"/>
            </w:tcBorders>
          </w:tcPr>
          <w:p w14:paraId="0166E35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возвращении б. Голицинских планерных мастерских.</w:t>
            </w:r>
          </w:p>
        </w:tc>
      </w:tr>
      <w:tr w:rsidR="006F4095" w:rsidRPr="008127F8" w14:paraId="5A00616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3E8149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00EA928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 М-00913-18.1</w:t>
            </w:r>
          </w:p>
        </w:tc>
        <w:tc>
          <w:tcPr>
            <w:tcW w:w="2294" w:type="dxa"/>
            <w:tcBorders>
              <w:top w:val="single" w:sz="12" w:space="0" w:color="auto"/>
              <w:left w:val="single" w:sz="6" w:space="0" w:color="auto"/>
              <w:bottom w:val="single" w:sz="6" w:space="0" w:color="auto"/>
              <w:right w:val="single" w:sz="6" w:space="0" w:color="auto"/>
            </w:tcBorders>
          </w:tcPr>
          <w:p w14:paraId="4202D8F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Нач-ки цехов завода № 266 НКАП</w:t>
            </w:r>
          </w:p>
        </w:tc>
        <w:tc>
          <w:tcPr>
            <w:tcW w:w="4013" w:type="dxa"/>
            <w:tcBorders>
              <w:top w:val="single" w:sz="12" w:space="0" w:color="auto"/>
              <w:left w:val="single" w:sz="6" w:space="0" w:color="auto"/>
              <w:bottom w:val="single" w:sz="6" w:space="0" w:color="auto"/>
              <w:right w:val="single" w:sz="12" w:space="0" w:color="auto"/>
            </w:tcBorders>
          </w:tcPr>
          <w:p w14:paraId="0249885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возвращении завода в Москву.</w:t>
            </w:r>
          </w:p>
        </w:tc>
      </w:tr>
      <w:tr w:rsidR="00687FE2" w:rsidRPr="008127F8" w14:paraId="7214476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BA5603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72683C5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 М-00717-15.1</w:t>
            </w:r>
          </w:p>
        </w:tc>
        <w:tc>
          <w:tcPr>
            <w:tcW w:w="2294" w:type="dxa"/>
            <w:tcBorders>
              <w:top w:val="single" w:sz="12" w:space="0" w:color="auto"/>
              <w:left w:val="single" w:sz="6" w:space="0" w:color="auto"/>
              <w:bottom w:val="single" w:sz="6" w:space="0" w:color="auto"/>
              <w:right w:val="single" w:sz="6" w:space="0" w:color="auto"/>
            </w:tcBorders>
          </w:tcPr>
          <w:p w14:paraId="23E0088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кадров ЦК ВКП/б/</w:t>
            </w:r>
          </w:p>
        </w:tc>
        <w:tc>
          <w:tcPr>
            <w:tcW w:w="4013" w:type="dxa"/>
            <w:tcBorders>
              <w:top w:val="single" w:sz="12" w:space="0" w:color="auto"/>
              <w:left w:val="single" w:sz="6" w:space="0" w:color="auto"/>
              <w:bottom w:val="single" w:sz="6" w:space="0" w:color="auto"/>
              <w:right w:val="single" w:sz="12" w:space="0" w:color="auto"/>
            </w:tcBorders>
          </w:tcPr>
          <w:p w14:paraId="64B4405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восстановлении завода и 34 НКАП в г.Троицке (2728,145).</w:t>
            </w:r>
          </w:p>
        </w:tc>
      </w:tr>
    </w:tbl>
    <w:p w14:paraId="0F0339E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1B2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года по приказу 4 гл. управления НКАП за № 06сс во исполнение Постановления ГОКО за № 1543сс от 5 апреля 1942 года и приказа НКАП за № 269сс от 10 апреля 1942 года на площадке эвакуированного завода № 476 был вновь организован завод, которому было присвоено вновь наименование “Завод № 476” по производству магнето, авиасвечей и т.п.</w:t>
      </w:r>
    </w:p>
    <w:p w14:paraId="4CBCB9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7F18AB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1942 года – директор – Советов В.П.</w:t>
      </w:r>
    </w:p>
    <w:p w14:paraId="708835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1944 году,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347A70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 Новодмитровская, д. 12</w:t>
      </w:r>
    </w:p>
    <w:p w14:paraId="583163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79BC4E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42A47" w14:textId="77777777" w:rsidR="004759C1" w:rsidRPr="008127F8" w:rsidRDefault="004759C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апреля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w:t>
      </w:r>
    </w:p>
    <w:p w14:paraId="2E76CC5F" w14:textId="77777777" w:rsidR="004759C1" w:rsidRPr="008127F8" w:rsidRDefault="004759C1" w:rsidP="001E0A84">
      <w:pPr>
        <w:widowControl w:val="0"/>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«Информация Горьковского обкома ВКП(б) ЦК ВКП(б)</w:t>
      </w:r>
    </w:p>
    <w:p w14:paraId="1E8B258A" w14:textId="77777777" w:rsidR="004759C1" w:rsidRPr="008127F8" w:rsidRDefault="004759C1" w:rsidP="001E0A84">
      <w:pPr>
        <w:widowControl w:val="0"/>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об освоении и выпуске в Горьковской области</w:t>
      </w:r>
    </w:p>
    <w:p w14:paraId="5B2BEE7B" w14:textId="77777777" w:rsidR="004759C1" w:rsidRPr="008127F8" w:rsidRDefault="004759C1" w:rsidP="001E0A84">
      <w:pPr>
        <w:widowControl w:val="0"/>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аэросаней для Красной Армии</w:t>
      </w:r>
    </w:p>
    <w:p w14:paraId="3F68CC3C" w14:textId="77777777" w:rsidR="004759C1" w:rsidRPr="008127F8" w:rsidRDefault="004759C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Государственным Комитетом Обороны СССР на заводы Наркомречфлота Горьковской области было возложено освоение и выпуск аэросаней для Красной Армии. Это задание выполнено в феврале на 100% (270 машин) и в марте на 105% (105 машин), а всего изготовлено 565 аэросаней.</w:t>
      </w:r>
    </w:p>
    <w:p w14:paraId="326FF4B0" w14:textId="77777777" w:rsidR="004759C1" w:rsidRPr="008127F8" w:rsidRDefault="004759C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освоения разработано и применено до 370 рационализаторских предложений. Изыскано на месте 87 моторов. Коллективом конструкторов разработан, а заводами изготовлен новый тип аэросаней с автомобильным мотором М-1 и передан в серийное производство.</w:t>
      </w:r>
    </w:p>
    <w:p w14:paraId="0C0AC414" w14:textId="77777777" w:rsidR="004759C1" w:rsidRPr="008127F8" w:rsidRDefault="004759C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Горьковский обком ВКП (б) ходатайствует о награждении работников, особо отличившихся на работе по производству аэросаней.</w:t>
      </w:r>
    </w:p>
    <w:p w14:paraId="1410F954" w14:textId="77777777" w:rsidR="004759C1" w:rsidRPr="008127F8" w:rsidRDefault="004759C1"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Горьковского обкома ВКП (б)</w:t>
      </w:r>
    </w:p>
    <w:p w14:paraId="6A39B89F" w14:textId="77777777" w:rsidR="004759C1" w:rsidRPr="008127F8" w:rsidRDefault="004759C1" w:rsidP="001E0A84">
      <w:pPr>
        <w:widowControl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М. Родионов» (15218).</w:t>
      </w:r>
    </w:p>
    <w:p w14:paraId="436C92F0" w14:textId="77777777" w:rsidR="004759C1" w:rsidRPr="008127F8" w:rsidRDefault="004759C1" w:rsidP="001E0A84">
      <w:pPr>
        <w:widowControl w:val="0"/>
        <w:spacing w:after="0" w:line="240" w:lineRule="auto"/>
        <w:jc w:val="both"/>
        <w:rPr>
          <w:rFonts w:ascii="Times New Roman" w:hAnsi="Times New Roman"/>
          <w:iCs/>
          <w:color w:val="000000" w:themeColor="text1"/>
          <w:sz w:val="16"/>
          <w:szCs w:val="16"/>
        </w:rPr>
      </w:pPr>
    </w:p>
    <w:p w14:paraId="374DDF9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187C5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A9EBB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 вышло РАСПОРЯЖЕНИЕ БТУ ГАБТУ НАЧАЛЬНИКУ НИ ПОЛИГОНА ОБ ИСПЫТАНИИ АМЕРИКАНСКИХ БОЕПРИПАСОВ</w:t>
      </w:r>
    </w:p>
    <w:p w14:paraId="61C417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Казань</w:t>
      </w:r>
    </w:p>
    <w:p w14:paraId="3AB741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препровождаю наряд на требуемые Вами американские боеприпасы.</w:t>
      </w:r>
    </w:p>
    <w:p w14:paraId="2368CFC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испытании американского танка М-3 ср. стрельбой необходимо выяснить следующее:</w:t>
      </w:r>
    </w:p>
    <w:p w14:paraId="06F7E55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Бронебойное действие 37-мм бронебойно-трассирующего снаряда (стрельба по трофейным танкам).</w:t>
      </w:r>
    </w:p>
    <w:p w14:paraId="6F2682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Действие 75-мм осколочного снаряда по броне (стрельба по трофейным танкам).</w:t>
      </w:r>
    </w:p>
    <w:p w14:paraId="33612D7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Эффективность стрельбы с ходу. При стрельбе с ходу определить кучность боя как пушек, так и пулеметов.</w:t>
      </w:r>
    </w:p>
    <w:p w14:paraId="321B281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испытаний в 4 отдел БТУ должен быть представлен подробный отчет, в котором ос</w:t>
      </w:r>
      <w:r w:rsidRPr="008127F8">
        <w:rPr>
          <w:rFonts w:ascii="Times New Roman" w:hAnsi="Times New Roman"/>
          <w:color w:val="000000" w:themeColor="text1"/>
          <w:sz w:val="16"/>
          <w:szCs w:val="16"/>
        </w:rPr>
        <w:softHyphen/>
        <w:t>ветить следующие вопросы:</w:t>
      </w:r>
    </w:p>
    <w:p w14:paraId="56DDFB1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Дать оценку вооружению и маневренности танка с точки зрения эффективности борьбы аме</w:t>
      </w:r>
      <w:r w:rsidRPr="008127F8">
        <w:rPr>
          <w:rFonts w:ascii="Times New Roman" w:hAnsi="Times New Roman"/>
          <w:color w:val="000000" w:themeColor="text1"/>
          <w:sz w:val="16"/>
          <w:szCs w:val="16"/>
        </w:rPr>
        <w:softHyphen/>
        <w:t>риканского танка с танками противника.</w:t>
      </w:r>
    </w:p>
    <w:p w14:paraId="1CF630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Подробно охарактеризовать бронебойное действие снарядов (дистанция, толщина пробивае</w:t>
      </w:r>
      <w:r w:rsidRPr="008127F8">
        <w:rPr>
          <w:rFonts w:ascii="Times New Roman" w:hAnsi="Times New Roman"/>
          <w:color w:val="000000" w:themeColor="text1"/>
          <w:sz w:val="16"/>
          <w:szCs w:val="16"/>
        </w:rPr>
        <w:softHyphen/>
        <w:t xml:space="preserve">мой брони, угол встречи, характер пробоин, вид </w:t>
      </w:r>
      <w:proofErr w:type="gramStart"/>
      <w:r w:rsidRPr="008127F8">
        <w:rPr>
          <w:rFonts w:ascii="Times New Roman" w:hAnsi="Times New Roman"/>
          <w:color w:val="000000" w:themeColor="text1"/>
          <w:sz w:val="16"/>
          <w:szCs w:val="16"/>
        </w:rPr>
        <w:t>снарядов</w:t>
      </w:r>
      <w:proofErr w:type="gramEnd"/>
      <w:r w:rsidRPr="008127F8">
        <w:rPr>
          <w:rFonts w:ascii="Times New Roman" w:hAnsi="Times New Roman"/>
          <w:color w:val="000000" w:themeColor="text1"/>
          <w:sz w:val="16"/>
          <w:szCs w:val="16"/>
        </w:rPr>
        <w:t xml:space="preserve"> прошедших броню и др.).</w:t>
      </w:r>
    </w:p>
    <w:p w14:paraId="2BB7BF6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внимание уделить действию 75-мм осколочного снаряда по броне (с каких дистанций стрельба осколочным снарядом наиболее эффективна, вид пробоин и др.).</w:t>
      </w:r>
    </w:p>
    <w:p w14:paraId="433609D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Дать оценку эффективности стрельбы с ходу, сравнить с подобной стрельбой из отечественных танков. Раздел отчета о стрельбе по броне должен быть обязательно снабжен фотографиями пробоин, </w:t>
      </w:r>
      <w:proofErr w:type="gramStart"/>
      <w:r w:rsidRPr="008127F8">
        <w:rPr>
          <w:rFonts w:ascii="Times New Roman" w:hAnsi="Times New Roman"/>
          <w:color w:val="000000" w:themeColor="text1"/>
          <w:sz w:val="16"/>
          <w:szCs w:val="16"/>
        </w:rPr>
        <w:t>снарядов</w:t>
      </w:r>
      <w:proofErr w:type="gramEnd"/>
      <w:r w:rsidRPr="008127F8">
        <w:rPr>
          <w:rFonts w:ascii="Times New Roman" w:hAnsi="Times New Roman"/>
          <w:color w:val="000000" w:themeColor="text1"/>
          <w:sz w:val="16"/>
          <w:szCs w:val="16"/>
        </w:rPr>
        <w:t xml:space="preserve"> прошедших броню, осколков брони и др. Приложение: наряд в 1 экз.</w:t>
      </w:r>
    </w:p>
    <w:p w14:paraId="0B234A0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4 отдела БТУ ГАБТУ КА инженер-подполковник Ненароков</w:t>
      </w:r>
    </w:p>
    <w:p w14:paraId="63DBC3B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691. Л. 18. Копия (11211).</w:t>
      </w:r>
    </w:p>
    <w:p w14:paraId="00F0F14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B11FCE"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апреля 1942 директор завода № 592 Д.Ф. Панкратов выслал письмо в ГАБТУ и НКВ с запросом на получение 4 гаубиц М-30 и 1 комплект чертежей, 3 снарядов и зарядов к ним, а также техническую литературу. Все это требовалось для разработки технической документации для переделки StuG III в 122-СГ (23368)/</w:t>
      </w:r>
    </w:p>
    <w:p w14:paraId="5D1DF2E8" w14:textId="77777777" w:rsidR="00607B0C" w:rsidRPr="008A2E5A" w:rsidRDefault="00607B0C" w:rsidP="00607B0C">
      <w:pPr>
        <w:spacing w:after="0" w:line="240" w:lineRule="auto"/>
        <w:jc w:val="both"/>
        <w:rPr>
          <w:rFonts w:ascii="Times New Roman" w:hAnsi="Times New Roman"/>
          <w:color w:val="0070C0"/>
          <w:sz w:val="16"/>
          <w:szCs w:val="16"/>
        </w:rPr>
      </w:pPr>
    </w:p>
    <w:p w14:paraId="60FC9CA6"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20 апреля 1942 года на заводе №592 начались практические работы по подготовке технической документации по 122-СГ. Также появились тактико-технические требования на новую САУ. В это время в переписке и появляется фамилия Каштанова, хотя автором 122-СГ его назвать нельзя. Синильщиков и Перерушев продолжали руководить работами по САУ. Более того, она начала видоизменяться. Отчасти это было связано с требованиями Арктома ГАУ КА о доработках, но переделки исходного проекта вышли явно за рамки списка начала апреля 1942 года. Высоту боевого отделения ещё больше увеличили, благодаря чему появилась возможность работать, не пригибаясь, для самоходчиков ростом выше 170 см. Это повысило общую высоту САУ до 2250 мм. Изменилась экранировка лобовой части рубки, а от скоса в кормовой части конструкторы отказались, что заметно увеличило объём боевого отделения. Для улучшения ситуации с обзорностью были предусмотрены смотровые щели в лобовой части рубки, а также в ее бортах.</w:t>
      </w:r>
    </w:p>
    <w:p w14:paraId="56127B7F" w14:textId="77777777" w:rsidR="00607B0C" w:rsidRPr="008A2E5A" w:rsidRDefault="00607B0C" w:rsidP="00607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Хватало изменений и по орудию. Максимальный угол возвышения системы уменьшился до 35 градусов, но и этого вполне хватало для стрельбы с закрытых позиций. Качающаяся часть 122-мм гаубицы М-30 получила бронировку противооткатных устройств новой конструкции. Для того чтобы уравновесить качающуюся часть гаубицы, в механизм с каждой стороны были установлены дополнительные пружины. Сзади были установлены ограждение и спусковые педали, а также специальный лоток для облегчения заряжания снарядов. Кроме того, оказались переработаны снарядные укладки. Наконец, некоторые изменения произошли с точки зрения экипажа. Наводчик по горизонтали одновременно стал командиром САУ, а наводчик по вертикали – радистом. Предусматривалась установка радиостанции 9-Р и переговорных устройств ТПУ-4 бис, правда, на опытном образце их не стояло (23368).</w:t>
      </w:r>
    </w:p>
    <w:p w14:paraId="1E18A642" w14:textId="77777777" w:rsidR="00607B0C" w:rsidRPr="008A2E5A" w:rsidRDefault="00607B0C" w:rsidP="00607B0C">
      <w:pPr>
        <w:spacing w:after="0" w:line="240" w:lineRule="auto"/>
        <w:jc w:val="both"/>
        <w:rPr>
          <w:rFonts w:ascii="Times New Roman" w:hAnsi="Times New Roman"/>
          <w:color w:val="0070C0"/>
          <w:sz w:val="16"/>
          <w:szCs w:val="16"/>
        </w:rPr>
      </w:pPr>
    </w:p>
    <w:p w14:paraId="3665969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года приказ Наркома танковой промышленности № 357с (РГАЭ. Ф. 8752. Оп. 4. Д.89. Л. 123) стал свидетельством нарастающего кризиса надёжности. Предыстория этого приказа такова: переход к массовому производству танков создавал многочисленные «узкие места». В результате с целью преодоления одного из таких «узких мест» в начале 1942 года на заводе № 264 по инициативе его главного металлурга Кофмана был отменен отпуск (термическая обработка металла с целью повышения пластичности и снижения хрупкости) в термопечах корпуса танка Т-34 после сварки. Отказ от этого процесса позволял снизить энергоемкость производства. Ещё важнее было то, что термопечей завода № 264 просто не хватало для соблюдения прежней технологии производства. Отказ от отпуска позволял решить эту проблему, не прибегая к масштабным расширениям производственной базы завода. В довершение всего, закалку бронедеталей на заводе № 264 проводили не как положено, в масле, а в воде. В конечном итоге от таких действий пострадало качество. В производимых заводом корпусах танков стали появляться трещины, что послужило причиной жалоб из войск.</w:t>
      </w:r>
    </w:p>
    <w:p w14:paraId="724F48F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 танковой промышленности В. А. Малышев, лично прибыв в Сталинград и изучив ситуацию на месте, распорядился возобновить процедуру отпуска корпусов и ужесточить техконтроль. Директору завода, главному инженеру и главному металлургу был объявлен выговор, а другие директора были предупреждены о необходимости следить за точным соблюдением техпроцессов. Но инцидент на этом не был исчерпан. Через некоторое время выяснилось, что вышеупомянутая практика отклонения от техпроцесса в производстве бронекорпусов имеет место не только на заводе № 264, но и на других заводах. Дело в том, что данная ситуация была порождена не злой волей или разгильдяйством отдельных лиц, а объективными причинами: нехваткой оборудования, материалов и рабочей силы. В результате поток жалоб из войск на дефекты в броне танков нарастал (12290).</w:t>
      </w:r>
    </w:p>
    <w:p w14:paraId="66AE374A"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448C07E5" w14:textId="77777777" w:rsidR="00237F37" w:rsidRPr="008127F8" w:rsidRDefault="00237F3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20-го апреля 1942 года</w:t>
      </w:r>
    </w:p>
    <w:p w14:paraId="4B17B941"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18 – 20</w:t>
      </w:r>
      <w:r w:rsidRPr="008127F8">
        <w:rPr>
          <w:rFonts w:ascii="Times New Roman" w:eastAsia="Times New Roman" w:hAnsi="Times New Roman"/>
          <w:color w:val="000000" w:themeColor="text1"/>
          <w:sz w:val="16"/>
          <w:szCs w:val="16"/>
          <w:lang w:eastAsia="ru-RU"/>
        </w:rPr>
        <w:t xml:space="preserve"> </w:t>
      </w:r>
    </w:p>
    <w:p w14:paraId="682ABD0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4AA22A7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4A43827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1AF1501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357c</w:t>
      </w:r>
    </w:p>
    <w:p w14:paraId="369A976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20-го апреля 1942 года.</w:t>
      </w:r>
    </w:p>
    <w:p w14:paraId="63AE95A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результате целого ряда нарушений технологического процесса на заводе № 264 (отмена низкого отпуска, частичная отмена сварки аустенитовыми электродами, калка в воде вместо масла, увеличение размеров сварочных швов на некоторых деталях) качество выпускаемых заводом танков Т-34 – ухудшилось, и значительное количество корпусов в период март – апрель было выпущено заводом с трещинами, обнаруженными на СТЗ. Явилось это результатом технологической распущенности, существовавшей на заводе и безответственности работников, нарушавших технологический процесс. ПРИКАЗЫВАЮ: </w:t>
      </w:r>
    </w:p>
    <w:p w14:paraId="3BB09FC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Указать директору завода тов. КОРДУНЕР и главному инженеру тов. ХОДОС на отсутствие с их стороны должной борьбы и либеральное отношение к нарушителям технологических процессов и на легкомысленность в решении ряда технических вопросов. </w:t>
      </w:r>
    </w:p>
    <w:p w14:paraId="01ED98C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Объявить выговор начальнику металлургического отдела завода тов. КОФМАНУ за предложенную им отмену низкого отпуска. </w:t>
      </w:r>
    </w:p>
    <w:p w14:paraId="130A4F0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Поставить на вид главному технологу завода тов. МОСЕЛЮ – за отмену им сварки аустенитовыми электродами. </w:t>
      </w:r>
    </w:p>
    <w:p w14:paraId="0D867F6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Предупредить всех поименованных выше товарищей о том, что в случае повторения подобной практики и ошибок на заводе – на них будет наложено очень суровое взыскание, вплоть до придания их суду. </w:t>
      </w:r>
    </w:p>
    <w:p w14:paraId="7BD1BA2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5. Предупредить руководителей других заводов о том, что подобное легкомысленное отношение к изменению технологических процессов, а также либеральное отношение директоров и главных инженеров заводов к нарушителям технологических процессов может привести к серьезным последствиям и ухудшению качества выпускаемой для фронта продукции. </w:t>
      </w:r>
    </w:p>
    <w:p w14:paraId="37DF450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Утвердить мероприятия по улучшению качества корпусов, изложенные в приказе директора завода тов. КОРДУНЕР от 17-го апреля с/г и обязать тов. КОРДУНЕРА и главного инженера тов. ХОДОСА – при всех условиях выполнить намеченные мероприятия. </w:t>
      </w:r>
    </w:p>
    <w:p w14:paraId="0B6910A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Обязать директора завода тов. КОРДУНЕРА принять немедленные и эффективные меры к срочному исправлению корпусов, находящихся на СТЗ. </w:t>
      </w:r>
    </w:p>
    <w:p w14:paraId="58B116C8"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1CC3EC5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 МАЛЫШЕВ)</w:t>
      </w:r>
    </w:p>
    <w:p w14:paraId="234FB9B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3485 </w:t>
      </w:r>
    </w:p>
    <w:p w14:paraId="4493E2EA" w14:textId="77777777" w:rsidR="00237F37" w:rsidRPr="008127F8" w:rsidRDefault="00237F3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Отп. 1 экз. (18939).</w:t>
      </w:r>
    </w:p>
    <w:p w14:paraId="78751182" w14:textId="77777777" w:rsidR="00237F37" w:rsidRPr="008127F8" w:rsidRDefault="00237F37" w:rsidP="001E0A84">
      <w:pPr>
        <w:spacing w:after="0" w:line="240" w:lineRule="auto"/>
        <w:jc w:val="both"/>
        <w:rPr>
          <w:rFonts w:ascii="Times New Roman" w:hAnsi="Times New Roman"/>
          <w:color w:val="000000" w:themeColor="text1"/>
          <w:sz w:val="16"/>
          <w:szCs w:val="16"/>
        </w:rPr>
      </w:pPr>
    </w:p>
    <w:p w14:paraId="3E2D94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 апреля 1942 г. - началу развертыва</w:t>
      </w:r>
      <w:r w:rsidRPr="008127F8">
        <w:rPr>
          <w:rFonts w:ascii="Times New Roman" w:hAnsi="Times New Roman"/>
          <w:color w:val="000000" w:themeColor="text1"/>
          <w:sz w:val="16"/>
          <w:szCs w:val="16"/>
        </w:rPr>
        <w:softHyphen/>
        <w:t>ния ремонта трофейных мо</w:t>
      </w:r>
      <w:r w:rsidRPr="008127F8">
        <w:rPr>
          <w:rFonts w:ascii="Times New Roman" w:hAnsi="Times New Roman"/>
          <w:color w:val="000000" w:themeColor="text1"/>
          <w:sz w:val="16"/>
          <w:szCs w:val="16"/>
        </w:rPr>
        <w:softHyphen/>
        <w:t>тоциклов в Серпухове, для инженерного обеспечения этих работ, на СМЗ коман</w:t>
      </w:r>
      <w:r w:rsidRPr="008127F8">
        <w:rPr>
          <w:rFonts w:ascii="Times New Roman" w:hAnsi="Times New Roman"/>
          <w:color w:val="000000" w:themeColor="text1"/>
          <w:sz w:val="16"/>
          <w:szCs w:val="16"/>
        </w:rPr>
        <w:softHyphen/>
        <w:t>дировали большую группу специалистов по мотоцикло-строению в составе: В.В. Ро</w:t>
      </w:r>
      <w:r w:rsidRPr="008127F8">
        <w:rPr>
          <w:rFonts w:ascii="Times New Roman" w:hAnsi="Times New Roman"/>
          <w:color w:val="000000" w:themeColor="text1"/>
          <w:sz w:val="16"/>
          <w:szCs w:val="16"/>
        </w:rPr>
        <w:softHyphen/>
        <w:t>гожин - руководитель, быв</w:t>
      </w:r>
      <w:r w:rsidRPr="008127F8">
        <w:rPr>
          <w:rFonts w:ascii="Times New Roman" w:hAnsi="Times New Roman"/>
          <w:color w:val="000000" w:themeColor="text1"/>
          <w:sz w:val="16"/>
          <w:szCs w:val="16"/>
        </w:rPr>
        <w:softHyphen/>
        <w:t>ший главный конструктор ИжМЗ, С.Ю. Иваницкий, В.О. Латы</w:t>
      </w:r>
      <w:r w:rsidRPr="008127F8">
        <w:rPr>
          <w:rFonts w:ascii="Times New Roman" w:hAnsi="Times New Roman"/>
          <w:color w:val="000000" w:themeColor="text1"/>
          <w:sz w:val="16"/>
          <w:szCs w:val="16"/>
        </w:rPr>
        <w:softHyphen/>
        <w:t>шев, Н.И. Матюшин, Н.Г. Одонько и в соответствие с решением ГКО СССР в Серпухове организовали Ведущее конструкторское бюро (ВКБ). Первоочередной его задачей стало изучение конст</w:t>
      </w:r>
      <w:r w:rsidRPr="008127F8">
        <w:rPr>
          <w:rFonts w:ascii="Times New Roman" w:hAnsi="Times New Roman"/>
          <w:color w:val="000000" w:themeColor="text1"/>
          <w:sz w:val="16"/>
          <w:szCs w:val="16"/>
        </w:rPr>
        <w:softHyphen/>
        <w:t>рукций трофейных мотоциклов, поступавших на СМЗ, и оказание помощи заводу в ремонте, а в перспективе - создание отечествен</w:t>
      </w:r>
      <w:r w:rsidRPr="008127F8">
        <w:rPr>
          <w:rFonts w:ascii="Times New Roman" w:hAnsi="Times New Roman"/>
          <w:color w:val="000000" w:themeColor="text1"/>
          <w:sz w:val="16"/>
          <w:szCs w:val="16"/>
        </w:rPr>
        <w:softHyphen/>
        <w:t>ных мотоциклов нового поколения. Названные сотрудники стали ядром нового творческого коллектива, руководить которым пору</w:t>
      </w:r>
      <w:r w:rsidRPr="008127F8">
        <w:rPr>
          <w:rFonts w:ascii="Times New Roman" w:hAnsi="Times New Roman"/>
          <w:color w:val="000000" w:themeColor="text1"/>
          <w:sz w:val="16"/>
          <w:szCs w:val="16"/>
        </w:rPr>
        <w:softHyphen/>
        <w:t>чили В.В. Рогожину, имевшему опыт конструктора и испытателя по предшествующей работе на ИжМЗ и ММЗ. Коллективу ВКБ предоставили освободившиеся производственные площади СМЗ, с которых в 1941 г. оборудование эвакуировали на ТМЗ. Отсутствие благоустроенных помещений, инвентаря, обору</w:t>
      </w:r>
      <w:r w:rsidRPr="008127F8">
        <w:rPr>
          <w:rFonts w:ascii="Times New Roman" w:hAnsi="Times New Roman"/>
          <w:color w:val="000000" w:themeColor="text1"/>
          <w:sz w:val="16"/>
          <w:szCs w:val="16"/>
        </w:rPr>
        <w:softHyphen/>
        <w:t>дования и необходимых кадров не позволяло заняться проектны</w:t>
      </w:r>
      <w:r w:rsidRPr="008127F8">
        <w:rPr>
          <w:rFonts w:ascii="Times New Roman" w:hAnsi="Times New Roman"/>
          <w:color w:val="000000" w:themeColor="text1"/>
          <w:sz w:val="16"/>
          <w:szCs w:val="16"/>
        </w:rPr>
        <w:softHyphen/>
        <w:t>ми работами по перспективным мотоциклам. Предоставленных 150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оказалось достаточно для начала работы, сводившейся к изучению устройства трофейных мотоциклов и оказанию инже</w:t>
      </w:r>
      <w:r w:rsidRPr="008127F8">
        <w:rPr>
          <w:rFonts w:ascii="Times New Roman" w:hAnsi="Times New Roman"/>
          <w:color w:val="000000" w:themeColor="text1"/>
          <w:sz w:val="16"/>
          <w:szCs w:val="16"/>
        </w:rPr>
        <w:softHyphen/>
        <w:t>нерно-конструкторской помощи специалистам СМЗ, осваивав</w:t>
      </w:r>
      <w:r w:rsidRPr="008127F8">
        <w:rPr>
          <w:rFonts w:ascii="Times New Roman" w:hAnsi="Times New Roman"/>
          <w:color w:val="000000" w:themeColor="text1"/>
          <w:sz w:val="16"/>
          <w:szCs w:val="16"/>
        </w:rPr>
        <w:softHyphen/>
        <w:t>шим ремонт немецкой мототехники. Эта работа способствовала росту квалификации конструкторов ВКБ, ведь им пришлось раз</w:t>
      </w:r>
      <w:r w:rsidRPr="008127F8">
        <w:rPr>
          <w:rFonts w:ascii="Times New Roman" w:hAnsi="Times New Roman"/>
          <w:color w:val="000000" w:themeColor="text1"/>
          <w:sz w:val="16"/>
          <w:szCs w:val="16"/>
        </w:rPr>
        <w:softHyphen/>
        <w:t>рабатывать чертежи деталей иномарок при дефиците станков, материалов и квалификации исполнителей. Приходилось не толь</w:t>
      </w:r>
      <w:r w:rsidRPr="008127F8">
        <w:rPr>
          <w:rFonts w:ascii="Times New Roman" w:hAnsi="Times New Roman"/>
          <w:color w:val="000000" w:themeColor="text1"/>
          <w:sz w:val="16"/>
          <w:szCs w:val="16"/>
        </w:rPr>
        <w:softHyphen/>
        <w:t>ко ремонтировать отказавшие детали мотоциклов, но и многие заново проектировать и изготавливать.</w:t>
      </w:r>
    </w:p>
    <w:p w14:paraId="75AC77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Ижевскую группу специалистов активно поддержали Город</w:t>
      </w:r>
      <w:r w:rsidRPr="008127F8">
        <w:rPr>
          <w:rFonts w:ascii="Times New Roman" w:hAnsi="Times New Roman"/>
          <w:color w:val="000000" w:themeColor="text1"/>
          <w:sz w:val="16"/>
          <w:szCs w:val="16"/>
        </w:rPr>
        <w:softHyphen/>
        <w:t>ской комитет ВКП(б) и Городской комитет обороны. С их помо</w:t>
      </w:r>
      <w:r w:rsidRPr="008127F8">
        <w:rPr>
          <w:rFonts w:ascii="Times New Roman" w:hAnsi="Times New Roman"/>
          <w:color w:val="000000" w:themeColor="text1"/>
          <w:sz w:val="16"/>
          <w:szCs w:val="16"/>
        </w:rPr>
        <w:softHyphen/>
        <w:t>щью к ремонту трофейных мотоциклов привлекли допризывную молодежь города. Организацию ремонта возложили на специали</w:t>
      </w:r>
      <w:r w:rsidRPr="008127F8">
        <w:rPr>
          <w:rFonts w:ascii="Times New Roman" w:hAnsi="Times New Roman"/>
          <w:color w:val="000000" w:themeColor="text1"/>
          <w:sz w:val="16"/>
          <w:szCs w:val="16"/>
        </w:rPr>
        <w:softHyphen/>
        <w:t>стов ВКБ, которым приходилось не только следить за ремонтом мотоциклов, но и обучать юношей и девушек рабочим профессиям. Благодаря этой деятельности СМЗ стал одним из первых восста</w:t>
      </w:r>
      <w:r w:rsidRPr="008127F8">
        <w:rPr>
          <w:rFonts w:ascii="Times New Roman" w:hAnsi="Times New Roman"/>
          <w:color w:val="000000" w:themeColor="text1"/>
          <w:sz w:val="16"/>
          <w:szCs w:val="16"/>
        </w:rPr>
        <w:softHyphen/>
        <w:t>новленных заводов в городе и важным центром по ремонту трофейных мотоциклов. По мере продвижения фронта на Запад ор</w:t>
      </w:r>
      <w:r w:rsidRPr="008127F8">
        <w:rPr>
          <w:rFonts w:ascii="Times New Roman" w:hAnsi="Times New Roman"/>
          <w:color w:val="000000" w:themeColor="text1"/>
          <w:sz w:val="16"/>
          <w:szCs w:val="16"/>
        </w:rPr>
        <w:softHyphen/>
        <w:t>ганизовывали регулярную доставку трофейных мотоциклов в Серпухов [5.55].</w:t>
      </w:r>
    </w:p>
    <w:p w14:paraId="747EAD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Большое разнообразие поступавших на СМЗ моделей тро</w:t>
      </w:r>
      <w:r w:rsidRPr="008127F8">
        <w:rPr>
          <w:rFonts w:ascii="Times New Roman" w:hAnsi="Times New Roman"/>
          <w:color w:val="000000" w:themeColor="text1"/>
          <w:sz w:val="16"/>
          <w:szCs w:val="16"/>
        </w:rPr>
        <w:softHyphen/>
        <w:t>фейных мотоциклов, в том числе и лучших конструкций того вре</w:t>
      </w:r>
      <w:r w:rsidRPr="008127F8">
        <w:rPr>
          <w:rFonts w:ascii="Times New Roman" w:hAnsi="Times New Roman"/>
          <w:color w:val="000000" w:themeColor="text1"/>
          <w:sz w:val="16"/>
          <w:szCs w:val="16"/>
        </w:rPr>
        <w:softHyphen/>
        <w:t>мени, способствовало всестороннему обучению ремонтников и усвоению передовой европейской мотоциклетной мысли как зре</w:t>
      </w:r>
      <w:r w:rsidRPr="008127F8">
        <w:rPr>
          <w:rFonts w:ascii="Times New Roman" w:hAnsi="Times New Roman"/>
          <w:color w:val="000000" w:themeColor="text1"/>
          <w:sz w:val="16"/>
          <w:szCs w:val="16"/>
        </w:rPr>
        <w:softHyphen/>
        <w:t>лыми конструкторами отечественных мотоциклов, так и рабочей молодежью, выполнявшей необходимые чертежные и производ</w:t>
      </w:r>
      <w:r w:rsidRPr="008127F8">
        <w:rPr>
          <w:rFonts w:ascii="Times New Roman" w:hAnsi="Times New Roman"/>
          <w:color w:val="000000" w:themeColor="text1"/>
          <w:sz w:val="16"/>
          <w:szCs w:val="16"/>
        </w:rPr>
        <w:softHyphen/>
        <w:t>ственные работы по восстановлению трофейной мототехники. Всё это обогащало новыми знаниями сотрудников ВКБ и СМЗ, подготавливало их к созданию новых отечественных мотоциклов в послевоенный период (11429).</w:t>
      </w:r>
    </w:p>
    <w:p w14:paraId="3AE52A4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93091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 вышло РАСПОРЯЖЕНИЕ НАЧАЛЬНИКА ГАБТУ КОМАНДИРУ 689 АП ВОД О КОМАНДИРОВАНИИ КРАСНОАРМЕЙЦА Ф.С. КОРШУНОВА В АТУ ДЛЯ РАССМОТРЕНИЯ ЕГО ПРЕДЛОЖЕНИЙ</w:t>
      </w:r>
    </w:p>
    <w:p w14:paraId="17D1369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1-го дивизиона т. Коршунов Ф.С. имеет ряд ценных предложений по вопросу экс</w:t>
      </w:r>
      <w:r w:rsidRPr="008127F8">
        <w:rPr>
          <w:rFonts w:ascii="Times New Roman" w:hAnsi="Times New Roman"/>
          <w:color w:val="000000" w:themeColor="text1"/>
          <w:sz w:val="16"/>
          <w:szCs w:val="16"/>
        </w:rPr>
        <w:softHyphen/>
        <w:t>плуатации автотранспорта. Заместитель народного комиссара обороны Союза ССР генерал-лейте</w:t>
      </w:r>
      <w:r w:rsidRPr="008127F8">
        <w:rPr>
          <w:rFonts w:ascii="Times New Roman" w:hAnsi="Times New Roman"/>
          <w:color w:val="000000" w:themeColor="text1"/>
          <w:sz w:val="16"/>
          <w:szCs w:val="16"/>
        </w:rPr>
        <w:softHyphen/>
        <w:t>нант танковых войск т. Федоренко приказал срочно командировать красноармейца т. Коршунова во 2 отдел автотракторного управления ГАБТУ КА со всеми имеющимися у него материалами, по его предложению, сроком на 3 суток.</w:t>
      </w:r>
    </w:p>
    <w:p w14:paraId="5026FF6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помощник начальника 2 отдела военинженер 2 ранга Кузин</w:t>
      </w:r>
    </w:p>
    <w:p w14:paraId="03215BD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w:t>
      </w:r>
    </w:p>
    <w:p w14:paraId="31CC911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февраля 1942 года г. Москва</w:t>
      </w:r>
    </w:p>
    <w:p w14:paraId="0FE6ADE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председателя Государственного Комитета Обороны т. Микояну от красноармейца 689 ап вод 1-го дивизиона Коршунова Федора Степановича</w:t>
      </w:r>
    </w:p>
    <w:p w14:paraId="1FA9FDD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РАПОРТ</w:t>
      </w:r>
    </w:p>
    <w:p w14:paraId="577AE35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Формальное и беспредельно бюрократическое отношение отдельных низовых командиров вы</w:t>
      </w:r>
      <w:r w:rsidRPr="008127F8">
        <w:rPr>
          <w:rFonts w:ascii="Times New Roman" w:hAnsi="Times New Roman"/>
          <w:color w:val="000000" w:themeColor="text1"/>
          <w:sz w:val="16"/>
          <w:szCs w:val="16"/>
        </w:rPr>
        <w:softHyphen/>
        <w:t>нудили меня обратиться лично к Вам по нижеследующему вопросу.</w:t>
      </w:r>
    </w:p>
    <w:p w14:paraId="206F4A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не уходя в армию, я начал разрабатывать вопрос, как и каким путем ликвидировать недос</w:t>
      </w:r>
      <w:r w:rsidRPr="008127F8">
        <w:rPr>
          <w:rFonts w:ascii="Times New Roman" w:hAnsi="Times New Roman"/>
          <w:color w:val="000000" w:themeColor="text1"/>
          <w:sz w:val="16"/>
          <w:szCs w:val="16"/>
        </w:rPr>
        <w:softHyphen/>
        <w:t>таток транспорта или дать возможность лучше и шире использовать существующий автотранспорт.</w:t>
      </w:r>
    </w:p>
    <w:p w14:paraId="687F8EE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известно, автотранспорт в зимних условиях по проселочным дорогам в силу заносов и т.д. не используется, а отсюда из-за недостатка транспорта срываются ряд государственных мероприя</w:t>
      </w:r>
      <w:r w:rsidRPr="008127F8">
        <w:rPr>
          <w:rFonts w:ascii="Times New Roman" w:hAnsi="Times New Roman"/>
          <w:color w:val="000000" w:themeColor="text1"/>
          <w:sz w:val="16"/>
          <w:szCs w:val="16"/>
        </w:rPr>
        <w:softHyphen/>
        <w:t>тий. Просиживая бессонные ночи, убивая на разрешение данного вопроса свободные минуты, я раз</w:t>
      </w:r>
      <w:r w:rsidRPr="008127F8">
        <w:rPr>
          <w:rFonts w:ascii="Times New Roman" w:hAnsi="Times New Roman"/>
          <w:color w:val="000000" w:themeColor="text1"/>
          <w:sz w:val="16"/>
          <w:szCs w:val="16"/>
        </w:rPr>
        <w:softHyphen/>
        <w:t>работал метод:</w:t>
      </w:r>
    </w:p>
    <w:p w14:paraId="009AFD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Использование автотранспорта в зимних условиях по любым зимним дорогам без очистки их, а легковые машины, мотоциклы могут передвигаться по полям и степям, что особо необходимо, как никогда, на фронте.</w:t>
      </w:r>
    </w:p>
    <w:p w14:paraId="54FFDF2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Осенью и весной из-за небольших неисправностей дорог машины не работают или, выезжая на работу, застревают в грязи неисправных дорог и долгое время простаивают.</w:t>
      </w:r>
    </w:p>
    <w:p w14:paraId="7721A03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Мною разработан метод, при помощи которого шофер с грузчиком, и даже один может в тече</w:t>
      </w:r>
      <w:r w:rsidRPr="008127F8">
        <w:rPr>
          <w:rFonts w:ascii="Times New Roman" w:hAnsi="Times New Roman"/>
          <w:color w:val="000000" w:themeColor="text1"/>
          <w:sz w:val="16"/>
          <w:szCs w:val="16"/>
        </w:rPr>
        <w:softHyphen/>
        <w:t>ние 10-15 минут вытащить машину и избежать буксования и простоя.</w:t>
      </w:r>
    </w:p>
    <w:p w14:paraId="600BF4E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Разработаны механические лыжи, при помощи которых бойцы могут лежа передвигаться по полю боя, причем, руки бойцов совершенно свободны для производства наблюдения при помощи оп</w:t>
      </w:r>
      <w:r w:rsidRPr="008127F8">
        <w:rPr>
          <w:rFonts w:ascii="Times New Roman" w:hAnsi="Times New Roman"/>
          <w:color w:val="000000" w:themeColor="text1"/>
          <w:sz w:val="16"/>
          <w:szCs w:val="16"/>
        </w:rPr>
        <w:softHyphen/>
        <w:t>тических приборов и для производства стрельбы. Причем лыжи замаскированы под цвет снега, кро</w:t>
      </w:r>
      <w:r w:rsidRPr="008127F8">
        <w:rPr>
          <w:rFonts w:ascii="Times New Roman" w:hAnsi="Times New Roman"/>
          <w:color w:val="000000" w:themeColor="text1"/>
          <w:sz w:val="16"/>
          <w:szCs w:val="16"/>
        </w:rPr>
        <w:softHyphen/>
        <w:t>ме того, спереди можно установить бронещиток. Учитывая особую важность и срочность примене</w:t>
      </w:r>
      <w:r w:rsidRPr="008127F8">
        <w:rPr>
          <w:rFonts w:ascii="Times New Roman" w:hAnsi="Times New Roman"/>
          <w:color w:val="000000" w:themeColor="text1"/>
          <w:sz w:val="16"/>
          <w:szCs w:val="16"/>
        </w:rPr>
        <w:softHyphen/>
        <w:t xml:space="preserve">ния </w:t>
      </w:r>
      <w:proofErr w:type="gramStart"/>
      <w:r w:rsidRPr="008127F8">
        <w:rPr>
          <w:rFonts w:ascii="Times New Roman" w:hAnsi="Times New Roman"/>
          <w:color w:val="000000" w:themeColor="text1"/>
          <w:sz w:val="16"/>
          <w:szCs w:val="16"/>
        </w:rPr>
        <w:t>выше изложенных</w:t>
      </w:r>
      <w:proofErr w:type="gramEnd"/>
      <w:r w:rsidRPr="008127F8">
        <w:rPr>
          <w:rFonts w:ascii="Times New Roman" w:hAnsi="Times New Roman"/>
          <w:color w:val="000000" w:themeColor="text1"/>
          <w:sz w:val="16"/>
          <w:szCs w:val="16"/>
        </w:rPr>
        <w:t xml:space="preserve"> изобретений, прошу приказать командованию 689-го артиллерийского полка, испытать мои изобретения, которые считаю необходимыми в целях быстрейшей победы над врагом.</w:t>
      </w:r>
    </w:p>
    <w:p w14:paraId="45BF589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Жду Вашего ответа по существу затронутого вопроса.</w:t>
      </w:r>
    </w:p>
    <w:p w14:paraId="58B6CA2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Коршунов Ф.С.</w:t>
      </w:r>
    </w:p>
    <w:p w14:paraId="77757169"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172. Л. 10-13. Копия (11211).</w:t>
      </w:r>
    </w:p>
    <w:p w14:paraId="6F8CBB0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04F025B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BE357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A8BB7B"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в 1942 году оперативная сводка Совинформбюро:</w:t>
      </w:r>
    </w:p>
    <w:p w14:paraId="032D39C6"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под командованием лейтенанта Степанова в одном бою огнём и гусеницами своей машины разрушил 2 блиндажа с немецкой пехотой, уничтожил 8 противотанковых орудий и 4 миномёта вместе с их расчётами.» (15105).</w:t>
      </w:r>
    </w:p>
    <w:p w14:paraId="790E1D78"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2D8D7BCF"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в 1942 году окончилась Московская битва (началась 30 сентября 1941 года) в ходе Великой Отечественной войны; впервые была одержана крупная победа над германской армией. В начале сентября 1941 года немецко-фашистское командование приступило к подготовке операции по захвату Москвы. Замысел операции предусматривал мощными ударами крупных группировок окружить основные силы войск Красной Армии, прикрывавших столицу, и уничтожить их в районах Брянска и Вязьмы, а затем стремительно обойти Москву с севера и юга с целью ее захвата. Операция по взятию Москвы получила кодовое название "Тайфун". Для осуществления этого плана немецкому командованию удалось на направлениях главных ударов создать внушительное превосходство в людской силе и технике, подавляющим было и господство в воздухе. Генеральное наступление немецких войск группы «Центр» началось 30 сентября 1941 года ударом 2-й танковой группы по левому крылу Брянского фронта. 2 октября перешли в наступление основные группировки немецких войск в районе Смоленска. Гитлеровцам удалось прорвать оборону и к 7 октября окружить четыре советские армии западнее Вязьмы и две - южнее Брянска. Путь на Москву, как полагало немецкое командование, был открыт. Но планам фашистов не суждено было сбыться. Окруженные советские армии в течение двух недель в упорных боях сковывали около 20 немецких дивизий. В это время спешно укреплялась Можайская линия обороны, срочно подтягивались резервные войска. С Ленинградского фронта был отозван Георгий Жуков, который 10 октября вступил в командование Западным фронтом. Несмотря на большие потери, гитлеровцы продолжали рваться к Москве. Они захватили Калинин, Можайск, Малоярославец. Бои шли уже в 80-100 километрах от столицы. В середине октября началась эвакуация из Москвы правительственных учреждений, дипломатического корпуса, промышленных предприятий, населения. Спешка при проведении эвакуации породила неразбериху и панику. По Москве поползли слухи о планируемой сдаче города немцам. Это вынудило Государственный комитет обороны ввести в Москве с 20 октября осадное положение. В первых числах ноября наступление немцев было остановлено почти на всех участках. Противнику не удалось овладеть Москвой и тем самым победоносно закончить войну на востоке. Но гитлеровцы не оставили намерений захватить советскую столицу.</w:t>
      </w:r>
    </w:p>
    <w:p w14:paraId="27D37E4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спешном порядке подтягивались резервы, проводилась перегруппировка войск для нанесения решающего удара. Советское командование также воспользовалось передышкой в боях для подтягивания к Западному фронту сформированных в Сибири и на Урале дивизий. В середине ноября 1941 года немецкие войска вновь перешли в наступление, но встретили упорное и мужественное сопротивление советских воинов. Особенно отличилась 316-я стрелковая дивизия под командованием генерала Ивана Панфилова, отразившая в первый день наступления несколько танковых атак врага. Легендарным стал подвиг группы бойцов этой дивизии, которую </w:t>
      </w:r>
      <w:r w:rsidRPr="008127F8">
        <w:rPr>
          <w:rFonts w:ascii="Times New Roman" w:hAnsi="Times New Roman"/>
          <w:color w:val="000000" w:themeColor="text1"/>
          <w:sz w:val="16"/>
          <w:szCs w:val="16"/>
        </w:rPr>
        <w:lastRenderedPageBreak/>
        <w:t>возглавил политрук Василий Клочков. Более 30 немецких танков пытались прорваться вдоль Волоколамского шоссе. Четыре часа длился бой, враг потерял 18 танков, множество солдат, но так и не смог сломить оборону. Всю страну облетели слова Клочкова, сказанные своим солдатам: "Велика Россия, а отступать некуда: позади - Москва!". Упорные бои шли у стен Тулы, в районе Наро-Фоминска и Клина, под Дмитровом и Каширой. Наступление немецких войск стало ослабевать. Создались благоприятные условия для перехода Красной Армии в контрнаступление. Советские войска перешли в наступление 5 декабря 1941 года, разгромили ударные группировки группы армий «Центр» и сняли угрозу, нависшую над Москвой. На полях Подмосковья было нанесено первое крупное поражение немецко-фашистской армии во второй мировой войне, развеян миф о ее непобедимости. В битве под Москвой гитлеровцы потеряли в общей сложности более полумиллиона человек, 1300 танков, 2500 орудий, более 15 тысяч машин и много другой техники. Красная Армия вырвала у врага стратегическую инициативу и создала условия для перехода в общее наступление (15105).</w:t>
      </w:r>
    </w:p>
    <w:p w14:paraId="77A14276"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007F97B1"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в 1942 году решение советского Верховного Главнокомандования о переходе войск Западного направления к обороне (15105).</w:t>
      </w:r>
    </w:p>
    <w:p w14:paraId="39EB074A"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08837F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формально закончилась Московская наступательная операция, которая шла с 5 декабря 1941 (1348,225).</w:t>
      </w:r>
    </w:p>
    <w:p w14:paraId="37B55F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4833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завершилась Московская битва (4962), а также её часть - Ржевско-Вяземская наступательная операция войск Калининского и Западного фронта, проведённая при содействии войск Сев.-Западного и Брянского фр. Цель операции - разгром главных сил нем.-фаш. группы армий "Центр". Полностью осуществить замысел операции советскому командованию не удалось, что в значит. степени обусловливалось недостатком сил, особенно танковых и механизированных соединений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61FA310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C0B766" w14:textId="5A75DFD6" w:rsidR="004C5AB5" w:rsidRDefault="004C5AB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Жизнь и внутренняя политика:</w:t>
      </w:r>
    </w:p>
    <w:p w14:paraId="5C11E989" w14:textId="77777777" w:rsidR="004C5AB5" w:rsidRDefault="004C5AB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63908B5" w14:textId="77777777" w:rsidR="004C5AB5" w:rsidRPr="008A2E5A" w:rsidRDefault="004C5AB5" w:rsidP="004C5AB5">
      <w:pPr>
        <w:spacing w:after="0" w:line="240" w:lineRule="auto"/>
        <w:jc w:val="both"/>
        <w:rPr>
          <w:rFonts w:ascii="Times New Roman" w:hAnsi="Times New Roman"/>
          <w:color w:val="0070C0"/>
          <w:sz w:val="16"/>
          <w:szCs w:val="16"/>
        </w:rPr>
      </w:pPr>
      <w:bookmarkStart w:id="23" w:name="bookmark372"/>
      <w:r w:rsidRPr="008A2E5A">
        <w:rPr>
          <w:rFonts w:ascii="Times New Roman" w:hAnsi="Times New Roman"/>
          <w:color w:val="0070C0"/>
          <w:sz w:val="16"/>
          <w:szCs w:val="16"/>
        </w:rPr>
        <w:t>20 апреля</w:t>
      </w:r>
      <w:bookmarkEnd w:id="23"/>
      <w:r w:rsidRPr="008A2E5A">
        <w:rPr>
          <w:rFonts w:ascii="Times New Roman" w:hAnsi="Times New Roman"/>
          <w:color w:val="0070C0"/>
          <w:sz w:val="16"/>
          <w:szCs w:val="16"/>
        </w:rPr>
        <w:t xml:space="preserve"> 1942 г.</w:t>
      </w:r>
    </w:p>
    <w:p w14:paraId="450FDCB9"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Москвич М. И. Раткин поделился в дневнике впечатлениями о недостатке продовольствия в городе</w:t>
      </w:r>
    </w:p>
    <w:p w14:paraId="0C937E4D"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рынках пусто. Картофель вывозят очень редко, и его рас</w:t>
      </w:r>
      <w:r w:rsidRPr="008A2E5A">
        <w:rPr>
          <w:rFonts w:ascii="Times New Roman" w:hAnsi="Times New Roman"/>
          <w:color w:val="0070C0"/>
          <w:sz w:val="16"/>
          <w:szCs w:val="16"/>
        </w:rPr>
        <w:softHyphen/>
        <w:t>купают вдраку по цене баснословной (69 руб. килограмм). Морковь и редька бывают тоже (50 руб. килограмм). Молоко выносят, но мало (50 руб. литр). Мясо тоже помаленьку бывает (170-220 руб. килограмм). Несмотря на страшные цены, люди всё с жадностью берут, но выносят этого на рынки очень мало. Эти пригородные колхозники (да и не только под Москвой, но и вокруг, у кого есть лишние продукты, наживают за это время огромные деньги) уже не нуждаются в деньгах, а стараются про</w:t>
      </w:r>
      <w:r w:rsidRPr="008A2E5A">
        <w:rPr>
          <w:rFonts w:ascii="Times New Roman" w:hAnsi="Times New Roman"/>
          <w:color w:val="0070C0"/>
          <w:sz w:val="16"/>
          <w:szCs w:val="16"/>
        </w:rPr>
        <w:softHyphen/>
        <w:t>менять свои продукты на хлеб, на табак, на вино и на «барахло». Здесь, в городе, такой обмен запрещён. Также запрещены поездки для обмена на периферию дальше 100 км от места жительства (в связи с железной дорогой). [...] Теперь хлеба печёного (да и муки) не найдёшь нигде, даже за 100 руб. килограмм (говорят, что по такой цене кое-кто продаёт тайком). [...] Хлеб ешь как священный дар, помаленьку, с подбором всех крошек, тарелки старательно очищаются от пищи. [...]</w:t>
      </w:r>
    </w:p>
    <w:p w14:paraId="11610254"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ЦГА Москвы. Ф. Л-396. Оп. 1. Д. 1301. Л. 56 </w:t>
      </w:r>
      <w:proofErr w:type="gramStart"/>
      <w:r w:rsidRPr="008A2E5A">
        <w:rPr>
          <w:rFonts w:ascii="Times New Roman" w:hAnsi="Times New Roman"/>
          <w:color w:val="0070C0"/>
          <w:sz w:val="16"/>
          <w:szCs w:val="16"/>
        </w:rPr>
        <w:t>об.-</w:t>
      </w:r>
      <w:proofErr w:type="gramEnd"/>
      <w:r w:rsidRPr="008A2E5A">
        <w:rPr>
          <w:rFonts w:ascii="Times New Roman" w:hAnsi="Times New Roman"/>
          <w:color w:val="0070C0"/>
          <w:sz w:val="16"/>
          <w:szCs w:val="16"/>
        </w:rPr>
        <w:t>57 (23479).</w:t>
      </w:r>
    </w:p>
    <w:p w14:paraId="51A30663" w14:textId="77777777" w:rsidR="004C5AB5" w:rsidRPr="008A2E5A" w:rsidRDefault="004C5AB5" w:rsidP="004C5AB5">
      <w:pPr>
        <w:spacing w:after="0" w:line="240" w:lineRule="auto"/>
        <w:jc w:val="both"/>
        <w:rPr>
          <w:rFonts w:ascii="Times New Roman" w:hAnsi="Times New Roman"/>
          <w:color w:val="0070C0"/>
          <w:sz w:val="16"/>
          <w:szCs w:val="16"/>
        </w:rPr>
      </w:pPr>
    </w:p>
    <w:p w14:paraId="56373919" w14:textId="6B489F3D"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F965B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AB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года было отправлено:</w:t>
      </w:r>
    </w:p>
    <w:p w14:paraId="74AF01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Ф. РУЗВЕЛЬТУ*</w:t>
      </w:r>
    </w:p>
    <w:p w14:paraId="78DD35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Разрешите поблагодарить Вас за послание, которое я на днях получил в Москве.</w:t>
      </w:r>
    </w:p>
    <w:p w14:paraId="595A77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Советское Правительство согласно, что необходимо устроить встречу В. М. Молотова с Вами для обмена мнений по вопросу об организации второго фронта в Европе в ближайшее время. В. М. Молотов может приехать в Вашингтон не позже 10—15 мая с соответствующим военным представителем.</w:t>
      </w:r>
    </w:p>
    <w:p w14:paraId="7EA710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 собой понятно, что Молотов побудет также в Лондоне для обмена мнений с Английским Правительством.</w:t>
      </w:r>
    </w:p>
    <w:p w14:paraId="6A380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не сомневаюсь, что удастся осуществить личную встречу с Вами, которой я придаю большое значение, особенно ввиду стоящих перед нашими странами больших вопросов по организации победы над гитлеризмом.</w:t>
      </w:r>
    </w:p>
    <w:p w14:paraId="02D909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Примите мой искренний привет и пожелание успеха в борьбе с врагами Соединенных Штатов Америки.</w:t>
      </w:r>
    </w:p>
    <w:p w14:paraId="5B447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 (7430).</w:t>
      </w:r>
    </w:p>
    <w:p w14:paraId="6D2E68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B3B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апреля 1942 г. на имя президента США Франклина Д. Рузвельта, от имени правительства СССР было направлено письмо, в </w:t>
      </w:r>
      <w:proofErr w:type="gramStart"/>
      <w:r w:rsidRPr="008127F8">
        <w:rPr>
          <w:rFonts w:ascii="Times New Roman" w:hAnsi="Times New Roman"/>
          <w:color w:val="000000" w:themeColor="text1"/>
          <w:sz w:val="16"/>
          <w:szCs w:val="16"/>
        </w:rPr>
        <w:t>котором в частности</w:t>
      </w:r>
      <w:proofErr w:type="gramEnd"/>
      <w:r w:rsidRPr="008127F8">
        <w:rPr>
          <w:rFonts w:ascii="Times New Roman" w:hAnsi="Times New Roman"/>
          <w:color w:val="000000" w:themeColor="text1"/>
          <w:sz w:val="16"/>
          <w:szCs w:val="16"/>
        </w:rPr>
        <w:t xml:space="preserve"> говорилось: "Советское Правительство согласно, что необходимо устроить встречу В.М.Молотова с Вами для обмена мнений по вопросу об организации второго фронта в Европе в ближайшее время. В.М.Молотов может приехать в Вашингтон не позже 10-15 мая с соответствующим военным представителем.</w:t>
      </w:r>
    </w:p>
    <w:p w14:paraId="4EFB0A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 собой понятно, что Молотов побудет также в Лондоне для обмена мнений с Английским Правительством...".</w:t>
      </w:r>
    </w:p>
    <w:p w14:paraId="0FCC4E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заявленным посещением Лондона дорогу в США предстояло прокладывать через Англию, и перелет по воздуху при этом являлся наиболее оптимальным из всех возможных способов путешествия. Так как часть воздушного пути проходила через воюющую Европу, требовался большой, хорошо вооруженный самолет. А этим условиям подходил только тяжелый бомбардировщик Пе-8. Тем более, что в авиадивизии дальнего действия, эксплуатирующей эти самолеты, были собраны лучшие специалисты, досконально освоившие дальние полеты в условиях военной обстановки. В любом случае, проблему перелета в Вашингтон Иосиф Сталин прежде всего обсудил с командующим АДД генералом Головановым, которому оставалось лишь решить, какой именно самолет, и какой экипаж отправятся на выполнение этого сложного и опасного задания. Добавим, что еще до возникновения вопроса с доставкой правительственной делегации, в дивизии уже готовились к выполнению полетов в Англию для отправки туда летчиков- перегонщиков (им предстояло перегонять самолеты, получаемые по ленд-лизу). Предполагая такое использование, один самолет даже переоборудовали для размещения на нем 20 человек - смонтировали необходимые сидения и обеспечили крепеж дополнительных баллонов с кислородом для обеспечения жизнедеятельности пассажиров при полетах на большой высоте.</w:t>
      </w:r>
    </w:p>
    <w:p w14:paraId="2BF1CF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г. для определения безопасности выбранного маршрута в Англию решили произвести первый перелет одного самолета (поначалу планировались два самолета и два экипажа). Для осуществления перелета из состава 746-го авиаполка выделили наиболее надежный боевой корабль - Пе-8 4АМ-35А №42066. В состав экипажа вошли опытные летчики С.А.Асямов и Э.К.Пусэп, штурманы А.П.Штепенко и С.М.Романов. Целью перелета называлась доставка сотрудников наркомата иностранных дел.</w:t>
      </w:r>
    </w:p>
    <w:p w14:paraId="76A8DD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 Пе-8 №42066 под командованием командира корабля Сергея Асямова стартовал по маршруту Москва-Данди. На своем пути самолет поднялся до высоты 7500 метров, пересек Балтийское море, южную оконечность Швеции и Норвегии. В целом этот полет прошел благополучно, через десять часов полета Пе-8 приземлился на аэродроме Тилинг в Шотландии.</w:t>
      </w:r>
    </w:p>
    <w:p w14:paraId="473755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по прибытию, во время местного перелета с аэродрома на аэродром на английском транспортном самолете "Фламинго" произошла катастрофа, во время которой погиб летчик Сергей Асямов. Позднее комиссия, расследующая катастрофу, установила, что оборвавшейся шатун пробил картер двигателя, в котором мгновенно взорвались пары перегретого масла. Горячие осколки картера и шатуна пробили бензиновый бак. Затем произошел второй, еще более мощный взрыв, после чего самолет буквально развалился в воздухе. Кроме советских военных, на том же самолете погибло шестеро английских офицеров.</w:t>
      </w:r>
    </w:p>
    <w:p w14:paraId="30DC24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возвращении в Москву командирское кресло Пе-8 занял майор Пусэп, на месте второго пилота находился штурман Романов, который ранее уже получил навыки пилотирования тяжелым самолетов. Как показали указанные печальные события, используемая в советских ВВС практика обучения штурманов летному делу оказалась вполне уместной. В районе линии фронта возвращение отметилось встречей с вражеским истребителем, который выполнил одну атаку советского корабля и обстрелял его. К счастью, полученные повреждения оказались минимальными и не повлияли на исход заключительной фазы перелета.</w:t>
      </w:r>
    </w:p>
    <w:p w14:paraId="087CB2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Нужно отметить, что сразу по возвращении из Англии Пе-8 №42066 вновь приступил к выполнению боевых заданий. Штурман Штепенко так описал окончание боевого вылета 14 мая 1942 г: "Подошёл самолёт лётчика Лисачева с красной единицей на хвосте и, качнув крыльями, стал слева от нас. Увеличив скорость, догнал нас самолёт лётчика Пономаренко с красной тройкой. Слева подошел Ишенкос красной пятеркой. Откуда-то снизу поднялся и стал в строй лётчик Перегудов. Сверху спустился лётчик Лавровский и, пристроившись, замкнул наше шествие, торжественное возвращение домой. Так строем клина вся семёрка и подошла к своему аэродрому". Очевидно, указанный боевой корабль №42066 действительно считался наиболее надежным, так буквально через пару дней именно он вновь был подготовлен к дальнему перелету через океан (12025).</w:t>
      </w:r>
    </w:p>
    <w:p w14:paraId="32CE28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7F64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2E0CB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809AE"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апреля в 1942 году поступил на вооружение четвёртый экземпляр дальнего морского разведчика-патрульного самолёта «BV.222-V4» «Wiking» (разработчик: «Blohm und Voss», Германия). Первоначально самолёт действовал в составе эскадрильи воздушного сообщения "Ц", пока не вошёл в состав воздушно-транспортной эскадрильи See-222. К июню 1944 года находился в составе эскадрильи </w:t>
      </w:r>
      <w:proofErr w:type="gramStart"/>
      <w:r w:rsidRPr="008127F8">
        <w:rPr>
          <w:rFonts w:ascii="Times New Roman" w:hAnsi="Times New Roman"/>
          <w:color w:val="000000" w:themeColor="text1"/>
          <w:sz w:val="16"/>
          <w:szCs w:val="16"/>
        </w:rPr>
        <w:t>1.(</w:t>
      </w:r>
      <w:proofErr w:type="gramEnd"/>
      <w:r w:rsidRPr="008127F8">
        <w:rPr>
          <w:rFonts w:ascii="Times New Roman" w:hAnsi="Times New Roman"/>
          <w:color w:val="000000" w:themeColor="text1"/>
          <w:sz w:val="16"/>
          <w:szCs w:val="16"/>
        </w:rPr>
        <w:t>F)/SAGr.129 и был уничтожен собственным экипажем в Киле (15105).</w:t>
      </w:r>
    </w:p>
    <w:p w14:paraId="14C83B32"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5FB2A20E" w14:textId="77777777" w:rsidR="00991C86" w:rsidRPr="008127F8" w:rsidRDefault="00991C8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20 апреля 1942 проходит первая официальная демонстрация вертолета в США (20793).</w:t>
      </w:r>
    </w:p>
    <w:p w14:paraId="62FFCB6D" w14:textId="77777777" w:rsidR="00991C86" w:rsidRPr="008127F8" w:rsidRDefault="00991C86" w:rsidP="001E0A84">
      <w:pPr>
        <w:spacing w:after="0" w:line="240" w:lineRule="auto"/>
        <w:jc w:val="both"/>
        <w:rPr>
          <w:rFonts w:ascii="Times New Roman" w:hAnsi="Times New Roman"/>
          <w:color w:val="000000" w:themeColor="text1"/>
          <w:sz w:val="16"/>
          <w:szCs w:val="16"/>
        </w:rPr>
      </w:pPr>
    </w:p>
    <w:p w14:paraId="7FDEE784" w14:textId="77777777" w:rsidR="00991C86" w:rsidRPr="008127F8" w:rsidRDefault="00991C8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авианосец ВМС США USS Wasp (CV-7) обеспечивает перелет с 46 «Спитфайров» на Мальту. Обнаружив их прибытие с помощью радара, Fligerkorps II немедленно атакует их аэродромы, уничтожив почти все из них в течение трех дней (20793).</w:t>
      </w:r>
    </w:p>
    <w:p w14:paraId="2564BE8C" w14:textId="77777777" w:rsidR="00991C86" w:rsidRPr="008127F8" w:rsidRDefault="00991C86" w:rsidP="001E0A84">
      <w:pPr>
        <w:spacing w:after="0" w:line="240" w:lineRule="auto"/>
        <w:jc w:val="both"/>
        <w:rPr>
          <w:rFonts w:ascii="Times New Roman" w:hAnsi="Times New Roman"/>
          <w:color w:val="000000" w:themeColor="text1"/>
          <w:sz w:val="16"/>
          <w:szCs w:val="16"/>
        </w:rPr>
      </w:pPr>
    </w:p>
    <w:p w14:paraId="60939E9D"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апреля в 1942 году Херберт Илефельд (Herbert Ihlefeld) сбил свой 100 самолёт. Награжден Рыцарским Крестом с дубовыми листьями и мечами (Ritterkreuz des Eisernen Kreuzes mit detn Eichenlaub mit Schwertern) </w:t>
      </w:r>
      <w:proofErr w:type="gramStart"/>
      <w:r w:rsidRPr="008127F8">
        <w:rPr>
          <w:rFonts w:ascii="Times New Roman" w:hAnsi="Times New Roman"/>
          <w:color w:val="000000" w:themeColor="text1"/>
          <w:sz w:val="16"/>
          <w:szCs w:val="16"/>
        </w:rPr>
        <w:t>и...</w:t>
      </w:r>
      <w:proofErr w:type="gramEnd"/>
      <w:r w:rsidRPr="008127F8">
        <w:rPr>
          <w:rFonts w:ascii="Times New Roman" w:hAnsi="Times New Roman"/>
          <w:color w:val="000000" w:themeColor="text1"/>
          <w:sz w:val="16"/>
          <w:szCs w:val="16"/>
        </w:rPr>
        <w:t xml:space="preserve"> отстранен от боевых полетов. С 11 мая 1942 года работал в штабе JG51, с 22 июня 1942 года - командир JG52. Всего совершил 987 боевых вылетов, имеет побед - 132 (9 в Испании, 67 на Восточном и 56 на Западном фронте - в том числе 15 бомбардировщиков «В-17»). Летал на самолетах Мессершмитт «Bf.109В», «С», «Е», «F», G», «Фокке-Вульф» «Fw.190А» (15105).</w:t>
      </w:r>
    </w:p>
    <w:p w14:paraId="1A38E8BF"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144596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нацисты запретили евреям пользоваться общественным транспортом (1798).</w:t>
      </w:r>
    </w:p>
    <w:p w14:paraId="4CAF09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5B99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в Германии евреям запрещено пользоваться общественным транспортом (4962).</w:t>
      </w:r>
    </w:p>
    <w:p w14:paraId="60AF0E5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6B42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1942 в ответ на акции движения Сопротивления немцами казнены 30 французских заложников в Руане (4962).</w:t>
      </w:r>
    </w:p>
    <w:p w14:paraId="7FFA99C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58EA" w14:textId="77777777" w:rsidR="004759C1" w:rsidRPr="008127F8" w:rsidRDefault="004759C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апреля в 1942 году японские войска высадились на севере Новой Гвинеи (15105).</w:t>
      </w:r>
    </w:p>
    <w:p w14:paraId="1EBEE433" w14:textId="77777777" w:rsidR="004759C1" w:rsidRPr="008127F8" w:rsidRDefault="004759C1" w:rsidP="001E0A84">
      <w:pPr>
        <w:spacing w:after="0" w:line="240" w:lineRule="auto"/>
        <w:jc w:val="both"/>
        <w:rPr>
          <w:rFonts w:ascii="Times New Roman" w:hAnsi="Times New Roman"/>
          <w:color w:val="000000" w:themeColor="text1"/>
          <w:sz w:val="16"/>
          <w:szCs w:val="16"/>
        </w:rPr>
      </w:pPr>
    </w:p>
    <w:p w14:paraId="1C452E2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50950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59D57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в 1942 году приказом НКАП №305а/сс работа по установке на» ДБ-3Ф» двигателя «М-105» была прекращена как имеющая второстепенное значение. В военные годы развитие Ил-4 шло не только магистральным путем совершенствования его основного варианта, но и тропками создания его модификаций. Первым шагом на этом пути можно считать «ДБ-3Ф» с полностью деревянным фюзеляжем, который был сделан еще до войны. Серийно построили 5 таких самолетов, и в августе 1941 г. они находились в строевых частях в районе Ржева или Ярославля (15106).</w:t>
      </w:r>
    </w:p>
    <w:p w14:paraId="1E5FF581"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625A08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вышел приказ НКАП N 304с:</w:t>
      </w:r>
    </w:p>
    <w:p w14:paraId="32FCE2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от 9 апреля 1942 N 1573 о создании производственной базы для ОКБ С.В.И.:</w:t>
      </w:r>
    </w:p>
    <w:p w14:paraId="2A7A52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7 ГУ Шишкину:</w:t>
      </w:r>
    </w:p>
    <w:p w14:paraId="31C3FF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передать под опытную базу ГК С.В.И. завод 240</w:t>
      </w:r>
    </w:p>
    <w:p w14:paraId="472C2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для производства ремонта Ер-2 оставить временно в распоряжении ГК Ермолаева часть площади филиала завода 240, размещенного на ЦА</w:t>
      </w:r>
    </w:p>
    <w:p w14:paraId="041CD5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Директором и ГК завода 240 назначить С.В.И.</w:t>
      </w:r>
    </w:p>
    <w:p w14:paraId="61451F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Вернуть в Москву из Куйбышева оборудование и весь состав работников ОКБ С.В.И. и из Казани оборудование завода 240 (1550,18).</w:t>
      </w:r>
    </w:p>
    <w:p w14:paraId="33D955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4C1FD"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апреля 1942 г. Приказ № 304с Наркомата авиационной промышленности СССР о создании производственной базы для ОКБ С. В. Ильюшина</w:t>
      </w:r>
    </w:p>
    <w:p w14:paraId="43D2C0E8"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073F4E64"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постановлением Государственного комитета обороны от 9 апреля 1942 г. № 1573 о создании производственной базы для опытно-конструкторскою бюро т. Ильюшина С. В.115 приказываю:</w:t>
      </w:r>
    </w:p>
    <w:p w14:paraId="22AEF818"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7-го Главного управления т. Шишкину: а) передать под опытную базу главному конструктору т. Ильюшину С. В. завод № 240; б) для производства ремонта Ер-2 оставить временно в распоряжении главного конструктора т. Ермолаева часть площади филиала завода № 240, размещенного на центральном аэродроме, выделив т. Ермолаеву необходимый состав конструкторов и рабочих.</w:t>
      </w:r>
    </w:p>
    <w:p w14:paraId="2D70792D"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Директором и главным конструктором завода № 240 назначить т. Ильюшина!</w:t>
      </w:r>
    </w:p>
    <w:p w14:paraId="4EE57FA0"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Вернуть в г. Москву из Куйбышева оборудование и весь состав работников</w:t>
      </w:r>
    </w:p>
    <w:p w14:paraId="555DF384"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КБ т. Ильюшина и из г. Казани — оборудование завода № 240, эвакуированное ранее</w:t>
      </w:r>
    </w:p>
    <w:p w14:paraId="1053F95B"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Москвы.</w:t>
      </w:r>
    </w:p>
    <w:p w14:paraId="0091C8D7"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 Для передачи завода № 240 создать приемно-сдаточную комиссию в составе: председатель комиссии — ст. инженер 7-го Главного управления т. Блюм М. А., ст. бухлтер ОКБ т. Игнатов, бухгалтер завода № 240 т. Андреев Я. В., начальник производва ОКБ т. Григорьев В. П., начальник производства завода № 240 т. Васильев А. И. </w:t>
      </w:r>
    </w:p>
    <w:p w14:paraId="73D29D18"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Комиссии составить приемно-сдаточный акт в недельный срок и представить мне на верждение.</w:t>
      </w:r>
    </w:p>
    <w:p w14:paraId="71E19C60"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транспортного отдела т. Супруну обеспечить предоставление НКПС 20 вагонов для перевозки в г. Москву ОКБ т. Ильюшина и его оборудования.</w:t>
      </w:r>
    </w:p>
    <w:p w14:paraId="77390196"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Главснаба т. Гришину обеспечить получение выделенных Гостаном СССР целевым назначением для ОКБ т. Ильюшина, сверх фондов НКАП, с поставкой в апреле месяце, 4 автомашины ГАЗ-2 А, которые Наркомсредмаш обязан сгрузить немедленно.</w:t>
      </w:r>
    </w:p>
    <w:p w14:paraId="60FEDB4A"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В связи с тем, что НКАП разрешено организовать при заводе № 240 отдел рабочего снабжения для совместного обслуживания заводов № 115 и 240, начальнику Главурса т. Осиповичу обеспечить: а) передачу Наркоматом совхозов СССР ОРСу при заводе № 240 свиноводческого совхоза Ачкасово Воскресенского района Московской Области; б) передачу Московским областным трестом овощесовхозов ОРСу завода № 240 московского плодоовощного совхоза «Комсомолец».</w:t>
      </w:r>
    </w:p>
    <w:p w14:paraId="2C2F9334"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авиационной промышленности П. Дементьев</w:t>
      </w:r>
    </w:p>
    <w:p w14:paraId="382F0C41"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«Читал. Сер[гей] Ильюшин. 21 апреля 1942».</w:t>
      </w:r>
    </w:p>
    <w:p w14:paraId="7FF5F5B2" w14:textId="77777777" w:rsidR="004C5AB5" w:rsidRPr="008A2E5A" w:rsidRDefault="004C5AB5" w:rsidP="004C5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8044. Оп. 1. Д. 754. Л. 18-19. Подлинник ().</w:t>
      </w:r>
    </w:p>
    <w:p w14:paraId="19DFB6EF" w14:textId="77777777" w:rsidR="004C5AB5" w:rsidRPr="008A2E5A" w:rsidRDefault="004C5AB5" w:rsidP="004C5AB5">
      <w:pPr>
        <w:spacing w:after="0" w:line="240" w:lineRule="auto"/>
        <w:jc w:val="both"/>
        <w:rPr>
          <w:rFonts w:ascii="Times New Roman" w:hAnsi="Times New Roman"/>
          <w:color w:val="0070C0"/>
          <w:sz w:val="16"/>
          <w:szCs w:val="16"/>
        </w:rPr>
      </w:pPr>
    </w:p>
    <w:p w14:paraId="379A9A8D"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апреля 1942 г. вышел Приказ № 304с Наркомата авиационной промышленности СССР о создании производственной базы для ОКБ С. В. Ильюшина</w:t>
      </w:r>
    </w:p>
    <w:p w14:paraId="4127D6E2"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06B76C4"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постановлением Государственного комитета обороны от 9 апреля 1942 г. № 1573 о создании производственной базы для опытно-конструкторскою бюро т. Ильюшина С. В.115 приказываю:</w:t>
      </w:r>
    </w:p>
    <w:p w14:paraId="25B80ECD"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7-го Главного управления т. Шишкину:</w:t>
      </w:r>
    </w:p>
    <w:p w14:paraId="211CA0E5"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 передать под опытную базу главному конструктору т. Ильюшину С. В. завод № 240; </w:t>
      </w:r>
    </w:p>
    <w:p w14:paraId="62554389"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для производства ремонта Ер-2 оставить временно в распоряжении главного конструктора т. Ермолаева часть площади филиала завода № 240, размещенного на центральном аэродроме, выделив т. Ермолаеву необходимый состав конструкторов и рабочих3*.</w:t>
      </w:r>
    </w:p>
    <w:p w14:paraId="7C0CD082"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Директором и главным конструктором завода № 240 назначить т. Ильюшина</w:t>
      </w:r>
    </w:p>
    <w:p w14:paraId="12A80118"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Вернуть в г. Москву из Куйбышева оборудование и весь состав работников КБ т. Ильюшина и из г. Казани — оборудование завода № 240, эвакуированное ранее из Москвы.</w:t>
      </w:r>
    </w:p>
    <w:p w14:paraId="523E9E8E"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Для передачи завода № 240 создать приемно-сдаточную комиссию в составе:</w:t>
      </w:r>
    </w:p>
    <w:p w14:paraId="47558733"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комиссии — ст. инженер 7-го Главного управления т. Блюм М. А., ст. бухлтер ОКБ т. Игнатов, бухгалтер завода № 240 т. Андреев Я. В., начальник производва ОКБ т. Григорьев В. П., начальник производства завода № 240 т. Васильев А. И. Комиссии составить приемно-сдаточный акт в недельный срок и представить мне на верждение.</w:t>
      </w:r>
    </w:p>
    <w:p w14:paraId="373092A9"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транспортного отдела т. Супруну обеспечить предоставление НКПС 20 вагонов для перевозки в г. Москву ОКБ т. Ильюшина и его оборудования.</w:t>
      </w:r>
    </w:p>
    <w:p w14:paraId="5D771CC8"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Главснаба т. Гришину обеспечить получение выделенных Гостаном СССР целевым назначением для ОКБ т. Ильюшина, сверх фондов НКАП, с поставкой в апреле месяце, 4 автомашины ГАЗ-2 А, которые Наркомсредмаш обязан сгрузить немедленно.</w:t>
      </w:r>
    </w:p>
    <w:p w14:paraId="3D98181F"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В связи с тем, что НКАП разрешено организовать при заводе № 240 отдел рабочего снабжения для совместного обслуживания заводов № 115 и 240, начальнику Главурса т. Осиповичу обеспечить: а) передачу Наркоматом совхозов СССР ОРСу при заводе № 240 свиноводческого совхоза Ачкасово Воскресенского района Московской области; б) передачу Московским областным трестом овощесовхозов ОРСу завода 240 московского плодоовощного совхоза «Комсомолец».</w:t>
      </w:r>
    </w:p>
    <w:p w14:paraId="0EE23395"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авиационной промышленности П. Дементьев</w:t>
      </w:r>
    </w:p>
    <w:p w14:paraId="16E19833"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«Читал. Сер[гей] Ильюшин. 21 апреля 1942».</w:t>
      </w:r>
    </w:p>
    <w:p w14:paraId="6798916D" w14:textId="77777777" w:rsidR="0008298E" w:rsidRPr="008A2E5A" w:rsidRDefault="0008298E" w:rsidP="0008298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8044. Оп. 1. Д. 754. Л. 18-19. Подлинник (23687).</w:t>
      </w:r>
    </w:p>
    <w:p w14:paraId="630FE593" w14:textId="77777777" w:rsidR="0008298E" w:rsidRPr="008A2E5A" w:rsidRDefault="0008298E" w:rsidP="0008298E">
      <w:pPr>
        <w:spacing w:after="0" w:line="240" w:lineRule="auto"/>
        <w:jc w:val="both"/>
        <w:rPr>
          <w:rFonts w:ascii="Times New Roman" w:hAnsi="Times New Roman"/>
          <w:color w:val="0070C0"/>
          <w:sz w:val="16"/>
          <w:szCs w:val="16"/>
        </w:rPr>
      </w:pPr>
    </w:p>
    <w:p w14:paraId="33B67AF8" w14:textId="77777777" w:rsidR="00D209CC" w:rsidRPr="008127F8" w:rsidRDefault="00D209C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 Приказ № 304с заместителя Наркома авиационной промышленности СССР П. Дементьева о переезде Опытно-конструкторского бюро С.В. Ильюшина из г. Куйбышева в Москву.</w:t>
      </w:r>
    </w:p>
    <w:p w14:paraId="7A985D7F" w14:textId="77777777" w:rsidR="00D209CC" w:rsidRPr="008127F8" w:rsidRDefault="00D209C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Подлинник (рассекречено).</w:t>
      </w:r>
    </w:p>
    <w:p w14:paraId="4247D66F" w14:textId="77777777" w:rsidR="00D209CC" w:rsidRPr="008127F8" w:rsidRDefault="00D209C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РГАЭ ф. 8044, оп. 1, д. 754, лл. 18 – 19 (18959).</w:t>
      </w:r>
    </w:p>
    <w:p w14:paraId="58FA3F8F" w14:textId="77777777" w:rsidR="00D209CC" w:rsidRPr="008127F8" w:rsidRDefault="00D209CC" w:rsidP="001E0A84">
      <w:pPr>
        <w:spacing w:after="0" w:line="240" w:lineRule="auto"/>
        <w:jc w:val="both"/>
        <w:rPr>
          <w:rFonts w:ascii="Times New Roman" w:hAnsi="Times New Roman"/>
          <w:color w:val="000000" w:themeColor="text1"/>
          <w:sz w:val="16"/>
          <w:szCs w:val="16"/>
        </w:rPr>
      </w:pPr>
    </w:p>
    <w:p w14:paraId="136525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апреля 1942 года по приказу НКАП № 304 после возвращения ОКБ С.В.И. из Куйбышева, куда ОКБ </w:t>
      </w:r>
      <w:proofErr w:type="gramStart"/>
      <w:r w:rsidRPr="008127F8">
        <w:rPr>
          <w:rFonts w:ascii="Times New Roman" w:hAnsi="Times New Roman"/>
          <w:color w:val="000000" w:themeColor="text1"/>
          <w:sz w:val="16"/>
          <w:szCs w:val="16"/>
        </w:rPr>
        <w:t>было эвакуировано</w:t>
      </w:r>
      <w:proofErr w:type="gramEnd"/>
      <w:r w:rsidRPr="008127F8">
        <w:rPr>
          <w:rFonts w:ascii="Times New Roman" w:hAnsi="Times New Roman"/>
          <w:color w:val="000000" w:themeColor="text1"/>
          <w:sz w:val="16"/>
          <w:szCs w:val="16"/>
        </w:rPr>
        <w:t xml:space="preserve"> Завод № 240 был передан под опытную базу гл. конструктору С.В.И.</w:t>
      </w:r>
    </w:p>
    <w:p w14:paraId="2A6101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передачи завода № 240 в ведение гл. конструктора С.В.И., данная база находилась в ведении гл. конструктора Ермолаева с апреля 1940 года, т.е. с момента передачи завода из системы ГВФ в НКАП.</w:t>
      </w:r>
    </w:p>
    <w:p w14:paraId="6695BD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системы ГВФ в НКАП завод № 240 был передан в соответствии с решением КО при СНК от 3 марта 1940 года.</w:t>
      </w:r>
    </w:p>
    <w:p w14:paraId="198143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0F0977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Территория “А” (бывш. завод № 482) завода № 240 с 1930 года занималась Центральными мастерскими “Добролет”, перебазированными с Красноармейской улицы, д. 17.</w:t>
      </w:r>
    </w:p>
    <w:p w14:paraId="792CE1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Ремонтные мастерские в 1931 году были переименованы в Центральную авиационную ремонтную базу ГВФ (ЦАРБ).</w:t>
      </w:r>
    </w:p>
    <w:p w14:paraId="49D28B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2D376A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1941 года филиал завода № 1 эвакуировался в Куйбышев.</w:t>
      </w:r>
    </w:p>
    <w:p w14:paraId="41F52D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5DC0C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15D898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w:t>
      </w:r>
      <w:proofErr w:type="gramStart"/>
      <w:r w:rsidRPr="008127F8">
        <w:rPr>
          <w:rFonts w:ascii="Times New Roman" w:hAnsi="Times New Roman"/>
          <w:color w:val="000000" w:themeColor="text1"/>
          <w:sz w:val="16"/>
          <w:szCs w:val="16"/>
        </w:rPr>
        <w:t>согласно приказа</w:t>
      </w:r>
      <w:proofErr w:type="gramEnd"/>
      <w:r w:rsidRPr="008127F8">
        <w:rPr>
          <w:rFonts w:ascii="Times New Roman" w:hAnsi="Times New Roman"/>
          <w:color w:val="000000" w:themeColor="text1"/>
          <w:sz w:val="16"/>
          <w:szCs w:val="16"/>
        </w:rPr>
        <w:t xml:space="preserve"> НКАП № 424 от 5 июля 1944 года.</w:t>
      </w:r>
    </w:p>
    <w:p w14:paraId="315635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35536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071545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Д-167, Ленинградский проспект, д. 45 г, п/я 2418</w:t>
      </w:r>
    </w:p>
    <w:p w14:paraId="56243D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4755DB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AAF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 территория «б» завода № 240 на Центральном аэродроме по приказу № 304с была закреплена как опытная база за коллективом ОКБ-240 В. Г. Ермолаева, вернувшемуся из эвакуации из Казани. По приказу № 319с от 26.04.1942 г. в подчинении Ермолаева некоторое время находился филиал № 1 по Авиационному пер. завода № 30 (бывший цех ширпотреба завода № 1). По приказу № 517с от 12.07.1942 г.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37965D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1E8459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565880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8127F8">
        <w:rPr>
          <w:rFonts w:ascii="Times New Roman" w:hAnsi="Times New Roman"/>
          <w:color w:val="000000" w:themeColor="text1"/>
          <w:sz w:val="16"/>
          <w:szCs w:val="16"/>
          <w:vertAlign w:val="superscript"/>
        </w:rPr>
        <w:t>34</w:t>
      </w:r>
      <w:r w:rsidRPr="008127F8">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1C4AF8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0336B9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65826F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393сс от 24.05.1949 г. все помещения на территориях «а» и «б» переданы НИИ-2.</w:t>
      </w:r>
    </w:p>
    <w:p w14:paraId="580A9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285C7B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на завод передано 386 единиц оборудования с завода Юнкерса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Хальберштадт (Германия).</w:t>
      </w:r>
    </w:p>
    <w:p w14:paraId="7EF27B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7856B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комплексным системам огневой защиты Ту-16 и Ту-95.</w:t>
      </w:r>
    </w:p>
    <w:p w14:paraId="148668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0366B0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159F93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8127F8">
        <w:rPr>
          <w:rFonts w:ascii="Times New Roman" w:hAnsi="Times New Roman"/>
          <w:color w:val="000000" w:themeColor="text1"/>
          <w:sz w:val="16"/>
          <w:szCs w:val="16"/>
        </w:rPr>
        <w:t>с  Г.И.</w:t>
      </w:r>
      <w:proofErr w:type="gramEnd"/>
      <w:r w:rsidRPr="008127F8">
        <w:rPr>
          <w:rFonts w:ascii="Times New Roman" w:hAnsi="Times New Roman"/>
          <w:color w:val="000000" w:themeColor="text1"/>
          <w:sz w:val="16"/>
          <w:szCs w:val="16"/>
        </w:rPr>
        <w:t xml:space="preserve"> Хохловым.</w:t>
      </w:r>
    </w:p>
    <w:p w14:paraId="25F8CF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1985 г. НИР «Клеенка» по разработке Р-27П. В начале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 НИР «Ельник» по ракете РВВ-АЕ.</w:t>
      </w:r>
    </w:p>
    <w:p w14:paraId="55353E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76B313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Мордвинов, (1981-84 г.)- П.А. Андреев, (1984-86 г.)- Л.И. Козловский, (1986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Ильин. Руководитель (1981-2004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Соколовский. Гендиректор (2005 г.)- В.А. Рац.</w:t>
      </w:r>
    </w:p>
    <w:p w14:paraId="4EF916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производству (1999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Ильин; по ВЭД (2002 г.)- В.Н. Сычев.</w:t>
      </w:r>
    </w:p>
    <w:p w14:paraId="44EB3F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Соколовский. Ген. конструктор (1992- 2005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Соколовский {10.08.1934-}.</w:t>
      </w:r>
    </w:p>
    <w:p w14:paraId="0FE7A4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(1980-е)- В.А. Пустовойтов.</w:t>
      </w:r>
    </w:p>
    <w:p w14:paraId="449C63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А. Кегелес (Р-73), (1982-11.1986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Хохлов (УРВП; затем- гл. конструктор ОКБ «Звезда»), (2005 г.)- В. Г. Богацкий, (2005 г.)- В.К. Елецкий.</w:t>
      </w:r>
    </w:p>
    <w:p w14:paraId="3EA15D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(-1961 г.)- А.Л. Ляпин.</w:t>
      </w:r>
    </w:p>
    <w:p w14:paraId="4F7E3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(1949 г.)- Б.С. Абрамович (ПВ-23).</w:t>
      </w:r>
    </w:p>
    <w:p w14:paraId="37F4B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4325E9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Летчики-испытатели: (1946 г.)- Фиксон, (1946 г.)- Шиянов.</w:t>
      </w:r>
    </w:p>
    <w:p w14:paraId="20746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2C2768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199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апреля 1942 г. по приказу НКАП № 304 на завод № 240 7ГУ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в Москву было </w:t>
      </w:r>
      <w:r w:rsidRPr="008127F8">
        <w:rPr>
          <w:rFonts w:ascii="Times New Roman" w:hAnsi="Times New Roman"/>
          <w:color w:val="000000" w:themeColor="text1"/>
          <w:sz w:val="16"/>
          <w:szCs w:val="16"/>
        </w:rPr>
        <w:lastRenderedPageBreak/>
        <w:t>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49F48E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45F959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09FB48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08234A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4CDF1C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264B4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3187DA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w:t>
      </w:r>
      <w:proofErr w:type="gramStart"/>
      <w:r w:rsidRPr="008127F8">
        <w:rPr>
          <w:rFonts w:ascii="Times New Roman" w:hAnsi="Times New Roman"/>
          <w:color w:val="000000" w:themeColor="text1"/>
          <w:sz w:val="16"/>
          <w:szCs w:val="16"/>
        </w:rPr>
        <w:t>е  г.</w:t>
      </w:r>
      <w:proofErr w:type="gramEnd"/>
    </w:p>
    <w:p w14:paraId="43E086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179EE6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4609C3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7F8CD5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w:t>
      </w:r>
      <w:proofErr w:type="gramStart"/>
      <w:r w:rsidRPr="008127F8">
        <w:rPr>
          <w:rFonts w:ascii="Times New Roman" w:hAnsi="Times New Roman"/>
          <w:color w:val="000000" w:themeColor="text1"/>
          <w:sz w:val="16"/>
          <w:szCs w:val="16"/>
        </w:rPr>
        <w:t>е  г.</w:t>
      </w:r>
      <w:proofErr w:type="gramEnd"/>
    </w:p>
    <w:p w14:paraId="58F466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создана сварочная лаборатория, преобразованная затем в службу гл. сварщика- экспериментальный отдел сварки (ЭОС).</w:t>
      </w:r>
    </w:p>
    <w:p w14:paraId="3301D5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686E05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5FCFB1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ОГЭ цеха: № 11, № 12, № 13, энергообеспечения № 14 (создан в 1944 г.).</w:t>
      </w:r>
    </w:p>
    <w:p w14:paraId="3DE2CF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1980-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 состав ОКС влился строительный цех.</w:t>
      </w:r>
    </w:p>
    <w:p w14:paraId="414880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156F8A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732234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8127F8">
        <w:rPr>
          <w:rFonts w:ascii="Times New Roman" w:hAnsi="Times New Roman"/>
          <w:color w:val="000000" w:themeColor="text1"/>
          <w:sz w:val="16"/>
          <w:szCs w:val="16"/>
          <w:lang w:val="en-US"/>
        </w:rPr>
        <w:t>OAK</w:t>
      </w:r>
      <w:proofErr w:type="gramStart"/>
      <w:r w:rsidRPr="008127F8">
        <w:rPr>
          <w:rFonts w:ascii="Times New Roman" w:hAnsi="Times New Roman"/>
          <w:color w:val="000000" w:themeColor="text1"/>
          <w:sz w:val="16"/>
          <w:szCs w:val="16"/>
        </w:rPr>
        <w:t>. ,</w:t>
      </w:r>
      <w:proofErr w:type="gramEnd"/>
      <w:r w:rsidRPr="008127F8">
        <w:rPr>
          <w:rFonts w:ascii="Times New Roman" w:hAnsi="Times New Roman"/>
          <w:color w:val="000000" w:themeColor="text1"/>
          <w:sz w:val="16"/>
          <w:szCs w:val="16"/>
        </w:rPr>
        <w:t xml:space="preserve"> Численность персонала (1.01.1940 г.)-784 чел.</w:t>
      </w:r>
    </w:p>
    <w:p w14:paraId="024451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20741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B7A97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690A0A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Р.Л. Бартини, (03.1940-42 г.)- В. Г. Ермолаев, (07.1942-1970 г.)- С.В. Ильюшин. Ген. Конструктор (07.1970-2005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Новожилов.</w:t>
      </w:r>
    </w:p>
    <w:p w14:paraId="413577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3B46AA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210982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04DF05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7AE757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18256E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w:t>
      </w:r>
      <w:r w:rsidRPr="008127F8">
        <w:rPr>
          <w:rFonts w:ascii="Times New Roman" w:hAnsi="Times New Roman"/>
          <w:color w:val="000000" w:themeColor="text1"/>
          <w:sz w:val="16"/>
          <w:szCs w:val="16"/>
        </w:rPr>
        <w:lastRenderedPageBreak/>
        <w:t>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6F0736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02BD1BBA" w14:textId="77777777" w:rsidR="00BE3C69" w:rsidRPr="008127F8" w:rsidRDefault="00BE3C69" w:rsidP="001E0A84">
      <w:pPr>
        <w:widowControl w:val="0"/>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2BDD5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65D0C6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1548CF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лабораторий: ЦЗЛ- Л.Б. Усенко; рентгеновской (1948 г.)- В.В. Алексеев; химической (1948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8127F8">
        <w:rPr>
          <w:rFonts w:ascii="Times New Roman" w:hAnsi="Times New Roman"/>
          <w:iCs/>
          <w:color w:val="000000" w:themeColor="text1"/>
          <w:sz w:val="16"/>
          <w:szCs w:val="16"/>
        </w:rPr>
        <w:t xml:space="preserve"> Е.Я.</w:t>
      </w:r>
      <w:r w:rsidRPr="008127F8">
        <w:rPr>
          <w:rFonts w:ascii="Times New Roman" w:hAnsi="Times New Roman"/>
          <w:color w:val="000000" w:themeColor="text1"/>
          <w:sz w:val="16"/>
          <w:szCs w:val="16"/>
        </w:rPr>
        <w:t xml:space="preserve"> Белкин, Ф.Р. Куликов; фотоконтактной - Ю.И. Жиганов; Н.Т. Рошаль,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Мухортов.</w:t>
      </w:r>
      <w:r w:rsidRPr="008127F8">
        <w:rPr>
          <w:rFonts w:ascii="Times New Roman" w:hAnsi="Times New Roman"/>
          <w:color w:val="000000" w:themeColor="text1"/>
          <w:sz w:val="16"/>
          <w:szCs w:val="16"/>
          <w:vertAlign w:val="superscript"/>
        </w:rPr>
        <w:t>100</w:t>
      </w:r>
    </w:p>
    <w:p w14:paraId="253E28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Ил-22 (1947)- 1, Ил-28 (1948)- 1, Ил-30 (1949)- 1, Ил-46 (1951)- 1, Ил-54 (1954)- 2 (11982).</w:t>
      </w:r>
    </w:p>
    <w:p w14:paraId="5C9A4F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87E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 приказом НКАП № 304с в соответствии с пост. ГКО № 1573с от 9.04.1942 г. ОКБ-39 гл. конструктора С.В. Ильюшина переведено с 1.05.1942 г. в полном составе со всем оборудованием в Москву на площадку завода № 240 и получило наименование ОКБ-240 (ОКБ-240 НКАП, МАП, ОАО «КБ им. С.В. Ильюшина» /г. Москва ул. Красноармейская, 17/ /125190  г. Москва, Ленинградский пр., 45Г тел. 943-83-25,943-81-16/) (по другим сведениям возвращение личного состава началось в феврале, а в апреле уже закончилось). Продолжены работы по Ил-8 и Ил-10.</w:t>
      </w:r>
    </w:p>
    <w:p w14:paraId="5A7891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размещалось на ул. Красноармейской (и на 1953 г.) на территории между пер. Красноармейским и Лазовским (сейчас это улицы Степана Супруна и Константина Симонова). Имело два корпуса: главный (конструкторский) и производственный, построенные в 1920-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немцами для совместного авиационного предприятия.</w:t>
      </w:r>
    </w:p>
    <w:p w14:paraId="5E6034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9.09.1942 г. вышло постановление ГКО № 2283 о выпуске самолетов Ил-2 с деревянным крылом и удлиненным деревянным фюзеляжем. 7.02.1943 г. вышло постановление ГКО № 2841 о строительстве Ил-2 в варианте корректировщика. 7.03.1943 г. вышло постановление ГКО № 2998 о выпуске Ил-2, оборудованном подвесными топливными баками. 17.05.1943 г. - постановление ГКО № 3386 о преобразовании части самолетов Ил-2 в истребители. 11.07.1944 г. - постановление ГКО № 6167 о вооружении Ил-2 установками для стрельбы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w:t>
      </w:r>
    </w:p>
    <w:p w14:paraId="2BDD0B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2936 от 24.02.1943 г. и приказом № 117сс от 25.02.1943 г. необходимо бвыло построить к 20.03.1943 г. Ил-4 с М-82 на заводе № 23, а госиспытания завершить к 25.04.1943 г.</w:t>
      </w:r>
    </w:p>
    <w:p w14:paraId="5A0470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7.03.1943 г. вышло постановление ГКО № 2999 о постройке самолета Ил-6 с дизелями М-30Б.</w:t>
      </w:r>
    </w:p>
    <w:p w14:paraId="775FED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26.10.1943 г. вышло постановление ГКО № 4427 об испытаниях бронированного штурмовика с мотором АМ- 42 (Ил-АМ-42).</w:t>
      </w:r>
    </w:p>
    <w:p w14:paraId="36150A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61с от 20.02.1946 г. завод № 482 НКАП после ликвидации ОКБ-482 В.М. Мясищева (в 02.1946 г.) подчинен ОКБ-240 гл. конструктора С.В. Ильюшина. В ОКБ переведена часть коллектива Мясищева (в т.ч. конструкторы В.А. Лихачев (затем снова ушел в ОКБ-23), Д.С. Лозинский, Н.А. Стеблев, К.В. Рогов); в 1952 г. многие вернулись обратно к Мясищеву.</w:t>
      </w:r>
    </w:p>
    <w:p w14:paraId="604B10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имело ЛИС на аэродроме «Раменское» (1976 г.).</w:t>
      </w:r>
    </w:p>
    <w:p w14:paraId="3ACC2A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создавались как военные, так и гражданские самолеты. Построены опытные бомбардировщики Ил-22, Ил-30, Ил-46, Ил-54. Выпускался большой серией Ил-28. Созданы опытные штурмовики Ил-20, Ил-40, Ил-102.</w:t>
      </w:r>
    </w:p>
    <w:p w14:paraId="4576D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началось проектирование первого пассажирского самолета Ил-12, строившегося серийно. Далее созданы и строились большими сериями Ил-14, Ил-18, Ил-62, Ил-76, Ил-86, Ил-96. В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созданы Ил-114, Ип-103.</w:t>
      </w:r>
    </w:p>
    <w:p w14:paraId="7A456B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1944 г. велась разработка проекта скоростного бомбардировщика Ил-14, пост, правительства в 1946 г. работы прекращены.</w:t>
      </w:r>
    </w:p>
    <w:p w14:paraId="544CEB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w:t>
      </w:r>
      <w:proofErr w:type="gramStart"/>
      <w:r w:rsidRPr="008127F8">
        <w:rPr>
          <w:rFonts w:ascii="Times New Roman" w:hAnsi="Times New Roman"/>
          <w:color w:val="000000" w:themeColor="text1"/>
          <w:sz w:val="16"/>
          <w:szCs w:val="16"/>
        </w:rPr>
        <w:t>пост.ениями</w:t>
      </w:r>
      <w:proofErr w:type="gramEnd"/>
      <w:r w:rsidRPr="008127F8">
        <w:rPr>
          <w:rFonts w:ascii="Times New Roman" w:hAnsi="Times New Roman"/>
          <w:color w:val="000000" w:themeColor="text1"/>
          <w:sz w:val="16"/>
          <w:szCs w:val="16"/>
        </w:rPr>
        <w:t xml:space="preserve"> правительства от 12.02.1946 г. и от 11.03.1947 г. создан дальний высотный бомбардировщик Ил-22. На его базе по пр. от 26.06.1947 г. разработан Ил-24, пост, от 21.06.1948 г. работы по нему 1фекращены.</w:t>
      </w:r>
    </w:p>
    <w:p w14:paraId="2601F3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01.1948 г. утвержден проект фронтового бомбардировщика Ил-28, пост. № 2052-804 от 8.06.1948 г. он включен в план опытного строительства. В соответствии с пост. СМ № 1890-700 от 14.05.1949 г. Ил-28 пнв. В 1950 г. разработан учебный Ил-28У, по пр. от 21.07.1950 г. он запущен в серию. По пр. от 10.12.1953 г. создана модификация Ил-28У для учебного катапультирования. По решению правительства от 1.06.1950 г. создан торпедоносец Ил-28Т, по решению от 22.05.1953 г. Ил-28Т выпускался с двигателями ВК-5. В 1950 г. создан разведчик Ил-28Р, решением СМ СССР от 8.12.1951 г. он запущен в серию. В соответствии с ПСМ от 3.03.1951 г. создан модернизированный Ил-28РМ. По решению правительства от 11.01.1951 г. создан вариант Ил-28 с экспериментальным гусеничным шасси. Распоряжением правительства № 3572 от 6.04.1954 г. было решено переоборудовать 12 Ил-28 в носители ПКР «Щука-А»; в соответствии с ПСМ от 23.09.1954 г. были переоборудованы два самолета. 24.03.1956 г. вышло распоряжение правительства № 1578-рс о довооружении Ил- 28 системой наружной подвески минно-торпедного оружия. По пр. ГКАТ от 23.02.1959 г. создан зондировщик атмосферы Ил-283А.</w:t>
      </w:r>
    </w:p>
    <w:p w14:paraId="33DEAA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14.09.1949 г. начаты испытания опытного бомбардировщика Ил-30, пост. СМ от 20.08.1950 г. работы по нему прекращены. По решению правительства от 1.06.1950 г. начата разработка экспериментального бомбардировщика Ил-42, утверждена пост, от 10.07.1950 г. По решению от 24.03.1951 г. работы по самолету прекращены.</w:t>
      </w:r>
    </w:p>
    <w:p w14:paraId="004A99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от 24.03.1951 г. начато создание среднего бомбардировщика Ил-46. В конце года построен опытный экземпляр, первый полет 3.03.1952 г.; начата постройка второго экземпляра, прекращена в 1952 г.</w:t>
      </w:r>
    </w:p>
    <w:p w14:paraId="48E1D5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от 29.12.1952 г. начата разработка скоростного фронтового бомбардировщика Ил-54, пост. № 355-161сс от 2.03.1954 г. уточнены требования к самолету, определен срок предъявления на Госиспытания- 05.1955 г. 10.06.1954 г. вышло постановление СМ СССР № 1143-503сс «О постройке скоростного торпедоносца конструкции Ильюшина с двигателем АЛ-7ф» с предъявлением на Госиспытания в 1-м квартале 1956 г.</w:t>
      </w:r>
    </w:p>
    <w:p w14:paraId="1AD38C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23.06.1954 г. вышло постановление СМ СССР № 1248-557сс «О создании военно-транспортного самолёта конструкции Ильюшина».</w:t>
      </w:r>
    </w:p>
    <w:p w14:paraId="40CDD5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началась разработка Ил-18 и его транспортного варианта. Задание также было выдано Антонову и Туполеву. 11.04.1958 г. вышло распоряжение правительства № 1144-рс о доработке Ил-18 под десантное и санитарное оборудование. В соответствии с ПСМ № 640-261 от 18.06.1960 г. начато создание самолета противолодочной обороны Ил-38 на базе Ил-18. 16.05.1961 г. вышло Постановление СМ СССР № 426-176 «О мерах по усилению противопожарной защиты и повышения эксплуатационной надежности самолетов Ил-18».</w:t>
      </w:r>
    </w:p>
    <w:p w14:paraId="3372B3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1.02.1964 г. вышло постановление СМ СССР № 114-38 об ускорении создания Ил-62.</w:t>
      </w:r>
    </w:p>
    <w:p w14:paraId="525A51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1053-353 от 17.11.1967 г. начата разработка Ил-76.</w:t>
      </w:r>
    </w:p>
    <w:p w14:paraId="6E006927" w14:textId="77777777" w:rsidR="00BE3C69" w:rsidRPr="008127F8" w:rsidRDefault="00BE3C69" w:rsidP="001E0A84">
      <w:pPr>
        <w:widowControl w:val="0"/>
        <w:tabs>
          <w:tab w:val="left" w:pos="6631"/>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Принимало участие в программе создания ОК «Буран».</w:t>
      </w:r>
      <w:r w:rsidRPr="008127F8">
        <w:rPr>
          <w:rFonts w:ascii="Times New Roman" w:hAnsi="Times New Roman"/>
          <w:color w:val="000000" w:themeColor="text1"/>
          <w:sz w:val="16"/>
          <w:szCs w:val="16"/>
        </w:rPr>
        <w:tab/>
        <w:t>.</w:t>
      </w:r>
    </w:p>
    <w:p w14:paraId="20CEF4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работ по самолетам, в конце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велись работы по ракетостроению. В 1957-59 г. разработан опытный морской самолет-снаряд П-20 со станцией АР-12 (изд. «20Н»). Бросковые пуски- 30.12.1958 г. с АП-66, 20.03.1959 г. (изд. 20Н-02). В 1960 г. работы прекращены.</w:t>
      </w:r>
    </w:p>
    <w:p w14:paraId="3E9625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739 от 14.12.1940 г. организовано представительство ОКБ на заводе № 18.</w:t>
      </w:r>
    </w:p>
    <w:p w14:paraId="213AA1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 вначале действовали: бригады: общих видов, моторная, шасси и управления (ШУ), высотного оборудования, технической информации; группа оборудования (ОБ). 2.01.1941 г. образована летно- экспериментальная группа. В 05.1942 г. создана бригада электрорадиооборудования (ЭРО); в 06.1945 г.- бригада спецоборудования (СО), в ее состав вошла высотная лаборатория. 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 составе бригады СО создана группа тепловых расчетов. В бригаде общих видов работали группы: компоновки, аэродинамики (в начале 1950-х преобразована в отдел). Созданы группы: аэродинамических моделей, весов и центровок, оформления проектов и техописаний, прочности (1933 г.), флаттера (1945 г.). В 1942 г. в бригаде ШУ созданы группы шасси, управления, гидро- и пнвмосистем; в 1946 г. создана расчетная группа. В 06.1945 г. образована бригада специального оборудования (СО). В 1947 г. образовано машиносчетное бюро (МСБ). Затем, по приказу ГКАТ № 221 на базе МСБ образована кустовая </w:t>
      </w:r>
      <w:proofErr w:type="gramStart"/>
      <w:r w:rsidRPr="008127F8">
        <w:rPr>
          <w:rFonts w:ascii="Times New Roman" w:hAnsi="Times New Roman"/>
          <w:color w:val="000000" w:themeColor="text1"/>
          <w:sz w:val="16"/>
          <w:szCs w:val="16"/>
        </w:rPr>
        <w:t>Машино-счетная</w:t>
      </w:r>
      <w:proofErr w:type="gramEnd"/>
      <w:r w:rsidRPr="008127F8">
        <w:rPr>
          <w:rFonts w:ascii="Times New Roman" w:hAnsi="Times New Roman"/>
          <w:color w:val="000000" w:themeColor="text1"/>
          <w:sz w:val="16"/>
          <w:szCs w:val="16"/>
        </w:rPr>
        <w:t xml:space="preserve"> станция (КМСС), существовавшая до 1994 г., когда была объединена с ОВТиАС. В 1948 г. создана лаборатория ЭРО, в 1940-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лаборатория высотного и гидравлического оборудования (ВИГО). В 1951 г. образована бригада гидравлики, из бригады ШУ выделилась бригада гидросистем (ГС). В 04.1954 г. бригаду ЭРО разделили на бригаду электрооборудования (ЭО), бригаду радиооборудования (РО) и группу электросхем (ЭС) (в 1956 г. влилась в ЭО). В 1952 г. создана бригада наземного оборудования (НО), в 1956 г. она ликвидирована. Затем образована вновь в составе отдела ШУ. В 1956 г. бригада </w:t>
      </w:r>
      <w:r w:rsidRPr="008127F8">
        <w:rPr>
          <w:rFonts w:ascii="Times New Roman" w:hAnsi="Times New Roman"/>
          <w:color w:val="000000" w:themeColor="text1"/>
          <w:sz w:val="16"/>
          <w:szCs w:val="16"/>
        </w:rPr>
        <w:lastRenderedPageBreak/>
        <w:t>общих видов разделена на два отдела: новой техники (ОНТ- для проектирования П-20) и пассажирских самолетов (ОПС). Затем созданы отделы: шасси и управления (включал бригады шасси, управления, расчетную), автоматики-динамики (затем- автоматики, динамики и надежности (АДН), моделирования полетов (1976 г.), аэродинамики; бюро: эскизного проектирования (БЭП), проектов (БП); макетный цех. В 1955 г. в составе бригад фюзеляжа, крыла и оперения были созданы группы прочности. В 1957 г. создан отдел готовых изделий и отдел моторных лабораторий (ОМЛ). В 03.1958 г. организована лаборатория математических машин (</w:t>
      </w:r>
      <w:r w:rsidRPr="008127F8">
        <w:rPr>
          <w:rFonts w:ascii="Times New Roman" w:hAnsi="Times New Roman"/>
          <w:color w:val="000000" w:themeColor="text1"/>
          <w:sz w:val="16"/>
          <w:szCs w:val="16"/>
          <w:lang w:val="en-US"/>
        </w:rPr>
        <w:t>JIMM</w:t>
      </w:r>
      <w:r w:rsidRPr="008127F8">
        <w:rPr>
          <w:rFonts w:ascii="Times New Roman" w:hAnsi="Times New Roman"/>
          <w:color w:val="000000" w:themeColor="text1"/>
          <w:sz w:val="16"/>
          <w:szCs w:val="16"/>
        </w:rPr>
        <w:t>), по приказу от 24.11.1964 г. преобразованная в отдел вычислительной техники (ОВТ). Позднее- Вычислительный центр, располагался в отдельном новом здании.</w:t>
      </w:r>
    </w:p>
    <w:p w14:paraId="6154D3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1.01.1956 г. организовано Бюро рационализации и изобретательства (БРИЗ), в 1962 г. при отделе технической информации создано патентное бюро, в 1969 г. оно преобразовано в бригаду. В 1973 г. БРИЗ и патентная бригада объединены в Патентно-лицензионный отдел (ПЛО).</w:t>
      </w:r>
    </w:p>
    <w:p w14:paraId="0E3BF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создан комплекс лабораторий: лаборатории: ЭО, автоматизации и стабилизации полета (АСП), РО, тензометрии; отделы: измерений, высотных и пневмогидравлических испытаний; моторных лабораторий. В 04.1975 г. лабораторная база предприятия реорганизована, создан Лабораторно-стендовый комплекс (ЛСК). В его составе: отдел АСП, лаборатории: ЭО, РО, гидрооборудования. Позднее вошла высотная лаборатория. На 2003 г. в ЛСК 4 отдела: ЭРО, автоматических систем пилотирования и управления, гидравлического оборудования, высотного оборудования (с сектором акустики).</w:t>
      </w:r>
    </w:p>
    <w:p w14:paraId="2CBE70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08.1958 г. образована лаборатория контрольно-измерительных приборов (КИП), в 1965 г. на ее базе создан отдел метрологии, электроники и автоматики (ОМЭА), в 1968 г. он преобразован в отдел гл. метролога.</w:t>
      </w:r>
    </w:p>
    <w:p w14:paraId="20E5AA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Ильюшина от 12.09.1959 г., в связи с началом работ по Ил-62, была изменена структурная схема ОКБ, не менявшаяся с довоенного времени. В составе ОКБ, руководителем которого назначен В.А. Борог, созданы 6 КБ: КБ-1 - проектирование планеров, КБ-2 - шасси и управление, КБ-3 - системы управления двигателями и топливные системы, КБ-4 - системы электроснабжения, электро- и радиооборудования, КБ-5 - системы жизнеобеспечения, гидравлические и ПОС, КБ-6 - эксплуатация самолетов и документация. Кроме того в состав ОКБ вошли подразделения, подчинявшиеся непосредственно Ген. конструктору: бюро: расчетное (РБ), испытаний новой техники, летных испытаний, эскизных проектов (БЭП); отделы: проектирования самолетов (ОПС- бывший ОНТ), проектирования пассажирских самолетов (ОГ1С-2), комплектации готовыми изделиями, аэродинамики (</w:t>
      </w:r>
      <w:r w:rsidRPr="008127F8">
        <w:rPr>
          <w:rFonts w:ascii="Times New Roman" w:hAnsi="Times New Roman"/>
          <w:color w:val="000000" w:themeColor="text1"/>
          <w:sz w:val="16"/>
          <w:szCs w:val="16"/>
          <w:lang w:val="en-US"/>
        </w:rPr>
        <w:t>OA</w:t>
      </w:r>
      <w:r w:rsidRPr="008127F8">
        <w:rPr>
          <w:rFonts w:ascii="Times New Roman" w:hAnsi="Times New Roman"/>
          <w:color w:val="000000" w:themeColor="text1"/>
          <w:sz w:val="16"/>
          <w:szCs w:val="16"/>
        </w:rPr>
        <w:t>), весового контроля (ОВК), технологический, технический. В дальнейшем КБ преобразованы в отделения, а структура, в основном, сохранилась и в 2000-</w:t>
      </w:r>
      <w:proofErr w:type="gramStart"/>
      <w:r w:rsidRPr="008127F8">
        <w:rPr>
          <w:rFonts w:ascii="Times New Roman" w:hAnsi="Times New Roman"/>
          <w:color w:val="000000" w:themeColor="text1"/>
          <w:sz w:val="16"/>
          <w:szCs w:val="16"/>
        </w:rPr>
        <w:t>е  г.</w:t>
      </w:r>
      <w:proofErr w:type="gramEnd"/>
    </w:p>
    <w:p w14:paraId="25D973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КБ-2: отделы: шасси, расчетный; бригада управления, группа наземного оборудования; позднее создана бригада механизированного управления.</w:t>
      </w:r>
    </w:p>
    <w:p w14:paraId="22252F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КБ-3 вошли отделы: двигательных установок (ДУ), двигательных систем (ДС), ОМЛ, расчетная группа.</w:t>
      </w:r>
    </w:p>
    <w:p w14:paraId="07A9FD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КБ-4 отделы: ЭО, специальных работ (</w:t>
      </w:r>
      <w:r w:rsidRPr="008127F8">
        <w:rPr>
          <w:rFonts w:ascii="Times New Roman" w:hAnsi="Times New Roman"/>
          <w:color w:val="000000" w:themeColor="text1"/>
          <w:sz w:val="16"/>
          <w:szCs w:val="16"/>
          <w:lang w:val="en-US"/>
        </w:rPr>
        <w:t>CP</w:t>
      </w:r>
      <w:r w:rsidRPr="008127F8">
        <w:rPr>
          <w:rFonts w:ascii="Times New Roman" w:hAnsi="Times New Roman"/>
          <w:color w:val="000000" w:themeColor="text1"/>
          <w:sz w:val="16"/>
          <w:szCs w:val="16"/>
        </w:rPr>
        <w:t xml:space="preserve">); бригады: пилотажно-навигационных систем (НС, создана в 05.1960 г.), автоматического контроля (АК, создана в 1962 г.). В 03.2000 г. отдел </w:t>
      </w:r>
      <w:r w:rsidRPr="008127F8">
        <w:rPr>
          <w:rFonts w:ascii="Times New Roman" w:hAnsi="Times New Roman"/>
          <w:color w:val="000000" w:themeColor="text1"/>
          <w:sz w:val="16"/>
          <w:szCs w:val="16"/>
          <w:lang w:val="en-US"/>
        </w:rPr>
        <w:t>CP</w:t>
      </w:r>
      <w:r w:rsidRPr="008127F8">
        <w:rPr>
          <w:rFonts w:ascii="Times New Roman" w:hAnsi="Times New Roman"/>
          <w:color w:val="000000" w:themeColor="text1"/>
          <w:sz w:val="16"/>
          <w:szCs w:val="16"/>
        </w:rPr>
        <w:t xml:space="preserve"> влит в состав отдела ЭО.</w:t>
      </w:r>
    </w:p>
    <w:p w14:paraId="1F7FB3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КБ-5 вошли: бригады: СО, гидросистем (ГС), бытового оборудования (БО), тепловых расчетов (</w:t>
      </w:r>
      <w:r w:rsidRPr="008127F8">
        <w:rPr>
          <w:rFonts w:ascii="Times New Roman" w:hAnsi="Times New Roman"/>
          <w:color w:val="000000" w:themeColor="text1"/>
          <w:sz w:val="16"/>
          <w:szCs w:val="16"/>
          <w:lang w:val="en-US"/>
        </w:rPr>
        <w:t>TP</w:t>
      </w:r>
      <w:r w:rsidRPr="008127F8">
        <w:rPr>
          <w:rFonts w:ascii="Times New Roman" w:hAnsi="Times New Roman"/>
          <w:color w:val="000000" w:themeColor="text1"/>
          <w:sz w:val="16"/>
          <w:szCs w:val="16"/>
        </w:rPr>
        <w:t xml:space="preserve">), лаборатория высотного оборудования (ЛВО), лаборатория гидравлического оборудования (ЛГО). В 1963 г. на базе бригад СО и </w:t>
      </w:r>
      <w:r w:rsidRPr="008127F8">
        <w:rPr>
          <w:rFonts w:ascii="Times New Roman" w:hAnsi="Times New Roman"/>
          <w:color w:val="000000" w:themeColor="text1"/>
          <w:sz w:val="16"/>
          <w:szCs w:val="16"/>
          <w:lang w:val="en-US"/>
        </w:rPr>
        <w:t>TP</w:t>
      </w:r>
      <w:r w:rsidRPr="008127F8">
        <w:rPr>
          <w:rFonts w:ascii="Times New Roman" w:hAnsi="Times New Roman"/>
          <w:color w:val="000000" w:themeColor="text1"/>
          <w:sz w:val="16"/>
          <w:szCs w:val="16"/>
        </w:rPr>
        <w:t xml:space="preserve"> создан отдел СО (в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переименован в отдел защитного оборудования), в него также вошли бригады высотного оборудования (ВО) и противообледенительного оборудования (ПО). Затем бригады ВО и ГС преобразованы в отделы. В 1964 г. создана бригада надежности в составе БЭП, в 1983 г. бригада преобразована в отдел, а в 1994 г.- в отделение. В 1966 г. создана бригада прочностных расчетов и надежности (РПН-5), в 1970 г. она переименована в РП-5.</w:t>
      </w:r>
    </w:p>
    <w:p w14:paraId="01051C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РБ: бригады: внешних нагрузок, вибраций; лаборатория прочности. В составе бригады внешних нагрузок в 1959 г. образована группа ресурса (в 1965 г. преобразована в бригаду ресурса и надежности). В 1970- 72 г. в отделе ресурса образована группа акустической выносливости (в 04.1973 г. преобразована в бригаду, а далее- в отдел). В составе отдела вибраций- бригада динамических нагрузок. Далее в составе РБ образовано отделение прочности с отделами: нагрузок и условий обеспечения статической и динамической прочности (на базе отдела внешних нагрузок), аэроупругости и флаттера (на базе отдела вибраций), ресурса (на базе отдела ресурса и надежности), общей прочности (на базе бригады ПК), акустической выносливости (на базе соответствующей бригады) и лабораторией прочностных испытаний. Затем лаборатория преобразована в лабораторный комплекс прочностных испытаний (ЛКПИ), в который вошли 4 отдела: статических испытаний, ресурсных испытаний, автоматики и измерений, производственный. Затем в ЛКПИ созданы сектор системы многоканального нагружения, отдел проектирования испытательных систем.</w:t>
      </w:r>
    </w:p>
    <w:p w14:paraId="3C194F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ОПС- 11 конструкторских групп: общих видов и компоновки; планера; управления, шасси и гидравлики; силовых установок; топливных систем; размещения оборудования и компоновки кабин экипажа; компоновки пассажирских и грузовых кабин, бытового оборудования; систем жизнеобеспечения, ПОС и кислородного оборудования; размещения проводок и нивелировки; электросхем; макета.</w:t>
      </w:r>
    </w:p>
    <w:p w14:paraId="320D32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25.09.1959 г. на базе бригады стрелкового вооружения (С) образована бригада бытового оборудования (БО).</w:t>
      </w:r>
    </w:p>
    <w:p w14:paraId="3F65CD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1960 г. в составе ЛДК создан лабораторно-конструкторский отдел (ЛКО), в состав которого вошла конструкторская группа испытательного оборудования (ИО). С </w:t>
      </w:r>
      <w:proofErr w:type="gramStart"/>
      <w:r w:rsidRPr="008127F8">
        <w:rPr>
          <w:rFonts w:ascii="Times New Roman" w:hAnsi="Times New Roman"/>
          <w:color w:val="000000" w:themeColor="text1"/>
          <w:sz w:val="16"/>
          <w:szCs w:val="16"/>
        </w:rPr>
        <w:t>21.03.1963  г.</w:t>
      </w:r>
      <w:proofErr w:type="gramEnd"/>
      <w:r w:rsidRPr="008127F8">
        <w:rPr>
          <w:rFonts w:ascii="Times New Roman" w:hAnsi="Times New Roman"/>
          <w:color w:val="000000" w:themeColor="text1"/>
          <w:sz w:val="16"/>
          <w:szCs w:val="16"/>
        </w:rPr>
        <w:t xml:space="preserve"> все подразделения, связанные с подготовкой и проведением летных испытаний, объединены в Летно-доводочный комплекс (ЛДК, цех № 25) предприятия п/я 2418.</w:t>
      </w:r>
      <w:r w:rsidRPr="008127F8">
        <w:rPr>
          <w:rFonts w:ascii="Times New Roman" w:hAnsi="Times New Roman"/>
          <w:color w:val="000000" w:themeColor="text1"/>
          <w:sz w:val="16"/>
          <w:szCs w:val="16"/>
          <w:vertAlign w:val="superscript"/>
        </w:rPr>
        <w:t>16</w:t>
      </w:r>
      <w:r w:rsidRPr="008127F8">
        <w:rPr>
          <w:rFonts w:ascii="Times New Roman" w:hAnsi="Times New Roman"/>
          <w:color w:val="000000" w:themeColor="text1"/>
          <w:sz w:val="16"/>
          <w:szCs w:val="16"/>
        </w:rPr>
        <w:t xml:space="preserve"> ЛДК размещался тогда на территории «А» на месте плазового цеха, а также арендовал помещения в ангаре № 3 ЛИИ в Жуковском. В 05.1964 г. часть лабораторий переехала в Жуковский, в ЛДК, а группа ИО и лаборатория по новой технике- на территорию «Б». Там же был организован архив чертежей. В 1970-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построен свой ангар для ЛДК площадью 14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 середине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 базе цеха № 25 создан цюизводственно-доводочный комплекс (ПДК). В составе ЛДК в 1956 г. создана лаборатория контрольно- яписывающей аппаратуры (КЗА). Была образована расчетная группа, в 1968 г. преобразованная в экспериментально-исследовательский отдел (ЭИО). В 1970 г. образована группа автоматизации обработки материалов испытаний, в том же году она преобразована в отдел систем автоматизированной обработки материалов летных испытаний (САО). Приказом от 6.05.1972 г. группа ИО была преобразована в бригаду ИО в составе КБ-7, а ЛКО расформирован. В 1976 г. образован отдел технической эксплуатации самолетов (затем переименован в отдел опытной эксплуатации самолетов). В 1978 г. бригада ИО преобразована в отдел. В 1988 г. отдел САО преобразован в отделение измерений и автоматизированной обработки. В него вошли отдел САО и лаборатория КЗА. В 1988 г. на базе ЛДК создана ЛИиДБ, а ЭИО реорганизован в отделение летных испытаний (ОЛИ). В составе ЛИиДБ: отделения: ОЛИ, измерений и автоматизированной обработки, эксплуатации самолетов; комплекс летного обеспечения, группа ведущих инженеров. В составе комплекса летного обеспечения: группа летного состава, группа летной документации, штурманская служба, парашютная служба, медпункт.</w:t>
      </w:r>
    </w:p>
    <w:p w14:paraId="3F8BCF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образован филиал ЛДК в Витебске во главе с Н.Ф. Зайцевым.</w:t>
      </w:r>
    </w:p>
    <w:p w14:paraId="71A05D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29.06.1966 г. в составе КБ-6 образовано бюро эксплуатационно-технической документации (БЭТД). В его составе бригады: техописаний и эксплуатационных инструкций; художественного оформления документации; рекламы и сувениров (создана в 1975 г.); редакционно-издательская; кино-фотолаборатория; сектор множительной техники. В 04.1981 г. образована бригада летных руководств. В 1983 г. БЭТД преобразовано в отделение. В его составе образован новый отдел- ЭТД по электро-, радио-, навигационному оборудованию (ЭРНО).</w:t>
      </w:r>
    </w:p>
    <w:p w14:paraId="303CB6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10.1967 г. создано КБ-7 (далее- отделение десантно-транспортного и наземного оборудования). В него вошли отделы: десантно-транспортного оборудования и вооружения; средств наземного оборудования (СНО); бригада прочности (создана в конце 1967 г.); группа бомбового вооружения (БВ), образованная еще в 1933 г. На ее основе в 1950 г. создана бригада специальных установок (СУ), а в 1967 г.- отдел СУ.</w:t>
      </w:r>
    </w:p>
    <w:p w14:paraId="2424E7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22.04.1968 г. в ОКБ впервые в МАП создана бригада технической эстетики (ТЭ).</w:t>
      </w:r>
    </w:p>
    <w:p w14:paraId="36C206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20.07.1973 г. на базе отдела БО создано КБ-8 (далее- отделение интерьеров и бытового оборудования). В его составе образованы отделы: интерьеров и мебели (ИМ), бытовых систем и оборудования (БСО), художественного конструирования (ХК). В 1977 г. в составе КБ-8 образована бригада расчетов (БР).</w:t>
      </w:r>
    </w:p>
    <w:p w14:paraId="4C82BE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12.1974 г. создан комплексный отдел (КО) по Ил-76 (отдел № 274, затем- № 167), первый отдел в ОКБ, который сопровождал самолет от этапа постройки до списания последней машины. В 03.1982 г. создан КО по Ил- 86 (№ 166), в 08.1987 г.- КО по Ил-114 (№ 168). В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образован КО № 169 по всем экспортным машинам, в 1990-е- по Ил-103.</w:t>
      </w:r>
    </w:p>
    <w:p w14:paraId="4EDD5A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14.01.1975 г. в составе БП создана бригада норм летной годности и сертификации (НЛГС).</w:t>
      </w:r>
    </w:p>
    <w:p w14:paraId="1CD60B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 г. в составе КБ-1 создана бригада прочности каркаса (ПК), в 1977 г.- отдел прочности и ресурса (ОПР).</w:t>
      </w:r>
    </w:p>
    <w:p w14:paraId="5A967E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 г. в составе ОВТ создана бригада автоматизированной системы управления разработками предприятия (АСУРП). В 03.1978 г. ОВТ преобразован в отделение вычислительной техники и автоматизированных систем (ОВТиАС), в 1980 г. утверждена его новая структура: отдел ЭВМ с секторами: ЭВМ ТЕР «А», ЭВМ ТЕР «Б»; отдел САПР (сектора системного математического обеспечения; методического и программного обеспечения); бригада АСУРП. В 1998 г. еще раз изменена структура отделения, в его составе три отдела: САПР, ЭВМ и АСУ.</w:t>
      </w:r>
    </w:p>
    <w:p w14:paraId="5A6E2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1977 г. в составе отделения эксплуатации созданы группы инженеров по специальности, группа (затем отдел) ремонта и ресурса. В 1981 г. образованы отделы по эксплуатации Ил-86, Ил-76, Ил-114, Ил-18, Ил-62; ликвидирован отдел ремонта и ресурса; создана группа программ техобслуживания.</w:t>
      </w:r>
    </w:p>
    <w:p w14:paraId="4F01E7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1982 г. все подразделения общих видов объединены в бюро проектов (БП) на правах отделения. В него вошли отделы: перспективного проектирования, автоматизации и оформления проекта; проектирования систем; компоновки самолетов; автоматики, динамики; аэродинамики; весового проектирования; надежности; сертификации; моделей; технической информации.</w:t>
      </w:r>
    </w:p>
    <w:p w14:paraId="1729BF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1986 г. образовано отделение технологичности, в которое вошли отделы: технологичности конструкций, стандартизации, неметаллов и композиционных материалов.</w:t>
      </w:r>
    </w:p>
    <w:p w14:paraId="37A118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2002 г. бригады </w:t>
      </w:r>
      <w:r w:rsidRPr="008127F8">
        <w:rPr>
          <w:rFonts w:ascii="Times New Roman" w:hAnsi="Times New Roman"/>
          <w:color w:val="000000" w:themeColor="text1"/>
          <w:sz w:val="16"/>
          <w:szCs w:val="16"/>
          <w:lang w:val="en-US"/>
        </w:rPr>
        <w:t>TP</w:t>
      </w:r>
      <w:r w:rsidRPr="008127F8">
        <w:rPr>
          <w:rFonts w:ascii="Times New Roman" w:hAnsi="Times New Roman"/>
          <w:color w:val="000000" w:themeColor="text1"/>
          <w:sz w:val="16"/>
          <w:szCs w:val="16"/>
        </w:rPr>
        <w:t xml:space="preserve"> и прочностных расчетов отделения СО объединены в одну бригаду прочностных и тепловых расчетов.</w:t>
      </w:r>
    </w:p>
    <w:p w14:paraId="3A259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12.1990 г. в составе планово-экономического отдела создано коммерческое бюро, в 04.1993 г. преобразованное в коммерческий отдел. В 12.1998 г. из части коммерческого отдела создан отдел модернизации и ремонта </w:t>
      </w:r>
      <w:r w:rsidRPr="008127F8">
        <w:rPr>
          <w:rFonts w:ascii="Times New Roman" w:hAnsi="Times New Roman"/>
          <w:color w:val="000000" w:themeColor="text1"/>
          <w:sz w:val="16"/>
          <w:szCs w:val="16"/>
          <w:lang w:val="en-US"/>
        </w:rPr>
        <w:t>AT</w:t>
      </w:r>
      <w:r w:rsidRPr="008127F8">
        <w:rPr>
          <w:rFonts w:ascii="Times New Roman" w:hAnsi="Times New Roman"/>
          <w:color w:val="000000" w:themeColor="text1"/>
          <w:sz w:val="16"/>
          <w:szCs w:val="16"/>
        </w:rPr>
        <w:t xml:space="preserve">. В 1996 г. образован отдел акционирования и собственности. В 1998 г. создан финансовый отдел. В 2001 г. образована служба послепродажного обслуживания и модернизации </w:t>
      </w:r>
      <w:r w:rsidRPr="008127F8">
        <w:rPr>
          <w:rFonts w:ascii="Times New Roman" w:hAnsi="Times New Roman"/>
          <w:color w:val="000000" w:themeColor="text1"/>
          <w:sz w:val="16"/>
          <w:szCs w:val="16"/>
          <w:lang w:val="en-US"/>
        </w:rPr>
        <w:t>AT</w:t>
      </w:r>
      <w:r w:rsidRPr="008127F8">
        <w:rPr>
          <w:rFonts w:ascii="Times New Roman" w:hAnsi="Times New Roman"/>
          <w:color w:val="000000" w:themeColor="text1"/>
          <w:sz w:val="16"/>
          <w:szCs w:val="16"/>
        </w:rPr>
        <w:t xml:space="preserve"> (ППОиМАТ), в ее составе отделы: модернизации и доработки </w:t>
      </w:r>
      <w:r w:rsidRPr="008127F8">
        <w:rPr>
          <w:rFonts w:ascii="Times New Roman" w:hAnsi="Times New Roman"/>
          <w:color w:val="000000" w:themeColor="text1"/>
          <w:sz w:val="16"/>
          <w:szCs w:val="16"/>
          <w:lang w:val="en-US"/>
        </w:rPr>
        <w:t>AT</w:t>
      </w:r>
      <w:r w:rsidRPr="008127F8">
        <w:rPr>
          <w:rFonts w:ascii="Times New Roman" w:hAnsi="Times New Roman"/>
          <w:color w:val="000000" w:themeColor="text1"/>
          <w:sz w:val="16"/>
          <w:szCs w:val="16"/>
        </w:rPr>
        <w:t xml:space="preserve">, гарантийного </w:t>
      </w:r>
      <w:r w:rsidRPr="008127F8">
        <w:rPr>
          <w:rFonts w:ascii="Times New Roman" w:hAnsi="Times New Roman"/>
          <w:color w:val="000000" w:themeColor="text1"/>
          <w:sz w:val="16"/>
          <w:szCs w:val="16"/>
        </w:rPr>
        <w:lastRenderedPageBreak/>
        <w:t>обслуживания и рекламаций. В 03.2002 г. образовано отделение управления собственностью, в его составе отделы: лицензионных соглашений и аренды, патентный, акционирования и собственности.</w:t>
      </w:r>
    </w:p>
    <w:p w14:paraId="4F33BF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10.1990 г. создан Бизнес-центр. В 07.1991 г. образован отдел внешнеэкономических связей (ВЭС), в 1993 г. в его состав включен Бизнес-центр. В конце 2002 г. отдел ВЭС расформирован, на его базе созданы отделы протокольно-визовый и выставок, рекламы и продвижения продукции.</w:t>
      </w:r>
    </w:p>
    <w:p w14:paraId="0F40FC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09.1961 г. введено в строй новое здание лабораторно-конструкторского комплекса (здание ОКБ) на территории «А». В 1965 г. построен корпус стендового зала. В соответствии с пост. ГКНТ от 5.10.1966 г. начинается строительство универсального стенда УСУ для моделирования работы систем управления самолетов и пилотажного стенда (ПС). В 1971 г. сдана первая очередь ПС, в 1973 г. введен в строй универсальный моделирующий комплекс УМК. В 1969 г. построено здание для статических испытаний с силовым полом и потолком. Был построен стендовый комплекс в Фаустово для отработки силовых установок (закрыт в 12.2000 г.). В 1996 г. на базе ПС создан сертифицированный Авиационный учебный центр для обучения и переподготовки летного состава ГА (директор- В.А. Барденков).</w:t>
      </w:r>
    </w:p>
    <w:p w14:paraId="4B2A1A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378к от 28.07.1970 г. ген. конструктором вместо ушедшего на пенсию С.В. Ильюшина </w:t>
      </w:r>
      <w:proofErr w:type="gramStart"/>
      <w:r w:rsidRPr="008127F8">
        <w:rPr>
          <w:rFonts w:ascii="Times New Roman" w:hAnsi="Times New Roman"/>
          <w:color w:val="000000" w:themeColor="text1"/>
          <w:sz w:val="16"/>
          <w:szCs w:val="16"/>
        </w:rPr>
        <w:t>назначен  Г.В.</w:t>
      </w:r>
      <w:proofErr w:type="gramEnd"/>
      <w:r w:rsidRPr="008127F8">
        <w:rPr>
          <w:rFonts w:ascii="Times New Roman" w:hAnsi="Times New Roman"/>
          <w:color w:val="000000" w:themeColor="text1"/>
          <w:sz w:val="16"/>
          <w:szCs w:val="16"/>
        </w:rPr>
        <w:t xml:space="preserve"> Новожилов.</w:t>
      </w:r>
    </w:p>
    <w:p w14:paraId="2949FC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В состав АК входили ОАО «КБ им. Ильюшина», опытное производство, летно-техническая база.</w:t>
      </w:r>
    </w:p>
    <w:p w14:paraId="166798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2003 г. имелись представительства на заводах: КАПО, ТАПОиЧ, ВАСО, Луховицком.</w:t>
      </w:r>
    </w:p>
    <w:p w14:paraId="1F63B1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(2002 г.): по модификации Ил-76МФ и его гражданскому варианту Ил-76ТФ, модификации Ил-114, среднему транспортному самолету Ил-214 и Ил-214-100. Разработаны самолет </w:t>
      </w:r>
      <w:r w:rsidRPr="008127F8">
        <w:rPr>
          <w:rFonts w:ascii="Times New Roman" w:hAnsi="Times New Roman"/>
          <w:color w:val="000000" w:themeColor="text1"/>
          <w:sz w:val="16"/>
          <w:szCs w:val="16"/>
          <w:lang w:val="en-US"/>
        </w:rPr>
        <w:t>MBJI</w:t>
      </w:r>
      <w:r w:rsidRPr="008127F8">
        <w:rPr>
          <w:rFonts w:ascii="Times New Roman" w:hAnsi="Times New Roman"/>
          <w:color w:val="000000" w:themeColor="text1"/>
          <w:sz w:val="16"/>
          <w:szCs w:val="16"/>
        </w:rPr>
        <w:t xml:space="preserve"> Ил-112, тяжелый транспортный Ил-106, административный Ил-108; (2005 г.): среднемагистральный МС-21 (совместно с ОКБ Яковлева, 26.06.2003 г. проект победил в конкурсе на ближне- и среднемагистральный самолет). Разработан проект Ил-476 - дальнейшее развитие Ил-76 с двигателями ПС-90А-76.</w:t>
      </w:r>
    </w:p>
    <w:p w14:paraId="4E9081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в ОКБ создано около 100 типов самолетов, выпущенных общим количеством в 66.000 машин.</w:t>
      </w:r>
    </w:p>
    <w:p w14:paraId="18B201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 5000 чел.</w:t>
      </w:r>
    </w:p>
    <w:p w14:paraId="7FDDE7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(07.1942-12.1956 г.)- С.В. Ильюшин. Ген. конструктор (17.12.1956-28.07.1970 г.)- академик (28.11.1968 г.), г-п С.В. Ильюшин, (28.07.1970-2005 г.-)- академик (24.12.1984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Новожилов {27.10.1925-}.</w:t>
      </w:r>
    </w:p>
    <w:p w14:paraId="7F1056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руководитель- С.В. Ильюшин.</w:t>
      </w:r>
    </w:p>
    <w:p w14:paraId="30D0EE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(15.10.1964-70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Новожилов, (1970 г.-)- Я.А. Кутепов, (2003 г.)- В.И. Терентьев. Зам. гл. конструктора (1938 г.)- Я.И. Мальцев, (-1946-48 г.-)- В.Н. Бугайский, (1946 г.)- А.П. Наумов, (1950 г.)- Е.С. Фельснер (затем- в ОКБ Сухого), (1950 г.)- Д.А. Поликарпов, (1950-54 г.-)- К.В. Рогов, (1953 г.-)- П.В. Яценко (до этого- зам. Микояна), (1954 г.)- А.А. Масленников, (28.12.1954 г.-)- К.Д. Усиков (по заводу № 84), (19.11.1955-59 г.-&gt; Б.В. Павловский, (-1948-63 г.-)- Н.Ф. Зотов, (13.01.1958 г.-)- Б.П. Чирков (по заводу № 30), (1958 г.-)-  Г.В. Новожилов, (1959 г.)- В.А. Борог; по электрорадиооборудованию (05.1959 г.-)- В.И. Смирнов; (1959 г.)- Ф.С. Дмитричков, А.П. Наумов. Зам. ген. конструктора (1957-58 г.)- В.Н. Бугайский, (17.02.1959-85 г.)- Я.А. Кутепов, (1984-86; 1988-97 г.-)- В.И. Терентьев, Р.П. Папковский.</w:t>
      </w:r>
    </w:p>
    <w:p w14:paraId="5A5ED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ОКБ (09.1959-86 г.)- В.А. Борог, (3.04.1986-92 г.)- И.Я. Катырев, (1992-93 г.-&gt; Н.Д. Таликов, В.В. Ливанов.</w:t>
      </w:r>
    </w:p>
    <w:p w14:paraId="030A25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ОКБ (06.1989 г.-)- Н.Е. Санков.</w:t>
      </w:r>
    </w:p>
    <w:p w14:paraId="374166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(2.03.1957-1970-е-)- Я.А. Кутепов (по пассажирским и транспортным самолетам), (2.03.1957 г.-)- В.Н. Бугайский, (15.10.1964-70 г.)-  Г.В. Новожилов, (19.12.1973 г.-)- В.А. Борог, А.В. Пупков (Ил- 103), (26.06.1981-2005 г.-)- Р.П. Папковский (по эксплуатации, Ил-76, Ил-96), (21.07.1986 г.-)- И.Я. Катырев, (30.04.1992-2003 г.-)- Н.Д. Таликов (Ил-114), (14.01.1997 г.-&gt; И.Б. Воробьев, (1993-2003 г.-&gt; В.И. Абрамов, (2002- 03 г.-)- Ю.А. Егоров; по прочности (1993-96 г.-)- В.И. Абрамов.</w:t>
      </w:r>
    </w:p>
    <w:p w14:paraId="62FC67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по эксплуатации (22.09.1958 г.-)-  Г.В. Новожилов (Ил-18); (1960-е)-  Г.К. Нохратян- Торосян (Ил-62), (-1967-81 г.)- Р.П. Папковский (Ил-38), (1971 г.-)- А.В. Шапошников, (1977 г.)- В.М. Сухобоков (Ил-62), (1980-е-2003 г.-&gt; М.С. Неймарк, Л.А. Шмугляков (Ил-114); по прочности (1955-59 г.-&gt; М.Ф. Астахов, И.А. Зыков, А.А. Неронов, (1984-93 г.)- В.И. Абрамов, В.И. Воронин, В.К. Пикалов; по силовым установкам (1993 г.-)- А.Л. Доброскоков; по эксплуатации (1999 г.)- В.П. Сахаров; по технологии (1986 г.-)- В.И. Мишин; по сертификации (1980-е-2003 г.-)- Н.А. Соин; (1970-е)- М.М. Киселев, (1988 г.)- И.Б. Воробьев, Б.М. Тупиков (по ВАСО), (1986 г.)- С.Ф. Буяков (по ВАСО), (2003 г.)- С.Н, Машовец, (2003 г.)- В.И. Смирнов.</w:t>
      </w:r>
    </w:p>
    <w:p w14:paraId="081B06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металлург- В.В. Мельников. Гл. метролог (-1984 г.)- Е.Л. Перелыптейн, (1984-2003 г.-)- А.Н. Артеменко.</w:t>
      </w:r>
    </w:p>
    <w:p w14:paraId="0FDF7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КБ-1 (09.1959 г.-)- Е.И. Санков, И.Я. Катырев, (1986-2003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Каленик; КБ-2 (09.1959 г.-)- В.Н. Семенов, (1990-е-2003 г.-)- Н.В. Мухин; КБ-3 (09.1959-76 г.)-  Г.М. Литвинович, (1976 г.-)-  Г.К. Нохратян-Торосян, (1993 г.-)- А.Л. Доброскоков; КБ-4 (09.1959 г.-&gt; В.И. Смирнов, отделения ЭО (-1971 г.)- А.В. Шапошников, (01.1990 г.-)- Н.Ф. Макокин; КБ-5 (09.1959-05.1961 г.)- Б.В. Павловский, (05.1961 г.-)- А.Я. Левин, (1986 г.-)- А.Е. Овсянников; КБ-6 (09.1959-64 г.)-  Г.В. Новожилов, отделения эксплуатации (1964-77 г.)- К.Д. Усиков, (1977 г.-)- В.М. Сухобоков, П.М. Фомин, А. Г. Кочкин, (1999 г.-)- В.П. Сахаров; КБ-7 (1967-82 г.)- Р.П. Папковский, (03.1982 г.-)- Н.Д. Таликов, А. Г. Онищенко; КБ-8 (1973-2000 г.)- Д.В. Жуковский, (03.2000 г.-)- СМ. Громов; отделения надежности и безопасности полетов (1994-2003 г.-&gt; М.С. Неймарк; отделения ВТиАС (- 1990 г.)- А.Я. Бородин, (1990 г.-)- Б.В. Маляров; ОЛИ (1988 г.-)- Ю.М. Арандт, В.Б. Лысягин, (1991-2003 г.-)- А.В. Юрасов; отделения измерений и автоматизированной обработки (1988-2002 г.)- А.С. Баранов, (2002-03 г.-)- А.Н. Дягилев; отделения эксплуатации самолетов (2003 г.)- В.В. Алифанов; отделения управления собственностью (2002-03 г.-)- А.К. Дмитриев.</w:t>
      </w:r>
    </w:p>
    <w:p w14:paraId="0BE4FB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БП, БЭП (-1959-82 г.-&gt; Д.В. Лещинер, (1994 г.-)- Ю.А. Егоров; РБ (1959 г.-)- М.Ф. Астахов; испытаний новой техники (1959 г.)- Ф.С. Дмитричков; летных испытаний (1959 г.)- Н.Ф. Зотов; БЭТД (1966 г.-)- АА. Шахнович; МСБ (1947 г.-)- А.Е. Авербах; БРИЗ (1956-72 г.)- Е.С. Фурсова, (1972-73 г.)</w:t>
      </w:r>
      <w:proofErr w:type="gramStart"/>
      <w:r w:rsidRPr="008127F8">
        <w:rPr>
          <w:rFonts w:ascii="Times New Roman" w:hAnsi="Times New Roman"/>
          <w:color w:val="000000" w:themeColor="text1"/>
          <w:sz w:val="16"/>
          <w:szCs w:val="16"/>
        </w:rPr>
        <w:t>-  Г.В.</w:t>
      </w:r>
      <w:proofErr w:type="gramEnd"/>
      <w:r w:rsidRPr="008127F8">
        <w:rPr>
          <w:rFonts w:ascii="Times New Roman" w:hAnsi="Times New Roman"/>
          <w:color w:val="000000" w:themeColor="text1"/>
          <w:sz w:val="16"/>
          <w:szCs w:val="16"/>
        </w:rPr>
        <w:t xml:space="preserve"> Валин; шгентного (1962-69 г.)- Н.В. Худобородов; Центра сертификации (2003 г.)- Н.А. Соин. Директор ППОиМАТ С2001-03 г.-)- В.В. Ракитин.</w:t>
      </w:r>
    </w:p>
    <w:p w14:paraId="6A957E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фюзеляжа- И.Л. Макаров, Шварц, (-1947-48 г.-)- В.А. Борог, Е.А. Шушпанов, М.Р, Плоткин, И.С. Лозбяков, (1978-86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Каленик, В.Ф. Левин; крыла- П.М. Хавкин, А.А. Поликарпов, Е.И. Санков. (1960-77 г.)- Р.И. Рокитянский, (1985 г.-)- В.Н. Лунин; механизации фюзеляжа- А.С. Артамонов, И .Я. Кэтырев, (1976-78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Каленик, (1978 г.-)- В.В. Демин; механизации крыла- Ю. Г. Чернов (был 31 год), Е.А. Ефимов; оперения- И.А. Юсов, (1941-79 г.)- Н.И. Максимов, В.Н. Лунин, С.Н. Машовец, С.И. Руссов; шасси- Н.В. Мухин, В.И. Долгов; расчетного (КБ-2) (1959-60-е-)- Д.Л. Привен; ОНТ, ОПС (1956-59 г.-)- Д.В. Лещинер; ОПС, ОПС-2 (1956-59 г.-)- В.М. Германов,  Г.Е. Долгушев, А.В. Пупков; ДУ (1959-73 г.)- В.А. Ерофеев, (1973-76 г.)- Н.А. Стеблев, (1978-93 г.)- А.Л. Доброскоков, (1993 г.-)-  Г.В. Степанов; ДС (1959-87 г.)- А.И. Жуковский, (1987 г.-)-  Г.В. Машков; ОМЛ (1957 г.-)- В.Н. Славутский, Н.А. Стеблев, В.В. Желтухин, (1960-94 г.)- А.А. Паиоков; ЭО (1959 г.-)- А.В. Шапошников, (-1989 г.)- А.Б. Калачев, (02.1989-99 г.)- А.И. Кузнецов, (09.1999 г.-)- В.И. Ефремов; РО (- 1975 г.)- В.Д. Давыдов, (12.1975 г.-)- В.В. Комаров; НС (1980-97 г.)- Б.А. Смольцов, (04.1997 г.-)- В.В. Кронберг; АК (-1981 г.)- М.А. Антипов, (02.1981 г.-)- В.Н. Манышкин; </w:t>
      </w:r>
      <w:r w:rsidRPr="008127F8">
        <w:rPr>
          <w:rFonts w:ascii="Times New Roman" w:hAnsi="Times New Roman"/>
          <w:color w:val="000000" w:themeColor="text1"/>
          <w:sz w:val="16"/>
          <w:szCs w:val="16"/>
          <w:lang w:val="en-US"/>
        </w:rPr>
        <w:t>CP</w:t>
      </w:r>
      <w:r w:rsidRPr="008127F8">
        <w:rPr>
          <w:rFonts w:ascii="Times New Roman" w:hAnsi="Times New Roman"/>
          <w:color w:val="000000" w:themeColor="text1"/>
          <w:sz w:val="16"/>
          <w:szCs w:val="16"/>
        </w:rPr>
        <w:t xml:space="preserve">(1960-87 г.)- Н.А. Быков, (1987-92 г.)- М.И. Казанцев, (1992 г.-)- В.Ф. Долгих; СО (1963-71 г.)- В.А. Орлов, (1971-86 г.)- А.Е. Овсянников, (1986 г.-)- О.Н. Кашелевский; ВО (1960-е)- Ю.П. Лачаев, (1994 г.)- В.И. Иванов; ГС (1959-61 г.)- А.Я. Левин, (05.1961-67 г.)- В.М. Сухобоков, (1967-74 г.)- Ю.А. Зарослов, (1974-94 г.)- А.А. Рымов, (1994 г.-)- С.Н. Ганшин; десантно-транспортного оборудования и вооружения (1967 г.)- Д.И. Коклин; СНО (1967 г.)- В. Г. Костылев; СУ (1967-79 г.)- Д.И. Коклин, (1979 г.-)- В.А. Белый; ИО (1978-92 г.)- Е.Н. Коростьшев, (1992-2003 г.-)- В.Н. Рогозенков; ИМ (1973 г.-)- Ф.Е. Годунов; БСО (1973-88 г.)- В.А. Колосов, (1989 г.-)- Е. Г. Аверченков; ХК (1973-89 г.)- Д.А. Калинин, (06.1989 г.-)- Ю.С. Скороходов; комплектации готовыми изделиями (1957-59 г.-)- А.А. Масленников; весов и центровок, весового проектирования (ОВК) (-1957-82 г.-)- В.М. Шейнин, В.И. Кирьянов; перспективного проектирования, автоматизации и оформления проекта (1982 г.)- Ю.А. Егоров; проектирования систем (1982 г.)-  Г.Е. Долгушев, A.В.Сидоров; компоновки самолетов (1982 г.)- О.Н. Лавров; надежности (1964-79 г.)- А.А. Масленников, (1982 г.)- М.С. Неймарк; сертификации (1982 г.)- Н.А. Соин; моделей (-1982-94 г.)- И.В. Жуков, В. Г. Герлях, (2003 г.)- В.В. Акуличева; прочности, ОПР- Ю.Ф. Комм, В.Н. Смирнов, Евсюков, (1977 г.-)- В.И. Абрамов, Б.М. Казацкий, А.П. Кусморский, А.П. Мельников, В.В. Устинов; общей прочности- Ю.А. Гладков, О.В. Чувилин; технической информации (1982 г.)- Б.Н. Тишунин; автоматики, динамики (затем- АДН) (1982 г.)- В.И. Егоров, Масленников,  Г.М. Кашин; </w:t>
      </w:r>
      <w:r w:rsidRPr="008127F8">
        <w:rPr>
          <w:rFonts w:ascii="Times New Roman" w:hAnsi="Times New Roman"/>
          <w:color w:val="000000" w:themeColor="text1"/>
          <w:sz w:val="16"/>
          <w:szCs w:val="16"/>
          <w:lang w:val="en-US"/>
        </w:rPr>
        <w:t>OA</w:t>
      </w:r>
      <w:r w:rsidRPr="008127F8">
        <w:rPr>
          <w:rFonts w:ascii="Times New Roman" w:hAnsi="Times New Roman"/>
          <w:color w:val="000000" w:themeColor="text1"/>
          <w:sz w:val="16"/>
          <w:szCs w:val="16"/>
        </w:rPr>
        <w:t xml:space="preserve"> (1959 г.)- Н.П. Столбовой, (1960-е-82 г.-)-  Г. Г. Муравьев; вибрации- В.М. Варанкина,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Петров, Ю.Е .Шредер; акустической выносливости (2003 г.)- А.В. Врачев; технологического (1959 г.)- М.Е. Берлин, В.И. Мишин, технологичности конструкций (1986 г.)- А.Ф. Филипенок; стандартизации (1986 г.)- А.Ф. Чиров; неметаллов и композиционных материалов (1986 г.)- Б.Д. Суворов; ОНТ (1966 г.)- Б.Д. Суворов; ЭТД- В.В. Баранов, Е.А. Мосолов, В.И. Назаров; технической графики и иллюстраций- Е.С. Черников; ЭТД по ЭРНО (1983 г.-)- В.А. Степанов, В.И. Присяжнюк; технического (1959 г.)- А.Я. Бородин; эксплуатации (-1958 г.)- К.Д. Усиков, (1958-59 г.)-  Г.В. Новожилов; по эксплуатации Ил-86, Ил-76 (1981 г.-)- В.П. Сахаров; по эксплуатации Ил- 114, Ил-18 (1981 г.-)- В.И. Щербатов; по эксплуатации Ил-62 (1981 г.-)- А.И. Простаков; по эксплуатации экспортных самолетов- В. Г. Мурашко; ремонта и ресурса (-1981 г.)- В.Я. Сомов; КО по Ил-76 № 274, (12.1974- 82 г.)- Н.Д. Таликов, № 167 (03.1982-95 г.)- г-п  Г.Н. Пакилев, (1995 г.-)-  Г.Ф. Соколов; КО по Ил-86, № 166 (1982- 89 г.)- Н.Е. Санков, (06.1989 г.-&gt; В.В. Сивенков; КО № 169 (1980-е)- В. Г. Мурашко; КО по Ил-114, № 168 (08.1987 г.-)- В.Н. Леснов; КО по Ил-103 (-1995 г.)- И.М. Спектор, (09.1995 г.-)- С.М. Громов; ОВТ (1964 г.-)- А.Я. Бородин; ЭВМ (1980 г.)-  Г.Н. Юкин, (2003 г.)- М.А. Ребеко; КМСС (-1994 г.)- В.А. Славин; САПР (2003 г.)-  Г. Г. Носков; АСУ (2003 г.)- В.А. Славин; статических испытаний- Е.П. Лемзаль, Т.М. Чеснокова; ресурсных испытаний- Н.В. Мухин, В.М. Курушин, В.И. Ткаченко; автоматики и измерений (1960-е)- В.И. Мамонов, В.Е. Леонов; флаттера и аэроупругости- В.М. Варанкина,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L</w:t>
      </w:r>
      <w:r w:rsidRPr="008127F8">
        <w:rPr>
          <w:rFonts w:ascii="Times New Roman" w:hAnsi="Times New Roman"/>
          <w:color w:val="000000" w:themeColor="text1"/>
          <w:sz w:val="16"/>
          <w:szCs w:val="16"/>
        </w:rPr>
        <w:t xml:space="preserve"> Петров, Ю.Е. Шредер; ресурса- Б.Н. Евдокимов, В.А. Слащев, А.П. Мельников, В.Е. Стрижиус; производственного- М.О. Дыдзинский, М. Г. Кистанов, В.Н. Шашкин; проектирования испытательных систем- В.А. Сумароков; измерений (1957 г.)- Е.В. Степанов; высотных и гидравлических испытаний (1957 г.)- В.А. Лихачев; гидравлического оборудования (2003 г.)- С.В. Пономарев; высотного оборудования (2003 г.)- Е.Е. Тихомиров; моторных лабораторий (1960-94 г.)- А.А. Патюков, (1957 г.)- Славутский; ЭРО (ЛСК) (2003 г.)- В.Б. Закаев; АСП (1975 г.-)- В.В. Сорокин, автоматических систем пилотирования и управления (2003 г.)- В.Е. Рыбин; моделирования полетов (1980 г.-)- В.А. Барденков; ПЛО (1973 г.-)-  Г.В. Валин, (06.1975 г.-)- П.И. Бабаев, (08.1999 г.-&gt; Е.М. Любимова; ЭИО- М.М. Киселев, П.Б. Воробьев, Ю.М. Арандт, В.И. Волков, Ю.В. Выдруг; технической эксплуатации самолетов (1976 г.-)- В.В. </w:t>
      </w:r>
      <w:r w:rsidRPr="008127F8">
        <w:rPr>
          <w:rFonts w:ascii="Times New Roman" w:hAnsi="Times New Roman"/>
          <w:color w:val="000000" w:themeColor="text1"/>
          <w:sz w:val="16"/>
          <w:szCs w:val="16"/>
        </w:rPr>
        <w:lastRenderedPageBreak/>
        <w:t xml:space="preserve">Алифанов; САО (1970 г.-)- А.С. Баранов; модернизации и ремонта </w:t>
      </w:r>
      <w:r w:rsidRPr="008127F8">
        <w:rPr>
          <w:rFonts w:ascii="Times New Roman" w:hAnsi="Times New Roman"/>
          <w:color w:val="000000" w:themeColor="text1"/>
          <w:sz w:val="16"/>
          <w:szCs w:val="16"/>
          <w:lang w:val="en-US"/>
        </w:rPr>
        <w:t>AT</w:t>
      </w:r>
      <w:r w:rsidRPr="008127F8">
        <w:rPr>
          <w:rFonts w:ascii="Times New Roman" w:hAnsi="Times New Roman"/>
          <w:color w:val="000000" w:themeColor="text1"/>
          <w:sz w:val="16"/>
          <w:szCs w:val="16"/>
        </w:rPr>
        <w:t xml:space="preserve"> (12.1998 г.-)- С.Н. Артюхов, (2003 г.)- И. Г. Беляев; гарантийного обслуживания и рекламаций (2003 г.)- А.А. Осетров; планово-экономического- Ю.М. Юдин, (1994- 2003 г.-)- А.П. Полумисков; финансового (1998-2003 г.-)- Ж. Г. Кузнецова; редакционно-издательского (1990 г.-)- Н.Б. Шаврин; кадров (1947 г.)- п М.Ф. Костыгин; первого - С.И. Кравченко, (2003 г.)- Н.Н. Крылова; юридического (2003 г.)- А.В. Закревский; лицензионных соглашений и аренды (2003 г.)- В.Н. Тихонов; акционирования и собственности (2003 г.)-  Г.Е. Косинова; патентного (2003 г.)- Е.М. Любимова; ВЭС (1991 г.-)-B.А.Беляков, (11.1992 г.-)- В.И. Смирнов; ТНП (1990-е)- И.М. Спектор; (2003 г.)- В.А. Гусев, (2003 г.)- В.А. Кикин, (2003 г.)- В.А. Агапов, (2003 г.)-А.В. Мишин, (2003 г.)- Э. Г. Драганов, В.Н. Рогозенков, Е.В. Шубняков.</w:t>
      </w:r>
    </w:p>
    <w:p w14:paraId="042274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бригад: общих видов (1936 г.-)- В.В. Никитин, (-1938-50 г.-&gt; С.В. Ильюшин, (1956 г.)- В.М. Германов; крыла (1946-50-е)- Е.И. Санков; фюзеляжа (Ф) (1950-е)- В.А. Борог; ШУ, шасси (1934-48 г.-)- А.Я. Левин, (1949-59 г.)- В.Н. Семенов; гидравлики (1951 г.-)- А.Я. Левин; управления (1959 г.-)- Н.А. Пупин; моторной (1952 г.)-  Г.М. Литвинович; расчетной (КБ-3) (-1983 г.)- Ю.Д. Лямин, (1983-89 г.)- А.И. Яковлев, (12.1989 г.-)- С.А. Чернобаев; ЭРО (05.1942-54 г.)- Н.Ф. Зотов, ЭО (04.1954-56 г.)- А.В. Тихонов, (06.1956-59 г.)- А.В. Шапошников, (1959-60 г.)- М.И. Никитин, (07.1960 г.-)- А.Б. Калачев; РО (04.1954-5.9 г.)- В.И. Смирнов, (1959 г.-)- В.Д. Давыдов; электросхем (в ЭО) (1959 г.-)- Н.Ф. Макокин; НС (05.1960 г.-)- А.П. Журавленко; АК (1962 г.-)- М.А. Антипов; СО (06-09.1945 г.)- В.И. Бирюлин, (09.1945-56 г.)- Б.В. Павловский, (1956 г.-)- Б.Я. Каплиенко; ВО (1963 г.)- Ю.П. Лачаев; ПО и.о. (1963 г.)- О.Э. Бирнбаум; </w:t>
      </w:r>
      <w:r w:rsidRPr="008127F8">
        <w:rPr>
          <w:rFonts w:ascii="Times New Roman" w:hAnsi="Times New Roman"/>
          <w:color w:val="000000" w:themeColor="text1"/>
          <w:sz w:val="16"/>
          <w:szCs w:val="16"/>
          <w:lang w:val="en-US"/>
        </w:rPr>
        <w:t>TP</w:t>
      </w:r>
      <w:r w:rsidRPr="008127F8">
        <w:rPr>
          <w:rFonts w:ascii="Times New Roman" w:hAnsi="Times New Roman"/>
          <w:color w:val="000000" w:themeColor="text1"/>
          <w:sz w:val="16"/>
          <w:szCs w:val="16"/>
        </w:rPr>
        <w:t xml:space="preserve"> (1959-63 г.)- Е.В. Лохов, (1963-12.2001 г.)- Е.И. Васькович; РПН-5, РП-5 (1966-96 г.)- П.И. Сафонов, (1997-2001 г.-)- Н.П. Секерина; СУ (1950-67 г.)- Д.И. Коклин; НО (1952 г.-)- П. Г. Нистратов,  Г.К. Нохратян-Торосян; С (1950-е)- В.Ф. Сидоров; БО (1959 г.-)- В.Ф. Сидоров; ТЭ (1968 г.-)- Д.А. Калинин; БР (КБ-8) (1977 г.-)- Б.С. Померанец; технологов- Б.С. Карасев, П. Г. Нистратов, технологии и нормалей (1945 г.-)- А.И. Гецелевич, Н.Д. Востров, М.Е. Берлин; координации и анализа работ- В.В. Ливанов; моделей (1947 г.-)- И.В. Жуков; прочности - М.Ф. Астахов, Б.П. Чирков, В.И. Абрамов; ПК (1975-77 г.)- В.И. Абрамов, (1977 г.-)- Ю.И. Голубев, Ю.А. Гладков; прочности (КБ-7) (1967-75 г.)- Т.П. Лебедева, (1975-93 г.)- А. Г. Онищенко, (1994 г.-)- В.Н. Музыченко; ИО (1972-78 г.)- Е.Н. Коростылев; технической информации (1950-е)- И. Г. Никифоров; технических описаний (1960 г.)-  Г.Л. Марков; авторской- В.В. Баранов; выставок и рекламы (1975 г.-)- О.Э. Бирнбаум, (1981 г.-)- Л.В. Волкова; летных руководств (1981 г.-)- И.И. Марков; редакционно-издательской (1969 г.- )- Б.И. Семененко; внешних нагрузок (1959 г.)- И.А. Зыков, А.А. Неронов, В.И. Кирьянов, В.В. Васин, А. Г. Калиш; прочности- В.П. Юрченко; вибраций (1959 г.)- В.М. Варанкина; ресурса и надежности (1965 г.-)- Б.Н. Евдокимов; надежности (1964-68 г.)- Н.Н. Розанов, (1970 г.)- М.С. Неймарк; НЛГС (1975-78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Титов, (1978 г.-)- Н.А. Соин; акустической выносливости (04.1973 г.-)- А.В. Врачев; УСУ (1973 г.-)- В.А. Барденков; АСУРП (1975 г.-)- Е.С. Разыграева, (1980 г.)- П.В. Сафонов; координации и анализа работ (КАР) (1975 г.)- В.В. Ливанов; патентной (1969 г.-)- М.Т. Лановенко; Н.И. Максимов, (1982 г.)- Б.Н. Травкин, (1982 г.)- Ю.И. Юдин, (1982 г.)- Л.Н. Юрих, В.В. Щеголев.</w:t>
      </w:r>
    </w:p>
    <w:p w14:paraId="38CAE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опытного цеха (1938 г.)- М.И. Маланьин; технологической службы- М.Е. Берлин, (2003 г.)- В.И. Мишин; ЛИС (1946-66 г.)- В.К. Коккинаки, (1966-76 г.)- Я.И. Верников, (1976-87 г.)- Э.И. Кузнецов, (25.05.1987- 2003 г.-)- С. Г. Близнюк; цеха № 25- М.А. Сиренко, В.В. Ракитин, ЛДБ (19.07.1957-63 г.)- Н.Ф. Зотов, ЛДК (21.06.1963-71 г.)- Н.Ф. Зотов, (16.04.1971-74 г.)- А.В. Шапошников, (23.10.1974-87 г.)- М.М. Киселев, (3.02.1987- 88 г.)- И.Б. Воробьев, ЛИиДБ (1988-96; 1998-2003 г.-)- В.И. Жданов, (1996-98 г.)- И.Б. Воробьев; комплекс летного обеспечения (2003 г.)- С. Г. Близнюк; ПДК (1970-е)- Е.А. Орехов, (2003 г.)- А.С. Бушманов; комплекса лабораторий (1957 г.-)- Ф.С. Дмитрячков, ЛСК (1970-е&gt; В.П. Бобров, (2003 г.)- М.М. Овчинников; стендов: ПС (1970-е)-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Фрадкин; антенно-фидерных систем (1970-е)- И.А. Иванов; электромагнитной совместимости- М.П. Соколов; энергетики-  Г.А. Петухов; УСУ- Е.Н. Саулин; мастерской мягких топливных баков (1946 г.)- И.Н. Киреев.</w:t>
      </w:r>
    </w:p>
    <w:p w14:paraId="5BF75B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ЛДК (1963 г.-)- В.В. Семенов, (1973 г.)- г-м Н.Ф. Зайцев; по летной службе (-1987 г.)- Э.И. Кузнецов. Зам. начальника цеха № 25- Ю.А. Варганов.</w:t>
      </w:r>
    </w:p>
    <w:p w14:paraId="3B8EB6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ЛИиДБ: 1-й зам. начальника (2003 г.)- И.Б. Воробьев; зам. начальника: по летным испытаниям (1988 г.-)- И.Б. Воробьев; по экономике (2003 г.)- Б.Ф. Макаров; (2003 г.)- С. Г. Близнюк, (2003 г.)- В.Б. Лысягин, (2003 г.)- В.В. Алифанов, (2003 г.)- А.С. Бушманов; гл. инженер- В.В. Ракитин.</w:t>
      </w:r>
    </w:p>
    <w:p w14:paraId="6D0E0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ПДК: зам. начальника: по строительству (1970-е)- С.П. Мотов; по общим вопросам (1970-е)- Ю.Н. Герман; гл. инженер (2003 г.)- М.А. Шейко; гл. энергетик (1970-е)- С.Б. Титов; гл. механик (1970-е)- М.А. Шейко; начальники цехов: аэродромного (2003 г.)-  Г.Ф. Волоснов; транспортного (1970-е)- С.А. Онищук.</w:t>
      </w:r>
    </w:p>
    <w:p w14:paraId="4DE5F1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секторов: системы многоканального нагружения-  Г.В. Фомин, С.И. Половников; системного математического обеспечения (1980 г.-)- С.Л. Смирнов; методического и программного обеспечения (1980 г.-)-  Г. Г. Носков; ЭВМ ТЕР «А» (1980 г.-)- Т.А. Ребеко; ЭВМ ТБР «Б» (1980 г.-)- Б.В. Маляров; акустики (2003 г.)- С.Н. Грислис; аналого-цифрового комплекса (АЦК ПС)- Ю.Н. Бубнов; математического обеспечения (ПС)-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Емантаев; имитатора воздушной обстановки (ПС)- В.К. Тушев; В.А. Целищев, В.А. Королев, В.Е. Леонов, И.Ю. Головкин, П.В. Сафонов, Ю.К. Крюков.</w:t>
      </w:r>
    </w:p>
    <w:p w14:paraId="096664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прочностных испытаний (1946-63 г.)- И.С. Грошев, (1964-76 г.)- А.Ф. Зотов, ЛКГШ- М.П. Паршин, (1989-2003 г.-)- В.М. Курушин; ЭРО (1948 г.-)- В.А. Астахов; высотной (-1945 г.)- Н.Б. Старосельский, (1970-е)-Р.П. Кирток; гидравлической- В.А. Лихачев; ВИГО (1948 г.)- А.Д. Данилов; гидрооборудования (1975 г.)- Е.Ф. Лейчик; ЭО (1957 г.)- В.П. Бобров, (1975 г.)- Е.Д. Рыбин; АСП (1957 г.)- Б.В. Миронов; РО (-1957-75 г.-)- В.М. Кукушкин; тензометрии (1957 г.)- В.Т. Карпов; моторной (1957-58 г.)- Н.А. Стеблев; акустической (1990-е)- С.Н. Грислис; неметаллов - М.И. Бурштейн; ЛММ (1958 г.-)- М.И. Ионов; КЗА (1956 г.-)- И.В. Ковалев; координации и планирования (О метрологии) (-1975 г.)-В.Н. Леснов; фотолаборатории - В.П. Лобанов, (-1961 г.)- Е.Ф. Цыкунов, (1961 г.-)- Н.В. Нилов; микрофильмирования- Б.А. Парайский.</w:t>
      </w:r>
    </w:p>
    <w:p w14:paraId="3831DF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групп: фюзеляжа- И.Л. Марков, (1938 г.-)- В.А. Борог; крыла- П.М. Хавкин; оперения- А.И. Юсов; оборудования (1938 г.)- Б.В. Карасев; моторной (1936-37 г.)- Б.Ф. Ляпин, (1937-45 г.-)-  Г.М. Литвинович; аэродинамических моделей (1950-е)- И.В. Жуков; общих видов и компоновки (1959 г.)- С.Н. Черников, Л.М. Рябов; планера (1959 г.)- С.И. Дмитриев; управления, шасси и гидравлики (1934 г.)- А.Я. Левин, (1959 г.)-  Г.Е. Долгушев; расчетной (бригады ШУ) (1946 г.-)- Ю.К. Лавровский; силовых установок (1959 г.)- А.В. Федоров, В.Н. Славутский; расчетной (бригады СУ) (1946-55 г.)- В.В. Калинин, (1955-59 г.-)- Ю.Д. Лямин; топливных систем (1959 г.)- А.В. Лещинер; ОБ (1930-е-41 г.)- Б.В. Карасев, (1941 г.-)- М.И. Никитин; размещения оборудования и компоновки кабин экипажа (1959 г.)- А.В. Тихонов; компоновки пассажирских и грузовых кабин, бытового оборудования (1959 г.)- М.И. Никитин,  Г.П. Борисенко; систем жизнеобеспечения, 1 ЮС и кислородного оборудования (1959 г.)- В.И. Горюнов; размещения проводок и нивелировки (1959 г.)- П.Д. Сурин; ЭС (04.1954- 56 г.&gt;  Г.Д. Власов, В.П. Лабутин; программ техобслуживания (1981 г.-)- Н.Н. Розанов; БВ (1935-79 г.)- Д.И. Коклин; макета (1959 г.)- Ф.А. Круглов; ИО (1960-72 г.)- Е.Н. Коростылев; весов и центровок- В.М. Шейнин; оформления проектов и техописаний-  Г.Л. Марков; прочности (1933 г.-)- В.В. Калинин; прочности фюзеляжа- Ю.В. Комм; флаттера (1945 г.-)- В.М. Варанкина; ресурса (1959 г.)- Б.Н. Евдокимов; летно-экспериментальной (01.1941 г.-)- В.К. Коккинаки; расчетной (ЛДК) (1960-е)- М.М. Киселев; эксплуатации самолетов- И.П. Юрков.</w:t>
      </w:r>
    </w:p>
    <w:p w14:paraId="6C47B0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Ответственные представители ОКБ на заводе: № 1 (ВОВ)- А.Я. Левин; № 18 (1942 г.)- В.Н. Бугайский, (1942 г.)- В.А. Борог, А.Я. Левин; № 22 (1960-е)-  Г.К. Нохратян-Торосян, (-1977 г.)- В.М. Сухобоков, В.К. Пикалов, (2003 г.)- М.И. Бещиков; № 30 (1946 г.-)- А.П. Наумов, (1948-49 г.)- В.П. Яцснко, (1957 г.)- Б.П. Чирков, Н. Г. Папковская, С.М. Громов; № 64 (1975 г.-)- М.А. Салазкин, Б.М. Тупиков, (1986 г.)- С.Ф. Буяков; № 84 (1954 г.)- А.А. Масленников, (1954 г.-&gt; К.Д. Усиков, Н.Ф. Зотов, (1970-е)- В.И. Воронин, Л.А. Шмугляков, (2003 г.)- В.М. Тулупов; № 168 (1953-56 г.)- Н.Ф. Нагорнов; Ферганском механическом (-1995 г.)- С.М. Громов.</w:t>
      </w:r>
    </w:p>
    <w:p w14:paraId="155094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представителя на ТАПОиЧ (2003 г.)- Ч.А. Тимашев.</w:t>
      </w:r>
    </w:p>
    <w:p w14:paraId="4F5D6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(1941 г.-)- В.А. Борог (Ил-2), (1.03.1946 г.-)- В.Н. Бугайский (Ил-18), (-1950-60 Г.-)- В.М. Германов, Р.П. Папковский, В.Н. Семенов, (1949-56 г.)- А.Т. Тарасов, (-1950-56 г.-&gt; Н.С. Терехов, (-1938-50 г.-&gt; С.Н. Черников.</w:t>
      </w:r>
    </w:p>
    <w:p w14:paraId="4CEAAA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Ведущие инженеры по испытаниям: (-1937-38 г.-)- К.А. Петров (ДБ-3), (1940 г.)-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 Гессельсон (Ил-2), (-1941- 49 г.-)- В.В. Семенов (Ил-2М-82, Ил-28), (1943 г.)- В.И. Бирюлин (Ил-4ТК), (1.03.1946-48 г.-)- А.П. Виноградов (Ил-18, Ил-12, Ил-20, Ил-28), (-1942-56 г.-&gt; Я.А. Кутепов (Ил-6, Ил-22, Ил-40, Ил-46, Ил-54), (-1948-50 г.-&gt;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Козлов (Ил-12, Ил-14), (1948 г.)- В.Н. Бугайский (Ил-28), (1951 г.)- В.А. Федоров (Ил-ЮМ), (1953 г.-)- А.И. Жуковский (Ил-40), (1954 г.)-  Г.В. Новожилов (Ил-54), (-1955-61 г.-)- Д.Н. Симанович (Ил-14), (-1956-65 г.-&gt; М.С. Гольдман (Ил-МФК, Ил-18, Ил-38), (-1957-74 г.-)- М.М. Киселев (Ил-18, Ил-62, Ил-76), (1961 г.)- В.И. Слободяник (Ил-18), (1961 г.)- В.П. Горовой, (1961 г.)- В.Ф. Воскресенский, Д.А. Поликарпов (Ил-18), (10.10.1961- 25.02.1965 г.)- П.В. Казаков (Ил-62; погиб в катастрофе Ил-62), (-25.02.1965 г.)- С.С. Декаленков (погиб в катастрофе Ил-62), (-1961-73 г.-)- П.М. Фомин (Ил-62, Ил-76), (1960-е)- И. Г. Бобко (ЛЛ ПОС), Ю.И. Вахтель, (1968 г.)- В.М. Володько (Ил-20), (-1968-92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Кругляков (Ил-62М, Ил-76, Ил-86, Ил-102, Ил-96), (конец 1980-х)- И.Б. Воробьев, (конец 1980-х)- В.В. Смирнов, (конец 1980-х)-  Г.Д. Дыбунов, (конец 1980-х)- Д.П. Евсеев, (конец 1980-х)- В.И. Куликов (Ил-102), (конец 1980-х)-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Козлов, (-1974-93 г.-&gt; М.Н. Вайнштейн (Ил-76), (1994 г.)- Б.Е. Гаврилов (Ил-103), (-1989-94 г.-)- И.И. Гордин (Ил-76, Ил-103), (-1990-99 г.-&gt; А.В. Манохин (Ил-86, Ил-114), (-1993-97 Г.-)- В.Б. Лысягин (Ил-96МО, Ил-96Т), (-1995-96 г.-)- Ю.М. Арандт (Ил-76МФ, Ил-86), (1996 г.)- А.А. Ульяшин (Ил-114Т), А.К. Смирнов, (-1998-2000 г.-&gt; А.В. Юрасов (Ил-76), (-5.07.1993 г.)- А.И. Суменков (погиб в катастрофе Ил-114), (1990-е)- В.В. Смирнов (Ил-114), (1990-е&gt;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Якушин (Ил-114).</w:t>
      </w:r>
    </w:p>
    <w:p w14:paraId="6192BF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Шеф-пилот (1935-10.1964 г.)- В.К. Коккинаки, (-25.02.1965 г.)- А.С. Липко (погиб в катастрофе Ил-62), (1966- 75 г.)- г-м Я.И. Берников, (-1971-87 г.)- г-м Э.И. Кузнецов, (1985-2003 г.-)- С. Г. Близнюк.</w:t>
      </w:r>
    </w:p>
    <w:p w14:paraId="55C998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Летчики-испытатели: Б.А. Анопов, (-1983-92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Белоусов, (-1961-68 г.-)- С. Г. Близнюк, (1970-е)- А.И. Вобликов, (1950-е)-  Г.М. Володин, (-1971-81 г.-&gt;  Г.Н. Волохов, (-1992-99 г.-)- И.И. Гудков, (-1973-96 г.-&gt; И.Р. Закиров, (-5.07.1993 г.)- А.Н. Зубарев (погиб в катастрофе Ил-114), (конец 1980-х)- В.М. Иринархов, (1970-е-96г,- )- А.Н. Кнышов, (1990-е)- А.Н. Комаров, Д.А. Комаров,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 Котельников, (25.04.1957-92 г.-)- Э.И. Кузнецов, (- 1992-2006 г.-&gt; Н.Д. Куимов, (1970-е)- Ю.В. Мазонов, (1970-е)- В.И. Мезох, А.К. Минчинок, (конец 1980-х)- В.А. Полторанов, (1950-е; 1961 г.)- В.И. Пузанов, (-1995-96 г.-&gt; В.И. Свиридов, (1989 г.)- О.В. Сергиенко, (1950-е)- Н.В. Серебряков, (-1973-83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Тюрюмин.</w:t>
      </w:r>
      <w:r w:rsidRPr="008127F8">
        <w:rPr>
          <w:rFonts w:ascii="Times New Roman" w:hAnsi="Times New Roman"/>
          <w:color w:val="000000" w:themeColor="text1"/>
          <w:sz w:val="16"/>
          <w:szCs w:val="16"/>
          <w:vertAlign w:val="superscript"/>
        </w:rPr>
        <w:t>86</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100</w:t>
      </w:r>
    </w:p>
    <w:p w14:paraId="31F2CC09" w14:textId="77777777" w:rsidR="004759C1"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штурмовики:</w:t>
      </w:r>
      <w:r w:rsidRPr="008127F8">
        <w:rPr>
          <w:rFonts w:ascii="Times New Roman" w:hAnsi="Times New Roman"/>
          <w:color w:val="000000" w:themeColor="text1"/>
          <w:sz w:val="16"/>
          <w:szCs w:val="16"/>
        </w:rPr>
        <w:t xml:space="preserve"> Ил-8 (10.05.1943 г.), Ил-10 (18.04.1944 г.), Ил-40 (7.03.1953 г.), Ил-102 (25.09.1982 г.); </w:t>
      </w:r>
      <w:r w:rsidRPr="008127F8">
        <w:rPr>
          <w:rFonts w:ascii="Times New Roman" w:hAnsi="Times New Roman"/>
          <w:iCs/>
          <w:color w:val="000000" w:themeColor="text1"/>
          <w:sz w:val="16"/>
          <w:szCs w:val="16"/>
        </w:rPr>
        <w:t>бомбардировщики:</w:t>
      </w:r>
      <w:r w:rsidRPr="008127F8">
        <w:rPr>
          <w:rFonts w:ascii="Times New Roman" w:hAnsi="Times New Roman"/>
          <w:color w:val="000000" w:themeColor="text1"/>
          <w:sz w:val="16"/>
          <w:szCs w:val="16"/>
        </w:rPr>
        <w:t xml:space="preserve"> фронтовые: Ил-22 (24.07.1947 г.), Ил-28 (8.07.1948 г., пнв 14.05.1949 г.), учебный Ил-28У (18.03.1950 г.), разведчик Ил-28Р (19.04.1950 г.), торпедоносец Ил-28Т (1950), Ил-30 (14.09.1949 г.), Ил-42 (проект, 1951), Ил-54 (3.04.1955 г.); средний Ил-24 (проект, 1948); противолодочный Ил-38 (28.09.1961 г.); разведчик Ил-20 (25.03.1968 г.); военно-транспортные Ил-76Т (25.03.1971 г.), Ил-76МФ (1.08.1995 г.);</w:t>
      </w:r>
      <w:r w:rsidRPr="008127F8">
        <w:rPr>
          <w:rFonts w:ascii="Times New Roman" w:hAnsi="Times New Roman"/>
          <w:iCs/>
          <w:color w:val="000000" w:themeColor="text1"/>
          <w:sz w:val="16"/>
          <w:szCs w:val="16"/>
        </w:rPr>
        <w:t xml:space="preserve"> пассажирские самолеты:</w:t>
      </w:r>
      <w:r w:rsidRPr="008127F8">
        <w:rPr>
          <w:rFonts w:ascii="Times New Roman" w:hAnsi="Times New Roman"/>
          <w:color w:val="000000" w:themeColor="text1"/>
          <w:sz w:val="16"/>
          <w:szCs w:val="16"/>
        </w:rPr>
        <w:t xml:space="preserve"> Ил- 12 (15.08.1945 г.), Ил-14 (13.07.1950 г.), Ил-14П (1.10.1950 г.), Ил-18 с АШ-73 (17.08.1946 </w:t>
      </w:r>
      <w:r w:rsidRPr="008127F8">
        <w:rPr>
          <w:rFonts w:ascii="Times New Roman" w:hAnsi="Times New Roman"/>
          <w:color w:val="000000" w:themeColor="text1"/>
          <w:sz w:val="16"/>
          <w:szCs w:val="16"/>
        </w:rPr>
        <w:lastRenderedPageBreak/>
        <w:t>г.), Ил-18 (4.07.1957 г.), Ил-18Д (31.07.1964 г.), Ил-62 (2.01.1963 г.), Ил-86 (22.12.1976 г.), Ил-96-300 (28.09.1988 г.), Ил-96МО (6.04.1993 г.), Ил-114 (29.03.1990 г.), Ил-114Т (14.09.1996 г.), Ил-114-100 (26.01.1999 г.); многоцелевой Ил-103 (17.05.1994 г.); грузовой Ил-96Т (16.05.1997 г.).</w:t>
      </w:r>
    </w:p>
    <w:p w14:paraId="4A8A4F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ОАО «Межгосударственная авиастроительная компания (МАК) «Ильюшин</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ОАК-Транспортные системы»</w:t>
      </w:r>
    </w:p>
    <w:p w14:paraId="3706D6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14.04.2000 г. в результате объединения ОАО </w:t>
      </w:r>
      <w:proofErr w:type="gramStart"/>
      <w:r w:rsidRPr="008127F8">
        <w:rPr>
          <w:rFonts w:ascii="Times New Roman" w:hAnsi="Times New Roman"/>
          <w:color w:val="000000" w:themeColor="text1"/>
          <w:sz w:val="16"/>
          <w:szCs w:val="16"/>
        </w:rPr>
        <w:t>«.Ильюшин</w:t>
      </w:r>
      <w:proofErr w:type="gramEnd"/>
      <w:r w:rsidRPr="008127F8">
        <w:rPr>
          <w:rFonts w:ascii="Times New Roman" w:hAnsi="Times New Roman"/>
          <w:color w:val="000000" w:themeColor="text1"/>
          <w:sz w:val="16"/>
          <w:szCs w:val="16"/>
        </w:rPr>
        <w:t>» и ОАО «ВАСО». В 2008 г. переименовано в «ОАК-Транспортные системы».</w:t>
      </w:r>
    </w:p>
    <w:p w14:paraId="1C71EB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(2008 г.)- В. Ливанов (11982).</w:t>
      </w:r>
    </w:p>
    <w:p w14:paraId="597656F1" w14:textId="77777777" w:rsidR="001D5126" w:rsidRPr="008127F8" w:rsidRDefault="001D512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251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 по приказу № 304с в связи с размещением на заводе № 240 ОКБ гл. конструктора С.В. Ильюшина за ОКБ Ермолаева оставлена часть территории «б» завода № 240 на Центральном аэродроме, а по приказу № 319с от 26.04.1942 г. временно закреплены площади бывшего цеха ширпотреба завода № 1 НКАП по Авиационному пер. По приказу № 517с от 12.07.1942 г.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0A217F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4212C1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руководителя (1938 г.)- М.В. Орлов.</w:t>
      </w:r>
    </w:p>
    <w:p w14:paraId="64A2A1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 Н.В. Синелыциков, В.В. Смирнов (11982).</w:t>
      </w:r>
    </w:p>
    <w:p w14:paraId="4E253F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7C8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А.И.Шахурин и 23 апреля Новиков утвердили Акт по результатам гос. и совместных с заводом 289 испытаний одноместного штурмовика Су-6 с М-71.</w:t>
      </w:r>
    </w:p>
    <w:p w14:paraId="0DE1F8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 А.В.Синельников, ли А.К.Долгов.</w:t>
      </w:r>
    </w:p>
    <w:p w14:paraId="31000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- 5250 кг</w:t>
      </w:r>
    </w:p>
    <w:p w14:paraId="68CFBF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Крыло, центроплан, оперение - металлические, фюзеляж - деревянный, обшивка рулей и элеронов - полотняная.</w:t>
      </w:r>
    </w:p>
    <w:p w14:paraId="04EB1A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Автоматические предкрылки, щитки-закрылки, шасси - гидросистема</w:t>
      </w:r>
    </w:p>
    <w:p w14:paraId="4A731A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Сравнительные данные Су-6 М-71, Ил-2 АМ-38 и Ил-2 М-82 (819):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1276"/>
        <w:gridCol w:w="1342"/>
        <w:gridCol w:w="1351"/>
      </w:tblGrid>
      <w:tr w:rsidR="006F4095" w:rsidRPr="008127F8" w14:paraId="634E7FBA" w14:textId="77777777">
        <w:tc>
          <w:tcPr>
            <w:tcW w:w="2518" w:type="dxa"/>
            <w:tcBorders>
              <w:top w:val="single" w:sz="12" w:space="0" w:color="auto"/>
            </w:tcBorders>
          </w:tcPr>
          <w:p w14:paraId="3CBE4F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6BFD21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Су-6</w:t>
            </w:r>
          </w:p>
        </w:tc>
        <w:tc>
          <w:tcPr>
            <w:tcW w:w="1342" w:type="dxa"/>
            <w:tcBorders>
              <w:top w:val="single" w:sz="12" w:space="0" w:color="auto"/>
            </w:tcBorders>
          </w:tcPr>
          <w:p w14:paraId="68EE3A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АМ-38</w:t>
            </w:r>
          </w:p>
        </w:tc>
        <w:tc>
          <w:tcPr>
            <w:tcW w:w="1351" w:type="dxa"/>
            <w:tcBorders>
              <w:top w:val="single" w:sz="12" w:space="0" w:color="auto"/>
            </w:tcBorders>
          </w:tcPr>
          <w:p w14:paraId="164800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М-82</w:t>
            </w:r>
          </w:p>
        </w:tc>
      </w:tr>
      <w:tr w:rsidR="006F4095" w:rsidRPr="008127F8" w14:paraId="1089A58C" w14:textId="77777777">
        <w:tc>
          <w:tcPr>
            <w:tcW w:w="2518" w:type="dxa"/>
          </w:tcPr>
          <w:p w14:paraId="5586FA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634C6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21B3ED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0E98A1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(июнь </w:t>
            </w:r>
            <w:proofErr w:type="gramStart"/>
            <w:r w:rsidRPr="008127F8">
              <w:rPr>
                <w:rFonts w:ascii="Times New Roman" w:hAnsi="Times New Roman"/>
                <w:color w:val="000000" w:themeColor="text1"/>
                <w:sz w:val="16"/>
                <w:szCs w:val="16"/>
              </w:rPr>
              <w:t>1941)(</w:t>
            </w:r>
            <w:proofErr w:type="gramEnd"/>
            <w:r w:rsidRPr="008127F8">
              <w:rPr>
                <w:rFonts w:ascii="Times New Roman" w:hAnsi="Times New Roman"/>
                <w:color w:val="000000" w:themeColor="text1"/>
                <w:sz w:val="16"/>
                <w:szCs w:val="16"/>
              </w:rPr>
              <w:t>двухместн.)</w:t>
            </w:r>
          </w:p>
        </w:tc>
      </w:tr>
      <w:tr w:rsidR="006F4095" w:rsidRPr="008127F8" w14:paraId="24199836" w14:textId="77777777">
        <w:tc>
          <w:tcPr>
            <w:tcW w:w="2518" w:type="dxa"/>
          </w:tcPr>
          <w:p w14:paraId="0BA09D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(л.с.)</w:t>
            </w:r>
          </w:p>
        </w:tc>
        <w:tc>
          <w:tcPr>
            <w:tcW w:w="1276" w:type="dxa"/>
          </w:tcPr>
          <w:p w14:paraId="2BBA1B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342" w:type="dxa"/>
          </w:tcPr>
          <w:p w14:paraId="1DC426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1623</w:t>
            </w:r>
          </w:p>
        </w:tc>
        <w:tc>
          <w:tcPr>
            <w:tcW w:w="1351" w:type="dxa"/>
          </w:tcPr>
          <w:p w14:paraId="090872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r>
      <w:tr w:rsidR="006F4095" w:rsidRPr="008127F8" w14:paraId="297307E2" w14:textId="77777777">
        <w:tc>
          <w:tcPr>
            <w:tcW w:w="2518" w:type="dxa"/>
          </w:tcPr>
          <w:p w14:paraId="04F10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у земли</w:t>
            </w:r>
          </w:p>
        </w:tc>
        <w:tc>
          <w:tcPr>
            <w:tcW w:w="1276" w:type="dxa"/>
          </w:tcPr>
          <w:p w14:paraId="2E4CB3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1625</w:t>
            </w:r>
          </w:p>
        </w:tc>
        <w:tc>
          <w:tcPr>
            <w:tcW w:w="1342" w:type="dxa"/>
          </w:tcPr>
          <w:p w14:paraId="4F8232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1575</w:t>
            </w:r>
          </w:p>
        </w:tc>
        <w:tc>
          <w:tcPr>
            <w:tcW w:w="1351" w:type="dxa"/>
          </w:tcPr>
          <w:p w14:paraId="50DF81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w:t>
            </w:r>
          </w:p>
        </w:tc>
      </w:tr>
      <w:tr w:rsidR="006F4095" w:rsidRPr="008127F8" w14:paraId="661CF3B0" w14:textId="77777777">
        <w:tc>
          <w:tcPr>
            <w:tcW w:w="2518" w:type="dxa"/>
          </w:tcPr>
          <w:p w14:paraId="3D0231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(кг)</w:t>
            </w:r>
          </w:p>
        </w:tc>
        <w:tc>
          <w:tcPr>
            <w:tcW w:w="1276" w:type="dxa"/>
          </w:tcPr>
          <w:p w14:paraId="18426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3727</w:t>
            </w:r>
          </w:p>
        </w:tc>
        <w:tc>
          <w:tcPr>
            <w:tcW w:w="1342" w:type="dxa"/>
          </w:tcPr>
          <w:p w14:paraId="466623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4016</w:t>
            </w:r>
          </w:p>
        </w:tc>
        <w:tc>
          <w:tcPr>
            <w:tcW w:w="1351" w:type="dxa"/>
          </w:tcPr>
          <w:p w14:paraId="577CB4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3935</w:t>
            </w:r>
          </w:p>
        </w:tc>
      </w:tr>
      <w:tr w:rsidR="006F4095" w:rsidRPr="008127F8" w14:paraId="1EB9A038" w14:textId="77777777">
        <w:tc>
          <w:tcPr>
            <w:tcW w:w="2518" w:type="dxa"/>
          </w:tcPr>
          <w:p w14:paraId="7FBD96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1276" w:type="dxa"/>
          </w:tcPr>
          <w:p w14:paraId="273DFE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5250</w:t>
            </w:r>
          </w:p>
        </w:tc>
        <w:tc>
          <w:tcPr>
            <w:tcW w:w="1342" w:type="dxa"/>
          </w:tcPr>
          <w:p w14:paraId="1061B4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5551</w:t>
            </w:r>
          </w:p>
        </w:tc>
        <w:tc>
          <w:tcPr>
            <w:tcW w:w="1351" w:type="dxa"/>
          </w:tcPr>
          <w:p w14:paraId="0F6131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5722</w:t>
            </w:r>
          </w:p>
        </w:tc>
      </w:tr>
      <w:tr w:rsidR="006F4095" w:rsidRPr="008127F8" w14:paraId="6C4EC09B" w14:textId="77777777">
        <w:tc>
          <w:tcPr>
            <w:tcW w:w="2518" w:type="dxa"/>
          </w:tcPr>
          <w:p w14:paraId="524436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горючего</w:t>
            </w:r>
          </w:p>
        </w:tc>
        <w:tc>
          <w:tcPr>
            <w:tcW w:w="1276" w:type="dxa"/>
          </w:tcPr>
          <w:p w14:paraId="1DF326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1342" w:type="dxa"/>
          </w:tcPr>
          <w:p w14:paraId="142836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1351" w:type="dxa"/>
          </w:tcPr>
          <w:p w14:paraId="65BBAF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r>
      <w:tr w:rsidR="006F4095" w:rsidRPr="008127F8" w14:paraId="49839B49" w14:textId="77777777">
        <w:tc>
          <w:tcPr>
            <w:tcW w:w="2518" w:type="dxa"/>
          </w:tcPr>
          <w:p w14:paraId="243FEE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масла</w:t>
            </w:r>
          </w:p>
        </w:tc>
        <w:tc>
          <w:tcPr>
            <w:tcW w:w="1276" w:type="dxa"/>
          </w:tcPr>
          <w:p w14:paraId="43B9D9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w:t>
            </w:r>
          </w:p>
        </w:tc>
        <w:tc>
          <w:tcPr>
            <w:tcW w:w="1342" w:type="dxa"/>
          </w:tcPr>
          <w:p w14:paraId="4BDA4D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351" w:type="dxa"/>
          </w:tcPr>
          <w:p w14:paraId="10E202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6F4095" w:rsidRPr="008127F8" w14:paraId="6D66BA46" w14:textId="77777777">
        <w:tc>
          <w:tcPr>
            <w:tcW w:w="2518" w:type="dxa"/>
          </w:tcPr>
          <w:p w14:paraId="58E926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w:t>
            </w:r>
          </w:p>
        </w:tc>
        <w:tc>
          <w:tcPr>
            <w:tcW w:w="1276" w:type="dxa"/>
          </w:tcPr>
          <w:p w14:paraId="036D19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0B8587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1CA47D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3E1897" w14:textId="77777777">
        <w:tc>
          <w:tcPr>
            <w:tcW w:w="2518" w:type="dxa"/>
          </w:tcPr>
          <w:p w14:paraId="1904F3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РС и бомбами</w:t>
            </w:r>
          </w:p>
        </w:tc>
        <w:tc>
          <w:tcPr>
            <w:tcW w:w="1276" w:type="dxa"/>
          </w:tcPr>
          <w:p w14:paraId="6DEE5C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445/0</w:t>
            </w:r>
          </w:p>
        </w:tc>
        <w:tc>
          <w:tcPr>
            <w:tcW w:w="1342" w:type="dxa"/>
          </w:tcPr>
          <w:p w14:paraId="6C7094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387/0</w:t>
            </w:r>
          </w:p>
        </w:tc>
        <w:tc>
          <w:tcPr>
            <w:tcW w:w="1351" w:type="dxa"/>
          </w:tcPr>
          <w:p w14:paraId="35FC90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365/0</w:t>
            </w:r>
          </w:p>
        </w:tc>
      </w:tr>
      <w:tr w:rsidR="006F4095" w:rsidRPr="008127F8" w14:paraId="6F7F6474" w14:textId="77777777">
        <w:tc>
          <w:tcPr>
            <w:tcW w:w="2518" w:type="dxa"/>
          </w:tcPr>
          <w:p w14:paraId="2A4235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 РС и бомб</w:t>
            </w:r>
          </w:p>
        </w:tc>
        <w:tc>
          <w:tcPr>
            <w:tcW w:w="1276" w:type="dxa"/>
          </w:tcPr>
          <w:p w14:paraId="48F8C4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490/350</w:t>
            </w:r>
          </w:p>
        </w:tc>
        <w:tc>
          <w:tcPr>
            <w:tcW w:w="1342" w:type="dxa"/>
          </w:tcPr>
          <w:p w14:paraId="0A9097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423/0</w:t>
            </w:r>
          </w:p>
        </w:tc>
        <w:tc>
          <w:tcPr>
            <w:tcW w:w="1351" w:type="dxa"/>
          </w:tcPr>
          <w:p w14:paraId="6806FF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4E9AD888" w14:textId="77777777">
        <w:tc>
          <w:tcPr>
            <w:tcW w:w="2518" w:type="dxa"/>
          </w:tcPr>
          <w:p w14:paraId="053DB5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на 0.9</w:t>
            </w:r>
          </w:p>
        </w:tc>
        <w:tc>
          <w:tcPr>
            <w:tcW w:w="1276" w:type="dxa"/>
          </w:tcPr>
          <w:p w14:paraId="2B77E0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на 412 на 670</w:t>
            </w:r>
          </w:p>
        </w:tc>
        <w:tc>
          <w:tcPr>
            <w:tcW w:w="1342" w:type="dxa"/>
          </w:tcPr>
          <w:p w14:paraId="30EC1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 на 365 на 570</w:t>
            </w:r>
          </w:p>
        </w:tc>
        <w:tc>
          <w:tcPr>
            <w:tcW w:w="1351" w:type="dxa"/>
          </w:tcPr>
          <w:p w14:paraId="6BDB13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647 на 392 на 650</w:t>
            </w:r>
          </w:p>
        </w:tc>
      </w:tr>
      <w:tr w:rsidR="006F4095" w:rsidRPr="008127F8" w14:paraId="5FC46754" w14:textId="77777777">
        <w:tc>
          <w:tcPr>
            <w:tcW w:w="2518" w:type="dxa"/>
          </w:tcPr>
          <w:p w14:paraId="2571AA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w:t>
            </w:r>
          </w:p>
        </w:tc>
        <w:tc>
          <w:tcPr>
            <w:tcW w:w="1276" w:type="dxa"/>
          </w:tcPr>
          <w:p w14:paraId="14A8D8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c>
          <w:tcPr>
            <w:tcW w:w="1342" w:type="dxa"/>
          </w:tcPr>
          <w:p w14:paraId="2C88D1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w:t>
            </w:r>
          </w:p>
        </w:tc>
        <w:tc>
          <w:tcPr>
            <w:tcW w:w="1351" w:type="dxa"/>
          </w:tcPr>
          <w:p w14:paraId="17C79C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680</w:t>
            </w:r>
          </w:p>
        </w:tc>
      </w:tr>
      <w:tr w:rsidR="006F4095" w:rsidRPr="008127F8" w14:paraId="636C9B4A" w14:textId="77777777">
        <w:tc>
          <w:tcPr>
            <w:tcW w:w="2518" w:type="dxa"/>
          </w:tcPr>
          <w:p w14:paraId="0CBCD9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w:t>
            </w:r>
          </w:p>
        </w:tc>
        <w:tc>
          <w:tcPr>
            <w:tcW w:w="1276" w:type="dxa"/>
          </w:tcPr>
          <w:p w14:paraId="43E4A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w:t>
            </w:r>
          </w:p>
        </w:tc>
        <w:tc>
          <w:tcPr>
            <w:tcW w:w="1342" w:type="dxa"/>
          </w:tcPr>
          <w:p w14:paraId="35F9F7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c>
          <w:tcPr>
            <w:tcW w:w="1351" w:type="dxa"/>
          </w:tcPr>
          <w:p w14:paraId="519886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r>
      <w:tr w:rsidR="006F4095" w:rsidRPr="008127F8" w14:paraId="2CD64E79" w14:textId="77777777">
        <w:tc>
          <w:tcPr>
            <w:tcW w:w="2518" w:type="dxa"/>
          </w:tcPr>
          <w:p w14:paraId="588E47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1276" w:type="dxa"/>
          </w:tcPr>
          <w:p w14:paraId="656B9F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1342" w:type="dxa"/>
          </w:tcPr>
          <w:p w14:paraId="6CD8AA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132</w:t>
            </w:r>
          </w:p>
        </w:tc>
        <w:tc>
          <w:tcPr>
            <w:tcW w:w="1351" w:type="dxa"/>
          </w:tcPr>
          <w:p w14:paraId="4F0278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147</w:t>
            </w:r>
          </w:p>
        </w:tc>
      </w:tr>
      <w:tr w:rsidR="006F4095" w:rsidRPr="008127F8" w14:paraId="135AAC1E" w14:textId="77777777">
        <w:tc>
          <w:tcPr>
            <w:tcW w:w="2518" w:type="dxa"/>
          </w:tcPr>
          <w:p w14:paraId="348D4E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м</w:t>
            </w:r>
          </w:p>
        </w:tc>
        <w:tc>
          <w:tcPr>
            <w:tcW w:w="1276" w:type="dxa"/>
          </w:tcPr>
          <w:p w14:paraId="2C11F6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202</w:t>
            </w:r>
          </w:p>
        </w:tc>
        <w:tc>
          <w:tcPr>
            <w:tcW w:w="1342" w:type="dxa"/>
          </w:tcPr>
          <w:p w14:paraId="481A6C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144</w:t>
            </w:r>
          </w:p>
        </w:tc>
        <w:tc>
          <w:tcPr>
            <w:tcW w:w="1351" w:type="dxa"/>
          </w:tcPr>
          <w:p w14:paraId="38C25C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w:t>
            </w:r>
          </w:p>
        </w:tc>
      </w:tr>
      <w:tr w:rsidR="006F4095" w:rsidRPr="008127F8" w14:paraId="4A4385AA" w14:textId="77777777">
        <w:tc>
          <w:tcPr>
            <w:tcW w:w="2518" w:type="dxa"/>
          </w:tcPr>
          <w:p w14:paraId="1889C7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л.с.</w:t>
            </w:r>
          </w:p>
        </w:tc>
        <w:tc>
          <w:tcPr>
            <w:tcW w:w="1276" w:type="dxa"/>
          </w:tcPr>
          <w:p w14:paraId="78BEFE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342" w:type="dxa"/>
          </w:tcPr>
          <w:p w14:paraId="524325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1351" w:type="dxa"/>
          </w:tcPr>
          <w:p w14:paraId="74FA88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w:t>
            </w:r>
          </w:p>
        </w:tc>
      </w:tr>
      <w:tr w:rsidR="006F4095" w:rsidRPr="008127F8" w14:paraId="6F8BE121" w14:textId="77777777">
        <w:tc>
          <w:tcPr>
            <w:tcW w:w="2518" w:type="dxa"/>
          </w:tcPr>
          <w:p w14:paraId="1B6BA4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tc>
        <w:tc>
          <w:tcPr>
            <w:tcW w:w="1276" w:type="dxa"/>
          </w:tcPr>
          <w:p w14:paraId="0B8AD3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67EB16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40C8B9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E4F9F7" w14:textId="77777777">
        <w:tc>
          <w:tcPr>
            <w:tcW w:w="2518" w:type="dxa"/>
          </w:tcPr>
          <w:p w14:paraId="6448A7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пушки ВЯ</w:t>
            </w:r>
          </w:p>
        </w:tc>
        <w:tc>
          <w:tcPr>
            <w:tcW w:w="1276" w:type="dxa"/>
          </w:tcPr>
          <w:p w14:paraId="523C6A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42" w:type="dxa"/>
          </w:tcPr>
          <w:p w14:paraId="72D6F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51" w:type="dxa"/>
          </w:tcPr>
          <w:p w14:paraId="3AE89D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6F4095" w:rsidRPr="008127F8" w14:paraId="5705F65C" w14:textId="77777777">
        <w:tc>
          <w:tcPr>
            <w:tcW w:w="2518" w:type="dxa"/>
          </w:tcPr>
          <w:p w14:paraId="535633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пушка ШВАК</w:t>
            </w:r>
          </w:p>
        </w:tc>
        <w:tc>
          <w:tcPr>
            <w:tcW w:w="1276" w:type="dxa"/>
          </w:tcPr>
          <w:p w14:paraId="2CF61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42" w:type="dxa"/>
          </w:tcPr>
          <w:p w14:paraId="773FDB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351" w:type="dxa"/>
          </w:tcPr>
          <w:p w14:paraId="67CDA3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33B7EDAD" w14:textId="77777777">
        <w:tc>
          <w:tcPr>
            <w:tcW w:w="2518" w:type="dxa"/>
          </w:tcPr>
          <w:p w14:paraId="1AC8FC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пулеметы ШКАС</w:t>
            </w:r>
          </w:p>
        </w:tc>
        <w:tc>
          <w:tcPr>
            <w:tcW w:w="1276" w:type="dxa"/>
          </w:tcPr>
          <w:p w14:paraId="2B81A1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342" w:type="dxa"/>
          </w:tcPr>
          <w:p w14:paraId="27244A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351" w:type="dxa"/>
          </w:tcPr>
          <w:p w14:paraId="36569C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23A11669" w14:textId="77777777">
        <w:tc>
          <w:tcPr>
            <w:tcW w:w="2518" w:type="dxa"/>
          </w:tcPr>
          <w:p w14:paraId="3225D1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276" w:type="dxa"/>
          </w:tcPr>
          <w:p w14:paraId="6FDB4D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 планируется еще 2 синхронных</w:t>
            </w:r>
          </w:p>
        </w:tc>
        <w:tc>
          <w:tcPr>
            <w:tcW w:w="1342" w:type="dxa"/>
          </w:tcPr>
          <w:p w14:paraId="4B36B3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351" w:type="dxa"/>
          </w:tcPr>
          <w:p w14:paraId="0C7FF3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6F4095" w:rsidRPr="008127F8" w14:paraId="2AC551BC" w14:textId="77777777">
        <w:tc>
          <w:tcPr>
            <w:tcW w:w="2518" w:type="dxa"/>
          </w:tcPr>
          <w:p w14:paraId="75E586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патронов к пушкам</w:t>
            </w:r>
          </w:p>
        </w:tc>
        <w:tc>
          <w:tcPr>
            <w:tcW w:w="1276" w:type="dxa"/>
          </w:tcPr>
          <w:p w14:paraId="017112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342" w:type="dxa"/>
          </w:tcPr>
          <w:p w14:paraId="69F1FD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300/420</w:t>
            </w:r>
          </w:p>
        </w:tc>
        <w:tc>
          <w:tcPr>
            <w:tcW w:w="1351" w:type="dxa"/>
          </w:tcPr>
          <w:p w14:paraId="03889B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w:t>
            </w:r>
          </w:p>
        </w:tc>
      </w:tr>
      <w:tr w:rsidR="006F4095" w:rsidRPr="008127F8" w14:paraId="3809F995" w14:textId="77777777">
        <w:tc>
          <w:tcPr>
            <w:tcW w:w="2518" w:type="dxa"/>
          </w:tcPr>
          <w:p w14:paraId="6EDD72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патронов к пулеметам</w:t>
            </w:r>
          </w:p>
        </w:tc>
        <w:tc>
          <w:tcPr>
            <w:tcW w:w="1276" w:type="dxa"/>
          </w:tcPr>
          <w:p w14:paraId="407A18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342" w:type="dxa"/>
          </w:tcPr>
          <w:p w14:paraId="2711A7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1351" w:type="dxa"/>
          </w:tcPr>
          <w:p w14:paraId="6B51B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r>
      <w:tr w:rsidR="006F4095" w:rsidRPr="008127F8" w14:paraId="04682F89" w14:textId="77777777">
        <w:tc>
          <w:tcPr>
            <w:tcW w:w="2518" w:type="dxa"/>
          </w:tcPr>
          <w:p w14:paraId="71B8A3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РО</w:t>
            </w:r>
          </w:p>
        </w:tc>
        <w:tc>
          <w:tcPr>
            <w:tcW w:w="1276" w:type="dxa"/>
          </w:tcPr>
          <w:p w14:paraId="536214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342" w:type="dxa"/>
          </w:tcPr>
          <w:p w14:paraId="74CC14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351" w:type="dxa"/>
          </w:tcPr>
          <w:p w14:paraId="544C0B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r>
      <w:tr w:rsidR="006F4095" w:rsidRPr="008127F8" w14:paraId="30A47870" w14:textId="77777777">
        <w:tc>
          <w:tcPr>
            <w:tcW w:w="2518" w:type="dxa"/>
          </w:tcPr>
          <w:p w14:paraId="2BF445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бомбы</w:t>
            </w:r>
          </w:p>
        </w:tc>
        <w:tc>
          <w:tcPr>
            <w:tcW w:w="1276" w:type="dxa"/>
          </w:tcPr>
          <w:p w14:paraId="5525C7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342" w:type="dxa"/>
          </w:tcPr>
          <w:p w14:paraId="2556C1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351" w:type="dxa"/>
          </w:tcPr>
          <w:p w14:paraId="0C5193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6F4095" w:rsidRPr="008127F8" w14:paraId="71D08FA9" w14:textId="77777777">
        <w:tc>
          <w:tcPr>
            <w:tcW w:w="2518" w:type="dxa"/>
          </w:tcPr>
          <w:p w14:paraId="30AD20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бомбы в перегруз</w:t>
            </w:r>
          </w:p>
        </w:tc>
        <w:tc>
          <w:tcPr>
            <w:tcW w:w="1276" w:type="dxa"/>
          </w:tcPr>
          <w:p w14:paraId="7CD40A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342" w:type="dxa"/>
          </w:tcPr>
          <w:p w14:paraId="6DB4B5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351" w:type="dxa"/>
          </w:tcPr>
          <w:p w14:paraId="489AB2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(819)</w:t>
            </w:r>
          </w:p>
        </w:tc>
      </w:tr>
      <w:tr w:rsidR="006F4095" w:rsidRPr="008127F8" w14:paraId="27F1898C" w14:textId="77777777">
        <w:tc>
          <w:tcPr>
            <w:tcW w:w="2518" w:type="dxa"/>
          </w:tcPr>
          <w:p w14:paraId="69242F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К-во выстрелов в секунду</w:t>
            </w:r>
          </w:p>
        </w:tc>
        <w:tc>
          <w:tcPr>
            <w:tcW w:w="1276" w:type="dxa"/>
          </w:tcPr>
          <w:p w14:paraId="2C4874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w:t>
            </w:r>
          </w:p>
        </w:tc>
        <w:tc>
          <w:tcPr>
            <w:tcW w:w="1342" w:type="dxa"/>
          </w:tcPr>
          <w:p w14:paraId="72B787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w:t>
            </w:r>
          </w:p>
        </w:tc>
        <w:tc>
          <w:tcPr>
            <w:tcW w:w="1351" w:type="dxa"/>
          </w:tcPr>
          <w:p w14:paraId="05C66A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w:t>
            </w:r>
          </w:p>
        </w:tc>
      </w:tr>
      <w:tr w:rsidR="006F4095" w:rsidRPr="008127F8" w14:paraId="499A80C6" w14:textId="77777777">
        <w:tc>
          <w:tcPr>
            <w:tcW w:w="2518" w:type="dxa"/>
            <w:tcBorders>
              <w:bottom w:val="single" w:sz="12" w:space="0" w:color="auto"/>
            </w:tcBorders>
          </w:tcPr>
          <w:p w14:paraId="783684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Секундный залп</w:t>
            </w:r>
          </w:p>
        </w:tc>
        <w:tc>
          <w:tcPr>
            <w:tcW w:w="1276" w:type="dxa"/>
            <w:tcBorders>
              <w:bottom w:val="single" w:sz="12" w:space="0" w:color="auto"/>
            </w:tcBorders>
          </w:tcPr>
          <w:p w14:paraId="5E913D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1342" w:type="dxa"/>
            <w:tcBorders>
              <w:bottom w:val="single" w:sz="12" w:space="0" w:color="auto"/>
            </w:tcBorders>
          </w:tcPr>
          <w:p w14:paraId="04FBFA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4,09</w:t>
            </w:r>
          </w:p>
        </w:tc>
        <w:tc>
          <w:tcPr>
            <w:tcW w:w="1351" w:type="dxa"/>
            <w:tcBorders>
              <w:bottom w:val="single" w:sz="12" w:space="0" w:color="auto"/>
            </w:tcBorders>
          </w:tcPr>
          <w:p w14:paraId="51B28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3,05</w:t>
            </w:r>
          </w:p>
        </w:tc>
      </w:tr>
    </w:tbl>
    <w:p w14:paraId="474B19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270BE7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Опытный одноместный бронированный штурмовик Су-6 с М-71 конструкции.П.О.С. по максимальной гор. скорости, стрелково-пушечному и реактивному вооружению и полной бомбовой нагрузке отвечает требованиям ВВС.</w:t>
      </w:r>
    </w:p>
    <w:p w14:paraId="0EA9D3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Дальность Су-6, равная 450 км недостаточна. Дальность довести до дальности Ил-2 АМ-38</w:t>
      </w:r>
    </w:p>
    <w:p w14:paraId="2421C4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Считать целесообразным постройку небольшой войсковой серии (819).</w:t>
      </w:r>
    </w:p>
    <w:p w14:paraId="3E7E7D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C23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вышел приказ НКАП N 305а/сс:</w:t>
      </w:r>
    </w:p>
    <w:p w14:paraId="220490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усиления работы по основным, наиболее важным заданиям, ПРИКАЗЫВАЮ:</w:t>
      </w:r>
    </w:p>
    <w:p w14:paraId="241C0A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Отменить приказы и распоряжения НКАП в части, служившей основанием для выполнения работ, указанных в приложении: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675"/>
        <w:gridCol w:w="3818"/>
        <w:gridCol w:w="3836"/>
      </w:tblGrid>
      <w:tr w:rsidR="006F4095" w:rsidRPr="008127F8" w14:paraId="72E7A808" w14:textId="77777777">
        <w:tc>
          <w:tcPr>
            <w:tcW w:w="1127" w:type="dxa"/>
            <w:tcBorders>
              <w:top w:val="single" w:sz="12" w:space="0" w:color="auto"/>
            </w:tcBorders>
          </w:tcPr>
          <w:p w14:paraId="62D74F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п/п</w:t>
            </w:r>
          </w:p>
        </w:tc>
        <w:tc>
          <w:tcPr>
            <w:tcW w:w="1675" w:type="dxa"/>
            <w:tcBorders>
              <w:top w:val="single" w:sz="12" w:space="0" w:color="auto"/>
            </w:tcBorders>
          </w:tcPr>
          <w:p w14:paraId="790C64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w:t>
            </w:r>
          </w:p>
        </w:tc>
        <w:tc>
          <w:tcPr>
            <w:tcW w:w="3818" w:type="dxa"/>
            <w:tcBorders>
              <w:top w:val="single" w:sz="12" w:space="0" w:color="auto"/>
            </w:tcBorders>
          </w:tcPr>
          <w:p w14:paraId="6B670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самолета</w:t>
            </w:r>
          </w:p>
        </w:tc>
        <w:tc>
          <w:tcPr>
            <w:tcW w:w="3836" w:type="dxa"/>
            <w:tcBorders>
              <w:top w:val="single" w:sz="12" w:space="0" w:color="auto"/>
            </w:tcBorders>
          </w:tcPr>
          <w:p w14:paraId="69CCDA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Основание работ</w:t>
            </w:r>
          </w:p>
        </w:tc>
      </w:tr>
      <w:tr w:rsidR="006F4095" w:rsidRPr="008127F8" w14:paraId="59CE1AFB" w14:textId="77777777">
        <w:tc>
          <w:tcPr>
            <w:tcW w:w="1127" w:type="dxa"/>
          </w:tcPr>
          <w:p w14:paraId="3C262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675" w:type="dxa"/>
          </w:tcPr>
          <w:p w14:paraId="200A2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В.Г.Ермолаев</w:t>
            </w:r>
          </w:p>
        </w:tc>
        <w:tc>
          <w:tcPr>
            <w:tcW w:w="3818" w:type="dxa"/>
          </w:tcPr>
          <w:p w14:paraId="406ABF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ДБ Ер-2 с 2АМ-38 с ТК-3, 1 экз.</w:t>
            </w:r>
          </w:p>
        </w:tc>
        <w:tc>
          <w:tcPr>
            <w:tcW w:w="3836" w:type="dxa"/>
          </w:tcPr>
          <w:p w14:paraId="5A5068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1046с</w:t>
            </w:r>
          </w:p>
        </w:tc>
      </w:tr>
      <w:tr w:rsidR="006F4095" w:rsidRPr="008127F8" w14:paraId="2CE19A1C" w14:textId="77777777">
        <w:tc>
          <w:tcPr>
            <w:tcW w:w="1127" w:type="dxa"/>
          </w:tcPr>
          <w:p w14:paraId="52EDFB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0EDA3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655A85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5CBF2B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6 декабря 1941</w:t>
            </w:r>
          </w:p>
        </w:tc>
      </w:tr>
      <w:tr w:rsidR="006F4095" w:rsidRPr="008127F8" w14:paraId="4954C282" w14:textId="77777777">
        <w:tc>
          <w:tcPr>
            <w:tcW w:w="1127" w:type="dxa"/>
          </w:tcPr>
          <w:p w14:paraId="65E1E8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675" w:type="dxa"/>
          </w:tcPr>
          <w:p w14:paraId="269BD0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М.И.Гудков</w:t>
            </w:r>
          </w:p>
        </w:tc>
        <w:tc>
          <w:tcPr>
            <w:tcW w:w="3818" w:type="dxa"/>
          </w:tcPr>
          <w:p w14:paraId="428CA9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истребителя ЛаГГ-3 под М-82, 2 экз.</w:t>
            </w:r>
          </w:p>
        </w:tc>
        <w:tc>
          <w:tcPr>
            <w:tcW w:w="3836" w:type="dxa"/>
          </w:tcPr>
          <w:p w14:paraId="295BFF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610сс от 3 июля 1941</w:t>
            </w:r>
          </w:p>
        </w:tc>
      </w:tr>
      <w:tr w:rsidR="006F4095" w:rsidRPr="008127F8" w14:paraId="38884EBF" w14:textId="77777777">
        <w:tc>
          <w:tcPr>
            <w:tcW w:w="1127" w:type="dxa"/>
          </w:tcPr>
          <w:p w14:paraId="53B6C9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266959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2AAB9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истребителя ЛаГГ-3 под пушку</w:t>
            </w:r>
          </w:p>
        </w:tc>
        <w:tc>
          <w:tcPr>
            <w:tcW w:w="3836" w:type="dxa"/>
          </w:tcPr>
          <w:p w14:paraId="5AA9A0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642сс</w:t>
            </w:r>
          </w:p>
        </w:tc>
      </w:tr>
      <w:tr w:rsidR="006F4095" w:rsidRPr="008127F8" w14:paraId="46B49EB3" w14:textId="77777777">
        <w:tc>
          <w:tcPr>
            <w:tcW w:w="1127" w:type="dxa"/>
          </w:tcPr>
          <w:p w14:paraId="6041D8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91386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D0C20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калибра 37 мм и оборудование реактором, 1 экз.</w:t>
            </w:r>
          </w:p>
        </w:tc>
        <w:tc>
          <w:tcPr>
            <w:tcW w:w="3836" w:type="dxa"/>
          </w:tcPr>
          <w:p w14:paraId="353B80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8 июля 1941</w:t>
            </w:r>
          </w:p>
        </w:tc>
      </w:tr>
      <w:tr w:rsidR="006F4095" w:rsidRPr="008127F8" w14:paraId="712C9985" w14:textId="77777777">
        <w:tc>
          <w:tcPr>
            <w:tcW w:w="1127" w:type="dxa"/>
          </w:tcPr>
          <w:p w14:paraId="1A3905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189037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6FB1CE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15 ЛаГГ-3 с пушкой 37 мм</w:t>
            </w:r>
          </w:p>
        </w:tc>
        <w:tc>
          <w:tcPr>
            <w:tcW w:w="3836" w:type="dxa"/>
          </w:tcPr>
          <w:p w14:paraId="1359A5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4735E9" w14:textId="77777777">
        <w:tc>
          <w:tcPr>
            <w:tcW w:w="1127" w:type="dxa"/>
          </w:tcPr>
          <w:p w14:paraId="570A69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457924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37165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Отменяется выпуск несданных машин</w:t>
            </w:r>
          </w:p>
        </w:tc>
        <w:tc>
          <w:tcPr>
            <w:tcW w:w="3836" w:type="dxa"/>
          </w:tcPr>
          <w:p w14:paraId="404432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1E28E4C" w14:textId="77777777">
        <w:tc>
          <w:tcPr>
            <w:tcW w:w="1127" w:type="dxa"/>
          </w:tcPr>
          <w:p w14:paraId="2DEBDB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675" w:type="dxa"/>
          </w:tcPr>
          <w:p w14:paraId="4C5180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В.Ф.Болховитинв</w:t>
            </w:r>
          </w:p>
        </w:tc>
        <w:tc>
          <w:tcPr>
            <w:tcW w:w="3818" w:type="dxa"/>
          </w:tcPr>
          <w:p w14:paraId="6DADC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Оборудование самолета Ер-2 реактивными</w:t>
            </w:r>
          </w:p>
        </w:tc>
        <w:tc>
          <w:tcPr>
            <w:tcW w:w="3836" w:type="dxa"/>
          </w:tcPr>
          <w:p w14:paraId="3E56C5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887с</w:t>
            </w:r>
          </w:p>
        </w:tc>
      </w:tr>
      <w:tr w:rsidR="006F4095" w:rsidRPr="008127F8" w14:paraId="422357FE" w14:textId="77777777">
        <w:tc>
          <w:tcPr>
            <w:tcW w:w="1127" w:type="dxa"/>
          </w:tcPr>
          <w:p w14:paraId="0B79BD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85BFA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BB39F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двигателями в целях улучшения взлетных свойств</w:t>
            </w:r>
          </w:p>
        </w:tc>
        <w:tc>
          <w:tcPr>
            <w:tcW w:w="3836" w:type="dxa"/>
          </w:tcPr>
          <w:p w14:paraId="150028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21 августа 1941</w:t>
            </w:r>
          </w:p>
        </w:tc>
      </w:tr>
      <w:tr w:rsidR="006F4095" w:rsidRPr="008127F8" w14:paraId="4B5A8294" w14:textId="77777777">
        <w:tc>
          <w:tcPr>
            <w:tcW w:w="1127" w:type="dxa"/>
          </w:tcPr>
          <w:p w14:paraId="60F38B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A3230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727F64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опытного самолета ББ-С под</w:t>
            </w:r>
          </w:p>
        </w:tc>
        <w:tc>
          <w:tcPr>
            <w:tcW w:w="3836" w:type="dxa"/>
          </w:tcPr>
          <w:p w14:paraId="1C462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Указание А.С.Я.</w:t>
            </w:r>
          </w:p>
        </w:tc>
      </w:tr>
      <w:tr w:rsidR="006F4095" w:rsidRPr="008127F8" w14:paraId="5EF10DE1" w14:textId="77777777">
        <w:tc>
          <w:tcPr>
            <w:tcW w:w="1127" w:type="dxa"/>
          </w:tcPr>
          <w:p w14:paraId="6A5034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220BDE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C7097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М-30</w:t>
            </w:r>
          </w:p>
        </w:tc>
        <w:tc>
          <w:tcPr>
            <w:tcW w:w="3836" w:type="dxa"/>
          </w:tcPr>
          <w:p w14:paraId="465FA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116905" w14:textId="77777777">
        <w:tc>
          <w:tcPr>
            <w:tcW w:w="1127" w:type="dxa"/>
          </w:tcPr>
          <w:p w14:paraId="60AE5A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675" w:type="dxa"/>
          </w:tcPr>
          <w:p w14:paraId="1BCB86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Н.И.Камов</w:t>
            </w:r>
          </w:p>
        </w:tc>
        <w:tc>
          <w:tcPr>
            <w:tcW w:w="3818" w:type="dxa"/>
          </w:tcPr>
          <w:p w14:paraId="69EB3C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серии автожиров А7-3А с мот. МВ-6</w:t>
            </w:r>
          </w:p>
        </w:tc>
        <w:tc>
          <w:tcPr>
            <w:tcW w:w="3836" w:type="dxa"/>
          </w:tcPr>
          <w:p w14:paraId="006E1B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704сс</w:t>
            </w:r>
          </w:p>
        </w:tc>
      </w:tr>
      <w:tr w:rsidR="006F4095" w:rsidRPr="008127F8" w14:paraId="1B6B01F8" w14:textId="77777777">
        <w:tc>
          <w:tcPr>
            <w:tcW w:w="1127" w:type="dxa"/>
          </w:tcPr>
          <w:p w14:paraId="05F692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F5A3C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23D50D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количестве 5 шт. по заказу ГАУ КА</w:t>
            </w:r>
          </w:p>
        </w:tc>
        <w:tc>
          <w:tcPr>
            <w:tcW w:w="3836" w:type="dxa"/>
          </w:tcPr>
          <w:p w14:paraId="3F758B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18 июля 1941</w:t>
            </w:r>
          </w:p>
        </w:tc>
      </w:tr>
      <w:tr w:rsidR="006F4095" w:rsidRPr="008127F8" w14:paraId="3407F385" w14:textId="77777777">
        <w:tc>
          <w:tcPr>
            <w:tcW w:w="1127" w:type="dxa"/>
          </w:tcPr>
          <w:p w14:paraId="73374F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2BDF81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8743F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 истребителя с убирающимся</w:t>
            </w:r>
          </w:p>
        </w:tc>
        <w:tc>
          <w:tcPr>
            <w:tcW w:w="3836" w:type="dxa"/>
          </w:tcPr>
          <w:p w14:paraId="5EBDD7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887с</w:t>
            </w:r>
          </w:p>
        </w:tc>
      </w:tr>
      <w:tr w:rsidR="006F4095" w:rsidRPr="008127F8" w14:paraId="371758AD" w14:textId="77777777">
        <w:tc>
          <w:tcPr>
            <w:tcW w:w="1127" w:type="dxa"/>
          </w:tcPr>
          <w:p w14:paraId="30160F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96A22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7A8B4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ротором</w:t>
            </w:r>
          </w:p>
        </w:tc>
        <w:tc>
          <w:tcPr>
            <w:tcW w:w="3836" w:type="dxa"/>
          </w:tcPr>
          <w:p w14:paraId="7E1999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21августа 1941</w:t>
            </w:r>
          </w:p>
        </w:tc>
      </w:tr>
      <w:tr w:rsidR="006F4095" w:rsidRPr="008127F8" w14:paraId="7155AB7C" w14:textId="77777777">
        <w:tc>
          <w:tcPr>
            <w:tcW w:w="1127" w:type="dxa"/>
          </w:tcPr>
          <w:p w14:paraId="15B1B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w:t>
            </w:r>
          </w:p>
        </w:tc>
        <w:tc>
          <w:tcPr>
            <w:tcW w:w="1675" w:type="dxa"/>
          </w:tcPr>
          <w:p w14:paraId="5DCDC4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С.В.Ильюшин</w:t>
            </w:r>
          </w:p>
        </w:tc>
        <w:tc>
          <w:tcPr>
            <w:tcW w:w="3818" w:type="dxa"/>
          </w:tcPr>
          <w:p w14:paraId="39F9D7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мотора М-105 на ДБ-3Ф с деревянным</w:t>
            </w:r>
          </w:p>
        </w:tc>
        <w:tc>
          <w:tcPr>
            <w:tcW w:w="3836" w:type="dxa"/>
          </w:tcPr>
          <w:p w14:paraId="40E020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942с</w:t>
            </w:r>
          </w:p>
        </w:tc>
      </w:tr>
      <w:tr w:rsidR="006F4095" w:rsidRPr="008127F8" w14:paraId="27B6FB3E" w14:textId="77777777">
        <w:tc>
          <w:tcPr>
            <w:tcW w:w="1127" w:type="dxa"/>
          </w:tcPr>
          <w:p w14:paraId="7EA09B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27298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14355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фюзеляжем</w:t>
            </w:r>
          </w:p>
        </w:tc>
        <w:tc>
          <w:tcPr>
            <w:tcW w:w="3836" w:type="dxa"/>
          </w:tcPr>
          <w:p w14:paraId="7F2E21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1 сентября 1941 (1616,39)</w:t>
            </w:r>
          </w:p>
        </w:tc>
      </w:tr>
      <w:tr w:rsidR="006F4095" w:rsidRPr="008127F8" w14:paraId="7B934506" w14:textId="77777777">
        <w:tc>
          <w:tcPr>
            <w:tcW w:w="1127" w:type="dxa"/>
          </w:tcPr>
          <w:p w14:paraId="31D135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w:t>
            </w:r>
          </w:p>
        </w:tc>
        <w:tc>
          <w:tcPr>
            <w:tcW w:w="1675" w:type="dxa"/>
          </w:tcPr>
          <w:p w14:paraId="41FA1C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А.А.Архангельск.</w:t>
            </w:r>
          </w:p>
        </w:tc>
        <w:tc>
          <w:tcPr>
            <w:tcW w:w="3818" w:type="dxa"/>
          </w:tcPr>
          <w:p w14:paraId="331835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Перевооружение СБ под подвижную У с 2ШВАК</w:t>
            </w:r>
          </w:p>
        </w:tc>
        <w:tc>
          <w:tcPr>
            <w:tcW w:w="3836" w:type="dxa"/>
          </w:tcPr>
          <w:p w14:paraId="42CE33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823</w:t>
            </w:r>
          </w:p>
        </w:tc>
      </w:tr>
      <w:tr w:rsidR="006F4095" w:rsidRPr="008127F8" w14:paraId="19BB6354" w14:textId="77777777">
        <w:tc>
          <w:tcPr>
            <w:tcW w:w="1127" w:type="dxa"/>
          </w:tcPr>
          <w:p w14:paraId="5BCBE3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37E47E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3DD45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6AC16E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9 августа 1941</w:t>
            </w:r>
          </w:p>
        </w:tc>
      </w:tr>
      <w:tr w:rsidR="006F4095" w:rsidRPr="008127F8" w14:paraId="2A817124" w14:textId="77777777">
        <w:tc>
          <w:tcPr>
            <w:tcW w:w="1127" w:type="dxa"/>
          </w:tcPr>
          <w:p w14:paraId="44DE5F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675" w:type="dxa"/>
          </w:tcPr>
          <w:p w14:paraId="21F96D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А.В.Сеньков</w:t>
            </w:r>
          </w:p>
        </w:tc>
        <w:tc>
          <w:tcPr>
            <w:tcW w:w="3818" w:type="dxa"/>
          </w:tcPr>
          <w:p w14:paraId="78F23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Оборудование МиГ-3 дополнительным парусным</w:t>
            </w:r>
          </w:p>
        </w:tc>
        <w:tc>
          <w:tcPr>
            <w:tcW w:w="3836" w:type="dxa"/>
          </w:tcPr>
          <w:p w14:paraId="7F1382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908с</w:t>
            </w:r>
          </w:p>
        </w:tc>
      </w:tr>
      <w:tr w:rsidR="006F4095" w:rsidRPr="008127F8" w14:paraId="7A246821" w14:textId="77777777">
        <w:tc>
          <w:tcPr>
            <w:tcW w:w="1127" w:type="dxa"/>
          </w:tcPr>
          <w:p w14:paraId="42DE3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630DDF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263D33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крылом и изготовление модели серийного</w:t>
            </w:r>
          </w:p>
        </w:tc>
        <w:tc>
          <w:tcPr>
            <w:tcW w:w="3836" w:type="dxa"/>
          </w:tcPr>
          <w:p w14:paraId="14DCEA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25 августа 1941</w:t>
            </w:r>
          </w:p>
        </w:tc>
      </w:tr>
      <w:tr w:rsidR="006F4095" w:rsidRPr="008127F8" w14:paraId="282888FF" w14:textId="77777777">
        <w:tc>
          <w:tcPr>
            <w:tcW w:w="1127" w:type="dxa"/>
          </w:tcPr>
          <w:p w14:paraId="61BBC6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BB746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411A1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 со щелевым раздвижным крылом и</w:t>
            </w:r>
          </w:p>
        </w:tc>
        <w:tc>
          <w:tcPr>
            <w:tcW w:w="3836" w:type="dxa"/>
          </w:tcPr>
          <w:p w14:paraId="20D50B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09B3DE" w14:textId="77777777">
        <w:tc>
          <w:tcPr>
            <w:tcW w:w="1127" w:type="dxa"/>
          </w:tcPr>
          <w:p w14:paraId="361C6C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B8086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0CB1DB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выдвижным надкрылком</w:t>
            </w:r>
          </w:p>
        </w:tc>
        <w:tc>
          <w:tcPr>
            <w:tcW w:w="3836" w:type="dxa"/>
          </w:tcPr>
          <w:p w14:paraId="1E4F66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BB0529" w14:textId="77777777">
        <w:tc>
          <w:tcPr>
            <w:tcW w:w="1127" w:type="dxa"/>
          </w:tcPr>
          <w:p w14:paraId="7A4634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675" w:type="dxa"/>
          </w:tcPr>
          <w:p w14:paraId="725DA3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П.О.Сухой</w:t>
            </w:r>
          </w:p>
        </w:tc>
        <w:tc>
          <w:tcPr>
            <w:tcW w:w="3818" w:type="dxa"/>
          </w:tcPr>
          <w:p w14:paraId="0D67D2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 одномоторного Б Су-2 с М-82 под</w:t>
            </w:r>
          </w:p>
        </w:tc>
        <w:tc>
          <w:tcPr>
            <w:tcW w:w="3836" w:type="dxa"/>
          </w:tcPr>
          <w:p w14:paraId="6313E8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Указание Кузнецова</w:t>
            </w:r>
          </w:p>
        </w:tc>
      </w:tr>
      <w:tr w:rsidR="006F4095" w:rsidRPr="008127F8" w14:paraId="5E43F2E6" w14:textId="77777777">
        <w:tc>
          <w:tcPr>
            <w:tcW w:w="1127" w:type="dxa"/>
          </w:tcPr>
          <w:p w14:paraId="5AC1AA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2BF30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0BC21D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артиллерийский корректировщик</w:t>
            </w:r>
          </w:p>
        </w:tc>
        <w:tc>
          <w:tcPr>
            <w:tcW w:w="3836" w:type="dxa"/>
          </w:tcPr>
          <w:p w14:paraId="30F266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4E3A82" w14:textId="77777777">
        <w:tc>
          <w:tcPr>
            <w:tcW w:w="1127" w:type="dxa"/>
          </w:tcPr>
          <w:p w14:paraId="6FCA3A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3C2A45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CB18B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на Су-2 форсированного М-89</w:t>
            </w:r>
          </w:p>
        </w:tc>
        <w:tc>
          <w:tcPr>
            <w:tcW w:w="3836" w:type="dxa"/>
          </w:tcPr>
          <w:p w14:paraId="025079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НКАП N 899сс</w:t>
            </w:r>
          </w:p>
        </w:tc>
      </w:tr>
      <w:tr w:rsidR="006F4095" w:rsidRPr="008127F8" w14:paraId="12EB2D09" w14:textId="77777777">
        <w:tc>
          <w:tcPr>
            <w:tcW w:w="1127" w:type="dxa"/>
            <w:tcBorders>
              <w:bottom w:val="single" w:sz="12" w:space="0" w:color="auto"/>
            </w:tcBorders>
          </w:tcPr>
          <w:p w14:paraId="282782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Borders>
              <w:bottom w:val="single" w:sz="12" w:space="0" w:color="auto"/>
            </w:tcBorders>
          </w:tcPr>
          <w:p w14:paraId="0EB791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Borders>
              <w:bottom w:val="single" w:sz="12" w:space="0" w:color="auto"/>
            </w:tcBorders>
          </w:tcPr>
          <w:p w14:paraId="3348D1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Borders>
              <w:bottom w:val="single" w:sz="12" w:space="0" w:color="auto"/>
            </w:tcBorders>
          </w:tcPr>
          <w:p w14:paraId="0B889C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22 августа 1941</w:t>
            </w:r>
          </w:p>
        </w:tc>
      </w:tr>
    </w:tbl>
    <w:p w14:paraId="632B7B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и ГК прекратить дальнейшие работы по модификации самолетов и отдельным заданиям, указанным в приложении</w:t>
      </w:r>
    </w:p>
    <w:p w14:paraId="16241C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 7 ГУ получить и рассмотреть финансовый и технический отчет по проведенной работе (1616,38).</w:t>
      </w:r>
    </w:p>
    <w:p w14:paraId="027729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E5A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апреля 1942 так </w:t>
      </w:r>
      <w:proofErr w:type="gramStart"/>
      <w:r w:rsidRPr="008127F8">
        <w:rPr>
          <w:rFonts w:ascii="Times New Roman" w:hAnsi="Times New Roman"/>
          <w:color w:val="000000" w:themeColor="text1"/>
          <w:sz w:val="16"/>
          <w:szCs w:val="16"/>
        </w:rPr>
        <w:t>же</w:t>
      </w:r>
      <w:proofErr w:type="gramEnd"/>
      <w:r w:rsidRPr="008127F8">
        <w:rPr>
          <w:rFonts w:ascii="Times New Roman" w:hAnsi="Times New Roman"/>
          <w:color w:val="000000" w:themeColor="text1"/>
          <w:sz w:val="16"/>
          <w:szCs w:val="16"/>
        </w:rPr>
        <w:t xml:space="preserve"> как и и 13 июля и 5 августа 1942 А.С.Я. направил Зам. Командующему ВВС гл иас А.К.Репину материалы к составлению плана-заказа УВВС по опытному самолетостроени. (1633,211).</w:t>
      </w:r>
    </w:p>
    <w:p w14:paraId="7A63AB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883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вышел приказ НКАП N 307ас:</w:t>
      </w:r>
    </w:p>
    <w:p w14:paraId="2DAC0C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решительного улучшения взлетно-посадочных свойств серийных самолетов:</w:t>
      </w:r>
    </w:p>
    <w:p w14:paraId="3C6950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уменьшения разбега и улучшения взлета:</w:t>
      </w:r>
    </w:p>
    <w:p w14:paraId="2F3FB7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26 Баландину и ГК Климову довести кратковременную взлетную мощность серийных М-105 к 10 мая с.г. до 1300 л.с.</w:t>
      </w:r>
    </w:p>
    <w:p w14:paraId="3A79ED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24 Жезлову и ГК Микулину довести кратковременную взлетную мощность серийных АМ-38 к 10 мая с.г. до 1800 л.с.</w:t>
      </w:r>
    </w:p>
    <w:p w14:paraId="729F58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35 Марочкину и ГК Жданову спроектировать с участием ЦАГИ и изготовить к 1 июня с7г. опытные экз. 4 лопастных металлических винтов к самолетам Ил-2 и ДБ-3Ф с М-82</w:t>
      </w:r>
    </w:p>
    <w:p w14:paraId="66081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Директорам заводов 467 Авербах и 27 Козакову и ГИ Заславскому спроектировать с участием ЦАГИ и изготовить к 1 июня с.г. Х-образный винт к самолету Як-7, позволяющий применение существующих синхронизаторов</w:t>
      </w:r>
    </w:p>
    <w:p w14:paraId="608443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нач. ЛИИ Чесалову и нач. ЦАГИ Шишкину провести испытания указанных 4-х лопастных винтов и представить заключение к 20 июня с.г.</w:t>
      </w:r>
    </w:p>
    <w:p w14:paraId="4D2D6B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ГК самолетов Як-7, Ил-2, Пе-2 и ДБ-3Ф с целью обеспечения открывания щитков на взлете дать фиксаторы взлетного положения щитков к 10 мая с.г.</w:t>
      </w:r>
    </w:p>
    <w:p w14:paraId="627586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ГК С.В.И. и Изаксону разработать конструкцию стартовых ракет на самолеты ДБ-3Ф и Пе-2 совместно с ЦАГИ и НИИ-3 НКБ</w:t>
      </w:r>
    </w:p>
    <w:p w14:paraId="51A364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уменьшения пробега и улучшения посадки</w:t>
      </w:r>
    </w:p>
    <w:p w14:paraId="045377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 ЦАГИ Шишкину и и.о. нач. ЛИИ Чесалову при участии ГК самолетов:</w:t>
      </w:r>
    </w:p>
    <w:p w14:paraId="112C17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разработать конструкцию, изготовить и провести испытания тормозного приспособления на костыль самолетов Як-7 и Пе-2 и к 20 мая выдать конструкторам рекомендации</w:t>
      </w:r>
    </w:p>
    <w:p w14:paraId="63957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провести летные испытания по применению посадочных парашютов на самолете Пе-2 и к 20 мая дать рекомендации по их применению (1550,71).</w:t>
      </w:r>
    </w:p>
    <w:p w14:paraId="795A4B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F4A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А.И.Ш. писал Наркому боеприпасов письмо N 2628:</w:t>
      </w:r>
    </w:p>
    <w:p w14:paraId="037A83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N 1500сс от 26 марта 1942 об улучшении взлетно-посадочных свойств самолетов, прошу указаний нач. НИИ-3 Костикову:</w:t>
      </w:r>
    </w:p>
    <w:p w14:paraId="0E07D5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 разработке в НИИ-3 стартовых ракет на основе существующих серийных РС</w:t>
      </w:r>
    </w:p>
    <w:p w14:paraId="5D9497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 отработке совместно с ЦАГИ и ЛИИ взлета самолетов Пе-2 и ДБ-3Ф с применением стартовых ракет</w:t>
      </w:r>
    </w:p>
    <w:p w14:paraId="2876E4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 изготовлении стартовых ракет в количестве, необходимом для их испытания и отработки старта</w:t>
      </w:r>
    </w:p>
    <w:p w14:paraId="7439D9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Желательный срок окончания всей работы не позже 1 июля 1942 (1668,303).</w:t>
      </w:r>
    </w:p>
    <w:p w14:paraId="6A58F4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FD5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письмом N 708 был направлен Отчетный доклад директора завода 18 по основной деятельности за 1941:</w:t>
      </w:r>
    </w:p>
    <w:p w14:paraId="01B0FA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года заканчивая производство самолета ДБ-3Ф, завод должен был выпустить 300 машин. Одновременно надо было провести серьезные конструктивные изменения по результатам испытаний в НИИ по Ер-2, включая собранные уже на 1 января 10 машин, и сдать заказчику 70 шт. Вместе с этим, во второй половине декабря завод получил еще новое, наиболее важное задание о подготовке и освоении производства самолета Ил-2, по которому уже в 1 кв. 1941 завод должен был начать серийное производство и дать значительный выпуск.</w:t>
      </w:r>
    </w:p>
    <w:p w14:paraId="7D839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Т.о. в 1 полугодие завод имел на </w:t>
      </w:r>
      <w:proofErr w:type="gramStart"/>
      <w:r w:rsidRPr="008127F8">
        <w:rPr>
          <w:rFonts w:ascii="Times New Roman" w:hAnsi="Times New Roman"/>
          <w:color w:val="000000" w:themeColor="text1"/>
          <w:sz w:val="16"/>
          <w:szCs w:val="16"/>
        </w:rPr>
        <w:t>производстве по существу</w:t>
      </w:r>
      <w:proofErr w:type="gramEnd"/>
      <w:r w:rsidRPr="008127F8">
        <w:rPr>
          <w:rFonts w:ascii="Times New Roman" w:hAnsi="Times New Roman"/>
          <w:color w:val="000000" w:themeColor="text1"/>
          <w:sz w:val="16"/>
          <w:szCs w:val="16"/>
        </w:rPr>
        <w:t>, три совершенно различных типа самолета, чего до этого времени никогда не было.</w:t>
      </w:r>
    </w:p>
    <w:p w14:paraId="3BEA33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за год перевыполнил задание по выпуску ДБ-3Ф и вместо 300 выпустил 327.</w:t>
      </w:r>
    </w:p>
    <w:p w14:paraId="22B8DB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Ер-2 вместо 70 выпустил и передал заказчику 71.</w:t>
      </w:r>
    </w:p>
    <w:p w14:paraId="28CF34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2.3-3 месяца была проведена вся подготовка серийного производства самолета Ил-2 и начиная с марта, завод стал давать регулярный, все нарастающий от месяца к месяцу выпуск с сдачу машин заказчику.</w:t>
      </w:r>
    </w:p>
    <w:p w14:paraId="301F65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если за весь 1940 завод сдал 808 самолетов ДБ-3Ф, производство которых осваивалось еще в 1939, то за 1941 завод сдал 327 ДБ-3Ф, 71 Ер-2 и 1510 Ил-2, считая в т.ч. один самолет, оставленный на заводе для спец. испытаний по приказу НКАП. Кроме того, было сдано соответствующее машинам количество групповых комплектов и большое число зап. частей россыпью." (1995).</w:t>
      </w:r>
    </w:p>
    <w:p w14:paraId="3F8C8B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369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апреля по 6 мая 1942 работала комиссия по совместным испытаниям ЛаГГ-3 с М-82 (лл А.П.Якимов, А.Г.Кубышкин, ви А.Н.Сангинов от ЛИИ и А.Н.Фролов от НИИ ВВС) (2495,36).</w:t>
      </w:r>
    </w:p>
    <w:p w14:paraId="68558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5F8FD" w14:textId="09D7B987" w:rsidR="001D5126" w:rsidRPr="008127F8" w:rsidRDefault="001D5126" w:rsidP="001E0A84">
      <w:pPr>
        <w:pStyle w:val="a4"/>
        <w:rPr>
          <w:color w:val="000000" w:themeColor="text1"/>
          <w:lang w:val="ru-RU"/>
        </w:rPr>
      </w:pPr>
      <w:r w:rsidRPr="008127F8">
        <w:rPr>
          <w:color w:val="000000" w:themeColor="text1"/>
          <w:lang w:val="ru-RU"/>
        </w:rPr>
        <w:t>В течение 21-23 апреля 1942 Якимов и Кубышкин в Правдинске провели ряд полётов по снятию летных характеристик ЛаГГ-</w:t>
      </w:r>
      <w:r w:rsidR="00ED1360">
        <w:rPr>
          <w:color w:val="000000" w:themeColor="text1"/>
          <w:lang w:val="ru-RU"/>
        </w:rPr>
        <w:t>3</w:t>
      </w:r>
      <w:r w:rsidRPr="008127F8">
        <w:rPr>
          <w:color w:val="000000" w:themeColor="text1"/>
          <w:lang w:val="ru-RU"/>
        </w:rPr>
        <w:t xml:space="preserve"> М-82,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586DD262" w14:textId="77777777" w:rsidR="001D5126" w:rsidRPr="008127F8" w:rsidRDefault="001D5126" w:rsidP="001E0A84">
      <w:pPr>
        <w:pStyle w:val="a4"/>
        <w:rPr>
          <w:color w:val="000000" w:themeColor="text1"/>
          <w:lang w:val="ru-RU"/>
        </w:rPr>
      </w:pPr>
    </w:p>
    <w:p w14:paraId="34D9BF5B" w14:textId="77777777" w:rsidR="00ED1360" w:rsidRPr="008A2E5A" w:rsidRDefault="00ED1360" w:rsidP="00ED13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апреля 1942 г. состоялось со</w:t>
      </w:r>
      <w:r w:rsidRPr="008A2E5A">
        <w:rPr>
          <w:rFonts w:ascii="Times New Roman" w:hAnsi="Times New Roman"/>
          <w:color w:val="0070C0"/>
          <w:sz w:val="16"/>
          <w:szCs w:val="16"/>
        </w:rPr>
        <w:softHyphen/>
        <w:t>вещание при отделе авиационной промышленности Молотовского областного комитета ВКП(б). Заранее зная повестку совещания (и упре</w:t>
      </w:r>
      <w:r w:rsidRPr="008A2E5A">
        <w:rPr>
          <w:rFonts w:ascii="Times New Roman" w:hAnsi="Times New Roman"/>
          <w:color w:val="0070C0"/>
          <w:sz w:val="16"/>
          <w:szCs w:val="16"/>
        </w:rPr>
        <w:softHyphen/>
        <w:t>ждающим порядком), бригаду в составе заместителя глав</w:t>
      </w:r>
      <w:r w:rsidRPr="008A2E5A">
        <w:rPr>
          <w:rFonts w:ascii="Times New Roman" w:hAnsi="Times New Roman"/>
          <w:color w:val="0070C0"/>
          <w:sz w:val="16"/>
          <w:szCs w:val="16"/>
        </w:rPr>
        <w:softHyphen/>
        <w:t>ного технолога и одновременно начальника эксплуатаци</w:t>
      </w:r>
      <w:r w:rsidRPr="008A2E5A">
        <w:rPr>
          <w:rFonts w:ascii="Times New Roman" w:hAnsi="Times New Roman"/>
          <w:color w:val="0070C0"/>
          <w:sz w:val="16"/>
          <w:szCs w:val="16"/>
        </w:rPr>
        <w:softHyphen/>
        <w:t>онно-ремонтного отдела завода №19 А.И. Валединского, ведущего конструктора мотора И.П. Эвича, механика Б.Я. Вертошко послали вначале в Москву в аппарат НКАП. Уз</w:t>
      </w:r>
      <w:r w:rsidRPr="008A2E5A">
        <w:rPr>
          <w:rFonts w:ascii="Times New Roman" w:hAnsi="Times New Roman"/>
          <w:color w:val="0070C0"/>
          <w:sz w:val="16"/>
          <w:szCs w:val="16"/>
        </w:rPr>
        <w:softHyphen/>
        <w:t>нав там, что ДБ-ЗФ с М-82 еще не прибыл, а в Горьком на</w:t>
      </w:r>
      <w:r w:rsidRPr="008A2E5A">
        <w:rPr>
          <w:rFonts w:ascii="Times New Roman" w:hAnsi="Times New Roman"/>
          <w:color w:val="0070C0"/>
          <w:sz w:val="16"/>
          <w:szCs w:val="16"/>
        </w:rPr>
        <w:softHyphen/>
        <w:t>чались испытания машины ЛаГГ-3 с М-82, бригада в пол</w:t>
      </w:r>
      <w:r w:rsidRPr="008A2E5A">
        <w:rPr>
          <w:rFonts w:ascii="Times New Roman" w:hAnsi="Times New Roman"/>
          <w:color w:val="0070C0"/>
          <w:sz w:val="16"/>
          <w:szCs w:val="16"/>
        </w:rPr>
        <w:softHyphen/>
        <w:t>ном составе 22 апреля выехала на завод №21 и, приехав, с 25 апреля 1942 г. непосредственно участвовала в процес</w:t>
      </w:r>
      <w:r w:rsidRPr="008A2E5A">
        <w:rPr>
          <w:rFonts w:ascii="Times New Roman" w:hAnsi="Times New Roman"/>
          <w:color w:val="0070C0"/>
          <w:sz w:val="16"/>
          <w:szCs w:val="16"/>
        </w:rPr>
        <w:softHyphen/>
        <w:t>се испытаний и доводки самолета. Именно благодаря этим специалистам на самолете ЛаГГ-3 М-82 удалось организо</w:t>
      </w:r>
      <w:r w:rsidRPr="008A2E5A">
        <w:rPr>
          <w:rFonts w:ascii="Times New Roman" w:hAnsi="Times New Roman"/>
          <w:color w:val="0070C0"/>
          <w:sz w:val="16"/>
          <w:szCs w:val="16"/>
        </w:rPr>
        <w:softHyphen/>
        <w:t>вать равномерный обдув цилиндров мотора под таким же, как у Як-7 М-82, капотом NACA с боковыми створками, от</w:t>
      </w:r>
      <w:r w:rsidRPr="008A2E5A">
        <w:rPr>
          <w:rFonts w:ascii="Times New Roman" w:hAnsi="Times New Roman"/>
          <w:color w:val="0070C0"/>
          <w:sz w:val="16"/>
          <w:szCs w:val="16"/>
        </w:rPr>
        <w:softHyphen/>
        <w:t>регулировать работу карбюратора и обеспечить в процессе испытаний надежную работу нагруженного в тепловом от</w:t>
      </w:r>
      <w:r w:rsidRPr="008A2E5A">
        <w:rPr>
          <w:rFonts w:ascii="Times New Roman" w:hAnsi="Times New Roman"/>
          <w:color w:val="0070C0"/>
          <w:sz w:val="16"/>
          <w:szCs w:val="16"/>
        </w:rPr>
        <w:softHyphen/>
        <w:t>ношении мотора М-82. За счет технических решений пред</w:t>
      </w:r>
      <w:r w:rsidRPr="008A2E5A">
        <w:rPr>
          <w:rFonts w:ascii="Times New Roman" w:hAnsi="Times New Roman"/>
          <w:color w:val="0070C0"/>
          <w:sz w:val="16"/>
          <w:szCs w:val="16"/>
        </w:rPr>
        <w:softHyphen/>
        <w:t>ложенных бригадой максимальная скорость истребителя у земли возросла с 502 в первых полетах до 531 км/ч. Поче</w:t>
      </w:r>
      <w:r w:rsidRPr="008A2E5A">
        <w:rPr>
          <w:rFonts w:ascii="Times New Roman" w:hAnsi="Times New Roman"/>
          <w:color w:val="0070C0"/>
          <w:sz w:val="16"/>
          <w:szCs w:val="16"/>
        </w:rPr>
        <w:softHyphen/>
        <w:t>му бригада Валединского не поехала из Москвы в Новоси</w:t>
      </w:r>
      <w:r w:rsidRPr="008A2E5A">
        <w:rPr>
          <w:rFonts w:ascii="Times New Roman" w:hAnsi="Times New Roman"/>
          <w:color w:val="0070C0"/>
          <w:sz w:val="16"/>
          <w:szCs w:val="16"/>
        </w:rPr>
        <w:softHyphen/>
        <w:t>бирск, где находились сразу три типа опытных истребите</w:t>
      </w:r>
      <w:r w:rsidRPr="008A2E5A">
        <w:rPr>
          <w:rFonts w:ascii="Times New Roman" w:hAnsi="Times New Roman"/>
          <w:color w:val="0070C0"/>
          <w:sz w:val="16"/>
          <w:szCs w:val="16"/>
        </w:rPr>
        <w:softHyphen/>
        <w:t>лей с мотором М-82 остается только догадываться (23381).</w:t>
      </w:r>
    </w:p>
    <w:p w14:paraId="208EC394" w14:textId="77777777" w:rsidR="00ED1360" w:rsidRPr="008A2E5A" w:rsidRDefault="00ED1360" w:rsidP="00ED1360">
      <w:pPr>
        <w:spacing w:after="0" w:line="240" w:lineRule="auto"/>
        <w:jc w:val="both"/>
        <w:rPr>
          <w:rFonts w:ascii="Times New Roman" w:hAnsi="Times New Roman"/>
          <w:color w:val="0070C0"/>
          <w:sz w:val="16"/>
          <w:szCs w:val="16"/>
        </w:rPr>
      </w:pPr>
    </w:p>
    <w:p w14:paraId="082CD6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было оформлено в целом положительное заключе</w:t>
      </w:r>
      <w:r w:rsidRPr="008127F8">
        <w:rPr>
          <w:rFonts w:ascii="Times New Roman" w:hAnsi="Times New Roman"/>
          <w:color w:val="000000" w:themeColor="text1"/>
          <w:sz w:val="16"/>
          <w:szCs w:val="16"/>
        </w:rPr>
        <w:softHyphen/>
        <w:t>ние по самолету, после чего командующий ВВС Новиков, главный инженер ВВС Репин и нарком авиапромышленности Шахурин на</w:t>
      </w:r>
      <w:r w:rsidRPr="008127F8">
        <w:rPr>
          <w:rFonts w:ascii="Times New Roman" w:hAnsi="Times New Roman"/>
          <w:color w:val="000000" w:themeColor="text1"/>
          <w:sz w:val="16"/>
          <w:szCs w:val="16"/>
        </w:rPr>
        <w:softHyphen/>
        <w:t>правили письмо Сталину, в котором доложили о результатах ГСИ. Однако предложение о запуске самолета в серию у вождя поддер</w:t>
      </w:r>
      <w:r w:rsidRPr="008127F8">
        <w:rPr>
          <w:rFonts w:ascii="Times New Roman" w:hAnsi="Times New Roman"/>
          <w:color w:val="000000" w:themeColor="text1"/>
          <w:sz w:val="16"/>
          <w:szCs w:val="16"/>
        </w:rPr>
        <w:softHyphen/>
        <w:t>жки не получило: по линии Берии у него собралось немало инфор</w:t>
      </w:r>
      <w:r w:rsidRPr="008127F8">
        <w:rPr>
          <w:rFonts w:ascii="Times New Roman" w:hAnsi="Times New Roman"/>
          <w:color w:val="000000" w:themeColor="text1"/>
          <w:sz w:val="16"/>
          <w:szCs w:val="16"/>
        </w:rPr>
        <w:softHyphen/>
        <w:t>мации о недостатках истребителя. Но НКАП, Лавочкин и дирекция завода справедливо считали, что имеющиеся дефекты не влияют на безопасность машины, и решили рискнуть. Часть плановых ЛаГГ-3 выделили под переделку в новый вариант, названный ЛаГГ-5. Головной самолет был облетан уже 14 (по другим данным — 20) апреля 1942г (11123).</w:t>
      </w:r>
    </w:p>
    <w:p w14:paraId="3B31224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решение о запуске в Горьком Як-7 никто не отменял. Прибывшая из Москвы яковлевская бригада с использованием привезенных готовых агрегатов собрала 5 «Яков». Но ЛаГГ-5 уже фактически строился серийно, и это сыграло решающую роль. Приказом НКАП № 391сс от 20 мая 1942 г. решение о переводе за</w:t>
      </w:r>
      <w:r w:rsidRPr="008127F8">
        <w:rPr>
          <w:rFonts w:ascii="Times New Roman" w:hAnsi="Times New Roman"/>
          <w:color w:val="000000" w:themeColor="text1"/>
          <w:sz w:val="16"/>
          <w:szCs w:val="16"/>
        </w:rPr>
        <w:softHyphen/>
        <w:t>вода № 21 на выпуск Як-7 было аннулировано, а ЛаГГ-5 М-82 офи</w:t>
      </w:r>
      <w:r w:rsidRPr="008127F8">
        <w:rPr>
          <w:rFonts w:ascii="Times New Roman" w:hAnsi="Times New Roman"/>
          <w:color w:val="000000" w:themeColor="text1"/>
          <w:sz w:val="16"/>
          <w:szCs w:val="16"/>
        </w:rPr>
        <w:softHyphen/>
        <w:t>циально запустили в серию сверх программы ЛаГГ-3. Заодно еще раз «похоронили» И-185 — 23 июля Шахурин в письме Сталину со</w:t>
      </w:r>
      <w:r w:rsidRPr="008127F8">
        <w:rPr>
          <w:rFonts w:ascii="Times New Roman" w:hAnsi="Times New Roman"/>
          <w:color w:val="000000" w:themeColor="text1"/>
          <w:sz w:val="16"/>
          <w:szCs w:val="16"/>
        </w:rPr>
        <w:softHyphen/>
        <w:t>общал, что, имея ЛаГГ-5, считает нецелесообразным выпуск ист</w:t>
      </w:r>
      <w:r w:rsidRPr="008127F8">
        <w:rPr>
          <w:rFonts w:ascii="Times New Roman" w:hAnsi="Times New Roman"/>
          <w:color w:val="000000" w:themeColor="text1"/>
          <w:sz w:val="16"/>
          <w:szCs w:val="16"/>
        </w:rPr>
        <w:softHyphen/>
        <w:t>ребителя Поликарпова не только с мотором М-82, но и с М-71 (11123).</w:t>
      </w:r>
    </w:p>
    <w:p w14:paraId="66FD5D0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Освоением производства новой машины руководил П.Д. Грушин. Завод № 21 имел свою систему обозначений выпускаемых ти</w:t>
      </w:r>
      <w:r w:rsidRPr="008127F8">
        <w:rPr>
          <w:rFonts w:ascii="Times New Roman" w:hAnsi="Times New Roman"/>
          <w:color w:val="000000" w:themeColor="text1"/>
          <w:sz w:val="16"/>
          <w:szCs w:val="16"/>
        </w:rPr>
        <w:softHyphen/>
        <w:t>пов и модификаций самолетов. По ней новый истребитель получил обозначение «тип 37», как и ЛаГГ-3, поскольку считался его моди</w:t>
      </w:r>
      <w:r w:rsidRPr="008127F8">
        <w:rPr>
          <w:rFonts w:ascii="Times New Roman" w:hAnsi="Times New Roman"/>
          <w:color w:val="000000" w:themeColor="text1"/>
          <w:sz w:val="16"/>
          <w:szCs w:val="16"/>
        </w:rPr>
        <w:softHyphen/>
        <w:t>фикацией. Но 6 августа вышло Постановление ГКО, а через 2 дня приказ НКАП № 683, согласно которым новый истребитель стал именоваться Ла-5 — «Лавочкин-5». Одновременно заводское обоз</w:t>
      </w:r>
      <w:r w:rsidRPr="008127F8">
        <w:rPr>
          <w:rFonts w:ascii="Times New Roman" w:hAnsi="Times New Roman"/>
          <w:color w:val="000000" w:themeColor="text1"/>
          <w:sz w:val="16"/>
          <w:szCs w:val="16"/>
        </w:rPr>
        <w:softHyphen/>
        <w:t>начение изменили на «тип 38» (11123).</w:t>
      </w:r>
    </w:p>
    <w:p w14:paraId="20E5CD5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6DC26" w14:textId="77777777" w:rsidR="00991C86" w:rsidRPr="008127F8" w:rsidRDefault="00991C8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 «замороженные» к тому времени работы ЦАГИ по макету самолета МиГ-3 с «раздвижным крылом и надкрылком» были прекращены окончательно (23184).</w:t>
      </w:r>
    </w:p>
    <w:p w14:paraId="5E285C25" w14:textId="77777777" w:rsidR="00991C86" w:rsidRPr="008127F8" w:rsidRDefault="00991C86" w:rsidP="001E0A84">
      <w:pPr>
        <w:spacing w:after="0" w:line="240" w:lineRule="auto"/>
        <w:jc w:val="both"/>
        <w:rPr>
          <w:rFonts w:ascii="Times New Roman" w:hAnsi="Times New Roman"/>
          <w:color w:val="000000" w:themeColor="text1"/>
          <w:sz w:val="16"/>
          <w:szCs w:val="16"/>
        </w:rPr>
      </w:pPr>
    </w:p>
    <w:p w14:paraId="2B02BA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года было принято решение о разработке нормализованной установки для стрельбы снарядами калибра 132 мм. В начале 1943 года работы были завершены с возможностью монтажа метательной установки на различных типах модифицированных шасси.</w:t>
      </w:r>
    </w:p>
    <w:p w14:paraId="22B7AA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Нормализованные установки имели ряд преимуществ по сравнению с установками прежних выпусков:</w:t>
      </w:r>
    </w:p>
    <w:p w14:paraId="7B1C04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была принята на вооружение и с 1943 года являлась основным видом установки для стрельбы реактивными снарядами калибра 132 мм [42] (11772).</w:t>
      </w:r>
    </w:p>
    <w:p w14:paraId="7CEFC3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9CA27"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года было принято решение о разработке нормализованной установки для стрельбы снарядами калибра 132 мм. В начале 1943 года работы были завершены с возможностью монтажа метательной установки на различных типах доработанных шасси.</w:t>
      </w:r>
    </w:p>
    <w:p w14:paraId="7F3CF6A2"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Нормализованные установки имели ряд преимуществ по сравнению с установками прежних выпусков:</w:t>
      </w:r>
    </w:p>
    <w:p w14:paraId="60CE9518"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увеличение сектора обстрела на 20%;</w:t>
      </w:r>
    </w:p>
    <w:p w14:paraId="703A9774"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уменьшение усилий на рукоятках механизмов наведения в полтора-два раза;</w:t>
      </w:r>
    </w:p>
    <w:p w14:paraId="12D11FE6"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увеличение скорости вертикальной наводки в два раза;</w:t>
      </w:r>
    </w:p>
    <w:p w14:paraId="7BC17D9D"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уменьшены усилия на рукоятках подъемного и поворотного механизмов;</w:t>
      </w:r>
    </w:p>
    <w:p w14:paraId="48FCDFAE"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увеличение живучести установки за счет задней стенки кабины бензобака и бензопровода;</w:t>
      </w:r>
    </w:p>
    <w:p w14:paraId="281DE291"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увеличение устойчивости установки в походном положении введением опорного кронштейна для рассредоточения нагрузки на лонжероны автомашины;</w:t>
      </w:r>
    </w:p>
    <w:p w14:paraId="1D898BAD"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увеличение эксплуатационной надежности агрегата (упрощение опорной балки, заднего моста и т.д.);</w:t>
      </w:r>
    </w:p>
    <w:p w14:paraId="40C02BC3"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значительное сокращение объема сварочных работ, механической обработки, исключение гибки стержней фермы;</w:t>
      </w:r>
    </w:p>
    <w:p w14:paraId="275BAF5C"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уменьшение веса установки на 250 кг, несмотря на введение брони на заднюю стенку кабины (для предохранения расчета от поражения осколками ракетной камеры в случае ее разрыва на направляющей) и бензобак;</w:t>
      </w:r>
    </w:p>
    <w:p w14:paraId="036315E5"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сокращение производственного времени на изготовление установки за счет сборки метательной установки отдельно от шасси автомашины и монтажа установки на шасси автомашины с помощью крепежных хомутов, что позволило ликвидировать сверление отверстий в лонжеронах;</w:t>
      </w:r>
    </w:p>
    <w:p w14:paraId="0B4BB1E2"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сокращение в несколько раз времени простаивания автомашин, поступающих на завод под монтаж установки;</w:t>
      </w:r>
    </w:p>
    <w:p w14:paraId="71F3EDB6"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сокращение количества типоразмеров крепежа с 206 до 96, а также количества наименований деталей: в поворотной раме с 56 до 29, в ферме с 43 до 29, в опорной раме с 15 до 4 и т.д.</w:t>
      </w:r>
    </w:p>
    <w:p w14:paraId="35F34B51"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Установка была принята на вооружение и с 1943 года являлась основным видом установки для стрельбы реактивными снарядами калибра 132 мм (15981).</w:t>
      </w:r>
    </w:p>
    <w:p w14:paraId="519D20FD" w14:textId="77777777" w:rsidR="001D5126" w:rsidRPr="008127F8" w:rsidRDefault="001D5126" w:rsidP="001E0A84">
      <w:pPr>
        <w:spacing w:after="0" w:line="240" w:lineRule="auto"/>
        <w:jc w:val="both"/>
        <w:rPr>
          <w:rFonts w:ascii="Times New Roman" w:eastAsia="Times New Roman" w:hAnsi="Times New Roman"/>
          <w:color w:val="000000" w:themeColor="text1"/>
          <w:sz w:val="16"/>
          <w:szCs w:val="16"/>
        </w:rPr>
      </w:pPr>
    </w:p>
    <w:p w14:paraId="2711FC1E" w14:textId="77777777" w:rsidR="00991C86" w:rsidRPr="008127F8" w:rsidRDefault="00991C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21 апреля 1942 года на техническом совещании в СКБ было принято решение о разработке нормализованной установки, известной как М-13Н (после войны БМ-13Н). Целью разработки являлось создание наиболее совершенной установки, в конструкции которой были бы учтены все изменения, внесенные ранее в различные модификации установки М-13 и создание такой метательной установки, которую можно было бы изготавливать и собирать на стенде и в собранном виде устанавливать и собирать на шасси автомашины любой марки без большой переработки технической документации, как это имело место ранее. Цель была достигнута расчленением установки М-13 на отдельные узлы. Каждый узел рассматривался как самостоятельное изделие с присвоением ему индекса, после чего он мог быть использован как заимствованное изделие в любой установке.</w:t>
      </w:r>
    </w:p>
    <w:p w14:paraId="7801D766" w14:textId="77777777" w:rsidR="00991C86" w:rsidRPr="008127F8" w:rsidRDefault="00991C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При отработке узлов и деталей для нормализованной боевой установки БМ-13Н были получены:</w:t>
      </w:r>
    </w:p>
    <w:p w14:paraId="79B14F59"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сектора обстрела на 20%</w:t>
      </w:r>
    </w:p>
    <w:p w14:paraId="223E0DBC"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уменьшение усилий на рукоятках механизмов наведения в полтора – два раза;</w:t>
      </w:r>
    </w:p>
    <w:p w14:paraId="41A19746"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скорости вертикальной наводки в два раза;</w:t>
      </w:r>
    </w:p>
    <w:p w14:paraId="6F35382F"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живучести боевой установки за счет бронирования задней стенки кабины; бензобака и бензопровода;</w:t>
      </w:r>
    </w:p>
    <w:p w14:paraId="67B96885"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устойчивости установки в походном положении введением опорного кронштейна для рассредоточения нагрузки на лонжероны автомашины;</w:t>
      </w:r>
    </w:p>
    <w:p w14:paraId="4EEBA37D"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эксплуатационной надежности агрегата (упрощение опорной балки, заднего моста и т.д.;</w:t>
      </w:r>
    </w:p>
    <w:p w14:paraId="40EBBED6"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значительное сокращение объема сварочных работ, механической обработки, исключение гибки стержней фермы;</w:t>
      </w:r>
    </w:p>
    <w:p w14:paraId="2F04FC13"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уменьшение веса установки на 250 кг, несмотря на введение брони на заднюю стенку кабины и бензобак;</w:t>
      </w:r>
    </w:p>
    <w:p w14:paraId="6D4720B1"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сокращение производственного времени на изготовление установки за счет сборки артиллерийской части отдельно от шасси автомашины и монтажа установки на шасси автомашины с помощью крепежных хомутов, что позволило ликвидировать сверление отверстий в лонжеронах;</w:t>
      </w:r>
    </w:p>
    <w:p w14:paraId="5CBE248E"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сокращение в несколько раз времени простаивания шасси автомашин, поступавших на завод под монтаж установки;</w:t>
      </w:r>
    </w:p>
    <w:p w14:paraId="058D37FA" w14:textId="77777777" w:rsidR="00991C86" w:rsidRPr="008127F8" w:rsidRDefault="00991C86"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сокращение количества типоразмеров крепежа с 206 до 96, а также количества наименований деталей: в поворотной раме – с 56 до 29, в ферме с 43 до 29, в опорной раме – с 15 до 4 и т.д. Использование в конструкции установки нормализованных узлов и изделий позволило применить для сборки и монтажа установки высокопроизводительный поточный метод.</w:t>
      </w:r>
    </w:p>
    <w:p w14:paraId="15A923E0" w14:textId="29B006DE" w:rsidR="00991C86" w:rsidRPr="008127F8" w:rsidRDefault="00991C86" w:rsidP="001E0A84">
      <w:pPr>
        <w:pStyle w:val="af"/>
        <w:shd w:val="clear" w:color="auto" w:fill="FFFFFF"/>
        <w:spacing w:before="0" w:after="0"/>
        <w:jc w:val="both"/>
        <w:rPr>
          <w:color w:val="000000" w:themeColor="text1"/>
          <w:sz w:val="16"/>
          <w:szCs w:val="16"/>
        </w:rPr>
      </w:pPr>
      <w:r w:rsidRPr="008127F8">
        <w:rPr>
          <w:color w:val="000000" w:themeColor="text1"/>
          <w:sz w:val="16"/>
          <w:szCs w:val="16"/>
        </w:rPr>
        <w:t>Метательная установка монтировалась на доработанном шасси грузового автомобиля серии Studebaker (см.</w:t>
      </w:r>
      <w:r w:rsidR="008127F8">
        <w:rPr>
          <w:color w:val="000000" w:themeColor="text1"/>
          <w:sz w:val="16"/>
          <w:szCs w:val="16"/>
        </w:rPr>
        <w:t xml:space="preserve">  </w:t>
      </w:r>
      <w:hyperlink r:id="rId113" w:history="1">
        <w:r w:rsidRPr="008127F8">
          <w:rPr>
            <w:rStyle w:val="a6"/>
            <w:rFonts w:eastAsiaTheme="majorEastAsia"/>
            <w:color w:val="000000" w:themeColor="text1"/>
            <w:sz w:val="16"/>
            <w:szCs w:val="16"/>
          </w:rPr>
          <w:t>фото</w:t>
        </w:r>
      </w:hyperlink>
      <w:r w:rsidRPr="008127F8">
        <w:rPr>
          <w:color w:val="000000" w:themeColor="text1"/>
          <w:sz w:val="16"/>
          <w:szCs w:val="16"/>
        </w:rPr>
        <w:t>) с колесной формулой 6x6, поставка которых осуществлялась по ленд-лизу. Нормализованная установки М-13Н была принята на вооружение Красной Армии в 1943 году. Установка стала основным образцом, применявшемся до конца Великой Отечественной войны. Также применялись и другие типы доработанных шасси грузовых автомобилей иностранных марок (21476).</w:t>
      </w:r>
    </w:p>
    <w:p w14:paraId="14D208BE" w14:textId="77777777" w:rsidR="00991C86" w:rsidRPr="008127F8" w:rsidRDefault="00991C86" w:rsidP="001E0A84">
      <w:pPr>
        <w:pStyle w:val="af"/>
        <w:shd w:val="clear" w:color="auto" w:fill="FFFFFF"/>
        <w:spacing w:before="0" w:after="0"/>
        <w:jc w:val="both"/>
        <w:rPr>
          <w:color w:val="000000" w:themeColor="text1"/>
          <w:sz w:val="16"/>
          <w:szCs w:val="16"/>
        </w:rPr>
      </w:pPr>
    </w:p>
    <w:p w14:paraId="14077D74"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E6482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E7F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 в письме-рапорте, посвященном дню рождения В. Ле</w:t>
      </w:r>
      <w:r w:rsidRPr="008127F8">
        <w:rPr>
          <w:rFonts w:ascii="Times New Roman" w:hAnsi="Times New Roman"/>
          <w:color w:val="000000" w:themeColor="text1"/>
          <w:sz w:val="16"/>
          <w:szCs w:val="16"/>
        </w:rPr>
        <w:softHyphen/>
        <w:t>нина, сотрудники Опытно</w:t>
      </w:r>
      <w:r w:rsidRPr="008127F8">
        <w:rPr>
          <w:rFonts w:ascii="Times New Roman" w:hAnsi="Times New Roman"/>
          <w:color w:val="000000" w:themeColor="text1"/>
          <w:sz w:val="16"/>
          <w:szCs w:val="16"/>
        </w:rPr>
        <w:softHyphen/>
        <w:t xml:space="preserve">го танкового завода № 100 писали: «...коллектив завода и конструкторского бюро, воодушевленные победами Красной Армии над немецкими полчищами под Москвой... берут на себя обязательства дать Красной Армии новый танк наступления. Этот танк пройдет в первых рядах Родной Красной Армии, способствуя ее ПОБЕДЕ над немецко-фашистскими </w:t>
      </w:r>
      <w:proofErr w:type="gramStart"/>
      <w:r w:rsidRPr="008127F8">
        <w:rPr>
          <w:rFonts w:ascii="Times New Roman" w:hAnsi="Times New Roman"/>
          <w:color w:val="000000" w:themeColor="text1"/>
          <w:sz w:val="16"/>
          <w:szCs w:val="16"/>
        </w:rPr>
        <w:t>захват</w:t>
      </w:r>
      <w:r w:rsidRPr="008127F8">
        <w:rPr>
          <w:rFonts w:ascii="Times New Roman" w:hAnsi="Times New Roman"/>
          <w:color w:val="000000" w:themeColor="text1"/>
          <w:sz w:val="16"/>
          <w:szCs w:val="16"/>
        </w:rPr>
        <w:softHyphen/>
        <w:t>чиками. ..</w:t>
      </w:r>
      <w:proofErr w:type="gramEnd"/>
      <w:r w:rsidRPr="008127F8">
        <w:rPr>
          <w:rFonts w:ascii="Times New Roman" w:hAnsi="Times New Roman"/>
          <w:color w:val="000000" w:themeColor="text1"/>
          <w:sz w:val="16"/>
          <w:szCs w:val="16"/>
        </w:rPr>
        <w:t xml:space="preserve"> Коллектив завода и КБ единодушно решили дать но</w:t>
      </w:r>
      <w:r w:rsidRPr="008127F8">
        <w:rPr>
          <w:rFonts w:ascii="Times New Roman" w:hAnsi="Times New Roman"/>
          <w:color w:val="000000" w:themeColor="text1"/>
          <w:sz w:val="16"/>
          <w:szCs w:val="16"/>
        </w:rPr>
        <w:softHyphen/>
        <w:t>вому танку имя нашего Великого Вождя — товарища Сталина, организатора и вдохновителя наших побед над немецко-фашистскими захватчиками...»</w:t>
      </w:r>
    </w:p>
    <w:p w14:paraId="22BFA3E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Горлицкий так вспоминал об этом: «Вообще многие тогда боролись за получение себе названия ИС. Максарев с Мо</w:t>
      </w:r>
      <w:r w:rsidRPr="008127F8">
        <w:rPr>
          <w:rFonts w:ascii="Times New Roman" w:hAnsi="Times New Roman"/>
          <w:color w:val="000000" w:themeColor="text1"/>
          <w:sz w:val="16"/>
          <w:szCs w:val="16"/>
        </w:rPr>
        <w:softHyphen/>
        <w:t>розовым в 1941-м, Котин, но только когда наркомом стал Заль</w:t>
      </w:r>
      <w:r w:rsidRPr="008127F8">
        <w:rPr>
          <w:rFonts w:ascii="Times New Roman" w:hAnsi="Times New Roman"/>
          <w:color w:val="000000" w:themeColor="text1"/>
          <w:sz w:val="16"/>
          <w:szCs w:val="16"/>
        </w:rPr>
        <w:softHyphen/>
        <w:t>цман, это удалось... Зальцман был суеверным и считал, что на</w:t>
      </w:r>
      <w:r w:rsidRPr="008127F8">
        <w:rPr>
          <w:rFonts w:ascii="Times New Roman" w:hAnsi="Times New Roman"/>
          <w:color w:val="000000" w:themeColor="text1"/>
          <w:sz w:val="16"/>
          <w:szCs w:val="16"/>
        </w:rPr>
        <w:softHyphen/>
        <w:t>до убрать из названия «чертову дюжину» и дело пойдет на лад» (11135).</w:t>
      </w:r>
    </w:p>
    <w:p w14:paraId="2CFF8E1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FAD288" w14:textId="77777777" w:rsidR="001D5126" w:rsidRPr="008127F8" w:rsidRDefault="001D5126"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21 апреля 1942 года в донесении военпреда ГАБТУ КА на ЧКЗ начальнику бронетанкового управле</w:t>
      </w:r>
      <w:r w:rsidRPr="008127F8">
        <w:rPr>
          <w:rFonts w:ascii="Times New Roman" w:cs="Times New Roman"/>
          <w:color w:val="000000" w:themeColor="text1"/>
          <w:spacing w:val="0"/>
        </w:rPr>
        <w:softHyphen/>
        <w:t>ния генерал-майору Коробкову от говорилось следующее:</w:t>
      </w:r>
    </w:p>
    <w:p w14:paraId="4B6BA4DD" w14:textId="77777777" w:rsidR="001D5126" w:rsidRPr="008127F8" w:rsidRDefault="001D5126"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«Доношу, что Кировским заводом предъяв</w:t>
      </w:r>
      <w:r w:rsidRPr="008127F8">
        <w:rPr>
          <w:rFonts w:ascii="Times New Roman" w:cs="Times New Roman"/>
          <w:color w:val="000000" w:themeColor="text1"/>
          <w:spacing w:val="0"/>
        </w:rPr>
        <w:softHyphen/>
        <w:t xml:space="preserve">ляются для испытаний два танка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w:t>
      </w:r>
    </w:p>
    <w:p w14:paraId="7BA09CFB" w14:textId="77777777" w:rsidR="001D5126" w:rsidRPr="008127F8" w:rsidRDefault="001D5126"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Первый танк № 10279.</w:t>
      </w:r>
    </w:p>
    <w:p w14:paraId="5BB33C32" w14:textId="77777777" w:rsidR="001D5126" w:rsidRPr="008127F8" w:rsidRDefault="001D5126" w:rsidP="001E0A84">
      <w:pPr>
        <w:pStyle w:val="27"/>
        <w:shd w:val="clear" w:color="auto" w:fill="auto"/>
        <w:tabs>
          <w:tab w:val="left" w:pos="37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Двигатель В-2КФ № А-1401 мощностью 650 л.с. при 2100 оборотах в минуту.</w:t>
      </w:r>
    </w:p>
    <w:p w14:paraId="0619437A" w14:textId="77777777" w:rsidR="001D5126" w:rsidRPr="008127F8" w:rsidRDefault="001D5126" w:rsidP="001E0A84">
      <w:pPr>
        <w:pStyle w:val="27"/>
        <w:shd w:val="clear" w:color="auto" w:fill="auto"/>
        <w:tabs>
          <w:tab w:val="left" w:pos="37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2. Система охлаждения двигателя. Водяные радиаторы установлены спроектированные для танка КВ-3. Масляный радиатор - </w:t>
      </w:r>
      <w:proofErr w:type="gramStart"/>
      <w:r w:rsidRPr="008127F8">
        <w:rPr>
          <w:rFonts w:ascii="Times New Roman" w:cs="Times New Roman"/>
          <w:color w:val="000000" w:themeColor="text1"/>
          <w:spacing w:val="0"/>
        </w:rPr>
        <w:t>водо- масляный</w:t>
      </w:r>
      <w:proofErr w:type="gramEnd"/>
      <w:r w:rsidRPr="008127F8">
        <w:rPr>
          <w:rFonts w:ascii="Times New Roman" w:cs="Times New Roman"/>
          <w:color w:val="000000" w:themeColor="text1"/>
          <w:spacing w:val="0"/>
        </w:rPr>
        <w:t xml:space="preserve"> с самолета Р-зет.</w:t>
      </w:r>
    </w:p>
    <w:p w14:paraId="123E55B9" w14:textId="77777777" w:rsidR="001D5126" w:rsidRPr="008127F8" w:rsidRDefault="001D5126" w:rsidP="001E0A84">
      <w:pPr>
        <w:pStyle w:val="27"/>
        <w:shd w:val="clear" w:color="auto" w:fill="auto"/>
        <w:tabs>
          <w:tab w:val="left" w:pos="42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3. Коробка перемены передач — восьми- скоростная (с </w:t>
      </w:r>
      <w:proofErr w:type="gramStart"/>
      <w:r w:rsidRPr="008127F8">
        <w:rPr>
          <w:rFonts w:ascii="Times New Roman" w:cs="Times New Roman"/>
          <w:color w:val="000000" w:themeColor="text1"/>
          <w:spacing w:val="0"/>
        </w:rPr>
        <w:t>демультипликаторами)...</w:t>
      </w:r>
      <w:proofErr w:type="gramEnd"/>
    </w:p>
    <w:p w14:paraId="7C6B48B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Главный фрикцион четырехдисковый</w:t>
      </w:r>
    </w:p>
    <w:p w14:paraId="3AD24CC8" w14:textId="77777777" w:rsidR="001D5126" w:rsidRPr="008127F8" w:rsidRDefault="001D5126"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5. Вентилятор со штампованными лопо- стями...</w:t>
      </w:r>
    </w:p>
    <w:p w14:paraId="30D8717E" w14:textId="77777777" w:rsidR="001D5126" w:rsidRPr="008127F8" w:rsidRDefault="001D5126"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Второй танк № 10334.</w:t>
      </w:r>
    </w:p>
    <w:p w14:paraId="7A86CAA2" w14:textId="77777777" w:rsidR="001D5126" w:rsidRPr="008127F8" w:rsidRDefault="001D5126" w:rsidP="001E0A84">
      <w:pPr>
        <w:pStyle w:val="27"/>
        <w:shd w:val="clear" w:color="auto" w:fill="auto"/>
        <w:tabs>
          <w:tab w:val="left" w:pos="366"/>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Двигатель В-2КФ № 4</w:t>
      </w:r>
      <w:r w:rsidRPr="008127F8">
        <w:rPr>
          <w:rFonts w:ascii="Times New Roman" w:cs="Times New Roman"/>
          <w:color w:val="000000" w:themeColor="text1"/>
          <w:spacing w:val="0"/>
          <w:lang w:val="en-US"/>
        </w:rPr>
        <w:t>MJI</w:t>
      </w:r>
      <w:r w:rsidRPr="008127F8">
        <w:rPr>
          <w:rFonts w:ascii="Times New Roman" w:cs="Times New Roman"/>
          <w:color w:val="000000" w:themeColor="text1"/>
          <w:spacing w:val="0"/>
        </w:rPr>
        <w:t>-1669 мощно</w:t>
      </w:r>
      <w:r w:rsidRPr="008127F8">
        <w:rPr>
          <w:rFonts w:ascii="Times New Roman" w:cs="Times New Roman"/>
          <w:color w:val="000000" w:themeColor="text1"/>
          <w:spacing w:val="0"/>
        </w:rPr>
        <w:softHyphen/>
        <w:t>стью 650 л.с. при 2100 оборотах в минуту.</w:t>
      </w:r>
    </w:p>
    <w:p w14:paraId="20189D38" w14:textId="77777777" w:rsidR="001D5126" w:rsidRPr="008127F8" w:rsidRDefault="001D5126" w:rsidP="001E0A84">
      <w:pPr>
        <w:pStyle w:val="27"/>
        <w:shd w:val="clear" w:color="auto" w:fill="auto"/>
        <w:tabs>
          <w:tab w:val="left" w:pos="41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Система охлаждения двигателя. Водя</w:t>
      </w:r>
      <w:r w:rsidRPr="008127F8">
        <w:rPr>
          <w:rFonts w:ascii="Times New Roman" w:cs="Times New Roman"/>
          <w:color w:val="000000" w:themeColor="text1"/>
          <w:spacing w:val="0"/>
        </w:rPr>
        <w:softHyphen/>
        <w:t>ные радиаторы серийные, с дополнительны</w:t>
      </w:r>
      <w:r w:rsidRPr="008127F8">
        <w:rPr>
          <w:rFonts w:ascii="Times New Roman" w:cs="Times New Roman"/>
          <w:color w:val="000000" w:themeColor="text1"/>
          <w:spacing w:val="0"/>
        </w:rPr>
        <w:softHyphen/>
        <w:t>ми радиаторами. Серийный масляный ради</w:t>
      </w:r>
      <w:r w:rsidRPr="008127F8">
        <w:rPr>
          <w:rFonts w:ascii="Times New Roman" w:cs="Times New Roman"/>
          <w:color w:val="000000" w:themeColor="text1"/>
          <w:spacing w:val="0"/>
        </w:rPr>
        <w:softHyphen/>
        <w:t>атор с дополнительным радиатором. Засос воздуха с дефлекторами.</w:t>
      </w:r>
    </w:p>
    <w:p w14:paraId="6B542444" w14:textId="77777777" w:rsidR="001D5126" w:rsidRPr="008127F8" w:rsidRDefault="001D5126" w:rsidP="001E0A84">
      <w:pPr>
        <w:pStyle w:val="27"/>
        <w:shd w:val="clear" w:color="auto" w:fill="auto"/>
        <w:tabs>
          <w:tab w:val="left" w:pos="40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3. Коробка перемены передач - восьми- скоростная (с </w:t>
      </w:r>
      <w:proofErr w:type="gramStart"/>
      <w:r w:rsidRPr="008127F8">
        <w:rPr>
          <w:rFonts w:ascii="Times New Roman" w:cs="Times New Roman"/>
          <w:color w:val="000000" w:themeColor="text1"/>
          <w:spacing w:val="0"/>
        </w:rPr>
        <w:t>демультипликаторами)...</w:t>
      </w:r>
      <w:proofErr w:type="gramEnd"/>
      <w:r w:rsidRPr="008127F8">
        <w:rPr>
          <w:rFonts w:ascii="Times New Roman" w:cs="Times New Roman"/>
          <w:color w:val="000000" w:themeColor="text1"/>
          <w:spacing w:val="0"/>
        </w:rPr>
        <w:t>» (15226).</w:t>
      </w:r>
    </w:p>
    <w:p w14:paraId="16002404" w14:textId="77777777" w:rsidR="001D5126" w:rsidRPr="008127F8" w:rsidRDefault="001D5126" w:rsidP="001E0A84">
      <w:pPr>
        <w:pStyle w:val="27"/>
        <w:shd w:val="clear" w:color="auto" w:fill="auto"/>
        <w:tabs>
          <w:tab w:val="left" w:pos="405"/>
        </w:tabs>
        <w:spacing w:after="0" w:line="240" w:lineRule="auto"/>
        <w:ind w:firstLine="0"/>
        <w:rPr>
          <w:rFonts w:ascii="Times New Roman" w:cs="Times New Roman"/>
          <w:color w:val="000000" w:themeColor="text1"/>
          <w:spacing w:val="0"/>
        </w:rPr>
      </w:pPr>
    </w:p>
    <w:p w14:paraId="1E7262BB" w14:textId="77777777" w:rsidR="001D5126" w:rsidRPr="008127F8" w:rsidRDefault="001D5126"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года приказом по Горьковскому автозаводу устанавливался темп сборки танков Т-70 по 10 машин в сутки (15218).</w:t>
      </w:r>
    </w:p>
    <w:p w14:paraId="25425908" w14:textId="77777777" w:rsidR="001D5126" w:rsidRPr="008127F8" w:rsidRDefault="001D5126" w:rsidP="001E0A84">
      <w:pPr>
        <w:widowControl w:val="0"/>
        <w:spacing w:after="0" w:line="240" w:lineRule="auto"/>
        <w:jc w:val="both"/>
        <w:rPr>
          <w:rFonts w:ascii="Times New Roman" w:hAnsi="Times New Roman"/>
          <w:color w:val="000000" w:themeColor="text1"/>
          <w:sz w:val="16"/>
          <w:szCs w:val="16"/>
        </w:rPr>
      </w:pPr>
    </w:p>
    <w:p w14:paraId="7D5E4B1D" w14:textId="77777777" w:rsidR="00237F37" w:rsidRPr="008127F8" w:rsidRDefault="00237F3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21 апреля 1942 г.</w:t>
      </w:r>
    </w:p>
    <w:p w14:paraId="2574951E"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lastRenderedPageBreak/>
        <w:t>РГАЭ Фонд 8752 Опись 1 Дело 9 лист 61 – 62</w:t>
      </w:r>
    </w:p>
    <w:p w14:paraId="048963DD"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25C8BF1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2157E33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505/143-М</w:t>
      </w:r>
    </w:p>
    <w:p w14:paraId="43B3C915"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Сталинград. </w:t>
      </w:r>
    </w:p>
    <w:p w14:paraId="6336154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"21" апреля 1942 г.</w:t>
      </w:r>
    </w:p>
    <w:p w14:paraId="2CDA244C"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Одобрить инициативу работников Сталинградского Тракторного завода по изысканию заменителей стали Гатфильда для отливки траков для танков и арттягачей. </w:t>
      </w:r>
    </w:p>
    <w:p w14:paraId="47AF4E9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Учитывая, что сталь Гатфильда, применяющаяся сейчас для отливки траков, требует большое количество марганца, а для электропечей требуется дефицитный магнезитовый кирпич и порошок, – считать правильным предложение работников Сталинградского Тракторного завода о применении заменителей с малым содержанием марганца и более простых в изготовлении, в частности предложенная Сталинградским Тракторным заводом сталь типа 25-СГ. </w:t>
      </w:r>
    </w:p>
    <w:p w14:paraId="2B673F5D"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Обязать директора завода т. ЗАДОРОЖНОГО и главного инженера т. ДЕМЬЯНОВИЧА энергичнее продолжать работы по испытанию траков из стали типа 25-СГ, как на танках, так и на арттягачах, и освоение технологии по изготовлению этой стали. </w:t>
      </w:r>
    </w:p>
    <w:p w14:paraId="32F6AF5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Назначаю следующие премии за окончательное освоение литья траков из стали типа 25-СГ и внедрение этой стали в серийное производство: </w:t>
      </w:r>
    </w:p>
    <w:p w14:paraId="3CB0C32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1-я премия – 10 тысяч рублей, </w:t>
      </w:r>
    </w:p>
    <w:p w14:paraId="643B1A9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2-я премия – 5 тысяч рублей, </w:t>
      </w:r>
    </w:p>
    <w:p w14:paraId="4A76E20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3-я премия – 3 тысячи рублей. </w:t>
      </w:r>
    </w:p>
    <w:p w14:paraId="4DC9E69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Премии могут быть выданы: Главному Металлургу, начальнику Сталелитейного цеха, мастерам и конструкторам завода. </w:t>
      </w:r>
    </w:p>
    <w:p w14:paraId="55A0ADC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Кроме того, разрешаю директору завода израсходовать при положительных результатах в применении этой стали и полном освоении технологии, для премирования наиболее отличившихся инженерно-технических работников и рабочих завода – 50 тысяч рублей. </w:t>
      </w:r>
    </w:p>
    <w:p w14:paraId="1036E96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Окончательные выводы по применению стали типа 25-СГ для производства траков должны быть представлены мне в виде акта, составленного совместно с военпредом, по испытанию машин и танков пробегом, письменно зафиксированного техпроцесса варки стали, формовки и отливки траков, термической и механической обработки (если таковая потребуется). </w:t>
      </w:r>
    </w:p>
    <w:p w14:paraId="25A607C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Обязать главного Инженера завода т. ДЕМЬЯНОВИЧА и главного Конструктора завода т. ВЕРНЕРА к 1-му Мая с.г. обеспечить проведение испытания траков из стали типа 25-СГ е менее чем на 1500 километров и представить соответствующий протокол, составленный совместно с военной приемкой ГАБТУ, и сравнение их с траками из стали Гатфильда. </w:t>
      </w:r>
    </w:p>
    <w:p w14:paraId="6D84A5C5"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Весь материал по испытанию траков и технологии изготовления представить мне к 5 мая с.г. с нарочным. </w:t>
      </w:r>
    </w:p>
    <w:p w14:paraId="14D85FE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СССР</w:t>
      </w:r>
    </w:p>
    <w:p w14:paraId="4BE47CD5"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 МАЛЫШЕВ) (18940).</w:t>
      </w:r>
    </w:p>
    <w:p w14:paraId="1795D5A4" w14:textId="77777777" w:rsidR="00237F37" w:rsidRPr="008127F8" w:rsidRDefault="00237F37" w:rsidP="001E0A84">
      <w:pPr>
        <w:spacing w:after="0" w:line="240" w:lineRule="auto"/>
        <w:jc w:val="both"/>
        <w:rPr>
          <w:rFonts w:ascii="Times New Roman" w:hAnsi="Times New Roman"/>
          <w:color w:val="000000" w:themeColor="text1"/>
          <w:sz w:val="16"/>
          <w:szCs w:val="16"/>
        </w:rPr>
      </w:pPr>
    </w:p>
    <w:p w14:paraId="6A31BB62" w14:textId="77777777" w:rsidR="00237F37" w:rsidRPr="008127F8" w:rsidRDefault="00237F3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21 апреля 1942 г.</w:t>
      </w:r>
    </w:p>
    <w:p w14:paraId="10EE9165"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1 – 2</w:t>
      </w:r>
      <w:r w:rsidRPr="008127F8">
        <w:rPr>
          <w:rFonts w:ascii="Times New Roman" w:eastAsia="Times New Roman" w:hAnsi="Times New Roman"/>
          <w:color w:val="000000" w:themeColor="text1"/>
          <w:sz w:val="16"/>
          <w:szCs w:val="16"/>
          <w:lang w:eastAsia="ru-RU"/>
        </w:rPr>
        <w:t xml:space="preserve"> </w:t>
      </w:r>
    </w:p>
    <w:p w14:paraId="2B4C8DA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32E3483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5455315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НАРОДНОМУ КОМИССАРИАТУ ТАНКОВОЙ ПРОМЫШЛЕННОСТИ</w:t>
      </w:r>
    </w:p>
    <w:p w14:paraId="63523FD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351c</w:t>
      </w:r>
    </w:p>
    <w:p w14:paraId="6567797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"21" апреля 1942 г.</w:t>
      </w:r>
    </w:p>
    <w:p w14:paraId="4DAB8EB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Для обеспечения траками производство танковых заводов ПРИКАЗЫВАЮ: </w:t>
      </w:r>
    </w:p>
    <w:p w14:paraId="498EDD1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Директору СТЗ т. ЗАДОРОЖНОМУ: </w:t>
      </w:r>
    </w:p>
    <w:p w14:paraId="08C3C62C"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Обеспечить в мае и июне 1942 года выпуск траков в следующих количествах: </w:t>
      </w:r>
    </w:p>
    <w:p w14:paraId="5996362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По Т-34 не менее 560 комплектов </w:t>
      </w:r>
    </w:p>
    <w:p w14:paraId="72A8BB3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По Т-60 не менее 840 комплектов </w:t>
      </w:r>
    </w:p>
    <w:p w14:paraId="4E239555"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По СТЗ-5 не менее 616 комплектов. </w:t>
      </w:r>
    </w:p>
    <w:p w14:paraId="4624C20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Организовать подачу шихты в Сталефасонный цех для марганцевой стали в габаритном и рассортированном виде. </w:t>
      </w:r>
    </w:p>
    <w:p w14:paraId="0B358DAC"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Отгружать траки: </w:t>
      </w:r>
    </w:p>
    <w:p w14:paraId="2088B94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Т-34 заводу № 112 – по 150 комплектов в мае и июне </w:t>
      </w:r>
    </w:p>
    <w:p w14:paraId="3837CE2D"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Т-34 заводу № 174 – по 20 комплектов в мае и июне </w:t>
      </w:r>
    </w:p>
    <w:p w14:paraId="4FED6CD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Т-60 заводу № 37 – по 250 комплектов в мае и июне </w:t>
      </w:r>
    </w:p>
    <w:p w14:paraId="62753B6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Т-60 заводу № 38 – по 100 комплектов в мае и июне </w:t>
      </w:r>
    </w:p>
    <w:p w14:paraId="46760E88"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 Т-60 заводу № 264 – по 300 комплектов в мае и июне. </w:t>
      </w:r>
    </w:p>
    <w:p w14:paraId="3A183EE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За выполнение установленной программы установить премии: </w:t>
      </w:r>
    </w:p>
    <w:p w14:paraId="4F316F3E"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Главному металлургу завода в размере месячного оклада </w:t>
      </w:r>
    </w:p>
    <w:p w14:paraId="36858321"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Начальнику Сталефасонного цеха в размере месячного оклада </w:t>
      </w:r>
    </w:p>
    <w:p w14:paraId="3B04482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Начальнику производства стального литья в размере месячного оклада </w:t>
      </w:r>
    </w:p>
    <w:p w14:paraId="2E50DEB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Для премирования лучших старших, сменных мастеров, стахановцев и технологов линии марганцевой стали выделить в распоряжение начальника Сталефасонного цеха 50,000 рублей. </w:t>
      </w:r>
    </w:p>
    <w:p w14:paraId="6F7D684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ИТР и рабочих сталефасонного цеха, работающих на производстве марганцевистой и спецстали приравнять по питанию к работникам цеха топливной аппаратуры. </w:t>
      </w:r>
    </w:p>
    <w:p w14:paraId="3915418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Разрешить отливку шпор для арттягачей, танков и траков на с/х машины из углеродистой стали. </w:t>
      </w:r>
    </w:p>
    <w:p w14:paraId="7F80CA6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Начальнику Главснаба тов. РОЗИНУ обеспечить бесперебойное снабжение Сталефасонного цеха СТЗ: </w:t>
      </w:r>
    </w:p>
    <w:p w14:paraId="0AE21895"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Ферромарганцем в количестве 800 тонн в месяц </w:t>
      </w:r>
    </w:p>
    <w:p w14:paraId="1ED5B81D"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Электродов Ø250 мм – 100 тонн в месяц, Ø350 мм – 180 тонн в месяц </w:t>
      </w:r>
    </w:p>
    <w:p w14:paraId="0804FBE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Порошок магнезитовый – 400 тонн в месяц </w:t>
      </w:r>
    </w:p>
    <w:p w14:paraId="42410F8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Кирпич магнезитовый – 210 тонн </w:t>
      </w:r>
    </w:p>
    <w:p w14:paraId="54FCBD5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 Стопорного припаса – 3000 комплектов. </w:t>
      </w:r>
    </w:p>
    <w:p w14:paraId="7EF8F85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Моему заместителю тов. ПЕТРОСЯНЦУ обеспечить своевременную подачу материалов в Сталефасонный цех СТЗ для обеспечения производства траков в соответствии с заданной программой и отгрузку траков танковым заводам. </w:t>
      </w:r>
    </w:p>
    <w:p w14:paraId="305C08DC"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w:t>
      </w:r>
    </w:p>
    <w:p w14:paraId="55CC9F1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В.А. Малышева (18941).</w:t>
      </w:r>
    </w:p>
    <w:p w14:paraId="25FFED8E" w14:textId="77777777" w:rsidR="00237F37" w:rsidRPr="008127F8" w:rsidRDefault="00237F37" w:rsidP="001E0A84">
      <w:pPr>
        <w:spacing w:after="0" w:line="240" w:lineRule="auto"/>
        <w:jc w:val="both"/>
        <w:rPr>
          <w:rFonts w:ascii="Times New Roman" w:hAnsi="Times New Roman"/>
          <w:color w:val="000000" w:themeColor="text1"/>
          <w:sz w:val="16"/>
          <w:szCs w:val="16"/>
        </w:rPr>
      </w:pPr>
    </w:p>
    <w:p w14:paraId="66491CE7" w14:textId="77777777" w:rsidR="00237F37" w:rsidRPr="008127F8" w:rsidRDefault="00237F3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21 апреля 1942 г.</w:t>
      </w:r>
    </w:p>
    <w:p w14:paraId="1DE6AC3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18 – 20</w:t>
      </w:r>
      <w:r w:rsidRPr="008127F8">
        <w:rPr>
          <w:rFonts w:ascii="Times New Roman" w:eastAsia="Times New Roman" w:hAnsi="Times New Roman"/>
          <w:color w:val="000000" w:themeColor="text1"/>
          <w:sz w:val="16"/>
          <w:szCs w:val="16"/>
          <w:lang w:eastAsia="ru-RU"/>
        </w:rPr>
        <w:t xml:space="preserve"> </w:t>
      </w:r>
    </w:p>
    <w:p w14:paraId="3569EC8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3BA417D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2133654E"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4BC21EC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356c</w:t>
      </w:r>
    </w:p>
    <w:p w14:paraId="71239008"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Сталинград </w:t>
      </w:r>
    </w:p>
    <w:p w14:paraId="7C5977A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"21" апреля 1942 г.</w:t>
      </w:r>
    </w:p>
    <w:p w14:paraId="0F4FCEC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течение ряда месяцев Сталинградский Тракторный завод не выполняет план по дизелям и этим срывает выпуск танков, а недостаточный рост выпуска дизелей является основным препятствием для увеличения выпуска танков на заводе. Такое положение явилось результатом того, что дизельное производство на Сталинградском Тракторном заводе еще не получило полных прав гражданства и до сих пор находится на положении подсобного к танковому и тракторному производствам. Это видно из целого ряда фактов: </w:t>
      </w:r>
    </w:p>
    <w:p w14:paraId="03BCA068"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Недостаточное внимание аппарата Снабжения, в частности заместителя директора завода т. ТКАЧЕВА и начальника отдела Снабжения завода – т. ШТЕРНБЕРГ, к вопросам своевременного и полного снабжения дизельного производства металлом и другими материалами. </w:t>
      </w:r>
    </w:p>
    <w:p w14:paraId="76626FC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Дизельному производству представлено недостаточно удовлетворительное производственное помещение. На ряде участков дизельного производства не хватает </w:t>
      </w:r>
      <w:proofErr w:type="gramStart"/>
      <w:r w:rsidRPr="008127F8">
        <w:rPr>
          <w:rFonts w:ascii="Times New Roman" w:eastAsia="Times New Roman" w:hAnsi="Times New Roman"/>
          <w:color w:val="000000" w:themeColor="text1"/>
          <w:sz w:val="16"/>
          <w:szCs w:val="16"/>
          <w:lang w:eastAsia="ru-RU"/>
        </w:rPr>
        <w:t>станков</w:t>
      </w:r>
      <w:proofErr w:type="gramEnd"/>
      <w:r w:rsidRPr="008127F8">
        <w:rPr>
          <w:rFonts w:ascii="Times New Roman" w:eastAsia="Times New Roman" w:hAnsi="Times New Roman"/>
          <w:color w:val="000000" w:themeColor="text1"/>
          <w:sz w:val="16"/>
          <w:szCs w:val="16"/>
          <w:lang w:eastAsia="ru-RU"/>
        </w:rPr>
        <w:t xml:space="preserve"> и главный инженер завода т. ДЕМЬЯНОВИЧ не принимает мер, чтобы дать эти станки дизельному производству. </w:t>
      </w:r>
    </w:p>
    <w:p w14:paraId="3966EF6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Чугунолитейный цех завода, который может бесперебойно обеспечивать дизельное производство чугунным литьем, срывает выпуск дизелей плохой подачей чугунного литья, на что директор завода до сих пор не обращал должного внимания. </w:t>
      </w:r>
    </w:p>
    <w:p w14:paraId="3CFAE84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Главный инженер завода т. ДЕМЬЯНОВИЧ недостаточно уделяет внимания дизельному производству, по сравнению с другими видами производства. Все это привело к тому, что дизельное производство на Сталинградском Тракторном заводе не заняло подобающее ему положение, а сами дизелисты играют на заводе второстепенную роль, в то время как обстановка требует того, чтобы дизельное производство на всех танковых заводах, особенно на Сталинградском Тракторном заводе, было поставлено в ОСОБО благоприятные УСЛОВИЯ развития по сравнению с другими видами производства. </w:t>
      </w:r>
    </w:p>
    <w:p w14:paraId="00ACFB68"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Эти условия должны выражаться, прежде всего: </w:t>
      </w:r>
    </w:p>
    <w:p w14:paraId="0735669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В преимущественном и первоочередном материально-техническом снабжении; </w:t>
      </w:r>
    </w:p>
    <w:p w14:paraId="26ACEC2C"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В преимущественном и первоочередном обеспечении дизельного производства заготовками; </w:t>
      </w:r>
    </w:p>
    <w:p w14:paraId="52ED200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В преимущественном и первоочередном обеспечении дизельного производства рабочими кадрами, помещениями, станками, оборудованием, строительством и т.п. </w:t>
      </w:r>
    </w:p>
    <w:p w14:paraId="6DF1712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УЧИТЫВАЯ ВСЕ ЭТО, ПРИКАЗЫВАЮ: </w:t>
      </w:r>
    </w:p>
    <w:p w14:paraId="628FFDAD"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Обязать директора завода т. ЗАДОРОЖНОГО и главного инженера завода т. ДЕМЬЯНОВИЧА: </w:t>
      </w:r>
    </w:p>
    <w:p w14:paraId="4903BB6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В кратчайший срок создать на заводе такую обстановку, которая бы обеспечивала условия для всемерного развития дизельного производства на заводе. </w:t>
      </w:r>
    </w:p>
    <w:p w14:paraId="2F383070"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Взять дизельное производство под особое наблюдение, в особенности, в части материального снабжения заготовками, оборудованием, кадрами и т.д. и обеспечить преимущественное и первоочередное снабжение и обеспечение дизельного производства перед всеми другими видами производства на заводе. </w:t>
      </w:r>
    </w:p>
    <w:p w14:paraId="19A6F502"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Учесть всем руководящим работникам Сталинградского Тракторного завода, что обеспечение роста дизельного производства является основным и решающим условием дальнейшего успеха работы завода. </w:t>
      </w:r>
    </w:p>
    <w:p w14:paraId="351209AC"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Запретить загружать цеха дизельного производства несвойственными ему заказами и, в случаях крайней необходимости, выполнять отдельные работы только с личного разрешения директора завода. </w:t>
      </w:r>
    </w:p>
    <w:p w14:paraId="1009CAF4"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Обязать директора СТЗ т. ЗАДОРОЖНОГО в 3-х дневный срок издать по заводу приказ с конкретными мероприятиями, обеспечивающими выполнение Майской программы по дизелям и достижение мощности дизельного производства на выпуск 15 дизелей в сутки, в частности, предусмотреть в этом приказе мероприятия по обеспечению поставки заготовительным цехам заготовок в Мае не менее 15 комплектов в сутки и в Июне не менее 17 комплектов в сутки. </w:t>
      </w:r>
    </w:p>
    <w:p w14:paraId="62BBA058"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Выделить в отделе Снабжения завода специальных людей, занимающихся снабжением дизельного производства. Возложить ответственность за снабжение дизельного производства на тов. МИТИНА с освобождением его от всех других работ. Назначить т. МИТИНА заместителем начальника Отдела Снабжения. </w:t>
      </w:r>
    </w:p>
    <w:p w14:paraId="5303488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Тов. ТКАЧЕВУ – подобрать тов. МИТИНУ группу работников в количестве 5 – 6 человек, которые должны заниматься обеспечением материальным снабжением дизельного производства. Тов. ШТЕРНБЕРГ учесть, что выделение специальных работников по снабжению дизельного производства не снимает с него ответственности за бесперебойное снабжение материалами дизельного производства. </w:t>
      </w:r>
    </w:p>
    <w:p w14:paraId="400246D9"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Обязать директора завода № 264 – т. КОРДУНЕР выдать СТЗ для дизельного производства 50 металлорежущих станков, в том числе: токарных, круглошлифовальных, внутришлифовальных, револьверных, из числа используемых и недоиспользуемых на танковом производстве. Количество и типаж станков определить совместно т.т. КОРДУНЕР, ДЕМЬЯНОВИЧ и ПОДДУБНОМУ к 25/IV-42 года. </w:t>
      </w:r>
    </w:p>
    <w:p w14:paraId="3264CA9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Обязать начальника Главснаба – т. РОЗИНА выделить целевым назначением для дизельного производства Сталинградскому Тракторному заводу в Апреле, Мае и Июне месяцах: абразивов и инструмент из импортных поступлений алмазов и алмазных карандашей. Предложения о количествах и сроках поставки представить мне к 25/IV-42 года. </w:t>
      </w:r>
    </w:p>
    <w:p w14:paraId="5FBC37C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Тов. РОЗИНУ впредь выделять фонды на материальное снабжение для дизельного производства Сталинградскому Тракторному заводу – отдельной строкой по заводу, а директору завода тов. ЗАДОРОЖНОМУ запретить расходовать фонды, выделенные для дизельного производства на </w:t>
      </w:r>
      <w:proofErr w:type="gramStart"/>
      <w:r w:rsidRPr="008127F8">
        <w:rPr>
          <w:rFonts w:ascii="Times New Roman" w:eastAsia="Times New Roman" w:hAnsi="Times New Roman"/>
          <w:color w:val="000000" w:themeColor="text1"/>
          <w:sz w:val="16"/>
          <w:szCs w:val="16"/>
          <w:lang w:eastAsia="ru-RU"/>
        </w:rPr>
        <w:t>какие либо</w:t>
      </w:r>
      <w:proofErr w:type="gramEnd"/>
      <w:r w:rsidRPr="008127F8">
        <w:rPr>
          <w:rFonts w:ascii="Times New Roman" w:eastAsia="Times New Roman" w:hAnsi="Times New Roman"/>
          <w:color w:val="000000" w:themeColor="text1"/>
          <w:sz w:val="16"/>
          <w:szCs w:val="16"/>
          <w:lang w:eastAsia="ru-RU"/>
        </w:rPr>
        <w:t xml:space="preserve"> другие нужды, кроме дизельного производства. </w:t>
      </w:r>
    </w:p>
    <w:p w14:paraId="52B4A6FB"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Придавая исключительное значение увеличению гарантийных сроков службы дизеля – установить следующие премии конструкторам, технологам и производственникам за увеличение гарантийных сроков службы дизеля В-2-34: </w:t>
      </w:r>
    </w:p>
    <w:p w14:paraId="7776D547"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До 350 часов: </w:t>
      </w:r>
    </w:p>
    <w:p w14:paraId="24E10CC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1-я премия – 10 т. руб.; 2-я премия – 5 т. руб.; 3-я премия – 3 т. руб. </w:t>
      </w:r>
    </w:p>
    <w:p w14:paraId="68B46EEE"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До 300 часов: </w:t>
      </w:r>
    </w:p>
    <w:p w14:paraId="6D10A09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1-я премия – 8 т. руб.; 2-я премия – 3 т. руб.; 3-я премия – 2 т. руб. </w:t>
      </w:r>
    </w:p>
    <w:p w14:paraId="31ED8B8F"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До 250 часов: </w:t>
      </w:r>
    </w:p>
    <w:p w14:paraId="010FCA8A"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1-я премия – 5 т. руб.; 2-я премия – 2 т. руб.; 3-я премия – 1 т. руб. </w:t>
      </w:r>
    </w:p>
    <w:p w14:paraId="55D9BE9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Результаты работы по увеличению гарантийного срока представить в Наркомат к 1/VIII-42 года. </w:t>
      </w:r>
    </w:p>
    <w:p w14:paraId="1D717203"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242FA326" w14:textId="77777777" w:rsidR="00237F37" w:rsidRPr="008127F8" w:rsidRDefault="00237F3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 МАЛЫШЕВ)</w:t>
      </w:r>
    </w:p>
    <w:p w14:paraId="5292BC46" w14:textId="77777777" w:rsidR="00237F37" w:rsidRPr="008127F8" w:rsidRDefault="00237F3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м.б. 3426 (18942).</w:t>
      </w:r>
    </w:p>
    <w:p w14:paraId="624DB09B" w14:textId="77777777" w:rsidR="00237F37" w:rsidRPr="008127F8" w:rsidRDefault="00237F37" w:rsidP="001E0A84">
      <w:pPr>
        <w:spacing w:after="0" w:line="240" w:lineRule="auto"/>
        <w:jc w:val="both"/>
        <w:rPr>
          <w:rFonts w:ascii="Times New Roman" w:hAnsi="Times New Roman"/>
          <w:color w:val="000000" w:themeColor="text1"/>
          <w:sz w:val="16"/>
          <w:szCs w:val="16"/>
        </w:rPr>
      </w:pPr>
    </w:p>
    <w:p w14:paraId="597D08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апрель 1942 г. была подготовлена ДОКЛАДНАЯ ЗАПИСКА ЗАМЕСТИТЕЛЯ НАЧАЛЬНИКА ГАБТУ В ИНЖЕНЕРНЫЙ ОТДЕЛ НКВТ О НЕЦЕЛЕСООБРАЗНОСТИ ЗАКУПКИ ТАНКА «РАМ-2»</w:t>
      </w:r>
    </w:p>
    <w:p w14:paraId="2CC44F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 необходимо иметь, возможно, меньше разных марок машин, в силу чего закупка в Америке новых танков «РАМ-2» с 2 дизель-моторами нецелесообразна.</w:t>
      </w:r>
    </w:p>
    <w:p w14:paraId="022E180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ГАБТУ КА генерал-майор технических войск Лебедев</w:t>
      </w:r>
    </w:p>
    <w:p w14:paraId="3D5D1CB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38234D3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647. Л. 58. Копия (11211).</w:t>
      </w:r>
    </w:p>
    <w:p w14:paraId="3D56BC7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46CE4" w14:textId="77777777" w:rsidR="00ED1360" w:rsidRPr="008A2E5A" w:rsidRDefault="00ED1360" w:rsidP="00ED13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апреля 1942 с КПП "группа 12–21" Шашмурина вышел на испытания, пройдя 99 километров. Поначалу КПП "группа 21–212" показала себя не очень хорошо, но далее выбрали именно конструкцию Шашмурина. Вместе с тем, к началу июня 1942 года стало очевидно, что такой "скоростной" танк не получится. Естественно, шли работы по улучшенной системе охлаждения, также работали по новым воздухоочистителям. Но ключевая проблема оставалась - чрезмерная боевая масса. Так что постановление ГКО №1878 от 5 июня 1942 года стало логичным решением проблемы. Без облегчения машины решить проблему надежности и теплового режима было невозможно (23351).</w:t>
      </w:r>
    </w:p>
    <w:p w14:paraId="04720EC5" w14:textId="77777777" w:rsidR="00ED1360" w:rsidRPr="008A2E5A" w:rsidRDefault="00ED1360" w:rsidP="00ED1360">
      <w:pPr>
        <w:spacing w:after="0" w:line="240" w:lineRule="auto"/>
        <w:jc w:val="both"/>
        <w:rPr>
          <w:rFonts w:ascii="Times New Roman" w:hAnsi="Times New Roman"/>
          <w:color w:val="0070C0"/>
          <w:sz w:val="16"/>
          <w:szCs w:val="16"/>
        </w:rPr>
      </w:pPr>
    </w:p>
    <w:p w14:paraId="438991A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года вышел приказ № 195с НКВ</w:t>
      </w:r>
    </w:p>
    <w:p w14:paraId="0FA66F4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Перевести КБ № 180 с завода № 614 на завод № 460 в Подольске, присвоив ему наименование “Специальное КБ при заводе № 460” (гл. конструктор Симонов С.Г.) (6318, 8).</w:t>
      </w:r>
    </w:p>
    <w:p w14:paraId="7F07603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3E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вышло Постановление ГКО № 1622 О переброске эвакуированного оборудования с завода № 13 НКВ г.Усть-Катав. на завод № 592 г.Мытищи.РГАНИР, Фонд ГКО, д. 31, лл. 79, 80-81 (11012).</w:t>
      </w:r>
    </w:p>
    <w:p w14:paraId="064882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B8AE5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вышло Постановление ГКО № 1623 Об обеспечении железных дорог бандажами в 1942 году. (7004, 82).</w:t>
      </w:r>
    </w:p>
    <w:p w14:paraId="1605B73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3ABB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вышло Постановление ГКО № 1624 Об обеспечении восстановительных, путевых и строительных работ на желдортранспорте рельсами и скреплениями. (7004, 83,84-90).</w:t>
      </w:r>
    </w:p>
    <w:p w14:paraId="48EFCF1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E995E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вышло Постановление ГКО № 1625 Об обеспечении железных дорог углем. (7004, 91).</w:t>
      </w:r>
    </w:p>
    <w:p w14:paraId="462991B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90E6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вышло Постановление ГКО № 1626 О развитии огородничества и животноводства на железных дорогах. (7004, 92-93).</w:t>
      </w:r>
    </w:p>
    <w:p w14:paraId="133A39D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CAD9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Адмиралтейцы закончили ремонт 26 торпедных катеров (10671).</w:t>
      </w:r>
    </w:p>
    <w:p w14:paraId="6FFAAA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252B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D0BD4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E512B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в 1942 году утреннее сообщение Совинформбюро:</w:t>
      </w:r>
    </w:p>
    <w:p w14:paraId="140CB26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21 апреля на фронте чего-либо существенного не произошло.</w:t>
      </w:r>
    </w:p>
    <w:p w14:paraId="46240549"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Наша гвардейская часть (Калининский фронт) за день боёв с противником уничтожила 2 немецких танка, 6 пулемётных точек, орудие, 8 блиндажей и 2 миномётные батареи. Немцы отступили, оставив в окопах и блиндажах 130 трупов. Наша часть, действующая на одном из участков Западного фронта, за два дня боевых действий уничтожила до 400 немецких солдат и офицере и захватила 11 орудий, 59 пулемётов, 270 винтовок и большое количество патронов. Взяты пленные.</w:t>
      </w:r>
    </w:p>
    <w:p w14:paraId="6EEB9763"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танков прорвала сильно укреплённую линию противника у деревни Д. Танкисты уничтожили 12 противотанковых орудий, 11 пулемётных гнёзд, 9 блиндажей с вражеской пехотой. В бою немцы потеряли свыше 250 солдат и офицеров. Отлично дрался с врагом танковый экипаж младшего лейтенанта Радюка, в составе механика-водителя Елизарова и сержанта Попова. Огнём и гусеницами танк уничтожил 2 ДЗОТа, 4 пулемётных гнезда и раздавил 4 противотанковых орудия.</w:t>
      </w:r>
    </w:p>
    <w:p w14:paraId="5F1B90F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сапёр во главе со старшими лейтенантами Дзюбело и Овчаровым (Северо-Западный фронт) заметила отряд немецких автоматчиков, пытавшихся пробраться в тыл наших частей. Командиры приняли решение атаковать врага. Внезапный удар привёл гитлеровцев в замешательство. Опомнившись, немцы бросились было в контратаку, но метким огнём красноармейцев были отброшены, потеряв 120 солдат и офицеров.</w:t>
      </w:r>
    </w:p>
    <w:p w14:paraId="3F9487FA"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10 роты 435 полка 215 немецкой пехотной дивизии Ульрих Грубер рассказал: «В декабре прошлого года нашу дивизию перебросили из Франции на русский фронт. В 10 роте тогда было 170— 180 человек. Теперь из них осталось в живых только 13 человек. В частях появилось много пожилых солдат — участников войны 1914—1918 г.г. Изменились настроения солдата, изменился даже его внешний вид. Солдаты не скрывают, что они по горло сыты войной. Ефрейтор из запаса Штромассер как-то говорил мне: «Скорее бы уже кончалась эта бойня». Этого хочет и большинство солдат. В Германии растёт недовольство войной. В письмах из тыла все жалуются на неимоверные лишения».</w:t>
      </w:r>
    </w:p>
    <w:p w14:paraId="40316985"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территории Польши, около города Бяла Подляска, восстал маршевый немецкий батальон, направлявшийся на советско-германский фронт. Для расправы с восставшими солдатами были вызваны специальные отряды эсэсовцев.</w:t>
      </w:r>
    </w:p>
    <w:p w14:paraId="42A9FC24"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Растущее возмущение рабочих в Германии, вызванное голодом и рабскими условиями труда, приводит в бешенство гитлеровскую шайку. Руководитель так называемого «трудового фронта» Лей выступил на собрании предпринимателей с заявлением: «Недопустимо, чтобы руководители предприятий из трусости соглашались на требования рабочих и служащих, во избежание неприятностей. Всякое попечение о рабочих и служащих со стороны предприятия будет пресечено радикальным образом, а если нужно — жестокими мерами».</w:t>
      </w:r>
    </w:p>
    <w:p w14:paraId="0E3ACF57"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известно, фашисты создали на германских предприятиях режим бесправия и каторги. Но и этого теперь гитлеровцам оказалось мало. Они хотят выжать из рабочих и служащих последние силы, чтобы восполнить огромные потери на фронте. Панические вопли главарей гитлеровской шайки как нельзя лучше свидетельствуют о непрочности немецкого тыла.</w:t>
      </w:r>
    </w:p>
    <w:p w14:paraId="0131036B"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Ленинградские партизаны, действующие в тылу у немцев, с большой радостью узнали о выпуске Государственного Военного Займа 1942 года. Партизаны многих отрядов единодушно провели подписку на новый заём.» (15106).</w:t>
      </w:r>
    </w:p>
    <w:p w14:paraId="505CC5EF"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12224628"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в 1942 году вечернее сообщение Совинформбюро:</w:t>
      </w:r>
    </w:p>
    <w:p w14:paraId="47EA33CA"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апреля на фронте чего-либо существенного не произошло.</w:t>
      </w:r>
    </w:p>
    <w:p w14:paraId="7ED19C4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апреля уничтожен 31 немецкий самолёт. Наши потери — 11 самолётов.</w:t>
      </w:r>
    </w:p>
    <w:p w14:paraId="4A645B94"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апреля частями нашей авиации уничтожено или повреждено 4 немецких бронемашины, 70 автомашин с войсками и грузами, 26 полевых и зенитных орудий, 15 миномётов, взорван склад с боеприпасами, рассеяно и частью уничтожено до 3 рот пехоты противника.</w:t>
      </w:r>
    </w:p>
    <w:p w14:paraId="071A2140"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боевых действий на отдельных участках Калининского фронта за день уничтожено до 1.000 немецких солдат и офицеров, 9 вражеских танков, 7 орудий, 40 пулемётных точек, 4 ДЗОТа, миномётная батарея, 10 блиндажей с пехотой противника и взорвано 3 склада с боеприпасами. Захвачены трофеи.</w:t>
      </w:r>
    </w:p>
    <w:p w14:paraId="107A379F"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в тылу немецких войск (Западный фронт), атаковала гарнизон гитлеровцев в одном из населённых пунктов. После упорного боя, в котором противник потерял убитыми свыше 300 и ранеными до 600 солдат и офицеров, немцы отступили. Наши бойцы захватили у противника 6 пулемётов, много винтовок и автоматов, 4 радиостанции, 3 склада с продовольствием и фуражом, 129 лошадей, 400 повозок и другое военное имущество. Взяты пленные.</w:t>
      </w:r>
    </w:p>
    <w:p w14:paraId="3BB4780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Гвардейцы т.т. Сафаев, Булатов, Солощев, Пономарёв И. Ф., Демидов и Пономарёв И. М. ружейно-пулемётным огнём сбили 2 бомбардировщика противника.</w:t>
      </w:r>
    </w:p>
    <w:p w14:paraId="156E416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отделения Агмуралиев проник в тыл противника и укрылся около дороги. Вскоре на дороге показалось 6 подвод. Подпустив немцев поближе, т. Агмуралиев в упор расстрелял 6 солдат. Ночью отважному командиру удалось доставить в расположение нашей части все 6 подвод с полевой почтой, деньгами и документами.</w:t>
      </w:r>
    </w:p>
    <w:p w14:paraId="41D096A3"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капитан, командир 10 роты 1 полка 2 румынской дивизии Раду Mapциян рассказал: «Румынские войска понесли огромные потери. Наш полк за непродолжительный срок лишился тысячи солдат. Румынские солдаты и офицеры говорят, что если уж воевать, то мы должны воевать с Венгрией и вернуть отобранную венграми часть Трансильвании. В Кировограде и Ново-Украинке происходили кровавые стычки между румынскими и венгерскими частями.</w:t>
      </w:r>
    </w:p>
    <w:p w14:paraId="7A2FD336"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Румынии нарастает возмущение против немцев. Немецкие войска пришли как непрошенные гости и превратили Румынию в дойную корову. Они издеваются над румынами и считают их представителями низшей расы. Немцы вывезли в Германию огромное количество хлеба, мяса и нефти, а население Румынии голодает. Румынская пословица говорит,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когда нож достигает кости, уже больше невозможно терпеть. Исстрадавшийся румынский народ приближается к такому состоянию, и он не потерпит правительства Антонеску, которое затеяло эту войну».</w:t>
      </w:r>
    </w:p>
    <w:p w14:paraId="17C6C35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Норвегии скрываются немецкие coлдаты, дезертировавшие из гитлеровской армии. Недавно дезертиры совершили налёт на крупный продовольственный склад, организованный немцами недалеко от Нарвика. Охрана склада из 12 солдат и унтер-офицеров не оказала сопротивления. Немецкие власти в Норвегии обещают населению крупные денежные суммы за указание местонахождения дезертиров. Однако никто из норвежцев не выдаёт солдат, дезертировавших из гитлеровской армии.</w:t>
      </w:r>
    </w:p>
    <w:p w14:paraId="3F3FC847"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 Энского завода на Урале инженер Ханш изготовил оригинальное приспособление, позволяющее непрерывно фрезеровать детали. Благодаря этому приспособлению даже ученик фрезеровщика стал обрабатывать за смену 600 деталей вместо 26. Изобретение конструктора можно использовать для обработки деталей 41 наименования. Производительность труда при обработке этих деталей повышается на 800 -2.000 процентов.» (15106).</w:t>
      </w:r>
    </w:p>
    <w:p w14:paraId="0CF31B12"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65623B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вышло Постановление ГКО № 1627 О сформировании 20 полков УСВ. РГК.РГАНИР, Фонд ГКО, д. 31, лл. 94 (11012).</w:t>
      </w:r>
    </w:p>
    <w:p w14:paraId="049B60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F14DA" w14:textId="137D89CF" w:rsidR="00991C86" w:rsidRPr="008127F8" w:rsidRDefault="00991C8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За рубежом:</w:t>
      </w:r>
    </w:p>
    <w:p w14:paraId="49094188" w14:textId="77777777" w:rsidR="00991C86" w:rsidRPr="008127F8" w:rsidRDefault="00991C86"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21C7608" w14:textId="77777777" w:rsidR="00991C86" w:rsidRPr="008127F8" w:rsidRDefault="00991C8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1942 лейтенант-командир Эдвард Х. «Бутч» О'Хара становится первым летчиком ВМС США, получившим Почетную медаль (20793).</w:t>
      </w:r>
    </w:p>
    <w:p w14:paraId="28E8F4B6" w14:textId="77777777" w:rsidR="00991C86" w:rsidRPr="008127F8" w:rsidRDefault="00991C86" w:rsidP="001E0A84">
      <w:pPr>
        <w:spacing w:after="0" w:line="240" w:lineRule="auto"/>
        <w:jc w:val="both"/>
        <w:rPr>
          <w:rFonts w:ascii="Times New Roman" w:hAnsi="Times New Roman"/>
          <w:color w:val="000000" w:themeColor="text1"/>
          <w:sz w:val="16"/>
          <w:szCs w:val="16"/>
        </w:rPr>
      </w:pPr>
    </w:p>
    <w:p w14:paraId="57D15B2C" w14:textId="1ABFBED9"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5A396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1EA2C" w14:textId="77777777"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года Ильюшин делает очередную попытку реанимировать проект тяжелого штурмовика. Он обратился к заместителю наркома авиапромышленности Яковлеву и главному инженеру ВВС КА генерал-лейтенанту Петрову с просьбой согласовать окончательные данные стоящего в плане опытного строительства Ил-6.</w:t>
      </w:r>
    </w:p>
    <w:p w14:paraId="58E17F49" w14:textId="77777777"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Планом опытного строительства на 1942 год предусматривалась постройка тяжелого одноместного двухмоторного бронированного штурмовика Ил-6 2М-82.</w:t>
      </w:r>
    </w:p>
    <w:p w14:paraId="5DDD0389" w14:textId="2A18B422"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заданию, максимальная скорость Ил-6 2М-82 у земли должна была составлять 510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посадочная скорость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120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скоростная дальность полета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700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 время подъема на высоту 5000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8,5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мин. Бронировались: кабина летчика, частично моторы, бензобаки, радиаторы. Вооружение состояло из одной пушки калибра 37</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(40 патронов), двух пушек калибра 23</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(200 патронов), четырех пулеметов ШКАС (3000 патронов), 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 нормальной нагрузки (1000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в перегрузку) и 8 ракетных орудий РО-132. Кроме того, предполагалась подвеска четырех УХАП-200 для применения химического оружия.</w:t>
      </w:r>
    </w:p>
    <w:p w14:paraId="02DD8DD1" w14:textId="2F1C5B01"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Однако в условиях, когда авиационная промышленность после проведенной эвакуации еще только разворачивала выпуск серийных образцов вооружения на новых площадках, строить самолет было негде. Своей производственной базы у Ильюшина в то время не было, а разместить на серийных заводах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w:t>
      </w:r>
      <w:proofErr w:type="gramEnd"/>
      <w:r w:rsidRPr="008127F8">
        <w:rPr>
          <w:rFonts w:ascii="Times New Roman" w:hAnsi="Times New Roman"/>
          <w:color w:val="000000" w:themeColor="text1"/>
          <w:sz w:val="16"/>
          <w:szCs w:val="16"/>
        </w:rPr>
        <w:t>, 18 и 381, выпускавших штурмовики Ил-2, заказ на изготовление Ил-6 возможности не представлялось. Заводы с трудом справлялись с плановыми заданиями по сдаче ВВС боевых самолетов. К тому же с учетом реалий войны приоритеты НКАП и отношение к опытным работам, особенно по сложным для производства машинам, изменились кардинально. Приветствовались только работы по модернизации уже существующих серийных образцов боевых самолетов, направленные на повышение их летно-боевых качеств. Как следствие, выпуск даже небольшой серии Ил-6 в 1942 году был маловероятен.</w:t>
      </w:r>
    </w:p>
    <w:p w14:paraId="089645C0" w14:textId="29B3E3F1"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вариант вооружения самолета предусматривал установку двух пушек ВЯ (400 снарядов), 8 пулеметов ШКАС (6000 патронов), 8 РОФС-132 (или РС-82) и бомбовую нагрузку до 1000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При этом бомбовое вооружение обеспечивало подвеску двух бомб типа ФАБ-500 или четырех ФАБ-250.</w:t>
      </w:r>
    </w:p>
    <w:p w14:paraId="07FE7A6C" w14:textId="77777777"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дополнительных вариантов предлагались еще четыре состава вооружения. Один из них (второй вариант) включал две пушки ВЯ (400 снарядов) и 16 (!) РО-132 для применения ракетных снарядов М-13. Третий вариант предусматривал две пушки ВЯ (400 снарядов), подвеску четырех ФАБ-100 (или 16 АО-25) и 20 ракетных орудий РОТ-82 (РО-82 тандем) с подвеской 40 (!) РС-82 в тандем.</w:t>
      </w:r>
    </w:p>
    <w:p w14:paraId="48AB3706" w14:textId="33E0951E"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расчетам, максимальная скорость полета у земли должна была составить 440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время подъема на высоту 5000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мин, дальность полета на скорости 0,8 от максимальной</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700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 практический потолок</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7000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p>
    <w:p w14:paraId="6B6ABBCB" w14:textId="4871695A"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счет увеличения количества ракетных снарядов (главным образом осколочно-фугасного и бронебойного действия типа М-13, РОФС-132, РБС-132 и РБС-82) и бомбовой нагрузки (в том числе и крупных калибров 250–500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кг) Ил-6 становился более универсальным. Самолет мог одинаково эффективно работать по широкой </w:t>
      </w:r>
      <w:r w:rsidRPr="008127F8">
        <w:rPr>
          <w:rFonts w:ascii="Times New Roman" w:hAnsi="Times New Roman"/>
          <w:color w:val="000000" w:themeColor="text1"/>
          <w:sz w:val="16"/>
          <w:szCs w:val="16"/>
        </w:rPr>
        <w:lastRenderedPageBreak/>
        <w:t>номенклатуре целей (танки, мотопехота, артиллерия, авто- и ж.-д. транспорт, станции, самолеты на аэродромах и т.</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д.). Но </w:t>
      </w:r>
      <w:proofErr w:type="gramStart"/>
      <w:r w:rsidRPr="008127F8">
        <w:rPr>
          <w:rFonts w:ascii="Times New Roman" w:hAnsi="Times New Roman"/>
          <w:color w:val="000000" w:themeColor="text1"/>
          <w:sz w:val="16"/>
          <w:szCs w:val="16"/>
        </w:rPr>
        <w:t>главное</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это танки, причем танки всех типов. Однако, несмотря на заинтересованность ВВС в таком штурмовике, этот вариант Ил-6 не строился.</w:t>
      </w:r>
    </w:p>
    <w:p w14:paraId="78B35327" w14:textId="77777777"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следует из документов, работы по проектированию и подготовке постройки Ил-6 продолжались до 16 сентября 1942 года, когда были прекращены в связи с переходом в плане опытного строительства «от двухмоторного к одномоторному самолету с мотором АМ-42» (17490).</w:t>
      </w:r>
    </w:p>
    <w:p w14:paraId="1289FB7A" w14:textId="77777777" w:rsidR="00AF0B7C" w:rsidRPr="008127F8" w:rsidRDefault="00AF0B7C" w:rsidP="001E0A84">
      <w:pPr>
        <w:spacing w:after="0" w:line="240" w:lineRule="auto"/>
        <w:jc w:val="both"/>
        <w:rPr>
          <w:rFonts w:ascii="Times New Roman" w:hAnsi="Times New Roman"/>
          <w:color w:val="000000" w:themeColor="text1"/>
          <w:sz w:val="16"/>
          <w:szCs w:val="16"/>
        </w:rPr>
      </w:pPr>
    </w:p>
    <w:p w14:paraId="528137FC" w14:textId="77777777" w:rsidR="00AF0B7C" w:rsidRPr="008127F8" w:rsidRDefault="00AF0B7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22 апреля 1942 г. Ильюшин напра</w:t>
      </w:r>
      <w:r w:rsidRPr="008127F8">
        <w:rPr>
          <w:color w:val="000000" w:themeColor="text1"/>
          <w:sz w:val="16"/>
          <w:szCs w:val="16"/>
        </w:rPr>
        <w:softHyphen/>
        <w:t>вил наркому авиапромышленности Шахурину пере</w:t>
      </w:r>
      <w:r w:rsidRPr="008127F8">
        <w:rPr>
          <w:color w:val="000000" w:themeColor="text1"/>
          <w:sz w:val="16"/>
          <w:szCs w:val="16"/>
        </w:rPr>
        <w:softHyphen/>
        <w:t>работанный эскизный проект самолета Ил-6 2М-82.</w:t>
      </w:r>
    </w:p>
    <w:p w14:paraId="424D8F05" w14:textId="77777777" w:rsidR="00AF0B7C" w:rsidRPr="008127F8" w:rsidRDefault="00AF0B7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проекту максимальная скорость у земли составляла 440 км/ч, время подъема на высоту 5000 м — 15 мин, дальность полета на скорости 0,8 от максимальной — 700 км, практический по</w:t>
      </w:r>
      <w:r w:rsidRPr="008127F8">
        <w:rPr>
          <w:color w:val="000000" w:themeColor="text1"/>
          <w:sz w:val="16"/>
          <w:szCs w:val="16"/>
        </w:rPr>
        <w:softHyphen/>
        <w:t>толок — 7000 м.</w:t>
      </w:r>
    </w:p>
    <w:p w14:paraId="34748FCE" w14:textId="77777777" w:rsidR="00AF0B7C" w:rsidRPr="008127F8" w:rsidRDefault="00AF0B7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Основной вариант вооружения штурмовика, по сравнению с предыдущими проектами, был ос</w:t>
      </w:r>
      <w:r w:rsidRPr="008127F8">
        <w:rPr>
          <w:color w:val="000000" w:themeColor="text1"/>
          <w:sz w:val="16"/>
          <w:szCs w:val="16"/>
        </w:rPr>
        <w:softHyphen/>
        <w:t>лаблен и предусматривал установку двух пушек ВЯ (400 снарядов), 8 пулеметов ШКАС (6000 патро</w:t>
      </w:r>
      <w:r w:rsidRPr="008127F8">
        <w:rPr>
          <w:color w:val="000000" w:themeColor="text1"/>
          <w:sz w:val="16"/>
          <w:szCs w:val="16"/>
        </w:rPr>
        <w:softHyphen/>
        <w:t>нов), 8 РС-82 (или РОФС-132) и бомбовую нагрузку до 1000 кг. При этом бомбовое вооружение обе</w:t>
      </w:r>
      <w:r w:rsidRPr="008127F8">
        <w:rPr>
          <w:color w:val="000000" w:themeColor="text1"/>
          <w:sz w:val="16"/>
          <w:szCs w:val="16"/>
        </w:rPr>
        <w:softHyphen/>
        <w:t>спечивало подвеску 2 бомб типа ФАБ-500 или че</w:t>
      </w:r>
      <w:r w:rsidRPr="008127F8">
        <w:rPr>
          <w:color w:val="000000" w:themeColor="text1"/>
          <w:sz w:val="16"/>
          <w:szCs w:val="16"/>
        </w:rPr>
        <w:softHyphen/>
        <w:t>тырех ФАБ-250.</w:t>
      </w:r>
    </w:p>
    <w:p w14:paraId="76BD9545" w14:textId="77777777" w:rsidR="00AF0B7C" w:rsidRPr="008127F8" w:rsidRDefault="00AF0B7C"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основного варианта, предлагались и дру</w:t>
      </w:r>
      <w:r w:rsidRPr="008127F8">
        <w:rPr>
          <w:color w:val="000000" w:themeColor="text1"/>
          <w:sz w:val="16"/>
          <w:szCs w:val="16"/>
        </w:rPr>
        <w:softHyphen/>
        <w:t>гие составы вооружения. В частности, один из них включал две пушки ВЯ (400 снарядов) и 16 РО-132 для применения ракетных снарядов М-13, состоя</w:t>
      </w:r>
      <w:r w:rsidRPr="008127F8">
        <w:rPr>
          <w:color w:val="000000" w:themeColor="text1"/>
          <w:sz w:val="16"/>
          <w:szCs w:val="16"/>
        </w:rPr>
        <w:softHyphen/>
        <w:t>щих на вооружении Гвардейских минометных ча</w:t>
      </w:r>
      <w:r w:rsidRPr="008127F8">
        <w:rPr>
          <w:color w:val="000000" w:themeColor="text1"/>
          <w:sz w:val="16"/>
          <w:szCs w:val="16"/>
        </w:rPr>
        <w:softHyphen/>
        <w:t>стей. Другой вариант предусматривал две пушки ВЯ (400 снарядов), подвеску 4 ФАБ-100 (или 16 АО-25) и 20 ракетных орудий РОТ-82 (РО-82 тандем) с под</w:t>
      </w:r>
      <w:r w:rsidRPr="008127F8">
        <w:rPr>
          <w:color w:val="000000" w:themeColor="text1"/>
          <w:sz w:val="16"/>
          <w:szCs w:val="16"/>
        </w:rPr>
        <w:softHyphen/>
        <w:t>веской 40 (!) РС-82 в тандем.</w:t>
      </w:r>
    </w:p>
    <w:p w14:paraId="62146430" w14:textId="77777777" w:rsidR="00AF0B7C" w:rsidRPr="008127F8" w:rsidRDefault="00AF0B7C"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условиях войны ни один из этих проектов ре</w:t>
      </w:r>
      <w:r w:rsidRPr="008127F8">
        <w:rPr>
          <w:rFonts w:ascii="Times New Roman" w:hAnsi="Times New Roman"/>
          <w:color w:val="000000" w:themeColor="text1"/>
          <w:sz w:val="16"/>
          <w:szCs w:val="16"/>
        </w:rPr>
        <w:softHyphen/>
        <w:t>ализован не был (17500).</w:t>
      </w:r>
    </w:p>
    <w:p w14:paraId="43546379" w14:textId="77777777" w:rsidR="00AF0B7C" w:rsidRPr="008127F8" w:rsidRDefault="00AF0B7C" w:rsidP="001E0A84">
      <w:pPr>
        <w:spacing w:after="0" w:line="240" w:lineRule="auto"/>
        <w:jc w:val="both"/>
        <w:rPr>
          <w:rFonts w:ascii="Times New Roman" w:hAnsi="Times New Roman"/>
          <w:color w:val="000000" w:themeColor="text1"/>
          <w:sz w:val="16"/>
          <w:szCs w:val="16"/>
        </w:rPr>
      </w:pPr>
    </w:p>
    <w:p w14:paraId="1778F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Нач. ГУЗ и ТС ВВС Селезнев и Военком Руденко писали письмо N 374713 А.И.Ш. по вопросу обеспечения завода 126 установками УТК-1:</w:t>
      </w:r>
    </w:p>
    <w:p w14:paraId="15CAF0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ГКО и приказа НКАП и ВВС N 247/0015 от 4 апреля 1942 завод 126 должен с 15 мая с.г. выпускать Ил-4 с верхней стрелковой установкой УТК-1 конструкции Шебанова под УБС 12.7 мм.</w:t>
      </w:r>
    </w:p>
    <w:p w14:paraId="25791B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Этим же приказом НКАП и ВВС установлена программа сдачи установок УТК-1 заводом 32, для отгрузки установок заводу 126 и частям ВВС </w:t>
      </w:r>
      <w:proofErr w:type="gramStart"/>
      <w:r w:rsidRPr="008127F8">
        <w:rPr>
          <w:rFonts w:ascii="Times New Roman" w:hAnsi="Times New Roman"/>
          <w:color w:val="000000" w:themeColor="text1"/>
          <w:sz w:val="16"/>
          <w:szCs w:val="16"/>
        </w:rPr>
        <w:t>для перевооружении</w:t>
      </w:r>
      <w:proofErr w:type="gramEnd"/>
      <w:r w:rsidRPr="008127F8">
        <w:rPr>
          <w:rFonts w:ascii="Times New Roman" w:hAnsi="Times New Roman"/>
          <w:color w:val="000000" w:themeColor="text1"/>
          <w:sz w:val="16"/>
          <w:szCs w:val="16"/>
        </w:rPr>
        <w:t xml:space="preserve"> Ил-4 в частях. На 20 апреля завод 32 не сдал ни одного комплекта УТК-1.</w:t>
      </w:r>
    </w:p>
    <w:p w14:paraId="321AC5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Задержка в сдаче этих установок заводом 32 создает явную угрозу для своевременного внедрения их на заводе 126.</w:t>
      </w:r>
    </w:p>
    <w:p w14:paraId="4810F0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Ил-4 заводом 126 с 15 мая, вооруженных УБ м.б. сорван, т.к. доставка УТК-1 на завод 126 потребует не менее 25-30 дней.</w:t>
      </w:r>
    </w:p>
    <w:p w14:paraId="4CE70E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дать необходимые срочные указания:</w:t>
      </w:r>
    </w:p>
    <w:p w14:paraId="5730BA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ускорению выпуска УТК-1 заводом 32</w:t>
      </w:r>
    </w:p>
    <w:p w14:paraId="037FDC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доставке установок на завод 126 (1634,213).</w:t>
      </w:r>
    </w:p>
    <w:p w14:paraId="5B44BC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23C4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бригада испытателей во главе с ведущим инженером А.В.Синельниковым приступила к составлению отчета по результатам Госиспытаний самолёта «Су-2» с двигателем «М-82». Много времени ушло на отработку ВМГ. За время испытаний летчик капитан С.М.Коробов выполнил на машине 35 полетов. Большую их часть он совершил с лыжным шасси. Однако ни лыжи, ни увеличенный взлетный вес не сказались, по мнению НИИ ВВС, на поведении самолета в воздухе. Даже без использования форсажа «Су-2» «М-82» летал на малых и средних высотах значительно быстрее, чем с М-88Б. Отмечалось, что дальность машины уменьшилась и недостаточным стал противокапотажный угол на посадке - 18,5О при требуемом минимуме в 26,5О, что сделало опасным использование тормозов на пробеге (15107).</w:t>
      </w:r>
    </w:p>
    <w:p w14:paraId="11A03762"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4A7963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22 апреля 1942 г. бригада испытателей во главе с ведущим инженером А.В. Синельниковым приступила к составлению отчета по государственным испытаниям Су-2 М-82. К этому времен летчик капитан С.М. Коробов выполнил последний 35 полет. Большую их часть он совершил с лыжным шасси. Однако ни лыжи, ни увеличенный взлетный вес не оказали, по мнению специалистов НИИ ВВС, негативное влияние на пилотировании самолета. Даже без использования форсажа Су-2 М-82 летал на малых и средних высотах значительно быстрее, чем с М-88Б, но снизилась дальность машины и недостаточным стал противокапо- тажный угол на посадке - 18,5°, при норме 26,5°, что сделало опасным энергичное использование тормозов на пробеге. </w:t>
      </w:r>
    </w:p>
    <w:p w14:paraId="2DDE6E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апреля 1942 почти все летчики 826-бап успели облетать модифицированную машину. Наибольший опыт накопили капитан В.Н. Галущенко, который к 211 часам налета на Су-2 М-88, добавил 11,5 часов на Су-2 М-82 и лейтенант В.И. Досталев (173,5 + 11,8). Оба летчика, а также командир полка майор A.M. Бокун успели выполнить более 150 боевых вылетов на Су-2 к маю 1942 г., когда этому и другим полкам ВВС Южного и Юго-Западного фронтов довелось участвовать в Харьковской операции.</w:t>
      </w:r>
    </w:p>
    <w:p w14:paraId="49344F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первые дни наступления советских войск около 40 Су-2, имевшихся в составе 13-го гвардейского. 52-го, 135-го, 288-го и 826-го бап, вылетали по два - три раза на бомбежку войск противника, обеспечивая прорыв наших танков и конницы. Однако своевременного перебазирования авиации вслед за наступающими частями организовано не было. С каждым днем взаимодействие с истребителями и наземными войсками становилось все хуже. Количество вылетов резко сократилось. Так, полковник И.П. Горохов, сменивший В.И. Артамонова в командовании 288-м бап, приказал летчикам не стартовать без прикрытия после того, как пара "мессершмиттов" сожгла на взлете с аэродрома </w:t>
      </w:r>
      <w:proofErr w:type="gramStart"/>
      <w:r w:rsidRPr="008127F8">
        <w:rPr>
          <w:rFonts w:ascii="Times New Roman" w:hAnsi="Times New Roman"/>
          <w:color w:val="000000" w:themeColor="text1"/>
          <w:sz w:val="16"/>
          <w:szCs w:val="16"/>
        </w:rPr>
        <w:t>Александров- ка</w:t>
      </w:r>
      <w:proofErr w:type="gramEnd"/>
      <w:r w:rsidRPr="008127F8">
        <w:rPr>
          <w:rFonts w:ascii="Times New Roman" w:hAnsi="Times New Roman"/>
          <w:color w:val="000000" w:themeColor="text1"/>
          <w:sz w:val="16"/>
          <w:szCs w:val="16"/>
        </w:rPr>
        <w:t xml:space="preserve"> три "сушки". Приданный в начале операции бомбардировщикам 40-й иап оказался затем расположен на большом удалении и не смог их обеспечить, исходя из радиуса действия истребителей И-16, а находившийся в Александровке 762-й иап на ЛаГГ-3 не получил задание прикрыть Су-2. В результате неудачно проведенной операции, большие потери понесли не только наземные войска, но и авиация.</w:t>
      </w:r>
    </w:p>
    <w:p w14:paraId="76CCFF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Сражавшийся на Брянском фронте 97-й бап лишился в мае во время бомбежки на аэродроме Ельца почти всех Су-2. Оставшимися машинами и личным составом усилили 209-й бап. Этой части, вместе с другими полками ВВС фронта пришлось в неимоверно трудных условиях отбивать начавшееся 28 июня немецкое летнее наступление. В боях на подступах к Воронежу сильная и активная истребительная авиация люфтваффе нанесла опустошительный урон многим нашим полкам, но 209-й бап сохранил боеспособность, что видно из приведенной таблицы внизу.</w:t>
      </w:r>
    </w:p>
    <w:p w14:paraId="317D5E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Напрашивается вывод: сражавшиеся с Су-2 бок о бок штурмовые полки на Ил-2 или понесли большие потери (503-й шап), или имели много неисправных самолетов (218-й и 874-й шап). Хотя и 209-му приходилось непросто в условиях отступления. Достаточно сказать, что полк начал бои в составе 208-й ночной бад, затем его оперативно подчинили 205-й авиадивизии, и в середине июля 1942 г. ввели в состав 223-й бад. К сентябрю сохранилось 20 Су-2, а все экипажи выполнили на данном типе от 55 до 170 боевых вылетов; 83 человека были награждены орденами и медалями (12028).</w:t>
      </w:r>
    </w:p>
    <w:p w14:paraId="319083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762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 С.В.Ильюшин, который вернулся к идее постройки Ил-6 с моторами М-82, вновь вышел на руководство НКАП с эскизным проектом этой машины.</w:t>
      </w:r>
    </w:p>
    <w:p w14:paraId="065D69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машины у земли по проекту должна была быть 440 км/ч, дальность на скорости 0,8 от максимальной - 700 км.</w:t>
      </w:r>
    </w:p>
    <w:p w14:paraId="48AD29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штурмовика, по сравнению с предыдущими вариантами, было ослаблено и предусматривало установку двух пушек ВЯ-23 с 400 снарядами, восьми пулеметов ШКАС с 6000 патронами, восьми PC-82 (или РОФС-132) и бомбовую нагрузку до 1000 кг.</w:t>
      </w:r>
    </w:p>
    <w:p w14:paraId="361C4C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бомбовое вооружение обеспечивало подвеску на машину две бомбы типа ФАБ-500 или четыре ФАБ-250.</w:t>
      </w:r>
    </w:p>
    <w:p w14:paraId="76A1C4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проект, как и предыдущие, в условиях войны реализован не был</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9649).</w:t>
      </w:r>
    </w:p>
    <w:p w14:paraId="36F701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36D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начались полеты на будущем Ла-5 в присутствии комиссия в составе летчиков-испытателей А.П.Якимова (НКАП), А.Г.Кубышкина (НИИ ВВС) и ведущих инженеров В.Н.Сагинова (от НКАП), А.Н.Фролова (НИИ ВВС), назначенной совместным приказом НКАП и ВВС 10 апреля 1942, которая прибыла в Горький 20 апреля 1941.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23-го пришел ответ - недостатки устранить в десять дней, после чего следовало принять решение о дальнейшей судьбе самолета (4707).</w:t>
      </w:r>
    </w:p>
    <w:p w14:paraId="2D57AD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5C56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начало совместных госиспытаний истребителя «ЛаГГ-3» «М-82», пилоты А.П.Якимов и А.Г. Кубышкин. Первый полет сделал лейтенант Якимов. Выдержать режим скороподъемности и определить максимальную скорость не удалось - перегревался мотор. Другой полет выполнил Кубышкин. На посадке у него не выпустились закрылки, и самолет, едва не скапотировав, закатился в огромную лужу в конце полосы. К замечаниям Якимова Кубышкин добавил еще одно - дефект в системе управления закрылками. Вместе с тем испытатели подчеркнули перспективность нового истребителя (15107).</w:t>
      </w:r>
    </w:p>
    <w:p w14:paraId="67C1D9ED"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12D242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Утром 22 апреля 1942 (по другим данным 21 апреля) - С.М. Алексеев рассказывал - начались совместные государственные испытания ЛаГГ-3 М-82. Первый полет сделал лейтенант Якимов. Выдержать режим скороподъемности и определить максимальную скорость не удалось - перегревался мотор. Аналогичный полет выполнил Кубыш- кин. На посадке у него не выпустились закрылки, и самолет, едва не скапотировав, закатился в огромную лужу в конце полосы. К замечаниям Якимова Кубышкин добавил еще одно - дефект в системе управления закрылками. Однако испытатели не забыли подчеркнуть перспективность нового истребителя.</w:t>
      </w:r>
    </w:p>
    <w:p w14:paraId="273D98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решила испытания прекратить и предложить главному конструктору срочно устранить отмеченные недостатки. Вечером Фролов и Сагинов доложили по ВЧ об этом в НКАП и ВВС и получили разрешение на доводку самолета. Утром 23 апреля стало известно, что решение комиссии одобрено ГКО и наркоматом, но на устранение недостатков отвели десять дней.</w:t>
      </w:r>
    </w:p>
    <w:p w14:paraId="01194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Комиссия собралась уже лететь в Москву, но Лавочкин попросил их не ехать: лишние разговоры о том, что на новой машине нельзя летать, были совершенно ни к чему. Комиссия отправилась знакомиться с заводом, с КБ, с опытным цехом, а на самолете началось устранение недостатков.</w:t>
      </w:r>
    </w:p>
    <w:p w14:paraId="421B03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было что-то делать с масляной системой - ставить новый радиатор, либо делать его сдвоенным. Прошло несколько дней. Достать новый радиатор за такой короткий срок оказалось невыполнимой задачей, а его отсутствие задерживало доработку всей масляной системы. Помог счастливый случай. В сборочном цехе к Якимову подошел рабочий и сказал, что в дальнем углу стоит ящик с каким-то радиатором. Действительно, в ящике оказался новенький маслорадиатор с паспортом, причем с охлаждающей поверхностью раза в полтора больше, чем у того, что стоял на самолете. Они его взяли и принесли в наш опытный цех. Лавочкину доложили, что Сагинов откуда-то достал новый радиатор. Главный конструктор прибежал в цех:</w:t>
      </w:r>
    </w:p>
    <w:p w14:paraId="215865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Откуда этот радиатор?</w:t>
      </w:r>
    </w:p>
    <w:p w14:paraId="572E33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Да вот, в сборочном цехе, в ящике нашли.</w:t>
      </w:r>
    </w:p>
    <w:p w14:paraId="22846D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наверное, Яковлев уже привез для своих новых машин, вероятно, для мотора М-107. Немедленно несите обратно. Это воровство, мне такие вещи не нужны!</w:t>
      </w:r>
    </w:p>
    <w:p w14:paraId="4D5A26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мне потом рассказывал Сагинов, кто-то отвлек Лавочкина, сказав, что звонят из Москвы, тот и ушел. Вызвали конструкторов, быстренько сняли эскизы, нашли подходящую болванку для выколотки обтекателя и ночью установили обтекатель на самолет. Через день или два самолет был готов. Внешне он остался почти таким же, как и прежде, но подросла бородка маслорадиатора под двигателем, сверху по капоту прошел воздухозаборник, из вооружения оставили только две пушки. Мищенко сделал первый полет. Выполнил над аэродромом два круга, сел, вылез из кабины, показывает большой падец - масло в норме! (12032).</w:t>
      </w:r>
    </w:p>
    <w:p w14:paraId="16908F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060C1" w14:textId="77777777" w:rsidR="00ED1360" w:rsidRPr="008A2E5A" w:rsidRDefault="00ED1360" w:rsidP="00ED13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апреля 1942 г. бригада завода № 19 в составе заместителя глав</w:t>
      </w:r>
      <w:r w:rsidRPr="008A2E5A">
        <w:rPr>
          <w:rFonts w:ascii="Times New Roman" w:hAnsi="Times New Roman"/>
          <w:color w:val="0070C0"/>
          <w:sz w:val="16"/>
          <w:szCs w:val="16"/>
        </w:rPr>
        <w:softHyphen/>
        <w:t>ного технолога и одновременно начальника эксплуатаци</w:t>
      </w:r>
      <w:r w:rsidRPr="008A2E5A">
        <w:rPr>
          <w:rFonts w:ascii="Times New Roman" w:hAnsi="Times New Roman"/>
          <w:color w:val="0070C0"/>
          <w:sz w:val="16"/>
          <w:szCs w:val="16"/>
        </w:rPr>
        <w:softHyphen/>
        <w:t>онно-ремонтного отдела завода №19 А.И. Валединского, ведущего конструктора мотора И.П. Эвича, механика Б.Я. Вертошко выехала на завод №21 и, приехав, с 25 апреля 1942 г. непосредственно участвовала в процес</w:t>
      </w:r>
      <w:r w:rsidRPr="008A2E5A">
        <w:rPr>
          <w:rFonts w:ascii="Times New Roman" w:hAnsi="Times New Roman"/>
          <w:color w:val="0070C0"/>
          <w:sz w:val="16"/>
          <w:szCs w:val="16"/>
        </w:rPr>
        <w:softHyphen/>
        <w:t>се испытаний и доводки самолета. Именно благодаря этим специалистам на самолете ЛаГГ-3 М-82 удалось организо</w:t>
      </w:r>
      <w:r w:rsidRPr="008A2E5A">
        <w:rPr>
          <w:rFonts w:ascii="Times New Roman" w:hAnsi="Times New Roman"/>
          <w:color w:val="0070C0"/>
          <w:sz w:val="16"/>
          <w:szCs w:val="16"/>
        </w:rPr>
        <w:softHyphen/>
        <w:t>вать равномерный обдув цилиндров мотора под таким же, как у Як-7 М-82, капотом NACA с боковыми створками, от</w:t>
      </w:r>
      <w:r w:rsidRPr="008A2E5A">
        <w:rPr>
          <w:rFonts w:ascii="Times New Roman" w:hAnsi="Times New Roman"/>
          <w:color w:val="0070C0"/>
          <w:sz w:val="16"/>
          <w:szCs w:val="16"/>
        </w:rPr>
        <w:softHyphen/>
        <w:t>регулировать работу карбюратора и обеспечить в процессе испытаний надежную работу нагруженного в тепловом от</w:t>
      </w:r>
      <w:r w:rsidRPr="008A2E5A">
        <w:rPr>
          <w:rFonts w:ascii="Times New Roman" w:hAnsi="Times New Roman"/>
          <w:color w:val="0070C0"/>
          <w:sz w:val="16"/>
          <w:szCs w:val="16"/>
        </w:rPr>
        <w:softHyphen/>
        <w:t>ношении мотора М-82. За счет технических решений пред</w:t>
      </w:r>
      <w:r w:rsidRPr="008A2E5A">
        <w:rPr>
          <w:rFonts w:ascii="Times New Roman" w:hAnsi="Times New Roman"/>
          <w:color w:val="0070C0"/>
          <w:sz w:val="16"/>
          <w:szCs w:val="16"/>
        </w:rPr>
        <w:softHyphen/>
        <w:t>ложенных бригадой максимальная скорость истребителя у земли возросла с 502 в первых полетах до 531 км/ч. Поче</w:t>
      </w:r>
      <w:r w:rsidRPr="008A2E5A">
        <w:rPr>
          <w:rFonts w:ascii="Times New Roman" w:hAnsi="Times New Roman"/>
          <w:color w:val="0070C0"/>
          <w:sz w:val="16"/>
          <w:szCs w:val="16"/>
        </w:rPr>
        <w:softHyphen/>
        <w:t>му бригада Валединского не поехала из Москвы в Новоси</w:t>
      </w:r>
      <w:r w:rsidRPr="008A2E5A">
        <w:rPr>
          <w:rFonts w:ascii="Times New Roman" w:hAnsi="Times New Roman"/>
          <w:color w:val="0070C0"/>
          <w:sz w:val="16"/>
          <w:szCs w:val="16"/>
        </w:rPr>
        <w:softHyphen/>
        <w:t>бирск, где находились сразу три типа опытных истребите</w:t>
      </w:r>
      <w:r w:rsidRPr="008A2E5A">
        <w:rPr>
          <w:rFonts w:ascii="Times New Roman" w:hAnsi="Times New Roman"/>
          <w:color w:val="0070C0"/>
          <w:sz w:val="16"/>
          <w:szCs w:val="16"/>
        </w:rPr>
        <w:softHyphen/>
        <w:t>лей с мотором М-82 остается только догадываться (23381).</w:t>
      </w:r>
    </w:p>
    <w:p w14:paraId="35DCA7FA" w14:textId="77777777" w:rsidR="00ED1360" w:rsidRPr="008A2E5A" w:rsidRDefault="00ED1360" w:rsidP="00ED1360">
      <w:pPr>
        <w:spacing w:after="0" w:line="240" w:lineRule="auto"/>
        <w:jc w:val="both"/>
        <w:rPr>
          <w:rFonts w:ascii="Times New Roman" w:hAnsi="Times New Roman"/>
          <w:color w:val="0070C0"/>
          <w:sz w:val="16"/>
          <w:szCs w:val="16"/>
        </w:rPr>
      </w:pPr>
    </w:p>
    <w:p w14:paraId="6D24EFD1" w14:textId="77777777" w:rsidR="00ED1360" w:rsidRPr="008A2E5A" w:rsidRDefault="00ED1360" w:rsidP="00ED13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апреля 1942</w:t>
      </w:r>
      <w:proofErr w:type="gramStart"/>
      <w:r w:rsidRPr="008A2E5A">
        <w:rPr>
          <w:rFonts w:ascii="Times New Roman" w:hAnsi="Times New Roman"/>
          <w:color w:val="0070C0"/>
          <w:sz w:val="16"/>
          <w:szCs w:val="16"/>
        </w:rPr>
        <w:t>г .</w:t>
      </w:r>
      <w:proofErr w:type="gramEnd"/>
      <w:r w:rsidRPr="008A2E5A">
        <w:rPr>
          <w:rFonts w:ascii="Times New Roman" w:hAnsi="Times New Roman"/>
          <w:color w:val="0070C0"/>
          <w:sz w:val="16"/>
          <w:szCs w:val="16"/>
        </w:rPr>
        <w:t xml:space="preserve"> в Правдинске почти весь день стояла нелет</w:t>
      </w:r>
      <w:r w:rsidRPr="008A2E5A">
        <w:rPr>
          <w:rFonts w:ascii="Times New Roman" w:hAnsi="Times New Roman"/>
          <w:color w:val="0070C0"/>
          <w:sz w:val="16"/>
          <w:szCs w:val="16"/>
        </w:rPr>
        <w:softHyphen/>
        <w:t>ная погода - на ВПП дул боковой ветер до 12 м/с. На самолете ЛаГГ-3М- 82 проводились работы по ре</w:t>
      </w:r>
      <w:r w:rsidRPr="008A2E5A">
        <w:rPr>
          <w:rFonts w:ascii="Times New Roman" w:hAnsi="Times New Roman"/>
          <w:color w:val="0070C0"/>
          <w:sz w:val="16"/>
          <w:szCs w:val="16"/>
        </w:rPr>
        <w:softHyphen/>
        <w:t>гулировке карбюратора и отладке режима малого газа. К вечеру ветер поутих и в 19-40 А.Г. Кубышкин вылетел на «скорости по вы</w:t>
      </w:r>
      <w:r w:rsidRPr="008A2E5A">
        <w:rPr>
          <w:rFonts w:ascii="Times New Roman" w:hAnsi="Times New Roman"/>
          <w:color w:val="0070C0"/>
          <w:sz w:val="16"/>
          <w:szCs w:val="16"/>
        </w:rPr>
        <w:softHyphen/>
        <w:t>сотам». В наборе он отметил превышение температуры головок цилиндров и масла на выходе из мотора. На горизонталях темпера</w:t>
      </w:r>
      <w:r w:rsidRPr="008A2E5A">
        <w:rPr>
          <w:rFonts w:ascii="Times New Roman" w:hAnsi="Times New Roman"/>
          <w:color w:val="0070C0"/>
          <w:sz w:val="16"/>
          <w:szCs w:val="16"/>
        </w:rPr>
        <w:softHyphen/>
        <w:t>туры были на верхнем пределе. В очередной раз, как и в предыдущих полетах, не было ма</w:t>
      </w:r>
      <w:r w:rsidRPr="008A2E5A">
        <w:rPr>
          <w:rFonts w:ascii="Times New Roman" w:hAnsi="Times New Roman"/>
          <w:color w:val="0070C0"/>
          <w:sz w:val="16"/>
          <w:szCs w:val="16"/>
        </w:rPr>
        <w:softHyphen/>
        <w:t>лого газа и масло выбрасывало из суфлеров (23389).</w:t>
      </w:r>
    </w:p>
    <w:p w14:paraId="3D112880" w14:textId="77777777" w:rsidR="00ED1360" w:rsidRPr="008A2E5A" w:rsidRDefault="00ED1360" w:rsidP="00ED1360">
      <w:pPr>
        <w:spacing w:after="0" w:line="240" w:lineRule="auto"/>
        <w:jc w:val="both"/>
        <w:rPr>
          <w:rFonts w:ascii="Times New Roman" w:hAnsi="Times New Roman"/>
          <w:color w:val="0070C0"/>
          <w:sz w:val="16"/>
          <w:szCs w:val="16"/>
        </w:rPr>
      </w:pPr>
    </w:p>
    <w:p w14:paraId="564B8ED7" w14:textId="77777777" w:rsidR="00ED1360" w:rsidRPr="008A2E5A" w:rsidRDefault="00ED1360" w:rsidP="00ED13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апреля 1942 года начались испытания ЛаГГ-3 М-82. Оба пилота, от ЛИИ, А. Г. Кубышкин и А. Н. Фролов от НИИ ВВС, подтвердили проблемы с перегревом двигателя. Кроме того, было затруднено управление его оборотами. Кубышкин чуть не разбил самолет из-за отказа щитков, а финальная фаза обоих полетов скорее походила на хорошо выполненную вынужденную посадку. Но оба пилота не «предали» самолет, несмотря на неприятности, увидев его большой потенциал. Фролов и Сагинов прервали испытания на десять дней, до 2 мая 1942 года.</w:t>
      </w:r>
    </w:p>
    <w:p w14:paraId="2BB3ADDE" w14:textId="77777777" w:rsidR="00ED1360" w:rsidRPr="008A2E5A" w:rsidRDefault="00ED1360" w:rsidP="00ED13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это время маслорадиатор от мотора М-105, не справлявшийся с отводом тепла от мощного М-82, заменили на новый, большей площади. Этой замене предшествовала драматическая операция по «заимствованию» радиатора ОП-293 от мотора М-107, предназначенного для строившегося на заводе № 21 истребителя Яковлева. Несмотря на неодобрение Лавочкина, его коллеги демонтировали радиатор и за два дня изготовили для него новый обтекатель. Также изменили конструкцию всасывающих патрубков мотора. Первоначально она состояла из трех труб позади переднего кольца капота: одной сверху и двух по бортам. После доработки боковые патрубки устранили, оставив только верхний увеличенного сечения, обтекатель которого стал выступать за обводы капота. Изменения также внесли в конструкцию посадочных щитков и некоторых других элементов. Первый полет модернизированного прототипа, проведенный В. Я. Мищенко, показал, что доработки положительно сказались на летных характеристиках машины (23547).</w:t>
      </w:r>
    </w:p>
    <w:p w14:paraId="2721D65F" w14:textId="77777777" w:rsidR="00ED1360" w:rsidRPr="008A2E5A" w:rsidRDefault="00ED1360" w:rsidP="00ED1360">
      <w:pPr>
        <w:spacing w:after="0" w:line="240" w:lineRule="auto"/>
        <w:jc w:val="both"/>
        <w:rPr>
          <w:rFonts w:ascii="Times New Roman" w:hAnsi="Times New Roman"/>
          <w:color w:val="0070C0"/>
          <w:sz w:val="16"/>
          <w:szCs w:val="16"/>
        </w:rPr>
      </w:pPr>
    </w:p>
    <w:p w14:paraId="60184AAC"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апреля 1942:</w:t>
      </w:r>
    </w:p>
    <w:p w14:paraId="1EF59489"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Письмо Маленкова, Берия и Микояна Сталину и Моло</w:t>
      </w:r>
      <w:r w:rsidRPr="008A2E5A">
        <w:rPr>
          <w:rFonts w:ascii="Times New Roman" w:hAnsi="Times New Roman"/>
          <w:color w:val="0070C0"/>
          <w:sz w:val="16"/>
          <w:szCs w:val="16"/>
        </w:rPr>
        <w:softHyphen/>
        <w:t>тову от 22 апреля 1942 г. Архив Президента РФ</w:t>
      </w:r>
    </w:p>
    <w:p w14:paraId="4E4FFC66"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Докладываем о проведенной с 19 по 22 апреля 1942 г. работе по организации завода №82 по производству са</w:t>
      </w:r>
      <w:r w:rsidRPr="008A2E5A">
        <w:rPr>
          <w:rFonts w:ascii="Times New Roman" w:hAnsi="Times New Roman"/>
          <w:color w:val="0070C0"/>
          <w:sz w:val="16"/>
          <w:szCs w:val="16"/>
        </w:rPr>
        <w:softHyphen/>
        <w:t>молетов Як-7:</w:t>
      </w:r>
    </w:p>
    <w:p w14:paraId="6D92AA78"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Бугров, главный инженер Артамо</w:t>
      </w:r>
      <w:r w:rsidRPr="008A2E5A">
        <w:rPr>
          <w:rFonts w:ascii="Times New Roman" w:hAnsi="Times New Roman"/>
          <w:color w:val="0070C0"/>
          <w:sz w:val="16"/>
          <w:szCs w:val="16"/>
        </w:rPr>
        <w:softHyphen/>
        <w:t>нов, помощник директора по кадрам Теплицкий 20 апре</w:t>
      </w:r>
      <w:r w:rsidRPr="008A2E5A">
        <w:rPr>
          <w:rFonts w:ascii="Times New Roman" w:hAnsi="Times New Roman"/>
          <w:color w:val="0070C0"/>
          <w:sz w:val="16"/>
          <w:szCs w:val="16"/>
        </w:rPr>
        <w:softHyphen/>
        <w:t>ля прибыли на завод и приступили к работе.</w:t>
      </w:r>
    </w:p>
    <w:p w14:paraId="2EA2C07F"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Определено необходимое производственное обору</w:t>
      </w:r>
      <w:r w:rsidRPr="008A2E5A">
        <w:rPr>
          <w:rFonts w:ascii="Times New Roman" w:hAnsi="Times New Roman"/>
          <w:color w:val="0070C0"/>
          <w:sz w:val="16"/>
          <w:szCs w:val="16"/>
        </w:rPr>
        <w:softHyphen/>
        <w:t>дование для завода №82 по производству самолетов Як-7 в количестве 571 станок, из расчета выпуска 5 са</w:t>
      </w:r>
      <w:r w:rsidRPr="008A2E5A">
        <w:rPr>
          <w:rFonts w:ascii="Times New Roman" w:hAnsi="Times New Roman"/>
          <w:color w:val="0070C0"/>
          <w:sz w:val="16"/>
          <w:szCs w:val="16"/>
        </w:rPr>
        <w:softHyphen/>
        <w:t>молетов в день. Оборудование будет доставлено на за</w:t>
      </w:r>
      <w:r w:rsidRPr="008A2E5A">
        <w:rPr>
          <w:rFonts w:ascii="Times New Roman" w:hAnsi="Times New Roman"/>
          <w:color w:val="0070C0"/>
          <w:sz w:val="16"/>
          <w:szCs w:val="16"/>
        </w:rPr>
        <w:softHyphen/>
        <w:t>вод №82 в течение двух недель. На завод поступило 25 станков.</w:t>
      </w:r>
    </w:p>
    <w:p w14:paraId="34BF8834"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Комплектование руководящими кадрами завода №82 бу</w:t>
      </w:r>
      <w:r w:rsidRPr="008A2E5A">
        <w:rPr>
          <w:rFonts w:ascii="Times New Roman" w:hAnsi="Times New Roman"/>
          <w:color w:val="0070C0"/>
          <w:sz w:val="16"/>
          <w:szCs w:val="16"/>
        </w:rPr>
        <w:softHyphen/>
        <w:t>дет производиться за счет перевода инженерно-техниче</w:t>
      </w:r>
      <w:r w:rsidRPr="008A2E5A">
        <w:rPr>
          <w:rFonts w:ascii="Times New Roman" w:hAnsi="Times New Roman"/>
          <w:color w:val="0070C0"/>
          <w:sz w:val="16"/>
          <w:szCs w:val="16"/>
        </w:rPr>
        <w:softHyphen/>
        <w:t>ских работников с заводов №153, 301, 115,458, 22, 166 и из конструкторских бюро. Всего намечено перевести с авиаци</w:t>
      </w:r>
      <w:r w:rsidRPr="008A2E5A">
        <w:rPr>
          <w:rFonts w:ascii="Times New Roman" w:hAnsi="Times New Roman"/>
          <w:color w:val="0070C0"/>
          <w:sz w:val="16"/>
          <w:szCs w:val="16"/>
        </w:rPr>
        <w:softHyphen/>
        <w:t>онных заводов квалифицированных рабочих и инженерно- технических работников 550 человек, которые будут исполь</w:t>
      </w:r>
      <w:r w:rsidRPr="008A2E5A">
        <w:rPr>
          <w:rFonts w:ascii="Times New Roman" w:hAnsi="Times New Roman"/>
          <w:color w:val="0070C0"/>
          <w:sz w:val="16"/>
          <w:szCs w:val="16"/>
        </w:rPr>
        <w:softHyphen/>
        <w:t>зованы на руководящей работе в производстве. Приступи</w:t>
      </w:r>
      <w:r w:rsidRPr="008A2E5A">
        <w:rPr>
          <w:rFonts w:ascii="Times New Roman" w:hAnsi="Times New Roman"/>
          <w:color w:val="0070C0"/>
          <w:sz w:val="16"/>
          <w:szCs w:val="16"/>
        </w:rPr>
        <w:softHyphen/>
        <w:t>ли к набору рабочих из числа ранее работавших на заводах №81 и 82. Принято на завод 100 человек рабочих.</w:t>
      </w:r>
    </w:p>
    <w:p w14:paraId="32D8F1FB"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укомплектования завода №82 производственны</w:t>
      </w:r>
      <w:r w:rsidRPr="008A2E5A">
        <w:rPr>
          <w:rFonts w:ascii="Times New Roman" w:hAnsi="Times New Roman"/>
          <w:color w:val="0070C0"/>
          <w:sz w:val="16"/>
          <w:szCs w:val="16"/>
        </w:rPr>
        <w:softHyphen/>
        <w:t>ми рабочими Управление трудовых резервов передает из оканчивающих ремесленные училища и ФЗО пять тысяч че</w:t>
      </w:r>
      <w:r w:rsidRPr="008A2E5A">
        <w:rPr>
          <w:rFonts w:ascii="Times New Roman" w:hAnsi="Times New Roman"/>
          <w:color w:val="0070C0"/>
          <w:sz w:val="16"/>
          <w:szCs w:val="16"/>
        </w:rPr>
        <w:softHyphen/>
        <w:t>ловек различных специальностей, необходимых для произ</w:t>
      </w:r>
      <w:r w:rsidRPr="008A2E5A">
        <w:rPr>
          <w:rFonts w:ascii="Times New Roman" w:hAnsi="Times New Roman"/>
          <w:color w:val="0070C0"/>
          <w:sz w:val="16"/>
          <w:szCs w:val="16"/>
        </w:rPr>
        <w:softHyphen/>
        <w:t>водства самолетов Як-7. Сроки поступления: к 15 мая - три тысячи человек и к 1 июня - остальные две тысячи.</w:t>
      </w:r>
    </w:p>
    <w:p w14:paraId="47C801C6"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Новосибирском заводе №153 производится отбор чертежей самолета Як-7, чертежей оснастки и заделов деталей самолета (233381).</w:t>
      </w:r>
    </w:p>
    <w:p w14:paraId="5EF8EFBB" w14:textId="77777777" w:rsidR="00626409" w:rsidRPr="008A2E5A" w:rsidRDefault="00626409" w:rsidP="00626409">
      <w:pPr>
        <w:spacing w:after="0" w:line="240" w:lineRule="auto"/>
        <w:jc w:val="both"/>
        <w:rPr>
          <w:rFonts w:ascii="Times New Roman" w:hAnsi="Times New Roman"/>
          <w:color w:val="0070C0"/>
          <w:sz w:val="16"/>
          <w:szCs w:val="16"/>
        </w:rPr>
      </w:pPr>
    </w:p>
    <w:p w14:paraId="4031B44D" w14:textId="77777777" w:rsidR="00991C86" w:rsidRPr="008127F8" w:rsidRDefault="00991C8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22 апреля 1942 г. на Южном фронте севернее Славянска приземлился подбитый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-4/</w:t>
      </w:r>
      <w:r w:rsidRPr="008127F8">
        <w:rPr>
          <w:rFonts w:ascii="Times New Roman" w:hAnsi="Times New Roman"/>
          <w:color w:val="000000" w:themeColor="text1"/>
          <w:sz w:val="16"/>
          <w:szCs w:val="16"/>
          <w:lang w:val="en-US"/>
        </w:rPr>
        <w:t>R</w:t>
      </w:r>
      <w:r w:rsidRPr="008127F8">
        <w:rPr>
          <w:rFonts w:ascii="Times New Roman" w:hAnsi="Times New Roman"/>
          <w:color w:val="000000" w:themeColor="text1"/>
          <w:sz w:val="16"/>
          <w:szCs w:val="16"/>
        </w:rPr>
        <w:t xml:space="preserve">1 с мотором </w:t>
      </w:r>
      <w:r w:rsidRPr="008127F8">
        <w:rPr>
          <w:rFonts w:ascii="Times New Roman" w:hAnsi="Times New Roman"/>
          <w:color w:val="000000" w:themeColor="text1"/>
          <w:sz w:val="16"/>
          <w:szCs w:val="16"/>
          <w:lang w:val="en-US"/>
        </w:rPr>
        <w:t>DB</w:t>
      </w:r>
      <w:r w:rsidRPr="008127F8">
        <w:rPr>
          <w:rFonts w:ascii="Times New Roman" w:hAnsi="Times New Roman"/>
          <w:color w:val="000000" w:themeColor="text1"/>
          <w:sz w:val="16"/>
          <w:szCs w:val="16"/>
        </w:rPr>
        <w:t xml:space="preserve"> 601</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 xml:space="preserve">, из состава группы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JG</w:t>
      </w:r>
      <w:r w:rsidRPr="008127F8">
        <w:rPr>
          <w:rFonts w:ascii="Times New Roman" w:hAnsi="Times New Roman"/>
          <w:color w:val="000000" w:themeColor="text1"/>
          <w:sz w:val="16"/>
          <w:szCs w:val="16"/>
        </w:rPr>
        <w:t xml:space="preserve">-77. Его изучала комиссия под руководством военинженера 1-го ранга Степанова. Самой уязвимой частью немецкого истребителя она сочла мотоустановку, рекомендовав советским летчикам стрелять по нижней части двигателя. В это же время в Бюро новой техники БНТ ЦАГИ доставили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-4/</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 xml:space="preserve">, отличавшийся пылезащитным фильтром. Специалисты подметили, что, хотя «мессершмитт» уступал Як-7Б и ЛаГГ-3 по секундному залпу, эффективность боеприпасов пушки </w:t>
      </w:r>
      <w:r w:rsidRPr="008127F8">
        <w:rPr>
          <w:rFonts w:ascii="Times New Roman" w:hAnsi="Times New Roman"/>
          <w:color w:val="000000" w:themeColor="text1"/>
          <w:sz w:val="16"/>
          <w:szCs w:val="16"/>
          <w:lang w:val="en-US"/>
        </w:rPr>
        <w:t>MG</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FF</w:t>
      </w:r>
      <w:r w:rsidRPr="008127F8">
        <w:rPr>
          <w:rFonts w:ascii="Times New Roman" w:hAnsi="Times New Roman"/>
          <w:color w:val="000000" w:themeColor="text1"/>
          <w:sz w:val="16"/>
          <w:szCs w:val="16"/>
        </w:rPr>
        <w:t xml:space="preserve"> оказалась выше, чем у советской ШВАК. Немецкий протектор позволял получать до 30 попаданий пуль калибра 7,62 мм в бензобак, а советский «Оназот» - не более трех. Бронезащиту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 тоже признали лучше (23186).</w:t>
      </w:r>
    </w:p>
    <w:p w14:paraId="4DDEB1B5" w14:textId="77777777" w:rsidR="00991C86" w:rsidRPr="008127F8" w:rsidRDefault="00991C86" w:rsidP="001E0A84">
      <w:pPr>
        <w:spacing w:after="0" w:line="240" w:lineRule="auto"/>
        <w:jc w:val="both"/>
        <w:rPr>
          <w:rFonts w:ascii="Times New Roman" w:hAnsi="Times New Roman"/>
          <w:color w:val="000000" w:themeColor="text1"/>
          <w:sz w:val="16"/>
          <w:szCs w:val="16"/>
        </w:rPr>
      </w:pPr>
    </w:p>
    <w:p w14:paraId="0F111F2B"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апреля 1942 г. на Южном фронте се</w:t>
      </w:r>
      <w:r w:rsidRPr="008A2E5A">
        <w:rPr>
          <w:rFonts w:ascii="Times New Roman" w:hAnsi="Times New Roman"/>
          <w:color w:val="0070C0"/>
          <w:sz w:val="16"/>
          <w:szCs w:val="16"/>
        </w:rPr>
        <w:softHyphen/>
        <w:t>вернее Славянска советским летчикам уда</w:t>
      </w:r>
      <w:r w:rsidRPr="008A2E5A">
        <w:rPr>
          <w:rFonts w:ascii="Times New Roman" w:hAnsi="Times New Roman"/>
          <w:color w:val="0070C0"/>
          <w:sz w:val="16"/>
          <w:szCs w:val="16"/>
        </w:rPr>
        <w:softHyphen/>
        <w:t>лось подбить истребитель Bf 109F-4/R1 (зав. № 13043), принадлежавший группе I/JG77, который совершил посадку в расположении наших войск. Трофей был детально изучен бригадой, возглавляемой военинженером I ранга Степановым. Особое внимание инже</w:t>
      </w:r>
      <w:r w:rsidRPr="008A2E5A">
        <w:rPr>
          <w:rFonts w:ascii="Times New Roman" w:hAnsi="Times New Roman"/>
          <w:color w:val="0070C0"/>
          <w:sz w:val="16"/>
          <w:szCs w:val="16"/>
        </w:rPr>
        <w:softHyphen/>
        <w:t>неры уделили дальнейшим изменениям в конструкции машины и определению уязви</w:t>
      </w:r>
      <w:r w:rsidRPr="008A2E5A">
        <w:rPr>
          <w:rFonts w:ascii="Times New Roman" w:hAnsi="Times New Roman"/>
          <w:color w:val="0070C0"/>
          <w:sz w:val="16"/>
          <w:szCs w:val="16"/>
        </w:rPr>
        <w:softHyphen/>
        <w:t>мых мест. Не остались без внимания цейсовский оптический прицел, отказ от использо</w:t>
      </w:r>
      <w:r w:rsidRPr="008A2E5A">
        <w:rPr>
          <w:rFonts w:ascii="Times New Roman" w:hAnsi="Times New Roman"/>
          <w:color w:val="0070C0"/>
          <w:sz w:val="16"/>
          <w:szCs w:val="16"/>
        </w:rPr>
        <w:softHyphen/>
        <w:t>вания автомата, ограничивающего время ра</w:t>
      </w:r>
      <w:r w:rsidRPr="008A2E5A">
        <w:rPr>
          <w:rFonts w:ascii="Times New Roman" w:hAnsi="Times New Roman"/>
          <w:color w:val="0070C0"/>
          <w:sz w:val="16"/>
          <w:szCs w:val="16"/>
        </w:rPr>
        <w:softHyphen/>
        <w:t>боты мотора на форсированном режиме, но</w:t>
      </w:r>
      <w:r w:rsidRPr="008A2E5A">
        <w:rPr>
          <w:rFonts w:ascii="Times New Roman" w:hAnsi="Times New Roman"/>
          <w:color w:val="0070C0"/>
          <w:sz w:val="16"/>
          <w:szCs w:val="16"/>
        </w:rPr>
        <w:softHyphen/>
        <w:t>вое кислородное оборудование. В результате внимательного изучения Bf 109F советские специалисты решили, что наиболее уязвимым местом винтомоторной группы являлись го</w:t>
      </w:r>
      <w:r w:rsidRPr="008A2E5A">
        <w:rPr>
          <w:rFonts w:ascii="Times New Roman" w:hAnsi="Times New Roman"/>
          <w:color w:val="0070C0"/>
          <w:sz w:val="16"/>
          <w:szCs w:val="16"/>
        </w:rPr>
        <w:softHyphen/>
        <w:t>ловки блоков мотора. Достаточно было по</w:t>
      </w:r>
      <w:r w:rsidRPr="008A2E5A">
        <w:rPr>
          <w:rFonts w:ascii="Times New Roman" w:hAnsi="Times New Roman"/>
          <w:color w:val="0070C0"/>
          <w:sz w:val="16"/>
          <w:szCs w:val="16"/>
        </w:rPr>
        <w:softHyphen/>
        <w:t>пасть в указанную зону одним снарядом или зажигательной пулей, как возникал пожар. Как известно, у «мессера» не защищались броней водо- и маслорадиаторы, представляв</w:t>
      </w:r>
      <w:r w:rsidRPr="008A2E5A">
        <w:rPr>
          <w:rFonts w:ascii="Times New Roman" w:hAnsi="Times New Roman"/>
          <w:color w:val="0070C0"/>
          <w:sz w:val="16"/>
          <w:szCs w:val="16"/>
        </w:rPr>
        <w:softHyphen/>
        <w:t>шие легко поражаемую цель из-за большой площади поверхности, а также два расшири</w:t>
      </w:r>
      <w:r w:rsidRPr="008A2E5A">
        <w:rPr>
          <w:rFonts w:ascii="Times New Roman" w:hAnsi="Times New Roman"/>
          <w:color w:val="0070C0"/>
          <w:sz w:val="16"/>
          <w:szCs w:val="16"/>
        </w:rPr>
        <w:softHyphen/>
        <w:t>тельных бачка системы охлаждения.</w:t>
      </w:r>
    </w:p>
    <w:p w14:paraId="1EE57D3B" w14:textId="77777777" w:rsidR="00626409" w:rsidRPr="008A2E5A" w:rsidRDefault="00626409" w:rsidP="006264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 одновременно в Бюро новой техники при ЦАГИ производилось тщатель</w:t>
      </w:r>
      <w:r w:rsidRPr="008A2E5A">
        <w:rPr>
          <w:rFonts w:ascii="Times New Roman" w:hAnsi="Times New Roman"/>
          <w:color w:val="0070C0"/>
          <w:sz w:val="16"/>
          <w:szCs w:val="16"/>
        </w:rPr>
        <w:softHyphen/>
        <w:t>ное изучение трофейного Bf 109F-4/Z (с сис</w:t>
      </w:r>
      <w:r w:rsidRPr="008A2E5A">
        <w:rPr>
          <w:rFonts w:ascii="Times New Roman" w:hAnsi="Times New Roman"/>
          <w:color w:val="0070C0"/>
          <w:sz w:val="16"/>
          <w:szCs w:val="16"/>
        </w:rPr>
        <w:softHyphen/>
        <w:t>темой форсирования GM-I, в Германии шут</w:t>
      </w:r>
      <w:r w:rsidRPr="008A2E5A">
        <w:rPr>
          <w:rFonts w:ascii="Times New Roman" w:hAnsi="Times New Roman"/>
          <w:color w:val="0070C0"/>
          <w:sz w:val="16"/>
          <w:szCs w:val="16"/>
        </w:rPr>
        <w:softHyphen/>
        <w:t>ники расшифровывали такое сокращение как «геринговская микстура»), выпушенного в начале 1942 г. Внешне этот «мессершмитт» мало отличался от других истребителей се</w:t>
      </w:r>
      <w:r w:rsidRPr="008A2E5A">
        <w:rPr>
          <w:rFonts w:ascii="Times New Roman" w:hAnsi="Times New Roman"/>
          <w:color w:val="0070C0"/>
          <w:sz w:val="16"/>
          <w:szCs w:val="16"/>
        </w:rPr>
        <w:softHyphen/>
        <w:t>мейства. Наши специалисты обратили внима</w:t>
      </w:r>
      <w:r w:rsidRPr="008A2E5A">
        <w:rPr>
          <w:rFonts w:ascii="Times New Roman" w:hAnsi="Times New Roman"/>
          <w:color w:val="0070C0"/>
          <w:sz w:val="16"/>
          <w:szCs w:val="16"/>
        </w:rPr>
        <w:softHyphen/>
        <w:t>ние на изменения в гидросистеме, схеме по</w:t>
      </w:r>
      <w:r w:rsidRPr="008A2E5A">
        <w:rPr>
          <w:rFonts w:ascii="Times New Roman" w:hAnsi="Times New Roman"/>
          <w:color w:val="0070C0"/>
          <w:sz w:val="16"/>
          <w:szCs w:val="16"/>
        </w:rPr>
        <w:softHyphen/>
        <w:t>дачи к карбюратору охлаждающего воздуха, измененную конструкцию воздухозаборника нагнетателя, а также на использование более мощного генератора, однако сама система GM-1, по-видимому, на самолете отсутство</w:t>
      </w:r>
      <w:r w:rsidRPr="008A2E5A">
        <w:rPr>
          <w:rFonts w:ascii="Times New Roman" w:hAnsi="Times New Roman"/>
          <w:color w:val="0070C0"/>
          <w:sz w:val="16"/>
          <w:szCs w:val="16"/>
        </w:rPr>
        <w:softHyphen/>
        <w:t>вала (при ее наличии в закабинном отсеке монтировался внушительных размеров бак для закиси азота, который невозможно не за</w:t>
      </w:r>
      <w:r w:rsidRPr="008A2E5A">
        <w:rPr>
          <w:rFonts w:ascii="Times New Roman" w:hAnsi="Times New Roman"/>
          <w:color w:val="0070C0"/>
          <w:sz w:val="16"/>
          <w:szCs w:val="16"/>
        </w:rPr>
        <w:softHyphen/>
        <w:t>метить). Впрочем, это не было чем-то нео</w:t>
      </w:r>
      <w:r w:rsidRPr="008A2E5A">
        <w:rPr>
          <w:rFonts w:ascii="Times New Roman" w:hAnsi="Times New Roman"/>
          <w:color w:val="0070C0"/>
          <w:sz w:val="16"/>
          <w:szCs w:val="16"/>
        </w:rPr>
        <w:softHyphen/>
        <w:t>бычным для Люфтваффе: как полевой, так и заводской доработочный комплект нередко с машины снимался, если область боевого ис</w:t>
      </w:r>
      <w:r w:rsidRPr="008A2E5A">
        <w:rPr>
          <w:rFonts w:ascii="Times New Roman" w:hAnsi="Times New Roman"/>
          <w:color w:val="0070C0"/>
          <w:sz w:val="16"/>
          <w:szCs w:val="16"/>
        </w:rPr>
        <w:softHyphen/>
        <w:t>пользования самолета по тем или иным при</w:t>
      </w:r>
      <w:r w:rsidRPr="008A2E5A">
        <w:rPr>
          <w:rFonts w:ascii="Times New Roman" w:hAnsi="Times New Roman"/>
          <w:color w:val="0070C0"/>
          <w:sz w:val="16"/>
          <w:szCs w:val="16"/>
        </w:rPr>
        <w:softHyphen/>
        <w:t>чинам менялась. На Bf 109F-4/Z немцы, кро</w:t>
      </w:r>
      <w:r w:rsidRPr="008A2E5A">
        <w:rPr>
          <w:rFonts w:ascii="Times New Roman" w:hAnsi="Times New Roman"/>
          <w:color w:val="0070C0"/>
          <w:sz w:val="16"/>
          <w:szCs w:val="16"/>
        </w:rPr>
        <w:softHyphen/>
        <w:t>ме того, предусмотрели использование пылефильтров на воздухозаборнике нагнетателя, что объяснялось подготовкой к летней кампа</w:t>
      </w:r>
      <w:r w:rsidRPr="008A2E5A">
        <w:rPr>
          <w:rFonts w:ascii="Times New Roman" w:hAnsi="Times New Roman"/>
          <w:color w:val="0070C0"/>
          <w:sz w:val="16"/>
          <w:szCs w:val="16"/>
        </w:rPr>
        <w:softHyphen/>
        <w:t>нии в степных районах. На приборной доске модели F-4/Z имелся указатель наддува с выделенными цветом основными режимами работы мотора. Максимальную скорость Bf 109F-4/Z определили равной 612 км/ч на высоте 6400 м, что примерно соответствовало английским данным (30 марта 1942 г. истреби</w:t>
      </w:r>
      <w:r w:rsidRPr="008A2E5A">
        <w:rPr>
          <w:rFonts w:ascii="Times New Roman" w:hAnsi="Times New Roman"/>
          <w:color w:val="0070C0"/>
          <w:sz w:val="16"/>
          <w:szCs w:val="16"/>
        </w:rPr>
        <w:softHyphen/>
        <w:t>тель Bf 109F-4/Z обер-лейтенанта В. Диссельхорста из 5/JG1 был сбит в районе Нордвика) (24195).</w:t>
      </w:r>
    </w:p>
    <w:p w14:paraId="6501F448" w14:textId="77777777" w:rsidR="00626409" w:rsidRPr="008A2E5A" w:rsidRDefault="00626409" w:rsidP="00626409">
      <w:pPr>
        <w:spacing w:after="0" w:line="240" w:lineRule="auto"/>
        <w:jc w:val="both"/>
        <w:rPr>
          <w:rFonts w:ascii="Times New Roman" w:hAnsi="Times New Roman"/>
          <w:color w:val="0070C0"/>
          <w:sz w:val="16"/>
          <w:szCs w:val="16"/>
        </w:rPr>
      </w:pPr>
    </w:p>
    <w:p w14:paraId="42DFC3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году директором завода № 132 был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1D5637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w:t>
      </w:r>
      <w:r w:rsidRPr="008127F8">
        <w:rPr>
          <w:rFonts w:ascii="Times New Roman" w:hAnsi="Times New Roman"/>
          <w:color w:val="000000" w:themeColor="text1"/>
          <w:sz w:val="16"/>
          <w:szCs w:val="16"/>
        </w:rPr>
        <w:lastRenderedPageBreak/>
        <w:t>ликвидировано приказом МАП № 616 от 19 августа.</w:t>
      </w:r>
    </w:p>
    <w:p w14:paraId="0F9081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35CECE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Фокеев</w:t>
      </w:r>
    </w:p>
    <w:p w14:paraId="59CE91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Сим Челябинской области</w:t>
      </w:r>
    </w:p>
    <w:p w14:paraId="64AE21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агрегатный завод (9877).</w:t>
      </w:r>
    </w:p>
    <w:p w14:paraId="073A6F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E9E8C" w14:textId="77777777" w:rsidR="00E912F0" w:rsidRPr="008127F8" w:rsidRDefault="00E912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 на Южном фронте удалось подбить истребитель Bf 109F-4/R-1 № 13043, который совершил посадку в расположении наших войск. Его детально изучила бригада военинженера Степанова. Практически в то же время инженеры БНТ произвели предварительный осмотр истребителя Bf 109F-4/Z, построенного в начале 1942 г. Специалисты обратили внимание на изменения в гидросистеме, конструкции всасывающего патрубка и использование пылефильтра (19727).</w:t>
      </w:r>
    </w:p>
    <w:p w14:paraId="627553B9" w14:textId="77777777" w:rsidR="00E912F0" w:rsidRPr="008127F8" w:rsidRDefault="00E912F0" w:rsidP="001E0A84">
      <w:pPr>
        <w:spacing w:after="0" w:line="240" w:lineRule="auto"/>
        <w:jc w:val="both"/>
        <w:rPr>
          <w:rFonts w:ascii="Times New Roman" w:hAnsi="Times New Roman"/>
          <w:color w:val="000000" w:themeColor="text1"/>
          <w:sz w:val="16"/>
          <w:szCs w:val="16"/>
        </w:rPr>
      </w:pPr>
    </w:p>
    <w:p w14:paraId="4A19CB8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AA0F1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6CDCD1" w14:textId="77777777" w:rsidR="001D5126" w:rsidRPr="008127F8" w:rsidRDefault="001D5126" w:rsidP="001E0A84">
      <w:pPr>
        <w:pStyle w:val="af"/>
        <w:shd w:val="clear" w:color="auto" w:fill="FFFFFF"/>
        <w:spacing w:before="0" w:after="0"/>
        <w:jc w:val="both"/>
        <w:rPr>
          <w:color w:val="000000" w:themeColor="text1"/>
          <w:sz w:val="16"/>
          <w:szCs w:val="16"/>
        </w:rPr>
      </w:pPr>
      <w:r w:rsidRPr="008127F8">
        <w:rPr>
          <w:color w:val="000000" w:themeColor="text1"/>
          <w:sz w:val="16"/>
          <w:szCs w:val="16"/>
        </w:rPr>
        <w:t>22 апреля 1942 года последовал вердикт о прекращении работ по сверхмощным противотанковым пушкам:</w:t>
      </w:r>
    </w:p>
    <w:p w14:paraId="4A603D14" w14:textId="77777777" w:rsidR="001D5126" w:rsidRPr="008127F8" w:rsidRDefault="001D5126"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«Так как опыт сорвеменной войны не подтвердил необходимости применения подобного рода пушек для борьбы с танками, дальнейшую доработку пушки «М-75» и боекомплекта к ней, с целью устранения всех недостатков, считаю нецелесообразной.</w:t>
      </w:r>
    </w:p>
    <w:p w14:paraId="69140B8B" w14:textId="77777777" w:rsidR="001D5126" w:rsidRPr="008127F8" w:rsidRDefault="001D5126" w:rsidP="001E0A84">
      <w:pPr>
        <w:pStyle w:val="af"/>
        <w:shd w:val="clear" w:color="auto" w:fill="FFFFFF"/>
        <w:spacing w:before="0" w:after="0"/>
        <w:jc w:val="both"/>
        <w:rPr>
          <w:color w:val="000000" w:themeColor="text1"/>
          <w:sz w:val="16"/>
          <w:szCs w:val="16"/>
        </w:rPr>
      </w:pPr>
      <w:r w:rsidRPr="008127F8">
        <w:rPr>
          <w:iCs/>
          <w:color w:val="000000" w:themeColor="text1"/>
          <w:sz w:val="16"/>
          <w:szCs w:val="16"/>
        </w:rPr>
        <w:t xml:space="preserve">Докладывая изложенное, прошу Вашего разрешения на прекращение всех работ по 107 мм противотанковой пушке М-75 и аналогичных работ Государственного Ордена Ленина завода №92 им. Сталина по 85 мм и 107 мм противотанковым пушкам «ЗИС-23» и «ЗИС-24». </w:t>
      </w:r>
      <w:r w:rsidRPr="008127F8">
        <w:rPr>
          <w:color w:val="000000" w:themeColor="text1"/>
          <w:sz w:val="16"/>
          <w:szCs w:val="16"/>
        </w:rPr>
        <w:t xml:space="preserve">Нарком вооружений генерал-полковник Воронов, написавший это письмо Сталину, не знал, что как раз в это самое время КБ Фердинанда Порше начало разработку сверхтяжёлого танка, против которого и создавались советские сверхмощные ПТО. До фронта, впрочем, ни VK 100.01, ни даже </w:t>
      </w:r>
      <w:hyperlink r:id="rId114" w:history="1">
        <w:r w:rsidRPr="008127F8">
          <w:rPr>
            <w:rStyle w:val="a6"/>
            <w:color w:val="000000" w:themeColor="text1"/>
            <w:sz w:val="16"/>
            <w:szCs w:val="16"/>
            <w:u w:val="none"/>
          </w:rPr>
          <w:t>Pz.Kpfw. Maus</w:t>
        </w:r>
      </w:hyperlink>
      <w:r w:rsidRPr="008127F8">
        <w:rPr>
          <w:color w:val="000000" w:themeColor="text1"/>
          <w:sz w:val="16"/>
          <w:szCs w:val="16"/>
        </w:rPr>
        <w:t xml:space="preserve"> так и не доехали. Тем не менее, о М75 вспомнили ещё раз – в 1943 году </w:t>
      </w:r>
      <w:r w:rsidRPr="008127F8">
        <w:rPr>
          <w:iCs/>
          <w:color w:val="000000" w:themeColor="text1"/>
          <w:sz w:val="16"/>
          <w:szCs w:val="16"/>
        </w:rPr>
        <w:t>(17108).</w:t>
      </w:r>
    </w:p>
    <w:p w14:paraId="410BC730" w14:textId="77777777" w:rsidR="001D5126" w:rsidRPr="008127F8" w:rsidRDefault="001D5126" w:rsidP="001E0A84">
      <w:pPr>
        <w:shd w:val="clear" w:color="auto" w:fill="FFFFFF"/>
        <w:spacing w:after="0" w:line="240" w:lineRule="auto"/>
        <w:jc w:val="both"/>
        <w:rPr>
          <w:rFonts w:ascii="Times New Roman" w:hAnsi="Times New Roman"/>
          <w:color w:val="000000" w:themeColor="text1"/>
          <w:sz w:val="16"/>
          <w:szCs w:val="16"/>
        </w:rPr>
      </w:pPr>
    </w:p>
    <w:p w14:paraId="7BE5414B"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22 апреля 1942 года последовал вердикт о прекращении работ по сверхмощным противотанковым пушкам:</w:t>
      </w:r>
    </w:p>
    <w:p w14:paraId="2506D7AE"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«Так как опыт сорвеменной войны не подтвердил необходимости применения подобного рода пушек для борьбы с танками, дальнейшую доработку пушки «М-75» и боекомплекта к ней, с целью устранения всех недостатков, считаю нецелесообразной.</w:t>
      </w:r>
    </w:p>
    <w:p w14:paraId="128CE463"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Докладывая изложенное, прошу Вашего разрешения на прекращение всех работ по 107 мм противотанковой пушке М-75 и аналогичных работ Государственного Ордена Ленина завода №92 им. Сталина по 85 мм и 107 мм противотанковым пушкам «ЗИС-23» и «ЗИС-24».</w:t>
      </w:r>
    </w:p>
    <w:p w14:paraId="422269F4"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Нарком вооружений генерал-полковник Воронов, написавший это письмо Сталину, не знал, что как раз в это самое время КБ Фердинанда Порше начало разработку сверхтяжёлого танка, против которого и создавались советские сверхмощные ПТО. До фронта, впрочем, ни VK 100.01, ни даже Маус так и не доехали. Тем не менее, о М75 вспомнили ещё раз – в 1943 году (17650).</w:t>
      </w:r>
    </w:p>
    <w:p w14:paraId="3D479420"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7E0A6B55" w14:textId="77777777" w:rsidR="001D5126" w:rsidRPr="008127F8" w:rsidRDefault="001D5126"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года приказом по Горьковскому автозаводу устанавливался темп сборки танков Т-70 по 10 машин в сутки (15218).</w:t>
      </w:r>
    </w:p>
    <w:p w14:paraId="70C4A8AB" w14:textId="77777777" w:rsidR="001D5126" w:rsidRPr="008127F8" w:rsidRDefault="001D5126" w:rsidP="001E0A84">
      <w:pPr>
        <w:widowControl w:val="0"/>
        <w:spacing w:after="0" w:line="240" w:lineRule="auto"/>
        <w:jc w:val="both"/>
        <w:rPr>
          <w:rFonts w:ascii="Times New Roman" w:hAnsi="Times New Roman"/>
          <w:color w:val="000000" w:themeColor="text1"/>
          <w:sz w:val="16"/>
          <w:szCs w:val="16"/>
        </w:rPr>
      </w:pPr>
    </w:p>
    <w:p w14:paraId="43878DA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 появился ОТЧЕТ О БОЕВЫХ УСПЕХАХ В БОРЬБЕ С РУССКИМИ ТАНКАМИ ОБЕРЕФРЕЙТОРА КЦЕРНЕК И ЕФРЕЙТОРА РЕКЦЮГЕЛЬ 10 РОТЫ 49 ЕГЕРСКОГО ПОЛКА, ВООРУЖЕННЫХ ТЯЖЕЛЫМ ПРОТИВОТАНКОВЫМ РУЖЬЕМ</w:t>
      </w:r>
    </w:p>
    <w:p w14:paraId="4251F7F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время атаки русских танков 9.4.1942 г. и 11.4.1942 г. танки основной массой прорвались к главному полю боя на южном берегу озера, расположенного </w:t>
      </w:r>
      <w:proofErr w:type="gramStart"/>
      <w:r w:rsidRPr="008127F8">
        <w:rPr>
          <w:rFonts w:ascii="Times New Roman" w:hAnsi="Times New Roman"/>
          <w:color w:val="000000" w:themeColor="text1"/>
          <w:sz w:val="16"/>
          <w:szCs w:val="16"/>
        </w:rPr>
        <w:t>южнее</w:t>
      </w:r>
      <w:proofErr w:type="gramEnd"/>
      <w:r w:rsidRPr="008127F8">
        <w:rPr>
          <w:rFonts w:ascii="Times New Roman" w:hAnsi="Times New Roman"/>
          <w:color w:val="000000" w:themeColor="text1"/>
          <w:sz w:val="16"/>
          <w:szCs w:val="16"/>
        </w:rPr>
        <w:t xml:space="preserve"> Коя-Ассан. С наблюдательного пункта танки вначале не могли быть замечены, так как они подходили по лощине. В массе танки бы</w:t>
      </w:r>
      <w:r w:rsidRPr="008127F8">
        <w:rPr>
          <w:rFonts w:ascii="Times New Roman" w:hAnsi="Times New Roman"/>
          <w:color w:val="000000" w:themeColor="text1"/>
          <w:sz w:val="16"/>
          <w:szCs w:val="16"/>
        </w:rPr>
        <w:softHyphen/>
        <w:t>ли замечены, когда они находились слева, позади противотанкового ружья и, частично, когда они двигались на обратном пути с командного пункта батальона к своим позициям. Все танки были об</w:t>
      </w:r>
      <w:r w:rsidRPr="008127F8">
        <w:rPr>
          <w:rFonts w:ascii="Times New Roman" w:hAnsi="Times New Roman"/>
          <w:color w:val="000000" w:themeColor="text1"/>
          <w:sz w:val="16"/>
          <w:szCs w:val="16"/>
        </w:rPr>
        <w:softHyphen/>
        <w:t>стреляны не в лоб, а с флангов или большей частью сзади.</w:t>
      </w:r>
    </w:p>
    <w:p w14:paraId="5DA19BD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Действие тяжелого противотанкового ружья 41.</w:t>
      </w:r>
    </w:p>
    <w:p w14:paraId="1BE43EE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Были уничтожены следующие типы танков:</w:t>
      </w:r>
    </w:p>
    <w:p w14:paraId="1E4EF04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09.4.1942 г. - 9 Т-26 С </w:t>
      </w:r>
      <w:proofErr w:type="gramStart"/>
      <w:r w:rsidRPr="008127F8">
        <w:rPr>
          <w:rFonts w:ascii="Times New Roman" w:hAnsi="Times New Roman"/>
          <w:color w:val="000000" w:themeColor="text1"/>
          <w:sz w:val="16"/>
          <w:szCs w:val="16"/>
        </w:rPr>
        <w:t>( из</w:t>
      </w:r>
      <w:proofErr w:type="gramEnd"/>
      <w:r w:rsidRPr="008127F8">
        <w:rPr>
          <w:rFonts w:ascii="Times New Roman" w:hAnsi="Times New Roman"/>
          <w:color w:val="000000" w:themeColor="text1"/>
          <w:sz w:val="16"/>
          <w:szCs w:val="16"/>
        </w:rPr>
        <w:t xml:space="preserve"> них 7 оберефрейтором Кцернек, 2 ефрейтором Рекцюгель). 2 БТ-(7) </w:t>
      </w:r>
      <w:proofErr w:type="gramStart"/>
      <w:r w:rsidRPr="008127F8">
        <w:rPr>
          <w:rFonts w:ascii="Times New Roman" w:hAnsi="Times New Roman"/>
          <w:color w:val="000000" w:themeColor="text1"/>
          <w:sz w:val="16"/>
          <w:szCs w:val="16"/>
        </w:rPr>
        <w:t>( из</w:t>
      </w:r>
      <w:proofErr w:type="gramEnd"/>
      <w:r w:rsidRPr="008127F8">
        <w:rPr>
          <w:rFonts w:ascii="Times New Roman" w:hAnsi="Times New Roman"/>
          <w:color w:val="000000" w:themeColor="text1"/>
          <w:sz w:val="16"/>
          <w:szCs w:val="16"/>
        </w:rPr>
        <w:t xml:space="preserve"> них 1 оберефрейтором Кцернек, 1 ефрейтором Рекцюгель).</w:t>
      </w:r>
    </w:p>
    <w:p w14:paraId="55658A8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11.4.1942 г. - 4 Т-60 (все ефрейтором Рекцюгель, так как оберефрейтор Кцернек, бу</w:t>
      </w:r>
      <w:r w:rsidRPr="008127F8">
        <w:rPr>
          <w:rFonts w:ascii="Times New Roman" w:hAnsi="Times New Roman"/>
          <w:color w:val="000000" w:themeColor="text1"/>
          <w:sz w:val="16"/>
          <w:szCs w:val="16"/>
        </w:rPr>
        <w:softHyphen/>
        <w:t>дучи наводчиком № 1 9.4.1942 г. получил выстрел в руку и не мог стрелять).</w:t>
      </w:r>
    </w:p>
    <w:p w14:paraId="337FF44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были поражены со следующих дистанций и приблизительным расходом боеприпасов:</w:t>
      </w:r>
    </w:p>
    <w:p w14:paraId="4ECAE0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Т-26 С с дистанции около 40 м приблизительно 3 выстрела;</w:t>
      </w:r>
    </w:p>
    <w:p w14:paraId="581CC58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Т-26 С с дистанции около 100 м по 3 выстрела на каждый;</w:t>
      </w:r>
    </w:p>
    <w:p w14:paraId="62D259C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Т-26 С с дистанции около 150 м первый 1 выстрелом, второй — 5 выстрелами;</w:t>
      </w:r>
    </w:p>
    <w:p w14:paraId="3ACA24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БТ-(7) с дистанции около 400 м приблизительно 9 выстрелами;</w:t>
      </w:r>
    </w:p>
    <w:p w14:paraId="77DA64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Т-60 на расстоянии около 250 м приблизительно 4 выстрелами каждый;</w:t>
      </w:r>
    </w:p>
    <w:p w14:paraId="104ABB0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Т-60 на расстоянии около 550 м приблизительно 6 выстрелами каждый;</w:t>
      </w:r>
    </w:p>
    <w:p w14:paraId="1DF4EB4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Т-26 С на расстоянии около 600 м приблизительно 10 выстрелами каждый;</w:t>
      </w:r>
    </w:p>
    <w:p w14:paraId="57F3F6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БТ-(7) на расстоянии около 600 м приблизительно 10 выстрелами каждый.</w:t>
      </w:r>
    </w:p>
    <w:p w14:paraId="453C3E6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трех танков, все остальные сгорели. 9 апреля около вечера появился сзади усиленный 44-тонный танк КВ-1, который уже в течение дня был много раз безуспешно обстрелян и на обрат</w:t>
      </w:r>
      <w:r w:rsidRPr="008127F8">
        <w:rPr>
          <w:rFonts w:ascii="Times New Roman" w:hAnsi="Times New Roman"/>
          <w:color w:val="000000" w:themeColor="text1"/>
          <w:sz w:val="16"/>
          <w:szCs w:val="16"/>
        </w:rPr>
        <w:softHyphen/>
        <w:t>ном пути, на расстоянии около 50 м был снова обстрелян 12 выстрелами. Со столбом дыма на корме он проехал обратно к своей линии и исчез.</w:t>
      </w:r>
    </w:p>
    <w:p w14:paraId="33323D1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сзади подошел горящий танк Т-60, из которого экипаж после двух выстрелов по танку вы</w:t>
      </w:r>
      <w:r w:rsidRPr="008127F8">
        <w:rPr>
          <w:rFonts w:ascii="Times New Roman" w:hAnsi="Times New Roman"/>
          <w:color w:val="000000" w:themeColor="text1"/>
          <w:sz w:val="16"/>
          <w:szCs w:val="16"/>
        </w:rPr>
        <w:softHyphen/>
        <w:t>скочил. Танк остался лежать горящим. 10 рота не сообщила об уничтожение или о повреждение этих двух танков.</w:t>
      </w:r>
    </w:p>
    <w:p w14:paraId="295DC4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(Перевод с немецкого)</w:t>
      </w:r>
    </w:p>
    <w:p w14:paraId="0D5A0104"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651. Л. 36. Копия (11211).</w:t>
      </w:r>
    </w:p>
    <w:p w14:paraId="50E59C4B"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kern w:val="65535"/>
          <w:sz w:val="16"/>
          <w:szCs w:val="16"/>
        </w:rPr>
      </w:pPr>
    </w:p>
    <w:p w14:paraId="13A9B8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 был утвержден пр. П-19-0 (3898).</w:t>
      </w:r>
    </w:p>
    <w:p w14:paraId="711E66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478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 нарком ВМФ Н. Г. Кузнецов утвердил перечень из 170 пунктов недостатков эсминцев пр. 30, выявленных в первые месяцы войны (3898).</w:t>
      </w:r>
    </w:p>
    <w:p w14:paraId="6199AE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B3D1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8C438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B4055"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утреннее сообщение Совинформбюро:</w:t>
      </w:r>
    </w:p>
    <w:p w14:paraId="36CFC2A3"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22 апреля на фронте чего-либо существенного не произошло.</w:t>
      </w:r>
    </w:p>
    <w:p w14:paraId="5B6AC52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авиация несёт большие потери на советско-германском фронте. С 22 марта по 18 апреля включительно гитлеровцы потеряли 891 самолёт. Из них в первую неделю — с 22 по 28 марта — немцы потеряли 161 самолёт, за вторую — с 29 марта по 4 апреля — 296, за третью — с 5 по 11 апреля — 322, за четвёртую неделю — с 12 по 18 апреля — 112 самолётов.</w:t>
      </w:r>
    </w:p>
    <w:p w14:paraId="2A1B20A6"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потери за это же время — 239 самолётов.</w:t>
      </w:r>
    </w:p>
    <w:p w14:paraId="6DC036DA"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за день боевых действий уничтожила свыше 100 немецких солдат и офицеров и захватила 3 пулемёта, много винтовок и автоматов. На другом участке фронта наши части, преодолев сопротивление противника, заняли важный оборонительный рубеж. Немцы потеряли убитыми около 150 солдат и офицеров. Артиллерийским и миномётным огнём разрушено 3 ДЗОТа, уничтожено 12 пулемётов, 3 миномёта, 2 автомашины и обоз из 50 подвод. Над полем боя огнём из зенитного пулемёта сбит немецкий бомбардировщик «Ю-88».</w:t>
      </w:r>
    </w:p>
    <w:p w14:paraId="02052C08"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районе деревни К. на одном из участков Калининского фронта противник предпринял несколько контратак. Наши бойцы, отбросив немцев, нанесли им большой урон. Только на подступах к населённому пункту осталось 465 вражеских трупов. Взяты пленные. Захвачены автоматы, винтовки и боеприпасы. Ружейно-пулемётным огнём сбито два транспортных самолёта противника.</w:t>
      </w:r>
    </w:p>
    <w:p w14:paraId="1B76D280"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которым командует лейтенант Агапов, нанёс большой урон гитлеровцам. За один день боёв экипаж танка разрушил 3 вражеских ДЗОТа и уничтожил до 100 немецких солдат и офицеров.</w:t>
      </w:r>
    </w:p>
    <w:p w14:paraId="387636B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сапёрного батальона тов. Кузнецов за два дня обезвредил 512 немецких противотанковых мин.</w:t>
      </w:r>
    </w:p>
    <w:p w14:paraId="2A1D0C0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ефрейтор 1 роты 204 полка 97 немецкой пехотной дивизии Леопольд Копитланский рассказал: «В последних боях наш полк понёс огромные потери. В первой роте осталось 25 человек, а во второй — всего лишь 12. Сейчас командование бросает в бой хозяйственный персонал и всех нестроевиков. Солдаты считают себя обречёнными на бессмысленную смерть».</w:t>
      </w:r>
    </w:p>
    <w:p w14:paraId="376244D3"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кармане убитого немецкого унтер-офицера Вилли Кюндера найдено письмо его жены Эльзы. Она пишет: «Тебя гадко обманули, мой Вилли. Оказывается, ты поехал не во Францию, как тебе говорили, а в эту страшную Россию. О, это ужасно! То, чего ты так боялся, произошло. Вчера у нас была тётка Гертруда. Один раненый офицер ей рассказывал, что наши солдаты в России болеют тифом, плохо питаются и ужасно выглядят. Будь осторожнее и не суйся в опасные дела. Черт с ними, с наградами и крестами, лишь бы ты живым вернулся домой. До чего надоела проклятая война! Ты, наверное, ещё не знаешь, что наш сосед Леон Гард убит в России. Убит также Август Дучинц. Пауль Шмитгольд прислал письмо из госпиталя из Варшавы —ему миной оторвало обе ноги. Ранены также Эрих Штарт, Иозеф Крайнц, Иоганн Берг. Какой-то кошмар. Больше нет сил. Ради чего же мы все страдаем?».</w:t>
      </w:r>
    </w:p>
    <w:p w14:paraId="4FF730E9"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Стрени, Ленинградской области, гитлеровские изверги отобрали группу колхозников, насильно взяли у них кровь в размерах, значительно превышающих медицинские нормы, а затем расстреляли их на глазах у остальных жителей деревни.</w:t>
      </w:r>
    </w:p>
    <w:p w14:paraId="591C47D0"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ростом заболеваний немецких солдат сыпным и брюшным тифом в Влоцлавеке, Торне, Гнезене и других городах Польши гитлеровцы выселили многих жителей из домов и разместили в них больных солдат. В результате отсутствия медицинской помощи смертность среди больных достигает огромных размеров. Многие жители польских городов ежедневно заняты тем, что роют могилы для немецких солдат, умирающих в госпиталях.» (15107).</w:t>
      </w:r>
    </w:p>
    <w:p w14:paraId="2CFBE95B"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57340606"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вечернее сообщение Совинформбюро:</w:t>
      </w:r>
    </w:p>
    <w:p w14:paraId="01D7F657"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апреля на фронте ничего существенного не произошло.</w:t>
      </w:r>
    </w:p>
    <w:p w14:paraId="5512192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апреля уничтожено 32 немецких самолёта. Наши потери — 15 самолётов.</w:t>
      </w:r>
    </w:p>
    <w:p w14:paraId="325B09AB"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Баренцевом море потопили танкер противника водоизмещением в 5.000 тонн и один транспорт противника водоизмещением в 4.000 тонн.</w:t>
      </w:r>
    </w:p>
    <w:p w14:paraId="698EA735"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апреля частями нашей авиации уничтожено или повреждено 35 немецких автомашин с войсками и грузами, 12 полевых и зенитных орудий, 8 миномётов, рассеяно и частью уничтожено до роты пехоты противника.</w:t>
      </w:r>
    </w:p>
    <w:p w14:paraId="20B17E0A"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за последние дни уничтожила 8 немецких блиндажей, 3 артиллерийские и 2 миномётные батареи. Захвачено 13 пулемётов, 2 миномёта, автоматы и винтовки. На поле боя осталось свыше 400 вражеских трупов.</w:t>
      </w:r>
    </w:p>
    <w:p w14:paraId="543CFAAE"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взвод наших бойцов под командованием лейтенанта Петренко вступил в бои с немецким отрядом. 200 гитлеровцев, поддержанных 6 танками, на которых находились автоматчики, сделали попытку прорваться в расположение наших укреплений. Уже в первые минуты боя наступающая пехота противника была отсечена от танков и попала под фланкирующий огонь станкового пулемёта тов. Ахметова. Гранатометчики забросали немецкие танки гранатами и вывели из строя 2 машины. Гитлеровцы отступили, оставив 120 труповсолдат и офицеров.</w:t>
      </w:r>
    </w:p>
    <w:p w14:paraId="4269D62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в составе лейтенанта Жлибкина, механика-водителя Черненко и башенного стрелка Дзиканского, поддерживая наступление нашей пехоты, ворвался врасположение обороны противника. Огнём из пушек и пулемётов танкисты разрушили 3 вражеских ДЗОТа и уничтожили свыше 60 немецких солдат.</w:t>
      </w:r>
    </w:p>
    <w:p w14:paraId="71487F8F"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лейтенант Прошин и красноармеец Смолин, возвращаясь из разведки, заметили 7 идущих по лесной тропе немецких солдат. Укрывшись в кустах, советские разведчики огнем из автоматов уничтожили 6 гитлеровцев, а седьмой немецкий солдат сдался в плен.</w:t>
      </w:r>
    </w:p>
    <w:p w14:paraId="05528D69"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Военфельдшер гвардейской дивизии тов. Чентемиров за два дня вынес с поля боя 40 раненых бойцов и командиров вместе с их оружием.</w:t>
      </w:r>
    </w:p>
    <w:p w14:paraId="4B079D6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Г., действующий на оккупированной немцами территории Курской области, за последние дни истребил 83 гитлеровца и уничтожил 21 автомашину с военными грузами. В другом районе партизанский отряд под командованием тов. А. взорвал склад, в котором находилось 2.000 снарядов и другие боеприпасы. Партизаны этого отряда взорвали мост и уничтожили несколько немецко-фашистских захватчиков.</w:t>
      </w:r>
    </w:p>
    <w:p w14:paraId="7E2D80D4"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взвода связи 3 батальона 248 полка 88 немецкой пехотной дивизии Эрнст Гумер рассказал: «88 дивизия была расквартирована во Франции. В декабре прошлого года дивизию отправили в Россию. На фронте наш 3 батальон придали 44 пехотной дивизии. Батальон состоял из четырёх рот и насчитывал 700 человек. 11 марта мы первый раз участвовали в бою. За несколько дней батальон потерял убитыми и ранеными до 400 человек. Из строя выбыло много офицеров. Слева от нас держал оборону другой батальон 44 дивизии, который также понес крупные потери. Дисциплина в подразделениях падает. Обер-ефрейтор 12 роты Франк и ещё один ефрейтор, фамилию которого я не помню, отказались выполнить приказ командира роты и нагрубили ему. Ефрейторов забрали и под конвоем увезли. Среди солдат растёт недовольство, но они боятся офицеров».</w:t>
      </w:r>
    </w:p>
    <w:p w14:paraId="32B4491E"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Эрнст Шпани пишет своим родным: «...У всех солдат одно желание — хочется быть дома! Надеюсь, что скоро всё это кончится, иначе сойду сума... Если война ещё долго продлится, я наложу на себя руки, застрелюсь. Вероятно, так поступят многие...».</w:t>
      </w:r>
    </w:p>
    <w:p w14:paraId="4965C05E"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истребляют мирных жителей оккупированных ими советских сёл и городов. Только в нескольких деревнях и сёлах Старорусского иПолавского районов, Ленинградской области, гитлеровцы расстреляли и повесили 350 человек. В селе Парфино осталось 65 детей-сирот, отцы и матери которых убиты гитлеровцами. При отступлении фашистские бандиты сравняли с землёй десятки населённых пунктов.» (15107).</w:t>
      </w:r>
    </w:p>
    <w:p w14:paraId="5F91A007"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70B50A20" w14:textId="77777777" w:rsidR="00E912F0" w:rsidRPr="008127F8" w:rsidRDefault="00E912F0"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22 апреля 1942 корабль и его экипаж выполнили спец. Задание:</w:t>
      </w:r>
    </w:p>
    <w:p w14:paraId="6C5268CE"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 42015 - командир корабля полковник Алексеев, штурман майор Романов и майор Лебедев в 19 час 25 мин 22.4.42 г. стартовал с аэродрома Раменское на выполнение спец. задания.</w:t>
      </w:r>
    </w:p>
    <w:p w14:paraId="308B985B"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Линия фронта пройдена на высоте 3500 метров, после чего самолет начал снижаться.</w:t>
      </w:r>
    </w:p>
    <w:p w14:paraId="766095B9"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23 час 30 мин на высоте 400 метров в районе Сиесикай, 20 км северо-западнее Укмерге, выбросили группу № 1 в количестве</w:t>
      </w:r>
      <w:r w:rsidRPr="008127F8">
        <w:rPr>
          <w:rStyle w:val="10a"/>
          <w:rFonts w:ascii="Times New Roman" w:hAnsi="Times New Roman" w:cs="Times New Roman"/>
          <w:i w:val="0"/>
          <w:color w:val="000000" w:themeColor="text1"/>
          <w:sz w:val="16"/>
          <w:szCs w:val="16"/>
        </w:rPr>
        <w:t xml:space="preserve"> 6 </w:t>
      </w:r>
      <w:r w:rsidRPr="008127F8">
        <w:rPr>
          <w:color w:val="000000" w:themeColor="text1"/>
          <w:sz w:val="16"/>
          <w:szCs w:val="16"/>
        </w:rPr>
        <w:t>человек. Пять человек приземлились у опушки леса, а один зацепился куполом за дутик. Помощником борттехника была вырезана обшивка и в 23 час 53 мин он был отцеплен в районе Троки-Наве - 23 км западнее г. Вильно.</w:t>
      </w:r>
    </w:p>
    <w:p w14:paraId="725CE306"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24.00 на высоте 400 метров была выброшена вторая группа в количестве 7 человек в точке № 2,10-15 км восточнее Олькеники.</w:t>
      </w:r>
    </w:p>
    <w:p w14:paraId="707E5117"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Группа приземлилась благополучно.</w:t>
      </w:r>
    </w:p>
    <w:p w14:paraId="38F9DF8F"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Набрав высоту 1200 метров в 00 час 12 мин сброшено бомб 6 шт. ФАБ-100 на жел. дор. узел города Вильно. Бомбы попали по путям восточной части узла. Сброшенные 2 шт. САБ-25 осветили г. Вильно и воздушные стрелки открыли огонь по городу. Было израсходовано 57 снарядов пушки "ШВАК" и 70 патронов "БТ".</w:t>
      </w:r>
    </w:p>
    <w:p w14:paraId="650242B2"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районе</w:t>
      </w:r>
      <w:r w:rsidRPr="008127F8">
        <w:rPr>
          <w:rStyle w:val="10105pt"/>
          <w:rFonts w:ascii="Times New Roman" w:hAnsi="Times New Roman" w:cs="Times New Roman"/>
          <w:i w:val="0"/>
          <w:color w:val="000000" w:themeColor="text1"/>
          <w:sz w:val="16"/>
          <w:szCs w:val="16"/>
        </w:rPr>
        <w:t xml:space="preserve"> г.</w:t>
      </w:r>
      <w:r w:rsidRPr="008127F8">
        <w:rPr>
          <w:color w:val="000000" w:themeColor="text1"/>
          <w:sz w:val="16"/>
          <w:szCs w:val="16"/>
        </w:rPr>
        <w:t xml:space="preserve"> Вильно сброшено 120 тыс. листовок.</w:t>
      </w:r>
    </w:p>
    <w:p w14:paraId="22C58706"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У</w:t>
      </w:r>
      <w:r w:rsidRPr="008127F8">
        <w:rPr>
          <w:rStyle w:val="10105pt"/>
          <w:rFonts w:ascii="Times New Roman" w:hAnsi="Times New Roman" w:cs="Times New Roman"/>
          <w:i w:val="0"/>
          <w:color w:val="000000" w:themeColor="text1"/>
          <w:sz w:val="16"/>
          <w:szCs w:val="16"/>
        </w:rPr>
        <w:t xml:space="preserve"> г.</w:t>
      </w:r>
      <w:r w:rsidRPr="008127F8">
        <w:rPr>
          <w:color w:val="000000" w:themeColor="text1"/>
          <w:sz w:val="16"/>
          <w:szCs w:val="16"/>
        </w:rPr>
        <w:t xml:space="preserve"> Вильно корабль обстрелян слабым огнем ЗА малого калибра с 2-х огневых точек.</w:t>
      </w:r>
    </w:p>
    <w:p w14:paraId="0ED9BB49"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 3 час. 25 мин экипаж произвел посадку на своем аэродроме благополучно. Продолжительность полета 8 час 00 мин. Потерь нет. Матчасть самолета исправна.</w:t>
      </w:r>
    </w:p>
    <w:p w14:paraId="51F2ABA5"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Командир полка полковник Лебедев</w:t>
      </w:r>
    </w:p>
    <w:p w14:paraId="65AFC7C2"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Военком полка ст. бат. комиссар Брюзгин</w:t>
      </w:r>
    </w:p>
    <w:p w14:paraId="238F501E" w14:textId="77777777" w:rsidR="00E912F0" w:rsidRPr="008127F8" w:rsidRDefault="00E912F0"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t>Нач. штаба подполковник Иващенко (19105).</w:t>
      </w:r>
    </w:p>
    <w:p w14:paraId="4C01654A" w14:textId="77777777" w:rsidR="00E912F0" w:rsidRPr="008127F8" w:rsidRDefault="00E912F0" w:rsidP="001E0A84">
      <w:pPr>
        <w:pStyle w:val="109"/>
        <w:shd w:val="clear" w:color="auto" w:fill="auto"/>
        <w:spacing w:line="240" w:lineRule="auto"/>
        <w:jc w:val="both"/>
        <w:rPr>
          <w:color w:val="000000" w:themeColor="text1"/>
          <w:sz w:val="16"/>
          <w:szCs w:val="16"/>
        </w:rPr>
      </w:pPr>
    </w:p>
    <w:p w14:paraId="6C97B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вышло Постановление ГКО № 1628 О ВВС. РГАНИР, Фонд ГКО, д. 31, лл. 95 (11012).</w:t>
      </w:r>
    </w:p>
    <w:p w14:paraId="129F4B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886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с получением новых Ли-2 начала формироваться 1 ад из состава 101 и 102 транспортных авиаполков, которая вошла в АДД. Прибыло 30 экипажей (4143,35).</w:t>
      </w:r>
    </w:p>
    <w:p w14:paraId="3BDB08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11C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апреля 1942 было подготовлено два экипажа НБ на Ли-2 (4143,35).</w:t>
      </w:r>
    </w:p>
    <w:p w14:paraId="28D29B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FDC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колхозники обнаружили А.Маресьева. Полз 18 дней (3044,109).</w:t>
      </w:r>
    </w:p>
    <w:p w14:paraId="1FB713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3B3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22 апреля 1942 командир I./KG27 «Бельке» получил приказ произвести налет на Сталинград. Как только стемнело, «Хейнкели» поднялись в воздух и, набрав высоту 5000 м, направились на восток. До города было около 900 км, поэтому операция представлялась достаточно сложной. Бомбардировщики шли в легком облачном слое, при этом ясная лунная ночь облегчала ориентирование на местности. При подходе к цели облака рассеялись, и вскоре летчики увидели внизу блестящую ленту реки. Пройдя над большим изгибом Волги и островом Сарпинский, являвшимися основными ориентирами, самолеты повернули в сторону Сталинграда. X. Райф, член экипажа Не-111 «1G+FL» из </w:t>
      </w:r>
      <w:proofErr w:type="gramStart"/>
      <w:r w:rsidRPr="008127F8">
        <w:rPr>
          <w:rFonts w:ascii="Times New Roman" w:hAnsi="Times New Roman"/>
          <w:color w:val="000000" w:themeColor="text1"/>
          <w:sz w:val="16"/>
          <w:szCs w:val="16"/>
        </w:rPr>
        <w:t>3./</w:t>
      </w:r>
      <w:proofErr w:type="gramEnd"/>
      <w:r w:rsidRPr="008127F8">
        <w:rPr>
          <w:rFonts w:ascii="Times New Roman" w:hAnsi="Times New Roman"/>
          <w:color w:val="000000" w:themeColor="text1"/>
          <w:sz w:val="16"/>
          <w:szCs w:val="16"/>
        </w:rPr>
        <w:t xml:space="preserve">KG27, впоследствии вспоминал:  «Город можно было легко найти и без этой светлой ночи, так как там был сильный зенитный огонь, но разрывы были на дистанции от нашей атакующей машины, к тому же небо освещали более 50 прожекторов. При атаке цели мы использовали тактику бесшумного полета с приглушенными, сильно задроселлированными моторами на пониженных оборотах. Благодаря этому мы вводили в заблуждение звукоулавливатели так, что ни зенитки, ни прожекторы не могли нас „прихватить“».  Объекты атаки были поделены между экипажами, в частности Не-1 ПН «1G+LH» лейтенанта Хорста Эйхлера наносил удар по артиллерийскому заводу «Баррикады». В ходе налета на город были сброшены несколько десятков тяжелых фугасных бомб и тысячи мелких зажигалок. Только на тракторный завод и прилегающую территорию упали около 1500 зажигательных бомб и 15 «фугасок». Были повреждены цеха, полыхали дома в жилом секторе. Многочисленные очаги пожаров возникли на заводах «Баррикады» и «Красный Октябрь». Кроме того, несколько бомб разорвались на </w:t>
      </w:r>
      <w:r w:rsidRPr="008127F8">
        <w:rPr>
          <w:rFonts w:ascii="Times New Roman" w:hAnsi="Times New Roman"/>
          <w:color w:val="000000" w:themeColor="text1"/>
          <w:sz w:val="16"/>
          <w:szCs w:val="16"/>
        </w:rPr>
        <w:lastRenderedPageBreak/>
        <w:t>железнодорожной станции Сталинград-2 и в речном порту. Несмотря на сильный заградительный огонь, все «Хейнкели» благополучно вернулись обратно в Кировоград после 6,5 часа полета. При этом советских ночных истребителей в воздухе замечено не было. На следующий день Сталинградский комитет обороны, напуганный неожиданным налетом, принял несколько постановлений, в т.ч. «Об охране судоходства по р. Волге от воздушного нападения противника на участке Камышин – Астрахань». В нем говорилось о необходимости ввести патрулирование Волги истребительной авиацией, установить зенитные батареи на берегу для прикрытия стоянок судов и затонов, вооружить крупные буксиры-нефтевозы. Однако из-за нехватки сил и средств эти заблаговременные решения остались невыполненными (11774).</w:t>
      </w:r>
    </w:p>
    <w:p w14:paraId="6AB055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FF6E0"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в ночь на 22 апреля 1942 года над Сталинградом появились «Не-111» из 3-го отряда 27-й эскадры "Бельке". В этот период город находился ещё в глубоком тылу. Целью налета были Сталинградский тракторный и артиллерийский завод "Баррикады". В отечественных источниках этот налет упоминается как первый массированный удар по городу. По данным МПВО на тракторный завод, "Баррикады", "Красный Октябрь", железнодорожную станцию "Сталинград-2" и речной порт было сброшено 11 фугасных и около тысячи зажигательных бомб (15107).</w:t>
      </w:r>
    </w:p>
    <w:p w14:paraId="700E9DAE"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473F284C" w14:textId="77777777" w:rsidR="00D96242" w:rsidRPr="008127F8" w:rsidRDefault="00D962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г. в ре</w:t>
      </w:r>
      <w:r w:rsidRPr="008127F8">
        <w:rPr>
          <w:rFonts w:ascii="Times New Roman" w:hAnsi="Times New Roman"/>
          <w:color w:val="000000" w:themeColor="text1"/>
          <w:sz w:val="16"/>
          <w:szCs w:val="16"/>
        </w:rPr>
        <w:softHyphen/>
        <w:t>зультате немецкой бомбежки в Севастополе были унич</w:t>
      </w:r>
      <w:r w:rsidRPr="008127F8">
        <w:rPr>
          <w:rFonts w:ascii="Times New Roman" w:hAnsi="Times New Roman"/>
          <w:color w:val="000000" w:themeColor="text1"/>
          <w:sz w:val="16"/>
          <w:szCs w:val="16"/>
        </w:rPr>
        <w:softHyphen/>
        <w:t>тожены два самолета ГСТ. Один ГСТ готовился к вылету на выброску груза партизанам, второй менял двигатель. А 30 апреля одна летающая лодка была разбита артилле</w:t>
      </w:r>
      <w:r w:rsidRPr="008127F8">
        <w:rPr>
          <w:rFonts w:ascii="Times New Roman" w:hAnsi="Times New Roman"/>
          <w:color w:val="000000" w:themeColor="text1"/>
          <w:sz w:val="16"/>
          <w:szCs w:val="16"/>
        </w:rPr>
        <w:softHyphen/>
        <w:t>рией противника. Учитывая обстановку, такие потери следует признать весьма умеренными (19852).</w:t>
      </w:r>
    </w:p>
    <w:p w14:paraId="5CF9BCAE" w14:textId="77777777" w:rsidR="00D96242" w:rsidRPr="008127F8" w:rsidRDefault="00D96242" w:rsidP="001E0A84">
      <w:pPr>
        <w:spacing w:after="0" w:line="240" w:lineRule="auto"/>
        <w:jc w:val="both"/>
        <w:rPr>
          <w:rFonts w:ascii="Times New Roman" w:hAnsi="Times New Roman"/>
          <w:color w:val="000000" w:themeColor="text1"/>
          <w:sz w:val="16"/>
          <w:szCs w:val="16"/>
        </w:rPr>
      </w:pPr>
    </w:p>
    <w:p w14:paraId="7BC3FFC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2938D1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CFFB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w:t>
      </w:r>
    </w:p>
    <w:p w14:paraId="5CFC35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У. ЧЕРЧИЛЛЮ *</w:t>
      </w:r>
    </w:p>
    <w:p w14:paraId="52AF82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ЛИЧНО И СЕКРЕТНО</w:t>
      </w:r>
    </w:p>
    <w:p w14:paraId="32296C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Благодарю Вас за выраженную Вами готовность обратиться в начале мая к Германии и Финляндии с предупреждением относительно применения Англией ядовитых газов в случае, если Германия и Финляндия прибегнут к этому оружию в войне против СССР.</w:t>
      </w:r>
    </w:p>
    <w:p w14:paraId="7A324D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Выражаю Вам признательность за готовность поставить 1000 тони иприта и 1000 тонн хлора. Но так как СССР ощущает более острую нужду в других химических продуктах, то Советское Правительство желало бы вместо указанных выше продуктов получить 1000 тонн гипохлорида кальция и 1000 тонн хлорамина или, в случае невозможности поставки этих продуктов, 2000 тонн жидкого хлора в баллонах.</w:t>
      </w:r>
    </w:p>
    <w:p w14:paraId="76E232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Советское Правительство намерено командировать в Лондон Заместителя Народного Комиссара Химической Промышленности Андрея Георгиевича Касаткина в качестве своего эксперта по вопросам химической защиты и контрнападения.</w:t>
      </w:r>
    </w:p>
    <w:p w14:paraId="5EB999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днях Советское Правительство получило от г. Идена проекты двух договоров между СССР и Англией, существенно отличающиеся в некоторых пунктах от текста договоров, фигурировавших во время пребывания г. Идена в Москве</w:t>
      </w:r>
      <w:r w:rsidRPr="008127F8">
        <w:rPr>
          <w:rFonts w:ascii="Times New Roman" w:hAnsi="Times New Roman"/>
          <w:color w:val="000000" w:themeColor="text1"/>
          <w:sz w:val="16"/>
          <w:szCs w:val="16"/>
          <w:vertAlign w:val="superscript"/>
        </w:rPr>
        <w:t>16</w:t>
      </w:r>
      <w:r w:rsidRPr="008127F8">
        <w:rPr>
          <w:rFonts w:ascii="Times New Roman" w:hAnsi="Times New Roman"/>
          <w:color w:val="000000" w:themeColor="text1"/>
          <w:sz w:val="16"/>
          <w:szCs w:val="16"/>
        </w:rPr>
        <w:t>. Ввиду того что это обстоятельство ведет к новым разногласиям, которые трудно исчерпать в порядке переписки, Советское Правительство решило, несмотря на все трудности, направить в Лондон В. М. Молотова для исчерпания путем личных переговоров всех вопросов, тормозящих подписание договоров. Это тем более необходимо, что вопрос о создании второго фронта в Европе, поставленный в последнем послании Президента США г. Рузвельта на мое имя с приглашением В. М. Молотова в Вашингтон для обсуждения этого вопроса, требует предварительного обмена мнений между представителями наших правительств.</w:t>
      </w:r>
    </w:p>
    <w:p w14:paraId="113E99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Примите мой привет и пожелание успеха в борьбе с врагами Великобритании.</w:t>
      </w:r>
    </w:p>
    <w:p w14:paraId="299852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 (7430).</w:t>
      </w:r>
    </w:p>
    <w:p w14:paraId="5392E4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622928" w14:textId="77777777" w:rsidR="001D5126"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1D1B294" w14:textId="77777777" w:rsidR="001D5126" w:rsidRPr="008127F8" w:rsidRDefault="001D5126"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BCC9CE"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германский Генеральный экономический совет преобразован в Совет Центрального Планирования (15107).</w:t>
      </w:r>
    </w:p>
    <w:p w14:paraId="1996CF36"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4998094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в 1942 году северо-Восточнее Бермудских островов первый подводный танкер «U-459» (ХIV серия, 1700 тонн) производит первую заправку подводной лодки – «U-108» (15107).</w:t>
      </w:r>
    </w:p>
    <w:p w14:paraId="68A7FD1E"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5936822C" w14:textId="77777777" w:rsidR="00D96242" w:rsidRPr="008127F8" w:rsidRDefault="00D962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апреля 1942 ВВС США формируют Командование переправы в Китай для поддержки военных действий союзников на театре военных действий Китай-Бирма-Индия (20793).</w:t>
      </w:r>
    </w:p>
    <w:p w14:paraId="1B2CC5AD" w14:textId="77777777" w:rsidR="00D96242" w:rsidRPr="008127F8" w:rsidRDefault="00D96242" w:rsidP="001E0A84">
      <w:pPr>
        <w:spacing w:after="0" w:line="240" w:lineRule="auto"/>
        <w:jc w:val="both"/>
        <w:rPr>
          <w:rFonts w:ascii="Times New Roman" w:hAnsi="Times New Roman"/>
          <w:color w:val="000000" w:themeColor="text1"/>
          <w:sz w:val="16"/>
          <w:szCs w:val="16"/>
        </w:rPr>
      </w:pPr>
    </w:p>
    <w:p w14:paraId="0FA6676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DDAA0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3C246"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23 апреля 1942 по представлению заместителя начальника ГУ ВВС генерал-лейтенанта Петрова акт по результатам испытаний Ил-2 М-82 и заключение к нему утвердил командующий ВВС КА генерал-лейтенант Новиков.</w:t>
      </w:r>
    </w:p>
    <w:p w14:paraId="0D80C249" w14:textId="77777777" w:rsidR="00E912F0" w:rsidRPr="008127F8" w:rsidRDefault="00E912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уже на следующий день Новикову на стол лег отчет НИИ ВВС по результатам государственных испытаний опытного штурмовика Су-6 конструкции ОКБ Сухого с мотором М-71, Из материа</w:t>
      </w:r>
      <w:r w:rsidRPr="008127F8">
        <w:rPr>
          <w:rFonts w:ascii="Times New Roman" w:hAnsi="Times New Roman"/>
          <w:color w:val="000000" w:themeColor="text1"/>
          <w:sz w:val="16"/>
          <w:szCs w:val="16"/>
        </w:rPr>
        <w:softHyphen/>
        <w:t>лов отчета следовало, что с нормальной боевой нагрузкой (10 РС-132,200 кг бомб, 2 пушки ВЯ и 4 ШКАС с боеком</w:t>
      </w:r>
      <w:r w:rsidRPr="008127F8">
        <w:rPr>
          <w:rFonts w:ascii="Times New Roman" w:hAnsi="Times New Roman"/>
          <w:color w:val="000000" w:themeColor="text1"/>
          <w:sz w:val="16"/>
          <w:szCs w:val="16"/>
        </w:rPr>
        <w:softHyphen/>
        <w:t>плектом) Су-6 М-71 по определяющим летно-боевым качествам значительно превосходит и серийный Ил-2 АМ-38, и опытный Ил-2 М-82. Максимальная ско</w:t>
      </w:r>
      <w:r w:rsidRPr="008127F8">
        <w:rPr>
          <w:rFonts w:ascii="Times New Roman" w:hAnsi="Times New Roman"/>
          <w:color w:val="000000" w:themeColor="text1"/>
          <w:sz w:val="16"/>
          <w:szCs w:val="16"/>
        </w:rPr>
        <w:softHyphen/>
        <w:t>рость у земли достигала 445 км/ч (496 км/ч на форсаже). Весьма важным пре</w:t>
      </w:r>
      <w:r w:rsidRPr="008127F8">
        <w:rPr>
          <w:rFonts w:ascii="Times New Roman" w:hAnsi="Times New Roman"/>
          <w:color w:val="000000" w:themeColor="text1"/>
          <w:sz w:val="16"/>
          <w:szCs w:val="16"/>
        </w:rPr>
        <w:softHyphen/>
        <w:t>имуществом Су-6 М-71 являлись более высокие величины диапазона рабочих скоростей, маневренной перегрузки и приемистости. На Су-6 появлялась возможность практически реализовать метод атаки цели с форсированного боевого разворота со средних высот. Резко возрастала эффективность ударов (улучшались условия прицеливания, стрельбы и бомбометания) и одновре</w:t>
      </w:r>
      <w:r w:rsidRPr="008127F8">
        <w:rPr>
          <w:rFonts w:ascii="Times New Roman" w:hAnsi="Times New Roman"/>
          <w:color w:val="000000" w:themeColor="text1"/>
          <w:sz w:val="16"/>
          <w:szCs w:val="16"/>
        </w:rPr>
        <w:softHyphen/>
        <w:t>менно уменьшалась вероятность сбития огнем зенитной артиллерии противника. За боевой разворот с высоты 100-200 м самолет с нормальной боевой нагрузкой выходил на рабочую высоту для атаки цели - 600-800 м. При этом боевой разворот выполнялся за минимальное время. На начальном этапе маневр получался энергичным и с высокой перегрузкой, а достаточно большой угол крена в конце боевого разворота позволял более интенсивно выполнять участок ввода самолета в пикирование. Продолжительность атаки и простран</w:t>
      </w:r>
      <w:r w:rsidRPr="008127F8">
        <w:rPr>
          <w:rFonts w:ascii="Times New Roman" w:hAnsi="Times New Roman"/>
          <w:color w:val="000000" w:themeColor="text1"/>
          <w:sz w:val="16"/>
          <w:szCs w:val="16"/>
        </w:rPr>
        <w:softHyphen/>
        <w:t>ственный размах круга сокращались. Все это вместе взятое затрудняло зенитным расчетам противника вести прицельный огонь.</w:t>
      </w:r>
    </w:p>
    <w:p w14:paraId="1FAA2F9B"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По всему выходило, что Су-6 М-71 </w:t>
      </w:r>
      <w:proofErr w:type="gramStart"/>
      <w:r w:rsidRPr="008127F8">
        <w:rPr>
          <w:rFonts w:ascii="Times New Roman" w:hAnsi="Times New Roman" w:cs="Times New Roman"/>
          <w:color w:val="000000" w:themeColor="text1"/>
          <w:sz w:val="16"/>
          <w:szCs w:val="16"/>
        </w:rPr>
        <w:t>- это</w:t>
      </w:r>
      <w:proofErr w:type="gramEnd"/>
      <w:r w:rsidRPr="008127F8">
        <w:rPr>
          <w:rFonts w:ascii="Times New Roman" w:hAnsi="Times New Roman" w:cs="Times New Roman"/>
          <w:color w:val="000000" w:themeColor="text1"/>
          <w:sz w:val="16"/>
          <w:szCs w:val="16"/>
        </w:rPr>
        <w:t xml:space="preserve"> тот штурмовик, который крайне необходим ВВС КА на фронте. К этому времени Управление опытного строи</w:t>
      </w:r>
      <w:r w:rsidRPr="008127F8">
        <w:rPr>
          <w:rFonts w:ascii="Times New Roman" w:hAnsi="Times New Roman" w:cs="Times New Roman"/>
          <w:color w:val="000000" w:themeColor="text1"/>
          <w:sz w:val="16"/>
          <w:szCs w:val="16"/>
        </w:rPr>
        <w:softHyphen/>
        <w:t>тельства ГУ И АС ВВС уже проработало вопрос о выпуске опытной серии Су-6 М-71 в количестве 25 самолетов для проведения фронтовых испытаний и подготовило проект соответствующего постановления ГКО.</w:t>
      </w:r>
    </w:p>
    <w:p w14:paraId="5EF112EA"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Однако еще был двухместный Ил-2 М-82 и утвержденная накануне рекомен</w:t>
      </w:r>
      <w:r w:rsidRPr="008127F8">
        <w:rPr>
          <w:rFonts w:ascii="Times New Roman" w:hAnsi="Times New Roman" w:cs="Times New Roman"/>
          <w:color w:val="000000" w:themeColor="text1"/>
          <w:sz w:val="16"/>
          <w:szCs w:val="16"/>
        </w:rPr>
        <w:softHyphen/>
        <w:t>дация по его внедрению в серию. Получа</w:t>
      </w:r>
      <w:r w:rsidRPr="008127F8">
        <w:rPr>
          <w:rFonts w:ascii="Times New Roman" w:hAnsi="Times New Roman" w:cs="Times New Roman"/>
          <w:color w:val="000000" w:themeColor="text1"/>
          <w:sz w:val="16"/>
          <w:szCs w:val="16"/>
        </w:rPr>
        <w:softHyphen/>
        <w:t>лось так, что если ставить на вооружение Ил-2 М-82, то шансы запустить большую серию Су-6 М-71 сводились к нулю. Производственные мощности завода № 19, который собирал М-82 и М-71, все же были не безграничными.</w:t>
      </w:r>
    </w:p>
    <w:p w14:paraId="616F9165"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Здесь следует учитывать, что в это время на заводе № 21 в Горьком успешно проходил испытания модернизированный в ОКБ Лавочкина истребитель ЛаГГ-3 с мотором М-82 (будущий Ла-5), летные данные которого были выше, чем у ЛаГГ-3 с мотором М-105П. Предполагался запуск самолета в массовое производство.</w:t>
      </w:r>
    </w:p>
    <w:p w14:paraId="1029A93C"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Оценив обстановку, Новиков утвер</w:t>
      </w:r>
      <w:r w:rsidRPr="008127F8">
        <w:rPr>
          <w:rFonts w:ascii="Times New Roman" w:hAnsi="Times New Roman" w:cs="Times New Roman"/>
          <w:color w:val="000000" w:themeColor="text1"/>
          <w:sz w:val="16"/>
          <w:szCs w:val="16"/>
        </w:rPr>
        <w:softHyphen/>
        <w:t>ждает акт по государственным испыта</w:t>
      </w:r>
      <w:r w:rsidRPr="008127F8">
        <w:rPr>
          <w:rFonts w:ascii="Times New Roman" w:hAnsi="Times New Roman" w:cs="Times New Roman"/>
          <w:color w:val="000000" w:themeColor="text1"/>
          <w:sz w:val="16"/>
          <w:szCs w:val="16"/>
        </w:rPr>
        <w:softHyphen/>
        <w:t>ниям Су-6 М-71 и одновременно выносит на рассмотрение Военного Совета ВВС КА вопрос о серийном выпуске двухместного Ил-2 с М-82, где по самолету принимается отрицательное решение.</w:t>
      </w:r>
    </w:p>
    <w:p w14:paraId="294E1899"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постановлении Военного Совета ВВС КА от 25 апреля 1942 г. «О резуль</w:t>
      </w:r>
      <w:r w:rsidRPr="008127F8">
        <w:rPr>
          <w:rFonts w:ascii="Times New Roman" w:hAnsi="Times New Roman" w:cs="Times New Roman"/>
          <w:color w:val="000000" w:themeColor="text1"/>
          <w:sz w:val="16"/>
          <w:szCs w:val="16"/>
        </w:rPr>
        <w:softHyphen/>
        <w:t>татах государственных испытаний двух</w:t>
      </w:r>
      <w:r w:rsidRPr="008127F8">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8127F8">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34126918"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8127F8">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41568A72"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00A1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л завода 18 Чекалин при заруливании по невнимательности столкнулся с другим Ил-2 (2108).</w:t>
      </w:r>
    </w:p>
    <w:p w14:paraId="0D44BC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815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закончились гос. испытания Су-4 с М-82, которые проходили с 25 февраля 1942 (200,28).</w:t>
      </w:r>
    </w:p>
    <w:p w14:paraId="686D59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23 апреля 1942 в Перми была закончена постройка Су-2 с М-82, который получил наименование Су-4 (1454,53).</w:t>
      </w:r>
    </w:p>
    <w:p w14:paraId="461D8B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88A3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апреля 1942 г. с утра выполнялись регулиров</w:t>
      </w:r>
      <w:r w:rsidRPr="008A2E5A">
        <w:rPr>
          <w:rFonts w:ascii="Times New Roman" w:hAnsi="Times New Roman"/>
          <w:color w:val="0070C0"/>
          <w:sz w:val="16"/>
          <w:szCs w:val="16"/>
        </w:rPr>
        <w:softHyphen/>
        <w:t>ки малого газа, карбюратора, давления масла и доработка суфлеров, после чего еще раз от</w:t>
      </w:r>
      <w:r w:rsidRPr="008A2E5A">
        <w:rPr>
          <w:rFonts w:ascii="Times New Roman" w:hAnsi="Times New Roman"/>
          <w:color w:val="0070C0"/>
          <w:sz w:val="16"/>
          <w:szCs w:val="16"/>
        </w:rPr>
        <w:softHyphen/>
        <w:t>гоняли шасси ЛаГГ-3М- 82. После полудня А.П. Якимов вылетел на определение скоростей по высо</w:t>
      </w:r>
      <w:r w:rsidRPr="008A2E5A">
        <w:rPr>
          <w:rFonts w:ascii="Times New Roman" w:hAnsi="Times New Roman"/>
          <w:color w:val="0070C0"/>
          <w:sz w:val="16"/>
          <w:szCs w:val="16"/>
        </w:rPr>
        <w:softHyphen/>
        <w:t xml:space="preserve">там. К вечеру А.Г. Кубышкин отправился на определение высотности на первой скорости </w:t>
      </w:r>
      <w:r w:rsidRPr="008A2E5A">
        <w:rPr>
          <w:rFonts w:ascii="Times New Roman" w:hAnsi="Times New Roman"/>
          <w:color w:val="0070C0"/>
          <w:sz w:val="16"/>
          <w:szCs w:val="16"/>
        </w:rPr>
        <w:lastRenderedPageBreak/>
        <w:t>нагнетателя и влияния положения створок капота на максимальную скорость. Мотор опять грелся, да и снова «повылезали» де</w:t>
      </w:r>
      <w:r w:rsidRPr="008A2E5A">
        <w:rPr>
          <w:rFonts w:ascii="Times New Roman" w:hAnsi="Times New Roman"/>
          <w:color w:val="0070C0"/>
          <w:sz w:val="16"/>
          <w:szCs w:val="16"/>
        </w:rPr>
        <w:softHyphen/>
        <w:t>фекты. 24 апреля 1942 г. было принято решение приостановить испытания ЛаГГ-3М- 82 и выполнить на са</w:t>
      </w:r>
      <w:r w:rsidRPr="008A2E5A">
        <w:rPr>
          <w:rFonts w:ascii="Times New Roman" w:hAnsi="Times New Roman"/>
          <w:color w:val="0070C0"/>
          <w:sz w:val="16"/>
          <w:szCs w:val="16"/>
        </w:rPr>
        <w:softHyphen/>
        <w:t>молете ряд доработок. 25 числа Г.А. Мищен</w:t>
      </w:r>
      <w:r w:rsidRPr="008A2E5A">
        <w:rPr>
          <w:rFonts w:ascii="Times New Roman" w:hAnsi="Times New Roman"/>
          <w:color w:val="0070C0"/>
          <w:sz w:val="16"/>
          <w:szCs w:val="16"/>
        </w:rPr>
        <w:softHyphen/>
        <w:t>ко перегнал машину обратно в Горький (23389).</w:t>
      </w:r>
    </w:p>
    <w:p w14:paraId="5D8BB201" w14:textId="77777777" w:rsidR="003603F3" w:rsidRPr="008A2E5A" w:rsidRDefault="003603F3" w:rsidP="003603F3">
      <w:pPr>
        <w:spacing w:after="0" w:line="240" w:lineRule="auto"/>
        <w:jc w:val="both"/>
        <w:rPr>
          <w:rFonts w:ascii="Times New Roman" w:hAnsi="Times New Roman"/>
          <w:color w:val="0070C0"/>
          <w:sz w:val="16"/>
          <w:szCs w:val="16"/>
        </w:rPr>
      </w:pPr>
    </w:p>
    <w:p w14:paraId="7687AA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А.А.Ш. в письме И.В.С. докладывал, что один экз. транспортного ПС-84 оснащен бомбардировочным вооружением и испытанив полку АДД. 4 балочных держателя для наружной подвески до ФАБ-500 или РРАБ-3 или ВАП-500. Прилогался проект постановления и хотели выпустить три с 25 мая 1942 (3404, 9).</w:t>
      </w:r>
    </w:p>
    <w:p w14:paraId="4D9887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6A6CF"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в 1942 году нарком авиационной промышленности А.И.Шахурин в своем письме Сталину докладывал, что один транспортный самолет «ПС-84» оборудован бомбардировочным вооружением и испытан в полку авиации дальнего действия (АДД). Самолет имеет четыре балочных держателя, обеспечивающих подвеску четырех «ФАБ-500» или «ФАБ-250», или «РРАБ-3», или «ВАП-500». Военный вариант «ПС-84» мог использоваться и в качестве ночного бомбардировщика. Задание на переоборудование «ПС-84» в ночной бомбардировщик было дано Председателем Государственного комитета обороны (ГКО) И.В.Сталиным (15108).</w:t>
      </w:r>
    </w:p>
    <w:p w14:paraId="018A562E"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3318C3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1630 О поставке ВВС КА авиамоторов, групповых комплектов и запчастей россыпью. РГАНИР, Фонд ГКО, д. 31, лл. 97, 98 (11012).</w:t>
      </w:r>
    </w:p>
    <w:p w14:paraId="580961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F5F79D" w14:textId="77777777" w:rsidR="00C30511" w:rsidRPr="008127F8" w:rsidRDefault="00C30511" w:rsidP="001E0A84">
      <w:pPr>
        <w:tabs>
          <w:tab w:val="left" w:pos="11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1630 О поставке ВВС КА авиамоторов, групповых комплектов и запчастей россыпью</w:t>
      </w:r>
    </w:p>
    <w:p w14:paraId="492933A0" w14:textId="77777777" w:rsidR="00C30511" w:rsidRPr="008127F8" w:rsidRDefault="00C3051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наркома авиационной промышленности т.Шахурина:</w:t>
      </w:r>
    </w:p>
    <w:p w14:paraId="4CAE690D" w14:textId="77777777" w:rsidR="00C30511" w:rsidRPr="008127F8" w:rsidRDefault="00C30511" w:rsidP="001E0A84">
      <w:pPr>
        <w:tabs>
          <w:tab w:val="left" w:pos="11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Поставить в оборотный фонд ВВС КА и ВВС ВМФ во 2-м квартале 1942г. 762 мотора в соответствии с приложением № 1.</w:t>
      </w:r>
    </w:p>
    <w:p w14:paraId="5A00EF16"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восстановления имеющегося в реморганах ВВС КА ре</w:t>
      </w:r>
      <w:r w:rsidRPr="008127F8">
        <w:rPr>
          <w:rFonts w:ascii="Times New Roman" w:hAnsi="Times New Roman"/>
          <w:color w:val="000000" w:themeColor="text1"/>
          <w:sz w:val="16"/>
          <w:szCs w:val="16"/>
        </w:rPr>
        <w:softHyphen/>
        <w:t>монтного фонда авиамоторов поставить ВВС КА к 1 мая 1942г. следующее количество групповых комплектов запчастей:</w:t>
      </w:r>
    </w:p>
    <w:p w14:paraId="70E11740"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26 к моторам М-105П</w:t>
      </w:r>
      <w:r w:rsidRPr="008127F8">
        <w:rPr>
          <w:rFonts w:ascii="Times New Roman" w:hAnsi="Times New Roman"/>
          <w:color w:val="000000" w:themeColor="text1"/>
          <w:sz w:val="16"/>
          <w:szCs w:val="16"/>
        </w:rPr>
        <w:tab/>
        <w:t>34</w:t>
      </w:r>
    </w:p>
    <w:p w14:paraId="0645E08C"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16 к моторам М-105Р</w:t>
      </w:r>
      <w:r w:rsidRPr="008127F8">
        <w:rPr>
          <w:rFonts w:ascii="Times New Roman" w:hAnsi="Times New Roman"/>
          <w:color w:val="000000" w:themeColor="text1"/>
          <w:sz w:val="16"/>
          <w:szCs w:val="16"/>
        </w:rPr>
        <w:tab/>
        <w:t>20</w:t>
      </w:r>
    </w:p>
    <w:p w14:paraId="41C41CB9"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24 к моторам АМ-38</w:t>
      </w:r>
      <w:r w:rsidRPr="008127F8">
        <w:rPr>
          <w:rFonts w:ascii="Times New Roman" w:hAnsi="Times New Roman"/>
          <w:color w:val="000000" w:themeColor="text1"/>
          <w:sz w:val="16"/>
          <w:szCs w:val="16"/>
        </w:rPr>
        <w:tab/>
        <w:t>10</w:t>
      </w:r>
    </w:p>
    <w:p w14:paraId="1B8EB216"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29 к моторам М-88</w:t>
      </w:r>
      <w:r w:rsidRPr="008127F8">
        <w:rPr>
          <w:rFonts w:ascii="Times New Roman" w:hAnsi="Times New Roman"/>
          <w:color w:val="000000" w:themeColor="text1"/>
          <w:sz w:val="16"/>
          <w:szCs w:val="16"/>
        </w:rPr>
        <w:tab/>
        <w:t>40</w:t>
      </w:r>
    </w:p>
    <w:p w14:paraId="4C52B767"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t>104</w:t>
      </w:r>
    </w:p>
    <w:p w14:paraId="1C52DA37" w14:textId="77777777" w:rsidR="00C30511" w:rsidRPr="008127F8" w:rsidRDefault="00C30511" w:rsidP="001E0A84">
      <w:pPr>
        <w:tabs>
          <w:tab w:val="left" w:pos="11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Недоданные промышленностью в апреле </w:t>
      </w:r>
      <w:r w:rsidRPr="008127F8">
        <w:rPr>
          <w:rStyle w:val="1pt"/>
          <w:rFonts w:ascii="Times New Roman" w:hAnsi="Times New Roman" w:cs="Times New Roman"/>
          <w:color w:val="000000" w:themeColor="text1"/>
          <w:spacing w:val="0"/>
          <w:sz w:val="16"/>
          <w:szCs w:val="16"/>
        </w:rPr>
        <w:t>с.г.</w:t>
      </w:r>
      <w:r w:rsidRPr="008127F8">
        <w:rPr>
          <w:rFonts w:ascii="Times New Roman" w:hAnsi="Times New Roman"/>
          <w:color w:val="000000" w:themeColor="text1"/>
          <w:sz w:val="16"/>
          <w:szCs w:val="16"/>
        </w:rPr>
        <w:t xml:space="preserve"> групповые комплекты запчастей поставить ВВС КА в мае и июне месяцах рав</w:t>
      </w:r>
      <w:r w:rsidRPr="008127F8">
        <w:rPr>
          <w:rFonts w:ascii="Times New Roman" w:hAnsi="Times New Roman"/>
          <w:color w:val="000000" w:themeColor="text1"/>
          <w:sz w:val="16"/>
          <w:szCs w:val="16"/>
        </w:rPr>
        <w:softHyphen/>
        <w:t>ными партиями из расчета один групповой комплект на десять фактически выпущенных моторов.</w:t>
      </w:r>
    </w:p>
    <w:p w14:paraId="318A23C2" w14:textId="77777777" w:rsidR="00C30511" w:rsidRPr="008127F8" w:rsidRDefault="00C30511" w:rsidP="001E0A84">
      <w:pPr>
        <w:tabs>
          <w:tab w:val="left" w:pos="118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Представить на утверждение ГОКО Союза ССР график вы</w:t>
      </w:r>
      <w:r w:rsidRPr="008127F8">
        <w:rPr>
          <w:rFonts w:ascii="Times New Roman" w:hAnsi="Times New Roman"/>
          <w:color w:val="000000" w:themeColor="text1"/>
          <w:sz w:val="16"/>
          <w:szCs w:val="16"/>
        </w:rPr>
        <w:softHyphen/>
        <w:t>пуска групповых комплектов запчастей на май месяц, разработан</w:t>
      </w:r>
      <w:r w:rsidRPr="008127F8">
        <w:rPr>
          <w:rFonts w:ascii="Times New Roman" w:hAnsi="Times New Roman"/>
          <w:color w:val="000000" w:themeColor="text1"/>
          <w:sz w:val="16"/>
          <w:szCs w:val="16"/>
        </w:rPr>
        <w:softHyphen/>
        <w:t>ный в соответствии с майским планом выпуска авиамоторов и уче</w:t>
      </w:r>
      <w:r w:rsidRPr="008127F8">
        <w:rPr>
          <w:rFonts w:ascii="Times New Roman" w:hAnsi="Times New Roman"/>
          <w:color w:val="000000" w:themeColor="text1"/>
          <w:sz w:val="16"/>
          <w:szCs w:val="16"/>
        </w:rPr>
        <w:softHyphen/>
        <w:t>том выполнения пункта 3 настоящего постановления.</w:t>
      </w:r>
    </w:p>
    <w:p w14:paraId="1B8A90A9"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По отработке ресурса обеспечить своевременную замену моторов </w:t>
      </w:r>
      <w:r w:rsidRPr="008127F8">
        <w:rPr>
          <w:rFonts w:ascii="Times New Roman" w:hAnsi="Times New Roman"/>
          <w:color w:val="000000" w:themeColor="text1"/>
          <w:sz w:val="16"/>
          <w:szCs w:val="16"/>
          <w:lang w:val="en-US"/>
        </w:rPr>
        <w:t>AM</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S</w:t>
      </w:r>
      <w:r w:rsidRPr="008127F8">
        <w:rPr>
          <w:rFonts w:ascii="Times New Roman" w:hAnsi="Times New Roman"/>
          <w:color w:val="000000" w:themeColor="text1"/>
          <w:sz w:val="16"/>
          <w:szCs w:val="16"/>
        </w:rPr>
        <w:t>5</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xml:space="preserve"> с 'редуктором 0,59 на самолетах ТБ-7.</w:t>
      </w:r>
    </w:p>
    <w:p w14:paraId="2DDC6C4D"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Принять к исполнению заказ на запчасти россыпью к са</w:t>
      </w:r>
      <w:r w:rsidRPr="008127F8">
        <w:rPr>
          <w:rFonts w:ascii="Times New Roman" w:hAnsi="Times New Roman"/>
          <w:color w:val="000000" w:themeColor="text1"/>
          <w:sz w:val="16"/>
          <w:szCs w:val="16"/>
        </w:rPr>
        <w:softHyphen/>
        <w:t>молетам и моторам, а также на колеса, винты и радиаторы на второй квартал по спискам, согласованным с ВВС КА.</w:t>
      </w:r>
    </w:p>
    <w:p w14:paraId="7C3395B1" w14:textId="77777777" w:rsidR="00C30511" w:rsidRPr="008127F8" w:rsidRDefault="00C30511" w:rsidP="001E0A84">
      <w:pPr>
        <w:tabs>
          <w:tab w:val="left" w:pos="117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Изготовить и сдать ВВС КА во втором полугодии запчасти россыпью к самолетам по спискам, утвержденным ВВС КА и ИКАЛ,</w:t>
      </w:r>
    </w:p>
    <w:p w14:paraId="6202B1B1" w14:textId="77777777" w:rsidR="00C30511" w:rsidRPr="008127F8" w:rsidRDefault="00C30511" w:rsidP="001E0A84">
      <w:pPr>
        <w:tabs>
          <w:tab w:val="left" w:pos="11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Винты и радиаторы поставить ВвС КА во втором полуго</w:t>
      </w:r>
      <w:r w:rsidRPr="008127F8">
        <w:rPr>
          <w:rFonts w:ascii="Times New Roman" w:hAnsi="Times New Roman"/>
          <w:color w:val="000000" w:themeColor="text1"/>
          <w:sz w:val="16"/>
          <w:szCs w:val="16"/>
        </w:rPr>
        <w:softHyphen/>
        <w:t xml:space="preserve">дии в соответствии с </w:t>
      </w:r>
      <w:proofErr w:type="gramStart"/>
      <w:r w:rsidRPr="008127F8">
        <w:rPr>
          <w:rFonts w:ascii="Times New Roman" w:hAnsi="Times New Roman"/>
          <w:color w:val="000000" w:themeColor="text1"/>
          <w:sz w:val="16"/>
          <w:szCs w:val="16"/>
        </w:rPr>
        <w:t>договорами,заключенными</w:t>
      </w:r>
      <w:proofErr w:type="gramEnd"/>
      <w:r w:rsidRPr="008127F8">
        <w:rPr>
          <w:rFonts w:ascii="Times New Roman" w:hAnsi="Times New Roman"/>
          <w:color w:val="000000" w:themeColor="text1"/>
          <w:sz w:val="16"/>
          <w:szCs w:val="16"/>
        </w:rPr>
        <w:t xml:space="preserve"> ВВС КА с завода</w:t>
      </w:r>
      <w:r w:rsidRPr="008127F8">
        <w:rPr>
          <w:rFonts w:ascii="Times New Roman" w:hAnsi="Times New Roman"/>
          <w:color w:val="000000" w:themeColor="text1"/>
          <w:sz w:val="16"/>
          <w:szCs w:val="16"/>
        </w:rPr>
        <w:softHyphen/>
        <w:t>ми НКАП.</w:t>
      </w:r>
    </w:p>
    <w:p w14:paraId="1C67C006" w14:textId="77777777" w:rsidR="00C30511" w:rsidRPr="008127F8" w:rsidRDefault="00C30511" w:rsidP="001E0A84">
      <w:pPr>
        <w:tabs>
          <w:tab w:val="left" w:pos="11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10.Организовать к 1 июня 1942 года производственные базы для изготовления запчастей к самолетам и моторам, снятым с серийного производства.</w:t>
      </w:r>
    </w:p>
    <w:p w14:paraId="533E6F29" w14:textId="77777777" w:rsidR="00C30511" w:rsidRPr="008127F8" w:rsidRDefault="00C30511" w:rsidP="001E0A84">
      <w:pPr>
        <w:tabs>
          <w:tab w:val="left" w:pos="129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Покрыть задолженность по поставке групповых комплек</w:t>
      </w:r>
      <w:r w:rsidRPr="008127F8">
        <w:rPr>
          <w:rFonts w:ascii="Times New Roman" w:hAnsi="Times New Roman"/>
          <w:color w:val="000000" w:themeColor="text1"/>
          <w:sz w:val="16"/>
          <w:szCs w:val="16"/>
        </w:rPr>
        <w:softHyphen/>
        <w:t>тов к само^двацк 1 июня 1942 года, обеспечив сдачу группо</w:t>
      </w:r>
      <w:r w:rsidRPr="008127F8">
        <w:rPr>
          <w:rFonts w:ascii="Times New Roman" w:hAnsi="Times New Roman"/>
          <w:color w:val="000000" w:themeColor="text1"/>
          <w:sz w:val="16"/>
          <w:szCs w:val="16"/>
        </w:rPr>
        <w:softHyphen/>
        <w:t>вых комплектен^ лозными партиями в течение указанного срока (19329).</w:t>
      </w:r>
    </w:p>
    <w:p w14:paraId="1D3B4E97" w14:textId="77777777" w:rsidR="00A0175D" w:rsidRPr="008127F8" w:rsidRDefault="00A0175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2B0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г. Постановлением ГКО Наркомат авиапромышленности обязывался поставить в обо</w:t>
      </w:r>
      <w:r w:rsidRPr="008127F8">
        <w:rPr>
          <w:rFonts w:ascii="Times New Roman" w:hAnsi="Times New Roman"/>
          <w:color w:val="000000" w:themeColor="text1"/>
          <w:sz w:val="16"/>
          <w:szCs w:val="16"/>
        </w:rPr>
        <w:softHyphen/>
        <w:t>ротный фонд ВВС КА к концу апреля 107 моторов, но поста</w:t>
      </w:r>
      <w:r w:rsidRPr="008127F8">
        <w:rPr>
          <w:rFonts w:ascii="Times New Roman" w:hAnsi="Times New Roman"/>
          <w:color w:val="000000" w:themeColor="text1"/>
          <w:sz w:val="16"/>
          <w:szCs w:val="16"/>
        </w:rPr>
        <w:softHyphen/>
        <w:t>вил только 85, в мае — 170 моторов, а по факту — 86 моторов. То есть ВВС недополучили за два месяца 106 моторов.</w:t>
      </w:r>
    </w:p>
    <w:p w14:paraId="2476261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восстановления ремонтного фонда авиамоторов НКАП должен был к 1 мая 1942 г. направить в части ВВС 144 групповых комплекта запасных частей к моторам, однако по</w:t>
      </w:r>
      <w:r w:rsidRPr="008127F8">
        <w:rPr>
          <w:rFonts w:ascii="Times New Roman" w:hAnsi="Times New Roman"/>
          <w:color w:val="000000" w:themeColor="text1"/>
          <w:sz w:val="16"/>
          <w:szCs w:val="16"/>
        </w:rPr>
        <w:softHyphen/>
        <w:t>ставил только 22 комплекта.</w:t>
      </w:r>
    </w:p>
    <w:p w14:paraId="639F8BC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этим причинам ремонтный фонд самолетов и моторов продолжал оставаться чрезмерно большим. Так, по состоянию на 5 июня для восстановления материальной части на фронтах не хватало 728 моторов, в том числе 178 моторов АМ-38. Это серьезно затрудняло работу фронтов, «так как отсутствие обо</w:t>
      </w:r>
      <w:r w:rsidRPr="008127F8">
        <w:rPr>
          <w:rFonts w:ascii="Times New Roman" w:hAnsi="Times New Roman"/>
          <w:color w:val="000000" w:themeColor="text1"/>
          <w:sz w:val="16"/>
          <w:szCs w:val="16"/>
        </w:rPr>
        <w:softHyphen/>
        <w:t>ротного фонда моторов и групп комплектов к ним не дает воз</w:t>
      </w:r>
      <w:r w:rsidRPr="008127F8">
        <w:rPr>
          <w:rFonts w:ascii="Times New Roman" w:hAnsi="Times New Roman"/>
          <w:color w:val="000000" w:themeColor="text1"/>
          <w:sz w:val="16"/>
          <w:szCs w:val="16"/>
        </w:rPr>
        <w:softHyphen/>
        <w:t>можности восстанавливать материальную часть».</w:t>
      </w:r>
    </w:p>
    <w:p w14:paraId="7AC157A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к началу июля на фронтах и в запасных авиаполках на</w:t>
      </w:r>
      <w:r w:rsidRPr="008127F8">
        <w:rPr>
          <w:rFonts w:ascii="Times New Roman" w:hAnsi="Times New Roman"/>
          <w:color w:val="000000" w:themeColor="text1"/>
          <w:sz w:val="16"/>
          <w:szCs w:val="16"/>
        </w:rPr>
        <w:softHyphen/>
        <w:t>считывалось 579 исправных современных самолетов без мото</w:t>
      </w:r>
      <w:r w:rsidRPr="008127F8">
        <w:rPr>
          <w:rFonts w:ascii="Times New Roman" w:hAnsi="Times New Roman"/>
          <w:color w:val="000000" w:themeColor="text1"/>
          <w:sz w:val="16"/>
          <w:szCs w:val="16"/>
        </w:rPr>
        <w:softHyphen/>
        <w:t>ров и 122 самолета без винтов, а также 1364 мотора, требующих ремонта (11474,264).</w:t>
      </w:r>
    </w:p>
    <w:p w14:paraId="664DB5F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B3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1631 Об обеспечении рабочей силой завода № 82 Наркомата авиационной промышленности. РГАНИР, Фонд ГКО, д. 31, лл. 99 (11012).</w:t>
      </w:r>
    </w:p>
    <w:p w14:paraId="377487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E1827" w14:textId="77777777" w:rsidR="00A0175D" w:rsidRPr="008127F8" w:rsidRDefault="00A0175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1631 Об обеспечении рабочей силой завода № 82 Наркомата авиационной промышленности</w:t>
      </w:r>
    </w:p>
    <w:p w14:paraId="76A15181" w14:textId="77777777" w:rsidR="00A0175D" w:rsidRPr="008127F8" w:rsidRDefault="00A0175D" w:rsidP="001E0A84">
      <w:pPr>
        <w:tabs>
          <w:tab w:val="left" w:pos="11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Главное Управление Трудовых резервов (т.Москатова) произвести в течение апреля-мая месяцев выпуск </w:t>
      </w:r>
      <w:r w:rsidRPr="008127F8">
        <w:rPr>
          <w:rStyle w:val="0pt"/>
          <w:rFonts w:ascii="Times New Roman" w:hAnsi="Times New Roman" w:cs="Times New Roman"/>
          <w:color w:val="000000" w:themeColor="text1"/>
          <w:spacing w:val="0"/>
          <w:sz w:val="16"/>
          <w:szCs w:val="16"/>
        </w:rPr>
        <w:t xml:space="preserve">5000 </w:t>
      </w:r>
      <w:r w:rsidRPr="008127F8">
        <w:rPr>
          <w:rFonts w:ascii="Times New Roman" w:hAnsi="Times New Roman"/>
          <w:color w:val="000000" w:themeColor="text1"/>
          <w:sz w:val="16"/>
          <w:szCs w:val="16"/>
        </w:rPr>
        <w:t xml:space="preserve">человек из числа учащихся ремесленных училищ и школ ФЗО, в том числе: слесарей - </w:t>
      </w:r>
      <w:r w:rsidRPr="008127F8">
        <w:rPr>
          <w:rStyle w:val="0pt"/>
          <w:rFonts w:ascii="Times New Roman" w:hAnsi="Times New Roman" w:cs="Times New Roman"/>
          <w:color w:val="000000" w:themeColor="text1"/>
          <w:spacing w:val="0"/>
          <w:sz w:val="16"/>
          <w:szCs w:val="16"/>
        </w:rPr>
        <w:t>2,150,</w:t>
      </w:r>
      <w:r w:rsidRPr="008127F8">
        <w:rPr>
          <w:rFonts w:ascii="Times New Roman" w:hAnsi="Times New Roman"/>
          <w:color w:val="000000" w:themeColor="text1"/>
          <w:sz w:val="16"/>
          <w:szCs w:val="16"/>
        </w:rPr>
        <w:t xml:space="preserve"> столяров белодеревцев - </w:t>
      </w:r>
      <w:r w:rsidRPr="008127F8">
        <w:rPr>
          <w:rStyle w:val="0pt"/>
          <w:rFonts w:ascii="Times New Roman" w:hAnsi="Times New Roman" w:cs="Times New Roman"/>
          <w:color w:val="000000" w:themeColor="text1"/>
          <w:spacing w:val="0"/>
          <w:sz w:val="16"/>
          <w:szCs w:val="16"/>
        </w:rPr>
        <w:t xml:space="preserve">1.000, </w:t>
      </w:r>
      <w:r w:rsidRPr="008127F8">
        <w:rPr>
          <w:rFonts w:ascii="Times New Roman" w:hAnsi="Times New Roman"/>
          <w:color w:val="000000" w:themeColor="text1"/>
          <w:sz w:val="16"/>
          <w:szCs w:val="16"/>
        </w:rPr>
        <w:t xml:space="preserve">токарей - </w:t>
      </w:r>
      <w:r w:rsidRPr="008127F8">
        <w:rPr>
          <w:rStyle w:val="0pt"/>
          <w:rFonts w:ascii="Times New Roman" w:hAnsi="Times New Roman" w:cs="Times New Roman"/>
          <w:color w:val="000000" w:themeColor="text1"/>
          <w:spacing w:val="0"/>
          <w:sz w:val="16"/>
          <w:szCs w:val="16"/>
        </w:rPr>
        <w:t>600,</w:t>
      </w:r>
      <w:r w:rsidRPr="008127F8">
        <w:rPr>
          <w:rFonts w:ascii="Times New Roman" w:hAnsi="Times New Roman"/>
          <w:color w:val="000000" w:themeColor="text1"/>
          <w:sz w:val="16"/>
          <w:szCs w:val="16"/>
        </w:rPr>
        <w:t xml:space="preserve"> фрезеровщиков - </w:t>
      </w:r>
      <w:r w:rsidRPr="008127F8">
        <w:rPr>
          <w:rStyle w:val="0pt"/>
          <w:rFonts w:ascii="Times New Roman" w:hAnsi="Times New Roman" w:cs="Times New Roman"/>
          <w:color w:val="000000" w:themeColor="text1"/>
          <w:spacing w:val="0"/>
          <w:sz w:val="16"/>
          <w:szCs w:val="16"/>
        </w:rPr>
        <w:t>300,</w:t>
      </w:r>
      <w:r w:rsidRPr="008127F8">
        <w:rPr>
          <w:rFonts w:ascii="Times New Roman" w:hAnsi="Times New Roman"/>
          <w:color w:val="000000" w:themeColor="text1"/>
          <w:sz w:val="16"/>
          <w:szCs w:val="16"/>
        </w:rPr>
        <w:t xml:space="preserve"> револьверщиков - </w:t>
      </w:r>
      <w:r w:rsidRPr="008127F8">
        <w:rPr>
          <w:rStyle w:val="0pt"/>
          <w:rFonts w:ascii="Times New Roman" w:hAnsi="Times New Roman" w:cs="Times New Roman"/>
          <w:color w:val="000000" w:themeColor="text1"/>
          <w:spacing w:val="0"/>
          <w:sz w:val="16"/>
          <w:szCs w:val="16"/>
        </w:rPr>
        <w:t xml:space="preserve">300, </w:t>
      </w:r>
      <w:r w:rsidRPr="008127F8">
        <w:rPr>
          <w:rFonts w:ascii="Times New Roman" w:hAnsi="Times New Roman"/>
          <w:color w:val="000000" w:themeColor="text1"/>
          <w:sz w:val="16"/>
          <w:szCs w:val="16"/>
        </w:rPr>
        <w:t xml:space="preserve">сверловщиков - </w:t>
      </w:r>
      <w:r w:rsidRPr="008127F8">
        <w:rPr>
          <w:rStyle w:val="0pt"/>
          <w:rFonts w:ascii="Times New Roman" w:hAnsi="Times New Roman" w:cs="Times New Roman"/>
          <w:color w:val="000000" w:themeColor="text1"/>
          <w:spacing w:val="0"/>
          <w:sz w:val="16"/>
          <w:szCs w:val="16"/>
        </w:rPr>
        <w:t>150.</w:t>
      </w:r>
      <w:r w:rsidRPr="008127F8">
        <w:rPr>
          <w:rFonts w:ascii="Times New Roman" w:hAnsi="Times New Roman"/>
          <w:color w:val="000000" w:themeColor="text1"/>
          <w:sz w:val="16"/>
          <w:szCs w:val="16"/>
        </w:rPr>
        <w:t xml:space="preserve"> строгальщиков - </w:t>
      </w:r>
      <w:r w:rsidRPr="008127F8">
        <w:rPr>
          <w:rStyle w:val="0pt"/>
          <w:rFonts w:ascii="Times New Roman" w:hAnsi="Times New Roman" w:cs="Times New Roman"/>
          <w:color w:val="000000" w:themeColor="text1"/>
          <w:spacing w:val="0"/>
          <w:sz w:val="16"/>
          <w:szCs w:val="16"/>
        </w:rPr>
        <w:t>100.</w:t>
      </w:r>
      <w:r w:rsidRPr="008127F8">
        <w:rPr>
          <w:rFonts w:ascii="Times New Roman" w:hAnsi="Times New Roman"/>
          <w:color w:val="000000" w:themeColor="text1"/>
          <w:sz w:val="16"/>
          <w:szCs w:val="16"/>
        </w:rPr>
        <w:t xml:space="preserve"> шлифовальщиков - </w:t>
      </w:r>
      <w:r w:rsidRPr="008127F8">
        <w:rPr>
          <w:rStyle w:val="0pt"/>
          <w:rFonts w:ascii="Times New Roman" w:hAnsi="Times New Roman" w:cs="Times New Roman"/>
          <w:color w:val="000000" w:themeColor="text1"/>
          <w:spacing w:val="0"/>
          <w:sz w:val="16"/>
          <w:szCs w:val="16"/>
        </w:rPr>
        <w:t>100,</w:t>
      </w:r>
      <w:r w:rsidRPr="008127F8">
        <w:rPr>
          <w:rFonts w:ascii="Times New Roman" w:hAnsi="Times New Roman"/>
          <w:color w:val="000000" w:themeColor="text1"/>
          <w:sz w:val="16"/>
          <w:szCs w:val="16"/>
        </w:rPr>
        <w:t xml:space="preserve"> сверщиков - </w:t>
      </w:r>
      <w:r w:rsidRPr="008127F8">
        <w:rPr>
          <w:rStyle w:val="0pt"/>
          <w:rFonts w:ascii="Times New Roman" w:hAnsi="Times New Roman" w:cs="Times New Roman"/>
          <w:color w:val="000000" w:themeColor="text1"/>
          <w:spacing w:val="0"/>
          <w:sz w:val="16"/>
          <w:szCs w:val="16"/>
        </w:rPr>
        <w:t>100,</w:t>
      </w:r>
      <w:r w:rsidRPr="008127F8">
        <w:rPr>
          <w:rFonts w:ascii="Times New Roman" w:hAnsi="Times New Roman"/>
          <w:color w:val="000000" w:themeColor="text1"/>
          <w:sz w:val="16"/>
          <w:szCs w:val="16"/>
        </w:rPr>
        <w:t xml:space="preserve"> электромонтеров - .100, медников - </w:t>
      </w:r>
      <w:r w:rsidRPr="008127F8">
        <w:rPr>
          <w:rStyle w:val="0pt"/>
          <w:rFonts w:ascii="Times New Roman" w:hAnsi="Times New Roman" w:cs="Times New Roman"/>
          <w:color w:val="000000" w:themeColor="text1"/>
          <w:spacing w:val="0"/>
          <w:sz w:val="16"/>
          <w:szCs w:val="16"/>
        </w:rPr>
        <w:t xml:space="preserve">50, </w:t>
      </w:r>
      <w:r w:rsidRPr="008127F8">
        <w:rPr>
          <w:rFonts w:ascii="Times New Roman" w:hAnsi="Times New Roman"/>
          <w:color w:val="000000" w:themeColor="text1"/>
          <w:sz w:val="16"/>
          <w:szCs w:val="16"/>
        </w:rPr>
        <w:t xml:space="preserve">калильщиков - </w:t>
      </w:r>
      <w:r w:rsidRPr="008127F8">
        <w:rPr>
          <w:rStyle w:val="0pt"/>
          <w:rFonts w:ascii="Times New Roman" w:hAnsi="Times New Roman" w:cs="Times New Roman"/>
          <w:color w:val="000000" w:themeColor="text1"/>
          <w:spacing w:val="0"/>
          <w:sz w:val="16"/>
          <w:szCs w:val="16"/>
        </w:rPr>
        <w:t>50,</w:t>
      </w:r>
      <w:r w:rsidRPr="008127F8">
        <w:rPr>
          <w:rFonts w:ascii="Times New Roman" w:hAnsi="Times New Roman"/>
          <w:color w:val="000000" w:themeColor="text1"/>
          <w:sz w:val="16"/>
          <w:szCs w:val="16"/>
        </w:rPr>
        <w:t xml:space="preserve"> и направить их на работу на эавод К? 82 Наркомата авиационной промышленности.</w:t>
      </w:r>
    </w:p>
    <w:p w14:paraId="25C0AAB1" w14:textId="77777777" w:rsidR="00A0175D" w:rsidRPr="008127F8" w:rsidRDefault="00A0175D" w:rsidP="001E0A84">
      <w:pPr>
        <w:tabs>
          <w:tab w:val="left" w:pos="11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Разрешить Главному Управлению Трудовых резервов каждо</w:t>
      </w:r>
      <w:r w:rsidRPr="008127F8">
        <w:rPr>
          <w:rFonts w:ascii="Times New Roman" w:hAnsi="Times New Roman"/>
          <w:color w:val="000000" w:themeColor="text1"/>
          <w:sz w:val="16"/>
          <w:szCs w:val="16"/>
        </w:rPr>
        <w:softHyphen/>
        <w:t>му выпущенному учащемуся из ремесленных училищ выдать в без- вовмездное пользование одно полупальто на вате, один рабочий костюм, одну пару ботинок, 2 пары нательного белья, 3 пары носков, 3 носовых платка, 1 головной убор, ремень брючный.</w:t>
      </w:r>
    </w:p>
    <w:p w14:paraId="6B610045" w14:textId="77777777" w:rsidR="00A0175D" w:rsidRPr="008127F8" w:rsidRDefault="00A0175D" w:rsidP="001E0A84">
      <w:pPr>
        <w:framePr w:h="200" w:wrap="around" w:hAnchor="margin" w:x="-591" w:y="5091"/>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I</w:t>
      </w:r>
    </w:p>
    <w:p w14:paraId="03544B36" w14:textId="77777777" w:rsidR="00A0175D" w:rsidRPr="008127F8" w:rsidRDefault="00A0175D" w:rsidP="001E0A84">
      <w:pPr>
        <w:tabs>
          <w:tab w:val="left" w:pos="11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Обявать Наркомат авиационной промышленности (т.Шахурина) всех направляемых молодых рабочих обеспечить оборудо</w:t>
      </w:r>
      <w:r w:rsidRPr="008127F8">
        <w:rPr>
          <w:rFonts w:ascii="Times New Roman" w:hAnsi="Times New Roman"/>
          <w:color w:val="000000" w:themeColor="text1"/>
          <w:sz w:val="16"/>
          <w:szCs w:val="16"/>
        </w:rPr>
        <w:softHyphen/>
        <w:t xml:space="preserve">ванными общежитиями, нормальными*бытовыми условиями и выдать каждому по </w:t>
      </w:r>
      <w:r w:rsidRPr="008127F8">
        <w:rPr>
          <w:rStyle w:val="0pt"/>
          <w:rFonts w:ascii="Times New Roman" w:hAnsi="Times New Roman" w:cs="Times New Roman"/>
          <w:color w:val="000000" w:themeColor="text1"/>
          <w:spacing w:val="0"/>
          <w:sz w:val="16"/>
          <w:szCs w:val="16"/>
        </w:rPr>
        <w:t>300</w:t>
      </w:r>
      <w:r w:rsidRPr="008127F8">
        <w:rPr>
          <w:rFonts w:ascii="Times New Roman" w:hAnsi="Times New Roman"/>
          <w:color w:val="000000" w:themeColor="text1"/>
          <w:sz w:val="16"/>
          <w:szCs w:val="16"/>
        </w:rPr>
        <w:t xml:space="preserve"> рублей,из которых 150 рублей как единовремен</w:t>
      </w:r>
      <w:r w:rsidRPr="008127F8">
        <w:rPr>
          <w:rFonts w:ascii="Times New Roman" w:hAnsi="Times New Roman"/>
          <w:color w:val="000000" w:themeColor="text1"/>
          <w:sz w:val="16"/>
          <w:szCs w:val="16"/>
        </w:rPr>
        <w:softHyphen/>
        <w:t xml:space="preserve">ное безвозвратное пособие и </w:t>
      </w:r>
      <w:r w:rsidRPr="008127F8">
        <w:rPr>
          <w:rStyle w:val="0pt"/>
          <w:rFonts w:ascii="Times New Roman" w:hAnsi="Times New Roman" w:cs="Times New Roman"/>
          <w:color w:val="000000" w:themeColor="text1"/>
          <w:spacing w:val="0"/>
          <w:sz w:val="16"/>
          <w:szCs w:val="16"/>
        </w:rPr>
        <w:t>150</w:t>
      </w:r>
      <w:r w:rsidRPr="008127F8">
        <w:rPr>
          <w:rFonts w:ascii="Times New Roman" w:hAnsi="Times New Roman"/>
          <w:color w:val="000000" w:themeColor="text1"/>
          <w:sz w:val="16"/>
          <w:szCs w:val="16"/>
        </w:rPr>
        <w:t xml:space="preserve"> рублей как аванс в счет зарплаты,с последующим удержанием в течение 5-ти месяцев.</w:t>
      </w:r>
    </w:p>
    <w:p w14:paraId="53D5F8B5" w14:textId="77777777" w:rsidR="00A0175D" w:rsidRPr="008127F8" w:rsidRDefault="00A0175D" w:rsidP="001E0A84">
      <w:pPr>
        <w:tabs>
          <w:tab w:val="left" w:pos="11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НКПС (т.Арутюнова) выделить по заявке Главно</w:t>
      </w:r>
      <w:r w:rsidRPr="008127F8">
        <w:rPr>
          <w:rFonts w:ascii="Times New Roman" w:hAnsi="Times New Roman"/>
          <w:color w:val="000000" w:themeColor="text1"/>
          <w:sz w:val="16"/>
          <w:szCs w:val="16"/>
        </w:rPr>
        <w:softHyphen/>
        <w:t>го Управления Трудовых резервов необходимое количество ваго</w:t>
      </w:r>
      <w:r w:rsidRPr="008127F8">
        <w:rPr>
          <w:rFonts w:ascii="Times New Roman" w:hAnsi="Times New Roman"/>
          <w:color w:val="000000" w:themeColor="text1"/>
          <w:sz w:val="16"/>
          <w:szCs w:val="16"/>
        </w:rPr>
        <w:softHyphen/>
        <w:t xml:space="preserve">нов для переброски направляемых на завод </w:t>
      </w:r>
      <w:r w:rsidRPr="008127F8">
        <w:rPr>
          <w:rFonts w:ascii="Times New Roman" w:hAnsi="Times New Roman"/>
          <w:color w:val="000000" w:themeColor="text1"/>
          <w:sz w:val="16"/>
          <w:szCs w:val="16"/>
          <w:lang w:val="en-US"/>
        </w:rPr>
        <w:t>If</w:t>
      </w:r>
      <w:r w:rsidRPr="008127F8">
        <w:rPr>
          <w:rFonts w:ascii="Times New Roman" w:hAnsi="Times New Roman"/>
          <w:color w:val="000000" w:themeColor="text1"/>
          <w:sz w:val="16"/>
          <w:szCs w:val="16"/>
        </w:rPr>
        <w:t xml:space="preserve"> 82 рабочих с до</w:t>
      </w:r>
      <w:r w:rsidRPr="008127F8">
        <w:rPr>
          <w:rFonts w:ascii="Times New Roman" w:hAnsi="Times New Roman"/>
          <w:color w:val="000000" w:themeColor="text1"/>
          <w:sz w:val="16"/>
          <w:szCs w:val="16"/>
        </w:rPr>
        <w:softHyphen/>
        <w:t>ставкой их к месту назначения по графику, установленному Главным Управлением Трудовых резервов и Наркоматом авиацион</w:t>
      </w:r>
      <w:r w:rsidRPr="008127F8">
        <w:rPr>
          <w:rFonts w:ascii="Times New Roman" w:hAnsi="Times New Roman"/>
          <w:color w:val="000000" w:themeColor="text1"/>
          <w:sz w:val="16"/>
          <w:szCs w:val="16"/>
        </w:rPr>
        <w:softHyphen/>
        <w:t>ной промышленности (19328)</w:t>
      </w:r>
    </w:p>
    <w:p w14:paraId="52B32A65" w14:textId="77777777" w:rsidR="00A0175D" w:rsidRPr="008127F8" w:rsidRDefault="00A0175D"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E521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г. был доклад наркому вооружений Д.Ф.Устинову от Э.Сателя: «Согласно Вашему письму от 11 апреля сего года о проведении испыта</w:t>
      </w:r>
      <w:r w:rsidRPr="008127F8">
        <w:rPr>
          <w:rFonts w:ascii="Times New Roman" w:hAnsi="Times New Roman"/>
          <w:color w:val="000000" w:themeColor="text1"/>
          <w:sz w:val="16"/>
          <w:szCs w:val="16"/>
        </w:rPr>
        <w:softHyphen/>
        <w:t>ний новых систем авиационного вооружения, сообщаю следующее:</w:t>
      </w:r>
    </w:p>
    <w:p w14:paraId="294FF75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Испытаний ракетных батарей для скоростных бомбардировщиков не проводили, так как бомбардировщик от Н КАП до сих пор не получен;</w:t>
      </w:r>
    </w:p>
    <w:p w14:paraId="7BD0031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Испытания снарядов РС-132 на истребителях МиГ и И-16, обору</w:t>
      </w:r>
      <w:r w:rsidRPr="008127F8">
        <w:rPr>
          <w:rFonts w:ascii="Times New Roman" w:hAnsi="Times New Roman"/>
          <w:color w:val="000000" w:themeColor="text1"/>
          <w:sz w:val="16"/>
          <w:szCs w:val="16"/>
        </w:rPr>
        <w:softHyphen/>
        <w:t>дованных пусковыми установками РС-82, успешно завершены. Перео</w:t>
      </w:r>
      <w:r w:rsidRPr="008127F8">
        <w:rPr>
          <w:rFonts w:ascii="Times New Roman" w:hAnsi="Times New Roman"/>
          <w:color w:val="000000" w:themeColor="text1"/>
          <w:sz w:val="16"/>
          <w:szCs w:val="16"/>
        </w:rPr>
        <w:softHyphen/>
        <w:t>борудования направляющих не требуется. Такое применение может быть рекомендовано для широкого применения на фронте...».</w:t>
      </w:r>
    </w:p>
    <w:p w14:paraId="7614792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наиболее любопытен второй пункт доклада. Из документа сле</w:t>
      </w:r>
      <w:r w:rsidRPr="008127F8">
        <w:rPr>
          <w:rFonts w:ascii="Times New Roman" w:hAnsi="Times New Roman"/>
          <w:color w:val="000000" w:themeColor="text1"/>
          <w:sz w:val="16"/>
          <w:szCs w:val="16"/>
        </w:rPr>
        <w:softHyphen/>
        <w:t>дует, что вооружение МиГов ракетным оружием более крупного калибра проводили только в испытательных целях. Судя по дате доклада, в стро</w:t>
      </w:r>
      <w:r w:rsidRPr="008127F8">
        <w:rPr>
          <w:rFonts w:ascii="Times New Roman" w:hAnsi="Times New Roman"/>
          <w:color w:val="000000" w:themeColor="text1"/>
          <w:sz w:val="16"/>
          <w:szCs w:val="16"/>
        </w:rPr>
        <w:softHyphen/>
        <w:t>евых частях этот вариант вооружения не применяли, поскольку через две недели истребители напрочь лишили ракетного вооружения. Однако, без ознакомления с отчетом по испытаниям, не совсем понятно, что Сатель имел ввиду. Уж, во всяком случае, не подтверждение практикой воз</w:t>
      </w:r>
      <w:r w:rsidRPr="008127F8">
        <w:rPr>
          <w:rFonts w:ascii="Times New Roman" w:hAnsi="Times New Roman"/>
          <w:color w:val="000000" w:themeColor="text1"/>
          <w:sz w:val="16"/>
          <w:szCs w:val="16"/>
        </w:rPr>
        <w:softHyphen/>
        <w:t>можности стрельбы РС-132 из штатных РО-82!</w:t>
      </w:r>
    </w:p>
    <w:p w14:paraId="0A79A71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Во-первых, зарядить РС-132 в такое ракетное орудие невозможно, поскольку штатные ведущие штифты снаряда не войдут в прорезь напра</w:t>
      </w:r>
      <w:r w:rsidRPr="008127F8">
        <w:rPr>
          <w:rFonts w:ascii="Times New Roman" w:hAnsi="Times New Roman"/>
          <w:color w:val="000000" w:themeColor="text1"/>
          <w:sz w:val="16"/>
          <w:szCs w:val="16"/>
        </w:rPr>
        <w:softHyphen/>
        <w:t>вляющей, а меньшие (от РС-82) на РС-132 устанавливать нельзя, не вой</w:t>
      </w:r>
      <w:r w:rsidRPr="008127F8">
        <w:rPr>
          <w:rFonts w:ascii="Times New Roman" w:hAnsi="Times New Roman"/>
          <w:color w:val="000000" w:themeColor="text1"/>
          <w:sz w:val="16"/>
          <w:szCs w:val="16"/>
        </w:rPr>
        <w:softHyphen/>
        <w:t>дя в противоречие с законами сопромата и техники безопасности. Сна</w:t>
      </w:r>
      <w:r w:rsidRPr="008127F8">
        <w:rPr>
          <w:rFonts w:ascii="Times New Roman" w:hAnsi="Times New Roman"/>
          <w:color w:val="000000" w:themeColor="text1"/>
          <w:sz w:val="16"/>
          <w:szCs w:val="16"/>
        </w:rPr>
        <w:softHyphen/>
        <w:t>ряд увеличенных габаритов на стопорный замок орудия не встанет - помешает пиропистолет. Кроме того, ось среза ствола пиропистолета на РО не совпадет с осью сопла снаряда по высоте на 25 мм, значит старт боеприпаса будет весьма проблематичен. Во-вторых, сегодня наиболее принципиальное для авиастроителей - не ослаблять силовой набор крыла лишними отверстиями. И, наконец, орудия под крылом располагали с минимальным расстоянием друг от друга, так что снаряды на направ</w:t>
      </w:r>
      <w:r w:rsidRPr="008127F8">
        <w:rPr>
          <w:rFonts w:ascii="Times New Roman" w:hAnsi="Times New Roman"/>
          <w:color w:val="000000" w:themeColor="text1"/>
          <w:sz w:val="16"/>
          <w:szCs w:val="16"/>
        </w:rPr>
        <w:softHyphen/>
        <w:t>ляющих отделяли друг от друга считанные миллиметры. Так что РС-132 втиснуть на место РС-82 нереально. Таким образом, остается лишь одна версия - в документе допущена описка (11402).</w:t>
      </w:r>
    </w:p>
    <w:p w14:paraId="780CCF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7ED59B"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2D54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1ED34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апреля 1942 г. Доклад отдела военного машиностроения Госплана СССР заместителю председателя Госплана СССР А. Н. Лаврищеву о восстановлении эвакуированных предприятий наркоматов оборонной промышленности по состоянию на 1 апреля 1942 г.</w:t>
      </w:r>
    </w:p>
    <w:p w14:paraId="229CC79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Секретно.</w:t>
      </w:r>
    </w:p>
    <w:p w14:paraId="73A2336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Восстановление эвакуированных предприятий наркоматов оборонной промышенности по состоянию на 1 апреля 1942 г. характеризуется следующим:</w:t>
      </w:r>
    </w:p>
    <w:p w14:paraId="309A520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Наркомавиапрому</w:t>
      </w:r>
    </w:p>
    <w:p w14:paraId="2B48BFB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График восстановления эвакуированных предприятий Наркомавиапрома, утержденный ГОКО от 9 ноября 1941 г. за № 872СС1, предусматривал срок полного осстановления всех эвакуированных заводов, вошедших в график, к 1 марта 1942 г.</w:t>
      </w:r>
    </w:p>
    <w:p w14:paraId="20EF90AC"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Фактически на 1 марта все эвакуированные заводы Наркомавиапрома восстановлены и выпускают авиационную продукцию.</w:t>
      </w:r>
    </w:p>
    <w:p w14:paraId="218DCB0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основное эвакуированное оборудование и материалы прибыли на места за йсключением части металлургического оборудования (шаботы) завода № 195. Проведенная перепись неустановленного эвакуированного оборудования по 80 предприятиям Наркомавиапрома выявила следующее неустановленное оборудование: а) силового оборудования — 13 213 ед., б) металлорежущих станков — 2798 ед., в) кузнечно-прессовое оборудование — 491 ед., г) литейное оборудование — 155 ед., д) насосно-компресесорное оборудование — 1456 ед., е) деревообрабатывающее оборудование — 353 ед., ж) оборудование для строительства — 12 ед., з) подъемно-транспортное оборудование — 89 ед. и) сварочное оборудование — 171 ед.; итого — 18 737 ед.</w:t>
      </w:r>
    </w:p>
    <w:p w14:paraId="57B1F23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причинами задержки монтажа оборудования на заводах являлись:</w:t>
      </w:r>
    </w:p>
    <w:p w14:paraId="60A6877D"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Отсутствие подготовленных площадей для монтажа оборудования, и прежде всего котельных, кузнечных и литейных цехов и электроподстанций (заводы № 150, 26,29,95,84).</w:t>
      </w:r>
    </w:p>
    <w:p w14:paraId="6FA8C03E"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Перебазировка заводов в районы с напряжением высоковольтной сети 10 кВт, имевших электрооборудование на 6 кВт (заводы № 29,24,18,1, 26,81, 22,305).</w:t>
      </w:r>
    </w:p>
    <w:p w14:paraId="37E3F1B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Необходимость проведения ремонта, как в результате порчи в пути, так и планового ремонта.</w:t>
      </w:r>
    </w:p>
    <w:p w14:paraId="3EBC3E8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 силу слияния нескольких заводов на одной территории часть оборудования оказалась излишней для данных заводов.</w:t>
      </w:r>
    </w:p>
    <w:p w14:paraId="56B7034D"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использования неустановленного оборудования намечены следующие мероприятия: 1) составлен график монтажа всего оборудования в течение апреля-июля 1942 г.; 2) для восстановления московской группы заводов передается оборудование в количестве 5494 ед.</w:t>
      </w:r>
      <w:r w:rsidRPr="008A2E5A">
        <w:rPr>
          <w:rFonts w:ascii="Times New Roman" w:hAnsi="Times New Roman"/>
          <w:color w:val="0070C0"/>
          <w:sz w:val="16"/>
          <w:szCs w:val="16"/>
        </w:rPr>
        <w:tab/>
        <w:t>,</w:t>
      </w:r>
    </w:p>
    <w:p w14:paraId="46068766"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плана производства за I квартал 1942 г. основные эвакуированный заводы имеют в следующем объеме:</w:t>
      </w:r>
    </w:p>
    <w:p w14:paraId="0385398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заводов</w:t>
      </w:r>
      <w:r w:rsidRPr="008A2E5A">
        <w:rPr>
          <w:rFonts w:ascii="Times New Roman" w:hAnsi="Times New Roman"/>
          <w:color w:val="0070C0"/>
          <w:sz w:val="16"/>
          <w:szCs w:val="16"/>
        </w:rPr>
        <w:tab/>
        <w:t>Выполнение в процентах</w:t>
      </w:r>
      <w:r w:rsidRPr="008A2E5A">
        <w:rPr>
          <w:rFonts w:ascii="Times New Roman" w:hAnsi="Times New Roman"/>
          <w:color w:val="0070C0"/>
          <w:sz w:val="16"/>
          <w:szCs w:val="16"/>
        </w:rPr>
        <w:tab/>
      </w:r>
    </w:p>
    <w:p w14:paraId="28FC07D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плана I квартала</w:t>
      </w:r>
      <w:r w:rsidRPr="008A2E5A">
        <w:rPr>
          <w:rFonts w:ascii="Times New Roman" w:hAnsi="Times New Roman"/>
          <w:color w:val="0070C0"/>
          <w:sz w:val="16"/>
          <w:szCs w:val="16"/>
        </w:rPr>
        <w:tab/>
        <w:t>проекта плана 1942 г.</w:t>
      </w:r>
    </w:p>
    <w:p w14:paraId="67C4C3B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49,6</w:t>
      </w:r>
      <w:r w:rsidRPr="008A2E5A">
        <w:rPr>
          <w:rFonts w:ascii="Times New Roman" w:hAnsi="Times New Roman"/>
          <w:color w:val="0070C0"/>
          <w:sz w:val="16"/>
          <w:szCs w:val="16"/>
        </w:rPr>
        <w:tab/>
        <w:t>4,0</w:t>
      </w:r>
    </w:p>
    <w:p w14:paraId="0295988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r w:rsidRPr="008A2E5A">
        <w:rPr>
          <w:rFonts w:ascii="Times New Roman" w:hAnsi="Times New Roman"/>
          <w:color w:val="0070C0"/>
          <w:sz w:val="16"/>
          <w:szCs w:val="16"/>
        </w:rPr>
        <w:tab/>
        <w:t>85,7</w:t>
      </w:r>
      <w:r w:rsidRPr="008A2E5A">
        <w:rPr>
          <w:rFonts w:ascii="Times New Roman" w:hAnsi="Times New Roman"/>
          <w:color w:val="0070C0"/>
          <w:sz w:val="16"/>
          <w:szCs w:val="16"/>
        </w:rPr>
        <w:tab/>
        <w:t>13,5</w:t>
      </w:r>
    </w:p>
    <w:p w14:paraId="40084FD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r w:rsidRPr="008A2E5A">
        <w:rPr>
          <w:rFonts w:ascii="Times New Roman" w:hAnsi="Times New Roman"/>
          <w:color w:val="0070C0"/>
          <w:sz w:val="16"/>
          <w:szCs w:val="16"/>
        </w:rPr>
        <w:tab/>
        <w:t>68,0</w:t>
      </w:r>
      <w:r w:rsidRPr="008A2E5A">
        <w:rPr>
          <w:rFonts w:ascii="Times New Roman" w:hAnsi="Times New Roman"/>
          <w:color w:val="0070C0"/>
          <w:sz w:val="16"/>
          <w:szCs w:val="16"/>
        </w:rPr>
        <w:tab/>
        <w:t>10,2</w:t>
      </w:r>
    </w:p>
    <w:p w14:paraId="19EC208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w:t>
      </w:r>
      <w:r w:rsidRPr="008A2E5A">
        <w:rPr>
          <w:rFonts w:ascii="Times New Roman" w:hAnsi="Times New Roman"/>
          <w:color w:val="0070C0"/>
          <w:sz w:val="16"/>
          <w:szCs w:val="16"/>
        </w:rPr>
        <w:tab/>
        <w:t>73,5</w:t>
      </w:r>
      <w:r w:rsidRPr="008A2E5A">
        <w:rPr>
          <w:rFonts w:ascii="Times New Roman" w:hAnsi="Times New Roman"/>
          <w:color w:val="0070C0"/>
          <w:sz w:val="16"/>
          <w:szCs w:val="16"/>
        </w:rPr>
        <w:tab/>
        <w:t>18,0</w:t>
      </w:r>
    </w:p>
    <w:p w14:paraId="12A8028E"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84</w:t>
      </w:r>
      <w:r w:rsidRPr="008A2E5A">
        <w:rPr>
          <w:rFonts w:ascii="Times New Roman" w:hAnsi="Times New Roman"/>
          <w:color w:val="0070C0"/>
          <w:sz w:val="16"/>
          <w:szCs w:val="16"/>
        </w:rPr>
        <w:tab/>
        <w:t>100,5</w:t>
      </w:r>
      <w:r w:rsidRPr="008A2E5A">
        <w:rPr>
          <w:rFonts w:ascii="Times New Roman" w:hAnsi="Times New Roman"/>
          <w:color w:val="0070C0"/>
          <w:sz w:val="16"/>
          <w:szCs w:val="16"/>
        </w:rPr>
        <w:tab/>
        <w:t>10,0</w:t>
      </w:r>
    </w:p>
    <w:p w14:paraId="5276C79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387</w:t>
      </w:r>
      <w:r w:rsidRPr="008A2E5A">
        <w:rPr>
          <w:rFonts w:ascii="Times New Roman" w:hAnsi="Times New Roman"/>
          <w:color w:val="0070C0"/>
          <w:sz w:val="16"/>
          <w:szCs w:val="16"/>
        </w:rPr>
        <w:tab/>
        <w:t>47,5</w:t>
      </w:r>
      <w:r w:rsidRPr="008A2E5A">
        <w:rPr>
          <w:rFonts w:ascii="Times New Roman" w:hAnsi="Times New Roman"/>
          <w:color w:val="0070C0"/>
          <w:sz w:val="16"/>
          <w:szCs w:val="16"/>
        </w:rPr>
        <w:tab/>
        <w:t>17,0</w:t>
      </w:r>
    </w:p>
    <w:p w14:paraId="31D2F88B"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w:t>
      </w:r>
      <w:r w:rsidRPr="008A2E5A">
        <w:rPr>
          <w:rFonts w:ascii="Times New Roman" w:hAnsi="Times New Roman"/>
          <w:color w:val="0070C0"/>
          <w:sz w:val="16"/>
          <w:szCs w:val="16"/>
        </w:rPr>
        <w:tab/>
        <w:t>68,0</w:t>
      </w:r>
      <w:r w:rsidRPr="008A2E5A">
        <w:rPr>
          <w:rFonts w:ascii="Times New Roman" w:hAnsi="Times New Roman"/>
          <w:color w:val="0070C0"/>
          <w:sz w:val="16"/>
          <w:szCs w:val="16"/>
        </w:rPr>
        <w:tab/>
        <w:t>10,7</w:t>
      </w:r>
    </w:p>
    <w:p w14:paraId="0595B16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r w:rsidRPr="008A2E5A">
        <w:rPr>
          <w:rFonts w:ascii="Times New Roman" w:hAnsi="Times New Roman"/>
          <w:color w:val="0070C0"/>
          <w:sz w:val="16"/>
          <w:szCs w:val="16"/>
        </w:rPr>
        <w:tab/>
        <w:t>36,0</w:t>
      </w:r>
      <w:r w:rsidRPr="008A2E5A">
        <w:rPr>
          <w:rFonts w:ascii="Times New Roman" w:hAnsi="Times New Roman"/>
          <w:color w:val="0070C0"/>
          <w:sz w:val="16"/>
          <w:szCs w:val="16"/>
        </w:rPr>
        <w:tab/>
        <w:t>5,3</w:t>
      </w:r>
    </w:p>
    <w:p w14:paraId="5AC4A6F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r w:rsidRPr="008A2E5A">
        <w:rPr>
          <w:rFonts w:ascii="Times New Roman" w:hAnsi="Times New Roman"/>
          <w:color w:val="0070C0"/>
          <w:sz w:val="16"/>
          <w:szCs w:val="16"/>
        </w:rPr>
        <w:tab/>
        <w:t>53,5</w:t>
      </w:r>
      <w:r w:rsidRPr="008A2E5A">
        <w:rPr>
          <w:rFonts w:ascii="Times New Roman" w:hAnsi="Times New Roman"/>
          <w:color w:val="0070C0"/>
          <w:sz w:val="16"/>
          <w:szCs w:val="16"/>
        </w:rPr>
        <w:tab/>
        <w:t>6,3</w:t>
      </w:r>
    </w:p>
    <w:p w14:paraId="45475CE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w:t>
      </w:r>
      <w:r w:rsidRPr="008A2E5A">
        <w:rPr>
          <w:rFonts w:ascii="Times New Roman" w:hAnsi="Times New Roman"/>
          <w:color w:val="0070C0"/>
          <w:sz w:val="16"/>
          <w:szCs w:val="16"/>
        </w:rPr>
        <w:tab/>
        <w:t>63,0</w:t>
      </w:r>
      <w:r w:rsidRPr="008A2E5A">
        <w:rPr>
          <w:rFonts w:ascii="Times New Roman" w:hAnsi="Times New Roman"/>
          <w:color w:val="0070C0"/>
          <w:sz w:val="16"/>
          <w:szCs w:val="16"/>
        </w:rPr>
        <w:tab/>
        <w:t>11,4</w:t>
      </w:r>
    </w:p>
    <w:p w14:paraId="5DC3E2B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w:t>
      </w:r>
      <w:r w:rsidRPr="008A2E5A">
        <w:rPr>
          <w:rFonts w:ascii="Times New Roman" w:hAnsi="Times New Roman"/>
          <w:color w:val="0070C0"/>
          <w:sz w:val="16"/>
          <w:szCs w:val="16"/>
        </w:rPr>
        <w:tab/>
        <w:t>120,0</w:t>
      </w:r>
      <w:r w:rsidRPr="008A2E5A">
        <w:rPr>
          <w:rFonts w:ascii="Times New Roman" w:hAnsi="Times New Roman"/>
          <w:color w:val="0070C0"/>
          <w:sz w:val="16"/>
          <w:szCs w:val="16"/>
        </w:rPr>
        <w:tab/>
        <w:t>15,6</w:t>
      </w:r>
    </w:p>
    <w:p w14:paraId="3EDD1CF6"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w:t>
      </w:r>
      <w:r w:rsidRPr="008A2E5A">
        <w:rPr>
          <w:rFonts w:ascii="Times New Roman" w:hAnsi="Times New Roman"/>
          <w:color w:val="0070C0"/>
          <w:sz w:val="16"/>
          <w:szCs w:val="16"/>
        </w:rPr>
        <w:tab/>
        <w:t>71,0</w:t>
      </w:r>
      <w:r w:rsidRPr="008A2E5A">
        <w:rPr>
          <w:rFonts w:ascii="Times New Roman" w:hAnsi="Times New Roman"/>
          <w:color w:val="0070C0"/>
          <w:sz w:val="16"/>
          <w:szCs w:val="16"/>
        </w:rPr>
        <w:tab/>
        <w:t>13,2</w:t>
      </w:r>
    </w:p>
    <w:p w14:paraId="43ACCFB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невыполнения плана I квартала эвакуированными заводами является нераспорядительность и неупорядоченность работы самих заводов и слабый контроль за их работой со стороны главков и наркомата. Подтверждением такого вывода являются следующие факты.</w:t>
      </w:r>
    </w:p>
    <w:p w14:paraId="57A9DB8D"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16 эвакуирован на хорошие производственные площади быв. Завода № 27, имеет 1200 металлорежущих станков, обеспечен электроэнергией и материалами.</w:t>
      </w:r>
    </w:p>
    <w:p w14:paraId="2A5886EB"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выполнен план I квартала по следующим причинам: во-первых, на заводе отсутвует борьба за соблюдение технологической дисциплины производства, в результате чего по ряду деталей и агрегатов половина их выпуска идет в брак. За март месяц брак по обработке коленчатых валов составил 50%, по нижним картерам 55%, по верхним картерам 61%, по левому блоку 39% и т. д. Нарушение технологической дисциплины производства приводит и к низкому качеству авиамоторов. За март месяц съем авиамоторов с испытания из-за различных дефектов составил 26,3%, т. е. четвертая часть готовых авиамоторов бракуется при испытании из-за легко устранимых дефектов. Во-вторых, весь I квартал и до настоящего времени на заводе плохо работает литейный цех по причине отсутствия формовочных песков, которых при разработке новых карьеров имщеется в Казани в избытке.</w:t>
      </w:r>
    </w:p>
    <w:p w14:paraId="213C9EEB"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24, который также эвакуирован на хорошие производственные площади, имеет 4,3 тыс. металлорежущих станков, обеспечен электроэнергией, материалами, не выполнил план I квартала в основном по следующим причинам:</w:t>
      </w:r>
    </w:p>
    <w:p w14:paraId="2DA96408"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Литейный цех работает с перебоями из-за недостатка формовочной земли и пека. </w:t>
      </w:r>
    </w:p>
    <w:p w14:paraId="566F456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полгода работы руководство не могло организовать карьеры на месте, до настощего времени формовочная земля и песок для литейного цеха подвозятся из старых карьеров (из Люберец и Тамбова). Брак по литью достигает 50-60%.</w:t>
      </w:r>
    </w:p>
    <w:p w14:paraId="05C62044"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Выпуская авиамоторы до последнего времени из старых заделов, привезенных из Москвы, руководство завода проявило беспечность в подготовке новых заделов, в результате чего на заводе созданы перебои по отдельным агрегатам и деталям авиамоторов.</w:t>
      </w:r>
    </w:p>
    <w:p w14:paraId="1CD08BC0"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настоящего времени завод не подготовил полностью необходимые комплексы стендов.</w:t>
      </w:r>
    </w:p>
    <w:p w14:paraId="078DFD5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Подобная нераспорядительность и неупорядоченность работы имеет место и на заводах № 19, 26 и 29. План I квартала металлургического завода № 95 выполнен по прокату листа и ленты на 12,5%, по трубам на 33%, по пруткам на 47% и по профилю прессованному на 58,5%. Причиной невыполнения плана по данному заводу является недостаточное внимание со стороны главка и наркомата к строительству и монтажу оборудования. Основной заготовительный стан «Трио» смонтирован на два месяца позже установленного правительством срока.</w:t>
      </w:r>
    </w:p>
    <w:p w14:paraId="6D3C11F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указанных выше причин невыполнения плана I квартала сего года эвакуированными заводами многие предприятия основными трудностями в своей работе имеют: 1) необеспеченность металлом, поковками и другими кооперированными изделиями; 2) недостаток квалифицированной рабочей силы; 3) недостаток электроэнергии.</w:t>
      </w:r>
    </w:p>
    <w:p w14:paraId="348964FB"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По Наркомтанкопрому</w:t>
      </w:r>
    </w:p>
    <w:p w14:paraId="15F3B29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Ряд заводов Наркомата танковой промышленности, эвакуированных в восточные области СССР, закончили в основном работы по монтажу и сдаче в эксплуатацию эвакуированного оборудования.</w:t>
      </w:r>
    </w:p>
    <w:p w14:paraId="4117610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75 (эвакуированному] из г. Харькова в г. Челябинск на площади Челябинского тракторного завода и влившемуся в Кировский завод): из прибывшего оборудования в количестве 2501 ед., в том числе 2288 металлорежущих станков, установлено 2391 ед., из них 2237 металлорежущих станков, и сдано в эксплуатацию 2270 ед., в том числе 2131 ед. металлорежущего оборудования.</w:t>
      </w:r>
    </w:p>
    <w:p w14:paraId="38F18A3B"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264: из эвакуированного оборудования Харьковского тракторного завода на площади завода № 264 в количестве 2252 ед. прибыло 2140 ед., в том числе 1594 металлорежущих станка, из коих 676 ед. передано другим заводам. Установлено и сдано в эксплуатацию 1464 ед., в том числе 1122 металлорежущих станка, т. е. все прибывшее оборудование установлено и сдано в эксплуатацию.</w:t>
      </w:r>
    </w:p>
    <w:p w14:paraId="2550C09E"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37, КИМ и Подольскому (эвакуированы в г. Свердловск): из выввезенных по всем этим заводам 2390 ед. оборудования прибыло 2282 ед., в том числе 198 металлорежущего. Установлено 1644 ед., в том числе 1417 металлорежущего. Сдан в эксплуатацию 1498 ед., в том числе 1316 металлорежущих станков. Учитывая, что 15 ед. оборудования законсервировано, 327 ед. передано другим заводам и около 200 е] I</w:t>
      </w:r>
    </w:p>
    <w:p w14:paraId="25FA364E"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подлежит дополнительной передаче на сторону, завод № 37 можно считать в основном восстановленным.</w:t>
      </w:r>
    </w:p>
    <w:p w14:paraId="0B021E10"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183 (эвакуирован из Харькова в г. Нижний Тагил на площади Уралвагонзавода): эвакуировано 2721 ед., в том числе 2328 металлорежущих станков. Прибыло 2512 ед., в том числе 2281 ед. металлорежущего [оборудования]. Установлено 2239 ед., в том числе 1926 ед. металлорежущих станков, сдано в эксплуатацию 2191 ед., в том числе 1848 ед. металлорежущего оборудования. Учитывая, что 34 ед. оборудования законсервированы, 152 ед. переданы другим заводам по постановлению Совнаркома и приказам НКТП, завод № 183 можно считать в основном восстановленным.</w:t>
      </w:r>
    </w:p>
    <w:p w14:paraId="6B48097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38 (эвакуирован из г. Коломны в г. Киров): из прибывших 3207 ед. оборудования, в том числе: моторов — 1263, металлорежущего [оборудования] 1140, кузнечно-прессового — 64, литейного — 64, кранового оборудования — 76, прочего — 600, установлено в цехах: металлорежущего оборудования — 727 станков кузнечно-прессового — 48, литейного — 9, кранового оборудования — 17, прочего оборудования — 250. Учитывая, что согласно решению ГОКО в Коломну отправлено металлорежущего оборудования — 145, литейного — 27, кранового оборудования — 1 прочего оборудования — 125 и находится на хранении и ждет отправки в Коломну металлорежущего оборудования — 143, кузнечно-прессового — 12, литейного — 28 кранового оборудования — 42, прочего — 225 ед., завод № 38 можно также считать основном восстановленным.</w:t>
      </w:r>
    </w:p>
    <w:p w14:paraId="45A079F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вышеизложенного Наркомат танковой промышленности считает перечисленные заводы № 75 (в составе Кировского завода), № 264 (ХТЗ), № 37, № 183 № 38 восстановленными заводами на своих новых базах.</w:t>
      </w:r>
    </w:p>
    <w:p w14:paraId="3873E14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заводу № 173 в связи с его укрупнением и переоборудованием под новый вид машины за счет завода № 174 нужно считать, что восстановление его еще не закончена, так как из прибывшего ворошиловградского оборудования 2130 ед., в том числе металлорежущих станков 1213 ед., и из г. Чкалова — 924 ед., в том числе </w:t>
      </w:r>
      <w:r w:rsidRPr="008A2E5A">
        <w:rPr>
          <w:rFonts w:ascii="Times New Roman" w:hAnsi="Times New Roman"/>
          <w:color w:val="0070C0"/>
          <w:sz w:val="16"/>
          <w:szCs w:val="16"/>
        </w:rPr>
        <w:lastRenderedPageBreak/>
        <w:t>металлорежущих станков 698 ед., установлено: оборудования Ворошиловградского завода — 798 ед., том числе металлорежущего — 698 ед., оборудования завода № 174 — 9 ед., в том числя металлорежущего — 9. Сдано в эксплуатацию: оборудования Ворошиловградского завода — 706 ед., из них металлорежущего — 627, оборудования завода № 174 сдано в эксплуатацию 0. Отправлено другим заводам: Ворошиловградскому — 709 ед., в том числя металлорежущего — 284 ед.; Алтайскому заводу — 70 ед., в том числе металлорежущего — 70 ед.; Кусинскому — 19 ед., [в том числе] металлорежущих станков — 19 ед.; итогго — 798 ед., из них металлорежущего — 373 ед. Кроме того, законсервировано 364 ед., в том числе металлорежущего оборудования — 107 ед. Таким образом, завод № 174 (173) является невосстановленным.</w:t>
      </w:r>
    </w:p>
    <w:p w14:paraId="5095635D"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По Наркомвооружения</w:t>
      </w:r>
    </w:p>
    <w:p w14:paraId="0E11BE14"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постановлениям Государственного комитета обороны № 873 и 877 от 1 ноября 1941 г. Наркомат вооружения был обязан к 1 марта 1942 г. закончить востановление всех эвакуированных заводов в восточные районы. Из 32 эвакуированных предприятий полностью восстановлено 20, а восстановление 12 заводов еще не законлено.</w:t>
      </w:r>
    </w:p>
    <w:p w14:paraId="59B5D03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Восстановлены все предприятия оптико-механической промышленности и ариллерийские заводы (№ 4,13,393,589 и 592), кроме части завода № 8 (г. Свердловск).</w:t>
      </w:r>
    </w:p>
    <w:p w14:paraId="2F00DA38"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Неудовлетворительно восстанавливаются предприятия стрелкового вооружения. По трем из этих заводов еще не прибыло на место 2131 ед. оборудования и 1695 ед. не смонтировано из прибывшего оборудования. Из пяти эвакуированных заводов стрелкового вооружения полностью восстановлены только два предприятия (№ 367 и № 507). Оборудование важнейших заводов: № 66 — авиационного вооружения и № 314 — самозарядной винтовки, еще не все прибыло на место.</w:t>
      </w:r>
    </w:p>
    <w:p w14:paraId="4EC057D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Крайне медленно восстанавливаются патронные заводы (кроме восстановленных заводов № 3,543 и 545). Оборудование завода № 188 еще не полностью прибыло на место.</w:t>
      </w:r>
    </w:p>
    <w:p w14:paraId="43F656C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семи патронным заводам не смонтировано 2958 ед. прибывшего оборудования. [Монтаж оборудования и пуск заводов задерживается из-за отсутствия готовых площадей (заводы № 17,188 и 529). По заводу № 60 монтаж оборудования и пуск задерживается по причине отсутствия электроэнергии наряду с недостатком производственных площадей для размещения этого завода.</w:t>
      </w:r>
    </w:p>
    <w:p w14:paraId="5C6BE64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причины медленного восстановления патронных заводов и заводов стрелкового вооружения состоят: 1) в неудовлетворительном руководстве наркомата и главков ходом восстановления эвакуированных заводов; 2) в медленном строительстве производственных и жилых площадей; 3) в недостатке квалифицированной рабочей силы.</w:t>
      </w:r>
    </w:p>
    <w:p w14:paraId="326F529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По Наркомсудпрому</w:t>
      </w:r>
    </w:p>
    <w:p w14:paraId="73C16324"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Наркомату судостроительной промышленности эвакуировано оборудование имущество 27 заводов, из них вывезено частично (1-я очередь) оборудование 9 предгриятий. </w:t>
      </w:r>
    </w:p>
    <w:p w14:paraId="5D0563EC"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апреля восстановлено полностью оборудование 22 заводов, на 4 заводах монтаж оборудования полностью еще не закончен. К ним относятся заводы № 347,239, 251, 201, и совсем не начат монтаж оборудования завода № 532, находящегося и по настоящее время в пути. Общее состояние монтажа и пуска эвакуированного оборудования на заводах НКСП по состоянию на 1 апреля с. г. представляется в следующем виде:</w:t>
      </w:r>
    </w:p>
    <w:p w14:paraId="32D73AB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на 1 апреля 1942 г.</w:t>
      </w:r>
    </w:p>
    <w:p w14:paraId="05F43A2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Единиц процентов</w:t>
      </w:r>
    </w:p>
    <w:p w14:paraId="0566A79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Эвакуировано</w:t>
      </w:r>
    </w:p>
    <w:p w14:paraId="4E37BD5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7738</w:t>
      </w:r>
    </w:p>
    <w:p w14:paraId="4B66C37D"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Подлежит монтажу</w:t>
      </w:r>
    </w:p>
    <w:p w14:paraId="40665DF0"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7070</w:t>
      </w:r>
    </w:p>
    <w:p w14:paraId="322E9DA0"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Смонтировано из подлежащего] монтажу</w:t>
      </w:r>
    </w:p>
    <w:p w14:paraId="4161CA0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6348</w:t>
      </w:r>
    </w:p>
    <w:p w14:paraId="5F8F821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89,7</w:t>
      </w:r>
    </w:p>
    <w:p w14:paraId="1F7FBF7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Пущено из смонтированного</w:t>
      </w:r>
    </w:p>
    <w:p w14:paraId="02E1412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6173</w:t>
      </w:r>
    </w:p>
    <w:p w14:paraId="168C3CF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97,2</w:t>
      </w:r>
    </w:p>
    <w:p w14:paraId="1D0CCA5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отдельным предприятиям восстановление характеризуется следующими данными:</w:t>
      </w:r>
    </w:p>
    <w:p w14:paraId="0EBB7C4C"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532. По графику восстановления оборудование завода № 532 должно быть смонтировано и пущено в апреле месяце на заводах № 344 и 639. На завод № 344 эвакуируется 97 ед. и на завод № 639 — 60 ед. На место прибыло лишь 2 ед. оборудования, остальное находится в пути на судне «Лепсе», застрявшем на мели близ г. Туапсе. Всего на судне «Лепсе» находится около 100 ед. станков. Разгрузка судна в настоящее время вследствие воздушных налетов временно приостановлена. Плавучий кран и плавучие средства для вывоза оставшегося груза на судне базой не представляются, в силу чего разгрузка производилась вручную и крайне медленно.</w:t>
      </w:r>
    </w:p>
    <w:p w14:paraId="499C196B"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239. Завод должен был закончить монтаж оборудования по графику в марте месяце. На завод прибыло 422 ед. оборудования, из которых подлежит монтажу 366 ед. На 1 апреля смонтировано 327 ед., пущено 297 ед. Часть оборудования и имущества находится в пути. Всего в пути 99 вагонов с разным имуществом (станки — 57 шт., лист, сорт и заготовка). О местонахождении значительной части вагонов наркомату не к известно. По розыску вагонов от завода командированы представители. Кроме того, по линии 2-го главка на завод командирован главный инженер. О вагонах, находившихся в пути, НКПСу заявлено.</w:t>
      </w:r>
    </w:p>
    <w:p w14:paraId="0488055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Обеспеченность производственными площадями. Предоставленные заводу производственные площади 6368 кв. м заняты им полностью. Не хватает производственной площади для сборочного цеха (обеспечен на 50%). В настоящее время ведется строительство лишь заготовительного цеха. Всего же должно быть введено:</w:t>
      </w:r>
    </w:p>
    <w:p w14:paraId="7141FB40"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дополнительной площади 2,6 тыс. кв. м, из которых 1,2 тыс. кв. м займет сборочный цех, 800 — заготовительный, 600 кв. м — деревообделочный. Строительство ведет 52-я в госстройконтора, причем стройматериалами строительство не обеспечено — нет леса, цемента, железа и др.</w:t>
      </w:r>
    </w:p>
    <w:p w14:paraId="319E472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239 кооперируется с заводом № 347, изготовляя для него заготовки, поковки и штамповки. Однако в связи с тем, что из имеющихся на заводе (в кузнечном цехе) 5 молотов установлены только 3 молота в 150, 250 и 350 кг, завод не справляется с изготовлением этой продукции и тем самым срывает выполнение плана по заводу № 347, не доставляя ему поковки в должном количестве, а также срывает поставку и заводам № 231 и 238. На складе имеются еще два молота: один электропневматический, 100 кг, и один паровой, 1000 кг. Кроме того, завод не принял должных мер по комплектации и установке двух паровых молотов, предлагаемых ему заводом № 347 (1 х 750 кг и 1 х 1500 кг).</w:t>
      </w:r>
    </w:p>
    <w:p w14:paraId="201BC150"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Обеспеченность электроэнергией. Заводу в настоящее время необходимо электроэнергии на работу смонтированного оборудования порядка 600 кВт, во II квартале — 700 кВт, а в III квартале при окончании строительства завода по первой очереди потребуется 1200 кВт. Вместе с тем завод получает 300 кВт от мясокомбината и от завода № 347 — 200 кВт в связи с вводом в эксплуатацию двух дизелей на общую мощность 450 кВт. Своих дизельных установок завод не имеет. Таким образом, электроэнергией завод удовлетворен на 70% потребности II квартала. Потребность же завода в III квартале — 1200 кВт — сможет быть удовлетворена при установке дизеля в 600 л. с. — 400 кВт, отгруженного заводу № 347. Общий дефицит электромощности на заводе № 239 составит в первом полугодии порядка 200 кВт.</w:t>
      </w:r>
    </w:p>
    <w:p w14:paraId="63D3EB5C"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недостатка электроэнергии по заводу имеют место простои, что, в свою очередь, отражается на выполнении производственной программы. Выполнение плана по валовой продукции в I квартале было следующее: январь — 52%, февраль — 57,4%, март — 62,3%. На невыполнение программы I квартала наряду с недостатком электроэнергии повлияло отсутствие материала — троса и листового железа, а также недостаточная мощность кузнечного цеха, сборочного и прессового цехов, причем недостаточная мощность кузнечного цеха имеет место по вине самой дирекции завода, не установившей имеющихся в наличии молотов.</w:t>
      </w:r>
    </w:p>
    <w:p w14:paraId="53F9055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Обеспеченность рабочей силой. В настоящее время завод испытывает недостаток главным образом в квалифицированной рабочей силе. До эвакуации на заводе работало 1678 чел. В Петропавловск прибыло 678 чел., причем квалифицированных рабочих и ИТР в среднем прибыло 50% от работавших на заводе. Подготовка кадров молодых рабочих проводится главным образом индивидуальным ученичеством, непосредственно у станка. Некоторое количество квалифицированных учеников завод получает от ФЗО и РУ. По плану массового обучения, проводимому заводом, будет выпущено квалифицированных рабочих: в I квартале — 100 чел., во II квартале — 200 чел., в III и IV — по 100 чел. За этот же период заводом будет производиться повышение квалификации имеющихся рабочих и совмещение профессий. Таким образом, полная потребность в квалифицированной рабсиле заводом будет покрыта в течение 1942 г.</w:t>
      </w:r>
    </w:p>
    <w:p w14:paraId="134E70B6"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347. Восстановление завода по 1-й очереди в основном закончено. Не закончены еще строительством термогальваническая и кузнечная мастерские. Из полученных 371 ед. оборудования установлено 301 ед. и введено в эксплуатацию 278 ед. Всего подлежит монтажу 329 ед., а было вывезено 472 ед. Из этого количества потери в пути при эвакуации составили 54 станка (бомбежка). Часть оборудования еще не прибыла, в частности, 26 станков до сих пор не вывезены из Махачкалы по причине непредставления НКПС вагонов. Вагоны забронированы лишь на май месяц.</w:t>
      </w:r>
    </w:p>
    <w:p w14:paraId="4346BFF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электроэнергии завод испытывает острый недостаток. Потребность в электроэнергии по заводу составляет в настоящее время 600 кВт. С окончанием 2-й очереди потребность будет равна 1000-1100 кВт. Завод получает электроэнергию от мясокомбината через завод № 239 — 250 кВт, кроме того, пущены свои два дизеля общей мощностью 450 кВт, из которых 200 кВт получает завод № 239. Следовательно, завод обеспечен электроэнергией по первой очереди на 80%. Кроме того, заводу отгружен еще один дизель в 600 л. с. — 400 кВт, требующий капитального ремонта. Таким образом, в III квартале, при условии получения и установки третьего дизеля, оба завода (№ 239 и 347) в основном будут удовлетворены электроэнергией. Завод имеет еще свою турбину в 4 тыс. кВт, которая в настоящее время находится в пути. При окончании1* строительства станции НКЭС мощностью в 5 тыс. кВт или установки своей турбины в 4 тыс. кВт оба завода будут полностью удовлетворены электроэнергией.</w:t>
      </w:r>
    </w:p>
    <w:p w14:paraId="0C40773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Обеспеченность рабочей силой. Завод ощущает острый недостаток в квалифицированных рабочих. При потребности в 785 чел. в наличии имеется 245 чел. Кроме того, обучается еще 340 чел. Обучение проходит индивидуальным порядком у станка.</w:t>
      </w:r>
    </w:p>
    <w:p w14:paraId="202A9A8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Кооперирование завода. По кузнечным поковкам и штамповкам завод кооперируется с заводом № 239. Однако из-за малой мощности </w:t>
      </w:r>
      <w:proofErr w:type="gramStart"/>
      <w:r w:rsidRPr="008A2E5A">
        <w:rPr>
          <w:rFonts w:ascii="Times New Roman" w:hAnsi="Times New Roman"/>
          <w:color w:val="0070C0"/>
          <w:sz w:val="16"/>
          <w:szCs w:val="16"/>
        </w:rPr>
        <w:t>кузнечно-прессового</w:t>
      </w:r>
      <w:proofErr w:type="gramEnd"/>
      <w:r w:rsidRPr="008A2E5A">
        <w:rPr>
          <w:rFonts w:ascii="Times New Roman" w:hAnsi="Times New Roman"/>
          <w:color w:val="0070C0"/>
          <w:sz w:val="16"/>
          <w:szCs w:val="16"/>
        </w:rPr>
        <w:t xml:space="preserve"> хозяйства на заводе № 239 потребность завода № 347 в этих полуфабрикатах удовлетворяется крайне недостаточно. Так, за январь и февраль месяцы обеспеченность завода поковками и штамповками составила 15% от квартального плана. Оснащение кузнечного цеа завода № 239 еще двумя молотами, которые имеются у завода № 347 и подлежат передаче заводу № 239, удовлетворило бы потребность в поковках обоих заводов.</w:t>
      </w:r>
    </w:p>
    <w:p w14:paraId="1D76F83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недостатка электроэнергии, необеспеченности в кузнечных поковка и штамповках, острого недостатка квалифицированных рабочих, затяжки строительных работ по отдельным объектам завод крайне плохо выполняет заданную программу По I кварталу выполнение плана по валовой продукции составляет: январь — 71,2% февраль — 35,4%, март — 40,2%.</w:t>
      </w:r>
    </w:p>
    <w:p w14:paraId="781C771E"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по заводам № 239 и 347 провести следующие мероприятия:</w:t>
      </w:r>
    </w:p>
    <w:p w14:paraId="7712BBB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Расширить площадь кузнечного, сборочного и деревообделочного цехов по заводу № 239 и закончить термогальванический цех, пристройку к сборочному цеху кузницу по заводу № 347.</w:t>
      </w:r>
    </w:p>
    <w:p w14:paraId="24B9865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Ускорить отгрузку турбины (4 МВт) и паровых котлов с завода № 182 в адрес завода № 347, ему же предназначенные.</w:t>
      </w:r>
    </w:p>
    <w:p w14:paraId="7C63D6D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Немедленно установить на заводе № 239 имеющиеся в наличии два молота 100 кг и 1000 кг. Кроме того, передать с завода № 347 заводу № 239 два молота в 7501) 1500 кг, доукомплектовать их и установить в кузнечном цехе завода № 239.</w:t>
      </w:r>
    </w:p>
    <w:p w14:paraId="1D355C5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 № 231. Из прибывших 286 ед. оборудования подлежит монтажу 270 ед., них 1 апреля установлено 270 ед. и введено в эксплуатацию 220 ед. Из несмонтированных 16 станков не будут использованы 6 — из-за некомплектности и 10 ед. специальные станков, излишних для завода № 231, которые при возможности будут переданы в Ленинград на завод № 181 для использования по назначению. Часть оборудования, предназначенного заводу № 231, находится еще в пути. В частности, оборудование завода № 175, находящееся на заводе № 182 в г. Махачкале в количестве 114 ед. и предназначенное заводу № 231, к месту не прибыло, за исключением 18 ед. </w:t>
      </w:r>
      <w:proofErr w:type="gramStart"/>
      <w:r w:rsidRPr="008A2E5A">
        <w:rPr>
          <w:rFonts w:ascii="Times New Roman" w:hAnsi="Times New Roman"/>
          <w:color w:val="0070C0"/>
          <w:sz w:val="16"/>
          <w:szCs w:val="16"/>
        </w:rPr>
        <w:t>О местонахождений</w:t>
      </w:r>
      <w:proofErr w:type="gramEnd"/>
      <w:r w:rsidRPr="008A2E5A">
        <w:rPr>
          <w:rFonts w:ascii="Times New Roman" w:hAnsi="Times New Roman"/>
          <w:color w:val="0070C0"/>
          <w:sz w:val="16"/>
          <w:szCs w:val="16"/>
        </w:rPr>
        <w:t xml:space="preserve"> вагонов наркомату известно. Для ускорения продвижения вагонов командирован заместитель начальника 2-го Главного управления НКСП.</w:t>
      </w:r>
    </w:p>
    <w:p w14:paraId="2323F023"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Обеспеченность электроэнергией. В настоящее время завод испытывает недостаток в электроэнергии. Потребность завода в электроэнергии с учетом пуска всего оборудования составляет 630 кВт. Получает же завод от своей дизельной станции 140 кВт и от передвижной станции — 40 кВт, а всего 180 кВт. В настоящее время монтируется дизель 600 л. с. на мясокомбинате, пущен он будет в апреле месяце. Это разрешит дефицит лишь для части завода, размещенного в затоне Чапаева. Для цехов в городе устанавливается 1 дизель в 600 л. с., 1 дизель, 350 л. с., и 1 дизель, 300 л. с. С пуском этих дизелей дефицит в электроэнергии будет полностью устранен.</w:t>
      </w:r>
    </w:p>
    <w:p w14:paraId="34C03E9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не обеспечен квалифицированной рабочей силой 5, 6 и 7-го разрядов главным образом не хватает токарей, электросварщиков, слесарей, сборщиков, фрезеровщиков, строгальщиков. Программу завод не выполняет. По I кварталу по выпуску валовой продукции завод дал следующее выполнение: январь — 55%, февраль — 62,5%, март — 90%.</w:t>
      </w:r>
    </w:p>
    <w:p w14:paraId="4E2DF275"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251. Всего подлежит монтажу оборудования на заводе № 251 с учетом отправки части станков в Москву — 622 ед. Смонтировано на 1 апреля 1942 г. и пущен в эксплуатацию 606 ед., кроме того, работают 39 станков быв. завода «Молот».</w:t>
      </w:r>
    </w:p>
    <w:p w14:paraId="53BB56E8"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Обеспеченность электроэнергией. Завод испытывает большие перебои в электроэнергии. На все оборудование потребность в электроэнергии составляет 800 кВт. Источником получения электроэнергии является гор[одская] электростанция, от которой завод получает до 80 кВт, и свой аварийный судовой дизель, используемый для кратковременных нагрузок. Этот аварийный дизель часто требует ремонта. В настоящее время дизель в ремонте и завод фактически не работает из-за отсутствия электроэнергии.</w:t>
      </w:r>
    </w:p>
    <w:p w14:paraId="5501EB68"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отсутствия электроэнергии простои оборудования достигают ежемесячно 20-25%. Заводу необходим запасной дизель мощностью не менее 650 кВт.</w:t>
      </w:r>
    </w:p>
    <w:p w14:paraId="45B0C88D"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не хватает квалифицированной рабочей силы — 400 чел., начиная с 4-го и выше разрядов, особенно токарей, фрезеровщиков и др. Программу I квартала завод выполнил: в январе — на 64,2%, в феврале — на 68,3%, в марте — на 65,7%.</w:t>
      </w:r>
    </w:p>
    <w:p w14:paraId="2A0AA5E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252. Завод № 252, с учетом оставленных с завода № 192, эвакуированного в Москву, 126 ед. оборудования, имеет 662 ед., из которых 647 ед. подлежат монтажу, а 15 ед. переданы для использования заводу № 206. На 1 апреля смонтировано 630 ед. и пущено в эксплуатацию 619 ед. Практически завод можно считать восстановленным.</w:t>
      </w:r>
    </w:p>
    <w:p w14:paraId="758BA991"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Электроэнергией завод обеспечен. Выполнение плана I квартала по валовой продукции следующее: январь — 53,3%, февраль 66,6%, март — 90%.</w:t>
      </w:r>
    </w:p>
    <w:p w14:paraId="09F51C49"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НИИ-10. Все эвакуированное оборудование смонтировано и сдано в эксплуатацию. Находящиеся в пути 28 ед. оборудования возвращаются в Москву.</w:t>
      </w:r>
    </w:p>
    <w:p w14:paraId="1B4AD2B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 № 201. Эвакуированное оборудование прибыло на место полностью. Из подлежащих монтажу в г. Туапсе, на заводе им. Дзержинского, 368 ед. смонтировано 321 ед. и пущено 279 ед.; в Поти, в ремонтных мастерских, подлежит монтажу 69 ед., смонтировано 54 и пущено 47 ед. Узким местом в Поти является дефицит электроэнергии. </w:t>
      </w:r>
    </w:p>
    <w:p w14:paraId="2081B6A8"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Заводу необходимо 300 кВт электроэнергии, а получает лишь 90 кВт. В настоящее время для получения необходимых заводу 300 кВт электроэнергии производятся работы по прокладке 4 км кабеля от РИОН1 ГРЭСа, монтаж трансформатора и другие работы. Программу I квартала завод перевыполнил.</w:t>
      </w:r>
    </w:p>
    <w:p w14:paraId="2B490327"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 Все эвакуированные заводы Наркомсудпрома (кроме завода № 532) в основном восстановлены и являются действующими предприятиями. Основными трудностями в работе этих заводов на новом месте являются: 1) недостаток электроэнергии (заводы № 347, 239, 231 и 251); 2) необеспеченность квалифицированной рабочей силой (4-й разряд и выше); 3) нарушение ранее существовавшей системы кооперирования предприятий и вследствие этого — необеспеченность кооперированными поставками (изделия электропромышленности, литье, поковки, штамповки и др.); 4) неудовлетворительное материальное снабжение заводов (металл — листовой, сортовой, качественные стали, трос, кабельные изделия); 5) медленный ход строительства дополнительных площадей из-за необеспеченности строительными материалами (лес, цемент, кирпич).</w:t>
      </w:r>
    </w:p>
    <w:p w14:paraId="2B0ACAE2"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вышеизложенного следует вывод:</w:t>
      </w:r>
    </w:p>
    <w:p w14:paraId="5816002A"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Все важнейшие эвакуированные военные заводы Наркомавиапрома, Наркомвооружения (кроме некоторых патронных заводов и предприятий стрелкового вооружения), Наркомтанкопрома и Наркомсудпрома в основном восстановлены и являются в настоящее время действующими предприятиями в восточных районах Союза ССР.</w:t>
      </w:r>
    </w:p>
    <w:p w14:paraId="5F1130B6"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Основными трудностями в работе этих заводов на новом месте являются: а) недостаточная обеспеченность металлом, а также кооперированными изделиями, вследствие нарушения ранее действующей системы кооперирования этих предприятий; б) недостаток квалифицированной рабочей силы; в) необеспеченность ряда предприятий электроэнергией и перебои в снабжении топливом; г) неудовлетворительный ход строительства дополнительных площадей из-за недостатка строительных материалов.</w:t>
      </w:r>
    </w:p>
    <w:p w14:paraId="31868DB6"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устранении этих недостатков восстановленные на новом месте военные заводы смогут выпускать военной продукции не меньше, а по отдельным видам значительно больше ее производства на старом месте.</w:t>
      </w:r>
    </w:p>
    <w:p w14:paraId="11F73F8F"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о. начальника отдела военного машиностроения Госплана при СНК СССР Пашков</w:t>
      </w:r>
    </w:p>
    <w:p w14:paraId="554E0C84" w14:textId="77777777" w:rsidR="003603F3" w:rsidRPr="008A2E5A" w:rsidRDefault="003603F3" w:rsidP="003603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4372. Оп. 93. Д. 580. Л. 236-223. Подлинник (24021).</w:t>
      </w:r>
    </w:p>
    <w:p w14:paraId="2E430D4E" w14:textId="77777777" w:rsidR="003603F3" w:rsidRPr="008A2E5A" w:rsidRDefault="003603F3" w:rsidP="003603F3">
      <w:pPr>
        <w:spacing w:after="0" w:line="240" w:lineRule="auto"/>
        <w:jc w:val="both"/>
        <w:rPr>
          <w:rFonts w:ascii="Times New Roman" w:hAnsi="Times New Roman"/>
          <w:color w:val="0070C0"/>
          <w:sz w:val="16"/>
          <w:szCs w:val="16"/>
        </w:rPr>
      </w:pPr>
    </w:p>
    <w:p w14:paraId="4C0E48C3" w14:textId="77777777" w:rsidR="00E912F0" w:rsidRPr="008127F8" w:rsidRDefault="00E912F0" w:rsidP="001E0A84">
      <w:pPr>
        <w:spacing w:after="0" w:line="240" w:lineRule="auto"/>
        <w:jc w:val="both"/>
        <w:rPr>
          <w:rFonts w:ascii="Times New Roman" w:eastAsia="Times New Roman" w:hAnsi="Times New Roman"/>
          <w:bCs/>
          <w:i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 апреля 1942 г.</w:t>
      </w:r>
    </w:p>
    <w:p w14:paraId="5B0A2F71"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12</w:t>
      </w:r>
      <w:r w:rsidRPr="008127F8">
        <w:rPr>
          <w:rFonts w:ascii="Times New Roman" w:eastAsia="Times New Roman" w:hAnsi="Times New Roman"/>
          <w:color w:val="000000" w:themeColor="text1"/>
          <w:sz w:val="16"/>
          <w:szCs w:val="16"/>
          <w:lang w:eastAsia="ru-RU"/>
        </w:rPr>
        <w:t xml:space="preserve"> </w:t>
      </w:r>
    </w:p>
    <w:p w14:paraId="30CAE149"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72318230"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705C4F04"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205035BB"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354c</w:t>
      </w:r>
    </w:p>
    <w:p w14:paraId="402A025A"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26A9121C"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 апреля 1942 г.</w:t>
      </w:r>
    </w:p>
    <w:p w14:paraId="3F2886BA"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распоряжения СНК СССР от 16.IV.1942 г. за № 6512-рс об изготовлении и внедрении для опытно-промышленной эксплоатации сварочных установок автоматической дуговой электросварки с жидким присадочным металлом по способу академика НИКИТИНА В.П. – ПРИКАЗЫВАЮ: </w:t>
      </w:r>
    </w:p>
    <w:p w14:paraId="10C55D26"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Директору Уралмашзавода т. МУЗРУКОВУ изготовить и внедрить для опытно-промышленной эксплоатации две опытных установки с различными типами контейнеров, по проекту, разработанному Академией Наук СССР совместно с техническим отделом Уралмашзавода, для заварки раковин в отливках и для сварки толстых листов. Одну установку изготовить к 1-му июня и вторую к 1-му июля 1942 г. </w:t>
      </w:r>
    </w:p>
    <w:p w14:paraId="7E932A88"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Директору Уралмашзавода т. МУЗРУКОВУ разработать и утвердить план работ по изготовлению и внедрению для опытно-промышленной эксплоатации указанных 2-х установок и представить таковой вместе со сметой расходов во II-ой отдел НКТП. </w:t>
      </w:r>
    </w:p>
    <w:p w14:paraId="6ED3984B"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Начальнику Финансово-бухгалтерского отдела НКТП т. ШАГАЛОВУ финансировать указанную работу за счет средств по научно-исследовательским работам. </w:t>
      </w:r>
    </w:p>
    <w:p w14:paraId="46865CDF"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Контроль за выполнением настоящего приказа возложить на Главного Металлурга НКТП т. ЧЕРНУШЕВИЧА В.А. </w:t>
      </w:r>
    </w:p>
    <w:p w14:paraId="2BA5B8F2"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0FB4DEE7" w14:textId="77777777" w:rsidR="00E912F0" w:rsidRPr="008127F8" w:rsidRDefault="00E912F0"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(А. ГОРЕГЛЯД) (18943).</w:t>
      </w:r>
    </w:p>
    <w:p w14:paraId="28D8063B" w14:textId="77777777" w:rsidR="00E912F0" w:rsidRPr="008127F8" w:rsidRDefault="00E912F0" w:rsidP="001E0A84">
      <w:pPr>
        <w:spacing w:after="0" w:line="240" w:lineRule="auto"/>
        <w:jc w:val="both"/>
        <w:rPr>
          <w:rFonts w:ascii="Times New Roman" w:hAnsi="Times New Roman"/>
          <w:color w:val="000000" w:themeColor="text1"/>
          <w:sz w:val="16"/>
          <w:szCs w:val="16"/>
        </w:rPr>
      </w:pPr>
    </w:p>
    <w:p w14:paraId="0273D5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г. для проведения НИОКР по созданию перспективных образцов боевых машин в Челябинске на базе опытного производства Челябинского тракторного завода и эвакуированного из Харькова стан</w:t>
      </w:r>
      <w:r w:rsidRPr="008127F8">
        <w:rPr>
          <w:rFonts w:ascii="Times New Roman" w:hAnsi="Times New Roman"/>
          <w:color w:val="000000" w:themeColor="text1"/>
          <w:sz w:val="16"/>
          <w:szCs w:val="16"/>
        </w:rPr>
        <w:softHyphen/>
        <w:t>костроительного завода был образован Опытный завод № 100 с подчинением первоначально Челябинскому Кировскому заводу, а с августа 1943 г. - наркомату танковой промыш</w:t>
      </w:r>
      <w:r w:rsidRPr="008127F8">
        <w:rPr>
          <w:rFonts w:ascii="Times New Roman" w:hAnsi="Times New Roman"/>
          <w:color w:val="000000" w:themeColor="text1"/>
          <w:sz w:val="16"/>
          <w:szCs w:val="16"/>
        </w:rPr>
        <w:softHyphen/>
        <w:t>ленности. Директором завода в 1943 г. был назначен Н.Н. Ворошилов, главным конструктором - А.С. Ермолаев. С 1944 г. директором завода был Ж.Я. Котин. После снятия блокады Ленинграда на территории Ки</w:t>
      </w:r>
      <w:r w:rsidRPr="008127F8">
        <w:rPr>
          <w:rFonts w:ascii="Times New Roman" w:hAnsi="Times New Roman"/>
          <w:color w:val="000000" w:themeColor="text1"/>
          <w:sz w:val="16"/>
          <w:szCs w:val="16"/>
        </w:rPr>
        <w:softHyphen/>
        <w:t>ровского завода 8 июля 1944 г. был образован филиал завода № 100. Ра</w:t>
      </w:r>
      <w:r w:rsidRPr="008127F8">
        <w:rPr>
          <w:rFonts w:ascii="Times New Roman" w:hAnsi="Times New Roman"/>
          <w:color w:val="000000" w:themeColor="text1"/>
          <w:sz w:val="16"/>
          <w:szCs w:val="16"/>
        </w:rPr>
        <w:softHyphen/>
        <w:t>ботами по созданию лучших образцов артиллерийских систем для бро</w:t>
      </w:r>
      <w:r w:rsidRPr="008127F8">
        <w:rPr>
          <w:rFonts w:ascii="Times New Roman" w:hAnsi="Times New Roman"/>
          <w:color w:val="000000" w:themeColor="text1"/>
          <w:sz w:val="16"/>
          <w:szCs w:val="16"/>
        </w:rPr>
        <w:softHyphen/>
        <w:t>нетанкового вооружения руководили главные конструкторы В.Г. Грабин, Ф.Ф. Петров и И.И. Иванов (10703).</w:t>
      </w:r>
    </w:p>
    <w:p w14:paraId="30DC428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0B943" w14:textId="77777777" w:rsidR="00D96242" w:rsidRPr="008127F8" w:rsidRDefault="00D96242"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23 апреля 1942 года в адрес начальников ГАУ КА и НКВ последовал ответ из НКТП. А.А. Горегляд, с сентября 1941 года являвшийся заместителем наркома танковой промышленности, ретранслировал мнение наркомата по поводу решений пленума Арткома ГАУ. В целом оно совпадало с данными идеями, но самое интересное оказалось связано с "122-мм гаубицей обр.1938 г. на шасси Т-34". Горегляд четко дал понять, что речь будет идти не про рубочную САУ, о которой подумали многие исследователи, а о гаубичном танке. То есть тот же КВ-9, но уже на шасси Т-34. Причем каких-то возражений со стороны ГАУ КА или НКВ поначалу не последовало. Так что, по состоянию на весну 1942 года, приоритетом являлся не аналог 122-СГ на шасси Т-34, а КВ-2, только поменьше.</w:t>
      </w:r>
    </w:p>
    <w:p w14:paraId="42202611" w14:textId="77777777" w:rsidR="00D96242" w:rsidRPr="008127F8" w:rsidRDefault="00D96242" w:rsidP="001E0A84">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Со стороны завода №8 работы возглавил тот же коллектив, что и создал У-20. Правда, с одним нюансом: к тому моменту Петров стал главным конструктором завода №8 (20881).</w:t>
      </w:r>
    </w:p>
    <w:p w14:paraId="66613523" w14:textId="77777777" w:rsidR="00D96242" w:rsidRPr="008127F8" w:rsidRDefault="00D96242" w:rsidP="001E0A84">
      <w:pPr>
        <w:pStyle w:val="article-renderblock"/>
        <w:shd w:val="clear" w:color="auto" w:fill="FFFFFF"/>
        <w:spacing w:before="0" w:beforeAutospacing="0" w:after="0" w:afterAutospacing="0"/>
        <w:jc w:val="both"/>
        <w:rPr>
          <w:color w:val="000000" w:themeColor="text1"/>
          <w:sz w:val="16"/>
          <w:szCs w:val="16"/>
        </w:rPr>
      </w:pPr>
    </w:p>
    <w:p w14:paraId="0CF100B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1629 [О переезде и прописке в Москве 1 тыс. работников НКПС.] (7004, 96).</w:t>
      </w:r>
    </w:p>
    <w:p w14:paraId="14B5953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2A6149"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1632 [Об обеспечении углем флота в Архангельске.] (7004, 100).</w:t>
      </w:r>
    </w:p>
    <w:p w14:paraId="15E2DC2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2390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1634 О производстве приборов "Брамит". РГАНИР, Фонд ГКО, д. 31, лл. 103 (11012).</w:t>
      </w:r>
    </w:p>
    <w:p w14:paraId="5E7395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F7B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1635 О плане посуточной сдачи танковой и дивизионной артиллерии на заводе № 92. НКВ на II кв. 1942 г. РГАНИР, Фонд ГКО, д. 31, лл. 104, 105 (11012).</w:t>
      </w:r>
    </w:p>
    <w:p w14:paraId="1F9DE8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C882A"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E0067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06B5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в 1942 году утреннее сообщение Совинформбюро:</w:t>
      </w:r>
    </w:p>
    <w:p w14:paraId="09A21404"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23 апреля на фронте чего-либо существенного не произошло.</w:t>
      </w:r>
    </w:p>
    <w:p w14:paraId="29E68E3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Пехота противника, поддержанная танками, безуспешно пыталась атаковать наши части на одном из участков Калининского фронта. Наши бойцы отбили эту атаку, и немцы были вынуждены отойти, оставив на поле боя 900 убитых солдат и офицеров. Входе боя подбито 3 вражеских танка, из них один тяжёлый, захвачены у противника пулемёты, автоматы и винтовки. На другом участке, в бою у деревни К., противник потерял около 200 солдат и офицеров.</w:t>
      </w:r>
    </w:p>
    <w:p w14:paraId="0CEB50CB"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часть под командованием тов. Ольшева за один день уничтожила немецкий танк, 2 орудия и 2 подводы с боеприпасами.</w:t>
      </w:r>
    </w:p>
    <w:p w14:paraId="3A8729AE"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командира Сапрыкина во время атаки первым ворвался в населённый пункт Н., занятый немцами. Огнём и гусеницами танкисты уничтожили несколько огневых точек противника и до 50 гитлеровцев.</w:t>
      </w:r>
    </w:p>
    <w:p w14:paraId="6E56B8F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танк пытался атаковать одно наше подразделение. Красноармейцы тт.Емельянов и Татарников заняли удобную огневую позицию и открыли по вражеской машине огонь из противотанковых ружей. Несколько бронебойно-зажигательных пуль попало в мотор. Немецкий танк сгорел.</w:t>
      </w:r>
    </w:p>
    <w:p w14:paraId="100219B9"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А., действующий в одном из районов Смоленской области, занятых немцами, за последние дни провёл несколько успешных налётов на немецкие гарнизоны. Партизаны истребили 120 немецко-фашистских оккупантов.</w:t>
      </w:r>
    </w:p>
    <w:p w14:paraId="3BA180C9"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немецкий ефрейтор Ганс Пауман рассказал: «Я пролежал три с лишним месяца в лазарете в Харькове. Выписался в конце марта. В лазарете находилось около 1.000 раненых, больных и обмороженных. Никого из выздоравливающих в отпуск не пускали. Солдат, которые лишились пальцев на ноге или руке, направляют для несения караульной службы или в хозяйственные команды. Однако и нестроевые команды теперь всё чаще и чаще посылаются в бой. Настроение солдат подавленное. С родины приходят безрадостные письма. Моя жена жалуется, что её заставляют работать по 14—15 часов в день. Нормы продуктов по карточкам из месяца в месяц уменьшаются, и она голодает».</w:t>
      </w:r>
    </w:p>
    <w:p w14:paraId="3DD669C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Эрих Друцель пишет в Штеттин; «...В эту ночь опять погиб один из наших — отец пятерых детей. Мы уже ж этому привыкли. Самое трудное теперь — хоронить мертвецов, ибо их становится всё больше...».</w:t>
      </w:r>
    </w:p>
    <w:p w14:paraId="65A59B96"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в Черногории (Югославия) недавно напали на итальянских оккупантов в районе Н. Партизаны захватили 10 ручных и 2 станковых пулемёта, 2 миномёта и большое количество амуниции. Итальянские захватчики понесли большие потери.» (15108).</w:t>
      </w:r>
    </w:p>
    <w:p w14:paraId="1D4EB996"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70327F23"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в 1942 году вечернее сообщение Совинформбюро:</w:t>
      </w:r>
    </w:p>
    <w:p w14:paraId="5C446523"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апреля на фронте чего-либо существенного не произошло.</w:t>
      </w:r>
    </w:p>
    <w:p w14:paraId="46E8E0A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21 апреля уничтожено не 32 немецких самолёта, как об этом сообщалось ранее, а 37 немецких самолётов.</w:t>
      </w:r>
    </w:p>
    <w:p w14:paraId="6EFE766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апреля уничтожено 14 немецких самолётов. Наши потери — 8 самолётов.</w:t>
      </w:r>
    </w:p>
    <w:p w14:paraId="331209B1"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апреля частями нашей авиации уничтожено или повреждено 18 немецких автомашин с войсками и грузами, 10 повозок с боеприпасами, несколько орудий, взорваны два склада с боеприпасами, рассеяно и частью уничтожено до роты пехоты противника.</w:t>
      </w:r>
    </w:p>
    <w:p w14:paraId="560A99E6"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уничтожили свыше 1.400 немецких солдат и офицеров. Разрушено 12 вражеских ДЗОТов, уничтожено 3 танка, орудие и несколько пулемётов противника.</w:t>
      </w:r>
    </w:p>
    <w:p w14:paraId="6FBEFB25"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Взвод конногвардейцев под командой лейтенанта Мохова атаковал немцев, находившихся в селении Е. Вырвавшись вперёд, тов. Мохов уничтожил трёх немецких солдат. Бойцы бросились за своим командиром и разгромили гитлеровцев. Немцы отступили, оставив 35 убитых и 75 раненых солдат и офицеров. Советские кавалеристы в этом бою захватили много оружия, 60 лошадей, 10 ящиков с минами и 80.000 патронов.</w:t>
      </w:r>
    </w:p>
    <w:p w14:paraId="0CB5BE8B"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тов. Азаренкова за последнее время подбил 7 немецких танков, разрушил 2 склада с боеприпасами и уничтожал 2 орудия и 28 автомашин противника.</w:t>
      </w:r>
    </w:p>
    <w:p w14:paraId="335B96F7"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дня младший сержант Кнютин под артиллерийским и пулемётным огнём противника 11 раз исправлял повреждения телефонной линии. Тов. Кнютин обеспечил бесперебойную связь между командным пунктом и подразделением своей части.</w:t>
      </w:r>
    </w:p>
    <w:p w14:paraId="5BBB4B9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первой половине апреля группа минских партизан под руководством тов. </w:t>
      </w:r>
      <w:proofErr w:type="gramStart"/>
      <w:r w:rsidRPr="008127F8">
        <w:rPr>
          <w:rFonts w:ascii="Times New Roman" w:hAnsi="Times New Roman"/>
          <w:color w:val="000000" w:themeColor="text1"/>
          <w:sz w:val="16"/>
          <w:szCs w:val="16"/>
        </w:rPr>
        <w:t>Я.пустила</w:t>
      </w:r>
      <w:proofErr w:type="gramEnd"/>
      <w:r w:rsidRPr="008127F8">
        <w:rPr>
          <w:rFonts w:ascii="Times New Roman" w:hAnsi="Times New Roman"/>
          <w:color w:val="000000" w:themeColor="text1"/>
          <w:sz w:val="16"/>
          <w:szCs w:val="16"/>
        </w:rPr>
        <w:t xml:space="preserve"> под откос 4 немецких эшелона с вооружением и войсками. В результате гитлеровцы потеряли, по неполным данным, 200 человек убитыми и более 400 ранеными. Уничтожено много немецких танков и боеприпасов.</w:t>
      </w:r>
    </w:p>
    <w:p w14:paraId="3B507D42"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8 роты 269 полка испанской «Голубой дивизии» Фернандо Видаль Руис рассказал: «Когда мы прибыли на фронт, наша рота насчитывала 203 человека. В феврале из Испании прибыло ещё 27 человек. Кроме того, рота в разное время пополнялась из дивизионного резерва. Мы понесли огромные потери. В настоящее время в роте осталось не более 40 человек. Из 12 станковых пулемётов 7 попали в руки русских. Были дни, когда разбитая и отступавшая рота состояла всего лишь из двух десятков солдат. Нам неоднократно обещали смену, говорили, что мы уедем в Испанию. Теперь мы видим, что нас обманывали. Многие солдаты поэтому увиливают от участия в боевых действиях. Они стараются «потеряться» где-либо в тылу. Выздоравливающие солдаты бродят по дорогам, совершают обходные движения, чтобы удлинить путь к своей части».</w:t>
      </w:r>
    </w:p>
    <w:p w14:paraId="19E221C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ефрейтору Эрвину Лангу сообщают его родные из Эрлангена: «...Один за другим исчезают товарищи и знакомые. Всех призывают в армию. Теперь призывают даже гимназистов, даже таких, которые ещё не перешли в восьмой класс».</w:t>
      </w:r>
    </w:p>
    <w:p w14:paraId="13375A44"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городах Финляндии резко возросло количество заболеваний сыпным и брюшным тифом. Смертность среди больных достигает огромных размеров. Это объясняется крайним истощением жителей, а также отсутствием необходимых </w:t>
      </w:r>
      <w:proofErr w:type="gramStart"/>
      <w:r w:rsidRPr="008127F8">
        <w:rPr>
          <w:rFonts w:ascii="Times New Roman" w:hAnsi="Times New Roman"/>
          <w:color w:val="000000" w:themeColor="text1"/>
          <w:sz w:val="16"/>
          <w:szCs w:val="16"/>
        </w:rPr>
        <w:t>медикаментов.Особенно</w:t>
      </w:r>
      <w:proofErr w:type="gramEnd"/>
      <w:r w:rsidRPr="008127F8">
        <w:rPr>
          <w:rFonts w:ascii="Times New Roman" w:hAnsi="Times New Roman"/>
          <w:color w:val="000000" w:themeColor="text1"/>
          <w:sz w:val="16"/>
          <w:szCs w:val="16"/>
        </w:rPr>
        <w:t xml:space="preserve"> велика смертность в городах Васа и Хювинкя. На улицах этих городов ежедневно встречаются десятки похоронных процессий.</w:t>
      </w:r>
    </w:p>
    <w:p w14:paraId="4D8E9D4C"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Молотившей области готовят первомайские подарки бойцам КраснойАрмии. Уже собрано 336 коллективных и 12.000 индивидуальных посылок. B этих посылках рабочие, колхозники и служащие посылают на фронт жареных поросят и кур, колбасы, сыр, печенье, консервы, гармонии, баяны и много других предметов. Рабочие райпромкомбината Молотовского района изготовили и посылают на фронт три стиральные машины.» (15108).</w:t>
      </w:r>
    </w:p>
    <w:p w14:paraId="73354818"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5E1BB89A" w14:textId="77777777" w:rsidR="001D5126" w:rsidRPr="008127F8" w:rsidRDefault="001D512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апреля в 1942 году </w:t>
      </w:r>
      <w:proofErr w:type="gramStart"/>
      <w:r w:rsidRPr="008127F8">
        <w:rPr>
          <w:rFonts w:ascii="Times New Roman" w:hAnsi="Times New Roman"/>
          <w:color w:val="000000" w:themeColor="text1"/>
          <w:sz w:val="16"/>
          <w:szCs w:val="16"/>
        </w:rPr>
        <w:t>согласно директивы</w:t>
      </w:r>
      <w:proofErr w:type="gramEnd"/>
      <w:r w:rsidRPr="008127F8">
        <w:rPr>
          <w:rFonts w:ascii="Times New Roman" w:hAnsi="Times New Roman"/>
          <w:color w:val="000000" w:themeColor="text1"/>
          <w:sz w:val="16"/>
          <w:szCs w:val="16"/>
        </w:rPr>
        <w:t xml:space="preserve"> Ставки ВГК от 21 апреля 1942 с 24.00 23 апреля были объединены Ленинградский и Волховский фронт в единый Ленинградский фронт в составе групп Ленинградского и Волховского направлений. Командующим Ленинградского фронта и группы войск Волховского направления был назначен генерал-лейтенант Хозин. Командующим группой войск Ленинградского направления - генерал-лейтенант Говоров</w:t>
      </w:r>
    </w:p>
    <w:p w14:paraId="6885DDC2" w14:textId="77777777" w:rsidR="001D5126" w:rsidRPr="008127F8" w:rsidRDefault="001D5126" w:rsidP="001E0A84">
      <w:pPr>
        <w:spacing w:after="0" w:line="240" w:lineRule="auto"/>
        <w:jc w:val="both"/>
        <w:rPr>
          <w:rFonts w:ascii="Times New Roman" w:hAnsi="Times New Roman"/>
          <w:color w:val="000000" w:themeColor="text1"/>
          <w:sz w:val="16"/>
          <w:szCs w:val="16"/>
        </w:rPr>
      </w:pPr>
    </w:p>
    <w:p w14:paraId="729958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23 апреля 1942 первая эскадрилья 95-го иап атаковала авиабазу Луостари, уничтожив, по докладам пилотов, 16 самолетов на земле и сбив в воздухе еще один Bf 109. Эскадрилья вернулась с боевого задания без потерь.</w:t>
      </w:r>
    </w:p>
    <w:p w14:paraId="7FDD9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По-другому сложилась обстановка при нанесении бомбоштурмового удара по аэродрому Хебугтен. Эта крупная авиабаза периодически принимала до сотни немецких бомбардировщиков и истребителей, поэтому представляла собой заманчивую и в то же время опасную цель. Семерка Пе-3, направленная для атаки аэродрома, была встречена большой группой (более двух десятков) истребителей немцев, которые, однако, не смогли сорвать бомбометание по цели. Стремясь выиграть время, ведущий группы капитан Б. Шишкин сманеврировал и встретил истребители противника залповым пуском реактивных снарядов. Неожиданность применения PC-132 и РС-82 сыграла свою роль и на время отсрочила атаку истребителей, позволив группе прицельно отбомбиться по стоянкам самолетов и ангарам. Однако при отходе "петляковых" немецкие истребители не упустили шанса. На свой аэродром вернулся только один Пе-3, еще один приземлился на аэродром соседей. Летчик третьего Пе-3, спасшийся на парашюте, оказался последним из тех, кто уцелел (12042).</w:t>
      </w:r>
    </w:p>
    <w:p w14:paraId="735E61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EBC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1636 О повышении окладов содержания командирам и военным комиссарам корпусов. РГАНИР, Фонд ГКО, д. 31, лл. 106 (11012).</w:t>
      </w:r>
    </w:p>
    <w:p w14:paraId="442E97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97444"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в 1942 году Демянская группировка немецких войск прорвала кольцо окружения войск Северо-Западного фр. и образовала «рамушевский коридор» (по названию села Рамушево, к концу апреля — ширина 6-8 км) (15108).</w:t>
      </w:r>
    </w:p>
    <w:p w14:paraId="163E26C1"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6961699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91DB2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51273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вышло Постановление ГКО № 1633 [О развертывании 174 тыс. госпитальных коек на территории 25 областей, краев и автономных республик Европейской части РСФСР.] (7004, 101,102).</w:t>
      </w:r>
    </w:p>
    <w:p w14:paraId="3B5ABCC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9F16C" w14:textId="77777777" w:rsidR="00E912F0" w:rsidRPr="008127F8" w:rsidRDefault="00E912F0"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F7F73C1" w14:textId="77777777" w:rsidR="00E912F0" w:rsidRPr="008127F8" w:rsidRDefault="00E912F0"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88A3CE" w14:textId="77777777" w:rsidR="00E912F0" w:rsidRPr="008127F8" w:rsidRDefault="00E912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Сталин в присутствии Молотова принял нового посла США Уильяма Стэндли. Беседа продолжалась свыше часа. Стэндли сказал Сталину, что президент Рузвельт желает встретиться с ним лично, возможно, на Аляске, летом, потому что он "уверен, что если вы вдвоем сядете и обговорите разные вопросы, то между нашими странами никогда не будет недостатков во взаимопонимании". Стэндли также проинформировал Сталина об американском плане нового пути поставок помощи по ленд-лизу с Аляски через Сибирь. Доэтого около 70% поставок шли через Персидский залив и Иран (18696).</w:t>
      </w:r>
    </w:p>
    <w:p w14:paraId="0000F6DF" w14:textId="77777777" w:rsidR="00E912F0" w:rsidRPr="008127F8" w:rsidRDefault="00E912F0" w:rsidP="001E0A84">
      <w:pPr>
        <w:spacing w:after="0" w:line="240" w:lineRule="auto"/>
        <w:jc w:val="both"/>
        <w:rPr>
          <w:rFonts w:ascii="Times New Roman" w:hAnsi="Times New Roman"/>
          <w:color w:val="000000" w:themeColor="text1"/>
          <w:sz w:val="16"/>
          <w:szCs w:val="16"/>
        </w:rPr>
      </w:pPr>
    </w:p>
    <w:p w14:paraId="400B851B"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4FE2A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A6334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в Германии объявлена сельскохозяйственная повинность для мальчиков 14-16 лет и девочек 16-17 лет (4962).</w:t>
      </w:r>
    </w:p>
    <w:p w14:paraId="040B217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0E8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23 April 1942 (23-26-April) Rostock is bombed four times (270).</w:t>
      </w:r>
    </w:p>
    <w:p w14:paraId="597604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96B5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23-26 апреля 1942 Росток подвергся бомбардировке 4 раза (270).</w:t>
      </w:r>
    </w:p>
    <w:p w14:paraId="73BCFE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C9E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23 1942 German air raids begin against cathedral cities in Britain (1050).</w:t>
      </w:r>
    </w:p>
    <w:p w14:paraId="2BD427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F1ED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немцы начали рейды на английские города, в которых были кафедральные соборы (1050).</w:t>
      </w:r>
    </w:p>
    <w:p w14:paraId="5028BD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413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1942 немцы бомбили Эксетер, Бат и др. Исторические места Англии. Налет назвали бомбежкой по Бедекеру, т.к. города были в немецком путеводители Бедекера по Англии (3907,236).</w:t>
      </w:r>
    </w:p>
    <w:p w14:paraId="255A56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846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19412 Южно-Африканский союз разорвал дипотношения с правительством Виши (3186).</w:t>
      </w:r>
    </w:p>
    <w:p w14:paraId="3F499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ECE26"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апреля в 1942 году выступая перед парламентом. У.Черчилль признал военную катастрофу в Юго-Восточной Азии (15108).</w:t>
      </w:r>
    </w:p>
    <w:p w14:paraId="4CA72EB1"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44B7208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068C2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501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года А.И. Кузнецов писал письмо N Н-39/1580 зам. наркома танковой промышленности Горегляду, директору завода N 183 Зальцману и директору завода N 381 Журавлеву.</w:t>
      </w:r>
    </w:p>
    <w:p w14:paraId="712856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N 381 </w:t>
      </w:r>
      <w:proofErr w:type="gramStart"/>
      <w:r w:rsidRPr="008127F8">
        <w:rPr>
          <w:rFonts w:ascii="Times New Roman" w:hAnsi="Times New Roman"/>
          <w:color w:val="000000" w:themeColor="text1"/>
          <w:sz w:val="16"/>
          <w:szCs w:val="16"/>
        </w:rPr>
        <w:t>согласно решения</w:t>
      </w:r>
      <w:proofErr w:type="gramEnd"/>
      <w:r w:rsidRPr="008127F8">
        <w:rPr>
          <w:rFonts w:ascii="Times New Roman" w:hAnsi="Times New Roman"/>
          <w:color w:val="000000" w:themeColor="text1"/>
          <w:sz w:val="16"/>
          <w:szCs w:val="16"/>
        </w:rPr>
        <w:t xml:space="preserve"> ГКО должен перейти на выпуск самолетов Ил-2 с мотором М-82. Установка нового мотора воздушного охлаждения исключает необходимость иметь переднюю часть бронекорпуса (бронирующую мотор), изготовляемого заводом N 183.</w:t>
      </w:r>
    </w:p>
    <w:p w14:paraId="338ACE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Остальная часть бронекорпуса остается без изменения.</w:t>
      </w:r>
    </w:p>
    <w:p w14:paraId="6F1C38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Прошу В/распоряжения директору завода N 183 Зальцману в счет поставки бронекорпусов по программе 2-го квартала изготовить заводу N 381 запланированные ему по В/разнарядке N 1864с от </w:t>
      </w:r>
      <w:proofErr w:type="gramStart"/>
      <w:r w:rsidRPr="008127F8">
        <w:rPr>
          <w:rFonts w:ascii="Times New Roman" w:hAnsi="Times New Roman"/>
          <w:color w:val="000000" w:themeColor="text1"/>
          <w:sz w:val="16"/>
          <w:szCs w:val="16"/>
        </w:rPr>
        <w:t>21.IV.</w:t>
      </w:r>
      <w:proofErr w:type="gramEnd"/>
      <w:r w:rsidRPr="008127F8">
        <w:rPr>
          <w:rFonts w:ascii="Times New Roman" w:hAnsi="Times New Roman"/>
          <w:color w:val="000000" w:themeColor="text1"/>
          <w:sz w:val="16"/>
          <w:szCs w:val="16"/>
        </w:rPr>
        <w:t xml:space="preserve"> 120 шт. бронекорпусов по измененным чертежам, переданным заводом N 381.</w:t>
      </w:r>
    </w:p>
    <w:p w14:paraId="28AF86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изменение никаких затруднений в производстве не создает, а наоборот уменьшает на 30% объем работ по бронекорпусу.</w:t>
      </w:r>
    </w:p>
    <w:p w14:paraId="70D9D2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Остальное запланированное количество, т.е. 380 бронекорпусов необходимо поставлять по старым чертежам.</w:t>
      </w:r>
    </w:p>
    <w:p w14:paraId="6F7137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планах поставки бронекорпусов III и IV кв. потребность завода N 381 будет также предусматриваться под мотор М-82 (1668,80).</w:t>
      </w:r>
    </w:p>
    <w:p w14:paraId="655C0D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BC5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г. командующим ВВС КА генералом А.А.Новиковым был утвержден Акт по государственным испытаниям модифицированного Су-6 М-71, которые проводили НИИ ВВС совместно с заводом № 289 с 24 февраля.</w:t>
      </w:r>
    </w:p>
    <w:p w14:paraId="1C843C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нормальном полетном весе 5250 кг (10 PC-132, 200 кг бомб и боекомплект к срелково-пушечному вооружению) самолет развивал у земли скорость 445 км/ч, на высоте 2500 м - 491 км/ч. Время виража на высоте 1000 м составило 24-25 с.</w:t>
      </w:r>
    </w:p>
    <w:p w14:paraId="180C30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w:t>
      </w:r>
    </w:p>
    <w:p w14:paraId="26B7DA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w:t>
      </w:r>
    </w:p>
    <w:p w14:paraId="765466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 (9649).</w:t>
      </w:r>
    </w:p>
    <w:p w14:paraId="1EF376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66236" w14:textId="77777777" w:rsidR="00D96242" w:rsidRPr="008127F8" w:rsidRDefault="00D96242" w:rsidP="001E0A84">
      <w:pPr>
        <w:pStyle w:val="174"/>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24 апреля 1942 на стол командующего ВВС КА генерал-лейтенанта Новикова лег от</w:t>
      </w:r>
      <w:r w:rsidRPr="008127F8">
        <w:rPr>
          <w:rFonts w:ascii="Times New Roman" w:hAnsi="Times New Roman" w:cs="Times New Roman"/>
          <w:color w:val="000000" w:themeColor="text1"/>
          <w:sz w:val="16"/>
          <w:szCs w:val="16"/>
        </w:rPr>
        <w:softHyphen/>
        <w:t>чет НИИ ВВС по результатам государст</w:t>
      </w:r>
      <w:r w:rsidRPr="008127F8">
        <w:rPr>
          <w:rFonts w:ascii="Times New Roman" w:hAnsi="Times New Roman" w:cs="Times New Roman"/>
          <w:color w:val="000000" w:themeColor="text1"/>
          <w:sz w:val="16"/>
          <w:szCs w:val="16"/>
        </w:rPr>
        <w:softHyphen/>
        <w:t>венных испытаний опытного Су-6 М-71.</w:t>
      </w:r>
    </w:p>
    <w:p w14:paraId="14B29653"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Напомним, что накануне Новиков ут</w:t>
      </w:r>
      <w:r w:rsidRPr="008127F8">
        <w:rPr>
          <w:rFonts w:ascii="Times New Roman" w:hAnsi="Times New Roman" w:cs="Times New Roman"/>
          <w:color w:val="000000" w:themeColor="text1"/>
          <w:sz w:val="16"/>
          <w:szCs w:val="16"/>
        </w:rPr>
        <w:softHyphen/>
        <w:t>вердил отчет по государственным испыта</w:t>
      </w:r>
      <w:r w:rsidRPr="008127F8">
        <w:rPr>
          <w:rFonts w:ascii="Times New Roman" w:hAnsi="Times New Roman" w:cs="Times New Roman"/>
          <w:color w:val="000000" w:themeColor="text1"/>
          <w:sz w:val="16"/>
          <w:szCs w:val="16"/>
        </w:rPr>
        <w:softHyphen/>
        <w:t>ниям двухместного Ил-2 М-82 с рекомендацией о принятии самолета на снабже</w:t>
      </w:r>
      <w:r w:rsidRPr="008127F8">
        <w:rPr>
          <w:rFonts w:ascii="Times New Roman" w:hAnsi="Times New Roman" w:cs="Times New Roman"/>
          <w:color w:val="000000" w:themeColor="text1"/>
          <w:sz w:val="16"/>
          <w:szCs w:val="16"/>
        </w:rPr>
        <w:softHyphen/>
        <w:t>ние ВВС КА.</w:t>
      </w:r>
    </w:p>
    <w:p w14:paraId="223DA66D"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Постройку малой серии Су-6 М-71 предполагалось «развернуть в г. Калинин</w:t>
      </w:r>
      <w:r w:rsidRPr="008127F8">
        <w:rPr>
          <w:rFonts w:ascii="Times New Roman" w:hAnsi="Times New Roman" w:cs="Times New Roman"/>
          <w:color w:val="000000" w:themeColor="text1"/>
          <w:sz w:val="16"/>
          <w:szCs w:val="16"/>
        </w:rPr>
        <w:softHyphen/>
        <w:t>граде (Московская область</w:t>
      </w:r>
      <w:r w:rsidRPr="008127F8">
        <w:rPr>
          <w:rStyle w:val="8pt1"/>
          <w:rFonts w:ascii="Times New Roman" w:hAnsi="Times New Roman" w:cs="Times New Roman"/>
          <w:i w:val="0"/>
          <w:iCs w:val="0"/>
          <w:color w:val="000000" w:themeColor="text1"/>
          <w:spacing w:val="0"/>
        </w:rPr>
        <w:t xml:space="preserve">.) </w:t>
      </w:r>
      <w:r w:rsidRPr="008127F8">
        <w:rPr>
          <w:rFonts w:ascii="Times New Roman" w:hAnsi="Times New Roman" w:cs="Times New Roman"/>
          <w:color w:val="000000" w:themeColor="text1"/>
          <w:sz w:val="16"/>
          <w:szCs w:val="16"/>
        </w:rPr>
        <w:t>и в г. Москве, для чего перевести завод №289 из гор. Молотова на производст</w:t>
      </w:r>
      <w:r w:rsidRPr="008127F8">
        <w:rPr>
          <w:rFonts w:ascii="Times New Roman" w:hAnsi="Times New Roman" w:cs="Times New Roman"/>
          <w:color w:val="000000" w:themeColor="text1"/>
          <w:sz w:val="16"/>
          <w:szCs w:val="16"/>
        </w:rPr>
        <w:softHyphen/>
        <w:t>венные площади заводов: №289 в Кали</w:t>
      </w:r>
      <w:r w:rsidRPr="008127F8">
        <w:rPr>
          <w:rFonts w:ascii="Times New Roman" w:hAnsi="Times New Roman" w:cs="Times New Roman"/>
          <w:color w:val="000000" w:themeColor="text1"/>
          <w:sz w:val="16"/>
          <w:szCs w:val="16"/>
        </w:rPr>
        <w:softHyphen/>
        <w:t>нинграде и №89 в г. Москве». При этом завод № 89 становился филиалом за</w:t>
      </w:r>
      <w:r w:rsidRPr="008127F8">
        <w:rPr>
          <w:rFonts w:ascii="Times New Roman" w:hAnsi="Times New Roman" w:cs="Times New Roman"/>
          <w:color w:val="000000" w:themeColor="text1"/>
          <w:sz w:val="16"/>
          <w:szCs w:val="16"/>
        </w:rPr>
        <w:softHyphen/>
        <w:t>вода №289.</w:t>
      </w:r>
    </w:p>
    <w:p w14:paraId="322666E2"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Из материалов отчета следовало, что с нормальной боевой нагрузкой (10 РС-132,200 кг бомб, две пушки ВЯ и четыре ШКАС с боекомплектом) Су-6 М-71 по определяющим летно-боевым качествам значительно превосходит и серийный Ил-2 АМ-38 и опытный Ил-2 М-82. Максимальная скорость у земли до</w:t>
      </w:r>
      <w:r w:rsidRPr="008127F8">
        <w:rPr>
          <w:rFonts w:ascii="Times New Roman" w:hAnsi="Times New Roman" w:cs="Times New Roman"/>
          <w:color w:val="000000" w:themeColor="text1"/>
          <w:sz w:val="16"/>
          <w:szCs w:val="16"/>
        </w:rPr>
        <w:softHyphen/>
        <w:t>стигала 445 км/ч (496 км/ч на форсаже). Весьма важным преимуществом Су-6 М-71 являлись более высокие величины диапазона рабочих скоростей, маневрен</w:t>
      </w:r>
      <w:r w:rsidRPr="008127F8">
        <w:rPr>
          <w:rFonts w:ascii="Times New Roman" w:hAnsi="Times New Roman" w:cs="Times New Roman"/>
          <w:color w:val="000000" w:themeColor="text1"/>
          <w:sz w:val="16"/>
          <w:szCs w:val="16"/>
        </w:rPr>
        <w:softHyphen/>
        <w:t>ной перегрузки и приемистости. На Су-6 появлялась возможность практически ре</w:t>
      </w:r>
      <w:r w:rsidRPr="008127F8">
        <w:rPr>
          <w:rFonts w:ascii="Times New Roman" w:hAnsi="Times New Roman" w:cs="Times New Roman"/>
          <w:color w:val="000000" w:themeColor="text1"/>
          <w:sz w:val="16"/>
          <w:szCs w:val="16"/>
        </w:rPr>
        <w:softHyphen/>
        <w:t>ализовать метод атаки цели с форсиро</w:t>
      </w:r>
      <w:r w:rsidRPr="008127F8">
        <w:rPr>
          <w:rFonts w:ascii="Times New Roman" w:hAnsi="Times New Roman" w:cs="Times New Roman"/>
          <w:color w:val="000000" w:themeColor="text1"/>
          <w:sz w:val="16"/>
          <w:szCs w:val="16"/>
        </w:rPr>
        <w:softHyphen/>
        <w:t>ванного боевого разворота со средних высот. Это позволяло резко увеличить эф</w:t>
      </w:r>
      <w:r w:rsidRPr="008127F8">
        <w:rPr>
          <w:rFonts w:ascii="Times New Roman" w:hAnsi="Times New Roman" w:cs="Times New Roman"/>
          <w:color w:val="000000" w:themeColor="text1"/>
          <w:sz w:val="16"/>
          <w:szCs w:val="16"/>
        </w:rPr>
        <w:softHyphen/>
        <w:t>фективность ударов (улучшались усло</w:t>
      </w:r>
      <w:r w:rsidRPr="008127F8">
        <w:rPr>
          <w:rFonts w:ascii="Times New Roman" w:hAnsi="Times New Roman" w:cs="Times New Roman"/>
          <w:color w:val="000000" w:themeColor="text1"/>
          <w:sz w:val="16"/>
          <w:szCs w:val="16"/>
        </w:rPr>
        <w:softHyphen/>
        <w:t>вия прицеливания, стрельбы и бомбоме</w:t>
      </w:r>
      <w:r w:rsidRPr="008127F8">
        <w:rPr>
          <w:rFonts w:ascii="Times New Roman" w:hAnsi="Times New Roman" w:cs="Times New Roman"/>
          <w:color w:val="000000" w:themeColor="text1"/>
          <w:sz w:val="16"/>
          <w:szCs w:val="16"/>
        </w:rPr>
        <w:softHyphen/>
        <w:t>тания) и одновременно уменьшить ве</w:t>
      </w:r>
      <w:r w:rsidRPr="008127F8">
        <w:rPr>
          <w:rFonts w:ascii="Times New Roman" w:hAnsi="Times New Roman" w:cs="Times New Roman"/>
          <w:color w:val="000000" w:themeColor="text1"/>
          <w:sz w:val="16"/>
          <w:szCs w:val="16"/>
        </w:rPr>
        <w:softHyphen/>
        <w:t>роятность сбития огнем зенитной артил</w:t>
      </w:r>
      <w:r w:rsidRPr="008127F8">
        <w:rPr>
          <w:rFonts w:ascii="Times New Roman" w:hAnsi="Times New Roman" w:cs="Times New Roman"/>
          <w:color w:val="000000" w:themeColor="text1"/>
          <w:sz w:val="16"/>
          <w:szCs w:val="16"/>
        </w:rPr>
        <w:softHyphen/>
        <w:t>лерии противника. За боевой развороте высоты 100-200 м самолете нормаль</w:t>
      </w:r>
      <w:r w:rsidRPr="008127F8">
        <w:rPr>
          <w:rFonts w:ascii="Times New Roman" w:hAnsi="Times New Roman" w:cs="Times New Roman"/>
          <w:color w:val="000000" w:themeColor="text1"/>
          <w:sz w:val="16"/>
          <w:szCs w:val="16"/>
        </w:rPr>
        <w:softHyphen/>
        <w:t>ной боевой нагрузкой выходил на рабо</w:t>
      </w:r>
      <w:r w:rsidRPr="008127F8">
        <w:rPr>
          <w:rFonts w:ascii="Times New Roman" w:hAnsi="Times New Roman" w:cs="Times New Roman"/>
          <w:color w:val="000000" w:themeColor="text1"/>
          <w:sz w:val="16"/>
          <w:szCs w:val="16"/>
        </w:rPr>
        <w:softHyphen/>
        <w:t>чую высоту для атаки цели - 700-800 м. При этом боевой разворот выполнялся за минимальное время. На начальном этапе маневр получался энергичным и с вы</w:t>
      </w:r>
      <w:r w:rsidRPr="008127F8">
        <w:rPr>
          <w:rFonts w:ascii="Times New Roman" w:hAnsi="Times New Roman" w:cs="Times New Roman"/>
          <w:color w:val="000000" w:themeColor="text1"/>
          <w:sz w:val="16"/>
          <w:szCs w:val="16"/>
        </w:rPr>
        <w:softHyphen/>
        <w:t>сокой перегрузкой, а достаточно боль</w:t>
      </w:r>
      <w:r w:rsidRPr="008127F8">
        <w:rPr>
          <w:rFonts w:ascii="Times New Roman" w:hAnsi="Times New Roman" w:cs="Times New Roman"/>
          <w:color w:val="000000" w:themeColor="text1"/>
          <w:sz w:val="16"/>
          <w:szCs w:val="16"/>
        </w:rPr>
        <w:softHyphen/>
        <w:t>шой угол крена в конце боевого разво</w:t>
      </w:r>
      <w:r w:rsidRPr="008127F8">
        <w:rPr>
          <w:rFonts w:ascii="Times New Roman" w:hAnsi="Times New Roman" w:cs="Times New Roman"/>
          <w:color w:val="000000" w:themeColor="text1"/>
          <w:sz w:val="16"/>
          <w:szCs w:val="16"/>
        </w:rPr>
        <w:softHyphen/>
        <w:t>рота позволял более интенсивно выпол</w:t>
      </w:r>
      <w:r w:rsidRPr="008127F8">
        <w:rPr>
          <w:rFonts w:ascii="Times New Roman" w:hAnsi="Times New Roman" w:cs="Times New Roman"/>
          <w:color w:val="000000" w:themeColor="text1"/>
          <w:sz w:val="16"/>
          <w:szCs w:val="16"/>
        </w:rPr>
        <w:softHyphen/>
        <w:t>нять участок ввода самолета в пикирова</w:t>
      </w:r>
      <w:r w:rsidRPr="008127F8">
        <w:rPr>
          <w:rFonts w:ascii="Times New Roman" w:hAnsi="Times New Roman" w:cs="Times New Roman"/>
          <w:color w:val="000000" w:themeColor="text1"/>
          <w:sz w:val="16"/>
          <w:szCs w:val="16"/>
        </w:rPr>
        <w:softHyphen/>
        <w:t xml:space="preserve">ние. Продолжительность атаки (и время </w:t>
      </w:r>
      <w:r w:rsidRPr="008127F8">
        <w:rPr>
          <w:rFonts w:ascii="Times New Roman" w:hAnsi="Times New Roman" w:cs="Times New Roman"/>
          <w:color w:val="000000" w:themeColor="text1"/>
          <w:sz w:val="16"/>
          <w:szCs w:val="16"/>
        </w:rPr>
        <w:lastRenderedPageBreak/>
        <w:t>нахождения самолета в зоне эффектив</w:t>
      </w:r>
      <w:r w:rsidRPr="008127F8">
        <w:rPr>
          <w:rFonts w:ascii="Times New Roman" w:hAnsi="Times New Roman" w:cs="Times New Roman"/>
          <w:color w:val="000000" w:themeColor="text1"/>
          <w:sz w:val="16"/>
          <w:szCs w:val="16"/>
        </w:rPr>
        <w:softHyphen/>
        <w:t>ного огня зенитно-пулеметных устано</w:t>
      </w:r>
      <w:r w:rsidRPr="008127F8">
        <w:rPr>
          <w:rFonts w:ascii="Times New Roman" w:hAnsi="Times New Roman" w:cs="Times New Roman"/>
          <w:color w:val="000000" w:themeColor="text1"/>
          <w:sz w:val="16"/>
          <w:szCs w:val="16"/>
        </w:rPr>
        <w:softHyphen/>
        <w:t>вок) и пространственный размах круга сокращались. Все это вместе взятое за</w:t>
      </w:r>
      <w:r w:rsidRPr="008127F8">
        <w:rPr>
          <w:rFonts w:ascii="Times New Roman" w:hAnsi="Times New Roman" w:cs="Times New Roman"/>
          <w:color w:val="000000" w:themeColor="text1"/>
          <w:sz w:val="16"/>
          <w:szCs w:val="16"/>
        </w:rPr>
        <w:softHyphen/>
        <w:t>трудняло зенитным расчетам противника вести прицельный огонь.</w:t>
      </w:r>
    </w:p>
    <w:p w14:paraId="0645CA4A"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Более того, в случае маневрирования с перегрузкой более 2,4-2,6 единиц (ко</w:t>
      </w:r>
      <w:r w:rsidRPr="008127F8">
        <w:rPr>
          <w:rFonts w:ascii="Times New Roman" w:hAnsi="Times New Roman" w:cs="Times New Roman"/>
          <w:color w:val="000000" w:themeColor="text1"/>
          <w:sz w:val="16"/>
          <w:szCs w:val="16"/>
        </w:rPr>
        <w:softHyphen/>
        <w:t>эффициент маневренной перегрузки Су-6 равнялся 2,97 единиц) весь эллипс рассе</w:t>
      </w:r>
      <w:r w:rsidRPr="008127F8">
        <w:rPr>
          <w:rFonts w:ascii="Times New Roman" w:hAnsi="Times New Roman" w:cs="Times New Roman"/>
          <w:color w:val="000000" w:themeColor="text1"/>
          <w:sz w:val="16"/>
          <w:szCs w:val="16"/>
        </w:rPr>
        <w:softHyphen/>
        <w:t>ивания снарядов малокалиберной зенит</w:t>
      </w:r>
      <w:r w:rsidRPr="008127F8">
        <w:rPr>
          <w:rFonts w:ascii="Times New Roman" w:hAnsi="Times New Roman" w:cs="Times New Roman"/>
          <w:color w:val="000000" w:themeColor="text1"/>
          <w:sz w:val="16"/>
          <w:szCs w:val="16"/>
        </w:rPr>
        <w:softHyphen/>
        <w:t>ной артиллерии при дистанции стрельбы 600-800 м оказывался за пределами приведенной площади самолета. Другими словами, пока снаряд долетал до расчет</w:t>
      </w:r>
      <w:r w:rsidRPr="008127F8">
        <w:rPr>
          <w:rFonts w:ascii="Times New Roman" w:hAnsi="Times New Roman" w:cs="Times New Roman"/>
          <w:color w:val="000000" w:themeColor="text1"/>
          <w:sz w:val="16"/>
          <w:szCs w:val="16"/>
        </w:rPr>
        <w:softHyphen/>
        <w:t>ной точки встречи, самолет смещался в сторону от этой точки на расстояние боль</w:t>
      </w:r>
      <w:r w:rsidRPr="008127F8">
        <w:rPr>
          <w:rFonts w:ascii="Times New Roman" w:hAnsi="Times New Roman" w:cs="Times New Roman"/>
          <w:color w:val="000000" w:themeColor="text1"/>
          <w:sz w:val="16"/>
          <w:szCs w:val="16"/>
        </w:rPr>
        <w:softHyphen/>
        <w:t>шее, чем рассеивание снарядов. Как след</w:t>
      </w:r>
      <w:r w:rsidRPr="008127F8">
        <w:rPr>
          <w:rFonts w:ascii="Times New Roman" w:hAnsi="Times New Roman" w:cs="Times New Roman"/>
          <w:color w:val="000000" w:themeColor="text1"/>
          <w:sz w:val="16"/>
          <w:szCs w:val="16"/>
        </w:rPr>
        <w:softHyphen/>
        <w:t>ствие, зенитный огонь становился не ре</w:t>
      </w:r>
      <w:r w:rsidRPr="008127F8">
        <w:rPr>
          <w:rFonts w:ascii="Times New Roman" w:hAnsi="Times New Roman" w:cs="Times New Roman"/>
          <w:color w:val="000000" w:themeColor="text1"/>
          <w:sz w:val="16"/>
          <w:szCs w:val="16"/>
        </w:rPr>
        <w:softHyphen/>
        <w:t xml:space="preserve">зультативным. По всему выходило, что Су-6 М-71 </w:t>
      </w:r>
      <w:proofErr w:type="gramStart"/>
      <w:r w:rsidRPr="008127F8">
        <w:rPr>
          <w:rFonts w:ascii="Times New Roman" w:hAnsi="Times New Roman" w:cs="Times New Roman"/>
          <w:color w:val="000000" w:themeColor="text1"/>
          <w:sz w:val="16"/>
          <w:szCs w:val="16"/>
        </w:rPr>
        <w:t>- это</w:t>
      </w:r>
      <w:proofErr w:type="gramEnd"/>
      <w:r w:rsidRPr="008127F8">
        <w:rPr>
          <w:rFonts w:ascii="Times New Roman" w:hAnsi="Times New Roman" w:cs="Times New Roman"/>
          <w:color w:val="000000" w:themeColor="text1"/>
          <w:sz w:val="16"/>
          <w:szCs w:val="16"/>
        </w:rPr>
        <w:t xml:space="preserve"> тот штурмовик, который крайне необ</w:t>
      </w:r>
      <w:r w:rsidRPr="008127F8">
        <w:rPr>
          <w:rFonts w:ascii="Times New Roman" w:hAnsi="Times New Roman" w:cs="Times New Roman"/>
          <w:color w:val="000000" w:themeColor="text1"/>
          <w:sz w:val="16"/>
          <w:szCs w:val="16"/>
        </w:rPr>
        <w:softHyphen/>
        <w:t>ходим ВВС КА на фронте. Учитывая, что в это время на заводе №21 в Горьком в це</w:t>
      </w:r>
      <w:r w:rsidRPr="008127F8">
        <w:rPr>
          <w:rFonts w:ascii="Times New Roman" w:hAnsi="Times New Roman" w:cs="Times New Roman"/>
          <w:color w:val="000000" w:themeColor="text1"/>
          <w:sz w:val="16"/>
          <w:szCs w:val="16"/>
        </w:rPr>
        <w:softHyphen/>
        <w:t>лом успешно проходил испытания истре</w:t>
      </w:r>
      <w:r w:rsidRPr="008127F8">
        <w:rPr>
          <w:rFonts w:ascii="Times New Roman" w:hAnsi="Times New Roman" w:cs="Times New Roman"/>
          <w:color w:val="000000" w:themeColor="text1"/>
          <w:sz w:val="16"/>
          <w:szCs w:val="16"/>
        </w:rPr>
        <w:softHyphen/>
        <w:t>битель ЛаГГ-3 с М-82 (будущий Ла-5) и предполагался его массовый выпуск, Но</w:t>
      </w:r>
      <w:r w:rsidRPr="008127F8">
        <w:rPr>
          <w:rFonts w:ascii="Times New Roman" w:hAnsi="Times New Roman" w:cs="Times New Roman"/>
          <w:color w:val="000000" w:themeColor="text1"/>
          <w:sz w:val="16"/>
          <w:szCs w:val="16"/>
        </w:rPr>
        <w:softHyphen/>
        <w:t>виков утвердил акт по испытаниям Су-6 М-71 и одновременно внес на рассмо</w:t>
      </w:r>
      <w:r w:rsidRPr="008127F8">
        <w:rPr>
          <w:rFonts w:ascii="Times New Roman" w:hAnsi="Times New Roman" w:cs="Times New Roman"/>
          <w:color w:val="000000" w:themeColor="text1"/>
          <w:sz w:val="16"/>
          <w:szCs w:val="16"/>
        </w:rPr>
        <w:softHyphen/>
        <w:t>трение Военного Совета ВВС КА вопрос о целесообразности серийного производ</w:t>
      </w:r>
      <w:r w:rsidRPr="008127F8">
        <w:rPr>
          <w:rFonts w:ascii="Times New Roman" w:hAnsi="Times New Roman" w:cs="Times New Roman"/>
          <w:color w:val="000000" w:themeColor="text1"/>
          <w:sz w:val="16"/>
          <w:szCs w:val="16"/>
        </w:rPr>
        <w:softHyphen/>
        <w:t>ства Ил-2 М-82. С очевидностью, решение Военного Совета ВВС по самолету Ил-2 М-82 было отрицательным (19846).</w:t>
      </w:r>
    </w:p>
    <w:p w14:paraId="3E6E38B9"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p>
    <w:p w14:paraId="7D2177CD"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апреля в 1942 году командующим ВВС КА генералом </w:t>
      </w:r>
      <w:proofErr w:type="gramStart"/>
      <w:r w:rsidRPr="008127F8">
        <w:rPr>
          <w:rFonts w:ascii="Times New Roman" w:hAnsi="Times New Roman"/>
          <w:color w:val="000000" w:themeColor="text1"/>
          <w:sz w:val="16"/>
          <w:szCs w:val="16"/>
        </w:rPr>
        <w:t>А.А</w:t>
      </w:r>
      <w:proofErr w:type="gramEnd"/>
      <w:r w:rsidRPr="008127F8">
        <w:rPr>
          <w:rFonts w:ascii="Times New Roman" w:hAnsi="Times New Roman"/>
          <w:color w:val="000000" w:themeColor="text1"/>
          <w:sz w:val="16"/>
          <w:szCs w:val="16"/>
        </w:rPr>
        <w:t xml:space="preserve"> Новиковым утвержден «Акт по государственным испытаниям» модифицированного штурмовика «Су-6» «М-71». При нормальном полетном весе 5250 кг (10 РС-132,200 кг бомб и боекомплект к срелково-пушечному вооружению) самолет развивал у земли скорость 445 км/ч, на высоте 2500 м - 491 км/ч. Время виража на высоте 1000 м составило 24-25 с. 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 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 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 (15109).</w:t>
      </w:r>
    </w:p>
    <w:p w14:paraId="07FDF1CE"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343228E7" w14:textId="77777777" w:rsidR="00E912F0" w:rsidRPr="008127F8" w:rsidRDefault="00E912F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командующему ВВС КА генерал-лейтенанту Новикову на стол лег отчет НИИ ВВС по результатам государственных испытаний опытного штурмовика Су-6 конструкции ОКБ Сухого с мотором М-71, Из материа</w:t>
      </w:r>
      <w:r w:rsidRPr="008127F8">
        <w:rPr>
          <w:rFonts w:ascii="Times New Roman" w:hAnsi="Times New Roman"/>
          <w:color w:val="000000" w:themeColor="text1"/>
          <w:sz w:val="16"/>
          <w:szCs w:val="16"/>
        </w:rPr>
        <w:softHyphen/>
        <w:t>лов отчета следовало, что с нормальной боевой нагрузкой (10 РС-132,200 кг бомб, 2 пушки ВЯ и 4 ШКАС с боеком</w:t>
      </w:r>
      <w:r w:rsidRPr="008127F8">
        <w:rPr>
          <w:rFonts w:ascii="Times New Roman" w:hAnsi="Times New Roman"/>
          <w:color w:val="000000" w:themeColor="text1"/>
          <w:sz w:val="16"/>
          <w:szCs w:val="16"/>
        </w:rPr>
        <w:softHyphen/>
        <w:t>плектом) Су-6 М-71 по определяющим летно-боевым качествам значительно превосходит и серийный Ил-2 АМ-38, и опытный Ил-2 М-82. Максимальная ско</w:t>
      </w:r>
      <w:r w:rsidRPr="008127F8">
        <w:rPr>
          <w:rFonts w:ascii="Times New Roman" w:hAnsi="Times New Roman"/>
          <w:color w:val="000000" w:themeColor="text1"/>
          <w:sz w:val="16"/>
          <w:szCs w:val="16"/>
        </w:rPr>
        <w:softHyphen/>
        <w:t>рость у земли достигала 445 км/ч (496 км/ч на форсаже). Весьма важным пре</w:t>
      </w:r>
      <w:r w:rsidRPr="008127F8">
        <w:rPr>
          <w:rFonts w:ascii="Times New Roman" w:hAnsi="Times New Roman"/>
          <w:color w:val="000000" w:themeColor="text1"/>
          <w:sz w:val="16"/>
          <w:szCs w:val="16"/>
        </w:rPr>
        <w:softHyphen/>
        <w:t>имуществом Су-6 М-71 являлись более высокие величины диапазона рабочих скоростей, маневренной перегрузки и приемистости. На Су-6 появлялась возможность практически реализовать метод атаки цели с форсированного боевого разворота со средних высот. Резко возрастала эффективность ударов (улучшались условия прицеливания, стрельбы и бомбометания) и одновре</w:t>
      </w:r>
      <w:r w:rsidRPr="008127F8">
        <w:rPr>
          <w:rFonts w:ascii="Times New Roman" w:hAnsi="Times New Roman"/>
          <w:color w:val="000000" w:themeColor="text1"/>
          <w:sz w:val="16"/>
          <w:szCs w:val="16"/>
        </w:rPr>
        <w:softHyphen/>
        <w:t>менно уменьшалась вероятность сбития огнем зенитной артиллерии противника. За боевой разворот с высоты 100-200 м самолет с нормальной боевой нагрузкой выходил на рабочую высоту для атаки цели - 600-800 м. При этом боевой разворот выполнялся за минимальное время. На начальном этапе маневр получался энергичным и с высокой перегрузкой, а достаточно большой угол крена в конце боевого разворота позволял более интенсивно выполнять участок ввода самолета в пикирование. Продолжительность атаки и простран</w:t>
      </w:r>
      <w:r w:rsidRPr="008127F8">
        <w:rPr>
          <w:rFonts w:ascii="Times New Roman" w:hAnsi="Times New Roman"/>
          <w:color w:val="000000" w:themeColor="text1"/>
          <w:sz w:val="16"/>
          <w:szCs w:val="16"/>
        </w:rPr>
        <w:softHyphen/>
        <w:t>ственный размах круга сокращались. Все это вместе взятое затрудняло зенитным расчетам противника вести прицельный огонь.</w:t>
      </w:r>
    </w:p>
    <w:p w14:paraId="0358012F"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По всему выходило, что Су-6 М-71 </w:t>
      </w:r>
      <w:proofErr w:type="gramStart"/>
      <w:r w:rsidRPr="008127F8">
        <w:rPr>
          <w:rFonts w:ascii="Times New Roman" w:hAnsi="Times New Roman" w:cs="Times New Roman"/>
          <w:color w:val="000000" w:themeColor="text1"/>
          <w:sz w:val="16"/>
          <w:szCs w:val="16"/>
        </w:rPr>
        <w:t>- это</w:t>
      </w:r>
      <w:proofErr w:type="gramEnd"/>
      <w:r w:rsidRPr="008127F8">
        <w:rPr>
          <w:rFonts w:ascii="Times New Roman" w:hAnsi="Times New Roman" w:cs="Times New Roman"/>
          <w:color w:val="000000" w:themeColor="text1"/>
          <w:sz w:val="16"/>
          <w:szCs w:val="16"/>
        </w:rPr>
        <w:t xml:space="preserve"> тот штурмовик, который крайне необходим ВВС КА на фронте. К этому времени Управление опытного строи</w:t>
      </w:r>
      <w:r w:rsidRPr="008127F8">
        <w:rPr>
          <w:rFonts w:ascii="Times New Roman" w:hAnsi="Times New Roman" w:cs="Times New Roman"/>
          <w:color w:val="000000" w:themeColor="text1"/>
          <w:sz w:val="16"/>
          <w:szCs w:val="16"/>
        </w:rPr>
        <w:softHyphen/>
        <w:t>тельства ГУ И АС ВВС уже проработало вопрос о выпуске опытной серии Су-6 М-71 в количестве 25 самолетов для проведения фронтовых испытаний и подготовило проект соответствующего постановления ГКО.</w:t>
      </w:r>
    </w:p>
    <w:p w14:paraId="623224B0"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Однако еще был двухместный Ил-2 М-82 и утвержденная накануне рекомен</w:t>
      </w:r>
      <w:r w:rsidRPr="008127F8">
        <w:rPr>
          <w:rFonts w:ascii="Times New Roman" w:hAnsi="Times New Roman" w:cs="Times New Roman"/>
          <w:color w:val="000000" w:themeColor="text1"/>
          <w:sz w:val="16"/>
          <w:szCs w:val="16"/>
        </w:rPr>
        <w:softHyphen/>
        <w:t>дация по его внедрению в серию. Получа</w:t>
      </w:r>
      <w:r w:rsidRPr="008127F8">
        <w:rPr>
          <w:rFonts w:ascii="Times New Roman" w:hAnsi="Times New Roman" w:cs="Times New Roman"/>
          <w:color w:val="000000" w:themeColor="text1"/>
          <w:sz w:val="16"/>
          <w:szCs w:val="16"/>
        </w:rPr>
        <w:softHyphen/>
        <w:t>лось так, что если ставить на вооружение Ил-2 М-82, то шансы запустить большую серию Су-6 М-71 сводились к нулю. Производственные мощности завода № 19, который собирал М-82 и М-71, все же были не безграничными.</w:t>
      </w:r>
    </w:p>
    <w:p w14:paraId="38B6721E"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Здесь следует учитывать, что в это время на заводе № 21 в Горьком успешно проходил испытания модернизированный в ОКБ Лавочкина истребитель ЛаГГ-3 с мотором М-82 (будущий Ла-5), летные данные которого были выше, чем у ЛаГГ-3 с мотором М-105П. Предполагался запуск самолета в массовое производство.</w:t>
      </w:r>
    </w:p>
    <w:p w14:paraId="4A44BE3E"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Оценив обстановку, Новиков утвер</w:t>
      </w:r>
      <w:r w:rsidRPr="008127F8">
        <w:rPr>
          <w:rFonts w:ascii="Times New Roman" w:hAnsi="Times New Roman" w:cs="Times New Roman"/>
          <w:color w:val="000000" w:themeColor="text1"/>
          <w:sz w:val="16"/>
          <w:szCs w:val="16"/>
        </w:rPr>
        <w:softHyphen/>
        <w:t>ждает акт по государственным испыта</w:t>
      </w:r>
      <w:r w:rsidRPr="008127F8">
        <w:rPr>
          <w:rFonts w:ascii="Times New Roman" w:hAnsi="Times New Roman" w:cs="Times New Roman"/>
          <w:color w:val="000000" w:themeColor="text1"/>
          <w:sz w:val="16"/>
          <w:szCs w:val="16"/>
        </w:rPr>
        <w:softHyphen/>
        <w:t>ниям Су-6 М-71 и одновременно выносит на рассмотрение Военного Совета ВВС КА вопрос о серийном выпуске двухместного Ил-2 с М-82, где по самолету принимается отрицательное решение.</w:t>
      </w:r>
    </w:p>
    <w:p w14:paraId="4A432617"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постановлении Военного Совета ВВС КА от 25 апреля 1942 г. «О резуль</w:t>
      </w:r>
      <w:r w:rsidRPr="008127F8">
        <w:rPr>
          <w:rFonts w:ascii="Times New Roman" w:hAnsi="Times New Roman" w:cs="Times New Roman"/>
          <w:color w:val="000000" w:themeColor="text1"/>
          <w:sz w:val="16"/>
          <w:szCs w:val="16"/>
        </w:rPr>
        <w:softHyphen/>
        <w:t>татах государственных испытаний двух</w:t>
      </w:r>
      <w:r w:rsidRPr="008127F8">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8127F8">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0D192AD5"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8127F8">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198CE521" w14:textId="77777777" w:rsidR="00E912F0" w:rsidRPr="008127F8" w:rsidRDefault="00E912F0"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D3EDBD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24 апреля 1942 летчик-испытатель НИИ ВВС КА капитан С.М.Коробов в ходе проводимых с 25 февраля 1942 года госу</w:t>
      </w:r>
      <w:r w:rsidRPr="008127F8">
        <w:rPr>
          <w:rFonts w:ascii="Times New Roman" w:hAnsi="Times New Roman"/>
          <w:color w:val="000000" w:themeColor="text1"/>
          <w:sz w:val="16"/>
          <w:szCs w:val="16"/>
        </w:rPr>
        <w:softHyphen/>
        <w:t>дарственных испытаний серийного самолета Су-2 М-82 №15116 выполнил на самолете 35 полетов, из них 23 с лыжным шасси. Общий налет составил 22 часа 15 минут.</w:t>
      </w:r>
    </w:p>
    <w:p w14:paraId="7F855B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отчета по госиспыта</w:t>
      </w:r>
      <w:r w:rsidRPr="008127F8">
        <w:rPr>
          <w:rFonts w:ascii="Times New Roman" w:hAnsi="Times New Roman"/>
          <w:color w:val="000000" w:themeColor="text1"/>
          <w:sz w:val="16"/>
          <w:szCs w:val="16"/>
        </w:rPr>
        <w:softHyphen/>
        <w:t>ниям отмечалось, что: «Установка на самолет Су-2 мотора М-82 с номи</w:t>
      </w:r>
      <w:r w:rsidRPr="008127F8">
        <w:rPr>
          <w:rFonts w:ascii="Times New Roman" w:hAnsi="Times New Roman"/>
          <w:color w:val="000000" w:themeColor="text1"/>
          <w:sz w:val="16"/>
          <w:szCs w:val="16"/>
        </w:rPr>
        <w:softHyphen/>
        <w:t>нальной мощностью у земли 1400 л.с., взамен ранее стоявшего мото</w:t>
      </w:r>
      <w:r w:rsidRPr="008127F8">
        <w:rPr>
          <w:rFonts w:ascii="Times New Roman" w:hAnsi="Times New Roman"/>
          <w:color w:val="000000" w:themeColor="text1"/>
          <w:sz w:val="16"/>
          <w:szCs w:val="16"/>
        </w:rPr>
        <w:softHyphen/>
        <w:t>ра М-88 Б с номинальной мощнос</w:t>
      </w:r>
      <w:r w:rsidRPr="008127F8">
        <w:rPr>
          <w:rFonts w:ascii="Times New Roman" w:hAnsi="Times New Roman"/>
          <w:color w:val="000000" w:themeColor="text1"/>
          <w:sz w:val="16"/>
          <w:szCs w:val="16"/>
        </w:rPr>
        <w:softHyphen/>
        <w:t>тью у земли 950 л.с., значительно повысила летные данные самолета...»</w:t>
      </w:r>
    </w:p>
    <w:p w14:paraId="3A17937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был выявлен ряд недостатков как по самолету, так и по силовой установке (11849).</w:t>
      </w:r>
    </w:p>
    <w:p w14:paraId="357FF29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8AB94B" w14:textId="77777777" w:rsidR="00E912F0" w:rsidRPr="008127F8" w:rsidRDefault="00E912F0"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24 апреля 1942 летчик-испытатель капитан С М Коробов в ходе государствен</w:t>
      </w:r>
      <w:r w:rsidRPr="008127F8">
        <w:rPr>
          <w:rFonts w:ascii="Times New Roman" w:cs="Times New Roman"/>
          <w:color w:val="000000" w:themeColor="text1"/>
          <w:spacing w:val="0"/>
        </w:rPr>
        <w:softHyphen/>
        <w:t>ных испытаний в НИИ ВВС серийного Су-2 № 15116 с двигателем М-82 выполнил 35 полетов, из них 23 - на лыжном шасси Общий налет составил 22 часа 15 минут Монтаж на этой машине мотора с номи</w:t>
      </w:r>
      <w:r w:rsidRPr="008127F8">
        <w:rPr>
          <w:rFonts w:ascii="Times New Roman" w:cs="Times New Roman"/>
          <w:color w:val="000000" w:themeColor="text1"/>
          <w:spacing w:val="0"/>
        </w:rPr>
        <w:softHyphen/>
        <w:t>нальной мощностью у земли 1400 л.с. взамен М-88Б в 950 л.с. значительно повысил ее летные данные Вместе с тем выявили ряд недостатков самолета и его силовой установки.</w:t>
      </w:r>
    </w:p>
    <w:p w14:paraId="4CF32054" w14:textId="77777777" w:rsidR="00E912F0" w:rsidRPr="008127F8" w:rsidRDefault="00E912F0"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марте - июне 1942 г. Су-2 с мо</w:t>
      </w:r>
      <w:r w:rsidRPr="008127F8">
        <w:rPr>
          <w:rFonts w:ascii="Times New Roman" w:cs="Times New Roman"/>
          <w:color w:val="000000" w:themeColor="text1"/>
          <w:spacing w:val="0"/>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Мотор М-82 обед</w:t>
      </w:r>
      <w:r w:rsidRPr="008127F8">
        <w:rPr>
          <w:rFonts w:ascii="Times New Roman" w:cs="Times New Roman"/>
          <w:color w:val="000000" w:themeColor="text1"/>
          <w:spacing w:val="0"/>
        </w:rPr>
        <w:softHyphen/>
        <w:t>нение смазкой его трущихся деталей выносит достаточно надежно В случае повреждения маслосистемы полет в те</w:t>
      </w:r>
      <w:r w:rsidRPr="008127F8">
        <w:rPr>
          <w:rFonts w:ascii="Times New Roman" w:cs="Times New Roman"/>
          <w:color w:val="000000" w:themeColor="text1"/>
          <w:spacing w:val="0"/>
        </w:rPr>
        <w:softHyphen/>
        <w:t>чение 2-3 минут без давления не влечет за собой разрушение мотора» (19102).</w:t>
      </w:r>
    </w:p>
    <w:p w14:paraId="262C0531" w14:textId="77777777" w:rsidR="00E912F0" w:rsidRPr="008127F8" w:rsidRDefault="00E912F0" w:rsidP="001E0A84">
      <w:pPr>
        <w:pStyle w:val="27"/>
        <w:shd w:val="clear" w:color="auto" w:fill="auto"/>
        <w:spacing w:after="0" w:line="240" w:lineRule="auto"/>
        <w:ind w:firstLine="0"/>
        <w:rPr>
          <w:rFonts w:ascii="Times New Roman" w:cs="Times New Roman"/>
          <w:color w:val="000000" w:themeColor="text1"/>
          <w:spacing w:val="0"/>
        </w:rPr>
      </w:pPr>
    </w:p>
    <w:p w14:paraId="01CFF801"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А.С. Яковлев отвечал на письмо Парторга ЦК ВКП(б) на заводе № 51 Ионов, который обратился в апреле к секретарю ЦК ВКП(б) Г.М. Маленкову с жалобой на действия Наркомата авиапромышленности:</w:t>
      </w:r>
    </w:p>
    <w:p w14:paraId="2269F19E"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«28.04.1942 г. В ЦК ВКП (б) т. Маленкову Г.М.</w:t>
      </w:r>
    </w:p>
    <w:p w14:paraId="5566F72B" w14:textId="77777777" w:rsidR="00DE2728" w:rsidRPr="008127F8" w:rsidRDefault="00DE2728"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Согласно Вашего указания</w:t>
      </w:r>
      <w:proofErr w:type="gramEnd"/>
      <w:r w:rsidRPr="008127F8">
        <w:rPr>
          <w:rFonts w:ascii="Times New Roman" w:hAnsi="Times New Roman"/>
          <w:color w:val="000000" w:themeColor="text1"/>
          <w:sz w:val="16"/>
          <w:szCs w:val="16"/>
        </w:rPr>
        <w:t xml:space="preserve"> по письму Парторга ЦК ВКП(б) завода № 51 тов. Ионова, сообщаю, что наркомат проявил к конструктору Поликарпову и к его коллективу исклю</w:t>
      </w:r>
      <w:r w:rsidRPr="008127F8">
        <w:rPr>
          <w:rFonts w:ascii="Times New Roman" w:hAnsi="Times New Roman"/>
          <w:color w:val="000000" w:themeColor="text1"/>
          <w:sz w:val="16"/>
          <w:szCs w:val="16"/>
        </w:rPr>
        <w:softHyphen/>
        <w:t>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w:t>
      </w:r>
    </w:p>
    <w:p w14:paraId="6A250303"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Однако, несмотря на большие затраты государственных средств, т. Поликарпов </w:t>
      </w:r>
      <w:r w:rsidRPr="008127F8">
        <w:rPr>
          <w:rStyle w:val="229"/>
          <w:rFonts w:ascii="Times New Roman" w:hAnsi="Times New Roman" w:cs="Times New Roman"/>
          <w:color w:val="000000" w:themeColor="text1"/>
          <w:sz w:val="16"/>
          <w:szCs w:val="16"/>
          <w:u w:val="none"/>
        </w:rPr>
        <w:t>не дал своевременно</w:t>
      </w:r>
      <w:r w:rsidRPr="008127F8">
        <w:rPr>
          <w:rFonts w:ascii="Times New Roman" w:hAnsi="Times New Roman"/>
          <w:color w:val="000000" w:themeColor="text1"/>
          <w:sz w:val="16"/>
          <w:szCs w:val="16"/>
        </w:rPr>
        <w:t xml:space="preserve"> (выделено в тексте) в установленные сроки новых машин, имеющих преимущества перед находящимися в серийном производстве самолётами.</w:t>
      </w:r>
    </w:p>
    <w:p w14:paraId="28F1747D"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Основная причина — </w:t>
      </w:r>
      <w:r w:rsidRPr="008127F8">
        <w:rPr>
          <w:rStyle w:val="229"/>
          <w:rFonts w:ascii="Times New Roman" w:hAnsi="Times New Roman" w:cs="Times New Roman"/>
          <w:color w:val="000000" w:themeColor="text1"/>
          <w:sz w:val="16"/>
          <w:szCs w:val="16"/>
          <w:u w:val="none"/>
        </w:rPr>
        <w:t>большая разбрасываемость в работе</w:t>
      </w:r>
      <w:r w:rsidRPr="008127F8">
        <w:rPr>
          <w:rFonts w:ascii="Times New Roman" w:hAnsi="Times New Roman"/>
          <w:color w:val="000000" w:themeColor="text1"/>
          <w:sz w:val="16"/>
          <w:szCs w:val="16"/>
        </w:rPr>
        <w:t>. Поликарпов одновремен</w:t>
      </w:r>
      <w:r w:rsidRPr="008127F8">
        <w:rPr>
          <w:rFonts w:ascii="Times New Roman" w:hAnsi="Times New Roman"/>
          <w:color w:val="000000" w:themeColor="text1"/>
          <w:sz w:val="16"/>
          <w:szCs w:val="16"/>
        </w:rPr>
        <w:softHyphen/>
        <w:t>но работал над многими типами объектов / И-185, СПБ, ИТП, ТИС, планер БДП и др./ Сейчас т. Поликарпов предлагает построить ночной дальний двухмоторный бомбарди</w:t>
      </w:r>
      <w:r w:rsidRPr="008127F8">
        <w:rPr>
          <w:rFonts w:ascii="Times New Roman" w:hAnsi="Times New Roman"/>
          <w:color w:val="000000" w:themeColor="text1"/>
          <w:sz w:val="16"/>
          <w:szCs w:val="16"/>
        </w:rPr>
        <w:softHyphen/>
        <w:t>ровщик, учебный самолёт и т.д. Парторг ЦК тов. Ионов не понимает ошибок Поликар</w:t>
      </w:r>
      <w:r w:rsidRPr="008127F8">
        <w:rPr>
          <w:rFonts w:ascii="Times New Roman" w:hAnsi="Times New Roman"/>
          <w:color w:val="000000" w:themeColor="text1"/>
          <w:sz w:val="16"/>
          <w:szCs w:val="16"/>
        </w:rPr>
        <w:softHyphen/>
        <w:t>пова и углубляет их. Зам. Наркома авиационной промышленности А. Яковлев».</w:t>
      </w:r>
    </w:p>
    <w:p w14:paraId="520EB68D"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Вскоре на заводе появился другой парторг ЦК — Царик (15804).</w:t>
      </w:r>
    </w:p>
    <w:p w14:paraId="197E2295"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17015C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вышло Постановление ГКО № 1637 Об использовании самолетов ПС-84 в качестве ночных бомбардировщиков. РГАНИР, Фонд ГКО, д. 31, лл. 107 (11012).</w:t>
      </w:r>
    </w:p>
    <w:p w14:paraId="2A3592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40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ЛаГГ-3 М-82 вернули на завод для доводок ВМГ, отпустив на это 10 дней. Комиссия ждала оконча</w:t>
      </w:r>
      <w:r w:rsidRPr="008127F8">
        <w:rPr>
          <w:rFonts w:ascii="Times New Roman" w:hAnsi="Times New Roman"/>
          <w:color w:val="000000" w:themeColor="text1"/>
          <w:sz w:val="16"/>
          <w:szCs w:val="16"/>
        </w:rPr>
        <w:softHyphen/>
        <w:t>ния работ. Переделки были произве</w:t>
      </w:r>
      <w:r w:rsidRPr="008127F8">
        <w:rPr>
          <w:rFonts w:ascii="Times New Roman" w:hAnsi="Times New Roman"/>
          <w:color w:val="000000" w:themeColor="text1"/>
          <w:sz w:val="16"/>
          <w:szCs w:val="16"/>
        </w:rPr>
        <w:softHyphen/>
        <w:t>дены даже быстрее - с 25 апреля по 2 мая. Был применен новый увели</w:t>
      </w:r>
      <w:r w:rsidRPr="008127F8">
        <w:rPr>
          <w:rFonts w:ascii="Times New Roman" w:hAnsi="Times New Roman"/>
          <w:color w:val="000000" w:themeColor="text1"/>
          <w:sz w:val="16"/>
          <w:szCs w:val="16"/>
        </w:rPr>
        <w:softHyphen/>
        <w:t>ченный маслорадиатор ОП-293, новый всасывающий одинарный патру</w:t>
      </w:r>
      <w:r w:rsidRPr="008127F8">
        <w:rPr>
          <w:rFonts w:ascii="Times New Roman" w:hAnsi="Times New Roman"/>
          <w:color w:val="000000" w:themeColor="text1"/>
          <w:sz w:val="16"/>
          <w:szCs w:val="16"/>
        </w:rPr>
        <w:softHyphen/>
        <w:t>бок, установленный снаружи на верх</w:t>
      </w:r>
      <w:r w:rsidRPr="008127F8">
        <w:rPr>
          <w:rFonts w:ascii="Times New Roman" w:hAnsi="Times New Roman"/>
          <w:color w:val="000000" w:themeColor="text1"/>
          <w:sz w:val="16"/>
          <w:szCs w:val="16"/>
        </w:rPr>
        <w:softHyphen/>
        <w:t>ней части капота, и убирающийся костыль. Из-за отсутствия летной по</w:t>
      </w:r>
      <w:r w:rsidRPr="008127F8">
        <w:rPr>
          <w:rFonts w:ascii="Times New Roman" w:hAnsi="Times New Roman"/>
          <w:color w:val="000000" w:themeColor="text1"/>
          <w:sz w:val="16"/>
          <w:szCs w:val="16"/>
        </w:rPr>
        <w:softHyphen/>
        <w:t>годы, трудностей с регулировкой ма</w:t>
      </w:r>
      <w:r w:rsidRPr="008127F8">
        <w:rPr>
          <w:rFonts w:ascii="Times New Roman" w:hAnsi="Times New Roman"/>
          <w:color w:val="000000" w:themeColor="text1"/>
          <w:sz w:val="16"/>
          <w:szCs w:val="16"/>
        </w:rPr>
        <w:softHyphen/>
        <w:t>лого газа и некоторых других мелких дефектов, полеты по программе про</w:t>
      </w:r>
      <w:r w:rsidRPr="008127F8">
        <w:rPr>
          <w:rFonts w:ascii="Times New Roman" w:hAnsi="Times New Roman"/>
          <w:color w:val="000000" w:themeColor="text1"/>
          <w:sz w:val="16"/>
          <w:szCs w:val="16"/>
        </w:rPr>
        <w:softHyphen/>
        <w:t>должились только 9 мая. Выяснилось, что доработки оказались удачными. Мотор М-82 № 6501355 также ра</w:t>
      </w:r>
      <w:r w:rsidRPr="008127F8">
        <w:rPr>
          <w:rFonts w:ascii="Times New Roman" w:hAnsi="Times New Roman"/>
          <w:color w:val="000000" w:themeColor="text1"/>
          <w:sz w:val="16"/>
          <w:szCs w:val="16"/>
        </w:rPr>
        <w:softHyphen/>
        <w:t>ботал хорошо. Быстро удалось полу</w:t>
      </w:r>
      <w:r w:rsidRPr="008127F8">
        <w:rPr>
          <w:rFonts w:ascii="Times New Roman" w:hAnsi="Times New Roman"/>
          <w:color w:val="000000" w:themeColor="text1"/>
          <w:sz w:val="16"/>
          <w:szCs w:val="16"/>
        </w:rPr>
        <w:softHyphen/>
        <w:t>чить характеристики, достаточно близ</w:t>
      </w:r>
      <w:r w:rsidRPr="008127F8">
        <w:rPr>
          <w:rFonts w:ascii="Times New Roman" w:hAnsi="Times New Roman"/>
          <w:color w:val="000000" w:themeColor="text1"/>
          <w:sz w:val="16"/>
          <w:szCs w:val="16"/>
        </w:rPr>
        <w:softHyphen/>
        <w:t>кие к заявленным ранее по резуль</w:t>
      </w:r>
      <w:r w:rsidRPr="008127F8">
        <w:rPr>
          <w:rFonts w:ascii="Times New Roman" w:hAnsi="Times New Roman"/>
          <w:color w:val="000000" w:themeColor="text1"/>
          <w:sz w:val="16"/>
          <w:szCs w:val="16"/>
        </w:rPr>
        <w:softHyphen/>
        <w:t>татам заводских испытаний, и уже 14 числа в 19.00 испытания, включая от</w:t>
      </w:r>
      <w:r w:rsidRPr="008127F8">
        <w:rPr>
          <w:rFonts w:ascii="Times New Roman" w:hAnsi="Times New Roman"/>
          <w:color w:val="000000" w:themeColor="text1"/>
          <w:sz w:val="16"/>
          <w:szCs w:val="16"/>
        </w:rPr>
        <w:softHyphen/>
        <w:t>стрел оружия на земле и в воздухе были закончены. Отчет о совместных испытаниях писали уже в самолете по пути в Москву (10686).</w:t>
      </w:r>
    </w:p>
    <w:p w14:paraId="20270C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B6D46" w14:textId="77777777" w:rsidR="00037F38" w:rsidRPr="008A2E5A" w:rsidRDefault="00037F38" w:rsidP="00037F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апреля 1942 г. было принято решение приостановить испытания ЛаГГ-3М- 82 и выполнить на са</w:t>
      </w:r>
      <w:r w:rsidRPr="008A2E5A">
        <w:rPr>
          <w:rFonts w:ascii="Times New Roman" w:hAnsi="Times New Roman"/>
          <w:color w:val="0070C0"/>
          <w:sz w:val="16"/>
          <w:szCs w:val="16"/>
        </w:rPr>
        <w:softHyphen/>
        <w:t>молете ряд доработок. 25 числа Г.А. Мищен</w:t>
      </w:r>
      <w:r w:rsidRPr="008A2E5A">
        <w:rPr>
          <w:rFonts w:ascii="Times New Roman" w:hAnsi="Times New Roman"/>
          <w:color w:val="0070C0"/>
          <w:sz w:val="16"/>
          <w:szCs w:val="16"/>
        </w:rPr>
        <w:softHyphen/>
        <w:t>ко перегнал машину обратно в Горький.</w:t>
      </w:r>
    </w:p>
    <w:p w14:paraId="00CBD573" w14:textId="77777777" w:rsidR="00037F38" w:rsidRPr="008A2E5A" w:rsidRDefault="00037F38" w:rsidP="00037F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список запланированных работ в первую очередь включили мероприятия по улучшению обдува верхних цилиндров мотора и по сниже</w:t>
      </w:r>
      <w:r w:rsidRPr="008A2E5A">
        <w:rPr>
          <w:rFonts w:ascii="Times New Roman" w:hAnsi="Times New Roman"/>
          <w:color w:val="0070C0"/>
          <w:sz w:val="16"/>
          <w:szCs w:val="16"/>
        </w:rPr>
        <w:softHyphen/>
        <w:t>нию рабочей температуры масла. Для этого ликвидировали «манерные» воздухозаборни</w:t>
      </w:r>
      <w:r w:rsidRPr="008A2E5A">
        <w:rPr>
          <w:rFonts w:ascii="Times New Roman" w:hAnsi="Times New Roman"/>
          <w:color w:val="0070C0"/>
          <w:sz w:val="16"/>
          <w:szCs w:val="16"/>
        </w:rPr>
        <w:softHyphen/>
        <w:t xml:space="preserve">ки карбюратора и поставили один общий на 12 часов над капотом. Правда, такое решение в некоторой степени оказалось соломоновым, но об этом чуть позже. С температурой масла все обстояло еще проще - требовался новый радиатор, только никто не знал, где его </w:t>
      </w:r>
      <w:r w:rsidRPr="008A2E5A">
        <w:rPr>
          <w:rFonts w:ascii="Times New Roman" w:hAnsi="Times New Roman"/>
          <w:color w:val="0070C0"/>
          <w:sz w:val="16"/>
          <w:szCs w:val="16"/>
        </w:rPr>
        <w:lastRenderedPageBreak/>
        <w:t>взять. Выход из этого положения оказался совсем рядом. Во втором пункте постановления ГКО № 1438сс было сказано: «Обязать директора за</w:t>
      </w:r>
      <w:r w:rsidRPr="008A2E5A">
        <w:rPr>
          <w:rFonts w:ascii="Times New Roman" w:hAnsi="Times New Roman"/>
          <w:color w:val="0070C0"/>
          <w:sz w:val="16"/>
          <w:szCs w:val="16"/>
        </w:rPr>
        <w:softHyphen/>
        <w:t>вода № 153 - тов. Романова передать до 15.IV - с.г. заводу № 21 в счет программы двадцать пять комплектов деталей самолета Як-7». Двадцать пять, не двадцать пять, но в целом си</w:t>
      </w:r>
      <w:r w:rsidRPr="008A2E5A">
        <w:rPr>
          <w:rFonts w:ascii="Times New Roman" w:hAnsi="Times New Roman"/>
          <w:color w:val="0070C0"/>
          <w:sz w:val="16"/>
          <w:szCs w:val="16"/>
        </w:rPr>
        <w:softHyphen/>
        <w:t>биряки этот пункт выполнили. На тот момент не прислали только воздушные винты, изделия крайне дефицитные и на агрегатной сборке не очень нужные. В состав комплектов «россыпи» входили и маслорадиаторы ОП-293. В отличие от лагговского ОП-352 с фронтальной площа</w:t>
      </w:r>
      <w:r w:rsidRPr="008A2E5A">
        <w:rPr>
          <w:rFonts w:ascii="Times New Roman" w:hAnsi="Times New Roman"/>
          <w:color w:val="0070C0"/>
          <w:sz w:val="16"/>
          <w:szCs w:val="16"/>
        </w:rPr>
        <w:softHyphen/>
        <w:t xml:space="preserve">дью 0,052 </w:t>
      </w:r>
      <w:proofErr w:type="gramStart"/>
      <w:r w:rsidRPr="008A2E5A">
        <w:rPr>
          <w:rFonts w:ascii="Times New Roman" w:hAnsi="Times New Roman"/>
          <w:color w:val="0070C0"/>
          <w:sz w:val="16"/>
          <w:szCs w:val="16"/>
        </w:rPr>
        <w:t>кв.м</w:t>
      </w:r>
      <w:proofErr w:type="gramEnd"/>
      <w:r w:rsidRPr="008A2E5A">
        <w:rPr>
          <w:rFonts w:ascii="Times New Roman" w:hAnsi="Times New Roman"/>
          <w:color w:val="0070C0"/>
          <w:sz w:val="16"/>
          <w:szCs w:val="16"/>
        </w:rPr>
        <w:t xml:space="preserve"> и площадью охлаждения 4,4 кв.м, у полученных «изделий № 293» фрон</w:t>
      </w:r>
      <w:r w:rsidRPr="008A2E5A">
        <w:rPr>
          <w:rFonts w:ascii="Times New Roman" w:hAnsi="Times New Roman"/>
          <w:color w:val="0070C0"/>
          <w:sz w:val="16"/>
          <w:szCs w:val="16"/>
        </w:rPr>
        <w:softHyphen/>
        <w:t>тальная площадь составляла 0,07 кв.м, а пло</w:t>
      </w:r>
      <w:r w:rsidRPr="008A2E5A">
        <w:rPr>
          <w:rFonts w:ascii="Times New Roman" w:hAnsi="Times New Roman"/>
          <w:color w:val="0070C0"/>
          <w:sz w:val="16"/>
          <w:szCs w:val="16"/>
        </w:rPr>
        <w:softHyphen/>
        <w:t>щадь охлаждения 8 кв.м, как говориться - то, что доктор прописал (23389).</w:t>
      </w:r>
    </w:p>
    <w:p w14:paraId="26C8470A" w14:textId="77777777" w:rsidR="00037F38" w:rsidRPr="008A2E5A" w:rsidRDefault="00037F38" w:rsidP="00037F38">
      <w:pPr>
        <w:spacing w:after="0" w:line="240" w:lineRule="auto"/>
        <w:jc w:val="both"/>
        <w:rPr>
          <w:rFonts w:ascii="Times New Roman" w:hAnsi="Times New Roman"/>
          <w:color w:val="0070C0"/>
          <w:sz w:val="16"/>
          <w:szCs w:val="16"/>
        </w:rPr>
      </w:pPr>
    </w:p>
    <w:p w14:paraId="151C19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в НИИ ВВС закончили испытания Як-1 с РО и бомбами, которые проводились с 7 марта (65,55).</w:t>
      </w:r>
    </w:p>
    <w:p w14:paraId="721BCE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испытания окончились 4 апреля 1942.</w:t>
      </w:r>
    </w:p>
    <w:p w14:paraId="2FCAF4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вышло постановление ГКО N ГОКО-1637сс приказ НКАП N 318с "Об использовании самолетов ПС-84 в качестве ночных бомбардировщиков" (1615,46).</w:t>
      </w:r>
    </w:p>
    <w:p w14:paraId="182407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F61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г. начались стендовые испытания М-105ПА с наддувом 1050 мм рт. ст. Мотор успешно их выдержал, проработав до разрушения 203 часа. B.Я.Климов вначале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Испытания поставили точку в этом споре.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356554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0B570A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252D95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проявлявшееся как раз на малых высотах.</w:t>
      </w:r>
    </w:p>
    <w:p w14:paraId="60D2B1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8127F8">
        <w:rPr>
          <w:rFonts w:ascii="Times New Roman" w:hAnsi="Times New Roman"/>
          <w:color w:val="000000" w:themeColor="text1"/>
          <w:sz w:val="16"/>
          <w:szCs w:val="16"/>
        </w:rPr>
        <w:t>техничес- кого</w:t>
      </w:r>
      <w:proofErr w:type="gramEnd"/>
      <w:r w:rsidRPr="008127F8">
        <w:rPr>
          <w:rFonts w:ascii="Times New Roman" w:hAnsi="Times New Roman"/>
          <w:color w:val="000000" w:themeColor="text1"/>
          <w:sz w:val="16"/>
          <w:szCs w:val="16"/>
        </w:rPr>
        <w:t xml:space="preserve"> состава (12048).</w:t>
      </w:r>
    </w:p>
    <w:p w14:paraId="0DE154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9E144"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в 1942 году начались стендовые испытания «М-105ПА» с наддувом 1050 мм рт.ст. Мотор успешно их выдержал, проработав до разрушения 203 ч. По постановлению ГКО от 30 апреля 1942 г. завод № 26 (город Уфа) с 1 мая перешел на выпуск моторов «М-105ПФ», как начали называть серийные моторы с повышенным наддувом (15109).</w:t>
      </w:r>
    </w:p>
    <w:p w14:paraId="16C3A993"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346B481E" w14:textId="77777777" w:rsidR="00037F38" w:rsidRPr="008A2E5A" w:rsidRDefault="00037F38" w:rsidP="00037F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апреля 1942 г. начались стендовые испы</w:t>
      </w:r>
      <w:r w:rsidRPr="008A2E5A">
        <w:rPr>
          <w:rFonts w:ascii="Times New Roman" w:hAnsi="Times New Roman"/>
          <w:color w:val="0070C0"/>
          <w:sz w:val="16"/>
          <w:szCs w:val="16"/>
        </w:rPr>
        <w:softHyphen/>
        <w:t>тания М-105ПА с наддувом 1050 мм рт.ст. Мотор успешно их выдержал, проработав до разрушения 203 часа. Благодаря резуль</w:t>
      </w:r>
      <w:r w:rsidRPr="008A2E5A">
        <w:rPr>
          <w:rFonts w:ascii="Times New Roman" w:hAnsi="Times New Roman"/>
          <w:color w:val="0070C0"/>
          <w:sz w:val="16"/>
          <w:szCs w:val="16"/>
        </w:rPr>
        <w:softHyphen/>
        <w:t>татам этих испытаний и на основании доклада директо</w:t>
      </w:r>
      <w:r w:rsidRPr="008A2E5A">
        <w:rPr>
          <w:rFonts w:ascii="Times New Roman" w:hAnsi="Times New Roman"/>
          <w:color w:val="0070C0"/>
          <w:sz w:val="16"/>
          <w:szCs w:val="16"/>
        </w:rPr>
        <w:softHyphen/>
        <w:t>ра завода № 26 В.П. Баландина, гланого инженера заво</w:t>
      </w:r>
      <w:r w:rsidRPr="008A2E5A">
        <w:rPr>
          <w:rFonts w:ascii="Times New Roman" w:hAnsi="Times New Roman"/>
          <w:color w:val="0070C0"/>
          <w:sz w:val="16"/>
          <w:szCs w:val="16"/>
        </w:rPr>
        <w:softHyphen/>
        <w:t>да Лаврентьева, главного конструктора завода В.Я Кли</w:t>
      </w:r>
      <w:r w:rsidRPr="008A2E5A">
        <w:rPr>
          <w:rFonts w:ascii="Times New Roman" w:hAnsi="Times New Roman"/>
          <w:color w:val="0070C0"/>
          <w:sz w:val="16"/>
          <w:szCs w:val="16"/>
        </w:rPr>
        <w:softHyphen/>
        <w:t>мова, главного контролера завода Карабазы, районного инженера ГУ ВВС КА Белобородова и старшего военного представителя на заводе Смирнова Государственный Ко</w:t>
      </w:r>
      <w:r w:rsidRPr="008A2E5A">
        <w:rPr>
          <w:rFonts w:ascii="Times New Roman" w:hAnsi="Times New Roman"/>
          <w:color w:val="0070C0"/>
          <w:sz w:val="16"/>
          <w:szCs w:val="16"/>
        </w:rPr>
        <w:softHyphen/>
        <w:t>митет Обороны своим постановлением № 1725сс от 11 мая 1942 г. увеличил срок службы моторов М-105ПФ до первой переборки до 150 часов включая все моторы это</w:t>
      </w:r>
      <w:r w:rsidRPr="008A2E5A">
        <w:rPr>
          <w:rFonts w:ascii="Times New Roman" w:hAnsi="Times New Roman"/>
          <w:color w:val="0070C0"/>
          <w:sz w:val="16"/>
          <w:szCs w:val="16"/>
        </w:rPr>
        <w:softHyphen/>
        <w:t>го типа, выпущенные с начала производства. По поста</w:t>
      </w:r>
      <w:r w:rsidRPr="008A2E5A">
        <w:rPr>
          <w:rFonts w:ascii="Times New Roman" w:hAnsi="Times New Roman"/>
          <w:color w:val="0070C0"/>
          <w:sz w:val="16"/>
          <w:szCs w:val="16"/>
        </w:rPr>
        <w:softHyphen/>
        <w:t>новлению ГКО № 1673с от 28 апреля 1942 г. завод № 26 (г. Уфа) с 1 мая перешел на выпуск моторов М-105ПФ, как начали называть серийные моторы с повышенным над</w:t>
      </w:r>
      <w:r w:rsidRPr="008A2E5A">
        <w:rPr>
          <w:rFonts w:ascii="Times New Roman" w:hAnsi="Times New Roman"/>
          <w:color w:val="0070C0"/>
          <w:sz w:val="16"/>
          <w:szCs w:val="16"/>
        </w:rPr>
        <w:softHyphen/>
        <w:t>дувом (23381).</w:t>
      </w:r>
    </w:p>
    <w:p w14:paraId="12BA6E88" w14:textId="77777777" w:rsidR="00037F38" w:rsidRPr="008A2E5A" w:rsidRDefault="00037F38" w:rsidP="00037F38">
      <w:pPr>
        <w:spacing w:after="0" w:line="240" w:lineRule="auto"/>
        <w:jc w:val="both"/>
        <w:rPr>
          <w:rFonts w:ascii="Times New Roman" w:hAnsi="Times New Roman"/>
          <w:color w:val="0070C0"/>
          <w:sz w:val="16"/>
          <w:szCs w:val="16"/>
        </w:rPr>
      </w:pPr>
    </w:p>
    <w:p w14:paraId="6B4D24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НИИ-3 и НИИ ВВС была утверждена программа совместных испытаний ЖРД Д-1-А-1000, доводка которого была закончена в конце апреля 1942 (2928,7).</w:t>
      </w:r>
    </w:p>
    <w:p w14:paraId="098D63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868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БИ-1 поступил на гос. испытания в НИИ ВВС КА. Полетный вес на взлете - 1293, перед посадкой - 993 кг (2928,13).</w:t>
      </w:r>
    </w:p>
    <w:p w14:paraId="5F0580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DA4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БИ-1 был доставлен на свердловский аэродром Кольцово. Испытательная бригада включала специалистов ОКБ (вед</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и от завода 293 А.Е.Росляков), РНИИ (вед. и А.В.Палло) и НИИ ВВС (вед. и М.И.Таракановский по самолету и А.Н.Сорокин по двигателю) (717).</w:t>
      </w:r>
    </w:p>
    <w:p w14:paraId="192987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617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апреля по 15 мая 1942 в Кольцово под Свердловском на аэродроме НИИ ВВС состоялась наземная часть гос. испытаний БИ-1 с Д-А-1-1100 (2928,14).</w:t>
      </w:r>
    </w:p>
    <w:p w14:paraId="5B207E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C6152" w14:textId="77777777" w:rsidR="002303A6"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24E4EB8" w14:textId="77777777" w:rsidR="002303A6" w:rsidRPr="008127F8" w:rsidRDefault="002303A6"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2ED112" w14:textId="1EFB9B70" w:rsidR="002303A6" w:rsidRPr="008127F8" w:rsidRDefault="002303A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года для изготовления опытного образца самоходки, получившей обозначение СГ-122, нарком вооружения Д.</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Устинов подписал приказ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217</w:t>
      </w:r>
      <w:proofErr w:type="gramEnd"/>
      <w:r w:rsidRPr="008127F8">
        <w:rPr>
          <w:rFonts w:ascii="Times New Roman" w:hAnsi="Times New Roman"/>
          <w:color w:val="000000" w:themeColor="text1"/>
          <w:sz w:val="16"/>
          <w:szCs w:val="16"/>
        </w:rPr>
        <w:t>с, которым предписывалось организовать на заводе №</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НКВ (Мытищи Московской области) специальное конструкторское бюро для работ по новым машинам. Чтобы обеспечить сборку опытных СГ-122 начальник ГАБТУ КА генерал-лейтенант Я.</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Федоренко отдал распоряжение об организации ремонта трофейных «артштурмов» на рембазе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82</w:t>
      </w:r>
      <w:proofErr w:type="gramEnd"/>
      <w:r w:rsidRPr="008127F8">
        <w:rPr>
          <w:rFonts w:ascii="Times New Roman" w:hAnsi="Times New Roman"/>
          <w:color w:val="000000" w:themeColor="text1"/>
          <w:sz w:val="16"/>
          <w:szCs w:val="16"/>
        </w:rPr>
        <w:t xml:space="preserve"> в Москве (12688).</w:t>
      </w:r>
    </w:p>
    <w:p w14:paraId="3C176C7E" w14:textId="77777777" w:rsidR="002303A6" w:rsidRPr="008127F8" w:rsidRDefault="002303A6" w:rsidP="001E0A84">
      <w:pPr>
        <w:spacing w:after="0" w:line="240" w:lineRule="auto"/>
        <w:jc w:val="both"/>
        <w:rPr>
          <w:rFonts w:ascii="Times New Roman" w:hAnsi="Times New Roman"/>
          <w:color w:val="000000" w:themeColor="text1"/>
          <w:sz w:val="16"/>
          <w:szCs w:val="16"/>
        </w:rPr>
      </w:pPr>
    </w:p>
    <w:p w14:paraId="69A9E627"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24 апреля 1942 ЗИС-41 вышел на новый этап испытаний, который утвердили заместитель Наркома обороны генерал-полковник Н.Н. Воронов и начальник ГАУ КА генерал-полковник Н.Д. Яковлев. С машины сняли орудийную систему вместе с тумбой, взамен разместив на платформе 30 снарядных ящиков гаубицы М-30 и посадив на нее 8 человек. Сзади была зацеплена сама гаубица. Таким образом, помимо 3 тонн нагрузки в кузове, ЗИС-41 тянул за собой еще 2,5 тонны. С 24 по 27 апреля машина прошла 192 километра, из них 8 по снежной целине с лыжами на управляемых колесах, 145 по шоссе и еще 49 по бездорожью.</w:t>
      </w:r>
    </w:p>
    <w:p w14:paraId="35EF51D7"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шоссе машина разгонялась до 37 км/ч, расходуя при этом 50 литров топлива на 100 километров. По проселку скорость движения снижалась до 12–30 км/ч, при этом приходилось переходить на 2–3 передачу. На бездорожье и снегу скорость падала до 5–8 км/ч, а расход горючего возрастал до 200 литров на 100 километров.</w:t>
      </w:r>
    </w:p>
    <w:p w14:paraId="39237F9F"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Эффективность передних колес при поворотах на бездорожье резко снижалась. Для решения этой проблемы испытатели предлагали установить на машину тормоза тракторного типа, похожая схема применялась на немецких полугусеничных тягачах. Указывался и очень большой радиус поворота, составлявший 10–15 метров на шоссе и 30–40 метров на бездорожье. Похожими проблемами страдал и «обычный» ЗИС-42.</w:t>
      </w:r>
    </w:p>
    <w:p w14:paraId="21E3BA6D"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Дополнительной проблемой стал перегрев двигателя, чему способствовала не самая лучшая конструкция бронировки капота и перегруз машины. Особенно это ощущалось на бездорожье, где вода в системе охлаждения закипала через каждые 2–3 километра. На асфальте ситуация оказалась лучше, но </w:t>
      </w:r>
      <w:proofErr w:type="gramStart"/>
      <w:r w:rsidRPr="008127F8">
        <w:rPr>
          <w:rFonts w:ascii="Times New Roman" w:eastAsia="Times New Roman" w:hAnsi="Times New Roman"/>
          <w:color w:val="000000" w:themeColor="text1"/>
          <w:sz w:val="16"/>
          <w:szCs w:val="16"/>
          <w:lang w:eastAsia="ru-RU"/>
        </w:rPr>
        <w:t>не намного</w:t>
      </w:r>
      <w:proofErr w:type="gramEnd"/>
      <w:r w:rsidRPr="008127F8">
        <w:rPr>
          <w:rFonts w:ascii="Times New Roman" w:eastAsia="Times New Roman" w:hAnsi="Times New Roman"/>
          <w:color w:val="000000" w:themeColor="text1"/>
          <w:sz w:val="16"/>
          <w:szCs w:val="16"/>
          <w:lang w:eastAsia="ru-RU"/>
        </w:rPr>
        <w:t xml:space="preserve"> – здесь вода закипала через каждые 10–15 километров. Для сравнения, ЗИС-42 в тех же условиях и с такой же нагрузкой не перегревался. Не понравилось испытателям и отсутствие нормальных бортов. По итогам машину признали условно годной для использования в качестве тягача, но при этом с массой оговорок (17671).</w:t>
      </w:r>
    </w:p>
    <w:p w14:paraId="38739BE6"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46309827" w14:textId="77777777" w:rsidR="00DE2728" w:rsidRPr="008127F8" w:rsidRDefault="00DE272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апреля 1942 года вышло распоряжение по автозаводу об организации дорожных испытаний </w:t>
      </w:r>
      <w:proofErr w:type="gramStart"/>
      <w:r w:rsidRPr="008127F8">
        <w:rPr>
          <w:rFonts w:ascii="Times New Roman" w:hAnsi="Times New Roman"/>
          <w:color w:val="000000" w:themeColor="text1"/>
          <w:sz w:val="16"/>
          <w:szCs w:val="16"/>
        </w:rPr>
        <w:t>трех серийных</w:t>
      </w:r>
      <w:proofErr w:type="gramEnd"/>
      <w:r w:rsidRPr="008127F8">
        <w:rPr>
          <w:rFonts w:ascii="Times New Roman" w:hAnsi="Times New Roman"/>
          <w:color w:val="000000" w:themeColor="text1"/>
          <w:sz w:val="16"/>
          <w:szCs w:val="16"/>
        </w:rPr>
        <w:t xml:space="preserve"> танков Т-70 для определения их качества (командиром испытательного пробега был назначен т. Чумаков) (15218).</w:t>
      </w:r>
    </w:p>
    <w:p w14:paraId="5149E297" w14:textId="77777777" w:rsidR="00DE2728" w:rsidRPr="008127F8" w:rsidRDefault="00DE2728" w:rsidP="001E0A84">
      <w:pPr>
        <w:widowControl w:val="0"/>
        <w:spacing w:after="0" w:line="240" w:lineRule="auto"/>
        <w:jc w:val="both"/>
        <w:rPr>
          <w:rFonts w:ascii="Times New Roman" w:hAnsi="Times New Roman"/>
          <w:color w:val="000000" w:themeColor="text1"/>
          <w:sz w:val="16"/>
          <w:szCs w:val="16"/>
        </w:rPr>
      </w:pPr>
    </w:p>
    <w:p w14:paraId="1A868D34"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г. письмом №702070с за</w:t>
      </w:r>
      <w:r w:rsidRPr="008127F8">
        <w:rPr>
          <w:rFonts w:ascii="Times New Roman" w:hAnsi="Times New Roman"/>
          <w:color w:val="000000" w:themeColor="text1"/>
          <w:sz w:val="16"/>
          <w:szCs w:val="16"/>
        </w:rPr>
        <w:softHyphen/>
        <w:t>меститель наркома обороны генерал-лейте</w:t>
      </w:r>
      <w:r w:rsidRPr="008127F8">
        <w:rPr>
          <w:rFonts w:ascii="Times New Roman" w:hAnsi="Times New Roman"/>
          <w:color w:val="000000" w:themeColor="text1"/>
          <w:sz w:val="16"/>
          <w:szCs w:val="16"/>
        </w:rPr>
        <w:softHyphen/>
        <w:t>нант Федоренко направил Молотову справку о результатах испытаний полугусеничных машин в зимних условиях 1941 г. В справке помощник начальника по</w:t>
      </w:r>
      <w:r w:rsidRPr="008127F8">
        <w:rPr>
          <w:rFonts w:ascii="Times New Roman" w:hAnsi="Times New Roman"/>
          <w:color w:val="000000" w:themeColor="text1"/>
          <w:sz w:val="16"/>
          <w:szCs w:val="16"/>
        </w:rPr>
        <w:softHyphen/>
        <w:t>лигона ГАБТУ военинженер 1-го ранга Глухов отмечал:</w:t>
      </w:r>
    </w:p>
    <w:p w14:paraId="36E3CF45" w14:textId="77777777" w:rsidR="0050778F" w:rsidRPr="008127F8" w:rsidRDefault="0050778F" w:rsidP="001E0A84">
      <w:pPr>
        <w:pStyle w:val="72"/>
        <w:shd w:val="clear" w:color="auto" w:fill="auto"/>
        <w:spacing w:line="240" w:lineRule="auto"/>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«...разница между полугусеничным автомобилем, применявшимся в финскую кампанию, то, что у ЗИС-22-52 принудительное (цепное) перематывание гусениц, поэтому отсутствует пробуксовка ведущего колеса в гусенице...</w:t>
      </w:r>
    </w:p>
    <w:p w14:paraId="5C935990" w14:textId="77777777" w:rsidR="0050778F" w:rsidRPr="008127F8" w:rsidRDefault="0050778F" w:rsidP="001E0A84">
      <w:pPr>
        <w:pStyle w:val="72"/>
        <w:shd w:val="clear" w:color="auto" w:fill="auto"/>
        <w:spacing w:line="240" w:lineRule="auto"/>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Для замены гусеничного хода на колесный требуется 5 часов. ЗИС-22-52 без прицепа, но с нагрузкой в кузове 1500 кг свободно идет по снегу любой глубины...</w:t>
      </w:r>
    </w:p>
    <w:p w14:paraId="1BDFDECD" w14:textId="77777777" w:rsidR="0050778F" w:rsidRPr="008127F8" w:rsidRDefault="0050778F" w:rsidP="001E0A84">
      <w:pPr>
        <w:pStyle w:val="72"/>
        <w:shd w:val="clear" w:color="auto" w:fill="auto"/>
        <w:spacing w:line="240" w:lineRule="auto"/>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По проходимости ЗИС-22-52 стоит выше автомобилей с двумя и тремя ведущими осями».</w:t>
      </w:r>
    </w:p>
    <w:p w14:paraId="7673311E"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Испытания вездехода, производство ко</w:t>
      </w:r>
      <w:r w:rsidRPr="008127F8">
        <w:rPr>
          <w:rFonts w:ascii="Times New Roman" w:hAnsi="Times New Roman"/>
          <w:color w:val="000000" w:themeColor="text1"/>
          <w:sz w:val="16"/>
          <w:szCs w:val="16"/>
        </w:rPr>
        <w:softHyphen/>
        <w:t>торого предполагалось возобновить, прошли согласно программе, утвержденной заме</w:t>
      </w:r>
      <w:r w:rsidRPr="008127F8">
        <w:rPr>
          <w:rFonts w:ascii="Times New Roman" w:hAnsi="Times New Roman"/>
          <w:color w:val="000000" w:themeColor="text1"/>
          <w:sz w:val="16"/>
          <w:szCs w:val="16"/>
        </w:rPr>
        <w:softHyphen/>
        <w:t>стителем наркома НКО генерал-полковником Вороновым 26 апреля 1942 г. В документах о проведении испытаний особо подчеркивалось, что это тот же самый автомобиль, что проходил полигонные испытания летом 1941 г.</w:t>
      </w:r>
    </w:p>
    <w:p w14:paraId="3C303326"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 по результатам испытаний гласило, что ЗИС-42 может быть использован в качестве тягача для бусировки 122-мм гаубицы обр. 1938 г. (12729)</w:t>
      </w:r>
    </w:p>
    <w:p w14:paraId="20271E56" w14:textId="77777777" w:rsidR="0050778F" w:rsidRPr="008127F8" w:rsidRDefault="0050778F" w:rsidP="001E0A84">
      <w:pPr>
        <w:spacing w:after="0" w:line="240" w:lineRule="auto"/>
        <w:jc w:val="both"/>
        <w:rPr>
          <w:rFonts w:ascii="Times New Roman" w:hAnsi="Times New Roman"/>
          <w:color w:val="000000" w:themeColor="text1"/>
          <w:sz w:val="16"/>
          <w:szCs w:val="16"/>
        </w:rPr>
      </w:pPr>
    </w:p>
    <w:p w14:paraId="17C3817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24988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016075"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в 1942 году утреннее сообщение Совинформбюро:</w:t>
      </w:r>
    </w:p>
    <w:p w14:paraId="41DE27F8"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24 апреля на фронте чего-либо существенного не произошло.</w:t>
      </w:r>
    </w:p>
    <w:p w14:paraId="02B0292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за последние два дня отбили несколько контратак противника. Немцы потеряли только убитыми 1.200 солдат и офицеров. Уничтожено несколько вражеских танков. Захвачены трофеи. На другом участке фронта наши бойцы, сломив упорное сопротивление гитлеровцев, овладели укреплённым населённым пунктом. На поле боя осталось много вражеских трупов, взяты пленные.</w:t>
      </w:r>
    </w:p>
    <w:p w14:paraId="3B280274"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нашей гвардейской кавалерийской части выбило немцев из села Ш. и захватило 11 вражеских автомашин с боеприпасами. Вскоре немцы перешли в контратаку и потеснили наших бойцов. Только что захваченные трофеи могли вновь попасть в руки врага. Старший сержант Ненашин вместе с красноармейцами Николаевым и Денисенко под огнём противника подползли к автомашинам и заложили под них несколько килограммов взрывчатки. Когда немцы бросились к машинам, тов. Ненашин поджёг шнур. Раздался взрыв. Вместе с машинами на воздух взлетело около 60 гитлеровцев. Воспользовавшись переполохом среди немцев, наши бойцы перешли в атаку и вновь заняли село.</w:t>
      </w:r>
    </w:p>
    <w:p w14:paraId="08F2FFF3"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красноармейцев во главе с лейтенантом Калашниковым устроили засаду в тылу у врага. Вскоре они увидели приближающийся к ним немецкий обоз из 30 подвод в сопровождении 150 солдат и офицеров. Ружейно-пулемётным огнём и гранатами наши бойцы уничтожили обоз и свыше 50 гитлеровцев.</w:t>
      </w:r>
    </w:p>
    <w:p w14:paraId="6D51D5A8"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капрал 6 роты 2 батальона 12 финского пехотного полка Эдвин Валентин Раялампи рассказал: «За время войны 6 рота уже девять раз получала пополнение. После сентябрьских боёв в ней осталось только 8 человек. Такие же потери понесли и другие подразделения полка. Недавно наш батальон под командованием подполковника Коскимаа получил задание проникнуть в тыл русских. Мы шли по озеру тремя группами. Неожиданно русские открыли огонь из пулемётов. Много наших солдат было убито, а ещё больше ранено. Подполковник убежал. Командир нашей роты тоже удрал, оставив своих солдат на произвол судьбы. Финские солдаты хотят скорейшего окончания войны. Они очень озлоблены против немцев и проклинают Гитлера, вовлёкшего Финляндию в войну».</w:t>
      </w:r>
    </w:p>
    <w:p w14:paraId="777E79B3"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пленного немецкого ефрейтора Алькевица найдено неотправленное письмо к жене Марте. Вот что он писал: «...Напрасно ждём мы смены... Состояние очень тяжёлое! С сегодняшнего дня нас снова ввели в бой. Всё выглядит так серо и безнадёжно... Я вообще сомневаюсь в том, что для нас когда-нибудь наступят лучшие времена».</w:t>
      </w:r>
    </w:p>
    <w:p w14:paraId="4A0FC8F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колхозников деревни Чернышино, Смоленской области, совместно с командирами и красноармейцами Энской части составила акт о чудовищных злодеяниях немецко-фашистских бандитов. В акте говорится, что, отступая из деревни Чернышино, гитлеровцы сожгли и взорвали 265 домов. В дымящихся развалинах обнаружены десятки трупов замученных немцами пленных красноармейцев и мирных жителей. На окраине села в сарае найдено 25 трупов растерзанных советских граждан. Их лица изуродованы, тела сожжены и исколоты штыками. Среди жертв немецких бандитов — Елена Тюрина, 80 лет, и Пелагея Матвеева, 59 лет. Фашистские изверги убили молодую женщину, фамилия которой не установлена, и её двух грудных детей, один из которых застрелен, а другой — заколот штыком.</w:t>
      </w:r>
    </w:p>
    <w:p w14:paraId="5A9E0FE3"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последних месяцев военнопленные французы, находящиеся в лагере близ Штутгарта (Германия), неоднократно обращались к германским властям с письменными просьбами отпустить их домой. Ответа они не получили. В начале апреля в лагерь прибыла инспекция. Группа пленных обратилась с жалобой к фашистским чиновникам и с угрозой прекратить работу. Рассвирепевшие гитлеровцы жестоко избили эту группу пленных. Узнав об этом, несколько сот военнопленных французов напали на комендатуру и караульное помещение лагеря, перебили немцев и подожгли постройки. Прибывший на усмирение карательный отряд гестаповцев в лагере уже никого не застал. Все пленные разбежались.» (15109).</w:t>
      </w:r>
    </w:p>
    <w:p w14:paraId="7CD454F9"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78CCC8A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в 1942 году вечернее сообщение Совинформбюро:</w:t>
      </w:r>
    </w:p>
    <w:p w14:paraId="633B3DD5"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24 апреля на фронте чего-либо существенного не произошло.</w:t>
      </w:r>
    </w:p>
    <w:p w14:paraId="72BFFC01"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апреля уничтожено 25 немецких самолётов. Наши потери — 11 самолётов.</w:t>
      </w:r>
    </w:p>
    <w:p w14:paraId="4A339438"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апреля частями нашей авиации уничтожено или повреждено 20 немецких автомашин с войсками и грузами, 6 повозок с боеприпасами, 6 полевых орудий, рассеяны и частью уничтожены отряд конницы и до роты пехоты противника.</w:t>
      </w:r>
    </w:p>
    <w:p w14:paraId="37CA0AE0"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боёв нанесли большой урон живой силе противника и уничтожили 5 немецких танков, 3 орудия, 6 станковых пулемётов, 2 миномёта, 18 автомашин с военным грузом, взорвали 2 склада с боеприпасами и горючим. Уничтожено свыше 1.000 немецких солдат и офицеров. Захвачены трофеи и пленные.</w:t>
      </w:r>
    </w:p>
    <w:p w14:paraId="5D1007BE"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пытался атаковать наш укреплённый рубеж. Ружейно-пулемётным и миномётным огнём атака немцев была отбита. На поле боя осталось свыше 60 убитых вражеских солдат и офицеров.</w:t>
      </w:r>
    </w:p>
    <w:p w14:paraId="4B05F218"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Сильный миномётный и пулемётный огонь из вражеского ДЗОТа сковывал наше подразделение, наступавшее на населённый пункт К. Красноармеец тов. Краснокуцкий незаметно подобрался к ДЗОТу и бросил в амбразуру гранату. Выбежавших из ДЗОТа 16 гитлеровцев смелый боец уничтожил огнём из автомата. Наше подразделение перешло в атаку и выбило немцев из занимаемых ими позиций.</w:t>
      </w:r>
    </w:p>
    <w:p w14:paraId="3E25560A"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сержант Рудых, красноармейцы Иванов и Кусанников обстреляли из пулемёта немецкий бомбардировщик «Юн-керс-88». От взрыва собственных бомб вражеский самолёт разлетелся на куски.</w:t>
      </w:r>
    </w:p>
    <w:p w14:paraId="396296E0"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тов. Малов заметил на укреплённой позиции противника одного солдата, откачивающего воду из блиндажа. Внимательно присмотревшись, тов. Малое установил, что это был макет, прикрываясь которым два немецких солдата, низко согнувшись, рыли канаву для спуска воды из блиндажа. Разгадав хитрость врага, снайпер двумя выстрелами уничтожил немцев. К убитым пытались пробраться ещё четыре солдата, но и они погибли от метких пуль советского стрелка.</w:t>
      </w:r>
    </w:p>
    <w:p w14:paraId="1642CFA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3, действующий в одном из оккупированных немцами районов Калининской области, совершил внезапный налёт на крупный населённый пункт К. Партизаны уничтожили 120 немецких солдат и офицеров, взорвали 3 склада с боеприпасами, горючим и продовольствием и захватили 25 автомашин, 9 пулемётов, 24 автомата, 1 миномёт, 132 винтовки и 5 километров телефонного провода.</w:t>
      </w:r>
    </w:p>
    <w:p w14:paraId="1C2580C1"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Добровольно сдавшийся в плен солдат 7 роты 418 полка 123 немецкой пехотной дивизии Петер Курзац рассказал: «В конце февраля наш батальон насчитывал 350 человек. К 9 марта батальон потерял около 200 солдат. В последующих боях мы понесли снова большие потери. В 7 роте в живых осталось всего лишь несколько человек. Недавно я был арестован за самовольный уход с поста. Под арестом я находился вместе с 10 солдатами. Один из них был отдан под суд за то, что угрожал офицеру расправой, другой — за самострел, все остальные — за кражи продуктов на складах и у товарищей».</w:t>
      </w:r>
    </w:p>
    <w:p w14:paraId="65C93757"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Военнопленный солдат 6 роты 2 полка 1 словацкой дивизии Иозеф Фрабель сообщил: «Я был свидетелем неслыханных зверств и жестокостей, творимых немецкими солдатами и офицерами над мирным населением и пленными красноармейцами. В селе Успенка фашисты в первый же день расстреляли трёх мирных граждан. В Житомире в лагере военнопленных гитлеровцы из пулемётов расстреляли 150 пленных красноармейцев. Солдаты говорили мне, что в Житомире немецкие оккупационные власти за один месяц расстреляли 800 мирных жителей. В местечке Пулин на моих глазах немцы расстреляли 330 советских граждан. Большинство убитых были женщины и дети».</w:t>
      </w:r>
    </w:p>
    <w:p w14:paraId="735CEC87"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Гитлера в Германии мобилизованы дети и подростки в возрасте от 10 лет для работы на военных предприятиях. Гитлеровцы создали для них казарменный, каторжный режим. 10-летних детей они принуждают работать по 12—14 часов в сутки. Дети влачат жалкое голодное существование. Они получают лишь миску жидкой похлёбки и 200 граммов суррогатного хлеба в день.» (15109).</w:t>
      </w:r>
    </w:p>
    <w:p w14:paraId="4EEAF4C6"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26BD21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в системе ПВО Саратова начал работать 586 женский иап под командованием Т.А.Казариновой (438,841).</w:t>
      </w:r>
    </w:p>
    <w:p w14:paraId="40CD49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0C4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в Севастополе во время бомбардировки погиб командующий ВВС ЧМФ г-ма Н.А.Остряков. Посмертно стал ГСС (438,841).</w:t>
      </w:r>
    </w:p>
    <w:p w14:paraId="32DF5F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A2D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г. прямые попадания двух 100-килограммовых бомб вывели из строя обе 100-мм батареи и часть зенитных автоматов крейсера Киров, вызвали пожар в районе кормовьхх погребов боезапаса. Экипаж понес серь</w:t>
      </w:r>
      <w:r w:rsidRPr="008127F8">
        <w:rPr>
          <w:rFonts w:ascii="Times New Roman" w:hAnsi="Times New Roman"/>
          <w:color w:val="000000" w:themeColor="text1"/>
          <w:sz w:val="16"/>
          <w:szCs w:val="16"/>
        </w:rPr>
        <w:softHyphen/>
        <w:t>езные потери — 86 человек бьшо убито и 42 ранено, а корабль ли</w:t>
      </w:r>
      <w:r w:rsidRPr="008127F8">
        <w:rPr>
          <w:rFonts w:ascii="Times New Roman" w:hAnsi="Times New Roman"/>
          <w:color w:val="000000" w:themeColor="text1"/>
          <w:sz w:val="16"/>
          <w:szCs w:val="16"/>
        </w:rPr>
        <w:softHyphen/>
        <w:t>шился большей части средств ПВО (3898).</w:t>
      </w:r>
    </w:p>
    <w:p w14:paraId="24831E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71C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во время налета 159 вражеских самолетов и артобстрела получили повреждения крейсер "Киров", эсминцы "Сильный" и "Гремящий". Более сорока вражеских самолетов было сбито (10671).</w:t>
      </w:r>
    </w:p>
    <w:p w14:paraId="587A25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FE658"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434A0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FB43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24 апреля 1942 года был издан приказ Народного комиссариата торговли СССР № 79 «О введении карточек на промышленные товары во всех городах и рабочих поселках». Промтоварные карточки выдавались не на определенный вид и количество товара, как продовольственные, а на определенное количество купонов (рабочие и ИТР получали карточки на 125 купонов, служащие - на 100, иждивенцы, дети и учащиеся - 80) (Там же, ф. Р-808, оп. 1, д. 96, л. 372, 372 об.). Соответственно, промтовары кроме денежной цены получали и «купонную» стоимость. Продажа нормированных промтоваров проводилась в пределах лимитов, установленных для каждой категории населения. Нужно отметить, что в Мурманской области карточки на промтовары не прижились, а реализация промышленных товаров производилась по ордерной системе. Поступавшие фонды распределялись по предприятиям и учреждениям, а уже на предприятиях выписывались ордеры на покупку того или иного товара конкретным сотрудникам (Там же, ф. П-1, оп. 2, д. 439, л. 39, 41 об., 42.). Перечень нормированных промышленных и продовольственных товаров за годы войны неоднократно расширялся (Там же, ф. Р-405, оп. 1, д. 255, л. 390 </w:t>
      </w:r>
      <w:proofErr w:type="gramStart"/>
      <w:r w:rsidRPr="008127F8">
        <w:rPr>
          <w:rFonts w:ascii="Times New Roman" w:hAnsi="Times New Roman"/>
          <w:color w:val="000000" w:themeColor="text1"/>
          <w:sz w:val="16"/>
          <w:szCs w:val="16"/>
        </w:rPr>
        <w:t>об.-</w:t>
      </w:r>
      <w:proofErr w:type="gramEnd"/>
      <w:r w:rsidRPr="008127F8">
        <w:rPr>
          <w:rFonts w:ascii="Times New Roman" w:hAnsi="Times New Roman"/>
          <w:color w:val="000000" w:themeColor="text1"/>
          <w:sz w:val="16"/>
          <w:szCs w:val="16"/>
        </w:rPr>
        <w:t>391 об.; оп. 6, д. 5, л. 182-185.). В зависимости от ресурсов вносились изменения в нормы и порядок выдачи товаров по карточкам. Например, по постановлению СНК СССР и ЦК ВКП(б) от 11 октября 1942 года № 1682-796с на период с октября 1942 по май 1943 года половина нормы крупы и макарон выдавалась картофелем (за 1 килограмм крупы 5 килограмм картофеля). В связи с недостатком зерна разрешалось вместо печеного хлеба выдавать картофель в соотношении 1:4. В сельской местности допускалась выпечка хлеба с добавлением от 5 до 10 % картофеля. Тем же постановлением ликвидирована, начиная с октября 1942 года, продажа хлеба без карточек по повышенным ценам, за исключением коммерческих ресторанов (Там же, ф. П-1, оп. 2, д. 20, л. 107, 108; ф. Р-405, оп. 6, д. 5, л. 96.) (11911).</w:t>
      </w:r>
    </w:p>
    <w:p w14:paraId="1F462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2F1F6" w14:textId="77777777" w:rsidR="00E51D7B" w:rsidRPr="008127F8" w:rsidRDefault="00E51D7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1942. Из агентурной сводки: "Во всех очередях стоят женщины, мужчины встречаются редко. Количество людей в очередях и степень их нервозности зависит от того, какой товар отпускают. Большие очереди за керосином, и ведет себя люди в этой очереди очень нервозно. Много людей стоят за мылом, но здесь многие стоят только потому, что боятся, "а вдруг после не будет мыла". Стоят в очереди и за неизвестным продуктом - что привезут" (18696).</w:t>
      </w:r>
    </w:p>
    <w:p w14:paraId="4BF95E22" w14:textId="77777777" w:rsidR="00E51D7B" w:rsidRPr="008127F8" w:rsidRDefault="00E51D7B" w:rsidP="001E0A84">
      <w:pPr>
        <w:spacing w:after="0" w:line="240" w:lineRule="auto"/>
        <w:jc w:val="both"/>
        <w:rPr>
          <w:rFonts w:ascii="Times New Roman" w:hAnsi="Times New Roman"/>
          <w:color w:val="000000" w:themeColor="text1"/>
          <w:sz w:val="16"/>
          <w:szCs w:val="16"/>
        </w:rPr>
      </w:pPr>
    </w:p>
    <w:p w14:paraId="389D0A2E" w14:textId="77777777" w:rsidR="00DE2728"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B9C59A7" w14:textId="77777777" w:rsidR="00DE2728" w:rsidRPr="008127F8" w:rsidRDefault="00DE2728"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285EC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апреля в 1942 году впервые поднялся </w:t>
      </w:r>
      <w:proofErr w:type="gramStart"/>
      <w:r w:rsidRPr="008127F8">
        <w:rPr>
          <w:rFonts w:ascii="Times New Roman" w:hAnsi="Times New Roman"/>
          <w:color w:val="000000" w:themeColor="text1"/>
          <w:sz w:val="16"/>
          <w:szCs w:val="16"/>
        </w:rPr>
        <w:t>в воздух</w:t>
      </w:r>
      <w:proofErr w:type="gramEnd"/>
      <w:r w:rsidRPr="008127F8">
        <w:rPr>
          <w:rFonts w:ascii="Times New Roman" w:hAnsi="Times New Roman"/>
          <w:color w:val="000000" w:themeColor="text1"/>
          <w:sz w:val="16"/>
          <w:szCs w:val="16"/>
        </w:rPr>
        <w:t xml:space="preserve"> специально спроектированный для буксировки мишеней, опытный экземпляр «Miles» «М.25». Самолет имел в своей основе конструкцию «Miles» «Master Mk II», но с удлиненным носом, чтобы компенсировать вес буксировочного оборудования. Внутри измененной кабины была установлена лебедка, на тросе которой крепился буксируемый конус-мишень. Лебедка имела двойной привод (от электромотора или от ветряного двигателя), а кабина вмещала оператора и запас конусов-мишеней. Под наименованием «Miles» «M.25» «Martinet» с 1942 по 1945г. было построено 1724 машины. Этот тип самолетов в 1946г. был дополнен вариантом «M.50» «Queen Martinet» - радиоуправляемой беспилотной мишенью. Всего было построено 11 новых машин, а остальные 54 переделали из самолетов «М.25» (15109).</w:t>
      </w:r>
    </w:p>
    <w:p w14:paraId="7FC966C9"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1E2A5927" w14:textId="77777777" w:rsidR="00D96242" w:rsidRPr="008127F8" w:rsidRDefault="00D962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апреля 1942 года состоялся первый полет </w:t>
      </w:r>
      <w:r w:rsidRPr="008127F8">
        <w:rPr>
          <w:rFonts w:ascii="Times New Roman" w:hAnsi="Times New Roman"/>
          <w:color w:val="000000" w:themeColor="text1"/>
          <w:sz w:val="16"/>
          <w:szCs w:val="16"/>
          <w:lang w:val="en-US"/>
        </w:rPr>
        <w:t>Miles</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.25 </w:t>
      </w:r>
      <w:r w:rsidRPr="008127F8">
        <w:rPr>
          <w:rFonts w:ascii="Times New Roman" w:hAnsi="Times New Roman"/>
          <w:color w:val="000000" w:themeColor="text1"/>
          <w:sz w:val="16"/>
          <w:szCs w:val="16"/>
          <w:lang w:val="en-US"/>
        </w:rPr>
        <w:t>Martinet</w:t>
      </w:r>
      <w:r w:rsidRPr="008127F8">
        <w:rPr>
          <w:rFonts w:ascii="Times New Roman" w:hAnsi="Times New Roman"/>
          <w:color w:val="000000" w:themeColor="text1"/>
          <w:sz w:val="16"/>
          <w:szCs w:val="16"/>
        </w:rPr>
        <w:t xml:space="preserve">, прототип </w:t>
      </w:r>
      <w:r w:rsidRPr="008127F8">
        <w:rPr>
          <w:rFonts w:ascii="Times New Roman" w:hAnsi="Times New Roman"/>
          <w:color w:val="000000" w:themeColor="text1"/>
          <w:sz w:val="16"/>
          <w:szCs w:val="16"/>
          <w:lang w:val="en-US"/>
        </w:rPr>
        <w:t>LR</w:t>
      </w:r>
      <w:r w:rsidRPr="008127F8">
        <w:rPr>
          <w:rFonts w:ascii="Times New Roman" w:hAnsi="Times New Roman"/>
          <w:color w:val="000000" w:themeColor="text1"/>
          <w:sz w:val="16"/>
          <w:szCs w:val="16"/>
        </w:rPr>
        <w:t>241 (20793).</w:t>
      </w:r>
    </w:p>
    <w:p w14:paraId="59AADD45" w14:textId="77777777" w:rsidR="00D96242" w:rsidRPr="008127F8" w:rsidRDefault="00D96242" w:rsidP="001E0A84">
      <w:pPr>
        <w:spacing w:after="0" w:line="240" w:lineRule="auto"/>
        <w:jc w:val="both"/>
        <w:rPr>
          <w:rFonts w:ascii="Times New Roman" w:hAnsi="Times New Roman"/>
          <w:color w:val="000000" w:themeColor="text1"/>
          <w:sz w:val="16"/>
          <w:szCs w:val="16"/>
        </w:rPr>
      </w:pPr>
    </w:p>
    <w:p w14:paraId="0AF79170" w14:textId="609D271B" w:rsidR="00D96242" w:rsidRPr="008127F8" w:rsidRDefault="00D962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Впервые поднялся в воздух специально спроектированный для буксировки мишеней, опытный экземпляр Miles М.25. Самолет имел в своей основе конструкцию Miles Master Mk II, но с удлиненным носом, чтобы компенсировать вес буксировочного оборудования. Внутри измененной кабины была установлена лебедка, на тросе которой крепился буксируемый конус-мишень. Лебедка имела двойной привод (от электромотора или от ветряного двигателя), а кабина вмещала оператора и запас конусов-мишеней. Под наименованием Miles M.25 Martinet с 1942 по 1945г. было построено 1724 машины. Этот тип самолетов в 1946г. был дополнен вариантом M.50 Queen Martinet - радиоуправляемой беспилотной мишенью. Всего было построено 11 новых машин, а остальные 54 переделали из самолетов М.25 (22525).</w:t>
      </w:r>
    </w:p>
    <w:p w14:paraId="56932258" w14:textId="77777777" w:rsidR="00D96242" w:rsidRPr="008127F8" w:rsidRDefault="00D96242" w:rsidP="001E0A84">
      <w:pPr>
        <w:spacing w:after="0" w:line="240" w:lineRule="auto"/>
        <w:jc w:val="both"/>
        <w:rPr>
          <w:rFonts w:ascii="Times New Roman" w:hAnsi="Times New Roman"/>
          <w:color w:val="000000" w:themeColor="text1"/>
          <w:sz w:val="16"/>
          <w:szCs w:val="16"/>
        </w:rPr>
      </w:pPr>
    </w:p>
    <w:p w14:paraId="65996DB2" w14:textId="6F32E26B" w:rsidR="00D96242" w:rsidRPr="008127F8" w:rsidRDefault="00D962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Облетан первый прототип высотного бомбардировщика с герметичной кабиной XB-28 Dragon (серийный номер 40-3056) На испытаниях самолет показал высокие летные характеристики. Он достиг на высоте 7620 м максимальной скорости 599 км/час и мог переносить бомбовую нагрузки на расстояние в 3283 км.</w:t>
      </w:r>
    </w:p>
    <w:p w14:paraId="4A123CCD" w14:textId="634175BF" w:rsidR="00D96242" w:rsidRPr="008127F8" w:rsidRDefault="00D9624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XB-28 показали, что самолет превосходит по всем характеристикам серийные бомбардировщики B-25 Mitchell</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однако опыт войны показал, что потребности в высотных бомбардировщиках очень низкие - основные бомбовые удары наносились со средних и низких высот. К тому же концу войны основной упор ВВС США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стали делать на тяжелые четырехдвигательные стратегические </w:t>
      </w:r>
      <w:proofErr w:type="gramStart"/>
      <w:r w:rsidRPr="008127F8">
        <w:rPr>
          <w:rFonts w:ascii="Times New Roman" w:hAnsi="Times New Roman"/>
          <w:color w:val="000000" w:themeColor="text1"/>
          <w:sz w:val="16"/>
          <w:szCs w:val="16"/>
        </w:rPr>
        <w:t>бомбардировщики: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Boeing XB-29, Lockheed XB-30, Douglas XB-31 и Consolidated XB-32. В связи с этим были остановлено финансирование программы испытаний самолета и так же отменены работы по созданию серийной версии самолета B-28 (North American NA-69) (22525).</w:t>
      </w:r>
    </w:p>
    <w:p w14:paraId="38B356F8" w14:textId="77777777" w:rsidR="00D96242" w:rsidRPr="008127F8" w:rsidRDefault="00D96242" w:rsidP="001E0A84">
      <w:pPr>
        <w:spacing w:after="0" w:line="240" w:lineRule="auto"/>
        <w:jc w:val="both"/>
        <w:rPr>
          <w:rFonts w:ascii="Times New Roman" w:hAnsi="Times New Roman"/>
          <w:color w:val="000000" w:themeColor="text1"/>
          <w:sz w:val="16"/>
          <w:szCs w:val="16"/>
        </w:rPr>
      </w:pPr>
    </w:p>
    <w:p w14:paraId="6C793370"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в 1942 году был облетан первый прототип самолета «XB-28» «Dragon» (серийный номер 40-3056). На испытаниях самолет показал высокие летные характеристики. Он достиг на высоте 7620 м максимальной скорости 599 км/час и мог переносить бомбовую нагрузки на расстояние в 3283 км</w:t>
      </w:r>
    </w:p>
    <w:p w14:paraId="00B74ACD"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12BD385F"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апреля в 1942 году воздушный налет английских ВВС на Росток (15109).</w:t>
      </w:r>
    </w:p>
    <w:p w14:paraId="00285A33"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271912A9" w14:textId="77777777" w:rsidR="00DE2728" w:rsidRPr="008127F8" w:rsidRDefault="00DE2728" w:rsidP="001E0A84">
      <w:pPr>
        <w:pStyle w:val="a4"/>
        <w:rPr>
          <w:color w:val="000000" w:themeColor="text1"/>
          <w:lang w:val="ru-RU"/>
        </w:rPr>
      </w:pPr>
      <w:r w:rsidRPr="008127F8">
        <w:rPr>
          <w:color w:val="000000" w:themeColor="text1"/>
          <w:lang w:val="ru-RU"/>
        </w:rPr>
        <w:t>С 24 по 29 апреля 1942 520 английских бомбардировщиков бомбили центр Ростока, а в ночь с 30 на 31 мая 1942 г. 1047 самолётов вылетели на Кёльн. Цели достигло около 900 машин, они сбросили 1350 тонн фугасных и 460 000 штук зажигатель</w:t>
      </w:r>
      <w:r w:rsidRPr="008127F8">
        <w:rPr>
          <w:color w:val="000000" w:themeColor="text1"/>
          <w:lang w:val="ru-RU"/>
        </w:rPr>
        <w:softHyphen/>
        <w:t>ных бомб. Вскоре к разрушению городов подключились и ВВС США - в отличие от Королевских ВВС янки летали днём. С каждым месяцем интенсивность налётов возрастала (15841).</w:t>
      </w:r>
    </w:p>
    <w:p w14:paraId="07ED9B1A" w14:textId="77777777" w:rsidR="00DE2728" w:rsidRPr="008127F8" w:rsidRDefault="00DE2728" w:rsidP="001E0A84">
      <w:pPr>
        <w:pStyle w:val="a4"/>
        <w:rPr>
          <w:color w:val="000000" w:themeColor="text1"/>
          <w:lang w:val="ru-RU"/>
        </w:rPr>
      </w:pPr>
    </w:p>
    <w:p w14:paraId="4163F96B"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3644C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CC769B" w14:textId="77777777" w:rsidR="00E51D7B" w:rsidRPr="008127F8" w:rsidRDefault="00E51D7B"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25 апреля 1942 г. В постановлении Военного Совета ВВС КА «О резуль</w:t>
      </w:r>
      <w:r w:rsidRPr="008127F8">
        <w:rPr>
          <w:rFonts w:ascii="Times New Roman" w:hAnsi="Times New Roman" w:cs="Times New Roman"/>
          <w:color w:val="000000" w:themeColor="text1"/>
          <w:sz w:val="16"/>
          <w:szCs w:val="16"/>
        </w:rPr>
        <w:softHyphen/>
        <w:t>татах государственных испытаний двух</w:t>
      </w:r>
      <w:r w:rsidRPr="008127F8">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8127F8">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23EEDA9F" w14:textId="77777777" w:rsidR="00E51D7B" w:rsidRPr="008127F8" w:rsidRDefault="00E51D7B"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8127F8">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1D45D616" w14:textId="77777777" w:rsidR="00E51D7B" w:rsidRPr="008127F8" w:rsidRDefault="00E51D7B"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C15DF4B" w14:textId="77777777" w:rsidR="00D96242" w:rsidRPr="008127F8" w:rsidRDefault="00D96242" w:rsidP="001E0A84">
      <w:pPr>
        <w:pStyle w:val="95"/>
        <w:shd w:val="clear" w:color="auto" w:fill="auto"/>
        <w:spacing w:after="0" w:line="240" w:lineRule="auto"/>
        <w:ind w:firstLine="0"/>
        <w:jc w:val="both"/>
        <w:rPr>
          <w:rStyle w:val="aff8"/>
          <w:rFonts w:ascii="Times New Roman" w:hAnsi="Times New Roman" w:cs="Times New Roman"/>
          <w:i w:val="0"/>
          <w:iCs w:val="0"/>
          <w:color w:val="000000" w:themeColor="text1"/>
        </w:rPr>
      </w:pPr>
      <w:r w:rsidRPr="008127F8">
        <w:rPr>
          <w:color w:val="000000" w:themeColor="text1"/>
          <w:sz w:val="16"/>
          <w:szCs w:val="16"/>
        </w:rPr>
        <w:t>25 апреля 1942 г. в постанов</w:t>
      </w:r>
      <w:r w:rsidRPr="008127F8">
        <w:rPr>
          <w:color w:val="000000" w:themeColor="text1"/>
          <w:sz w:val="16"/>
          <w:szCs w:val="16"/>
        </w:rPr>
        <w:softHyphen/>
        <w:t>лении Военного совета ВВС КА «О результатах государственных ис</w:t>
      </w:r>
      <w:r w:rsidRPr="008127F8">
        <w:rPr>
          <w:color w:val="000000" w:themeColor="text1"/>
          <w:sz w:val="16"/>
          <w:szCs w:val="16"/>
        </w:rPr>
        <w:softHyphen/>
        <w:t>пытаний двухместного штурмовика Ил-6 с мотором М-82» констатировалось:</w:t>
      </w:r>
      <w:r w:rsidRPr="008127F8">
        <w:rPr>
          <w:rStyle w:val="aff8"/>
          <w:rFonts w:ascii="Times New Roman" w:hAnsi="Times New Roman" w:cs="Times New Roman"/>
          <w:color w:val="000000" w:themeColor="text1"/>
        </w:rPr>
        <w:t xml:space="preserve"> «Военный Совет ВВС Красной Армии считает нецелесо</w:t>
      </w:r>
      <w:r w:rsidRPr="008127F8">
        <w:rPr>
          <w:rStyle w:val="aff8"/>
          <w:rFonts w:ascii="Times New Roman" w:hAnsi="Times New Roman" w:cs="Times New Roman"/>
          <w:color w:val="000000" w:themeColor="text1"/>
        </w:rPr>
        <w:softHyphen/>
        <w:t>образным заказывать самолет Ил-6 с М-82 в серийное производство» (19877).</w:t>
      </w:r>
    </w:p>
    <w:p w14:paraId="7E240BFF" w14:textId="77777777" w:rsidR="00D96242" w:rsidRPr="008127F8" w:rsidRDefault="00D96242" w:rsidP="001E0A84">
      <w:pPr>
        <w:pStyle w:val="95"/>
        <w:shd w:val="clear" w:color="auto" w:fill="auto"/>
        <w:spacing w:after="0" w:line="240" w:lineRule="auto"/>
        <w:ind w:firstLine="0"/>
        <w:jc w:val="both"/>
        <w:rPr>
          <w:color w:val="000000" w:themeColor="text1"/>
          <w:sz w:val="16"/>
          <w:szCs w:val="16"/>
        </w:rPr>
      </w:pPr>
    </w:p>
    <w:p w14:paraId="1B32D9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вышел приказ НИИ ВВС N 071 об испытаниях Би-1 в Свердловске. Летчик Г.Я.Бахчиванджи (717).</w:t>
      </w:r>
    </w:p>
    <w:p w14:paraId="08BD46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комиссии В.С.Пашинов</w:t>
      </w:r>
    </w:p>
    <w:p w14:paraId="604D1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 Г.Я.Бахчиванджи</w:t>
      </w:r>
    </w:p>
    <w:p w14:paraId="09CBF9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НИИ ВВС ви2р А.Н.Сорокин</w:t>
      </w:r>
    </w:p>
    <w:p w14:paraId="7131DD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3 отд. НИИ ВВС ви2р П.П.Зуйко (717).</w:t>
      </w:r>
    </w:p>
    <w:p w14:paraId="2109AA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541F5" w14:textId="77777777" w:rsidR="00E51D7B" w:rsidRPr="008127F8" w:rsidRDefault="00E51D7B" w:rsidP="001E0A84">
      <w:pPr>
        <w:pStyle w:val="af"/>
        <w:shd w:val="clear" w:color="auto" w:fill="FFFFFF"/>
        <w:spacing w:before="0" w:after="0"/>
        <w:jc w:val="both"/>
        <w:rPr>
          <w:color w:val="000000" w:themeColor="text1"/>
          <w:sz w:val="16"/>
          <w:szCs w:val="16"/>
        </w:rPr>
      </w:pPr>
      <w:r w:rsidRPr="008127F8">
        <w:rPr>
          <w:color w:val="000000" w:themeColor="text1"/>
          <w:sz w:val="16"/>
          <w:szCs w:val="16"/>
        </w:rPr>
        <w:t>25 апреля 1942 г. появился приказ о создании Государ ственной комиссии по испытаниям БИ-1. Председателем комиссии был назначен профессор Военно-воздушной академии генерал Владимир Пышнов. Госкомиссия утвердила программу, по которой испытания начинались с пробежки по аэродрому и подлетов на высоту одного — двух метров (19586).</w:t>
      </w:r>
    </w:p>
    <w:p w14:paraId="182013B2" w14:textId="77777777" w:rsidR="00E51D7B" w:rsidRPr="008127F8" w:rsidRDefault="00E51D7B" w:rsidP="001E0A84">
      <w:pPr>
        <w:pStyle w:val="af"/>
        <w:shd w:val="clear" w:color="auto" w:fill="FFFFFF"/>
        <w:spacing w:before="0" w:after="0"/>
        <w:jc w:val="both"/>
        <w:rPr>
          <w:color w:val="000000" w:themeColor="text1"/>
          <w:sz w:val="16"/>
          <w:szCs w:val="16"/>
        </w:rPr>
      </w:pPr>
    </w:p>
    <w:p w14:paraId="21A05647" w14:textId="77777777" w:rsidR="00E51D7B" w:rsidRPr="008127F8" w:rsidRDefault="00E51D7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г. опытный самолёт БИ был перебазирован на аэродром НИИ ВВС в Кольцово. 30 апреля были осуществлены пробные включения двигателя,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1F1AA7A1" w14:textId="77777777" w:rsidR="00E51D7B" w:rsidRPr="008127F8" w:rsidRDefault="00E51D7B" w:rsidP="001E0A84">
      <w:pPr>
        <w:spacing w:after="0" w:line="240" w:lineRule="auto"/>
        <w:jc w:val="both"/>
        <w:rPr>
          <w:rFonts w:ascii="Times New Roman" w:hAnsi="Times New Roman"/>
          <w:color w:val="000000" w:themeColor="text1"/>
          <w:sz w:val="16"/>
          <w:szCs w:val="16"/>
        </w:rPr>
      </w:pPr>
    </w:p>
    <w:p w14:paraId="5C9D8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вышел приказ НКАП N 316с:</w:t>
      </w:r>
    </w:p>
    <w:p w14:paraId="22C608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обеспечение производства самолетов Як-7 на заводе 82:</w:t>
      </w:r>
    </w:p>
    <w:p w14:paraId="2237CF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Нач. 6 ГУ Щербакову и директору завода 301 Угольникову приступить к комплектному производству крыльев (деревянная часть крыла, металлические узлы, элероны) самолета Як-7 и обеспечить выпуск в соответствии с планом сдачи самолетов на заводе 82, в т.ч. первые 5 комплектов к 25 мая 1942 (1551,35).</w:t>
      </w:r>
    </w:p>
    <w:p w14:paraId="52250C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8127F8" w14:paraId="035CD6AB" w14:textId="77777777">
        <w:tc>
          <w:tcPr>
            <w:tcW w:w="675" w:type="dxa"/>
            <w:tcBorders>
              <w:top w:val="single" w:sz="12" w:space="0" w:color="auto"/>
            </w:tcBorders>
          </w:tcPr>
          <w:p w14:paraId="725AD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226891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20AF35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7C9F89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0F58B3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58EFD2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6F4095" w:rsidRPr="008127F8" w14:paraId="0EFD45D4" w14:textId="77777777">
        <w:tc>
          <w:tcPr>
            <w:tcW w:w="675" w:type="dxa"/>
            <w:tcBorders>
              <w:bottom w:val="single" w:sz="12" w:space="0" w:color="auto"/>
            </w:tcBorders>
          </w:tcPr>
          <w:p w14:paraId="1BA404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c>
          <w:tcPr>
            <w:tcW w:w="993" w:type="dxa"/>
            <w:tcBorders>
              <w:bottom w:val="single" w:sz="12" w:space="0" w:color="auto"/>
            </w:tcBorders>
          </w:tcPr>
          <w:p w14:paraId="7E5582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w:t>
            </w:r>
          </w:p>
        </w:tc>
        <w:tc>
          <w:tcPr>
            <w:tcW w:w="708" w:type="dxa"/>
            <w:tcBorders>
              <w:bottom w:val="single" w:sz="12" w:space="0" w:color="auto"/>
            </w:tcBorders>
          </w:tcPr>
          <w:p w14:paraId="317C2D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18" w:type="dxa"/>
            <w:tcBorders>
              <w:bottom w:val="single" w:sz="12" w:space="0" w:color="auto"/>
            </w:tcBorders>
          </w:tcPr>
          <w:p w14:paraId="03F638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Л.М.Глезнер</w:t>
            </w:r>
          </w:p>
        </w:tc>
        <w:tc>
          <w:tcPr>
            <w:tcW w:w="2364" w:type="dxa"/>
            <w:tcBorders>
              <w:bottom w:val="single" w:sz="12" w:space="0" w:color="auto"/>
            </w:tcBorders>
          </w:tcPr>
          <w:p w14:paraId="17ED68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ЛаГГ-3 на испытаниях</w:t>
            </w:r>
          </w:p>
        </w:tc>
        <w:tc>
          <w:tcPr>
            <w:tcW w:w="4440" w:type="dxa"/>
            <w:tcBorders>
              <w:bottom w:val="single" w:sz="12" w:space="0" w:color="auto"/>
            </w:tcBorders>
          </w:tcPr>
          <w:p w14:paraId="09BC11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Посадка с неисправным закрылком при боковом ветре. С-т выкатился с дорожки и провалился в грунт</w:t>
            </w:r>
          </w:p>
        </w:tc>
      </w:tr>
    </w:tbl>
    <w:p w14:paraId="256C7E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4E3FCB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822C5" w14:textId="77777777" w:rsidR="00DE2728" w:rsidRPr="008127F8" w:rsidRDefault="00DE2728" w:rsidP="001E0A84">
      <w:pPr>
        <w:pStyle w:val="a4"/>
        <w:rPr>
          <w:color w:val="000000" w:themeColor="text1"/>
          <w:lang w:val="ru-RU"/>
        </w:rPr>
      </w:pPr>
      <w:r w:rsidRPr="008127F8">
        <w:rPr>
          <w:color w:val="000000" w:themeColor="text1"/>
          <w:lang w:val="ru-RU"/>
        </w:rPr>
        <w:t>С 25 апреля 2 мая 1942 провели переделки ЛаГГ-3 М-82. Применили новый увеличенный маслорадиато ОП-293, новый всасывающий одинарный патрубок, уст новленный снаружи на верхней части капота, и убираюи ся костыль. Из-за отсутствия летной погоды, трудностей с регулировкой малого газа и некоторых других мелких дефектов, полёты по программе продолжили только 9 мая. Выяснилось, что доработки оказались удачными. Мотор М-82 № 6501355 также работал хорошо. Быстро удалс получить характеристики, достаточно близкие к заявленнь ранее по результатам заводских испытаний, и уже 14 числа в 19.00 испытания, включая отстрел оружия на земле и в воздухе, закончили. Отчёт о совместных испытаниях писали в самолёте по пути в Москву (15788).</w:t>
      </w:r>
    </w:p>
    <w:p w14:paraId="360A9D75" w14:textId="77777777" w:rsidR="00DE2728" w:rsidRPr="008127F8" w:rsidRDefault="00DE2728" w:rsidP="001E0A84">
      <w:pPr>
        <w:pStyle w:val="a4"/>
        <w:rPr>
          <w:color w:val="000000" w:themeColor="text1"/>
          <w:lang w:val="ru-RU"/>
        </w:rPr>
      </w:pPr>
    </w:p>
    <w:p w14:paraId="50551517"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апреля 1942 г. бригада завода № 19 в составе заместителя глав</w:t>
      </w:r>
      <w:r w:rsidRPr="008A2E5A">
        <w:rPr>
          <w:rFonts w:ascii="Times New Roman" w:hAnsi="Times New Roman"/>
          <w:color w:val="0070C0"/>
          <w:sz w:val="16"/>
          <w:szCs w:val="16"/>
        </w:rPr>
        <w:softHyphen/>
        <w:t>ного технолога и одновременно начальника эксплуатаци</w:t>
      </w:r>
      <w:r w:rsidRPr="008A2E5A">
        <w:rPr>
          <w:rFonts w:ascii="Times New Roman" w:hAnsi="Times New Roman"/>
          <w:color w:val="0070C0"/>
          <w:sz w:val="16"/>
          <w:szCs w:val="16"/>
        </w:rPr>
        <w:softHyphen/>
        <w:t>онно-ремонтного отдела завода №19 А.И. Валединского, ведущего конструктора мотора И.П. Эвича, механика Б.Я. Вертошко непосредственно участвовала в процес</w:t>
      </w:r>
      <w:r w:rsidRPr="008A2E5A">
        <w:rPr>
          <w:rFonts w:ascii="Times New Roman" w:hAnsi="Times New Roman"/>
          <w:color w:val="0070C0"/>
          <w:sz w:val="16"/>
          <w:szCs w:val="16"/>
        </w:rPr>
        <w:softHyphen/>
        <w:t>се испытаний и доводки самолета. Именно благодаря этим специалистам на самолете ЛаГГ-3 М-82 удалось организо</w:t>
      </w:r>
      <w:r w:rsidRPr="008A2E5A">
        <w:rPr>
          <w:rFonts w:ascii="Times New Roman" w:hAnsi="Times New Roman"/>
          <w:color w:val="0070C0"/>
          <w:sz w:val="16"/>
          <w:szCs w:val="16"/>
        </w:rPr>
        <w:softHyphen/>
        <w:t>вать равномерный обдув цилиндров мотора под таким же, как у Як-7 М-82, капотом NACA с боковыми створками, от</w:t>
      </w:r>
      <w:r w:rsidRPr="008A2E5A">
        <w:rPr>
          <w:rFonts w:ascii="Times New Roman" w:hAnsi="Times New Roman"/>
          <w:color w:val="0070C0"/>
          <w:sz w:val="16"/>
          <w:szCs w:val="16"/>
        </w:rPr>
        <w:softHyphen/>
        <w:t>регулировать работу карбюратора и обеспечить в процессе испытаний надежную работу нагруженного в тепловом от</w:t>
      </w:r>
      <w:r w:rsidRPr="008A2E5A">
        <w:rPr>
          <w:rFonts w:ascii="Times New Roman" w:hAnsi="Times New Roman"/>
          <w:color w:val="0070C0"/>
          <w:sz w:val="16"/>
          <w:szCs w:val="16"/>
        </w:rPr>
        <w:softHyphen/>
        <w:t>ношении мотора М-82. За счет технических решений пред</w:t>
      </w:r>
      <w:r w:rsidRPr="008A2E5A">
        <w:rPr>
          <w:rFonts w:ascii="Times New Roman" w:hAnsi="Times New Roman"/>
          <w:color w:val="0070C0"/>
          <w:sz w:val="16"/>
          <w:szCs w:val="16"/>
        </w:rPr>
        <w:softHyphen/>
        <w:t>ложенных бригадой максимальная скорость истребителя у земли возросла с 502 в первых полетах до 531 км/ч. Поче</w:t>
      </w:r>
      <w:r w:rsidRPr="008A2E5A">
        <w:rPr>
          <w:rFonts w:ascii="Times New Roman" w:hAnsi="Times New Roman"/>
          <w:color w:val="0070C0"/>
          <w:sz w:val="16"/>
          <w:szCs w:val="16"/>
        </w:rPr>
        <w:softHyphen/>
        <w:t>му бригада Валединского не поехала из Москвы в Новоси</w:t>
      </w:r>
      <w:r w:rsidRPr="008A2E5A">
        <w:rPr>
          <w:rFonts w:ascii="Times New Roman" w:hAnsi="Times New Roman"/>
          <w:color w:val="0070C0"/>
          <w:sz w:val="16"/>
          <w:szCs w:val="16"/>
        </w:rPr>
        <w:softHyphen/>
        <w:t>бирск, где находились сразу три типа опытных истребите</w:t>
      </w:r>
      <w:r w:rsidRPr="008A2E5A">
        <w:rPr>
          <w:rFonts w:ascii="Times New Roman" w:hAnsi="Times New Roman"/>
          <w:color w:val="0070C0"/>
          <w:sz w:val="16"/>
          <w:szCs w:val="16"/>
        </w:rPr>
        <w:softHyphen/>
        <w:t>лей с мотором М-82 остается только догадываться (23381).</w:t>
      </w:r>
    </w:p>
    <w:p w14:paraId="6B16E9F8" w14:textId="77777777" w:rsidR="00930F2C" w:rsidRPr="008A2E5A" w:rsidRDefault="00930F2C" w:rsidP="00930F2C">
      <w:pPr>
        <w:spacing w:after="0" w:line="240" w:lineRule="auto"/>
        <w:jc w:val="both"/>
        <w:rPr>
          <w:rFonts w:ascii="Times New Roman" w:hAnsi="Times New Roman"/>
          <w:color w:val="0070C0"/>
          <w:sz w:val="16"/>
          <w:szCs w:val="16"/>
        </w:rPr>
      </w:pPr>
    </w:p>
    <w:p w14:paraId="50476C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по 30 апреля 1942 на Ли-2, переоборудованном в НБ, по правому борту с наружной стороны установили ночной прицел НКПБ-3. Перед сбросом ш д.б. откинуть козырек, высунуть голову и произвести прицеливание (4143,34).</w:t>
      </w:r>
    </w:p>
    <w:p w14:paraId="5F21AC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B26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вышел приказ НКАП N 318с "Об использовании самолетов ПС-84 в качестве ночных бомбардировщиков" в исполнение постановления ГКО от 24 апреля 1942 N ГОКО-1637сс в целях использования самолетов ПС-84 в качестве ночных бомбардировщиков:</w:t>
      </w:r>
    </w:p>
    <w:p w14:paraId="3D2422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10 ГУ Тарасевичу и директору завода 84 Ярунину выпускать с 20 мая 1942 серийные самолеты ПС-84, оборудованные бомбардировочным вооружением по образцу, прошедшему гос. испытания в АДД</w:t>
      </w:r>
    </w:p>
    <w:p w14:paraId="2E5EA5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 6 ГУ Щербакову и директору завода 89 Леонтьеву оборудовать бомбардировочным вооружением 10 самолетов ПС-84 АДД на заводе 89 к 15 мая 1942</w:t>
      </w:r>
    </w:p>
    <w:p w14:paraId="7FF130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ГКО обязал:</w:t>
      </w:r>
    </w:p>
    <w:p w14:paraId="62E3B4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Командующего АДД Голованова представлять каждый самолет ПС-84 на завод 89 в срок 5 дней.</w:t>
      </w:r>
    </w:p>
    <w:p w14:paraId="549669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подачи первых трех из АДД установлен 30 апреля 1942</w:t>
      </w:r>
    </w:p>
    <w:p w14:paraId="296C4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Наркомату вооружения - восстановить производство бомбардировочного прицела НКПБ-3 и поставить 30 комплектов к 10 мая 1942 заводу 84</w:t>
      </w:r>
    </w:p>
    <w:p w14:paraId="38E92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Командующему ВВС Новикову передать заводу 89 к 30 апреля из наличия ВВС КА 10 комплектов прицелов НКПБ-3 и поставить 30 комплектов к 10 мая 1942 года заводу № 84</w:t>
      </w:r>
    </w:p>
    <w:p w14:paraId="62D4C7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Дальнейшую поставку производить по заявке НКАП</w:t>
      </w:r>
    </w:p>
    <w:p w14:paraId="17F72F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Команндующему ВВС КА гла тов. Новикова передать заводу № 89 к 30 апреля 1942 года из наличия ВВС КА - 10 комплектов прицела НКПБ-3 (1615,46).</w:t>
      </w:r>
    </w:p>
    <w:p w14:paraId="00DF8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AA62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1653 О плане производства парашютно-десантного имущества и парашютов для боеприпасов во П квартале 1942 г. (7004, 185-188,189-200).</w:t>
      </w:r>
    </w:p>
    <w:p w14:paraId="5705A79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FC68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апреля по 2 мая 1942 на ЛаГГ-3 М-82 на заводе № 21 доводили ВМГ. Комиссия по совместным испытаниям ждала оконча</w:t>
      </w:r>
      <w:r w:rsidRPr="008127F8">
        <w:rPr>
          <w:rFonts w:ascii="Times New Roman" w:hAnsi="Times New Roman"/>
          <w:color w:val="000000" w:themeColor="text1"/>
          <w:sz w:val="16"/>
          <w:szCs w:val="16"/>
        </w:rPr>
        <w:softHyphen/>
        <w:t>ния работ. Переделки включали новый увели</w:t>
      </w:r>
      <w:r w:rsidRPr="008127F8">
        <w:rPr>
          <w:rFonts w:ascii="Times New Roman" w:hAnsi="Times New Roman"/>
          <w:color w:val="000000" w:themeColor="text1"/>
          <w:sz w:val="16"/>
          <w:szCs w:val="16"/>
        </w:rPr>
        <w:softHyphen/>
        <w:t>ченный маслорадиатор ОП-293, новый всасывающий одинарный патру</w:t>
      </w:r>
      <w:r w:rsidRPr="008127F8">
        <w:rPr>
          <w:rFonts w:ascii="Times New Roman" w:hAnsi="Times New Roman"/>
          <w:color w:val="000000" w:themeColor="text1"/>
          <w:sz w:val="16"/>
          <w:szCs w:val="16"/>
        </w:rPr>
        <w:softHyphen/>
        <w:t>бок, установленный снаружи на верх</w:t>
      </w:r>
      <w:r w:rsidRPr="008127F8">
        <w:rPr>
          <w:rFonts w:ascii="Times New Roman" w:hAnsi="Times New Roman"/>
          <w:color w:val="000000" w:themeColor="text1"/>
          <w:sz w:val="16"/>
          <w:szCs w:val="16"/>
        </w:rPr>
        <w:softHyphen/>
        <w:t>ней части капота, и убирающийся костыль. Из-за отсутствия летной по</w:t>
      </w:r>
      <w:r w:rsidRPr="008127F8">
        <w:rPr>
          <w:rFonts w:ascii="Times New Roman" w:hAnsi="Times New Roman"/>
          <w:color w:val="000000" w:themeColor="text1"/>
          <w:sz w:val="16"/>
          <w:szCs w:val="16"/>
        </w:rPr>
        <w:softHyphen/>
        <w:t>годы, трудностей с регулировкой ма</w:t>
      </w:r>
      <w:r w:rsidRPr="008127F8">
        <w:rPr>
          <w:rFonts w:ascii="Times New Roman" w:hAnsi="Times New Roman"/>
          <w:color w:val="000000" w:themeColor="text1"/>
          <w:sz w:val="16"/>
          <w:szCs w:val="16"/>
        </w:rPr>
        <w:softHyphen/>
        <w:t>лого газа и некоторых других мелких дефектов, полеты по программе про</w:t>
      </w:r>
      <w:r w:rsidRPr="008127F8">
        <w:rPr>
          <w:rFonts w:ascii="Times New Roman" w:hAnsi="Times New Roman"/>
          <w:color w:val="000000" w:themeColor="text1"/>
          <w:sz w:val="16"/>
          <w:szCs w:val="16"/>
        </w:rPr>
        <w:softHyphen/>
        <w:t>должились только 9 мая. Выяснилось, что доработки оказались удачными. Мотор М-82 № 6501355 также ра</w:t>
      </w:r>
      <w:r w:rsidRPr="008127F8">
        <w:rPr>
          <w:rFonts w:ascii="Times New Roman" w:hAnsi="Times New Roman"/>
          <w:color w:val="000000" w:themeColor="text1"/>
          <w:sz w:val="16"/>
          <w:szCs w:val="16"/>
        </w:rPr>
        <w:softHyphen/>
        <w:t>ботал хорошо. Быстро удалось полу</w:t>
      </w:r>
      <w:r w:rsidRPr="008127F8">
        <w:rPr>
          <w:rFonts w:ascii="Times New Roman" w:hAnsi="Times New Roman"/>
          <w:color w:val="000000" w:themeColor="text1"/>
          <w:sz w:val="16"/>
          <w:szCs w:val="16"/>
        </w:rPr>
        <w:softHyphen/>
        <w:t>чить характеристики, достаточно близ</w:t>
      </w:r>
      <w:r w:rsidRPr="008127F8">
        <w:rPr>
          <w:rFonts w:ascii="Times New Roman" w:hAnsi="Times New Roman"/>
          <w:color w:val="000000" w:themeColor="text1"/>
          <w:sz w:val="16"/>
          <w:szCs w:val="16"/>
        </w:rPr>
        <w:softHyphen/>
        <w:t>кие к заявленным ранее по резуль</w:t>
      </w:r>
      <w:r w:rsidRPr="008127F8">
        <w:rPr>
          <w:rFonts w:ascii="Times New Roman" w:hAnsi="Times New Roman"/>
          <w:color w:val="000000" w:themeColor="text1"/>
          <w:sz w:val="16"/>
          <w:szCs w:val="16"/>
        </w:rPr>
        <w:softHyphen/>
        <w:t>татам заводских испытаний, и уже 14 числа в 19.00 испытания, включая от</w:t>
      </w:r>
      <w:r w:rsidRPr="008127F8">
        <w:rPr>
          <w:rFonts w:ascii="Times New Roman" w:hAnsi="Times New Roman"/>
          <w:color w:val="000000" w:themeColor="text1"/>
          <w:sz w:val="16"/>
          <w:szCs w:val="16"/>
        </w:rPr>
        <w:softHyphen/>
        <w:t>стрел оружия на земле и в воздухе были закончены. Отчет о совместных испытаниях писали уже в самолете по пути в Москву (10686).</w:t>
      </w:r>
    </w:p>
    <w:p w14:paraId="044592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08F60"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в 1942 году основано ОАО "МНПК "Авионика" (город Москва). Предприятие было основано как Государственный завод по разработке, изготовлению и эксплуатации авиационных приборов, систем и комплексов для летательных аппаратов всех типов. В 1994 г. предприятие преобразовано в акционерное общество. С 1952 г. предприятие разрабатывает и изготавливает автопилоты (АП) и системы автоматического управления (САУ) для вертолетов фирм МВЗ имени Миля и "Камов". В числе разработок ОАО МНПК "Авионика" - автопилот АП-34Б, система стабилизации оборотов винта (СОВ) и система подвижного упора управления (СПУУ), а также вертолетный унифицированный автопилот ВУАП, которые до настоящего времени эксплуатируются на вертолетах. Деятельность предприятия охватывает разработку, изготовление, испытание в наземных и летных условиях, полунатурное и математическое моделирование в реальном масштабе времени, техническое обслуживание в эксплуатации авиационных изделий и изделий автоматики, а также разработку, производство и обслуживание наукоемких медицинских изделий. Опыт работы МНПК "Авионика" более чем за 60 лет своей деятельности свидетельствует о том, что коллектив предприятия состоящий из высококвалифицированных инженеров и рабочих, имеет мощный научный потенциал и успешно справляется со своими задачами, как в области обеспечения отечественной авиации, надежно работающими изделиями, так и в области создания медицинских аппаратов (15110).</w:t>
      </w:r>
    </w:p>
    <w:p w14:paraId="3C895ED8"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7D085FC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5504B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831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1638 О т.т. Запорожец А.И. и Тюркине П.А. РГАНИР, Фонд ГКО, д. 31, лл. 108 (11012).</w:t>
      </w:r>
    </w:p>
    <w:p w14:paraId="021DCE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8BD5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1639 [О выделении 600 ПТР и 2,8 тыс. ППШ погранвойскам НКВД на Дальнем Востоке.] (7004, 109).</w:t>
      </w:r>
    </w:p>
    <w:p w14:paraId="1AA522A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3036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апреля 1942 г. в соответствии с пост. ГКО № 1646 был создан Патронный завод № 304 НКВ (Завод № 304 НКВ,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  г. Москва ул. Верейская, 29 тел. 444-97-77,443-71-40/) на месте патронного завода №</w:t>
      </w:r>
      <w:r w:rsidRPr="008127F8">
        <w:rPr>
          <w:rFonts w:ascii="Times New Roman" w:hAnsi="Times New Roman"/>
          <w:iCs/>
          <w:color w:val="000000" w:themeColor="text1"/>
          <w:sz w:val="16"/>
          <w:szCs w:val="16"/>
        </w:rPr>
        <w:t xml:space="preserve"> 46</w:t>
      </w:r>
    </w:p>
    <w:p w14:paraId="70B2CB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1944 г. на территории завода создан НИИ СПВА, в 1948 г. переименованный в НИИ-61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16342C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9047с от 10.06.1945 г. и приказом НКВ № 265с от 14.06.1945 г. завод перепрофилирован на производство радиотехнической аппаратуры. В конце 1945 г. на заводе создан ОГК для обеспечения производства конструкторской и технологической документацией. В 1946 г. заводу поручено производство радиотехники для ПВО страны, завод определен головным по этому направлению. С конца 1940-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начат выпуск станций орудийного наведения СОН. В 1950 г. начато освоение производства системы ПВО С-25, в 1952 г. завод определен головным по производству аппаратуры центральной РЛС наведения (ЦРН) С-25.</w:t>
      </w:r>
      <w:r w:rsidRPr="008127F8">
        <w:rPr>
          <w:rFonts w:ascii="Times New Roman" w:hAnsi="Times New Roman"/>
          <w:iCs/>
          <w:color w:val="000000" w:themeColor="text1"/>
          <w:sz w:val="16"/>
          <w:szCs w:val="16"/>
        </w:rPr>
        <w:t xml:space="preserve"> Для </w:t>
      </w:r>
      <w:r w:rsidRPr="008127F8">
        <w:rPr>
          <w:rFonts w:ascii="Times New Roman" w:hAnsi="Times New Roman"/>
          <w:color w:val="000000" w:themeColor="text1"/>
          <w:sz w:val="16"/>
          <w:szCs w:val="16"/>
        </w:rPr>
        <w:t xml:space="preserve">этого он был освобожден от выпуска </w:t>
      </w:r>
      <w:r w:rsidRPr="008127F8">
        <w:rPr>
          <w:rFonts w:ascii="Times New Roman" w:hAnsi="Times New Roman"/>
          <w:color w:val="000000" w:themeColor="text1"/>
          <w:sz w:val="16"/>
          <w:szCs w:val="16"/>
          <w:lang w:val="en-US"/>
        </w:rPr>
        <w:t>PJIC</w:t>
      </w:r>
      <w:r w:rsidRPr="008127F8">
        <w:rPr>
          <w:rFonts w:ascii="Times New Roman" w:hAnsi="Times New Roman"/>
          <w:color w:val="000000" w:themeColor="text1"/>
          <w:sz w:val="16"/>
          <w:szCs w:val="16"/>
        </w:rPr>
        <w:t xml:space="preserve"> орудийной наводки; реконструированы старые цеха и построены новые.</w:t>
      </w:r>
    </w:p>
    <w:p w14:paraId="6AA7CA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304 (назывался также Кунцевский радиотехнический завод) находился в ведении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затем (вероятно, с момента образования в 1953 г.) в 1953-57</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xml:space="preserve"> в ведении 8ГУ МОП. В 1957-61 г. - в ведении МособлСНХ, в 1961-65 г.- МосгорСНХ. В 1963 г. завод № 304 переименован в Кунцевский механический завод (КМЗ). С 1965 г.- в ведении 13ГУ МРП.</w:t>
      </w:r>
    </w:p>
    <w:p w14:paraId="421DFC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ОГК завода преобразовано в ОКБ завода. Затем КБ при заводе организовывались в 1956 г. и в 1966 г.</w:t>
      </w:r>
    </w:p>
    <w:p w14:paraId="136291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21.02.1952 г. при заводе № 304 образовано СМУ-304 для проведения завершающего этапа работ по монтажу, настройке, проведению испытаний и вводу в эксплуатацию объектов системы ПВО С-25. В 1960 г. предприятие выделено из состава завода № 304 и преобразовано в СМУ Мособлсовнархоза (далее- ГПТП).</w:t>
      </w:r>
    </w:p>
    <w:p w14:paraId="476EA6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освоен выпуск телевизоров. В 1960 г. начата разработка и производство ультразвуковой аппаратуры для медицины и народного хозяйства.</w:t>
      </w:r>
    </w:p>
    <w:p w14:paraId="7B0970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1970-х по 1990-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производство телевизионных станций. В 1970-е-90-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прошла реконструкция завода, и освоен выпуск аппаратуры для СПРН и ПРО. С 1992 </w:t>
      </w:r>
      <w:r w:rsidRPr="008127F8">
        <w:rPr>
          <w:rFonts w:ascii="Times New Roman" w:hAnsi="Times New Roman"/>
          <w:color w:val="000000" w:themeColor="text1"/>
          <w:sz w:val="16"/>
          <w:szCs w:val="16"/>
        </w:rPr>
        <w:lastRenderedPageBreak/>
        <w:t>г. освоен выпуск ручного электроинструмента.</w:t>
      </w:r>
    </w:p>
    <w:p w14:paraId="3420A1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МРП № 711 от 18.01.1971 г. КМЗ переименован в Московский радиотехнический завод. 27.08.1993 г. предприятие преобразовано в АООТ «МРТЗ», с 10.01.2002 г. - ОАО «НПО «МРТЗ». Крупнейшее предприятие РЭ промышленности РФ. Входит в МФПГ «Оборонительные системы», с 2002 г.- в концерн «Алмаз- Антей». По решению правительства № 22-р от 9.01.2004 г. вошло в перечень стратегических предприятий.</w:t>
      </w:r>
    </w:p>
    <w:p w14:paraId="62DF6B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производства (2005 г.): инструментальное; литейное; изделий из пластмасс; механообрабатывающее; метизов; сборочно-каркасное; штамповочное; сборочное; керамическое, ферритовое и электротехническое; лакокрасочных и гальванических покрытий; печатных плат; лаборатория типовых испытаний.</w:t>
      </w:r>
    </w:p>
    <w:p w14:paraId="301913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(10.1941-03.1942 г.)- Н.Я. Каприз, (01.1944-45 г.)- Н.Ф. Червяков, (1945-50 г.)- А.А. Форштер, (1951- 52; 1960-75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Чучалов, (1953-54 г.)- Ю.В. Яхонтов, (1954-60 г.)- М.А. Брежнев, (1975-81 г.)- Е.И. Котельников, (1982-83 г.)- Ю.Н. Захаров, (1983-97 г.)- В.П. Милованов. Гендиректор (1997-98 г.)- А.В. Гусев, (1998-2003 г.)- Ю.Л. Булкин, (2003-11.2004 г.)- А.Б. Романов, (2004-05 г.-&gt; С.В. Бочков.</w:t>
      </w:r>
    </w:p>
    <w:p w14:paraId="4D10E5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(-1952 г.)- И.В. Илларионов, (1952-60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Чучалов, (-1971 г.)- В.В. Вюнш, (1972-75 г.)- Е.И. Котельников, (-1983 г.)- В.П. Милованов.</w:t>
      </w:r>
    </w:p>
    <w:p w14:paraId="1C345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(1945 г.-)- В.Н. Казанцев, (1960-62 г.)</w:t>
      </w:r>
      <w:proofErr w:type="gramStart"/>
      <w:r w:rsidRPr="008127F8">
        <w:rPr>
          <w:rFonts w:ascii="Times New Roman" w:hAnsi="Times New Roman"/>
          <w:color w:val="000000" w:themeColor="text1"/>
          <w:sz w:val="16"/>
          <w:szCs w:val="16"/>
        </w:rPr>
        <w:t>-  Г.Т.</w:t>
      </w:r>
      <w:proofErr w:type="gramEnd"/>
      <w:r w:rsidRPr="008127F8">
        <w:rPr>
          <w:rFonts w:ascii="Times New Roman" w:hAnsi="Times New Roman"/>
          <w:color w:val="000000" w:themeColor="text1"/>
          <w:sz w:val="16"/>
          <w:szCs w:val="16"/>
        </w:rPr>
        <w:t xml:space="preserve"> Парамонов.</w:t>
      </w:r>
    </w:p>
    <w:p w14:paraId="1E4535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(1951-55г,)- И.В. Илларионов.</w:t>
      </w:r>
    </w:p>
    <w:p w14:paraId="601C8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В.П. Милованов.</w:t>
      </w:r>
    </w:p>
    <w:p w14:paraId="40DD77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телевизионного (1976 г.)- М.Т. Афанасьев; (-1970 г.)- Е.И. Котельников, В.П. Милованов.</w:t>
      </w:r>
    </w:p>
    <w:p w14:paraId="0B47C0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ЦЗЛ (-1974 г.)- Е.П. Котов; Е.И. Котельников.</w:t>
      </w:r>
    </w:p>
    <w:p w14:paraId="5AA8B1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КБ- В.П. Милованов; технического (1997-2001 г.)- Е.И. Котельников.</w:t>
      </w:r>
    </w:p>
    <w:p w14:paraId="14BE78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патроны для ППШ, пулеметов 12,7 мм, противотанковых ружей (ВОВ); с танции: СОН-2, СОН-3, СОН-4 (1940-е), Б-200; аппаратура для систем С-25 (1952-), С-75 (1959), С-125, С-200, С-300, пункт боевого управления 54К6Е и другая аппаратура для ЗРК С-300ПМУ1; системы радиотехнического контроля полета ракет и КА: РКТ (1950), «Иртыш», «Бинокль», РЛС траекторных измерений: «Истра» (1950-е), «Кама» (1960), «Кама-А, -М, -Н» (1980-е-2004-), «Кубань» (1960-е); фазовый пеленгатор «Висла»; приемные устройства РЛС РКЦ-35 системы А-35 (1966); радиотехническая аппаратура для системы УС-К (1970-е); ЗРК «Печора-2М» (2005); приемная аппаратура станции телевещания «Орбита» (1966-); аппаратура радиорелейной связи «Заря», «Рассвет» (1966-), «Курс»-( 1980-е); радиодальномер РД-75 «Амазонка»</w:t>
      </w:r>
    </w:p>
    <w:p w14:paraId="6A2D81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(1965-);</w:t>
      </w:r>
      <w:r w:rsidRPr="008127F8">
        <w:rPr>
          <w:rFonts w:ascii="Times New Roman" w:hAnsi="Times New Roman"/>
          <w:color w:val="000000" w:themeColor="text1"/>
          <w:sz w:val="16"/>
          <w:szCs w:val="16"/>
          <w:vertAlign w:val="superscript"/>
        </w:rPr>
        <w:t>130</w:t>
      </w:r>
    </w:p>
    <w:p w14:paraId="6EC93A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механический электрогравировальный автомат «МЭГА» (1966-); рентгенографическая установка досмотра багажа «Визир-1» (1990-е), «Контроль-1М» (1998-); фильтры присоединительные и разделительные для электроэнергетики (1994-); ультразвуковой генератор (УЗГ) (1960-е-);</w:t>
      </w:r>
      <w:r w:rsidRPr="008127F8">
        <w:rPr>
          <w:rFonts w:ascii="Times New Roman" w:hAnsi="Times New Roman"/>
          <w:iCs/>
          <w:color w:val="000000" w:themeColor="text1"/>
          <w:sz w:val="16"/>
          <w:szCs w:val="16"/>
        </w:rPr>
        <w:t xml:space="preserve"> телевизоры:</w:t>
      </w:r>
      <w:r w:rsidRPr="008127F8">
        <w:rPr>
          <w:rFonts w:ascii="Times New Roman" w:hAnsi="Times New Roman"/>
          <w:color w:val="000000" w:themeColor="text1"/>
          <w:sz w:val="16"/>
          <w:szCs w:val="16"/>
        </w:rPr>
        <w:t xml:space="preserve"> «Зенит» (1954-), «Луч» (1950- е), «Старт» (1955-), «Старт-2, -3 (1959-), -ЗМ, -4 (1967-), -6, -308, -310», «Свет-702» (1976-), «Юность» (1959-), «Юность-2 (1</w:t>
      </w:r>
      <w:r w:rsidRPr="008127F8">
        <w:rPr>
          <w:rFonts w:ascii="Times New Roman" w:hAnsi="Times New Roman"/>
          <w:iCs/>
          <w:color w:val="000000" w:themeColor="text1"/>
          <w:sz w:val="16"/>
          <w:szCs w:val="16"/>
        </w:rPr>
        <w:t>969-),</w:t>
      </w:r>
      <w:r w:rsidRPr="008127F8">
        <w:rPr>
          <w:rFonts w:ascii="Times New Roman" w:hAnsi="Times New Roman"/>
          <w:color w:val="000000" w:themeColor="text1"/>
          <w:sz w:val="16"/>
          <w:szCs w:val="16"/>
        </w:rPr>
        <w:t xml:space="preserve"> -401, -402, -403, -405 (1980-), -406, -602, -603, 31ТБ-410, 31ТБ-4127, 31ТБ-4301, Ц-401, Ц-440, Ц-442, 32ТЦ-309 (1991), 32ТЦ-312, </w:t>
      </w:r>
      <w:r w:rsidRPr="008127F8">
        <w:rPr>
          <w:rFonts w:ascii="Times New Roman" w:hAnsi="Times New Roman"/>
          <w:color w:val="000000" w:themeColor="text1"/>
          <w:sz w:val="16"/>
          <w:szCs w:val="16"/>
          <w:lang w:val="en-US"/>
        </w:rPr>
        <w:t>TVR</w:t>
      </w:r>
      <w:r w:rsidRPr="008127F8">
        <w:rPr>
          <w:rFonts w:ascii="Times New Roman" w:hAnsi="Times New Roman"/>
          <w:color w:val="000000" w:themeColor="text1"/>
          <w:sz w:val="16"/>
          <w:szCs w:val="16"/>
        </w:rPr>
        <w:t>-8» (-2000)- всего более 10 млн.;</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радиоприемник «Эхо»; пилы электрические ручные: дисковые, цепные; рубанок электрический, электрокультиватор (1992-) (11982).</w:t>
      </w:r>
    </w:p>
    <w:p w14:paraId="38D47A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FB041"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апреля 1942 г. Докладная записка заместителя председателя СНК СССР, члена ГКО СССР Л. П. Берии и наркома вооружения СССР Д. Ф. Устинова председателю ГКО СССР И. В. Сталину о необходимости закупки оборудования для изготовления 7,62-мм патронов в США</w:t>
      </w:r>
    </w:p>
    <w:p w14:paraId="29B95B19"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roofErr w:type="gramStart"/>
      <w:r w:rsidRPr="008A2E5A">
        <w:rPr>
          <w:rFonts w:ascii="Times New Roman" w:hAnsi="Times New Roman"/>
          <w:color w:val="0070C0"/>
          <w:sz w:val="16"/>
          <w:szCs w:val="16"/>
        </w:rPr>
        <w:t>. .</w:t>
      </w:r>
      <w:proofErr w:type="gramEnd"/>
    </w:p>
    <w:p w14:paraId="46E88B60"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Рассмотрев потребность Красной армии в винтовочных и пистолетных патронах калибра 7,62 мм и предложения американских фирм о закупке у них оборудования для производства патронов, сообщаю следующее: потребность в 7,62-мм патронах, по заявкам ГАУ КА и ГУ ВВС, составляет 760 млн в месяц. Патронные заводы НКВ при работе на оголенном железе могут выпускать 7,62-мм патронов 540 млн в месяц.</w:t>
      </w:r>
    </w:p>
    <w:p w14:paraId="6237ABAD"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дефицит выражается в 220 млн патронов в месяц, или 8 млн в сутки.</w:t>
      </w:r>
    </w:p>
    <w:p w14:paraId="0CC208D5"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того, что импортированное оборудование может начать работать только в IV квартале 1942 г. и отдача от него в первое время будет неполной, дефицит в патронах увеличится до 10 млн в сутки.</w:t>
      </w:r>
    </w:p>
    <w:p w14:paraId="0AD985F6"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этого, считаю, что при закупке оборудования для производства 7,62-мм патронов следует ориентироваться на создание дополнительных мощностей на 10 млн в сутки. После получения импортного оборудования общая годовая мощность патронных заводов по 7,62-мм патронам будет составлять 9840 млн, при заявке ГАУ КА и ГУ ВВС на 1942 г. в 9120 млн. Кроме того, необходимо особо подчеркнуть, что уже сейчас инструментальная база патронных заводов отстает от возможностей по производству патронов. Поэтому одновременно с закупкой в Америке станков для производства патронов следует закупить также металлорежущие станки для инструментальных цехов патронных заводов в количествене менее 500 ед.</w:t>
      </w:r>
    </w:p>
    <w:p w14:paraId="55F4D2C8"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изложенного прошу Ваших указаний о закупке в США оборудования для изготовления 10 млн 7-62-мм патронов в сутки и 500 шт. металлорежущих станков.</w:t>
      </w:r>
    </w:p>
    <w:p w14:paraId="2C472723"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40B53372"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Устинов</w:t>
      </w:r>
    </w:p>
    <w:p w14:paraId="02836C11" w14:textId="77777777" w:rsidR="00930F2C" w:rsidRPr="008A2E5A" w:rsidRDefault="00930F2C" w:rsidP="00930F2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Пометы синим карандашом: 1) «И. Сталин», 2) «За — Микоян» (23021).</w:t>
      </w:r>
    </w:p>
    <w:p w14:paraId="06D57EE1" w14:textId="77777777" w:rsidR="00930F2C" w:rsidRPr="008A2E5A" w:rsidRDefault="00930F2C" w:rsidP="00930F2C">
      <w:pPr>
        <w:spacing w:after="0" w:line="240" w:lineRule="auto"/>
        <w:jc w:val="both"/>
        <w:rPr>
          <w:rFonts w:ascii="Times New Roman" w:hAnsi="Times New Roman"/>
          <w:color w:val="0070C0"/>
          <w:sz w:val="16"/>
          <w:szCs w:val="16"/>
        </w:rPr>
      </w:pPr>
    </w:p>
    <w:p w14:paraId="4A719ADA" w14:textId="77777777" w:rsidR="00E51D7B" w:rsidRPr="008127F8" w:rsidRDefault="00E51D7B"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25 апреля 1942 г.</w:t>
      </w:r>
    </w:p>
    <w:p w14:paraId="034E7CA8"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38</w:t>
      </w:r>
      <w:r w:rsidRPr="008127F8">
        <w:rPr>
          <w:rFonts w:ascii="Times New Roman" w:eastAsia="Times New Roman" w:hAnsi="Times New Roman"/>
          <w:color w:val="000000" w:themeColor="text1"/>
          <w:sz w:val="16"/>
          <w:szCs w:val="16"/>
          <w:lang w:eastAsia="ru-RU"/>
        </w:rPr>
        <w:t xml:space="preserve"> </w:t>
      </w:r>
    </w:p>
    <w:p w14:paraId="7510FC3D"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27A9ADBE"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337B2D10"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КОМИССАРИАТА ТАНКОВОЙ ПРОМЫШЛЕННОСТИ</w:t>
      </w:r>
    </w:p>
    <w:p w14:paraId="177C8CE4"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363c</w:t>
      </w:r>
    </w:p>
    <w:p w14:paraId="2035C4A5"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"25" апреля 1942 г. </w:t>
      </w:r>
    </w:p>
    <w:p w14:paraId="49C5C229"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 Москва.</w:t>
      </w:r>
    </w:p>
    <w:p w14:paraId="42B67F07"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 основании распоряжения Совнаркома Союза ССР от 24-го апреля 1942 г. № 7279-рс – ПРИКАЗЫВАЮ: </w:t>
      </w:r>
    </w:p>
    <w:p w14:paraId="6E340B1A"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Начиная с 1-го мая 1942 г. ввести второе горячее питание для рабочих и инженерно-технических работников, выполняющих и перевыполняющих нормы выработки в горячих и вредных цехах заводов с ежедневным выпуском следующего количества обедов: </w:t>
      </w:r>
    </w:p>
    <w:p w14:paraId="5D9AE34C"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Кировский завод – 11100 обедов </w:t>
      </w:r>
    </w:p>
    <w:p w14:paraId="1A0EC862"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Уралмашзавод – 7700 обедов </w:t>
      </w:r>
    </w:p>
    <w:p w14:paraId="442A0F0C"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200 – 1000 обедов </w:t>
      </w:r>
    </w:p>
    <w:p w14:paraId="1C902916"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183 – 6600 обедов </w:t>
      </w:r>
    </w:p>
    <w:p w14:paraId="6184EFC8"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СТЗ – 8500 обедов </w:t>
      </w:r>
    </w:p>
    <w:p w14:paraId="43EFADBD"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112 – 7200 обедов </w:t>
      </w:r>
    </w:p>
    <w:p w14:paraId="5CE8FC95"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37 – 1000 обедов </w:t>
      </w:r>
    </w:p>
    <w:p w14:paraId="712EC08F"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38 – 1000 обедов </w:t>
      </w:r>
    </w:p>
    <w:p w14:paraId="299E2563"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76 – 500 обедов </w:t>
      </w:r>
    </w:p>
    <w:p w14:paraId="330D0F1F"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264 – 1500 обедов </w:t>
      </w:r>
    </w:p>
    <w:p w14:paraId="1709EF08"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174 – 600 обедов </w:t>
      </w:r>
    </w:p>
    <w:p w14:paraId="7323C66B"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176 – 500 обедов </w:t>
      </w:r>
    </w:p>
    <w:p w14:paraId="3E7FDFC5"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177 – 300 обедов </w:t>
      </w:r>
    </w:p>
    <w:p w14:paraId="4AB86DCB"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Завод № 178 – 2500 обедов </w:t>
      </w:r>
    </w:p>
    <w:p w14:paraId="2058EDCC"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ВСЕГО: 50000 обедов в день. </w:t>
      </w:r>
    </w:p>
    <w:p w14:paraId="0EA777EA"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Отпуск второго горячего питания производить в городах, где введены продовольственные карточки, без вырезки талонов из продовольственных карточек. </w:t>
      </w:r>
    </w:p>
    <w:p w14:paraId="49B00674"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Выделенные заводам для второго горячего питания, по плану реализации II квартала т.г. на апрель и май месяцы фонды мяса и жиров использовать в мае и июне месяцах. </w:t>
      </w:r>
    </w:p>
    <w:p w14:paraId="00F45DB2" w14:textId="77777777" w:rsidR="00E51D7B" w:rsidRPr="008127F8" w:rsidRDefault="00E51D7B"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Народного Комиссара Танковой Промышленности СССР (18944).</w:t>
      </w:r>
    </w:p>
    <w:p w14:paraId="39BB2911" w14:textId="77777777" w:rsidR="00E51D7B" w:rsidRPr="008127F8" w:rsidRDefault="00E51D7B" w:rsidP="001E0A84">
      <w:pPr>
        <w:spacing w:after="0" w:line="240" w:lineRule="auto"/>
        <w:jc w:val="both"/>
        <w:rPr>
          <w:rFonts w:ascii="Times New Roman" w:hAnsi="Times New Roman"/>
          <w:color w:val="000000" w:themeColor="text1"/>
          <w:sz w:val="16"/>
          <w:szCs w:val="16"/>
        </w:rPr>
      </w:pPr>
    </w:p>
    <w:p w14:paraId="5C233BE1"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апреля в 1942 году в рамках программы по оснащению отечественных кораблей радиолокационной техникой приказом народного комиссара судостроительной промышленности в Москве был образован завод номер 703. Первой задачей, решенной его коллективом, стало создание РЛС метрового диапазона волн для обнаружения самолетов и наводводных кораблей. Сейчас завод является ведущим предприятием России по разработке и производству корабельных радиолокационных средств обнаружения и целеуказания. Кроме того, предприятие выпускало системы управления зенитным оружием, крылатыми ракетами и аппаратуру для космических исследований. За полувековую историю завод несколько раз менял наименование. В настоящее время он носит официальное </w:t>
      </w:r>
      <w:r w:rsidRPr="008127F8">
        <w:rPr>
          <w:rFonts w:ascii="Times New Roman" w:hAnsi="Times New Roman"/>
          <w:color w:val="000000" w:themeColor="text1"/>
          <w:sz w:val="16"/>
          <w:szCs w:val="16"/>
        </w:rPr>
        <w:lastRenderedPageBreak/>
        <w:t>наименование - Государственное унитарное предприятие "Государственный московский завод "Салют". За эти годы на нем было изготовлено около полутора тысяч корабельных радиолокационных систем различного тактического назначения, которыми вооружены почти все надводные корабли Военно-Морского флота. Достижения коллектива ГМЗ "Салют" отмечены орденами Трудового Красного Знамени и Октябрьской революции. Несколько разработок, в которых принимали участие сотрудники завода, были удостоены Ленинской и Государственной премий (15110).</w:t>
      </w:r>
    </w:p>
    <w:p w14:paraId="4EBD0FB6"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4610A55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1640 Об обеспечении зенитными пулеметными установками барж и буксиров Наркомречфлота на Ладожском озере. (7004, 110).</w:t>
      </w:r>
    </w:p>
    <w:p w14:paraId="07A2D2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противовоздушной обороны барж и буксиров, работающих на перевозке грузов по Ладожскому озеру, Государственный Комитет Обороны постановляет:</w:t>
      </w:r>
    </w:p>
    <w:p w14:paraId="0C8527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Наркомсудпром т. Носенко изготовить на заводе № 340—109 штук тумбовых зенитных установок комплектно с 12,7-мм пулеметами «ДШК» и сдать их НКВМФ в следующие сроки: в апреле месяце 1942 г. — 30 штук (сверх плана, установленного постановлением Государственного Комитета Обороны № 1532сс от 3 апреля 1942 г. на апрель месяц); в мае месяце — 59 шт.; в июне месяце — 20 шт.</w:t>
      </w:r>
    </w:p>
    <w:p w14:paraId="6B4744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Наркомчермет в 5-дневный срок отгрузить с завода «Серп и Молот» заводу № 340 Наркомсудпрома 2 тонны 8 мм пружинной проволоки в счет заказа Наркомсудпрома N 6024—78 от 1 апреля 1942 г.</w:t>
      </w:r>
    </w:p>
    <w:p w14:paraId="280AF9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Наркомвооружения т. Устинова и директора завода № 525 т. Руднева изготовить на заводе № 525 — 109 шт. 12,7 мм пулеметов обр. 1938 г. «ДШК» (без станка) и сдать их в НКВМФ в следующие сроки: в апреле месяце 1942 г. — 30 шт. (сверх плана, установленного постановлением Государственного Комитета Обороны N 1532сс от 3 апреля 1942 г. на апрель месяц); в мае месяце — 59 шт.; в июне месяце — 20 шт.</w:t>
      </w:r>
    </w:p>
    <w:p w14:paraId="4803F5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w:t>
      </w:r>
    </w:p>
    <w:p w14:paraId="5AFD5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Комитета Обороны И. СТАЛИН</w:t>
      </w:r>
    </w:p>
    <w:p w14:paraId="442654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Берия, Кузнецову (НКВМФ),</w:t>
      </w:r>
    </w:p>
    <w:p w14:paraId="0D8AD4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Устинову, Носенко, Шашкову, Сабурову, Вознесенскому,</w:t>
      </w:r>
    </w:p>
    <w:p w14:paraId="22193E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Чадаеву — все, Тевосяну — 2, Рудневу — 3.</w:t>
      </w:r>
    </w:p>
    <w:p w14:paraId="3D8A4E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РГАСПИ. Ф. 644. Оп. 1. Д. 31. Л. 110 (12013).</w:t>
      </w:r>
    </w:p>
    <w:p w14:paraId="7DFF027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F6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1641 О мероприятиях по строительству завода № 8. РГАНИР, Фонд ГКО, д. 31, лл. 111-112, 113-116 (11012).</w:t>
      </w:r>
    </w:p>
    <w:p w14:paraId="5A3CC3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520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1642 О производстве и поставке деталей для изготовления радиоэлектронного оборудования. РГАНИР, Фонд ГКО, д. 31, лл. 117, 118-121 (11012).</w:t>
      </w:r>
    </w:p>
    <w:p w14:paraId="59376F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308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1643 О графике аварийных ограничений по системе Уралэнерго. РГАНИР, Фонд ГКО, д. 31, лл. 122-123, 124-125 (11012).</w:t>
      </w:r>
    </w:p>
    <w:p w14:paraId="5B327D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EC8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1644 О мероприятиях по обеспечению во II квартале 1942 г. производства танков и самолетов комплектующими электрооборудованием и поставок средств связи для Красной Армии. РГАНИР, Фонд ГКО, д. 31, лл. 126-132, 133-151 (11012).</w:t>
      </w:r>
    </w:p>
    <w:p w14:paraId="4129E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A4A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1645 О возврате на завод № 12 эвакуированного оборудования по снаряжению боеприпасов. РГАНИР, Фонд ГКО, д. 31, лл. 152 (11012).</w:t>
      </w:r>
    </w:p>
    <w:p w14:paraId="5A2AE0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E17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1646 Об организации патронного завода в г.Кунцево. РГАНИР, Фонд ГКО, д. 31, лл. 153, 154 (11012).</w:t>
      </w:r>
    </w:p>
    <w:p w14:paraId="63E4B1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7B4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1651 О производстве во II квартале 1942 г. боевых и дегазационныз химических машин и приборов для НКО, НКВМФ и НКВД СССР. РГАНИР, Фонд ГКО, д. 31, лл. 169-173, 174-180 (11012).</w:t>
      </w:r>
    </w:p>
    <w:p w14:paraId="0C24E7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1220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1652 О строительстве подводного 4-дюймового бензинопровода станция Мыс Кореджи - станция Ладожское озеро (Ленинград). (7004, 181-183,184).</w:t>
      </w:r>
    </w:p>
    <w:p w14:paraId="1DE2EDE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CCEF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начало ремонтных работ на крейсере "Киров", поврежденном во время бомбежки. Ремонт проводился Балтийским заводом при участии команды; закончен досрочно через два месяца (10671).</w:t>
      </w:r>
    </w:p>
    <w:p w14:paraId="4218C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7F20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7DDAB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6767A"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в 1942 году утреннее сообщение Совинформбюро:</w:t>
      </w:r>
    </w:p>
    <w:p w14:paraId="7ECC0D91"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25 апреля на фронте чего-либо существенного не произошло.</w:t>
      </w:r>
    </w:p>
    <w:p w14:paraId="75317F6A"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при поддержке авиации и огнемётов неоднократно пытался атаковать позиции нашей стрелковой части. Огнём артиллерии и пехотного оружия гитлеровцы были отбиты с большими для них потерями.</w:t>
      </w:r>
    </w:p>
    <w:p w14:paraId="06F1FC93"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артиллерийская часть под командованием тов. Гришина (Калининский фронт) метким огнём отразила контратаку немцев. На поле боя осталось свыше 200 убитых вражеских солдат и офицеров. Уничтожены один немецкий танк, миномётная батарея и 3 станковых пулемёта.</w:t>
      </w:r>
    </w:p>
    <w:p w14:paraId="0C7338A5"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 капитан Слюсаренко выполнял боевое задание. В это время на него набросилось несколько немецких истребителей. Советский лётчик смело бросился на врага и меткой очередью сбил один истребитель противника.</w:t>
      </w:r>
    </w:p>
    <w:p w14:paraId="3B50CFFC"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Старшина Н.Н.Масягин огнём из винтовки сбил немецкий транспортный самолёт. Весь экипаж немецкого самолёта погиб.</w:t>
      </w:r>
    </w:p>
    <w:p w14:paraId="2647B94F"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борется с немецко-фашистскими захватчиками партизанский отряд тов. Р., действующий в одном из районов Белоруссии. Партизанам стало известно, что гитлеровцы организовали в селении К. склад продовольствия, которое они награбили у крестьян. Ночью отряд без единого выстрела уничтожил охрану склада, а продовольствие отдал колхозникам. Гитлеровцы послали против отряда тов. Р. карательную экспедицию. Партизаны были своевременно предупреждены о грозящейопасности. Объединившись с другими партизанскими отрядами, советские патриоты неожиданно напали на оккупантов. На поле боя осталось 65 убитых и 169 раненых гитлеровцев. Партизаны захватили трофеи.</w:t>
      </w:r>
    </w:p>
    <w:p w14:paraId="289CDF79"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3 роты 337 полка 208 немецкой пехотной дивизии Пауль Габель сообщил: «Наша рота прибыла на фронт из Франции в январе и насчитывала 178 человек. В марте и в начале апреля она получила пополнение в количестве 32 человек. Теперь в роте осталось всего лишь 40 солдат. Солдатами владеет страх, они видят, что на каждом шагу их ждёт смерть. Теперь офицеры уже не спрашивают, есть ли желающие пойти в разведку, потому что добровольцев нет. Наоборот, все уклоняются от опасных заданий. Во время боя за деревню С. наша рота бросила свои позиции и побежала. Только после того, как командир роты дал очередь из автомата по своим солдатам, они остановились и залегли. Но никакая сила не могла их заставить идти снова в атаку».</w:t>
      </w:r>
    </w:p>
    <w:p w14:paraId="2535DB48"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Маркарда найдено письмо к жене в Берлин. В письме говорится: «...Поверь мне, что хуже, чем нам здесь, нигде не бывает и не может быть... Долго так продолжаться не может. Говорят, что через несколько недель начнётся наступление. Мы все хотим, чтобы оно состоялось без нашего участия...».</w:t>
      </w:r>
    </w:p>
    <w:p w14:paraId="1E2A2716"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Итальянцы, работающие на машиностроительном заводе в районе Дрездена (Германия), в связи с тем, что истёк срок договора, потребовали расчёта и отправки на родину. Администрация завода предложила им продлить договор ещё на один год. Итальянцы отказались заключать новый договор и демонстративно прекратили работу. Вызванный отряд гестаповцев произвёл многочисленные аресты. Семь итальянских рабочих расстреляны на заводском дворе.».</w:t>
      </w:r>
    </w:p>
    <w:p w14:paraId="522A26DF"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вечернее сообщение Совинформбюро:</w:t>
      </w:r>
    </w:p>
    <w:p w14:paraId="36221579"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25 апреля на фронте чего-либо существенного не произошло.</w:t>
      </w:r>
    </w:p>
    <w:p w14:paraId="549EA257"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апреля сбито в воздушных боях и уничтожено на аэродромах 68 немецких самолётов. Наши потери — 10 самолётов.</w:t>
      </w:r>
    </w:p>
    <w:p w14:paraId="64C6C636"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 кораблём в Баренцевом море потоплен пароход противника водоизмещением в 12.000 тонн.</w:t>
      </w:r>
    </w:p>
    <w:p w14:paraId="38AEE0F5"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апреля частями нашей авиации уничтожено или повреждено 48 немецких автомашин с войсками и грузами, 14 полевых и зенитных орудий, 8 миномётов, 3 зенитно-пулемётные точки и взорван склад с боеприпасами противника.</w:t>
      </w:r>
    </w:p>
    <w:p w14:paraId="27F8DA97"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Противник силой до двух батальонов пехоты, при поддержке трёх танков и двух бронемашин, предпринял контратаку на одном из участков Юго-Западного фронта. Подпустив гитлеровцев на близкое расстояние, бойцы части, которой командует </w:t>
      </w:r>
      <w:proofErr w:type="gramStart"/>
      <w:r w:rsidRPr="008127F8">
        <w:rPr>
          <w:rFonts w:ascii="Times New Roman" w:hAnsi="Times New Roman"/>
          <w:color w:val="000000" w:themeColor="text1"/>
          <w:sz w:val="16"/>
          <w:szCs w:val="16"/>
        </w:rPr>
        <w:t>тов.Песочин</w:t>
      </w:r>
      <w:proofErr w:type="gramEnd"/>
      <w:r w:rsidRPr="008127F8">
        <w:rPr>
          <w:rFonts w:ascii="Times New Roman" w:hAnsi="Times New Roman"/>
          <w:color w:val="000000" w:themeColor="text1"/>
          <w:sz w:val="16"/>
          <w:szCs w:val="16"/>
        </w:rPr>
        <w:t>, решительным ударом опрокинули противника. На поле боя остался подбитый немецкий танк, бронемашина и свыше 300 вражеских трупов. В этом бою особенно отличились миномётчик тов. Бурьяненко, пулемётчик тов. Кораблия и сержант тов. Ихаев.</w:t>
      </w:r>
    </w:p>
    <w:p w14:paraId="10E6A68E"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Наши бойцы, действующие на одном из участков Калининского фронта, выбили противника из населённого пункта Д. и захватили 3 немецких орудия, 17 автомашини другие трофеи. Взяты пленные.</w:t>
      </w:r>
    </w:p>
    <w:p w14:paraId="7B9044F0"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разведчиков пробралась в глубокий тыл врага и минировала железнодорожное полотно. Следовавший на этом участке немецкий воинский эшелон взорвался на минах и потерпел крушение. Паровоз и 7 вагонов полностью разбиты.</w:t>
      </w:r>
    </w:p>
    <w:p w14:paraId="68B1A398"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рукопашной схватки с врагом сержант Пинченко заметил, что немцы пытаются захватить в плен раненого командира взвода. Пинченко немедленно бросился на выручку своего командира и оказался один против 11 гитлеровцев. Отважный сержант не растерялся. Он бросил в немцев несколько гранат. Шесть гитлеровцев было убито, остальные разбежались. Тов. Пинчетко благополучно вынесс поля боя своего командира.</w:t>
      </w:r>
    </w:p>
    <w:p w14:paraId="01DDFA87"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Получены сообщения о партизанском отряде Юлия Минулеску, действующем на территории Румынии. В конце марта румынские патриоты организовали крушение воинского состава гитлеровцев. Под обломками погибло свыше 70 солдат и офицеров и уничтожено 12 зенитных орудий. 2 апреля отряд взорвал железнодорожный состав с горючим. Среди бойцов партизанского отряда Юлия Минулеску есть бывшие солдаты румынской армии, знающие подрывное дело.</w:t>
      </w:r>
    </w:p>
    <w:p w14:paraId="3BE0CDA2"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числе захваченных нашими частями документов штаба 18 немецкой армии обнаружены «Особые распоряжения по армии» за № 43. Штаб с тревогой отмечает следующее: «В тыловых лазаретах и на пунктах сбора раненых армии в последнее время появляется всё большее количество солдат с незначительными заболеваниями (незначительные опухоли, небольшие ссадины и т. п.). Эти солдаты вполне могли оставаться в строю. Возникает впечатление, что солдаты, симулируя заболевания или по меньшей мере преувеличивая их, добились отправки в тыл. Солдат, которые пытаются таким путём освободиться хотя бы на время от участия в боях, следует предавать военному суду».</w:t>
      </w:r>
    </w:p>
    <w:p w14:paraId="3A3D895C"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штаб 18 немецкой армии признаёт, что немецкие солдаты осаждают лазареты и рвутся в тыл. Одни прикидываются больными, другие наносят себе увечья, третьи под разными предлогами покидают свои части и шатаются в тылу. Шумиха гитлеровских борзописцев о весеннем наступлении вызывает у солдат одно желание — всеми силами и с помощью самых различных ухищрений увильнуть от участия в боях.</w:t>
      </w:r>
    </w:p>
    <w:p w14:paraId="65CB602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Эрих Темрецки писал недавно Тилли Крафт: «...Ты пишешь, что Карл из Дауэрнгейма убит. У нас погибших так много, что даже невозможно всех перечислить. Генрих, который жил у Герстенов, тоже убит. Теперьостались только мы с Гербертом. Скоро настанет и наш черёд. Удрал бы без оглядки...».</w:t>
      </w:r>
    </w:p>
    <w:p w14:paraId="463531FB" w14:textId="77777777" w:rsidR="00DE2728" w:rsidRPr="008127F8" w:rsidRDefault="00DE272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городе Нюрнберге (Германия) домовладельцы выселили сотни семей немецких солдат, которые не могли уплатить за квартиру. Толпа возмущённых женщин в одном из районов города устроила демонстрацию. Женщины избили нескольких домовладельцев. Прибывшие гестаповцы оцепили весь район и произвели многочисленные аресты. На улицах города патрулируют усиленные полицейские наряды.» (15110).</w:t>
      </w:r>
    </w:p>
    <w:p w14:paraId="01CB344B" w14:textId="77777777" w:rsidR="00DE2728" w:rsidRPr="008127F8" w:rsidRDefault="00DE2728" w:rsidP="001E0A84">
      <w:pPr>
        <w:spacing w:after="0" w:line="240" w:lineRule="auto"/>
        <w:jc w:val="both"/>
        <w:rPr>
          <w:rFonts w:ascii="Times New Roman" w:hAnsi="Times New Roman"/>
          <w:color w:val="000000" w:themeColor="text1"/>
          <w:sz w:val="16"/>
          <w:szCs w:val="16"/>
        </w:rPr>
      </w:pPr>
    </w:p>
    <w:p w14:paraId="6BA1C702" w14:textId="77777777" w:rsidR="009F1C32" w:rsidRPr="008127F8" w:rsidRDefault="009F1C32" w:rsidP="001E0A84">
      <w:pPr>
        <w:pStyle w:val="book"/>
        <w:ind w:firstLine="0"/>
        <w:jc w:val="both"/>
        <w:rPr>
          <w:color w:val="000000" w:themeColor="text1"/>
          <w:sz w:val="16"/>
          <w:szCs w:val="16"/>
        </w:rPr>
      </w:pPr>
      <w:r w:rsidRPr="008127F8">
        <w:rPr>
          <w:color w:val="000000" w:themeColor="text1"/>
          <w:sz w:val="16"/>
          <w:szCs w:val="16"/>
        </w:rPr>
        <w:t>25 апреля 1942 г. эшелоны с разобранной артустановкой скрытно прибыли на полустанок Ташлых-Даир (ныне село Янтарное Красногвардейского района) в 30 км южнее железнодорожного узла Джанкой, где были тщательно замаскированы штатными средствами. Позиция для «Доры» была выбрана в 25 км от расположения предполагавшихся к обстрелу целей в границах СОРа (в основном на Северной стороне) и в 2 км к югу от железнодорожной станции Бахчисарай. Стрельба по Севастополю велась с 5 по 17 июня 1942 г., всего сделано 48 выстрелов (15225).</w:t>
      </w:r>
    </w:p>
    <w:p w14:paraId="385C868C" w14:textId="77777777" w:rsidR="009F1C32" w:rsidRPr="008127F8" w:rsidRDefault="009F1C32" w:rsidP="001E0A84">
      <w:pPr>
        <w:pStyle w:val="book"/>
        <w:ind w:firstLine="0"/>
        <w:jc w:val="both"/>
        <w:rPr>
          <w:color w:val="000000" w:themeColor="text1"/>
          <w:sz w:val="16"/>
          <w:szCs w:val="16"/>
        </w:rPr>
      </w:pPr>
    </w:p>
    <w:p w14:paraId="50A28C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г. вышел ПРИКАЗ НКО № 0324 О РЕОРГАНИЗАЦИИ ГЕНЕРАЛЬНОГО ШТАБА КРАСНОЙ АРМИИ</w:t>
      </w:r>
    </w:p>
    <w:p w14:paraId="06E70E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более планомерной организации работы Генерального штаба Красной Армии приказываю:</w:t>
      </w:r>
    </w:p>
    <w:p w14:paraId="692070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Генеральный штаб Красной Армии иметь в составе:</w:t>
      </w:r>
    </w:p>
    <w:p w14:paraId="1C8E1A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Оперативного управления,</w:t>
      </w:r>
    </w:p>
    <w:p w14:paraId="12A108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Главного разведывательного управления,</w:t>
      </w:r>
    </w:p>
    <w:p w14:paraId="46C956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Организационного управления,</w:t>
      </w:r>
    </w:p>
    <w:p w14:paraId="3518CF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Управления устройства оперативного тыла,</w:t>
      </w:r>
    </w:p>
    <w:p w14:paraId="13D13F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Управления укрепленных районов,</w:t>
      </w:r>
    </w:p>
    <w:p w14:paraId="5D7A19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Шифровального управления,</w:t>
      </w:r>
    </w:p>
    <w:p w14:paraId="303211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Военно-топографического управления,</w:t>
      </w:r>
    </w:p>
    <w:p w14:paraId="0BE89E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Отдела по оперативным перевозкам,</w:t>
      </w:r>
    </w:p>
    <w:p w14:paraId="760356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Отдела по использованию опыта войны,</w:t>
      </w:r>
    </w:p>
    <w:p w14:paraId="790EAC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Военно-исторического отдела,</w:t>
      </w:r>
    </w:p>
    <w:p w14:paraId="42F60F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Отдела кадров,</w:t>
      </w:r>
    </w:p>
    <w:p w14:paraId="74C03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Общего отдела,</w:t>
      </w:r>
    </w:p>
    <w:p w14:paraId="0C9897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 Группы офицеров Генерального штаба Красной Армии (из расчета: по 2 человека на корпус, по 3 человека на армию и по 3 человека на фронт).</w:t>
      </w:r>
    </w:p>
    <w:p w14:paraId="55049A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Для реорганизации Генерального штаба в соответствии с пунктом 1-м настоящего приказа выделить из состава Оперативного управления:</w:t>
      </w:r>
    </w:p>
    <w:p w14:paraId="2CAA99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Организационно-учетный отдел, реорганизовав его в Организационное управление Генерального штаба Красной Армии;</w:t>
      </w:r>
    </w:p>
    <w:p w14:paraId="27D446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Отдел оперативной подготовки, реорганизовав его в самостоятельный отдел Генерального штаба по использованию опыта войны;</w:t>
      </w:r>
    </w:p>
    <w:p w14:paraId="15A71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Отдел оперативных перевозок, реорганизовав его в самостоятельный отдел оперативных перевозок Генерального штаба Красной Армии.</w:t>
      </w:r>
    </w:p>
    <w:p w14:paraId="4668D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Расформировать авто бронетанковый отдел и отдел связи Оперативного управления, передав их функции и личный состав соответственно в Организационное управление и в отдел по использованию опыта войны.</w:t>
      </w:r>
    </w:p>
    <w:p w14:paraId="4061C3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Возложить:</w:t>
      </w:r>
    </w:p>
    <w:p w14:paraId="01981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Организационное управление Генерального штаба Красной Армии разработку организационных директив Генерального штаба, связанных с подготовкой и проведением операций, контроль за выполнением этих директив и учет войсковых организмов на фронтах;</w:t>
      </w:r>
    </w:p>
    <w:p w14:paraId="4204D2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отдел Генерального штаба Красной Армии по использованию опыта войны: изучение и обобщение опыта войны, разработка общевойсковых наставлений и инструкций по ведению боя и операций, разработка директивных указаний главным и центральным управлениям НКО по использованию опыта войны;</w:t>
      </w:r>
    </w:p>
    <w:p w14:paraId="4E0D31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 отдел оперативных перевозок Генерального штаба Красной Армии: контроль за проведением оперативных перевозок, участие в планировании оперативных перевозок, составление распоряжений и заявок по оперативным перевозкам.</w:t>
      </w:r>
    </w:p>
    <w:p w14:paraId="6B35A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Освободить заместителя начальника Генерального штаба Красной Амии генерал-лейтенанта тов. Василевского от исполнения обязанностей начальника Оперативного управления Генерального штаба, оставив его первым заместителем начальника Генерального штаба Красной Армии.</w:t>
      </w:r>
    </w:p>
    <w:p w14:paraId="0594DC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Назначить:</w:t>
      </w:r>
    </w:p>
    <w:p w14:paraId="3ADEB4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Второго заместителя начальника Генерального штаба Красной Армии генерал-лейтенанта тов. Бодина П. И. — начальником Оперативного управления Генерального штаба Красной Армии, по совместительству;</w:t>
      </w:r>
    </w:p>
    <w:p w14:paraId="0CD13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начальником Организационного управления Генерального штаба Красной Армии генерал-майора тов. Карпоносова А. Г., освободив его от должности заместителя начальника Оперативного управления Генерального штаба Красной Армии.</w:t>
      </w:r>
    </w:p>
    <w:p w14:paraId="526E73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Начальнику Генерального штаба Красной Армии внести соответствующие изменения в существующие штаты Генерального штаба Красной </w:t>
      </w:r>
      <w:proofErr w:type="gramStart"/>
      <w:r w:rsidRPr="008127F8">
        <w:rPr>
          <w:rFonts w:ascii="Times New Roman" w:hAnsi="Times New Roman"/>
          <w:color w:val="000000" w:themeColor="text1"/>
          <w:sz w:val="16"/>
          <w:szCs w:val="16"/>
        </w:rPr>
        <w:t>Армии.*</w:t>
      </w:r>
      <w:proofErr w:type="gramEnd"/>
    </w:p>
    <w:p w14:paraId="72642C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И. СТАЛИН </w:t>
      </w:r>
      <w:r w:rsidRPr="008127F8">
        <w:rPr>
          <w:rFonts w:ascii="Times New Roman" w:hAnsi="Times New Roman"/>
          <w:color w:val="000000" w:themeColor="text1"/>
          <w:sz w:val="16"/>
          <w:szCs w:val="16"/>
        </w:rPr>
        <w:t>(9844).</w:t>
      </w:r>
    </w:p>
    <w:p w14:paraId="07FD3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10D1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1649 О частичном сокращении норм выдачи овощей и картофеля по всем ВО и фронтам. РГАНИР, Фонд ГКО, д. 31, лл. 159 (11012).</w:t>
      </w:r>
    </w:p>
    <w:p w14:paraId="354D21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CB44B"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B9DA2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1694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1647 О восстановлении производства швейных машин и малолитражных двигателей [в Кокчетаве и Петропавловске Казахской ССР.] (7004, 155-156,157).</w:t>
      </w:r>
    </w:p>
    <w:p w14:paraId="5910F04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DEC8A" w14:textId="77777777" w:rsidR="009F1C32" w:rsidRPr="008127F8" w:rsidRDefault="009F1C3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в 1942 году основан Московский монетный двор (с 1995 года входит в состав объединения "Гознак") (15110).</w:t>
      </w:r>
    </w:p>
    <w:p w14:paraId="51C85ECC" w14:textId="77777777" w:rsidR="009F1C32" w:rsidRPr="008127F8" w:rsidRDefault="009F1C32" w:rsidP="001E0A84">
      <w:pPr>
        <w:spacing w:after="0" w:line="240" w:lineRule="auto"/>
        <w:jc w:val="both"/>
        <w:rPr>
          <w:rFonts w:ascii="Times New Roman" w:hAnsi="Times New Roman"/>
          <w:color w:val="000000" w:themeColor="text1"/>
          <w:sz w:val="16"/>
          <w:szCs w:val="16"/>
        </w:rPr>
      </w:pPr>
    </w:p>
    <w:p w14:paraId="0EE98AE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3082B5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AA9F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1648 [О назначении Королева А.Н. начальником Советского транспортного управления в Иране.] (7004, 158).</w:t>
      </w:r>
    </w:p>
    <w:p w14:paraId="14067A4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8E266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вышло Постановление ГКО № 1650 О транспортных вопросах в Иране. (7004, 160-163,164-168).</w:t>
      </w:r>
    </w:p>
    <w:p w14:paraId="0363F5C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D82A7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BE1A4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3354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наследница английского престола (нынешняя королева) Елизавета провела день на призывном участке, регистрируя добровольцев на фронт (4962).</w:t>
      </w:r>
    </w:p>
    <w:p w14:paraId="50CECBB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A01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был единственный раз, когда наряд сил немецких машин, посланных на бомбардировку городов Англии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05D3D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0D3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25 1942 Carriers Hornet and Enterprise return to Pearl Harbor (1242).</w:t>
      </w:r>
    </w:p>
    <w:p w14:paraId="13FAAC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BF1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Хорнет и Энтерпрайз вернулись в Перл Харбор (1242).</w:t>
      </w:r>
    </w:p>
    <w:p w14:paraId="4860D1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AE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американские войска высадились на о Новая Каледония (3186).</w:t>
      </w:r>
    </w:p>
    <w:p w14:paraId="65662B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91C8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апреля 1942 американские войска высадились в Новой Каледонии (4962).</w:t>
      </w:r>
    </w:p>
    <w:p w14:paraId="41B7135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EF82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733E0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3060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1658 О производстве самолетов Ил-2 на заводе № 381 с моторами АМ-38. РГАНИР, Фонд ГКО, д. 32, лл. 12 (11012).</w:t>
      </w:r>
    </w:p>
    <w:p w14:paraId="76E2E0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64EB6" w14:textId="77777777" w:rsidR="00435DE9" w:rsidRPr="008127F8" w:rsidRDefault="00435D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1658 О производстве самолетов Ил-2 на заводе № 381 с моторами АМ-38</w:t>
      </w:r>
    </w:p>
    <w:p w14:paraId="6AC690EE" w14:textId="77777777" w:rsidR="00435DE9" w:rsidRPr="008127F8" w:rsidRDefault="00435DE9"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Batang" w:hAnsi="Times New Roman"/>
          <w:color w:val="000000" w:themeColor="text1"/>
          <w:sz w:val="16"/>
          <w:szCs w:val="16"/>
          <w:lang w:eastAsia="ru-RU"/>
        </w:rPr>
        <w:t xml:space="preserve">В отмену постановлений Государственного Комитета Обороны от 28 марта 1942г. № ГОКД-1502сс и от 1 апреля </w:t>
      </w:r>
      <w:r w:rsidRPr="008127F8">
        <w:rPr>
          <w:rFonts w:ascii="Times New Roman" w:eastAsia="Batang" w:hAnsi="Times New Roman"/>
          <w:color w:val="000000" w:themeColor="text1"/>
          <w:sz w:val="16"/>
          <w:szCs w:val="16"/>
        </w:rPr>
        <w:t xml:space="preserve">1942 </w:t>
      </w:r>
      <w:r w:rsidRPr="008127F8">
        <w:rPr>
          <w:rFonts w:ascii="Times New Roman" w:eastAsia="Batang" w:hAnsi="Times New Roman"/>
          <w:color w:val="000000" w:themeColor="text1"/>
          <w:sz w:val="16"/>
          <w:szCs w:val="16"/>
          <w:lang w:val="en-US"/>
        </w:rPr>
        <w:t>r</w:t>
      </w:r>
      <w:r w:rsidRPr="008127F8">
        <w:rPr>
          <w:rFonts w:ascii="Times New Roman" w:eastAsia="Batang" w:hAnsi="Times New Roman"/>
          <w:color w:val="000000" w:themeColor="text1"/>
          <w:sz w:val="16"/>
          <w:szCs w:val="16"/>
        </w:rPr>
        <w:t xml:space="preserve">. </w:t>
      </w:r>
      <w:r w:rsidRPr="008127F8">
        <w:rPr>
          <w:rFonts w:ascii="Times New Roman" w:eastAsia="Batang" w:hAnsi="Times New Roman"/>
          <w:color w:val="000000" w:themeColor="text1"/>
          <w:sz w:val="16"/>
          <w:szCs w:val="16"/>
          <w:lang w:eastAsia="ru-RU"/>
        </w:rPr>
        <w:t>№ ГОКО-1522сс о производстве на эаводе № 381 са</w:t>
      </w:r>
      <w:r w:rsidRPr="008127F8">
        <w:rPr>
          <w:rFonts w:ascii="Times New Roman" w:eastAsia="Batang" w:hAnsi="Times New Roman"/>
          <w:color w:val="000000" w:themeColor="text1"/>
          <w:sz w:val="16"/>
          <w:szCs w:val="16"/>
          <w:lang w:eastAsia="ru-RU"/>
        </w:rPr>
        <w:softHyphen/>
        <w:t>молетов Ил-2 с моторами М-82 Государственный Комитет Обо</w:t>
      </w:r>
      <w:r w:rsidRPr="008127F8">
        <w:rPr>
          <w:rFonts w:ascii="Times New Roman" w:eastAsia="Batang" w:hAnsi="Times New Roman"/>
          <w:color w:val="000000" w:themeColor="text1"/>
          <w:sz w:val="16"/>
          <w:szCs w:val="16"/>
          <w:lang w:eastAsia="ru-RU"/>
        </w:rPr>
        <w:softHyphen/>
        <w:t>роны постановляет:</w:t>
      </w:r>
    </w:p>
    <w:p w14:paraId="5EB2DB31" w14:textId="77777777" w:rsidR="00435DE9" w:rsidRPr="008127F8" w:rsidRDefault="00435DE9" w:rsidP="001E0A84">
      <w:pPr>
        <w:spacing w:after="0" w:line="240" w:lineRule="auto"/>
        <w:jc w:val="both"/>
        <w:rPr>
          <w:rFonts w:ascii="Times New Roman" w:hAnsi="Times New Roman"/>
          <w:color w:val="000000" w:themeColor="text1"/>
          <w:sz w:val="16"/>
          <w:szCs w:val="16"/>
        </w:rPr>
      </w:pPr>
      <w:r w:rsidRPr="008127F8">
        <w:rPr>
          <w:rFonts w:ascii="Times New Roman" w:eastAsia="Batang" w:hAnsi="Times New Roman"/>
          <w:color w:val="000000" w:themeColor="text1"/>
          <w:sz w:val="16"/>
          <w:szCs w:val="16"/>
          <w:lang w:eastAsia="ru-RU"/>
        </w:rPr>
        <w:t xml:space="preserve">Обязать Наркомавиапром т.'Лахуоина </w:t>
      </w:r>
      <w:r w:rsidRPr="008127F8">
        <w:rPr>
          <w:rFonts w:ascii="Times New Roman" w:eastAsia="Batang" w:hAnsi="Times New Roman"/>
          <w:color w:val="000000" w:themeColor="text1"/>
          <w:sz w:val="16"/>
          <w:szCs w:val="16"/>
          <w:lang w:val="en-US"/>
        </w:rPr>
        <w:t>A</w:t>
      </w:r>
      <w:r w:rsidRPr="008127F8">
        <w:rPr>
          <w:rFonts w:ascii="Times New Roman" w:eastAsia="Batang" w:hAnsi="Times New Roman"/>
          <w:color w:val="000000" w:themeColor="text1"/>
          <w:sz w:val="16"/>
          <w:szCs w:val="16"/>
        </w:rPr>
        <w:t>.</w:t>
      </w:r>
      <w:r w:rsidRPr="008127F8">
        <w:rPr>
          <w:rFonts w:ascii="Times New Roman" w:eastAsia="Batang" w:hAnsi="Times New Roman"/>
          <w:color w:val="000000" w:themeColor="text1"/>
          <w:sz w:val="16"/>
          <w:szCs w:val="16"/>
          <w:lang w:val="en-US"/>
        </w:rPr>
        <w:t>M</w:t>
      </w:r>
      <w:r w:rsidRPr="008127F8">
        <w:rPr>
          <w:rFonts w:ascii="Times New Roman" w:eastAsia="Batang" w:hAnsi="Times New Roman"/>
          <w:color w:val="000000" w:themeColor="text1"/>
          <w:sz w:val="16"/>
          <w:szCs w:val="16"/>
        </w:rPr>
        <w:t xml:space="preserve">. </w:t>
      </w:r>
      <w:r w:rsidRPr="008127F8">
        <w:rPr>
          <w:rFonts w:ascii="Times New Roman" w:eastAsia="Batang" w:hAnsi="Times New Roman"/>
          <w:color w:val="000000" w:themeColor="text1"/>
          <w:sz w:val="16"/>
          <w:szCs w:val="16"/>
          <w:lang w:eastAsia="ru-RU"/>
        </w:rPr>
        <w:t xml:space="preserve">производить и № 381 самолеты Ил-2 только с моторами АМ-38 </w:t>
      </w:r>
      <w:r w:rsidRPr="008127F8">
        <w:rPr>
          <w:rFonts w:ascii="Times New Roman" w:hAnsi="Times New Roman"/>
          <w:color w:val="000000" w:themeColor="text1"/>
          <w:sz w:val="16"/>
          <w:szCs w:val="16"/>
        </w:rPr>
        <w:t>(19330).</w:t>
      </w:r>
    </w:p>
    <w:p w14:paraId="0E8FD3D3" w14:textId="77777777" w:rsidR="00435DE9" w:rsidRPr="008127F8" w:rsidRDefault="00435DE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E0425" w14:textId="77777777" w:rsidR="004753E1" w:rsidRPr="008127F8" w:rsidRDefault="004753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вышло постановление ГКО № ГОКО-1658сс О производстве самолетоз Ил-2 на заводе № 381 с моторами </w:t>
      </w:r>
      <w:r w:rsidRPr="008127F8">
        <w:rPr>
          <w:rFonts w:ascii="Times New Roman" w:hAnsi="Times New Roman"/>
          <w:color w:val="000000" w:themeColor="text1"/>
          <w:sz w:val="16"/>
          <w:szCs w:val="16"/>
          <w:lang w:val="en-US"/>
        </w:rPr>
        <w:t>AM</w:t>
      </w:r>
      <w:r w:rsidRPr="008127F8">
        <w:rPr>
          <w:rFonts w:ascii="Times New Roman" w:hAnsi="Times New Roman"/>
          <w:color w:val="000000" w:themeColor="text1"/>
          <w:sz w:val="16"/>
          <w:szCs w:val="16"/>
        </w:rPr>
        <w:t>-38.</w:t>
      </w:r>
    </w:p>
    <w:p w14:paraId="1AB1C5A7" w14:textId="77777777" w:rsidR="004753E1" w:rsidRPr="008127F8" w:rsidRDefault="004753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отмену постановлений Государственного Комитета Обороны от 28 марта 1942г. № Г0К0-1502сс и от 1 апреля 1942</w:t>
      </w:r>
      <w:r w:rsidRPr="008127F8">
        <w:rPr>
          <w:rFonts w:ascii="Times New Roman" w:hAnsi="Times New Roman"/>
          <w:color w:val="000000" w:themeColor="text1"/>
          <w:sz w:val="16"/>
          <w:szCs w:val="16"/>
          <w:lang w:val="en-US"/>
        </w:rPr>
        <w:t>r</w:t>
      </w:r>
      <w:r w:rsidRPr="008127F8">
        <w:rPr>
          <w:rFonts w:ascii="Times New Roman" w:hAnsi="Times New Roman"/>
          <w:color w:val="000000" w:themeColor="text1"/>
          <w:sz w:val="16"/>
          <w:szCs w:val="16"/>
        </w:rPr>
        <w:t>. № ГЛК0-1522сс о производстве на зводе № 381 самолетов Ил-2 с моторами М-82 Государственный Комитет Обо</w:t>
      </w:r>
      <w:r w:rsidRPr="008127F8">
        <w:rPr>
          <w:rFonts w:ascii="Times New Roman" w:hAnsi="Times New Roman"/>
          <w:color w:val="000000" w:themeColor="text1"/>
          <w:sz w:val="16"/>
          <w:szCs w:val="16"/>
        </w:rPr>
        <w:softHyphen/>
        <w:t>роны постановляет:</w:t>
      </w:r>
    </w:p>
    <w:p w14:paraId="30F852B6" w14:textId="77777777" w:rsidR="004753E1" w:rsidRPr="008127F8" w:rsidRDefault="004753E1"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Обязать Наркомавиапром т. Шахурина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производить и</w:t>
      </w:r>
      <w:r w:rsidR="00EC6816" w:rsidRPr="008127F8">
        <w:rPr>
          <w:rFonts w:ascii="Times New Roman" w:hAnsi="Times New Roman"/>
          <w:color w:val="000000" w:themeColor="text1"/>
          <w:sz w:val="16"/>
          <w:szCs w:val="16"/>
        </w:rPr>
        <w:t xml:space="preserve"> впредь на заводе</w:t>
      </w:r>
      <w:r w:rsidRPr="008127F8">
        <w:rPr>
          <w:rFonts w:ascii="Times New Roman" w:hAnsi="Times New Roman"/>
          <w:color w:val="000000" w:themeColor="text1"/>
          <w:sz w:val="16"/>
          <w:szCs w:val="16"/>
        </w:rPr>
        <w:t xml:space="preserve"> № 381 самолеты Ил-2 только с моторами АМ-38 (19208).</w:t>
      </w:r>
    </w:p>
    <w:p w14:paraId="4189EF0D" w14:textId="77777777" w:rsidR="004753E1" w:rsidRPr="008127F8" w:rsidRDefault="004753E1"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4A4E1" w14:textId="77777777" w:rsidR="00E359CF" w:rsidRPr="008127F8" w:rsidRDefault="00E359CF" w:rsidP="001E0A84">
      <w:pPr>
        <w:pStyle w:val="a4"/>
        <w:rPr>
          <w:color w:val="000000" w:themeColor="text1"/>
          <w:lang w:val="ru-RU"/>
        </w:rPr>
      </w:pPr>
      <w:r w:rsidRPr="008127F8">
        <w:rPr>
          <w:color w:val="000000" w:themeColor="text1"/>
          <w:lang w:val="ru-RU"/>
        </w:rPr>
        <w:t>26 апреля 1942 г. Постановлением ГКО № 1658 дальнейшие работы по Ил-2 с М-82 на заводе № 381 в Нижнем Тагиле прекратили. Пе</w:t>
      </w:r>
      <w:r w:rsidRPr="008127F8">
        <w:rPr>
          <w:color w:val="000000" w:themeColor="text1"/>
          <w:lang w:val="ru-RU"/>
        </w:rPr>
        <w:softHyphen/>
        <w:t>ределывать в двухместный вариант решили серийный Ил-2 с АМ-38. Таким образом, вне</w:t>
      </w:r>
      <w:r w:rsidRPr="008127F8">
        <w:rPr>
          <w:color w:val="000000" w:themeColor="text1"/>
          <w:lang w:val="ru-RU"/>
        </w:rPr>
        <w:softHyphen/>
        <w:t>дрение мотора М-82 на таком массовом самолёте, как штурмовик, отпало окончательно (15788).</w:t>
      </w:r>
    </w:p>
    <w:p w14:paraId="3E563FCD" w14:textId="77777777" w:rsidR="00E359CF" w:rsidRPr="008127F8" w:rsidRDefault="00E359CF" w:rsidP="001E0A84">
      <w:pPr>
        <w:pStyle w:val="a4"/>
        <w:rPr>
          <w:color w:val="000000" w:themeColor="text1"/>
          <w:lang w:val="ru-RU"/>
        </w:rPr>
      </w:pPr>
    </w:p>
    <w:p w14:paraId="0DDA8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Поста</w:t>
      </w:r>
      <w:r w:rsidRPr="008127F8">
        <w:rPr>
          <w:rFonts w:ascii="Times New Roman" w:hAnsi="Times New Roman"/>
          <w:color w:val="000000" w:themeColor="text1"/>
          <w:sz w:val="16"/>
          <w:szCs w:val="16"/>
        </w:rPr>
        <w:softHyphen/>
        <w:t>новлением ГКО № 1658 дальнейшие работы по Ил-2 М-82ИР были прекращены. С.В.Ильюшину было предложено рассмотреть вопрос о воз</w:t>
      </w:r>
      <w:r w:rsidRPr="008127F8">
        <w:rPr>
          <w:rFonts w:ascii="Times New Roman" w:hAnsi="Times New Roman"/>
          <w:color w:val="000000" w:themeColor="text1"/>
          <w:sz w:val="16"/>
          <w:szCs w:val="16"/>
        </w:rPr>
        <w:softHyphen/>
        <w:t>можности переделки одноместного се</w:t>
      </w:r>
      <w:r w:rsidRPr="008127F8">
        <w:rPr>
          <w:rFonts w:ascii="Times New Roman" w:hAnsi="Times New Roman"/>
          <w:color w:val="000000" w:themeColor="text1"/>
          <w:sz w:val="16"/>
          <w:szCs w:val="16"/>
        </w:rPr>
        <w:softHyphen/>
        <w:t>рийного самолета Ил-2 с мотором АМ-38 в двухместный вариант с задней ог</w:t>
      </w:r>
      <w:r w:rsidRPr="008127F8">
        <w:rPr>
          <w:rFonts w:ascii="Times New Roman" w:hAnsi="Times New Roman"/>
          <w:color w:val="000000" w:themeColor="text1"/>
          <w:sz w:val="16"/>
          <w:szCs w:val="16"/>
        </w:rPr>
        <w:softHyphen/>
        <w:t>невой точкой и внедрения его в серий</w:t>
      </w:r>
      <w:r w:rsidRPr="008127F8">
        <w:rPr>
          <w:rFonts w:ascii="Times New Roman" w:hAnsi="Times New Roman"/>
          <w:color w:val="000000" w:themeColor="text1"/>
          <w:sz w:val="16"/>
          <w:szCs w:val="16"/>
        </w:rPr>
        <w:softHyphen/>
        <w:t>ное производство без остановки завод</w:t>
      </w:r>
      <w:r w:rsidRPr="008127F8">
        <w:rPr>
          <w:rFonts w:ascii="Times New Roman" w:hAnsi="Times New Roman"/>
          <w:color w:val="000000" w:themeColor="text1"/>
          <w:sz w:val="16"/>
          <w:szCs w:val="16"/>
        </w:rPr>
        <w:softHyphen/>
        <w:t>ского конвейера (6467).</w:t>
      </w:r>
    </w:p>
    <w:p w14:paraId="12E717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893E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N 1658сс по отмене производства на заводе 381 самолетов Ил-2 с моторами М-82 и производстве только с моторами АМ-38 (1612,30).</w:t>
      </w:r>
    </w:p>
    <w:p w14:paraId="1A2DFB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чем тут было дело и чем М-82 не угодил - не ясно. М.б. в связи с ла-5 М-82 потребовались для них?</w:t>
      </w:r>
    </w:p>
    <w:p w14:paraId="711CE8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N ГОКО 1659сс о запуске завода 82 в Москве в эксплуатацию с 30 мая для производства Як-7 (1612,19).</w:t>
      </w:r>
    </w:p>
    <w:p w14:paraId="7D07A9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859B6" w14:textId="77777777" w:rsidR="00262847" w:rsidRPr="008127F8" w:rsidRDefault="0026284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г. Постановлением ГКО № 1658 дальнейшие </w:t>
      </w:r>
      <w:proofErr w:type="gramStart"/>
      <w:r w:rsidRPr="008127F8">
        <w:rPr>
          <w:rFonts w:ascii="Times New Roman" w:hAnsi="Times New Roman"/>
          <w:color w:val="000000" w:themeColor="text1"/>
          <w:sz w:val="16"/>
          <w:szCs w:val="16"/>
        </w:rPr>
        <w:t>ра- боты</w:t>
      </w:r>
      <w:proofErr w:type="gramEnd"/>
      <w:r w:rsidRPr="008127F8">
        <w:rPr>
          <w:rFonts w:ascii="Times New Roman" w:hAnsi="Times New Roman"/>
          <w:color w:val="000000" w:themeColor="text1"/>
          <w:sz w:val="16"/>
          <w:szCs w:val="16"/>
        </w:rPr>
        <w:t xml:space="preserve"> по Ил-2 М-82ИР были прекращены. С.В.Ильюшину было предложено рассмотреть вопрос о возможности переделки </w:t>
      </w:r>
      <w:proofErr w:type="gramStart"/>
      <w:r w:rsidRPr="008127F8">
        <w:rPr>
          <w:rFonts w:ascii="Times New Roman" w:hAnsi="Times New Roman"/>
          <w:color w:val="000000" w:themeColor="text1"/>
          <w:sz w:val="16"/>
          <w:szCs w:val="16"/>
        </w:rPr>
        <w:t>одно- местного</w:t>
      </w:r>
      <w:proofErr w:type="gramEnd"/>
      <w:r w:rsidRPr="008127F8">
        <w:rPr>
          <w:rFonts w:ascii="Times New Roman" w:hAnsi="Times New Roman"/>
          <w:color w:val="000000" w:themeColor="text1"/>
          <w:sz w:val="16"/>
          <w:szCs w:val="16"/>
        </w:rPr>
        <w:t xml:space="preserve"> серийного самолета Ил-2 с мотором АМ-38 в двухмест- ный вариант с задней огневой точкой и внедрения его в серий- ное производство без остановки заводского конвейера. История умалчивает, сколько на самом деле было построено </w:t>
      </w:r>
      <w:proofErr w:type="gramStart"/>
      <w:r w:rsidRPr="008127F8">
        <w:rPr>
          <w:rFonts w:ascii="Times New Roman" w:hAnsi="Times New Roman"/>
          <w:color w:val="000000" w:themeColor="text1"/>
          <w:sz w:val="16"/>
          <w:szCs w:val="16"/>
        </w:rPr>
        <w:t>бронирован- ных</w:t>
      </w:r>
      <w:proofErr w:type="gramEnd"/>
      <w:r w:rsidRPr="008127F8">
        <w:rPr>
          <w:rFonts w:ascii="Times New Roman" w:hAnsi="Times New Roman"/>
          <w:color w:val="000000" w:themeColor="text1"/>
          <w:sz w:val="16"/>
          <w:szCs w:val="16"/>
        </w:rPr>
        <w:t xml:space="preserve"> Илов с мотором М-82ИР. Известно лишь то, что к началу мая на 381-м заводе действительно был построен один экземпляр Ил-2 М-82ИР (первый полет планировался 7 мая), но в </w:t>
      </w:r>
      <w:proofErr w:type="gramStart"/>
      <w:r w:rsidRPr="008127F8">
        <w:rPr>
          <w:rFonts w:ascii="Times New Roman" w:hAnsi="Times New Roman"/>
          <w:color w:val="000000" w:themeColor="text1"/>
          <w:sz w:val="16"/>
          <w:szCs w:val="16"/>
        </w:rPr>
        <w:t>одномест- ном</w:t>
      </w:r>
      <w:proofErr w:type="gramEnd"/>
      <w:r w:rsidRPr="008127F8">
        <w:rPr>
          <w:rFonts w:ascii="Times New Roman" w:hAnsi="Times New Roman"/>
          <w:color w:val="000000" w:themeColor="text1"/>
          <w:sz w:val="16"/>
          <w:szCs w:val="16"/>
        </w:rPr>
        <w:t xml:space="preserve"> варианте, вместо двухместного. Почему был осуществлен переход на одноместный вариант, неизвестно. На этой машине емкость бензобаков была доведена до 980 литров и, кроме этого, снизу мотора на капоте были установлены броневые накладки. Заводские испытания одноместный Ил-2 М-82ИР успешно </w:t>
      </w:r>
      <w:proofErr w:type="gramStart"/>
      <w:r w:rsidRPr="008127F8">
        <w:rPr>
          <w:rFonts w:ascii="Times New Roman" w:hAnsi="Times New Roman"/>
          <w:color w:val="000000" w:themeColor="text1"/>
          <w:sz w:val="16"/>
          <w:szCs w:val="16"/>
        </w:rPr>
        <w:t>про- шел</w:t>
      </w:r>
      <w:proofErr w:type="gramEnd"/>
      <w:r w:rsidRPr="008127F8">
        <w:rPr>
          <w:rFonts w:ascii="Times New Roman" w:hAnsi="Times New Roman"/>
          <w:color w:val="000000" w:themeColor="text1"/>
          <w:sz w:val="16"/>
          <w:szCs w:val="16"/>
        </w:rPr>
        <w:t xml:space="preserve"> к середине августа 1942 года (отчет по испытаниям утверж- ден 18.08.42 г.), однако на государственные испытания штурмо- вик не передавался и в дальнейшем все работы по нему были прекращены (19535).</w:t>
      </w:r>
    </w:p>
    <w:p w14:paraId="1D6653B1" w14:textId="77777777" w:rsidR="00262847" w:rsidRPr="008127F8" w:rsidRDefault="00262847" w:rsidP="001E0A84">
      <w:pPr>
        <w:spacing w:after="0" w:line="240" w:lineRule="auto"/>
        <w:jc w:val="both"/>
        <w:rPr>
          <w:rFonts w:ascii="Times New Roman" w:hAnsi="Times New Roman"/>
          <w:color w:val="000000" w:themeColor="text1"/>
          <w:sz w:val="16"/>
          <w:szCs w:val="16"/>
        </w:rPr>
      </w:pPr>
    </w:p>
    <w:p w14:paraId="79A56618" w14:textId="77777777" w:rsidR="00262847" w:rsidRPr="008127F8" w:rsidRDefault="0026284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26 апреля 1942 Постановлением ГКО от отменялись ранее принятые постанов</w:t>
      </w:r>
      <w:r w:rsidRPr="008127F8">
        <w:rPr>
          <w:rFonts w:ascii="Times New Roman" w:hAnsi="Times New Roman" w:cs="Times New Roman"/>
          <w:color w:val="000000" w:themeColor="text1"/>
          <w:sz w:val="16"/>
          <w:szCs w:val="16"/>
        </w:rPr>
        <w:softHyphen/>
        <w:t>ления о производстве на заводе № 381 самолетов Ил-2 М-82. Наркомат авиационной промышленности («тов. Шахурин А.И.») обязывался «производить на заводе № 381 самолеты Ил-2 только с моторами АМ-38».</w:t>
      </w:r>
    </w:p>
    <w:p w14:paraId="594A9AC8" w14:textId="77777777" w:rsidR="00262847" w:rsidRPr="008127F8" w:rsidRDefault="0026284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Одновременно отложили постройку войсковой серии Су-6 М-71. Формально, из-за трудностей с выделением завода (собственно, как и других производствен</w:t>
      </w:r>
      <w:r w:rsidRPr="008127F8">
        <w:rPr>
          <w:rFonts w:ascii="Times New Roman" w:hAnsi="Times New Roman" w:cs="Times New Roman"/>
          <w:color w:val="000000" w:themeColor="text1"/>
          <w:sz w:val="16"/>
          <w:szCs w:val="16"/>
        </w:rPr>
        <w:softHyphen/>
        <w:t>ных площадей) для выпуска даже малой партии Су-6. К тому же мотор М-71 еще не прошел положенных 100-часовых государственных испытаний.</w:t>
      </w:r>
    </w:p>
    <w:p w14:paraId="1E20D26F" w14:textId="77777777" w:rsidR="00262847" w:rsidRPr="008127F8" w:rsidRDefault="0026284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Отметим, что в это время Государ</w:t>
      </w:r>
      <w:r w:rsidRPr="008127F8">
        <w:rPr>
          <w:rFonts w:ascii="Times New Roman" w:hAnsi="Times New Roman" w:cs="Times New Roman"/>
          <w:color w:val="000000" w:themeColor="text1"/>
          <w:sz w:val="16"/>
          <w:szCs w:val="16"/>
        </w:rPr>
        <w:softHyphen/>
        <w:t>ственный Комитет Обороны в первую очередь интересовал только массовый выпуск боевых самолетов в количествах, обеспечивающих своевременное восполнение убыли материальной части на фронте и накопление резервов Ставки Верховного Главнокомандования для проведения будущих операций. При этом особое внимание уделялось истребителям и повышению их летных данных (19111).</w:t>
      </w:r>
    </w:p>
    <w:p w14:paraId="6C35B5C0" w14:textId="77777777" w:rsidR="00262847" w:rsidRPr="008127F8" w:rsidRDefault="00262847" w:rsidP="001E0A84">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38A87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года Постановлением ГКО № 1658 дальнейшие работы по Ил-2 с М-82 были прекра</w:t>
      </w:r>
      <w:r w:rsidRPr="008127F8">
        <w:rPr>
          <w:rFonts w:ascii="Times New Roman" w:hAnsi="Times New Roman"/>
          <w:color w:val="000000" w:themeColor="text1"/>
          <w:sz w:val="16"/>
          <w:szCs w:val="16"/>
        </w:rPr>
        <w:softHyphen/>
        <w:t>щены. Кон</w:t>
      </w:r>
      <w:r w:rsidRPr="008127F8">
        <w:rPr>
          <w:rFonts w:ascii="Times New Roman" w:hAnsi="Times New Roman"/>
          <w:color w:val="000000" w:themeColor="text1"/>
          <w:sz w:val="16"/>
          <w:szCs w:val="16"/>
        </w:rPr>
        <w:softHyphen/>
        <w:t>струкция Ил-2 с М-82 существенно отличалась от серийного Ил-2 с АМ-38 и в одиночку, без помощи основных по выпуску Ил-2 эвакуированных в Куйбышев мощных заводов №№ 1 и 18, завод № 135 не был в состоянии наладить его устойчивый выпуск. В результате было принято решение о расформи</w:t>
      </w:r>
      <w:r w:rsidRPr="008127F8">
        <w:rPr>
          <w:rFonts w:ascii="Times New Roman" w:hAnsi="Times New Roman"/>
          <w:color w:val="000000" w:themeColor="text1"/>
          <w:sz w:val="16"/>
          <w:szCs w:val="16"/>
        </w:rPr>
        <w:softHyphen/>
        <w:t>ровании завода № 135 и переводе кадров и оборудования на заводы №№ 30 и 381и там. Переделывать в двухме</w:t>
      </w:r>
      <w:r w:rsidRPr="008127F8">
        <w:rPr>
          <w:rFonts w:ascii="Times New Roman" w:hAnsi="Times New Roman"/>
          <w:color w:val="000000" w:themeColor="text1"/>
          <w:sz w:val="16"/>
          <w:szCs w:val="16"/>
        </w:rPr>
        <w:softHyphen/>
        <w:t>стный вариант было решено серий</w:t>
      </w:r>
      <w:r w:rsidRPr="008127F8">
        <w:rPr>
          <w:rFonts w:ascii="Times New Roman" w:hAnsi="Times New Roman"/>
          <w:color w:val="000000" w:themeColor="text1"/>
          <w:sz w:val="16"/>
          <w:szCs w:val="16"/>
        </w:rPr>
        <w:softHyphen/>
        <w:t>ный Ил-2 с АМ-38. Таким образом, внедрение мотора М-82 на таком массовом самолете, как штурмовик, отпало окончательно (10686).</w:t>
      </w:r>
    </w:p>
    <w:p w14:paraId="54738F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5F24B"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26 апреля 1942 года Поста</w:t>
      </w:r>
      <w:r w:rsidRPr="008127F8">
        <w:rPr>
          <w:rFonts w:ascii="Times New Roman" w:hAnsi="Times New Roman"/>
          <w:color w:val="000000" w:themeColor="text1"/>
          <w:sz w:val="16"/>
          <w:szCs w:val="16"/>
          <w:shd w:val="clear" w:color="auto" w:fill="FFFFFF"/>
        </w:rPr>
        <w:softHyphen/>
        <w:t>новлением ГКО № 1658 дальнейшие работы по Ил-2 с двигателем М-82ИР были прекращены.</w:t>
      </w:r>
    </w:p>
    <w:p w14:paraId="799D1A8F"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К началу мая на 381-м заводе действительно был построен один экземпляр Ил-2 с мотором М-82ИР, первый полет которого планировался 7 мая. На этой машине емкость бензобаков была доведена до 980 литров и, кроме того, снизу мотора на капоте были установ</w:t>
      </w:r>
      <w:r w:rsidRPr="008127F8">
        <w:rPr>
          <w:rFonts w:ascii="Times New Roman" w:hAnsi="Times New Roman"/>
          <w:color w:val="000000" w:themeColor="text1"/>
          <w:sz w:val="16"/>
          <w:szCs w:val="16"/>
          <w:shd w:val="clear" w:color="auto" w:fill="FFFFFF"/>
        </w:rPr>
        <w:softHyphen/>
        <w:t>лены броневые накладки. Заводские ис</w:t>
      </w:r>
      <w:r w:rsidRPr="008127F8">
        <w:rPr>
          <w:rFonts w:ascii="Times New Roman" w:hAnsi="Times New Roman"/>
          <w:color w:val="000000" w:themeColor="text1"/>
          <w:sz w:val="16"/>
          <w:szCs w:val="16"/>
          <w:shd w:val="clear" w:color="auto" w:fill="FFFFFF"/>
        </w:rPr>
        <w:softHyphen/>
        <w:t>пытания Ил-2 М-82ИР ус</w:t>
      </w:r>
      <w:r w:rsidRPr="008127F8">
        <w:rPr>
          <w:rFonts w:ascii="Times New Roman" w:hAnsi="Times New Roman"/>
          <w:color w:val="000000" w:themeColor="text1"/>
          <w:sz w:val="16"/>
          <w:szCs w:val="16"/>
          <w:shd w:val="clear" w:color="auto" w:fill="FFFFFF"/>
        </w:rPr>
        <w:softHyphen/>
        <w:t>пешно прошел к середине августа 1942 года (отчет по испытаниям утвержден 18 августа 1942 года), однако на государственные испытания штурмовик не передавался, и в дальнейшем все работы по нему были прекращены (21126).</w:t>
      </w:r>
    </w:p>
    <w:p w14:paraId="1B10CEB2" w14:textId="77777777" w:rsidR="00C40A00" w:rsidRPr="008127F8" w:rsidRDefault="00C40A00" w:rsidP="001E0A84">
      <w:pPr>
        <w:spacing w:after="0" w:line="240" w:lineRule="auto"/>
        <w:jc w:val="both"/>
        <w:rPr>
          <w:rFonts w:ascii="Times New Roman" w:hAnsi="Times New Roman"/>
          <w:color w:val="000000" w:themeColor="text1"/>
          <w:sz w:val="16"/>
          <w:szCs w:val="16"/>
        </w:rPr>
      </w:pPr>
    </w:p>
    <w:p w14:paraId="70632D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г. пост. ГКО № 1658 все работы по Ил-2 с М-82ИР на заводе (Завод № 381 НКАП, МАП /г. Ленинград ст. </w:t>
      </w:r>
      <w:proofErr w:type="gramStart"/>
      <w:r w:rsidRPr="008127F8">
        <w:rPr>
          <w:rFonts w:ascii="Times New Roman" w:hAnsi="Times New Roman"/>
          <w:color w:val="000000" w:themeColor="text1"/>
          <w:sz w:val="16"/>
          <w:szCs w:val="16"/>
        </w:rPr>
        <w:t>Ижора;  г.</w:t>
      </w:r>
      <w:proofErr w:type="gramEnd"/>
      <w:r w:rsidRPr="008127F8">
        <w:rPr>
          <w:rFonts w:ascii="Times New Roman" w:hAnsi="Times New Roman"/>
          <w:color w:val="000000" w:themeColor="text1"/>
          <w:sz w:val="16"/>
          <w:szCs w:val="16"/>
        </w:rPr>
        <w:t xml:space="preserve"> Нижний Тагил Свердловской обл.;  г. Москва Ленинградское ш., 31/33/) были прекращены, продолжен выпуск Ил-2 с АМ-38.</w:t>
      </w:r>
    </w:p>
    <w:p w14:paraId="27E429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770855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15CAD7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21C423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w:t>
      </w:r>
      <w:proofErr w:type="gramStart"/>
      <w:r w:rsidRPr="008127F8">
        <w:rPr>
          <w:rFonts w:ascii="Times New Roman" w:hAnsi="Times New Roman"/>
          <w:color w:val="000000" w:themeColor="text1"/>
          <w:sz w:val="16"/>
          <w:szCs w:val="16"/>
        </w:rPr>
        <w:t>- это</w:t>
      </w:r>
      <w:proofErr w:type="gramEnd"/>
      <w:r w:rsidRPr="008127F8">
        <w:rPr>
          <w:rFonts w:ascii="Times New Roman" w:hAnsi="Times New Roman"/>
          <w:color w:val="000000" w:themeColor="text1"/>
          <w:sz w:val="16"/>
          <w:szCs w:val="16"/>
        </w:rPr>
        <w:t xml:space="preserve">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C924F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заводе организован филиал ОКБ-21 С.А. Лавочкина.</w:t>
      </w:r>
    </w:p>
    <w:p w14:paraId="13FF9F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50917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772F1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63BCE5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0C519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1.12.1946 г. завод передан из 1ГУ в ЮГУ, затем с 1.11.1948 г. обратно, из ЮГУ в 1ГУ.</w:t>
      </w:r>
    </w:p>
    <w:p w14:paraId="047078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69C6E7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0E9E62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(05.1943-10.1946 г.)- П.Д. Грушин, (1947 г.)- В.И. Засульский.</w:t>
      </w:r>
    </w:p>
    <w:p w14:paraId="6D2F6C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(1945 г.)- А.К. Кулагин.</w:t>
      </w:r>
    </w:p>
    <w:p w14:paraId="4F686D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самолеты:</w:t>
      </w:r>
      <w:r w:rsidRPr="008127F8">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742C8E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Заводской номер: Ил-2 М 381355 (11982).</w:t>
      </w:r>
    </w:p>
    <w:p w14:paraId="6C5151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73889"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26 апреля 1942, имея постановление Военного Со</w:t>
      </w:r>
      <w:r w:rsidRPr="008127F8">
        <w:rPr>
          <w:rFonts w:ascii="Times New Roman" w:hAnsi="Times New Roman" w:cs="Times New Roman"/>
          <w:color w:val="000000" w:themeColor="text1"/>
          <w:sz w:val="16"/>
          <w:szCs w:val="16"/>
        </w:rPr>
        <w:softHyphen/>
        <w:t>вета ВВС по самолету Ил-2 М-82, акт по государственным испытаниям и проект постановления ГКО по войсковой серии Су-6 М-71, Новиков вечером участвовал в работе совещания у Ста</w:t>
      </w:r>
      <w:r w:rsidRPr="008127F8">
        <w:rPr>
          <w:rFonts w:ascii="Times New Roman" w:hAnsi="Times New Roman" w:cs="Times New Roman"/>
          <w:color w:val="000000" w:themeColor="text1"/>
          <w:sz w:val="16"/>
          <w:szCs w:val="16"/>
        </w:rPr>
        <w:softHyphen/>
        <w:t>лина. По итогам обмена мнениями по этим и другим смежным вопросам ре</w:t>
      </w:r>
      <w:r w:rsidRPr="008127F8">
        <w:rPr>
          <w:rFonts w:ascii="Times New Roman" w:hAnsi="Times New Roman" w:cs="Times New Roman"/>
          <w:color w:val="000000" w:themeColor="text1"/>
          <w:sz w:val="16"/>
          <w:szCs w:val="16"/>
        </w:rPr>
        <w:softHyphen/>
        <w:t>шили серийно выпускать только Ил-2 с мотором АМ-38, а постройку войсковой серии Су-6 М-71 отложить на некоторое время. По заявлению наркома Шахурина для серии Су-6 у наркомата нет свобод</w:t>
      </w:r>
      <w:r w:rsidRPr="008127F8">
        <w:rPr>
          <w:rFonts w:ascii="Times New Roman" w:hAnsi="Times New Roman" w:cs="Times New Roman"/>
          <w:color w:val="000000" w:themeColor="text1"/>
          <w:sz w:val="16"/>
          <w:szCs w:val="16"/>
        </w:rPr>
        <w:softHyphen/>
        <w:t>ного завода, равно как и других не за</w:t>
      </w:r>
      <w:r w:rsidRPr="008127F8">
        <w:rPr>
          <w:rFonts w:ascii="Times New Roman" w:hAnsi="Times New Roman" w:cs="Times New Roman"/>
          <w:color w:val="000000" w:themeColor="text1"/>
          <w:sz w:val="16"/>
          <w:szCs w:val="16"/>
        </w:rPr>
        <w:softHyphen/>
        <w:t>нятых производственных площадей. В то же время возможности завода №289 ог</w:t>
      </w:r>
      <w:r w:rsidRPr="008127F8">
        <w:rPr>
          <w:rFonts w:ascii="Times New Roman" w:hAnsi="Times New Roman" w:cs="Times New Roman"/>
          <w:color w:val="000000" w:themeColor="text1"/>
          <w:sz w:val="16"/>
          <w:szCs w:val="16"/>
        </w:rPr>
        <w:softHyphen/>
        <w:t>раничивались параллельным изготовле</w:t>
      </w:r>
      <w:r w:rsidRPr="008127F8">
        <w:rPr>
          <w:rFonts w:ascii="Times New Roman" w:hAnsi="Times New Roman" w:cs="Times New Roman"/>
          <w:color w:val="000000" w:themeColor="text1"/>
          <w:sz w:val="16"/>
          <w:szCs w:val="16"/>
        </w:rPr>
        <w:softHyphen/>
        <w:t>нием максимум не более пяти Су-6, что по срокам подачи на испытания само</w:t>
      </w:r>
      <w:r w:rsidRPr="008127F8">
        <w:rPr>
          <w:rFonts w:ascii="Times New Roman" w:hAnsi="Times New Roman" w:cs="Times New Roman"/>
          <w:color w:val="000000" w:themeColor="text1"/>
          <w:sz w:val="16"/>
          <w:szCs w:val="16"/>
        </w:rPr>
        <w:softHyphen/>
        <w:t>летов не могло удовлетворить военных. К тому же мотор М-71 еще не прошел 100-часовые государственные испытания, и расширять его производство (мотор М-71 выпускался малой серией только в обеспечение опытных работ) риско</w:t>
      </w:r>
      <w:r w:rsidRPr="008127F8">
        <w:rPr>
          <w:rFonts w:ascii="Times New Roman" w:hAnsi="Times New Roman" w:cs="Times New Roman"/>
          <w:color w:val="000000" w:themeColor="text1"/>
          <w:sz w:val="16"/>
          <w:szCs w:val="16"/>
        </w:rPr>
        <w:softHyphen/>
        <w:t>ванно. Предлагалось дождаться офици</w:t>
      </w:r>
      <w:r w:rsidRPr="008127F8">
        <w:rPr>
          <w:rFonts w:ascii="Times New Roman" w:hAnsi="Times New Roman" w:cs="Times New Roman"/>
          <w:color w:val="000000" w:themeColor="text1"/>
          <w:sz w:val="16"/>
          <w:szCs w:val="16"/>
        </w:rPr>
        <w:softHyphen/>
        <w:t>альных результатов государственных ис</w:t>
      </w:r>
      <w:r w:rsidRPr="008127F8">
        <w:rPr>
          <w:rFonts w:ascii="Times New Roman" w:hAnsi="Times New Roman" w:cs="Times New Roman"/>
          <w:color w:val="000000" w:themeColor="text1"/>
          <w:sz w:val="16"/>
          <w:szCs w:val="16"/>
        </w:rPr>
        <w:softHyphen/>
        <w:t>пытаний мотора М-71, после чего вер</w:t>
      </w:r>
      <w:r w:rsidRPr="008127F8">
        <w:rPr>
          <w:rFonts w:ascii="Times New Roman" w:hAnsi="Times New Roman" w:cs="Times New Roman"/>
          <w:color w:val="000000" w:themeColor="text1"/>
          <w:sz w:val="16"/>
          <w:szCs w:val="16"/>
        </w:rPr>
        <w:softHyphen/>
        <w:t>нуться к вопросу о войсковой серии са</w:t>
      </w:r>
      <w:r w:rsidRPr="008127F8">
        <w:rPr>
          <w:rFonts w:ascii="Times New Roman" w:hAnsi="Times New Roman" w:cs="Times New Roman"/>
          <w:color w:val="000000" w:themeColor="text1"/>
          <w:sz w:val="16"/>
          <w:szCs w:val="16"/>
        </w:rPr>
        <w:softHyphen/>
        <w:t>молета Су-6 и тогда же принять решение по опытному истребителю Н.Н. Поликар</w:t>
      </w:r>
      <w:r w:rsidRPr="008127F8">
        <w:rPr>
          <w:rFonts w:ascii="Times New Roman" w:hAnsi="Times New Roman" w:cs="Times New Roman"/>
          <w:color w:val="000000" w:themeColor="text1"/>
          <w:sz w:val="16"/>
          <w:szCs w:val="16"/>
        </w:rPr>
        <w:softHyphen/>
        <w:t>пова И-185 с этим же мотором.</w:t>
      </w:r>
    </w:p>
    <w:p w14:paraId="7CF0C4D8"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Все внимание и ресурсы промышлен</w:t>
      </w:r>
      <w:r w:rsidRPr="008127F8">
        <w:rPr>
          <w:rFonts w:ascii="Times New Roman" w:hAnsi="Times New Roman" w:cs="Times New Roman"/>
          <w:color w:val="000000" w:themeColor="text1"/>
          <w:sz w:val="16"/>
          <w:szCs w:val="16"/>
        </w:rPr>
        <w:softHyphen/>
        <w:t>ности сосредоточивались тогда на массо</w:t>
      </w:r>
      <w:r w:rsidRPr="008127F8">
        <w:rPr>
          <w:rFonts w:ascii="Times New Roman" w:hAnsi="Times New Roman" w:cs="Times New Roman"/>
          <w:color w:val="000000" w:themeColor="text1"/>
          <w:sz w:val="16"/>
          <w:szCs w:val="16"/>
        </w:rPr>
        <w:softHyphen/>
        <w:t>вом выпуске уже освоенных в производ</w:t>
      </w:r>
      <w:r w:rsidRPr="008127F8">
        <w:rPr>
          <w:rFonts w:ascii="Times New Roman" w:hAnsi="Times New Roman" w:cs="Times New Roman"/>
          <w:color w:val="000000" w:themeColor="text1"/>
          <w:sz w:val="16"/>
          <w:szCs w:val="16"/>
        </w:rPr>
        <w:softHyphen/>
        <w:t>стве боевых самолетов и моторов, повы</w:t>
      </w:r>
      <w:r w:rsidRPr="008127F8">
        <w:rPr>
          <w:rFonts w:ascii="Times New Roman" w:hAnsi="Times New Roman" w:cs="Times New Roman"/>
          <w:color w:val="000000" w:themeColor="text1"/>
          <w:sz w:val="16"/>
          <w:szCs w:val="16"/>
        </w:rPr>
        <w:softHyphen/>
        <w:t>шении летных и эксплуатационных ка</w:t>
      </w:r>
      <w:r w:rsidRPr="008127F8">
        <w:rPr>
          <w:rFonts w:ascii="Times New Roman" w:hAnsi="Times New Roman" w:cs="Times New Roman"/>
          <w:color w:val="000000" w:themeColor="text1"/>
          <w:sz w:val="16"/>
          <w:szCs w:val="16"/>
        </w:rPr>
        <w:softHyphen/>
        <w:t>честв истребителей (19846).</w:t>
      </w:r>
    </w:p>
    <w:p w14:paraId="3BBC9405" w14:textId="77777777" w:rsidR="00D96242" w:rsidRPr="008127F8" w:rsidRDefault="00D96242" w:rsidP="001E0A84">
      <w:pPr>
        <w:pStyle w:val="232"/>
        <w:shd w:val="clear" w:color="auto" w:fill="auto"/>
        <w:spacing w:line="240" w:lineRule="auto"/>
        <w:jc w:val="both"/>
        <w:rPr>
          <w:rFonts w:ascii="Times New Roman" w:hAnsi="Times New Roman" w:cs="Times New Roman"/>
          <w:color w:val="000000" w:themeColor="text1"/>
          <w:sz w:val="16"/>
          <w:szCs w:val="16"/>
        </w:rPr>
      </w:pPr>
    </w:p>
    <w:p w14:paraId="4C875FE7" w14:textId="77777777" w:rsidR="00D96242" w:rsidRPr="008127F8" w:rsidRDefault="00D96242" w:rsidP="001E0A84">
      <w:pPr>
        <w:pStyle w:val="95"/>
        <w:shd w:val="clear" w:color="auto" w:fill="auto"/>
        <w:spacing w:after="0" w:line="240" w:lineRule="auto"/>
        <w:ind w:firstLine="0"/>
        <w:jc w:val="both"/>
        <w:rPr>
          <w:color w:val="000000" w:themeColor="text1"/>
          <w:sz w:val="16"/>
          <w:szCs w:val="16"/>
        </w:rPr>
      </w:pPr>
      <w:r w:rsidRPr="008127F8">
        <w:rPr>
          <w:color w:val="000000" w:themeColor="text1"/>
          <w:sz w:val="16"/>
          <w:szCs w:val="16"/>
        </w:rPr>
        <w:t>26 апреля 1942 вечером состоялось большое совещание у Сталина. В ряду прочих обсуждались вопросы организации серийного производства двухместного Ил-2 М-82 и по</w:t>
      </w:r>
      <w:r w:rsidRPr="008127F8">
        <w:rPr>
          <w:color w:val="000000" w:themeColor="text1"/>
          <w:sz w:val="16"/>
          <w:szCs w:val="16"/>
        </w:rPr>
        <w:softHyphen/>
        <w:t>стройки войсковой серии одноместных Су-6 М-71.</w:t>
      </w:r>
    </w:p>
    <w:p w14:paraId="007703D4" w14:textId="77777777" w:rsidR="00D96242" w:rsidRPr="008127F8" w:rsidRDefault="00D96242" w:rsidP="001E0A84">
      <w:pPr>
        <w:pStyle w:val="95"/>
        <w:shd w:val="clear" w:color="auto" w:fill="auto"/>
        <w:spacing w:after="0" w:line="240" w:lineRule="auto"/>
        <w:ind w:firstLine="0"/>
        <w:jc w:val="both"/>
        <w:rPr>
          <w:color w:val="000000" w:themeColor="text1"/>
          <w:sz w:val="16"/>
          <w:szCs w:val="16"/>
        </w:rPr>
      </w:pPr>
      <w:r w:rsidRPr="008127F8">
        <w:rPr>
          <w:color w:val="000000" w:themeColor="text1"/>
          <w:sz w:val="16"/>
          <w:szCs w:val="16"/>
        </w:rPr>
        <w:t>Постановлением ГКО №1658сс от 26 апреля отменялись ранее принятые поста</w:t>
      </w:r>
      <w:r w:rsidRPr="008127F8">
        <w:rPr>
          <w:color w:val="000000" w:themeColor="text1"/>
          <w:sz w:val="16"/>
          <w:szCs w:val="16"/>
        </w:rPr>
        <w:softHyphen/>
        <w:t>новления о производстве на заводе № 381 самолетов Ил-2 с М-82. Наркомат авиацион</w:t>
      </w:r>
      <w:r w:rsidRPr="008127F8">
        <w:rPr>
          <w:color w:val="000000" w:themeColor="text1"/>
          <w:sz w:val="16"/>
          <w:szCs w:val="16"/>
        </w:rPr>
        <w:softHyphen/>
        <w:t>ной промышленности обязывался выпускать на заводе №381 самолеты Ил-2 только с АМ- 38. Одновременно отложили постройку вой</w:t>
      </w:r>
      <w:r w:rsidRPr="008127F8">
        <w:rPr>
          <w:color w:val="000000" w:themeColor="text1"/>
          <w:sz w:val="16"/>
          <w:szCs w:val="16"/>
        </w:rPr>
        <w:softHyphen/>
        <w:t>сковой серии Су-6 М-71 - формально, из-за трудностей с выделением завода для выпуска даже малой партии самолетов. К тому же мо</w:t>
      </w:r>
      <w:r w:rsidRPr="008127F8">
        <w:rPr>
          <w:color w:val="000000" w:themeColor="text1"/>
          <w:sz w:val="16"/>
          <w:szCs w:val="16"/>
        </w:rPr>
        <w:softHyphen/>
        <w:t>тор М-71 еще не прошел положенных 100-ча</w:t>
      </w:r>
      <w:r w:rsidRPr="008127F8">
        <w:rPr>
          <w:color w:val="000000" w:themeColor="text1"/>
          <w:sz w:val="16"/>
          <w:szCs w:val="16"/>
        </w:rPr>
        <w:softHyphen/>
        <w:t>совых государственных испытаний.</w:t>
      </w:r>
    </w:p>
    <w:p w14:paraId="70DA867F" w14:textId="77777777" w:rsidR="00D96242" w:rsidRPr="008127F8" w:rsidRDefault="00D96242"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в это время Государствен</w:t>
      </w:r>
      <w:r w:rsidRPr="008127F8">
        <w:rPr>
          <w:rFonts w:ascii="Times New Roman" w:hAnsi="Times New Roman"/>
          <w:color w:val="000000" w:themeColor="text1"/>
          <w:sz w:val="16"/>
          <w:szCs w:val="16"/>
        </w:rPr>
        <w:softHyphen/>
        <w:t>ный Комитет обороны в первую очередь ин</w:t>
      </w:r>
      <w:r w:rsidRPr="008127F8">
        <w:rPr>
          <w:rFonts w:ascii="Times New Roman" w:hAnsi="Times New Roman"/>
          <w:color w:val="000000" w:themeColor="text1"/>
          <w:sz w:val="16"/>
          <w:szCs w:val="16"/>
        </w:rPr>
        <w:softHyphen/>
        <w:t>тересовал только массовый выпуск боевых самолетов в количествах, обеспечивающих своевременное восполнение убыли матери</w:t>
      </w:r>
      <w:r w:rsidRPr="008127F8">
        <w:rPr>
          <w:rFonts w:ascii="Times New Roman" w:hAnsi="Times New Roman"/>
          <w:color w:val="000000" w:themeColor="text1"/>
          <w:sz w:val="16"/>
          <w:szCs w:val="16"/>
        </w:rPr>
        <w:softHyphen/>
        <w:t>альной части на фронте и накопление резер</w:t>
      </w:r>
      <w:r w:rsidRPr="008127F8">
        <w:rPr>
          <w:rFonts w:ascii="Times New Roman" w:hAnsi="Times New Roman"/>
          <w:color w:val="000000" w:themeColor="text1"/>
          <w:sz w:val="16"/>
          <w:szCs w:val="16"/>
        </w:rPr>
        <w:softHyphen/>
        <w:t>вов Ставки Верховного Главнокомандования для проведения будущих операций. При этом особое внимание уделялось истребителям и повышению их летных данных (19877).</w:t>
      </w:r>
    </w:p>
    <w:p w14:paraId="0A66B5F8" w14:textId="77777777" w:rsidR="00D96242" w:rsidRPr="008127F8" w:rsidRDefault="00D96242" w:rsidP="001E0A84">
      <w:pPr>
        <w:shd w:val="clear" w:color="auto" w:fill="FFFFFF"/>
        <w:spacing w:after="0" w:line="240" w:lineRule="auto"/>
        <w:jc w:val="both"/>
        <w:rPr>
          <w:rFonts w:ascii="Times New Roman" w:hAnsi="Times New Roman"/>
          <w:color w:val="000000" w:themeColor="text1"/>
          <w:sz w:val="16"/>
          <w:szCs w:val="16"/>
        </w:rPr>
      </w:pPr>
    </w:p>
    <w:p w14:paraId="06A2F8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по приказу № 319с за ОКБ Ермолаева временно закреплены площади бывшего цеха ширпотреба завода № 1 НКАП по Авиационному пер. По приказу № 517с от 12.07.1942 г.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3512A4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274628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руководителя (1938 г.)- М.В. Орлов.</w:t>
      </w:r>
    </w:p>
    <w:p w14:paraId="497FE7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бригад: Н.В. Синелыциков, В.В. Смирнов (11982).</w:t>
      </w:r>
    </w:p>
    <w:p w14:paraId="4AD145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6A11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1664 Об увеличении выпуска самолетов бомбардировочного типа. РГАНИР, Фонд ГКО, д. 32, лл. 36 (11012).</w:t>
      </w:r>
    </w:p>
    <w:p w14:paraId="553CA2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0D6B7" w14:textId="77777777" w:rsidR="00262847" w:rsidRPr="008127F8" w:rsidRDefault="0026284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года решением Государственного Комитета Обороны (ГОКО) главным конструктором ОКО-22 был назначен А.И. Путилов. (Приказы Наркома авиапрома по назначению А.М. Изаксона, а затем А.И. Путилова главным конструктором завода № 22 не издавались.).</w:t>
      </w:r>
    </w:p>
    <w:p w14:paraId="10D9DABD" w14:textId="77777777" w:rsidR="00262847" w:rsidRPr="008127F8" w:rsidRDefault="0026284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тому времени в ОКО-22 была разработана новая стрелковая установка штурмана, получившая название ФТ – «фронтовое требование». Суть которой состояла в замене пулемета ШКАС калибра 7,62 мм на пулемет БТ калибра 12,7 мм. В конструкцию самолета вносились многочисленные изменения, упрощавшие производство, но вместе с тем увеличившие взлетный вес самолета и ухудшавшие летные данные Пе-2. Особенно это сказывалось на максимальной скорости самолета. Если в сентябре 1941 года скорость на второй границе высотности составляла 530 км/ч, то в марте 1942 года она составляла уже 520 км/ч. Снижался вес боевой нагрузки. Установка на самолет моторов М-105Ф повышенной мощности существенных улучшений в летные характеристики не принесла.</w:t>
      </w:r>
    </w:p>
    <w:p w14:paraId="10A9373D" w14:textId="77777777" w:rsidR="00262847" w:rsidRPr="008127F8" w:rsidRDefault="0026284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Работу по усовершенствованию серийных машин он начал заменой радиополукомпаса РПК-2 на РПК-10, установкой новой верхней стрелковой установки ВУБ-1. К осени нестабильная обстановка на фронте начала сказываться на снабжении дюралевыми листами и профилями. Это заставило завод № 22 искать замену цельнометаллическим узлам самолета. На отдельных самолетах стали устанавливать хвостовые части фюзеляжа и стабилизаторы, выполненные из дерева, что, в свою очередь, приводило к увеличению веса самолета. Из-за нехватки органического стекла пришлось изменить конструкцию носовой части фюзеляжа. Проводились работы по установке на самолет более мощных моторов М-107 и М-82Ф. Однако все попытки улучшения летно-технических характеристик серийно выпускаемых бомбардировщиков Пе-2 не увенчались успехом. Причиной тому были: ухудшение аэродинамики, увеличение полетного веса и ухудшение качества производства планера самолета (19769).</w:t>
      </w:r>
    </w:p>
    <w:p w14:paraId="46B8E9F0" w14:textId="77777777" w:rsidR="00262847" w:rsidRPr="008127F8" w:rsidRDefault="00262847" w:rsidP="001E0A84">
      <w:pPr>
        <w:spacing w:after="0" w:line="240" w:lineRule="auto"/>
        <w:jc w:val="both"/>
        <w:rPr>
          <w:rFonts w:ascii="Times New Roman" w:hAnsi="Times New Roman"/>
          <w:color w:val="000000" w:themeColor="text1"/>
          <w:sz w:val="16"/>
          <w:szCs w:val="16"/>
        </w:rPr>
      </w:pPr>
    </w:p>
    <w:p w14:paraId="6E4A318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апреля 1942 г. Постановление ГКО СССР № 1666с «О мерах помощи авиационным заводам в г. Куйбышеве и Казани»</w:t>
      </w:r>
    </w:p>
    <w:p w14:paraId="2F5A3805"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323F1F5"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05060B31"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т. Шверника, начальника Управления трудовых резервов т. Москатова, секретаря Куйбышевского обкома т. Никитина, секретаря Чкаловскою обкома т. Дубровского, секретаря Пензенского обкома т. Кабанова мобилизовать в апреле-мае 1942 г., в соответствии с Указом Президиума Верховного Совета СССР от 13 февраля 1942 г., для куйбышевских авиационных заводов 14 тыс. чел. рабочих, преимущественно из женщин, в том числе: из Куйбышевской обл. — 6 тыс., из Чкаловской обл. — 4 тыс. и из Пензенской обл. — 4 тыс. чел., из них: для завода № 24 — 6,5 тыс. чел., для завода № 18 — 3,75 тыс. чел., для завода № 1 — 2,75 тыс. чел., для завода № 35 — 1 тыс. чел.</w:t>
      </w:r>
    </w:p>
    <w:p w14:paraId="53E7F958"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Наркомавиапром (т. Шахурина) направить на завод № 16 немедленно с завода № 45 — 300 чел. рабочих, ранее работавших на быв. заводе № 82, и 200 чел. Из г. Рыбинска, ранее работавших на быв. заводе № 26.</w:t>
      </w:r>
    </w:p>
    <w:p w14:paraId="055574B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бесперебойного обеспечения куйбышевских авиазаводов нефтепродуктами на зимний период признать необходимым постройку в г. Куйбышеве, в районе Волги, нефтехранилищ емкостью: для бензина — 10 тыс. т, для масел — 2,5 тыс. т, для мазута — 10 тыс. т. Обязать Госплан СССР (т. Сабурова), Главнефтесбыт при СНК СССР (т. Широкова), Наркомавиапром (т. Сандлера) к 5 мая 1942 г. внести в Государственный комитет обороны предложения по строительству нефтехранилищ в г. Куйбышеве для заводов НКАП. Созыв поручить т. Сабурову.</w:t>
      </w:r>
    </w:p>
    <w:p w14:paraId="3A6A8E55"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Поручить т. Микояну в пятидневный срок рассмотреть и решить вопрос об обеспечении во II квартале с. г. куйбышевских и казанских авиационных заводов грузовыми автомашинами, исходя из удовлетворения следующей потребности заводов в грузовых автомашинах: завод № 24 щ 80 машин, завод № 18 — 70 машин, завод № 1 — 70 машин, завод № 22 — 50 машин, завод № 16 — 50 машин, завод № 35 — 30 машин и для обслуживания межрайонного хозяйства куйбышевских авиационных заводов № 1, 18, 24 и 35 (жилпоселок, водоснабжение, канализация и дороги) — 40 машин.</w:t>
      </w:r>
    </w:p>
    <w:p w14:paraId="24E3192A"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Придавая особое значение бесперебойной работе авиамоторных заводов № 24, 26,16 и 29, обязать Наркомавиапром (т. Шахурина), Госплан СССР (т. Сабурова) создать в течение мая-июля 1942 г. на указанных моторных заводах переходящие складские запасы: а) по черным металлам, поковкам, штамповкам, проволоке и трубам — на 60 дней; б) по цветным металлам — на 45 дней; в) по агрегатам, подшипникам и готов вым деталям, получаемым со стороны, — на 30 дней.</w:t>
      </w:r>
    </w:p>
    <w:p w14:paraId="37492245"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Наркомхимпром (т. Первухина) создать к 1 июня 1942 г. в г. Куйбышеве, начав немедленно, сбытовую базу с необходимыми складскими помещениями для бесперебойного снабжения куйбышевских авиазаводов кислотами, хромпиком, цианистыми солями и другими потребными для производства химикатами. Обязать Наркомавиапром (т. Шахурина) оказать на месте Наркомхимпрому помощь в организации указанной базы.</w:t>
      </w:r>
    </w:p>
    <w:p w14:paraId="0BB48BE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Для бесперебойного снабжения куйбышевских авиазаводов обязать Наркомтяжмаш (т. Казакова) передать Наркомавиапрому кислородный завод в г. Куйбышеве (находящийся на территории авиазаводов на Безымянке), состоящий из двух стокубовых кислородных установок, со всем наличным оборудованием и обслуживающим персоналом.</w:t>
      </w:r>
    </w:p>
    <w:p w14:paraId="28671646"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Обязать У ОС НКВД (т. Лепилова) передать Наркомавиапрому кислородную установку в 30 кубов, находящуюся на территории авиазаводов в г. Куйбышеве на Безымянке.</w:t>
      </w:r>
    </w:p>
    <w:p w14:paraId="15CE459D"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Монтажные конторы, работающие на монтаже куйбышевских авиационных заводов: Центроэлектромонтаж, Теплострой, Проммеханизация, Сантехстрой (Наркомстроя), Газгольдерстрой Наркомнефти и Глававтоген Наркомтяжмаша закрепить со всеми механизмами, оборудованием и личным составом до полного окончания всех монтажных работ по куйбышевским авиазаводам.</w:t>
      </w:r>
    </w:p>
    <w:p w14:paraId="255144C5"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НКПС (т. Хрулева): а) для бесперебойного снабжения куйбышевских авиазаводов жидким топливом прикрепить к ним для постоянного обслуживания по маршруту Батраки-Безымянка вертушку в составе 20 цистерн; б) для перевозки материалов и литья заводу № 24 обеспечить прицепку три раза в неделю по одному товарному вагону к пассажирским поездам Москва-Куйбышев и Молотов-Куйбышев; в) предоставить Особстрою НКВД в апреле 250 крытых вагонов для перевозки цемента из г. Вольска на ст. Безымянка; г) предоставить Особстрою НКВД в апреле по 50 вагонов ежедневно для перевозки песка со ст. Елшанка Оренбургской ж. д. на ст. Безымянка.</w:t>
      </w:r>
    </w:p>
    <w:p w14:paraId="39C7FDE7"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Обязать директора завода № 24 т. Жезлова организовать свои карьеры по разработке литейных земель в районе Белошейкинского карьера. Поручить Особстрою НКВД (т. Лепилову), директору завода № 24 т. Жезлову и уполномоченному ГОКО т. Попову разработать мероприятия по постройке обогатительной фабрики и подъездных путей от карьера до ст. Белошейка Куйбышевской ж. д.</w:t>
      </w:r>
    </w:p>
    <w:p w14:paraId="4864539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Обязать Наркомуголь (т. Вахрушева) при всех условиях отгружать в апреле и мае сего года куйбышевским электростанциям Наркомэлектростанций маршрутами по 1,5 тыс. т ежесуточно карагандинского угля в счет фондов Наркомэлектростанций.</w:t>
      </w:r>
    </w:p>
    <w:p w14:paraId="4BE6DAE9"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Наркомату путей сообщения предоставлять под погрузку угля ежесуточно 65 вагонов в счет плана перевозок и обеспечить своевременную доставку топлива электростанциям.</w:t>
      </w:r>
    </w:p>
    <w:p w14:paraId="7268F26F"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Поручить СНК СССР (т. Швернику и т. Косыгину) в течение мая месяца сего года направить на авиационные заводы, по заявке НКАП, 25 тыс. чел. рабочих, эвакуированных из Ленинграда.</w:t>
      </w:r>
    </w:p>
    <w:p w14:paraId="3F298BB4"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Обязать Управление государственных трудовых резервов при СНК СССР (т. Москатова) в течение мая месяца сего года направить на авиационные заводы, по заявке НКАП, 15 тыс. чел. учащихся ремесленных училищ, эвакуированных из Ленинграда; учащихся, не достигших 16-летнего возраста из числа передаваемых, направить на производственную практику на авиационные заводы по указанию НКАП.</w:t>
      </w:r>
    </w:p>
    <w:p w14:paraId="37E14A23"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58E6011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32. Л. 38-41. Подлинник (24011).</w:t>
      </w:r>
    </w:p>
    <w:p w14:paraId="0AC40003" w14:textId="77777777" w:rsidR="000B548A" w:rsidRPr="008A2E5A" w:rsidRDefault="000B548A" w:rsidP="000B548A">
      <w:pPr>
        <w:spacing w:after="0" w:line="240" w:lineRule="auto"/>
        <w:jc w:val="both"/>
        <w:rPr>
          <w:rFonts w:ascii="Times New Roman" w:hAnsi="Times New Roman"/>
          <w:color w:val="0070C0"/>
          <w:sz w:val="16"/>
          <w:szCs w:val="16"/>
        </w:rPr>
      </w:pPr>
    </w:p>
    <w:p w14:paraId="3EF380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1659 О программе выпуска самолетов Як-7 на заводе № 82. РГАНИР, Фонд ГКО, д. 32, лл. 13 (11012).</w:t>
      </w:r>
    </w:p>
    <w:p w14:paraId="1E9BE9DA" w14:textId="77777777" w:rsidR="00E14E46" w:rsidRPr="008127F8" w:rsidRDefault="00E14E4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71FD8"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ГОКО-1659сс О ПРОГРАММЕ ВЫПУСКА САМОЛЕТОВ Як-7 НА ЗАВОДЕ № 82.</w:t>
      </w:r>
    </w:p>
    <w:p w14:paraId="353D7E88"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Государственный Комитет Обороны постановляет: </w:t>
      </w:r>
      <w:proofErr w:type="gramStart"/>
      <w:r w:rsidRPr="008127F8">
        <w:rPr>
          <w:rFonts w:ascii="Times New Roman" w:hAnsi="Times New Roman"/>
          <w:color w:val="000000" w:themeColor="text1"/>
          <w:sz w:val="16"/>
          <w:szCs w:val="16"/>
        </w:rPr>
        <w:t>1.Обязать</w:t>
      </w:r>
      <w:proofErr w:type="gramEnd"/>
      <w:r w:rsidRPr="008127F8">
        <w:rPr>
          <w:rFonts w:ascii="Times New Roman" w:hAnsi="Times New Roman"/>
          <w:color w:val="000000" w:themeColor="text1"/>
          <w:sz w:val="16"/>
          <w:szCs w:val="16"/>
        </w:rPr>
        <w:t xml:space="preserve"> Наркомавиапром т.т.Шахурина и Дементьева и директора завода № 82 т. Бугрова к 30 мая с.г. закончить монтан оборудования всех цехов и пустить завод № 82 в эксплоатацию.</w:t>
      </w:r>
    </w:p>
    <w:p w14:paraId="132BF1D0"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2.Обязать Нарксмавиапрсы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xml:space="preserve"> и тов.Демен</w:t>
      </w:r>
      <w:r w:rsidRPr="008127F8">
        <w:rPr>
          <w:rFonts w:ascii="Times New Roman" w:hAnsi="Times New Roman"/>
          <w:color w:val="000000" w:themeColor="text1"/>
          <w:sz w:val="16"/>
          <w:szCs w:val="16"/>
        </w:rPr>
        <w:softHyphen/>
        <w:t>тьева, директора завода № 82 тов.БугроЕа выпустить с за</w:t>
      </w:r>
      <w:r w:rsidRPr="008127F8">
        <w:rPr>
          <w:rFonts w:ascii="Times New Roman" w:hAnsi="Times New Roman"/>
          <w:color w:val="000000" w:themeColor="text1"/>
          <w:sz w:val="16"/>
          <w:szCs w:val="16"/>
        </w:rPr>
        <w:softHyphen/>
        <w:t xml:space="preserve">вода № 82 в 1942 году 400 самолетов Як-7, из них: </w:t>
      </w:r>
    </w:p>
    <w:p w14:paraId="17E87A34"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2 самолета</w:t>
      </w:r>
    </w:p>
    <w:p w14:paraId="4CA4D4DD"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12 самолетов</w:t>
      </w:r>
    </w:p>
    <w:p w14:paraId="6A86F00F" w14:textId="77777777" w:rsidR="00E14E46" w:rsidRPr="008127F8" w:rsidRDefault="00A34F1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fldChar w:fldCharType="begin"/>
      </w:r>
      <w:r w:rsidR="00E14E46" w:rsidRPr="008127F8">
        <w:rPr>
          <w:rFonts w:ascii="Times New Roman" w:hAnsi="Times New Roman"/>
          <w:color w:val="000000" w:themeColor="text1"/>
          <w:sz w:val="16"/>
          <w:szCs w:val="16"/>
        </w:rPr>
        <w:instrText xml:space="preserve"> TOC \o "1-3" \h \z </w:instrText>
      </w:r>
      <w:r w:rsidRPr="008127F8">
        <w:rPr>
          <w:rFonts w:ascii="Times New Roman" w:hAnsi="Times New Roman"/>
          <w:color w:val="000000" w:themeColor="text1"/>
          <w:sz w:val="16"/>
          <w:szCs w:val="16"/>
        </w:rPr>
        <w:fldChar w:fldCharType="separate"/>
      </w:r>
      <w:r w:rsidR="00E14E46" w:rsidRPr="008127F8">
        <w:rPr>
          <w:rFonts w:ascii="Times New Roman" w:hAnsi="Times New Roman"/>
          <w:color w:val="000000" w:themeColor="text1"/>
          <w:sz w:val="16"/>
          <w:szCs w:val="16"/>
        </w:rPr>
        <w:t>в июле</w:t>
      </w:r>
      <w:r w:rsidR="00E14E46" w:rsidRPr="008127F8">
        <w:rPr>
          <w:rFonts w:ascii="Times New Roman" w:hAnsi="Times New Roman"/>
          <w:color w:val="000000" w:themeColor="text1"/>
          <w:sz w:val="16"/>
          <w:szCs w:val="16"/>
        </w:rPr>
        <w:tab/>
        <w:t>-</w:t>
      </w:r>
      <w:r w:rsidR="00E14E46" w:rsidRPr="008127F8">
        <w:rPr>
          <w:rFonts w:ascii="Times New Roman" w:hAnsi="Times New Roman"/>
          <w:color w:val="000000" w:themeColor="text1"/>
          <w:sz w:val="16"/>
          <w:szCs w:val="16"/>
        </w:rPr>
        <w:tab/>
        <w:t>22</w:t>
      </w:r>
    </w:p>
    <w:p w14:paraId="55B45E1E"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30</w:t>
      </w:r>
    </w:p>
    <w:p w14:paraId="038B899B"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40</w:t>
      </w:r>
    </w:p>
    <w:p w14:paraId="1B2AB795"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74</w:t>
      </w:r>
    </w:p>
    <w:p w14:paraId="50D1926A"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90</w:t>
      </w:r>
    </w:p>
    <w:p w14:paraId="12EACAB2"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130</w:t>
      </w:r>
      <w:r w:rsidR="00A34F1D" w:rsidRPr="008127F8">
        <w:rPr>
          <w:rFonts w:ascii="Times New Roman" w:hAnsi="Times New Roman"/>
          <w:color w:val="000000" w:themeColor="text1"/>
          <w:sz w:val="16"/>
          <w:szCs w:val="16"/>
        </w:rPr>
        <w:fldChar w:fldCharType="end"/>
      </w:r>
    </w:p>
    <w:p w14:paraId="546ECE81"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 целях быстрого налаживания производства и вы</w:t>
      </w:r>
      <w:r w:rsidRPr="008127F8">
        <w:rPr>
          <w:rFonts w:ascii="Times New Roman" w:hAnsi="Times New Roman"/>
          <w:color w:val="000000" w:themeColor="text1"/>
          <w:sz w:val="16"/>
          <w:szCs w:val="16"/>
        </w:rPr>
        <w:softHyphen/>
        <w:t>пуска самолетов Як-7 на заводе $ 82 обязать директора заво</w:t>
      </w:r>
      <w:r w:rsidRPr="008127F8">
        <w:rPr>
          <w:rFonts w:ascii="Times New Roman" w:hAnsi="Times New Roman"/>
          <w:color w:val="000000" w:themeColor="text1"/>
          <w:sz w:val="16"/>
          <w:szCs w:val="16"/>
        </w:rPr>
        <w:softHyphen/>
        <w:t>да № 153 тов. Романова оказать заводу № 82 помощь оснаст</w:t>
      </w:r>
      <w:r w:rsidRPr="008127F8">
        <w:rPr>
          <w:rFonts w:ascii="Times New Roman" w:hAnsi="Times New Roman"/>
          <w:color w:val="000000" w:themeColor="text1"/>
          <w:sz w:val="16"/>
          <w:szCs w:val="16"/>
        </w:rPr>
        <w:softHyphen/>
        <w:t xml:space="preserve">кой, инструментом, агрегатами и деталями в </w:t>
      </w:r>
      <w:proofErr w:type="gramStart"/>
      <w:r w:rsidRPr="008127F8">
        <w:rPr>
          <w:rFonts w:ascii="Times New Roman" w:hAnsi="Times New Roman"/>
          <w:color w:val="000000" w:themeColor="text1"/>
          <w:sz w:val="16"/>
          <w:szCs w:val="16"/>
        </w:rPr>
        <w:t>размерах,уста</w:t>
      </w:r>
      <w:r w:rsidRPr="008127F8">
        <w:rPr>
          <w:rFonts w:ascii="Times New Roman" w:hAnsi="Times New Roman"/>
          <w:color w:val="000000" w:themeColor="text1"/>
          <w:sz w:val="16"/>
          <w:szCs w:val="16"/>
        </w:rPr>
        <w:softHyphen/>
        <w:t>навливаемых</w:t>
      </w:r>
      <w:proofErr w:type="gramEnd"/>
      <w:r w:rsidRPr="008127F8">
        <w:rPr>
          <w:rFonts w:ascii="Times New Roman" w:hAnsi="Times New Roman"/>
          <w:color w:val="000000" w:themeColor="text1"/>
          <w:sz w:val="16"/>
          <w:szCs w:val="16"/>
        </w:rPr>
        <w:t xml:space="preserve"> Наркомавиапромом.</w:t>
      </w:r>
    </w:p>
    <w:p w14:paraId="39F4FB69"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4.3а выполнение в срок строительно-монтажных работ по заводу № 82 выделить в распоряжение НаркомаЕиапрома т.Шахурина и т. Дементьева для премирования строителей и монтажников 800 ткс.руб. из резервного фонда CНIK СССР.</w:t>
      </w:r>
    </w:p>
    <w:p w14:paraId="065DCF1A"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5.Обязать Моссовет </w:t>
      </w:r>
      <w:proofErr w:type="gramStart"/>
      <w:r w:rsidRPr="008127F8">
        <w:rPr>
          <w:rFonts w:ascii="Times New Roman" w:hAnsi="Times New Roman"/>
          <w:color w:val="000000" w:themeColor="text1"/>
          <w:sz w:val="16"/>
          <w:szCs w:val="16"/>
        </w:rPr>
        <w:t>тов.Пронина</w:t>
      </w:r>
      <w:proofErr w:type="gramEnd"/>
      <w:r w:rsidRPr="008127F8">
        <w:rPr>
          <w:rFonts w:ascii="Times New Roman" w:hAnsi="Times New Roman"/>
          <w:color w:val="000000" w:themeColor="text1"/>
          <w:sz w:val="16"/>
          <w:szCs w:val="16"/>
        </w:rPr>
        <w:t xml:space="preserve"> передать заводу № 82 для расселения рабочих, ИТР и служащих завода в Ленинградском районе г. Москвы - 10 тыс.кв.мт. жилплощади.</w:t>
      </w:r>
    </w:p>
    <w:p w14:paraId="57DED7C2"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Выписки посланы: </w:t>
      </w:r>
      <w:proofErr w:type="gramStart"/>
      <w:r w:rsidRPr="008127F8">
        <w:rPr>
          <w:rFonts w:ascii="Times New Roman" w:hAnsi="Times New Roman"/>
          <w:color w:val="000000" w:themeColor="text1"/>
          <w:sz w:val="16"/>
          <w:szCs w:val="16"/>
        </w:rPr>
        <w:t>т.т.Маленкову,Берия</w:t>
      </w:r>
      <w:proofErr w:type="gramEnd"/>
      <w:r w:rsidRPr="008127F8">
        <w:rPr>
          <w:rFonts w:ascii="Times New Roman" w:hAnsi="Times New Roman"/>
          <w:color w:val="000000" w:themeColor="text1"/>
          <w:sz w:val="16"/>
          <w:szCs w:val="16"/>
        </w:rPr>
        <w:t xml:space="preserve"> ,.''иксяну;,Шахурину ,</w:t>
      </w:r>
    </w:p>
    <w:p w14:paraId="1B0819FA" w14:textId="77777777" w:rsidR="00E14E46" w:rsidRPr="008127F8" w:rsidRDefault="00E14E46" w:rsidP="001E0A84">
      <w:pPr>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Дементьеву,Бугрову</w:t>
      </w:r>
      <w:proofErr w:type="gramEnd"/>
      <w:r w:rsidRPr="008127F8">
        <w:rPr>
          <w:rFonts w:ascii="Times New Roman" w:hAnsi="Times New Roman"/>
          <w:color w:val="000000" w:themeColor="text1"/>
          <w:sz w:val="16"/>
          <w:szCs w:val="16"/>
        </w:rPr>
        <w:t xml:space="preserve"> Щербакову, Новикову - все;</w:t>
      </w:r>
    </w:p>
    <w:p w14:paraId="20D93FE6" w14:textId="77777777" w:rsidR="00E14E46" w:rsidRPr="008127F8" w:rsidRDefault="00E14E4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Романову - 3; Звереву - 4; Пронину - 5 (19210).</w:t>
      </w:r>
    </w:p>
    <w:p w14:paraId="497517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9F13D"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апреля 1942 г. постановлением ГКО №1659сс и дублиру</w:t>
      </w:r>
      <w:r w:rsidRPr="008A2E5A">
        <w:rPr>
          <w:rFonts w:ascii="Times New Roman" w:hAnsi="Times New Roman"/>
          <w:color w:val="0070C0"/>
          <w:sz w:val="16"/>
          <w:szCs w:val="16"/>
        </w:rPr>
        <w:softHyphen/>
        <w:t>ющим приказом НКАП №333сс от 30.04.42 г. в мае месяце завод № 82 должен был сдать по графику 26-го и 31-го числа первые две машины Як-7Б из запланированных на 1942 г. 400 штук. Однако, по более позднему приказу НКАП № 365с от 11.05.42 г. обе машины следовало представить на испытания для определения летных данных в ЛИИ НКАП уже к 15 мая 1942 г. Планировалось, что прибывающие из Новосибирска фюзеляжи в комплекте с различными де</w:t>
      </w:r>
      <w:r w:rsidRPr="008A2E5A">
        <w:rPr>
          <w:rFonts w:ascii="Times New Roman" w:hAnsi="Times New Roman"/>
          <w:color w:val="0070C0"/>
          <w:sz w:val="16"/>
          <w:szCs w:val="16"/>
        </w:rPr>
        <w:softHyphen/>
        <w:t>талями будут начиняться в Тушине моторами, винтами, радиаторами, вооружением и стыковаться с изготовлен</w:t>
      </w:r>
      <w:r w:rsidRPr="008A2E5A">
        <w:rPr>
          <w:rFonts w:ascii="Times New Roman" w:hAnsi="Times New Roman"/>
          <w:color w:val="0070C0"/>
          <w:sz w:val="16"/>
          <w:szCs w:val="16"/>
        </w:rPr>
        <w:softHyphen/>
        <w:t>ными на месте крыльями, сокращая, таким образом, цикл изготовления боевых машин на время, затрачиваемое на доставку комплектующих в Сибирь. Во-вторых, это позво</w:t>
      </w:r>
      <w:r w:rsidRPr="008A2E5A">
        <w:rPr>
          <w:rFonts w:ascii="Times New Roman" w:hAnsi="Times New Roman"/>
          <w:color w:val="0070C0"/>
          <w:sz w:val="16"/>
          <w:szCs w:val="16"/>
        </w:rPr>
        <w:softHyphen/>
        <w:t>ляло рационально использовать производственные мощ</w:t>
      </w:r>
      <w:r w:rsidRPr="008A2E5A">
        <w:rPr>
          <w:rFonts w:ascii="Times New Roman" w:hAnsi="Times New Roman"/>
          <w:color w:val="0070C0"/>
          <w:sz w:val="16"/>
          <w:szCs w:val="16"/>
        </w:rPr>
        <w:softHyphen/>
        <w:t>ности завода №153, разгружая цеха окончательной сбор</w:t>
      </w:r>
      <w:r w:rsidRPr="008A2E5A">
        <w:rPr>
          <w:rFonts w:ascii="Times New Roman" w:hAnsi="Times New Roman"/>
          <w:color w:val="0070C0"/>
          <w:sz w:val="16"/>
          <w:szCs w:val="16"/>
        </w:rPr>
        <w:softHyphen/>
        <w:t>ки, которые могли простаивать в связи с дефицитом мо</w:t>
      </w:r>
      <w:r w:rsidRPr="008A2E5A">
        <w:rPr>
          <w:rFonts w:ascii="Times New Roman" w:hAnsi="Times New Roman"/>
          <w:color w:val="0070C0"/>
          <w:sz w:val="16"/>
          <w:szCs w:val="16"/>
        </w:rPr>
        <w:softHyphen/>
        <w:t>торов, винтов и других готовых изделий. В-третьих, по мере укомплектования оборудованием, а также увеличе</w:t>
      </w:r>
      <w:r w:rsidRPr="008A2E5A">
        <w:rPr>
          <w:rFonts w:ascii="Times New Roman" w:hAnsi="Times New Roman"/>
          <w:color w:val="0070C0"/>
          <w:sz w:val="16"/>
          <w:szCs w:val="16"/>
        </w:rPr>
        <w:softHyphen/>
        <w:t>ния числа и повышения квалификации рабочей силы Ту</w:t>
      </w:r>
      <w:r w:rsidRPr="008A2E5A">
        <w:rPr>
          <w:rFonts w:ascii="Times New Roman" w:hAnsi="Times New Roman"/>
          <w:color w:val="0070C0"/>
          <w:sz w:val="16"/>
          <w:szCs w:val="16"/>
        </w:rPr>
        <w:softHyphen/>
        <w:t>шинский завод мог перейти на самостоятельное изготов</w:t>
      </w:r>
      <w:r w:rsidRPr="008A2E5A">
        <w:rPr>
          <w:rFonts w:ascii="Times New Roman" w:hAnsi="Times New Roman"/>
          <w:color w:val="0070C0"/>
          <w:sz w:val="16"/>
          <w:szCs w:val="16"/>
        </w:rPr>
        <w:softHyphen/>
        <w:t>ление самолетов. Проектная мощность завода планиро</w:t>
      </w:r>
      <w:r w:rsidRPr="008A2E5A">
        <w:rPr>
          <w:rFonts w:ascii="Times New Roman" w:hAnsi="Times New Roman"/>
          <w:color w:val="0070C0"/>
          <w:sz w:val="16"/>
          <w:szCs w:val="16"/>
        </w:rPr>
        <w:softHyphen/>
        <w:t>валась на выпуск 2,5 самолетов Як-7Б в день (23381).</w:t>
      </w:r>
    </w:p>
    <w:p w14:paraId="67D88AB3" w14:textId="77777777" w:rsidR="000B548A" w:rsidRPr="008A2E5A" w:rsidRDefault="000B548A" w:rsidP="000B548A">
      <w:pPr>
        <w:spacing w:after="0" w:line="240" w:lineRule="auto"/>
        <w:jc w:val="both"/>
        <w:rPr>
          <w:rFonts w:ascii="Times New Roman" w:hAnsi="Times New Roman"/>
          <w:color w:val="0070C0"/>
          <w:sz w:val="16"/>
          <w:szCs w:val="16"/>
        </w:rPr>
      </w:pPr>
    </w:p>
    <w:p w14:paraId="1F37B62C"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апреля 1942 г. согласно постановлению ГКО №1663сс (дублирующий приказ наркома авиапро</w:t>
      </w:r>
      <w:r w:rsidRPr="008A2E5A">
        <w:rPr>
          <w:rFonts w:ascii="Times New Roman" w:hAnsi="Times New Roman"/>
          <w:color w:val="0070C0"/>
          <w:sz w:val="16"/>
          <w:szCs w:val="16"/>
        </w:rPr>
        <w:softHyphen/>
        <w:t>мышленности №334сс от 30.04.42 г.) на самолетах Як-7Б начали уста</w:t>
      </w:r>
      <w:r w:rsidRPr="008A2E5A">
        <w:rPr>
          <w:rFonts w:ascii="Times New Roman" w:hAnsi="Times New Roman"/>
          <w:color w:val="0070C0"/>
          <w:sz w:val="16"/>
          <w:szCs w:val="16"/>
        </w:rPr>
        <w:softHyphen/>
        <w:t>навливать бомбовое вооружение. На самолете должны были появиться четыре бом</w:t>
      </w:r>
      <w:r w:rsidRPr="008A2E5A">
        <w:rPr>
          <w:rFonts w:ascii="Times New Roman" w:hAnsi="Times New Roman"/>
          <w:color w:val="0070C0"/>
          <w:sz w:val="16"/>
          <w:szCs w:val="16"/>
        </w:rPr>
        <w:softHyphen/>
        <w:t>бодержателя для подвески 50-кг авиабомб и шесть РО- 82. После разработки конструкции установок в ОКБ рас</w:t>
      </w:r>
      <w:r w:rsidRPr="008A2E5A">
        <w:rPr>
          <w:rFonts w:ascii="Times New Roman" w:hAnsi="Times New Roman"/>
          <w:color w:val="0070C0"/>
          <w:sz w:val="16"/>
          <w:szCs w:val="16"/>
        </w:rPr>
        <w:softHyphen/>
        <w:t>считали ожидаемое ухудшение летных данных машин с бомбовым и ракетным вооружением. При максимальной скорости самолета Як-7 в 580 км/ч установка двух бомбо</w:t>
      </w:r>
      <w:r w:rsidRPr="008A2E5A">
        <w:rPr>
          <w:rFonts w:ascii="Times New Roman" w:hAnsi="Times New Roman"/>
          <w:color w:val="0070C0"/>
          <w:sz w:val="16"/>
          <w:szCs w:val="16"/>
        </w:rPr>
        <w:softHyphen/>
        <w:t>держателей и шести ракетных орудий снижала ее до 542 км/ч, а при подвеске 50-кг бомб и PC - до 510 км/ч. В до</w:t>
      </w:r>
      <w:r w:rsidRPr="008A2E5A">
        <w:rPr>
          <w:rFonts w:ascii="Times New Roman" w:hAnsi="Times New Roman"/>
          <w:color w:val="0070C0"/>
          <w:sz w:val="16"/>
          <w:szCs w:val="16"/>
        </w:rPr>
        <w:softHyphen/>
        <w:t>кладной записке от 29 апреля 1942 г. на имя наркома ави</w:t>
      </w:r>
      <w:r w:rsidRPr="008A2E5A">
        <w:rPr>
          <w:rFonts w:ascii="Times New Roman" w:hAnsi="Times New Roman"/>
          <w:color w:val="0070C0"/>
          <w:sz w:val="16"/>
          <w:szCs w:val="16"/>
        </w:rPr>
        <w:softHyphen/>
        <w:t>апромышленности А.С. Яковлев, в связи с результатами расчетов, предложил сократить количество бомбодержа</w:t>
      </w:r>
      <w:r w:rsidRPr="008A2E5A">
        <w:rPr>
          <w:rFonts w:ascii="Times New Roman" w:hAnsi="Times New Roman"/>
          <w:color w:val="0070C0"/>
          <w:sz w:val="16"/>
          <w:szCs w:val="16"/>
        </w:rPr>
        <w:softHyphen/>
        <w:t>телей для истребителей «Як» до двух (как на истребите</w:t>
      </w:r>
      <w:r w:rsidRPr="008A2E5A">
        <w:rPr>
          <w:rFonts w:ascii="Times New Roman" w:hAnsi="Times New Roman"/>
          <w:color w:val="0070C0"/>
          <w:sz w:val="16"/>
          <w:szCs w:val="16"/>
        </w:rPr>
        <w:softHyphen/>
        <w:t>лях МиГ и ЛаГГ) с возможностью подвески авиабомб ка</w:t>
      </w:r>
      <w:r w:rsidRPr="008A2E5A">
        <w:rPr>
          <w:rFonts w:ascii="Times New Roman" w:hAnsi="Times New Roman"/>
          <w:color w:val="0070C0"/>
          <w:sz w:val="16"/>
          <w:szCs w:val="16"/>
        </w:rPr>
        <w:softHyphen/>
        <w:t>либром до 100 кг, а РО - до четырех. Предложение глав</w:t>
      </w:r>
      <w:r w:rsidRPr="008A2E5A">
        <w:rPr>
          <w:rFonts w:ascii="Times New Roman" w:hAnsi="Times New Roman"/>
          <w:color w:val="0070C0"/>
          <w:sz w:val="16"/>
          <w:szCs w:val="16"/>
        </w:rPr>
        <w:softHyphen/>
        <w:t>ного конструктора встретило понимание у руководства страны и 2 мая постановлением ГКО №1680сс (дублиру</w:t>
      </w:r>
      <w:r w:rsidRPr="008A2E5A">
        <w:rPr>
          <w:rFonts w:ascii="Times New Roman" w:hAnsi="Times New Roman"/>
          <w:color w:val="0070C0"/>
          <w:sz w:val="16"/>
          <w:szCs w:val="16"/>
        </w:rPr>
        <w:softHyphen/>
        <w:t>ющий приказ наркома авиапромышленности №361 сс от 8.5.42 г.) количество бомбодержателей на истребителях «Як» сократили до двух, позволявших подвешивать авиа</w:t>
      </w:r>
      <w:r w:rsidRPr="008A2E5A">
        <w:rPr>
          <w:rFonts w:ascii="Times New Roman" w:hAnsi="Times New Roman"/>
          <w:color w:val="0070C0"/>
          <w:sz w:val="16"/>
          <w:szCs w:val="16"/>
        </w:rPr>
        <w:softHyphen/>
        <w:t>бомбы калибром от 25 до 100 кг, а РО - до четырех.</w:t>
      </w:r>
    </w:p>
    <w:p w14:paraId="3754803D"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производстве на заводе №153 установку бомбодер</w:t>
      </w:r>
      <w:r w:rsidRPr="008A2E5A">
        <w:rPr>
          <w:rFonts w:ascii="Times New Roman" w:hAnsi="Times New Roman"/>
          <w:color w:val="0070C0"/>
          <w:sz w:val="16"/>
          <w:szCs w:val="16"/>
        </w:rPr>
        <w:softHyphen/>
        <w:t>жателей внедрили с 1 июля 1942 г. (с 23-й серии). Управ</w:t>
      </w:r>
      <w:r w:rsidRPr="008A2E5A">
        <w:rPr>
          <w:rFonts w:ascii="Times New Roman" w:hAnsi="Times New Roman"/>
          <w:color w:val="0070C0"/>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8A2E5A">
        <w:rPr>
          <w:rFonts w:ascii="Times New Roman" w:hAnsi="Times New Roman"/>
          <w:color w:val="0070C0"/>
          <w:sz w:val="16"/>
          <w:szCs w:val="16"/>
        </w:rPr>
        <w:softHyphen/>
        <w:t>тропроводка управления ВАП. Пусковая кнопка под кол</w:t>
      </w:r>
      <w:r w:rsidRPr="008A2E5A">
        <w:rPr>
          <w:rFonts w:ascii="Times New Roman" w:hAnsi="Times New Roman"/>
          <w:color w:val="0070C0"/>
          <w:sz w:val="16"/>
          <w:szCs w:val="16"/>
        </w:rPr>
        <w:softHyphen/>
        <w:t>пачком устанавливалась на левом пульте у приборной до</w:t>
      </w:r>
      <w:r w:rsidRPr="008A2E5A">
        <w:rPr>
          <w:rFonts w:ascii="Times New Roman" w:hAnsi="Times New Roman"/>
          <w:color w:val="0070C0"/>
          <w:sz w:val="16"/>
          <w:szCs w:val="16"/>
        </w:rPr>
        <w:softHyphen/>
        <w:t>ски. Сброс ВАП, как и бомб, - механическим способом. Бомбовое вооружение испытали на заводе при полигон</w:t>
      </w:r>
      <w:r w:rsidRPr="008A2E5A">
        <w:rPr>
          <w:rFonts w:ascii="Times New Roman" w:hAnsi="Times New Roman"/>
          <w:color w:val="0070C0"/>
          <w:sz w:val="16"/>
          <w:szCs w:val="16"/>
        </w:rPr>
        <w:softHyphen/>
        <w:t>ных испытаниях Як-7Б №</w:t>
      </w:r>
      <w:proofErr w:type="gramStart"/>
      <w:r w:rsidRPr="008A2E5A">
        <w:rPr>
          <w:rFonts w:ascii="Times New Roman" w:hAnsi="Times New Roman"/>
          <w:color w:val="0070C0"/>
          <w:sz w:val="16"/>
          <w:szCs w:val="16"/>
        </w:rPr>
        <w:t>2315310 ,</w:t>
      </w:r>
      <w:proofErr w:type="gramEnd"/>
      <w:r w:rsidRPr="008A2E5A">
        <w:rPr>
          <w:rFonts w:ascii="Times New Roman" w:hAnsi="Times New Roman"/>
          <w:color w:val="0070C0"/>
          <w:sz w:val="16"/>
          <w:szCs w:val="16"/>
        </w:rPr>
        <w:t xml:space="preserve"> которые закончились с положительным результатом. Из-за падения максималь</w:t>
      </w:r>
      <w:r w:rsidRPr="008A2E5A">
        <w:rPr>
          <w:rFonts w:ascii="Times New Roman" w:hAnsi="Times New Roman"/>
          <w:color w:val="0070C0"/>
          <w:sz w:val="16"/>
          <w:szCs w:val="16"/>
        </w:rPr>
        <w:softHyphen/>
        <w:t>ных скоростей серийных самолетов установку бомбово</w:t>
      </w:r>
      <w:r w:rsidRPr="008A2E5A">
        <w:rPr>
          <w:rFonts w:ascii="Times New Roman" w:hAnsi="Times New Roman"/>
          <w:color w:val="0070C0"/>
          <w:sz w:val="16"/>
          <w:szCs w:val="16"/>
        </w:rPr>
        <w:softHyphen/>
        <w:t>го вооружения временно прекратили с 30-й серии и воз</w:t>
      </w:r>
      <w:r w:rsidRPr="008A2E5A">
        <w:rPr>
          <w:rFonts w:ascii="Times New Roman" w:hAnsi="Times New Roman"/>
          <w:color w:val="0070C0"/>
          <w:sz w:val="16"/>
          <w:szCs w:val="16"/>
        </w:rPr>
        <w:softHyphen/>
        <w:t>обновили после проведения на серийных машинах реко</w:t>
      </w:r>
      <w:r w:rsidRPr="008A2E5A">
        <w:rPr>
          <w:rFonts w:ascii="Times New Roman" w:hAnsi="Times New Roman"/>
          <w:color w:val="0070C0"/>
          <w:sz w:val="16"/>
          <w:szCs w:val="16"/>
        </w:rPr>
        <w:softHyphen/>
        <w:t>мендованных ОКБ мероприятий с самолета №3115361. На заводе №82 бомбовое вооружение начали устанавли</w:t>
      </w:r>
      <w:r w:rsidRPr="008A2E5A">
        <w:rPr>
          <w:rFonts w:ascii="Times New Roman" w:hAnsi="Times New Roman"/>
          <w:color w:val="0070C0"/>
          <w:sz w:val="16"/>
          <w:szCs w:val="16"/>
        </w:rPr>
        <w:softHyphen/>
        <w:t>вать с машины №820205.</w:t>
      </w:r>
    </w:p>
    <w:p w14:paraId="3FC87E39"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на Як-7Б производилась опытная установка держателей Д-2-42 конструкции завода №43. Держате</w:t>
      </w:r>
      <w:r w:rsidRPr="008A2E5A">
        <w:rPr>
          <w:rFonts w:ascii="Times New Roman" w:hAnsi="Times New Roman"/>
          <w:color w:val="0070C0"/>
          <w:sz w:val="16"/>
          <w:szCs w:val="16"/>
        </w:rPr>
        <w:softHyphen/>
        <w:t>ли предназначались для подвески и сбрасывания авиа</w:t>
      </w:r>
      <w:r w:rsidRPr="008A2E5A">
        <w:rPr>
          <w:rFonts w:ascii="Times New Roman" w:hAnsi="Times New Roman"/>
          <w:color w:val="0070C0"/>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8A2E5A">
        <w:rPr>
          <w:rFonts w:ascii="Times New Roman" w:hAnsi="Times New Roman"/>
          <w:color w:val="0070C0"/>
          <w:sz w:val="16"/>
          <w:szCs w:val="16"/>
        </w:rPr>
        <w:softHyphen/>
        <w:t>тря на цикл доводочных испытаний, проведенных в мае, августе, ноябре 1943 и январе 1944 г., полностью устра</w:t>
      </w:r>
      <w:r w:rsidRPr="008A2E5A">
        <w:rPr>
          <w:rFonts w:ascii="Times New Roman" w:hAnsi="Times New Roman"/>
          <w:color w:val="0070C0"/>
          <w:sz w:val="16"/>
          <w:szCs w:val="16"/>
        </w:rPr>
        <w:softHyphen/>
        <w:t>нить производственные и конструктивные недостатки держателей не удалось (23381).</w:t>
      </w:r>
    </w:p>
    <w:p w14:paraId="099F374A" w14:textId="77777777" w:rsidR="000B548A" w:rsidRPr="008A2E5A" w:rsidRDefault="000B548A" w:rsidP="000B548A">
      <w:pPr>
        <w:spacing w:after="0" w:line="240" w:lineRule="auto"/>
        <w:jc w:val="both"/>
        <w:rPr>
          <w:rFonts w:ascii="Times New Roman" w:hAnsi="Times New Roman"/>
          <w:color w:val="0070C0"/>
          <w:sz w:val="16"/>
          <w:szCs w:val="16"/>
        </w:rPr>
      </w:pPr>
    </w:p>
    <w:p w14:paraId="2C09AA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1663 Об оборудовании самолетов Як-1 и Як-7 бомбодержателями. РГАНИР, Фонд ГКО, д. 32, лл. 35 (11012).</w:t>
      </w:r>
    </w:p>
    <w:p w14:paraId="09E559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F4AB2" w14:textId="77777777" w:rsidR="006163CA" w:rsidRPr="008127F8" w:rsidRDefault="006163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ГОКО-1653сс Об оборудовании самолетов Як-1 и Як-7 бомбодержателя</w:t>
      </w:r>
    </w:p>
    <w:p w14:paraId="65D1759D" w14:textId="77777777" w:rsidR="006163CA" w:rsidRPr="008127F8" w:rsidRDefault="006163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Признать необходимым оборудовать самолеты Ях-1 и Як-7 бомбодержателями по 4 штуки на самолет для 50 килограм</w:t>
      </w:r>
      <w:r w:rsidRPr="008127F8">
        <w:rPr>
          <w:rFonts w:ascii="Times New Roman" w:hAnsi="Times New Roman"/>
          <w:color w:val="000000" w:themeColor="text1"/>
          <w:sz w:val="16"/>
          <w:szCs w:val="16"/>
        </w:rPr>
        <w:softHyphen/>
        <w:t>мовых бомб на каждый бомбодержатель.</w:t>
      </w:r>
    </w:p>
    <w:p w14:paraId="2F99F7E8" w14:textId="77777777" w:rsidR="006163CA" w:rsidRPr="008127F8" w:rsidRDefault="006163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т.Шахурина и т.Яковлева и директора завода № 292 т.Левина к 10 мая с.г. оборудовать 10 самолетов бомбодержателями и одновременно развернуть под</w:t>
      </w:r>
      <w:r w:rsidRPr="008127F8">
        <w:rPr>
          <w:rFonts w:ascii="Times New Roman" w:hAnsi="Times New Roman"/>
          <w:color w:val="000000" w:themeColor="text1"/>
          <w:sz w:val="16"/>
          <w:szCs w:val="16"/>
        </w:rPr>
        <w:softHyphen/>
        <w:t>готовку серийного производства самолетов Як-1 и Як-7 с бом</w:t>
      </w:r>
      <w:r w:rsidRPr="008127F8">
        <w:rPr>
          <w:rFonts w:ascii="Times New Roman" w:hAnsi="Times New Roman"/>
          <w:color w:val="000000" w:themeColor="text1"/>
          <w:sz w:val="16"/>
          <w:szCs w:val="16"/>
        </w:rPr>
        <w:softHyphen/>
        <w:t>бодержателями, с тем, чтооы с 25 мая с.г. выпускать все са</w:t>
      </w:r>
      <w:r w:rsidRPr="008127F8">
        <w:rPr>
          <w:rFonts w:ascii="Times New Roman" w:hAnsi="Times New Roman"/>
          <w:color w:val="000000" w:themeColor="text1"/>
          <w:sz w:val="16"/>
          <w:szCs w:val="16"/>
        </w:rPr>
        <w:softHyphen/>
        <w:t>молеты Як-1 и Як-7 с бомбодержателями.</w:t>
      </w:r>
    </w:p>
    <w:p w14:paraId="40C83A06" w14:textId="77777777" w:rsidR="006163CA" w:rsidRPr="008127F8" w:rsidRDefault="006163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Обязать командующего ВВС т.Новикова не позднее 15 мая с.г. дать заключение о самолетах Як-1, оборудован</w:t>
      </w:r>
      <w:r w:rsidRPr="008127F8">
        <w:rPr>
          <w:rFonts w:ascii="Times New Roman" w:hAnsi="Times New Roman"/>
          <w:color w:val="000000" w:themeColor="text1"/>
          <w:sz w:val="16"/>
          <w:szCs w:val="16"/>
        </w:rPr>
        <w:softHyphen/>
        <w:t>ных бомбодержателями.</w:t>
      </w:r>
    </w:p>
    <w:p w14:paraId="5C66E19A" w14:textId="77777777" w:rsidR="006163CA" w:rsidRPr="008127F8" w:rsidRDefault="006163C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Поручить т.Шахурину, т.Яковлеву и т.Новикову в 3-дневный срок представить предложения об оборудовании бом</w:t>
      </w:r>
      <w:r w:rsidRPr="008127F8">
        <w:rPr>
          <w:rFonts w:ascii="Times New Roman" w:hAnsi="Times New Roman"/>
          <w:color w:val="000000" w:themeColor="text1"/>
          <w:sz w:val="16"/>
          <w:szCs w:val="16"/>
        </w:rPr>
        <w:softHyphen/>
        <w:t>бодержателями самолетов Як-1 и Як-7, находящихся на фронте (19211).</w:t>
      </w:r>
    </w:p>
    <w:p w14:paraId="71E9C096" w14:textId="77777777" w:rsidR="006163CA" w:rsidRPr="008127F8" w:rsidRDefault="006163CA"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E2D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Постановлением ГКО А.С. Яковлеву и директору завода № 292 И.С. Левину дали задание к 10 мая оборудовать десять машин Як-1 бомбодержателями и к 25 мая подготовить производство для выпуска всех самолетов с ними. Очевидно, авиастроителям удалось доказать нереальность установки четырех бомбодержателей для 50-ти килограммовых авиабомб, которые вместе с шестью РО-82 значительно ухудшили бы аэродинамику Як-1. Поэтому новым постановлением, принятым 2 мая 1942 г. во изменение предыдущего, число бомбодержателей было уменьшено до двух (а РО-82 - до четырех). Тем не менее, максимальная бомбовая нагрузка была оставлена прежней - 200 кг.</w:t>
      </w:r>
    </w:p>
    <w:p w14:paraId="7C6367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на всех Як-1, начиная с 80-й серии, устанавливались два бомбодержателя (замки БИ-42 с ухватами) для подвески авиабомб калибра 25, 50 и 100 кг. Замки и ухваты были вмонтированы в нижние полки усиленных дюралевых нервюр, расположенных между бензобаками. Замки открывались механически посредством тросовой проводки от рукоятки в кабине летчика. До 85-й серии, рукоятка крепилась на левом боковом подкосе, а с 85-й серии вместо нее был использован освободившийся рычаг управлением форсажем мотора на левом пульте. Рычаг имел предохранительную чеку, вынимаемую пилотом перед сбросом бомб.</w:t>
      </w:r>
    </w:p>
    <w:p w14:paraId="0C97A4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Цель ГКО и причины, повлиявшие на принятие решения об установке бомбодержателей, остались неизвестными. Постановление ГКО об использовании истребителей для бомбовых ударов появилось позже, в июне 1942 г. Добиваться выполнения ТТТ в то время, когда буквально шла борьба за каждый килограмм веса конструкции, за каждый километр в час скорости было неразумно. В частях нововведение практически не использовали, снимая замки и ухваты для облегчения и заклеивая полотном отверстия под их установку, чтобы не ухудшать аэродинамику крыла. Также, выяснилось, что с этих держателей применять авиабомбы калибра 100 кг невозможно. Вворачиванию взрывателя мешали стойки и щитки шасси, которое крепилось на той же усиленной нервюре. При подвеске же бомб в снаряженном состоянии ветрянка взрывателя создавала помеху уборке шасси. Поэтому, начиная с 127-й серии, бомбодержатели сняли. Однако позже, когда самолеты Як-9 и Jla-5 потеснили истребители Як-1 из первых рядов воздушных бойцов, бомбодержатели начали устанавливать снова. Это расширяло сферу применения машины, исчерпавшей все возможности своего улучшения. Произошло это с 154-й серии (с 23 сентября 1943 г.). При отправке в часть замки, ухваты и контрящие вилки снимались и вкладывались в сумку с запасными частями и инструментом для вооружения (12048).</w:t>
      </w:r>
    </w:p>
    <w:p w14:paraId="308AD6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30B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КБ А.С.Я и заводу 292 поручили дооборудовать 10 Як-1 бомбодержателями для 4хФАБ-50 и с 27 мая и именно поэтому сократили число РО (198,48).</w:t>
      </w:r>
    </w:p>
    <w:p w14:paraId="7C0C4A30" w14:textId="77777777" w:rsidR="00E359CF"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было постановление ГКО N (ГОКО-1663) от 26 апреля 1942, которое признало необходимым оборудовать самолеты Як-1 и Як-7 бомбодержателями (по 4 шт. на самолет для 50 кг бомб на каждый) (1612,25).</w:t>
      </w:r>
    </w:p>
    <w:p w14:paraId="7E870A6C" w14:textId="77777777" w:rsidR="00E359CF" w:rsidRPr="008127F8" w:rsidRDefault="00E359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7BC29" w14:textId="77777777" w:rsidR="00E359CF"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26 апреля 1942 вышло:</w:t>
      </w:r>
    </w:p>
    <w:p w14:paraId="46EA2C2A" w14:textId="77777777" w:rsidR="00E359CF"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ГОСУДАРСТВЕННЫЙ КОМИТЕТ ОБОРОНЫ ПОСТАНОВЛЕНИЕ № 1664 сс</w:t>
      </w:r>
    </w:p>
    <w:p w14:paraId="20AD14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увеличении выпуска самолетов бомбардировочного типа</w:t>
      </w:r>
    </w:p>
    <w:p w14:paraId="2B0143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увеличения выпуска самолетов бомбардировочного типа Государственный Комитет Обороны постановляет:</w:t>
      </w:r>
    </w:p>
    <w:p w14:paraId="6A77BE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Обязать Народный Комиссариат Авиационной Промышленности </w:t>
      </w:r>
      <w:proofErr w:type="gramStart"/>
      <w:r w:rsidRPr="008127F8">
        <w:rPr>
          <w:rFonts w:ascii="Times New Roman" w:hAnsi="Times New Roman"/>
          <w:color w:val="000000" w:themeColor="text1"/>
          <w:sz w:val="16"/>
          <w:szCs w:val="16"/>
        </w:rPr>
        <w:t>тов.Шахурина</w:t>
      </w:r>
      <w:proofErr w:type="gramEnd"/>
      <w:r w:rsidRPr="008127F8">
        <w:rPr>
          <w:rFonts w:ascii="Times New Roman" w:hAnsi="Times New Roman"/>
          <w:color w:val="000000" w:themeColor="text1"/>
          <w:sz w:val="16"/>
          <w:szCs w:val="16"/>
        </w:rPr>
        <w:t xml:space="preserve"> и тов.Яковлева разработать чертежи и построить в количестве 10 экземпляров дешевый деревянный самолет с двумя моторами "М-11".</w:t>
      </w:r>
    </w:p>
    <w:p w14:paraId="0ED5B7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должен иметь дальность 1000 километров, нести бомбовую нагрузку 500 кгр. (снаружи) и, кроме того, иметь двойное управление для использования в качестве учебного двухмоторного самолета.</w:t>
      </w:r>
    </w:p>
    <w:p w14:paraId="37F293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Войсковую серию 10 экземпляров самолета построить на заводе № 153.</w:t>
      </w:r>
    </w:p>
    <w:p w14:paraId="7006D5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два экземпляра выпустить к 1 июля, остальные к 1 сентября.</w:t>
      </w:r>
    </w:p>
    <w:p w14:paraId="513CBA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Одновременно с постройкой войсковой серии, к 1 июля изготовить на заводе № 153 комплект оснастки и приспособлений для внедрения этой машины на другом заводе. </w:t>
      </w:r>
    </w:p>
    <w:p w14:paraId="21C027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(11813).</w:t>
      </w:r>
    </w:p>
    <w:p w14:paraId="63AA9081" w14:textId="77777777" w:rsidR="00E359CF" w:rsidRPr="008127F8" w:rsidRDefault="00E359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68B71" w14:textId="77777777" w:rsidR="00262847" w:rsidRPr="008127F8" w:rsidRDefault="0026284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ГКО принял решение о создании транспортного самолета и работы поручили ОКБ А. С. Яков лева. Проектирование шло быстрыми темпами, удалось использовать ряд готовых агрегатов, в частности мотогондолы от самолета УТ-2, и уже в июле строились два экземпляра: транспортный и ночной бомбардировщик. Продувки модели № 484, выполненные в Москве в 1942 г. выявили недостаточный запас продольной и путевой устойчивости, специалисты лаборатории № 4 рекомендовали сдвинуть нормальную центровку до 22% САХ, увеличить площадь вертикального оперения и размах элеронов. Заводские испытания транспортного варианта начались 19 августа 1942 г., некоторые недостатки сочли несущественными, и отправили самолет на государственные испытания. При положительной оценке в целом, они дали менее оптимистичные результаты. Было отмечено, что продольная и поперечная устойчивость машины недостаточны, нагрузка на ручку управления крайне мала и не позволяет оценивать реальную ситуацию в полете, особенно при болтанке. Использование самолета ночью исключалось в принципе, поскольку приборная доска отражалась в лобовом стекле, и различить что-либо за бортом был невозможно. Тем не менее, в 1942—1943 гг. построили 381 самолет Як-6. Ночной ближний бомбардировщик Як-6НББ проходил испытания осенью 1942 г., но в серийное производство не пошел (19727).</w:t>
      </w:r>
    </w:p>
    <w:p w14:paraId="5BD03B13" w14:textId="77777777" w:rsidR="00262847" w:rsidRPr="008127F8" w:rsidRDefault="00262847" w:rsidP="001E0A84">
      <w:pPr>
        <w:spacing w:after="0" w:line="240" w:lineRule="auto"/>
        <w:jc w:val="both"/>
        <w:rPr>
          <w:rFonts w:ascii="Times New Roman" w:hAnsi="Times New Roman"/>
          <w:color w:val="000000" w:themeColor="text1"/>
          <w:sz w:val="16"/>
          <w:szCs w:val="16"/>
        </w:rPr>
      </w:pPr>
    </w:p>
    <w:p w14:paraId="5E773D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решением ГКО А.С.Я. поручили переработать Як-6 в ББ (4657, 16).</w:t>
      </w:r>
    </w:p>
    <w:p w14:paraId="1F8397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B3062"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в 1942 году в связи с недостаточной грузоподъемностью, дальностью да и всех других показателей легкомоторных «У-2», «Р-5» и «P-Z «Государственным комитетом обороны принято решение о постройке специализированного самолёта, который в первую очередь мог использоваться в качестве ночного ближнего бомбардировщика («МББ»). Работы были поручены ОКБ А.С.Яковлева. Началось проектирование самолета, получившего обозначение «Як-6» (15111).</w:t>
      </w:r>
    </w:p>
    <w:p w14:paraId="435BDFBE"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36A34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 Тюмени был готов планер для танка Т-60 А-40 ЛТ, КТ, который О.К.А. проектировал с декабря 1941. Для испытаний повезли в Москву (94,89).</w:t>
      </w:r>
    </w:p>
    <w:p w14:paraId="302AF3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CED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был построен планер ЛТ (А-40, КТ), который проектировался с декабря 1941. В работе участвовали О.К.А., А.Б.Белков, А.П.Эскин, Е.А.Шахатуни, Синягин, Назаров, Кузнецов, И.К.Костенко. Для испытаний в разобранном виде перевезли по ж/ в Раменское в ЛИИ (74,53, 79).</w:t>
      </w:r>
    </w:p>
    <w:p w14:paraId="3CE6DB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B39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1665 О т.т. Путилове и Изаксоне. РГАНИР, Фонд ГКО, д. 32, лл. 37 (11012).</w:t>
      </w:r>
    </w:p>
    <w:p w14:paraId="3561BF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4D23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1666 О мерах помощи авиационным заводам в г.г. Куйбышеве и Казани. (7032, 38-41).</w:t>
      </w:r>
    </w:p>
    <w:p w14:paraId="2830D794" w14:textId="77777777" w:rsidR="00E14E46" w:rsidRPr="008127F8" w:rsidRDefault="00E14E46"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CB15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1667 О строительстве и обеспечении оборудованием завода № 268 Наркомавиапрома в г.Каменске-Уральском. РГАНИР, Фонд ГКО, д. 32, лл. 42, 43-68 (11012).</w:t>
      </w:r>
    </w:p>
    <w:p w14:paraId="2E075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AA6F8" w14:textId="77777777" w:rsidR="00E14E46" w:rsidRPr="008127F8" w:rsidRDefault="00E14E4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26 апреля 1942 вышло постановление ГКО № ГОКО-1657сс</w:t>
      </w:r>
      <w:r w:rsidRPr="008127F8">
        <w:rPr>
          <w:rStyle w:val="16"/>
          <w:rFonts w:ascii="Times New Roman" w:cs="Times New Roman"/>
          <w:color w:val="000000" w:themeColor="text1"/>
          <w:spacing w:val="0"/>
        </w:rPr>
        <w:t xml:space="preserve"> </w:t>
      </w:r>
      <w:r w:rsidRPr="008127F8">
        <w:rPr>
          <w:rStyle w:val="16"/>
          <w:rFonts w:ascii="Times New Roman" w:cs="Times New Roman"/>
          <w:color w:val="000000" w:themeColor="text1"/>
          <w:spacing w:val="0"/>
          <w:u w:val="none"/>
        </w:rPr>
        <w:t>О ГРАЖДАНСКОМ ВОЗДУЩНОМ ФЛOTE</w:t>
      </w:r>
    </w:p>
    <w:p w14:paraId="1B8459A7" w14:textId="77777777" w:rsidR="00E14E46" w:rsidRPr="008127F8" w:rsidRDefault="00E14E46" w:rsidP="001E0A84">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Во изменение постановления СНК СССР от 23 июня </w:t>
      </w:r>
      <w:r w:rsidRPr="008127F8">
        <w:rPr>
          <w:rStyle w:val="0pt"/>
          <w:rFonts w:ascii="Times New Roman" w:cs="Times New Roman"/>
          <w:color w:val="000000" w:themeColor="text1"/>
          <w:spacing w:val="0"/>
          <w:sz w:val="16"/>
          <w:szCs w:val="16"/>
        </w:rPr>
        <w:t>1941</w:t>
      </w:r>
      <w:r w:rsidRPr="008127F8">
        <w:rPr>
          <w:rFonts w:ascii="Times New Roman" w:cs="Times New Roman"/>
          <w:color w:val="000000" w:themeColor="text1"/>
          <w:spacing w:val="0"/>
          <w:sz w:val="16"/>
          <w:szCs w:val="16"/>
        </w:rPr>
        <w:t xml:space="preserve"> года "О работе Гражданского Воздушного Флота в военное Бремя" Госу</w:t>
      </w:r>
      <w:r w:rsidRPr="008127F8">
        <w:rPr>
          <w:rFonts w:ascii="Times New Roman" w:cs="Times New Roman"/>
          <w:color w:val="000000" w:themeColor="text1"/>
          <w:spacing w:val="0"/>
          <w:sz w:val="16"/>
          <w:szCs w:val="16"/>
        </w:rPr>
        <w:softHyphen/>
        <w:t>дарственный Комитет Обороны постановляет:</w:t>
      </w:r>
    </w:p>
    <w:p w14:paraId="3F70222D" w14:textId="77777777" w:rsidR="00E14E46" w:rsidRPr="008127F8" w:rsidRDefault="00E14E46" w:rsidP="001E0A84">
      <w:pPr>
        <w:pStyle w:val="36"/>
        <w:shd w:val="clear" w:color="auto" w:fill="auto"/>
        <w:tabs>
          <w:tab w:val="left" w:pos="1158"/>
        </w:tabs>
        <w:autoSpaceDE/>
        <w:autoSpaceDN/>
        <w:adjustRightInd/>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1. Подчинить с 27 апреля с.г. во всех отношениях Главное управление Гражданского Воздушного Флота заместителю наркома обороны по авиации и командующему военно-воздушными силами Красной Армии </w:t>
      </w:r>
      <w:proofErr w:type="gramStart"/>
      <w:r w:rsidRPr="008127F8">
        <w:rPr>
          <w:rFonts w:ascii="Times New Roman" w:cs="Times New Roman"/>
          <w:color w:val="000000" w:themeColor="text1"/>
          <w:spacing w:val="0"/>
          <w:sz w:val="16"/>
          <w:szCs w:val="16"/>
        </w:rPr>
        <w:t>тов.Новикову</w:t>
      </w:r>
      <w:proofErr w:type="gramEnd"/>
      <w:r w:rsidRPr="008127F8">
        <w:rPr>
          <w:rFonts w:ascii="Times New Roman" w:cs="Times New Roman"/>
          <w:color w:val="000000" w:themeColor="text1"/>
          <w:spacing w:val="0"/>
          <w:sz w:val="16"/>
          <w:szCs w:val="16"/>
        </w:rPr>
        <w:t>.</w:t>
      </w:r>
    </w:p>
    <w:p w14:paraId="4BDBEF44" w14:textId="77777777" w:rsidR="00E14E46" w:rsidRPr="008127F8" w:rsidRDefault="00E14E46" w:rsidP="001E0A84">
      <w:pPr>
        <w:pStyle w:val="36"/>
        <w:shd w:val="clear" w:color="auto" w:fill="auto"/>
        <w:tabs>
          <w:tab w:val="left" w:pos="1158"/>
        </w:tabs>
        <w:autoSpaceDE/>
        <w:autoSpaceDN/>
        <w:adjustRightInd/>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 xml:space="preserve">2. Назначить начальника Главного управления Гражданского Воздушного Флота </w:t>
      </w:r>
      <w:proofErr w:type="gramStart"/>
      <w:r w:rsidRPr="008127F8">
        <w:rPr>
          <w:rFonts w:ascii="Times New Roman" w:cs="Times New Roman"/>
          <w:color w:val="000000" w:themeColor="text1"/>
          <w:spacing w:val="0"/>
          <w:sz w:val="16"/>
          <w:szCs w:val="16"/>
        </w:rPr>
        <w:t>тов.Молокова</w:t>
      </w:r>
      <w:proofErr w:type="gramEnd"/>
      <w:r w:rsidRPr="008127F8">
        <w:rPr>
          <w:rFonts w:ascii="Times New Roman" w:cs="Times New Roman"/>
          <w:color w:val="000000" w:themeColor="text1"/>
          <w:spacing w:val="0"/>
          <w:sz w:val="16"/>
          <w:szCs w:val="16"/>
        </w:rPr>
        <w:t xml:space="preserve"> заместителем командующего ВВС КА.</w:t>
      </w:r>
    </w:p>
    <w:p w14:paraId="4F76D227" w14:textId="77777777" w:rsidR="00E14E46" w:rsidRPr="008127F8" w:rsidRDefault="00E14E46" w:rsidP="001E0A84">
      <w:pPr>
        <w:pStyle w:val="36"/>
        <w:shd w:val="clear" w:color="auto" w:fill="auto"/>
        <w:tabs>
          <w:tab w:val="left" w:pos="1158"/>
        </w:tabs>
        <w:autoSpaceDE/>
        <w:autoSpaceDN/>
        <w:adjustRightInd/>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3. Назначить первым заместителем начальника Главного уп</w:t>
      </w:r>
      <w:r w:rsidRPr="008127F8">
        <w:rPr>
          <w:rFonts w:ascii="Times New Roman" w:cs="Times New Roman"/>
          <w:color w:val="000000" w:themeColor="text1"/>
          <w:spacing w:val="0"/>
          <w:sz w:val="16"/>
          <w:szCs w:val="16"/>
        </w:rPr>
        <w:softHyphen/>
        <w:t xml:space="preserve">равления Гражданского Воздушного флота </w:t>
      </w:r>
      <w:proofErr w:type="gramStart"/>
      <w:r w:rsidRPr="008127F8">
        <w:rPr>
          <w:rFonts w:ascii="Times New Roman" w:cs="Times New Roman"/>
          <w:color w:val="000000" w:themeColor="text1"/>
          <w:spacing w:val="0"/>
          <w:sz w:val="16"/>
          <w:szCs w:val="16"/>
        </w:rPr>
        <w:t>тов.Семенова</w:t>
      </w:r>
      <w:proofErr w:type="gramEnd"/>
      <w:r w:rsidRPr="008127F8">
        <w:rPr>
          <w:rFonts w:ascii="Times New Roman" w:cs="Times New Roman"/>
          <w:color w:val="000000" w:themeColor="text1"/>
          <w:spacing w:val="0"/>
          <w:sz w:val="16"/>
          <w:szCs w:val="16"/>
        </w:rPr>
        <w:t>, освободив его от обязанностей начальника Политуправления ГУГВФ.</w:t>
      </w:r>
    </w:p>
    <w:p w14:paraId="1C6902D4" w14:textId="77777777" w:rsidR="00E14E46" w:rsidRPr="008127F8" w:rsidRDefault="00E14E46" w:rsidP="001E0A84">
      <w:pPr>
        <w:pStyle w:val="36"/>
        <w:shd w:val="clear" w:color="auto" w:fill="auto"/>
        <w:tabs>
          <w:tab w:val="left" w:pos="1150"/>
        </w:tabs>
        <w:autoSpaceDE/>
        <w:autoSpaceDN/>
        <w:adjustRightInd/>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4. Поручить т.т. Новикову, Молокову, Голованову и Семено</w:t>
      </w:r>
      <w:r w:rsidRPr="008127F8">
        <w:rPr>
          <w:rFonts w:ascii="Times New Roman" w:cs="Times New Roman"/>
          <w:color w:val="000000" w:themeColor="text1"/>
          <w:spacing w:val="0"/>
          <w:sz w:val="16"/>
          <w:szCs w:val="16"/>
        </w:rPr>
        <w:softHyphen/>
        <w:t>ву в пятидневный срок представить свои предложения:</w:t>
      </w:r>
    </w:p>
    <w:p w14:paraId="039E3EA2" w14:textId="77777777" w:rsidR="00E14E46" w:rsidRPr="008127F8" w:rsidRDefault="00E14E46" w:rsidP="001E0A84">
      <w:pPr>
        <w:pStyle w:val="36"/>
        <w:shd w:val="clear" w:color="auto" w:fill="auto"/>
        <w:tabs>
          <w:tab w:val="left" w:pos="1193"/>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а) о персональных изменениях в руководящем составе ГУГВФ;</w:t>
      </w:r>
    </w:p>
    <w:p w14:paraId="68D5887E" w14:textId="77777777" w:rsidR="00E14E46" w:rsidRPr="008127F8" w:rsidRDefault="00E14E46" w:rsidP="001E0A84">
      <w:pPr>
        <w:pStyle w:val="36"/>
        <w:shd w:val="clear" w:color="auto" w:fill="auto"/>
        <w:tabs>
          <w:tab w:val="left" w:pos="1165"/>
        </w:tabs>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б) об изменениях в положении служащих и рабочих Граждан</w:t>
      </w:r>
      <w:r w:rsidRPr="008127F8">
        <w:rPr>
          <w:rFonts w:ascii="Times New Roman" w:cs="Times New Roman"/>
          <w:color w:val="000000" w:themeColor="text1"/>
          <w:spacing w:val="0"/>
          <w:sz w:val="16"/>
          <w:szCs w:val="16"/>
        </w:rPr>
        <w:softHyphen/>
        <w:t>ского Воздушного х-лота в связи с об"явлением их мобилизованны</w:t>
      </w:r>
      <w:r w:rsidRPr="008127F8">
        <w:rPr>
          <w:rFonts w:ascii="Times New Roman" w:cs="Times New Roman"/>
          <w:color w:val="000000" w:themeColor="text1"/>
          <w:spacing w:val="0"/>
          <w:sz w:val="16"/>
          <w:szCs w:val="16"/>
        </w:rPr>
        <w:softHyphen/>
        <w:t xml:space="preserve">ми, согласно постановлению СНК СССР от 23 июня </w:t>
      </w:r>
      <w:r w:rsidRPr="008127F8">
        <w:rPr>
          <w:rStyle w:val="0pt"/>
          <w:rFonts w:ascii="Times New Roman" w:cs="Times New Roman"/>
          <w:color w:val="000000" w:themeColor="text1"/>
          <w:spacing w:val="0"/>
          <w:sz w:val="16"/>
          <w:szCs w:val="16"/>
        </w:rPr>
        <w:t>1941</w:t>
      </w:r>
      <w:r w:rsidRPr="008127F8">
        <w:rPr>
          <w:rFonts w:ascii="Times New Roman" w:cs="Times New Roman"/>
          <w:color w:val="000000" w:themeColor="text1"/>
          <w:spacing w:val="0"/>
          <w:sz w:val="16"/>
          <w:szCs w:val="16"/>
        </w:rPr>
        <w:t xml:space="preserve"> года;</w:t>
      </w:r>
    </w:p>
    <w:p w14:paraId="62E23A17" w14:textId="77777777" w:rsidR="00E14E46" w:rsidRPr="008127F8" w:rsidRDefault="00E14E46" w:rsidP="001E0A84">
      <w:pPr>
        <w:pStyle w:val="36"/>
        <w:shd w:val="clear" w:color="auto" w:fill="auto"/>
        <w:tabs>
          <w:tab w:val="left" w:pos="1165"/>
        </w:tabs>
        <w:spacing w:after="0" w:line="240" w:lineRule="auto"/>
        <w:jc w:val="both"/>
        <w:rPr>
          <w:rFonts w:ascii="Times New Roman" w:cs="Times New Roman"/>
          <w:color w:val="000000" w:themeColor="text1"/>
          <w:spacing w:val="0"/>
          <w:sz w:val="16"/>
          <w:szCs w:val="16"/>
        </w:rPr>
      </w:pPr>
      <w:r w:rsidRPr="008127F8">
        <w:rPr>
          <w:rStyle w:val="Gungsuh8pt1pt"/>
          <w:rFonts w:ascii="Times New Roman" w:hAnsi="Times New Roman" w:cs="Times New Roman"/>
          <w:b w:val="0"/>
          <w:color w:val="000000" w:themeColor="text1"/>
          <w:spacing w:val="0"/>
        </w:rPr>
        <w:t xml:space="preserve">в) </w:t>
      </w:r>
      <w:r w:rsidRPr="008127F8">
        <w:rPr>
          <w:rFonts w:ascii="Times New Roman" w:cs="Times New Roman"/>
          <w:color w:val="000000" w:themeColor="text1"/>
          <w:spacing w:val="0"/>
          <w:sz w:val="16"/>
          <w:szCs w:val="16"/>
        </w:rPr>
        <w:t>о переработке "Положения о работе Гражданского Воздуш</w:t>
      </w:r>
      <w:r w:rsidRPr="008127F8">
        <w:rPr>
          <w:rFonts w:ascii="Times New Roman" w:cs="Times New Roman"/>
          <w:color w:val="000000" w:themeColor="text1"/>
          <w:spacing w:val="0"/>
          <w:sz w:val="16"/>
          <w:szCs w:val="16"/>
        </w:rPr>
        <w:softHyphen/>
        <w:t>ного Флота</w:t>
      </w:r>
      <w:r w:rsidRPr="008127F8">
        <w:rPr>
          <w:rStyle w:val="Gungsuh8pt0pt"/>
          <w:rFonts w:ascii="Times New Roman" w:hAnsi="Times New Roman" w:cs="Times New Roman"/>
          <w:b w:val="0"/>
          <w:color w:val="000000" w:themeColor="text1"/>
        </w:rPr>
        <w:t xml:space="preserve"> в военное время";</w:t>
      </w:r>
    </w:p>
    <w:p w14:paraId="1BDB68E9" w14:textId="77777777" w:rsidR="00E14E46" w:rsidRPr="008127F8" w:rsidRDefault="00E14E4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 мерах улучшения раооты Гражданского Воздушного Флота с точки зрения наилучшего использования сил и средств Граждан</w:t>
      </w:r>
      <w:r w:rsidRPr="008127F8">
        <w:rPr>
          <w:rFonts w:ascii="Times New Roman" w:hAnsi="Times New Roman"/>
          <w:color w:val="000000" w:themeColor="text1"/>
          <w:sz w:val="16"/>
          <w:szCs w:val="16"/>
        </w:rPr>
        <w:softHyphen/>
        <w:t>ского Воздушного Флота в интересах обороны (19209).</w:t>
      </w:r>
    </w:p>
    <w:p w14:paraId="4B548358" w14:textId="77777777" w:rsidR="00E14E46" w:rsidRPr="008127F8" w:rsidRDefault="00E14E46"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F92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по приказу № 319с в подчинении Ермолаева некоторое время находился филиал № 1 по Авиационному пер. завода № 30 (бывший цех ширпотреба завода № 1). По приказу № 517с от 12.07.1942 г.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15E3EF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646AA1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69BA40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8127F8">
        <w:rPr>
          <w:rFonts w:ascii="Times New Roman" w:hAnsi="Times New Roman"/>
          <w:color w:val="000000" w:themeColor="text1"/>
          <w:sz w:val="16"/>
          <w:szCs w:val="16"/>
          <w:vertAlign w:val="superscript"/>
        </w:rPr>
        <w:t>34</w:t>
      </w:r>
      <w:r w:rsidRPr="008127F8">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295931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5DC1ED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73C18E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393сс от 24.05.1949 г. все помещения на территориях «а» и «б» переданы НИИ-2.</w:t>
      </w:r>
    </w:p>
    <w:p w14:paraId="63963B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15651B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1946 г. на завод передано 386 единиц оборудования с завода Юнкерса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Хальберштадт (Германия).</w:t>
      </w:r>
    </w:p>
    <w:p w14:paraId="62D512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233FBE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комплексным системам огневой защиты Ту-16 и Ту-95.</w:t>
      </w:r>
    </w:p>
    <w:p w14:paraId="5F7A62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752FF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4B8D3F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8127F8">
        <w:rPr>
          <w:rFonts w:ascii="Times New Roman" w:hAnsi="Times New Roman"/>
          <w:color w:val="000000" w:themeColor="text1"/>
          <w:sz w:val="16"/>
          <w:szCs w:val="16"/>
        </w:rPr>
        <w:t>с  Г.И.</w:t>
      </w:r>
      <w:proofErr w:type="gramEnd"/>
      <w:r w:rsidRPr="008127F8">
        <w:rPr>
          <w:rFonts w:ascii="Times New Roman" w:hAnsi="Times New Roman"/>
          <w:color w:val="000000" w:themeColor="text1"/>
          <w:sz w:val="16"/>
          <w:szCs w:val="16"/>
        </w:rPr>
        <w:t xml:space="preserve"> Хохловым.</w:t>
      </w:r>
    </w:p>
    <w:p w14:paraId="04DB26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1985 г. НИР «Клеенка» по разработке Р-27П. В начале 1990-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 НИР «Ельник» по ракете РВВ-АЕ.</w:t>
      </w:r>
    </w:p>
    <w:p w14:paraId="66617C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4F61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Мордвинов, (1981-84 г.)- П.А. Андреев, (1984-86 г.)- Л.И. Козловский, (1986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Ильин. Руководитель (1981-2004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Соколовский. Гендиректор (2005 г.)- В.А. Рац.</w:t>
      </w:r>
    </w:p>
    <w:p w14:paraId="305BED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гендиректора: по производству (1999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Ильин; по ВЭД (2002 г.)- В.Н. Сычев.</w:t>
      </w:r>
    </w:p>
    <w:p w14:paraId="51B595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Соколовский. Ген. конструктор (1992- 2005 г.-)</w:t>
      </w:r>
      <w:proofErr w:type="gramStart"/>
      <w:r w:rsidRPr="008127F8">
        <w:rPr>
          <w:rFonts w:ascii="Times New Roman" w:hAnsi="Times New Roman"/>
          <w:color w:val="000000" w:themeColor="text1"/>
          <w:sz w:val="16"/>
          <w:szCs w:val="16"/>
        </w:rPr>
        <w:t>-  Г.А.</w:t>
      </w:r>
      <w:proofErr w:type="gramEnd"/>
      <w:r w:rsidRPr="008127F8">
        <w:rPr>
          <w:rFonts w:ascii="Times New Roman" w:hAnsi="Times New Roman"/>
          <w:color w:val="000000" w:themeColor="text1"/>
          <w:sz w:val="16"/>
          <w:szCs w:val="16"/>
        </w:rPr>
        <w:t xml:space="preserve"> Соколовский {10.08.1934-}.</w:t>
      </w:r>
    </w:p>
    <w:p w14:paraId="3E2B1C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(1980-е)- В.А. Пустовойтов.</w:t>
      </w:r>
    </w:p>
    <w:p w14:paraId="16F238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А. Кегелес (Р-73), (1982-11.1986 г.)</w:t>
      </w:r>
      <w:proofErr w:type="gramStart"/>
      <w:r w:rsidRPr="008127F8">
        <w:rPr>
          <w:rFonts w:ascii="Times New Roman" w:hAnsi="Times New Roman"/>
          <w:color w:val="000000" w:themeColor="text1"/>
          <w:sz w:val="16"/>
          <w:szCs w:val="16"/>
        </w:rPr>
        <w:t>-  Г.И.</w:t>
      </w:r>
      <w:proofErr w:type="gramEnd"/>
      <w:r w:rsidRPr="008127F8">
        <w:rPr>
          <w:rFonts w:ascii="Times New Roman" w:hAnsi="Times New Roman"/>
          <w:color w:val="000000" w:themeColor="text1"/>
          <w:sz w:val="16"/>
          <w:szCs w:val="16"/>
        </w:rPr>
        <w:t xml:space="preserve"> Хохлов (УРВП; затем- гл. конструктор ОКБ «Звезда»), (2005 г.)- В. Г. Богацкий, (2005 г.)- В.К. Елецкий.</w:t>
      </w:r>
    </w:p>
    <w:p w14:paraId="657F3D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(-1961 г.)- А.Л. Ляпин.</w:t>
      </w:r>
    </w:p>
    <w:p w14:paraId="5D667F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(1949 г.)- Б.С. Абрамович (ПВ-23).</w:t>
      </w:r>
    </w:p>
    <w:p w14:paraId="4045DA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52DD08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Летчики-испытатели: (1946 г.)- Фиксон, (1946 г.)- Шиянов.</w:t>
      </w:r>
    </w:p>
    <w:p w14:paraId="048C4A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15056D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7A4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 116.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93F1B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25218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г. Арсеньев Приморского края</w:t>
      </w:r>
    </w:p>
    <w:p w14:paraId="128392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Площадка завода находится в районе г. Арсеньев в 278 км от Владивостока.</w:t>
      </w:r>
    </w:p>
    <w:p w14:paraId="5CA6AE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017CCD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6CAA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5C888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513A5"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в 1942 году начались повторные испытания новых образцов пистолетов-пулеметов В.А.Дегтярева, А.И.Судаева и других конструкторов. Продолжались до 12 мая. Особо был отмечен ППС (15111).</w:t>
      </w:r>
    </w:p>
    <w:p w14:paraId="4E6F82A6"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26F3EEC0"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заме</w:t>
      </w:r>
      <w:r w:rsidRPr="008127F8">
        <w:rPr>
          <w:rFonts w:ascii="Times New Roman" w:hAnsi="Times New Roman"/>
          <w:color w:val="000000" w:themeColor="text1"/>
          <w:sz w:val="16"/>
          <w:szCs w:val="16"/>
        </w:rPr>
        <w:softHyphen/>
        <w:t>ститель наркома НКО генерал-полковник Воронов утвердил программу испытаний полугусеничных машин. В документах о проведении испытаний особо подчеркивалось, что это тот же самый автомобиль, что проходил полигонные испытания летом 1941 г.</w:t>
      </w:r>
    </w:p>
    <w:p w14:paraId="771B0A6C" w14:textId="77777777" w:rsidR="0050778F" w:rsidRPr="008127F8" w:rsidRDefault="0050778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 по результатам испытаний гласило, что ЗИС-42 может быть использован в качестве тягача для бусировки 122-мм гаубицы обр. 1938 г. (12729)</w:t>
      </w:r>
    </w:p>
    <w:p w14:paraId="636BC6CC" w14:textId="77777777" w:rsidR="0050778F" w:rsidRPr="008127F8" w:rsidRDefault="0050778F" w:rsidP="001E0A84">
      <w:pPr>
        <w:spacing w:after="0" w:line="240" w:lineRule="auto"/>
        <w:jc w:val="both"/>
        <w:rPr>
          <w:rFonts w:ascii="Times New Roman" w:hAnsi="Times New Roman"/>
          <w:color w:val="000000" w:themeColor="text1"/>
          <w:sz w:val="16"/>
          <w:szCs w:val="16"/>
        </w:rPr>
      </w:pPr>
    </w:p>
    <w:p w14:paraId="38B659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1654 О передаче Озерецкого и Коломенского совхозов НКАП. РГАНИР, Фонд ГКО, д. 32, лл. 1 (11012).</w:t>
      </w:r>
    </w:p>
    <w:p w14:paraId="469FD1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9B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1655 О мероприятиях по обеспечению выпуска 55 000 штук самозарядных винтовок в месяц на заводе № 314 Наркомвооружения. РГАНИР, Фонд ГКО, д. 32, лл. 2-5, 6-8 (11012).</w:t>
      </w:r>
    </w:p>
    <w:p w14:paraId="68B334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2D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г. вышло постановление ГКО № 1655 об обеспечении на заводе № 314 (Завод № 314 НКВ /г. </w:t>
      </w:r>
      <w:proofErr w:type="gramStart"/>
      <w:r w:rsidRPr="008127F8">
        <w:rPr>
          <w:rFonts w:ascii="Times New Roman" w:hAnsi="Times New Roman"/>
          <w:color w:val="000000" w:themeColor="text1"/>
          <w:sz w:val="16"/>
          <w:szCs w:val="16"/>
        </w:rPr>
        <w:t>Тула;  г.</w:t>
      </w:r>
      <w:proofErr w:type="gramEnd"/>
      <w:r w:rsidRPr="008127F8">
        <w:rPr>
          <w:rFonts w:ascii="Times New Roman" w:hAnsi="Times New Roman"/>
          <w:color w:val="000000" w:themeColor="text1"/>
          <w:sz w:val="16"/>
          <w:szCs w:val="16"/>
        </w:rPr>
        <w:t xml:space="preserve"> Медногорск Оренбургской обл./) плана по выпуску 55 тыс. СВТ в месяц. За годы войны выпущено 626.687 винтовок и 16.738 пушек. С 08.1945 г. завод полностью прекратил выпуск оборонной продукции.</w:t>
      </w:r>
    </w:p>
    <w:p w14:paraId="0D9EE8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12.1945 г. завод № 314 передан из НКВ в НКЭП и, возможно, переименован в завод № 621 (либо переименование произошло раньше, в 1942-43 г., и завод № 621 до конца 1945 г. действовал в НКВ).</w:t>
      </w:r>
    </w:p>
    <w:p w14:paraId="245994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Туле на месте эвакуированного завода создан завод № 536.</w:t>
      </w:r>
    </w:p>
    <w:p w14:paraId="1BA0D1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винтовки снайперские: обр. 1891/ЗО г. (1939-40)- 43.346, СВТ-40 (1941-42)- 52.226;</w:t>
      </w:r>
      <w:r w:rsidRPr="008127F8">
        <w:rPr>
          <w:rFonts w:ascii="Times New Roman" w:hAnsi="Times New Roman"/>
          <w:color w:val="000000" w:themeColor="text1"/>
          <w:sz w:val="16"/>
          <w:szCs w:val="16"/>
          <w:vertAlign w:val="superscript"/>
        </w:rPr>
        <w:t>4</w:t>
      </w:r>
      <w:r w:rsidRPr="008127F8">
        <w:rPr>
          <w:rFonts w:ascii="Times New Roman" w:hAnsi="Times New Roman"/>
          <w:color w:val="000000" w:themeColor="text1"/>
          <w:sz w:val="16"/>
          <w:szCs w:val="16"/>
        </w:rPr>
        <w:t xml:space="preserve"> пушка авиационная 20-мм ШВАК (11982).</w:t>
      </w:r>
    </w:p>
    <w:p w14:paraId="03A14165" w14:textId="77777777" w:rsidR="00E359CF" w:rsidRPr="008127F8" w:rsidRDefault="00E359C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67530" w14:textId="77777777" w:rsidR="00262847" w:rsidRPr="008127F8" w:rsidRDefault="00262847" w:rsidP="001E0A84">
      <w:pPr>
        <w:spacing w:after="0" w:line="240" w:lineRule="auto"/>
        <w:jc w:val="both"/>
        <w:rPr>
          <w:rFonts w:ascii="Times New Roman" w:eastAsia="Times New Roman" w:hAnsi="Times New Roman"/>
          <w:bCs/>
          <w:i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26 апреля 1942 г.</w:t>
      </w:r>
    </w:p>
    <w:p w14:paraId="7BDAA6CC"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lastRenderedPageBreak/>
        <w:t>РГАЭ Фонд 8752 Опись 4 Дело 88 лист 47 – 50</w:t>
      </w:r>
      <w:r w:rsidRPr="008127F8">
        <w:rPr>
          <w:rFonts w:ascii="Times New Roman" w:eastAsia="Times New Roman" w:hAnsi="Times New Roman"/>
          <w:color w:val="000000" w:themeColor="text1"/>
          <w:sz w:val="16"/>
          <w:szCs w:val="16"/>
          <w:lang w:eastAsia="ru-RU"/>
        </w:rPr>
        <w:t xml:space="preserve"> </w:t>
      </w:r>
    </w:p>
    <w:p w14:paraId="0E3DE3B0"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Сов.секретно. </w:t>
      </w:r>
    </w:p>
    <w:p w14:paraId="775488E9"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011558C5"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2AFB3670"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367сc</w:t>
      </w:r>
    </w:p>
    <w:p w14:paraId="02643B5D"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5A460123"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"26" апреля 1942 г.</w:t>
      </w:r>
    </w:p>
    <w:p w14:paraId="4AA69391"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 суточном графике выпуска танков, дизелей и корпусов на май месяц 1942 года.</w:t>
      </w:r>
    </w:p>
    <w:p w14:paraId="7377ED6D"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 исполнение постановлений ГОКО от </w:t>
      </w:r>
      <w:proofErr w:type="gramStart"/>
      <w:r w:rsidRPr="008127F8">
        <w:rPr>
          <w:rFonts w:ascii="Times New Roman" w:eastAsia="Times New Roman" w:hAnsi="Times New Roman"/>
          <w:color w:val="000000" w:themeColor="text1"/>
          <w:sz w:val="16"/>
          <w:szCs w:val="16"/>
          <w:lang w:eastAsia="ru-RU"/>
        </w:rPr>
        <w:t>9.IV</w:t>
      </w:r>
      <w:proofErr w:type="gramEnd"/>
      <w:r w:rsidRPr="008127F8">
        <w:rPr>
          <w:rFonts w:ascii="Times New Roman" w:eastAsia="Times New Roman" w:hAnsi="Times New Roman"/>
          <w:color w:val="000000" w:themeColor="text1"/>
          <w:sz w:val="16"/>
          <w:szCs w:val="16"/>
          <w:lang w:eastAsia="ru-RU"/>
        </w:rPr>
        <w:t xml:space="preserve">-с.г. № 1571сс и от 12.IV-с.г. № 1581сс о плане производства танков во II квартале 1942 года ПРИКАЗЫВАЮ: </w:t>
      </w:r>
    </w:p>
    <w:p w14:paraId="5ADC60F0"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Утвердить по заводам следующий график ежесуточного выпуска танков в мае 1942 года: </w:t>
      </w:r>
    </w:p>
    <w:p w14:paraId="537FB838"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Утвердить по заводам следующий график ежесуточного выпуска дизелей в мае 1942 года: </w:t>
      </w:r>
    </w:p>
    <w:p w14:paraId="65CB1ECC"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Утвердить по Кировскому заводу и СТЗ график ежесуточного выпуска топливной аппаратуры для дизелей В-2 и поставки их заводам № 76 и СТЗ в мае 1942 года: </w:t>
      </w:r>
    </w:p>
    <w:p w14:paraId="3C696BE0"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Утвердить по заводам следующий график ежесуточного выпуска корпусов для танков в мае 1942 года: </w:t>
      </w:r>
    </w:p>
    <w:p w14:paraId="335C3C34"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Директору СТЗ тов. Задорожному обеспечить отгрузку траков в соответствии с моим приказом от 21.IV-с.г. № 351с в мае месяце: </w:t>
      </w:r>
    </w:p>
    <w:p w14:paraId="747E69D5"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Тов. Задорожному и тов. Демьяновичу учесть, что при малейшем нарушении или невыполнении графика отгрузки траков программа заводов №№ 112, 37, 38, 264 и 174 будет поставлена под угрозу срыва в мак месяце с.г. </w:t>
      </w:r>
    </w:p>
    <w:p w14:paraId="30AF1381"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Директору завода № 183 тов. Зальцману и главному инженеру тов. Максареву обеспечить в соответствии с изданным по заводу приказом при всех условиях отгрузку в мае месяце траков заводу № 37 по следующему графику: </w:t>
      </w:r>
    </w:p>
    <w:p w14:paraId="478C10E8"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Тов. Максареву учесть, что из-за отсутствия траков в апреле месяце на заводе № 37 десятки готовых машин не были сданы в Армию. </w:t>
      </w:r>
    </w:p>
    <w:p w14:paraId="63717456"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Директорам и главным инженерам заводов в суточный срок довести план мая месяца с.г. до цехов и участков с конкретными мерами, обеспечивающими его выполнение. </w:t>
      </w:r>
    </w:p>
    <w:p w14:paraId="12890234" w14:textId="77777777" w:rsidR="00262847" w:rsidRPr="008127F8" w:rsidRDefault="0026284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СОЮЗА ССР (18945).</w:t>
      </w:r>
    </w:p>
    <w:p w14:paraId="2D263B24" w14:textId="77777777" w:rsidR="00262847" w:rsidRPr="008127F8" w:rsidRDefault="00262847" w:rsidP="001E0A84">
      <w:pPr>
        <w:spacing w:after="0" w:line="240" w:lineRule="auto"/>
        <w:jc w:val="both"/>
        <w:rPr>
          <w:rFonts w:ascii="Times New Roman" w:hAnsi="Times New Roman"/>
          <w:color w:val="000000" w:themeColor="text1"/>
          <w:sz w:val="16"/>
          <w:szCs w:val="16"/>
        </w:rPr>
      </w:pPr>
    </w:p>
    <w:p w14:paraId="2EB79B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1656 Об обеспечении дровами завода № 71 Наркомвооружения. РГАНИР, Фонд ГКО, д. 32, лл. 9-10 (11012).</w:t>
      </w:r>
    </w:p>
    <w:p w14:paraId="54C382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75C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1660 О частичном изменении постановления ГКО № 1592 от 13 апреля 1942 г. РГАНИР, Фонд ГКО, д. 32, лл. 14 (11012).</w:t>
      </w:r>
    </w:p>
    <w:p w14:paraId="5D3546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CED7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1661 О вывозе нефтепродуктов из Баку и Грозного в 1942 году. РГАНИР, Фонд ГКО, д. 32, лл. 15-25, 26-33 (11012).</w:t>
      </w:r>
    </w:p>
    <w:p w14:paraId="1D30AF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BCD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1662 Об импорте оборудования для производства 7,62 мм патронов. РГАНИР, Фонд ГКО, д. 32, лл. 34 (11012).</w:t>
      </w:r>
    </w:p>
    <w:p w14:paraId="12BEBE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8E38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года приказом Народного комиссара судостроительной промышленности СССР был создан завод № 703, нынешний "Салют". Салютовцы за два года отправили на фронт 82 тысячи корпусов мин заграждения, более 176 тысяч пороховых камер для реактивных снарядов "катюш". Любопытный факт: мины изготовляли из труб, предназначенных для укрепления берега Москва-реки в месте, где до войны планировалось возвести Дворец Советов (10773).</w:t>
      </w:r>
    </w:p>
    <w:p w14:paraId="7D0D80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C13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приказом НКСП в соответствии с распоряжением СНК СССР от 23 мая 1942 г. из филиалов заводов № 192 и № 252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организован самостоятельный завод № 703 НКСП.</w:t>
      </w:r>
    </w:p>
    <w:p w14:paraId="0C5BA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лабораторная установка бездымного парогенератора для экспериментальной энергоустановки ПЛ (ВОВ).</w:t>
      </w:r>
      <w:r w:rsidRPr="008127F8">
        <w:rPr>
          <w:rFonts w:ascii="Times New Roman" w:hAnsi="Times New Roman"/>
          <w:color w:val="000000" w:themeColor="text1"/>
          <w:sz w:val="16"/>
          <w:szCs w:val="16"/>
          <w:vertAlign w:val="superscript"/>
        </w:rPr>
        <w:t>61</w:t>
      </w:r>
    </w:p>
    <w:p w14:paraId="33CCCE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производство РЛ средств для ВМФ.</w:t>
      </w:r>
    </w:p>
    <w:p w14:paraId="531A73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завод определен головным по выпуску корабельной РЛС «Редан-3», начато строительство новых корпусов и оснащение оборудованием. В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головной завод по производству ЗРК «Клинок».</w:t>
      </w:r>
    </w:p>
    <w:p w14:paraId="38C7B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6135A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636D29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(2008 г.)- около 2 тыс. чел.</w:t>
      </w:r>
    </w:p>
    <w:p w14:paraId="6DE779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(05.1938 г.)- Петренко,</w:t>
      </w:r>
      <w:r w:rsidRPr="008127F8">
        <w:rPr>
          <w:rFonts w:ascii="Times New Roman" w:hAnsi="Times New Roman"/>
          <w:color w:val="000000" w:themeColor="text1"/>
          <w:sz w:val="16"/>
          <w:szCs w:val="16"/>
          <w:vertAlign w:val="superscript"/>
        </w:rPr>
        <w:t>139</w:t>
      </w:r>
      <w:r w:rsidRPr="008127F8">
        <w:rPr>
          <w:rFonts w:ascii="Times New Roman" w:hAnsi="Times New Roman"/>
          <w:color w:val="000000" w:themeColor="text1"/>
          <w:sz w:val="16"/>
          <w:szCs w:val="16"/>
        </w:rPr>
        <w:t xml:space="preserve"> (1939 г.-)- Р. Г. Сомхиян, (1944-48 г.)- Н.А. </w:t>
      </w:r>
      <w:proofErr w:type="gramStart"/>
      <w:r w:rsidRPr="008127F8">
        <w:rPr>
          <w:rFonts w:ascii="Times New Roman" w:hAnsi="Times New Roman"/>
          <w:color w:val="000000" w:themeColor="text1"/>
          <w:sz w:val="16"/>
          <w:szCs w:val="16"/>
        </w:rPr>
        <w:t>Федоров,,</w:t>
      </w:r>
      <w:proofErr w:type="gramEnd"/>
      <w:r w:rsidRPr="008127F8">
        <w:rPr>
          <w:rFonts w:ascii="Times New Roman" w:hAnsi="Times New Roman"/>
          <w:color w:val="000000" w:themeColor="text1"/>
          <w:sz w:val="16"/>
          <w:szCs w:val="16"/>
        </w:rPr>
        <w:t xml:space="preserve"> .(1980-е)- Ю.Д. Гончаров. Гендиректор (-2003-06 Г.-)- В.Н. Байбаков.</w:t>
      </w:r>
    </w:p>
    <w:p w14:paraId="643879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658C92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(03-6.06.2003 г.)- С. Щитко (убит).</w:t>
      </w:r>
    </w:p>
    <w:p w14:paraId="5CD66D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(17.12.1938-39 г.-)- С.М. Владимирский.</w:t>
      </w:r>
    </w:p>
    <w:p w14:paraId="2923FD9F" w14:textId="77777777" w:rsidR="00BE3C69" w:rsidRPr="008127F8" w:rsidRDefault="00BE3C69" w:rsidP="001E0A84">
      <w:pPr>
        <w:widowControl w:val="0"/>
        <w:tabs>
          <w:tab w:val="left" w:pos="763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(-1946 г.)- В.Е. Краснов.</w:t>
      </w:r>
    </w:p>
    <w:p w14:paraId="64C596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СУ корабельного артвооружения «Союз», «Союз-ЗОбис»;</w:t>
      </w:r>
      <w:r w:rsidRPr="008127F8">
        <w:rPr>
          <w:rFonts w:ascii="Times New Roman" w:hAnsi="Times New Roman"/>
          <w:iCs/>
          <w:color w:val="000000" w:themeColor="text1"/>
          <w:sz w:val="16"/>
          <w:szCs w:val="16"/>
        </w:rPr>
        <w:t xml:space="preserve"> РИС:</w:t>
      </w:r>
      <w:r w:rsidRPr="008127F8">
        <w:rPr>
          <w:rFonts w:ascii="Times New Roman" w:hAnsi="Times New Roman"/>
          <w:color w:val="000000" w:themeColor="text1"/>
          <w:sz w:val="16"/>
          <w:szCs w:val="16"/>
        </w:rPr>
        <w:t xml:space="preserve"> РУС-</w:t>
      </w:r>
      <w:r w:rsidRPr="008127F8">
        <w:rPr>
          <w:rFonts w:ascii="Times New Roman" w:hAnsi="Times New Roman"/>
          <w:color w:val="000000" w:themeColor="text1"/>
          <w:sz w:val="16"/>
          <w:szCs w:val="16"/>
          <w:lang w:val="en-US"/>
        </w:rPr>
        <w:t>iq</w:t>
      </w:r>
      <w:r w:rsidRPr="008127F8">
        <w:rPr>
          <w:rFonts w:ascii="Times New Roman" w:hAnsi="Times New Roman"/>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8127F8">
        <w:rPr>
          <w:rFonts w:ascii="Times New Roman" w:hAnsi="Times New Roman"/>
          <w:color w:val="000000" w:themeColor="text1"/>
          <w:sz w:val="16"/>
          <w:szCs w:val="16"/>
          <w:vertAlign w:val="superscript"/>
        </w:rPr>
        <w:t>Ъ</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perscript"/>
        </w:rPr>
        <w:t>906&lt;Ь</w:t>
      </w:r>
      <w:r w:rsidRPr="008127F8">
        <w:rPr>
          <w:rFonts w:ascii="Times New Roman" w:hAnsi="Times New Roman"/>
          <w:color w:val="000000" w:themeColor="text1"/>
          <w:sz w:val="16"/>
          <w:szCs w:val="16"/>
        </w:rPr>
        <w:t xml:space="preserve"> СУ комплексов: «Берег», «Клинок», артиллерийского 5П-10Э (2003).</w:t>
      </w:r>
    </w:p>
    <w:p w14:paraId="0B3243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252 НКСП, КБ СРТЗ, Особое КБ (ОКБ) «Ратеп» /г. Серпухов Московской обл./</w:t>
      </w:r>
    </w:p>
    <w:p w14:paraId="2253E7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(до середины 1960-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РЛ средств для ВМФ. В 1980-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 отработка производства ЗРК «Клинок».</w:t>
      </w:r>
    </w:p>
    <w:p w14:paraId="07EBCC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7C1D0F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 г.)- О.Б. Федоров, (1980-е)- В.А. Макашов.</w:t>
      </w:r>
      <w:r w:rsidRPr="008127F8">
        <w:rPr>
          <w:rFonts w:ascii="Times New Roman" w:hAnsi="Times New Roman"/>
          <w:color w:val="000000" w:themeColor="text1"/>
          <w:sz w:val="16"/>
          <w:szCs w:val="16"/>
          <w:vertAlign w:val="superscript"/>
        </w:rPr>
        <w:t>103</w:t>
      </w:r>
    </w:p>
    <w:p w14:paraId="01F3BC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(1956 г.)- О.Б. Федоров («Турель»).</w:t>
      </w:r>
    </w:p>
    <w:p w14:paraId="7E929D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59B19A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DD20C" w14:textId="2E806DA1"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года приказом Народного комиссара судостроительной промышленности СССР в Москве был организован Завод </w:t>
      </w:r>
      <w:proofErr w:type="gramStart"/>
      <w:r w:rsidRPr="008127F8">
        <w:rPr>
          <w:rFonts w:ascii="Times New Roman" w:hAnsi="Times New Roman"/>
          <w:color w:val="000000" w:themeColor="text1"/>
          <w:sz w:val="16"/>
          <w:szCs w:val="16"/>
        </w:rPr>
        <w:t>№</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703</w:t>
      </w:r>
      <w:proofErr w:type="gramEnd"/>
      <w:r w:rsidRPr="008127F8">
        <w:rPr>
          <w:rFonts w:ascii="Times New Roman" w:hAnsi="Times New Roman"/>
          <w:color w:val="000000" w:themeColor="text1"/>
          <w:sz w:val="16"/>
          <w:szCs w:val="16"/>
        </w:rPr>
        <w:t xml:space="preserve"> – нынешний «Салют» – первым директором которого стал С.М. Владимирский. Салютовцы за два года отправили на фронт 82 тысячи корпусов мин заграждения, изготовленных из труб, предназначенных для укрепления берега Москвы-реки в месте, где до войны планировалось возвести Дворец Советов, а также более 176 тысяч пороховых камер для реактивных снарядов «катюш» (15736).</w:t>
      </w:r>
    </w:p>
    <w:p w14:paraId="14BFC2B8"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1B9DD4B4"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в 1942 году приказом наркома судостроительной промышленности СССР в Москве был организован завод № 703 (ныне Государственный московский завод "Салют" (ФГУП ТМЗ "Салют"). Одно из ведущих предприятий российской оборонной промышленности; работает в области производства корабельной радиолокации, формирования и живучести кораблей военно-морского флота</w:t>
      </w:r>
    </w:p>
    <w:p w14:paraId="10F5B84A"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3DAB9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г. приказом НКСП в соответствии с распоряжением СНК СССР от 23.05.1942 г. из филиалов заводов № 192 и № 252 на площадке эвакуированного завода № 252 в Москве, в Перово, где в феврале 1942 г. был организован филиал завода № 252, был организован самостоятельный завод № 703 НКСП (Завод № 703 НКСП, МЗ «Салют» МРП, Московское производственно-техническое объединение (МПТО), НПО «Салют», Государственный Московский Завод (ГМЗ) «Салют», А-3046, А-3819, ФГУП «ГМЗ «Салют» Россудостроения, ФАП /г. Москва, Перово Поле, пос. Владимирский, 1/ /111123  г. Москва ул. Плеханова, 6 тел. 672-73-23/). Заводу выдано задание на выпуск корпусов мин и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 электромеханических приборов управления зенитным огнем.</w:t>
      </w:r>
    </w:p>
    <w:p w14:paraId="7B2D44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1942 г. в состав завода входили: цеха: боеприпасов; два сборочных (приборов управления зенитным огнем и приборов управления кораблем); механический; инструментальный; ремонтно-механический; гальванических и </w:t>
      </w:r>
      <w:proofErr w:type="gramStart"/>
      <w:r w:rsidRPr="008127F8">
        <w:rPr>
          <w:rFonts w:ascii="Times New Roman" w:hAnsi="Times New Roman"/>
          <w:color w:val="000000" w:themeColor="text1"/>
          <w:sz w:val="16"/>
          <w:szCs w:val="16"/>
        </w:rPr>
        <w:t>лако-красочных</w:t>
      </w:r>
      <w:proofErr w:type="gramEnd"/>
      <w:r w:rsidRPr="008127F8">
        <w:rPr>
          <w:rFonts w:ascii="Times New Roman" w:hAnsi="Times New Roman"/>
          <w:color w:val="000000" w:themeColor="text1"/>
          <w:sz w:val="16"/>
          <w:szCs w:val="16"/>
        </w:rPr>
        <w:t xml:space="preserve"> покрытий; нестандартного оборудования.</w:t>
      </w:r>
    </w:p>
    <w:p w14:paraId="12A424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ВОВ сюда эвакуирован завод № 209 НКСП из Ленинграда.</w:t>
      </w:r>
      <w:r w:rsidRPr="008127F8">
        <w:rPr>
          <w:rFonts w:ascii="Times New Roman" w:hAnsi="Times New Roman"/>
          <w:color w:val="000000" w:themeColor="text1"/>
          <w:sz w:val="16"/>
          <w:szCs w:val="16"/>
          <w:vertAlign w:val="superscript"/>
        </w:rPr>
        <w:t>61</w:t>
      </w:r>
    </w:p>
    <w:p w14:paraId="3E064F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4893 от 5.01.1944 г. (о производстве РЛ установок и РЛС обнаружения для кораблей ВМФ на заводе) профиль работы завода изменен: началось освоение производства электронной техники для радиолокации. Был организован новый цех № 10 по регулировке РЛС. В 02.1944 г. получено задание на выпуск в 1-м полугодии 5 комплектов РЛС «Пегматит».</w:t>
      </w:r>
    </w:p>
    <w:p w14:paraId="13267A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07.1946 г. в составе КО завода № 703 образовано ОКБ.</w:t>
      </w:r>
    </w:p>
    <w:p w14:paraId="4628671B" w14:textId="77777777" w:rsidR="00BE3C69" w:rsidRPr="008127F8" w:rsidRDefault="00BE3C69" w:rsidP="001E0A84">
      <w:pPr>
        <w:widowControl w:val="0"/>
        <w:tabs>
          <w:tab w:val="left" w:pos="1173"/>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приказу ГКС в 04.1958 г. завод № 703 с ОКБ были переданы НИИ-10 в качестве опытного завода для отработки корабельной СУ «Бином». При этом прежняя производственная программа завода оставлена без _</w:t>
      </w:r>
      <w:r w:rsidRPr="008127F8">
        <w:rPr>
          <w:rFonts w:ascii="Times New Roman" w:hAnsi="Times New Roman"/>
          <w:color w:val="000000" w:themeColor="text1"/>
          <w:sz w:val="16"/>
          <w:szCs w:val="16"/>
        </w:rPr>
        <w:tab/>
        <w:t>изменений.</w:t>
      </w:r>
    </w:p>
    <w:p w14:paraId="170861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1966 г. завод № 703 переименован в Московский завод «Салют» в ведении МРП. Имел наименование А- 3046. В 1970-79 г. - в ведении 11ГУ МСП. По приказу МСП от 15.12.1971 г. на базе МЗ «Салют» как головного предприятия создано МПТО «Салют», в которое также вошли: ОКБ завода «Салют», филиал завода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Бендеры, новый строящийся завод в  г. Бендеры. ПО имело наименование «п/я А-3819». В 1976 г. филиал и новый строящийся завод объединены в один завод «Прибор».</w:t>
      </w:r>
    </w:p>
    <w:p w14:paraId="37860565" w14:textId="77777777" w:rsidR="00BE3C69" w:rsidRPr="008127F8" w:rsidRDefault="00BE3C69" w:rsidP="001E0A84">
      <w:pPr>
        <w:widowControl w:val="0"/>
        <w:tabs>
          <w:tab w:val="left" w:pos="144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завод выпускал бортовую аппаратуру для КА. .</w:t>
      </w:r>
      <w:r w:rsidRPr="008127F8">
        <w:rPr>
          <w:rFonts w:ascii="Times New Roman" w:hAnsi="Times New Roman"/>
          <w:color w:val="000000" w:themeColor="text1"/>
          <w:sz w:val="16"/>
          <w:szCs w:val="16"/>
        </w:rPr>
        <w:tab/>
        <w:t>В 1970 г. для реализации гибридно-пленочной технологии в цехе № 14 созданы участки изготовления</w:t>
      </w:r>
    </w:p>
    <w:p w14:paraId="2B89D7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фотошаблонов, вакуумного напыления, фотолитографии, монтажа бескорпусных электрорадиоизоляторов. В 1969-74 г. проведены работы по миниатюризации СВЧ-устройств. В 1978 г. создана лабораторная база микроэлектроники. Имелись: корпус № 30, цех электроэлементов.</w:t>
      </w:r>
    </w:p>
    <w:p w14:paraId="620BBB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1979 г. в состав МПТО «Салют» вошла ремонтная база «Волна» </w:t>
      </w:r>
      <w:proofErr w:type="gramStart"/>
      <w:r w:rsidRPr="008127F8">
        <w:rPr>
          <w:rFonts w:ascii="Times New Roman" w:hAnsi="Times New Roman"/>
          <w:color w:val="000000" w:themeColor="text1"/>
          <w:sz w:val="16"/>
          <w:szCs w:val="16"/>
        </w:rPr>
        <w:t>( г.</w:t>
      </w:r>
      <w:proofErr w:type="gramEnd"/>
      <w:r w:rsidRPr="008127F8">
        <w:rPr>
          <w:rFonts w:ascii="Times New Roman" w:hAnsi="Times New Roman"/>
          <w:color w:val="000000" w:themeColor="text1"/>
          <w:sz w:val="16"/>
          <w:szCs w:val="16"/>
        </w:rPr>
        <w:t xml:space="preserve"> Владивосток; численность персонала (1.01.1981 г.)- 218 чел.), в 1992 г. она была закрыта. В 1992 г. МПТО расформировано, завод в 02.1992 г. переименован в ГМЗ «Салют». С 1998 г.- ГУП «ГМЗ «Салют», а с 2000 г.- ФГУП. В 2000-03 г.-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 Агат».</w:t>
      </w:r>
    </w:p>
    <w:p w14:paraId="772AD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2000-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построено более 1500 </w:t>
      </w:r>
      <w:r w:rsidRPr="008127F8">
        <w:rPr>
          <w:rFonts w:ascii="Times New Roman" w:hAnsi="Times New Roman"/>
          <w:color w:val="000000" w:themeColor="text1"/>
          <w:sz w:val="16"/>
          <w:szCs w:val="16"/>
          <w:lang w:val="en-US"/>
        </w:rPr>
        <w:t>PJIC</w:t>
      </w:r>
      <w:r w:rsidRPr="008127F8">
        <w:rPr>
          <w:rFonts w:ascii="Times New Roman" w:hAnsi="Times New Roman"/>
          <w:color w:val="000000" w:themeColor="text1"/>
          <w:sz w:val="16"/>
          <w:szCs w:val="16"/>
        </w:rPr>
        <w:t>.</w:t>
      </w:r>
    </w:p>
    <w:p w14:paraId="426449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(2005 г.): разработка и производство трехкоординатных </w:t>
      </w:r>
      <w:r w:rsidRPr="008127F8">
        <w:rPr>
          <w:rFonts w:ascii="Times New Roman" w:hAnsi="Times New Roman"/>
          <w:color w:val="000000" w:themeColor="text1"/>
          <w:sz w:val="16"/>
          <w:szCs w:val="16"/>
          <w:lang w:val="en-US"/>
        </w:rPr>
        <w:t>PJIC</w:t>
      </w:r>
      <w:r w:rsidRPr="008127F8">
        <w:rPr>
          <w:rFonts w:ascii="Times New Roman" w:hAnsi="Times New Roman"/>
          <w:color w:val="000000" w:themeColor="text1"/>
          <w:sz w:val="16"/>
          <w:szCs w:val="16"/>
        </w:rPr>
        <w:t xml:space="preserve"> обнаружения для кораблей ВМФ.</w:t>
      </w:r>
    </w:p>
    <w:p w14:paraId="1C51AA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(1942 г.)-189 чел., (1.01.1981 г.)- 4878 чел.</w:t>
      </w:r>
    </w:p>
    <w:p w14:paraId="040D2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(1942-46 г.)- С.М. Владимирский, (1946-49 г.)- С.М. Иванов, (1949-59 г.)- Р. Г. Сомхиян, (1959-62 г.)</w:t>
      </w:r>
      <w:proofErr w:type="gramStart"/>
      <w:r w:rsidRPr="008127F8">
        <w:rPr>
          <w:rFonts w:ascii="Times New Roman" w:hAnsi="Times New Roman"/>
          <w:color w:val="000000" w:themeColor="text1"/>
          <w:sz w:val="16"/>
          <w:szCs w:val="16"/>
        </w:rPr>
        <w:t>-  Г.Ф.</w:t>
      </w:r>
      <w:proofErr w:type="gramEnd"/>
      <w:r w:rsidRPr="008127F8">
        <w:rPr>
          <w:rFonts w:ascii="Times New Roman" w:hAnsi="Times New Roman"/>
          <w:color w:val="000000" w:themeColor="text1"/>
          <w:sz w:val="16"/>
          <w:szCs w:val="16"/>
        </w:rPr>
        <w:t xml:space="preserve"> Черкасов, (1962-69 г.)- И.И. Дуганов, (01.1970-76 г.)- М.Ф. Панченко. Гендиректор (08.1976-12.2003 г.)- В.П. Олеванов, (2004-07 г.-)- В.А. Панин.</w:t>
      </w:r>
    </w:p>
    <w:p w14:paraId="088058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директора (1995-2004 г.)- В.А. Панин, (2004-07 г.-)- В.П. Олеванов. Зам. директора, ген. директора: по ВЭД и гособоронзаказу (2007 г.)- В. Беляев; (-1987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Родионов, (2004 г.-)- В.Т. Ковалев.</w:t>
      </w:r>
    </w:p>
    <w:p w14:paraId="3EBE1B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М. Г. Нестеров, (1954-; 1964-66 г.)- А.И. Патрикеев,</w:t>
      </w:r>
      <w:r w:rsidRPr="008127F8">
        <w:rPr>
          <w:rFonts w:ascii="Times New Roman" w:hAnsi="Times New Roman"/>
          <w:color w:val="000000" w:themeColor="text1"/>
          <w:sz w:val="16"/>
          <w:szCs w:val="16"/>
          <w:vertAlign w:val="superscript"/>
        </w:rPr>
        <w:t>130</w:t>
      </w:r>
      <w:r w:rsidRPr="008127F8">
        <w:rPr>
          <w:rFonts w:ascii="Times New Roman" w:hAnsi="Times New Roman"/>
          <w:color w:val="000000" w:themeColor="text1"/>
          <w:sz w:val="16"/>
          <w:szCs w:val="16"/>
        </w:rPr>
        <w:t xml:space="preserve"> (1959-62 г.)- В.М. Ястребилов, (1969 г.)- М.Ф. Панченко, (1969-2004 г.-&gt; Е.А. Печинко.</w:t>
      </w:r>
    </w:p>
    <w:p w14:paraId="1E1E9E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(1970 г.)- к2</w:t>
      </w:r>
      <w:proofErr w:type="gramStart"/>
      <w:r w:rsidRPr="008127F8">
        <w:rPr>
          <w:rFonts w:ascii="Times New Roman" w:hAnsi="Times New Roman"/>
          <w:color w:val="000000" w:themeColor="text1"/>
          <w:sz w:val="16"/>
          <w:szCs w:val="16"/>
        </w:rPr>
        <w:t>р  Г.С.</w:t>
      </w:r>
      <w:proofErr w:type="gramEnd"/>
      <w:r w:rsidRPr="008127F8">
        <w:rPr>
          <w:rFonts w:ascii="Times New Roman" w:hAnsi="Times New Roman"/>
          <w:color w:val="000000" w:themeColor="text1"/>
          <w:sz w:val="16"/>
          <w:szCs w:val="16"/>
        </w:rPr>
        <w:t xml:space="preserve"> Саранцев.</w:t>
      </w:r>
    </w:p>
    <w:p w14:paraId="17B923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 г.-)- Б.П. Капелин.</w:t>
      </w:r>
    </w:p>
    <w:p w14:paraId="348E97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В.И. Шокин.</w:t>
      </w:r>
    </w:p>
    <w:p w14:paraId="5D58E4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10 (1944-49 г.)</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Сомов; сборочного (1942 г.-&gt; Б.И. Бутырин; нестандартного оборудования (1942 г.-)- В.И. Шокин.</w:t>
      </w:r>
    </w:p>
    <w:p w14:paraId="36383D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КО (1946 г.)- Б.П. Капелин; № 5- В.Н. Герасименко; ОТК (1950-е)</w:t>
      </w:r>
      <w:proofErr w:type="gramStart"/>
      <w:r w:rsidRPr="008127F8">
        <w:rPr>
          <w:rFonts w:ascii="Times New Roman" w:hAnsi="Times New Roman"/>
          <w:color w:val="000000" w:themeColor="text1"/>
          <w:sz w:val="16"/>
          <w:szCs w:val="16"/>
        </w:rPr>
        <w:t>-  Г.Н.</w:t>
      </w:r>
      <w:proofErr w:type="gramEnd"/>
      <w:r w:rsidRPr="008127F8">
        <w:rPr>
          <w:rFonts w:ascii="Times New Roman" w:hAnsi="Times New Roman"/>
          <w:color w:val="000000" w:themeColor="text1"/>
          <w:sz w:val="16"/>
          <w:szCs w:val="16"/>
        </w:rPr>
        <w:t xml:space="preserve"> Сомов.</w:t>
      </w:r>
      <w:r w:rsidRPr="008127F8">
        <w:rPr>
          <w:rFonts w:ascii="Times New Roman" w:hAnsi="Times New Roman"/>
          <w:color w:val="000000" w:themeColor="text1"/>
          <w:sz w:val="16"/>
          <w:szCs w:val="16"/>
          <w:vertAlign w:val="superscript"/>
        </w:rPr>
        <w:t>103</w:t>
      </w:r>
    </w:p>
    <w:p w14:paraId="268A9C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лабораторий: (1944-60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Рогов.</w:t>
      </w:r>
    </w:p>
    <w:p w14:paraId="2EAD2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корпуса противотанковых мин МЗ-2, МЗ-З, пороховые камеры для РС-82 «Катюша» (1942-44); приборы: управления зенитным огнем; управления кораблем; слабого тока (ВОВ);</w:t>
      </w:r>
    </w:p>
    <w:p w14:paraId="42BA82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РЛС ПВО:</w:t>
      </w:r>
      <w:r w:rsidRPr="008127F8">
        <w:rPr>
          <w:rFonts w:ascii="Times New Roman" w:hAnsi="Times New Roman"/>
          <w:color w:val="000000" w:themeColor="text1"/>
          <w:sz w:val="16"/>
          <w:szCs w:val="16"/>
        </w:rPr>
        <w:t xml:space="preserve"> «Пегматит» (РУС-2с) (1944)- 52, «Пегматит-2м» (П-2м) (1944-45)-50;</w:t>
      </w:r>
      <w:r w:rsidRPr="008127F8">
        <w:rPr>
          <w:rFonts w:ascii="Times New Roman" w:hAnsi="Times New Roman"/>
          <w:iCs/>
          <w:color w:val="000000" w:themeColor="text1"/>
          <w:sz w:val="16"/>
          <w:szCs w:val="16"/>
        </w:rPr>
        <w:t xml:space="preserve"> корабельные РЛС:</w:t>
      </w:r>
      <w:r w:rsidRPr="008127F8">
        <w:rPr>
          <w:rFonts w:ascii="Times New Roman" w:hAnsi="Times New Roman"/>
          <w:color w:val="000000" w:themeColor="text1"/>
          <w:sz w:val="16"/>
          <w:szCs w:val="16"/>
        </w:rPr>
        <w:t xml:space="preserve"> «Гюйс- 1М» (1945)- 9, «Гюйс-2» (1948-57), «Редан-2» (1945-)- 14, «Риф» (1948-50-е), «Риф-Щ» (1958-), «Вымпел-2Д» (1950-е), «Зарница» (1949)- 10, «Якорь», «Фут-Н», «Ангара», «Кактус» (1957-63), «Бином» I960-), «Рубка», «Киль», «Кливер» (1980-е), «Восход» (1966-83), «Фрегат», «Фрегат-М» (-1985), «Фрегат-МА» (1982-), «Флаг» (1980-е), «Подберезовик» (1980-е); бортовая аппаратура для КА: «Астра», «Север» (1960-е); наземная станция для связи с КА «Подснежник» (1960-е); системы управления огнем: для ЗРК «Шторм» (1960-е), «Гром» для ЗРК «Шквал» (-1976-86), «Гром-М» (1980-е); система обработки </w:t>
      </w:r>
      <w:r w:rsidRPr="008127F8">
        <w:rPr>
          <w:rFonts w:ascii="Times New Roman" w:hAnsi="Times New Roman"/>
          <w:color w:val="000000" w:themeColor="text1"/>
          <w:sz w:val="16"/>
          <w:szCs w:val="16"/>
          <w:lang w:val="en-US"/>
        </w:rPr>
        <w:t>PJI</w:t>
      </w:r>
      <w:r w:rsidRPr="008127F8">
        <w:rPr>
          <w:rFonts w:ascii="Times New Roman" w:hAnsi="Times New Roman"/>
          <w:color w:val="000000" w:themeColor="text1"/>
          <w:sz w:val="16"/>
          <w:szCs w:val="16"/>
        </w:rPr>
        <w:t xml:space="preserve"> информации и целеуказания МРО 310А, «Пойма» (1980-е), «Пойма-М, -Э» (2000-е); приборы КИА, КИПС-П-35 (1970-е), АРК (1970-е), КИА-В2, МПУ-170, «Бегония», «Покос», МПЦ-401 (1980-е), АКИА-ДОН (1970-е); средства связи и антенны спутниковых навигационных систем (2000-е).</w:t>
      </w:r>
      <w:r w:rsidRPr="008127F8">
        <w:rPr>
          <w:rFonts w:ascii="Times New Roman" w:hAnsi="Times New Roman"/>
          <w:color w:val="000000" w:themeColor="text1"/>
          <w:sz w:val="16"/>
          <w:szCs w:val="16"/>
          <w:vertAlign w:val="superscript"/>
        </w:rPr>
        <w:t>35,1&lt;ь</w:t>
      </w:r>
    </w:p>
    <w:p w14:paraId="082D47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(особое КБ) завода № 703 МСП, (ЖБ-703 МСП, А- 3543, КБ ГМЗ «Салют» /г. Москва/</w:t>
      </w:r>
    </w:p>
    <w:p w14:paraId="4C0ECD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07.1946 г. в составе КО завода № 703. ОКБ стало одним из основных разработчиков средств обнаружения и целеуказания для надводных кораблей ВМФ. Кроме того, велась отработка документации и модернизация выпускаемых заводом РЛС.</w:t>
      </w:r>
    </w:p>
    <w:p w14:paraId="6EDB57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xml:space="preserve">, правительства от 18.09.1953 г. началась разработка корабельной РЛС «Кактус». В соответствии с ПСМ № 248-160сс от 15.02.1956 г. комплексная РЛС «Фут» пнв. </w:t>
      </w: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правительства от 7.05.1957 г. задана разработка РЛС «Киль», «Кливер» и «Рубка».</w:t>
      </w:r>
    </w:p>
    <w:p w14:paraId="6FAC8C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выполнена НИР «Диаграмма» по уменьшению бокового и заднего излучения антенн РЛС (И.Ф. Соколов).</w:t>
      </w:r>
    </w:p>
    <w:p w14:paraId="498E50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1960 г. из ЦНИИ-10 сюда переданы разработки РЛС обнаружения воздушных целей. В 1962 г. начата разработка РЛС «Восход»- первой отечественной станции с программируемым управлением положением луча. В соответствии с </w:t>
      </w:r>
      <w:proofErr w:type="gramStart"/>
      <w:r w:rsidRPr="008127F8">
        <w:rPr>
          <w:rFonts w:ascii="Times New Roman" w:hAnsi="Times New Roman"/>
          <w:color w:val="000000" w:themeColor="text1"/>
          <w:sz w:val="16"/>
          <w:szCs w:val="16"/>
        </w:rPr>
        <w:t>пост.ениями</w:t>
      </w:r>
      <w:proofErr w:type="gramEnd"/>
      <w:r w:rsidRPr="008127F8">
        <w:rPr>
          <w:rFonts w:ascii="Times New Roman" w:hAnsi="Times New Roman"/>
          <w:color w:val="000000" w:themeColor="text1"/>
          <w:sz w:val="16"/>
          <w:szCs w:val="16"/>
        </w:rPr>
        <w:t xml:space="preserve"> правительства от 5.05.1968 г. и от 9.12.1971 г. разрабатывалась РЛС «Фрегат». Затем разработана «Фрегат-М». Разработка «Фрегат-МА» началась по решению ВПК от 16.07.1976 г., «Фрегат-</w:t>
      </w:r>
      <w:r w:rsidRPr="008127F8">
        <w:rPr>
          <w:rFonts w:ascii="Times New Roman" w:hAnsi="Times New Roman"/>
          <w:color w:val="000000" w:themeColor="text1"/>
          <w:sz w:val="16"/>
          <w:szCs w:val="16"/>
          <w:lang w:val="en-US"/>
        </w:rPr>
        <w:t>MAl</w:t>
      </w:r>
      <w:r w:rsidRPr="008127F8">
        <w:rPr>
          <w:rFonts w:ascii="Times New Roman" w:hAnsi="Times New Roman"/>
          <w:color w:val="000000" w:themeColor="text1"/>
          <w:sz w:val="16"/>
          <w:szCs w:val="16"/>
        </w:rPr>
        <w:t>»- в соответствии с пост. СМ СССР от 4.03.1983 г.</w:t>
      </w:r>
    </w:p>
    <w:p w14:paraId="73ACFD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В соответствии с пост</w:t>
      </w:r>
      <w:proofErr w:type="gramEnd"/>
      <w:r w:rsidRPr="008127F8">
        <w:rPr>
          <w:rFonts w:ascii="Times New Roman" w:hAnsi="Times New Roman"/>
          <w:color w:val="000000" w:themeColor="text1"/>
          <w:sz w:val="16"/>
          <w:szCs w:val="16"/>
        </w:rPr>
        <w:t>, правительства от 27.05.1969 г. начата разработка РЛС целеуказания для ЗРК С-300Ф «Флаг», с пост, от 1977 г.- РЛС дальнего обнаружения воздушных целей «Подберезовик».</w:t>
      </w:r>
    </w:p>
    <w:p w14:paraId="4E8B1C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w:t>
      </w:r>
      <w:proofErr w:type="gramStart"/>
      <w:r w:rsidRPr="008127F8">
        <w:rPr>
          <w:rFonts w:ascii="Times New Roman" w:hAnsi="Times New Roman"/>
          <w:color w:val="000000" w:themeColor="text1"/>
          <w:sz w:val="16"/>
          <w:szCs w:val="16"/>
        </w:rPr>
        <w:t>х  г.</w:t>
      </w:r>
      <w:proofErr w:type="gramEnd"/>
      <w:r w:rsidRPr="008127F8">
        <w:rPr>
          <w:rFonts w:ascii="Times New Roman" w:hAnsi="Times New Roman"/>
          <w:color w:val="000000" w:themeColor="text1"/>
          <w:sz w:val="16"/>
          <w:szCs w:val="16"/>
        </w:rPr>
        <w:t xml:space="preserve"> сюда из ЦНИИ «Альтаир» передана разработка систем автоматической обработки РЛ информации. По решению ВМФ, МСП и МРП от 1.01.1977 г. начата разработка системы «Пойма».</w:t>
      </w:r>
    </w:p>
    <w:p w14:paraId="49D11C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Имело наименование «п/я А-3543».</w:t>
      </w:r>
    </w:p>
    <w:p w14:paraId="764568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1987 г. разработано, принято на вооружение и запущено в серию 14 типов станций.</w:t>
      </w:r>
    </w:p>
    <w:p w14:paraId="5FB92A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(1.01.1981 г.)-1162 чел.</w:t>
      </w:r>
    </w:p>
    <w:p w14:paraId="5DA939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(1946-52 г.)- Б.П. Капелин, (1952-56 г.)- А.П. Алексеев, (1956-60; 1970-73 г.)- В.П. Антонов, (1960- 63 г.)- П.С. Ключарев, (1963-66 г.)- А.К. Николаев, (1966-69 г.)- М.Ф. Панченко, (1973-74 г.)- Б.М. Пономарев, (1974-87 Г.)- Л.А. Родионов, (1987-95 г.)- В.В. Шлепнин, (1995-2004 г.)- В.А. Панин, (2004-07 г.-&gt; В.Т. Ковалев.</w:t>
      </w:r>
    </w:p>
    <w:p w14:paraId="400811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Ш.И. Глейзер, Л.А. Родионов, (2004-07</w:t>
      </w:r>
      <w:proofErr w:type="gramStart"/>
      <w:r w:rsidRPr="008127F8">
        <w:rPr>
          <w:rFonts w:ascii="Times New Roman" w:hAnsi="Times New Roman"/>
          <w:color w:val="000000" w:themeColor="text1"/>
          <w:sz w:val="16"/>
          <w:szCs w:val="16"/>
        </w:rPr>
        <w:t>г,-</w:t>
      </w:r>
      <w:proofErr w:type="gramEnd"/>
      <w:r w:rsidRPr="008127F8">
        <w:rPr>
          <w:rFonts w:ascii="Times New Roman" w:hAnsi="Times New Roman"/>
          <w:color w:val="000000" w:themeColor="text1"/>
          <w:sz w:val="16"/>
          <w:szCs w:val="16"/>
        </w:rPr>
        <w:t>)- В.Т. Ковалев.</w:t>
      </w:r>
    </w:p>
    <w:p w14:paraId="10A721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В.И. Шокин.</w:t>
      </w:r>
    </w:p>
    <w:p w14:paraId="76A9F4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(1974-87 г.)- В.В. Шлепнин, (1987-2004 г.)- В.Т. Ковалев, (-2005-07 г.-&gt; М. Исаков.</w:t>
      </w:r>
    </w:p>
    <w:p w14:paraId="7107B5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(1947-48 г.-)- А.И. Патрикеев («Гюйс-2»), (-1956-69 г.-)- В.П. Антонов («Кактус», «Кливер», «Флаг»), (1957 г.)- Л.М. Рогов («Киль»), (1959 г.)- В.А. Кузнецов («Рубка»), (1960-е)- М.Ф. Панченко («Флаг»), (-1966-77 г.-)- Ш.И. Глейзер («Восход», «Подберезовик»), (-1976-87 г.)- ДА. Родионов («Фрегат», -М, -М2), (-1977- 90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Беляев («Пойма», -М), (1973-80 г.-)- В.В. Шлепнин («Флаг»), (-1980-87 г.-)- В.Т. Ковалев («Фрегат- МА», -МА1), Н.Д. Бородин («063»), В.Ф. Куликова («Кливер»), В.А. Панин («Фрегат-МАЭ-4К»), (2000 г.)- В.П. Кревс («Пойма-Э»).</w:t>
      </w:r>
    </w:p>
    <w:p w14:paraId="4FBFB2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конструкторов: В.П. Антонов («Гюйс-2»), В.А. Кузнецов («Гюйс-2»), (1956 г.)- А.Э. Атовмьян («Кактус»), (1956 г.)- П.В. Кузяков («Кактус»), (-1956-66 г.-)- В.Т. Павленко («Кактус», «Восход»), (1956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Рогов («Кактус»), (1957 г.)- С.М. Зябриков («Киль»), (-1957-66 г.-&gt; Н.И. Пирогов («Киль», «Восход»), (1959 г.)- И.З. Свердлов («Рубка»), (1960 г.)- Ю.П. Зверев («Кливер»), (1960 г.)- Л.С. Ратников («Кливер»), (1966 г.)- И.С. Загородников («Восход»), (1966 г.)- Н.Д. Бородин («Восход»), (1966 г.)- В.И. Шокин («Восход»), (-1976-84 г.-)- В.В. Шлепнин («Фрегат», -М), (-1976-87 г.-)- М.Р. Шемтов («Фрегат», -М, -</w:t>
      </w:r>
      <w:r w:rsidRPr="008127F8">
        <w:rPr>
          <w:rFonts w:ascii="Times New Roman" w:hAnsi="Times New Roman"/>
          <w:color w:val="000000" w:themeColor="text1"/>
          <w:sz w:val="16"/>
          <w:szCs w:val="16"/>
          <w:lang w:val="en-US"/>
        </w:rPr>
        <w:t>MA</w:t>
      </w:r>
      <w:r w:rsidRPr="008127F8">
        <w:rPr>
          <w:rFonts w:ascii="Times New Roman" w:hAnsi="Times New Roman"/>
          <w:color w:val="000000" w:themeColor="text1"/>
          <w:sz w:val="16"/>
          <w:szCs w:val="16"/>
        </w:rPr>
        <w:t>, -</w:t>
      </w:r>
      <w:r w:rsidRPr="008127F8">
        <w:rPr>
          <w:rFonts w:ascii="Times New Roman" w:hAnsi="Times New Roman"/>
          <w:color w:val="000000" w:themeColor="text1"/>
          <w:sz w:val="16"/>
          <w:szCs w:val="16"/>
          <w:lang w:val="en-US"/>
        </w:rPr>
        <w:t>MAI</w:t>
      </w:r>
      <w:r w:rsidRPr="008127F8">
        <w:rPr>
          <w:rFonts w:ascii="Times New Roman" w:hAnsi="Times New Roman"/>
          <w:color w:val="000000" w:themeColor="text1"/>
          <w:sz w:val="16"/>
          <w:szCs w:val="16"/>
        </w:rPr>
        <w:t>, М2), (-1976-87 г.-&gt; В.И. Мунистов («Фрегат», -М, -МА1, -М2, «Подберезовик»), (-1976-86 г.-)- В.И. Родионов («Фрегат», -М, -МА, -М2), (1970-86 г.-)- Д.К. Гринь («Фрегат», -М, -МА, -М2, «Флаг»), (1977 г.)- С.Е. Москалев («Подберезовик»), (1977 г.)- В.Д. Тарасов («Подберезовик»), (1977 г.)- Н.Ш. Милявский («Подберезовик»), (1977 г.)- М.Н. Широков («Подберезовик»), (-1977-90 г.-)- Ю. Г. Колесников («Пойма», -М), (-1977-90 г.-)- Ю. Г. Мешман («Пойма», -М), (1977 г.)- Л.А. Кайдановская («Пойма»), (-1977-90 г.-)- О.А. Отаров («Пойма», -М), (-1977-90 г.-)- С.В. Королев («Пойма», -М), (-1980-87 г.-&gt; В.А. Панин («Флаг», «Фрегат-</w:t>
      </w:r>
      <w:r w:rsidRPr="008127F8">
        <w:rPr>
          <w:rFonts w:ascii="Times New Roman" w:hAnsi="Times New Roman"/>
          <w:color w:val="000000" w:themeColor="text1"/>
          <w:sz w:val="16"/>
          <w:szCs w:val="16"/>
          <w:lang w:val="en-US"/>
        </w:rPr>
        <w:t>MAl</w:t>
      </w:r>
      <w:r w:rsidRPr="008127F8">
        <w:rPr>
          <w:rFonts w:ascii="Times New Roman" w:hAnsi="Times New Roman"/>
          <w:color w:val="000000" w:themeColor="text1"/>
          <w:sz w:val="16"/>
          <w:szCs w:val="16"/>
        </w:rPr>
        <w:t xml:space="preserve">»), (1980 г.)- А.А. Бабанов («Флаг»), (1980 г.)- А.И. Диковский («Флаг»), (1980 г.)- Р.С. Табачник («Флаг»), (-1980-87 г.-)- А.В. Лобанов («Фрегат-МА», -МА1, - М2), (-1977-87 Г.-)-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Эфендиев («Фрегат-МА», -МА1, -М2, «Подберезовик»), (-1980-86 г.-&gt;</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Беляев («Фрегат-МА», -М2), (1986 г.)- В.Т. Ковалев («Фрегат-М2»), (1987 г.)- В.И. Зуев («Фрегат-</w:t>
      </w:r>
      <w:r w:rsidRPr="008127F8">
        <w:rPr>
          <w:rFonts w:ascii="Times New Roman" w:hAnsi="Times New Roman"/>
          <w:color w:val="000000" w:themeColor="text1"/>
          <w:sz w:val="16"/>
          <w:szCs w:val="16"/>
          <w:lang w:val="en-US"/>
        </w:rPr>
        <w:t>MAl</w:t>
      </w:r>
      <w:r w:rsidRPr="008127F8">
        <w:rPr>
          <w:rFonts w:ascii="Times New Roman" w:hAnsi="Times New Roman"/>
          <w:color w:val="000000" w:themeColor="text1"/>
          <w:sz w:val="16"/>
          <w:szCs w:val="16"/>
        </w:rPr>
        <w:t>»), (1990 г.)- В .А. Новоженин («Пойма-М»),</w:t>
      </w:r>
    </w:p>
    <w:p w14:paraId="081CC5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проектного (1949 г.-)- А.И. Патрикеев; КО- А.И. Диковский; (1980 г.-)- Д.К. Гринь.</w:t>
      </w:r>
      <w:r w:rsidRPr="008127F8">
        <w:rPr>
          <w:rFonts w:ascii="Times New Roman" w:hAnsi="Times New Roman"/>
          <w:color w:val="000000" w:themeColor="text1"/>
          <w:sz w:val="16"/>
          <w:szCs w:val="16"/>
          <w:vertAlign w:val="superscript"/>
        </w:rPr>
        <w:t>103</w:t>
      </w:r>
    </w:p>
    <w:p w14:paraId="52BF70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АФУ (1959 г.-)- Н.Д. Бородин; комплексного проектирования- В.В. Шлепнин, (- 1974 г.)- Л.А. Родионов, (1975 г.-)- В.Т. Ковалев; сварки и пайки- Б.Ш. Шеер; В.А. Панин.</w:t>
      </w:r>
      <w:r w:rsidRPr="008127F8">
        <w:rPr>
          <w:rFonts w:ascii="Times New Roman" w:hAnsi="Times New Roman"/>
          <w:color w:val="000000" w:themeColor="text1"/>
          <w:sz w:val="16"/>
          <w:szCs w:val="16"/>
          <w:vertAlign w:val="superscript"/>
        </w:rPr>
        <w:t>130</w:t>
      </w:r>
    </w:p>
    <w:p w14:paraId="1542A8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секторов: антенных устройств- А.И. Диковский, Б.М. Герцовский; (1946 г.-)- В.П. Антонов, (1978 г.)- Н.С. Боровиков, (1978 г.)- В.И. Гилюк, (1978 г.)- А.Ф. Смирнов, (2005 г.)- Б.М. Герцовский, (2005 г.)- М. Исаков, (2005 г.)- М. Каширин, (2006 г.)- А. Немоляев.</w:t>
      </w:r>
    </w:p>
    <w:p w14:paraId="394957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Создано: корабельные </w:t>
      </w:r>
      <w:r w:rsidRPr="008127F8">
        <w:rPr>
          <w:rFonts w:ascii="Times New Roman" w:hAnsi="Times New Roman"/>
          <w:iCs/>
          <w:color w:val="000000" w:themeColor="text1"/>
          <w:sz w:val="16"/>
          <w:szCs w:val="16"/>
          <w:lang w:val="en-US"/>
        </w:rPr>
        <w:t>PJIC</w:t>
      </w:r>
      <w:r w:rsidRPr="008127F8">
        <w:rPr>
          <w:rFonts w:ascii="Times New Roman" w:hAnsi="Times New Roman"/>
          <w:iCs/>
          <w:color w:val="000000" w:themeColor="text1"/>
          <w:sz w:val="16"/>
          <w:szCs w:val="16"/>
        </w:rPr>
        <w:t>:</w:t>
      </w:r>
      <w:r w:rsidRPr="008127F8">
        <w:rPr>
          <w:rFonts w:ascii="Times New Roman" w:hAnsi="Times New Roman"/>
          <w:color w:val="000000" w:themeColor="text1"/>
          <w:sz w:val="16"/>
          <w:szCs w:val="16"/>
        </w:rPr>
        <w:t xml:space="preserve"> обнаружения воздушных и надводных целей: «Гюйс-2», для больших и средних кораблей «Кактус» (1953-56), дальнего обнаружения «Киль» (1960) и «Кливер» (1960, пнв в 1965 г.), для малых кораблей «Рубка» (пнв в 1960 г.), для ТАКР и БПЛК «Восход» (пнв в 1968 г.), для ТАКР и эсминцев «Фрегат» (пнв в 1978 г.), МР-700М «Фрегат-М» (пнв в 1980 г.), «Фрегат-МА» с СОИ «Пойма» (пнв в 1987 г.), «Фрегат-</w:t>
      </w:r>
      <w:r w:rsidRPr="008127F8">
        <w:rPr>
          <w:rFonts w:ascii="Times New Roman" w:hAnsi="Times New Roman"/>
          <w:color w:val="000000" w:themeColor="text1"/>
          <w:sz w:val="16"/>
          <w:szCs w:val="16"/>
          <w:lang w:val="en-US"/>
        </w:rPr>
        <w:t>MAl</w:t>
      </w:r>
      <w:r w:rsidRPr="008127F8">
        <w:rPr>
          <w:rFonts w:ascii="Times New Roman" w:hAnsi="Times New Roman"/>
          <w:color w:val="000000" w:themeColor="text1"/>
          <w:sz w:val="16"/>
          <w:szCs w:val="16"/>
        </w:rPr>
        <w:t>» (пнв в 1988 г.), «Фрегат-М2» (пнв в 1988 г.), для ракетных крейсеров «Флаг» (пнв в 1982 г.), для больших и средних кораблей «Подберезовик» (пнв в 1991 г.); «Редан», «Вымпел», «Якорь», «Фут» (пнв 15.02.1956 г.), «Бином»; экспортные варианты «Фрегат-МАЭ», «Подберезовик-Э»; СОИ «Пойма-М» (пнв в 1990 г.), экспортная «Пойма- Э» (2000); радиоизмерительные приборы РТ-10, ГСС-10, ГС-10 (1950-е); контрольно-регулировочные станции «Пирс» (1950-е); волноводные: циркуляторы для РЛС ФЦ-1, ФЦ-2, ФЦ-3, 4ЦВФ, 15ЦВФ, 35ЦВФ; вентили ФР-1, ФР-2, ВКР-1, ВКР-2, ВКР-3, ВВР-3, ВВР-5, 25ВВР; вращающиеся сочленения 4ВВС, 15ВВС, 35ВВС, ВВС-4-12, КВС-</w:t>
      </w:r>
      <w:r w:rsidRPr="008127F8">
        <w:rPr>
          <w:rFonts w:ascii="Times New Roman" w:hAnsi="Times New Roman"/>
          <w:color w:val="000000" w:themeColor="text1"/>
          <w:sz w:val="16"/>
          <w:szCs w:val="16"/>
        </w:rPr>
        <w:lastRenderedPageBreak/>
        <w:t>2, КВС-3, ВКВС-5; переключатель мощности 15ЦПБ.</w:t>
      </w:r>
    </w:p>
    <w:p w14:paraId="4DA35D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«Прибор» МСП /</w:t>
      </w:r>
      <w:proofErr w:type="gramStart"/>
      <w:r w:rsidRPr="008127F8">
        <w:rPr>
          <w:rFonts w:ascii="Times New Roman" w:hAnsi="Times New Roman"/>
          <w:color w:val="000000" w:themeColor="text1"/>
          <w:sz w:val="16"/>
          <w:szCs w:val="16"/>
        </w:rPr>
        <w:t>Молдавия  г.</w:t>
      </w:r>
      <w:proofErr w:type="gramEnd"/>
      <w:r w:rsidRPr="008127F8">
        <w:rPr>
          <w:rFonts w:ascii="Times New Roman" w:hAnsi="Times New Roman"/>
          <w:color w:val="000000" w:themeColor="text1"/>
          <w:sz w:val="16"/>
          <w:szCs w:val="16"/>
        </w:rPr>
        <w:t xml:space="preserve"> Бендеры/</w:t>
      </w:r>
    </w:p>
    <w:p w14:paraId="0F3D47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1970 г. разработан и представлен в МСП проект филиала завода «Салют»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Бендеры (Молдавия). В 12.1971 г. построен и введен в строй корпус № 1 филиала площадью 5000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Одновременно здесь же строился новый завод. В 1976 г. филиал и новый строящийся завод объединены в один завод «Прибор» (возможно, это Бендерский машиностроительный завод). В 2000-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завод вошел в состав ГМЗ «Салют» (входил в 2005 г.).</w:t>
      </w:r>
    </w:p>
    <w:p w14:paraId="3CF29E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(1.01.1981 г.)- 1400 чел.</w:t>
      </w:r>
    </w:p>
    <w:p w14:paraId="42BC02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(1970-75 г.)</w:t>
      </w:r>
      <w:proofErr w:type="gramStart"/>
      <w:r w:rsidRPr="008127F8">
        <w:rPr>
          <w:rFonts w:ascii="Times New Roman" w:hAnsi="Times New Roman"/>
          <w:color w:val="000000" w:themeColor="text1"/>
          <w:sz w:val="16"/>
          <w:szCs w:val="16"/>
        </w:rPr>
        <w:t>-  Г.С.</w:t>
      </w:r>
      <w:proofErr w:type="gramEnd"/>
      <w:r w:rsidRPr="008127F8">
        <w:rPr>
          <w:rFonts w:ascii="Times New Roman" w:hAnsi="Times New Roman"/>
          <w:color w:val="000000" w:themeColor="text1"/>
          <w:sz w:val="16"/>
          <w:szCs w:val="16"/>
        </w:rPr>
        <w:t xml:space="preserve"> Саранцев, (1975-79 г.)- С.И. Чеботарь, (1980-88 г.)- А.В. Горенкин, (1988-99 г.)- А.Х. Бикбов (11982).</w:t>
      </w:r>
    </w:p>
    <w:p w14:paraId="41AB0A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8424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2A2EE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F4072"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в 1942 году утреннее сообщение Совинформбюро:</w:t>
      </w:r>
    </w:p>
    <w:p w14:paraId="4B784D8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26 апреля на фронте чего-либо существенного не произошло.</w:t>
      </w:r>
    </w:p>
    <w:p w14:paraId="6142EE1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под командованием тов. Неудаченко (Калининский фронт) в бою удеревни К. уничтожили несколько немецких автомашин с пехотой, 6 станковых пулемётов и подавили артиллерийскую батарею противника. Гитлеровцы потеряли убитыми 160 солдат и офицеров. На другом участке фронта в бою у деревни П. Наши миномётчики уничтожили 5 станковых пулемётов, несколько блиндажей и много солдат и офицеров противника.</w:t>
      </w:r>
    </w:p>
    <w:p w14:paraId="5FB59F9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Карельского фронта, за один день боевых действий уничтожила свыше 350 солдат и офицеров противника. Нашими бойцами захвачены 2 миномёта, станковые и ручные пулемёты, винтовки и другое вооружение.</w:t>
      </w:r>
    </w:p>
    <w:p w14:paraId="55B8EBAD"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Отдельный отряд одной нашей части (Западный фронт) выбил противника из населённого пункта М. Во время боя подбито 3 немецких танка и уничтожено 90 гитлеровцев. Взяты пленные.</w:t>
      </w:r>
    </w:p>
    <w:p w14:paraId="32363B0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Батарея тов. Фёдорова за два дня уничтожила 8 немецких ДЗОТов, 3 противотанковые пушки и несколько пулемётных точек. Орудийный расчёт старшего сержанта тов. Редько взорвал вражеский склад с боеприпасами.</w:t>
      </w:r>
    </w:p>
    <w:p w14:paraId="6583DDC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Расчёты зенитных орудий старшего сержанта Марченко и ефрейтора Ивашкина открыли огонь по вражеским самолётам, пытавшимся бомбить наш военный объект. Несколькими выстрелами зенитчики сбили два «Юнкерса-87».</w:t>
      </w:r>
    </w:p>
    <w:p w14:paraId="0EDEF6E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Шевченко доставлял обед бойцам на передовую позицию. В пути на него напала группа немецких солдат. Смелый боец открыл по врагам огонь извинтовки и убил 7 гитлеровцев.</w:t>
      </w:r>
    </w:p>
    <w:p w14:paraId="1AB2C1D4"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С., действующий в одном из оккупированных немцами районов Украины, за период с 16 марта по 10 апреля уничтожил 406 гитлеровцев, в том числе 18 офицеров. Партизаны захватили трофеи: 2 станковых и 6 ручных пулемётов, 52 винтовки, 52.000 винтовочных патронов и радиостанцию. Советские патриоты уничтожили 2 вражеские пушки, взорвали железнодорожный мост и повредили 5 километров железнодорожного пути.</w:t>
      </w:r>
    </w:p>
    <w:p w14:paraId="56C2A78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6 роты 250 полка 113 немецкой пехотной дивизии Отто Траммер рассказал: «Немецкие солдаты и офицеры презирают и третируют румынскихсолдат.</w:t>
      </w:r>
    </w:p>
    <w:p w14:paraId="04A29548"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Одессе я сам видел, как немцы жестоко избили двух румын. Солдаты между собой говорили, </w:t>
      </w:r>
      <w:proofErr w:type="gramStart"/>
      <w:r w:rsidRPr="008127F8">
        <w:rPr>
          <w:rFonts w:ascii="Times New Roman" w:hAnsi="Times New Roman"/>
          <w:color w:val="000000" w:themeColor="text1"/>
          <w:sz w:val="16"/>
          <w:szCs w:val="16"/>
        </w:rPr>
        <w:t>что</w:t>
      </w:r>
      <w:proofErr w:type="gramEnd"/>
      <w:r w:rsidRPr="008127F8">
        <w:rPr>
          <w:rFonts w:ascii="Times New Roman" w:hAnsi="Times New Roman"/>
          <w:color w:val="000000" w:themeColor="text1"/>
          <w:sz w:val="16"/>
          <w:szCs w:val="16"/>
        </w:rPr>
        <w:t xml:space="preserve"> если Германия выиграет войну, Румыния перестанет существовать как самостоятельное государство и будет включена в состав Германии.</w:t>
      </w:r>
    </w:p>
    <w:p w14:paraId="6C45A27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несколько месяцев стояла в Одессе. Город полуразрушен, заводы и фабрики не работают, магазины закрыты. Население бедствует. Каждый день сотни людей умирают от голода. В различных частях города сооружены виселицы. Днём и ночью солдаты безудержно грабят население. Хватают всё, что попадает на глаза. Награбленное отправляют домой».</w:t>
      </w:r>
    </w:p>
    <w:p w14:paraId="467617ED"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Чехословацкие патриоты самоотверженно ведут борьбу против немецко-фашистских оккупантов. Выпуск продукции на орудийном заводе в Пильзене непрерывно снижается. Каждый день в цехах происходят аварии. В начале апреля в механическом цехе в подшипниках моторов был обнаружен песок. Через несколько дней неизвестными приведена в негодность большая партия готовых орудийных стволов.» (15111).</w:t>
      </w:r>
    </w:p>
    <w:p w14:paraId="3B80CC92"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5734BEF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в 1942 году вечернее сообщение Совинформбюро:</w:t>
      </w:r>
    </w:p>
    <w:p w14:paraId="1D8F50A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26 апреля на фронте чего-либо существенного не произошло.</w:t>
      </w:r>
    </w:p>
    <w:p w14:paraId="1E166D6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апреля уничтожен 21 немецкий самолёт. Наши потери — 10 самолётов.</w:t>
      </w:r>
    </w:p>
    <w:p w14:paraId="5D70455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корабли в Баренцевом море потопили подводную лодку противника.</w:t>
      </w:r>
    </w:p>
    <w:p w14:paraId="371FE4A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апреля частями нашей авиации уничтожено или повреждено 20 немецких автомашин с войсками и грузами, 6 полевых орудий, взорван железнодорожный эшелон, рассеяно и частью уничтожено до двух рот пехоты противника.</w:t>
      </w:r>
    </w:p>
    <w:p w14:paraId="5D94C02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успешно отбила две атаки гитлеровцев, поддержанные танками. Наши бойцы, не дав немцам опомниться и привести себя в порядок, ворвались и выбили гитлеровцев из двух населённых пунктов. Уничтожено 3 немецких танка, 2 миномётные батареи и орудие. Захвачены трофеи и пленные. На поле боя осталось свыше 300 вражеских трупов.</w:t>
      </w:r>
    </w:p>
    <w:p w14:paraId="2E9C62F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огнём советской артиллерии разрушено несколько немецких ДЗОТов и уничтожено до 160 немецких солдат и офицеров. На другом участке фронта наши артиллеристы рассеяли большую колонну вражеской пехоты.</w:t>
      </w:r>
    </w:p>
    <w:p w14:paraId="408CC265"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Метким огнём батареи подожжён крупный склад боеприпасов противника. Взрывы были слышны в течение 30 минут.</w:t>
      </w:r>
    </w:p>
    <w:p w14:paraId="730A666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боёв с противником рота тяжёлых танков капитана И. Аэобкова уничтожила 35 немецких противотанковых орудий, 12 тяжёлых орудий, 8 зенитных орудий, 9 танков и бронемашин, 19 пулемётных гнёзд, разрушила 17 ДЗОТов и нанесла большой урон живой силе противника.</w:t>
      </w:r>
    </w:p>
    <w:p w14:paraId="71080CE1"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красноармейцев-разведчиков, воспользовавшись туманом, проникли в тыл противника в районе населённого пункта П. Смелые бойцы взорвали гранатами 3 немецкие землянки и 3 станковых пулемёта. В завязавшейся схватке разведчики уничтожили 40 вражеских солдат и офицеров, захватили пленных и благополучно вернулись в расположение своей части.</w:t>
      </w:r>
    </w:p>
    <w:p w14:paraId="5CE3173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М., действующий в тылу немецко-фашистских войск на Западном фронте, атаковал село, в котором был расположен командный пункт немецкого пехотного полка. Бесшумно сняв часовых, партизаны разгромили штаб немецкой части и взорвали склад с боеприпасами. Немцы бежали из деревни, потеряв убитыми 63 солдата и офицера. Партизаны захватили штабные документы и много оружия.</w:t>
      </w:r>
    </w:p>
    <w:p w14:paraId="0EFF509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212 полка 79 немецкой пехотной дивизии Людвиг фон Герихтен рассказал: «Ещё недавно мы проходили военное обучение в городе Нанси (Франция). В конце февраля нас спешно отправили на советско-германский фронт. В дороге офицеры говорили, что наши части будут введены в дело не сразу, а весной. 21 марта мы прибыли в район Харькова, где нас тотчас же бросили в бой. Русские на этом участке предприняли сильные атаки. Мы несли огромные потери. Усталые, деморализованные солдаты падали с ног, не хотели идти в бой, но их гнали силой. Позади шли командир роты лейтенант Штрунк и другие офицеры с револьверами в руках. Они угрожали, что всякий, кто отстанет, будет расстрелян. В этих боях наш батальон потерял две трети личного состава».</w:t>
      </w:r>
    </w:p>
    <w:p w14:paraId="73C4352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Освободив деревню Борки, Ленинградской области, от немецко-фашистских захватчиков, наши бойцы обнаружили 11 сожжённых трупов красноармейцев. Местные жители рассказали, что эти красноармейцы были ранены и попали в плен к немцам. Гитлеровские бандиты долго мучили пленных, затем заперли их в одном из домов и подожгли его.» (15111).</w:t>
      </w:r>
    </w:p>
    <w:p w14:paraId="49381A1F"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084EE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постановлением ГКО ГУ ГВФ было подчинено командующему ВВС. Возложили задачи по транспортировке грузов на фронт, эвакуации раненых, связи с партизанами (340,78).</w:t>
      </w:r>
    </w:p>
    <w:p w14:paraId="553F9E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67E6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вышло Постановление ГКО № 1657 [О подчинении Гражданского воздушного флота командующему ВВС.] (7032, 11).</w:t>
      </w:r>
    </w:p>
    <w:p w14:paraId="024AF82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EAA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 вышло ПОСТАНОВЛЕНИЕ № ГОКО-1657</w:t>
      </w:r>
    </w:p>
    <w:p w14:paraId="607B76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Москва, Кремль </w:t>
      </w:r>
    </w:p>
    <w:p w14:paraId="7B902B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ГРАЖДАНСКОМ ВОЗДУШНОМ ФЛОТЕ</w:t>
      </w:r>
    </w:p>
    <w:p w14:paraId="64E500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изменение постановления СНК СССР от 23 июня 1941 года "О работе Гражданского Воздушного Флота в военное время" Государственный Комитет Обороны постановляет: </w:t>
      </w:r>
    </w:p>
    <w:p w14:paraId="404BFF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Подчинить с 27 апреля с.г. во всех отношениях Главное управление Гражданского Воздушного Флота заместителю наркома обороны по авиации и командующему военно-воздушными силами Красной Армии тов. Новикову. </w:t>
      </w:r>
    </w:p>
    <w:p w14:paraId="3E8734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Назначить начальника Главного управления Гражданского Воздушного Флота тов. Молокова заместителем командующего ВВС КА. </w:t>
      </w:r>
    </w:p>
    <w:p w14:paraId="63F451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Назначить первым заместителем начальника Главного управления Гражданского Воздушного Флота тов. Семенова, освободив его от обязанностей начальника Политуправления ГУГВФ. </w:t>
      </w:r>
    </w:p>
    <w:p w14:paraId="2EE4DC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Поручить т.т. Новикову, Молокову, Голованову и Семенову в пятидневный срок представить свои предложения: </w:t>
      </w:r>
    </w:p>
    <w:p w14:paraId="1CEBF7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о персональных изменениях в руководящем составе ГУГВФ; </w:t>
      </w:r>
    </w:p>
    <w:p w14:paraId="238DB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об изменении в положении служащих и рабочих Гражданского Воздушного Флота в связи с объявлением их мобилизованными, согласно постановлению СНК </w:t>
      </w:r>
      <w:r w:rsidRPr="008127F8">
        <w:rPr>
          <w:rFonts w:ascii="Times New Roman" w:hAnsi="Times New Roman"/>
          <w:color w:val="000000" w:themeColor="text1"/>
          <w:sz w:val="16"/>
          <w:szCs w:val="16"/>
        </w:rPr>
        <w:lastRenderedPageBreak/>
        <w:t xml:space="preserve">СССР от 23 июня 1941 года; </w:t>
      </w:r>
    </w:p>
    <w:p w14:paraId="0F0BA7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о переработке "Положения о работе Гражданского Воздушного Флота в военное время"; </w:t>
      </w:r>
    </w:p>
    <w:p w14:paraId="4D186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о мерах улучшения работы Гражданского Воздушного Флота с точки зрения наилучшего использования сил и средств Гражданского Воздушного Флота в интересах обороны. </w:t>
      </w:r>
    </w:p>
    <w:p w14:paraId="3B8C7D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ПРЕДСЕДАТЕЛЬ ГОСУДАРСТВЕННОГО КОМИТЕТА ОБОРОНЫ И. СТАЛИН </w:t>
      </w:r>
    </w:p>
    <w:p w14:paraId="17BF13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т.т. Маленкову, Вознесенскому, Новикову, Молокову, Семенову, Голованову, Шапошникову, Чадаеву (11434).</w:t>
      </w:r>
    </w:p>
    <w:p w14:paraId="18521B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5BA95" w14:textId="0CA6CF06" w:rsidR="00C40A00" w:rsidRPr="008127F8" w:rsidRDefault="00C40A00"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28B2395A" w14:textId="77777777" w:rsidR="00C40A00" w:rsidRPr="008127F8" w:rsidRDefault="00C40A00"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660DC8A"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26 апреля1942 оба корабля ТБ-7 с заводскими номерами 42066 и </w:t>
      </w:r>
      <w:proofErr w:type="gramStart"/>
      <w:r w:rsidRPr="008127F8">
        <w:rPr>
          <w:rFonts w:ascii="Times New Roman" w:hAnsi="Times New Roman"/>
          <w:color w:val="000000" w:themeColor="text1"/>
          <w:sz w:val="16"/>
          <w:szCs w:val="16"/>
        </w:rPr>
        <w:t>42076</w:t>
      </w:r>
      <w:proofErr w:type="gramEnd"/>
      <w:r w:rsidRPr="008127F8">
        <w:rPr>
          <w:rFonts w:ascii="Times New Roman" w:hAnsi="Times New Roman"/>
          <w:color w:val="000000" w:themeColor="text1"/>
          <w:sz w:val="16"/>
          <w:szCs w:val="16"/>
        </w:rPr>
        <w:t xml:space="preserve"> и два их экипажа - были готовы к выле</w:t>
      </w:r>
      <w:r w:rsidRPr="008127F8">
        <w:rPr>
          <w:rFonts w:ascii="Times New Roman" w:hAnsi="Times New Roman"/>
          <w:color w:val="000000" w:themeColor="text1"/>
          <w:sz w:val="16"/>
          <w:szCs w:val="16"/>
        </w:rPr>
        <w:softHyphen/>
        <w:t>ту. Подготовка бомбардировщиков заключа</w:t>
      </w:r>
      <w:r w:rsidRPr="008127F8">
        <w:rPr>
          <w:rFonts w:ascii="Times New Roman" w:hAnsi="Times New Roman"/>
          <w:color w:val="000000" w:themeColor="text1"/>
          <w:sz w:val="16"/>
          <w:szCs w:val="16"/>
        </w:rPr>
        <w:softHyphen/>
        <w:t>лась в установке кислородных баллонов и скамеек для пассажиров в центральной части фюзеляжа, машины получили дополнитель</w:t>
      </w:r>
      <w:r w:rsidRPr="008127F8">
        <w:rPr>
          <w:rFonts w:ascii="Times New Roman" w:hAnsi="Times New Roman"/>
          <w:color w:val="000000" w:themeColor="text1"/>
          <w:sz w:val="16"/>
          <w:szCs w:val="16"/>
        </w:rPr>
        <w:softHyphen/>
        <w:t>ное радиооборудование, проверили двигате</w:t>
      </w:r>
      <w:r w:rsidRPr="008127F8">
        <w:rPr>
          <w:rFonts w:ascii="Times New Roman" w:hAnsi="Times New Roman"/>
          <w:color w:val="000000" w:themeColor="text1"/>
          <w:sz w:val="16"/>
          <w:szCs w:val="16"/>
        </w:rPr>
        <w:softHyphen/>
        <w:t>ли. Так как ТБ-7 не был оборудован туалетом, то в кормовой части было поставлено ведро для пассажиров и экипажа.</w:t>
      </w:r>
    </w:p>
    <w:p w14:paraId="7CF97F48"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Пробный полет был назначен на 28 апре</w:t>
      </w:r>
      <w:r w:rsidRPr="008127F8">
        <w:rPr>
          <w:rFonts w:ascii="Times New Roman" w:hAnsi="Times New Roman"/>
          <w:color w:val="000000" w:themeColor="text1"/>
          <w:sz w:val="16"/>
          <w:szCs w:val="16"/>
        </w:rPr>
        <w:softHyphen/>
        <w:t>ля, лететьбыл назначен ТБ-7 майора С.А. Ася- мова с заводским номером 42076 и его эки</w:t>
      </w:r>
      <w:r w:rsidRPr="008127F8">
        <w:rPr>
          <w:rFonts w:ascii="Times New Roman" w:hAnsi="Times New Roman"/>
          <w:color w:val="000000" w:themeColor="text1"/>
          <w:sz w:val="16"/>
          <w:szCs w:val="16"/>
        </w:rPr>
        <w:softHyphen/>
        <w:t>паж, но вторым пилотом был назначен Э.К. Пусэп из экипажа ТБ-7 №42066, также в полет отправлялись оба штурмана майоры А.П. Штепенко и С.М. Романов. ТБ-7 42066 остает</w:t>
      </w:r>
      <w:r w:rsidRPr="008127F8">
        <w:rPr>
          <w:rFonts w:ascii="Times New Roman" w:hAnsi="Times New Roman"/>
          <w:color w:val="000000" w:themeColor="text1"/>
          <w:sz w:val="16"/>
          <w:szCs w:val="16"/>
        </w:rPr>
        <w:softHyphen/>
        <w:t>ся в резерве - он должен был лететь в случае отказа матчасти №42076. Скорее всего, в период подготовки к перелету обе эти маши</w:t>
      </w:r>
      <w:r w:rsidRPr="008127F8">
        <w:rPr>
          <w:rFonts w:ascii="Times New Roman" w:hAnsi="Times New Roman"/>
          <w:color w:val="000000" w:themeColor="text1"/>
          <w:sz w:val="16"/>
          <w:szCs w:val="16"/>
        </w:rPr>
        <w:softHyphen/>
        <w:t>ны не совершали боевых вылетов. Секрет</w:t>
      </w:r>
      <w:r w:rsidRPr="008127F8">
        <w:rPr>
          <w:rFonts w:ascii="Times New Roman" w:hAnsi="Times New Roman"/>
          <w:color w:val="000000" w:themeColor="text1"/>
          <w:sz w:val="16"/>
          <w:szCs w:val="16"/>
        </w:rPr>
        <w:softHyphen/>
        <w:t>ность предстоящего полета в Англию была настолько большой, что даже экипажу не все сообщали до конца об истинных его целях. По воспоминаниям К.Э. Пусэпа в один из вечеров С.А. Асямов сообщил ему под вели</w:t>
      </w:r>
      <w:r w:rsidRPr="008127F8">
        <w:rPr>
          <w:rFonts w:ascii="Times New Roman" w:hAnsi="Times New Roman"/>
          <w:color w:val="000000" w:themeColor="text1"/>
          <w:sz w:val="16"/>
          <w:szCs w:val="16"/>
        </w:rPr>
        <w:softHyphen/>
        <w:t>чайшим секретом, что наше правительство, якобы, закупило у союзников партию бом</w:t>
      </w:r>
      <w:r w:rsidRPr="008127F8">
        <w:rPr>
          <w:rFonts w:ascii="Times New Roman" w:hAnsi="Times New Roman"/>
          <w:color w:val="000000" w:themeColor="text1"/>
          <w:sz w:val="16"/>
          <w:szCs w:val="16"/>
        </w:rPr>
        <w:softHyphen/>
        <w:t>бардировщиков, и что им предстоит в бли</w:t>
      </w:r>
      <w:r w:rsidRPr="008127F8">
        <w:rPr>
          <w:rFonts w:ascii="Times New Roman" w:hAnsi="Times New Roman"/>
          <w:color w:val="000000" w:themeColor="text1"/>
          <w:sz w:val="16"/>
          <w:szCs w:val="16"/>
        </w:rPr>
        <w:softHyphen/>
        <w:t>жайшее время перебросить в Англию экипа</w:t>
      </w:r>
      <w:r w:rsidRPr="008127F8">
        <w:rPr>
          <w:rFonts w:ascii="Times New Roman" w:hAnsi="Times New Roman"/>
          <w:color w:val="000000" w:themeColor="text1"/>
          <w:sz w:val="16"/>
          <w:szCs w:val="16"/>
        </w:rPr>
        <w:softHyphen/>
        <w:t>жи ГВФ для перегонки этих самолетов в Советский Союз. И их посылают для того, чтобы выяснить, насколько этот маршрут пригоден и как мы сумеем его преодолеть. Вполне возможно, такую легенду им подки</w:t>
      </w:r>
      <w:r w:rsidRPr="008127F8">
        <w:rPr>
          <w:rFonts w:ascii="Times New Roman" w:hAnsi="Times New Roman"/>
          <w:color w:val="000000" w:themeColor="text1"/>
          <w:sz w:val="16"/>
          <w:szCs w:val="16"/>
        </w:rPr>
        <w:softHyphen/>
        <w:t>нули органы государственной безопасности (19936).</w:t>
      </w:r>
    </w:p>
    <w:p w14:paraId="0A94F5C1" w14:textId="77777777" w:rsidR="00C40A00" w:rsidRPr="008127F8" w:rsidRDefault="00C40A00" w:rsidP="001E0A84">
      <w:pPr>
        <w:spacing w:after="0" w:line="240" w:lineRule="auto"/>
        <w:jc w:val="both"/>
        <w:rPr>
          <w:rFonts w:ascii="Times New Roman" w:hAnsi="Times New Roman"/>
          <w:color w:val="000000" w:themeColor="text1"/>
          <w:sz w:val="16"/>
          <w:szCs w:val="16"/>
        </w:rPr>
      </w:pPr>
    </w:p>
    <w:p w14:paraId="21032402" w14:textId="20639E0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08921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EE94C"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1942 года состоялся первый полет </w:t>
      </w:r>
      <w:r w:rsidRPr="008127F8">
        <w:rPr>
          <w:rFonts w:ascii="Times New Roman" w:hAnsi="Times New Roman"/>
          <w:color w:val="000000" w:themeColor="text1"/>
          <w:sz w:val="16"/>
          <w:szCs w:val="16"/>
          <w:lang w:val="en-US"/>
        </w:rPr>
        <w:t>XB</w:t>
      </w:r>
      <w:r w:rsidRPr="008127F8">
        <w:rPr>
          <w:rFonts w:ascii="Times New Roman" w:hAnsi="Times New Roman"/>
          <w:color w:val="000000" w:themeColor="text1"/>
          <w:sz w:val="16"/>
          <w:szCs w:val="16"/>
        </w:rPr>
        <w:t xml:space="preserve">-28 </w:t>
      </w:r>
      <w:r w:rsidRPr="008127F8">
        <w:rPr>
          <w:rFonts w:ascii="Times New Roman" w:hAnsi="Times New Roman"/>
          <w:color w:val="000000" w:themeColor="text1"/>
          <w:sz w:val="16"/>
          <w:szCs w:val="16"/>
          <w:lang w:val="en-US"/>
        </w:rPr>
        <w:t>Dragon</w:t>
      </w:r>
      <w:r w:rsidRPr="008127F8">
        <w:rPr>
          <w:rFonts w:ascii="Times New Roman" w:hAnsi="Times New Roman"/>
          <w:color w:val="000000" w:themeColor="text1"/>
          <w:sz w:val="16"/>
          <w:szCs w:val="16"/>
        </w:rPr>
        <w:t xml:space="preserve"> (20793).</w:t>
      </w:r>
    </w:p>
    <w:p w14:paraId="02D8C109" w14:textId="77777777" w:rsidR="00C40A00" w:rsidRPr="008127F8" w:rsidRDefault="00C40A00" w:rsidP="001E0A84">
      <w:pPr>
        <w:spacing w:after="0" w:line="240" w:lineRule="auto"/>
        <w:jc w:val="both"/>
        <w:rPr>
          <w:rFonts w:ascii="Times New Roman" w:hAnsi="Times New Roman"/>
          <w:color w:val="000000" w:themeColor="text1"/>
          <w:sz w:val="16"/>
          <w:szCs w:val="16"/>
        </w:rPr>
      </w:pPr>
    </w:p>
    <w:p w14:paraId="50722121" w14:textId="1B68A9E3"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26 апреля </w:t>
      </w:r>
      <w:proofErr w:type="gramStart"/>
      <w:r w:rsidRPr="008127F8">
        <w:rPr>
          <w:rFonts w:ascii="Times New Roman" w:hAnsi="Times New Roman"/>
          <w:color w:val="000000" w:themeColor="text1"/>
          <w:sz w:val="16"/>
          <w:szCs w:val="16"/>
        </w:rPr>
        <w:t>1942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Первый полет высотного бомбардировщика North American XB-28 Dragon.</w:t>
      </w:r>
    </w:p>
    <w:p w14:paraId="456DC4EF" w14:textId="3C00C0EF"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XB-28 показали, что самолет превосходит по всем характеристикам серийный бомбардировщик B-25 Mitchell, на базе которого был сделан. Однако опыт войны показал, что потребности в высотных бомбардировщиках очень низкие - основные бомбовые удары наносились со средних и низких высот. К тому же концу войны основной упор ВВС США</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стали делать на тяжелые четырехдвигательные стратегические </w:t>
      </w:r>
      <w:proofErr w:type="gramStart"/>
      <w:r w:rsidRPr="008127F8">
        <w:rPr>
          <w:rFonts w:ascii="Times New Roman" w:hAnsi="Times New Roman"/>
          <w:color w:val="000000" w:themeColor="text1"/>
          <w:sz w:val="16"/>
          <w:szCs w:val="16"/>
        </w:rPr>
        <w:t>бомбардировщики: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proofErr w:type="gramEnd"/>
      <w:r w:rsidRPr="008127F8">
        <w:rPr>
          <w:rFonts w:ascii="Times New Roman" w:hAnsi="Times New Roman"/>
          <w:color w:val="000000" w:themeColor="text1"/>
          <w:sz w:val="16"/>
          <w:szCs w:val="16"/>
        </w:rPr>
        <w:t>Boeing XB-29, Lockheed XB-30, Douglas XB-31 и Consolidated XB-32. В связи с этим были остановлено финансирование программы испытаний самолета и так же отменены работы по созданию серийной версии самолета B-28 (North American NA-69). Результаты испытаний и наработок по герметичным кабинам были использованы в дальнейшем при разработке бомбардировщика Boeing B-29 "Superfortress" (22523).</w:t>
      </w:r>
    </w:p>
    <w:p w14:paraId="1F28DC6B" w14:textId="77777777" w:rsidR="00C40A00" w:rsidRPr="008127F8" w:rsidRDefault="00C40A00" w:rsidP="001E0A84">
      <w:pPr>
        <w:spacing w:after="0" w:line="240" w:lineRule="auto"/>
        <w:jc w:val="both"/>
        <w:rPr>
          <w:rFonts w:ascii="Times New Roman" w:hAnsi="Times New Roman"/>
          <w:color w:val="000000" w:themeColor="text1"/>
          <w:sz w:val="16"/>
          <w:szCs w:val="16"/>
        </w:rPr>
      </w:pPr>
    </w:p>
    <w:p w14:paraId="7D9CB54E" w14:textId="77777777" w:rsidR="00C40A00" w:rsidRPr="008127F8" w:rsidRDefault="00C40A00" w:rsidP="001E0A84">
      <w:pPr>
        <w:shd w:val="clear" w:color="auto" w:fill="FFFFFF"/>
        <w:tabs>
          <w:tab w:val="left" w:pos="9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года форсированными темпами ХВ28 был достроен и совершил первый полет. На испытаниях он развил скорость 599 км/ч на высоте 7600 м, потолок был более 10000 м, а дальность превышала 3000 км.</w:t>
      </w:r>
    </w:p>
    <w:p w14:paraId="7FE479A0" w14:textId="77777777" w:rsidR="00C40A00" w:rsidRPr="008127F8" w:rsidRDefault="00C40A00" w:rsidP="001E0A84">
      <w:pPr>
        <w:shd w:val="clear" w:color="auto" w:fill="FFFFFF"/>
        <w:tabs>
          <w:tab w:val="left" w:pos="97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вполне годился на роль массового дальнего бомбардировщика, но Заказчик выставил неожиданную претензию: точность бомбометания с потолка на максимальной скорости оказалась ниже, чем у В-17 и В-24. Руководство фирмы доказывало объективный характер этого явления. Дело было в более высокой скорости, из-за чего вырос разброс бомб, ведь прицелы на всех этих самолетах были одинаковы, плохой же курсовой устойчивостью ХВ-28, в отличие от B-17C/D, не страдал. Но Заказчик был непреклонен, а авторитета конструкторов «Норт Америкен» не хватило, чтобы аргументированно ответить на требование Заказчика. В итоге фирме рекомендовали второй опытный образец ХВ-28 строить… как фронтовой бомбардировщик, специально предназначенный для действий с предельно малых высот. Из-за этого его летные данные упали, а «добила» проект гибель второй машины 4 августа 1943 года. Авария стала формальным поводом для отказа от принятия ХВ-28 на вооружение (22850).</w:t>
      </w:r>
    </w:p>
    <w:p w14:paraId="7B1AFEE9" w14:textId="77777777" w:rsidR="00C40A00" w:rsidRPr="008127F8" w:rsidRDefault="00C40A00" w:rsidP="001E0A84">
      <w:pPr>
        <w:shd w:val="clear" w:color="auto" w:fill="FFFFFF"/>
        <w:tabs>
          <w:tab w:val="left" w:pos="974"/>
        </w:tabs>
        <w:spacing w:after="0" w:line="240" w:lineRule="auto"/>
        <w:jc w:val="both"/>
        <w:rPr>
          <w:rFonts w:ascii="Times New Roman" w:hAnsi="Times New Roman"/>
          <w:color w:val="000000" w:themeColor="text1"/>
          <w:sz w:val="16"/>
          <w:szCs w:val="16"/>
        </w:rPr>
      </w:pPr>
    </w:p>
    <w:p w14:paraId="77E4090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Гитлер провозглашен “верховным судьей Рейха”, получив право издавать законы самостоятельно (4962).</w:t>
      </w:r>
    </w:p>
    <w:p w14:paraId="023B15C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C0459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 1942 в Хонкейко (Манчжурия) произошла крупнейшая в мире катастрофа на шахте, в ходе которой погибло 1549 шахтеров (4962).</w:t>
      </w:r>
    </w:p>
    <w:p w14:paraId="7E3AB62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6BEB0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023A5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1A5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И.Ф.Петров постановлением ГКО был освобожден от должности главного инженера и зам. командующего ВВС КА и стал начальником НИИ ВВС (198,44).</w:t>
      </w:r>
    </w:p>
    <w:p w14:paraId="5E5629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Ненадолго, до июня, когда стал начальником НИИ ГВФ. С 27 апреля ГИ ВВС стал А.К.Репин (262,78).</w:t>
      </w:r>
    </w:p>
    <w:p w14:paraId="2A8277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D20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состоялась первая проба двигателя на Би-1 (4,287).</w:t>
      </w:r>
    </w:p>
    <w:p w14:paraId="7A73FF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Наверное, это какая-то ошибка.</w:t>
      </w:r>
    </w:p>
    <w:p w14:paraId="4F2A2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05B02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843C5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EF1BB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года вышел приказ № 203 НКБ</w:t>
      </w:r>
    </w:p>
    <w:p w14:paraId="6208392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вспомогательными площадями и наращения мощности завода № 73 по изготовлению изделий М-13:</w:t>
      </w:r>
    </w:p>
    <w:p w14:paraId="7085E4B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612 объединить с заводом № 73 в качестве филиала (5806, 219).</w:t>
      </w:r>
    </w:p>
    <w:p w14:paraId="5BA4F06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6FBFA" w14:textId="77777777" w:rsidR="002248C7" w:rsidRPr="008127F8" w:rsidRDefault="002248C7" w:rsidP="001E0A84">
      <w:pPr>
        <w:spacing w:after="0" w:line="240" w:lineRule="auto"/>
        <w:jc w:val="both"/>
        <w:rPr>
          <w:rFonts w:ascii="Times New Roman" w:eastAsia="Times New Roman" w:hAnsi="Times New Roman"/>
          <w:bCs/>
          <w:i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апреля 1942 г.</w:t>
      </w:r>
    </w:p>
    <w:p w14:paraId="5E1D82E1"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86 лист 12 – 14</w:t>
      </w:r>
      <w:r w:rsidRPr="008127F8">
        <w:rPr>
          <w:rFonts w:ascii="Times New Roman" w:eastAsia="Times New Roman" w:hAnsi="Times New Roman"/>
          <w:color w:val="000000" w:themeColor="text1"/>
          <w:sz w:val="16"/>
          <w:szCs w:val="16"/>
          <w:lang w:eastAsia="ru-RU"/>
        </w:rPr>
        <w:t xml:space="preserve"> </w:t>
      </w:r>
    </w:p>
    <w:p w14:paraId="2D32E282"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142856DE"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6A993A9E"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w:t>
      </w:r>
    </w:p>
    <w:p w14:paraId="136AB38A"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122</w:t>
      </w:r>
    </w:p>
    <w:p w14:paraId="7F767D6F"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"27" апреля 1942 г. </w:t>
      </w:r>
    </w:p>
    <w:p w14:paraId="7FB71663"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 Челябинск</w:t>
      </w:r>
    </w:p>
    <w:p w14:paraId="2DE2D8F7"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Несмотря на постановление ГКО от 4.4-с.г. и приказы Народного Комиссара Танковой Промышленности № 117сс от 28.3-с.г. и № 326 от 6.4-с.г. завод № 222 систематически не выполняет плана по выпуску огнеметов. </w:t>
      </w:r>
    </w:p>
    <w:p w14:paraId="72AA3F17"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Основными причинами неудовлетворительной работы завода в настоящее время являются: </w:t>
      </w:r>
    </w:p>
    <w:p w14:paraId="08433A83"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Необеспеченность электроэнергией; </w:t>
      </w:r>
    </w:p>
    <w:p w14:paraId="16286F76"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Отсутствие покупных материалов, изделий и полуфабрикатов по вине руководства завода и Главснаба НКТП, не обеспечившего необходимых фондов; </w:t>
      </w:r>
    </w:p>
    <w:p w14:paraId="2848BA5D"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Срыв поставок Кировским заводом заготовок, предусмотренных приказами НКТП; </w:t>
      </w:r>
    </w:p>
    <w:p w14:paraId="092259FB"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Отсутствие автотракторного и гужевого транспорта; </w:t>
      </w:r>
    </w:p>
    <w:p w14:paraId="05E29DA5"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 Чрезмерная трудоемкость изделия, вследствие отсутствия отработанной технологии; </w:t>
      </w:r>
    </w:p>
    <w:p w14:paraId="61C683E7"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е) Низкая трудовая дисциплина и необеспеченность рабочей силой; </w:t>
      </w:r>
    </w:p>
    <w:p w14:paraId="17BF2144"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ж) Срыв графика по капитальному строительству производственных и коммунально-бытовых объектов. </w:t>
      </w:r>
    </w:p>
    <w:p w14:paraId="1A6BFA35"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целях обеспечения выпуска огнеметов по утвержденному Правительством плану – ПРИКАЗЫВАЮ: </w:t>
      </w:r>
    </w:p>
    <w:p w14:paraId="3B6A8830"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1.</w:t>
      </w:r>
    </w:p>
    <w:p w14:paraId="00F7777A"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Директору завода № 222 тов. ПЫШКИНУ Н.К.: </w:t>
      </w:r>
    </w:p>
    <w:p w14:paraId="30AF3539"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Закончить капитальный ремонт стационарных дизелей и двух дизелей энерговагонов в 5-ти дневный срок со дня получения деталей с Кировского завода (поршней, гильз и коллекторов). </w:t>
      </w:r>
    </w:p>
    <w:p w14:paraId="4C99A47F"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Немедленно принять меры к розыску дизеля 800 л.с., отгруженного в адрес завода со ст. Амур ДВК. </w:t>
      </w:r>
    </w:p>
    <w:p w14:paraId="3D488AD8"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3. Закончить строительство и монтаж временного кузнечного и литейного цехов, а также электромонтаж оборудования заготовительного, инструментального и ремонтно-механического цехов к 10.5-с.г. </w:t>
      </w:r>
    </w:p>
    <w:p w14:paraId="23035571"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Для обеспечения работы модельной мастерской и нужд строительства – организовать к 1.6-с.г. сушилку для пиломатериалов. </w:t>
      </w:r>
    </w:p>
    <w:p w14:paraId="51F182C7"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5. Представить к 15.5-с.г. соображения об организации производства деталей ковкого чугуна. </w:t>
      </w:r>
    </w:p>
    <w:p w14:paraId="3932E502"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6. Для обеспечения ритмичного выпуска огнеметов в соответствии с планом, создать к 25.5-с.г. 10-ти дневный задел готовых деталей перед их сборкой и в дальнейшем, с увеличением плана, задел наращивать. </w:t>
      </w:r>
    </w:p>
    <w:p w14:paraId="708859F6"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7. Закончить к 20.5-с.г. разработку технологического процесса взамен временной технологии с целью уменьшения трудоемкости, и представить на утверждение в ГАБТУ КА и НКТП. </w:t>
      </w:r>
    </w:p>
    <w:p w14:paraId="39F02336"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8. В течение мая и июня м-цев с.г. изготовить приспособления и инструмент, обеспечивающие выпуск огнеметов по плану. </w:t>
      </w:r>
    </w:p>
    <w:p w14:paraId="4C83975F"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9. Полностью устранить в срок, установленный приказом № 326сс отмеченные при госиспытании дефекты принятого на вооружение огнемета. </w:t>
      </w:r>
    </w:p>
    <w:p w14:paraId="6F52FFA9"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10. Расширить экспериментальную базу и доработать существующий огнемет с целью максимального его упрощения. </w:t>
      </w:r>
    </w:p>
    <w:p w14:paraId="5E26E2AA"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11. В течение 2-го квартала произвести испытания одного из принятых заказчиком изделий АТО-41 для определения гарантийного срока службы. </w:t>
      </w:r>
    </w:p>
    <w:p w14:paraId="14D27FBC"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12. Обеспечить надлежащий контроль за выполнением подрядчиком работ по капитальному строительству в установленные сроки. </w:t>
      </w:r>
    </w:p>
    <w:p w14:paraId="6A7AF8F4"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2.</w:t>
      </w:r>
    </w:p>
    <w:p w14:paraId="0AADA88C"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Начальнику Главснаба тов. РОЗИНУ: </w:t>
      </w:r>
    </w:p>
    <w:p w14:paraId="4327B8A8"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Не позже 15.5-с.г. выделить фонды на покупные детали, полуфабрикаты и материалы по заявкам завода № 222 и обязать управляющего Челябинской контрой Танкоснаба тов. МАГАРИЛЛО оказывать помощь заводу в реализации фондов и в организации четкой работы аппарата снабжения на заводе. </w:t>
      </w:r>
    </w:p>
    <w:p w14:paraId="65E3EEE7"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Обеспечить доставку самолетами в г. Челябинск наиболее дефицитных материалов, лимитирующих выпуск огнеметов. </w:t>
      </w:r>
    </w:p>
    <w:p w14:paraId="74510701"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Обеспечить выделение фондов на уголь, топливо для дизелей и смазочные материалы по потребности завода № 222. </w:t>
      </w:r>
    </w:p>
    <w:p w14:paraId="6386B190"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Обеспечить завод телефонным коммутатором, аппаратами линии связи на 30 точек для организации нормальной диспетчерской связи между цехами и заводоуправлением. </w:t>
      </w:r>
    </w:p>
    <w:p w14:paraId="4156D96C"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w:t>
      </w:r>
    </w:p>
    <w:p w14:paraId="3BDFE498"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Директору Кировского завода тов. МАХОНИНУ С.Н.: </w:t>
      </w:r>
    </w:p>
    <w:p w14:paraId="17516553"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Привлечь к ответственности работников завода, сорвавших выполнение приказа Народного Комиссара № 117сс от 28.3-с.г. Принять меры к обеспечению выполнения приказа в установленные сроки. </w:t>
      </w:r>
    </w:p>
    <w:p w14:paraId="28A8ED48"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Закончить и отгрузить к 5.5-с.г. по заказу завода № 222 детали к дизелям электростанции. </w:t>
      </w:r>
    </w:p>
    <w:p w14:paraId="73A3AB9C"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Установить, что за досрочное выполнение и перевыполнение задания по графику 2 квартала в срок – начальник цехов, ИТР и рабочие премируются в размере 1 – 1,5 месячного оклада. </w:t>
      </w:r>
    </w:p>
    <w:p w14:paraId="68FB724F"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4.</w:t>
      </w:r>
    </w:p>
    <w:p w14:paraId="115D3D9C"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Начальнику ОРСа НКТП: </w:t>
      </w:r>
    </w:p>
    <w:p w14:paraId="41113548"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Обеспечить, начиная со 2-го квартала, выделение заводу № 222 фондов на продовольственное снабжение и промышленные товары для рабочих, ИТР, служащих и на общественное питание. </w:t>
      </w:r>
    </w:p>
    <w:p w14:paraId="4C35DA0E"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Обеспечить в двухнедельный срок выделение районов децентрализованных заготовок. </w:t>
      </w:r>
    </w:p>
    <w:p w14:paraId="48FB2F31"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5.</w:t>
      </w:r>
    </w:p>
    <w:p w14:paraId="674E380D"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Указать и.о. Директора Кировского завода т. МАХОНИНУ на недопустимое отношение к выполнению приказов НКТП, в результате чего завод № 222 сорвал программу марта и апреля м-цев по выпуску огнеметов. </w:t>
      </w:r>
    </w:p>
    <w:p w14:paraId="3EC92EFA"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6.</w:t>
      </w:r>
    </w:p>
    <w:p w14:paraId="471C0802"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Контроль за выполнением настоящего приказа возлагаю на ст. ведущего инженера по Кировскому заводу т. БЫСТРИЦКОГО Н.Г. О ходе выполнения приказа т. БЫСТРИЦКОМУ докладывать мне каждую пятидневку. </w:t>
      </w:r>
    </w:p>
    <w:p w14:paraId="196C10BE"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61CAFE98"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(Ж. КОТИН)</w:t>
      </w:r>
    </w:p>
    <w:p w14:paraId="4396088D"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Отп. 1 экз. </w:t>
      </w:r>
    </w:p>
    <w:p w14:paraId="6DD2E24F"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исп. Быстрицкий </w:t>
      </w:r>
    </w:p>
    <w:p w14:paraId="4E40EFC7" w14:textId="77777777" w:rsidR="002248C7" w:rsidRPr="008127F8" w:rsidRDefault="002248C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27.4-42 г./кш (18946).</w:t>
      </w:r>
    </w:p>
    <w:p w14:paraId="2C3B8188" w14:textId="77777777" w:rsidR="002248C7" w:rsidRPr="008127F8" w:rsidRDefault="002248C7" w:rsidP="001E0A84">
      <w:pPr>
        <w:spacing w:after="0" w:line="240" w:lineRule="auto"/>
        <w:jc w:val="both"/>
        <w:rPr>
          <w:rFonts w:ascii="Times New Roman" w:hAnsi="Times New Roman"/>
          <w:color w:val="000000" w:themeColor="text1"/>
          <w:sz w:val="16"/>
          <w:szCs w:val="16"/>
        </w:rPr>
      </w:pPr>
    </w:p>
    <w:p w14:paraId="01E508E4" w14:textId="77777777" w:rsidR="002248C7" w:rsidRPr="008127F8" w:rsidRDefault="002248C7"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https://t34inform.ru/doc/1942-04-27_Ord_NKTP_122.html</w:t>
      </w:r>
    </w:p>
    <w:p w14:paraId="4A92B512" w14:textId="77777777" w:rsidR="002248C7" w:rsidRPr="008127F8" w:rsidRDefault="002248C7" w:rsidP="001E0A84">
      <w:pPr>
        <w:spacing w:after="0" w:line="240" w:lineRule="auto"/>
        <w:jc w:val="both"/>
        <w:rPr>
          <w:rFonts w:ascii="Times New Roman" w:hAnsi="Times New Roman"/>
          <w:color w:val="000000" w:themeColor="text1"/>
          <w:sz w:val="16"/>
          <w:szCs w:val="16"/>
        </w:rPr>
      </w:pPr>
    </w:p>
    <w:p w14:paraId="79394DC0" w14:textId="77777777" w:rsidR="002248C7" w:rsidRPr="008127F8" w:rsidRDefault="002248C7"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27 апреля 1942 года</w:t>
      </w:r>
    </w:p>
    <w:p w14:paraId="2668CA45"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42</w:t>
      </w:r>
      <w:r w:rsidRPr="008127F8">
        <w:rPr>
          <w:rFonts w:ascii="Times New Roman" w:eastAsia="Times New Roman" w:hAnsi="Times New Roman"/>
          <w:color w:val="000000" w:themeColor="text1"/>
          <w:sz w:val="16"/>
          <w:szCs w:val="16"/>
          <w:lang w:eastAsia="ru-RU"/>
        </w:rPr>
        <w:t xml:space="preserve"> </w:t>
      </w:r>
    </w:p>
    <w:p w14:paraId="1D2474F0"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1AA6D3B0"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0D13B8C5"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48A40906"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365c</w:t>
      </w:r>
    </w:p>
    <w:p w14:paraId="57FB1281"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5601CB35"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апреля 1942 года.</w:t>
      </w:r>
    </w:p>
    <w:p w14:paraId="1DDDA31F"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Сталинградский тракторный завод (директор т Задорожный, главный инженер т. Демьянович) систематически не выполняет плана по ремонту танков Т-34. При плане ремонта 75 танков в месяц, в марте м-це отремонтировано всего 8, в апреле м-це отремонтирована лишь одна машина. </w:t>
      </w:r>
    </w:p>
    <w:p w14:paraId="5AC7A132"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ПРИКАЗЫВАЮ: </w:t>
      </w:r>
    </w:p>
    <w:p w14:paraId="377FD933"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Директору Сталинградского тракторного завода тов. ЗАДОРОЖНОМУ: </w:t>
      </w:r>
    </w:p>
    <w:p w14:paraId="3EBC51CB"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отремонтировать и сдать военпреду в апреле м-це с/г 24 машины; </w:t>
      </w:r>
    </w:p>
    <w:p w14:paraId="599AB189"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в мае м-це с/г отремонтировать 75 танков Т-34, для чего не позднее 29 апреля составить суточный график и представить мне на утверждение; </w:t>
      </w:r>
    </w:p>
    <w:p w14:paraId="1E99B7FA"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ежедневно при передаче сводки о выполнении плана по танкам, передавать по ВЧ выполнение графика по ремонту машин. </w:t>
      </w:r>
    </w:p>
    <w:p w14:paraId="0A33B82E"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Предупреждаю т.т. Задорожного и Демьяновича, что ремонт и восстановление боевых машин является важнейшей задачей и должен производиться наравне с выполнением плана по выпуску новых машин. </w:t>
      </w:r>
    </w:p>
    <w:p w14:paraId="7D2D85B0"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Уверен, что в дальнейшем, учитывая важность задания, план по ремонту танков выполните полностью, при любых условиях. </w:t>
      </w:r>
    </w:p>
    <w:p w14:paraId="566EADFE"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НАРОДНЫЙ КОМИССАР ТАНКОВОЙ ПРОМЫШЛЕННОСТИ СССР</w:t>
      </w:r>
    </w:p>
    <w:p w14:paraId="6F15C941" w14:textId="77777777" w:rsidR="002248C7" w:rsidRPr="008127F8" w:rsidRDefault="002248C7"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(В. МАЛЫШЕВ) (18947).</w:t>
      </w:r>
    </w:p>
    <w:p w14:paraId="31D6B69A" w14:textId="77777777" w:rsidR="002248C7" w:rsidRPr="008127F8" w:rsidRDefault="002248C7" w:rsidP="001E0A84">
      <w:pPr>
        <w:spacing w:after="0" w:line="240" w:lineRule="auto"/>
        <w:jc w:val="both"/>
        <w:rPr>
          <w:rFonts w:ascii="Times New Roman" w:hAnsi="Times New Roman"/>
          <w:color w:val="000000" w:themeColor="text1"/>
          <w:sz w:val="16"/>
          <w:szCs w:val="16"/>
        </w:rPr>
      </w:pPr>
    </w:p>
    <w:p w14:paraId="152812A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г. Докладная записка Татарского обкома ВКП (б) в Центральный Комитет ВКП (б) о ходе выполнения заводом № 340 программы сдачи кораблей Военно-Морскому Флоту</w:t>
      </w:r>
    </w:p>
    <w:p w14:paraId="3D6163C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от 4 декабря 1941 г. программа сдачи кораблей Военно-Морскому Флоту на 1942 год заводу № 340 Наркомсудпрома СССР в г. Зеленодольске утверждена в количестве 59 единиц, в том числе:</w:t>
      </w:r>
    </w:p>
    <w:p w14:paraId="5C3E40A1"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Охотников за подводными лодками 8</w:t>
      </w:r>
    </w:p>
    <w:p w14:paraId="5B42512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Морских буксиров на 200 л.с. 6</w:t>
      </w:r>
    </w:p>
    <w:p w14:paraId="1A3132BF"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Бронекатеров типа 40 7</w:t>
      </w:r>
    </w:p>
    <w:p w14:paraId="6C74857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Бронекатеров типа 1125 25</w:t>
      </w:r>
    </w:p>
    <w:p w14:paraId="4D318D1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Бронекатеров типа 1124 12</w:t>
      </w:r>
    </w:p>
    <w:p w14:paraId="00FE50E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Универсальный торпедный катер УТК 1</w:t>
      </w:r>
    </w:p>
    <w:p w14:paraId="37723B1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находится в постройке 30 и подлежит закладке 29 единиц.</w:t>
      </w:r>
    </w:p>
    <w:p w14:paraId="3452537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8 охотников за подводными лодками судно № 343 находится в г. Сталинграде и с открытием навигации должно быть отправлено для сдачи в г. Баку, а из 7 охотников, находящихся в постройке, 5 не обеспечены главными двигателями.</w:t>
      </w:r>
    </w:p>
    <w:p w14:paraId="55584382"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двух морских буксирах заканчиваются монтажные работы, остальные 4 находятся на плаву и должны быть снабжены главными машинными котлами и вспомогательными механизмами.</w:t>
      </w:r>
    </w:p>
    <w:p w14:paraId="3622BF2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бронекатерах типа 40 и 8-ми типа 1125 заканчивается монтаж и производится подготовка к швартовым испытаниям.</w:t>
      </w:r>
    </w:p>
    <w:p w14:paraId="6E0CD8D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бронекатеров типа 1125 и все 12 судов типа 1124 еще не заложены из-за отсутствия металла.</w:t>
      </w:r>
    </w:p>
    <w:p w14:paraId="7DE8AD5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Поступившие за последние дни 56 тонн металла дадут возможность развернуть работу всего на 5-6 единицах. Находящаяся на заводе броня обеспечивает только 4 судна типа 1125, а сырец, который требует термической обработки, даже не полностью обеспечивает 8 судов того же типа, но 1-ым главкомом НКСП не указано, кто будет производить термообработку сырца для брони.</w:t>
      </w:r>
    </w:p>
    <w:p w14:paraId="624EC3A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Наличное количество моторов покрывает потребность 12 судов типа 1125, для остальных поставка моторов и главных двигателей еще не разрешена.</w:t>
      </w:r>
    </w:p>
    <w:p w14:paraId="02B426C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Неоднократная постановка заводом № 340 данного вопроса перед Наркомсудпромом и 1-ым Главным управлением об обеспечении металлом полного разрешения не получила. В результате выполнение плана по судостроению находится под угрозой срыва.</w:t>
      </w:r>
    </w:p>
    <w:p w14:paraId="543F41C1"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создания нормальной работы на заводе № 340 прошу:</w:t>
      </w:r>
    </w:p>
    <w:p w14:paraId="19CA773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обязать Наркомсудпром и 1-е управление НКСП немедленно ускорить доставку занаряженного металла, в первую очередь, тонколистового с Кузнецкого, Выусинского, Магнитогорского заводов в количестве 330 тонн;</w:t>
      </w:r>
    </w:p>
    <w:p w14:paraId="074B306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выделить поставщиков и занарядить недостающий металл для закладки судов в количестве 80 тонн;</w:t>
      </w:r>
    </w:p>
    <w:p w14:paraId="6A8C893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ускорить продвижение отгруженного металла по железной дороге и доставку на завод главных двигателей и 11 пушек Т-34, тем самым обеспечить сдачу 15 бронекатеров в первом полугодии;</w:t>
      </w:r>
    </w:p>
    <w:p w14:paraId="2C795D8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решить вопрос о поставке брони и термообработке сырой брони, имеющейся на заводе № 340;</w:t>
      </w:r>
    </w:p>
    <w:p w14:paraId="470697C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Татарского обкома ВКП (б)</w:t>
      </w:r>
    </w:p>
    <w:p w14:paraId="62F997E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оборонной промышленности Н. Яроников</w:t>
      </w:r>
    </w:p>
    <w:p w14:paraId="1C45D80F"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 ИПД РТ. Ф.15. Оп.5. Д.468. Л. 125, 126. Отпуск (15494).</w:t>
      </w:r>
    </w:p>
    <w:p w14:paraId="3E7E6814"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4C1B1A5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апреля 1942 г. Докладная записка Татарского обкома ВКП (б) в Центральный Комитет ВКП (б)о ходе выполнения заводом № 340 программы сдачи кораблей Военно-Морскому Флоту</w:t>
      </w:r>
    </w:p>
    <w:p w14:paraId="46CDA823"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ГКО от 4 декабря 1941 г. программа сдачи кораблей Военно-Морскому Флоту на 1942 год заводу № 340 Наркомсудпрома СССР в г. Зеленодольске утверждена в количестве 59 единиц, в том числе:</w:t>
      </w:r>
    </w:p>
    <w:p w14:paraId="5AB81337"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Охотников за подводными лодками</w:t>
      </w:r>
      <w:r w:rsidRPr="008A2E5A">
        <w:rPr>
          <w:rFonts w:ascii="Times New Roman" w:hAnsi="Times New Roman"/>
          <w:color w:val="0070C0"/>
          <w:sz w:val="16"/>
          <w:szCs w:val="16"/>
        </w:rPr>
        <w:tab/>
        <w:t>8</w:t>
      </w:r>
    </w:p>
    <w:p w14:paraId="62C61047"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Морских буксиров на 200 л.с.</w:t>
      </w:r>
      <w:r w:rsidRPr="008A2E5A">
        <w:rPr>
          <w:rFonts w:ascii="Times New Roman" w:hAnsi="Times New Roman"/>
          <w:color w:val="0070C0"/>
          <w:sz w:val="16"/>
          <w:szCs w:val="16"/>
        </w:rPr>
        <w:tab/>
        <w:t>6</w:t>
      </w:r>
    </w:p>
    <w:p w14:paraId="636B51D3"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Бронекатеров типа 40</w:t>
      </w:r>
      <w:r w:rsidRPr="008A2E5A">
        <w:rPr>
          <w:rFonts w:ascii="Times New Roman" w:hAnsi="Times New Roman"/>
          <w:color w:val="0070C0"/>
          <w:sz w:val="16"/>
          <w:szCs w:val="16"/>
        </w:rPr>
        <w:tab/>
        <w:t>7</w:t>
      </w:r>
    </w:p>
    <w:p w14:paraId="272F0A48"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Бронекатеров типа 1125</w:t>
      </w:r>
      <w:r w:rsidRPr="008A2E5A">
        <w:rPr>
          <w:rFonts w:ascii="Times New Roman" w:hAnsi="Times New Roman"/>
          <w:color w:val="0070C0"/>
          <w:sz w:val="16"/>
          <w:szCs w:val="16"/>
        </w:rPr>
        <w:tab/>
        <w:t>25</w:t>
      </w:r>
    </w:p>
    <w:p w14:paraId="52AA44F2"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Бронекатеров типа 1124</w:t>
      </w:r>
      <w:r w:rsidRPr="008A2E5A">
        <w:rPr>
          <w:rFonts w:ascii="Times New Roman" w:hAnsi="Times New Roman"/>
          <w:color w:val="0070C0"/>
          <w:sz w:val="16"/>
          <w:szCs w:val="16"/>
        </w:rPr>
        <w:tab/>
        <w:t>12</w:t>
      </w:r>
    </w:p>
    <w:p w14:paraId="6923DB1E"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Универсальный торпедный</w:t>
      </w:r>
      <w:r w:rsidRPr="008A2E5A">
        <w:rPr>
          <w:rFonts w:ascii="Times New Roman" w:hAnsi="Times New Roman"/>
          <w:color w:val="0070C0"/>
          <w:sz w:val="16"/>
          <w:szCs w:val="16"/>
        </w:rPr>
        <w:tab/>
        <w:t>катер</w:t>
      </w:r>
      <w:r w:rsidRPr="008A2E5A">
        <w:rPr>
          <w:rFonts w:ascii="Times New Roman" w:hAnsi="Times New Roman"/>
          <w:color w:val="0070C0"/>
          <w:sz w:val="16"/>
          <w:szCs w:val="16"/>
        </w:rPr>
        <w:tab/>
        <w:t>УТК</w:t>
      </w:r>
      <w:r w:rsidRPr="008A2E5A">
        <w:rPr>
          <w:rFonts w:ascii="Times New Roman" w:hAnsi="Times New Roman"/>
          <w:color w:val="0070C0"/>
          <w:sz w:val="16"/>
          <w:szCs w:val="16"/>
        </w:rPr>
        <w:tab/>
        <w:t>1</w:t>
      </w:r>
    </w:p>
    <w:p w14:paraId="1F99FA9F"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находится в постройке 30 и подлежит закладке 2 9 единиц.</w:t>
      </w:r>
    </w:p>
    <w:p w14:paraId="71306EBD"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8 охотников за подводными лодками судно № 343 находится в г. Сталинграде и с открытием навигации должно быть отправлено для сдачи в г. Баку, а из 7 охотников, находящихся в постройке, 5 не обеспечены главными двигателями.</w:t>
      </w:r>
    </w:p>
    <w:p w14:paraId="6A1545B7"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двух морских буксирах заканчиваются монтажные работы, остальные 4 находятся на плаву и должны быть снабжены главными машинными котлами и вспомогательными механизмами.</w:t>
      </w:r>
    </w:p>
    <w:p w14:paraId="4D205D77"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бронекатерах типа 40 и 8-ми типа 1125 заканчивается монтаж и производится подготовка к швартовым испытаниям.</w:t>
      </w:r>
    </w:p>
    <w:p w14:paraId="6DAE6BDB"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бронекатеров типа 1125 и все 12 судов типа 1124 еще не заложены из-за отсутствия металла.</w:t>
      </w:r>
    </w:p>
    <w:p w14:paraId="576C914A"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Поступившие за последние дни 56 тонн металла дадут возможность развернуть работу всего на 5-6 единицах. Находящаяся на заводе броня обеспечивает только 4 судна типа 1125, а сырец, который требует термической обработки, даже не полностью обеспечивает 8 судов того же типа, но 1-ым главкомом НКСП не указано, кто будет производить термообработку сырца для брони.</w:t>
      </w:r>
    </w:p>
    <w:p w14:paraId="7B0EB0E6"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Наличное количество моторов покрывает потребность 12 судов типа 1125, для остальных поставка моторов и главных двигателей еще не разрешена.</w:t>
      </w:r>
    </w:p>
    <w:p w14:paraId="7DA572C5" w14:textId="77777777" w:rsidR="000B548A" w:rsidRPr="008A2E5A" w:rsidRDefault="000B548A" w:rsidP="000B5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Неоднократная постановка заводом № 340 данного вопроса перед Наркомсудпромом и 1-ым Главным управлением об обес</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23802).</w:t>
      </w:r>
    </w:p>
    <w:p w14:paraId="4F30DC49" w14:textId="77777777" w:rsidR="000B548A" w:rsidRPr="008A2E5A" w:rsidRDefault="000B548A" w:rsidP="000B548A">
      <w:pPr>
        <w:spacing w:after="0" w:line="240" w:lineRule="auto"/>
        <w:jc w:val="both"/>
        <w:rPr>
          <w:rFonts w:ascii="Times New Roman" w:hAnsi="Times New Roman"/>
          <w:color w:val="0070C0"/>
          <w:sz w:val="16"/>
          <w:szCs w:val="16"/>
        </w:rPr>
      </w:pPr>
    </w:p>
    <w:p w14:paraId="126B9CB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566C2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31928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в 1942 году утреннее сообщение Совинформбюро:</w:t>
      </w:r>
    </w:p>
    <w:p w14:paraId="12CEFD2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27 апреля на фронте ничего существенного не произошло.</w:t>
      </w:r>
    </w:p>
    <w:p w14:paraId="29D30FF9"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Калининского фронта, за один день боевых действий подбили 12 немецких танков и уничтожили 800 солдат и офицеров противника.</w:t>
      </w:r>
    </w:p>
    <w:p w14:paraId="2118838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ряде участков Ленинградского фронта наши части за два дня боевых действий разрушили 7 немецких деревоземляных огневых точек, 11 блиндажей, уничтожили полевое орудие, 9 станковых пулемётов и миномётную батарею. Противник потерял убитыми свыше 400 солдат и офицеров.</w:t>
      </w:r>
    </w:p>
    <w:p w14:paraId="447A6AC5"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 немецкой пехоты при поддержке танков ночью пытался атаковать одно из наших стрелковых подразделений (Западный фронт). Встретив упорное сопротивление, гитлеровцы были вынуждены отойти на исходную позицию, оставив на поле боя 60 трупов. Огнём артиллерии уничтожен вражеский танк. На соседнем участке наши бойцы, продолжая теснить противника, уничтожили 150 немецких солдат и офицеров.</w:t>
      </w:r>
    </w:p>
    <w:p w14:paraId="275EDF29"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Около сотни пьяных гитлеровцев атаковали рубеж, который защищали 8 красноармейцев во главе с младшим лейтенантом тов. Швецовым. Подпустив немцев на близкое расстояние, наши бойцы открыли по ним огонь из винтовок и пулемёта. Оставив 30 убитых и раненых солдат, противник был вынужден отступить.</w:t>
      </w:r>
    </w:p>
    <w:p w14:paraId="7DA3E854"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одной нашей части, обороняющей Севастополь, за день уничтожили 116 солдат и офицеров противника.</w:t>
      </w:r>
    </w:p>
    <w:p w14:paraId="1414E6D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Т., действующий в тылу у врага на Юго-Западном фронте, 17 апреля совершил ночной налёт на гарнизон противника в пункте Н. В бою с партизанами гитлеровцы потеряли убитыми и ранеными более 90 солдат и офицеров. Партизаны захватили 40 лошадей, ручной пулемёт, 3.800 патронов и другие боеприпасы.</w:t>
      </w:r>
    </w:p>
    <w:p w14:paraId="00E77CA1"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румынского артиллерийского полка Константин Светку рассказал: «Румынские солдаты живут, как нищие. Кормят нас очень плохо. Обмундирование старое, рваное. Все завшивели. За всё время войны мы ни разу не были в бане. Офицеры всячески скрывают от нас, что делается на родине. Но мы знаем, что немцы продолжают грабить Румынию, что наши родные и близкие голодают. Румыны не хотят воевать за гитлеровцев, поработивших нашу страну. Недавно 8 солдат нашего полка поехали в деревню за соломой. Обратно вернулись только 5, остальные скрылись. Таких случаев в полку было много. Дезертиры переодеваются в гражданскую одежду, бродяжничают или прячутся в сёлах».</w:t>
      </w:r>
    </w:p>
    <w:p w14:paraId="4BA4CF68"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апреля на линии Варемм — Фексе (Бельгия) произошло крушение поезда с боеприпасами. Многие немецкие солдаты, сопровождавшие поезд, убиты и ранены. Это уже третья железнодорожная катастрофа, организованная за последнее время на этой линии бельгийскими патриотами.» (15112).</w:t>
      </w:r>
    </w:p>
    <w:p w14:paraId="0CB594FD"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2D21627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в 1942 году вечернее сообщение Совинформбюро:</w:t>
      </w:r>
    </w:p>
    <w:p w14:paraId="74CA22D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апреля на фронте чего-либо существенного не произошло.</w:t>
      </w:r>
    </w:p>
    <w:p w14:paraId="09A6E514"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апреля уничтожен не 21 немецкий самолёт, как об этом сообщалось ранее, а 36 немецких самолётов.</w:t>
      </w:r>
    </w:p>
    <w:p w14:paraId="62AEDD72"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апреля уничтожено 13 немецких самолётов. Наши потери — 5 самолётов.</w:t>
      </w:r>
    </w:p>
    <w:p w14:paraId="69724C8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апреля частями нашей авиации уничтожено или повреждено 6 немецких танков, 20 немецких автомашин с войсками и грузами, 26 полевых и зенитных орудий, 9 зенитно-пулемётных точек, 9 миномётов, взорван склад с боеприпасами, рассеяно и частью уничтожено до двух рот пехоты противника.</w:t>
      </w:r>
    </w:p>
    <w:p w14:paraId="60EFE43C"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19 по 25 апреля немецкая авиация потеряла 227 самолётов. Наши потери за этот же период — 78 самолётов.</w:t>
      </w:r>
    </w:p>
    <w:p w14:paraId="6E13CD4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Калининского фронта, уничтожили 5 и подбили 8 немецких танков, вывели из строя 3 орудия и миномётную батарею противника. Немцы потеряли убитыми 600 солдат и офицеров.</w:t>
      </w:r>
    </w:p>
    <w:p w14:paraId="08B703D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сержанта тов. Дьяченко успешно отбил танковую атаку противника. Замаскировав своё орудие, тов. Дьяченко близко подпустил три немецких танка и открыл по ним огонь. После первых двух выстрелов загорелся головной танк. Остальные вражеские танки продолжали двигаться вперёд. Артиллеристы произвели ещё несколько метких выстрелов и один за другим вывели из строя второй, а затем и третий танк.</w:t>
      </w:r>
    </w:p>
    <w:p w14:paraId="701A5FD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200 боевых вылетов произвели за десять дней лётчики майора Мухина. За это время они сбили в воздушных боях 29 немецких самолётов и уничтожили на аэродромах 10 самолётов. Кроме того, советские лётчики рассеяли несколько вражеских автоколонн.</w:t>
      </w:r>
    </w:p>
    <w:p w14:paraId="3EDB78B2"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Получив донесение о том, что немцы намереваются перебросить танки на помощь своей пехоте, группа наших бойцов во главе с лейтенантом Ивановым ночью пробралась в тыл противника и заминировала дорогу. На рассвете на заминированных участках взорвалось 2 немецких танка.</w:t>
      </w:r>
    </w:p>
    <w:p w14:paraId="04B22A7F"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калининских партизан под командованием тов. М. за время своей боевой деятельности истребил 305 немецко-фашистских оккупантов. Отряд уничтожил несколько автомашин и подвод с боеприпасами, взорвал ряд мостов и много раз прерывал телеграфную и телефонную связь гитлеровцев. Партизаны захватили у противника 2 противотанковые пушки, 52 винтовки, станковый пулемет, 9 пистолетов, 200 гранат, 5.000 патронов, радиостанцию и другое военное имущество.</w:t>
      </w:r>
    </w:p>
    <w:p w14:paraId="4214F7D8"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ефрейтор 5 роты 380 полка 215 немецкой пехотной дивизии Вильгельм Моор рассказал: «215 дивизия прибыла на фронт в декабре из Франции. Наш полк понёс тяжёлые потери. В 5 роте осталось только 17 человек. В числе убитых командир роты обер-лейтенант Бахман. Тяжело ранены лейтенанты Губер и Обер. Лейтенант Эдуард Гернст попал в плен. Наш полк получил пополнение из 380 запасного батальона. В составе пополнения много пожилых солдат, они боятся идти в бой».</w:t>
      </w:r>
    </w:p>
    <w:p w14:paraId="3974EBA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унтер - офицеру Францу Штейнке пишет отец: «...Мне уже не хочется жить. Я уезжаю на работу в 6 часов утра, а возвращаюсь домой ночью. Всю зиму мы работали свыше 14 часов в сутки. Вся пища состоит из куска хлеба. Если бы ты посмотрел, что тут творится, у тебя глаза вылезли бы на лоб...».</w:t>
      </w:r>
    </w:p>
    <w:p w14:paraId="5581BC9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Советские граждане, пробравшиеся из районов, оккупированных немцами, в расположение наших войск, рассказали о чудовищных преступлениях гитлеровских бандитов. Неподалеку от Старой Руссы фашистские изверги пытали, а потом живыми закопали в землю несколько пленных красноармейцев. Немцы сожгли 7 населённых пунктов Старорусского района. В селе Воскресенское старики, женщины и дети, спасаясь от огня, спрятались в церкви. Гитлеровские палачи подожгли церковь. В огне погибло 85 человек.</w:t>
      </w:r>
    </w:p>
    <w:p w14:paraId="6D2BB80D"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апреля исчез отряд гитлеровцев, производивший реквизицию скота и продовольствия близ Манта (Франция). Тщательные поиски, предпринятые оккупационными властями, не дали никаких результатов. Только на днях из реки Сены был извлечён труп немецкого солдата, с проломленной головой. Как выяснилось, этот солдат состоял в отряде, который отбирал у крестьян продовольствие.» (15112).</w:t>
      </w:r>
    </w:p>
    <w:p w14:paraId="4140BF76"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6BFDEB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вышло Постановление ГКО № 1668 Вопросы ВВС. РГАНИР, Фонд ГКО, д. 32, лл. 69 (11012).</w:t>
      </w:r>
    </w:p>
    <w:p w14:paraId="074850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23F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вышло Постановление ГКО О № 1670 батальонах химической защиты. РГАНИР, Фонд ГКО, д. 32, лл. 71, 72-84 (11012).</w:t>
      </w:r>
    </w:p>
    <w:p w14:paraId="147CFD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464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г. вышел ПРИКАЗ НКО № 126 О ПОДЧИНЕНИИ ГЛАВНОГО УПРАВЛЕНИЯ ГРАЖДАНСКОГО ВОЗДУШНОГО ФЛОТА ЗАМЕСТИТЕЛЮ НКО И НАЗНАЧЕНИИ В. С. МОЛОКОВА ЗАМЕСТИТЕЛЕМ КОМАНДУЮЩЕГО ВВС КРАСНОЙ АРМИИ</w:t>
      </w:r>
    </w:p>
    <w:p w14:paraId="012C77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постановлением № ГОКО-1657 от 26 апреля 1942 г. подчинил мне во всех отношениях Главное управление Гражданского воздушного флота.</w:t>
      </w:r>
    </w:p>
    <w:p w14:paraId="21F99F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Главного управления Гражданского воздушного флота тов. Молокой назначен заместителем командующего ВВС Красной Армии.</w:t>
      </w:r>
    </w:p>
    <w:p w14:paraId="00668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по авиации генерал-лейтенант авиации НОВИКОВ </w:t>
      </w:r>
      <w:r w:rsidRPr="008127F8">
        <w:rPr>
          <w:rFonts w:ascii="Times New Roman" w:hAnsi="Times New Roman"/>
          <w:color w:val="000000" w:themeColor="text1"/>
          <w:sz w:val="16"/>
          <w:szCs w:val="16"/>
        </w:rPr>
        <w:t>(9844).</w:t>
      </w:r>
    </w:p>
    <w:p w14:paraId="77F4F3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9FF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г. вышел ПРИКАЗ НКО № 125 О НАЗНАЧЕНИИ КОМАНДУЮЩЕГО ВВС КРАСНОЙ АРМИИ ГЕНЕРАЛ-ЛЕЙТЕНАНТА АВИАЦИИ А. А. НОВИКОВА ЗАМЕСТИТЕЛЕМ НАРОДНОГО КОМИССАРА ОБОРОНЫ ПО АВИАЦИИ</w:t>
      </w:r>
    </w:p>
    <w:p w14:paraId="4B199F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СНК СССР № 588 от 26 апреля 1942 года я назначен заместителем Народного комиссара обороны по авиации.</w:t>
      </w:r>
    </w:p>
    <w:p w14:paraId="310D64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довести до всего личного состава Военно-воздушных сил Красной Армии.</w:t>
      </w:r>
    </w:p>
    <w:p w14:paraId="69D6CA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по авиации генерал-лейтенант авиации НОВИКОВ </w:t>
      </w:r>
      <w:r w:rsidRPr="008127F8">
        <w:rPr>
          <w:rFonts w:ascii="Times New Roman" w:hAnsi="Times New Roman"/>
          <w:color w:val="000000" w:themeColor="text1"/>
          <w:sz w:val="16"/>
          <w:szCs w:val="16"/>
        </w:rPr>
        <w:t>(9844).</w:t>
      </w:r>
    </w:p>
    <w:p w14:paraId="70210F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84DF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9B3C0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DD1782" w14:textId="77777777" w:rsidR="000F0A32" w:rsidRPr="008127F8" w:rsidRDefault="000F0A3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Из дневника журналиста Н. К. Вержбицкого</w:t>
      </w:r>
      <w:proofErr w:type="gramStart"/>
      <w:r w:rsidRPr="008127F8">
        <w:rPr>
          <w:rFonts w:ascii="Times New Roman" w:hAnsi="Times New Roman"/>
          <w:color w:val="000000" w:themeColor="text1"/>
          <w:sz w:val="16"/>
          <w:szCs w:val="16"/>
        </w:rPr>
        <w:t>: Всюду</w:t>
      </w:r>
      <w:proofErr w:type="gramEnd"/>
      <w:r w:rsidRPr="008127F8">
        <w:rPr>
          <w:rFonts w:ascii="Times New Roman" w:hAnsi="Times New Roman"/>
          <w:color w:val="000000" w:themeColor="text1"/>
          <w:sz w:val="16"/>
          <w:szCs w:val="16"/>
        </w:rPr>
        <w:t xml:space="preserve"> продается водка. 33 руб. заполитра. Тысячные очереди. Большой завоз продуктов в магазины. Давали кету, красную икру, сало. Мартовская задолженность покрыта" (18696).</w:t>
      </w:r>
    </w:p>
    <w:p w14:paraId="1FDBB84F" w14:textId="77777777" w:rsidR="000F0A32" w:rsidRPr="008127F8" w:rsidRDefault="000F0A32" w:rsidP="001E0A84">
      <w:pPr>
        <w:spacing w:after="0" w:line="240" w:lineRule="auto"/>
        <w:jc w:val="both"/>
        <w:rPr>
          <w:rFonts w:ascii="Times New Roman" w:hAnsi="Times New Roman"/>
          <w:color w:val="000000" w:themeColor="text1"/>
          <w:sz w:val="16"/>
          <w:szCs w:val="16"/>
        </w:rPr>
      </w:pPr>
    </w:p>
    <w:p w14:paraId="4B3A7F9F"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вышло Постановление ГКО № 1669 О [противохимической] защите гражданского населения. (7032, 70).</w:t>
      </w:r>
    </w:p>
    <w:p w14:paraId="1E3ED73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26A3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2426E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9308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СССР опубликовал ноту о злодеяниях фашистов на оккупированных советских землях (4962).</w:t>
      </w:r>
    </w:p>
    <w:p w14:paraId="2F177AC5"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CDAC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Советское правительство вручило всем послам и посланникам ноту "О чудовищных злодеяниях, зверствах и насилиях немецко-фашистских захватчиков в оккупированных советских районах и об ответственности германского правительства и командования за эти преступления (3398,162).</w:t>
      </w:r>
    </w:p>
    <w:p w14:paraId="17555D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C151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в 1942 году советское правительство вручило ноту всем послам и посланникам стран, с которыми СССР имел дипломатические отношения, «О чудовищных злодеяниях, зверствах и насилиях немецко-фашистских захватчиков в оккупированных советских районах и об ответственности германского правительства и командования за эти преступления» (15112).</w:t>
      </w:r>
    </w:p>
    <w:p w14:paraId="3BF154A4"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3448F02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D3189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E10BF"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в 1942 году «Ланкастеры» из 44-й и 97-й эскадрилий, вылетевшие из Лоссмута, сбросили на «Тирпиц» в Тронхейме 1816-кг бомбы, но безуспешно (15112).</w:t>
      </w:r>
    </w:p>
    <w:p w14:paraId="1F55373F"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233526C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апреля 1942 в Канаде на плебисците большинство населения проголосовало за введение призыва на морскую службу (4962).</w:t>
      </w:r>
    </w:p>
    <w:p w14:paraId="491D97A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FC913"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2E18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49E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года зам. начальника секретариата Наркома И. Фирсаев писал письмо N Н-25/1623 зав. особым сектором ЦК ВКП(б) Поскребышеву А.Н.</w:t>
      </w:r>
    </w:p>
    <w:p w14:paraId="665429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совещании 26.IV.42 года у Сталина Шахурин оставил проект постановления ГОКО по вопросу "О производстве самолетов Ил-2 на заводе N 381 с моторами АМ-38", м/к N 2784 - 1 экземпляр с сопроводительной к нему м/к N 2785 - 1 экземпляр, всего два листа.</w:t>
      </w:r>
    </w:p>
    <w:p w14:paraId="45D60E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подтвердить наличие у Вас этих документов (2178,144).</w:t>
      </w:r>
    </w:p>
    <w:p w14:paraId="3FFBCA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CD05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28 апреля 1942 на 381-м заводе был построен один экземпляр самолета Ил-2 М-82, но в одноместном варианте. К началу июня самолет прошел заводские испыта</w:t>
      </w:r>
      <w:r w:rsidRPr="008127F8">
        <w:rPr>
          <w:rFonts w:ascii="Times New Roman" w:hAnsi="Times New Roman"/>
          <w:color w:val="000000" w:themeColor="text1"/>
          <w:sz w:val="16"/>
          <w:szCs w:val="16"/>
        </w:rPr>
        <w:softHyphen/>
        <w:t>ния, перелетел на аэродром НИИ ВВС в Колъцово, где доводился в течение августа — сентября.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8127F8">
        <w:rPr>
          <w:rFonts w:ascii="Times New Roman" w:hAnsi="Times New Roman"/>
          <w:color w:val="000000" w:themeColor="text1"/>
          <w:sz w:val="16"/>
          <w:szCs w:val="16"/>
        </w:rPr>
        <w:softHyphen/>
        <w:t>мальная скорость у земли достигала 375 км/ч. Мотор работал хо</w:t>
      </w:r>
      <w:r w:rsidRPr="008127F8">
        <w:rPr>
          <w:rFonts w:ascii="Times New Roman" w:hAnsi="Times New Roman"/>
          <w:color w:val="000000" w:themeColor="text1"/>
          <w:sz w:val="16"/>
          <w:szCs w:val="16"/>
        </w:rPr>
        <w:softHyphen/>
        <w:t>рошо. Однако после каждого полета появлялись трещины на сек</w:t>
      </w:r>
      <w:r w:rsidRPr="008127F8">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8127F8">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8127F8">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8127F8">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4FF11E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2820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года.</w:t>
      </w:r>
    </w:p>
    <w:p w14:paraId="4E81E1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Тематический план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677"/>
        <w:gridCol w:w="1919"/>
        <w:gridCol w:w="720"/>
        <w:gridCol w:w="1088"/>
        <w:gridCol w:w="927"/>
        <w:gridCol w:w="1870"/>
        <w:gridCol w:w="1435"/>
      </w:tblGrid>
      <w:tr w:rsidR="006F4095" w:rsidRPr="008127F8" w14:paraId="586877BF" w14:textId="77777777">
        <w:tc>
          <w:tcPr>
            <w:tcW w:w="959" w:type="dxa"/>
            <w:tcBorders>
              <w:top w:val="single" w:sz="12" w:space="0" w:color="auto"/>
            </w:tcBorders>
          </w:tcPr>
          <w:p w14:paraId="67B3F6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Шифр</w:t>
            </w:r>
          </w:p>
        </w:tc>
        <w:tc>
          <w:tcPr>
            <w:tcW w:w="1677" w:type="dxa"/>
            <w:tcBorders>
              <w:top w:val="single" w:sz="12" w:space="0" w:color="auto"/>
            </w:tcBorders>
          </w:tcPr>
          <w:p w14:paraId="7E1150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Классификация и основн.</w:t>
            </w:r>
          </w:p>
        </w:tc>
        <w:tc>
          <w:tcPr>
            <w:tcW w:w="1919" w:type="dxa"/>
            <w:tcBorders>
              <w:top w:val="single" w:sz="12" w:space="0" w:color="auto"/>
            </w:tcBorders>
          </w:tcPr>
          <w:p w14:paraId="7951BE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основных</w:t>
            </w:r>
          </w:p>
        </w:tc>
        <w:tc>
          <w:tcPr>
            <w:tcW w:w="720" w:type="dxa"/>
            <w:tcBorders>
              <w:top w:val="single" w:sz="12" w:space="0" w:color="auto"/>
            </w:tcBorders>
          </w:tcPr>
          <w:p w14:paraId="50069F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w:t>
            </w:r>
          </w:p>
        </w:tc>
        <w:tc>
          <w:tcPr>
            <w:tcW w:w="1088" w:type="dxa"/>
            <w:tcBorders>
              <w:top w:val="single" w:sz="12" w:space="0" w:color="auto"/>
            </w:tcBorders>
          </w:tcPr>
          <w:p w14:paraId="2923B6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Затраты</w:t>
            </w:r>
          </w:p>
        </w:tc>
        <w:tc>
          <w:tcPr>
            <w:tcW w:w="927" w:type="dxa"/>
            <w:tcBorders>
              <w:top w:val="single" w:sz="12" w:space="0" w:color="auto"/>
            </w:tcBorders>
          </w:tcPr>
          <w:p w14:paraId="5A258A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w:t>
            </w:r>
          </w:p>
        </w:tc>
        <w:tc>
          <w:tcPr>
            <w:tcW w:w="1870" w:type="dxa"/>
            <w:tcBorders>
              <w:top w:val="single" w:sz="12" w:space="0" w:color="auto"/>
            </w:tcBorders>
          </w:tcPr>
          <w:p w14:paraId="6D320E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работы</w:t>
            </w:r>
          </w:p>
        </w:tc>
        <w:tc>
          <w:tcPr>
            <w:tcW w:w="1435" w:type="dxa"/>
            <w:tcBorders>
              <w:top w:val="single" w:sz="12" w:space="0" w:color="auto"/>
            </w:tcBorders>
          </w:tcPr>
          <w:p w14:paraId="3455BE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6F4095" w:rsidRPr="008127F8" w14:paraId="59E694DD" w14:textId="77777777">
        <w:tc>
          <w:tcPr>
            <w:tcW w:w="959" w:type="dxa"/>
          </w:tcPr>
          <w:p w14:paraId="3AC6CC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темы</w:t>
            </w:r>
          </w:p>
        </w:tc>
        <w:tc>
          <w:tcPr>
            <w:tcW w:w="1677" w:type="dxa"/>
          </w:tcPr>
          <w:p w14:paraId="77A8DC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технические данные</w:t>
            </w:r>
          </w:p>
        </w:tc>
        <w:tc>
          <w:tcPr>
            <w:tcW w:w="1919" w:type="dxa"/>
          </w:tcPr>
          <w:p w14:paraId="241E2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этапов работы по теме</w:t>
            </w:r>
          </w:p>
        </w:tc>
        <w:tc>
          <w:tcPr>
            <w:tcW w:w="720" w:type="dxa"/>
          </w:tcPr>
          <w:p w14:paraId="332483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w:t>
            </w:r>
          </w:p>
        </w:tc>
        <w:tc>
          <w:tcPr>
            <w:tcW w:w="1088" w:type="dxa"/>
          </w:tcPr>
          <w:p w14:paraId="1AC3E1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теме</w:t>
            </w:r>
          </w:p>
        </w:tc>
        <w:tc>
          <w:tcPr>
            <w:tcW w:w="927" w:type="dxa"/>
          </w:tcPr>
          <w:p w14:paraId="67B6DD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какой</w:t>
            </w:r>
          </w:p>
        </w:tc>
        <w:tc>
          <w:tcPr>
            <w:tcW w:w="1870" w:type="dxa"/>
          </w:tcPr>
          <w:p w14:paraId="6D4D34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теме</w:t>
            </w:r>
          </w:p>
        </w:tc>
        <w:tc>
          <w:tcPr>
            <w:tcW w:w="1435" w:type="dxa"/>
          </w:tcPr>
          <w:p w14:paraId="45E0BE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32A559" w14:textId="77777777">
        <w:tc>
          <w:tcPr>
            <w:tcW w:w="959" w:type="dxa"/>
          </w:tcPr>
          <w:p w14:paraId="7DE9D4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E835F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опытного объекта</w:t>
            </w:r>
          </w:p>
        </w:tc>
        <w:tc>
          <w:tcPr>
            <w:tcW w:w="1919" w:type="dxa"/>
          </w:tcPr>
          <w:p w14:paraId="60F47C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62F9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w:t>
            </w:r>
          </w:p>
        </w:tc>
        <w:tc>
          <w:tcPr>
            <w:tcW w:w="1088" w:type="dxa"/>
          </w:tcPr>
          <w:p w14:paraId="560DEA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w:t>
            </w:r>
          </w:p>
        </w:tc>
        <w:tc>
          <w:tcPr>
            <w:tcW w:w="927" w:type="dxa"/>
          </w:tcPr>
          <w:p w14:paraId="6EF95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w:t>
            </w:r>
          </w:p>
        </w:tc>
        <w:tc>
          <w:tcPr>
            <w:tcW w:w="1870" w:type="dxa"/>
          </w:tcPr>
          <w:p w14:paraId="6EEFB0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C57ED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C902B4B" w14:textId="77777777">
        <w:tc>
          <w:tcPr>
            <w:tcW w:w="959" w:type="dxa"/>
          </w:tcPr>
          <w:p w14:paraId="35FE24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1CFA0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45551B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08AA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8FAA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тыс.</w:t>
            </w:r>
          </w:p>
        </w:tc>
        <w:tc>
          <w:tcPr>
            <w:tcW w:w="927" w:type="dxa"/>
          </w:tcPr>
          <w:p w14:paraId="228B6A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w:t>
            </w:r>
          </w:p>
        </w:tc>
        <w:tc>
          <w:tcPr>
            <w:tcW w:w="1870" w:type="dxa"/>
          </w:tcPr>
          <w:p w14:paraId="59809C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0443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4E77EA" w14:textId="77777777">
        <w:tc>
          <w:tcPr>
            <w:tcW w:w="959" w:type="dxa"/>
          </w:tcPr>
          <w:p w14:paraId="21D9C2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F726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99EF0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1831A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9B6B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рублей)</w:t>
            </w:r>
          </w:p>
        </w:tc>
        <w:tc>
          <w:tcPr>
            <w:tcW w:w="927" w:type="dxa"/>
          </w:tcPr>
          <w:p w14:paraId="2E7F80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w:t>
            </w:r>
          </w:p>
        </w:tc>
        <w:tc>
          <w:tcPr>
            <w:tcW w:w="1870" w:type="dxa"/>
          </w:tcPr>
          <w:p w14:paraId="6C6DC9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8FA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DD8D41" w14:textId="77777777">
        <w:tc>
          <w:tcPr>
            <w:tcW w:w="959" w:type="dxa"/>
          </w:tcPr>
          <w:p w14:paraId="2C5B19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19</w:t>
            </w:r>
          </w:p>
        </w:tc>
        <w:tc>
          <w:tcPr>
            <w:tcW w:w="1677" w:type="dxa"/>
          </w:tcPr>
          <w:p w14:paraId="3DED7C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ADB3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31CF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EDB3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1E3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D730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A7DCA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040402" w14:textId="77777777">
        <w:tc>
          <w:tcPr>
            <w:tcW w:w="959" w:type="dxa"/>
          </w:tcPr>
          <w:p w14:paraId="2C80DD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w:t>
            </w:r>
          </w:p>
        </w:tc>
        <w:tc>
          <w:tcPr>
            <w:tcW w:w="1677" w:type="dxa"/>
          </w:tcPr>
          <w:p w14:paraId="66B26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14-ти цилиндровый</w:t>
            </w:r>
          </w:p>
        </w:tc>
        <w:tc>
          <w:tcPr>
            <w:tcW w:w="1919" w:type="dxa"/>
          </w:tcPr>
          <w:p w14:paraId="662F0D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Устранение дефектов</w:t>
            </w:r>
          </w:p>
        </w:tc>
        <w:tc>
          <w:tcPr>
            <w:tcW w:w="720" w:type="dxa"/>
          </w:tcPr>
          <w:p w14:paraId="361B9A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w:t>
            </w:r>
          </w:p>
        </w:tc>
        <w:tc>
          <w:tcPr>
            <w:tcW w:w="1088" w:type="dxa"/>
          </w:tcPr>
          <w:p w14:paraId="5BF87E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Финанс.</w:t>
            </w:r>
          </w:p>
        </w:tc>
        <w:tc>
          <w:tcPr>
            <w:tcW w:w="927" w:type="dxa"/>
          </w:tcPr>
          <w:p w14:paraId="671365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870" w:type="dxa"/>
          </w:tcPr>
          <w:p w14:paraId="6E3780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гос.</w:t>
            </w:r>
          </w:p>
        </w:tc>
        <w:tc>
          <w:tcPr>
            <w:tcW w:w="1435" w:type="dxa"/>
          </w:tcPr>
          <w:p w14:paraId="6252A8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мотор.</w:t>
            </w:r>
          </w:p>
        </w:tc>
      </w:tr>
      <w:tr w:rsidR="006F4095" w:rsidRPr="008127F8" w14:paraId="61BE0F61" w14:textId="77777777">
        <w:tc>
          <w:tcPr>
            <w:tcW w:w="959" w:type="dxa"/>
          </w:tcPr>
          <w:p w14:paraId="6D1A8B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7237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Двухрядный</w:t>
            </w:r>
          </w:p>
        </w:tc>
        <w:tc>
          <w:tcPr>
            <w:tcW w:w="1919" w:type="dxa"/>
          </w:tcPr>
          <w:p w14:paraId="6ED47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М-82 выявившихся</w:t>
            </w:r>
          </w:p>
        </w:tc>
        <w:tc>
          <w:tcPr>
            <w:tcW w:w="720" w:type="dxa"/>
          </w:tcPr>
          <w:p w14:paraId="683FB0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E5D84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w:t>
            </w:r>
          </w:p>
        </w:tc>
        <w:tc>
          <w:tcPr>
            <w:tcW w:w="927" w:type="dxa"/>
          </w:tcPr>
          <w:p w14:paraId="14A85C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870" w:type="dxa"/>
          </w:tcPr>
          <w:p w14:paraId="19FFE9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часовые</w:t>
            </w:r>
          </w:p>
        </w:tc>
        <w:tc>
          <w:tcPr>
            <w:tcW w:w="1435" w:type="dxa"/>
          </w:tcPr>
          <w:p w14:paraId="09AD8B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6714B6" w14:textId="77777777">
        <w:tc>
          <w:tcPr>
            <w:tcW w:w="959" w:type="dxa"/>
          </w:tcPr>
          <w:p w14:paraId="5360D9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7769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звездообразный мотор</w:t>
            </w:r>
          </w:p>
        </w:tc>
        <w:tc>
          <w:tcPr>
            <w:tcW w:w="1919" w:type="dxa"/>
          </w:tcPr>
          <w:p w14:paraId="111C5C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стендовых и летных</w:t>
            </w:r>
          </w:p>
        </w:tc>
        <w:tc>
          <w:tcPr>
            <w:tcW w:w="720" w:type="dxa"/>
          </w:tcPr>
          <w:p w14:paraId="0805E2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C79F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счет</w:t>
            </w:r>
          </w:p>
        </w:tc>
        <w:tc>
          <w:tcPr>
            <w:tcW w:w="927" w:type="dxa"/>
          </w:tcPr>
          <w:p w14:paraId="59318C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1870" w:type="dxa"/>
          </w:tcPr>
          <w:p w14:paraId="5CEEF6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1435" w:type="dxa"/>
          </w:tcPr>
          <w:p w14:paraId="56749A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BE98CF" w14:textId="77777777">
        <w:tc>
          <w:tcPr>
            <w:tcW w:w="959" w:type="dxa"/>
          </w:tcPr>
          <w:p w14:paraId="57927B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A956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воздушного охлаждения</w:t>
            </w:r>
          </w:p>
        </w:tc>
        <w:tc>
          <w:tcPr>
            <w:tcW w:w="1919" w:type="dxa"/>
          </w:tcPr>
          <w:p w14:paraId="606046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испытаниях и обеспечение</w:t>
            </w:r>
          </w:p>
        </w:tc>
        <w:tc>
          <w:tcPr>
            <w:tcW w:w="720" w:type="dxa"/>
          </w:tcPr>
          <w:p w14:paraId="6873D8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3CB2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w:t>
            </w:r>
          </w:p>
        </w:tc>
        <w:tc>
          <w:tcPr>
            <w:tcW w:w="927" w:type="dxa"/>
          </w:tcPr>
          <w:p w14:paraId="16A40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8F0C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году и</w:t>
            </w:r>
          </w:p>
        </w:tc>
        <w:tc>
          <w:tcPr>
            <w:tcW w:w="1435" w:type="dxa"/>
          </w:tcPr>
          <w:p w14:paraId="40E32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939A73F" w14:textId="77777777">
        <w:tc>
          <w:tcPr>
            <w:tcW w:w="959" w:type="dxa"/>
          </w:tcPr>
          <w:p w14:paraId="7EF933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371B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121ECA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надежной работы мотора в</w:t>
            </w:r>
          </w:p>
        </w:tc>
        <w:tc>
          <w:tcPr>
            <w:tcW w:w="720" w:type="dxa"/>
          </w:tcPr>
          <w:p w14:paraId="42461B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9A66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пр-ва</w:t>
            </w:r>
          </w:p>
        </w:tc>
        <w:tc>
          <w:tcPr>
            <w:tcW w:w="927" w:type="dxa"/>
          </w:tcPr>
          <w:p w14:paraId="3C5EFF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69BA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серийном</w:t>
            </w:r>
          </w:p>
        </w:tc>
        <w:tc>
          <w:tcPr>
            <w:tcW w:w="1435" w:type="dxa"/>
          </w:tcPr>
          <w:p w14:paraId="2A166B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4A5863" w14:textId="77777777">
        <w:tc>
          <w:tcPr>
            <w:tcW w:w="959" w:type="dxa"/>
          </w:tcPr>
          <w:p w14:paraId="73D1E9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FDE7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 л.с.</w:t>
            </w:r>
          </w:p>
        </w:tc>
        <w:tc>
          <w:tcPr>
            <w:tcW w:w="1919" w:type="dxa"/>
          </w:tcPr>
          <w:p w14:paraId="659635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течение 100 часов.</w:t>
            </w:r>
          </w:p>
        </w:tc>
        <w:tc>
          <w:tcPr>
            <w:tcW w:w="720" w:type="dxa"/>
          </w:tcPr>
          <w:p w14:paraId="4E92C7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FAB9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9946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3126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w:t>
            </w:r>
          </w:p>
        </w:tc>
        <w:tc>
          <w:tcPr>
            <w:tcW w:w="1435" w:type="dxa"/>
          </w:tcPr>
          <w:p w14:paraId="5F8DFD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D9A90F" w14:textId="77777777">
        <w:tc>
          <w:tcPr>
            <w:tcW w:w="959" w:type="dxa"/>
          </w:tcPr>
          <w:p w14:paraId="702DB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FE2A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68BDBF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Увеличение срока</w:t>
            </w:r>
          </w:p>
        </w:tc>
        <w:tc>
          <w:tcPr>
            <w:tcW w:w="720" w:type="dxa"/>
          </w:tcPr>
          <w:p w14:paraId="526BBC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сент.</w:t>
            </w:r>
          </w:p>
        </w:tc>
        <w:tc>
          <w:tcPr>
            <w:tcW w:w="1088" w:type="dxa"/>
          </w:tcPr>
          <w:p w14:paraId="0A3120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B39D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BB76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4C3E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E6B7D8" w14:textId="77777777">
        <w:tc>
          <w:tcPr>
            <w:tcW w:w="959" w:type="dxa"/>
          </w:tcPr>
          <w:p w14:paraId="5B374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3267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 м - 1540 л.с.</w:t>
            </w:r>
          </w:p>
        </w:tc>
        <w:tc>
          <w:tcPr>
            <w:tcW w:w="1919" w:type="dxa"/>
          </w:tcPr>
          <w:p w14:paraId="6FC984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службы мотора до 150</w:t>
            </w:r>
          </w:p>
        </w:tc>
        <w:tc>
          <w:tcPr>
            <w:tcW w:w="720" w:type="dxa"/>
          </w:tcPr>
          <w:p w14:paraId="20EE07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6929A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4F52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B28DD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B49C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93295A" w14:textId="77777777">
        <w:tc>
          <w:tcPr>
            <w:tcW w:w="959" w:type="dxa"/>
          </w:tcPr>
          <w:p w14:paraId="3E27C5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D12F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72292C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 надежной работы в</w:t>
            </w:r>
          </w:p>
        </w:tc>
        <w:tc>
          <w:tcPr>
            <w:tcW w:w="720" w:type="dxa"/>
          </w:tcPr>
          <w:p w14:paraId="309695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BEEE9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915B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678A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534B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DC5053F" w14:textId="77777777">
        <w:tc>
          <w:tcPr>
            <w:tcW w:w="959" w:type="dxa"/>
          </w:tcPr>
          <w:p w14:paraId="32A624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DA0F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5400 м - 1330 л.с.</w:t>
            </w:r>
          </w:p>
        </w:tc>
        <w:tc>
          <w:tcPr>
            <w:tcW w:w="1919" w:type="dxa"/>
          </w:tcPr>
          <w:p w14:paraId="0AA047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летной эксплуатации.</w:t>
            </w:r>
          </w:p>
        </w:tc>
        <w:tc>
          <w:tcPr>
            <w:tcW w:w="720" w:type="dxa"/>
          </w:tcPr>
          <w:p w14:paraId="41EEDF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FE7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341F8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4E23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C551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EA2DF7" w14:textId="77777777">
        <w:tc>
          <w:tcPr>
            <w:tcW w:w="959" w:type="dxa"/>
          </w:tcPr>
          <w:p w14:paraId="1A6721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7FB6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w:t>
            </w:r>
          </w:p>
        </w:tc>
        <w:tc>
          <w:tcPr>
            <w:tcW w:w="1919" w:type="dxa"/>
          </w:tcPr>
          <w:p w14:paraId="1B7BE7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Увеличение срока</w:t>
            </w:r>
          </w:p>
        </w:tc>
        <w:tc>
          <w:tcPr>
            <w:tcW w:w="720" w:type="dxa"/>
          </w:tcPr>
          <w:p w14:paraId="7B6886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декабря</w:t>
            </w:r>
          </w:p>
        </w:tc>
        <w:tc>
          <w:tcPr>
            <w:tcW w:w="1088" w:type="dxa"/>
          </w:tcPr>
          <w:p w14:paraId="73EB71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7AD7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9D37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691F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4D832B" w14:textId="77777777">
        <w:tc>
          <w:tcPr>
            <w:tcW w:w="959" w:type="dxa"/>
          </w:tcPr>
          <w:p w14:paraId="14F24C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7FCA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от земного</w:t>
            </w:r>
          </w:p>
        </w:tc>
        <w:tc>
          <w:tcPr>
            <w:tcW w:w="1919" w:type="dxa"/>
          </w:tcPr>
          <w:p w14:paraId="7776DC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службы мотора до 200</w:t>
            </w:r>
          </w:p>
        </w:tc>
        <w:tc>
          <w:tcPr>
            <w:tcW w:w="720" w:type="dxa"/>
          </w:tcPr>
          <w:p w14:paraId="260209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72325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5AB7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2DD4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40F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DB2A42" w14:textId="77777777">
        <w:tc>
          <w:tcPr>
            <w:tcW w:w="959" w:type="dxa"/>
          </w:tcPr>
          <w:p w14:paraId="2AADBF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85F7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номинала 260-280</w:t>
            </w:r>
          </w:p>
        </w:tc>
        <w:tc>
          <w:tcPr>
            <w:tcW w:w="1919" w:type="dxa"/>
          </w:tcPr>
          <w:p w14:paraId="3C7CD3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 надежной работы в</w:t>
            </w:r>
          </w:p>
        </w:tc>
        <w:tc>
          <w:tcPr>
            <w:tcW w:w="720" w:type="dxa"/>
          </w:tcPr>
          <w:p w14:paraId="1BC0A8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F9BD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E7A5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C4FC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41FAA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CB9BD17" w14:textId="77777777">
        <w:tc>
          <w:tcPr>
            <w:tcW w:w="959" w:type="dxa"/>
          </w:tcPr>
          <w:p w14:paraId="5BF12B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217B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гр/лсч</w:t>
            </w:r>
          </w:p>
        </w:tc>
        <w:tc>
          <w:tcPr>
            <w:tcW w:w="1919" w:type="dxa"/>
          </w:tcPr>
          <w:p w14:paraId="757E24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летной эксплуатации</w:t>
            </w:r>
          </w:p>
        </w:tc>
        <w:tc>
          <w:tcPr>
            <w:tcW w:w="720" w:type="dxa"/>
          </w:tcPr>
          <w:p w14:paraId="035DE2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D9D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509E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7CDDA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4A34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F6EB1E8" w14:textId="77777777">
        <w:tc>
          <w:tcPr>
            <w:tcW w:w="959" w:type="dxa"/>
          </w:tcPr>
          <w:p w14:paraId="3C97F4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C7B32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0D57C6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B716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DDFB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18C0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A557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2696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FD5987" w14:textId="77777777">
        <w:tc>
          <w:tcPr>
            <w:tcW w:w="959" w:type="dxa"/>
          </w:tcPr>
          <w:p w14:paraId="74ABC2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631B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011955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03DE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7581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0464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94A6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C99F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FE5DD9" w14:textId="77777777">
        <w:tc>
          <w:tcPr>
            <w:tcW w:w="959" w:type="dxa"/>
          </w:tcPr>
          <w:p w14:paraId="05603D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2241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w:t>
            </w:r>
          </w:p>
        </w:tc>
        <w:tc>
          <w:tcPr>
            <w:tcW w:w="1919" w:type="dxa"/>
          </w:tcPr>
          <w:p w14:paraId="353640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4814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51CC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A1AF7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A3A3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C2DF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964829" w14:textId="77777777">
        <w:tc>
          <w:tcPr>
            <w:tcW w:w="959" w:type="dxa"/>
          </w:tcPr>
          <w:p w14:paraId="526340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BB97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 кг</w:t>
            </w:r>
          </w:p>
        </w:tc>
        <w:tc>
          <w:tcPr>
            <w:tcW w:w="1919" w:type="dxa"/>
          </w:tcPr>
          <w:p w14:paraId="6BBA8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4F0F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A24E2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0D8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0568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88AF2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F4D26B" w14:textId="77777777">
        <w:tc>
          <w:tcPr>
            <w:tcW w:w="959" w:type="dxa"/>
          </w:tcPr>
          <w:p w14:paraId="015B33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М-82НВ</w:t>
            </w:r>
          </w:p>
        </w:tc>
        <w:tc>
          <w:tcPr>
            <w:tcW w:w="1677" w:type="dxa"/>
          </w:tcPr>
          <w:p w14:paraId="22D275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14-ти цилиндровый</w:t>
            </w:r>
          </w:p>
        </w:tc>
        <w:tc>
          <w:tcPr>
            <w:tcW w:w="1919" w:type="dxa"/>
          </w:tcPr>
          <w:p w14:paraId="7F0513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100 часовые испытан.</w:t>
            </w:r>
          </w:p>
        </w:tc>
        <w:tc>
          <w:tcPr>
            <w:tcW w:w="720" w:type="dxa"/>
          </w:tcPr>
          <w:p w14:paraId="00D92B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w:t>
            </w:r>
          </w:p>
        </w:tc>
        <w:tc>
          <w:tcPr>
            <w:tcW w:w="1088" w:type="dxa"/>
          </w:tcPr>
          <w:p w14:paraId="265CD3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3000,0</w:t>
            </w:r>
          </w:p>
        </w:tc>
        <w:tc>
          <w:tcPr>
            <w:tcW w:w="927" w:type="dxa"/>
          </w:tcPr>
          <w:p w14:paraId="521B3D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870" w:type="dxa"/>
          </w:tcPr>
          <w:p w14:paraId="7A0B82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Проведены заводские</w:t>
            </w:r>
          </w:p>
        </w:tc>
        <w:tc>
          <w:tcPr>
            <w:tcW w:w="1435" w:type="dxa"/>
          </w:tcPr>
          <w:p w14:paraId="2697BB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727764D4" w14:textId="77777777">
        <w:tc>
          <w:tcPr>
            <w:tcW w:w="959" w:type="dxa"/>
          </w:tcPr>
          <w:p w14:paraId="3C390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986B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Двухрядный</w:t>
            </w:r>
          </w:p>
        </w:tc>
        <w:tc>
          <w:tcPr>
            <w:tcW w:w="1919" w:type="dxa"/>
          </w:tcPr>
          <w:p w14:paraId="396BEB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на станке.</w:t>
            </w:r>
          </w:p>
        </w:tc>
        <w:tc>
          <w:tcPr>
            <w:tcW w:w="720" w:type="dxa"/>
          </w:tcPr>
          <w:p w14:paraId="7C27A3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B2C2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927" w:type="dxa"/>
          </w:tcPr>
          <w:p w14:paraId="3FDCD7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1870" w:type="dxa"/>
          </w:tcPr>
          <w:p w14:paraId="163702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серийного</w:t>
            </w:r>
          </w:p>
        </w:tc>
        <w:tc>
          <w:tcPr>
            <w:tcW w:w="1435" w:type="dxa"/>
          </w:tcPr>
          <w:p w14:paraId="57765A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8C4AAE" w14:textId="77777777">
        <w:tc>
          <w:tcPr>
            <w:tcW w:w="959" w:type="dxa"/>
          </w:tcPr>
          <w:p w14:paraId="69640E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8A5D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звездообразный мотор</w:t>
            </w:r>
          </w:p>
        </w:tc>
        <w:tc>
          <w:tcPr>
            <w:tcW w:w="1919" w:type="dxa"/>
          </w:tcPr>
          <w:p w14:paraId="5D3A0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Отработка автоматики</w:t>
            </w:r>
          </w:p>
        </w:tc>
        <w:tc>
          <w:tcPr>
            <w:tcW w:w="720" w:type="dxa"/>
          </w:tcPr>
          <w:p w14:paraId="1556C6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июля</w:t>
            </w:r>
          </w:p>
        </w:tc>
        <w:tc>
          <w:tcPr>
            <w:tcW w:w="1088" w:type="dxa"/>
          </w:tcPr>
          <w:p w14:paraId="3D0598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B7A2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E92B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М-82 с насосом</w:t>
            </w:r>
          </w:p>
        </w:tc>
        <w:tc>
          <w:tcPr>
            <w:tcW w:w="1435" w:type="dxa"/>
          </w:tcPr>
          <w:p w14:paraId="393202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8F5383" w14:textId="77777777">
        <w:tc>
          <w:tcPr>
            <w:tcW w:w="959" w:type="dxa"/>
          </w:tcPr>
          <w:p w14:paraId="7719C6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DB86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воздушного охлаждения</w:t>
            </w:r>
          </w:p>
        </w:tc>
        <w:tc>
          <w:tcPr>
            <w:tcW w:w="1919" w:type="dxa"/>
          </w:tcPr>
          <w:p w14:paraId="2ABFBB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насосов и окончание</w:t>
            </w:r>
          </w:p>
        </w:tc>
        <w:tc>
          <w:tcPr>
            <w:tcW w:w="720" w:type="dxa"/>
          </w:tcPr>
          <w:p w14:paraId="1898D7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A7FD0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667F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B2E6D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непосредственного</w:t>
            </w:r>
          </w:p>
        </w:tc>
        <w:tc>
          <w:tcPr>
            <w:tcW w:w="1435" w:type="dxa"/>
          </w:tcPr>
          <w:p w14:paraId="3F2557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DB587E" w14:textId="77777777">
        <w:tc>
          <w:tcPr>
            <w:tcW w:w="959" w:type="dxa"/>
          </w:tcPr>
          <w:p w14:paraId="138398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7CD8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насосом непосредств.</w:t>
            </w:r>
          </w:p>
        </w:tc>
        <w:tc>
          <w:tcPr>
            <w:tcW w:w="1919" w:type="dxa"/>
          </w:tcPr>
          <w:p w14:paraId="629747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летных испытаний на</w:t>
            </w:r>
          </w:p>
        </w:tc>
        <w:tc>
          <w:tcPr>
            <w:tcW w:w="720" w:type="dxa"/>
          </w:tcPr>
          <w:p w14:paraId="60A9A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5648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255A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0570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впрыска топлива,</w:t>
            </w:r>
          </w:p>
        </w:tc>
        <w:tc>
          <w:tcPr>
            <w:tcW w:w="1435" w:type="dxa"/>
          </w:tcPr>
          <w:p w14:paraId="68B79B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159F34" w14:textId="77777777">
        <w:tc>
          <w:tcPr>
            <w:tcW w:w="959" w:type="dxa"/>
          </w:tcPr>
          <w:p w14:paraId="07DEB9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7216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впрыска топлива</w:t>
            </w:r>
          </w:p>
        </w:tc>
        <w:tc>
          <w:tcPr>
            <w:tcW w:w="1919" w:type="dxa"/>
          </w:tcPr>
          <w:p w14:paraId="61C818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самолете Су-2.</w:t>
            </w:r>
          </w:p>
        </w:tc>
        <w:tc>
          <w:tcPr>
            <w:tcW w:w="720" w:type="dxa"/>
          </w:tcPr>
          <w:p w14:paraId="544F94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C075E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B4E0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12AE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отработана автоматика</w:t>
            </w:r>
          </w:p>
        </w:tc>
        <w:tc>
          <w:tcPr>
            <w:tcW w:w="1435" w:type="dxa"/>
          </w:tcPr>
          <w:p w14:paraId="5EAA58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826E06" w14:textId="77777777">
        <w:tc>
          <w:tcPr>
            <w:tcW w:w="959" w:type="dxa"/>
          </w:tcPr>
          <w:p w14:paraId="00895B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88B7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07FBA1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705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F6E56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F435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B767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насоса на станке</w:t>
            </w:r>
          </w:p>
        </w:tc>
        <w:tc>
          <w:tcPr>
            <w:tcW w:w="1435" w:type="dxa"/>
          </w:tcPr>
          <w:p w14:paraId="140B38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94737E" w14:textId="77777777">
        <w:tc>
          <w:tcPr>
            <w:tcW w:w="959" w:type="dxa"/>
          </w:tcPr>
          <w:p w14:paraId="5FC39D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E7EB9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 л.с.</w:t>
            </w:r>
          </w:p>
        </w:tc>
        <w:tc>
          <w:tcPr>
            <w:tcW w:w="1919" w:type="dxa"/>
          </w:tcPr>
          <w:p w14:paraId="0EA9E5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D83F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0A91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D8A81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840C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E573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7209E6" w14:textId="77777777">
        <w:tc>
          <w:tcPr>
            <w:tcW w:w="959" w:type="dxa"/>
          </w:tcPr>
          <w:p w14:paraId="401F7D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305A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41155D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C104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6C6F2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64F8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93AF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CED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4E969E" w14:textId="77777777">
        <w:tc>
          <w:tcPr>
            <w:tcW w:w="959" w:type="dxa"/>
          </w:tcPr>
          <w:p w14:paraId="11F2A5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4B998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 м - 1540 л.с.</w:t>
            </w:r>
          </w:p>
        </w:tc>
        <w:tc>
          <w:tcPr>
            <w:tcW w:w="1919" w:type="dxa"/>
          </w:tcPr>
          <w:p w14:paraId="7F2619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AE1B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6A4D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26D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3CB1A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1C157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AF6278" w14:textId="77777777">
        <w:tc>
          <w:tcPr>
            <w:tcW w:w="959" w:type="dxa"/>
          </w:tcPr>
          <w:p w14:paraId="7EF4F9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109B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732158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3B7D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5434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690F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7156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71354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86675F" w14:textId="77777777">
        <w:tc>
          <w:tcPr>
            <w:tcW w:w="959" w:type="dxa"/>
          </w:tcPr>
          <w:p w14:paraId="52616E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CEC9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5400 м - 1330 л.с.</w:t>
            </w:r>
          </w:p>
        </w:tc>
        <w:tc>
          <w:tcPr>
            <w:tcW w:w="1919" w:type="dxa"/>
          </w:tcPr>
          <w:p w14:paraId="5E045F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DB1D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90B5B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3B9DE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8C67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779B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F936A1" w14:textId="77777777">
        <w:tc>
          <w:tcPr>
            <w:tcW w:w="959" w:type="dxa"/>
          </w:tcPr>
          <w:p w14:paraId="13389E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2284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w:t>
            </w:r>
          </w:p>
        </w:tc>
        <w:tc>
          <w:tcPr>
            <w:tcW w:w="1919" w:type="dxa"/>
          </w:tcPr>
          <w:p w14:paraId="0D47D8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42EA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A293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80C0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5CA3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E82C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31D726" w14:textId="77777777">
        <w:tc>
          <w:tcPr>
            <w:tcW w:w="959" w:type="dxa"/>
          </w:tcPr>
          <w:p w14:paraId="18B1AD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583B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от земного</w:t>
            </w:r>
          </w:p>
        </w:tc>
        <w:tc>
          <w:tcPr>
            <w:tcW w:w="1919" w:type="dxa"/>
          </w:tcPr>
          <w:p w14:paraId="1AF7CF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FF32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F4B95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A7C8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BB2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68EB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97977F" w14:textId="77777777">
        <w:tc>
          <w:tcPr>
            <w:tcW w:w="959" w:type="dxa"/>
          </w:tcPr>
          <w:p w14:paraId="291793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89250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номинала 240-260</w:t>
            </w:r>
          </w:p>
        </w:tc>
        <w:tc>
          <w:tcPr>
            <w:tcW w:w="1919" w:type="dxa"/>
          </w:tcPr>
          <w:p w14:paraId="703845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BE0E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419A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D037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4E65D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ADA4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C0FEF9" w14:textId="77777777">
        <w:tc>
          <w:tcPr>
            <w:tcW w:w="959" w:type="dxa"/>
          </w:tcPr>
          <w:p w14:paraId="269BD3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3034E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гр/лсч</w:t>
            </w:r>
          </w:p>
        </w:tc>
        <w:tc>
          <w:tcPr>
            <w:tcW w:w="1919" w:type="dxa"/>
          </w:tcPr>
          <w:p w14:paraId="70D758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07248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5C09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E3FF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CEF4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83C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9A8CBD" w14:textId="77777777">
        <w:tc>
          <w:tcPr>
            <w:tcW w:w="959" w:type="dxa"/>
          </w:tcPr>
          <w:p w14:paraId="670286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FC1E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712555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531A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1DCA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FD46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7618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4857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C6A776" w14:textId="77777777">
        <w:tc>
          <w:tcPr>
            <w:tcW w:w="959" w:type="dxa"/>
          </w:tcPr>
          <w:p w14:paraId="5715F7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CFE5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42917B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24588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0A12F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A357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63C3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52AD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2D6E2B" w14:textId="77777777">
        <w:tc>
          <w:tcPr>
            <w:tcW w:w="959" w:type="dxa"/>
          </w:tcPr>
          <w:p w14:paraId="0F135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46A96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- 860 кг</w:t>
            </w:r>
          </w:p>
        </w:tc>
        <w:tc>
          <w:tcPr>
            <w:tcW w:w="1919" w:type="dxa"/>
          </w:tcPr>
          <w:p w14:paraId="382051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ADD1D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FC14F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019A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99D3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64C6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70E75A" w14:textId="77777777">
        <w:tc>
          <w:tcPr>
            <w:tcW w:w="959" w:type="dxa"/>
          </w:tcPr>
          <w:p w14:paraId="00E81A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М-82Ф</w:t>
            </w:r>
          </w:p>
        </w:tc>
        <w:tc>
          <w:tcPr>
            <w:tcW w:w="1677" w:type="dxa"/>
          </w:tcPr>
          <w:p w14:paraId="6347A1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14-ти цилиндровый</w:t>
            </w:r>
          </w:p>
        </w:tc>
        <w:tc>
          <w:tcPr>
            <w:tcW w:w="1919" w:type="dxa"/>
          </w:tcPr>
          <w:p w14:paraId="4DFA3C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Работа </w:t>
            </w:r>
            <w:proofErr w:type="gramStart"/>
            <w:r w:rsidRPr="008127F8">
              <w:rPr>
                <w:rFonts w:ascii="Times New Roman" w:hAnsi="Times New Roman"/>
                <w:color w:val="000000" w:themeColor="text1"/>
                <w:sz w:val="16"/>
                <w:szCs w:val="16"/>
              </w:rPr>
              <w:t>по этому</w:t>
            </w:r>
            <w:proofErr w:type="gramEnd"/>
          </w:p>
        </w:tc>
        <w:tc>
          <w:tcPr>
            <w:tcW w:w="720" w:type="dxa"/>
          </w:tcPr>
          <w:p w14:paraId="13F367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BE553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4000,0</w:t>
            </w:r>
          </w:p>
        </w:tc>
        <w:tc>
          <w:tcPr>
            <w:tcW w:w="927" w:type="dxa"/>
          </w:tcPr>
          <w:p w14:paraId="27AFB6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870" w:type="dxa"/>
          </w:tcPr>
          <w:p w14:paraId="1AED76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Проведены проектные</w:t>
            </w:r>
          </w:p>
        </w:tc>
        <w:tc>
          <w:tcPr>
            <w:tcW w:w="1435" w:type="dxa"/>
          </w:tcPr>
          <w:p w14:paraId="22F754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7943CB4D" w14:textId="77777777">
        <w:tc>
          <w:tcPr>
            <w:tcW w:w="959" w:type="dxa"/>
          </w:tcPr>
          <w:p w14:paraId="576814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D624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Двухрядный</w:t>
            </w:r>
          </w:p>
        </w:tc>
        <w:tc>
          <w:tcPr>
            <w:tcW w:w="1919" w:type="dxa"/>
          </w:tcPr>
          <w:p w14:paraId="085412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мотору производится</w:t>
            </w:r>
          </w:p>
        </w:tc>
        <w:tc>
          <w:tcPr>
            <w:tcW w:w="720" w:type="dxa"/>
          </w:tcPr>
          <w:p w14:paraId="1C6260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1145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2A698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w:t>
            </w:r>
          </w:p>
        </w:tc>
        <w:tc>
          <w:tcPr>
            <w:tcW w:w="1870" w:type="dxa"/>
          </w:tcPr>
          <w:p w14:paraId="4C3A20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нагнетателю</w:t>
            </w:r>
          </w:p>
        </w:tc>
        <w:tc>
          <w:tcPr>
            <w:tcW w:w="1435" w:type="dxa"/>
          </w:tcPr>
          <w:p w14:paraId="6D0BD0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3C9B3E" w14:textId="77777777">
        <w:tc>
          <w:tcPr>
            <w:tcW w:w="959" w:type="dxa"/>
          </w:tcPr>
          <w:p w14:paraId="38DB50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A708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звездообразный</w:t>
            </w:r>
          </w:p>
        </w:tc>
        <w:tc>
          <w:tcPr>
            <w:tcW w:w="1919" w:type="dxa"/>
          </w:tcPr>
          <w:p w14:paraId="3304CF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после устранения</w:t>
            </w:r>
          </w:p>
        </w:tc>
        <w:tc>
          <w:tcPr>
            <w:tcW w:w="720" w:type="dxa"/>
          </w:tcPr>
          <w:p w14:paraId="5A9C4E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9893B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ABAE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410F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особой схемы (объемн.)</w:t>
            </w:r>
          </w:p>
        </w:tc>
        <w:tc>
          <w:tcPr>
            <w:tcW w:w="1435" w:type="dxa"/>
          </w:tcPr>
          <w:p w14:paraId="1BF7A9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54439F" w14:textId="77777777">
        <w:tc>
          <w:tcPr>
            <w:tcW w:w="959" w:type="dxa"/>
          </w:tcPr>
          <w:p w14:paraId="3B1C5B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9DF32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воздушного</w:t>
            </w:r>
          </w:p>
        </w:tc>
        <w:tc>
          <w:tcPr>
            <w:tcW w:w="1919" w:type="dxa"/>
          </w:tcPr>
          <w:p w14:paraId="129BC5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дефектов и увеличения</w:t>
            </w:r>
          </w:p>
        </w:tc>
        <w:tc>
          <w:tcPr>
            <w:tcW w:w="720" w:type="dxa"/>
          </w:tcPr>
          <w:p w14:paraId="7CEDA2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8855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3460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4668A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экспериментальные</w:t>
            </w:r>
          </w:p>
        </w:tc>
        <w:tc>
          <w:tcPr>
            <w:tcW w:w="1435" w:type="dxa"/>
          </w:tcPr>
          <w:p w14:paraId="7CCEE5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1A2E51F" w14:textId="77777777">
        <w:tc>
          <w:tcPr>
            <w:tcW w:w="959" w:type="dxa"/>
          </w:tcPr>
          <w:p w14:paraId="43B2EE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717F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17446C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срока службы серийного</w:t>
            </w:r>
          </w:p>
        </w:tc>
        <w:tc>
          <w:tcPr>
            <w:tcW w:w="720" w:type="dxa"/>
          </w:tcPr>
          <w:p w14:paraId="36F5E6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29C0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E6F3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0F6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впрыскивающему</w:t>
            </w:r>
          </w:p>
        </w:tc>
        <w:tc>
          <w:tcPr>
            <w:tcW w:w="1435" w:type="dxa"/>
          </w:tcPr>
          <w:p w14:paraId="52EB22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365412" w14:textId="77777777">
        <w:tc>
          <w:tcPr>
            <w:tcW w:w="959" w:type="dxa"/>
          </w:tcPr>
          <w:p w14:paraId="013C97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7F72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представляющий</w:t>
            </w:r>
          </w:p>
        </w:tc>
        <w:tc>
          <w:tcPr>
            <w:tcW w:w="1919" w:type="dxa"/>
          </w:tcPr>
          <w:p w14:paraId="104C45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М-82 до 150</w:t>
            </w:r>
          </w:p>
        </w:tc>
        <w:tc>
          <w:tcPr>
            <w:tcW w:w="720" w:type="dxa"/>
          </w:tcPr>
          <w:p w14:paraId="591AB4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07BA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BD8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9A0E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карбюратору особой схемы.</w:t>
            </w:r>
          </w:p>
        </w:tc>
        <w:tc>
          <w:tcPr>
            <w:tcW w:w="1435" w:type="dxa"/>
          </w:tcPr>
          <w:p w14:paraId="043264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4F7A3A" w14:textId="77777777">
        <w:tc>
          <w:tcPr>
            <w:tcW w:w="959" w:type="dxa"/>
          </w:tcPr>
          <w:p w14:paraId="6B43F3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8D6FD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собой дальнейшее</w:t>
            </w:r>
          </w:p>
        </w:tc>
        <w:tc>
          <w:tcPr>
            <w:tcW w:w="1919" w:type="dxa"/>
          </w:tcPr>
          <w:p w14:paraId="5ABD1E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часовой надежной работы</w:t>
            </w:r>
          </w:p>
        </w:tc>
        <w:tc>
          <w:tcPr>
            <w:tcW w:w="720" w:type="dxa"/>
          </w:tcPr>
          <w:p w14:paraId="244D56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FBDC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A3D00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454D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A7F4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CAFBA6" w14:textId="77777777">
        <w:tc>
          <w:tcPr>
            <w:tcW w:w="959" w:type="dxa"/>
          </w:tcPr>
          <w:p w14:paraId="5C10E4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08BC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развитие мотора</w:t>
            </w:r>
          </w:p>
        </w:tc>
        <w:tc>
          <w:tcPr>
            <w:tcW w:w="1919" w:type="dxa"/>
          </w:tcPr>
          <w:p w14:paraId="5D2250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летной эксплуатации.</w:t>
            </w:r>
          </w:p>
        </w:tc>
        <w:tc>
          <w:tcPr>
            <w:tcW w:w="720" w:type="dxa"/>
          </w:tcPr>
          <w:p w14:paraId="087457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24A53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8468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B639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D23F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4A8902" w14:textId="77777777">
        <w:tc>
          <w:tcPr>
            <w:tcW w:w="959" w:type="dxa"/>
          </w:tcPr>
          <w:p w14:paraId="0524BB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45F0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М-82 до следующих</w:t>
            </w:r>
          </w:p>
        </w:tc>
        <w:tc>
          <w:tcPr>
            <w:tcW w:w="1919" w:type="dxa"/>
          </w:tcPr>
          <w:p w14:paraId="2F22AC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Совместные 50-ти</w:t>
            </w:r>
          </w:p>
        </w:tc>
        <w:tc>
          <w:tcPr>
            <w:tcW w:w="720" w:type="dxa"/>
          </w:tcPr>
          <w:p w14:paraId="603026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дек.</w:t>
            </w:r>
          </w:p>
        </w:tc>
        <w:tc>
          <w:tcPr>
            <w:tcW w:w="1088" w:type="dxa"/>
          </w:tcPr>
          <w:p w14:paraId="32478E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38D9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0ABF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55E0D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9B481E" w14:textId="77777777">
        <w:tc>
          <w:tcPr>
            <w:tcW w:w="959" w:type="dxa"/>
          </w:tcPr>
          <w:p w14:paraId="7A76E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B3B1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основных технич.</w:t>
            </w:r>
          </w:p>
        </w:tc>
        <w:tc>
          <w:tcPr>
            <w:tcW w:w="1919" w:type="dxa"/>
          </w:tcPr>
          <w:p w14:paraId="0EA58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этого</w:t>
            </w:r>
          </w:p>
        </w:tc>
        <w:tc>
          <w:tcPr>
            <w:tcW w:w="720" w:type="dxa"/>
          </w:tcPr>
          <w:p w14:paraId="7F55B4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5EB44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A080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7332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5896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CA87B4" w14:textId="77777777">
        <w:tc>
          <w:tcPr>
            <w:tcW w:w="959" w:type="dxa"/>
          </w:tcPr>
          <w:p w14:paraId="402A8B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48D0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данных.</w:t>
            </w:r>
          </w:p>
        </w:tc>
        <w:tc>
          <w:tcPr>
            <w:tcW w:w="1919" w:type="dxa"/>
          </w:tcPr>
          <w:p w14:paraId="738435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на станке.</w:t>
            </w:r>
          </w:p>
        </w:tc>
        <w:tc>
          <w:tcPr>
            <w:tcW w:w="720" w:type="dxa"/>
          </w:tcPr>
          <w:p w14:paraId="321365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D31A5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A6E3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7995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06F02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7CA655" w14:textId="77777777">
        <w:tc>
          <w:tcPr>
            <w:tcW w:w="959" w:type="dxa"/>
          </w:tcPr>
          <w:p w14:paraId="7DC4BE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BD2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167E25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6523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17DA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1FA0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96ADF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14D6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F334EFE" w14:textId="77777777">
        <w:tc>
          <w:tcPr>
            <w:tcW w:w="959" w:type="dxa"/>
          </w:tcPr>
          <w:p w14:paraId="7F05CB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5E63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1900 л.с.</w:t>
            </w:r>
          </w:p>
        </w:tc>
        <w:tc>
          <w:tcPr>
            <w:tcW w:w="1919" w:type="dxa"/>
          </w:tcPr>
          <w:p w14:paraId="6C2DFE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7EEE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F9C38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3E62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662C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D2E8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89E43D" w14:textId="77777777">
        <w:tc>
          <w:tcPr>
            <w:tcW w:w="959" w:type="dxa"/>
          </w:tcPr>
          <w:p w14:paraId="0E6A2C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338C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469C19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8B6E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2037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40F9C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F892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0C78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F42726" w14:textId="77777777">
        <w:tc>
          <w:tcPr>
            <w:tcW w:w="959" w:type="dxa"/>
          </w:tcPr>
          <w:p w14:paraId="2605D4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BD97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 м - 1700 л.с.</w:t>
            </w:r>
          </w:p>
        </w:tc>
        <w:tc>
          <w:tcPr>
            <w:tcW w:w="1919" w:type="dxa"/>
          </w:tcPr>
          <w:p w14:paraId="2C5752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159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13109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158C7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EF8F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6CB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9611DB" w14:textId="77777777">
        <w:tc>
          <w:tcPr>
            <w:tcW w:w="959" w:type="dxa"/>
          </w:tcPr>
          <w:p w14:paraId="448E9F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94F1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22F09C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BB26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DD336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AEC81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E28FF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D50E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83F0CF" w14:textId="77777777">
        <w:tc>
          <w:tcPr>
            <w:tcW w:w="959" w:type="dxa"/>
          </w:tcPr>
          <w:p w14:paraId="3D37DE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55C8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 - 1500 л.с.</w:t>
            </w:r>
          </w:p>
        </w:tc>
        <w:tc>
          <w:tcPr>
            <w:tcW w:w="1919" w:type="dxa"/>
          </w:tcPr>
          <w:p w14:paraId="2CFF06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EA69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7BEA2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77696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6A96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1317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E1DA4F" w14:textId="77777777">
        <w:tc>
          <w:tcPr>
            <w:tcW w:w="959" w:type="dxa"/>
          </w:tcPr>
          <w:p w14:paraId="76B9DB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2914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w:t>
            </w:r>
          </w:p>
        </w:tc>
        <w:tc>
          <w:tcPr>
            <w:tcW w:w="1919" w:type="dxa"/>
          </w:tcPr>
          <w:p w14:paraId="69F70B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78D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F6A7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8093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9CE1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7566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225DF6" w14:textId="77777777">
        <w:tc>
          <w:tcPr>
            <w:tcW w:w="959" w:type="dxa"/>
          </w:tcPr>
          <w:p w14:paraId="5980C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AE1A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от земного</w:t>
            </w:r>
          </w:p>
        </w:tc>
        <w:tc>
          <w:tcPr>
            <w:tcW w:w="1919" w:type="dxa"/>
          </w:tcPr>
          <w:p w14:paraId="5B327A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98D5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3F9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936D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DD2E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E0CCD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EEEA7E" w14:textId="77777777">
        <w:tc>
          <w:tcPr>
            <w:tcW w:w="959" w:type="dxa"/>
          </w:tcPr>
          <w:p w14:paraId="1D7B66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20EE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номинала 260-280</w:t>
            </w:r>
          </w:p>
        </w:tc>
        <w:tc>
          <w:tcPr>
            <w:tcW w:w="1919" w:type="dxa"/>
          </w:tcPr>
          <w:p w14:paraId="6479B4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C149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E3F43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0DB5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0768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8506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ED5EB3" w14:textId="77777777">
        <w:tc>
          <w:tcPr>
            <w:tcW w:w="959" w:type="dxa"/>
          </w:tcPr>
          <w:p w14:paraId="3EA6D4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42F9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гр/лсч</w:t>
            </w:r>
          </w:p>
        </w:tc>
        <w:tc>
          <w:tcPr>
            <w:tcW w:w="1919" w:type="dxa"/>
          </w:tcPr>
          <w:p w14:paraId="2169FA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AE06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44EA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2EA13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8F74C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3915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2C8C9E" w14:textId="77777777">
        <w:tc>
          <w:tcPr>
            <w:tcW w:w="959" w:type="dxa"/>
          </w:tcPr>
          <w:p w14:paraId="3756B1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DC9A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1116B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F0A6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54E2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871E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A7BA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0B35E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0B766F" w14:textId="77777777">
        <w:tc>
          <w:tcPr>
            <w:tcW w:w="959" w:type="dxa"/>
          </w:tcPr>
          <w:p w14:paraId="241B46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5CBF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121D99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8EF4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569B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A9F5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4A4D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87D61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2343BA" w14:textId="77777777">
        <w:tc>
          <w:tcPr>
            <w:tcW w:w="959" w:type="dxa"/>
          </w:tcPr>
          <w:p w14:paraId="5BCB4C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43A6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- 900 кг</w:t>
            </w:r>
          </w:p>
        </w:tc>
        <w:tc>
          <w:tcPr>
            <w:tcW w:w="1919" w:type="dxa"/>
          </w:tcPr>
          <w:p w14:paraId="3B5611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FF3C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686B3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ADB4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053A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95E2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E6D58B" w14:textId="77777777">
        <w:tc>
          <w:tcPr>
            <w:tcW w:w="959" w:type="dxa"/>
          </w:tcPr>
          <w:p w14:paraId="22EA14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М-71</w:t>
            </w:r>
          </w:p>
        </w:tc>
        <w:tc>
          <w:tcPr>
            <w:tcW w:w="1677" w:type="dxa"/>
          </w:tcPr>
          <w:p w14:paraId="09170E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18-ти цилиндровый</w:t>
            </w:r>
          </w:p>
        </w:tc>
        <w:tc>
          <w:tcPr>
            <w:tcW w:w="1919" w:type="dxa"/>
          </w:tcPr>
          <w:p w14:paraId="548985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Гос. 100-часовые</w:t>
            </w:r>
          </w:p>
        </w:tc>
        <w:tc>
          <w:tcPr>
            <w:tcW w:w="720" w:type="dxa"/>
          </w:tcPr>
          <w:p w14:paraId="3AC18C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w:t>
            </w:r>
          </w:p>
        </w:tc>
        <w:tc>
          <w:tcPr>
            <w:tcW w:w="1088" w:type="dxa"/>
          </w:tcPr>
          <w:p w14:paraId="2E3509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4000,0</w:t>
            </w:r>
          </w:p>
        </w:tc>
        <w:tc>
          <w:tcPr>
            <w:tcW w:w="927" w:type="dxa"/>
          </w:tcPr>
          <w:p w14:paraId="43B9DC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Су-6</w:t>
            </w:r>
          </w:p>
        </w:tc>
        <w:tc>
          <w:tcPr>
            <w:tcW w:w="1870" w:type="dxa"/>
          </w:tcPr>
          <w:p w14:paraId="4C5576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доводку</w:t>
            </w:r>
          </w:p>
        </w:tc>
        <w:tc>
          <w:tcPr>
            <w:tcW w:w="1435" w:type="dxa"/>
          </w:tcPr>
          <w:p w14:paraId="05B5CF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 переходит</w:t>
            </w:r>
          </w:p>
        </w:tc>
      </w:tr>
      <w:tr w:rsidR="006F4095" w:rsidRPr="008127F8" w14:paraId="4936C3B0" w14:textId="77777777">
        <w:tc>
          <w:tcPr>
            <w:tcW w:w="959" w:type="dxa"/>
          </w:tcPr>
          <w:p w14:paraId="749B00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60A2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двухрядный</w:t>
            </w:r>
          </w:p>
        </w:tc>
        <w:tc>
          <w:tcPr>
            <w:tcW w:w="1919" w:type="dxa"/>
          </w:tcPr>
          <w:p w14:paraId="0B3A1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4F90FF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0895EF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1BFB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И-185</w:t>
            </w:r>
          </w:p>
        </w:tc>
        <w:tc>
          <w:tcPr>
            <w:tcW w:w="1870" w:type="dxa"/>
          </w:tcPr>
          <w:p w14:paraId="7B942F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заводских испытаниях</w:t>
            </w:r>
          </w:p>
        </w:tc>
        <w:tc>
          <w:tcPr>
            <w:tcW w:w="1435" w:type="dxa"/>
          </w:tcPr>
          <w:p w14:paraId="7EFCF4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AC37CE" w14:textId="77777777">
        <w:tc>
          <w:tcPr>
            <w:tcW w:w="959" w:type="dxa"/>
          </w:tcPr>
          <w:p w14:paraId="54FE0A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D97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звездообразный</w:t>
            </w:r>
          </w:p>
        </w:tc>
        <w:tc>
          <w:tcPr>
            <w:tcW w:w="1919" w:type="dxa"/>
          </w:tcPr>
          <w:p w14:paraId="22F73D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Специальные летные</w:t>
            </w:r>
          </w:p>
        </w:tc>
        <w:tc>
          <w:tcPr>
            <w:tcW w:w="720" w:type="dxa"/>
          </w:tcPr>
          <w:p w14:paraId="020875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w:t>
            </w:r>
          </w:p>
        </w:tc>
        <w:tc>
          <w:tcPr>
            <w:tcW w:w="1088" w:type="dxa"/>
          </w:tcPr>
          <w:p w14:paraId="199609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FEA1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28565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w:t>
            </w:r>
            <w:proofErr w:type="gramStart"/>
            <w:r w:rsidRPr="008127F8">
              <w:rPr>
                <w:rFonts w:ascii="Times New Roman" w:hAnsi="Times New Roman"/>
                <w:color w:val="000000" w:themeColor="text1"/>
                <w:sz w:val="16"/>
                <w:szCs w:val="16"/>
              </w:rPr>
              <w:t>100 часового</w:t>
            </w:r>
            <w:proofErr w:type="gramEnd"/>
            <w:r w:rsidRPr="008127F8">
              <w:rPr>
                <w:rFonts w:ascii="Times New Roman" w:hAnsi="Times New Roman"/>
                <w:color w:val="000000" w:themeColor="text1"/>
                <w:sz w:val="16"/>
                <w:szCs w:val="16"/>
              </w:rPr>
              <w:t xml:space="preserve"> ресурса.</w:t>
            </w:r>
          </w:p>
        </w:tc>
        <w:tc>
          <w:tcPr>
            <w:tcW w:w="1435" w:type="dxa"/>
          </w:tcPr>
          <w:p w14:paraId="3283FD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676265" w14:textId="77777777">
        <w:tc>
          <w:tcPr>
            <w:tcW w:w="959" w:type="dxa"/>
          </w:tcPr>
          <w:p w14:paraId="45E592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28BF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воздушного</w:t>
            </w:r>
          </w:p>
        </w:tc>
        <w:tc>
          <w:tcPr>
            <w:tcW w:w="1919" w:type="dxa"/>
          </w:tcPr>
          <w:p w14:paraId="1D3BDD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самолете</w:t>
            </w:r>
          </w:p>
        </w:tc>
        <w:tc>
          <w:tcPr>
            <w:tcW w:w="720" w:type="dxa"/>
          </w:tcPr>
          <w:p w14:paraId="1CAC2B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40F63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63C7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7F85F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Предъявлен </w:t>
            </w:r>
            <w:proofErr w:type="gramStart"/>
            <w:r w:rsidRPr="008127F8">
              <w:rPr>
                <w:rFonts w:ascii="Times New Roman" w:hAnsi="Times New Roman"/>
                <w:color w:val="000000" w:themeColor="text1"/>
                <w:sz w:val="16"/>
                <w:szCs w:val="16"/>
              </w:rPr>
              <w:t>на государств</w:t>
            </w:r>
            <w:proofErr w:type="gramEnd"/>
            <w:r w:rsidRPr="008127F8">
              <w:rPr>
                <w:rFonts w:ascii="Times New Roman" w:hAnsi="Times New Roman"/>
                <w:color w:val="000000" w:themeColor="text1"/>
                <w:sz w:val="16"/>
                <w:szCs w:val="16"/>
              </w:rPr>
              <w:t>.</w:t>
            </w:r>
          </w:p>
        </w:tc>
        <w:tc>
          <w:tcPr>
            <w:tcW w:w="1435" w:type="dxa"/>
          </w:tcPr>
          <w:p w14:paraId="3E6B09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396A0E" w14:textId="77777777">
        <w:tc>
          <w:tcPr>
            <w:tcW w:w="959" w:type="dxa"/>
          </w:tcPr>
          <w:p w14:paraId="38368C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AA23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5D0FA6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И-185 или Су-6.</w:t>
            </w:r>
          </w:p>
        </w:tc>
        <w:tc>
          <w:tcPr>
            <w:tcW w:w="720" w:type="dxa"/>
          </w:tcPr>
          <w:p w14:paraId="3C80E0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20F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5ADC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D9E6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100 часовые</w:t>
            </w:r>
            <w:proofErr w:type="gramEnd"/>
            <w:r w:rsidRPr="008127F8">
              <w:rPr>
                <w:rFonts w:ascii="Times New Roman" w:hAnsi="Times New Roman"/>
                <w:color w:val="000000" w:themeColor="text1"/>
                <w:sz w:val="16"/>
                <w:szCs w:val="16"/>
              </w:rPr>
              <w:t xml:space="preserve"> испытания.</w:t>
            </w:r>
          </w:p>
        </w:tc>
        <w:tc>
          <w:tcPr>
            <w:tcW w:w="1435" w:type="dxa"/>
          </w:tcPr>
          <w:p w14:paraId="195B9A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5BF752" w14:textId="77777777">
        <w:tc>
          <w:tcPr>
            <w:tcW w:w="959" w:type="dxa"/>
          </w:tcPr>
          <w:p w14:paraId="37A68F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C8CC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316445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DAB2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09E3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6D33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6E19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C262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4EE4E2" w14:textId="77777777">
        <w:tc>
          <w:tcPr>
            <w:tcW w:w="959" w:type="dxa"/>
          </w:tcPr>
          <w:p w14:paraId="722BF1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D178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л.с.</w:t>
            </w:r>
          </w:p>
        </w:tc>
        <w:tc>
          <w:tcPr>
            <w:tcW w:w="1919" w:type="dxa"/>
          </w:tcPr>
          <w:p w14:paraId="70F8CB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9CCE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1B54E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3947D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8C3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51E1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DE172D" w14:textId="77777777">
        <w:tc>
          <w:tcPr>
            <w:tcW w:w="959" w:type="dxa"/>
          </w:tcPr>
          <w:p w14:paraId="7EAF93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B221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3CBDE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C8F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25F7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991B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D211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063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713DB9B" w14:textId="77777777">
        <w:tc>
          <w:tcPr>
            <w:tcW w:w="959" w:type="dxa"/>
          </w:tcPr>
          <w:p w14:paraId="202C07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43986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2100 м - 1800 л.с.</w:t>
            </w:r>
          </w:p>
        </w:tc>
        <w:tc>
          <w:tcPr>
            <w:tcW w:w="1919" w:type="dxa"/>
          </w:tcPr>
          <w:p w14:paraId="3DE181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2943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D1732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E9BD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18B2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8D0C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58603A9" w14:textId="77777777">
        <w:tc>
          <w:tcPr>
            <w:tcW w:w="959" w:type="dxa"/>
          </w:tcPr>
          <w:p w14:paraId="4FDCD2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8FE8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CCFA6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21C6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BBD2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2F1F7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9F7C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68A4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E3EE8B" w14:textId="77777777">
        <w:tc>
          <w:tcPr>
            <w:tcW w:w="959" w:type="dxa"/>
          </w:tcPr>
          <w:p w14:paraId="314772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FC33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4800 м - 1650 л.с.</w:t>
            </w:r>
          </w:p>
        </w:tc>
        <w:tc>
          <w:tcPr>
            <w:tcW w:w="1919" w:type="dxa"/>
          </w:tcPr>
          <w:p w14:paraId="125F18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3BD7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C9B3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EC06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BA14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A423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AC7C2A" w14:textId="77777777">
        <w:tc>
          <w:tcPr>
            <w:tcW w:w="959" w:type="dxa"/>
          </w:tcPr>
          <w:p w14:paraId="674330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AD33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w:t>
            </w:r>
          </w:p>
        </w:tc>
        <w:tc>
          <w:tcPr>
            <w:tcW w:w="1919" w:type="dxa"/>
          </w:tcPr>
          <w:p w14:paraId="6AA848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EBEC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D9DB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5CB74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46D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CB19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E885EB" w14:textId="77777777">
        <w:tc>
          <w:tcPr>
            <w:tcW w:w="959" w:type="dxa"/>
          </w:tcPr>
          <w:p w14:paraId="022456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1C7C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от земного</w:t>
            </w:r>
          </w:p>
        </w:tc>
        <w:tc>
          <w:tcPr>
            <w:tcW w:w="1919" w:type="dxa"/>
          </w:tcPr>
          <w:p w14:paraId="2AF2C9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31C5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37967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7BB1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5D5F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8245B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D244BA" w14:textId="77777777">
        <w:tc>
          <w:tcPr>
            <w:tcW w:w="959" w:type="dxa"/>
          </w:tcPr>
          <w:p w14:paraId="04665F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7967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номинала 265-285</w:t>
            </w:r>
          </w:p>
        </w:tc>
        <w:tc>
          <w:tcPr>
            <w:tcW w:w="1919" w:type="dxa"/>
          </w:tcPr>
          <w:p w14:paraId="5A7CB4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2BA0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B422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966E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293A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8BEF5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25A446" w14:textId="77777777">
        <w:tc>
          <w:tcPr>
            <w:tcW w:w="959" w:type="dxa"/>
          </w:tcPr>
          <w:p w14:paraId="2DA376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2FC57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гр/лсч</w:t>
            </w:r>
          </w:p>
        </w:tc>
        <w:tc>
          <w:tcPr>
            <w:tcW w:w="1919" w:type="dxa"/>
          </w:tcPr>
          <w:p w14:paraId="55B7C8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905E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B8C05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5C89C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17EA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78FA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868773" w14:textId="77777777">
        <w:tc>
          <w:tcPr>
            <w:tcW w:w="959" w:type="dxa"/>
          </w:tcPr>
          <w:p w14:paraId="171BD3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85B1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20E8DA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0017B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3DAEE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0DCD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9DE0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C25D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97A673" w14:textId="77777777">
        <w:tc>
          <w:tcPr>
            <w:tcW w:w="959" w:type="dxa"/>
          </w:tcPr>
          <w:p w14:paraId="2B06F5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008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40AF24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A058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18015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D06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567E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41DB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91CFFB" w14:textId="77777777">
        <w:tc>
          <w:tcPr>
            <w:tcW w:w="959" w:type="dxa"/>
          </w:tcPr>
          <w:p w14:paraId="24D933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9A20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w:t>
            </w:r>
          </w:p>
        </w:tc>
        <w:tc>
          <w:tcPr>
            <w:tcW w:w="1919" w:type="dxa"/>
          </w:tcPr>
          <w:p w14:paraId="22CE54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8977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CB48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97B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7AC7B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F15E2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8A56B9" w14:textId="77777777">
        <w:tc>
          <w:tcPr>
            <w:tcW w:w="959" w:type="dxa"/>
          </w:tcPr>
          <w:p w14:paraId="35E493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FD20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1070 кг</w:t>
            </w:r>
          </w:p>
        </w:tc>
        <w:tc>
          <w:tcPr>
            <w:tcW w:w="1919" w:type="dxa"/>
          </w:tcPr>
          <w:p w14:paraId="35DA62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FD40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AF24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D275C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195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CB55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0F7D8FE" w14:textId="77777777">
        <w:tc>
          <w:tcPr>
            <w:tcW w:w="959" w:type="dxa"/>
          </w:tcPr>
          <w:p w14:paraId="552DB4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80BB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46AC04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31E4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251B7A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11000,0</w:t>
            </w:r>
          </w:p>
        </w:tc>
        <w:tc>
          <w:tcPr>
            <w:tcW w:w="927" w:type="dxa"/>
          </w:tcPr>
          <w:p w14:paraId="2A4108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BE7F8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2F0C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D0947A" w14:textId="77777777">
        <w:tc>
          <w:tcPr>
            <w:tcW w:w="959" w:type="dxa"/>
          </w:tcPr>
          <w:p w14:paraId="3F4C34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24.</w:t>
            </w:r>
          </w:p>
        </w:tc>
        <w:tc>
          <w:tcPr>
            <w:tcW w:w="1677" w:type="dxa"/>
          </w:tcPr>
          <w:p w14:paraId="6991B2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577CA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F970F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4262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C5E6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27C7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0D7F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FD4D05D" w14:textId="77777777">
        <w:tc>
          <w:tcPr>
            <w:tcW w:w="959" w:type="dxa"/>
          </w:tcPr>
          <w:p w14:paraId="3EDCFC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w:t>
            </w:r>
          </w:p>
        </w:tc>
        <w:tc>
          <w:tcPr>
            <w:tcW w:w="1677" w:type="dxa"/>
          </w:tcPr>
          <w:p w14:paraId="3EC95E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4E32F7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Устранение дефектов</w:t>
            </w:r>
          </w:p>
        </w:tc>
        <w:tc>
          <w:tcPr>
            <w:tcW w:w="720" w:type="dxa"/>
          </w:tcPr>
          <w:p w14:paraId="14557E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2EDFBA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Финан.</w:t>
            </w:r>
          </w:p>
        </w:tc>
        <w:tc>
          <w:tcPr>
            <w:tcW w:w="927" w:type="dxa"/>
          </w:tcPr>
          <w:p w14:paraId="57FE81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870" w:type="dxa"/>
          </w:tcPr>
          <w:p w14:paraId="59B1FF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АМ-38 прошел</w:t>
            </w:r>
          </w:p>
        </w:tc>
        <w:tc>
          <w:tcPr>
            <w:tcW w:w="1435" w:type="dxa"/>
          </w:tcPr>
          <w:p w14:paraId="1CB5A7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 мотор.</w:t>
            </w:r>
          </w:p>
        </w:tc>
      </w:tr>
      <w:tr w:rsidR="006F4095" w:rsidRPr="008127F8" w14:paraId="4B752A16" w14:textId="77777777">
        <w:tc>
          <w:tcPr>
            <w:tcW w:w="959" w:type="dxa"/>
          </w:tcPr>
          <w:p w14:paraId="224A7B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6D86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6AD257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АМ-38, выявивш.</w:t>
            </w:r>
          </w:p>
        </w:tc>
        <w:tc>
          <w:tcPr>
            <w:tcW w:w="720" w:type="dxa"/>
          </w:tcPr>
          <w:p w14:paraId="22841A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10AE6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w:t>
            </w:r>
          </w:p>
        </w:tc>
        <w:tc>
          <w:tcPr>
            <w:tcW w:w="927" w:type="dxa"/>
          </w:tcPr>
          <w:p w14:paraId="5A2EDB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A93E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часовые гос.</w:t>
            </w:r>
          </w:p>
        </w:tc>
        <w:tc>
          <w:tcPr>
            <w:tcW w:w="1435" w:type="dxa"/>
          </w:tcPr>
          <w:p w14:paraId="41C55C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D782AA" w14:textId="77777777">
        <w:tc>
          <w:tcPr>
            <w:tcW w:w="959" w:type="dxa"/>
          </w:tcPr>
          <w:p w14:paraId="68DC60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7714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w:t>
            </w:r>
          </w:p>
        </w:tc>
        <w:tc>
          <w:tcPr>
            <w:tcW w:w="1919" w:type="dxa"/>
          </w:tcPr>
          <w:p w14:paraId="185408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летной эксплуатации и</w:t>
            </w:r>
          </w:p>
        </w:tc>
        <w:tc>
          <w:tcPr>
            <w:tcW w:w="720" w:type="dxa"/>
          </w:tcPr>
          <w:p w14:paraId="6AD6E7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7BDA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счет</w:t>
            </w:r>
          </w:p>
        </w:tc>
        <w:tc>
          <w:tcPr>
            <w:tcW w:w="927" w:type="dxa"/>
          </w:tcPr>
          <w:p w14:paraId="177BAD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ABED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в 1941 г.</w:t>
            </w:r>
          </w:p>
        </w:tc>
        <w:tc>
          <w:tcPr>
            <w:tcW w:w="1435" w:type="dxa"/>
          </w:tcPr>
          <w:p w14:paraId="24BE41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E9FB0AF" w14:textId="77777777">
        <w:tc>
          <w:tcPr>
            <w:tcW w:w="959" w:type="dxa"/>
          </w:tcPr>
          <w:p w14:paraId="33BC7E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14972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59BAB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надежной работы</w:t>
            </w:r>
          </w:p>
        </w:tc>
        <w:tc>
          <w:tcPr>
            <w:tcW w:w="720" w:type="dxa"/>
          </w:tcPr>
          <w:p w14:paraId="6B12EE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51AF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серийного</w:t>
            </w:r>
          </w:p>
        </w:tc>
        <w:tc>
          <w:tcPr>
            <w:tcW w:w="927" w:type="dxa"/>
          </w:tcPr>
          <w:p w14:paraId="68CE5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51CC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находится в серийном</w:t>
            </w:r>
          </w:p>
        </w:tc>
        <w:tc>
          <w:tcPr>
            <w:tcW w:w="1435" w:type="dxa"/>
          </w:tcPr>
          <w:p w14:paraId="102BE2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C6FEE5" w14:textId="77777777">
        <w:tc>
          <w:tcPr>
            <w:tcW w:w="959" w:type="dxa"/>
          </w:tcPr>
          <w:p w14:paraId="4F4A2B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B8205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7616B9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в течение 150 часов</w:t>
            </w:r>
          </w:p>
        </w:tc>
        <w:tc>
          <w:tcPr>
            <w:tcW w:w="720" w:type="dxa"/>
          </w:tcPr>
          <w:p w14:paraId="60E7B4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F91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пр-ва</w:t>
            </w:r>
          </w:p>
        </w:tc>
        <w:tc>
          <w:tcPr>
            <w:tcW w:w="927" w:type="dxa"/>
          </w:tcPr>
          <w:p w14:paraId="7654A2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7F01E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w:t>
            </w:r>
          </w:p>
        </w:tc>
        <w:tc>
          <w:tcPr>
            <w:tcW w:w="1435" w:type="dxa"/>
          </w:tcPr>
          <w:p w14:paraId="41C3AC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9E8B54" w14:textId="77777777">
        <w:tc>
          <w:tcPr>
            <w:tcW w:w="959" w:type="dxa"/>
          </w:tcPr>
          <w:p w14:paraId="0F2D53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D845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 л.с.</w:t>
            </w:r>
          </w:p>
        </w:tc>
        <w:tc>
          <w:tcPr>
            <w:tcW w:w="1919" w:type="dxa"/>
          </w:tcPr>
          <w:p w14:paraId="7BE7BF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летной эксплуатации.</w:t>
            </w:r>
          </w:p>
        </w:tc>
        <w:tc>
          <w:tcPr>
            <w:tcW w:w="720" w:type="dxa"/>
          </w:tcPr>
          <w:p w14:paraId="04B95F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974A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16EE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D554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0DB9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166291" w14:textId="77777777">
        <w:tc>
          <w:tcPr>
            <w:tcW w:w="959" w:type="dxa"/>
          </w:tcPr>
          <w:p w14:paraId="7453C7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162C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ан высоте</w:t>
            </w:r>
          </w:p>
        </w:tc>
        <w:tc>
          <w:tcPr>
            <w:tcW w:w="1919" w:type="dxa"/>
          </w:tcPr>
          <w:p w14:paraId="66BC32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 срока службы</w:t>
            </w:r>
          </w:p>
        </w:tc>
        <w:tc>
          <w:tcPr>
            <w:tcW w:w="720" w:type="dxa"/>
          </w:tcPr>
          <w:p w14:paraId="5CF0E4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июля</w:t>
            </w:r>
          </w:p>
        </w:tc>
        <w:tc>
          <w:tcPr>
            <w:tcW w:w="1088" w:type="dxa"/>
          </w:tcPr>
          <w:p w14:paraId="206E57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1463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331D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F31F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8CDC69" w14:textId="77777777">
        <w:tc>
          <w:tcPr>
            <w:tcW w:w="959" w:type="dxa"/>
          </w:tcPr>
          <w:p w14:paraId="03D02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4C06D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м - 1500 л.с.</w:t>
            </w:r>
          </w:p>
        </w:tc>
        <w:tc>
          <w:tcPr>
            <w:tcW w:w="1919" w:type="dxa"/>
          </w:tcPr>
          <w:p w14:paraId="453CBA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Ам-38 с усилен.</w:t>
            </w:r>
          </w:p>
        </w:tc>
        <w:tc>
          <w:tcPr>
            <w:tcW w:w="720" w:type="dxa"/>
          </w:tcPr>
          <w:p w14:paraId="45D9F7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5EE02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F5E0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BE15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49DC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5102B7" w14:textId="77777777">
        <w:tc>
          <w:tcPr>
            <w:tcW w:w="959" w:type="dxa"/>
          </w:tcPr>
          <w:p w14:paraId="06F06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F8FE2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5DE09C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картером до 200 часов</w:t>
            </w:r>
          </w:p>
        </w:tc>
        <w:tc>
          <w:tcPr>
            <w:tcW w:w="720" w:type="dxa"/>
          </w:tcPr>
          <w:p w14:paraId="0CD4BA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8038A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F4A7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DAC0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1FAD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F25116C" w14:textId="77777777">
        <w:tc>
          <w:tcPr>
            <w:tcW w:w="959" w:type="dxa"/>
          </w:tcPr>
          <w:p w14:paraId="39E1E4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1436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647755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надежной работы в летной</w:t>
            </w:r>
          </w:p>
        </w:tc>
        <w:tc>
          <w:tcPr>
            <w:tcW w:w="720" w:type="dxa"/>
          </w:tcPr>
          <w:p w14:paraId="511B9C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B3EBE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1545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2034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68172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23BFB8" w14:textId="77777777">
        <w:tc>
          <w:tcPr>
            <w:tcW w:w="959" w:type="dxa"/>
          </w:tcPr>
          <w:p w14:paraId="4C1A61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13DD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 гр/лсч</w:t>
            </w:r>
          </w:p>
        </w:tc>
        <w:tc>
          <w:tcPr>
            <w:tcW w:w="1919" w:type="dxa"/>
          </w:tcPr>
          <w:p w14:paraId="3436B3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w:t>
            </w:r>
          </w:p>
        </w:tc>
        <w:tc>
          <w:tcPr>
            <w:tcW w:w="720" w:type="dxa"/>
          </w:tcPr>
          <w:p w14:paraId="3198E6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E185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3BCC5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F5D9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9B3A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B8DA29" w14:textId="77777777">
        <w:tc>
          <w:tcPr>
            <w:tcW w:w="959" w:type="dxa"/>
          </w:tcPr>
          <w:p w14:paraId="557EE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BB1E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488445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Форсирование взлетн.</w:t>
            </w:r>
          </w:p>
        </w:tc>
        <w:tc>
          <w:tcPr>
            <w:tcW w:w="720" w:type="dxa"/>
          </w:tcPr>
          <w:p w14:paraId="15591E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июля</w:t>
            </w:r>
          </w:p>
        </w:tc>
        <w:tc>
          <w:tcPr>
            <w:tcW w:w="1088" w:type="dxa"/>
          </w:tcPr>
          <w:p w14:paraId="16EDF9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927" w:type="dxa"/>
          </w:tcPr>
          <w:p w14:paraId="427739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F789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742B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5D23D72" w14:textId="77777777">
        <w:tc>
          <w:tcPr>
            <w:tcW w:w="959" w:type="dxa"/>
          </w:tcPr>
          <w:p w14:paraId="2A9601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B160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4ACA20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мощности мотора АН-38</w:t>
            </w:r>
          </w:p>
        </w:tc>
        <w:tc>
          <w:tcPr>
            <w:tcW w:w="720" w:type="dxa"/>
          </w:tcPr>
          <w:p w14:paraId="473F7E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9D5D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B84A7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2068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4AE8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05E2F5" w14:textId="77777777">
        <w:tc>
          <w:tcPr>
            <w:tcW w:w="959" w:type="dxa"/>
          </w:tcPr>
          <w:p w14:paraId="6D8BF5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D5B43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860 кг</w:t>
            </w:r>
          </w:p>
        </w:tc>
        <w:tc>
          <w:tcPr>
            <w:tcW w:w="1919" w:type="dxa"/>
          </w:tcPr>
          <w:p w14:paraId="21277B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1700 л.с. при числе</w:t>
            </w:r>
          </w:p>
        </w:tc>
        <w:tc>
          <w:tcPr>
            <w:tcW w:w="720" w:type="dxa"/>
          </w:tcPr>
          <w:p w14:paraId="02B6BF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D196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7F66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8886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929F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069E4E" w14:textId="77777777">
        <w:tc>
          <w:tcPr>
            <w:tcW w:w="959" w:type="dxa"/>
          </w:tcPr>
          <w:p w14:paraId="28E0A2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CDA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078912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оборотов 2300-2350 об/м.</w:t>
            </w:r>
          </w:p>
        </w:tc>
        <w:tc>
          <w:tcPr>
            <w:tcW w:w="720" w:type="dxa"/>
          </w:tcPr>
          <w:p w14:paraId="30932B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00FD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1642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F56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6A38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799451" w14:textId="77777777">
        <w:tc>
          <w:tcPr>
            <w:tcW w:w="959" w:type="dxa"/>
          </w:tcPr>
          <w:p w14:paraId="55F3F0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Ам-38ф</w:t>
            </w:r>
          </w:p>
        </w:tc>
        <w:tc>
          <w:tcPr>
            <w:tcW w:w="1677" w:type="dxa"/>
          </w:tcPr>
          <w:p w14:paraId="0A577F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59CD2C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Работа </w:t>
            </w:r>
            <w:proofErr w:type="gramStart"/>
            <w:r w:rsidRPr="008127F8">
              <w:rPr>
                <w:rFonts w:ascii="Times New Roman" w:hAnsi="Times New Roman"/>
                <w:color w:val="000000" w:themeColor="text1"/>
                <w:sz w:val="16"/>
                <w:szCs w:val="16"/>
              </w:rPr>
              <w:t>по этому</w:t>
            </w:r>
            <w:proofErr w:type="gramEnd"/>
          </w:p>
        </w:tc>
        <w:tc>
          <w:tcPr>
            <w:tcW w:w="720" w:type="dxa"/>
          </w:tcPr>
          <w:p w14:paraId="2F43B4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37F2D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0F4E0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w:t>
            </w:r>
          </w:p>
        </w:tc>
        <w:tc>
          <w:tcPr>
            <w:tcW w:w="1870" w:type="dxa"/>
          </w:tcPr>
          <w:p w14:paraId="5D548C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стадии</w:t>
            </w:r>
          </w:p>
        </w:tc>
        <w:tc>
          <w:tcPr>
            <w:tcW w:w="1435" w:type="dxa"/>
          </w:tcPr>
          <w:p w14:paraId="0FB01D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058F6D6E" w14:textId="77777777">
        <w:tc>
          <w:tcPr>
            <w:tcW w:w="959" w:type="dxa"/>
          </w:tcPr>
          <w:p w14:paraId="3D3BEB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CA36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6E923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мотору производится</w:t>
            </w:r>
          </w:p>
        </w:tc>
        <w:tc>
          <w:tcPr>
            <w:tcW w:w="720" w:type="dxa"/>
          </w:tcPr>
          <w:p w14:paraId="79CE2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45AC6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885B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F1988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проектирования.</w:t>
            </w:r>
          </w:p>
        </w:tc>
        <w:tc>
          <w:tcPr>
            <w:tcW w:w="1435" w:type="dxa"/>
          </w:tcPr>
          <w:p w14:paraId="71A943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CBE988" w14:textId="77777777">
        <w:tc>
          <w:tcPr>
            <w:tcW w:w="959" w:type="dxa"/>
          </w:tcPr>
          <w:p w14:paraId="6A65C6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D6B46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777C60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после устранения</w:t>
            </w:r>
          </w:p>
        </w:tc>
        <w:tc>
          <w:tcPr>
            <w:tcW w:w="720" w:type="dxa"/>
          </w:tcPr>
          <w:p w14:paraId="79879F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2F716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2067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3976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74FA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3ACE46" w14:textId="77777777">
        <w:tc>
          <w:tcPr>
            <w:tcW w:w="959" w:type="dxa"/>
          </w:tcPr>
          <w:p w14:paraId="7CCAFB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1FF3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односкоростным</w:t>
            </w:r>
          </w:p>
        </w:tc>
        <w:tc>
          <w:tcPr>
            <w:tcW w:w="1919" w:type="dxa"/>
          </w:tcPr>
          <w:p w14:paraId="6ECF91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дефектов серийного</w:t>
            </w:r>
          </w:p>
        </w:tc>
        <w:tc>
          <w:tcPr>
            <w:tcW w:w="720" w:type="dxa"/>
          </w:tcPr>
          <w:p w14:paraId="2C0D2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FD3AF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07DC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A644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A587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ECF0D7" w14:textId="77777777">
        <w:tc>
          <w:tcPr>
            <w:tcW w:w="959" w:type="dxa"/>
          </w:tcPr>
          <w:p w14:paraId="5C0811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C84B2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нагнетателем,</w:t>
            </w:r>
          </w:p>
        </w:tc>
        <w:tc>
          <w:tcPr>
            <w:tcW w:w="1919" w:type="dxa"/>
          </w:tcPr>
          <w:p w14:paraId="49BB82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АМ-38 и</w:t>
            </w:r>
          </w:p>
        </w:tc>
        <w:tc>
          <w:tcPr>
            <w:tcW w:w="720" w:type="dxa"/>
          </w:tcPr>
          <w:p w14:paraId="397D39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1BB4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E045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C649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0E33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F0314D" w14:textId="77777777">
        <w:tc>
          <w:tcPr>
            <w:tcW w:w="959" w:type="dxa"/>
          </w:tcPr>
          <w:p w14:paraId="10E014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83A0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представляющий собой</w:t>
            </w:r>
          </w:p>
        </w:tc>
        <w:tc>
          <w:tcPr>
            <w:tcW w:w="1919" w:type="dxa"/>
          </w:tcPr>
          <w:p w14:paraId="77BDBE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обеспечения надежной</w:t>
            </w:r>
          </w:p>
        </w:tc>
        <w:tc>
          <w:tcPr>
            <w:tcW w:w="720" w:type="dxa"/>
          </w:tcPr>
          <w:p w14:paraId="45300A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F1589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397B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04465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EFE9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B7C478" w14:textId="77777777">
        <w:tc>
          <w:tcPr>
            <w:tcW w:w="959" w:type="dxa"/>
          </w:tcPr>
          <w:p w14:paraId="49A03F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A274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дальнейшее развитие</w:t>
            </w:r>
          </w:p>
        </w:tc>
        <w:tc>
          <w:tcPr>
            <w:tcW w:w="1919" w:type="dxa"/>
          </w:tcPr>
          <w:p w14:paraId="2A6331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150 часовой</w:t>
            </w:r>
            <w:proofErr w:type="gramEnd"/>
            <w:r w:rsidRPr="008127F8">
              <w:rPr>
                <w:rFonts w:ascii="Times New Roman" w:hAnsi="Times New Roman"/>
                <w:color w:val="000000" w:themeColor="text1"/>
                <w:sz w:val="16"/>
                <w:szCs w:val="16"/>
              </w:rPr>
              <w:t xml:space="preserve"> работы его</w:t>
            </w:r>
          </w:p>
        </w:tc>
        <w:tc>
          <w:tcPr>
            <w:tcW w:w="720" w:type="dxa"/>
          </w:tcPr>
          <w:p w14:paraId="3A5D5A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5928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6F7F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78AF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FFE3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6A1EF0" w14:textId="77777777">
        <w:tc>
          <w:tcPr>
            <w:tcW w:w="959" w:type="dxa"/>
          </w:tcPr>
          <w:p w14:paraId="34F904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33D8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АМ-38 до</w:t>
            </w:r>
          </w:p>
        </w:tc>
        <w:tc>
          <w:tcPr>
            <w:tcW w:w="1919" w:type="dxa"/>
          </w:tcPr>
          <w:p w14:paraId="6FFCE7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летной эксплуатации.</w:t>
            </w:r>
          </w:p>
        </w:tc>
        <w:tc>
          <w:tcPr>
            <w:tcW w:w="720" w:type="dxa"/>
          </w:tcPr>
          <w:p w14:paraId="544312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1F02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9DA0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32C0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0AB9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3089B7" w14:textId="77777777">
        <w:tc>
          <w:tcPr>
            <w:tcW w:w="959" w:type="dxa"/>
          </w:tcPr>
          <w:p w14:paraId="243190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793C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следующих основных</w:t>
            </w:r>
          </w:p>
        </w:tc>
        <w:tc>
          <w:tcPr>
            <w:tcW w:w="1919" w:type="dxa"/>
          </w:tcPr>
          <w:p w14:paraId="720292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Совместные 50-ти</w:t>
            </w:r>
          </w:p>
        </w:tc>
        <w:tc>
          <w:tcPr>
            <w:tcW w:w="720" w:type="dxa"/>
          </w:tcPr>
          <w:p w14:paraId="67CA4D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сент.</w:t>
            </w:r>
          </w:p>
        </w:tc>
        <w:tc>
          <w:tcPr>
            <w:tcW w:w="1088" w:type="dxa"/>
          </w:tcPr>
          <w:p w14:paraId="571B9A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0B4B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64F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A370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35B689" w14:textId="77777777">
        <w:tc>
          <w:tcPr>
            <w:tcW w:w="959" w:type="dxa"/>
          </w:tcPr>
          <w:p w14:paraId="6E202C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4D01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технических данных</w:t>
            </w:r>
          </w:p>
        </w:tc>
        <w:tc>
          <w:tcPr>
            <w:tcW w:w="1919" w:type="dxa"/>
          </w:tcPr>
          <w:p w14:paraId="1C4C50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w:t>
            </w:r>
          </w:p>
        </w:tc>
        <w:tc>
          <w:tcPr>
            <w:tcW w:w="720" w:type="dxa"/>
          </w:tcPr>
          <w:p w14:paraId="36A8C0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1088" w:type="dxa"/>
          </w:tcPr>
          <w:p w14:paraId="02FBE7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FD62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C3A4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80CC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380B67" w14:textId="77777777">
        <w:tc>
          <w:tcPr>
            <w:tcW w:w="959" w:type="dxa"/>
          </w:tcPr>
          <w:p w14:paraId="6EA8A5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DD14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7A5E43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АМ-38ф на станке.</w:t>
            </w:r>
          </w:p>
        </w:tc>
        <w:tc>
          <w:tcPr>
            <w:tcW w:w="720" w:type="dxa"/>
          </w:tcPr>
          <w:p w14:paraId="0D44C9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F6FD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85F48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707A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813DD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DA2DDF" w14:textId="77777777">
        <w:tc>
          <w:tcPr>
            <w:tcW w:w="959" w:type="dxa"/>
          </w:tcPr>
          <w:p w14:paraId="2A1A35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A8CD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 л.с.</w:t>
            </w:r>
          </w:p>
        </w:tc>
        <w:tc>
          <w:tcPr>
            <w:tcW w:w="1919" w:type="dxa"/>
          </w:tcPr>
          <w:p w14:paraId="191DD7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Специальные летные</w:t>
            </w:r>
          </w:p>
        </w:tc>
        <w:tc>
          <w:tcPr>
            <w:tcW w:w="720" w:type="dxa"/>
          </w:tcPr>
          <w:p w14:paraId="28E8D2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сент.</w:t>
            </w:r>
          </w:p>
        </w:tc>
        <w:tc>
          <w:tcPr>
            <w:tcW w:w="1088" w:type="dxa"/>
          </w:tcPr>
          <w:p w14:paraId="06EC0E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6000,0</w:t>
            </w:r>
          </w:p>
        </w:tc>
        <w:tc>
          <w:tcPr>
            <w:tcW w:w="927" w:type="dxa"/>
          </w:tcPr>
          <w:p w14:paraId="28F2C4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45E50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44A0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8A01B0" w14:textId="77777777">
        <w:tc>
          <w:tcPr>
            <w:tcW w:w="959" w:type="dxa"/>
          </w:tcPr>
          <w:p w14:paraId="3D1E83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A6B3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43CD5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мотора на</w:t>
            </w:r>
          </w:p>
        </w:tc>
        <w:tc>
          <w:tcPr>
            <w:tcW w:w="720" w:type="dxa"/>
          </w:tcPr>
          <w:p w14:paraId="3CD859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2EDC1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3030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1CB5C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9BA1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17338B7" w14:textId="77777777">
        <w:tc>
          <w:tcPr>
            <w:tcW w:w="959" w:type="dxa"/>
          </w:tcPr>
          <w:p w14:paraId="1B6FC7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500D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м - 1650 л.с.</w:t>
            </w:r>
          </w:p>
        </w:tc>
        <w:tc>
          <w:tcPr>
            <w:tcW w:w="1919" w:type="dxa"/>
          </w:tcPr>
          <w:p w14:paraId="5C213E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самолете.</w:t>
            </w:r>
          </w:p>
        </w:tc>
        <w:tc>
          <w:tcPr>
            <w:tcW w:w="720" w:type="dxa"/>
          </w:tcPr>
          <w:p w14:paraId="0266F3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AAFB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48673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06B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B1F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E11FBC" w14:textId="77777777">
        <w:tc>
          <w:tcPr>
            <w:tcW w:w="959" w:type="dxa"/>
          </w:tcPr>
          <w:p w14:paraId="5C538E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9A7C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 на режиме</w:t>
            </w:r>
          </w:p>
        </w:tc>
        <w:tc>
          <w:tcPr>
            <w:tcW w:w="1919" w:type="dxa"/>
          </w:tcPr>
          <w:p w14:paraId="1D9CC5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Гос. 100 часовые</w:t>
            </w:r>
          </w:p>
        </w:tc>
        <w:tc>
          <w:tcPr>
            <w:tcW w:w="720" w:type="dxa"/>
          </w:tcPr>
          <w:p w14:paraId="22608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w:t>
            </w:r>
          </w:p>
        </w:tc>
        <w:tc>
          <w:tcPr>
            <w:tcW w:w="1088" w:type="dxa"/>
          </w:tcPr>
          <w:p w14:paraId="6C7D68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15A5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372BE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FD84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D8B057" w14:textId="77777777">
        <w:tc>
          <w:tcPr>
            <w:tcW w:w="959" w:type="dxa"/>
          </w:tcPr>
          <w:p w14:paraId="3A8B4C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02EF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от земного номинала</w:t>
            </w:r>
          </w:p>
        </w:tc>
        <w:tc>
          <w:tcPr>
            <w:tcW w:w="1919" w:type="dxa"/>
          </w:tcPr>
          <w:p w14:paraId="44AD6D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4C4C1A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E9DF4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C821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AE63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305F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E74FD1" w14:textId="77777777">
        <w:tc>
          <w:tcPr>
            <w:tcW w:w="959" w:type="dxa"/>
          </w:tcPr>
          <w:p w14:paraId="0EF1C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BFF33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 гр/лсч</w:t>
            </w:r>
          </w:p>
        </w:tc>
        <w:tc>
          <w:tcPr>
            <w:tcW w:w="1919" w:type="dxa"/>
          </w:tcPr>
          <w:p w14:paraId="387825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52CC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8ADC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30A8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A8B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7BE4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3789808" w14:textId="77777777">
        <w:tc>
          <w:tcPr>
            <w:tcW w:w="959" w:type="dxa"/>
          </w:tcPr>
          <w:p w14:paraId="1CEDD8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B9661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033069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5D64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E43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1BAD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D3A4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656F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CB8FA9" w14:textId="77777777">
        <w:tc>
          <w:tcPr>
            <w:tcW w:w="959" w:type="dxa"/>
          </w:tcPr>
          <w:p w14:paraId="046D40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E46AC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920 кг</w:t>
            </w:r>
          </w:p>
        </w:tc>
        <w:tc>
          <w:tcPr>
            <w:tcW w:w="1919" w:type="dxa"/>
          </w:tcPr>
          <w:p w14:paraId="2860B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8EFF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E2AD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219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0435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9212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AAFE74" w14:textId="77777777">
        <w:tc>
          <w:tcPr>
            <w:tcW w:w="959" w:type="dxa"/>
          </w:tcPr>
          <w:p w14:paraId="565301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АМ-39</w:t>
            </w:r>
          </w:p>
        </w:tc>
        <w:tc>
          <w:tcPr>
            <w:tcW w:w="1677" w:type="dxa"/>
          </w:tcPr>
          <w:p w14:paraId="496B04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299D3D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Совместные 50-ти</w:t>
            </w:r>
          </w:p>
        </w:tc>
        <w:tc>
          <w:tcPr>
            <w:tcW w:w="720" w:type="dxa"/>
          </w:tcPr>
          <w:p w14:paraId="105D71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1088" w:type="dxa"/>
          </w:tcPr>
          <w:p w14:paraId="6BE0FB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1BA0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w:t>
            </w:r>
          </w:p>
        </w:tc>
        <w:tc>
          <w:tcPr>
            <w:tcW w:w="1870" w:type="dxa"/>
          </w:tcPr>
          <w:p w14:paraId="0BDFB5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 скоростн. нагнетат.</w:t>
            </w:r>
          </w:p>
        </w:tc>
        <w:tc>
          <w:tcPr>
            <w:tcW w:w="1435" w:type="dxa"/>
          </w:tcPr>
          <w:p w14:paraId="2031B2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 переходит</w:t>
            </w:r>
          </w:p>
        </w:tc>
      </w:tr>
      <w:tr w:rsidR="006F4095" w:rsidRPr="008127F8" w14:paraId="00F248B6" w14:textId="77777777">
        <w:tc>
          <w:tcPr>
            <w:tcW w:w="959" w:type="dxa"/>
          </w:tcPr>
          <w:p w14:paraId="13F06A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2DD4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3E419E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720" w:type="dxa"/>
          </w:tcPr>
          <w:p w14:paraId="76662D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8F168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3E4A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w:t>
            </w:r>
          </w:p>
        </w:tc>
        <w:tc>
          <w:tcPr>
            <w:tcW w:w="1870" w:type="dxa"/>
          </w:tcPr>
          <w:p w14:paraId="20CA39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стадии</w:t>
            </w:r>
          </w:p>
        </w:tc>
        <w:tc>
          <w:tcPr>
            <w:tcW w:w="1435" w:type="dxa"/>
          </w:tcPr>
          <w:p w14:paraId="08FD85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1941 г.</w:t>
            </w:r>
          </w:p>
        </w:tc>
      </w:tr>
      <w:tr w:rsidR="006F4095" w:rsidRPr="008127F8" w14:paraId="557364CF" w14:textId="77777777">
        <w:tc>
          <w:tcPr>
            <w:tcW w:w="959" w:type="dxa"/>
          </w:tcPr>
          <w:p w14:paraId="69DC0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1BF7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 с</w:t>
            </w:r>
          </w:p>
        </w:tc>
        <w:tc>
          <w:tcPr>
            <w:tcW w:w="1919" w:type="dxa"/>
          </w:tcPr>
          <w:p w14:paraId="5DE978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60CF9B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8C1F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5AF2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Микояна</w:t>
            </w:r>
          </w:p>
        </w:tc>
        <w:tc>
          <w:tcPr>
            <w:tcW w:w="1870" w:type="dxa"/>
          </w:tcPr>
          <w:p w14:paraId="5CCCD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доводки.</w:t>
            </w:r>
          </w:p>
        </w:tc>
        <w:tc>
          <w:tcPr>
            <w:tcW w:w="1435" w:type="dxa"/>
          </w:tcPr>
          <w:p w14:paraId="3AAE8D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C53837" w14:textId="77777777">
        <w:tc>
          <w:tcPr>
            <w:tcW w:w="959" w:type="dxa"/>
          </w:tcPr>
          <w:p w14:paraId="46EF42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D5FD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 скорост. нагнетат.</w:t>
            </w:r>
          </w:p>
        </w:tc>
        <w:tc>
          <w:tcPr>
            <w:tcW w:w="1919" w:type="dxa"/>
          </w:tcPr>
          <w:p w14:paraId="237137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Специальные летные</w:t>
            </w:r>
          </w:p>
        </w:tc>
        <w:tc>
          <w:tcPr>
            <w:tcW w:w="720" w:type="dxa"/>
          </w:tcPr>
          <w:p w14:paraId="495F94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w:t>
            </w:r>
          </w:p>
        </w:tc>
        <w:tc>
          <w:tcPr>
            <w:tcW w:w="1088" w:type="dxa"/>
          </w:tcPr>
          <w:p w14:paraId="72D34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4000,0</w:t>
            </w:r>
          </w:p>
        </w:tc>
        <w:tc>
          <w:tcPr>
            <w:tcW w:w="927" w:type="dxa"/>
          </w:tcPr>
          <w:p w14:paraId="2F5F63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w:t>
            </w:r>
          </w:p>
        </w:tc>
        <w:tc>
          <w:tcPr>
            <w:tcW w:w="1870" w:type="dxa"/>
          </w:tcPr>
          <w:p w14:paraId="798BC4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EC99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4222402" w14:textId="77777777">
        <w:tc>
          <w:tcPr>
            <w:tcW w:w="959" w:type="dxa"/>
          </w:tcPr>
          <w:p w14:paraId="650A7A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E0042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4AF339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мотора на</w:t>
            </w:r>
          </w:p>
        </w:tc>
        <w:tc>
          <w:tcPr>
            <w:tcW w:w="720" w:type="dxa"/>
          </w:tcPr>
          <w:p w14:paraId="6FFA6D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753C8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E924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Гуревича</w:t>
            </w:r>
          </w:p>
        </w:tc>
        <w:tc>
          <w:tcPr>
            <w:tcW w:w="1870" w:type="dxa"/>
          </w:tcPr>
          <w:p w14:paraId="641F28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56EF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4ECE5E" w14:textId="77777777">
        <w:tc>
          <w:tcPr>
            <w:tcW w:w="959" w:type="dxa"/>
          </w:tcPr>
          <w:p w14:paraId="7CCC1C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8031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 л.с.</w:t>
            </w:r>
          </w:p>
        </w:tc>
        <w:tc>
          <w:tcPr>
            <w:tcW w:w="1919" w:type="dxa"/>
          </w:tcPr>
          <w:p w14:paraId="79F532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самолете.</w:t>
            </w:r>
          </w:p>
        </w:tc>
        <w:tc>
          <w:tcPr>
            <w:tcW w:w="720" w:type="dxa"/>
          </w:tcPr>
          <w:p w14:paraId="4EB1C8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55A91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877D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ED8BE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12CC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FCBF6E" w14:textId="77777777">
        <w:tc>
          <w:tcPr>
            <w:tcW w:w="959" w:type="dxa"/>
          </w:tcPr>
          <w:p w14:paraId="224FB8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76303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C9CEB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Гос. 100 часовые</w:t>
            </w:r>
          </w:p>
        </w:tc>
        <w:tc>
          <w:tcPr>
            <w:tcW w:w="720" w:type="dxa"/>
          </w:tcPr>
          <w:p w14:paraId="0AFC0C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w:t>
            </w:r>
          </w:p>
        </w:tc>
        <w:tc>
          <w:tcPr>
            <w:tcW w:w="1088" w:type="dxa"/>
          </w:tcPr>
          <w:p w14:paraId="028577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44BE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94011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FF5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46EC91" w14:textId="77777777">
        <w:tc>
          <w:tcPr>
            <w:tcW w:w="959" w:type="dxa"/>
          </w:tcPr>
          <w:p w14:paraId="0548A3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B8E6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м - 1500 л.с.</w:t>
            </w:r>
          </w:p>
        </w:tc>
        <w:tc>
          <w:tcPr>
            <w:tcW w:w="1919" w:type="dxa"/>
          </w:tcPr>
          <w:p w14:paraId="2678EF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089356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75F93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AFA0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A43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1A6F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09EDE0" w14:textId="77777777">
        <w:tc>
          <w:tcPr>
            <w:tcW w:w="959" w:type="dxa"/>
          </w:tcPr>
          <w:p w14:paraId="7BEE3E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D649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20C24B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D13C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E0B94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3CB4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DEFE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D4F0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EC87E2" w14:textId="77777777">
        <w:tc>
          <w:tcPr>
            <w:tcW w:w="959" w:type="dxa"/>
          </w:tcPr>
          <w:p w14:paraId="54F78B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A92E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 - 1400 л.с.</w:t>
            </w:r>
          </w:p>
        </w:tc>
        <w:tc>
          <w:tcPr>
            <w:tcW w:w="1919" w:type="dxa"/>
          </w:tcPr>
          <w:p w14:paraId="7064BA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6588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92D7B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D69A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E100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9D73A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161E06" w14:textId="77777777">
        <w:tc>
          <w:tcPr>
            <w:tcW w:w="959" w:type="dxa"/>
          </w:tcPr>
          <w:p w14:paraId="3D25D0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EB132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w:t>
            </w:r>
          </w:p>
        </w:tc>
        <w:tc>
          <w:tcPr>
            <w:tcW w:w="1919" w:type="dxa"/>
          </w:tcPr>
          <w:p w14:paraId="1EE4BF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9CC6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17214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08980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0D5D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C9C8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DEF3AB" w14:textId="77777777">
        <w:tc>
          <w:tcPr>
            <w:tcW w:w="959" w:type="dxa"/>
          </w:tcPr>
          <w:p w14:paraId="748A7C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E2E6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режиме 0,9 от земного</w:t>
            </w:r>
          </w:p>
        </w:tc>
        <w:tc>
          <w:tcPr>
            <w:tcW w:w="1919" w:type="dxa"/>
          </w:tcPr>
          <w:p w14:paraId="3EB617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C112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E606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29BFE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91C9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FEAA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E6C32E" w14:textId="77777777">
        <w:tc>
          <w:tcPr>
            <w:tcW w:w="959" w:type="dxa"/>
          </w:tcPr>
          <w:p w14:paraId="1C36CF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CE95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номинала 280 гр/лсч</w:t>
            </w:r>
          </w:p>
        </w:tc>
        <w:tc>
          <w:tcPr>
            <w:tcW w:w="1919" w:type="dxa"/>
          </w:tcPr>
          <w:p w14:paraId="794A72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0DA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E1DB4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B0B7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7B0B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807A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FDAFB9" w14:textId="77777777">
        <w:tc>
          <w:tcPr>
            <w:tcW w:w="959" w:type="dxa"/>
          </w:tcPr>
          <w:p w14:paraId="63DA8C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23DE4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2B67F3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EFD5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4EA21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0D0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B89F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8CDD8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7C4CE7" w14:textId="77777777">
        <w:tc>
          <w:tcPr>
            <w:tcW w:w="959" w:type="dxa"/>
          </w:tcPr>
          <w:p w14:paraId="0E4B2E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3E7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796832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5920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3A94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60E0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953A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F04B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82B8B4" w14:textId="77777777">
        <w:tc>
          <w:tcPr>
            <w:tcW w:w="959" w:type="dxa"/>
          </w:tcPr>
          <w:p w14:paraId="739EF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40BA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880 кг</w:t>
            </w:r>
          </w:p>
        </w:tc>
        <w:tc>
          <w:tcPr>
            <w:tcW w:w="1919" w:type="dxa"/>
          </w:tcPr>
          <w:p w14:paraId="3D4326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2128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2AB9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D200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B46C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B48C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B18151" w14:textId="77777777">
        <w:tc>
          <w:tcPr>
            <w:tcW w:w="959" w:type="dxa"/>
          </w:tcPr>
          <w:p w14:paraId="45F49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ТР-1</w:t>
            </w:r>
          </w:p>
        </w:tc>
        <w:tc>
          <w:tcPr>
            <w:tcW w:w="1677" w:type="dxa"/>
          </w:tcPr>
          <w:p w14:paraId="52BF11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Турбореактор к моторам</w:t>
            </w:r>
          </w:p>
        </w:tc>
        <w:tc>
          <w:tcPr>
            <w:tcW w:w="1919" w:type="dxa"/>
          </w:tcPr>
          <w:p w14:paraId="0713C6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Отработка процесса</w:t>
            </w:r>
          </w:p>
        </w:tc>
        <w:tc>
          <w:tcPr>
            <w:tcW w:w="720" w:type="dxa"/>
          </w:tcPr>
          <w:p w14:paraId="1CAB1A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1088" w:type="dxa"/>
          </w:tcPr>
          <w:p w14:paraId="6B2AC9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7DE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w:t>
            </w:r>
          </w:p>
        </w:tc>
        <w:tc>
          <w:tcPr>
            <w:tcW w:w="1870" w:type="dxa"/>
          </w:tcPr>
          <w:p w14:paraId="7079BF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Производится снятие</w:t>
            </w:r>
          </w:p>
        </w:tc>
        <w:tc>
          <w:tcPr>
            <w:tcW w:w="1435" w:type="dxa"/>
          </w:tcPr>
          <w:p w14:paraId="09B479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2A045A8E" w14:textId="77777777">
        <w:tc>
          <w:tcPr>
            <w:tcW w:w="959" w:type="dxa"/>
          </w:tcPr>
          <w:p w14:paraId="13BAE4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CCC3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АМ-37 и АМ-38 для</w:t>
            </w:r>
          </w:p>
        </w:tc>
        <w:tc>
          <w:tcPr>
            <w:tcW w:w="1919" w:type="dxa"/>
          </w:tcPr>
          <w:p w14:paraId="61780F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горения в ТР-1 </w:t>
            </w:r>
          </w:p>
        </w:tc>
        <w:tc>
          <w:tcPr>
            <w:tcW w:w="720" w:type="dxa"/>
          </w:tcPr>
          <w:p w14:paraId="55FE7D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F18B1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6FE1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w:t>
            </w:r>
          </w:p>
        </w:tc>
        <w:tc>
          <w:tcPr>
            <w:tcW w:w="1870" w:type="dxa"/>
          </w:tcPr>
          <w:p w14:paraId="0C2872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 мотора</w:t>
            </w:r>
          </w:p>
        </w:tc>
        <w:tc>
          <w:tcPr>
            <w:tcW w:w="1435" w:type="dxa"/>
          </w:tcPr>
          <w:p w14:paraId="06CE0E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773C08" w14:textId="77777777">
        <w:tc>
          <w:tcPr>
            <w:tcW w:w="959" w:type="dxa"/>
          </w:tcPr>
          <w:p w14:paraId="0412B5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D381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сообщения самолету</w:t>
            </w:r>
          </w:p>
        </w:tc>
        <w:tc>
          <w:tcPr>
            <w:tcW w:w="1919" w:type="dxa"/>
          </w:tcPr>
          <w:p w14:paraId="391B39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совместно с мотором.</w:t>
            </w:r>
          </w:p>
        </w:tc>
        <w:tc>
          <w:tcPr>
            <w:tcW w:w="720" w:type="dxa"/>
          </w:tcPr>
          <w:p w14:paraId="648374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169F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F43D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Микояна</w:t>
            </w:r>
          </w:p>
        </w:tc>
        <w:tc>
          <w:tcPr>
            <w:tcW w:w="1870" w:type="dxa"/>
          </w:tcPr>
          <w:p w14:paraId="2CFA00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ТР-1 на станке.</w:t>
            </w:r>
          </w:p>
        </w:tc>
        <w:tc>
          <w:tcPr>
            <w:tcW w:w="1435" w:type="dxa"/>
          </w:tcPr>
          <w:p w14:paraId="0DFAAA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924000" w14:textId="77777777">
        <w:tc>
          <w:tcPr>
            <w:tcW w:w="959" w:type="dxa"/>
          </w:tcPr>
          <w:p w14:paraId="4D46FC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56CB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добавочной тяги.</w:t>
            </w:r>
          </w:p>
        </w:tc>
        <w:tc>
          <w:tcPr>
            <w:tcW w:w="1919" w:type="dxa"/>
          </w:tcPr>
          <w:p w14:paraId="17BADF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Изготовление</w:t>
            </w:r>
          </w:p>
        </w:tc>
        <w:tc>
          <w:tcPr>
            <w:tcW w:w="720" w:type="dxa"/>
          </w:tcPr>
          <w:p w14:paraId="771BC0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7EB315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2000,0</w:t>
            </w:r>
          </w:p>
        </w:tc>
        <w:tc>
          <w:tcPr>
            <w:tcW w:w="927" w:type="dxa"/>
          </w:tcPr>
          <w:p w14:paraId="374812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w:t>
            </w:r>
          </w:p>
        </w:tc>
        <w:tc>
          <w:tcPr>
            <w:tcW w:w="1870" w:type="dxa"/>
          </w:tcPr>
          <w:p w14:paraId="62EDAC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0727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3DD2EC" w14:textId="77777777">
        <w:tc>
          <w:tcPr>
            <w:tcW w:w="959" w:type="dxa"/>
          </w:tcPr>
          <w:p w14:paraId="09AE28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5865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Добавочная тяга от</w:t>
            </w:r>
          </w:p>
        </w:tc>
        <w:tc>
          <w:tcPr>
            <w:tcW w:w="1919" w:type="dxa"/>
          </w:tcPr>
          <w:p w14:paraId="4F330E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опытных образцов и</w:t>
            </w:r>
          </w:p>
        </w:tc>
        <w:tc>
          <w:tcPr>
            <w:tcW w:w="720" w:type="dxa"/>
          </w:tcPr>
          <w:p w14:paraId="74B26C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7C086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E415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Гуревича</w:t>
            </w:r>
          </w:p>
        </w:tc>
        <w:tc>
          <w:tcPr>
            <w:tcW w:w="1870" w:type="dxa"/>
          </w:tcPr>
          <w:p w14:paraId="111B7C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69319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D0AACE" w14:textId="77777777">
        <w:tc>
          <w:tcPr>
            <w:tcW w:w="959" w:type="dxa"/>
          </w:tcPr>
          <w:p w14:paraId="42D173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84B2E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реакции выхлопных газов</w:t>
            </w:r>
          </w:p>
        </w:tc>
        <w:tc>
          <w:tcPr>
            <w:tcW w:w="1919" w:type="dxa"/>
          </w:tcPr>
          <w:p w14:paraId="773A76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проведение летных</w:t>
            </w:r>
          </w:p>
        </w:tc>
        <w:tc>
          <w:tcPr>
            <w:tcW w:w="720" w:type="dxa"/>
          </w:tcPr>
          <w:p w14:paraId="18EA05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E9AA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33FB2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A5CD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B6D9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A282EF" w14:textId="77777777">
        <w:tc>
          <w:tcPr>
            <w:tcW w:w="959" w:type="dxa"/>
          </w:tcPr>
          <w:p w14:paraId="293591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71CC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земле - 50 кг</w:t>
            </w:r>
          </w:p>
        </w:tc>
        <w:tc>
          <w:tcPr>
            <w:tcW w:w="1919" w:type="dxa"/>
          </w:tcPr>
          <w:p w14:paraId="765AC0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w:t>
            </w:r>
          </w:p>
        </w:tc>
        <w:tc>
          <w:tcPr>
            <w:tcW w:w="720" w:type="dxa"/>
          </w:tcPr>
          <w:p w14:paraId="12925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19A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6429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98EC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A7F6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487ABE" w14:textId="77777777">
        <w:tc>
          <w:tcPr>
            <w:tcW w:w="959" w:type="dxa"/>
          </w:tcPr>
          <w:p w14:paraId="5B85D3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FE9D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Добавочная тяга на высоте</w:t>
            </w:r>
          </w:p>
        </w:tc>
        <w:tc>
          <w:tcPr>
            <w:tcW w:w="1919" w:type="dxa"/>
          </w:tcPr>
          <w:p w14:paraId="3DF96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37FE3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C3EAF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EA13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DF618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1B88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9F35DA" w14:textId="77777777">
        <w:tc>
          <w:tcPr>
            <w:tcW w:w="959" w:type="dxa"/>
          </w:tcPr>
          <w:p w14:paraId="239988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40995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 м - 100 кг</w:t>
            </w:r>
          </w:p>
        </w:tc>
        <w:tc>
          <w:tcPr>
            <w:tcW w:w="1919" w:type="dxa"/>
          </w:tcPr>
          <w:p w14:paraId="0EB8BB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F51E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9969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E3C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8D36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7730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DEF6BC" w14:textId="77777777">
        <w:tc>
          <w:tcPr>
            <w:tcW w:w="959" w:type="dxa"/>
          </w:tcPr>
          <w:p w14:paraId="17E19A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FC83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65004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B75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236F2F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13000,0</w:t>
            </w:r>
          </w:p>
        </w:tc>
        <w:tc>
          <w:tcPr>
            <w:tcW w:w="927" w:type="dxa"/>
          </w:tcPr>
          <w:p w14:paraId="7B701A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AE96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BD72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CCDA22" w14:textId="77777777">
        <w:tc>
          <w:tcPr>
            <w:tcW w:w="959" w:type="dxa"/>
          </w:tcPr>
          <w:p w14:paraId="1CAC80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26</w:t>
            </w:r>
          </w:p>
        </w:tc>
        <w:tc>
          <w:tcPr>
            <w:tcW w:w="1677" w:type="dxa"/>
          </w:tcPr>
          <w:p w14:paraId="20D473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14EE5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AC59F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89D3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4810B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913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FF3FA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7F3DE1" w14:textId="77777777">
        <w:tc>
          <w:tcPr>
            <w:tcW w:w="959" w:type="dxa"/>
          </w:tcPr>
          <w:p w14:paraId="56D905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w:t>
            </w:r>
          </w:p>
        </w:tc>
        <w:tc>
          <w:tcPr>
            <w:tcW w:w="1677" w:type="dxa"/>
          </w:tcPr>
          <w:p w14:paraId="5EA833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75B9E5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Устранение дефектов</w:t>
            </w:r>
          </w:p>
        </w:tc>
        <w:tc>
          <w:tcPr>
            <w:tcW w:w="720" w:type="dxa"/>
          </w:tcPr>
          <w:p w14:paraId="77AA84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w:t>
            </w:r>
          </w:p>
        </w:tc>
        <w:tc>
          <w:tcPr>
            <w:tcW w:w="1088" w:type="dxa"/>
          </w:tcPr>
          <w:p w14:paraId="63AE47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Финанс.</w:t>
            </w:r>
          </w:p>
        </w:tc>
        <w:tc>
          <w:tcPr>
            <w:tcW w:w="927" w:type="dxa"/>
          </w:tcPr>
          <w:p w14:paraId="2FE9FE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870" w:type="dxa"/>
          </w:tcPr>
          <w:p w14:paraId="3EE554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М-105П и М-105Р</w:t>
            </w:r>
          </w:p>
        </w:tc>
        <w:tc>
          <w:tcPr>
            <w:tcW w:w="1435" w:type="dxa"/>
          </w:tcPr>
          <w:p w14:paraId="7EF0A8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 моторы.</w:t>
            </w:r>
          </w:p>
        </w:tc>
      </w:tr>
      <w:tr w:rsidR="006F4095" w:rsidRPr="008127F8" w14:paraId="517E877F" w14:textId="77777777">
        <w:tc>
          <w:tcPr>
            <w:tcW w:w="959" w:type="dxa"/>
          </w:tcPr>
          <w:p w14:paraId="3975C8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w:t>
            </w:r>
          </w:p>
        </w:tc>
        <w:tc>
          <w:tcPr>
            <w:tcW w:w="1677" w:type="dxa"/>
          </w:tcPr>
          <w:p w14:paraId="76AB78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2B419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выявившихся</w:t>
            </w:r>
          </w:p>
        </w:tc>
        <w:tc>
          <w:tcPr>
            <w:tcW w:w="720" w:type="dxa"/>
          </w:tcPr>
          <w:p w14:paraId="0EBC11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FF6C4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w:t>
            </w:r>
          </w:p>
        </w:tc>
        <w:tc>
          <w:tcPr>
            <w:tcW w:w="927" w:type="dxa"/>
          </w:tcPr>
          <w:p w14:paraId="18D639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870" w:type="dxa"/>
          </w:tcPr>
          <w:p w14:paraId="6D5D81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находятся в серийном</w:t>
            </w:r>
          </w:p>
        </w:tc>
        <w:tc>
          <w:tcPr>
            <w:tcW w:w="1435" w:type="dxa"/>
          </w:tcPr>
          <w:p w14:paraId="374447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D8EAE5" w14:textId="77777777">
        <w:tc>
          <w:tcPr>
            <w:tcW w:w="959" w:type="dxa"/>
          </w:tcPr>
          <w:p w14:paraId="7E20F0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AB9E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w:t>
            </w:r>
          </w:p>
        </w:tc>
        <w:tc>
          <w:tcPr>
            <w:tcW w:w="1919" w:type="dxa"/>
          </w:tcPr>
          <w:p w14:paraId="62FCF8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летной эксплуатации</w:t>
            </w:r>
          </w:p>
        </w:tc>
        <w:tc>
          <w:tcPr>
            <w:tcW w:w="720" w:type="dxa"/>
          </w:tcPr>
          <w:p w14:paraId="1DD785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018F3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счет</w:t>
            </w:r>
          </w:p>
        </w:tc>
        <w:tc>
          <w:tcPr>
            <w:tcW w:w="927" w:type="dxa"/>
          </w:tcPr>
          <w:p w14:paraId="08447D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870" w:type="dxa"/>
          </w:tcPr>
          <w:p w14:paraId="46946A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w:t>
            </w:r>
          </w:p>
        </w:tc>
        <w:tc>
          <w:tcPr>
            <w:tcW w:w="1435" w:type="dxa"/>
          </w:tcPr>
          <w:p w14:paraId="46D2D2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FD87408" w14:textId="77777777">
        <w:tc>
          <w:tcPr>
            <w:tcW w:w="959" w:type="dxa"/>
          </w:tcPr>
          <w:p w14:paraId="3CB820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C453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4CB7BC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увеличение срока</w:t>
            </w:r>
          </w:p>
        </w:tc>
        <w:tc>
          <w:tcPr>
            <w:tcW w:w="720" w:type="dxa"/>
          </w:tcPr>
          <w:p w14:paraId="3FC40B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EE88B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w:t>
            </w:r>
          </w:p>
        </w:tc>
        <w:tc>
          <w:tcPr>
            <w:tcW w:w="927" w:type="dxa"/>
          </w:tcPr>
          <w:p w14:paraId="1A36B3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870" w:type="dxa"/>
          </w:tcPr>
          <w:p w14:paraId="3F9D3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F937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EB6A6C2" w14:textId="77777777">
        <w:tc>
          <w:tcPr>
            <w:tcW w:w="959" w:type="dxa"/>
          </w:tcPr>
          <w:p w14:paraId="3DE82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4CA4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0A606D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службы моторов М-105П</w:t>
            </w:r>
          </w:p>
        </w:tc>
        <w:tc>
          <w:tcPr>
            <w:tcW w:w="720" w:type="dxa"/>
          </w:tcPr>
          <w:p w14:paraId="304701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07B6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пр-ва</w:t>
            </w:r>
          </w:p>
        </w:tc>
        <w:tc>
          <w:tcPr>
            <w:tcW w:w="927" w:type="dxa"/>
          </w:tcPr>
          <w:p w14:paraId="55F382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E776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FB0DA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AB4360" w14:textId="77777777">
        <w:tc>
          <w:tcPr>
            <w:tcW w:w="959" w:type="dxa"/>
          </w:tcPr>
          <w:p w14:paraId="402853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14FB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 л.с.</w:t>
            </w:r>
          </w:p>
        </w:tc>
        <w:tc>
          <w:tcPr>
            <w:tcW w:w="1919" w:type="dxa"/>
          </w:tcPr>
          <w:p w14:paraId="4E1174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М-105Р до 200 часовой</w:t>
            </w:r>
          </w:p>
        </w:tc>
        <w:tc>
          <w:tcPr>
            <w:tcW w:w="720" w:type="dxa"/>
          </w:tcPr>
          <w:p w14:paraId="0EB26E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E54F6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8EAA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2B83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6B9E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1AE03E" w14:textId="77777777">
        <w:tc>
          <w:tcPr>
            <w:tcW w:w="959" w:type="dxa"/>
          </w:tcPr>
          <w:p w14:paraId="4C4495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2002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2D0A52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надежной работы в</w:t>
            </w:r>
          </w:p>
        </w:tc>
        <w:tc>
          <w:tcPr>
            <w:tcW w:w="720" w:type="dxa"/>
          </w:tcPr>
          <w:p w14:paraId="0002AA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156F2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A56A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E996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4362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48AA5E" w14:textId="77777777">
        <w:tc>
          <w:tcPr>
            <w:tcW w:w="959" w:type="dxa"/>
          </w:tcPr>
          <w:p w14:paraId="2519A0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3644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м - 1100 л.с.</w:t>
            </w:r>
          </w:p>
        </w:tc>
        <w:tc>
          <w:tcPr>
            <w:tcW w:w="1919" w:type="dxa"/>
          </w:tcPr>
          <w:p w14:paraId="33F17D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летной эксплуатации.</w:t>
            </w:r>
          </w:p>
        </w:tc>
        <w:tc>
          <w:tcPr>
            <w:tcW w:w="720" w:type="dxa"/>
          </w:tcPr>
          <w:p w14:paraId="526AE6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A08CB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E6495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D13F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8611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966D7A" w14:textId="77777777">
        <w:tc>
          <w:tcPr>
            <w:tcW w:w="959" w:type="dxa"/>
          </w:tcPr>
          <w:p w14:paraId="7DBC83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1498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652B75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F37C0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8D67F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DB0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371A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0067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7900CE" w14:textId="77777777">
        <w:tc>
          <w:tcPr>
            <w:tcW w:w="959" w:type="dxa"/>
          </w:tcPr>
          <w:p w14:paraId="04F2D7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3E94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м - 1050 л.с.</w:t>
            </w:r>
          </w:p>
        </w:tc>
        <w:tc>
          <w:tcPr>
            <w:tcW w:w="1919" w:type="dxa"/>
          </w:tcPr>
          <w:p w14:paraId="42DFB5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5007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4F8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88B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00D39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67285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AB4938" w14:textId="77777777">
        <w:tc>
          <w:tcPr>
            <w:tcW w:w="959" w:type="dxa"/>
          </w:tcPr>
          <w:p w14:paraId="0720AF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EF66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w:t>
            </w:r>
          </w:p>
        </w:tc>
        <w:tc>
          <w:tcPr>
            <w:tcW w:w="1919" w:type="dxa"/>
          </w:tcPr>
          <w:p w14:paraId="7A482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1F85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4EAE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8CCA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48E1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03F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1E477F7" w14:textId="77777777">
        <w:tc>
          <w:tcPr>
            <w:tcW w:w="959" w:type="dxa"/>
          </w:tcPr>
          <w:p w14:paraId="7E24BB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238A1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режиме 0,9 от земного</w:t>
            </w:r>
          </w:p>
        </w:tc>
        <w:tc>
          <w:tcPr>
            <w:tcW w:w="1919" w:type="dxa"/>
          </w:tcPr>
          <w:p w14:paraId="3187E5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6D5E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FCF53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D490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B2CF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EC761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39BC2B" w14:textId="77777777">
        <w:tc>
          <w:tcPr>
            <w:tcW w:w="959" w:type="dxa"/>
          </w:tcPr>
          <w:p w14:paraId="34DAF2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990C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номинала 260 гр/лсч</w:t>
            </w:r>
          </w:p>
        </w:tc>
        <w:tc>
          <w:tcPr>
            <w:tcW w:w="1919" w:type="dxa"/>
          </w:tcPr>
          <w:p w14:paraId="607901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D4C6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3C90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7698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D2C6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1503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76C6A1" w14:textId="77777777">
        <w:tc>
          <w:tcPr>
            <w:tcW w:w="959" w:type="dxa"/>
          </w:tcPr>
          <w:p w14:paraId="10F46E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394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0BBA80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CE261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C692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3ED5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939D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1202D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2BA788" w14:textId="77777777">
        <w:tc>
          <w:tcPr>
            <w:tcW w:w="959" w:type="dxa"/>
          </w:tcPr>
          <w:p w14:paraId="29AED8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3AC8B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3,5Б-78</w:t>
            </w:r>
          </w:p>
        </w:tc>
        <w:tc>
          <w:tcPr>
            <w:tcW w:w="1919" w:type="dxa"/>
          </w:tcPr>
          <w:p w14:paraId="7D7E76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78A59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A5BE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E888C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870B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2BFA5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DF505F" w14:textId="77777777">
        <w:tc>
          <w:tcPr>
            <w:tcW w:w="959" w:type="dxa"/>
          </w:tcPr>
          <w:p w14:paraId="6EC6F5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1B217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600 кг</w:t>
            </w:r>
          </w:p>
        </w:tc>
        <w:tc>
          <w:tcPr>
            <w:tcW w:w="1919" w:type="dxa"/>
          </w:tcPr>
          <w:p w14:paraId="082C53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9A8A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EC5C6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4652E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8A66A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44D6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DCE8B5" w14:textId="77777777">
        <w:tc>
          <w:tcPr>
            <w:tcW w:w="959" w:type="dxa"/>
          </w:tcPr>
          <w:p w14:paraId="5C1B30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М-105ПФ</w:t>
            </w:r>
          </w:p>
        </w:tc>
        <w:tc>
          <w:tcPr>
            <w:tcW w:w="1677" w:type="dxa"/>
          </w:tcPr>
          <w:p w14:paraId="1A0DEB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231777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Проведение летных</w:t>
            </w:r>
          </w:p>
        </w:tc>
        <w:tc>
          <w:tcPr>
            <w:tcW w:w="720" w:type="dxa"/>
          </w:tcPr>
          <w:p w14:paraId="564DB5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w:t>
            </w:r>
          </w:p>
        </w:tc>
        <w:tc>
          <w:tcPr>
            <w:tcW w:w="1088" w:type="dxa"/>
          </w:tcPr>
          <w:p w14:paraId="7E395A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5C4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w:t>
            </w:r>
          </w:p>
        </w:tc>
        <w:tc>
          <w:tcPr>
            <w:tcW w:w="1870" w:type="dxa"/>
          </w:tcPr>
          <w:p w14:paraId="63D9BB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Проведены испытания</w:t>
            </w:r>
          </w:p>
        </w:tc>
        <w:tc>
          <w:tcPr>
            <w:tcW w:w="1435" w:type="dxa"/>
          </w:tcPr>
          <w:p w14:paraId="32E91B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69A7CD" w14:textId="77777777">
        <w:tc>
          <w:tcPr>
            <w:tcW w:w="959" w:type="dxa"/>
          </w:tcPr>
          <w:p w14:paraId="3CD842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М-105РФ</w:t>
            </w:r>
          </w:p>
        </w:tc>
        <w:tc>
          <w:tcPr>
            <w:tcW w:w="1677" w:type="dxa"/>
          </w:tcPr>
          <w:p w14:paraId="4F6A75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421BC0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 серийного</w:t>
            </w:r>
          </w:p>
        </w:tc>
        <w:tc>
          <w:tcPr>
            <w:tcW w:w="720" w:type="dxa"/>
          </w:tcPr>
          <w:p w14:paraId="3DB724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60B10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171E0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870" w:type="dxa"/>
          </w:tcPr>
          <w:p w14:paraId="68B171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М-105П</w:t>
            </w:r>
          </w:p>
        </w:tc>
        <w:tc>
          <w:tcPr>
            <w:tcW w:w="1435" w:type="dxa"/>
          </w:tcPr>
          <w:p w14:paraId="7A4984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A18CCF" w14:textId="77777777">
        <w:tc>
          <w:tcPr>
            <w:tcW w:w="959" w:type="dxa"/>
          </w:tcPr>
          <w:p w14:paraId="7D5766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D1070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1AABC8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М-105П при</w:t>
            </w:r>
          </w:p>
        </w:tc>
        <w:tc>
          <w:tcPr>
            <w:tcW w:w="720" w:type="dxa"/>
          </w:tcPr>
          <w:p w14:paraId="4B26C8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9DD59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C069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w:t>
            </w:r>
          </w:p>
        </w:tc>
        <w:tc>
          <w:tcPr>
            <w:tcW w:w="1870" w:type="dxa"/>
          </w:tcPr>
          <w:p w14:paraId="0FA7F4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форсированного по наддуву</w:t>
            </w:r>
          </w:p>
        </w:tc>
        <w:tc>
          <w:tcPr>
            <w:tcW w:w="1435" w:type="dxa"/>
          </w:tcPr>
          <w:p w14:paraId="396B1F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EEDCB5" w14:textId="77777777">
        <w:tc>
          <w:tcPr>
            <w:tcW w:w="959" w:type="dxa"/>
          </w:tcPr>
          <w:p w14:paraId="19A3D6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75B0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форсирован. по наддуву</w:t>
            </w:r>
          </w:p>
        </w:tc>
        <w:tc>
          <w:tcPr>
            <w:tcW w:w="1919" w:type="dxa"/>
          </w:tcPr>
          <w:p w14:paraId="66FA3F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наддуве 1050 мм рт. ст.</w:t>
            </w:r>
          </w:p>
        </w:tc>
        <w:tc>
          <w:tcPr>
            <w:tcW w:w="720" w:type="dxa"/>
          </w:tcPr>
          <w:p w14:paraId="2955EE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9925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E4A6B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w:t>
            </w:r>
          </w:p>
        </w:tc>
        <w:tc>
          <w:tcPr>
            <w:tcW w:w="1870" w:type="dxa"/>
          </w:tcPr>
          <w:p w14:paraId="380CE5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1050 мм рт. ст. на</w:t>
            </w:r>
          </w:p>
        </w:tc>
        <w:tc>
          <w:tcPr>
            <w:tcW w:w="1435" w:type="dxa"/>
          </w:tcPr>
          <w:p w14:paraId="61CE35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706135" w14:textId="77777777">
        <w:tc>
          <w:tcPr>
            <w:tcW w:w="959" w:type="dxa"/>
          </w:tcPr>
          <w:p w14:paraId="6C95EC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AF7D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1050 мм рт. ст.</w:t>
            </w:r>
          </w:p>
        </w:tc>
        <w:tc>
          <w:tcPr>
            <w:tcW w:w="1919" w:type="dxa"/>
          </w:tcPr>
          <w:p w14:paraId="3D6392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Проведение 100</w:t>
            </w:r>
          </w:p>
        </w:tc>
        <w:tc>
          <w:tcPr>
            <w:tcW w:w="720" w:type="dxa"/>
          </w:tcPr>
          <w:p w14:paraId="2FF82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w:t>
            </w:r>
          </w:p>
        </w:tc>
        <w:tc>
          <w:tcPr>
            <w:tcW w:w="1088" w:type="dxa"/>
          </w:tcPr>
          <w:p w14:paraId="5EA759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2000,0</w:t>
            </w:r>
          </w:p>
        </w:tc>
        <w:tc>
          <w:tcPr>
            <w:tcW w:w="927" w:type="dxa"/>
          </w:tcPr>
          <w:p w14:paraId="5532BF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EB83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 и в летной</w:t>
            </w:r>
          </w:p>
        </w:tc>
        <w:tc>
          <w:tcPr>
            <w:tcW w:w="1435" w:type="dxa"/>
          </w:tcPr>
          <w:p w14:paraId="64161D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032907" w14:textId="77777777">
        <w:tc>
          <w:tcPr>
            <w:tcW w:w="959" w:type="dxa"/>
          </w:tcPr>
          <w:p w14:paraId="554DF6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F5D0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33576B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часовых станковых</w:t>
            </w:r>
          </w:p>
        </w:tc>
        <w:tc>
          <w:tcPr>
            <w:tcW w:w="720" w:type="dxa"/>
          </w:tcPr>
          <w:p w14:paraId="3BC084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3A4DE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FBA8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70EE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w:t>
            </w:r>
          </w:p>
        </w:tc>
        <w:tc>
          <w:tcPr>
            <w:tcW w:w="1435" w:type="dxa"/>
          </w:tcPr>
          <w:p w14:paraId="6A7282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C1E844" w14:textId="77777777">
        <w:tc>
          <w:tcPr>
            <w:tcW w:w="959" w:type="dxa"/>
          </w:tcPr>
          <w:p w14:paraId="0249D4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70B0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 л.с.</w:t>
            </w:r>
          </w:p>
        </w:tc>
        <w:tc>
          <w:tcPr>
            <w:tcW w:w="1919" w:type="dxa"/>
          </w:tcPr>
          <w:p w14:paraId="2F25E1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 серийного</w:t>
            </w:r>
          </w:p>
        </w:tc>
        <w:tc>
          <w:tcPr>
            <w:tcW w:w="720" w:type="dxa"/>
          </w:tcPr>
          <w:p w14:paraId="5B3FB4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60291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B9E9B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C2C6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3B23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0DA79C" w14:textId="77777777">
        <w:tc>
          <w:tcPr>
            <w:tcW w:w="959" w:type="dxa"/>
          </w:tcPr>
          <w:p w14:paraId="2DF84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D143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C1D22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М-105П при</w:t>
            </w:r>
          </w:p>
        </w:tc>
        <w:tc>
          <w:tcPr>
            <w:tcW w:w="720" w:type="dxa"/>
          </w:tcPr>
          <w:p w14:paraId="64AE4D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CD65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BB4F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727A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E2CE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26BAC2" w14:textId="77777777">
        <w:tc>
          <w:tcPr>
            <w:tcW w:w="959" w:type="dxa"/>
          </w:tcPr>
          <w:p w14:paraId="58E3FC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4CBD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м - 1200 л.с.</w:t>
            </w:r>
          </w:p>
        </w:tc>
        <w:tc>
          <w:tcPr>
            <w:tcW w:w="1919" w:type="dxa"/>
          </w:tcPr>
          <w:p w14:paraId="440362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наддуве 1050 мм рт. ст.</w:t>
            </w:r>
          </w:p>
        </w:tc>
        <w:tc>
          <w:tcPr>
            <w:tcW w:w="720" w:type="dxa"/>
          </w:tcPr>
          <w:p w14:paraId="50EEAC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587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9091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81890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736C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044122" w14:textId="77777777">
        <w:tc>
          <w:tcPr>
            <w:tcW w:w="959" w:type="dxa"/>
          </w:tcPr>
          <w:p w14:paraId="5CD765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52C6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892F6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Устранение дефектов</w:t>
            </w:r>
          </w:p>
        </w:tc>
        <w:tc>
          <w:tcPr>
            <w:tcW w:w="720" w:type="dxa"/>
          </w:tcPr>
          <w:p w14:paraId="18F807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w:t>
            </w:r>
          </w:p>
        </w:tc>
        <w:tc>
          <w:tcPr>
            <w:tcW w:w="1088" w:type="dxa"/>
          </w:tcPr>
          <w:p w14:paraId="7E3B31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DBD4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6DBA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981F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DC29F6A" w14:textId="77777777">
        <w:tc>
          <w:tcPr>
            <w:tcW w:w="959" w:type="dxa"/>
          </w:tcPr>
          <w:p w14:paraId="404396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012F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2800 м - 1150 л.с.</w:t>
            </w:r>
          </w:p>
        </w:tc>
        <w:tc>
          <w:tcPr>
            <w:tcW w:w="1919" w:type="dxa"/>
          </w:tcPr>
          <w:p w14:paraId="547AC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обеспечение надежной</w:t>
            </w:r>
          </w:p>
        </w:tc>
        <w:tc>
          <w:tcPr>
            <w:tcW w:w="720" w:type="dxa"/>
          </w:tcPr>
          <w:p w14:paraId="047494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076F93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826C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C9223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799E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3B58C2" w14:textId="77777777">
        <w:tc>
          <w:tcPr>
            <w:tcW w:w="959" w:type="dxa"/>
          </w:tcPr>
          <w:p w14:paraId="0E6A9C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0558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072390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моторов М-105ПФ</w:t>
            </w:r>
          </w:p>
        </w:tc>
        <w:tc>
          <w:tcPr>
            <w:tcW w:w="720" w:type="dxa"/>
          </w:tcPr>
          <w:p w14:paraId="7A5C6F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2B2F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C123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8E6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A0F0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10222B" w14:textId="77777777">
        <w:tc>
          <w:tcPr>
            <w:tcW w:w="959" w:type="dxa"/>
          </w:tcPr>
          <w:p w14:paraId="67C8B3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9AADC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4ADF68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М-105РФ в течение</w:t>
            </w:r>
          </w:p>
        </w:tc>
        <w:tc>
          <w:tcPr>
            <w:tcW w:w="720" w:type="dxa"/>
          </w:tcPr>
          <w:p w14:paraId="77A996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F3D3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803F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BAE20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17F4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C3E938" w14:textId="77777777">
        <w:tc>
          <w:tcPr>
            <w:tcW w:w="959" w:type="dxa"/>
          </w:tcPr>
          <w:p w14:paraId="41FBC4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2AD93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 гр/лсч</w:t>
            </w:r>
          </w:p>
        </w:tc>
        <w:tc>
          <w:tcPr>
            <w:tcW w:w="1919" w:type="dxa"/>
          </w:tcPr>
          <w:p w14:paraId="07ED4B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часов в летной</w:t>
            </w:r>
          </w:p>
        </w:tc>
        <w:tc>
          <w:tcPr>
            <w:tcW w:w="720" w:type="dxa"/>
          </w:tcPr>
          <w:p w14:paraId="357857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BF16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DA18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6EDAD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21EE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7BF249" w14:textId="77777777">
        <w:tc>
          <w:tcPr>
            <w:tcW w:w="959" w:type="dxa"/>
          </w:tcPr>
          <w:p w14:paraId="75D6D0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FF14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70C0F9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w:t>
            </w:r>
          </w:p>
        </w:tc>
        <w:tc>
          <w:tcPr>
            <w:tcW w:w="720" w:type="dxa"/>
          </w:tcPr>
          <w:p w14:paraId="363100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0DD42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50FC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4EF58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14AE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6BACE45" w14:textId="77777777">
        <w:tc>
          <w:tcPr>
            <w:tcW w:w="959" w:type="dxa"/>
          </w:tcPr>
          <w:p w14:paraId="470AC3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F205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19CA25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Обеспечение надежной</w:t>
            </w:r>
          </w:p>
        </w:tc>
        <w:tc>
          <w:tcPr>
            <w:tcW w:w="720" w:type="dxa"/>
          </w:tcPr>
          <w:p w14:paraId="7AFDCD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июля</w:t>
            </w:r>
          </w:p>
        </w:tc>
        <w:tc>
          <w:tcPr>
            <w:tcW w:w="1088" w:type="dxa"/>
          </w:tcPr>
          <w:p w14:paraId="75C2B3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72A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9726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9FC0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193E4E" w14:textId="77777777">
        <w:tc>
          <w:tcPr>
            <w:tcW w:w="959" w:type="dxa"/>
          </w:tcPr>
          <w:p w14:paraId="278827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D65EB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600 кг</w:t>
            </w:r>
          </w:p>
        </w:tc>
        <w:tc>
          <w:tcPr>
            <w:tcW w:w="1919" w:type="dxa"/>
          </w:tcPr>
          <w:p w14:paraId="3A0603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моторов М-105ПФ</w:t>
            </w:r>
          </w:p>
        </w:tc>
        <w:tc>
          <w:tcPr>
            <w:tcW w:w="720" w:type="dxa"/>
          </w:tcPr>
          <w:p w14:paraId="13B786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02B8EE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9CEF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AC3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FC9C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19ECE6" w14:textId="77777777">
        <w:tc>
          <w:tcPr>
            <w:tcW w:w="959" w:type="dxa"/>
          </w:tcPr>
          <w:p w14:paraId="48780A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4549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D161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М-105РФ в течение</w:t>
            </w:r>
          </w:p>
        </w:tc>
        <w:tc>
          <w:tcPr>
            <w:tcW w:w="720" w:type="dxa"/>
          </w:tcPr>
          <w:p w14:paraId="141576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5FE3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9D6C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50E1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EE6E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A9D0C9" w14:textId="77777777">
        <w:tc>
          <w:tcPr>
            <w:tcW w:w="959" w:type="dxa"/>
          </w:tcPr>
          <w:p w14:paraId="1DA1F0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95FF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D6A6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часов в летной</w:t>
            </w:r>
          </w:p>
        </w:tc>
        <w:tc>
          <w:tcPr>
            <w:tcW w:w="720" w:type="dxa"/>
          </w:tcPr>
          <w:p w14:paraId="5548C8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40FC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13E8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CC6B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74A62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BFB985" w14:textId="77777777">
        <w:tc>
          <w:tcPr>
            <w:tcW w:w="959" w:type="dxa"/>
          </w:tcPr>
          <w:p w14:paraId="0CBB53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90C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31166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w:t>
            </w:r>
          </w:p>
        </w:tc>
        <w:tc>
          <w:tcPr>
            <w:tcW w:w="720" w:type="dxa"/>
          </w:tcPr>
          <w:p w14:paraId="1DA198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6D9B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FEB4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6838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5367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48D3D0" w14:textId="77777777">
        <w:tc>
          <w:tcPr>
            <w:tcW w:w="959" w:type="dxa"/>
          </w:tcPr>
          <w:p w14:paraId="5D3CE0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М-107</w:t>
            </w:r>
          </w:p>
        </w:tc>
        <w:tc>
          <w:tcPr>
            <w:tcW w:w="1677" w:type="dxa"/>
          </w:tcPr>
          <w:p w14:paraId="037EAA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2D63D7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Устранение дефектов</w:t>
            </w:r>
          </w:p>
        </w:tc>
        <w:tc>
          <w:tcPr>
            <w:tcW w:w="720" w:type="dxa"/>
          </w:tcPr>
          <w:p w14:paraId="6A3DBF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1088" w:type="dxa"/>
          </w:tcPr>
          <w:p w14:paraId="5DF8B5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3500,0</w:t>
            </w:r>
          </w:p>
        </w:tc>
        <w:tc>
          <w:tcPr>
            <w:tcW w:w="927" w:type="dxa"/>
          </w:tcPr>
          <w:p w14:paraId="2953D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w:t>
            </w:r>
          </w:p>
        </w:tc>
        <w:tc>
          <w:tcPr>
            <w:tcW w:w="1870" w:type="dxa"/>
          </w:tcPr>
          <w:p w14:paraId="114986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предъявлен</w:t>
            </w:r>
          </w:p>
        </w:tc>
        <w:tc>
          <w:tcPr>
            <w:tcW w:w="1435" w:type="dxa"/>
          </w:tcPr>
          <w:p w14:paraId="4CAC41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переходит</w:t>
            </w:r>
          </w:p>
        </w:tc>
      </w:tr>
      <w:tr w:rsidR="006F4095" w:rsidRPr="008127F8" w14:paraId="1FD1FA1F" w14:textId="77777777">
        <w:tc>
          <w:tcPr>
            <w:tcW w:w="959" w:type="dxa"/>
          </w:tcPr>
          <w:p w14:paraId="0FF293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1547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13740A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М-107 и</w:t>
            </w:r>
          </w:p>
        </w:tc>
        <w:tc>
          <w:tcPr>
            <w:tcW w:w="720" w:type="dxa"/>
          </w:tcPr>
          <w:p w14:paraId="65D45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F3A08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6AB2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870" w:type="dxa"/>
          </w:tcPr>
          <w:p w14:paraId="68481B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гос. 100 часовые</w:t>
            </w:r>
          </w:p>
        </w:tc>
        <w:tc>
          <w:tcPr>
            <w:tcW w:w="1435" w:type="dxa"/>
          </w:tcPr>
          <w:p w14:paraId="314785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1941 года.</w:t>
            </w:r>
          </w:p>
        </w:tc>
      </w:tr>
      <w:tr w:rsidR="006F4095" w:rsidRPr="008127F8" w14:paraId="004D4233" w14:textId="77777777">
        <w:tc>
          <w:tcPr>
            <w:tcW w:w="959" w:type="dxa"/>
          </w:tcPr>
          <w:p w14:paraId="557549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95B1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7CB60F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его</w:t>
            </w:r>
          </w:p>
        </w:tc>
        <w:tc>
          <w:tcPr>
            <w:tcW w:w="720" w:type="dxa"/>
          </w:tcPr>
          <w:p w14:paraId="6F72CC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28DA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40FF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C96E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w:t>
            </w:r>
          </w:p>
        </w:tc>
        <w:tc>
          <w:tcPr>
            <w:tcW w:w="1435" w:type="dxa"/>
          </w:tcPr>
          <w:p w14:paraId="63BDB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A1D44C" w14:textId="77777777">
        <w:tc>
          <w:tcPr>
            <w:tcW w:w="959" w:type="dxa"/>
          </w:tcPr>
          <w:p w14:paraId="2EF156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84BA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2DFEE4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надежной работы в</w:t>
            </w:r>
          </w:p>
        </w:tc>
        <w:tc>
          <w:tcPr>
            <w:tcW w:w="720" w:type="dxa"/>
          </w:tcPr>
          <w:p w14:paraId="26A110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F810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8CCF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01BA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4B0F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674F6C" w14:textId="77777777">
        <w:tc>
          <w:tcPr>
            <w:tcW w:w="959" w:type="dxa"/>
          </w:tcPr>
          <w:p w14:paraId="415A2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045E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л.с.</w:t>
            </w:r>
          </w:p>
        </w:tc>
        <w:tc>
          <w:tcPr>
            <w:tcW w:w="1919" w:type="dxa"/>
          </w:tcPr>
          <w:p w14:paraId="54B1B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летной эксплуатации</w:t>
            </w:r>
          </w:p>
        </w:tc>
        <w:tc>
          <w:tcPr>
            <w:tcW w:w="720" w:type="dxa"/>
          </w:tcPr>
          <w:p w14:paraId="416CC8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6521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C36A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D09E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4D23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B80293" w14:textId="77777777">
        <w:tc>
          <w:tcPr>
            <w:tcW w:w="959" w:type="dxa"/>
          </w:tcPr>
          <w:p w14:paraId="185EE1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07D5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46974D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100 часов</w:t>
            </w:r>
          </w:p>
        </w:tc>
        <w:tc>
          <w:tcPr>
            <w:tcW w:w="720" w:type="dxa"/>
          </w:tcPr>
          <w:p w14:paraId="359055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3EA9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057C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8763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0F1C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4AB3A8" w14:textId="77777777">
        <w:tc>
          <w:tcPr>
            <w:tcW w:w="959" w:type="dxa"/>
          </w:tcPr>
          <w:p w14:paraId="2A4785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D131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 м - 1400 л.с.</w:t>
            </w:r>
          </w:p>
        </w:tc>
        <w:tc>
          <w:tcPr>
            <w:tcW w:w="1919" w:type="dxa"/>
          </w:tcPr>
          <w:p w14:paraId="385504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09DE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4E97F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CC1A1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69A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EC721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7BC0B2" w14:textId="77777777">
        <w:tc>
          <w:tcPr>
            <w:tcW w:w="959" w:type="dxa"/>
          </w:tcPr>
          <w:p w14:paraId="34DAEA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68F2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4E2AAB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FC7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D3F3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B2AB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3ECA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0E8A7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8D36AF" w14:textId="77777777">
        <w:tc>
          <w:tcPr>
            <w:tcW w:w="959" w:type="dxa"/>
          </w:tcPr>
          <w:p w14:paraId="5E9C1B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C93F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 - 1300 л.с.</w:t>
            </w:r>
          </w:p>
        </w:tc>
        <w:tc>
          <w:tcPr>
            <w:tcW w:w="1919" w:type="dxa"/>
          </w:tcPr>
          <w:p w14:paraId="3492A6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08FE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920AA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34A3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7521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8FAA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12BF69B" w14:textId="77777777">
        <w:tc>
          <w:tcPr>
            <w:tcW w:w="959" w:type="dxa"/>
          </w:tcPr>
          <w:p w14:paraId="3177C2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67A3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550996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DB50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ABED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C81D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D0FFE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9E83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CAC8F8" w14:textId="77777777">
        <w:tc>
          <w:tcPr>
            <w:tcW w:w="959" w:type="dxa"/>
          </w:tcPr>
          <w:p w14:paraId="5EA040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CD83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1B3EBF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1467F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88E7D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837A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7FF27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8B65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C31B94" w14:textId="77777777">
        <w:tc>
          <w:tcPr>
            <w:tcW w:w="959" w:type="dxa"/>
          </w:tcPr>
          <w:p w14:paraId="568CAC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C6B7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 гр/лсч</w:t>
            </w:r>
          </w:p>
        </w:tc>
        <w:tc>
          <w:tcPr>
            <w:tcW w:w="1919" w:type="dxa"/>
          </w:tcPr>
          <w:p w14:paraId="7B742F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5C1D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E87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108F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5CBA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65B4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C75074" w14:textId="77777777">
        <w:tc>
          <w:tcPr>
            <w:tcW w:w="959" w:type="dxa"/>
          </w:tcPr>
          <w:p w14:paraId="4205F7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FA70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17CBE5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42AAE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469A1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6D8C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CA191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6A0E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52A5E8E" w14:textId="77777777">
        <w:tc>
          <w:tcPr>
            <w:tcW w:w="959" w:type="dxa"/>
          </w:tcPr>
          <w:p w14:paraId="516634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F9F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4Б-78</w:t>
            </w:r>
          </w:p>
        </w:tc>
        <w:tc>
          <w:tcPr>
            <w:tcW w:w="1919" w:type="dxa"/>
          </w:tcPr>
          <w:p w14:paraId="086C0C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41BC0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A301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6ED2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9473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1C7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31324C" w14:textId="77777777">
        <w:tc>
          <w:tcPr>
            <w:tcW w:w="959" w:type="dxa"/>
          </w:tcPr>
          <w:p w14:paraId="757A75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F7F9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730 кг</w:t>
            </w:r>
          </w:p>
        </w:tc>
        <w:tc>
          <w:tcPr>
            <w:tcW w:w="1919" w:type="dxa"/>
          </w:tcPr>
          <w:p w14:paraId="45398B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B101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977E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D39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C1D4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04F4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95FF11" w14:textId="77777777">
        <w:tc>
          <w:tcPr>
            <w:tcW w:w="959" w:type="dxa"/>
          </w:tcPr>
          <w:p w14:paraId="0C6359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М-107Ф</w:t>
            </w:r>
          </w:p>
        </w:tc>
        <w:tc>
          <w:tcPr>
            <w:tcW w:w="1677" w:type="dxa"/>
          </w:tcPr>
          <w:p w14:paraId="5A794F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7AFE65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Работа проводится</w:t>
            </w:r>
          </w:p>
        </w:tc>
        <w:tc>
          <w:tcPr>
            <w:tcW w:w="720" w:type="dxa"/>
          </w:tcPr>
          <w:p w14:paraId="0C7813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5A1EB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8000,0</w:t>
            </w:r>
          </w:p>
        </w:tc>
        <w:tc>
          <w:tcPr>
            <w:tcW w:w="927" w:type="dxa"/>
          </w:tcPr>
          <w:p w14:paraId="5FD75D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w:t>
            </w:r>
          </w:p>
        </w:tc>
        <w:tc>
          <w:tcPr>
            <w:tcW w:w="1870" w:type="dxa"/>
          </w:tcPr>
          <w:p w14:paraId="6420CA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FD96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2D28C8C3" w14:textId="77777777">
        <w:tc>
          <w:tcPr>
            <w:tcW w:w="959" w:type="dxa"/>
          </w:tcPr>
          <w:p w14:paraId="7C66E7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CCC9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556BAF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после окончания</w:t>
            </w:r>
          </w:p>
        </w:tc>
        <w:tc>
          <w:tcPr>
            <w:tcW w:w="720" w:type="dxa"/>
          </w:tcPr>
          <w:p w14:paraId="1F4A5D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01A2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D3BA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w:t>
            </w:r>
          </w:p>
        </w:tc>
        <w:tc>
          <w:tcPr>
            <w:tcW w:w="1870" w:type="dxa"/>
          </w:tcPr>
          <w:p w14:paraId="05AF7B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3390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E215D4" w14:textId="77777777">
        <w:tc>
          <w:tcPr>
            <w:tcW w:w="959" w:type="dxa"/>
          </w:tcPr>
          <w:p w14:paraId="10AABC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0D73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7C1F82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 по моторам М-107</w:t>
            </w:r>
          </w:p>
        </w:tc>
        <w:tc>
          <w:tcPr>
            <w:tcW w:w="720" w:type="dxa"/>
          </w:tcPr>
          <w:p w14:paraId="5FEC55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8A6F5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81781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E05A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EDA5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804C05" w14:textId="77777777">
        <w:tc>
          <w:tcPr>
            <w:tcW w:w="959" w:type="dxa"/>
          </w:tcPr>
          <w:p w14:paraId="606C36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78F6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представляющий собой</w:t>
            </w:r>
          </w:p>
        </w:tc>
        <w:tc>
          <w:tcPr>
            <w:tcW w:w="1919" w:type="dxa"/>
          </w:tcPr>
          <w:p w14:paraId="65877E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М-105ПФ и М-105РФ.</w:t>
            </w:r>
          </w:p>
        </w:tc>
        <w:tc>
          <w:tcPr>
            <w:tcW w:w="720" w:type="dxa"/>
          </w:tcPr>
          <w:p w14:paraId="1A040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FE13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2FC1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15E1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7DE9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5583B6D" w14:textId="77777777">
        <w:tc>
          <w:tcPr>
            <w:tcW w:w="959" w:type="dxa"/>
          </w:tcPr>
          <w:p w14:paraId="33F14C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B0298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дальнейшее развитие</w:t>
            </w:r>
          </w:p>
        </w:tc>
        <w:tc>
          <w:tcPr>
            <w:tcW w:w="1919" w:type="dxa"/>
          </w:tcPr>
          <w:p w14:paraId="3DB3AC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Совместные 50-ти</w:t>
            </w:r>
          </w:p>
        </w:tc>
        <w:tc>
          <w:tcPr>
            <w:tcW w:w="720" w:type="dxa"/>
          </w:tcPr>
          <w:p w14:paraId="30FAEE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1088" w:type="dxa"/>
          </w:tcPr>
          <w:p w14:paraId="25A067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B940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F936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BBD1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276244" w14:textId="77777777">
        <w:tc>
          <w:tcPr>
            <w:tcW w:w="959" w:type="dxa"/>
          </w:tcPr>
          <w:p w14:paraId="54ECAB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8F48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М-107</w:t>
            </w:r>
          </w:p>
        </w:tc>
        <w:tc>
          <w:tcPr>
            <w:tcW w:w="1919" w:type="dxa"/>
          </w:tcPr>
          <w:p w14:paraId="11EE81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w:t>
            </w:r>
          </w:p>
        </w:tc>
        <w:tc>
          <w:tcPr>
            <w:tcW w:w="720" w:type="dxa"/>
          </w:tcPr>
          <w:p w14:paraId="05D888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EF8FD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3230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855D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052FF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AD5C8C" w14:textId="77777777">
        <w:tc>
          <w:tcPr>
            <w:tcW w:w="959" w:type="dxa"/>
          </w:tcPr>
          <w:p w14:paraId="10F1C3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E284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7E10C7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Специальные летные</w:t>
            </w:r>
          </w:p>
        </w:tc>
        <w:tc>
          <w:tcPr>
            <w:tcW w:w="720" w:type="dxa"/>
          </w:tcPr>
          <w:p w14:paraId="64D41D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1088" w:type="dxa"/>
          </w:tcPr>
          <w:p w14:paraId="388A2D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F50B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B949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543DE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A9F22E" w14:textId="77777777">
        <w:tc>
          <w:tcPr>
            <w:tcW w:w="959" w:type="dxa"/>
          </w:tcPr>
          <w:p w14:paraId="10C448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1AF7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 л.с.</w:t>
            </w:r>
          </w:p>
        </w:tc>
        <w:tc>
          <w:tcPr>
            <w:tcW w:w="1919" w:type="dxa"/>
          </w:tcPr>
          <w:p w14:paraId="06911B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мотора на</w:t>
            </w:r>
          </w:p>
        </w:tc>
        <w:tc>
          <w:tcPr>
            <w:tcW w:w="720" w:type="dxa"/>
          </w:tcPr>
          <w:p w14:paraId="07CB9B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292BCC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5E3A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9E71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CF4C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330327" w14:textId="77777777">
        <w:tc>
          <w:tcPr>
            <w:tcW w:w="959" w:type="dxa"/>
          </w:tcPr>
          <w:p w14:paraId="7ABC79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7CA3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67A7DA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самолете.</w:t>
            </w:r>
          </w:p>
        </w:tc>
        <w:tc>
          <w:tcPr>
            <w:tcW w:w="720" w:type="dxa"/>
          </w:tcPr>
          <w:p w14:paraId="2D6D08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AFBEB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7DB6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C926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DB03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BAC390" w14:textId="77777777">
        <w:tc>
          <w:tcPr>
            <w:tcW w:w="959" w:type="dxa"/>
          </w:tcPr>
          <w:p w14:paraId="520CB7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E4A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 - 1700 л.с.</w:t>
            </w:r>
          </w:p>
        </w:tc>
        <w:tc>
          <w:tcPr>
            <w:tcW w:w="1919" w:type="dxa"/>
          </w:tcPr>
          <w:p w14:paraId="7A1FA5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Государственные 100</w:t>
            </w:r>
          </w:p>
        </w:tc>
        <w:tc>
          <w:tcPr>
            <w:tcW w:w="720" w:type="dxa"/>
          </w:tcPr>
          <w:p w14:paraId="2B0F18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w:t>
            </w:r>
          </w:p>
        </w:tc>
        <w:tc>
          <w:tcPr>
            <w:tcW w:w="1088" w:type="dxa"/>
          </w:tcPr>
          <w:p w14:paraId="7D3E83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4EF8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A84F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ECDB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22C730" w14:textId="77777777">
        <w:tc>
          <w:tcPr>
            <w:tcW w:w="959" w:type="dxa"/>
          </w:tcPr>
          <w:p w14:paraId="09ED39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CD38E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0B0497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720" w:type="dxa"/>
          </w:tcPr>
          <w:p w14:paraId="4A440F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году</w:t>
            </w:r>
          </w:p>
        </w:tc>
        <w:tc>
          <w:tcPr>
            <w:tcW w:w="1088" w:type="dxa"/>
          </w:tcPr>
          <w:p w14:paraId="300123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AAD4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9532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AF67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2EF603" w14:textId="77777777">
        <w:tc>
          <w:tcPr>
            <w:tcW w:w="959" w:type="dxa"/>
          </w:tcPr>
          <w:p w14:paraId="654031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ABA32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043D07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3449DF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1514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CDE8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66059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562D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9486EB" w14:textId="77777777">
        <w:tc>
          <w:tcPr>
            <w:tcW w:w="959" w:type="dxa"/>
          </w:tcPr>
          <w:p w14:paraId="56A0A6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C1806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 гр/лсч</w:t>
            </w:r>
          </w:p>
        </w:tc>
        <w:tc>
          <w:tcPr>
            <w:tcW w:w="1919" w:type="dxa"/>
          </w:tcPr>
          <w:p w14:paraId="70B0D2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A8915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81454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EA10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974A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FEEB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90E604" w14:textId="77777777">
        <w:tc>
          <w:tcPr>
            <w:tcW w:w="959" w:type="dxa"/>
          </w:tcPr>
          <w:p w14:paraId="7D0898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D10F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683A1C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713E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81DD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00E66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85F3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DD80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467F95" w14:textId="77777777">
        <w:tc>
          <w:tcPr>
            <w:tcW w:w="959" w:type="dxa"/>
          </w:tcPr>
          <w:p w14:paraId="61D4F6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045E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770 кг</w:t>
            </w:r>
          </w:p>
        </w:tc>
        <w:tc>
          <w:tcPr>
            <w:tcW w:w="1919" w:type="dxa"/>
          </w:tcPr>
          <w:p w14:paraId="3CA6C9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890D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5C73C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5BDB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0CC2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8DD5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ECB61D5" w14:textId="77777777">
        <w:tc>
          <w:tcPr>
            <w:tcW w:w="959" w:type="dxa"/>
          </w:tcPr>
          <w:p w14:paraId="1D9926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5AB5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0DF608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9EAC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0C52D1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13500,0</w:t>
            </w:r>
          </w:p>
        </w:tc>
        <w:tc>
          <w:tcPr>
            <w:tcW w:w="927" w:type="dxa"/>
          </w:tcPr>
          <w:p w14:paraId="603ACF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24D8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89A6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8F9EB8" w14:textId="77777777">
        <w:tc>
          <w:tcPr>
            <w:tcW w:w="959" w:type="dxa"/>
          </w:tcPr>
          <w:p w14:paraId="1B750A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29</w:t>
            </w:r>
          </w:p>
        </w:tc>
        <w:tc>
          <w:tcPr>
            <w:tcW w:w="1677" w:type="dxa"/>
          </w:tcPr>
          <w:p w14:paraId="741962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0CD34F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8BDC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9D62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CAC6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3320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766F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F790A2" w14:textId="77777777">
        <w:tc>
          <w:tcPr>
            <w:tcW w:w="959" w:type="dxa"/>
          </w:tcPr>
          <w:p w14:paraId="65C8AD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М-88</w:t>
            </w:r>
          </w:p>
        </w:tc>
        <w:tc>
          <w:tcPr>
            <w:tcW w:w="1677" w:type="dxa"/>
          </w:tcPr>
          <w:p w14:paraId="5EB595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14-ти цилиндровый</w:t>
            </w:r>
          </w:p>
        </w:tc>
        <w:tc>
          <w:tcPr>
            <w:tcW w:w="1919" w:type="dxa"/>
          </w:tcPr>
          <w:p w14:paraId="773101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Устранение дефектов</w:t>
            </w:r>
          </w:p>
        </w:tc>
        <w:tc>
          <w:tcPr>
            <w:tcW w:w="720" w:type="dxa"/>
          </w:tcPr>
          <w:p w14:paraId="2E13AC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w:t>
            </w:r>
          </w:p>
        </w:tc>
        <w:tc>
          <w:tcPr>
            <w:tcW w:w="1088" w:type="dxa"/>
          </w:tcPr>
          <w:p w14:paraId="43CB71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Финан.</w:t>
            </w:r>
          </w:p>
        </w:tc>
        <w:tc>
          <w:tcPr>
            <w:tcW w:w="927" w:type="dxa"/>
          </w:tcPr>
          <w:p w14:paraId="6ECFE3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w:t>
            </w:r>
          </w:p>
        </w:tc>
        <w:tc>
          <w:tcPr>
            <w:tcW w:w="1870" w:type="dxa"/>
          </w:tcPr>
          <w:p w14:paraId="38547E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гос.</w:t>
            </w:r>
          </w:p>
        </w:tc>
        <w:tc>
          <w:tcPr>
            <w:tcW w:w="1435" w:type="dxa"/>
          </w:tcPr>
          <w:p w14:paraId="1C8E6C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мотор.</w:t>
            </w:r>
          </w:p>
        </w:tc>
      </w:tr>
      <w:tr w:rsidR="006F4095" w:rsidRPr="008127F8" w14:paraId="2872B30B" w14:textId="77777777">
        <w:tc>
          <w:tcPr>
            <w:tcW w:w="959" w:type="dxa"/>
          </w:tcPr>
          <w:p w14:paraId="1A745A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B5AE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двухрядн. звездообразн.</w:t>
            </w:r>
          </w:p>
        </w:tc>
        <w:tc>
          <w:tcPr>
            <w:tcW w:w="1919" w:type="dxa"/>
          </w:tcPr>
          <w:p w14:paraId="60FE9D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М-88, выявивш.</w:t>
            </w:r>
          </w:p>
        </w:tc>
        <w:tc>
          <w:tcPr>
            <w:tcW w:w="720" w:type="dxa"/>
          </w:tcPr>
          <w:p w14:paraId="22F2B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4E203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w:t>
            </w:r>
          </w:p>
        </w:tc>
        <w:tc>
          <w:tcPr>
            <w:tcW w:w="927" w:type="dxa"/>
          </w:tcPr>
          <w:p w14:paraId="7DA84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w:t>
            </w:r>
          </w:p>
        </w:tc>
        <w:tc>
          <w:tcPr>
            <w:tcW w:w="1870" w:type="dxa"/>
          </w:tcPr>
          <w:p w14:paraId="3BB1FB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100 часовые</w:t>
            </w:r>
            <w:proofErr w:type="gramEnd"/>
            <w:r w:rsidRPr="008127F8">
              <w:rPr>
                <w:rFonts w:ascii="Times New Roman" w:hAnsi="Times New Roman"/>
                <w:color w:val="000000" w:themeColor="text1"/>
                <w:sz w:val="16"/>
                <w:szCs w:val="16"/>
              </w:rPr>
              <w:t xml:space="preserve"> испытания</w:t>
            </w:r>
          </w:p>
        </w:tc>
        <w:tc>
          <w:tcPr>
            <w:tcW w:w="1435" w:type="dxa"/>
          </w:tcPr>
          <w:p w14:paraId="36063D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60AF18" w14:textId="77777777">
        <w:tc>
          <w:tcPr>
            <w:tcW w:w="959" w:type="dxa"/>
          </w:tcPr>
          <w:p w14:paraId="534B68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EF185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воздушного</w:t>
            </w:r>
          </w:p>
        </w:tc>
        <w:tc>
          <w:tcPr>
            <w:tcW w:w="1919" w:type="dxa"/>
          </w:tcPr>
          <w:p w14:paraId="62AB79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летной эксплуатации и</w:t>
            </w:r>
          </w:p>
        </w:tc>
        <w:tc>
          <w:tcPr>
            <w:tcW w:w="720" w:type="dxa"/>
          </w:tcPr>
          <w:p w14:paraId="6758DB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E7E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счет</w:t>
            </w:r>
          </w:p>
        </w:tc>
        <w:tc>
          <w:tcPr>
            <w:tcW w:w="927" w:type="dxa"/>
          </w:tcPr>
          <w:p w14:paraId="1A92D5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w:t>
            </w:r>
          </w:p>
        </w:tc>
        <w:tc>
          <w:tcPr>
            <w:tcW w:w="1870" w:type="dxa"/>
          </w:tcPr>
          <w:p w14:paraId="0E0654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1939 году и с 1940</w:t>
            </w:r>
          </w:p>
        </w:tc>
        <w:tc>
          <w:tcPr>
            <w:tcW w:w="1435" w:type="dxa"/>
          </w:tcPr>
          <w:p w14:paraId="23E208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E36DBA" w14:textId="77777777">
        <w:tc>
          <w:tcPr>
            <w:tcW w:w="959" w:type="dxa"/>
          </w:tcPr>
          <w:p w14:paraId="6529F2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53B92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29615B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его надежной</w:t>
            </w:r>
          </w:p>
        </w:tc>
        <w:tc>
          <w:tcPr>
            <w:tcW w:w="720" w:type="dxa"/>
          </w:tcPr>
          <w:p w14:paraId="16FEEA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857C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w:t>
            </w:r>
          </w:p>
        </w:tc>
        <w:tc>
          <w:tcPr>
            <w:tcW w:w="927" w:type="dxa"/>
          </w:tcPr>
          <w:p w14:paraId="38146D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BE5B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года находится в</w:t>
            </w:r>
          </w:p>
        </w:tc>
        <w:tc>
          <w:tcPr>
            <w:tcW w:w="1435" w:type="dxa"/>
          </w:tcPr>
          <w:p w14:paraId="5BBDD0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76243F3" w14:textId="77777777">
        <w:tc>
          <w:tcPr>
            <w:tcW w:w="959" w:type="dxa"/>
          </w:tcPr>
          <w:p w14:paraId="7EF52B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8DBB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3E5345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в летной </w:t>
            </w:r>
          </w:p>
        </w:tc>
        <w:tc>
          <w:tcPr>
            <w:tcW w:w="720" w:type="dxa"/>
          </w:tcPr>
          <w:p w14:paraId="1B988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54F0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пр-ва</w:t>
            </w:r>
          </w:p>
        </w:tc>
        <w:tc>
          <w:tcPr>
            <w:tcW w:w="927" w:type="dxa"/>
          </w:tcPr>
          <w:p w14:paraId="668A82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AB02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серийном производстве.</w:t>
            </w:r>
          </w:p>
        </w:tc>
        <w:tc>
          <w:tcPr>
            <w:tcW w:w="1435" w:type="dxa"/>
          </w:tcPr>
          <w:p w14:paraId="037DAC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2E6F46" w14:textId="77777777">
        <w:tc>
          <w:tcPr>
            <w:tcW w:w="959" w:type="dxa"/>
          </w:tcPr>
          <w:p w14:paraId="5FD573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B084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 л.с.</w:t>
            </w:r>
          </w:p>
        </w:tc>
        <w:tc>
          <w:tcPr>
            <w:tcW w:w="1919" w:type="dxa"/>
          </w:tcPr>
          <w:p w14:paraId="00D805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 в течение</w:t>
            </w:r>
          </w:p>
        </w:tc>
        <w:tc>
          <w:tcPr>
            <w:tcW w:w="720" w:type="dxa"/>
          </w:tcPr>
          <w:p w14:paraId="7A5FB7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009C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8156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D427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0CD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40854C" w14:textId="77777777">
        <w:tc>
          <w:tcPr>
            <w:tcW w:w="959" w:type="dxa"/>
          </w:tcPr>
          <w:p w14:paraId="506FB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E953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ывсоте</w:t>
            </w:r>
          </w:p>
        </w:tc>
        <w:tc>
          <w:tcPr>
            <w:tcW w:w="1919" w:type="dxa"/>
          </w:tcPr>
          <w:p w14:paraId="5A33A2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час.</w:t>
            </w:r>
          </w:p>
        </w:tc>
        <w:tc>
          <w:tcPr>
            <w:tcW w:w="720" w:type="dxa"/>
          </w:tcPr>
          <w:p w14:paraId="09E8DB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3782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944E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82D4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2A06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C6A3D8" w14:textId="77777777">
        <w:tc>
          <w:tcPr>
            <w:tcW w:w="959" w:type="dxa"/>
          </w:tcPr>
          <w:p w14:paraId="48469F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6E85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м - 1100 л.с.</w:t>
            </w:r>
          </w:p>
        </w:tc>
        <w:tc>
          <w:tcPr>
            <w:tcW w:w="1919" w:type="dxa"/>
          </w:tcPr>
          <w:p w14:paraId="230242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Увеличение срока</w:t>
            </w:r>
          </w:p>
        </w:tc>
        <w:tc>
          <w:tcPr>
            <w:tcW w:w="720" w:type="dxa"/>
          </w:tcPr>
          <w:p w14:paraId="28C98A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авг.</w:t>
            </w:r>
          </w:p>
        </w:tc>
        <w:tc>
          <w:tcPr>
            <w:tcW w:w="1088" w:type="dxa"/>
          </w:tcPr>
          <w:p w14:paraId="56E20D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20EB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0185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6410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F81EC7" w14:textId="77777777">
        <w:tc>
          <w:tcPr>
            <w:tcW w:w="959" w:type="dxa"/>
          </w:tcPr>
          <w:p w14:paraId="6C8879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A9B8A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4C2034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службы мотора М-88 до</w:t>
            </w:r>
          </w:p>
        </w:tc>
        <w:tc>
          <w:tcPr>
            <w:tcW w:w="720" w:type="dxa"/>
          </w:tcPr>
          <w:p w14:paraId="0A86DE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730D3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FD40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ACC8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8FF0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6AE7C5" w14:textId="77777777">
        <w:tc>
          <w:tcPr>
            <w:tcW w:w="959" w:type="dxa"/>
          </w:tcPr>
          <w:p w14:paraId="5EC170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10CD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 - 1000 л.с.</w:t>
            </w:r>
          </w:p>
        </w:tc>
        <w:tc>
          <w:tcPr>
            <w:tcW w:w="1919" w:type="dxa"/>
          </w:tcPr>
          <w:p w14:paraId="25AB52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часов.</w:t>
            </w:r>
          </w:p>
        </w:tc>
        <w:tc>
          <w:tcPr>
            <w:tcW w:w="720" w:type="dxa"/>
          </w:tcPr>
          <w:p w14:paraId="387E3C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D1EB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3AE9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0DE8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AA11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8EC43A" w14:textId="77777777">
        <w:tc>
          <w:tcPr>
            <w:tcW w:w="959" w:type="dxa"/>
          </w:tcPr>
          <w:p w14:paraId="7F4A6F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ACC9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30AC9E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373E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76095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528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F5B3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F7C6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AEA980" w14:textId="77777777">
        <w:tc>
          <w:tcPr>
            <w:tcW w:w="959" w:type="dxa"/>
          </w:tcPr>
          <w:p w14:paraId="3F0AC0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985E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627AA1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A073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80A0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A8DD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3A41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6E2FA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F6599D" w14:textId="77777777">
        <w:tc>
          <w:tcPr>
            <w:tcW w:w="959" w:type="dxa"/>
          </w:tcPr>
          <w:p w14:paraId="63A975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0526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 гр/лсч</w:t>
            </w:r>
          </w:p>
        </w:tc>
        <w:tc>
          <w:tcPr>
            <w:tcW w:w="1919" w:type="dxa"/>
          </w:tcPr>
          <w:p w14:paraId="1BA579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368B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5A0A0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4230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4C46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5326F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E4A8C9" w14:textId="77777777">
        <w:tc>
          <w:tcPr>
            <w:tcW w:w="959" w:type="dxa"/>
          </w:tcPr>
          <w:p w14:paraId="57D8CA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E540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w:t>
            </w:r>
          </w:p>
        </w:tc>
        <w:tc>
          <w:tcPr>
            <w:tcW w:w="1919" w:type="dxa"/>
          </w:tcPr>
          <w:p w14:paraId="1FDB97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6454B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B641B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7A54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11B9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CF4A1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5F2802" w14:textId="77777777">
        <w:tc>
          <w:tcPr>
            <w:tcW w:w="959" w:type="dxa"/>
          </w:tcPr>
          <w:p w14:paraId="522BCF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B51F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4Б-74</w:t>
            </w:r>
          </w:p>
        </w:tc>
        <w:tc>
          <w:tcPr>
            <w:tcW w:w="1919" w:type="dxa"/>
          </w:tcPr>
          <w:p w14:paraId="4084FE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91919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2EDC9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4B30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97C7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C87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7CB6E9" w14:textId="77777777">
        <w:tc>
          <w:tcPr>
            <w:tcW w:w="959" w:type="dxa"/>
          </w:tcPr>
          <w:p w14:paraId="118EA4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847B3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684 кг</w:t>
            </w:r>
          </w:p>
        </w:tc>
        <w:tc>
          <w:tcPr>
            <w:tcW w:w="1919" w:type="dxa"/>
          </w:tcPr>
          <w:p w14:paraId="61C9D2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9CA1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DB97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046C4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FB8F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EBF0D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10D7FE" w14:textId="77777777">
        <w:tc>
          <w:tcPr>
            <w:tcW w:w="959" w:type="dxa"/>
          </w:tcPr>
          <w:p w14:paraId="4581D5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М-90</w:t>
            </w:r>
          </w:p>
        </w:tc>
        <w:tc>
          <w:tcPr>
            <w:tcW w:w="1677" w:type="dxa"/>
          </w:tcPr>
          <w:p w14:paraId="20E09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18-ти цилиндровый</w:t>
            </w:r>
          </w:p>
        </w:tc>
        <w:tc>
          <w:tcPr>
            <w:tcW w:w="1919" w:type="dxa"/>
          </w:tcPr>
          <w:p w14:paraId="63201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Совместные 50-ти</w:t>
            </w:r>
          </w:p>
        </w:tc>
        <w:tc>
          <w:tcPr>
            <w:tcW w:w="720" w:type="dxa"/>
          </w:tcPr>
          <w:p w14:paraId="626464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406A08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8000,0</w:t>
            </w:r>
          </w:p>
        </w:tc>
        <w:tc>
          <w:tcPr>
            <w:tcW w:w="927" w:type="dxa"/>
          </w:tcPr>
          <w:p w14:paraId="3EE7B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1870" w:type="dxa"/>
          </w:tcPr>
          <w:p w14:paraId="59AECB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в январе</w:t>
            </w:r>
          </w:p>
        </w:tc>
        <w:tc>
          <w:tcPr>
            <w:tcW w:w="1435" w:type="dxa"/>
          </w:tcPr>
          <w:p w14:paraId="21B523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 переходит</w:t>
            </w:r>
          </w:p>
        </w:tc>
      </w:tr>
      <w:tr w:rsidR="006F4095" w:rsidRPr="008127F8" w14:paraId="79DFFA41" w14:textId="77777777">
        <w:tc>
          <w:tcPr>
            <w:tcW w:w="959" w:type="dxa"/>
          </w:tcPr>
          <w:p w14:paraId="4A3AF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37B2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двухрядн. звездообразн.</w:t>
            </w:r>
          </w:p>
        </w:tc>
        <w:tc>
          <w:tcPr>
            <w:tcW w:w="1919" w:type="dxa"/>
          </w:tcPr>
          <w:p w14:paraId="1ACC1B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720" w:type="dxa"/>
          </w:tcPr>
          <w:p w14:paraId="234548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3F9E0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29AE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233C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 50-ти часовые</w:t>
            </w:r>
          </w:p>
        </w:tc>
        <w:tc>
          <w:tcPr>
            <w:tcW w:w="1435" w:type="dxa"/>
          </w:tcPr>
          <w:p w14:paraId="48C648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1941 г.</w:t>
            </w:r>
          </w:p>
        </w:tc>
      </w:tr>
      <w:tr w:rsidR="006F4095" w:rsidRPr="008127F8" w14:paraId="0156533C" w14:textId="77777777">
        <w:tc>
          <w:tcPr>
            <w:tcW w:w="959" w:type="dxa"/>
          </w:tcPr>
          <w:p w14:paraId="209079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19CFC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воздушного</w:t>
            </w:r>
          </w:p>
        </w:tc>
        <w:tc>
          <w:tcPr>
            <w:tcW w:w="1919" w:type="dxa"/>
          </w:tcPr>
          <w:p w14:paraId="5E9708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6340A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16BC9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F0C96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F179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1A1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r>
      <w:tr w:rsidR="006F4095" w:rsidRPr="008127F8" w14:paraId="6C2E8111" w14:textId="77777777">
        <w:tc>
          <w:tcPr>
            <w:tcW w:w="959" w:type="dxa"/>
          </w:tcPr>
          <w:p w14:paraId="67C3C3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250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1434DA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Специальные летные</w:t>
            </w:r>
          </w:p>
        </w:tc>
        <w:tc>
          <w:tcPr>
            <w:tcW w:w="720" w:type="dxa"/>
          </w:tcPr>
          <w:p w14:paraId="4A9CE8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июля</w:t>
            </w:r>
          </w:p>
        </w:tc>
        <w:tc>
          <w:tcPr>
            <w:tcW w:w="1088" w:type="dxa"/>
          </w:tcPr>
          <w:p w14:paraId="0084EC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6F14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E63D3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форсированном режиме.</w:t>
            </w:r>
          </w:p>
        </w:tc>
        <w:tc>
          <w:tcPr>
            <w:tcW w:w="1435" w:type="dxa"/>
          </w:tcPr>
          <w:p w14:paraId="06A7BD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2843D5" w14:textId="77777777">
        <w:tc>
          <w:tcPr>
            <w:tcW w:w="959" w:type="dxa"/>
          </w:tcPr>
          <w:p w14:paraId="4F1A64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7D69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603588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самолете</w:t>
            </w:r>
          </w:p>
        </w:tc>
        <w:tc>
          <w:tcPr>
            <w:tcW w:w="720" w:type="dxa"/>
          </w:tcPr>
          <w:p w14:paraId="00CDD4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734EA2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C431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A9E3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8457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B341B5B" w14:textId="77777777">
        <w:tc>
          <w:tcPr>
            <w:tcW w:w="959" w:type="dxa"/>
          </w:tcPr>
          <w:p w14:paraId="32BF3A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3C4D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1950 л.с.</w:t>
            </w:r>
          </w:p>
        </w:tc>
        <w:tc>
          <w:tcPr>
            <w:tcW w:w="1919" w:type="dxa"/>
          </w:tcPr>
          <w:p w14:paraId="3D7166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700B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w:t>
            </w:r>
          </w:p>
        </w:tc>
        <w:tc>
          <w:tcPr>
            <w:tcW w:w="1088" w:type="dxa"/>
          </w:tcPr>
          <w:p w14:paraId="5F6B47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A693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7FC8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3EB1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BEDB81" w14:textId="77777777">
        <w:tc>
          <w:tcPr>
            <w:tcW w:w="959" w:type="dxa"/>
          </w:tcPr>
          <w:p w14:paraId="490A71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B187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25A377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Гос. 100-часовые</w:t>
            </w:r>
          </w:p>
        </w:tc>
        <w:tc>
          <w:tcPr>
            <w:tcW w:w="720" w:type="dxa"/>
          </w:tcPr>
          <w:p w14:paraId="0B2A16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1088" w:type="dxa"/>
          </w:tcPr>
          <w:p w14:paraId="68B872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1D2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1462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0638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EF27AD" w14:textId="77777777">
        <w:tc>
          <w:tcPr>
            <w:tcW w:w="959" w:type="dxa"/>
          </w:tcPr>
          <w:p w14:paraId="43F7D0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509D3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2750 м - 1800 л.с.</w:t>
            </w:r>
          </w:p>
        </w:tc>
        <w:tc>
          <w:tcPr>
            <w:tcW w:w="1919" w:type="dxa"/>
          </w:tcPr>
          <w:p w14:paraId="35029F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40B383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1BD9B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08A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17F5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3B8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7294DB" w14:textId="77777777">
        <w:tc>
          <w:tcPr>
            <w:tcW w:w="959" w:type="dxa"/>
          </w:tcPr>
          <w:p w14:paraId="44D21D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BC073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310EB0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85D4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8300F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BF6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8DF3F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986B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D3C3FF" w14:textId="77777777">
        <w:tc>
          <w:tcPr>
            <w:tcW w:w="959" w:type="dxa"/>
          </w:tcPr>
          <w:p w14:paraId="2FC583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492B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 - 1500 л.с.</w:t>
            </w:r>
          </w:p>
        </w:tc>
        <w:tc>
          <w:tcPr>
            <w:tcW w:w="1919" w:type="dxa"/>
          </w:tcPr>
          <w:p w14:paraId="5D14EE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211E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C953B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2240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116B2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BCCB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51B3B3" w14:textId="77777777">
        <w:tc>
          <w:tcPr>
            <w:tcW w:w="959" w:type="dxa"/>
          </w:tcPr>
          <w:p w14:paraId="6612F3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12F0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71998C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A331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AC08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C092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9B4F7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9189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43149C" w14:textId="77777777">
        <w:tc>
          <w:tcPr>
            <w:tcW w:w="959" w:type="dxa"/>
          </w:tcPr>
          <w:p w14:paraId="6967AE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98EC7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057FD2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BF0F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3BBB1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29661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E302D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3C6D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417BF7" w14:textId="77777777">
        <w:tc>
          <w:tcPr>
            <w:tcW w:w="959" w:type="dxa"/>
          </w:tcPr>
          <w:p w14:paraId="7E7A77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4605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 гр/лсч</w:t>
            </w:r>
          </w:p>
        </w:tc>
        <w:tc>
          <w:tcPr>
            <w:tcW w:w="1919" w:type="dxa"/>
          </w:tcPr>
          <w:p w14:paraId="084AB7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55B99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0D37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28B7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0444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C57C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7AEBBD5" w14:textId="77777777">
        <w:tc>
          <w:tcPr>
            <w:tcW w:w="959" w:type="dxa"/>
          </w:tcPr>
          <w:p w14:paraId="7D3D8D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71AC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4CFDE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049D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15D8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1188B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BE7C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7AF35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8225C7" w14:textId="77777777">
        <w:tc>
          <w:tcPr>
            <w:tcW w:w="959" w:type="dxa"/>
          </w:tcPr>
          <w:p w14:paraId="256898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8A38A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1050 кг</w:t>
            </w:r>
          </w:p>
        </w:tc>
        <w:tc>
          <w:tcPr>
            <w:tcW w:w="1919" w:type="dxa"/>
          </w:tcPr>
          <w:p w14:paraId="7500B1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AF54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F5754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53ED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CE3B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DBFC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BE6422" w14:textId="77777777">
        <w:tc>
          <w:tcPr>
            <w:tcW w:w="959" w:type="dxa"/>
          </w:tcPr>
          <w:p w14:paraId="31F000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F4D84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BE31A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7A5F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7BB28F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8000,0</w:t>
            </w:r>
          </w:p>
        </w:tc>
        <w:tc>
          <w:tcPr>
            <w:tcW w:w="927" w:type="dxa"/>
          </w:tcPr>
          <w:p w14:paraId="0C29CC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9005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2F3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646A6C" w14:textId="77777777">
        <w:tc>
          <w:tcPr>
            <w:tcW w:w="959" w:type="dxa"/>
          </w:tcPr>
          <w:p w14:paraId="2B1424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N </w:t>
            </w:r>
            <w:r w:rsidRPr="008127F8">
              <w:rPr>
                <w:rFonts w:ascii="Times New Roman" w:hAnsi="Times New Roman"/>
                <w:color w:val="000000" w:themeColor="text1"/>
                <w:sz w:val="16"/>
                <w:szCs w:val="16"/>
              </w:rPr>
              <w:lastRenderedPageBreak/>
              <w:t>154</w:t>
            </w:r>
          </w:p>
        </w:tc>
        <w:tc>
          <w:tcPr>
            <w:tcW w:w="1677" w:type="dxa"/>
          </w:tcPr>
          <w:p w14:paraId="3EC531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E1449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5A97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D63E8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D30D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BC2D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256A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97C5139" w14:textId="77777777">
        <w:tc>
          <w:tcPr>
            <w:tcW w:w="959" w:type="dxa"/>
          </w:tcPr>
          <w:p w14:paraId="265378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М-11Ф</w:t>
            </w:r>
          </w:p>
        </w:tc>
        <w:tc>
          <w:tcPr>
            <w:tcW w:w="1677" w:type="dxa"/>
          </w:tcPr>
          <w:p w14:paraId="6B36CA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5-ти цилиндровый</w:t>
            </w:r>
          </w:p>
        </w:tc>
        <w:tc>
          <w:tcPr>
            <w:tcW w:w="1919" w:type="dxa"/>
          </w:tcPr>
          <w:p w14:paraId="2FF689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Гос. испытания на</w:t>
            </w:r>
          </w:p>
        </w:tc>
        <w:tc>
          <w:tcPr>
            <w:tcW w:w="720" w:type="dxa"/>
          </w:tcPr>
          <w:p w14:paraId="1FFFD7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w:t>
            </w:r>
          </w:p>
        </w:tc>
        <w:tc>
          <w:tcPr>
            <w:tcW w:w="1088" w:type="dxa"/>
          </w:tcPr>
          <w:p w14:paraId="350C5D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w:t>
            </w:r>
          </w:p>
        </w:tc>
        <w:tc>
          <w:tcPr>
            <w:tcW w:w="927" w:type="dxa"/>
          </w:tcPr>
          <w:p w14:paraId="365C37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w:t>
            </w:r>
          </w:p>
        </w:tc>
        <w:tc>
          <w:tcPr>
            <w:tcW w:w="1870" w:type="dxa"/>
          </w:tcPr>
          <w:p w14:paraId="0AB936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360-ти</w:t>
            </w:r>
          </w:p>
        </w:tc>
        <w:tc>
          <w:tcPr>
            <w:tcW w:w="1435" w:type="dxa"/>
          </w:tcPr>
          <w:p w14:paraId="7E6811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2E696BB2" w14:textId="77777777">
        <w:tc>
          <w:tcPr>
            <w:tcW w:w="959" w:type="dxa"/>
          </w:tcPr>
          <w:p w14:paraId="3144FD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B66E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однорядный звездообраз.</w:t>
            </w:r>
          </w:p>
        </w:tc>
        <w:tc>
          <w:tcPr>
            <w:tcW w:w="1919" w:type="dxa"/>
          </w:tcPr>
          <w:p w14:paraId="77A9DF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4AFC13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38A55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091C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w:t>
            </w:r>
          </w:p>
        </w:tc>
        <w:tc>
          <w:tcPr>
            <w:tcW w:w="1870" w:type="dxa"/>
          </w:tcPr>
          <w:p w14:paraId="518C45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заводские</w:t>
            </w:r>
          </w:p>
        </w:tc>
        <w:tc>
          <w:tcPr>
            <w:tcW w:w="1435" w:type="dxa"/>
          </w:tcPr>
          <w:p w14:paraId="0D631D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988165" w14:textId="77777777">
        <w:tc>
          <w:tcPr>
            <w:tcW w:w="959" w:type="dxa"/>
          </w:tcPr>
          <w:p w14:paraId="1D5564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FF8B9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воздушного</w:t>
            </w:r>
          </w:p>
        </w:tc>
        <w:tc>
          <w:tcPr>
            <w:tcW w:w="1919" w:type="dxa"/>
          </w:tcPr>
          <w:p w14:paraId="33F047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 летные</w:t>
            </w:r>
          </w:p>
        </w:tc>
        <w:tc>
          <w:tcPr>
            <w:tcW w:w="720" w:type="dxa"/>
          </w:tcPr>
          <w:p w14:paraId="23FF4C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w:t>
            </w:r>
          </w:p>
        </w:tc>
        <w:tc>
          <w:tcPr>
            <w:tcW w:w="1088" w:type="dxa"/>
          </w:tcPr>
          <w:p w14:paraId="141C35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3291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w:t>
            </w:r>
          </w:p>
        </w:tc>
        <w:tc>
          <w:tcPr>
            <w:tcW w:w="1870" w:type="dxa"/>
          </w:tcPr>
          <w:p w14:paraId="44091F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w:t>
            </w:r>
          </w:p>
        </w:tc>
        <w:tc>
          <w:tcPr>
            <w:tcW w:w="1435" w:type="dxa"/>
          </w:tcPr>
          <w:p w14:paraId="2D1ADC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F9C67C" w14:textId="77777777">
        <w:tc>
          <w:tcPr>
            <w:tcW w:w="959" w:type="dxa"/>
          </w:tcPr>
          <w:p w14:paraId="47A901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B882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76762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самолете.</w:t>
            </w:r>
          </w:p>
        </w:tc>
        <w:tc>
          <w:tcPr>
            <w:tcW w:w="720" w:type="dxa"/>
          </w:tcPr>
          <w:p w14:paraId="2E2AB2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7048B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698A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FFF46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F3D76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D85BB0" w14:textId="77777777">
        <w:tc>
          <w:tcPr>
            <w:tcW w:w="959" w:type="dxa"/>
          </w:tcPr>
          <w:p w14:paraId="70402C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FA35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представляющий собой</w:t>
            </w:r>
          </w:p>
        </w:tc>
        <w:tc>
          <w:tcPr>
            <w:tcW w:w="1919" w:type="dxa"/>
          </w:tcPr>
          <w:p w14:paraId="61E546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D631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B2741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186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DC3E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496C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EAF0871" w14:textId="77777777">
        <w:tc>
          <w:tcPr>
            <w:tcW w:w="959" w:type="dxa"/>
          </w:tcPr>
          <w:p w14:paraId="48423F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8D3B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развитие мотора М-11 по</w:t>
            </w:r>
          </w:p>
        </w:tc>
        <w:tc>
          <w:tcPr>
            <w:tcW w:w="1919" w:type="dxa"/>
          </w:tcPr>
          <w:p w14:paraId="353EBB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AE96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D24F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4B53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D880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CD79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4F339C" w14:textId="77777777">
        <w:tc>
          <w:tcPr>
            <w:tcW w:w="959" w:type="dxa"/>
          </w:tcPr>
          <w:p w14:paraId="1BE3C7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6445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мощности со сроком</w:t>
            </w:r>
          </w:p>
        </w:tc>
        <w:tc>
          <w:tcPr>
            <w:tcW w:w="1919" w:type="dxa"/>
          </w:tcPr>
          <w:p w14:paraId="7DD5BA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B7236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AC27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8047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E3A69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F3C1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9D41AE" w14:textId="77777777">
        <w:tc>
          <w:tcPr>
            <w:tcW w:w="959" w:type="dxa"/>
          </w:tcPr>
          <w:p w14:paraId="6C7B9B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F8F2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службы между</w:t>
            </w:r>
          </w:p>
        </w:tc>
        <w:tc>
          <w:tcPr>
            <w:tcW w:w="1919" w:type="dxa"/>
          </w:tcPr>
          <w:p w14:paraId="558001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D583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0FD5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748C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3E26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4B37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BB0111" w14:textId="77777777">
        <w:tc>
          <w:tcPr>
            <w:tcW w:w="959" w:type="dxa"/>
          </w:tcPr>
          <w:p w14:paraId="2EED86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548C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переборками в летной</w:t>
            </w:r>
          </w:p>
        </w:tc>
        <w:tc>
          <w:tcPr>
            <w:tcW w:w="1919" w:type="dxa"/>
          </w:tcPr>
          <w:p w14:paraId="6B93ED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F7FC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8A762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856C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91B6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116E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B82444" w14:textId="77777777">
        <w:tc>
          <w:tcPr>
            <w:tcW w:w="959" w:type="dxa"/>
          </w:tcPr>
          <w:p w14:paraId="7A24C6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FE43B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 400 часов.</w:t>
            </w:r>
          </w:p>
        </w:tc>
        <w:tc>
          <w:tcPr>
            <w:tcW w:w="1919" w:type="dxa"/>
          </w:tcPr>
          <w:p w14:paraId="21DB79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BE0F4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063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5F05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D6919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0D13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954C3B7" w14:textId="77777777">
        <w:tc>
          <w:tcPr>
            <w:tcW w:w="959" w:type="dxa"/>
          </w:tcPr>
          <w:p w14:paraId="075437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ED40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w:t>
            </w:r>
          </w:p>
        </w:tc>
        <w:tc>
          <w:tcPr>
            <w:tcW w:w="1919" w:type="dxa"/>
          </w:tcPr>
          <w:p w14:paraId="5CD38C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B500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E6AE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C263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62E7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6636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4387D4" w14:textId="77777777">
        <w:tc>
          <w:tcPr>
            <w:tcW w:w="959" w:type="dxa"/>
          </w:tcPr>
          <w:p w14:paraId="13E4F2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41ED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 л.с.</w:t>
            </w:r>
          </w:p>
        </w:tc>
        <w:tc>
          <w:tcPr>
            <w:tcW w:w="1919" w:type="dxa"/>
          </w:tcPr>
          <w:p w14:paraId="69512A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D2EB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8F63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D7DF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952D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00036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5D1F00" w14:textId="77777777">
        <w:tc>
          <w:tcPr>
            <w:tcW w:w="959" w:type="dxa"/>
          </w:tcPr>
          <w:p w14:paraId="60BEA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368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по</w:t>
            </w:r>
          </w:p>
        </w:tc>
        <w:tc>
          <w:tcPr>
            <w:tcW w:w="1919" w:type="dxa"/>
          </w:tcPr>
          <w:p w14:paraId="00A003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C1DF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99C89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46C2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AEC6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FED5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F74BE7" w14:textId="77777777">
        <w:tc>
          <w:tcPr>
            <w:tcW w:w="959" w:type="dxa"/>
          </w:tcPr>
          <w:p w14:paraId="5F7AEA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7CCC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эксплуатационной</w:t>
            </w:r>
          </w:p>
        </w:tc>
        <w:tc>
          <w:tcPr>
            <w:tcW w:w="1919" w:type="dxa"/>
          </w:tcPr>
          <w:p w14:paraId="13CF22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C669B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5A54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6965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958A1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82A9D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1440D0" w14:textId="77777777">
        <w:tc>
          <w:tcPr>
            <w:tcW w:w="959" w:type="dxa"/>
          </w:tcPr>
          <w:p w14:paraId="3B27B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F9DD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мощности 235-240 гр/лсч</w:t>
            </w:r>
          </w:p>
        </w:tc>
        <w:tc>
          <w:tcPr>
            <w:tcW w:w="1919" w:type="dxa"/>
          </w:tcPr>
          <w:p w14:paraId="75C1EB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77B4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4A14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F0F2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8750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2B52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A6E1A0" w14:textId="77777777">
        <w:tc>
          <w:tcPr>
            <w:tcW w:w="959" w:type="dxa"/>
          </w:tcPr>
          <w:p w14:paraId="0F074A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B649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Б-70</w:t>
            </w:r>
          </w:p>
        </w:tc>
        <w:tc>
          <w:tcPr>
            <w:tcW w:w="1919" w:type="dxa"/>
          </w:tcPr>
          <w:p w14:paraId="5D3A8E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831B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2C640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A193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9F89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5EF9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2BCDFF" w14:textId="77777777">
        <w:tc>
          <w:tcPr>
            <w:tcW w:w="959" w:type="dxa"/>
          </w:tcPr>
          <w:p w14:paraId="752A79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846D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160 кг</w:t>
            </w:r>
          </w:p>
        </w:tc>
        <w:tc>
          <w:tcPr>
            <w:tcW w:w="1919" w:type="dxa"/>
          </w:tcPr>
          <w:p w14:paraId="687842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8CD8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E6A00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A67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A51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89D7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46A4AE" w14:textId="77777777">
        <w:tc>
          <w:tcPr>
            <w:tcW w:w="959" w:type="dxa"/>
          </w:tcPr>
          <w:p w14:paraId="0E8A81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М-12</w:t>
            </w:r>
          </w:p>
        </w:tc>
        <w:tc>
          <w:tcPr>
            <w:tcW w:w="1677" w:type="dxa"/>
          </w:tcPr>
          <w:p w14:paraId="72A0CC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5-ти цилиндровый</w:t>
            </w:r>
          </w:p>
        </w:tc>
        <w:tc>
          <w:tcPr>
            <w:tcW w:w="1919" w:type="dxa"/>
          </w:tcPr>
          <w:p w14:paraId="1DCAF4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Совместные испытания</w:t>
            </w:r>
          </w:p>
        </w:tc>
        <w:tc>
          <w:tcPr>
            <w:tcW w:w="720" w:type="dxa"/>
          </w:tcPr>
          <w:p w14:paraId="0E22F6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6E4DBA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927" w:type="dxa"/>
          </w:tcPr>
          <w:p w14:paraId="36E6BB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w:t>
            </w:r>
          </w:p>
        </w:tc>
        <w:tc>
          <w:tcPr>
            <w:tcW w:w="1870" w:type="dxa"/>
          </w:tcPr>
          <w:p w14:paraId="4CAEE5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B015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997E04C" w14:textId="77777777">
        <w:tc>
          <w:tcPr>
            <w:tcW w:w="959" w:type="dxa"/>
          </w:tcPr>
          <w:p w14:paraId="432870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7EBD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однорядный звездообраз.</w:t>
            </w:r>
          </w:p>
        </w:tc>
        <w:tc>
          <w:tcPr>
            <w:tcW w:w="1919" w:type="dxa"/>
          </w:tcPr>
          <w:p w14:paraId="763220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станке.</w:t>
            </w:r>
          </w:p>
        </w:tc>
        <w:tc>
          <w:tcPr>
            <w:tcW w:w="720" w:type="dxa"/>
          </w:tcPr>
          <w:p w14:paraId="7C1D3D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08BC39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E932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3FA4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w:t>
            </w:r>
          </w:p>
        </w:tc>
        <w:tc>
          <w:tcPr>
            <w:tcW w:w="1435" w:type="dxa"/>
          </w:tcPr>
          <w:p w14:paraId="0C8A88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35C3E58" w14:textId="77777777">
        <w:tc>
          <w:tcPr>
            <w:tcW w:w="959" w:type="dxa"/>
          </w:tcPr>
          <w:p w14:paraId="1284A0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0651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воздушного</w:t>
            </w:r>
          </w:p>
        </w:tc>
        <w:tc>
          <w:tcPr>
            <w:tcW w:w="1919" w:type="dxa"/>
          </w:tcPr>
          <w:p w14:paraId="5E72CB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Специальные летные</w:t>
            </w:r>
          </w:p>
        </w:tc>
        <w:tc>
          <w:tcPr>
            <w:tcW w:w="720" w:type="dxa"/>
          </w:tcPr>
          <w:p w14:paraId="74E30E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1088" w:type="dxa"/>
          </w:tcPr>
          <w:p w14:paraId="45B216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1A1A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УТ-2</w:t>
            </w:r>
          </w:p>
        </w:tc>
        <w:tc>
          <w:tcPr>
            <w:tcW w:w="1870" w:type="dxa"/>
          </w:tcPr>
          <w:p w14:paraId="708A3E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81A9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577906" w14:textId="77777777">
        <w:tc>
          <w:tcPr>
            <w:tcW w:w="959" w:type="dxa"/>
          </w:tcPr>
          <w:p w14:paraId="44D08F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01002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 (дальнейшее</w:t>
            </w:r>
          </w:p>
        </w:tc>
        <w:tc>
          <w:tcPr>
            <w:tcW w:w="1919" w:type="dxa"/>
          </w:tcPr>
          <w:p w14:paraId="512B08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самолете.</w:t>
            </w:r>
          </w:p>
        </w:tc>
        <w:tc>
          <w:tcPr>
            <w:tcW w:w="720" w:type="dxa"/>
          </w:tcPr>
          <w:p w14:paraId="7AF8ED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AB29B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10907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7E9E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889F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0092A7" w14:textId="77777777">
        <w:tc>
          <w:tcPr>
            <w:tcW w:w="959" w:type="dxa"/>
          </w:tcPr>
          <w:p w14:paraId="38CAC6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3893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развитие мотора М-11)</w:t>
            </w:r>
          </w:p>
        </w:tc>
        <w:tc>
          <w:tcPr>
            <w:tcW w:w="1919" w:type="dxa"/>
          </w:tcPr>
          <w:p w14:paraId="538C66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Гос. испытания на</w:t>
            </w:r>
          </w:p>
        </w:tc>
        <w:tc>
          <w:tcPr>
            <w:tcW w:w="720" w:type="dxa"/>
          </w:tcPr>
          <w:p w14:paraId="4C53EC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1088" w:type="dxa"/>
          </w:tcPr>
          <w:p w14:paraId="4AAE7D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30727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81AA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70A8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4FEF6DA" w14:textId="77777777">
        <w:tc>
          <w:tcPr>
            <w:tcW w:w="959" w:type="dxa"/>
          </w:tcPr>
          <w:p w14:paraId="1F06FC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A1CAF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w:t>
            </w:r>
          </w:p>
        </w:tc>
        <w:tc>
          <w:tcPr>
            <w:tcW w:w="1919" w:type="dxa"/>
          </w:tcPr>
          <w:p w14:paraId="697F94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5E67D1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FE156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2CE4C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5AB4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5D059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B4433E" w14:textId="77777777">
        <w:tc>
          <w:tcPr>
            <w:tcW w:w="959" w:type="dxa"/>
          </w:tcPr>
          <w:p w14:paraId="0450EA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F33B5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190 л.с.</w:t>
            </w:r>
          </w:p>
        </w:tc>
        <w:tc>
          <w:tcPr>
            <w:tcW w:w="1919" w:type="dxa"/>
          </w:tcPr>
          <w:p w14:paraId="6DCCBF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2DD76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50634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A0C74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D73C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E4010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85832C" w14:textId="77777777">
        <w:tc>
          <w:tcPr>
            <w:tcW w:w="959" w:type="dxa"/>
          </w:tcPr>
          <w:p w14:paraId="7084AC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CCF9C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Б-70</w:t>
            </w:r>
          </w:p>
        </w:tc>
        <w:tc>
          <w:tcPr>
            <w:tcW w:w="1919" w:type="dxa"/>
          </w:tcPr>
          <w:p w14:paraId="33A8A2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770DA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76AF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3004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3023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C76B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2E6D686" w14:textId="77777777">
        <w:tc>
          <w:tcPr>
            <w:tcW w:w="959" w:type="dxa"/>
          </w:tcPr>
          <w:p w14:paraId="070621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14D6D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w:t>
            </w:r>
          </w:p>
        </w:tc>
        <w:tc>
          <w:tcPr>
            <w:tcW w:w="1919" w:type="dxa"/>
          </w:tcPr>
          <w:p w14:paraId="626348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F04D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D3B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E336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AD4B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83060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80A1EA7" w14:textId="77777777">
        <w:tc>
          <w:tcPr>
            <w:tcW w:w="959" w:type="dxa"/>
          </w:tcPr>
          <w:p w14:paraId="0CC098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9F1E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165-170 кг</w:t>
            </w:r>
          </w:p>
        </w:tc>
        <w:tc>
          <w:tcPr>
            <w:tcW w:w="1919" w:type="dxa"/>
          </w:tcPr>
          <w:p w14:paraId="1A7183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DAEB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8784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F8C7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0647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FF2FE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C9C202" w14:textId="77777777">
        <w:tc>
          <w:tcPr>
            <w:tcW w:w="959" w:type="dxa"/>
          </w:tcPr>
          <w:p w14:paraId="6746E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3C6C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A240D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3684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6A8703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1700,0</w:t>
            </w:r>
          </w:p>
        </w:tc>
        <w:tc>
          <w:tcPr>
            <w:tcW w:w="927" w:type="dxa"/>
          </w:tcPr>
          <w:p w14:paraId="58A080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8002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DCB9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087786" w14:textId="77777777">
        <w:tc>
          <w:tcPr>
            <w:tcW w:w="959" w:type="dxa"/>
          </w:tcPr>
          <w:p w14:paraId="7E2497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ОКБ-250</w:t>
            </w:r>
          </w:p>
        </w:tc>
        <w:tc>
          <w:tcPr>
            <w:tcW w:w="1677" w:type="dxa"/>
          </w:tcPr>
          <w:p w14:paraId="5CE33B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468B0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4A0E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20F9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FF6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0C23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FB043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10B8A5" w14:textId="77777777">
        <w:tc>
          <w:tcPr>
            <w:tcW w:w="959" w:type="dxa"/>
          </w:tcPr>
          <w:p w14:paraId="77DE45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М-250</w:t>
            </w:r>
          </w:p>
        </w:tc>
        <w:tc>
          <w:tcPr>
            <w:tcW w:w="1677" w:type="dxa"/>
          </w:tcPr>
          <w:p w14:paraId="252D14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6-ти блочная, 4-х</w:t>
            </w:r>
          </w:p>
        </w:tc>
        <w:tc>
          <w:tcPr>
            <w:tcW w:w="1919" w:type="dxa"/>
          </w:tcPr>
          <w:p w14:paraId="4D69DB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Совместные 50-ти</w:t>
            </w:r>
          </w:p>
        </w:tc>
        <w:tc>
          <w:tcPr>
            <w:tcW w:w="720" w:type="dxa"/>
          </w:tcPr>
          <w:p w14:paraId="711D63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июля</w:t>
            </w:r>
          </w:p>
        </w:tc>
        <w:tc>
          <w:tcPr>
            <w:tcW w:w="1088" w:type="dxa"/>
          </w:tcPr>
          <w:p w14:paraId="0F869A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оба</w:t>
            </w:r>
          </w:p>
        </w:tc>
        <w:tc>
          <w:tcPr>
            <w:tcW w:w="927" w:type="dxa"/>
          </w:tcPr>
          <w:p w14:paraId="39DF1D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w:t>
            </w:r>
          </w:p>
        </w:tc>
        <w:tc>
          <w:tcPr>
            <w:tcW w:w="1870" w:type="dxa"/>
          </w:tcPr>
          <w:p w14:paraId="3F82DD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Изготовлено и собрано</w:t>
            </w:r>
          </w:p>
        </w:tc>
        <w:tc>
          <w:tcPr>
            <w:tcW w:w="1435" w:type="dxa"/>
          </w:tcPr>
          <w:p w14:paraId="1A84CF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 переходит</w:t>
            </w:r>
          </w:p>
        </w:tc>
      </w:tr>
      <w:tr w:rsidR="006F4095" w:rsidRPr="008127F8" w14:paraId="2D88E7A5" w14:textId="77777777">
        <w:tc>
          <w:tcPr>
            <w:tcW w:w="959" w:type="dxa"/>
          </w:tcPr>
          <w:p w14:paraId="40889A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A318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рядная звезда</w:t>
            </w:r>
          </w:p>
        </w:tc>
        <w:tc>
          <w:tcPr>
            <w:tcW w:w="1919" w:type="dxa"/>
          </w:tcPr>
          <w:p w14:paraId="32EDA4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720" w:type="dxa"/>
          </w:tcPr>
          <w:p w14:paraId="61C61F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08ACBA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типа</w:t>
            </w:r>
          </w:p>
        </w:tc>
        <w:tc>
          <w:tcPr>
            <w:tcW w:w="927" w:type="dxa"/>
          </w:tcPr>
          <w:p w14:paraId="656F0F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w:t>
            </w:r>
          </w:p>
        </w:tc>
        <w:tc>
          <w:tcPr>
            <w:tcW w:w="1870" w:type="dxa"/>
          </w:tcPr>
          <w:p w14:paraId="70C432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мотора.</w:t>
            </w:r>
          </w:p>
        </w:tc>
        <w:tc>
          <w:tcPr>
            <w:tcW w:w="1435" w:type="dxa"/>
          </w:tcPr>
          <w:p w14:paraId="31CD56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1941 года.</w:t>
            </w:r>
          </w:p>
        </w:tc>
      </w:tr>
      <w:tr w:rsidR="006F4095" w:rsidRPr="008127F8" w14:paraId="3874F839" w14:textId="77777777">
        <w:tc>
          <w:tcPr>
            <w:tcW w:w="959" w:type="dxa"/>
          </w:tcPr>
          <w:p w14:paraId="782B7C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5834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4DD2C1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2948BF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6E74C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w:t>
            </w:r>
          </w:p>
        </w:tc>
        <w:tc>
          <w:tcPr>
            <w:tcW w:w="927" w:type="dxa"/>
          </w:tcPr>
          <w:p w14:paraId="5261F0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С.В.И.</w:t>
            </w:r>
          </w:p>
        </w:tc>
        <w:tc>
          <w:tcPr>
            <w:tcW w:w="1870" w:type="dxa"/>
          </w:tcPr>
          <w:p w14:paraId="1243FC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мотор на 1.IX.</w:t>
            </w:r>
          </w:p>
        </w:tc>
        <w:tc>
          <w:tcPr>
            <w:tcW w:w="1435" w:type="dxa"/>
          </w:tcPr>
          <w:p w14:paraId="5540F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629AE65" w14:textId="77777777">
        <w:tc>
          <w:tcPr>
            <w:tcW w:w="959" w:type="dxa"/>
          </w:tcPr>
          <w:p w14:paraId="7A637F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1DF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редуктором на соосные</w:t>
            </w:r>
          </w:p>
        </w:tc>
        <w:tc>
          <w:tcPr>
            <w:tcW w:w="1919" w:type="dxa"/>
          </w:tcPr>
          <w:p w14:paraId="5612D4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Специальные летные</w:t>
            </w:r>
          </w:p>
        </w:tc>
        <w:tc>
          <w:tcPr>
            <w:tcW w:w="720" w:type="dxa"/>
          </w:tcPr>
          <w:p w14:paraId="2B7322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w:t>
            </w:r>
          </w:p>
        </w:tc>
        <w:tc>
          <w:tcPr>
            <w:tcW w:w="1088" w:type="dxa"/>
          </w:tcPr>
          <w:p w14:paraId="7AF08A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10000,0</w:t>
            </w:r>
          </w:p>
        </w:tc>
        <w:tc>
          <w:tcPr>
            <w:tcW w:w="927" w:type="dxa"/>
          </w:tcPr>
          <w:p w14:paraId="78F59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420F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года наработал на</w:t>
            </w:r>
          </w:p>
        </w:tc>
        <w:tc>
          <w:tcPr>
            <w:tcW w:w="1435" w:type="dxa"/>
          </w:tcPr>
          <w:p w14:paraId="0157F3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C4ED66" w14:textId="77777777">
        <w:tc>
          <w:tcPr>
            <w:tcW w:w="959" w:type="dxa"/>
          </w:tcPr>
          <w:p w14:paraId="281431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AF20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винты.</w:t>
            </w:r>
          </w:p>
        </w:tc>
        <w:tc>
          <w:tcPr>
            <w:tcW w:w="1919" w:type="dxa"/>
          </w:tcPr>
          <w:p w14:paraId="3E8F09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штурмовике</w:t>
            </w:r>
          </w:p>
        </w:tc>
        <w:tc>
          <w:tcPr>
            <w:tcW w:w="720" w:type="dxa"/>
          </w:tcPr>
          <w:p w14:paraId="107C9D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7A64C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1DDD1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C3CA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разных режимах, включая</w:t>
            </w:r>
          </w:p>
        </w:tc>
        <w:tc>
          <w:tcPr>
            <w:tcW w:w="1435" w:type="dxa"/>
          </w:tcPr>
          <w:p w14:paraId="13431D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18DC25" w14:textId="77777777">
        <w:tc>
          <w:tcPr>
            <w:tcW w:w="959" w:type="dxa"/>
          </w:tcPr>
          <w:p w14:paraId="6DD425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BA9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Мотор для штурмовой</w:t>
            </w:r>
          </w:p>
        </w:tc>
        <w:tc>
          <w:tcPr>
            <w:tcW w:w="1919" w:type="dxa"/>
          </w:tcPr>
          <w:p w14:paraId="57669F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конструкции Ильюшина.</w:t>
            </w:r>
          </w:p>
        </w:tc>
        <w:tc>
          <w:tcPr>
            <w:tcW w:w="720" w:type="dxa"/>
          </w:tcPr>
          <w:p w14:paraId="16EEC3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C373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5353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33AB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малый газ - 55 час.</w:t>
            </w:r>
          </w:p>
        </w:tc>
        <w:tc>
          <w:tcPr>
            <w:tcW w:w="1435" w:type="dxa"/>
          </w:tcPr>
          <w:p w14:paraId="4A4B98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F218C3" w14:textId="77777777">
        <w:tc>
          <w:tcPr>
            <w:tcW w:w="959" w:type="dxa"/>
          </w:tcPr>
          <w:p w14:paraId="41C258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C33C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авиации с односкоростн.</w:t>
            </w:r>
          </w:p>
        </w:tc>
        <w:tc>
          <w:tcPr>
            <w:tcW w:w="1919" w:type="dxa"/>
          </w:tcPr>
          <w:p w14:paraId="77FB68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Гос. 100-часовые</w:t>
            </w:r>
          </w:p>
        </w:tc>
        <w:tc>
          <w:tcPr>
            <w:tcW w:w="720" w:type="dxa"/>
          </w:tcPr>
          <w:p w14:paraId="02D685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дек.</w:t>
            </w:r>
          </w:p>
        </w:tc>
        <w:tc>
          <w:tcPr>
            <w:tcW w:w="1088" w:type="dxa"/>
          </w:tcPr>
          <w:p w14:paraId="7ABBB7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7465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6AF1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 мин., из них 10 часов</w:t>
            </w:r>
          </w:p>
        </w:tc>
        <w:tc>
          <w:tcPr>
            <w:tcW w:w="1435" w:type="dxa"/>
          </w:tcPr>
          <w:p w14:paraId="7BC587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A9ABE1" w14:textId="77777777">
        <w:tc>
          <w:tcPr>
            <w:tcW w:w="959" w:type="dxa"/>
          </w:tcPr>
          <w:p w14:paraId="59ACDD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C825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нагнетателем</w:t>
            </w:r>
          </w:p>
        </w:tc>
        <w:tc>
          <w:tcPr>
            <w:tcW w:w="1919" w:type="dxa"/>
          </w:tcPr>
          <w:p w14:paraId="345E09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169F54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798927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DB248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865A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оборотах 3100 об/мин.</w:t>
            </w:r>
          </w:p>
        </w:tc>
        <w:tc>
          <w:tcPr>
            <w:tcW w:w="1435" w:type="dxa"/>
          </w:tcPr>
          <w:p w14:paraId="4C5B2B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07A18D" w14:textId="77777777">
        <w:tc>
          <w:tcPr>
            <w:tcW w:w="959" w:type="dxa"/>
          </w:tcPr>
          <w:p w14:paraId="6833B5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D046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2B2DFF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B0EC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46D0F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0B26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D351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проходит заводскую</w:t>
            </w:r>
          </w:p>
        </w:tc>
        <w:tc>
          <w:tcPr>
            <w:tcW w:w="1435" w:type="dxa"/>
          </w:tcPr>
          <w:p w14:paraId="12E4F1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07DD28" w14:textId="77777777">
        <w:tc>
          <w:tcPr>
            <w:tcW w:w="959" w:type="dxa"/>
          </w:tcPr>
          <w:p w14:paraId="63CD89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F2A31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 л.с.</w:t>
            </w:r>
          </w:p>
        </w:tc>
        <w:tc>
          <w:tcPr>
            <w:tcW w:w="1919" w:type="dxa"/>
          </w:tcPr>
          <w:p w14:paraId="70A81F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CD6D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F49F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8941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A9173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отработку до проектных</w:t>
            </w:r>
          </w:p>
        </w:tc>
        <w:tc>
          <w:tcPr>
            <w:tcW w:w="1435" w:type="dxa"/>
          </w:tcPr>
          <w:p w14:paraId="28F5BA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F3C74D1" w14:textId="77777777">
        <w:tc>
          <w:tcPr>
            <w:tcW w:w="959" w:type="dxa"/>
          </w:tcPr>
          <w:p w14:paraId="26BC44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AE6D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01BB1D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5EBE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7C102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29A88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69D4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данных.</w:t>
            </w:r>
          </w:p>
        </w:tc>
        <w:tc>
          <w:tcPr>
            <w:tcW w:w="1435" w:type="dxa"/>
          </w:tcPr>
          <w:p w14:paraId="6FF759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22E309" w14:textId="77777777">
        <w:tc>
          <w:tcPr>
            <w:tcW w:w="959" w:type="dxa"/>
          </w:tcPr>
          <w:p w14:paraId="4D5A7F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D711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м - 2300 л.с.</w:t>
            </w:r>
          </w:p>
        </w:tc>
        <w:tc>
          <w:tcPr>
            <w:tcW w:w="1919" w:type="dxa"/>
          </w:tcPr>
          <w:p w14:paraId="0CCED4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AB95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8AA8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72CD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3BB7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CFC8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972285" w14:textId="77777777">
        <w:tc>
          <w:tcPr>
            <w:tcW w:w="959" w:type="dxa"/>
          </w:tcPr>
          <w:p w14:paraId="256C8B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31FA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286805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A69B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A535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EF5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2025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5D2D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9C5100" w14:textId="77777777">
        <w:tc>
          <w:tcPr>
            <w:tcW w:w="959" w:type="dxa"/>
          </w:tcPr>
          <w:p w14:paraId="731422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77C9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1C8624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20F6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AB39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C40C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31F5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B69C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9CB0BD" w14:textId="77777777">
        <w:tc>
          <w:tcPr>
            <w:tcW w:w="959" w:type="dxa"/>
          </w:tcPr>
          <w:p w14:paraId="75DC3E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D5486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280-285 гр/лсч</w:t>
            </w:r>
          </w:p>
        </w:tc>
        <w:tc>
          <w:tcPr>
            <w:tcW w:w="1919" w:type="dxa"/>
          </w:tcPr>
          <w:p w14:paraId="4EAF93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AA3E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E393F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4CC8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C540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4F34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A623CA" w14:textId="77777777">
        <w:tc>
          <w:tcPr>
            <w:tcW w:w="959" w:type="dxa"/>
          </w:tcPr>
          <w:p w14:paraId="763537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2B21C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36043B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64A4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061D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A1FC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9577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9704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3C22B1" w14:textId="77777777">
        <w:tc>
          <w:tcPr>
            <w:tcW w:w="959" w:type="dxa"/>
          </w:tcPr>
          <w:p w14:paraId="36B7CE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82A7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метра 1200 кг</w:t>
            </w:r>
          </w:p>
        </w:tc>
        <w:tc>
          <w:tcPr>
            <w:tcW w:w="1919" w:type="dxa"/>
          </w:tcPr>
          <w:p w14:paraId="63597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4C9E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6701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AB0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5A14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C734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6A189B0" w14:textId="77777777">
        <w:tc>
          <w:tcPr>
            <w:tcW w:w="959" w:type="dxa"/>
          </w:tcPr>
          <w:p w14:paraId="220BBE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91C1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Мотор </w:t>
            </w:r>
            <w:proofErr w:type="gramStart"/>
            <w:r w:rsidRPr="008127F8">
              <w:rPr>
                <w:rFonts w:ascii="Times New Roman" w:hAnsi="Times New Roman"/>
                <w:color w:val="000000" w:themeColor="text1"/>
                <w:sz w:val="16"/>
                <w:szCs w:val="16"/>
              </w:rPr>
              <w:t>для бомбардир</w:t>
            </w:r>
            <w:proofErr w:type="gramEnd"/>
            <w:r w:rsidRPr="008127F8">
              <w:rPr>
                <w:rFonts w:ascii="Times New Roman" w:hAnsi="Times New Roman"/>
                <w:color w:val="000000" w:themeColor="text1"/>
                <w:sz w:val="16"/>
                <w:szCs w:val="16"/>
              </w:rPr>
              <w:t>.</w:t>
            </w:r>
          </w:p>
        </w:tc>
        <w:tc>
          <w:tcPr>
            <w:tcW w:w="1919" w:type="dxa"/>
          </w:tcPr>
          <w:p w14:paraId="6DB971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Совместные 50-ти</w:t>
            </w:r>
          </w:p>
        </w:tc>
        <w:tc>
          <w:tcPr>
            <w:tcW w:w="720" w:type="dxa"/>
          </w:tcPr>
          <w:p w14:paraId="7E318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марта</w:t>
            </w:r>
          </w:p>
        </w:tc>
        <w:tc>
          <w:tcPr>
            <w:tcW w:w="1088" w:type="dxa"/>
          </w:tcPr>
          <w:p w14:paraId="4D7ADE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C05B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765E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0BCC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F5B931" w14:textId="77777777">
        <w:tc>
          <w:tcPr>
            <w:tcW w:w="959" w:type="dxa"/>
          </w:tcPr>
          <w:p w14:paraId="1E2BFE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8C2EB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истребит. авиации с</w:t>
            </w:r>
          </w:p>
        </w:tc>
        <w:tc>
          <w:tcPr>
            <w:tcW w:w="1919" w:type="dxa"/>
          </w:tcPr>
          <w:p w14:paraId="08BE33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720" w:type="dxa"/>
          </w:tcPr>
          <w:p w14:paraId="03B72B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 г.</w:t>
            </w:r>
          </w:p>
        </w:tc>
        <w:tc>
          <w:tcPr>
            <w:tcW w:w="1088" w:type="dxa"/>
          </w:tcPr>
          <w:p w14:paraId="251AA5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40DF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5DD9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2E15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9B58E0" w14:textId="77777777">
        <w:tc>
          <w:tcPr>
            <w:tcW w:w="959" w:type="dxa"/>
          </w:tcPr>
          <w:p w14:paraId="40CE80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12E7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2-х скоростным нагнет.</w:t>
            </w:r>
          </w:p>
        </w:tc>
        <w:tc>
          <w:tcPr>
            <w:tcW w:w="1919" w:type="dxa"/>
          </w:tcPr>
          <w:p w14:paraId="694A30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5E2C65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37E9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F5B2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DB48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76B2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D4F9B8" w14:textId="77777777">
        <w:tc>
          <w:tcPr>
            <w:tcW w:w="959" w:type="dxa"/>
          </w:tcPr>
          <w:p w14:paraId="74AD63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CF86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4659B5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9F24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63DA0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550DF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88F7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98ED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CB31C6" w14:textId="77777777">
        <w:tc>
          <w:tcPr>
            <w:tcW w:w="959" w:type="dxa"/>
          </w:tcPr>
          <w:p w14:paraId="317CD1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83A3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2300 л.с.</w:t>
            </w:r>
          </w:p>
        </w:tc>
        <w:tc>
          <w:tcPr>
            <w:tcW w:w="1919" w:type="dxa"/>
          </w:tcPr>
          <w:p w14:paraId="01346D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6050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101EE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22B85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AD6D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4E6D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2DF398" w14:textId="77777777">
        <w:tc>
          <w:tcPr>
            <w:tcW w:w="959" w:type="dxa"/>
          </w:tcPr>
          <w:p w14:paraId="674138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344D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0D96B0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F0FB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FF4BD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1A59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CEAF8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4C24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9381DD" w14:textId="77777777">
        <w:tc>
          <w:tcPr>
            <w:tcW w:w="959" w:type="dxa"/>
          </w:tcPr>
          <w:p w14:paraId="26E6DD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CC0B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1500-2000 м 2300 л.с.</w:t>
            </w:r>
          </w:p>
        </w:tc>
        <w:tc>
          <w:tcPr>
            <w:tcW w:w="1919" w:type="dxa"/>
          </w:tcPr>
          <w:p w14:paraId="0BDC8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504F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FF43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DD11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F197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3F0A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EDD3A9" w14:textId="77777777">
        <w:tc>
          <w:tcPr>
            <w:tcW w:w="959" w:type="dxa"/>
          </w:tcPr>
          <w:p w14:paraId="6BE9CB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34EE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20B6FA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C67B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76D6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1D5B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395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073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625B7A" w14:textId="77777777">
        <w:tc>
          <w:tcPr>
            <w:tcW w:w="959" w:type="dxa"/>
          </w:tcPr>
          <w:p w14:paraId="29DDDE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F9F42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 - 2150 л.с.</w:t>
            </w:r>
          </w:p>
        </w:tc>
        <w:tc>
          <w:tcPr>
            <w:tcW w:w="1919" w:type="dxa"/>
          </w:tcPr>
          <w:p w14:paraId="5BC315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1E9B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41C4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1800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CC96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B644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29E780" w14:textId="77777777">
        <w:tc>
          <w:tcPr>
            <w:tcW w:w="959" w:type="dxa"/>
          </w:tcPr>
          <w:p w14:paraId="7A5C04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2E30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01FE21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D6A51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B378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18FF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1459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3B38C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19C585" w14:textId="77777777">
        <w:tc>
          <w:tcPr>
            <w:tcW w:w="959" w:type="dxa"/>
          </w:tcPr>
          <w:p w14:paraId="74A2FA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8355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686408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94E8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BAC9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CBC9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EB0B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24E2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08D48D" w14:textId="77777777">
        <w:tc>
          <w:tcPr>
            <w:tcW w:w="959" w:type="dxa"/>
          </w:tcPr>
          <w:p w14:paraId="00BB46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9225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280-285 гр/лсч</w:t>
            </w:r>
          </w:p>
        </w:tc>
        <w:tc>
          <w:tcPr>
            <w:tcW w:w="1919" w:type="dxa"/>
          </w:tcPr>
          <w:p w14:paraId="20A7EA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4D3E2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B0A0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04CF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927E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FFEB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A4C6F1" w14:textId="77777777">
        <w:tc>
          <w:tcPr>
            <w:tcW w:w="959" w:type="dxa"/>
          </w:tcPr>
          <w:p w14:paraId="11CF1F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20401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7ECC62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F19F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D819F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C0EC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4975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2201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1C00C6" w14:textId="77777777">
        <w:tc>
          <w:tcPr>
            <w:tcW w:w="959" w:type="dxa"/>
          </w:tcPr>
          <w:p w14:paraId="0C70DC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0C40E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1250 кг</w:t>
            </w:r>
          </w:p>
        </w:tc>
        <w:tc>
          <w:tcPr>
            <w:tcW w:w="1919" w:type="dxa"/>
          </w:tcPr>
          <w:p w14:paraId="5C6DD9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3E3E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E5DD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5E65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777C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EA35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C38348" w14:textId="77777777">
        <w:tc>
          <w:tcPr>
            <w:tcW w:w="959" w:type="dxa"/>
          </w:tcPr>
          <w:p w14:paraId="2B56B4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863D7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693FA8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A39E9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2AC66B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10000,0</w:t>
            </w:r>
          </w:p>
        </w:tc>
        <w:tc>
          <w:tcPr>
            <w:tcW w:w="927" w:type="dxa"/>
          </w:tcPr>
          <w:p w14:paraId="191571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9CCC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59E5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D5546E" w14:textId="77777777">
        <w:tc>
          <w:tcPr>
            <w:tcW w:w="959" w:type="dxa"/>
          </w:tcPr>
          <w:p w14:paraId="36901E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1677" w:type="dxa"/>
          </w:tcPr>
          <w:p w14:paraId="51E44B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E434C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CA4C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9EE04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237B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B32BF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F652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27C64D" w14:textId="77777777">
        <w:tc>
          <w:tcPr>
            <w:tcW w:w="959" w:type="dxa"/>
          </w:tcPr>
          <w:p w14:paraId="3B14D4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М-105ПД</w:t>
            </w:r>
          </w:p>
        </w:tc>
        <w:tc>
          <w:tcPr>
            <w:tcW w:w="1677" w:type="dxa"/>
          </w:tcPr>
          <w:p w14:paraId="292E08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65F85D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Устранение дефектов</w:t>
            </w:r>
          </w:p>
        </w:tc>
        <w:tc>
          <w:tcPr>
            <w:tcW w:w="720" w:type="dxa"/>
          </w:tcPr>
          <w:p w14:paraId="042306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4EC18D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2400,0</w:t>
            </w:r>
          </w:p>
        </w:tc>
        <w:tc>
          <w:tcPr>
            <w:tcW w:w="927" w:type="dxa"/>
          </w:tcPr>
          <w:p w14:paraId="72621B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w:t>
            </w:r>
          </w:p>
        </w:tc>
        <w:tc>
          <w:tcPr>
            <w:tcW w:w="1870" w:type="dxa"/>
          </w:tcPr>
          <w:p w14:paraId="38BC12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гос.</w:t>
            </w:r>
          </w:p>
        </w:tc>
        <w:tc>
          <w:tcPr>
            <w:tcW w:w="1435" w:type="dxa"/>
          </w:tcPr>
          <w:p w14:paraId="2222B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5F1C4B" w14:textId="77777777">
        <w:tc>
          <w:tcPr>
            <w:tcW w:w="959" w:type="dxa"/>
          </w:tcPr>
          <w:p w14:paraId="18EF48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CF39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5EDD8A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М-105ПД на</w:t>
            </w:r>
          </w:p>
        </w:tc>
        <w:tc>
          <w:tcPr>
            <w:tcW w:w="720" w:type="dxa"/>
          </w:tcPr>
          <w:p w14:paraId="74075C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97D83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3C9B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2D53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100 часовые</w:t>
            </w:r>
            <w:proofErr w:type="gramEnd"/>
            <w:r w:rsidRPr="008127F8">
              <w:rPr>
                <w:rFonts w:ascii="Times New Roman" w:hAnsi="Times New Roman"/>
                <w:color w:val="000000" w:themeColor="text1"/>
                <w:sz w:val="16"/>
                <w:szCs w:val="16"/>
              </w:rPr>
              <w:t xml:space="preserve"> испытания</w:t>
            </w:r>
          </w:p>
        </w:tc>
        <w:tc>
          <w:tcPr>
            <w:tcW w:w="1435" w:type="dxa"/>
          </w:tcPr>
          <w:p w14:paraId="4CDDC8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42BC44" w14:textId="77777777">
        <w:tc>
          <w:tcPr>
            <w:tcW w:w="959" w:type="dxa"/>
          </w:tcPr>
          <w:p w14:paraId="22CD5E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AF8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579DBB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 и в летной</w:t>
            </w:r>
          </w:p>
        </w:tc>
        <w:tc>
          <w:tcPr>
            <w:tcW w:w="720" w:type="dxa"/>
          </w:tcPr>
          <w:p w14:paraId="591BCF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AE626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6FB7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DF70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году.</w:t>
            </w:r>
          </w:p>
        </w:tc>
        <w:tc>
          <w:tcPr>
            <w:tcW w:w="1435" w:type="dxa"/>
          </w:tcPr>
          <w:p w14:paraId="68F872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86F4DB" w14:textId="77777777">
        <w:tc>
          <w:tcPr>
            <w:tcW w:w="959" w:type="dxa"/>
          </w:tcPr>
          <w:p w14:paraId="013D42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61D27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двухступенчатым</w:t>
            </w:r>
          </w:p>
        </w:tc>
        <w:tc>
          <w:tcPr>
            <w:tcW w:w="1919" w:type="dxa"/>
          </w:tcPr>
          <w:p w14:paraId="478032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эксплуатации.</w:t>
            </w:r>
          </w:p>
        </w:tc>
        <w:tc>
          <w:tcPr>
            <w:tcW w:w="720" w:type="dxa"/>
          </w:tcPr>
          <w:p w14:paraId="1C2C08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4D73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59BC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9CCD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98D0F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25436BF" w14:textId="77777777">
        <w:tc>
          <w:tcPr>
            <w:tcW w:w="959" w:type="dxa"/>
          </w:tcPr>
          <w:p w14:paraId="7B6C69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285F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нагнетателем констр.</w:t>
            </w:r>
          </w:p>
        </w:tc>
        <w:tc>
          <w:tcPr>
            <w:tcW w:w="1919" w:type="dxa"/>
          </w:tcPr>
          <w:p w14:paraId="6CF59F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Летные испытания</w:t>
            </w:r>
          </w:p>
        </w:tc>
        <w:tc>
          <w:tcPr>
            <w:tcW w:w="720" w:type="dxa"/>
          </w:tcPr>
          <w:p w14:paraId="25EB60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51DCFB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B2A3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12633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98E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6B4C37" w14:textId="77777777">
        <w:tc>
          <w:tcPr>
            <w:tcW w:w="959" w:type="dxa"/>
          </w:tcPr>
          <w:p w14:paraId="13C4EF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2842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Доллежаля</w:t>
            </w:r>
          </w:p>
        </w:tc>
        <w:tc>
          <w:tcPr>
            <w:tcW w:w="1919" w:type="dxa"/>
          </w:tcPr>
          <w:p w14:paraId="747ECB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Як-7.</w:t>
            </w:r>
          </w:p>
        </w:tc>
        <w:tc>
          <w:tcPr>
            <w:tcW w:w="720" w:type="dxa"/>
          </w:tcPr>
          <w:p w14:paraId="3F4844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27790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FFAC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78C5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2DF7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718721" w14:textId="77777777">
        <w:tc>
          <w:tcPr>
            <w:tcW w:w="959" w:type="dxa"/>
          </w:tcPr>
          <w:p w14:paraId="5F57D7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EFB3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51CD00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Форсирование мотора</w:t>
            </w:r>
          </w:p>
        </w:tc>
        <w:tc>
          <w:tcPr>
            <w:tcW w:w="720" w:type="dxa"/>
          </w:tcPr>
          <w:p w14:paraId="409B72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1088" w:type="dxa"/>
          </w:tcPr>
          <w:p w14:paraId="268FD7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5779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E546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DF16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B0240C2" w14:textId="77777777">
        <w:tc>
          <w:tcPr>
            <w:tcW w:w="959" w:type="dxa"/>
          </w:tcPr>
          <w:p w14:paraId="3E59B7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D92B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1170 л.с.</w:t>
            </w:r>
          </w:p>
        </w:tc>
        <w:tc>
          <w:tcPr>
            <w:tcW w:w="1919" w:type="dxa"/>
          </w:tcPr>
          <w:p w14:paraId="305899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взлетной мощности в</w:t>
            </w:r>
          </w:p>
        </w:tc>
        <w:tc>
          <w:tcPr>
            <w:tcW w:w="720" w:type="dxa"/>
          </w:tcPr>
          <w:p w14:paraId="520028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B19CF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377F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2941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D5B8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4B1D1C" w14:textId="77777777">
        <w:tc>
          <w:tcPr>
            <w:tcW w:w="959" w:type="dxa"/>
          </w:tcPr>
          <w:p w14:paraId="107B26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F771B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7769A4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 л.с.</w:t>
            </w:r>
          </w:p>
        </w:tc>
        <w:tc>
          <w:tcPr>
            <w:tcW w:w="720" w:type="dxa"/>
          </w:tcPr>
          <w:p w14:paraId="2AD200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573EF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A52C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AA6C9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8E68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529E622" w14:textId="77777777">
        <w:tc>
          <w:tcPr>
            <w:tcW w:w="959" w:type="dxa"/>
          </w:tcPr>
          <w:p w14:paraId="79A8A0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26F1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2200 м - 1200 л.с.</w:t>
            </w:r>
          </w:p>
        </w:tc>
        <w:tc>
          <w:tcPr>
            <w:tcW w:w="1919" w:type="dxa"/>
          </w:tcPr>
          <w:p w14:paraId="5213E0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92EB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72FB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01CEF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11C34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22449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0933CF5" w14:textId="77777777">
        <w:tc>
          <w:tcPr>
            <w:tcW w:w="959" w:type="dxa"/>
          </w:tcPr>
          <w:p w14:paraId="036E59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760B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3AB02E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F24C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6F19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2E8B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A54D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A64A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579666" w14:textId="77777777">
        <w:tc>
          <w:tcPr>
            <w:tcW w:w="959" w:type="dxa"/>
          </w:tcPr>
          <w:p w14:paraId="2B9644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D705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6300 м - 1050 л.с.</w:t>
            </w:r>
          </w:p>
        </w:tc>
        <w:tc>
          <w:tcPr>
            <w:tcW w:w="1919" w:type="dxa"/>
          </w:tcPr>
          <w:p w14:paraId="5A05C5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6A26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5C0C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53AD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2732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AD67B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0C7D40" w14:textId="77777777">
        <w:tc>
          <w:tcPr>
            <w:tcW w:w="959" w:type="dxa"/>
          </w:tcPr>
          <w:p w14:paraId="4831B2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5A264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31E943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D042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8956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CF20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40FB6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D08F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2548DA" w14:textId="77777777">
        <w:tc>
          <w:tcPr>
            <w:tcW w:w="959" w:type="dxa"/>
          </w:tcPr>
          <w:p w14:paraId="672DDB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4DF3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7A8109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5FBA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A736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96F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1207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EB9AC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C26301" w14:textId="77777777">
        <w:tc>
          <w:tcPr>
            <w:tcW w:w="959" w:type="dxa"/>
          </w:tcPr>
          <w:p w14:paraId="256873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32087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 гр/лсч</w:t>
            </w:r>
          </w:p>
        </w:tc>
        <w:tc>
          <w:tcPr>
            <w:tcW w:w="1919" w:type="dxa"/>
          </w:tcPr>
          <w:p w14:paraId="01F6F8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95B8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E13F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45DE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705F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10D1A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811A8A" w14:textId="77777777">
        <w:tc>
          <w:tcPr>
            <w:tcW w:w="959" w:type="dxa"/>
          </w:tcPr>
          <w:p w14:paraId="125D0E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F3EF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274A9B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328D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717B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8AF9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95FB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0DC9D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E9F1A8" w14:textId="77777777">
        <w:tc>
          <w:tcPr>
            <w:tcW w:w="959" w:type="dxa"/>
          </w:tcPr>
          <w:p w14:paraId="55E409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8581B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 670 кг</w:t>
            </w:r>
          </w:p>
        </w:tc>
        <w:tc>
          <w:tcPr>
            <w:tcW w:w="1919" w:type="dxa"/>
          </w:tcPr>
          <w:p w14:paraId="5730ED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B0CC0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3814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8461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822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3323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65C93F" w14:textId="77777777">
        <w:tc>
          <w:tcPr>
            <w:tcW w:w="959" w:type="dxa"/>
          </w:tcPr>
          <w:p w14:paraId="70E8C0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w:t>
            </w:r>
          </w:p>
        </w:tc>
        <w:tc>
          <w:tcPr>
            <w:tcW w:w="1677" w:type="dxa"/>
          </w:tcPr>
          <w:p w14:paraId="2C1D97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06483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Доводка мотора до</w:t>
            </w:r>
          </w:p>
        </w:tc>
        <w:tc>
          <w:tcPr>
            <w:tcW w:w="720" w:type="dxa"/>
          </w:tcPr>
          <w:p w14:paraId="1B3578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1088" w:type="dxa"/>
          </w:tcPr>
          <w:p w14:paraId="6D56D6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1600,0</w:t>
            </w:r>
          </w:p>
        </w:tc>
        <w:tc>
          <w:tcPr>
            <w:tcW w:w="927" w:type="dxa"/>
          </w:tcPr>
          <w:p w14:paraId="3771F8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Ер-2</w:t>
            </w:r>
          </w:p>
        </w:tc>
        <w:tc>
          <w:tcPr>
            <w:tcW w:w="1870" w:type="dxa"/>
          </w:tcPr>
          <w:p w14:paraId="2A639E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гос.</w:t>
            </w:r>
          </w:p>
        </w:tc>
        <w:tc>
          <w:tcPr>
            <w:tcW w:w="1435" w:type="dxa"/>
          </w:tcPr>
          <w:p w14:paraId="4AC76B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28E8A707" w14:textId="77777777">
        <w:tc>
          <w:tcPr>
            <w:tcW w:w="959" w:type="dxa"/>
          </w:tcPr>
          <w:p w14:paraId="5EE664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9E20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дизель</w:t>
            </w:r>
          </w:p>
        </w:tc>
        <w:tc>
          <w:tcPr>
            <w:tcW w:w="1919" w:type="dxa"/>
          </w:tcPr>
          <w:p w14:paraId="186264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часовой надежной</w:t>
            </w:r>
          </w:p>
        </w:tc>
        <w:tc>
          <w:tcPr>
            <w:tcW w:w="720" w:type="dxa"/>
          </w:tcPr>
          <w:p w14:paraId="11A5A1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1A34E7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99B5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5DADB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8127F8">
              <w:rPr>
                <w:rFonts w:ascii="Times New Roman" w:hAnsi="Times New Roman"/>
                <w:color w:val="000000" w:themeColor="text1"/>
                <w:sz w:val="16"/>
                <w:szCs w:val="16"/>
              </w:rPr>
              <w:t>100 часовые</w:t>
            </w:r>
            <w:proofErr w:type="gramEnd"/>
            <w:r w:rsidRPr="008127F8">
              <w:rPr>
                <w:rFonts w:ascii="Times New Roman" w:hAnsi="Times New Roman"/>
                <w:color w:val="000000" w:themeColor="text1"/>
                <w:sz w:val="16"/>
                <w:szCs w:val="16"/>
              </w:rPr>
              <w:t xml:space="preserve"> испытания</w:t>
            </w:r>
          </w:p>
        </w:tc>
        <w:tc>
          <w:tcPr>
            <w:tcW w:w="1435" w:type="dxa"/>
          </w:tcPr>
          <w:p w14:paraId="682685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144A8D" w14:textId="77777777">
        <w:tc>
          <w:tcPr>
            <w:tcW w:w="959" w:type="dxa"/>
          </w:tcPr>
          <w:p w14:paraId="005C73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D881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w:t>
            </w:r>
          </w:p>
        </w:tc>
        <w:tc>
          <w:tcPr>
            <w:tcW w:w="1919" w:type="dxa"/>
          </w:tcPr>
          <w:p w14:paraId="0DDD7D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с нагнетателем</w:t>
            </w:r>
          </w:p>
        </w:tc>
        <w:tc>
          <w:tcPr>
            <w:tcW w:w="720" w:type="dxa"/>
          </w:tcPr>
          <w:p w14:paraId="052F91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CE2B4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4139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4805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1940 году и выпущена</w:t>
            </w:r>
          </w:p>
        </w:tc>
        <w:tc>
          <w:tcPr>
            <w:tcW w:w="1435" w:type="dxa"/>
          </w:tcPr>
          <w:p w14:paraId="12F668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65717D" w14:textId="77777777">
        <w:tc>
          <w:tcPr>
            <w:tcW w:w="959" w:type="dxa"/>
          </w:tcPr>
          <w:p w14:paraId="2F7CB8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EB8FF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7A3C40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 и М-105 в земных</w:t>
            </w:r>
          </w:p>
        </w:tc>
        <w:tc>
          <w:tcPr>
            <w:tcW w:w="720" w:type="dxa"/>
          </w:tcPr>
          <w:p w14:paraId="747089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C59FE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760C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C986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серия моторов.</w:t>
            </w:r>
          </w:p>
        </w:tc>
        <w:tc>
          <w:tcPr>
            <w:tcW w:w="1435" w:type="dxa"/>
          </w:tcPr>
          <w:p w14:paraId="28444D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1ED1C4" w14:textId="77777777">
        <w:tc>
          <w:tcPr>
            <w:tcW w:w="959" w:type="dxa"/>
          </w:tcPr>
          <w:p w14:paraId="51BFC1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778C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3959EB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условиях.</w:t>
            </w:r>
          </w:p>
        </w:tc>
        <w:tc>
          <w:tcPr>
            <w:tcW w:w="720" w:type="dxa"/>
          </w:tcPr>
          <w:p w14:paraId="49A0FC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F0DB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31EE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A921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нагнетателем мотора</w:t>
            </w:r>
          </w:p>
        </w:tc>
        <w:tc>
          <w:tcPr>
            <w:tcW w:w="1435" w:type="dxa"/>
          </w:tcPr>
          <w:p w14:paraId="3771F0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904AE2" w14:textId="77777777">
        <w:tc>
          <w:tcPr>
            <w:tcW w:w="959" w:type="dxa"/>
          </w:tcPr>
          <w:p w14:paraId="1E6205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7D9D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c>
          <w:tcPr>
            <w:tcW w:w="1919" w:type="dxa"/>
          </w:tcPr>
          <w:p w14:paraId="3B166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Проведение летных</w:t>
            </w:r>
          </w:p>
        </w:tc>
        <w:tc>
          <w:tcPr>
            <w:tcW w:w="720" w:type="dxa"/>
          </w:tcPr>
          <w:p w14:paraId="66CDEA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1088" w:type="dxa"/>
          </w:tcPr>
          <w:p w14:paraId="049783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AC16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EFAC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 мотор прошел</w:t>
            </w:r>
          </w:p>
        </w:tc>
        <w:tc>
          <w:tcPr>
            <w:tcW w:w="1435" w:type="dxa"/>
          </w:tcPr>
          <w:p w14:paraId="74B735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EEAA79" w14:textId="77777777">
        <w:tc>
          <w:tcPr>
            <w:tcW w:w="959" w:type="dxa"/>
          </w:tcPr>
          <w:p w14:paraId="419596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B58A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298C7D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 отработка</w:t>
            </w:r>
          </w:p>
        </w:tc>
        <w:tc>
          <w:tcPr>
            <w:tcW w:w="720" w:type="dxa"/>
          </w:tcPr>
          <w:p w14:paraId="0DB17B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CDE91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89E9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D3D9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заводские 50-ти часовые</w:t>
            </w:r>
          </w:p>
        </w:tc>
        <w:tc>
          <w:tcPr>
            <w:tcW w:w="1435" w:type="dxa"/>
          </w:tcPr>
          <w:p w14:paraId="644C8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34F824" w14:textId="77777777">
        <w:tc>
          <w:tcPr>
            <w:tcW w:w="959" w:type="dxa"/>
          </w:tcPr>
          <w:p w14:paraId="100EE0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D830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 - 1250 л.с.</w:t>
            </w:r>
          </w:p>
        </w:tc>
        <w:tc>
          <w:tcPr>
            <w:tcW w:w="1919" w:type="dxa"/>
          </w:tcPr>
          <w:p w14:paraId="71BB2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автоматики насоса и</w:t>
            </w:r>
          </w:p>
        </w:tc>
        <w:tc>
          <w:tcPr>
            <w:tcW w:w="720" w:type="dxa"/>
          </w:tcPr>
          <w:p w14:paraId="34B13F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EE4E6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66ED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BFC3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1435" w:type="dxa"/>
          </w:tcPr>
          <w:p w14:paraId="50BBD0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3BF14A" w14:textId="77777777">
        <w:tc>
          <w:tcPr>
            <w:tcW w:w="959" w:type="dxa"/>
          </w:tcPr>
          <w:p w14:paraId="1B2069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6AE7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314963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устранение самовыключен.</w:t>
            </w:r>
          </w:p>
        </w:tc>
        <w:tc>
          <w:tcPr>
            <w:tcW w:w="720" w:type="dxa"/>
          </w:tcPr>
          <w:p w14:paraId="678B57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79F68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863F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4F1A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BB4B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6F639A" w14:textId="77777777">
        <w:tc>
          <w:tcPr>
            <w:tcW w:w="959" w:type="dxa"/>
          </w:tcPr>
          <w:p w14:paraId="45A498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7A25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270583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в воздухе.</w:t>
            </w:r>
          </w:p>
        </w:tc>
        <w:tc>
          <w:tcPr>
            <w:tcW w:w="720" w:type="dxa"/>
          </w:tcPr>
          <w:p w14:paraId="19831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420B8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5182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1696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96BA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359079" w14:textId="77777777">
        <w:tc>
          <w:tcPr>
            <w:tcW w:w="959" w:type="dxa"/>
          </w:tcPr>
          <w:p w14:paraId="3E4CC3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F57E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 гр/лсч</w:t>
            </w:r>
          </w:p>
        </w:tc>
        <w:tc>
          <w:tcPr>
            <w:tcW w:w="1919" w:type="dxa"/>
          </w:tcPr>
          <w:p w14:paraId="61F3EC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BAA1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D26D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D154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A86B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290F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7B7ED2" w14:textId="77777777">
        <w:tc>
          <w:tcPr>
            <w:tcW w:w="959" w:type="dxa"/>
          </w:tcPr>
          <w:p w14:paraId="2AF429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EDDD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топливо-тракторный</w:t>
            </w:r>
          </w:p>
        </w:tc>
        <w:tc>
          <w:tcPr>
            <w:tcW w:w="1919" w:type="dxa"/>
          </w:tcPr>
          <w:p w14:paraId="07610D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5F3A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D4883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F72D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9638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132B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4D0556" w14:textId="77777777">
        <w:tc>
          <w:tcPr>
            <w:tcW w:w="959" w:type="dxa"/>
          </w:tcPr>
          <w:p w14:paraId="56BCFE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8227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керосин</w:t>
            </w:r>
          </w:p>
        </w:tc>
        <w:tc>
          <w:tcPr>
            <w:tcW w:w="1919" w:type="dxa"/>
          </w:tcPr>
          <w:p w14:paraId="3B374F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036F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DD3B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C44D9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5D45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D35E9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28DDAB" w14:textId="77777777">
        <w:tc>
          <w:tcPr>
            <w:tcW w:w="959" w:type="dxa"/>
          </w:tcPr>
          <w:p w14:paraId="2DD28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E6E1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1200 кг</w:t>
            </w:r>
          </w:p>
        </w:tc>
        <w:tc>
          <w:tcPr>
            <w:tcW w:w="1919" w:type="dxa"/>
          </w:tcPr>
          <w:p w14:paraId="575AE9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B12A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8C611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A914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E8DB0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C121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A9930B" w14:textId="77777777">
        <w:tc>
          <w:tcPr>
            <w:tcW w:w="959" w:type="dxa"/>
          </w:tcPr>
          <w:p w14:paraId="52CCE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М-30ф</w:t>
            </w:r>
          </w:p>
        </w:tc>
        <w:tc>
          <w:tcPr>
            <w:tcW w:w="1677" w:type="dxa"/>
          </w:tcPr>
          <w:p w14:paraId="1A81A2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w:t>
            </w:r>
          </w:p>
        </w:tc>
        <w:tc>
          <w:tcPr>
            <w:tcW w:w="1919" w:type="dxa"/>
          </w:tcPr>
          <w:p w14:paraId="7A43F6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проводится только</w:t>
            </w:r>
          </w:p>
        </w:tc>
        <w:tc>
          <w:tcPr>
            <w:tcW w:w="720" w:type="dxa"/>
          </w:tcPr>
          <w:p w14:paraId="1C48B3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081B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3000,0</w:t>
            </w:r>
          </w:p>
        </w:tc>
        <w:tc>
          <w:tcPr>
            <w:tcW w:w="927" w:type="dxa"/>
          </w:tcPr>
          <w:p w14:paraId="4E0B84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AF673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BB5F5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58286A1E" w14:textId="77777777">
        <w:tc>
          <w:tcPr>
            <w:tcW w:w="959" w:type="dxa"/>
          </w:tcPr>
          <w:p w14:paraId="6A7ADB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3325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дизель</w:t>
            </w:r>
          </w:p>
        </w:tc>
        <w:tc>
          <w:tcPr>
            <w:tcW w:w="1919" w:type="dxa"/>
          </w:tcPr>
          <w:p w14:paraId="733AD8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окончания доводки</w:t>
            </w:r>
          </w:p>
        </w:tc>
        <w:tc>
          <w:tcPr>
            <w:tcW w:w="720" w:type="dxa"/>
          </w:tcPr>
          <w:p w14:paraId="337FBD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6A6C8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68A8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1C04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EF06A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D07139" w14:textId="77777777">
        <w:tc>
          <w:tcPr>
            <w:tcW w:w="959" w:type="dxa"/>
          </w:tcPr>
          <w:p w14:paraId="217BF7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D044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w:t>
            </w:r>
          </w:p>
        </w:tc>
        <w:tc>
          <w:tcPr>
            <w:tcW w:w="1919" w:type="dxa"/>
          </w:tcPr>
          <w:p w14:paraId="6FEC40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устранения дефектов в</w:t>
            </w:r>
          </w:p>
        </w:tc>
        <w:tc>
          <w:tcPr>
            <w:tcW w:w="720" w:type="dxa"/>
          </w:tcPr>
          <w:p w14:paraId="556F2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3624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1F3B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27D9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D977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BF95380" w14:textId="77777777">
        <w:tc>
          <w:tcPr>
            <w:tcW w:w="959" w:type="dxa"/>
          </w:tcPr>
          <w:p w14:paraId="089487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3052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 представл.</w:t>
            </w:r>
          </w:p>
        </w:tc>
        <w:tc>
          <w:tcPr>
            <w:tcW w:w="1919" w:type="dxa"/>
          </w:tcPr>
          <w:p w14:paraId="69E7BD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летной эксплуатации и</w:t>
            </w:r>
          </w:p>
        </w:tc>
        <w:tc>
          <w:tcPr>
            <w:tcW w:w="720" w:type="dxa"/>
          </w:tcPr>
          <w:p w14:paraId="7A4E7F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08FE1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C408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920C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037D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12E8DD" w14:textId="77777777">
        <w:tc>
          <w:tcPr>
            <w:tcW w:w="959" w:type="dxa"/>
          </w:tcPr>
          <w:p w14:paraId="270546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079A5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собой дальнейшее</w:t>
            </w:r>
          </w:p>
        </w:tc>
        <w:tc>
          <w:tcPr>
            <w:tcW w:w="1919" w:type="dxa"/>
          </w:tcPr>
          <w:p w14:paraId="25DA6A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обеспечения надежной</w:t>
            </w:r>
          </w:p>
        </w:tc>
        <w:tc>
          <w:tcPr>
            <w:tcW w:w="720" w:type="dxa"/>
          </w:tcPr>
          <w:p w14:paraId="47462F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AA348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167A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5D48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A355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6CDCD4" w14:textId="77777777">
        <w:tc>
          <w:tcPr>
            <w:tcW w:w="959" w:type="dxa"/>
          </w:tcPr>
          <w:p w14:paraId="107C1A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4231D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развитие М-30 до</w:t>
            </w:r>
          </w:p>
        </w:tc>
        <w:tc>
          <w:tcPr>
            <w:tcW w:w="1919" w:type="dxa"/>
          </w:tcPr>
          <w:p w14:paraId="522D5C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мотора М-30 в</w:t>
            </w:r>
          </w:p>
        </w:tc>
        <w:tc>
          <w:tcPr>
            <w:tcW w:w="720" w:type="dxa"/>
          </w:tcPr>
          <w:p w14:paraId="313817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F041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1931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7AFE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D8C46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66C6D7" w14:textId="77777777">
        <w:tc>
          <w:tcPr>
            <w:tcW w:w="959" w:type="dxa"/>
          </w:tcPr>
          <w:p w14:paraId="006078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FB84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следующих основных</w:t>
            </w:r>
          </w:p>
        </w:tc>
        <w:tc>
          <w:tcPr>
            <w:tcW w:w="1919" w:type="dxa"/>
          </w:tcPr>
          <w:p w14:paraId="3F26EA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течение 100 часов.</w:t>
            </w:r>
          </w:p>
        </w:tc>
        <w:tc>
          <w:tcPr>
            <w:tcW w:w="720" w:type="dxa"/>
          </w:tcPr>
          <w:p w14:paraId="530356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1CDA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EFD6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6F84F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F010D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CACE65A" w14:textId="77777777">
        <w:tc>
          <w:tcPr>
            <w:tcW w:w="959" w:type="dxa"/>
          </w:tcPr>
          <w:p w14:paraId="3FE6F7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B0E7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технических данных</w:t>
            </w:r>
          </w:p>
        </w:tc>
        <w:tc>
          <w:tcPr>
            <w:tcW w:w="1919" w:type="dxa"/>
          </w:tcPr>
          <w:p w14:paraId="0FA26E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Совместные 50 час.</w:t>
            </w:r>
          </w:p>
        </w:tc>
        <w:tc>
          <w:tcPr>
            <w:tcW w:w="720" w:type="dxa"/>
          </w:tcPr>
          <w:p w14:paraId="656BE4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w:t>
            </w:r>
          </w:p>
        </w:tc>
        <w:tc>
          <w:tcPr>
            <w:tcW w:w="1088" w:type="dxa"/>
          </w:tcPr>
          <w:p w14:paraId="772690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D8517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E7D5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F665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6595007" w14:textId="77777777">
        <w:tc>
          <w:tcPr>
            <w:tcW w:w="959" w:type="dxa"/>
          </w:tcPr>
          <w:p w14:paraId="100E0C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FE68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0C040F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12C5D0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9CAE2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4F05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903E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C24E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A42B6BD" w14:textId="77777777">
        <w:tc>
          <w:tcPr>
            <w:tcW w:w="959" w:type="dxa"/>
          </w:tcPr>
          <w:p w14:paraId="1B5FF6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B733F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1750 л.с.</w:t>
            </w:r>
          </w:p>
        </w:tc>
        <w:tc>
          <w:tcPr>
            <w:tcW w:w="1919" w:type="dxa"/>
          </w:tcPr>
          <w:p w14:paraId="1F5E1C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 летные</w:t>
            </w:r>
          </w:p>
        </w:tc>
        <w:tc>
          <w:tcPr>
            <w:tcW w:w="720" w:type="dxa"/>
          </w:tcPr>
          <w:p w14:paraId="786AAA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w:t>
            </w:r>
          </w:p>
        </w:tc>
        <w:tc>
          <w:tcPr>
            <w:tcW w:w="1088" w:type="dxa"/>
          </w:tcPr>
          <w:p w14:paraId="2F2B5C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8C3D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0D77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A89A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4FD6478" w14:textId="77777777">
        <w:tc>
          <w:tcPr>
            <w:tcW w:w="959" w:type="dxa"/>
          </w:tcPr>
          <w:p w14:paraId="4C694C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BABD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D1431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w:t>
            </w:r>
          </w:p>
        </w:tc>
        <w:tc>
          <w:tcPr>
            <w:tcW w:w="720" w:type="dxa"/>
          </w:tcPr>
          <w:p w14:paraId="6AC606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A0524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24761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76E73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6496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C28333F" w14:textId="77777777">
        <w:tc>
          <w:tcPr>
            <w:tcW w:w="959" w:type="dxa"/>
          </w:tcPr>
          <w:p w14:paraId="38043F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14B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м - 1500 л.с.</w:t>
            </w:r>
          </w:p>
        </w:tc>
        <w:tc>
          <w:tcPr>
            <w:tcW w:w="1919" w:type="dxa"/>
          </w:tcPr>
          <w:p w14:paraId="3307F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Гос. 100 часовые</w:t>
            </w:r>
          </w:p>
        </w:tc>
        <w:tc>
          <w:tcPr>
            <w:tcW w:w="720" w:type="dxa"/>
          </w:tcPr>
          <w:p w14:paraId="54D229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w:t>
            </w:r>
          </w:p>
        </w:tc>
        <w:tc>
          <w:tcPr>
            <w:tcW w:w="1088" w:type="dxa"/>
          </w:tcPr>
          <w:p w14:paraId="1D8E7E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8D14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47B5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0439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B3DAD8" w14:textId="77777777">
        <w:tc>
          <w:tcPr>
            <w:tcW w:w="959" w:type="dxa"/>
          </w:tcPr>
          <w:p w14:paraId="0D42D0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3561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35DA70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станке.</w:t>
            </w:r>
          </w:p>
        </w:tc>
        <w:tc>
          <w:tcPr>
            <w:tcW w:w="720" w:type="dxa"/>
          </w:tcPr>
          <w:p w14:paraId="1813BF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48B0DB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DEF6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9A20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CAEB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F2D57A" w14:textId="77777777">
        <w:tc>
          <w:tcPr>
            <w:tcW w:w="959" w:type="dxa"/>
          </w:tcPr>
          <w:p w14:paraId="77DF9A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2537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26E1D4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9B78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5E32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B62F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F5293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F9D1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AFBF38E" w14:textId="77777777">
        <w:tc>
          <w:tcPr>
            <w:tcW w:w="959" w:type="dxa"/>
          </w:tcPr>
          <w:p w14:paraId="45F49D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43B2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 гр/лсч</w:t>
            </w:r>
          </w:p>
        </w:tc>
        <w:tc>
          <w:tcPr>
            <w:tcW w:w="1919" w:type="dxa"/>
          </w:tcPr>
          <w:p w14:paraId="7B69CB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A1A3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0848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0C3A2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4A89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895E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57B0B12" w14:textId="77777777">
        <w:tc>
          <w:tcPr>
            <w:tcW w:w="959" w:type="dxa"/>
          </w:tcPr>
          <w:p w14:paraId="7EBB3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01BDA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тракторный</w:t>
            </w:r>
          </w:p>
        </w:tc>
        <w:tc>
          <w:tcPr>
            <w:tcW w:w="1919" w:type="dxa"/>
          </w:tcPr>
          <w:p w14:paraId="7796B1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1347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B8EB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216F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B822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0FC1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085647B" w14:textId="77777777">
        <w:tc>
          <w:tcPr>
            <w:tcW w:w="959" w:type="dxa"/>
          </w:tcPr>
          <w:p w14:paraId="1C6481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B72B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керосин</w:t>
            </w:r>
          </w:p>
        </w:tc>
        <w:tc>
          <w:tcPr>
            <w:tcW w:w="1919" w:type="dxa"/>
          </w:tcPr>
          <w:p w14:paraId="4C1684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D780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6A06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9A28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18DF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83F53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235D67D" w14:textId="77777777">
        <w:tc>
          <w:tcPr>
            <w:tcW w:w="959" w:type="dxa"/>
          </w:tcPr>
          <w:p w14:paraId="086C81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A741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1200 кг</w:t>
            </w:r>
          </w:p>
        </w:tc>
        <w:tc>
          <w:tcPr>
            <w:tcW w:w="1919" w:type="dxa"/>
          </w:tcPr>
          <w:p w14:paraId="3C85C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84F0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B07C7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8823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BAD8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C22E8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A90BF2" w14:textId="77777777">
        <w:tc>
          <w:tcPr>
            <w:tcW w:w="959" w:type="dxa"/>
          </w:tcPr>
          <w:p w14:paraId="46726C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B664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63925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5C1F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Итого </w:t>
            </w:r>
            <w:r w:rsidRPr="008127F8">
              <w:rPr>
                <w:rFonts w:ascii="Times New Roman" w:hAnsi="Times New Roman"/>
                <w:color w:val="000000" w:themeColor="text1"/>
                <w:sz w:val="16"/>
                <w:szCs w:val="16"/>
              </w:rPr>
              <w:lastRenderedPageBreak/>
              <w:t>по ЦИАМу:</w:t>
            </w:r>
          </w:p>
        </w:tc>
        <w:tc>
          <w:tcPr>
            <w:tcW w:w="1088" w:type="dxa"/>
          </w:tcPr>
          <w:p w14:paraId="5E43B1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7000,0</w:t>
            </w:r>
          </w:p>
        </w:tc>
        <w:tc>
          <w:tcPr>
            <w:tcW w:w="927" w:type="dxa"/>
          </w:tcPr>
          <w:p w14:paraId="660DD7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C203D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DB21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143A064" w14:textId="77777777">
        <w:tc>
          <w:tcPr>
            <w:tcW w:w="959" w:type="dxa"/>
          </w:tcPr>
          <w:p w14:paraId="503C32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16</w:t>
            </w:r>
          </w:p>
        </w:tc>
        <w:tc>
          <w:tcPr>
            <w:tcW w:w="1677" w:type="dxa"/>
          </w:tcPr>
          <w:p w14:paraId="305845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455E16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8C8C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085C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C089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58D2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AA1EE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7653A91" w14:textId="77777777">
        <w:tc>
          <w:tcPr>
            <w:tcW w:w="959" w:type="dxa"/>
          </w:tcPr>
          <w:p w14:paraId="1A6CCD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МБ-100</w:t>
            </w:r>
          </w:p>
        </w:tc>
        <w:tc>
          <w:tcPr>
            <w:tcW w:w="1677" w:type="dxa"/>
          </w:tcPr>
          <w:p w14:paraId="5B2506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Х-образный 24-х</w:t>
            </w:r>
          </w:p>
        </w:tc>
        <w:tc>
          <w:tcPr>
            <w:tcW w:w="1919" w:type="dxa"/>
          </w:tcPr>
          <w:p w14:paraId="36807F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Совместные 50-ти</w:t>
            </w:r>
          </w:p>
        </w:tc>
        <w:tc>
          <w:tcPr>
            <w:tcW w:w="720" w:type="dxa"/>
          </w:tcPr>
          <w:p w14:paraId="7AB5A1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апр.</w:t>
            </w:r>
          </w:p>
        </w:tc>
        <w:tc>
          <w:tcPr>
            <w:tcW w:w="1088" w:type="dxa"/>
          </w:tcPr>
          <w:p w14:paraId="2507DD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4500,0</w:t>
            </w:r>
          </w:p>
        </w:tc>
        <w:tc>
          <w:tcPr>
            <w:tcW w:w="927" w:type="dxa"/>
          </w:tcPr>
          <w:p w14:paraId="39D9F8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17CA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предъявлен на</w:t>
            </w:r>
          </w:p>
        </w:tc>
        <w:tc>
          <w:tcPr>
            <w:tcW w:w="1435" w:type="dxa"/>
          </w:tcPr>
          <w:p w14:paraId="7DBD04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 переходит</w:t>
            </w:r>
          </w:p>
        </w:tc>
      </w:tr>
      <w:tr w:rsidR="006F4095" w:rsidRPr="008127F8" w14:paraId="26145081" w14:textId="77777777">
        <w:tc>
          <w:tcPr>
            <w:tcW w:w="959" w:type="dxa"/>
          </w:tcPr>
          <w:p w14:paraId="6184AB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ACD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w:t>
            </w:r>
          </w:p>
        </w:tc>
        <w:tc>
          <w:tcPr>
            <w:tcW w:w="1919" w:type="dxa"/>
          </w:tcPr>
          <w:p w14:paraId="380137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720" w:type="dxa"/>
          </w:tcPr>
          <w:p w14:paraId="21BBA9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75534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BBC7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D695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совместные 50-ти</w:t>
            </w:r>
          </w:p>
        </w:tc>
        <w:tc>
          <w:tcPr>
            <w:tcW w:w="1435" w:type="dxa"/>
          </w:tcPr>
          <w:p w14:paraId="731FCD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41 г.</w:t>
            </w:r>
          </w:p>
        </w:tc>
      </w:tr>
      <w:tr w:rsidR="006F4095" w:rsidRPr="008127F8" w14:paraId="4E0C4A61" w14:textId="77777777">
        <w:tc>
          <w:tcPr>
            <w:tcW w:w="959" w:type="dxa"/>
          </w:tcPr>
          <w:p w14:paraId="746121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5403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2B0D2E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33C846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53954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3626A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96DA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часовые испытания на</w:t>
            </w:r>
          </w:p>
        </w:tc>
        <w:tc>
          <w:tcPr>
            <w:tcW w:w="1435" w:type="dxa"/>
          </w:tcPr>
          <w:p w14:paraId="634E4D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4F9F1D" w14:textId="77777777">
        <w:tc>
          <w:tcPr>
            <w:tcW w:w="959" w:type="dxa"/>
          </w:tcPr>
          <w:p w14:paraId="488E43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D1C3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4E5459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Специальные летные</w:t>
            </w:r>
          </w:p>
        </w:tc>
        <w:tc>
          <w:tcPr>
            <w:tcW w:w="720" w:type="dxa"/>
          </w:tcPr>
          <w:p w14:paraId="14EF81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c>
          <w:tcPr>
            <w:tcW w:w="1088" w:type="dxa"/>
          </w:tcPr>
          <w:p w14:paraId="435921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66AC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04C4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1435" w:type="dxa"/>
          </w:tcPr>
          <w:p w14:paraId="0D01E2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F492D1B" w14:textId="77777777">
        <w:tc>
          <w:tcPr>
            <w:tcW w:w="959" w:type="dxa"/>
          </w:tcPr>
          <w:p w14:paraId="3597D4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B3CE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2200 л.с.</w:t>
            </w:r>
          </w:p>
        </w:tc>
        <w:tc>
          <w:tcPr>
            <w:tcW w:w="1919" w:type="dxa"/>
          </w:tcPr>
          <w:p w14:paraId="3912D7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на самолете</w:t>
            </w:r>
          </w:p>
        </w:tc>
        <w:tc>
          <w:tcPr>
            <w:tcW w:w="720" w:type="dxa"/>
          </w:tcPr>
          <w:p w14:paraId="22E93C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68C891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186D7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CFF7A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FFB1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85BCDC" w14:textId="77777777">
        <w:tc>
          <w:tcPr>
            <w:tcW w:w="959" w:type="dxa"/>
          </w:tcPr>
          <w:p w14:paraId="555421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9EA9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3CE8A1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720" w:type="dxa"/>
          </w:tcPr>
          <w:p w14:paraId="438536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8B81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AFEFA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E84A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8BCE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7C85B7" w14:textId="77777777">
        <w:tc>
          <w:tcPr>
            <w:tcW w:w="959" w:type="dxa"/>
          </w:tcPr>
          <w:p w14:paraId="6FAB2C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CC5A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м - 2200 л.с.</w:t>
            </w:r>
          </w:p>
        </w:tc>
        <w:tc>
          <w:tcPr>
            <w:tcW w:w="1919" w:type="dxa"/>
          </w:tcPr>
          <w:p w14:paraId="7EBAB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097F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369D8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9637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D8E9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7ECC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45D7E9" w14:textId="77777777">
        <w:tc>
          <w:tcPr>
            <w:tcW w:w="959" w:type="dxa"/>
          </w:tcPr>
          <w:p w14:paraId="3E229F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58C7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w:t>
            </w:r>
          </w:p>
        </w:tc>
        <w:tc>
          <w:tcPr>
            <w:tcW w:w="1919" w:type="dxa"/>
          </w:tcPr>
          <w:p w14:paraId="55F7A3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57A7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5B2E7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61CC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E940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6719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BAAD65" w14:textId="77777777">
        <w:tc>
          <w:tcPr>
            <w:tcW w:w="959" w:type="dxa"/>
          </w:tcPr>
          <w:p w14:paraId="1478E3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BDA2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м - 2100 л.с.</w:t>
            </w:r>
          </w:p>
        </w:tc>
        <w:tc>
          <w:tcPr>
            <w:tcW w:w="1919" w:type="dxa"/>
          </w:tcPr>
          <w:p w14:paraId="1218E7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6F64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5DF4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8271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4E73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117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6B1024" w14:textId="77777777">
        <w:tc>
          <w:tcPr>
            <w:tcW w:w="959" w:type="dxa"/>
          </w:tcPr>
          <w:p w14:paraId="509AF6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DE1C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w:t>
            </w:r>
          </w:p>
        </w:tc>
        <w:tc>
          <w:tcPr>
            <w:tcW w:w="1919" w:type="dxa"/>
          </w:tcPr>
          <w:p w14:paraId="5AE60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C409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9FC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F1C8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AC68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63092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DA3086F" w14:textId="77777777">
        <w:tc>
          <w:tcPr>
            <w:tcW w:w="959" w:type="dxa"/>
          </w:tcPr>
          <w:p w14:paraId="7656E4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7DA8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земного номинала</w:t>
            </w:r>
          </w:p>
        </w:tc>
        <w:tc>
          <w:tcPr>
            <w:tcW w:w="1919" w:type="dxa"/>
          </w:tcPr>
          <w:p w14:paraId="35BFFC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4E8A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2B61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38C9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A1E5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AE8BC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2E98C0" w14:textId="77777777">
        <w:tc>
          <w:tcPr>
            <w:tcW w:w="959" w:type="dxa"/>
          </w:tcPr>
          <w:p w14:paraId="72877E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0E43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 гр/лсч</w:t>
            </w:r>
          </w:p>
        </w:tc>
        <w:tc>
          <w:tcPr>
            <w:tcW w:w="1919" w:type="dxa"/>
          </w:tcPr>
          <w:p w14:paraId="653FAD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6E891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24D6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57AE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9CF40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FD22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ED8821" w14:textId="77777777">
        <w:tc>
          <w:tcPr>
            <w:tcW w:w="959" w:type="dxa"/>
          </w:tcPr>
          <w:p w14:paraId="76A6E7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0252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0023C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6A2C3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412F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D5D7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C1B5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4A28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58E998" w14:textId="77777777">
        <w:tc>
          <w:tcPr>
            <w:tcW w:w="959" w:type="dxa"/>
          </w:tcPr>
          <w:p w14:paraId="468C24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6877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1300 кг</w:t>
            </w:r>
          </w:p>
        </w:tc>
        <w:tc>
          <w:tcPr>
            <w:tcW w:w="1919" w:type="dxa"/>
          </w:tcPr>
          <w:p w14:paraId="07C934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EC95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B3AFA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9ED5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64B8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1067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0A3A83" w14:textId="77777777">
        <w:tc>
          <w:tcPr>
            <w:tcW w:w="959" w:type="dxa"/>
          </w:tcPr>
          <w:p w14:paraId="61062B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РД-1</w:t>
            </w:r>
          </w:p>
        </w:tc>
        <w:tc>
          <w:tcPr>
            <w:tcW w:w="1677" w:type="dxa"/>
          </w:tcPr>
          <w:p w14:paraId="44B28D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Реактивный двигатель,</w:t>
            </w:r>
          </w:p>
        </w:tc>
        <w:tc>
          <w:tcPr>
            <w:tcW w:w="1919" w:type="dxa"/>
          </w:tcPr>
          <w:p w14:paraId="10ED22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Изготовление и</w:t>
            </w:r>
          </w:p>
        </w:tc>
        <w:tc>
          <w:tcPr>
            <w:tcW w:w="720" w:type="dxa"/>
          </w:tcPr>
          <w:p w14:paraId="7460D9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июля</w:t>
            </w:r>
          </w:p>
        </w:tc>
        <w:tc>
          <w:tcPr>
            <w:tcW w:w="1088" w:type="dxa"/>
          </w:tcPr>
          <w:p w14:paraId="427584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927" w:type="dxa"/>
          </w:tcPr>
          <w:p w14:paraId="316801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w:t>
            </w:r>
          </w:p>
        </w:tc>
        <w:tc>
          <w:tcPr>
            <w:tcW w:w="1870" w:type="dxa"/>
          </w:tcPr>
          <w:p w14:paraId="7E0D98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Проведены эксперимент.</w:t>
            </w:r>
          </w:p>
        </w:tc>
        <w:tc>
          <w:tcPr>
            <w:tcW w:w="1435" w:type="dxa"/>
          </w:tcPr>
          <w:p w14:paraId="6A970E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4DAD1D55" w14:textId="77777777">
        <w:tc>
          <w:tcPr>
            <w:tcW w:w="959" w:type="dxa"/>
          </w:tcPr>
          <w:p w14:paraId="637393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E2DC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работающий </w:t>
            </w:r>
            <w:proofErr w:type="gramStart"/>
            <w:r w:rsidRPr="008127F8">
              <w:rPr>
                <w:rFonts w:ascii="Times New Roman" w:hAnsi="Times New Roman"/>
                <w:color w:val="000000" w:themeColor="text1"/>
                <w:sz w:val="16"/>
                <w:szCs w:val="16"/>
              </w:rPr>
              <w:t>на жидком</w:t>
            </w:r>
            <w:proofErr w:type="gramEnd"/>
          </w:p>
        </w:tc>
        <w:tc>
          <w:tcPr>
            <w:tcW w:w="1919" w:type="dxa"/>
          </w:tcPr>
          <w:p w14:paraId="1138A7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окончание доводки на</w:t>
            </w:r>
          </w:p>
        </w:tc>
        <w:tc>
          <w:tcPr>
            <w:tcW w:w="720" w:type="dxa"/>
          </w:tcPr>
          <w:p w14:paraId="458B0E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02B2CE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0B8CB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w:t>
            </w:r>
          </w:p>
        </w:tc>
        <w:tc>
          <w:tcPr>
            <w:tcW w:w="1870" w:type="dxa"/>
          </w:tcPr>
          <w:p w14:paraId="6C6903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исследования по</w:t>
            </w:r>
          </w:p>
        </w:tc>
        <w:tc>
          <w:tcPr>
            <w:tcW w:w="1435" w:type="dxa"/>
          </w:tcPr>
          <w:p w14:paraId="13C6D3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F1240F" w14:textId="77777777">
        <w:tc>
          <w:tcPr>
            <w:tcW w:w="959" w:type="dxa"/>
          </w:tcPr>
          <w:p w14:paraId="054B30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8DAA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окислителе (азотная</w:t>
            </w:r>
          </w:p>
        </w:tc>
        <w:tc>
          <w:tcPr>
            <w:tcW w:w="1919" w:type="dxa"/>
          </w:tcPr>
          <w:p w14:paraId="45D989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w:t>
            </w:r>
          </w:p>
        </w:tc>
        <w:tc>
          <w:tcPr>
            <w:tcW w:w="720" w:type="dxa"/>
          </w:tcPr>
          <w:p w14:paraId="458E77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87D7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57BA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9A03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охлаждению камеры</w:t>
            </w:r>
          </w:p>
        </w:tc>
        <w:tc>
          <w:tcPr>
            <w:tcW w:w="1435" w:type="dxa"/>
          </w:tcPr>
          <w:p w14:paraId="2E8B31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9E7DC4" w14:textId="77777777">
        <w:tc>
          <w:tcPr>
            <w:tcW w:w="959" w:type="dxa"/>
          </w:tcPr>
          <w:p w14:paraId="3A012F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897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кислота) и керосине</w:t>
            </w:r>
          </w:p>
        </w:tc>
        <w:tc>
          <w:tcPr>
            <w:tcW w:w="1919" w:type="dxa"/>
          </w:tcPr>
          <w:p w14:paraId="67A726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Изготовление летного</w:t>
            </w:r>
          </w:p>
        </w:tc>
        <w:tc>
          <w:tcPr>
            <w:tcW w:w="720" w:type="dxa"/>
          </w:tcPr>
          <w:p w14:paraId="128454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дек.</w:t>
            </w:r>
          </w:p>
        </w:tc>
        <w:tc>
          <w:tcPr>
            <w:tcW w:w="1088" w:type="dxa"/>
          </w:tcPr>
          <w:p w14:paraId="799C4B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FD11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9D19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Сгорания и сопла топливом.</w:t>
            </w:r>
          </w:p>
        </w:tc>
        <w:tc>
          <w:tcPr>
            <w:tcW w:w="1435" w:type="dxa"/>
          </w:tcPr>
          <w:p w14:paraId="43D8FE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7CE0824" w14:textId="77777777">
        <w:tc>
          <w:tcPr>
            <w:tcW w:w="959" w:type="dxa"/>
          </w:tcPr>
          <w:p w14:paraId="394BC1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5CDA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1919" w:type="dxa"/>
          </w:tcPr>
          <w:p w14:paraId="473CFB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образца и проведение</w:t>
            </w:r>
          </w:p>
        </w:tc>
        <w:tc>
          <w:tcPr>
            <w:tcW w:w="720" w:type="dxa"/>
          </w:tcPr>
          <w:p w14:paraId="0994DE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2F18BA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A73A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83D0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FD05E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510118" w14:textId="77777777">
        <w:tc>
          <w:tcPr>
            <w:tcW w:w="959" w:type="dxa"/>
          </w:tcPr>
          <w:p w14:paraId="461B24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4F1B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 л.с.</w:t>
            </w:r>
          </w:p>
        </w:tc>
        <w:tc>
          <w:tcPr>
            <w:tcW w:w="1919" w:type="dxa"/>
          </w:tcPr>
          <w:p w14:paraId="67DC8A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специальных летных</w:t>
            </w:r>
          </w:p>
        </w:tc>
        <w:tc>
          <w:tcPr>
            <w:tcW w:w="720" w:type="dxa"/>
          </w:tcPr>
          <w:p w14:paraId="12AAEF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AB07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38A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76E3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97EC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9DA27A" w14:textId="77777777">
        <w:tc>
          <w:tcPr>
            <w:tcW w:w="959" w:type="dxa"/>
          </w:tcPr>
          <w:p w14:paraId="74A3B5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6D80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тяга при</w:t>
            </w:r>
          </w:p>
        </w:tc>
        <w:tc>
          <w:tcPr>
            <w:tcW w:w="1919" w:type="dxa"/>
          </w:tcPr>
          <w:p w14:paraId="4ED4E7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w:t>
            </w:r>
          </w:p>
        </w:tc>
        <w:tc>
          <w:tcPr>
            <w:tcW w:w="720" w:type="dxa"/>
          </w:tcPr>
          <w:p w14:paraId="58C5EA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BB26A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B8B4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EEDE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D580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B68BDA" w14:textId="77777777">
        <w:tc>
          <w:tcPr>
            <w:tcW w:w="959" w:type="dxa"/>
          </w:tcPr>
          <w:p w14:paraId="736EE7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B606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скорости полета 730 </w:t>
            </w:r>
          </w:p>
        </w:tc>
        <w:tc>
          <w:tcPr>
            <w:tcW w:w="1919" w:type="dxa"/>
          </w:tcPr>
          <w:p w14:paraId="62160E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2BE8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683C6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51C0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43C5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F96C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01D8AC" w14:textId="77777777">
        <w:tc>
          <w:tcPr>
            <w:tcW w:w="959" w:type="dxa"/>
          </w:tcPr>
          <w:p w14:paraId="062014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CB81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 с 1200 кг</w:t>
            </w:r>
          </w:p>
        </w:tc>
        <w:tc>
          <w:tcPr>
            <w:tcW w:w="1919" w:type="dxa"/>
          </w:tcPr>
          <w:p w14:paraId="754604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A2585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73AB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8ED8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0FDF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0697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1B43EB" w14:textId="77777777">
        <w:tc>
          <w:tcPr>
            <w:tcW w:w="959" w:type="dxa"/>
          </w:tcPr>
          <w:p w14:paraId="30E1F9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2BAF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секундный расход</w:t>
            </w:r>
          </w:p>
        </w:tc>
        <w:tc>
          <w:tcPr>
            <w:tcW w:w="1919" w:type="dxa"/>
          </w:tcPr>
          <w:p w14:paraId="6EE982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3079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B8F3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5FC0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6498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9437C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2423C99" w14:textId="77777777">
        <w:tc>
          <w:tcPr>
            <w:tcW w:w="959" w:type="dxa"/>
          </w:tcPr>
          <w:p w14:paraId="5A096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61ACF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топлива 0,29-0,45 кг/с</w:t>
            </w:r>
          </w:p>
        </w:tc>
        <w:tc>
          <w:tcPr>
            <w:tcW w:w="1919" w:type="dxa"/>
          </w:tcPr>
          <w:p w14:paraId="3D9171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C127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1CBB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4B02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AF57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994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794E87" w14:textId="77777777">
        <w:tc>
          <w:tcPr>
            <w:tcW w:w="959" w:type="dxa"/>
          </w:tcPr>
          <w:p w14:paraId="321B8D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FF1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лба 0,25,0-0,3</w:t>
            </w:r>
          </w:p>
        </w:tc>
        <w:tc>
          <w:tcPr>
            <w:tcW w:w="1919" w:type="dxa"/>
          </w:tcPr>
          <w:p w14:paraId="0584DF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90DB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1409B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9A88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8460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E7D2E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A1BC87" w14:textId="77777777">
        <w:tc>
          <w:tcPr>
            <w:tcW w:w="959" w:type="dxa"/>
          </w:tcPr>
          <w:p w14:paraId="0FC68C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F5B8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кв.</w:t>
            </w:r>
          </w:p>
        </w:tc>
        <w:tc>
          <w:tcPr>
            <w:tcW w:w="1919" w:type="dxa"/>
          </w:tcPr>
          <w:p w14:paraId="43BB05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8DCC5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92A8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573C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B4DF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E4D3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C46624" w14:textId="77777777">
        <w:tc>
          <w:tcPr>
            <w:tcW w:w="959" w:type="dxa"/>
          </w:tcPr>
          <w:p w14:paraId="53CA53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F9A6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двигателя 1 м</w:t>
            </w:r>
          </w:p>
        </w:tc>
        <w:tc>
          <w:tcPr>
            <w:tcW w:w="1919" w:type="dxa"/>
          </w:tcPr>
          <w:p w14:paraId="6B76AB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A08C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3444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42B9E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7403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A8FB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914F2CF" w14:textId="77777777">
        <w:tc>
          <w:tcPr>
            <w:tcW w:w="959" w:type="dxa"/>
          </w:tcPr>
          <w:p w14:paraId="3F8F3F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7E5C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двигателя</w:t>
            </w:r>
          </w:p>
        </w:tc>
        <w:tc>
          <w:tcPr>
            <w:tcW w:w="1919" w:type="dxa"/>
          </w:tcPr>
          <w:p w14:paraId="0BAD92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CCD9F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6C61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EF70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BB9F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D8BE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D5253A5" w14:textId="77777777">
        <w:tc>
          <w:tcPr>
            <w:tcW w:w="959" w:type="dxa"/>
          </w:tcPr>
          <w:p w14:paraId="43B3D9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A6FA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кг</w:t>
            </w:r>
          </w:p>
        </w:tc>
        <w:tc>
          <w:tcPr>
            <w:tcW w:w="1919" w:type="dxa"/>
          </w:tcPr>
          <w:p w14:paraId="51D5F3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7FA45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735DC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5164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976B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1302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9D2C84B" w14:textId="77777777">
        <w:tc>
          <w:tcPr>
            <w:tcW w:w="959" w:type="dxa"/>
          </w:tcPr>
          <w:p w14:paraId="2A5F8E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w:t>
            </w:r>
          </w:p>
        </w:tc>
        <w:tc>
          <w:tcPr>
            <w:tcW w:w="1677" w:type="dxa"/>
          </w:tcPr>
          <w:p w14:paraId="2EE1E9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Воздушно-реактивный</w:t>
            </w:r>
          </w:p>
        </w:tc>
        <w:tc>
          <w:tcPr>
            <w:tcW w:w="1919" w:type="dxa"/>
          </w:tcPr>
          <w:p w14:paraId="2BBA28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Окончание постройки</w:t>
            </w:r>
          </w:p>
        </w:tc>
        <w:tc>
          <w:tcPr>
            <w:tcW w:w="720" w:type="dxa"/>
          </w:tcPr>
          <w:p w14:paraId="1FBE09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w:t>
            </w:r>
          </w:p>
        </w:tc>
        <w:tc>
          <w:tcPr>
            <w:tcW w:w="1088" w:type="dxa"/>
          </w:tcPr>
          <w:p w14:paraId="586E8A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927" w:type="dxa"/>
          </w:tcPr>
          <w:p w14:paraId="23CF81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w:t>
            </w:r>
          </w:p>
        </w:tc>
        <w:tc>
          <w:tcPr>
            <w:tcW w:w="1870" w:type="dxa"/>
          </w:tcPr>
          <w:p w14:paraId="6AB0EA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Проводятся эксперимент.</w:t>
            </w:r>
          </w:p>
        </w:tc>
        <w:tc>
          <w:tcPr>
            <w:tcW w:w="1435" w:type="dxa"/>
          </w:tcPr>
          <w:p w14:paraId="200EFB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тема.</w:t>
            </w:r>
          </w:p>
        </w:tc>
      </w:tr>
      <w:tr w:rsidR="006F4095" w:rsidRPr="008127F8" w14:paraId="3DAB4999" w14:textId="77777777">
        <w:tc>
          <w:tcPr>
            <w:tcW w:w="959" w:type="dxa"/>
          </w:tcPr>
          <w:p w14:paraId="265AD5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ускорит.</w:t>
            </w:r>
          </w:p>
        </w:tc>
        <w:tc>
          <w:tcPr>
            <w:tcW w:w="1677" w:type="dxa"/>
          </w:tcPr>
          <w:p w14:paraId="05CE39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 предназнач.</w:t>
            </w:r>
          </w:p>
        </w:tc>
        <w:tc>
          <w:tcPr>
            <w:tcW w:w="1919" w:type="dxa"/>
          </w:tcPr>
          <w:p w14:paraId="5375F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доводки опытных</w:t>
            </w:r>
          </w:p>
        </w:tc>
        <w:tc>
          <w:tcPr>
            <w:tcW w:w="720" w:type="dxa"/>
          </w:tcPr>
          <w:p w14:paraId="7049B4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56ACC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7CBA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1880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исследования на опытном</w:t>
            </w:r>
          </w:p>
        </w:tc>
        <w:tc>
          <w:tcPr>
            <w:tcW w:w="1435" w:type="dxa"/>
          </w:tcPr>
          <w:p w14:paraId="7F06A9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0025C92" w14:textId="77777777">
        <w:tc>
          <w:tcPr>
            <w:tcW w:w="959" w:type="dxa"/>
          </w:tcPr>
          <w:p w14:paraId="6F334F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с-тов</w:t>
            </w:r>
          </w:p>
        </w:tc>
        <w:tc>
          <w:tcPr>
            <w:tcW w:w="1677" w:type="dxa"/>
          </w:tcPr>
          <w:p w14:paraId="1E7A97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увеличения скорости</w:t>
            </w:r>
          </w:p>
        </w:tc>
        <w:tc>
          <w:tcPr>
            <w:tcW w:w="1919" w:type="dxa"/>
          </w:tcPr>
          <w:p w14:paraId="601BD5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образцов на стенде.</w:t>
            </w:r>
          </w:p>
        </w:tc>
        <w:tc>
          <w:tcPr>
            <w:tcW w:w="720" w:type="dxa"/>
          </w:tcPr>
          <w:p w14:paraId="26D861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23A1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F419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88F3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экземпляре, отрабатывается</w:t>
            </w:r>
          </w:p>
        </w:tc>
        <w:tc>
          <w:tcPr>
            <w:tcW w:w="1435" w:type="dxa"/>
          </w:tcPr>
          <w:p w14:paraId="1AFA51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C53588" w14:textId="77777777">
        <w:tc>
          <w:tcPr>
            <w:tcW w:w="959" w:type="dxa"/>
          </w:tcPr>
          <w:p w14:paraId="45A612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17DA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 на 35-50 км/час</w:t>
            </w:r>
          </w:p>
        </w:tc>
        <w:tc>
          <w:tcPr>
            <w:tcW w:w="1919" w:type="dxa"/>
          </w:tcPr>
          <w:p w14:paraId="21387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Изготовление летных</w:t>
            </w:r>
          </w:p>
        </w:tc>
        <w:tc>
          <w:tcPr>
            <w:tcW w:w="720" w:type="dxa"/>
          </w:tcPr>
          <w:p w14:paraId="0D449E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1088" w:type="dxa"/>
          </w:tcPr>
          <w:p w14:paraId="1C7738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CF50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3E39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процесс сгорания и</w:t>
            </w:r>
          </w:p>
        </w:tc>
        <w:tc>
          <w:tcPr>
            <w:tcW w:w="1435" w:type="dxa"/>
          </w:tcPr>
          <w:p w14:paraId="2E3A0B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930004" w14:textId="77777777">
        <w:tc>
          <w:tcPr>
            <w:tcW w:w="959" w:type="dxa"/>
          </w:tcPr>
          <w:p w14:paraId="3FA341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2033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скорости самолета</w:t>
            </w:r>
          </w:p>
        </w:tc>
        <w:tc>
          <w:tcPr>
            <w:tcW w:w="1919" w:type="dxa"/>
          </w:tcPr>
          <w:p w14:paraId="6F61FA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образцов и проведение</w:t>
            </w:r>
          </w:p>
        </w:tc>
        <w:tc>
          <w:tcPr>
            <w:tcW w:w="720" w:type="dxa"/>
          </w:tcPr>
          <w:p w14:paraId="1CD882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088" w:type="dxa"/>
          </w:tcPr>
          <w:p w14:paraId="391CC3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7BAE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D19C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устойчивость работы</w:t>
            </w:r>
          </w:p>
        </w:tc>
        <w:tc>
          <w:tcPr>
            <w:tcW w:w="1435" w:type="dxa"/>
          </w:tcPr>
          <w:p w14:paraId="125B17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626C00" w14:textId="77777777">
        <w:tc>
          <w:tcPr>
            <w:tcW w:w="959" w:type="dxa"/>
          </w:tcPr>
          <w:p w14:paraId="617467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9BA49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150-170 м/с</w:t>
            </w:r>
          </w:p>
        </w:tc>
        <w:tc>
          <w:tcPr>
            <w:tcW w:w="1919" w:type="dxa"/>
          </w:tcPr>
          <w:p w14:paraId="0AB454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специальных летных</w:t>
            </w:r>
          </w:p>
        </w:tc>
        <w:tc>
          <w:tcPr>
            <w:tcW w:w="720" w:type="dxa"/>
          </w:tcPr>
          <w:p w14:paraId="432284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E4735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E542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45E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двигателя.</w:t>
            </w:r>
          </w:p>
        </w:tc>
        <w:tc>
          <w:tcPr>
            <w:tcW w:w="1435" w:type="dxa"/>
          </w:tcPr>
          <w:p w14:paraId="7E1414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AAC193" w14:textId="77777777">
        <w:tc>
          <w:tcPr>
            <w:tcW w:w="959" w:type="dxa"/>
          </w:tcPr>
          <w:p w14:paraId="51D63A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912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тяговая мощность</w:t>
            </w:r>
          </w:p>
        </w:tc>
        <w:tc>
          <w:tcPr>
            <w:tcW w:w="1919" w:type="dxa"/>
          </w:tcPr>
          <w:p w14:paraId="363B1C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w:t>
            </w:r>
          </w:p>
        </w:tc>
        <w:tc>
          <w:tcPr>
            <w:tcW w:w="720" w:type="dxa"/>
          </w:tcPr>
          <w:p w14:paraId="14B224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21DF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7621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E4A5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BE4D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8A05AB" w14:textId="77777777">
        <w:tc>
          <w:tcPr>
            <w:tcW w:w="959" w:type="dxa"/>
          </w:tcPr>
          <w:p w14:paraId="13D107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1DB2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350-400 т. л.с.</w:t>
            </w:r>
          </w:p>
        </w:tc>
        <w:tc>
          <w:tcPr>
            <w:tcW w:w="1919" w:type="dxa"/>
          </w:tcPr>
          <w:p w14:paraId="6F43A5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3FCC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87F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A267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6C79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F7DEA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AEDAB2" w14:textId="77777777">
        <w:tc>
          <w:tcPr>
            <w:tcW w:w="959" w:type="dxa"/>
          </w:tcPr>
          <w:p w14:paraId="260823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3475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двигателя 100 кг</w:t>
            </w:r>
          </w:p>
        </w:tc>
        <w:tc>
          <w:tcPr>
            <w:tcW w:w="1919" w:type="dxa"/>
          </w:tcPr>
          <w:p w14:paraId="749E8E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C5E6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02213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6395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6AA8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DBFE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5EDDA3" w14:textId="77777777">
        <w:tc>
          <w:tcPr>
            <w:tcW w:w="959" w:type="dxa"/>
          </w:tcPr>
          <w:p w14:paraId="7808B6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5041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EFCE6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71078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по заводу:</w:t>
            </w:r>
          </w:p>
        </w:tc>
        <w:tc>
          <w:tcPr>
            <w:tcW w:w="1088" w:type="dxa"/>
          </w:tcPr>
          <w:p w14:paraId="5DF902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5500</w:t>
            </w:r>
          </w:p>
        </w:tc>
        <w:tc>
          <w:tcPr>
            <w:tcW w:w="927" w:type="dxa"/>
          </w:tcPr>
          <w:p w14:paraId="34F360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DB0B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67CE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BE9D87" w14:textId="77777777">
        <w:tc>
          <w:tcPr>
            <w:tcW w:w="959" w:type="dxa"/>
          </w:tcPr>
          <w:p w14:paraId="68697E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35F8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B8644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90E3D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по моторному плану на 1942 г.:</w:t>
            </w:r>
          </w:p>
        </w:tc>
        <w:tc>
          <w:tcPr>
            <w:tcW w:w="1088" w:type="dxa"/>
          </w:tcPr>
          <w:p w14:paraId="4257E4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69700,0 т. руб.</w:t>
            </w:r>
          </w:p>
        </w:tc>
        <w:tc>
          <w:tcPr>
            <w:tcW w:w="927" w:type="dxa"/>
          </w:tcPr>
          <w:p w14:paraId="40EAC0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E396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07A1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27489E" w14:textId="77777777">
        <w:tc>
          <w:tcPr>
            <w:tcW w:w="959" w:type="dxa"/>
          </w:tcPr>
          <w:p w14:paraId="1CAE12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 снимаемых опытных моторов</w:t>
            </w:r>
          </w:p>
        </w:tc>
        <w:tc>
          <w:tcPr>
            <w:tcW w:w="1677" w:type="dxa"/>
          </w:tcPr>
          <w:p w14:paraId="5D0E0C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EF5D1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7B62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8271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3623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E9CF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DAAC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C5DCF8" w14:textId="77777777">
        <w:tc>
          <w:tcPr>
            <w:tcW w:w="959" w:type="dxa"/>
          </w:tcPr>
          <w:p w14:paraId="2319D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предусмотренных планом 1941 года по ОКБ заводов NN 24, 26, 29, 154, 16 и ЦИАМ</w:t>
            </w:r>
          </w:p>
        </w:tc>
        <w:tc>
          <w:tcPr>
            <w:tcW w:w="1677" w:type="dxa"/>
          </w:tcPr>
          <w:p w14:paraId="30AE6B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E6EFF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43DF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DA29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6F15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9AFD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035A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529574" w14:textId="77777777">
        <w:tc>
          <w:tcPr>
            <w:tcW w:w="959" w:type="dxa"/>
          </w:tcPr>
          <w:p w14:paraId="22BB00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Шифр</w:t>
            </w:r>
          </w:p>
        </w:tc>
        <w:tc>
          <w:tcPr>
            <w:tcW w:w="1677" w:type="dxa"/>
          </w:tcPr>
          <w:p w14:paraId="7B0070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Классификация и </w:t>
            </w:r>
            <w:r w:rsidRPr="008127F8">
              <w:rPr>
                <w:rFonts w:ascii="Times New Roman" w:hAnsi="Times New Roman"/>
                <w:color w:val="000000" w:themeColor="text1"/>
                <w:sz w:val="16"/>
                <w:szCs w:val="16"/>
              </w:rPr>
              <w:lastRenderedPageBreak/>
              <w:t>основные</w:t>
            </w:r>
          </w:p>
        </w:tc>
        <w:tc>
          <w:tcPr>
            <w:tcW w:w="1919" w:type="dxa"/>
          </w:tcPr>
          <w:p w14:paraId="5AEB33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Состояние работ по</w:t>
            </w:r>
          </w:p>
        </w:tc>
        <w:tc>
          <w:tcPr>
            <w:tcW w:w="720" w:type="dxa"/>
          </w:tcPr>
          <w:p w14:paraId="0C184B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w:t>
            </w:r>
            <w:r w:rsidRPr="008127F8">
              <w:rPr>
                <w:rFonts w:ascii="Times New Roman" w:hAnsi="Times New Roman"/>
                <w:color w:val="000000" w:themeColor="text1"/>
                <w:sz w:val="16"/>
                <w:szCs w:val="16"/>
              </w:rPr>
              <w:lastRenderedPageBreak/>
              <w:t>на прекр.</w:t>
            </w:r>
          </w:p>
        </w:tc>
        <w:tc>
          <w:tcPr>
            <w:tcW w:w="1088" w:type="dxa"/>
          </w:tcPr>
          <w:p w14:paraId="1B153F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Решение </w:t>
            </w:r>
            <w:r w:rsidRPr="008127F8">
              <w:rPr>
                <w:rFonts w:ascii="Times New Roman" w:hAnsi="Times New Roman"/>
                <w:color w:val="000000" w:themeColor="text1"/>
                <w:sz w:val="16"/>
                <w:szCs w:val="16"/>
              </w:rPr>
              <w:lastRenderedPageBreak/>
              <w:t>Правит.</w:t>
            </w:r>
          </w:p>
        </w:tc>
        <w:tc>
          <w:tcPr>
            <w:tcW w:w="927" w:type="dxa"/>
          </w:tcPr>
          <w:p w14:paraId="193C53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Примечан</w:t>
            </w:r>
            <w:r w:rsidRPr="008127F8">
              <w:rPr>
                <w:rFonts w:ascii="Times New Roman" w:hAnsi="Times New Roman"/>
                <w:color w:val="000000" w:themeColor="text1"/>
                <w:sz w:val="16"/>
                <w:szCs w:val="16"/>
              </w:rPr>
              <w:lastRenderedPageBreak/>
              <w:t>ие</w:t>
            </w:r>
          </w:p>
        </w:tc>
        <w:tc>
          <w:tcPr>
            <w:tcW w:w="1870" w:type="dxa"/>
          </w:tcPr>
          <w:p w14:paraId="3A5604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0ECF3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873B6B" w14:textId="77777777">
        <w:tc>
          <w:tcPr>
            <w:tcW w:w="959" w:type="dxa"/>
          </w:tcPr>
          <w:p w14:paraId="143C7F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объекта</w:t>
            </w:r>
          </w:p>
        </w:tc>
        <w:tc>
          <w:tcPr>
            <w:tcW w:w="1677" w:type="dxa"/>
          </w:tcPr>
          <w:p w14:paraId="6FE0E0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технические данные объекта</w:t>
            </w:r>
          </w:p>
        </w:tc>
        <w:tc>
          <w:tcPr>
            <w:tcW w:w="1919" w:type="dxa"/>
          </w:tcPr>
          <w:p w14:paraId="210687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объекту</w:t>
            </w:r>
          </w:p>
        </w:tc>
        <w:tc>
          <w:tcPr>
            <w:tcW w:w="720" w:type="dxa"/>
          </w:tcPr>
          <w:p w14:paraId="127CCA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по </w:t>
            </w:r>
          </w:p>
        </w:tc>
        <w:tc>
          <w:tcPr>
            <w:tcW w:w="1088" w:type="dxa"/>
          </w:tcPr>
          <w:p w14:paraId="586F76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объекту в</w:t>
            </w:r>
          </w:p>
        </w:tc>
        <w:tc>
          <w:tcPr>
            <w:tcW w:w="927" w:type="dxa"/>
          </w:tcPr>
          <w:p w14:paraId="471BDC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DE15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F6AE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7BC9757" w14:textId="77777777">
        <w:tc>
          <w:tcPr>
            <w:tcW w:w="959" w:type="dxa"/>
          </w:tcPr>
          <w:p w14:paraId="34FF49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A113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E8117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6DAC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объекту</w:t>
            </w:r>
          </w:p>
        </w:tc>
        <w:tc>
          <w:tcPr>
            <w:tcW w:w="1088" w:type="dxa"/>
          </w:tcPr>
          <w:p w14:paraId="3F84A7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1940-41 году</w:t>
            </w:r>
          </w:p>
        </w:tc>
        <w:tc>
          <w:tcPr>
            <w:tcW w:w="927" w:type="dxa"/>
          </w:tcPr>
          <w:p w14:paraId="5F19F1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14CD1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FEB0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4D9CFEA" w14:textId="77777777">
        <w:tc>
          <w:tcPr>
            <w:tcW w:w="959" w:type="dxa"/>
          </w:tcPr>
          <w:p w14:paraId="3906AF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24</w:t>
            </w:r>
          </w:p>
        </w:tc>
        <w:tc>
          <w:tcPr>
            <w:tcW w:w="1677" w:type="dxa"/>
          </w:tcPr>
          <w:p w14:paraId="5074C7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B1F08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A57A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4859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A825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6BFA1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0A5D4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6078C4F" w14:textId="77777777">
        <w:tc>
          <w:tcPr>
            <w:tcW w:w="959" w:type="dxa"/>
          </w:tcPr>
          <w:p w14:paraId="130A38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АМ-37У</w:t>
            </w:r>
          </w:p>
        </w:tc>
        <w:tc>
          <w:tcPr>
            <w:tcW w:w="1677" w:type="dxa"/>
          </w:tcPr>
          <w:p w14:paraId="0A18D2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 образный 12-ти цилиндровый</w:t>
            </w:r>
          </w:p>
        </w:tc>
        <w:tc>
          <w:tcPr>
            <w:tcW w:w="1919" w:type="dxa"/>
          </w:tcPr>
          <w:p w14:paraId="754160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Изготовлен опытный</w:t>
            </w:r>
          </w:p>
        </w:tc>
        <w:tc>
          <w:tcPr>
            <w:tcW w:w="720" w:type="dxa"/>
          </w:tcPr>
          <w:p w14:paraId="682E50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w:t>
            </w:r>
          </w:p>
        </w:tc>
        <w:tc>
          <w:tcPr>
            <w:tcW w:w="1088" w:type="dxa"/>
          </w:tcPr>
          <w:p w14:paraId="53C046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1687-713сс</w:t>
            </w:r>
          </w:p>
        </w:tc>
        <w:tc>
          <w:tcPr>
            <w:tcW w:w="927" w:type="dxa"/>
          </w:tcPr>
          <w:p w14:paraId="125B8E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получении результатов</w:t>
            </w:r>
          </w:p>
        </w:tc>
        <w:tc>
          <w:tcPr>
            <w:tcW w:w="1870" w:type="dxa"/>
          </w:tcPr>
          <w:p w14:paraId="5D8722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444FF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EE02D3" w14:textId="77777777">
        <w:tc>
          <w:tcPr>
            <w:tcW w:w="959" w:type="dxa"/>
          </w:tcPr>
          <w:p w14:paraId="6A9E5D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724D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34069A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образец мотора и</w:t>
            </w:r>
          </w:p>
        </w:tc>
        <w:tc>
          <w:tcPr>
            <w:tcW w:w="720" w:type="dxa"/>
          </w:tcPr>
          <w:p w14:paraId="7C4EBA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потребителя.</w:t>
            </w:r>
          </w:p>
        </w:tc>
        <w:tc>
          <w:tcPr>
            <w:tcW w:w="1088" w:type="dxa"/>
          </w:tcPr>
          <w:p w14:paraId="735F66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2DE304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летных испытаний на</w:t>
            </w:r>
          </w:p>
        </w:tc>
        <w:tc>
          <w:tcPr>
            <w:tcW w:w="1870" w:type="dxa"/>
          </w:tcPr>
          <w:p w14:paraId="793A80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5C1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45D4EC" w14:textId="77777777">
        <w:tc>
          <w:tcPr>
            <w:tcW w:w="959" w:type="dxa"/>
          </w:tcPr>
          <w:p w14:paraId="01EF3B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D26D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удлиненным валом редуктора</w:t>
            </w:r>
          </w:p>
        </w:tc>
        <w:tc>
          <w:tcPr>
            <w:tcW w:w="1919" w:type="dxa"/>
          </w:tcPr>
          <w:p w14:paraId="10C6D8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передан заводу N 301</w:t>
            </w:r>
          </w:p>
        </w:tc>
        <w:tc>
          <w:tcPr>
            <w:tcW w:w="720" w:type="dxa"/>
          </w:tcPr>
          <w:p w14:paraId="375D1B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9FFCC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55B0C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самолете конструкции</w:t>
            </w:r>
          </w:p>
        </w:tc>
        <w:tc>
          <w:tcPr>
            <w:tcW w:w="1870" w:type="dxa"/>
          </w:tcPr>
          <w:p w14:paraId="00F45D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B80F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D7C9A6" w14:textId="77777777">
        <w:tc>
          <w:tcPr>
            <w:tcW w:w="959" w:type="dxa"/>
          </w:tcPr>
          <w:p w14:paraId="430651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4642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1400 л.с.</w:t>
            </w:r>
          </w:p>
        </w:tc>
        <w:tc>
          <w:tcPr>
            <w:tcW w:w="1919" w:type="dxa"/>
          </w:tcPr>
          <w:p w14:paraId="7098FA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установки на</w:t>
            </w:r>
          </w:p>
        </w:tc>
        <w:tc>
          <w:tcPr>
            <w:tcW w:w="720" w:type="dxa"/>
          </w:tcPr>
          <w:p w14:paraId="37DA77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33560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1D655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Гудкова будет решен</w:t>
            </w:r>
          </w:p>
        </w:tc>
        <w:tc>
          <w:tcPr>
            <w:tcW w:w="1870" w:type="dxa"/>
          </w:tcPr>
          <w:p w14:paraId="568D76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F7F7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109C47" w14:textId="77777777">
        <w:tc>
          <w:tcPr>
            <w:tcW w:w="959" w:type="dxa"/>
          </w:tcPr>
          <w:p w14:paraId="6B5FBC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2CA64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398DA4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фюзеляже.</w:t>
            </w:r>
          </w:p>
        </w:tc>
        <w:tc>
          <w:tcPr>
            <w:tcW w:w="720" w:type="dxa"/>
          </w:tcPr>
          <w:p w14:paraId="09DB27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8E88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209BA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 о дальнейшей</w:t>
            </w:r>
          </w:p>
        </w:tc>
        <w:tc>
          <w:tcPr>
            <w:tcW w:w="1870" w:type="dxa"/>
          </w:tcPr>
          <w:p w14:paraId="7A54D4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3698B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03FE2A" w14:textId="77777777">
        <w:tc>
          <w:tcPr>
            <w:tcW w:w="959" w:type="dxa"/>
          </w:tcPr>
          <w:p w14:paraId="4F480A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9D492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л.с.</w:t>
            </w:r>
          </w:p>
        </w:tc>
        <w:tc>
          <w:tcPr>
            <w:tcW w:w="1919" w:type="dxa"/>
          </w:tcPr>
          <w:p w14:paraId="0B0BD6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1DD8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404B5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3AC0D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работе над этим мотором.</w:t>
            </w:r>
          </w:p>
        </w:tc>
        <w:tc>
          <w:tcPr>
            <w:tcW w:w="1870" w:type="dxa"/>
          </w:tcPr>
          <w:p w14:paraId="2A8C39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08CD6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55114D" w14:textId="77777777">
        <w:tc>
          <w:tcPr>
            <w:tcW w:w="959" w:type="dxa"/>
          </w:tcPr>
          <w:p w14:paraId="323A4B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6E6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03588A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6CBA5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99D2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3C3A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ABEA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3D3C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3B389B8" w14:textId="77777777">
        <w:tc>
          <w:tcPr>
            <w:tcW w:w="959" w:type="dxa"/>
          </w:tcPr>
          <w:p w14:paraId="56858C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5C35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270 гр/лсч</w:t>
            </w:r>
          </w:p>
        </w:tc>
        <w:tc>
          <w:tcPr>
            <w:tcW w:w="1919" w:type="dxa"/>
          </w:tcPr>
          <w:p w14:paraId="5878C1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93D2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10E38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914E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7BE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B9B0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CDBECD8" w14:textId="77777777">
        <w:tc>
          <w:tcPr>
            <w:tcW w:w="959" w:type="dxa"/>
          </w:tcPr>
          <w:p w14:paraId="69B70C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56D9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54D61D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529A6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DAF4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DC44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4F44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C0F2A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787BB5C" w14:textId="77777777">
        <w:tc>
          <w:tcPr>
            <w:tcW w:w="959" w:type="dxa"/>
          </w:tcPr>
          <w:p w14:paraId="0C19F2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738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 940 кг</w:t>
            </w:r>
          </w:p>
        </w:tc>
        <w:tc>
          <w:tcPr>
            <w:tcW w:w="1919" w:type="dxa"/>
          </w:tcPr>
          <w:p w14:paraId="1E5DF0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E993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FDAAC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1C5A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1CB8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5E08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8A21A2" w14:textId="77777777">
        <w:tc>
          <w:tcPr>
            <w:tcW w:w="959" w:type="dxa"/>
          </w:tcPr>
          <w:p w14:paraId="2D2BC2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АМ-33ТК</w:t>
            </w:r>
          </w:p>
        </w:tc>
        <w:tc>
          <w:tcPr>
            <w:tcW w:w="1677" w:type="dxa"/>
          </w:tcPr>
          <w:p w14:paraId="02E07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 цилиндровый</w:t>
            </w:r>
          </w:p>
        </w:tc>
        <w:tc>
          <w:tcPr>
            <w:tcW w:w="1919" w:type="dxa"/>
          </w:tcPr>
          <w:p w14:paraId="77854D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Экспериментально</w:t>
            </w:r>
          </w:p>
        </w:tc>
        <w:tc>
          <w:tcPr>
            <w:tcW w:w="720" w:type="dxa"/>
          </w:tcPr>
          <w:p w14:paraId="4FFBC2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w:t>
            </w:r>
          </w:p>
        </w:tc>
        <w:tc>
          <w:tcPr>
            <w:tcW w:w="1088" w:type="dxa"/>
          </w:tcPr>
          <w:p w14:paraId="0861C1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1687-713сс</w:t>
            </w:r>
          </w:p>
        </w:tc>
        <w:tc>
          <w:tcPr>
            <w:tcW w:w="927" w:type="dxa"/>
          </w:tcPr>
          <w:p w14:paraId="2957A7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C5E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676B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1EE128" w14:textId="77777777">
        <w:tc>
          <w:tcPr>
            <w:tcW w:w="959" w:type="dxa"/>
          </w:tcPr>
          <w:p w14:paraId="3C392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2EF5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5F958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отработан опытный</w:t>
            </w:r>
          </w:p>
        </w:tc>
        <w:tc>
          <w:tcPr>
            <w:tcW w:w="720" w:type="dxa"/>
          </w:tcPr>
          <w:p w14:paraId="064F59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потребителя.</w:t>
            </w:r>
          </w:p>
        </w:tc>
        <w:tc>
          <w:tcPr>
            <w:tcW w:w="1088" w:type="dxa"/>
          </w:tcPr>
          <w:p w14:paraId="2D30F4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4A192A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890B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9D0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F2DF94" w14:textId="77777777">
        <w:tc>
          <w:tcPr>
            <w:tcW w:w="959" w:type="dxa"/>
          </w:tcPr>
          <w:p w14:paraId="23B069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1CAB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турбокомпрессором ТК-3</w:t>
            </w:r>
          </w:p>
        </w:tc>
        <w:tc>
          <w:tcPr>
            <w:tcW w:w="1919" w:type="dxa"/>
          </w:tcPr>
          <w:p w14:paraId="197393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экземпляр.</w:t>
            </w:r>
          </w:p>
        </w:tc>
        <w:tc>
          <w:tcPr>
            <w:tcW w:w="720" w:type="dxa"/>
          </w:tcPr>
          <w:p w14:paraId="01EFC7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6CA7C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04DA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4A0B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9562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06C18B" w14:textId="77777777">
        <w:tc>
          <w:tcPr>
            <w:tcW w:w="959" w:type="dxa"/>
          </w:tcPr>
          <w:p w14:paraId="6E7807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D152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1600 л.с.</w:t>
            </w:r>
          </w:p>
        </w:tc>
        <w:tc>
          <w:tcPr>
            <w:tcW w:w="1919" w:type="dxa"/>
          </w:tcPr>
          <w:p w14:paraId="326101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5-го октября 1941</w:t>
            </w:r>
          </w:p>
        </w:tc>
        <w:tc>
          <w:tcPr>
            <w:tcW w:w="720" w:type="dxa"/>
          </w:tcPr>
          <w:p w14:paraId="4E8AD0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809D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263F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5213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B125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44CA4F" w14:textId="77777777">
        <w:tc>
          <w:tcPr>
            <w:tcW w:w="959" w:type="dxa"/>
          </w:tcPr>
          <w:p w14:paraId="6D3BA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4E9CD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1650 м</w:t>
            </w:r>
          </w:p>
        </w:tc>
        <w:tc>
          <w:tcPr>
            <w:tcW w:w="1919" w:type="dxa"/>
          </w:tcPr>
          <w:p w14:paraId="388FF8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года предъявлен на</w:t>
            </w:r>
          </w:p>
        </w:tc>
        <w:tc>
          <w:tcPr>
            <w:tcW w:w="720" w:type="dxa"/>
          </w:tcPr>
          <w:p w14:paraId="063F99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E19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6F52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EC995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7F5D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E91691" w14:textId="77777777">
        <w:tc>
          <w:tcPr>
            <w:tcW w:w="959" w:type="dxa"/>
          </w:tcPr>
          <w:p w14:paraId="3D1223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D66D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1550 л.с.</w:t>
            </w:r>
          </w:p>
        </w:tc>
        <w:tc>
          <w:tcPr>
            <w:tcW w:w="1919" w:type="dxa"/>
          </w:tcPr>
          <w:p w14:paraId="6C30DD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50-ти часовые</w:t>
            </w:r>
          </w:p>
        </w:tc>
        <w:tc>
          <w:tcPr>
            <w:tcW w:w="720" w:type="dxa"/>
          </w:tcPr>
          <w:p w14:paraId="299CBE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561C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9281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E7367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4562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690620" w14:textId="77777777">
        <w:tc>
          <w:tcPr>
            <w:tcW w:w="959" w:type="dxa"/>
          </w:tcPr>
          <w:p w14:paraId="45139D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9AB0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8000 м</w:t>
            </w:r>
          </w:p>
        </w:tc>
        <w:tc>
          <w:tcPr>
            <w:tcW w:w="1919" w:type="dxa"/>
          </w:tcPr>
          <w:p w14:paraId="75683F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совместные испытания</w:t>
            </w:r>
          </w:p>
        </w:tc>
        <w:tc>
          <w:tcPr>
            <w:tcW w:w="720" w:type="dxa"/>
          </w:tcPr>
          <w:p w14:paraId="3B625A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39B1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618E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ABDE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76BE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2C7350" w14:textId="77777777">
        <w:tc>
          <w:tcPr>
            <w:tcW w:w="959" w:type="dxa"/>
          </w:tcPr>
          <w:p w14:paraId="3A1CE9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3388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c>
          <w:tcPr>
            <w:tcW w:w="1919" w:type="dxa"/>
          </w:tcPr>
          <w:p w14:paraId="0DF5A2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ЦИАМ"е. Испытания</w:t>
            </w:r>
          </w:p>
        </w:tc>
        <w:tc>
          <w:tcPr>
            <w:tcW w:w="720" w:type="dxa"/>
          </w:tcPr>
          <w:p w14:paraId="235F20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6869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B62A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7848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8457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2F32CEA" w14:textId="77777777">
        <w:tc>
          <w:tcPr>
            <w:tcW w:w="959" w:type="dxa"/>
          </w:tcPr>
          <w:p w14:paraId="375081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67F49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7C4179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закончились в связи</w:t>
            </w:r>
          </w:p>
        </w:tc>
        <w:tc>
          <w:tcPr>
            <w:tcW w:w="720" w:type="dxa"/>
          </w:tcPr>
          <w:p w14:paraId="76EE6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ACA1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C714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6872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05C8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16E380E" w14:textId="77777777">
        <w:tc>
          <w:tcPr>
            <w:tcW w:w="959" w:type="dxa"/>
          </w:tcPr>
          <w:p w14:paraId="260EEB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72DC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270 гр/лсч</w:t>
            </w:r>
          </w:p>
        </w:tc>
        <w:tc>
          <w:tcPr>
            <w:tcW w:w="1919" w:type="dxa"/>
          </w:tcPr>
          <w:p w14:paraId="42777B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перебазировкой ЦИАМ"а</w:t>
            </w:r>
          </w:p>
        </w:tc>
        <w:tc>
          <w:tcPr>
            <w:tcW w:w="720" w:type="dxa"/>
          </w:tcPr>
          <w:p w14:paraId="7CC052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35EC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BDC1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C7CD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1A99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517632" w14:textId="77777777">
        <w:tc>
          <w:tcPr>
            <w:tcW w:w="959" w:type="dxa"/>
          </w:tcPr>
          <w:p w14:paraId="7C692A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982F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0E5E88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завода N 24.</w:t>
            </w:r>
          </w:p>
        </w:tc>
        <w:tc>
          <w:tcPr>
            <w:tcW w:w="720" w:type="dxa"/>
          </w:tcPr>
          <w:p w14:paraId="5BA7CF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C1C7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163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803B5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6240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399320" w14:textId="77777777">
        <w:tc>
          <w:tcPr>
            <w:tcW w:w="959" w:type="dxa"/>
          </w:tcPr>
          <w:p w14:paraId="0D3034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4F99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930 кг</w:t>
            </w:r>
          </w:p>
        </w:tc>
        <w:tc>
          <w:tcPr>
            <w:tcW w:w="1919" w:type="dxa"/>
          </w:tcPr>
          <w:p w14:paraId="41B2C3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FA8C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F69B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BE6A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FC31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08D0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570C54" w14:textId="77777777">
        <w:tc>
          <w:tcPr>
            <w:tcW w:w="959" w:type="dxa"/>
          </w:tcPr>
          <w:p w14:paraId="1FCE0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АМ-35А НВ</w:t>
            </w:r>
          </w:p>
        </w:tc>
        <w:tc>
          <w:tcPr>
            <w:tcW w:w="1677" w:type="dxa"/>
          </w:tcPr>
          <w:p w14:paraId="3D11D6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 цилиндровый</w:t>
            </w:r>
          </w:p>
        </w:tc>
        <w:tc>
          <w:tcPr>
            <w:tcW w:w="1919" w:type="dxa"/>
          </w:tcPr>
          <w:p w14:paraId="705725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Отработан топливный</w:t>
            </w:r>
          </w:p>
        </w:tc>
        <w:tc>
          <w:tcPr>
            <w:tcW w:w="720" w:type="dxa"/>
          </w:tcPr>
          <w:p w14:paraId="5A4E73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АМ-35А с</w:t>
            </w:r>
          </w:p>
        </w:tc>
        <w:tc>
          <w:tcPr>
            <w:tcW w:w="1088" w:type="dxa"/>
          </w:tcPr>
          <w:p w14:paraId="0EB22B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1687-713сс</w:t>
            </w:r>
          </w:p>
        </w:tc>
        <w:tc>
          <w:tcPr>
            <w:tcW w:w="927" w:type="dxa"/>
          </w:tcPr>
          <w:p w14:paraId="64416E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4A2C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1993A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B54714" w14:textId="77777777">
        <w:tc>
          <w:tcPr>
            <w:tcW w:w="959" w:type="dxa"/>
          </w:tcPr>
          <w:p w14:paraId="7C80C9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B6B6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437239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насос на установке.</w:t>
            </w:r>
          </w:p>
        </w:tc>
        <w:tc>
          <w:tcPr>
            <w:tcW w:w="720" w:type="dxa"/>
          </w:tcPr>
          <w:p w14:paraId="102359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Серийного</w:t>
            </w:r>
          </w:p>
        </w:tc>
        <w:tc>
          <w:tcPr>
            <w:tcW w:w="1088" w:type="dxa"/>
          </w:tcPr>
          <w:p w14:paraId="371A8D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10B7FC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524E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956E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B490BE3" w14:textId="77777777">
        <w:tc>
          <w:tcPr>
            <w:tcW w:w="959" w:type="dxa"/>
          </w:tcPr>
          <w:p w14:paraId="4974B2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F338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непосредственным впрыском</w:t>
            </w:r>
          </w:p>
        </w:tc>
        <w:tc>
          <w:tcPr>
            <w:tcW w:w="1919" w:type="dxa"/>
          </w:tcPr>
          <w:p w14:paraId="39CC29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Мотор был подготовл.</w:t>
            </w:r>
          </w:p>
        </w:tc>
        <w:tc>
          <w:tcPr>
            <w:tcW w:w="720" w:type="dxa"/>
          </w:tcPr>
          <w:p w14:paraId="6872FF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Производства</w:t>
            </w:r>
          </w:p>
        </w:tc>
        <w:tc>
          <w:tcPr>
            <w:tcW w:w="1088" w:type="dxa"/>
          </w:tcPr>
          <w:p w14:paraId="1EB783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4E2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38DC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7756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E478B4" w14:textId="77777777">
        <w:tc>
          <w:tcPr>
            <w:tcW w:w="959" w:type="dxa"/>
          </w:tcPr>
          <w:p w14:paraId="7C59E1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3563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топлива</w:t>
            </w:r>
          </w:p>
        </w:tc>
        <w:tc>
          <w:tcPr>
            <w:tcW w:w="1919" w:type="dxa"/>
          </w:tcPr>
          <w:p w14:paraId="5E324C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совместных испыт.</w:t>
            </w:r>
          </w:p>
        </w:tc>
        <w:tc>
          <w:tcPr>
            <w:tcW w:w="720" w:type="dxa"/>
          </w:tcPr>
          <w:p w14:paraId="4AB6D9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снят, поэтому</w:t>
            </w:r>
          </w:p>
        </w:tc>
        <w:tc>
          <w:tcPr>
            <w:tcW w:w="1088" w:type="dxa"/>
          </w:tcPr>
          <w:p w14:paraId="63D46A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F4D9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5825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9D84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3C493A" w14:textId="77777777">
        <w:tc>
          <w:tcPr>
            <w:tcW w:w="959" w:type="dxa"/>
          </w:tcPr>
          <w:p w14:paraId="2AF780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4129A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1350 л.с.</w:t>
            </w:r>
          </w:p>
        </w:tc>
        <w:tc>
          <w:tcPr>
            <w:tcW w:w="1919" w:type="dxa"/>
          </w:tcPr>
          <w:p w14:paraId="08AD5B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ЦИАМ"е. Испытания не</w:t>
            </w:r>
          </w:p>
        </w:tc>
        <w:tc>
          <w:tcPr>
            <w:tcW w:w="720" w:type="dxa"/>
          </w:tcPr>
          <w:p w14:paraId="7DAEB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w:t>
            </w:r>
          </w:p>
        </w:tc>
        <w:tc>
          <w:tcPr>
            <w:tcW w:w="1088" w:type="dxa"/>
          </w:tcPr>
          <w:p w14:paraId="337988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6BAE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151C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EA0E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772C55A" w14:textId="77777777">
        <w:tc>
          <w:tcPr>
            <w:tcW w:w="959" w:type="dxa"/>
          </w:tcPr>
          <w:p w14:paraId="4BD21D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BE98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68DB84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проводились в связи с</w:t>
            </w:r>
          </w:p>
        </w:tc>
        <w:tc>
          <w:tcPr>
            <w:tcW w:w="720" w:type="dxa"/>
          </w:tcPr>
          <w:p w14:paraId="4868F7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непосредствен.</w:t>
            </w:r>
          </w:p>
        </w:tc>
        <w:tc>
          <w:tcPr>
            <w:tcW w:w="1088" w:type="dxa"/>
          </w:tcPr>
          <w:p w14:paraId="7DF179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C8D6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E801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9FB8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0023C2" w14:textId="77777777">
        <w:tc>
          <w:tcPr>
            <w:tcW w:w="959" w:type="dxa"/>
          </w:tcPr>
          <w:p w14:paraId="2909D7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9D20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 л.с.</w:t>
            </w:r>
          </w:p>
        </w:tc>
        <w:tc>
          <w:tcPr>
            <w:tcW w:w="1919" w:type="dxa"/>
          </w:tcPr>
          <w:p w14:paraId="1BE5F7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перебазировкой ЦИАМ</w:t>
            </w:r>
          </w:p>
        </w:tc>
        <w:tc>
          <w:tcPr>
            <w:tcW w:w="720" w:type="dxa"/>
          </w:tcPr>
          <w:p w14:paraId="6061BD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впрыску</w:t>
            </w:r>
          </w:p>
        </w:tc>
        <w:tc>
          <w:tcPr>
            <w:tcW w:w="1088" w:type="dxa"/>
          </w:tcPr>
          <w:p w14:paraId="20C14B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27866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0AA3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339BC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AE327D" w14:textId="77777777">
        <w:tc>
          <w:tcPr>
            <w:tcW w:w="959" w:type="dxa"/>
          </w:tcPr>
          <w:p w14:paraId="35688C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F592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160751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BD57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прекращены.</w:t>
            </w:r>
          </w:p>
        </w:tc>
        <w:tc>
          <w:tcPr>
            <w:tcW w:w="1088" w:type="dxa"/>
          </w:tcPr>
          <w:p w14:paraId="47DC86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22EC0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A1D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72C47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4F58A8" w14:textId="77777777">
        <w:tc>
          <w:tcPr>
            <w:tcW w:w="959" w:type="dxa"/>
          </w:tcPr>
          <w:p w14:paraId="1DD38F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32DE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270 гр/лсч</w:t>
            </w:r>
          </w:p>
        </w:tc>
        <w:tc>
          <w:tcPr>
            <w:tcW w:w="1919" w:type="dxa"/>
          </w:tcPr>
          <w:p w14:paraId="328C0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4A16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4D74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7C44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6DD2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42A8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9200849" w14:textId="77777777">
        <w:tc>
          <w:tcPr>
            <w:tcW w:w="959" w:type="dxa"/>
          </w:tcPr>
          <w:p w14:paraId="02091F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3118A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42E97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D6BD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63B0F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D522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A90E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8AE9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816CD7A" w14:textId="77777777">
        <w:tc>
          <w:tcPr>
            <w:tcW w:w="959" w:type="dxa"/>
          </w:tcPr>
          <w:p w14:paraId="3CEAC7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5F100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370 кг</w:t>
            </w:r>
          </w:p>
        </w:tc>
        <w:tc>
          <w:tcPr>
            <w:tcW w:w="1919" w:type="dxa"/>
          </w:tcPr>
          <w:p w14:paraId="59B6BE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B2A0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9BF56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6614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3C1E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7002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65E214" w14:textId="77777777">
        <w:tc>
          <w:tcPr>
            <w:tcW w:w="959" w:type="dxa"/>
          </w:tcPr>
          <w:p w14:paraId="0DD57D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26</w:t>
            </w:r>
          </w:p>
        </w:tc>
        <w:tc>
          <w:tcPr>
            <w:tcW w:w="1677" w:type="dxa"/>
          </w:tcPr>
          <w:p w14:paraId="523079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8AA30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1EFA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374F6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242B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A141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595D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EE496A6" w14:textId="77777777">
        <w:tc>
          <w:tcPr>
            <w:tcW w:w="959" w:type="dxa"/>
          </w:tcPr>
          <w:p w14:paraId="669EF1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М-105Ф</w:t>
            </w:r>
          </w:p>
        </w:tc>
        <w:tc>
          <w:tcPr>
            <w:tcW w:w="1677" w:type="dxa"/>
          </w:tcPr>
          <w:p w14:paraId="7AA4C7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 цилиндровый</w:t>
            </w:r>
          </w:p>
        </w:tc>
        <w:tc>
          <w:tcPr>
            <w:tcW w:w="1919" w:type="dxa"/>
          </w:tcPr>
          <w:p w14:paraId="1E7AAC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совместные</w:t>
            </w:r>
          </w:p>
        </w:tc>
        <w:tc>
          <w:tcPr>
            <w:tcW w:w="720" w:type="dxa"/>
          </w:tcPr>
          <w:p w14:paraId="63337E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виду наличия</w:t>
            </w:r>
          </w:p>
        </w:tc>
        <w:tc>
          <w:tcPr>
            <w:tcW w:w="1088" w:type="dxa"/>
          </w:tcPr>
          <w:p w14:paraId="4996F9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1688-714сс</w:t>
            </w:r>
          </w:p>
        </w:tc>
        <w:tc>
          <w:tcPr>
            <w:tcW w:w="927" w:type="dxa"/>
          </w:tcPr>
          <w:p w14:paraId="40015B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31F2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A3644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4023B31" w14:textId="77777777">
        <w:tc>
          <w:tcPr>
            <w:tcW w:w="959" w:type="dxa"/>
          </w:tcPr>
          <w:p w14:paraId="02744A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6954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5DE65B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50-часовые испытания на</w:t>
            </w:r>
          </w:p>
        </w:tc>
        <w:tc>
          <w:tcPr>
            <w:tcW w:w="720" w:type="dxa"/>
          </w:tcPr>
          <w:p w14:paraId="6954A6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М-107</w:t>
            </w:r>
          </w:p>
        </w:tc>
        <w:tc>
          <w:tcPr>
            <w:tcW w:w="1088" w:type="dxa"/>
          </w:tcPr>
          <w:p w14:paraId="6F71D2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w:t>
            </w:r>
          </w:p>
        </w:tc>
        <w:tc>
          <w:tcPr>
            <w:tcW w:w="927" w:type="dxa"/>
          </w:tcPr>
          <w:p w14:paraId="7CA36E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4CB68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8038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9D91EE0" w14:textId="77777777">
        <w:tc>
          <w:tcPr>
            <w:tcW w:w="959" w:type="dxa"/>
          </w:tcPr>
          <w:p w14:paraId="34A58F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6FE3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турбокомпрессором ТК-2</w:t>
            </w:r>
          </w:p>
        </w:tc>
        <w:tc>
          <w:tcPr>
            <w:tcW w:w="1919" w:type="dxa"/>
          </w:tcPr>
          <w:p w14:paraId="3577F7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станке в июле 1941 г.</w:t>
            </w:r>
          </w:p>
        </w:tc>
        <w:tc>
          <w:tcPr>
            <w:tcW w:w="720" w:type="dxa"/>
          </w:tcPr>
          <w:p w14:paraId="56542F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равноценного по</w:t>
            </w:r>
          </w:p>
        </w:tc>
        <w:tc>
          <w:tcPr>
            <w:tcW w:w="1088" w:type="dxa"/>
          </w:tcPr>
          <w:p w14:paraId="76A994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A8F4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C154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C4E6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01B100" w14:textId="77777777">
        <w:tc>
          <w:tcPr>
            <w:tcW w:w="959" w:type="dxa"/>
          </w:tcPr>
          <w:p w14:paraId="59823D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47E7E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1300 л.с.</w:t>
            </w:r>
          </w:p>
        </w:tc>
        <w:tc>
          <w:tcPr>
            <w:tcW w:w="1919" w:type="dxa"/>
          </w:tcPr>
          <w:p w14:paraId="33CE22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1A64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своим техническим</w:t>
            </w:r>
          </w:p>
        </w:tc>
        <w:tc>
          <w:tcPr>
            <w:tcW w:w="1088" w:type="dxa"/>
          </w:tcPr>
          <w:p w14:paraId="3D8E3B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85A0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63DE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357D7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B7E944" w14:textId="77777777">
        <w:tc>
          <w:tcPr>
            <w:tcW w:w="959" w:type="dxa"/>
          </w:tcPr>
          <w:p w14:paraId="07F013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034B8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219BB6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B362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данным и серьезным</w:t>
            </w:r>
          </w:p>
        </w:tc>
        <w:tc>
          <w:tcPr>
            <w:tcW w:w="1088" w:type="dxa"/>
          </w:tcPr>
          <w:p w14:paraId="15CED5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AE16B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4F4BB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D88D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C24AFDF" w14:textId="77777777">
        <w:tc>
          <w:tcPr>
            <w:tcW w:w="959" w:type="dxa"/>
          </w:tcPr>
          <w:p w14:paraId="437CCA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668B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1350 л.с.</w:t>
            </w:r>
          </w:p>
        </w:tc>
        <w:tc>
          <w:tcPr>
            <w:tcW w:w="1919" w:type="dxa"/>
          </w:tcPr>
          <w:p w14:paraId="69F720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B833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дефектам мотора</w:t>
            </w:r>
          </w:p>
        </w:tc>
        <w:tc>
          <w:tcPr>
            <w:tcW w:w="1088" w:type="dxa"/>
          </w:tcPr>
          <w:p w14:paraId="5D985B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046E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1996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B7B1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646A48" w14:textId="77777777">
        <w:tc>
          <w:tcPr>
            <w:tcW w:w="959" w:type="dxa"/>
          </w:tcPr>
          <w:p w14:paraId="467BB2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7A3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75D29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286D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М-105Ф выявившихся</w:t>
            </w:r>
          </w:p>
        </w:tc>
        <w:tc>
          <w:tcPr>
            <w:tcW w:w="1088" w:type="dxa"/>
          </w:tcPr>
          <w:p w14:paraId="6C0470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6157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E6219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7367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310B558" w14:textId="77777777">
        <w:tc>
          <w:tcPr>
            <w:tcW w:w="959" w:type="dxa"/>
          </w:tcPr>
          <w:p w14:paraId="394E17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FAF1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270 гр/лсч</w:t>
            </w:r>
          </w:p>
        </w:tc>
        <w:tc>
          <w:tcPr>
            <w:tcW w:w="1919" w:type="dxa"/>
          </w:tcPr>
          <w:p w14:paraId="4D0F4B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D19B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летных испытан.</w:t>
            </w:r>
          </w:p>
        </w:tc>
        <w:tc>
          <w:tcPr>
            <w:tcW w:w="1088" w:type="dxa"/>
          </w:tcPr>
          <w:p w14:paraId="2A4D9A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3B86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CA691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1FA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7EAC969" w14:textId="77777777">
        <w:tc>
          <w:tcPr>
            <w:tcW w:w="959" w:type="dxa"/>
          </w:tcPr>
          <w:p w14:paraId="2309C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4089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6EEED6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AC2F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79ECC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2680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1E46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7C41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29ED0C" w14:textId="77777777">
        <w:tc>
          <w:tcPr>
            <w:tcW w:w="959" w:type="dxa"/>
          </w:tcPr>
          <w:p w14:paraId="653D9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69F2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650 кг</w:t>
            </w:r>
          </w:p>
        </w:tc>
        <w:tc>
          <w:tcPr>
            <w:tcW w:w="1919" w:type="dxa"/>
          </w:tcPr>
          <w:p w14:paraId="299BA4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09A0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4EA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23B7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4F9C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3F30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846CA5" w14:textId="77777777">
        <w:tc>
          <w:tcPr>
            <w:tcW w:w="959" w:type="dxa"/>
          </w:tcPr>
          <w:p w14:paraId="5077C6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М-120</w:t>
            </w:r>
          </w:p>
        </w:tc>
        <w:tc>
          <w:tcPr>
            <w:tcW w:w="1677" w:type="dxa"/>
          </w:tcPr>
          <w:p w14:paraId="1DFD0D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Y-образный 18-ти цилиндровый</w:t>
            </w:r>
          </w:p>
        </w:tc>
        <w:tc>
          <w:tcPr>
            <w:tcW w:w="1919" w:type="dxa"/>
          </w:tcPr>
          <w:p w14:paraId="0FEA34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заводских</w:t>
            </w:r>
          </w:p>
        </w:tc>
        <w:tc>
          <w:tcPr>
            <w:tcW w:w="720" w:type="dxa"/>
          </w:tcPr>
          <w:p w14:paraId="26F242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года с</w:t>
            </w:r>
          </w:p>
        </w:tc>
        <w:tc>
          <w:tcPr>
            <w:tcW w:w="1088" w:type="dxa"/>
          </w:tcPr>
          <w:p w14:paraId="36F401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1688-714сс</w:t>
            </w:r>
          </w:p>
        </w:tc>
        <w:tc>
          <w:tcPr>
            <w:tcW w:w="927" w:type="dxa"/>
          </w:tcPr>
          <w:p w14:paraId="49D7FC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FBB2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C0518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5E1D20E" w14:textId="77777777">
        <w:tc>
          <w:tcPr>
            <w:tcW w:w="959" w:type="dxa"/>
          </w:tcPr>
          <w:p w14:paraId="3548CD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EDA2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6B710A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испытаний выявлено ряд</w:t>
            </w:r>
          </w:p>
        </w:tc>
        <w:tc>
          <w:tcPr>
            <w:tcW w:w="720" w:type="dxa"/>
          </w:tcPr>
          <w:p w14:paraId="6ABDF3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начала работы</w:t>
            </w:r>
          </w:p>
        </w:tc>
        <w:tc>
          <w:tcPr>
            <w:tcW w:w="1088" w:type="dxa"/>
          </w:tcPr>
          <w:p w14:paraId="14204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w:t>
            </w:r>
          </w:p>
        </w:tc>
        <w:tc>
          <w:tcPr>
            <w:tcW w:w="927" w:type="dxa"/>
          </w:tcPr>
          <w:p w14:paraId="358665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F076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71042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611CB7" w14:textId="77777777">
        <w:tc>
          <w:tcPr>
            <w:tcW w:w="959" w:type="dxa"/>
          </w:tcPr>
          <w:p w14:paraId="53443E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243E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1800 л.с.</w:t>
            </w:r>
          </w:p>
        </w:tc>
        <w:tc>
          <w:tcPr>
            <w:tcW w:w="1919" w:type="dxa"/>
          </w:tcPr>
          <w:p w14:paraId="1589DF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дефектов, как-то:</w:t>
            </w:r>
          </w:p>
        </w:tc>
        <w:tc>
          <w:tcPr>
            <w:tcW w:w="720" w:type="dxa"/>
          </w:tcPr>
          <w:p w14:paraId="654DC8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не доведен</w:t>
            </w:r>
          </w:p>
        </w:tc>
        <w:tc>
          <w:tcPr>
            <w:tcW w:w="1088" w:type="dxa"/>
          </w:tcPr>
          <w:p w14:paraId="7420C0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8C6B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FBCF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41B8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29AD04" w14:textId="77777777">
        <w:tc>
          <w:tcPr>
            <w:tcW w:w="959" w:type="dxa"/>
          </w:tcPr>
          <w:p w14:paraId="2B977B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6B15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3000 м</w:t>
            </w:r>
          </w:p>
        </w:tc>
        <w:tc>
          <w:tcPr>
            <w:tcW w:w="1919" w:type="dxa"/>
          </w:tcPr>
          <w:p w14:paraId="4026B9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коленвала,</w:t>
            </w:r>
          </w:p>
        </w:tc>
        <w:tc>
          <w:tcPr>
            <w:tcW w:w="720" w:type="dxa"/>
          </w:tcPr>
          <w:p w14:paraId="28B310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50-ти часовой</w:t>
            </w:r>
          </w:p>
        </w:tc>
        <w:tc>
          <w:tcPr>
            <w:tcW w:w="1088" w:type="dxa"/>
          </w:tcPr>
          <w:p w14:paraId="787F1C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6328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1225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52ED1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E2819B" w14:textId="77777777">
        <w:tc>
          <w:tcPr>
            <w:tcW w:w="959" w:type="dxa"/>
          </w:tcPr>
          <w:p w14:paraId="09DF65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419F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л.с.</w:t>
            </w:r>
          </w:p>
        </w:tc>
        <w:tc>
          <w:tcPr>
            <w:tcW w:w="1919" w:type="dxa"/>
          </w:tcPr>
          <w:p w14:paraId="229A23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трещины главн. шатуна,</w:t>
            </w:r>
          </w:p>
        </w:tc>
        <w:tc>
          <w:tcPr>
            <w:tcW w:w="720" w:type="dxa"/>
          </w:tcPr>
          <w:p w14:paraId="0E5F18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надежной работы и</w:t>
            </w:r>
          </w:p>
        </w:tc>
        <w:tc>
          <w:tcPr>
            <w:tcW w:w="1088" w:type="dxa"/>
          </w:tcPr>
          <w:p w14:paraId="714639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29E6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8965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FC3D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3F5BE96" w14:textId="77777777">
        <w:tc>
          <w:tcPr>
            <w:tcW w:w="959" w:type="dxa"/>
          </w:tcPr>
          <w:p w14:paraId="6892CC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2B6AF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1589D9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трещины в блоках,</w:t>
            </w:r>
          </w:p>
        </w:tc>
        <w:tc>
          <w:tcPr>
            <w:tcW w:w="720" w:type="dxa"/>
          </w:tcPr>
          <w:p w14:paraId="6465CD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своим технич.</w:t>
            </w:r>
          </w:p>
        </w:tc>
        <w:tc>
          <w:tcPr>
            <w:tcW w:w="1088" w:type="dxa"/>
          </w:tcPr>
          <w:p w14:paraId="309466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2ECA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0CE9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85806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AD46ED" w14:textId="77777777">
        <w:tc>
          <w:tcPr>
            <w:tcW w:w="959" w:type="dxa"/>
          </w:tcPr>
          <w:p w14:paraId="659D76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4E38F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c>
          <w:tcPr>
            <w:tcW w:w="1919" w:type="dxa"/>
          </w:tcPr>
          <w:p w14:paraId="090169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неудовлетворительная</w:t>
            </w:r>
          </w:p>
        </w:tc>
        <w:tc>
          <w:tcPr>
            <w:tcW w:w="720" w:type="dxa"/>
          </w:tcPr>
          <w:p w14:paraId="162874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данным устарел.</w:t>
            </w:r>
          </w:p>
        </w:tc>
        <w:tc>
          <w:tcPr>
            <w:tcW w:w="1088" w:type="dxa"/>
          </w:tcPr>
          <w:p w14:paraId="2902F1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F052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8C25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7D80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B819B7" w14:textId="77777777">
        <w:tc>
          <w:tcPr>
            <w:tcW w:w="959" w:type="dxa"/>
          </w:tcPr>
          <w:p w14:paraId="7086D6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E875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13E94C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мотора на II</w:t>
            </w:r>
          </w:p>
        </w:tc>
        <w:tc>
          <w:tcPr>
            <w:tcW w:w="720" w:type="dxa"/>
          </w:tcPr>
          <w:p w14:paraId="78291E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7D1C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C436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6533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67EB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B5608F" w14:textId="77777777">
        <w:tc>
          <w:tcPr>
            <w:tcW w:w="959" w:type="dxa"/>
          </w:tcPr>
          <w:p w14:paraId="67BF4E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41FF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260 гр/лсч</w:t>
            </w:r>
          </w:p>
        </w:tc>
        <w:tc>
          <w:tcPr>
            <w:tcW w:w="1919" w:type="dxa"/>
          </w:tcPr>
          <w:p w14:paraId="4C0420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скорости, увеличенная</w:t>
            </w:r>
          </w:p>
        </w:tc>
        <w:tc>
          <w:tcPr>
            <w:tcW w:w="720" w:type="dxa"/>
          </w:tcPr>
          <w:p w14:paraId="555C1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4033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0055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DAF9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8A6D7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4B8CB1" w14:textId="77777777">
        <w:tc>
          <w:tcPr>
            <w:tcW w:w="959" w:type="dxa"/>
          </w:tcPr>
          <w:p w14:paraId="604604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32DE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3,5Б-78</w:t>
            </w:r>
          </w:p>
        </w:tc>
        <w:tc>
          <w:tcPr>
            <w:tcW w:w="1919" w:type="dxa"/>
          </w:tcPr>
          <w:p w14:paraId="2F8CC1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теплоотдача в масло и т.д.</w:t>
            </w:r>
          </w:p>
        </w:tc>
        <w:tc>
          <w:tcPr>
            <w:tcW w:w="720" w:type="dxa"/>
          </w:tcPr>
          <w:p w14:paraId="45E984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79EF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D3E9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B123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A20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D91BA34" w14:textId="77777777">
        <w:tc>
          <w:tcPr>
            <w:tcW w:w="959" w:type="dxa"/>
          </w:tcPr>
          <w:p w14:paraId="6B6130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A9256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900 кг</w:t>
            </w:r>
          </w:p>
        </w:tc>
        <w:tc>
          <w:tcPr>
            <w:tcW w:w="1919" w:type="dxa"/>
          </w:tcPr>
          <w:p w14:paraId="2B13A5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остался недоведеннным</w:t>
            </w:r>
          </w:p>
        </w:tc>
        <w:tc>
          <w:tcPr>
            <w:tcW w:w="720" w:type="dxa"/>
          </w:tcPr>
          <w:p w14:paraId="2BD34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A755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7ED2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D678F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0B32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6DE29D" w14:textId="77777777">
        <w:tc>
          <w:tcPr>
            <w:tcW w:w="959" w:type="dxa"/>
          </w:tcPr>
          <w:p w14:paraId="7AA111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01796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3FB85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w:t>
            </w:r>
            <w:proofErr w:type="gramStart"/>
            <w:r w:rsidRPr="008127F8">
              <w:rPr>
                <w:rFonts w:ascii="Times New Roman" w:hAnsi="Times New Roman"/>
                <w:color w:val="000000" w:themeColor="text1"/>
                <w:sz w:val="16"/>
                <w:szCs w:val="16"/>
              </w:rPr>
              <w:t>50 часового</w:t>
            </w:r>
            <w:proofErr w:type="gramEnd"/>
            <w:r w:rsidRPr="008127F8">
              <w:rPr>
                <w:rFonts w:ascii="Times New Roman" w:hAnsi="Times New Roman"/>
                <w:color w:val="000000" w:themeColor="text1"/>
                <w:sz w:val="16"/>
                <w:szCs w:val="16"/>
              </w:rPr>
              <w:t xml:space="preserve"> ресурса</w:t>
            </w:r>
          </w:p>
        </w:tc>
        <w:tc>
          <w:tcPr>
            <w:tcW w:w="720" w:type="dxa"/>
          </w:tcPr>
          <w:p w14:paraId="1347AF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01679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27" w:type="dxa"/>
          </w:tcPr>
          <w:p w14:paraId="394B8E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986D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CBF7E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F563C44" w14:textId="77777777">
        <w:tc>
          <w:tcPr>
            <w:tcW w:w="959" w:type="dxa"/>
          </w:tcPr>
          <w:p w14:paraId="379B85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М-120 НВ</w:t>
            </w:r>
          </w:p>
        </w:tc>
        <w:tc>
          <w:tcPr>
            <w:tcW w:w="1677" w:type="dxa"/>
          </w:tcPr>
          <w:p w14:paraId="6460C2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Y-образный 18-ти цилиндровый</w:t>
            </w:r>
          </w:p>
        </w:tc>
        <w:tc>
          <w:tcPr>
            <w:tcW w:w="1919" w:type="dxa"/>
          </w:tcPr>
          <w:p w14:paraId="6F148D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 же дефекты, что и</w:t>
            </w:r>
          </w:p>
        </w:tc>
        <w:tc>
          <w:tcPr>
            <w:tcW w:w="720" w:type="dxa"/>
          </w:tcPr>
          <w:p w14:paraId="02766E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Снимается</w:t>
            </w:r>
          </w:p>
        </w:tc>
        <w:tc>
          <w:tcPr>
            <w:tcW w:w="1088" w:type="dxa"/>
          </w:tcPr>
          <w:p w14:paraId="148C0D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1688-714сс</w:t>
            </w:r>
          </w:p>
        </w:tc>
        <w:tc>
          <w:tcPr>
            <w:tcW w:w="927" w:type="dxa"/>
          </w:tcPr>
          <w:p w14:paraId="5BEB75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15D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1CC2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2547C25" w14:textId="77777777">
        <w:tc>
          <w:tcPr>
            <w:tcW w:w="959" w:type="dxa"/>
          </w:tcPr>
          <w:p w14:paraId="3A52DD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F778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0BE69B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мотора М-120</w:t>
            </w:r>
          </w:p>
        </w:tc>
        <w:tc>
          <w:tcPr>
            <w:tcW w:w="720" w:type="dxa"/>
          </w:tcPr>
          <w:p w14:paraId="28E845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w:t>
            </w:r>
          </w:p>
        </w:tc>
        <w:tc>
          <w:tcPr>
            <w:tcW w:w="1088" w:type="dxa"/>
          </w:tcPr>
          <w:p w14:paraId="71D094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w:t>
            </w:r>
          </w:p>
        </w:tc>
        <w:tc>
          <w:tcPr>
            <w:tcW w:w="927" w:type="dxa"/>
          </w:tcPr>
          <w:p w14:paraId="69D564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7F3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DC74F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CE5E104" w14:textId="77777777">
        <w:tc>
          <w:tcPr>
            <w:tcW w:w="959" w:type="dxa"/>
          </w:tcPr>
          <w:p w14:paraId="1E2B6C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DF51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непосредственным впрыском</w:t>
            </w:r>
          </w:p>
        </w:tc>
        <w:tc>
          <w:tcPr>
            <w:tcW w:w="1919" w:type="dxa"/>
          </w:tcPr>
          <w:p w14:paraId="4C501B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4D14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прекращения</w:t>
            </w:r>
          </w:p>
        </w:tc>
        <w:tc>
          <w:tcPr>
            <w:tcW w:w="1088" w:type="dxa"/>
          </w:tcPr>
          <w:p w14:paraId="0005CD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9724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5CCA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0C050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EBEEE8" w14:textId="77777777">
        <w:tc>
          <w:tcPr>
            <w:tcW w:w="959" w:type="dxa"/>
          </w:tcPr>
          <w:p w14:paraId="69F60A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ED80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топлива</w:t>
            </w:r>
          </w:p>
        </w:tc>
        <w:tc>
          <w:tcPr>
            <w:tcW w:w="1919" w:type="dxa"/>
          </w:tcPr>
          <w:p w14:paraId="1875E2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7FFD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 по М-120</w:t>
            </w:r>
          </w:p>
        </w:tc>
        <w:tc>
          <w:tcPr>
            <w:tcW w:w="1088" w:type="dxa"/>
          </w:tcPr>
          <w:p w14:paraId="3232DA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FE74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3BDC0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19533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879A120" w14:textId="77777777">
        <w:tc>
          <w:tcPr>
            <w:tcW w:w="959" w:type="dxa"/>
          </w:tcPr>
          <w:p w14:paraId="2D38EE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173C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1800 л.с.</w:t>
            </w:r>
          </w:p>
        </w:tc>
        <w:tc>
          <w:tcPr>
            <w:tcW w:w="1919" w:type="dxa"/>
          </w:tcPr>
          <w:p w14:paraId="2273EF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B951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7F64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3284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22B1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F971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F05E33" w14:textId="77777777">
        <w:tc>
          <w:tcPr>
            <w:tcW w:w="959" w:type="dxa"/>
          </w:tcPr>
          <w:p w14:paraId="1D2727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1FB8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3000 м</w:t>
            </w:r>
          </w:p>
        </w:tc>
        <w:tc>
          <w:tcPr>
            <w:tcW w:w="1919" w:type="dxa"/>
          </w:tcPr>
          <w:p w14:paraId="15F0C4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9F8D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FCF0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97F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439C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AD77D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9BFDEE" w14:textId="77777777">
        <w:tc>
          <w:tcPr>
            <w:tcW w:w="959" w:type="dxa"/>
          </w:tcPr>
          <w:p w14:paraId="0B5AC4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42EC4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л.с.</w:t>
            </w:r>
          </w:p>
        </w:tc>
        <w:tc>
          <w:tcPr>
            <w:tcW w:w="1919" w:type="dxa"/>
          </w:tcPr>
          <w:p w14:paraId="013409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6BF8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1E63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D70F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7883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65EF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65FABD1" w14:textId="77777777">
        <w:tc>
          <w:tcPr>
            <w:tcW w:w="959" w:type="dxa"/>
          </w:tcPr>
          <w:p w14:paraId="3C6960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B00A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498AB9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02E4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F32F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74C9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502A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0876C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BE2523" w14:textId="77777777">
        <w:tc>
          <w:tcPr>
            <w:tcW w:w="959" w:type="dxa"/>
          </w:tcPr>
          <w:p w14:paraId="0F4F3B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A6CD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c>
          <w:tcPr>
            <w:tcW w:w="1919" w:type="dxa"/>
          </w:tcPr>
          <w:p w14:paraId="332229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9297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D8BE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0088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86B5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DF652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33CC0C" w14:textId="77777777">
        <w:tc>
          <w:tcPr>
            <w:tcW w:w="959" w:type="dxa"/>
          </w:tcPr>
          <w:p w14:paraId="72A378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462BA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5AAB8F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B24E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74F9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9C9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564B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A7CB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5C78305" w14:textId="77777777">
        <w:tc>
          <w:tcPr>
            <w:tcW w:w="959" w:type="dxa"/>
          </w:tcPr>
          <w:p w14:paraId="4F27AB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FF396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земного номинала </w:t>
            </w:r>
            <w:r w:rsidRPr="008127F8">
              <w:rPr>
                <w:rFonts w:ascii="Times New Roman" w:hAnsi="Times New Roman"/>
                <w:color w:val="000000" w:themeColor="text1"/>
                <w:sz w:val="16"/>
                <w:szCs w:val="16"/>
              </w:rPr>
              <w:lastRenderedPageBreak/>
              <w:t>260 гр/лсч</w:t>
            </w:r>
          </w:p>
        </w:tc>
        <w:tc>
          <w:tcPr>
            <w:tcW w:w="1919" w:type="dxa"/>
          </w:tcPr>
          <w:p w14:paraId="7EF496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846E1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4FFC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19BCA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AC4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4233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461BFA7" w14:textId="77777777">
        <w:tc>
          <w:tcPr>
            <w:tcW w:w="959" w:type="dxa"/>
          </w:tcPr>
          <w:p w14:paraId="31FA46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6B09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3,5Б-78</w:t>
            </w:r>
          </w:p>
        </w:tc>
        <w:tc>
          <w:tcPr>
            <w:tcW w:w="1919" w:type="dxa"/>
          </w:tcPr>
          <w:p w14:paraId="4A4CBD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FE49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5D98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BBE2B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996D5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A8250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DBEB9F" w14:textId="77777777">
        <w:tc>
          <w:tcPr>
            <w:tcW w:w="959" w:type="dxa"/>
          </w:tcPr>
          <w:p w14:paraId="45024F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4C1CE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910 кг</w:t>
            </w:r>
          </w:p>
        </w:tc>
        <w:tc>
          <w:tcPr>
            <w:tcW w:w="1919" w:type="dxa"/>
          </w:tcPr>
          <w:p w14:paraId="1A1931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981E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E261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0B34E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9E3D9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1EF6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E6EE30" w14:textId="77777777">
        <w:tc>
          <w:tcPr>
            <w:tcW w:w="959" w:type="dxa"/>
          </w:tcPr>
          <w:p w14:paraId="72EB12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М-120 ТК</w:t>
            </w:r>
          </w:p>
        </w:tc>
        <w:tc>
          <w:tcPr>
            <w:tcW w:w="1677" w:type="dxa"/>
          </w:tcPr>
          <w:p w14:paraId="3F23F8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Y-образный 18-ти цилиндровый</w:t>
            </w:r>
          </w:p>
        </w:tc>
        <w:tc>
          <w:tcPr>
            <w:tcW w:w="1919" w:type="dxa"/>
          </w:tcPr>
          <w:p w14:paraId="61EFB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 же дефекты, что и</w:t>
            </w:r>
          </w:p>
        </w:tc>
        <w:tc>
          <w:tcPr>
            <w:tcW w:w="720" w:type="dxa"/>
          </w:tcPr>
          <w:p w14:paraId="4599F9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Снимается</w:t>
            </w:r>
          </w:p>
        </w:tc>
        <w:tc>
          <w:tcPr>
            <w:tcW w:w="1088" w:type="dxa"/>
          </w:tcPr>
          <w:p w14:paraId="3F09C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1688-714сс</w:t>
            </w:r>
          </w:p>
        </w:tc>
        <w:tc>
          <w:tcPr>
            <w:tcW w:w="927" w:type="dxa"/>
          </w:tcPr>
          <w:p w14:paraId="76730E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705EE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A3B8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BB575ED" w14:textId="77777777">
        <w:tc>
          <w:tcPr>
            <w:tcW w:w="959" w:type="dxa"/>
          </w:tcPr>
          <w:p w14:paraId="6E4C71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9B6E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36E720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мотора М-120.</w:t>
            </w:r>
          </w:p>
        </w:tc>
        <w:tc>
          <w:tcPr>
            <w:tcW w:w="720" w:type="dxa"/>
          </w:tcPr>
          <w:p w14:paraId="5BD24D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w:t>
            </w:r>
          </w:p>
        </w:tc>
        <w:tc>
          <w:tcPr>
            <w:tcW w:w="1088" w:type="dxa"/>
          </w:tcPr>
          <w:p w14:paraId="2E0486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7EB1F4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F7E5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2E4F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A2E8ED7" w14:textId="77777777">
        <w:tc>
          <w:tcPr>
            <w:tcW w:w="959" w:type="dxa"/>
          </w:tcPr>
          <w:p w14:paraId="0B79D9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95B8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турбокомпрессором</w:t>
            </w:r>
          </w:p>
        </w:tc>
        <w:tc>
          <w:tcPr>
            <w:tcW w:w="1919" w:type="dxa"/>
          </w:tcPr>
          <w:p w14:paraId="76D12B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17AE7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прекращения</w:t>
            </w:r>
          </w:p>
        </w:tc>
        <w:tc>
          <w:tcPr>
            <w:tcW w:w="1088" w:type="dxa"/>
          </w:tcPr>
          <w:p w14:paraId="73079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7E01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1A16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D1EA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283AE78" w14:textId="77777777">
        <w:tc>
          <w:tcPr>
            <w:tcW w:w="959" w:type="dxa"/>
          </w:tcPr>
          <w:p w14:paraId="172ABA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D50FF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1800 л.с.</w:t>
            </w:r>
          </w:p>
        </w:tc>
        <w:tc>
          <w:tcPr>
            <w:tcW w:w="1919" w:type="dxa"/>
          </w:tcPr>
          <w:p w14:paraId="0774BA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18D6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 по М-120</w:t>
            </w:r>
          </w:p>
        </w:tc>
        <w:tc>
          <w:tcPr>
            <w:tcW w:w="1088" w:type="dxa"/>
          </w:tcPr>
          <w:p w14:paraId="67EEA1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BB47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ADF5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C187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D78D9B" w14:textId="77777777">
        <w:tc>
          <w:tcPr>
            <w:tcW w:w="959" w:type="dxa"/>
          </w:tcPr>
          <w:p w14:paraId="50C91A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FBD9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10000 м</w:t>
            </w:r>
          </w:p>
        </w:tc>
        <w:tc>
          <w:tcPr>
            <w:tcW w:w="1919" w:type="dxa"/>
          </w:tcPr>
          <w:p w14:paraId="51D98C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F394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89531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9E48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94D74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75C3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5DCFB8A" w14:textId="77777777">
        <w:tc>
          <w:tcPr>
            <w:tcW w:w="959" w:type="dxa"/>
          </w:tcPr>
          <w:p w14:paraId="3B605F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2E5D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л.с.</w:t>
            </w:r>
          </w:p>
        </w:tc>
        <w:tc>
          <w:tcPr>
            <w:tcW w:w="1919" w:type="dxa"/>
          </w:tcPr>
          <w:p w14:paraId="3CC653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F7808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AD98D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0BAD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1A79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0ADC7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8A99B8" w14:textId="77777777">
        <w:tc>
          <w:tcPr>
            <w:tcW w:w="959" w:type="dxa"/>
          </w:tcPr>
          <w:p w14:paraId="29AAA8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0CA4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671808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0140D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50C0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F53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FA8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520B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0C70EDD" w14:textId="77777777">
        <w:tc>
          <w:tcPr>
            <w:tcW w:w="959" w:type="dxa"/>
          </w:tcPr>
          <w:p w14:paraId="383804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1E22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260 гр/лсч</w:t>
            </w:r>
          </w:p>
        </w:tc>
        <w:tc>
          <w:tcPr>
            <w:tcW w:w="1919" w:type="dxa"/>
          </w:tcPr>
          <w:p w14:paraId="172A71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5824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A7E6D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2B02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FBE8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1FB0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8E6F45" w14:textId="77777777">
        <w:tc>
          <w:tcPr>
            <w:tcW w:w="959" w:type="dxa"/>
          </w:tcPr>
          <w:p w14:paraId="7F9205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DBC2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3,5Б-78</w:t>
            </w:r>
          </w:p>
        </w:tc>
        <w:tc>
          <w:tcPr>
            <w:tcW w:w="1919" w:type="dxa"/>
          </w:tcPr>
          <w:p w14:paraId="4CCDA1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B0A9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F6896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5BC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B805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4BAAD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C111CB" w14:textId="77777777">
        <w:tc>
          <w:tcPr>
            <w:tcW w:w="959" w:type="dxa"/>
          </w:tcPr>
          <w:p w14:paraId="4B4F7A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32B3C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970 кг</w:t>
            </w:r>
          </w:p>
        </w:tc>
        <w:tc>
          <w:tcPr>
            <w:tcW w:w="1919" w:type="dxa"/>
          </w:tcPr>
          <w:p w14:paraId="6CBBC3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3A76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EC62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9816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9437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17F2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46E978" w14:textId="77777777">
        <w:tc>
          <w:tcPr>
            <w:tcW w:w="959" w:type="dxa"/>
          </w:tcPr>
          <w:p w14:paraId="22D47B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М-120 УВ</w:t>
            </w:r>
          </w:p>
        </w:tc>
        <w:tc>
          <w:tcPr>
            <w:tcW w:w="1677" w:type="dxa"/>
          </w:tcPr>
          <w:p w14:paraId="4C8A27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Y-образный 18-ти цилиндровый</w:t>
            </w:r>
          </w:p>
        </w:tc>
        <w:tc>
          <w:tcPr>
            <w:tcW w:w="1919" w:type="dxa"/>
          </w:tcPr>
          <w:p w14:paraId="6B101D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Заводской доводки</w:t>
            </w:r>
          </w:p>
        </w:tc>
        <w:tc>
          <w:tcPr>
            <w:tcW w:w="720" w:type="dxa"/>
          </w:tcPr>
          <w:p w14:paraId="64556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Снимается</w:t>
            </w:r>
          </w:p>
        </w:tc>
        <w:tc>
          <w:tcPr>
            <w:tcW w:w="1088" w:type="dxa"/>
          </w:tcPr>
          <w:p w14:paraId="3BCE1C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1688-714сс</w:t>
            </w:r>
          </w:p>
        </w:tc>
        <w:tc>
          <w:tcPr>
            <w:tcW w:w="927" w:type="dxa"/>
          </w:tcPr>
          <w:p w14:paraId="6D1E3A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ADD7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3549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271DCF0" w14:textId="77777777">
        <w:tc>
          <w:tcPr>
            <w:tcW w:w="959" w:type="dxa"/>
          </w:tcPr>
          <w:p w14:paraId="257791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1BDD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031FBB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не производилось</w:t>
            </w:r>
          </w:p>
        </w:tc>
        <w:tc>
          <w:tcPr>
            <w:tcW w:w="720" w:type="dxa"/>
          </w:tcPr>
          <w:p w14:paraId="7355E0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w:t>
            </w:r>
          </w:p>
        </w:tc>
        <w:tc>
          <w:tcPr>
            <w:tcW w:w="1088" w:type="dxa"/>
          </w:tcPr>
          <w:p w14:paraId="409308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19.VI-1941 г.</w:t>
            </w:r>
          </w:p>
        </w:tc>
        <w:tc>
          <w:tcPr>
            <w:tcW w:w="927" w:type="dxa"/>
          </w:tcPr>
          <w:p w14:paraId="63C9C5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9F78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CD06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21C262A" w14:textId="77777777">
        <w:tc>
          <w:tcPr>
            <w:tcW w:w="959" w:type="dxa"/>
          </w:tcPr>
          <w:p w14:paraId="3535A3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D5F2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удлиненным валом</w:t>
            </w:r>
          </w:p>
        </w:tc>
        <w:tc>
          <w:tcPr>
            <w:tcW w:w="1919" w:type="dxa"/>
          </w:tcPr>
          <w:p w14:paraId="5BD553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EA80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прекращения</w:t>
            </w:r>
          </w:p>
        </w:tc>
        <w:tc>
          <w:tcPr>
            <w:tcW w:w="1088" w:type="dxa"/>
          </w:tcPr>
          <w:p w14:paraId="3C4517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1AAC2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E579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7B87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FFEFA1E" w14:textId="77777777">
        <w:tc>
          <w:tcPr>
            <w:tcW w:w="959" w:type="dxa"/>
          </w:tcPr>
          <w:p w14:paraId="2CF0D0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D77F3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1800 л.с.</w:t>
            </w:r>
          </w:p>
        </w:tc>
        <w:tc>
          <w:tcPr>
            <w:tcW w:w="1919" w:type="dxa"/>
          </w:tcPr>
          <w:p w14:paraId="6DCA5D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6375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 по М-120</w:t>
            </w:r>
          </w:p>
        </w:tc>
        <w:tc>
          <w:tcPr>
            <w:tcW w:w="1088" w:type="dxa"/>
          </w:tcPr>
          <w:p w14:paraId="0D9451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013D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9AF8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2B66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F74FB0" w14:textId="77777777">
        <w:tc>
          <w:tcPr>
            <w:tcW w:w="959" w:type="dxa"/>
          </w:tcPr>
          <w:p w14:paraId="73CE52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4681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3000 м</w:t>
            </w:r>
          </w:p>
        </w:tc>
        <w:tc>
          <w:tcPr>
            <w:tcW w:w="1919" w:type="dxa"/>
          </w:tcPr>
          <w:p w14:paraId="24DF1C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4495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1E0F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47EF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B4AE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934C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7D8F1FC" w14:textId="77777777">
        <w:tc>
          <w:tcPr>
            <w:tcW w:w="959" w:type="dxa"/>
          </w:tcPr>
          <w:p w14:paraId="0FB8D1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416F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 л.с.</w:t>
            </w:r>
          </w:p>
        </w:tc>
        <w:tc>
          <w:tcPr>
            <w:tcW w:w="1919" w:type="dxa"/>
          </w:tcPr>
          <w:p w14:paraId="295C92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6359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15CE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51962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E75E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3427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F57E59" w14:textId="77777777">
        <w:tc>
          <w:tcPr>
            <w:tcW w:w="959" w:type="dxa"/>
          </w:tcPr>
          <w:p w14:paraId="38C840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64A3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30D6C5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5573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B4C5A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B4659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EA2A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66461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0C55A7" w14:textId="77777777">
        <w:tc>
          <w:tcPr>
            <w:tcW w:w="959" w:type="dxa"/>
          </w:tcPr>
          <w:p w14:paraId="7BFCD8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15FA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c>
          <w:tcPr>
            <w:tcW w:w="1919" w:type="dxa"/>
          </w:tcPr>
          <w:p w14:paraId="1C322C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DF5A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A80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3E58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E244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73AE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C457B3" w14:textId="77777777">
        <w:tc>
          <w:tcPr>
            <w:tcW w:w="959" w:type="dxa"/>
          </w:tcPr>
          <w:p w14:paraId="193EE7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D4988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28F600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760A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77CE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3F99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F9A8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AFC9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05FA415" w14:textId="77777777">
        <w:tc>
          <w:tcPr>
            <w:tcW w:w="959" w:type="dxa"/>
          </w:tcPr>
          <w:p w14:paraId="6D653D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00492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260 гр/лсч</w:t>
            </w:r>
          </w:p>
        </w:tc>
        <w:tc>
          <w:tcPr>
            <w:tcW w:w="1919" w:type="dxa"/>
          </w:tcPr>
          <w:p w14:paraId="2A75DC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A447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764D2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F613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4A6F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AAE00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D1D5EF" w14:textId="77777777">
        <w:tc>
          <w:tcPr>
            <w:tcW w:w="959" w:type="dxa"/>
          </w:tcPr>
          <w:p w14:paraId="5026AD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6E526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3,5Б-78</w:t>
            </w:r>
          </w:p>
        </w:tc>
        <w:tc>
          <w:tcPr>
            <w:tcW w:w="1919" w:type="dxa"/>
          </w:tcPr>
          <w:p w14:paraId="50111D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ADD4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AF46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D2457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3465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1A66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C9D08E4" w14:textId="77777777">
        <w:tc>
          <w:tcPr>
            <w:tcW w:w="959" w:type="dxa"/>
          </w:tcPr>
          <w:p w14:paraId="0B08F1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117B8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1100 кг</w:t>
            </w:r>
          </w:p>
        </w:tc>
        <w:tc>
          <w:tcPr>
            <w:tcW w:w="1919" w:type="dxa"/>
          </w:tcPr>
          <w:p w14:paraId="3602CA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0E5E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4149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B67E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1BE5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3B50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4214D13" w14:textId="77777777">
        <w:tc>
          <w:tcPr>
            <w:tcW w:w="959" w:type="dxa"/>
          </w:tcPr>
          <w:p w14:paraId="6F6AD6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29</w:t>
            </w:r>
          </w:p>
        </w:tc>
        <w:tc>
          <w:tcPr>
            <w:tcW w:w="1677" w:type="dxa"/>
          </w:tcPr>
          <w:p w14:paraId="70B074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C66C4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9446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67C0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4FBE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404E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F15D8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E348DC" w14:textId="77777777">
        <w:tc>
          <w:tcPr>
            <w:tcW w:w="959" w:type="dxa"/>
          </w:tcPr>
          <w:p w14:paraId="7C96A0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М-89 НВ</w:t>
            </w:r>
          </w:p>
        </w:tc>
        <w:tc>
          <w:tcPr>
            <w:tcW w:w="1677" w:type="dxa"/>
          </w:tcPr>
          <w:p w14:paraId="3986F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Звездообразный 14-ти</w:t>
            </w:r>
          </w:p>
        </w:tc>
        <w:tc>
          <w:tcPr>
            <w:tcW w:w="1919" w:type="dxa"/>
          </w:tcPr>
          <w:p w14:paraId="0AC624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прошел совместные</w:t>
            </w:r>
          </w:p>
        </w:tc>
        <w:tc>
          <w:tcPr>
            <w:tcW w:w="720" w:type="dxa"/>
          </w:tcPr>
          <w:p w14:paraId="6E69E6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Снят вследствие</w:t>
            </w:r>
          </w:p>
        </w:tc>
        <w:tc>
          <w:tcPr>
            <w:tcW w:w="1088" w:type="dxa"/>
          </w:tcPr>
          <w:p w14:paraId="6FB98D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1334-547сс</w:t>
            </w:r>
          </w:p>
        </w:tc>
        <w:tc>
          <w:tcPr>
            <w:tcW w:w="927" w:type="dxa"/>
          </w:tcPr>
          <w:p w14:paraId="3C6456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69A4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FD455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5E90AC9" w14:textId="77777777">
        <w:tc>
          <w:tcPr>
            <w:tcW w:w="959" w:type="dxa"/>
          </w:tcPr>
          <w:p w14:paraId="3D6EE7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2BBBE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 воздушного</w:t>
            </w:r>
          </w:p>
        </w:tc>
        <w:tc>
          <w:tcPr>
            <w:tcW w:w="1919" w:type="dxa"/>
          </w:tcPr>
          <w:p w14:paraId="578EEE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50-ти часовые испытания</w:t>
            </w:r>
          </w:p>
        </w:tc>
        <w:tc>
          <w:tcPr>
            <w:tcW w:w="720" w:type="dxa"/>
          </w:tcPr>
          <w:p w14:paraId="2159F3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близкого</w:t>
            </w:r>
          </w:p>
        </w:tc>
        <w:tc>
          <w:tcPr>
            <w:tcW w:w="1088" w:type="dxa"/>
          </w:tcPr>
          <w:p w14:paraId="12E0EB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15.V-41</w:t>
            </w:r>
          </w:p>
        </w:tc>
        <w:tc>
          <w:tcPr>
            <w:tcW w:w="927" w:type="dxa"/>
          </w:tcPr>
          <w:p w14:paraId="59C966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5DF7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DC0C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72EC409" w14:textId="77777777">
        <w:tc>
          <w:tcPr>
            <w:tcW w:w="959" w:type="dxa"/>
          </w:tcPr>
          <w:p w14:paraId="484F92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FAD0A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 с непосредственным</w:t>
            </w:r>
          </w:p>
        </w:tc>
        <w:tc>
          <w:tcPr>
            <w:tcW w:w="1919" w:type="dxa"/>
          </w:tcPr>
          <w:p w14:paraId="1C7268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1941 года.</w:t>
            </w:r>
          </w:p>
        </w:tc>
        <w:tc>
          <w:tcPr>
            <w:tcW w:w="720" w:type="dxa"/>
          </w:tcPr>
          <w:p w14:paraId="6C0F6A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окончания работ</w:t>
            </w:r>
          </w:p>
        </w:tc>
        <w:tc>
          <w:tcPr>
            <w:tcW w:w="1088" w:type="dxa"/>
          </w:tcPr>
          <w:p w14:paraId="268058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C617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7D3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8D2E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EB468FA" w14:textId="77777777">
        <w:tc>
          <w:tcPr>
            <w:tcW w:w="959" w:type="dxa"/>
          </w:tcPr>
          <w:p w14:paraId="18235B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7143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впрыском топлива</w:t>
            </w:r>
          </w:p>
        </w:tc>
        <w:tc>
          <w:tcPr>
            <w:tcW w:w="1919" w:type="dxa"/>
          </w:tcPr>
          <w:p w14:paraId="572ED3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669F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мотору М-82 НВ</w:t>
            </w:r>
          </w:p>
        </w:tc>
        <w:tc>
          <w:tcPr>
            <w:tcW w:w="1088" w:type="dxa"/>
          </w:tcPr>
          <w:p w14:paraId="0DF2D4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C5AEB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CC41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7FC8C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519E42" w14:textId="77777777">
        <w:tc>
          <w:tcPr>
            <w:tcW w:w="959" w:type="dxa"/>
          </w:tcPr>
          <w:p w14:paraId="5A2C1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FA1A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1300 л.с.</w:t>
            </w:r>
          </w:p>
        </w:tc>
        <w:tc>
          <w:tcPr>
            <w:tcW w:w="1919" w:type="dxa"/>
          </w:tcPr>
          <w:p w14:paraId="5DCCC8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27A3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имеющему более</w:t>
            </w:r>
          </w:p>
        </w:tc>
        <w:tc>
          <w:tcPr>
            <w:tcW w:w="1088" w:type="dxa"/>
          </w:tcPr>
          <w:p w14:paraId="4FB2F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EF2A5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C044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0336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1992104" w14:textId="77777777">
        <w:tc>
          <w:tcPr>
            <w:tcW w:w="959" w:type="dxa"/>
          </w:tcPr>
          <w:p w14:paraId="283149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E37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3500 м</w:t>
            </w:r>
          </w:p>
        </w:tc>
        <w:tc>
          <w:tcPr>
            <w:tcW w:w="1919" w:type="dxa"/>
          </w:tcPr>
          <w:p w14:paraId="02B0DB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EB6D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высокие тактико</w:t>
            </w:r>
          </w:p>
        </w:tc>
        <w:tc>
          <w:tcPr>
            <w:tcW w:w="1088" w:type="dxa"/>
          </w:tcPr>
          <w:p w14:paraId="43C47C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EFAC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AFDD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E2B7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B4BEFB" w14:textId="77777777">
        <w:tc>
          <w:tcPr>
            <w:tcW w:w="959" w:type="dxa"/>
          </w:tcPr>
          <w:p w14:paraId="1A948C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FCF46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1250 л.с.</w:t>
            </w:r>
          </w:p>
        </w:tc>
        <w:tc>
          <w:tcPr>
            <w:tcW w:w="1919" w:type="dxa"/>
          </w:tcPr>
          <w:p w14:paraId="5DBDE4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EEA6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технические данные.</w:t>
            </w:r>
          </w:p>
        </w:tc>
        <w:tc>
          <w:tcPr>
            <w:tcW w:w="1088" w:type="dxa"/>
          </w:tcPr>
          <w:p w14:paraId="567AC5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EF12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4A0E8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F352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1919858" w14:textId="77777777">
        <w:tc>
          <w:tcPr>
            <w:tcW w:w="959" w:type="dxa"/>
          </w:tcPr>
          <w:p w14:paraId="510F5F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C6F4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6000 м</w:t>
            </w:r>
          </w:p>
        </w:tc>
        <w:tc>
          <w:tcPr>
            <w:tcW w:w="1919" w:type="dxa"/>
          </w:tcPr>
          <w:p w14:paraId="4C92ED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C0FC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598CD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20159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DB20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7DFE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398037A" w14:textId="77777777">
        <w:tc>
          <w:tcPr>
            <w:tcW w:w="959" w:type="dxa"/>
          </w:tcPr>
          <w:p w14:paraId="598E44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1E12F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1150 л.с.</w:t>
            </w:r>
          </w:p>
        </w:tc>
        <w:tc>
          <w:tcPr>
            <w:tcW w:w="1919" w:type="dxa"/>
          </w:tcPr>
          <w:p w14:paraId="76E71B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1DE3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AEEC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AF88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08FE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180C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898C141" w14:textId="77777777">
        <w:tc>
          <w:tcPr>
            <w:tcW w:w="959" w:type="dxa"/>
          </w:tcPr>
          <w:p w14:paraId="79CA0C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5718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434A69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D079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0C000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0D650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8E0A9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DC138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CCDD39" w14:textId="77777777">
        <w:tc>
          <w:tcPr>
            <w:tcW w:w="959" w:type="dxa"/>
          </w:tcPr>
          <w:p w14:paraId="673A9C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9A60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280 гр/лсч</w:t>
            </w:r>
          </w:p>
        </w:tc>
        <w:tc>
          <w:tcPr>
            <w:tcW w:w="1919" w:type="dxa"/>
          </w:tcPr>
          <w:p w14:paraId="1380C0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6A11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319D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715B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BEF6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B0A86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2247D6" w14:textId="77777777">
        <w:tc>
          <w:tcPr>
            <w:tcW w:w="959" w:type="dxa"/>
          </w:tcPr>
          <w:p w14:paraId="674FD8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395B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1C694C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EAFDE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EAF6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FEA4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07F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A320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332AFB" w14:textId="77777777">
        <w:tc>
          <w:tcPr>
            <w:tcW w:w="959" w:type="dxa"/>
          </w:tcPr>
          <w:p w14:paraId="762A89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F731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760 кг</w:t>
            </w:r>
          </w:p>
        </w:tc>
        <w:tc>
          <w:tcPr>
            <w:tcW w:w="1919" w:type="dxa"/>
          </w:tcPr>
          <w:p w14:paraId="1E1FF8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820B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F97B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14B2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FDA7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2122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C8FA1C7" w14:textId="77777777">
        <w:tc>
          <w:tcPr>
            <w:tcW w:w="959" w:type="dxa"/>
          </w:tcPr>
          <w:p w14:paraId="5E04D4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154</w:t>
            </w:r>
          </w:p>
        </w:tc>
        <w:tc>
          <w:tcPr>
            <w:tcW w:w="1677" w:type="dxa"/>
          </w:tcPr>
          <w:p w14:paraId="7A472E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7C6CE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DDAE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8637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014B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A7B2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F899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7BE950B" w14:textId="77777777">
        <w:tc>
          <w:tcPr>
            <w:tcW w:w="959" w:type="dxa"/>
          </w:tcPr>
          <w:p w14:paraId="3D3E20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М-32</w:t>
            </w:r>
          </w:p>
        </w:tc>
        <w:tc>
          <w:tcPr>
            <w:tcW w:w="1677" w:type="dxa"/>
          </w:tcPr>
          <w:p w14:paraId="13809D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Звездообразный 9-ти</w:t>
            </w:r>
          </w:p>
        </w:tc>
        <w:tc>
          <w:tcPr>
            <w:tcW w:w="1919" w:type="dxa"/>
          </w:tcPr>
          <w:p w14:paraId="481D72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в производстве</w:t>
            </w:r>
          </w:p>
        </w:tc>
        <w:tc>
          <w:tcPr>
            <w:tcW w:w="720" w:type="dxa"/>
          </w:tcPr>
          <w:p w14:paraId="2CC222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w:t>
            </w:r>
          </w:p>
        </w:tc>
        <w:tc>
          <w:tcPr>
            <w:tcW w:w="1088" w:type="dxa"/>
          </w:tcPr>
          <w:p w14:paraId="2EC406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1694-720</w:t>
            </w:r>
          </w:p>
        </w:tc>
        <w:tc>
          <w:tcPr>
            <w:tcW w:w="927" w:type="dxa"/>
          </w:tcPr>
          <w:p w14:paraId="314841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C101B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0FEBD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61BAA5E" w14:textId="77777777">
        <w:tc>
          <w:tcPr>
            <w:tcW w:w="959" w:type="dxa"/>
          </w:tcPr>
          <w:p w14:paraId="4568BD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E4D31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цилиндровый мотор воздушного</w:t>
            </w:r>
          </w:p>
        </w:tc>
        <w:tc>
          <w:tcPr>
            <w:tcW w:w="1919" w:type="dxa"/>
          </w:tcPr>
          <w:p w14:paraId="5261BA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закончен.</w:t>
            </w:r>
          </w:p>
        </w:tc>
        <w:tc>
          <w:tcPr>
            <w:tcW w:w="720" w:type="dxa"/>
          </w:tcPr>
          <w:p w14:paraId="0A376E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Потребителя.</w:t>
            </w:r>
          </w:p>
        </w:tc>
        <w:tc>
          <w:tcPr>
            <w:tcW w:w="1088" w:type="dxa"/>
          </w:tcPr>
          <w:p w14:paraId="0B9CF9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202DAD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6E9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F92C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FF1DF66" w14:textId="77777777">
        <w:tc>
          <w:tcPr>
            <w:tcW w:w="959" w:type="dxa"/>
          </w:tcPr>
          <w:p w14:paraId="5E63A2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F4EA4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охлаждения</w:t>
            </w:r>
          </w:p>
        </w:tc>
        <w:tc>
          <w:tcPr>
            <w:tcW w:w="1919" w:type="dxa"/>
          </w:tcPr>
          <w:p w14:paraId="76F664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81F2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430F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8A420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6ED9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8FA6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3730172" w14:textId="77777777">
        <w:tc>
          <w:tcPr>
            <w:tcW w:w="959" w:type="dxa"/>
          </w:tcPr>
          <w:p w14:paraId="3D1420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2CBD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400 л.с.</w:t>
            </w:r>
          </w:p>
        </w:tc>
        <w:tc>
          <w:tcPr>
            <w:tcW w:w="1919" w:type="dxa"/>
          </w:tcPr>
          <w:p w14:paraId="77672C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2902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48F7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5701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E96A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9CF5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E75952" w14:textId="77777777">
        <w:tc>
          <w:tcPr>
            <w:tcW w:w="959" w:type="dxa"/>
          </w:tcPr>
          <w:p w14:paraId="7E0B42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1065B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1000 м</w:t>
            </w:r>
          </w:p>
        </w:tc>
        <w:tc>
          <w:tcPr>
            <w:tcW w:w="1919" w:type="dxa"/>
          </w:tcPr>
          <w:p w14:paraId="3C030D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19F6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B159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C3E2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D34E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6B5D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271974" w14:textId="77777777">
        <w:tc>
          <w:tcPr>
            <w:tcW w:w="959" w:type="dxa"/>
          </w:tcPr>
          <w:p w14:paraId="1F5A6C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AFDFF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л.с.</w:t>
            </w:r>
          </w:p>
        </w:tc>
        <w:tc>
          <w:tcPr>
            <w:tcW w:w="1919" w:type="dxa"/>
          </w:tcPr>
          <w:p w14:paraId="2D35B4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4B4D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F62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9218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B2F5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843D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AA70273" w14:textId="77777777">
        <w:tc>
          <w:tcPr>
            <w:tcW w:w="959" w:type="dxa"/>
          </w:tcPr>
          <w:p w14:paraId="500849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E6CC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794298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AE2B3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5FA3B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CF4D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CB24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374D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0165BC4" w14:textId="77777777">
        <w:tc>
          <w:tcPr>
            <w:tcW w:w="959" w:type="dxa"/>
          </w:tcPr>
          <w:p w14:paraId="0415C2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D968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260 гр/лсч</w:t>
            </w:r>
          </w:p>
        </w:tc>
        <w:tc>
          <w:tcPr>
            <w:tcW w:w="1919" w:type="dxa"/>
          </w:tcPr>
          <w:p w14:paraId="1C88A6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17586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4B9D5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84DFB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2B4D3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341B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64BC31A" w14:textId="77777777">
        <w:tc>
          <w:tcPr>
            <w:tcW w:w="959" w:type="dxa"/>
          </w:tcPr>
          <w:p w14:paraId="34CB56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C546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РБ-70</w:t>
            </w:r>
          </w:p>
        </w:tc>
        <w:tc>
          <w:tcPr>
            <w:tcW w:w="1919" w:type="dxa"/>
          </w:tcPr>
          <w:p w14:paraId="66317B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5403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0CA2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B4D8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F2EF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DA5D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194C413" w14:textId="77777777">
        <w:tc>
          <w:tcPr>
            <w:tcW w:w="959" w:type="dxa"/>
          </w:tcPr>
          <w:p w14:paraId="63889E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2DD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330 кг</w:t>
            </w:r>
          </w:p>
        </w:tc>
        <w:tc>
          <w:tcPr>
            <w:tcW w:w="1919" w:type="dxa"/>
          </w:tcPr>
          <w:p w14:paraId="77EBB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851B8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2286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28B8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24BF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DE9F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1610E9B" w14:textId="77777777">
        <w:tc>
          <w:tcPr>
            <w:tcW w:w="959" w:type="dxa"/>
          </w:tcPr>
          <w:p w14:paraId="1332C8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16</w:t>
            </w:r>
          </w:p>
        </w:tc>
        <w:tc>
          <w:tcPr>
            <w:tcW w:w="1677" w:type="dxa"/>
          </w:tcPr>
          <w:p w14:paraId="1E332D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C68D0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1E0A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810B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B23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D4F1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4677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2C3262" w14:textId="77777777">
        <w:tc>
          <w:tcPr>
            <w:tcW w:w="959" w:type="dxa"/>
          </w:tcPr>
          <w:p w14:paraId="437A21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М-20</w:t>
            </w:r>
          </w:p>
        </w:tc>
        <w:tc>
          <w:tcPr>
            <w:tcW w:w="1677" w:type="dxa"/>
          </w:tcPr>
          <w:p w14:paraId="3F512C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Ромбовидный 48-цилиндровый</w:t>
            </w:r>
          </w:p>
        </w:tc>
        <w:tc>
          <w:tcPr>
            <w:tcW w:w="1919" w:type="dxa"/>
          </w:tcPr>
          <w:p w14:paraId="281BB4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Закончено</w:t>
            </w:r>
          </w:p>
        </w:tc>
        <w:tc>
          <w:tcPr>
            <w:tcW w:w="720" w:type="dxa"/>
          </w:tcPr>
          <w:p w14:paraId="49E282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может</w:t>
            </w:r>
          </w:p>
        </w:tc>
        <w:tc>
          <w:tcPr>
            <w:tcW w:w="1088" w:type="dxa"/>
          </w:tcPr>
          <w:p w14:paraId="11A38C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1679-707</w:t>
            </w:r>
          </w:p>
        </w:tc>
        <w:tc>
          <w:tcPr>
            <w:tcW w:w="927" w:type="dxa"/>
          </w:tcPr>
          <w:p w14:paraId="4A6345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7CAF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6163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6306646" w14:textId="77777777">
        <w:tc>
          <w:tcPr>
            <w:tcW w:w="959" w:type="dxa"/>
          </w:tcPr>
          <w:p w14:paraId="2C959B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6E71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двухтактный авиадизель</w:t>
            </w:r>
          </w:p>
        </w:tc>
        <w:tc>
          <w:tcPr>
            <w:tcW w:w="1919" w:type="dxa"/>
          </w:tcPr>
          <w:p w14:paraId="6209D9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проектирование.</w:t>
            </w:r>
          </w:p>
        </w:tc>
        <w:tc>
          <w:tcPr>
            <w:tcW w:w="720" w:type="dxa"/>
          </w:tcPr>
          <w:p w14:paraId="2ED783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быть доведен</w:t>
            </w:r>
          </w:p>
        </w:tc>
        <w:tc>
          <w:tcPr>
            <w:tcW w:w="1088" w:type="dxa"/>
          </w:tcPr>
          <w:p w14:paraId="1CCDC8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1D8DDB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2028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C517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EB8990B" w14:textId="77777777">
        <w:tc>
          <w:tcPr>
            <w:tcW w:w="959" w:type="dxa"/>
          </w:tcPr>
          <w:p w14:paraId="39D07D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E61B0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жидкостного охлаждения</w:t>
            </w:r>
          </w:p>
        </w:tc>
        <w:tc>
          <w:tcPr>
            <w:tcW w:w="1919" w:type="dxa"/>
          </w:tcPr>
          <w:p w14:paraId="54BA3D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Изготовлен нагнет.,</w:t>
            </w:r>
          </w:p>
        </w:tc>
        <w:tc>
          <w:tcPr>
            <w:tcW w:w="720" w:type="dxa"/>
          </w:tcPr>
          <w:p w14:paraId="07E6C8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внедрен в</w:t>
            </w:r>
          </w:p>
        </w:tc>
        <w:tc>
          <w:tcPr>
            <w:tcW w:w="1088" w:type="dxa"/>
          </w:tcPr>
          <w:p w14:paraId="3BAF45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02DB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A470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75AE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DD833F1" w14:textId="77777777">
        <w:tc>
          <w:tcPr>
            <w:tcW w:w="959" w:type="dxa"/>
          </w:tcPr>
          <w:p w14:paraId="3AD43D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4061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2500 л.с.</w:t>
            </w:r>
          </w:p>
        </w:tc>
        <w:tc>
          <w:tcPr>
            <w:tcW w:w="1919" w:type="dxa"/>
          </w:tcPr>
          <w:p w14:paraId="6FEF23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турбокомпрессор,</w:t>
            </w:r>
          </w:p>
        </w:tc>
        <w:tc>
          <w:tcPr>
            <w:tcW w:w="720" w:type="dxa"/>
          </w:tcPr>
          <w:p w14:paraId="443A6B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w:t>
            </w:r>
          </w:p>
        </w:tc>
        <w:tc>
          <w:tcPr>
            <w:tcW w:w="1088" w:type="dxa"/>
          </w:tcPr>
          <w:p w14:paraId="1033C6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5A13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AF91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776E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7DE49B5" w14:textId="77777777">
        <w:tc>
          <w:tcPr>
            <w:tcW w:w="959" w:type="dxa"/>
          </w:tcPr>
          <w:p w14:paraId="7A4D8A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D69E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8000 м</w:t>
            </w:r>
          </w:p>
        </w:tc>
        <w:tc>
          <w:tcPr>
            <w:tcW w:w="1919" w:type="dxa"/>
          </w:tcPr>
          <w:p w14:paraId="4387B1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топливные насосы,</w:t>
            </w:r>
          </w:p>
        </w:tc>
        <w:tc>
          <w:tcPr>
            <w:tcW w:w="720" w:type="dxa"/>
          </w:tcPr>
          <w:p w14:paraId="47A605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w:t>
            </w:r>
          </w:p>
        </w:tc>
        <w:tc>
          <w:tcPr>
            <w:tcW w:w="1088" w:type="dxa"/>
          </w:tcPr>
          <w:p w14:paraId="4725A2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E55D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33D1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EC78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959D564" w14:textId="77777777">
        <w:tc>
          <w:tcPr>
            <w:tcW w:w="959" w:type="dxa"/>
          </w:tcPr>
          <w:p w14:paraId="15BE7B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A103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2200 л.с.</w:t>
            </w:r>
          </w:p>
        </w:tc>
        <w:tc>
          <w:tcPr>
            <w:tcW w:w="1919" w:type="dxa"/>
          </w:tcPr>
          <w:p w14:paraId="0716DC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форсунки и некоторые</w:t>
            </w:r>
          </w:p>
        </w:tc>
        <w:tc>
          <w:tcPr>
            <w:tcW w:w="720" w:type="dxa"/>
          </w:tcPr>
          <w:p w14:paraId="130CDD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ранее чем</w:t>
            </w:r>
          </w:p>
        </w:tc>
        <w:tc>
          <w:tcPr>
            <w:tcW w:w="1088" w:type="dxa"/>
          </w:tcPr>
          <w:p w14:paraId="6F89B0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371C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D411F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6059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A17F2D2" w14:textId="77777777">
        <w:tc>
          <w:tcPr>
            <w:tcW w:w="959" w:type="dxa"/>
          </w:tcPr>
          <w:p w14:paraId="765C27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6479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518F29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детали мотора.</w:t>
            </w:r>
          </w:p>
        </w:tc>
        <w:tc>
          <w:tcPr>
            <w:tcW w:w="720" w:type="dxa"/>
          </w:tcPr>
          <w:p w14:paraId="7C3A4C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1944-45 г.</w:t>
            </w:r>
          </w:p>
        </w:tc>
        <w:tc>
          <w:tcPr>
            <w:tcW w:w="1088" w:type="dxa"/>
          </w:tcPr>
          <w:p w14:paraId="63A63B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484C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FB132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E778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4AEF47" w14:textId="77777777">
        <w:tc>
          <w:tcPr>
            <w:tcW w:w="959" w:type="dxa"/>
          </w:tcPr>
          <w:p w14:paraId="73CB35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D19B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180 гр/лсч</w:t>
            </w:r>
          </w:p>
        </w:tc>
        <w:tc>
          <w:tcPr>
            <w:tcW w:w="1919" w:type="dxa"/>
          </w:tcPr>
          <w:p w14:paraId="6535B9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Проведены</w:t>
            </w:r>
          </w:p>
        </w:tc>
        <w:tc>
          <w:tcPr>
            <w:tcW w:w="720" w:type="dxa"/>
          </w:tcPr>
          <w:p w14:paraId="591C5E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0547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8A7C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2CB58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E135F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D0D9A3" w14:textId="77777777">
        <w:tc>
          <w:tcPr>
            <w:tcW w:w="959" w:type="dxa"/>
          </w:tcPr>
          <w:p w14:paraId="2DCA58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6BD7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топливный керосин</w:t>
            </w:r>
          </w:p>
        </w:tc>
        <w:tc>
          <w:tcPr>
            <w:tcW w:w="1919" w:type="dxa"/>
          </w:tcPr>
          <w:p w14:paraId="6E0E8C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экспериментальные</w:t>
            </w:r>
          </w:p>
        </w:tc>
        <w:tc>
          <w:tcPr>
            <w:tcW w:w="720" w:type="dxa"/>
          </w:tcPr>
          <w:p w14:paraId="3F2384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AD04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88EF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85EC2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663B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4DCCF1B" w14:textId="77777777">
        <w:tc>
          <w:tcPr>
            <w:tcW w:w="959" w:type="dxa"/>
          </w:tcPr>
          <w:p w14:paraId="393A36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49C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1600 кг</w:t>
            </w:r>
          </w:p>
        </w:tc>
        <w:tc>
          <w:tcPr>
            <w:tcW w:w="1919" w:type="dxa"/>
          </w:tcPr>
          <w:p w14:paraId="6EB4ED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на ОН-4 (одна</w:t>
            </w:r>
          </w:p>
        </w:tc>
        <w:tc>
          <w:tcPr>
            <w:tcW w:w="720" w:type="dxa"/>
          </w:tcPr>
          <w:p w14:paraId="2DFF4F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697D1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4B57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7486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3468E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60C090" w14:textId="77777777">
        <w:tc>
          <w:tcPr>
            <w:tcW w:w="959" w:type="dxa"/>
          </w:tcPr>
          <w:p w14:paraId="2601F8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498E2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6826F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секция мотора М-20).</w:t>
            </w:r>
          </w:p>
        </w:tc>
        <w:tc>
          <w:tcPr>
            <w:tcW w:w="720" w:type="dxa"/>
          </w:tcPr>
          <w:p w14:paraId="38EB6E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B081A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0DD41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1E8D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62444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E3175AE" w14:textId="77777777">
        <w:tc>
          <w:tcPr>
            <w:tcW w:w="959" w:type="dxa"/>
          </w:tcPr>
          <w:p w14:paraId="32C85E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w:t>
            </w:r>
          </w:p>
        </w:tc>
        <w:tc>
          <w:tcPr>
            <w:tcW w:w="1677" w:type="dxa"/>
          </w:tcPr>
          <w:p w14:paraId="4BDA8C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A51D5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89C6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9DC7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F67A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BBE0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9DC2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74FDB8" w14:textId="77777777">
        <w:tc>
          <w:tcPr>
            <w:tcW w:w="959" w:type="dxa"/>
          </w:tcPr>
          <w:p w14:paraId="6A7C4D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М-107Ф3</w:t>
            </w:r>
          </w:p>
        </w:tc>
        <w:tc>
          <w:tcPr>
            <w:tcW w:w="1677" w:type="dxa"/>
          </w:tcPr>
          <w:p w14:paraId="3DBCF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 цилиндровый</w:t>
            </w:r>
          </w:p>
        </w:tc>
        <w:tc>
          <w:tcPr>
            <w:tcW w:w="1919" w:type="dxa"/>
          </w:tcPr>
          <w:p w14:paraId="14A6DD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Проведены проектные</w:t>
            </w:r>
          </w:p>
        </w:tc>
        <w:tc>
          <w:tcPr>
            <w:tcW w:w="720" w:type="dxa"/>
          </w:tcPr>
          <w:p w14:paraId="608532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w:t>
            </w:r>
          </w:p>
        </w:tc>
        <w:tc>
          <w:tcPr>
            <w:tcW w:w="1088" w:type="dxa"/>
          </w:tcPr>
          <w:p w14:paraId="70E5F2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1686-712</w:t>
            </w:r>
          </w:p>
        </w:tc>
        <w:tc>
          <w:tcPr>
            <w:tcW w:w="927" w:type="dxa"/>
          </w:tcPr>
          <w:p w14:paraId="40A47B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12114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2D28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0806BE3" w14:textId="77777777">
        <w:tc>
          <w:tcPr>
            <w:tcW w:w="959" w:type="dxa"/>
          </w:tcPr>
          <w:p w14:paraId="3B3667A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33CD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2B572B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w:t>
            </w:r>
          </w:p>
        </w:tc>
        <w:tc>
          <w:tcPr>
            <w:tcW w:w="720" w:type="dxa"/>
          </w:tcPr>
          <w:p w14:paraId="4A3C3A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неполучения</w:t>
            </w:r>
          </w:p>
        </w:tc>
        <w:tc>
          <w:tcPr>
            <w:tcW w:w="1088" w:type="dxa"/>
          </w:tcPr>
          <w:p w14:paraId="039FE4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28075C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84FE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1D13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11FBFE" w14:textId="77777777">
        <w:tc>
          <w:tcPr>
            <w:tcW w:w="959" w:type="dxa"/>
          </w:tcPr>
          <w:p w14:paraId="79B7AB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28CA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форкамерным зажиганием</w:t>
            </w:r>
          </w:p>
        </w:tc>
        <w:tc>
          <w:tcPr>
            <w:tcW w:w="1919" w:type="dxa"/>
          </w:tcPr>
          <w:p w14:paraId="35EFD7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Проведены</w:t>
            </w:r>
          </w:p>
        </w:tc>
        <w:tc>
          <w:tcPr>
            <w:tcW w:w="720" w:type="dxa"/>
          </w:tcPr>
          <w:p w14:paraId="4D3C2C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ожидавшихся </w:t>
            </w:r>
          </w:p>
        </w:tc>
        <w:tc>
          <w:tcPr>
            <w:tcW w:w="1088" w:type="dxa"/>
          </w:tcPr>
          <w:p w14:paraId="187FCB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A05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946D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497B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88E9D4E" w14:textId="77777777">
        <w:tc>
          <w:tcPr>
            <w:tcW w:w="959" w:type="dxa"/>
          </w:tcPr>
          <w:p w14:paraId="06FCF3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1640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1400 л.с.</w:t>
            </w:r>
          </w:p>
        </w:tc>
        <w:tc>
          <w:tcPr>
            <w:tcW w:w="1919" w:type="dxa"/>
          </w:tcPr>
          <w:p w14:paraId="3DA71F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экспериментальн. работы</w:t>
            </w:r>
          </w:p>
        </w:tc>
        <w:tc>
          <w:tcPr>
            <w:tcW w:w="720" w:type="dxa"/>
          </w:tcPr>
          <w:p w14:paraId="4F7137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 по</w:t>
            </w:r>
          </w:p>
        </w:tc>
        <w:tc>
          <w:tcPr>
            <w:tcW w:w="1088" w:type="dxa"/>
          </w:tcPr>
          <w:p w14:paraId="4572B2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2E4F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A6BE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F97F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7F436D7" w14:textId="77777777">
        <w:tc>
          <w:tcPr>
            <w:tcW w:w="959" w:type="dxa"/>
          </w:tcPr>
          <w:p w14:paraId="223599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4A8C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2500 м</w:t>
            </w:r>
          </w:p>
        </w:tc>
        <w:tc>
          <w:tcPr>
            <w:tcW w:w="1919" w:type="dxa"/>
          </w:tcPr>
          <w:p w14:paraId="2FF4A9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одноцилиндровой и</w:t>
            </w:r>
          </w:p>
        </w:tc>
        <w:tc>
          <w:tcPr>
            <w:tcW w:w="720" w:type="dxa"/>
          </w:tcPr>
          <w:p w14:paraId="580944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экономичности</w:t>
            </w:r>
          </w:p>
        </w:tc>
        <w:tc>
          <w:tcPr>
            <w:tcW w:w="1088" w:type="dxa"/>
          </w:tcPr>
          <w:p w14:paraId="768E65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C7F2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BE44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5813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C15790F" w14:textId="77777777">
        <w:tc>
          <w:tcPr>
            <w:tcW w:w="959" w:type="dxa"/>
          </w:tcPr>
          <w:p w14:paraId="0EE885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4F12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л.с.</w:t>
            </w:r>
          </w:p>
        </w:tc>
        <w:tc>
          <w:tcPr>
            <w:tcW w:w="1919" w:type="dxa"/>
          </w:tcPr>
          <w:p w14:paraId="397900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блочной установке.</w:t>
            </w:r>
          </w:p>
        </w:tc>
        <w:tc>
          <w:tcPr>
            <w:tcW w:w="720" w:type="dxa"/>
          </w:tcPr>
          <w:p w14:paraId="720577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октановому</w:t>
            </w:r>
          </w:p>
        </w:tc>
        <w:tc>
          <w:tcPr>
            <w:tcW w:w="1088" w:type="dxa"/>
          </w:tcPr>
          <w:p w14:paraId="56D7A0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92DDA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F217E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307C4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CAD884" w14:textId="77777777">
        <w:tc>
          <w:tcPr>
            <w:tcW w:w="959" w:type="dxa"/>
          </w:tcPr>
          <w:p w14:paraId="5ED222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71DC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5000 м</w:t>
            </w:r>
          </w:p>
        </w:tc>
        <w:tc>
          <w:tcPr>
            <w:tcW w:w="1919" w:type="dxa"/>
          </w:tcPr>
          <w:p w14:paraId="312479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6872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числу топлива в</w:t>
            </w:r>
          </w:p>
        </w:tc>
        <w:tc>
          <w:tcPr>
            <w:tcW w:w="1088" w:type="dxa"/>
          </w:tcPr>
          <w:p w14:paraId="44FC28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B35E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430F9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D343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FE28C00" w14:textId="77777777">
        <w:tc>
          <w:tcPr>
            <w:tcW w:w="959" w:type="dxa"/>
          </w:tcPr>
          <w:p w14:paraId="14E102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1AFB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 л.с.</w:t>
            </w:r>
          </w:p>
        </w:tc>
        <w:tc>
          <w:tcPr>
            <w:tcW w:w="1919" w:type="dxa"/>
          </w:tcPr>
          <w:p w14:paraId="0126F6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ED754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сравнении с</w:t>
            </w:r>
          </w:p>
        </w:tc>
        <w:tc>
          <w:tcPr>
            <w:tcW w:w="1088" w:type="dxa"/>
          </w:tcPr>
          <w:p w14:paraId="35D131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5715E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5518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098C5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FDC19F9" w14:textId="77777777">
        <w:tc>
          <w:tcPr>
            <w:tcW w:w="959" w:type="dxa"/>
          </w:tcPr>
          <w:p w14:paraId="6121C6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7B6AE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666145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CC4D6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нормальным</w:t>
            </w:r>
          </w:p>
        </w:tc>
        <w:tc>
          <w:tcPr>
            <w:tcW w:w="1088" w:type="dxa"/>
          </w:tcPr>
          <w:p w14:paraId="66654C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267C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77DE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3A018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1A47BF3" w14:textId="77777777">
        <w:tc>
          <w:tcPr>
            <w:tcW w:w="959" w:type="dxa"/>
          </w:tcPr>
          <w:p w14:paraId="09DD13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2F44B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235 гр/лсч</w:t>
            </w:r>
          </w:p>
        </w:tc>
        <w:tc>
          <w:tcPr>
            <w:tcW w:w="1919" w:type="dxa"/>
          </w:tcPr>
          <w:p w14:paraId="0D6BE6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F69B0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мотором.</w:t>
            </w:r>
          </w:p>
        </w:tc>
        <w:tc>
          <w:tcPr>
            <w:tcW w:w="1088" w:type="dxa"/>
          </w:tcPr>
          <w:p w14:paraId="149B682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F824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AA49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D3E9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557066" w14:textId="77777777">
        <w:tc>
          <w:tcPr>
            <w:tcW w:w="959" w:type="dxa"/>
          </w:tcPr>
          <w:p w14:paraId="1E33D9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63143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730-740 кг</w:t>
            </w:r>
          </w:p>
        </w:tc>
        <w:tc>
          <w:tcPr>
            <w:tcW w:w="1919" w:type="dxa"/>
          </w:tcPr>
          <w:p w14:paraId="6AF8FE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3922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EAC0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F67F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8F1C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34FAA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6864CA5" w14:textId="77777777">
        <w:tc>
          <w:tcPr>
            <w:tcW w:w="959" w:type="dxa"/>
          </w:tcPr>
          <w:p w14:paraId="22C5AF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М-300</w:t>
            </w:r>
          </w:p>
        </w:tc>
        <w:tc>
          <w:tcPr>
            <w:tcW w:w="1677" w:type="dxa"/>
          </w:tcPr>
          <w:p w14:paraId="14F729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Ж-образный 36 цилиндровый</w:t>
            </w:r>
          </w:p>
        </w:tc>
        <w:tc>
          <w:tcPr>
            <w:tcW w:w="1919" w:type="dxa"/>
          </w:tcPr>
          <w:p w14:paraId="68FBB5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Изготовлены 3 опытных</w:t>
            </w:r>
          </w:p>
        </w:tc>
        <w:tc>
          <w:tcPr>
            <w:tcW w:w="720" w:type="dxa"/>
          </w:tcPr>
          <w:p w14:paraId="1B7C1B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w:t>
            </w:r>
          </w:p>
        </w:tc>
        <w:tc>
          <w:tcPr>
            <w:tcW w:w="1088" w:type="dxa"/>
          </w:tcPr>
          <w:p w14:paraId="0336E2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1686-712</w:t>
            </w:r>
          </w:p>
        </w:tc>
        <w:tc>
          <w:tcPr>
            <w:tcW w:w="927" w:type="dxa"/>
          </w:tcPr>
          <w:p w14:paraId="6B983D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6AAE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B958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C4723C8" w14:textId="77777777">
        <w:tc>
          <w:tcPr>
            <w:tcW w:w="959" w:type="dxa"/>
          </w:tcPr>
          <w:p w14:paraId="79373D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4D45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4A5D7C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образца мотора и</w:t>
            </w:r>
          </w:p>
        </w:tc>
        <w:tc>
          <w:tcPr>
            <w:tcW w:w="720" w:type="dxa"/>
          </w:tcPr>
          <w:p w14:paraId="7F7E10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сложности</w:t>
            </w:r>
          </w:p>
        </w:tc>
        <w:tc>
          <w:tcPr>
            <w:tcW w:w="1088" w:type="dxa"/>
          </w:tcPr>
          <w:p w14:paraId="2246C6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102BD4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72DE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CBBE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B700037" w14:textId="77777777">
        <w:tc>
          <w:tcPr>
            <w:tcW w:w="959" w:type="dxa"/>
          </w:tcPr>
          <w:p w14:paraId="0034A3C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7C91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4-х скоростным нагнетателем</w:t>
            </w:r>
          </w:p>
        </w:tc>
        <w:tc>
          <w:tcPr>
            <w:tcW w:w="1919" w:type="dxa"/>
          </w:tcPr>
          <w:p w14:paraId="0BE933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проведена холодная</w:t>
            </w:r>
          </w:p>
        </w:tc>
        <w:tc>
          <w:tcPr>
            <w:tcW w:w="720" w:type="dxa"/>
          </w:tcPr>
          <w:p w14:paraId="0C7AFC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объекта работы</w:t>
            </w:r>
          </w:p>
        </w:tc>
        <w:tc>
          <w:tcPr>
            <w:tcW w:w="1088" w:type="dxa"/>
          </w:tcPr>
          <w:p w14:paraId="65327A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9159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22C8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76C4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E530F75" w14:textId="77777777">
        <w:tc>
          <w:tcPr>
            <w:tcW w:w="959" w:type="dxa"/>
          </w:tcPr>
          <w:p w14:paraId="72C523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FB90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соосными винтами и</w:t>
            </w:r>
          </w:p>
        </w:tc>
        <w:tc>
          <w:tcPr>
            <w:tcW w:w="1919" w:type="dxa"/>
          </w:tcPr>
          <w:p w14:paraId="40DA79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обкатка одного из них.</w:t>
            </w:r>
          </w:p>
        </w:tc>
        <w:tc>
          <w:tcPr>
            <w:tcW w:w="720" w:type="dxa"/>
          </w:tcPr>
          <w:p w14:paraId="1870A2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мотору</w:t>
            </w:r>
          </w:p>
        </w:tc>
        <w:tc>
          <w:tcPr>
            <w:tcW w:w="1088" w:type="dxa"/>
          </w:tcPr>
          <w:p w14:paraId="3425AD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8FA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C0C3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0D89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24C34C3" w14:textId="77777777">
        <w:tc>
          <w:tcPr>
            <w:tcW w:w="959" w:type="dxa"/>
          </w:tcPr>
          <w:p w14:paraId="6384CC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897D2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непосредственным впрыском</w:t>
            </w:r>
          </w:p>
        </w:tc>
        <w:tc>
          <w:tcPr>
            <w:tcW w:w="1919" w:type="dxa"/>
          </w:tcPr>
          <w:p w14:paraId="737526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4F9D8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будут</w:t>
            </w:r>
          </w:p>
        </w:tc>
        <w:tc>
          <w:tcPr>
            <w:tcW w:w="1088" w:type="dxa"/>
          </w:tcPr>
          <w:p w14:paraId="395B28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3FA5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C4F5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F829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151C6E" w14:textId="77777777">
        <w:tc>
          <w:tcPr>
            <w:tcW w:w="959" w:type="dxa"/>
          </w:tcPr>
          <w:p w14:paraId="5090F0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688D7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топлива</w:t>
            </w:r>
          </w:p>
        </w:tc>
        <w:tc>
          <w:tcPr>
            <w:tcW w:w="1919" w:type="dxa"/>
          </w:tcPr>
          <w:p w14:paraId="3D08C6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B24C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проводиться в</w:t>
            </w:r>
          </w:p>
        </w:tc>
        <w:tc>
          <w:tcPr>
            <w:tcW w:w="1088" w:type="dxa"/>
          </w:tcPr>
          <w:p w14:paraId="1728B8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3AAD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28F2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EEB7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91A9594" w14:textId="77777777">
        <w:tc>
          <w:tcPr>
            <w:tcW w:w="959" w:type="dxa"/>
          </w:tcPr>
          <w:p w14:paraId="74F098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1D1F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3500 л.с.</w:t>
            </w:r>
          </w:p>
        </w:tc>
        <w:tc>
          <w:tcPr>
            <w:tcW w:w="1919" w:type="dxa"/>
          </w:tcPr>
          <w:p w14:paraId="7155F8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A2D5A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ЦИАМ"е как</w:t>
            </w:r>
          </w:p>
        </w:tc>
        <w:tc>
          <w:tcPr>
            <w:tcW w:w="1088" w:type="dxa"/>
          </w:tcPr>
          <w:p w14:paraId="08EEC3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AD472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2DDF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E4FF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AF091CC" w14:textId="77777777">
        <w:tc>
          <w:tcPr>
            <w:tcW w:w="959" w:type="dxa"/>
          </w:tcPr>
          <w:p w14:paraId="3BE93D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E98F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3800 м</w:t>
            </w:r>
          </w:p>
        </w:tc>
        <w:tc>
          <w:tcPr>
            <w:tcW w:w="1919" w:type="dxa"/>
          </w:tcPr>
          <w:p w14:paraId="044245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6087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экспериментальн.</w:t>
            </w:r>
          </w:p>
        </w:tc>
        <w:tc>
          <w:tcPr>
            <w:tcW w:w="1088" w:type="dxa"/>
          </w:tcPr>
          <w:p w14:paraId="7B2F8A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D54B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C01A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BD80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BC57E0" w14:textId="77777777">
        <w:tc>
          <w:tcPr>
            <w:tcW w:w="959" w:type="dxa"/>
          </w:tcPr>
          <w:p w14:paraId="3A1607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A3B88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3450 л.с.</w:t>
            </w:r>
          </w:p>
        </w:tc>
        <w:tc>
          <w:tcPr>
            <w:tcW w:w="1919" w:type="dxa"/>
          </w:tcPr>
          <w:p w14:paraId="58E91D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286E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3087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4C8DE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0828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029F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F6EA5DD" w14:textId="77777777">
        <w:tc>
          <w:tcPr>
            <w:tcW w:w="959" w:type="dxa"/>
          </w:tcPr>
          <w:p w14:paraId="6883FD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AA6C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6300 м</w:t>
            </w:r>
          </w:p>
        </w:tc>
        <w:tc>
          <w:tcPr>
            <w:tcW w:w="1919" w:type="dxa"/>
          </w:tcPr>
          <w:p w14:paraId="67084B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41EB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FE71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6491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2E82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4454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699B486" w14:textId="77777777">
        <w:tc>
          <w:tcPr>
            <w:tcW w:w="959" w:type="dxa"/>
          </w:tcPr>
          <w:p w14:paraId="72DDC3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B382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3350 л.с.</w:t>
            </w:r>
          </w:p>
        </w:tc>
        <w:tc>
          <w:tcPr>
            <w:tcW w:w="1919" w:type="dxa"/>
          </w:tcPr>
          <w:p w14:paraId="41A00D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42E24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9370E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3746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962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82A8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D47360C" w14:textId="77777777">
        <w:tc>
          <w:tcPr>
            <w:tcW w:w="959" w:type="dxa"/>
          </w:tcPr>
          <w:p w14:paraId="21AF3E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FE0C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8300 м</w:t>
            </w:r>
          </w:p>
        </w:tc>
        <w:tc>
          <w:tcPr>
            <w:tcW w:w="1919" w:type="dxa"/>
          </w:tcPr>
          <w:p w14:paraId="5F3317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6191A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0990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033E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72BD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EFA2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92B04F" w14:textId="77777777">
        <w:tc>
          <w:tcPr>
            <w:tcW w:w="959" w:type="dxa"/>
          </w:tcPr>
          <w:p w14:paraId="5FF154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4A8D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3150 л.с.</w:t>
            </w:r>
          </w:p>
        </w:tc>
        <w:tc>
          <w:tcPr>
            <w:tcW w:w="1919" w:type="dxa"/>
          </w:tcPr>
          <w:p w14:paraId="6F2F9F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0FBF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22E6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FCC2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CCF0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202E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2F2F402" w14:textId="77777777">
        <w:tc>
          <w:tcPr>
            <w:tcW w:w="959" w:type="dxa"/>
          </w:tcPr>
          <w:p w14:paraId="6882CA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B096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10000 м</w:t>
            </w:r>
          </w:p>
        </w:tc>
        <w:tc>
          <w:tcPr>
            <w:tcW w:w="1919" w:type="dxa"/>
          </w:tcPr>
          <w:p w14:paraId="1D9179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E3EA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2B960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B4B1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03AF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7EB5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B9E64B0" w14:textId="77777777">
        <w:tc>
          <w:tcPr>
            <w:tcW w:w="959" w:type="dxa"/>
          </w:tcPr>
          <w:p w14:paraId="3D87A1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5A14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л.с.</w:t>
            </w:r>
          </w:p>
        </w:tc>
        <w:tc>
          <w:tcPr>
            <w:tcW w:w="1919" w:type="dxa"/>
          </w:tcPr>
          <w:p w14:paraId="75D422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2CD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9931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FFF3D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DDF52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78FD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475E619" w14:textId="77777777">
        <w:tc>
          <w:tcPr>
            <w:tcW w:w="959" w:type="dxa"/>
          </w:tcPr>
          <w:p w14:paraId="268968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7F1D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278C9F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CA13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6AE3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ABF4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DC32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7F79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33B0991" w14:textId="77777777">
        <w:tc>
          <w:tcPr>
            <w:tcW w:w="959" w:type="dxa"/>
          </w:tcPr>
          <w:p w14:paraId="5A0914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723C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280 гр/лсч</w:t>
            </w:r>
          </w:p>
        </w:tc>
        <w:tc>
          <w:tcPr>
            <w:tcW w:w="1919" w:type="dxa"/>
          </w:tcPr>
          <w:p w14:paraId="1E8AA8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6FDD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68B49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8D51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6AB0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F168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03E814D" w14:textId="77777777">
        <w:tc>
          <w:tcPr>
            <w:tcW w:w="959" w:type="dxa"/>
          </w:tcPr>
          <w:p w14:paraId="3AEAF7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1F7B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4Б-78</w:t>
            </w:r>
          </w:p>
        </w:tc>
        <w:tc>
          <w:tcPr>
            <w:tcW w:w="1919" w:type="dxa"/>
          </w:tcPr>
          <w:p w14:paraId="49C749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69B5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6F24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D920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C046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8542C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AE9CD8A" w14:textId="77777777">
        <w:tc>
          <w:tcPr>
            <w:tcW w:w="959" w:type="dxa"/>
          </w:tcPr>
          <w:p w14:paraId="28F363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4B80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1600 кг</w:t>
            </w:r>
          </w:p>
        </w:tc>
        <w:tc>
          <w:tcPr>
            <w:tcW w:w="1919" w:type="dxa"/>
          </w:tcPr>
          <w:p w14:paraId="179874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EC908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55F1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91ADD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2E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A18E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D13AB54" w14:textId="77777777">
        <w:tc>
          <w:tcPr>
            <w:tcW w:w="959" w:type="dxa"/>
          </w:tcPr>
          <w:p w14:paraId="767F2E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 НТ</w:t>
            </w:r>
          </w:p>
        </w:tc>
        <w:tc>
          <w:tcPr>
            <w:tcW w:w="1677" w:type="dxa"/>
          </w:tcPr>
          <w:p w14:paraId="0828D3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 цилиндровый</w:t>
            </w:r>
          </w:p>
        </w:tc>
        <w:tc>
          <w:tcPr>
            <w:tcW w:w="1919" w:type="dxa"/>
          </w:tcPr>
          <w:p w14:paraId="214982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Закончены специальные</w:t>
            </w:r>
          </w:p>
        </w:tc>
        <w:tc>
          <w:tcPr>
            <w:tcW w:w="720" w:type="dxa"/>
          </w:tcPr>
          <w:p w14:paraId="1C2D8D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w:t>
            </w:r>
          </w:p>
        </w:tc>
        <w:tc>
          <w:tcPr>
            <w:tcW w:w="1088" w:type="dxa"/>
          </w:tcPr>
          <w:p w14:paraId="1A9A83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1686-712</w:t>
            </w:r>
          </w:p>
        </w:tc>
        <w:tc>
          <w:tcPr>
            <w:tcW w:w="927" w:type="dxa"/>
          </w:tcPr>
          <w:p w14:paraId="34B0C6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B0E8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DDCD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80D7A8D" w14:textId="77777777">
        <w:tc>
          <w:tcPr>
            <w:tcW w:w="959" w:type="dxa"/>
          </w:tcPr>
          <w:p w14:paraId="36A099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A37F5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жидкостного охлаждения</w:t>
            </w:r>
          </w:p>
        </w:tc>
        <w:tc>
          <w:tcPr>
            <w:tcW w:w="1919" w:type="dxa"/>
          </w:tcPr>
          <w:p w14:paraId="5FDBC9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на</w:t>
            </w:r>
          </w:p>
        </w:tc>
        <w:tc>
          <w:tcPr>
            <w:tcW w:w="720" w:type="dxa"/>
          </w:tcPr>
          <w:p w14:paraId="0DBFAC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задержкой в</w:t>
            </w:r>
          </w:p>
        </w:tc>
        <w:tc>
          <w:tcPr>
            <w:tcW w:w="1088" w:type="dxa"/>
          </w:tcPr>
          <w:p w14:paraId="0D4BE5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19.VI-41 г.</w:t>
            </w:r>
          </w:p>
        </w:tc>
        <w:tc>
          <w:tcPr>
            <w:tcW w:w="927" w:type="dxa"/>
          </w:tcPr>
          <w:p w14:paraId="33A7D4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864D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35BE9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850C5A4" w14:textId="77777777">
        <w:tc>
          <w:tcPr>
            <w:tcW w:w="959" w:type="dxa"/>
          </w:tcPr>
          <w:p w14:paraId="182362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07ACC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3-х скоростным нагнетателем</w:t>
            </w:r>
          </w:p>
        </w:tc>
        <w:tc>
          <w:tcPr>
            <w:tcW w:w="1919" w:type="dxa"/>
          </w:tcPr>
          <w:p w14:paraId="21F1839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самолете Лагг-3.</w:t>
            </w:r>
          </w:p>
        </w:tc>
        <w:tc>
          <w:tcPr>
            <w:tcW w:w="720" w:type="dxa"/>
          </w:tcPr>
          <w:p w14:paraId="495296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доводке и</w:t>
            </w:r>
          </w:p>
        </w:tc>
        <w:tc>
          <w:tcPr>
            <w:tcW w:w="1088" w:type="dxa"/>
          </w:tcPr>
          <w:p w14:paraId="0054E6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27C0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0E3A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0E1FA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8E39508" w14:textId="77777777">
        <w:tc>
          <w:tcPr>
            <w:tcW w:w="959" w:type="dxa"/>
          </w:tcPr>
          <w:p w14:paraId="4DBB1E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9054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1200 л.с.</w:t>
            </w:r>
          </w:p>
        </w:tc>
        <w:tc>
          <w:tcPr>
            <w:tcW w:w="1919" w:type="dxa"/>
          </w:tcPr>
          <w:p w14:paraId="220A6D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06E5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наличием</w:t>
            </w:r>
          </w:p>
        </w:tc>
        <w:tc>
          <w:tcPr>
            <w:tcW w:w="1088" w:type="dxa"/>
          </w:tcPr>
          <w:p w14:paraId="74AC39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29BF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AE12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0D50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F61219" w14:textId="77777777">
        <w:tc>
          <w:tcPr>
            <w:tcW w:w="959" w:type="dxa"/>
          </w:tcPr>
          <w:p w14:paraId="7DD94B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4335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1800 м</w:t>
            </w:r>
          </w:p>
        </w:tc>
        <w:tc>
          <w:tcPr>
            <w:tcW w:w="1919" w:type="dxa"/>
          </w:tcPr>
          <w:p w14:paraId="71792C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BA79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доведенного</w:t>
            </w:r>
          </w:p>
        </w:tc>
        <w:tc>
          <w:tcPr>
            <w:tcW w:w="1088" w:type="dxa"/>
          </w:tcPr>
          <w:p w14:paraId="1CE3F4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1D36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BA05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725A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27208B9" w14:textId="77777777">
        <w:tc>
          <w:tcPr>
            <w:tcW w:w="959" w:type="dxa"/>
          </w:tcPr>
          <w:p w14:paraId="0E210D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09AE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 л.с.</w:t>
            </w:r>
          </w:p>
        </w:tc>
        <w:tc>
          <w:tcPr>
            <w:tcW w:w="1919" w:type="dxa"/>
          </w:tcPr>
          <w:p w14:paraId="7F7E1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C50F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 М-105ПД</w:t>
            </w:r>
          </w:p>
        </w:tc>
        <w:tc>
          <w:tcPr>
            <w:tcW w:w="1088" w:type="dxa"/>
          </w:tcPr>
          <w:p w14:paraId="7CFC7B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0B54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B304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D214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79644823" w14:textId="77777777">
        <w:tc>
          <w:tcPr>
            <w:tcW w:w="959" w:type="dxa"/>
          </w:tcPr>
          <w:p w14:paraId="1BC583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4A7E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4000 м</w:t>
            </w:r>
          </w:p>
        </w:tc>
        <w:tc>
          <w:tcPr>
            <w:tcW w:w="1919" w:type="dxa"/>
          </w:tcPr>
          <w:p w14:paraId="5BF265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1EE3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такими же</w:t>
            </w:r>
          </w:p>
        </w:tc>
        <w:tc>
          <w:tcPr>
            <w:tcW w:w="1088" w:type="dxa"/>
          </w:tcPr>
          <w:p w14:paraId="24F889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DB7BE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167C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B79F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D10E3C3" w14:textId="77777777">
        <w:tc>
          <w:tcPr>
            <w:tcW w:w="959" w:type="dxa"/>
          </w:tcPr>
          <w:p w14:paraId="17305F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5C3E4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 л.с.</w:t>
            </w:r>
          </w:p>
        </w:tc>
        <w:tc>
          <w:tcPr>
            <w:tcW w:w="1919" w:type="dxa"/>
          </w:tcPr>
          <w:p w14:paraId="371A89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0164B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техническими</w:t>
            </w:r>
          </w:p>
        </w:tc>
        <w:tc>
          <w:tcPr>
            <w:tcW w:w="1088" w:type="dxa"/>
          </w:tcPr>
          <w:p w14:paraId="425762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5BF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64B8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00FD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F22093A" w14:textId="77777777">
        <w:tc>
          <w:tcPr>
            <w:tcW w:w="959" w:type="dxa"/>
          </w:tcPr>
          <w:p w14:paraId="7BFE8A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F1CE8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на высоте 7000 м</w:t>
            </w:r>
          </w:p>
        </w:tc>
        <w:tc>
          <w:tcPr>
            <w:tcW w:w="1919" w:type="dxa"/>
          </w:tcPr>
          <w:p w14:paraId="42FFE6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4C3E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данными на</w:t>
            </w:r>
          </w:p>
        </w:tc>
        <w:tc>
          <w:tcPr>
            <w:tcW w:w="1088" w:type="dxa"/>
          </w:tcPr>
          <w:p w14:paraId="7E165E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B3F45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666C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55A2A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981735A" w14:textId="77777777">
        <w:tc>
          <w:tcPr>
            <w:tcW w:w="959" w:type="dxa"/>
          </w:tcPr>
          <w:p w14:paraId="47C8CC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55D5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 л.с.</w:t>
            </w:r>
          </w:p>
        </w:tc>
        <w:tc>
          <w:tcPr>
            <w:tcW w:w="1919" w:type="dxa"/>
          </w:tcPr>
          <w:p w14:paraId="60E85E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8F99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средних боевых</w:t>
            </w:r>
          </w:p>
        </w:tc>
        <w:tc>
          <w:tcPr>
            <w:tcW w:w="1088" w:type="dxa"/>
          </w:tcPr>
          <w:p w14:paraId="190B00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1816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532FF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7311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B3CBF86" w14:textId="77777777">
        <w:tc>
          <w:tcPr>
            <w:tcW w:w="959" w:type="dxa"/>
          </w:tcPr>
          <w:p w14:paraId="163307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AB28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 топлива на 0,9 от</w:t>
            </w:r>
          </w:p>
        </w:tc>
        <w:tc>
          <w:tcPr>
            <w:tcW w:w="1919" w:type="dxa"/>
          </w:tcPr>
          <w:p w14:paraId="474B08E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A1CB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высотах.</w:t>
            </w:r>
          </w:p>
        </w:tc>
        <w:tc>
          <w:tcPr>
            <w:tcW w:w="1088" w:type="dxa"/>
          </w:tcPr>
          <w:p w14:paraId="6DF7AD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D949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EA4C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2922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84F04D9" w14:textId="77777777">
        <w:tc>
          <w:tcPr>
            <w:tcW w:w="959" w:type="dxa"/>
          </w:tcPr>
          <w:p w14:paraId="348C2F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0A079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земного номинала 260 гр/лсч</w:t>
            </w:r>
          </w:p>
        </w:tc>
        <w:tc>
          <w:tcPr>
            <w:tcW w:w="1919" w:type="dxa"/>
          </w:tcPr>
          <w:p w14:paraId="78D15E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2FCF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3250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5040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C625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9279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4D0C5065" w14:textId="77777777">
        <w:tc>
          <w:tcPr>
            <w:tcW w:w="959" w:type="dxa"/>
          </w:tcPr>
          <w:p w14:paraId="4A79C9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3DD1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топливо - бензин 3,5Б-78</w:t>
            </w:r>
          </w:p>
        </w:tc>
        <w:tc>
          <w:tcPr>
            <w:tcW w:w="1919" w:type="dxa"/>
          </w:tcPr>
          <w:p w14:paraId="079CB8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6F70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8486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C3934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99B08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A827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87FE2" w:rsidRPr="008127F8" w14:paraId="2A1A2DF9" w14:textId="77777777">
        <w:tc>
          <w:tcPr>
            <w:tcW w:w="959" w:type="dxa"/>
            <w:tcBorders>
              <w:bottom w:val="single" w:sz="12" w:space="0" w:color="auto"/>
            </w:tcBorders>
          </w:tcPr>
          <w:p w14:paraId="6C7519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Borders>
              <w:bottom w:val="single" w:sz="12" w:space="0" w:color="auto"/>
            </w:tcBorders>
          </w:tcPr>
          <w:p w14:paraId="636E38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700 кг (2178,181)</w:t>
            </w:r>
          </w:p>
        </w:tc>
        <w:tc>
          <w:tcPr>
            <w:tcW w:w="1919" w:type="dxa"/>
            <w:tcBorders>
              <w:bottom w:val="single" w:sz="12" w:space="0" w:color="auto"/>
            </w:tcBorders>
          </w:tcPr>
          <w:p w14:paraId="16696C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65687E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Borders>
              <w:bottom w:val="single" w:sz="12" w:space="0" w:color="auto"/>
            </w:tcBorders>
          </w:tcPr>
          <w:p w14:paraId="74C401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Borders>
              <w:bottom w:val="single" w:sz="12" w:space="0" w:color="auto"/>
            </w:tcBorders>
          </w:tcPr>
          <w:p w14:paraId="1E76F4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Borders>
              <w:bottom w:val="single" w:sz="12" w:space="0" w:color="auto"/>
            </w:tcBorders>
          </w:tcPr>
          <w:p w14:paraId="54855D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Borders>
              <w:bottom w:val="single" w:sz="12" w:space="0" w:color="auto"/>
            </w:tcBorders>
          </w:tcPr>
          <w:p w14:paraId="1B4E68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9625F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E69B6" w14:textId="77777777" w:rsidR="00E359CF" w:rsidRPr="008127F8" w:rsidRDefault="00E359CF" w:rsidP="001E0A84">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8127F8">
        <w:rPr>
          <w:rStyle w:val="4f2"/>
          <w:rFonts w:ascii="Times New Roman" w:hAnsi="Times New Roman" w:cs="Times New Roman"/>
          <w:b w:val="0"/>
          <w:i w:val="0"/>
          <w:color w:val="000000" w:themeColor="text1"/>
          <w:sz w:val="16"/>
          <w:szCs w:val="16"/>
        </w:rPr>
        <w:t>28</w:t>
      </w:r>
      <w:r w:rsidRPr="008127F8">
        <w:rPr>
          <w:rStyle w:val="4f1"/>
          <w:rFonts w:ascii="Times New Roman" w:hAnsi="Times New Roman" w:cs="Times New Roman"/>
          <w:i w:val="0"/>
          <w:color w:val="000000" w:themeColor="text1"/>
          <w:sz w:val="16"/>
          <w:szCs w:val="16"/>
        </w:rPr>
        <w:t xml:space="preserve"> апре</w:t>
      </w:r>
      <w:r w:rsidRPr="008127F8">
        <w:rPr>
          <w:rStyle w:val="4f1"/>
          <w:rFonts w:ascii="Times New Roman" w:hAnsi="Times New Roman" w:cs="Times New Roman"/>
          <w:i w:val="0"/>
          <w:color w:val="000000" w:themeColor="text1"/>
          <w:sz w:val="16"/>
          <w:szCs w:val="16"/>
        </w:rPr>
        <w:softHyphen/>
      </w:r>
      <w:r w:rsidRPr="008127F8">
        <w:rPr>
          <w:rStyle w:val="4f2"/>
          <w:rFonts w:ascii="Times New Roman" w:hAnsi="Times New Roman" w:cs="Times New Roman"/>
          <w:b w:val="0"/>
          <w:i w:val="0"/>
          <w:color w:val="000000" w:themeColor="text1"/>
          <w:sz w:val="16"/>
          <w:szCs w:val="16"/>
        </w:rPr>
        <w:t xml:space="preserve">ля 1942 в ответе на письмо </w:t>
      </w:r>
      <w:r w:rsidRPr="008127F8">
        <w:rPr>
          <w:rStyle w:val="4f1"/>
          <w:rFonts w:ascii="Times New Roman" w:hAnsi="Times New Roman" w:cs="Times New Roman"/>
          <w:i w:val="0"/>
          <w:color w:val="000000" w:themeColor="text1"/>
          <w:sz w:val="16"/>
          <w:szCs w:val="16"/>
        </w:rPr>
        <w:t xml:space="preserve">парторга ЦК ВКП(б) </w:t>
      </w:r>
      <w:r w:rsidRPr="008127F8">
        <w:rPr>
          <w:rStyle w:val="495pt-1pt"/>
          <w:rFonts w:ascii="Times New Roman" w:hAnsi="Times New Roman" w:cs="Times New Roman"/>
          <w:b w:val="0"/>
          <w:i w:val="0"/>
          <w:color w:val="000000" w:themeColor="text1"/>
          <w:spacing w:val="0"/>
          <w:sz w:val="16"/>
          <w:szCs w:val="16"/>
        </w:rPr>
        <w:t>на</w:t>
      </w:r>
      <w:r w:rsidRPr="008127F8">
        <w:rPr>
          <w:rStyle w:val="4f2"/>
          <w:rFonts w:ascii="Times New Roman" w:hAnsi="Times New Roman" w:cs="Times New Roman"/>
          <w:b w:val="0"/>
          <w:i w:val="0"/>
          <w:color w:val="000000" w:themeColor="text1"/>
          <w:sz w:val="16"/>
          <w:szCs w:val="16"/>
        </w:rPr>
        <w:t xml:space="preserve"> заводе №51</w:t>
      </w:r>
      <w:r w:rsidRPr="008127F8">
        <w:rPr>
          <w:rStyle w:val="4f1"/>
          <w:rFonts w:ascii="Times New Roman" w:hAnsi="Times New Roman" w:cs="Times New Roman"/>
          <w:i w:val="0"/>
          <w:color w:val="000000" w:themeColor="text1"/>
          <w:sz w:val="16"/>
          <w:szCs w:val="16"/>
        </w:rPr>
        <w:t xml:space="preserve"> В.П. Ионова</w:t>
      </w:r>
      <w:r w:rsidRPr="008127F8">
        <w:rPr>
          <w:rStyle w:val="4f2"/>
          <w:rFonts w:ascii="Times New Roman" w:hAnsi="Times New Roman" w:cs="Times New Roman"/>
          <w:b w:val="0"/>
          <w:i w:val="0"/>
          <w:color w:val="000000" w:themeColor="text1"/>
          <w:sz w:val="16"/>
          <w:szCs w:val="16"/>
        </w:rPr>
        <w:t xml:space="preserve"> на</w:t>
      </w:r>
      <w:r w:rsidRPr="008127F8">
        <w:rPr>
          <w:rStyle w:val="4f1"/>
          <w:rFonts w:ascii="Times New Roman" w:hAnsi="Times New Roman" w:cs="Times New Roman"/>
          <w:i w:val="0"/>
          <w:color w:val="000000" w:themeColor="text1"/>
          <w:sz w:val="16"/>
          <w:szCs w:val="16"/>
        </w:rPr>
        <w:t xml:space="preserve"> имя Г.М. Маленкова ненормаль</w:t>
      </w:r>
      <w:r w:rsidRPr="008127F8">
        <w:rPr>
          <w:rStyle w:val="4f1"/>
          <w:rFonts w:ascii="Times New Roman" w:hAnsi="Times New Roman" w:cs="Times New Roman"/>
          <w:i w:val="0"/>
          <w:color w:val="000000" w:themeColor="text1"/>
          <w:sz w:val="16"/>
          <w:szCs w:val="16"/>
        </w:rPr>
        <w:softHyphen/>
      </w:r>
      <w:r w:rsidRPr="008127F8">
        <w:rPr>
          <w:rStyle w:val="495pt-1pt"/>
          <w:rFonts w:ascii="Times New Roman" w:hAnsi="Times New Roman" w:cs="Times New Roman"/>
          <w:b w:val="0"/>
          <w:i w:val="0"/>
          <w:color w:val="000000" w:themeColor="text1"/>
          <w:spacing w:val="0"/>
          <w:sz w:val="16"/>
          <w:szCs w:val="16"/>
        </w:rPr>
        <w:t>ное</w:t>
      </w:r>
      <w:r w:rsidRPr="008127F8">
        <w:rPr>
          <w:rStyle w:val="4f2"/>
          <w:rFonts w:ascii="Times New Roman" w:hAnsi="Times New Roman" w:cs="Times New Roman"/>
          <w:b w:val="0"/>
          <w:i w:val="0"/>
          <w:color w:val="000000" w:themeColor="text1"/>
          <w:sz w:val="16"/>
          <w:szCs w:val="16"/>
        </w:rPr>
        <w:t xml:space="preserve"> положение на заводе, Яковлев</w:t>
      </w:r>
      <w:r w:rsidRPr="008127F8">
        <w:rPr>
          <w:rStyle w:val="4f1"/>
          <w:rFonts w:ascii="Times New Roman" w:hAnsi="Times New Roman" w:cs="Times New Roman"/>
          <w:i w:val="0"/>
          <w:color w:val="000000" w:themeColor="text1"/>
          <w:sz w:val="16"/>
          <w:szCs w:val="16"/>
        </w:rPr>
        <w:t xml:space="preserve"> писал Маленкову:</w:t>
      </w:r>
      <w:r w:rsidRPr="008127F8">
        <w:rPr>
          <w:rFonts w:ascii="Times New Roman" w:cs="Times New Roman"/>
          <w:color w:val="000000" w:themeColor="text1"/>
          <w:sz w:val="16"/>
          <w:szCs w:val="16"/>
        </w:rPr>
        <w:t xml:space="preserve"> «Соглас</w:t>
      </w:r>
      <w:r w:rsidRPr="008127F8">
        <w:rPr>
          <w:rFonts w:ascii="Times New Roman" w:cs="Times New Roman"/>
          <w:color w:val="000000" w:themeColor="text1"/>
          <w:sz w:val="16"/>
          <w:szCs w:val="16"/>
        </w:rPr>
        <w:softHyphen/>
      </w:r>
      <w:r w:rsidRPr="008127F8">
        <w:rPr>
          <w:rStyle w:val="4f3"/>
          <w:rFonts w:ascii="Times New Roman" w:hAnsi="Times New Roman" w:cs="Times New Roman"/>
          <w:b w:val="0"/>
          <w:color w:val="000000" w:themeColor="text1"/>
          <w:sz w:val="16"/>
          <w:szCs w:val="16"/>
        </w:rPr>
        <w:t>но Вашего</w:t>
      </w:r>
      <w:r w:rsidRPr="008127F8">
        <w:rPr>
          <w:rFonts w:ascii="Times New Roman" w:cs="Times New Roman"/>
          <w:color w:val="000000" w:themeColor="text1"/>
          <w:sz w:val="16"/>
          <w:szCs w:val="16"/>
        </w:rPr>
        <w:t xml:space="preserve"> указания по письму Пар</w:t>
      </w:r>
      <w:r w:rsidRPr="008127F8">
        <w:rPr>
          <w:rFonts w:ascii="Times New Roman" w:cs="Times New Roman"/>
          <w:color w:val="000000" w:themeColor="text1"/>
          <w:sz w:val="16"/>
          <w:szCs w:val="16"/>
        </w:rPr>
        <w:softHyphen/>
      </w:r>
      <w:r w:rsidRPr="008127F8">
        <w:rPr>
          <w:rStyle w:val="4f3"/>
          <w:rFonts w:ascii="Times New Roman" w:hAnsi="Times New Roman" w:cs="Times New Roman"/>
          <w:b w:val="0"/>
          <w:color w:val="000000" w:themeColor="text1"/>
          <w:sz w:val="16"/>
          <w:szCs w:val="16"/>
        </w:rPr>
        <w:t>торга ЦК</w:t>
      </w:r>
      <w:r w:rsidRPr="008127F8">
        <w:rPr>
          <w:rFonts w:ascii="Times New Roman" w:cs="Times New Roman"/>
          <w:color w:val="000000" w:themeColor="text1"/>
          <w:sz w:val="16"/>
          <w:szCs w:val="16"/>
        </w:rPr>
        <w:t xml:space="preserve"> ВКП(б) завода тов. Ионова, </w:t>
      </w:r>
      <w:r w:rsidRPr="008127F8">
        <w:rPr>
          <w:rStyle w:val="4f3"/>
          <w:rFonts w:ascii="Times New Roman" w:hAnsi="Times New Roman" w:cs="Times New Roman"/>
          <w:b w:val="0"/>
          <w:color w:val="000000" w:themeColor="text1"/>
          <w:sz w:val="16"/>
          <w:szCs w:val="16"/>
        </w:rPr>
        <w:t>сообщаю, что</w:t>
      </w:r>
      <w:r w:rsidRPr="008127F8">
        <w:rPr>
          <w:rFonts w:ascii="Times New Roman" w:cs="Times New Roman"/>
          <w:color w:val="000000" w:themeColor="text1"/>
          <w:sz w:val="16"/>
          <w:szCs w:val="16"/>
        </w:rPr>
        <w:t xml:space="preserve"> наркомат проявил к кон</w:t>
      </w:r>
      <w:r w:rsidRPr="008127F8">
        <w:rPr>
          <w:rFonts w:ascii="Times New Roman" w:cs="Times New Roman"/>
          <w:color w:val="000000" w:themeColor="text1"/>
          <w:sz w:val="16"/>
          <w:szCs w:val="16"/>
        </w:rPr>
        <w:softHyphen/>
      </w:r>
      <w:r w:rsidRPr="008127F8">
        <w:rPr>
          <w:rStyle w:val="4f3"/>
          <w:rFonts w:ascii="Times New Roman" w:hAnsi="Times New Roman" w:cs="Times New Roman"/>
          <w:b w:val="0"/>
          <w:color w:val="000000" w:themeColor="text1"/>
          <w:sz w:val="16"/>
          <w:szCs w:val="16"/>
        </w:rPr>
        <w:t>структору</w:t>
      </w:r>
      <w:r w:rsidRPr="008127F8">
        <w:rPr>
          <w:rFonts w:ascii="Times New Roman" w:cs="Times New Roman"/>
          <w:color w:val="000000" w:themeColor="text1"/>
          <w:sz w:val="16"/>
          <w:szCs w:val="16"/>
        </w:rPr>
        <w:t xml:space="preserve"> Поликарпову и к его кол</w:t>
      </w:r>
      <w:r w:rsidRPr="008127F8">
        <w:rPr>
          <w:rFonts w:ascii="Times New Roman" w:cs="Times New Roman"/>
          <w:color w:val="000000" w:themeColor="text1"/>
          <w:sz w:val="16"/>
          <w:szCs w:val="16"/>
        </w:rPr>
        <w:softHyphen/>
        <w:t>лективу исключительно внимательное отношение. Впервые за все время ра</w:t>
      </w:r>
      <w:r w:rsidRPr="008127F8">
        <w:rPr>
          <w:rFonts w:ascii="Times New Roman" w:cs="Times New Roman"/>
          <w:color w:val="000000" w:themeColor="text1"/>
          <w:sz w:val="16"/>
          <w:szCs w:val="16"/>
        </w:rPr>
        <w:softHyphen/>
        <w:t>боты тов. Поликарпова в авиационной промышленности ему была создана в 1940 году производственная база и все другие условия для плодотвор</w:t>
      </w:r>
      <w:r w:rsidRPr="008127F8">
        <w:rPr>
          <w:rFonts w:ascii="Times New Roman" w:cs="Times New Roman"/>
          <w:color w:val="000000" w:themeColor="text1"/>
          <w:sz w:val="16"/>
          <w:szCs w:val="16"/>
        </w:rPr>
        <w:softHyphen/>
        <w:t>ной работы. Однако, несмотря на боль</w:t>
      </w:r>
      <w:r w:rsidRPr="008127F8">
        <w:rPr>
          <w:rFonts w:ascii="Times New Roman" w:cs="Times New Roman"/>
          <w:color w:val="000000" w:themeColor="text1"/>
          <w:sz w:val="16"/>
          <w:szCs w:val="16"/>
        </w:rPr>
        <w:softHyphen/>
        <w:t>шие затраты государственных средств, т. Поликарпов не дал своевременно в установленные сроки новых машин, имеющих преимущества перед находя</w:t>
      </w:r>
      <w:r w:rsidRPr="008127F8">
        <w:rPr>
          <w:rFonts w:ascii="Times New Roman" w:cs="Times New Roman"/>
          <w:color w:val="000000" w:themeColor="text1"/>
          <w:sz w:val="16"/>
          <w:szCs w:val="16"/>
        </w:rPr>
        <w:softHyphen/>
        <w:t>щимися в серийном производстве са</w:t>
      </w:r>
      <w:r w:rsidRPr="008127F8">
        <w:rPr>
          <w:rFonts w:ascii="Times New Roman" w:cs="Times New Roman"/>
          <w:color w:val="000000" w:themeColor="text1"/>
          <w:sz w:val="16"/>
          <w:szCs w:val="16"/>
        </w:rPr>
        <w:softHyphen/>
        <w:t>молетами. Основная причина - большая разбрасываемость в работе. Поликар</w:t>
      </w:r>
      <w:r w:rsidRPr="008127F8">
        <w:rPr>
          <w:rFonts w:ascii="Times New Roman" w:cs="Times New Roman"/>
          <w:color w:val="000000" w:themeColor="text1"/>
          <w:sz w:val="16"/>
          <w:szCs w:val="16"/>
        </w:rPr>
        <w:softHyphen/>
        <w:t>пов одновременно работал над многи</w:t>
      </w:r>
      <w:r w:rsidRPr="008127F8">
        <w:rPr>
          <w:rFonts w:ascii="Times New Roman" w:cs="Times New Roman"/>
          <w:color w:val="000000" w:themeColor="text1"/>
          <w:sz w:val="16"/>
          <w:szCs w:val="16"/>
        </w:rPr>
        <w:softHyphen/>
        <w:t>ми типами объектов (И-185, СПБ, ИТП, ТИС, планер БДП и др.). Сейчас Поли</w:t>
      </w:r>
      <w:r w:rsidRPr="008127F8">
        <w:rPr>
          <w:rFonts w:ascii="Times New Roman" w:cs="Times New Roman"/>
          <w:color w:val="000000" w:themeColor="text1"/>
          <w:sz w:val="16"/>
          <w:szCs w:val="16"/>
        </w:rPr>
        <w:softHyphen/>
        <w:t>карпов предлагает построить ночной дальний двухмоторный бомбардиров</w:t>
      </w:r>
      <w:r w:rsidRPr="008127F8">
        <w:rPr>
          <w:rFonts w:ascii="Times New Roman" w:cs="Times New Roman"/>
          <w:color w:val="000000" w:themeColor="text1"/>
          <w:sz w:val="16"/>
          <w:szCs w:val="16"/>
        </w:rPr>
        <w:softHyphen/>
        <w:t>щик, учебный самолет и т.д. Парторг ЦК тов. Ионов не понимает ошибок По</w:t>
      </w:r>
      <w:r w:rsidRPr="008127F8">
        <w:rPr>
          <w:rFonts w:ascii="Times New Roman" w:cs="Times New Roman"/>
          <w:color w:val="000000" w:themeColor="text1"/>
          <w:sz w:val="16"/>
          <w:szCs w:val="16"/>
        </w:rPr>
        <w:softHyphen/>
        <w:t>ликарпова и углубляет их».</w:t>
      </w:r>
      <w:r w:rsidRPr="008127F8">
        <w:rPr>
          <w:rStyle w:val="4f1"/>
          <w:rFonts w:ascii="Times New Roman" w:hAnsi="Times New Roman" w:cs="Times New Roman"/>
          <w:i w:val="0"/>
          <w:color w:val="000000" w:themeColor="text1"/>
          <w:sz w:val="16"/>
          <w:szCs w:val="16"/>
        </w:rPr>
        <w:t xml:space="preserve"> Надо ска</w:t>
      </w:r>
      <w:r w:rsidRPr="008127F8">
        <w:rPr>
          <w:rStyle w:val="4f1"/>
          <w:rFonts w:ascii="Times New Roman" w:hAnsi="Times New Roman" w:cs="Times New Roman"/>
          <w:i w:val="0"/>
          <w:color w:val="000000" w:themeColor="text1"/>
          <w:sz w:val="16"/>
          <w:szCs w:val="16"/>
        </w:rPr>
        <w:softHyphen/>
        <w:t>зать, ответ лукавый, с явным намерени</w:t>
      </w:r>
      <w:r w:rsidRPr="008127F8">
        <w:rPr>
          <w:rStyle w:val="4f1"/>
          <w:rFonts w:ascii="Times New Roman" w:hAnsi="Times New Roman" w:cs="Times New Roman"/>
          <w:i w:val="0"/>
          <w:color w:val="000000" w:themeColor="text1"/>
          <w:sz w:val="16"/>
          <w:szCs w:val="16"/>
        </w:rPr>
        <w:softHyphen/>
        <w:t>ем выдать желаемое за действительное. Вскоре на заводе появился новый пар</w:t>
      </w:r>
      <w:r w:rsidRPr="008127F8">
        <w:rPr>
          <w:rStyle w:val="4f1"/>
          <w:rFonts w:ascii="Times New Roman" w:hAnsi="Times New Roman" w:cs="Times New Roman"/>
          <w:i w:val="0"/>
          <w:color w:val="000000" w:themeColor="text1"/>
          <w:sz w:val="16"/>
          <w:szCs w:val="16"/>
        </w:rPr>
        <w:softHyphen/>
        <w:t>торг ЦК ВКП(б) - И.А. Царик (15755).</w:t>
      </w:r>
    </w:p>
    <w:p w14:paraId="042A457C" w14:textId="77777777" w:rsidR="00E359CF" w:rsidRPr="008127F8" w:rsidRDefault="00E359CF" w:rsidP="001E0A84">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p>
    <w:p w14:paraId="64B85B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был первый полет на Пе-8 в Англию (Данди) (1103,227).</w:t>
      </w:r>
    </w:p>
    <w:p w14:paraId="0FA577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52D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вышло Постановление ГКО № 1673 О выпуске форсированных моторов М-105ПФ на заводе № 26. РГАНИР, Фонд ГКО, д. 32, лл. 88 (11012).</w:t>
      </w:r>
    </w:p>
    <w:p w14:paraId="481B11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38C2A" w14:textId="77777777" w:rsidR="00086AC4" w:rsidRPr="008127F8" w:rsidRDefault="00086AC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вышло Постановление ГКО № 1673 О выпуске форсированных моторов М-105ПФ на заводе № 26</w:t>
      </w:r>
    </w:p>
    <w:p w14:paraId="58D51540" w14:textId="77777777" w:rsidR="00086AC4" w:rsidRPr="008127F8" w:rsidRDefault="00086AC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Принять к сведению сообщение директора завода № 26 тов. Баландина, главного конструктора завода № 26 тoв. Климо</w:t>
      </w:r>
      <w:r w:rsidRPr="008127F8">
        <w:rPr>
          <w:rFonts w:ascii="Times New Roman" w:hAnsi="Times New Roman"/>
          <w:color w:val="000000" w:themeColor="text1"/>
          <w:sz w:val="16"/>
          <w:szCs w:val="16"/>
        </w:rPr>
        <w:softHyphen/>
        <w:t>ва, главного инженера завода тoв. Лаврентьева, районного ин</w:t>
      </w:r>
      <w:r w:rsidRPr="008127F8">
        <w:rPr>
          <w:rFonts w:ascii="Times New Roman" w:hAnsi="Times New Roman"/>
          <w:color w:val="000000" w:themeColor="text1"/>
          <w:sz w:val="16"/>
          <w:szCs w:val="16"/>
        </w:rPr>
        <w:softHyphen/>
        <w:t>женера ГУ ВВС КА тов. Белобородова и старшего военного пред</w:t>
      </w:r>
      <w:r w:rsidRPr="008127F8">
        <w:rPr>
          <w:rFonts w:ascii="Times New Roman" w:hAnsi="Times New Roman"/>
          <w:color w:val="000000" w:themeColor="text1"/>
          <w:sz w:val="16"/>
          <w:szCs w:val="16"/>
        </w:rPr>
        <w:softHyphen/>
        <w:t>ставителя завода тов. Смирнова о том. что форсированный мотор М-105ПФ с наддувом нагнетателя до 1050 мм ртутного столба, с усиленными поршневыми пальцами, удовлетворительно прошел iCO-часовые испытания и что завод 26 гарантирует сточасо</w:t>
      </w:r>
      <w:r w:rsidRPr="008127F8">
        <w:rPr>
          <w:rFonts w:ascii="Times New Roman" w:hAnsi="Times New Roman"/>
          <w:color w:val="000000" w:themeColor="text1"/>
          <w:sz w:val="16"/>
          <w:szCs w:val="16"/>
        </w:rPr>
        <w:softHyphen/>
        <w:t>вую работу форсированных моторов  М-105 ПФ со следующиит данны</w:t>
      </w:r>
      <w:r w:rsidRPr="008127F8">
        <w:rPr>
          <w:rFonts w:ascii="Times New Roman" w:hAnsi="Times New Roman"/>
          <w:color w:val="000000" w:themeColor="text1"/>
          <w:sz w:val="16"/>
          <w:szCs w:val="16"/>
        </w:rPr>
        <w:softHyphen/>
        <w:t>ми:</w:t>
      </w:r>
    </w:p>
    <w:p w14:paraId="019D2AF8" w14:textId="77777777" w:rsidR="00086AC4" w:rsidRPr="008127F8" w:rsidRDefault="00086AC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r w:rsidRPr="008127F8">
        <w:rPr>
          <w:rFonts w:ascii="Times New Roman" w:hAnsi="Times New Roman"/>
          <w:color w:val="000000" w:themeColor="text1"/>
          <w:sz w:val="16"/>
          <w:szCs w:val="16"/>
        </w:rPr>
        <w:tab/>
        <w:t>- 1210 л.с.</w:t>
      </w:r>
    </w:p>
    <w:p w14:paraId="05862318" w14:textId="77777777" w:rsidR="00086AC4" w:rsidRPr="008127F8" w:rsidRDefault="00086AC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при работе нагнетателя на пер</w:t>
      </w:r>
      <w:r w:rsidRPr="008127F8">
        <w:rPr>
          <w:rFonts w:ascii="Times New Roman" w:hAnsi="Times New Roman"/>
          <w:color w:val="000000" w:themeColor="text1"/>
          <w:sz w:val="16"/>
          <w:szCs w:val="16"/>
        </w:rPr>
        <w:softHyphen/>
        <w:t>вой скорости на высоте 700 метро</w:t>
      </w:r>
      <w:r w:rsidR="00DE271E"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1260 л.с.</w:t>
      </w:r>
    </w:p>
    <w:p w14:paraId="05FD0FA3" w14:textId="77777777" w:rsidR="00086AC4" w:rsidRPr="008127F8" w:rsidRDefault="00086AC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при работе нагнетателя на второй скорости на высоте 2700 метров</w:t>
      </w:r>
      <w:r w:rsidRPr="008127F8">
        <w:rPr>
          <w:rFonts w:ascii="Times New Roman" w:hAnsi="Times New Roman"/>
          <w:color w:val="000000" w:themeColor="text1"/>
          <w:sz w:val="16"/>
          <w:szCs w:val="16"/>
        </w:rPr>
        <w:tab/>
        <w:t>1180 д.с.</w:t>
      </w:r>
    </w:p>
    <w:p w14:paraId="584D9CDD" w14:textId="77777777" w:rsidR="00086AC4" w:rsidRPr="008127F8" w:rsidRDefault="00086AC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 тов. Шахурина, директора завода № 26 тов. Баландина выпускать, начиная с 1 мая с.г., форсированные моторы М-105ПФ с увеличенным наддувом до 1050 мм ртутного столба, с усиленными поршневыми пальцами, со 100-часовым ресурсом работы моторов, с данными, указанными в пункте первом настоящего постановления (19214).</w:t>
      </w:r>
    </w:p>
    <w:p w14:paraId="3487B124" w14:textId="77777777" w:rsidR="00086AC4" w:rsidRPr="008127F8" w:rsidRDefault="00086AC4" w:rsidP="001E0A84">
      <w:pPr>
        <w:spacing w:after="0" w:line="240" w:lineRule="auto"/>
        <w:jc w:val="both"/>
        <w:rPr>
          <w:rFonts w:ascii="Times New Roman" w:hAnsi="Times New Roman"/>
          <w:color w:val="000000" w:themeColor="text1"/>
          <w:sz w:val="16"/>
          <w:szCs w:val="16"/>
        </w:rPr>
      </w:pPr>
    </w:p>
    <w:p w14:paraId="4155514D"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1942 г. По поста</w:t>
      </w:r>
      <w:r w:rsidRPr="008A2E5A">
        <w:rPr>
          <w:rFonts w:ascii="Times New Roman" w:hAnsi="Times New Roman"/>
          <w:color w:val="0070C0"/>
          <w:sz w:val="16"/>
          <w:szCs w:val="16"/>
        </w:rPr>
        <w:softHyphen/>
        <w:t>новлению ГКО № 1673с завод № 26 (г. Уфа) с 1 мая перешел на выпуск моторов М-105ПФ, как начали называть серийные моторы с повышенным над</w:t>
      </w:r>
      <w:r w:rsidRPr="008A2E5A">
        <w:rPr>
          <w:rFonts w:ascii="Times New Roman" w:hAnsi="Times New Roman"/>
          <w:color w:val="0070C0"/>
          <w:sz w:val="16"/>
          <w:szCs w:val="16"/>
        </w:rPr>
        <w:softHyphen/>
        <w:t>дувом (23381).</w:t>
      </w:r>
    </w:p>
    <w:p w14:paraId="011CC7E6" w14:textId="77777777" w:rsidR="00B238C8" w:rsidRPr="008A2E5A" w:rsidRDefault="00B238C8" w:rsidP="00B238C8">
      <w:pPr>
        <w:spacing w:after="0" w:line="240" w:lineRule="auto"/>
        <w:jc w:val="both"/>
        <w:rPr>
          <w:rFonts w:ascii="Times New Roman" w:hAnsi="Times New Roman"/>
          <w:color w:val="0070C0"/>
          <w:sz w:val="16"/>
          <w:szCs w:val="16"/>
        </w:rPr>
      </w:pPr>
    </w:p>
    <w:p w14:paraId="482D7CA0"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1942 г. Докладная записка руководства завода № 26 Наркомата авиационной промышленности СССР председателю ГКО СССР И. В. Сталину о производстве форсированных моторов 105П</w:t>
      </w:r>
    </w:p>
    <w:p w14:paraId="1412D734"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1D69300"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Вашему указанию для подтверждения надежной работы форсированных моторов 105П1* с усиленными поршневыми пальцами заводом № 26 20 апреля 1942 г. был поставлен на длительное 100-часовое испытание мотор № 225-390. 28 апреля мотор закончил 100-часовое испытание. На всем протяжении 100-часового испытания мотор работал удовлетворительно. Признаков детонации не наблюдалось. За время испытания на форсированных режимах мотор имел следующие показатели: взлетная мощность ^7 1230 л. с., номинальная мощность на первой скорости на высоте 700 м — 1280 л. с., номинальная мощность на второй скорости на высоте 2750 м — 1210 л. с.</w:t>
      </w:r>
    </w:p>
    <w:p w14:paraId="0FD227D1"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удовлетворительной работы мотора в течение 100-часового испытания завод № 26 гарантирует надежную работу серийных моторов 105П с усиленными поршневыми пальцами на наддуве 1050 мм рт. ст. с ресурсом 100 часов1 2*. Серийное производство подготовлено к выпуску с 1 мая форсированных моторов в количествах, определенных графиком на май месяц.</w:t>
      </w:r>
    </w:p>
    <w:p w14:paraId="0C4E34FA"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Докладывая Вам об этом, просим разрешить заводу 26 перейти на выпуск форсированных моторов и утвердить следующую характеристику их3*. При наддуве 1050 мм рт. ст.: взлетная мощность — 1210 л. с., номинальная мощность на первой скорости на высоте 700 м — 1260 л. с., номинальная мощность на второй скорости на высоте 2750 м — 1180 л. с.</w:t>
      </w:r>
    </w:p>
    <w:p w14:paraId="2F530934"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Вашему распоряжению, в целях определения возможности повышения ресурсов свыше 100 часов, завод продолжает дальше длительное испытание мотора 225-390.</w:t>
      </w:r>
    </w:p>
    <w:p w14:paraId="1F94D414"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испытания Вам будут доложены дополнительно.</w:t>
      </w:r>
    </w:p>
    <w:p w14:paraId="2B98C1FB"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26 Баландин В. П.</w:t>
      </w:r>
    </w:p>
    <w:p w14:paraId="1E56954C"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инженер завода Лаврентьев П. Д.</w:t>
      </w:r>
    </w:p>
    <w:p w14:paraId="7AAA59A6"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завода Климов В. Я.</w:t>
      </w:r>
    </w:p>
    <w:p w14:paraId="743E3BB9"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Районный инженер ГУ ВВС КА Белобородов Г. М.</w:t>
      </w:r>
    </w:p>
    <w:p w14:paraId="12862351"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Старший военный представитель на заводе № 26 Смирнов П. А.</w:t>
      </w:r>
    </w:p>
    <w:p w14:paraId="3F059EB0"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36. Л. 205-206. Подлинник; РГАСПИ. Ф. 644. Оп. 2. Д. 55. Л. 112-113. Заверенная копия (23722).</w:t>
      </w:r>
    </w:p>
    <w:p w14:paraId="55A58B9F" w14:textId="77777777" w:rsidR="00B238C8" w:rsidRPr="008A2E5A" w:rsidRDefault="00B238C8" w:rsidP="00B238C8">
      <w:pPr>
        <w:spacing w:after="0" w:line="240" w:lineRule="auto"/>
        <w:jc w:val="both"/>
        <w:rPr>
          <w:rFonts w:ascii="Times New Roman" w:hAnsi="Times New Roman"/>
          <w:color w:val="0070C0"/>
          <w:sz w:val="16"/>
          <w:szCs w:val="16"/>
        </w:rPr>
      </w:pPr>
    </w:p>
    <w:p w14:paraId="4AEA29C1"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1942 г. был подготовлен «Тематический план» НКАП по моторостроению, в котором было указано, что разработка мотора М-92Ф возможна после доведения базового варианта до ресурса М-82А 150 ч, требует создания нового ПЦН и агрегата непосредственного впрыска топлива (вместо карбюраторной системы подачи). Эта тематика была продолжена на модификации М-82ФН, а задание по М-82Ф было изменено.</w:t>
      </w:r>
    </w:p>
    <w:p w14:paraId="1450A689"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Теперь мотор рассматривался как форсированная модификация М-82А, допускавшая работу на взлетном режиме на малой высоте без ограничения времени его использования в полете, мощности и др. данные – см. табл. в конце раздела.</w:t>
      </w:r>
    </w:p>
    <w:p w14:paraId="75118BF1"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этого и обеспечения достаточного ресурса были введены следующие изменения по отношению к конструкции серийного М-82А:</w:t>
      </w:r>
    </w:p>
    <w:p w14:paraId="3D3282E7"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новая система управления форсажем;</w:t>
      </w:r>
    </w:p>
    <w:p w14:paraId="55D4B68D"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 новый привод ПЦН;</w:t>
      </w:r>
    </w:p>
    <w:p w14:paraId="5C6C28DF"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новая маслосистема.</w:t>
      </w:r>
    </w:p>
    <w:p w14:paraId="3C68D132"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начались в декабре 1942 г. Масса по сравнению с М-82А выросла на 20 кг (23571).</w:t>
      </w:r>
    </w:p>
    <w:p w14:paraId="1C2E515E" w14:textId="77777777" w:rsidR="00B238C8" w:rsidRPr="008A2E5A" w:rsidRDefault="00B238C8" w:rsidP="00B238C8">
      <w:pPr>
        <w:spacing w:after="0" w:line="240" w:lineRule="auto"/>
        <w:jc w:val="both"/>
        <w:rPr>
          <w:rFonts w:ascii="Times New Roman" w:hAnsi="Times New Roman"/>
          <w:color w:val="0070C0"/>
          <w:sz w:val="16"/>
          <w:szCs w:val="16"/>
        </w:rPr>
      </w:pPr>
    </w:p>
    <w:p w14:paraId="37F453B2"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1942 г. Докладная записка руководства завода № 26 Наркомата авиационной промышленности СССР председателю ГКО СССР И. В. Сталину о производстве форсированных моторов 105П116</w:t>
      </w:r>
    </w:p>
    <w:p w14:paraId="333BB79F"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5000E14"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Вашему указанию для подтверждения надежной работы форсированных моторов 105П с усиленными поршневыми пальцами заводом № 26 20 апреля 1942 г. был поставлен на длительное 100-часовое испытание мотор № 225-390. 28 апреля мотор закончил 100-часовое испытание. На всем протяжении 100-часового испытания мотор работал удовлетворительно. Признаков детонации не наблюдалось. За время испытания на форсированных режимах мотор имел следующие показатели: взлетная мощность ^7 1230 л. с., номинальная мощность на первой скорости на высоте 700 м — 1280 л. с., номинальная мощность на второй скорости на высоте 2750 м — 1210 л. с.</w:t>
      </w:r>
    </w:p>
    <w:p w14:paraId="3E28DB66"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удовлетворительной работы мотора в течение 100-часового испытания завод № 26 гарантирует надежную работу серийных моторов 105П с усиленными поршневыми пальцами на наддуве 1050 мм рт. ст. с ресурсом 100 часов1 2*. Серийное производство подготовлено к выпуску с 1 мая форсированных моторов в количествах, определенных графиком на май месяц.</w:t>
      </w:r>
    </w:p>
    <w:p w14:paraId="4075B27E"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Докладывая Вам об этом, просим разрешить заводу 26 перейти на выпуск форсированных моторов и утвердить следующую характеристику их3*. При наддуве 1050 мм рт. ст.: взлетная мощность — 1210 л. с., номинальная мощность на первой скорости на высоте 700 м — 1260 л. с., номинальная мощность на второй скорости на высоте 2750 м — 1180 л. с.</w:t>
      </w:r>
    </w:p>
    <w:p w14:paraId="7E4D6ED3"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Вашему распоряжению, в целях определения возможности повышения ресурсов свыше 100 часов, завод продолжает дальше длительное испытание мотора 225-390.</w:t>
      </w:r>
    </w:p>
    <w:p w14:paraId="7BA199CC"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испытания Вам будут доложены дополнительно117.</w:t>
      </w:r>
    </w:p>
    <w:p w14:paraId="01961EC6"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26 Баландин В. П.</w:t>
      </w:r>
    </w:p>
    <w:p w14:paraId="7727488D"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инженер завода Лаврентьев П. Д.</w:t>
      </w:r>
    </w:p>
    <w:p w14:paraId="39173306"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завода Климов В. Я.</w:t>
      </w:r>
    </w:p>
    <w:p w14:paraId="4A0D3E7A"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Районный инженер ГУ ВВС КА Белобородов Г. М.</w:t>
      </w:r>
    </w:p>
    <w:p w14:paraId="7922AB3A"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Старший военный представитель на заводе № 26 Смирнов П. А.</w:t>
      </w:r>
    </w:p>
    <w:p w14:paraId="420FD944"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36. Л. 205-206. Подлинник; РГАСПИ. Ф. 644. Оп. 2. Д. 55.</w:t>
      </w:r>
    </w:p>
    <w:p w14:paraId="750ECFA8" w14:textId="77777777" w:rsidR="00B238C8" w:rsidRPr="008A2E5A" w:rsidRDefault="00B238C8" w:rsidP="00B23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112-113. Заверенная копия (23774).</w:t>
      </w:r>
    </w:p>
    <w:p w14:paraId="54414496" w14:textId="77777777" w:rsidR="00B238C8" w:rsidRPr="008A2E5A" w:rsidRDefault="00B238C8" w:rsidP="00B238C8">
      <w:pPr>
        <w:spacing w:after="0" w:line="240" w:lineRule="auto"/>
        <w:jc w:val="both"/>
        <w:rPr>
          <w:rFonts w:ascii="Times New Roman" w:hAnsi="Times New Roman"/>
          <w:color w:val="0070C0"/>
          <w:sz w:val="16"/>
          <w:szCs w:val="16"/>
        </w:rPr>
      </w:pPr>
    </w:p>
    <w:p w14:paraId="54A374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вышло Постановление ГКО № 1674 О т. Штыкове Т.Ф. РГАНИР, Фонд ГКО, д. 32, лл. 89 (11012).</w:t>
      </w:r>
    </w:p>
    <w:p w14:paraId="1DC62F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7810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18F10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052685"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28 апреля 1942 г. на заводе </w:t>
      </w:r>
      <w:r>
        <w:rPr>
          <w:rFonts w:ascii="Times New Roman" w:hAnsi="Times New Roman"/>
          <w:color w:val="0070C0"/>
          <w:sz w:val="16"/>
          <w:szCs w:val="16"/>
        </w:rPr>
        <w:t>№</w:t>
      </w:r>
      <w:r w:rsidRPr="008A2E5A">
        <w:rPr>
          <w:rFonts w:ascii="Times New Roman" w:hAnsi="Times New Roman"/>
          <w:color w:val="0070C0"/>
          <w:sz w:val="16"/>
          <w:szCs w:val="16"/>
        </w:rPr>
        <w:t xml:space="preserve"> 112 было принято решение о подготовке завода к производству своих гусеничных траков. Предусматривалось обеспечить отливку 150 комплектов траков в мае, и начиная с 1 июня полностью обеспечить программу по выпуску танков (РГАЭ. Ф. 8752. Оп. 1. Д. 9. Л. 110.).</w:t>
      </w:r>
    </w:p>
    <w:p w14:paraId="55A3A5F7"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 г. металлургическое производство «Красного Сормова» пополнилось цехом № 7 по производству литых траков. Установлены три электропечи с высоковольтными установками и автоматами; изготовлены механизмы выбойки - вибраторы, вибрационные решетки, пневматические толкатели бункера течки и транспортеры для перевозки отработанной земли. Проложен туннель для транспортеров отработанной земли общей протяженностью 50 метров (ЦАНО. Ф. Р-15. Оп. 4. Д. 183. Л. 15-15об.). В 1943 г. было полностью освоено поточное производство отливки траков из стали Гатфильда в электрических печах (Подробнее см.</w:t>
      </w:r>
      <w:proofErr w:type="gramStart"/>
      <w:r w:rsidRPr="008A2E5A">
        <w:rPr>
          <w:rFonts w:ascii="Times New Roman" w:hAnsi="Times New Roman"/>
          <w:color w:val="0070C0"/>
          <w:sz w:val="16"/>
          <w:szCs w:val="16"/>
        </w:rPr>
        <w:t>: Во имя</w:t>
      </w:r>
      <w:proofErr w:type="gramEnd"/>
      <w:r w:rsidRPr="008A2E5A">
        <w:rPr>
          <w:rFonts w:ascii="Times New Roman" w:hAnsi="Times New Roman"/>
          <w:color w:val="0070C0"/>
          <w:sz w:val="16"/>
          <w:szCs w:val="16"/>
        </w:rPr>
        <w:t xml:space="preserve"> победы. - С. 144-146.).</w:t>
      </w:r>
    </w:p>
    <w:p w14:paraId="0222D31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Сормовские траки до конца войны отливались в земляные формы. Это вызывало свои специфические трудности. В частности, в траколитейном цехе отсутствовала очистка вторичной формовочной земли от скрапа (металлических отходов производства). Проникая через выбивные решетки, скрап рвал конвейерные ленты и выводил из строя механизмы конвейеров и подъемников. А эти аварии вызывали продолжительные простои цеха (Магид, А.С. Корабелы делают танки. - С. 84.).</w:t>
      </w:r>
    </w:p>
    <w:p w14:paraId="0D0800F4"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Имевшиеся кадры сталеваров и литейщиков мало были знакомы с отливкой качественной стали и совсем не знакомы с производством брони. Для оказания технической помощи на завод были присланы опытные мартеновцы Кулебакского и Мариупольского заводов. «Красное Сормово» приступил к подготовке кадров сталеваров в школах ФЗО и кружках повышения квалификации. Выпускники этих школ постепенно переходили на работу в цехах.</w:t>
      </w:r>
    </w:p>
    <w:p w14:paraId="071958F4"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Именно в литейном производстве в октябре 1941 г. возникла первая на заводе «Красное Сормово» фронтовая бригада. Возглавил ее молодой формовщик Николай Щербина (История Красного Сормова. - С. 405.) (23540).</w:t>
      </w:r>
    </w:p>
    <w:p w14:paraId="7276379C" w14:textId="77777777" w:rsidR="0066141A" w:rsidRPr="008A2E5A" w:rsidRDefault="0066141A" w:rsidP="0066141A">
      <w:pPr>
        <w:spacing w:after="0" w:line="240" w:lineRule="auto"/>
        <w:jc w:val="both"/>
        <w:rPr>
          <w:rFonts w:ascii="Times New Roman" w:hAnsi="Times New Roman"/>
          <w:color w:val="0070C0"/>
          <w:sz w:val="16"/>
          <w:szCs w:val="16"/>
        </w:rPr>
      </w:pPr>
    </w:p>
    <w:p w14:paraId="3C40485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28-29 апреля 1942 г. Доклад заместителя наркома государственного контроля СССР В. Ф. Попова заместителю председателя СНК СССР В. М. Молотову «О состоянии производства танков Т-34 на заводах Наркомтанкопрома»</w:t>
      </w:r>
    </w:p>
    <w:p w14:paraId="092447D7"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FE4BDD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Наркомат государственного контроля Союза ССР в апреле сего года проверил деятельность заводов Наркомтанкопрома, выпускающих танки Т-34, — СТЗ, № 112 и № 183. Несмотря на то, что производственные возможности указанных заводов, как по обеспечению оборудованием, производственными площадями, так и по наличию рабочей силы, обеспечивали выполнение задания по выпуску танков, однако ни один завод план I квартала 1942 г. не выполнил. Состояние производства танков Т-34 по заводам характеризуется следующим.</w:t>
      </w:r>
    </w:p>
    <w:p w14:paraId="1554174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183</w:t>
      </w:r>
    </w:p>
    <w:p w14:paraId="560D0841"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выпуска танков Т-34 в I квартале с. г. выполнен заводом № 183 на 28,7%, в том числе в марте сего года — на 42,5%. Проверкой установлено, что основными причинами невыполнения плана являются неподготовленность заготовительных и механических цехов завода к крупносерийному выпуску танков и низкая квалификация рабочих.</w:t>
      </w:r>
    </w:p>
    <w:p w14:paraId="4D02982E"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Технологическая расстановка оборудования в основных механических цехах № 110 и 119 произведена по групповому признаку, без учета создания массово-поточных линий обработки деталей. Технологические процессы по механической обработке деталей разработаны на основе применения универсального оборудования.</w:t>
      </w:r>
    </w:p>
    <w:p w14:paraId="7794EC2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Такая расстановка оборудования и существующий технологический процесс создают возвратное движение деталей по цеху, увеличивают цикл из обработки, затрудняют работу мастеров по контролю за выпуском деталей и требуют применения труда высококвалифицированных рабочих.</w:t>
      </w:r>
    </w:p>
    <w:p w14:paraId="2733C2DF"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Наркомтанкопром, издав приказ № 70с от 9 декабря 1941 г. о внедрении в танковое производство на заводе № 183 автотракторной (поточно-массовой) технологии, никаких конкретных сроков внедрения этой технологии в производство, изготовления потребной оснастки и последовательности перехода цехов на работу по новой технологии не установил. Бригада инженеров-технологов ЭНИМСа по переработке технологии применительно к крупносерийному выпуску приступила к работе на заводе № 183 лишь в январе месяце, закончив до 1 апреля переработку технологии только по цехам 110, 119 и 715. Из руководящих работников производственного и технического отделов наркомата на заводе никто не был, и поэтому эти отделы не могли оказывать конкретную помощь заводу в разрешении принципиальных технических вопросов, связанных с крупносерийным выпуском танков Т-34.</w:t>
      </w:r>
    </w:p>
    <w:p w14:paraId="07C7BBDB"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Практические работы по подготовке производства и технологической оснастки к крупносерийному выпуску танков Т-34 и специализации основных танковых механосборочных цехов на заводе начаты лишь в феврале-марте месяцах 1942 г. Недостаточная оснастка производства приспособлениями и инструментом, а также отсутствие технологических процессов, рассчитанных на простую операционную обработку деталей, приводят к массовому невыполнению норм выработки рабочими. По состоянию на 15 марта 1942 г.5* в механических цехах имелось до 38% производственных рабочих, не вырабатывающих норм. Если принять во внимание, что 75% норм являются не расчетными, а опытно-статистическими, то такое положение с выполнением норм выработки является особенно угрожающим.</w:t>
      </w:r>
    </w:p>
    <w:p w14:paraId="147E880B"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указанными причинами на невыполнение плана выпуска танков Т-34 оказывает влияние и организационная неналаженность работы цехов завода. Использование оборудования крайне недостаточно. Проведенная фотография рабочего дня показала, что полезная работа оборудования в прессовом цехе составляет 65,4% и тяжелых молотов в кузнечном цехе — 55%1*. В 113 отделении цеха № 119 полезная работа револьверных станков составила 69% и карусельных 57,5%, в то время как это отделение является узким местом в работе цеха.</w:t>
      </w:r>
    </w:p>
    <w:p w14:paraId="5535CC6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Оснащенность цехов подъемно-транспортными средствами недостаточна. Механический цех № 110, длиной 270 м, имеющий 180 станков и обрабатывающий детали весом более 40 кг, обслуживается лишь двумя мостовыми кранами. В броневых цехах корпусного производства из 10 мостовых кранов, которые необходимо было дополнительно установить, установлено только 2 крана. Необеспеченность цехов подъемнотранспортными средствами затрудняет работу и вызывает излишний простой оборудования и рабочих.</w:t>
      </w:r>
    </w:p>
    <w:p w14:paraId="0BEFBDC0"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Заготовительные и механические цеха работают крайне неравномерно, что приводит к некомплектной подаче узлов на сборочный конвейер. Для обеспечения выполнения графика выпуска танков в сборке на конвейере должно находиться не менее 35 машин.</w:t>
      </w:r>
    </w:p>
    <w:p w14:paraId="074F2DEB"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Фактически же подача узлов на конвейер не обеспечивает сборку такого количества машин. </w:t>
      </w:r>
    </w:p>
    <w:p w14:paraId="03A1489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апреля сборочный цех был обеспечен топливными баками лишь на 20 машин, ведущими колесами на 26 машин, коробками перемены передач на 33 машины.</w:t>
      </w:r>
    </w:p>
    <w:p w14:paraId="5D69C55B"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112</w:t>
      </w:r>
    </w:p>
    <w:p w14:paraId="3DC5165D"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выпуска танков Т-34 в I квартале 1942 г. заводом выполнен всего на 52%.</w:t>
      </w:r>
    </w:p>
    <w:p w14:paraId="4CF7D39D"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из месяца в месяц понижает выпуск танков. В январе выпущено 134 танка, в феврале — 131 и в марте — 129 танков.</w:t>
      </w:r>
    </w:p>
    <w:p w14:paraId="5A7E021A"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невыполнения плана выпуска танков Т-34 явилось отсутствие порядка в организации работы металлургических цехов, повлекшее за собой невыполнение плана производства стального литья и металла для механических цехов завода. Отсутствие отработанного технологического процесса на выплавку сталей привело к большему количеству случаев отливок не по химическому анализу и не в соответствии с техническими условиями. В сталелитейном цехе № 20 за 2 месяца и 20 дней марта сего года имелось 124 случая, или 24,3%, непопадания плавок в химанализ.</w:t>
      </w:r>
    </w:p>
    <w:p w14:paraId="2F23980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фасонно-сталелитейном цехе № 21 в марте месяце была выплавлена сталь 8с для заливки башен в несоответствии с техническими условиями по углероду, марганцу и кремнию, вследствие чего отлитые три башни из этого металла пошли в брак. В этом же цехе в марте сего года было выпущено 6 плавок стали марки Л-2 для барабанов, кронштейнов и картеров с непопаданием в химанализ по углероду, в результате чего металл этих плавок был также забракован. Из-за отсутствия должного внимания мастеров за температурным режимом плавок № 50045 стали марки 8с и № 60096 стали марки Л-2 в количестве 25 т также пошли в брак. Обрубное отделение фасонно-сталелитейного цеха № 21 никакой механизации не имеет. Ранее действовавший транспортер и выбивные решетки для удаления отработанной земли из форм засыпаны землей и не работают. Отделение завалено и захламлено отходами производства. В результате такого неудовлетворительного состояния производства металлургических цехов и большого количества брака план I квартала выплавки стали выполнен на 59,5% и стального литья на 62,3%.</w:t>
      </w:r>
    </w:p>
    <w:p w14:paraId="038B422C"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Металлургические цеха совершенно недостаточно оснащены изложницами, опоками и моделями и находятся в крайне запущенном состоянии. Мартеновскому цеху № 19 требуется 100 пгг. изложниц, фактически имеется 89 шт., из них 81 шт. по износу требует замены. Мартеновскому цеху № 20 требуется изложниц 160 шт., имеется же 64 шт., мульд требуется 120 шт., имеется же только 23 шт. Сталефасонному цеху № 7 требуется моделей 51 шт., имеется в наличии 46 шт., из них 12 находятся в ремонте.</w:t>
      </w:r>
    </w:p>
    <w:p w14:paraId="1076435E"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отливки бронедеталей требуется 160 шт. опок, а имеется 111 опок, в том числе 87 опок по физическому износу и разным дефектам требуют замены.</w:t>
      </w:r>
    </w:p>
    <w:p w14:paraId="2403152A"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СНК СССР № 2278-1042сс от 23 декабря 1941 г. завод обязан был организовать производство траков для танка Т-34 и с 1 апреля 1942 г. обеспечить их выпуск на 10 танков ежесуточно. Выполнение этого постановления завод игнорировал и до настоящего времени производство траков для обеспечения своего выпуска танков не организовал. Имеющаяся электропечь для выплавки стали для траков используется неполностью. Из-за разрушения форм при транспортировке по рольгангам и несвоевременной заливки металла завод выпускает своих траков в среднем только 0,4 комплекта в сутки. Для обеспечения 10 комплектов гусениц цех не оборудован рольгангами или транспортером для заливки, не изготовлены встряхивающие решетки для выбойки форм, не установлены и не оборудованы имеющиеся две пары формовочных станков.</w:t>
      </w:r>
    </w:p>
    <w:p w14:paraId="254F9F96"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отсутствия траков в марте сего года не были отправлены на фронт 72 танка Т-34.</w:t>
      </w:r>
    </w:p>
    <w:p w14:paraId="7AAA013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неподачи из месяца в месяц металла и литья вполне подготовленные заводы-смежники № 114,176 и ГАЗ систематически недодают детали и узлы заводу № 112.</w:t>
      </w:r>
    </w:p>
    <w:p w14:paraId="66FDEFB3"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Сталинградскому тракторному заводу</w:t>
      </w:r>
    </w:p>
    <w:p w14:paraId="36E199F1"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этом заводе организация производства танков Т-34 поставлена значительно лучше, чем на заводах № 183 и 1126*. План выпуска танков в I квартале с. г. СТЗ выполнен на 75%.</w:t>
      </w:r>
    </w:p>
    <w:p w14:paraId="07DB8C5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Невыполнение плана выпуска танков объясняется главным образом плохой доставкой различных материалов и изделий железными дорогами. Так, из 650 вагонов с остродефицитными грузами (вооружение, поковки коленчатых валов, топливная аппаратура, электроды, разные трубы, листовая сталь, латунная лента и др.), отправленных в адрес СТЗ еще в IV квартале 1941 г. и в I квартале 1942 г., по состоянию на 2 апреля с. г. прибыло на завод всего лишь 249 вагонов. Собранные и испытанные пробегом в марте сего года 97 танков не были отгружены из-за отсутствия артсистем.</w:t>
      </w:r>
    </w:p>
    <w:p w14:paraId="0CA2CA2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дефицитом ряда материалов заделы по решающим деталям и узлам танка на заводе отсутствуют. Так, систематически находятся в дефиците радиаторы, бортфрикционы, траки, ведущие и поддерживающие колеса, балансиры, кривошипы, ленивцы и коробки перемены передач. При бесперебойном снабжении завода последний имеет полную возможность выпускать 15 танков Т-34 ежедневно.</w:t>
      </w:r>
    </w:p>
    <w:p w14:paraId="5C31317F"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Головным заводом по производству танков Т-34 является завод № 183, с которым остальные заводы обязаны согласовывать все конструктивные изменения узлов и деталей танка Т-34. Практически вносимые изменения в конструкцию деталей заводами № 112 и СТЗ с заводом № 183 не согласовываются. В результате этого один и тот же тип танка Т-34, изготовленный на СТЗ или заводе № 112, имеет отдельные невзаимозаменяемые детали с танком, изготовленным на заводе № 183</w:t>
      </w:r>
    </w:p>
    <w:p w14:paraId="6644C95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выполнения плана производства танков Т-34 необходимо обязать Наркомтанкопром навести порядок в организации производства на заводах № 183 и 112, особенно обратив внимание на организацию крупносерийного выпуска танков, создав на этих заводах поточные линии обработки деталей. Необходимо также обязать НКТП и ГАБТУ КА в самый короткий срок рассмотреть все конструктивные изменения в узлах и деталях танка, внесенные отдельными заводами, и утвердить чертежи и техусловия на танки, выпускаемые в 1942 г. В дальнейшем категорически запретить вносить какие бы то ни было изменения в конструкцию деталей и узлов машины без ведома НКТП, ГАБТУ и ведущего завода № 183.</w:t>
      </w:r>
    </w:p>
    <w:p w14:paraId="77ED50F7"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 государственного контроля Союза ССР организовал оперативный контроль за поставками для танковых заводов материалов и изделий. На важнейшие заводы НКЧМ, НКЦМ, НКЭП, НКСМ и других наркоматов посланы старшие и главные контролеры НКГК с задачей принимать на месте меры к полному обеспечению поставок НКТП. Для продвижения грузов НКТП Наркомат государственного контроля Союза ССР командировал на отделения основных дорог свыше 40 чел. контролеров.</w:t>
      </w:r>
    </w:p>
    <w:p w14:paraId="66481AAD"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Попов</w:t>
      </w:r>
    </w:p>
    <w:p w14:paraId="77343DEE"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Резолюция: «Ознакомить т. Малышева. В. Молотов. 29 апреля».</w:t>
      </w:r>
    </w:p>
    <w:p w14:paraId="2A38C08F"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82. Оп. 2. Д. 573. Л. 240-245. Подлинник (24001).</w:t>
      </w:r>
    </w:p>
    <w:p w14:paraId="5E3FF368" w14:textId="77777777" w:rsidR="0066141A" w:rsidRPr="008A2E5A" w:rsidRDefault="0066141A" w:rsidP="0066141A">
      <w:pPr>
        <w:spacing w:after="0" w:line="240" w:lineRule="auto"/>
        <w:jc w:val="both"/>
        <w:rPr>
          <w:rFonts w:ascii="Times New Roman" w:hAnsi="Times New Roman"/>
          <w:color w:val="0070C0"/>
          <w:sz w:val="16"/>
          <w:szCs w:val="16"/>
        </w:rPr>
      </w:pPr>
    </w:p>
    <w:p w14:paraId="0881F8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вышло Постановление ГКО № 1671 О производстве полугусеничных автомашин ЗИС-42. РГАНИР, Фонд ГКО, д. 32, лл. 85 (11012).</w:t>
      </w:r>
    </w:p>
    <w:p w14:paraId="7D3692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4D5B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1942 года вышло постановление ГКО №1671с "О производстве полугусеничных автомашин ЗИС-42". Предполагалось, что первые ЗИС-42 сдадут в августе 1942 года, реально выпускать стали с октября. Машина была нужна, прежде всего, как артиллерийский тягач (24169).</w:t>
      </w:r>
    </w:p>
    <w:p w14:paraId="75581C34" w14:textId="77777777" w:rsidR="0066141A" w:rsidRPr="008A2E5A" w:rsidRDefault="0066141A" w:rsidP="0066141A">
      <w:pPr>
        <w:spacing w:after="0" w:line="240" w:lineRule="auto"/>
        <w:jc w:val="both"/>
        <w:rPr>
          <w:rFonts w:ascii="Times New Roman" w:hAnsi="Times New Roman"/>
          <w:color w:val="0070C0"/>
          <w:sz w:val="16"/>
          <w:szCs w:val="16"/>
        </w:rPr>
      </w:pPr>
    </w:p>
    <w:p w14:paraId="319A72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вышло Постановление ГКО № 1672 Об изготовлении комплексных зенитных установок под пулемет Браунинга калибра 7,71 мм. РГАНИР, Фонд ГКО, д. 32, лл. 86-87 (11012).</w:t>
      </w:r>
    </w:p>
    <w:p w14:paraId="0D2C20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5715B"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года вышел приказ № 205с НКБ</w:t>
      </w:r>
    </w:p>
    <w:p w14:paraId="2D3A95E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62 4 Гл. управления в Ярославле присвоить № 599</w:t>
      </w:r>
    </w:p>
    <w:p w14:paraId="3B94F99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510а 5 Гл. управления в Ногинске присвоить № 548</w:t>
      </w:r>
    </w:p>
    <w:p w14:paraId="5D38AED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513 5 Гл. управления в Ростове на Дону присвоить № 359</w:t>
      </w:r>
    </w:p>
    <w:p w14:paraId="6298276D"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260 2 Гл. управления во Владимире присвоить № 521</w:t>
      </w:r>
    </w:p>
    <w:p w14:paraId="022D58B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530а 2 Гл. управления ст. Железнодорожная присвоить № 604</w:t>
      </w:r>
    </w:p>
    <w:p w14:paraId="20B12F56"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513а 5 Гл. управления в Омске присвоить № 513</w:t>
      </w:r>
    </w:p>
    <w:p w14:paraId="4871BB54"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260а 2 Гл. управления присвоить № 260 (5806, 224).</w:t>
      </w:r>
    </w:p>
    <w:p w14:paraId="4E2C622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BD52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года Приказом НКБ № 205с завод № 260 был переименован в завод № 521 (10118).</w:t>
      </w:r>
    </w:p>
    <w:p w14:paraId="5523E8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2C7E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30AE5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18BBC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в 1942 году утреннее сообщение Совинформбюро:</w:t>
      </w:r>
    </w:p>
    <w:p w14:paraId="33E90DD9"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28 апреля на фронте ничего существенного не произошло.</w:t>
      </w:r>
    </w:p>
    <w:p w14:paraId="0EC5130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последних двух дней немцы, подтянув резервы, пытались вклиниться в расположение наших войск на ряде участков Западного фронта. Неоднократные атаки противника, поддержанные авиацией и танками, были отбиты нашими частями с большими для немцев потерями. Наши пехотинцы и артиллеристы уничтожили свыше 1.000 немецких солдат и офицеров, 2 танка, 4 орудия и много пулемётов. Захвачены трофеи и пленные.</w:t>
      </w:r>
    </w:p>
    <w:p w14:paraId="3977BB2D"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Поздняка (Калининский фронт) разрушила 20 немецких ДЗОТов, 5 блиндажей с пехотой и уничтожила 8 станковых пулемётов. Немцы потеряли убитыми свыше 200 солдат и офицеров. На другом участке гвардейская часть, где командиром тов. Серебряков, в боях за населённый пункт С. уничтожила 5 немецких орудий, 2 танка, 12 пулемётов, 3 автоматические пушки, 7 автомашин и вывела из строя миномётную батарею. На поле боя осталось около 350 убитых гитлеровцев.</w:t>
      </w:r>
    </w:p>
    <w:p w14:paraId="415479B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разведывательный отряд, действующий в тылу противника, внезапно напав на немецкий гарнизон в деревне В., уничтожил немецкий танк и трактор-тягач, взорвал склад с боеприпасами и истребил несколько десятков гитлеровцев.</w:t>
      </w:r>
    </w:p>
    <w:p w14:paraId="60CDA56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самолёт пытался бомбить один из наших аэродромов. Младший сержант А.Соколов огнём из зенитного пулемёта подбил немецкий бомбардировщик. Экипаж самолёта погиб.</w:t>
      </w:r>
    </w:p>
    <w:p w14:paraId="4C4EAD3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партизанских отрядов, действующих в одном из районов Орловской области, в марте уничтожили 433 и ранили около 200 немецко-фашистских оккупантов. Партизаны взорвали 4 моста, уничтожили 13 автомашин и захватили у противника пушку, 6 пулемётов, 80 винтовок, 18 автоматов и 5 пистолетов. 13 апреля партизаны организовали крушение немецкого воинского состава.</w:t>
      </w:r>
    </w:p>
    <w:p w14:paraId="0158FB0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11 роты 100 полка 5 немецкой горно-стрелковой дивизии Иозеф Пеер рассказал: «До декабря прошлого года 5 горно-стрелковая дивизия находилась в Греции, где мы охраняли военные объекты и побережье. В декабре дивизию перебросили в Германию, а в марте срочно отправили на советско-германский фронт. Наш батальон прибыл на передовые позиции 29 марта. Перед вводом в бой все подразделения были проинструктированы о методах борьбы с русскими танками. Нам было приказано оставаться в окопах, стрелять по смотровым щелям и забрасыватьтанки связками гранат. Первое боевое крещение было весьма неприятным. Кругом рвались мины и снаряды, на деревьях сидели русские снайперы, которые стреляли редко, но всегда попадали в цель. Многие солдаты при появлении русских танков в панике побежали, и офицеры начали стрелять по своим».</w:t>
      </w:r>
    </w:p>
    <w:p w14:paraId="4DA38E77"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посёлка Думиничи, Смоленской области, тт. Фарафонтова, Дубровский, Лосева, Бирюков, Короткое и Зирова, составили акт о чудовищном преступлении немецко-фашистских извергов. Гитлеровцы заперли рабочего завода «Революционер» Николая Сергеевича Зенина, его жену, 14-летнего сына Сергея, 19-летнюю дочь Зинаиду и 4-летнюю Нину в их доме, заколотили окна и двери и взорвали дом. Вся семья Зениных погибла.</w:t>
      </w:r>
    </w:p>
    <w:p w14:paraId="169D5149"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железнодорожной линии Мизил — Бузэу (Румыния) ночью 17 апреля был обстрелян бронебойно-зажигательными пулями состав с горючим, направлявшийся на советско-германский фронт. Уничтожено 8 цистерн с бензином.» (15113).</w:t>
      </w:r>
    </w:p>
    <w:p w14:paraId="2C442B99"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4E494A6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в 1942 году вечернее сообщение Совинформбюро:</w:t>
      </w:r>
    </w:p>
    <w:p w14:paraId="6CB7FF46"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28 апреля на фронте существенных изменений не произошло.</w:t>
      </w:r>
    </w:p>
    <w:p w14:paraId="69C9008F"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апреля уничтожено 20 немецких самолётов. Наши потери — 12 самолётов.</w:t>
      </w:r>
    </w:p>
    <w:p w14:paraId="5F276FF3"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апреля частями нашей авиации уничтожено или повреждено 10 немецких танков, свыше 60 автомашин с войсками и грузами, 40 повозок с боеприпасами, 11 бензозаправщиков, 2 прожектора, 7 полевых и зенитных орудий, 12 зенитно-пулемётных точек, взорваны 4 склада с боеприпасами, разбит железнодорожный состав, рассеяно и частью уничтожено до пяти рот пехоты противника.</w:t>
      </w:r>
    </w:p>
    <w:p w14:paraId="06FE9CBD"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продвинулись вперёд и улучшили свои позиции. Противник потерял убитыми свыше 400 солдат и офицеров. Огнём полевой артиллерии сбит немецкий бомбардировщик. На другом участке наши бойцы отбили контратаку немцев. На поле боя осталось 200 вражеских трупов. Захвачены у противника 72 автомата, 10 пулемётов, 2 миномёта, винтовки, патроны и боеприпасы.</w:t>
      </w:r>
    </w:p>
    <w:p w14:paraId="70CFC1DE"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красноармейцев под командованием лейтенанта Кононенко проник в тыл противника и организовал засаду в лесу, около шоссейной дороги, по которой двигалась немецкая воинская часть. Ударив по врагу с тыла, отряд т. Кононенко уничтожил 80 гитлеровцев, захватил 3 станковых и 7 ручных пулемётов, 30 винтовок и 4.000 патронов. Взяты пленные.</w:t>
      </w:r>
    </w:p>
    <w:p w14:paraId="6D4D5F3A"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Тридцать немецких автоматчиков пытались ударить во фланг одного нашего подразделения. Гвардеец-пулемётчик тов. Семиряков, близко подпустив гитлеровцев, встретил их метким огнём. Оставив 12 убитых, немецкие автоматчики в беспорядке отступили.</w:t>
      </w:r>
    </w:p>
    <w:p w14:paraId="4C4B1E65"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украинских партизан под командованием тов. В. совершила налёт на венгерский карательный отряд, прибывший в одно село. В завязавшейся схватке партизаны истребили 42 вражеских солдата. Остальные бежали. Взяты трофеи: радиостанция, станковый и несколько ручных пулемётов, 10.000 патронов, два ящика гранат и 25 винтовок.</w:t>
      </w:r>
    </w:p>
    <w:p w14:paraId="78D9D8F0"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29 мотоциклетного батальона 29 немецкой моторизованной дивизии Вилли Шадт рассказал: «К началу войны против СССР 29 дивизия насчитывала 12.000 человек. Согласно официальным сообщениям командования, дивизия потеряла убитыми 6.500 человек. Сейчас дивизия фактически распалась. От неё остались лишь разрозненные части. Наш батальон был мотоциклетным, а теперь стал пехотным, так как потерял все мотоциклы. Тяжёлый урон нанесла нам русская авиация. За последние две недели батальон потерял убитыми и ранеными 175 солдат. Много солдат потерялось и пропало без вести».</w:t>
      </w:r>
    </w:p>
    <w:p w14:paraId="58645DA1"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занятии нашими частями деревни О. была взята в плен группа немецких солдат. Один из пленных, Эберхарт, рассказал: "В моём батальоне, недавно прибывшем на фронт, осталась только половина личного состава. Солдаты не хотят воевать и с нетерпением ждут конца войны. По дороге на фронт застрелился унтер-офицер Кауль, не желавший воевать против России. Солдаты говорят между собой, что если война не закончится в ближайшие месяцы, то Гитлеру и его приближённым будет капут».</w:t>
      </w:r>
    </w:p>
    <w:p w14:paraId="1D68DFCD"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Финские газеты вынуждены признать позорный провал государственных займов, с помощью которых финские лакеи Гитлера пытались мобилизовать средства для продолжения преступной войны против СССР. «Суомен сосиалидемокраатти» </w:t>
      </w:r>
      <w:proofErr w:type="gramStart"/>
      <w:r w:rsidRPr="008127F8">
        <w:rPr>
          <w:rFonts w:ascii="Times New Roman" w:hAnsi="Times New Roman"/>
          <w:color w:val="000000" w:themeColor="text1"/>
          <w:sz w:val="16"/>
          <w:szCs w:val="16"/>
        </w:rPr>
        <w:t>указывает,что</w:t>
      </w:r>
      <w:proofErr w:type="gramEnd"/>
      <w:r w:rsidRPr="008127F8">
        <w:rPr>
          <w:rFonts w:ascii="Times New Roman" w:hAnsi="Times New Roman"/>
          <w:color w:val="000000" w:themeColor="text1"/>
          <w:sz w:val="16"/>
          <w:szCs w:val="16"/>
        </w:rPr>
        <w:t xml:space="preserve"> правительство хотело сделать займы народными, но ничего из этого не вышло. Газета угрожает, что если население и впредь будет бойкотировать займы, то правительство увеличит налоги. Отказываясь приобретать облигации займов, широкие народные массы Финляндии тем самым протестуют против преступной войны, ведущейся в интересах гитлеровской шайки.</w:t>
      </w:r>
    </w:p>
    <w:p w14:paraId="5B5E8E0B"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Чехословацкие патриоты ведут успешную борьбу против немецких оккупантов. 9 апреля отряд чешских партизан, действующий в горах близ города К., истребил немецкую карательную экспедицию. Партизаны захватили трофеи.» (15113).</w:t>
      </w:r>
    </w:p>
    <w:p w14:paraId="557C1C47"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1555B94C" w14:textId="77777777" w:rsidR="000F0A32" w:rsidRPr="008127F8" w:rsidRDefault="000F0A32" w:rsidP="001E0A84">
      <w:pPr>
        <w:pStyle w:val="3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28 апреля 1942 ТБ-7 № 42015 вылетал на бомбежку ж.д. станции Витебск, в отчете в разделе матчасть отмечено:</w:t>
      </w:r>
    </w:p>
    <w:p w14:paraId="14B2427F" w14:textId="77777777" w:rsidR="000F0A32" w:rsidRPr="008127F8" w:rsidRDefault="000F0A32" w:rsidP="001E0A84">
      <w:pPr>
        <w:pStyle w:val="109"/>
        <w:shd w:val="clear" w:color="auto" w:fill="auto"/>
        <w:spacing w:line="240" w:lineRule="auto"/>
        <w:jc w:val="both"/>
        <w:rPr>
          <w:color w:val="000000" w:themeColor="text1"/>
          <w:sz w:val="16"/>
          <w:szCs w:val="16"/>
        </w:rPr>
      </w:pPr>
      <w:r w:rsidRPr="008127F8">
        <w:rPr>
          <w:color w:val="000000" w:themeColor="text1"/>
          <w:sz w:val="16"/>
          <w:szCs w:val="16"/>
        </w:rPr>
        <w:lastRenderedPageBreak/>
        <w:t>Состояние матчасти самолетов, выполнявших боевое задание- самолет № 42015 осколками снарядов ЗА поврежден радиатор 4-го мотора, обнаружено 13 пробоин в фюзеляже и плоскостях самолета.</w:t>
      </w:r>
    </w:p>
    <w:p w14:paraId="15ADCA38" w14:textId="77777777" w:rsidR="000F0A32" w:rsidRPr="008127F8" w:rsidRDefault="000F0A32" w:rsidP="001E0A84">
      <w:pPr>
        <w:pStyle w:val="109"/>
        <w:shd w:val="clear" w:color="auto" w:fill="auto"/>
        <w:spacing w:line="240" w:lineRule="auto"/>
        <w:jc w:val="both"/>
        <w:rPr>
          <w:color w:val="000000" w:themeColor="text1"/>
          <w:sz w:val="16"/>
          <w:szCs w:val="16"/>
        </w:rPr>
      </w:pPr>
    </w:p>
    <w:p w14:paraId="47339624" w14:textId="77777777" w:rsidR="00E359CF" w:rsidRPr="008127F8" w:rsidRDefault="00E359C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в 1942 году в районе мыса Пикшуев, на южном берегу Мотовского залива Баренцева моря, высажена 12-ая бригада морской пехоты Северного флота, для содействия наступлению 14-ой армии Карельского фронта. Десант захватил плацдарм глубиной до 12 км и удерживал его до 13 мая 1942 (15113).</w:t>
      </w:r>
    </w:p>
    <w:p w14:paraId="2113CE14" w14:textId="77777777" w:rsidR="00E359CF" w:rsidRPr="008127F8" w:rsidRDefault="00E359CF" w:rsidP="001E0A84">
      <w:pPr>
        <w:spacing w:after="0" w:line="240" w:lineRule="auto"/>
        <w:jc w:val="both"/>
        <w:rPr>
          <w:rFonts w:ascii="Times New Roman" w:hAnsi="Times New Roman"/>
          <w:color w:val="000000" w:themeColor="text1"/>
          <w:sz w:val="16"/>
          <w:szCs w:val="16"/>
        </w:rPr>
      </w:pPr>
    </w:p>
    <w:p w14:paraId="0FD597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ли 7 ап ВВС ЧМФ серж. Л.И.Севрюков, барражируя над Севастополем, заметил группу б и сбил ведущего, а когда кончились патроны - таранил и погиб. Стал ГСС (438,842).</w:t>
      </w:r>
    </w:p>
    <w:p w14:paraId="101F19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C42A0"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28 апреля 1942 в районе мыса Пикшуев, на южном берегу Мотовского залива Баренцева моря, была высажена 12 бригада морской пехоты Северного </w:t>
      </w:r>
      <w:proofErr w:type="gramStart"/>
      <w:r w:rsidRPr="008127F8">
        <w:rPr>
          <w:rFonts w:ascii="Times New Roman" w:hAnsi="Times New Roman"/>
          <w:color w:val="000000" w:themeColor="text1"/>
          <w:sz w:val="16"/>
          <w:szCs w:val="16"/>
        </w:rPr>
        <w:t>флота ,</w:t>
      </w:r>
      <w:proofErr w:type="gramEnd"/>
      <w:r w:rsidRPr="008127F8">
        <w:rPr>
          <w:rFonts w:ascii="Times New Roman" w:hAnsi="Times New Roman"/>
          <w:color w:val="000000" w:themeColor="text1"/>
          <w:sz w:val="16"/>
          <w:szCs w:val="16"/>
        </w:rPr>
        <w:t xml:space="preserve"> для содействия наступлению 14А Карельского фронта. Десант захватил плацдарм глубиной до 12 км и удерживал его до 13 мая 42-го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1B34BF0E"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248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28 апреля по 23 мая 1942 была Мурманская наступательная операция советских войск (3186).</w:t>
      </w:r>
    </w:p>
    <w:p w14:paraId="73E64E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0E1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 вышел ПРИКАЗ НКО № 0336 О НЕДОСТАТКАХ И МЕРАХ ПО УЛУЧШЕНИЮ ГИДРОМЕТЕОРОЛОГИЧЕСКОГО ОБСЛУЖИВАНИЯ НАЗЕМНЫХ ВОЙСК</w:t>
      </w:r>
    </w:p>
    <w:p w14:paraId="50A76B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элементов боевой обстановки являются условия погоды и состояние водных объектов.</w:t>
      </w:r>
    </w:p>
    <w:p w14:paraId="41E6E42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Пренебрежение, а в отдельных случаях незнание или неумение использовать гидрометеорологические сведения при разработке и проведении плана боевых операций приводило в прошлых войнах не только к ненужным жертвам в живой силе и технике, но часто и к срыву операций.</w:t>
      </w:r>
    </w:p>
    <w:p w14:paraId="51CBE0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противоположность этому показательным примером грамотного использования гидрометеорологических особенностей района является героический переход частей Красной Армии в начале ноября 1920 года через Сиваш и разгром перекопских укреплений врангелевской армии.</w:t>
      </w:r>
    </w:p>
    <w:p w14:paraId="157130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надлежащего обеспечения командования и частей наземных войск Красной Армии гидрометеорологическими данными в оперативных отделах штабов фронтов и армий на основании приказа НКО № 0351 от 12 сентября 1941 года* специально созданы гидрометеорологические отделения.</w:t>
      </w:r>
    </w:p>
    <w:p w14:paraId="3251EA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разработке и проведении боевых операций, а также при материально-техническом обеспечении войск каждый командир и начальник обязан всегда знать и учитывать гидрометеорологическую обстановку и возможные ее изменения по району действия как своих войск, так и противника. При этом должно быть обращено особое внимание на возможности создания искусственных водных преград (водохранилища, затопления, заболачивания и др.) в целях лишения противника тактических преимуществ или для внезапного срыва намечаемых противником операций.</w:t>
      </w:r>
    </w:p>
    <w:p w14:paraId="0B98DE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Организация бесперебойного наблюдения за погодой и заблаговременное изучение химико-метеорологических особенностей районов расположения войск должны находиться под неослабным и повседневным контролем командиров войсковых частей. Эта работа является неотъемлемой частью подготовки Красной Армии к химической защите и отпору.</w:t>
      </w:r>
    </w:p>
    <w:p w14:paraId="029FCA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471833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Начальникам штабов фронтов в месячный срок проверить и упорядочить работу гидрометеорологических подразделений в штабах и войсковых частях. При этом обеспечить:</w:t>
      </w:r>
    </w:p>
    <w:p w14:paraId="068979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повседневное использование гидрометеорологических сведений прогнозов в работе штабов соединений и частей наравне с другими элементами обстановки, включая эти сведения в необходимых случаях не только в оперативные сводки, но и в боевые приказы и приказы по тылу;</w:t>
      </w:r>
    </w:p>
    <w:p w14:paraId="62F4DB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использование личного состава гидрометеорологических отделений штабов и гидрометеорологических подразделений в войсковых частях только по прямому их назначению;</w:t>
      </w:r>
    </w:p>
    <w:p w14:paraId="669C8F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повседневное руководство и контроль заработой гидрометеорологических отделений штабов и гидрометеорологических подразделений войсковых частей со стороны начальников оперативных отделов штабов фронта и армий;</w:t>
      </w:r>
    </w:p>
    <w:p w14:paraId="1F43CE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бесперебойное и своевременное прохождение гидрометеорологических сведений по линиям войсковой связи и в том числе прогнозов и предупреждений об опасных гидрометеорологических явлениях, направляемых из штабов фронта и армий в дивизии и полки;</w:t>
      </w:r>
    </w:p>
    <w:p w14:paraId="075155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выделение в необходимых случаях в распоряжение гидрометеорологических отделений штабов фронта и армий команд из саперных и автодорожных частей для гидрологического обследования районов, сведения по которым отсутствуют или требуют уточнений;</w:t>
      </w:r>
    </w:p>
    <w:p w14:paraId="564335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получение и сбор через разведывательные органы гидрометеорологических сведений по районам противника для нужд гидрометеорологических отделений штабов фронта и армий;</w:t>
      </w:r>
    </w:p>
    <w:p w14:paraId="6B5C12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информацию начальника Главного управления гидрометеорологической службы Красной Армии о состоянии гидрометеорологической службы противника, выявляемой при опросах пленных, захвате документов и материальной части противника.</w:t>
      </w:r>
    </w:p>
    <w:p w14:paraId="463915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Начальникам Главного управления гидрометеорологической службы, Главного артиллерийского управления, Главного военно-химического управления, Главного военно-инженерного управления Красной Армии в месячный срок обеспечить войсковые гидрометеорологические подразделения приборами и оборудованием, использовав все наличные ресурсы тыловых складов.</w:t>
      </w:r>
    </w:p>
    <w:p w14:paraId="16F81E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Настоящий приказ довести до командиров полков.</w:t>
      </w:r>
    </w:p>
    <w:p w14:paraId="47ABE4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Заместитель Народного комиссара обороны СССР Маршал Советского Союза Б. ШАПОШНИКОВ</w:t>
      </w:r>
      <w:r w:rsidRPr="008127F8">
        <w:rPr>
          <w:rFonts w:ascii="Times New Roman" w:hAnsi="Times New Roman"/>
          <w:color w:val="000000" w:themeColor="text1"/>
          <w:sz w:val="16"/>
          <w:szCs w:val="16"/>
        </w:rPr>
        <w:t xml:space="preserve"> (9844).</w:t>
      </w:r>
    </w:p>
    <w:p w14:paraId="285B3F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900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Утром 28 апреля 1942 над территорией Ярославской области в очередной раз появился разведывательный Ju-88D. На перехват поднялись несколько истребителей 141-й ИАД ПВО, в т.ч. и ЛаГГ-3 командира эскадрильи 721-го ИАП майора Геннадия Троицкого. Вскоре в районе деревни Новое Котово советские пилоты обнаружили «Юнкере». Первая атака стала для его экипажа неожиданной, но после этого пилот пришел в себя, рванул в крутое пике с разворотом и стал уходить на бреющем полете. Однако Троицкому с трудом, но все же удалось удержаться у него на хвосте. Он несколько раз заходил в атаку, ведя огонь длинными и короткими очередями, но немецкий пилот энергично и умело маневрировал, а стрелки отчаянно отстреливались. В результате советский летчик израсходовал весь боезапас, и ему остался выбор: либо снова упустить разведчика, либо идти на таран. Радировав о своем решении на КП полка, Троицкий пошел на резкое сближение с противником. От сильного удара, нанесенного на малой высоте, немецкий самолет сразу потерял управление и вскоре врезался в землю. Но и у русского летчика не было шансов спастись, и он разбился вместе со своим «ЛаГГом». 90-й боевой вылет оказался для Геннадия Троицкого последним. Это был первый успех Ярославского диврайона ПВО (11774).</w:t>
      </w:r>
    </w:p>
    <w:p w14:paraId="3BABCB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D7594"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BB483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5FC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приказом НКВД N 00852 вновь организовали ГУ ВВ НКВД (И.С.Шередега) и в его составе У В НКВД по охране тыла действующей армии (3398,163).</w:t>
      </w:r>
    </w:p>
    <w:p w14:paraId="475F1D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8B0D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7D4FD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007A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была опубликована нота НКИД О чудовищных злодеяниях, зверствах и насилиях немецко-фашистских захватчиков в оккупированных советских районах и об ответственности германского правительства и командования за это (3186).</w:t>
      </w:r>
    </w:p>
    <w:p w14:paraId="1A7644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D48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 Пе-8 №42066 под командованием командира корабля Сергея Асямова стартовал по маршруту Москва-Данди. На своем пути самолет поднялся до высоты 7500 метров, пересек Балтийское море, южную оконечность Швеции и Норвегии. В целом этот полет прошел благополучно, через десять часов полета Пе-8 приземлился на аэродроме Тилинг в Шотландии.</w:t>
      </w:r>
    </w:p>
    <w:p w14:paraId="380D6B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по прибытию, во время местного перелета с аэродрома на аэродром на английском транспортном самолете "Фламинго" произошла катастрофа, во время которой погиб летчик Сергей Асямов. Позднее комиссия, расследующая катастрофу, установила, что оборвавшейся шатун пробил картер двигателя, в котором мгновенно взорвались пары перегретого масла. Горячие осколки картера и шатуна пробили бензиновый бак. Затем произошел второй, еще более мощный взрыв, после чего самолет буквально развалился в воздухе. Кроме советских военных, на том же самолете погибло шестеро английских офицеров.</w:t>
      </w:r>
    </w:p>
    <w:p w14:paraId="75E7C0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возвращении в Москву командирское кресло Пе-8 занял майор Пусэп, на месте второго пилота находился штурман Романов, который ранее уже получил навыки пилотирования тяжелым самолетов. Как показали указанные печальные события, используемая в советских ВВС практика обучения штурманов летному делу оказалась вполне уместной. В районе линии фронта возвращение отметилось встречей с вражеским истребителем, который выполнил одну атаку советского корабля и обстрелял его. К счастью, полученные повреждения оказались минимальными и не повлияли на исход заключительной фазы перелета.</w:t>
      </w:r>
    </w:p>
    <w:p w14:paraId="56BECE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Нужно отметить, что сразу по возвращении из Англии Пе-8 №42066 вновь приступил к выполнению боевых заданий. Штурман Штепенко так описал окончание боевого вылета 14 мая 1942 г: "Подошёл самолёт лётчика Лисачева с красной единицей на хвосте и, качнув крыльями, стал слева от нас. Увеличив скорость, догнал </w:t>
      </w:r>
      <w:r w:rsidRPr="008127F8">
        <w:rPr>
          <w:rFonts w:ascii="Times New Roman" w:hAnsi="Times New Roman"/>
          <w:color w:val="000000" w:themeColor="text1"/>
          <w:sz w:val="16"/>
          <w:szCs w:val="16"/>
        </w:rPr>
        <w:lastRenderedPageBreak/>
        <w:t>нас самолёт лётчика Пономаренко с красной тройкой. Слева подошел Ишенко с красной пятеркой. Откуда-то снизу поднялся и стал в строй лётчик Перегудов. Сверху спустился лётчик Лавровский и, пристроившись, замкнул наше шествие, торжественное возвращение домой. Так строем клина вся семёрка и подошла к своему аэродрому". Очевидно, указанный боевой корабль №42066 действительно считался наиболее надежным, так буквально через пару дней именно он вновь был подготовлен к дальнему перелету через океан (12025).</w:t>
      </w:r>
    </w:p>
    <w:p w14:paraId="7117C9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3FC2E" w14:textId="77777777" w:rsidR="00C40A00" w:rsidRPr="008127F8" w:rsidRDefault="00C40A00"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на аэродром прибыли четыре пассажира, среди которых был переводчик- стенографист из НКИД (народный комисса</w:t>
      </w:r>
      <w:r w:rsidRPr="008127F8">
        <w:rPr>
          <w:rFonts w:ascii="Times New Roman" w:hAnsi="Times New Roman"/>
          <w:color w:val="000000" w:themeColor="text1"/>
          <w:sz w:val="16"/>
          <w:szCs w:val="16"/>
        </w:rPr>
        <w:softHyphen/>
        <w:t>риат иностранных дел) СССР В. Павлов. ТБ-7 №42076 взлетел в 22 часа 05 минут. К 5 часам 15 минут 29 апреля они, пролетев через линию фронта, над оккупированной террито</w:t>
      </w:r>
      <w:r w:rsidRPr="008127F8">
        <w:rPr>
          <w:rFonts w:ascii="Times New Roman" w:hAnsi="Times New Roman"/>
          <w:color w:val="000000" w:themeColor="text1"/>
          <w:sz w:val="16"/>
          <w:szCs w:val="16"/>
        </w:rPr>
        <w:softHyphen/>
        <w:t>рией СССР, Балтийским морем, нейтральной расположенном недалеко от городка Данди, крупной базы ВМФ Великобритании в годы Второй мировой войны. Но на аэродроме отсутствовал ночной старт, так что ТБ-7 вынужден был дожидаться рассвета. В 7 часов 00 минут после 8 часов 55 минут полета была произведена успешная посадка. По прилету оба летчика и оба штурмана на само</w:t>
      </w:r>
      <w:r w:rsidRPr="008127F8">
        <w:rPr>
          <w:rFonts w:ascii="Times New Roman" w:hAnsi="Times New Roman"/>
          <w:color w:val="000000" w:themeColor="text1"/>
          <w:sz w:val="16"/>
          <w:szCs w:val="16"/>
        </w:rPr>
        <w:softHyphen/>
        <w:t>лете «Фламинго» английских ВВС отправи</w:t>
      </w:r>
      <w:r w:rsidRPr="008127F8">
        <w:rPr>
          <w:rFonts w:ascii="Times New Roman" w:hAnsi="Times New Roman"/>
          <w:color w:val="000000" w:themeColor="text1"/>
          <w:sz w:val="16"/>
          <w:szCs w:val="16"/>
        </w:rPr>
        <w:softHyphen/>
        <w:t>лись в Лондон. На следующее утро англий</w:t>
      </w:r>
      <w:r w:rsidRPr="008127F8">
        <w:rPr>
          <w:rFonts w:ascii="Times New Roman" w:hAnsi="Times New Roman"/>
          <w:color w:val="000000" w:themeColor="text1"/>
          <w:sz w:val="16"/>
          <w:szCs w:val="16"/>
        </w:rPr>
        <w:softHyphen/>
        <w:t>ские офицеры и наши военные представите</w:t>
      </w:r>
      <w:r w:rsidRPr="008127F8">
        <w:rPr>
          <w:rFonts w:ascii="Times New Roman" w:hAnsi="Times New Roman"/>
          <w:color w:val="000000" w:themeColor="text1"/>
          <w:sz w:val="16"/>
          <w:szCs w:val="16"/>
        </w:rPr>
        <w:softHyphen/>
        <w:t>ли в Лондоне пожелали ознакомиться с ТБ-7. Майор Асямов принял решение кинуть жре</w:t>
      </w:r>
      <w:r w:rsidRPr="008127F8">
        <w:rPr>
          <w:rFonts w:ascii="Times New Roman" w:hAnsi="Times New Roman"/>
          <w:color w:val="000000" w:themeColor="text1"/>
          <w:sz w:val="16"/>
          <w:szCs w:val="16"/>
        </w:rPr>
        <w:softHyphen/>
        <w:t>бий, кто из них четверых полетит показывать корабль. Роковая спичка с обломанной головкой досталась ему. Во время полета транспортный «Фламинго» потерпел ката</w:t>
      </w:r>
      <w:r w:rsidRPr="008127F8">
        <w:rPr>
          <w:rFonts w:ascii="Times New Roman" w:hAnsi="Times New Roman"/>
          <w:color w:val="000000" w:themeColor="text1"/>
          <w:sz w:val="16"/>
          <w:szCs w:val="16"/>
        </w:rPr>
        <w:softHyphen/>
        <w:t>строфу. Погибли все, кто был на борту, в том числе и сам С.А. Асямов (19936).</w:t>
      </w:r>
    </w:p>
    <w:p w14:paraId="405E351F" w14:textId="77777777" w:rsidR="00C40A00" w:rsidRPr="008127F8" w:rsidRDefault="00C40A00" w:rsidP="001E0A84">
      <w:pPr>
        <w:shd w:val="clear" w:color="auto" w:fill="FFFFFF"/>
        <w:spacing w:after="0" w:line="240" w:lineRule="auto"/>
        <w:jc w:val="both"/>
        <w:rPr>
          <w:rFonts w:ascii="Times New Roman" w:hAnsi="Times New Roman"/>
          <w:color w:val="000000" w:themeColor="text1"/>
          <w:sz w:val="16"/>
          <w:szCs w:val="16"/>
        </w:rPr>
      </w:pPr>
    </w:p>
    <w:p w14:paraId="38909A6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E8143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383E71"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года для бомбардировки Германии с баз на Британских островах была сформирована 8-я ВА (8AF), командующим которой был назначен генерал Карл Спаатс. В нее вошли 3 авиагруппы, в каждой из которых было по 3 эскадрильи по 20 тяжелых бомбардировщиков. К лету все они были укомплектованы, экипажи прошли повышенную летно-тактическую подготовку, курсы английского этикета и были готовы идти на войну. Однако, прибыв в Южную Англию, они более месяца ждали, когда же, наконец, им позволят начать. Всем казалось, что 25 вылетов, которые надо было сделать каждому, чтобы вернуться домой в Штаты — это пустяк, ведь у них такие мощные самолеты</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22838).</w:t>
      </w:r>
    </w:p>
    <w:p w14:paraId="05C02B27" w14:textId="77777777" w:rsidR="00C40A00" w:rsidRPr="008127F8" w:rsidRDefault="00C40A00" w:rsidP="001E0A84">
      <w:pPr>
        <w:spacing w:after="0" w:line="240" w:lineRule="auto"/>
        <w:jc w:val="both"/>
        <w:rPr>
          <w:rFonts w:ascii="Times New Roman" w:hAnsi="Times New Roman"/>
          <w:color w:val="000000" w:themeColor="text1"/>
          <w:sz w:val="16"/>
          <w:szCs w:val="16"/>
        </w:rPr>
      </w:pPr>
    </w:p>
    <w:p w14:paraId="5FFFDCE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институт Гэллапа объявил, что, согласно его опросу, большинство американцев хотят называть войну второй мировой, а не Войной за выживание или Войной за мировую свободу (4962).</w:t>
      </w:r>
    </w:p>
    <w:p w14:paraId="75CA746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DFFE6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630ED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244B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года конструктор Яковлев писал письмо Шахурину.</w:t>
      </w:r>
    </w:p>
    <w:p w14:paraId="017071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ГОКО, мною проведена предварительная конструктивная увязка бомбардировочного вооружения на истребитель Як и влияние его на летные данные самолета.</w:t>
      </w:r>
    </w:p>
    <w:p w14:paraId="51CD36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Установка 4-х бомбодержателей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04"/>
        <w:gridCol w:w="4252"/>
      </w:tblGrid>
      <w:tr w:rsidR="006F4095" w:rsidRPr="008127F8" w14:paraId="64372813" w14:textId="77777777">
        <w:tc>
          <w:tcPr>
            <w:tcW w:w="6204" w:type="dxa"/>
            <w:tcBorders>
              <w:top w:val="single" w:sz="12" w:space="0" w:color="auto"/>
            </w:tcBorders>
          </w:tcPr>
          <w:p w14:paraId="48BF18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подвешенными бомбами ФАБ-50 уменьшает</w:t>
            </w:r>
          </w:p>
        </w:tc>
        <w:tc>
          <w:tcPr>
            <w:tcW w:w="4252" w:type="dxa"/>
            <w:tcBorders>
              <w:top w:val="single" w:sz="12" w:space="0" w:color="auto"/>
            </w:tcBorders>
          </w:tcPr>
          <w:p w14:paraId="6618E5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A95A664" w14:textId="77777777">
        <w:tc>
          <w:tcPr>
            <w:tcW w:w="6204" w:type="dxa"/>
          </w:tcPr>
          <w:p w14:paraId="330944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самолета на</w:t>
            </w:r>
          </w:p>
        </w:tc>
        <w:tc>
          <w:tcPr>
            <w:tcW w:w="4252" w:type="dxa"/>
          </w:tcPr>
          <w:p w14:paraId="0586AC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км/час</w:t>
            </w:r>
          </w:p>
        </w:tc>
      </w:tr>
      <w:tr w:rsidR="006F4095" w:rsidRPr="008127F8" w14:paraId="691D8A35" w14:textId="77777777">
        <w:tc>
          <w:tcPr>
            <w:tcW w:w="6204" w:type="dxa"/>
          </w:tcPr>
          <w:p w14:paraId="7A1CFA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6-ти штук ракетных орудий с</w:t>
            </w:r>
          </w:p>
        </w:tc>
        <w:tc>
          <w:tcPr>
            <w:tcW w:w="4252" w:type="dxa"/>
          </w:tcPr>
          <w:p w14:paraId="44C8DE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D33AA6" w14:textId="77777777">
        <w:tc>
          <w:tcPr>
            <w:tcW w:w="6204" w:type="dxa"/>
          </w:tcPr>
          <w:p w14:paraId="2D4BF8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подвешенными снарядами РС-82 уменьшает</w:t>
            </w:r>
          </w:p>
        </w:tc>
        <w:tc>
          <w:tcPr>
            <w:tcW w:w="4252" w:type="dxa"/>
          </w:tcPr>
          <w:p w14:paraId="567A106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5FCC7F9E" w14:textId="77777777">
        <w:tc>
          <w:tcPr>
            <w:tcW w:w="6204" w:type="dxa"/>
          </w:tcPr>
          <w:p w14:paraId="797DAA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самолета на</w:t>
            </w:r>
          </w:p>
        </w:tc>
        <w:tc>
          <w:tcPr>
            <w:tcW w:w="4252" w:type="dxa"/>
          </w:tcPr>
          <w:p w14:paraId="65113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км/час</w:t>
            </w:r>
          </w:p>
        </w:tc>
      </w:tr>
      <w:tr w:rsidR="006F4095" w:rsidRPr="008127F8" w14:paraId="541FB534" w14:textId="77777777">
        <w:tc>
          <w:tcPr>
            <w:tcW w:w="6204" w:type="dxa"/>
          </w:tcPr>
          <w:p w14:paraId="4348C6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потеря скорости самолета при</w:t>
            </w:r>
          </w:p>
        </w:tc>
        <w:tc>
          <w:tcPr>
            <w:tcW w:w="4252" w:type="dxa"/>
          </w:tcPr>
          <w:p w14:paraId="59E227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234F51C5" w14:textId="77777777">
        <w:tc>
          <w:tcPr>
            <w:tcW w:w="6204" w:type="dxa"/>
          </w:tcPr>
          <w:p w14:paraId="5F7772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подвешенных бомбах и РС достигает</w:t>
            </w:r>
          </w:p>
        </w:tc>
        <w:tc>
          <w:tcPr>
            <w:tcW w:w="4252" w:type="dxa"/>
          </w:tcPr>
          <w:p w14:paraId="045DF3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км/час</w:t>
            </w:r>
          </w:p>
        </w:tc>
      </w:tr>
      <w:tr w:rsidR="006F4095" w:rsidRPr="008127F8" w14:paraId="6F3753C8" w14:textId="77777777">
        <w:tc>
          <w:tcPr>
            <w:tcW w:w="6204" w:type="dxa"/>
          </w:tcPr>
          <w:p w14:paraId="3500B1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Установка 4-х балочных </w:t>
            </w:r>
          </w:p>
        </w:tc>
        <w:tc>
          <w:tcPr>
            <w:tcW w:w="4252" w:type="dxa"/>
          </w:tcPr>
          <w:p w14:paraId="76A691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310D7187" w14:textId="77777777">
        <w:tc>
          <w:tcPr>
            <w:tcW w:w="6204" w:type="dxa"/>
          </w:tcPr>
          <w:p w14:paraId="389600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бомбодержателей с ухватами без бомб</w:t>
            </w:r>
          </w:p>
        </w:tc>
        <w:tc>
          <w:tcPr>
            <w:tcW w:w="4252" w:type="dxa"/>
          </w:tcPr>
          <w:p w14:paraId="6DB0C1F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1DF0185" w14:textId="77777777">
        <w:tc>
          <w:tcPr>
            <w:tcW w:w="6204" w:type="dxa"/>
          </w:tcPr>
          <w:p w14:paraId="6BC911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снимает скорость</w:t>
            </w:r>
          </w:p>
        </w:tc>
        <w:tc>
          <w:tcPr>
            <w:tcW w:w="4252" w:type="dxa"/>
          </w:tcPr>
          <w:p w14:paraId="1BAD49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км/час</w:t>
            </w:r>
          </w:p>
        </w:tc>
      </w:tr>
      <w:tr w:rsidR="006F4095" w:rsidRPr="008127F8" w14:paraId="13C56C39" w14:textId="77777777">
        <w:tc>
          <w:tcPr>
            <w:tcW w:w="6204" w:type="dxa"/>
          </w:tcPr>
          <w:p w14:paraId="434A48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шести ракетных орудий без</w:t>
            </w:r>
          </w:p>
        </w:tc>
        <w:tc>
          <w:tcPr>
            <w:tcW w:w="4252" w:type="dxa"/>
          </w:tcPr>
          <w:p w14:paraId="13BEA4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805C859" w14:textId="77777777">
        <w:tc>
          <w:tcPr>
            <w:tcW w:w="6204" w:type="dxa"/>
          </w:tcPr>
          <w:p w14:paraId="17D584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снарядов снимает скорость</w:t>
            </w:r>
          </w:p>
        </w:tc>
        <w:tc>
          <w:tcPr>
            <w:tcW w:w="4252" w:type="dxa"/>
          </w:tcPr>
          <w:p w14:paraId="75389D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км/час</w:t>
            </w:r>
          </w:p>
        </w:tc>
      </w:tr>
      <w:tr w:rsidR="006F4095" w:rsidRPr="008127F8" w14:paraId="71AB800E" w14:textId="77777777">
        <w:tc>
          <w:tcPr>
            <w:tcW w:w="6204" w:type="dxa"/>
          </w:tcPr>
          <w:p w14:paraId="30E3B1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потеря скорости самолета за</w:t>
            </w:r>
          </w:p>
        </w:tc>
        <w:tc>
          <w:tcPr>
            <w:tcW w:w="4252" w:type="dxa"/>
          </w:tcPr>
          <w:p w14:paraId="2A17E4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0E0DC3F3" w14:textId="77777777">
        <w:tc>
          <w:tcPr>
            <w:tcW w:w="6204" w:type="dxa"/>
            <w:tcBorders>
              <w:bottom w:val="single" w:sz="12" w:space="0" w:color="auto"/>
            </w:tcBorders>
          </w:tcPr>
          <w:p w14:paraId="5B5C8B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счет РО и бомбодержателей достигает</w:t>
            </w:r>
          </w:p>
        </w:tc>
        <w:tc>
          <w:tcPr>
            <w:tcW w:w="4252" w:type="dxa"/>
            <w:tcBorders>
              <w:bottom w:val="single" w:sz="12" w:space="0" w:color="auto"/>
            </w:tcBorders>
          </w:tcPr>
          <w:p w14:paraId="085DB5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 км/час</w:t>
            </w:r>
          </w:p>
        </w:tc>
      </w:tr>
    </w:tbl>
    <w:p w14:paraId="4122E8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Таким образом, самолет Як-7 вместо 580 км/час с установками 6 РО-82 без РС и при четырех бомбодержателях без бомб будет иметь скорость 542 км/час, а со снарядами и бомбами 510 км/час.</w:t>
      </w:r>
    </w:p>
    <w:p w14:paraId="733737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самолета увеличится на 300 кг, что вызовет увеличение длины разбега при взлете.</w:t>
      </w:r>
    </w:p>
    <w:p w14:paraId="284F8B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самолетах Миг-3 и Лагг-3 имеется только два бомбодержателя, что обеспечивает в нормальном варианте бомбовую нагрузку - 100 кг, две бомбы по 50 кг и в перегрузочном варианте - 200 кг, две бомбы по 100 кг.</w:t>
      </w:r>
    </w:p>
    <w:p w14:paraId="0EA9C9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целях наименьшего снижения летных качеств и минимальных конструктивных переделок истребителей Як, считаю целесообразным установку на самолетах только двух бомбодержателей и четырех ракетных орудий. В этом случае будем иметь потерю в скорости от подвески двух ФАБ-50 - 20 км/час и четырех РС-82 20 км/час, всего 40 км/час.</w:t>
      </w:r>
    </w:p>
    <w:p w14:paraId="22AEFFE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неподвешенных бомбах и РС-82 потеря скорости будет соответственно 16 и 8 км/час. Всего 24 км/час. Таким образом, скорость самолета Як-7 с подвешенными бомбами и Рс-82 будет равна 540 км/час, а без бомб и Рс-82 - 556 км/час.</w:t>
      </w:r>
    </w:p>
    <w:p w14:paraId="2E9B4F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УВВС - Репин согласен с предложенной мною схемой на два бомбодержателя, но считает необходимым сохранить шесть РО (1676,78).</w:t>
      </w:r>
    </w:p>
    <w:p w14:paraId="173675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5FE7D"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апреля 1942 г. в до</w:t>
      </w:r>
      <w:r w:rsidRPr="008A2E5A">
        <w:rPr>
          <w:rFonts w:ascii="Times New Roman" w:hAnsi="Times New Roman"/>
          <w:color w:val="0070C0"/>
          <w:sz w:val="16"/>
          <w:szCs w:val="16"/>
        </w:rPr>
        <w:softHyphen/>
        <w:t>кладной записке от на имя наркома ави</w:t>
      </w:r>
      <w:r w:rsidRPr="008A2E5A">
        <w:rPr>
          <w:rFonts w:ascii="Times New Roman" w:hAnsi="Times New Roman"/>
          <w:color w:val="0070C0"/>
          <w:sz w:val="16"/>
          <w:szCs w:val="16"/>
        </w:rPr>
        <w:softHyphen/>
        <w:t>апромышленности А.С. Яковлев, в связи с результатами расчетов, предложил сократить количество бомбодержа</w:t>
      </w:r>
      <w:r w:rsidRPr="008A2E5A">
        <w:rPr>
          <w:rFonts w:ascii="Times New Roman" w:hAnsi="Times New Roman"/>
          <w:color w:val="0070C0"/>
          <w:sz w:val="16"/>
          <w:szCs w:val="16"/>
        </w:rPr>
        <w:softHyphen/>
        <w:t>телей для истребителей «Як» до двух (как на истребите</w:t>
      </w:r>
      <w:r w:rsidRPr="008A2E5A">
        <w:rPr>
          <w:rFonts w:ascii="Times New Roman" w:hAnsi="Times New Roman"/>
          <w:color w:val="0070C0"/>
          <w:sz w:val="16"/>
          <w:szCs w:val="16"/>
        </w:rPr>
        <w:softHyphen/>
        <w:t>лях МиГ и ЛаГГ) с возможностью подвески авиабомб ка</w:t>
      </w:r>
      <w:r w:rsidRPr="008A2E5A">
        <w:rPr>
          <w:rFonts w:ascii="Times New Roman" w:hAnsi="Times New Roman"/>
          <w:color w:val="0070C0"/>
          <w:sz w:val="16"/>
          <w:szCs w:val="16"/>
        </w:rPr>
        <w:softHyphen/>
        <w:t>либром до 100 кг, а РО - до четырех. Предложение глав</w:t>
      </w:r>
      <w:r w:rsidRPr="008A2E5A">
        <w:rPr>
          <w:rFonts w:ascii="Times New Roman" w:hAnsi="Times New Roman"/>
          <w:color w:val="0070C0"/>
          <w:sz w:val="16"/>
          <w:szCs w:val="16"/>
        </w:rPr>
        <w:softHyphen/>
        <w:t>ного конструктора встретило понимание у руководства страны и 2 мая постановлением ГКО №1680сс (дублиру</w:t>
      </w:r>
      <w:r w:rsidRPr="008A2E5A">
        <w:rPr>
          <w:rFonts w:ascii="Times New Roman" w:hAnsi="Times New Roman"/>
          <w:color w:val="0070C0"/>
          <w:sz w:val="16"/>
          <w:szCs w:val="16"/>
        </w:rPr>
        <w:softHyphen/>
        <w:t>ющий приказ наркома авиапромышленности №361 сс от 8.5.42 г.) количество бомбодержателей на истребителях «Як» сократили до двух, позволявших подвешивать авиа</w:t>
      </w:r>
      <w:r w:rsidRPr="008A2E5A">
        <w:rPr>
          <w:rFonts w:ascii="Times New Roman" w:hAnsi="Times New Roman"/>
          <w:color w:val="0070C0"/>
          <w:sz w:val="16"/>
          <w:szCs w:val="16"/>
        </w:rPr>
        <w:softHyphen/>
        <w:t>бомбы калибром от 25 до 100 кг, а РО - до четырех.</w:t>
      </w:r>
    </w:p>
    <w:p w14:paraId="5A10B20A"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производстве на заводе №153 установку бомбодер</w:t>
      </w:r>
      <w:r w:rsidRPr="008A2E5A">
        <w:rPr>
          <w:rFonts w:ascii="Times New Roman" w:hAnsi="Times New Roman"/>
          <w:color w:val="0070C0"/>
          <w:sz w:val="16"/>
          <w:szCs w:val="16"/>
        </w:rPr>
        <w:softHyphen/>
        <w:t>жателей внедрили с 1 июля 1942 г. (с 23-й серии). Управ</w:t>
      </w:r>
      <w:r w:rsidRPr="008A2E5A">
        <w:rPr>
          <w:rFonts w:ascii="Times New Roman" w:hAnsi="Times New Roman"/>
          <w:color w:val="0070C0"/>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8A2E5A">
        <w:rPr>
          <w:rFonts w:ascii="Times New Roman" w:hAnsi="Times New Roman"/>
          <w:color w:val="0070C0"/>
          <w:sz w:val="16"/>
          <w:szCs w:val="16"/>
        </w:rPr>
        <w:softHyphen/>
        <w:t>тропроводка управления ВАП. Пусковая кнопка под кол</w:t>
      </w:r>
      <w:r w:rsidRPr="008A2E5A">
        <w:rPr>
          <w:rFonts w:ascii="Times New Roman" w:hAnsi="Times New Roman"/>
          <w:color w:val="0070C0"/>
          <w:sz w:val="16"/>
          <w:szCs w:val="16"/>
        </w:rPr>
        <w:softHyphen/>
        <w:t>пачком устанавливалась на левом пульте у приборной до</w:t>
      </w:r>
      <w:r w:rsidRPr="008A2E5A">
        <w:rPr>
          <w:rFonts w:ascii="Times New Roman" w:hAnsi="Times New Roman"/>
          <w:color w:val="0070C0"/>
          <w:sz w:val="16"/>
          <w:szCs w:val="16"/>
        </w:rPr>
        <w:softHyphen/>
        <w:t>ски. Сброс ВАП, как и бомб, - механическим способом. Бомбовое вооружение испытали на заводе при полигон</w:t>
      </w:r>
      <w:r w:rsidRPr="008A2E5A">
        <w:rPr>
          <w:rFonts w:ascii="Times New Roman" w:hAnsi="Times New Roman"/>
          <w:color w:val="0070C0"/>
          <w:sz w:val="16"/>
          <w:szCs w:val="16"/>
        </w:rPr>
        <w:softHyphen/>
        <w:t>ных испытаниях Як-7Б №</w:t>
      </w:r>
      <w:proofErr w:type="gramStart"/>
      <w:r w:rsidRPr="008A2E5A">
        <w:rPr>
          <w:rFonts w:ascii="Times New Roman" w:hAnsi="Times New Roman"/>
          <w:color w:val="0070C0"/>
          <w:sz w:val="16"/>
          <w:szCs w:val="16"/>
        </w:rPr>
        <w:t>2315310 ,</w:t>
      </w:r>
      <w:proofErr w:type="gramEnd"/>
      <w:r w:rsidRPr="008A2E5A">
        <w:rPr>
          <w:rFonts w:ascii="Times New Roman" w:hAnsi="Times New Roman"/>
          <w:color w:val="0070C0"/>
          <w:sz w:val="16"/>
          <w:szCs w:val="16"/>
        </w:rPr>
        <w:t xml:space="preserve"> которые закончились с положительным результатом. Из-за падения максималь</w:t>
      </w:r>
      <w:r w:rsidRPr="008A2E5A">
        <w:rPr>
          <w:rFonts w:ascii="Times New Roman" w:hAnsi="Times New Roman"/>
          <w:color w:val="0070C0"/>
          <w:sz w:val="16"/>
          <w:szCs w:val="16"/>
        </w:rPr>
        <w:softHyphen/>
        <w:t>ных скоростей серийных самолетов установку бомбово</w:t>
      </w:r>
      <w:r w:rsidRPr="008A2E5A">
        <w:rPr>
          <w:rFonts w:ascii="Times New Roman" w:hAnsi="Times New Roman"/>
          <w:color w:val="0070C0"/>
          <w:sz w:val="16"/>
          <w:szCs w:val="16"/>
        </w:rPr>
        <w:softHyphen/>
        <w:t>го вооружения временно прекратили с 30-й серии и воз</w:t>
      </w:r>
      <w:r w:rsidRPr="008A2E5A">
        <w:rPr>
          <w:rFonts w:ascii="Times New Roman" w:hAnsi="Times New Roman"/>
          <w:color w:val="0070C0"/>
          <w:sz w:val="16"/>
          <w:szCs w:val="16"/>
        </w:rPr>
        <w:softHyphen/>
        <w:t>обновили после проведения на серийных машинах реко</w:t>
      </w:r>
      <w:r w:rsidRPr="008A2E5A">
        <w:rPr>
          <w:rFonts w:ascii="Times New Roman" w:hAnsi="Times New Roman"/>
          <w:color w:val="0070C0"/>
          <w:sz w:val="16"/>
          <w:szCs w:val="16"/>
        </w:rPr>
        <w:softHyphen/>
        <w:t>мендованных ОКБ мероприятий с самолета №3115361. На заводе №82 бомбовое вооружение начали устанавли</w:t>
      </w:r>
      <w:r w:rsidRPr="008A2E5A">
        <w:rPr>
          <w:rFonts w:ascii="Times New Roman" w:hAnsi="Times New Roman"/>
          <w:color w:val="0070C0"/>
          <w:sz w:val="16"/>
          <w:szCs w:val="16"/>
        </w:rPr>
        <w:softHyphen/>
        <w:t>вать с машины №820205.</w:t>
      </w:r>
    </w:p>
    <w:p w14:paraId="4D8AFF0D"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на Як-7Б производилась опытная установка держателей Д-2-42 конструкции завода №43. Держате</w:t>
      </w:r>
      <w:r w:rsidRPr="008A2E5A">
        <w:rPr>
          <w:rFonts w:ascii="Times New Roman" w:hAnsi="Times New Roman"/>
          <w:color w:val="0070C0"/>
          <w:sz w:val="16"/>
          <w:szCs w:val="16"/>
        </w:rPr>
        <w:softHyphen/>
        <w:t>ли предназначались для подвески и сбрасывания авиа</w:t>
      </w:r>
      <w:r w:rsidRPr="008A2E5A">
        <w:rPr>
          <w:rFonts w:ascii="Times New Roman" w:hAnsi="Times New Roman"/>
          <w:color w:val="0070C0"/>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8A2E5A">
        <w:rPr>
          <w:rFonts w:ascii="Times New Roman" w:hAnsi="Times New Roman"/>
          <w:color w:val="0070C0"/>
          <w:sz w:val="16"/>
          <w:szCs w:val="16"/>
        </w:rPr>
        <w:softHyphen/>
        <w:t>тря на цикл доводочных испытаний, проведенных в мае, августе, ноябре 1943 и январе 1944 г., полностью устра</w:t>
      </w:r>
      <w:r w:rsidRPr="008A2E5A">
        <w:rPr>
          <w:rFonts w:ascii="Times New Roman" w:hAnsi="Times New Roman"/>
          <w:color w:val="0070C0"/>
          <w:sz w:val="16"/>
          <w:szCs w:val="16"/>
        </w:rPr>
        <w:softHyphen/>
        <w:t>нить производственные и конструктивные недостатки держателей не удалось (23381).</w:t>
      </w:r>
    </w:p>
    <w:p w14:paraId="68677242" w14:textId="77777777" w:rsidR="0066141A" w:rsidRPr="008A2E5A" w:rsidRDefault="0066141A" w:rsidP="0066141A">
      <w:pPr>
        <w:spacing w:after="0" w:line="240" w:lineRule="auto"/>
        <w:jc w:val="both"/>
        <w:rPr>
          <w:rFonts w:ascii="Times New Roman" w:hAnsi="Times New Roman"/>
          <w:color w:val="0070C0"/>
          <w:sz w:val="16"/>
          <w:szCs w:val="16"/>
        </w:rPr>
      </w:pPr>
    </w:p>
    <w:p w14:paraId="1F4C86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вышел приказа НКАП N 328с:</w:t>
      </w:r>
    </w:p>
    <w:p w14:paraId="55CBCA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организации производства ремонта и перевооружения иностранных самолетов ПРИКАЗЫВАЮ:</w:t>
      </w:r>
    </w:p>
    <w:p w14:paraId="061B98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системе 6 ГУ организовать "Отдел иностранных самолетов" (6 чел.).</w:t>
      </w:r>
    </w:p>
    <w:p w14:paraId="6BA8D6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Назначить Нач. отдела тов. А.П.Голубкова</w:t>
      </w:r>
    </w:p>
    <w:p w14:paraId="474921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Были приложены Предложения и в функции отдела входило:</w:t>
      </w:r>
    </w:p>
    <w:p w14:paraId="5B9248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Организация сборки вновь поступаемых из заграницы самолетов, моторов, авиаоборудования</w:t>
      </w:r>
    </w:p>
    <w:p w14:paraId="15F059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Организация ремонта</w:t>
      </w:r>
    </w:p>
    <w:p w14:paraId="40B20B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Переоборудование</w:t>
      </w:r>
    </w:p>
    <w:p w14:paraId="0961BB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Изучение боевой эксплуатации</w:t>
      </w:r>
    </w:p>
    <w:p w14:paraId="0572F2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 Разработка техдокументации... (1613,145).</w:t>
      </w:r>
    </w:p>
    <w:p w14:paraId="25CB01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579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Нач. 11 ГУ И.Куликов писал письмо N 55 Зам. НКАП А.И.Кузнецову:</w:t>
      </w:r>
    </w:p>
    <w:p w14:paraId="1F3EC7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 О.К.А. создан удачный тип семиместного планера, принятого на вооружение ВДВ КА. Серийное производство указанного планера поставлено на заводах 11 ГУ и к настоящему времени выпущено более 90 планеров.</w:t>
      </w:r>
    </w:p>
    <w:p w14:paraId="467268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присвоить О.К.А. звание ГК 2-й категории с установлением ему оклада 3000 руб. в месяц, согласно приказа N 300сс по НКАП." (2503,22).</w:t>
      </w:r>
    </w:p>
    <w:p w14:paraId="2E2EB8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DD11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72B91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A5E54"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29 апреля 1942 г. Приказом наркома танковой промышленности </w:t>
      </w:r>
      <w:proofErr w:type="gramStart"/>
      <w:r w:rsidRPr="008A2E5A">
        <w:rPr>
          <w:rFonts w:ascii="Times New Roman" w:hAnsi="Times New Roman"/>
          <w:color w:val="0070C0"/>
          <w:sz w:val="16"/>
          <w:szCs w:val="16"/>
        </w:rPr>
        <w:t>от заводу</w:t>
      </w:r>
      <w:proofErr w:type="gramEnd"/>
      <w:r w:rsidRPr="008A2E5A">
        <w:rPr>
          <w:rFonts w:ascii="Times New Roman" w:hAnsi="Times New Roman"/>
          <w:color w:val="0070C0"/>
          <w:sz w:val="16"/>
          <w:szCs w:val="16"/>
        </w:rPr>
        <w:t xml:space="preserve"> № 37 было предписано перейти на ежесуточный выпуск 15 танков (вместо 20-25) и передать освободившееся оборудование заводу № 76[465].</w:t>
      </w:r>
    </w:p>
    <w:p w14:paraId="1A019AA1"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Тем не менее с конца 1941 г. и по середину 1942 г. завод непрерывно увеличивал выпуск легких танков. Уже в течение II квартала 1942 г. он фактически вышел на уровень планового производства. Всего за период своего существования в Свердловске завод № 37 произвел 1249 легких </w:t>
      </w:r>
      <w:proofErr w:type="gramStart"/>
      <w:r w:rsidRPr="008A2E5A">
        <w:rPr>
          <w:rFonts w:ascii="Times New Roman" w:hAnsi="Times New Roman"/>
          <w:color w:val="0070C0"/>
          <w:sz w:val="16"/>
          <w:szCs w:val="16"/>
        </w:rPr>
        <w:t>танков[</w:t>
      </w:r>
      <w:proofErr w:type="gramEnd"/>
      <w:r w:rsidRPr="008A2E5A">
        <w:rPr>
          <w:rFonts w:ascii="Times New Roman" w:hAnsi="Times New Roman"/>
          <w:color w:val="0070C0"/>
          <w:sz w:val="16"/>
          <w:szCs w:val="16"/>
        </w:rPr>
        <w:t>466]. По данным А. А. Антуфьева, завод в 1942 г. выпустил 1218 танков Т-60 и около десяти Т-70[467]. По другим данным - 1219 легких танков Т-30 и Т-60 (23536).</w:t>
      </w:r>
    </w:p>
    <w:p w14:paraId="4A95CB5C" w14:textId="77777777" w:rsidR="0066141A" w:rsidRPr="008A2E5A" w:rsidRDefault="0066141A" w:rsidP="0066141A">
      <w:pPr>
        <w:spacing w:after="0" w:line="240" w:lineRule="auto"/>
        <w:jc w:val="both"/>
        <w:rPr>
          <w:rFonts w:ascii="Times New Roman" w:hAnsi="Times New Roman"/>
          <w:color w:val="0070C0"/>
          <w:sz w:val="16"/>
          <w:szCs w:val="16"/>
        </w:rPr>
      </w:pPr>
    </w:p>
    <w:p w14:paraId="7D8C4B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вышло Постановление ГКО № 1675 О производстве огневых средств во II кв. 1942 г. РГАНИР, Фонд ГКО, д. 32, лл. 90, 91-93 (11012).</w:t>
      </w:r>
    </w:p>
    <w:p w14:paraId="0A3C87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9AA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вышло Постановление ГКО № 1676 О т.т. Истомине Н.А., Соболеве П.В., Абрамове Н.В., Киселеве А.Н., Литвинове А.И., Родионове В.И., Сычеве В.А., Ткаченко Ф.Г., Иконникове А.А., Верове Ф.Ф. и Савкине В.Г. РГАНИР, Фонд ГКО, д. 32, лл. 94 (11012).</w:t>
      </w:r>
    </w:p>
    <w:p w14:paraId="0C6BCA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528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вышло Постановление ГКО № 1677 О т.т. Попкове П.С., Кочеткове П.В., Романове Г.П., Грачеве Л.П., Санакоеве Г.Г. и Зеленкове М.Н. РГАНИР, Фонд ГКО, д. 32, лл. 95 (11012).</w:t>
      </w:r>
    </w:p>
    <w:p w14:paraId="5E2455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36D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вышло Постановление ГКО № 1678 О т.т. Сусайкове И.З. и Колобякове А.Ф. РГАНИР, Фонд ГКО, д. 32, лл. 96 (11012).</w:t>
      </w:r>
    </w:p>
    <w:p w14:paraId="3FAE29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BF1C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года вышел приказ № 225сс НКВ</w:t>
      </w:r>
    </w:p>
    <w:p w14:paraId="23269078"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ГОКО № 1646сс от 25 апреля 1942 года</w:t>
      </w:r>
    </w:p>
    <w:p w14:paraId="19812223"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3 Гл. управления организовать патронный завод по производству 7,62мм патронов к пистолетам-пулеметам на площадях завода № 46 Кунцево. Присвоить вновь организуемому патронному заводу № 304 (6318, 231).</w:t>
      </w:r>
    </w:p>
    <w:p w14:paraId="0A076AB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94B0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г. О выполнении программы предприятиями горнорудной промышленности края за первый квартал 1942 года</w:t>
      </w:r>
    </w:p>
    <w:p w14:paraId="3850E5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секретаря крайкома ВКП (б) в ЦК ВКП (б)</w:t>
      </w:r>
    </w:p>
    <w:p w14:paraId="128E8316"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г.Красноярск 29 апреля 1942 г.</w:t>
      </w:r>
    </w:p>
    <w:p w14:paraId="0047A0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золотодобычи за первый квартал по краю выполнена на 90%, в том числе трест Енисейзолото на 85%, трест Хакассзолото на 89% и комбинат Минусазолото на 102,8%.</w:t>
      </w:r>
    </w:p>
    <w:p w14:paraId="56F3D9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Добыча марганцевой руды Мазульским рудником выполнена на 102,5%. Рудник вместо 29,8 тыс[яч] </w:t>
      </w:r>
      <w:proofErr w:type="gramStart"/>
      <w:r w:rsidRPr="008127F8">
        <w:rPr>
          <w:rFonts w:ascii="Times New Roman" w:hAnsi="Times New Roman"/>
          <w:color w:val="000000" w:themeColor="text1"/>
          <w:sz w:val="16"/>
          <w:szCs w:val="16"/>
        </w:rPr>
        <w:t>тонн</w:t>
      </w:r>
      <w:proofErr w:type="gramEnd"/>
      <w:r w:rsidRPr="008127F8">
        <w:rPr>
          <w:rFonts w:ascii="Times New Roman" w:hAnsi="Times New Roman"/>
          <w:color w:val="000000" w:themeColor="text1"/>
          <w:sz w:val="16"/>
          <w:szCs w:val="16"/>
        </w:rPr>
        <w:t xml:space="preserve"> добытых в первом квартале 1941 года выдал в первом квартале этого года 61,5 тыс[яч] тонн руды, или 206%.</w:t>
      </w:r>
    </w:p>
    <w:p w14:paraId="63E3C7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Комбинат “Раздольстрой” квартальную программу по выпуску черновой сурьмы выполнил на 103% и по рафинированной – на 100%.</w:t>
      </w:r>
    </w:p>
    <w:p w14:paraId="347886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по добыче вольфрамового концентрата рудником “Туимредмет” выполнена за первый квартал на 105,2% и молибденовому концентрату на 104,5%.</w:t>
      </w:r>
    </w:p>
    <w:p w14:paraId="0ECD46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 в выполнении программы золотодобычи объясняется, главным образом, отсутствием в течение уже более 4-х месяцев растворителя золота (цианплава). В настоящее время, извлечение золота из руд осуществляется путем амальгамации и гравитационным способом, но в сумме процент извлечения достигает не более 50%, тогда как цианированием извлекали более 90%. Предприятия, вследствие уменьшения процента извлечения золота, перешли на обработку более богатых руд, но при этом в отвальном продукте остается половина и более золота. Накопление такого золотосодержащего продукта требует больших затрат на его хранение и при этом неизбежны безвозвратные потери.</w:t>
      </w:r>
    </w:p>
    <w:p w14:paraId="740821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Наркомцветмет, ссылаясь на транспортные затруднения, не обеспечивает золотоизвлекательные заводы цианплавом и вместе с тем, имея сигналы о ненормальной работе предприятий, достаточных мер по улучшению деятельности золотодобывающих трестов не принял. Предприятия ждут от Наркомата принципиальных установок, связанных с изменением технологического процесса, но таких установок пока нет.</w:t>
      </w:r>
    </w:p>
    <w:p w14:paraId="76EAB6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Отсутствие циана в ближайшее время поставит предприятия с рудной золотодобычей треста Хакассзолото и комбината Минусазолото в затруднительное финансовое состояние, увеличит количественно недоданного золота, т.к. запасов </w:t>
      </w:r>
      <w:proofErr w:type="gramStart"/>
      <w:r w:rsidRPr="008127F8">
        <w:rPr>
          <w:rFonts w:ascii="Times New Roman" w:hAnsi="Times New Roman"/>
          <w:color w:val="000000" w:themeColor="text1"/>
          <w:sz w:val="16"/>
          <w:szCs w:val="16"/>
        </w:rPr>
        <w:t>богатой руды</w:t>
      </w:r>
      <w:proofErr w:type="gramEnd"/>
      <w:r w:rsidRPr="008127F8">
        <w:rPr>
          <w:rFonts w:ascii="Times New Roman" w:hAnsi="Times New Roman"/>
          <w:color w:val="000000" w:themeColor="text1"/>
          <w:sz w:val="16"/>
          <w:szCs w:val="16"/>
        </w:rPr>
        <w:t xml:space="preserve"> обеспечивающих выполнение программы при пониженном проценте извлечения окажется недостаточным.</w:t>
      </w:r>
    </w:p>
    <w:p w14:paraId="2562F86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за первый квартал трест Хак[асс]золото из-за отсутствия цианплава недодал свыше 200 килограммов золота, а потери золота на золотоизвлекательном заводе комбината Минусазолото оказались настолько большими, что Главзолото дало санкцию на его консервацию. Однако завод комбината вынужден был работать при больших потерях золота, т.к. снижение добычи последнего грозило срывом выплаты зарплаты рабочим и служащим.</w:t>
      </w:r>
    </w:p>
    <w:p w14:paraId="60E099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полное прекращение снабжения предприятий цианплавом ставит под серьезную угрозу выполнение программы золотодобычи и резко ухудшает хозяйственно-финансовые дела золотодобывающих трестов. В связи с изложенным, мы просим Вас поручить Наркомцветмету срочно обеспечить предприятия золотой промышленности цианплавом, или же внести необходимые изменения в работу золотой промышленности связанных с прекращением снабжения цианплавом.</w:t>
      </w:r>
    </w:p>
    <w:p w14:paraId="237D10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крайкома ВКП (б) подпись И. Голубев</w:t>
      </w:r>
    </w:p>
    <w:p w14:paraId="0FFD59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ГАКК. Ф.П-26. Оп.3. Д.282. Л.21-22. Подлинник. Машинопись (11799).</w:t>
      </w:r>
    </w:p>
    <w:p w14:paraId="054D8B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146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начало постройки самоходных тендеров и плашкоутов. "Судомех" к навигации 1942 г. по собственной инициативе создал проекты контактных катерных и змейковых тралов и приступил к их изготовлению. За период блокады флоту передано около 1200 комплектов контактных и неконтактных тралов. Группа работников ЛФТИ и военных моряков за изобретение и внедрение метода противоминной защиты кораблей удостоена Государственной премии 1 степени. Многие участники этой работы были удостоены правительственных наград (10671).</w:t>
      </w:r>
    </w:p>
    <w:p w14:paraId="7F5C0C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39C7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7A62F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31DF5"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в 1942 году утреннее сообщение Совинформбюро:</w:t>
      </w:r>
    </w:p>
    <w:p w14:paraId="5A21433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29 апреля на фронте чего-либо существенного не произошло.</w:t>
      </w:r>
    </w:p>
    <w:p w14:paraId="491BFDD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три дня боёв уничтожили свыше 1.600 вражеских солдат и офицеров. Огнём советской артиллерии и действиями разведывательных групп разрушено 5 ДЗОТов, 17 блиндажей, уничтожено 4 миномёта, 16 пулемётов, 2 автомашины и 10 повозок с военным грузом.</w:t>
      </w:r>
    </w:p>
    <w:p w14:paraId="51E582F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одном из участков Северо-Западного фронта гитлеровцы при поддержке танков пытались атаковать наши подразделения. Артиллеристы под командованием </w:t>
      </w:r>
      <w:proofErr w:type="gramStart"/>
      <w:r w:rsidRPr="008127F8">
        <w:rPr>
          <w:rFonts w:ascii="Times New Roman" w:hAnsi="Times New Roman"/>
          <w:color w:val="000000" w:themeColor="text1"/>
          <w:sz w:val="16"/>
          <w:szCs w:val="16"/>
        </w:rPr>
        <w:t>тов.Шерикалова</w:t>
      </w:r>
      <w:proofErr w:type="gramEnd"/>
      <w:r w:rsidRPr="008127F8">
        <w:rPr>
          <w:rFonts w:ascii="Times New Roman" w:hAnsi="Times New Roman"/>
          <w:color w:val="000000" w:themeColor="text1"/>
          <w:sz w:val="16"/>
          <w:szCs w:val="16"/>
        </w:rPr>
        <w:t xml:space="preserve"> выкатили орудия на открытые позиции и почти в упор расстреляли 4 вражеских танка. Противник понёс также большие потери в живой силе и был вынужден отступить. На другом участке группа наших бойцов под руководством политрука тов. Жмурова ворвалась в деревню В. Разгорелась рукопашная </w:t>
      </w:r>
      <w:proofErr w:type="gramStart"/>
      <w:r w:rsidRPr="008127F8">
        <w:rPr>
          <w:rFonts w:ascii="Times New Roman" w:hAnsi="Times New Roman"/>
          <w:color w:val="000000" w:themeColor="text1"/>
          <w:sz w:val="16"/>
          <w:szCs w:val="16"/>
        </w:rPr>
        <w:t>схватка.Немцы</w:t>
      </w:r>
      <w:proofErr w:type="gramEnd"/>
      <w:r w:rsidRPr="008127F8">
        <w:rPr>
          <w:rFonts w:ascii="Times New Roman" w:hAnsi="Times New Roman"/>
          <w:color w:val="000000" w:themeColor="text1"/>
          <w:sz w:val="16"/>
          <w:szCs w:val="16"/>
        </w:rPr>
        <w:t xml:space="preserve"> потеряли в этом бою убитыми более 100 солдат и офицеров. Красноармейцы уничтожили 4 вражеских орудия и 3 пулемёта, разрушили телефонную связь. Уубитого фашистского офицера взяты важные документы.</w:t>
      </w:r>
    </w:p>
    <w:p w14:paraId="6CDED6A2"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разведывательная группа, действующая в глубоком тылу врага, совершила ночной налёт на немецкий гарнизон в селе Е. Разведчики перебили несколько десятков немцев и быстро отошли. В это время к селу подходила вражеская часть. Не разобравшись в обстановке, гитлеровцы стали обстреливать из миномётов и пулемётов свой гарнизон, находившийся в селе. Наши разведчики в течение трёх часов наблюдали завязавшуюся перепалку между немцами.</w:t>
      </w:r>
    </w:p>
    <w:p w14:paraId="3BDD03EE"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Вражеский пулемёт мешал нашим бойцам продвигаться вперёд. Красноармеец Фокинпо-пластунски подполз к огневой точке и из автомата уничтожил пулеметный расчёт противника.</w:t>
      </w:r>
    </w:p>
    <w:p w14:paraId="28EC9DB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тт. Леонтьев и Жуков за один день уничтожили 15 гитлеровцев.</w:t>
      </w:r>
    </w:p>
    <w:p w14:paraId="186AA682"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 убитого немецкого солдата Августа Кофлера найдено письмо к отцу в Потсдам. В письме говорится: «Мы лежим в сырых землянках. Всюду слякоть и грязь. Старые фронтовики озлоблены и целые дни ругаются. Они считают себя обманутыми. Им обещали к весне отпуск, но нагло надули... Эта неделя прошла спокойнее, чем </w:t>
      </w:r>
      <w:r w:rsidRPr="008127F8">
        <w:rPr>
          <w:rFonts w:ascii="Times New Roman" w:hAnsi="Times New Roman"/>
          <w:color w:val="000000" w:themeColor="text1"/>
          <w:sz w:val="16"/>
          <w:szCs w:val="16"/>
        </w:rPr>
        <w:lastRenderedPageBreak/>
        <w:t xml:space="preserve">предыдущая, и всё-таки рота потеряла 47 человек убитыми и пропавшими без </w:t>
      </w:r>
      <w:proofErr w:type="gramStart"/>
      <w:r w:rsidRPr="008127F8">
        <w:rPr>
          <w:rFonts w:ascii="Times New Roman" w:hAnsi="Times New Roman"/>
          <w:color w:val="000000" w:themeColor="text1"/>
          <w:sz w:val="16"/>
          <w:szCs w:val="16"/>
        </w:rPr>
        <w:t>вести.Уже</w:t>
      </w:r>
      <w:proofErr w:type="gramEnd"/>
      <w:r w:rsidRPr="008127F8">
        <w:rPr>
          <w:rFonts w:ascii="Times New Roman" w:hAnsi="Times New Roman"/>
          <w:color w:val="000000" w:themeColor="text1"/>
          <w:sz w:val="16"/>
          <w:szCs w:val="16"/>
        </w:rPr>
        <w:t xml:space="preserve"> 6 дней подряд никто из посланных в разведку не возвращается. Солдаты прозвали разведчиков смертниками... Наша, судьба предрешена. Впереди нет ничего светлого».</w:t>
      </w:r>
    </w:p>
    <w:p w14:paraId="4E8291D5"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середине апреля произошло восстание батальона румынских </w:t>
      </w:r>
      <w:proofErr w:type="gramStart"/>
      <w:r w:rsidRPr="008127F8">
        <w:rPr>
          <w:rFonts w:ascii="Times New Roman" w:hAnsi="Times New Roman"/>
          <w:color w:val="000000" w:themeColor="text1"/>
          <w:sz w:val="16"/>
          <w:szCs w:val="16"/>
        </w:rPr>
        <w:t>солдат,направлявшегося</w:t>
      </w:r>
      <w:proofErr w:type="gramEnd"/>
      <w:r w:rsidRPr="008127F8">
        <w:rPr>
          <w:rFonts w:ascii="Times New Roman" w:hAnsi="Times New Roman"/>
          <w:color w:val="000000" w:themeColor="text1"/>
          <w:sz w:val="16"/>
          <w:szCs w:val="16"/>
        </w:rPr>
        <w:t xml:space="preserve"> на советско-германский фронт. Недалеко от станции Браилов солдаты остановили поезд, вышли из вагонов и потребовали отпустить их </w:t>
      </w:r>
      <w:proofErr w:type="gramStart"/>
      <w:r w:rsidRPr="008127F8">
        <w:rPr>
          <w:rFonts w:ascii="Times New Roman" w:hAnsi="Times New Roman"/>
          <w:color w:val="000000" w:themeColor="text1"/>
          <w:sz w:val="16"/>
          <w:szCs w:val="16"/>
        </w:rPr>
        <w:t>домой.Офицеры</w:t>
      </w:r>
      <w:proofErr w:type="gramEnd"/>
      <w:r w:rsidRPr="008127F8">
        <w:rPr>
          <w:rFonts w:ascii="Times New Roman" w:hAnsi="Times New Roman"/>
          <w:color w:val="000000" w:themeColor="text1"/>
          <w:sz w:val="16"/>
          <w:szCs w:val="16"/>
        </w:rPr>
        <w:t xml:space="preserve"> пытались с револьверами в руках загнать солдат в вагоны, но были перебиты. Прибывший на место происшествия карательный отряд, расстрелял около 40 солдат. Многие арестованы. Значительной части солдат удалось скрыться.» (15114).</w:t>
      </w:r>
    </w:p>
    <w:p w14:paraId="02217299"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5835FF5E"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в 1942 году вечернее сообщение Совинформбюро:</w:t>
      </w:r>
    </w:p>
    <w:p w14:paraId="2A92A44D"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29 апреля на фронте чего-либо существенного не произошло.</w:t>
      </w:r>
    </w:p>
    <w:p w14:paraId="56B5DEB6"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апреля уничтожено 75 немецких самолётов. Наши потери — 14 самолётов.</w:t>
      </w:r>
    </w:p>
    <w:p w14:paraId="1A2DC390"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апреля частями нашей авиации уничтожено или повреждено 8 немецких бронемашин и танкеток, 109 автомашин с войсками и грузами, 9 полевых и зенитных орудий, 7 зенитно-пулемётных точек, подавлен огонь нескольких артиллерийских и миномётных батарей, рассеяно и частью уничтожено до двух рот пехоты противника.</w:t>
      </w:r>
    </w:p>
    <w:p w14:paraId="68B41DD0"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Западного фронта, за два дня боевых действий уничтожили до 1.000 солдат и офицеров противника. На другом участке фронта гитлеровцы пытались было перейти в атаку на наш оборонительный рубеж. Встретив сосредоточенный огонь наших бойцов, немцы отступили, потеряв убитыми около 300 солдат и офицеров.</w:t>
      </w:r>
    </w:p>
    <w:p w14:paraId="60E89EB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стрелковая дивизия, действующая на одном из участков Северо-Западного фронта, за три месяца боевых действий уничтожила около 10.000 немецких солдат и офицеров. За указанный период времени дивизия захватила у противника 70 орудий,100 пулемётов, 20 миномётов, 3 танка, 50 автомашин, 7 тракторов, 10 мотоциклов, 50 велосипедов, 6 радиостанций, 3 склада с боеприпасами и военным имуществом.</w:t>
      </w:r>
    </w:p>
    <w:p w14:paraId="571E7AE5"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Красноармейцы-снайперы наносят большой урон живой силе гитлеровцев. Снайперская группа одной нашей части (Западный фронт) уничтожила 362 немецких солдата и офицера. Младший политрук этой части Косунбеков уничтожил 55 немцев, красноармеец Буров — 50, Ногин — 48, Ромазанов — 35.</w:t>
      </w:r>
    </w:p>
    <w:p w14:paraId="475D92E9"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другой нашей части (Крымский фронт) за 27 апреля истребили 50 гитлеровцев.</w:t>
      </w:r>
    </w:p>
    <w:p w14:paraId="6BD9C7D0"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Разведывательный отряд нашей части (Калининский фронт), проникнув в тылпротивника, совершил внезапный налёт на пункт М. и уничтожил немецкий гарнизон в количестве 110 солдат и офицеров. Захвачены пленные.</w:t>
      </w:r>
    </w:p>
    <w:p w14:paraId="1CD3683B"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Сапёры сержант Лейт и красноармейцы Изгорешев и Ектов установили, что немцыпостроили мост через реку Р. Наши сапёры соорудили деревянный плот и нагрузилина него взрывчатые вещества и мины. Когда стемнело, бойцы зажгли шнур замедленного действия и пустили плот по реке. Он быстро поплыл по течению и остановился около моста. Вскоре раздался взрыв большой силы. Мост взлетел на воздух.</w:t>
      </w:r>
    </w:p>
    <w:p w14:paraId="75526809"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Партизанский отряд «Лазо» атаковал и разгромил колонну немецкой пехоты, двигавшуюся по большаку между двумя населёнными пунктами Смоленской </w:t>
      </w:r>
      <w:proofErr w:type="gramStart"/>
      <w:r w:rsidRPr="008127F8">
        <w:rPr>
          <w:rFonts w:ascii="Times New Roman" w:hAnsi="Times New Roman"/>
          <w:color w:val="000000" w:themeColor="text1"/>
          <w:sz w:val="16"/>
          <w:szCs w:val="16"/>
        </w:rPr>
        <w:t>области.Немцы</w:t>
      </w:r>
      <w:proofErr w:type="gramEnd"/>
      <w:r w:rsidRPr="008127F8">
        <w:rPr>
          <w:rFonts w:ascii="Times New Roman" w:hAnsi="Times New Roman"/>
          <w:color w:val="000000" w:themeColor="text1"/>
          <w:sz w:val="16"/>
          <w:szCs w:val="16"/>
        </w:rPr>
        <w:t xml:space="preserve"> потеряли убитыми свыше 170 солдат и офицеров. Партизаны захватили 4 станковых и 3 ручных пулемёта, 5 миномётов, 10 велосипедов, большое количество гранат и патронов.</w:t>
      </w:r>
    </w:p>
    <w:p w14:paraId="756E21D8"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2 роты 513 полка 294 немецкой пехотной дивизии Вальтер Вельдрассказал: «Наш взвод получил приказ удержать до утра высоту, находящуюся в четырёх километрах от пункта С. Ночью русские </w:t>
      </w:r>
      <w:proofErr w:type="gramStart"/>
      <w:r w:rsidRPr="008127F8">
        <w:rPr>
          <w:rFonts w:ascii="Times New Roman" w:hAnsi="Times New Roman"/>
          <w:color w:val="000000" w:themeColor="text1"/>
          <w:sz w:val="16"/>
          <w:szCs w:val="16"/>
        </w:rPr>
        <w:t>нас</w:t>
      </w:r>
      <w:proofErr w:type="gramEnd"/>
      <w:r w:rsidRPr="008127F8">
        <w:rPr>
          <w:rFonts w:ascii="Times New Roman" w:hAnsi="Times New Roman"/>
          <w:color w:val="000000" w:themeColor="text1"/>
          <w:sz w:val="16"/>
          <w:szCs w:val="16"/>
        </w:rPr>
        <w:t xml:space="preserve"> окружили. После непродолжительного боя от взвода осталось всего 5 человек, и мы сдались в плен. Солдаты не верят, что весна принесёт германской армии победу. Настроение у всех мрачное. Все ходят злые и угрюмые. Недавно из роты дезертировал командир 2 взвода фельдфебель Краузе. Нам сообщили, что его поймали где-то в тылу и расстреляли».</w:t>
      </w:r>
    </w:p>
    <w:p w14:paraId="1D154FF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 убитого обер-ефрейтора Ганса Шмидта найдено неотправленное письмо к жене. Он писал: «...О нашей жизни лучше не говорить: до того она безрадостна. У всех нас только одна мысль: когда же, наконец, кончится эта проклятая война! Неужелимы все погибнем здесь? Русские становятся ещё упорней... Мы совсем </w:t>
      </w:r>
      <w:proofErr w:type="gramStart"/>
      <w:r w:rsidRPr="008127F8">
        <w:rPr>
          <w:rFonts w:ascii="Times New Roman" w:hAnsi="Times New Roman"/>
          <w:color w:val="000000" w:themeColor="text1"/>
          <w:sz w:val="16"/>
          <w:szCs w:val="16"/>
        </w:rPr>
        <w:t>опустились,н</w:t>
      </w:r>
      <w:proofErr w:type="gramEnd"/>
      <w:r w:rsidRPr="008127F8">
        <w:rPr>
          <w:rFonts w:ascii="Times New Roman" w:hAnsi="Times New Roman"/>
          <w:color w:val="000000" w:themeColor="text1"/>
          <w:sz w:val="16"/>
          <w:szCs w:val="16"/>
        </w:rPr>
        <w:t xml:space="preserve"> е снимаем одежды и сапог. Вши окончательно одолели, и нет возможности избавиться от них».</w:t>
      </w:r>
    </w:p>
    <w:p w14:paraId="55AA3B68"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выбив немцев из селения Лутовна, Смоленской области, обнаружили истерзанные трупы 37 красноармейцев. Очевидцы — местные жители — рассказали, что гитлеровцы подвергли советских бойцов чудовищным пыткам и издевательствам. Немецко-фашистские изверги подвесили шестерых пленных на дереве и развели под ним костер. У семи красноармейцев выколоты глаза, у многих отрезаны уши, вырваны ногти, вывернуты руки и ноги.</w:t>
      </w:r>
    </w:p>
    <w:p w14:paraId="7EB5DBD8"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Ночью 11 апреля отряды гитлеровцев угнали всех жителей многих деревеньВаршавского воеводства (Польша) на ближайшую железнодорожную станцию. Крестьян насильно погрузили в товарные вагоны и отправили на принудительные работы в Германию.» (15114).</w:t>
      </w:r>
    </w:p>
    <w:p w14:paraId="21BFF039"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5B6F6C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командование ВВС издало приказ Об изучении и внедрении опыта Отечественной войны в частях ВВС КА, который требовал от командиров всех степеней лично обобщать все лучшее в боевой работе авиации и на основе этого резко поднять боеспособность ВВС (505,221).</w:t>
      </w:r>
    </w:p>
    <w:p w14:paraId="5CAF15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850BF"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6CE76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B307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нарком Берия и Прокурор СССР Бочков подписали совместную директиву № 185, изменявшую директиву № 221 от 22 июня 1941-го: заключенные, уже отбывшие свои сроки и “задержанные” в лагерях и колониях (на 1 января 1942 года - 50 296 человек), теперь из-под стражи освобождались (кроме осужденных за “изменну Родине, террор, шпионаж, диверсии, троцкистов, правых и бандитов”, которым объявлялось, “что они оставлены под стражей до окончания войны”); однако и все освобожденные оставлялись в лагерях на положении вольнонаемных без права выезда из районов работ “до окончания войны”; начальники ИТЛ могли “освобождать вовсе на общих основаниях” лишь “полных инвалидов”, нетрудоспособных, стариков и женщин с детьми - “в случае полной невозможности использования в лагерях” (7560).</w:t>
      </w:r>
    </w:p>
    <w:p w14:paraId="1430C6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357E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2C0F9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7555" w14:textId="77777777" w:rsidR="00C40A00" w:rsidRPr="008127F8" w:rsidRDefault="00C40A00"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29–30 апреля (ночь) 1942 Армстронг Уитворт Уитли совершает свой последний полет на службе бомбардировочного командования Королевских ВВС во время атаки на Остенде, Бельгия (20793).</w:t>
      </w:r>
    </w:p>
    <w:p w14:paraId="06E127D5" w14:textId="77777777" w:rsidR="00C40A00" w:rsidRPr="008127F8" w:rsidRDefault="00C40A00" w:rsidP="001E0A84">
      <w:pPr>
        <w:spacing w:after="0" w:line="240" w:lineRule="auto"/>
        <w:jc w:val="both"/>
        <w:rPr>
          <w:rFonts w:ascii="Times New Roman" w:hAnsi="Times New Roman"/>
          <w:color w:val="000000" w:themeColor="text1"/>
          <w:sz w:val="16"/>
          <w:szCs w:val="16"/>
        </w:rPr>
      </w:pPr>
    </w:p>
    <w:p w14:paraId="4031DFD3" w14:textId="77777777" w:rsidR="000F0A32" w:rsidRPr="008127F8" w:rsidRDefault="000F0A32" w:rsidP="001E0A84">
      <w:pPr>
        <w:pStyle w:val="11b"/>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 29 апреля 1942 г. велись Бомбардировки города Пльзень союзниками (19083).</w:t>
      </w:r>
    </w:p>
    <w:p w14:paraId="54648070" w14:textId="77777777" w:rsidR="000F0A32" w:rsidRPr="008127F8" w:rsidRDefault="000F0A32" w:rsidP="001E0A84">
      <w:pPr>
        <w:pStyle w:val="11b"/>
        <w:shd w:val="clear" w:color="auto" w:fill="auto"/>
        <w:spacing w:after="0" w:line="240" w:lineRule="auto"/>
        <w:jc w:val="both"/>
        <w:rPr>
          <w:rFonts w:ascii="Times New Roman" w:hAnsi="Times New Roman" w:cs="Times New Roman"/>
          <w:color w:val="000000" w:themeColor="text1"/>
          <w:sz w:val="16"/>
          <w:szCs w:val="16"/>
        </w:rPr>
      </w:pPr>
    </w:p>
    <w:p w14:paraId="2EA030EA"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в Бельгии из-за диверсионного взрыва взорвалась химическая фабрика, погибло до 250 чел. (4962).</w:t>
      </w:r>
    </w:p>
    <w:p w14:paraId="52814DE2"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95BEE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Муссолини и Гитлер встретились недалеко от Зальцбурга (4962).</w:t>
      </w:r>
    </w:p>
    <w:p w14:paraId="1CC8872C"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656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А.Гитлер и Б.Муссолини встретились в Зальцбурге (2261).</w:t>
      </w:r>
    </w:p>
    <w:p w14:paraId="2C6B3E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73516"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в 1942 году (29-30 апреля) совещание Адольфа Гитлера и Бенито Муссолини в Зальцбурге и Берхтесгадене о планах войны на 1942 г. Принятие ими решения о наступлении в Северной Африке и переносе срока проведения операции по захвату Мальты на июль (15114).</w:t>
      </w:r>
    </w:p>
    <w:p w14:paraId="45FC5CB7"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7D7DBC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апреля 1942 евреи во всех оккупированных Германией странах должны были носить знак в виде звезды Давида (2245,3).</w:t>
      </w:r>
    </w:p>
    <w:p w14:paraId="5BB5B3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25A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японцы захватили Lashio (2261).</w:t>
      </w:r>
    </w:p>
    <w:p w14:paraId="0F18228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11F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японцы перерезали дорогу, связывающую Бирму с Китаем (3186).</w:t>
      </w:r>
    </w:p>
    <w:p w14:paraId="5C566E9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DD5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японские войска высадились на побережье о Миндао (3186).</w:t>
      </w:r>
    </w:p>
    <w:p w14:paraId="2B677F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2AE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апреля 1942 союзники открыли воздушный мост из Ассама (Индия) в Китай (3186).</w:t>
      </w:r>
    </w:p>
    <w:p w14:paraId="624ED0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32CAF" w14:textId="77777777" w:rsidR="00677885" w:rsidRPr="008127F8" w:rsidRDefault="00677885"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8C5FBB4" w14:textId="77777777" w:rsidR="00677885" w:rsidRPr="008127F8" w:rsidRDefault="00677885"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62932"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20-х числах апреля 1942 руководство ГАУ КА выдало директору заводу №592 Д.Ф. Панкратову задание на разработку «122 мм гаубичной самоходной установки на базе танка Т-34». Появление завода №592 в качестве разработчика САУ на базе Т-34 не выглядело случайностью. Напрямую об этом не говорилось, но наличие </w:t>
      </w:r>
      <w:r w:rsidRPr="008127F8">
        <w:rPr>
          <w:rFonts w:ascii="Times New Roman" w:eastAsia="Times New Roman" w:hAnsi="Times New Roman"/>
          <w:color w:val="000000" w:themeColor="text1"/>
          <w:sz w:val="16"/>
          <w:szCs w:val="16"/>
          <w:lang w:eastAsia="ru-RU"/>
        </w:rPr>
        <w:lastRenderedPageBreak/>
        <w:t>второго разработчика позволяло подстраховаться на тот случай, если работы на заводе №8 снова зайдут в тупик. К тому же в Мытищах все равно разрабатывали САУ с использованием системы М-30. Вполне логично было использовать имеющийся опыт по проектированию СГ-122 в целях создания САУ на базе Т-34.</w:t>
      </w:r>
    </w:p>
    <w:p w14:paraId="1A771FDC"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Работы по проектированию самоходной установки, получившей внутреннее обозначение СГ-122М, шли относительно медленно. Отчасти это связано с тем, что проект СГ-122 имел больший приоритет. Для решения задачи коллектив КБ завода №592 усилили, но технический проект СГ-122 удалось закончить лишь к середине июня 1942 года. К тому времени у гаубицы М-30 появилась альтернатива, напрямую связанная с деятельностью КБ УЗТМ и завода №8. В ноябре-декабре 1941 года там разработали 122-мм танковое орудие У-11 для установки в башню тяжелого танка КВ-1.</w:t>
      </w:r>
    </w:p>
    <w:p w14:paraId="670DF357"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Вопреки расхожей версии, создали ее не как более мощное орудие, а в качестве срочной меры в сложной ситуации с поставками пушек для КВ-1. 122-мм гаубица М-30 использовалась по одной простой причине – иных орудий на УЗТМ не выпускали. На основе этой гаубицы был изготовлен опытный образец танкового орудия, испытанный в переделанной башне КВ-1. Танк, получивший обозначение </w:t>
      </w:r>
      <w:hyperlink r:id="rId115" w:history="1">
        <w:r w:rsidRPr="008127F8">
          <w:rPr>
            <w:rFonts w:ascii="Times New Roman" w:eastAsia="Times New Roman" w:hAnsi="Times New Roman"/>
            <w:color w:val="000000" w:themeColor="text1"/>
            <w:sz w:val="16"/>
            <w:szCs w:val="16"/>
            <w:lang w:eastAsia="ru-RU"/>
          </w:rPr>
          <w:t>КВ-9</w:t>
        </w:r>
      </w:hyperlink>
      <w:r w:rsidRPr="008127F8">
        <w:rPr>
          <w:rFonts w:ascii="Times New Roman" w:eastAsia="Times New Roman" w:hAnsi="Times New Roman"/>
          <w:color w:val="000000" w:themeColor="text1"/>
          <w:sz w:val="16"/>
          <w:szCs w:val="16"/>
          <w:lang w:eastAsia="ru-RU"/>
        </w:rPr>
        <w:t>, прошел испытания, его хотели принять на вооружение, а завод №8 получил задание на изготовление опытной серии из 10 орудий. Хотя по настоянию ГАУ тему КВ-9 закрыли, 10 танковых гаубиц У-11 в апреле 1942 года успели изготовить. Возник вполне закономерный вопрос, куда их девать.</w:t>
      </w:r>
    </w:p>
    <w:p w14:paraId="1D3D4832"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Первым решением стала разработка системы У-22, фактически той же У-11, но предназначенной для установки в измененную башню танка Т-34. Совместную идею завода №8 и КБ завода №183 в итоге забраковали. Куда более здравой идеей стало включение У-11 в программу разработки перспективных САУ на базе Т-34. Таким образом, вместо одной самоходной установки завод №592 стал разрабатывать две. Вариант с гаубицей У-11 получил обозначение СГ-122У. В ее разработке имелся резон, поскольку для установки качающейся части М-30 требовалось изготовить массивную тумбу, подобную той, что сделали для СГ-122. Разумеется, тумба занимала немало места, а его в боевом отделении Т-34 было не так много. Кроме того, для установки панорамного прицела требовалось делать на крыше рубки специальную башенку. Что же касается У-11, то она крепилась на раме, занимала куда меньше места, да и ее телескопический прицел никакой башенки не требовал. Также не требовалось и массивного кожуха для откатных механизмов.</w:t>
      </w:r>
    </w:p>
    <w:p w14:paraId="530755BE"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Оба эскизных проекта были подготовлены к концу июня 1942 года. В целом они были похожи, за исключением установки вооружения. Еще одним существенным отличием было то, что на СГ-122М имелся курсовой пулемет ДТ, а у СГ-122У вспомогательного вооружения не имелось. Несмотря на то, что установка У-11 выглядела более удачной, было заметно, что гаубице М-30 отдавался больший приоритет. При всех недостатках М-30 находилась в серийном производстве, а образца У-11 даже не было на заводе для более детального проектирования. Неудивительно, что в таких условиях упор делался на СГ-122М.</w:t>
      </w:r>
    </w:p>
    <w:p w14:paraId="5B7140F9"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Согласно эскизному проекту, вместо башни предполагалось установить рубку призматической формы. Для увеличения объема боевого отделения борта рубки были максимально расширены. Одновременно рубка делалась так, чтобы изменения шасси Т-34 свести к минимуму. В отличие от свердловских проектов ЗИК-10 и ЗИК-11, появившихся позже и имевших открытую сверху рубку, оба варианта СГ-122 на базе Т-34 были полностью закрыты. Для входа и выхода экипажа в крыше рубки имелся большой двухстворчатый люк. Серьезно был проработан и вопрос обзорности: во лбу и бортах рубки предусматривалась установка смотровых приборов. По проекту боевая масса СГ-122М составляла 28,5 тонн. Установка орудия обеспечивала вертикальную наводку в пределах от +35 до −3 градусов, а по горизонтали 7 градусов влево и 17 вправо. Скорострельность установки оценивалась на уровне 10–12 выстрелов в минуту, при этом боезапас составлял 40 выстрелов.</w:t>
      </w:r>
    </w:p>
    <w:p w14:paraId="22D68054"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Узким местом в случае с СГ-122М и СГ-122У оказались, как это не странно прозвучит, шасси. К концу июня 1942 года сильно осложнилась ситуация на фронтах, так что с поставкой шасси Т-34 возникли трудности. 30 июля в адрес начальника Главного автобронетанкового управления (ГАБТУ) генерал-лейтенанта Я.Н. Федоренко поступило письмо от начальника ГАУ генерал-полковника Н.Д. Яковлева. В нем он просил выделить заводу №592 четыре ремонтных Т-34. 6 июля последовал ответ: выделение танков может быть произведено только с разрешения правительства.</w:t>
      </w:r>
    </w:p>
    <w:p w14:paraId="1A05D143"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случае с СГ-122У была и еще одна проблема — на завод гаубиц для них все еще не завезли. Для решения этого вопроса Яковлев направил письмо наркому вооружений Д.Ф. Устинову. 6 июля Устинов дал распоряжение о выделении гаубиц У-11.</w:t>
      </w:r>
    </w:p>
    <w:p w14:paraId="6C39BA66"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Совсем другая ситуация сложилась с ремонтными танками, на базе которых предполагалось строить опытные образцы СГ-122М и СГ-122У. В течение полутора месяцев движения по этому направлению не было в принципе. Не получив положительного ответа от Федоренко, 18 августа 1942 года Яковлев направил письмо Молотову с просьбой выделить два ремонтных танка. 20 августа от Молотова пришел положительный ответ, но ситуацию он изменил не сильно. Ни в августе, ни в сентябре завод ремонтных танков так и не дождался. Совершенно анекдотичная ситуация, выглядящая еще более нелепо на том фоне, что завод №592 трофейные шасси, пусть и с большим скрипом, но все-таки смог добыть. А ведь при другой ситуации с шасси Т-34 производство средних самоходных установок могло начаться в Мытищах еще осенью 1942 года. Сложившаяся ситуация сыграла впоследствии роковую роль в судьбе детища завода №592.</w:t>
      </w:r>
    </w:p>
    <w:p w14:paraId="7DB0CAB2"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Неизвестно, сколько продолжалась бы подобная ситуация, но в первой половине октября 1942 года разработку самоходной артиллерии стали форсировать. Не в последнюю очередь это было связано с буксовавшей разработкой ЗИК-10 и ЗИК-11. В отличие от завода №592, работу конструкторов которого тормозило отсутствие ремонтных танков, на заводе №8 имелись проблемы иного характера. Откровенно говоря, разработанные под руководством Ф.Ф. Петрова машины уступали мытищинским машинам, но проблема оказалась не столько в этом. Конструкторское бюро оказалось перегружено широким спектром разрабатываемых проектов. Одних только проектов САУ в работе было 6 штук, и </w:t>
      </w:r>
      <w:proofErr w:type="gramStart"/>
      <w:r w:rsidRPr="008127F8">
        <w:rPr>
          <w:rFonts w:ascii="Times New Roman" w:eastAsia="Times New Roman" w:hAnsi="Times New Roman"/>
          <w:color w:val="000000" w:themeColor="text1"/>
          <w:sz w:val="16"/>
          <w:szCs w:val="16"/>
          <w:lang w:eastAsia="ru-RU"/>
        </w:rPr>
        <w:t>это</w:t>
      </w:r>
      <w:proofErr w:type="gramEnd"/>
      <w:r w:rsidRPr="008127F8">
        <w:rPr>
          <w:rFonts w:ascii="Times New Roman" w:eastAsia="Times New Roman" w:hAnsi="Times New Roman"/>
          <w:color w:val="000000" w:themeColor="text1"/>
          <w:sz w:val="16"/>
          <w:szCs w:val="16"/>
          <w:lang w:eastAsia="ru-RU"/>
        </w:rPr>
        <w:t xml:space="preserve"> не считая буксируемой артиллерии (17681).</w:t>
      </w:r>
    </w:p>
    <w:p w14:paraId="025D0162"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450AC3AD"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20-х чисел апреля 1942 года начались испытания новых КПП для КВ. Весной 1942 года было разработано сразу два варианта коробки передач. КПП «группа 12–21» была создана инженером Маришкиным. Коробку передач вместе с мотором В-2КФ установили на танк с серийным номером 10279, который официально именовался КВ-1с. На деле это был обычный КВ-1, модернизированный соответствующим образом. На танк поставили водяные радиаторы по типу КВ-3, а масляный радиатор – от самолета Р-ЗЕТ. Вторую КПП, известную как «группа 21–212», разработал Н.Ф. Шашмурин. Эту коробку передач поставили на второй образец КВ-1с №10334. На нем стояла штатная система охлаждения с дополнительными водяными радиаторами, аналогично был переделан и масляный радиатор.</w:t>
      </w:r>
    </w:p>
    <w:p w14:paraId="49018ABB"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тому моменту опытными работами занимался специально организованный завод №100. По итогам испытаний выяснилось, что коробка передач «группа 21–212» конструкции Шашмурина более надежная, именно на ней и был остановлен выбор. Окончательно конструкцию коробки передач утвердили в середине июня 1942 года.</w:t>
      </w:r>
    </w:p>
    <w:p w14:paraId="5B341255"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новой коробки передач, танк получил новый главный фрикцион с четырьмя дисками из феродо, приводы управления КПП, вентилятор, а также воздушный фильтр «Вортокс» (внедрен еще на КВ-1 крайних выпусков), позже замененный на более эффективный «Циклон». Отдельно стоит упомянуть переработанную систему охлаждения. Для ее отработки в июле 1942 года были проведены испытания в Ташкенте. Новая система охлаждения, включавшая в себя новые пластинчатые радиаторы, а также вентилятор со штампованными лопатками и рядом улучшений, установили в КВ-1 №10663. По итогам испытаний, в которых участвовали три танка с разными системами охлаждения, лучше всего зарекомендовал себя именно танк 10663. Правда, с одной существенной оговоркой – он, хоть и позже всех, но тоже закипал. Происходило это через 7–15 минут при движении на 4-й передаче. При работе в других режимах температурный режим оказался в норме (17682).</w:t>
      </w:r>
    </w:p>
    <w:p w14:paraId="77B01E04"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3A7C892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6A731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2017A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вышел приказа НКАП N 335сс:</w:t>
      </w:r>
    </w:p>
    <w:p w14:paraId="553797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от 26 апреля 1942 N 1658сс и в отмену приказа N 236 от 29 марта 1942 и N 258 от 7 апреля 1942 в части производства на заводе 381 самолетов Ил-2 с моторами М-82 ПРИКАЗЫВАЮ:</w:t>
      </w:r>
    </w:p>
    <w:p w14:paraId="50B897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 10 ГУ тов. Тарасевич и директору завода N 381 тов. Журавлеву производить на заводе 381 самолеты Ил-2 только с моторами АМ-38 (1612,30).</w:t>
      </w:r>
    </w:p>
    <w:p w14:paraId="548A63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3D9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вышло постановление ГКО о переходе 26 завода на выпуск М-105ПФ (198,47).</w:t>
      </w:r>
    </w:p>
    <w:p w14:paraId="007BC7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A27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вышел приказа НКАП N 333сс:</w:t>
      </w:r>
    </w:p>
    <w:p w14:paraId="45B0A5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ГКО N ГОКО 1659сс от 26 апреля 1942 приказываю:</w:t>
      </w:r>
    </w:p>
    <w:p w14:paraId="24D0EA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тов. Дементьеву и директору завода 82 тов. Бугрову:</w:t>
      </w:r>
    </w:p>
    <w:p w14:paraId="7DD344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к 30 мая с.г. закончить монтаж оборудования всех цехов и пустить завод 82 в </w:t>
      </w:r>
      <w:proofErr w:type="gramStart"/>
      <w:r w:rsidRPr="008127F8">
        <w:rPr>
          <w:rFonts w:ascii="Times New Roman" w:hAnsi="Times New Roman"/>
          <w:color w:val="000000" w:themeColor="text1"/>
          <w:sz w:val="16"/>
          <w:szCs w:val="16"/>
        </w:rPr>
        <w:t>эксплуатацию )в</w:t>
      </w:r>
      <w:proofErr w:type="gramEnd"/>
      <w:r w:rsidRPr="008127F8">
        <w:rPr>
          <w:rFonts w:ascii="Times New Roman" w:hAnsi="Times New Roman"/>
          <w:color w:val="000000" w:themeColor="text1"/>
          <w:sz w:val="16"/>
          <w:szCs w:val="16"/>
        </w:rPr>
        <w:t xml:space="preserve"> Москве).</w:t>
      </w:r>
    </w:p>
    <w:p w14:paraId="2CE6684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выпустить с завода 82 в 1942 400 самолетов Як-7,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1170"/>
      </w:tblGrid>
      <w:tr w:rsidR="006F4095" w:rsidRPr="008127F8" w14:paraId="437F269B" w14:textId="77777777">
        <w:tc>
          <w:tcPr>
            <w:tcW w:w="1188" w:type="dxa"/>
            <w:tcBorders>
              <w:top w:val="single" w:sz="12" w:space="0" w:color="auto"/>
            </w:tcBorders>
            <w:shd w:val="clear" w:color="auto" w:fill="FFFFFF"/>
          </w:tcPr>
          <w:p w14:paraId="1E3B8F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w:t>
            </w:r>
          </w:p>
        </w:tc>
        <w:tc>
          <w:tcPr>
            <w:tcW w:w="1170" w:type="dxa"/>
            <w:tcBorders>
              <w:top w:val="single" w:sz="12" w:space="0" w:color="auto"/>
            </w:tcBorders>
            <w:shd w:val="clear" w:color="auto" w:fill="FFFFFF"/>
          </w:tcPr>
          <w:p w14:paraId="6E0EA9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6F4095" w:rsidRPr="008127F8" w14:paraId="5204110F" w14:textId="77777777">
        <w:tc>
          <w:tcPr>
            <w:tcW w:w="1188" w:type="dxa"/>
            <w:shd w:val="clear" w:color="auto" w:fill="FFFFFF"/>
          </w:tcPr>
          <w:p w14:paraId="7FF8F0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w:t>
            </w:r>
          </w:p>
        </w:tc>
        <w:tc>
          <w:tcPr>
            <w:tcW w:w="1170" w:type="dxa"/>
            <w:shd w:val="clear" w:color="auto" w:fill="FFFFFF"/>
          </w:tcPr>
          <w:p w14:paraId="0C41C3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r>
      <w:tr w:rsidR="006F4095" w:rsidRPr="008127F8" w14:paraId="77C4F9A8" w14:textId="77777777">
        <w:tc>
          <w:tcPr>
            <w:tcW w:w="1188" w:type="dxa"/>
            <w:shd w:val="clear" w:color="auto" w:fill="FFFFFF"/>
          </w:tcPr>
          <w:p w14:paraId="010F5E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w:t>
            </w:r>
          </w:p>
        </w:tc>
        <w:tc>
          <w:tcPr>
            <w:tcW w:w="1170" w:type="dxa"/>
            <w:shd w:val="clear" w:color="auto" w:fill="FFFFFF"/>
          </w:tcPr>
          <w:p w14:paraId="45A8CC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r>
      <w:tr w:rsidR="006F4095" w:rsidRPr="008127F8" w14:paraId="61861390" w14:textId="77777777">
        <w:tc>
          <w:tcPr>
            <w:tcW w:w="1188" w:type="dxa"/>
            <w:shd w:val="clear" w:color="auto" w:fill="FFFFFF"/>
          </w:tcPr>
          <w:p w14:paraId="5AAAA8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w:t>
            </w:r>
          </w:p>
        </w:tc>
        <w:tc>
          <w:tcPr>
            <w:tcW w:w="1170" w:type="dxa"/>
            <w:shd w:val="clear" w:color="auto" w:fill="FFFFFF"/>
          </w:tcPr>
          <w:p w14:paraId="5FFBFF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6F4095" w:rsidRPr="008127F8" w14:paraId="64025658" w14:textId="77777777">
        <w:tc>
          <w:tcPr>
            <w:tcW w:w="1188" w:type="dxa"/>
            <w:shd w:val="clear" w:color="auto" w:fill="FFFFFF"/>
          </w:tcPr>
          <w:p w14:paraId="6FA966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w:t>
            </w:r>
          </w:p>
        </w:tc>
        <w:tc>
          <w:tcPr>
            <w:tcW w:w="1170" w:type="dxa"/>
            <w:shd w:val="clear" w:color="auto" w:fill="FFFFFF"/>
          </w:tcPr>
          <w:p w14:paraId="50C9AD1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r>
      <w:tr w:rsidR="006F4095" w:rsidRPr="008127F8" w14:paraId="6B0A8A97" w14:textId="77777777">
        <w:tc>
          <w:tcPr>
            <w:tcW w:w="1188" w:type="dxa"/>
            <w:shd w:val="clear" w:color="auto" w:fill="FFFFFF"/>
          </w:tcPr>
          <w:p w14:paraId="48B76B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w:t>
            </w:r>
          </w:p>
        </w:tc>
        <w:tc>
          <w:tcPr>
            <w:tcW w:w="1170" w:type="dxa"/>
            <w:shd w:val="clear" w:color="auto" w:fill="FFFFFF"/>
          </w:tcPr>
          <w:p w14:paraId="3FB703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w:t>
            </w:r>
          </w:p>
        </w:tc>
      </w:tr>
      <w:tr w:rsidR="006F4095" w:rsidRPr="008127F8" w14:paraId="3E6A8F53" w14:textId="77777777">
        <w:tc>
          <w:tcPr>
            <w:tcW w:w="1188" w:type="dxa"/>
            <w:shd w:val="clear" w:color="auto" w:fill="FFFFFF"/>
          </w:tcPr>
          <w:p w14:paraId="0E73AC9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w:t>
            </w:r>
          </w:p>
        </w:tc>
        <w:tc>
          <w:tcPr>
            <w:tcW w:w="1170" w:type="dxa"/>
            <w:shd w:val="clear" w:color="auto" w:fill="FFFFFF"/>
          </w:tcPr>
          <w:p w14:paraId="06B08E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w:t>
            </w:r>
          </w:p>
        </w:tc>
      </w:tr>
      <w:tr w:rsidR="006F4095" w:rsidRPr="008127F8" w14:paraId="53C2FD54" w14:textId="77777777">
        <w:tc>
          <w:tcPr>
            <w:tcW w:w="1188" w:type="dxa"/>
            <w:tcBorders>
              <w:bottom w:val="single" w:sz="12" w:space="0" w:color="auto"/>
            </w:tcBorders>
            <w:shd w:val="clear" w:color="auto" w:fill="FFFFFF"/>
          </w:tcPr>
          <w:p w14:paraId="19092FF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w:t>
            </w:r>
          </w:p>
        </w:tc>
        <w:tc>
          <w:tcPr>
            <w:tcW w:w="1170" w:type="dxa"/>
            <w:tcBorders>
              <w:bottom w:val="single" w:sz="12" w:space="0" w:color="auto"/>
            </w:tcBorders>
            <w:shd w:val="clear" w:color="auto" w:fill="FFFFFF"/>
          </w:tcPr>
          <w:p w14:paraId="108184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r>
    </w:tbl>
    <w:p w14:paraId="7A7D594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В целях быстрого налаживания производства и выпуска самолета Як-7 на заводе № 82, директору зарода 153 тов. Романову оказать заводу № 82 помощь оснасткой, </w:t>
      </w:r>
      <w:r w:rsidRPr="008127F8">
        <w:rPr>
          <w:rFonts w:ascii="Times New Roman" w:hAnsi="Times New Roman"/>
          <w:color w:val="000000" w:themeColor="text1"/>
          <w:sz w:val="16"/>
          <w:szCs w:val="16"/>
        </w:rPr>
        <w:lastRenderedPageBreak/>
        <w:t>инструментами, агрегатамн и деталями в размерах, установ</w:t>
      </w:r>
      <w:r w:rsidRPr="008127F8">
        <w:rPr>
          <w:rFonts w:ascii="Times New Roman" w:hAnsi="Times New Roman"/>
          <w:color w:val="000000" w:themeColor="text1"/>
          <w:sz w:val="16"/>
          <w:szCs w:val="16"/>
        </w:rPr>
        <w:softHyphen/>
        <w:t>леннных Заместителем Наркома тов. Дементьевым.</w:t>
      </w:r>
    </w:p>
    <w:p w14:paraId="35D6E9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Начальнику ЦФО тов. Хавину оформить получение выделенных из резервного фонда СНК СССР в распоряжение Наркомавиапрома 800 т.р. для премирования строителей и монтажников за выполнение в срок строительных работ по заводу № 82.</w:t>
      </w:r>
    </w:p>
    <w:p w14:paraId="10D67A8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Этим же постановлением Государственный Комитет Обороны обязал Моссовет /тов. Проника/ передрть завопу № 82 для расселения рабочих, ИТР и служащих завода в ленинградском районе </w:t>
      </w:r>
      <w:r w:rsidRPr="008127F8">
        <w:rPr>
          <w:rFonts w:ascii="Times New Roman" w:hAnsi="Times New Roman"/>
          <w:smallCaps/>
          <w:color w:val="000000" w:themeColor="text1"/>
          <w:sz w:val="16"/>
          <w:szCs w:val="16"/>
        </w:rPr>
        <w:t xml:space="preserve">г. Москвы </w:t>
      </w:r>
      <w:r w:rsidRPr="008127F8">
        <w:rPr>
          <w:rFonts w:ascii="Times New Roman" w:hAnsi="Times New Roman"/>
          <w:color w:val="000000" w:themeColor="text1"/>
          <w:sz w:val="16"/>
          <w:szCs w:val="16"/>
        </w:rPr>
        <w:t>10.000 мт. жилплощади.</w:t>
      </w:r>
    </w:p>
    <w:p w14:paraId="0F26A2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Печаталось со стенограммы 29 апреля 1942 (1613,19).</w:t>
      </w:r>
    </w:p>
    <w:p w14:paraId="582371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68F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вышел приказа НКАП N 344сс об установке бомб и РС на Як (1552,4).</w:t>
      </w:r>
    </w:p>
    <w:p w14:paraId="767DC9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самом деле приказ назывался "Об оборудовании самолетов Як-1 и Як-7 бомбодержателями" в соответствии с постановлением ГКО N (ГОКО-1663) от 26 апреля 1942, которое признало необходимым оборудовать самолеты Як-1 и Як-7 бомбодержателями (по 4 шт. на самолет для 50 кг бомб на каждый).</w:t>
      </w:r>
    </w:p>
    <w:p w14:paraId="52A22C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А.С.Я. и директору завода 292 Левину оборудовать 10 самолетов бомбодержателями к 10 мая и одновременно развернуть подготовку серийного производства с тем, чтобы с 25 мая выпускать все самолеты Як-1 и Як-7 бомбодержателями.</w:t>
      </w:r>
    </w:p>
    <w:p w14:paraId="329F990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Начальнику 2-Главного Управлевия т. Климовяицкому немедленно уточнить тип бомбодержателя для заказа в серийное произвродство к обеспечивать бомбодержателями завод № 292 по его заявкам.</w:t>
      </w:r>
    </w:p>
    <w:p w14:paraId="2FBDDE8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Заместителю Наркома тов. Яковлеву и Начальнику 2-Главного Управления тов. Климовицкому немедленно, сов</w:t>
      </w:r>
      <w:r w:rsidRPr="008127F8">
        <w:rPr>
          <w:rFonts w:ascii="Times New Roman" w:hAnsi="Times New Roman"/>
          <w:color w:val="000000" w:themeColor="text1"/>
          <w:sz w:val="16"/>
          <w:szCs w:val="16"/>
        </w:rPr>
        <w:softHyphen/>
        <w:t>местно с ВВС КА, проработать предложения об оборудовании бомбодержателями самолетов Як-1 в Як-7, находящихся на фронте для представления на утверждениее в Правительство.</w:t>
      </w:r>
    </w:p>
    <w:p w14:paraId="220FDE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Этим же постановлением ГКО обязал командующего ВВС Новикова, не позднее 15 мая дать заключение о самолетах Як-1, оборудованных </w:t>
      </w:r>
      <w:proofErr w:type="gramStart"/>
      <w:r w:rsidRPr="008127F8">
        <w:rPr>
          <w:rFonts w:ascii="Times New Roman" w:hAnsi="Times New Roman"/>
          <w:color w:val="000000" w:themeColor="text1"/>
          <w:sz w:val="16"/>
          <w:szCs w:val="16"/>
        </w:rPr>
        <w:t>бомбодержателями Печаталось</w:t>
      </w:r>
      <w:proofErr w:type="gramEnd"/>
      <w:r w:rsidRPr="008127F8">
        <w:rPr>
          <w:rFonts w:ascii="Times New Roman" w:hAnsi="Times New Roman"/>
          <w:color w:val="000000" w:themeColor="text1"/>
          <w:sz w:val="16"/>
          <w:szCs w:val="16"/>
        </w:rPr>
        <w:t xml:space="preserve"> со стенограммы 29 апреля 1942 (1612,25).</w:t>
      </w:r>
    </w:p>
    <w:p w14:paraId="55E909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247C1F"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30 апреля 1942 Бахчи впервые провел огневые испытания дви гателя на аэродроме. Это было сенсацией для военных летчи ков, которые не могли понять, почему вокруг такой малень кой птички — планера — хлопочет большое число инженеров и высоких военных чинов (19586).</w:t>
      </w:r>
    </w:p>
    <w:p w14:paraId="5ABAA865" w14:textId="77777777" w:rsidR="000F0A32" w:rsidRPr="008127F8" w:rsidRDefault="000F0A32" w:rsidP="001E0A84">
      <w:pPr>
        <w:pStyle w:val="af"/>
        <w:shd w:val="clear" w:color="auto" w:fill="FFFFFF"/>
        <w:spacing w:before="0" w:after="0"/>
        <w:jc w:val="both"/>
        <w:rPr>
          <w:color w:val="000000" w:themeColor="text1"/>
          <w:sz w:val="16"/>
          <w:szCs w:val="16"/>
        </w:rPr>
      </w:pPr>
    </w:p>
    <w:p w14:paraId="45DB238D" w14:textId="77777777" w:rsidR="000F0A32" w:rsidRPr="008127F8" w:rsidRDefault="000F0A32"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были осуществлены пробные включения двигателя на БИ,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02EFB18B" w14:textId="77777777" w:rsidR="000F0A32" w:rsidRPr="008127F8" w:rsidRDefault="000F0A32" w:rsidP="001E0A84">
      <w:pPr>
        <w:spacing w:after="0" w:line="240" w:lineRule="auto"/>
        <w:jc w:val="both"/>
        <w:rPr>
          <w:rFonts w:ascii="Times New Roman" w:hAnsi="Times New Roman"/>
          <w:color w:val="000000" w:themeColor="text1"/>
          <w:sz w:val="16"/>
          <w:szCs w:val="16"/>
        </w:rPr>
      </w:pPr>
    </w:p>
    <w:p w14:paraId="407AC264"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30 апреля 1942 летчик-испытатель НИИ ВВС Г.Я. Бахчиванджи впервые запустил ЖРД из кабины самолета. Первый истори ческий полет был произведен 15 мая с аэродрома Кольцово.</w:t>
      </w:r>
    </w:p>
    <w:p w14:paraId="40804634"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этом полете продолжительностью 3 мин 9 с, за 60 с была до стигнута высота 840 м, при максимальной скорости 400 км/ч я зафиксирована скороподъемность 23 м/с.</w:t>
      </w:r>
    </w:p>
    <w:p w14:paraId="14121B80"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Как происходил первый полет самолета БИ с включениием ЖРД, рассказывал А.В. Палло: «Самолет пошел на взлет, бь стро набрал скорость, поднялся энергичным набором высоть Взлет зафиксировали в 21 ч 02 мин московского времени.</w:t>
      </w:r>
    </w:p>
    <w:p w14:paraId="15B5B27A"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Выполнен левый разворот. Гул от работающего ЖРД слышалея ясно. Наконец, исчезла в небе светящаяся течка от работающего двигателя, и появилось небольшое желтого цвета облако. Самолет в режиме планирования стал заходить на пс садку, но почему-то слишком высоко. Бахчиванджи заметил это и стал выполнять попеременное скольжение на правое левое крыло. Однако скорость оказалась недостаточной дл| выравнивания, машина приземлилась на повышенной верти^ кальной скорости, ударилась о землю шасси. Ось одного коле са разрушилась, и оно покатилось вперед. Шасси подломилос!</w:t>
      </w:r>
    </w:p>
    <w:p w14:paraId="768CB5E7"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Самолет поднял столб пыли и остановился. Все произошла быстро и неожиданно. Все бросились со старта к распластан^ ному на земле самолету. Я подсел на обгонявшую пожарнук машину. Увидел: из самолета вылезает Г.Я. Бахчиванджи. BE у него был явно обескураженный и растерянный. Почти одне временно подъехали члены летной комиссии П.И. Федоров В.Ф. Болховитинов. Они усадили Григория Яковлевича в ai томашину и уехали на командный пункт. Обслуживающий состав слил и завесил остатки топлива, сбросил давление nq баллонов, снял приборы, обесточил машину и дегазировал не значительный разлив кислоты из поломанной при посадке тру ки в хвостовой части самолета. Склонялись к тому, что неуда-J ча постигла Бахчиванджи из-за отсутствия опыта планерныл полетов на БИ».</w:t>
      </w:r>
    </w:p>
    <w:p w14:paraId="0F2B58FB"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Б.Е. Черток в то время руководил бригадой, занимающей ся электросистемами для самолета БИ (он начал разработку системы наведения БИ на вражеские самолеты), в своей книге «Ракеты и люди» вспоминает: «В апреле мы почувствова ли, что и на Урале может наступить весна. Первый самолет на двух грузовиках переправили в Кольцове на летную базу НИИ ВВС. Его собрали и поместили в ангаре, загородили бре зентом и выставили часового. За брезент заходили только уча стники подготовки к полету. Ведущим инженером, руководив шим подготовкой к летным испытаниям от нашего завода, Бол ховитинов, еще до эвакуации, назначил спокойного, очень дельного Алексея Рослякова.</w:t>
      </w:r>
    </w:p>
    <w:p w14:paraId="0D01449E"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 Ведущим инженером от НИИ ВВС был назначен Михаил Таракановский, имевший уже богатый опыт авиационного инженера-испытателя. С началом испытаний все, имевшие к ним отношение, переселились в общежитие НИИ ВВС в Кольцова.</w:t>
      </w:r>
    </w:p>
    <w:p w14:paraId="04B2140E" w14:textId="77777777" w:rsidR="000F0A32" w:rsidRPr="008127F8" w:rsidRDefault="000F0A32" w:rsidP="001E0A84">
      <w:pPr>
        <w:pStyle w:val="af"/>
        <w:shd w:val="clear" w:color="auto" w:fill="FFFFFF"/>
        <w:spacing w:before="0" w:after="0"/>
        <w:jc w:val="both"/>
        <w:rPr>
          <w:color w:val="000000" w:themeColor="text1"/>
          <w:sz w:val="16"/>
          <w:szCs w:val="16"/>
        </w:rPr>
      </w:pPr>
      <w:r w:rsidRPr="008127F8">
        <w:rPr>
          <w:color w:val="000000" w:themeColor="text1"/>
          <w:sz w:val="16"/>
          <w:szCs w:val="16"/>
        </w:rPr>
        <w:t>Самолет начали возить на буксире грузовика по полю аэро дрома для проверки на «тряску». Сломали одну стойку шас си. Отремонтировали. Пробовали заправку, — обнаружили течь кислоты через кран. Кислоту слили, кран починили. Мелких замечаний было немного (19586).</w:t>
      </w:r>
    </w:p>
    <w:p w14:paraId="3EB80878" w14:textId="77777777" w:rsidR="000F0A32" w:rsidRPr="008127F8" w:rsidRDefault="000F0A32" w:rsidP="001E0A84">
      <w:pPr>
        <w:pStyle w:val="af"/>
        <w:shd w:val="clear" w:color="auto" w:fill="FFFFFF"/>
        <w:spacing w:before="0" w:after="0"/>
        <w:jc w:val="both"/>
        <w:rPr>
          <w:color w:val="000000" w:themeColor="text1"/>
          <w:sz w:val="16"/>
          <w:szCs w:val="16"/>
        </w:rPr>
      </w:pPr>
    </w:p>
    <w:p w14:paraId="3529C3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г. По постановлению ГКО завод № 26 (г. Уфа) с 1 мая перешел на выпуск моторов М-105ПФ, как начали называть серийные моторы с повышенным наддувом.</w:t>
      </w:r>
    </w:p>
    <w:p w14:paraId="1E4F31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5F3438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7168E8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проявлявшееся как раз на малых высотах.</w:t>
      </w:r>
    </w:p>
    <w:p w14:paraId="60A8D0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8127F8">
        <w:rPr>
          <w:rFonts w:ascii="Times New Roman" w:hAnsi="Times New Roman"/>
          <w:color w:val="000000" w:themeColor="text1"/>
          <w:sz w:val="16"/>
          <w:szCs w:val="16"/>
        </w:rPr>
        <w:t>техничес- кого</w:t>
      </w:r>
      <w:proofErr w:type="gramEnd"/>
      <w:r w:rsidRPr="008127F8">
        <w:rPr>
          <w:rFonts w:ascii="Times New Roman" w:hAnsi="Times New Roman"/>
          <w:color w:val="000000" w:themeColor="text1"/>
          <w:sz w:val="16"/>
          <w:szCs w:val="16"/>
        </w:rPr>
        <w:t xml:space="preserve"> состава (12048).</w:t>
      </w:r>
    </w:p>
    <w:p w14:paraId="475095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EC5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на совещании у ГИ ВВС КА с представителями Техсовета ВВС и начальником ОКБ-16 был проработан отчет НИИ АВ по полигонным испытаниям, по которому было принято решение о повторных полигонных испытаниях (263,170).</w:t>
      </w:r>
    </w:p>
    <w:p w14:paraId="753290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24820" w14:textId="77777777" w:rsidR="00677885" w:rsidRPr="008127F8" w:rsidRDefault="0067788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30 апреля 1942 на совещании у главного инженера ВВС КА с представителями Технического совета НКВ и начальником ОКБ-16 после обсуждения резуль</w:t>
      </w:r>
      <w:r w:rsidRPr="008127F8">
        <w:rPr>
          <w:color w:val="000000" w:themeColor="text1"/>
          <w:sz w:val="16"/>
          <w:szCs w:val="16"/>
        </w:rPr>
        <w:softHyphen/>
        <w:t>татов стрельб было принято решение доработать пушку 11П под штатный 37-мм патрон от пушки Ш-37, после чего провести повторные полигонные испытания.</w:t>
      </w:r>
    </w:p>
    <w:p w14:paraId="16F5C7EC" w14:textId="77777777" w:rsidR="00677885" w:rsidRPr="008127F8" w:rsidRDefault="00677885"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Надо сказать, задача обеспечения в короткое время надежной работы пушки 11П при использо</w:t>
      </w:r>
      <w:r w:rsidRPr="008127F8">
        <w:rPr>
          <w:color w:val="000000" w:themeColor="text1"/>
          <w:sz w:val="16"/>
          <w:szCs w:val="16"/>
        </w:rPr>
        <w:softHyphen/>
        <w:t>вании патрона с гильзой без бурта была настолько сложна, что ряд специалистов УОС ГУ ИАС ВВС счи</w:t>
      </w:r>
      <w:r w:rsidRPr="008127F8">
        <w:rPr>
          <w:color w:val="000000" w:themeColor="text1"/>
          <w:sz w:val="16"/>
          <w:szCs w:val="16"/>
        </w:rPr>
        <w:softHyphen/>
        <w:t>тали, что пушка 11П таких испытаний не выдержит. В этом случае отпадал и вопрос о замене пушки Ш-37, другой, более технологичной в производстве и надежной в работе. Собственно, именно на такое развитие событий и рассчитывал Б. Г. Шпитальный.</w:t>
      </w:r>
    </w:p>
    <w:p w14:paraId="6E036978" w14:textId="77777777" w:rsidR="00677885" w:rsidRPr="008127F8" w:rsidRDefault="006778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воспоминаниям А. Э. Нудельмана, решающее значение в успехе ОКБ-16 имела поддержка нарко</w:t>
      </w:r>
      <w:r w:rsidRPr="008127F8">
        <w:rPr>
          <w:rFonts w:ascii="Times New Roman" w:hAnsi="Times New Roman"/>
          <w:color w:val="000000" w:themeColor="text1"/>
          <w:sz w:val="16"/>
          <w:szCs w:val="16"/>
        </w:rPr>
        <w:softHyphen/>
        <w:t>ма вооружения Д. Ф. Устинова. Уже к середине ию</w:t>
      </w:r>
      <w:r w:rsidRPr="008127F8">
        <w:rPr>
          <w:rFonts w:ascii="Times New Roman" w:hAnsi="Times New Roman"/>
          <w:color w:val="000000" w:themeColor="text1"/>
          <w:sz w:val="16"/>
          <w:szCs w:val="16"/>
        </w:rPr>
        <w:softHyphen/>
        <w:t>ня был изготовлен новый образец пушки 11П № 2 под серийный патрон (17490).</w:t>
      </w:r>
    </w:p>
    <w:p w14:paraId="13F21E67"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4A8507FF" w14:textId="77777777" w:rsidR="000F0A32" w:rsidRPr="008127F8" w:rsidRDefault="000F0A32" w:rsidP="001E0A84">
      <w:pPr>
        <w:pStyle w:val="rtejustify"/>
        <w:shd w:val="clear" w:color="auto" w:fill="FFFFFF"/>
        <w:spacing w:before="0" w:after="0"/>
        <w:textAlignment w:val="baseline"/>
        <w:rPr>
          <w:rStyle w:val="af1"/>
          <w:i w:val="0"/>
          <w:color w:val="000000" w:themeColor="text1"/>
          <w:sz w:val="16"/>
          <w:szCs w:val="16"/>
          <w:bdr w:val="none" w:sz="0" w:space="0" w:color="auto" w:frame="1"/>
        </w:rPr>
      </w:pPr>
      <w:r w:rsidRPr="008127F8">
        <w:rPr>
          <w:rStyle w:val="af1"/>
          <w:i w:val="0"/>
          <w:color w:val="000000" w:themeColor="text1"/>
          <w:sz w:val="16"/>
          <w:szCs w:val="16"/>
          <w:bdr w:val="none" w:sz="0" w:space="0" w:color="auto" w:frame="1"/>
        </w:rPr>
        <w:t>30 апреля 1942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6C908C6A" w14:textId="77777777" w:rsidR="000F0A32" w:rsidRPr="008127F8" w:rsidRDefault="000F0A32" w:rsidP="001E0A84">
      <w:pPr>
        <w:pStyle w:val="rtejustify"/>
        <w:shd w:val="clear" w:color="auto" w:fill="FFFFFF"/>
        <w:spacing w:before="0" w:after="0"/>
        <w:textAlignment w:val="baseline"/>
        <w:rPr>
          <w:rStyle w:val="af1"/>
          <w:i w:val="0"/>
          <w:color w:val="000000" w:themeColor="text1"/>
          <w:sz w:val="16"/>
          <w:szCs w:val="16"/>
          <w:bdr w:val="none" w:sz="0" w:space="0" w:color="auto" w:frame="1"/>
        </w:rPr>
      </w:pPr>
    </w:p>
    <w:p w14:paraId="06D03CC4"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апреля 1942 г., очевидно, не без «содействия» Бориса Гаврииловича Шпитального, военные потребовали перевести пушку ОКБ-16 на применение боеприпасов ОКБ-15, которые уже выпускались серийно, и провести повторные полигонные испытания. Дело, как известно, было в том, что гильзы снарядов пушки 11-П имели буртик (фланец), в то время как патроны ОКБ- 15 изготавливались с проточкой на гильзе. По мнению самого Александра Эммануиловича Нудельмана, расчет был на то, что с новым патроном пушка не пройдет повторных испытаний из-за снижения скоро</w:t>
      </w:r>
      <w:r w:rsidRPr="008A2E5A">
        <w:rPr>
          <w:rFonts w:ascii="Times New Roman" w:hAnsi="Times New Roman"/>
          <w:color w:val="0070C0"/>
          <w:sz w:val="16"/>
          <w:szCs w:val="16"/>
        </w:rPr>
        <w:softHyphen/>
        <w:t>стрельности, ну или, по крайней мере, на переделку уйдет достаточно много времени, что позволит «дове</w:t>
      </w:r>
      <w:r w:rsidRPr="008A2E5A">
        <w:rPr>
          <w:rFonts w:ascii="Times New Roman" w:hAnsi="Times New Roman"/>
          <w:color w:val="0070C0"/>
          <w:sz w:val="16"/>
          <w:szCs w:val="16"/>
        </w:rPr>
        <w:softHyphen/>
        <w:t xml:space="preserve">сти до ума» орудие Шпитального (23409). </w:t>
      </w:r>
    </w:p>
    <w:p w14:paraId="7DB7E39F" w14:textId="77777777" w:rsidR="0066141A" w:rsidRPr="008A2E5A" w:rsidRDefault="0066141A" w:rsidP="0066141A">
      <w:pPr>
        <w:spacing w:after="0" w:line="240" w:lineRule="auto"/>
        <w:jc w:val="both"/>
        <w:rPr>
          <w:rFonts w:ascii="Times New Roman" w:hAnsi="Times New Roman"/>
          <w:color w:val="0070C0"/>
          <w:sz w:val="16"/>
          <w:szCs w:val="16"/>
        </w:rPr>
      </w:pPr>
    </w:p>
    <w:p w14:paraId="0067A2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закончился период руководства ОКО-22 в Казани А.М.Изаксона, который с 13 января 1943 возглавлял его вместо В.М.П. погибшего 12 января 1942 (2387,20).</w:t>
      </w:r>
    </w:p>
    <w:p w14:paraId="22E48D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D7C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на аэродроме Билимбай состоялись огневые испытания двигателя Д-1 (2990).</w:t>
      </w:r>
    </w:p>
    <w:p w14:paraId="472EB2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F2C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года было подготовлено письмо:</w:t>
      </w:r>
    </w:p>
    <w:p w14:paraId="5ACCBA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447 (Ереван) решено использовать как ремонтную базу самолетов (9150).</w:t>
      </w:r>
    </w:p>
    <w:p w14:paraId="7B1B38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B55C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г. БДП-2 передали ВВС для летных испытаний, во время которых он разбился по независящим от конструкции причинам. В июле-ав</w:t>
      </w:r>
      <w:r w:rsidRPr="008127F8">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8127F8">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8127F8">
        <w:rPr>
          <w:rFonts w:ascii="Times New Roman" w:hAnsi="Times New Roman"/>
          <w:color w:val="000000" w:themeColor="text1"/>
          <w:sz w:val="16"/>
          <w:szCs w:val="16"/>
        </w:rPr>
        <w:softHyphen/>
        <w:t>раниченные мощности не позволили развернуть широ</w:t>
      </w:r>
      <w:r w:rsidRPr="008127F8">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70F6FE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96DEF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CF488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740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апреля </w:t>
      </w:r>
      <w:r w:rsidRPr="008127F8">
        <w:rPr>
          <w:rFonts w:ascii="Times New Roman" w:hAnsi="Times New Roman"/>
          <w:iCs/>
          <w:color w:val="000000" w:themeColor="text1"/>
          <w:sz w:val="16"/>
          <w:szCs w:val="16"/>
        </w:rPr>
        <w:t xml:space="preserve">1942 </w:t>
      </w:r>
      <w:r w:rsidRPr="008127F8">
        <w:rPr>
          <w:rFonts w:ascii="Times New Roman" w:hAnsi="Times New Roman"/>
          <w:color w:val="000000" w:themeColor="text1"/>
          <w:sz w:val="16"/>
          <w:szCs w:val="16"/>
        </w:rPr>
        <w:t xml:space="preserve">года вышел «Годовой отчет о работе ОГК за </w:t>
      </w:r>
      <w:r w:rsidRPr="008127F8">
        <w:rPr>
          <w:rFonts w:ascii="Times New Roman" w:hAnsi="Times New Roman"/>
          <w:iCs/>
          <w:color w:val="000000" w:themeColor="text1"/>
          <w:sz w:val="16"/>
          <w:szCs w:val="16"/>
        </w:rPr>
        <w:t xml:space="preserve">1941 </w:t>
      </w:r>
      <w:r w:rsidRPr="008127F8">
        <w:rPr>
          <w:rFonts w:ascii="Times New Roman" w:hAnsi="Times New Roman"/>
          <w:color w:val="000000" w:themeColor="text1"/>
          <w:sz w:val="16"/>
          <w:szCs w:val="16"/>
        </w:rPr>
        <w:t>год государственного ордена Ленина завода № 92 имени И.В. Сталина», подпи</w:t>
      </w:r>
      <w:r w:rsidRPr="008127F8">
        <w:rPr>
          <w:rFonts w:ascii="Times New Roman" w:hAnsi="Times New Roman"/>
          <w:color w:val="000000" w:themeColor="text1"/>
          <w:sz w:val="16"/>
          <w:szCs w:val="16"/>
        </w:rPr>
        <w:softHyphen/>
        <w:t>санный В. Грабиным:</w:t>
      </w:r>
    </w:p>
    <w:p w14:paraId="0EAE6C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«...29. ЗИС-30 - 57-мм противотанко</w:t>
      </w:r>
      <w:r w:rsidRPr="008127F8">
        <w:rPr>
          <w:rFonts w:ascii="Times New Roman" w:hAnsi="Times New Roman"/>
          <w:iCs/>
          <w:color w:val="000000" w:themeColor="text1"/>
          <w:sz w:val="16"/>
          <w:szCs w:val="16"/>
        </w:rPr>
        <w:softHyphen/>
        <w:t>вая пушка в 73 клб., имеющая начальную скорость снаряда 995 м/сек. и установлен</w:t>
      </w:r>
      <w:r w:rsidRPr="008127F8">
        <w:rPr>
          <w:rFonts w:ascii="Times New Roman" w:hAnsi="Times New Roman"/>
          <w:iCs/>
          <w:color w:val="000000" w:themeColor="text1"/>
          <w:sz w:val="16"/>
          <w:szCs w:val="16"/>
        </w:rPr>
        <w:softHyphen/>
        <w:t>ная на танкетке «Комсомолец».</w:t>
      </w:r>
    </w:p>
    <w:p w14:paraId="548A6C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Проектирование ЗИС-30 произведено по инициативе завода в июле месяце. В июле же был изготовлен опытный образец, раз</w:t>
      </w:r>
      <w:r w:rsidRPr="008127F8">
        <w:rPr>
          <w:rFonts w:ascii="Times New Roman" w:hAnsi="Times New Roman"/>
          <w:iCs/>
          <w:color w:val="000000" w:themeColor="text1"/>
          <w:sz w:val="16"/>
          <w:szCs w:val="16"/>
        </w:rPr>
        <w:softHyphen/>
        <w:t xml:space="preserve">работаны рабочие чертежи и произведен расчет установки. В июле </w:t>
      </w:r>
      <w:r w:rsidRPr="008127F8">
        <w:rPr>
          <w:rFonts w:ascii="Times New Roman" w:hAnsi="Times New Roman"/>
          <w:color w:val="000000" w:themeColor="text1"/>
          <w:sz w:val="16"/>
          <w:szCs w:val="16"/>
        </w:rPr>
        <w:t xml:space="preserve">- </w:t>
      </w:r>
      <w:r w:rsidRPr="008127F8">
        <w:rPr>
          <w:rFonts w:ascii="Times New Roman" w:hAnsi="Times New Roman"/>
          <w:iCs/>
          <w:color w:val="000000" w:themeColor="text1"/>
          <w:sz w:val="16"/>
          <w:szCs w:val="16"/>
        </w:rPr>
        <w:t>августе произ</w:t>
      </w:r>
      <w:r w:rsidRPr="008127F8">
        <w:rPr>
          <w:rFonts w:ascii="Times New Roman" w:hAnsi="Times New Roman"/>
          <w:iCs/>
          <w:color w:val="000000" w:themeColor="text1"/>
          <w:sz w:val="16"/>
          <w:szCs w:val="16"/>
        </w:rPr>
        <w:softHyphen/>
        <w:t>водились заводские испытания системы.</w:t>
      </w:r>
    </w:p>
    <w:p w14:paraId="5D60097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По конструкции ЗИС-30 представляет собой вращающуюся часть ЗИС-2, устано</w:t>
      </w:r>
      <w:r w:rsidRPr="008127F8">
        <w:rPr>
          <w:rFonts w:ascii="Times New Roman" w:hAnsi="Times New Roman"/>
          <w:iCs/>
          <w:color w:val="000000" w:themeColor="text1"/>
          <w:sz w:val="16"/>
          <w:szCs w:val="16"/>
        </w:rPr>
        <w:softHyphen/>
        <w:t>вленную на танкетку «Комсомолец».</w:t>
      </w:r>
    </w:p>
    <w:p w14:paraId="4857CC6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Цель проектирования ЗИС-30 заключа</w:t>
      </w:r>
      <w:r w:rsidRPr="008127F8">
        <w:rPr>
          <w:rFonts w:ascii="Times New Roman" w:hAnsi="Times New Roman"/>
          <w:iCs/>
          <w:color w:val="000000" w:themeColor="text1"/>
          <w:sz w:val="16"/>
          <w:szCs w:val="16"/>
        </w:rPr>
        <w:softHyphen/>
        <w:t>лась в том, чтобы дать большую маневрен</w:t>
      </w:r>
      <w:r w:rsidRPr="008127F8">
        <w:rPr>
          <w:rFonts w:ascii="Times New Roman" w:hAnsi="Times New Roman"/>
          <w:iCs/>
          <w:color w:val="000000" w:themeColor="text1"/>
          <w:sz w:val="16"/>
          <w:szCs w:val="16"/>
        </w:rPr>
        <w:softHyphen/>
        <w:t>ность 57-мм противотанковой пушке.</w:t>
      </w:r>
    </w:p>
    <w:p w14:paraId="6B4A8C9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По заказу ГАУ КА в августе - октябре были изготовлены заводом 100 систем ЗИС-30.</w:t>
      </w:r>
    </w:p>
    <w:p w14:paraId="2601A8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30. ЗИС-31 - 57-мм противотанковая пушка в 73 клб., имеющая начальную ско</w:t>
      </w:r>
      <w:r w:rsidRPr="008127F8">
        <w:rPr>
          <w:rFonts w:ascii="Times New Roman" w:hAnsi="Times New Roman"/>
          <w:iCs/>
          <w:color w:val="000000" w:themeColor="text1"/>
          <w:sz w:val="16"/>
          <w:szCs w:val="16"/>
        </w:rPr>
        <w:softHyphen/>
        <w:t>рость снаряда 995 м/сек. и установленная на специально забронированном 3-х осном 1,5-тонном грузовике ГАЗ-ААА.</w:t>
      </w:r>
    </w:p>
    <w:p w14:paraId="28B754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Спроектирована ЗИС-31 по инициативе завода в июле месяце. В июле же был изго</w:t>
      </w:r>
      <w:r w:rsidRPr="008127F8">
        <w:rPr>
          <w:rFonts w:ascii="Times New Roman" w:hAnsi="Times New Roman"/>
          <w:iCs/>
          <w:color w:val="000000" w:themeColor="text1"/>
          <w:sz w:val="16"/>
          <w:szCs w:val="16"/>
        </w:rPr>
        <w:softHyphen/>
        <w:t>товлен опытный образец. В августе нача</w:t>
      </w:r>
      <w:r w:rsidRPr="008127F8">
        <w:rPr>
          <w:rFonts w:ascii="Times New Roman" w:hAnsi="Times New Roman"/>
          <w:iCs/>
          <w:color w:val="000000" w:themeColor="text1"/>
          <w:sz w:val="16"/>
          <w:szCs w:val="16"/>
        </w:rPr>
        <w:softHyphen/>
        <w:t>лись заводские испытания.</w:t>
      </w:r>
    </w:p>
    <w:p w14:paraId="1C38C53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По конструкции ЗИС-31 представляет собой вращающуюся часть ЗИС-2, устано</w:t>
      </w:r>
      <w:r w:rsidRPr="008127F8">
        <w:rPr>
          <w:rFonts w:ascii="Times New Roman" w:hAnsi="Times New Roman"/>
          <w:iCs/>
          <w:color w:val="000000" w:themeColor="text1"/>
          <w:sz w:val="16"/>
          <w:szCs w:val="16"/>
        </w:rPr>
        <w:softHyphen/>
        <w:t>вленную на специально забронированном 3-х осном 1,5-тонном грузовике ГАЗ-ААА.</w:t>
      </w:r>
    </w:p>
    <w:p w14:paraId="48F1E02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Цель проектирования ЗИС-</w:t>
      </w:r>
      <w:proofErr w:type="gramStart"/>
      <w:r w:rsidRPr="008127F8">
        <w:rPr>
          <w:rFonts w:ascii="Times New Roman" w:hAnsi="Times New Roman"/>
          <w:iCs/>
          <w:color w:val="000000" w:themeColor="text1"/>
          <w:sz w:val="16"/>
          <w:szCs w:val="16"/>
        </w:rPr>
        <w:t>31,так</w:t>
      </w:r>
      <w:proofErr w:type="gramEnd"/>
      <w:r w:rsidRPr="008127F8">
        <w:rPr>
          <w:rFonts w:ascii="Times New Roman" w:hAnsi="Times New Roman"/>
          <w:iCs/>
          <w:color w:val="000000" w:themeColor="text1"/>
          <w:sz w:val="16"/>
          <w:szCs w:val="16"/>
        </w:rPr>
        <w:t xml:space="preserve"> же как и ЗИС-30, заключалась в том, чтобы дать большую маневренность 57-мм про</w:t>
      </w:r>
      <w:r w:rsidRPr="008127F8">
        <w:rPr>
          <w:rFonts w:ascii="Times New Roman" w:hAnsi="Times New Roman"/>
          <w:iCs/>
          <w:color w:val="000000" w:themeColor="text1"/>
          <w:sz w:val="16"/>
          <w:szCs w:val="16"/>
        </w:rPr>
        <w:softHyphen/>
        <w:t>тивотанковой пушке. Вследствие того. Что проходимость ЗИС-31 значительно ус</w:t>
      </w:r>
      <w:r w:rsidRPr="008127F8">
        <w:rPr>
          <w:rFonts w:ascii="Times New Roman" w:hAnsi="Times New Roman"/>
          <w:iCs/>
          <w:color w:val="000000" w:themeColor="text1"/>
          <w:sz w:val="16"/>
          <w:szCs w:val="16"/>
        </w:rPr>
        <w:softHyphen/>
        <w:t>тупала проходимости ЗИС-30, работы по ЗИС-31 были приостановлены.</w:t>
      </w:r>
    </w:p>
    <w:p w14:paraId="02316C4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31. ЗИС-41 - 57-мм противотанковая пушка в 73 клб., имеющая начальную ско</w:t>
      </w:r>
      <w:r w:rsidRPr="008127F8">
        <w:rPr>
          <w:rFonts w:ascii="Times New Roman" w:hAnsi="Times New Roman"/>
          <w:iCs/>
          <w:color w:val="000000" w:themeColor="text1"/>
          <w:sz w:val="16"/>
          <w:szCs w:val="16"/>
        </w:rPr>
        <w:softHyphen/>
        <w:t>рость снаряда 995 м/сек. и установленная на специально забронированном вездеходе ЗИС-22.</w:t>
      </w:r>
    </w:p>
    <w:p w14:paraId="3D146C9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ЗИС-41 спроектирована по инициативе завода в сентябре - октябре месяцах. В ок</w:t>
      </w:r>
      <w:r w:rsidRPr="008127F8">
        <w:rPr>
          <w:rFonts w:ascii="Times New Roman" w:hAnsi="Times New Roman"/>
          <w:iCs/>
          <w:color w:val="000000" w:themeColor="text1"/>
          <w:sz w:val="16"/>
          <w:szCs w:val="16"/>
        </w:rPr>
        <w:softHyphen/>
        <w:t>тябре - ноябре производилось изготовление опытного образца. В ноябре опытный обра</w:t>
      </w:r>
      <w:r w:rsidRPr="008127F8">
        <w:rPr>
          <w:rFonts w:ascii="Times New Roman" w:hAnsi="Times New Roman"/>
          <w:iCs/>
          <w:color w:val="000000" w:themeColor="text1"/>
          <w:sz w:val="16"/>
          <w:szCs w:val="16"/>
        </w:rPr>
        <w:softHyphen/>
        <w:t>зец проходил заводские испытания.</w:t>
      </w:r>
    </w:p>
    <w:p w14:paraId="539598B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По конструкции ЗИС-41 представляет собой вращающуюся часть ЗИС-2, устано</w:t>
      </w:r>
      <w:r w:rsidRPr="008127F8">
        <w:rPr>
          <w:rFonts w:ascii="Times New Roman" w:hAnsi="Times New Roman"/>
          <w:iCs/>
          <w:color w:val="000000" w:themeColor="text1"/>
          <w:sz w:val="16"/>
          <w:szCs w:val="16"/>
        </w:rPr>
        <w:softHyphen/>
        <w:t>вленную на специально забронированном вездеходе ЗИС-22.</w:t>
      </w:r>
    </w:p>
    <w:p w14:paraId="2D0FC0F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Цель проектирования ЗИС-</w:t>
      </w:r>
      <w:proofErr w:type="gramStart"/>
      <w:r w:rsidRPr="008127F8">
        <w:rPr>
          <w:rFonts w:ascii="Times New Roman" w:hAnsi="Times New Roman"/>
          <w:iCs/>
          <w:color w:val="000000" w:themeColor="text1"/>
          <w:sz w:val="16"/>
          <w:szCs w:val="16"/>
        </w:rPr>
        <w:t>31,так</w:t>
      </w:r>
      <w:proofErr w:type="gramEnd"/>
      <w:r w:rsidRPr="008127F8">
        <w:rPr>
          <w:rFonts w:ascii="Times New Roman" w:hAnsi="Times New Roman"/>
          <w:iCs/>
          <w:color w:val="000000" w:themeColor="text1"/>
          <w:sz w:val="16"/>
          <w:szCs w:val="16"/>
        </w:rPr>
        <w:t xml:space="preserve"> же как ЗИС-30 и ЗИС-31, заключалась в том, чтобы дать большую маневренность 57-мм противотанковой пушке. По той же причи</w:t>
      </w:r>
      <w:r w:rsidRPr="008127F8">
        <w:rPr>
          <w:rFonts w:ascii="Times New Roman" w:hAnsi="Times New Roman"/>
          <w:iCs/>
          <w:color w:val="000000" w:themeColor="text1"/>
          <w:sz w:val="16"/>
          <w:szCs w:val="16"/>
        </w:rPr>
        <w:softHyphen/>
        <w:t>не, по которой свернуто производство ЗИС-2, и по невозможности Московскому автозаводу в сложившихся условиях произ</w:t>
      </w:r>
      <w:r w:rsidRPr="008127F8">
        <w:rPr>
          <w:rFonts w:ascii="Times New Roman" w:hAnsi="Times New Roman"/>
          <w:iCs/>
          <w:color w:val="000000" w:themeColor="text1"/>
          <w:sz w:val="16"/>
          <w:szCs w:val="16"/>
        </w:rPr>
        <w:softHyphen/>
        <w:t>водить достаточное количество вездеходов ЗИС-22, работы по ЗИС-41 в ноябре месяце были приостановлены» (11089).</w:t>
      </w:r>
    </w:p>
    <w:p w14:paraId="506B084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29038D" w14:textId="77777777" w:rsidR="000F0A32" w:rsidRPr="008127F8" w:rsidRDefault="000F0A32" w:rsidP="001E0A84">
      <w:pPr>
        <w:spacing w:after="0" w:line="240" w:lineRule="auto"/>
        <w:jc w:val="both"/>
        <w:rPr>
          <w:rFonts w:ascii="Times New Roman" w:eastAsia="Times New Roman" w:hAnsi="Times New Roman"/>
          <w:bCs/>
          <w:iCs/>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апреля 1942 г.</w:t>
      </w:r>
    </w:p>
    <w:p w14:paraId="017A12D1"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63 – 64</w:t>
      </w:r>
      <w:r w:rsidRPr="008127F8">
        <w:rPr>
          <w:rFonts w:ascii="Times New Roman" w:eastAsia="Times New Roman" w:hAnsi="Times New Roman"/>
          <w:color w:val="000000" w:themeColor="text1"/>
          <w:sz w:val="16"/>
          <w:szCs w:val="16"/>
          <w:lang w:eastAsia="ru-RU"/>
        </w:rPr>
        <w:t xml:space="preserve"> </w:t>
      </w:r>
    </w:p>
    <w:p w14:paraId="43308031"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Секретно. </w:t>
      </w:r>
    </w:p>
    <w:p w14:paraId="36B2AE58"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7FD74367"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НАРОДНОГО КОМИССАРИАТА ТАНКОВОЙ ПРОМЫШЛЕННОСТИ</w:t>
      </w:r>
    </w:p>
    <w:p w14:paraId="0041B3AB"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371c</w:t>
      </w:r>
    </w:p>
    <w:p w14:paraId="7396544D"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Москва </w:t>
      </w:r>
    </w:p>
    <w:p w14:paraId="692CFC1E"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апреля 1942 г.</w:t>
      </w:r>
    </w:p>
    <w:p w14:paraId="7DD0F392"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Для утверждения Наркоматом и ГАБТУ чертежей и техусловий на танки и дизеля, ПРИКАЗЫВАЮ: </w:t>
      </w:r>
    </w:p>
    <w:p w14:paraId="541D1EB9"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1) Директорам Кировского завода т. Махонину, завода № 183 т. Зальцману, СТЗ – т. Задорожному, завода № 112 – т. Михалеву, завода № 76 – т. Кочеткову, завода № 37 – т. Фрезерову и завода № 264 – т. Кордунер переслать к 25/V-42 г. в НКТП по четыре комплекта техусловий и чертежей (из них 2 комплекта полных, включая рабочие чертежи), соответственно на танки и дизеля, согласованных с военпредом. </w:t>
      </w:r>
    </w:p>
    <w:p w14:paraId="7C30949E"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Директорам СТЗ, завода № 112, завода № 76 и завода № 264 учесть, что чертежи и техусловия по их заводам должны быть согласованы, соответственно, с чертежами и техусловиями заводов Кировского, № 183 и № 37. Каждое отступление, нарушающее взаимозаменяемость, должно быть обосновано и приведено в приложении к чертежам. </w:t>
      </w:r>
    </w:p>
    <w:p w14:paraId="6EC26370"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Зам. Нач. 2-го Отдела т. Гинзбург совместно с БТУ КА: </w:t>
      </w:r>
    </w:p>
    <w:p w14:paraId="326DAB36"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а) рассмотреть и представить до 15/VI-42 г. к утверждению НКТП и НКО чертежи и техусловия; </w:t>
      </w:r>
    </w:p>
    <w:p w14:paraId="344E0345"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б) один полный комплект утвержденных чертежей и техусловий хранить в НКТП, 2-й экз. направить в БТУ КА, 3 и 4-й экз. направить заводам и военпредам. </w:t>
      </w:r>
    </w:p>
    <w:p w14:paraId="2FE040F0"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Запретить вносить в утвержденные чертежи и техусловия изменения, нарушающие взаимозаменяемость без разрешения Наркомтанкопрома и ГАБТУ КА. </w:t>
      </w:r>
    </w:p>
    <w:p w14:paraId="49280CFB"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2-му Отделу НКТП предложения о внесении изменений рассматривать после заключения со стороны ведущих заводов соответственно: </w:t>
      </w:r>
    </w:p>
    <w:p w14:paraId="2086D233"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Кировского по КВ, дизелям и КВ-8; </w:t>
      </w:r>
    </w:p>
    <w:p w14:paraId="6F3AC046"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183 по Т-34 и Т-О34; </w:t>
      </w:r>
    </w:p>
    <w:p w14:paraId="3BEF1DCA"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37 по Т-60; </w:t>
      </w:r>
    </w:p>
    <w:p w14:paraId="5F5698A3"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 222 по АТО-41. </w:t>
      </w:r>
    </w:p>
    <w:p w14:paraId="182A7F48"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3161AD5F"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ГОРЕГЛЯД (18948).</w:t>
      </w:r>
    </w:p>
    <w:p w14:paraId="0B44E28B" w14:textId="77777777" w:rsidR="000F0A32" w:rsidRPr="008127F8" w:rsidRDefault="000F0A32" w:rsidP="001E0A84">
      <w:pPr>
        <w:spacing w:after="0" w:line="240" w:lineRule="auto"/>
        <w:jc w:val="both"/>
        <w:rPr>
          <w:rFonts w:ascii="Times New Roman" w:hAnsi="Times New Roman"/>
          <w:color w:val="000000" w:themeColor="text1"/>
          <w:sz w:val="16"/>
          <w:szCs w:val="16"/>
        </w:rPr>
      </w:pPr>
    </w:p>
    <w:p w14:paraId="6CB3977B" w14:textId="77777777" w:rsidR="000F0A32" w:rsidRPr="008127F8" w:rsidRDefault="000F0A32" w:rsidP="001E0A84">
      <w:pPr>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lang w:eastAsia="ru-RU"/>
        </w:rPr>
        <w:t>30 апреля 1942 г.</w:t>
      </w:r>
    </w:p>
    <w:p w14:paraId="40C7313C"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iCs/>
          <w:color w:val="000000" w:themeColor="text1"/>
          <w:sz w:val="16"/>
          <w:szCs w:val="16"/>
          <w:lang w:eastAsia="ru-RU"/>
        </w:rPr>
        <w:t>РГАЭ Фонд 8752 Опись 4 Дело 88 лист 67</w:t>
      </w:r>
      <w:r w:rsidRPr="008127F8">
        <w:rPr>
          <w:rFonts w:ascii="Times New Roman" w:eastAsia="Times New Roman" w:hAnsi="Times New Roman"/>
          <w:color w:val="000000" w:themeColor="text1"/>
          <w:sz w:val="16"/>
          <w:szCs w:val="16"/>
          <w:lang w:eastAsia="ru-RU"/>
        </w:rPr>
        <w:t xml:space="preserve"> </w:t>
      </w:r>
    </w:p>
    <w:p w14:paraId="34B8A5D6"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СОВ.СЕКРЕТНО </w:t>
      </w:r>
    </w:p>
    <w:p w14:paraId="2ABED0D2"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ПРИКАЗ</w:t>
      </w:r>
    </w:p>
    <w:p w14:paraId="755DC61A"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 и</w:t>
      </w:r>
    </w:p>
    <w:p w14:paraId="2985CE08"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Главному </w:t>
      </w:r>
      <w:proofErr w:type="gramStart"/>
      <w:r w:rsidRPr="008127F8">
        <w:rPr>
          <w:rFonts w:ascii="Times New Roman" w:eastAsia="Times New Roman" w:hAnsi="Times New Roman"/>
          <w:color w:val="000000" w:themeColor="text1"/>
          <w:sz w:val="16"/>
          <w:szCs w:val="16"/>
          <w:lang w:eastAsia="ru-RU"/>
        </w:rPr>
        <w:t>Авто-броне-танковому</w:t>
      </w:r>
      <w:proofErr w:type="gramEnd"/>
      <w:r w:rsidRPr="008127F8">
        <w:rPr>
          <w:rFonts w:ascii="Times New Roman" w:eastAsia="Times New Roman" w:hAnsi="Times New Roman"/>
          <w:color w:val="000000" w:themeColor="text1"/>
          <w:sz w:val="16"/>
          <w:szCs w:val="16"/>
          <w:lang w:eastAsia="ru-RU"/>
        </w:rPr>
        <w:t xml:space="preserve"> Управлению К.А.</w:t>
      </w:r>
    </w:p>
    <w:p w14:paraId="0D3DC2AE"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372cс</w:t>
      </w:r>
    </w:p>
    <w:p w14:paraId="1562426A"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 Москва </w:t>
      </w:r>
    </w:p>
    <w:p w14:paraId="759A8EA2"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апреля 1942 г.</w:t>
      </w:r>
    </w:p>
    <w:p w14:paraId="455ECA8C"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С целью отработки приспособлений к танку Т-34 для подводного преодоления рек и других водных препятствий, ПРИКАЗЫВАЕМ: </w:t>
      </w:r>
    </w:p>
    <w:p w14:paraId="608D33B3"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 xml:space="preserve">1. Директору завода № 112 тов. МИХАЛЕВУ к 20 мая 1942 г. обеспечить изготовление деталей и переоборудование 3-х отремонтированных танков Т-34, приспособив их для подводного хождения, по чертежам Научно-испытательного полигона ГАБТУ КА. </w:t>
      </w:r>
    </w:p>
    <w:p w14:paraId="240547E0"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 Начальнику Научно-испытательного полигона ГАБТУ КА командировать с 1 мая с.г. на завод № 112 военного инженера II ранга тов. МЕДОВОГО с комплектом чертежей. </w:t>
      </w:r>
    </w:p>
    <w:p w14:paraId="79A31AC9"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3. Начальнику 5 Отдела БТУ КА инженер-полковнику т. АФОНИНУ и Зам. Начальника 2 Отдела НКТП военному инженеру I ранга т. ГИНЗБУРГУ разработать программу испытаний и представить ее к 10 мая 1942 года в НКТП и ГАБТУ КА на утверждение. </w:t>
      </w:r>
    </w:p>
    <w:p w14:paraId="01479CFD"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Состав комиссии для проведения испытаний утвердить дополнительным распоряжением. </w:t>
      </w:r>
    </w:p>
    <w:p w14:paraId="335E5513"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44F29877"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подпись ГОРЕГЛЯД </w:t>
      </w:r>
    </w:p>
    <w:p w14:paraId="29CFD50D"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 Нач. ГАБТУ КА Генерал-майор технических войск</w:t>
      </w:r>
    </w:p>
    <w:p w14:paraId="252D1E5A"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подпись ЛЕБЕДЕВ </w:t>
      </w:r>
    </w:p>
    <w:p w14:paraId="4EF2393D"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Военный Комиссар ГАБТУ КА Армейский Комиссар II ранга</w:t>
      </w:r>
    </w:p>
    <w:p w14:paraId="3D8AAB22" w14:textId="77777777" w:rsidR="000F0A32" w:rsidRPr="008127F8" w:rsidRDefault="000F0A32" w:rsidP="001E0A84">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подпись БИРЮКОВ (18949).</w:t>
      </w:r>
    </w:p>
    <w:p w14:paraId="0BD40641" w14:textId="77777777" w:rsidR="000F0A32" w:rsidRPr="008127F8" w:rsidRDefault="000F0A32" w:rsidP="001E0A84">
      <w:pPr>
        <w:spacing w:after="0" w:line="240" w:lineRule="auto"/>
        <w:jc w:val="both"/>
        <w:rPr>
          <w:rFonts w:ascii="Times New Roman" w:hAnsi="Times New Roman"/>
          <w:color w:val="000000" w:themeColor="text1"/>
          <w:sz w:val="16"/>
          <w:szCs w:val="16"/>
        </w:rPr>
      </w:pPr>
    </w:p>
    <w:p w14:paraId="6000A95A"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года военпред ГАБТУ КА на заводе № 264 военинженер 3-го ранга Морозов докладывал:</w:t>
      </w:r>
    </w:p>
    <w:p w14:paraId="146DD550"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апреля 1942 года на заводе № 264 имелись трещины на 87 машинах, собираемых на СТЗ и 27 машинах, поступивших в войска.</w:t>
      </w:r>
    </w:p>
    <w:p w14:paraId="549D1BF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1942 год внесены для СТЗ следующие изменения: ранее съемный задний лист башни переведен на приварной, а в литой башне вырез заднего листа прекращен, увеличена толщина листов крыши и ниши башни с 16 до 20 мм, увеличена твердость деталей съемной крыши корпуса с 16 до 20 мм, изменена твердость деталей крыши башни и корпуса с 2,8-3,15 на 3,0-3,4 НБ.</w:t>
      </w:r>
    </w:p>
    <w:p w14:paraId="2A463AD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изготовлении деталей из стали 8с предусмотрен низкий отпуск. Это сократило количество трещин в три раза. Выявленные трещины на СТЗ и в войсках заводом № 264 полностью отремонтированы».</w:t>
      </w:r>
    </w:p>
    <w:p w14:paraId="634BB30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улучшения качества продукции Главное автобронетанковое управление пыталось воздействовать на завод самыми разными средствами - и через наркомат танковой промышленности, и через ГКО, и по партийной линии (12217).</w:t>
      </w:r>
    </w:p>
    <w:p w14:paraId="6A1FEF7A"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663316A6" w14:textId="77777777" w:rsidR="00D34C9F" w:rsidRPr="008127F8" w:rsidRDefault="00D34C9F"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апреля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приказом по ГАЗ устанавливался темп сборки машин иностранных марок на май месяц: с 1 по 10 мая – по 100, а с 11 по 31 мая – по 125 машин в сутки (15218).</w:t>
      </w:r>
    </w:p>
    <w:p w14:paraId="50F8DDC2" w14:textId="77777777" w:rsidR="00D34C9F" w:rsidRPr="008127F8" w:rsidRDefault="00D34C9F" w:rsidP="001E0A84">
      <w:pPr>
        <w:widowControl w:val="0"/>
        <w:spacing w:after="0" w:line="240" w:lineRule="auto"/>
        <w:jc w:val="both"/>
        <w:rPr>
          <w:rFonts w:ascii="Times New Roman" w:hAnsi="Times New Roman"/>
          <w:color w:val="000000" w:themeColor="text1"/>
          <w:sz w:val="16"/>
          <w:szCs w:val="16"/>
        </w:rPr>
      </w:pPr>
    </w:p>
    <w:p w14:paraId="76603430"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3BF180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A0230"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в 1942 году утреннее сообщение Совинформбюро:</w:t>
      </w:r>
    </w:p>
    <w:p w14:paraId="5C02BB0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30 апреля на фронте ничего существенного не произошло.</w:t>
      </w:r>
    </w:p>
    <w:p w14:paraId="6FCD382E"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 пехоты противника, поддержанный танками, трижды пытался атаковать позиции нашей стрелковой части, действующей на Западном фронте. Огнём артиллерии и пехотного оружия все вражеские атаки были отбиты. На поле боя осталось свыше 300 трупов немецких солдат и офицеров и один подбитый вражеский танк. Ружейным огнём наших бойцов сбит самолёт противника.</w:t>
      </w:r>
    </w:p>
    <w:p w14:paraId="2EF1319A"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заняла опорный пункт противника и захватила 6 немецких пулемётов, 2 миномёта, много автоматов и винтовок. Гитлеровцы потеряли убитыми свыше 150 солдат и офицеров.</w:t>
      </w:r>
    </w:p>
    <w:p w14:paraId="7608A23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тов. Фрундин 27 апреля убил 7 и ранил 2 гитлеровцев. Всего за время войны он уничтожил 101 солдата и офицера противника.</w:t>
      </w:r>
    </w:p>
    <w:p w14:paraId="4443AD1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Компанеец меткой очередью из пулемёта сбил немецкий самолёт, корректировавший огонь своей артиллерии.</w:t>
      </w:r>
    </w:p>
    <w:p w14:paraId="7354EDB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ленинградских партизан пустила под откос немецкий поезд с военным снаряжением. На другой день партизаны организовали крушение воинского эшелона противника. Разбито 58 вагонов. Погибло много немецких солдат и офицеров.</w:t>
      </w:r>
    </w:p>
    <w:p w14:paraId="1C2FE6C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9 роты 47 пехотного полка 118 венгерской бригады Антал Молнар рассказал: «Солдат нашей роты Лайош Марка недавно побывал на родине. Он говорит, что немцы опустошают Венгрию, вывозят сельскохозяйственные продукты, лес, сырьё. Народ начинает понимать, что Гитлер хочет истребить венгерскую молодёжь, обескровить и обессилить Венгрию, а потом ликвидировать её как самостоятельное государство. Всюду говорят: немцы хотят нас съесть. До войны мы занимались трудом, заботились о своих семьях, а теперь Гитлер и его венгерские лакеи превратили нас в бандитов: нас учат грабить и убивать».</w:t>
      </w:r>
    </w:p>
    <w:p w14:paraId="74B48EB1"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полевой почте, захваченной у противника, найдено письмо немецкому майору Леопольду Параку от его родных. В письме из Будвейса (Чехословакия) сообщают: «Здесь объявлено осадное положение. Многих чехов расстреляли. На днях неизвестные подожгли фабрику».</w:t>
      </w:r>
    </w:p>
    <w:p w14:paraId="4DD323E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уничтожают население оккупированных ими советских районов. В марте гитлеровцы расстреляли всех жителей деревень Журиничи и Бежичи, Орловской области. В селении Жуковка немцы замучили и убили 80 советских граждан. В Глуховском районе, Сумской области, сожжены все дома в целом ряде деревень. Советские граждане, бежавшие из занятых немцами районов, рассказывают, что немецкие изверги насильно сгоняют женщин и на их глазах подвергают пыткам и мучениям малолетних детей.</w:t>
      </w:r>
    </w:p>
    <w:p w14:paraId="3815E5E2"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различных городах Италии всё чаще и чаще происходят стычки между итальянскими и немецкими солдатами. 21 апреля в городе Генуя итальянские солдаты избили немецких лётчиков, пристававших на улице к женщинам. На другой день в порту произошло побоище между итальянскими матросами и немецкими солдатами. В ход были пущены ножи. 5 немцев убито, 11 тяжело ранено.» (15115).</w:t>
      </w:r>
    </w:p>
    <w:p w14:paraId="3B20DE14"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76F469F9"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в 1942 году вечернее сообщение Совинформбюро:</w:t>
      </w:r>
    </w:p>
    <w:p w14:paraId="199264F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30 апреля на фронте чего-либо существенного не произошло.</w:t>
      </w:r>
    </w:p>
    <w:p w14:paraId="2037A2E9"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29 апреля уничтожен 31 немецкий самолёт. Наши потери — 11 самолётов.</w:t>
      </w:r>
    </w:p>
    <w:p w14:paraId="117175F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корабль в Баренцевом море потопил транспорт противника водоизмещением в 10.000 тонн.</w:t>
      </w:r>
    </w:p>
    <w:p w14:paraId="48C6B2AF"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29 апреля частями нашей авиации уничтожено или повреждено 6 немецких танков, более 70 автомашин с войсками и грузами, 25 повозок с боеприпасами, 8 полевых и зенитных орудий, взорвано 4 склада с боеприпасами, разбит железнодорожный состав, рассеяно и частью уничтожено до семи рот пехоты противника.</w:t>
      </w:r>
    </w:p>
    <w:p w14:paraId="09C1C16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танковая бригада, действующая на одном из участков Калининского фронта, успешно громит немецко-фашистских захватчиков. За время Отечественной войны бригада уничтожила 168 вражеских танков, 29 самолётов, 500 автомашин, большое количество пулемётов, миномётов, орудий, бронемашин и свыше 13.000 вражеских солдат и офицеров. Выполняя приказ командования, группа танков бригады недавно прорвалась в тыл противника и истребила около 1.000 гитлеровцев.</w:t>
      </w:r>
    </w:p>
    <w:p w14:paraId="6924B653"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танкисты лейтенант Солдатов, водитель Батрак, командир башни Приколотин и пулемётчик Садченко ворвались в расположение немецких войск и уничтожили вражеский танк, орудие противотанковой обороны, миномётную батарею с прислугой и несколько блиндажей с пехотой.</w:t>
      </w:r>
    </w:p>
    <w:p w14:paraId="4073734E"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этом же участке полевой артиллерией разгромлен немецкий обоз с боеприпасами и сожжён приземлившийся у деревни З. двухмоторный самолёт противника.</w:t>
      </w:r>
    </w:p>
    <w:p w14:paraId="281B596B"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Немцы под прикрытием танков пытались атаковать одну нашу часть. Орудийный расчёт старшего сержанта т. Тихонова выкатил орудие на открытую позицию, близко подпустил три немецких танка и метким огнём уничтожил их. Артиллеристы обрушились огнём на пехоту врага и уничтожили большое количество гитлеровцев.</w:t>
      </w:r>
    </w:p>
    <w:p w14:paraId="3C422ECB"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Снайперские группы красноармейцев т.т. Крупченко и Ковалёва уничтожили 240 гитлеровцев.</w:t>
      </w:r>
    </w:p>
    <w:p w14:paraId="520A022E"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Юхневич, искусно маскируясь, подполз к вражескому окопу и меткими выстрелами убил 7 немцев. Захватив станковый пулемёт и сумку с важными документами, Юхневич вернулся в свою часть.</w:t>
      </w:r>
    </w:p>
    <w:p w14:paraId="65026FC8"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записок убитого командира взвода 269 полка испанской «Голубой дивизии» лейтенанта Хэрке Меркодаль:</w:t>
      </w:r>
    </w:p>
    <w:p w14:paraId="29873A07"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«...Вечером, когда все офицеры собрались у майора в убежище, был получен приказ полковника Эспарса отступить. В 9 часов спешно отходим, оставив всё имущество и захватив только замки от орудий. Появляется авиация противника и сеет панику в наших войсках. Тяжело видеть немногих уцелевших солдат, выбившихся из сил. Они раздеты и умирают от голода и холода. Командую остатками 1 и 3 взводов, которые насчитывают несколько десятков человеческих тряпок без моральных устоев и без боеприпасов...</w:t>
      </w:r>
    </w:p>
    <w:p w14:paraId="43C9E760"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дух нашей дивизии всецело направлен против немцев. Наши начальники очень много заботятся о себе и собственном благополучии. Мы ужасно грязные. Я хожу в рваных сапогах. На мне полно вшей.</w:t>
      </w:r>
    </w:p>
    <w:p w14:paraId="33BE16A2"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Сегодня испанская дивизия представляет собой хаос: полки разбиты, нет боевого духа, нет боеприпасов, отсутствует доверие к командирам... «Голубая дивизия» прибыла сюда, чтобы дать славу Испании, а </w:t>
      </w:r>
      <w:proofErr w:type="gramStart"/>
      <w:r w:rsidRPr="008127F8">
        <w:rPr>
          <w:rFonts w:ascii="Times New Roman" w:hAnsi="Times New Roman"/>
          <w:color w:val="000000" w:themeColor="text1"/>
          <w:sz w:val="16"/>
          <w:szCs w:val="16"/>
        </w:rPr>
        <w:t>вышло</w:t>
      </w:r>
      <w:proofErr w:type="gramEnd"/>
      <w:r w:rsidRPr="008127F8">
        <w:rPr>
          <w:rFonts w:ascii="Times New Roman" w:hAnsi="Times New Roman"/>
          <w:color w:val="000000" w:themeColor="text1"/>
          <w:sz w:val="16"/>
          <w:szCs w:val="16"/>
        </w:rPr>
        <w:t xml:space="preserve"> наоборот. Наши солдаты и бездарные начальники опозорили Испанию на весь мир. Мне стыдно... Испания закончит своё существование германской колонией».</w:t>
      </w:r>
    </w:p>
    <w:p w14:paraId="1E7706A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Румынии за последнее время произведены многочисленные аресты видных государственных служащих и офицеров армии, имеющих родственные связи с венграми. Установлено, что венгерская разведка широко использовала эти связи для вербовки шпионов и диверсантов. Румынские власти предполагают, что многочисленные аварии на железных дорогах, расположенных в северо-западной части Румынии, являются делом рук венгерских агентов. Для борьбы со шпионажем начальник </w:t>
      </w:r>
      <w:r w:rsidRPr="008127F8">
        <w:rPr>
          <w:rFonts w:ascii="Times New Roman" w:hAnsi="Times New Roman"/>
          <w:color w:val="000000" w:themeColor="text1"/>
          <w:sz w:val="16"/>
          <w:szCs w:val="16"/>
        </w:rPr>
        <w:lastRenderedPageBreak/>
        <w:t>генерального штаба румынской армии издал приказ за № 45924, в котором запрещает «выдавать визы на въезд в Венгрию жёнам военнослужащих и чиновников на всё время войны».</w:t>
      </w:r>
    </w:p>
    <w:p w14:paraId="5746877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Юго-Западный фронт прибыли делегации трудящихся Таджикистана и Башкирии. Делегаты привезли бойцам и командирам Красной Армии первомайские подарки. Трудящиеся Башкирии прислали защитникам родины 66 вагонов различных продуктов: мясо, сливочное масло, колбасу, яйца, рыбу, вино, копчёности, печенье, конфеты, а также 60.000 индивидуальных посылок. Делегаты Таджикистана привезли 17 вагонов подарков, в которых рабочие, колхозники и служащие прислали папиросы, мясо, яйца, фрукты, орехи, вино, конфеты.» (15115).</w:t>
      </w:r>
    </w:p>
    <w:p w14:paraId="47C88BF2"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73AD8BF7"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завершилась Любанская наступательная операция войск Волховского фронта и части сил Ленинградского фронта, проведённая с целью деблокирования Ленинграда. Однако замысел операции не был осуществлён из-за недостатков в организации наступления, нехватки оружия и др. материальных средств (</w:t>
      </w:r>
      <w:proofErr w:type="gramStart"/>
      <w:r w:rsidRPr="008127F8">
        <w:rPr>
          <w:rFonts w:ascii="Times New Roman" w:hAnsi="Times New Roman"/>
          <w:color w:val="000000" w:themeColor="text1"/>
          <w:sz w:val="16"/>
          <w:szCs w:val="16"/>
        </w:rPr>
        <w:t>4963 )</w:t>
      </w:r>
      <w:proofErr w:type="gramEnd"/>
      <w:r w:rsidRPr="008127F8">
        <w:rPr>
          <w:rFonts w:ascii="Times New Roman" w:hAnsi="Times New Roman"/>
          <w:color w:val="000000" w:themeColor="text1"/>
          <w:sz w:val="16"/>
          <w:szCs w:val="16"/>
        </w:rPr>
        <w:t>.</w:t>
      </w:r>
    </w:p>
    <w:p w14:paraId="63DF86C1" w14:textId="77777777" w:rsidR="00BE3C69" w:rsidRPr="008127F8" w:rsidRDefault="00BE3C69" w:rsidP="001E0A84">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4176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вечером два наших ТКА Азовской военной флотилии, вышедших из Ейска, у Кривой косы вступили в перестрелку с вражеским катером. Эффективность ДШК оказалась ниже, чем у бортового оружия “супостата”, имевшего кроме пулеметов еще и малокалиберную пушку. В итоге боя №54 был поврежден, два человека на нем погибли, четыре получили ранения (6002).</w:t>
      </w:r>
    </w:p>
    <w:p w14:paraId="175AA5B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35065"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D7FE5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698767"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апреля 1942 г. на</w:t>
      </w:r>
      <w:r w:rsidRPr="008A2E5A">
        <w:rPr>
          <w:rFonts w:ascii="Times New Roman" w:hAnsi="Times New Roman"/>
          <w:color w:val="0070C0"/>
          <w:sz w:val="16"/>
          <w:szCs w:val="16"/>
        </w:rPr>
        <w:softHyphen/>
        <w:t>чальник Технического отдела оберст Вольфганг Форвальд (Wolfgang Vorwald) писал: «Hs 129 является очень важным оружием. Снова и снова мы получаем от пехотных командиров с фронта жалобы на то, что люфтваффе никак не может содей</w:t>
      </w:r>
      <w:r w:rsidRPr="008A2E5A">
        <w:rPr>
          <w:rFonts w:ascii="Times New Roman" w:hAnsi="Times New Roman"/>
          <w:color w:val="0070C0"/>
          <w:sz w:val="16"/>
          <w:szCs w:val="16"/>
        </w:rPr>
        <w:softHyphen/>
        <w:t>ствовать в отражении неприятельских танковых атак... Технический департамент считает, что вооружение пушками МК 101 позволит группам 129-х решать все зада</w:t>
      </w:r>
      <w:r w:rsidRPr="008A2E5A">
        <w:rPr>
          <w:rFonts w:ascii="Times New Roman" w:hAnsi="Times New Roman"/>
          <w:color w:val="0070C0"/>
          <w:sz w:val="16"/>
          <w:szCs w:val="16"/>
        </w:rPr>
        <w:softHyphen/>
        <w:t xml:space="preserve">чи». Существенной проблемой, которая мешала установке МК 101 </w:t>
      </w:r>
      <w:proofErr w:type="gramStart"/>
      <w:r w:rsidRPr="008A2E5A">
        <w:rPr>
          <w:rFonts w:ascii="Times New Roman" w:hAnsi="Times New Roman"/>
          <w:color w:val="0070C0"/>
          <w:sz w:val="16"/>
          <w:szCs w:val="16"/>
        </w:rPr>
        <w:t>на штурмовик</w:t>
      </w:r>
      <w:proofErr w:type="gramEnd"/>
      <w:r w:rsidRPr="008A2E5A">
        <w:rPr>
          <w:rFonts w:ascii="Times New Roman" w:hAnsi="Times New Roman"/>
          <w:color w:val="0070C0"/>
          <w:sz w:val="16"/>
          <w:szCs w:val="16"/>
        </w:rPr>
        <w:t xml:space="preserve"> Hs 129В, была малая емкость магазина - в первоначальном варианте пушка заря</w:t>
      </w:r>
      <w:r w:rsidRPr="008A2E5A">
        <w:rPr>
          <w:rFonts w:ascii="Times New Roman" w:hAnsi="Times New Roman"/>
          <w:color w:val="0070C0"/>
          <w:sz w:val="16"/>
          <w:szCs w:val="16"/>
        </w:rPr>
        <w:softHyphen/>
        <w:t>жалась барабанными магазинами емкос</w:t>
      </w:r>
      <w:r w:rsidRPr="008A2E5A">
        <w:rPr>
          <w:rFonts w:ascii="Times New Roman" w:hAnsi="Times New Roman"/>
          <w:color w:val="0070C0"/>
          <w:sz w:val="16"/>
          <w:szCs w:val="16"/>
        </w:rPr>
        <w:softHyphen/>
        <w:t>тью всего шесть патронов. Для двухмест</w:t>
      </w:r>
      <w:r w:rsidRPr="008A2E5A">
        <w:rPr>
          <w:rFonts w:ascii="Times New Roman" w:hAnsi="Times New Roman"/>
          <w:color w:val="0070C0"/>
          <w:sz w:val="16"/>
          <w:szCs w:val="16"/>
        </w:rPr>
        <w:softHyphen/>
        <w:t>ного Bf 11 ОС-6 это было терпимым недо</w:t>
      </w:r>
      <w:r w:rsidRPr="008A2E5A">
        <w:rPr>
          <w:rFonts w:ascii="Times New Roman" w:hAnsi="Times New Roman"/>
          <w:color w:val="0070C0"/>
          <w:sz w:val="16"/>
          <w:szCs w:val="16"/>
        </w:rPr>
        <w:softHyphen/>
        <w:t>статком - бортрадист мог менять магазины в полете. Но на одноместном «хеншеле» такая возможность отсутство</w:t>
      </w:r>
      <w:r w:rsidRPr="008A2E5A">
        <w:rPr>
          <w:rFonts w:ascii="Times New Roman" w:hAnsi="Times New Roman"/>
          <w:color w:val="0070C0"/>
          <w:sz w:val="16"/>
          <w:szCs w:val="16"/>
        </w:rPr>
        <w:softHyphen/>
        <w:t>вала. Поэтому в срочном порядке спроек</w:t>
      </w:r>
      <w:r w:rsidRPr="008A2E5A">
        <w:rPr>
          <w:rFonts w:ascii="Times New Roman" w:hAnsi="Times New Roman"/>
          <w:color w:val="0070C0"/>
          <w:sz w:val="16"/>
          <w:szCs w:val="16"/>
        </w:rPr>
        <w:softHyphen/>
        <w:t>тировали новый 30-зарядный барабанный магазин (24189).</w:t>
      </w:r>
    </w:p>
    <w:p w14:paraId="0D7C311E" w14:textId="77777777" w:rsidR="0066141A" w:rsidRPr="008A2E5A" w:rsidRDefault="0066141A" w:rsidP="0066141A">
      <w:pPr>
        <w:spacing w:after="0" w:line="240" w:lineRule="auto"/>
        <w:jc w:val="both"/>
        <w:rPr>
          <w:rFonts w:ascii="Times New Roman" w:hAnsi="Times New Roman"/>
          <w:color w:val="0070C0"/>
          <w:sz w:val="16"/>
          <w:szCs w:val="16"/>
        </w:rPr>
      </w:pPr>
    </w:p>
    <w:p w14:paraId="1E82B33C"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в 1942 году поднялся в воздух первый из трех опытных построенных одноместных истребителей «Fiat» «G.55» «Centauro» (разработчик Джузеппе Габриэлли: «Fiat», Италия). Представлял собой цельнометаллический низкоплан и имел полностью убирающееся шасси и приподнятую кабину пилота, обеспечившую ему отличный обзор. Первая серия имела импортные моторы «DB605A2, вторая - лицензионные «RA.1050RC.58»; самолеты, собранные в Турине после раскола Италии, также оснащались «DB605A» (15115).</w:t>
      </w:r>
    </w:p>
    <w:p w14:paraId="1722CF47"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2D769F66"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в 1942 году в Даксфорде (Duxford) пилот испытатель «Rolls-Royce» Рональд Харкер (Ronald W.Harker) опробовал «Mustang» «Mk.III» - многоцелевой истребитель, разработанный американской фирмой «North American Aviation Inc.» (15115).</w:t>
      </w:r>
    </w:p>
    <w:p w14:paraId="3ACDE645"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35B5B711" w14:textId="77777777" w:rsidR="00B72E1B" w:rsidRPr="008127F8" w:rsidRDefault="00B72E1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30 апреля - с 1 апреля 1942 Fliegerkorps II и Fliegerkorps X Люфтваффе сделали 9,599 самолетовылетов против Мальты, сбросив свыше 6700 тонн (6078200 кг) бомб на или вокруг острова, и англичане потеряли 30 самолетов на земле. Истребители Королевских ВВС на Мальте совершили 350 самолето-вылетов, уничтожив около половины самолетов </w:t>
      </w:r>
      <w:proofErr w:type="gramStart"/>
      <w:r w:rsidRPr="008127F8">
        <w:rPr>
          <w:rFonts w:ascii="Times New Roman" w:hAnsi="Times New Roman"/>
          <w:color w:val="000000" w:themeColor="text1"/>
          <w:sz w:val="16"/>
          <w:szCs w:val="16"/>
        </w:rPr>
        <w:t>оси ,</w:t>
      </w:r>
      <w:proofErr w:type="gramEnd"/>
      <w:r w:rsidRPr="008127F8">
        <w:rPr>
          <w:rFonts w:ascii="Times New Roman" w:hAnsi="Times New Roman"/>
          <w:color w:val="000000" w:themeColor="text1"/>
          <w:sz w:val="16"/>
          <w:szCs w:val="16"/>
        </w:rPr>
        <w:t xml:space="preserve"> потерянных над островом в апреле (20793).</w:t>
      </w:r>
    </w:p>
    <w:p w14:paraId="173CC525" w14:textId="77777777" w:rsidR="00B72E1B" w:rsidRPr="008127F8" w:rsidRDefault="00B72E1B" w:rsidP="001E0A84">
      <w:pPr>
        <w:spacing w:after="0" w:line="240" w:lineRule="auto"/>
        <w:jc w:val="both"/>
        <w:rPr>
          <w:rFonts w:ascii="Times New Roman" w:hAnsi="Times New Roman"/>
          <w:color w:val="000000" w:themeColor="text1"/>
          <w:sz w:val="16"/>
          <w:szCs w:val="16"/>
        </w:rPr>
      </w:pPr>
    </w:p>
    <w:p w14:paraId="0807B338"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в 1942 году конференция представителей Германии, Италии и Японии в Мюнхене, на которой принято решение об организации при ставке вермахта смешанной штабной группы для координации общих усилий (15115).</w:t>
      </w:r>
    </w:p>
    <w:p w14:paraId="2A733021"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200A32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April 30th, 1942: Hitler and Mussolini meet at Berchtesgaden to discuss future Axis strategy in North Africa and the Mediterranean, the main objectives being the reduction of Malta and the seizure of the Suez Canal (3819).</w:t>
      </w:r>
    </w:p>
    <w:p w14:paraId="423056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7344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А.Г. и Б.М. встретились в Берхстесгадене для обсуждения будущей стратегии оси в СА и СЗМ. Целями были разгром Мальты и захват Суэцкого Канала (3819).</w:t>
      </w:r>
    </w:p>
    <w:p w14:paraId="08194C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414CE"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в 1942 году Канада предоставила Великобритании безвозмездно 1 млрд. канадских долларов для закупки продовольствия, сырья и вооружений (15115).</w:t>
      </w:r>
    </w:p>
    <w:p w14:paraId="44EF0E6F"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22098B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1942 японцы завершили завоевание центральной Бирмы (2261).</w:t>
      </w:r>
    </w:p>
    <w:p w14:paraId="6347B1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C930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62195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116A2"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апреля 1942 все работы по Ил-2 с М-82ИР на заводе № 381 в Нижнем Тагиле были прекращены в пользу сохранения произ</w:t>
      </w:r>
      <w:r w:rsidRPr="008A2E5A">
        <w:rPr>
          <w:rFonts w:ascii="Times New Roman" w:hAnsi="Times New Roman"/>
          <w:color w:val="0070C0"/>
          <w:sz w:val="16"/>
          <w:szCs w:val="16"/>
        </w:rPr>
        <w:softHyphen/>
        <w:t>водства Ил-2 с АМ-38 (23346).</w:t>
      </w:r>
    </w:p>
    <w:p w14:paraId="0BEE224A" w14:textId="77777777" w:rsidR="0066141A" w:rsidRPr="008A2E5A" w:rsidRDefault="0066141A" w:rsidP="0066141A">
      <w:pPr>
        <w:spacing w:after="0" w:line="240" w:lineRule="auto"/>
        <w:jc w:val="both"/>
        <w:rPr>
          <w:rFonts w:ascii="Times New Roman" w:hAnsi="Times New Roman"/>
          <w:color w:val="0070C0"/>
          <w:sz w:val="16"/>
          <w:szCs w:val="16"/>
        </w:rPr>
      </w:pPr>
    </w:p>
    <w:p w14:paraId="616CDD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был подготовлен к испытаниям первый опытный самолет БИ с запасом топлива 300 кг и без вооружения (1632,265).</w:t>
      </w:r>
    </w:p>
    <w:p w14:paraId="288D29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в конце апреля 1942 были закончены работы по доводке ЖРД Д-1-А-1000 и программа совместных испытаний НИИ-3 и НИИ ВВС была утверждена 24 апреля 1942 (2928,7).</w:t>
      </w:r>
    </w:p>
    <w:p w14:paraId="4A8761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F63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на заводе 84 выпустили ПС-84, переоборудованный в НБ (4143,34).</w:t>
      </w:r>
    </w:p>
    <w:p w14:paraId="5181B9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28B3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г. завершилась постройка маке</w:t>
      </w:r>
      <w:r w:rsidRPr="008127F8">
        <w:rPr>
          <w:rFonts w:ascii="Times New Roman" w:hAnsi="Times New Roman"/>
          <w:color w:val="000000" w:themeColor="text1"/>
          <w:sz w:val="16"/>
          <w:szCs w:val="16"/>
        </w:rPr>
        <w:softHyphen/>
        <w:t>та НБ (Т), в мае заканчивались последние чертежи пред</w:t>
      </w:r>
      <w:r w:rsidRPr="008127F8">
        <w:rPr>
          <w:rFonts w:ascii="Times New Roman" w:hAnsi="Times New Roman"/>
          <w:color w:val="000000" w:themeColor="text1"/>
          <w:sz w:val="16"/>
          <w:szCs w:val="16"/>
        </w:rPr>
        <w:softHyphen/>
        <w:t>варительного проекта. В связи с изъятием станков (о чем говорилось выше) Николай Николаевич, чтобы вы</w:t>
      </w:r>
      <w:r w:rsidRPr="008127F8">
        <w:rPr>
          <w:rFonts w:ascii="Times New Roman" w:hAnsi="Times New Roman"/>
          <w:color w:val="000000" w:themeColor="text1"/>
          <w:sz w:val="16"/>
          <w:szCs w:val="16"/>
        </w:rPr>
        <w:softHyphen/>
        <w:t>держать заданные сроки, был вынужден немедленно за</w:t>
      </w:r>
      <w:r w:rsidRPr="008127F8">
        <w:rPr>
          <w:rFonts w:ascii="Times New Roman" w:hAnsi="Times New Roman"/>
          <w:color w:val="000000" w:themeColor="text1"/>
          <w:sz w:val="16"/>
          <w:szCs w:val="16"/>
        </w:rPr>
        <w:softHyphen/>
        <w:t>пускать отдельные агрегаты в производство.</w:t>
      </w:r>
    </w:p>
    <w:p w14:paraId="5A64E7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начавшаяся постройка опытного экземпляра вско</w:t>
      </w:r>
      <w:r w:rsidRPr="008127F8">
        <w:rPr>
          <w:rFonts w:ascii="Times New Roman" w:hAnsi="Times New Roman"/>
          <w:color w:val="000000" w:themeColor="text1"/>
          <w:sz w:val="16"/>
          <w:szCs w:val="16"/>
        </w:rPr>
        <w:softHyphen/>
        <w:t>ре прекратилась: на судьбу НБ оказала влияние цепочка других событий, происходивших примерно в то же вре</w:t>
      </w:r>
      <w:r w:rsidRPr="008127F8">
        <w:rPr>
          <w:rFonts w:ascii="Times New Roman" w:hAnsi="Times New Roman"/>
          <w:color w:val="000000" w:themeColor="text1"/>
          <w:sz w:val="16"/>
          <w:szCs w:val="16"/>
        </w:rPr>
        <w:softHyphen/>
        <w:t>мя, и внешне напрямую не связанных с самолетом (10667).</w:t>
      </w:r>
    </w:p>
    <w:p w14:paraId="6C13C2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6C2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г. испытания Омеги Братухина возобновились в Алма-Ате и вновь сопровождались постоянной доводкой двигателей. Несколько удачных запусков дали возможность установить, что при числе оборотов двигателей 1700-1800 в минуту возникают большие крутильные автоколебания боковых ферм и раскачивание всей машины. Так отечественные вертолетостроители впервые столкнулись с автоколебаниями типа «воздушный резонанс», столь характерными для схем вертолетов с несущими винтами на упругом основании. Дефект был устранен установкой масляных демпферов вертикальных шарниров и эмпирическим подбором жесткости конструкции консолей. При сохранении достаточного запаса прочности были удалены четыре раскоса с задней панели ферм, а в подкос около фюзеляжа был поставлен пружинно-масляный демпфер. Устранение воздушного резонанса позволило приступить к летным испытаниям вертолета 2МГ «Омега» (11242).</w:t>
      </w:r>
    </w:p>
    <w:p w14:paraId="62F796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1FA9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CD82A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CDBCB"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конце апреля 1942 года англичане, наконец, определились с объемами поставок. Churchill должны были постепенно заменять в поставках танки </w:t>
      </w:r>
      <w:hyperlink r:id="rId116" w:history="1">
        <w:r w:rsidRPr="008127F8">
          <w:rPr>
            <w:rFonts w:ascii="Times New Roman" w:eastAsia="Times New Roman" w:hAnsi="Times New Roman"/>
            <w:color w:val="000000" w:themeColor="text1"/>
            <w:sz w:val="16"/>
            <w:szCs w:val="16"/>
            <w:lang w:eastAsia="ru-RU"/>
          </w:rPr>
          <w:t>Matilda</w:t>
        </w:r>
      </w:hyperlink>
      <w:r w:rsidRPr="008127F8">
        <w:rPr>
          <w:rFonts w:ascii="Times New Roman" w:eastAsia="Times New Roman" w:hAnsi="Times New Roman"/>
          <w:color w:val="000000" w:themeColor="text1"/>
          <w:sz w:val="16"/>
          <w:szCs w:val="16"/>
          <w:lang w:eastAsia="ru-RU"/>
        </w:rPr>
        <w:t>. Первоначально предполагалось, что в СССР будет отправлено 25 танков. Из них 23 штуки относились к модификации Churchill II, оснащаемой 2-фунтовыми (40 мм) орудиями. В некотором смысле можно говорить о том, что англичане постепенно избавлялись от машин первых серий с устаревшим к весне 1942 года вооружением. С февраля 1942 года начался выпуск Churchill III, гораздо более удачной модификации с более просторной башней и 6-фунтовым (57 мм) орудием. Постепенно объем Churchill III в поставках увеличивался: по планам: во второй партии предполагалось уменьшить число Churchill II до 21 танка.</w:t>
      </w:r>
    </w:p>
    <w:p w14:paraId="32E8B737"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Также оговаривалось, что поставляемые в СССР танки будут модернизированы с учетом обнаруженных недочётов. По этой причине в регистрационных номерах после пятизначной цифры шла буква R, что означало Remanufactured (модернизированный). Стоит отметить, что советские представители выступили против отправки с танками английских инструкторов. Во-первых, с новыми танками ознакомился майор (позже полковник) Ковалёв, который участвовал в поездках советской военной миссии по английским заводам. Его срочно возвращали в СССР, чтобы он участвовал в процессе приемки новых машин. Во-вторых, в срочном порядке была переведена документация и инструкции по эксплуатации.</w:t>
      </w:r>
    </w:p>
    <w:p w14:paraId="24C982DD"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Отправка первой партии Churchill растянулась на несколько месяцев. За это время соотношение танков разных модификаций в ней изменилось. В финальной версии оно составило 10 Churchull III и 15 Churchill II. 27 июня 1942 года был отправлен конвой PQ-17, который вёз в СССР, в том числе, 25 английских тяжелых танков. Форменный разгром, который конвою учинили немцы, прямым образом повлиял и на состав прибывших танков. Из транспортов, которые везли новые танки, выжил только английский Ocean Freedom, 11 июля прибывший в Архангельск. На его борту находилось 5 Churchill II и 5 Churchill III (17691).</w:t>
      </w:r>
    </w:p>
    <w:p w14:paraId="61AE0F81"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6D95C3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апреля 1942 завершилось проектирование унифицированного шасси для программы САУ, но для исполнения были выделены средства только на штурмовое орудие поддержки в безбашенном исполнении массой 7,5-8 т и 37-мм зенитный самоходный автомат кругового обстрела. Ответственным исполнителем по изготовлению машин был назначен завод № 37 НКТП. Тогда же КБ В.Г.Грабина по ТТЗ НКТП разработало “самоходный” вариант своей новой дивизионной пушки ЗИС-3, названный ЗИС-ЗШ (“штурмовая”) (6205, 14).</w:t>
      </w:r>
    </w:p>
    <w:p w14:paraId="25686E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6478A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апреля 1942 г. специальным бюро самоходной артиллерии, организован</w:t>
      </w:r>
      <w:r w:rsidRPr="008127F8">
        <w:rPr>
          <w:rFonts w:ascii="Times New Roman" w:hAnsi="Times New Roman"/>
          <w:color w:val="000000" w:themeColor="text1"/>
          <w:sz w:val="16"/>
          <w:szCs w:val="16"/>
        </w:rPr>
        <w:softHyphen/>
        <w:t>ным на базе технического отдела НКТП во главе с С.А. Гинзбургом было завершено проектирование унифицированного шасси. Однако средства были выделены только на изготовление двух опытных образцов: 76,2-мм самоходного штурмового орудия под</w:t>
      </w:r>
      <w:r w:rsidRPr="008127F8">
        <w:rPr>
          <w:rFonts w:ascii="Times New Roman" w:hAnsi="Times New Roman"/>
          <w:color w:val="000000" w:themeColor="text1"/>
          <w:sz w:val="16"/>
          <w:szCs w:val="16"/>
        </w:rPr>
        <w:softHyphen/>
        <w:t>держки пехоты и 37-мм зенитной самоходной установки. Ответствен</w:t>
      </w:r>
      <w:r w:rsidRPr="008127F8">
        <w:rPr>
          <w:rFonts w:ascii="Times New Roman" w:hAnsi="Times New Roman"/>
          <w:color w:val="000000" w:themeColor="text1"/>
          <w:sz w:val="16"/>
          <w:szCs w:val="16"/>
        </w:rPr>
        <w:softHyphen/>
        <w:t>ным исполнителем по изготовлению самоходных установок был назна</w:t>
      </w:r>
      <w:r w:rsidRPr="008127F8">
        <w:rPr>
          <w:rFonts w:ascii="Times New Roman" w:hAnsi="Times New Roman"/>
          <w:color w:val="000000" w:themeColor="text1"/>
          <w:sz w:val="16"/>
          <w:szCs w:val="16"/>
        </w:rPr>
        <w:softHyphen/>
        <w:t>чен завод № 37 НКТП. Специально для унифицированного шасси по тактико-техническому заданию НКТП конструкторское бюро под руко</w:t>
      </w:r>
      <w:r w:rsidRPr="008127F8">
        <w:rPr>
          <w:rFonts w:ascii="Times New Roman" w:hAnsi="Times New Roman"/>
          <w:color w:val="000000" w:themeColor="text1"/>
          <w:sz w:val="16"/>
          <w:szCs w:val="16"/>
        </w:rPr>
        <w:softHyphen/>
        <w:t>водством В.Г. Грабина разработало вариант дивизионной пушки ЗИС-3, получившей наименование - ЗИС-3Ш (Ш - штурмовая). В мае - июне 1942 г. заводом № 37 были изготовлены опытные образцы штурмовой и зенитной самоходных установок, которые прошли заводские и полигон</w:t>
      </w:r>
      <w:r w:rsidRPr="008127F8">
        <w:rPr>
          <w:rFonts w:ascii="Times New Roman" w:hAnsi="Times New Roman"/>
          <w:color w:val="000000" w:themeColor="text1"/>
          <w:sz w:val="16"/>
          <w:szCs w:val="16"/>
        </w:rPr>
        <w:softHyphen/>
        <w:t>ные испытания (10703).</w:t>
      </w:r>
    </w:p>
    <w:p w14:paraId="53744E3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987BF" w14:textId="77777777" w:rsidR="00677885" w:rsidRPr="008127F8" w:rsidRDefault="00677885"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конце апреля 1942 года были разработаны тактико-технические требования на СГ-122. Примерно в это же время начались работы по разработке технического проекта самоходной установки. В качестве главного конструктора ряд авторов указывает Г. И. Каштанова, но это не соответствует действительности. Во всех бумагах, включая заводские чертежи, главным конструктором указывается Синильщиков. В июне 1942 года КБ завода №592 было усилено инженерами, ранее работавшими на заводе «Большевик». Много инженеров прибыло и с завода №8 (17663).</w:t>
      </w:r>
    </w:p>
    <w:p w14:paraId="2D097637" w14:textId="77777777" w:rsidR="00677885" w:rsidRPr="008127F8" w:rsidRDefault="00677885" w:rsidP="001E0A84">
      <w:pPr>
        <w:spacing w:after="0" w:line="240" w:lineRule="auto"/>
        <w:jc w:val="both"/>
        <w:rPr>
          <w:rFonts w:ascii="Times New Roman" w:hAnsi="Times New Roman"/>
          <w:color w:val="000000" w:themeColor="text1"/>
          <w:sz w:val="16"/>
          <w:szCs w:val="16"/>
        </w:rPr>
      </w:pPr>
    </w:p>
    <w:p w14:paraId="5F08EE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апреля 1942 завершилось проектирование унифици</w:t>
      </w:r>
      <w:r w:rsidRPr="008127F8">
        <w:rPr>
          <w:rFonts w:ascii="Times New Roman" w:hAnsi="Times New Roman"/>
          <w:color w:val="000000" w:themeColor="text1"/>
          <w:sz w:val="16"/>
          <w:szCs w:val="16"/>
        </w:rPr>
        <w:softHyphen/>
        <w:t>рованного шасси для программы САУ, но для исполнения были выделены средства только на штурмовое орудие под</w:t>
      </w:r>
      <w:r w:rsidRPr="008127F8">
        <w:rPr>
          <w:rFonts w:ascii="Times New Roman" w:hAnsi="Times New Roman"/>
          <w:color w:val="000000" w:themeColor="text1"/>
          <w:sz w:val="16"/>
          <w:szCs w:val="16"/>
        </w:rPr>
        <w:softHyphen/>
        <w:t>держки в безбашенном исполнении массой 7,5—8 т и 37-мм зенитный самоходный автомат кругового обстрела. Ответст</w:t>
      </w:r>
      <w:r w:rsidRPr="008127F8">
        <w:rPr>
          <w:rFonts w:ascii="Times New Roman" w:hAnsi="Times New Roman"/>
          <w:color w:val="000000" w:themeColor="text1"/>
          <w:sz w:val="16"/>
          <w:szCs w:val="16"/>
        </w:rPr>
        <w:softHyphen/>
        <w:t>венным исполнителем по изготовлению машин был назна</w:t>
      </w:r>
      <w:r w:rsidRPr="008127F8">
        <w:rPr>
          <w:rFonts w:ascii="Times New Roman" w:hAnsi="Times New Roman"/>
          <w:color w:val="000000" w:themeColor="text1"/>
          <w:sz w:val="16"/>
          <w:szCs w:val="16"/>
        </w:rPr>
        <w:softHyphen/>
        <w:t>чен завод № 37 НКТП. Тогда же КБ В.Г. Грабина по ТТЗ НКТП разработало «самоходный» вариант своей новой ди</w:t>
      </w:r>
      <w:r w:rsidRPr="008127F8">
        <w:rPr>
          <w:rFonts w:ascii="Times New Roman" w:hAnsi="Times New Roman"/>
          <w:color w:val="000000" w:themeColor="text1"/>
          <w:sz w:val="16"/>
          <w:szCs w:val="16"/>
        </w:rPr>
        <w:softHyphen/>
        <w:t>визионной пушки ЗИС-3, названный ЗИС-ЗШ («штурмо</w:t>
      </w:r>
      <w:r w:rsidRPr="008127F8">
        <w:rPr>
          <w:rFonts w:ascii="Times New Roman" w:hAnsi="Times New Roman"/>
          <w:color w:val="000000" w:themeColor="text1"/>
          <w:sz w:val="16"/>
          <w:szCs w:val="16"/>
        </w:rPr>
        <w:softHyphen/>
        <w:t>вая»), однако за эталон приняли установку У-31, разрабо</w:t>
      </w:r>
      <w:r w:rsidRPr="008127F8">
        <w:rPr>
          <w:rFonts w:ascii="Times New Roman" w:hAnsi="Times New Roman"/>
          <w:color w:val="000000" w:themeColor="text1"/>
          <w:sz w:val="16"/>
          <w:szCs w:val="16"/>
        </w:rPr>
        <w:softHyphen/>
        <w:t>танную конструктором УЗТМ А.Н. Шляковым, которая оказалась значительно проще и дешевле. В мае—июне 1942 г. опытные образцы «штурмовой» и «зенитной» САУ были из</w:t>
      </w:r>
      <w:r w:rsidRPr="008127F8">
        <w:rPr>
          <w:rFonts w:ascii="Times New Roman" w:hAnsi="Times New Roman"/>
          <w:color w:val="000000" w:themeColor="text1"/>
          <w:sz w:val="16"/>
          <w:szCs w:val="16"/>
        </w:rPr>
        <w:softHyphen/>
        <w:t>готовлены и поступили на испытания. К сожалению, отчет по испытаниям этих интересных самоходов пока не обнару</w:t>
      </w:r>
      <w:r w:rsidRPr="008127F8">
        <w:rPr>
          <w:rFonts w:ascii="Times New Roman" w:hAnsi="Times New Roman"/>
          <w:color w:val="000000" w:themeColor="text1"/>
          <w:sz w:val="16"/>
          <w:szCs w:val="16"/>
        </w:rPr>
        <w:softHyphen/>
        <w:t xml:space="preserve">жен, равно как неизвестен и их войсковой индекс. Но </w:t>
      </w:r>
      <w:proofErr w:type="gramStart"/>
      <w:r w:rsidRPr="008127F8">
        <w:rPr>
          <w:rFonts w:ascii="Times New Roman" w:hAnsi="Times New Roman"/>
          <w:color w:val="000000" w:themeColor="text1"/>
          <w:sz w:val="16"/>
          <w:szCs w:val="16"/>
        </w:rPr>
        <w:t>испытания судя по всему</w:t>
      </w:r>
      <w:proofErr w:type="gramEnd"/>
      <w:r w:rsidRPr="008127F8">
        <w:rPr>
          <w:rFonts w:ascii="Times New Roman" w:hAnsi="Times New Roman"/>
          <w:color w:val="000000" w:themeColor="text1"/>
          <w:sz w:val="16"/>
          <w:szCs w:val="16"/>
        </w:rPr>
        <w:t xml:space="preserve"> закончились успешно, так как в июне 1942 г. последовало распоряжение ГКО о скорейшей довод</w:t>
      </w:r>
      <w:r w:rsidRPr="008127F8">
        <w:rPr>
          <w:rFonts w:ascii="Times New Roman" w:hAnsi="Times New Roman"/>
          <w:color w:val="000000" w:themeColor="text1"/>
          <w:sz w:val="16"/>
          <w:szCs w:val="16"/>
        </w:rPr>
        <w:softHyphen/>
        <w:t>ке машины и подготовке серии для проведения войсковых Испытаний. Но начавшееся вскоре крупномасштабное сражение за Сталинград потребовало от завода № 37 срочного наращивания выпуска легких танков, и заказ на изготовле</w:t>
      </w:r>
      <w:r w:rsidRPr="008127F8">
        <w:rPr>
          <w:rFonts w:ascii="Times New Roman" w:hAnsi="Times New Roman"/>
          <w:color w:val="000000" w:themeColor="text1"/>
          <w:sz w:val="16"/>
          <w:szCs w:val="16"/>
        </w:rPr>
        <w:softHyphen/>
        <w:t>ние опытной серии самоходных пушек был отменен (11417).</w:t>
      </w:r>
    </w:p>
    <w:p w14:paraId="74C2D6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98AD0" w14:textId="77777777" w:rsidR="00D34C9F" w:rsidRPr="008127F8" w:rsidRDefault="00D34C9F"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концу апреля 1942 завершилось проектирование унифицированного шасси для программы САУ, но для исполнения были выделены средства только на штурмовое орудие поддержки в безбашенном исполнении массой 7,5-8 т и 37-мм зенитный самоходный автомат кругового обстрела. Ответственным исполнителем по изготовлению машин был назначен завод №37 НКТП. Тогда же КБ В.Г. Грабина по ТТЗ НКТП разработало «самоходный» вариант своей новой дивизионной пушки ЗИС-3, названной ЗИС-3Ш («штурмовая»), однако за эталон приняли установку У-31, разработанную конструктором Уральского завода тяжелого машиностроения (УЗТМ) А.Н. Шляковым, которая была значительно проще и дешевле. В мае-июне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опытные образцы «штурмовой» и «зенитной» САУ были изготовлены и поступили на испытания (15218).</w:t>
      </w:r>
    </w:p>
    <w:p w14:paraId="760F461F" w14:textId="77777777" w:rsidR="00D34C9F" w:rsidRPr="008127F8" w:rsidRDefault="00D34C9F" w:rsidP="001E0A84">
      <w:pPr>
        <w:widowControl w:val="0"/>
        <w:spacing w:after="0" w:line="240" w:lineRule="auto"/>
        <w:jc w:val="both"/>
        <w:rPr>
          <w:rFonts w:ascii="Times New Roman" w:hAnsi="Times New Roman"/>
          <w:color w:val="000000" w:themeColor="text1"/>
          <w:sz w:val="16"/>
          <w:szCs w:val="16"/>
        </w:rPr>
      </w:pPr>
    </w:p>
    <w:p w14:paraId="4301F72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конце апреля 1942 года в ГАБТУ КА пришло рацпредложение от красноармейца Н.Н. Нилова из Бухары. Изобретение под названием "4-башенный </w:t>
      </w:r>
      <w:hyperlink r:id="rId117"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он прорабатывал с 21 августа 1941 по 18 апреля 1942 года.</w:t>
      </w:r>
    </w:p>
    <w:p w14:paraId="3D72FEDD"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Боевая машина Нилова представляла собой тяжелый </w:t>
      </w:r>
      <w:hyperlink r:id="rId118"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 с двумя башнями, расположенными по типу </w:t>
      </w:r>
      <w:hyperlink r:id="rId119"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СМК, а также двумя боковыми башнями-турелями. В оснвоной башне находилась 140-мм пушка (боезапас 84 снаряда), спаренный и зенитной пулеметы, в носовой башне 45-мм пушка (боезапас 360 снарядов) и спаренный пулемет. В боковых башнях-турелях предполагалось установить тяжелые пулеметы. Экипаж должен был составлять 10 человек.</w:t>
      </w:r>
    </w:p>
    <w:p w14:paraId="7FA83581"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Боевая масса 4-башенного </w:t>
      </w:r>
      <w:hyperlink r:id="rId120"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предполагалась порядка 80 тонн, максимальная скорость до 120 км/ч. Бронирование было менее одиозное - 60 мм во лбу, башнях и корме, и 45 мм по бортам (15641).</w:t>
      </w:r>
    </w:p>
    <w:p w14:paraId="7319922B"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370962A6"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E1A4A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B6712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г. экипажи 95-го иап смогли снова почувствовать себя истребителями. Тройка Пе-3, возглавляемая командиром полка майором Жатьковым, встретила конвой PQ-I5 на большом удалении от аэродромов Заполярья, чем, по-видимому, сильно изумила пилотов немецких торпедоносцев и бомбардировщиков, привыкших к отсутствию противодействия в воздухе. Как бы то ни было, но атаковать конвой, следовавший под истребительным прикрытием, немецкая авиация не стала (12042).</w:t>
      </w:r>
    </w:p>
    <w:p w14:paraId="5F1FA4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7D2A7" w14:textId="37924B50" w:rsidR="0066141A" w:rsidRDefault="0066141A"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0C50E5EC" w14:textId="77777777" w:rsidR="0066141A" w:rsidRDefault="0066141A"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6914669" w14:textId="77777777" w:rsidR="0066141A" w:rsidRPr="008A2E5A" w:rsidRDefault="0066141A" w:rsidP="0066141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апреля 1942 г. новые штурмовики Hs 129 были достаточно освоены пилотами и на</w:t>
      </w:r>
      <w:r w:rsidRPr="008A2E5A">
        <w:rPr>
          <w:rFonts w:ascii="Times New Roman" w:hAnsi="Times New Roman"/>
          <w:color w:val="0070C0"/>
          <w:sz w:val="16"/>
          <w:szCs w:val="16"/>
        </w:rPr>
        <w:softHyphen/>
        <w:t>земным персоналом, и отряды группы ll/Sch.G 1 начали отправлять на передовую - люфтваффе требовалось усиление перед намечавшимся наступлением вермахта на южном участке советско-германского фронта. Часть штурмовиков выделили в состав IV авиакорпуса, поддерживающего наземные войска в направлении главного удара на Кавказ, а часть - в состав VIII авиакорпуса под командованием генерал-оберста Вольфрама фон Рихтгофена (Wolfram von Richthofen), перебрасывавше</w:t>
      </w:r>
      <w:r w:rsidRPr="008A2E5A">
        <w:rPr>
          <w:rFonts w:ascii="Times New Roman" w:hAnsi="Times New Roman"/>
          <w:color w:val="0070C0"/>
          <w:sz w:val="16"/>
          <w:szCs w:val="16"/>
        </w:rPr>
        <w:softHyphen/>
        <w:t xml:space="preserve">гося с центрального участка фронта в Крым. 26 апреля Липпштадт покинул отряд </w:t>
      </w:r>
      <w:proofErr w:type="gramStart"/>
      <w:r w:rsidRPr="008A2E5A">
        <w:rPr>
          <w:rFonts w:ascii="Times New Roman" w:hAnsi="Times New Roman"/>
          <w:color w:val="0070C0"/>
          <w:sz w:val="16"/>
          <w:szCs w:val="16"/>
        </w:rPr>
        <w:t>4./</w:t>
      </w:r>
      <w:proofErr w:type="gramEnd"/>
      <w:r w:rsidRPr="008A2E5A">
        <w:rPr>
          <w:rFonts w:ascii="Times New Roman" w:hAnsi="Times New Roman"/>
          <w:color w:val="0070C0"/>
          <w:sz w:val="16"/>
          <w:szCs w:val="16"/>
        </w:rPr>
        <w:t>Sch.G 1,6 мая прибывший на передовой аэродром Грамматиково в Крыму. При этом при перелете был потерян один са</w:t>
      </w:r>
      <w:r w:rsidRPr="008A2E5A">
        <w:rPr>
          <w:rFonts w:ascii="Times New Roman" w:hAnsi="Times New Roman"/>
          <w:color w:val="0070C0"/>
          <w:sz w:val="16"/>
          <w:szCs w:val="16"/>
        </w:rPr>
        <w:softHyphen/>
        <w:t xml:space="preserve">молет (W.Nr. 0183), разбившийся 5 мая при промежуточной посадке в Запорожье. Отряд </w:t>
      </w:r>
      <w:proofErr w:type="gramStart"/>
      <w:r w:rsidRPr="008A2E5A">
        <w:rPr>
          <w:rFonts w:ascii="Times New Roman" w:hAnsi="Times New Roman"/>
          <w:color w:val="0070C0"/>
          <w:sz w:val="16"/>
          <w:szCs w:val="16"/>
        </w:rPr>
        <w:t>5./</w:t>
      </w:r>
      <w:proofErr w:type="gramEnd"/>
      <w:r w:rsidRPr="008A2E5A">
        <w:rPr>
          <w:rFonts w:ascii="Times New Roman" w:hAnsi="Times New Roman"/>
          <w:color w:val="0070C0"/>
          <w:sz w:val="16"/>
          <w:szCs w:val="16"/>
        </w:rPr>
        <w:t>Sch.G 1 отправился на фронт 8 мая 1942 г. - его местом назначения стал аэродром Константиновка в полосе дейст</w:t>
      </w:r>
      <w:r w:rsidRPr="008A2E5A">
        <w:rPr>
          <w:rFonts w:ascii="Times New Roman" w:hAnsi="Times New Roman"/>
          <w:color w:val="0070C0"/>
          <w:sz w:val="16"/>
          <w:szCs w:val="16"/>
        </w:rPr>
        <w:softHyphen/>
        <w:t>вий IV авиакорпуса. Вскоре к нему присое</w:t>
      </w:r>
      <w:r w:rsidRPr="008A2E5A">
        <w:rPr>
          <w:rFonts w:ascii="Times New Roman" w:hAnsi="Times New Roman"/>
          <w:color w:val="0070C0"/>
          <w:sz w:val="16"/>
          <w:szCs w:val="16"/>
        </w:rPr>
        <w:softHyphen/>
        <w:t xml:space="preserve">динились 6-й и 7-й отряды. Также в начале мая на фронт отправился отряд </w:t>
      </w:r>
      <w:proofErr w:type="gramStart"/>
      <w:r w:rsidRPr="008A2E5A">
        <w:rPr>
          <w:rFonts w:ascii="Times New Roman" w:hAnsi="Times New Roman"/>
          <w:color w:val="0070C0"/>
          <w:sz w:val="16"/>
          <w:szCs w:val="16"/>
        </w:rPr>
        <w:t>8./</w:t>
      </w:r>
      <w:proofErr w:type="gramEnd"/>
      <w:r w:rsidRPr="008A2E5A">
        <w:rPr>
          <w:rFonts w:ascii="Times New Roman" w:hAnsi="Times New Roman"/>
          <w:color w:val="0070C0"/>
          <w:sz w:val="16"/>
          <w:szCs w:val="16"/>
        </w:rPr>
        <w:t>Sch.G 1, перевооруженный к тому времени самоле</w:t>
      </w:r>
      <w:r w:rsidRPr="008A2E5A">
        <w:rPr>
          <w:rFonts w:ascii="Times New Roman" w:hAnsi="Times New Roman"/>
          <w:color w:val="0070C0"/>
          <w:sz w:val="16"/>
          <w:szCs w:val="16"/>
        </w:rPr>
        <w:softHyphen/>
        <w:t>тами Hs 129В. Его базой стал Харьков (24189).</w:t>
      </w:r>
    </w:p>
    <w:p w14:paraId="5E46DC0C" w14:textId="77777777" w:rsidR="0066141A" w:rsidRPr="008A2E5A" w:rsidRDefault="0066141A" w:rsidP="0066141A">
      <w:pPr>
        <w:spacing w:after="0" w:line="240" w:lineRule="auto"/>
        <w:jc w:val="both"/>
        <w:rPr>
          <w:rFonts w:ascii="Times New Roman" w:hAnsi="Times New Roman"/>
          <w:color w:val="0070C0"/>
          <w:sz w:val="16"/>
          <w:szCs w:val="16"/>
        </w:rPr>
      </w:pPr>
    </w:p>
    <w:p w14:paraId="5BFBAEEB" w14:textId="68291D2B"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17265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BD3F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апреле 1942 г. заместитель начальника 2-го отдела НКТП инже</w:t>
      </w:r>
      <w:r w:rsidRPr="008127F8">
        <w:rPr>
          <w:rFonts w:ascii="Times New Roman" w:hAnsi="Times New Roman"/>
          <w:color w:val="000000" w:themeColor="text1"/>
          <w:sz w:val="16"/>
          <w:szCs w:val="16"/>
        </w:rPr>
        <w:softHyphen/>
        <w:t>нер-конструктор С.А Гинзбург обратился с докладной запиской к И.В. Сталину и предложил свой вариант машины, вооруженной пушкой-гаубицей МЛ-20, установленной во вращающейся башне, изго</w:t>
      </w:r>
      <w:r w:rsidRPr="008127F8">
        <w:rPr>
          <w:rFonts w:ascii="Times New Roman" w:hAnsi="Times New Roman"/>
          <w:color w:val="000000" w:themeColor="text1"/>
          <w:sz w:val="16"/>
          <w:szCs w:val="16"/>
        </w:rPr>
        <w:softHyphen/>
        <w:t>товленной из стальных броневых листов толщиной 120 - 130 мм. В си</w:t>
      </w:r>
      <w:r w:rsidRPr="008127F8">
        <w:rPr>
          <w:rFonts w:ascii="Times New Roman" w:hAnsi="Times New Roman"/>
          <w:color w:val="000000" w:themeColor="text1"/>
          <w:sz w:val="16"/>
          <w:szCs w:val="16"/>
        </w:rPr>
        <w:softHyphen/>
        <w:t>ловой установке машины планировалось использовать дизель В-2. Рас</w:t>
      </w:r>
      <w:r w:rsidRPr="008127F8">
        <w:rPr>
          <w:rFonts w:ascii="Times New Roman" w:hAnsi="Times New Roman"/>
          <w:color w:val="000000" w:themeColor="text1"/>
          <w:sz w:val="16"/>
          <w:szCs w:val="16"/>
        </w:rPr>
        <w:softHyphen/>
        <w:t>четная боевая масса машины, названной автором проекта "ИС", состав</w:t>
      </w:r>
      <w:r w:rsidRPr="008127F8">
        <w:rPr>
          <w:rFonts w:ascii="Times New Roman" w:hAnsi="Times New Roman"/>
          <w:color w:val="000000" w:themeColor="text1"/>
          <w:sz w:val="16"/>
          <w:szCs w:val="16"/>
        </w:rPr>
        <w:softHyphen/>
        <w:t>ляла 100 т. В случае получения заводом № 174 задания на изготовление этой самоходной установки коллектив предприятия брал на себя ответ</w:t>
      </w:r>
      <w:r w:rsidRPr="008127F8">
        <w:rPr>
          <w:rFonts w:ascii="Times New Roman" w:hAnsi="Times New Roman"/>
          <w:color w:val="000000" w:themeColor="text1"/>
          <w:sz w:val="16"/>
          <w:szCs w:val="16"/>
        </w:rPr>
        <w:softHyphen/>
        <w:t>ственность уже к 1 ноября 1942 г. изготовить небольшую серию этих САУ в количестве 5 машин (10703).</w:t>
      </w:r>
    </w:p>
    <w:p w14:paraId="0330EB7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C542D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8A2F8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3532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1942 г. для определения безопасности выбранного маршрута в Англию решили произвести первый перелет одного самолета (поначалу планировались два самолета и два экипажа). Для осуществления перелета из состава 746-го авиаполка выделили наиболее надежный боевой корабль - Пе-8 4АМ-35А №42066. В состав экипажа вошли опытные летчики С.А.Асямов и Э.К.Пусэп, штурманы А.П.Штепенко и С.М.Романов. Целью перелета называлась доставка сотрудников наркомата иностранных дел.</w:t>
      </w:r>
    </w:p>
    <w:p w14:paraId="36E008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1942 г. Пе-8 №42066 под командованием командира корабля Сергея Асямова стартовал по маршруту Москва-Данди. На своем пути самолет поднялся до высоты 7500 метров, пересек Балтийское море, южную оконечность Швеции и Норвегии. В целом этот полет прошел благополучно, через десять часов полета Пе-8 приземлился на аэродроме Тилинг в Шотландии.</w:t>
      </w:r>
    </w:p>
    <w:p w14:paraId="4BAC93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Уже по прибытию, во время местного перелета с аэродрома на аэродром на английском транспортном самолете "Фламинго" произошла катастрофа, во время которой погиб летчик Сергей Асямов. Позднее комиссия, расследующая катастрофу, установила, что оборвавшейся шатун пробил картер двигателя, в котором мгновенно взорвались пары перегретого масла. Горячие осколки картера и шатуна пробили бензиновый бак. Затем произошел второй, еще более мощный взрыв, после чего </w:t>
      </w:r>
      <w:r w:rsidRPr="008127F8">
        <w:rPr>
          <w:rFonts w:ascii="Times New Roman" w:hAnsi="Times New Roman"/>
          <w:color w:val="000000" w:themeColor="text1"/>
          <w:sz w:val="16"/>
          <w:szCs w:val="16"/>
        </w:rPr>
        <w:lastRenderedPageBreak/>
        <w:t>самолет буквально развалился в воздухе. Кроме советских военных, на том же самолете погибло шестеро английских офицеров.</w:t>
      </w:r>
    </w:p>
    <w:p w14:paraId="36B685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возвращении в Москву командирское кресло Пе-8 занял майор Пусэп, на месте второго пилота находился штурман Романов, который ранее уже получил навыки пилотирования тяжелым самолетов. Как показали указанные печальные события, используемая в советских ВВС практика обучения штурманов летному делу оказалась вполне уместной. В районе линии фронта возвращение отметилось встречей с вражеским истребителем, который выполнил одну атаку советского корабля и обстрелял его. К счастью, полученные повреждения оказались минимальными и не повлияли на исход заключительной фазы перелета.</w:t>
      </w:r>
    </w:p>
    <w:p w14:paraId="13375C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Нужно отметить, что сразу по возвращении из Англии Пе-8 №42066 вновь приступил к выполнению боевых заданий. Штурман Штепенко так описал окончание боевого вылета 14 мая 1942 г: "Подошёл самолёт лётчика Лисачева с красной единицей на хвосте и, качнув крыльями, стал слева от нас. Увеличив скорость, догнал нас самолёт лётчика Пономаренко с красной тройкой. Слева подошел Ишенкос красной пятеркой. Откуда-то снизу поднялся и стал в строй лётчик Перегудов. Сверху спустился лётчик Лавровский и, пристроившись, замкнул наше шествие, торжественное возвращение домой. Так строем клина вся семёрка и подошла к своему аэродрому". Очевидно, указанный боевой корабль №42066 действительно считался наиболее надежным, так буквально через пару дней именно он вновь был подготовлен к дальнему перелету через океан (12025).</w:t>
      </w:r>
    </w:p>
    <w:p w14:paraId="4DDC6E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2B7B7"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39E9E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EEDF97" w14:textId="77777777" w:rsidR="00C14EEE" w:rsidRPr="008A2E5A" w:rsidRDefault="00C14EEE" w:rsidP="00C14E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 из-за рас</w:t>
      </w:r>
      <w:r w:rsidRPr="008A2E5A">
        <w:rPr>
          <w:rFonts w:ascii="Times New Roman" w:hAnsi="Times New Roman"/>
          <w:color w:val="0070C0"/>
          <w:sz w:val="16"/>
          <w:szCs w:val="16"/>
        </w:rPr>
        <w:softHyphen/>
        <w:t xml:space="preserve">слоение обшивки деревянного фюзеляжа и плохое соединение рам фюзеляжа </w:t>
      </w:r>
      <w:r>
        <w:rPr>
          <w:rFonts w:ascii="Times New Roman" w:hAnsi="Times New Roman"/>
          <w:color w:val="0070C0"/>
          <w:sz w:val="16"/>
          <w:szCs w:val="16"/>
        </w:rPr>
        <w:t xml:space="preserve">Ил-2 </w:t>
      </w:r>
      <w:r w:rsidRPr="008A2E5A">
        <w:rPr>
          <w:rFonts w:ascii="Times New Roman" w:hAnsi="Times New Roman"/>
          <w:color w:val="0070C0"/>
          <w:sz w:val="16"/>
          <w:szCs w:val="16"/>
        </w:rPr>
        <w:t>с обшивкой только в 43-м запасном полку бригады при посадке отвалились фюзеляжи на трех абсолютно новых самолетах, которые только что поступили в полк. По счастью, обошлось без жертв. Летчики, благодаря бронекабине, остались целыми. Проверка всех полученных для укомплектования маршевых полков самолетов показала, что еще 3 Ил-2 выпускать в полет нельзя (23346).</w:t>
      </w:r>
    </w:p>
    <w:p w14:paraId="30047B13" w14:textId="77777777" w:rsidR="00C14EEE" w:rsidRPr="008A2E5A" w:rsidRDefault="00C14EEE" w:rsidP="00C14EEE">
      <w:pPr>
        <w:spacing w:after="0" w:line="240" w:lineRule="auto"/>
        <w:jc w:val="both"/>
        <w:rPr>
          <w:rFonts w:ascii="Times New Roman" w:hAnsi="Times New Roman"/>
          <w:color w:val="0070C0"/>
          <w:sz w:val="16"/>
          <w:szCs w:val="16"/>
        </w:rPr>
      </w:pPr>
    </w:p>
    <w:p w14:paraId="373E14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закончились гос. испытания Ил-2 М-82 (Ил-4), которые шли с конца февраля (241,21).</w:t>
      </w:r>
    </w:p>
    <w:p w14:paraId="639530A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8A4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 Куйбышеве стали делать столько же Ил-2, сколько в Воронеже (180,103).</w:t>
      </w:r>
    </w:p>
    <w:p w14:paraId="48544B8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2AA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проходил контрольные гос. испытания в НИИ ВВС одноместный Ил-2 N 2611 с АМ-38 с ВИШ-22Т 1 завода. Полетный вес 5720 кг, скорость у земли 396, на границе высотности - 426 км/час с 400 кг бомб и 8 РС-82 (1867,8).</w:t>
      </w:r>
    </w:p>
    <w:p w14:paraId="66A84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0C55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Ковровский завод только готовился делать ВЯ в серии (хотя ШКАС делал вовсю) и смотреть приезжал Д.Ф.Устинов. В начале войны имея в виду близость к фронту решили сделать дублер Ковровского по ВЯ в районе Златоуста, который уже в 1941 выпустил первые, а по ШВАК - в Медногорске, где оно началось с конца 1942 (177,291).</w:t>
      </w:r>
    </w:p>
    <w:p w14:paraId="32D058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3E14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Понятно, что на Ил-2 первые ВЯ не могли появиться на фото раньше конца 1941.</w:t>
      </w:r>
    </w:p>
    <w:p w14:paraId="2A46A9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CC017"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 1942</w:t>
      </w:r>
    </w:p>
    <w:p w14:paraId="7441EE25"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Технический отчет «Предварительный анализ аварий</w:t>
      </w:r>
      <w:r w:rsidRPr="008A2E5A">
        <w:rPr>
          <w:rFonts w:ascii="Times New Roman" w:hAnsi="Times New Roman"/>
          <w:color w:val="0070C0"/>
          <w:sz w:val="16"/>
          <w:szCs w:val="16"/>
        </w:rPr>
        <w:softHyphen/>
        <w:t>ных материалов семи боевых самолетов (ЛаГГ-3, Як-1, Як-7, МиГ-3, Ил-2, Пе-2, Пе-3) по рекламациям с фронта войны», филиал РГА НТД г. Самара ф. Р-217 оп.З-1 д. 160</w:t>
      </w:r>
    </w:p>
    <w:p w14:paraId="2059FFB3"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Данная работа представляет собой обработку прото</w:t>
      </w:r>
      <w:r w:rsidRPr="008A2E5A">
        <w:rPr>
          <w:rFonts w:ascii="Times New Roman" w:hAnsi="Times New Roman"/>
          <w:color w:val="0070C0"/>
          <w:sz w:val="16"/>
          <w:szCs w:val="16"/>
        </w:rPr>
        <w:softHyphen/>
        <w:t xml:space="preserve">кольного материала по аварийности </w:t>
      </w:r>
      <w:proofErr w:type="gramStart"/>
      <w:r w:rsidRPr="008A2E5A">
        <w:rPr>
          <w:rFonts w:ascii="Times New Roman" w:hAnsi="Times New Roman"/>
          <w:color w:val="0070C0"/>
          <w:sz w:val="16"/>
          <w:szCs w:val="16"/>
        </w:rPr>
        <w:t>боевых самолетов</w:t>
      </w:r>
      <w:proofErr w:type="gramEnd"/>
      <w:r w:rsidRPr="008A2E5A">
        <w:rPr>
          <w:rFonts w:ascii="Times New Roman" w:hAnsi="Times New Roman"/>
          <w:color w:val="0070C0"/>
          <w:sz w:val="16"/>
          <w:szCs w:val="16"/>
        </w:rPr>
        <w:t xml:space="preserve"> имевших место в первом квартале 1942 г. по данным ГУ Ремонта и Эксплуатации ВВС КА.</w:t>
      </w:r>
    </w:p>
    <w:p w14:paraId="37B32C0D"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Наименее удовлетворительным с точки зрения прочно</w:t>
      </w:r>
      <w:r w:rsidRPr="008A2E5A">
        <w:rPr>
          <w:rFonts w:ascii="Times New Roman" w:hAnsi="Times New Roman"/>
          <w:color w:val="0070C0"/>
          <w:sz w:val="16"/>
          <w:szCs w:val="16"/>
        </w:rPr>
        <w:softHyphen/>
        <w:t>сти является самолет ЛаГГ-3. Наиболее благополучным в отношении прочности нужно считать самолеты Як-7 и Ил- 2. Примерно три четверти всех поломок происходило на взлете и посадке, и одна четверть вызывалась аэродина</w:t>
      </w:r>
      <w:r w:rsidRPr="008A2E5A">
        <w:rPr>
          <w:rFonts w:ascii="Times New Roman" w:hAnsi="Times New Roman"/>
          <w:color w:val="0070C0"/>
          <w:sz w:val="16"/>
          <w:szCs w:val="16"/>
        </w:rPr>
        <w:softHyphen/>
        <w:t>мическими нагрузками в полете.</w:t>
      </w:r>
    </w:p>
    <w:p w14:paraId="6FADC723"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Крыло</w:t>
      </w:r>
    </w:p>
    <w:p w14:paraId="78BD7070"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Является самым благополучным агрегатом. Из семи типов только на Пе-2 имели место отрывы обшивки от лонжеронов крыла.</w:t>
      </w:r>
    </w:p>
    <w:p w14:paraId="168F7A17"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Шасси</w:t>
      </w:r>
    </w:p>
    <w:p w14:paraId="194B9282"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семи самолетов нет ни одного, шасси которого полно</w:t>
      </w:r>
      <w:r w:rsidRPr="008A2E5A">
        <w:rPr>
          <w:rFonts w:ascii="Times New Roman" w:hAnsi="Times New Roman"/>
          <w:color w:val="0070C0"/>
          <w:sz w:val="16"/>
          <w:szCs w:val="16"/>
        </w:rPr>
        <w:softHyphen/>
        <w:t>стью бы удовлетворяло требованиям эксплуатации. Вслед</w:t>
      </w:r>
      <w:r w:rsidRPr="008A2E5A">
        <w:rPr>
          <w:rFonts w:ascii="Times New Roman" w:hAnsi="Times New Roman"/>
          <w:color w:val="0070C0"/>
          <w:sz w:val="16"/>
          <w:szCs w:val="16"/>
        </w:rPr>
        <w:softHyphen/>
        <w:t>ствие ошибок пилотирования внешние нагрузки, действу</w:t>
      </w:r>
      <w:r w:rsidRPr="008A2E5A">
        <w:rPr>
          <w:rFonts w:ascii="Times New Roman" w:hAnsi="Times New Roman"/>
          <w:color w:val="0070C0"/>
          <w:sz w:val="16"/>
          <w:szCs w:val="16"/>
        </w:rPr>
        <w:softHyphen/>
        <w:t>ющие на шасси, могут превосходить все заданные наперед нормы. Поэтому для шасси задается не максимально воз</w:t>
      </w:r>
      <w:r w:rsidRPr="008A2E5A">
        <w:rPr>
          <w:rFonts w:ascii="Times New Roman" w:hAnsi="Times New Roman"/>
          <w:color w:val="0070C0"/>
          <w:sz w:val="16"/>
          <w:szCs w:val="16"/>
        </w:rPr>
        <w:softHyphen/>
        <w:t>можная в эксплуатации нагрузка, а установленные нормы нагрузок, превышение которых по каким-либо причинам должно рассматриваться как нарушение правил эксплуата</w:t>
      </w:r>
      <w:r w:rsidRPr="008A2E5A">
        <w:rPr>
          <w:rFonts w:ascii="Times New Roman" w:hAnsi="Times New Roman"/>
          <w:color w:val="0070C0"/>
          <w:sz w:val="16"/>
          <w:szCs w:val="16"/>
        </w:rPr>
        <w:softHyphen/>
        <w:t>ции самолета. Причины, вызывающие поломки это, прежде всего нарушение функционирования амортизации. Напри</w:t>
      </w:r>
      <w:r w:rsidRPr="008A2E5A">
        <w:rPr>
          <w:rFonts w:ascii="Times New Roman" w:hAnsi="Times New Roman"/>
          <w:color w:val="0070C0"/>
          <w:sz w:val="16"/>
          <w:szCs w:val="16"/>
        </w:rPr>
        <w:softHyphen/>
        <w:t>мер, массовые поломки стоек шасси самолета Як-1 были вызваны заклиниванием штока, вследствие плохой обра</w:t>
      </w:r>
      <w:r w:rsidRPr="008A2E5A">
        <w:rPr>
          <w:rFonts w:ascii="Times New Roman" w:hAnsi="Times New Roman"/>
          <w:color w:val="0070C0"/>
          <w:sz w:val="16"/>
          <w:szCs w:val="16"/>
        </w:rPr>
        <w:softHyphen/>
        <w:t>ботки цилиндра. По той же причине происходили поломки шасси самолета ЛаГГ-3, стойки которого вследствие боль</w:t>
      </w:r>
      <w:r w:rsidRPr="008A2E5A">
        <w:rPr>
          <w:rFonts w:ascii="Times New Roman" w:hAnsi="Times New Roman"/>
          <w:color w:val="0070C0"/>
          <w:sz w:val="16"/>
          <w:szCs w:val="16"/>
        </w:rPr>
        <w:softHyphen/>
        <w:t>ших сил трения в цилиндре обжимаются при самых грубых посадках не более 65% от расчетного хода. Другая причи</w:t>
      </w:r>
      <w:r w:rsidRPr="008A2E5A">
        <w:rPr>
          <w:rFonts w:ascii="Times New Roman" w:hAnsi="Times New Roman"/>
          <w:color w:val="0070C0"/>
          <w:sz w:val="16"/>
          <w:szCs w:val="16"/>
        </w:rPr>
        <w:softHyphen/>
        <w:t>на - превышение нормального давления в пневматиках и амортизации шасси. При зарядке на многих аэродромах отсутствуют контрольные манометры, и давление воздуха в стойках часто завышено на 25-30%. Иногда давление воз</w:t>
      </w:r>
      <w:r w:rsidRPr="008A2E5A">
        <w:rPr>
          <w:rFonts w:ascii="Times New Roman" w:hAnsi="Times New Roman"/>
          <w:color w:val="0070C0"/>
          <w:sz w:val="16"/>
          <w:szCs w:val="16"/>
        </w:rPr>
        <w:softHyphen/>
        <w:t>духа в амортизационных стойках сознательно завышает</w:t>
      </w:r>
      <w:r w:rsidRPr="008A2E5A">
        <w:rPr>
          <w:rFonts w:ascii="Times New Roman" w:hAnsi="Times New Roman"/>
          <w:color w:val="0070C0"/>
          <w:sz w:val="16"/>
          <w:szCs w:val="16"/>
        </w:rPr>
        <w:softHyphen/>
        <w:t>ся на 40-50%, чтобы избежать проседания стоек при про</w:t>
      </w:r>
      <w:r w:rsidRPr="008A2E5A">
        <w:rPr>
          <w:rFonts w:ascii="Times New Roman" w:hAnsi="Times New Roman"/>
          <w:color w:val="0070C0"/>
          <w:sz w:val="16"/>
          <w:szCs w:val="16"/>
        </w:rPr>
        <w:softHyphen/>
        <w:t>бе мотора. Нормальное давление в пневматиках тоже ча</w:t>
      </w:r>
      <w:r w:rsidRPr="008A2E5A">
        <w:rPr>
          <w:rFonts w:ascii="Times New Roman" w:hAnsi="Times New Roman"/>
          <w:color w:val="0070C0"/>
          <w:sz w:val="16"/>
          <w:szCs w:val="16"/>
        </w:rPr>
        <w:softHyphen/>
        <w:t>сто повышено до 4 атм., вместо 3,5 атм., и более. При этом жесткость шасси резко увеличивается и приводит к быст</w:t>
      </w:r>
      <w:r w:rsidRPr="008A2E5A">
        <w:rPr>
          <w:rFonts w:ascii="Times New Roman" w:hAnsi="Times New Roman"/>
          <w:color w:val="0070C0"/>
          <w:sz w:val="16"/>
          <w:szCs w:val="16"/>
        </w:rPr>
        <w:softHyphen/>
        <w:t>рому износу и разбалтыванию конструкции. Вывод: для из</w:t>
      </w:r>
      <w:r w:rsidRPr="008A2E5A">
        <w:rPr>
          <w:rFonts w:ascii="Times New Roman" w:hAnsi="Times New Roman"/>
          <w:color w:val="0070C0"/>
          <w:sz w:val="16"/>
          <w:szCs w:val="16"/>
        </w:rPr>
        <w:softHyphen/>
        <w:t>менения норм прочности шасси в сторону увеличения нет оснований, но следует ограничить вынос костыльного ко</w:t>
      </w:r>
      <w:r w:rsidRPr="008A2E5A">
        <w:rPr>
          <w:rFonts w:ascii="Times New Roman" w:hAnsi="Times New Roman"/>
          <w:color w:val="0070C0"/>
          <w:sz w:val="16"/>
          <w:szCs w:val="16"/>
        </w:rPr>
        <w:softHyphen/>
        <w:t>леса и угол выноса главных стоек шасси, поставив их в за</w:t>
      </w:r>
      <w:r w:rsidRPr="008A2E5A">
        <w:rPr>
          <w:rFonts w:ascii="Times New Roman" w:hAnsi="Times New Roman"/>
          <w:color w:val="0070C0"/>
          <w:sz w:val="16"/>
          <w:szCs w:val="16"/>
        </w:rPr>
        <w:softHyphen/>
        <w:t>висимость от базы амортизации.</w:t>
      </w:r>
    </w:p>
    <w:p w14:paraId="03404A04"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Лыжное шасси</w:t>
      </w:r>
    </w:p>
    <w:p w14:paraId="54642530"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поломки кабанов шасси позволяют сделать вывод о несоответствии фактических нагрузок требова</w:t>
      </w:r>
      <w:r w:rsidRPr="008A2E5A">
        <w:rPr>
          <w:rFonts w:ascii="Times New Roman" w:hAnsi="Times New Roman"/>
          <w:color w:val="0070C0"/>
          <w:sz w:val="16"/>
          <w:szCs w:val="16"/>
        </w:rPr>
        <w:softHyphen/>
        <w:t>ниям норм прочности лыжного шасси. Требование убор</w:t>
      </w:r>
      <w:r w:rsidRPr="008A2E5A">
        <w:rPr>
          <w:rFonts w:ascii="Times New Roman" w:hAnsi="Times New Roman"/>
          <w:color w:val="0070C0"/>
          <w:sz w:val="16"/>
          <w:szCs w:val="16"/>
        </w:rPr>
        <w:softHyphen/>
        <w:t>ки шасси вызвало изменение конструкции лыж. Они стали короче, шире и с большей нагрузкой - 1100-1200 кг/см2 вместо 700-800 кг/см2. При этом большая часть лыж вы</w:t>
      </w:r>
      <w:r w:rsidRPr="008A2E5A">
        <w:rPr>
          <w:rFonts w:ascii="Times New Roman" w:hAnsi="Times New Roman"/>
          <w:color w:val="0070C0"/>
          <w:sz w:val="16"/>
          <w:szCs w:val="16"/>
        </w:rPr>
        <w:softHyphen/>
        <w:t>пускается с эксцентричным расположением кабана, что при посадке с креном приводит к многократному увели</w:t>
      </w:r>
      <w:r w:rsidRPr="008A2E5A">
        <w:rPr>
          <w:rFonts w:ascii="Times New Roman" w:hAnsi="Times New Roman"/>
          <w:color w:val="0070C0"/>
          <w:sz w:val="16"/>
          <w:szCs w:val="16"/>
        </w:rPr>
        <w:softHyphen/>
        <w:t>чению момента выворачивающего лыжу, по сравнению с центральным расположением нагрузки, как это рекомен</w:t>
      </w:r>
      <w:r w:rsidRPr="008A2E5A">
        <w:rPr>
          <w:rFonts w:ascii="Times New Roman" w:hAnsi="Times New Roman"/>
          <w:color w:val="0070C0"/>
          <w:sz w:val="16"/>
          <w:szCs w:val="16"/>
        </w:rPr>
        <w:softHyphen/>
        <w:t>довано нормами прочности. Норма поглощаемой работы лыжным шасси принята равной половине работы, погло</w:t>
      </w:r>
      <w:r w:rsidRPr="008A2E5A">
        <w:rPr>
          <w:rFonts w:ascii="Times New Roman" w:hAnsi="Times New Roman"/>
          <w:color w:val="0070C0"/>
          <w:sz w:val="16"/>
          <w:szCs w:val="16"/>
        </w:rPr>
        <w:softHyphen/>
        <w:t>щаемой колесным шасси, так как считается, что остав</w:t>
      </w:r>
      <w:r w:rsidRPr="008A2E5A">
        <w:rPr>
          <w:rFonts w:ascii="Times New Roman" w:hAnsi="Times New Roman"/>
          <w:color w:val="0070C0"/>
          <w:sz w:val="16"/>
          <w:szCs w:val="16"/>
        </w:rPr>
        <w:softHyphen/>
        <w:t>шаяся половина компенсируется снежным покровом. Это справедливо только для не укатанных аэродромов. На укатанных аэродромах практика показала, что посад</w:t>
      </w:r>
      <w:r w:rsidRPr="008A2E5A">
        <w:rPr>
          <w:rFonts w:ascii="Times New Roman" w:hAnsi="Times New Roman"/>
          <w:color w:val="0070C0"/>
          <w:sz w:val="16"/>
          <w:szCs w:val="16"/>
        </w:rPr>
        <w:softHyphen/>
        <w:t>ка на лыжах более жесткая, толчки резче и сильнее. Это основная причина, вызывающая массовые поломки лыж</w:t>
      </w:r>
    </w:p>
    <w:p w14:paraId="20F382F3"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 Як-1, Як-7, МиГ-3, Ил-2. Опыт эксплуатации тре</w:t>
      </w:r>
      <w:r w:rsidRPr="008A2E5A">
        <w:rPr>
          <w:rFonts w:ascii="Times New Roman" w:hAnsi="Times New Roman"/>
          <w:color w:val="0070C0"/>
          <w:sz w:val="16"/>
          <w:szCs w:val="16"/>
        </w:rPr>
        <w:softHyphen/>
        <w:t>бует пересмотра норм прочности лыжного шасси.</w:t>
      </w:r>
    </w:p>
    <w:p w14:paraId="38F36CF5"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Пневматики</w:t>
      </w:r>
    </w:p>
    <w:p w14:paraId="6DA7D42F"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Срывы и разрушение пневматиков шасси Як-1 и МиГ- 3 объясняются, прежде всего, конструктивными недо</w:t>
      </w:r>
      <w:r w:rsidRPr="008A2E5A">
        <w:rPr>
          <w:rFonts w:ascii="Times New Roman" w:hAnsi="Times New Roman"/>
          <w:color w:val="0070C0"/>
          <w:sz w:val="16"/>
          <w:szCs w:val="16"/>
        </w:rPr>
        <w:softHyphen/>
        <w:t>статками (низкие реборды) и плохим функционировани</w:t>
      </w:r>
      <w:r w:rsidRPr="008A2E5A">
        <w:rPr>
          <w:rFonts w:ascii="Times New Roman" w:hAnsi="Times New Roman"/>
          <w:color w:val="0070C0"/>
          <w:sz w:val="16"/>
          <w:szCs w:val="16"/>
        </w:rPr>
        <w:softHyphen/>
        <w:t>ем амортизации (пневматики обжимаются до обода, что разрушает протектор).</w:t>
      </w:r>
    </w:p>
    <w:p w14:paraId="5A83FF77"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3-й лаборатории ЦАГИ Ф.М. Кондаков</w:t>
      </w:r>
    </w:p>
    <w:p w14:paraId="14EC63C1"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Старший инженер А. И. Мартынов</w:t>
      </w:r>
    </w:p>
    <w:p w14:paraId="4BBBAFB1"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Сводная таблица поломок боевых самолетов, имевших место в I квартале 1942 г. по данным ГУ ремонта и эксплуатации ВВС КА</w:t>
      </w:r>
    </w:p>
    <w:tbl>
      <w:tblPr>
        <w:tblOverlap w:val="never"/>
        <w:tblW w:w="0" w:type="auto"/>
        <w:tblLayout w:type="fixed"/>
        <w:tblCellMar>
          <w:left w:w="10" w:type="dxa"/>
          <w:right w:w="10" w:type="dxa"/>
        </w:tblCellMar>
        <w:tblLook w:val="04A0" w:firstRow="1" w:lastRow="0" w:firstColumn="1" w:lastColumn="0" w:noHBand="0" w:noVBand="1"/>
      </w:tblPr>
      <w:tblGrid>
        <w:gridCol w:w="1315"/>
        <w:gridCol w:w="3355"/>
        <w:gridCol w:w="1670"/>
        <w:gridCol w:w="1670"/>
        <w:gridCol w:w="1680"/>
      </w:tblGrid>
      <w:tr w:rsidR="00646D7E" w:rsidRPr="008A2E5A" w14:paraId="1C19E0BD" w14:textId="77777777" w:rsidTr="004C5D62">
        <w:trPr>
          <w:trHeight w:val="264"/>
        </w:trPr>
        <w:tc>
          <w:tcPr>
            <w:tcW w:w="1315" w:type="dxa"/>
            <w:tcBorders>
              <w:top w:val="single" w:sz="4" w:space="0" w:color="auto"/>
              <w:left w:val="single" w:sz="4" w:space="0" w:color="auto"/>
            </w:tcBorders>
            <w:shd w:val="clear" w:color="auto" w:fill="auto"/>
            <w:vAlign w:val="bottom"/>
          </w:tcPr>
          <w:p w14:paraId="7A4FE533"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w:t>
            </w:r>
          </w:p>
        </w:tc>
        <w:tc>
          <w:tcPr>
            <w:tcW w:w="3355" w:type="dxa"/>
            <w:tcBorders>
              <w:top w:val="single" w:sz="4" w:space="0" w:color="auto"/>
              <w:left w:val="single" w:sz="4" w:space="0" w:color="auto"/>
            </w:tcBorders>
            <w:shd w:val="clear" w:color="auto" w:fill="auto"/>
            <w:vAlign w:val="bottom"/>
          </w:tcPr>
          <w:p w14:paraId="6618D5CD"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ЛаГГ-З</w:t>
            </w:r>
          </w:p>
        </w:tc>
        <w:tc>
          <w:tcPr>
            <w:tcW w:w="1670" w:type="dxa"/>
            <w:tcBorders>
              <w:top w:val="single" w:sz="4" w:space="0" w:color="auto"/>
              <w:left w:val="single" w:sz="4" w:space="0" w:color="auto"/>
            </w:tcBorders>
            <w:shd w:val="clear" w:color="auto" w:fill="auto"/>
            <w:vAlign w:val="bottom"/>
          </w:tcPr>
          <w:p w14:paraId="61CF187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Як-1</w:t>
            </w:r>
          </w:p>
        </w:tc>
        <w:tc>
          <w:tcPr>
            <w:tcW w:w="1670" w:type="dxa"/>
            <w:tcBorders>
              <w:top w:val="single" w:sz="4" w:space="0" w:color="auto"/>
              <w:left w:val="single" w:sz="4" w:space="0" w:color="auto"/>
            </w:tcBorders>
            <w:shd w:val="clear" w:color="auto" w:fill="auto"/>
            <w:vAlign w:val="bottom"/>
          </w:tcPr>
          <w:p w14:paraId="60EAD596"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w:t>
            </w:r>
          </w:p>
        </w:tc>
        <w:tc>
          <w:tcPr>
            <w:tcW w:w="1680" w:type="dxa"/>
            <w:tcBorders>
              <w:top w:val="single" w:sz="4" w:space="0" w:color="auto"/>
              <w:left w:val="single" w:sz="4" w:space="0" w:color="auto"/>
              <w:right w:val="single" w:sz="4" w:space="0" w:color="auto"/>
            </w:tcBorders>
            <w:shd w:val="clear" w:color="auto" w:fill="auto"/>
            <w:vAlign w:val="bottom"/>
          </w:tcPr>
          <w:p w14:paraId="2C10D075"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w:t>
            </w:r>
          </w:p>
        </w:tc>
      </w:tr>
      <w:tr w:rsidR="00646D7E" w:rsidRPr="008A2E5A" w14:paraId="0AEECE8C" w14:textId="77777777" w:rsidTr="004C5D62">
        <w:trPr>
          <w:trHeight w:val="427"/>
        </w:trPr>
        <w:tc>
          <w:tcPr>
            <w:tcW w:w="1315" w:type="dxa"/>
            <w:tcBorders>
              <w:top w:val="single" w:sz="4" w:space="0" w:color="auto"/>
              <w:left w:val="single" w:sz="4" w:space="0" w:color="auto"/>
            </w:tcBorders>
            <w:shd w:val="clear" w:color="auto" w:fill="auto"/>
            <w:vAlign w:val="center"/>
          </w:tcPr>
          <w:p w14:paraId="27CF6A0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Крыло</w:t>
            </w:r>
          </w:p>
        </w:tc>
        <w:tc>
          <w:tcPr>
            <w:tcW w:w="3355" w:type="dxa"/>
            <w:tcBorders>
              <w:top w:val="single" w:sz="4" w:space="0" w:color="auto"/>
              <w:left w:val="single" w:sz="4" w:space="0" w:color="auto"/>
            </w:tcBorders>
            <w:shd w:val="clear" w:color="auto" w:fill="auto"/>
            <w:vAlign w:val="center"/>
          </w:tcPr>
          <w:p w14:paraId="5B2397A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center"/>
          </w:tcPr>
          <w:p w14:paraId="7F7E17AA"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center"/>
          </w:tcPr>
          <w:p w14:paraId="235EDCD4"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center"/>
          </w:tcPr>
          <w:p w14:paraId="094A8577"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Поломки нервюр при посадке</w:t>
            </w:r>
          </w:p>
        </w:tc>
      </w:tr>
      <w:tr w:rsidR="00646D7E" w:rsidRPr="008A2E5A" w14:paraId="01FE83E9" w14:textId="77777777" w:rsidTr="004C5D62">
        <w:trPr>
          <w:trHeight w:val="269"/>
        </w:trPr>
        <w:tc>
          <w:tcPr>
            <w:tcW w:w="1315" w:type="dxa"/>
            <w:tcBorders>
              <w:top w:val="single" w:sz="4" w:space="0" w:color="auto"/>
              <w:left w:val="single" w:sz="4" w:space="0" w:color="auto"/>
            </w:tcBorders>
            <w:shd w:val="clear" w:color="auto" w:fill="auto"/>
            <w:vAlign w:val="center"/>
          </w:tcPr>
          <w:p w14:paraId="067679B3"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Фюзеляж</w:t>
            </w:r>
          </w:p>
        </w:tc>
        <w:tc>
          <w:tcPr>
            <w:tcW w:w="3355" w:type="dxa"/>
            <w:tcBorders>
              <w:top w:val="single" w:sz="4" w:space="0" w:color="auto"/>
              <w:left w:val="single" w:sz="4" w:space="0" w:color="auto"/>
            </w:tcBorders>
            <w:shd w:val="clear" w:color="auto" w:fill="auto"/>
            <w:vAlign w:val="center"/>
          </w:tcPr>
          <w:p w14:paraId="0A277B48"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поломки при посадке</w:t>
            </w:r>
          </w:p>
        </w:tc>
        <w:tc>
          <w:tcPr>
            <w:tcW w:w="1670" w:type="dxa"/>
            <w:tcBorders>
              <w:top w:val="single" w:sz="4" w:space="0" w:color="auto"/>
              <w:left w:val="single" w:sz="4" w:space="0" w:color="auto"/>
            </w:tcBorders>
            <w:shd w:val="clear" w:color="auto" w:fill="auto"/>
            <w:vAlign w:val="center"/>
          </w:tcPr>
          <w:p w14:paraId="27B135ED"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center"/>
          </w:tcPr>
          <w:p w14:paraId="546E847C"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center"/>
          </w:tcPr>
          <w:p w14:paraId="2EDD7C83"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646D7E" w:rsidRPr="008A2E5A" w14:paraId="0B9288FB" w14:textId="77777777" w:rsidTr="004C5D62">
        <w:trPr>
          <w:trHeight w:val="610"/>
        </w:trPr>
        <w:tc>
          <w:tcPr>
            <w:tcW w:w="1315" w:type="dxa"/>
            <w:tcBorders>
              <w:top w:val="single" w:sz="4" w:space="0" w:color="auto"/>
              <w:left w:val="single" w:sz="4" w:space="0" w:color="auto"/>
            </w:tcBorders>
            <w:shd w:val="clear" w:color="auto" w:fill="auto"/>
            <w:vAlign w:val="center"/>
          </w:tcPr>
          <w:p w14:paraId="1C173EB7"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Основное шасси</w:t>
            </w:r>
          </w:p>
        </w:tc>
        <w:tc>
          <w:tcPr>
            <w:tcW w:w="3355" w:type="dxa"/>
            <w:tcBorders>
              <w:top w:val="single" w:sz="4" w:space="0" w:color="auto"/>
              <w:left w:val="single" w:sz="4" w:space="0" w:color="auto"/>
            </w:tcBorders>
            <w:shd w:val="clear" w:color="auto" w:fill="auto"/>
            <w:vAlign w:val="center"/>
          </w:tcPr>
          <w:p w14:paraId="42CDA762"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Поломки стоек завода № 31</w:t>
            </w:r>
          </w:p>
        </w:tc>
        <w:tc>
          <w:tcPr>
            <w:tcW w:w="1670" w:type="dxa"/>
            <w:tcBorders>
              <w:top w:val="single" w:sz="4" w:space="0" w:color="auto"/>
              <w:left w:val="single" w:sz="4" w:space="0" w:color="auto"/>
            </w:tcBorders>
            <w:shd w:val="clear" w:color="auto" w:fill="auto"/>
            <w:vAlign w:val="center"/>
          </w:tcPr>
          <w:p w14:paraId="669B2E38"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полом</w:t>
            </w:r>
            <w:r w:rsidRPr="008A2E5A">
              <w:rPr>
                <w:rFonts w:ascii="Times New Roman" w:hAnsi="Times New Roman"/>
                <w:color w:val="0070C0"/>
                <w:sz w:val="16"/>
                <w:szCs w:val="16"/>
              </w:rPr>
              <w:softHyphen/>
              <w:t>ки стоек (41 сл.)</w:t>
            </w:r>
          </w:p>
        </w:tc>
        <w:tc>
          <w:tcPr>
            <w:tcW w:w="1670" w:type="dxa"/>
            <w:tcBorders>
              <w:top w:val="single" w:sz="4" w:space="0" w:color="auto"/>
              <w:left w:val="single" w:sz="4" w:space="0" w:color="auto"/>
            </w:tcBorders>
            <w:shd w:val="clear" w:color="auto" w:fill="auto"/>
            <w:vAlign w:val="center"/>
          </w:tcPr>
          <w:p w14:paraId="6A490F74"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поломки шкворней (46 сл.)</w:t>
            </w:r>
          </w:p>
        </w:tc>
        <w:tc>
          <w:tcPr>
            <w:tcW w:w="1680" w:type="dxa"/>
            <w:tcBorders>
              <w:top w:val="single" w:sz="4" w:space="0" w:color="auto"/>
              <w:left w:val="single" w:sz="4" w:space="0" w:color="auto"/>
              <w:right w:val="single" w:sz="4" w:space="0" w:color="auto"/>
            </w:tcBorders>
            <w:shd w:val="clear" w:color="auto" w:fill="auto"/>
            <w:vAlign w:val="bottom"/>
          </w:tcPr>
          <w:p w14:paraId="0FE2D1AD"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Частые полом</w:t>
            </w:r>
            <w:r w:rsidRPr="008A2E5A">
              <w:rPr>
                <w:rFonts w:ascii="Times New Roman" w:hAnsi="Times New Roman"/>
                <w:color w:val="0070C0"/>
                <w:sz w:val="16"/>
                <w:szCs w:val="16"/>
              </w:rPr>
              <w:softHyphen/>
              <w:t>ки опорных уз</w:t>
            </w:r>
            <w:r w:rsidRPr="008A2E5A">
              <w:rPr>
                <w:rFonts w:ascii="Times New Roman" w:hAnsi="Times New Roman"/>
                <w:color w:val="0070C0"/>
                <w:sz w:val="16"/>
                <w:szCs w:val="16"/>
              </w:rPr>
              <w:softHyphen/>
              <w:t>лов (32 сл.)</w:t>
            </w:r>
          </w:p>
        </w:tc>
      </w:tr>
      <w:tr w:rsidR="00646D7E" w:rsidRPr="008A2E5A" w14:paraId="0D61BC65" w14:textId="77777777" w:rsidTr="004C5D62">
        <w:trPr>
          <w:trHeight w:val="610"/>
        </w:trPr>
        <w:tc>
          <w:tcPr>
            <w:tcW w:w="1315" w:type="dxa"/>
            <w:tcBorders>
              <w:top w:val="single" w:sz="4" w:space="0" w:color="auto"/>
              <w:left w:val="single" w:sz="4" w:space="0" w:color="auto"/>
            </w:tcBorders>
            <w:shd w:val="clear" w:color="auto" w:fill="auto"/>
            <w:vAlign w:val="center"/>
          </w:tcPr>
          <w:p w14:paraId="0F9DC254"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Костыль</w:t>
            </w:r>
          </w:p>
        </w:tc>
        <w:tc>
          <w:tcPr>
            <w:tcW w:w="3355" w:type="dxa"/>
            <w:tcBorders>
              <w:top w:val="single" w:sz="4" w:space="0" w:color="auto"/>
              <w:left w:val="single" w:sz="4" w:space="0" w:color="auto"/>
            </w:tcBorders>
            <w:shd w:val="clear" w:color="auto" w:fill="auto"/>
            <w:vAlign w:val="center"/>
          </w:tcPr>
          <w:p w14:paraId="3234CC62"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заклинива</w:t>
            </w:r>
            <w:r w:rsidRPr="008A2E5A">
              <w:rPr>
                <w:rFonts w:ascii="Times New Roman" w:hAnsi="Times New Roman"/>
                <w:color w:val="0070C0"/>
                <w:sz w:val="16"/>
                <w:szCs w:val="16"/>
              </w:rPr>
              <w:softHyphen/>
              <w:t>ния и поломок стоек</w:t>
            </w:r>
          </w:p>
        </w:tc>
        <w:tc>
          <w:tcPr>
            <w:tcW w:w="1670" w:type="dxa"/>
            <w:tcBorders>
              <w:top w:val="single" w:sz="4" w:space="0" w:color="auto"/>
              <w:left w:val="single" w:sz="4" w:space="0" w:color="auto"/>
            </w:tcBorders>
            <w:shd w:val="clear" w:color="auto" w:fill="auto"/>
            <w:vAlign w:val="bottom"/>
          </w:tcPr>
          <w:p w14:paraId="2E91AA76"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по</w:t>
            </w:r>
            <w:r w:rsidRPr="008A2E5A">
              <w:rPr>
                <w:rFonts w:ascii="Times New Roman" w:hAnsi="Times New Roman"/>
                <w:color w:val="0070C0"/>
                <w:sz w:val="16"/>
                <w:szCs w:val="16"/>
              </w:rPr>
              <w:softHyphen/>
              <w:t>гиба и излома што</w:t>
            </w:r>
            <w:r w:rsidRPr="008A2E5A">
              <w:rPr>
                <w:rFonts w:ascii="Times New Roman" w:hAnsi="Times New Roman"/>
                <w:color w:val="0070C0"/>
                <w:sz w:val="16"/>
                <w:szCs w:val="16"/>
              </w:rPr>
              <w:softHyphen/>
              <w:t>ка стоек (32 сл.)</w:t>
            </w:r>
          </w:p>
        </w:tc>
        <w:tc>
          <w:tcPr>
            <w:tcW w:w="1670" w:type="dxa"/>
            <w:tcBorders>
              <w:top w:val="single" w:sz="4" w:space="0" w:color="auto"/>
              <w:left w:val="single" w:sz="4" w:space="0" w:color="auto"/>
            </w:tcBorders>
            <w:shd w:val="clear" w:color="auto" w:fill="auto"/>
            <w:vAlign w:val="center"/>
          </w:tcPr>
          <w:p w14:paraId="2545490F"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поломок вилок</w:t>
            </w:r>
          </w:p>
        </w:tc>
        <w:tc>
          <w:tcPr>
            <w:tcW w:w="1680" w:type="dxa"/>
            <w:tcBorders>
              <w:top w:val="single" w:sz="4" w:space="0" w:color="auto"/>
              <w:left w:val="single" w:sz="4" w:space="0" w:color="auto"/>
              <w:right w:val="single" w:sz="4" w:space="0" w:color="auto"/>
            </w:tcBorders>
            <w:shd w:val="clear" w:color="auto" w:fill="auto"/>
            <w:vAlign w:val="center"/>
          </w:tcPr>
          <w:p w14:paraId="6E109645"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Частые полом</w:t>
            </w:r>
            <w:r w:rsidRPr="008A2E5A">
              <w:rPr>
                <w:rFonts w:ascii="Times New Roman" w:hAnsi="Times New Roman"/>
                <w:color w:val="0070C0"/>
                <w:sz w:val="16"/>
                <w:szCs w:val="16"/>
              </w:rPr>
              <w:softHyphen/>
              <w:t>ки оси колеса</w:t>
            </w:r>
          </w:p>
        </w:tc>
      </w:tr>
      <w:tr w:rsidR="00646D7E" w:rsidRPr="008A2E5A" w14:paraId="70979C03" w14:textId="77777777" w:rsidTr="004C5D62">
        <w:trPr>
          <w:trHeight w:val="610"/>
        </w:trPr>
        <w:tc>
          <w:tcPr>
            <w:tcW w:w="1315" w:type="dxa"/>
            <w:tcBorders>
              <w:top w:val="single" w:sz="4" w:space="0" w:color="auto"/>
              <w:left w:val="single" w:sz="4" w:space="0" w:color="auto"/>
            </w:tcBorders>
            <w:shd w:val="clear" w:color="auto" w:fill="auto"/>
            <w:vAlign w:val="center"/>
          </w:tcPr>
          <w:p w14:paraId="798534BF"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Лыжное шасси</w:t>
            </w:r>
          </w:p>
        </w:tc>
        <w:tc>
          <w:tcPr>
            <w:tcW w:w="3355" w:type="dxa"/>
            <w:tcBorders>
              <w:top w:val="single" w:sz="4" w:space="0" w:color="auto"/>
              <w:left w:val="single" w:sz="4" w:space="0" w:color="auto"/>
            </w:tcBorders>
            <w:shd w:val="clear" w:color="auto" w:fill="auto"/>
            <w:vAlign w:val="center"/>
          </w:tcPr>
          <w:p w14:paraId="06457D3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поломки кабанов (120 сл.)</w:t>
            </w:r>
          </w:p>
        </w:tc>
        <w:tc>
          <w:tcPr>
            <w:tcW w:w="1670" w:type="dxa"/>
            <w:tcBorders>
              <w:top w:val="single" w:sz="4" w:space="0" w:color="auto"/>
              <w:left w:val="single" w:sz="4" w:space="0" w:color="auto"/>
            </w:tcBorders>
            <w:shd w:val="clear" w:color="auto" w:fill="auto"/>
            <w:vAlign w:val="bottom"/>
          </w:tcPr>
          <w:p w14:paraId="32E1B4AC"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полом</w:t>
            </w:r>
            <w:r w:rsidRPr="008A2E5A">
              <w:rPr>
                <w:rFonts w:ascii="Times New Roman" w:hAnsi="Times New Roman"/>
                <w:color w:val="0070C0"/>
                <w:sz w:val="16"/>
                <w:szCs w:val="16"/>
              </w:rPr>
              <w:softHyphen/>
              <w:t>ки кабанов, отказ амортизации лыж</w:t>
            </w:r>
          </w:p>
        </w:tc>
        <w:tc>
          <w:tcPr>
            <w:tcW w:w="1670" w:type="dxa"/>
            <w:tcBorders>
              <w:top w:val="single" w:sz="4" w:space="0" w:color="auto"/>
              <w:left w:val="single" w:sz="4" w:space="0" w:color="auto"/>
            </w:tcBorders>
            <w:shd w:val="clear" w:color="auto" w:fill="auto"/>
            <w:vAlign w:val="center"/>
          </w:tcPr>
          <w:p w14:paraId="17DCF078"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w:t>
            </w:r>
            <w:r w:rsidRPr="008A2E5A">
              <w:rPr>
                <w:rFonts w:ascii="Times New Roman" w:hAnsi="Times New Roman"/>
                <w:color w:val="0070C0"/>
                <w:sz w:val="16"/>
                <w:szCs w:val="16"/>
              </w:rPr>
              <w:softHyphen/>
              <w:t>ломки кабанов</w:t>
            </w:r>
          </w:p>
        </w:tc>
        <w:tc>
          <w:tcPr>
            <w:tcW w:w="1680" w:type="dxa"/>
            <w:tcBorders>
              <w:top w:val="single" w:sz="4" w:space="0" w:color="auto"/>
              <w:left w:val="single" w:sz="4" w:space="0" w:color="auto"/>
              <w:right w:val="single" w:sz="4" w:space="0" w:color="auto"/>
            </w:tcBorders>
            <w:shd w:val="clear" w:color="auto" w:fill="auto"/>
            <w:vAlign w:val="center"/>
          </w:tcPr>
          <w:p w14:paraId="1201F81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по</w:t>
            </w:r>
            <w:r w:rsidRPr="008A2E5A">
              <w:rPr>
                <w:rFonts w:ascii="Times New Roman" w:hAnsi="Times New Roman"/>
                <w:color w:val="0070C0"/>
                <w:sz w:val="16"/>
                <w:szCs w:val="16"/>
              </w:rPr>
              <w:softHyphen/>
              <w:t>ломки кабанов</w:t>
            </w:r>
          </w:p>
        </w:tc>
      </w:tr>
      <w:tr w:rsidR="00646D7E" w:rsidRPr="008A2E5A" w14:paraId="06737815" w14:textId="77777777" w:rsidTr="004C5D62">
        <w:trPr>
          <w:trHeight w:val="614"/>
        </w:trPr>
        <w:tc>
          <w:tcPr>
            <w:tcW w:w="1315" w:type="dxa"/>
            <w:tcBorders>
              <w:top w:val="single" w:sz="4" w:space="0" w:color="auto"/>
              <w:left w:val="single" w:sz="4" w:space="0" w:color="auto"/>
            </w:tcBorders>
            <w:shd w:val="clear" w:color="auto" w:fill="auto"/>
            <w:vAlign w:val="center"/>
          </w:tcPr>
          <w:p w14:paraId="0349237E"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Пневматики</w:t>
            </w:r>
          </w:p>
        </w:tc>
        <w:tc>
          <w:tcPr>
            <w:tcW w:w="3355" w:type="dxa"/>
            <w:tcBorders>
              <w:top w:val="single" w:sz="4" w:space="0" w:color="auto"/>
              <w:left w:val="single" w:sz="4" w:space="0" w:color="auto"/>
            </w:tcBorders>
            <w:shd w:val="clear" w:color="auto" w:fill="auto"/>
            <w:vAlign w:val="center"/>
          </w:tcPr>
          <w:p w14:paraId="27E34AC1"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bottom"/>
          </w:tcPr>
          <w:p w14:paraId="55B78782"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разрушения пневма</w:t>
            </w:r>
            <w:r w:rsidRPr="008A2E5A">
              <w:rPr>
                <w:rFonts w:ascii="Times New Roman" w:hAnsi="Times New Roman"/>
                <w:color w:val="0070C0"/>
                <w:sz w:val="16"/>
                <w:szCs w:val="16"/>
              </w:rPr>
              <w:softHyphen/>
              <w:t>тика костыля (59 сл.)</w:t>
            </w:r>
          </w:p>
        </w:tc>
        <w:tc>
          <w:tcPr>
            <w:tcW w:w="1670" w:type="dxa"/>
            <w:tcBorders>
              <w:top w:val="single" w:sz="4" w:space="0" w:color="auto"/>
              <w:left w:val="single" w:sz="4" w:space="0" w:color="auto"/>
            </w:tcBorders>
            <w:shd w:val="clear" w:color="auto" w:fill="auto"/>
            <w:vAlign w:val="center"/>
          </w:tcPr>
          <w:p w14:paraId="7CD67C4F"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bottom"/>
          </w:tcPr>
          <w:p w14:paraId="4B6BED17"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Частые случаи сры</w:t>
            </w:r>
            <w:r w:rsidRPr="008A2E5A">
              <w:rPr>
                <w:rFonts w:ascii="Times New Roman" w:hAnsi="Times New Roman"/>
                <w:color w:val="0070C0"/>
                <w:sz w:val="16"/>
                <w:szCs w:val="16"/>
              </w:rPr>
              <w:softHyphen/>
              <w:t>ва гусматиков с ко</w:t>
            </w:r>
            <w:r w:rsidRPr="008A2E5A">
              <w:rPr>
                <w:rFonts w:ascii="Times New Roman" w:hAnsi="Times New Roman"/>
                <w:color w:val="0070C0"/>
                <w:sz w:val="16"/>
                <w:szCs w:val="16"/>
              </w:rPr>
              <w:softHyphen/>
              <w:t>стыльного колеса</w:t>
            </w:r>
          </w:p>
        </w:tc>
      </w:tr>
      <w:tr w:rsidR="00646D7E" w:rsidRPr="008A2E5A" w14:paraId="22B7B10E" w14:textId="77777777" w:rsidTr="004C5D62">
        <w:trPr>
          <w:trHeight w:val="264"/>
        </w:trPr>
        <w:tc>
          <w:tcPr>
            <w:tcW w:w="1315" w:type="dxa"/>
            <w:tcBorders>
              <w:top w:val="single" w:sz="4" w:space="0" w:color="auto"/>
              <w:left w:val="single" w:sz="4" w:space="0" w:color="auto"/>
            </w:tcBorders>
            <w:shd w:val="clear" w:color="auto" w:fill="auto"/>
            <w:vAlign w:val="bottom"/>
          </w:tcPr>
          <w:p w14:paraId="16D26040"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Моторама</w:t>
            </w:r>
          </w:p>
        </w:tc>
        <w:tc>
          <w:tcPr>
            <w:tcW w:w="3355" w:type="dxa"/>
            <w:tcBorders>
              <w:top w:val="single" w:sz="4" w:space="0" w:color="auto"/>
              <w:left w:val="single" w:sz="4" w:space="0" w:color="auto"/>
            </w:tcBorders>
            <w:shd w:val="clear" w:color="auto" w:fill="auto"/>
            <w:vAlign w:val="center"/>
          </w:tcPr>
          <w:p w14:paraId="1FC32795"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center"/>
          </w:tcPr>
          <w:p w14:paraId="1CD238AD"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center"/>
          </w:tcPr>
          <w:p w14:paraId="47D50B81"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center"/>
          </w:tcPr>
          <w:p w14:paraId="532738B7"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646D7E" w:rsidRPr="008A2E5A" w14:paraId="0E8E1526" w14:textId="77777777" w:rsidTr="004C5D62">
        <w:trPr>
          <w:trHeight w:val="432"/>
        </w:trPr>
        <w:tc>
          <w:tcPr>
            <w:tcW w:w="1315" w:type="dxa"/>
            <w:tcBorders>
              <w:top w:val="single" w:sz="4" w:space="0" w:color="auto"/>
              <w:left w:val="single" w:sz="4" w:space="0" w:color="auto"/>
            </w:tcBorders>
            <w:shd w:val="clear" w:color="auto" w:fill="auto"/>
            <w:vAlign w:val="center"/>
          </w:tcPr>
          <w:p w14:paraId="7C102120"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Капот</w:t>
            </w:r>
          </w:p>
        </w:tc>
        <w:tc>
          <w:tcPr>
            <w:tcW w:w="3355" w:type="dxa"/>
            <w:tcBorders>
              <w:top w:val="single" w:sz="4" w:space="0" w:color="auto"/>
              <w:left w:val="single" w:sz="4" w:space="0" w:color="auto"/>
            </w:tcBorders>
            <w:shd w:val="clear" w:color="auto" w:fill="auto"/>
            <w:vAlign w:val="bottom"/>
          </w:tcPr>
          <w:p w14:paraId="11D3CDED"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Трещины в каркасе, срыв за</w:t>
            </w:r>
            <w:r w:rsidRPr="008A2E5A">
              <w:rPr>
                <w:rFonts w:ascii="Times New Roman" w:hAnsi="Times New Roman"/>
                <w:color w:val="0070C0"/>
                <w:sz w:val="16"/>
                <w:szCs w:val="16"/>
              </w:rPr>
              <w:softHyphen/>
              <w:t>мков Дзус (30 сл.)</w:t>
            </w:r>
          </w:p>
        </w:tc>
        <w:tc>
          <w:tcPr>
            <w:tcW w:w="1670" w:type="dxa"/>
            <w:tcBorders>
              <w:top w:val="single" w:sz="4" w:space="0" w:color="auto"/>
              <w:left w:val="single" w:sz="4" w:space="0" w:color="auto"/>
            </w:tcBorders>
            <w:shd w:val="clear" w:color="auto" w:fill="auto"/>
            <w:vAlign w:val="center"/>
          </w:tcPr>
          <w:p w14:paraId="058FB5F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tcBorders>
            <w:shd w:val="clear" w:color="auto" w:fill="auto"/>
            <w:vAlign w:val="center"/>
          </w:tcPr>
          <w:p w14:paraId="7544BFC3"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bottom"/>
          </w:tcPr>
          <w:p w14:paraId="697D7F6B"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срыва замков Дзус</w:t>
            </w:r>
          </w:p>
        </w:tc>
      </w:tr>
      <w:tr w:rsidR="00646D7E" w:rsidRPr="008A2E5A" w14:paraId="09E826C9" w14:textId="77777777" w:rsidTr="004C5D62">
        <w:trPr>
          <w:trHeight w:val="432"/>
        </w:trPr>
        <w:tc>
          <w:tcPr>
            <w:tcW w:w="1315" w:type="dxa"/>
            <w:tcBorders>
              <w:top w:val="single" w:sz="4" w:space="0" w:color="auto"/>
              <w:left w:val="single" w:sz="4" w:space="0" w:color="auto"/>
            </w:tcBorders>
            <w:shd w:val="clear" w:color="auto" w:fill="auto"/>
            <w:vAlign w:val="center"/>
          </w:tcPr>
          <w:p w14:paraId="7BCE0E25"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Фонарь</w:t>
            </w:r>
          </w:p>
        </w:tc>
        <w:tc>
          <w:tcPr>
            <w:tcW w:w="3355" w:type="dxa"/>
            <w:tcBorders>
              <w:top w:val="single" w:sz="4" w:space="0" w:color="auto"/>
              <w:left w:val="single" w:sz="4" w:space="0" w:color="auto"/>
            </w:tcBorders>
            <w:shd w:val="clear" w:color="auto" w:fill="auto"/>
            <w:vAlign w:val="bottom"/>
          </w:tcPr>
          <w:p w14:paraId="2B019C40"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срыва замков в по</w:t>
            </w:r>
            <w:r w:rsidRPr="008A2E5A">
              <w:rPr>
                <w:rFonts w:ascii="Times New Roman" w:hAnsi="Times New Roman"/>
                <w:color w:val="0070C0"/>
                <w:sz w:val="16"/>
                <w:szCs w:val="16"/>
              </w:rPr>
              <w:softHyphen/>
              <w:t>лете, трещины в роликах</w:t>
            </w:r>
          </w:p>
        </w:tc>
        <w:tc>
          <w:tcPr>
            <w:tcW w:w="1670" w:type="dxa"/>
            <w:tcBorders>
              <w:top w:val="single" w:sz="4" w:space="0" w:color="auto"/>
              <w:left w:val="single" w:sz="4" w:space="0" w:color="auto"/>
            </w:tcBorders>
            <w:shd w:val="clear" w:color="auto" w:fill="auto"/>
            <w:vAlign w:val="bottom"/>
          </w:tcPr>
          <w:p w14:paraId="77D411FF"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Частые случаи сры</w:t>
            </w:r>
            <w:r w:rsidRPr="008A2E5A">
              <w:rPr>
                <w:rFonts w:ascii="Times New Roman" w:hAnsi="Times New Roman"/>
                <w:color w:val="0070C0"/>
                <w:sz w:val="16"/>
                <w:szCs w:val="16"/>
              </w:rPr>
              <w:softHyphen/>
              <w:t>ва плексигласа</w:t>
            </w:r>
          </w:p>
        </w:tc>
        <w:tc>
          <w:tcPr>
            <w:tcW w:w="1670" w:type="dxa"/>
            <w:tcBorders>
              <w:top w:val="single" w:sz="4" w:space="0" w:color="auto"/>
              <w:left w:val="single" w:sz="4" w:space="0" w:color="auto"/>
            </w:tcBorders>
            <w:shd w:val="clear" w:color="auto" w:fill="auto"/>
            <w:vAlign w:val="center"/>
          </w:tcPr>
          <w:p w14:paraId="1DC3602C"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center"/>
          </w:tcPr>
          <w:p w14:paraId="6B4D2743"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646D7E" w:rsidRPr="008A2E5A" w14:paraId="3E0CDA34" w14:textId="77777777" w:rsidTr="004C5D62">
        <w:trPr>
          <w:trHeight w:val="610"/>
        </w:trPr>
        <w:tc>
          <w:tcPr>
            <w:tcW w:w="1315" w:type="dxa"/>
            <w:tcBorders>
              <w:top w:val="single" w:sz="4" w:space="0" w:color="auto"/>
              <w:left w:val="single" w:sz="4" w:space="0" w:color="auto"/>
            </w:tcBorders>
            <w:shd w:val="clear" w:color="auto" w:fill="auto"/>
            <w:vAlign w:val="center"/>
          </w:tcPr>
          <w:p w14:paraId="2A24A0CC"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Троса и тяги управления</w:t>
            </w:r>
          </w:p>
        </w:tc>
        <w:tc>
          <w:tcPr>
            <w:tcW w:w="3355" w:type="dxa"/>
            <w:tcBorders>
              <w:top w:val="single" w:sz="4" w:space="0" w:color="auto"/>
              <w:left w:val="single" w:sz="4" w:space="0" w:color="auto"/>
            </w:tcBorders>
            <w:shd w:val="clear" w:color="auto" w:fill="auto"/>
            <w:vAlign w:val="bottom"/>
          </w:tcPr>
          <w:p w14:paraId="5A39794A"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Срез болтов тяг закрылков и руля вы</w:t>
            </w:r>
            <w:r w:rsidRPr="008A2E5A">
              <w:rPr>
                <w:rFonts w:ascii="Times New Roman" w:hAnsi="Times New Roman"/>
                <w:color w:val="0070C0"/>
                <w:sz w:val="16"/>
                <w:szCs w:val="16"/>
              </w:rPr>
              <w:softHyphen/>
              <w:t>соты, отрывы тросов управле</w:t>
            </w:r>
            <w:r w:rsidRPr="008A2E5A">
              <w:rPr>
                <w:rFonts w:ascii="Times New Roman" w:hAnsi="Times New Roman"/>
                <w:color w:val="0070C0"/>
                <w:sz w:val="16"/>
                <w:szCs w:val="16"/>
              </w:rPr>
              <w:softHyphen/>
              <w:t>ния (77 сл.) массовый характер</w:t>
            </w:r>
          </w:p>
        </w:tc>
        <w:tc>
          <w:tcPr>
            <w:tcW w:w="1670" w:type="dxa"/>
            <w:tcBorders>
              <w:top w:val="single" w:sz="4" w:space="0" w:color="auto"/>
              <w:left w:val="single" w:sz="4" w:space="0" w:color="auto"/>
            </w:tcBorders>
            <w:shd w:val="clear" w:color="auto" w:fill="auto"/>
            <w:vAlign w:val="bottom"/>
          </w:tcPr>
          <w:p w14:paraId="69EEFB26"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Частые случаи от</w:t>
            </w:r>
            <w:r w:rsidRPr="008A2E5A">
              <w:rPr>
                <w:rFonts w:ascii="Times New Roman" w:hAnsi="Times New Roman"/>
                <w:color w:val="0070C0"/>
                <w:sz w:val="16"/>
                <w:szCs w:val="16"/>
              </w:rPr>
              <w:softHyphen/>
              <w:t>рыва тросов управ</w:t>
            </w:r>
            <w:r w:rsidRPr="008A2E5A">
              <w:rPr>
                <w:rFonts w:ascii="Times New Roman" w:hAnsi="Times New Roman"/>
                <w:color w:val="0070C0"/>
                <w:sz w:val="16"/>
                <w:szCs w:val="16"/>
              </w:rPr>
              <w:softHyphen/>
              <w:t>ления шасси</w:t>
            </w:r>
          </w:p>
        </w:tc>
        <w:tc>
          <w:tcPr>
            <w:tcW w:w="1670" w:type="dxa"/>
            <w:tcBorders>
              <w:top w:val="single" w:sz="4" w:space="0" w:color="auto"/>
              <w:left w:val="single" w:sz="4" w:space="0" w:color="auto"/>
            </w:tcBorders>
            <w:shd w:val="clear" w:color="auto" w:fill="auto"/>
            <w:vAlign w:val="center"/>
          </w:tcPr>
          <w:p w14:paraId="1025D6E5"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center"/>
          </w:tcPr>
          <w:p w14:paraId="16B1CCDC"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646D7E" w:rsidRPr="008A2E5A" w14:paraId="2A6BC7FA" w14:textId="77777777" w:rsidTr="004C5D62">
        <w:trPr>
          <w:trHeight w:val="610"/>
        </w:trPr>
        <w:tc>
          <w:tcPr>
            <w:tcW w:w="1315" w:type="dxa"/>
            <w:tcBorders>
              <w:top w:val="single" w:sz="4" w:space="0" w:color="auto"/>
              <w:left w:val="single" w:sz="4" w:space="0" w:color="auto"/>
            </w:tcBorders>
            <w:shd w:val="clear" w:color="auto" w:fill="auto"/>
            <w:vAlign w:val="center"/>
          </w:tcPr>
          <w:p w14:paraId="0E1BE545"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Замки шасси</w:t>
            </w:r>
          </w:p>
        </w:tc>
        <w:tc>
          <w:tcPr>
            <w:tcW w:w="3355" w:type="dxa"/>
            <w:tcBorders>
              <w:top w:val="single" w:sz="4" w:space="0" w:color="auto"/>
              <w:left w:val="single" w:sz="4" w:space="0" w:color="auto"/>
            </w:tcBorders>
            <w:shd w:val="clear" w:color="auto" w:fill="auto"/>
            <w:vAlign w:val="center"/>
          </w:tcPr>
          <w:p w14:paraId="5F373C84"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Срыв замков лыжного шасси в по</w:t>
            </w:r>
            <w:r w:rsidRPr="008A2E5A">
              <w:rPr>
                <w:rFonts w:ascii="Times New Roman" w:hAnsi="Times New Roman"/>
                <w:color w:val="0070C0"/>
                <w:sz w:val="16"/>
                <w:szCs w:val="16"/>
              </w:rPr>
              <w:softHyphen/>
              <w:t>лете (75 сл.), поворот лыж</w:t>
            </w:r>
          </w:p>
        </w:tc>
        <w:tc>
          <w:tcPr>
            <w:tcW w:w="1670" w:type="dxa"/>
            <w:tcBorders>
              <w:top w:val="single" w:sz="4" w:space="0" w:color="auto"/>
              <w:left w:val="single" w:sz="4" w:space="0" w:color="auto"/>
            </w:tcBorders>
            <w:shd w:val="clear" w:color="auto" w:fill="auto"/>
            <w:vAlign w:val="center"/>
          </w:tcPr>
          <w:p w14:paraId="6519737C"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Массовые случаи срыва шасси с за</w:t>
            </w:r>
            <w:r w:rsidRPr="008A2E5A">
              <w:rPr>
                <w:rFonts w:ascii="Times New Roman" w:hAnsi="Times New Roman"/>
                <w:color w:val="0070C0"/>
                <w:sz w:val="16"/>
                <w:szCs w:val="16"/>
              </w:rPr>
              <w:softHyphen/>
              <w:t>мков в полете</w:t>
            </w:r>
          </w:p>
        </w:tc>
        <w:tc>
          <w:tcPr>
            <w:tcW w:w="1670" w:type="dxa"/>
            <w:tcBorders>
              <w:top w:val="single" w:sz="4" w:space="0" w:color="auto"/>
              <w:left w:val="single" w:sz="4" w:space="0" w:color="auto"/>
            </w:tcBorders>
            <w:shd w:val="clear" w:color="auto" w:fill="auto"/>
            <w:vAlign w:val="center"/>
          </w:tcPr>
          <w:p w14:paraId="1C704C97"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right w:val="single" w:sz="4" w:space="0" w:color="auto"/>
            </w:tcBorders>
            <w:shd w:val="clear" w:color="auto" w:fill="auto"/>
            <w:vAlign w:val="center"/>
          </w:tcPr>
          <w:p w14:paraId="1B370FF4"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646D7E" w:rsidRPr="008A2E5A" w14:paraId="0CF32CEE" w14:textId="77777777" w:rsidTr="004C5D62">
        <w:trPr>
          <w:trHeight w:val="490"/>
        </w:trPr>
        <w:tc>
          <w:tcPr>
            <w:tcW w:w="1315" w:type="dxa"/>
            <w:tcBorders>
              <w:top w:val="single" w:sz="4" w:space="0" w:color="auto"/>
              <w:left w:val="single" w:sz="4" w:space="0" w:color="auto"/>
              <w:bottom w:val="single" w:sz="4" w:space="0" w:color="auto"/>
            </w:tcBorders>
            <w:shd w:val="clear" w:color="auto" w:fill="auto"/>
            <w:vAlign w:val="bottom"/>
          </w:tcPr>
          <w:p w14:paraId="03E38E7A"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Прочие агрегаты</w:t>
            </w:r>
          </w:p>
        </w:tc>
        <w:tc>
          <w:tcPr>
            <w:tcW w:w="3355" w:type="dxa"/>
            <w:tcBorders>
              <w:top w:val="single" w:sz="4" w:space="0" w:color="auto"/>
              <w:left w:val="single" w:sz="4" w:space="0" w:color="auto"/>
              <w:bottom w:val="single" w:sz="4" w:space="0" w:color="auto"/>
            </w:tcBorders>
            <w:shd w:val="clear" w:color="auto" w:fill="auto"/>
            <w:vAlign w:val="bottom"/>
          </w:tcPr>
          <w:p w14:paraId="4BDD8AD4"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Частые случаи срыва в полете щитков маслорадиатора и обрыв крепления</w:t>
            </w:r>
          </w:p>
        </w:tc>
        <w:tc>
          <w:tcPr>
            <w:tcW w:w="1670" w:type="dxa"/>
            <w:tcBorders>
              <w:top w:val="single" w:sz="4" w:space="0" w:color="auto"/>
              <w:left w:val="single" w:sz="4" w:space="0" w:color="auto"/>
              <w:bottom w:val="single" w:sz="4" w:space="0" w:color="auto"/>
            </w:tcBorders>
            <w:shd w:val="clear" w:color="auto" w:fill="auto"/>
            <w:vAlign w:val="center"/>
          </w:tcPr>
          <w:p w14:paraId="0D23BCD0"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70" w:type="dxa"/>
            <w:tcBorders>
              <w:top w:val="single" w:sz="4" w:space="0" w:color="auto"/>
              <w:left w:val="single" w:sz="4" w:space="0" w:color="auto"/>
              <w:bottom w:val="single" w:sz="4" w:space="0" w:color="auto"/>
            </w:tcBorders>
            <w:shd w:val="clear" w:color="auto" w:fill="auto"/>
            <w:vAlign w:val="center"/>
          </w:tcPr>
          <w:p w14:paraId="2F0F2A37"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tcPr>
          <w:p w14:paraId="73D351B9" w14:textId="77777777" w:rsidR="00646D7E" w:rsidRPr="008A2E5A" w:rsidRDefault="00646D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bl>
    <w:p w14:paraId="680F70B6"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3363F68C" w14:textId="77777777" w:rsidR="00646D7E" w:rsidRPr="008A2E5A" w:rsidRDefault="00646D7E" w:rsidP="00646D7E">
      <w:pPr>
        <w:spacing w:after="0" w:line="240" w:lineRule="auto"/>
        <w:jc w:val="both"/>
        <w:rPr>
          <w:rFonts w:ascii="Times New Roman" w:hAnsi="Times New Roman"/>
          <w:color w:val="0070C0"/>
          <w:sz w:val="16"/>
          <w:szCs w:val="16"/>
        </w:rPr>
      </w:pPr>
    </w:p>
    <w:p w14:paraId="73DF8B6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АМ-38ф впервые прошел совместные 50-часовые стендовые испытания. Доводка и устранение обна</w:t>
      </w:r>
      <w:r w:rsidRPr="008127F8">
        <w:rPr>
          <w:rFonts w:ascii="Times New Roman" w:hAnsi="Times New Roman"/>
          <w:color w:val="000000" w:themeColor="text1"/>
          <w:sz w:val="16"/>
          <w:szCs w:val="16"/>
        </w:rPr>
        <w:softHyphen/>
        <w:t>руженных дефектов мотора шла достаточно успешно (11474,300).</w:t>
      </w:r>
    </w:p>
    <w:p w14:paraId="61F3B41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512096"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в ОКБ Ильюшина был разработан проект одномоторного одноместного противотанкового штурмовика МШ-АМ-38 (модернизированный штурмовик с мотором АМ-38).</w:t>
      </w:r>
    </w:p>
    <w:p w14:paraId="0C5BFDDA"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Главной особенностью самолета являлось размещение мотора АМ-38 позади кабины пилота с передачей мощности на воздушный винт с помощью длинного вала. Это позволяло в носовой части вблизи продольной оси самолета компактно установить мощное пушечное вооружение, что обеспечивало незначительное рассеивание при стрельбе в воздухе. Одновременно летчик получал прекрасный обзор вперед-вниз и в стороны.</w:t>
      </w:r>
    </w:p>
    <w:p w14:paraId="40264220"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полагать, идея постройки бронированного штурмовика с такой компоновкой появилась после анализа результатов полигонных и войсковых испытаний самолета Ил-2 с 37-мм пушками Ш-37.</w:t>
      </w:r>
    </w:p>
    <w:p w14:paraId="16C3ACBB"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МШ представлял собой бронированный одноместный одномоторный низкоплан и по схеме напоминал американский истребитель Р-39 «Аэрокобра», но шасси было выполнено не с носовым, а с обычным хвостовым колесом.</w:t>
      </w:r>
    </w:p>
    <w:p w14:paraId="6BC63302"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АМ-38 располагался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 Воздухозаборник мотора находился в верхней части фюзеляжа. Кабина была выдвинута вперед, что обеспечивало летчику отличный обзор до 24°. Под кабиной летчика размещался отсек стрелково-пушечного вооружения. Бомбы, как и на Ил-2, размещались в четырех центропланных бомбоотсеках.</w:t>
      </w:r>
    </w:p>
    <w:p w14:paraId="2D9FD2F5"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Бензо- и маслобаки находились между кабиной летчика и мотором в верхней части фюзеляжа. Водяные и масляные радиаторы системы охлаждения и смазки мотора располагались в подфюзеляжной части центроплана. Их охлаждение осуществлялось наружным воздухом, подводившимся по изогнутым каналам из воздухозаборников </w:t>
      </w:r>
      <w:proofErr w:type="gramStart"/>
      <w:r w:rsidRPr="008127F8">
        <w:rPr>
          <w:rFonts w:ascii="Times New Roman" w:hAnsi="Times New Roman"/>
          <w:color w:val="000000" w:themeColor="text1"/>
          <w:sz w:val="16"/>
          <w:szCs w:val="16"/>
        </w:rPr>
        <w:t>в носках</w:t>
      </w:r>
      <w:proofErr w:type="gramEnd"/>
      <w:r w:rsidRPr="008127F8">
        <w:rPr>
          <w:rFonts w:ascii="Times New Roman" w:hAnsi="Times New Roman"/>
          <w:color w:val="000000" w:themeColor="text1"/>
          <w:sz w:val="16"/>
          <w:szCs w:val="16"/>
        </w:rPr>
        <w:t xml:space="preserve"> крыла у правого и левого бортов фюзеляжа.</w:t>
      </w:r>
    </w:p>
    <w:p w14:paraId="676CC4F6"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колеса шасси убирались в центроплан вдоль передней кромки крыла по направлению к фюзеляжу. Убирающимся было и хвостовое колесо.</w:t>
      </w:r>
    </w:p>
    <w:p w14:paraId="52CD07E7"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1EB51065" w14:textId="46E8F46E"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 Толщина брони 5–</w:t>
      </w:r>
      <w:proofErr w:type="gramStart"/>
      <w:r w:rsidRPr="008127F8">
        <w:rPr>
          <w:rFonts w:ascii="Times New Roman" w:hAnsi="Times New Roman"/>
          <w:color w:val="000000" w:themeColor="text1"/>
          <w:sz w:val="16"/>
          <w:szCs w:val="16"/>
        </w:rPr>
        <w:t>8</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w:t>
      </w:r>
      <w:proofErr w:type="gramEnd"/>
      <w:r w:rsidRPr="008127F8">
        <w:rPr>
          <w:rFonts w:ascii="Times New Roman" w:hAnsi="Times New Roman"/>
          <w:color w:val="000000" w:themeColor="text1"/>
          <w:sz w:val="16"/>
          <w:szCs w:val="16"/>
        </w:rPr>
        <w:t xml:space="preserve"> считалась вполне достаточной для защиты от крупнокалиберных пуль. Дело в том, что помимо бронекорпуса и бронеспинки летчик защищался: со стороны задней </w:t>
      </w:r>
      <w:proofErr w:type="gramStart"/>
      <w:r w:rsidRPr="008127F8">
        <w:rPr>
          <w:rFonts w:ascii="Times New Roman" w:hAnsi="Times New Roman"/>
          <w:color w:val="000000" w:themeColor="text1"/>
          <w:sz w:val="16"/>
          <w:szCs w:val="16"/>
        </w:rPr>
        <w:t>полусферы</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мотором, бензо- и маслобаками, спереди-снизу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отсеком стрелково-пушечного вооружения, а с боковых проекций снизу</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бомбоотсеками, нишами шасси, воздушными каналами охлаждения водо- и маслорадиаторов. В передних стеклах фонаря кабины летчика устанавливались бронестекла толщиной </w:t>
      </w:r>
      <w:proofErr w:type="gramStart"/>
      <w:r w:rsidRPr="008127F8">
        <w:rPr>
          <w:rFonts w:ascii="Times New Roman" w:hAnsi="Times New Roman"/>
          <w:color w:val="000000" w:themeColor="text1"/>
          <w:sz w:val="16"/>
          <w:szCs w:val="16"/>
        </w:rPr>
        <w:t>64</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w:t>
      </w:r>
      <w:proofErr w:type="gramEnd"/>
      <w:r w:rsidRPr="008127F8">
        <w:rPr>
          <w:rFonts w:ascii="Times New Roman" w:hAnsi="Times New Roman"/>
          <w:color w:val="000000" w:themeColor="text1"/>
          <w:sz w:val="16"/>
          <w:szCs w:val="16"/>
        </w:rPr>
        <w:t xml:space="preserve"> (в лобовой части) и 55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мм (в боковой части). Суммарный вес брони достигал </w:t>
      </w:r>
      <w:proofErr w:type="gramStart"/>
      <w:r w:rsidRPr="008127F8">
        <w:rPr>
          <w:rFonts w:ascii="Times New Roman" w:hAnsi="Times New Roman"/>
          <w:color w:val="000000" w:themeColor="text1"/>
          <w:sz w:val="16"/>
          <w:szCs w:val="16"/>
        </w:rPr>
        <w:t>750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w:t>
      </w:r>
      <w:proofErr w:type="gramEnd"/>
      <w:r w:rsidRPr="008127F8">
        <w:rPr>
          <w:rFonts w:ascii="Times New Roman" w:hAnsi="Times New Roman"/>
          <w:color w:val="000000" w:themeColor="text1"/>
          <w:sz w:val="16"/>
          <w:szCs w:val="16"/>
        </w:rPr>
        <w:t>.</w:t>
      </w:r>
    </w:p>
    <w:p w14:paraId="2342C69D"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предусматривал два варианта вооружения: противотанковый и бомбардировочный.</w:t>
      </w:r>
    </w:p>
    <w:p w14:paraId="53CA394B" w14:textId="090159A9"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первому варианту в носовой части самолета размещались мотор-пушка МПШ-37 ОКБ-15 конструкции Б.</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Шпитального с боезапасом в 40 патронов, две синхронные пушки ШВАК с боекомплектом по 200 патронов на каждую пушку и два синхронных пулемета ШКАС с общим боезапасом 1500 патронов. Кроме этого, под крылом предусматривалась установка 8–10 ракетных орудий типа РО-82 или РО-132.</w:t>
      </w:r>
    </w:p>
    <w:p w14:paraId="1004DE4C" w14:textId="02D6CFBB"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вариант вооружения включал: две синхронные пушки ШВАК (400 патронов), два синхронных пулемета ШКАС (1500 патронов) и 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 (16?25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или 40?10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или 160?2,5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или в перегрузку 600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(6?100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или 2?250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или 24?25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w:t>
      </w:r>
    </w:p>
    <w:p w14:paraId="25D0BA3D" w14:textId="77D7422B"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нормальном полетном весе около 6000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максимальная скорость у земли оценивалась в 432</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без подвески РС и 400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с РС, а на высоте 2000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460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(без РС) и 438</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км/ч (с РС). На высоту </w:t>
      </w:r>
      <w:proofErr w:type="gramStart"/>
      <w:r w:rsidRPr="008127F8">
        <w:rPr>
          <w:rFonts w:ascii="Times New Roman" w:hAnsi="Times New Roman"/>
          <w:color w:val="000000" w:themeColor="text1"/>
          <w:sz w:val="16"/>
          <w:szCs w:val="16"/>
        </w:rPr>
        <w:t>3000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proofErr w:type="gramEnd"/>
      <w:r w:rsidRPr="008127F8">
        <w:rPr>
          <w:rFonts w:ascii="Times New Roman" w:hAnsi="Times New Roman"/>
          <w:color w:val="000000" w:themeColor="text1"/>
          <w:sz w:val="16"/>
          <w:szCs w:val="16"/>
        </w:rPr>
        <w:t xml:space="preserve"> самолет поднимался за 7</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мин. Дальность полета на высоте 500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и скорости 300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достигала 600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км. Посадочная </w:t>
      </w:r>
      <w:proofErr w:type="gramStart"/>
      <w:r w:rsidRPr="008127F8">
        <w:rPr>
          <w:rFonts w:ascii="Times New Roman" w:hAnsi="Times New Roman"/>
          <w:color w:val="000000" w:themeColor="text1"/>
          <w:sz w:val="16"/>
          <w:szCs w:val="16"/>
        </w:rPr>
        <w:t>скорость</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 xml:space="preserve"> 125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w:t>
      </w:r>
    </w:p>
    <w:p w14:paraId="53858B94" w14:textId="12E81032"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Согласно документам, передача самолета на государственные испытания ожидалась не позже 15 января 1943 года. На его постройку планировалось затратить около </w:t>
      </w:r>
      <w:proofErr w:type="gramStart"/>
      <w:r w:rsidRPr="008127F8">
        <w:rPr>
          <w:rFonts w:ascii="Times New Roman" w:hAnsi="Times New Roman"/>
          <w:color w:val="000000" w:themeColor="text1"/>
          <w:sz w:val="16"/>
          <w:szCs w:val="16"/>
        </w:rPr>
        <w:t>15</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млн</w:t>
      </w:r>
      <w:proofErr w:type="gramEnd"/>
      <w:r w:rsidRPr="008127F8">
        <w:rPr>
          <w:rFonts w:ascii="Times New Roman" w:hAnsi="Times New Roman"/>
          <w:color w:val="000000" w:themeColor="text1"/>
          <w:sz w:val="16"/>
          <w:szCs w:val="16"/>
        </w:rPr>
        <w:t xml:space="preserve"> рублей (17490).</w:t>
      </w:r>
    </w:p>
    <w:p w14:paraId="4548894D" w14:textId="77777777" w:rsidR="00F5704F" w:rsidRPr="008127F8" w:rsidRDefault="00F5704F" w:rsidP="001E0A84">
      <w:pPr>
        <w:spacing w:after="0" w:line="240" w:lineRule="auto"/>
        <w:jc w:val="both"/>
        <w:rPr>
          <w:rFonts w:ascii="Times New Roman" w:hAnsi="Times New Roman"/>
          <w:color w:val="000000" w:themeColor="text1"/>
          <w:sz w:val="16"/>
          <w:szCs w:val="16"/>
        </w:rPr>
      </w:pPr>
    </w:p>
    <w:p w14:paraId="0AC83554" w14:textId="77777777" w:rsidR="00F5704F" w:rsidRPr="008127F8" w:rsidRDefault="00F5704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работы по ОПБ прекратили, а ОКБ Кочеригина, как не имеющее своего самолета в серии, закрыли. Сотрудников распределили по заводам НКАП для усиления серийных конструкторских отделов, а самого Кочеригина вскоре «вытеснили» на весьма почетную и ответственную должность главного редактора БНТ ЦАГИ (17490).</w:t>
      </w:r>
    </w:p>
    <w:p w14:paraId="3DB28FA3" w14:textId="77777777" w:rsidR="00F5704F" w:rsidRPr="008127F8" w:rsidRDefault="00F5704F" w:rsidP="001E0A84">
      <w:pPr>
        <w:spacing w:after="0" w:line="240" w:lineRule="auto"/>
        <w:jc w:val="both"/>
        <w:rPr>
          <w:rFonts w:ascii="Times New Roman" w:eastAsia="Times New Roman" w:hAnsi="Times New Roman"/>
          <w:color w:val="000000" w:themeColor="text1"/>
          <w:sz w:val="16"/>
          <w:szCs w:val="16"/>
          <w:lang w:eastAsia="ru-RU"/>
        </w:rPr>
      </w:pPr>
    </w:p>
    <w:p w14:paraId="3B895FDB"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года работы по ОПБ прекратили, а ОКБ Кочеригина, как не имеющее своего самолета в серии, закрыли. Сотрудников распределили по заводам НКАП для усиления серийных конструкторских отделов, а самого Кочеригина вскоре «вытеснили» на весьма почетную и ответственную должность главного редактора БНТ ЦАГИ (24232).</w:t>
      </w:r>
    </w:p>
    <w:p w14:paraId="202F17D9" w14:textId="77777777" w:rsidR="00646D7E" w:rsidRPr="008A2E5A" w:rsidRDefault="00646D7E" w:rsidP="00646D7E">
      <w:pPr>
        <w:spacing w:after="0" w:line="240" w:lineRule="auto"/>
        <w:jc w:val="both"/>
        <w:rPr>
          <w:rFonts w:ascii="Times New Roman" w:hAnsi="Times New Roman"/>
          <w:color w:val="0070C0"/>
          <w:sz w:val="16"/>
          <w:szCs w:val="16"/>
        </w:rPr>
      </w:pPr>
    </w:p>
    <w:p w14:paraId="063D3BEE"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апреле 1942 г. эскизный проект САМ-14ш по</w:t>
      </w:r>
      <w:r w:rsidRPr="008127F8">
        <w:rPr>
          <w:color w:val="000000" w:themeColor="text1"/>
          <w:sz w:val="16"/>
          <w:szCs w:val="16"/>
        </w:rPr>
        <w:softHyphen/>
        <w:t>ступил в НИИ ВВС. Основные выводы специалистов института сводились к следующему.</w:t>
      </w:r>
    </w:p>
    <w:p w14:paraId="7630D986"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Летные данные самолета завышены (скорость 188 км/ч вместо 220 км/ч по проекту), полетный вес занижен (будет 1700 кг вместо 1293 кг), длина раз</w:t>
      </w:r>
      <w:r w:rsidRPr="008127F8">
        <w:rPr>
          <w:color w:val="000000" w:themeColor="text1"/>
          <w:sz w:val="16"/>
          <w:szCs w:val="16"/>
        </w:rPr>
        <w:softHyphen/>
        <w:t>бега сильно занижена (должно быть 296 м вместо 180 м).</w:t>
      </w:r>
    </w:p>
    <w:p w14:paraId="4B15CF22"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Известный аэродинамик профессор ВВА им. Н. Е. Жуковского В. С. Пышнов в своем отзыве от 2 мая отмечал, что «самолет «Аист» (с которым С. А. Москалев сравнивал САМ-14</w:t>
      </w:r>
      <w:r w:rsidRPr="008127F8">
        <w:rPr>
          <w:rStyle w:val="BodytextItalic"/>
          <w:i w:val="0"/>
          <w:color w:val="000000" w:themeColor="text1"/>
          <w:sz w:val="16"/>
          <w:szCs w:val="16"/>
        </w:rPr>
        <w:t>)</w:t>
      </w:r>
      <w:r w:rsidRPr="008127F8">
        <w:rPr>
          <w:color w:val="000000" w:themeColor="text1"/>
          <w:sz w:val="16"/>
          <w:szCs w:val="16"/>
        </w:rPr>
        <w:t xml:space="preserve"> имеет очень крутую траекторию подъема, которой не мо</w:t>
      </w:r>
      <w:r w:rsidRPr="008127F8">
        <w:rPr>
          <w:color w:val="000000" w:themeColor="text1"/>
          <w:sz w:val="16"/>
          <w:szCs w:val="16"/>
        </w:rPr>
        <w:softHyphen/>
        <w:t>жет иметь САМ-14 при его весе, моторе и размахе крыла. /.../ Длина разбега 180 м при весе 1293 кг совершенно невероятна. Такой разбег при моторе М-11 может быть при полетном весе около 800— 900 кг. /.../ Сравнительно большая грузоподъем</w:t>
      </w:r>
      <w:r w:rsidRPr="008127F8">
        <w:rPr>
          <w:color w:val="000000" w:themeColor="text1"/>
          <w:sz w:val="16"/>
          <w:szCs w:val="16"/>
        </w:rPr>
        <w:softHyphen/>
        <w:t>ность самолета САМ-14 получена за счет того, что полетный вес 1293 кг является не нормальным ве</w:t>
      </w:r>
      <w:r w:rsidRPr="008127F8">
        <w:rPr>
          <w:color w:val="000000" w:themeColor="text1"/>
          <w:sz w:val="16"/>
          <w:szCs w:val="16"/>
        </w:rPr>
        <w:softHyphen/>
        <w:t>сом, а предельным допустимым для выполнения одиночных полетов в специальных условиях, так как при этом весе самолет имеет ускорение мень</w:t>
      </w:r>
      <w:r w:rsidRPr="008127F8">
        <w:rPr>
          <w:color w:val="000000" w:themeColor="text1"/>
          <w:sz w:val="16"/>
          <w:szCs w:val="16"/>
        </w:rPr>
        <w:softHyphen/>
        <w:t>ше 1 м/с</w:t>
      </w:r>
      <w:r w:rsidRPr="008127F8">
        <w:rPr>
          <w:color w:val="000000" w:themeColor="text1"/>
          <w:sz w:val="16"/>
          <w:szCs w:val="16"/>
          <w:vertAlign w:val="superscript"/>
        </w:rPr>
        <w:t>2</w:t>
      </w:r>
      <w:r w:rsidRPr="008127F8">
        <w:rPr>
          <w:color w:val="000000" w:themeColor="text1"/>
          <w:sz w:val="16"/>
          <w:szCs w:val="16"/>
        </w:rPr>
        <w:t>. Нормальный вес самолета САМ-14 едва превысит 1000—1100 кг. Вообще говоря, можно ставить вопрос только о замене самолета У-2. Для этого необходимо иметь благоприятные отзывы по технике пилотирования САМ-14, его взлетно-поса</w:t>
      </w:r>
      <w:r w:rsidRPr="008127F8">
        <w:rPr>
          <w:color w:val="000000" w:themeColor="text1"/>
          <w:sz w:val="16"/>
          <w:szCs w:val="16"/>
        </w:rPr>
        <w:softHyphen/>
        <w:t>дочным данным и целесообразности перевода за</w:t>
      </w:r>
      <w:r w:rsidRPr="008127F8">
        <w:rPr>
          <w:color w:val="000000" w:themeColor="text1"/>
          <w:sz w:val="16"/>
          <w:szCs w:val="16"/>
        </w:rPr>
        <w:softHyphen/>
        <w:t>водов с У-2 на САМ-14».</w:t>
      </w:r>
    </w:p>
    <w:p w14:paraId="1EB82318"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Схема бронирования САМ-14ш совершенно не обеспечивает защиту летчика и воздушного стрел</w:t>
      </w:r>
      <w:r w:rsidRPr="008127F8">
        <w:rPr>
          <w:color w:val="000000" w:themeColor="text1"/>
          <w:sz w:val="16"/>
          <w:szCs w:val="16"/>
        </w:rPr>
        <w:softHyphen/>
        <w:t>ка от зенитного огня и атак истребителей. Броня толщиной «4—7 мм для современного оружия про</w:t>
      </w:r>
      <w:r w:rsidRPr="008127F8">
        <w:rPr>
          <w:color w:val="000000" w:themeColor="text1"/>
          <w:sz w:val="16"/>
          <w:szCs w:val="16"/>
        </w:rPr>
        <w:softHyphen/>
        <w:t>тивника явно недостаточна». Выбор толщины зад</w:t>
      </w:r>
      <w:r w:rsidRPr="008127F8">
        <w:rPr>
          <w:color w:val="000000" w:themeColor="text1"/>
          <w:sz w:val="16"/>
          <w:szCs w:val="16"/>
        </w:rPr>
        <w:softHyphen/>
        <w:t>ней бронеспинки летчика должен был выполнять</w:t>
      </w:r>
      <w:r w:rsidRPr="008127F8">
        <w:rPr>
          <w:color w:val="000000" w:themeColor="text1"/>
          <w:sz w:val="16"/>
          <w:szCs w:val="16"/>
        </w:rPr>
        <w:softHyphen/>
        <w:t>ся «из расчета поражения калибром 15—20 мм для дистанции 100—200 м, броня 4—7 мм от пуль ка</w:t>
      </w:r>
      <w:r w:rsidRPr="008127F8">
        <w:rPr>
          <w:color w:val="000000" w:themeColor="text1"/>
          <w:sz w:val="16"/>
          <w:szCs w:val="16"/>
        </w:rPr>
        <w:softHyphen/>
        <w:t>либра 15 мм не защищает». Требовалось установить боковую броню, «так как опыт войны показал, что противник атакует штурмовики сбоку под углом 40—45°». Броня мотора, масло- и бензобаков от</w:t>
      </w:r>
      <w:r w:rsidRPr="008127F8">
        <w:rPr>
          <w:color w:val="000000" w:themeColor="text1"/>
          <w:sz w:val="16"/>
          <w:szCs w:val="16"/>
        </w:rPr>
        <w:softHyphen/>
        <w:t>сутствует. Начальник тактического отдела НИИ ВВС подполковник Филиппов в своем заключении от 8 мая констатировал, что «вес брони 150 кг явно не реален, даже при частичном бронировании само</w:t>
      </w:r>
      <w:r w:rsidRPr="008127F8">
        <w:rPr>
          <w:color w:val="000000" w:themeColor="text1"/>
          <w:sz w:val="16"/>
          <w:szCs w:val="16"/>
        </w:rPr>
        <w:softHyphen/>
        <w:t>лета. Этот вес должен быть 300—350 кг».</w:t>
      </w:r>
    </w:p>
    <w:p w14:paraId="19271E19"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Материалы по бомбовому, стрелковому и ра</w:t>
      </w:r>
      <w:r w:rsidRPr="008127F8">
        <w:rPr>
          <w:color w:val="000000" w:themeColor="text1"/>
          <w:sz w:val="16"/>
          <w:szCs w:val="16"/>
        </w:rPr>
        <w:softHyphen/>
        <w:t>кетному вооружению, а также и по специальному оборудованию военные сочли недоработанными и необоснованными. Пулеметы ШКАС, как не отвеча</w:t>
      </w:r>
      <w:r w:rsidRPr="008127F8">
        <w:rPr>
          <w:color w:val="000000" w:themeColor="text1"/>
          <w:sz w:val="16"/>
          <w:szCs w:val="16"/>
        </w:rPr>
        <w:softHyphen/>
        <w:t>ющие современным требованиям к штурмовикам, предлагалось заменить пушками.</w:t>
      </w:r>
    </w:p>
    <w:p w14:paraId="0CBA5869"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подсчетам военных специалистов получа</w:t>
      </w:r>
      <w:r w:rsidRPr="008127F8">
        <w:rPr>
          <w:color w:val="000000" w:themeColor="text1"/>
          <w:sz w:val="16"/>
          <w:szCs w:val="16"/>
        </w:rPr>
        <w:softHyphen/>
        <w:t>лось, что в варианте легкого штурмовика факти</w:t>
      </w:r>
      <w:r w:rsidRPr="008127F8">
        <w:rPr>
          <w:color w:val="000000" w:themeColor="text1"/>
          <w:sz w:val="16"/>
          <w:szCs w:val="16"/>
        </w:rPr>
        <w:softHyphen/>
        <w:t>ческий полетный вес САМ-14 должен быть около 1700 кг. При этом аэродинамика крыла за счет установки большого количества ракетных ору</w:t>
      </w:r>
      <w:r w:rsidRPr="008127F8">
        <w:rPr>
          <w:color w:val="000000" w:themeColor="text1"/>
          <w:sz w:val="16"/>
          <w:szCs w:val="16"/>
        </w:rPr>
        <w:softHyphen/>
        <w:t>дий реально будет заметно отличаться в худшую сторону от принятых параметров по проекту. Как следствие, высказывалось сомнение в летных каче</w:t>
      </w:r>
      <w:r w:rsidRPr="008127F8">
        <w:rPr>
          <w:color w:val="000000" w:themeColor="text1"/>
          <w:sz w:val="16"/>
          <w:szCs w:val="16"/>
        </w:rPr>
        <w:softHyphen/>
        <w:t>ствах САМ-14: «Трудно представить, чтобы самолет с М-11 мог бы удовлетворительно летать (нагрузка на 1 л.с. при весе 1700 кг около 15,5 кг/л.с.)».</w:t>
      </w:r>
    </w:p>
    <w:p w14:paraId="63DE77E1"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того, отмечалось, что «представленный проект САМ-14 с М-11 выполнен небрежно. Мате</w:t>
      </w:r>
      <w:r w:rsidRPr="008127F8">
        <w:rPr>
          <w:color w:val="000000" w:themeColor="text1"/>
          <w:sz w:val="16"/>
          <w:szCs w:val="16"/>
        </w:rPr>
        <w:softHyphen/>
        <w:t>риал представлен не полностью. В проекте совер шенно нет материалов, которыми можно было бы обосновать весовые и летные данные».</w:t>
      </w:r>
    </w:p>
    <w:p w14:paraId="68A9D45E"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итоге проект самолета САМ-14ш отклонили: «Предложение конструктора тов. Москалева об использовании самолета САМ-14 в качестве легко</w:t>
      </w:r>
      <w:r w:rsidRPr="008127F8">
        <w:rPr>
          <w:color w:val="000000" w:themeColor="text1"/>
          <w:sz w:val="16"/>
          <w:szCs w:val="16"/>
        </w:rPr>
        <w:softHyphen/>
        <w:t>го бронированного штурмовика в предложенном варианте принято быть не может». Заключение подписали: начальник 3-го отдела НИИ ВВС инже</w:t>
      </w:r>
      <w:r w:rsidRPr="008127F8">
        <w:rPr>
          <w:color w:val="000000" w:themeColor="text1"/>
          <w:sz w:val="16"/>
          <w:szCs w:val="16"/>
        </w:rPr>
        <w:softHyphen/>
        <w:t>нер-полковник С. И. Сафронов, начальник 5-го отде</w:t>
      </w:r>
      <w:r w:rsidRPr="008127F8">
        <w:rPr>
          <w:color w:val="000000" w:themeColor="text1"/>
          <w:sz w:val="16"/>
          <w:szCs w:val="16"/>
        </w:rPr>
        <w:softHyphen/>
        <w:t>ления 3-го отдела инженер-подполковник К. А. Калилец.</w:t>
      </w:r>
    </w:p>
    <w:p w14:paraId="56450DFD"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Самолет САМ-14ш представлял собой двухмест</w:t>
      </w:r>
      <w:r w:rsidRPr="008127F8">
        <w:rPr>
          <w:color w:val="000000" w:themeColor="text1"/>
          <w:sz w:val="16"/>
          <w:szCs w:val="16"/>
        </w:rPr>
        <w:softHyphen/>
        <w:t>ный (летчик и воздушный стрелок) свободнонесу- щий моноплан с высокорасположенным крылом, дешевый и технологичный в производстве. По кон</w:t>
      </w:r>
      <w:r w:rsidRPr="008127F8">
        <w:rPr>
          <w:color w:val="000000" w:themeColor="text1"/>
          <w:sz w:val="16"/>
          <w:szCs w:val="16"/>
        </w:rPr>
        <w:softHyphen/>
        <w:t>струкции — деревянный, с фанерной и полотняной обшивкой на эмалите. Сталь и дюраль применя</w:t>
      </w:r>
      <w:r w:rsidRPr="008127F8">
        <w:rPr>
          <w:color w:val="000000" w:themeColor="text1"/>
          <w:sz w:val="16"/>
          <w:szCs w:val="16"/>
        </w:rPr>
        <w:softHyphen/>
        <w:t>лись ограниченно, только в ответственных местах. В передней части фюзеляжа — кабина летчика, да</w:t>
      </w:r>
      <w:r w:rsidRPr="008127F8">
        <w:rPr>
          <w:color w:val="000000" w:themeColor="text1"/>
          <w:sz w:val="16"/>
          <w:szCs w:val="16"/>
        </w:rPr>
        <w:softHyphen/>
        <w:t>лее — бомбовый отсек и стрелок. Винтомоторная группа отделена от фюзеляжа противопожарной перегородкой. Бомбовый отсек при необходимости мог использоваться для перевозки 4 пассажиров. При этом в шпангоуте, отделяющем кабину летчика и бомбовый отсек, имелся аварийный люк, «связы</w:t>
      </w:r>
      <w:r w:rsidRPr="008127F8">
        <w:rPr>
          <w:color w:val="000000" w:themeColor="text1"/>
          <w:sz w:val="16"/>
          <w:szCs w:val="16"/>
        </w:rPr>
        <w:softHyphen/>
        <w:t>вающий обе кабины».</w:t>
      </w:r>
    </w:p>
    <w:p w14:paraId="323675B5"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Вход в кабину летчика выполнялся через люк вверху кабины. Сиденье летчика располагалось немного левее от плоскости симметрии самоле</w:t>
      </w:r>
      <w:r w:rsidRPr="008127F8">
        <w:rPr>
          <w:color w:val="000000" w:themeColor="text1"/>
          <w:sz w:val="16"/>
          <w:szCs w:val="16"/>
        </w:rPr>
        <w:softHyphen/>
        <w:t>та. Посадка летчика и остекление фонаря каби</w:t>
      </w:r>
      <w:r w:rsidRPr="008127F8">
        <w:rPr>
          <w:color w:val="000000" w:themeColor="text1"/>
          <w:sz w:val="16"/>
          <w:szCs w:val="16"/>
        </w:rPr>
        <w:softHyphen/>
        <w:t>ны обеспечивали хороший обзор вперед, вниз и в стороны, как в полете, так и при посадке. Для уверенного самолетовождения ночью и в сложных метеоусловиях предусматривалось ночное освеще</w:t>
      </w:r>
      <w:r w:rsidRPr="008127F8">
        <w:rPr>
          <w:color w:val="000000" w:themeColor="text1"/>
          <w:sz w:val="16"/>
          <w:szCs w:val="16"/>
        </w:rPr>
        <w:softHyphen/>
        <w:t>ние и полный комплект аэронавигационных при</w:t>
      </w:r>
      <w:r w:rsidRPr="008127F8">
        <w:rPr>
          <w:color w:val="000000" w:themeColor="text1"/>
          <w:sz w:val="16"/>
          <w:szCs w:val="16"/>
        </w:rPr>
        <w:softHyphen/>
        <w:t>боров.</w:t>
      </w:r>
    </w:p>
    <w:p w14:paraId="6E4E6F93"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Крыло трапециевидной формы с эллиптически</w:t>
      </w:r>
      <w:r w:rsidRPr="008127F8">
        <w:rPr>
          <w:color w:val="000000" w:themeColor="text1"/>
          <w:sz w:val="16"/>
          <w:szCs w:val="16"/>
        </w:rPr>
        <w:softHyphen/>
        <w:t>ми законцовками снабжалось закрылками. По все</w:t>
      </w:r>
      <w:r w:rsidRPr="008127F8">
        <w:rPr>
          <w:color w:val="000000" w:themeColor="text1"/>
          <w:sz w:val="16"/>
          <w:szCs w:val="16"/>
        </w:rPr>
        <w:softHyphen/>
        <w:t>му размаху крыла от фюзеляжа до элеронов распо</w:t>
      </w:r>
      <w:r w:rsidRPr="008127F8">
        <w:rPr>
          <w:color w:val="000000" w:themeColor="text1"/>
          <w:sz w:val="16"/>
          <w:szCs w:val="16"/>
        </w:rPr>
        <w:softHyphen/>
        <w:t>лагались щитки («Кальмана» или «Юнкерса»). Про</w:t>
      </w:r>
      <w:r w:rsidRPr="008127F8">
        <w:rPr>
          <w:color w:val="000000" w:themeColor="text1"/>
          <w:sz w:val="16"/>
          <w:szCs w:val="16"/>
        </w:rPr>
        <w:softHyphen/>
        <w:t>филь крыла Р-П с относительной толщиной 14%. Конструкция крыла двухлонжеронная с набором нервюр и фанерной и частично полотняной обшив</w:t>
      </w:r>
      <w:r w:rsidRPr="008127F8">
        <w:rPr>
          <w:color w:val="000000" w:themeColor="text1"/>
          <w:sz w:val="16"/>
          <w:szCs w:val="16"/>
        </w:rPr>
        <w:softHyphen/>
        <w:t>кой. В местах установки ракетных орудий на крыле предусматривались дюралевые листы. Два крылье</w:t>
      </w:r>
      <w:r w:rsidRPr="008127F8">
        <w:rPr>
          <w:color w:val="000000" w:themeColor="text1"/>
          <w:sz w:val="16"/>
          <w:szCs w:val="16"/>
        </w:rPr>
        <w:softHyphen/>
        <w:t>вых бензобака (на 180 кг топлива) имели протектор.</w:t>
      </w:r>
    </w:p>
    <w:p w14:paraId="521B5DE7"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Моторама под мотор МВ-4 или М-11Д изготав</w:t>
      </w:r>
      <w:r w:rsidRPr="008127F8">
        <w:rPr>
          <w:color w:val="000000" w:themeColor="text1"/>
          <w:sz w:val="16"/>
          <w:szCs w:val="16"/>
        </w:rPr>
        <w:softHyphen/>
        <w:t>ливалась из дюралюминия или стали и крепилась к переднему шпангоуту на 4 болтах. Винт двухло</w:t>
      </w:r>
      <w:r w:rsidRPr="008127F8">
        <w:rPr>
          <w:color w:val="000000" w:themeColor="text1"/>
          <w:sz w:val="16"/>
          <w:szCs w:val="16"/>
        </w:rPr>
        <w:softHyphen/>
        <w:t>пастный диаметром 2,2 или 2, 4 м с обтекателем на втулке.</w:t>
      </w:r>
    </w:p>
    <w:p w14:paraId="7EEE385D"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Летчик и стрелок защищались броней толщи</w:t>
      </w:r>
      <w:r w:rsidRPr="008127F8">
        <w:rPr>
          <w:color w:val="000000" w:themeColor="text1"/>
          <w:sz w:val="16"/>
          <w:szCs w:val="16"/>
        </w:rPr>
        <w:softHyphen/>
        <w:t>ной 4—7 мм (всего 150 кг). Схема защиты летчика предусматривала: козырек из прозрачной брони, бронеплиту спереди, бронеплиту на полу спереди, бронеплиту позади летчика в верхней части и бро- незаголовник. Воздушный стрелок прикрывался броней «только по полету сзади от воздушного ог</w:t>
      </w:r>
      <w:r w:rsidRPr="008127F8">
        <w:rPr>
          <w:color w:val="000000" w:themeColor="text1"/>
          <w:sz w:val="16"/>
          <w:szCs w:val="16"/>
        </w:rPr>
        <w:softHyphen/>
        <w:t>ня и снизу от наземного огня».</w:t>
      </w:r>
    </w:p>
    <w:p w14:paraId="13F532A3"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Самолет характеризовался высокими показа</w:t>
      </w:r>
      <w:r w:rsidRPr="008127F8">
        <w:rPr>
          <w:color w:val="000000" w:themeColor="text1"/>
          <w:sz w:val="16"/>
          <w:szCs w:val="16"/>
        </w:rPr>
        <w:softHyphen/>
        <w:t>телями аэродинамического качества — 13,5 (у не</w:t>
      </w:r>
      <w:r w:rsidRPr="008127F8">
        <w:rPr>
          <w:color w:val="000000" w:themeColor="text1"/>
          <w:sz w:val="16"/>
          <w:szCs w:val="16"/>
        </w:rPr>
        <w:softHyphen/>
        <w:t xml:space="preserve">мецкого легкого самолета </w:t>
      </w:r>
      <w:r w:rsidRPr="008127F8">
        <w:rPr>
          <w:color w:val="000000" w:themeColor="text1"/>
          <w:sz w:val="16"/>
          <w:szCs w:val="16"/>
          <w:lang w:val="en-US"/>
        </w:rPr>
        <w:t>Fi</w:t>
      </w:r>
      <w:r w:rsidRPr="008127F8">
        <w:rPr>
          <w:color w:val="000000" w:themeColor="text1"/>
          <w:sz w:val="16"/>
          <w:szCs w:val="16"/>
        </w:rPr>
        <w:t>156 «Аист» — 8,0), ве</w:t>
      </w:r>
      <w:r w:rsidRPr="008127F8">
        <w:rPr>
          <w:color w:val="000000" w:themeColor="text1"/>
          <w:sz w:val="16"/>
          <w:szCs w:val="16"/>
        </w:rPr>
        <w:softHyphen/>
        <w:t>совой отдачи — 48%, нагрузкой на крыло — всего 59,2 кг/м</w:t>
      </w:r>
      <w:r w:rsidRPr="008127F8">
        <w:rPr>
          <w:color w:val="000000" w:themeColor="text1"/>
          <w:sz w:val="16"/>
          <w:szCs w:val="16"/>
          <w:vertAlign w:val="superscript"/>
        </w:rPr>
        <w:t>2</w:t>
      </w:r>
      <w:r w:rsidRPr="008127F8">
        <w:rPr>
          <w:color w:val="000000" w:themeColor="text1"/>
          <w:sz w:val="16"/>
          <w:szCs w:val="16"/>
        </w:rPr>
        <w:t>.</w:t>
      </w:r>
    </w:p>
    <w:p w14:paraId="40A44B97"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Вооружение самолета включало 2 крыльевых пулемета ШКАС (1000 патронов), 8 РО-132, 4 РО-82 и 150 кг бомб (калибра 25—100 кг) внутри фюзе</w:t>
      </w:r>
      <w:r w:rsidRPr="008127F8">
        <w:rPr>
          <w:color w:val="000000" w:themeColor="text1"/>
          <w:sz w:val="16"/>
          <w:szCs w:val="16"/>
        </w:rPr>
        <w:softHyphen/>
        <w:t>ляжа. Без бомб число ракетных орудий возрастало до 16 РО-132. В перегрузку (за счет ракетных сна</w:t>
      </w:r>
      <w:r w:rsidRPr="008127F8">
        <w:rPr>
          <w:color w:val="000000" w:themeColor="text1"/>
          <w:sz w:val="16"/>
          <w:szCs w:val="16"/>
        </w:rPr>
        <w:softHyphen/>
        <w:t>рядов) бомбовая нагрузка составляла 400 кг (в том числе 4 ФАБ-100). Допускалось использование кас</w:t>
      </w:r>
      <w:r w:rsidRPr="008127F8">
        <w:rPr>
          <w:color w:val="000000" w:themeColor="text1"/>
          <w:sz w:val="16"/>
          <w:szCs w:val="16"/>
        </w:rPr>
        <w:softHyphen/>
        <w:t>сеты мелких бомб от самолета Ил-2. Для защиты от атак истребителей предусматривалась задняя шкворневая установка под пулемет ШКАС (500 пат</w:t>
      </w:r>
      <w:r w:rsidRPr="008127F8">
        <w:rPr>
          <w:color w:val="000000" w:themeColor="text1"/>
          <w:sz w:val="16"/>
          <w:szCs w:val="16"/>
        </w:rPr>
        <w:softHyphen/>
        <w:t>ронов). У летчика устанавливался стрелковый при</w:t>
      </w:r>
      <w:r w:rsidRPr="008127F8">
        <w:rPr>
          <w:color w:val="000000" w:themeColor="text1"/>
          <w:sz w:val="16"/>
          <w:szCs w:val="16"/>
        </w:rPr>
        <w:softHyphen/>
        <w:t>цел ПБП-1.</w:t>
      </w:r>
    </w:p>
    <w:p w14:paraId="79F4B86B"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Особо отмечалось, что поскольку бомбовый от</w:t>
      </w:r>
      <w:r w:rsidRPr="008127F8">
        <w:rPr>
          <w:color w:val="000000" w:themeColor="text1"/>
          <w:sz w:val="16"/>
          <w:szCs w:val="16"/>
        </w:rPr>
        <w:softHyphen/>
        <w:t>сек находится в центре тяжести самолета, то «раз</w:t>
      </w:r>
      <w:r w:rsidRPr="008127F8">
        <w:rPr>
          <w:color w:val="000000" w:themeColor="text1"/>
          <w:sz w:val="16"/>
          <w:szCs w:val="16"/>
        </w:rPr>
        <w:softHyphen/>
        <w:t>личные варианты загрузки практически не влияют на центровку самолета».</w:t>
      </w:r>
    </w:p>
    <w:p w14:paraId="3C53D589"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расчетам, максимальная скорость ожида</w:t>
      </w:r>
      <w:r w:rsidRPr="008127F8">
        <w:rPr>
          <w:color w:val="000000" w:themeColor="text1"/>
          <w:sz w:val="16"/>
          <w:szCs w:val="16"/>
        </w:rPr>
        <w:softHyphen/>
        <w:t>лась 220 км/ч. Время подъема на высоту 2000 м — 16 мин. Посадочная скорость с выпущенными за крылками — 69 км/ч. Дальность полета — 620 км (в перегрузку 1200 км). Практический потолок — 4200 м. Длина разбега — 180 м, пробега — 140 м.</w:t>
      </w:r>
    </w:p>
    <w:p w14:paraId="7733BB90"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материалах эскизного проекта особо обра</w:t>
      </w:r>
      <w:r w:rsidRPr="008127F8">
        <w:rPr>
          <w:color w:val="000000" w:themeColor="text1"/>
          <w:sz w:val="16"/>
          <w:szCs w:val="16"/>
        </w:rPr>
        <w:softHyphen/>
        <w:t>щалось внимание на следующие обстоятельства. Нормальный полетный вес самолета в штурмовом варианте не превысит 1293 кг, с которым САМ-14 с МВ-4 проходил заводские и государственные ис</w:t>
      </w:r>
      <w:r w:rsidRPr="008127F8">
        <w:rPr>
          <w:color w:val="000000" w:themeColor="text1"/>
          <w:sz w:val="16"/>
          <w:szCs w:val="16"/>
        </w:rPr>
        <w:softHyphen/>
        <w:t>пытания. «Следовательно, приведенные летные данные самолета в боевом варианте не могут быть снижены».</w:t>
      </w:r>
    </w:p>
    <w:p w14:paraId="16AF7881"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Поскольку до войны планировалось органи</w:t>
      </w:r>
      <w:r w:rsidRPr="008127F8">
        <w:rPr>
          <w:color w:val="000000" w:themeColor="text1"/>
          <w:sz w:val="16"/>
          <w:szCs w:val="16"/>
        </w:rPr>
        <w:softHyphen/>
        <w:t>зовать серийный выпуск самолета по заказам ГВФ и НКВД, то была подготовлена вся необходимая тех</w:t>
      </w:r>
      <w:r w:rsidRPr="008127F8">
        <w:rPr>
          <w:color w:val="000000" w:themeColor="text1"/>
          <w:sz w:val="16"/>
          <w:szCs w:val="16"/>
        </w:rPr>
        <w:softHyphen/>
        <w:t>ническая документация для его производства и за</w:t>
      </w:r>
      <w:r w:rsidRPr="008127F8">
        <w:rPr>
          <w:color w:val="000000" w:themeColor="text1"/>
          <w:sz w:val="16"/>
          <w:szCs w:val="16"/>
        </w:rPr>
        <w:softHyphen/>
        <w:t>готовлен задел на 200 самолетов. Поэтому «первые серийные образцы могут быть выпущены через 1,5 месяца после дачи заказа».</w:t>
      </w:r>
    </w:p>
    <w:p w14:paraId="64AEA3A2"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этого, помимо боевого, были детально проработаны варианты самолета пассажирского, санитарного, штабного и специального приме</w:t>
      </w:r>
      <w:r w:rsidRPr="008127F8">
        <w:rPr>
          <w:color w:val="000000" w:themeColor="text1"/>
          <w:sz w:val="16"/>
          <w:szCs w:val="16"/>
        </w:rPr>
        <w:softHyphen/>
        <w:t>нения.</w:t>
      </w:r>
    </w:p>
    <w:p w14:paraId="1AC87597" w14:textId="77777777" w:rsidR="00F5704F" w:rsidRPr="008127F8" w:rsidRDefault="00F5704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Считалось, что «при мощности мотора М-11, в 12 раз меньшей мотора Ил-2, значительно мень</w:t>
      </w:r>
      <w:r w:rsidRPr="008127F8">
        <w:rPr>
          <w:color w:val="000000" w:themeColor="text1"/>
          <w:sz w:val="16"/>
          <w:szCs w:val="16"/>
        </w:rPr>
        <w:softHyphen/>
        <w:t>шей трудоемкости, возможно при одинаковой за</w:t>
      </w:r>
      <w:r w:rsidRPr="008127F8">
        <w:rPr>
          <w:color w:val="000000" w:themeColor="text1"/>
          <w:sz w:val="16"/>
          <w:szCs w:val="16"/>
        </w:rPr>
        <w:softHyphen/>
        <w:t>трате труда, почти в 10 раз увеличить штурмовой бомбовый залп» (17500).</w:t>
      </w:r>
    </w:p>
    <w:p w14:paraId="1753DF60" w14:textId="77777777" w:rsidR="00F5704F" w:rsidRPr="008127F8" w:rsidRDefault="00F5704F" w:rsidP="001E0A84">
      <w:pPr>
        <w:pStyle w:val="12a"/>
        <w:shd w:val="clear" w:color="auto" w:fill="auto"/>
        <w:spacing w:after="0" w:line="240" w:lineRule="auto"/>
        <w:jc w:val="both"/>
        <w:rPr>
          <w:color w:val="000000" w:themeColor="text1"/>
          <w:sz w:val="16"/>
          <w:szCs w:val="16"/>
        </w:rPr>
      </w:pPr>
    </w:p>
    <w:p w14:paraId="07AD1E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частях начали переоборудование Ил-4 подвесными баками (7666).</w:t>
      </w:r>
    </w:p>
    <w:p w14:paraId="176D3A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BC96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частях начали переоборудование ДБ-3 подвесными топливными баками. К 22 мая бригады заводов № 81 и № 23 переоборудовали 40 самолетов, а месяцем позже таким образом оснасти</w:t>
      </w:r>
      <w:r w:rsidRPr="008127F8">
        <w:rPr>
          <w:rFonts w:ascii="Times New Roman" w:hAnsi="Times New Roman"/>
          <w:color w:val="000000" w:themeColor="text1"/>
          <w:sz w:val="16"/>
          <w:szCs w:val="16"/>
        </w:rPr>
        <w:softHyphen/>
        <w:t>ли несколько сот бомбардировщиков. Затем все необходимое оборудование для подвески баков стало монтировать</w:t>
      </w:r>
      <w:r w:rsidRPr="008127F8">
        <w:rPr>
          <w:rFonts w:ascii="Times New Roman" w:hAnsi="Times New Roman"/>
          <w:color w:val="000000" w:themeColor="text1"/>
          <w:sz w:val="16"/>
          <w:szCs w:val="16"/>
        </w:rPr>
        <w:softHyphen/>
        <w:t>ся прямо на заводах (10734,69).</w:t>
      </w:r>
    </w:p>
    <w:p w14:paraId="2BEB678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FE62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работы по замене части агрегатов Ил-4 деревянными прекратили, как второстепенные, но опять вспомни</w:t>
      </w:r>
      <w:r w:rsidRPr="008127F8">
        <w:rPr>
          <w:rFonts w:ascii="Times New Roman" w:hAnsi="Times New Roman"/>
          <w:color w:val="000000" w:themeColor="text1"/>
          <w:sz w:val="16"/>
          <w:szCs w:val="16"/>
        </w:rPr>
        <w:softHyphen/>
        <w:t>ли о них осенью (10734,77).</w:t>
      </w:r>
    </w:p>
    <w:p w14:paraId="0E5D823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A6C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установку М-82 объявили наиболее важным направлением модернизации ДБ-3Ф. По расчетам предполагали, что скорость возрастет на 40-50 км/ч и дойдет до 470 км/ч. М-82 был мощнее, чем стоявший тогда на серийных ДБ-3Ф М-88Б - 1330 л.с. против 1100 л.с., но отличался также большим весом и расходом топлива. В Комсомольске действительно построили опытный образец с М-82 и винтами АВ-5 диаметром 3,4 м. Планер по сравнению с серийными машинами не менялся (7666).</w:t>
      </w:r>
    </w:p>
    <w:p w14:paraId="0BF0FB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53B0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установку М-82 объявили наиболее важным направле</w:t>
      </w:r>
      <w:r w:rsidRPr="008127F8">
        <w:rPr>
          <w:rFonts w:ascii="Times New Roman" w:hAnsi="Times New Roman"/>
          <w:color w:val="000000" w:themeColor="text1"/>
          <w:sz w:val="16"/>
          <w:szCs w:val="16"/>
        </w:rPr>
        <w:softHyphen/>
        <w:t>нием модернизации ДБ-3Ф. По расче</w:t>
      </w:r>
      <w:r w:rsidRPr="008127F8">
        <w:rPr>
          <w:rFonts w:ascii="Times New Roman" w:hAnsi="Times New Roman"/>
          <w:color w:val="000000" w:themeColor="text1"/>
          <w:sz w:val="16"/>
          <w:szCs w:val="16"/>
        </w:rPr>
        <w:softHyphen/>
        <w:t>там предполагали, что скорость возрас</w:t>
      </w:r>
      <w:r w:rsidRPr="008127F8">
        <w:rPr>
          <w:rFonts w:ascii="Times New Roman" w:hAnsi="Times New Roman"/>
          <w:color w:val="000000" w:themeColor="text1"/>
          <w:sz w:val="16"/>
          <w:szCs w:val="16"/>
        </w:rPr>
        <w:softHyphen/>
        <w:t>тет на 40-50 км/ч и дойдет до 470 км/ч. М-82 был мощнее, чем стоявший тогда на серийных'ДБ-3Ф М-88Б — 1330 л.с. против 1100 л.с., но отличался так</w:t>
      </w:r>
      <w:r w:rsidRPr="008127F8">
        <w:rPr>
          <w:rFonts w:ascii="Times New Roman" w:hAnsi="Times New Roman"/>
          <w:color w:val="000000" w:themeColor="text1"/>
          <w:sz w:val="16"/>
          <w:szCs w:val="16"/>
        </w:rPr>
        <w:softHyphen/>
        <w:t>же большим весом и расходом топлива. В Комсомольске еще в декабре 1941 г. построили два опытных образца с М-82. Должны были поставить винты АВ-5 диаметром 3,4 м, но их в наличии не было, и смонтировали самодельные из втулок ВИШ-22 и лопастей от ВИШ-21. Планер по сравнению с серийными машинами не менялся. У одного из мо</w:t>
      </w:r>
      <w:r w:rsidRPr="008127F8">
        <w:rPr>
          <w:rFonts w:ascii="Times New Roman" w:hAnsi="Times New Roman"/>
          <w:color w:val="000000" w:themeColor="text1"/>
          <w:sz w:val="16"/>
          <w:szCs w:val="16"/>
        </w:rPr>
        <w:softHyphen/>
        <w:t>торов еще при пробном запуске вышел из строя нагнетатель (10734,78).</w:t>
      </w:r>
    </w:p>
    <w:p w14:paraId="13168E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ECF4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установку М-82 объявили наиболее важным направлением модернизации ДБ-ЗФ. По расчетам предполагали, что скорость возрастет на 40-50 км/ч и дойдет до 470 км/ч. М-82 был мощнее, чем стоявший тогда на серийных ДБ-ЗФ М-88Б - 1330 л.с. против 1100 л.с., но отличался также большим весом и расходом топлива. В Комсомольске еще в декабре 1941 г. построили два опытных образца с М-82. Должны были поставить винты АВ-5 диаметром 3,4 м, но их в наличии не было, и смонтировали самодельные из втулок ВИШ-22 и лопастей от ВИШ-21. Планер по сравнению с серийными машинами не менялся. У одного из моторов еще при пробном запуске вышел из строя нагнетатель. Первый полет состоялся 10 января 1942 г. Машину пилотировал летчик </w:t>
      </w:r>
      <w:proofErr w:type="gramStart"/>
      <w:r w:rsidRPr="008127F8">
        <w:rPr>
          <w:rFonts w:ascii="Times New Roman" w:hAnsi="Times New Roman"/>
          <w:color w:val="000000" w:themeColor="text1"/>
          <w:sz w:val="16"/>
          <w:szCs w:val="16"/>
        </w:rPr>
        <w:t>Га- лицкий</w:t>
      </w:r>
      <w:proofErr w:type="gramEnd"/>
      <w:r w:rsidRPr="008127F8">
        <w:rPr>
          <w:rFonts w:ascii="Times New Roman" w:hAnsi="Times New Roman"/>
          <w:color w:val="000000" w:themeColor="text1"/>
          <w:sz w:val="16"/>
          <w:szCs w:val="16"/>
        </w:rPr>
        <w:t>. В ходе испытаний двигатели постоянно перегревались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завершался выводом: "При необходимости срочного перехода на ДБ-ЗФ с М-82 предъявленный самолет может быть временным эталоном с последующим устранением дефектов" (12021).</w:t>
      </w:r>
    </w:p>
    <w:p w14:paraId="2D1404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C7E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ОКБ С.В. Ильюшина было реэвакуировано размещено на заводе № 240 НКАП. В связи с этим территория «б» завода № 240 на Центральном аэродроме по приказу № 304с от 21.04.1942 г. была закреплена как опытная база за коллективом ОКБ-240 В.Г. Ермолаева, вернувшемуся из эвакуации из Казани. По приказу № 319с от 26.04.1942 г. в подчинении Ермолаева некоторое время находился филиал № 1 по Авиационному пер. завода № 30 (бывший цех ширпотреба завода № 1). По приказу № 517с от 12.07.1942 г.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52C49A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модернизации Ер-2: модификации с дизелями М-30, М-31, пассажирский Ер-2ОН.</w:t>
      </w:r>
    </w:p>
    <w:p w14:paraId="5B7275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НКАП № 424с от 5.07.1944 г. большая часть оборудования, корпус «Г» и часть личного состава завода № 89 переданы заводу № 134 НКАП для укрепления </w:t>
      </w:r>
      <w:r w:rsidRPr="008127F8">
        <w:rPr>
          <w:rFonts w:ascii="Times New Roman" w:hAnsi="Times New Roman"/>
          <w:color w:val="000000" w:themeColor="text1"/>
          <w:sz w:val="16"/>
          <w:szCs w:val="16"/>
        </w:rPr>
        <w:lastRenderedPageBreak/>
        <w:t xml:space="preserve">его производственной базы. </w:t>
      </w:r>
    </w:p>
    <w:p w14:paraId="510D96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сотрудники ОКБ Ермолаева переведены в ОКБ Сухого34.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114ECB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16D073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55FD6D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393сс от 24.05.1949 г. все помещения на территориях «а» и «б» переданы НИИ-2.</w:t>
      </w:r>
    </w:p>
    <w:p w14:paraId="766725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территория в Тушино (площадка бывшего завода № 289), находившаяся в ведении ГУ ИАС ВВС, была передана в подчинение НИИ-88 МВ.</w:t>
      </w:r>
    </w:p>
    <w:p w14:paraId="6E11C5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1949 г. завод № 134 полностью переведен в Тушино. В соответствии с постановлением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AD42E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283сс/оп от 25.04.1955 г. с 1.04.1955 г. завод передан из 7ГУ в 6ГУ МАП. В 1967 г. завод получил название МЗ "Вымпел". В 1975-78 г. имел наименование «предприятие-п/я» В-2248, затем- Р-6462. </w:t>
      </w:r>
    </w:p>
    <w:p w14:paraId="78F975B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1989 г. - МКБ "Вымпел", с 1991 г. - ГосМКБ "Вымпел". В соответствии с постановлением Правительства Москвы № 686 от 27.07.1999 г. ГосМКБ «Вымпел» присвоено имя И.И. Торопова. В 2002 г. называлось ФГУП «ГосМКБ «Вымпел» им. И.И. Торопова». Входит в Корпорацию ТРВ (2004 г.). По Указу Президента РФ № 1009 от 4.08.2004 г. ОАО вошло в число стратегических оборонных предприятий.</w:t>
      </w:r>
    </w:p>
    <w:p w14:paraId="152682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016603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1985 г. НИР «Клеенка»- по разработке Р-27П. В начале 1990-х г.- НИР «Ельник» по ракете РВВ-АЕ.</w:t>
      </w:r>
    </w:p>
    <w:p w14:paraId="41A26F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УРВВ, УРВП, ЗУР.</w:t>
      </w:r>
    </w:p>
    <w:p w14:paraId="0F927A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(1942 г.)- Э.Н. Кашеринин (компоновка кабин); (1944 г.)- Казанли (ведущий инженер), (1944 г.)- Сверчевский (ведущий инженер), (1944 г.)- Н.В. Синельников (ведущий инженер Ер-2ОН).</w:t>
      </w:r>
    </w:p>
    <w:p w14:paraId="0172C2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(07.1942-12.1944 г.)- В.Г. Ермолаев (умер), (02.1945-11.1949 г.)- П.О. Сухой; И.О. директора (18.11.1949 г.-)- И.И. Торопов; (3.03.1950 г.-)- Н.А. Семенов, (1953-78 г.)- Ф.Г. Нестеров, (1978-81 г.)- Г.Н. Мордвинов, (1981-84 г.)- П.А. Андреев, (1984-86 г.)- Л.И. Козловский, (1986 г.-)- А.М. Ильин. Руководитель (1981-2004 г.-)- Г.А. Соколовский.</w:t>
      </w:r>
    </w:p>
    <w:p w14:paraId="2A9C19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Руководителя: по производству (1999 г.-)- А.М. Ильин; по ВЭД (2002 г.)- В.Н. Сычев.</w:t>
      </w:r>
    </w:p>
    <w:p w14:paraId="418BAA3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(07.1942-12.1944 г.)- В.Г. Ермолаев; И.О. гл. конструктора (01.1945 г.-)- М.В. Орлов; (02.1945-11.1949 г.)- П.О. Сухой. Гл. конструктор/ ответственный руководитель (3.03.1950-12.1961 г.)- И.И. Торопов, (12.1961-81 г.)- А.Л. Ляпин, (1981-92 г.)- Г.А. Соколовский. Ген. конструктор (1992-2004 г.-)- Г.А. Соколовский. </w:t>
      </w:r>
    </w:p>
    <w:p w14:paraId="260D7C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А. Кегелес (Р-73), (1982-11.1986 г.)- Г.И. Хохлов (УРВП; затем- гл. конструктор ОКБ «Звезда»), (2005 г.)- В.Г. Богацкий, (2005 г.)- В.К. Елецкий. </w:t>
      </w:r>
    </w:p>
    <w:p w14:paraId="6E73AF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производства (-1961 г.)- А.Л. Ляпин. </w:t>
      </w:r>
    </w:p>
    <w:p w14:paraId="6729D1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ГС Завод № 134 НКАП, МАП, МЗ "Вымпел", В-2248, Р-6462, МКБ "Вымпел", ГосМКБ "Вымпел", ФГУП, ОАО «ГосМКБ «Вымпел» им. И.И. Торопова»</w:t>
      </w:r>
    </w:p>
    <w:p w14:paraId="4A61C3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Ленинградское ш., 55</w:t>
      </w:r>
    </w:p>
    <w:p w14:paraId="239D35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123424 г. Москва, Волоколамское ш., 90 тел. 491-04-64</w:t>
      </w:r>
    </w:p>
    <w:p w14:paraId="611CD4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ОКБ-134 НКАП, МАП гл. конструктора П.О. Сухого</w:t>
      </w:r>
    </w:p>
    <w:p w14:paraId="2A0FBC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Ленинградское ш., 55</w:t>
      </w:r>
    </w:p>
    <w:p w14:paraId="38BCDB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39с от 3.02.1945 г. ОКБ вновь образованного завода № 134 НКАП возглавил П.О. Сухой. Продолжены работы по модификации Ер-2: Ер-2ОН, Ер-2 с дизелями АЧ-31, Сухой назначен гл. конструктором по Ер-2. Созданы экспериментальные и опытные истребители Су-9, Су-10, Су-11, Су-12, Су-15, Су-17.</w:t>
      </w:r>
    </w:p>
    <w:p w14:paraId="402C24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361сс от 7.06.1946 г. планировалось перевести опытную базу ОКБ в Подлипки на площади бывшего завода № 289 НКАП. Решение не было выполнено, площади в Подлипках переданы НИИ-88 МВ.</w:t>
      </w:r>
    </w:p>
    <w:p w14:paraId="787AF4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постановлением СМ СССР № 5185-1980сс от 14.11.1949 г. и приказом № 914сс от 18.11.1949 г. ОКБ Сухого закрыто и влито в ОКБ Туполева вместе со всем личным составом, часть конструкторов и рабочих переведены в ОКБ-240. </w:t>
      </w:r>
    </w:p>
    <w:p w14:paraId="1FFAE7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(02.1945-11.1949 г.)- П.О. Сухой.</w:t>
      </w:r>
    </w:p>
    <w:p w14:paraId="77909F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(02.1945 г.-)- Д.А. Ромейко-Гурко, (-1949 г.)- Е.С. Фельснер (затем- зам. гл. конструктора ОКБ-240).</w:t>
      </w:r>
    </w:p>
    <w:p w14:paraId="0255F85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ОКБ-134 МАП гл. конструктора И.И. Торопова</w:t>
      </w:r>
    </w:p>
    <w:p w14:paraId="3723DB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123424 г. Москва, Волоколамское ш., 90</w:t>
      </w:r>
    </w:p>
    <w:p w14:paraId="75A587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 5185-1980сс от 14.11.1949 г. и приказом № 914сс от 18.11.1949 г. ОКБ-43 гл. конструктора И.И. Торопова переведено на завод № 134 и получило название ОКБ-134 МАП. Началось формирование опытного завода авиационного вооружения.</w:t>
      </w:r>
    </w:p>
    <w:p w14:paraId="6A4136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ракете А-3 (1960 г.).</w:t>
      </w:r>
    </w:p>
    <w:p w14:paraId="62DB61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1967 г. на МЗ «Вымпел» переведена тематика установок вооружения и часть коллектива (в т.ч. Н.А. Рубин, Д.М. Остапкевич, Б.И. Чехранов, А.В. Улирин, В.С. Золотарев) из ОКБ-424 МАП. Продолжены работы по УБ-16-57.</w:t>
      </w:r>
    </w:p>
    <w:p w14:paraId="153F8A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А.Н. Бажан, Б.Н. Быков, В.В. Ватолин; (по ПУ НАР)- П.В. Лытнев, А.Г. Смирнов, А.Н. Стадниченко, А.В. Улитин.</w:t>
      </w:r>
    </w:p>
    <w:p w14:paraId="41BBFF6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ответственный руководитель (3.03.1950-12.1961 г.)- И.И. Торопов, (12.1961-81 г.)- А.Л. Ляпин.</w:t>
      </w:r>
    </w:p>
    <w:p w14:paraId="64432A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(03.1950 г.-)- Н.А. Рубин, (03.1950 г.-)- К.А. Бадью. Гл. инженер (03.1950 г.-)- А.Л. Ляпин.</w:t>
      </w:r>
    </w:p>
    <w:p w14:paraId="7FD2AB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В.А. Пустовойтов (К-23), Ю.К. Захаров (К-25).</w:t>
      </w:r>
    </w:p>
    <w:p w14:paraId="500EF7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изд. Е-105 (Е03-58), Е-109 (Е03-68, Е03-63), Е-119 (К-7л), Е106Т (Е03-112), Е151, Е-133Т, Е124Т (Е03-111), Е-204, Е-201, Е-205 (Е03-115), Е-203 (1958-59), Е-149; тема К-13: изд."300", "301", "302", "310", "310С", "314", "315" (1960-е ), "318" (Р-3У); </w:t>
      </w:r>
    </w:p>
    <w:p w14:paraId="6940D7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УРВВ: К-7 (опытная, 1950-е); К-5 (РС-1У, пнв в 1955 г.), К-5М (РС-2У, пнв в 1957 г.), К-51 (РС-2УС, пнв в 1958 г.), К-55 (Р-55); К-13С (Р-3С, пнв в 1960 г.), К-13Р (Р-3Р, пнв в 1968 г.), К-13М (Р-13М, 1973 г.; Р-13М1, 1976 г.); К-23 («340», «360»), К-24 («140», «160»), К-25 (опытная), Р-60 (пнв в 1967 г.), Р-60М (1970-е), Р-60МК; Р-73 (РМД-1, К-73, «72», пнв в 1982 г.), Р-73М (РМД-2), Р-73Э; Р-27 (К-27, «470», пнв в 1983 г.), Р-27Р (пнв в 1983 г.), -ЭР (пнв в 1985 г.), -Т (пнв в 1983 г.), -ЭТ (пнв в 1985 г.), -АЭ (пнв в 1990 г.), -ЭМ (пнв в 1992 г.); РВВ-АЕ (Р-77, К-77, «170», пнв в 1991 г.); К-75 (Е-129), К-80 (Р-4Р, -Т); Р-4М; Р-33 (К-33, «410», пнв в 1980 г.); Р-37 (К-37, опытная, 1990-е); УРВП: Х-29Л («63», «64», пнв в 1980 г.), -Т (пнв в 1980 г.), -ТЕ, -МЛ, -ЛП; ЗУР: 3М9 для ЗРК «Куб» (пнв в 1967 г.), 3М9М1 (пнв в 1973 г.), 3М9М3 (пнв в 1976 г.), 9М38 (пнв в 1980 г.);58 </w:t>
      </w:r>
    </w:p>
    <w:p w14:paraId="77947A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 и КУ: АПУ-13 для К-13, АПУ-23, АКУ-23Ф для К-23, АКУ-28 для Х-28, АКУ-58-1 для Х-58, АКУ-410 для Р-33, АКУ-470 для Р-27, АКУ-170 для Р-77; ПУ НАР: УБ-16-57УМ, -57УДМ, -57УВМ, -57УМВП-73, УБ-32А, -32-24, -32А-73, Б-8М, -8М1, О-25; турбогенератор ТГ-16 (10776).</w:t>
      </w:r>
    </w:p>
    <w:p w14:paraId="163282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7AC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решили разместить на заводе № 240 ОКБ С.В. Ильюшина, оставив для доводок Ер-2 часть его площадей около Центрального аэродрома, которую в июле того же года преобразовали в опытный завод № 134. После возвращения в Москву Ермолаев окончательно остановил выбор на дизелях М-ЗОБ (с 1944 г. - АЧ-ЗОБ) конструкции А.Д. Чаромского, работавших на тракторном керосине. Он имел двухступенчатую систему наддува: сначала - турбокомпрессоры, затем - приводной центробежный нагнетатель. В результате двигатель значительно потяжелел, а удельный расход топлива возрос на 5 - 8%. Дизель почти вдвое уступал бензиновому мотору по литровой мощности. В сентябре 1942 г. мотор прошел 100-часовые испытания на стенде и предварительные испытания на летающей лаборатории Ер-2. Самолет, построенный на заводе № 39 в Иркутске и испытывав- шийся с января 1943 г.,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2EF14D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2ABCC"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самолет Су-4 (ББ-3) - модификация Су-2 с предполагавшимся двигателем М-90 Е.В.Урмина в 2100 л. с., звездообразным, двухрядным, 18-цилиндровым, значительно меньшего диаметра, чем другие звездообразные двигатели - прошел государственные испытания. В отличие от Су-2 они должны были иметь не только деревянный фюзеляж, но и деревянное крыло с металлическими лонжеронами. Планировалось, что крупнокалиберные пулеметы Таубина заменят ШКАСы в крыльях и на верхней турели. Двигатель М-90 не вышел из опытной стадии, и на самолете был установлен серийный двигатель М-82. Су-4 строился серийно и принимал участие в Великой Отечественной войне. В нем консоли крыла были сделаны при тех же металлических лонжеронах с деревянными нервюрами </w:t>
      </w:r>
      <w:r w:rsidRPr="008127F8">
        <w:rPr>
          <w:rFonts w:ascii="Times New Roman" w:hAnsi="Times New Roman"/>
          <w:color w:val="000000" w:themeColor="text1"/>
          <w:sz w:val="16"/>
          <w:szCs w:val="16"/>
        </w:rPr>
        <w:lastRenderedPageBreak/>
        <w:t>и фанерной обшивкой по общей причине дефицитности дуралюмина. Вооружение было более мощным - два крупнокалиберных пулемета БС в центроплане при тех же двух пулеметах ШКАС у стрелка и 400 кг бомб на внутренней подвеске. Скорость у земли была 450 км/ч и время набора высоты 6000 м - 10,5 мин. (11470).</w:t>
      </w:r>
    </w:p>
    <w:p w14:paraId="04F5B357"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60EDB8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закончился первый этап летных испытаний ДВБ-102, которые начались ранее 17 февраля 1942, когда В.И.Жданов выполнил первый полет, и машину передали в НИИ ВВС.</w:t>
      </w:r>
    </w:p>
    <w:p w14:paraId="1AC7BF7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2122A"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завершился первый этап ЗИ ДВБ-102 2М-120 (ДВБ, «102», М-2, без б/№) 1-й опытный, дальний высотный бомбардировщик</w:t>
      </w:r>
    </w:p>
    <w:p w14:paraId="114F94F3"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полеты проводились на I скорости ПЦН, но с включенными ТК.</w:t>
      </w:r>
    </w:p>
    <w:p w14:paraId="3511F0E4"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этом этапе испытаний были выявлены отказы, поломки и мелкие неисправности турбокомпрессоров:</w:t>
      </w:r>
    </w:p>
    <w:p w14:paraId="0C5320AA"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7-м полете (наработка моторов 8 ч 05 мин.) разрушение входного направляющего аппарата крыльчатки компрессора;</w:t>
      </w:r>
    </w:p>
    <w:p w14:paraId="6C18D852"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после 10-го полета поломка шпилек картера компрессора;</w:t>
      </w:r>
    </w:p>
    <w:p w14:paraId="102FB555"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после 11-го полета (наработка мотора 13 ч) поломка шестерни привода компрессора (по др. данным – ПЦН) левого мотора;</w:t>
      </w:r>
    </w:p>
    <w:p w14:paraId="114C34F4"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после 1-го высотного полета обнаружены трещины в турбинах обоих ТК.</w:t>
      </w:r>
    </w:p>
    <w:p w14:paraId="33983B86"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14-го полета (апрель 1942 г.) установленные на самолет двигатели М-120ТК 1-го комплекта исчерпали свой ресурс и были отправлены на переборку. Самолет был поставлен на доработку:</w:t>
      </w:r>
    </w:p>
    <w:p w14:paraId="72305712"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взамен М-120ТК были получены и установлены моторы М-120 без турбокомпрессоров (только с 2-скростными ПЦН) с пониженными высотными данными;</w:t>
      </w:r>
    </w:p>
    <w:p w14:paraId="4389541C"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при установке моторов М-120 без ТК были демонтированы промежуточные воздухо-воздушные радиаторы над мотогондолами;</w:t>
      </w:r>
    </w:p>
    <w:p w14:paraId="066C98B5"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для исключения запотевания стекол гермокабин из-за их сильного охлаждения в полете и осаждения на них конденсата из воздуха одинарные стекла заменены двойными;</w:t>
      </w:r>
    </w:p>
    <w:p w14:paraId="0F2B05C3"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установлено новое оборонительное вооружение (1 пушка ШВАК-20 в НУ, 1 пулемет БК-12,7 и 1 ШКАС в ВЗУ и 1 пулемет БК-12,7 в НЗУ).</w:t>
      </w:r>
    </w:p>
    <w:p w14:paraId="0088D18D"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Летные данные с моторами без ТК снизились (23552).</w:t>
      </w:r>
    </w:p>
    <w:p w14:paraId="1BDBBB2F" w14:textId="77777777" w:rsidR="00646D7E" w:rsidRPr="008A2E5A" w:rsidRDefault="00646D7E" w:rsidP="00646D7E">
      <w:pPr>
        <w:spacing w:after="0" w:line="240" w:lineRule="auto"/>
        <w:jc w:val="both"/>
        <w:rPr>
          <w:rFonts w:ascii="Times New Roman" w:hAnsi="Times New Roman"/>
          <w:color w:val="0070C0"/>
          <w:sz w:val="16"/>
          <w:szCs w:val="16"/>
        </w:rPr>
      </w:pPr>
    </w:p>
    <w:p w14:paraId="7C097B6A" w14:textId="77777777" w:rsidR="00F5704F" w:rsidRPr="008127F8" w:rsidRDefault="00F5704F" w:rsidP="001E0A84">
      <w:pPr>
        <w:pStyle w:val="a4"/>
        <w:rPr>
          <w:color w:val="000000" w:themeColor="text1"/>
          <w:lang w:val="ru-RU"/>
        </w:rPr>
      </w:pPr>
      <w:r w:rsidRPr="008127F8">
        <w:rPr>
          <w:color w:val="000000" w:themeColor="text1"/>
          <w:lang w:val="ru-RU"/>
        </w:rPr>
        <w:t>В апреле 1942 г. После 14-го полета наработавшие порядка 25 часов двига</w:t>
      </w:r>
      <w:r w:rsidRPr="008127F8">
        <w:rPr>
          <w:color w:val="000000" w:themeColor="text1"/>
          <w:lang w:val="ru-RU"/>
        </w:rPr>
        <w:softHyphen/>
        <w:t>тели М-120ТК исчерпали свой ресурс и были отправлены на переборку. Поста</w:t>
      </w:r>
      <w:r w:rsidRPr="008127F8">
        <w:rPr>
          <w:color w:val="000000" w:themeColor="text1"/>
          <w:lang w:val="ru-RU"/>
        </w:rPr>
        <w:softHyphen/>
        <w:t>вили на доработку и самолет - конструк</w:t>
      </w:r>
      <w:r w:rsidRPr="008127F8">
        <w:rPr>
          <w:color w:val="000000" w:themeColor="text1"/>
          <w:lang w:val="ru-RU"/>
        </w:rPr>
        <w:softHyphen/>
        <w:t>тивные недостатки выявились не только в силовой установке.</w:t>
      </w:r>
    </w:p>
    <w:p w14:paraId="12D09862" w14:textId="77777777" w:rsidR="00F5704F" w:rsidRPr="008127F8" w:rsidRDefault="00F5704F" w:rsidP="001E0A84">
      <w:pPr>
        <w:pStyle w:val="34"/>
        <w:shd w:val="clear" w:color="auto" w:fill="auto"/>
        <w:spacing w:line="240" w:lineRule="auto"/>
        <w:jc w:val="both"/>
        <w:rPr>
          <w:rFonts w:ascii="Times New Roman" w:cs="Times New Roman"/>
          <w:color w:val="000000" w:themeColor="text1"/>
          <w:spacing w:val="0"/>
          <w:sz w:val="16"/>
          <w:szCs w:val="16"/>
        </w:rPr>
      </w:pPr>
      <w:r w:rsidRPr="008127F8">
        <w:rPr>
          <w:rStyle w:val="325"/>
          <w:rFonts w:ascii="Times New Roman" w:hAnsi="Times New Roman" w:cs="Times New Roman"/>
          <w:i w:val="0"/>
          <w:color w:val="000000" w:themeColor="text1"/>
          <w:spacing w:val="0"/>
          <w:sz w:val="16"/>
          <w:szCs w:val="16"/>
        </w:rPr>
        <w:t>В целом ДВБ-102 2М-120ТК получил хорошую оценку. В отчете по совместным Государственным испытаниям было ска</w:t>
      </w:r>
      <w:r w:rsidRPr="008127F8">
        <w:rPr>
          <w:rStyle w:val="325"/>
          <w:rFonts w:ascii="Times New Roman" w:hAnsi="Times New Roman" w:cs="Times New Roman"/>
          <w:i w:val="0"/>
          <w:color w:val="000000" w:themeColor="text1"/>
          <w:spacing w:val="0"/>
          <w:sz w:val="16"/>
          <w:szCs w:val="16"/>
        </w:rPr>
        <w:softHyphen/>
        <w:t>зано:</w:t>
      </w:r>
      <w:r w:rsidRPr="008127F8">
        <w:rPr>
          <w:rFonts w:ascii="Times New Roman" w:cs="Times New Roman"/>
          <w:i/>
          <w:color w:val="000000" w:themeColor="text1"/>
          <w:spacing w:val="0"/>
          <w:sz w:val="16"/>
          <w:szCs w:val="16"/>
        </w:rPr>
        <w:t xml:space="preserve"> </w:t>
      </w:r>
      <w:r w:rsidRPr="008127F8">
        <w:rPr>
          <w:rFonts w:ascii="Times New Roman" w:cs="Times New Roman"/>
          <w:color w:val="000000" w:themeColor="text1"/>
          <w:spacing w:val="0"/>
          <w:sz w:val="16"/>
          <w:szCs w:val="16"/>
        </w:rPr>
        <w:t>«...самолет на взлете прост, на про</w:t>
      </w:r>
      <w:r w:rsidRPr="008127F8">
        <w:rPr>
          <w:rFonts w:ascii="Times New Roman" w:cs="Times New Roman"/>
          <w:color w:val="000000" w:themeColor="text1"/>
          <w:spacing w:val="0"/>
          <w:sz w:val="16"/>
          <w:szCs w:val="16"/>
        </w:rPr>
        <w:softHyphen/>
        <w:t>беге устойчив. Боковые ветры под углом 60</w:t>
      </w:r>
      <w:r w:rsidRPr="008127F8">
        <w:rPr>
          <w:rFonts w:ascii="Times New Roman" w:cs="Times New Roman"/>
          <w:color w:val="000000" w:themeColor="text1"/>
          <w:spacing w:val="0"/>
          <w:sz w:val="16"/>
          <w:szCs w:val="16"/>
          <w:vertAlign w:val="superscript"/>
        </w:rPr>
        <w:t>0</w:t>
      </w:r>
      <w:r w:rsidRPr="008127F8">
        <w:rPr>
          <w:rFonts w:ascii="Times New Roman" w:cs="Times New Roman"/>
          <w:color w:val="000000" w:themeColor="text1"/>
          <w:spacing w:val="0"/>
          <w:sz w:val="16"/>
          <w:szCs w:val="16"/>
        </w:rPr>
        <w:t xml:space="preserve"> на взлете (при скорости ветра 5 м/с) почти не ощущаются. В горизонтальном полете самолет достаточно устойчив, возникающие нагрузки на рулях полностью снимаются триммерами. На виражах и разворотах самолет устойчив и хорошо слушается рулей. При углах крена 50-70° возникают значительные нагрузки на рулях, особенно элеронах и руле высоты. Самолет хорошо виражит с углами крена до 70°. Техника выполнения посадки зна</w:t>
      </w:r>
      <w:r w:rsidRPr="008127F8">
        <w:rPr>
          <w:rFonts w:ascii="Times New Roman" w:cs="Times New Roman"/>
          <w:color w:val="000000" w:themeColor="text1"/>
          <w:spacing w:val="0"/>
          <w:sz w:val="16"/>
          <w:szCs w:val="16"/>
        </w:rPr>
        <w:softHyphen/>
        <w:t>чительно проще, чем у Пе-2, Ер-2 и 103-В (Ту-2 - Прим. авт.). Полет на одном мо</w:t>
      </w:r>
      <w:r w:rsidRPr="008127F8">
        <w:rPr>
          <w:rFonts w:ascii="Times New Roman" w:cs="Times New Roman"/>
          <w:color w:val="000000" w:themeColor="text1"/>
          <w:spacing w:val="0"/>
          <w:sz w:val="16"/>
          <w:szCs w:val="16"/>
        </w:rPr>
        <w:softHyphen/>
        <w:t>торе при полетном весе 13000 кг возмо</w:t>
      </w:r>
      <w:r w:rsidRPr="008127F8">
        <w:rPr>
          <w:rFonts w:ascii="Times New Roman" w:cs="Times New Roman"/>
          <w:color w:val="000000" w:themeColor="text1"/>
          <w:spacing w:val="0"/>
          <w:sz w:val="16"/>
          <w:szCs w:val="16"/>
        </w:rPr>
        <w:softHyphen/>
        <w:t>жен на скоростях до 260 км/ч. С большим весом не проверен из-за плохой работы винтомоторной группы. ...максимальная скорость самолета 542 км/ч - выше мак</w:t>
      </w:r>
      <w:r w:rsidRPr="008127F8">
        <w:rPr>
          <w:rFonts w:ascii="Times New Roman" w:cs="Times New Roman"/>
          <w:color w:val="000000" w:themeColor="text1"/>
          <w:spacing w:val="0"/>
          <w:sz w:val="16"/>
          <w:szCs w:val="16"/>
        </w:rPr>
        <w:softHyphen/>
        <w:t>симальной скорости существующих даль</w:t>
      </w:r>
      <w:r w:rsidRPr="008127F8">
        <w:rPr>
          <w:rFonts w:ascii="Times New Roman" w:cs="Times New Roman"/>
          <w:color w:val="000000" w:themeColor="text1"/>
          <w:spacing w:val="0"/>
          <w:sz w:val="16"/>
          <w:szCs w:val="16"/>
        </w:rPr>
        <w:softHyphen/>
        <w:t>них бомбардировщиков... Оборудование герметических кабин значительно улуч</w:t>
      </w:r>
      <w:r w:rsidRPr="008127F8">
        <w:rPr>
          <w:rFonts w:ascii="Times New Roman" w:cs="Times New Roman"/>
          <w:color w:val="000000" w:themeColor="text1"/>
          <w:spacing w:val="0"/>
          <w:sz w:val="16"/>
          <w:szCs w:val="16"/>
        </w:rPr>
        <w:softHyphen/>
        <w:t>шает условия работы экипажа на большой высоте, что особенно важно в длительном полете...».</w:t>
      </w:r>
    </w:p>
    <w:p w14:paraId="67729947" w14:textId="77777777" w:rsidR="00F5704F" w:rsidRPr="008127F8" w:rsidRDefault="00F5704F" w:rsidP="001E0A84">
      <w:pPr>
        <w:pStyle w:val="a4"/>
        <w:rPr>
          <w:color w:val="000000" w:themeColor="text1"/>
          <w:lang w:val="ru-RU"/>
        </w:rPr>
      </w:pPr>
      <w:r w:rsidRPr="008127F8">
        <w:rPr>
          <w:color w:val="000000" w:themeColor="text1"/>
          <w:lang w:val="ru-RU"/>
        </w:rPr>
        <w:t>На таком самолете в 1942 г. вполне можно было бы летать на Берлин днем. При одном условии: если бы он состоял на вооружении...</w:t>
      </w:r>
    </w:p>
    <w:p w14:paraId="326F230B" w14:textId="77777777" w:rsidR="00F5704F" w:rsidRPr="008127F8" w:rsidRDefault="00F5704F" w:rsidP="001E0A84">
      <w:pPr>
        <w:pStyle w:val="a4"/>
        <w:rPr>
          <w:color w:val="000000" w:themeColor="text1"/>
          <w:lang w:val="ru-RU"/>
        </w:rPr>
      </w:pPr>
      <w:r w:rsidRPr="008127F8">
        <w:rPr>
          <w:color w:val="000000" w:themeColor="text1"/>
          <w:lang w:val="ru-RU"/>
        </w:rPr>
        <w:t>Взамен М-120ТК завод №26 прислал моторы М-120 без турбокомпрессоров (</w:t>
      </w:r>
      <w:r w:rsidRPr="008127F8">
        <w:rPr>
          <w:rStyle w:val="920"/>
          <w:rFonts w:ascii="Times New Roman" w:hAnsi="Times New Roman" w:cs="Times New Roman"/>
          <w:b w:val="0"/>
          <w:color w:val="000000" w:themeColor="text1"/>
          <w:spacing w:val="0"/>
          <w:sz w:val="16"/>
          <w:szCs w:val="16"/>
          <w:lang w:val="ru-RU"/>
        </w:rPr>
        <w:t>только</w:t>
      </w:r>
      <w:r w:rsidRPr="008127F8">
        <w:rPr>
          <w:color w:val="000000" w:themeColor="text1"/>
          <w:lang w:val="ru-RU"/>
        </w:rPr>
        <w:t xml:space="preserve"> с 2-скростными ПЦН) с пониж</w:t>
      </w:r>
      <w:r w:rsidRPr="008127F8">
        <w:rPr>
          <w:rStyle w:val="920"/>
          <w:rFonts w:ascii="Times New Roman" w:hAnsi="Times New Roman" w:cs="Times New Roman"/>
          <w:b w:val="0"/>
          <w:color w:val="000000" w:themeColor="text1"/>
          <w:spacing w:val="0"/>
          <w:sz w:val="16"/>
          <w:szCs w:val="16"/>
          <w:lang w:val="ru-RU"/>
        </w:rPr>
        <w:t>енными</w:t>
      </w:r>
      <w:r w:rsidRPr="008127F8">
        <w:rPr>
          <w:color w:val="000000" w:themeColor="text1"/>
          <w:lang w:val="ru-RU"/>
        </w:rPr>
        <w:t xml:space="preserve"> высотными данными. Мясищев был единственным кон</w:t>
      </w:r>
      <w:r w:rsidRPr="008127F8">
        <w:rPr>
          <w:rStyle w:val="3fb"/>
          <w:rFonts w:ascii="Times New Roman" w:hAnsi="Times New Roman" w:cs="Times New Roman"/>
          <w:b w:val="0"/>
          <w:color w:val="000000" w:themeColor="text1"/>
          <w:sz w:val="16"/>
          <w:szCs w:val="16"/>
          <w:lang w:val="ru-RU"/>
        </w:rPr>
        <w:t>структором,</w:t>
      </w:r>
      <w:r w:rsidRPr="008127F8">
        <w:rPr>
          <w:color w:val="000000" w:themeColor="text1"/>
          <w:lang w:val="ru-RU"/>
        </w:rPr>
        <w:t xml:space="preserve"> которому все же дали </w:t>
      </w:r>
      <w:r w:rsidRPr="008127F8">
        <w:rPr>
          <w:rStyle w:val="920"/>
          <w:rFonts w:ascii="Times New Roman" w:hAnsi="Times New Roman" w:cs="Times New Roman"/>
          <w:b w:val="0"/>
          <w:color w:val="000000" w:themeColor="text1"/>
          <w:spacing w:val="0"/>
          <w:sz w:val="16"/>
          <w:szCs w:val="16"/>
          <w:lang w:val="ru-RU"/>
        </w:rPr>
        <w:t>летные</w:t>
      </w:r>
      <w:r w:rsidRPr="008127F8">
        <w:rPr>
          <w:color w:val="000000" w:themeColor="text1"/>
          <w:lang w:val="ru-RU"/>
        </w:rPr>
        <w:t xml:space="preserve"> двигатели этого типа, все остальные - </w:t>
      </w:r>
      <w:r w:rsidRPr="008127F8">
        <w:rPr>
          <w:rStyle w:val="3fb"/>
          <w:rFonts w:ascii="Times New Roman" w:hAnsi="Times New Roman" w:cs="Times New Roman"/>
          <w:b w:val="0"/>
          <w:color w:val="000000" w:themeColor="text1"/>
          <w:sz w:val="16"/>
          <w:szCs w:val="16"/>
          <w:lang w:val="ru-RU"/>
        </w:rPr>
        <w:t>шккак</w:t>
      </w:r>
      <w:r w:rsidRPr="008127F8">
        <w:rPr>
          <w:color w:val="000000" w:themeColor="text1"/>
          <w:lang w:val="ru-RU"/>
        </w:rPr>
        <w:t xml:space="preserve"> минимум 13 проектов новых са</w:t>
      </w:r>
      <w:r w:rsidRPr="008127F8">
        <w:rPr>
          <w:color w:val="000000" w:themeColor="text1"/>
          <w:lang w:val="ru-RU"/>
        </w:rPr>
        <w:softHyphen/>
      </w:r>
      <w:r w:rsidRPr="008127F8">
        <w:rPr>
          <w:rStyle w:val="920"/>
          <w:rFonts w:ascii="Times New Roman" w:hAnsi="Times New Roman" w:cs="Times New Roman"/>
          <w:b w:val="0"/>
          <w:color w:val="000000" w:themeColor="text1"/>
          <w:spacing w:val="0"/>
          <w:sz w:val="16"/>
          <w:szCs w:val="16"/>
          <w:lang w:val="ru-RU"/>
        </w:rPr>
        <w:t>молетов</w:t>
      </w:r>
      <w:r w:rsidRPr="008127F8">
        <w:rPr>
          <w:color w:val="000000" w:themeColor="text1"/>
          <w:lang w:val="ru-RU"/>
        </w:rPr>
        <w:t xml:space="preserve"> разного назначения и разных </w:t>
      </w:r>
      <w:r w:rsidRPr="008127F8">
        <w:rPr>
          <w:rStyle w:val="3fb"/>
          <w:rFonts w:ascii="Times New Roman" w:hAnsi="Times New Roman" w:cs="Times New Roman"/>
          <w:b w:val="0"/>
          <w:color w:val="000000" w:themeColor="text1"/>
          <w:sz w:val="16"/>
          <w:szCs w:val="16"/>
          <w:lang w:val="ru-RU"/>
        </w:rPr>
        <w:t>инструкторов</w:t>
      </w:r>
      <w:r w:rsidRPr="008127F8">
        <w:rPr>
          <w:color w:val="000000" w:themeColor="text1"/>
          <w:lang w:val="ru-RU"/>
        </w:rPr>
        <w:t xml:space="preserve"> их так и не дождались.</w:t>
      </w:r>
    </w:p>
    <w:p w14:paraId="6CA02633" w14:textId="77777777" w:rsidR="00F5704F" w:rsidRPr="008127F8" w:rsidRDefault="00F5704F" w:rsidP="001E0A84">
      <w:pPr>
        <w:pStyle w:val="a4"/>
        <w:rPr>
          <w:color w:val="000000" w:themeColor="text1"/>
          <w:lang w:val="ru-RU"/>
        </w:rPr>
      </w:pPr>
      <w:r w:rsidRPr="008127F8">
        <w:rPr>
          <w:rStyle w:val="920"/>
          <w:rFonts w:ascii="Times New Roman" w:hAnsi="Times New Roman" w:cs="Times New Roman"/>
          <w:b w:val="0"/>
          <w:color w:val="000000" w:themeColor="text1"/>
          <w:spacing w:val="0"/>
          <w:sz w:val="16"/>
          <w:szCs w:val="16"/>
          <w:lang w:val="ru-RU"/>
        </w:rPr>
        <w:t>При</w:t>
      </w:r>
      <w:r w:rsidRPr="008127F8">
        <w:rPr>
          <w:color w:val="000000" w:themeColor="text1"/>
          <w:lang w:val="ru-RU"/>
        </w:rPr>
        <w:t xml:space="preserve"> установке моторов М-120 без ТК на</w:t>
      </w:r>
      <w:r w:rsidRPr="008127F8">
        <w:rPr>
          <w:rStyle w:val="3fb"/>
          <w:rFonts w:ascii="Times New Roman" w:hAnsi="Times New Roman" w:cs="Times New Roman"/>
          <w:b w:val="0"/>
          <w:color w:val="000000" w:themeColor="text1"/>
          <w:sz w:val="16"/>
          <w:szCs w:val="16"/>
          <w:lang w:val="ru-RU"/>
        </w:rPr>
        <w:t xml:space="preserve"> самолете</w:t>
      </w:r>
      <w:r w:rsidRPr="008127F8">
        <w:rPr>
          <w:color w:val="000000" w:themeColor="text1"/>
          <w:lang w:val="ru-RU"/>
        </w:rPr>
        <w:t xml:space="preserve"> ДВБ-102 были демонтированы промежуточные воздухо-воздушны</w:t>
      </w:r>
      <w:r w:rsidRPr="008127F8">
        <w:rPr>
          <w:rStyle w:val="920"/>
          <w:rFonts w:ascii="Times New Roman" w:hAnsi="Times New Roman" w:cs="Times New Roman"/>
          <w:b w:val="0"/>
          <w:color w:val="000000" w:themeColor="text1"/>
          <w:spacing w:val="0"/>
          <w:sz w:val="16"/>
          <w:szCs w:val="16"/>
          <w:lang w:val="ru-RU"/>
        </w:rPr>
        <w:t>е</w:t>
      </w:r>
      <w:r w:rsidRPr="008127F8">
        <w:rPr>
          <w:rStyle w:val="3fb"/>
          <w:rFonts w:ascii="Times New Roman" w:hAnsi="Times New Roman" w:cs="Times New Roman"/>
          <w:b w:val="0"/>
          <w:color w:val="000000" w:themeColor="text1"/>
          <w:sz w:val="16"/>
          <w:szCs w:val="16"/>
          <w:lang w:val="ru-RU"/>
        </w:rPr>
        <w:t xml:space="preserve"> радиаторы</w:t>
      </w:r>
      <w:r w:rsidRPr="008127F8">
        <w:rPr>
          <w:color w:val="000000" w:themeColor="text1"/>
          <w:lang w:val="ru-RU"/>
        </w:rPr>
        <w:t xml:space="preserve"> над мотогондолами. Для </w:t>
      </w:r>
      <w:r w:rsidRPr="008127F8">
        <w:rPr>
          <w:rStyle w:val="920"/>
          <w:rFonts w:ascii="Times New Roman" w:hAnsi="Times New Roman" w:cs="Times New Roman"/>
          <w:b w:val="0"/>
          <w:color w:val="000000" w:themeColor="text1"/>
          <w:spacing w:val="0"/>
          <w:sz w:val="16"/>
          <w:szCs w:val="16"/>
          <w:lang w:val="ru-RU"/>
        </w:rPr>
        <w:t>исключения</w:t>
      </w:r>
      <w:r w:rsidRPr="008127F8">
        <w:rPr>
          <w:color w:val="000000" w:themeColor="text1"/>
          <w:lang w:val="ru-RU"/>
        </w:rPr>
        <w:t xml:space="preserve"> запотевания фонарей гер</w:t>
      </w:r>
      <w:r w:rsidRPr="008127F8">
        <w:rPr>
          <w:color w:val="000000" w:themeColor="text1"/>
          <w:lang w:val="ru-RU"/>
        </w:rPr>
        <w:softHyphen/>
      </w:r>
      <w:r w:rsidRPr="008127F8">
        <w:rPr>
          <w:rStyle w:val="920"/>
          <w:rFonts w:ascii="Times New Roman" w:hAnsi="Times New Roman" w:cs="Times New Roman"/>
          <w:b w:val="0"/>
          <w:color w:val="000000" w:themeColor="text1"/>
          <w:spacing w:val="0"/>
          <w:sz w:val="16"/>
          <w:szCs w:val="16"/>
          <w:lang w:val="ru-RU"/>
        </w:rPr>
        <w:t>мокабин из</w:t>
      </w:r>
      <w:r w:rsidRPr="008127F8">
        <w:rPr>
          <w:color w:val="000000" w:themeColor="text1"/>
          <w:lang w:val="ru-RU"/>
        </w:rPr>
        <w:t xml:space="preserve">-за их сильного охлаждения </w:t>
      </w:r>
      <w:r w:rsidRPr="008127F8">
        <w:rPr>
          <w:rStyle w:val="3fb"/>
          <w:rFonts w:ascii="Times New Roman" w:hAnsi="Times New Roman" w:cs="Times New Roman"/>
          <w:b w:val="0"/>
          <w:color w:val="000000" w:themeColor="text1"/>
          <w:sz w:val="16"/>
          <w:szCs w:val="16"/>
          <w:lang w:val="ru-RU"/>
        </w:rPr>
        <w:t>вколете и</w:t>
      </w:r>
      <w:r w:rsidRPr="008127F8">
        <w:rPr>
          <w:color w:val="000000" w:themeColor="text1"/>
          <w:lang w:val="ru-RU"/>
        </w:rPr>
        <w:t xml:space="preserve"> осаждения на них конденсата, </w:t>
      </w:r>
      <w:r w:rsidRPr="008127F8">
        <w:rPr>
          <w:rStyle w:val="920"/>
          <w:rFonts w:ascii="Times New Roman" w:hAnsi="Times New Roman" w:cs="Times New Roman"/>
          <w:b w:val="0"/>
          <w:color w:val="000000" w:themeColor="text1"/>
          <w:spacing w:val="0"/>
          <w:sz w:val="16"/>
          <w:szCs w:val="16"/>
          <w:lang w:val="ru-RU"/>
        </w:rPr>
        <w:t>оцинарные</w:t>
      </w:r>
      <w:r w:rsidRPr="008127F8">
        <w:rPr>
          <w:color w:val="000000" w:themeColor="text1"/>
          <w:lang w:val="ru-RU"/>
        </w:rPr>
        <w:t xml:space="preserve"> стекла заменили двойными, </w:t>
      </w:r>
      <w:r w:rsidRPr="008127F8">
        <w:rPr>
          <w:rStyle w:val="920"/>
          <w:rFonts w:ascii="Times New Roman" w:hAnsi="Times New Roman" w:cs="Times New Roman"/>
          <w:b w:val="0"/>
          <w:color w:val="000000" w:themeColor="text1"/>
          <w:spacing w:val="0"/>
          <w:sz w:val="16"/>
          <w:szCs w:val="16"/>
          <w:lang w:val="ru-RU"/>
        </w:rPr>
        <w:t>ио претензии</w:t>
      </w:r>
      <w:r w:rsidRPr="008127F8">
        <w:rPr>
          <w:color w:val="000000" w:themeColor="text1"/>
          <w:lang w:val="ru-RU"/>
        </w:rPr>
        <w:t xml:space="preserve"> к передней кабине оста</w:t>
      </w:r>
      <w:r w:rsidRPr="008127F8">
        <w:rPr>
          <w:color w:val="000000" w:themeColor="text1"/>
          <w:lang w:val="ru-RU"/>
        </w:rPr>
        <w:softHyphen/>
      </w:r>
      <w:r w:rsidRPr="008127F8">
        <w:rPr>
          <w:rStyle w:val="920"/>
          <w:rFonts w:ascii="Times New Roman" w:hAnsi="Times New Roman" w:cs="Times New Roman"/>
          <w:b w:val="0"/>
          <w:color w:val="000000" w:themeColor="text1"/>
          <w:spacing w:val="0"/>
          <w:sz w:val="16"/>
          <w:szCs w:val="16"/>
          <w:lang w:val="ru-RU"/>
        </w:rPr>
        <w:t>лись.</w:t>
      </w:r>
      <w:r w:rsidRPr="008127F8">
        <w:rPr>
          <w:rStyle w:val="3fb"/>
          <w:rFonts w:ascii="Times New Roman" w:hAnsi="Times New Roman" w:cs="Times New Roman"/>
          <w:b w:val="0"/>
          <w:color w:val="000000" w:themeColor="text1"/>
          <w:sz w:val="16"/>
          <w:szCs w:val="16"/>
          <w:lang w:val="ru-RU"/>
        </w:rPr>
        <w:t xml:space="preserve"> Положительно</w:t>
      </w:r>
      <w:r w:rsidRPr="008127F8">
        <w:rPr>
          <w:color w:val="000000" w:themeColor="text1"/>
          <w:lang w:val="ru-RU"/>
        </w:rPr>
        <w:t xml:space="preserve"> было оценено </w:t>
      </w:r>
      <w:r w:rsidRPr="008127F8">
        <w:rPr>
          <w:rStyle w:val="3fb"/>
          <w:rFonts w:ascii="Times New Roman" w:hAnsi="Times New Roman" w:cs="Times New Roman"/>
          <w:b w:val="0"/>
          <w:color w:val="000000" w:themeColor="text1"/>
          <w:sz w:val="16"/>
          <w:szCs w:val="16"/>
          <w:lang w:val="ru-RU"/>
        </w:rPr>
        <w:t>усиленное</w:t>
      </w:r>
      <w:r w:rsidRPr="008127F8">
        <w:rPr>
          <w:color w:val="000000" w:themeColor="text1"/>
          <w:lang w:val="ru-RU"/>
        </w:rPr>
        <w:t xml:space="preserve"> вооружение - пушка Ш</w:t>
      </w:r>
      <w:r w:rsidRPr="008127F8">
        <w:rPr>
          <w:rStyle w:val="3fb"/>
          <w:rFonts w:ascii="Times New Roman" w:hAnsi="Times New Roman" w:cs="Times New Roman"/>
          <w:b w:val="0"/>
          <w:color w:val="000000" w:themeColor="text1"/>
          <w:sz w:val="16"/>
          <w:szCs w:val="16"/>
          <w:lang w:val="ru-RU"/>
        </w:rPr>
        <w:t>ВАК-20 в носовой</w:t>
      </w:r>
      <w:r w:rsidRPr="008127F8">
        <w:rPr>
          <w:color w:val="000000" w:themeColor="text1"/>
          <w:lang w:val="ru-RU"/>
        </w:rPr>
        <w:t xml:space="preserve"> установке, пулемет</w:t>
      </w:r>
      <w:r w:rsidRPr="008127F8">
        <w:rPr>
          <w:rStyle w:val="3fb"/>
          <w:rFonts w:ascii="Times New Roman" w:hAnsi="Times New Roman" w:cs="Times New Roman"/>
          <w:b w:val="0"/>
          <w:color w:val="000000" w:themeColor="text1"/>
          <w:sz w:val="16"/>
          <w:szCs w:val="16"/>
          <w:lang w:val="ru-RU"/>
        </w:rPr>
        <w:t>, спаренный</w:t>
      </w:r>
      <w:r w:rsidRPr="008127F8">
        <w:rPr>
          <w:color w:val="000000" w:themeColor="text1"/>
          <w:lang w:val="ru-RU"/>
        </w:rPr>
        <w:t xml:space="preserve"> со ШКАСом, в верхней </w:t>
      </w:r>
      <w:r w:rsidRPr="008127F8">
        <w:rPr>
          <w:rStyle w:val="3fb"/>
          <w:rFonts w:ascii="Times New Roman" w:hAnsi="Times New Roman" w:cs="Times New Roman"/>
          <w:b w:val="0"/>
          <w:color w:val="000000" w:themeColor="text1"/>
          <w:sz w:val="16"/>
          <w:szCs w:val="16"/>
          <w:lang w:val="ru-RU"/>
        </w:rPr>
        <w:t>м БК-12,7 в нижней.</w:t>
      </w:r>
      <w:r w:rsidRPr="008127F8">
        <w:rPr>
          <w:color w:val="000000" w:themeColor="text1"/>
          <w:lang w:val="ru-RU"/>
        </w:rPr>
        <w:t xml:space="preserve"> Однако по-прежнему </w:t>
      </w:r>
      <w:r w:rsidRPr="008127F8">
        <w:rPr>
          <w:rStyle w:val="920"/>
          <w:rFonts w:ascii="Times New Roman" w:hAnsi="Times New Roman" w:cs="Times New Roman"/>
          <w:b w:val="0"/>
          <w:color w:val="000000" w:themeColor="text1"/>
          <w:spacing w:val="0"/>
          <w:sz w:val="16"/>
          <w:szCs w:val="16"/>
          <w:lang w:val="ru-RU"/>
        </w:rPr>
        <w:t>было</w:t>
      </w:r>
      <w:r w:rsidRPr="008127F8">
        <w:rPr>
          <w:rStyle w:val="3fb"/>
          <w:rFonts w:ascii="Times New Roman" w:hAnsi="Times New Roman" w:cs="Times New Roman"/>
          <w:b w:val="0"/>
          <w:color w:val="000000" w:themeColor="text1"/>
          <w:sz w:val="16"/>
          <w:szCs w:val="16"/>
          <w:lang w:val="ru-RU"/>
        </w:rPr>
        <w:t xml:space="preserve"> непонятно,</w:t>
      </w:r>
      <w:r w:rsidRPr="008127F8">
        <w:rPr>
          <w:color w:val="000000" w:themeColor="text1"/>
          <w:lang w:val="ru-RU"/>
        </w:rPr>
        <w:t xml:space="preserve"> как улучшить точность </w:t>
      </w:r>
      <w:r w:rsidRPr="008127F8">
        <w:rPr>
          <w:rStyle w:val="3fb"/>
          <w:rFonts w:ascii="Times New Roman" w:hAnsi="Times New Roman" w:cs="Times New Roman"/>
          <w:b w:val="0"/>
          <w:color w:val="000000" w:themeColor="text1"/>
          <w:sz w:val="16"/>
          <w:szCs w:val="16"/>
          <w:lang w:val="ru-RU"/>
        </w:rPr>
        <w:t>дистанционной</w:t>
      </w:r>
      <w:r w:rsidRPr="008127F8">
        <w:rPr>
          <w:color w:val="000000" w:themeColor="text1"/>
          <w:lang w:val="ru-RU"/>
        </w:rPr>
        <w:t xml:space="preserve"> наводки установок на </w:t>
      </w:r>
      <w:r w:rsidRPr="008127F8">
        <w:rPr>
          <w:rStyle w:val="920"/>
          <w:rFonts w:ascii="Times New Roman" w:hAnsi="Times New Roman" w:cs="Times New Roman"/>
          <w:b w:val="0"/>
          <w:color w:val="000000" w:themeColor="text1"/>
          <w:spacing w:val="0"/>
          <w:sz w:val="16"/>
          <w:szCs w:val="16"/>
          <w:lang w:val="ru-RU"/>
        </w:rPr>
        <w:t>цеп»,</w:t>
      </w:r>
      <w:r w:rsidRPr="008127F8">
        <w:rPr>
          <w:rStyle w:val="3fb"/>
          <w:rFonts w:ascii="Times New Roman" w:hAnsi="Times New Roman" w:cs="Times New Roman"/>
          <w:b w:val="0"/>
          <w:color w:val="000000" w:themeColor="text1"/>
          <w:sz w:val="16"/>
          <w:szCs w:val="16"/>
          <w:lang w:val="ru-RU"/>
        </w:rPr>
        <w:t xml:space="preserve"> которая</w:t>
      </w:r>
      <w:r w:rsidRPr="008127F8">
        <w:rPr>
          <w:color w:val="000000" w:themeColor="text1"/>
          <w:lang w:val="ru-RU"/>
        </w:rPr>
        <w:t xml:space="preserve"> оставалась недостаточной (17739).</w:t>
      </w:r>
    </w:p>
    <w:p w14:paraId="56E65E20" w14:textId="77777777" w:rsidR="00F5704F" w:rsidRPr="008127F8" w:rsidRDefault="00F5704F" w:rsidP="001E0A84">
      <w:pPr>
        <w:pStyle w:val="12a"/>
        <w:shd w:val="clear" w:color="auto" w:fill="auto"/>
        <w:spacing w:after="0" w:line="240" w:lineRule="auto"/>
        <w:jc w:val="both"/>
        <w:rPr>
          <w:color w:val="000000" w:themeColor="text1"/>
          <w:sz w:val="16"/>
          <w:szCs w:val="16"/>
        </w:rPr>
      </w:pPr>
    </w:p>
    <w:p w14:paraId="5EB5C5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завершился первый этап летных испытаний ДВБ-102 и машину передали в НИИ ВВС. Уже тогда выявилась ненадежная работа турбокомпрессо</w:t>
      </w:r>
      <w:r w:rsidRPr="008127F8">
        <w:rPr>
          <w:rFonts w:ascii="Times New Roman" w:hAnsi="Times New Roman"/>
          <w:color w:val="000000" w:themeColor="text1"/>
          <w:sz w:val="16"/>
          <w:szCs w:val="16"/>
        </w:rPr>
        <w:softHyphen/>
        <w:t>ров, лопатки турбин не выдерживали температуру выхлоп</w:t>
      </w:r>
      <w:r w:rsidRPr="008127F8">
        <w:rPr>
          <w:rFonts w:ascii="Times New Roman" w:hAnsi="Times New Roman"/>
          <w:color w:val="000000" w:themeColor="text1"/>
          <w:sz w:val="16"/>
          <w:szCs w:val="16"/>
        </w:rPr>
        <w:softHyphen/>
        <w:t>ных газов двигателей. Да и работа самих двигателей, имев</w:t>
      </w:r>
      <w:r w:rsidRPr="008127F8">
        <w:rPr>
          <w:rFonts w:ascii="Times New Roman" w:hAnsi="Times New Roman"/>
          <w:color w:val="000000" w:themeColor="text1"/>
          <w:sz w:val="16"/>
          <w:szCs w:val="16"/>
        </w:rPr>
        <w:softHyphen/>
        <w:t>ших мизерный ресурс, оставляла желать лучшего. В отчете по результатам государственных испытаний от</w:t>
      </w:r>
      <w:r w:rsidRPr="008127F8">
        <w:rPr>
          <w:rFonts w:ascii="Times New Roman" w:hAnsi="Times New Roman"/>
          <w:color w:val="000000" w:themeColor="text1"/>
          <w:sz w:val="16"/>
          <w:szCs w:val="16"/>
        </w:rPr>
        <w:softHyphen/>
        <w:t>мечалось, в частности: «...самолет на взлете прост, на про</w:t>
      </w:r>
      <w:r w:rsidRPr="008127F8">
        <w:rPr>
          <w:rFonts w:ascii="Times New Roman" w:hAnsi="Times New Roman"/>
          <w:color w:val="000000" w:themeColor="text1"/>
          <w:sz w:val="16"/>
          <w:szCs w:val="16"/>
        </w:rPr>
        <w:softHyphen/>
        <w:t>беге устойчив. Боковые ветры под углом 60 градусов на взле</w:t>
      </w:r>
      <w:r w:rsidRPr="008127F8">
        <w:rPr>
          <w:rFonts w:ascii="Times New Roman" w:hAnsi="Times New Roman"/>
          <w:color w:val="000000" w:themeColor="text1"/>
          <w:sz w:val="16"/>
          <w:szCs w:val="16"/>
        </w:rPr>
        <w:softHyphen/>
        <w:t>те (при скорости ветра 5 м/с) почти не ощущаются.</w:t>
      </w:r>
    </w:p>
    <w:p w14:paraId="7E59F0C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горизонтальном полете самолет достаточно устой</w:t>
      </w:r>
      <w:r w:rsidRPr="008127F8">
        <w:rPr>
          <w:rFonts w:ascii="Times New Roman" w:hAnsi="Times New Roman"/>
          <w:color w:val="000000" w:themeColor="text1"/>
          <w:sz w:val="16"/>
          <w:szCs w:val="16"/>
        </w:rPr>
        <w:softHyphen/>
        <w:t>чив, возникающие нагрузки на рулях полностью снимают</w:t>
      </w:r>
      <w:r w:rsidRPr="008127F8">
        <w:rPr>
          <w:rFonts w:ascii="Times New Roman" w:hAnsi="Times New Roman"/>
          <w:color w:val="000000" w:themeColor="text1"/>
          <w:sz w:val="16"/>
          <w:szCs w:val="16"/>
        </w:rPr>
        <w:softHyphen/>
        <w:t>ся триммерами.</w:t>
      </w:r>
    </w:p>
    <w:p w14:paraId="5B76697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виражах и разворотах самолет устойчив и хорошо слушается рулей... Самолет хорошо виражит с углами кре</w:t>
      </w:r>
      <w:r w:rsidRPr="008127F8">
        <w:rPr>
          <w:rFonts w:ascii="Times New Roman" w:hAnsi="Times New Roman"/>
          <w:color w:val="000000" w:themeColor="text1"/>
          <w:sz w:val="16"/>
          <w:szCs w:val="16"/>
        </w:rPr>
        <w:softHyphen/>
        <w:t>на до 70 градусов. Техника выполнения посадки значитель</w:t>
      </w:r>
      <w:r w:rsidRPr="008127F8">
        <w:rPr>
          <w:rFonts w:ascii="Times New Roman" w:hAnsi="Times New Roman"/>
          <w:color w:val="000000" w:themeColor="text1"/>
          <w:sz w:val="16"/>
          <w:szCs w:val="16"/>
        </w:rPr>
        <w:softHyphen/>
        <w:t>но проще, чемуПе-</w:t>
      </w:r>
      <w:proofErr w:type="gramStart"/>
      <w:r w:rsidRPr="008127F8">
        <w:rPr>
          <w:rFonts w:ascii="Times New Roman" w:hAnsi="Times New Roman"/>
          <w:color w:val="000000" w:themeColor="text1"/>
          <w:sz w:val="16"/>
          <w:szCs w:val="16"/>
        </w:rPr>
        <w:t>2,Ер</w:t>
      </w:r>
      <w:proofErr w:type="gramEnd"/>
      <w:r w:rsidRPr="008127F8">
        <w:rPr>
          <w:rFonts w:ascii="Times New Roman" w:hAnsi="Times New Roman"/>
          <w:color w:val="000000" w:themeColor="text1"/>
          <w:sz w:val="16"/>
          <w:szCs w:val="16"/>
        </w:rPr>
        <w:t>-2 и 103-В.</w:t>
      </w:r>
    </w:p>
    <w:p w14:paraId="68B9DBF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на одном моторе при полетном весе 13 000 кг воз</w:t>
      </w:r>
      <w:r w:rsidRPr="008127F8">
        <w:rPr>
          <w:rFonts w:ascii="Times New Roman" w:hAnsi="Times New Roman"/>
          <w:color w:val="000000" w:themeColor="text1"/>
          <w:sz w:val="16"/>
          <w:szCs w:val="16"/>
        </w:rPr>
        <w:softHyphen/>
        <w:t>можен на скоростях до 260 км/ч».</w:t>
      </w:r>
    </w:p>
    <w:p w14:paraId="3D3880B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этим выявилось и большое количество дефек</w:t>
      </w:r>
      <w:r w:rsidRPr="008127F8">
        <w:rPr>
          <w:rFonts w:ascii="Times New Roman" w:hAnsi="Times New Roman"/>
          <w:color w:val="000000" w:themeColor="text1"/>
          <w:sz w:val="16"/>
          <w:szCs w:val="16"/>
        </w:rPr>
        <w:softHyphen/>
        <w:t>тов. Увы, без них не обходятся испытания новых машин. Наиболее существенные были связаны с передней гермока-биной, где находились рабочие места летчика и штурмана. Несмотря на то, что гермокабина ДВБ-102 создавала гораз</w:t>
      </w:r>
      <w:r w:rsidRPr="008127F8">
        <w:rPr>
          <w:rFonts w:ascii="Times New Roman" w:hAnsi="Times New Roman"/>
          <w:color w:val="000000" w:themeColor="text1"/>
          <w:sz w:val="16"/>
          <w:szCs w:val="16"/>
        </w:rPr>
        <w:softHyphen/>
        <w:t>до лучшие условия для работы экипажа, чем все построен</w:t>
      </w:r>
      <w:r w:rsidRPr="008127F8">
        <w:rPr>
          <w:rFonts w:ascii="Times New Roman" w:hAnsi="Times New Roman"/>
          <w:color w:val="000000" w:themeColor="text1"/>
          <w:sz w:val="16"/>
          <w:szCs w:val="16"/>
        </w:rPr>
        <w:softHyphen/>
        <w:t>ные ранее, она была тесной, отмечался плохой обзор летчи</w:t>
      </w:r>
      <w:r w:rsidRPr="008127F8">
        <w:rPr>
          <w:rFonts w:ascii="Times New Roman" w:hAnsi="Times New Roman"/>
          <w:color w:val="000000" w:themeColor="text1"/>
          <w:sz w:val="16"/>
          <w:szCs w:val="16"/>
        </w:rPr>
        <w:softHyphen/>
        <w:t>ку верхней полусферы и полное отсутствие обзора задней нижней полусферы. Отсутствовал обзор цели на боевом кур</w:t>
      </w:r>
      <w:r w:rsidRPr="008127F8">
        <w:rPr>
          <w:rFonts w:ascii="Times New Roman" w:hAnsi="Times New Roman"/>
          <w:color w:val="000000" w:themeColor="text1"/>
          <w:sz w:val="16"/>
          <w:szCs w:val="16"/>
        </w:rPr>
        <w:softHyphen/>
        <w:t>се. Не лучше обстояло дело и с обзором у штурмана. В ито</w:t>
      </w:r>
      <w:r w:rsidRPr="008127F8">
        <w:rPr>
          <w:rFonts w:ascii="Times New Roman" w:hAnsi="Times New Roman"/>
          <w:color w:val="000000" w:themeColor="text1"/>
          <w:sz w:val="16"/>
          <w:szCs w:val="16"/>
        </w:rPr>
        <w:softHyphen/>
        <w:t>ге переднюю гермокабину не рекомендовали для установки на боевом самолете массового использования.</w:t>
      </w:r>
    </w:p>
    <w:p w14:paraId="3BAF2BE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недостатки, выявленные еще в начале заводских ис</w:t>
      </w:r>
      <w:r w:rsidRPr="008127F8">
        <w:rPr>
          <w:rFonts w:ascii="Times New Roman" w:hAnsi="Times New Roman"/>
          <w:color w:val="000000" w:themeColor="text1"/>
          <w:sz w:val="16"/>
          <w:szCs w:val="16"/>
        </w:rPr>
        <w:softHyphen/>
        <w:t>пытаний, устранили в макете дублера самолета ДВБ-102. По мнению экипажа, испытывавшего опытную машину, новая гермокабина должна была создать значительно луч</w:t>
      </w:r>
      <w:r w:rsidRPr="008127F8">
        <w:rPr>
          <w:rFonts w:ascii="Times New Roman" w:hAnsi="Times New Roman"/>
          <w:color w:val="000000" w:themeColor="text1"/>
          <w:sz w:val="16"/>
          <w:szCs w:val="16"/>
        </w:rPr>
        <w:softHyphen/>
        <w:t>шие условия для работы летчика и штурмана при выпол</w:t>
      </w:r>
      <w:r w:rsidRPr="008127F8">
        <w:rPr>
          <w:rFonts w:ascii="Times New Roman" w:hAnsi="Times New Roman"/>
          <w:color w:val="000000" w:themeColor="text1"/>
          <w:sz w:val="16"/>
          <w:szCs w:val="16"/>
        </w:rPr>
        <w:softHyphen/>
        <w:t>нении ими боевых задач. Что в общем-то впоследствии и подтвердилось.</w:t>
      </w:r>
    </w:p>
    <w:p w14:paraId="4A34DA1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государственных испытаний на самолете усили</w:t>
      </w:r>
      <w:r w:rsidRPr="008127F8">
        <w:rPr>
          <w:rFonts w:ascii="Times New Roman" w:hAnsi="Times New Roman"/>
          <w:color w:val="000000" w:themeColor="text1"/>
          <w:sz w:val="16"/>
          <w:szCs w:val="16"/>
        </w:rPr>
        <w:softHyphen/>
        <w:t>ли вооружение. На носовой установке пулемет ШКАС заме</w:t>
      </w:r>
      <w:r w:rsidRPr="008127F8">
        <w:rPr>
          <w:rFonts w:ascii="Times New Roman" w:hAnsi="Times New Roman"/>
          <w:color w:val="000000" w:themeColor="text1"/>
          <w:sz w:val="16"/>
          <w:szCs w:val="16"/>
        </w:rPr>
        <w:softHyphen/>
        <w:t>нили пушкой ШВАК. На нижней дистанционной установке стрелка-радиста ШКАС заменили пулеметом БС калибра 12,7 мм. В итоге характеристики оборонительного вооруже</w:t>
      </w:r>
      <w:r w:rsidRPr="008127F8">
        <w:rPr>
          <w:rFonts w:ascii="Times New Roman" w:hAnsi="Times New Roman"/>
          <w:color w:val="000000" w:themeColor="text1"/>
          <w:sz w:val="16"/>
          <w:szCs w:val="16"/>
        </w:rPr>
        <w:softHyphen/>
        <w:t>ния ДВБ-102 превзошли по своей мощности заданные так</w:t>
      </w:r>
      <w:r w:rsidRPr="008127F8">
        <w:rPr>
          <w:rFonts w:ascii="Times New Roman" w:hAnsi="Times New Roman"/>
          <w:color w:val="000000" w:themeColor="text1"/>
          <w:sz w:val="16"/>
          <w:szCs w:val="16"/>
        </w:rPr>
        <w:softHyphen/>
        <w:t>тико-техническими требованиями.</w:t>
      </w:r>
    </w:p>
    <w:p w14:paraId="689FB0F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Дальнейшие испытания самолета проходили с двигате</w:t>
      </w:r>
      <w:r w:rsidRPr="008127F8">
        <w:rPr>
          <w:rFonts w:ascii="Times New Roman" w:hAnsi="Times New Roman"/>
          <w:color w:val="000000" w:themeColor="text1"/>
          <w:sz w:val="16"/>
          <w:szCs w:val="16"/>
        </w:rPr>
        <w:softHyphen/>
        <w:t>лями без турбокомпрессоров, что пагубно отразилось на ха</w:t>
      </w:r>
      <w:r w:rsidRPr="008127F8">
        <w:rPr>
          <w:rFonts w:ascii="Times New Roman" w:hAnsi="Times New Roman"/>
          <w:color w:val="000000" w:themeColor="text1"/>
          <w:sz w:val="16"/>
          <w:szCs w:val="16"/>
        </w:rPr>
        <w:softHyphen/>
        <w:t>рактеристиках машины. Так, практический потолок сни</w:t>
      </w:r>
      <w:r w:rsidRPr="008127F8">
        <w:rPr>
          <w:rFonts w:ascii="Times New Roman" w:hAnsi="Times New Roman"/>
          <w:color w:val="000000" w:themeColor="text1"/>
          <w:sz w:val="16"/>
          <w:szCs w:val="16"/>
        </w:rPr>
        <w:softHyphen/>
        <w:t>зился до 8300 метров, а максимальная скорость — до 542 км/ч на высоте 6250 метров. В то же время в акте по итогам очередного этапа государственных испытаний отме</w:t>
      </w:r>
      <w:r w:rsidRPr="008127F8">
        <w:rPr>
          <w:rFonts w:ascii="Times New Roman" w:hAnsi="Times New Roman"/>
          <w:color w:val="000000" w:themeColor="text1"/>
          <w:sz w:val="16"/>
          <w:szCs w:val="16"/>
        </w:rPr>
        <w:softHyphen/>
        <w:t>чалось, что «...максимальная скорость самолета 542 км/ ч — выше максимальной скорости существующих дальних бомбардировщиков... Оборудование герметических кабин значительно улучшает условия работы экипажа на боль</w:t>
      </w:r>
      <w:r w:rsidRPr="008127F8">
        <w:rPr>
          <w:rFonts w:ascii="Times New Roman" w:hAnsi="Times New Roman"/>
          <w:color w:val="000000" w:themeColor="text1"/>
          <w:sz w:val="16"/>
          <w:szCs w:val="16"/>
        </w:rPr>
        <w:softHyphen/>
        <w:t>шой высоте, что особенно важно в длительном полете...» (10745,236).</w:t>
      </w:r>
    </w:p>
    <w:p w14:paraId="5155FE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3FE0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завер</w:t>
      </w:r>
      <w:r w:rsidRPr="008127F8">
        <w:rPr>
          <w:rFonts w:ascii="Times New Roman" w:hAnsi="Times New Roman"/>
          <w:color w:val="000000" w:themeColor="text1"/>
          <w:sz w:val="16"/>
          <w:szCs w:val="16"/>
        </w:rPr>
        <w:softHyphen/>
        <w:t>шился первый этап летных испытаний ДВБ-102, и машину пере</w:t>
      </w:r>
      <w:r w:rsidRPr="008127F8">
        <w:rPr>
          <w:rFonts w:ascii="Times New Roman" w:hAnsi="Times New Roman"/>
          <w:color w:val="000000" w:themeColor="text1"/>
          <w:sz w:val="16"/>
          <w:szCs w:val="16"/>
        </w:rPr>
        <w:softHyphen/>
        <w:t>дали в НИИ ВВС. Полеты выявили, прежде всего, нена</w:t>
      </w:r>
      <w:r w:rsidRPr="008127F8">
        <w:rPr>
          <w:rFonts w:ascii="Times New Roman" w:hAnsi="Times New Roman"/>
          <w:color w:val="000000" w:themeColor="text1"/>
          <w:sz w:val="16"/>
          <w:szCs w:val="16"/>
        </w:rPr>
        <w:softHyphen/>
        <w:t>дежную работу турбокомпрессоров, лопатки турбин которых не выдерживали огромную температуру вы</w:t>
      </w:r>
      <w:r w:rsidRPr="008127F8">
        <w:rPr>
          <w:rFonts w:ascii="Times New Roman" w:hAnsi="Times New Roman"/>
          <w:color w:val="000000" w:themeColor="text1"/>
          <w:sz w:val="16"/>
          <w:szCs w:val="16"/>
        </w:rPr>
        <w:softHyphen/>
        <w:t>хлопных газов двигателей. Да и работа самих двигате</w:t>
      </w:r>
      <w:r w:rsidRPr="008127F8">
        <w:rPr>
          <w:rFonts w:ascii="Times New Roman" w:hAnsi="Times New Roman"/>
          <w:color w:val="000000" w:themeColor="text1"/>
          <w:sz w:val="16"/>
          <w:szCs w:val="16"/>
        </w:rPr>
        <w:softHyphen/>
        <w:t>лей, имевших мизерный ресурс, оставляла желать луч</w:t>
      </w:r>
      <w:r w:rsidRPr="008127F8">
        <w:rPr>
          <w:rFonts w:ascii="Times New Roman" w:hAnsi="Times New Roman"/>
          <w:color w:val="000000" w:themeColor="text1"/>
          <w:sz w:val="16"/>
          <w:szCs w:val="16"/>
        </w:rPr>
        <w:softHyphen/>
        <w:t>шего.</w:t>
      </w:r>
    </w:p>
    <w:p w14:paraId="13342C0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Приведу несколько случаев из хроники летных ис</w:t>
      </w:r>
      <w:r w:rsidRPr="008127F8">
        <w:rPr>
          <w:rFonts w:ascii="Times New Roman" w:hAnsi="Times New Roman"/>
          <w:color w:val="000000" w:themeColor="text1"/>
          <w:sz w:val="16"/>
          <w:szCs w:val="16"/>
        </w:rPr>
        <w:softHyphen/>
        <w:t>пытаний. Во время седьмого полета (при наработке двигателей восемь часов пять минут) разрушился на</w:t>
      </w:r>
      <w:r w:rsidRPr="008127F8">
        <w:rPr>
          <w:rFonts w:ascii="Times New Roman" w:hAnsi="Times New Roman"/>
          <w:color w:val="000000" w:themeColor="text1"/>
          <w:sz w:val="16"/>
          <w:szCs w:val="16"/>
        </w:rPr>
        <w:softHyphen/>
        <w:t>правляющий аппарат крыльчатки турбокомпрессора. После десятого полета произошла поломка силовых шпилек картера. После одиннадцатого полета (нара</w:t>
      </w:r>
      <w:r w:rsidRPr="008127F8">
        <w:rPr>
          <w:rFonts w:ascii="Times New Roman" w:hAnsi="Times New Roman"/>
          <w:color w:val="000000" w:themeColor="text1"/>
          <w:sz w:val="16"/>
          <w:szCs w:val="16"/>
        </w:rPr>
        <w:softHyphen/>
        <w:t>ботка двигателей 13 часов) обнаружилась поломка шес</w:t>
      </w:r>
      <w:r w:rsidRPr="008127F8">
        <w:rPr>
          <w:rFonts w:ascii="Times New Roman" w:hAnsi="Times New Roman"/>
          <w:color w:val="000000" w:themeColor="text1"/>
          <w:sz w:val="16"/>
          <w:szCs w:val="16"/>
        </w:rPr>
        <w:softHyphen/>
        <w:t>терни промежуточного валика левого двигателя. По</w:t>
      </w:r>
      <w:r w:rsidRPr="008127F8">
        <w:rPr>
          <w:rFonts w:ascii="Times New Roman" w:hAnsi="Times New Roman"/>
          <w:color w:val="000000" w:themeColor="text1"/>
          <w:sz w:val="16"/>
          <w:szCs w:val="16"/>
        </w:rPr>
        <w:softHyphen/>
        <w:t>сле первого высотного полета в роторах турбоком</w:t>
      </w:r>
      <w:r w:rsidRPr="008127F8">
        <w:rPr>
          <w:rFonts w:ascii="Times New Roman" w:hAnsi="Times New Roman"/>
          <w:color w:val="000000" w:themeColor="text1"/>
          <w:sz w:val="16"/>
          <w:szCs w:val="16"/>
        </w:rPr>
        <w:softHyphen/>
        <w:t>прессоров обнаружили трещины.</w:t>
      </w:r>
    </w:p>
    <w:p w14:paraId="538AD7D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государственных испытаний первые 14 по</w:t>
      </w:r>
      <w:r w:rsidRPr="008127F8">
        <w:rPr>
          <w:rFonts w:ascii="Times New Roman" w:hAnsi="Times New Roman"/>
          <w:color w:val="000000" w:themeColor="text1"/>
          <w:sz w:val="16"/>
          <w:szCs w:val="16"/>
        </w:rPr>
        <w:softHyphen/>
        <w:t>летов выполнили на двигателях с заниженным числом оборотов на первой границе высотности. Затем устано</w:t>
      </w:r>
      <w:r w:rsidRPr="008127F8">
        <w:rPr>
          <w:rFonts w:ascii="Times New Roman" w:hAnsi="Times New Roman"/>
          <w:color w:val="000000" w:themeColor="text1"/>
          <w:sz w:val="16"/>
          <w:szCs w:val="16"/>
        </w:rPr>
        <w:softHyphen/>
        <w:t>вили новые двигатели, развивавшие меньшую взлет</w:t>
      </w:r>
      <w:r w:rsidRPr="008127F8">
        <w:rPr>
          <w:rFonts w:ascii="Times New Roman" w:hAnsi="Times New Roman"/>
          <w:color w:val="000000" w:themeColor="text1"/>
          <w:sz w:val="16"/>
          <w:szCs w:val="16"/>
        </w:rPr>
        <w:softHyphen/>
        <w:t>ную мощность. Из-за этого на самолете не удалось дос</w:t>
      </w:r>
      <w:r w:rsidRPr="008127F8">
        <w:rPr>
          <w:rFonts w:ascii="Times New Roman" w:hAnsi="Times New Roman"/>
          <w:color w:val="000000" w:themeColor="text1"/>
          <w:sz w:val="16"/>
          <w:szCs w:val="16"/>
        </w:rPr>
        <w:softHyphen/>
        <w:t>тигнуть проектных характеристик.</w:t>
      </w:r>
    </w:p>
    <w:p w14:paraId="1087739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В.И. Жданова, в проведении государствен</w:t>
      </w:r>
      <w:r w:rsidRPr="008127F8">
        <w:rPr>
          <w:rFonts w:ascii="Times New Roman" w:hAnsi="Times New Roman"/>
          <w:color w:val="000000" w:themeColor="text1"/>
          <w:sz w:val="16"/>
          <w:szCs w:val="16"/>
        </w:rPr>
        <w:softHyphen/>
        <w:t>ных испытаний участвовали штурман-испытатель Н.П. Цветков, стрелок-радист М. Дугин. Возглавлял испы</w:t>
      </w:r>
      <w:r w:rsidRPr="008127F8">
        <w:rPr>
          <w:rFonts w:ascii="Times New Roman" w:hAnsi="Times New Roman"/>
          <w:color w:val="000000" w:themeColor="text1"/>
          <w:sz w:val="16"/>
          <w:szCs w:val="16"/>
        </w:rPr>
        <w:softHyphen/>
        <w:t>тательную бригаду ведущий инженер М.И. Ефимов. От ЛИИ в испытаниях участвовал инженер Г.И. Поярков.</w:t>
      </w:r>
    </w:p>
    <w:p w14:paraId="376AB7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отчете по государственным испытаниям отмеча</w:t>
      </w:r>
      <w:r w:rsidRPr="008127F8">
        <w:rPr>
          <w:rFonts w:ascii="Times New Roman" w:hAnsi="Times New Roman"/>
          <w:color w:val="000000" w:themeColor="text1"/>
          <w:sz w:val="16"/>
          <w:szCs w:val="16"/>
        </w:rPr>
        <w:softHyphen/>
        <w:t>лось, что «... самолет на взлете прост, на пробеге устойчив. Боковые ветры под углом 60 градусов, на взлете (при ско</w:t>
      </w:r>
      <w:r w:rsidRPr="008127F8">
        <w:rPr>
          <w:rFonts w:ascii="Times New Roman" w:hAnsi="Times New Roman"/>
          <w:color w:val="000000" w:themeColor="text1"/>
          <w:sz w:val="16"/>
          <w:szCs w:val="16"/>
        </w:rPr>
        <w:softHyphen/>
        <w:t>рости ветра 5 м/с) почти не ощущаются.</w:t>
      </w:r>
    </w:p>
    <w:p w14:paraId="14138F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горизонтальном полете самолет достаточно устой</w:t>
      </w:r>
      <w:r w:rsidRPr="008127F8">
        <w:rPr>
          <w:rFonts w:ascii="Times New Roman" w:hAnsi="Times New Roman"/>
          <w:color w:val="000000" w:themeColor="text1"/>
          <w:sz w:val="16"/>
          <w:szCs w:val="16"/>
        </w:rPr>
        <w:softHyphen/>
        <w:t>чив, возникающие нагрузки на рулях полностью снимают</w:t>
      </w:r>
      <w:r w:rsidRPr="008127F8">
        <w:rPr>
          <w:rFonts w:ascii="Times New Roman" w:hAnsi="Times New Roman"/>
          <w:color w:val="000000" w:themeColor="text1"/>
          <w:sz w:val="16"/>
          <w:szCs w:val="16"/>
        </w:rPr>
        <w:softHyphen/>
        <w:t>ся триммерами.</w:t>
      </w:r>
    </w:p>
    <w:p w14:paraId="4D7F9B8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виражах и разворотах самолет устойчив и хорошо слушается рулей. При углах крена 50—70 градусов возни</w:t>
      </w:r>
      <w:r w:rsidRPr="008127F8">
        <w:rPr>
          <w:rFonts w:ascii="Times New Roman" w:hAnsi="Times New Roman"/>
          <w:color w:val="000000" w:themeColor="text1"/>
          <w:sz w:val="16"/>
          <w:szCs w:val="16"/>
        </w:rPr>
        <w:softHyphen/>
        <w:t>кают значительные нагрузки на рулях, особенно элеронах и руле высоты. Самолет хорошо виражит с углами крена до 70 градусов. Техника выполнения посадки значительно проще, чем у Пе-2, Ер-2 и «103-В».</w:t>
      </w:r>
    </w:p>
    <w:p w14:paraId="337EB33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на одном моторе при полетном весе 13 000 кг возможен на скоростях до 260 км/ч. С большим весом не проверен из-за плохой работы винтомоторной группы».</w:t>
      </w:r>
    </w:p>
    <w:p w14:paraId="1EAEBDD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Хорошим пилотажным характеристикам в значитель</w:t>
      </w:r>
      <w:r w:rsidRPr="008127F8">
        <w:rPr>
          <w:rFonts w:ascii="Times New Roman" w:hAnsi="Times New Roman"/>
          <w:color w:val="000000" w:themeColor="text1"/>
          <w:sz w:val="16"/>
          <w:szCs w:val="16"/>
        </w:rPr>
        <w:softHyphen/>
        <w:t>ной степени способствовал удачный выбор центровки самолета, находившейся в диапазоне от 24,1 процен</w:t>
      </w:r>
      <w:r w:rsidRPr="008127F8">
        <w:rPr>
          <w:rFonts w:ascii="Times New Roman" w:hAnsi="Times New Roman"/>
          <w:color w:val="000000" w:themeColor="text1"/>
          <w:sz w:val="16"/>
          <w:szCs w:val="16"/>
        </w:rPr>
        <w:softHyphen/>
        <w:t>та до 28,1 процента средней аэродинамической хорды (САХ).</w:t>
      </w:r>
    </w:p>
    <w:p w14:paraId="30B4DD8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Наряду с этим выявилось и большое количество дефектов. Увы, без них не обходятся испытания опыт</w:t>
      </w:r>
      <w:r w:rsidRPr="008127F8">
        <w:rPr>
          <w:rFonts w:ascii="Times New Roman" w:hAnsi="Times New Roman"/>
          <w:color w:val="000000" w:themeColor="text1"/>
          <w:sz w:val="16"/>
          <w:szCs w:val="16"/>
        </w:rPr>
        <w:softHyphen/>
        <w:t xml:space="preserve">ных машин. Наиболее существенные были связаны с передней гермокабиной, где находились рабочие места летчика и штурмана. Несмотря на </w:t>
      </w:r>
      <w:proofErr w:type="gramStart"/>
      <w:r w:rsidRPr="008127F8">
        <w:rPr>
          <w:rFonts w:ascii="Times New Roman" w:hAnsi="Times New Roman"/>
          <w:color w:val="000000" w:themeColor="text1"/>
          <w:sz w:val="16"/>
          <w:szCs w:val="16"/>
        </w:rPr>
        <w:t>то</w:t>
      </w:r>
      <w:proofErr w:type="gramEnd"/>
      <w:r w:rsidRPr="008127F8">
        <w:rPr>
          <w:rFonts w:ascii="Times New Roman" w:hAnsi="Times New Roman"/>
          <w:color w:val="000000" w:themeColor="text1"/>
          <w:sz w:val="16"/>
          <w:szCs w:val="16"/>
        </w:rPr>
        <w:t xml:space="preserve"> что гермо-кабина ДВБ-102 создавала гораздо лучшие условия для работы экипажа, чем все построенные ранее, она имела, в частности, следующие недостатки: теснота и затрудненная посадка летчика на сиденье; невоз</w:t>
      </w:r>
      <w:r w:rsidRPr="008127F8">
        <w:rPr>
          <w:rFonts w:ascii="Times New Roman" w:hAnsi="Times New Roman"/>
          <w:color w:val="000000" w:themeColor="text1"/>
          <w:sz w:val="16"/>
          <w:szCs w:val="16"/>
        </w:rPr>
        <w:softHyphen/>
        <w:t>можность быстрого покидания самолета; неудобное расположение приборов; недостаточное бронирова</w:t>
      </w:r>
      <w:r w:rsidRPr="008127F8">
        <w:rPr>
          <w:rFonts w:ascii="Times New Roman" w:hAnsi="Times New Roman"/>
          <w:color w:val="000000" w:themeColor="text1"/>
          <w:sz w:val="16"/>
          <w:szCs w:val="16"/>
        </w:rPr>
        <w:softHyphen/>
        <w:t>ние экипажа.</w:t>
      </w:r>
    </w:p>
    <w:p w14:paraId="25A385B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 перечне дефектов, выявленных в хо</w:t>
      </w:r>
      <w:r w:rsidRPr="008127F8">
        <w:rPr>
          <w:rFonts w:ascii="Times New Roman" w:hAnsi="Times New Roman"/>
          <w:color w:val="000000" w:themeColor="text1"/>
          <w:sz w:val="16"/>
          <w:szCs w:val="16"/>
        </w:rPr>
        <w:softHyphen/>
        <w:t>де испытаний, отмечался плохой обзор летчику верх</w:t>
      </w:r>
      <w:r w:rsidRPr="008127F8">
        <w:rPr>
          <w:rFonts w:ascii="Times New Roman" w:hAnsi="Times New Roman"/>
          <w:color w:val="000000" w:themeColor="text1"/>
          <w:sz w:val="16"/>
          <w:szCs w:val="16"/>
        </w:rPr>
        <w:softHyphen/>
        <w:t>ней полусферы и полное отсутствие обзора задней нижней полусферы. Отсутствовал обзор цели на бое</w:t>
      </w:r>
      <w:r w:rsidRPr="008127F8">
        <w:rPr>
          <w:rFonts w:ascii="Times New Roman" w:hAnsi="Times New Roman"/>
          <w:color w:val="000000" w:themeColor="text1"/>
          <w:sz w:val="16"/>
          <w:szCs w:val="16"/>
        </w:rPr>
        <w:softHyphen/>
        <w:t>вом курсе. Не лучше обстояло дело и с обзором у штурмана. В итоге переднюю гермокабину не реко</w:t>
      </w:r>
      <w:r w:rsidRPr="008127F8">
        <w:rPr>
          <w:rFonts w:ascii="Times New Roman" w:hAnsi="Times New Roman"/>
          <w:color w:val="000000" w:themeColor="text1"/>
          <w:sz w:val="16"/>
          <w:szCs w:val="16"/>
        </w:rPr>
        <w:softHyphen/>
        <w:t>мендовали для установки на боевом самолете массо</w:t>
      </w:r>
      <w:r w:rsidRPr="008127F8">
        <w:rPr>
          <w:rFonts w:ascii="Times New Roman" w:hAnsi="Times New Roman"/>
          <w:color w:val="000000" w:themeColor="text1"/>
          <w:sz w:val="16"/>
          <w:szCs w:val="16"/>
        </w:rPr>
        <w:softHyphen/>
        <w:t>вого использования. Эти недостатки, выявленные еще в начале заводских испытаний, устранили в макете дублера самолета ДВБ-102. По мнению экипажа, ис</w:t>
      </w:r>
      <w:r w:rsidRPr="008127F8">
        <w:rPr>
          <w:rFonts w:ascii="Times New Roman" w:hAnsi="Times New Roman"/>
          <w:color w:val="000000" w:themeColor="text1"/>
          <w:sz w:val="16"/>
          <w:szCs w:val="16"/>
        </w:rPr>
        <w:softHyphen/>
        <w:t>пытывавшего опытную машину, новая гермокабина должна была создать значительно лучшие условия для работы летчика и штурмана при выполнении ими бое</w:t>
      </w:r>
      <w:r w:rsidRPr="008127F8">
        <w:rPr>
          <w:rFonts w:ascii="Times New Roman" w:hAnsi="Times New Roman"/>
          <w:color w:val="000000" w:themeColor="text1"/>
          <w:sz w:val="16"/>
          <w:szCs w:val="16"/>
        </w:rPr>
        <w:softHyphen/>
        <w:t>вых задач. Что, в общем-то, впоследствии и подтвер</w:t>
      </w:r>
      <w:r w:rsidRPr="008127F8">
        <w:rPr>
          <w:rFonts w:ascii="Times New Roman" w:hAnsi="Times New Roman"/>
          <w:color w:val="000000" w:themeColor="text1"/>
          <w:sz w:val="16"/>
          <w:szCs w:val="16"/>
        </w:rPr>
        <w:softHyphen/>
        <w:t>дилось. Задняя же гермокабина осталась без измене</w:t>
      </w:r>
      <w:r w:rsidRPr="008127F8">
        <w:rPr>
          <w:rFonts w:ascii="Times New Roman" w:hAnsi="Times New Roman"/>
          <w:color w:val="000000" w:themeColor="text1"/>
          <w:sz w:val="16"/>
          <w:szCs w:val="16"/>
        </w:rPr>
        <w:softHyphen/>
        <w:t>ний, поскольку обеспечивала необходимые условия работы в ней и не отличалась от негерметичных кабин самолетов тех лет.</w:t>
      </w:r>
    </w:p>
    <w:p w14:paraId="0D4EB3F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государственных испытаний на самолете усилили вооружение. На носовой установке пулемет ШКАС заменили на 20-мм пушку ШВАК. На нижней дистанционной установке стрелка-радиста ШКАС за</w:t>
      </w:r>
      <w:r w:rsidRPr="008127F8">
        <w:rPr>
          <w:rFonts w:ascii="Times New Roman" w:hAnsi="Times New Roman"/>
          <w:color w:val="000000" w:themeColor="text1"/>
          <w:sz w:val="16"/>
          <w:szCs w:val="16"/>
        </w:rPr>
        <w:softHyphen/>
        <w:t>менили пулеметом БС калибра 12,7 мм. В итоге харак</w:t>
      </w:r>
      <w:r w:rsidRPr="008127F8">
        <w:rPr>
          <w:rFonts w:ascii="Times New Roman" w:hAnsi="Times New Roman"/>
          <w:color w:val="000000" w:themeColor="text1"/>
          <w:sz w:val="16"/>
          <w:szCs w:val="16"/>
        </w:rPr>
        <w:softHyphen/>
        <w:t>теристики оборонительного вооружения ДВБ-102 пре взошли по своей мощности заданные тактико-техни</w:t>
      </w:r>
      <w:r w:rsidRPr="008127F8">
        <w:rPr>
          <w:rFonts w:ascii="Times New Roman" w:hAnsi="Times New Roman"/>
          <w:color w:val="000000" w:themeColor="text1"/>
          <w:sz w:val="16"/>
          <w:szCs w:val="16"/>
        </w:rPr>
        <w:softHyphen/>
        <w:t>ческими требованиями (11446).</w:t>
      </w:r>
    </w:p>
    <w:p w14:paraId="1F5B2B2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34CE4"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 xml:space="preserve">В апреле </w:t>
      </w:r>
      <w:r w:rsidRPr="008127F8">
        <w:rPr>
          <w:rFonts w:ascii="Times New Roman" w:hAnsi="Times New Roman"/>
          <w:color w:val="000000" w:themeColor="text1"/>
          <w:sz w:val="16"/>
          <w:szCs w:val="16"/>
        </w:rPr>
        <w:t>1942 ДВБ-102</w:t>
      </w:r>
      <w:r w:rsidRPr="008127F8">
        <w:rPr>
          <w:rFonts w:ascii="Times New Roman" w:hAnsi="Times New Roman"/>
          <w:noProof/>
          <w:color w:val="000000" w:themeColor="text1"/>
          <w:sz w:val="16"/>
          <w:szCs w:val="16"/>
        </w:rPr>
        <w:t xml:space="preserve"> передали на испытания в НИИ ВВС, однако полностью зафиксировать летные характеристики по причине неустойчивой ра</w:t>
      </w:r>
      <w:r w:rsidRPr="008127F8">
        <w:rPr>
          <w:rFonts w:ascii="Times New Roman" w:hAnsi="Times New Roman"/>
          <w:noProof/>
          <w:color w:val="000000" w:themeColor="text1"/>
          <w:sz w:val="16"/>
          <w:szCs w:val="16"/>
        </w:rPr>
        <w:softHyphen/>
        <w:t>боты двигателей не удалось. В процессе прове</w:t>
      </w:r>
      <w:r w:rsidRPr="008127F8">
        <w:rPr>
          <w:rFonts w:ascii="Times New Roman" w:hAnsi="Times New Roman"/>
          <w:noProof/>
          <w:color w:val="000000" w:themeColor="text1"/>
          <w:sz w:val="16"/>
          <w:szCs w:val="16"/>
        </w:rPr>
        <w:softHyphen/>
        <w:t>дения испытаний в передней установке смонти</w:t>
      </w:r>
      <w:r w:rsidRPr="008127F8">
        <w:rPr>
          <w:rFonts w:ascii="Times New Roman" w:hAnsi="Times New Roman"/>
          <w:noProof/>
          <w:color w:val="000000" w:themeColor="text1"/>
          <w:sz w:val="16"/>
          <w:szCs w:val="16"/>
        </w:rPr>
        <w:softHyphen/>
        <w:t>ровали 20-мм пушку ШВАК, а на подфюзеляжной турели - пулемет УБК калибра 12,7 мм.</w:t>
      </w:r>
    </w:p>
    <w:p w14:paraId="38F97283"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Кроме неудовлетворительной работы дви</w:t>
      </w:r>
      <w:r w:rsidRPr="008127F8">
        <w:rPr>
          <w:rFonts w:ascii="Times New Roman" w:hAnsi="Times New Roman"/>
          <w:noProof/>
          <w:color w:val="000000" w:themeColor="text1"/>
          <w:sz w:val="16"/>
          <w:szCs w:val="16"/>
        </w:rPr>
        <w:softHyphen/>
        <w:t>гателей выявилось достаточное количество иных проблем и недостатков. В частности, из</w:t>
      </w:r>
      <w:r w:rsidRPr="008127F8">
        <w:rPr>
          <w:rFonts w:ascii="Times New Roman" w:hAnsi="Times New Roman"/>
          <w:noProof/>
          <w:color w:val="000000" w:themeColor="text1"/>
          <w:sz w:val="16"/>
          <w:szCs w:val="16"/>
        </w:rPr>
        <w:softHyphen/>
        <w:t>начально заложенные малые габариты кабины штурмана и пилота определили недостаточный обзор из них, затруднение посадки в самолет и выбрасывания с парашютом. Установленная пушка ШВАК закрывала обзор штурману и ме</w:t>
      </w:r>
      <w:r w:rsidRPr="008127F8">
        <w:rPr>
          <w:rFonts w:ascii="Times New Roman" w:hAnsi="Times New Roman"/>
          <w:noProof/>
          <w:color w:val="000000" w:themeColor="text1"/>
          <w:sz w:val="16"/>
          <w:szCs w:val="16"/>
        </w:rPr>
        <w:softHyphen/>
        <w:t>шала наведению на цель при выходе на боевой курс. Нужно отметить, что указанный недоста</w:t>
      </w:r>
      <w:r w:rsidRPr="008127F8">
        <w:rPr>
          <w:rFonts w:ascii="Times New Roman" w:hAnsi="Times New Roman"/>
          <w:noProof/>
          <w:color w:val="000000" w:themeColor="text1"/>
          <w:sz w:val="16"/>
          <w:szCs w:val="16"/>
        </w:rPr>
        <w:softHyphen/>
        <w:t>ток был отмечен еще до проведения первых полетов, поэтому уже в начале 1942 г. велись разработки новой передней гермокабины и бомбового отсека.</w:t>
      </w:r>
    </w:p>
    <w:p w14:paraId="54AAE175"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ходе продолжения испытаний самолет ле</w:t>
      </w:r>
      <w:r w:rsidRPr="008127F8">
        <w:rPr>
          <w:rFonts w:ascii="Times New Roman" w:hAnsi="Times New Roman"/>
          <w:noProof/>
          <w:color w:val="000000" w:themeColor="text1"/>
          <w:sz w:val="16"/>
          <w:szCs w:val="16"/>
        </w:rPr>
        <w:softHyphen/>
        <w:t>тал с двигателями М-120, которые не развива</w:t>
      </w:r>
      <w:r w:rsidRPr="008127F8">
        <w:rPr>
          <w:rFonts w:ascii="Times New Roman" w:hAnsi="Times New Roman"/>
          <w:noProof/>
          <w:color w:val="000000" w:themeColor="text1"/>
          <w:sz w:val="16"/>
          <w:szCs w:val="16"/>
        </w:rPr>
        <w:softHyphen/>
        <w:t>ли полную мощность, кроме того, при подъеме на высоту не использовались турбокомпрессо</w:t>
      </w:r>
      <w:r w:rsidRPr="008127F8">
        <w:rPr>
          <w:rFonts w:ascii="Times New Roman" w:hAnsi="Times New Roman"/>
          <w:noProof/>
          <w:color w:val="000000" w:themeColor="text1"/>
          <w:sz w:val="16"/>
          <w:szCs w:val="16"/>
        </w:rPr>
        <w:softHyphen/>
        <w:t>ры. Это определило скромные достигнутые ре</w:t>
      </w:r>
      <w:r w:rsidRPr="008127F8">
        <w:rPr>
          <w:rFonts w:ascii="Times New Roman" w:hAnsi="Times New Roman"/>
          <w:noProof/>
          <w:color w:val="000000" w:themeColor="text1"/>
          <w:sz w:val="16"/>
          <w:szCs w:val="16"/>
        </w:rPr>
        <w:softHyphen/>
        <w:t>зультаты испытаний: потолок составил 8300 метров, максимальная скорость - 542 км/ч на высоте 6250 метров.</w:t>
      </w:r>
    </w:p>
    <w:p w14:paraId="3A98257D"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июне 1942 г. на самолете заменили си</w:t>
      </w:r>
      <w:r w:rsidRPr="008127F8">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8127F8">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8127F8">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8127F8">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8127F8">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8127F8">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8127F8">
        <w:rPr>
          <w:rFonts w:ascii="Times New Roman" w:hAnsi="Times New Roman"/>
          <w:noProof/>
          <w:color w:val="000000" w:themeColor="text1"/>
          <w:sz w:val="16"/>
          <w:szCs w:val="16"/>
        </w:rPr>
        <w:softHyphen/>
        <w:t>ния высотных машин.</w:t>
      </w:r>
    </w:p>
    <w:p w14:paraId="79E2FA0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6F4095" w:rsidRPr="008127F8" w14:paraId="56CF74B5" w14:textId="77777777">
        <w:trPr>
          <w:trHeight w:val="197"/>
        </w:trPr>
        <w:tc>
          <w:tcPr>
            <w:tcW w:w="2558" w:type="dxa"/>
            <w:tcBorders>
              <w:top w:val="single" w:sz="12" w:space="0" w:color="auto"/>
            </w:tcBorders>
            <w:shd w:val="clear" w:color="auto" w:fill="FFFFFF"/>
          </w:tcPr>
          <w:p w14:paraId="139F0C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579C4905"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21AA29AC"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180D71B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r>
      <w:tr w:rsidR="006F4095" w:rsidRPr="008127F8" w14:paraId="4EE7A8AA" w14:textId="77777777">
        <w:trPr>
          <w:trHeight w:val="173"/>
        </w:trPr>
        <w:tc>
          <w:tcPr>
            <w:tcW w:w="2558" w:type="dxa"/>
            <w:shd w:val="clear" w:color="auto" w:fill="FFFFFF"/>
          </w:tcPr>
          <w:p w14:paraId="6FBD22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45E89919"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1940 г.</w:t>
            </w:r>
          </w:p>
        </w:tc>
        <w:tc>
          <w:tcPr>
            <w:tcW w:w="1910" w:type="dxa"/>
            <w:shd w:val="clear" w:color="auto" w:fill="FFFFFF"/>
          </w:tcPr>
          <w:p w14:paraId="074621F0"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2хМ-120ТК</w:t>
            </w:r>
          </w:p>
        </w:tc>
        <w:tc>
          <w:tcPr>
            <w:tcW w:w="1027" w:type="dxa"/>
            <w:shd w:val="clear" w:color="auto" w:fill="FFFFFF"/>
          </w:tcPr>
          <w:p w14:paraId="28909D1A"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2хМ-71 ТК-3</w:t>
            </w:r>
          </w:p>
        </w:tc>
      </w:tr>
      <w:tr w:rsidR="006F4095" w:rsidRPr="008127F8" w14:paraId="731771CF" w14:textId="77777777">
        <w:trPr>
          <w:trHeight w:val="178"/>
        </w:trPr>
        <w:tc>
          <w:tcPr>
            <w:tcW w:w="2558" w:type="dxa"/>
            <w:shd w:val="clear" w:color="auto" w:fill="FFFFFF"/>
          </w:tcPr>
          <w:p w14:paraId="283E60C5"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Размах крыла (м)</w:t>
            </w:r>
          </w:p>
        </w:tc>
        <w:tc>
          <w:tcPr>
            <w:tcW w:w="950" w:type="dxa"/>
            <w:shd w:val="clear" w:color="auto" w:fill="FFFFFF"/>
          </w:tcPr>
          <w:p w14:paraId="7C132554"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w:t>
            </w:r>
          </w:p>
        </w:tc>
        <w:tc>
          <w:tcPr>
            <w:tcW w:w="1910" w:type="dxa"/>
            <w:shd w:val="clear" w:color="auto" w:fill="FFFFFF"/>
          </w:tcPr>
          <w:p w14:paraId="058BF776"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25,168</w:t>
            </w:r>
          </w:p>
        </w:tc>
        <w:tc>
          <w:tcPr>
            <w:tcW w:w="1027" w:type="dxa"/>
            <w:shd w:val="clear" w:color="auto" w:fill="FFFFFF"/>
          </w:tcPr>
          <w:p w14:paraId="65A12BBA"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25,22</w:t>
            </w:r>
          </w:p>
        </w:tc>
      </w:tr>
      <w:tr w:rsidR="006F4095" w:rsidRPr="008127F8" w14:paraId="31FAD3C6" w14:textId="77777777">
        <w:trPr>
          <w:trHeight w:val="163"/>
        </w:trPr>
        <w:tc>
          <w:tcPr>
            <w:tcW w:w="2558" w:type="dxa"/>
            <w:shd w:val="clear" w:color="auto" w:fill="FFFFFF"/>
          </w:tcPr>
          <w:p w14:paraId="6575F9F9"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Длина (м)</w:t>
            </w:r>
          </w:p>
        </w:tc>
        <w:tc>
          <w:tcPr>
            <w:tcW w:w="950" w:type="dxa"/>
            <w:shd w:val="clear" w:color="auto" w:fill="FFFFFF"/>
          </w:tcPr>
          <w:p w14:paraId="7A03B55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910" w:type="dxa"/>
            <w:shd w:val="clear" w:color="auto" w:fill="FFFFFF"/>
          </w:tcPr>
          <w:p w14:paraId="7B50124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027" w:type="dxa"/>
            <w:shd w:val="clear" w:color="auto" w:fill="FFFFFF"/>
          </w:tcPr>
          <w:p w14:paraId="49D95767"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20,30</w:t>
            </w:r>
          </w:p>
        </w:tc>
      </w:tr>
      <w:tr w:rsidR="006F4095" w:rsidRPr="008127F8" w14:paraId="7F82A894" w14:textId="77777777">
        <w:trPr>
          <w:trHeight w:val="178"/>
        </w:trPr>
        <w:tc>
          <w:tcPr>
            <w:tcW w:w="2558" w:type="dxa"/>
            <w:shd w:val="clear" w:color="auto" w:fill="FFFFFF"/>
          </w:tcPr>
          <w:p w14:paraId="7E9B2619"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Площадь крыла (м</w:t>
            </w:r>
            <w:r w:rsidRPr="008127F8">
              <w:rPr>
                <w:rFonts w:ascii="Times New Roman" w:hAnsi="Times New Roman"/>
                <w:noProof/>
                <w:color w:val="000000" w:themeColor="text1"/>
                <w:sz w:val="16"/>
                <w:szCs w:val="16"/>
                <w:vertAlign w:val="superscript"/>
                <w:lang w:val="en-US"/>
              </w:rPr>
              <w:t>г</w:t>
            </w:r>
            <w:r w:rsidRPr="008127F8">
              <w:rPr>
                <w:rFonts w:ascii="Times New Roman" w:hAnsi="Times New Roman"/>
                <w:noProof/>
                <w:color w:val="000000" w:themeColor="text1"/>
                <w:sz w:val="16"/>
                <w:szCs w:val="16"/>
                <w:lang w:val="en-US"/>
              </w:rPr>
              <w:t>)</w:t>
            </w:r>
          </w:p>
        </w:tc>
        <w:tc>
          <w:tcPr>
            <w:tcW w:w="950" w:type="dxa"/>
            <w:shd w:val="clear" w:color="auto" w:fill="FFFFFF"/>
          </w:tcPr>
          <w:p w14:paraId="21117EC0"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78,0</w:t>
            </w:r>
          </w:p>
        </w:tc>
        <w:tc>
          <w:tcPr>
            <w:tcW w:w="1910" w:type="dxa"/>
            <w:shd w:val="clear" w:color="auto" w:fill="FFFFFF"/>
          </w:tcPr>
          <w:p w14:paraId="3738545B"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78,34</w:t>
            </w:r>
          </w:p>
        </w:tc>
        <w:tc>
          <w:tcPr>
            <w:tcW w:w="1027" w:type="dxa"/>
            <w:shd w:val="clear" w:color="auto" w:fill="FFFFFF"/>
          </w:tcPr>
          <w:p w14:paraId="07090147"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78,8</w:t>
            </w:r>
          </w:p>
        </w:tc>
      </w:tr>
      <w:tr w:rsidR="006F4095" w:rsidRPr="008127F8" w14:paraId="59ED5FE2" w14:textId="77777777">
        <w:trPr>
          <w:trHeight w:val="173"/>
        </w:trPr>
        <w:tc>
          <w:tcPr>
            <w:tcW w:w="2558" w:type="dxa"/>
            <w:shd w:val="clear" w:color="auto" w:fill="FFFFFF"/>
          </w:tcPr>
          <w:p w14:paraId="528A20EA"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Вес пустого (кг)</w:t>
            </w:r>
          </w:p>
        </w:tc>
        <w:tc>
          <w:tcPr>
            <w:tcW w:w="950" w:type="dxa"/>
            <w:shd w:val="clear" w:color="auto" w:fill="FFFFFF"/>
          </w:tcPr>
          <w:p w14:paraId="181D814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10392</w:t>
            </w:r>
          </w:p>
        </w:tc>
        <w:tc>
          <w:tcPr>
            <w:tcW w:w="1910" w:type="dxa"/>
            <w:shd w:val="clear" w:color="auto" w:fill="FFFFFF"/>
          </w:tcPr>
          <w:p w14:paraId="3EF4890F"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11873</w:t>
            </w:r>
          </w:p>
        </w:tc>
        <w:tc>
          <w:tcPr>
            <w:tcW w:w="1027" w:type="dxa"/>
            <w:shd w:val="clear" w:color="auto" w:fill="FFFFFF"/>
          </w:tcPr>
          <w:p w14:paraId="463AD4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6736C112" w14:textId="77777777">
        <w:trPr>
          <w:trHeight w:val="158"/>
        </w:trPr>
        <w:tc>
          <w:tcPr>
            <w:tcW w:w="2558" w:type="dxa"/>
            <w:shd w:val="clear" w:color="auto" w:fill="FFFFFF"/>
          </w:tcPr>
          <w:p w14:paraId="028449A1"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(кг)</w:t>
            </w:r>
          </w:p>
        </w:tc>
        <w:tc>
          <w:tcPr>
            <w:tcW w:w="950" w:type="dxa"/>
            <w:shd w:val="clear" w:color="auto" w:fill="FFFFFF"/>
          </w:tcPr>
          <w:p w14:paraId="280967E0"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14705</w:t>
            </w:r>
          </w:p>
        </w:tc>
        <w:tc>
          <w:tcPr>
            <w:tcW w:w="1910" w:type="dxa"/>
            <w:shd w:val="clear" w:color="auto" w:fill="FFFFFF"/>
          </w:tcPr>
          <w:p w14:paraId="0BE2D3AC"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15183</w:t>
            </w:r>
          </w:p>
        </w:tc>
        <w:tc>
          <w:tcPr>
            <w:tcW w:w="1027" w:type="dxa"/>
            <w:shd w:val="clear" w:color="auto" w:fill="FFFFFF"/>
          </w:tcPr>
          <w:p w14:paraId="17DF290E"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15500</w:t>
            </w:r>
          </w:p>
        </w:tc>
      </w:tr>
      <w:tr w:rsidR="006F4095" w:rsidRPr="008127F8" w14:paraId="5FF430F3" w14:textId="77777777">
        <w:trPr>
          <w:trHeight w:val="168"/>
        </w:trPr>
        <w:tc>
          <w:tcPr>
            <w:tcW w:w="2558" w:type="dxa"/>
            <w:shd w:val="clear" w:color="auto" w:fill="FFFFFF"/>
          </w:tcPr>
          <w:p w14:paraId="3A99B837"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363CE64E"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15245</w:t>
            </w:r>
          </w:p>
        </w:tc>
        <w:tc>
          <w:tcPr>
            <w:tcW w:w="1910" w:type="dxa"/>
            <w:shd w:val="clear" w:color="auto" w:fill="FFFFFF"/>
          </w:tcPr>
          <w:p w14:paraId="595C0D6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18500</w:t>
            </w:r>
          </w:p>
        </w:tc>
        <w:tc>
          <w:tcPr>
            <w:tcW w:w="1027" w:type="dxa"/>
            <w:shd w:val="clear" w:color="auto" w:fill="FFFFFF"/>
          </w:tcPr>
          <w:p w14:paraId="3B7A5AA5"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17800</w:t>
            </w:r>
          </w:p>
        </w:tc>
      </w:tr>
      <w:tr w:rsidR="006F4095" w:rsidRPr="008127F8" w14:paraId="2CA2C72C" w14:textId="77777777">
        <w:trPr>
          <w:trHeight w:val="178"/>
        </w:trPr>
        <w:tc>
          <w:tcPr>
            <w:tcW w:w="2558" w:type="dxa"/>
            <w:shd w:val="clear" w:color="auto" w:fill="FFFFFF"/>
          </w:tcPr>
          <w:p w14:paraId="3606BF48"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Нагрузка на крыло (кг/м</w:t>
            </w:r>
            <w:r w:rsidRPr="008127F8">
              <w:rPr>
                <w:rFonts w:ascii="Times New Roman" w:hAnsi="Times New Roman"/>
                <w:noProof/>
                <w:color w:val="000000" w:themeColor="text1"/>
                <w:sz w:val="16"/>
                <w:szCs w:val="16"/>
                <w:vertAlign w:val="superscript"/>
              </w:rPr>
              <w:t>г</w:t>
            </w:r>
            <w:r w:rsidRPr="008127F8">
              <w:rPr>
                <w:rFonts w:ascii="Times New Roman" w:hAnsi="Times New Roman"/>
                <w:noProof/>
                <w:color w:val="000000" w:themeColor="text1"/>
                <w:sz w:val="16"/>
                <w:szCs w:val="16"/>
              </w:rPr>
              <w:t>)</w:t>
            </w:r>
          </w:p>
        </w:tc>
        <w:tc>
          <w:tcPr>
            <w:tcW w:w="950" w:type="dxa"/>
            <w:shd w:val="clear" w:color="auto" w:fill="FFFFFF"/>
          </w:tcPr>
          <w:p w14:paraId="3BE5014D"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188,5 *</w:t>
            </w:r>
          </w:p>
        </w:tc>
        <w:tc>
          <w:tcPr>
            <w:tcW w:w="1910" w:type="dxa"/>
            <w:shd w:val="clear" w:color="auto" w:fill="FFFFFF"/>
          </w:tcPr>
          <w:p w14:paraId="5B6FC023"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193,8</w:t>
            </w:r>
          </w:p>
        </w:tc>
        <w:tc>
          <w:tcPr>
            <w:tcW w:w="1027" w:type="dxa"/>
            <w:shd w:val="clear" w:color="auto" w:fill="FFFFFF"/>
          </w:tcPr>
          <w:p w14:paraId="692ADE65"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225,8</w:t>
            </w:r>
          </w:p>
        </w:tc>
      </w:tr>
      <w:tr w:rsidR="006F4095" w:rsidRPr="008127F8" w14:paraId="479AEDF1" w14:textId="77777777">
        <w:trPr>
          <w:trHeight w:val="173"/>
        </w:trPr>
        <w:tc>
          <w:tcPr>
            <w:tcW w:w="2558" w:type="dxa"/>
            <w:shd w:val="clear" w:color="auto" w:fill="FFFFFF"/>
          </w:tcPr>
          <w:p w14:paraId="7BBFADD6"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Скорость макс. Н=0 (км/ч)</w:t>
            </w:r>
          </w:p>
        </w:tc>
        <w:tc>
          <w:tcPr>
            <w:tcW w:w="950" w:type="dxa"/>
            <w:shd w:val="clear" w:color="auto" w:fill="FFFFFF"/>
          </w:tcPr>
          <w:p w14:paraId="037CD63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486</w:t>
            </w:r>
          </w:p>
        </w:tc>
        <w:tc>
          <w:tcPr>
            <w:tcW w:w="1910" w:type="dxa"/>
            <w:shd w:val="clear" w:color="auto" w:fill="FFFFFF"/>
          </w:tcPr>
          <w:p w14:paraId="6731DB8F"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456</w:t>
            </w:r>
          </w:p>
        </w:tc>
        <w:tc>
          <w:tcPr>
            <w:tcW w:w="1027" w:type="dxa"/>
            <w:shd w:val="clear" w:color="auto" w:fill="FFFFFF"/>
          </w:tcPr>
          <w:p w14:paraId="7EC0DAE8"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440</w:t>
            </w:r>
          </w:p>
        </w:tc>
      </w:tr>
      <w:tr w:rsidR="006F4095" w:rsidRPr="008127F8" w14:paraId="423441D6" w14:textId="77777777">
        <w:trPr>
          <w:trHeight w:val="173"/>
        </w:trPr>
        <w:tc>
          <w:tcPr>
            <w:tcW w:w="2558" w:type="dxa"/>
            <w:shd w:val="clear" w:color="auto" w:fill="FFFFFF"/>
          </w:tcPr>
          <w:p w14:paraId="1DA7138A"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Скорость макс, (км/ч)</w:t>
            </w:r>
          </w:p>
        </w:tc>
        <w:tc>
          <w:tcPr>
            <w:tcW w:w="950" w:type="dxa"/>
            <w:shd w:val="clear" w:color="auto" w:fill="FFFFFF"/>
          </w:tcPr>
          <w:p w14:paraId="2DA5589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620</w:t>
            </w:r>
          </w:p>
        </w:tc>
        <w:tc>
          <w:tcPr>
            <w:tcW w:w="1910" w:type="dxa"/>
            <w:shd w:val="clear" w:color="auto" w:fill="FFFFFF"/>
          </w:tcPr>
          <w:p w14:paraId="3B439ECC"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545</w:t>
            </w:r>
          </w:p>
        </w:tc>
        <w:tc>
          <w:tcPr>
            <w:tcW w:w="1027" w:type="dxa"/>
            <w:shd w:val="clear" w:color="auto" w:fill="FFFFFF"/>
          </w:tcPr>
          <w:p w14:paraId="2C2FD61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570</w:t>
            </w:r>
          </w:p>
        </w:tc>
      </w:tr>
      <w:tr w:rsidR="006F4095" w:rsidRPr="008127F8" w14:paraId="7FC84178" w14:textId="77777777">
        <w:trPr>
          <w:trHeight w:val="158"/>
        </w:trPr>
        <w:tc>
          <w:tcPr>
            <w:tcW w:w="2558" w:type="dxa"/>
            <w:shd w:val="clear" w:color="auto" w:fill="FFFFFF"/>
          </w:tcPr>
          <w:p w14:paraId="69CE8BA7"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 высоте (м)</w:t>
            </w:r>
          </w:p>
        </w:tc>
        <w:tc>
          <w:tcPr>
            <w:tcW w:w="950" w:type="dxa"/>
            <w:shd w:val="clear" w:color="auto" w:fill="FFFFFF"/>
          </w:tcPr>
          <w:p w14:paraId="33D06880"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10000</w:t>
            </w:r>
          </w:p>
        </w:tc>
        <w:tc>
          <w:tcPr>
            <w:tcW w:w="1910" w:type="dxa"/>
            <w:shd w:val="clear" w:color="auto" w:fill="FFFFFF"/>
          </w:tcPr>
          <w:p w14:paraId="5D45C061"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6000</w:t>
            </w:r>
          </w:p>
        </w:tc>
        <w:tc>
          <w:tcPr>
            <w:tcW w:w="1027" w:type="dxa"/>
            <w:shd w:val="clear" w:color="auto" w:fill="FFFFFF"/>
          </w:tcPr>
          <w:p w14:paraId="57F226D3"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8500</w:t>
            </w:r>
          </w:p>
        </w:tc>
      </w:tr>
      <w:tr w:rsidR="006F4095" w:rsidRPr="008127F8" w14:paraId="35B68D33" w14:textId="77777777">
        <w:trPr>
          <w:trHeight w:val="178"/>
        </w:trPr>
        <w:tc>
          <w:tcPr>
            <w:tcW w:w="2558" w:type="dxa"/>
            <w:shd w:val="clear" w:color="auto" w:fill="FFFFFF"/>
          </w:tcPr>
          <w:p w14:paraId="40848A1C"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37B33534"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115</w:t>
            </w:r>
          </w:p>
        </w:tc>
        <w:tc>
          <w:tcPr>
            <w:tcW w:w="1910" w:type="dxa"/>
            <w:shd w:val="clear" w:color="auto" w:fill="FFFFFF"/>
          </w:tcPr>
          <w:p w14:paraId="710CEE58"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w:t>
            </w:r>
          </w:p>
        </w:tc>
        <w:tc>
          <w:tcPr>
            <w:tcW w:w="1027" w:type="dxa"/>
            <w:shd w:val="clear" w:color="auto" w:fill="FFFFFF"/>
          </w:tcPr>
          <w:p w14:paraId="182099BC"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130</w:t>
            </w:r>
          </w:p>
        </w:tc>
      </w:tr>
      <w:tr w:rsidR="006F4095" w:rsidRPr="008127F8" w14:paraId="6BD4ABCF" w14:textId="77777777">
        <w:trPr>
          <w:trHeight w:val="163"/>
        </w:trPr>
        <w:tc>
          <w:tcPr>
            <w:tcW w:w="2558" w:type="dxa"/>
            <w:shd w:val="clear" w:color="auto" w:fill="FFFFFF"/>
          </w:tcPr>
          <w:p w14:paraId="3753B771"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21B142B1"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13,8 **</w:t>
            </w:r>
          </w:p>
        </w:tc>
        <w:tc>
          <w:tcPr>
            <w:tcW w:w="1910" w:type="dxa"/>
            <w:shd w:val="clear" w:color="auto" w:fill="FFFFFF"/>
          </w:tcPr>
          <w:p w14:paraId="2858559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c>
          <w:tcPr>
            <w:tcW w:w="1027" w:type="dxa"/>
            <w:shd w:val="clear" w:color="auto" w:fill="FFFFFF"/>
          </w:tcPr>
          <w:p w14:paraId="5FD790A3"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r>
      <w:tr w:rsidR="006F4095" w:rsidRPr="008127F8" w14:paraId="6390CA40" w14:textId="77777777">
        <w:trPr>
          <w:trHeight w:val="168"/>
        </w:trPr>
        <w:tc>
          <w:tcPr>
            <w:tcW w:w="2558" w:type="dxa"/>
            <w:shd w:val="clear" w:color="auto" w:fill="FFFFFF"/>
          </w:tcPr>
          <w:p w14:paraId="58D001EF"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3EE710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4176C6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04B9B6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8127F8" w14:paraId="1773BE15" w14:textId="77777777">
        <w:trPr>
          <w:trHeight w:val="178"/>
        </w:trPr>
        <w:tc>
          <w:tcPr>
            <w:tcW w:w="2558" w:type="dxa"/>
            <w:shd w:val="clear" w:color="auto" w:fill="FFFFFF"/>
          </w:tcPr>
          <w:p w14:paraId="44ABEAC4"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нагрузкой 1000 кг(км)</w:t>
            </w:r>
          </w:p>
        </w:tc>
        <w:tc>
          <w:tcPr>
            <w:tcW w:w="950" w:type="dxa"/>
            <w:shd w:val="clear" w:color="auto" w:fill="FFFFFF"/>
          </w:tcPr>
          <w:p w14:paraId="125A422A"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3850</w:t>
            </w:r>
          </w:p>
        </w:tc>
        <w:tc>
          <w:tcPr>
            <w:tcW w:w="1910" w:type="dxa"/>
            <w:shd w:val="clear" w:color="auto" w:fill="FFFFFF"/>
          </w:tcPr>
          <w:p w14:paraId="2BA8FA62"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3440</w:t>
            </w:r>
          </w:p>
        </w:tc>
        <w:tc>
          <w:tcPr>
            <w:tcW w:w="1027" w:type="dxa"/>
            <w:shd w:val="clear" w:color="auto" w:fill="FFFFFF"/>
          </w:tcPr>
          <w:p w14:paraId="0C9A5321"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3470</w:t>
            </w:r>
          </w:p>
        </w:tc>
      </w:tr>
      <w:tr w:rsidR="006F4095" w:rsidRPr="008127F8" w14:paraId="00E77524" w14:textId="77777777">
        <w:trPr>
          <w:trHeight w:val="178"/>
        </w:trPr>
        <w:tc>
          <w:tcPr>
            <w:tcW w:w="2558" w:type="dxa"/>
            <w:tcBorders>
              <w:bottom w:val="single" w:sz="12" w:space="0" w:color="auto"/>
            </w:tcBorders>
            <w:shd w:val="clear" w:color="auto" w:fill="FFFFFF"/>
          </w:tcPr>
          <w:p w14:paraId="4E4FDBBB"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68AD864C"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64060AFE"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56E09600" w14:textId="77777777" w:rsidR="00BE3C69" w:rsidRPr="008127F8" w:rsidRDefault="00BE3C69" w:rsidP="001E0A84">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10750***</w:t>
            </w:r>
          </w:p>
        </w:tc>
      </w:tr>
    </w:tbl>
    <w:p w14:paraId="4A859236"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w:t>
      </w:r>
      <w:r w:rsidRPr="008127F8">
        <w:rPr>
          <w:rFonts w:ascii="Times New Roman" w:hAnsi="Times New Roman"/>
          <w:noProof/>
          <w:color w:val="000000" w:themeColor="text1"/>
          <w:sz w:val="16"/>
          <w:szCs w:val="16"/>
          <w:lang w:val="en-US"/>
        </w:rPr>
        <w:t>с нормальным взлетным весом</w:t>
      </w:r>
    </w:p>
    <w:p w14:paraId="0146FAF0"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расчетное значение для высоты 5000 м</w:t>
      </w:r>
    </w:p>
    <w:p w14:paraId="1B15758C"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достигнупотолок</w:t>
      </w:r>
      <w:r w:rsidRPr="008127F8">
        <w:rPr>
          <w:rFonts w:ascii="Times New Roman" w:hAnsi="Times New Roman"/>
          <w:color w:val="000000" w:themeColor="text1"/>
          <w:sz w:val="16"/>
          <w:szCs w:val="16"/>
        </w:rPr>
        <w:t xml:space="preserve"> (11941).</w:t>
      </w:r>
    </w:p>
    <w:p w14:paraId="214B43B8"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5F71B03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заводе № 39 в Иркутске возобновились работы по Пе-3. Первые 11 самолетов были собраны из деталей, эвакуированных из Москвы. В отличие от опытного Пе-Збис, на серийном истребителе пулеметы УБ были перенесены из носовой части фюзеляжа в гру- зоотсек, где их закрепили на общей раме, закрытой легким открывающимся вниз люком. У штурмана смонтировали серийную установку Б-270 с пулеметом УБК. Было усилено бронирование экипажа (масса брони составила 148 кг). Силовая установка состояла из двух двигателей М- 105РА мощностью по 1050 л.с. (12037).</w:t>
      </w:r>
    </w:p>
    <w:p w14:paraId="2782F3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00DAF" w14:textId="77777777" w:rsidR="00D34C9F" w:rsidRPr="008127F8" w:rsidRDefault="00D34C9F"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месяце 1942 на заводе № 39 была изготовлена первая головная машина Пе-3бис, которую поднял в воздух летчик-испытатель завода Н.К. Федоров. Затем машину отправили в НИИ ВВС для прохождения Государственных испытаний. Отличия Пе-3бис от первого варианта заключались в следующем: из носовой части изъяли пулеметы УБК и разместили их под центропланом на месте прежнего бомбоотсека, причем оба УБК закрепили на общей раме, закрытой легким люком. Пушка ШВАК осталась в носовой части. У штурмана установили турель Торопова в варианте ВУБ-1. Усилили бронезащиту: спереди летчика прикрыли отдельными бронеплитами от 4 до 6,5 мм, бронеспинку сидения выполнили из 13 мм стали, забронировали также нижний люк кабины экипажа. От остекления в носовой части оставили лишь небольшой смотровой люк перед штурманом для прицеливания при бомбометании в горизонтальном полете. В хвостовой части фюзеляжа установили дополнительные бензобаки. Нормальная полетная масса второго варианта составляла 8002 кг. Максимальная скорость у земли – 438 км/ч, на высоте – до 527 км/ч. За боевой разворот самолет набирал 540 метров, время виража на высоте 1000 метров составляло 30 секунд, а высоту 5000 метров истребитель набирал за 9,65 минут. Эти летно-технические данные считались типовыми для серийного Пе-3бис образца 1942 года. В серию истребитель запустили в мае 1942 года. В том же месяце из деталей, привезенных из Москвы, собрали еще 11 Пе-3 (15223).</w:t>
      </w:r>
    </w:p>
    <w:p w14:paraId="79A9E955" w14:textId="77777777" w:rsidR="00D34C9F" w:rsidRPr="008127F8" w:rsidRDefault="00D34C9F" w:rsidP="001E0A84">
      <w:pPr>
        <w:shd w:val="clear" w:color="auto" w:fill="FFFFFF"/>
        <w:spacing w:after="0" w:line="240" w:lineRule="auto"/>
        <w:jc w:val="both"/>
        <w:rPr>
          <w:rFonts w:ascii="Times New Roman" w:hAnsi="Times New Roman"/>
          <w:color w:val="000000" w:themeColor="text1"/>
          <w:sz w:val="16"/>
          <w:szCs w:val="16"/>
        </w:rPr>
      </w:pPr>
    </w:p>
    <w:p w14:paraId="06695E4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серию в Иркутске запустили Пе-Збис (в этом же месяце из деталей, привезенных из Москвы, сумели собрать еще 11 "обычных" Пе-3, доведя их общее количество до 207 единиц), а в НИИ ВВС опытный самолет зав. № 40143900 попал только в конце мая. Серийные машины имели шестизначные заводские номера, например, 400105, что означало - Пе-Збис или 40-й тип (40), первой серии (01), пятый самолет (05). В некоторых документах второй "ноль" в заводском номере не указывался, так как количество серий Пе-Збис не превысило десятка.</w:t>
      </w:r>
    </w:p>
    <w:p w14:paraId="1351F7E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завод № 39 выпустил 121 истребитель Пе-Збис. Еще 13 машин в варианте дальних разведчиков построили и сдали в строевые части в начале 1943 г. На этом производство Пе-Збис прекратили (моторы М-105Р, необходимые для этих самолетов, долго искали по всей стране, поскольку на пикировщики Пе-2 к тому времени стали устанавливать менее высотные, но несколько более мощные М-105ПФ). С осени 1942 г. предприятие перешло на массовый выпуск дальних бомбардировщиков Ил-4 (12042).</w:t>
      </w:r>
    </w:p>
    <w:p w14:paraId="4A9FF7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793AB"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Пе-3 запустили в серию в Иркутске, куда поехал 39 завод (235,4).</w:t>
      </w:r>
    </w:p>
    <w:p w14:paraId="35E8ED06"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9DA38"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39-м заводе в Иркутску запустили в серию Пе-3бис (в этом же месяце из деталей, привезенных из Москвы, сумели собрать еще 11 “обычных” Пе-3, доведя их общее количество до 207 единиц), а в НИИ ВВС опытный самолет второго варианта (зав. № 40143900) попал только в конце мая. Контрольные испытания проводил летчик М.Нюхтиков. Отличия машины от первого варианта Пе-3бис заключались в следующем:</w:t>
      </w:r>
    </w:p>
    <w:p w14:paraId="1795646C"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пулеметы УБК изъяли из носовой части фюзеляжа и разместили под центропланом на месте прежнего бомбоотсека Пе-2. Оба УБК закрепили на общей раме, закрытой легким открывающимся вбок люком. Передняя часть рамы имела цапфы, относительно которых могла поворачиваться при обслуживании пулеметов. При освобождении задних узлов крепления пулеметы вместе с патронными ящиками опускались казенной частью вниз, что существенно упрощало процесс подготовки </w:t>
      </w:r>
      <w:r w:rsidRPr="008127F8">
        <w:rPr>
          <w:rFonts w:ascii="Times New Roman" w:hAnsi="Times New Roman"/>
          <w:color w:val="000000" w:themeColor="text1"/>
          <w:sz w:val="16"/>
          <w:szCs w:val="16"/>
        </w:rPr>
        <w:lastRenderedPageBreak/>
        <w:t>вооружения. Боекомплект правого пулемета состоял из 230, а левого - из 265 патронов;</w:t>
      </w:r>
    </w:p>
    <w:p w14:paraId="593A410D"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вместо турели, разработанной для первого опытного Пе-3бис заводом № 39, у штурмана смонтировали серийную установку конструкции завода № 32 (так называемую “установку Торопова”, она же ВУБ-1, она же Б-270). Питание пулемета УБК (на турели устанавливался именно крыльевой, с электроспуском и пневмоперезарядкой, а не специальный турельный вариант пулемета Березина) было ленточным, боекомплект состоял из 200 патронов. Для повышения надежности установки пулемет оборудовали устройством электроподтяга ленты. В ходе испытаний выяснилось, что отклонение пулемета в стороны усилиями штурмана на угол свыше 40-50° при крейсерских скоростях полета невозможно из-за больших аэродинамических нагрузок. Для устранения этого явления на экран установили двухлепестковый компенсатор, оказавшийся, впрочем, недостаточно эффективным;</w:t>
      </w:r>
    </w:p>
    <w:p w14:paraId="2ADE63F2"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кабине экипажа в качестве вынужденной меры сняли противокапотажную раму для улучшения условий работы штурмана в полете;</w:t>
      </w:r>
    </w:p>
    <w:p w14:paraId="30ACF4AF"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усилили бронирование экипажа, при этом общая масса стальной брони возросла до 148 кг. Спереди пилота прикрыли бронеплитками толщиной 4-6,5 мм, чего нельзя было сделать на первом варианте Пе-3бис, носовая часть которого оказалась буквально “нашпигована” оружием. </w:t>
      </w:r>
      <w:proofErr w:type="gramStart"/>
      <w:r w:rsidRPr="008127F8">
        <w:rPr>
          <w:rFonts w:ascii="Times New Roman" w:hAnsi="Times New Roman"/>
          <w:color w:val="000000" w:themeColor="text1"/>
          <w:sz w:val="16"/>
          <w:szCs w:val="16"/>
        </w:rPr>
        <w:t>Броне-спинку</w:t>
      </w:r>
      <w:proofErr w:type="gramEnd"/>
      <w:r w:rsidRPr="008127F8">
        <w:rPr>
          <w:rFonts w:ascii="Times New Roman" w:hAnsi="Times New Roman"/>
          <w:color w:val="000000" w:themeColor="text1"/>
          <w:sz w:val="16"/>
          <w:szCs w:val="16"/>
        </w:rPr>
        <w:t xml:space="preserve"> сиденья пилота выполнили из стали толщиной 13 мм, а лобовые стекла - из 45-миллиметрового сталинита. Кроме того, забронировали нижний люк кабины экипажа для защиты от случайного выстрела из УБК в момент посадки в самолет;</w:t>
      </w:r>
    </w:p>
    <w:p w14:paraId="7633B922"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остекление в носовой части фюзеляжа ликвидировали, оставив лишь небольшой смотровой люк перед штурманом для осуществления прицеливания при бомбометании с горизонтального полета;</w:t>
      </w:r>
    </w:p>
    <w:p w14:paraId="39524C35"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перенос оружия в центроплан потребовал уменьшения емкости бензобака № 7 и запаса горючего на 100 л. Для изоляции бака и предохранения его от нагрева ввели асбестовую перегородку, которая одновременно служила экраном, предохранявшим пулеметы от подтекания на них бензина;</w:t>
      </w:r>
    </w:p>
    <w:p w14:paraId="254254AA"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площадь килей увеличили на 15 % для повышения путевой устойчивости (только на опытном самолете);</w:t>
      </w:r>
    </w:p>
    <w:p w14:paraId="7CB6B534"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установили противообледенительную систему на винты и лобовое стекло фонаря кабины;</w:t>
      </w:r>
    </w:p>
    <w:p w14:paraId="0852759E"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вместо регуляторов постоянных оборотов винта Р-3 с электродистанционным управлением, недостатком которых была возможность раскрутки винтов при выходе из пикирования, смонтировали агрегаты Р-7 со штурвальным управлением из кабины пилота.</w:t>
      </w:r>
    </w:p>
    <w:p w14:paraId="5E76ED43"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 тяжести самолета, особенно при посадке с опустевшими баками, заметно сместился вперед из-за размещения в носовой части фюзеляжа пушки и брони. Все это привело к уменьшению противокапотажного угла и невозможности эффективного торможения - самолет так и норовил “встать на нос”. С целью устранения недостатка подкосы основных стоек удлинили, в результате чего колеса в выпущенном положении сместились вперед на 60 мм. Этого оказалось достаточно для некоторого улучшения поведения истребителя на посадке.</w:t>
      </w:r>
    </w:p>
    <w:p w14:paraId="13790C64"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 полетная масса Пе-3бис составляла 8002 кг. Максимальная скорость полета по сравнению с машиной первого варианта немного уменьшилась: у земли до 438 км/ч, а на высоте - до 527 км/ч (из-за компенсатора турели, увеличенных килей и подфюзеляжных пулеметов). За боевой разворот самолет набирал 540 м, время виража на высоте 1000 м составляло 30 с, а высоту 5000 м истребитель набирал за 9,65 мин. Эти летно-технические данные можно считать типовыми для серийного Пе-3бис производства 1942 г. Заводские номера серийных машин были шестизначными, например, 400105, что означало - Пе-3бис (40), пятый самолет (05) первой серии (01). В некоторых документах второй “ноль” в заводском номере не указывался, так как количество серий Пе-3бис не превысило десятка (4476).</w:t>
      </w:r>
    </w:p>
    <w:p w14:paraId="25DD2522"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643CC"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на 39 заводе в Иркутске выпустили 11 Пе-3бис с УБ в грузоотсеке из деталей, доставленных из Москвы (1722,52).</w:t>
      </w:r>
    </w:p>
    <w:p w14:paraId="2FC3B6A9"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34B2A"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Изаксона на казанском заводе, производившем Пе-2, сменил А.И.Путилов (4,168).</w:t>
      </w:r>
    </w:p>
    <w:p w14:paraId="6AA72E99"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38119"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 НИИ ВВС закончились совместные испытания Пе-2Ф с М-105ТК-2Ф, которые шли с марта 1942. Л м А.М.Хрипков выполнил 34 полета и три завершились вынужденными посадками из-за отказа ВМГ. На 6500 м получили только 560 км/час и отличия от Пе-2 оказались незначительными (2205,36).</w:t>
      </w:r>
    </w:p>
    <w:p w14:paraId="436C5A93"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Собственная летно-испытательная станция завода N 18 была создана в Куйбышеве только в апреле 1942 и только в это время завод вышел на уровень выпуска в Воронеже (23,35).</w:t>
      </w:r>
    </w:p>
    <w:p w14:paraId="2EDB7F9D" w14:textId="77777777" w:rsidR="00D34C9F" w:rsidRPr="008127F8" w:rsidRDefault="00D34C9F"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6568F"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 апреле 1942 г. ге</w:t>
      </w:r>
      <w:r w:rsidRPr="008127F8">
        <w:rPr>
          <w:rFonts w:ascii="Times New Roman" w:hAnsi="Times New Roman"/>
          <w:color w:val="000000" w:themeColor="text1"/>
          <w:sz w:val="16"/>
          <w:szCs w:val="16"/>
          <w:lang w:eastAsia="ru-RU" w:bidi="ru-RU"/>
        </w:rPr>
        <w:softHyphen/>
        <w:t>нерал-лейтенант Д.Д. Грендель, замести</w:t>
      </w:r>
      <w:r w:rsidRPr="008127F8">
        <w:rPr>
          <w:rFonts w:ascii="Times New Roman" w:hAnsi="Times New Roman"/>
          <w:color w:val="000000" w:themeColor="text1"/>
          <w:sz w:val="16"/>
          <w:szCs w:val="16"/>
          <w:lang w:eastAsia="ru-RU" w:bidi="ru-RU"/>
        </w:rPr>
        <w:softHyphen/>
        <w:t>тель начальника штаба ВВС по разведке, договорился о получении четырех ма</w:t>
      </w:r>
      <w:r w:rsidRPr="008127F8">
        <w:rPr>
          <w:rFonts w:ascii="Times New Roman" w:hAnsi="Times New Roman"/>
          <w:color w:val="000000" w:themeColor="text1"/>
          <w:sz w:val="16"/>
          <w:szCs w:val="16"/>
          <w:lang w:eastAsia="ru-RU" w:bidi="ru-RU"/>
        </w:rPr>
        <w:softHyphen/>
        <w:t>шин Ту-2 для проведения войсковых испыта</w:t>
      </w:r>
      <w:r w:rsidRPr="008127F8">
        <w:rPr>
          <w:rFonts w:ascii="Times New Roman" w:hAnsi="Times New Roman"/>
          <w:color w:val="000000" w:themeColor="text1"/>
          <w:sz w:val="16"/>
          <w:szCs w:val="16"/>
          <w:lang w:eastAsia="ru-RU" w:bidi="ru-RU"/>
        </w:rPr>
        <w:softHyphen/>
        <w:t>ний в качестве разведчиков. Их должны были вести во 2-м полку дальней разведки. Эта часть осуществляла стратегическую фоторазведку в интере</w:t>
      </w:r>
      <w:r w:rsidRPr="008127F8">
        <w:rPr>
          <w:rFonts w:ascii="Times New Roman" w:hAnsi="Times New Roman"/>
          <w:color w:val="000000" w:themeColor="text1"/>
          <w:sz w:val="16"/>
          <w:szCs w:val="16"/>
          <w:lang w:eastAsia="ru-RU" w:bidi="ru-RU"/>
        </w:rPr>
        <w:softHyphen/>
        <w:t>сах Ставки Верховного Главнокомандова</w:t>
      </w:r>
      <w:r w:rsidRPr="008127F8">
        <w:rPr>
          <w:rFonts w:ascii="Times New Roman" w:hAnsi="Times New Roman"/>
          <w:color w:val="000000" w:themeColor="text1"/>
          <w:sz w:val="16"/>
          <w:szCs w:val="16"/>
          <w:lang w:eastAsia="ru-RU" w:bidi="ru-RU"/>
        </w:rPr>
        <w:softHyphen/>
        <w:t>ния. 22 мая группа, отобранная из летного и технического состава 1-й эскадрильи, во главе с майором А.С. Рудкевичем отпра</w:t>
      </w:r>
      <w:r w:rsidRPr="008127F8">
        <w:rPr>
          <w:rFonts w:ascii="Times New Roman" w:hAnsi="Times New Roman"/>
          <w:color w:val="000000" w:themeColor="text1"/>
          <w:sz w:val="16"/>
          <w:szCs w:val="16"/>
          <w:lang w:eastAsia="ru-RU" w:bidi="ru-RU"/>
        </w:rPr>
        <w:softHyphen/>
        <w:t>вилась в Омск.</w:t>
      </w:r>
    </w:p>
    <w:p w14:paraId="20C3777B"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Освоив самолеты, их перегнали на подмосковный аэродром Монино. Туда все четыре Ту-2 прилетели 30 ок</w:t>
      </w:r>
      <w:r w:rsidRPr="008127F8">
        <w:rPr>
          <w:rFonts w:ascii="Times New Roman" w:hAnsi="Times New Roman"/>
          <w:color w:val="000000" w:themeColor="text1"/>
          <w:sz w:val="16"/>
          <w:szCs w:val="16"/>
          <w:lang w:eastAsia="ru-RU" w:bidi="ru-RU"/>
        </w:rPr>
        <w:softHyphen/>
        <w:t>тября. Это были обычные бомбардиров</w:t>
      </w:r>
      <w:r w:rsidRPr="008127F8">
        <w:rPr>
          <w:rFonts w:ascii="Times New Roman" w:hAnsi="Times New Roman"/>
          <w:color w:val="000000" w:themeColor="text1"/>
          <w:sz w:val="16"/>
          <w:szCs w:val="16"/>
          <w:lang w:eastAsia="ru-RU" w:bidi="ru-RU"/>
        </w:rPr>
        <w:softHyphen/>
        <w:t>щики, так как специального варианта раз</w:t>
      </w:r>
      <w:r w:rsidRPr="008127F8">
        <w:rPr>
          <w:rFonts w:ascii="Times New Roman" w:hAnsi="Times New Roman"/>
          <w:color w:val="000000" w:themeColor="text1"/>
          <w:sz w:val="16"/>
          <w:szCs w:val="16"/>
          <w:lang w:eastAsia="ru-RU" w:bidi="ru-RU"/>
        </w:rPr>
        <w:softHyphen/>
        <w:t>ведчика еще не существовало. В Монино мастерские оснастили самолеты фотоап</w:t>
      </w:r>
      <w:r w:rsidRPr="008127F8">
        <w:rPr>
          <w:rFonts w:ascii="Times New Roman" w:hAnsi="Times New Roman"/>
          <w:color w:val="000000" w:themeColor="text1"/>
          <w:sz w:val="16"/>
          <w:szCs w:val="16"/>
          <w:lang w:eastAsia="ru-RU" w:bidi="ru-RU"/>
        </w:rPr>
        <w:softHyphen/>
        <w:t>паратурой, дополнительные бензобаки не устанавливали.</w:t>
      </w:r>
    </w:p>
    <w:p w14:paraId="05CB60C3"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1-я эскадрилья базировалась на уже упоминавшемся аэродроме Мигалово. Впервые их задействовали в декабре 1942 г. во время боев под Демянском, где попала в «котел» большая группи</w:t>
      </w:r>
      <w:r w:rsidRPr="008127F8">
        <w:rPr>
          <w:rFonts w:ascii="Times New Roman" w:hAnsi="Times New Roman"/>
          <w:color w:val="000000" w:themeColor="text1"/>
          <w:sz w:val="16"/>
          <w:szCs w:val="16"/>
          <w:lang w:eastAsia="ru-RU" w:bidi="ru-RU"/>
        </w:rPr>
        <w:softHyphen/>
        <w:t>ровка немецких войск. Позиции немцев было предписано фотографировать ежед</w:t>
      </w:r>
      <w:r w:rsidRPr="008127F8">
        <w:rPr>
          <w:rFonts w:ascii="Times New Roman" w:hAnsi="Times New Roman"/>
          <w:color w:val="000000" w:themeColor="text1"/>
          <w:sz w:val="16"/>
          <w:szCs w:val="16"/>
          <w:lang w:eastAsia="ru-RU" w:bidi="ru-RU"/>
        </w:rPr>
        <w:softHyphen/>
        <w:t>невно. Пе-2 и Пе-3, отправляемые на за</w:t>
      </w:r>
      <w:r w:rsidRPr="008127F8">
        <w:rPr>
          <w:rFonts w:ascii="Times New Roman" w:hAnsi="Times New Roman"/>
          <w:color w:val="000000" w:themeColor="text1"/>
          <w:sz w:val="16"/>
          <w:szCs w:val="16"/>
          <w:lang w:eastAsia="ru-RU" w:bidi="ru-RU"/>
        </w:rPr>
        <w:softHyphen/>
        <w:t>дания, несли большие потери. Положение решили поправить, направив в этот район Ту-2. Первый вылет состоялся 30 декабря. Самолет-разведчик сопровождали пять истребителей. На маршруте им встрети</w:t>
      </w:r>
      <w:r w:rsidRPr="008127F8">
        <w:rPr>
          <w:rFonts w:ascii="Times New Roman" w:hAnsi="Times New Roman"/>
          <w:color w:val="000000" w:themeColor="text1"/>
          <w:sz w:val="16"/>
          <w:szCs w:val="16"/>
          <w:lang w:eastAsia="ru-RU" w:bidi="ru-RU"/>
        </w:rPr>
        <w:softHyphen/>
        <w:t>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w:t>
      </w:r>
      <w:r w:rsidRPr="008127F8">
        <w:rPr>
          <w:rFonts w:ascii="Times New Roman" w:hAnsi="Times New Roman"/>
          <w:color w:val="000000" w:themeColor="text1"/>
          <w:sz w:val="16"/>
          <w:szCs w:val="16"/>
          <w:lang w:eastAsia="ru-RU" w:bidi="ru-RU"/>
        </w:rPr>
        <w:softHyphen/>
        <w:t>вестно куда. Командиру эскорта, грубо го</w:t>
      </w:r>
      <w:r w:rsidRPr="008127F8">
        <w:rPr>
          <w:rFonts w:ascii="Times New Roman" w:hAnsi="Times New Roman"/>
          <w:color w:val="000000" w:themeColor="text1"/>
          <w:sz w:val="16"/>
          <w:szCs w:val="16"/>
          <w:lang w:eastAsia="ru-RU" w:bidi="ru-RU"/>
        </w:rPr>
        <w:softHyphen/>
        <w:t>воря, светил трибунал. С тяжелым сердцем он повел группу назад.</w:t>
      </w:r>
    </w:p>
    <w:p w14:paraId="664BB95B"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Но ему повезло. Разведчик вернулся и привез фотографии. На радостях истре</w:t>
      </w:r>
      <w:r w:rsidRPr="008127F8">
        <w:rPr>
          <w:rFonts w:ascii="Times New Roman" w:hAnsi="Times New Roman"/>
          <w:color w:val="000000" w:themeColor="text1"/>
          <w:sz w:val="16"/>
          <w:szCs w:val="16"/>
          <w:lang w:eastAsia="ru-RU" w:bidi="ru-RU"/>
        </w:rPr>
        <w:softHyphen/>
        <w:t>бителей простили. Ту-2 стали летать регу</w:t>
      </w:r>
      <w:r w:rsidRPr="008127F8">
        <w:rPr>
          <w:rFonts w:ascii="Times New Roman" w:hAnsi="Times New Roman"/>
          <w:color w:val="000000" w:themeColor="text1"/>
          <w:sz w:val="16"/>
          <w:szCs w:val="16"/>
          <w:lang w:eastAsia="ru-RU" w:bidi="ru-RU"/>
        </w:rPr>
        <w:softHyphen/>
        <w:t>лярно, в том числе и без прикрытия. Ра</w:t>
      </w:r>
      <w:r w:rsidRPr="008127F8">
        <w:rPr>
          <w:rFonts w:ascii="Times New Roman" w:hAnsi="Times New Roman"/>
          <w:color w:val="000000" w:themeColor="text1"/>
          <w:sz w:val="16"/>
          <w:szCs w:val="16"/>
          <w:lang w:eastAsia="ru-RU" w:bidi="ru-RU"/>
        </w:rPr>
        <w:softHyphen/>
        <w:t>ботали обычно одиночными самолетами с передовых аэродромов, отстоявших на 70-100 км от линии фронта.</w:t>
      </w:r>
    </w:p>
    <w:p w14:paraId="0212D1D2" w14:textId="77777777" w:rsidR="00984DDA" w:rsidRPr="008127F8" w:rsidRDefault="00984DDA"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Отзывы летчиков-разведчиков в це</w:t>
      </w:r>
      <w:r w:rsidRPr="008127F8">
        <w:rPr>
          <w:rFonts w:ascii="Times New Roman" w:hAnsi="Times New Roman"/>
          <w:color w:val="000000" w:themeColor="text1"/>
          <w:sz w:val="16"/>
          <w:szCs w:val="16"/>
          <w:lang w:eastAsia="ru-RU" w:bidi="ru-RU"/>
        </w:rPr>
        <w:softHyphen/>
        <w:t>лом повторяли то же, что говорили их коллеги в бомбардировочных полках: радиус действия в полтора-два раза больше, чем у Пе-2, выше скорость на ма</w:t>
      </w:r>
      <w:r w:rsidRPr="008127F8">
        <w:rPr>
          <w:rFonts w:ascii="Times New Roman" w:hAnsi="Times New Roman"/>
          <w:color w:val="000000" w:themeColor="text1"/>
          <w:sz w:val="16"/>
          <w:szCs w:val="16"/>
          <w:lang w:eastAsia="ru-RU" w:bidi="ru-RU"/>
        </w:rPr>
        <w:softHyphen/>
        <w:t>лых и средних высотах, двигатели воз</w:t>
      </w:r>
      <w:r w:rsidRPr="008127F8">
        <w:rPr>
          <w:rFonts w:ascii="Times New Roman" w:hAnsi="Times New Roman"/>
          <w:color w:val="000000" w:themeColor="text1"/>
          <w:sz w:val="16"/>
          <w:szCs w:val="16"/>
          <w:lang w:eastAsia="ru-RU" w:bidi="ru-RU"/>
        </w:rPr>
        <w:softHyphen/>
        <w:t>душного охлаждения обеспечивают луч</w:t>
      </w:r>
      <w:r w:rsidRPr="008127F8">
        <w:rPr>
          <w:rFonts w:ascii="Times New Roman" w:hAnsi="Times New Roman"/>
          <w:color w:val="000000" w:themeColor="text1"/>
          <w:sz w:val="16"/>
          <w:szCs w:val="16"/>
          <w:lang w:eastAsia="ru-RU" w:bidi="ru-RU"/>
        </w:rPr>
        <w:softHyphen/>
        <w:t>шую живучесть, мощное вооружение дает хорошую обороноспособность, самолет без труда летит на одном моторе. А жало</w:t>
      </w:r>
      <w:r w:rsidRPr="008127F8">
        <w:rPr>
          <w:rFonts w:ascii="Times New Roman" w:hAnsi="Times New Roman"/>
          <w:color w:val="000000" w:themeColor="text1"/>
          <w:sz w:val="16"/>
          <w:szCs w:val="16"/>
          <w:lang w:eastAsia="ru-RU" w:bidi="ru-RU"/>
        </w:rPr>
        <w:softHyphen/>
        <w:t>вались на недостаточную надежность дви</w:t>
      </w:r>
      <w:r w:rsidRPr="008127F8">
        <w:rPr>
          <w:rFonts w:ascii="Times New Roman" w:hAnsi="Times New Roman"/>
          <w:color w:val="000000" w:themeColor="text1"/>
          <w:sz w:val="16"/>
          <w:szCs w:val="16"/>
          <w:lang w:eastAsia="ru-RU" w:bidi="ru-RU"/>
        </w:rPr>
        <w:softHyphen/>
        <w:t>гателей и гидравлики.</w:t>
      </w:r>
    </w:p>
    <w:p w14:paraId="27081F23"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2 фев</w:t>
      </w:r>
      <w:r w:rsidRPr="008127F8">
        <w:rPr>
          <w:rFonts w:ascii="Times New Roman" w:hAnsi="Times New Roman"/>
          <w:color w:val="000000" w:themeColor="text1"/>
          <w:sz w:val="16"/>
          <w:szCs w:val="16"/>
          <w:lang w:eastAsia="ru-RU" w:bidi="ru-RU"/>
        </w:rPr>
        <w:softHyphen/>
        <w:t>раля 1943 г. переименовали в 47-й гвар</w:t>
      </w:r>
      <w:r w:rsidRPr="008127F8">
        <w:rPr>
          <w:rFonts w:ascii="Times New Roman" w:hAnsi="Times New Roman"/>
          <w:color w:val="000000" w:themeColor="text1"/>
          <w:sz w:val="16"/>
          <w:szCs w:val="16"/>
          <w:lang w:eastAsia="ru-RU" w:bidi="ru-RU"/>
        </w:rPr>
        <w:softHyphen/>
        <w:t>дейский, и 17 февраля в Монино состоя</w:t>
      </w:r>
      <w:r w:rsidRPr="008127F8">
        <w:rPr>
          <w:rFonts w:ascii="Times New Roman" w:hAnsi="Times New Roman"/>
          <w:color w:val="000000" w:themeColor="text1"/>
          <w:sz w:val="16"/>
          <w:szCs w:val="16"/>
          <w:lang w:eastAsia="ru-RU" w:bidi="ru-RU"/>
        </w:rPr>
        <w:softHyphen/>
        <w:t>лось торжественное вручение ему гвар</w:t>
      </w:r>
      <w:r w:rsidRPr="008127F8">
        <w:rPr>
          <w:rFonts w:ascii="Times New Roman" w:hAnsi="Times New Roman"/>
          <w:color w:val="000000" w:themeColor="text1"/>
          <w:sz w:val="16"/>
          <w:szCs w:val="16"/>
          <w:lang w:eastAsia="ru-RU" w:bidi="ru-RU"/>
        </w:rPr>
        <w:softHyphen/>
        <w:t>дейского знамени.</w:t>
      </w:r>
    </w:p>
    <w:p w14:paraId="7D9F3DE2"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Первый Ту-2 полк потерял 14 марта. Экипаж майора В.Ф. Столярова сни</w:t>
      </w:r>
      <w:r w:rsidRPr="008127F8">
        <w:rPr>
          <w:rFonts w:ascii="Times New Roman" w:hAnsi="Times New Roman"/>
          <w:color w:val="000000" w:themeColor="text1"/>
          <w:sz w:val="16"/>
          <w:szCs w:val="16"/>
          <w:lang w:eastAsia="ru-RU" w:bidi="ru-RU"/>
        </w:rPr>
        <w:softHyphen/>
        <w:t>мал позиции немцев под Старой Руссой. Он сообщил на базу: «Задание выполнено, возвращаемся». Но на обратном пути к аэродрому Выползово машину пере</w:t>
      </w:r>
      <w:r w:rsidRPr="008127F8">
        <w:rPr>
          <w:rFonts w:ascii="Times New Roman" w:hAnsi="Times New Roman"/>
          <w:color w:val="000000" w:themeColor="text1"/>
          <w:sz w:val="16"/>
          <w:szCs w:val="16"/>
          <w:lang w:eastAsia="ru-RU" w:bidi="ru-RU"/>
        </w:rPr>
        <w:softHyphen/>
        <w:t xml:space="preserve">хватили шесть вражеских истребителей </w:t>
      </w:r>
      <w:r w:rsidRPr="008127F8">
        <w:rPr>
          <w:rFonts w:ascii="Times New Roman" w:hAnsi="Times New Roman"/>
          <w:color w:val="000000" w:themeColor="text1"/>
          <w:sz w:val="16"/>
          <w:szCs w:val="16"/>
          <w:lang w:val="en-US" w:bidi="en-US"/>
        </w:rPr>
        <w:t>FW</w:t>
      </w:r>
      <w:r w:rsidRPr="008127F8">
        <w:rPr>
          <w:rFonts w:ascii="Times New Roman" w:hAnsi="Times New Roman"/>
          <w:color w:val="000000" w:themeColor="text1"/>
          <w:sz w:val="16"/>
          <w:szCs w:val="16"/>
          <w:lang w:bidi="en-US"/>
        </w:rPr>
        <w:t xml:space="preserve"> </w:t>
      </w:r>
      <w:r w:rsidRPr="008127F8">
        <w:rPr>
          <w:rFonts w:ascii="Times New Roman" w:hAnsi="Times New Roman"/>
          <w:color w:val="000000" w:themeColor="text1"/>
          <w:sz w:val="16"/>
          <w:szCs w:val="16"/>
          <w:lang w:eastAsia="ru-RU" w:bidi="ru-RU"/>
        </w:rPr>
        <w:t>190А. Некоторые авторы утверждают, что среди немецких летчиков был из</w:t>
      </w:r>
      <w:r w:rsidRPr="008127F8">
        <w:rPr>
          <w:rFonts w:ascii="Times New Roman" w:hAnsi="Times New Roman"/>
          <w:color w:val="000000" w:themeColor="text1"/>
          <w:sz w:val="16"/>
          <w:szCs w:val="16"/>
          <w:lang w:eastAsia="ru-RU" w:bidi="ru-RU"/>
        </w:rPr>
        <w:softHyphen/>
        <w:t>вестный ас Вальтер Новотны. После не</w:t>
      </w:r>
      <w:r w:rsidRPr="008127F8">
        <w:rPr>
          <w:rFonts w:ascii="Times New Roman" w:hAnsi="Times New Roman"/>
          <w:color w:val="000000" w:themeColor="text1"/>
          <w:sz w:val="16"/>
          <w:szCs w:val="16"/>
          <w:lang w:eastAsia="ru-RU" w:bidi="ru-RU"/>
        </w:rPr>
        <w:softHyphen/>
        <w:t>однократных атак Ту-2 загорелся. Сто</w:t>
      </w:r>
      <w:r w:rsidRPr="008127F8">
        <w:rPr>
          <w:rFonts w:ascii="Times New Roman" w:hAnsi="Times New Roman"/>
          <w:color w:val="000000" w:themeColor="text1"/>
          <w:sz w:val="16"/>
          <w:szCs w:val="16"/>
          <w:lang w:eastAsia="ru-RU" w:bidi="ru-RU"/>
        </w:rPr>
        <w:softHyphen/>
        <w:t xml:space="preserve">ляров приказал всем покинуть машину, а сам пытался сбить пламя. Но спастись на парашюте смог только </w:t>
      </w:r>
      <w:proofErr w:type="gramStart"/>
      <w:r w:rsidRPr="008127F8">
        <w:rPr>
          <w:rFonts w:ascii="Times New Roman" w:hAnsi="Times New Roman"/>
          <w:color w:val="000000" w:themeColor="text1"/>
          <w:sz w:val="16"/>
          <w:szCs w:val="16"/>
          <w:lang w:eastAsia="ru-RU" w:bidi="ru-RU"/>
        </w:rPr>
        <w:t>штурман Ха</w:t>
      </w:r>
      <w:proofErr w:type="gramEnd"/>
      <w:r w:rsidRPr="008127F8">
        <w:rPr>
          <w:rFonts w:ascii="Times New Roman" w:hAnsi="Times New Roman"/>
          <w:color w:val="000000" w:themeColor="text1"/>
          <w:sz w:val="16"/>
          <w:szCs w:val="16"/>
          <w:lang w:eastAsia="ru-RU" w:bidi="ru-RU"/>
        </w:rPr>
        <w:t>- беев, пилот и оба стрелка погибли вме</w:t>
      </w:r>
      <w:r w:rsidRPr="008127F8">
        <w:rPr>
          <w:rFonts w:ascii="Times New Roman" w:hAnsi="Times New Roman"/>
          <w:color w:val="000000" w:themeColor="text1"/>
          <w:sz w:val="16"/>
          <w:szCs w:val="16"/>
          <w:lang w:eastAsia="ru-RU" w:bidi="ru-RU"/>
        </w:rPr>
        <w:softHyphen/>
        <w:t>сте с самолетом. Штурман через два дня вышел к линии фронта, где его встре</w:t>
      </w:r>
      <w:r w:rsidRPr="008127F8">
        <w:rPr>
          <w:rFonts w:ascii="Times New Roman" w:hAnsi="Times New Roman"/>
          <w:color w:val="000000" w:themeColor="text1"/>
          <w:sz w:val="16"/>
          <w:szCs w:val="16"/>
          <w:lang w:eastAsia="ru-RU" w:bidi="ru-RU"/>
        </w:rPr>
        <w:softHyphen/>
        <w:t>тили советские саперы.</w:t>
      </w:r>
    </w:p>
    <w:p w14:paraId="6115F279"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Позднее три оставшихся Ту-2 разме</w:t>
      </w:r>
      <w:r w:rsidRPr="008127F8">
        <w:rPr>
          <w:rFonts w:ascii="Times New Roman" w:hAnsi="Times New Roman"/>
          <w:color w:val="000000" w:themeColor="text1"/>
          <w:sz w:val="16"/>
          <w:szCs w:val="16"/>
          <w:lang w:eastAsia="ru-RU" w:bidi="ru-RU"/>
        </w:rPr>
        <w:softHyphen/>
        <w:t>стили на аэродроме Андреаполь. Они ле</w:t>
      </w:r>
      <w:r w:rsidRPr="008127F8">
        <w:rPr>
          <w:rFonts w:ascii="Times New Roman" w:hAnsi="Times New Roman"/>
          <w:color w:val="000000" w:themeColor="text1"/>
          <w:sz w:val="16"/>
          <w:szCs w:val="16"/>
          <w:lang w:eastAsia="ru-RU" w:bidi="ru-RU"/>
        </w:rPr>
        <w:softHyphen/>
        <w:t>тали в основном на съемку железнодо</w:t>
      </w:r>
      <w:r w:rsidRPr="008127F8">
        <w:rPr>
          <w:rFonts w:ascii="Times New Roman" w:hAnsi="Times New Roman"/>
          <w:color w:val="000000" w:themeColor="text1"/>
          <w:sz w:val="16"/>
          <w:szCs w:val="16"/>
          <w:lang w:eastAsia="ru-RU" w:bidi="ru-RU"/>
        </w:rPr>
        <w:softHyphen/>
        <w:t>рожных узлов. Экипаж А. Дрыгина слетал к порту Пярну и привез важную информа</w:t>
      </w:r>
      <w:r w:rsidRPr="008127F8">
        <w:rPr>
          <w:rFonts w:ascii="Times New Roman" w:hAnsi="Times New Roman"/>
          <w:color w:val="000000" w:themeColor="text1"/>
          <w:sz w:val="16"/>
          <w:szCs w:val="16"/>
          <w:lang w:eastAsia="ru-RU" w:bidi="ru-RU"/>
        </w:rPr>
        <w:softHyphen/>
        <w:t>цию о разгрузке войск и военной техники. К маю 1943 г. три самолета 47-го полка налетали больше часов, чем все машины 132-го. В мае 47-й гвардейский полк по</w:t>
      </w:r>
      <w:r w:rsidRPr="008127F8">
        <w:rPr>
          <w:rFonts w:ascii="Times New Roman" w:hAnsi="Times New Roman"/>
          <w:color w:val="000000" w:themeColor="text1"/>
          <w:sz w:val="16"/>
          <w:szCs w:val="16"/>
          <w:lang w:eastAsia="ru-RU" w:bidi="ru-RU"/>
        </w:rPr>
        <w:softHyphen/>
        <w:t>полнили десятью Ту-2, переданными из последнего. Их тоже оснастили фото</w:t>
      </w:r>
      <w:r w:rsidRPr="008127F8">
        <w:rPr>
          <w:rFonts w:ascii="Times New Roman" w:hAnsi="Times New Roman"/>
          <w:color w:val="000000" w:themeColor="text1"/>
          <w:sz w:val="16"/>
          <w:szCs w:val="16"/>
          <w:lang w:eastAsia="ru-RU" w:bidi="ru-RU"/>
        </w:rPr>
        <w:softHyphen/>
        <w:t>аппаратурой.</w:t>
      </w:r>
    </w:p>
    <w:p w14:paraId="2203F10A" w14:textId="77777777" w:rsidR="00984DDA" w:rsidRPr="008127F8" w:rsidRDefault="00984DDA"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Новые потери самолетов последовали в ходе Орловско-Брянской операции. Три машины были сбиты в июле и одна в ав</w:t>
      </w:r>
      <w:r w:rsidRPr="008127F8">
        <w:rPr>
          <w:rFonts w:ascii="Times New Roman" w:hAnsi="Times New Roman"/>
          <w:color w:val="000000" w:themeColor="text1"/>
          <w:sz w:val="16"/>
          <w:szCs w:val="16"/>
          <w:lang w:eastAsia="ru-RU" w:bidi="ru-RU"/>
        </w:rPr>
        <w:softHyphen/>
        <w:t>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w:t>
      </w:r>
      <w:r w:rsidRPr="008127F8">
        <w:rPr>
          <w:rFonts w:ascii="Times New Roman" w:hAnsi="Times New Roman"/>
          <w:color w:val="000000" w:themeColor="text1"/>
          <w:sz w:val="16"/>
          <w:szCs w:val="16"/>
          <w:lang w:eastAsia="ru-RU" w:bidi="ru-RU"/>
        </w:rPr>
        <w:softHyphen/>
        <w:t>гателе пилот протянул около 500 км и со</w:t>
      </w:r>
      <w:r w:rsidRPr="008127F8">
        <w:rPr>
          <w:rFonts w:ascii="Times New Roman" w:hAnsi="Times New Roman"/>
          <w:color w:val="000000" w:themeColor="text1"/>
          <w:sz w:val="16"/>
          <w:szCs w:val="16"/>
          <w:lang w:eastAsia="ru-RU" w:bidi="ru-RU"/>
        </w:rPr>
        <w:softHyphen/>
        <w:t>вершил вынужденную посадку с убран</w:t>
      </w:r>
      <w:r w:rsidRPr="008127F8">
        <w:rPr>
          <w:rFonts w:ascii="Times New Roman" w:hAnsi="Times New Roman"/>
          <w:color w:val="000000" w:themeColor="text1"/>
          <w:sz w:val="16"/>
          <w:szCs w:val="16"/>
          <w:lang w:eastAsia="ru-RU" w:bidi="ru-RU"/>
        </w:rPr>
        <w:softHyphen/>
        <w:t>ным шасси уже на нейтральной полосе между позициями советских и немецких войск. Экипаж забрал отснятые кассеты и ушел к своим. Самолет, чтобы тот не до</w:t>
      </w:r>
      <w:r w:rsidRPr="008127F8">
        <w:rPr>
          <w:rFonts w:ascii="Times New Roman" w:hAnsi="Times New Roman"/>
          <w:color w:val="000000" w:themeColor="text1"/>
          <w:sz w:val="16"/>
          <w:szCs w:val="16"/>
          <w:lang w:eastAsia="ru-RU" w:bidi="ru-RU"/>
        </w:rPr>
        <w:softHyphen/>
        <w:t>стался противнику, расстреляла артилле</w:t>
      </w:r>
      <w:r w:rsidRPr="008127F8">
        <w:rPr>
          <w:rFonts w:ascii="Times New Roman" w:hAnsi="Times New Roman"/>
          <w:color w:val="000000" w:themeColor="text1"/>
          <w:sz w:val="16"/>
          <w:szCs w:val="16"/>
          <w:lang w:eastAsia="ru-RU" w:bidi="ru-RU"/>
        </w:rPr>
        <w:softHyphen/>
        <w:t>рия. К концу осени 1943 г. в полку оста</w:t>
      </w:r>
      <w:r w:rsidRPr="008127F8">
        <w:rPr>
          <w:rFonts w:ascii="Times New Roman" w:hAnsi="Times New Roman"/>
          <w:color w:val="000000" w:themeColor="text1"/>
          <w:sz w:val="16"/>
          <w:szCs w:val="16"/>
          <w:lang w:eastAsia="ru-RU" w:bidi="ru-RU"/>
        </w:rPr>
        <w:softHyphen/>
        <w:t>лось шесть боеспособных Ту-2. (21060).</w:t>
      </w:r>
    </w:p>
    <w:p w14:paraId="0C42C163" w14:textId="77777777" w:rsidR="00984DDA" w:rsidRPr="008127F8" w:rsidRDefault="00984DDA" w:rsidP="001E0A84">
      <w:pPr>
        <w:spacing w:after="0" w:line="240" w:lineRule="auto"/>
        <w:jc w:val="both"/>
        <w:rPr>
          <w:rFonts w:ascii="Times New Roman" w:hAnsi="Times New Roman"/>
          <w:color w:val="000000" w:themeColor="text1"/>
          <w:sz w:val="16"/>
          <w:szCs w:val="16"/>
        </w:rPr>
      </w:pPr>
    </w:p>
    <w:p w14:paraId="35BB6514"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по решению ГКО с завода Н.Н.П. изъяли 54 станка в пользу завода № 166. В письме от 20 апреля 1942 г. находившемуся в этот момент в Москве Поликарпову его заместитель Н.А. Жемчужин писал: «Вывоз станков, часть которых пришлось сни</w:t>
      </w:r>
      <w:r w:rsidRPr="008127F8">
        <w:rPr>
          <w:rFonts w:ascii="Times New Roman" w:hAnsi="Times New Roman"/>
          <w:color w:val="000000" w:themeColor="text1"/>
          <w:sz w:val="16"/>
          <w:szCs w:val="16"/>
        </w:rPr>
        <w:softHyphen/>
        <w:t>мать с фундаментов, создало тяжёлое настроение на з-де...</w:t>
      </w:r>
    </w:p>
    <w:p w14:paraId="71218F32" w14:textId="77777777" w:rsidR="00D34C9F" w:rsidRPr="008127F8" w:rsidRDefault="00D34C9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станков у нас забрали всех рабочих и конструкторов, которые были временно нами взяты с з-да № 153, поэтому работа в цехе № 4 по «Т» сильно задерживается...» (15804).</w:t>
      </w:r>
    </w:p>
    <w:p w14:paraId="2F7F76B0" w14:textId="77777777" w:rsidR="00D34C9F" w:rsidRPr="008127F8" w:rsidRDefault="00D34C9F" w:rsidP="001E0A84">
      <w:pPr>
        <w:spacing w:after="0" w:line="240" w:lineRule="auto"/>
        <w:jc w:val="both"/>
        <w:rPr>
          <w:rFonts w:ascii="Times New Roman" w:hAnsi="Times New Roman"/>
          <w:color w:val="000000" w:themeColor="text1"/>
          <w:sz w:val="16"/>
          <w:szCs w:val="16"/>
        </w:rPr>
      </w:pPr>
    </w:p>
    <w:p w14:paraId="47F90B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парторг ЦК ВКП(б) на заводе 51 Ионов в письме на Г.М.Маленкова пожаловался на ненормальное положение, сложившееся на заводе, который не мог работать. ГМ.М. направил письмо А.С.Я., а А.С.Я. отметил, что "Наркомат проявлял к Н.Н.П. и его коллективу исключительно внимательное отношение. Впервые за все время работы т. Н.Н.П. в АП ему была создана в 1940 производственная база и все другие условия для плодотворной работы." (2349,26).</w:t>
      </w:r>
    </w:p>
    <w:p w14:paraId="384613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CF49C" w14:textId="77777777" w:rsidR="00D34C9F" w:rsidRPr="008127F8" w:rsidRDefault="00D34C9F" w:rsidP="001E0A84">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8127F8">
        <w:rPr>
          <w:rStyle w:val="4f2"/>
          <w:rFonts w:ascii="Times New Roman" w:hAnsi="Times New Roman" w:cs="Times New Roman"/>
          <w:b w:val="0"/>
          <w:i w:val="0"/>
          <w:color w:val="000000" w:themeColor="text1"/>
          <w:sz w:val="16"/>
          <w:szCs w:val="16"/>
        </w:rPr>
        <w:t>В апреле 1942</w:t>
      </w:r>
      <w:r w:rsidRPr="008127F8">
        <w:rPr>
          <w:rStyle w:val="4f1"/>
          <w:rFonts w:ascii="Times New Roman" w:hAnsi="Times New Roman" w:cs="Times New Roman"/>
          <w:i w:val="0"/>
          <w:color w:val="000000" w:themeColor="text1"/>
          <w:sz w:val="16"/>
          <w:szCs w:val="16"/>
        </w:rPr>
        <w:t xml:space="preserve"> г. парторг ЦК ВКП(б) </w:t>
      </w:r>
      <w:r w:rsidRPr="008127F8">
        <w:rPr>
          <w:rStyle w:val="495pt-1pt"/>
          <w:rFonts w:ascii="Times New Roman" w:hAnsi="Times New Roman" w:cs="Times New Roman"/>
          <w:b w:val="0"/>
          <w:i w:val="0"/>
          <w:color w:val="000000" w:themeColor="text1"/>
          <w:spacing w:val="0"/>
          <w:sz w:val="16"/>
          <w:szCs w:val="16"/>
        </w:rPr>
        <w:t>на</w:t>
      </w:r>
      <w:r w:rsidRPr="008127F8">
        <w:rPr>
          <w:rStyle w:val="4f2"/>
          <w:rFonts w:ascii="Times New Roman" w:hAnsi="Times New Roman" w:cs="Times New Roman"/>
          <w:b w:val="0"/>
          <w:i w:val="0"/>
          <w:color w:val="000000" w:themeColor="text1"/>
          <w:sz w:val="16"/>
          <w:szCs w:val="16"/>
        </w:rPr>
        <w:t xml:space="preserve"> заводе №51</w:t>
      </w:r>
      <w:r w:rsidRPr="008127F8">
        <w:rPr>
          <w:rStyle w:val="4f1"/>
          <w:rFonts w:ascii="Times New Roman" w:hAnsi="Times New Roman" w:cs="Times New Roman"/>
          <w:i w:val="0"/>
          <w:color w:val="000000" w:themeColor="text1"/>
          <w:sz w:val="16"/>
          <w:szCs w:val="16"/>
        </w:rPr>
        <w:t xml:space="preserve"> В.П. Ионов в обраще</w:t>
      </w:r>
      <w:r w:rsidRPr="008127F8">
        <w:rPr>
          <w:rStyle w:val="4f1"/>
          <w:rFonts w:ascii="Times New Roman" w:hAnsi="Times New Roman" w:cs="Times New Roman"/>
          <w:i w:val="0"/>
          <w:color w:val="000000" w:themeColor="text1"/>
          <w:sz w:val="16"/>
          <w:szCs w:val="16"/>
        </w:rPr>
        <w:softHyphen/>
      </w:r>
      <w:r w:rsidRPr="008127F8">
        <w:rPr>
          <w:rStyle w:val="495pt-1pt"/>
          <w:rFonts w:ascii="Times New Roman" w:hAnsi="Times New Roman" w:cs="Times New Roman"/>
          <w:b w:val="0"/>
          <w:i w:val="0"/>
          <w:color w:val="000000" w:themeColor="text1"/>
          <w:spacing w:val="0"/>
          <w:sz w:val="16"/>
          <w:szCs w:val="16"/>
        </w:rPr>
        <w:t>нии</w:t>
      </w:r>
      <w:r w:rsidRPr="008127F8">
        <w:rPr>
          <w:rStyle w:val="4f2"/>
          <w:rFonts w:ascii="Times New Roman" w:hAnsi="Times New Roman" w:cs="Times New Roman"/>
          <w:b w:val="0"/>
          <w:i w:val="0"/>
          <w:color w:val="000000" w:themeColor="text1"/>
          <w:sz w:val="16"/>
          <w:szCs w:val="16"/>
        </w:rPr>
        <w:t xml:space="preserve"> на</w:t>
      </w:r>
      <w:r w:rsidRPr="008127F8">
        <w:rPr>
          <w:rStyle w:val="4f1"/>
          <w:rFonts w:ascii="Times New Roman" w:hAnsi="Times New Roman" w:cs="Times New Roman"/>
          <w:i w:val="0"/>
          <w:color w:val="000000" w:themeColor="text1"/>
          <w:sz w:val="16"/>
          <w:szCs w:val="16"/>
        </w:rPr>
        <w:t xml:space="preserve"> имя Г.М. Маленкова пожало</w:t>
      </w:r>
      <w:r w:rsidRPr="008127F8">
        <w:rPr>
          <w:rStyle w:val="4f1"/>
          <w:rFonts w:ascii="Times New Roman" w:hAnsi="Times New Roman" w:cs="Times New Roman"/>
          <w:i w:val="0"/>
          <w:color w:val="000000" w:themeColor="text1"/>
          <w:sz w:val="16"/>
          <w:szCs w:val="16"/>
        </w:rPr>
        <w:softHyphen/>
      </w:r>
      <w:r w:rsidRPr="008127F8">
        <w:rPr>
          <w:rStyle w:val="495pt-1pt"/>
          <w:rFonts w:ascii="Times New Roman" w:hAnsi="Times New Roman" w:cs="Times New Roman"/>
          <w:b w:val="0"/>
          <w:i w:val="0"/>
          <w:color w:val="000000" w:themeColor="text1"/>
          <w:spacing w:val="0"/>
          <w:sz w:val="16"/>
          <w:szCs w:val="16"/>
        </w:rPr>
        <w:t>вался</w:t>
      </w:r>
      <w:r w:rsidRPr="008127F8">
        <w:rPr>
          <w:rStyle w:val="4f2"/>
          <w:rFonts w:ascii="Times New Roman" w:hAnsi="Times New Roman" w:cs="Times New Roman"/>
          <w:b w:val="0"/>
          <w:i w:val="0"/>
          <w:color w:val="000000" w:themeColor="text1"/>
          <w:sz w:val="16"/>
          <w:szCs w:val="16"/>
        </w:rPr>
        <w:t xml:space="preserve"> на</w:t>
      </w:r>
      <w:r w:rsidRPr="008127F8">
        <w:rPr>
          <w:rStyle w:val="4f1"/>
          <w:rFonts w:ascii="Times New Roman" w:hAnsi="Times New Roman" w:cs="Times New Roman"/>
          <w:i w:val="0"/>
          <w:color w:val="000000" w:themeColor="text1"/>
          <w:sz w:val="16"/>
          <w:szCs w:val="16"/>
        </w:rPr>
        <w:t xml:space="preserve"> имевшее место ненормаль</w:t>
      </w:r>
      <w:r w:rsidRPr="008127F8">
        <w:rPr>
          <w:rStyle w:val="4f1"/>
          <w:rFonts w:ascii="Times New Roman" w:hAnsi="Times New Roman" w:cs="Times New Roman"/>
          <w:i w:val="0"/>
          <w:color w:val="000000" w:themeColor="text1"/>
          <w:sz w:val="16"/>
          <w:szCs w:val="16"/>
        </w:rPr>
        <w:softHyphen/>
      </w:r>
      <w:r w:rsidRPr="008127F8">
        <w:rPr>
          <w:rStyle w:val="495pt-1pt"/>
          <w:rFonts w:ascii="Times New Roman" w:hAnsi="Times New Roman" w:cs="Times New Roman"/>
          <w:b w:val="0"/>
          <w:i w:val="0"/>
          <w:color w:val="000000" w:themeColor="text1"/>
          <w:spacing w:val="0"/>
          <w:sz w:val="16"/>
          <w:szCs w:val="16"/>
        </w:rPr>
        <w:t>ное</w:t>
      </w:r>
      <w:r w:rsidRPr="008127F8">
        <w:rPr>
          <w:rStyle w:val="4f2"/>
          <w:rFonts w:ascii="Times New Roman" w:hAnsi="Times New Roman" w:cs="Times New Roman"/>
          <w:b w:val="0"/>
          <w:i w:val="0"/>
          <w:color w:val="000000" w:themeColor="text1"/>
          <w:sz w:val="16"/>
          <w:szCs w:val="16"/>
        </w:rPr>
        <w:t xml:space="preserve"> положение.</w:t>
      </w:r>
      <w:r w:rsidRPr="008127F8">
        <w:rPr>
          <w:rStyle w:val="4f1"/>
          <w:rFonts w:ascii="Times New Roman" w:hAnsi="Times New Roman" w:cs="Times New Roman"/>
          <w:i w:val="0"/>
          <w:color w:val="000000" w:themeColor="text1"/>
          <w:sz w:val="16"/>
          <w:szCs w:val="16"/>
        </w:rPr>
        <w:t xml:space="preserve"> Маленков адресовал </w:t>
      </w:r>
      <w:r w:rsidRPr="008127F8">
        <w:rPr>
          <w:rStyle w:val="495pt-1pt"/>
          <w:rFonts w:ascii="Times New Roman" w:hAnsi="Times New Roman" w:cs="Times New Roman"/>
          <w:b w:val="0"/>
          <w:i w:val="0"/>
          <w:color w:val="000000" w:themeColor="text1"/>
          <w:spacing w:val="0"/>
          <w:sz w:val="16"/>
          <w:szCs w:val="16"/>
        </w:rPr>
        <w:t>письмо</w:t>
      </w:r>
      <w:r w:rsidRPr="008127F8">
        <w:rPr>
          <w:rStyle w:val="4f1"/>
          <w:rFonts w:ascii="Times New Roman" w:hAnsi="Times New Roman" w:cs="Times New Roman"/>
          <w:i w:val="0"/>
          <w:color w:val="000000" w:themeColor="text1"/>
          <w:sz w:val="16"/>
          <w:szCs w:val="16"/>
        </w:rPr>
        <w:t xml:space="preserve"> Ионова в НКАП непосредствен</w:t>
      </w:r>
      <w:r w:rsidRPr="008127F8">
        <w:rPr>
          <w:rStyle w:val="4f1"/>
          <w:rFonts w:ascii="Times New Roman" w:hAnsi="Times New Roman" w:cs="Times New Roman"/>
          <w:i w:val="0"/>
          <w:color w:val="000000" w:themeColor="text1"/>
          <w:sz w:val="16"/>
          <w:szCs w:val="16"/>
        </w:rPr>
        <w:softHyphen/>
      </w:r>
      <w:r w:rsidRPr="008127F8">
        <w:rPr>
          <w:rStyle w:val="495pt-1pt"/>
          <w:rFonts w:ascii="Times New Roman" w:hAnsi="Times New Roman" w:cs="Times New Roman"/>
          <w:b w:val="0"/>
          <w:i w:val="0"/>
          <w:color w:val="000000" w:themeColor="text1"/>
          <w:spacing w:val="0"/>
          <w:sz w:val="16"/>
          <w:szCs w:val="16"/>
        </w:rPr>
        <w:t>но</w:t>
      </w:r>
      <w:r w:rsidRPr="008127F8">
        <w:rPr>
          <w:rStyle w:val="4f2"/>
          <w:rFonts w:ascii="Times New Roman" w:hAnsi="Times New Roman" w:cs="Times New Roman"/>
          <w:b w:val="0"/>
          <w:i w:val="0"/>
          <w:color w:val="000000" w:themeColor="text1"/>
          <w:sz w:val="16"/>
          <w:szCs w:val="16"/>
        </w:rPr>
        <w:t xml:space="preserve"> Яковлеву</w:t>
      </w:r>
      <w:r w:rsidRPr="008127F8">
        <w:rPr>
          <w:rStyle w:val="4f1"/>
          <w:rFonts w:ascii="Times New Roman" w:hAnsi="Times New Roman" w:cs="Times New Roman"/>
          <w:i w:val="0"/>
          <w:color w:val="000000" w:themeColor="text1"/>
          <w:sz w:val="16"/>
          <w:szCs w:val="16"/>
        </w:rPr>
        <w:t xml:space="preserve"> для разъяснения ситуации. </w:t>
      </w:r>
      <w:r w:rsidRPr="008127F8">
        <w:rPr>
          <w:rStyle w:val="4f2"/>
          <w:rFonts w:ascii="Times New Roman" w:hAnsi="Times New Roman" w:cs="Times New Roman"/>
          <w:b w:val="0"/>
          <w:i w:val="0"/>
          <w:color w:val="000000" w:themeColor="text1"/>
          <w:sz w:val="16"/>
          <w:szCs w:val="16"/>
        </w:rPr>
        <w:t>В подготовленном</w:t>
      </w:r>
      <w:r w:rsidRPr="008127F8">
        <w:rPr>
          <w:rStyle w:val="4f1"/>
          <w:rFonts w:ascii="Times New Roman" w:hAnsi="Times New Roman" w:cs="Times New Roman"/>
          <w:i w:val="0"/>
          <w:color w:val="000000" w:themeColor="text1"/>
          <w:sz w:val="16"/>
          <w:szCs w:val="16"/>
        </w:rPr>
        <w:t xml:space="preserve"> ответе от</w:t>
      </w:r>
      <w:r w:rsidRPr="008127F8">
        <w:rPr>
          <w:rStyle w:val="4f2"/>
          <w:rFonts w:ascii="Times New Roman" w:hAnsi="Times New Roman" w:cs="Times New Roman"/>
          <w:b w:val="0"/>
          <w:i w:val="0"/>
          <w:color w:val="000000" w:themeColor="text1"/>
          <w:sz w:val="16"/>
          <w:szCs w:val="16"/>
        </w:rPr>
        <w:t xml:space="preserve"> 28</w:t>
      </w:r>
      <w:r w:rsidRPr="008127F8">
        <w:rPr>
          <w:rStyle w:val="4f1"/>
          <w:rFonts w:ascii="Times New Roman" w:hAnsi="Times New Roman" w:cs="Times New Roman"/>
          <w:i w:val="0"/>
          <w:color w:val="000000" w:themeColor="text1"/>
          <w:sz w:val="16"/>
          <w:szCs w:val="16"/>
        </w:rPr>
        <w:t xml:space="preserve"> апре</w:t>
      </w:r>
      <w:r w:rsidRPr="008127F8">
        <w:rPr>
          <w:rStyle w:val="4f1"/>
          <w:rFonts w:ascii="Times New Roman" w:hAnsi="Times New Roman" w:cs="Times New Roman"/>
          <w:i w:val="0"/>
          <w:color w:val="000000" w:themeColor="text1"/>
          <w:sz w:val="16"/>
          <w:szCs w:val="16"/>
        </w:rPr>
        <w:softHyphen/>
      </w:r>
      <w:r w:rsidRPr="008127F8">
        <w:rPr>
          <w:rStyle w:val="4f2"/>
          <w:rFonts w:ascii="Times New Roman" w:hAnsi="Times New Roman" w:cs="Times New Roman"/>
          <w:b w:val="0"/>
          <w:i w:val="0"/>
          <w:color w:val="000000" w:themeColor="text1"/>
          <w:sz w:val="16"/>
          <w:szCs w:val="16"/>
        </w:rPr>
        <w:t>ля Яковлев</w:t>
      </w:r>
      <w:r w:rsidRPr="008127F8">
        <w:rPr>
          <w:rStyle w:val="4f1"/>
          <w:rFonts w:ascii="Times New Roman" w:hAnsi="Times New Roman" w:cs="Times New Roman"/>
          <w:i w:val="0"/>
          <w:color w:val="000000" w:themeColor="text1"/>
          <w:sz w:val="16"/>
          <w:szCs w:val="16"/>
        </w:rPr>
        <w:t xml:space="preserve"> писал Маленкову:</w:t>
      </w:r>
      <w:r w:rsidRPr="008127F8">
        <w:rPr>
          <w:rFonts w:ascii="Times New Roman" w:cs="Times New Roman"/>
          <w:color w:val="000000" w:themeColor="text1"/>
          <w:sz w:val="16"/>
          <w:szCs w:val="16"/>
        </w:rPr>
        <w:t xml:space="preserve"> «Соглас</w:t>
      </w:r>
      <w:r w:rsidRPr="008127F8">
        <w:rPr>
          <w:rFonts w:ascii="Times New Roman" w:cs="Times New Roman"/>
          <w:color w:val="000000" w:themeColor="text1"/>
          <w:sz w:val="16"/>
          <w:szCs w:val="16"/>
        </w:rPr>
        <w:softHyphen/>
      </w:r>
      <w:r w:rsidRPr="008127F8">
        <w:rPr>
          <w:rStyle w:val="4f3"/>
          <w:rFonts w:ascii="Times New Roman" w:hAnsi="Times New Roman" w:cs="Times New Roman"/>
          <w:b w:val="0"/>
          <w:color w:val="000000" w:themeColor="text1"/>
          <w:sz w:val="16"/>
          <w:szCs w:val="16"/>
        </w:rPr>
        <w:t>но Вашего</w:t>
      </w:r>
      <w:r w:rsidRPr="008127F8">
        <w:rPr>
          <w:rFonts w:ascii="Times New Roman" w:cs="Times New Roman"/>
          <w:color w:val="000000" w:themeColor="text1"/>
          <w:sz w:val="16"/>
          <w:szCs w:val="16"/>
        </w:rPr>
        <w:t xml:space="preserve"> указания по письму Пар</w:t>
      </w:r>
      <w:r w:rsidRPr="008127F8">
        <w:rPr>
          <w:rFonts w:ascii="Times New Roman" w:cs="Times New Roman"/>
          <w:color w:val="000000" w:themeColor="text1"/>
          <w:sz w:val="16"/>
          <w:szCs w:val="16"/>
        </w:rPr>
        <w:softHyphen/>
      </w:r>
      <w:r w:rsidRPr="008127F8">
        <w:rPr>
          <w:rStyle w:val="4f3"/>
          <w:rFonts w:ascii="Times New Roman" w:hAnsi="Times New Roman" w:cs="Times New Roman"/>
          <w:b w:val="0"/>
          <w:color w:val="000000" w:themeColor="text1"/>
          <w:sz w:val="16"/>
          <w:szCs w:val="16"/>
        </w:rPr>
        <w:t>торга ЦК</w:t>
      </w:r>
      <w:r w:rsidRPr="008127F8">
        <w:rPr>
          <w:rFonts w:ascii="Times New Roman" w:cs="Times New Roman"/>
          <w:color w:val="000000" w:themeColor="text1"/>
          <w:sz w:val="16"/>
          <w:szCs w:val="16"/>
        </w:rPr>
        <w:t xml:space="preserve"> ВКП(б) завода тов. Ионова, </w:t>
      </w:r>
      <w:r w:rsidRPr="008127F8">
        <w:rPr>
          <w:rStyle w:val="4f3"/>
          <w:rFonts w:ascii="Times New Roman" w:hAnsi="Times New Roman" w:cs="Times New Roman"/>
          <w:b w:val="0"/>
          <w:color w:val="000000" w:themeColor="text1"/>
          <w:sz w:val="16"/>
          <w:szCs w:val="16"/>
        </w:rPr>
        <w:t>сообщаю, что</w:t>
      </w:r>
      <w:r w:rsidRPr="008127F8">
        <w:rPr>
          <w:rFonts w:ascii="Times New Roman" w:cs="Times New Roman"/>
          <w:color w:val="000000" w:themeColor="text1"/>
          <w:sz w:val="16"/>
          <w:szCs w:val="16"/>
        </w:rPr>
        <w:t xml:space="preserve"> наркомат проявил к кон</w:t>
      </w:r>
      <w:r w:rsidRPr="008127F8">
        <w:rPr>
          <w:rFonts w:ascii="Times New Roman" w:cs="Times New Roman"/>
          <w:color w:val="000000" w:themeColor="text1"/>
          <w:sz w:val="16"/>
          <w:szCs w:val="16"/>
        </w:rPr>
        <w:softHyphen/>
      </w:r>
      <w:r w:rsidRPr="008127F8">
        <w:rPr>
          <w:rStyle w:val="4f3"/>
          <w:rFonts w:ascii="Times New Roman" w:hAnsi="Times New Roman" w:cs="Times New Roman"/>
          <w:b w:val="0"/>
          <w:color w:val="000000" w:themeColor="text1"/>
          <w:sz w:val="16"/>
          <w:szCs w:val="16"/>
        </w:rPr>
        <w:t>структору</w:t>
      </w:r>
      <w:r w:rsidRPr="008127F8">
        <w:rPr>
          <w:rFonts w:ascii="Times New Roman" w:cs="Times New Roman"/>
          <w:color w:val="000000" w:themeColor="text1"/>
          <w:sz w:val="16"/>
          <w:szCs w:val="16"/>
        </w:rPr>
        <w:t xml:space="preserve"> Поликарпову и к его кол</w:t>
      </w:r>
      <w:r w:rsidRPr="008127F8">
        <w:rPr>
          <w:rFonts w:ascii="Times New Roman" w:cs="Times New Roman"/>
          <w:color w:val="000000" w:themeColor="text1"/>
          <w:sz w:val="16"/>
          <w:szCs w:val="16"/>
        </w:rPr>
        <w:softHyphen/>
        <w:t>лективу исключительно внимательное отношение. Впервые за все время ра</w:t>
      </w:r>
      <w:r w:rsidRPr="008127F8">
        <w:rPr>
          <w:rFonts w:ascii="Times New Roman" w:cs="Times New Roman"/>
          <w:color w:val="000000" w:themeColor="text1"/>
          <w:sz w:val="16"/>
          <w:szCs w:val="16"/>
        </w:rPr>
        <w:softHyphen/>
        <w:t>боты тов. Поликарпова в авиационной промышленности ему была создана в 1940 году производственная база и все другие условия для плодотвор</w:t>
      </w:r>
      <w:r w:rsidRPr="008127F8">
        <w:rPr>
          <w:rFonts w:ascii="Times New Roman" w:cs="Times New Roman"/>
          <w:color w:val="000000" w:themeColor="text1"/>
          <w:sz w:val="16"/>
          <w:szCs w:val="16"/>
        </w:rPr>
        <w:softHyphen/>
        <w:t>ной работы. Однако, несмотря на боль</w:t>
      </w:r>
      <w:r w:rsidRPr="008127F8">
        <w:rPr>
          <w:rFonts w:ascii="Times New Roman" w:cs="Times New Roman"/>
          <w:color w:val="000000" w:themeColor="text1"/>
          <w:sz w:val="16"/>
          <w:szCs w:val="16"/>
        </w:rPr>
        <w:softHyphen/>
        <w:t xml:space="preserve">шие затраты государственных средств, т. Поликарпов не дал </w:t>
      </w:r>
      <w:r w:rsidRPr="008127F8">
        <w:rPr>
          <w:rFonts w:ascii="Times New Roman" w:cs="Times New Roman"/>
          <w:color w:val="000000" w:themeColor="text1"/>
          <w:sz w:val="16"/>
          <w:szCs w:val="16"/>
        </w:rPr>
        <w:lastRenderedPageBreak/>
        <w:t>своевременно в установленные сроки новых машин, имеющих преимущества перед находя</w:t>
      </w:r>
      <w:r w:rsidRPr="008127F8">
        <w:rPr>
          <w:rFonts w:ascii="Times New Roman" w:cs="Times New Roman"/>
          <w:color w:val="000000" w:themeColor="text1"/>
          <w:sz w:val="16"/>
          <w:szCs w:val="16"/>
        </w:rPr>
        <w:softHyphen/>
        <w:t>щимися в серийном производстве са</w:t>
      </w:r>
      <w:r w:rsidRPr="008127F8">
        <w:rPr>
          <w:rFonts w:ascii="Times New Roman" w:cs="Times New Roman"/>
          <w:color w:val="000000" w:themeColor="text1"/>
          <w:sz w:val="16"/>
          <w:szCs w:val="16"/>
        </w:rPr>
        <w:softHyphen/>
        <w:t>молетами. Основная причина - большая разбрасываемость в работе. Поликар</w:t>
      </w:r>
      <w:r w:rsidRPr="008127F8">
        <w:rPr>
          <w:rFonts w:ascii="Times New Roman" w:cs="Times New Roman"/>
          <w:color w:val="000000" w:themeColor="text1"/>
          <w:sz w:val="16"/>
          <w:szCs w:val="16"/>
        </w:rPr>
        <w:softHyphen/>
        <w:t>пов одновременно работал над многи</w:t>
      </w:r>
      <w:r w:rsidRPr="008127F8">
        <w:rPr>
          <w:rFonts w:ascii="Times New Roman" w:cs="Times New Roman"/>
          <w:color w:val="000000" w:themeColor="text1"/>
          <w:sz w:val="16"/>
          <w:szCs w:val="16"/>
        </w:rPr>
        <w:softHyphen/>
        <w:t>ми типами объектов (И-185, СПБ, ИТП, ТИС, планер БДП и др.). Сейчас Поли</w:t>
      </w:r>
      <w:r w:rsidRPr="008127F8">
        <w:rPr>
          <w:rFonts w:ascii="Times New Roman" w:cs="Times New Roman"/>
          <w:color w:val="000000" w:themeColor="text1"/>
          <w:sz w:val="16"/>
          <w:szCs w:val="16"/>
        </w:rPr>
        <w:softHyphen/>
        <w:t>карпов предлагает построить ночной дальний двухмоторный бомбардиров</w:t>
      </w:r>
      <w:r w:rsidRPr="008127F8">
        <w:rPr>
          <w:rFonts w:ascii="Times New Roman" w:cs="Times New Roman"/>
          <w:color w:val="000000" w:themeColor="text1"/>
          <w:sz w:val="16"/>
          <w:szCs w:val="16"/>
        </w:rPr>
        <w:softHyphen/>
        <w:t>щик, учебный самолет и т.д. Парторг ЦК тов. Ионов не понимает ошибок По</w:t>
      </w:r>
      <w:r w:rsidRPr="008127F8">
        <w:rPr>
          <w:rFonts w:ascii="Times New Roman" w:cs="Times New Roman"/>
          <w:color w:val="000000" w:themeColor="text1"/>
          <w:sz w:val="16"/>
          <w:szCs w:val="16"/>
        </w:rPr>
        <w:softHyphen/>
        <w:t>ликарпова и углубляет их».</w:t>
      </w:r>
      <w:r w:rsidRPr="008127F8">
        <w:rPr>
          <w:rStyle w:val="4f1"/>
          <w:rFonts w:ascii="Times New Roman" w:hAnsi="Times New Roman" w:cs="Times New Roman"/>
          <w:i w:val="0"/>
          <w:color w:val="000000" w:themeColor="text1"/>
          <w:sz w:val="16"/>
          <w:szCs w:val="16"/>
        </w:rPr>
        <w:t xml:space="preserve"> Надо ска</w:t>
      </w:r>
      <w:r w:rsidRPr="008127F8">
        <w:rPr>
          <w:rStyle w:val="4f1"/>
          <w:rFonts w:ascii="Times New Roman" w:hAnsi="Times New Roman" w:cs="Times New Roman"/>
          <w:i w:val="0"/>
          <w:color w:val="000000" w:themeColor="text1"/>
          <w:sz w:val="16"/>
          <w:szCs w:val="16"/>
        </w:rPr>
        <w:softHyphen/>
        <w:t>зать, ответ лукавый, с явным намерени</w:t>
      </w:r>
      <w:r w:rsidRPr="008127F8">
        <w:rPr>
          <w:rStyle w:val="4f1"/>
          <w:rFonts w:ascii="Times New Roman" w:hAnsi="Times New Roman" w:cs="Times New Roman"/>
          <w:i w:val="0"/>
          <w:color w:val="000000" w:themeColor="text1"/>
          <w:sz w:val="16"/>
          <w:szCs w:val="16"/>
        </w:rPr>
        <w:softHyphen/>
        <w:t>ем выдать желаемое за действительное. Вскоре на заводе появился новый пар</w:t>
      </w:r>
      <w:r w:rsidRPr="008127F8">
        <w:rPr>
          <w:rStyle w:val="4f1"/>
          <w:rFonts w:ascii="Times New Roman" w:hAnsi="Times New Roman" w:cs="Times New Roman"/>
          <w:i w:val="0"/>
          <w:color w:val="000000" w:themeColor="text1"/>
          <w:sz w:val="16"/>
          <w:szCs w:val="16"/>
        </w:rPr>
        <w:softHyphen/>
        <w:t>торг ЦК ВКП(б) - И.А. Царик (15755).</w:t>
      </w:r>
    </w:p>
    <w:p w14:paraId="35F10A0C" w14:textId="77777777" w:rsidR="00D34C9F" w:rsidRPr="008127F8" w:rsidRDefault="00D34C9F" w:rsidP="001E0A84">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p>
    <w:p w14:paraId="71F7206C" w14:textId="77777777" w:rsidR="00646D7E" w:rsidRPr="008127F8" w:rsidRDefault="00646D7E" w:rsidP="00646D7E">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1942-го парторг ЦК ВКП(б) на заводе № 51 Ионов в письме на имя Г.М.Маленкова пожаловался на имевшее место ненормальное положение. Маленков адресовал письмо Ионова... Яковлеву.</w:t>
      </w:r>
    </w:p>
    <w:p w14:paraId="30A3B271" w14:textId="77777777" w:rsidR="00646D7E" w:rsidRPr="008127F8" w:rsidRDefault="00646D7E" w:rsidP="00646D7E">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письме же Яковлева на имя Маленкова были такие фразы: “Наркомат проявлял к конструктору Поликарпову и к его коллективу исключительно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 (9649).</w:t>
      </w:r>
    </w:p>
    <w:p w14:paraId="13015F69" w14:textId="77777777" w:rsidR="00646D7E" w:rsidRPr="008127F8" w:rsidRDefault="00646D7E" w:rsidP="00646D7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B2E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закончился первый этап испытания ТИС 2АМ-37 в ЛИИ НКАП и ви был Н.В.Гаврилов, который заменил М.К.Янгеля, а ли стал А.В.Потопалов. Были проблемы с АМ-37, т.к. 24 завод ими не занимался (2349,26).</w:t>
      </w:r>
    </w:p>
    <w:p w14:paraId="5CC54B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2F2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испытания ТИС в г. Новосибирске продолжал летчик-испытатель Н. В. Гаврилов. Ведущим инженером по машине был А. В. Потопалов.</w:t>
      </w:r>
    </w:p>
    <w:p w14:paraId="786F35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испытаний выявилась неудовлетворительная работа моторов АМ-37.</w:t>
      </w:r>
    </w:p>
    <w:p w14:paraId="5D6ED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условиях военного времени ОКБ Микулина и моторостроительный завод № 24 были полностью нацелены на разработку и производство моторов для штурмовиков С. В. Ильюшина и опытным моторам для истребителей и бомбардировщиков внимания уделялось недостаточно.</w:t>
      </w:r>
    </w:p>
    <w:p w14:paraId="7FE2ED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замену вышедших из строя АМ-37 уходили месяцы, испытания ТИС(А) затянулись - первый этап испытаний в ЛИИ НКАП закончился лишь в апреле 1942 г., а второй - в 1943 г. Именно поэтому было принято решение переделать самолет под более доведенные моторы АМ-39 (9649).</w:t>
      </w:r>
    </w:p>
    <w:p w14:paraId="3FB4DE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8B5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эскизный проект мотопланера ПБ отправили на рассмотрение в НИИ ВВС. Опыт использования У-2 как ночного бомбардировщика, который выходил на цель, планируя с выключенным дви</w:t>
      </w:r>
      <w:r w:rsidRPr="008127F8">
        <w:rPr>
          <w:rFonts w:ascii="Times New Roman" w:hAnsi="Times New Roman"/>
          <w:color w:val="000000" w:themeColor="text1"/>
          <w:sz w:val="16"/>
          <w:szCs w:val="16"/>
        </w:rPr>
        <w:softHyphen/>
        <w:t>гателем, показал, что наибольшая эффективность дости</w:t>
      </w:r>
      <w:r w:rsidRPr="008127F8">
        <w:rPr>
          <w:rFonts w:ascii="Times New Roman" w:hAnsi="Times New Roman"/>
          <w:color w:val="000000" w:themeColor="text1"/>
          <w:sz w:val="16"/>
          <w:szCs w:val="16"/>
        </w:rPr>
        <w:softHyphen/>
        <w:t>гается при планировании с малых высот. ПБ для этих операций не был предназначен, поэтому предложений о его постройке не поступало (10667).</w:t>
      </w:r>
    </w:p>
    <w:p w14:paraId="0106A35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E500F"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завод № 82, которому, согласно планам с завода № 153 должны были поставить 10 машин в агрегатах и 25 в деталях (плюс один эталонный самолет) (аналогичная поставка (10+25) должна была произойти в мае, а в июне предусматривалось доставить детали в россыпи еще на 50 машин - всего на изготовление 120 Як-7Б) фактически получил от завода № 153 25 самолетов Як-7Б в агре</w:t>
      </w:r>
      <w:r w:rsidRPr="008A2E5A">
        <w:rPr>
          <w:rFonts w:ascii="Times New Roman" w:hAnsi="Times New Roman"/>
          <w:color w:val="0070C0"/>
          <w:sz w:val="16"/>
          <w:szCs w:val="16"/>
        </w:rPr>
        <w:softHyphen/>
        <w:t>гатах (без моторов, винтов, колес, радиаторов, вооруже</w:t>
      </w:r>
      <w:r w:rsidRPr="008A2E5A">
        <w:rPr>
          <w:rFonts w:ascii="Times New Roman" w:hAnsi="Times New Roman"/>
          <w:color w:val="0070C0"/>
          <w:sz w:val="16"/>
          <w:szCs w:val="16"/>
        </w:rPr>
        <w:softHyphen/>
        <w:t>ния) и 5 самолетов в виде задела деталей (без деревян</w:t>
      </w:r>
      <w:r w:rsidRPr="008A2E5A">
        <w:rPr>
          <w:rFonts w:ascii="Times New Roman" w:hAnsi="Times New Roman"/>
          <w:color w:val="0070C0"/>
          <w:sz w:val="16"/>
          <w:szCs w:val="16"/>
        </w:rPr>
        <w:softHyphen/>
        <w:t>ных частей крыла и фюзеляжа). К этому числу добавились заделы деталей, поступившие на завод №82 в конце мая после прекращения подготовки к серийному производ</w:t>
      </w:r>
      <w:r w:rsidRPr="008A2E5A">
        <w:rPr>
          <w:rFonts w:ascii="Times New Roman" w:hAnsi="Times New Roman"/>
          <w:color w:val="0070C0"/>
          <w:sz w:val="16"/>
          <w:szCs w:val="16"/>
        </w:rPr>
        <w:softHyphen/>
        <w:t>ству Як-7Б на Горьковском авиазаводе №21. Кроме того, в развитие постановления ГКО №1659сс от 26.04.42 г., Новосибирский авиазавод обязали оказать техническую помощь передачей к 1 июня необходимых комплектов оснастки для обеспечения авиавыпуска двух самолетов в день, а также полностью обеспечить программу заво</w:t>
      </w:r>
      <w:r w:rsidRPr="008A2E5A">
        <w:rPr>
          <w:rFonts w:ascii="Times New Roman" w:hAnsi="Times New Roman"/>
          <w:color w:val="0070C0"/>
          <w:sz w:val="16"/>
          <w:szCs w:val="16"/>
        </w:rPr>
        <w:softHyphen/>
        <w:t>да в Тушине штамповками и цветным литьем. Приказом НКАП № 386 с от 18 мая заводу № 21 поручалось пере</w:t>
      </w:r>
      <w:r w:rsidRPr="008A2E5A">
        <w:rPr>
          <w:rFonts w:ascii="Times New Roman" w:hAnsi="Times New Roman"/>
          <w:color w:val="0070C0"/>
          <w:sz w:val="16"/>
          <w:szCs w:val="16"/>
        </w:rPr>
        <w:softHyphen/>
        <w:t>дать к 25 и 28 мая 1942 г. по пять комплектов выверенных серийных чертежей. Для своевременной поставки радиа</w:t>
      </w:r>
      <w:r w:rsidRPr="008A2E5A">
        <w:rPr>
          <w:rFonts w:ascii="Times New Roman" w:hAnsi="Times New Roman"/>
          <w:color w:val="0070C0"/>
          <w:sz w:val="16"/>
          <w:szCs w:val="16"/>
        </w:rPr>
        <w:softHyphen/>
        <w:t>торов в Москве на площадях бывшего радиаторного заво</w:t>
      </w:r>
      <w:r w:rsidRPr="008A2E5A">
        <w:rPr>
          <w:rFonts w:ascii="Times New Roman" w:hAnsi="Times New Roman"/>
          <w:color w:val="0070C0"/>
          <w:sz w:val="16"/>
          <w:szCs w:val="16"/>
        </w:rPr>
        <w:softHyphen/>
        <w:t>да №34 организовали завод №124, который с июня 1942 г. приступил к серийному выпуску продукции для заводов №82 и №153 (23381).</w:t>
      </w:r>
    </w:p>
    <w:p w14:paraId="15722326" w14:textId="77777777" w:rsidR="00646D7E" w:rsidRPr="008A2E5A" w:rsidRDefault="00646D7E" w:rsidP="00646D7E">
      <w:pPr>
        <w:spacing w:after="0" w:line="240" w:lineRule="auto"/>
        <w:jc w:val="both"/>
        <w:rPr>
          <w:rFonts w:ascii="Times New Roman" w:hAnsi="Times New Roman"/>
          <w:color w:val="0070C0"/>
          <w:sz w:val="16"/>
          <w:szCs w:val="16"/>
        </w:rPr>
      </w:pPr>
    </w:p>
    <w:p w14:paraId="56BB1829"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приступили к изготовлению машины, получившей наименование Як-7Д (дальний) - Як-7 в варианте ско</w:t>
      </w:r>
      <w:r w:rsidRPr="008A2E5A">
        <w:rPr>
          <w:rFonts w:ascii="Times New Roman" w:hAnsi="Times New Roman"/>
          <w:color w:val="0070C0"/>
          <w:sz w:val="16"/>
          <w:szCs w:val="16"/>
        </w:rPr>
        <w:softHyphen/>
        <w:t>ростного разведчика с дальностью полета 1300 км на ско</w:t>
      </w:r>
      <w:r w:rsidRPr="008A2E5A">
        <w:rPr>
          <w:rFonts w:ascii="Times New Roman" w:hAnsi="Times New Roman"/>
          <w:color w:val="0070C0"/>
          <w:sz w:val="16"/>
          <w:szCs w:val="16"/>
        </w:rPr>
        <w:softHyphen/>
        <w:t>рости, равной 0,9 от максимальной в апреле и полностью закончили к 3 июня 1942 г. Предложено модифи</w:t>
      </w:r>
      <w:r w:rsidRPr="008A2E5A">
        <w:rPr>
          <w:rFonts w:ascii="Times New Roman" w:hAnsi="Times New Roman"/>
          <w:color w:val="0070C0"/>
          <w:sz w:val="16"/>
          <w:szCs w:val="16"/>
        </w:rPr>
        <w:softHyphen/>
        <w:t>цировать одноместный истребитель в такую машину поступило от ОКБ А.С. Яковлева при рассмотрении плана строительства опытных само</w:t>
      </w:r>
      <w:r w:rsidRPr="008A2E5A">
        <w:rPr>
          <w:rFonts w:ascii="Times New Roman" w:hAnsi="Times New Roman"/>
          <w:color w:val="0070C0"/>
          <w:sz w:val="16"/>
          <w:szCs w:val="16"/>
        </w:rPr>
        <w:softHyphen/>
        <w:t>летов на 1942 г. в Наркомате авиационной промышленно</w:t>
      </w:r>
      <w:r w:rsidRPr="008A2E5A">
        <w:rPr>
          <w:rFonts w:ascii="Times New Roman" w:hAnsi="Times New Roman"/>
          <w:color w:val="0070C0"/>
          <w:sz w:val="16"/>
          <w:szCs w:val="16"/>
        </w:rPr>
        <w:softHyphen/>
        <w:t>сти СССР.</w:t>
      </w:r>
    </w:p>
    <w:p w14:paraId="629AAEF0"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модификации в соответствии с заданной специ</w:t>
      </w:r>
      <w:r w:rsidRPr="008A2E5A">
        <w:rPr>
          <w:rFonts w:ascii="Times New Roman" w:hAnsi="Times New Roman"/>
          <w:color w:val="0070C0"/>
          <w:sz w:val="16"/>
          <w:szCs w:val="16"/>
        </w:rPr>
        <w:softHyphen/>
        <w:t>ализацией самолета больше всего подходил фюзеляж учебного Як-7В серийного выпуска, к которому присты</w:t>
      </w:r>
      <w:r w:rsidRPr="008A2E5A">
        <w:rPr>
          <w:rFonts w:ascii="Times New Roman" w:hAnsi="Times New Roman"/>
          <w:color w:val="0070C0"/>
          <w:sz w:val="16"/>
          <w:szCs w:val="16"/>
        </w:rPr>
        <w:softHyphen/>
        <w:t>ковали крыло, изготовленное филиалом завода №115 в Новосибирске. Исходная конструкция фюзеляжа под</w:t>
      </w:r>
      <w:r w:rsidRPr="008A2E5A">
        <w:rPr>
          <w:rFonts w:ascii="Times New Roman" w:hAnsi="Times New Roman"/>
          <w:color w:val="0070C0"/>
          <w:sz w:val="16"/>
          <w:szCs w:val="16"/>
        </w:rPr>
        <w:softHyphen/>
        <w:t>верглась незначительным изменениям. Для обеспече</w:t>
      </w:r>
      <w:r w:rsidRPr="008A2E5A">
        <w:rPr>
          <w:rFonts w:ascii="Times New Roman" w:hAnsi="Times New Roman"/>
          <w:color w:val="0070C0"/>
          <w:sz w:val="16"/>
          <w:szCs w:val="16"/>
        </w:rPr>
        <w:softHyphen/>
        <w:t>ния длительной работы мотора при полетах на предель</w:t>
      </w:r>
      <w:r w:rsidRPr="008A2E5A">
        <w:rPr>
          <w:rFonts w:ascii="Times New Roman" w:hAnsi="Times New Roman"/>
          <w:color w:val="0070C0"/>
          <w:sz w:val="16"/>
          <w:szCs w:val="16"/>
        </w:rPr>
        <w:softHyphen/>
        <w:t>ную дальность емкость маслобака увеличили с 38 до 55 кг. Воздушные баллоны емкостью по 7 л перенесли из пе</w:t>
      </w:r>
      <w:r w:rsidRPr="008A2E5A">
        <w:rPr>
          <w:rFonts w:ascii="Times New Roman" w:hAnsi="Times New Roman"/>
          <w:color w:val="0070C0"/>
          <w:sz w:val="16"/>
          <w:szCs w:val="16"/>
        </w:rPr>
        <w:softHyphen/>
        <w:t>редней кабины в заднюю и разместили за вновь установ</w:t>
      </w:r>
      <w:r w:rsidRPr="008A2E5A">
        <w:rPr>
          <w:rFonts w:ascii="Times New Roman" w:hAnsi="Times New Roman"/>
          <w:color w:val="0070C0"/>
          <w:sz w:val="16"/>
          <w:szCs w:val="16"/>
        </w:rPr>
        <w:softHyphen/>
        <w:t>ленной на переднем сидении бронеспинкой (место уста</w:t>
      </w:r>
      <w:r w:rsidRPr="008A2E5A">
        <w:rPr>
          <w:rFonts w:ascii="Times New Roman" w:hAnsi="Times New Roman"/>
          <w:color w:val="0070C0"/>
          <w:sz w:val="16"/>
          <w:szCs w:val="16"/>
        </w:rPr>
        <w:softHyphen/>
        <w:t>новки аварийного баллона в задней кабине не менялось). Слева по полету от воздушных баллонов установили кис</w:t>
      </w:r>
      <w:r w:rsidRPr="008A2E5A">
        <w:rPr>
          <w:rFonts w:ascii="Times New Roman" w:hAnsi="Times New Roman"/>
          <w:color w:val="0070C0"/>
          <w:sz w:val="16"/>
          <w:szCs w:val="16"/>
        </w:rPr>
        <w:softHyphen/>
        <w:t>лородный баллон, обеспечивавший летчика в течение двух часов при полете на высоте 8000 м.</w:t>
      </w:r>
    </w:p>
    <w:p w14:paraId="6336296B"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изменения претерпело крыло, в котором за счет замены деревянных лонжеронов металлически</w:t>
      </w:r>
      <w:r w:rsidRPr="008A2E5A">
        <w:rPr>
          <w:rFonts w:ascii="Times New Roman" w:hAnsi="Times New Roman"/>
          <w:color w:val="0070C0"/>
          <w:sz w:val="16"/>
          <w:szCs w:val="16"/>
        </w:rPr>
        <w:softHyphen/>
        <w:t>ми дюралевыми, изменения схемы управления элерона</w:t>
      </w:r>
      <w:r w:rsidRPr="008A2E5A">
        <w:rPr>
          <w:rFonts w:ascii="Times New Roman" w:hAnsi="Times New Roman"/>
          <w:color w:val="0070C0"/>
          <w:sz w:val="16"/>
          <w:szCs w:val="16"/>
        </w:rPr>
        <w:softHyphen/>
        <w:t>ми (вынос тяг за задний лонжерон) и использования всех свободных объемов удалось разместить 11 бензобаков (два фюзеляжных под полом кабины пилота, шесть кры</w:t>
      </w:r>
      <w:r w:rsidRPr="008A2E5A">
        <w:rPr>
          <w:rFonts w:ascii="Times New Roman" w:hAnsi="Times New Roman"/>
          <w:color w:val="0070C0"/>
          <w:sz w:val="16"/>
          <w:szCs w:val="16"/>
        </w:rPr>
        <w:softHyphen/>
        <w:t>льевых, два размещенных в носках крыла и один фюзе</w:t>
      </w:r>
      <w:r w:rsidRPr="008A2E5A">
        <w:rPr>
          <w:rFonts w:ascii="Times New Roman" w:hAnsi="Times New Roman"/>
          <w:color w:val="0070C0"/>
          <w:sz w:val="16"/>
          <w:szCs w:val="16"/>
        </w:rPr>
        <w:softHyphen/>
        <w:t>ляжный расходный перед задним лонжероном), увели</w:t>
      </w:r>
      <w:r w:rsidRPr="008A2E5A">
        <w:rPr>
          <w:rFonts w:ascii="Times New Roman" w:hAnsi="Times New Roman"/>
          <w:color w:val="0070C0"/>
          <w:sz w:val="16"/>
          <w:szCs w:val="16"/>
        </w:rPr>
        <w:softHyphen/>
        <w:t>чив запас горючего более чем вдвое - с 414 до 925 л. Ем</w:t>
      </w:r>
      <w:r w:rsidRPr="008A2E5A">
        <w:rPr>
          <w:rFonts w:ascii="Times New Roman" w:hAnsi="Times New Roman"/>
          <w:color w:val="0070C0"/>
          <w:sz w:val="16"/>
          <w:szCs w:val="16"/>
        </w:rPr>
        <w:softHyphen/>
        <w:t>кость крыльевых баков составляла по 50, 135 и 206, но</w:t>
      </w:r>
      <w:r w:rsidRPr="008A2E5A">
        <w:rPr>
          <w:rFonts w:ascii="Times New Roman" w:hAnsi="Times New Roman"/>
          <w:color w:val="0070C0"/>
          <w:sz w:val="16"/>
          <w:szCs w:val="16"/>
        </w:rPr>
        <w:softHyphen/>
        <w:t>сковых - по 44, фюзеляжных - по 43 литра и расходного - 9 л. Все бензобаки, за исключением расходного, не про</w:t>
      </w:r>
      <w:r w:rsidRPr="008A2E5A">
        <w:rPr>
          <w:rFonts w:ascii="Times New Roman" w:hAnsi="Times New Roman"/>
          <w:color w:val="0070C0"/>
          <w:sz w:val="16"/>
          <w:szCs w:val="16"/>
        </w:rPr>
        <w:softHyphen/>
        <w:t>тежировались. Крыльевые баки изготовлялись из фибры, а все фюзеляжные - из дюралюминия. Для обеспечения равномерности выработки основные баки межбаковыми соединениями делились на четыре группы. В обеих по</w:t>
      </w:r>
      <w:r w:rsidRPr="008A2E5A">
        <w:rPr>
          <w:rFonts w:ascii="Times New Roman" w:hAnsi="Times New Roman"/>
          <w:color w:val="0070C0"/>
          <w:sz w:val="16"/>
          <w:szCs w:val="16"/>
        </w:rPr>
        <w:softHyphen/>
        <w:t>ловинах крыла одна группа состояла из двух консольных баков и бака в носке крыла, а другая - из корневого бака вместе с фюзеляжным. По расчетам, этого топлива долж</w:t>
      </w:r>
      <w:r w:rsidRPr="008A2E5A">
        <w:rPr>
          <w:rFonts w:ascii="Times New Roman" w:hAnsi="Times New Roman"/>
          <w:color w:val="0070C0"/>
          <w:sz w:val="16"/>
          <w:szCs w:val="16"/>
        </w:rPr>
        <w:softHyphen/>
        <w:t>но было хватить на 1600 км полета на режиме скоростной дальности на высоте 5000 м. Формой в плане новое крыло было аналогично крыльям опытных машин Як-5 (И-28), Як- 7М, Як-7-37, чтобы в случае необходимости разместить на консолях крыла предкрылки. Из-за отсутствия дюрале</w:t>
      </w:r>
      <w:r w:rsidRPr="008A2E5A">
        <w:rPr>
          <w:rFonts w:ascii="Times New Roman" w:hAnsi="Times New Roman"/>
          <w:color w:val="0070C0"/>
          <w:sz w:val="16"/>
          <w:szCs w:val="16"/>
        </w:rPr>
        <w:softHyphen/>
        <w:t>вых тавровых профилей нужного размера верхняя и ниж</w:t>
      </w:r>
      <w:r w:rsidRPr="008A2E5A">
        <w:rPr>
          <w:rFonts w:ascii="Times New Roman" w:hAnsi="Times New Roman"/>
          <w:color w:val="0070C0"/>
          <w:sz w:val="16"/>
          <w:szCs w:val="16"/>
        </w:rPr>
        <w:softHyphen/>
        <w:t>няя полки переднего лонжерона изготовлены из уголков, накрытых сверху и снизу дюралевыми полосами. Элемен</w:t>
      </w:r>
      <w:r w:rsidRPr="008A2E5A">
        <w:rPr>
          <w:rFonts w:ascii="Times New Roman" w:hAnsi="Times New Roman"/>
          <w:color w:val="0070C0"/>
          <w:sz w:val="16"/>
          <w:szCs w:val="16"/>
        </w:rPr>
        <w:softHyphen/>
        <w:t>ты полок соединялись между собой и со стенкой лонже</w:t>
      </w:r>
      <w:r w:rsidRPr="008A2E5A">
        <w:rPr>
          <w:rFonts w:ascii="Times New Roman" w:hAnsi="Times New Roman"/>
          <w:color w:val="0070C0"/>
          <w:sz w:val="16"/>
          <w:szCs w:val="16"/>
        </w:rPr>
        <w:softHyphen/>
        <w:t>рона при помощи клепки. Полки заднего лонжерона пред</w:t>
      </w:r>
      <w:r w:rsidRPr="008A2E5A">
        <w:rPr>
          <w:rFonts w:ascii="Times New Roman" w:hAnsi="Times New Roman"/>
          <w:color w:val="0070C0"/>
          <w:sz w:val="16"/>
          <w:szCs w:val="16"/>
        </w:rPr>
        <w:softHyphen/>
        <w:t>ставляли собой отбортованные части стенки, подкреплен</w:t>
      </w:r>
      <w:r w:rsidRPr="008A2E5A">
        <w:rPr>
          <w:rFonts w:ascii="Times New Roman" w:hAnsi="Times New Roman"/>
          <w:color w:val="0070C0"/>
          <w:sz w:val="16"/>
          <w:szCs w:val="16"/>
        </w:rPr>
        <w:softHyphen/>
        <w:t>ные с внутренней стороны угольниками. Передний и зад</w:t>
      </w:r>
      <w:r w:rsidRPr="008A2E5A">
        <w:rPr>
          <w:rFonts w:ascii="Times New Roman" w:hAnsi="Times New Roman"/>
          <w:color w:val="0070C0"/>
          <w:sz w:val="16"/>
          <w:szCs w:val="16"/>
        </w:rPr>
        <w:softHyphen/>
        <w:t>ний лонжероны скреплялись между собой шестью основ</w:t>
      </w:r>
      <w:r w:rsidRPr="008A2E5A">
        <w:rPr>
          <w:rFonts w:ascii="Times New Roman" w:hAnsi="Times New Roman"/>
          <w:color w:val="0070C0"/>
          <w:sz w:val="16"/>
          <w:szCs w:val="16"/>
        </w:rPr>
        <w:softHyphen/>
        <w:t>ными металлическими и двумя деревянными нервюрами. Остальной силовой набор крыла оставался деревянным. Для облегчения процесса изготовления, сборки и ремон</w:t>
      </w:r>
      <w:r w:rsidRPr="008A2E5A">
        <w:rPr>
          <w:rFonts w:ascii="Times New Roman" w:hAnsi="Times New Roman"/>
          <w:color w:val="0070C0"/>
          <w:sz w:val="16"/>
          <w:szCs w:val="16"/>
        </w:rPr>
        <w:softHyphen/>
        <w:t>та крыло выполнили разъемным из двух половин, соеди</w:t>
      </w:r>
      <w:r w:rsidRPr="008A2E5A">
        <w:rPr>
          <w:rFonts w:ascii="Times New Roman" w:hAnsi="Times New Roman"/>
          <w:color w:val="0070C0"/>
          <w:sz w:val="16"/>
          <w:szCs w:val="16"/>
        </w:rPr>
        <w:softHyphen/>
        <w:t>ненных стальными стыковыми узлами в плоскости сим</w:t>
      </w:r>
      <w:r w:rsidRPr="008A2E5A">
        <w:rPr>
          <w:rFonts w:ascii="Times New Roman" w:hAnsi="Times New Roman"/>
          <w:color w:val="0070C0"/>
          <w:sz w:val="16"/>
          <w:szCs w:val="16"/>
        </w:rPr>
        <w:softHyphen/>
        <w:t>метрии самолета. Несмотря на проведенную ВИАМ ра</w:t>
      </w:r>
      <w:r w:rsidRPr="008A2E5A">
        <w:rPr>
          <w:rFonts w:ascii="Times New Roman" w:hAnsi="Times New Roman"/>
          <w:color w:val="0070C0"/>
          <w:sz w:val="16"/>
          <w:szCs w:val="16"/>
        </w:rPr>
        <w:softHyphen/>
        <w:t>боту по разработке клеевых соединений древесины с ме</w:t>
      </w:r>
      <w:r w:rsidRPr="008A2E5A">
        <w:rPr>
          <w:rFonts w:ascii="Times New Roman" w:hAnsi="Times New Roman"/>
          <w:color w:val="0070C0"/>
          <w:sz w:val="16"/>
          <w:szCs w:val="16"/>
        </w:rPr>
        <w:softHyphen/>
        <w:t>таллом, удовлетворительного результата получить не уда</w:t>
      </w:r>
      <w:r w:rsidRPr="008A2E5A">
        <w:rPr>
          <w:rFonts w:ascii="Times New Roman" w:hAnsi="Times New Roman"/>
          <w:color w:val="0070C0"/>
          <w:sz w:val="16"/>
          <w:szCs w:val="16"/>
        </w:rPr>
        <w:softHyphen/>
        <w:t>лось. Поэтому к металлическим полкам лонжеронов и не</w:t>
      </w:r>
      <w:r w:rsidRPr="008A2E5A">
        <w:rPr>
          <w:rFonts w:ascii="Times New Roman" w:hAnsi="Times New Roman"/>
          <w:color w:val="0070C0"/>
          <w:sz w:val="16"/>
          <w:szCs w:val="16"/>
        </w:rPr>
        <w:softHyphen/>
        <w:t>рвюр вначале приклепывались фанерные полосы, к кото</w:t>
      </w:r>
      <w:r w:rsidRPr="008A2E5A">
        <w:rPr>
          <w:rFonts w:ascii="Times New Roman" w:hAnsi="Times New Roman"/>
          <w:color w:val="0070C0"/>
          <w:sz w:val="16"/>
          <w:szCs w:val="16"/>
        </w:rPr>
        <w:softHyphen/>
        <w:t>рым приклеивалась непосредственно сама обшивка. Сты</w:t>
      </w:r>
      <w:r w:rsidRPr="008A2E5A">
        <w:rPr>
          <w:rFonts w:ascii="Times New Roman" w:hAnsi="Times New Roman"/>
          <w:color w:val="0070C0"/>
          <w:sz w:val="16"/>
          <w:szCs w:val="16"/>
        </w:rPr>
        <w:softHyphen/>
        <w:t>ковые узлы крыла, получившего собственное наименование - «Д», выполнили таким образом, чтобы его можно было присоединить к любому фюзеляжу машин типа Як-7.</w:t>
      </w:r>
    </w:p>
    <w:p w14:paraId="2FDFCDDB"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разведчик, самолет штатно оборудовался аэро</w:t>
      </w:r>
      <w:r w:rsidRPr="008A2E5A">
        <w:rPr>
          <w:rFonts w:ascii="Times New Roman" w:hAnsi="Times New Roman"/>
          <w:color w:val="0070C0"/>
          <w:sz w:val="16"/>
          <w:szCs w:val="16"/>
        </w:rPr>
        <w:softHyphen/>
        <w:t>фотоаппаратом АФА-Б, расположенном в задней каби</w:t>
      </w:r>
      <w:r w:rsidRPr="008A2E5A">
        <w:rPr>
          <w:rFonts w:ascii="Times New Roman" w:hAnsi="Times New Roman"/>
          <w:color w:val="0070C0"/>
          <w:sz w:val="16"/>
          <w:szCs w:val="16"/>
        </w:rPr>
        <w:softHyphen/>
        <w:t>не. (АФА-Б представлял собой фотоаппарат типа АФА- ИМ, снабженный телеобъективом Ф-3 с фокусным рас</w:t>
      </w:r>
      <w:r w:rsidRPr="008A2E5A">
        <w:rPr>
          <w:rFonts w:ascii="Times New Roman" w:hAnsi="Times New Roman"/>
          <w:color w:val="0070C0"/>
          <w:sz w:val="16"/>
          <w:szCs w:val="16"/>
        </w:rPr>
        <w:softHyphen/>
        <w:t>стоянием 400 мм и увеличенным до трех секунд време</w:t>
      </w:r>
      <w:r w:rsidRPr="008A2E5A">
        <w:rPr>
          <w:rFonts w:ascii="Times New Roman" w:hAnsi="Times New Roman"/>
          <w:color w:val="0070C0"/>
          <w:sz w:val="16"/>
          <w:szCs w:val="16"/>
        </w:rPr>
        <w:softHyphen/>
        <w:t>нем цикла съемки.) Управление затвором, обогрев, счет снимков осуществляются при помощи командного щит</w:t>
      </w:r>
      <w:r w:rsidRPr="008A2E5A">
        <w:rPr>
          <w:rFonts w:ascii="Times New Roman" w:hAnsi="Times New Roman"/>
          <w:color w:val="0070C0"/>
          <w:sz w:val="16"/>
          <w:szCs w:val="16"/>
        </w:rPr>
        <w:softHyphen/>
        <w:t>ка, установленного на правом борту над пультом в каби</w:t>
      </w:r>
      <w:r w:rsidRPr="008A2E5A">
        <w:rPr>
          <w:rFonts w:ascii="Times New Roman" w:hAnsi="Times New Roman"/>
          <w:color w:val="0070C0"/>
          <w:sz w:val="16"/>
          <w:szCs w:val="16"/>
        </w:rPr>
        <w:softHyphen/>
        <w:t>не летчика. Люк в полу фюзеляжа открывался с помощью штурвальчика выбиранием троса, закрывался - пружи</w:t>
      </w:r>
      <w:r w:rsidRPr="008A2E5A">
        <w:rPr>
          <w:rFonts w:ascii="Times New Roman" w:hAnsi="Times New Roman"/>
          <w:color w:val="0070C0"/>
          <w:sz w:val="16"/>
          <w:szCs w:val="16"/>
        </w:rPr>
        <w:softHyphen/>
        <w:t>ной. Штурвальчик управления устанавливался на левом борту под пультом. Фотоустановка позволяла сделать до 50 фотоснимков с высоты не более 8000 м. Для разме</w:t>
      </w:r>
      <w:r w:rsidRPr="008A2E5A">
        <w:rPr>
          <w:rFonts w:ascii="Times New Roman" w:hAnsi="Times New Roman"/>
          <w:color w:val="0070C0"/>
          <w:sz w:val="16"/>
          <w:szCs w:val="16"/>
        </w:rPr>
        <w:softHyphen/>
        <w:t>щения объектива АФА-Б тросы управления рулем пово</w:t>
      </w:r>
      <w:r w:rsidRPr="008A2E5A">
        <w:rPr>
          <w:rFonts w:ascii="Times New Roman" w:hAnsi="Times New Roman"/>
          <w:color w:val="0070C0"/>
          <w:sz w:val="16"/>
          <w:szCs w:val="16"/>
        </w:rPr>
        <w:softHyphen/>
        <w:t>рота со второй по четвертую раму сведены к центру вто</w:t>
      </w:r>
      <w:r w:rsidRPr="008A2E5A">
        <w:rPr>
          <w:rFonts w:ascii="Times New Roman" w:hAnsi="Times New Roman"/>
          <w:color w:val="0070C0"/>
          <w:sz w:val="16"/>
          <w:szCs w:val="16"/>
        </w:rPr>
        <w:softHyphen/>
        <w:t>рой кабины.</w:t>
      </w:r>
    </w:p>
    <w:p w14:paraId="37E9182F"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также мог использоваться как дальний самолет свя</w:t>
      </w:r>
      <w:r w:rsidRPr="008A2E5A">
        <w:rPr>
          <w:rFonts w:ascii="Times New Roman" w:hAnsi="Times New Roman"/>
          <w:color w:val="0070C0"/>
          <w:sz w:val="16"/>
          <w:szCs w:val="16"/>
        </w:rPr>
        <w:softHyphen/>
        <w:t>зи, для чего на месте фотоаппарата могло устанавливаться лег</w:t>
      </w:r>
      <w:r w:rsidRPr="008A2E5A">
        <w:rPr>
          <w:rFonts w:ascii="Times New Roman" w:hAnsi="Times New Roman"/>
          <w:color w:val="0070C0"/>
          <w:sz w:val="16"/>
          <w:szCs w:val="16"/>
        </w:rPr>
        <w:softHyphen/>
        <w:t>косъемное сиденье для пассажира. Для за</w:t>
      </w:r>
      <w:r w:rsidRPr="008A2E5A">
        <w:rPr>
          <w:rFonts w:ascii="Times New Roman" w:hAnsi="Times New Roman"/>
          <w:color w:val="0070C0"/>
          <w:sz w:val="16"/>
          <w:szCs w:val="16"/>
        </w:rPr>
        <w:softHyphen/>
        <w:t>щиты самолета уста</w:t>
      </w:r>
      <w:r w:rsidRPr="008A2E5A">
        <w:rPr>
          <w:rFonts w:ascii="Times New Roman" w:hAnsi="Times New Roman"/>
          <w:color w:val="0070C0"/>
          <w:sz w:val="16"/>
          <w:szCs w:val="16"/>
        </w:rPr>
        <w:softHyphen/>
        <w:t>новили мотор-пуш</w:t>
      </w:r>
      <w:r w:rsidRPr="008A2E5A">
        <w:rPr>
          <w:rFonts w:ascii="Times New Roman" w:hAnsi="Times New Roman"/>
          <w:color w:val="0070C0"/>
          <w:sz w:val="16"/>
          <w:szCs w:val="16"/>
        </w:rPr>
        <w:softHyphen/>
        <w:t>ку ШBAK. Патронный ящик на 60 снарядов крепился на специаль</w:t>
      </w:r>
      <w:r w:rsidRPr="008A2E5A">
        <w:rPr>
          <w:rFonts w:ascii="Times New Roman" w:hAnsi="Times New Roman"/>
          <w:color w:val="0070C0"/>
          <w:sz w:val="16"/>
          <w:szCs w:val="16"/>
        </w:rPr>
        <w:softHyphen/>
        <w:t>ных кронштейнах (из- за отсутствия на Як-7В спецфермы под воору</w:t>
      </w:r>
      <w:r w:rsidRPr="008A2E5A">
        <w:rPr>
          <w:rFonts w:ascii="Times New Roman" w:hAnsi="Times New Roman"/>
          <w:color w:val="0070C0"/>
          <w:sz w:val="16"/>
          <w:szCs w:val="16"/>
        </w:rPr>
        <w:softHyphen/>
        <w:t>жение), идущих от син</w:t>
      </w:r>
      <w:r w:rsidRPr="008A2E5A">
        <w:rPr>
          <w:rFonts w:ascii="Times New Roman" w:hAnsi="Times New Roman"/>
          <w:color w:val="0070C0"/>
          <w:sz w:val="16"/>
          <w:szCs w:val="16"/>
        </w:rPr>
        <w:softHyphen/>
        <w:t>хронизаторов мотора. Звенья собирались в специальный брезен</w:t>
      </w:r>
      <w:r w:rsidRPr="008A2E5A">
        <w:rPr>
          <w:rFonts w:ascii="Times New Roman" w:hAnsi="Times New Roman"/>
          <w:color w:val="0070C0"/>
          <w:sz w:val="16"/>
          <w:szCs w:val="16"/>
        </w:rPr>
        <w:softHyphen/>
        <w:t>товый мешок справа от пушки (опоражни</w:t>
      </w:r>
      <w:r w:rsidRPr="008A2E5A">
        <w:rPr>
          <w:rFonts w:ascii="Times New Roman" w:hAnsi="Times New Roman"/>
          <w:color w:val="0070C0"/>
          <w:sz w:val="16"/>
          <w:szCs w:val="16"/>
        </w:rPr>
        <w:softHyphen/>
        <w:t>вался при снятой верх</w:t>
      </w:r>
      <w:r w:rsidRPr="008A2E5A">
        <w:rPr>
          <w:rFonts w:ascii="Times New Roman" w:hAnsi="Times New Roman"/>
          <w:color w:val="0070C0"/>
          <w:sz w:val="16"/>
          <w:szCs w:val="16"/>
        </w:rPr>
        <w:softHyphen/>
        <w:t>ней крышке капота), а гильзы отводились в стандартный для Як-7Б гильзосборник под полом кабины пилота. Пулеметного вооружения самолет не нес.</w:t>
      </w:r>
    </w:p>
    <w:p w14:paraId="0451A3D0"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Этой машине было суждено разделить судьбу тех нем</w:t>
      </w:r>
      <w:r w:rsidRPr="008A2E5A">
        <w:rPr>
          <w:rFonts w:ascii="Times New Roman" w:hAnsi="Times New Roman"/>
          <w:color w:val="0070C0"/>
          <w:sz w:val="16"/>
          <w:szCs w:val="16"/>
        </w:rPr>
        <w:softHyphen/>
        <w:t>ногих самолетов ОКБ, которые никогда не поднялись в воздух. А.Т. Степанец в своей книге пишет о проведен</w:t>
      </w:r>
      <w:r w:rsidRPr="008A2E5A">
        <w:rPr>
          <w:rFonts w:ascii="Times New Roman" w:hAnsi="Times New Roman"/>
          <w:color w:val="0070C0"/>
          <w:sz w:val="16"/>
          <w:szCs w:val="16"/>
        </w:rPr>
        <w:softHyphen/>
        <w:t>ных на Як-7Д испытательных полетах, однако, согласно дневнику испытаний, в варианте разведчика машина не летала. 16 июня 1942 г. в процессе заводских наземных испытаний, во время которых в основном определялись эксплуатационные характеристики бензосистемы (вре</w:t>
      </w:r>
      <w:r w:rsidRPr="008A2E5A">
        <w:rPr>
          <w:rFonts w:ascii="Times New Roman" w:hAnsi="Times New Roman"/>
          <w:color w:val="0070C0"/>
          <w:sz w:val="16"/>
          <w:szCs w:val="16"/>
        </w:rPr>
        <w:softHyphen/>
        <w:t>мя полной и частичной заправки, время слива топлива, герметичность и другие параметры) и проводилось взве</w:t>
      </w:r>
      <w:r w:rsidRPr="008A2E5A">
        <w:rPr>
          <w:rFonts w:ascii="Times New Roman" w:hAnsi="Times New Roman"/>
          <w:color w:val="0070C0"/>
          <w:sz w:val="16"/>
          <w:szCs w:val="16"/>
        </w:rPr>
        <w:softHyphen/>
        <w:t>шивание, поступило указание главного конструктора А.С. Яковлева о переделке данной модификации самоле</w:t>
      </w:r>
      <w:r w:rsidRPr="008A2E5A">
        <w:rPr>
          <w:rFonts w:ascii="Times New Roman" w:hAnsi="Times New Roman"/>
          <w:color w:val="0070C0"/>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8A2E5A">
        <w:rPr>
          <w:rFonts w:ascii="Times New Roman" w:hAnsi="Times New Roman"/>
          <w:color w:val="0070C0"/>
          <w:sz w:val="16"/>
          <w:szCs w:val="16"/>
        </w:rPr>
        <w:softHyphen/>
        <w:t>вали для установки крыла на другую машину (23381).</w:t>
      </w:r>
    </w:p>
    <w:p w14:paraId="4B0602C8" w14:textId="77777777" w:rsidR="00646D7E" w:rsidRPr="008A2E5A" w:rsidRDefault="00646D7E" w:rsidP="00646D7E">
      <w:pPr>
        <w:spacing w:after="0" w:line="240" w:lineRule="auto"/>
        <w:jc w:val="both"/>
        <w:rPr>
          <w:rFonts w:ascii="Times New Roman" w:hAnsi="Times New Roman"/>
          <w:color w:val="0070C0"/>
          <w:sz w:val="16"/>
          <w:szCs w:val="16"/>
        </w:rPr>
      </w:pPr>
    </w:p>
    <w:p w14:paraId="40A5908B"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w:t>
      </w:r>
      <w:r w:rsidRPr="008A2E5A">
        <w:rPr>
          <w:rFonts w:ascii="Times New Roman" w:hAnsi="Times New Roman"/>
          <w:color w:val="0070C0"/>
          <w:sz w:val="16"/>
          <w:szCs w:val="16"/>
        </w:rPr>
        <w:softHyphen/>
        <w:t>ле 1942 г. 6-я лаборатория ЛИИ НКАП (инженеры ЛИИ НКАП Щепетков и Бакуняев) изготовила опыт</w:t>
      </w:r>
      <w:r w:rsidRPr="008A2E5A">
        <w:rPr>
          <w:rFonts w:ascii="Times New Roman" w:hAnsi="Times New Roman"/>
          <w:color w:val="0070C0"/>
          <w:sz w:val="16"/>
          <w:szCs w:val="16"/>
        </w:rPr>
        <w:softHyphen/>
        <w:t>ный образец автомата управления заслонками водо- и маслорадиаторов самолетов типа Як. Из-за отсутствия самолета этот APT прошел только лабораторные испытания.</w:t>
      </w:r>
    </w:p>
    <w:p w14:paraId="2AA6EED4"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октябрю 1942 г. APT с электрическим управлени</w:t>
      </w:r>
      <w:r w:rsidRPr="008A2E5A">
        <w:rPr>
          <w:rFonts w:ascii="Times New Roman" w:hAnsi="Times New Roman"/>
          <w:color w:val="0070C0"/>
          <w:sz w:val="16"/>
          <w:szCs w:val="16"/>
        </w:rPr>
        <w:softHyphen/>
        <w:t>ем заслонками радиаторов - АРТ-41 - изготовил за</w:t>
      </w:r>
      <w:r w:rsidRPr="008A2E5A">
        <w:rPr>
          <w:rFonts w:ascii="Times New Roman" w:hAnsi="Times New Roman"/>
          <w:color w:val="0070C0"/>
          <w:sz w:val="16"/>
          <w:szCs w:val="16"/>
        </w:rPr>
        <w:softHyphen/>
        <w:t>вод №149 (это была одна из первых работ Раменского приборостроительного производственного объедине</w:t>
      </w:r>
      <w:r w:rsidRPr="008A2E5A">
        <w:rPr>
          <w:rFonts w:ascii="Times New Roman" w:hAnsi="Times New Roman"/>
          <w:color w:val="0070C0"/>
          <w:sz w:val="16"/>
          <w:szCs w:val="16"/>
        </w:rPr>
        <w:softHyphen/>
        <w:t>ния). Автомат до начала летных испытаний также про</w:t>
      </w:r>
      <w:r w:rsidRPr="008A2E5A">
        <w:rPr>
          <w:rFonts w:ascii="Times New Roman" w:hAnsi="Times New Roman"/>
          <w:color w:val="0070C0"/>
          <w:sz w:val="16"/>
          <w:szCs w:val="16"/>
        </w:rPr>
        <w:softHyphen/>
        <w:t>шел лабораторные испытания, в процессе которых на стенде провели тарировку приемников и выбрали луч</w:t>
      </w:r>
      <w:r w:rsidRPr="008A2E5A">
        <w:rPr>
          <w:rFonts w:ascii="Times New Roman" w:hAnsi="Times New Roman"/>
          <w:color w:val="0070C0"/>
          <w:sz w:val="16"/>
          <w:szCs w:val="16"/>
        </w:rPr>
        <w:softHyphen/>
        <w:t>ший из трех для летных испытаний. Летные испытания на самолете Як-7Б провели летчики-испытатели Герой Советского Союза старший лейтенант С.Ф. Машков</w:t>
      </w:r>
      <w:r w:rsidRPr="008A2E5A">
        <w:rPr>
          <w:rFonts w:ascii="Times New Roman" w:hAnsi="Times New Roman"/>
          <w:color w:val="0070C0"/>
          <w:sz w:val="16"/>
          <w:szCs w:val="16"/>
        </w:rPr>
        <w:softHyphen/>
        <w:t>ский и капитан А.И. Емельянов. Всего на отработку APT выполнили 7 полетов и 12 полетов по другим заданиям с включенным АРТ-41. Автомат показал удовлетвори</w:t>
      </w:r>
      <w:r w:rsidRPr="008A2E5A">
        <w:rPr>
          <w:rFonts w:ascii="Times New Roman" w:hAnsi="Times New Roman"/>
          <w:color w:val="0070C0"/>
          <w:sz w:val="16"/>
          <w:szCs w:val="16"/>
        </w:rPr>
        <w:softHyphen/>
        <w:t>тельную и безотказную работу в полете в течение 13 ча</w:t>
      </w:r>
      <w:r w:rsidRPr="008A2E5A">
        <w:rPr>
          <w:rFonts w:ascii="Times New Roman" w:hAnsi="Times New Roman"/>
          <w:color w:val="0070C0"/>
          <w:sz w:val="16"/>
          <w:szCs w:val="16"/>
        </w:rPr>
        <w:softHyphen/>
        <w:t>сов. Погрешности регулирования температуры не пре</w:t>
      </w:r>
      <w:r w:rsidRPr="008A2E5A">
        <w:rPr>
          <w:rFonts w:ascii="Times New Roman" w:hAnsi="Times New Roman"/>
          <w:color w:val="0070C0"/>
          <w:sz w:val="16"/>
          <w:szCs w:val="16"/>
        </w:rPr>
        <w:softHyphen/>
        <w:t>вышали ±5°С в случае малых скоростей изменения тем</w:t>
      </w:r>
      <w:r w:rsidRPr="008A2E5A">
        <w:rPr>
          <w:rFonts w:ascii="Times New Roman" w:hAnsi="Times New Roman"/>
          <w:color w:val="0070C0"/>
          <w:sz w:val="16"/>
          <w:szCs w:val="16"/>
        </w:rPr>
        <w:softHyphen/>
        <w:t>пературы (5-6‘С/мин). При больших скоростях измене</w:t>
      </w:r>
      <w:r w:rsidRPr="008A2E5A">
        <w:rPr>
          <w:rFonts w:ascii="Times New Roman" w:hAnsi="Times New Roman"/>
          <w:color w:val="0070C0"/>
          <w:sz w:val="16"/>
          <w:szCs w:val="16"/>
        </w:rPr>
        <w:softHyphen/>
        <w:t xml:space="preserve">ния температуры (порядка </w:t>
      </w:r>
      <w:proofErr w:type="gramStart"/>
      <w:r w:rsidRPr="008A2E5A">
        <w:rPr>
          <w:rFonts w:ascii="Times New Roman" w:hAnsi="Times New Roman"/>
          <w:color w:val="0070C0"/>
          <w:sz w:val="16"/>
          <w:szCs w:val="16"/>
        </w:rPr>
        <w:t>10”С</w:t>
      </w:r>
      <w:proofErr w:type="gramEnd"/>
      <w:r w:rsidRPr="008A2E5A">
        <w:rPr>
          <w:rFonts w:ascii="Times New Roman" w:hAnsi="Times New Roman"/>
          <w:color w:val="0070C0"/>
          <w:sz w:val="16"/>
          <w:szCs w:val="16"/>
        </w:rPr>
        <w:t xml:space="preserve">/мин и более), в силу </w:t>
      </w:r>
      <w:r w:rsidRPr="008A2E5A">
        <w:rPr>
          <w:rFonts w:ascii="Times New Roman" w:hAnsi="Times New Roman"/>
          <w:color w:val="0070C0"/>
          <w:sz w:val="16"/>
          <w:szCs w:val="16"/>
        </w:rPr>
        <w:lastRenderedPageBreak/>
        <w:t>за</w:t>
      </w:r>
      <w:r w:rsidRPr="008A2E5A">
        <w:rPr>
          <w:rFonts w:ascii="Times New Roman" w:hAnsi="Times New Roman"/>
          <w:color w:val="0070C0"/>
          <w:sz w:val="16"/>
          <w:szCs w:val="16"/>
        </w:rPr>
        <w:softHyphen/>
        <w:t>паздывания из-за тепловой инерции приемника, интер</w:t>
      </w:r>
      <w:r w:rsidRPr="008A2E5A">
        <w:rPr>
          <w:rFonts w:ascii="Times New Roman" w:hAnsi="Times New Roman"/>
          <w:color w:val="0070C0"/>
          <w:sz w:val="16"/>
          <w:szCs w:val="16"/>
        </w:rPr>
        <w:softHyphen/>
        <w:t>вал разброса поддерживаемой автоматом температу</w:t>
      </w:r>
      <w:r w:rsidRPr="008A2E5A">
        <w:rPr>
          <w:rFonts w:ascii="Times New Roman" w:hAnsi="Times New Roman"/>
          <w:color w:val="0070C0"/>
          <w:sz w:val="16"/>
          <w:szCs w:val="16"/>
        </w:rPr>
        <w:softHyphen/>
        <w:t>ры расширялся от +8 до -12°С, причем при понижении температуры воды запаздывание сказывалось сильнее. Особенно летный состав оценил возможность ручного управления створками простым нажатием переключа</w:t>
      </w:r>
      <w:r w:rsidRPr="008A2E5A">
        <w:rPr>
          <w:rFonts w:ascii="Times New Roman" w:hAnsi="Times New Roman"/>
          <w:color w:val="0070C0"/>
          <w:sz w:val="16"/>
          <w:szCs w:val="16"/>
        </w:rPr>
        <w:softHyphen/>
        <w:t>теля, вместо вращения штурвала (23381).</w:t>
      </w:r>
    </w:p>
    <w:p w14:paraId="6124F5AF" w14:textId="77777777" w:rsidR="00646D7E" w:rsidRPr="008A2E5A" w:rsidRDefault="00646D7E" w:rsidP="00646D7E">
      <w:pPr>
        <w:spacing w:after="0" w:line="240" w:lineRule="auto"/>
        <w:jc w:val="both"/>
        <w:rPr>
          <w:rFonts w:ascii="Times New Roman" w:hAnsi="Times New Roman"/>
          <w:color w:val="0070C0"/>
          <w:sz w:val="16"/>
          <w:szCs w:val="16"/>
        </w:rPr>
      </w:pPr>
    </w:p>
    <w:p w14:paraId="61F21D07"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 в целях упрощения производства самолетов и эконо</w:t>
      </w:r>
      <w:r w:rsidRPr="008A2E5A">
        <w:rPr>
          <w:rFonts w:ascii="Times New Roman" w:hAnsi="Times New Roman"/>
          <w:color w:val="0070C0"/>
          <w:sz w:val="16"/>
          <w:szCs w:val="16"/>
        </w:rPr>
        <w:softHyphen/>
        <w:t>мии цветных металлов инженеры ЛИИ НКАП И.К. Маломот, Сухов и старший техник Л.Н. Аваев разработали модернизированную монтажную схему электрооборудования и в экспериментальном порядке смонтировали ее на Як-7Б №2215398. В июне провели наземные и летные испытания этой схемы. Результатом работы стали улучшение технологии монтажа и эксплу</w:t>
      </w:r>
      <w:r w:rsidRPr="008A2E5A">
        <w:rPr>
          <w:rFonts w:ascii="Times New Roman" w:hAnsi="Times New Roman"/>
          <w:color w:val="0070C0"/>
          <w:sz w:val="16"/>
          <w:szCs w:val="16"/>
        </w:rPr>
        <w:softHyphen/>
        <w:t>атации электрооборудования, экономия дефицитного провода (80 метров из 230) как за счет упрощения схемы, так и за счет пересмотра его сечений, создание универ</w:t>
      </w:r>
      <w:r w:rsidRPr="008A2E5A">
        <w:rPr>
          <w:rFonts w:ascii="Times New Roman" w:hAnsi="Times New Roman"/>
          <w:color w:val="0070C0"/>
          <w:sz w:val="16"/>
          <w:szCs w:val="16"/>
        </w:rPr>
        <w:softHyphen/>
        <w:t>сальной схемы для Як-7Б, допускающей монтаж электро</w:t>
      </w:r>
      <w:r w:rsidRPr="008A2E5A">
        <w:rPr>
          <w:rFonts w:ascii="Times New Roman" w:hAnsi="Times New Roman"/>
          <w:color w:val="0070C0"/>
          <w:sz w:val="16"/>
          <w:szCs w:val="16"/>
        </w:rPr>
        <w:softHyphen/>
        <w:t>сети как экранированной, так и не экранированной. В но</w:t>
      </w:r>
      <w:r w:rsidRPr="008A2E5A">
        <w:rPr>
          <w:rFonts w:ascii="Times New Roman" w:hAnsi="Times New Roman"/>
          <w:color w:val="0070C0"/>
          <w:sz w:val="16"/>
          <w:szCs w:val="16"/>
        </w:rPr>
        <w:softHyphen/>
        <w:t>ябре 1942 г. однопроводной электросетью (экранирован</w:t>
      </w:r>
      <w:r w:rsidRPr="008A2E5A">
        <w:rPr>
          <w:rFonts w:ascii="Times New Roman" w:hAnsi="Times New Roman"/>
          <w:color w:val="0070C0"/>
          <w:sz w:val="16"/>
          <w:szCs w:val="16"/>
        </w:rPr>
        <w:softHyphen/>
        <w:t>ной и не экранированной) оборудовали два Як-7Б. Испы</w:t>
      </w:r>
      <w:r w:rsidRPr="008A2E5A">
        <w:rPr>
          <w:rFonts w:ascii="Times New Roman" w:hAnsi="Times New Roman"/>
          <w:color w:val="0070C0"/>
          <w:sz w:val="16"/>
          <w:szCs w:val="16"/>
        </w:rPr>
        <w:softHyphen/>
        <w:t>тания этих самолетов показали, что на дальность ради</w:t>
      </w:r>
      <w:r w:rsidRPr="008A2E5A">
        <w:rPr>
          <w:rFonts w:ascii="Times New Roman" w:hAnsi="Times New Roman"/>
          <w:color w:val="0070C0"/>
          <w:sz w:val="16"/>
          <w:szCs w:val="16"/>
        </w:rPr>
        <w:softHyphen/>
        <w:t>освязи внесенные изменения не влияют. В декабре выпу</w:t>
      </w:r>
      <w:r w:rsidRPr="008A2E5A">
        <w:rPr>
          <w:rFonts w:ascii="Times New Roman" w:hAnsi="Times New Roman"/>
          <w:color w:val="0070C0"/>
          <w:sz w:val="16"/>
          <w:szCs w:val="16"/>
        </w:rPr>
        <w:softHyphen/>
        <w:t>стили войсковую серию из 25 машин для проверки в экс</w:t>
      </w:r>
      <w:r w:rsidRPr="008A2E5A">
        <w:rPr>
          <w:rFonts w:ascii="Times New Roman" w:hAnsi="Times New Roman"/>
          <w:color w:val="0070C0"/>
          <w:sz w:val="16"/>
          <w:szCs w:val="16"/>
        </w:rPr>
        <w:softHyphen/>
        <w:t>плуатации, а с февраля 1943 г. ее внедрили в производ</w:t>
      </w:r>
      <w:r w:rsidRPr="008A2E5A">
        <w:rPr>
          <w:rFonts w:ascii="Times New Roman" w:hAnsi="Times New Roman"/>
          <w:color w:val="0070C0"/>
          <w:sz w:val="16"/>
          <w:szCs w:val="16"/>
        </w:rPr>
        <w:softHyphen/>
        <w:t>ство на заводе №153 для всех машин Як-7Б с 41-й серии и Як-7В с 7-й серии (23381).</w:t>
      </w:r>
    </w:p>
    <w:p w14:paraId="2050894F" w14:textId="77777777" w:rsidR="00646D7E" w:rsidRPr="008A2E5A" w:rsidRDefault="00646D7E" w:rsidP="00646D7E">
      <w:pPr>
        <w:spacing w:after="0" w:line="240" w:lineRule="auto"/>
        <w:jc w:val="both"/>
        <w:rPr>
          <w:rFonts w:ascii="Times New Roman" w:hAnsi="Times New Roman"/>
          <w:color w:val="0070C0"/>
          <w:sz w:val="16"/>
          <w:szCs w:val="16"/>
        </w:rPr>
      </w:pPr>
    </w:p>
    <w:p w14:paraId="1E324DB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парторг ЦК ВКП(б) на заводе № 51 В.П.Ионов в письме в ЦК партии на имя Г.М.Маленкова пожаловался на существующее ненормальное положе</w:t>
      </w:r>
      <w:r w:rsidRPr="008127F8">
        <w:rPr>
          <w:rFonts w:ascii="Times New Roman" w:hAnsi="Times New Roman"/>
          <w:color w:val="000000" w:themeColor="text1"/>
          <w:sz w:val="16"/>
          <w:szCs w:val="16"/>
        </w:rPr>
        <w:softHyphen/>
        <w:t>ние, мешающее продуктивно работать. Маленков переадресовал письмо Яковлеву. Тот в объяснении ситуации, сложившейся на заводе, отписал буквально следующее: «Наркомат проявлял к конструктору Поликарпову и к его коллективу исключительно внимательное отноше</w:t>
      </w:r>
      <w:r w:rsidRPr="008127F8">
        <w:rPr>
          <w:rFonts w:ascii="Times New Roman" w:hAnsi="Times New Roman"/>
          <w:color w:val="000000" w:themeColor="text1"/>
          <w:sz w:val="16"/>
          <w:szCs w:val="16"/>
        </w:rPr>
        <w:softHyphen/>
        <w:t>ние. Впервые за все время работы тов. Поликарпова в авиационной промышленности ему была создана в 1940 году (только в 1940 г.!) производственная база и все другие условия для плодотворной работы (?! - В.И.)». Трудно даже комментировать письмо. Что в нем? Стремление выдать желаемое за действительное? Наме</w:t>
      </w:r>
      <w:r w:rsidRPr="008127F8">
        <w:rPr>
          <w:rFonts w:ascii="Times New Roman" w:hAnsi="Times New Roman"/>
          <w:color w:val="000000" w:themeColor="text1"/>
          <w:sz w:val="16"/>
          <w:szCs w:val="16"/>
        </w:rPr>
        <w:softHyphen/>
        <w:t>ренная ложь? Читатель из предыдущих глав сам мог убе</w:t>
      </w:r>
      <w:r w:rsidRPr="008127F8">
        <w:rPr>
          <w:rFonts w:ascii="Times New Roman" w:hAnsi="Times New Roman"/>
          <w:color w:val="000000" w:themeColor="text1"/>
          <w:sz w:val="16"/>
          <w:szCs w:val="16"/>
        </w:rPr>
        <w:softHyphen/>
        <w:t>диться, какие условия создавались Поликарпову «для плодотворной работы». На субъективные факторы накладывались и объек</w:t>
      </w:r>
      <w:r w:rsidRPr="008127F8">
        <w:rPr>
          <w:rFonts w:ascii="Times New Roman" w:hAnsi="Times New Roman"/>
          <w:color w:val="000000" w:themeColor="text1"/>
          <w:sz w:val="16"/>
          <w:szCs w:val="16"/>
        </w:rPr>
        <w:softHyphen/>
        <w:t>тивные. Испытания ТИС (А) затянулись из-за ненадеж</w:t>
      </w:r>
      <w:r w:rsidRPr="008127F8">
        <w:rPr>
          <w:rFonts w:ascii="Times New Roman" w:hAnsi="Times New Roman"/>
          <w:color w:val="000000" w:themeColor="text1"/>
          <w:sz w:val="16"/>
          <w:szCs w:val="16"/>
        </w:rPr>
        <w:softHyphen/>
        <w:t>ной работы двигателя АМ-37. По этой же причине происходил недобор скорости на разных высотах. Но руководство ВВС игнорировало проблему мотора, спи</w:t>
      </w:r>
      <w:r w:rsidRPr="008127F8">
        <w:rPr>
          <w:rFonts w:ascii="Times New Roman" w:hAnsi="Times New Roman"/>
          <w:color w:val="000000" w:themeColor="text1"/>
          <w:sz w:val="16"/>
          <w:szCs w:val="16"/>
        </w:rPr>
        <w:softHyphen/>
        <w:t>сывая все не самолет (10667).</w:t>
      </w:r>
    </w:p>
    <w:p w14:paraId="0ADC844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E21AE7"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года эскизный проект и макет НБ Н.Н.П. прошли защиту, и Поликарпову было пору</w:t>
      </w:r>
      <w:r w:rsidRPr="008A2E5A">
        <w:rPr>
          <w:rFonts w:ascii="Times New Roman" w:hAnsi="Times New Roman"/>
          <w:color w:val="0070C0"/>
          <w:sz w:val="16"/>
          <w:szCs w:val="16"/>
        </w:rPr>
        <w:softHyphen/>
        <w:t>чено начать летные испытания самолета «Т» к 1 октября. В сопроводитель</w:t>
      </w:r>
      <w:r w:rsidRPr="008A2E5A">
        <w:rPr>
          <w:rFonts w:ascii="Times New Roman" w:hAnsi="Times New Roman"/>
          <w:color w:val="0070C0"/>
          <w:sz w:val="16"/>
          <w:szCs w:val="16"/>
        </w:rPr>
        <w:softHyphen/>
        <w:t>ной записке к которому писал: «Опыт Отечественной войны выявил большую потребность в массовом ночном бомбовозе, могущем быть использованным также и днем под охраной истребителей или самостоятельно в районах нашего гос</w:t>
      </w:r>
      <w:r w:rsidRPr="008A2E5A">
        <w:rPr>
          <w:rFonts w:ascii="Times New Roman" w:hAnsi="Times New Roman"/>
          <w:color w:val="0070C0"/>
          <w:sz w:val="16"/>
          <w:szCs w:val="16"/>
        </w:rPr>
        <w:softHyphen/>
        <w:t>подства в воздухе... На самолете могут быть установлены три типа моторов: М82, М90, М71, что достигается простой заменой моторных рам с капотами... Конструкция самолета рассчитывается нами на поточное, массовое производство, не требующее дорогого оснащения и высококвалифицированных рабочих... В качестве основных материалов мы берем дерево (обшивка крыла, нервю</w:t>
      </w:r>
      <w:r w:rsidRPr="008A2E5A">
        <w:rPr>
          <w:rFonts w:ascii="Times New Roman" w:hAnsi="Times New Roman"/>
          <w:color w:val="0070C0"/>
          <w:sz w:val="16"/>
          <w:szCs w:val="16"/>
        </w:rPr>
        <w:softHyphen/>
        <w:t>ры, задний лонжерон, фюзеляж, части оперения) и сталь хромансиль в виде черных профилей (полки лонжеронов) и листов разной толщины. Применение дюраля нами крайне ограничено.». Бомбоотсек вмещал 2 т бомб, дополни</w:t>
      </w:r>
      <w:r w:rsidRPr="008A2E5A">
        <w:rPr>
          <w:rFonts w:ascii="Times New Roman" w:hAnsi="Times New Roman"/>
          <w:color w:val="0070C0"/>
          <w:sz w:val="16"/>
          <w:szCs w:val="16"/>
        </w:rPr>
        <w:softHyphen/>
        <w:t>тельно две ФАБ-500 можно было под</w:t>
      </w:r>
      <w:r w:rsidRPr="008A2E5A">
        <w:rPr>
          <w:rFonts w:ascii="Times New Roman" w:hAnsi="Times New Roman"/>
          <w:color w:val="0070C0"/>
          <w:sz w:val="16"/>
          <w:szCs w:val="16"/>
        </w:rPr>
        <w:softHyphen/>
        <w:t>весить снаружи. Оборонительное воо</w:t>
      </w:r>
      <w:r w:rsidRPr="008A2E5A">
        <w:rPr>
          <w:rFonts w:ascii="Times New Roman" w:hAnsi="Times New Roman"/>
          <w:color w:val="0070C0"/>
          <w:sz w:val="16"/>
          <w:szCs w:val="16"/>
        </w:rPr>
        <w:softHyphen/>
        <w:t>ружение включало верхнюю и люковую установки с пулеметами БТ-12,7 и два не</w:t>
      </w:r>
      <w:r w:rsidRPr="008A2E5A">
        <w:rPr>
          <w:rFonts w:ascii="Times New Roman" w:hAnsi="Times New Roman"/>
          <w:color w:val="0070C0"/>
          <w:sz w:val="16"/>
          <w:szCs w:val="16"/>
        </w:rPr>
        <w:softHyphen/>
        <w:t>подвижных БК-12,7 для стрельбы вперед. Ночной бомбардировщик НБ по конструкции и применяемым материалам был максимально приспособлен к массовому производству Поликарпов назвал свой самолет НБ — «ночной бомбовоз», а в документах НКАП он значился как «изделие Т». Изучив проект, комиссия НКАП предложила Поликарпову изыскать резервы для превращения самолета в дальний бомбардировщик, увели</w:t>
      </w:r>
      <w:r w:rsidRPr="008A2E5A">
        <w:rPr>
          <w:rFonts w:ascii="Times New Roman" w:hAnsi="Times New Roman"/>
          <w:color w:val="0070C0"/>
          <w:sz w:val="16"/>
          <w:szCs w:val="16"/>
        </w:rPr>
        <w:softHyphen/>
        <w:t>чив дальность и подняв нормальную бомбовую нагрузку до 3-х, а перегрузочную — до пяти тонн. Поликарпов давно не занимал</w:t>
      </w:r>
      <w:r w:rsidRPr="008A2E5A">
        <w:rPr>
          <w:rFonts w:ascii="Times New Roman" w:hAnsi="Times New Roman"/>
          <w:color w:val="0070C0"/>
          <w:sz w:val="16"/>
          <w:szCs w:val="16"/>
        </w:rPr>
        <w:softHyphen/>
        <w:t>ся такими самолетами, специализируясь на технике фронтовой авиации, но согласился.   Под руководством главного технолога завода №51 Н.М. Бах</w:t>
      </w:r>
      <w:r w:rsidRPr="008A2E5A">
        <w:rPr>
          <w:rFonts w:ascii="Times New Roman" w:hAnsi="Times New Roman"/>
          <w:color w:val="0070C0"/>
          <w:sz w:val="16"/>
          <w:szCs w:val="16"/>
        </w:rPr>
        <w:softHyphen/>
        <w:t>раха плазово-шаблонный метод производства металлических самолетов был адаптирован для конструкции, 38% веса кото</w:t>
      </w:r>
      <w:r w:rsidRPr="008A2E5A">
        <w:rPr>
          <w:rFonts w:ascii="Times New Roman" w:hAnsi="Times New Roman"/>
          <w:color w:val="0070C0"/>
          <w:sz w:val="16"/>
          <w:szCs w:val="16"/>
        </w:rPr>
        <w:softHyphen/>
        <w:t>рой составляла древесина, доля цветных металлов была лишь 5,5%, остальное — сталь. Все десять основных агрегатов пла</w:t>
      </w:r>
      <w:r w:rsidRPr="008A2E5A">
        <w:rPr>
          <w:rFonts w:ascii="Times New Roman" w:hAnsi="Times New Roman"/>
          <w:color w:val="0070C0"/>
          <w:sz w:val="16"/>
          <w:szCs w:val="16"/>
        </w:rPr>
        <w:softHyphen/>
        <w:t>нера самолета собирались отдельно и соединялись без подгон</w:t>
      </w:r>
      <w:r w:rsidRPr="008A2E5A">
        <w:rPr>
          <w:rFonts w:ascii="Times New Roman" w:hAnsi="Times New Roman"/>
          <w:color w:val="0070C0"/>
          <w:sz w:val="16"/>
          <w:szCs w:val="16"/>
        </w:rPr>
        <w:softHyphen/>
        <w:t>ки стальных стыковых узлов по месту.</w:t>
      </w:r>
    </w:p>
    <w:p w14:paraId="792EDCCB" w14:textId="77777777" w:rsidR="00646D7E" w:rsidRPr="008A2E5A" w:rsidRDefault="00646D7E" w:rsidP="00646D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 время вышло решение об оказании помощи заводу №166 в развертывании выпуска самолета Ту-2, и завод № 51 был вы</w:t>
      </w:r>
      <w:r w:rsidRPr="008A2E5A">
        <w:rPr>
          <w:rFonts w:ascii="Times New Roman" w:hAnsi="Times New Roman"/>
          <w:color w:val="0070C0"/>
          <w:sz w:val="16"/>
          <w:szCs w:val="16"/>
        </w:rPr>
        <w:softHyphen/>
        <w:t>нужден отдать часть своего оборудования.   Превратить фронтовой бомбардировщик в дальний оказа</w:t>
      </w:r>
      <w:r w:rsidRPr="008A2E5A">
        <w:rPr>
          <w:rFonts w:ascii="Times New Roman" w:hAnsi="Times New Roman"/>
          <w:color w:val="0070C0"/>
          <w:sz w:val="16"/>
          <w:szCs w:val="16"/>
        </w:rPr>
        <w:softHyphen/>
        <w:t>лось непросто. Пришлось полностью переделать фюзеляж из расчета на внутреннюю подвеску трех тонн бомб и экипаж из пяти человек. В перегрузку самолет теперь нес 5 тонн бомб, а вместо неподвижных носовых пулеметов сделали установку с шаровым шарниром в остеклении кабины штурмана. На борту появились противообледенители, автопилот, радиополукомпас и даже печка для разогрева бортпайков. Вес увеличился, и при</w:t>
      </w:r>
      <w:r w:rsidRPr="008A2E5A">
        <w:rPr>
          <w:rFonts w:ascii="Times New Roman" w:hAnsi="Times New Roman"/>
          <w:color w:val="0070C0"/>
          <w:sz w:val="16"/>
          <w:szCs w:val="16"/>
        </w:rPr>
        <w:softHyphen/>
        <w:t xml:space="preserve">шлось удлинить крыло. (24139). </w:t>
      </w:r>
    </w:p>
    <w:p w14:paraId="15D93F86" w14:textId="77777777" w:rsidR="00646D7E" w:rsidRPr="008A2E5A" w:rsidRDefault="00646D7E" w:rsidP="00646D7E">
      <w:pPr>
        <w:spacing w:after="0" w:line="240" w:lineRule="auto"/>
        <w:jc w:val="both"/>
        <w:rPr>
          <w:rFonts w:ascii="Times New Roman" w:hAnsi="Times New Roman"/>
          <w:color w:val="0070C0"/>
          <w:sz w:val="16"/>
          <w:szCs w:val="16"/>
        </w:rPr>
      </w:pPr>
    </w:p>
    <w:p w14:paraId="48CA877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мы перегнали два самолета И-16 в Москву для ремонта, где мне довелось познакомиться с конструктором Поликарповым, - писал Герой Советского Союза штурман 728-го ИАП Н.П.Игнатьев. - Ни</w:t>
      </w:r>
      <w:r w:rsidRPr="008127F8">
        <w:rPr>
          <w:rFonts w:ascii="Times New Roman" w:hAnsi="Times New Roman"/>
          <w:color w:val="000000" w:themeColor="text1"/>
          <w:sz w:val="16"/>
          <w:szCs w:val="16"/>
        </w:rPr>
        <w:softHyphen/>
        <w:t>колай Николаевич интересовался, как мы воюем на его самолетах И-16. Много было вопросов и на все вопросы мы давали конкретные ответы. Это был обаятельный, добродушный, культурный человек. В конце беседы он сказал, что скоро войдут в строй более современные са</w:t>
      </w:r>
      <w:r w:rsidRPr="008127F8">
        <w:rPr>
          <w:rFonts w:ascii="Times New Roman" w:hAnsi="Times New Roman"/>
          <w:color w:val="000000" w:themeColor="text1"/>
          <w:sz w:val="16"/>
          <w:szCs w:val="16"/>
        </w:rPr>
        <w:softHyphen/>
        <w:t>молеты с мощным вооружением... Получив отремонти</w:t>
      </w:r>
      <w:r w:rsidRPr="008127F8">
        <w:rPr>
          <w:rFonts w:ascii="Times New Roman" w:hAnsi="Times New Roman"/>
          <w:color w:val="000000" w:themeColor="text1"/>
          <w:sz w:val="16"/>
          <w:szCs w:val="16"/>
        </w:rPr>
        <w:softHyphen/>
        <w:t>рованные И-16, мы возвратились в свой полк на аэродром Селижарово». Николай Николаевич попросил фронтовых летчи</w:t>
      </w:r>
      <w:r w:rsidRPr="008127F8">
        <w:rPr>
          <w:rFonts w:ascii="Times New Roman" w:hAnsi="Times New Roman"/>
          <w:color w:val="000000" w:themeColor="text1"/>
          <w:sz w:val="16"/>
          <w:szCs w:val="16"/>
        </w:rPr>
        <w:softHyphen/>
        <w:t>ков помочь с облетом отремонтированных самолетов, так как своих испытателей у него не хватало. Они все со</w:t>
      </w:r>
      <w:r w:rsidRPr="008127F8">
        <w:rPr>
          <w:rFonts w:ascii="Times New Roman" w:hAnsi="Times New Roman"/>
          <w:color w:val="000000" w:themeColor="text1"/>
          <w:sz w:val="16"/>
          <w:szCs w:val="16"/>
        </w:rPr>
        <w:softHyphen/>
        <w:t>гласились, хотя и были сильно измотаны в боях. Н.П.Игнатьев вспоминал, как однажды после отстрела вооружения в зоне он, расслабившись, уснул в истреби</w:t>
      </w:r>
      <w:r w:rsidRPr="008127F8">
        <w:rPr>
          <w:rFonts w:ascii="Times New Roman" w:hAnsi="Times New Roman"/>
          <w:color w:val="000000" w:themeColor="text1"/>
          <w:sz w:val="16"/>
          <w:szCs w:val="16"/>
        </w:rPr>
        <w:softHyphen/>
        <w:t>теле и по счастью открыл глаза, когда до земли остава</w:t>
      </w:r>
      <w:r w:rsidRPr="008127F8">
        <w:rPr>
          <w:rFonts w:ascii="Times New Roman" w:hAnsi="Times New Roman"/>
          <w:color w:val="000000" w:themeColor="text1"/>
          <w:sz w:val="16"/>
          <w:szCs w:val="16"/>
        </w:rPr>
        <w:softHyphen/>
        <w:t>лось около 300 метров (10667).</w:t>
      </w:r>
    </w:p>
    <w:p w14:paraId="1CBC59A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C8C2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НИИ АВ ВВС КА (ст. Донгузская) были проведены полигонные испытания 37-мм пушки (11-П N 1) ОКБ-16 НКВ, установленной в развале мотора М-105п на самолете ЛаГГ-3 N 312197. При испытании было проведено 1080 выстрелов на земле и в полете. Несмотря на положительное заключение, пушка имела ряд недостатков, которые необходимо было устранить и проверить повторными испытаниями.</w:t>
      </w:r>
    </w:p>
    <w:p w14:paraId="30E3FA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F3DD9" w14:textId="77777777" w:rsidR="00D34C9F" w:rsidRPr="008127F8" w:rsidRDefault="00D34C9F" w:rsidP="001E0A84">
      <w:pPr>
        <w:pStyle w:val="a4"/>
        <w:rPr>
          <w:color w:val="000000" w:themeColor="text1"/>
          <w:lang w:val="ru-RU"/>
        </w:rPr>
      </w:pPr>
      <w:r w:rsidRPr="008127F8">
        <w:rPr>
          <w:color w:val="000000" w:themeColor="text1"/>
          <w:lang w:val="ru-RU"/>
        </w:rPr>
        <w:t>В апреле 1942 г. МиГ-3 № 6005 с синхронными пушками ШВАК прошёл заводские полигонные испытания в филиале НИПАВ ВВС КА. Пушки разместили на месте снятых пулемётов УБС, боезапас составил 200 патронов на каж</w:t>
      </w:r>
      <w:r w:rsidRPr="008127F8">
        <w:rPr>
          <w:color w:val="000000" w:themeColor="text1"/>
          <w:lang w:val="ru-RU"/>
        </w:rPr>
        <w:softHyphen/>
        <w:t>дую. По итогам испытаний пушечная установка получила высокую оценку, в связи с чем её рекомендовали для применения на истребителях МиГ-3 двухточечного варианта. После завершения испытаний МиГ-3 № 6005 передали в 12-й гвардейский иап ПВО.</w:t>
      </w:r>
    </w:p>
    <w:p w14:paraId="3EF470DB" w14:textId="77777777" w:rsidR="00D34C9F" w:rsidRPr="008127F8" w:rsidRDefault="00D34C9F" w:rsidP="001E0A84">
      <w:pPr>
        <w:pStyle w:val="a4"/>
        <w:rPr>
          <w:color w:val="000000" w:themeColor="text1"/>
          <w:lang w:val="ru-RU"/>
        </w:rPr>
      </w:pPr>
      <w:r w:rsidRPr="008127F8">
        <w:rPr>
          <w:color w:val="000000" w:themeColor="text1"/>
          <w:lang w:val="ru-RU"/>
        </w:rPr>
        <w:t>Ранее выпущенные машины, оснащённые двумя 12,7 мм пулемётами УБС, можно было пере</w:t>
      </w:r>
      <w:r w:rsidRPr="008127F8">
        <w:rPr>
          <w:color w:val="000000" w:themeColor="text1"/>
          <w:lang w:val="ru-RU"/>
        </w:rPr>
        <w:softHyphen/>
        <w:t>вооружить на пушки в ангарных условиях или мастерских без особых усилий, используя лишь доработочный комплект завода №155. Благодаря такой взаимозаменяемости в августе пушка</w:t>
      </w:r>
      <w:r w:rsidRPr="008127F8">
        <w:rPr>
          <w:color w:val="000000" w:themeColor="text1"/>
          <w:lang w:val="ru-RU"/>
        </w:rPr>
        <w:softHyphen/>
        <w:t>ми ШВАК перевооружили два МиГа, прибывшие на завод № 155 для капитального ремонта из 122-го иап (15976).</w:t>
      </w:r>
    </w:p>
    <w:p w14:paraId="429A5A89" w14:textId="77777777" w:rsidR="00D34C9F" w:rsidRPr="008127F8" w:rsidRDefault="00D34C9F" w:rsidP="001E0A84">
      <w:pPr>
        <w:pStyle w:val="a4"/>
        <w:rPr>
          <w:color w:val="000000" w:themeColor="text1"/>
          <w:lang w:val="ru-RU"/>
        </w:rPr>
      </w:pPr>
    </w:p>
    <w:p w14:paraId="36901B2D" w14:textId="77777777" w:rsidR="00FB056F" w:rsidRPr="008127F8" w:rsidRDefault="00FB05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17 ЛаГГ-3 с Ш-37 отправили на войсковые испытания, на сей раз в 42-й ИАП из состава ВВС Брянского фронта. Это был не самый активный участок советско-</w:t>
      </w:r>
      <w:proofErr w:type="gramStart"/>
      <w:r w:rsidRPr="008127F8">
        <w:rPr>
          <w:rFonts w:ascii="Times New Roman" w:hAnsi="Times New Roman"/>
          <w:color w:val="000000" w:themeColor="text1"/>
          <w:sz w:val="16"/>
          <w:szCs w:val="16"/>
        </w:rPr>
        <w:t>герман- ского</w:t>
      </w:r>
      <w:proofErr w:type="gramEnd"/>
      <w:r w:rsidRPr="008127F8">
        <w:rPr>
          <w:rFonts w:ascii="Times New Roman" w:hAnsi="Times New Roman"/>
          <w:color w:val="000000" w:themeColor="text1"/>
          <w:sz w:val="16"/>
          <w:szCs w:val="16"/>
        </w:rPr>
        <w:t xml:space="preserve"> фронта, и люфтваффе держали здесь весьма скромные силы. Данные о боевой работе «ЛаГГов» с 37-мм пушками до</w:t>
      </w:r>
      <w:r w:rsidRPr="008127F8">
        <w:rPr>
          <w:rFonts w:ascii="Times New Roman" w:hAnsi="Times New Roman"/>
          <w:color w:val="000000" w:themeColor="text1"/>
          <w:sz w:val="16"/>
          <w:szCs w:val="16"/>
        </w:rPr>
        <w:softHyphen/>
        <w:t>статочно противоречивы. Известно, что боевой счет открыл ко</w:t>
      </w:r>
      <w:r w:rsidRPr="008127F8">
        <w:rPr>
          <w:rFonts w:ascii="Times New Roman" w:hAnsi="Times New Roman"/>
          <w:color w:val="000000" w:themeColor="text1"/>
          <w:sz w:val="16"/>
          <w:szCs w:val="16"/>
        </w:rPr>
        <w:softHyphen/>
        <w:t>мандир одной из эскадрилий к-н М. Гарбанев, сбивший с ди</w:t>
      </w:r>
      <w:r w:rsidRPr="008127F8">
        <w:rPr>
          <w:rFonts w:ascii="Times New Roman" w:hAnsi="Times New Roman"/>
          <w:color w:val="000000" w:themeColor="text1"/>
          <w:sz w:val="16"/>
          <w:szCs w:val="16"/>
        </w:rPr>
        <w:softHyphen/>
        <w:t xml:space="preserve">станции 400 м </w:t>
      </w:r>
      <w:proofErr w:type="gramStart"/>
      <w:r w:rsidRPr="008127F8">
        <w:rPr>
          <w:rFonts w:ascii="Times New Roman" w:hAnsi="Times New Roman"/>
          <w:color w:val="000000" w:themeColor="text1"/>
          <w:sz w:val="16"/>
          <w:szCs w:val="16"/>
        </w:rPr>
        <w:t>бомбардировщик Не</w:t>
      </w:r>
      <w:proofErr w:type="gramEnd"/>
      <w:r w:rsidRPr="008127F8">
        <w:rPr>
          <w:rFonts w:ascii="Times New Roman" w:hAnsi="Times New Roman"/>
          <w:color w:val="000000" w:themeColor="text1"/>
          <w:sz w:val="16"/>
          <w:szCs w:val="16"/>
        </w:rPr>
        <w:t xml:space="preserve"> 111Н.</w:t>
      </w:r>
    </w:p>
    <w:p w14:paraId="516F6C48" w14:textId="77777777" w:rsidR="00FB056F" w:rsidRPr="008127F8" w:rsidRDefault="00FB05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результатам этих испытаний отмечалось, что при попада</w:t>
      </w:r>
      <w:r w:rsidRPr="008127F8">
        <w:rPr>
          <w:rFonts w:ascii="Times New Roman" w:hAnsi="Times New Roman"/>
          <w:color w:val="000000" w:themeColor="text1"/>
          <w:sz w:val="16"/>
          <w:szCs w:val="16"/>
        </w:rPr>
        <w:softHyphen/>
        <w:t>нии даже одного 37-мм осколочно-фугасного снаряда самолет противника буквально разламывался в воздухе. Из-за несовер</w:t>
      </w:r>
      <w:r w:rsidRPr="008127F8">
        <w:rPr>
          <w:rFonts w:ascii="Times New Roman" w:hAnsi="Times New Roman"/>
          <w:color w:val="000000" w:themeColor="text1"/>
          <w:sz w:val="16"/>
          <w:szCs w:val="16"/>
        </w:rPr>
        <w:softHyphen/>
        <w:t>шенства прицела дальность открытия огня не превышала 300- 400 м, что несколько снижало потенциал пушки. Оптимальная длина очереди при ведении огня по воздушной цели составляла 3-5 выстрелов, при большей, из-за отдачи, начинала заметно падать скорость. При работе по «земле» с пикирования длину очереди можно было увеличивать до 7 выстрелов. Пушка позво</w:t>
      </w:r>
      <w:r w:rsidRPr="008127F8">
        <w:rPr>
          <w:rFonts w:ascii="Times New Roman" w:hAnsi="Times New Roman"/>
          <w:color w:val="000000" w:themeColor="text1"/>
          <w:sz w:val="16"/>
          <w:szCs w:val="16"/>
        </w:rPr>
        <w:softHyphen/>
        <w:t>ляла поражать цели с 40-мм бронированием. Самолет мог пики</w:t>
      </w:r>
      <w:r w:rsidRPr="008127F8">
        <w:rPr>
          <w:rFonts w:ascii="Times New Roman" w:hAnsi="Times New Roman"/>
          <w:color w:val="000000" w:themeColor="text1"/>
          <w:sz w:val="16"/>
          <w:szCs w:val="16"/>
        </w:rPr>
        <w:softHyphen/>
        <w:t xml:space="preserve">ровать на углах до 60°, хотя оптимальным считался диапазон 30-40°. Вместе с тем, летчики отмечали, что машина по скорости и вертикальному маневру уступает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109</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 и настоятельно тре</w:t>
      </w:r>
      <w:r w:rsidRPr="008127F8">
        <w:rPr>
          <w:rFonts w:ascii="Times New Roman" w:hAnsi="Times New Roman"/>
          <w:color w:val="000000" w:themeColor="text1"/>
          <w:sz w:val="16"/>
          <w:szCs w:val="16"/>
        </w:rPr>
        <w:softHyphen/>
        <w:t>бовали увеличить скорость на 40-50 км/ч, улучшить маневрен</w:t>
      </w:r>
      <w:r w:rsidRPr="008127F8">
        <w:rPr>
          <w:rFonts w:ascii="Times New Roman" w:hAnsi="Times New Roman"/>
          <w:color w:val="000000" w:themeColor="text1"/>
          <w:sz w:val="16"/>
          <w:szCs w:val="16"/>
        </w:rPr>
        <w:softHyphen/>
        <w:t>ность и облегчить управление машиной. Также высказывалось пожеланиеувеличитьбоекомплектдо40 выстрелов. Отмечалось, что летчики, летавшие на самолетах с «большой пушкой», обяза</w:t>
      </w:r>
      <w:r w:rsidRPr="008127F8">
        <w:rPr>
          <w:rFonts w:ascii="Times New Roman" w:hAnsi="Times New Roman"/>
          <w:color w:val="000000" w:themeColor="text1"/>
          <w:sz w:val="16"/>
          <w:szCs w:val="16"/>
        </w:rPr>
        <w:softHyphen/>
        <w:t>тельно должны обладать отличной летной и стрелковой подго</w:t>
      </w:r>
      <w:r w:rsidRPr="008127F8">
        <w:rPr>
          <w:rFonts w:ascii="Times New Roman" w:hAnsi="Times New Roman"/>
          <w:color w:val="000000" w:themeColor="text1"/>
          <w:sz w:val="16"/>
          <w:szCs w:val="16"/>
        </w:rPr>
        <w:softHyphen/>
        <w:t>товкой (19106).</w:t>
      </w:r>
    </w:p>
    <w:p w14:paraId="3A99E551" w14:textId="77777777" w:rsidR="00FB056F" w:rsidRPr="008127F8" w:rsidRDefault="00FB056F" w:rsidP="001E0A84">
      <w:pPr>
        <w:spacing w:after="0" w:line="240" w:lineRule="auto"/>
        <w:jc w:val="both"/>
        <w:rPr>
          <w:rFonts w:ascii="Times New Roman" w:hAnsi="Times New Roman"/>
          <w:color w:val="000000" w:themeColor="text1"/>
          <w:sz w:val="16"/>
          <w:szCs w:val="16"/>
        </w:rPr>
      </w:pPr>
    </w:p>
    <w:p w14:paraId="3CFF2220" w14:textId="77777777" w:rsidR="00FB056F" w:rsidRPr="008127F8" w:rsidRDefault="00FB056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пушка 11 П прошла полигонные испытания на ЛаГГ-3 (зав. № 312197), показав гораздо лучшие данные, чем Ш-37. К тому же ее конструкция была проще и технологичнее. Военные рекомендовали принять ее на вооружение, однако возникло одно «но»: патрон этой пушки имел гильзу с закраиной и еще не выпускался массово, в то время как у Ш-37 он был с гильзой без закраины и находился в производстве. Упирая на это, Шпитальный «костьми лег», чтобы дискредитировать отчет по 11 П. Он надеялся, что переделка орудия конкурентов под новый боеприпас займет много времени, и в переработанном варианте оно окажется хуже его пушки. Однако к середине июня новый вариант 11П был готов (19106).</w:t>
      </w:r>
    </w:p>
    <w:p w14:paraId="22CD0D54" w14:textId="77777777" w:rsidR="00FB056F" w:rsidRPr="008127F8" w:rsidRDefault="00FB056F" w:rsidP="001E0A84">
      <w:pPr>
        <w:spacing w:after="0" w:line="240" w:lineRule="auto"/>
        <w:jc w:val="both"/>
        <w:rPr>
          <w:rFonts w:ascii="Times New Roman" w:hAnsi="Times New Roman"/>
          <w:color w:val="000000" w:themeColor="text1"/>
          <w:sz w:val="16"/>
          <w:szCs w:val="16"/>
        </w:rPr>
      </w:pPr>
    </w:p>
    <w:p w14:paraId="2F8511FA" w14:textId="77777777" w:rsidR="00042C85" w:rsidRPr="008127F8" w:rsidRDefault="00042C85"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апреле 1942 г. в НИП АВ ВВС КА (ст. Донгузская) были проведены полигонные испытания 37 мм пушки 11П № 1 ОКБ-16, установленной в развале мотора М-105п на самолете ЛаГГ-3. В испытаниях от ОКБ-16 принимали участие Нудельман А.Э., Бундин М.П., Жирных Г.А., Исаков Б.Ф., Сенечкин А.Ф.</w:t>
      </w:r>
    </w:p>
    <w:p w14:paraId="1F0F8215" w14:textId="77777777" w:rsidR="00042C85" w:rsidRPr="008127F8" w:rsidRDefault="00042C85"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А.Э. Нудельман вспоминал: «Особенно запомнилась первая стрельба на высоте 8000 м, когда в синем небе были четко видны белые хлопья выстрелов, так что с земли можно было считать очереди выстрелов и радоваться надежной работе пушки в трудных условиях низких температур.</w:t>
      </w:r>
    </w:p>
    <w:p w14:paraId="30FE2670" w14:textId="77777777" w:rsidR="00042C85" w:rsidRPr="008127F8" w:rsidRDefault="00042C85"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Это ни с чем несравнимое счастье, короткие мгновения ощущения удовлетворенности, которые являются самым большим вознаграждением конструктору за его труд, постоянную тревогу, бессонные ночи творческих поисков, горечь неудач».</w:t>
      </w:r>
    </w:p>
    <w:p w14:paraId="2115631E" w14:textId="77777777" w:rsidR="00042C85" w:rsidRPr="008127F8" w:rsidRDefault="00042C85" w:rsidP="001E0A84">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Несмотря на положительные результаты испытаний пушки, были отмечены ее недостатки, связанные с использованием нештатного патрона, снабженного буртом, и звена (15979).</w:t>
      </w:r>
    </w:p>
    <w:p w14:paraId="4C8833DD" w14:textId="77777777" w:rsidR="00042C85" w:rsidRPr="008127F8" w:rsidRDefault="00042C85" w:rsidP="001E0A84">
      <w:pPr>
        <w:shd w:val="clear" w:color="auto" w:fill="FFFFFF"/>
        <w:spacing w:after="0" w:line="240" w:lineRule="auto"/>
        <w:jc w:val="both"/>
        <w:rPr>
          <w:rFonts w:ascii="Times New Roman" w:eastAsia="Times New Roman" w:hAnsi="Times New Roman"/>
          <w:color w:val="000000" w:themeColor="text1"/>
          <w:sz w:val="16"/>
          <w:szCs w:val="16"/>
        </w:rPr>
      </w:pPr>
    </w:p>
    <w:p w14:paraId="203A8772" w14:textId="0FD0BF35" w:rsidR="00FB056F" w:rsidRPr="008127F8" w:rsidRDefault="00FB056F"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В апреле 1942 года была выпущена серия из 22 истребителей Як-7, вооруженных 37-мм пушкой Ш-37. Як-7-37 проходил войсковые испытания на Северном фронте в 42 иап 240 иад и, во всяком случае, по отчетам, неплохо проявил себя в воздушных боях.</w:t>
      </w:r>
      <w:r w:rsidR="008127F8">
        <w:rPr>
          <w:color w:val="000000" w:themeColor="text1"/>
          <w:sz w:val="16"/>
          <w:szCs w:val="16"/>
        </w:rPr>
        <w:t xml:space="preserve">  </w:t>
      </w:r>
      <w:r w:rsidRPr="008127F8">
        <w:rPr>
          <w:color w:val="000000" w:themeColor="text1"/>
          <w:sz w:val="16"/>
          <w:szCs w:val="16"/>
        </w:rPr>
        <w:t>Было сбито 10 самолетов противника при потерях 7 своих.</w:t>
      </w:r>
    </w:p>
    <w:p w14:paraId="006AD1F2" w14:textId="0A372AA1" w:rsidR="00FB056F" w:rsidRPr="008127F8" w:rsidRDefault="00FB056F" w:rsidP="001E0A84">
      <w:pPr>
        <w:pStyle w:val="rtejustify"/>
        <w:shd w:val="clear" w:color="auto" w:fill="FFFFFF"/>
        <w:spacing w:before="0" w:after="0"/>
        <w:textAlignment w:val="baseline"/>
        <w:rPr>
          <w:color w:val="000000" w:themeColor="text1"/>
          <w:sz w:val="16"/>
          <w:szCs w:val="16"/>
        </w:rPr>
      </w:pPr>
      <w:r w:rsidRPr="008127F8">
        <w:rPr>
          <w:color w:val="000000" w:themeColor="text1"/>
          <w:sz w:val="16"/>
          <w:szCs w:val="16"/>
        </w:rPr>
        <w:t>Производство пушки Ш-37 продолжалось не долго. Завод № 74 в Ижевске за 1941 год изготовил 40 пушек Ш-37, а в 1942 году еще 196. После чего производство Ш-37 было свернуто в связи с принятием на вооружение НС-</w:t>
      </w:r>
      <w:proofErr w:type="gramStart"/>
      <w:r w:rsidRPr="008127F8">
        <w:rPr>
          <w:color w:val="000000" w:themeColor="text1"/>
          <w:sz w:val="16"/>
          <w:szCs w:val="16"/>
        </w:rPr>
        <w:t>37,</w:t>
      </w:r>
      <w:r w:rsidR="008127F8">
        <w:rPr>
          <w:color w:val="000000" w:themeColor="text1"/>
          <w:sz w:val="16"/>
          <w:szCs w:val="16"/>
        </w:rPr>
        <w:t xml:space="preserve">  </w:t>
      </w:r>
      <w:r w:rsidRPr="008127F8">
        <w:rPr>
          <w:color w:val="000000" w:themeColor="text1"/>
          <w:sz w:val="16"/>
          <w:szCs w:val="16"/>
        </w:rPr>
        <w:t>которая</w:t>
      </w:r>
      <w:proofErr w:type="gramEnd"/>
      <w:r w:rsidRPr="008127F8">
        <w:rPr>
          <w:color w:val="000000" w:themeColor="text1"/>
          <w:sz w:val="16"/>
          <w:szCs w:val="16"/>
        </w:rPr>
        <w:t xml:space="preserve"> хотя и не была лишена недостатков, но была на 100 кг легче, использовала рассыпную металлическую ленту вместо громоздкого магазина, имела значительно более высокий темп стрельбы (19169).</w:t>
      </w:r>
    </w:p>
    <w:p w14:paraId="1D04E6DD" w14:textId="77777777" w:rsidR="00FB056F" w:rsidRPr="008127F8" w:rsidRDefault="00FB056F" w:rsidP="001E0A84">
      <w:pPr>
        <w:pStyle w:val="rtejustify"/>
        <w:shd w:val="clear" w:color="auto" w:fill="FFFFFF"/>
        <w:spacing w:before="0" w:after="0"/>
        <w:textAlignment w:val="baseline"/>
        <w:rPr>
          <w:color w:val="000000" w:themeColor="text1"/>
          <w:sz w:val="16"/>
          <w:szCs w:val="16"/>
        </w:rPr>
      </w:pPr>
    </w:p>
    <w:p w14:paraId="28754107" w14:textId="77777777" w:rsidR="00C14EEE" w:rsidRPr="008A2E5A" w:rsidRDefault="00C14EEE" w:rsidP="00C14E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на опытном за</w:t>
      </w:r>
      <w:r w:rsidRPr="008A2E5A">
        <w:rPr>
          <w:rFonts w:ascii="Times New Roman" w:hAnsi="Times New Roman"/>
          <w:color w:val="0070C0"/>
          <w:sz w:val="16"/>
          <w:szCs w:val="16"/>
        </w:rPr>
        <w:softHyphen/>
        <w:t>воде ОКБ А.И. Микояна №155 в Москве начали изготавливать первые детали на оба заказанных са</w:t>
      </w:r>
      <w:r w:rsidRPr="008A2E5A">
        <w:rPr>
          <w:rFonts w:ascii="Times New Roman" w:hAnsi="Times New Roman"/>
          <w:color w:val="0070C0"/>
          <w:sz w:val="16"/>
          <w:szCs w:val="16"/>
        </w:rPr>
        <w:softHyphen/>
        <w:t xml:space="preserve">молета </w:t>
      </w:r>
      <w:proofErr w:type="gramStart"/>
      <w:r w:rsidRPr="008A2E5A">
        <w:rPr>
          <w:rFonts w:ascii="Times New Roman" w:hAnsi="Times New Roman"/>
          <w:color w:val="0070C0"/>
          <w:sz w:val="16"/>
          <w:szCs w:val="16"/>
        </w:rPr>
        <w:t>«А»</w:t>
      </w:r>
      <w:proofErr w:type="gramEnd"/>
      <w:r w:rsidRPr="008A2E5A">
        <w:rPr>
          <w:rFonts w:ascii="Times New Roman" w:hAnsi="Times New Roman"/>
          <w:color w:val="0070C0"/>
          <w:sz w:val="16"/>
          <w:szCs w:val="16"/>
        </w:rPr>
        <w:t xml:space="preserve"> При этом сборка экземпляра №02 («дублера») шла с некоторым запла</w:t>
      </w:r>
      <w:r w:rsidRPr="008A2E5A">
        <w:rPr>
          <w:rFonts w:ascii="Times New Roman" w:hAnsi="Times New Roman"/>
          <w:color w:val="0070C0"/>
          <w:sz w:val="16"/>
          <w:szCs w:val="16"/>
        </w:rPr>
        <w:softHyphen/>
        <w:t>нированным отставанием, поскольку в его конструкцию предполагалось оперативно вносить изменения по результатам испы</w:t>
      </w:r>
      <w:r w:rsidRPr="008A2E5A">
        <w:rPr>
          <w:rFonts w:ascii="Times New Roman" w:hAnsi="Times New Roman"/>
          <w:color w:val="0070C0"/>
          <w:sz w:val="16"/>
          <w:szCs w:val="16"/>
        </w:rPr>
        <w:softHyphen/>
        <w:t>таний первого самолета. Машине присвоили «опытное» обо</w:t>
      </w:r>
      <w:r w:rsidRPr="008A2E5A">
        <w:rPr>
          <w:rFonts w:ascii="Times New Roman" w:hAnsi="Times New Roman"/>
          <w:color w:val="0070C0"/>
          <w:sz w:val="16"/>
          <w:szCs w:val="16"/>
        </w:rPr>
        <w:softHyphen/>
        <w:t>значение И-220 по линии Наркомата авиапромышленности.</w:t>
      </w:r>
    </w:p>
    <w:p w14:paraId="354C7752" w14:textId="77777777" w:rsidR="00C14EEE" w:rsidRPr="008A2E5A" w:rsidRDefault="00C14EEE" w:rsidP="00C14E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Облик нового МиГа в целом соответст</w:t>
      </w:r>
      <w:r w:rsidRPr="008A2E5A">
        <w:rPr>
          <w:rFonts w:ascii="Times New Roman" w:hAnsi="Times New Roman"/>
          <w:color w:val="0070C0"/>
          <w:sz w:val="16"/>
          <w:szCs w:val="16"/>
        </w:rPr>
        <w:softHyphen/>
        <w:t xml:space="preserve">вовал проекту, и работа шла быстро. </w:t>
      </w:r>
      <w:proofErr w:type="gramStart"/>
      <w:r w:rsidRPr="008A2E5A">
        <w:rPr>
          <w:rFonts w:ascii="Times New Roman" w:hAnsi="Times New Roman"/>
          <w:color w:val="0070C0"/>
          <w:sz w:val="16"/>
          <w:szCs w:val="16"/>
        </w:rPr>
        <w:t>Однако</w:t>
      </w:r>
      <w:proofErr w:type="gramEnd"/>
      <w:r w:rsidRPr="008A2E5A">
        <w:rPr>
          <w:rFonts w:ascii="Times New Roman" w:hAnsi="Times New Roman"/>
          <w:color w:val="0070C0"/>
          <w:sz w:val="16"/>
          <w:szCs w:val="16"/>
        </w:rPr>
        <w:t xml:space="preserve"> когда сделали и взвесили фюзеляж, ко</w:t>
      </w:r>
      <w:r w:rsidRPr="008A2E5A">
        <w:rPr>
          <w:rFonts w:ascii="Times New Roman" w:hAnsi="Times New Roman"/>
          <w:color w:val="0070C0"/>
          <w:sz w:val="16"/>
          <w:szCs w:val="16"/>
        </w:rPr>
        <w:softHyphen/>
        <w:t>торый был на 1,35 м длиннее, чем у серий</w:t>
      </w:r>
      <w:r w:rsidRPr="008A2E5A">
        <w:rPr>
          <w:rFonts w:ascii="Times New Roman" w:hAnsi="Times New Roman"/>
          <w:color w:val="0070C0"/>
          <w:sz w:val="16"/>
          <w:szCs w:val="16"/>
        </w:rPr>
        <w:softHyphen/>
        <w:t>ного МиГ-3 за счет хвостовой части, ока</w:t>
      </w:r>
      <w:r w:rsidRPr="008A2E5A">
        <w:rPr>
          <w:rFonts w:ascii="Times New Roman" w:hAnsi="Times New Roman"/>
          <w:color w:val="0070C0"/>
          <w:sz w:val="16"/>
          <w:szCs w:val="16"/>
        </w:rPr>
        <w:softHyphen/>
        <w:t>залось, что проектировщики ошиблись с центровкой и она получилась слишком «задняя». Эта проблема уже проявилась и на других самолетах, хотя и по другой при</w:t>
      </w:r>
      <w:r w:rsidRPr="008A2E5A">
        <w:rPr>
          <w:rFonts w:ascii="Times New Roman" w:hAnsi="Times New Roman"/>
          <w:color w:val="0070C0"/>
          <w:sz w:val="16"/>
          <w:szCs w:val="16"/>
        </w:rPr>
        <w:softHyphen/>
        <w:t>чине - при переводе производства фюзе</w:t>
      </w:r>
      <w:r w:rsidRPr="008A2E5A">
        <w:rPr>
          <w:rFonts w:ascii="Times New Roman" w:hAnsi="Times New Roman"/>
          <w:color w:val="0070C0"/>
          <w:sz w:val="16"/>
          <w:szCs w:val="16"/>
        </w:rPr>
        <w:softHyphen/>
        <w:t>ляжей самолетов Ил-2 и Ил-4 с металла на дерево. Для таких случаев Центральный аэрогидродинамический институт выдал общую рекомендацию: отклонять отъем</w:t>
      </w:r>
      <w:r w:rsidRPr="008A2E5A">
        <w:rPr>
          <w:rFonts w:ascii="Times New Roman" w:hAnsi="Times New Roman"/>
          <w:color w:val="0070C0"/>
          <w:sz w:val="16"/>
          <w:szCs w:val="16"/>
        </w:rPr>
        <w:softHyphen/>
        <w:t>ные части крыла назад, смещая тем са</w:t>
      </w:r>
      <w:r w:rsidRPr="008A2E5A">
        <w:rPr>
          <w:rFonts w:ascii="Times New Roman" w:hAnsi="Times New Roman"/>
          <w:color w:val="0070C0"/>
          <w:sz w:val="16"/>
          <w:szCs w:val="16"/>
        </w:rPr>
        <w:softHyphen/>
        <w:t>мым их аэродинамический фокус. Для это</w:t>
      </w:r>
      <w:r w:rsidRPr="008A2E5A">
        <w:rPr>
          <w:rFonts w:ascii="Times New Roman" w:hAnsi="Times New Roman"/>
          <w:color w:val="0070C0"/>
          <w:sz w:val="16"/>
          <w:szCs w:val="16"/>
        </w:rPr>
        <w:softHyphen/>
        <w:t>го обычно переставляли под углом 2-5° первые нервюры отъемных частей крыла (ОЧК), переделывали стыковые узлы и из</w:t>
      </w:r>
      <w:r w:rsidRPr="008A2E5A">
        <w:rPr>
          <w:rFonts w:ascii="Times New Roman" w:hAnsi="Times New Roman"/>
          <w:color w:val="0070C0"/>
          <w:sz w:val="16"/>
          <w:szCs w:val="16"/>
        </w:rPr>
        <w:softHyphen/>
        <w:t>меняли длины лонжеронов, а остальной каркас можно было и не трогать.</w:t>
      </w:r>
    </w:p>
    <w:p w14:paraId="518A4D18" w14:textId="77777777" w:rsidR="00C14EEE" w:rsidRPr="008A2E5A" w:rsidRDefault="00C14EEE" w:rsidP="00C14E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сделали и на И-220 - линия ну</w:t>
      </w:r>
      <w:r w:rsidRPr="008A2E5A">
        <w:rPr>
          <w:rFonts w:ascii="Times New Roman" w:hAnsi="Times New Roman"/>
          <w:color w:val="0070C0"/>
          <w:sz w:val="16"/>
          <w:szCs w:val="16"/>
        </w:rPr>
        <w:softHyphen/>
        <w:t>левой стреловидности ОЧК стала прохо</w:t>
      </w:r>
      <w:r w:rsidRPr="008A2E5A">
        <w:rPr>
          <w:rFonts w:ascii="Times New Roman" w:hAnsi="Times New Roman"/>
          <w:color w:val="0070C0"/>
          <w:sz w:val="16"/>
          <w:szCs w:val="16"/>
        </w:rPr>
        <w:softHyphen/>
        <w:t>дить не по 1/3, а примерно по 2/3 хорд, и стреловидность их передней кромки ста</w:t>
      </w:r>
      <w:r w:rsidRPr="008A2E5A">
        <w:rPr>
          <w:rFonts w:ascii="Times New Roman" w:hAnsi="Times New Roman"/>
          <w:color w:val="0070C0"/>
          <w:sz w:val="16"/>
          <w:szCs w:val="16"/>
        </w:rPr>
        <w:softHyphen/>
        <w:t>ла примерно на 3° больше, чем у центро</w:t>
      </w:r>
      <w:r w:rsidRPr="008A2E5A">
        <w:rPr>
          <w:rFonts w:ascii="Times New Roman" w:hAnsi="Times New Roman"/>
          <w:color w:val="0070C0"/>
          <w:sz w:val="16"/>
          <w:szCs w:val="16"/>
        </w:rPr>
        <w:softHyphen/>
        <w:t>плана. Это было не очень хорошо, но «не смертельно» (23401).</w:t>
      </w:r>
    </w:p>
    <w:p w14:paraId="41BC766C" w14:textId="77777777" w:rsidR="00C14EEE" w:rsidRPr="008A2E5A" w:rsidRDefault="00C14EEE" w:rsidP="00C14EEE">
      <w:pPr>
        <w:spacing w:after="0" w:line="240" w:lineRule="auto"/>
        <w:jc w:val="both"/>
        <w:rPr>
          <w:rFonts w:ascii="Times New Roman" w:hAnsi="Times New Roman"/>
          <w:color w:val="0070C0"/>
          <w:sz w:val="16"/>
          <w:szCs w:val="16"/>
        </w:rPr>
      </w:pPr>
    </w:p>
    <w:p w14:paraId="219582AA"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 первые три (по другим данным — четыре) В-25С передали 37-му бап подполковника И.О. Катаржина. Эту часть перевели с Дальнего Востока на под</w:t>
      </w:r>
      <w:r w:rsidRPr="008A2E5A">
        <w:rPr>
          <w:rFonts w:ascii="Times New Roman" w:hAnsi="Times New Roman"/>
          <w:color w:val="0070C0"/>
          <w:sz w:val="16"/>
          <w:szCs w:val="16"/>
        </w:rPr>
        <w:softHyphen/>
        <w:t>московный аэродром Монино. Изучать новую технику помогали специалисты НИИ ВВС (которые и перегнали машины из Басры) и Бюро новой техники ЦАГИ. Один самолет для лучшего ознакомления разобрали. В полк перевели некоторых членов группы Громова, изучавших В-25 в США, — летчиков, штурманов, инжене</w:t>
      </w:r>
      <w:r w:rsidRPr="008A2E5A">
        <w:rPr>
          <w:rFonts w:ascii="Times New Roman" w:hAnsi="Times New Roman"/>
          <w:color w:val="0070C0"/>
          <w:sz w:val="16"/>
          <w:szCs w:val="16"/>
        </w:rPr>
        <w:softHyphen/>
        <w:t>ров.</w:t>
      </w:r>
    </w:p>
    <w:p w14:paraId="7FC27A69"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ЦАГИ имел в изучении машины свой интерес — «Митчелл» наглядно демон</w:t>
      </w:r>
      <w:r w:rsidRPr="008A2E5A">
        <w:rPr>
          <w:rFonts w:ascii="Times New Roman" w:hAnsi="Times New Roman"/>
          <w:color w:val="0070C0"/>
          <w:sz w:val="16"/>
          <w:szCs w:val="16"/>
        </w:rPr>
        <w:softHyphen/>
        <w:t>стрировал достижения американской технологии самолетостроения. Были со</w:t>
      </w:r>
      <w:r w:rsidRPr="008A2E5A">
        <w:rPr>
          <w:rFonts w:ascii="Times New Roman" w:hAnsi="Times New Roman"/>
          <w:color w:val="0070C0"/>
          <w:sz w:val="16"/>
          <w:szCs w:val="16"/>
        </w:rPr>
        <w:softHyphen/>
        <w:t>ставлены подробные описания В-25, про</w:t>
      </w:r>
      <w:r w:rsidRPr="008A2E5A">
        <w:rPr>
          <w:rFonts w:ascii="Times New Roman" w:hAnsi="Times New Roman"/>
          <w:color w:val="0070C0"/>
          <w:sz w:val="16"/>
          <w:szCs w:val="16"/>
        </w:rPr>
        <w:softHyphen/>
        <w:t>анализированы все основные элементы конструкции. В американском бомбарди</w:t>
      </w:r>
      <w:r w:rsidRPr="008A2E5A">
        <w:rPr>
          <w:rFonts w:ascii="Times New Roman" w:hAnsi="Times New Roman"/>
          <w:color w:val="0070C0"/>
          <w:sz w:val="16"/>
          <w:szCs w:val="16"/>
        </w:rPr>
        <w:softHyphen/>
        <w:t>ровщике было чему поучиться — в част</w:t>
      </w:r>
      <w:r w:rsidRPr="008A2E5A">
        <w:rPr>
          <w:rFonts w:ascii="Times New Roman" w:hAnsi="Times New Roman"/>
          <w:color w:val="0070C0"/>
          <w:sz w:val="16"/>
          <w:szCs w:val="16"/>
        </w:rPr>
        <w:softHyphen/>
        <w:t>ности, его приспособленности к крупно</w:t>
      </w:r>
      <w:r w:rsidRPr="008A2E5A">
        <w:rPr>
          <w:rFonts w:ascii="Times New Roman" w:hAnsi="Times New Roman"/>
          <w:color w:val="0070C0"/>
          <w:sz w:val="16"/>
          <w:szCs w:val="16"/>
        </w:rPr>
        <w:softHyphen/>
        <w:t>серийному выпуску. В отчете ЦАГИ записано: «...схема разбивки обеспечи</w:t>
      </w:r>
      <w:r w:rsidRPr="008A2E5A">
        <w:rPr>
          <w:rFonts w:ascii="Times New Roman" w:hAnsi="Times New Roman"/>
          <w:color w:val="0070C0"/>
          <w:sz w:val="16"/>
          <w:szCs w:val="16"/>
        </w:rPr>
        <w:softHyphen/>
        <w:t>вает широкий фронт работы и, очевид</w:t>
      </w:r>
      <w:r w:rsidRPr="008A2E5A">
        <w:rPr>
          <w:rFonts w:ascii="Times New Roman" w:hAnsi="Times New Roman"/>
          <w:color w:val="0070C0"/>
          <w:sz w:val="16"/>
          <w:szCs w:val="16"/>
        </w:rPr>
        <w:softHyphen/>
        <w:t>но, имеет основной целью обеспечение массовости производства». В июне 1942 г. один В-25С прошел полную програм</w:t>
      </w:r>
      <w:r w:rsidRPr="008A2E5A">
        <w:rPr>
          <w:rFonts w:ascii="Times New Roman" w:hAnsi="Times New Roman"/>
          <w:color w:val="0070C0"/>
          <w:sz w:val="16"/>
          <w:szCs w:val="16"/>
        </w:rPr>
        <w:softHyphen/>
        <w:t>му государственных испытаний в НИИ ВВС сначала в Чкаловской, а затем на аэ</w:t>
      </w:r>
      <w:r w:rsidRPr="008A2E5A">
        <w:rPr>
          <w:rFonts w:ascii="Times New Roman" w:hAnsi="Times New Roman"/>
          <w:color w:val="0070C0"/>
          <w:sz w:val="16"/>
          <w:szCs w:val="16"/>
        </w:rPr>
        <w:softHyphen/>
        <w:t>родроме Кольцово под Свердловском, получив очень хорошие отзывы. Летал на этой машине экипаж полковника П.М. Стефановского. Данные оказались немного ниже, чем у В-25В, за счет боль</w:t>
      </w:r>
      <w:r w:rsidRPr="008A2E5A">
        <w:rPr>
          <w:rFonts w:ascii="Times New Roman" w:hAnsi="Times New Roman"/>
          <w:color w:val="0070C0"/>
          <w:sz w:val="16"/>
          <w:szCs w:val="16"/>
        </w:rPr>
        <w:softHyphen/>
        <w:t>шего веса, но все равно лучше, чем у на</w:t>
      </w:r>
      <w:r w:rsidRPr="008A2E5A">
        <w:rPr>
          <w:rFonts w:ascii="Times New Roman" w:hAnsi="Times New Roman"/>
          <w:color w:val="0070C0"/>
          <w:sz w:val="16"/>
          <w:szCs w:val="16"/>
        </w:rPr>
        <w:softHyphen/>
        <w:t>ших бомбардировщиков и немецкого Ju 88А. В отчете испытатели этот факт от</w:t>
      </w:r>
      <w:r w:rsidRPr="008A2E5A">
        <w:rPr>
          <w:rFonts w:ascii="Times New Roman" w:hAnsi="Times New Roman"/>
          <w:color w:val="0070C0"/>
          <w:sz w:val="16"/>
          <w:szCs w:val="16"/>
        </w:rPr>
        <w:softHyphen/>
        <w:t>крыто признать не решились и провели сравнение не только с серийным Ил-4, но и с экспериментальным Ер-2 с моторами АМ-37. Последняя машина превосходи</w:t>
      </w:r>
      <w:r w:rsidRPr="008A2E5A">
        <w:rPr>
          <w:rFonts w:ascii="Times New Roman" w:hAnsi="Times New Roman"/>
          <w:color w:val="0070C0"/>
          <w:sz w:val="16"/>
          <w:szCs w:val="16"/>
        </w:rPr>
        <w:softHyphen/>
        <w:t>ла «американца» по скорости и потолку, однако уступала по скороподъемности и взлетно-посадочным качествам. Но не</w:t>
      </w:r>
      <w:r w:rsidRPr="008A2E5A">
        <w:rPr>
          <w:rFonts w:ascii="Times New Roman" w:hAnsi="Times New Roman"/>
          <w:color w:val="0070C0"/>
          <w:sz w:val="16"/>
          <w:szCs w:val="16"/>
        </w:rPr>
        <w:softHyphen/>
        <w:t xml:space="preserve">надежные двигатели эти серийно никогда не выпускались, так </w:t>
      </w:r>
      <w:proofErr w:type="gramStart"/>
      <w:r w:rsidRPr="008A2E5A">
        <w:rPr>
          <w:rFonts w:ascii="Times New Roman" w:hAnsi="Times New Roman"/>
          <w:color w:val="0070C0"/>
          <w:sz w:val="16"/>
          <w:szCs w:val="16"/>
        </w:rPr>
        <w:t>же</w:t>
      </w:r>
      <w:proofErr w:type="gramEnd"/>
      <w:r w:rsidRPr="008A2E5A">
        <w:rPr>
          <w:rFonts w:ascii="Times New Roman" w:hAnsi="Times New Roman"/>
          <w:color w:val="0070C0"/>
          <w:sz w:val="16"/>
          <w:szCs w:val="16"/>
        </w:rPr>
        <w:t xml:space="preserve"> как и сам самолет существовал в единственном экземпляре.</w:t>
      </w:r>
    </w:p>
    <w:p w14:paraId="62DF195C"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Прибывшие в Монино бомбардиров</w:t>
      </w:r>
      <w:r w:rsidRPr="008A2E5A">
        <w:rPr>
          <w:rFonts w:ascii="Times New Roman" w:hAnsi="Times New Roman"/>
          <w:color w:val="0070C0"/>
          <w:sz w:val="16"/>
          <w:szCs w:val="16"/>
        </w:rPr>
        <w:softHyphen/>
        <w:t>щики подверглись переоборудованию, по</w:t>
      </w:r>
      <w:r w:rsidRPr="008A2E5A">
        <w:rPr>
          <w:rFonts w:ascii="Times New Roman" w:hAnsi="Times New Roman"/>
          <w:color w:val="0070C0"/>
          <w:sz w:val="16"/>
          <w:szCs w:val="16"/>
        </w:rPr>
        <w:softHyphen/>
        <w:t>скольку у американцев в экипаж входили отдельно бомбардир (в носовой кабине) и отдельно штурман, сидевший за пилота</w:t>
      </w:r>
      <w:r w:rsidRPr="008A2E5A">
        <w:rPr>
          <w:rFonts w:ascii="Times New Roman" w:hAnsi="Times New Roman"/>
          <w:color w:val="0070C0"/>
          <w:sz w:val="16"/>
          <w:szCs w:val="16"/>
        </w:rPr>
        <w:softHyphen/>
        <w:t>ми. У нас эти функции совмещал штурман, и для него в носовую часть переносились все навигационные приборы. Устаревшие бомбовые прицелы «Вимперис», которы</w:t>
      </w:r>
      <w:r w:rsidRPr="008A2E5A">
        <w:rPr>
          <w:rFonts w:ascii="Times New Roman" w:hAnsi="Times New Roman"/>
          <w:color w:val="0070C0"/>
          <w:sz w:val="16"/>
          <w:szCs w:val="16"/>
        </w:rPr>
        <w:softHyphen/>
        <w:t>ми комплектовали экспортные В-25, у нас снимали, заменяя отечественным ОПБ-1. Для повышения боевой живучести ввели систему наддува баков нейтральным га</w:t>
      </w:r>
      <w:r w:rsidRPr="008A2E5A">
        <w:rPr>
          <w:rFonts w:ascii="Times New Roman" w:hAnsi="Times New Roman"/>
          <w:color w:val="0070C0"/>
          <w:sz w:val="16"/>
          <w:szCs w:val="16"/>
        </w:rPr>
        <w:softHyphen/>
        <w:t>зом. Переделку машин вели завод № 156 в Москве и рембаза ВВС в Монино (23513).</w:t>
      </w:r>
    </w:p>
    <w:p w14:paraId="23DCCB25" w14:textId="77777777" w:rsidR="002C10B8" w:rsidRPr="008A2E5A" w:rsidRDefault="002C10B8" w:rsidP="002C10B8">
      <w:pPr>
        <w:spacing w:after="0" w:line="240" w:lineRule="auto"/>
        <w:jc w:val="both"/>
        <w:rPr>
          <w:rFonts w:ascii="Times New Roman" w:hAnsi="Times New Roman"/>
          <w:color w:val="0070C0"/>
          <w:sz w:val="16"/>
          <w:szCs w:val="16"/>
        </w:rPr>
      </w:pPr>
    </w:p>
    <w:p w14:paraId="02B62023"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 в НИИ ВВС испытывали В-25В. Летал экипаж полковника А.И. Кабанова. Самолет произвел впечатление своими летными данными, мощным оборонитель</w:t>
      </w:r>
      <w:r w:rsidRPr="008A2E5A">
        <w:rPr>
          <w:rFonts w:ascii="Times New Roman" w:hAnsi="Times New Roman"/>
          <w:color w:val="0070C0"/>
          <w:sz w:val="16"/>
          <w:szCs w:val="16"/>
        </w:rPr>
        <w:softHyphen/>
        <w:t>ным вооружением и хорошим оборудова</w:t>
      </w:r>
      <w:r w:rsidRPr="008A2E5A">
        <w:rPr>
          <w:rFonts w:ascii="Times New Roman" w:hAnsi="Times New Roman"/>
          <w:color w:val="0070C0"/>
          <w:sz w:val="16"/>
          <w:szCs w:val="16"/>
        </w:rPr>
        <w:softHyphen/>
        <w:t>нием. Правда, на испытаниях поломали механизм стопорения нижней выдвижной башни, а стрелковые установки неодно</w:t>
      </w:r>
      <w:r w:rsidRPr="008A2E5A">
        <w:rPr>
          <w:rFonts w:ascii="Times New Roman" w:hAnsi="Times New Roman"/>
          <w:color w:val="0070C0"/>
          <w:sz w:val="16"/>
          <w:szCs w:val="16"/>
        </w:rPr>
        <w:softHyphen/>
        <w:t>кратно отказывали. Мощные моторы со</w:t>
      </w:r>
      <w:r w:rsidRPr="008A2E5A">
        <w:rPr>
          <w:rFonts w:ascii="Times New Roman" w:hAnsi="Times New Roman"/>
          <w:color w:val="0070C0"/>
          <w:sz w:val="16"/>
          <w:szCs w:val="16"/>
        </w:rPr>
        <w:softHyphen/>
        <w:t>четались с винтами-автоматами, имевши</w:t>
      </w:r>
      <w:r w:rsidRPr="008A2E5A">
        <w:rPr>
          <w:rFonts w:ascii="Times New Roman" w:hAnsi="Times New Roman"/>
          <w:color w:val="0070C0"/>
          <w:sz w:val="16"/>
          <w:szCs w:val="16"/>
        </w:rPr>
        <w:softHyphen/>
        <w:t>ми режим флюгирования. Пилотирование оказалось проще, чем на Пе-2 и ДБ-ЗФ (Ил-4). Непривычной показалась полная механизация турелей, которыми вообще нельзя было пользоваться при неработа</w:t>
      </w:r>
      <w:r w:rsidRPr="008A2E5A">
        <w:rPr>
          <w:rFonts w:ascii="Times New Roman" w:hAnsi="Times New Roman"/>
          <w:color w:val="0070C0"/>
          <w:sz w:val="16"/>
          <w:szCs w:val="16"/>
        </w:rPr>
        <w:softHyphen/>
        <w:t>ющих электрической и гидравлической системах.</w:t>
      </w:r>
    </w:p>
    <w:p w14:paraId="1FFBA23A"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недостатков отметили невозмож</w:t>
      </w:r>
      <w:r w:rsidRPr="008A2E5A">
        <w:rPr>
          <w:rFonts w:ascii="Times New Roman" w:hAnsi="Times New Roman"/>
          <w:color w:val="0070C0"/>
          <w:sz w:val="16"/>
          <w:szCs w:val="16"/>
        </w:rPr>
        <w:softHyphen/>
        <w:t>ность полного слива масла после полета и применение неморозостойкой резины в уплотнениях гидросистемы. На испы</w:t>
      </w:r>
      <w:r w:rsidRPr="008A2E5A">
        <w:rPr>
          <w:rFonts w:ascii="Times New Roman" w:hAnsi="Times New Roman"/>
          <w:color w:val="0070C0"/>
          <w:sz w:val="16"/>
          <w:szCs w:val="16"/>
        </w:rPr>
        <w:softHyphen/>
        <w:t>таниях, летая с грунта, дважды ломали подкосы носовой стойки шасси; после это</w:t>
      </w:r>
      <w:r w:rsidRPr="008A2E5A">
        <w:rPr>
          <w:rFonts w:ascii="Times New Roman" w:hAnsi="Times New Roman"/>
          <w:color w:val="0070C0"/>
          <w:sz w:val="16"/>
          <w:szCs w:val="16"/>
        </w:rPr>
        <w:softHyphen/>
        <w:t>го сделали вывод, что самолет может ра</w:t>
      </w:r>
      <w:r w:rsidRPr="008A2E5A">
        <w:rPr>
          <w:rFonts w:ascii="Times New Roman" w:hAnsi="Times New Roman"/>
          <w:color w:val="0070C0"/>
          <w:sz w:val="16"/>
          <w:szCs w:val="16"/>
        </w:rPr>
        <w:softHyphen/>
        <w:t>ботать только с ровных площадок с твер</w:t>
      </w:r>
      <w:r w:rsidRPr="008A2E5A">
        <w:rPr>
          <w:rFonts w:ascii="Times New Roman" w:hAnsi="Times New Roman"/>
          <w:color w:val="0070C0"/>
          <w:sz w:val="16"/>
          <w:szCs w:val="16"/>
        </w:rPr>
        <w:softHyphen/>
        <w:t>дым покрытием или плотным грунтом. Рекомендовали усилить бронезащиту, до</w:t>
      </w:r>
      <w:r w:rsidRPr="008A2E5A">
        <w:rPr>
          <w:rFonts w:ascii="Times New Roman" w:hAnsi="Times New Roman"/>
          <w:color w:val="0070C0"/>
          <w:sz w:val="16"/>
          <w:szCs w:val="16"/>
        </w:rPr>
        <w:softHyphen/>
        <w:t>бавив 40-45 кг брони (23513).</w:t>
      </w:r>
    </w:p>
    <w:p w14:paraId="138B57CD" w14:textId="77777777" w:rsidR="00924D84" w:rsidRPr="008A2E5A" w:rsidRDefault="00924D84" w:rsidP="00924D84">
      <w:pPr>
        <w:spacing w:after="0" w:line="240" w:lineRule="auto"/>
        <w:jc w:val="both"/>
        <w:rPr>
          <w:rFonts w:ascii="Times New Roman" w:hAnsi="Times New Roman"/>
          <w:color w:val="0070C0"/>
          <w:sz w:val="16"/>
          <w:szCs w:val="16"/>
        </w:rPr>
      </w:pPr>
    </w:p>
    <w:p w14:paraId="63B41DF3"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 один из «Митчеллов» попал в СССР не совсем обычным путем. Это был самолет того самого капитана Йорка, который когда-то радушно при</w:t>
      </w:r>
      <w:r w:rsidRPr="008A2E5A">
        <w:rPr>
          <w:rFonts w:ascii="Times New Roman" w:hAnsi="Times New Roman"/>
          <w:color w:val="0070C0"/>
          <w:sz w:val="16"/>
          <w:szCs w:val="16"/>
        </w:rPr>
        <w:softHyphen/>
        <w:t>нимал в своей эскадрилье советских лет</w:t>
      </w:r>
      <w:r w:rsidRPr="008A2E5A">
        <w:rPr>
          <w:rFonts w:ascii="Times New Roman" w:hAnsi="Times New Roman"/>
          <w:color w:val="0070C0"/>
          <w:sz w:val="16"/>
          <w:szCs w:val="16"/>
        </w:rPr>
        <w:softHyphen/>
        <w:t>чиков. Он участвовал в знаменитом рейде Дулиттла на Токио. 16 бомбардировщиков стартовали с палубы авианосца «Хорнет» и в день рождения японского императора отбомбились по целям в Токио, Иокогаме, Кобе и Нагое. Предполагалось, что либо самолеты сядут в Китае, либо экипажи вы</w:t>
      </w:r>
      <w:r w:rsidRPr="008A2E5A">
        <w:rPr>
          <w:rFonts w:ascii="Times New Roman" w:hAnsi="Times New Roman"/>
          <w:color w:val="0070C0"/>
          <w:sz w:val="16"/>
          <w:szCs w:val="16"/>
        </w:rPr>
        <w:softHyphen/>
        <w:t>бросятся на парашютах в районе, где патру</w:t>
      </w:r>
      <w:r w:rsidRPr="008A2E5A">
        <w:rPr>
          <w:rFonts w:ascii="Times New Roman" w:hAnsi="Times New Roman"/>
          <w:color w:val="0070C0"/>
          <w:sz w:val="16"/>
          <w:szCs w:val="16"/>
        </w:rPr>
        <w:softHyphen/>
        <w:t>лировали американские подводные лодки. Это удалось не всем. Йорк выбрал другой вариант — он сел под Владивостоком. В-25В Йорка (№40-2242) был нестан</w:t>
      </w:r>
      <w:r w:rsidRPr="008A2E5A">
        <w:rPr>
          <w:rFonts w:ascii="Times New Roman" w:hAnsi="Times New Roman"/>
          <w:color w:val="0070C0"/>
          <w:sz w:val="16"/>
          <w:szCs w:val="16"/>
        </w:rPr>
        <w:softHyphen/>
        <w:t>дартным — с урезанными крыльями, не</w:t>
      </w:r>
      <w:r w:rsidRPr="008A2E5A">
        <w:rPr>
          <w:rFonts w:ascii="Times New Roman" w:hAnsi="Times New Roman"/>
          <w:color w:val="0070C0"/>
          <w:sz w:val="16"/>
          <w:szCs w:val="16"/>
        </w:rPr>
        <w:softHyphen/>
        <w:t>полным комплектом оборудования и без хвостовой турели (она была заменена дере</w:t>
      </w:r>
      <w:r w:rsidRPr="008A2E5A">
        <w:rPr>
          <w:rFonts w:ascii="Times New Roman" w:hAnsi="Times New Roman"/>
          <w:color w:val="0070C0"/>
          <w:sz w:val="16"/>
          <w:szCs w:val="16"/>
        </w:rPr>
        <w:softHyphen/>
        <w:t>вянным макетом), зато с дополнительным бензобаком. Самолет изучался летчиками ВВС Тихоокеанского флота и облетывался ими. Из Унашей, где он сел, его перегнали на аэродром Семеновка, а затем, по при</w:t>
      </w:r>
      <w:r w:rsidRPr="008A2E5A">
        <w:rPr>
          <w:rFonts w:ascii="Times New Roman" w:hAnsi="Times New Roman"/>
          <w:color w:val="0070C0"/>
          <w:sz w:val="16"/>
          <w:szCs w:val="16"/>
        </w:rPr>
        <w:softHyphen/>
        <w:t>казу — в Москву, в 65-й авиаполк особого назначения (23513).</w:t>
      </w:r>
    </w:p>
    <w:p w14:paraId="0FEDE240" w14:textId="77777777" w:rsidR="00924D84" w:rsidRPr="008A2E5A" w:rsidRDefault="00924D84" w:rsidP="00924D84">
      <w:pPr>
        <w:spacing w:after="0" w:line="240" w:lineRule="auto"/>
        <w:jc w:val="both"/>
        <w:rPr>
          <w:rFonts w:ascii="Times New Roman" w:hAnsi="Times New Roman"/>
          <w:color w:val="0070C0"/>
          <w:sz w:val="16"/>
          <w:szCs w:val="16"/>
        </w:rPr>
      </w:pPr>
    </w:p>
    <w:p w14:paraId="6CE4C175" w14:textId="77777777" w:rsidR="00491415" w:rsidRPr="008A2E5A" w:rsidRDefault="00491415" w:rsidP="004914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года первые четыре самолета В-25С специали</w:t>
      </w:r>
      <w:r w:rsidRPr="008A2E5A">
        <w:rPr>
          <w:rFonts w:ascii="Times New Roman" w:hAnsi="Times New Roman"/>
          <w:color w:val="0070C0"/>
          <w:sz w:val="16"/>
          <w:szCs w:val="16"/>
        </w:rPr>
        <w:softHyphen/>
        <w:t>сты НИИ ВВС перегнали из Басры на аэродром Монино и пере</w:t>
      </w:r>
      <w:r w:rsidRPr="008A2E5A">
        <w:rPr>
          <w:rFonts w:ascii="Times New Roman" w:hAnsi="Times New Roman"/>
          <w:color w:val="0070C0"/>
          <w:sz w:val="16"/>
          <w:szCs w:val="16"/>
        </w:rPr>
        <w:softHyphen/>
        <w:t>дали в 37 БАП. Там самолеты прошли программу госиспытаний и переоборудование. Отзывы — очень хорошие (24342).</w:t>
      </w:r>
    </w:p>
    <w:p w14:paraId="1EDE86D7" w14:textId="77777777" w:rsidR="00491415" w:rsidRPr="008A2E5A" w:rsidRDefault="00491415" w:rsidP="00491415">
      <w:pPr>
        <w:spacing w:after="0" w:line="240" w:lineRule="auto"/>
        <w:jc w:val="both"/>
        <w:rPr>
          <w:rFonts w:ascii="Times New Roman" w:hAnsi="Times New Roman"/>
          <w:color w:val="0070C0"/>
          <w:sz w:val="16"/>
          <w:szCs w:val="16"/>
        </w:rPr>
      </w:pPr>
    </w:p>
    <w:p w14:paraId="60197DB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w:t>
      </w:r>
      <w:r w:rsidRPr="008127F8">
        <w:rPr>
          <w:rFonts w:ascii="Times New Roman" w:hAnsi="Times New Roman"/>
          <w:color w:val="000000" w:themeColor="text1"/>
          <w:sz w:val="16"/>
          <w:szCs w:val="16"/>
        </w:rPr>
        <w:softHyphen/>
        <w:t>ле 1942 начались испытания с впрыскива</w:t>
      </w:r>
      <w:r w:rsidRPr="008127F8">
        <w:rPr>
          <w:rFonts w:ascii="Times New Roman" w:hAnsi="Times New Roman"/>
          <w:color w:val="000000" w:themeColor="text1"/>
          <w:sz w:val="16"/>
          <w:szCs w:val="16"/>
        </w:rPr>
        <w:softHyphen/>
        <w:t>ющими карбюраторами ВК-82 (типа Стромберг) завода №33 и ЦВ-82. Вто</w:t>
      </w:r>
      <w:r w:rsidRPr="008127F8">
        <w:rPr>
          <w:rFonts w:ascii="Times New Roman" w:hAnsi="Times New Roman"/>
          <w:color w:val="000000" w:themeColor="text1"/>
          <w:sz w:val="16"/>
          <w:szCs w:val="16"/>
        </w:rPr>
        <w:softHyphen/>
        <w:t>рой из них отпал быстро, а первый поначалу подавал большие надежды. Но, несмотря на продолжение работ с ВК-82 в течение всего 1942 года, устойчивых положительных результа</w:t>
      </w:r>
      <w:r w:rsidRPr="008127F8">
        <w:rPr>
          <w:rFonts w:ascii="Times New Roman" w:hAnsi="Times New Roman"/>
          <w:color w:val="000000" w:themeColor="text1"/>
          <w:sz w:val="16"/>
          <w:szCs w:val="16"/>
        </w:rPr>
        <w:softHyphen/>
        <w:t>тов добиться не удавалось. В сен</w:t>
      </w:r>
      <w:r w:rsidRPr="008127F8">
        <w:rPr>
          <w:rFonts w:ascii="Times New Roman" w:hAnsi="Times New Roman"/>
          <w:color w:val="000000" w:themeColor="text1"/>
          <w:sz w:val="16"/>
          <w:szCs w:val="16"/>
        </w:rPr>
        <w:softHyphen/>
        <w:t>тябре все же вышел приказ НКАП о серийном их выпуске с октября 1942 года. К 1 января 1943 года было вы</w:t>
      </w:r>
      <w:r w:rsidRPr="008127F8">
        <w:rPr>
          <w:rFonts w:ascii="Times New Roman" w:hAnsi="Times New Roman"/>
          <w:color w:val="000000" w:themeColor="text1"/>
          <w:sz w:val="16"/>
          <w:szCs w:val="16"/>
        </w:rPr>
        <w:softHyphen/>
        <w:t>пущено всего 30 штук ВК-82. Но в серию на заводе №19 этот карбю</w:t>
      </w:r>
      <w:r w:rsidRPr="008127F8">
        <w:rPr>
          <w:rFonts w:ascii="Times New Roman" w:hAnsi="Times New Roman"/>
          <w:color w:val="000000" w:themeColor="text1"/>
          <w:sz w:val="16"/>
          <w:szCs w:val="16"/>
        </w:rPr>
        <w:softHyphen/>
        <w:t>ратор так и не пошел. Одновременно продолжалась до</w:t>
      </w:r>
      <w:r w:rsidRPr="008127F8">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8127F8">
        <w:rPr>
          <w:rFonts w:ascii="Times New Roman" w:hAnsi="Times New Roman"/>
          <w:color w:val="000000" w:themeColor="text1"/>
          <w:sz w:val="16"/>
          <w:szCs w:val="16"/>
        </w:rPr>
        <w:softHyphen/>
        <w:t>ное отличие этой серии от 2-й со</w:t>
      </w:r>
      <w:r w:rsidRPr="008127F8">
        <w:rPr>
          <w:rFonts w:ascii="Times New Roman" w:hAnsi="Times New Roman"/>
          <w:color w:val="000000" w:themeColor="text1"/>
          <w:sz w:val="16"/>
          <w:szCs w:val="16"/>
        </w:rPr>
        <w:softHyphen/>
        <w:t>стояло в том, что все резиновые плос</w:t>
      </w:r>
      <w:r w:rsidRPr="008127F8">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8127F8">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8127F8">
        <w:rPr>
          <w:rFonts w:ascii="Times New Roman" w:hAnsi="Times New Roman"/>
          <w:color w:val="000000" w:themeColor="text1"/>
          <w:sz w:val="16"/>
          <w:szCs w:val="16"/>
        </w:rPr>
        <w:softHyphen/>
        <w:t>вышением твердости ролика дозиру</w:t>
      </w:r>
      <w:r w:rsidRPr="008127F8">
        <w:rPr>
          <w:rFonts w:ascii="Times New Roman" w:hAnsi="Times New Roman"/>
          <w:color w:val="000000" w:themeColor="text1"/>
          <w:sz w:val="16"/>
          <w:szCs w:val="16"/>
        </w:rPr>
        <w:softHyphen/>
        <w:t>ющей иглы для снижения его выра</w:t>
      </w:r>
      <w:r w:rsidRPr="008127F8">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8127F8">
        <w:rPr>
          <w:rFonts w:ascii="Times New Roman" w:hAnsi="Times New Roman"/>
          <w:color w:val="000000" w:themeColor="text1"/>
          <w:sz w:val="16"/>
          <w:szCs w:val="16"/>
        </w:rPr>
        <w:softHyphen/>
        <w:t>тики и др. К весне 1943 года вышла серия А-6, на которой вместо жикле</w:t>
      </w:r>
      <w:r w:rsidRPr="008127F8">
        <w:rPr>
          <w:rFonts w:ascii="Times New Roman" w:hAnsi="Times New Roman"/>
          <w:color w:val="000000" w:themeColor="text1"/>
          <w:sz w:val="16"/>
          <w:szCs w:val="16"/>
        </w:rPr>
        <w:softHyphen/>
        <w:t>ра экономайзера была введена ре</w:t>
      </w:r>
      <w:r w:rsidRPr="008127F8">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8127F8">
        <w:rPr>
          <w:rFonts w:ascii="Times New Roman" w:hAnsi="Times New Roman"/>
          <w:color w:val="000000" w:themeColor="text1"/>
          <w:sz w:val="16"/>
          <w:szCs w:val="16"/>
        </w:rPr>
        <w:softHyphen/>
        <w:t>водка карбюратора проходила в ос</w:t>
      </w:r>
      <w:r w:rsidRPr="008127F8">
        <w:rPr>
          <w:rFonts w:ascii="Times New Roman" w:hAnsi="Times New Roman"/>
          <w:color w:val="000000" w:themeColor="text1"/>
          <w:sz w:val="16"/>
          <w:szCs w:val="16"/>
        </w:rPr>
        <w:softHyphen/>
        <w:t>новном все тем же методом проб и ошибок. Никаких существенных ре</w:t>
      </w:r>
      <w:r w:rsidRPr="008127F8">
        <w:rPr>
          <w:rFonts w:ascii="Times New Roman" w:hAnsi="Times New Roman"/>
          <w:color w:val="000000" w:themeColor="text1"/>
          <w:sz w:val="16"/>
          <w:szCs w:val="16"/>
        </w:rPr>
        <w:softHyphen/>
        <w:t>зультатов по улучшению работы АК-82БП получено не было (10705).</w:t>
      </w:r>
    </w:p>
    <w:p w14:paraId="4CF9654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F645C" w14:textId="77777777" w:rsidR="00042C85" w:rsidRPr="008127F8" w:rsidRDefault="00042C85"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апреле 1942 г. на заводе № 19 прошли первые 50-часовые испытания М-82 с НВ. Получили прирост мощности около 50 л.е., но обнаружились и дефекты: течь бензина из соединений труб высокого давления, плохой распыл топлива отдельными форсун</w:t>
      </w:r>
      <w:r w:rsidRPr="008127F8">
        <w:rPr>
          <w:rFonts w:ascii="Times New Roman" w:cs="Times New Roman"/>
          <w:color w:val="000000" w:themeColor="text1"/>
          <w:spacing w:val="0"/>
        </w:rPr>
        <w:softHyphen/>
        <w:t>ками, разрегулировка автомата и другие (15813).</w:t>
      </w:r>
    </w:p>
    <w:p w14:paraId="61A9D1CC" w14:textId="77777777" w:rsidR="00042C85" w:rsidRPr="008127F8" w:rsidRDefault="00042C85" w:rsidP="001E0A84">
      <w:pPr>
        <w:pStyle w:val="27"/>
        <w:shd w:val="clear" w:color="auto" w:fill="auto"/>
        <w:spacing w:after="0" w:line="240" w:lineRule="auto"/>
        <w:ind w:firstLine="0"/>
        <w:rPr>
          <w:rFonts w:ascii="Times New Roman" w:cs="Times New Roman"/>
          <w:color w:val="000000" w:themeColor="text1"/>
          <w:spacing w:val="0"/>
        </w:rPr>
      </w:pPr>
    </w:p>
    <w:p w14:paraId="4AE257A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учащихся ремесленных училищ, достиг</w:t>
      </w:r>
      <w:r w:rsidRPr="008127F8">
        <w:rPr>
          <w:rFonts w:ascii="Times New Roman" w:hAnsi="Times New Roman"/>
          <w:color w:val="000000" w:themeColor="text1"/>
          <w:sz w:val="16"/>
          <w:szCs w:val="16"/>
        </w:rPr>
        <w:softHyphen/>
        <w:t xml:space="preserve">ших 16 лет, досрочно выпустили из РУ и распределили по авиапредприятиям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4469. Л. 12). Вообще, подготовка кадров для ИКАЛ системой ФЗО-РУ имела для авиаиндустрии очень большое значение, гарантируя постоянный приток относительно под</w:t>
      </w:r>
      <w:r w:rsidRPr="008127F8">
        <w:rPr>
          <w:rFonts w:ascii="Times New Roman" w:hAnsi="Times New Roman"/>
          <w:color w:val="000000" w:themeColor="text1"/>
          <w:sz w:val="16"/>
          <w:szCs w:val="16"/>
        </w:rPr>
        <w:softHyphen/>
        <w:t>готовленной рабсилы.</w:t>
      </w:r>
    </w:p>
    <w:p w14:paraId="684A56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Поступление выпускников школ ФЗО и ремесленных училищ на авиазаводы в 1941—1944 гг.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4481. Л. 61)</w:t>
      </w:r>
    </w:p>
    <w:tbl>
      <w:tblPr>
        <w:tblW w:w="0" w:type="auto"/>
        <w:tblInd w:w="8" w:type="dxa"/>
        <w:tblLayout w:type="fixed"/>
        <w:tblCellMar>
          <w:left w:w="0" w:type="dxa"/>
          <w:right w:w="0" w:type="dxa"/>
        </w:tblCellMar>
        <w:tblLook w:val="0000" w:firstRow="0" w:lastRow="0" w:firstColumn="0" w:lastColumn="0" w:noHBand="0" w:noVBand="0"/>
      </w:tblPr>
      <w:tblGrid>
        <w:gridCol w:w="1190"/>
        <w:gridCol w:w="1181"/>
        <w:gridCol w:w="1181"/>
        <w:gridCol w:w="1181"/>
        <w:gridCol w:w="1190"/>
      </w:tblGrid>
      <w:tr w:rsidR="006F4095" w:rsidRPr="008127F8" w14:paraId="4069FAA6" w14:textId="77777777">
        <w:trPr>
          <w:trHeight w:val="230"/>
        </w:trPr>
        <w:tc>
          <w:tcPr>
            <w:tcW w:w="1190" w:type="dxa"/>
            <w:tcBorders>
              <w:top w:val="single" w:sz="6" w:space="0" w:color="auto"/>
              <w:left w:val="single" w:sz="6" w:space="0" w:color="auto"/>
              <w:bottom w:val="single" w:sz="6" w:space="0" w:color="auto"/>
              <w:right w:val="single" w:sz="6" w:space="0" w:color="auto"/>
            </w:tcBorders>
            <w:shd w:val="clear" w:color="auto" w:fill="FFFFFF"/>
          </w:tcPr>
          <w:p w14:paraId="06D7C28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E4E7C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41A64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39A50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121165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6F4095" w:rsidRPr="008127F8" w14:paraId="0088FA36" w14:textId="77777777">
        <w:trPr>
          <w:trHeight w:val="235"/>
        </w:trPr>
        <w:tc>
          <w:tcPr>
            <w:tcW w:w="1190" w:type="dxa"/>
            <w:tcBorders>
              <w:top w:val="single" w:sz="6" w:space="0" w:color="auto"/>
              <w:left w:val="single" w:sz="6" w:space="0" w:color="auto"/>
              <w:bottom w:val="single" w:sz="6" w:space="0" w:color="auto"/>
              <w:right w:val="single" w:sz="6" w:space="0" w:color="auto"/>
            </w:tcBorders>
            <w:shd w:val="clear" w:color="auto" w:fill="FFFFFF"/>
          </w:tcPr>
          <w:p w14:paraId="3CC17A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4781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58C77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22546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8C786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22250</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97BE11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20948</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207696E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70525</w:t>
            </w:r>
          </w:p>
        </w:tc>
      </w:tr>
    </w:tbl>
    <w:p w14:paraId="21F3A3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за такое, подготовленное, пополнение, Авиапрому нередко приходилось вести форменные сражения. Так, ле</w:t>
      </w:r>
      <w:r w:rsidRPr="008127F8">
        <w:rPr>
          <w:rFonts w:ascii="Times New Roman" w:hAnsi="Times New Roman"/>
          <w:color w:val="000000" w:themeColor="text1"/>
          <w:sz w:val="16"/>
          <w:szCs w:val="16"/>
        </w:rPr>
        <w:softHyphen/>
        <w:t>том того же, 1942 г., НКАП забил в набат — с авиазаводов стали снимать учеников школ ФЗО, проходивших на этих предприятиях практику. Теперь этих учеников, которых на авиазаводах уже давно считали «своими» и перевод которых в авиапромышленность считался делом решённым, стали передавать другим наркоматам. Причём речь шла не только о том, что авиаиндустрия в ближайшем будущем могла недопо</w:t>
      </w:r>
      <w:r w:rsidRPr="008127F8">
        <w:rPr>
          <w:rFonts w:ascii="Times New Roman" w:hAnsi="Times New Roman"/>
          <w:color w:val="000000" w:themeColor="text1"/>
          <w:sz w:val="16"/>
          <w:szCs w:val="16"/>
        </w:rPr>
        <w:softHyphen/>
        <w:t>лучить определённое количество квалифицированного пер</w:t>
      </w:r>
      <w:r w:rsidRPr="008127F8">
        <w:rPr>
          <w:rFonts w:ascii="Times New Roman" w:hAnsi="Times New Roman"/>
          <w:color w:val="000000" w:themeColor="text1"/>
          <w:sz w:val="16"/>
          <w:szCs w:val="16"/>
        </w:rPr>
        <w:softHyphen/>
        <w:t>сонала, а о срыве выполнения производственного плана уже текущего года. Хотя ученики официально рабочими не считались, фактически их трудовой вклад в деятельность авиазаводов был вполне ве</w:t>
      </w:r>
      <w:r w:rsidRPr="008127F8">
        <w:rPr>
          <w:rFonts w:ascii="Times New Roman" w:hAnsi="Times New Roman"/>
          <w:color w:val="000000" w:themeColor="text1"/>
          <w:sz w:val="16"/>
          <w:szCs w:val="16"/>
        </w:rPr>
        <w:softHyphen/>
        <w:t>сом. Так, с завода № 39 было изъято 54 формовщика, что по</w:t>
      </w:r>
      <w:r w:rsidRPr="008127F8">
        <w:rPr>
          <w:rFonts w:ascii="Times New Roman" w:hAnsi="Times New Roman"/>
          <w:color w:val="000000" w:themeColor="text1"/>
          <w:sz w:val="16"/>
          <w:szCs w:val="16"/>
        </w:rPr>
        <w:softHyphen/>
        <w:t xml:space="preserve">ставило на грань невыполнения плана литейный цех, с завода № 30 были изъяты все 223 ученика, с завода № 153 из 1000 </w:t>
      </w:r>
      <w:r w:rsidRPr="008127F8">
        <w:rPr>
          <w:rFonts w:ascii="Times New Roman" w:hAnsi="Times New Roman"/>
          <w:color w:val="000000" w:themeColor="text1"/>
          <w:sz w:val="16"/>
          <w:szCs w:val="16"/>
        </w:rPr>
        <w:lastRenderedPageBreak/>
        <w:t>учеников было изъято 335, в том числе — ведущих профес</w:t>
      </w:r>
      <w:r w:rsidRPr="008127F8">
        <w:rPr>
          <w:rFonts w:ascii="Times New Roman" w:hAnsi="Times New Roman"/>
          <w:color w:val="000000" w:themeColor="text1"/>
          <w:sz w:val="16"/>
          <w:szCs w:val="16"/>
        </w:rPr>
        <w:softHyphen/>
        <w:t xml:space="preserve">сий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4468. Л. 39). Пытаясь решить проблему квалифицированной рабочей силы кардинально, весной 1944 г. НКАП решил организовать специализированные ремесленные училища, предназначен</w:t>
      </w:r>
      <w:r w:rsidRPr="008127F8">
        <w:rPr>
          <w:rFonts w:ascii="Times New Roman" w:hAnsi="Times New Roman"/>
          <w:color w:val="000000" w:themeColor="text1"/>
          <w:sz w:val="16"/>
          <w:szCs w:val="16"/>
        </w:rPr>
        <w:softHyphen/>
        <w:t>ные специально для авиапрома, на заводах № 1, 18 и 24, об</w:t>
      </w:r>
      <w:r w:rsidRPr="008127F8">
        <w:rPr>
          <w:rFonts w:ascii="Times New Roman" w:hAnsi="Times New Roman"/>
          <w:color w:val="000000" w:themeColor="text1"/>
          <w:sz w:val="16"/>
          <w:szCs w:val="16"/>
        </w:rPr>
        <w:softHyphen/>
        <w:t>разовывавших компактный авиакомплекс, дислоцированный в ближайших окрестностях Куйбышева. Для этого предпо</w:t>
      </w:r>
      <w:r w:rsidRPr="008127F8">
        <w:rPr>
          <w:rFonts w:ascii="Times New Roman" w:hAnsi="Times New Roman"/>
          <w:color w:val="000000" w:themeColor="text1"/>
          <w:sz w:val="16"/>
          <w:szCs w:val="16"/>
        </w:rPr>
        <w:softHyphen/>
        <w:t>лагалось на базе детской трудколонии и лагерного пункта УИТЛК организовать особый Юнгородок, включающий в себя 6 РУ — 5 для заводов № 1 и 24 и 1 — для завода № 18 (Военно-промышленный комплекс Куйбышевской области... С. 42—43) (12011).</w:t>
      </w:r>
    </w:p>
    <w:p w14:paraId="1AD888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BA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пулемет УБ приняли на вооружение (215,25).</w:t>
      </w:r>
    </w:p>
    <w:p w14:paraId="0E1A8A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DE6B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Крыму, под Керчью проходили войсковые испытания первые Пе-2 с крупнокалиберной установкой ФТ. Новое оружие сразу продемонстрировало свою высокую эффективность. Защищенные бронестеклом в козырьке немецкие летчики-истребители привыкли подходить сзади к Пе-2 на 100-150 м, расстреливая хвостовое оперение. Крупнокалиберный же пулемет, имевший значительно большую эффективность по сравнению со ШКАСом, на такой дистанции наносил истребителю мощнейшие повреждения. В первые же дни несколько немецких машин были сбиты.</w:t>
      </w:r>
    </w:p>
    <w:p w14:paraId="6699280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ФТ разработала на заводе № 22 группа конструкторов во главе с Л.Л.Селяковым по собственной инициативе. ФТ означает "фронтовое требование". Рассказывают, что реальным толчком к замене ШКАСов на более мощный 12,7-мм пулемет БТ послужили возмущенные высказывания одного из летчиков строевой части, приехавшего на завод № 22 для получения новой машины, в ходе традиционного митинга. Стоявший в заднем ряду Селяков услышал, как молодой пилот с горечью сказал: "Надоела эта болтовня. На фронте нас сбивают как цыплят, а тут..." В ходе завязавшегося разговора выяснилось, что усиление огневой мощи совершенно необходимо. Селяков с тремя сотрудниками ОКО-22 в кратчайший срок сконструировал новую шкворневую стрелковую установку, частично использовав детали и узлы люковой МВ-2.</w:t>
      </w:r>
    </w:p>
    <w:p w14:paraId="1CA0EF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Монтировалась она на усиленном шпангоуте, выполнявшем роль противокапотажной рамы кабины. Шпангоут дополнительно усиливался подкосами, через косынки крепившимися к фюзеляжу. Чтобы разместить более громоздкую ФТ и обеспечить ей хорошие углы обстрела, вырез в фюзеляже в задней части кабины увеличили. БТ с его длинным стволом теперь не удавалось укладывать в походном положении в фюзеляж как ШКАС на ТСС-1. Поэтому заднюю, убиравшуюся ранее вниз секцию фонаря ("черепаху") просто сняли. Ликвидировали и зализ, находившийся на стыке "черепахи" с фюзеляжем, а часть бензобака № 1 закрыли сверху легкосъемным капотом. Все эти мероприятия привели к потере 3-5 км/час в скорости горизонтального полета на разных высотах. Конечно, экипажу, особенно штурману, стало менее уютно (а зимой просто сильно дуло), но за увеличение огневой мощи приходилось чем-то платить.</w:t>
      </w:r>
    </w:p>
    <w:p w14:paraId="64FDD3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Установка ФТ прошла заводские испытания и с санкции директора завода В.А.Окулова начала монтироваться на части серийных Пе-2. Крупнокалиберное оружие существенно увеличило радиус зоны эффективного огня в верхней полусфере с самого уязвимого направления вверх-назад. Простреливаемые секторы в пространстве у ФТ были такими же, как и у ТСС-1: вверх 45°, вправо-влево - по 45° и вниз-в сторону - 6°. Запас патронов составлял 200 шт. в </w:t>
      </w:r>
      <w:proofErr w:type="gramStart"/>
      <w:r w:rsidRPr="008127F8">
        <w:rPr>
          <w:rFonts w:ascii="Times New Roman" w:hAnsi="Times New Roman"/>
          <w:color w:val="000000" w:themeColor="text1"/>
          <w:sz w:val="16"/>
          <w:szCs w:val="16"/>
        </w:rPr>
        <w:t>двух сменных</w:t>
      </w:r>
      <w:proofErr w:type="gramEnd"/>
      <w:r w:rsidRPr="008127F8">
        <w:rPr>
          <w:rFonts w:ascii="Times New Roman" w:hAnsi="Times New Roman"/>
          <w:color w:val="000000" w:themeColor="text1"/>
          <w:sz w:val="16"/>
          <w:szCs w:val="16"/>
        </w:rPr>
        <w:t xml:space="preserve"> ящиках. Главным достоинством ФТ являлась простота ее монтажа на самолет. Конструкция планера переделывалась минимально, т. е. внедрение ФТ практически не сказывалось на количестве выпускаемых Пе-2.</w:t>
      </w:r>
    </w:p>
    <w:p w14:paraId="789963B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Казалось, что найден идеальный вариант улучшения вооружения бомбардировщика, но неожиданно возникла конфликтная ситуация. С одной стороны, летчики-фронтовики, прибывавшие на завод за новыми самолетами, высоко оценивали ФТ и наотрез отказывались принимать машины, оборудованные по старому образцу. Дело иногда доходило до угроз оружием - экипажи требовали только самолеты с ФТ. С другой стороны, руководство 10-го Главного управления НКАП во главе с Б.Н.Тарасовичем категорически выступило против внедрения в серию установки, не прошедшей государственных испытаний. Действия работников завода № 22 были расценены как возмутительная самодеятельность. Руководству завода и опытно-конструкторского отдела даже угрожали военным трибуналом.</w:t>
      </w:r>
    </w:p>
    <w:p w14:paraId="2F925A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поддержку инициативы Селякова и его коллег выступил парторг ОКО А.А.Трандафилов, специалист-конструктор из бригады вооружения. Он связался с отделом ЦК ВКП(б), курировавшим самолетостроение. С помощью последнего и при поддержке военных прибывшему в Москву Селякову удалось "пробить" формальное решение о запуске ФТ в серию (3542).</w:t>
      </w:r>
    </w:p>
    <w:p w14:paraId="1CB2AB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6D0C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1943 г. главный инже</w:t>
      </w:r>
      <w:r w:rsidRPr="008127F8">
        <w:rPr>
          <w:rFonts w:ascii="Times New Roman" w:hAnsi="Times New Roman"/>
          <w:color w:val="000000" w:themeColor="text1"/>
          <w:sz w:val="16"/>
          <w:szCs w:val="16"/>
        </w:rPr>
        <w:softHyphen/>
        <w:t>нер 1-й воздушной армии полковник П.Невинный докладывал главному инженеру ВВС КА генерал-лейтенан</w:t>
      </w:r>
      <w:r w:rsidRPr="008127F8">
        <w:rPr>
          <w:rFonts w:ascii="Times New Roman" w:hAnsi="Times New Roman"/>
          <w:color w:val="000000" w:themeColor="text1"/>
          <w:sz w:val="16"/>
          <w:szCs w:val="16"/>
        </w:rPr>
        <w:softHyphen/>
        <w:t>ту ИАС А.Репину: «В воздушном бою 19 марта 1943 г. во 2-м бап истре</w:t>
      </w:r>
      <w:r w:rsidRPr="008127F8">
        <w:rPr>
          <w:rFonts w:ascii="Times New Roman" w:hAnsi="Times New Roman"/>
          <w:color w:val="000000" w:themeColor="text1"/>
          <w:sz w:val="16"/>
          <w:szCs w:val="16"/>
        </w:rPr>
        <w:softHyphen/>
        <w:t>бители ФВ-190 подбили самолёт Пе-2 (заводской №8/137) с установкой ВУБ-1. Опросом установлено, что штурман отказался прыгать через нижний люк и перешёл в кабину лёт</w:t>
      </w:r>
      <w:r w:rsidRPr="008127F8">
        <w:rPr>
          <w:rFonts w:ascii="Times New Roman" w:hAnsi="Times New Roman"/>
          <w:color w:val="000000" w:themeColor="text1"/>
          <w:sz w:val="16"/>
          <w:szCs w:val="16"/>
        </w:rPr>
        <w:softHyphen/>
        <w:t>чика. Аварийной ручкой сбросить колпак фонаря не удалось. Самолёт в это время не управлялся и пикиро</w:t>
      </w:r>
      <w:r w:rsidRPr="008127F8">
        <w:rPr>
          <w:rFonts w:ascii="Times New Roman" w:hAnsi="Times New Roman"/>
          <w:color w:val="000000" w:themeColor="text1"/>
          <w:sz w:val="16"/>
          <w:szCs w:val="16"/>
        </w:rPr>
        <w:softHyphen/>
        <w:t>вал с углом 60-70°. Совместными усилиями лётчика и штурмана уда</w:t>
      </w:r>
      <w:r w:rsidRPr="008127F8">
        <w:rPr>
          <w:rFonts w:ascii="Times New Roman" w:hAnsi="Times New Roman"/>
          <w:color w:val="000000" w:themeColor="text1"/>
          <w:sz w:val="16"/>
          <w:szCs w:val="16"/>
        </w:rPr>
        <w:softHyphen/>
        <w:t>лось сбросить колпак. При этом лёт</w:t>
      </w:r>
      <w:r w:rsidRPr="008127F8">
        <w:rPr>
          <w:rFonts w:ascii="Times New Roman" w:hAnsi="Times New Roman"/>
          <w:color w:val="000000" w:themeColor="text1"/>
          <w:sz w:val="16"/>
          <w:szCs w:val="16"/>
        </w:rPr>
        <w:softHyphen/>
        <w:t>чика выбросило на экран ВУБ-1. Его ноги остались в кабине, а самого его прижало к экрану с такой силой, что он не мог выброситься. Тогда лётчик открыл парашют, и его сдернуло с экрана. Штурман не смог выбраться из кабины и погиб. В тот же день при подобных обстоятельствах погиб</w:t>
      </w:r>
      <w:r w:rsidRPr="008127F8">
        <w:rPr>
          <w:rFonts w:ascii="Times New Roman" w:hAnsi="Times New Roman"/>
          <w:color w:val="000000" w:themeColor="text1"/>
          <w:sz w:val="16"/>
          <w:szCs w:val="16"/>
        </w:rPr>
        <w:softHyphen/>
        <w:t>ли лётчики и штурман в 261-м бап».</w:t>
      </w:r>
    </w:p>
    <w:p w14:paraId="3C64693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Отмечались случаи, когда пытав</w:t>
      </w:r>
      <w:r w:rsidRPr="008127F8">
        <w:rPr>
          <w:rFonts w:ascii="Times New Roman" w:hAnsi="Times New Roman"/>
          <w:color w:val="000000" w:themeColor="text1"/>
          <w:sz w:val="16"/>
          <w:szCs w:val="16"/>
        </w:rPr>
        <w:softHyphen/>
        <w:t>шихся покинуть самолёт прижимало набегающим потоком к антенной стойке и дуге аэрокомпенсатора (именно это обусловило перенос стойки вперёд на козырёк и сброс компенсатора вместе с фонарём, введённые с 205-й серии). Сам ком</w:t>
      </w:r>
      <w:r w:rsidRPr="008127F8">
        <w:rPr>
          <w:rFonts w:ascii="Times New Roman" w:hAnsi="Times New Roman"/>
          <w:color w:val="000000" w:themeColor="text1"/>
          <w:sz w:val="16"/>
          <w:szCs w:val="16"/>
        </w:rPr>
        <w:softHyphen/>
        <w:t>пенсатор получил одно центральное «крылышко» вместо двух, разнесён</w:t>
      </w:r>
      <w:r w:rsidRPr="008127F8">
        <w:rPr>
          <w:rFonts w:ascii="Times New Roman" w:hAnsi="Times New Roman"/>
          <w:color w:val="000000" w:themeColor="text1"/>
          <w:sz w:val="16"/>
          <w:szCs w:val="16"/>
        </w:rPr>
        <w:softHyphen/>
        <w:t>ных в стороны, а его громоздкие дуги заменили компактным кронштейном, не мешавшим сбросу фонаря.</w:t>
      </w:r>
    </w:p>
    <w:p w14:paraId="7326282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Реакция ОКО завода №22 (един</w:t>
      </w:r>
      <w:r w:rsidRPr="008127F8">
        <w:rPr>
          <w:rFonts w:ascii="Times New Roman" w:hAnsi="Times New Roman"/>
          <w:color w:val="000000" w:themeColor="text1"/>
          <w:sz w:val="16"/>
          <w:szCs w:val="16"/>
        </w:rPr>
        <w:softHyphen/>
        <w:t>ственного предприятия, производив</w:t>
      </w:r>
      <w:r w:rsidRPr="008127F8">
        <w:rPr>
          <w:rFonts w:ascii="Times New Roman" w:hAnsi="Times New Roman"/>
          <w:color w:val="000000" w:themeColor="text1"/>
          <w:sz w:val="16"/>
          <w:szCs w:val="16"/>
        </w:rPr>
        <w:softHyphen/>
        <w:t>шего «пешки» весной 1943 г.) оказа</w:t>
      </w:r>
      <w:r w:rsidRPr="008127F8">
        <w:rPr>
          <w:rFonts w:ascii="Times New Roman" w:hAnsi="Times New Roman"/>
          <w:color w:val="000000" w:themeColor="text1"/>
          <w:sz w:val="16"/>
          <w:szCs w:val="16"/>
        </w:rPr>
        <w:softHyphen/>
        <w:t>лась похвально быстрой. В мае на испытания в НИИ ВВС передали Пе-2 (заводской №7/187) с моторами М-105ПФ, оборудованный новой верхней стрелковой установкой ФЗ и увеличенным фонарём кабины пи</w:t>
      </w:r>
      <w:r w:rsidRPr="008127F8">
        <w:rPr>
          <w:rFonts w:ascii="Times New Roman" w:hAnsi="Times New Roman"/>
          <w:color w:val="000000" w:themeColor="text1"/>
          <w:sz w:val="16"/>
          <w:szCs w:val="16"/>
        </w:rPr>
        <w:softHyphen/>
        <w:t>лота. Установка ФЗ (фронтовое за</w:t>
      </w:r>
      <w:r w:rsidRPr="008127F8">
        <w:rPr>
          <w:rFonts w:ascii="Times New Roman" w:hAnsi="Times New Roman"/>
          <w:color w:val="000000" w:themeColor="text1"/>
          <w:sz w:val="16"/>
          <w:szCs w:val="16"/>
        </w:rPr>
        <w:softHyphen/>
        <w:t>дание) представляла собой враща</w:t>
      </w:r>
      <w:r w:rsidRPr="008127F8">
        <w:rPr>
          <w:rFonts w:ascii="Times New Roman" w:hAnsi="Times New Roman"/>
          <w:color w:val="000000" w:themeColor="text1"/>
          <w:sz w:val="16"/>
          <w:szCs w:val="16"/>
        </w:rPr>
        <w:softHyphen/>
        <w:t>ющуюся турель с пулемётом УБТ, ук</w:t>
      </w:r>
      <w:r w:rsidRPr="008127F8">
        <w:rPr>
          <w:rFonts w:ascii="Times New Roman" w:hAnsi="Times New Roman"/>
          <w:color w:val="000000" w:themeColor="text1"/>
          <w:sz w:val="16"/>
          <w:szCs w:val="16"/>
        </w:rPr>
        <w:softHyphen/>
        <w:t>реплённым на трубчатой траверсе. Питание пулемёта - магазинное (лен</w:t>
      </w:r>
      <w:r w:rsidRPr="008127F8">
        <w:rPr>
          <w:rFonts w:ascii="Times New Roman" w:hAnsi="Times New Roman"/>
          <w:color w:val="000000" w:themeColor="text1"/>
          <w:sz w:val="16"/>
          <w:szCs w:val="16"/>
        </w:rPr>
        <w:softHyphen/>
        <w:t>ты в коробках), два из них по 50 пат</w:t>
      </w:r>
      <w:r w:rsidRPr="008127F8">
        <w:rPr>
          <w:rFonts w:ascii="Times New Roman" w:hAnsi="Times New Roman"/>
          <w:color w:val="000000" w:themeColor="text1"/>
          <w:sz w:val="16"/>
          <w:szCs w:val="16"/>
        </w:rPr>
        <w:softHyphen/>
        <w:t>ронов, а третий — 90. Благодаря это</w:t>
      </w:r>
      <w:r w:rsidRPr="008127F8">
        <w:rPr>
          <w:rFonts w:ascii="Times New Roman" w:hAnsi="Times New Roman"/>
          <w:color w:val="000000" w:themeColor="text1"/>
          <w:sz w:val="16"/>
          <w:szCs w:val="16"/>
        </w:rPr>
        <w:softHyphen/>
        <w:t>му и лёгкому ходу турели улучшилась маневренность установки (правда, смена магазина требовала до 30 с).</w:t>
      </w:r>
    </w:p>
    <w:p w14:paraId="19DFDFC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Больше всего лётчикам понравил</w:t>
      </w:r>
      <w:r w:rsidRPr="008127F8">
        <w:rPr>
          <w:rFonts w:ascii="Times New Roman" w:hAnsi="Times New Roman"/>
          <w:color w:val="000000" w:themeColor="text1"/>
          <w:sz w:val="16"/>
          <w:szCs w:val="16"/>
        </w:rPr>
        <w:softHyphen/>
        <w:t>ся «дутый» фонарь, значительно улуч</w:t>
      </w:r>
      <w:r w:rsidRPr="008127F8">
        <w:rPr>
          <w:rFonts w:ascii="Times New Roman" w:hAnsi="Times New Roman"/>
          <w:color w:val="000000" w:themeColor="text1"/>
          <w:sz w:val="16"/>
          <w:szCs w:val="16"/>
        </w:rPr>
        <w:softHyphen/>
        <w:t>шивший обзор и условия работы эки</w:t>
      </w:r>
      <w:r w:rsidRPr="008127F8">
        <w:rPr>
          <w:rFonts w:ascii="Times New Roman" w:hAnsi="Times New Roman"/>
          <w:color w:val="000000" w:themeColor="text1"/>
          <w:sz w:val="16"/>
          <w:szCs w:val="16"/>
        </w:rPr>
        <w:softHyphen/>
        <w:t>пажа. Удачно закапотированный эк</w:t>
      </w:r>
      <w:r w:rsidRPr="008127F8">
        <w:rPr>
          <w:rFonts w:ascii="Times New Roman" w:hAnsi="Times New Roman"/>
          <w:color w:val="000000" w:themeColor="text1"/>
          <w:sz w:val="16"/>
          <w:szCs w:val="16"/>
        </w:rPr>
        <w:softHyphen/>
        <w:t>ран ФЗ хорошо вписался в обводы и имел лучшую аэрокомпенсацию, положительно сказавшуюся на вре</w:t>
      </w:r>
      <w:r w:rsidRPr="008127F8">
        <w:rPr>
          <w:rFonts w:ascii="Times New Roman" w:hAnsi="Times New Roman"/>
          <w:color w:val="000000" w:themeColor="text1"/>
          <w:sz w:val="16"/>
          <w:szCs w:val="16"/>
        </w:rPr>
        <w:softHyphen/>
        <w:t>мени разворота и секторах обстре</w:t>
      </w:r>
      <w:r w:rsidRPr="008127F8">
        <w:rPr>
          <w:rFonts w:ascii="Times New Roman" w:hAnsi="Times New Roman"/>
          <w:color w:val="000000" w:themeColor="text1"/>
          <w:sz w:val="16"/>
          <w:szCs w:val="16"/>
        </w:rPr>
        <w:softHyphen/>
        <w:t>ла. Конструкторы сумели восстано</w:t>
      </w:r>
      <w:r w:rsidRPr="008127F8">
        <w:rPr>
          <w:rFonts w:ascii="Times New Roman" w:hAnsi="Times New Roman"/>
          <w:color w:val="000000" w:themeColor="text1"/>
          <w:sz w:val="16"/>
          <w:szCs w:val="16"/>
        </w:rPr>
        <w:softHyphen/>
        <w:t>вить силовую противокапотажную раму. Удачным оказалось и решение сбрасываемой части: теперь лётчику достаточно было потянуть за ручку наверху, чтобы половинки фонаря сорвались с фиксаторов, распахну</w:t>
      </w:r>
      <w:r w:rsidRPr="008127F8">
        <w:rPr>
          <w:rFonts w:ascii="Times New Roman" w:hAnsi="Times New Roman"/>
          <w:color w:val="000000" w:themeColor="text1"/>
          <w:sz w:val="16"/>
          <w:szCs w:val="16"/>
        </w:rPr>
        <w:softHyphen/>
        <w:t>лись и улетели в стороны, после чего можно было перевалиться за борт прямо с сиденья.</w:t>
      </w:r>
    </w:p>
    <w:p w14:paraId="3C97926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проверки в НИИ ВВС Пе-2 (заводской №7/187) передали для продолжения испытаний на НИПАВ, где вскрыли ряд дефектов установки ФЗ. В ноябре 1943 г. на повторные испытания направили машину (завод</w:t>
      </w:r>
      <w:r w:rsidRPr="008127F8">
        <w:rPr>
          <w:rFonts w:ascii="Times New Roman" w:hAnsi="Times New Roman"/>
          <w:color w:val="000000" w:themeColor="text1"/>
          <w:sz w:val="16"/>
          <w:szCs w:val="16"/>
        </w:rPr>
        <w:softHyphen/>
        <w:t>ской №3/198) с доработанным фо</w:t>
      </w:r>
      <w:r w:rsidRPr="008127F8">
        <w:rPr>
          <w:rFonts w:ascii="Times New Roman" w:hAnsi="Times New Roman"/>
          <w:color w:val="000000" w:themeColor="text1"/>
          <w:sz w:val="16"/>
          <w:szCs w:val="16"/>
        </w:rPr>
        <w:softHyphen/>
        <w:t>нарём кабины лётчика и установкой ФЗ. На этот раз нововведения полу</w:t>
      </w:r>
      <w:r w:rsidRPr="008127F8">
        <w:rPr>
          <w:rFonts w:ascii="Times New Roman" w:hAnsi="Times New Roman"/>
          <w:color w:val="000000" w:themeColor="text1"/>
          <w:sz w:val="16"/>
          <w:szCs w:val="16"/>
        </w:rPr>
        <w:softHyphen/>
        <w:t>чили безоговорочную поддержку во</w:t>
      </w:r>
      <w:r w:rsidRPr="008127F8">
        <w:rPr>
          <w:rFonts w:ascii="Times New Roman" w:hAnsi="Times New Roman"/>
          <w:color w:val="000000" w:themeColor="text1"/>
          <w:sz w:val="16"/>
          <w:szCs w:val="16"/>
        </w:rPr>
        <w:softHyphen/>
        <w:t>енных и были рекомендованы в се</w:t>
      </w:r>
      <w:r w:rsidRPr="008127F8">
        <w:rPr>
          <w:rFonts w:ascii="Times New Roman" w:hAnsi="Times New Roman"/>
          <w:color w:val="000000" w:themeColor="text1"/>
          <w:sz w:val="16"/>
          <w:szCs w:val="16"/>
        </w:rPr>
        <w:softHyphen/>
        <w:t>рию. Самолёт Пе-2Б, считавшийся эталоном на 1944 г., также оснащали новым фонарём с ФЗ. И вот тут началась одна из самых непригляд</w:t>
      </w:r>
      <w:r w:rsidRPr="008127F8">
        <w:rPr>
          <w:rFonts w:ascii="Times New Roman" w:hAnsi="Times New Roman"/>
          <w:color w:val="000000" w:themeColor="text1"/>
          <w:sz w:val="16"/>
          <w:szCs w:val="16"/>
        </w:rPr>
        <w:softHyphen/>
        <w:t>ных страниц в истории «пешки».</w:t>
      </w:r>
    </w:p>
    <w:p w14:paraId="1DD8687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казалось, понимали, что ФЗ радикально повысит обороноспособ</w:t>
      </w:r>
      <w:r w:rsidRPr="008127F8">
        <w:rPr>
          <w:rFonts w:ascii="Times New Roman" w:hAnsi="Times New Roman"/>
          <w:color w:val="000000" w:themeColor="text1"/>
          <w:sz w:val="16"/>
          <w:szCs w:val="16"/>
        </w:rPr>
        <w:softHyphen/>
        <w:t>ность самолёта, улучшит условия работы пилота и штурмана, безопас</w:t>
      </w:r>
      <w:r w:rsidRPr="008127F8">
        <w:rPr>
          <w:rFonts w:ascii="Times New Roman" w:hAnsi="Times New Roman"/>
          <w:color w:val="000000" w:themeColor="text1"/>
          <w:sz w:val="16"/>
          <w:szCs w:val="16"/>
        </w:rPr>
        <w:softHyphen/>
        <w:t>ность экипажа. Но дело не двигалось. Наркомат авиапромышленности не разрешал внедрять установку (опа</w:t>
      </w:r>
      <w:r w:rsidRPr="008127F8">
        <w:rPr>
          <w:rFonts w:ascii="Times New Roman" w:hAnsi="Times New Roman"/>
          <w:color w:val="000000" w:themeColor="text1"/>
          <w:sz w:val="16"/>
          <w:szCs w:val="16"/>
        </w:rPr>
        <w:softHyphen/>
        <w:t>саясь срыва плановых заданий), за</w:t>
      </w:r>
      <w:r w:rsidRPr="008127F8">
        <w:rPr>
          <w:rFonts w:ascii="Times New Roman" w:hAnsi="Times New Roman"/>
          <w:color w:val="000000" w:themeColor="text1"/>
          <w:sz w:val="16"/>
          <w:szCs w:val="16"/>
        </w:rPr>
        <w:softHyphen/>
        <w:t>водские специалисты не решались повторить опыт с несанкционирован</w:t>
      </w:r>
      <w:r w:rsidRPr="008127F8">
        <w:rPr>
          <w:rFonts w:ascii="Times New Roman" w:hAnsi="Times New Roman"/>
          <w:color w:val="000000" w:themeColor="text1"/>
          <w:sz w:val="16"/>
          <w:szCs w:val="16"/>
        </w:rPr>
        <w:softHyphen/>
        <w:t>ным внедрением ФТ (тогда директор завода В.Окулов и главный конструк</w:t>
      </w:r>
      <w:r w:rsidRPr="008127F8">
        <w:rPr>
          <w:rFonts w:ascii="Times New Roman" w:hAnsi="Times New Roman"/>
          <w:color w:val="000000" w:themeColor="text1"/>
          <w:sz w:val="16"/>
          <w:szCs w:val="16"/>
        </w:rPr>
        <w:softHyphen/>
        <w:t>тор А.Изаксон едва не поплатились за самовольство), а руководство ВВС КА как-то «очень скромно» настаи</w:t>
      </w:r>
      <w:r w:rsidRPr="008127F8">
        <w:rPr>
          <w:rFonts w:ascii="Times New Roman" w:hAnsi="Times New Roman"/>
          <w:color w:val="000000" w:themeColor="text1"/>
          <w:sz w:val="16"/>
          <w:szCs w:val="16"/>
        </w:rPr>
        <w:softHyphen/>
        <w:t>вало на своём (вероятно, оно тоже опасалось даже временного сниже</w:t>
      </w:r>
      <w:r w:rsidRPr="008127F8">
        <w:rPr>
          <w:rFonts w:ascii="Times New Roman" w:hAnsi="Times New Roman"/>
          <w:color w:val="000000" w:themeColor="text1"/>
          <w:sz w:val="16"/>
          <w:szCs w:val="16"/>
        </w:rPr>
        <w:softHyphen/>
        <w:t>ния выпуска массового фронтового бомбардировщика). «Пешка» в кото</w:t>
      </w:r>
      <w:r w:rsidRPr="008127F8">
        <w:rPr>
          <w:rFonts w:ascii="Times New Roman" w:hAnsi="Times New Roman"/>
          <w:color w:val="000000" w:themeColor="text1"/>
          <w:sz w:val="16"/>
          <w:szCs w:val="16"/>
        </w:rPr>
        <w:softHyphen/>
        <w:t>рый раз оказалась в порочном кру</w:t>
      </w:r>
      <w:r w:rsidRPr="008127F8">
        <w:rPr>
          <w:rFonts w:ascii="Times New Roman" w:hAnsi="Times New Roman"/>
          <w:color w:val="000000" w:themeColor="text1"/>
          <w:sz w:val="16"/>
          <w:szCs w:val="16"/>
        </w:rPr>
        <w:softHyphen/>
        <w:t>гу: «хронический аврал» промышлен</w:t>
      </w:r>
      <w:r w:rsidRPr="008127F8">
        <w:rPr>
          <w:rFonts w:ascii="Times New Roman" w:hAnsi="Times New Roman"/>
          <w:color w:val="000000" w:themeColor="text1"/>
          <w:sz w:val="16"/>
          <w:szCs w:val="16"/>
        </w:rPr>
        <w:softHyphen/>
        <w:t>ности требовал «гнать план», воспол</w:t>
      </w:r>
      <w:r w:rsidRPr="008127F8">
        <w:rPr>
          <w:rFonts w:ascii="Times New Roman" w:hAnsi="Times New Roman"/>
          <w:color w:val="000000" w:themeColor="text1"/>
          <w:sz w:val="16"/>
          <w:szCs w:val="16"/>
        </w:rPr>
        <w:softHyphen/>
        <w:t>няя потери, а уменьшить их, каче</w:t>
      </w:r>
      <w:r w:rsidRPr="008127F8">
        <w:rPr>
          <w:rFonts w:ascii="Times New Roman" w:hAnsi="Times New Roman"/>
          <w:color w:val="000000" w:themeColor="text1"/>
          <w:sz w:val="16"/>
          <w:szCs w:val="16"/>
        </w:rPr>
        <w:softHyphen/>
        <w:t>ственно улучшив конструкцию, не давал неумолимый темп выпуска. В результате Пе-2 с установкой ФЗ так и не стал серийным, а десятки (если не сотни) экипажей поплатились за это своими жизнями.</w:t>
      </w:r>
    </w:p>
    <w:p w14:paraId="122C580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Кстати, усиление вооружения и возросшая масса Пе-2 не лучшим образом отозвались на ЛТХ: борто</w:t>
      </w:r>
      <w:r w:rsidRPr="008127F8">
        <w:rPr>
          <w:rFonts w:ascii="Times New Roman" w:hAnsi="Times New Roman"/>
          <w:color w:val="000000" w:themeColor="text1"/>
          <w:sz w:val="16"/>
          <w:szCs w:val="16"/>
        </w:rPr>
        <w:softHyphen/>
        <w:t>вой пулемёт и громоздкий экран ту</w:t>
      </w:r>
      <w:r w:rsidRPr="008127F8">
        <w:rPr>
          <w:rFonts w:ascii="Times New Roman" w:hAnsi="Times New Roman"/>
          <w:color w:val="000000" w:themeColor="text1"/>
          <w:sz w:val="16"/>
          <w:szCs w:val="16"/>
        </w:rPr>
        <w:softHyphen/>
        <w:t>рели ВУБ-1 отнимали 12-14 км/ч, ещё 16-20 км/ч «съедали» плохая отдел</w:t>
      </w:r>
      <w:r w:rsidRPr="008127F8">
        <w:rPr>
          <w:rFonts w:ascii="Times New Roman" w:hAnsi="Times New Roman"/>
          <w:color w:val="000000" w:themeColor="text1"/>
          <w:sz w:val="16"/>
          <w:szCs w:val="16"/>
        </w:rPr>
        <w:softHyphen/>
        <w:t>ка и низкое качество сборки, из-за чего самолёты выпуска второй по</w:t>
      </w:r>
      <w:r w:rsidRPr="008127F8">
        <w:rPr>
          <w:rFonts w:ascii="Times New Roman" w:hAnsi="Times New Roman"/>
          <w:color w:val="000000" w:themeColor="text1"/>
          <w:sz w:val="16"/>
          <w:szCs w:val="16"/>
        </w:rPr>
        <w:softHyphen/>
        <w:t>ловины 1942 г. в максимальной ско</w:t>
      </w:r>
      <w:r w:rsidRPr="008127F8">
        <w:rPr>
          <w:rFonts w:ascii="Times New Roman" w:hAnsi="Times New Roman"/>
          <w:color w:val="000000" w:themeColor="text1"/>
          <w:sz w:val="16"/>
          <w:szCs w:val="16"/>
        </w:rPr>
        <w:softHyphen/>
        <w:t>рости более чем на 40 км/ч уступа</w:t>
      </w:r>
      <w:r w:rsidRPr="008127F8">
        <w:rPr>
          <w:rFonts w:ascii="Times New Roman" w:hAnsi="Times New Roman"/>
          <w:color w:val="000000" w:themeColor="text1"/>
          <w:sz w:val="16"/>
          <w:szCs w:val="16"/>
        </w:rPr>
        <w:softHyphen/>
        <w:t>ли машинам августа 1941 г. Пред</w:t>
      </w:r>
      <w:r w:rsidRPr="008127F8">
        <w:rPr>
          <w:rFonts w:ascii="Times New Roman" w:hAnsi="Times New Roman"/>
          <w:color w:val="000000" w:themeColor="text1"/>
          <w:sz w:val="16"/>
          <w:szCs w:val="16"/>
        </w:rPr>
        <w:softHyphen/>
        <w:t>принятое с 205-й серии улучшение аэродинамики (ещё раньше, со 179-й серии, убрали в крыло замки и упо</w:t>
      </w:r>
      <w:r w:rsidRPr="008127F8">
        <w:rPr>
          <w:rFonts w:ascii="Times New Roman" w:hAnsi="Times New Roman"/>
          <w:color w:val="000000" w:themeColor="text1"/>
          <w:sz w:val="16"/>
          <w:szCs w:val="16"/>
        </w:rPr>
        <w:softHyphen/>
        <w:t>ры крыльевых бомбодержателей) позволили подтянуть скорость лишь до 520 км/ч. Но «пешка» уже не могла тягаться с немецкими истре</w:t>
      </w:r>
      <w:r w:rsidRPr="008127F8">
        <w:rPr>
          <w:rFonts w:ascii="Times New Roman" w:hAnsi="Times New Roman"/>
          <w:color w:val="000000" w:themeColor="text1"/>
          <w:sz w:val="16"/>
          <w:szCs w:val="16"/>
        </w:rPr>
        <w:softHyphen/>
        <w:t>бителями, ЛТХ и вооружение кото</w:t>
      </w:r>
      <w:r w:rsidRPr="008127F8">
        <w:rPr>
          <w:rFonts w:ascii="Times New Roman" w:hAnsi="Times New Roman"/>
          <w:color w:val="000000" w:themeColor="text1"/>
          <w:sz w:val="16"/>
          <w:szCs w:val="16"/>
        </w:rPr>
        <w:softHyphen/>
        <w:t>рых заметно улучшились. РУУ190А-4 и В1109С-6 легко настигали Пе-2, даже имеющего преимущество в вы</w:t>
      </w:r>
      <w:r w:rsidRPr="008127F8">
        <w:rPr>
          <w:rFonts w:ascii="Times New Roman" w:hAnsi="Times New Roman"/>
          <w:color w:val="000000" w:themeColor="text1"/>
          <w:sz w:val="16"/>
          <w:szCs w:val="16"/>
        </w:rPr>
        <w:softHyphen/>
        <w:t>соте.</w:t>
      </w:r>
    </w:p>
    <w:p w14:paraId="4A3AB4C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Впрочем, при хорошей слётанно</w:t>
      </w:r>
      <w:r w:rsidRPr="008127F8">
        <w:rPr>
          <w:rFonts w:ascii="Times New Roman" w:hAnsi="Times New Roman"/>
          <w:color w:val="000000" w:themeColor="text1"/>
          <w:sz w:val="16"/>
          <w:szCs w:val="16"/>
        </w:rPr>
        <w:softHyphen/>
        <w:t>сти экипажам «пешек» не раз удава</w:t>
      </w:r>
      <w:r w:rsidRPr="008127F8">
        <w:rPr>
          <w:rFonts w:ascii="Times New Roman" w:hAnsi="Times New Roman"/>
          <w:color w:val="000000" w:themeColor="text1"/>
          <w:sz w:val="16"/>
          <w:szCs w:val="16"/>
        </w:rPr>
        <w:softHyphen/>
        <w:t>лось отбиться от истребителей. В сентябре 1942 г. одиночный развед</w:t>
      </w:r>
      <w:r w:rsidRPr="008127F8">
        <w:rPr>
          <w:rFonts w:ascii="Times New Roman" w:hAnsi="Times New Roman"/>
          <w:color w:val="000000" w:themeColor="text1"/>
          <w:sz w:val="16"/>
          <w:szCs w:val="16"/>
        </w:rPr>
        <w:softHyphen/>
        <w:t xml:space="preserve">чик Пе-2 Л.Боброва перехватила пара </w:t>
      </w:r>
      <w:proofErr w:type="gramStart"/>
      <w:r w:rsidRPr="008127F8">
        <w:rPr>
          <w:rFonts w:ascii="Times New Roman" w:hAnsi="Times New Roman"/>
          <w:color w:val="000000" w:themeColor="text1"/>
          <w:sz w:val="16"/>
          <w:szCs w:val="16"/>
        </w:rPr>
        <w:t>В( 109</w:t>
      </w:r>
      <w:proofErr w:type="gramEnd"/>
      <w:r w:rsidRPr="008127F8">
        <w:rPr>
          <w:rFonts w:ascii="Times New Roman" w:hAnsi="Times New Roman"/>
          <w:color w:val="000000" w:themeColor="text1"/>
          <w:sz w:val="16"/>
          <w:szCs w:val="16"/>
        </w:rPr>
        <w:t xml:space="preserve"> в районе Сталинграда над аэродромом Тузов. Обнаружив, что пулемёт штурмана отказал, нем</w:t>
      </w:r>
      <w:r w:rsidRPr="008127F8">
        <w:rPr>
          <w:rFonts w:ascii="Times New Roman" w:hAnsi="Times New Roman"/>
          <w:color w:val="000000" w:themeColor="text1"/>
          <w:sz w:val="16"/>
          <w:szCs w:val="16"/>
        </w:rPr>
        <w:softHyphen/>
        <w:t>цы пристроились сбоку, жестами ука</w:t>
      </w:r>
      <w:r w:rsidRPr="008127F8">
        <w:rPr>
          <w:rFonts w:ascii="Times New Roman" w:hAnsi="Times New Roman"/>
          <w:color w:val="000000" w:themeColor="text1"/>
          <w:sz w:val="16"/>
          <w:szCs w:val="16"/>
        </w:rPr>
        <w:softHyphen/>
        <w:t>зывая на безысходность положения советского самолёта. В ответ коман</w:t>
      </w:r>
      <w:r w:rsidRPr="008127F8">
        <w:rPr>
          <w:rFonts w:ascii="Times New Roman" w:hAnsi="Times New Roman"/>
          <w:color w:val="000000" w:themeColor="text1"/>
          <w:sz w:val="16"/>
          <w:szCs w:val="16"/>
        </w:rPr>
        <w:softHyphen/>
        <w:t>дир бросил машину в сторону, под</w:t>
      </w:r>
      <w:r w:rsidRPr="008127F8">
        <w:rPr>
          <w:rFonts w:ascii="Times New Roman" w:hAnsi="Times New Roman"/>
          <w:color w:val="000000" w:themeColor="text1"/>
          <w:sz w:val="16"/>
          <w:szCs w:val="16"/>
        </w:rPr>
        <w:softHyphen/>
        <w:t>ставив брюхо ведущего «мессерш-митта» под очередь заранее изготовившегося стрелка, и тот расстрелял немца в упор. Ведомый, шокирован</w:t>
      </w:r>
      <w:r w:rsidRPr="008127F8">
        <w:rPr>
          <w:rFonts w:ascii="Times New Roman" w:hAnsi="Times New Roman"/>
          <w:color w:val="000000" w:themeColor="text1"/>
          <w:sz w:val="16"/>
          <w:szCs w:val="16"/>
        </w:rPr>
        <w:softHyphen/>
        <w:t>ный результатом, вышел из боя (11432).</w:t>
      </w:r>
    </w:p>
    <w:p w14:paraId="4935154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7DEB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83-й серии ФТ стали монтировать на некоторых Пе-2, выпускаемых заводом № 22, а с 87-й серии - на всех машинах. Завод № 22 изготовил около 1000 установок ФТ.</w:t>
      </w:r>
    </w:p>
    <w:p w14:paraId="3DAD77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позднее ФТ стали делать и на заводе в городе Савелове, там их выпустили 1010 шт. Часть из этих установок ставили и на Пе-2 ранних серий. Изготовлялись специальные заводские доработочные комплекты, которые использовали полевые авиаремонтные мастерские, заводские бригады и оружейники непосредственно в боевых частях на фронте. Массово Пе-2 с ФТ впервые применили во время боев в районе Воронежа (3542).</w:t>
      </w:r>
    </w:p>
    <w:p w14:paraId="42D3356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4890F"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 xml:space="preserve">В апреле 1942г бомбардировки Москвы прекратились. Если в марте было зафиксировано 5 налетов, то в апреле и мае 1942г было зафиксировано только по 1 налету. Необходимость в барражирующем истребителе отпала. А уменьшенная бомбовая нагрузка была уже не в пользу выпуска Пе-3бис. Возможно, документом, </w:t>
      </w:r>
      <w:r w:rsidRPr="008127F8">
        <w:rPr>
          <w:rFonts w:ascii="Times New Roman" w:hAnsi="Times New Roman"/>
          <w:color w:val="000000" w:themeColor="text1"/>
          <w:sz w:val="16"/>
          <w:szCs w:val="16"/>
          <w:shd w:val="clear" w:color="auto" w:fill="FFFFFF"/>
        </w:rPr>
        <w:lastRenderedPageBreak/>
        <w:t>переводящим завод№39 на выпуск Пе-2, стало Постановление №1664 от 26.04.1942г «Об увеличении выпуска самолетов бомбардировочного типа». С текстом, к сожалению, так же ознакомиться не удалось. Задел по Пе-3бис, вероятно, был оставлен. А когда в августе 1942г, вышел приказ НКАП № 589с от 5.08.1942г. о прекращении производства Пе-2 и выпуске Ил-4, с августа до начала 1943г сначала доработали задел по Пе-2, а затем задел по Пе-3бис (19207).</w:t>
      </w:r>
    </w:p>
    <w:p w14:paraId="17FAD9B8"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0D7F367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бригада московского моторного завода и НИИ ВВС во главе с ви 3 ранга Б.К.Никитиным будучи в командировке в 236 иап ВВС Западного фронта (командир П.А.Антонец) по собственной инициативе перевела 7 Як-1 М-105ПА на повышенный наддув до 1050 мм. Летчикам нравилось. Потом машины N 15-49 и 16-43 испытали в НИИ ВВС (65,58).</w:t>
      </w:r>
    </w:p>
    <w:p w14:paraId="64587B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C46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на заводе 166 были подготовлены три серийных Ту-2 для проведения войсковых испытаний. Их передали в НИИ ВВС для эксплуатационно-технических исследований - первого этапа ВИ (1835,20).</w:t>
      </w:r>
    </w:p>
    <w:p w14:paraId="6D803D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8263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была закончена первая серия из 5 103ВС и в апреле-мае 1942 была выпущена вторая серия машин, полностью собранных из деталей, изготовленных на заводе 166 (1835,20).</w:t>
      </w:r>
    </w:p>
    <w:p w14:paraId="786F14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3EB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и-к Алферов предложил более совершенный стабилизатор для низких торпед из кровельного 0.5 мм железа с отбортовкой в 2 мм в форме цилиндра длинной 1600 мм и диаметром 450 мм. Отделялся инерционным механизмом в момент приводнения (1085,165).</w:t>
      </w:r>
    </w:p>
    <w:p w14:paraId="0C3F89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CAFC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в Молотове было расформировано ОКБ </w:t>
      </w:r>
      <w:proofErr w:type="gramStart"/>
      <w:r w:rsidRPr="008127F8">
        <w:rPr>
          <w:rFonts w:ascii="Times New Roman" w:hAnsi="Times New Roman"/>
          <w:color w:val="000000" w:themeColor="text1"/>
          <w:sz w:val="16"/>
          <w:szCs w:val="16"/>
        </w:rPr>
        <w:t>С.А.Кочеригина</w:t>
      </w:r>
      <w:proofErr w:type="gramEnd"/>
      <w:r w:rsidRPr="008127F8">
        <w:rPr>
          <w:rFonts w:ascii="Times New Roman" w:hAnsi="Times New Roman"/>
          <w:color w:val="000000" w:themeColor="text1"/>
          <w:sz w:val="16"/>
          <w:szCs w:val="16"/>
        </w:rPr>
        <w:t xml:space="preserve"> и он стал руководить БНТ (449).</w:t>
      </w:r>
    </w:p>
    <w:p w14:paraId="567011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539C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прекратили производство Су-2 в Перми, но на фронте использовался до конца 1943 (568,29).</w:t>
      </w:r>
    </w:p>
    <w:p w14:paraId="369DF3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DB5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в Москву вернулся эвакуированный было завод № 301, который приступил к ремонту ЛаГГов-3, а также к выпуску новых машин (11749).</w:t>
      </w:r>
    </w:p>
    <w:p w14:paraId="2B67F9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4E043"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года в Москву вернулся эвакуированный было завод № 301, который приступил к ремонту ЛаГГов-3, а также к выпуску новых машин (23548).</w:t>
      </w:r>
    </w:p>
    <w:p w14:paraId="5C9C2B27" w14:textId="77777777" w:rsidR="00924D84" w:rsidRPr="008A2E5A" w:rsidRDefault="00924D84" w:rsidP="00924D84">
      <w:pPr>
        <w:spacing w:after="0" w:line="240" w:lineRule="auto"/>
        <w:jc w:val="both"/>
        <w:rPr>
          <w:rFonts w:ascii="Times New Roman" w:hAnsi="Times New Roman"/>
          <w:color w:val="0070C0"/>
          <w:sz w:val="16"/>
          <w:szCs w:val="16"/>
        </w:rPr>
      </w:pPr>
    </w:p>
    <w:p w14:paraId="4EE844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после возвращения из эвакуации завода № 301, там, наряду с ремонтом доставленных с фронта машин, выпустили небольшую партию новых ЛаГГ-3, но серьезного влияния на его производство в целом это не оказало.</w:t>
      </w:r>
    </w:p>
    <w:p w14:paraId="3F89B6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Лавочкин боролся за свою машину, сделав упор на повышение тяговооруженности. Путей существовало два: использовать усовершенствованные варианты проверенного М-105 или переходить на принципиально иной двигатель. Работали по обоим направлениям.</w:t>
      </w:r>
    </w:p>
    <w:p w14:paraId="213C34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Кстати, недостаточная мощность М-105 сдерживала улучшение летных характеристик не только ЛаГГ-3, но и яковлевских истребителей. В начале 1942 г. по инициативе НИИ ВВС и ОКБ А.С. Яковлева мотор форсировали по наддуву. За счет некоторого снижения высотности удалось поднять взлетную мощность с 1020 до 1210 л.е., а номинальную с 1100 л.с. на высоте 2000 м до 1260 л.с. на 700 м.</w:t>
      </w:r>
    </w:p>
    <w:p w14:paraId="1DB3797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добавка оказалась весьма существенной. ЛаГГ-3 с М-105ПФ мог летать на 25 - 28 км/ч быстрее.</w:t>
      </w:r>
    </w:p>
    <w:p w14:paraId="09476B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Вторым направлением стал переход на значительно более мощный М-82. Приспособить этот двухрядный звездообразный двигатель воздушного охлаждения к планеру ЛаГГ-3 представляло собой определенную проблему. Этот путь привел позднее к появлению весьма удачного истребителя Ла-5 (11983).</w:t>
      </w:r>
    </w:p>
    <w:p w14:paraId="13E57A8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94C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закончились гос. испытания Ла-5 (173,220).</w:t>
      </w:r>
    </w:p>
    <w:p w14:paraId="450965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51E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Зам. Нач. 7 ГУ подготовил справку по облегчению полетного веса серийного самолета ЛаГГ-3 М-105ПФ производства завода 31. Горбунов предложил мероприятия по снижению веса с 3070-3100 кг для 31 завода и 3160 для 21 - до 2865 кг (2504,23).</w:t>
      </w:r>
    </w:p>
    <w:p w14:paraId="37D170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0389D" w14:textId="77777777" w:rsidR="007A437F" w:rsidRPr="008127F8" w:rsidRDefault="007A437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апреле 1942 г. на Брянском фронте в 42-м иап (командир полка Герой Советского Со</w:t>
      </w:r>
      <w:r w:rsidRPr="008127F8">
        <w:rPr>
          <w:color w:val="000000" w:themeColor="text1"/>
          <w:sz w:val="16"/>
          <w:szCs w:val="16"/>
        </w:rPr>
        <w:softHyphen/>
        <w:t>юза подполковник Ф. И. Шинкаренко) 7-й ударной авиагруппы проводились повторные войсковые испытания ЛаГГ-3 с Ш-37.</w:t>
      </w:r>
    </w:p>
    <w:p w14:paraId="4CE8D353" w14:textId="77777777" w:rsidR="007A437F" w:rsidRPr="008127F8" w:rsidRDefault="007A437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Летчиками отмечалась высокая эффективность при стрельбе из Ш-37 осколочно-трассирующими снарядами как по бомбардировщикам, так и по ис</w:t>
      </w:r>
      <w:r w:rsidRPr="008127F8">
        <w:rPr>
          <w:color w:val="000000" w:themeColor="text1"/>
          <w:sz w:val="16"/>
          <w:szCs w:val="16"/>
        </w:rPr>
        <w:softHyphen/>
        <w:t>требителям. Попадание одного снаряда приводило к немедленному разрушению самолета в воздухе. Дальность открытия стрельбы в воздушном бою не превышала 300—400 м. Увеличить дистанцию огня не позволяло несовершенство прицела. Но и эти дистанции давали летчикам значительные преимущества (по сравнению с пушкой ШВАК или пулеметами БС) при атаке немецких бомбардиров</w:t>
      </w:r>
      <w:r w:rsidRPr="008127F8">
        <w:rPr>
          <w:color w:val="000000" w:themeColor="text1"/>
          <w:sz w:val="16"/>
          <w:szCs w:val="16"/>
        </w:rPr>
        <w:softHyphen/>
        <w:t>щиков, которые имели оборонительные пулеметы нормального калибра. Самолет устойчиво пикиро</w:t>
      </w:r>
      <w:r w:rsidRPr="008127F8">
        <w:rPr>
          <w:color w:val="000000" w:themeColor="text1"/>
          <w:sz w:val="16"/>
          <w:szCs w:val="16"/>
        </w:rPr>
        <w:softHyphen/>
        <w:t>вал под углом до 60°, но наивыгоднейшими угла</w:t>
      </w:r>
      <w:r w:rsidRPr="008127F8">
        <w:rPr>
          <w:color w:val="000000" w:themeColor="text1"/>
          <w:sz w:val="16"/>
          <w:szCs w:val="16"/>
        </w:rPr>
        <w:softHyphen/>
        <w:t>ми для атаки наземных целей считались 30—40°. При стрельбе из пушки по воздушной цели длина очереди ограничивалась 3—5 выстрелами. В про</w:t>
      </w:r>
      <w:r w:rsidRPr="008127F8">
        <w:rPr>
          <w:color w:val="000000" w:themeColor="text1"/>
          <w:sz w:val="16"/>
          <w:szCs w:val="16"/>
        </w:rPr>
        <w:softHyphen/>
        <w:t>тивном случае самолет терял скорость. Это обсто</w:t>
      </w:r>
      <w:r w:rsidRPr="008127F8">
        <w:rPr>
          <w:color w:val="000000" w:themeColor="text1"/>
          <w:sz w:val="16"/>
          <w:szCs w:val="16"/>
        </w:rPr>
        <w:softHyphen/>
        <w:t>ятельство было особенно опасным в маневренном бою с истребителями противника. Стрельба на пи</w:t>
      </w:r>
      <w:r w:rsidRPr="008127F8">
        <w:rPr>
          <w:color w:val="000000" w:themeColor="text1"/>
          <w:sz w:val="16"/>
          <w:szCs w:val="16"/>
        </w:rPr>
        <w:softHyphen/>
        <w:t>кировании очередями длиной до 5—7 выстрелов практически не сказывалась на точности, что было особенно важно при атаке бронетехники. Счита</w:t>
      </w:r>
      <w:r w:rsidRPr="008127F8">
        <w:rPr>
          <w:color w:val="000000" w:themeColor="text1"/>
          <w:sz w:val="16"/>
          <w:szCs w:val="16"/>
        </w:rPr>
        <w:softHyphen/>
        <w:t>лось, что можно с успехом поражать танки с тол</w:t>
      </w:r>
      <w:r w:rsidRPr="008127F8">
        <w:rPr>
          <w:color w:val="000000" w:themeColor="text1"/>
          <w:sz w:val="16"/>
          <w:szCs w:val="16"/>
        </w:rPr>
        <w:softHyphen/>
        <w:t xml:space="preserve">щиной брони до 40 мм. Противотанковый ЛаГГ-3 проигрывал немецким истребителям </w:t>
      </w:r>
      <w:r w:rsidRPr="008127F8">
        <w:rPr>
          <w:color w:val="000000" w:themeColor="text1"/>
          <w:sz w:val="16"/>
          <w:szCs w:val="16"/>
          <w:lang w:val="en-US"/>
        </w:rPr>
        <w:t>Bf</w:t>
      </w:r>
      <w:r w:rsidRPr="008127F8">
        <w:rPr>
          <w:color w:val="000000" w:themeColor="text1"/>
          <w:sz w:val="16"/>
          <w:szCs w:val="16"/>
        </w:rPr>
        <w:t>109</w:t>
      </w:r>
      <w:r w:rsidRPr="008127F8">
        <w:rPr>
          <w:color w:val="000000" w:themeColor="text1"/>
          <w:sz w:val="16"/>
          <w:szCs w:val="16"/>
          <w:lang w:val="en-US"/>
        </w:rPr>
        <w:t>F</w:t>
      </w:r>
      <w:r w:rsidRPr="008127F8">
        <w:rPr>
          <w:color w:val="000000" w:themeColor="text1"/>
          <w:sz w:val="16"/>
          <w:szCs w:val="16"/>
        </w:rPr>
        <w:t xml:space="preserve"> в ско</w:t>
      </w:r>
      <w:r w:rsidRPr="008127F8">
        <w:rPr>
          <w:color w:val="000000" w:themeColor="text1"/>
          <w:sz w:val="16"/>
          <w:szCs w:val="16"/>
        </w:rPr>
        <w:softHyphen/>
        <w:t>рости и маневре на вертикали. Требовалось увели</w:t>
      </w:r>
      <w:r w:rsidRPr="008127F8">
        <w:rPr>
          <w:color w:val="000000" w:themeColor="text1"/>
          <w:sz w:val="16"/>
          <w:szCs w:val="16"/>
        </w:rPr>
        <w:softHyphen/>
        <w:t>чить скорость самолета на 40—50 км/ч, улучшить его маневренность, сделать более легким управ</w:t>
      </w:r>
      <w:r w:rsidRPr="008127F8">
        <w:rPr>
          <w:color w:val="000000" w:themeColor="text1"/>
          <w:sz w:val="16"/>
          <w:szCs w:val="16"/>
        </w:rPr>
        <w:softHyphen/>
        <w:t>ление. Боекомплект к пушке предлагалось довести до 40 снарядов, так как некоторые летчики в пер</w:t>
      </w:r>
      <w:r w:rsidRPr="008127F8">
        <w:rPr>
          <w:color w:val="000000" w:themeColor="text1"/>
          <w:sz w:val="16"/>
          <w:szCs w:val="16"/>
        </w:rPr>
        <w:softHyphen/>
        <w:t xml:space="preserve">вой же атаке расходовали все патроны. </w:t>
      </w:r>
      <w:proofErr w:type="gramStart"/>
      <w:r w:rsidRPr="008127F8">
        <w:rPr>
          <w:color w:val="000000" w:themeColor="text1"/>
          <w:sz w:val="16"/>
          <w:szCs w:val="16"/>
        </w:rPr>
        <w:t xml:space="preserve">По общему мнению </w:t>
      </w:r>
      <w:proofErr w:type="gramEnd"/>
      <w:r w:rsidRPr="008127F8">
        <w:rPr>
          <w:color w:val="000000" w:themeColor="text1"/>
          <w:sz w:val="16"/>
          <w:szCs w:val="16"/>
        </w:rPr>
        <w:t>командования полка, летчики, летающие на ЛаГГ-3 с «большой» пушкой, должны были иметь только отличную стрелковую и летную подготовку. При этом вне зависимости от уровня подготовки рекомендовалось давать летному составу система</w:t>
      </w:r>
      <w:r w:rsidRPr="008127F8">
        <w:rPr>
          <w:color w:val="000000" w:themeColor="text1"/>
          <w:sz w:val="16"/>
          <w:szCs w:val="16"/>
        </w:rPr>
        <w:softHyphen/>
        <w:t>тическую тренировку в стрельбе по малоразмер</w:t>
      </w:r>
      <w:r w:rsidRPr="008127F8">
        <w:rPr>
          <w:color w:val="000000" w:themeColor="text1"/>
          <w:sz w:val="16"/>
          <w:szCs w:val="16"/>
        </w:rPr>
        <w:softHyphen/>
        <w:t>ным целям (17500).</w:t>
      </w:r>
    </w:p>
    <w:p w14:paraId="1AFFED66" w14:textId="77777777" w:rsidR="007A437F" w:rsidRPr="008127F8" w:rsidRDefault="007A437F" w:rsidP="001E0A84">
      <w:pPr>
        <w:spacing w:after="0" w:line="240" w:lineRule="auto"/>
        <w:jc w:val="both"/>
        <w:rPr>
          <w:rFonts w:ascii="Times New Roman" w:hAnsi="Times New Roman"/>
          <w:color w:val="000000" w:themeColor="text1"/>
          <w:sz w:val="16"/>
          <w:szCs w:val="16"/>
        </w:rPr>
      </w:pPr>
    </w:p>
    <w:p w14:paraId="67431827" w14:textId="77777777" w:rsidR="007A437F" w:rsidRPr="008127F8" w:rsidRDefault="007A437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апреле 1942 г. пушка 11П № 1 успешно прошла полигонные испытания на самоле</w:t>
      </w:r>
      <w:r w:rsidRPr="008127F8">
        <w:rPr>
          <w:color w:val="000000" w:themeColor="text1"/>
          <w:sz w:val="16"/>
          <w:szCs w:val="16"/>
        </w:rPr>
        <w:softHyphen/>
        <w:t>те ЛаГГ-3 зав. № 312197 на НИП АВ (ст. Донгузская).</w:t>
      </w:r>
    </w:p>
    <w:p w14:paraId="14026F8E" w14:textId="77777777" w:rsidR="007A437F" w:rsidRPr="008127F8" w:rsidRDefault="007A437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Заключение специалистов полигона в основном было благоприятным. Пушка 11П имела ленточное питание и неподвижное крепление, в силу чего имелась возможность ее разместить непосред</w:t>
      </w:r>
      <w:r w:rsidRPr="008127F8">
        <w:rPr>
          <w:color w:val="000000" w:themeColor="text1"/>
          <w:sz w:val="16"/>
          <w:szCs w:val="16"/>
        </w:rPr>
        <w:softHyphen/>
        <w:t>ственно у нижней кромки крыла в обтекателях не</w:t>
      </w:r>
      <w:r w:rsidRPr="008127F8">
        <w:rPr>
          <w:color w:val="000000" w:themeColor="text1"/>
          <w:sz w:val="16"/>
          <w:szCs w:val="16"/>
        </w:rPr>
        <w:softHyphen/>
        <w:t>больших размеров, а при установке на моторе — увеличить боекомплект. В ходе стрельб (всего было выполнено 1080 выстрелов), как на земле, так и в воздухе, пушка показала хорошую надежность ра</w:t>
      </w:r>
      <w:r w:rsidRPr="008127F8">
        <w:rPr>
          <w:color w:val="000000" w:themeColor="text1"/>
          <w:sz w:val="16"/>
          <w:szCs w:val="16"/>
        </w:rPr>
        <w:softHyphen/>
        <w:t>боты. Кроме этого, 11П имела очень удачную тех</w:t>
      </w:r>
      <w:r w:rsidRPr="008127F8">
        <w:rPr>
          <w:color w:val="000000" w:themeColor="text1"/>
          <w:sz w:val="16"/>
          <w:szCs w:val="16"/>
        </w:rPr>
        <w:softHyphen/>
        <w:t>нологичную конструкцию и хорошо подходила для массового производства. Как следствие, пуш</w:t>
      </w:r>
      <w:r w:rsidRPr="008127F8">
        <w:rPr>
          <w:color w:val="000000" w:themeColor="text1"/>
          <w:sz w:val="16"/>
          <w:szCs w:val="16"/>
        </w:rPr>
        <w:softHyphen/>
        <w:t>ка рекомендовалась для принятия на вооружение ВВС КА.</w:t>
      </w:r>
    </w:p>
    <w:p w14:paraId="3C7E56D4" w14:textId="77777777" w:rsidR="007A437F" w:rsidRPr="008127F8" w:rsidRDefault="007A437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Отчет НИП АВ ВВС наделал много шуму. Дей</w:t>
      </w:r>
      <w:r w:rsidRPr="008127F8">
        <w:rPr>
          <w:color w:val="000000" w:themeColor="text1"/>
          <w:sz w:val="16"/>
          <w:szCs w:val="16"/>
        </w:rPr>
        <w:softHyphen/>
        <w:t>ствительно, заказывающие органы ВВС были по</w:t>
      </w:r>
      <w:r w:rsidRPr="008127F8">
        <w:rPr>
          <w:color w:val="000000" w:themeColor="text1"/>
          <w:sz w:val="16"/>
          <w:szCs w:val="16"/>
        </w:rPr>
        <w:softHyphen/>
        <w:t>ставлены в весьма сложное положение, так как под организацию серии пушки Ш-37 уже было на</w:t>
      </w:r>
      <w:r w:rsidRPr="008127F8">
        <w:rPr>
          <w:color w:val="000000" w:themeColor="text1"/>
          <w:sz w:val="16"/>
          <w:szCs w:val="16"/>
        </w:rPr>
        <w:softHyphen/>
        <w:t>лажено валовое производство 37-мм патронов, ко</w:t>
      </w:r>
      <w:r w:rsidRPr="008127F8">
        <w:rPr>
          <w:color w:val="000000" w:themeColor="text1"/>
          <w:sz w:val="16"/>
          <w:szCs w:val="16"/>
        </w:rPr>
        <w:softHyphen/>
        <w:t>торые не имели бурта у закраины гильзы. В то же время на гильзе патрона к пушке 11П бурт имелся. Его ввели в конструкцию гильзы для повышения надежности работы автоматики пушки. При ударе затвора с патроном о пенек ствола при досылании латунный бурт гасил энергию удара, что исключало отскок в переднем положении запирания. К тому же в патроне ОКБ-16 применялся порох, не стоя</w:t>
      </w:r>
      <w:r w:rsidRPr="008127F8">
        <w:rPr>
          <w:color w:val="000000" w:themeColor="text1"/>
          <w:sz w:val="16"/>
          <w:szCs w:val="16"/>
        </w:rPr>
        <w:softHyphen/>
        <w:t>щий в производстве.</w:t>
      </w:r>
    </w:p>
    <w:p w14:paraId="55D5DE5A" w14:textId="77777777" w:rsidR="007A437F" w:rsidRPr="008127F8" w:rsidRDefault="007A437F" w:rsidP="001E0A84">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итоге отчет полигона был отозван Управле</w:t>
      </w:r>
      <w:r w:rsidRPr="008127F8">
        <w:rPr>
          <w:color w:val="000000" w:themeColor="text1"/>
          <w:sz w:val="16"/>
          <w:szCs w:val="16"/>
        </w:rPr>
        <w:softHyphen/>
        <w:t>нием опытного строительства ГУ ИАС ВВС. Не по</w:t>
      </w:r>
      <w:r w:rsidRPr="008127F8">
        <w:rPr>
          <w:color w:val="000000" w:themeColor="text1"/>
          <w:sz w:val="16"/>
          <w:szCs w:val="16"/>
        </w:rPr>
        <w:softHyphen/>
        <w:t>следнюю роль в этом сыграл начальник ОКБ-15 Б. Г. Шпитальный (17500).</w:t>
      </w:r>
    </w:p>
    <w:p w14:paraId="08C00CA6" w14:textId="77777777" w:rsidR="007A437F" w:rsidRPr="008127F8" w:rsidRDefault="007A437F" w:rsidP="001E0A84">
      <w:pPr>
        <w:spacing w:after="0" w:line="240" w:lineRule="auto"/>
        <w:jc w:val="both"/>
        <w:rPr>
          <w:rFonts w:ascii="Times New Roman" w:hAnsi="Times New Roman"/>
          <w:color w:val="000000" w:themeColor="text1"/>
          <w:sz w:val="16"/>
          <w:szCs w:val="16"/>
        </w:rPr>
      </w:pPr>
    </w:p>
    <w:p w14:paraId="4AB1E9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апреля 1942 г. на заводе вернулись к прежней системе НГ по схеме завода № 115, утвержденной при совместных испытаниях ЛИИ НКАП и НИИ ВВС, которая требовала повышения надежности работы: фиксировались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 </w:t>
      </w:r>
    </w:p>
    <w:p w14:paraId="265CE7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553A8DD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w:t>
      </w:r>
      <w:proofErr w:type="gramStart"/>
      <w:r w:rsidRPr="008127F8">
        <w:rPr>
          <w:rFonts w:ascii="Times New Roman" w:hAnsi="Times New Roman"/>
          <w:color w:val="000000" w:themeColor="text1"/>
          <w:sz w:val="16"/>
          <w:szCs w:val="16"/>
        </w:rPr>
        <w:t>на нравом</w:t>
      </w:r>
      <w:proofErr w:type="gramEnd"/>
      <w:r w:rsidRPr="008127F8">
        <w:rPr>
          <w:rFonts w:ascii="Times New Roman" w:hAnsi="Times New Roman"/>
          <w:color w:val="000000" w:themeColor="text1"/>
          <w:sz w:val="16"/>
          <w:szCs w:val="16"/>
        </w:rPr>
        <w:t xml:space="preserve"> пульте кабины сообщал баки или с системой НГ, или, для заправки топливом на земле, с атмосферой.</w:t>
      </w:r>
    </w:p>
    <w:p w14:paraId="426179E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До наступления холодов в эксплуатации не представилось возможным испытать эту схему. При понижении температуры наружного воздуха завод получил много </w:t>
      </w:r>
      <w:r w:rsidRPr="008127F8">
        <w:rPr>
          <w:rFonts w:ascii="Times New Roman" w:hAnsi="Times New Roman"/>
          <w:color w:val="000000" w:themeColor="text1"/>
          <w:sz w:val="16"/>
          <w:szCs w:val="16"/>
        </w:rPr>
        <w:lastRenderedPageBreak/>
        <w:t>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308D8C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C62D5"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прошёл заводские полигонные испытания в филиале НИПАВ ВВС КА самолёт МиГ-3 №6005 с синхронными ШВАК. Пушки размести</w:t>
      </w:r>
      <w:r w:rsidRPr="008127F8">
        <w:rPr>
          <w:rFonts w:ascii="Times New Roman" w:hAnsi="Times New Roman"/>
          <w:color w:val="000000" w:themeColor="text1"/>
          <w:sz w:val="16"/>
          <w:szCs w:val="16"/>
        </w:rPr>
        <w:softHyphen/>
        <w:t>ли на месте снятых пулемётов УБС, а их штатный боезапас составлял 200 патронов на каждую. По ито</w:t>
      </w:r>
      <w:r w:rsidRPr="008127F8">
        <w:rPr>
          <w:rFonts w:ascii="Times New Roman" w:hAnsi="Times New Roman"/>
          <w:color w:val="000000" w:themeColor="text1"/>
          <w:sz w:val="16"/>
          <w:szCs w:val="16"/>
        </w:rPr>
        <w:softHyphen/>
        <w:t>гам испытаний пушечная установ</w:t>
      </w:r>
      <w:r w:rsidRPr="008127F8">
        <w:rPr>
          <w:rFonts w:ascii="Times New Roman" w:hAnsi="Times New Roman"/>
          <w:color w:val="000000" w:themeColor="text1"/>
          <w:sz w:val="16"/>
          <w:szCs w:val="16"/>
        </w:rPr>
        <w:softHyphen/>
        <w:t>ка получила высокую оценку и её рекомендовали для применения на истребителях МиГ-3 двухточечного варианта (в серии выпускался с сен</w:t>
      </w:r>
      <w:r w:rsidRPr="008127F8">
        <w:rPr>
          <w:rFonts w:ascii="Times New Roman" w:hAnsi="Times New Roman"/>
          <w:color w:val="000000" w:themeColor="text1"/>
          <w:sz w:val="16"/>
          <w:szCs w:val="16"/>
        </w:rPr>
        <w:softHyphen/>
        <w:t>тября 1941 г.). После завершения испытаний МиГ-3 №6005 передали в 12-й гвардейский иап ПВО. Особенность установки пушек ШВАК состояла в том, что ранее выпущенные машины, вооруженные двумя 12,7 мм пулемётами УБС, можно было перевооружить в ан</w:t>
      </w:r>
      <w:r w:rsidRPr="008127F8">
        <w:rPr>
          <w:rFonts w:ascii="Times New Roman" w:hAnsi="Times New Roman"/>
          <w:color w:val="000000" w:themeColor="text1"/>
          <w:sz w:val="16"/>
          <w:szCs w:val="16"/>
        </w:rPr>
        <w:softHyphen/>
        <w:t>гарных условиях или мастерских без особых усилий, используя лишь до-работочный комплект. Благодаря такой взаимозаменяемости в авгу</w:t>
      </w:r>
      <w:r w:rsidRPr="008127F8">
        <w:rPr>
          <w:rFonts w:ascii="Times New Roman" w:hAnsi="Times New Roman"/>
          <w:color w:val="000000" w:themeColor="text1"/>
          <w:sz w:val="16"/>
          <w:szCs w:val="16"/>
        </w:rPr>
        <w:softHyphen/>
        <w:t>сте пушками ШВАК перевооружи</w:t>
      </w:r>
      <w:r w:rsidRPr="008127F8">
        <w:rPr>
          <w:rFonts w:ascii="Times New Roman" w:hAnsi="Times New Roman"/>
          <w:color w:val="000000" w:themeColor="text1"/>
          <w:sz w:val="16"/>
          <w:szCs w:val="16"/>
        </w:rPr>
        <w:softHyphen/>
        <w:t>ли два МиГа, прибывшие на завод №155 для капитального ремонта из 122-го иап. Таким образом, в 1940-1942 гг. силами серийного завода №1 и опытного завода №155 было пост</w:t>
      </w:r>
      <w:r w:rsidRPr="008127F8">
        <w:rPr>
          <w:rFonts w:ascii="Times New Roman" w:hAnsi="Times New Roman"/>
          <w:color w:val="000000" w:themeColor="text1"/>
          <w:sz w:val="16"/>
          <w:szCs w:val="16"/>
        </w:rPr>
        <w:softHyphen/>
        <w:t>роено 3172 истребителя МиГ-3. Высокая степень унификации и ре</w:t>
      </w:r>
      <w:r w:rsidRPr="008127F8">
        <w:rPr>
          <w:rFonts w:ascii="Times New Roman" w:hAnsi="Times New Roman"/>
          <w:color w:val="000000" w:themeColor="text1"/>
          <w:sz w:val="16"/>
          <w:szCs w:val="16"/>
        </w:rPr>
        <w:softHyphen/>
        <w:t>монтопригодности самолётов обес</w:t>
      </w:r>
      <w:r w:rsidRPr="008127F8">
        <w:rPr>
          <w:rFonts w:ascii="Times New Roman" w:hAnsi="Times New Roman"/>
          <w:color w:val="000000" w:themeColor="text1"/>
          <w:sz w:val="16"/>
          <w:szCs w:val="16"/>
        </w:rPr>
        <w:softHyphen/>
        <w:t>печила им после прекращения се</w:t>
      </w:r>
      <w:r w:rsidRPr="008127F8">
        <w:rPr>
          <w:rFonts w:ascii="Times New Roman" w:hAnsi="Times New Roman"/>
          <w:color w:val="000000" w:themeColor="text1"/>
          <w:sz w:val="16"/>
          <w:szCs w:val="16"/>
        </w:rPr>
        <w:softHyphen/>
        <w:t>рийного выпуска долгий срок служ</w:t>
      </w:r>
      <w:r w:rsidRPr="008127F8">
        <w:rPr>
          <w:rFonts w:ascii="Times New Roman" w:hAnsi="Times New Roman"/>
          <w:color w:val="000000" w:themeColor="text1"/>
          <w:sz w:val="16"/>
          <w:szCs w:val="16"/>
        </w:rPr>
        <w:softHyphen/>
        <w:t>бы. Технический состав авиацион</w:t>
      </w:r>
      <w:r w:rsidRPr="008127F8">
        <w:rPr>
          <w:rFonts w:ascii="Times New Roman" w:hAnsi="Times New Roman"/>
          <w:color w:val="000000" w:themeColor="text1"/>
          <w:sz w:val="16"/>
          <w:szCs w:val="16"/>
        </w:rPr>
        <w:softHyphen/>
        <w:t>ных частей ВВС КА, ИА ПВО и ВМФ из двух-трёх повреждённых МиГ-3 умудрялся собрать один боеспособ</w:t>
      </w:r>
      <w:r w:rsidRPr="008127F8">
        <w:rPr>
          <w:rFonts w:ascii="Times New Roman" w:hAnsi="Times New Roman"/>
          <w:color w:val="000000" w:themeColor="text1"/>
          <w:sz w:val="16"/>
          <w:szCs w:val="16"/>
        </w:rPr>
        <w:softHyphen/>
        <w:t>ный. Например, в 16-м иап осенью 1941 г. из 34 подобранных повреж</w:t>
      </w:r>
      <w:r w:rsidRPr="008127F8">
        <w:rPr>
          <w:rFonts w:ascii="Times New Roman" w:hAnsi="Times New Roman"/>
          <w:color w:val="000000" w:themeColor="text1"/>
          <w:sz w:val="16"/>
          <w:szCs w:val="16"/>
        </w:rPr>
        <w:softHyphen/>
        <w:t>дённых и неисправных МиГов сила</w:t>
      </w:r>
      <w:r w:rsidRPr="008127F8">
        <w:rPr>
          <w:rFonts w:ascii="Times New Roman" w:hAnsi="Times New Roman"/>
          <w:color w:val="000000" w:themeColor="text1"/>
          <w:sz w:val="16"/>
          <w:szCs w:val="16"/>
        </w:rPr>
        <w:softHyphen/>
        <w:t>ми техсостава полка и ПАРМ было собрано 11 боеспособных машин. Последние два МиГ-3 №4504 и №6015 списали по износу 30 июня 1945 г. Эти машины принадлежали 41-му иап ВВС Северотихоокеанс</w:t>
      </w:r>
      <w:r w:rsidRPr="008127F8">
        <w:rPr>
          <w:rFonts w:ascii="Times New Roman" w:hAnsi="Times New Roman"/>
          <w:color w:val="000000" w:themeColor="text1"/>
          <w:sz w:val="16"/>
          <w:szCs w:val="16"/>
        </w:rPr>
        <w:softHyphen/>
        <w:t>кой флотилии (11761).</w:t>
      </w:r>
    </w:p>
    <w:p w14:paraId="1048661D" w14:textId="77777777" w:rsidR="00F76B33" w:rsidRPr="008127F8" w:rsidRDefault="00F76B33"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22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 НИИ ВВС или ЛИИ испытывали Аэрокобру Р-39D-2 с Аллисон V-1710-35 (173,245).</w:t>
      </w:r>
    </w:p>
    <w:p w14:paraId="5109B5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8FAA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закончились испытания в НИИ ВВСМе-109Ф, захваченного на аэродроме Тушино при вынужденной посадке немецкого летчика (3573).</w:t>
      </w:r>
    </w:p>
    <w:p w14:paraId="2E86F9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947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по июль 1942 153 завод выпускал Як-7Б М-105ПА (65,84).</w:t>
      </w:r>
    </w:p>
    <w:p w14:paraId="63D1C2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AD3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ОКБ МиГ вернулось в Москву и в опытном цехе из заделов сделали еще 75 МиГ-3 (1084,24).</w:t>
      </w:r>
    </w:p>
    <w:p w14:paraId="630CCC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466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после возвращения из эвакуации в Москву на вновь организованном опытном заводе №155 (ОКБ-155), который возглавил А.И. Микоян, из полученного с заводов №1 и №30 задела агрегатов и готовых изделий собрали еще 30 самолетов Миг-3 (в дополнение к 22 собранным в эвакуации). В дальнейшем их передали ВВС (27 машин) и авиации ВМФ (3 машины). Все истребители также были вооружены двумя синхронными пушками ШБАК. Кроме того, под ПУШКИ ШВАК были переоборудованы еще два самолета МиГ-3, пробывшие для капитального ремонта. Всего в 1940-1942 г.г. силами серийного завода №1 и опытного завода №155 было построено 3172 истребителей МиГ-3. Высокая степень унификации и ремонтопригодности самолетов обеспечила им после прекращения серийного выпуска долгий срок службы. Технически состав авиационных частей ВВС и ВМФ из двух-трех поврежденных МиГ-3 умудрялся собрать один боеспособный. Последние МиГ-3 были списаны по износу в самом конце войны. (4802).</w:t>
      </w:r>
    </w:p>
    <w:p w14:paraId="2CCECB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B041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прошел заводские испытания МиГ-3 №6005 с синхронных пушек ШВАК (4802).</w:t>
      </w:r>
    </w:p>
    <w:p w14:paraId="688834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CA0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А.И.Шахурина, А.С.Я. и С.В.И. вызывал И.В.Сталин с вопросом, надо ли использовать истребители для бомбометания. Все за кроме А.С.Я. - ухудшат аэродинамику, лучше делать больше штурмовиков и бомбардировщиков (23,257). Маршал А.Е.Голованов - нормально - А.С.Я. - кричал, получил замечание И.В.С. (23,258).</w:t>
      </w:r>
    </w:p>
    <w:p w14:paraId="188697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303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завершились официальные испытания УТ-1б, которые про</w:t>
      </w:r>
      <w:r w:rsidRPr="008127F8">
        <w:rPr>
          <w:rFonts w:ascii="Times New Roman" w:hAnsi="Times New Roman"/>
          <w:color w:val="000000" w:themeColor="text1"/>
          <w:sz w:val="16"/>
          <w:szCs w:val="16"/>
        </w:rPr>
        <w:softHyphen/>
        <w:t>водились по программе, разработанной ЛИИ ВВС (3955).</w:t>
      </w:r>
    </w:p>
    <w:p w14:paraId="1D4FB3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23A8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 Тюмени, куда эвакуировался О.К.А., сделали планер А-40 для танка (204,48).</w:t>
      </w:r>
    </w:p>
    <w:p w14:paraId="717D4D6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0216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планер А-40 изготовили Взлетный вес предполагался в 7,3 тонны, из них на собственно планер приходилось 2 тонны — весьма приличная ве</w:t>
      </w:r>
      <w:r w:rsidRPr="008127F8">
        <w:rPr>
          <w:rFonts w:ascii="Times New Roman" w:hAnsi="Times New Roman"/>
          <w:color w:val="000000" w:themeColor="text1"/>
          <w:sz w:val="16"/>
          <w:szCs w:val="16"/>
        </w:rPr>
        <w:softHyphen/>
        <w:t>совая отдача. Летные испытания проходили под Мо</w:t>
      </w:r>
      <w:r w:rsidRPr="008127F8">
        <w:rPr>
          <w:rFonts w:ascii="Times New Roman" w:hAnsi="Times New Roman"/>
          <w:color w:val="000000" w:themeColor="text1"/>
          <w:sz w:val="16"/>
          <w:szCs w:val="16"/>
        </w:rPr>
        <w:softHyphen/>
        <w:t>сквой в период с 7 августа по 2 сентября 1942 г. Летал известный летчик-планерист Сергей Анохин, который в своих воспоминаниях упоминал и «Летающий танк». Для общей проверки планера «танк» решили облег</w:t>
      </w:r>
      <w:r w:rsidRPr="008127F8">
        <w:rPr>
          <w:rFonts w:ascii="Times New Roman" w:hAnsi="Times New Roman"/>
          <w:color w:val="000000" w:themeColor="text1"/>
          <w:sz w:val="16"/>
          <w:szCs w:val="16"/>
        </w:rPr>
        <w:softHyphen/>
        <w:t>чить — с него сняли башню, убра</w:t>
      </w:r>
      <w:r w:rsidRPr="008127F8">
        <w:rPr>
          <w:rFonts w:ascii="Times New Roman" w:hAnsi="Times New Roman"/>
          <w:color w:val="000000" w:themeColor="text1"/>
          <w:sz w:val="16"/>
          <w:szCs w:val="16"/>
        </w:rPr>
        <w:softHyphen/>
        <w:t>ли все лишнее и сделали неполную заправку горючим. В результате взлетный вес удалось снизить до 6,7 т. В качестве буксировщика использовали бомбардировщик ТБ-3 с форсированными моторами АМ-34РН. Сначала были сделаны скоростные пробежки, потом вы</w:t>
      </w:r>
      <w:r w:rsidRPr="008127F8">
        <w:rPr>
          <w:rFonts w:ascii="Times New Roman" w:hAnsi="Times New Roman"/>
          <w:color w:val="000000" w:themeColor="text1"/>
          <w:sz w:val="16"/>
          <w:szCs w:val="16"/>
        </w:rPr>
        <w:softHyphen/>
        <w:t>полнили три подлета на высоту до 4 м. Планер вел себя устойчиво и нормально слушался рулей. Пер</w:t>
      </w:r>
      <w:r w:rsidRPr="008127F8">
        <w:rPr>
          <w:rFonts w:ascii="Times New Roman" w:hAnsi="Times New Roman"/>
          <w:color w:val="000000" w:themeColor="text1"/>
          <w:sz w:val="16"/>
          <w:szCs w:val="16"/>
        </w:rPr>
        <w:softHyphen/>
        <w:t>вый и единственный полет выпол</w:t>
      </w:r>
      <w:r w:rsidRPr="008127F8">
        <w:rPr>
          <w:rFonts w:ascii="Times New Roman" w:hAnsi="Times New Roman"/>
          <w:color w:val="000000" w:themeColor="text1"/>
          <w:sz w:val="16"/>
          <w:szCs w:val="16"/>
        </w:rPr>
        <w:softHyphen/>
        <w:t>нили 2 сентября 1942 г. Взлет про</w:t>
      </w:r>
      <w:r w:rsidRPr="008127F8">
        <w:rPr>
          <w:rFonts w:ascii="Times New Roman" w:hAnsi="Times New Roman"/>
          <w:color w:val="000000" w:themeColor="text1"/>
          <w:sz w:val="16"/>
          <w:szCs w:val="16"/>
        </w:rPr>
        <w:softHyphen/>
        <w:t>шел нормально, но вскоре моторы ТБ-3 стали перегреваться — мощно</w:t>
      </w:r>
      <w:r w:rsidRPr="008127F8">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8127F8">
        <w:rPr>
          <w:rFonts w:ascii="Times New Roman" w:hAnsi="Times New Roman"/>
          <w:color w:val="000000" w:themeColor="text1"/>
          <w:sz w:val="16"/>
          <w:szCs w:val="16"/>
        </w:rPr>
        <w:softHyphen/>
        <w:t>реса к данному проекту. А в довершение всего в кон</w:t>
      </w:r>
      <w:r w:rsidRPr="008127F8">
        <w:rPr>
          <w:rFonts w:ascii="Times New Roman" w:hAnsi="Times New Roman"/>
          <w:color w:val="000000" w:themeColor="text1"/>
          <w:sz w:val="16"/>
          <w:szCs w:val="16"/>
        </w:rPr>
        <w:softHyphen/>
        <w:t>це года сняли с производства танк Т-60 (12300).</w:t>
      </w:r>
    </w:p>
    <w:p w14:paraId="58DDEE97"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5516FB09" w14:textId="77777777" w:rsidR="00F76B33" w:rsidRPr="008127F8" w:rsidRDefault="00F76B33"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апреле 1942 года на за</w:t>
      </w:r>
      <w:r w:rsidRPr="008127F8">
        <w:rPr>
          <w:rFonts w:eastAsia="Calibri"/>
          <w:color w:val="000000" w:themeColor="text1"/>
          <w:sz w:val="16"/>
          <w:szCs w:val="16"/>
        </w:rPr>
        <w:softHyphen/>
        <w:t>воде в Тюмени, где находилось эвакуированное из Москвы КБ, изготовили прототип десантного планера для транспортировки Т-40. Летом того же года планер вместе с танком доставили в ЛИИ ВВС (г. Жуков</w:t>
      </w:r>
      <w:r w:rsidRPr="008127F8">
        <w:rPr>
          <w:rFonts w:eastAsia="Calibri"/>
          <w:color w:val="000000" w:themeColor="text1"/>
          <w:sz w:val="16"/>
          <w:szCs w:val="16"/>
        </w:rPr>
        <w:softHyphen/>
        <w:t>ский Московской области), где начались летные испытания. Судя по фотографиям, для снижения взлетной массы с танка была демонтиро</w:t>
      </w:r>
      <w:r w:rsidRPr="008127F8">
        <w:rPr>
          <w:rFonts w:eastAsia="Calibri"/>
          <w:color w:val="000000" w:themeColor="text1"/>
          <w:sz w:val="16"/>
          <w:szCs w:val="16"/>
        </w:rPr>
        <w:softHyphen/>
        <w:t>вана башня. Для начала КТ испытали пробегом, в ходе которого вы</w:t>
      </w:r>
      <w:r w:rsidRPr="008127F8">
        <w:rPr>
          <w:rFonts w:eastAsia="Calibri"/>
          <w:color w:val="000000" w:themeColor="text1"/>
          <w:sz w:val="16"/>
          <w:szCs w:val="16"/>
        </w:rPr>
        <w:softHyphen/>
        <w:t>яснилось, что расчеты оказались верны и ходовая часть Т-60 выдер</w:t>
      </w:r>
      <w:r w:rsidRPr="008127F8">
        <w:rPr>
          <w:rFonts w:eastAsia="Calibri"/>
          <w:color w:val="000000" w:themeColor="text1"/>
          <w:sz w:val="16"/>
          <w:szCs w:val="16"/>
        </w:rPr>
        <w:softHyphen/>
        <w:t xml:space="preserve">живает разгон до 110—115 км/ч. Затем были проведены три </w:t>
      </w:r>
      <w:proofErr w:type="gramStart"/>
      <w:r w:rsidRPr="008127F8">
        <w:rPr>
          <w:rFonts w:eastAsia="Calibri"/>
          <w:color w:val="000000" w:themeColor="text1"/>
          <w:sz w:val="16"/>
          <w:szCs w:val="16"/>
        </w:rPr>
        <w:t>подлета,которые</w:t>
      </w:r>
      <w:proofErr w:type="gramEnd"/>
      <w:r w:rsidRPr="008127F8">
        <w:rPr>
          <w:rFonts w:eastAsia="Calibri"/>
          <w:color w:val="000000" w:themeColor="text1"/>
          <w:sz w:val="16"/>
          <w:szCs w:val="16"/>
        </w:rPr>
        <w:t xml:space="preserve"> предшествовали первому полноценному полету. Поскольку ТБ-7 для проведения данных испытаний не было, пришлось исполь</w:t>
      </w:r>
      <w:r w:rsidRPr="008127F8">
        <w:rPr>
          <w:rFonts w:eastAsia="Calibri"/>
          <w:color w:val="000000" w:themeColor="text1"/>
          <w:sz w:val="16"/>
          <w:szCs w:val="16"/>
        </w:rPr>
        <w:softHyphen/>
        <w:t>зовать бомбардировщик ТБ-3 с форсированными до 970 л.с. моторами. Этот же самолет, пилотируемый летчиком-испытателем П. А. Ереме</w:t>
      </w:r>
      <w:r w:rsidRPr="008127F8">
        <w:rPr>
          <w:rFonts w:eastAsia="Calibri"/>
          <w:color w:val="000000" w:themeColor="text1"/>
          <w:sz w:val="16"/>
          <w:szCs w:val="16"/>
        </w:rPr>
        <w:softHyphen/>
        <w:t>евым, использовался и в летных испытаниях планера КТ (им управлял известный летчик-испытатель С. Н. Анохин) (17485).</w:t>
      </w:r>
    </w:p>
    <w:p w14:paraId="6DA95C7D" w14:textId="77777777" w:rsidR="00F76B33" w:rsidRPr="008127F8" w:rsidRDefault="00F76B33" w:rsidP="001E0A84">
      <w:pPr>
        <w:pStyle w:val="Bodytext141"/>
        <w:shd w:val="clear" w:color="auto" w:fill="auto"/>
        <w:spacing w:line="240" w:lineRule="auto"/>
        <w:ind w:firstLine="0"/>
        <w:jc w:val="both"/>
        <w:rPr>
          <w:i w:val="0"/>
          <w:color w:val="000000" w:themeColor="text1"/>
          <w:sz w:val="16"/>
          <w:szCs w:val="16"/>
        </w:rPr>
      </w:pPr>
    </w:p>
    <w:p w14:paraId="154E078C" w14:textId="77777777" w:rsidR="006232CB" w:rsidRPr="008127F8" w:rsidRDefault="006232CB"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на заводе в Тюмени, где находилось КБ Антонова, эвакуированное из Москвы, изготовили опытный образец десантного планера. Летом того же года планер вместе с танком доставили в НИИ ВВС (г. Жуковский Московской области), где начались лётные испытания. Судя по фотографиям, для снижения взлётной массы с танка были демонтированы башня и вооружение. Для начала КТ испытали пробегом, в ходе которого выяснилось, что расчёты верны, и ходовая часть Т-60 выдерживает разгон до 110–115 км/ч. Затем были проведены три подлёта, которые предшествовали первому полноценному полёту. Поскольку ТБ-7 для проведения этих испытаний в наличии не было, пришлось использовать бомбардировщик ТБ-3 с моторами, форсированными до 970 л.с. Этот же самолёт, пилотируемый лётчиком-испытателем П.А. Еремеевым, использовался в лётных испытаниях планера КТ (им управлял известный лётчик-испытатель С.Н. Анохин).</w:t>
      </w:r>
    </w:p>
    <w:p w14:paraId="6D843B22" w14:textId="77777777" w:rsidR="006232CB" w:rsidRPr="008127F8" w:rsidRDefault="006232CB" w:rsidP="001E0A84">
      <w:pPr>
        <w:spacing w:after="0" w:line="240" w:lineRule="auto"/>
        <w:jc w:val="both"/>
        <w:rPr>
          <w:rFonts w:ascii="Times New Roman" w:hAnsi="Times New Roman"/>
          <w:color w:val="000000" w:themeColor="text1"/>
          <w:sz w:val="16"/>
          <w:szCs w:val="16"/>
        </w:rPr>
      </w:pPr>
    </w:p>
    <w:p w14:paraId="71173E58"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апреле 1942 г в НИИ ВВС были проведены испытания имевшихся ПНВ, по итогам которых были составлены технические требования и уточнена область их возможного использования. Она охватывала: </w:t>
      </w:r>
    </w:p>
    <w:p w14:paraId="23BFA53D"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скрытный привод самолета на свой замаскиро</w:t>
      </w:r>
      <w:r w:rsidRPr="008A2E5A">
        <w:rPr>
          <w:rFonts w:ascii="Times New Roman" w:hAnsi="Times New Roman"/>
          <w:color w:val="0070C0"/>
          <w:sz w:val="16"/>
          <w:szCs w:val="16"/>
        </w:rPr>
        <w:softHyphen/>
        <w:t xml:space="preserve">ванный аэродром; </w:t>
      </w:r>
    </w:p>
    <w:p w14:paraId="0A32E4F6"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обозначение замаскированной посадочной площадки в тылу противника и на своей территории </w:t>
      </w:r>
    </w:p>
    <w:p w14:paraId="5D867600"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обозначение ИК-огнями линии фронта; </w:t>
      </w:r>
    </w:p>
    <w:p w14:paraId="0A69C687"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 вывод самолета на цель по ИК-ориентирам; </w:t>
      </w:r>
    </w:p>
    <w:p w14:paraId="16F1EB6F"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целеуказание агентурой на объекты для бомбар</w:t>
      </w:r>
      <w:r w:rsidRPr="008A2E5A">
        <w:rPr>
          <w:rFonts w:ascii="Times New Roman" w:hAnsi="Times New Roman"/>
          <w:color w:val="0070C0"/>
          <w:sz w:val="16"/>
          <w:szCs w:val="16"/>
        </w:rPr>
        <w:softHyphen/>
        <w:t xml:space="preserve">дировки; </w:t>
      </w:r>
    </w:p>
    <w:p w14:paraId="59E1B240"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6. скрытное опознавание своих самолетов по ИК-огням; </w:t>
      </w:r>
    </w:p>
    <w:p w14:paraId="4280328B"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7. визуальная секретная связь самолета с землей; </w:t>
      </w:r>
    </w:p>
    <w:p w14:paraId="4B1FCA8C"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8. разведка ИК-средств противника; </w:t>
      </w:r>
    </w:p>
    <w:p w14:paraId="1DAA44B6"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9. обнаружение самолета противника по выхлопным газам и нагретым выхлопным патрубкам с земли и в воздухе; </w:t>
      </w:r>
    </w:p>
    <w:p w14:paraId="281ACA84"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10. обнаружение самолета противника путем освещения его ИК-лучами; </w:t>
      </w:r>
    </w:p>
    <w:p w14:paraId="26D7FFF9"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11. наблюдение с самолета объектов на земле при освещении их ИК-лучами. </w:t>
      </w:r>
    </w:p>
    <w:p w14:paraId="4783BB03"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Задачи 1-9 характеризовались как наблюдение точечных источников ИК-лучей. Задачи 10 и 11 были связаны с видением объектов, освещенных ИК-лучом. По причине малой дальности действия устройств ПНВ задачи непосредственного наблюдения из плана работ были исключены. </w:t>
      </w:r>
    </w:p>
    <w:p w14:paraId="23AA4DD7"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Вместе с тем, дальность распознавания ИК-огней определялась не десятками метров, а километрами, поэтому вновь изготавливаемые устройства предна</w:t>
      </w:r>
      <w:r w:rsidRPr="008A2E5A">
        <w:rPr>
          <w:rFonts w:ascii="Times New Roman" w:hAnsi="Times New Roman"/>
          <w:color w:val="0070C0"/>
          <w:sz w:val="16"/>
          <w:szCs w:val="16"/>
        </w:rPr>
        <w:softHyphen/>
        <w:t xml:space="preserve">значались для решения лишь следующего комплекса задач: </w:t>
      </w:r>
    </w:p>
    <w:p w14:paraId="5778EC39"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 скрытный привод самолетов ночью на свой аэродром; </w:t>
      </w:r>
    </w:p>
    <w:p w14:paraId="550B2C9C"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б. скрытное обозначение местности с различными целями; </w:t>
      </w:r>
    </w:p>
    <w:p w14:paraId="28BB37B6" w14:textId="77777777" w:rsidR="002C10B8" w:rsidRPr="008A2E5A" w:rsidRDefault="002C10B8" w:rsidP="002C10B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опознавание и связь своих самолетов с землей (24303).</w:t>
      </w:r>
    </w:p>
    <w:p w14:paraId="31550F32" w14:textId="77777777" w:rsidR="002C10B8" w:rsidRPr="008A2E5A" w:rsidRDefault="002C10B8" w:rsidP="002C10B8">
      <w:pPr>
        <w:spacing w:after="0" w:line="240" w:lineRule="auto"/>
        <w:jc w:val="both"/>
        <w:rPr>
          <w:rFonts w:ascii="Times New Roman" w:hAnsi="Times New Roman"/>
          <w:color w:val="0070C0"/>
          <w:sz w:val="16"/>
          <w:szCs w:val="16"/>
        </w:rPr>
      </w:pPr>
    </w:p>
    <w:p w14:paraId="04DD66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площадке завода № 207 образован завод № 462 НКАП. С 1957 г. здесь же - ОКБ-424 (ДКБА).</w:t>
      </w:r>
    </w:p>
    <w:p w14:paraId="3CBDFC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(11.1940 г.)- 198 металлорежущих станков.</w:t>
      </w:r>
    </w:p>
    <w:p w14:paraId="5F9CCEE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(1932 г.)- П. Пурмаль,</w:t>
      </w:r>
      <w:r w:rsidRPr="008127F8">
        <w:rPr>
          <w:rFonts w:ascii="Times New Roman" w:hAnsi="Times New Roman"/>
          <w:color w:val="000000" w:themeColor="text1"/>
          <w:sz w:val="16"/>
          <w:szCs w:val="16"/>
          <w:vertAlign w:val="superscript"/>
        </w:rPr>
        <w:t>104</w:t>
      </w:r>
      <w:r w:rsidRPr="008127F8">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II</w:t>
      </w:r>
      <w:r w:rsidRPr="008127F8">
        <w:rPr>
          <w:rFonts w:ascii="Times New Roman" w:hAnsi="Times New Roman"/>
          <w:color w:val="000000" w:themeColor="text1"/>
          <w:sz w:val="16"/>
          <w:szCs w:val="16"/>
        </w:rPr>
        <w:t>. Горин.</w:t>
      </w:r>
    </w:p>
    <w:p w14:paraId="1DB9BC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(-06-20.12.1937 г.)- П.Б. Рудини (снят); по строительству (28.02.1937 г.-)- И.П. Афанасьев.</w:t>
      </w:r>
    </w:p>
    <w:p w14:paraId="798317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(01.1937-39 г.)- А.И. Путилов (репрессирован), (-06-20.12.1937 г.)- П.Б. Рудини,</w:t>
      </w:r>
      <w:r w:rsidRPr="008127F8">
        <w:rPr>
          <w:rFonts w:ascii="Times New Roman" w:hAnsi="Times New Roman"/>
          <w:color w:val="000000" w:themeColor="text1"/>
          <w:sz w:val="16"/>
          <w:szCs w:val="16"/>
          <w:vertAlign w:val="superscript"/>
        </w:rPr>
        <w:t>139</w:t>
      </w:r>
      <w:r w:rsidRPr="008127F8">
        <w:rPr>
          <w:rFonts w:ascii="Times New Roman" w:hAnsi="Times New Roman"/>
          <w:color w:val="000000" w:themeColor="text1"/>
          <w:sz w:val="16"/>
          <w:szCs w:val="16"/>
        </w:rPr>
        <w:t xml:space="preserve"> (10.1941 г.)- В.К. Таиров.</w:t>
      </w:r>
    </w:p>
    <w:p w14:paraId="353434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(1932 г.-)- Умберто Нобиле.</w:t>
      </w:r>
      <w:r w:rsidRPr="008127F8">
        <w:rPr>
          <w:rFonts w:ascii="Times New Roman" w:hAnsi="Times New Roman"/>
          <w:color w:val="000000" w:themeColor="text1"/>
          <w:sz w:val="16"/>
          <w:szCs w:val="16"/>
          <w:vertAlign w:val="superscript"/>
        </w:rPr>
        <w:t>104</w:t>
      </w:r>
    </w:p>
    <w:p w14:paraId="2EBF27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КБ «Дирижаблестроя» (1938-46 г.)- Умберто Нобиле.</w:t>
      </w:r>
    </w:p>
    <w:p w14:paraId="765B4E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27EC52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207 НКАП гл. конструкторов А.А. Боровкова и И.Ф. Флорова</w:t>
      </w:r>
    </w:p>
    <w:p w14:paraId="3031E5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05300E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1FAC640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СЖБ-207 НКАП гл. конструктора С.А. Кочеригина</w:t>
      </w:r>
    </w:p>
    <w:p w14:paraId="33869B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4E050B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266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было проведено обследование ряда авиазаводов.</w:t>
      </w:r>
    </w:p>
    <w:p w14:paraId="1B38A61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ИТР на обследованных Оргавианромом в апреле 1942 г. самолётостроительных заводах в % к общему числу работников (РГАЭ. Ф. 8044. Оп.1. Д. 2843. Л. 31)</w:t>
      </w:r>
    </w:p>
    <w:tbl>
      <w:tblPr>
        <w:tblW w:w="0" w:type="auto"/>
        <w:tblInd w:w="8" w:type="dxa"/>
        <w:tblLayout w:type="fixed"/>
        <w:tblCellMar>
          <w:left w:w="0" w:type="dxa"/>
          <w:right w:w="0" w:type="dxa"/>
        </w:tblCellMar>
        <w:tblLook w:val="0000" w:firstRow="0" w:lastRow="0" w:firstColumn="0" w:lastColumn="0" w:noHBand="0" w:noVBand="0"/>
      </w:tblPr>
      <w:tblGrid>
        <w:gridCol w:w="2030"/>
        <w:gridCol w:w="965"/>
        <w:gridCol w:w="965"/>
        <w:gridCol w:w="970"/>
        <w:gridCol w:w="984"/>
      </w:tblGrid>
      <w:tr w:rsidR="006F4095" w:rsidRPr="008127F8" w14:paraId="0BE86230" w14:textId="77777777">
        <w:trPr>
          <w:trHeight w:val="230"/>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6748DD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Лиюд*</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71686D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инженеров</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E4063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техвшн»</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1742F4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пристигав</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EB8A0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ИТР</w:t>
            </w:r>
          </w:p>
        </w:tc>
      </w:tr>
      <w:tr w:rsidR="006F4095" w:rsidRPr="008127F8" w14:paraId="3E4DAF99" w14:textId="77777777">
        <w:trPr>
          <w:trHeight w:val="226"/>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6D0B82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6D8963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AB154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0FF0AE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F6D47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34,4</w:t>
            </w:r>
          </w:p>
        </w:tc>
      </w:tr>
      <w:tr w:rsidR="006F4095" w:rsidRPr="008127F8" w14:paraId="340E862A" w14:textId="77777777">
        <w:trPr>
          <w:trHeight w:val="221"/>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455663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3F02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7258FC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5AC889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A3EBE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w:t>
            </w:r>
          </w:p>
        </w:tc>
      </w:tr>
      <w:tr w:rsidR="006F4095" w:rsidRPr="008127F8" w14:paraId="125CCA8B" w14:textId="77777777">
        <w:trPr>
          <w:trHeight w:val="221"/>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2C3DD9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5BE0AB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552DCE7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5955B5B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82A1B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tc>
      </w:tr>
      <w:tr w:rsidR="006F4095" w:rsidRPr="008127F8" w14:paraId="3AE5DA27" w14:textId="77777777">
        <w:trPr>
          <w:trHeight w:val="221"/>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0CD303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6495A6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71D34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5675BB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DAB97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33,2</w:t>
            </w:r>
          </w:p>
        </w:tc>
      </w:tr>
      <w:tr w:rsidR="006F4095" w:rsidRPr="008127F8" w14:paraId="3B4CF71D" w14:textId="77777777">
        <w:trPr>
          <w:trHeight w:val="226"/>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1EEEE70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E20ED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603998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1C8BC7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97AE9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w:t>
            </w:r>
          </w:p>
        </w:tc>
      </w:tr>
      <w:tr w:rsidR="006F4095" w:rsidRPr="008127F8" w14:paraId="1CB08268" w14:textId="77777777">
        <w:trPr>
          <w:trHeight w:val="240"/>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12B0F2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всем обследованным заводам</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295884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3DFC1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7A12CCA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E429D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w:t>
            </w:r>
          </w:p>
        </w:tc>
      </w:tr>
    </w:tbl>
    <w:p w14:paraId="3A87A1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видим, подавляющее большинство инженерно-техни</w:t>
      </w:r>
      <w:r w:rsidRPr="008127F8">
        <w:rPr>
          <w:rFonts w:ascii="Times New Roman" w:hAnsi="Times New Roman"/>
          <w:color w:val="000000" w:themeColor="text1"/>
          <w:sz w:val="16"/>
          <w:szCs w:val="16"/>
        </w:rPr>
        <w:softHyphen/>
        <w:t>ческого персонала собственно инженерами не являлось. То есть инженерные должности занимали люди без высшего образования, овладевшие соответствующей специализацией без отрыва от производства.</w:t>
      </w:r>
    </w:p>
    <w:p w14:paraId="0043F8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Авиапредприятия постоянно испытывали нехватку инженерно-технических сотрудников, поэтому нередки были случаи переманивания инженеров с одного завода на другой. Хотя формально это шло вразрез с официальной линией на закрепление рабочих кадров, борьбу с текучестью и «де</w:t>
      </w:r>
      <w:r w:rsidRPr="008127F8">
        <w:rPr>
          <w:rFonts w:ascii="Times New Roman" w:hAnsi="Times New Roman"/>
          <w:color w:val="000000" w:themeColor="text1"/>
          <w:sz w:val="16"/>
          <w:szCs w:val="16"/>
        </w:rPr>
        <w:softHyphen/>
        <w:t xml:space="preserve">зертирством с трудового фронта», как правило, директорам «заводов-похитителей» удавалось отстоять «беглецов»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6432. Л. 14—15). На</w:t>
      </w:r>
      <w:r w:rsidRPr="008127F8">
        <w:rPr>
          <w:rFonts w:ascii="Times New Roman" w:hAnsi="Times New Roman"/>
          <w:color w:val="000000" w:themeColor="text1"/>
          <w:sz w:val="16"/>
          <w:szCs w:val="16"/>
        </w:rPr>
        <w:softHyphen/>
        <w:t>конец, следует учитывать, что в условиях крайнего дефицита ИТР руководство авиапредприятий нередко было вынуждено ставить во главе цехов и участков сотрудников, пусть с инже</w:t>
      </w:r>
      <w:r w:rsidRPr="008127F8">
        <w:rPr>
          <w:rFonts w:ascii="Times New Roman" w:hAnsi="Times New Roman"/>
          <w:color w:val="000000" w:themeColor="text1"/>
          <w:sz w:val="16"/>
          <w:szCs w:val="16"/>
        </w:rPr>
        <w:softHyphen/>
        <w:t>нерным дипломом, но имеющих совершенно иную, нежели авиастроение, специализацию. Скажем, на авиазаводе № 153 начальником цеха сборки самолётов являлся инженер по специальности «холодная обработка металла», никогда «по- настоящему не видевший самолётов» (</w:t>
      </w:r>
      <w:r w:rsidRPr="008127F8">
        <w:rPr>
          <w:rFonts w:ascii="Times New Roman" w:hAnsi="Times New Roman"/>
          <w:iCs/>
          <w:color w:val="000000" w:themeColor="text1"/>
          <w:sz w:val="16"/>
          <w:szCs w:val="16"/>
        </w:rPr>
        <w:t>Савицкий ИМ.</w:t>
      </w:r>
      <w:r w:rsidRPr="008127F8">
        <w:rPr>
          <w:rFonts w:ascii="Times New Roman" w:hAnsi="Times New Roman"/>
          <w:color w:val="000000" w:themeColor="text1"/>
          <w:sz w:val="16"/>
          <w:szCs w:val="16"/>
        </w:rPr>
        <w:t xml:space="preserve"> Указ. соч. С. 122) (12011).</w:t>
      </w:r>
    </w:p>
    <w:p w14:paraId="4AAC33D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DFD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приказом НКАП фронтовые, ремонтные мастерские, созданные на базе завода № 301, были оформлены, как ремонтный завод.</w:t>
      </w:r>
    </w:p>
    <w:p w14:paraId="09F76E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Исполняющим обязанности директора ремонтных мастерских, а затем ремонтного завода, был назначен Угольков С.Н. Основная производственная деятельность заключалась в проведении капитально-восстановительного ремонта самолетов ЯК-1, ЯК-7 и ЛАГГ-3, как на территории завода, так и непосредственно в в/ч, в полевых условиях. Одновременно завод занимался сборкой, отладкой и испытанием новых самолетов, изготовленных заводом № 153 и другими.</w:t>
      </w:r>
    </w:p>
    <w:p w14:paraId="7467A5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года завод организовал производство по изготовлению деревянных частей крыла к самолету ЯК-7б для завода № 82 НКАП. С октября 1942 года завод приступил к изготовлению металлических частей для крыла и к сдаче крыла в готовом виде заводу № 82 сначала для самолетов ЯК-7, а с 1944 года – для самолетов ЯК-9. В июле 1942 года директором завода был назначен Смирнов И.Н.</w:t>
      </w:r>
    </w:p>
    <w:p w14:paraId="474EE2A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385955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Директором завода в мае 1945 года был назначен Сычев В.В.</w:t>
      </w:r>
    </w:p>
    <w:p w14:paraId="56213C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5418E8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приказом директором завода назначен гл. конструктор С.А. Лавочкин.</w:t>
      </w:r>
    </w:p>
    <w:p w14:paraId="5A96F0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81 помещался на территории завода № 381. Производственное слияние резко увеличило мощности завода …</w:t>
      </w:r>
      <w:proofErr w:type="gramStart"/>
      <w:r w:rsidRPr="008127F8">
        <w:rPr>
          <w:rFonts w:ascii="Times New Roman" w:hAnsi="Times New Roman"/>
          <w:color w:val="000000" w:themeColor="text1"/>
          <w:sz w:val="16"/>
          <w:szCs w:val="16"/>
        </w:rPr>
        <w:t>…….</w:t>
      </w:r>
      <w:proofErr w:type="gramEnd"/>
      <w:r w:rsidRPr="008127F8">
        <w:rPr>
          <w:rFonts w:ascii="Times New Roman" w:hAnsi="Times New Roman"/>
          <w:color w:val="000000" w:themeColor="text1"/>
          <w:sz w:val="16"/>
          <w:szCs w:val="16"/>
        </w:rPr>
        <w:t>.(9602).</w:t>
      </w:r>
    </w:p>
    <w:p w14:paraId="6B9292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B45E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04.1942 г. филиал реорганизован в ГС Завод №450 НКАП.</w:t>
      </w:r>
    </w:p>
    <w:p w14:paraId="72B6CA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697221A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1945 г. началась сборка Ил-4 из готовых комплектующих.</w:t>
      </w:r>
    </w:p>
    <w:p w14:paraId="5A82B2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8127F8">
        <w:rPr>
          <w:rFonts w:ascii="Times New Roman" w:hAnsi="Times New Roman"/>
          <w:color w:val="000000" w:themeColor="text1"/>
          <w:sz w:val="16"/>
          <w:szCs w:val="16"/>
          <w:vertAlign w:val="superscript"/>
        </w:rPr>
        <w:t>р</w:t>
      </w:r>
      <w:r w:rsidRPr="008127F8">
        <w:rPr>
          <w:rFonts w:ascii="Times New Roman" w:hAnsi="Times New Roman"/>
          <w:smallCaps/>
          <w:color w:val="000000" w:themeColor="text1"/>
          <w:sz w:val="16"/>
          <w:szCs w:val="16"/>
        </w:rPr>
        <w:t>нуч</w:t>
      </w:r>
      <w:r w:rsidRPr="008127F8">
        <w:rPr>
          <w:rFonts w:ascii="Times New Roman" w:hAnsi="Times New Roman"/>
          <w:color w:val="000000" w:themeColor="text1"/>
          <w:sz w:val="16"/>
          <w:szCs w:val="16"/>
        </w:rPr>
        <w:t>1*</w:t>
      </w:r>
      <w:r w:rsidRPr="008127F8">
        <w:rPr>
          <w:rFonts w:ascii="Times New Roman" w:hAnsi="Times New Roman"/>
          <w:smallCaps/>
          <w:color w:val="000000" w:themeColor="text1"/>
          <w:sz w:val="16"/>
          <w:szCs w:val="16"/>
        </w:rPr>
        <w:t xml:space="preserve">г </w:t>
      </w:r>
      <w:r w:rsidRPr="008127F8">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62FF26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Представителем ОКБ-240 на заводе </w:t>
      </w:r>
      <w:proofErr w:type="gramStart"/>
      <w:r w:rsidRPr="008127F8">
        <w:rPr>
          <w:rFonts w:ascii="Times New Roman" w:hAnsi="Times New Roman"/>
          <w:color w:val="000000" w:themeColor="text1"/>
          <w:sz w:val="16"/>
          <w:szCs w:val="16"/>
        </w:rPr>
        <w:t>был  Г.Е.</w:t>
      </w:r>
      <w:proofErr w:type="gramEnd"/>
      <w:r w:rsidRPr="008127F8">
        <w:rPr>
          <w:rFonts w:ascii="Times New Roman" w:hAnsi="Times New Roman"/>
          <w:color w:val="000000" w:themeColor="text1"/>
          <w:sz w:val="16"/>
          <w:szCs w:val="16"/>
        </w:rPr>
        <w:t xml:space="preserve">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71792B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w:t>
      </w:r>
      <w:r w:rsidRPr="008127F8">
        <w:rPr>
          <w:rFonts w:ascii="Times New Roman" w:hAnsi="Times New Roman"/>
          <w:color w:val="000000" w:themeColor="text1"/>
          <w:sz w:val="16"/>
          <w:szCs w:val="16"/>
          <w:lang w:val="en-US"/>
        </w:rPr>
        <w:t>CMCCGP</w:t>
      </w:r>
      <w:r w:rsidRPr="008127F8">
        <w:rPr>
          <w:rFonts w:ascii="Times New Roman" w:hAnsi="Times New Roman"/>
          <w:color w:val="000000" w:themeColor="text1"/>
          <w:sz w:val="16"/>
          <w:szCs w:val="16"/>
        </w:rPr>
        <w:t xml:space="preserve"> № 713-342 от 26.06.1957 г. передан в Воронежский СНХ РСФСР,</w:t>
      </w:r>
    </w:p>
    <w:p w14:paraId="5083DE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6E0EB3C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4513BC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 построен корпус № 2 с пролетом 100 м для окончательной сборки Ту-144.</w:t>
      </w:r>
    </w:p>
    <w:p w14:paraId="213900C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22DE94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4FF0E8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Изготавливал комплектующие для ОК «Буран».</w:t>
      </w:r>
    </w:p>
    <w:p w14:paraId="681FB3B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233EA3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350CFF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(1.04.2003 г.)- 10.570 чел.</w:t>
      </w:r>
    </w:p>
    <w:p w14:paraId="4EC5A6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Директор (02.1944 г.)- Сердюк, (1950 г.)- г-м В.Н. Смирнов. Гендиректор (1998-30.09.2005 г.)- В.А. Саликов; И.О. гендиректора (10.2005-02.2006 г.)- М.Н. Шушпанов; (16.02.2006-08 г.-)- М.Н. Шушпанов.</w:t>
      </w:r>
    </w:p>
    <w:p w14:paraId="0F9A76F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33D338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4921CA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(2004 г.)- В.В. Кефели. Гл. диспетчер (1972 г.-)- Ю.Т. Киреев.</w:t>
      </w:r>
    </w:p>
    <w:p w14:paraId="3062E69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Центра маркетинга и продаж (2005 г.)- В.А. Тулупов.</w:t>
      </w:r>
    </w:p>
    <w:p w14:paraId="5D3446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сборочного- Ю.Т. Киреев; сотовых конструкций- Ю.Т. Киреев.</w:t>
      </w:r>
    </w:p>
    <w:p w14:paraId="398F14E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(1950-е)- Вульман.</w:t>
      </w:r>
    </w:p>
    <w:p w14:paraId="4121B7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СКО (1950-е)- Мачурин.</w:t>
      </w:r>
    </w:p>
    <w:p w14:paraId="4588FA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самолеты: Ил-4 (1945-), Ил-10 (1947-49), Ил-12 (1949-), Ил-28 (1949-54), Ту-16 (1955-57)- 165</w:t>
      </w:r>
      <w:r w:rsidRPr="008127F8">
        <w:rPr>
          <w:rFonts w:ascii="Times New Roman" w:hAnsi="Times New Roman"/>
          <w:color w:val="000000" w:themeColor="text1"/>
          <w:sz w:val="16"/>
          <w:szCs w:val="16"/>
          <w:vertAlign w:val="superscript"/>
        </w:rPr>
        <w:t>31</w:t>
      </w:r>
      <w:r w:rsidRPr="008127F8">
        <w:rPr>
          <w:rFonts w:ascii="Times New Roman" w:hAnsi="Times New Roman"/>
          <w:color w:val="000000" w:themeColor="text1"/>
          <w:sz w:val="16"/>
          <w:szCs w:val="16"/>
        </w:rPr>
        <w:t>; Ан-10 (1957-12.1959), Ан-ЮА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32FF9E6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БПЛА: ДБР-1 «Ястреб» (1962-72)- 52, «Стриж», «Рейс»;</w:t>
      </w:r>
    </w:p>
    <w:p w14:paraId="136D9A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6ED9B20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8127F8">
        <w:rPr>
          <w:rFonts w:ascii="Times New Roman" w:hAnsi="Times New Roman"/>
          <w:color w:val="000000" w:themeColor="text1"/>
          <w:sz w:val="16"/>
          <w:szCs w:val="16"/>
          <w:lang w:val="en-US"/>
        </w:rPr>
        <w:t>Ms</w:t>
      </w:r>
      <w:r w:rsidRPr="008127F8">
        <w:rPr>
          <w:rFonts w:ascii="Times New Roman" w:hAnsi="Times New Roman"/>
          <w:color w:val="000000" w:themeColor="text1"/>
          <w:sz w:val="16"/>
          <w:szCs w:val="16"/>
        </w:rPr>
        <w:t xml:space="preserve"> самолета в серии (11982).</w:t>
      </w:r>
    </w:p>
    <w:p w14:paraId="309059F1" w14:textId="77777777" w:rsidR="00F76B33" w:rsidRPr="008127F8" w:rsidRDefault="00F76B33"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735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на базе филиала завода № 472 был организован филиал завода № 145 НКАП.</w:t>
      </w:r>
    </w:p>
    <w:p w14:paraId="572AD1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Правительства от 3 июня 1942 года и согласно приказу НКАП от 16 июня 1942 года за № 533 здесь создается завод № 455 НКАП с выпуском в 1942-1943 гг. деталей самолета – лент-расчалок и химических приборов: ВАП-6, ВАП-100 и ВАП-250. 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 В 1946 году приказом МАП № 738 от 19 ноября – профилирован как завод электромашин и агрегатов бомбардировочного вооружения.</w:t>
      </w:r>
    </w:p>
    <w:p w14:paraId="20B6C8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1F43FB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0E1479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Костино Мытищинского района Московской области</w:t>
      </w:r>
    </w:p>
    <w:p w14:paraId="4283243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Первый директор – </w:t>
      </w:r>
      <w:proofErr w:type="gramStart"/>
      <w:r w:rsidRPr="008127F8">
        <w:rPr>
          <w:rFonts w:ascii="Times New Roman" w:hAnsi="Times New Roman"/>
          <w:color w:val="000000" w:themeColor="text1"/>
          <w:sz w:val="16"/>
          <w:szCs w:val="16"/>
        </w:rPr>
        <w:t>Сорокин</w:t>
      </w:r>
      <w:proofErr w:type="gramEnd"/>
      <w:r w:rsidRPr="008127F8">
        <w:rPr>
          <w:rFonts w:ascii="Times New Roman" w:hAnsi="Times New Roman"/>
          <w:color w:val="000000" w:themeColor="text1"/>
          <w:sz w:val="16"/>
          <w:szCs w:val="16"/>
        </w:rPr>
        <w:t xml:space="preserve"> С апреля 1943 года – директор Горбунов М.П. С мая 1950 года – директор Аржаков М.П. (9616).</w:t>
      </w:r>
    </w:p>
    <w:p w14:paraId="3C110E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F9B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наконец завод № 22 начал работать по правительственному графику (5764,39).</w:t>
      </w:r>
    </w:p>
    <w:p w14:paraId="559F812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B98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директором завода № 213 был назначен Березин М.Д. В апреле 1944 года директором завода был назначен Гоцеридзе М.С. С января 1945 года – директор Кочеров П.П.</w:t>
      </w:r>
    </w:p>
    <w:p w14:paraId="1A7707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6374C09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110E04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213 должен был специализироваться на выпуске авиационных приборов, </w:t>
      </w:r>
      <w:proofErr w:type="gramStart"/>
      <w:r w:rsidRPr="008127F8">
        <w:rPr>
          <w:rFonts w:ascii="Times New Roman" w:hAnsi="Times New Roman"/>
          <w:color w:val="000000" w:themeColor="text1"/>
          <w:sz w:val="16"/>
          <w:szCs w:val="16"/>
        </w:rPr>
        <w:t>согласно проектного задания</w:t>
      </w:r>
      <w:proofErr w:type="gramEnd"/>
      <w:r w:rsidRPr="008127F8">
        <w:rPr>
          <w:rFonts w:ascii="Times New Roman" w:hAnsi="Times New Roman"/>
          <w:color w:val="000000" w:themeColor="text1"/>
          <w:sz w:val="16"/>
          <w:szCs w:val="16"/>
        </w:rPr>
        <w:t>, гироскопических и манометрических приборов.</w:t>
      </w:r>
    </w:p>
    <w:p w14:paraId="61BD54D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376C7CD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57FE41E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Смирнов</w:t>
      </w:r>
    </w:p>
    <w:p w14:paraId="5033608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Саратов 5, п/я 176, Б. Садовая, д. 239</w:t>
      </w:r>
    </w:p>
    <w:p w14:paraId="5E0A45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4B1542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AF0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С.А.Москалев предложил использовать в качестве дневного или ночного легкого штурмовика самолет высокопланной схемы CAM-14 с мотором М-11Ф или МВ-4 мощностью 140 л. с. (9649).</w:t>
      </w:r>
    </w:p>
    <w:p w14:paraId="7DD4D92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CAM-14 прошел госиспытания, построен в двух экземплярах и проходил опытную эксплуатацию в отряде спецприменения.</w:t>
      </w:r>
    </w:p>
    <w:p w14:paraId="699ADF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Размеры самолета: площадь крыла - 21,86 м2, длина самолета - 8,06 м, размах крыла - 11,48 м. Самолет обладал высоким аэродинамическим качеством К=13,5.</w:t>
      </w:r>
    </w:p>
    <w:p w14:paraId="756A8B6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Предполагалось вооружить самолет двумя крыльевыми пулеметами ШКАС с запасом 1000 патронов, восемь PC-132 и 4 PC-82.</w:t>
      </w:r>
    </w:p>
    <w:p w14:paraId="137388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Внутри фюзеляжа в бомбоотсеке могли размещаться 4 ФАБ-50 или четыре ФАБ-100 или 18 АО-15 или 80 АО-2,5. Прицел ПБП-1. Предусматривалась задняя шкворневая установка под ШКАС с запасом 500 патронов. Броня для защиты летчика - 80 кг.</w:t>
      </w:r>
    </w:p>
    <w:p w14:paraId="524671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ожидалась 195,7 км/ч. Дальность полета - 550 (в перегрузку 1200) км. Практический потолок - 4200 м. Длина разбега -240, пробега - 190 м.</w:t>
      </w:r>
    </w:p>
    <w:p w14:paraId="738D7C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деревянной конструкции с фанерной и полотняной обшивкой.</w:t>
      </w:r>
    </w:p>
    <w:p w14:paraId="15E44C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 шпангоутно-ферменный с фанерной и полотняной обшивкой.</w:t>
      </w:r>
    </w:p>
    <w:p w14:paraId="726A40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передней части фюзеляжа кабина летчика, далее бомбовый отсек и стрелок. Бомбовый отсек при необходимости может использоваться для перевозки четырех пассажиров. Вход и выход через дверь на левом борту.</w:t>
      </w:r>
    </w:p>
    <w:p w14:paraId="712B10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Моторама из стали и дюраля. Винт деревянный двухлопастный.</w:t>
      </w:r>
    </w:p>
    <w:p w14:paraId="1C37E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Крыло деревянное двухлонжерон-ное трапецевидной формы в плане, переходящее в эллипс на концевой части. Покрытие крыла фанерное, частично полотняное. В местах подвески реактивных орудий поставлены дюралевые листы. Имеются щитки-закрылки. Элероны снабжены </w:t>
      </w:r>
      <w:proofErr w:type="gramStart"/>
      <w:r w:rsidRPr="008127F8">
        <w:rPr>
          <w:rFonts w:ascii="Times New Roman" w:hAnsi="Times New Roman"/>
          <w:color w:val="000000" w:themeColor="text1"/>
          <w:sz w:val="16"/>
          <w:szCs w:val="16"/>
        </w:rPr>
        <w:t>тримме-рами</w:t>
      </w:r>
      <w:proofErr w:type="gramEnd"/>
      <w:r w:rsidRPr="008127F8">
        <w:rPr>
          <w:rFonts w:ascii="Times New Roman" w:hAnsi="Times New Roman"/>
          <w:color w:val="000000" w:themeColor="text1"/>
          <w:sz w:val="16"/>
          <w:szCs w:val="16"/>
        </w:rPr>
        <w:t>, регулируемыми на земле.</w:t>
      </w:r>
    </w:p>
    <w:p w14:paraId="2882E4D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Оперение деревянное </w:t>
      </w:r>
      <w:proofErr w:type="gramStart"/>
      <w:r w:rsidRPr="008127F8">
        <w:rPr>
          <w:rFonts w:ascii="Times New Roman" w:hAnsi="Times New Roman"/>
          <w:color w:val="000000" w:themeColor="text1"/>
          <w:sz w:val="16"/>
          <w:szCs w:val="16"/>
        </w:rPr>
        <w:t>свободно-несущее</w:t>
      </w:r>
      <w:proofErr w:type="gramEnd"/>
      <w:r w:rsidRPr="008127F8">
        <w:rPr>
          <w:rFonts w:ascii="Times New Roman" w:hAnsi="Times New Roman"/>
          <w:color w:val="000000" w:themeColor="text1"/>
          <w:sz w:val="16"/>
          <w:szCs w:val="16"/>
        </w:rPr>
        <w:t>. Стабилизатор двухлонже-ронный с набором нервюр. На рулях триммеры.</w:t>
      </w:r>
    </w:p>
    <w:p w14:paraId="409294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Шасси безосного типа. Состоит из полуоси и подкоса. Амортизация резиновая пластинчатая. Колеса 270х210 мм. </w:t>
      </w:r>
      <w:proofErr w:type="gramStart"/>
      <w:r w:rsidRPr="008127F8">
        <w:rPr>
          <w:rFonts w:ascii="Times New Roman" w:hAnsi="Times New Roman"/>
          <w:color w:val="000000" w:themeColor="text1"/>
          <w:sz w:val="16"/>
          <w:szCs w:val="16"/>
        </w:rPr>
        <w:t>Костыль</w:t>
      </w:r>
      <w:proofErr w:type="gramEnd"/>
      <w:r w:rsidRPr="008127F8">
        <w:rPr>
          <w:rFonts w:ascii="Times New Roman" w:hAnsi="Times New Roman"/>
          <w:color w:val="000000" w:themeColor="text1"/>
          <w:sz w:val="16"/>
          <w:szCs w:val="16"/>
        </w:rPr>
        <w:t xml:space="preserve"> управляемый с резиновой амортизацией.</w:t>
      </w:r>
    </w:p>
    <w:p w14:paraId="525BB9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отмечалось, что проект выполнен небрежно, особенно в вопросах обоснования летных данных, и предложение Москалева не может быть принято. Отмечалось, что для защиты от пуль калибра 15 мм толщина брони недостаточна (9649).</w:t>
      </w:r>
    </w:p>
    <w:p w14:paraId="23D9F1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011F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планер КТ А-40 для Т-60 О.К.А. изготовили в Тюмени (2676).</w:t>
      </w:r>
    </w:p>
    <w:p w14:paraId="4CBE70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AC5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первые М-82 с НВ заводе №19 проши 50-часовые испы</w:t>
      </w:r>
      <w:r w:rsidRPr="008127F8">
        <w:rPr>
          <w:rFonts w:ascii="Times New Roman" w:hAnsi="Times New Roman"/>
          <w:color w:val="000000" w:themeColor="text1"/>
          <w:sz w:val="16"/>
          <w:szCs w:val="16"/>
        </w:rPr>
        <w:softHyphen/>
        <w:t>тания. Был получен прирост мощности около 50 л.с., но обнаружились и дефекты: течь бензина из соединений труб высокого давления, пло</w:t>
      </w:r>
      <w:r w:rsidRPr="008127F8">
        <w:rPr>
          <w:rFonts w:ascii="Times New Roman" w:hAnsi="Times New Roman"/>
          <w:color w:val="000000" w:themeColor="text1"/>
          <w:sz w:val="16"/>
          <w:szCs w:val="16"/>
        </w:rPr>
        <w:softHyphen/>
        <w:t>хой распыл топлива отдель</w:t>
      </w:r>
      <w:r w:rsidRPr="008127F8">
        <w:rPr>
          <w:rFonts w:ascii="Times New Roman" w:hAnsi="Times New Roman"/>
          <w:color w:val="000000" w:themeColor="text1"/>
          <w:sz w:val="16"/>
          <w:szCs w:val="16"/>
        </w:rPr>
        <w:softHyphen/>
        <w:t>ными форсунками, разрегу</w:t>
      </w:r>
      <w:r w:rsidRPr="008127F8">
        <w:rPr>
          <w:rFonts w:ascii="Times New Roman" w:hAnsi="Times New Roman"/>
          <w:color w:val="000000" w:themeColor="text1"/>
          <w:sz w:val="16"/>
          <w:szCs w:val="16"/>
        </w:rPr>
        <w:softHyphen/>
        <w:t>лировка автомата и другие (10705).</w:t>
      </w:r>
    </w:p>
    <w:p w14:paraId="099884A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617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цехах эвакуированного завода № 82 возник новый завод № 500. Он возобновил, хотя и в небольших количествах, выпуск М-30. С июня главным конструктором там стал освобожденный к тому времени Чаромский. В июле для работ по авиадизелям создали специальное ОКБ-500. Оно занялось доработкой М-30, который оснасти</w:t>
      </w:r>
      <w:r w:rsidRPr="008127F8">
        <w:rPr>
          <w:rFonts w:ascii="Times New Roman" w:hAnsi="Times New Roman"/>
          <w:color w:val="000000" w:themeColor="text1"/>
          <w:sz w:val="16"/>
          <w:szCs w:val="16"/>
        </w:rPr>
        <w:softHyphen/>
        <w:t>ли ПЦН от мотора АМ-38, получив тем самым модификацию М-ЗОБ. В серию ее запустили как АЧ-ЗОБ. Этот двигатель выпускался заводами № 500 и № 45 в Москве. Его устанавливали на серийные бомбарди</w:t>
      </w:r>
      <w:r w:rsidRPr="008127F8">
        <w:rPr>
          <w:rFonts w:ascii="Times New Roman" w:hAnsi="Times New Roman"/>
          <w:color w:val="000000" w:themeColor="text1"/>
          <w:sz w:val="16"/>
          <w:szCs w:val="16"/>
        </w:rPr>
        <w:softHyphen/>
        <w:t>ровщики Ер-2. Но надежность АЧ-30Б оставалась по-прежнему низкой. Это привело к тому, что в сентябре 1945 г. его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8127F8">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8127F8">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8127F8">
        <w:rPr>
          <w:rFonts w:ascii="Times New Roman" w:hAnsi="Times New Roman"/>
          <w:color w:val="000000" w:themeColor="text1"/>
          <w:sz w:val="16"/>
          <w:szCs w:val="16"/>
          <w:vertAlign w:val="superscript"/>
        </w:rPr>
        <w:t>т</w:t>
      </w:r>
      <w:r w:rsidRPr="008127F8">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8127F8">
        <w:rPr>
          <w:rFonts w:ascii="Times New Roman" w:hAnsi="Times New Roman"/>
          <w:color w:val="000000" w:themeColor="text1"/>
          <w:sz w:val="16"/>
          <w:szCs w:val="16"/>
        </w:rPr>
        <w:softHyphen/>
        <w:t xml:space="preserve">тором Герлахом сначала в Германии, а затем на </w:t>
      </w:r>
      <w:r w:rsidRPr="008127F8">
        <w:rPr>
          <w:rFonts w:ascii="Times New Roman" w:hAnsi="Times New Roman"/>
          <w:color w:val="000000" w:themeColor="text1"/>
          <w:sz w:val="16"/>
          <w:szCs w:val="16"/>
        </w:rPr>
        <w:lastRenderedPageBreak/>
        <w:t>заводе № 500. Работу над М-224 приостановили в ноябре 1947 г., поскольку Яковлеву удалось дока</w:t>
      </w:r>
      <w:r w:rsidRPr="008127F8">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8127F8">
        <w:rPr>
          <w:rFonts w:ascii="Times New Roman" w:hAnsi="Times New Roman"/>
          <w:color w:val="000000" w:themeColor="text1"/>
          <w:sz w:val="16"/>
          <w:szCs w:val="16"/>
        </w:rPr>
        <w:softHyphen/>
        <w:t>го бомбардировщика Туполева — сверхдальнего носителя ядерного ору</w:t>
      </w:r>
      <w:r w:rsidRPr="008127F8">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8127F8">
        <w:rPr>
          <w:rFonts w:ascii="Times New Roman" w:hAnsi="Times New Roman"/>
          <w:color w:val="000000" w:themeColor="text1"/>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8127F8">
        <w:rPr>
          <w:rFonts w:ascii="Times New Roman" w:hAnsi="Times New Roman"/>
          <w:color w:val="000000" w:themeColor="text1"/>
          <w:sz w:val="16"/>
          <w:szCs w:val="16"/>
        </w:rPr>
        <w:softHyphen/>
        <w:t>телям, в том числе и по дизелям, свернули. Некоторые конструкторы за</w:t>
      </w:r>
      <w:r w:rsidRPr="008127F8">
        <w:rPr>
          <w:rFonts w:ascii="Times New Roman" w:hAnsi="Times New Roman"/>
          <w:color w:val="000000" w:themeColor="text1"/>
          <w:sz w:val="16"/>
          <w:szCs w:val="16"/>
        </w:rPr>
        <w:softHyphen/>
        <w:t>нялись ТРД и ТВД, другие перешли к моторам для бронетанковой техни</w:t>
      </w:r>
      <w:r w:rsidRPr="008127F8">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8127F8">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8127F8">
        <w:rPr>
          <w:rFonts w:ascii="Times New Roman" w:hAnsi="Times New Roman"/>
          <w:color w:val="000000" w:themeColor="text1"/>
          <w:sz w:val="16"/>
          <w:szCs w:val="16"/>
        </w:rPr>
        <w:softHyphen/>
        <w:t>но недорогих «деловых» самолетов, обладавших, тем не менее, доволь</w:t>
      </w:r>
      <w:r w:rsidRPr="008127F8">
        <w:rPr>
          <w:rFonts w:ascii="Times New Roman" w:hAnsi="Times New Roman"/>
          <w:color w:val="000000" w:themeColor="text1"/>
          <w:sz w:val="16"/>
          <w:szCs w:val="16"/>
        </w:rPr>
        <w:softHyphen/>
        <w:t>но значительной продолжительностью полета. В Рыбинске под руковод</w:t>
      </w:r>
      <w:r w:rsidRPr="008127F8">
        <w:rPr>
          <w:rFonts w:ascii="Times New Roman" w:hAnsi="Times New Roman"/>
          <w:color w:val="000000" w:themeColor="text1"/>
          <w:sz w:val="16"/>
          <w:szCs w:val="16"/>
        </w:rPr>
        <w:softHyphen/>
        <w:t xml:space="preserve">ством А.С. Новикова спроектировали трехцилиндровый дизель ДН-200 с противоположно движущимися поршнями. С 1991 г. началась отработка </w:t>
      </w:r>
      <w:proofErr w:type="gramStart"/>
      <w:r w:rsidRPr="008127F8">
        <w:rPr>
          <w:rFonts w:ascii="Times New Roman" w:hAnsi="Times New Roman"/>
          <w:color w:val="000000" w:themeColor="text1"/>
          <w:sz w:val="16"/>
          <w:szCs w:val="16"/>
        </w:rPr>
        <w:t>цилиндро-поршневой</w:t>
      </w:r>
      <w:proofErr w:type="gramEnd"/>
      <w:r w:rsidRPr="008127F8">
        <w:rPr>
          <w:rFonts w:ascii="Times New Roman" w:hAnsi="Times New Roman"/>
          <w:color w:val="000000" w:themeColor="text1"/>
          <w:sz w:val="16"/>
          <w:szCs w:val="16"/>
        </w:rPr>
        <w:t xml:space="preserve"> группы на одноцилиндровом стенде. Появился и ряд других интересных проектов. В частности, в 2000 г. в Воронеже подгото</w:t>
      </w:r>
      <w:r w:rsidRPr="008127F8">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3F6B9C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9D2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из Уфы в Рыбинск, на старую площадку завода № 26, ставшего те</w:t>
      </w:r>
      <w:r w:rsidRPr="008127F8">
        <w:rPr>
          <w:rFonts w:ascii="Times New Roman" w:hAnsi="Times New Roman"/>
          <w:color w:val="000000" w:themeColor="text1"/>
          <w:sz w:val="16"/>
          <w:szCs w:val="16"/>
        </w:rPr>
        <w:softHyphen/>
        <w:t>перь авиамотороремонтным заводом № 36, было отправле</w:t>
      </w:r>
      <w:r w:rsidRPr="008127F8">
        <w:rPr>
          <w:rFonts w:ascii="Times New Roman" w:hAnsi="Times New Roman"/>
          <w:color w:val="000000" w:themeColor="text1"/>
          <w:sz w:val="16"/>
          <w:szCs w:val="16"/>
        </w:rPr>
        <w:softHyphen/>
        <w:t>но 130 человек, причём желающих реэвакуироваться было много больше (Авиадвигатели «Сатурна». М., 2003. С. 69). Обстановка на фронте сравнительно быстро поставила на планах массовой реэвакуации крест, но НКАПу пришлось иметь дело со своеобразным «шлейфом» таких настроений. Дело в том, что бытовые условия в местах эва</w:t>
      </w:r>
      <w:r w:rsidRPr="008127F8">
        <w:rPr>
          <w:rFonts w:ascii="Times New Roman" w:hAnsi="Times New Roman"/>
          <w:color w:val="000000" w:themeColor="text1"/>
          <w:sz w:val="16"/>
          <w:szCs w:val="16"/>
        </w:rPr>
        <w:softHyphen/>
        <w:t>куации были практически везде существенно хуже, чем в до</w:t>
      </w:r>
      <w:r w:rsidRPr="008127F8">
        <w:rPr>
          <w:rFonts w:ascii="Times New Roman" w:hAnsi="Times New Roman"/>
          <w:color w:val="000000" w:themeColor="text1"/>
          <w:sz w:val="16"/>
          <w:szCs w:val="16"/>
        </w:rPr>
        <w:softHyphen/>
        <w:t>военных регионах дислокации. Поэтому определённая часть персонала рвалась в реэвакуацию любыми средствами (12011).</w:t>
      </w:r>
    </w:p>
    <w:p w14:paraId="5CC7483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A94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Москве на старой площадке завода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образован филиал завода, который преобразован в самостоятельный завод № 382 (11982).</w:t>
      </w:r>
    </w:p>
    <w:p w14:paraId="5083DB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273A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 по октябрь 1943 г. по стране в целом производительность труда возросла на 39,2 %, то в авиапромышленности — на 40,9 % (Самолётостроение в СССР. 1917—1945. Кн. 2. М., 1994. С. 225). В дальнейшем тен</w:t>
      </w:r>
      <w:r w:rsidRPr="008127F8">
        <w:rPr>
          <w:rFonts w:ascii="Times New Roman" w:hAnsi="Times New Roman"/>
          <w:color w:val="000000" w:themeColor="text1"/>
          <w:sz w:val="16"/>
          <w:szCs w:val="16"/>
        </w:rPr>
        <w:softHyphen/>
        <w:t>денция опережающего роста производительности труда в авиапромышленности ещё более усилилась. В апреле 1944 г. по стране в целом производительность труда по СССР в целом по сравнению с апрелем 1942 г. возросла на 40 %, а по авиапромышленно</w:t>
      </w:r>
      <w:r w:rsidRPr="008127F8">
        <w:rPr>
          <w:rFonts w:ascii="Times New Roman" w:hAnsi="Times New Roman"/>
          <w:color w:val="000000" w:themeColor="text1"/>
          <w:sz w:val="16"/>
          <w:szCs w:val="16"/>
        </w:rPr>
        <w:softHyphen/>
        <w:t>сти — на 47 %. Однако на фоне других отраслей «оборон</w:t>
      </w:r>
      <w:r w:rsidRPr="008127F8">
        <w:rPr>
          <w:rFonts w:ascii="Times New Roman" w:hAnsi="Times New Roman"/>
          <w:color w:val="000000" w:themeColor="text1"/>
          <w:sz w:val="16"/>
          <w:szCs w:val="16"/>
        </w:rPr>
        <w:softHyphen/>
        <w:t>ки» рост производительности труда в авиапромышленности не выглядит особо выдающимся: за май 1942 — май 1944 гг. этот показатель возрос в авиапромышленности на 47 %, в танковой промышленности на 43 % и лишь в промышленно</w:t>
      </w:r>
      <w:r w:rsidRPr="008127F8">
        <w:rPr>
          <w:rFonts w:ascii="Times New Roman" w:hAnsi="Times New Roman"/>
          <w:color w:val="000000" w:themeColor="text1"/>
          <w:sz w:val="16"/>
          <w:szCs w:val="16"/>
        </w:rPr>
        <w:softHyphen/>
        <w:t>сти боеприпасов на 54 %, а по промышленности в целом — на 40 % (</w:t>
      </w:r>
      <w:r w:rsidRPr="008127F8">
        <w:rPr>
          <w:rFonts w:ascii="Times New Roman" w:hAnsi="Times New Roman"/>
          <w:iCs/>
          <w:color w:val="000000" w:themeColor="text1"/>
          <w:sz w:val="16"/>
          <w:szCs w:val="16"/>
        </w:rPr>
        <w:t>Чадаев. Я.Е.</w:t>
      </w:r>
      <w:r w:rsidRPr="008127F8">
        <w:rPr>
          <w:rFonts w:ascii="Times New Roman" w:hAnsi="Times New Roman"/>
          <w:color w:val="000000" w:themeColor="text1"/>
          <w:sz w:val="16"/>
          <w:szCs w:val="16"/>
        </w:rPr>
        <w:t xml:space="preserve"> Указ. соч. С. 412). Всего за 1943—1945 гг. производительность труда на предприятиях НКАП возросла на 70,2 % (Самолётостроение в СССР. 1917—1945. Кн. 2. М., 1994. С. 226).</w:t>
      </w:r>
    </w:p>
    <w:p w14:paraId="409B4F0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Авиапром входил в группу отраслей промышленности, в которых было особенно широко представлено движение «двухсотников». В 1944 г. число рабочих-двухсотников по отношению к общему числу работающих составляло: в стан</w:t>
      </w:r>
      <w:r w:rsidRPr="008127F8">
        <w:rPr>
          <w:rFonts w:ascii="Times New Roman" w:hAnsi="Times New Roman"/>
          <w:color w:val="000000" w:themeColor="text1"/>
          <w:sz w:val="16"/>
          <w:szCs w:val="16"/>
        </w:rPr>
        <w:softHyphen/>
        <w:t>костроении — 25 %, в электропромышленности — 23,3 %, в авиационной промышленности — 23 %, на предприятиях минометного вооружения — 21,5 %, в тяжелом машиностро</w:t>
      </w:r>
      <w:r w:rsidRPr="008127F8">
        <w:rPr>
          <w:rFonts w:ascii="Times New Roman" w:hAnsi="Times New Roman"/>
          <w:color w:val="000000" w:themeColor="text1"/>
          <w:sz w:val="16"/>
          <w:szCs w:val="16"/>
        </w:rPr>
        <w:softHyphen/>
        <w:t>ении — 17 %, в промышленности боеприпасов —11 %, в хи</w:t>
      </w:r>
      <w:r w:rsidRPr="008127F8">
        <w:rPr>
          <w:rFonts w:ascii="Times New Roman" w:hAnsi="Times New Roman"/>
          <w:color w:val="000000" w:themeColor="text1"/>
          <w:sz w:val="16"/>
          <w:szCs w:val="16"/>
        </w:rPr>
        <w:softHyphen/>
        <w:t>мической промышленности —12 % (</w:t>
      </w:r>
      <w:r w:rsidRPr="008127F8">
        <w:rPr>
          <w:rFonts w:ascii="Times New Roman" w:hAnsi="Times New Roman"/>
          <w:iCs/>
          <w:color w:val="000000" w:themeColor="text1"/>
          <w:sz w:val="16"/>
          <w:szCs w:val="16"/>
        </w:rPr>
        <w:t>Парамонов В.</w:t>
      </w:r>
      <w:r w:rsidRPr="008127F8">
        <w:rPr>
          <w:rFonts w:ascii="Times New Roman" w:hAnsi="Times New Roman"/>
          <w:color w:val="000000" w:themeColor="text1"/>
          <w:sz w:val="16"/>
          <w:szCs w:val="16"/>
        </w:rPr>
        <w:t xml:space="preserve"> Россия в 1941—1945 гг.: проблемы индустриального раз</w:t>
      </w:r>
      <w:r w:rsidRPr="008127F8">
        <w:rPr>
          <w:rFonts w:ascii="Times New Roman" w:hAnsi="Times New Roman"/>
          <w:color w:val="000000" w:themeColor="text1"/>
          <w:sz w:val="16"/>
          <w:szCs w:val="16"/>
        </w:rPr>
        <w:softHyphen/>
        <w:t>вития. Самара, 1999. С. 321).</w:t>
      </w:r>
    </w:p>
    <w:p w14:paraId="213330C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Относительно новой формой трудовой самоорганизации, появившейся только в военные годы, стали «фронтовые бри</w:t>
      </w:r>
      <w:r w:rsidRPr="008127F8">
        <w:rPr>
          <w:rFonts w:ascii="Times New Roman" w:hAnsi="Times New Roman"/>
          <w:color w:val="000000" w:themeColor="text1"/>
          <w:sz w:val="16"/>
          <w:szCs w:val="16"/>
        </w:rPr>
        <w:softHyphen/>
        <w:t>гады» — молодёжные коллективы, которые работали «по- фронтовому», постоянно перевыполняя норму выработки на 150—200 %. Скажем, на авиазаводе № 18 в ноябре 1943 г. си</w:t>
      </w:r>
      <w:r w:rsidRPr="008127F8">
        <w:rPr>
          <w:rFonts w:ascii="Times New Roman" w:hAnsi="Times New Roman"/>
          <w:color w:val="000000" w:themeColor="text1"/>
          <w:sz w:val="16"/>
          <w:szCs w:val="16"/>
        </w:rPr>
        <w:softHyphen/>
        <w:t>туация выглядела следующим образом (Военно-промышленный комплекс Куйбышевской области... С. 81):</w:t>
      </w:r>
    </w:p>
    <w:tbl>
      <w:tblPr>
        <w:tblW w:w="0" w:type="auto"/>
        <w:tblInd w:w="8" w:type="dxa"/>
        <w:tblLayout w:type="fixed"/>
        <w:tblCellMar>
          <w:left w:w="0" w:type="dxa"/>
          <w:right w:w="0" w:type="dxa"/>
        </w:tblCellMar>
        <w:tblLook w:val="0000" w:firstRow="0" w:lastRow="0" w:firstColumn="0" w:lastColumn="0" w:noHBand="0" w:noVBand="0"/>
      </w:tblPr>
      <w:tblGrid>
        <w:gridCol w:w="3034"/>
        <w:gridCol w:w="854"/>
        <w:gridCol w:w="2059"/>
      </w:tblGrid>
      <w:tr w:rsidR="006F4095" w:rsidRPr="008127F8" w14:paraId="66548697" w14:textId="77777777">
        <w:trPr>
          <w:trHeight w:val="427"/>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43E34A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Показатель</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1B9E57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охваче</w:t>
            </w:r>
            <w:r w:rsidRPr="008127F8">
              <w:rPr>
                <w:rFonts w:ascii="Times New Roman" w:hAnsi="Times New Roman"/>
                <w:color w:val="000000" w:themeColor="text1"/>
                <w:sz w:val="16"/>
                <w:szCs w:val="16"/>
              </w:rPr>
              <w:softHyphen/>
              <w:t>но (чел.)</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3A46F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Удельный вес от всего перевила завода (%)</w:t>
            </w:r>
          </w:p>
        </w:tc>
      </w:tr>
      <w:tr w:rsidR="006F4095" w:rsidRPr="008127F8" w14:paraId="23E9FB9D"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53BC2A5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Соцсоревнование</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74B143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13818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F7704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85,1</w:t>
            </w:r>
          </w:p>
        </w:tc>
      </w:tr>
      <w:tr w:rsidR="006F4095" w:rsidRPr="008127F8" w14:paraId="1DE825B0"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26688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Стахановсте движение</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27C83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9001</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DD2753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45,9</w:t>
            </w:r>
          </w:p>
        </w:tc>
      </w:tr>
      <w:tr w:rsidR="006F4095" w:rsidRPr="008127F8" w14:paraId="19550DBA"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DFA8E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Ударников</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4046363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4734</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09A44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24,1</w:t>
            </w:r>
          </w:p>
        </w:tc>
      </w:tr>
      <w:tr w:rsidR="006F4095" w:rsidRPr="008127F8" w14:paraId="6748A70F" w14:textId="77777777">
        <w:trPr>
          <w:trHeight w:val="226"/>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EFC696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Двукошаа»</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46507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3171</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2D743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32,1</w:t>
            </w:r>
          </w:p>
        </w:tc>
      </w:tr>
      <w:tr w:rsidR="006F4095" w:rsidRPr="008127F8" w14:paraId="42E76E0F"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93DD4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Трёх-, четырёх- и шестисотники</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41E3F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78420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w:t>
            </w:r>
          </w:p>
        </w:tc>
      </w:tr>
      <w:tr w:rsidR="006F4095" w:rsidRPr="008127F8" w14:paraId="222C1268" w14:textId="77777777">
        <w:trPr>
          <w:trHeight w:val="240"/>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437619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Участие во фронтовых пшегпиах (всех типов)</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24AB0AB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4662</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0C7F5C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40,5</w:t>
            </w:r>
          </w:p>
        </w:tc>
      </w:tr>
    </w:tbl>
    <w:p w14:paraId="0FCAEE1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(12011).</w:t>
      </w:r>
    </w:p>
    <w:p w14:paraId="771C6E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DCD9"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1942 г. по октябрь 1943 г. в среднем по народному хозяйству производительность труда увеличилась на 39,2%, то в авиаиндустрии — на 40,9%. В дальнейшем эта тенденция усилилась: к апрелю 1944 г. по сравнению с тем же месяцем 1942 г. эффективность труда в авиастроении увеличилась на 47%, тогда как общий ее уровень в промышленности — на 40%. Темпы роста производительности труда в отрасли даже перекрывали государственные задания. Если в 1940 г. 1 тыс. рабочих производила 35,6 условных самолетов, то в 1943 г. — уже 78,8 (23472).</w:t>
      </w:r>
    </w:p>
    <w:p w14:paraId="62405CE0" w14:textId="77777777" w:rsidR="00924D84" w:rsidRPr="008A2E5A" w:rsidRDefault="00924D84" w:rsidP="00924D84">
      <w:pPr>
        <w:spacing w:after="0" w:line="240" w:lineRule="auto"/>
        <w:jc w:val="both"/>
        <w:rPr>
          <w:rFonts w:ascii="Times New Roman" w:hAnsi="Times New Roman"/>
          <w:color w:val="0070C0"/>
          <w:sz w:val="16"/>
          <w:szCs w:val="16"/>
        </w:rPr>
      </w:pPr>
    </w:p>
    <w:p w14:paraId="18C23A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на вооружение приняли 48 зарядную установку для снаряда М-8, а сам снаряд отрабатывался в РНИИ с сентября 1941 по февраль 1942 (384,194).</w:t>
      </w:r>
    </w:p>
    <w:p w14:paraId="6E4D148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0E57" w14:textId="77777777" w:rsidR="00984DDA" w:rsidRPr="008127F8" w:rsidRDefault="00984DDA"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апреле 1942 СКБ «Компрессор» под руководством ведущего конструктора Александра Николаевича Васильева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5971D5C7" w14:textId="77777777" w:rsidR="00984DDA" w:rsidRPr="008127F8" w:rsidRDefault="00984DDA"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августе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7F2319A4" w14:textId="02310DAF" w:rsidR="00984DDA" w:rsidRPr="008127F8" w:rsidRDefault="00984DDA"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8127F8">
        <w:rPr>
          <w:color w:val="000000" w:themeColor="text1"/>
          <w:sz w:val="16"/>
          <w:szCs w:val="16"/>
        </w:rPr>
        <w:t xml:space="preserve">  </w:t>
      </w:r>
      <w:hyperlink r:id="rId121" w:history="1">
        <w:r w:rsidRPr="008127F8">
          <w:rPr>
            <w:rStyle w:val="a6"/>
            <w:rFonts w:eastAsia="Franklin Gothic Book"/>
            <w:color w:val="000000" w:themeColor="text1"/>
            <w:sz w:val="16"/>
            <w:szCs w:val="16"/>
            <w:bdr w:val="none" w:sz="0" w:space="0" w:color="auto" w:frame="1"/>
          </w:rPr>
          <w:t>битве за Сталинград</w:t>
        </w:r>
      </w:hyperlink>
      <w:r w:rsidRPr="008127F8">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009BAD6E" w14:textId="77777777" w:rsidR="00984DDA" w:rsidRPr="008127F8" w:rsidRDefault="00984DDA" w:rsidP="001E0A84">
      <w:pPr>
        <w:pStyle w:val="af"/>
        <w:shd w:val="clear" w:color="auto" w:fill="FFFFFF"/>
        <w:spacing w:before="0" w:after="0"/>
        <w:jc w:val="both"/>
        <w:textAlignment w:val="baseline"/>
        <w:rPr>
          <w:color w:val="000000" w:themeColor="text1"/>
          <w:sz w:val="16"/>
          <w:szCs w:val="16"/>
        </w:rPr>
      </w:pPr>
    </w:p>
    <w:p w14:paraId="6F590A62" w14:textId="77777777" w:rsidR="00984DDA" w:rsidRPr="008127F8" w:rsidRDefault="00984DDA"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апреле 1942 года по инициативе НИИ-3 проводилось исследование сил воздействия газовой струи на торец направляющих. Для этого производились пуски снарядов М-8 со станка, имевшего остроконечную направляющую планку. Испытания показали, что рассеивание снарядов при этом не улучшилось, в связи с чем экспериментаторы пришли к выводу, что удар газовой струи о срез направляющей является второстепенным фактором. В действительности основной причиной рассеивания реактивных снарядов был разброс в характеристиках топливных зарядов и моментах их воспламенения, что стало понятно только в 80-е годы после проведения соответствующего математического моделирования (19941).</w:t>
      </w:r>
    </w:p>
    <w:p w14:paraId="45F03EFF" w14:textId="77777777" w:rsidR="00984DDA" w:rsidRPr="008127F8" w:rsidRDefault="00984DDA" w:rsidP="001E0A84">
      <w:pPr>
        <w:pStyle w:val="af"/>
        <w:shd w:val="clear" w:color="auto" w:fill="FFFFFF"/>
        <w:spacing w:before="0" w:after="0"/>
        <w:jc w:val="both"/>
        <w:textAlignment w:val="baseline"/>
        <w:rPr>
          <w:color w:val="000000" w:themeColor="text1"/>
          <w:sz w:val="16"/>
          <w:szCs w:val="16"/>
        </w:rPr>
      </w:pPr>
    </w:p>
    <w:p w14:paraId="1E1A638E"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569FB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810E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была испытана и первая партия 76-мм ку</w:t>
      </w:r>
      <w:r w:rsidRPr="008127F8">
        <w:rPr>
          <w:rFonts w:ascii="Times New Roman" w:hAnsi="Times New Roman"/>
          <w:color w:val="000000" w:themeColor="text1"/>
          <w:sz w:val="16"/>
          <w:szCs w:val="16"/>
        </w:rPr>
        <w:softHyphen/>
        <w:t>мулятивных снарядов отечественной конструкции с кони</w:t>
      </w:r>
      <w:r w:rsidRPr="008127F8">
        <w:rPr>
          <w:rFonts w:ascii="Times New Roman" w:hAnsi="Times New Roman"/>
          <w:color w:val="000000" w:themeColor="text1"/>
          <w:sz w:val="16"/>
          <w:szCs w:val="16"/>
        </w:rPr>
        <w:softHyphen/>
        <w:t>ческой воронкой, облицованной жестью. В мае они были рекомендованы для принятия на вооружение и направлены на испытания в действующую армию (10782).</w:t>
      </w:r>
    </w:p>
    <w:p w14:paraId="4ADE5D9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94F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ГСЗ НИИ-6 передан в ведение ЗГУ НКБ, получил наименование ГС завод № 562 НКБ (ГС Завод № 562 НКБ, ГС завод НИИ № 6, п/я 368 /г. Москва 9 п/я 368 «Иншесть» (1943 г.)/) и стал специализироваться как пороховой. Оборудование по изготовлению запалов и снаряжению РГД-33 передано на завод № 11 </w:t>
      </w:r>
      <w:r w:rsidRPr="008127F8">
        <w:rPr>
          <w:rFonts w:ascii="Times New Roman" w:hAnsi="Times New Roman"/>
          <w:color w:val="000000" w:themeColor="text1"/>
          <w:sz w:val="16"/>
          <w:szCs w:val="16"/>
        </w:rPr>
        <w:lastRenderedPageBreak/>
        <w:t>НКБ, оборудование по снаряжению мин и снарядов - на завод № 568; цехи № 3, 4, 5, 7 закрыты. Из состава цеха № 6 в середине 1942 г. выделили мастерские по изготовлению футляров из нигропленки («лодочек») для дополнительных зарядов 82-мм мин, затем они преобразованы в цех № 3. В 06.1943 г. оборудование по снаряжению мин ТМБ-2 передано заводу № 538 НКБ, закрыт также цех № 8 из-за отсутствия сырья, и на заводе № 562 остались цехи № 1, 6, 9. В составе цеха № 1 организована мастерская № 4 по производству пороха КМ. В 1944 г. цех № 1 размещался в 12 корпусах, цех № 6- в 4, а цех № 9- в двух.</w:t>
      </w:r>
    </w:p>
    <w:p w14:paraId="1332C0A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время ВОВ на заводе существовало КБ. Имелась мастерская резки. В 1944 г. завод прекратил собственное производство пороха (выпущено более 2000 т). </w:t>
      </w:r>
    </w:p>
    <w:p w14:paraId="1D154C2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мая 1945 г. прекращен выпуск всех боеприпасов.</w:t>
      </w:r>
    </w:p>
    <w:p w14:paraId="5516BE8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w:t>
      </w:r>
    </w:p>
    <w:p w14:paraId="6497CC0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г.)- 1707 чел., (конец 1943 г.)- 1574 чел.</w:t>
      </w:r>
    </w:p>
    <w:p w14:paraId="2E7C29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производственная- 5760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вспомогательная- 65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6C5D5D5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(26.11.1941 -28.09.1942 г.)- М.З. Тененбаум, (09.1942-44 г.-)- А.П. Закощиков (одновременно был директором НИИ-6).</w:t>
      </w:r>
    </w:p>
    <w:p w14:paraId="54D2BC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(1941 г.)- А.Н. Рабинович, (-1942-44 г.-&gt; С.М. Голубков.</w:t>
      </w:r>
    </w:p>
    <w:p w14:paraId="339E27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w:t>
      </w:r>
      <w:r w:rsidRPr="008127F8">
        <w:rPr>
          <w:rFonts w:ascii="Times New Roman" w:hAnsi="Times New Roman"/>
          <w:color w:val="000000" w:themeColor="text1"/>
          <w:sz w:val="16"/>
          <w:szCs w:val="16"/>
          <w:lang w:val="en-US"/>
        </w:rPr>
        <w:t>BOB</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Смирнов.</w:t>
      </w:r>
    </w:p>
    <w:p w14:paraId="554BDEA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1 (1944 г.)- А. Сидоров; № 6- ДА. Смирнов, (1944 г.)- И.Н. Кузнецов; № 9 (1944 г.)- П.П. Вахрушев; баллиститного пороха (</w:t>
      </w:r>
      <w:r w:rsidRPr="008127F8">
        <w:rPr>
          <w:rFonts w:ascii="Times New Roman" w:hAnsi="Times New Roman"/>
          <w:color w:val="000000" w:themeColor="text1"/>
          <w:sz w:val="16"/>
          <w:szCs w:val="16"/>
          <w:lang w:val="en-US"/>
        </w:rPr>
        <w:t>BOB</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Дерновой.</w:t>
      </w:r>
    </w:p>
    <w:p w14:paraId="5AA9A5D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баллиститного пороха (ВОВ)- Н.П. Сазонов.</w:t>
      </w:r>
    </w:p>
    <w:p w14:paraId="394B84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КБ (ВОВ)- А.Н. Сладкое.</w:t>
      </w:r>
    </w:p>
    <w:p w14:paraId="213409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2-го (04.1943 г.)- Гинзбур г.</w:t>
      </w:r>
    </w:p>
    <w:p w14:paraId="645360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заряды: к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8127F8">
        <w:rPr>
          <w:rFonts w:ascii="Times New Roman" w:hAnsi="Times New Roman"/>
          <w:iCs/>
          <w:color w:val="000000" w:themeColor="text1"/>
          <w:sz w:val="16"/>
          <w:szCs w:val="16"/>
        </w:rPr>
        <w:t xml:space="preserve"> порох:</w:t>
      </w:r>
      <w:r w:rsidRPr="008127F8">
        <w:rPr>
          <w:rFonts w:ascii="Times New Roman" w:hAnsi="Times New Roman"/>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6DB915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A32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Завод № 323 ЗГУ НКБ (Завод № 323 НКБ, Алексинский химкомбинат, ПО, ФГУП, ФКП «Алексинский химический комбинат» Росбоеприпаса, ФАП /301361  г. Алексин Тульской обл. пл. Победы, 21 тел. 45-355/), эвакуированный в Кемерово на площадку комбината № 392 НКБ, был восстановлен на прежнем месте в результате реэвакуации. С 17.12.1941 г., после освобождения Алексина от фашистов, начато возвращение оборудования на старое место, а в 02-05.1942 г. начат монтаж оборудования, восстановление водоснабжения и энергосистемы. Частично возвратились кадры с завода № 98 и комбината № 392. В 05.1942 г. началось производство, 25.05.1942 г. сдана в эксплуатацию 1-</w:t>
      </w:r>
      <w:proofErr w:type="gramStart"/>
      <w:r w:rsidRPr="008127F8">
        <w:rPr>
          <w:rFonts w:ascii="Times New Roman" w:hAnsi="Times New Roman"/>
          <w:color w:val="000000" w:themeColor="text1"/>
          <w:sz w:val="16"/>
          <w:szCs w:val="16"/>
        </w:rPr>
        <w:t>я ?очередь</w:t>
      </w:r>
      <w:proofErr w:type="gramEnd"/>
      <w:r w:rsidRPr="008127F8">
        <w:rPr>
          <w:rFonts w:ascii="Times New Roman" w:hAnsi="Times New Roman"/>
          <w:color w:val="000000" w:themeColor="text1"/>
          <w:sz w:val="16"/>
          <w:szCs w:val="16"/>
        </w:rPr>
        <w:t xml:space="preserve"> производства нитроцеллюлозы. В 1943 г. введена в строй 2-я очередь производства пироксилина и эфира, пущено производство зарядов из импортного пороха ОД (особой доставки), начато восстановление порохового производства. В 1945-46 г. организовано производство ТНП.</w:t>
      </w:r>
    </w:p>
    <w:p w14:paraId="35168B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08.1943-09.1944 г. - в ведении 2ГУ.</w:t>
      </w:r>
    </w:p>
    <w:p w14:paraId="3CF2AE0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комбинат строился и расширялся. В 1950-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освоен выпуск нитропродукции, обувного картона, пресс-материала, спирта высшей очистки, керамидных смол, клея БФ, металлорукавов. В 1960-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освоены: отбеленный шеллак, мебель, круглотканые рукава, лаковая основа, резинотехнические изделия (рукава, шланги, клиновые ремни, губчатые изделия). В 1970-е начат выпуск антифриза, нитрошпатлевки. Был построен корпус по производству техпластины для судостроения. В 1980-е-90-</w:t>
      </w:r>
      <w:proofErr w:type="gramStart"/>
      <w:r w:rsidRPr="008127F8">
        <w:rPr>
          <w:rFonts w:ascii="Times New Roman" w:hAnsi="Times New Roman"/>
          <w:color w:val="000000" w:themeColor="text1"/>
          <w:sz w:val="16"/>
          <w:szCs w:val="16"/>
        </w:rPr>
        <w:t>е  г.</w:t>
      </w:r>
      <w:proofErr w:type="gramEnd"/>
      <w:r w:rsidRPr="008127F8">
        <w:rPr>
          <w:rFonts w:ascii="Times New Roman" w:hAnsi="Times New Roman"/>
          <w:color w:val="000000" w:themeColor="text1"/>
          <w:sz w:val="16"/>
          <w:szCs w:val="16"/>
        </w:rPr>
        <w:t xml:space="preserve"> введен в строй цех губчатых изделий для мебели, внедрены поточные линии по изготовлению рукавов высокого давления. С 1998 г. по 2000 г. освоен выпуск 30 видов новой продукции, созданы дополнительные мощности по производству пластифицированного коллоксилина, базальтовой нити, лакокрасочной продукции.</w:t>
      </w:r>
    </w:p>
    <w:p w14:paraId="450A23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распоряжению правительства № 22-р от 9.01.2004 г. вошло в число стратегических предприятий. В 2006 г. ФГУП преобразовано в ФКП. По приказу ФАП № 56 от 5.02.2007 г. химкомбинат вошел в состав НП «Пороховые заводы».</w:t>
      </w:r>
    </w:p>
    <w:p w14:paraId="31027A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лаки, эмали, краски, спирт этиловый денатурированный; рукава; одеяла, одежда, мягкая мебель. Отработка изготовления коллоксилина из льноволокна.</w:t>
      </w:r>
    </w:p>
    <w:p w14:paraId="472C80E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(07.1941 г.)- 1168 чел., (2004 г.)- 1500 чел.</w:t>
      </w:r>
    </w:p>
    <w:p w14:paraId="115AE82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(04.1942 г.)- Н.Е. Стрельцов, (04.1942 г.-)- Н.Н. Григорьев, (ВОВ)- Н.Н. Готовкин,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Бондарь. Гендиректор (-2004-05 г.-)- А. Г. Соколов, (2007 г.)- А.Ф. Воронов.</w:t>
      </w:r>
    </w:p>
    <w:p w14:paraId="678800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инженера (04.1942 г.-)- Ю. Хохряков. Гл. инженер (1990-2000 г.)- В.Ф. Харитонов.</w:t>
      </w:r>
    </w:p>
    <w:p w14:paraId="677F3F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цехов: № 3 (1942 г.-)- П.Я. Любоградов; Ю.М. Байгильдин, </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Кукуреченко.</w:t>
      </w:r>
    </w:p>
    <w:p w14:paraId="17B1ACD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(1983 г.-)- В.Ф. Харитонов.</w:t>
      </w:r>
    </w:p>
    <w:p w14:paraId="164179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мастерских: № 1 (1942 г.-)- А.В. Семенов; № 2 и.о. (1942 г.-)- С.И. Гурен.</w:t>
      </w:r>
    </w:p>
    <w:p w14:paraId="68EB37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лаки НЦ-218, НЦ-221, НЦ-222, НЦ-223, НЦ-224, НЦ-228, НЦ-243, эмали НЦ СН, НЦ СВ, краски АК-120, АК-124, АК-522 «Базальт-2», ВД-АК-521, ВД-АК-18, ХВ-15, раствор коллоксилина НЦ-0218; клеи БФ-2, БФ-4, 88СА, НК, «Феникс», 4010, 4508; рукава: для дозаправки самолетов в воздухе, гофрированные, круглотканые, резиновые высокого давления с металлической навивкой (2005) (11982).</w:t>
      </w:r>
    </w:p>
    <w:p w14:paraId="22BBC9B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54FA3" w14:textId="77777777" w:rsidR="00BC162F" w:rsidRPr="008127F8" w:rsidRDefault="00BC162F" w:rsidP="001E0A84">
      <w:pPr>
        <w:pStyle w:val="af"/>
        <w:spacing w:before="0" w:after="0"/>
        <w:jc w:val="both"/>
        <w:textAlignment w:val="baseline"/>
        <w:rPr>
          <w:color w:val="000000" w:themeColor="text1"/>
          <w:sz w:val="16"/>
          <w:szCs w:val="16"/>
        </w:rPr>
      </w:pPr>
      <w:r w:rsidRPr="008127F8">
        <w:rPr>
          <w:color w:val="000000" w:themeColor="text1"/>
          <w:sz w:val="16"/>
          <w:szCs w:val="16"/>
        </w:rPr>
        <w:t>В апреле 1942 года в Народный комиссариат обороны поступило письмо из Казани, от заместителя директора Физического института Академии наук СССР Б. Вула. Он сообщил, что институт собирается разработать и сконструировать крылатые ружейно-ракетные противотанковые гранаты. Причём гранаты эти должны были лететь по настильной (пологой) траектории, чтобы более прицельно поражать вражеские танки. Предполагалось, что масса гранаты составит примерно два килограмма.</w:t>
      </w:r>
    </w:p>
    <w:p w14:paraId="2D3CECDE" w14:textId="77777777" w:rsidR="00BC162F" w:rsidRPr="008127F8" w:rsidRDefault="00BC162F" w:rsidP="001E0A84">
      <w:pPr>
        <w:pStyle w:val="af"/>
        <w:spacing w:before="0" w:after="0"/>
        <w:jc w:val="both"/>
        <w:textAlignment w:val="baseline"/>
        <w:rPr>
          <w:color w:val="000000" w:themeColor="text1"/>
          <w:sz w:val="16"/>
          <w:szCs w:val="16"/>
        </w:rPr>
      </w:pPr>
      <w:r w:rsidRPr="008127F8">
        <w:rPr>
          <w:color w:val="000000" w:themeColor="text1"/>
          <w:sz w:val="16"/>
          <w:szCs w:val="16"/>
        </w:rPr>
        <w:t>Заместителю ответили специалисты Главного артиллерийского управления (ГАУ), которые вежливо сообщили, что подобная разработка имеет смысл, только если граната будет лететь не менее чем на 200 метров на высоте не больше, чем высота танка. И чтобы рассеивание при этом укладывалось в квадратный метр. Судя по тому, что на этом переписка остановилась, казанские физики достичь этого не смогли (18984).</w:t>
      </w:r>
    </w:p>
    <w:p w14:paraId="1557D386" w14:textId="77777777" w:rsidR="00BC162F" w:rsidRPr="008127F8" w:rsidRDefault="00BC162F" w:rsidP="001E0A84">
      <w:pPr>
        <w:pStyle w:val="af"/>
        <w:spacing w:before="0" w:after="0"/>
        <w:jc w:val="both"/>
        <w:textAlignment w:val="baseline"/>
        <w:rPr>
          <w:color w:val="000000" w:themeColor="text1"/>
          <w:sz w:val="16"/>
          <w:szCs w:val="16"/>
        </w:rPr>
      </w:pPr>
    </w:p>
    <w:p w14:paraId="655A6B1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старом месте завода № 260 (Завод № 260 НКБ, Владимирский завод портативных граммофонов, п/я 334, Пермский велосипедный завод, ОАО «Велта» Росбоеприпаса /г. Владимир;  г. Молотов, 10 п/я 334 «Автомат» (1943 г.)/ /614010  г. Пермь ул. Героев Хасана, 105 тел. (3422) 68-10-08/) полностью (производство М-50, ЗТН, К-20, МД-5, МГ-8, 1096 ед. оборудования, 1535 чел.) во Владимире образован завод, которому присвоено наименование ГЗ № 521 (11982).</w:t>
      </w:r>
    </w:p>
    <w:p w14:paraId="58CBEA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40530" w14:textId="635A486C"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ОКБ-172 под техническим руководством М.Ю.Цирульникова были начаты работы над новым 76-мм полковым орудием. В эскизном проекте нового орудия Цирульников предложил наложить 76-мм ствол со слабой баллистикой на лафет 45-мм противотанковой пушки обр. 1942 г. Такое решение позволяло получить довольно лёгкую артиллерийскую систему, использующую хорошо отработанные в серийном производстве элементы. С другой стороны, оно не соответствовало ТТТ на полковое орудие 1942 г., требовавших более высокой начальной скорости снаряда по сравнению с пушкой обр. 1927 г. Как результат, в 1942 г. проект не вызвал большого интереса со стороны ГАУ КА. Однако с прекращением работ над другими полковыми орудиями и отказом от прежних ТТТ идея ОКБ-172 оказалась к месту, перспективная система получила заводской индекс ОБ-25 и её проектирование активизировалось. В феврале 1943 г. этот этап был закончен, начались изготовление и испытания опытных образцов. Третий опытный образец пушки был допущен до полигонных испытаний, проходивших на Гороховецком полигоне с 18 по 26 июня 1943 г. Испытания завершились неудачно — были выявлена плохая кучность, проблемы в работе противооткатных устройств, погнулась боевая ось. После устранения недостатков в июле 1943 г. последовали войсковые испытания четырёх опытных образцов; при этом с целью определения оптимальной конструкции испытывались стволы с разной крутизной нарезки — 15, 20, 25, 30, 35 калибров. К 12 августа 1943 г. войсковые испытания были успешно завершены, а 4 сентября 1943 г. орудие было принято на вооружение под наименованием «76-мм полковая пушка обр. 1943 г.».</w:t>
      </w:r>
      <w:r w:rsidR="008127F8">
        <w:rPr>
          <w:rFonts w:ascii="Times New Roman" w:hAnsi="Times New Roman"/>
          <w:color w:val="000000" w:themeColor="text1"/>
          <w:sz w:val="16"/>
          <w:szCs w:val="16"/>
        </w:rPr>
        <w:t xml:space="preserve">  </w:t>
      </w:r>
    </w:p>
    <w:p w14:paraId="43A7BC6F"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 ГОКО-3612с от 19 июня 1943 г. М.Ю.Цирульников по ходатайству Л.П.Берия был досрочно амнистирован со снятием судимости. Остался работать в ОКБ-172 на заводе № 172. В декабре 1944 г. ОКБ-172 было реэвакуировано в Ленинград и размещено в старых корпусах «Крестов» (18664).</w:t>
      </w:r>
    </w:p>
    <w:p w14:paraId="14F4B86E"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0B5420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203-мм гаубица У-3 с новым стволом с крутизной нарезки 25 клб была доставлена на НИЗАП (3861).</w:t>
      </w:r>
    </w:p>
    <w:p w14:paraId="355FDA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A29D7" w14:textId="77777777" w:rsidR="006458D8" w:rsidRPr="008127F8" w:rsidRDefault="006458D8"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апреле 1942 на УЗТМ был собран второй экземпляр спаренной установки вооружения (за</w:t>
      </w:r>
      <w:r w:rsidRPr="008127F8">
        <w:rPr>
          <w:rFonts w:ascii="Times New Roman" w:cs="Times New Roman"/>
          <w:color w:val="000000" w:themeColor="text1"/>
          <w:spacing w:val="0"/>
        </w:rPr>
        <w:softHyphen/>
        <w:t>водской индекс У-14) и в течение мая — июня проходил испытания. Эту машину вооружили спаренной си</w:t>
      </w:r>
      <w:r w:rsidRPr="008127F8">
        <w:rPr>
          <w:rFonts w:ascii="Times New Roman" w:cs="Times New Roman"/>
          <w:color w:val="000000" w:themeColor="text1"/>
          <w:spacing w:val="0"/>
        </w:rPr>
        <w:softHyphen/>
        <w:t>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8127F8">
        <w:rPr>
          <w:rFonts w:ascii="Times New Roman" w:cs="Times New Roman"/>
          <w:color w:val="000000" w:themeColor="text1"/>
          <w:spacing w:val="0"/>
        </w:rPr>
        <w:softHyphen/>
        <w:t xml:space="preserve">тановки достигала 15 </w:t>
      </w:r>
      <w:proofErr w:type="gramStart"/>
      <w:r w:rsidRPr="008127F8">
        <w:rPr>
          <w:rFonts w:ascii="Times New Roman" w:cs="Times New Roman"/>
          <w:color w:val="000000" w:themeColor="text1"/>
          <w:spacing w:val="0"/>
        </w:rPr>
        <w:t>выстр./</w:t>
      </w:r>
      <w:proofErr w:type="gramEnd"/>
      <w:r w:rsidRPr="008127F8">
        <w:rPr>
          <w:rFonts w:ascii="Times New Roman" w:cs="Times New Roman"/>
          <w:color w:val="000000" w:themeColor="text1"/>
          <w:spacing w:val="0"/>
        </w:rPr>
        <w:t>мин. В бое</w:t>
      </w:r>
      <w:r w:rsidRPr="008127F8">
        <w:rPr>
          <w:rFonts w:ascii="Times New Roman" w:cs="Times New Roman"/>
          <w:color w:val="000000" w:themeColor="text1"/>
          <w:spacing w:val="0"/>
        </w:rPr>
        <w:softHyphen/>
        <w:t>комплект входили 150 выстрелов к пушкам и 2646 патронов к двум пулеметам ДТ, размещенным аналогично первому образцу КВ-7. Эту САУ продемонстриро</w:t>
      </w:r>
      <w:r w:rsidRPr="008127F8">
        <w:rPr>
          <w:rFonts w:ascii="Times New Roman" w:cs="Times New Roman"/>
          <w:color w:val="000000" w:themeColor="text1"/>
          <w:spacing w:val="0"/>
        </w:rPr>
        <w:softHyphen/>
        <w:t>вали высшему командованию РККА, но на вооружение не приняли. К этому вре</w:t>
      </w:r>
      <w:r w:rsidRPr="008127F8">
        <w:rPr>
          <w:rFonts w:ascii="Times New Roman" w:cs="Times New Roman"/>
          <w:color w:val="000000" w:themeColor="text1"/>
          <w:spacing w:val="0"/>
        </w:rPr>
        <w:softHyphen/>
        <w:t>мени стало ясно, что установка в танке или самоходке двух орудий не оправдана, и работы по КВ-7 прекратили (15232).</w:t>
      </w:r>
    </w:p>
    <w:p w14:paraId="5303F37F" w14:textId="77777777" w:rsidR="006458D8" w:rsidRPr="008127F8" w:rsidRDefault="006458D8" w:rsidP="001E0A84">
      <w:pPr>
        <w:pStyle w:val="27"/>
        <w:shd w:val="clear" w:color="auto" w:fill="auto"/>
        <w:spacing w:after="0" w:line="240" w:lineRule="auto"/>
        <w:ind w:firstLine="0"/>
        <w:rPr>
          <w:rFonts w:ascii="Times New Roman" w:cs="Times New Roman"/>
          <w:color w:val="000000" w:themeColor="text1"/>
          <w:spacing w:val="0"/>
        </w:rPr>
      </w:pPr>
    </w:p>
    <w:p w14:paraId="59A1398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заводом № 9 НКВ для тан</w:t>
      </w:r>
      <w:r w:rsidRPr="008127F8">
        <w:rPr>
          <w:rFonts w:ascii="Times New Roman" w:hAnsi="Times New Roman"/>
          <w:color w:val="000000" w:themeColor="text1"/>
          <w:sz w:val="16"/>
          <w:szCs w:val="16"/>
        </w:rPr>
        <w:softHyphen/>
        <w:t>ков КВ-9 была изготовлена небольшая серия гаубиц У-11. Одновременно с работой по установке в танк КВ-9 гаубицы У-11 конструкторами объединенного конструкторского бюро УЗТМ В.Н. Сидоренко, С.Е. Рыковским, А.Д. Заецем и др. решалась задача по уси</w:t>
      </w:r>
      <w:r w:rsidRPr="008127F8">
        <w:rPr>
          <w:rFonts w:ascii="Times New Roman" w:hAnsi="Times New Roman"/>
          <w:color w:val="000000" w:themeColor="text1"/>
          <w:sz w:val="16"/>
          <w:szCs w:val="16"/>
        </w:rPr>
        <w:softHyphen/>
        <w:t>лению вооружения танка КВ-1 за счет установки в его башню 85-мм зе</w:t>
      </w:r>
      <w:r w:rsidRPr="008127F8">
        <w:rPr>
          <w:rFonts w:ascii="Times New Roman" w:hAnsi="Times New Roman"/>
          <w:color w:val="000000" w:themeColor="text1"/>
          <w:sz w:val="16"/>
          <w:szCs w:val="16"/>
        </w:rPr>
        <w:softHyphen/>
        <w:t>нитной пушки обр. 1939 г. Эта работа велась на заводе под индексом "У-12". Проект установки пушки в танке КВ-1 был закончен в декабре 1941 г. Основными особенностями проекта были: использование штат</w:t>
      </w:r>
      <w:r w:rsidRPr="008127F8">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8127F8">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192913E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EDB500" w14:textId="77777777" w:rsidR="00F76B33" w:rsidRPr="008127F8" w:rsidRDefault="00F76B33" w:rsidP="001E0A84">
      <w:pPr>
        <w:pStyle w:val="af"/>
        <w:spacing w:before="0" w:after="0"/>
        <w:jc w:val="both"/>
        <w:rPr>
          <w:color w:val="000000" w:themeColor="text1"/>
          <w:sz w:val="16"/>
          <w:szCs w:val="16"/>
        </w:rPr>
      </w:pPr>
      <w:r w:rsidRPr="008127F8">
        <w:rPr>
          <w:color w:val="000000" w:themeColor="text1"/>
          <w:sz w:val="16"/>
          <w:szCs w:val="16"/>
        </w:rPr>
        <w:t xml:space="preserve">С апреля 1942 года, помимо У-18, Горлицкий по заданию Котина возглавил работы над другим проектом тяжелой САУ, не имеющей к У-18 никакого отношения. Любопытным фактом является то, что проект, получивший заводской индекс У-19, был отправлен в адрес ГАУ и ГАБТУ 12 августа 1942 года — на три недели раньше, чем У-18. И это несмотря на то, что установка </w:t>
      </w:r>
      <w:r w:rsidRPr="008127F8">
        <w:rPr>
          <w:color w:val="000000" w:themeColor="text1"/>
          <w:sz w:val="16"/>
          <w:szCs w:val="16"/>
          <w:lang w:val="en-US"/>
        </w:rPr>
        <w:t>MJ</w:t>
      </w:r>
      <w:r w:rsidRPr="008127F8">
        <w:rPr>
          <w:color w:val="000000" w:themeColor="text1"/>
          <w:sz w:val="16"/>
          <w:szCs w:val="16"/>
        </w:rPr>
        <w:t>1-20 на базе КВ-7 являлась при</w:t>
      </w:r>
      <w:r w:rsidRPr="008127F8">
        <w:rPr>
          <w:color w:val="000000" w:themeColor="text1"/>
          <w:sz w:val="16"/>
          <w:szCs w:val="16"/>
        </w:rPr>
        <w:softHyphen/>
        <w:t>оритетной задачей, а У-19 в работах вообще не значилась. Более того, общее описание У-19 датируется маем, а чертежи серединой июня 1942 года. Не исключено, что появление данной системы стало отве</w:t>
      </w:r>
      <w:r w:rsidRPr="008127F8">
        <w:rPr>
          <w:color w:val="000000" w:themeColor="text1"/>
          <w:sz w:val="16"/>
          <w:szCs w:val="16"/>
        </w:rPr>
        <w:softHyphen/>
        <w:t>том на настойчивые требования артиллеристов выдать им «стальной кулак» для разрушения ДОТов прямой наводкой. На подобные мысли наводит то, что У-19 по своей концепции здорово напоминает проекты истребителей ДОТов завода №221 и наработки Московского машино</w:t>
      </w:r>
      <w:r w:rsidRPr="008127F8">
        <w:rPr>
          <w:color w:val="000000" w:themeColor="text1"/>
          <w:sz w:val="16"/>
          <w:szCs w:val="16"/>
        </w:rPr>
        <w:softHyphen/>
        <w:t>строительного института им. Баумана.</w:t>
      </w:r>
    </w:p>
    <w:p w14:paraId="5545954B" w14:textId="77777777" w:rsidR="00F76B33" w:rsidRPr="008127F8" w:rsidRDefault="00F76B33" w:rsidP="001E0A84">
      <w:pPr>
        <w:pStyle w:val="a4"/>
        <w:rPr>
          <w:color w:val="000000" w:themeColor="text1"/>
          <w:lang w:val="ru-RU"/>
        </w:rPr>
      </w:pPr>
      <w:r w:rsidRPr="008127F8">
        <w:rPr>
          <w:color w:val="000000" w:themeColor="text1"/>
          <w:lang w:val="ru-RU"/>
        </w:rPr>
        <w:t>Согласно проекту, У-19 представляла собой установку 203-мм гау</w:t>
      </w:r>
      <w:r w:rsidRPr="008127F8">
        <w:rPr>
          <w:color w:val="000000" w:themeColor="text1"/>
          <w:lang w:val="ru-RU"/>
        </w:rPr>
        <w:softHyphen/>
        <w:t>бицы обр. 1931 г. (Б-4) на шасси танка КВ-1. Основной задачей дан</w:t>
      </w:r>
      <w:r w:rsidRPr="008127F8">
        <w:rPr>
          <w:color w:val="000000" w:themeColor="text1"/>
          <w:lang w:val="ru-RU"/>
        </w:rPr>
        <w:softHyphen/>
        <w:t>ной САУ являлось разрушение укрепленных сооружений, которые были не по зубам менее мощным системам. Подобно КВ-7, база танка КВ-1 подвергалась минимальным переделкам: снимался подбашен</w:t>
      </w:r>
      <w:r w:rsidRPr="008127F8">
        <w:rPr>
          <w:color w:val="000000" w:themeColor="text1"/>
          <w:lang w:val="ru-RU"/>
        </w:rPr>
        <w:softHyphen/>
        <w:t>ный лист, моторная перегородка делалась съемной, менялись топлив</w:t>
      </w:r>
      <w:r w:rsidRPr="008127F8">
        <w:rPr>
          <w:color w:val="000000" w:themeColor="text1"/>
          <w:lang w:val="ru-RU"/>
        </w:rPr>
        <w:softHyphen/>
        <w:t>ные баки и воздухозаборники. Согласно проекту, качающаяся часть устанавливаемой 203-мм гаубицы Б-4, а также верхний станок брались без изменения, чтобы свести к минимуму затраты на переделку. На ме</w:t>
      </w:r>
      <w:r w:rsidRPr="008127F8">
        <w:rPr>
          <w:color w:val="000000" w:themeColor="text1"/>
          <w:lang w:val="ru-RU"/>
        </w:rPr>
        <w:softHyphen/>
        <w:t>сто башни ставилась массивная рубка, полностью прикрывавшая уста</w:t>
      </w:r>
      <w:r w:rsidRPr="008127F8">
        <w:rPr>
          <w:color w:val="000000" w:themeColor="text1"/>
          <w:lang w:val="ru-RU"/>
        </w:rPr>
        <w:softHyphen/>
        <w:t>новленное в боевом отделении орудие. Одновременно рубка частично закрывала крышу моторного отделения, что потенциально создавало сложности с обслуживанием двигателя. По проекту, толщина лобово</w:t>
      </w:r>
      <w:r w:rsidRPr="008127F8">
        <w:rPr>
          <w:color w:val="000000" w:themeColor="text1"/>
          <w:lang w:val="ru-RU"/>
        </w:rPr>
        <w:softHyphen/>
        <w:t>го листа рубки составляла 75 мм, борта 60 мм, корма 40 мм и крыша 30 мм. Для монтажа ствола гаубицы в корме рубки имелся массивный люк, в котором предусматривался люк для доступа экипажа. Соглас</w:t>
      </w:r>
      <w:r w:rsidRPr="008127F8">
        <w:rPr>
          <w:color w:val="000000" w:themeColor="text1"/>
          <w:lang w:val="ru-RU"/>
        </w:rPr>
        <w:softHyphen/>
        <w:t>но проекту, крыша рубки делалась съемной. С лобовой части гаубица прикрывалась массивной бронировкой толщиной 75 мм. Поскольку основной задачей У-19 являлось разрушение вражеских укреплений, угол возвышения ограничили 10 градусами. Углы поворота орудия в горизонтальной плоскости также свели к минимуму — до 4,3 градусов в каждую сторону, что соответствовало ТТХ гаубицы Б-4.</w:t>
      </w:r>
    </w:p>
    <w:p w14:paraId="697D4558" w14:textId="77777777" w:rsidR="00F76B33" w:rsidRPr="008127F8" w:rsidRDefault="00F76B33" w:rsidP="001E0A84">
      <w:pPr>
        <w:pStyle w:val="a4"/>
        <w:rPr>
          <w:color w:val="000000" w:themeColor="text1"/>
          <w:lang w:val="ru-RU"/>
        </w:rPr>
      </w:pPr>
      <w:r w:rsidRPr="008127F8">
        <w:rPr>
          <w:color w:val="000000" w:themeColor="text1"/>
          <w:lang w:val="ru-RU"/>
        </w:rPr>
        <w:t>Требование военных минимально вмешиваться в конструкцию шасси и одновременно обеспечить достойный уровень бронезащиты породило весьма своеобразный аппарат. Согласно расчетам, боевая масса У-19 оценивалась в 66 190 кг, что превышало даже проектные показатели САУ «212А». С учетом того, что реальная боевая мас</w:t>
      </w:r>
      <w:r w:rsidRPr="008127F8">
        <w:rPr>
          <w:color w:val="000000" w:themeColor="text1"/>
          <w:lang w:val="ru-RU"/>
        </w:rPr>
        <w:softHyphen/>
        <w:t>са построенных образцов обычно несколько превышала проектную, у У-19 были все шансы стать самой тяжелой советской штурмовой САУ, обойдя на этом сомнительном поприще СУ-14 в забронирован</w:t>
      </w:r>
      <w:r w:rsidRPr="008127F8">
        <w:rPr>
          <w:color w:val="000000" w:themeColor="text1"/>
          <w:lang w:val="ru-RU"/>
        </w:rPr>
        <w:softHyphen/>
        <w:t>ном варианте. Кроме того, установка 203-мм гаубицы Б-4 в закрытой рубке породила САУ высотой 3510 мм, что всего на 50 мм ниже забро</w:t>
      </w:r>
      <w:r w:rsidRPr="008127F8">
        <w:rPr>
          <w:color w:val="000000" w:themeColor="text1"/>
          <w:lang w:val="ru-RU"/>
        </w:rPr>
        <w:softHyphen/>
        <w:t>нированной версии СУ-14. Создатели У-19 хорошо понимали, что при таких размерах самоходная установка будет выгодной целью для про</w:t>
      </w:r>
      <w:r w:rsidRPr="008127F8">
        <w:rPr>
          <w:color w:val="000000" w:themeColor="text1"/>
          <w:lang w:val="ru-RU"/>
        </w:rPr>
        <w:softHyphen/>
        <w:t>тивника, поэтому с самого начала предусматривали ее сопровождение обычными танками (17484).</w:t>
      </w:r>
    </w:p>
    <w:p w14:paraId="05DA3EC7" w14:textId="77777777" w:rsidR="00F76B33" w:rsidRPr="008127F8" w:rsidRDefault="00F76B33" w:rsidP="001E0A84">
      <w:pPr>
        <w:pStyle w:val="af"/>
        <w:spacing w:before="0" w:after="0"/>
        <w:jc w:val="both"/>
        <w:rPr>
          <w:color w:val="000000" w:themeColor="text1"/>
          <w:sz w:val="16"/>
          <w:szCs w:val="16"/>
        </w:rPr>
      </w:pPr>
    </w:p>
    <w:p w14:paraId="20A70A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203-мм гаубица БЛ-39 с тремя свободными трубами с крутизной нарезки 25, 30 и 35 клб, поступила на НИЗАП (3861).</w:t>
      </w:r>
    </w:p>
    <w:p w14:paraId="4355F7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4DAF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были подписаны Рабочие чертежи 203-мм корпусной мортиры М-4. Проектирование 203-мм мортиры М-4 велось в КБ завода № 172. 203-мм мортира М-4 представляла собой наложение вновь спроектированного 203-мм стовола-моноблока с затвором от 203-мм гаубицы Б-4 на штатный лафет 152-мм гаубицы-пушки МЛ-20. Ствол-моноблок мортиры состоял из однослойной трубы и казенника. Ствол снабжен навинтным дульным тормозом, полная длина которого 925 мм. Затвор по проекту взят полностью от 203-мм гаубицы Б-4, но в опытном образце был установлен затвор от 152-мм пушки Б-30. Лафет и передок взят от МЛ-20 без всяких изменений. Возка мортиры в походном положении производилась с оттянутым стволом, но при возке на небольшие расстояние со скоростью 45 км/час ствол можно было и не оттягивать (3861).</w:t>
      </w:r>
    </w:p>
    <w:p w14:paraId="3F214B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63DBB" w14:textId="77777777" w:rsidR="006458D8" w:rsidRPr="008127F8" w:rsidRDefault="006458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апреле 1942 года Артиллерийский комитет ГАУ КА, выдержал паузу, вернувшись к рассмотрению проектов У-20. Саму идею создания башенной САУ признали верной. Но условия работы заряжающих были подвергнуты резкой и вполне справедливой критике. Кроме того, критике была подвергнута и идея использования У-10 в качестве вооружения для первого варианта САУ. Указывалось, что это усложнит производство. Более верным был признан проект У-20-II, и это несмотря на то, что заряжающим там предстояло работать акробатами.</w:t>
      </w:r>
    </w:p>
    <w:p w14:paraId="1C5B209A" w14:textId="77777777" w:rsidR="006458D8" w:rsidRPr="008127F8" w:rsidRDefault="006458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Впрочем, по итогам рассмотрения оба проекта У-20 были признаны не удовлетворяющими требованиям Арткома ГАУ КА. Уже само по себе это заключение вызывает массу вопросов. Создаётся впечатление, что товарищи артиллеристы сами не знали, чего хотели. В заключении имелись взаимоисключающие параграфы. Именно Артком ГАУ КА составлял требования, и сам же потом назвал неверными их реализованные в проектах воплощения (15615).</w:t>
      </w:r>
    </w:p>
    <w:p w14:paraId="6EFE7C8C" w14:textId="77777777" w:rsidR="006458D8" w:rsidRPr="008127F8" w:rsidRDefault="006458D8" w:rsidP="001E0A84">
      <w:pPr>
        <w:pStyle w:val="af"/>
        <w:shd w:val="clear" w:color="auto" w:fill="FFFFFF"/>
        <w:spacing w:before="0" w:after="0"/>
        <w:jc w:val="both"/>
        <w:rPr>
          <w:color w:val="000000" w:themeColor="text1"/>
          <w:sz w:val="16"/>
          <w:szCs w:val="16"/>
        </w:rPr>
      </w:pPr>
    </w:p>
    <w:p w14:paraId="33FD0770" w14:textId="2A61A966"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года было дано заключение Арткома ГАУ о том, что установка У-20 выполнена неудачно. Параллельно с У-20, разрабатывался </w:t>
      </w:r>
      <w:proofErr w:type="gramStart"/>
      <w:r w:rsidRPr="008127F8">
        <w:rPr>
          <w:rFonts w:ascii="Times New Roman" w:hAnsi="Times New Roman"/>
          <w:color w:val="000000" w:themeColor="text1"/>
          <w:sz w:val="16"/>
          <w:szCs w:val="16"/>
        </w:rPr>
        <w:t>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второй</w:t>
      </w:r>
      <w:proofErr w:type="gramEnd"/>
      <w:r w:rsidRPr="008127F8">
        <w:rPr>
          <w:rFonts w:ascii="Times New Roman" w:hAnsi="Times New Roman"/>
          <w:color w:val="000000" w:themeColor="text1"/>
          <w:sz w:val="16"/>
          <w:szCs w:val="16"/>
        </w:rPr>
        <w:t xml:space="preserve"> вариант У-20-II, где попыталась устранить основные недостатки У-20.</w:t>
      </w:r>
    </w:p>
    <w:p w14:paraId="0D1321D7"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У-20-II, подобно У-20, представлял собой Т-34, на котором была установлена открытая сверху башня с расчетом из 3-х человек. Толщина лобового листа башни составляла 75 мм, бортов 40 мм, что заметно превышало данные башни У-20. Также, по сравнению с У-20, были снижены габариты САУ, как по высоте (2475 мм, чуть выше Т-34), так и по выносу ствола (200 мм). Боекомплект, правда, снизился с 76 до 60 выстрелов. Проект У-20-II постигла та же участь (15644).</w:t>
      </w:r>
    </w:p>
    <w:p w14:paraId="3205F9E4"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2A506FEE" w14:textId="77777777" w:rsidR="006458D8" w:rsidRPr="008127F8" w:rsidRDefault="006458D8"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апре</w:t>
      </w:r>
      <w:r w:rsidRPr="008127F8">
        <w:rPr>
          <w:rFonts w:ascii="Times New Roman" w:cs="Times New Roman"/>
          <w:color w:val="000000" w:themeColor="text1"/>
          <w:spacing w:val="0"/>
        </w:rPr>
        <w:softHyphen/>
        <w:t>ле 1942 заводом № 9 НКВ для танков КВ-9 была изготовлена небольшая серия гау</w:t>
      </w:r>
      <w:r w:rsidRPr="008127F8">
        <w:rPr>
          <w:rFonts w:ascii="Times New Roman" w:cs="Times New Roman"/>
          <w:color w:val="000000" w:themeColor="text1"/>
          <w:spacing w:val="0"/>
        </w:rPr>
        <w:softHyphen/>
        <w:t>биц У-11. Танк КВ-9 успешно прошелиспытания, однако снижение качестваизготовления трансмиссии КВ-1 и уве</w:t>
      </w:r>
      <w:r w:rsidRPr="008127F8">
        <w:rPr>
          <w:rFonts w:ascii="Times New Roman" w:cs="Times New Roman"/>
          <w:color w:val="000000" w:themeColor="text1"/>
          <w:spacing w:val="0"/>
        </w:rPr>
        <w:softHyphen/>
        <w:t>личение его массы привело к катастро</w:t>
      </w:r>
      <w:r w:rsidRPr="008127F8">
        <w:rPr>
          <w:rFonts w:ascii="Times New Roman" w:cs="Times New Roman"/>
          <w:color w:val="000000" w:themeColor="text1"/>
          <w:spacing w:val="0"/>
        </w:rPr>
        <w:softHyphen/>
        <w:t>фическому числу аварий на фронте. Опа</w:t>
      </w:r>
      <w:r w:rsidRPr="008127F8">
        <w:rPr>
          <w:rFonts w:ascii="Times New Roman" w:cs="Times New Roman"/>
          <w:color w:val="000000" w:themeColor="text1"/>
          <w:spacing w:val="0"/>
        </w:rPr>
        <w:softHyphen/>
        <w:t>сение еще больше ухудшить условия ра</w:t>
      </w:r>
      <w:r w:rsidRPr="008127F8">
        <w:rPr>
          <w:rFonts w:ascii="Times New Roman" w:cs="Times New Roman"/>
          <w:color w:val="000000" w:themeColor="text1"/>
          <w:spacing w:val="0"/>
        </w:rPr>
        <w:softHyphen/>
        <w:t>боты трансмиссии в случае установки на танке 122-мм гаубицы и послужило при</w:t>
      </w:r>
      <w:r w:rsidRPr="008127F8">
        <w:rPr>
          <w:rFonts w:ascii="Times New Roman" w:cs="Times New Roman"/>
          <w:color w:val="000000" w:themeColor="text1"/>
          <w:spacing w:val="0"/>
        </w:rPr>
        <w:softHyphen/>
        <w:t>чиной отказа в принятии КВ-9. Танк КВ-9, воору</w:t>
      </w:r>
      <w:r w:rsidRPr="008127F8">
        <w:rPr>
          <w:rFonts w:ascii="Times New Roman" w:cs="Times New Roman"/>
          <w:color w:val="000000" w:themeColor="text1"/>
          <w:spacing w:val="0"/>
        </w:rPr>
        <w:softHyphen/>
        <w:t>женный 122-мм гаубицей У-11, создавал</w:t>
      </w:r>
      <w:r w:rsidRPr="008127F8">
        <w:rPr>
          <w:rFonts w:ascii="Times New Roman" w:cs="Times New Roman"/>
          <w:color w:val="000000" w:themeColor="text1"/>
          <w:spacing w:val="0"/>
        </w:rPr>
        <w:softHyphen/>
        <w:t>ся как мощное универсальное средство для прорыва укрепленных полос против</w:t>
      </w:r>
      <w:r w:rsidRPr="008127F8">
        <w:rPr>
          <w:rFonts w:ascii="Times New Roman" w:cs="Times New Roman"/>
          <w:color w:val="000000" w:themeColor="text1"/>
          <w:spacing w:val="0"/>
        </w:rPr>
        <w:softHyphen/>
        <w:t>ника, разрушения оборонительных со</w:t>
      </w:r>
      <w:r w:rsidRPr="008127F8">
        <w:rPr>
          <w:rFonts w:ascii="Times New Roman" w:cs="Times New Roman"/>
          <w:color w:val="000000" w:themeColor="text1"/>
          <w:spacing w:val="0"/>
        </w:rPr>
        <w:softHyphen/>
        <w:t>оружений и уничтожения танков. Проек</w:t>
      </w:r>
      <w:r w:rsidRPr="008127F8">
        <w:rPr>
          <w:rFonts w:ascii="Times New Roman" w:cs="Times New Roman"/>
          <w:color w:val="000000" w:themeColor="text1"/>
          <w:spacing w:val="0"/>
        </w:rPr>
        <w:softHyphen/>
        <w:t>тирование установки гаубицы в башне танка КВ-1 в конструкторском бюро УЗТМ показало, что, наряду с незначи</w:t>
      </w:r>
      <w:r w:rsidRPr="008127F8">
        <w:rPr>
          <w:rFonts w:ascii="Times New Roman" w:cs="Times New Roman"/>
          <w:color w:val="000000" w:themeColor="text1"/>
          <w:spacing w:val="0"/>
        </w:rPr>
        <w:softHyphen/>
        <w:t>тельными изменениями в конструкции башни, для рационального размещения в ней самой артиллерийской системы тре</w:t>
      </w:r>
      <w:r w:rsidRPr="008127F8">
        <w:rPr>
          <w:rFonts w:ascii="Times New Roman" w:cs="Times New Roman"/>
          <w:color w:val="000000" w:themeColor="text1"/>
          <w:spacing w:val="0"/>
        </w:rPr>
        <w:softHyphen/>
        <w:t>бовалась коренная переделка многих ее узлов (15232).</w:t>
      </w:r>
    </w:p>
    <w:p w14:paraId="6AE2B79A" w14:textId="77777777" w:rsidR="006458D8" w:rsidRPr="008127F8" w:rsidRDefault="006458D8" w:rsidP="001E0A84">
      <w:pPr>
        <w:pStyle w:val="27"/>
        <w:shd w:val="clear" w:color="auto" w:fill="auto"/>
        <w:spacing w:after="0" w:line="240" w:lineRule="auto"/>
        <w:ind w:firstLine="0"/>
        <w:rPr>
          <w:rFonts w:ascii="Times New Roman" w:cs="Times New Roman"/>
          <w:color w:val="000000" w:themeColor="text1"/>
          <w:spacing w:val="0"/>
        </w:rPr>
      </w:pPr>
    </w:p>
    <w:p w14:paraId="16AA8D5A" w14:textId="77777777" w:rsidR="006458D8" w:rsidRPr="008127F8" w:rsidRDefault="006458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 апреле 1942 года Артиллерийский комитет ГАУ КА, выдержал паузу, вернувшись к рассмотрению проектов У-20. Саму идею создания башенной САУ признали верной. Но условия работы заряжающих были подвергнуты резкой и вполне справедливой критике. Кроме того, критике была подвергнута и идея использования У-10 в качестве вооружения для первого варианта САУ. Указывалось, что это усложнит производство. Более верным был признан проект У-20-II, и это несмотря на то, что заряжающим там предстояло работать акробатами.</w:t>
      </w:r>
    </w:p>
    <w:p w14:paraId="27FD79A8" w14:textId="77777777" w:rsidR="006458D8" w:rsidRPr="008127F8" w:rsidRDefault="006458D8" w:rsidP="001E0A84">
      <w:pPr>
        <w:pStyle w:val="af"/>
        <w:shd w:val="clear" w:color="auto" w:fill="FFFFFF"/>
        <w:spacing w:before="0" w:after="0"/>
        <w:jc w:val="both"/>
        <w:rPr>
          <w:color w:val="000000" w:themeColor="text1"/>
          <w:sz w:val="16"/>
          <w:szCs w:val="16"/>
        </w:rPr>
      </w:pPr>
      <w:r w:rsidRPr="008127F8">
        <w:rPr>
          <w:color w:val="000000" w:themeColor="text1"/>
          <w:sz w:val="16"/>
          <w:szCs w:val="16"/>
        </w:rPr>
        <w:t>Впрочем, по итогам рассмотрения оба проекта У-20 были признаны не удовлетворяющими требованиям Арткома ГАУ КА. Уже само по себе это заключение вызывает массу вопросов. Создаётся впечатление, что товарищи артиллеристы сами не знали, чего хотели. В заключении имелись взаимоисключающие параграфы. Именно Артком ГАУ КА составлял требования, и сам же потом назвал неверными их реализованные в проектах воплощения (15615).</w:t>
      </w:r>
    </w:p>
    <w:p w14:paraId="4230F234" w14:textId="77777777" w:rsidR="006458D8" w:rsidRPr="008127F8" w:rsidRDefault="006458D8" w:rsidP="001E0A84">
      <w:pPr>
        <w:pStyle w:val="af"/>
        <w:shd w:val="clear" w:color="auto" w:fill="FFFFFF"/>
        <w:spacing w:before="0" w:after="0"/>
        <w:jc w:val="both"/>
        <w:rPr>
          <w:color w:val="000000" w:themeColor="text1"/>
          <w:sz w:val="16"/>
          <w:szCs w:val="16"/>
        </w:rPr>
      </w:pPr>
    </w:p>
    <w:p w14:paraId="6AC89C5D" w14:textId="14C45D75"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года было дано заключение Арткома ГАУ о том, что установка У-20 выполнена неудачно. Параллельно с У-20, разрабатывался </w:t>
      </w:r>
      <w:proofErr w:type="gramStart"/>
      <w:r w:rsidRPr="008127F8">
        <w:rPr>
          <w:rFonts w:ascii="Times New Roman" w:hAnsi="Times New Roman"/>
          <w:color w:val="000000" w:themeColor="text1"/>
          <w:sz w:val="16"/>
          <w:szCs w:val="16"/>
        </w:rPr>
        <w:t>и</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второй</w:t>
      </w:r>
      <w:proofErr w:type="gramEnd"/>
      <w:r w:rsidRPr="008127F8">
        <w:rPr>
          <w:rFonts w:ascii="Times New Roman" w:hAnsi="Times New Roman"/>
          <w:color w:val="000000" w:themeColor="text1"/>
          <w:sz w:val="16"/>
          <w:szCs w:val="16"/>
        </w:rPr>
        <w:t xml:space="preserve"> вариант У-20-II, где попыталась устранить основные недостатки У-20.</w:t>
      </w:r>
    </w:p>
    <w:p w14:paraId="2D239612"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У-20-II, подобно У-20, представлял собой Т-34, на котором была установлена открытая сверху башня с расчетом из 3-х человек. Толщина лобового листа башни составляла 75 мм, бортов 40 мм, что заметно превышало данные башни У-20. Также, по сравнению с У-20, были снижены габариты САУ, как по высоте (2475 мм, чуть выше Т-34), так и по выносу ствола (200 мм). Боекомплект, правда, снизился с 76 до 60 выстрелов. Проект У-20-II постигла та же участь (15644).</w:t>
      </w:r>
    </w:p>
    <w:p w14:paraId="4940F4CC"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5BFC2228" w14:textId="77777777" w:rsidR="006458D8" w:rsidRPr="008127F8" w:rsidRDefault="006458D8" w:rsidP="001E0A84">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апре</w:t>
      </w:r>
      <w:r w:rsidRPr="008127F8">
        <w:rPr>
          <w:rFonts w:ascii="Times New Roman" w:cs="Times New Roman"/>
          <w:color w:val="000000" w:themeColor="text1"/>
          <w:spacing w:val="0"/>
        </w:rPr>
        <w:softHyphen/>
        <w:t>ле 1942 заводом № 9 НКВ для танков КВ-9 была изготовлена небольшая серия гау</w:t>
      </w:r>
      <w:r w:rsidRPr="008127F8">
        <w:rPr>
          <w:rFonts w:ascii="Times New Roman" w:cs="Times New Roman"/>
          <w:color w:val="000000" w:themeColor="text1"/>
          <w:spacing w:val="0"/>
        </w:rPr>
        <w:softHyphen/>
        <w:t>биц У-11. Танк КВ-9 успешно прошелиспытания, однако снижение качестваизготовления трансмиссии КВ-1 и уве</w:t>
      </w:r>
      <w:r w:rsidRPr="008127F8">
        <w:rPr>
          <w:rFonts w:ascii="Times New Roman" w:cs="Times New Roman"/>
          <w:color w:val="000000" w:themeColor="text1"/>
          <w:spacing w:val="0"/>
        </w:rPr>
        <w:softHyphen/>
        <w:t>личение его массы привело к катастро</w:t>
      </w:r>
      <w:r w:rsidRPr="008127F8">
        <w:rPr>
          <w:rFonts w:ascii="Times New Roman" w:cs="Times New Roman"/>
          <w:color w:val="000000" w:themeColor="text1"/>
          <w:spacing w:val="0"/>
        </w:rPr>
        <w:softHyphen/>
        <w:t>фическому числу аварий на фронте. Опа</w:t>
      </w:r>
      <w:r w:rsidRPr="008127F8">
        <w:rPr>
          <w:rFonts w:ascii="Times New Roman" w:cs="Times New Roman"/>
          <w:color w:val="000000" w:themeColor="text1"/>
          <w:spacing w:val="0"/>
        </w:rPr>
        <w:softHyphen/>
        <w:t>сение еще больше ухудшить условия ра</w:t>
      </w:r>
      <w:r w:rsidRPr="008127F8">
        <w:rPr>
          <w:rFonts w:ascii="Times New Roman" w:cs="Times New Roman"/>
          <w:color w:val="000000" w:themeColor="text1"/>
          <w:spacing w:val="0"/>
        </w:rPr>
        <w:softHyphen/>
        <w:t>боты трансмиссии в случае установки на танке 122-мм гаубицы и послужило при</w:t>
      </w:r>
      <w:r w:rsidRPr="008127F8">
        <w:rPr>
          <w:rFonts w:ascii="Times New Roman" w:cs="Times New Roman"/>
          <w:color w:val="000000" w:themeColor="text1"/>
          <w:spacing w:val="0"/>
        </w:rPr>
        <w:softHyphen/>
        <w:t>чиной отказа в принятии КВ-9. Танк КВ-9, воору</w:t>
      </w:r>
      <w:r w:rsidRPr="008127F8">
        <w:rPr>
          <w:rFonts w:ascii="Times New Roman" w:cs="Times New Roman"/>
          <w:color w:val="000000" w:themeColor="text1"/>
          <w:spacing w:val="0"/>
        </w:rPr>
        <w:softHyphen/>
        <w:t>женный 122-мм гаубицей У-11, создавал</w:t>
      </w:r>
      <w:r w:rsidRPr="008127F8">
        <w:rPr>
          <w:rFonts w:ascii="Times New Roman" w:cs="Times New Roman"/>
          <w:color w:val="000000" w:themeColor="text1"/>
          <w:spacing w:val="0"/>
        </w:rPr>
        <w:softHyphen/>
        <w:t>ся как мощное универсальное средство для прорыва укрепленных полос против</w:t>
      </w:r>
      <w:r w:rsidRPr="008127F8">
        <w:rPr>
          <w:rFonts w:ascii="Times New Roman" w:cs="Times New Roman"/>
          <w:color w:val="000000" w:themeColor="text1"/>
          <w:spacing w:val="0"/>
        </w:rPr>
        <w:softHyphen/>
        <w:t>ника, разрушения оборонительных со</w:t>
      </w:r>
      <w:r w:rsidRPr="008127F8">
        <w:rPr>
          <w:rFonts w:ascii="Times New Roman" w:cs="Times New Roman"/>
          <w:color w:val="000000" w:themeColor="text1"/>
          <w:spacing w:val="0"/>
        </w:rPr>
        <w:softHyphen/>
        <w:t>оружений и уничтожения танков. Проек</w:t>
      </w:r>
      <w:r w:rsidRPr="008127F8">
        <w:rPr>
          <w:rFonts w:ascii="Times New Roman" w:cs="Times New Roman"/>
          <w:color w:val="000000" w:themeColor="text1"/>
          <w:spacing w:val="0"/>
        </w:rPr>
        <w:softHyphen/>
        <w:t>тирование установки гаубицы в башне танка КВ-1 в конструкторском бюро УЗТМ показало, что, наряду с незначи</w:t>
      </w:r>
      <w:r w:rsidRPr="008127F8">
        <w:rPr>
          <w:rFonts w:ascii="Times New Roman" w:cs="Times New Roman"/>
          <w:color w:val="000000" w:themeColor="text1"/>
          <w:spacing w:val="0"/>
        </w:rPr>
        <w:softHyphen/>
        <w:t>тельными изменениями в конструкции башни, для рационального размещения в ней самой артиллерийской системы тре</w:t>
      </w:r>
      <w:r w:rsidRPr="008127F8">
        <w:rPr>
          <w:rFonts w:ascii="Times New Roman" w:cs="Times New Roman"/>
          <w:color w:val="000000" w:themeColor="text1"/>
          <w:spacing w:val="0"/>
        </w:rPr>
        <w:softHyphen/>
        <w:t>бовалась коренная переделка многих ее узлов (15232).</w:t>
      </w:r>
    </w:p>
    <w:p w14:paraId="72B72F85" w14:textId="77777777" w:rsidR="006458D8" w:rsidRPr="008127F8" w:rsidRDefault="006458D8" w:rsidP="001E0A84">
      <w:pPr>
        <w:pStyle w:val="27"/>
        <w:shd w:val="clear" w:color="auto" w:fill="auto"/>
        <w:spacing w:after="0" w:line="240" w:lineRule="auto"/>
        <w:ind w:firstLine="0"/>
        <w:rPr>
          <w:rFonts w:ascii="Times New Roman" w:cs="Times New Roman"/>
          <w:color w:val="000000" w:themeColor="text1"/>
          <w:spacing w:val="0"/>
        </w:rPr>
      </w:pPr>
    </w:p>
    <w:p w14:paraId="66EEC41E"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 апреля 1941 производство огнеметных КВ-8 стало похоже хоть на что-то. За первый месяц второго квартала 1942 года сдали 22 огнеметных танка, за май 26, за июнь 13, за июль 18 и за август 21. При этом уже в августе сдавать их как бы не планировали, но собрали из задела. На КВ-8 пришелся самый сложный период выпуска. Например, из 22 апрельских танков радиостанциями было обеспечено всего 7, из 26 майских радиостанции поставили на 13 штук (22806).</w:t>
      </w:r>
    </w:p>
    <w:p w14:paraId="70E6A529" w14:textId="77777777" w:rsidR="00984DDA" w:rsidRPr="008127F8" w:rsidRDefault="00984DDA" w:rsidP="001E0A84">
      <w:pPr>
        <w:spacing w:after="0" w:line="240" w:lineRule="auto"/>
        <w:jc w:val="both"/>
        <w:rPr>
          <w:rFonts w:ascii="Times New Roman" w:hAnsi="Times New Roman"/>
          <w:color w:val="000000" w:themeColor="text1"/>
          <w:sz w:val="16"/>
          <w:szCs w:val="16"/>
        </w:rPr>
      </w:pPr>
    </w:p>
    <w:p w14:paraId="78A6FD18"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апреле 1942 г. на резервной площадке Ижорского завода (на территории эвакуиро</w:t>
      </w:r>
      <w:r w:rsidRPr="008127F8">
        <w:rPr>
          <w:rFonts w:ascii="Times New Roman" w:hAnsi="Times New Roman" w:cs="Times New Roman"/>
          <w:color w:val="000000" w:themeColor="text1"/>
          <w:sz w:val="16"/>
          <w:szCs w:val="16"/>
        </w:rPr>
        <w:softHyphen/>
        <w:t>ванного завода №174) удалось восстановить термическую обработку брони и организо</w:t>
      </w:r>
      <w:r w:rsidRPr="008127F8">
        <w:rPr>
          <w:rFonts w:ascii="Times New Roman" w:hAnsi="Times New Roman" w:cs="Times New Roman"/>
          <w:color w:val="000000" w:themeColor="text1"/>
          <w:sz w:val="16"/>
          <w:szCs w:val="16"/>
        </w:rPr>
        <w:softHyphen/>
        <w:t>вать производство броневых щитов для за</w:t>
      </w:r>
      <w:r w:rsidRPr="008127F8">
        <w:rPr>
          <w:rFonts w:ascii="Times New Roman" w:hAnsi="Times New Roman" w:cs="Times New Roman"/>
          <w:color w:val="000000" w:themeColor="text1"/>
          <w:sz w:val="16"/>
          <w:szCs w:val="16"/>
        </w:rPr>
        <w:softHyphen/>
        <w:t>щиты морских зенитных 37-мм автоматов 70К. В дальнейшем это позволило изготовить в большом объеме броневые ДОТы и огневые точки под станковые пулеметы и противотан</w:t>
      </w:r>
      <w:r w:rsidRPr="008127F8">
        <w:rPr>
          <w:rFonts w:ascii="Times New Roman" w:hAnsi="Times New Roman" w:cs="Times New Roman"/>
          <w:color w:val="000000" w:themeColor="text1"/>
          <w:sz w:val="16"/>
          <w:szCs w:val="16"/>
        </w:rPr>
        <w:softHyphen/>
        <w:t>ковые ружья, в том числе и 900 трехамбра- зурных щитков для снайперов. Итоговый вы</w:t>
      </w:r>
      <w:r w:rsidRPr="008127F8">
        <w:rPr>
          <w:rFonts w:ascii="Times New Roman" w:hAnsi="Times New Roman" w:cs="Times New Roman"/>
          <w:color w:val="000000" w:themeColor="text1"/>
          <w:sz w:val="16"/>
          <w:szCs w:val="16"/>
        </w:rPr>
        <w:softHyphen/>
        <w:t>пуск броневых стрелковых щитов ЩИЗ-10/11 (по чертежам Ижорского завода) за I полуго</w:t>
      </w:r>
      <w:r w:rsidRPr="008127F8">
        <w:rPr>
          <w:rFonts w:ascii="Times New Roman" w:hAnsi="Times New Roman" w:cs="Times New Roman"/>
          <w:color w:val="000000" w:themeColor="text1"/>
          <w:sz w:val="16"/>
          <w:szCs w:val="16"/>
        </w:rPr>
        <w:softHyphen/>
        <w:t>дие 1942 г. составил 522 шт.</w:t>
      </w:r>
    </w:p>
    <w:p w14:paraId="3948849F"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 постановлению Военного совета, ле</w:t>
      </w:r>
      <w:r w:rsidRPr="008127F8">
        <w:rPr>
          <w:rFonts w:ascii="Times New Roman" w:hAnsi="Times New Roman" w:cs="Times New Roman"/>
          <w:color w:val="000000" w:themeColor="text1"/>
          <w:sz w:val="16"/>
          <w:szCs w:val="16"/>
        </w:rPr>
        <w:softHyphen/>
        <w:t>нинградские заводы №189,194,196,190 и Ижорский завод обязывались с 22 июня по 26 июля 1942 г. изготовить 300 трехамбра- зурных щитков для защиты снайперов и ав</w:t>
      </w:r>
      <w:r w:rsidRPr="008127F8">
        <w:rPr>
          <w:rFonts w:ascii="Times New Roman" w:hAnsi="Times New Roman" w:cs="Times New Roman"/>
          <w:color w:val="000000" w:themeColor="text1"/>
          <w:sz w:val="16"/>
          <w:szCs w:val="16"/>
        </w:rPr>
        <w:softHyphen/>
        <w:t>томатчиков. Данное постановление заводчане выполнили досрочно: уже 25 июля на обо</w:t>
      </w:r>
      <w:r w:rsidRPr="008127F8">
        <w:rPr>
          <w:rFonts w:ascii="Times New Roman" w:hAnsi="Times New Roman" w:cs="Times New Roman"/>
          <w:color w:val="000000" w:themeColor="text1"/>
          <w:sz w:val="16"/>
          <w:szCs w:val="16"/>
        </w:rPr>
        <w:softHyphen/>
        <w:t>ронительные рубежи 42-й армии и Невской оперативной группы (НОГ) доставили 40 и 60 щитков соответственно, а 200 - передали в резерв инженерных войск фронта для закре</w:t>
      </w:r>
      <w:r w:rsidRPr="008127F8">
        <w:rPr>
          <w:rFonts w:ascii="Times New Roman" w:hAnsi="Times New Roman" w:cs="Times New Roman"/>
          <w:color w:val="000000" w:themeColor="text1"/>
          <w:sz w:val="16"/>
          <w:szCs w:val="16"/>
        </w:rPr>
        <w:softHyphen/>
        <w:t>пления занятых рубежей при запланирован</w:t>
      </w:r>
      <w:r w:rsidRPr="008127F8">
        <w:rPr>
          <w:rFonts w:ascii="Times New Roman" w:hAnsi="Times New Roman" w:cs="Times New Roman"/>
          <w:color w:val="000000" w:themeColor="text1"/>
          <w:sz w:val="16"/>
          <w:szCs w:val="16"/>
        </w:rPr>
        <w:softHyphen/>
      </w:r>
      <w:r w:rsidRPr="008127F8">
        <w:rPr>
          <w:rStyle w:val="BodytextBold6"/>
          <w:rFonts w:ascii="Times New Roman" w:eastAsiaTheme="minorHAnsi" w:hAnsi="Times New Roman" w:cs="Times New Roman"/>
          <w:b w:val="0"/>
          <w:color w:val="000000" w:themeColor="text1"/>
          <w:sz w:val="16"/>
          <w:szCs w:val="16"/>
        </w:rPr>
        <w:t>ном наступлении</w:t>
      </w:r>
      <w:r w:rsidRPr="008127F8">
        <w:rPr>
          <w:rFonts w:ascii="Times New Roman" w:hAnsi="Times New Roman" w:cs="Times New Roman"/>
          <w:color w:val="000000" w:themeColor="text1"/>
          <w:sz w:val="16"/>
          <w:szCs w:val="16"/>
        </w:rPr>
        <w:t xml:space="preserve"> Красной Армии (17746).</w:t>
      </w:r>
    </w:p>
    <w:p w14:paraId="2E1487D4" w14:textId="77777777" w:rsidR="007A437F" w:rsidRPr="008127F8" w:rsidRDefault="007A437F" w:rsidP="001E0A84">
      <w:pPr>
        <w:pStyle w:val="12a"/>
        <w:shd w:val="clear" w:color="auto" w:fill="auto"/>
        <w:spacing w:after="0" w:line="240" w:lineRule="auto"/>
        <w:jc w:val="both"/>
        <w:rPr>
          <w:color w:val="000000" w:themeColor="text1"/>
          <w:sz w:val="16"/>
          <w:szCs w:val="16"/>
        </w:rPr>
      </w:pPr>
    </w:p>
    <w:p w14:paraId="2E1F824B" w14:textId="77777777" w:rsidR="00984DDA" w:rsidRPr="008127F8" w:rsidRDefault="00984D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апреле 1942 года работы по самоходным артиллерийским установкам на базе Т-60. Вооружение было двух типов - либо 37-мм зенитный автомат 61-К, либо 25-мм зенитный автомат 72-К. утвердили на пленуме Арткома ГАУ КА (21409).</w:t>
      </w:r>
    </w:p>
    <w:p w14:paraId="09D63F7B" w14:textId="77777777" w:rsidR="00984DDA" w:rsidRPr="008127F8" w:rsidRDefault="00984D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июне 1942 года на заводе №37 в Свердловске был изготовлен опытный образец зенитной самоходной артиллерийской установки СУ-31. Создали ее на специальном шасси "31" с использованием агрегатов танка Т-60. Предполагалось, что СУ-31 станет первым образцом на этом шасси, также оно предполагалось для создания 76-мм легкой штурмовой самоходной артиллерийской установки. Как показали испытания, СУ-31 выглядело более удачным, чем похожая по концепции СУ-32, разработанная на агрегатах Т-70. Главная проблема заключалась в том, что в конце июля 1942 года завод №37 включили в состав УЗТМ и теперь тут разворачивали запуск танков Т-34. К тому же выпуск Т-60 прекратился окончательно. СУ-31 оказалась удачной машиной без перспектив на серийный выпуск (21409).</w:t>
      </w:r>
    </w:p>
    <w:p w14:paraId="7B4E090D" w14:textId="77777777" w:rsidR="00984DDA" w:rsidRPr="008127F8" w:rsidRDefault="00984DDA"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5F0E9C" w14:textId="77777777" w:rsidR="005F6526" w:rsidRPr="007155F3" w:rsidRDefault="005F6526" w:rsidP="005F6526">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апреле 1942 года на ГАЗ началось полноценное производство Т-70, да и то, в меньшем, чем предполагалось, объеме. Вместо 170 танков (150 + 20 переходящих мартовских) ГАЗ им. Молотова сдал 50 танков, еще 33 Т-70 находилось в процессе сборки. Дополнительной проблемой стало то, что из всех сданных за март-апрель машин всего 19 было отправлено с завода. 33 танка, включая 2 машины, оставшиеся еще с марта, оставались на заводе, где производился их ремонт. Основным дефектом стал перегрев двигателей и частые проблемы с главной передачей. Также, на первых порах, спаренные двигатели вели себя не лучшим образом. Сгорало сцепление, имелись проблемы с соосной работой моторов. Схожие проблемы наблюдались в Кирове. За апрель здесь было сдано 7 танков из 20 планировавшихся, причем часть уже получила сварные башни, которые освоили на заводе № 38 (24898).</w:t>
      </w:r>
    </w:p>
    <w:p w14:paraId="05C038EA" w14:textId="77777777" w:rsidR="005F6526" w:rsidRPr="007155F3" w:rsidRDefault="005F6526" w:rsidP="005F6526">
      <w:pPr>
        <w:spacing w:after="0" w:line="240" w:lineRule="auto"/>
        <w:jc w:val="both"/>
        <w:rPr>
          <w:rFonts w:ascii="Times New Roman" w:hAnsi="Times New Roman"/>
          <w:color w:val="0070C0"/>
          <w:sz w:val="16"/>
          <w:szCs w:val="16"/>
        </w:rPr>
      </w:pPr>
    </w:p>
    <w:p w14:paraId="3A540C00" w14:textId="77777777" w:rsidR="005F6526" w:rsidRPr="007155F3" w:rsidRDefault="005F6526" w:rsidP="005F6526">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За апрель 1942 года на ГАЗ им. Молотова и заводе №38 шла лихорадочная работа по устранению вылезших проблем и одновременно шли работы по улучшению танка, КЭО ГАЗ переделал по корпусу 43 чертежей из 164, а по двигателю – 18 из 79, плюс 8 чертежей было введено вновь. Переделали подбашенную корзину, ввели новую снарядную укладку первой очереди на 20 унитаров. Для проверки надежности танков провели испытания трех машин. По итогам испытаний составили список недостатков, которые требовали доработки. Среди срочных переделок значились установка ограждения двигателя, эластичная обивка внутри башни, улучшение конструкции подъемного механизма, а также установка ТПУ и радиостанции 9-Р (24898).</w:t>
      </w:r>
    </w:p>
    <w:p w14:paraId="455D2F2C" w14:textId="77777777" w:rsidR="005F6526" w:rsidRPr="007155F3" w:rsidRDefault="005F6526" w:rsidP="005F6526">
      <w:pPr>
        <w:spacing w:after="0" w:line="240" w:lineRule="auto"/>
        <w:jc w:val="both"/>
        <w:rPr>
          <w:rFonts w:ascii="Times New Roman" w:hAnsi="Times New Roman"/>
          <w:color w:val="0070C0"/>
          <w:sz w:val="16"/>
          <w:szCs w:val="16"/>
        </w:rPr>
      </w:pPr>
    </w:p>
    <w:p w14:paraId="75F57702"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было принято решение о запуске работ по целому семейству самоходных артиллерийских установок. В их числе значилась и установка 122-мм гаубицы М-30 на шасси Т-34. Исполнителями заказа являлись завод №8 (система) и завод №183 (шасси и серийный выпуск). Иногда данное решение пленума Артиллерийского Комитета ГАУ КА от 14-15 апреля 1942 года считается отправной точкой при создании СУ-122. В целом-то да, но не совсем. Во-первых, безо всякого пленума Арткома ГАУ на заводе №592 НКВ шли работы по перевооружению немецкой трофейной САУ StuG III на гаубицу М-30. Так появился проект САУ 122-СГ, которая фактически и была прародителем концепции будущей СУ-122. Во-вторых, изначально завод №8 и завод №183 делали отнюдь не САУ, и отнюдь не с гаубицей М-30. Документы красноречиво говорят о том, что весной 1942 года под руководством Ф.Ф. Петрова шла работа по 122-мм гаубице У-22, версии танковой гаубицы У-11 для переделанной башни Т-34. В результате к концу весны 1942 года был разработан гаубичный танк.</w:t>
      </w:r>
    </w:p>
    <w:p w14:paraId="64E37964" w14:textId="77777777" w:rsidR="00984DDA" w:rsidRPr="008127F8" w:rsidRDefault="00984DDA"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странное прочтение задания на среднюю штурмовую САУ стало результатом разного подхода ГАУ КА, НКВ (наркомат вооружений) и НКТП (Наркомат Танковой Промышленности) к одной и той же теме. Сама по себе идея У-11 была хорошей, хотя исходно это просто "запасное" орудие для КВ-1, спешно созданное как возможное дополнение в случае срыва выпуск штатной 76-мм системы ЗИС-5. Как орудие для САУ данную систему стали рассматривать только с апреля 1942 года. Но поскольку в ГАУ КА принципиально встретили орудие в штыки, разума в дальнейших действиях артиллеристов как-то не наблюдалось. В свою очередь, НКТП поначалу творил всякую ерунду на ниве создания САУ. Причем, в отличие от ГАУ, "танкисты" порой даже выпускали пробные партии боевых машин непонятного назначения. Например, КВ-7. Примерно то же самое случилось и с У-11. Пробную партию орудий выпустили вопреки возражениям ГАУ КА, да и гаубичный Т-34 появился вопреки уже имеющимся данным о том, что даже в боевом отделении КВ-1 с У-11 тесновато (20931).</w:t>
      </w:r>
    </w:p>
    <w:p w14:paraId="05B4E04D" w14:textId="77777777" w:rsidR="00984DDA" w:rsidRPr="008127F8" w:rsidRDefault="00984DDA" w:rsidP="001E0A84">
      <w:pPr>
        <w:spacing w:after="0" w:line="240" w:lineRule="auto"/>
        <w:jc w:val="both"/>
        <w:rPr>
          <w:rFonts w:ascii="Times New Roman" w:hAnsi="Times New Roman"/>
          <w:color w:val="000000" w:themeColor="text1"/>
          <w:sz w:val="16"/>
          <w:szCs w:val="16"/>
        </w:rPr>
      </w:pPr>
    </w:p>
    <w:p w14:paraId="64AB8F1A" w14:textId="77777777" w:rsidR="00F76B33" w:rsidRPr="008127F8" w:rsidRDefault="00F76B33" w:rsidP="001E0A84">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апреле 1942 года груп</w:t>
      </w:r>
      <w:r w:rsidRPr="008127F8">
        <w:rPr>
          <w:rFonts w:eastAsia="Calibri"/>
          <w:color w:val="000000" w:themeColor="text1"/>
          <w:sz w:val="16"/>
          <w:szCs w:val="16"/>
        </w:rPr>
        <w:softHyphen/>
        <w:t>пой конструкторов НИИ-48, основной специализацией которого были научные изыскания в области брони, был разработан проект безбашенного танка на базе Т-60. Над проектом работали кон</w:t>
      </w:r>
      <w:r w:rsidRPr="008127F8">
        <w:rPr>
          <w:rFonts w:eastAsia="Calibri"/>
          <w:color w:val="000000" w:themeColor="text1"/>
          <w:sz w:val="16"/>
          <w:szCs w:val="16"/>
        </w:rPr>
        <w:softHyphen/>
        <w:t>структор Беляев (он занимался графической документацией), инжене</w:t>
      </w:r>
      <w:r w:rsidRPr="008127F8">
        <w:rPr>
          <w:rFonts w:eastAsia="Calibri"/>
          <w:color w:val="000000" w:themeColor="text1"/>
          <w:sz w:val="16"/>
          <w:szCs w:val="16"/>
        </w:rPr>
        <w:softHyphen/>
        <w:t xml:space="preserve">ры 3. Красильщиков и </w:t>
      </w:r>
      <w:r w:rsidRPr="008127F8">
        <w:rPr>
          <w:rFonts w:eastAsia="Calibri"/>
          <w:color w:val="000000" w:themeColor="text1"/>
          <w:sz w:val="16"/>
          <w:szCs w:val="16"/>
          <w:lang w:val="en-US"/>
        </w:rPr>
        <w:t>A</w:t>
      </w:r>
      <w:r w:rsidRPr="008127F8">
        <w:rPr>
          <w:rFonts w:eastAsia="Calibri"/>
          <w:color w:val="000000" w:themeColor="text1"/>
          <w:sz w:val="16"/>
          <w:szCs w:val="16"/>
        </w:rPr>
        <w:t xml:space="preserve">. </w:t>
      </w:r>
      <w:r w:rsidRPr="008127F8">
        <w:rPr>
          <w:rFonts w:eastAsia="Calibri"/>
          <w:color w:val="000000" w:themeColor="text1"/>
          <w:sz w:val="16"/>
          <w:szCs w:val="16"/>
          <w:lang w:val="en-US"/>
        </w:rPr>
        <w:t>JI</w:t>
      </w:r>
      <w:r w:rsidRPr="008127F8">
        <w:rPr>
          <w:rFonts w:eastAsia="Calibri"/>
          <w:color w:val="000000" w:themeColor="text1"/>
          <w:sz w:val="16"/>
          <w:szCs w:val="16"/>
        </w:rPr>
        <w:t>. Немчинский. Также в разработке танка принимал участие инженер-полковник Г. 3. Зухер (17485).</w:t>
      </w:r>
    </w:p>
    <w:p w14:paraId="249DD667" w14:textId="77777777" w:rsidR="00F76B33" w:rsidRPr="008127F8" w:rsidRDefault="00F76B33" w:rsidP="001E0A84">
      <w:pPr>
        <w:pStyle w:val="af"/>
        <w:spacing w:before="0" w:after="0"/>
        <w:jc w:val="both"/>
        <w:rPr>
          <w:color w:val="000000" w:themeColor="text1"/>
          <w:sz w:val="16"/>
          <w:szCs w:val="16"/>
        </w:rPr>
      </w:pPr>
    </w:p>
    <w:p w14:paraId="5636EDD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по приказу НКБ на месте эвакуированного завода № 260 НКБ во Владимире образован новый завод, которому присвоено наименование ГЗ № 521 (Завод № 521 НКБ, МСХМ,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п/я 50, Владимирский завод точного машиностроения «Точмаш» ММ, ПО «Точмаш» МОП, ФГУП «Владимирское ПО «Точмаш» Росбоеприпаса, ФГУП «Владимирский завод точного машиностроения» Росатома /г. Владимир Ивановской обл. п/я 50 «Игла» (-1943-44 г.)/ /600007  г. Владимир ул. Северная, 1А тел. 23-06-45/). Уже через три месяца начат выпуск боеприпасов. В 1945 г. на заводе собраны первые отечественные радиовзрыватели для авиабомб. В 08.1943- 09.1944 г. - в ведении 2ГУ. Имел обозначение «п/я 50» (1943 г.).</w:t>
      </w:r>
    </w:p>
    <w:p w14:paraId="144FCC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основные цехи (1943 г.): механический, термический, прессовый.</w:t>
      </w:r>
    </w:p>
    <w:p w14:paraId="5464C0C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передан в ведение МСХМ. Начато производство гражданской продукции: деталей для сельхозмашин, механизмов для патефонов, ТНП; организация часового и станкостроительного производства. С 1947 г. начато освоение выпуска механических часов «Весна».</w:t>
      </w:r>
    </w:p>
    <w:p w14:paraId="3843BB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1949 г. завод передан в ведение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xml:space="preserve">, в 1951 г. получил наименование «предприятие п/я 50». В 1966 г. завод передан в ведение ММ и переименован во Владимирский завод точного машиностроения «Точмаш». 25.05.1977 г. завод преобразован во Владимирское ПО «Точмаш» с филиалом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Коврове.</w:t>
      </w:r>
    </w:p>
    <w:p w14:paraId="196F977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1959 г. начат выпуск уникального оборудования для атомной промышленности; с 1965 г.- производство автокомпонентов.</w:t>
      </w:r>
    </w:p>
    <w:p w14:paraId="69138BD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1993 г. на заводе реализуется программа конверсии, освоен выпуск 137 наименований гражданской продукции. В 1993-97 г. изготовлено уникальное оборудование для атомной энергетики Китая.</w:t>
      </w:r>
    </w:p>
    <w:p w14:paraId="2DE7E9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МЭ № 33 от 3.02.1998 г. предприятие получило статус ФГУП.</w:t>
      </w:r>
    </w:p>
    <w:p w14:paraId="34EF26E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радиовзрыватели и ПИМы для УРВВ, УРВГ1, артиллерийских выстрелов; технологическое оборудование для Минатома (один из двух производителей газовых центрифуг в России); автомобильное электрооборудование; станки; приборы учета расхода воды и газа; автоматы для пищевой промышленности; часы.</w:t>
      </w:r>
    </w:p>
    <w:p w14:paraId="55B3B77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2006 г. планировалось вхождение завода в центр центрифужного машиностроения «Русская центрифуга», создаваемого на базе КМЗ, завод передан в ведение Росатома.</w:t>
      </w:r>
    </w:p>
    <w:p w14:paraId="6A924AB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2009 г. завод входил в состав ОАО «Инжиниринговый центр «Русская газовая центрифуга» (РГЦ).</w:t>
      </w:r>
    </w:p>
    <w:p w14:paraId="094A0DD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(04.1943 г.): производственная- 9242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вспомогательная- 12678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790137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г.)- 3356 чел.</w:t>
      </w:r>
      <w:r w:rsidRPr="008127F8">
        <w:rPr>
          <w:rFonts w:ascii="Times New Roman" w:hAnsi="Times New Roman"/>
          <w:color w:val="000000" w:themeColor="text1"/>
          <w:sz w:val="16"/>
          <w:szCs w:val="16"/>
          <w:vertAlign w:val="superscript"/>
        </w:rPr>
        <w:t>132</w:t>
      </w:r>
    </w:p>
    <w:p w14:paraId="3EB4B6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Харицкий, (1940-е-71 г.-&gt; В.Я. Степин, (1974-75 г.-)- В.В. Егоров. Гендиректор (03.1997 г.-&gt; Ю.А. Замбии.</w:t>
      </w:r>
    </w:p>
    <w:p w14:paraId="35C4B24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(1940-е-64 г.-)- И.Я. Елисеев. Гл. технолог (1950 г.)- И.В. Крылов.</w:t>
      </w:r>
    </w:p>
    <w:p w14:paraId="55F812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(-1951-70 г.-)- П.Н. Грачев.</w:t>
      </w:r>
    </w:p>
    <w:p w14:paraId="28F9075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(1943 г.)- М.И. Лихницкий.</w:t>
      </w:r>
    </w:p>
    <w:p w14:paraId="749BB1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ОКБ (1970 г.)- П. Г. Цыпляков.</w:t>
      </w:r>
    </w:p>
    <w:p w14:paraId="13EFC9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мобилизационно-планового (04.1943 г.)- Точигин.</w:t>
      </w:r>
    </w:p>
    <w:p w14:paraId="7115CE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взрыватели:</w:t>
      </w:r>
      <w:r w:rsidRPr="008127F8">
        <w:rPr>
          <w:rFonts w:ascii="Times New Roman" w:hAnsi="Times New Roman"/>
          <w:color w:val="000000" w:themeColor="text1"/>
          <w:sz w:val="16"/>
          <w:szCs w:val="16"/>
        </w:rPr>
        <w:t xml:space="preserve"> ЭВ-11, КТМ-1, МП-82 (1943); радиовзрыватели для авиабомб (1945-), УРВВ, УРВП (2004); оптико-электронные головки коррекции для комплексов «Смельчак» и «Сантиметр»; часовые механизмы для взрывателей; газовые центрифуги, оборудование для обогащения урана</w:t>
      </w:r>
    </w:p>
    <w:p w14:paraId="6CAC18C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(1959-2000-е);</w:t>
      </w:r>
    </w:p>
    <w:p w14:paraId="213F06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часы:</w:t>
      </w:r>
      <w:r w:rsidRPr="008127F8">
        <w:rPr>
          <w:rFonts w:ascii="Times New Roman" w:hAnsi="Times New Roman"/>
          <w:color w:val="000000" w:themeColor="text1"/>
          <w:sz w:val="16"/>
          <w:szCs w:val="16"/>
        </w:rPr>
        <w:t xml:space="preserve"> «Весна» (1947-2004-), «Победа» (1958-);</w:t>
      </w:r>
      <w:r w:rsidRPr="008127F8">
        <w:rPr>
          <w:rFonts w:ascii="Times New Roman" w:hAnsi="Times New Roman"/>
          <w:iCs/>
          <w:color w:val="000000" w:themeColor="text1"/>
          <w:sz w:val="16"/>
          <w:szCs w:val="16"/>
        </w:rPr>
        <w:t xml:space="preserve"> станки:</w:t>
      </w:r>
      <w:r w:rsidRPr="008127F8">
        <w:rPr>
          <w:rFonts w:ascii="Times New Roman" w:hAnsi="Times New Roman"/>
          <w:color w:val="000000" w:themeColor="text1"/>
          <w:sz w:val="16"/>
          <w:szCs w:val="16"/>
        </w:rPr>
        <w:t xml:space="preserve"> фрезерные В-34, токарные В-5, В-100, Тн-12, токарно- затыловочные и шлифовальные В-41, В-88, В-175 (1950-е);</w:t>
      </w:r>
      <w:r w:rsidRPr="008127F8">
        <w:rPr>
          <w:rFonts w:ascii="Times New Roman" w:hAnsi="Times New Roman"/>
          <w:iCs/>
          <w:color w:val="000000" w:themeColor="text1"/>
          <w:sz w:val="16"/>
          <w:szCs w:val="16"/>
        </w:rPr>
        <w:t xml:space="preserve"> радиоприемники:</w:t>
      </w:r>
      <w:r w:rsidRPr="008127F8">
        <w:rPr>
          <w:rFonts w:ascii="Times New Roman" w:hAnsi="Times New Roman"/>
          <w:color w:val="000000" w:themeColor="text1"/>
          <w:sz w:val="16"/>
          <w:szCs w:val="16"/>
        </w:rPr>
        <w:t xml:space="preserve"> «Нерль» РП-205, РП-218, РПЧ-220, РП-231, РГ1-233, РП-235;</w:t>
      </w:r>
      <w:r w:rsidRPr="008127F8">
        <w:rPr>
          <w:rFonts w:ascii="Times New Roman" w:hAnsi="Times New Roman"/>
          <w:iCs/>
          <w:color w:val="000000" w:themeColor="text1"/>
          <w:sz w:val="16"/>
          <w:szCs w:val="16"/>
        </w:rPr>
        <w:t xml:space="preserve"> магнитофоны:</w:t>
      </w:r>
      <w:r w:rsidRPr="008127F8">
        <w:rPr>
          <w:rFonts w:ascii="Times New Roman" w:hAnsi="Times New Roman"/>
          <w:color w:val="000000" w:themeColor="text1"/>
          <w:sz w:val="16"/>
          <w:szCs w:val="16"/>
        </w:rPr>
        <w:t xml:space="preserve"> «Нерль-307, -310С, П-411С, ПР-321С»; магнитола «Нерль-206»; автоприборы и детали для «Москвич-412» (1965-), для ВАЗа, АЗЖ, ЗиЛа, ГАЗа, «Ижмаша» (1993-); счетчики воды и газа (1993-); генераторы аэроионов (2004).</w:t>
      </w:r>
      <w:r w:rsidRPr="008127F8">
        <w:rPr>
          <w:rFonts w:ascii="Times New Roman" w:hAnsi="Times New Roman"/>
          <w:color w:val="000000" w:themeColor="text1"/>
          <w:sz w:val="16"/>
          <w:szCs w:val="16"/>
          <w:vertAlign w:val="superscript"/>
        </w:rPr>
        <w:t>101</w:t>
      </w:r>
    </w:p>
    <w:p w14:paraId="09E2600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«Точмаш» /г. Владимир/</w:t>
      </w:r>
    </w:p>
    <w:p w14:paraId="4C8A465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lastRenderedPageBreak/>
        <w:t>Разработка и изготовление устройств и специнструмента для сращивания волоконно-оптических кабелей.</w:t>
      </w:r>
      <w:r w:rsidRPr="008127F8">
        <w:rPr>
          <w:rFonts w:ascii="Times New Roman" w:hAnsi="Times New Roman"/>
          <w:color w:val="000000" w:themeColor="text1"/>
          <w:sz w:val="16"/>
          <w:szCs w:val="16"/>
          <w:vertAlign w:val="superscript"/>
        </w:rPr>
        <w:t xml:space="preserve">101 </w:t>
      </w:r>
    </w:p>
    <w:p w14:paraId="6FB8EC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Ковровский филиал ПО «Точмаш», Ковровский приборостроительный завод МОП, ГУП, ОАО «Ковровский приборостроительный завод» Росбоеприпаса, ФАП /</w:t>
      </w:r>
      <w:proofErr w:type="gramStart"/>
      <w:r w:rsidRPr="008127F8">
        <w:rPr>
          <w:rFonts w:ascii="Times New Roman" w:hAnsi="Times New Roman"/>
          <w:color w:val="000000" w:themeColor="text1"/>
          <w:sz w:val="16"/>
          <w:szCs w:val="16"/>
        </w:rPr>
        <w:t>601914  г.</w:t>
      </w:r>
      <w:proofErr w:type="gramEnd"/>
      <w:r w:rsidRPr="008127F8">
        <w:rPr>
          <w:rFonts w:ascii="Times New Roman" w:hAnsi="Times New Roman"/>
          <w:color w:val="000000" w:themeColor="text1"/>
          <w:sz w:val="16"/>
          <w:szCs w:val="16"/>
        </w:rPr>
        <w:t xml:space="preserve"> Ковров Владимирской обл. ул. Комсомольская, 116/</w:t>
      </w:r>
    </w:p>
    <w:p w14:paraId="244DC2A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в Коврове начал строиться в 1973 г. 25.05.1977 г. образовано Владимирское ПО «Точмаш» с филиалом </w:t>
      </w:r>
      <w:proofErr w:type="gramStart"/>
      <w:r w:rsidRPr="008127F8">
        <w:rPr>
          <w:rFonts w:ascii="Times New Roman" w:hAnsi="Times New Roman"/>
          <w:color w:val="000000" w:themeColor="text1"/>
          <w:sz w:val="16"/>
          <w:szCs w:val="16"/>
        </w:rPr>
        <w:t>в  г.</w:t>
      </w:r>
      <w:proofErr w:type="gramEnd"/>
      <w:r w:rsidRPr="008127F8">
        <w:rPr>
          <w:rFonts w:ascii="Times New Roman" w:hAnsi="Times New Roman"/>
          <w:color w:val="000000" w:themeColor="text1"/>
          <w:sz w:val="16"/>
          <w:szCs w:val="16"/>
        </w:rPr>
        <w:t xml:space="preserve"> Коврове.</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В 1979 г. филиалом выпущена первая оборонная продукция. По приказу МОП в 1989 г. филиал преобразован в самостоятельный Ковровский приборостроительный завод.</w:t>
      </w:r>
    </w:p>
    <w:p w14:paraId="563240F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1983 г. начата подготовка к выпуску бытовых магнитофонов. В 1985 г. организовано станочное производство.</w:t>
      </w:r>
    </w:p>
    <w:p w14:paraId="60F3F1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10.07.2003 г. предприятие преобразовано в ОАО. По решению правительства № 22-р от 9.01.2004 г. и Указу Президента РФ № 1009 от 4.08.2004 г. ОАО вошло в число стратегических оборонных предприятий.</w:t>
      </w:r>
    </w:p>
    <w:p w14:paraId="0974EE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плетеные буксировочные тросы; плетельное оборудование для производства шнуров, фалов, оплетки электрических жгутов; запирающие устройства: замки: врезные, кодовые; фильтрующие элементы для дизельных двигателей автомобилей КамАЗ, МАЗ, ГАЗ, ЗиЛ, «Урал».</w:t>
      </w:r>
    </w:p>
    <w:p w14:paraId="65F33F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тесьмо-плетельная машина ТП-21-3-1 (1989-); магнитолы: «Нерль РМ-301 (1992-), -308С, - 201С, -206С» (11982).</w:t>
      </w:r>
    </w:p>
    <w:p w14:paraId="3FE54BD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C23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с инициативой организации производства специальных противотанковых САУ выступил Наркомат Вооружений. Интересно отметить, что в задании на разработку эти САУ назывались “штурмовые противотанковые орудия”, причем особо оговаривались следующие их особенности:</w:t>
      </w:r>
    </w:p>
    <w:p w14:paraId="330D5A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Иметь возможно более низкий силуэт (желательно на уровне среднего роста человека)</w:t>
      </w:r>
    </w:p>
    <w:p w14:paraId="22447F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Использовать наиболее дешевые узлы массово производимых легких танков, грузовых автомобилей и тракторов,</w:t>
      </w:r>
    </w:p>
    <w:p w14:paraId="38DD8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качестве силовой установки иметь возможность установки серийно производимых автомобильных моторов, из числа хорошо освоенных промышленностью,</w:t>
      </w:r>
    </w:p>
    <w:p w14:paraId="260F9C8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Иметь возможно меньшую численность расчета (экипажа), не свыше 3 человек.</w:t>
      </w:r>
    </w:p>
    <w:p w14:paraId="3FF4470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Иметь вооружение, способное на дистанции 500 м пробивать броню толщиной 50 мм и более.</w:t>
      </w:r>
    </w:p>
    <w:p w14:paraId="1956820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Броневая защита САУ должна обеспечивать надежную защиту машины от 37-мм противотанковых пушек с лобовых ракурсов на всех дистанциях действительного огня. Борта и корма САУ должны предохранять расчет (экипаж) от пуль крупнокалиберных пулеметов, легких ПТР, а также осколков снарядов, бомб или мин (5742, 14).</w:t>
      </w:r>
    </w:p>
    <w:p w14:paraId="26C8461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работе над проектом САУ подключились конструкторские коллективы НИИ-13, МВТУ им. Баумана, НАТИ, ЦАКБ, Уралмашзавода, а также родственные предприятия из НКТП: завод № 592, ГАЗ, ОКБ 38 и ряд других (5742, 14).</w:t>
      </w:r>
    </w:p>
    <w:p w14:paraId="6C3626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8C73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с инициативой начала выпуска специальных противотанковых САУ выступил Наркомат вооружений. Интересно отметить, что в задании на разработку эти САУ назывались «штурмовые противотанковые орудия», причем особо оговаривались следующие их осо</w:t>
      </w:r>
      <w:r w:rsidRPr="008127F8">
        <w:rPr>
          <w:rFonts w:ascii="Times New Roman" w:hAnsi="Times New Roman"/>
          <w:color w:val="000000" w:themeColor="text1"/>
          <w:sz w:val="16"/>
          <w:szCs w:val="16"/>
        </w:rPr>
        <w:softHyphen/>
        <w:t>бенности:</w:t>
      </w:r>
    </w:p>
    <w:p w14:paraId="72AF886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Иметь возможно более низкий силуэт (желательно на уровне среднего роста человека). Использовать наиболее дешевые узлы массово произво</w:t>
      </w:r>
      <w:r w:rsidRPr="008127F8">
        <w:rPr>
          <w:rFonts w:ascii="Times New Roman" w:hAnsi="Times New Roman"/>
          <w:color w:val="000000" w:themeColor="text1"/>
          <w:sz w:val="16"/>
          <w:szCs w:val="16"/>
        </w:rPr>
        <w:softHyphen/>
        <w:t>димых легких танков, грузовых автомобилей и тракторов. В качестве силовой установки иметь возможность уста</w:t>
      </w:r>
      <w:r w:rsidRPr="008127F8">
        <w:rPr>
          <w:rFonts w:ascii="Times New Roman" w:hAnsi="Times New Roman"/>
          <w:color w:val="000000" w:themeColor="text1"/>
          <w:sz w:val="16"/>
          <w:szCs w:val="16"/>
        </w:rPr>
        <w:softHyphen/>
        <w:t>новки серийно производимых автомобильных мото</w:t>
      </w:r>
      <w:r w:rsidRPr="008127F8">
        <w:rPr>
          <w:rFonts w:ascii="Times New Roman" w:hAnsi="Times New Roman"/>
          <w:color w:val="000000" w:themeColor="text1"/>
          <w:sz w:val="16"/>
          <w:szCs w:val="16"/>
        </w:rPr>
        <w:softHyphen/>
        <w:t>ров, из числа хорошо освоенных промышленностью. Иметь возможно меньшую численность расчета (эки</w:t>
      </w:r>
      <w:r w:rsidRPr="008127F8">
        <w:rPr>
          <w:rFonts w:ascii="Times New Roman" w:hAnsi="Times New Roman"/>
          <w:color w:val="000000" w:themeColor="text1"/>
          <w:sz w:val="16"/>
          <w:szCs w:val="16"/>
        </w:rPr>
        <w:softHyphen/>
        <w:t>пажа), не свыше 3 человек.</w:t>
      </w:r>
    </w:p>
    <w:p w14:paraId="5311E3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Иметь вооружение, способное на дистанции 500 м пробивать броню толщиной 50 мм и более. Броневая защита САУ должна обеспечивать надежную защиту машины от 37-мм противотанковых пушек с лобовых ракурсов на всех дистанциях действительного огня. Борта и корма САУ должны предохранять расчет (экипаж) от пуль крупнокалиберных пулеметов, легких ПТР, а также осколков снарядов, бомб или мин. К работе над проектом САУ подключились конструк</w:t>
      </w:r>
      <w:r w:rsidRPr="008127F8">
        <w:rPr>
          <w:rFonts w:ascii="Times New Roman" w:hAnsi="Times New Roman"/>
          <w:color w:val="000000" w:themeColor="text1"/>
          <w:sz w:val="16"/>
          <w:szCs w:val="16"/>
        </w:rPr>
        <w:softHyphen/>
        <w:t>торские коллективы НИИ-13, МВТУ им. Баумана, НАТИ, ЦАКБ, Уралмашзавода (11417).</w:t>
      </w:r>
    </w:p>
    <w:p w14:paraId="7042B2D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2C940"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СТЗ сумел сдать 300 тридцатьчетверок, выпуск которых задерживался перебоями в снабжении сборочного цеха траками - на заводе не было электродов для электропечей и шихты для стали Гатфильда. В ходе военпредовских пробегов по- прежнему обнаруживалось большое количество трещин в бронедеталях (за апрель на более чем 100 танках), а также ряд других, иногда довольно серьезных, дефектов. В мае было сдано 325 Т-34, при этом возникли большие проблемы с поставкой некоторых узлов и агрегатов - двигателей В-2, коробок перемены передач, радиаторов, бортовых передач, ленивцев. Причиной этого стал большой недостаток рабочей силы в механическом цеху - многие рабочие ушли в армию - а также перебоями с поставками металла с других заводов.</w:t>
      </w:r>
    </w:p>
    <w:p w14:paraId="367F877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Настоящим бедствием были для СТЗ трещины в бронедеталях, поставляемых с завода № 264. приходилось срочно принимать меры по борьбе с этим явлением (12217).</w:t>
      </w:r>
    </w:p>
    <w:p w14:paraId="557D0406"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3810369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Кулебакский завод, отлив 62 новых башни для Т-34М, разработанной под руководством б ГК Мариупольского з-да В.Ниценко с толщиной стенок 58-80 мм, прекратил их выпуск, начатый в марте. Некоторые установили на танки, направленные на фронт, но массовое производство сдерживалось сложной формой, недопускающей механическую формовку (7518, 26).</w:t>
      </w:r>
    </w:p>
    <w:p w14:paraId="610A31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A261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на Уралмаше началось изготовление бронекорпусов и башен танка Т-34 для завода №183 (3862).</w:t>
      </w:r>
    </w:p>
    <w:p w14:paraId="2363CE9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96453"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на Челябинском Киров</w:t>
      </w:r>
      <w:r w:rsidRPr="008127F8">
        <w:rPr>
          <w:rFonts w:ascii="Times New Roman" w:hAnsi="Times New Roman"/>
          <w:color w:val="000000" w:themeColor="text1"/>
          <w:sz w:val="16"/>
          <w:szCs w:val="16"/>
        </w:rPr>
        <w:softHyphen/>
        <w:t>ском заводе началось се</w:t>
      </w:r>
      <w:r w:rsidRPr="008127F8">
        <w:rPr>
          <w:rFonts w:ascii="Times New Roman" w:hAnsi="Times New Roman"/>
          <w:color w:val="000000" w:themeColor="text1"/>
          <w:sz w:val="16"/>
          <w:szCs w:val="16"/>
        </w:rPr>
        <w:softHyphen/>
        <w:t>рийное производство огнеметного танка на базе КВ-1 - танк КВ-8, и до сентября их изготовили 102 машины (15226).</w:t>
      </w:r>
    </w:p>
    <w:p w14:paraId="688AAC73"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2B06B1FD" w14:textId="77777777" w:rsidR="006458D8" w:rsidRPr="008127F8" w:rsidRDefault="006458D8" w:rsidP="001E0A84">
      <w:pPr>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В апреле 1942 года программа по «212» была закрыта окончательно, уступив мест другому, не менее интересному проекту </w:t>
      </w:r>
      <w:r w:rsidRPr="008127F8">
        <w:rPr>
          <w:rFonts w:ascii="Times New Roman" w:hAnsi="Times New Roman"/>
          <w:color w:val="000000" w:themeColor="text1"/>
          <w:sz w:val="16"/>
          <w:szCs w:val="16"/>
        </w:rPr>
        <w:t xml:space="preserve">– </w:t>
      </w:r>
      <w:r w:rsidRPr="008127F8">
        <w:rPr>
          <w:rFonts w:ascii="Times New Roman" w:hAnsi="Times New Roman"/>
          <w:iCs/>
          <w:color w:val="000000" w:themeColor="text1"/>
          <w:sz w:val="16"/>
          <w:szCs w:val="16"/>
        </w:rPr>
        <w:t>штурмовому танку КВ</w:t>
      </w:r>
      <w:r w:rsidRPr="008127F8">
        <w:rPr>
          <w:rFonts w:ascii="Times New Roman" w:hAnsi="Times New Roman"/>
          <w:color w:val="000000" w:themeColor="text1"/>
          <w:sz w:val="16"/>
          <w:szCs w:val="16"/>
        </w:rPr>
        <w:t>-</w:t>
      </w:r>
      <w:r w:rsidRPr="008127F8">
        <w:rPr>
          <w:rFonts w:ascii="Times New Roman" w:hAnsi="Times New Roman"/>
          <w:iCs/>
          <w:color w:val="000000" w:themeColor="text1"/>
          <w:sz w:val="16"/>
          <w:szCs w:val="16"/>
        </w:rPr>
        <w:t>7 (15838).</w:t>
      </w:r>
    </w:p>
    <w:p w14:paraId="3AE6F434" w14:textId="77777777" w:rsidR="006458D8" w:rsidRPr="008127F8" w:rsidRDefault="006458D8" w:rsidP="001E0A84">
      <w:pPr>
        <w:spacing w:after="0" w:line="240" w:lineRule="auto"/>
        <w:jc w:val="both"/>
        <w:rPr>
          <w:rFonts w:ascii="Times New Roman" w:eastAsia="Times New Roman" w:hAnsi="Times New Roman"/>
          <w:color w:val="000000" w:themeColor="text1"/>
          <w:sz w:val="16"/>
          <w:szCs w:val="16"/>
        </w:rPr>
      </w:pPr>
    </w:p>
    <w:p w14:paraId="493338B2" w14:textId="3A2062D8"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отдел главного конструктора наркомата танковой промышленности представил на рассмотрение проект танка прорыва ИС (Иосиф Сталин). Машина имела следующие характеристики: масса -100</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 броня — 120–150 мм, вооружение -152-мм пушка-гаубица MЛ-20 и три пулемета ДТ в большой башне, 20-мм пушка и ДТ на зенитной установке в кормовой башне, два огнемета АТО-42 в корпусе, силовая установка — два спаренных двигателя В-2 общей мощностью 1200–1500 л.с., скорость — от 2,3 до 24</w:t>
      </w:r>
      <w:r w:rsid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экипаж — семь-восемь человек, длина — 8000–8300 мм, ширина — 4320 мм, высота — 3240 мм. Разработчики направили свое предложение не только руководству наркомтанкпрома, но и в Государственный Комитет Обороны. Однако проект одобрения и дальнейшего развития не получил.</w:t>
      </w:r>
    </w:p>
    <w:p w14:paraId="4D12DB48"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реализация данных проектов «в металле» без сомнения была бы сопряжена с рядом трудностей производственного и технологического характера, да и о боевой эффективности подобных машины можно поспорить. Но так как их разработку вели инженеры и конструкторы, знакомые с танкостроением, то при получении «добра» на изготовление, эти машины можно было бы «довести» до опытных образцов: помимо чертежей к проектам прилагались соответствующие расчеты и пояснения.</w:t>
      </w:r>
    </w:p>
    <w:p w14:paraId="67733218"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существовали и другие варианты тяжелых танков, и довольно в большом количестве. Их авторами были самые разные люди — солдаты и офицеры, рабочие и инженеры, колхозники и служащие. Основной объединяющей чертой этих проектов было то, что они в основной своей массе были не реализуемы «в металле» либо из-за технических ошибок, либо из-за неграмотности авторов. Но не стоит их упрекать — шла война, и люди старались всеми способами помочь фронту, в том числе и, предлагая проекты новых «неуязвимых» (как им казалось) танков. Вариантов таких машин было предложено довольно много — их направляли и в наркомат танковой промышленности (их рассмотрением занимался отдел главного конструктора НКТП), и в ГАБТУ КА (здесь существовал специальный отдел изобретений, который также давал заключения по различным предложениям и проектам) (17434).</w:t>
      </w:r>
    </w:p>
    <w:p w14:paraId="4955B3DC"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77E1E366"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апреле 1942 года завод №178 прорабатывал вопрос изготовления литого смотрового люка механика-водителя с максимальной толщиной 36–39 мм. Этот узел доставил немало хлопот, поскольку на испытаниях обстрелом литой люк раскалывался. Согласно отчёту от 11 апреля, завод №178 изготовил пробную партию литых люков, которых хватало на оснащение 15–20 танков (17572).</w:t>
      </w:r>
    </w:p>
    <w:p w14:paraId="2FDDB026"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BB7174"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под Севастополь был доставлена легкая рота радиоуправляемого оружия из 300-го отдельного танкового батальона немцев. Рота была оснащена танками B-IV (Sd.Kfs.301), управляемыми по радио. Танк весом 5—6 т был прикрыт 10-мм броней. Он мог, двигаясь со скоростью до 38 км/ч, доставить 450-кг подрывной заряд к укреплению противника, а затем вернуться на исходную позицию. Кроме того, в составе роты был 1 танк радиоуправления, созданный на базе танка Т-3. (Танк пушки не имел.). Замечу, что в ходе войны в Германии было создано несколько типов телетанков, управляемых по проводам и по радио. Это был легкий танк «Голиаф» (В1) весом 370 кг (выпущено 2600 экземпляров, по другим сведениям — до 8000), средний танк «Спрингер» («Призрак») Sd.Kfz.304 весом 2,4 т (выпущено 50 экземпляров), а также B-TV (Sd.Kfz.301) весом 3,5-4,9 т (выпущено 570, по другим сведениям — 1000 экземпляров). На B-IV стояла система радиоуправления FKL-8 фирмы «Блаупункт-Верне». Вес приемника и передатчика по 20 кг, плюс блок питания 18 кг. Оператор мог передавать на телетанк в режиме УКВ 10 команд на дистанцию до 4 км. Проходил испытания телетанк B-IV, оснащенный телевизионной камерой «Тониэ-Р», но в серию его запустить не сумели. В целом использование немцами телетанков было не очень удачно» Они, как и взрывающиеся катера «Линзе», использовались лишь в отдельных случаях — это оружие диверсантов. К концу войны немцы окончательно осознали это, и с телетанков B-IV стали выбрасывать аппаратуру телеуправления, а взамен сажать пару молодцов с 10,5-см безоткатной пушкой. В этом качестве B-IV действительно мог представлять реальную угрозу средним и тяжелым танкам (15117).</w:t>
      </w:r>
    </w:p>
    <w:p w14:paraId="3FFC4C34"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4D04314B"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апреле 1942 года зам наркома Танковой Промышленности Котин поручил спец. КБ УЗТМ разработку тяжелой штурмовой САУ. Проект, получивший заводской индекс У-19, предполагал установку на шасси КВ 203-мм гаубицы Б-4. Гаубица устанавливалась в закрытой рубке с лобовой броней 75 мм и бортами 60 мм. Крышу рубки предполагалось сделать съемной, при этом ее толщина достигала 30 мм. Для удобства заряжания гаубицы на крыше было спроектировано специальное оборудование, которое напоминало аналогичную систему в "Штурмтигре". Согласно проектным расчетам, боевая масса У-19 достигала 66 тонн, а высота 3505 мм, что на 5 мм выше Pz.Kpfw. Maus. Вел разработку проекта Л.И. Горлицкий. В Артком ГАУ проект У-19 поступил в сентябре 1942 года, по ряду причин его отклонили. Тем не менее, идея штурмовой САУ с Б-4 возникала еще неоднократно, в том числе и на Уралмаше (15640).</w:t>
      </w:r>
    </w:p>
    <w:p w14:paraId="34E3F23F"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27D13939"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с инициативой организации производства специальных противо</w:t>
      </w:r>
      <w:hyperlink r:id="rId122"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овых САУ выступил НКВ. Интересно отметить, что в задании па разработку эти САУ назывались «штурмовые противо</w:t>
      </w:r>
      <w:hyperlink r:id="rId123"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овые орудия», причем особо оговаривались следующие их особенности:</w:t>
      </w:r>
    </w:p>
    <w:p w14:paraId="208D0D7C"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Иметь возможно более низкий силуэт (желательно на уровне среднего роста человека)</w:t>
      </w:r>
    </w:p>
    <w:p w14:paraId="5E4B165A"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Использовать наиболее дешевые узлы массово производимых легких </w:t>
      </w:r>
      <w:hyperlink r:id="rId124"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 грузовых автомобилей и тракторов.</w:t>
      </w:r>
    </w:p>
    <w:p w14:paraId="01A55F67"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качестве силовой установки иметь возможность установки серийно производимых автомобильных моторов, из числа хорошо освоенных промышленностью.</w:t>
      </w:r>
    </w:p>
    <w:p w14:paraId="4049AAB0"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Иметь возможно меньшую численность экипажа, не свыше 3 человек.</w:t>
      </w:r>
    </w:p>
    <w:p w14:paraId="65260B96"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Иметь вооружение, способное на дистанции 500 м пробивать броню толщиной 50 мм и более.</w:t>
      </w:r>
    </w:p>
    <w:p w14:paraId="7F976323"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Броневая защита САУ должна обеспечивать надежную защиту машины от 37-мм противо</w:t>
      </w:r>
      <w:hyperlink r:id="rId125"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овых пушек с лобовых ракурсов на всех дистанциях действительного огня. Борта и корма САУ должны предохранять экипаж от пуль крупнокалиберных пулеметов, легких ПТР, а также осколков снарядов, бомб и мин.»</w:t>
      </w:r>
    </w:p>
    <w:p w14:paraId="6DC33A43" w14:textId="77777777" w:rsidR="00BE3C69" w:rsidRPr="008127F8" w:rsidRDefault="006458D8"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работе над проектом САУ подключились конструкторские коллективы НИИ-13, МВТУ им. Баумана, НАТИ, ЦАКБ, Уралмашзавода, а также родственные предприятия из НКТП</w:t>
      </w:r>
      <w:r w:rsidR="00BE3C69" w:rsidRPr="008127F8">
        <w:rPr>
          <w:rFonts w:ascii="Times New Roman" w:hAnsi="Times New Roman"/>
          <w:color w:val="000000" w:themeColor="text1"/>
          <w:sz w:val="16"/>
          <w:szCs w:val="16"/>
        </w:rPr>
        <w:t>В апреле 1942 года ГАУ выдало техническое задание трем конструкторским бюро на разработку штурмового орудия на конкурсной основе. Координацию действий КБ осуществлял Народный Комиссариат Танковой Промышленности (НКТП). Каждое КБ предложило свое решение. Два проекта было осуществлено в металле: машина Уралмаша под индексом У-35 (руководили проектом Л.Горлицкий и Е.Сильнищиков) и машина завода №592 под индексом СГ-122.</w:t>
      </w:r>
    </w:p>
    <w:p w14:paraId="759F02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У-35 представляла собой артсамоход со 122-мм гаубицей М-30 образца 1939 года, смонтированной в полностью закрытой броневой рубке, установленной на шасси среднего танка Т-34.</w:t>
      </w:r>
    </w:p>
    <w:p w14:paraId="70343E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У-35 была создана на базе танка Т-34 и защищалась броней 45 мм. Угол возвышения гаубицы от -3° до +26°, угол горизонтальной наводки - 10° влево и вправо. Моторно-трансмиссионное отделение, находящееся в кормовой части машины, осталось таким же, как и в танке Т-34, не изменилась и ходовая часть.</w:t>
      </w:r>
    </w:p>
    <w:p w14:paraId="1F6156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самоходки, состоявший из пяти человек, размещался следующим образом: слева от гаубицы в носовой части - механик-водитель, в боевой рубке справа от гаубицы - командир машины, слева - наводчик, в кормовой части рубки - два заряжающих (М-30 имела раздельное заряжание). На У-35 установили внешние топливные баки, что увеличило запас хода.</w:t>
      </w:r>
    </w:p>
    <w:p w14:paraId="744B45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СГ-122 представляла собой ту же гаубицу М-30, но установленную на шасси трофейного StuG III. Она была принята на вооружение в июле 1942 года, но оказалась неудачной и была быстро снята с вооружения (3862).</w:t>
      </w:r>
    </w:p>
    <w:p w14:paraId="06C90D7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69985"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завод УТЗ превзошел довоенный уровень выпуска Т-34 на ХПЗ (9154).</w:t>
      </w:r>
    </w:p>
    <w:p w14:paraId="000C76DC"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79388C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5 танков Т-34 завода № 183 прибыли в США, а в мае они были испытаны на Абердинском поли</w:t>
      </w:r>
      <w:r w:rsidRPr="008127F8">
        <w:rPr>
          <w:rFonts w:ascii="Times New Roman" w:hAnsi="Times New Roman"/>
          <w:color w:val="000000" w:themeColor="text1"/>
          <w:sz w:val="16"/>
          <w:szCs w:val="16"/>
        </w:rPr>
        <w:softHyphen/>
        <w:t>гоне. Там Т-34, вызвавший наибольший интерес, подверг</w:t>
      </w:r>
      <w:r w:rsidRPr="008127F8">
        <w:rPr>
          <w:rFonts w:ascii="Times New Roman" w:hAnsi="Times New Roman"/>
          <w:color w:val="000000" w:themeColor="text1"/>
          <w:sz w:val="16"/>
          <w:szCs w:val="16"/>
        </w:rPr>
        <w:softHyphen/>
        <w:t>ся испытаниям длительным пробегом по пересеченной местности, совместно с колесно-гусеничным танком Т-4, характеристики которого ближе всего соответствовали ТТХ отечественного среднего танка.</w:t>
      </w:r>
    </w:p>
    <w:p w14:paraId="098019C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поломка Т-34 (лопнул трак) произошла прибли</w:t>
      </w:r>
      <w:r w:rsidRPr="008127F8">
        <w:rPr>
          <w:rFonts w:ascii="Times New Roman" w:hAnsi="Times New Roman"/>
          <w:color w:val="000000" w:themeColor="text1"/>
          <w:sz w:val="16"/>
          <w:szCs w:val="16"/>
        </w:rPr>
        <w:softHyphen/>
        <w:t>зительно на 60-м километре, а после преодоления 343 км танк вышел из строя и не мог быть отремонтирован.</w:t>
      </w:r>
    </w:p>
    <w:p w14:paraId="1269D0B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произошла из-за плохой работы воздухоочис</w:t>
      </w:r>
      <w:r w:rsidRPr="008127F8">
        <w:rPr>
          <w:rFonts w:ascii="Times New Roman" w:hAnsi="Times New Roman"/>
          <w:color w:val="000000" w:themeColor="text1"/>
          <w:sz w:val="16"/>
          <w:szCs w:val="16"/>
        </w:rPr>
        <w:softHyphen/>
        <w:t>тителя, почему в двигатель набилось много пыли и произош</w:t>
      </w:r>
      <w:r w:rsidRPr="008127F8">
        <w:rPr>
          <w:rFonts w:ascii="Times New Roman" w:hAnsi="Times New Roman"/>
          <w:color w:val="000000" w:themeColor="text1"/>
          <w:sz w:val="16"/>
          <w:szCs w:val="16"/>
        </w:rPr>
        <w:softHyphen/>
        <w:t>ло разрушение поршней и цилиндров. Танк был снят с испы</w:t>
      </w:r>
      <w:r w:rsidRPr="008127F8">
        <w:rPr>
          <w:rFonts w:ascii="Times New Roman" w:hAnsi="Times New Roman"/>
          <w:color w:val="000000" w:themeColor="text1"/>
          <w:sz w:val="16"/>
          <w:szCs w:val="16"/>
        </w:rPr>
        <w:softHyphen/>
        <w:t>таний пробегом, но испытан обстрелом из орудия танка КВ и 3-дюймового орудия самоходной пушки М-10, после чего нашел свое пристанище в коллекции испытательного полигона в Абердине. Танк же КВ, несмотря на наибольшие опасения со стороны наших танкостроителей, краткие испы</w:t>
      </w:r>
      <w:r w:rsidRPr="008127F8">
        <w:rPr>
          <w:rFonts w:ascii="Times New Roman" w:hAnsi="Times New Roman"/>
          <w:color w:val="000000" w:themeColor="text1"/>
          <w:sz w:val="16"/>
          <w:szCs w:val="16"/>
        </w:rPr>
        <w:softHyphen/>
        <w:t>тания пробегом в 50 км выдержал нормально.</w:t>
      </w:r>
    </w:p>
    <w:p w14:paraId="0078EC2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Форма корпуса танка Т-34 очень понравилась всем американским экспертам, тогда как КВ - нет.</w:t>
      </w:r>
    </w:p>
    <w:p w14:paraId="3A0753D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брони показал, что на обоих танках броневые плиты, однородные по химсоставу, имели неглубокую повер</w:t>
      </w:r>
      <w:r w:rsidRPr="008127F8">
        <w:rPr>
          <w:rFonts w:ascii="Times New Roman" w:hAnsi="Times New Roman"/>
          <w:color w:val="000000" w:themeColor="text1"/>
          <w:sz w:val="16"/>
          <w:szCs w:val="16"/>
        </w:rPr>
        <w:softHyphen/>
        <w:t>хностную закалку, основная масса броневой плиты — вязкая.</w:t>
      </w:r>
    </w:p>
    <w:p w14:paraId="4627BB7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Американские специалисты полагали, что, изменив тех</w:t>
      </w:r>
      <w:r w:rsidRPr="008127F8">
        <w:rPr>
          <w:rFonts w:ascii="Times New Roman" w:hAnsi="Times New Roman"/>
          <w:color w:val="000000" w:themeColor="text1"/>
          <w:sz w:val="16"/>
          <w:szCs w:val="16"/>
        </w:rPr>
        <w:softHyphen/>
        <w:t>нологию закалки бронеплит, можно было уменьшить их тол</w:t>
      </w:r>
      <w:r w:rsidRPr="008127F8">
        <w:rPr>
          <w:rFonts w:ascii="Times New Roman" w:hAnsi="Times New Roman"/>
          <w:color w:val="000000" w:themeColor="text1"/>
          <w:sz w:val="16"/>
          <w:szCs w:val="16"/>
        </w:rPr>
        <w:softHyphen/>
        <w:t>щину, оставив ту же снарядостойкость. Однако это высказы</w:t>
      </w:r>
      <w:r w:rsidRPr="008127F8">
        <w:rPr>
          <w:rFonts w:ascii="Times New Roman" w:hAnsi="Times New Roman"/>
          <w:color w:val="000000" w:themeColor="text1"/>
          <w:sz w:val="16"/>
          <w:szCs w:val="16"/>
        </w:rPr>
        <w:softHyphen/>
        <w:t>вание впоследствие не подтвердилось практикой.</w:t>
      </w:r>
    </w:p>
    <w:p w14:paraId="7D4EB1A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 недостатком корпуса была признана водопро</w:t>
      </w:r>
      <w:r w:rsidRPr="008127F8">
        <w:rPr>
          <w:rFonts w:ascii="Times New Roman" w:hAnsi="Times New Roman"/>
          <w:color w:val="000000" w:themeColor="text1"/>
          <w:sz w:val="16"/>
          <w:szCs w:val="16"/>
        </w:rPr>
        <w:softHyphen/>
        <w:t>ницаемость как его нижней части при преодолении водных преград, так и верхней во время дождя. В сильный дождь в танк через щели натекало много воды, что могло привести к выходу из строя электрооборудования и даже боеприпасов. Расположение боеприпасов признано удачным.</w:t>
      </w:r>
    </w:p>
    <w:p w14:paraId="4F02E23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отмеченный недостаток башни и боевого от</w:t>
      </w:r>
      <w:r w:rsidRPr="008127F8">
        <w:rPr>
          <w:rFonts w:ascii="Times New Roman" w:hAnsi="Times New Roman"/>
          <w:color w:val="000000" w:themeColor="text1"/>
          <w:sz w:val="16"/>
          <w:szCs w:val="16"/>
        </w:rPr>
        <w:softHyphen/>
        <w:t>деления в целом - теснота. Американцы не могли понять, каким образом наши танкисты помещались в танке зимой в полушубках. Отмечался плохой механизм поворота башни, тем более что мотор слаб, перегружен и страшно искрил, в результате чего сгорели сопротивления регулировки ско</w:t>
      </w:r>
      <w:r w:rsidRPr="008127F8">
        <w:rPr>
          <w:rFonts w:ascii="Times New Roman" w:hAnsi="Times New Roman"/>
          <w:color w:val="000000" w:themeColor="text1"/>
          <w:sz w:val="16"/>
          <w:szCs w:val="16"/>
        </w:rPr>
        <w:softHyphen/>
        <w:t>ростей поворота, выкрошились зубья шестеренок. Выдви</w:t>
      </w:r>
      <w:r w:rsidRPr="008127F8">
        <w:rPr>
          <w:rFonts w:ascii="Times New Roman" w:hAnsi="Times New Roman"/>
          <w:color w:val="000000" w:themeColor="text1"/>
          <w:sz w:val="16"/>
          <w:szCs w:val="16"/>
        </w:rPr>
        <w:softHyphen/>
        <w:t>галось пожелание сделать гидравлический механизм пово</w:t>
      </w:r>
      <w:r w:rsidRPr="008127F8">
        <w:rPr>
          <w:rFonts w:ascii="Times New Roman" w:hAnsi="Times New Roman"/>
          <w:color w:val="000000" w:themeColor="text1"/>
          <w:sz w:val="16"/>
          <w:szCs w:val="16"/>
        </w:rPr>
        <w:softHyphen/>
        <w:t>рота или оставить только двухступенчатый ручной.</w:t>
      </w:r>
    </w:p>
    <w:p w14:paraId="3CADEE0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Ф-34 понравилась артиллеристам за свою прос</w:t>
      </w:r>
      <w:r w:rsidRPr="008127F8">
        <w:rPr>
          <w:rFonts w:ascii="Times New Roman" w:hAnsi="Times New Roman"/>
          <w:color w:val="000000" w:themeColor="text1"/>
          <w:sz w:val="16"/>
          <w:szCs w:val="16"/>
        </w:rPr>
        <w:softHyphen/>
        <w:t>тоту, безотказность в работе и удобство в обслуживании. Не</w:t>
      </w:r>
      <w:r w:rsidRPr="008127F8">
        <w:rPr>
          <w:rFonts w:ascii="Times New Roman" w:hAnsi="Times New Roman"/>
          <w:color w:val="000000" w:themeColor="text1"/>
          <w:sz w:val="16"/>
          <w:szCs w:val="16"/>
        </w:rPr>
        <w:softHyphen/>
        <w:t>достатком орудия признана недостаточно высокая началь</w:t>
      </w:r>
      <w:r w:rsidRPr="008127F8">
        <w:rPr>
          <w:rFonts w:ascii="Times New Roman" w:hAnsi="Times New Roman"/>
          <w:color w:val="000000" w:themeColor="text1"/>
          <w:sz w:val="16"/>
          <w:szCs w:val="16"/>
        </w:rPr>
        <w:softHyphen/>
        <w:t>ная скорость (около 620 м/с против возможной 850 м/с), что связывалось с невысоким качеством советского пороха.</w:t>
      </w:r>
    </w:p>
    <w:p w14:paraId="7791D21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прицела признавалась прекрасной, даже лучшей в мире из известного американским конструкто</w:t>
      </w:r>
      <w:r w:rsidRPr="008127F8">
        <w:rPr>
          <w:rFonts w:ascii="Times New Roman" w:hAnsi="Times New Roman"/>
          <w:color w:val="000000" w:themeColor="text1"/>
          <w:sz w:val="16"/>
          <w:szCs w:val="16"/>
        </w:rPr>
        <w:softHyphen/>
        <w:t>рам, но качество стекла оставляло желать лучшего.</w:t>
      </w:r>
    </w:p>
    <w:p w14:paraId="3035C21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Стальные траки Т-34 просты по конструкции, широки, но американские (резинометаллические), по их представле</w:t>
      </w:r>
      <w:r w:rsidRPr="008127F8">
        <w:rPr>
          <w:rFonts w:ascii="Times New Roman" w:hAnsi="Times New Roman"/>
          <w:color w:val="000000" w:themeColor="text1"/>
          <w:sz w:val="16"/>
          <w:szCs w:val="16"/>
        </w:rPr>
        <w:softHyphen/>
        <w:t>ниям, были лучше. Недостатком нашей гусеничной цепи американцы сочли малую прочность трака на разрыв. Это усугублялось плохим качеством гусеничных пальцев.</w:t>
      </w:r>
    </w:p>
    <w:p w14:paraId="1964422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Подвеска на танке Т-34 признана плохой, ибо от под</w:t>
      </w:r>
      <w:r w:rsidRPr="008127F8">
        <w:rPr>
          <w:rFonts w:ascii="Times New Roman" w:hAnsi="Times New Roman"/>
          <w:color w:val="000000" w:themeColor="text1"/>
          <w:sz w:val="16"/>
          <w:szCs w:val="16"/>
        </w:rPr>
        <w:softHyphen/>
        <w:t>вески «Кристи» американцы уже безоговорочно отказались как от устаревшей. В то же время подвеска танка КВ (тор</w:t>
      </w:r>
      <w:r w:rsidRPr="008127F8">
        <w:rPr>
          <w:rFonts w:ascii="Times New Roman" w:hAnsi="Times New Roman"/>
          <w:color w:val="000000" w:themeColor="text1"/>
          <w:sz w:val="16"/>
          <w:szCs w:val="16"/>
        </w:rPr>
        <w:softHyphen/>
        <w:t>сионная) признана очень удачной.</w:t>
      </w:r>
    </w:p>
    <w:p w14:paraId="3649A7E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В-2 легкий и быстрооборотный. Всем американским военным понравились дизельные танки, они сожалели, что все мощные дизели в США забирал флот для катеров, что не позволяло оснащать ими массово выпускаемые танки.</w:t>
      </w:r>
    </w:p>
    <w:p w14:paraId="42BC3B4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Недостатки дизеля В-2 - плохой воздухоочиститель, который:</w:t>
      </w:r>
    </w:p>
    <w:p w14:paraId="4A3B59F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вообще не очищает воздуха, попадающего в мотор;</w:t>
      </w:r>
    </w:p>
    <w:p w14:paraId="61F6B7D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пропускная способность воздухоочистителя мала и не обеспечивает приток необходимого количества воздуха даже при работе мотора вхолостую.</w:t>
      </w:r>
    </w:p>
    <w:p w14:paraId="50F7708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этого мотор не развивает </w:t>
      </w:r>
      <w:proofErr w:type="gramStart"/>
      <w:r w:rsidRPr="008127F8">
        <w:rPr>
          <w:rFonts w:ascii="Times New Roman" w:hAnsi="Times New Roman"/>
          <w:color w:val="000000" w:themeColor="text1"/>
          <w:sz w:val="16"/>
          <w:szCs w:val="16"/>
        </w:rPr>
        <w:t>полной мощности</w:t>
      </w:r>
      <w:proofErr w:type="gramEnd"/>
      <w:r w:rsidRPr="008127F8">
        <w:rPr>
          <w:rFonts w:ascii="Times New Roman" w:hAnsi="Times New Roman"/>
          <w:color w:val="000000" w:themeColor="text1"/>
          <w:sz w:val="16"/>
          <w:szCs w:val="16"/>
        </w:rPr>
        <w:t xml:space="preserve"> и попадающая в цилиндры пыль ведет к быстрому срабаты</w:t>
      </w:r>
      <w:r w:rsidRPr="008127F8">
        <w:rPr>
          <w:rFonts w:ascii="Times New Roman" w:hAnsi="Times New Roman"/>
          <w:color w:val="000000" w:themeColor="text1"/>
          <w:sz w:val="16"/>
          <w:szCs w:val="16"/>
        </w:rPr>
        <w:softHyphen/>
        <w:t>ванию их, падает компрессия и мотор теряет мощность.</w:t>
      </w:r>
    </w:p>
    <w:p w14:paraId="3FA5829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фильтр изготовлен с механической точки зрения очень примитивно: в местах точечной электросварки металл прожжен, что ведет к вытеканию масла и т. д.</w:t>
      </w:r>
    </w:p>
    <w:p w14:paraId="4B901C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танке КВ фильтр изготовлен лучше, но и он не обес</w:t>
      </w:r>
      <w:r w:rsidRPr="008127F8">
        <w:rPr>
          <w:rFonts w:ascii="Times New Roman" w:hAnsi="Times New Roman"/>
          <w:color w:val="000000" w:themeColor="text1"/>
          <w:sz w:val="16"/>
          <w:szCs w:val="16"/>
        </w:rPr>
        <w:softHyphen/>
        <w:t>печивает притока в достаточном количестве нормально очищенного воздуха.</w:t>
      </w:r>
    </w:p>
    <w:p w14:paraId="729B4F7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обоих моторах плохие стартеры - маломощные и ненадежной конструкции.</w:t>
      </w:r>
    </w:p>
    <w:p w14:paraId="4B44E56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Трансмиссия неудовлетворительная, явно устаревшей конструкции. Во время ее эксплуатации на испытаниях у нее полностью выкрошились зубья на всех шестернях.</w:t>
      </w:r>
    </w:p>
    <w:p w14:paraId="2D221B8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Т-34 и КВ были, с американской точки зрения, тихоходны, правда из-за хорошего сцепления с фунтом пре</w:t>
      </w:r>
      <w:r w:rsidRPr="008127F8">
        <w:rPr>
          <w:rFonts w:ascii="Times New Roman" w:hAnsi="Times New Roman"/>
          <w:color w:val="000000" w:themeColor="text1"/>
          <w:sz w:val="16"/>
          <w:szCs w:val="16"/>
        </w:rPr>
        <w:softHyphen/>
        <w:t>одолевали склоны лучше, чем любой из американских тан</w:t>
      </w:r>
      <w:r w:rsidRPr="008127F8">
        <w:rPr>
          <w:rFonts w:ascii="Times New Roman" w:hAnsi="Times New Roman"/>
          <w:color w:val="000000" w:themeColor="text1"/>
          <w:sz w:val="16"/>
          <w:szCs w:val="16"/>
        </w:rPr>
        <w:softHyphen/>
        <w:t>ков. Сварка броневых плит чрезвычайно грубая и небреж</w:t>
      </w:r>
      <w:r w:rsidRPr="008127F8">
        <w:rPr>
          <w:rFonts w:ascii="Times New Roman" w:hAnsi="Times New Roman"/>
          <w:color w:val="000000" w:themeColor="text1"/>
          <w:sz w:val="16"/>
          <w:szCs w:val="16"/>
        </w:rPr>
        <w:softHyphen/>
        <w:t>ная. Радиостанции при лабораторных испытаниях оказа</w:t>
      </w:r>
      <w:r w:rsidRPr="008127F8">
        <w:rPr>
          <w:rFonts w:ascii="Times New Roman" w:hAnsi="Times New Roman"/>
          <w:color w:val="000000" w:themeColor="text1"/>
          <w:sz w:val="16"/>
          <w:szCs w:val="16"/>
        </w:rPr>
        <w:softHyphen/>
        <w:t>лись неплохими, однако из-за плохой экранировки и плохих защитных устройств после их установки в танки не удалось иметь нормальной связи на дистанцию большую чем 10 миль. Компактность радиостанций и их расположение в ма</w:t>
      </w:r>
      <w:r w:rsidRPr="008127F8">
        <w:rPr>
          <w:rFonts w:ascii="Times New Roman" w:hAnsi="Times New Roman"/>
          <w:color w:val="000000" w:themeColor="text1"/>
          <w:sz w:val="16"/>
          <w:szCs w:val="16"/>
        </w:rPr>
        <w:softHyphen/>
        <w:t>шинах очень удачны. Механообработка деталей оборудова</w:t>
      </w:r>
      <w:r w:rsidRPr="008127F8">
        <w:rPr>
          <w:rFonts w:ascii="Times New Roman" w:hAnsi="Times New Roman"/>
          <w:color w:val="000000" w:themeColor="text1"/>
          <w:sz w:val="16"/>
          <w:szCs w:val="16"/>
        </w:rPr>
        <w:softHyphen/>
        <w:t>ния и частей за редким исключением очень плохая.</w:t>
      </w:r>
    </w:p>
    <w:p w14:paraId="1085F15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Итак, советские Т-34 и КВ не произвели фурора за океаном. Американские конструкторы нашли в них как достоинства, так и недостатки, что естественно. Но главное, что перевод этих отчетов уже мало что давал нашим танкостроителям. Ведь ознакомиться с ними представите</w:t>
      </w:r>
      <w:r w:rsidRPr="008127F8">
        <w:rPr>
          <w:rFonts w:ascii="Times New Roman" w:hAnsi="Times New Roman"/>
          <w:color w:val="000000" w:themeColor="text1"/>
          <w:sz w:val="16"/>
          <w:szCs w:val="16"/>
        </w:rPr>
        <w:softHyphen/>
        <w:t>ли ОГК НКТП смогли лишь осенью 1942 г., когда танки Т-34 и КВ изменились разительно (10782).</w:t>
      </w:r>
    </w:p>
    <w:p w14:paraId="7D88696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0633D"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апреле 1942 года Артиллерийский комитет ГАУ КА вернулся к рассмотрению проектов У-20. Саму идею создания башенной САУ признали верной. Но условия работы заряжающих были подвергнуты резкой и вполне справедливой критике. Кроме того, критике была подвергнута и идея использования У-10 в качестве вооружения для первого варианта САУ. Указывалось, что это усложнит производство. Более верным был признан проект У-20-II, и это несмотря на то, что заряжающим там предстояло работать акробатами.</w:t>
      </w:r>
    </w:p>
    <w:p w14:paraId="422C1EA9"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Впрочем, по итогам рассмотрения оба проекта У-20 были признаны не удовлетворяющими требованиям Арткома ГАУ КА. Уже само по себе это заключение вызывает массу вопросов. Создаётся впечатление, что товарищи артиллеристы сами не знали, чего хотели. В заключении имелись взаимоисключающие параграфы. Именно Артком ГАУ КА составлял требования, и сам же потом назвал неверными их реализованные в проектах воплощения. Подобная ситуация была далеко не единичной. Достаточно вспомнить историю с У-19, которую сначала заказали, а потом ужаснулись тому, что получилось.</w:t>
      </w:r>
    </w:p>
    <w:p w14:paraId="31A10AD8"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счастью, как раз в тот момент, когда проект 85-мм противотанковой САУ похоронили, оказался одобрен проект другой средней САУ. Представляла она собой трофейную немецкую самоходную установку StuG III, в которую установили 122-мм гаубицу М-30. Эта машина, получившая индекс 122-СГ (122-мм самоходная гаубица, позже СГ-122), стала первой серийной советской средней САУ. Принятая на 122-СГ концепция самоходной установки с вооружением, размещённым в находящейся спереди рубке, впоследствии стала типичной для советских средних и тяжёлых САУ военного периода (17641).</w:t>
      </w:r>
    </w:p>
    <w:p w14:paraId="0A29C4F5" w14:textId="77777777" w:rsidR="007A437F" w:rsidRPr="008127F8" w:rsidRDefault="007A437F" w:rsidP="001E0A84">
      <w:pPr>
        <w:spacing w:after="0" w:line="240" w:lineRule="auto"/>
        <w:jc w:val="both"/>
        <w:rPr>
          <w:rFonts w:ascii="Times New Roman" w:hAnsi="Times New Roman"/>
          <w:color w:val="000000" w:themeColor="text1"/>
          <w:sz w:val="16"/>
          <w:szCs w:val="16"/>
        </w:rPr>
      </w:pPr>
    </w:p>
    <w:p w14:paraId="7F759F3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апреля 1942 началась реконструкция образованного на базе ПВРЗ завода № 174 им. Ворошилова </w:t>
      </w:r>
    </w:p>
    <w:p w14:paraId="5E6A651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Омск 20, п/я 853/4, Ленинский район</w:t>
      </w:r>
    </w:p>
    <w:p w14:paraId="32B3ED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Задорожный</w:t>
      </w:r>
    </w:p>
    <w:p w14:paraId="3BA58E0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танкостроение</w:t>
      </w:r>
    </w:p>
    <w:p w14:paraId="594697C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Основное изделие – танк Т-34, ОС 122, М13 (9672).</w:t>
      </w:r>
    </w:p>
    <w:p w14:paraId="043A9DF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9F3CD" w14:textId="77777777" w:rsidR="002303A6" w:rsidRPr="008127F8" w:rsidRDefault="002303A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апреле 1942 конструкторская группа завода под руководством А. Каштанова начала проектирование 122-мм самоходной гаубицы. В этом «самоходе» использовалась качающаяся часть 122-мм буксируемой гаубицы М-30. В качестве базы для новой машины использовалось штурмовое орудие StuG III с наращенной вверх боевой рубкой. Такое увеличение рубки позволило установить в боевом отделении 122-мм гаубицу М-30. Новая САУ получила название «штурмовая самоходная гаубица "артпггурм" СГ-122», или сокращенно СГ-122А. Боевая рубка штурмового орудия с демонтированной крышей была несколько обрезана по высоте. На оставшийся пояс наварили простую призматическую коробку из 45-мм (лоб) и 35—25-мм (борта и корма) броневых листов. Для необходимой прочности горизонтального стыка он был усилен снаружи и изнутри накладками толщиной 6—8 мм. На днище боевого отделения на месте станка 75-мм орудия StuK 37 смонтировали новый станок гаубицы М-30, изготовленный по типу немецкого. Основной боекомплект гаубицы размещался по бортам САУ, а несколько снарядов «оперативного использования» — на дне позади гаубичного станка. Экипаж СГ122(A) состоял из пяти человек.</w:t>
      </w:r>
    </w:p>
    <w:p w14:paraId="799AE3B9" w14:textId="77777777" w:rsidR="002303A6" w:rsidRPr="008127F8" w:rsidRDefault="002303A6"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отсутствия необходимого оборудования, материалов и недостатка кадров первый образец гаубицы был испытан пробегом (480 км) и стрельбой (66 выстрелов) только в сентябре 1942 г. Испытания подтвердили высокие боевые возможности СГ-122А, однако выявили и большое количество недостатков: недостаточная проходимость на мягком фунте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 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 Kpfw III, ходовых частей которого имелось больше, чем ходовых частей штурмовых орудий (12687).</w:t>
      </w:r>
    </w:p>
    <w:p w14:paraId="461F31C2" w14:textId="77777777" w:rsidR="002303A6" w:rsidRPr="008127F8" w:rsidRDefault="002303A6" w:rsidP="001E0A84">
      <w:pPr>
        <w:spacing w:after="0" w:line="240" w:lineRule="auto"/>
        <w:jc w:val="both"/>
        <w:rPr>
          <w:rFonts w:ascii="Times New Roman" w:hAnsi="Times New Roman"/>
          <w:color w:val="000000" w:themeColor="text1"/>
          <w:sz w:val="16"/>
          <w:szCs w:val="16"/>
        </w:rPr>
      </w:pPr>
    </w:p>
    <w:p w14:paraId="35C4BB9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конструкторской группой под руководством А.Каштанова был выполнен проект 122-мм самоходной гаубицы. В качестве базы для новой машины использовалось немецкое штурмовое орудие StuG III с наращенной вверх боевой рубкой. Такое увеличение рубки позволило установить в боевом отделении 122-мм гаубицу М-30. Новая САУ получила название "Штурмовая самоходная гаубица "артштурм" СГ-122", или сокращенно СГ-122А.</w:t>
      </w:r>
    </w:p>
    <w:p w14:paraId="575C663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имеющемуся описанию опытного образца, СГ-122А была переделана из штурмового орудия StuG III. Боевая рубка штурмового орудия с демонтированной крышей была несколько обрезана по высоте. На оставшемся поясе была наварена простая призматическая коробка из 45-мм (лоб) и 35 - 25-мм (борта и корма) броневых листов. Для необходимой прочности горизонтального стыка он был усилен снаружи и изнутри накладками толщиной порядка 6 - 8 мм.</w:t>
      </w:r>
    </w:p>
    <w:p w14:paraId="0ECA433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Внутри боевого отделения на месте станка 75-мм орудия StuK 37 был смонтирован новый станок гаубицы М-30, изготовленный по типу немецкого. Основной боекомплект гаубицы размещался по бортам САУ, а несколько снарядов "оперативного использования" - на дне позади гаубичного станка.</w:t>
      </w:r>
    </w:p>
    <w:p w14:paraId="008088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СГ-122(А) состоял из пяти человек: механика-водителя (который занимал место слева-впереди боевой рубки); командира САУ, он же наводчик по горизонтали (располагался позади механика-водителя левым боком вперед); позади него также боком по ходу машины располагался первый заряжающий (он же радист); напротив командира САУ правым плечом по ходу машины располагался наводчик по вертикали (гаубица М-30 имела раздельную наводку); позади него также правым плечом вперед стоял второй заряжающий.</w:t>
      </w:r>
    </w:p>
    <w:p w14:paraId="5DF86D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входа-выхода экипажа в машине имелось два люка. Основной размещался в корме рубки, а резервный находился в наклонной части лобовой брони рубки перед наводчиком по вертикали. Для связи в машине была оставлена штатная немецкая радиостанция.</w:t>
      </w:r>
    </w:p>
    <w:p w14:paraId="1E9CD83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отсутствия необходимого оборудования, материалов и недостатка кадров первый образец гаубицы был испытан пробегом (480 километров) и стрельбой (66 выстрелов) только в сентябре 1942 года. Испытания подтвердили высокие боевые возможности СГ-122А, однако выявили и большое количество недостатков: недостаточная проходимость на мягком грунте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w:t>
      </w:r>
    </w:p>
    <w:p w14:paraId="021E81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PzKpfw III, ходовых частей которого имелось больше, чем ходовых частей штурмовых орудий.</w:t>
      </w:r>
    </w:p>
    <w:p w14:paraId="67516FF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доработки проекта завод № 592 изготовил два улучшенных варианта СГ-122, отличавшихся типом примененного шасси (штурмового орудия и танка PzKpfw III), которые имели ряд отличий от прототипа.</w:t>
      </w:r>
    </w:p>
    <w:p w14:paraId="3A40DF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рубка сваривалась из более тонких 35-мм (лоб) и 25-мм (борта и корма) листов. Это позволило немного снизить массу машины и несколько улучшить ее проходимость. Было изменено "штатное расписание" экипажа СГ-122: теперь командиром САУ стал наводчик по вертикали, который получил собственный люк в крыше рубки. Кроме того, для обзора местности командир получил артиллерийский разведывательный перископ, который мог выдвигаться в специальном стакане.</w:t>
      </w:r>
    </w:p>
    <w:p w14:paraId="65CDE5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Бортовые амбразуры для стрельбы из личного оружия были переконструированы. Теперь через них можно было вести огонь не только из "нагана", но даже из ТТ и ППШ, поскольку диаметр отверстия амбразуры был значительно больше прежних.</w:t>
      </w:r>
    </w:p>
    <w:p w14:paraId="26EACE0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Орудийная установка была облегчена, а для упрощения заряжания орудие оснастили откидным лотком. В крыше рубки установили электрический вытяжной вентилятор.</w:t>
      </w:r>
    </w:p>
    <w:p w14:paraId="18ED8F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увеличения запаса хода на надгусеничных полках САУ разместили коробчатые топливные баки от танков БТ и Т-34, при этом несколько уменьшили возимый ЗИП и шанцевый инструмент.</w:t>
      </w:r>
    </w:p>
    <w:p w14:paraId="6CAE74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Специально по заказу завода № 592 для СГ-122 "улучшенной" Уралмашзавод (УЗТМ) разработал и отлил бронемаску орудия, которая была более приспособлена для серийного выпуска, чем прежняя, а также лучше защищала от пуль и осколков. Это позволило обойтись без громоздких боковых щитов, затруднявших обслуживание машины и увеличивающих нагрузку передних опорных катков.</w:t>
      </w:r>
    </w:p>
    <w:p w14:paraId="7BAEE49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отчету завода № 592 за 1942 год всего было изготовлено десять СГ-122, (при плане на год 63 машины), причем одна на шасси Pz III, а остальные - на шасси StuG III (9695).</w:t>
      </w:r>
    </w:p>
    <w:p w14:paraId="7F843BC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77501"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апреле, ближе к концу мая 1942 проектная документация артиллерийской системы для «шасси 32», имевшей в штурмовом исполнении индекс БГС-5, которая получила в КБ завода №8 обозначение ЗИК-7, в значительной степени была готова. Непосредственно работой по ЗИК-7 руководил М.Е. Безусов, он же занимался и самоходными установками ЗИК-10/ЗИК-11 на базе Т-34.</w:t>
      </w:r>
    </w:p>
    <w:p w14:paraId="46506421"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Некоторые технические решения оказались для легкой и средней САУ очень похожими. Например, для обеспечения нормальной вентиляции боевое отделение ЗИК-7 сделали открытым сверху. Конфигурация рубки в носовой части напоминала БГС-5, но при этом форма ее бортовых и кормовых листов оказалась более рациональной. Рубка ЗИК-7 надежно обеспечивала защиту расчета орудия с бортов и кормы. В кормовом листе рубки конструкторы предусмотрели люк.</w:t>
      </w:r>
    </w:p>
    <w:p w14:paraId="151E2BBE"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случае с вооружением коллектив КБ завода №8 весьма вольно подошел к вопросу использования системы ЗИС-5. Люлька и спусковой механизм оказались очень сильно переделаны, верхний и нижний станок и вовсе изготовлялись с нуля. Полностью с нуля выполнялась и бронировка орудийной маски. Ее решили изготовить методом литья, причем весьма сложной формы. В передней части люльки крепился противовес. Именно это стало главной проблемой при реализации проекта ЗИК-7.</w:t>
      </w:r>
    </w:p>
    <w:p w14:paraId="4180E520"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то время, как шасси </w:t>
      </w:r>
      <w:hyperlink r:id="rId126" w:history="1">
        <w:r w:rsidRPr="008127F8">
          <w:rPr>
            <w:rFonts w:ascii="Times New Roman" w:eastAsia="Times New Roman" w:hAnsi="Times New Roman"/>
            <w:color w:val="000000" w:themeColor="text1"/>
            <w:sz w:val="16"/>
            <w:szCs w:val="16"/>
            <w:lang w:eastAsia="ru-RU"/>
          </w:rPr>
          <w:t>СУ-32</w:t>
        </w:r>
      </w:hyperlink>
      <w:r w:rsidRPr="008127F8">
        <w:rPr>
          <w:rFonts w:ascii="Times New Roman" w:eastAsia="Times New Roman" w:hAnsi="Times New Roman"/>
          <w:color w:val="000000" w:themeColor="text1"/>
          <w:sz w:val="16"/>
          <w:szCs w:val="16"/>
          <w:lang w:eastAsia="ru-RU"/>
        </w:rPr>
        <w:t xml:space="preserve"> было готово уже в начале июня 1942 года, работа по орудийной системе застопорилась. Дело в том, что Б.А. Фрадкин, директор завода №8, отказался изготовлять детали для ЗИК-7. Не помогли даже письма из ГАУ и НКВ, датированные июнем-июлем 1942 года. Получилось так, что КБ свою работу выполнилось в срок, был подготовлен полный набор чертежей, но проект так и остался бумагой.</w:t>
      </w:r>
    </w:p>
    <w:p w14:paraId="08E2D2F2"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началу августа стало ясно, что ситуация не изменится. Изготовлением деталей для ЗИК-7 загрузили завод №37, который 27 июля 1942 года вошел в состав УЗТМ и начал к подготовке выпуска танка Т-34. В этих обстоятельствах единственно возможным вариантом стал запуск работ над упрощенным вариантом установки, получившей обозначение ЗИК-7-II. Общая конструкция боевого отделения осталась неизменной, а вот над оптимизацией конструкции артиллерийской системы конструкторы сильно поработали. Теперь люлька имела минимум изменений, прицел брался от 76-мм полковой пушки обр.1927 года, подъемный и поворотный механизмы заимствовались у ЗИС-5. Более простой стала и бронировка маски, частично повторявшая форму бронировки ЗИС-5 для КВ-1 (17683).</w:t>
      </w:r>
    </w:p>
    <w:p w14:paraId="00C34AFC"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205A7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пленуме Арткома ГАУ РККА по инициативе Наркомата вооружения было принято решение по организации произ</w:t>
      </w:r>
      <w:r w:rsidRPr="008127F8">
        <w:rPr>
          <w:rFonts w:ascii="Times New Roman" w:hAnsi="Times New Roman"/>
          <w:color w:val="000000" w:themeColor="text1"/>
          <w:sz w:val="16"/>
          <w:szCs w:val="16"/>
        </w:rPr>
        <w:softHyphen/>
        <w:t>водства специальных противотанковых самоходных установок. Кроме того, к данному виду вооружения были выработаны определенные тре</w:t>
      </w:r>
      <w:r w:rsidRPr="008127F8">
        <w:rPr>
          <w:rFonts w:ascii="Times New Roman" w:hAnsi="Times New Roman"/>
          <w:color w:val="000000" w:themeColor="text1"/>
          <w:sz w:val="16"/>
          <w:szCs w:val="16"/>
        </w:rPr>
        <w:softHyphen/>
        <w:t>бования, основными из которых были:</w:t>
      </w:r>
    </w:p>
    <w:p w14:paraId="773AAA6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создаваемые установки должны были иметь минимальную высоту;</w:t>
      </w:r>
    </w:p>
    <w:p w14:paraId="20A7C7F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использование наиболее дешевых и массово производимых узлов и агрегатов легких танков, грузовых автомобилей и тракторов;</w:t>
      </w:r>
    </w:p>
    <w:p w14:paraId="5FAF68DB"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численность экипажа не должна была превышать трех человек;</w:t>
      </w:r>
    </w:p>
    <w:p w14:paraId="67568BB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основное оружие должно было пробивать 50-мм броню на дистан</w:t>
      </w:r>
      <w:r w:rsidRPr="008127F8">
        <w:rPr>
          <w:rFonts w:ascii="Times New Roman" w:hAnsi="Times New Roman"/>
          <w:color w:val="000000" w:themeColor="text1"/>
          <w:sz w:val="16"/>
          <w:szCs w:val="16"/>
        </w:rPr>
        <w:softHyphen/>
        <w:t>ции 500 м;</w:t>
      </w:r>
    </w:p>
    <w:p w14:paraId="7E3C17B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броневая защита лобовой части машины должна была обеспечи</w:t>
      </w:r>
      <w:r w:rsidRPr="008127F8">
        <w:rPr>
          <w:rFonts w:ascii="Times New Roman" w:hAnsi="Times New Roman"/>
          <w:color w:val="000000" w:themeColor="text1"/>
          <w:sz w:val="16"/>
          <w:szCs w:val="16"/>
        </w:rPr>
        <w:softHyphen/>
        <w:t>вать надежную защиту членов экипажа и внутреннего оборудования от снарядов 37-мм противотанковой пушки со всех дистанций действи</w:t>
      </w:r>
      <w:r w:rsidRPr="008127F8">
        <w:rPr>
          <w:rFonts w:ascii="Times New Roman" w:hAnsi="Times New Roman"/>
          <w:color w:val="000000" w:themeColor="text1"/>
          <w:sz w:val="16"/>
          <w:szCs w:val="16"/>
        </w:rPr>
        <w:softHyphen/>
        <w:t>тельного огня, борта и корма - от пуль крупнокалиберных пулеметов, легких противотанковых ружей, а также осколков снарядов, бомб или мин.</w:t>
      </w:r>
    </w:p>
    <w:p w14:paraId="6265E46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работе над проектами самоходных установок были привлечены конструкторские коллективы НИИ-13, МВТУ им. Баумана, НАТИ, ЦАКБ, УЗТМ, завода № 592, Горьковского автозавода, ОКБ-38 и ряда предприятий НКТП (10703).</w:t>
      </w:r>
    </w:p>
    <w:p w14:paraId="79F8FEA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DB9A2"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пленуме Артиллерийского комитета ГАУ РККА с участием представи</w:t>
      </w:r>
      <w:r w:rsidRPr="008127F8">
        <w:rPr>
          <w:rFonts w:ascii="Times New Roman" w:hAnsi="Times New Roman"/>
          <w:color w:val="000000" w:themeColor="text1"/>
          <w:sz w:val="16"/>
          <w:szCs w:val="16"/>
        </w:rPr>
        <w:softHyphen/>
        <w:t xml:space="preserve">телей от войск, промышленности и НКВ было принято Решение о создании </w:t>
      </w:r>
      <w:r w:rsidRPr="008127F8">
        <w:rPr>
          <w:rFonts w:ascii="Times New Roman" w:hAnsi="Times New Roman"/>
          <w:color w:val="000000" w:themeColor="text1"/>
          <w:sz w:val="16"/>
          <w:szCs w:val="16"/>
        </w:rPr>
        <w:lastRenderedPageBreak/>
        <w:t>самоходно-артиллерийских установок, воору</w:t>
      </w:r>
      <w:r w:rsidRPr="008127F8">
        <w:rPr>
          <w:rFonts w:ascii="Times New Roman" w:hAnsi="Times New Roman"/>
          <w:color w:val="000000" w:themeColor="text1"/>
          <w:sz w:val="16"/>
          <w:szCs w:val="16"/>
        </w:rPr>
        <w:softHyphen/>
        <w:t>женных 76,2-мм пушкой ЗИС-3 и 122-мм гаубицей обр. 1938 г. для под</w:t>
      </w:r>
      <w:r w:rsidRPr="008127F8">
        <w:rPr>
          <w:rFonts w:ascii="Times New Roman" w:hAnsi="Times New Roman"/>
          <w:color w:val="000000" w:themeColor="text1"/>
          <w:sz w:val="16"/>
          <w:szCs w:val="16"/>
        </w:rPr>
        <w:softHyphen/>
        <w:t>держки и сопровождения наступающей пехоты и танков огнем непо</w:t>
      </w:r>
      <w:r w:rsidRPr="008127F8">
        <w:rPr>
          <w:rFonts w:ascii="Times New Roman" w:hAnsi="Times New Roman"/>
          <w:color w:val="000000" w:themeColor="text1"/>
          <w:sz w:val="16"/>
          <w:szCs w:val="16"/>
        </w:rPr>
        <w:softHyphen/>
        <w:t>средственно в боевых порядках войск. В связи с решением о создании самоходных установок, вооружен</w:t>
      </w:r>
      <w:r w:rsidRPr="008127F8">
        <w:rPr>
          <w:rFonts w:ascii="Times New Roman" w:hAnsi="Times New Roman"/>
          <w:color w:val="000000" w:themeColor="text1"/>
          <w:sz w:val="16"/>
          <w:szCs w:val="16"/>
        </w:rPr>
        <w:softHyphen/>
        <w:t>ных 122-мм гаубицей, в КБ завода № 100 в 1942 г. были предприняты попытки создания такой самоходной установки на базе трактора С-65 (С-2). Изготовленный опытный образец установки получил наименова</w:t>
      </w:r>
      <w:r w:rsidRPr="008127F8">
        <w:rPr>
          <w:rFonts w:ascii="Times New Roman" w:hAnsi="Times New Roman"/>
          <w:color w:val="000000" w:themeColor="text1"/>
          <w:sz w:val="16"/>
          <w:szCs w:val="16"/>
        </w:rPr>
        <w:softHyphen/>
        <w:t>ние СУ-02. Однако дальнейшие работы по данной машине были пре</w:t>
      </w:r>
      <w:r w:rsidRPr="008127F8">
        <w:rPr>
          <w:rFonts w:ascii="Times New Roman" w:hAnsi="Times New Roman"/>
          <w:color w:val="000000" w:themeColor="text1"/>
          <w:sz w:val="16"/>
          <w:szCs w:val="16"/>
        </w:rPr>
        <w:softHyphen/>
        <w:t>кращены (10703).</w:t>
      </w:r>
    </w:p>
    <w:p w14:paraId="20D776F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FB7F8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был испытан стрельбой опытный образец Объект-227. Усовершенствованный образец установки в серийное производство и на вооружение не поступил (10703).</w:t>
      </w:r>
    </w:p>
    <w:p w14:paraId="3F59294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24A1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был изготовлен и испытан стрель</w:t>
      </w:r>
      <w:r w:rsidRPr="008127F8">
        <w:rPr>
          <w:rFonts w:ascii="Times New Roman" w:hAnsi="Times New Roman"/>
          <w:color w:val="000000" w:themeColor="text1"/>
          <w:sz w:val="16"/>
          <w:szCs w:val="16"/>
        </w:rPr>
        <w:softHyphen/>
        <w:t>бой опытный образец самоходной установки КВ-7 с новым вариантом вооружения. Эта самоходная установка была показана высшему командованию РККА, но на вооружение принята не была. В дальней</w:t>
      </w:r>
      <w:r w:rsidRPr="008127F8">
        <w:rPr>
          <w:rFonts w:ascii="Times New Roman" w:hAnsi="Times New Roman"/>
          <w:color w:val="000000" w:themeColor="text1"/>
          <w:sz w:val="16"/>
          <w:szCs w:val="16"/>
        </w:rPr>
        <w:softHyphen/>
        <w:t>шем отечественные конструкторы танков и САУ повышение мощности артиллерийского огня боевых машин осуществляли путем увеличения калибра артиллерийского орудия или повышения начальной скорости его снаряда (10703).</w:t>
      </w:r>
    </w:p>
    <w:p w14:paraId="3931030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4E505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коллектив конрукторского бюро СКБ-2 завода ЧКЗ приступил по своей инициативе к разработке КВ-13. Эта работа по проектированию среднего танка была вызвана, прежде всего, низкой надежностью трансмиссии тяжелого танка КВ-1, разработанного коллективом этого КБ в Ленинграде еще до войны. За счет более плотной компоновки агрегатов конструкторы предполагали уменьшить размеры и новой машины по сравнению с серийным танком КВ и таким путем решить проблему надежности работы агрегатов трансмиссии. Оригинальный по форме корпус был разработан ведущим инженером С.В. Мицкевичем, а общую компоновку танка выполнил Москвин. Первоначальный проект предусматривал создание танка массой 26 т, вооруженного 76,2-мм пушкой, с толщиной лобовой брони не менее 75 мм и экипажем, состоявшим из трех человек. Машина должны была иметь малые размеры и обладать повышенной маневренностью. При рассмотрении проекта ГАБТУ РККА включило в </w:t>
      </w:r>
      <w:proofErr w:type="gramStart"/>
      <w:r w:rsidRPr="008127F8">
        <w:rPr>
          <w:rFonts w:ascii="Times New Roman" w:hAnsi="Times New Roman"/>
          <w:color w:val="000000" w:themeColor="text1"/>
          <w:sz w:val="16"/>
          <w:szCs w:val="16"/>
        </w:rPr>
        <w:t>ТТТ ,</w:t>
      </w:r>
      <w:proofErr w:type="gramEnd"/>
      <w:r w:rsidRPr="008127F8">
        <w:rPr>
          <w:rFonts w:ascii="Times New Roman" w:hAnsi="Times New Roman"/>
          <w:color w:val="000000" w:themeColor="text1"/>
          <w:sz w:val="16"/>
          <w:szCs w:val="16"/>
        </w:rPr>
        <w:t xml:space="preserve"> корпуса и башни противостоять бронебойно-подкалиберным снарядам немецких танковых и противотанковых пушек, пробивающих броню толщиной до 120 мм на дальности 100 м (10703).</w:t>
      </w:r>
    </w:p>
    <w:p w14:paraId="5F6C7B1C"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BBDC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года директор завода № 592 Наркомата Вооружений (НКВ) получил письмо: </w:t>
      </w:r>
    </w:p>
    <w:p w14:paraId="406C8E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color w:val="000000" w:themeColor="text1"/>
          <w:sz w:val="16"/>
          <w:szCs w:val="16"/>
        </w:rPr>
        <w:t xml:space="preserve">" </w:t>
      </w:r>
      <w:r w:rsidRPr="008127F8">
        <w:rPr>
          <w:rFonts w:ascii="Times New Roman" w:hAnsi="Times New Roman"/>
          <w:iCs/>
          <w:color w:val="000000" w:themeColor="text1"/>
          <w:sz w:val="16"/>
          <w:szCs w:val="16"/>
        </w:rPr>
        <w:t>Секретно.</w:t>
      </w:r>
    </w:p>
    <w:p w14:paraId="1FB5E73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Начальнику ремонтного управления АБТУКА бригадинженеру Сосенкову.</w:t>
      </w:r>
    </w:p>
    <w:p w14:paraId="2072D22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Копия: директору завода № 592 Панкратову Д. Ф. </w:t>
      </w:r>
    </w:p>
    <w:p w14:paraId="6FF551C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В соответствии в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года на заводе № 592 прошу Вас дать необходимое распоряжение о ремонте и доставке на завод № 592 четырех трофейных "артштурмов". Для ускорения всех работ первый отремонтированный "артштурм" необходимо доставить на завод до 25 апреля. 13 апреля 1942 г. Председатель техсовета, член коллегии НКВ Э.Сатель (подпись)" (10794).</w:t>
      </w:r>
    </w:p>
    <w:p w14:paraId="314FF65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9815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бюро самоходной артиллерии НКТП завершило разработку шасси для лёгкой самоходки с широким использованием автомобильных деталей и деталей танка Т-60. Конструктор УЗТМ А.Н. Шляков разработал на основе ЗИС-3 установку У-31, предназначенную для самоходки. Завод № 37 взялся за изготовление опытного образца, и в июне 1942 года уже шли его испытания.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78D34FAD"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5DA489B8"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0C444B0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w:t>
      </w:r>
      <w:r w:rsidRPr="008127F8">
        <w:rPr>
          <w:rFonts w:ascii="Times New Roman" w:hAnsi="Times New Roman"/>
          <w:color w:val="000000" w:themeColor="text1"/>
          <w:sz w:val="16"/>
          <w:szCs w:val="16"/>
        </w:rPr>
        <w:softHyphen/>
        <w:t>реле 1942 г. по чертежам Горьковского автозавода серийное производст</w:t>
      </w:r>
      <w:r w:rsidRPr="008127F8">
        <w:rPr>
          <w:rFonts w:ascii="Times New Roman" w:hAnsi="Times New Roman"/>
          <w:color w:val="000000" w:themeColor="text1"/>
          <w:sz w:val="16"/>
          <w:szCs w:val="16"/>
        </w:rPr>
        <w:softHyphen/>
        <w:t>во танков Т-70 было организовано и на заводе № 38 в г. Киров. С октя</w:t>
      </w:r>
      <w:r w:rsidRPr="008127F8">
        <w:rPr>
          <w:rFonts w:ascii="Times New Roman" w:hAnsi="Times New Roman"/>
          <w:color w:val="000000" w:themeColor="text1"/>
          <w:sz w:val="16"/>
          <w:szCs w:val="16"/>
        </w:rPr>
        <w:softHyphen/>
        <w:t>бря того же года Горьковский автозавод и завод № 38 перешли на про</w:t>
      </w:r>
      <w:r w:rsidRPr="008127F8">
        <w:rPr>
          <w:rFonts w:ascii="Times New Roman" w:hAnsi="Times New Roman"/>
          <w:color w:val="000000" w:themeColor="text1"/>
          <w:sz w:val="16"/>
          <w:szCs w:val="16"/>
        </w:rPr>
        <w:softHyphen/>
        <w:t>изводство модернизированного варианта танка Т-70М с усиленной хо</w:t>
      </w:r>
      <w:r w:rsidRPr="008127F8">
        <w:rPr>
          <w:rFonts w:ascii="Times New Roman" w:hAnsi="Times New Roman"/>
          <w:color w:val="000000" w:themeColor="text1"/>
          <w:sz w:val="16"/>
          <w:szCs w:val="16"/>
        </w:rPr>
        <w:softHyphen/>
        <w:t>довой частью, которое продолжалось по июнь 1943 г. Во второй половине 1942 г. под руководством главного металлурга Горьковского автозавода Носкова при участии инженеров ЦНИИ-48 проводилась работа по изготовлению траков танка Т-70 из стали марки 40 вместо дефицитной легированной стали Г13Ф (10703).</w:t>
      </w:r>
    </w:p>
    <w:p w14:paraId="32FE6C89"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6915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года на заводе № 112 на бортах и лобовом листе корпуса, а также бортах башни танков устанавливаться десантные поручни (10703).</w:t>
      </w:r>
    </w:p>
    <w:p w14:paraId="5C51D08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0A293"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завод № 112 сдал 64 танка, в мае 1942 г. выпуск танков также шел значительно ниже плана (ГОПАНО. Ф. 34. Оп. 1. Д. 1652. Л. 34.). Завод не имел нужного задела деталей и агрегатов для обеспечения выпуска машин. Даже по важнейшим узлам уровень производства не обеспечивался более, чем 6 машин в сутки. Заводы по кооперации - ГАЗ и № 113 ежемесячно срывали подачу деталей, и вместо обусловленных 10 комплектов в сутки подавали по 5-6 комплектов, в которые входили и запасные части (ЦАНО. Ф. Р-15. Оп. 4. Д. 183. Л. 1.) (23540).</w:t>
      </w:r>
    </w:p>
    <w:p w14:paraId="2249D372" w14:textId="77777777" w:rsidR="005640C5" w:rsidRPr="008A2E5A" w:rsidRDefault="005640C5" w:rsidP="005640C5">
      <w:pPr>
        <w:spacing w:after="0" w:line="240" w:lineRule="auto"/>
        <w:jc w:val="both"/>
        <w:rPr>
          <w:rFonts w:ascii="Times New Roman" w:hAnsi="Times New Roman"/>
          <w:color w:val="0070C0"/>
          <w:sz w:val="16"/>
          <w:szCs w:val="16"/>
        </w:rPr>
      </w:pPr>
    </w:p>
    <w:p w14:paraId="49BAA2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отчете НИИ-48 констатировалось, что бро</w:t>
      </w:r>
      <w:r w:rsidRPr="008127F8">
        <w:rPr>
          <w:rFonts w:ascii="Times New Roman" w:hAnsi="Times New Roman"/>
          <w:color w:val="000000" w:themeColor="text1"/>
          <w:sz w:val="16"/>
          <w:szCs w:val="16"/>
        </w:rPr>
        <w:softHyphen/>
        <w:t>невая защита отечественных танков, несмотря на выполне</w:t>
      </w:r>
      <w:r w:rsidRPr="008127F8">
        <w:rPr>
          <w:rFonts w:ascii="Times New Roman" w:hAnsi="Times New Roman"/>
          <w:color w:val="000000" w:themeColor="text1"/>
          <w:sz w:val="16"/>
          <w:szCs w:val="16"/>
        </w:rPr>
        <w:softHyphen/>
        <w:t>ние ТТТ Бронетанкового управления 1940 г., «не смогла значительно снизить потери танковых войск в летне-осенней кампании 1941 г., так как немецкая армия имеет набор бро</w:t>
      </w:r>
      <w:r w:rsidRPr="008127F8">
        <w:rPr>
          <w:rFonts w:ascii="Times New Roman" w:hAnsi="Times New Roman"/>
          <w:color w:val="000000" w:themeColor="text1"/>
          <w:sz w:val="16"/>
          <w:szCs w:val="16"/>
        </w:rPr>
        <w:softHyphen/>
        <w:t>небойных средств, способных противостоять нашим новей</w:t>
      </w:r>
      <w:r w:rsidRPr="008127F8">
        <w:rPr>
          <w:rFonts w:ascii="Times New Roman" w:hAnsi="Times New Roman"/>
          <w:color w:val="000000" w:themeColor="text1"/>
          <w:sz w:val="16"/>
          <w:szCs w:val="16"/>
        </w:rPr>
        <w:softHyphen/>
        <w:t>шим танкам Т-34 и КВ» (10782).</w:t>
      </w:r>
    </w:p>
    <w:p w14:paraId="17F0CE6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AC68C"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апреле 1942 г. решением Ленинградского горкома ВКП(б) изготовление миномета передали на завод №232 («Большевик»). Сов</w:t>
      </w:r>
      <w:r w:rsidRPr="008127F8">
        <w:rPr>
          <w:rFonts w:ascii="Times New Roman" w:hAnsi="Times New Roman" w:cs="Times New Roman"/>
          <w:color w:val="000000" w:themeColor="text1"/>
          <w:sz w:val="16"/>
          <w:szCs w:val="16"/>
        </w:rPr>
        <w:softHyphen/>
        <w:t>местными Сов</w:t>
      </w:r>
      <w:r w:rsidRPr="008127F8">
        <w:rPr>
          <w:rFonts w:ascii="Times New Roman" w:hAnsi="Times New Roman" w:cs="Times New Roman"/>
          <w:color w:val="000000" w:themeColor="text1"/>
          <w:sz w:val="16"/>
          <w:szCs w:val="16"/>
        </w:rPr>
        <w:softHyphen/>
        <w:t>местными усилиями и при активной помощи со стороны главного конструктора завода «Большевик» Н.В. Кочетова к концу 1942 г., в жестких условиях блокады, удалось завер</w:t>
      </w:r>
      <w:r w:rsidRPr="008127F8">
        <w:rPr>
          <w:rFonts w:ascii="Times New Roman" w:hAnsi="Times New Roman" w:cs="Times New Roman"/>
          <w:color w:val="000000" w:themeColor="text1"/>
          <w:sz w:val="16"/>
          <w:szCs w:val="16"/>
        </w:rPr>
        <w:softHyphen/>
        <w:t>шить изготовление опытной батареи из трех 160-мм дивизионных минометов .«7-26» со штатным комплектом боеприпасов ЗИФ-10 для проведения полигонных испытаний.</w:t>
      </w:r>
    </w:p>
    <w:p w14:paraId="600F91C5"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160-мм дивизионный миномет «7-26» представлял собой гладкоствольное казноза- рядное орудие с клиновым затвором, проти</w:t>
      </w:r>
      <w:r w:rsidRPr="008127F8">
        <w:rPr>
          <w:rFonts w:ascii="Times New Roman" w:hAnsi="Times New Roman" w:cs="Times New Roman"/>
          <w:color w:val="000000" w:themeColor="text1"/>
          <w:sz w:val="16"/>
          <w:szCs w:val="16"/>
        </w:rPr>
        <w:softHyphen/>
        <w:t>вооткатными устройствами, прицелом и ме</w:t>
      </w:r>
      <w:r w:rsidRPr="008127F8">
        <w:rPr>
          <w:rFonts w:ascii="Times New Roman" w:hAnsi="Times New Roman" w:cs="Times New Roman"/>
          <w:color w:val="000000" w:themeColor="text1"/>
          <w:sz w:val="16"/>
          <w:szCs w:val="16"/>
        </w:rPr>
        <w:softHyphen/>
        <w:t>ханизмами вертикального и горизонтального наведения, размещенными на подрессоренном однобрусном колесном лафете. Его основным назначением являлось разрушение навесным огнем укреплений противника и поражение его огневых точек и крупных скоплений живой силы, находящихся за укрытиями, предохра</w:t>
      </w:r>
      <w:r w:rsidRPr="008127F8">
        <w:rPr>
          <w:rFonts w:ascii="Times New Roman" w:hAnsi="Times New Roman" w:cs="Times New Roman"/>
          <w:color w:val="000000" w:themeColor="text1"/>
          <w:sz w:val="16"/>
          <w:szCs w:val="16"/>
        </w:rPr>
        <w:softHyphen/>
        <w:t>няющими их он настильного огня. Стрельба велась на углах возвышения от 45° до</w:t>
      </w:r>
      <w:r w:rsidRPr="008127F8">
        <w:rPr>
          <w:rStyle w:val="BodytextBold1"/>
          <w:rFonts w:ascii="Times New Roman" w:eastAsiaTheme="minorHAnsi" w:hAnsi="Times New Roman" w:cs="Times New Roman"/>
          <w:b w:val="0"/>
          <w:color w:val="000000" w:themeColor="text1"/>
          <w:sz w:val="16"/>
          <w:szCs w:val="16"/>
        </w:rPr>
        <w:t xml:space="preserve"> 80° ми</w:t>
      </w:r>
      <w:r w:rsidRPr="008127F8">
        <w:rPr>
          <w:rStyle w:val="BodytextBold1"/>
          <w:rFonts w:ascii="Times New Roman" w:eastAsiaTheme="minorHAnsi" w:hAnsi="Times New Roman" w:cs="Times New Roman"/>
          <w:b w:val="0"/>
          <w:color w:val="000000" w:themeColor="text1"/>
          <w:sz w:val="16"/>
          <w:szCs w:val="16"/>
        </w:rPr>
        <w:softHyphen/>
      </w:r>
      <w:r w:rsidRPr="008127F8">
        <w:rPr>
          <w:rFonts w:ascii="Times New Roman" w:hAnsi="Times New Roman" w:cs="Times New Roman"/>
          <w:color w:val="000000" w:themeColor="text1"/>
          <w:sz w:val="16"/>
          <w:szCs w:val="16"/>
        </w:rPr>
        <w:t>нами массой 40 кг (масса разрывного заряда - 11,5 кг) на дистанции от 500 до 5000 м.</w:t>
      </w:r>
    </w:p>
    <w:p w14:paraId="50581326"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Перевозка миномета могла осуществ</w:t>
      </w:r>
      <w:r w:rsidRPr="008127F8">
        <w:rPr>
          <w:rFonts w:ascii="Times New Roman" w:hAnsi="Times New Roman" w:cs="Times New Roman"/>
          <w:color w:val="000000" w:themeColor="text1"/>
          <w:sz w:val="16"/>
          <w:szCs w:val="16"/>
        </w:rPr>
        <w:softHyphen/>
        <w:t>ляться с передком П7-26 как конной тягой - нормальной артиллериискои упряжкой, так и механической тягой со скоростью до 45 км/ч. Предполагалась возможность перевозки миномета без пере</w:t>
      </w:r>
      <w:r w:rsidRPr="008127F8">
        <w:rPr>
          <w:rFonts w:ascii="Times New Roman" w:hAnsi="Times New Roman" w:cs="Times New Roman"/>
          <w:color w:val="000000" w:themeColor="text1"/>
          <w:sz w:val="16"/>
          <w:szCs w:val="16"/>
        </w:rPr>
        <w:softHyphen/>
        <w:t>дка, непосредственно за авто</w:t>
      </w:r>
      <w:r w:rsidRPr="008127F8">
        <w:rPr>
          <w:rFonts w:ascii="Times New Roman" w:hAnsi="Times New Roman" w:cs="Times New Roman"/>
          <w:color w:val="000000" w:themeColor="text1"/>
          <w:sz w:val="16"/>
          <w:szCs w:val="16"/>
        </w:rPr>
        <w:softHyphen/>
        <w:t>машиной.</w:t>
      </w:r>
    </w:p>
    <w:p w14:paraId="5DE377D0"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Миномет оборудовался щитовым прикрытием, прице</w:t>
      </w:r>
      <w:r w:rsidRPr="008127F8">
        <w:rPr>
          <w:rFonts w:ascii="Times New Roman" w:hAnsi="Times New Roman" w:cs="Times New Roman"/>
          <w:color w:val="000000" w:themeColor="text1"/>
          <w:sz w:val="16"/>
          <w:szCs w:val="16"/>
        </w:rPr>
        <w:softHyphen/>
        <w:t>лом от 76-мм горной пушки обр.38 г. и колесами от автомо</w:t>
      </w:r>
      <w:r w:rsidRPr="008127F8">
        <w:rPr>
          <w:rFonts w:ascii="Times New Roman" w:hAnsi="Times New Roman" w:cs="Times New Roman"/>
          <w:color w:val="000000" w:themeColor="text1"/>
          <w:sz w:val="16"/>
          <w:szCs w:val="16"/>
        </w:rPr>
        <w:softHyphen/>
        <w:t>биля ЗИС-З (передние) с губча</w:t>
      </w:r>
      <w:r w:rsidRPr="008127F8">
        <w:rPr>
          <w:rFonts w:ascii="Times New Roman" w:hAnsi="Times New Roman" w:cs="Times New Roman"/>
          <w:color w:val="000000" w:themeColor="text1"/>
          <w:sz w:val="16"/>
          <w:szCs w:val="16"/>
        </w:rPr>
        <w:softHyphen/>
        <w:t>тым наполнением.</w:t>
      </w:r>
    </w:p>
    <w:p w14:paraId="7A784CB0"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производственном отно</w:t>
      </w:r>
      <w:r w:rsidRPr="008127F8">
        <w:rPr>
          <w:rFonts w:ascii="Times New Roman" w:hAnsi="Times New Roman" w:cs="Times New Roman"/>
          <w:color w:val="000000" w:themeColor="text1"/>
          <w:sz w:val="16"/>
          <w:szCs w:val="16"/>
        </w:rPr>
        <w:softHyphen/>
        <w:t>шении конструкция миномета была оптимизирована для быстрого массового выпуска. Минимальное применение легированных марок стали, широкое исполь</w:t>
      </w:r>
      <w:r w:rsidRPr="008127F8">
        <w:rPr>
          <w:rFonts w:ascii="Times New Roman" w:hAnsi="Times New Roman" w:cs="Times New Roman"/>
          <w:color w:val="000000" w:themeColor="text1"/>
          <w:sz w:val="16"/>
          <w:szCs w:val="16"/>
        </w:rPr>
        <w:softHyphen/>
        <w:t>зование сварки, литья и унифицированных деталей (при отсутствии требований изготов</w:t>
      </w:r>
      <w:r w:rsidRPr="008127F8">
        <w:rPr>
          <w:rFonts w:ascii="Times New Roman" w:hAnsi="Times New Roman" w:cs="Times New Roman"/>
          <w:color w:val="000000" w:themeColor="text1"/>
          <w:sz w:val="16"/>
          <w:szCs w:val="16"/>
        </w:rPr>
        <w:softHyphen/>
        <w:t>ления по высоким классам точности) опреде</w:t>
      </w:r>
      <w:r w:rsidRPr="008127F8">
        <w:rPr>
          <w:rFonts w:ascii="Times New Roman" w:hAnsi="Times New Roman" w:cs="Times New Roman"/>
          <w:color w:val="000000" w:themeColor="text1"/>
          <w:sz w:val="16"/>
          <w:szCs w:val="16"/>
        </w:rPr>
        <w:softHyphen/>
        <w:t>ляло возможность изготовления «7-26» даже на неспециализированных артиллерийских заводах.</w:t>
      </w:r>
    </w:p>
    <w:p w14:paraId="7422EBE1"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На заводе №7 старший инженер В.М. Ки</w:t>
      </w:r>
      <w:r w:rsidRPr="008127F8">
        <w:rPr>
          <w:rFonts w:ascii="Times New Roman" w:hAnsi="Times New Roman" w:cs="Times New Roman"/>
          <w:color w:val="000000" w:themeColor="text1"/>
          <w:sz w:val="16"/>
          <w:szCs w:val="16"/>
        </w:rPr>
        <w:softHyphen/>
        <w:t>рилов и конструктор М.Г. Матрос под руко</w:t>
      </w:r>
      <w:r w:rsidRPr="008127F8">
        <w:rPr>
          <w:rFonts w:ascii="Times New Roman" w:hAnsi="Times New Roman" w:cs="Times New Roman"/>
          <w:color w:val="000000" w:themeColor="text1"/>
          <w:sz w:val="16"/>
          <w:szCs w:val="16"/>
        </w:rPr>
        <w:softHyphen/>
        <w:t>водством Н.П. Антонова разработали 160-мм фугасные мины ЗИФ-10 и ЗИФ-13. Конструк</w:t>
      </w:r>
      <w:r w:rsidRPr="008127F8">
        <w:rPr>
          <w:rFonts w:ascii="Times New Roman" w:hAnsi="Times New Roman" w:cs="Times New Roman"/>
          <w:color w:val="000000" w:themeColor="text1"/>
          <w:sz w:val="16"/>
          <w:szCs w:val="16"/>
        </w:rPr>
        <w:softHyphen/>
        <w:t>тивно эти боеприпасы отличались материалом (сталь и сталистый чугун), устройством корпуса и типом разрывного заряда (тротил и аматол соответственно). Применение сталистого чу</w:t>
      </w:r>
      <w:r w:rsidRPr="008127F8">
        <w:rPr>
          <w:rFonts w:ascii="Times New Roman" w:hAnsi="Times New Roman" w:cs="Times New Roman"/>
          <w:color w:val="000000" w:themeColor="text1"/>
          <w:sz w:val="16"/>
          <w:szCs w:val="16"/>
        </w:rPr>
        <w:softHyphen/>
        <w:t>гуна при изготовлении корпуса мины ЗИФ-13 позволяло снизить до минимума стоимость за</w:t>
      </w:r>
      <w:r w:rsidRPr="008127F8">
        <w:rPr>
          <w:rFonts w:ascii="Times New Roman" w:hAnsi="Times New Roman" w:cs="Times New Roman"/>
          <w:color w:val="000000" w:themeColor="text1"/>
          <w:sz w:val="16"/>
          <w:szCs w:val="16"/>
        </w:rPr>
        <w:softHyphen/>
        <w:t>готовки и увеличить количество #ыпускаемых изделий.</w:t>
      </w:r>
    </w:p>
    <w:p w14:paraId="7ABFFEF6" w14:textId="77777777" w:rsidR="007A437F" w:rsidRPr="008127F8" w:rsidRDefault="007A437F" w:rsidP="001E0A84">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конце 1942 г. за разработку конструкции 160-мм миномета главный конструктор завода №7 Н.П. Антонов, ст. инженеры-конструкторы В.Ф. Стурницкий (посмертно, умер в апреле 1942 г.) А.А. Журавлев, В.М. Кирилов и главный конструктор завода №232 Н.В. Кочетов были выдвинуты на соискание Сталинской премии.</w:t>
      </w:r>
    </w:p>
    <w:p w14:paraId="32A516AF" w14:textId="77777777" w:rsidR="007A437F" w:rsidRPr="008127F8" w:rsidRDefault="007A437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1943 г. на НИАП (ст. Ржевка) про</w:t>
      </w:r>
      <w:r w:rsidRPr="008127F8">
        <w:rPr>
          <w:rFonts w:ascii="Times New Roman" w:hAnsi="Times New Roman"/>
          <w:color w:val="000000" w:themeColor="text1"/>
          <w:sz w:val="16"/>
          <w:szCs w:val="16"/>
        </w:rPr>
        <w:softHyphen/>
        <w:t>вели всесторонние испытания опытных образ</w:t>
      </w:r>
      <w:r w:rsidRPr="008127F8">
        <w:rPr>
          <w:rFonts w:ascii="Times New Roman" w:hAnsi="Times New Roman"/>
          <w:color w:val="000000" w:themeColor="text1"/>
          <w:sz w:val="16"/>
          <w:szCs w:val="16"/>
        </w:rPr>
        <w:softHyphen/>
        <w:t>цов. Однако дальнейшие работы по 160-мм миномету были свернуты из-за невозможно</w:t>
      </w:r>
      <w:r w:rsidRPr="008127F8">
        <w:rPr>
          <w:rFonts w:ascii="Times New Roman" w:hAnsi="Times New Roman"/>
          <w:color w:val="000000" w:themeColor="text1"/>
          <w:sz w:val="16"/>
          <w:szCs w:val="16"/>
        </w:rPr>
        <w:softHyphen/>
        <w:t>сти организации его серийного производства вследствие загрузки завода «Большевик» за</w:t>
      </w:r>
      <w:r w:rsidRPr="008127F8">
        <w:rPr>
          <w:rFonts w:ascii="Times New Roman" w:hAnsi="Times New Roman"/>
          <w:color w:val="000000" w:themeColor="text1"/>
          <w:sz w:val="16"/>
          <w:szCs w:val="16"/>
        </w:rPr>
        <w:softHyphen/>
        <w:t>казами Ленинградского фронта по изготовле</w:t>
      </w:r>
      <w:r w:rsidRPr="008127F8">
        <w:rPr>
          <w:rFonts w:ascii="Times New Roman" w:hAnsi="Times New Roman"/>
          <w:color w:val="000000" w:themeColor="text1"/>
          <w:sz w:val="16"/>
          <w:szCs w:val="16"/>
        </w:rPr>
        <w:softHyphen/>
        <w:t>нию и ремонту полевой и морской артилле</w:t>
      </w:r>
      <w:r w:rsidRPr="008127F8">
        <w:rPr>
          <w:rFonts w:ascii="Times New Roman" w:hAnsi="Times New Roman"/>
          <w:color w:val="000000" w:themeColor="text1"/>
          <w:sz w:val="16"/>
          <w:szCs w:val="16"/>
        </w:rPr>
        <w:softHyphen/>
        <w:t>рии. Не был реализован в металле и проект 240-мм миномета конструкции завода №7 (17748).</w:t>
      </w:r>
    </w:p>
    <w:p w14:paraId="02640009" w14:textId="77777777" w:rsidR="007A437F" w:rsidRPr="008127F8" w:rsidRDefault="007A437F" w:rsidP="001E0A84">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29BFE3"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Апрельский 1942 г. план завода № 37 составлял 184 линейных и 46 радийных танков. Из-за проблем с поставками моторов сборочный цех завода №37 простаивал в течение апреля 8 дней. За апрель было изготовлено 230 корпусов (100% плана), так что задержка с двигателями очень сильно повлияла на выпуск Т-60. Такая кошмарная ситуация привела к началу работ по установке в Т-60 моторов ЗИС (23355).</w:t>
      </w:r>
    </w:p>
    <w:p w14:paraId="4EB32C06" w14:textId="77777777" w:rsidR="005640C5" w:rsidRPr="008A2E5A" w:rsidRDefault="005640C5" w:rsidP="005640C5">
      <w:pPr>
        <w:spacing w:after="0" w:line="240" w:lineRule="auto"/>
        <w:jc w:val="both"/>
        <w:rPr>
          <w:rFonts w:ascii="Times New Roman" w:hAnsi="Times New Roman"/>
          <w:color w:val="0070C0"/>
          <w:sz w:val="16"/>
          <w:szCs w:val="16"/>
        </w:rPr>
      </w:pPr>
    </w:p>
    <w:p w14:paraId="4AACC3BC"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апреля 1942 года на завод №264 стала поступать продукция завода №176 (г. Муром). Всё это привело к тому, что апрельский план в 250 машин завод перевыполнил, сдав 255 штук. Не без проблем, особенно это касалось корпусов и башен. Самым громким разбирательством стали трещины в продукции завода №180, хотя если смотреть внимательно, лидером по дефектам стал "Красный Октябрь". В 96 (!) корпусах сталинградского завода были найдены трещины. По причине трещин заводу пришлось ремонтировать, с полной разборкой и сборкой, 9 танков. Тем не менее, на фоне предыдущих месяцев апрель 1942 года стал для завода №264 прорывным (23360).</w:t>
      </w:r>
    </w:p>
    <w:p w14:paraId="60DDF02A" w14:textId="77777777" w:rsidR="005640C5" w:rsidRPr="008A2E5A" w:rsidRDefault="005640C5" w:rsidP="005640C5">
      <w:pPr>
        <w:spacing w:after="0" w:line="240" w:lineRule="auto"/>
        <w:jc w:val="both"/>
        <w:rPr>
          <w:rFonts w:ascii="Times New Roman" w:hAnsi="Times New Roman"/>
          <w:color w:val="0070C0"/>
          <w:sz w:val="16"/>
          <w:szCs w:val="16"/>
        </w:rPr>
      </w:pPr>
    </w:p>
    <w:p w14:paraId="3D53788A"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года было принято решение по вялотекущему проекту "Истребителя ДОТ-ов". Надо сказать, что по нему активность была наиболее вялой. Это объясняется тем, что САУ "212" была слишком специфичной. Больше того, и заказ по ней был очень маленьким - полтора десятка. Вполне возможно, что советские тяжелые штурмовые САУ так бы и умерли, толком не родившись, но помог случай. Так получилось, что в конце 1941 года начались работы по штурмовому танку КВ-7. Сначала трехствольный, а затем двухствольный вариант КВ-7 оказались неудачными. Между тем, на заводе №200 сдали установочную партию корпусов КВ-7, с ними надо было что-то делать. В январе 1942 года С.А. Гинзбург подписал тактико-технические требования на установку в рубку КВ-7 гаубицы-пушки МЛ-20. Она была менее мощной, чем 152-мм пушка БР-2, которая ставилась на "212", зато находилась в серийном производстве (23382).</w:t>
      </w:r>
    </w:p>
    <w:p w14:paraId="46441495" w14:textId="77777777" w:rsidR="005640C5" w:rsidRPr="008A2E5A" w:rsidRDefault="005640C5" w:rsidP="005640C5">
      <w:pPr>
        <w:spacing w:after="0" w:line="240" w:lineRule="auto"/>
        <w:jc w:val="both"/>
        <w:rPr>
          <w:rFonts w:ascii="Times New Roman" w:hAnsi="Times New Roman"/>
          <w:color w:val="0070C0"/>
          <w:sz w:val="16"/>
          <w:szCs w:val="16"/>
        </w:rPr>
      </w:pPr>
    </w:p>
    <w:p w14:paraId="3CD678C9"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1942 г. временно начинаются поставки комплектов корпусов Т-34 с УЗТМ. Первоначально уралмашевские корпуса среднего танка предназначались для СТЗ и завода № 183[423] (23536).</w:t>
      </w:r>
    </w:p>
    <w:p w14:paraId="0AE49D00" w14:textId="77777777" w:rsidR="005640C5" w:rsidRPr="008A2E5A" w:rsidRDefault="005640C5" w:rsidP="005640C5">
      <w:pPr>
        <w:spacing w:after="0" w:line="240" w:lineRule="auto"/>
        <w:jc w:val="both"/>
        <w:rPr>
          <w:rFonts w:ascii="Times New Roman" w:hAnsi="Times New Roman"/>
          <w:color w:val="0070C0"/>
          <w:sz w:val="16"/>
          <w:szCs w:val="16"/>
        </w:rPr>
      </w:pPr>
    </w:p>
    <w:p w14:paraId="7F67C4A4"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программа УТЗ по комплектам корпусов была значительно снижена (до 400 штук) по сравнению с мартовским планом в 620 комплектов. За счет роста собственного производства и поставок УЗТМ выполнение программы по изготовлению корпусов на УТЗ удалось довести во II квартале 1942 г. в среднем до 91,7 %, но в то же время завод № 183 ни разу не выполнил план полностью, даже с учетом поставок Уралмашзавода (см. таблицу 5.4 приложения).</w:t>
      </w:r>
    </w:p>
    <w:p w14:paraId="4AEFB7E5"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Мариуполе деталь танковой брони вырезали из броневого листа специальные обрезные станки. На восточных бронекорпусных заводах, где такого оборудования просто не имелось, настоящим спасением стало выжигание детали с помощью газовой резки. Но на месте среза металл перекалялся и трескался. При этом возможность применения газовой резки ограничивалась недостатком кислорода и позволяла выпускать на УЗТМ не более 10 комплектов в сутки. Поэтому главной задачей здесь стала скорейшая переброска, по решению ГКО, эвакуируемых кислородных установок и ввод в эксплуатацию строившихся, что позволило бы довести данное производство до 25 комплектов в </w:t>
      </w:r>
      <w:proofErr w:type="gramStart"/>
      <w:r w:rsidRPr="008A2E5A">
        <w:rPr>
          <w:rFonts w:ascii="Times New Roman" w:hAnsi="Times New Roman"/>
          <w:color w:val="0070C0"/>
          <w:sz w:val="16"/>
          <w:szCs w:val="16"/>
        </w:rPr>
        <w:t>сутки[</w:t>
      </w:r>
      <w:proofErr w:type="gramEnd"/>
      <w:r w:rsidRPr="008A2E5A">
        <w:rPr>
          <w:rFonts w:ascii="Times New Roman" w:hAnsi="Times New Roman"/>
          <w:color w:val="0070C0"/>
          <w:sz w:val="16"/>
          <w:szCs w:val="16"/>
        </w:rPr>
        <w:t>434].</w:t>
      </w:r>
    </w:p>
    <w:p w14:paraId="696EB0D1" w14:textId="77777777" w:rsidR="005640C5" w:rsidRPr="008A2E5A" w:rsidRDefault="005640C5" w:rsidP="005640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Тяжелое положение с трещинами на танковых корпусах стало естественным следствием особенностей создания бронепрокатного и корпусного производства в восточных регионах страны летом-осенью 1941 г. Этот процесс был осуществлен в предельно сжатые сроки в авральных условиях, а И.В. Сталин и его окружение требовали постоянно увеличивать выпуск танков. В течение всей первой половины 1942 г. уральские заводы непрерывно увеличивали выпуск корпусов и танков Т-34. Но в условиях, когда заводы вынуждены были все свое внимание сосредоточить только на количестве выпускаемой продукции, неизбежным итогом стало резкое сокращение качества боевых машин (23536).</w:t>
      </w:r>
    </w:p>
    <w:p w14:paraId="56823FF4" w14:textId="77777777" w:rsidR="005640C5" w:rsidRPr="008A2E5A" w:rsidRDefault="005640C5" w:rsidP="005640C5">
      <w:pPr>
        <w:spacing w:after="0" w:line="240" w:lineRule="auto"/>
        <w:jc w:val="both"/>
        <w:rPr>
          <w:rFonts w:ascii="Times New Roman" w:hAnsi="Times New Roman"/>
          <w:color w:val="0070C0"/>
          <w:sz w:val="16"/>
          <w:szCs w:val="16"/>
        </w:rPr>
      </w:pPr>
    </w:p>
    <w:p w14:paraId="5161FF2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 до августа 1943 г. БА-64 находился в серийном производстве на заводе ГАЗ.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8127F8">
        <w:rPr>
          <w:rFonts w:ascii="Times New Roman" w:hAnsi="Times New Roman"/>
          <w:color w:val="000000" w:themeColor="text1"/>
          <w:sz w:val="16"/>
          <w:szCs w:val="16"/>
        </w:rPr>
        <w:softHyphen/>
        <w:t>биль БА-64, из них 1352 машины с радиостанцией (10703).</w:t>
      </w:r>
    </w:p>
    <w:p w14:paraId="37878478"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F1CAA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 БА-64 был поставлен па серийное производство на Горьковском автозаводе. Бронеавтомобиль БА-64 предназначался для ведения разведки, управления в бою, борьбе с авиадесантом, сопро</w:t>
      </w:r>
      <w:r w:rsidRPr="008127F8">
        <w:rPr>
          <w:rFonts w:ascii="Times New Roman" w:hAnsi="Times New Roman"/>
          <w:color w:val="000000" w:themeColor="text1"/>
          <w:sz w:val="16"/>
          <w:szCs w:val="16"/>
        </w:rPr>
        <w:softHyphen/>
        <w:t>вождения автоколонн и осуществления противовоздушной обороны механизированных частей па марше. Летом 1942 г. первые серийные бронеавтомобили БА-64 приняли участие в боях на Брянском и Воро</w:t>
      </w:r>
      <w:r w:rsidRPr="008127F8">
        <w:rPr>
          <w:rFonts w:ascii="Times New Roman" w:hAnsi="Times New Roman"/>
          <w:color w:val="000000" w:themeColor="text1"/>
          <w:sz w:val="16"/>
          <w:szCs w:val="16"/>
        </w:rPr>
        <w:softHyphen/>
        <w:t>нежском фронтах, а позднее - под Сталинградом (10703).</w:t>
      </w:r>
    </w:p>
    <w:p w14:paraId="2AF776E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9A4646"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были собраны первые БА-64, однако они не были приняты военной приемкой из-за отсутствия колес ГК. Дальнейшую динамику выпуска БА-64 можно проследить по сводкам старшего военпреда ГАБТУ КА на ГАЗе инженер-полковника Окунева:</w:t>
      </w:r>
    </w:p>
    <w:p w14:paraId="2386E604"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первую декаду мая 1942 года по корпусам для БА-64. Задание на декаду – 80, принято 35. Программа по корпусам БА-64 не выполнена из-за отсутствия электродов «МД» и не освоения монтажа и сборки башни…</w:t>
      </w:r>
    </w:p>
    <w:p w14:paraId="0932E13A"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БА-64. Задание – 77, собрано на конвейере – 33, принято – 0. Срыв графика выпуска бронеавтомобилей произошел из-за слабой подачи в сборочный цех агрегатов и деталей в требуемых количествах, кроме того, до сего времени не получены колеса ГК».</w:t>
      </w:r>
    </w:p>
    <w:p w14:paraId="7FF72344"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 май 1942 года – 250 БА-64, принято за месяц – 125, остаток от апреля – 50, отгружено за май – 28…</w:t>
      </w:r>
    </w:p>
    <w:p w14:paraId="4710E68E"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 июнь 1942 года – 400 БА-64, принято за месяц – 200, остаток от мая – 147, отгружено за июнь – 267, остаток на 1 июля – 80…</w:t>
      </w:r>
    </w:p>
    <w:p w14:paraId="6E69C35A"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бронеавтомобилям срыв программы объясняется в первую очередь отсутствием внимания дирекции к этому заказу. Для сборки машин в течение почти всего месяца очень плохо поступали двигатели и мосты. До 29 июня не было резины, но отсутствие резины ни в коей мере не могло отразиться на сборке и подготовке к сдаче машин, так как заводу была разрешена подготовка к сдаче машин на сменной резине. 29 июня поступило 720 колес и 2 июля еще 500 колес, следовательно, резиной вся программа была обеспечена.</w:t>
      </w:r>
    </w:p>
    <w:p w14:paraId="6A7857DE"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План на июль 1942 года – 275 БА-64, принято за месяц – 275, остаток от июня – 80, отгружено за июль – </w:t>
      </w:r>
      <w:proofErr w:type="gramStart"/>
      <w:r w:rsidRPr="008127F8">
        <w:rPr>
          <w:rFonts w:ascii="Times New Roman" w:hAnsi="Times New Roman"/>
          <w:color w:val="000000" w:themeColor="text1"/>
          <w:sz w:val="16"/>
          <w:szCs w:val="16"/>
        </w:rPr>
        <w:t>211,остаток</w:t>
      </w:r>
      <w:proofErr w:type="gramEnd"/>
      <w:r w:rsidRPr="008127F8">
        <w:rPr>
          <w:rFonts w:ascii="Times New Roman" w:hAnsi="Times New Roman"/>
          <w:color w:val="000000" w:themeColor="text1"/>
          <w:sz w:val="16"/>
          <w:szCs w:val="16"/>
        </w:rPr>
        <w:t xml:space="preserve"> на 1 августа – 144…</w:t>
      </w:r>
    </w:p>
    <w:p w14:paraId="25CFC960"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 август 1942 года – 400 БА-64, принято за месяц – 400 (из них 99 радийных), остаток от июля – 144, отгружено за август – 269 (из них 68 радийных), остаток на 1 сентября – 275, из них 62 радийных)…</w:t>
      </w:r>
    </w:p>
    <w:p w14:paraId="2F6D26AB"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на октябрь 1942 года – 400 БА-64 (200 радийных), принято за месяц – 400 (из них 200 радийных), остаток от сентября – 237 (62 радийных), отгружено за октябрь – 344 (из них 131 радийный), остаток на 1 ноября – 293 (из них 131 радийный)» (15218).</w:t>
      </w:r>
    </w:p>
    <w:p w14:paraId="097129D8" w14:textId="77777777" w:rsidR="006458D8" w:rsidRPr="008127F8" w:rsidRDefault="006458D8" w:rsidP="001E0A84">
      <w:pPr>
        <w:widowControl w:val="0"/>
        <w:spacing w:after="0" w:line="240" w:lineRule="auto"/>
        <w:jc w:val="both"/>
        <w:rPr>
          <w:rFonts w:ascii="Times New Roman" w:hAnsi="Times New Roman"/>
          <w:color w:val="000000" w:themeColor="text1"/>
          <w:sz w:val="16"/>
          <w:szCs w:val="16"/>
        </w:rPr>
      </w:pPr>
    </w:p>
    <w:p w14:paraId="555EEE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Миассе на выросшем среди леса автомоторном заводе (ныне "УралАЗ") началось производство двигателей и коробок передач ЗИС-5, в июле стал давать кованые и штампованные детали и заготовки Челябинский завод кузнечно-прессового оборудования, а в первом полугодии 1942 г. развернул производство карбюраторов, радиаторов и других узлов систем питания, охлаждения и смазки Шадринский автоагрегатный завод. Сборку грузовиков из эвакуированного вместе с оборудованием задела деталей в мае 1942 г. освоил Ульяновский филиал ЗИСа ("УльЗИС", впоследствии УАЗ). "Катюша": установка БМ-13 на шасси ЗИС-6. И. А. Лихачев в годы войны фактически стал директором производственного объединения ЗИС, предприятия которого работали в пяти городах. 1942 В дальнейшем часть оборудования из Ульяновска и других городов реэвакуировали в Москву, где ЗИС с июня 1942 г. возобновил выпуск грузовиков. Позже оставшаяся часть оборудования из Ульяновска поступила в Миасс, где на базе автомоторного завода был образован Уральский филиал ЗИСа - "УралЗИС" (12098).</w:t>
      </w:r>
    </w:p>
    <w:p w14:paraId="35DE62F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7E1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филиалу завода № 575 присвоили название ГС завод № 562 НКБ.</w:t>
      </w:r>
    </w:p>
    <w:p w14:paraId="0AF1D63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осуществлял производство баллиститного пороха, шашек к снарядам М-13 и М-8, зарядов к минометам, противотанковые мины ТМБ-2, ТМ-35, ЯМ-5, гранаты РГД, ВВ и др. </w:t>
      </w:r>
    </w:p>
    <w:p w14:paraId="7AB32B5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оборудование по изготовлению запалов и снаряжению РГД-33 передано на завод № 11 НКБ. Оборудование по снаряжению 76-мм снарядов и 82-мм мин передано на завод № 568 НКБ. В 06.1943 г. оборудование по снаряжению мин ТМБ-2 передано заводу № 538 НКБ.</w:t>
      </w:r>
    </w:p>
    <w:p w14:paraId="4693312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 время ВОВ на заводе существовало КБ (возглавлял А.Н. Сладков). </w:t>
      </w:r>
    </w:p>
    <w:p w14:paraId="17D273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 </w:t>
      </w:r>
    </w:p>
    <w:p w14:paraId="7FA89B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(26.11.1941-28.09.1942 г.)- М.З. Тененбаум, (09.1942-44 г.-)- А.П. Закощиков (одновременно был директором НИИ-6). </w:t>
      </w:r>
    </w:p>
    <w:p w14:paraId="0259DA9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(1941 г.)- А.Н. Рабинович, (-1942-44 г.-)- С.М. Голубков. </w:t>
      </w:r>
    </w:p>
    <w:p w14:paraId="4C22DC8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(ВОВ)- Л.А. Смирнов.55,56 </w:t>
      </w:r>
    </w:p>
    <w:p w14:paraId="7073A19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562 НКБ, ГС завод НИИ № 6 </w:t>
      </w:r>
    </w:p>
    <w:p w14:paraId="1F0B916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(10776).</w:t>
      </w:r>
    </w:p>
    <w:p w14:paraId="19D4D03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58F20"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года на предприятии была запущена четвертая мартеновская печь, в июне 1943 года - печь №5, а шестая вступила в строй в начале 1945 года. В конце 1944 года была построена третья домна, на которой было использовано оборудование, эвакуированное с Новотульского металлургического комбината. К концу войны для запуска были подготовлены еще два мартена, однако в эксплуатацию их ввели уже после ее окончания – в 1948 и 1949 годах соответственно. Непростую ситуацию с железорудным сырьем НТМК отчасти удалось решить в 1942-1943 годах году за счет разработки Высокогорского месторождения и ввода в строй двух агломашин, эвакуированных из Керчи (совокупной мощностью до 1 млн. тонн агломерата в год). </w:t>
      </w:r>
    </w:p>
    <w:p w14:paraId="4B9085BB"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Всего в 1942-1944 годах на достройку завода было потрачено около 460 млн. рублей. К началу 1945 года строительные организации НКВД сдали Наркомчермету предприятие годовой мощностью почти в 1 млн. тонн чугуна и около 450 тыс. тонн стали, обладавшее 2 коксовыми батареями и 2 электротурбинами (из них одна </w:t>
      </w:r>
      <w:r w:rsidRPr="008127F8">
        <w:rPr>
          <w:rFonts w:ascii="Times New Roman" w:hAnsi="Times New Roman"/>
          <w:color w:val="000000" w:themeColor="text1"/>
          <w:sz w:val="16"/>
          <w:szCs w:val="16"/>
        </w:rPr>
        <w:lastRenderedPageBreak/>
        <w:t>была поставлена из США) мощностью по 25 тыс. кВтч каждая. Всего в 1941-1945 годах НТМК произвел 4,3 млн. тонн чугуна, 0,925 млн. тонн стали и 530 тыс. тонн проката. В 1945 году, по официальной информации, комбинат произвел 965 тыс. тонн чугуна, 433 тыс. тонн стали и 170 тыс. тонн проката.</w:t>
      </w:r>
    </w:p>
    <w:p w14:paraId="02673F3D"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Смены в мартеновском цехе НТМК длились во время войны по 12 часов, а сократить их благодаря автоматике не удалось, поскольку из-за сильной захламленности и загазованности помещения (не были продуманы системы принудительного отвода газов и уплотнение в печах) автоматику поставили только на два мартена из шести. Из-за дефицита рабочей силы на НТМК стали допускать до работ в горячем цехе женщин (так, первой женщиной-горновой в СССР стала Фаина Шарунова) (11514).</w:t>
      </w:r>
    </w:p>
    <w:p w14:paraId="4DF1B4A4"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4CABDB3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ответственный контролер Комиссии партийного контроля при ЦК ВКП(б) Александр Константинович Байбаков (как говорится в некоторых источниках, старший брат Н. К. Байбакова) составил справку для председателя КПК А. А. Андреева и зампреда Совнаркома СССР Н. А. Вознесенского.</w:t>
      </w:r>
    </w:p>
    <w:p w14:paraId="78066D9A"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«СНК СССР и ЦК ВКП(б),— говорилось в документе,— постановлениями от 25.VII.1940 года и от 8.VII.1941 года обязали Наркомнефть построить в г. Грозном завод №85 отвержденных жидких и газовых топлив с вводом в эксплуатацию первой очереди завода на 2500 тонн к 1 .Х-1941 года и второй очереди на 7500 тонн в IV кв. 1941 года. Одновременно постановлением от 25.VII.1940 года СНК СССР и ЦК ВКП(б) обязали Наркомсредмаш изготовить 5 опытных экземпляров автомашин для работы на газовых и бензиновых брикетах, а Наркомавиапром и Наркомат обороны — провести государственные испытания по применению высокооктанового твердого газа и твердого бензина на танке и на определенном типе самолета. Строительство завода №85 начато было в 1940 году. Первая очередь закончена в сентябре 1941 года, и тогда же была получена первая партия отверженного газа и бензина».</w:t>
      </w:r>
    </w:p>
    <w:p w14:paraId="29A7A0DC"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Правда, приближение врага к Грозному приостановило работу завода:</w:t>
      </w:r>
    </w:p>
    <w:p w14:paraId="1ED2F1C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связи с военной обстановкой завод №85 был демонтирован и частично вывезен из г. Грозного. После прекращения эвакуации заводов из г. Грозного Нарком нефтяной промышленности т. Седин приказом по наркомату от </w:t>
      </w:r>
      <w:proofErr w:type="gramStart"/>
      <w:r w:rsidRPr="008127F8">
        <w:rPr>
          <w:rFonts w:ascii="Times New Roman" w:hAnsi="Times New Roman"/>
          <w:color w:val="000000" w:themeColor="text1"/>
          <w:sz w:val="16"/>
          <w:szCs w:val="16"/>
        </w:rPr>
        <w:t>28.Х</w:t>
      </w:r>
      <w:proofErr w:type="gramEnd"/>
      <w:r w:rsidRPr="008127F8">
        <w:rPr>
          <w:rFonts w:ascii="Times New Roman" w:hAnsi="Times New Roman"/>
          <w:color w:val="000000" w:themeColor="text1"/>
          <w:sz w:val="16"/>
          <w:szCs w:val="16"/>
        </w:rPr>
        <w:t>11-1941 года определил срок восстановления завода №85 — 1.ПМ942 г. и сообщил в КПК о том, что с этого времени наркомат может начать поставку отвержденного топлива. Нашей проверкой через Уполномоченного КПК по Чечено-Ингушской АССР была установлена возможность закончить восстановление завода не к 1.ГЧ а к 15.11-1942 года, и в результате принятых мер завод №85 к этому сроку был восстановлен на полную его проектную мощность 10 тыс. тонн отвержденного топлива в год и с 18.II-1942 года приступил к выпуску своей продукции».</w:t>
      </w:r>
    </w:p>
    <w:p w14:paraId="1D919784"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писал А. К. Байбаков, производство без особых проблем можно было расширить:</w:t>
      </w:r>
    </w:p>
    <w:p w14:paraId="756E55FA"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«Установлено также, что благодаря наличию резерва электроэнергии, пара, воды, сырьевого парка, насосных и компрессорных — имеется полная возможность вдвое увеличить производительность завода №85, на что потребуется около одного миллиона рублей при стоимости построенного уже завода в 10 млн. рублей».</w:t>
      </w:r>
    </w:p>
    <w:p w14:paraId="24E54C6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вся готовая продукция без движения лежала на складах завода №85:</w:t>
      </w:r>
    </w:p>
    <w:p w14:paraId="0BB123E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«Наркомат нефтяной промышленности сообщил в КПК при ЦК ВКП(б), что продукция завода №85 до сих пор не имеет потребителей и что первая партия отвержденного газа и бензина в количестве 100 тонн, выданная заводом еще в 1941 году, лежит на складах и до самых последних дней не используется. Такое положение с применением отвержденного топлива является следствием того, что Управление снабжения горючим Красной Армии, Наркомсредмаш и Наркомавиапром не довели до конца начатые ими работы по определению возможности применения отвержденных топлив в автотранспорте, бронетанковых частях и авиации РККА».</w:t>
      </w:r>
    </w:p>
    <w:p w14:paraId="25BAFA89"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говорилось в справке, различные ведомства не подготовились к использованию твердого бензина:</w:t>
      </w:r>
    </w:p>
    <w:p w14:paraId="112A144B"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в июне 1941 года Управление снабжения горючим Красной Армии совместно с Главным автобронетанковым управлением произвели государственные испытания танка Т-26 на отвержденном бензине. Испытания показали практическую возможность питания танка Т-26 этим видом топлива, но, так как при существующей конструкции танка Т-26 невозможно поместить в топливном баке отвержденного топлива такое же количество, как жидкого бензина, радиус действия танка сокращается в 2-2,5 раза. На этом основании Управление снабжения горючим Красной Армии нашло нецелесообразным перевод существующих танков на отвержденный бензин. Вместе с тем было установлено, что в случае проектирования нового танка с бензиновым двигателем или двигателем, работающим на газе, целесообразно включить в тактико-техническое задание требование установки на танке аппарата для регенерации твердого бензина или газа. Однако в этой части никаких работ не проводилось и не проводится».</w:t>
      </w:r>
    </w:p>
    <w:p w14:paraId="16592F6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Похожая картина складывалась и по автомобилям:</w:t>
      </w:r>
    </w:p>
    <w:p w14:paraId="767C580F"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«Наркомсредмаш провел испытания твердого бензина на автомашинах со специально изготовленными к ним регенераторами. Была доказана практическая возможность питания автомотора этим видом топлива, но работы в этом направлении не доведены до конца».</w:t>
      </w:r>
    </w:p>
    <w:p w14:paraId="1B4B28E5"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лучше обстояло дело и в Наркомате авиационной промышленности:</w:t>
      </w:r>
    </w:p>
    <w:p w14:paraId="2D6C8CF8"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Главное Управление НКАП провело испытания отвержденного газа на самолете „СБ". Испытания показали, что в силу невозможности разместить на самолете твердого газа такое же количество, как жидкого бензина, дальность полета самолета сокращается на 30%. За счет установки на самолете агрегатов для регенерации отвержденного топлива создается дополнительный вес самолета до 500 кг. Заправка самолета отвержденным газом неудобна и проходит медленно. На этом основании 8 Главное Управление Наркомавиапрома считает, что применение отвержденного газа на самолете особых преимуществ не дает, находит возможным использовать отвержденный газ на заводских испытательных станциях, но до сих пор не применяет его».</w:t>
      </w:r>
    </w:p>
    <w:p w14:paraId="3868CD47"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Ответственный контролер Байбаков как мог пытался спасти проект Наркомнефти. К примеру, он напоминал о еще одном варианте применения отвержденного бензина — когда его доставляют в твердом состоянии до места назначения, а затем переводят в жидкое состояние и заправляют технику:</w:t>
      </w:r>
    </w:p>
    <w:p w14:paraId="2797E5B3"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«Что особенно важно, отвержденные бензины и газы могут быть применены в автотранспорте, автобронетанковых и авиачастях РККА без какого-либо переоборудования боевых и транспортных машин при наличии специальных регенерационных установок полевого типа на аэродромах и полевых автобазах. Однако и в этой части начатые работы также остались незаконченными. Так, СНК СССР и ЦК ВКП(б) постановлением от </w:t>
      </w:r>
      <w:proofErr w:type="gramStart"/>
      <w:r w:rsidRPr="008127F8">
        <w:rPr>
          <w:rFonts w:ascii="Times New Roman" w:hAnsi="Times New Roman"/>
          <w:color w:val="000000" w:themeColor="text1"/>
          <w:sz w:val="16"/>
          <w:szCs w:val="16"/>
        </w:rPr>
        <w:t>25.УИ</w:t>
      </w:r>
      <w:proofErr w:type="gramEnd"/>
      <w:r w:rsidRPr="008127F8">
        <w:rPr>
          <w:rFonts w:ascii="Times New Roman" w:hAnsi="Times New Roman"/>
          <w:color w:val="000000" w:themeColor="text1"/>
          <w:sz w:val="16"/>
          <w:szCs w:val="16"/>
        </w:rPr>
        <w:t>-1941 года предложили Наркомнефти построить опытный экземпляр регенерационной бензиновой станции на грузовой автомашине для аэродромов и полевых автобаз. Наркомнефть изготовил такую регенерационную станцию и еще 1.У-1941 г. передал ее для испытания в Управление Военно-Воздушных сил РККА, где она находится до сих пор и не испытана. В последнее время в Автотракторном институте Наркомсредмаша при участии Автодорожного Управления при НКО закончены испытания опытного образца регенерационной установки конструкции инженера Кузина. Данные испытания показывают возможность применения этой конструкции регенератора на аэродромах и полевых автобазах. Изготовление же промышленного образца регенератора и тем более серийный выпуск последнего Автотракторный институт осуществить не в состоянии из-за отсутствия производственной базы».</w:t>
      </w:r>
    </w:p>
    <w:p w14:paraId="0953D3C1" w14:textId="77777777" w:rsidR="00882234" w:rsidRPr="008127F8" w:rsidRDefault="00882234"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Байбаков предлагал целый ряд мер для того, чтобы продукция завода №85 могла хоть как-то использоваться. Но документ после изучения списали в архив. Очевидно, как и весь не оправдавший больших ожиданий проект отверждения бензина (12153).</w:t>
      </w:r>
    </w:p>
    <w:p w14:paraId="6FEF50C7" w14:textId="77777777" w:rsidR="00882234" w:rsidRPr="008127F8" w:rsidRDefault="00882234" w:rsidP="001E0A84">
      <w:pPr>
        <w:spacing w:after="0" w:line="240" w:lineRule="auto"/>
        <w:jc w:val="both"/>
        <w:rPr>
          <w:rFonts w:ascii="Times New Roman" w:hAnsi="Times New Roman"/>
          <w:color w:val="000000" w:themeColor="text1"/>
          <w:sz w:val="16"/>
          <w:szCs w:val="16"/>
        </w:rPr>
      </w:pPr>
    </w:p>
    <w:p w14:paraId="4AFACEF0"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завод Светлана возобновил производственную деятельность, в т.ч. начались работы и по восстановлению выпуска электровакуумных приборов2. Для этого были использованы остатки не вывезенного оборудования, которое собиралось из лабораторий, складов, эстакад и даже свалки. На первом этапе осуществлялась регенерация (восстановление) негодных и испорченных приборов в лабораторных условиях и доделка незавершенного производства.</w:t>
      </w:r>
    </w:p>
    <w:p w14:paraId="12E1B5B7"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1942 г. на «Светлане» была выпущена первая вакуумная продукция3. В это время число работников, задействованных на этом производстве, составляла 19% от списочного состава.</w:t>
      </w:r>
    </w:p>
    <w:p w14:paraId="7804EFDD"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1942 г. на заводе работали вакуумные участки в двух цеха. В цехе № 65 осуществлялась регенерация семи типов генераторных ламп по заказам управления связи Ленинградского фронта и Ленинградской армии ПВО. Цех № 1 был оборудован двумя линейками вакуумных приборов. Первая из них занималась производством осветительных и миниатюрных электрических ламп, выпуск которых в довоенный период был свернут, но военное время настоятельно потребовало его возобновления. Вторая линейка в соответствии с решением Военного совета фронта выпускала приемно-усилительные малогабаритные радиолампы самых распространенных типов - 2К2М и 2П4М (18297).</w:t>
      </w:r>
    </w:p>
    <w:p w14:paraId="7072EEF0"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04455E8F"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Постановлением ГКО № 1521 начальнику СКБ-НКСП предлагалось организовать разработку "самонаводящейся акустической торпеды САТ, автоматически меняющей свой курс под действием шума корабля-цели и обеспечивающей обязательное попадание во вражеское судно без точного прицельного огня" (9921).</w:t>
      </w:r>
    </w:p>
    <w:p w14:paraId="744940AE" w14:textId="77777777" w:rsidR="00BE3C69" w:rsidRPr="008127F8" w:rsidRDefault="00BE3C69" w:rsidP="001E0A84">
      <w:pPr>
        <w:autoSpaceDE w:val="0"/>
        <w:autoSpaceDN w:val="0"/>
        <w:adjustRightInd w:val="0"/>
        <w:spacing w:after="0" w:line="240" w:lineRule="auto"/>
        <w:jc w:val="both"/>
        <w:rPr>
          <w:rFonts w:ascii="Times New Roman" w:hAnsi="Times New Roman"/>
          <w:color w:val="000000" w:themeColor="text1"/>
          <w:sz w:val="16"/>
          <w:szCs w:val="16"/>
        </w:rPr>
      </w:pPr>
    </w:p>
    <w:p w14:paraId="39433DE9"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3AAE04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6B96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1-й ГМТАП получил шесть ДБ-3Ф, а в мае - 10, ставших единственными за время войны пополнением ВВС КБФ самолетами данного типа, полученными от промышленности! Все это позволило с началом очередной навигации приступить к активным действиям, в том числе и на морском направлении (9965).</w:t>
      </w:r>
    </w:p>
    <w:p w14:paraId="1378C2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99B5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генерал-лейтенант Д.Д. Грендель, заместитель начальника штаба ВВС по разведке, договорился о получении четырех машин Ту-2 для проведения войсковых испытаний. Их должны были вести во 2-м полку дальней разведки. Эта часть осуществляла стратегическую фоторазведку в интересах Ставки Верховного Главнокомандования. 22 мая группа, отобранная из летного и технического состава 1-й эскадрильи, во главе с майором А.С. Рудкевичем отправилась в Омск.</w:t>
      </w:r>
    </w:p>
    <w:p w14:paraId="435903F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Освоив самолеты, их перегнали на подмосковный аэродром Монино. Туда все четыре Ту-2 прилетели 30 октября. Это были обычные бомбардировщики, так как специального варианта разведчика еще не существовало. В Монино мастерские оснастили самолеты фотоаппаратурой, дополнительные бензобаки не устанавливали.</w:t>
      </w:r>
    </w:p>
    <w:p w14:paraId="48FAE14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1-я эскадрилья базировалась на уже упоминавшемся аэродроме Мигалово. Впервые их задействовали в декабре 1942 г. во время боев под Демянском, где попала в "котел" большая группировка немецких войск. Позиции немцев было предписано фотографировать ежедневно. Пе-2 и Пе-3, отправляемые на задания, несли большие потери. Положение решили поправить, направив в этот район Ту-2. Первый вылет состоялся 30 декабря. Самолет-разведчик сопровождали пять истребителей. На маршруте им встретились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неизвестно куда. Командиру эскорта, грубо говоря, светил трибунал. С тяжелым сердцем он повел группу назад.</w:t>
      </w:r>
    </w:p>
    <w:p w14:paraId="5BA0DE2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ему повезло. Разведчик вернулся и привез фотографии. На радостях истребителей простили. Ту-2 стали летать регулярно, в том числе и без прикрытия. Работали обычно одиночными самолетами с передовых аэродромов, отстоявших на 70 - 100 км от линии фронта.</w:t>
      </w:r>
    </w:p>
    <w:p w14:paraId="45780A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Отзывы летчиков-разведчиков в целом повторяли то же, что говорили их коллеги в бомбардировочных полках: радиус действия в полтора- два раза больше, чем у Пе-2, выше скорость на малых и средних высотах, двигатели воздушного охлаждения обеспечивают лучшую живучесть, мощное вооружение дает хорошую обороноспособность, самолет без труда летит на одном моторе. А жаловались на недостаточную надежность двигателей и гидравлики (11988).</w:t>
      </w:r>
    </w:p>
    <w:p w14:paraId="2928C2F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D568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апреля 1942 г. Ставка ВГК обеспечивалась разведывательной информацией, поступавшей от трех специализированных полков (иногда их называли "дивизией разведчиков ВГК", хотя все они оставались отдельными). В конце 1944 г. таких полков стало четыре. В разное время "пешки" составляли от 50 до 90% самолетного парка "орапов" и являли собой фактически становой хребет разведывательной авиации в той же мере, в какой бомбардировщики Пе-2 были основой фронтовой бомбардировочной авиации.</w:t>
      </w:r>
    </w:p>
    <w:p w14:paraId="2F7E359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летавших на этих машинах можно назвать гвардейские части: 47-й, 48-й, 98-й апр ГК и 99-й орап, почти все остальные стали либо краснознаменными, либо получили почетные наименования. Широкую известность и уважение заслужили в годы войны авиаторы 118-го и 15-го гвардейского полков авиации ВМФ. Роль разведывательных авиационных частей в проведении различных операций Красной Армии очень велика. Например, перед началом контрнаступления под Сталинградом авиационная фоторазведка сумела подготовить и размножить подробнейшую фотосхему расположения войск противника, на которой были нанесены несколько тысяч объектов - пулеметных точек, дотов и дзотов, минометных и артиллерийских позиций, танков в окопах и пр. Только один экипаж майора П. Гаврилова из 99-го гв. орап за 10 дней до начала Курской битвы за 20 вылетов отснял площадь в 625 км кв.</w:t>
      </w:r>
    </w:p>
    <w:p w14:paraId="17DBB27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Пе-2 как разведчик продемонстрировал высокую эффективность и живучесть. Например, в 3-й воздушной армии в 1943 г. один разведчик теряли на 82,5 само- лета-вылета, что является достаточно неплохим показателем. Причем их основным противником были немецкие истребители, поскольку огонь зенитной артиллерии почти не представлял опасности для одиночного самолета, свободного в маневре. Разведчики, как правило, старались уклониться от боя с истребителями противника. В большинстве случаев, применяя оружие и маневр, Пе-2 уходил от перехвата одиночным "мессершмиттом" или "фокке-вульфом".</w:t>
      </w:r>
    </w:p>
    <w:p w14:paraId="625923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строевых частей поступали предложения, направленные на повышение живучести и обороноспособности, особенно важных для действующего в одиночку разведывательного самолета, такие, как усовершенствование системы нейтрального газа, установка прозрачной брони в стрелковой точке штурмана, замена левого ШКАСа на второй УБК и т.д. Пе-2 поздних серий в варианте разведчика имел слишком малую площадь остекления носовой части фюзеляжа. В донесениях из полков отмечались также чисто производственные дефекты фотоаппаратуры, подгонки отдельных частей и т.п. Так, в уже упоминавшейся 3-й воздушной армии в качестве недостатка отмечали, что АФА-1 выступают за створки бомбоотсека, создавая дополнительное сопротивление. На пыльных аэродромах объективы АФА при взлете нередко забрызгивались грязью, а специальных щитков на фотолюках конструкторы не предусмотрели. Тем не менее никаких кардинальных изменений в разведывательном варианте Пе-2 не внедрили, ограничившись внесением тех же усовершенствований, что и на шедших параллельно по конвейеру бомбардировщиках. Немногочисленные серийные самолеты Пе-2 с моторами М-82Ф были переданы преимущественно в разведывательные полки (12042).</w:t>
      </w:r>
    </w:p>
    <w:p w14:paraId="10B26F9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FA1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самолет "Бостон" А-20 794-го полка, несший бортовой номер "6", на котором поставили отечественный фотоаппарат АФА-27, совершил два вылета па съемку порта в Трапезунде. Впоследствии таких переделок стало много. Бостоны-разведчики имелись и в специальных разведывательных, и в обычных бомбардировочных полках. При переоборудовании в разведчик в бомбоотсеке монтировался дополнительный бензобак. Фотоаппаратура (камеры типов АФА 1, АФА-Б, НАФА-13 и НАФА-19, а также американские) ставилась в кабине стрелка-радиста и частично в бомбоотсеке. Первоначально в качестве разведчиков использовали Б-3, а затем А-20В, обладавший большей скоростью, впоследствии же нередко применяли А-20G, отличавшиеся хорошей обороноспособностью. В 1944-1945 годах отдельные экипажи летали на A 20J. На этой модификации, предназначенной на роль самолета-лидера групп А-20G, опять вернулись к размещению штурмана в носовой кабине, но уже иначе остекленной и лучше оборудованной. Выдающимся воздушным разведчиком являлся Герой Советского Союза Г.И.Лашин из 861-го полка. Его "Бостон" с красной "четверкой" на хвосте фотографировал Констанцу, Сулин, Плоешти, Бухарест. Над последним его подбили зенитчики, а затем атаковали истребители. Штурмана ранило осколками, но самолет благополучно доставил домой пленки с бесценными кадрами. Над Софией наши летчики сами сбили вражеский истребитель. На счету Лашина далее появились снимки Афин, Белграда, Будапешта. В Будапеште он попутно парой "соток" разбомбил мост и вернулся домой на одном левом моторе. Только крупных пробоин в самолете тогда насчитали 37. При съемке Вены пилот огнем носовых пулеметов поджег атаковавший советский разведчик истребитель FW 190 (3457,105).</w:t>
      </w:r>
    </w:p>
    <w:p w14:paraId="5D9E831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913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на фронте находились 82 П-5 и П Р-5. Кроме обычных рейсов к фронту и от фронта они также обеспечивали связь с партизанскими отрядами и доставку разведгрупп в тыл врага. Способы были разными: посадка за линией фронта или сброс на парашютах. В 5-м транспортном полку для этой цели использовали кассеты Г-61. За один раз П-5 вывозил четверых десантников. В плохую погоду парашютисты прыгали даже с высоты 100-150 м. Разведгруппы забрасывались порой очень далеко, в Северную Норвегию (через Финляндию) - до шести - восьми часов полета. В Карелии зимой 1941/42 гг. летчик Карабанов садился с разведчиками на ПР-5 на замерзших озерах. Возродили и старый прием с "кошкой", подхватывая ею донесения, подвешенные на веревке между двух шестов. Связь с партизанами держали летчики Западной, Северокавказской, Закавказской и других авиагрупп ГВФ. В Закавказской группе П Р-5 оборудовали дополнительными баками, при этом дальность полета превысила 1000 км (12034).</w:t>
      </w:r>
    </w:p>
    <w:p w14:paraId="4E15B94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70DCC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не совсем обычным путем в СССР попал один из "Митчеллов". Это был самолет того самого капитана Порка, который когда-то радушно принимал в своей эскадрилье советских летчиков. Он участвовал в знаменитом рейде Дулиттла на Токио. 16 бомбардировщиков стартовали с палубы авианосца "Хорнет" и в день рождения японского императора отбомбились по целям в Токио, Иокогаме, Кобе и Нагое. Предполагалось, что либо самолеты сядут в Китае, либо экипажи выбросятся на парашютах в районе, где патрулировали американские подводные лодки. Это удалось не всем. Порк выбрал другой вариант - он сел под Владивостоком. В-25 В Порка (№ 40-2242) был нестандартным - с урезанными крыльями, неполным комплектом оборудования и без хвостовой турели (заменена деревянным макетом), зато с дополнительным бензобаком. Самолет изучался летчиками ВВС Тихоокеанского флота и облетывался ими. Из Унашей, где он сел, его перегнали на аэродром Семеновка, а затем, но приказу, - в Москву, в 65-й авиаполк особого назначения (3457,94).</w:t>
      </w:r>
    </w:p>
    <w:p w14:paraId="2ED2F3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8E4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года первые три (по другим данным - четыре) В-25С передали 37-му бомбардировочному полку подполковника Катаржина. Эту часть перевели с Дальнего Востока на подмосковный аэродром Монино. Изучать новую технику помогали специалисты НИИ ВВС (которые и перегнали машины из Басры) и Бюро новой техники ЦАГИ. Один самолет для лучшего ознакомления разобрали. В полк перевели некоторых членов группы Громова, изучавших В-25 в США - летчиков, штурманов, инженеров. ЦАГИ имел в изучении машины свой интерес - "Митчелл" наглядно демонстрировал достижения американской технологии самолетостроения. Были составлены подробные описания В-25, проанализированы все основные элементы конструкции. В американском бомбардировщике было чему поучиться, в частности, его приспособленности к крупносерийному выпуску. В отчете ЦАГИ записано: "...схема разбивки обеспечивает широкий фронт работы и, очевидно, имеет основной целью обеспечение массовости производства". 13 нюне 1942 года один В-25С прошел полную программу государственных испытаний в НИИ ВВС, получил очень хорошие отзывы. Прибывшие в Монино бомбардировщики подверглись переоборудованию, поскольку у американцев в экипаж входили отдельно бомбардир (в носовой кабине) п отдельно штурман, сидевший за пилотами. У нас обе функции совмещал штурман и для него в носовую часть переносились все навигационные приборы. Устаревший бомбовый прицел "Вимперис", которыми комплектовали экспортные В-25, у нас снимали, заменяя отечественным ОПБ-1. Для повышения боевой живучести ввели систему наддува баков нейтральным газом. Переделку машин вели завод No 156 и рембаза ВВС в Монино. Наши экипажи в первую очередь отмечали высокие пилотажные качества В-25. Он был доступен среднему летчику, не имел существенных недостатков во взлетно-посадочных характеристиках, путевой устойчивости, маневренности (последнее конечно, с учетом веса п размеров машины). Вот что писал летчик-испытатель Н.Н. Шелест: "Трехколесное шасси давало отменный обзор на рулении, безупречную маневренность на земле, делало самолет В-25 весьма мобильным при движении по бетону, при выруливании на старт, отруливании с посадочной полосы". Взлет, посадка и полет на "Митчелле" были проще, чем на Ил-4. "Самолет на разбеге устойчив. Никаких тенденций к разворотам не имеет и хорошо слушается рулей поворота", - записано в советской </w:t>
      </w:r>
      <w:proofErr w:type="gramStart"/>
      <w:r w:rsidRPr="008127F8">
        <w:rPr>
          <w:rFonts w:ascii="Times New Roman" w:hAnsi="Times New Roman"/>
          <w:color w:val="000000" w:themeColor="text1"/>
          <w:sz w:val="16"/>
          <w:szCs w:val="16"/>
        </w:rPr>
        <w:t>инструкции</w:t>
      </w:r>
      <w:proofErr w:type="gramEnd"/>
      <w:r w:rsidRPr="008127F8">
        <w:rPr>
          <w:rFonts w:ascii="Times New Roman" w:hAnsi="Times New Roman"/>
          <w:color w:val="000000" w:themeColor="text1"/>
          <w:sz w:val="16"/>
          <w:szCs w:val="16"/>
        </w:rPr>
        <w:t xml:space="preserve"> но пилотированию этой машины. Мощные, надежные моторы п прочное шасси позволяли взлетать даже с довольно глубокого снега с полной нагрузкой. Все это позволяло летчикам быстро переучиваться на новую машину. Переподготовка зачастую велась без отрыва от боевой работы. Даже не очень опытный летчик мог изучить В-25 за несколько дней. Самолет неплохо управлялся даже при полете па одном двигателе. "Нагрузка на рули поворота при полете с одним работающим мотором снимается триммерами полностью", - гласила инструкция. На Ил-4 в подобной ситуации включали второе управление у штурмана, который начинал давить на педаль, помогая пилоту. При нормальной бомбовой нагрузке н подвеске дополнительных баков В-25 при отказе мотора мог не только удерживать высоту, но н набирать ее. Известно множество случаев благополучного </w:t>
      </w:r>
      <w:r w:rsidRPr="008127F8">
        <w:rPr>
          <w:rFonts w:ascii="Times New Roman" w:hAnsi="Times New Roman"/>
          <w:color w:val="000000" w:themeColor="text1"/>
          <w:sz w:val="16"/>
          <w:szCs w:val="16"/>
        </w:rPr>
        <w:lastRenderedPageBreak/>
        <w:t xml:space="preserve">возвращения подбитых В-25 па одном двигателе. А когда у пилота С.M.Антонова из 8-го полка мотор вышел из строя вскоре после взлета, па оставшемся он долетел до цели, сбросил бомбы па немецкие эшелоны в Орле и вернулся на базу. Американский бомбардировщик не изматывал нилотов, как наш неустойчивый Ил-4, на котором практически ни на секунду нельзя было бросить штурвал. "Отрегулированный триммерамп, самолет сам стремится сохранять заданное положение или восстанавливать </w:t>
      </w:r>
      <w:proofErr w:type="gramStart"/>
      <w:r w:rsidRPr="008127F8">
        <w:rPr>
          <w:rFonts w:ascii="Times New Roman" w:hAnsi="Times New Roman"/>
          <w:color w:val="000000" w:themeColor="text1"/>
          <w:sz w:val="16"/>
          <w:szCs w:val="16"/>
        </w:rPr>
        <w:t>его, в случае, если</w:t>
      </w:r>
      <w:proofErr w:type="gramEnd"/>
      <w:r w:rsidRPr="008127F8">
        <w:rPr>
          <w:rFonts w:ascii="Times New Roman" w:hAnsi="Times New Roman"/>
          <w:color w:val="000000" w:themeColor="text1"/>
          <w:sz w:val="16"/>
          <w:szCs w:val="16"/>
        </w:rPr>
        <w:t xml:space="preserve"> какая-то причина вывела его из этого положения", - это из отчета по испытаниям B-25D. Кабина пилотов оснащалась полным комплексом пилотажно-навигационных и контрольных приборов того времени, была просторной, светлой, теплой, комфортабельной. Шкалы приборов удобно подсвечивались ультрафиолетовыми лампами. На самом современном уровне находилось радиооборудование, включавшее автоматический радиокомпас. Машина была прекрасно защищена стрелковым вооружением. Практически с любого направления врага встречали очереди крупнокалиберных пулеметов. Имелись только две "мертвые зоны" - узкие сектора, примерно под 45 градусов к оси самолета, в нижней полусфере. Вооружение "Митчелла" наглядно демонстрировало свою эффективность. Например, экипаж А.И.Молодчего за полтора года полетов на В-25 сбил пять вражеских истребителей. Относительные потери В-25 в расчете на один боеспособный самолет за 1944 года были в 2,2 раза ниже, чем у Ил-4, причем американские бомбардировщики использовались более интенсивно, чем отечественные. Самолет имел большую бомбовую нагрузку (2000 кг, а в перегрузочном варианте - до 3000 кг). В емком бомбоотсеке размещались любые советские авиабомбы до ФАБ-500 включительно, американские весом от 100 до 1000 фунтов и трофейные </w:t>
      </w:r>
      <w:proofErr w:type="gramStart"/>
      <w:r w:rsidRPr="008127F8">
        <w:rPr>
          <w:rFonts w:ascii="Times New Roman" w:hAnsi="Times New Roman"/>
          <w:color w:val="000000" w:themeColor="text1"/>
          <w:sz w:val="16"/>
          <w:szCs w:val="16"/>
        </w:rPr>
        <w:t>немецкие</w:t>
      </w:r>
      <w:proofErr w:type="gramEnd"/>
      <w:r w:rsidRPr="008127F8">
        <w:rPr>
          <w:rFonts w:ascii="Times New Roman" w:hAnsi="Times New Roman"/>
          <w:color w:val="000000" w:themeColor="text1"/>
          <w:sz w:val="16"/>
          <w:szCs w:val="16"/>
        </w:rPr>
        <w:t xml:space="preserve"> но 250 и 500 кг, которые тоже у нас иногда использовались. Туда влезала даже громоздкая кассетная бомба РРАБ-3, которую Ил-4 мог нести только снаружи, теряя 20-30 км/час скорости в горизонтальном полете. На наружных держателях под крылом можно было вешать любые бомбы весом до 250 кг. Правда, замки американских бомбодержателей немного переделывались под наши бомбы для того, чтобы вешать их без передвижки бугелей; дорабатывались и замки "взрыв-невзрыв". Внутренняя лебедка бомбоотсека заменялась советской БЛ-4. Подобные мелкие переделки выполнялись на московском заводе № 156. Неудачно, но сравнению с Ил-4, было решено на В-25 покидание машины в воздухе. Все члены экипажа, находившиеся в носовой части самолета, прыгали по очереди в один люк. При этом штурману надо было с надетым парашютом ползти по узкому лазу в пилотскую кабину, хвостовому стрелку приходилось возвращаться вперед к центру машины. Времени на все эти операции уходило немало. А на Ил-4 каждый член экипажа покидал самолет независимо, через свой люк или фонарь. Разумеется, при эксплуатации В-25 встречались и кое-какие трудности. Как для всех самолетов ленд-лиза, поначалу для В-25 не хватало технических описаний, инструкций и прочей документации. В результате неправильного выбора режимов полета бывали случаи перегрева моторов, неэкономичного расхода горючего, что иногда приводило к вынужденным посадкам. Типичной поломкой было повреждение носовой стойки, встречались отрыв триммеров, отказы моторов и антиобледенительной системы (3457,96).</w:t>
      </w:r>
    </w:p>
    <w:p w14:paraId="34B4261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54BFD"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первые три (по другим данным - четыре) бомбардировщика В-25С передали 37-му бомбардировочному полку. Эту часть перевели с Дальнего Востока на подмосковный аэродром Монино. Изучать новую технику помогали специалисты НИИ ВВС и БНТ ЦАГИ. Один самолет для лучшего ознакомления разобрали. Специалисты БНТ составили подробные описания самолета В-25 и основных элементов конструкции. В американском бомбардировщике было чему поучиться, в частности, его приспособленности к крупносерийному выпуску. В отчете ЦАГИ записано: «...схема разбивки обеспечивает широкий фронт работы и, очевидно, имеет основной целью обеспечение массовости производства». Отмечались и такие «мелочи», как крепление полотна (выпуск № 132): «Крепление полотна к нервюрам рулей посредством винтов «Паркера» представляет некоторый интерес. </w:t>
      </w:r>
      <w:proofErr w:type="gramStart"/>
      <w:r w:rsidRPr="008127F8">
        <w:rPr>
          <w:rFonts w:ascii="Times New Roman" w:hAnsi="Times New Roman"/>
          <w:color w:val="000000" w:themeColor="text1"/>
          <w:sz w:val="16"/>
          <w:szCs w:val="16"/>
        </w:rPr>
        <w:t>Крепление это простое</w:t>
      </w:r>
      <w:proofErr w:type="gramEnd"/>
      <w:r w:rsidRPr="008127F8">
        <w:rPr>
          <w:rFonts w:ascii="Times New Roman" w:hAnsi="Times New Roman"/>
          <w:color w:val="000000" w:themeColor="text1"/>
          <w:sz w:val="16"/>
          <w:szCs w:val="16"/>
        </w:rPr>
        <w:t>, надежное и дает возможность быстро крепить полотно к полкам нервюр. При данном способе получается более гладкая поверхность рулей по контуру дужек». В то же время отмечалось, что «</w:t>
      </w:r>
      <w:proofErr w:type="gramStart"/>
      <w:r w:rsidRPr="008127F8">
        <w:rPr>
          <w:rFonts w:ascii="Times New Roman" w:hAnsi="Times New Roman"/>
          <w:color w:val="000000" w:themeColor="text1"/>
          <w:sz w:val="16"/>
          <w:szCs w:val="16"/>
        </w:rPr>
        <w:t>вырезы</w:t>
      </w:r>
      <w:proofErr w:type="gramEnd"/>
      <w:r w:rsidRPr="008127F8">
        <w:rPr>
          <w:rFonts w:ascii="Times New Roman" w:hAnsi="Times New Roman"/>
          <w:color w:val="000000" w:themeColor="text1"/>
          <w:sz w:val="16"/>
          <w:szCs w:val="16"/>
        </w:rPr>
        <w:t xml:space="preserve"> сделанные в обшивке недостаточны и не обеспечивают удобных... подходов к узлам рулей и триммеров». Изучались также особенности конструкции американских и английских самолетов «Киттигаук», «Мустанг», «Эракобра», «Спитфайр», «Москито» (19727).</w:t>
      </w:r>
    </w:p>
    <w:p w14:paraId="77E125BD"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1371B52E"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командир 1-й автожирной корректировочной эскадрильи (АКЭ) Трофимов составил доклад, в котором подробно анализировались итоги применения машины на фронте.</w:t>
      </w:r>
    </w:p>
    <w:p w14:paraId="0C406062"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августа 1941 года 1-я автожирная корректировочная эскадрилья (АКЭ) убыла на фронт, где находилась до 5 октября. За это время машины шесть раз попадали в аварии. Последняя из них произошла со всё тем же Трофимовым (командиром эскадрильи). В полной темноте он посадил автожир в лес, при этом машина осталась пригодной для дальнейшего ремонта. Существует информация о потере двух автожиров, но в 1942 году их в эскадрилье всё ещё числилось пять штук. Правда, четыре автожира в связи с участием в боевых действиях требовали ремонта.</w:t>
      </w:r>
    </w:p>
    <w:p w14:paraId="1CBE4BB2"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Каких-то выводов об эффективности автожира как корректировщика сделать было невозможно. На фронте эскадрилья не имела полной самостоятельности и из-за слабого прикрытия со стороны истребительных авиаполков работу в качестве корректировщиков фактически не выполняла. Занимались автожиры в основном разведкой и связными функциями, часто в тёмное время суток. На этом основании Трофимов предлагал формировать смешанные эскадрильи, в которые входили бы не только автожиры, но и истребители прикрытия.</w:t>
      </w:r>
    </w:p>
    <w:p w14:paraId="4B6AB911"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в докладе был высказан ряд претензий к конструкции автожира. Амортизация шасси была недостаточной, радиостанция оказалась недостаточно мощной, имевшийся на борту компас часто давал большие ошибки. Отсутствовало нормальное освещение кабины, что осложняло ночные полёты, неудачно была установлена фара. Также пилоты жаловались на отсутствие бомбодержателей, что не позволило использовать осветительные бомбы (18227).</w:t>
      </w:r>
    </w:p>
    <w:p w14:paraId="584A8D01"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все обнаруженные недостатки, командир 1-й АКЭ считал, что А-7-3а вполне подходит для возлагаемых на него задач. Трофимов в своём отчёте указывал, что автожир может пригодиться для поиска подводных лодок, постановки завес, распыления отравляющих веществ и в качестве связного летательного аппарата. Единственный боеготовый автожир активно использовался для учебно-тренировочных целей. За 15 лётных дней с конца февраля 1942 года было проведено 159 полётов, машина налетала почти 27 лётных часов (18227).</w:t>
      </w:r>
    </w:p>
    <w:p w14:paraId="3F10324F"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6B66DD75"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Трофимов получил указание передать оставшиеся автожиры в состав 50-й КАЭ. Правда, для этого требовалось автожиры отремонтировать. Фактически летал только автожир №1, причём с 5 марта и он встал на модернизацию, которая первоначально включала 13 пунктов. Помимо устранения недостатков, отмеченных во время применения на фронте, машины получили усиленное вооружение. Под крылом появились направляющие под четыре РС-82, а также два бомбодержателя под осветительные бомбы САБ-25. Оговаривалось, что при установке РС-82 пулемёт демонтировался. Позже количество РС-82 выросло до шести штук.</w:t>
      </w:r>
    </w:p>
    <w:p w14:paraId="644ACCC2"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Вероятно, помимо пяти автожиров установочной партии, модернизации подвергался и А-7бис: по крайней мере, подвесного вооружения было заказано шесть комплектов, а вторая опытная машина значилась в числе модернизируемых.</w:t>
      </w:r>
    </w:p>
    <w:p w14:paraId="249E270A"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Модернизированные машины перебазировали на завод №290 в Ухтомской. Различные трудности производственного характера привели к тому, что работы по модернизации затянулись. Подлила масла в огонь и авария автожира №4, произошедшая 26 июня. Машину поднял в небо Трофимов, к тому моменту уже капитан. Она набрала 30 метров высоты, а затем пошла со снижением. Лётчику удалось отвернуть от лобового удара в здание, которое находилось по курсу, машина упала на дом, повиснув на нём. Никто не пострадал, позже автожир отремонтировали. Удивительно, но при всех напастях каждый раз машины возвращались в строй (18227).</w:t>
      </w:r>
    </w:p>
    <w:p w14:paraId="624C6812"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2CC0DA35"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командование ВВС издало приказ о расформировании 1-й акэ и создании на ее ос</w:t>
      </w:r>
      <w:r w:rsidRPr="008127F8">
        <w:rPr>
          <w:rFonts w:ascii="Times New Roman" w:hAnsi="Times New Roman"/>
          <w:color w:val="000000" w:themeColor="text1"/>
          <w:sz w:val="16"/>
          <w:szCs w:val="16"/>
        </w:rPr>
        <w:softHyphen/>
        <w:t>нове звена (два автожира) в составе 36-й корректировоч</w:t>
      </w:r>
      <w:r w:rsidRPr="008127F8">
        <w:rPr>
          <w:rFonts w:ascii="Times New Roman" w:hAnsi="Times New Roman"/>
          <w:color w:val="000000" w:themeColor="text1"/>
          <w:sz w:val="16"/>
          <w:szCs w:val="16"/>
        </w:rPr>
        <w:softHyphen/>
        <w:t>ной авиаэскадрильи на Калининском фронте. Автожиры пе</w:t>
      </w:r>
      <w:r w:rsidRPr="008127F8">
        <w:rPr>
          <w:rFonts w:ascii="Times New Roman" w:hAnsi="Times New Roman"/>
          <w:color w:val="000000" w:themeColor="text1"/>
          <w:sz w:val="16"/>
          <w:szCs w:val="16"/>
        </w:rPr>
        <w:softHyphen/>
        <w:t>ревезли на станцию Ухтомская под Москвой, где вновь во</w:t>
      </w:r>
      <w:r w:rsidRPr="008127F8">
        <w:rPr>
          <w:rFonts w:ascii="Times New Roman" w:hAnsi="Times New Roman"/>
          <w:color w:val="000000" w:themeColor="text1"/>
          <w:sz w:val="16"/>
          <w:szCs w:val="16"/>
        </w:rPr>
        <w:softHyphen/>
        <w:t>зобновили тренировочные полеты. 20 июля 1942 г. еще один автожир потерпел аварию, на ликвидацию которой по</w:t>
      </w:r>
      <w:r w:rsidRPr="008127F8">
        <w:rPr>
          <w:rFonts w:ascii="Times New Roman" w:hAnsi="Times New Roman"/>
          <w:color w:val="000000" w:themeColor="text1"/>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8127F8">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8127F8">
        <w:rPr>
          <w:rFonts w:ascii="Times New Roman" w:hAnsi="Times New Roman"/>
          <w:color w:val="000000" w:themeColor="text1"/>
          <w:sz w:val="16"/>
          <w:szCs w:val="16"/>
        </w:rPr>
        <w:softHyphen/>
        <w:t>тельных аппаратов. Все это свидетельствовало, что карь</w:t>
      </w:r>
      <w:r w:rsidRPr="008127F8">
        <w:rPr>
          <w:rFonts w:ascii="Times New Roman" w:hAnsi="Times New Roman"/>
          <w:color w:val="000000" w:themeColor="text1"/>
          <w:sz w:val="16"/>
          <w:szCs w:val="16"/>
        </w:rPr>
        <w:softHyphen/>
        <w:t>ера автожира А-7 закончилась.</w:t>
      </w:r>
    </w:p>
    <w:p w14:paraId="7D7FF5AD"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8127F8">
        <w:rPr>
          <w:rFonts w:ascii="Times New Roman" w:hAnsi="Times New Roman"/>
          <w:color w:val="000000" w:themeColor="text1"/>
          <w:sz w:val="16"/>
          <w:szCs w:val="16"/>
        </w:rPr>
        <w:softHyphen/>
        <w:t>вал предать его суду. В прилагавшейся справке указыва</w:t>
      </w:r>
      <w:r w:rsidRPr="008127F8">
        <w:rPr>
          <w:rFonts w:ascii="Times New Roman" w:hAnsi="Times New Roman"/>
          <w:color w:val="000000" w:themeColor="text1"/>
          <w:sz w:val="16"/>
          <w:szCs w:val="16"/>
        </w:rPr>
        <w:softHyphen/>
        <w:t>лось, что автожир А-7 доводился в течение восьми лет, од</w:t>
      </w:r>
      <w:r w:rsidRPr="008127F8">
        <w:rPr>
          <w:rFonts w:ascii="Times New Roman" w:hAnsi="Times New Roman"/>
          <w:color w:val="000000" w:themeColor="text1"/>
          <w:sz w:val="16"/>
          <w:szCs w:val="16"/>
        </w:rPr>
        <w:softHyphen/>
        <w:t>нако так и не достиг уровня запланированных характери</w:t>
      </w:r>
      <w:r w:rsidRPr="008127F8">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8127F8">
        <w:rPr>
          <w:rFonts w:ascii="Times New Roman" w:hAnsi="Times New Roman"/>
          <w:color w:val="000000" w:themeColor="text1"/>
          <w:sz w:val="16"/>
          <w:szCs w:val="16"/>
        </w:rPr>
        <w:softHyphen/>
        <w:t>евого вылета.</w:t>
      </w:r>
    </w:p>
    <w:p w14:paraId="3100D733"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8127F8">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8127F8">
        <w:rPr>
          <w:rFonts w:ascii="Times New Roman" w:hAnsi="Times New Roman"/>
          <w:color w:val="000000" w:themeColor="text1"/>
          <w:sz w:val="16"/>
          <w:szCs w:val="16"/>
        </w:rPr>
        <w:softHyphen/>
        <w:t>стей. Однако работы по автожирам с этого момента в Со</w:t>
      </w:r>
      <w:r w:rsidRPr="008127F8">
        <w:rPr>
          <w:rFonts w:ascii="Times New Roman" w:hAnsi="Times New Roman"/>
          <w:color w:val="000000" w:themeColor="text1"/>
          <w:sz w:val="16"/>
          <w:szCs w:val="16"/>
        </w:rPr>
        <w:softHyphen/>
        <w:t>ветском Союзе окончательно прекратили. Завод в Би</w:t>
      </w:r>
      <w:r w:rsidRPr="008127F8">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084C81FE" w14:textId="77777777" w:rsidR="00B92DCE" w:rsidRPr="008127F8" w:rsidRDefault="00B92DCE" w:rsidP="001E0A84">
      <w:pPr>
        <w:shd w:val="clear" w:color="auto" w:fill="FFFFFF"/>
        <w:spacing w:after="0" w:line="240" w:lineRule="auto"/>
        <w:jc w:val="both"/>
        <w:rPr>
          <w:rFonts w:ascii="Times New Roman" w:hAnsi="Times New Roman"/>
          <w:color w:val="000000" w:themeColor="text1"/>
          <w:sz w:val="16"/>
          <w:szCs w:val="16"/>
        </w:rPr>
      </w:pPr>
    </w:p>
    <w:p w14:paraId="7A23A52B"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был сформирован 1-й отдель</w:t>
      </w:r>
      <w:r w:rsidRPr="008127F8">
        <w:rPr>
          <w:rFonts w:ascii="Times New Roman" w:hAnsi="Times New Roman"/>
          <w:color w:val="000000" w:themeColor="text1"/>
          <w:sz w:val="16"/>
          <w:szCs w:val="16"/>
        </w:rPr>
        <w:softHyphen/>
        <w:t>ный воздухоплавательный дивизион Воздуш</w:t>
      </w:r>
      <w:r w:rsidRPr="008127F8">
        <w:rPr>
          <w:rFonts w:ascii="Times New Roman" w:hAnsi="Times New Roman"/>
          <w:color w:val="000000" w:themeColor="text1"/>
          <w:sz w:val="16"/>
          <w:szCs w:val="16"/>
        </w:rPr>
        <w:softHyphen/>
        <w:t>но-десантных войск (1-й ОВД ВДВ), в который вошли три отряда десантных аэростатов и отряд дирижаблей. Командиром дивизиона был назна</w:t>
      </w:r>
      <w:r w:rsidRPr="008127F8">
        <w:rPr>
          <w:rFonts w:ascii="Times New Roman" w:hAnsi="Times New Roman"/>
          <w:color w:val="000000" w:themeColor="text1"/>
          <w:sz w:val="16"/>
          <w:szCs w:val="16"/>
        </w:rPr>
        <w:softHyphen/>
        <w:t>чен воентехник 1-го ранга капитан С.А. Попов, начальником штаба — капитан А.И. Рощин. Ин</w:t>
      </w:r>
      <w:r w:rsidRPr="008127F8">
        <w:rPr>
          <w:rFonts w:ascii="Times New Roman" w:hAnsi="Times New Roman"/>
          <w:color w:val="000000" w:themeColor="text1"/>
          <w:sz w:val="16"/>
          <w:szCs w:val="16"/>
        </w:rPr>
        <w:softHyphen/>
        <w:t>женер-капитана В.А. Устиновича назначили за</w:t>
      </w:r>
      <w:r w:rsidRPr="008127F8">
        <w:rPr>
          <w:rFonts w:ascii="Times New Roman" w:hAnsi="Times New Roman"/>
          <w:color w:val="000000" w:themeColor="text1"/>
          <w:sz w:val="16"/>
          <w:szCs w:val="16"/>
        </w:rPr>
        <w:softHyphen/>
        <w:t>местителем командира дивизиона и одновремен</w:t>
      </w:r>
      <w:r w:rsidRPr="008127F8">
        <w:rPr>
          <w:rFonts w:ascii="Times New Roman" w:hAnsi="Times New Roman"/>
          <w:color w:val="000000" w:themeColor="text1"/>
          <w:sz w:val="16"/>
          <w:szCs w:val="16"/>
        </w:rPr>
        <w:softHyphen/>
        <w:t>но командиром дирижабля.</w:t>
      </w:r>
    </w:p>
    <w:p w14:paraId="44844FCB"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Первоначально для подготовки парашюти</w:t>
      </w:r>
      <w:r w:rsidRPr="008127F8">
        <w:rPr>
          <w:rFonts w:ascii="Times New Roman" w:hAnsi="Times New Roman"/>
          <w:color w:val="000000" w:themeColor="text1"/>
          <w:sz w:val="16"/>
          <w:szCs w:val="16"/>
        </w:rPr>
        <w:softHyphen/>
        <w:t>стов использовались аэростаты БД и АН-640, а после войны — специальный аэростат ДАГ-1 (объём 800 м3) конструкции К.Д. Годунова. Он же модернизировал АН-640, получивший название КАН-640. Для аэростатов Б.А. Гарф сконструиро</w:t>
      </w:r>
      <w:r w:rsidRPr="008127F8">
        <w:rPr>
          <w:rFonts w:ascii="Times New Roman" w:hAnsi="Times New Roman"/>
          <w:color w:val="000000" w:themeColor="text1"/>
          <w:sz w:val="16"/>
          <w:szCs w:val="16"/>
        </w:rPr>
        <w:softHyphen/>
        <w:t>вал специальные гондолы, поднимавшие 3-7 па</w:t>
      </w:r>
      <w:r w:rsidRPr="008127F8">
        <w:rPr>
          <w:rFonts w:ascii="Times New Roman" w:hAnsi="Times New Roman"/>
          <w:color w:val="000000" w:themeColor="text1"/>
          <w:sz w:val="16"/>
          <w:szCs w:val="16"/>
        </w:rPr>
        <w:softHyphen/>
        <w:t>рашютистов на высоту 400 м (20120).</w:t>
      </w:r>
    </w:p>
    <w:p w14:paraId="22F5EB40" w14:textId="77777777" w:rsidR="00B92DCE" w:rsidRPr="008127F8" w:rsidRDefault="00B92DCE" w:rsidP="001E0A84">
      <w:pPr>
        <w:spacing w:after="0" w:line="240" w:lineRule="auto"/>
        <w:jc w:val="both"/>
        <w:rPr>
          <w:rFonts w:ascii="Times New Roman" w:hAnsi="Times New Roman"/>
          <w:color w:val="000000" w:themeColor="text1"/>
          <w:sz w:val="16"/>
          <w:szCs w:val="16"/>
        </w:rPr>
      </w:pPr>
    </w:p>
    <w:p w14:paraId="284178A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Военный Совет ВВС рассмотрел вопрос о новой оргструктуре фронтовой авиации и принял решение о создании вместо ВВС фронтов ВА (340,81).</w:t>
      </w:r>
    </w:p>
    <w:p w14:paraId="72BE205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9D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при проведении операции по разгрому демянской группировки на СЗФ был направлен Г.А.Ворожейкин для координации действия авиации фронта, 2-х резервных авиагрупп Ставки ВГК и группы АДД. Посылка представителей Ставки для координации действий практиковалась с осени 1941 (518,269).</w:t>
      </w:r>
    </w:p>
    <w:p w14:paraId="7D9A4B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7475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в составе авиации Северного флота насчитывалось 10 СБ, однако уже к середине года это количество уменьшилось до 5 экземпляров, которые вошли в состав 29-го бомбардировочного авиаполка. 29-й бап в начале 1943 г. был перевооружен на самолеты Пе-2. В апреле 1943 г. в составе авиации Северного флота оставался 1 СБ, который выбыл из строя до наступления 1944 г. (12027).</w:t>
      </w:r>
    </w:p>
    <w:p w14:paraId="66594E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508D9"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было сформировано и пополнило состав AДД первое соединение, вооруженное Ли-2. Им стала возглавляемая п-ком В. Е. Нестеровым 1-я авиатранспортная дивизия, в которую вошли 101-й и 102-й полки (командиры В. С. Гризодубова и Б. П. Осипчук). Сначала дивизия располагала только "воздушными грузовиками", что и отразилось в ее названии. Однако очень скоро прямо в частях Ли-2 стали оснащать бомбардировочным вооружением, а затем оборудованные соответствующим образом самолеты начали поступать с заводов, и слово "транспортная" исчезло из наименования соединения. По мере наращивания промышленностью производства Ли-2 они стали поступать и в другие полки АДД, прежде всего те, что летали на ТБ-3. Параллельно шло формирование новых частей (3772).</w:t>
      </w:r>
    </w:p>
    <w:p w14:paraId="26D134D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E4E4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 штаты ад и ВА были введены специальные работники, а в штабе ВВС - отдел по изучению и обобщению опыта войны (505,220).</w:t>
      </w:r>
    </w:p>
    <w:p w14:paraId="622F93F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B6C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было наше наступление 14А на Мурманском направлении во взаимодействии с частями и кораблями СФ. Могли бы полностью обезопасить мурманский порт, но успеха не достигли (2632,32).</w:t>
      </w:r>
    </w:p>
    <w:p w14:paraId="2695FB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67E8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немцы пытались уничтожить корабли БФ, вмерзшие в лед, используя артиллерию и авиацию (1085,156).</w:t>
      </w:r>
    </w:p>
    <w:p w14:paraId="59C00A4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749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во время внезапного штурмового налета немцев на корабли Балтийского флота, переведенные на зиму из Финского залива в Неву, командир корпуса ПВО генерал-майор Г. Зашихин приказал поднять аэростаты в разгар воздушного боя. Фашистские бомбардировщики, оказавшись в ловушке, стали спешно освобождаться от груза, потеряв при этом 25 самолетов. Корабли почти не пострадали. Событием, вызвавшим большой политический резонанс, стало исполнение в осажденном Ленинграде Седьмой симфонии Дмитрия Шостаковича. Однако мало кому известно, что трансляция была проведена с помощью кабель-антенны, поднятой аэростатом заграждения. В дальнейшем радиостанция с такой антенной обеспечивала резервную связь командования фронта со Ставкой. Основная осуществлялась подводным кабелем (11328).</w:t>
      </w:r>
    </w:p>
    <w:p w14:paraId="2AB7B2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FDD8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командующим ВВС стал А.А.Новиков, 2хГСС, был рекомендован А.А.Ждановым. Зам. стал Ф.Я.Фалалеев - нач. штаба (6,232).</w:t>
      </w:r>
    </w:p>
    <w:p w14:paraId="66F1CB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8F4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 ставка ВГК обеспечивалась разведывательной информацией, поступавшей от трех специализированных полков (иногда их называли “дивизией разведчиков ВГК”, хотя все они были отдельными) (4476).</w:t>
      </w:r>
    </w:p>
    <w:p w14:paraId="6F405A4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5560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года налеты бомбардировочной авиации на Москву практически прекратились (10109).</w:t>
      </w:r>
    </w:p>
    <w:p w14:paraId="1D520F6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5B97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на базе 2-го корпуса ПВО и 7-го истребительного авиационного корпуса была образована Ленинградская армия ПВО. Командующим армией назначен генерал-майор П.Ф.Рожков. В состав армии входили 6 зенитных артиллерийских полков среднего калибра, отдельный зенитный артиллерийский дивизион среднего калибра, зенитный пулеметный полк, 2 прожекторных полка, 3 полка аэростатов заграждения, полк и отдельный радиобатальон ВНОС. Наиболее напряженной противовоздушная оборона Ленинграда была в период 1942–1943 годов. За это время зафиксировано 1 612 самолето-пролетов авиации противника. Прорвалось к Ленинграду 633 самолета. В 1942 году силами Ленинградской армии ПВО сбито 212 самолетов. 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(10109).</w:t>
      </w:r>
    </w:p>
    <w:p w14:paraId="7249A66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2C8D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был сформирован 1-й отдельный воздухоплавательный дивизион ВДВ. Интенсивность выброски с одного аэростата достигала 2.278 человек в сутки. Всего за годы войны, по данным Центрального архива МО, было совершено 549.152 прыжка с аэростата, каждый из которых обходился в десятки раз дешевле. Трудно подсчитать, сколько транспортных самолетов было высвобождено для выполнения боевых задач (11324).</w:t>
      </w:r>
    </w:p>
    <w:p w14:paraId="4A5EC15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2BB7B1" w14:textId="77777777" w:rsidR="006458D8" w:rsidRPr="008127F8" w:rsidRDefault="006458D8" w:rsidP="001E0A84">
      <w:pPr>
        <w:pStyle w:val="book"/>
        <w:ind w:firstLine="0"/>
        <w:jc w:val="both"/>
        <w:rPr>
          <w:color w:val="000000" w:themeColor="text1"/>
          <w:sz w:val="16"/>
          <w:szCs w:val="16"/>
        </w:rPr>
      </w:pPr>
      <w:r w:rsidRPr="008127F8">
        <w:rPr>
          <w:color w:val="000000" w:themeColor="text1"/>
          <w:sz w:val="16"/>
          <w:szCs w:val="16"/>
        </w:rPr>
        <w:t>В апреле 1942 г. пушка Дора и дивизион 672, обслуживавший ее (всего пять эшелонов), были перебазированы в Крым по маршруту: Рюгенвальд — Бремберг — Краков — Лемберг (Львов) — Запорожье — Днепропетровск — Мелитополь — Крым (15225).</w:t>
      </w:r>
    </w:p>
    <w:p w14:paraId="1832C4AA" w14:textId="77777777" w:rsidR="006458D8" w:rsidRPr="008127F8" w:rsidRDefault="006458D8" w:rsidP="001E0A84">
      <w:pPr>
        <w:pStyle w:val="book"/>
        <w:ind w:firstLine="0"/>
        <w:jc w:val="both"/>
        <w:rPr>
          <w:color w:val="000000" w:themeColor="text1"/>
          <w:sz w:val="16"/>
          <w:szCs w:val="16"/>
        </w:rPr>
      </w:pPr>
    </w:p>
    <w:p w14:paraId="1B1ED90C"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дежурство постов АЗ возобно</w:t>
      </w:r>
      <w:r w:rsidRPr="008127F8">
        <w:rPr>
          <w:rFonts w:ascii="Times New Roman" w:hAnsi="Times New Roman"/>
          <w:color w:val="000000" w:themeColor="text1"/>
          <w:sz w:val="16"/>
          <w:szCs w:val="16"/>
        </w:rPr>
        <w:softHyphen/>
        <w:t>вилось, и к концу года их было уже 150, а вся оборона Ленинграда была организована по типу полевых укреплённых районов. В 1942 г. к Ле</w:t>
      </w:r>
      <w:r w:rsidRPr="008127F8">
        <w:rPr>
          <w:rFonts w:ascii="Times New Roman" w:hAnsi="Times New Roman"/>
          <w:color w:val="000000" w:themeColor="text1"/>
          <w:sz w:val="16"/>
          <w:szCs w:val="16"/>
        </w:rPr>
        <w:softHyphen/>
        <w:t>нинграду прорвались 633 самолёта противника. Ленинградская армия ПВО сбила 212 самолётов (20120).</w:t>
      </w:r>
    </w:p>
    <w:p w14:paraId="09795D3B" w14:textId="77777777" w:rsidR="00B92DCE" w:rsidRPr="008127F8" w:rsidRDefault="00B92DCE" w:rsidP="001E0A84">
      <w:pPr>
        <w:spacing w:after="0" w:line="240" w:lineRule="auto"/>
        <w:jc w:val="both"/>
        <w:rPr>
          <w:rFonts w:ascii="Times New Roman" w:hAnsi="Times New Roman"/>
          <w:color w:val="000000" w:themeColor="text1"/>
          <w:sz w:val="16"/>
          <w:szCs w:val="16"/>
        </w:rPr>
      </w:pPr>
    </w:p>
    <w:p w14:paraId="0FFA58EF"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 215-й отдель</w:t>
      </w:r>
      <w:r w:rsidRPr="008127F8">
        <w:rPr>
          <w:rFonts w:ascii="Times New Roman" w:hAnsi="Times New Roman"/>
          <w:color w:val="000000" w:themeColor="text1"/>
          <w:sz w:val="16"/>
          <w:szCs w:val="16"/>
        </w:rPr>
        <w:softHyphen/>
        <w:t>ный воздухоплавательный дивизион ПВО ЧФ (ОВД ПВО ЧФ) перебазировали из Севастополя в Поти. Генерал-лейтенант берего</w:t>
      </w:r>
      <w:r w:rsidRPr="008127F8">
        <w:rPr>
          <w:rFonts w:ascii="Times New Roman" w:hAnsi="Times New Roman"/>
          <w:color w:val="000000" w:themeColor="text1"/>
          <w:sz w:val="16"/>
          <w:szCs w:val="16"/>
        </w:rPr>
        <w:softHyphen/>
        <w:t>вой службы М.Ф. Куманин так охарактеризовал действия дивизиона:</w:t>
      </w:r>
    </w:p>
    <w:p w14:paraId="12327AA8"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один вражеский самолёт не пострадал от тро</w:t>
      </w:r>
      <w:r w:rsidRPr="008127F8">
        <w:rPr>
          <w:rFonts w:ascii="Times New Roman" w:hAnsi="Times New Roman"/>
          <w:color w:val="000000" w:themeColor="text1"/>
          <w:sz w:val="16"/>
          <w:szCs w:val="16"/>
        </w:rPr>
        <w:softHyphen/>
        <w:t>сов аэростатов, но, увидав серебристые баллоны над городом, лётчики забирались как можно выше и сбра</w:t>
      </w:r>
      <w:r w:rsidRPr="008127F8">
        <w:rPr>
          <w:rFonts w:ascii="Times New Roman" w:hAnsi="Times New Roman"/>
          <w:color w:val="000000" w:themeColor="text1"/>
          <w:sz w:val="16"/>
          <w:szCs w:val="16"/>
        </w:rPr>
        <w:softHyphen/>
        <w:t>сывали бомбы, не прицеливаясь.</w:t>
      </w:r>
    </w:p>
    <w:p w14:paraId="35982A7E"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Первое время у нас было много споров по поводу применения аэростатов заграждения. Некоторые то</w:t>
      </w:r>
      <w:r w:rsidRPr="008127F8">
        <w:rPr>
          <w:rFonts w:ascii="Times New Roman" w:hAnsi="Times New Roman"/>
          <w:color w:val="000000" w:themeColor="text1"/>
          <w:sz w:val="16"/>
          <w:szCs w:val="16"/>
        </w:rPr>
        <w:softHyphen/>
        <w:t>варищи опасались, как бы они не послужили ориен</w:t>
      </w:r>
      <w:r w:rsidRPr="008127F8">
        <w:rPr>
          <w:rFonts w:ascii="Times New Roman" w:hAnsi="Times New Roman"/>
          <w:color w:val="000000" w:themeColor="text1"/>
          <w:sz w:val="16"/>
          <w:szCs w:val="16"/>
        </w:rPr>
        <w:softHyphen/>
        <w:t>тиром для вражеских лётчиков. Но мы ставили аэро</w:t>
      </w:r>
      <w:r w:rsidRPr="008127F8">
        <w:rPr>
          <w:rFonts w:ascii="Times New Roman" w:hAnsi="Times New Roman"/>
          <w:color w:val="000000" w:themeColor="text1"/>
          <w:sz w:val="16"/>
          <w:szCs w:val="16"/>
        </w:rPr>
        <w:softHyphen/>
        <w:t>статы так, что противник по их местонахождению не мог определить конфигурацию порта. К тому же этот вид защиты применялся вместе с другими активными средствами противовоздушной обороны — зенитной артиллерией и авиацией, так что вражеским лётчикам будет не до разглядывания аэростатов.</w:t>
      </w:r>
    </w:p>
    <w:p w14:paraId="29A2E4BD"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Жизнь доказала нашу правоту59.</w:t>
      </w:r>
    </w:p>
    <w:p w14:paraId="692DECA4" w14:textId="77777777" w:rsidR="00B92DCE" w:rsidRPr="008127F8" w:rsidRDefault="00B92DCE"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1944 г 215-й ОВД ПВО ЧФ направи</w:t>
      </w:r>
      <w:r w:rsidRPr="008127F8">
        <w:rPr>
          <w:rFonts w:ascii="Times New Roman" w:hAnsi="Times New Roman"/>
          <w:color w:val="000000" w:themeColor="text1"/>
          <w:sz w:val="16"/>
          <w:szCs w:val="16"/>
        </w:rPr>
        <w:softHyphen/>
        <w:t>ли на Тихоокеанский флот (ТОФ) в состав фор</w:t>
      </w:r>
      <w:r w:rsidRPr="008127F8">
        <w:rPr>
          <w:rFonts w:ascii="Times New Roman" w:hAnsi="Times New Roman"/>
          <w:color w:val="000000" w:themeColor="text1"/>
          <w:sz w:val="16"/>
          <w:szCs w:val="16"/>
        </w:rPr>
        <w:softHyphen/>
        <w:t>мируемой во Владивостоке на базе трёх морских дивизионов аэростатов заграждения 72-й брига</w:t>
      </w:r>
      <w:r w:rsidRPr="008127F8">
        <w:rPr>
          <w:rFonts w:ascii="Times New Roman" w:hAnsi="Times New Roman"/>
          <w:color w:val="000000" w:themeColor="text1"/>
          <w:sz w:val="16"/>
          <w:szCs w:val="16"/>
        </w:rPr>
        <w:softHyphen/>
        <w:t>ды аэростатов ТОФ (20120).</w:t>
      </w:r>
    </w:p>
    <w:p w14:paraId="21DC4272" w14:textId="77777777" w:rsidR="00B92DCE" w:rsidRPr="008127F8" w:rsidRDefault="00B92DCE" w:rsidP="001E0A84">
      <w:pPr>
        <w:spacing w:after="0" w:line="240" w:lineRule="auto"/>
        <w:jc w:val="both"/>
        <w:rPr>
          <w:rFonts w:ascii="Times New Roman" w:hAnsi="Times New Roman"/>
          <w:color w:val="000000" w:themeColor="text1"/>
          <w:sz w:val="16"/>
          <w:szCs w:val="16"/>
        </w:rPr>
      </w:pPr>
    </w:p>
    <w:p w14:paraId="6EAF6C8C"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AE418F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9DA68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апреля 1942 была прекращена выдача повышенной оплаты за сверхурочную работу и работу в выходные дни. Выпустили и </w:t>
      </w:r>
      <w:proofErr w:type="gramStart"/>
      <w:r w:rsidRPr="008127F8">
        <w:rPr>
          <w:rFonts w:ascii="Times New Roman" w:hAnsi="Times New Roman"/>
          <w:color w:val="000000" w:themeColor="text1"/>
          <w:sz w:val="16"/>
          <w:szCs w:val="16"/>
        </w:rPr>
        <w:t>20 летний</w:t>
      </w:r>
      <w:proofErr w:type="gramEnd"/>
      <w:r w:rsidRPr="008127F8">
        <w:rPr>
          <w:rFonts w:ascii="Times New Roman" w:hAnsi="Times New Roman"/>
          <w:color w:val="000000" w:themeColor="text1"/>
          <w:sz w:val="16"/>
          <w:szCs w:val="16"/>
        </w:rPr>
        <w:t xml:space="preserve"> займ (2070,131).</w:t>
      </w:r>
    </w:p>
    <w:p w14:paraId="6A0B304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7474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 была прекращена выдача повышенной платы за сверхурочные и работу в выходные дни. Надбавка переводилась на специальные счета, которыми нельзя было воспользоваться до окончания войны. Были заморожены и прежние счета в сберкассах. Вклады выдавались только со счетов, открытых и пополнявшихся с начала войны (11121).</w:t>
      </w:r>
    </w:p>
    <w:p w14:paraId="2B86D0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E75C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вышло постановление СНК и ЦК ВКП(б) "О порядке мобилизации на сельхозработы в колхозы, совхозы, МТС трудоспособного населения городов и сельских местностей (512,271).</w:t>
      </w:r>
    </w:p>
    <w:p w14:paraId="55F9ED9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DD6C8"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3C5B7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24865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немецкая авиация приступила к систематическим бомбардировкам разгружающихся в Мурманске транспортов, к концу июня в результате массированных налетов не только порт, но и город были практически уничтожены. Значительны были потери разгружающихся в порту судов, в том числе и иностранных. Те суда, которые удавалось отремонтировать, продолжали свою благородную миссию. Судоремонтными предприятиями города только в 1942 г. были отремонтированы 65 судов иностранного флота. Суровой для мурманских портовиков, моряков, судоремонтников была зимняя навигация 1942-1943 гг. По распоряжению Наркомморфлота 13 судов Мурманского и Северного пароходств до 16 декабря 1942 г. должны были отправиться в загранрейсы. Однако сроки начала навигации оказались нереальными. Суда прибыли в Мурманск накануне срока выхода в рейс или даже позже, требовали разгрузки, ремонта, не были обеспечены </w:t>
      </w:r>
      <w:r w:rsidRPr="008127F8">
        <w:rPr>
          <w:rFonts w:ascii="Times New Roman" w:hAnsi="Times New Roman"/>
          <w:color w:val="000000" w:themeColor="text1"/>
          <w:sz w:val="16"/>
          <w:szCs w:val="16"/>
        </w:rPr>
        <w:lastRenderedPageBreak/>
        <w:t>экспортным грузом, который в основном, составлял лес, не были своевременно обеспечены вооружением, смазочными маслами, продовольствием, обмундированием, теплой одеждой. Так полушубками и валенками экипаж судна "Сорока", первым вышедшим в рейс, был снабжен за счет порта и других судов. Все суда, за исключением "Сороки", вышли в рейс с опозданием, два из них вообще не могли выйти в море из-за повреждений, полученных при авианалетах. Зимняя навигация 1942-1943 гг. сократилась до 3 месяцев. В эту навигацию через Мурманский порт прошло 45 судов, обработано 214463 тонны импортного и 52243 тонны экспортного груза (11910).</w:t>
      </w:r>
    </w:p>
    <w:p w14:paraId="7B41D82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DF3E9" w14:textId="77777777" w:rsidR="00BC162F" w:rsidRPr="008127F8" w:rsidRDefault="00BC162F"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советская сторона разрабатывла заявку для Второго Протокола. Продовольственную проблему в стране предполагалось решить за счет внутренних ресурсов: увеличения посевных площадей, разведения мелкого рогатого скота и птицы, развития местных промыслов, нормирования продуктов (19582).</w:t>
      </w:r>
    </w:p>
    <w:p w14:paraId="3A52FDD9" w14:textId="77777777" w:rsidR="00BC162F" w:rsidRPr="008127F8" w:rsidRDefault="00BC162F" w:rsidP="001E0A84">
      <w:pPr>
        <w:spacing w:after="0" w:line="240" w:lineRule="auto"/>
        <w:jc w:val="both"/>
        <w:rPr>
          <w:rFonts w:ascii="Times New Roman" w:hAnsi="Times New Roman"/>
          <w:color w:val="000000" w:themeColor="text1"/>
          <w:sz w:val="16"/>
          <w:szCs w:val="16"/>
        </w:rPr>
      </w:pPr>
    </w:p>
    <w:p w14:paraId="1CE13D4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7F7D52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08FA7"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г. завод в Шонефельде выпустили 31 самолет Hs 129 (по сравнению с 3 в январе и 6 марте), но в последующем месячная производительность колебалась в преде</w:t>
      </w:r>
      <w:r w:rsidRPr="008A2E5A">
        <w:rPr>
          <w:rFonts w:ascii="Times New Roman" w:hAnsi="Times New Roman"/>
          <w:color w:val="0070C0"/>
          <w:sz w:val="16"/>
          <w:szCs w:val="16"/>
        </w:rPr>
        <w:softHyphen/>
        <w:t>лах 18-24 машин (за исключением октяб</w:t>
      </w:r>
      <w:r w:rsidRPr="008A2E5A">
        <w:rPr>
          <w:rFonts w:ascii="Times New Roman" w:hAnsi="Times New Roman"/>
          <w:color w:val="0070C0"/>
          <w:sz w:val="16"/>
          <w:szCs w:val="16"/>
        </w:rPr>
        <w:softHyphen/>
        <w:t>ря 1942 г., когда изготовили 33 штурмо</w:t>
      </w:r>
      <w:r w:rsidRPr="008A2E5A">
        <w:rPr>
          <w:rFonts w:ascii="Times New Roman" w:hAnsi="Times New Roman"/>
          <w:color w:val="0070C0"/>
          <w:sz w:val="16"/>
          <w:szCs w:val="16"/>
        </w:rPr>
        <w:softHyphen/>
        <w:t>вика). Объем производства первой моди</w:t>
      </w:r>
      <w:r w:rsidRPr="008A2E5A">
        <w:rPr>
          <w:rFonts w:ascii="Times New Roman" w:hAnsi="Times New Roman"/>
          <w:color w:val="0070C0"/>
          <w:sz w:val="16"/>
          <w:szCs w:val="16"/>
        </w:rPr>
        <w:softHyphen/>
        <w:t>фикации составил всего 50 экземпляров (W.Nr. 0151-0200). С мая 1942 г. в серию пошел вариант Hs 129В-2 с усовершенст</w:t>
      </w:r>
      <w:r w:rsidRPr="008A2E5A">
        <w:rPr>
          <w:rFonts w:ascii="Times New Roman" w:hAnsi="Times New Roman"/>
          <w:color w:val="0070C0"/>
          <w:sz w:val="16"/>
          <w:szCs w:val="16"/>
        </w:rPr>
        <w:softHyphen/>
        <w:t>вованной топливной системой: в топливо</w:t>
      </w:r>
      <w:r w:rsidRPr="008A2E5A">
        <w:rPr>
          <w:rFonts w:ascii="Times New Roman" w:hAnsi="Times New Roman"/>
          <w:color w:val="0070C0"/>
          <w:sz w:val="16"/>
          <w:szCs w:val="16"/>
        </w:rPr>
        <w:softHyphen/>
        <w:t>проводе между фильтром и топливным насосом был установлен регулятор давле</w:t>
      </w:r>
      <w:r w:rsidRPr="008A2E5A">
        <w:rPr>
          <w:rFonts w:ascii="Times New Roman" w:hAnsi="Times New Roman"/>
          <w:color w:val="0070C0"/>
          <w:sz w:val="16"/>
          <w:szCs w:val="16"/>
        </w:rPr>
        <w:softHyphen/>
        <w:t>ния, а в крыльевых топливных баках по</w:t>
      </w:r>
      <w:r w:rsidRPr="008A2E5A">
        <w:rPr>
          <w:rFonts w:ascii="Times New Roman" w:hAnsi="Times New Roman"/>
          <w:color w:val="0070C0"/>
          <w:sz w:val="16"/>
          <w:szCs w:val="16"/>
        </w:rPr>
        <w:softHyphen/>
        <w:t>явились дренажные отверстия для пре</w:t>
      </w:r>
      <w:r w:rsidRPr="008A2E5A">
        <w:rPr>
          <w:rFonts w:ascii="Times New Roman" w:hAnsi="Times New Roman"/>
          <w:color w:val="0070C0"/>
          <w:sz w:val="16"/>
          <w:szCs w:val="16"/>
        </w:rPr>
        <w:softHyphen/>
        <w:t>дотвращения разрыва полностью заправ</w:t>
      </w:r>
      <w:r w:rsidRPr="008A2E5A">
        <w:rPr>
          <w:rFonts w:ascii="Times New Roman" w:hAnsi="Times New Roman"/>
          <w:color w:val="0070C0"/>
          <w:sz w:val="16"/>
          <w:szCs w:val="16"/>
        </w:rPr>
        <w:softHyphen/>
        <w:t>ленных баков в условиях жары. До конца года изготовили 169 таких самолетов, причем для их выпуска задействовали не только завод в Шёнефельде, но и пред</w:t>
      </w:r>
      <w:r w:rsidRPr="008A2E5A">
        <w:rPr>
          <w:rFonts w:ascii="Times New Roman" w:hAnsi="Times New Roman"/>
          <w:color w:val="0070C0"/>
          <w:sz w:val="16"/>
          <w:szCs w:val="16"/>
        </w:rPr>
        <w:softHyphen/>
        <w:t>приятие в Иоханнистале. Самолеты позд</w:t>
      </w:r>
      <w:r w:rsidRPr="008A2E5A">
        <w:rPr>
          <w:rFonts w:ascii="Times New Roman" w:hAnsi="Times New Roman"/>
          <w:color w:val="0070C0"/>
          <w:sz w:val="16"/>
          <w:szCs w:val="16"/>
        </w:rPr>
        <w:softHyphen/>
        <w:t>них выпусков получили 13,2-мм пулеметы MG 131 вместо MG17. В некоторых публи</w:t>
      </w:r>
      <w:r w:rsidRPr="008A2E5A">
        <w:rPr>
          <w:rFonts w:ascii="Times New Roman" w:hAnsi="Times New Roman"/>
          <w:color w:val="0070C0"/>
          <w:sz w:val="16"/>
          <w:szCs w:val="16"/>
        </w:rPr>
        <w:softHyphen/>
        <w:t>кациях такая модификация обозначается Hs 129B/Wa (от немецкого Waffentrager - «носитель оружия»). В 1943 г. производст</w:t>
      </w:r>
      <w:r w:rsidRPr="008A2E5A">
        <w:rPr>
          <w:rFonts w:ascii="Times New Roman" w:hAnsi="Times New Roman"/>
          <w:color w:val="0070C0"/>
          <w:sz w:val="16"/>
          <w:szCs w:val="16"/>
        </w:rPr>
        <w:softHyphen/>
        <w:t>во Hs 129В-2 продолжилось - в течение года было сдано 414 самолетов. Наиболь</w:t>
      </w:r>
      <w:r w:rsidRPr="008A2E5A">
        <w:rPr>
          <w:rFonts w:ascii="Times New Roman" w:hAnsi="Times New Roman"/>
          <w:color w:val="0070C0"/>
          <w:sz w:val="16"/>
          <w:szCs w:val="16"/>
        </w:rPr>
        <w:softHyphen/>
        <w:t>ший месячный темп выпуска достигли в июне-ноябре - по 40 самолетов. Со сре</w:t>
      </w:r>
      <w:r w:rsidRPr="008A2E5A">
        <w:rPr>
          <w:rFonts w:ascii="Times New Roman" w:hAnsi="Times New Roman"/>
          <w:color w:val="0070C0"/>
          <w:sz w:val="16"/>
          <w:szCs w:val="16"/>
        </w:rPr>
        <w:softHyphen/>
        <w:t>дины 1943 г. самолеты получали новые шестизначные заводские номера в «бло</w:t>
      </w:r>
      <w:r w:rsidRPr="008A2E5A">
        <w:rPr>
          <w:rFonts w:ascii="Times New Roman" w:hAnsi="Times New Roman"/>
          <w:color w:val="0070C0"/>
          <w:sz w:val="16"/>
          <w:szCs w:val="16"/>
        </w:rPr>
        <w:softHyphen/>
        <w:t>ках» 140000 и 141000. Производство Hs 129 осуществлялось в кооперации с целым рядом германских и французских предприятий. Завод «Рёльц» в Грасилитце (Судеты) поставлял фюзеляжи, берлин</w:t>
      </w:r>
      <w:r w:rsidRPr="008A2E5A">
        <w:rPr>
          <w:rFonts w:ascii="Times New Roman" w:hAnsi="Times New Roman"/>
          <w:color w:val="0070C0"/>
          <w:sz w:val="16"/>
          <w:szCs w:val="16"/>
        </w:rPr>
        <w:softHyphen/>
        <w:t>ское предприятие «Амби» изготовляло центроплан, завод концерна AEG в Виль</w:t>
      </w:r>
      <w:r w:rsidRPr="008A2E5A">
        <w:rPr>
          <w:rFonts w:ascii="Times New Roman" w:hAnsi="Times New Roman"/>
          <w:color w:val="0070C0"/>
          <w:sz w:val="16"/>
          <w:szCs w:val="16"/>
        </w:rPr>
        <w:softHyphen/>
        <w:t>дау - электрооборудование и детали мо</w:t>
      </w:r>
      <w:r w:rsidRPr="008A2E5A">
        <w:rPr>
          <w:rFonts w:ascii="Times New Roman" w:hAnsi="Times New Roman"/>
          <w:color w:val="0070C0"/>
          <w:sz w:val="16"/>
          <w:szCs w:val="16"/>
        </w:rPr>
        <w:softHyphen/>
        <w:t>тогондол. Парижское предприятие SNCAN осуществляло доработку под германские стандарты моторов GR 14М и производи</w:t>
      </w:r>
      <w:r w:rsidRPr="008A2E5A">
        <w:rPr>
          <w:rFonts w:ascii="Times New Roman" w:hAnsi="Times New Roman"/>
          <w:color w:val="0070C0"/>
          <w:sz w:val="16"/>
          <w:szCs w:val="16"/>
        </w:rPr>
        <w:softHyphen/>
        <w:t>ло капоты для них, а ещё один завод в Па</w:t>
      </w:r>
      <w:r w:rsidRPr="008A2E5A">
        <w:rPr>
          <w:rFonts w:ascii="Times New Roman" w:hAnsi="Times New Roman"/>
          <w:color w:val="0070C0"/>
          <w:sz w:val="16"/>
          <w:szCs w:val="16"/>
        </w:rPr>
        <w:softHyphen/>
        <w:t>риже - «Шоссон» - поставлял шасси, хво</w:t>
      </w:r>
      <w:r w:rsidRPr="008A2E5A">
        <w:rPr>
          <w:rFonts w:ascii="Times New Roman" w:hAnsi="Times New Roman"/>
          <w:color w:val="0070C0"/>
          <w:sz w:val="16"/>
          <w:szCs w:val="16"/>
        </w:rPr>
        <w:softHyphen/>
        <w:t>стовое оперение и консоли крыла. Такое распределение было в значительной мере вызвано загруженностью предприятий «Хеншеля» производством бомбардиров</w:t>
      </w:r>
      <w:r w:rsidRPr="008A2E5A">
        <w:rPr>
          <w:rFonts w:ascii="Times New Roman" w:hAnsi="Times New Roman"/>
          <w:color w:val="0070C0"/>
          <w:sz w:val="16"/>
          <w:szCs w:val="16"/>
        </w:rPr>
        <w:softHyphen/>
        <w:t>щика Ju 88. По сути, «Хеншель» изготав</w:t>
      </w:r>
      <w:r w:rsidRPr="008A2E5A">
        <w:rPr>
          <w:rFonts w:ascii="Times New Roman" w:hAnsi="Times New Roman"/>
          <w:color w:val="0070C0"/>
          <w:sz w:val="16"/>
          <w:szCs w:val="16"/>
        </w:rPr>
        <w:softHyphen/>
        <w:t>ливал лишь бронированную кабину и часть бортового оборудования Hs 129. а также производил окончательную сборку самолетов.</w:t>
      </w:r>
    </w:p>
    <w:p w14:paraId="2483C02D" w14:textId="77777777" w:rsidR="00924D84" w:rsidRPr="008A2E5A" w:rsidRDefault="00924D84" w:rsidP="00924D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производства Hs 129В в конструкцию вносили мелкие изменения. Так, с самолета W.Nr. 0189 поменяли рас</w:t>
      </w:r>
      <w:r w:rsidRPr="008A2E5A">
        <w:rPr>
          <w:rFonts w:ascii="Times New Roman" w:hAnsi="Times New Roman"/>
          <w:color w:val="0070C0"/>
          <w:sz w:val="16"/>
          <w:szCs w:val="16"/>
        </w:rPr>
        <w:softHyphen/>
        <w:t>положение выдвижной лесенки. С экземп</w:t>
      </w:r>
      <w:r w:rsidRPr="008A2E5A">
        <w:rPr>
          <w:rFonts w:ascii="Times New Roman" w:hAnsi="Times New Roman"/>
          <w:color w:val="0070C0"/>
          <w:sz w:val="16"/>
          <w:szCs w:val="16"/>
        </w:rPr>
        <w:softHyphen/>
        <w:t>ляра W.Nr. 0301 изменили очертания но</w:t>
      </w:r>
      <w:r w:rsidRPr="008A2E5A">
        <w:rPr>
          <w:rFonts w:ascii="Times New Roman" w:hAnsi="Times New Roman"/>
          <w:color w:val="0070C0"/>
          <w:sz w:val="16"/>
          <w:szCs w:val="16"/>
        </w:rPr>
        <w:softHyphen/>
        <w:t>совой части фюзеляжа. Начиная с маши</w:t>
      </w:r>
      <w:r w:rsidRPr="008A2E5A">
        <w:rPr>
          <w:rFonts w:ascii="Times New Roman" w:hAnsi="Times New Roman"/>
          <w:color w:val="0070C0"/>
          <w:sz w:val="16"/>
          <w:szCs w:val="16"/>
        </w:rPr>
        <w:softHyphen/>
        <w:t>ны W.Nr. 0331, усовершенствовали пневмосистему, а также перенесли фото</w:t>
      </w:r>
      <w:r w:rsidRPr="008A2E5A">
        <w:rPr>
          <w:rFonts w:ascii="Times New Roman" w:hAnsi="Times New Roman"/>
          <w:color w:val="0070C0"/>
          <w:sz w:val="16"/>
          <w:szCs w:val="16"/>
        </w:rPr>
        <w:softHyphen/>
        <w:t>пулемет Rb 24 из носовой части фюзеля</w:t>
      </w:r>
      <w:r w:rsidRPr="008A2E5A">
        <w:rPr>
          <w:rFonts w:ascii="Times New Roman" w:hAnsi="Times New Roman"/>
          <w:color w:val="0070C0"/>
          <w:sz w:val="16"/>
          <w:szCs w:val="16"/>
        </w:rPr>
        <w:softHyphen/>
        <w:t>жа на левую консоль крыла. С самолета W.Nr. 0351 часть машин Hs 129В-2 полу</w:t>
      </w:r>
      <w:r w:rsidRPr="008A2E5A">
        <w:rPr>
          <w:rFonts w:ascii="Times New Roman" w:hAnsi="Times New Roman"/>
          <w:color w:val="0070C0"/>
          <w:sz w:val="16"/>
          <w:szCs w:val="16"/>
        </w:rPr>
        <w:softHyphen/>
        <w:t>чила устройство для буксировки десант</w:t>
      </w:r>
      <w:r w:rsidRPr="008A2E5A">
        <w:rPr>
          <w:rFonts w:ascii="Times New Roman" w:hAnsi="Times New Roman"/>
          <w:color w:val="0070C0"/>
          <w:sz w:val="16"/>
          <w:szCs w:val="16"/>
        </w:rPr>
        <w:softHyphen/>
        <w:t>ного планера DFS 230. Также на поздних сериях вместо длинных выхлопных пат</w:t>
      </w:r>
      <w:r w:rsidRPr="008A2E5A">
        <w:rPr>
          <w:rFonts w:ascii="Times New Roman" w:hAnsi="Times New Roman"/>
          <w:color w:val="0070C0"/>
          <w:sz w:val="16"/>
          <w:szCs w:val="16"/>
        </w:rPr>
        <w:softHyphen/>
        <w:t>рубков двигателей установили короткие. Радиоантенна, которая раньше крепилась к мачте, теперь фиксировалась к неболь</w:t>
      </w:r>
      <w:r w:rsidRPr="008A2E5A">
        <w:rPr>
          <w:rFonts w:ascii="Times New Roman" w:hAnsi="Times New Roman"/>
          <w:color w:val="0070C0"/>
          <w:sz w:val="16"/>
          <w:szCs w:val="16"/>
        </w:rPr>
        <w:softHyphen/>
        <w:t>шому изолятору на фюзеляже, а в состав бортового оборудования ввели радиопо лукомпас с кольцевой антенной над фю</w:t>
      </w:r>
      <w:r w:rsidRPr="008A2E5A">
        <w:rPr>
          <w:rFonts w:ascii="Times New Roman" w:hAnsi="Times New Roman"/>
          <w:color w:val="0070C0"/>
          <w:sz w:val="16"/>
          <w:szCs w:val="16"/>
        </w:rPr>
        <w:softHyphen/>
        <w:t>зеляжем. Сверху фонаря пилота устано</w:t>
      </w:r>
      <w:r w:rsidRPr="008A2E5A">
        <w:rPr>
          <w:rFonts w:ascii="Times New Roman" w:hAnsi="Times New Roman"/>
          <w:color w:val="0070C0"/>
          <w:sz w:val="16"/>
          <w:szCs w:val="16"/>
        </w:rPr>
        <w:softHyphen/>
        <w:t>вили зеркало заднего вида - первона</w:t>
      </w:r>
      <w:r w:rsidRPr="008A2E5A">
        <w:rPr>
          <w:rFonts w:ascii="Times New Roman" w:hAnsi="Times New Roman"/>
          <w:color w:val="0070C0"/>
          <w:sz w:val="16"/>
          <w:szCs w:val="16"/>
        </w:rPr>
        <w:softHyphen/>
        <w:t>чально только на самолетах, оборудован</w:t>
      </w:r>
      <w:r w:rsidRPr="008A2E5A">
        <w:rPr>
          <w:rFonts w:ascii="Times New Roman" w:hAnsi="Times New Roman"/>
          <w:color w:val="0070C0"/>
          <w:sz w:val="16"/>
          <w:szCs w:val="16"/>
        </w:rPr>
        <w:softHyphen/>
        <w:t>ных для буксировки планеров, а позже - на всех машинах, в том числе и на тех, что были поставлены в части. Посадоч</w:t>
      </w:r>
      <w:r w:rsidRPr="008A2E5A">
        <w:rPr>
          <w:rFonts w:ascii="Times New Roman" w:hAnsi="Times New Roman"/>
          <w:color w:val="0070C0"/>
          <w:sz w:val="16"/>
          <w:szCs w:val="16"/>
        </w:rPr>
        <w:softHyphen/>
        <w:t>ную фару, ранее располагавшуюся в ле</w:t>
      </w:r>
      <w:r w:rsidRPr="008A2E5A">
        <w:rPr>
          <w:rFonts w:ascii="Times New Roman" w:hAnsi="Times New Roman"/>
          <w:color w:val="0070C0"/>
          <w:sz w:val="16"/>
          <w:szCs w:val="16"/>
        </w:rPr>
        <w:softHyphen/>
        <w:t>вой консоли крыла, упразднили. Воздухо</w:t>
      </w:r>
      <w:r w:rsidRPr="008A2E5A">
        <w:rPr>
          <w:rFonts w:ascii="Times New Roman" w:hAnsi="Times New Roman"/>
          <w:color w:val="0070C0"/>
          <w:sz w:val="16"/>
          <w:szCs w:val="16"/>
        </w:rPr>
        <w:softHyphen/>
        <w:t>заборники карбюраторов, ранее имев</w:t>
      </w:r>
      <w:r w:rsidRPr="008A2E5A">
        <w:rPr>
          <w:rFonts w:ascii="Times New Roman" w:hAnsi="Times New Roman"/>
          <w:color w:val="0070C0"/>
          <w:sz w:val="16"/>
          <w:szCs w:val="16"/>
        </w:rPr>
        <w:softHyphen/>
        <w:t>шие круглое сечение, стали квадратными и уже на заводе комплектовались фильт</w:t>
      </w:r>
      <w:r w:rsidRPr="008A2E5A">
        <w:rPr>
          <w:rFonts w:ascii="Times New Roman" w:hAnsi="Times New Roman"/>
          <w:color w:val="0070C0"/>
          <w:sz w:val="16"/>
          <w:szCs w:val="16"/>
        </w:rPr>
        <w:softHyphen/>
        <w:t>рами. Значительная часть доработок бы</w:t>
      </w:r>
      <w:r w:rsidRPr="008A2E5A">
        <w:rPr>
          <w:rFonts w:ascii="Times New Roman" w:hAnsi="Times New Roman"/>
          <w:color w:val="0070C0"/>
          <w:sz w:val="16"/>
          <w:szCs w:val="16"/>
        </w:rPr>
        <w:softHyphen/>
        <w:t>ла вызвана проблемами, вскрывшимися в ходе эксплуатации Hs 129В в строю. В частности, пришлось вносить изменения в гидравлическую систему, автомат из</w:t>
      </w:r>
      <w:r w:rsidRPr="008A2E5A">
        <w:rPr>
          <w:rFonts w:ascii="Times New Roman" w:hAnsi="Times New Roman"/>
          <w:color w:val="0070C0"/>
          <w:sz w:val="16"/>
          <w:szCs w:val="16"/>
        </w:rPr>
        <w:softHyphen/>
        <w:t>менения шага винта, колесные тормоза и пр. Дольше всего не удавалось справить</w:t>
      </w:r>
      <w:r w:rsidRPr="008A2E5A">
        <w:rPr>
          <w:rFonts w:ascii="Times New Roman" w:hAnsi="Times New Roman"/>
          <w:color w:val="0070C0"/>
          <w:sz w:val="16"/>
          <w:szCs w:val="16"/>
        </w:rPr>
        <w:softHyphen/>
        <w:t>ся с уязвимостью двигателей для пыли и песка передовых аэродромов - лишь упоминавшаяся комплектация воздухоза</w:t>
      </w:r>
      <w:r w:rsidRPr="008A2E5A">
        <w:rPr>
          <w:rFonts w:ascii="Times New Roman" w:hAnsi="Times New Roman"/>
          <w:color w:val="0070C0"/>
          <w:sz w:val="16"/>
          <w:szCs w:val="16"/>
        </w:rPr>
        <w:softHyphen/>
        <w:t>борников карбюраторов фильтрами поз</w:t>
      </w:r>
      <w:r w:rsidRPr="008A2E5A">
        <w:rPr>
          <w:rFonts w:ascii="Times New Roman" w:hAnsi="Times New Roman"/>
          <w:color w:val="0070C0"/>
          <w:sz w:val="16"/>
          <w:szCs w:val="16"/>
        </w:rPr>
        <w:softHyphen/>
        <w:t>волила снизить остроту этой проблемы. Некоторые предлагавшиеся изменения были отвергнуты по различным причи</w:t>
      </w:r>
      <w:r w:rsidRPr="008A2E5A">
        <w:rPr>
          <w:rFonts w:ascii="Times New Roman" w:hAnsi="Times New Roman"/>
          <w:color w:val="0070C0"/>
          <w:sz w:val="16"/>
          <w:szCs w:val="16"/>
        </w:rPr>
        <w:softHyphen/>
        <w:t>нам. Например, на самолете W.Nr. 0266 для улучшения обзора вместо плоских боковых панелей фонаря кабины устано</w:t>
      </w:r>
      <w:r w:rsidRPr="008A2E5A">
        <w:rPr>
          <w:rFonts w:ascii="Times New Roman" w:hAnsi="Times New Roman"/>
          <w:color w:val="0070C0"/>
          <w:sz w:val="16"/>
          <w:szCs w:val="16"/>
        </w:rPr>
        <w:softHyphen/>
        <w:t>вили выпуклые. Но на деле никакого улучшения не произошло - напротив, но</w:t>
      </w:r>
      <w:r w:rsidRPr="008A2E5A">
        <w:rPr>
          <w:rFonts w:ascii="Times New Roman" w:hAnsi="Times New Roman"/>
          <w:color w:val="0070C0"/>
          <w:sz w:val="16"/>
          <w:szCs w:val="16"/>
        </w:rPr>
        <w:softHyphen/>
        <w:t>вые панели имели недопустимый коэф</w:t>
      </w:r>
      <w:r w:rsidRPr="008A2E5A">
        <w:rPr>
          <w:rFonts w:ascii="Times New Roman" w:hAnsi="Times New Roman"/>
          <w:color w:val="0070C0"/>
          <w:sz w:val="16"/>
          <w:szCs w:val="16"/>
        </w:rPr>
        <w:softHyphen/>
        <w:t>фициент искажения, и самолеты продол</w:t>
      </w:r>
      <w:r w:rsidRPr="008A2E5A">
        <w:rPr>
          <w:rFonts w:ascii="Times New Roman" w:hAnsi="Times New Roman"/>
          <w:color w:val="0070C0"/>
          <w:sz w:val="16"/>
          <w:szCs w:val="16"/>
        </w:rPr>
        <w:softHyphen/>
        <w:t>жали выпускать со старыми фонарями (24189).</w:t>
      </w:r>
    </w:p>
    <w:p w14:paraId="6D705543" w14:textId="77777777" w:rsidR="00924D84" w:rsidRPr="008A2E5A" w:rsidRDefault="00924D84" w:rsidP="00924D84">
      <w:pPr>
        <w:spacing w:after="0" w:line="240" w:lineRule="auto"/>
        <w:jc w:val="both"/>
        <w:rPr>
          <w:rFonts w:ascii="Times New Roman" w:hAnsi="Times New Roman"/>
          <w:color w:val="0070C0"/>
          <w:sz w:val="16"/>
          <w:szCs w:val="16"/>
        </w:rPr>
      </w:pPr>
    </w:p>
    <w:p w14:paraId="6DE5F511" w14:textId="77777777" w:rsidR="00491415" w:rsidRPr="008A2E5A" w:rsidRDefault="00491415" w:rsidP="004914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1942 был готов первый опытный Ме.163В, а второй в июле 1942 г. Однако самоле</w:t>
      </w:r>
      <w:r w:rsidRPr="008A2E5A">
        <w:rPr>
          <w:rFonts w:ascii="Times New Roman" w:hAnsi="Times New Roman"/>
          <w:color w:val="0070C0"/>
          <w:sz w:val="16"/>
          <w:szCs w:val="16"/>
        </w:rPr>
        <w:softHyphen/>
        <w:t>ты оказались без двигателей - при ис</w:t>
      </w:r>
      <w:r w:rsidRPr="008A2E5A">
        <w:rPr>
          <w:rFonts w:ascii="Times New Roman" w:hAnsi="Times New Roman"/>
          <w:color w:val="0070C0"/>
          <w:sz w:val="16"/>
          <w:szCs w:val="16"/>
        </w:rPr>
        <w:softHyphen/>
        <w:t>пытаниях Rll. 211 возникли проблемы. ЖРД удалось доработать до летной год</w:t>
      </w:r>
      <w:r w:rsidRPr="008A2E5A">
        <w:rPr>
          <w:rFonts w:ascii="Times New Roman" w:hAnsi="Times New Roman"/>
          <w:color w:val="0070C0"/>
          <w:sz w:val="16"/>
          <w:szCs w:val="16"/>
        </w:rPr>
        <w:softHyphen/>
        <w:t>ности только летом 1943 г., но даже тогда он все еще считался эксперимен</w:t>
      </w:r>
      <w:r w:rsidRPr="008A2E5A">
        <w:rPr>
          <w:rFonts w:ascii="Times New Roman" w:hAnsi="Times New Roman"/>
          <w:color w:val="0070C0"/>
          <w:sz w:val="16"/>
          <w:szCs w:val="16"/>
        </w:rPr>
        <w:softHyphen/>
        <w:t>тальным.</w:t>
      </w:r>
    </w:p>
    <w:p w14:paraId="29F79027" w14:textId="77777777" w:rsidR="00491415" w:rsidRPr="008A2E5A" w:rsidRDefault="00491415" w:rsidP="004914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этому времени со сбороч</w:t>
      </w:r>
      <w:r w:rsidRPr="008A2E5A">
        <w:rPr>
          <w:rFonts w:ascii="Times New Roman" w:hAnsi="Times New Roman"/>
          <w:color w:val="0070C0"/>
          <w:sz w:val="16"/>
          <w:szCs w:val="16"/>
        </w:rPr>
        <w:softHyphen/>
        <w:t>ной линии сошли уже более 40 самоле</w:t>
      </w:r>
      <w:r w:rsidRPr="008A2E5A">
        <w:rPr>
          <w:rFonts w:ascii="Times New Roman" w:hAnsi="Times New Roman"/>
          <w:color w:val="0070C0"/>
          <w:sz w:val="16"/>
          <w:szCs w:val="16"/>
        </w:rPr>
        <w:softHyphen/>
        <w:t>тов, ожидавших поставок двигателя; еще 11 были уничтожены налетом аме</w:t>
      </w:r>
      <w:r w:rsidRPr="008A2E5A">
        <w:rPr>
          <w:rFonts w:ascii="Times New Roman" w:hAnsi="Times New Roman"/>
          <w:color w:val="0070C0"/>
          <w:sz w:val="16"/>
          <w:szCs w:val="16"/>
        </w:rPr>
        <w:softHyphen/>
        <w:t>риканской авиации 17 августа 1943 г.</w:t>
      </w:r>
    </w:p>
    <w:p w14:paraId="1961EF21" w14:textId="77777777" w:rsidR="00491415" w:rsidRPr="008A2E5A" w:rsidRDefault="00491415" w:rsidP="004914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RII-211 прибыл в Пене</w:t>
      </w:r>
      <w:r w:rsidRPr="008A2E5A">
        <w:rPr>
          <w:rFonts w:ascii="Times New Roman" w:hAnsi="Times New Roman"/>
          <w:color w:val="0070C0"/>
          <w:sz w:val="16"/>
          <w:szCs w:val="16"/>
        </w:rPr>
        <w:softHyphen/>
        <w:t>мюнде в июле 1943 г. и был вскоре установлен на Ме.163 V2. В августе 1943 г. летчик-испытатель Рудольф Опиц (Rudolf Opitz), совершая первый моторный полет на Ме.163В V2, ока</w:t>
      </w:r>
      <w:r w:rsidRPr="008A2E5A">
        <w:rPr>
          <w:rFonts w:ascii="Times New Roman" w:hAnsi="Times New Roman"/>
          <w:color w:val="0070C0"/>
          <w:sz w:val="16"/>
          <w:szCs w:val="16"/>
        </w:rPr>
        <w:softHyphen/>
        <w:t>зался на краю гибели: во время разбе</w:t>
      </w:r>
      <w:r w:rsidRPr="008A2E5A">
        <w:rPr>
          <w:rFonts w:ascii="Times New Roman" w:hAnsi="Times New Roman"/>
          <w:color w:val="0070C0"/>
          <w:sz w:val="16"/>
          <w:szCs w:val="16"/>
        </w:rPr>
        <w:softHyphen/>
        <w:t>га взлетная тележка отделилась еще до момента отрыва, и самолет соско</w:t>
      </w:r>
      <w:r w:rsidRPr="008A2E5A">
        <w:rPr>
          <w:rFonts w:ascii="Times New Roman" w:hAnsi="Times New Roman"/>
          <w:color w:val="0070C0"/>
          <w:sz w:val="16"/>
          <w:szCs w:val="16"/>
        </w:rPr>
        <w:softHyphen/>
        <w:t>чил с нее вперед на посадочную лыжу. Летчик сумел поднять аппарат в воз</w:t>
      </w:r>
      <w:r w:rsidRPr="008A2E5A">
        <w:rPr>
          <w:rFonts w:ascii="Times New Roman" w:hAnsi="Times New Roman"/>
          <w:color w:val="0070C0"/>
          <w:sz w:val="16"/>
          <w:szCs w:val="16"/>
        </w:rPr>
        <w:softHyphen/>
        <w:t>дух до границы аэродрома, но на этом его приключения не кончились. При наборе высоты в кабину стали прони</w:t>
      </w:r>
      <w:r w:rsidRPr="008A2E5A">
        <w:rPr>
          <w:rFonts w:ascii="Times New Roman" w:hAnsi="Times New Roman"/>
          <w:color w:val="0070C0"/>
          <w:sz w:val="16"/>
          <w:szCs w:val="16"/>
        </w:rPr>
        <w:softHyphen/>
        <w:t>кать пары перекиси. К счастью, за</w:t>
      </w:r>
      <w:r w:rsidRPr="008A2E5A">
        <w:rPr>
          <w:rFonts w:ascii="Times New Roman" w:hAnsi="Times New Roman"/>
          <w:color w:val="0070C0"/>
          <w:sz w:val="16"/>
          <w:szCs w:val="16"/>
        </w:rPr>
        <w:softHyphen/>
        <w:t>правка была рассчитана всего на две минуты полета, и, когда двигатель ос</w:t>
      </w:r>
      <w:r w:rsidRPr="008A2E5A">
        <w:rPr>
          <w:rFonts w:ascii="Times New Roman" w:hAnsi="Times New Roman"/>
          <w:color w:val="0070C0"/>
          <w:sz w:val="16"/>
          <w:szCs w:val="16"/>
        </w:rPr>
        <w:softHyphen/>
        <w:t>тановился, Опиц посадил самолет, хотя почти ничего не видел (23388).</w:t>
      </w:r>
    </w:p>
    <w:p w14:paraId="5D1F78FD" w14:textId="77777777" w:rsidR="00491415" w:rsidRPr="008A2E5A" w:rsidRDefault="00491415" w:rsidP="00491415">
      <w:pPr>
        <w:spacing w:after="0" w:line="240" w:lineRule="auto"/>
        <w:jc w:val="both"/>
        <w:rPr>
          <w:rFonts w:ascii="Times New Roman" w:hAnsi="Times New Roman"/>
          <w:color w:val="0070C0"/>
          <w:sz w:val="16"/>
          <w:szCs w:val="16"/>
        </w:rPr>
      </w:pPr>
    </w:p>
    <w:p w14:paraId="1B715E00" w14:textId="77777777" w:rsidR="00491415" w:rsidRPr="008A2E5A" w:rsidRDefault="00491415" w:rsidP="0049141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апреле 1942 г. Годдард создал ракетный ускоритель взлета на жидком топливе для четырехмоторного гидросамолёта PB2Y «Coronado», не ожидая заключения контракта. Ускоритель получил обозначение JATO (Jet-Assisted-Take-Off). Тогда же Фишер сообщил Годдарду, что командование морской авиации хотело бы перенести его работы на полигон </w:t>
      </w:r>
      <w:proofErr w:type="gramStart"/>
      <w:r w:rsidRPr="008A2E5A">
        <w:rPr>
          <w:rFonts w:ascii="Times New Roman" w:hAnsi="Times New Roman"/>
          <w:color w:val="0070C0"/>
          <w:sz w:val="16"/>
          <w:szCs w:val="16"/>
        </w:rPr>
        <w:t>в  Аннаполисе</w:t>
      </w:r>
      <w:proofErr w:type="gramEnd"/>
      <w:r w:rsidRPr="008A2E5A">
        <w:rPr>
          <w:rFonts w:ascii="Times New Roman" w:hAnsi="Times New Roman"/>
          <w:color w:val="0070C0"/>
          <w:sz w:val="16"/>
          <w:szCs w:val="16"/>
        </w:rPr>
        <w:t xml:space="preserve">. Жена Годдарда возражала, понимая, что переезд </w:t>
      </w:r>
      <w:proofErr w:type="gramStart"/>
      <w:r w:rsidRPr="008A2E5A">
        <w:rPr>
          <w:rFonts w:ascii="Times New Roman" w:hAnsi="Times New Roman"/>
          <w:color w:val="0070C0"/>
          <w:sz w:val="16"/>
          <w:szCs w:val="16"/>
        </w:rPr>
        <w:t>в  сырой</w:t>
      </w:r>
      <w:proofErr w:type="gramEnd"/>
      <w:r w:rsidRPr="008A2E5A">
        <w:rPr>
          <w:rFonts w:ascii="Times New Roman" w:hAnsi="Times New Roman"/>
          <w:color w:val="0070C0"/>
          <w:sz w:val="16"/>
          <w:szCs w:val="16"/>
        </w:rPr>
        <w:t xml:space="preserve"> климат штата Мэриленд вызовет ухудшение здоровья Роберта. Но Годдард сказал ей: «Эстер, идет война!» Фишер тоже предлагал ему остаться </w:t>
      </w:r>
      <w:proofErr w:type="gramStart"/>
      <w:r w:rsidRPr="008A2E5A">
        <w:rPr>
          <w:rFonts w:ascii="Times New Roman" w:hAnsi="Times New Roman"/>
          <w:color w:val="0070C0"/>
          <w:sz w:val="16"/>
          <w:szCs w:val="16"/>
        </w:rPr>
        <w:t>в  Розуэлле</w:t>
      </w:r>
      <w:proofErr w:type="gramEnd"/>
      <w:r w:rsidRPr="008A2E5A">
        <w:rPr>
          <w:rFonts w:ascii="Times New Roman" w:hAnsi="Times New Roman"/>
          <w:color w:val="0070C0"/>
          <w:sz w:val="16"/>
          <w:szCs w:val="16"/>
        </w:rPr>
        <w:t xml:space="preserve">. Годдард ответил: «Я надеюсь, что после войны вы попросите меня </w:t>
      </w:r>
      <w:proofErr w:type="gramStart"/>
      <w:r w:rsidRPr="008A2E5A">
        <w:rPr>
          <w:rFonts w:ascii="Times New Roman" w:hAnsi="Times New Roman"/>
          <w:color w:val="0070C0"/>
          <w:sz w:val="16"/>
          <w:szCs w:val="16"/>
        </w:rPr>
        <w:t>о  чём</w:t>
      </w:r>
      <w:proofErr w:type="gramEnd"/>
      <w:r w:rsidRPr="008A2E5A">
        <w:rPr>
          <w:rFonts w:ascii="Times New Roman" w:hAnsi="Times New Roman"/>
          <w:color w:val="0070C0"/>
          <w:sz w:val="16"/>
          <w:szCs w:val="16"/>
        </w:rPr>
        <w:t xml:space="preserve">-то более серьёзном». Он мечтал </w:t>
      </w:r>
      <w:proofErr w:type="gramStart"/>
      <w:r w:rsidRPr="008A2E5A">
        <w:rPr>
          <w:rFonts w:ascii="Times New Roman" w:hAnsi="Times New Roman"/>
          <w:color w:val="0070C0"/>
          <w:sz w:val="16"/>
          <w:szCs w:val="16"/>
        </w:rPr>
        <w:t>о  финансовой</w:t>
      </w:r>
      <w:proofErr w:type="gramEnd"/>
      <w:r w:rsidRPr="008A2E5A">
        <w:rPr>
          <w:rFonts w:ascii="Times New Roman" w:hAnsi="Times New Roman"/>
          <w:color w:val="0070C0"/>
          <w:sz w:val="16"/>
          <w:szCs w:val="16"/>
        </w:rPr>
        <w:t xml:space="preserve"> поддержке военных (23372).</w:t>
      </w:r>
    </w:p>
    <w:p w14:paraId="672FE28A" w14:textId="77777777" w:rsidR="00491415" w:rsidRPr="008A2E5A" w:rsidRDefault="00491415" w:rsidP="00491415">
      <w:pPr>
        <w:spacing w:after="0" w:line="240" w:lineRule="auto"/>
        <w:jc w:val="both"/>
        <w:rPr>
          <w:rFonts w:ascii="Times New Roman" w:hAnsi="Times New Roman"/>
          <w:color w:val="0070C0"/>
          <w:sz w:val="16"/>
          <w:szCs w:val="16"/>
        </w:rPr>
      </w:pPr>
    </w:p>
    <w:p w14:paraId="49B8501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1942 года началась серийная постройка самолетов CW-20 Кертисс Командо, один экз. которого попал в СССР, под названием С-46. За годы войны их выпустили около полутора тысяч (3457,140).</w:t>
      </w:r>
    </w:p>
    <w:p w14:paraId="3EE675C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64FD2" w14:textId="77777777" w:rsidR="00742BBD" w:rsidRPr="008127F8" w:rsidRDefault="00742B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Командование бомбардировщиков Королевских ВВС четыре раза совершает налеты на Росток, чтобы продолжить эксперименты с первой волной бомбардировщиков, поджигающих центр города, чтобы направить последующие волны к цели. Рейды успешны. Из 520 участвующих бомбардировщиков восемь потеряно (20793).</w:t>
      </w:r>
    </w:p>
    <w:p w14:paraId="2F30E7AF" w14:textId="77777777" w:rsidR="00742BBD" w:rsidRPr="008127F8" w:rsidRDefault="00742BBD" w:rsidP="001E0A84">
      <w:pPr>
        <w:spacing w:after="0" w:line="240" w:lineRule="auto"/>
        <w:jc w:val="both"/>
        <w:rPr>
          <w:rFonts w:ascii="Times New Roman" w:hAnsi="Times New Roman"/>
          <w:color w:val="000000" w:themeColor="text1"/>
          <w:sz w:val="16"/>
          <w:szCs w:val="16"/>
        </w:rPr>
      </w:pPr>
    </w:p>
    <w:p w14:paraId="2A4115D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немцы близ Туниса захватили потерпевший аварию Хадсон, оснащенный РЛС ASV-1 и не его основе сделали приемник, которым вооружили ПЛ и вновь пришлось использовать прожектора (1082,5).</w:t>
      </w:r>
    </w:p>
    <w:p w14:paraId="1DEF4B3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92E50" w14:textId="77777777" w:rsidR="00742BBD" w:rsidRPr="008127F8" w:rsidRDefault="00742B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Fliegerkorps X Люфтваффе присоединяется к Fliegerkorps II в кампании немецкой авиации против Мальты (20793).</w:t>
      </w:r>
    </w:p>
    <w:p w14:paraId="47828B2E" w14:textId="77777777" w:rsidR="00742BBD" w:rsidRPr="008127F8" w:rsidRDefault="00742BBD" w:rsidP="001E0A84">
      <w:pPr>
        <w:spacing w:after="0" w:line="240" w:lineRule="auto"/>
        <w:jc w:val="both"/>
        <w:rPr>
          <w:rFonts w:ascii="Times New Roman" w:hAnsi="Times New Roman"/>
          <w:color w:val="000000" w:themeColor="text1"/>
          <w:sz w:val="16"/>
          <w:szCs w:val="16"/>
        </w:rPr>
      </w:pPr>
    </w:p>
    <w:p w14:paraId="76222E90" w14:textId="77777777" w:rsidR="00742BBD" w:rsidRPr="008127F8" w:rsidRDefault="00742B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w:t>
      </w:r>
      <w:proofErr w:type="gramStart"/>
      <w:r w:rsidRPr="008127F8">
        <w:rPr>
          <w:rFonts w:ascii="Times New Roman" w:hAnsi="Times New Roman"/>
          <w:color w:val="000000" w:themeColor="text1"/>
          <w:sz w:val="16"/>
          <w:szCs w:val="16"/>
        </w:rPr>
        <w:t>1942  Военно</w:t>
      </w:r>
      <w:proofErr w:type="gramEnd"/>
      <w:r w:rsidRPr="008127F8">
        <w:rPr>
          <w:rFonts w:ascii="Times New Roman" w:hAnsi="Times New Roman"/>
          <w:color w:val="000000" w:themeColor="text1"/>
          <w:sz w:val="16"/>
          <w:szCs w:val="16"/>
        </w:rPr>
        <w:t>-воздушные силы армии США создают Девятые воздушные силы (20793).</w:t>
      </w:r>
    </w:p>
    <w:p w14:paraId="186135C3" w14:textId="77777777" w:rsidR="00742BBD" w:rsidRPr="008127F8" w:rsidRDefault="00742BBD" w:rsidP="001E0A84">
      <w:pPr>
        <w:spacing w:after="0" w:line="240" w:lineRule="auto"/>
        <w:jc w:val="both"/>
        <w:rPr>
          <w:rFonts w:ascii="Times New Roman" w:hAnsi="Times New Roman"/>
          <w:color w:val="000000" w:themeColor="text1"/>
          <w:sz w:val="16"/>
          <w:szCs w:val="16"/>
        </w:rPr>
      </w:pPr>
    </w:p>
    <w:p w14:paraId="64583F99" w14:textId="77777777" w:rsidR="00742BBD" w:rsidRPr="008127F8" w:rsidRDefault="00742B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в рамках подразделение Fisher Body компании General Motors создает подразделение по авиации. В конечном итоге будет разработан Fisher P-75 Eagle (20793).</w:t>
      </w:r>
    </w:p>
    <w:p w14:paraId="288CAE8B" w14:textId="77777777" w:rsidR="00742BBD" w:rsidRPr="008127F8" w:rsidRDefault="00742BBD" w:rsidP="001E0A84">
      <w:pPr>
        <w:spacing w:after="0" w:line="240" w:lineRule="auto"/>
        <w:jc w:val="both"/>
        <w:rPr>
          <w:rFonts w:ascii="Times New Roman" w:hAnsi="Times New Roman"/>
          <w:color w:val="000000" w:themeColor="text1"/>
          <w:sz w:val="16"/>
          <w:szCs w:val="16"/>
        </w:rPr>
      </w:pPr>
    </w:p>
    <w:p w14:paraId="3810DBCB" w14:textId="77777777" w:rsidR="00742BBD" w:rsidRPr="008127F8" w:rsidRDefault="00742B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Луссер закончил проект крылатой ракеты под обозначением Р-35. Она могла доставить боеголовку весом 500 кг на дальность около 300 км, со скоростью 700 км/ч. Люфтваффе с восторгом поддержало это предложение и 19 июня 1942 года включило совместный проект ракеты Argus-Fieseler в свою программу разработки ракетного оружия «Вулкан». Р-35 был переименован в Fieseler Fi-103, а в документах Люфтваффе крылатую ракету стали именовать Kirschkern — «Вишневая косточка». К реализации проекта подключились фирма Askania — отвечала за систему управления, и фирма Rheinmetall-Borsig — создавала наземную пусковую установку (22878).</w:t>
      </w:r>
    </w:p>
    <w:p w14:paraId="79CCD7A7" w14:textId="77777777" w:rsidR="00742BBD" w:rsidRPr="008127F8" w:rsidRDefault="00742BBD" w:rsidP="001E0A84">
      <w:pPr>
        <w:spacing w:after="0" w:line="240" w:lineRule="auto"/>
        <w:jc w:val="both"/>
        <w:rPr>
          <w:rFonts w:ascii="Times New Roman" w:hAnsi="Times New Roman"/>
          <w:color w:val="000000" w:themeColor="text1"/>
          <w:sz w:val="16"/>
          <w:szCs w:val="16"/>
        </w:rPr>
      </w:pPr>
    </w:p>
    <w:p w14:paraId="00267294" w14:textId="77777777" w:rsidR="00BC162F" w:rsidRPr="008127F8" w:rsidRDefault="00BC162F" w:rsidP="001E0A84">
      <w:pPr>
        <w:pStyle w:val="af"/>
        <w:spacing w:before="0" w:after="0"/>
        <w:jc w:val="both"/>
        <w:textAlignment w:val="baseline"/>
        <w:rPr>
          <w:color w:val="000000" w:themeColor="text1"/>
          <w:sz w:val="16"/>
          <w:szCs w:val="16"/>
        </w:rPr>
      </w:pPr>
      <w:r w:rsidRPr="008127F8">
        <w:rPr>
          <w:color w:val="000000" w:themeColor="text1"/>
          <w:sz w:val="16"/>
          <w:szCs w:val="16"/>
        </w:rPr>
        <w:t>В апреле 1942 года заводом Fisher Tank Arsenal были сданы первые машины типа Medium Tank M4A2. Высокая степень унификации позволила обойтись минимальными переделками шасси. Основные внешние изменения M4A2 заключались в надмоторной плите и кормовой части корпуса. Всего же M4A2 выпускался силами пяти заводов. За время выпуска, который продолжался по май 1944 года, было сдано 8053 танка данного типа, из которых 4614, то есть больше половины, пришлось на Fisher.</w:t>
      </w:r>
    </w:p>
    <w:p w14:paraId="5E063E34" w14:textId="5ACB074E" w:rsidR="00BC162F" w:rsidRPr="008127F8" w:rsidRDefault="00BC162F" w:rsidP="001E0A84">
      <w:pPr>
        <w:pStyle w:val="af"/>
        <w:spacing w:before="0" w:after="0"/>
        <w:jc w:val="both"/>
        <w:textAlignment w:val="baseline"/>
        <w:rPr>
          <w:color w:val="000000" w:themeColor="text1"/>
          <w:sz w:val="16"/>
          <w:szCs w:val="16"/>
        </w:rPr>
      </w:pPr>
      <w:r w:rsidRPr="008127F8">
        <w:rPr>
          <w:color w:val="000000" w:themeColor="text1"/>
          <w:sz w:val="16"/>
          <w:szCs w:val="16"/>
        </w:rPr>
        <w:t xml:space="preserve">Дизельный танк самим американцам был почти не нужен. Армия использовала боевые машины с бензиновыми моторами, а дизельные машины скорее являлись прерогативой флота. Неудивительно, что в США осталось всего 640 танков данного типа. Значительная часть оставшихся машин оказалась в морской пехоте. Что же касается остальных танков, то львиная доля (5041 танк) ушла англичанам. Sherman III, как он назывался в британской армии, стал вторым по массовости зарубежным </w:t>
      </w:r>
      <w:r w:rsidRPr="008127F8">
        <w:rPr>
          <w:color w:val="000000" w:themeColor="text1"/>
          <w:sz w:val="16"/>
          <w:szCs w:val="16"/>
        </w:rPr>
        <w:lastRenderedPageBreak/>
        <w:t>танком, уступая только</w:t>
      </w:r>
      <w:r w:rsidR="008127F8">
        <w:rPr>
          <w:color w:val="000000" w:themeColor="text1"/>
          <w:sz w:val="16"/>
          <w:szCs w:val="16"/>
        </w:rPr>
        <w:t xml:space="preserve">  </w:t>
      </w:r>
      <w:hyperlink r:id="rId127" w:history="1">
        <w:r w:rsidRPr="008127F8">
          <w:rPr>
            <w:rStyle w:val="a6"/>
            <w:bCs/>
            <w:iCs/>
            <w:color w:val="000000" w:themeColor="text1"/>
            <w:sz w:val="16"/>
            <w:szCs w:val="16"/>
            <w:u w:val="none"/>
            <w:bdr w:val="none" w:sz="0" w:space="0" w:color="auto" w:frame="1"/>
          </w:rPr>
          <w:t>Sherman V (M4A4)</w:t>
        </w:r>
      </w:hyperlink>
      <w:r w:rsidRPr="008127F8">
        <w:rPr>
          <w:color w:val="000000" w:themeColor="text1"/>
          <w:sz w:val="16"/>
          <w:szCs w:val="16"/>
        </w:rPr>
        <w:t xml:space="preserve"> (19038).</w:t>
      </w:r>
    </w:p>
    <w:p w14:paraId="308D31B3" w14:textId="77777777" w:rsidR="00BC162F" w:rsidRPr="008127F8" w:rsidRDefault="00BC162F" w:rsidP="001E0A84">
      <w:pPr>
        <w:pStyle w:val="af"/>
        <w:spacing w:before="0" w:after="0"/>
        <w:jc w:val="both"/>
        <w:textAlignment w:val="baseline"/>
        <w:rPr>
          <w:color w:val="000000" w:themeColor="text1"/>
          <w:sz w:val="16"/>
          <w:szCs w:val="16"/>
        </w:rPr>
      </w:pPr>
    </w:p>
    <w:p w14:paraId="33B87BF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реактор L-IV в Лейпциге, содержащий 140 кг тяжелой воды и 775 кг уранового порошка в концентрических сферах показал генерирование 13% нейтронов. Гейзенберг считал, что потребуется 5 т тяжелой воды и 10 т металлического урана. Реактор погиб в пожаре в июне 1942 и работы в Лейпциге после этого прекратились (2221).</w:t>
      </w:r>
    </w:p>
    <w:p w14:paraId="477887B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909E55" w14:textId="77777777" w:rsidR="00742BBD" w:rsidRPr="008127F8" w:rsidRDefault="00742BBD"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г. в США были проведены испытания оборудованного «Блоком-1» старого торпедоносца, который атаковал в беспилотном режиме эсминец практической торпедой. Торпеда прошла под корпусом </w:t>
      </w:r>
      <w:proofErr w:type="gramStart"/>
      <w:r w:rsidRPr="008127F8">
        <w:rPr>
          <w:rFonts w:ascii="Times New Roman" w:hAnsi="Times New Roman"/>
          <w:color w:val="000000" w:themeColor="text1"/>
          <w:sz w:val="16"/>
          <w:szCs w:val="16"/>
        </w:rPr>
        <w:t>эсминца, несмотря на то, что</w:t>
      </w:r>
      <w:proofErr w:type="gramEnd"/>
      <w:r w:rsidRPr="008127F8">
        <w:rPr>
          <w:rFonts w:ascii="Times New Roman" w:hAnsi="Times New Roman"/>
          <w:color w:val="000000" w:themeColor="text1"/>
          <w:sz w:val="16"/>
          <w:szCs w:val="16"/>
        </w:rPr>
        <w:t xml:space="preserve"> тот активно уклонялся. Торпедоносец наводился с наземного пункта управления, расположенного за восемь миль от места атаки, вне зоны прямой видимости. Эйфория от успеха вскружила головы некоторым адмиралам, пожелавшим сформировать 18 эскадрилий, оснащенные двумя тысячами самолетов-роботов, переоборудованных из старых торпедоносцев. Однако новый руководитель Бюро аэронавтики контр-адмирал Джон Х. Tауэр поставил под сомнение целесообразность траты огромных ресурсов на программу, боевая эффективность которой сомнительна. В ответ руководители проекта предложили построить максимально дешевый летательный аппарат для замены пилотируемых самолетов в атаках на корабли противника. На том и порешили. В январе 1942 г. Военно-морскому авиастроительному заводу, входившему в состав Бюро аэронавтики, поручили разработку такого самолета и строительство четырех прототипов XTDN-1. Двухмоторный высокоплан с неубирающимся трехколесным шасси имел зарезервированную обычную пилотскую кабину с минимальным количеством приборов для проведения испытаний и перелетов. В марте 1942 г. было заказано 100 серийных самолетов. Испытания проводились как с наземного аэродрома, так и с учебного авианосца IX-81 Sable на озере Мичиган. Торпедоносец TDN-1 примечателен тем, что считается первым американским беспилотником, взлетевшим с авианосца. Несмотря на то, что самолет позиционировался как простой и дешевый, а результаты испытаний казались многообещающими, его посчитали слишком сложным и дорогостоящим для массового самоуничтожения и в бой не пустили. Построенные TDN-1 использовались для испытаний, связи и тренировок, причем некоторые из них были израсходованы в качестве воздушных мишеней. В качестве альтернативы TDN-1 был выбран TDR-1 фирмы Interstate, гарантировавшей минимальную цену. В отличие от TDN-1, это был моноплан с низко расположенным крылом. Неубирающиеся шасси с носовой стойкой также сбрасывались после взлета. Самолет оснащался двумя поршневыми двигателями Lycoming O-435-2 мощностью по 220 л. с, имел простую и технологичную конструкцию. Дешевизна предопределила низкие летные характеристики — скорость не превышала 225 км/ч, а дальность — 685 км. Вооружение самолета включало одну 900 кг авиационную торпеду или бомбы. Беспилотник оснащался телевизионной камерой Block-I с углом обзора 35 градусов, закрытой прозрачным обтекателем и радиоаппаратурой, имевшей четыре канала с фиксированными частотами, что позволяло использовать не более четырех ударных самолетов одновременно, без риска возникновения взаимных помех. Была построена серия из 200 самолетов ТDR-1, для применения которых сформировали специальную авиагруппу STAG-1. Персонал группы называл свои странные самолеты «большими деревянными ублюдками» и «собаками», что нашло отражение в официальной эмблеме, на которой был изображен летящий аист, несущий собаку (22758).</w:t>
      </w:r>
    </w:p>
    <w:p w14:paraId="1217056A" w14:textId="77777777" w:rsidR="00742BBD" w:rsidRPr="008127F8" w:rsidRDefault="00742BBD" w:rsidP="001E0A84">
      <w:pPr>
        <w:spacing w:after="0" w:line="240" w:lineRule="auto"/>
        <w:jc w:val="both"/>
        <w:rPr>
          <w:rFonts w:ascii="Times New Roman" w:hAnsi="Times New Roman"/>
          <w:color w:val="000000" w:themeColor="text1"/>
          <w:sz w:val="16"/>
          <w:szCs w:val="16"/>
        </w:rPr>
      </w:pPr>
    </w:p>
    <w:p w14:paraId="18376184" w14:textId="77777777" w:rsidR="00742BBD" w:rsidRPr="008127F8" w:rsidRDefault="00742BBD" w:rsidP="001E0A84">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1942 года начались испытания новой бомбы для поражения крупных боевых кораблей — Capital Ship Bomb (CSB), но первые бомбы поступили в 106-ю эскадрилью RAF только в августе 1943 года. Ее командир Гай Гибсон получил задачу уничтожить строящийся в Гендере линейный крейсер «Граф Шпее». В ночь на 28 августа 1943 года для удара по верфи были посланы лучшие экипажи. В ужасную погоду той ночи они нашли цель, но ни одна из шести CSB не причинила кораблю вреда. Летчики объяснили неудачу недостаточной мощностью бомбы, еще год ее пытались улучшить, но без толку. Диаметр бомбы лимитировался шириной отсека, но длинный и тонкий заряд горел неравномерно и разваливался до полной детонации. Под бомбу диаметром 45 дюймов (1143 мм) для «ланкастера» были разработаны новые створки бомболюка (22887).</w:t>
      </w:r>
    </w:p>
    <w:p w14:paraId="1FA4CCA9" w14:textId="77777777" w:rsidR="00742BBD" w:rsidRPr="008127F8" w:rsidRDefault="00742BBD" w:rsidP="001E0A84">
      <w:pPr>
        <w:shd w:val="clear" w:color="auto" w:fill="FFFFFF"/>
        <w:spacing w:after="0" w:line="240" w:lineRule="auto"/>
        <w:jc w:val="both"/>
        <w:rPr>
          <w:rFonts w:ascii="Times New Roman" w:hAnsi="Times New Roman"/>
          <w:color w:val="000000" w:themeColor="text1"/>
          <w:sz w:val="16"/>
          <w:szCs w:val="16"/>
        </w:rPr>
      </w:pPr>
    </w:p>
    <w:p w14:paraId="75FAB71D"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E4FD29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BCAC05"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и в мае 1942 представи</w:t>
      </w:r>
      <w:r w:rsidRPr="008A2E5A">
        <w:rPr>
          <w:rFonts w:ascii="Times New Roman" w:hAnsi="Times New Roman"/>
          <w:color w:val="0070C0"/>
          <w:sz w:val="16"/>
          <w:szCs w:val="16"/>
        </w:rPr>
        <w:softHyphen/>
        <w:t>тели 1-й заб составили двухсторонние акты с заводом № 24 щ течи воды, когда температура окружающего воздуха ниже нуля градусов не опускалась. Дело в том, что многочисленные случаи течи воды в соединениях трубопроводов системы, водяной помпы, головок блоков (вода появ</w:t>
      </w:r>
      <w:r w:rsidRPr="008A2E5A">
        <w:rPr>
          <w:rFonts w:ascii="Times New Roman" w:hAnsi="Times New Roman"/>
          <w:color w:val="0070C0"/>
          <w:sz w:val="16"/>
          <w:szCs w:val="16"/>
        </w:rPr>
        <w:softHyphen/>
        <w:t>лялась даже в картере мотора «по причине плохого уплотнения гильзы рубашкой»), в то время, какзавод № 24 утвер</w:t>
      </w:r>
      <w:r w:rsidRPr="008A2E5A">
        <w:rPr>
          <w:rFonts w:ascii="Times New Roman" w:hAnsi="Times New Roman"/>
          <w:color w:val="0070C0"/>
          <w:sz w:val="16"/>
          <w:szCs w:val="16"/>
        </w:rPr>
        <w:softHyphen/>
        <w:t>ждал, что из-за неграмотной эксплуа</w:t>
      </w:r>
      <w:r w:rsidRPr="008A2E5A">
        <w:rPr>
          <w:rFonts w:ascii="Times New Roman" w:hAnsi="Times New Roman"/>
          <w:color w:val="0070C0"/>
          <w:sz w:val="16"/>
          <w:szCs w:val="16"/>
        </w:rPr>
        <w:softHyphen/>
        <w:t>тации техническим составом в частях происходит замораживание системы. Отсюда и течь воды в соединениях (23346).</w:t>
      </w:r>
    </w:p>
    <w:p w14:paraId="342025B1"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повышением дневной температуры воздуха более 12-15°С участились случаи перегрева мотора. Инженер 5-го зап 1-й заб военинженер 2-го ранга Любомудров отмечал: «Сейчас у нас получается перегревание мо</w:t>
      </w:r>
      <w:r w:rsidRPr="008A2E5A">
        <w:rPr>
          <w:rFonts w:ascii="Times New Roman" w:hAnsi="Times New Roman"/>
          <w:color w:val="0070C0"/>
          <w:sz w:val="16"/>
          <w:szCs w:val="16"/>
        </w:rPr>
        <w:softHyphen/>
        <w:t xml:space="preserve">тора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не летание, а просто рыдание, необходимо пересмотреть обдув мотора. Это было и в прошлом году, и этот дефект и на сегодня, необходимо его устранить. Перепада температур масла совершенно никакого нет, самолетный завод говорит, что это дело мотора, а мотор</w:t>
      </w:r>
      <w:r w:rsidRPr="008A2E5A">
        <w:rPr>
          <w:rFonts w:ascii="Times New Roman" w:hAnsi="Times New Roman"/>
          <w:color w:val="0070C0"/>
          <w:sz w:val="16"/>
          <w:szCs w:val="16"/>
        </w:rPr>
        <w:softHyphen/>
        <w:t>ный говорит, что дело в самолете. Нужно создать автори</w:t>
      </w:r>
      <w:r w:rsidRPr="008A2E5A">
        <w:rPr>
          <w:rFonts w:ascii="Times New Roman" w:hAnsi="Times New Roman"/>
          <w:color w:val="0070C0"/>
          <w:sz w:val="16"/>
          <w:szCs w:val="16"/>
        </w:rPr>
        <w:softHyphen/>
        <w:t>тетную комиссию, которая бы занялась этим делом серь</w:t>
      </w:r>
      <w:r w:rsidRPr="008A2E5A">
        <w:rPr>
          <w:rFonts w:ascii="Times New Roman" w:hAnsi="Times New Roman"/>
          <w:color w:val="0070C0"/>
          <w:sz w:val="16"/>
          <w:szCs w:val="16"/>
        </w:rPr>
        <w:softHyphen/>
        <w:t>езно. Сам я разобраться в этом деле не могу. Этот вопрос прошу поставить на принципиальную высоту. Темпера</w:t>
      </w:r>
      <w:r w:rsidRPr="008A2E5A">
        <w:rPr>
          <w:rFonts w:ascii="Times New Roman" w:hAnsi="Times New Roman"/>
          <w:color w:val="0070C0"/>
          <w:sz w:val="16"/>
          <w:szCs w:val="16"/>
        </w:rPr>
        <w:softHyphen/>
        <w:t>тура воды доходит до 120°С, т.е. начинаешь на самолете зарулировать, как получается прямо-таки самовар».</w:t>
      </w:r>
    </w:p>
    <w:p w14:paraId="5052C41A"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Старший инженер 43-го запасного авиаполка во</w:t>
      </w:r>
      <w:r w:rsidRPr="008A2E5A">
        <w:rPr>
          <w:rFonts w:ascii="Times New Roman" w:hAnsi="Times New Roman"/>
          <w:color w:val="0070C0"/>
          <w:sz w:val="16"/>
          <w:szCs w:val="16"/>
        </w:rPr>
        <w:softHyphen/>
        <w:t>енинженер 3-го ранга Туренко докладывал, что: «Ни один мотор назначенного ему срока в 150 часов не отрабатывает. Был случай, когда один мотор наработал 145 часов и на 145 часу работы отвалился маслоагрегат, разрушился привод магнето, и оборвались все клапаны. Был составлен двухсторонний акт на этот мотор. На за</w:t>
      </w:r>
      <w:r w:rsidRPr="008A2E5A">
        <w:rPr>
          <w:rFonts w:ascii="Times New Roman" w:hAnsi="Times New Roman"/>
          <w:color w:val="0070C0"/>
          <w:sz w:val="16"/>
          <w:szCs w:val="16"/>
        </w:rPr>
        <w:softHyphen/>
        <w:t>воде разобрали, но из этого мотора не могли использо</w:t>
      </w:r>
      <w:r w:rsidRPr="008A2E5A">
        <w:rPr>
          <w:rFonts w:ascii="Times New Roman" w:hAnsi="Times New Roman"/>
          <w:color w:val="0070C0"/>
          <w:sz w:val="16"/>
          <w:szCs w:val="16"/>
        </w:rPr>
        <w:softHyphen/>
        <w:t>вать ни одного агрегата. Есть у нас один мотор, который налетал 130 часов, но и на 130 часу отвалилась правая головка блока. Температурный режим здесь роли не играет. Средняя наработка моторов 25-50 часов. Сейчас стоит у нас на аэродроме один мотор, который нарабо</w:t>
      </w:r>
      <w:r w:rsidRPr="008A2E5A">
        <w:rPr>
          <w:rFonts w:ascii="Times New Roman" w:hAnsi="Times New Roman"/>
          <w:color w:val="0070C0"/>
          <w:sz w:val="16"/>
          <w:szCs w:val="16"/>
        </w:rPr>
        <w:softHyphen/>
        <w:t>тал 10 часов. Раньше завод ссылался на плохую работу мотора в зимних условиях. Действительно, за зимний период из 18 моторов лишь один проработал 100 часов, а остальные, чтобы проработали 100 часов необходимо затратить капитального ремонта 200-250 часов. Зимой средняя наработка мотора 70-75 часов».</w:t>
      </w:r>
    </w:p>
    <w:p w14:paraId="1239FA41"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показала практика эксплуатации АМ-38, уже при на</w:t>
      </w:r>
      <w:r w:rsidRPr="008A2E5A">
        <w:rPr>
          <w:rFonts w:ascii="Times New Roman" w:hAnsi="Times New Roman"/>
          <w:color w:val="0070C0"/>
          <w:sz w:val="16"/>
          <w:szCs w:val="16"/>
        </w:rPr>
        <w:softHyphen/>
        <w:t>работке моторов от 5 до 80 ч происходили обрывы шатунов и штоков клапанов. При этом одновременно «из строя выходит целиком блок и головка мотора». Из-за отсутствия как в 1 заб, так и на заводах, складских запасов блоков и головок мотора «имеются простои самолетов». Для скорейшего ввода в строй таких моторов технический состав полков был вынужден «ра</w:t>
      </w:r>
      <w:r w:rsidRPr="008A2E5A">
        <w:rPr>
          <w:rFonts w:ascii="Times New Roman" w:hAnsi="Times New Roman"/>
          <w:color w:val="0070C0"/>
          <w:sz w:val="16"/>
          <w:szCs w:val="16"/>
        </w:rPr>
        <w:softHyphen/>
        <w:t>зорять моторы ремфонда».</w:t>
      </w:r>
    </w:p>
    <w:p w14:paraId="55425D2A"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Обрывы шатунов в воздухе обычно сопровождались пожа</w:t>
      </w:r>
      <w:r w:rsidRPr="008A2E5A">
        <w:rPr>
          <w:rFonts w:ascii="Times New Roman" w:hAnsi="Times New Roman"/>
          <w:color w:val="0070C0"/>
          <w:sz w:val="16"/>
          <w:szCs w:val="16"/>
        </w:rPr>
        <w:softHyphen/>
        <w:t>рами на самолете. Поскольку на Ил-2 отсутствовала противопо</w:t>
      </w:r>
      <w:r w:rsidRPr="008A2E5A">
        <w:rPr>
          <w:rFonts w:ascii="Times New Roman" w:hAnsi="Times New Roman"/>
          <w:color w:val="0070C0"/>
          <w:sz w:val="16"/>
          <w:szCs w:val="16"/>
        </w:rPr>
        <w:softHyphen/>
        <w:t>жарная перегородка, то пожар, как правило, заканчивался гибе</w:t>
      </w:r>
      <w:r w:rsidRPr="008A2E5A">
        <w:rPr>
          <w:rFonts w:ascii="Times New Roman" w:hAnsi="Times New Roman"/>
          <w:color w:val="0070C0"/>
          <w:sz w:val="16"/>
          <w:szCs w:val="16"/>
        </w:rPr>
        <w:softHyphen/>
        <w:t>лью летчика. Всего в результате обрыва шатунов произошло 5 катастроф, 5 аварий самолетов, одна поломка, 5 вынужденных посадок. Командиры и летчики настоятельно требовали «на всех произведенных самолетах и имеющихся на заводе поста</w:t>
      </w:r>
      <w:r w:rsidRPr="008A2E5A">
        <w:rPr>
          <w:rFonts w:ascii="Times New Roman" w:hAnsi="Times New Roman"/>
          <w:color w:val="0070C0"/>
          <w:sz w:val="16"/>
          <w:szCs w:val="16"/>
        </w:rPr>
        <w:softHyphen/>
        <w:t>вить пожарную перегородку».</w:t>
      </w:r>
    </w:p>
    <w:p w14:paraId="6DFCEE05"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обрыва шатунов считались кон</w:t>
      </w:r>
      <w:r w:rsidRPr="008A2E5A">
        <w:rPr>
          <w:rFonts w:ascii="Times New Roman" w:hAnsi="Times New Roman"/>
          <w:color w:val="0070C0"/>
          <w:sz w:val="16"/>
          <w:szCs w:val="16"/>
        </w:rPr>
        <w:softHyphen/>
        <w:t>структивные дефекты мотора АМ-38 и маслосистемы самолета Ил-2.</w:t>
      </w:r>
    </w:p>
    <w:p w14:paraId="1B4426E3"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Дело в том, что подвод масла для смазки коренных подшипников и шатунной группы на АМ-38 устроен с одной стороны. Поэтому, пока масло доходит до 1-го ша</w:t>
      </w:r>
      <w:r w:rsidRPr="008A2E5A">
        <w:rPr>
          <w:rFonts w:ascii="Times New Roman" w:hAnsi="Times New Roman"/>
          <w:color w:val="0070C0"/>
          <w:sz w:val="16"/>
          <w:szCs w:val="16"/>
        </w:rPr>
        <w:softHyphen/>
        <w:t>туна, его давление уменьшается, а температура, наобо</w:t>
      </w:r>
      <w:r w:rsidRPr="008A2E5A">
        <w:rPr>
          <w:rFonts w:ascii="Times New Roman" w:hAnsi="Times New Roman"/>
          <w:color w:val="0070C0"/>
          <w:sz w:val="16"/>
          <w:szCs w:val="16"/>
        </w:rPr>
        <w:softHyphen/>
        <w:t>рот, повышается, масло становится более загрязненным. Таким образом, «подшипники 1-го шатуна работают в худших условиях по сравнению с другими шатунами».</w:t>
      </w:r>
    </w:p>
    <w:p w14:paraId="209489B0"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«4-я коренная опора коленчатого вала работает с перегрузкой, отчего быстро увеличиваются за</w:t>
      </w:r>
      <w:r w:rsidRPr="008A2E5A">
        <w:rPr>
          <w:rFonts w:ascii="Times New Roman" w:hAnsi="Times New Roman"/>
          <w:color w:val="0070C0"/>
          <w:sz w:val="16"/>
          <w:szCs w:val="16"/>
        </w:rPr>
        <w:softHyphen/>
        <w:t>зоры в подшипнике, происходит утечка масла, для смазки 1-го шатуна масла становится недостаточно, наступает масляное голодание и происходит обрыв шатуна».</w:t>
      </w:r>
    </w:p>
    <w:p w14:paraId="7D72F9C1"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объем масла в масляной системе Ил-2 был явно недостаточным. Согласно техническим усло</w:t>
      </w:r>
      <w:r w:rsidRPr="008A2E5A">
        <w:rPr>
          <w:rFonts w:ascii="Times New Roman" w:hAnsi="Times New Roman"/>
          <w:color w:val="0070C0"/>
          <w:sz w:val="16"/>
          <w:szCs w:val="16"/>
        </w:rPr>
        <w:softHyphen/>
        <w:t>виям эксплуатации мотора АМ-38, в маслобак поначалу заправляли 25-27 л масла. Затем, в связи с обрывом шатунов, заправку масла увеличили до 35 л. Одновре</w:t>
      </w:r>
      <w:r w:rsidRPr="008A2E5A">
        <w:rPr>
          <w:rFonts w:ascii="Times New Roman" w:hAnsi="Times New Roman"/>
          <w:color w:val="0070C0"/>
          <w:sz w:val="16"/>
          <w:szCs w:val="16"/>
        </w:rPr>
        <w:softHyphen/>
        <w:t>менно завод № 24 ввел усиленные шпильки крепления крышек головок шатунов, упорядочил технологию затяжки гаек и шатунных шпилек. Однако это помогло мало - шатуны обрывались. Тогда объем заливаемого в маслосистему масла увеличили почти вдвое больше прежнего. Но шатуны про</w:t>
      </w:r>
      <w:r w:rsidRPr="008A2E5A">
        <w:rPr>
          <w:rFonts w:ascii="Times New Roman" w:hAnsi="Times New Roman"/>
          <w:color w:val="0070C0"/>
          <w:sz w:val="16"/>
          <w:szCs w:val="16"/>
        </w:rPr>
        <w:softHyphen/>
        <w:t>должали рваться.</w:t>
      </w:r>
    </w:p>
    <w:p w14:paraId="3EE452A1"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инженер завода № 24 «тов. Куинджи А.А.» так объяс</w:t>
      </w:r>
      <w:r w:rsidRPr="008A2E5A">
        <w:rPr>
          <w:rFonts w:ascii="Times New Roman" w:hAnsi="Times New Roman"/>
          <w:color w:val="0070C0"/>
          <w:sz w:val="16"/>
          <w:szCs w:val="16"/>
        </w:rPr>
        <w:softHyphen/>
        <w:t>нял «явление обрыва шатунов»: «Всего в самолете имеется 63 ли</w:t>
      </w:r>
      <w:r w:rsidRPr="008A2E5A">
        <w:rPr>
          <w:rFonts w:ascii="Times New Roman" w:hAnsi="Times New Roman"/>
          <w:color w:val="0070C0"/>
          <w:sz w:val="16"/>
          <w:szCs w:val="16"/>
        </w:rPr>
        <w:softHyphen/>
        <w:t>тра масла, 14 литров этого масла уходит в картер, 7 литров масла при существующей конструкции маслосистемы не может быть ис</w:t>
      </w:r>
      <w:r w:rsidRPr="008A2E5A">
        <w:rPr>
          <w:rFonts w:ascii="Times New Roman" w:hAnsi="Times New Roman"/>
          <w:color w:val="0070C0"/>
          <w:sz w:val="16"/>
          <w:szCs w:val="16"/>
        </w:rPr>
        <w:softHyphen/>
        <w:t>пользовано (мертвая зона бака), 7 литров остаются не использован</w:t>
      </w:r>
      <w:r w:rsidRPr="008A2E5A">
        <w:rPr>
          <w:rFonts w:ascii="Times New Roman" w:hAnsi="Times New Roman"/>
          <w:color w:val="0070C0"/>
          <w:sz w:val="16"/>
          <w:szCs w:val="16"/>
        </w:rPr>
        <w:softHyphen/>
        <w:t>ными в картере. Таким образом, на самолете общее количество масла, могущее быть израсходованным на смазку мотора, исчисляется в 24-25 литров или около 22 кг. Этого, безусловно, мало, так как по нашим подсчетам для нормальной работы мотора при возможном максимальном расходе, масла требуется 15-16 кг/час. Следовательно, количество масла в 22 кг может обеспечить только полет в течение 1,3 часа, в то время как по бензобакам полет может продолжаться в течение двух с лишним часов. Таким образом, по мере расходования этого количества масла во время полета питание маслом ухудшается и это приводит к тому, что мы называем масляным голоданием».</w:t>
      </w:r>
    </w:p>
    <w:p w14:paraId="5842CB85"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следует учитывать, что «при планиро</w:t>
      </w:r>
      <w:r w:rsidRPr="008A2E5A">
        <w:rPr>
          <w:rFonts w:ascii="Times New Roman" w:hAnsi="Times New Roman"/>
          <w:color w:val="0070C0"/>
          <w:sz w:val="16"/>
          <w:szCs w:val="16"/>
        </w:rPr>
        <w:softHyphen/>
        <w:t>вании самолета, остаток масла в баке уходит вперед, заборный штуцер оголяется, и мотор некоторое время работает без смазки».</w:t>
      </w:r>
    </w:p>
    <w:p w14:paraId="15868FC6"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Ситуация усугублялась чрезвычайно неудовлетво</w:t>
      </w:r>
      <w:r w:rsidRPr="008A2E5A">
        <w:rPr>
          <w:rFonts w:ascii="Times New Roman" w:hAnsi="Times New Roman"/>
          <w:color w:val="0070C0"/>
          <w:sz w:val="16"/>
          <w:szCs w:val="16"/>
        </w:rPr>
        <w:softHyphen/>
        <w:t>рительной конструкцией маслофильтра и отсутствием на Ил-2 воздушного пылефильтра на всасывающем па</w:t>
      </w:r>
      <w:r w:rsidRPr="008A2E5A">
        <w:rPr>
          <w:rFonts w:ascii="Times New Roman" w:hAnsi="Times New Roman"/>
          <w:color w:val="0070C0"/>
          <w:sz w:val="16"/>
          <w:szCs w:val="16"/>
        </w:rPr>
        <w:softHyphen/>
        <w:t>трубке мотора.</w:t>
      </w:r>
    </w:p>
    <w:p w14:paraId="66466C54"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по данным инженерно-авиационной службы 1-й заб уже «при наработке мотора 45 минут или час, получается загрязнение маслофильтра в месте прохода масла, при этом давление масла падает до 5 атм, доступ нужного количества масла для смазки мотора со вре</w:t>
      </w:r>
      <w:r w:rsidRPr="008A2E5A">
        <w:rPr>
          <w:rFonts w:ascii="Times New Roman" w:hAnsi="Times New Roman"/>
          <w:color w:val="0070C0"/>
          <w:sz w:val="16"/>
          <w:szCs w:val="16"/>
        </w:rPr>
        <w:softHyphen/>
        <w:t>менем прекращается, явление масляного голода совер</w:t>
      </w:r>
      <w:r w:rsidRPr="008A2E5A">
        <w:rPr>
          <w:rFonts w:ascii="Times New Roman" w:hAnsi="Times New Roman"/>
          <w:color w:val="0070C0"/>
          <w:sz w:val="16"/>
          <w:szCs w:val="16"/>
        </w:rPr>
        <w:softHyphen/>
        <w:t>шенно очевидно, отчего и происходит обрыв шатуна».</w:t>
      </w:r>
    </w:p>
    <w:p w14:paraId="36B6C4B5"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дополнение к этому, после 8-16 ч работы мотора АМ-38 в условиях пыльного аэродрома в полную не</w:t>
      </w:r>
      <w:r w:rsidRPr="008A2E5A">
        <w:rPr>
          <w:rFonts w:ascii="Times New Roman" w:hAnsi="Times New Roman"/>
          <w:color w:val="0070C0"/>
          <w:sz w:val="16"/>
          <w:szCs w:val="16"/>
        </w:rPr>
        <w:softHyphen/>
        <w:t>годность приходили поршневые кольца, цилиндры, сильно изнашивались направляющие клапанов, засо</w:t>
      </w:r>
      <w:r w:rsidRPr="008A2E5A">
        <w:rPr>
          <w:rFonts w:ascii="Times New Roman" w:hAnsi="Times New Roman"/>
          <w:color w:val="0070C0"/>
          <w:sz w:val="16"/>
          <w:szCs w:val="16"/>
        </w:rPr>
        <w:softHyphen/>
        <w:t>рялись жиклеры, нагнетатель, горючее и масло и т.д. Моторы дымили, недодавали мощности, выходили из строя. Самолеты приходилось отстранять от полетов и ставить в ремонт. Как следствие, срывался график ввода в строй и отправки на фронт маршевых полков.</w:t>
      </w:r>
    </w:p>
    <w:p w14:paraId="1CA526B4" w14:textId="77777777" w:rsidR="00AD570E" w:rsidRPr="008A2E5A" w:rsidRDefault="00AD570E" w:rsidP="00AD570E">
      <w:pPr>
        <w:spacing w:after="0" w:line="240" w:lineRule="auto"/>
        <w:jc w:val="both"/>
        <w:rPr>
          <w:rFonts w:ascii="Times New Roman" w:hAnsi="Times New Roman"/>
          <w:color w:val="0070C0"/>
          <w:sz w:val="16"/>
          <w:szCs w:val="16"/>
        </w:rPr>
      </w:pPr>
    </w:p>
    <w:p w14:paraId="3C5B8204" w14:textId="77777777" w:rsidR="006544E9" w:rsidRPr="008127F8" w:rsidRDefault="006544E9" w:rsidP="001E0A84">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апреле- мае 1942 на 166 заводе последовала 2-я серия Ту-2 (еще пять бомбардировщиков), а в мае-июне - 3-я (десять машин). В самолетах 1-й серии ис</w:t>
      </w:r>
      <w:r w:rsidRPr="008127F8">
        <w:rPr>
          <w:rFonts w:ascii="Times New Roman" w:hAnsi="Times New Roman"/>
          <w:color w:val="000000" w:themeColor="text1"/>
          <w:sz w:val="16"/>
          <w:szCs w:val="16"/>
          <w:lang w:eastAsia="ru-RU" w:bidi="ru-RU"/>
        </w:rPr>
        <w:softHyphen/>
        <w:t>пользовали часть узлов и агрегатов, сде</w:t>
      </w:r>
      <w:r w:rsidRPr="008127F8">
        <w:rPr>
          <w:rFonts w:ascii="Times New Roman" w:hAnsi="Times New Roman"/>
          <w:color w:val="000000" w:themeColor="text1"/>
          <w:sz w:val="16"/>
          <w:szCs w:val="16"/>
          <w:lang w:eastAsia="ru-RU" w:bidi="ru-RU"/>
        </w:rPr>
        <w:softHyphen/>
        <w:t>ланных еще в Москве и эвакуированных в Омск с заводом №156, далее все изго</w:t>
      </w:r>
      <w:r w:rsidRPr="008127F8">
        <w:rPr>
          <w:rFonts w:ascii="Times New Roman" w:hAnsi="Times New Roman"/>
          <w:color w:val="000000" w:themeColor="text1"/>
          <w:sz w:val="16"/>
          <w:szCs w:val="16"/>
          <w:lang w:eastAsia="ru-RU" w:bidi="ru-RU"/>
        </w:rPr>
        <w:softHyphen/>
        <w:t>тавливалось на месте.</w:t>
      </w:r>
    </w:p>
    <w:p w14:paraId="1D979F65" w14:textId="77777777" w:rsidR="006544E9" w:rsidRPr="008127F8" w:rsidRDefault="006544E9"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Все самолеты 1-й и 2-й серий комплек</w:t>
      </w:r>
      <w:r w:rsidRPr="008127F8">
        <w:rPr>
          <w:rFonts w:ascii="Times New Roman" w:hAnsi="Times New Roman"/>
          <w:color w:val="000000" w:themeColor="text1"/>
          <w:sz w:val="16"/>
          <w:szCs w:val="16"/>
          <w:lang w:eastAsia="ru-RU" w:bidi="ru-RU"/>
        </w:rPr>
        <w:softHyphen/>
        <w:t>товались двигателями М-82А 1-й серии, оборудованными электроинерционными стартерами РИМ-24, позднее завод начал получать моторы с пневмосамопуском. По</w:t>
      </w:r>
      <w:r w:rsidRPr="008127F8">
        <w:rPr>
          <w:rFonts w:ascii="Times New Roman" w:hAnsi="Times New Roman"/>
          <w:color w:val="000000" w:themeColor="text1"/>
          <w:sz w:val="16"/>
          <w:szCs w:val="16"/>
          <w:lang w:eastAsia="ru-RU" w:bidi="ru-RU"/>
        </w:rPr>
        <w:softHyphen/>
        <w:t>следние были легче и обеспечивали над</w:t>
      </w:r>
      <w:r w:rsidRPr="008127F8">
        <w:rPr>
          <w:rFonts w:ascii="Times New Roman" w:hAnsi="Times New Roman"/>
          <w:color w:val="000000" w:themeColor="text1"/>
          <w:sz w:val="16"/>
          <w:szCs w:val="16"/>
          <w:lang w:eastAsia="ru-RU" w:bidi="ru-RU"/>
        </w:rPr>
        <w:softHyphen/>
        <w:t>ежный запуск двигателей на морозе (21061).</w:t>
      </w:r>
    </w:p>
    <w:p w14:paraId="5CCAAFDE" w14:textId="77777777" w:rsidR="006544E9" w:rsidRPr="008127F8" w:rsidRDefault="006544E9" w:rsidP="001E0A84">
      <w:pPr>
        <w:spacing w:after="0" w:line="240" w:lineRule="auto"/>
        <w:jc w:val="both"/>
        <w:rPr>
          <w:rFonts w:ascii="Times New Roman" w:hAnsi="Times New Roman"/>
          <w:color w:val="000000" w:themeColor="text1"/>
          <w:sz w:val="16"/>
          <w:szCs w:val="16"/>
        </w:rPr>
      </w:pPr>
    </w:p>
    <w:p w14:paraId="474FAD4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апреле-мае 1942 года прошли официальные государственные испытания "Аэрокобры" в НИИ ВВС. По летным данным американский истребитель находился примерно на уровне серийных советских и немецких машин такого класса. Положительно оценили маневренность, взлетно-посадочные характеристики, мощность вооружения и хорошее оборудование. Самолет имел удобную отапливаемую кабину (ни один советский истребитель такой роскошью тогда не обладал). В выводах отчета ППП ВВС записано, что "Кобра" может быть успешно использована для ведения воздушного боя со всеми типами немецких самолетов, а также для нанесения </w:t>
      </w:r>
      <w:proofErr w:type="gramStart"/>
      <w:r w:rsidRPr="008127F8">
        <w:rPr>
          <w:rFonts w:ascii="Times New Roman" w:hAnsi="Times New Roman"/>
          <w:color w:val="000000" w:themeColor="text1"/>
          <w:sz w:val="16"/>
          <w:szCs w:val="16"/>
        </w:rPr>
        <w:t>ударов</w:t>
      </w:r>
      <w:proofErr w:type="gramEnd"/>
      <w:r w:rsidRPr="008127F8">
        <w:rPr>
          <w:rFonts w:ascii="Times New Roman" w:hAnsi="Times New Roman"/>
          <w:color w:val="000000" w:themeColor="text1"/>
          <w:sz w:val="16"/>
          <w:szCs w:val="16"/>
        </w:rPr>
        <w:t xml:space="preserve"> но наземным объектам. Параллельно с гос. испытаниями началась подготовка на "Аэрокобрах" летчиков строевых полков (3457,69).</w:t>
      </w:r>
    </w:p>
    <w:p w14:paraId="56B720E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5F0D5"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апреле-мае 1942 г. в НИИ ВВС прош</w:t>
      </w:r>
      <w:r w:rsidRPr="008A2E5A">
        <w:rPr>
          <w:rFonts w:ascii="Times New Roman" w:hAnsi="Times New Roman"/>
          <w:color w:val="0070C0"/>
          <w:sz w:val="16"/>
          <w:szCs w:val="16"/>
        </w:rPr>
        <w:softHyphen/>
        <w:t>ли официальные государственные ис</w:t>
      </w:r>
      <w:r w:rsidRPr="008A2E5A">
        <w:rPr>
          <w:rFonts w:ascii="Times New Roman" w:hAnsi="Times New Roman"/>
          <w:color w:val="0070C0"/>
          <w:sz w:val="16"/>
          <w:szCs w:val="16"/>
        </w:rPr>
        <w:softHyphen/>
        <w:t>пытания «Аэрокобры». По заключению НИИ, по летным данным американский истребитель находился примерно на уров</w:t>
      </w:r>
      <w:r w:rsidRPr="008A2E5A">
        <w:rPr>
          <w:rFonts w:ascii="Times New Roman" w:hAnsi="Times New Roman"/>
          <w:color w:val="0070C0"/>
          <w:sz w:val="16"/>
          <w:szCs w:val="16"/>
        </w:rPr>
        <w:softHyphen/>
        <w:t>не серийных советских и немецких машин такого же класса. Положительно оцени</w:t>
      </w:r>
      <w:r w:rsidRPr="008A2E5A">
        <w:rPr>
          <w:rFonts w:ascii="Times New Roman" w:hAnsi="Times New Roman"/>
          <w:color w:val="0070C0"/>
          <w:sz w:val="16"/>
          <w:szCs w:val="16"/>
        </w:rPr>
        <w:softHyphen/>
        <w:t>ли маневренность, взлетно-посадочные характеристики, мощность вооружения и хорошее оборудование. Самолет имел удобную отапливаемую кабину (ни один советский истребитель такой роскошью тогда не обладал). В выводах отчета НИИ ВВС записано, что «Кобра» может быть успешно использована для ведения воз</w:t>
      </w:r>
      <w:r w:rsidRPr="008A2E5A">
        <w:rPr>
          <w:rFonts w:ascii="Times New Roman" w:hAnsi="Times New Roman"/>
          <w:color w:val="0070C0"/>
          <w:sz w:val="16"/>
          <w:szCs w:val="16"/>
        </w:rPr>
        <w:softHyphen/>
        <w:t>душного боя со всеми типами немецких самолетов, а также для нанесения ударов по наземным объектам.</w:t>
      </w:r>
    </w:p>
    <w:p w14:paraId="10A4FAD7"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Параллельно с испытаниями началась подготовка на «Аэрокобрах» летчиков строевых полков. Схема была следующей: полк сдавал старые истребители на фрон</w:t>
      </w:r>
      <w:r w:rsidRPr="008A2E5A">
        <w:rPr>
          <w:rFonts w:ascii="Times New Roman" w:hAnsi="Times New Roman"/>
          <w:color w:val="0070C0"/>
          <w:sz w:val="16"/>
          <w:szCs w:val="16"/>
        </w:rPr>
        <w:softHyphen/>
        <w:t>те какой-то другой части и прибывал на переучивание без машин. После прохо</w:t>
      </w:r>
      <w:r w:rsidRPr="008A2E5A">
        <w:rPr>
          <w:rFonts w:ascii="Times New Roman" w:hAnsi="Times New Roman"/>
          <w:color w:val="0070C0"/>
          <w:sz w:val="16"/>
          <w:szCs w:val="16"/>
        </w:rPr>
        <w:softHyphen/>
        <w:t>ждения программы он принимал полный комплект «Аэрокобр» и перелетал к месту назначения (23513).</w:t>
      </w:r>
    </w:p>
    <w:p w14:paraId="2437CD51" w14:textId="77777777" w:rsidR="00AD570E" w:rsidRPr="008A2E5A" w:rsidRDefault="00AD570E" w:rsidP="00AD570E">
      <w:pPr>
        <w:spacing w:after="0" w:line="240" w:lineRule="auto"/>
        <w:jc w:val="both"/>
        <w:rPr>
          <w:rFonts w:ascii="Times New Roman" w:hAnsi="Times New Roman"/>
          <w:color w:val="0070C0"/>
          <w:sz w:val="16"/>
          <w:szCs w:val="16"/>
        </w:rPr>
      </w:pPr>
    </w:p>
    <w:p w14:paraId="4A76534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апреле-мае 1942 г. были проведены совместные испытания ВВС КА и НКАП42 модифицированного самолета ЛаГГ-3 с более мощным мотором воздушного охлаждения М-82 (завод №21, главный конструктор С.Лавочкин). Самолет был рекомендован в серийное производство и стал выпускаться серийно с июля 1942 г. Контрольные испытания серийного самолета, получившего наименование сперва ЛаГГ-5, а затем Ла-5, показал, что его максимальная скорость практически равна скорости Ме-109Ф (707) (РГАМО, ф. 35, оп. 485655, д. 270, л.л. 4, 15.) (3573).</w:t>
      </w:r>
    </w:p>
    <w:p w14:paraId="3864987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9DB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по июль 1942 на 153 заводе выпускался Як-7Б и сделали 261 (65,84).</w:t>
      </w:r>
    </w:p>
    <w:p w14:paraId="74A20362"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8BD1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В.Г.Ермолаева стало возвращаться из эвакуации с марта-апреля 1942 (4,280).</w:t>
      </w:r>
    </w:p>
    <w:p w14:paraId="7B29EF6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1D4B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апреле-июне 1942 года была разработана установка М-8-48 с метательной установкой на модифицированном шасси грузового автомобиля серии Ford-Marmon. Она стала основной установкой для пуска реактивных снарядов М-8 до конца Великой Отечественной войны. В дальнейшем, для монтажа метательной установки также были использованы модифицированные шасси грузовых автомобилей ГАЗ-АА, ЗИС-6 и Studebaker (11772).</w:t>
      </w:r>
    </w:p>
    <w:p w14:paraId="16D9BD28"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A711D" w14:textId="77777777" w:rsidR="00042C85" w:rsidRPr="008127F8" w:rsidRDefault="00042C85"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апреле-июне 1942 года была разработана установка М-8-48 с метательной установкой на доработанном шасси грузового автомобиля серии Ford-Marmon. Она стала основной установкой для пуска реактивных снарядов М-8 до конца Великой Отечественной войны. В дальнейшем, для монтажа метательной установки также были использованы доработанные шасси грузовых автомобилей ГАЗ-АА, ЗИС-6 и Studebaker (15981).</w:t>
      </w:r>
    </w:p>
    <w:p w14:paraId="6F12273F" w14:textId="77777777" w:rsidR="00042C85" w:rsidRPr="008127F8" w:rsidRDefault="00042C85" w:rsidP="001E0A84">
      <w:pPr>
        <w:spacing w:after="0" w:line="240" w:lineRule="auto"/>
        <w:jc w:val="both"/>
        <w:rPr>
          <w:rFonts w:ascii="Times New Roman" w:hAnsi="Times New Roman"/>
          <w:color w:val="000000" w:themeColor="text1"/>
          <w:sz w:val="16"/>
          <w:szCs w:val="16"/>
        </w:rPr>
      </w:pPr>
    </w:p>
    <w:p w14:paraId="26788131"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800FE74"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2E972F"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апреле-мае 1942 г. конструкция сварных башен, вы</w:t>
      </w:r>
      <w:r w:rsidRPr="008127F8">
        <w:rPr>
          <w:rFonts w:ascii="Times New Roman" w:hAnsi="Times New Roman"/>
          <w:color w:val="000000" w:themeColor="text1"/>
          <w:sz w:val="16"/>
          <w:szCs w:val="16"/>
        </w:rPr>
        <w:softHyphen/>
        <w:t>пускавшихся в Сталинграде, подверглась дальнейшим изме</w:t>
      </w:r>
      <w:r w:rsidRPr="008127F8">
        <w:rPr>
          <w:rFonts w:ascii="Times New Roman" w:hAnsi="Times New Roman"/>
          <w:color w:val="000000" w:themeColor="text1"/>
          <w:sz w:val="16"/>
          <w:szCs w:val="16"/>
        </w:rPr>
        <w:softHyphen/>
        <w:t>нениям. Ввиду того, что лобовая часть башни улавливала ос</w:t>
      </w:r>
      <w:r w:rsidRPr="008127F8">
        <w:rPr>
          <w:rFonts w:ascii="Times New Roman" w:hAnsi="Times New Roman"/>
          <w:color w:val="000000" w:themeColor="text1"/>
          <w:sz w:val="16"/>
          <w:szCs w:val="16"/>
        </w:rPr>
        <w:softHyphen/>
        <w:t>троголовые бронебойные снаряды, направляя их в район ба</w:t>
      </w:r>
      <w:r w:rsidRPr="008127F8">
        <w:rPr>
          <w:rFonts w:ascii="Times New Roman" w:hAnsi="Times New Roman"/>
          <w:color w:val="000000" w:themeColor="text1"/>
          <w:sz w:val="16"/>
          <w:szCs w:val="16"/>
        </w:rPr>
        <w:softHyphen/>
        <w:t>шенного погона (что приводило к его заклиниванию даже от огня 37-мм пушки), форма башни была нормализована по модели, разработанной в конструкторской группе завода № 173. Это привело к добавлению двух боковых «косынок» в нижней части лба башни, каковые отражали бронебойные снаряды в стороны-вниз от продольной оси танка. Кроме того, весной 1942 г. были исключены болты для крепления кормового листа башни, каковой теперь приваривался по месту, а процесс смены орудия уже можно было осуществ</w:t>
      </w:r>
      <w:r w:rsidRPr="008127F8">
        <w:rPr>
          <w:rFonts w:ascii="Times New Roman" w:hAnsi="Times New Roman"/>
          <w:color w:val="000000" w:themeColor="text1"/>
          <w:sz w:val="16"/>
          <w:szCs w:val="16"/>
        </w:rPr>
        <w:softHyphen/>
        <w:t>лять только при подъеме задней части башни над погоном (10782).</w:t>
      </w:r>
    </w:p>
    <w:p w14:paraId="6B6AC767"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0F8F5"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 мае 1942 г. на заводе № 112 было выпущено наибольшее количество бракованных корпусов. Ситуация с трещинами на корпусах к лету только обострилась. Опасность заключалась в том, что трещины стали появляться на корпусах с течением времени. Это затрудняло их своевременную локализацию заваркой или ограничителями. Было принято специальное постановление Государственного Комитета Обороны по качеству танков завода № 112 (Коломиец, М.В. Т-34. Первая полная энциклопедия. - С. 295.), что говорит о серьёзности сложившейся ситуации.</w:t>
      </w:r>
    </w:p>
    <w:p w14:paraId="6A2B8254"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Борьба с трещинами шла по ряду направлений, в частности, была запрещена резка кислородом термически обработанных деталей. Все сварщики были переаттестованы на право сварки броневых конструкций, проведены аналогичные мероприятия с газорезчиками, термистами и сборщиками. Это повысило качество бронекорпусов: в 1943 г. трещины имели 14,2 % из них, в 1944-м - 6,3 % (Коломиец, М.В. Т-34. Первая полная энциклопедия. - С. 295-296.).</w:t>
      </w:r>
    </w:p>
    <w:p w14:paraId="2233BA9E" w14:textId="77777777" w:rsidR="00AD570E" w:rsidRPr="008A2E5A" w:rsidRDefault="00AD570E" w:rsidP="00AD5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Сборка танковых корпусов на «Красном Сормове» за время войны в целом составила 11570 штук, сборка танковых башен - 11 378 штук (ЦА МО РФ. Ф. 38. Оп. 11 355. Д. 661. Л. 2.) (23540)</w:t>
      </w:r>
    </w:p>
    <w:p w14:paraId="358AFAAB" w14:textId="77777777" w:rsidR="00AD570E" w:rsidRPr="008A2E5A" w:rsidRDefault="00AD570E" w:rsidP="00AD570E">
      <w:pPr>
        <w:spacing w:after="0" w:line="240" w:lineRule="auto"/>
        <w:jc w:val="both"/>
        <w:rPr>
          <w:rFonts w:ascii="Times New Roman" w:hAnsi="Times New Roman"/>
          <w:color w:val="0070C0"/>
          <w:sz w:val="16"/>
          <w:szCs w:val="16"/>
        </w:rPr>
      </w:pPr>
    </w:p>
    <w:p w14:paraId="7A70B8BE"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мае 1942 г. Первый опытный образец ус</w:t>
      </w:r>
      <w:r w:rsidRPr="008127F8">
        <w:rPr>
          <w:rFonts w:ascii="Times New Roman" w:hAnsi="Times New Roman"/>
          <w:color w:val="000000" w:themeColor="text1"/>
          <w:sz w:val="16"/>
          <w:szCs w:val="16"/>
        </w:rPr>
        <w:softHyphen/>
        <w:t>тановки СГ-122 был изготовлен заводом № 592 и поступил на за</w:t>
      </w:r>
      <w:r w:rsidRPr="008127F8">
        <w:rPr>
          <w:rFonts w:ascii="Times New Roman" w:hAnsi="Times New Roman"/>
          <w:color w:val="000000" w:themeColor="text1"/>
          <w:sz w:val="16"/>
          <w:szCs w:val="16"/>
        </w:rPr>
        <w:softHyphen/>
        <w:t>водские испытания. По результатам испытаний опытного образца в сен</w:t>
      </w:r>
      <w:r w:rsidRPr="008127F8">
        <w:rPr>
          <w:rFonts w:ascii="Times New Roman" w:hAnsi="Times New Roman"/>
          <w:color w:val="000000" w:themeColor="text1"/>
          <w:sz w:val="16"/>
          <w:szCs w:val="16"/>
        </w:rPr>
        <w:softHyphen/>
        <w:t>тябре того же года на базе танка Т-Ш были изготовлены два улучшен</w:t>
      </w:r>
      <w:r w:rsidRPr="008127F8">
        <w:rPr>
          <w:rFonts w:ascii="Times New Roman" w:hAnsi="Times New Roman"/>
          <w:color w:val="000000" w:themeColor="text1"/>
          <w:sz w:val="16"/>
          <w:szCs w:val="16"/>
        </w:rPr>
        <w:softHyphen/>
        <w:t>ных образца машины, один из которых прошел испытания на Гороховецком АНИОПе в период с 5 по 19 декабря 1942 г. В связи с развертыва</w:t>
      </w:r>
      <w:r w:rsidRPr="008127F8">
        <w:rPr>
          <w:rFonts w:ascii="Times New Roman" w:hAnsi="Times New Roman"/>
          <w:color w:val="000000" w:themeColor="text1"/>
          <w:sz w:val="16"/>
          <w:szCs w:val="16"/>
        </w:rPr>
        <w:softHyphen/>
        <w:t>нием серийного производства само</w:t>
      </w:r>
      <w:r w:rsidRPr="008127F8">
        <w:rPr>
          <w:rFonts w:ascii="Times New Roman" w:hAnsi="Times New Roman"/>
          <w:color w:val="000000" w:themeColor="text1"/>
          <w:sz w:val="16"/>
          <w:szCs w:val="16"/>
        </w:rPr>
        <w:softHyphen/>
        <w:t>ходных установок СУ-122 на базе танка Т-34 и недостаточного количе</w:t>
      </w:r>
      <w:r w:rsidRPr="008127F8">
        <w:rPr>
          <w:rFonts w:ascii="Times New Roman" w:hAnsi="Times New Roman"/>
          <w:color w:val="000000" w:themeColor="text1"/>
          <w:sz w:val="16"/>
          <w:szCs w:val="16"/>
        </w:rPr>
        <w:softHyphen/>
        <w:t>ства исправных трофейных танков (штурмовых орудий), а также запас</w:t>
      </w:r>
      <w:r w:rsidRPr="008127F8">
        <w:rPr>
          <w:rFonts w:ascii="Times New Roman" w:hAnsi="Times New Roman"/>
          <w:color w:val="000000" w:themeColor="text1"/>
          <w:sz w:val="16"/>
          <w:szCs w:val="16"/>
        </w:rPr>
        <w:softHyphen/>
        <w:t>ных частей к ним, заводом № 592 в 1942 - 1943 гг. была выпущена не</w:t>
      </w:r>
      <w:r w:rsidRPr="008127F8">
        <w:rPr>
          <w:rFonts w:ascii="Times New Roman" w:hAnsi="Times New Roman"/>
          <w:color w:val="000000" w:themeColor="text1"/>
          <w:sz w:val="16"/>
          <w:szCs w:val="16"/>
        </w:rPr>
        <w:softHyphen/>
        <w:t>большая партия самоходных установок (10703).</w:t>
      </w:r>
    </w:p>
    <w:p w14:paraId="516C5AD1"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4DF43"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апреле-мае 1942 г. проект усовершенствованного танка Т-70 был утвержден ОГК НКТП, и в июне нача</w:t>
      </w:r>
      <w:r w:rsidRPr="008127F8">
        <w:rPr>
          <w:rFonts w:ascii="Times New Roman" w:hAnsi="Times New Roman"/>
          <w:color w:val="000000" w:themeColor="text1"/>
          <w:sz w:val="16"/>
          <w:szCs w:val="16"/>
        </w:rPr>
        <w:softHyphen/>
        <w:t>лась сборка опытного образца. Общая компоновка танка, вооружение, ходовая часть, корпус, МТО, рабочее место механика-водителя со всеми элементами уп</w:t>
      </w:r>
      <w:r w:rsidRPr="008127F8">
        <w:rPr>
          <w:rFonts w:ascii="Times New Roman" w:hAnsi="Times New Roman"/>
          <w:color w:val="000000" w:themeColor="text1"/>
          <w:sz w:val="16"/>
          <w:szCs w:val="16"/>
        </w:rPr>
        <w:softHyphen/>
        <w:t>равления были почти такими же, как и на Т-70. Главное внешнее отличие заключалось в замене подбашенного листа с увеличенным диаметром беговой дорожки, на которой ус</w:t>
      </w:r>
      <w:r w:rsidRPr="008127F8">
        <w:rPr>
          <w:rFonts w:ascii="Times New Roman" w:hAnsi="Times New Roman"/>
          <w:color w:val="000000" w:themeColor="text1"/>
          <w:sz w:val="16"/>
          <w:szCs w:val="16"/>
        </w:rPr>
        <w:softHyphen/>
        <w:t>танавливалась новая увеличенная башня с двумя рабочими местами командира танка и заряжающего, ставшего по совместитель</w:t>
      </w:r>
      <w:r w:rsidRPr="008127F8">
        <w:rPr>
          <w:rFonts w:ascii="Times New Roman" w:hAnsi="Times New Roman"/>
          <w:color w:val="000000" w:themeColor="text1"/>
          <w:sz w:val="16"/>
          <w:szCs w:val="16"/>
        </w:rPr>
        <w:softHyphen/>
        <w:t>ству радистом. Пулемет в двухместной баш</w:t>
      </w:r>
      <w:r w:rsidRPr="008127F8">
        <w:rPr>
          <w:rFonts w:ascii="Times New Roman" w:hAnsi="Times New Roman"/>
          <w:color w:val="000000" w:themeColor="text1"/>
          <w:sz w:val="16"/>
          <w:szCs w:val="16"/>
        </w:rPr>
        <w:softHyphen/>
        <w:t>не был перемещен слева направо (из-за чего изменили и конструкцию литой маски спа</w:t>
      </w:r>
      <w:r w:rsidRPr="008127F8">
        <w:rPr>
          <w:rFonts w:ascii="Times New Roman" w:hAnsi="Times New Roman"/>
          <w:color w:val="000000" w:themeColor="text1"/>
          <w:sz w:val="16"/>
          <w:szCs w:val="16"/>
        </w:rPr>
        <w:softHyphen/>
        <w:t>ренной установки), а его обслуживание бы</w:t>
      </w:r>
      <w:r w:rsidRPr="008127F8">
        <w:rPr>
          <w:rFonts w:ascii="Times New Roman" w:hAnsi="Times New Roman"/>
          <w:color w:val="000000" w:themeColor="text1"/>
          <w:sz w:val="16"/>
          <w:szCs w:val="16"/>
        </w:rPr>
        <w:softHyphen/>
        <w:t xml:space="preserve">ло передано заряжающему. Кроме того, планировалось установить командирскую башенку; но ввиду </w:t>
      </w:r>
      <w:proofErr w:type="gramStart"/>
      <w:r w:rsidRPr="008127F8">
        <w:rPr>
          <w:rFonts w:ascii="Times New Roman" w:hAnsi="Times New Roman"/>
          <w:color w:val="000000" w:themeColor="text1"/>
          <w:sz w:val="16"/>
          <w:szCs w:val="16"/>
        </w:rPr>
        <w:t>того</w:t>
      </w:r>
      <w:proofErr w:type="gramEnd"/>
      <w:r w:rsidRPr="008127F8">
        <w:rPr>
          <w:rFonts w:ascii="Times New Roman" w:hAnsi="Times New Roman"/>
          <w:color w:val="000000" w:themeColor="text1"/>
          <w:sz w:val="16"/>
          <w:szCs w:val="16"/>
        </w:rPr>
        <w:t xml:space="preserve"> что она требовала не менее 5 перископических приборов наблюдения, имела приличный вес, мешала открыванию и закрытию башен</w:t>
      </w:r>
      <w:r w:rsidRPr="008127F8">
        <w:rPr>
          <w:rFonts w:ascii="Times New Roman" w:hAnsi="Times New Roman"/>
          <w:color w:val="000000" w:themeColor="text1"/>
          <w:sz w:val="16"/>
          <w:szCs w:val="16"/>
        </w:rPr>
        <w:softHyphen/>
        <w:t>ного люка, было решено ограничиться уста</w:t>
      </w:r>
      <w:r w:rsidRPr="008127F8">
        <w:rPr>
          <w:rFonts w:ascii="Times New Roman" w:hAnsi="Times New Roman"/>
          <w:color w:val="000000" w:themeColor="text1"/>
          <w:sz w:val="16"/>
          <w:szCs w:val="16"/>
        </w:rPr>
        <w:softHyphen/>
        <w:t>новкой на опытном образце поворотной ко</w:t>
      </w:r>
      <w:r w:rsidRPr="008127F8">
        <w:rPr>
          <w:rFonts w:ascii="Times New Roman" w:hAnsi="Times New Roman"/>
          <w:color w:val="000000" w:themeColor="text1"/>
          <w:sz w:val="16"/>
          <w:szCs w:val="16"/>
        </w:rPr>
        <w:softHyphen/>
        <w:t>мандирской панорамы. Для ведения огня из личного оружия в обоих бортах башни были сделаны амбразуры, закрывавшиеся броне</w:t>
      </w:r>
      <w:r w:rsidRPr="008127F8">
        <w:rPr>
          <w:rFonts w:ascii="Times New Roman" w:hAnsi="Times New Roman"/>
          <w:color w:val="000000" w:themeColor="text1"/>
          <w:sz w:val="16"/>
          <w:szCs w:val="16"/>
        </w:rPr>
        <w:softHyphen/>
        <w:t>выми заслонками.</w:t>
      </w:r>
    </w:p>
    <w:p w14:paraId="1B55F74A"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Броневая защита корпуса была усилена за счет увеличения толщины бортовых лис</w:t>
      </w:r>
      <w:r w:rsidRPr="008127F8">
        <w:rPr>
          <w:rFonts w:ascii="Times New Roman" w:hAnsi="Times New Roman"/>
          <w:color w:val="000000" w:themeColor="text1"/>
          <w:sz w:val="16"/>
          <w:szCs w:val="16"/>
        </w:rPr>
        <w:softHyphen/>
        <w:t>тов до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8127F8">
        <w:rPr>
          <w:rFonts w:ascii="Times New Roman" w:hAnsi="Times New Roman"/>
          <w:color w:val="000000" w:themeColor="text1"/>
          <w:sz w:val="16"/>
          <w:szCs w:val="16"/>
        </w:rPr>
        <w:softHyphen/>
        <w:t>кали соответственно 60° и 30°. Башня была сварена из броневых листов высокой твердо</w:t>
      </w:r>
      <w:r w:rsidRPr="008127F8">
        <w:rPr>
          <w:rFonts w:ascii="Times New Roman" w:hAnsi="Times New Roman"/>
          <w:color w:val="000000" w:themeColor="text1"/>
          <w:sz w:val="16"/>
          <w:szCs w:val="16"/>
        </w:rPr>
        <w:softHyphen/>
        <w:t>сти толщиной 35 мм (11084).</w:t>
      </w:r>
    </w:p>
    <w:p w14:paraId="4BFCA59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68F47C" w14:textId="77777777" w:rsidR="006458D8" w:rsidRPr="008127F8" w:rsidRDefault="006458D8" w:rsidP="001E0A84">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апреле-мае 1942 года специалистами НИИ-48 был разработан проект Малый </w:t>
      </w:r>
      <w:hyperlink r:id="rId128"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 Т-60. Год спустя его пытались пропихнуть как легкую САУ (15648).</w:t>
      </w:r>
    </w:p>
    <w:p w14:paraId="73780B17" w14:textId="77777777" w:rsidR="006458D8" w:rsidRPr="008127F8" w:rsidRDefault="006458D8" w:rsidP="001E0A84">
      <w:pPr>
        <w:spacing w:after="0" w:line="240" w:lineRule="auto"/>
        <w:jc w:val="both"/>
        <w:rPr>
          <w:rFonts w:ascii="Times New Roman" w:hAnsi="Times New Roman"/>
          <w:color w:val="000000" w:themeColor="text1"/>
          <w:sz w:val="16"/>
          <w:szCs w:val="16"/>
        </w:rPr>
      </w:pPr>
    </w:p>
    <w:p w14:paraId="5F4E6D9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апреля и до конца 1942 г. специально для вооружения танка Т-70 ОКБ-15, ОКБ-172 и ОКБ-92 прове</w:t>
      </w:r>
      <w:r w:rsidRPr="008127F8">
        <w:rPr>
          <w:rFonts w:ascii="Times New Roman" w:hAnsi="Times New Roman"/>
          <w:color w:val="000000" w:themeColor="text1"/>
          <w:sz w:val="16"/>
          <w:szCs w:val="16"/>
        </w:rPr>
        <w:softHyphen/>
        <w:t>ли разработку нескольких артсистем. ОКБ-15 предложило 37-мм автоматическую танковую пушку большой мощности Ш-37 конструкции Б. Шпи-тального, первоначально предназначенную для вооруже</w:t>
      </w:r>
      <w:r w:rsidRPr="008127F8">
        <w:rPr>
          <w:rFonts w:ascii="Times New Roman" w:hAnsi="Times New Roman"/>
          <w:color w:val="000000" w:themeColor="text1"/>
          <w:sz w:val="16"/>
          <w:szCs w:val="16"/>
        </w:rPr>
        <w:softHyphen/>
        <w:t>ния самолетов. Однако габаритные размеры орудия не по</w:t>
      </w:r>
      <w:r w:rsidRPr="008127F8">
        <w:rPr>
          <w:rFonts w:ascii="Times New Roman" w:hAnsi="Times New Roman"/>
          <w:color w:val="000000" w:themeColor="text1"/>
          <w:sz w:val="16"/>
          <w:szCs w:val="16"/>
        </w:rPr>
        <w:softHyphen/>
        <w:t>зволяли установить его в боевом отделении Т-70 без пере</w:t>
      </w:r>
      <w:r w:rsidRPr="008127F8">
        <w:rPr>
          <w:rFonts w:ascii="Times New Roman" w:hAnsi="Times New Roman"/>
          <w:color w:val="000000" w:themeColor="text1"/>
          <w:sz w:val="16"/>
          <w:szCs w:val="16"/>
        </w:rPr>
        <w:softHyphen/>
        <w:t>делки последнего... Поэтому КБ завода № 37 под руковод</w:t>
      </w:r>
      <w:r w:rsidRPr="008127F8">
        <w:rPr>
          <w:rFonts w:ascii="Times New Roman" w:hAnsi="Times New Roman"/>
          <w:color w:val="000000" w:themeColor="text1"/>
          <w:sz w:val="16"/>
          <w:szCs w:val="16"/>
        </w:rPr>
        <w:softHyphen/>
        <w:t>ством Н. Попова пошло на разработку новой башни. Корпус танка коренных изменений не претерпел. Была разработана и изготовлена из катаных броневых листов толщиной 15 и 25 мм граненая башня оригинальной фор</w:t>
      </w:r>
      <w:r w:rsidRPr="008127F8">
        <w:rPr>
          <w:rFonts w:ascii="Times New Roman" w:hAnsi="Times New Roman"/>
          <w:color w:val="000000" w:themeColor="text1"/>
          <w:sz w:val="16"/>
          <w:szCs w:val="16"/>
        </w:rPr>
        <w:softHyphen/>
        <w:t>мы с увеличенной кормовой частью, с листом обратного наклона и расширенным верхом (11135).</w:t>
      </w:r>
    </w:p>
    <w:p w14:paraId="5ECEF3A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651CB0"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мае 1942 г. про</w:t>
      </w:r>
      <w:r w:rsidRPr="008127F8">
        <w:rPr>
          <w:rFonts w:ascii="Times New Roman" w:hAnsi="Times New Roman"/>
          <w:color w:val="000000" w:themeColor="text1"/>
          <w:sz w:val="16"/>
          <w:szCs w:val="16"/>
        </w:rPr>
        <w:softHyphen/>
        <w:t>ект улучшенного танка Т-70 был утвержден ОГК НКТП, а в июне началась сборка опытного образца. Компоновка танка, вооружение, ходовая часть, корпус, МТО, рабочее место механика-водителя со всеми элемента</w:t>
      </w:r>
      <w:r w:rsidRPr="008127F8">
        <w:rPr>
          <w:rFonts w:ascii="Times New Roman" w:hAnsi="Times New Roman"/>
          <w:color w:val="000000" w:themeColor="text1"/>
          <w:sz w:val="16"/>
          <w:szCs w:val="16"/>
        </w:rPr>
        <w:softHyphen/>
        <w:t>ми управления были такими же, как и на Т-70. Отличия за</w:t>
      </w:r>
      <w:r w:rsidRPr="008127F8">
        <w:rPr>
          <w:rFonts w:ascii="Times New Roman" w:hAnsi="Times New Roman"/>
          <w:color w:val="000000" w:themeColor="text1"/>
          <w:sz w:val="16"/>
          <w:szCs w:val="16"/>
        </w:rPr>
        <w:softHyphen/>
        <w:t>ключались лишь в замене подбашенного листа с увеличен</w:t>
      </w:r>
      <w:r w:rsidRPr="008127F8">
        <w:rPr>
          <w:rFonts w:ascii="Times New Roman" w:hAnsi="Times New Roman"/>
          <w:color w:val="000000" w:themeColor="text1"/>
          <w:sz w:val="16"/>
          <w:szCs w:val="16"/>
        </w:rPr>
        <w:softHyphen/>
        <w:t>ным диаметром погона, на который устанавливалась новая двухместная башня с рабочими местами командира танка и заряжающего, ставшего по совместительству радистом. Пу</w:t>
      </w:r>
      <w:r w:rsidRPr="008127F8">
        <w:rPr>
          <w:rFonts w:ascii="Times New Roman" w:hAnsi="Times New Roman"/>
          <w:color w:val="000000" w:themeColor="text1"/>
          <w:sz w:val="16"/>
          <w:szCs w:val="16"/>
        </w:rPr>
        <w:softHyphen/>
        <w:t>лемет в двухместной башне был перемещен слева направо и его обслуживание было также передано заряжающему. Командиру машины для наблюдения за полем боя пла</w:t>
      </w:r>
      <w:r w:rsidRPr="008127F8">
        <w:rPr>
          <w:rFonts w:ascii="Times New Roman" w:hAnsi="Times New Roman"/>
          <w:color w:val="000000" w:themeColor="text1"/>
          <w:sz w:val="16"/>
          <w:szCs w:val="16"/>
        </w:rPr>
        <w:softHyphen/>
        <w:t>нировалось установить командирскую башенку, но она требовала не менее 5 перископических приборов наблюдения и имела приличный вес, мешающий открытию и закрытию башенного люка. Поэтому на опытном образце вновь раз</w:t>
      </w:r>
      <w:r w:rsidRPr="008127F8">
        <w:rPr>
          <w:rFonts w:ascii="Times New Roman" w:hAnsi="Times New Roman"/>
          <w:color w:val="000000" w:themeColor="text1"/>
          <w:sz w:val="16"/>
          <w:szCs w:val="16"/>
        </w:rPr>
        <w:softHyphen/>
        <w:t>местилась поворотная командирская панорама. Броневая защита корпуса также была усилена за счет повсеместного перехода на установку бортовых листов тол</w:t>
      </w:r>
      <w:r w:rsidRPr="008127F8">
        <w:rPr>
          <w:rFonts w:ascii="Times New Roman" w:hAnsi="Times New Roman"/>
          <w:color w:val="000000" w:themeColor="text1"/>
          <w:sz w:val="16"/>
          <w:szCs w:val="16"/>
        </w:rPr>
        <w:softHyphen/>
        <w:t>щиной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8127F8">
        <w:rPr>
          <w:rFonts w:ascii="Times New Roman" w:hAnsi="Times New Roman"/>
          <w:color w:val="000000" w:themeColor="text1"/>
          <w:sz w:val="16"/>
          <w:szCs w:val="16"/>
        </w:rPr>
        <w:softHyphen/>
        <w:t>кали соответственно 60° и 30°. Броневые листы сварной башни высокой твердости теперь имели толщину 35 мм. Ввиду изменения места установки пулемета конструкция литой маски спаренной установки была изменена (11135).</w:t>
      </w:r>
    </w:p>
    <w:p w14:paraId="760A646D"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B974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1942 был собран второй экземпляр ЛИ-7 сол спаренной установкой, хотя пПо первоначальному графику ЧКЗ планировал изготовить второй экземпляр КВ-7 к 5 февраля 1942 года. Это произошло из-за недостатка кадров и большого объема работ по обеспечению серийного выпуска КВ-1. В течение мая — июня он проходил испытания. 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8127F8">
        <w:rPr>
          <w:rFonts w:ascii="Times New Roman" w:hAnsi="Times New Roman"/>
          <w:color w:val="000000" w:themeColor="text1"/>
          <w:sz w:val="16"/>
          <w:szCs w:val="16"/>
        </w:rPr>
        <w:t>выстр./</w:t>
      </w:r>
      <w:proofErr w:type="gramEnd"/>
      <w:r w:rsidRPr="008127F8">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42A7EF1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C0CD6"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мае 1942 г. высота баш</w:t>
      </w:r>
      <w:r w:rsidRPr="008127F8">
        <w:rPr>
          <w:rFonts w:ascii="Times New Roman" w:hAnsi="Times New Roman"/>
          <w:color w:val="000000" w:themeColor="text1"/>
          <w:sz w:val="16"/>
          <w:szCs w:val="16"/>
        </w:rPr>
        <w:softHyphen/>
        <w:t>ни БА-64 составляла 275 мм, а боевое отделение башни сверху прикрывалось откидными металлическими сетками на петлях, от непогоды - брезен</w:t>
      </w:r>
      <w:r w:rsidRPr="008127F8">
        <w:rPr>
          <w:rFonts w:ascii="Times New Roman" w:hAnsi="Times New Roman"/>
          <w:color w:val="000000" w:themeColor="text1"/>
          <w:sz w:val="16"/>
          <w:szCs w:val="16"/>
        </w:rPr>
        <w:softHyphen/>
        <w:t>товым тентом. Впоследствии высота башни была увеличена до 290 мм, а откидные сетки отменены. Прорезь в лобовом листе башни (амбразу</w:t>
      </w:r>
      <w:r w:rsidRPr="008127F8">
        <w:rPr>
          <w:rFonts w:ascii="Times New Roman" w:hAnsi="Times New Roman"/>
          <w:color w:val="000000" w:themeColor="text1"/>
          <w:sz w:val="16"/>
          <w:szCs w:val="16"/>
        </w:rPr>
        <w:softHyphen/>
        <w:t>ра) под установку пулемета была смещена вправо относительно про</w:t>
      </w:r>
      <w:r w:rsidRPr="008127F8">
        <w:rPr>
          <w:rFonts w:ascii="Times New Roman" w:hAnsi="Times New Roman"/>
          <w:color w:val="000000" w:themeColor="text1"/>
          <w:sz w:val="16"/>
          <w:szCs w:val="16"/>
        </w:rPr>
        <w:softHyphen/>
        <w:t>дольной оси для удобства расположения командира машины (10703).</w:t>
      </w:r>
    </w:p>
    <w:p w14:paraId="7AD55284" w14:textId="77777777" w:rsidR="00BE3C69" w:rsidRPr="008127F8" w:rsidRDefault="00BE3C69" w:rsidP="001E0A8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CB9DE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апреле-июне 1942 г. у немцев появились самоходные установки на шасси легких танков Pz.II и 38(t), вооруженные мощной 75-мм немецкой,, а также русской трофейной 76,2-мм пушкой образца 1936 г., снаряд которой обладал высокой бронепробиваемостью (а именно с расстояния 500 м. под углом 30° к нормали 90 и 116 мм для бронебойного и разработанного немцами к этой нашей пушке подкалиберного снарядов) (3905).</w:t>
      </w:r>
    </w:p>
    <w:p w14:paraId="727625E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8C71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апреле-июне 1942 г. завод № 112 сдал на Каспийском море С-14 ("Героический Севастополь") и С-103, а завод 638 в сентябре-декабре того же года С-104 и С-15 ("Колхозница"). Согласно поста­новлению ГКО от 22 апреля 1943 г., они были переведены на Север по внутренним водным путям. Лодки переводили в виде экспедиции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раз­гружены с демонтажем части механизмов и вооружения и установ­лены в специальные доки. Сборка и сдача их Северному флоту осу­ществлялась в Молотовске. Таким же способом были переведены на Север С-16 ("Герой Советского Союза Нурсеитов") и С-19, сдан­ные астраханским заводом на Каспии в феврале 1944 г. (10672).</w:t>
      </w:r>
    </w:p>
    <w:p w14:paraId="351B865E"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E8E0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апреле—июне 1942 г. завод 112 сдал на Каспийском море С-14 ("Героический Севастополь") и С-103, а завод 638 в сентябре-декабре того же года С-104 и С-15 ("Колхозница"). Согласно поста</w:t>
      </w:r>
      <w:r w:rsidRPr="008127F8">
        <w:rPr>
          <w:rFonts w:ascii="Times New Roman" w:hAnsi="Times New Roman"/>
          <w:color w:val="000000" w:themeColor="text1"/>
          <w:sz w:val="16"/>
          <w:szCs w:val="16"/>
        </w:rPr>
        <w:softHyphen/>
        <w:t>новлению ГКО от 22 апреля 1943 г., они были переведены на Север по внутренним водным путям. Лодки переводили в виде экспе</w:t>
      </w:r>
      <w:r w:rsidRPr="008127F8">
        <w:rPr>
          <w:rFonts w:ascii="Times New Roman" w:hAnsi="Times New Roman"/>
          <w:color w:val="000000" w:themeColor="text1"/>
          <w:sz w:val="16"/>
          <w:szCs w:val="16"/>
        </w:rPr>
        <w:softHyphen/>
        <w:t>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w:t>
      </w:r>
      <w:r w:rsidRPr="008127F8">
        <w:rPr>
          <w:rFonts w:ascii="Times New Roman" w:hAnsi="Times New Roman"/>
          <w:color w:val="000000" w:themeColor="text1"/>
          <w:sz w:val="16"/>
          <w:szCs w:val="16"/>
        </w:rPr>
        <w:softHyphen/>
        <w:t>гружены с демонтажем части механизмов и вооружения и установ</w:t>
      </w:r>
      <w:r w:rsidRPr="008127F8">
        <w:rPr>
          <w:rFonts w:ascii="Times New Roman" w:hAnsi="Times New Roman"/>
          <w:color w:val="000000" w:themeColor="text1"/>
          <w:sz w:val="16"/>
          <w:szCs w:val="16"/>
        </w:rPr>
        <w:softHyphen/>
        <w:t>лены в специальные доки. Сборка и сдача их Северному флоту осу</w:t>
      </w:r>
      <w:r w:rsidRPr="008127F8">
        <w:rPr>
          <w:rFonts w:ascii="Times New Roman" w:hAnsi="Times New Roman"/>
          <w:color w:val="000000" w:themeColor="text1"/>
          <w:sz w:val="16"/>
          <w:szCs w:val="16"/>
        </w:rPr>
        <w:softHyphen/>
        <w:t>ществлялась в Молотовске. Таким же способом были переведены на Север С-16 ("Герой Советского Союза Нурсеитов") и С-19, сдан</w:t>
      </w:r>
      <w:r w:rsidRPr="008127F8">
        <w:rPr>
          <w:rFonts w:ascii="Times New Roman" w:hAnsi="Times New Roman"/>
          <w:color w:val="000000" w:themeColor="text1"/>
          <w:sz w:val="16"/>
          <w:szCs w:val="16"/>
        </w:rPr>
        <w:softHyphen/>
        <w:t>ные астраханским заводом на Каспии в феврале 1944 г. (3898).</w:t>
      </w:r>
    </w:p>
    <w:p w14:paraId="6F9B802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F46E2"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29F1E4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A2D6A" w14:textId="77777777" w:rsidR="00BC162F" w:rsidRPr="008127F8" w:rsidRDefault="00BC162F" w:rsidP="001E0A84">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С апреля по май 1943 г. в рамках операции по доставке людей и грузов партизанам Белоруссии и Литвы через линию фронта были отбуксированы 135 планеров, в том числе 3 планера КЦ-20. При этом 19 апреля один из КЦ-20, вылетевший из Киржача, потерпел катастрофу на оперативном аэродроме Белейки. В условиях плохой видимости командир экипажа старший сержант Данков А. К. выполнил заход на посадку с попутным ветром, не рассчитал глиссаду и врезался в лес. При этом погиб сам командир и инженер 173 СБАП капитан Алексеев. Всего же, в рамках этой операции, погибли 13 пилотов-планеристов (19191).</w:t>
      </w:r>
    </w:p>
    <w:p w14:paraId="778D1340" w14:textId="77777777" w:rsidR="00BC162F" w:rsidRPr="008127F8" w:rsidRDefault="00BC162F" w:rsidP="001E0A84">
      <w:pPr>
        <w:pStyle w:val="af"/>
        <w:shd w:val="clear" w:color="auto" w:fill="FFFFFF"/>
        <w:spacing w:before="0" w:after="0"/>
        <w:jc w:val="both"/>
        <w:textAlignment w:val="baseline"/>
        <w:rPr>
          <w:color w:val="000000" w:themeColor="text1"/>
          <w:sz w:val="16"/>
          <w:szCs w:val="16"/>
        </w:rPr>
      </w:pPr>
    </w:p>
    <w:p w14:paraId="7A2863A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апреле-мае 1942 г. Пе-3 из 95-го иап нанесли ряд ударов по кораблям противника, добившись, как следовало из докладов экипажей, заметных успехов, но послевоенные данные не подтверждают потопления миноносца и транспорта. Однако в то время командование не располагало данными о реальной эффективности выполненных </w:t>
      </w:r>
      <w:proofErr w:type="gramStart"/>
      <w:r w:rsidRPr="008127F8">
        <w:rPr>
          <w:rFonts w:ascii="Times New Roman" w:hAnsi="Times New Roman"/>
          <w:color w:val="000000" w:themeColor="text1"/>
          <w:sz w:val="16"/>
          <w:szCs w:val="16"/>
        </w:rPr>
        <w:t>самолето-вылетов</w:t>
      </w:r>
      <w:proofErr w:type="gramEnd"/>
      <w:r w:rsidRPr="008127F8">
        <w:rPr>
          <w:rFonts w:ascii="Times New Roman" w:hAnsi="Times New Roman"/>
          <w:color w:val="000000" w:themeColor="text1"/>
          <w:sz w:val="16"/>
          <w:szCs w:val="16"/>
        </w:rPr>
        <w:t xml:space="preserve"> и, принимая во внимание боевые отчеты полка, приняло решение о наращивании авиационной группировки ВВС Северного флота. Этому способствовал также и печальный инцидент с конвоем PQ-17, сильно пострадавшим от ударов немецкой авиации и подлодок (4476).</w:t>
      </w:r>
    </w:p>
    <w:p w14:paraId="7A82E8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245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по ноябрь 1942 потери 1-го ГМТАП составили 12 Ил-4, пять из которых разбились по причинам, не связанным с боевыми действиями) (9965).</w:t>
      </w:r>
    </w:p>
    <w:p w14:paraId="56EF751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CA344" w14:textId="77777777" w:rsidR="00BE3C69" w:rsidRPr="008127F8" w:rsidRDefault="00A72CAA"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1C0375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1854C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 ноябре 1942 согласно сводкам о событиях в СССР Начальника полиции безопасности и СД наблюдалось в военной промышленности Ленинграда:</w:t>
      </w:r>
    </w:p>
    <w:p w14:paraId="7E7860E0"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апоель 1942</w:t>
      </w:r>
    </w:p>
    <w:p w14:paraId="6B297FB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Население не считает вероятным, что город падет в обозримом будущем. Находясь под воздействием интенсивной пропаганды, оно по-прежнему готово защищать город (выделено мной — Н.Л.). Главной же причиной этого является то, что население опасается дальнейшего ухудшения положения со снабжением в результате взятия Ленинграда. После 25 марта 1942 г. нормы выдачи продовольствия снова были повышены и составили, в частности, 400 г хлеба в день для рабочих, 300 г для служащих и 200 г для иждивенцев. По-видимому, значительные трудности создает положение с водоснабжением, так как лишь малая часть населения может брать воду из Невы. В последнее время электричество дают в ограниченных количествах лишь на отдельных улицах.</w:t>
      </w:r>
    </w:p>
    <w:p w14:paraId="321653F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отмечались сильные повреждения зданий и промышленных предприятий, возникшие в результате пожаров и обстрелов. Во всех донесениях сообщается, что среди прочих работают следующие предприятия:</w:t>
      </w:r>
    </w:p>
    <w:p w14:paraId="1DA12B7D"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N 05,</w:t>
      </w:r>
    </w:p>
    <w:p w14:paraId="4B0E29A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 «Централит»,</w:t>
      </w:r>
    </w:p>
    <w:p w14:paraId="7961FF2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Авиазавод N 72,</w:t>
      </w:r>
    </w:p>
    <w:p w14:paraId="3F86808A"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Авторемонтная база Ленинградского фронта,</w:t>
      </w:r>
    </w:p>
    <w:p w14:paraId="25FE144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«Невхимкомбинат»,</w:t>
      </w:r>
    </w:p>
    <w:p w14:paraId="1F5C17EC"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Обувная фабрика «Пролетарская Победа»,</w:t>
      </w:r>
    </w:p>
    <w:p w14:paraId="2B0E7A73"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Ижорский завод,</w:t>
      </w:r>
    </w:p>
    <w:p w14:paraId="657C4CB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5-я и 7-я ГЭС.</w:t>
      </w:r>
    </w:p>
    <w:p w14:paraId="6C97F87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 хранения историко-документальных коллекций (ЦХИДК — бывший Особый Архив). Ф.500. Оп.1. Д.775. Л. 62 (11814).</w:t>
      </w:r>
    </w:p>
    <w:p w14:paraId="1D250F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Сообщения из занятых Восточных территорий № 13</w:t>
      </w:r>
    </w:p>
    <w:p w14:paraId="31C4390B"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ситуация со снабжением остается неизменно сложной, но терпимой. Масштабно проведенная операция по развитию огородничества способствовала решению продовольственной проблемы. Торговля в Ленинграде замерла. Электроэнергии хватает на обеспечение еще работающих промышленных предприятий, важнейших учреждений и для поддержания движения по трамвайным маршрутам. Снабжение жителей водой обеспечивается из скважин. Почтовое сообщение несмотря на ограничения остается почти нормальным. Ленинградский выпуск «Правды» снова выходит ежедневно и в отличие от малотиражных газет имеется в продаже.</w:t>
      </w:r>
    </w:p>
    <w:p w14:paraId="4FCD32F6"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Советская пропаганда всячески стремится поддерживать настроение и держать его под контролем. При этом можно полагать, что зимой Советы эвакуировали значительную часть населения. Присутствуют скрытые чувства усталости от войны, что, впрочем, не может поколебать веры в Советскую власть.</w:t>
      </w:r>
    </w:p>
    <w:p w14:paraId="0E28EAA7"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сентября 1942 г. Сообщения из занятых Восточных территорий № 21</w:t>
      </w:r>
    </w:p>
    <w:p w14:paraId="52BEAFA1"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Ситуация со снабжением, если не считать незначительного увеличения хлебных норм, остается неизменной. Ежедневная норма хлеба для рабочего составляет 500 г, </w:t>
      </w:r>
      <w:r w:rsidRPr="008127F8">
        <w:rPr>
          <w:rFonts w:ascii="Times New Roman" w:hAnsi="Times New Roman"/>
          <w:color w:val="000000" w:themeColor="text1"/>
          <w:sz w:val="16"/>
          <w:szCs w:val="16"/>
        </w:rPr>
        <w:lastRenderedPageBreak/>
        <w:t>для служащего — 400 г, для детей — 300 г. В столовых, которые находятся за пределами оборонных предприятий, продовольственные нормы для рабочих едва ли отличаются от норм для простых граждан. В городе распространен слух, что повышение продовольственных норм должно быть обеспечено за счет подвоза продовольствия. Снабжение города электроэнергией в настоящее время обеспечивается двумя станциями, которые снабжают трамваи, оборонные предприятия и учреждения органов власти.</w:t>
      </w:r>
    </w:p>
    <w:p w14:paraId="78649EB5"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нескольких кинотеатров в Ленинграде работает один театр. С весны вновь открыта публичная библиотека, в которой насчитывается 9,5 млн. томов и которая считается крупнейшей в СССР. За исключением выставки «Отечественная война», где представлены военные трофеи, взятые Красной Армией, и т. п., все музеи закрыты. В пределах, допущенных Советами уступок, были открыты для посещения 4 православных церкви. Красноармейцам, однако, ходить в церкви строго запрещено. В отношении общего настроения можно сказать, что вследствие неудач наступления, предпринятого второй ударной армией, которого так долго ждали, а также в результате десяти месяцев осады в городе снова распространилась всеобщая депрессия (выделено мной — Н.Л.). До сих пор Советской пропаганде удавалось сдерживать общее подавленное настроение, вызванное неудачами при попытках снять блокаду и продолжающейся уже десять месяцев осаде, используя намеки на появление второго фронта. После недавних военных и политических событий можно с уверенностью предположить, что настроение населения вследствие не оправдавшихся ожиданий снова упадет.</w:t>
      </w:r>
    </w:p>
    <w:p w14:paraId="4729832F" w14:textId="77777777" w:rsidR="00BE3C69" w:rsidRPr="008127F8"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Национальный архив США. Сообщения из занятых Восточных территорий начальника полиции безопасности и СД. № 21. Микрофильм. Т-175/236. Сс.26—27 (11814).</w:t>
      </w:r>
    </w:p>
    <w:p w14:paraId="1E9A7E9D" w14:textId="77777777" w:rsidR="00BE3C69" w:rsidRDefault="00BE3C69"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DCC9A" w14:textId="4F260917" w:rsidR="006F4095" w:rsidRPr="00003DA5" w:rsidRDefault="00003DA5" w:rsidP="001E0A84">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003DA5">
        <w:rPr>
          <w:rFonts w:ascii="Times New Roman" w:hAnsi="Times New Roman"/>
          <w:i/>
          <w:iCs/>
          <w:color w:val="000000" w:themeColor="text1"/>
          <w:sz w:val="16"/>
          <w:szCs w:val="16"/>
        </w:rPr>
        <w:t>За рубежом:</w:t>
      </w:r>
    </w:p>
    <w:p w14:paraId="6C8765A5" w14:textId="77777777" w:rsidR="00003DA5" w:rsidRDefault="00003DA5"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3A608" w14:textId="77777777" w:rsidR="00003DA5" w:rsidRPr="008A2E5A" w:rsidRDefault="00003DA5" w:rsidP="00003DA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апреле-мае 1942 г. все самолеты «серии 5», названные в честь созвездий («Макки» МС.205, «Реджиане» Re.2005 и «Фиат» G.55) с мо</w:t>
      </w:r>
      <w:r w:rsidRPr="008A2E5A">
        <w:rPr>
          <w:rFonts w:ascii="Times New Roman" w:hAnsi="Times New Roman"/>
          <w:color w:val="0070C0"/>
          <w:sz w:val="16"/>
          <w:szCs w:val="16"/>
        </w:rPr>
        <w:softHyphen/>
        <w:t>тором DB 605А, выпуск которого был налажен по лицензии концерном «Фиат» под обозначением RA.1050 RC58 «Тифоне» (правда, итальянский «клон» был дефорсирован по оборотам (2650 об/мин вместо 2800) и развивал мощность всего 1350 л.с.) прак</w:t>
      </w:r>
      <w:r w:rsidRPr="008A2E5A">
        <w:rPr>
          <w:rFonts w:ascii="Times New Roman" w:hAnsi="Times New Roman"/>
          <w:color w:val="0070C0"/>
          <w:sz w:val="16"/>
          <w:szCs w:val="16"/>
        </w:rPr>
        <w:softHyphen/>
        <w:t>тически одновременно вышли на испытания.- По ре</w:t>
      </w:r>
      <w:r w:rsidRPr="008A2E5A">
        <w:rPr>
          <w:rFonts w:ascii="Times New Roman" w:hAnsi="Times New Roman"/>
          <w:color w:val="0070C0"/>
          <w:sz w:val="16"/>
          <w:szCs w:val="16"/>
        </w:rPr>
        <w:softHyphen/>
        <w:t>зультатам сравнительных тестов однозначно лучшим оказалось изделие «Макки», «Фиат» ему существенно уступал, а «Реджиане» был явным аутсайдером (24178).</w:t>
      </w:r>
    </w:p>
    <w:p w14:paraId="64955A98" w14:textId="77777777" w:rsidR="00003DA5" w:rsidRPr="008A2E5A" w:rsidRDefault="00003DA5" w:rsidP="00003DA5">
      <w:pPr>
        <w:spacing w:after="0" w:line="240" w:lineRule="auto"/>
        <w:jc w:val="both"/>
        <w:rPr>
          <w:rFonts w:ascii="Times New Roman" w:hAnsi="Times New Roman"/>
          <w:color w:val="0070C0"/>
          <w:sz w:val="16"/>
          <w:szCs w:val="16"/>
        </w:rPr>
      </w:pPr>
    </w:p>
    <w:p w14:paraId="4FB8F309" w14:textId="77777777" w:rsidR="00955935" w:rsidRPr="008A2E5A" w:rsidRDefault="00955935" w:rsidP="0095593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 квартале 1942 г. старшие инженеры ЦАГИ С.А. Кап</w:t>
      </w:r>
      <w:r w:rsidRPr="008A2E5A">
        <w:rPr>
          <w:rFonts w:ascii="Times New Roman" w:hAnsi="Times New Roman"/>
          <w:color w:val="0070C0"/>
          <w:sz w:val="16"/>
          <w:szCs w:val="16"/>
        </w:rPr>
        <w:softHyphen/>
        <w:t>лан и Владимирский провели исследования влияния про</w:t>
      </w:r>
      <w:r w:rsidRPr="008A2E5A">
        <w:rPr>
          <w:rFonts w:ascii="Times New Roman" w:hAnsi="Times New Roman"/>
          <w:color w:val="0070C0"/>
          <w:sz w:val="16"/>
          <w:szCs w:val="16"/>
        </w:rPr>
        <w:softHyphen/>
        <w:t>изводственных допусков на максимальные скорости се</w:t>
      </w:r>
      <w:r w:rsidRPr="008A2E5A">
        <w:rPr>
          <w:rFonts w:ascii="Times New Roman" w:hAnsi="Times New Roman"/>
          <w:color w:val="0070C0"/>
          <w:sz w:val="16"/>
          <w:szCs w:val="16"/>
        </w:rPr>
        <w:softHyphen/>
        <w:t>рийных самолетов, на основании результатов которых ОТК завода №153 выдал практические рекомендации по приемке серийных самолетов Як-7. Безусловное выпол</w:t>
      </w:r>
      <w:r w:rsidRPr="008A2E5A">
        <w:rPr>
          <w:rFonts w:ascii="Times New Roman" w:hAnsi="Times New Roman"/>
          <w:color w:val="0070C0"/>
          <w:sz w:val="16"/>
          <w:szCs w:val="16"/>
        </w:rPr>
        <w:softHyphen/>
        <w:t>нение производством этих требований обеспечивало со</w:t>
      </w:r>
      <w:r w:rsidRPr="008A2E5A">
        <w:rPr>
          <w:rFonts w:ascii="Times New Roman" w:hAnsi="Times New Roman"/>
          <w:color w:val="0070C0"/>
          <w:sz w:val="16"/>
          <w:szCs w:val="16"/>
        </w:rPr>
        <w:softHyphen/>
        <w:t>хранение аэродинамических форм самолета и соответст</w:t>
      </w:r>
      <w:r w:rsidRPr="008A2E5A">
        <w:rPr>
          <w:rFonts w:ascii="Times New Roman" w:hAnsi="Times New Roman"/>
          <w:color w:val="0070C0"/>
          <w:sz w:val="16"/>
          <w:szCs w:val="16"/>
        </w:rPr>
        <w:softHyphen/>
        <w:t>вие его максимальной скорости эталонным значениям. В дальнейшем в середине 1942 г. в ЦАГИ провели исследо</w:t>
      </w:r>
      <w:r w:rsidRPr="008A2E5A">
        <w:rPr>
          <w:rFonts w:ascii="Times New Roman" w:hAnsi="Times New Roman"/>
          <w:color w:val="0070C0"/>
          <w:sz w:val="16"/>
          <w:szCs w:val="16"/>
        </w:rPr>
        <w:softHyphen/>
        <w:t>вания аэродинамики первых серийных самолетов Як-7Б 22-й серии. В качестве показателя совершенства аэроди</w:t>
      </w:r>
      <w:r w:rsidRPr="008A2E5A">
        <w:rPr>
          <w:rFonts w:ascii="Times New Roman" w:hAnsi="Times New Roman"/>
          <w:color w:val="0070C0"/>
          <w:sz w:val="16"/>
          <w:szCs w:val="16"/>
        </w:rPr>
        <w:softHyphen/>
        <w:t>намики самолета выбрали коэффициент Сх, отнесенный к площади всей внешней поверхности самолета и характе</w:t>
      </w:r>
      <w:r w:rsidRPr="008A2E5A">
        <w:rPr>
          <w:rFonts w:ascii="Times New Roman" w:hAnsi="Times New Roman"/>
          <w:color w:val="0070C0"/>
          <w:sz w:val="16"/>
          <w:szCs w:val="16"/>
        </w:rPr>
        <w:softHyphen/>
        <w:t>ризующий лобовое сопротивление самолета за вычетом индуктивного сопротивления крыла и сопротивления ох</w:t>
      </w:r>
      <w:r w:rsidRPr="008A2E5A">
        <w:rPr>
          <w:rFonts w:ascii="Times New Roman" w:hAnsi="Times New Roman"/>
          <w:color w:val="0070C0"/>
          <w:sz w:val="16"/>
          <w:szCs w:val="16"/>
        </w:rPr>
        <w:softHyphen/>
        <w:t>лаждения. При анализе оказалось, что истребитель Як-7Б занимает достаточно хорошее место в отношении аэро</w:t>
      </w:r>
      <w:r w:rsidRPr="008A2E5A">
        <w:rPr>
          <w:rFonts w:ascii="Times New Roman" w:hAnsi="Times New Roman"/>
          <w:color w:val="0070C0"/>
          <w:sz w:val="16"/>
          <w:szCs w:val="16"/>
        </w:rPr>
        <w:softHyphen/>
        <w:t>динамики</w:t>
      </w:r>
    </w:p>
    <w:p w14:paraId="0550898C" w14:textId="77777777" w:rsidR="00955935" w:rsidRPr="008A2E5A" w:rsidRDefault="00955935" w:rsidP="0095593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№21. Показатели совершенства аэродинамики истребительных самолетов</w:t>
      </w:r>
    </w:p>
    <w:tbl>
      <w:tblPr>
        <w:tblOverlap w:val="never"/>
        <w:tblW w:w="0" w:type="auto"/>
        <w:tblLayout w:type="fixed"/>
        <w:tblCellMar>
          <w:left w:w="10" w:type="dxa"/>
          <w:right w:w="10" w:type="dxa"/>
        </w:tblCellMar>
        <w:tblLook w:val="04A0" w:firstRow="1" w:lastRow="0" w:firstColumn="1" w:lastColumn="0" w:noHBand="0" w:noVBand="1"/>
      </w:tblPr>
      <w:tblGrid>
        <w:gridCol w:w="3499"/>
        <w:gridCol w:w="2078"/>
        <w:gridCol w:w="1570"/>
        <w:gridCol w:w="2539"/>
      </w:tblGrid>
      <w:tr w:rsidR="00955935" w:rsidRPr="008A2E5A" w14:paraId="2E21D1B2" w14:textId="77777777" w:rsidTr="004C5D62">
        <w:trPr>
          <w:trHeight w:val="466"/>
        </w:trPr>
        <w:tc>
          <w:tcPr>
            <w:tcW w:w="3499" w:type="dxa"/>
            <w:tcBorders>
              <w:top w:val="single" w:sz="4" w:space="0" w:color="auto"/>
              <w:left w:val="single" w:sz="4" w:space="0" w:color="auto"/>
            </w:tcBorders>
            <w:shd w:val="clear" w:color="auto" w:fill="auto"/>
            <w:vAlign w:val="center"/>
          </w:tcPr>
          <w:p w14:paraId="7DB97B33"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w:t>
            </w:r>
          </w:p>
        </w:tc>
        <w:tc>
          <w:tcPr>
            <w:tcW w:w="2078" w:type="dxa"/>
            <w:tcBorders>
              <w:top w:val="single" w:sz="4" w:space="0" w:color="auto"/>
              <w:left w:val="single" w:sz="4" w:space="0" w:color="auto"/>
            </w:tcBorders>
            <w:shd w:val="clear" w:color="auto" w:fill="auto"/>
            <w:vAlign w:val="bottom"/>
          </w:tcPr>
          <w:p w14:paraId="4FB84E56"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w:t>
            </w:r>
          </w:p>
        </w:tc>
        <w:tc>
          <w:tcPr>
            <w:tcW w:w="1570" w:type="dxa"/>
            <w:tcBorders>
              <w:top w:val="single" w:sz="4" w:space="0" w:color="auto"/>
              <w:left w:val="single" w:sz="4" w:space="0" w:color="auto"/>
            </w:tcBorders>
            <w:shd w:val="clear" w:color="auto" w:fill="auto"/>
            <w:vAlign w:val="center"/>
          </w:tcPr>
          <w:p w14:paraId="6CA207FD"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м</w:t>
            </w:r>
          </w:p>
        </w:tc>
        <w:tc>
          <w:tcPr>
            <w:tcW w:w="2539" w:type="dxa"/>
            <w:tcBorders>
              <w:top w:val="single" w:sz="4" w:space="0" w:color="auto"/>
              <w:left w:val="single" w:sz="4" w:space="0" w:color="auto"/>
              <w:right w:val="single" w:sz="4" w:space="0" w:color="auto"/>
            </w:tcBorders>
            <w:shd w:val="clear" w:color="auto" w:fill="auto"/>
            <w:vAlign w:val="bottom"/>
          </w:tcPr>
          <w:p w14:paraId="1F197171"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Сх, отнесенный к площади всей внешней поверхности самолета</w:t>
            </w:r>
          </w:p>
        </w:tc>
      </w:tr>
      <w:tr w:rsidR="00955935" w:rsidRPr="008A2E5A" w14:paraId="5A5BC665" w14:textId="77777777" w:rsidTr="004C5D62">
        <w:trPr>
          <w:trHeight w:val="269"/>
        </w:trPr>
        <w:tc>
          <w:tcPr>
            <w:tcW w:w="3499" w:type="dxa"/>
            <w:tcBorders>
              <w:top w:val="single" w:sz="4" w:space="0" w:color="auto"/>
              <w:left w:val="single" w:sz="4" w:space="0" w:color="auto"/>
            </w:tcBorders>
            <w:shd w:val="clear" w:color="auto" w:fill="auto"/>
            <w:vAlign w:val="bottom"/>
          </w:tcPr>
          <w:p w14:paraId="627664B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 опытный</w:t>
            </w:r>
          </w:p>
        </w:tc>
        <w:tc>
          <w:tcPr>
            <w:tcW w:w="2078" w:type="dxa"/>
            <w:tcBorders>
              <w:top w:val="single" w:sz="4" w:space="0" w:color="auto"/>
              <w:left w:val="single" w:sz="4" w:space="0" w:color="auto"/>
            </w:tcBorders>
            <w:shd w:val="clear" w:color="auto" w:fill="auto"/>
            <w:vAlign w:val="bottom"/>
          </w:tcPr>
          <w:p w14:paraId="7303A70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605</w:t>
            </w:r>
          </w:p>
        </w:tc>
        <w:tc>
          <w:tcPr>
            <w:tcW w:w="1570" w:type="dxa"/>
            <w:tcBorders>
              <w:top w:val="single" w:sz="4" w:space="0" w:color="auto"/>
              <w:left w:val="single" w:sz="4" w:space="0" w:color="auto"/>
            </w:tcBorders>
            <w:shd w:val="clear" w:color="auto" w:fill="auto"/>
            <w:vAlign w:val="bottom"/>
          </w:tcPr>
          <w:p w14:paraId="6E2AFDB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4900</w:t>
            </w:r>
          </w:p>
        </w:tc>
        <w:tc>
          <w:tcPr>
            <w:tcW w:w="2539" w:type="dxa"/>
            <w:tcBorders>
              <w:top w:val="single" w:sz="4" w:space="0" w:color="auto"/>
              <w:left w:val="single" w:sz="4" w:space="0" w:color="auto"/>
              <w:right w:val="single" w:sz="4" w:space="0" w:color="auto"/>
            </w:tcBorders>
            <w:shd w:val="clear" w:color="auto" w:fill="auto"/>
            <w:vAlign w:val="bottom"/>
          </w:tcPr>
          <w:p w14:paraId="02538D2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0,00453</w:t>
            </w:r>
          </w:p>
        </w:tc>
      </w:tr>
      <w:tr w:rsidR="00955935" w:rsidRPr="008A2E5A" w14:paraId="0B9A6A2B" w14:textId="77777777" w:rsidTr="004C5D62">
        <w:trPr>
          <w:trHeight w:val="269"/>
        </w:trPr>
        <w:tc>
          <w:tcPr>
            <w:tcW w:w="3499" w:type="dxa"/>
            <w:tcBorders>
              <w:top w:val="single" w:sz="4" w:space="0" w:color="auto"/>
              <w:left w:val="single" w:sz="4" w:space="0" w:color="auto"/>
            </w:tcBorders>
            <w:shd w:val="clear" w:color="auto" w:fill="auto"/>
            <w:vAlign w:val="bottom"/>
          </w:tcPr>
          <w:p w14:paraId="0DD702BD"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Bell Р-39 Aircobra</w:t>
            </w:r>
          </w:p>
        </w:tc>
        <w:tc>
          <w:tcPr>
            <w:tcW w:w="2078" w:type="dxa"/>
            <w:tcBorders>
              <w:top w:val="single" w:sz="4" w:space="0" w:color="auto"/>
              <w:left w:val="single" w:sz="4" w:space="0" w:color="auto"/>
            </w:tcBorders>
            <w:shd w:val="clear" w:color="auto" w:fill="auto"/>
            <w:vAlign w:val="bottom"/>
          </w:tcPr>
          <w:p w14:paraId="0C90C25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558</w:t>
            </w:r>
          </w:p>
        </w:tc>
        <w:tc>
          <w:tcPr>
            <w:tcW w:w="1570" w:type="dxa"/>
            <w:tcBorders>
              <w:top w:val="single" w:sz="4" w:space="0" w:color="auto"/>
              <w:left w:val="single" w:sz="4" w:space="0" w:color="auto"/>
            </w:tcBorders>
            <w:shd w:val="clear" w:color="auto" w:fill="auto"/>
            <w:vAlign w:val="bottom"/>
          </w:tcPr>
          <w:p w14:paraId="287B2CA3"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4000</w:t>
            </w:r>
          </w:p>
        </w:tc>
        <w:tc>
          <w:tcPr>
            <w:tcW w:w="2539" w:type="dxa"/>
            <w:tcBorders>
              <w:top w:val="single" w:sz="4" w:space="0" w:color="auto"/>
              <w:left w:val="single" w:sz="4" w:space="0" w:color="auto"/>
              <w:right w:val="single" w:sz="4" w:space="0" w:color="auto"/>
            </w:tcBorders>
            <w:shd w:val="clear" w:color="auto" w:fill="auto"/>
            <w:vAlign w:val="bottom"/>
          </w:tcPr>
          <w:p w14:paraId="186C3E3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0.00485</w:t>
            </w:r>
          </w:p>
        </w:tc>
      </w:tr>
      <w:tr w:rsidR="00955935" w:rsidRPr="008A2E5A" w14:paraId="42E7EA51" w14:textId="77777777" w:rsidTr="004C5D62">
        <w:trPr>
          <w:trHeight w:val="269"/>
        </w:trPr>
        <w:tc>
          <w:tcPr>
            <w:tcW w:w="3499" w:type="dxa"/>
            <w:tcBorders>
              <w:top w:val="single" w:sz="4" w:space="0" w:color="auto"/>
              <w:left w:val="single" w:sz="4" w:space="0" w:color="auto"/>
            </w:tcBorders>
            <w:shd w:val="clear" w:color="auto" w:fill="auto"/>
            <w:vAlign w:val="bottom"/>
          </w:tcPr>
          <w:p w14:paraId="3DE7A5F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I00</w:t>
            </w:r>
          </w:p>
        </w:tc>
        <w:tc>
          <w:tcPr>
            <w:tcW w:w="2078" w:type="dxa"/>
            <w:tcBorders>
              <w:top w:val="single" w:sz="4" w:space="0" w:color="auto"/>
              <w:left w:val="single" w:sz="4" w:space="0" w:color="auto"/>
            </w:tcBorders>
            <w:shd w:val="clear" w:color="auto" w:fill="auto"/>
            <w:vAlign w:val="bottom"/>
          </w:tcPr>
          <w:p w14:paraId="7AD71DB1"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649</w:t>
            </w:r>
          </w:p>
        </w:tc>
        <w:tc>
          <w:tcPr>
            <w:tcW w:w="1570" w:type="dxa"/>
            <w:tcBorders>
              <w:top w:val="single" w:sz="4" w:space="0" w:color="auto"/>
              <w:left w:val="single" w:sz="4" w:space="0" w:color="auto"/>
            </w:tcBorders>
            <w:shd w:val="clear" w:color="auto" w:fill="auto"/>
            <w:vAlign w:val="bottom"/>
          </w:tcPr>
          <w:p w14:paraId="299B0025"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p>
        </w:tc>
        <w:tc>
          <w:tcPr>
            <w:tcW w:w="2539" w:type="dxa"/>
            <w:tcBorders>
              <w:top w:val="single" w:sz="4" w:space="0" w:color="auto"/>
              <w:left w:val="single" w:sz="4" w:space="0" w:color="auto"/>
              <w:right w:val="single" w:sz="4" w:space="0" w:color="auto"/>
            </w:tcBorders>
            <w:shd w:val="clear" w:color="auto" w:fill="auto"/>
            <w:vAlign w:val="bottom"/>
          </w:tcPr>
          <w:p w14:paraId="3A615433"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0,00493</w:t>
            </w:r>
          </w:p>
        </w:tc>
      </w:tr>
      <w:tr w:rsidR="00955935" w:rsidRPr="008A2E5A" w14:paraId="619028EE" w14:textId="77777777" w:rsidTr="004C5D62">
        <w:trPr>
          <w:trHeight w:val="269"/>
        </w:trPr>
        <w:tc>
          <w:tcPr>
            <w:tcW w:w="3499" w:type="dxa"/>
            <w:tcBorders>
              <w:top w:val="single" w:sz="4" w:space="0" w:color="auto"/>
              <w:left w:val="single" w:sz="4" w:space="0" w:color="auto"/>
            </w:tcBorders>
            <w:shd w:val="clear" w:color="auto" w:fill="auto"/>
            <w:vAlign w:val="bottom"/>
          </w:tcPr>
          <w:p w14:paraId="5614EB55"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(эталон 1942 г.)</w:t>
            </w:r>
          </w:p>
        </w:tc>
        <w:tc>
          <w:tcPr>
            <w:tcW w:w="2078" w:type="dxa"/>
            <w:tcBorders>
              <w:top w:val="single" w:sz="4" w:space="0" w:color="auto"/>
              <w:left w:val="single" w:sz="4" w:space="0" w:color="auto"/>
            </w:tcBorders>
            <w:shd w:val="clear" w:color="auto" w:fill="auto"/>
            <w:vAlign w:val="bottom"/>
          </w:tcPr>
          <w:p w14:paraId="7B9507C6"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c>
          <w:tcPr>
            <w:tcW w:w="1570" w:type="dxa"/>
            <w:tcBorders>
              <w:top w:val="single" w:sz="4" w:space="0" w:color="auto"/>
              <w:left w:val="single" w:sz="4" w:space="0" w:color="auto"/>
            </w:tcBorders>
            <w:shd w:val="clear" w:color="auto" w:fill="auto"/>
            <w:vAlign w:val="bottom"/>
          </w:tcPr>
          <w:p w14:paraId="1F58265A"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4900</w:t>
            </w:r>
          </w:p>
        </w:tc>
        <w:tc>
          <w:tcPr>
            <w:tcW w:w="2539" w:type="dxa"/>
            <w:tcBorders>
              <w:top w:val="single" w:sz="4" w:space="0" w:color="auto"/>
              <w:left w:val="single" w:sz="4" w:space="0" w:color="auto"/>
              <w:right w:val="single" w:sz="4" w:space="0" w:color="auto"/>
            </w:tcBorders>
            <w:shd w:val="clear" w:color="auto" w:fill="auto"/>
            <w:vAlign w:val="bottom"/>
          </w:tcPr>
          <w:p w14:paraId="13C4021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0,00520</w:t>
            </w:r>
          </w:p>
        </w:tc>
      </w:tr>
      <w:tr w:rsidR="00955935" w:rsidRPr="008A2E5A" w14:paraId="758DA2B9" w14:textId="77777777" w:rsidTr="004C5D62">
        <w:trPr>
          <w:trHeight w:val="269"/>
        </w:trPr>
        <w:tc>
          <w:tcPr>
            <w:tcW w:w="3499" w:type="dxa"/>
            <w:tcBorders>
              <w:top w:val="single" w:sz="4" w:space="0" w:color="auto"/>
              <w:left w:val="single" w:sz="4" w:space="0" w:color="auto"/>
            </w:tcBorders>
            <w:shd w:val="clear" w:color="auto" w:fill="auto"/>
            <w:vAlign w:val="bottom"/>
          </w:tcPr>
          <w:p w14:paraId="727F1BBC"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Curtiss Р-40</w:t>
            </w:r>
          </w:p>
        </w:tc>
        <w:tc>
          <w:tcPr>
            <w:tcW w:w="2078" w:type="dxa"/>
            <w:tcBorders>
              <w:top w:val="single" w:sz="4" w:space="0" w:color="auto"/>
              <w:left w:val="single" w:sz="4" w:space="0" w:color="auto"/>
            </w:tcBorders>
            <w:shd w:val="clear" w:color="auto" w:fill="auto"/>
            <w:vAlign w:val="bottom"/>
          </w:tcPr>
          <w:p w14:paraId="1157DD0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545</w:t>
            </w:r>
          </w:p>
        </w:tc>
        <w:tc>
          <w:tcPr>
            <w:tcW w:w="1570" w:type="dxa"/>
            <w:tcBorders>
              <w:top w:val="single" w:sz="4" w:space="0" w:color="auto"/>
              <w:left w:val="single" w:sz="4" w:space="0" w:color="auto"/>
            </w:tcBorders>
            <w:shd w:val="clear" w:color="auto" w:fill="auto"/>
            <w:vAlign w:val="bottom"/>
          </w:tcPr>
          <w:p w14:paraId="72C643C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4860</w:t>
            </w:r>
          </w:p>
        </w:tc>
        <w:tc>
          <w:tcPr>
            <w:tcW w:w="2539" w:type="dxa"/>
            <w:tcBorders>
              <w:top w:val="single" w:sz="4" w:space="0" w:color="auto"/>
              <w:left w:val="single" w:sz="4" w:space="0" w:color="auto"/>
              <w:right w:val="single" w:sz="4" w:space="0" w:color="auto"/>
            </w:tcBorders>
            <w:shd w:val="clear" w:color="auto" w:fill="auto"/>
            <w:vAlign w:val="bottom"/>
          </w:tcPr>
          <w:p w14:paraId="3B242AE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0,00520</w:t>
            </w:r>
          </w:p>
        </w:tc>
      </w:tr>
      <w:tr w:rsidR="00955935" w:rsidRPr="008A2E5A" w14:paraId="5DC7BE6D" w14:textId="77777777" w:rsidTr="004C5D62">
        <w:trPr>
          <w:trHeight w:val="269"/>
        </w:trPr>
        <w:tc>
          <w:tcPr>
            <w:tcW w:w="3499" w:type="dxa"/>
            <w:tcBorders>
              <w:top w:val="single" w:sz="4" w:space="0" w:color="auto"/>
              <w:left w:val="single" w:sz="4" w:space="0" w:color="auto"/>
            </w:tcBorders>
            <w:shd w:val="clear" w:color="auto" w:fill="auto"/>
            <w:vAlign w:val="bottom"/>
          </w:tcPr>
          <w:p w14:paraId="55A87AC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 серийный</w:t>
            </w:r>
          </w:p>
        </w:tc>
        <w:tc>
          <w:tcPr>
            <w:tcW w:w="2078" w:type="dxa"/>
            <w:tcBorders>
              <w:top w:val="single" w:sz="4" w:space="0" w:color="auto"/>
              <w:left w:val="single" w:sz="4" w:space="0" w:color="auto"/>
            </w:tcBorders>
            <w:shd w:val="clear" w:color="auto" w:fill="auto"/>
            <w:vAlign w:val="bottom"/>
          </w:tcPr>
          <w:p w14:paraId="3B7A3F84"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556</w:t>
            </w:r>
          </w:p>
        </w:tc>
        <w:tc>
          <w:tcPr>
            <w:tcW w:w="1570" w:type="dxa"/>
            <w:tcBorders>
              <w:top w:val="single" w:sz="4" w:space="0" w:color="auto"/>
              <w:left w:val="single" w:sz="4" w:space="0" w:color="auto"/>
            </w:tcBorders>
            <w:shd w:val="clear" w:color="auto" w:fill="auto"/>
            <w:vAlign w:val="bottom"/>
          </w:tcPr>
          <w:p w14:paraId="5BE37907"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4700</w:t>
            </w:r>
          </w:p>
        </w:tc>
        <w:tc>
          <w:tcPr>
            <w:tcW w:w="2539" w:type="dxa"/>
            <w:tcBorders>
              <w:top w:val="single" w:sz="4" w:space="0" w:color="auto"/>
              <w:left w:val="single" w:sz="4" w:space="0" w:color="auto"/>
              <w:right w:val="single" w:sz="4" w:space="0" w:color="auto"/>
            </w:tcBorders>
            <w:shd w:val="clear" w:color="auto" w:fill="auto"/>
            <w:vAlign w:val="bottom"/>
          </w:tcPr>
          <w:p w14:paraId="40A6E5B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0,00565</w:t>
            </w:r>
          </w:p>
        </w:tc>
      </w:tr>
      <w:tr w:rsidR="00955935" w:rsidRPr="008A2E5A" w14:paraId="7977AA21" w14:textId="77777777" w:rsidTr="004C5D62">
        <w:trPr>
          <w:trHeight w:val="269"/>
        </w:trPr>
        <w:tc>
          <w:tcPr>
            <w:tcW w:w="3499" w:type="dxa"/>
            <w:tcBorders>
              <w:top w:val="single" w:sz="4" w:space="0" w:color="auto"/>
              <w:left w:val="single" w:sz="4" w:space="0" w:color="auto"/>
            </w:tcBorders>
            <w:shd w:val="clear" w:color="auto" w:fill="auto"/>
            <w:vAlign w:val="bottom"/>
          </w:tcPr>
          <w:p w14:paraId="52E13BBB"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опытный</w:t>
            </w:r>
          </w:p>
        </w:tc>
        <w:tc>
          <w:tcPr>
            <w:tcW w:w="2078" w:type="dxa"/>
            <w:tcBorders>
              <w:top w:val="single" w:sz="4" w:space="0" w:color="auto"/>
              <w:left w:val="single" w:sz="4" w:space="0" w:color="auto"/>
            </w:tcBorders>
            <w:shd w:val="clear" w:color="auto" w:fill="auto"/>
            <w:vAlign w:val="bottom"/>
          </w:tcPr>
          <w:p w14:paraId="25BD507F"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635</w:t>
            </w:r>
          </w:p>
        </w:tc>
        <w:tc>
          <w:tcPr>
            <w:tcW w:w="1570" w:type="dxa"/>
            <w:tcBorders>
              <w:top w:val="single" w:sz="4" w:space="0" w:color="auto"/>
              <w:left w:val="single" w:sz="4" w:space="0" w:color="auto"/>
            </w:tcBorders>
            <w:shd w:val="clear" w:color="auto" w:fill="auto"/>
            <w:vAlign w:val="bottom"/>
          </w:tcPr>
          <w:p w14:paraId="6AC5F0A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7700</w:t>
            </w:r>
          </w:p>
        </w:tc>
        <w:tc>
          <w:tcPr>
            <w:tcW w:w="2539" w:type="dxa"/>
            <w:tcBorders>
              <w:top w:val="single" w:sz="4" w:space="0" w:color="auto"/>
              <w:left w:val="single" w:sz="4" w:space="0" w:color="auto"/>
              <w:right w:val="single" w:sz="4" w:space="0" w:color="auto"/>
            </w:tcBorders>
            <w:shd w:val="clear" w:color="auto" w:fill="auto"/>
            <w:vAlign w:val="bottom"/>
          </w:tcPr>
          <w:p w14:paraId="46AD17D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0.00590</w:t>
            </w:r>
          </w:p>
        </w:tc>
      </w:tr>
      <w:tr w:rsidR="00955935" w:rsidRPr="008A2E5A" w14:paraId="669E0EBE" w14:textId="77777777" w:rsidTr="004C5D62">
        <w:trPr>
          <w:trHeight w:val="269"/>
        </w:trPr>
        <w:tc>
          <w:tcPr>
            <w:tcW w:w="3499" w:type="dxa"/>
            <w:tcBorders>
              <w:top w:val="single" w:sz="4" w:space="0" w:color="auto"/>
              <w:left w:val="single" w:sz="4" w:space="0" w:color="auto"/>
            </w:tcBorders>
            <w:shd w:val="clear" w:color="auto" w:fill="auto"/>
            <w:vAlign w:val="bottom"/>
          </w:tcPr>
          <w:p w14:paraId="7EC6A1D4"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 серийный</w:t>
            </w:r>
          </w:p>
        </w:tc>
        <w:tc>
          <w:tcPr>
            <w:tcW w:w="2078" w:type="dxa"/>
            <w:tcBorders>
              <w:top w:val="single" w:sz="4" w:space="0" w:color="auto"/>
              <w:left w:val="single" w:sz="4" w:space="0" w:color="auto"/>
            </w:tcBorders>
            <w:shd w:val="clear" w:color="auto" w:fill="auto"/>
            <w:vAlign w:val="bottom"/>
          </w:tcPr>
          <w:p w14:paraId="253B4D4F"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555</w:t>
            </w:r>
          </w:p>
        </w:tc>
        <w:tc>
          <w:tcPr>
            <w:tcW w:w="1570" w:type="dxa"/>
            <w:tcBorders>
              <w:top w:val="single" w:sz="4" w:space="0" w:color="auto"/>
              <w:left w:val="single" w:sz="4" w:space="0" w:color="auto"/>
            </w:tcBorders>
            <w:shd w:val="clear" w:color="auto" w:fill="auto"/>
            <w:vAlign w:val="bottom"/>
          </w:tcPr>
          <w:p w14:paraId="6F119CF3"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4800</w:t>
            </w:r>
          </w:p>
        </w:tc>
        <w:tc>
          <w:tcPr>
            <w:tcW w:w="2539" w:type="dxa"/>
            <w:tcBorders>
              <w:top w:val="single" w:sz="4" w:space="0" w:color="auto"/>
              <w:left w:val="single" w:sz="4" w:space="0" w:color="auto"/>
              <w:right w:val="single" w:sz="4" w:space="0" w:color="auto"/>
            </w:tcBorders>
            <w:shd w:val="clear" w:color="auto" w:fill="auto"/>
            <w:vAlign w:val="bottom"/>
          </w:tcPr>
          <w:p w14:paraId="11BEFA8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0,00600</w:t>
            </w:r>
          </w:p>
        </w:tc>
      </w:tr>
      <w:tr w:rsidR="00955935" w:rsidRPr="008A2E5A" w14:paraId="1737B689" w14:textId="77777777" w:rsidTr="004C5D62">
        <w:trPr>
          <w:trHeight w:val="264"/>
        </w:trPr>
        <w:tc>
          <w:tcPr>
            <w:tcW w:w="3499" w:type="dxa"/>
            <w:tcBorders>
              <w:top w:val="single" w:sz="4" w:space="0" w:color="auto"/>
              <w:left w:val="single" w:sz="4" w:space="0" w:color="auto"/>
            </w:tcBorders>
            <w:shd w:val="clear" w:color="auto" w:fill="auto"/>
            <w:vAlign w:val="bottom"/>
          </w:tcPr>
          <w:p w14:paraId="58A878F9"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Bf 109</w:t>
            </w:r>
          </w:p>
        </w:tc>
        <w:tc>
          <w:tcPr>
            <w:tcW w:w="2078" w:type="dxa"/>
            <w:tcBorders>
              <w:top w:val="single" w:sz="4" w:space="0" w:color="auto"/>
              <w:left w:val="single" w:sz="4" w:space="0" w:color="auto"/>
            </w:tcBorders>
            <w:shd w:val="clear" w:color="auto" w:fill="auto"/>
            <w:vAlign w:val="bottom"/>
          </w:tcPr>
          <w:p w14:paraId="5235BC27"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546</w:t>
            </w:r>
          </w:p>
        </w:tc>
        <w:tc>
          <w:tcPr>
            <w:tcW w:w="1570" w:type="dxa"/>
            <w:tcBorders>
              <w:top w:val="single" w:sz="4" w:space="0" w:color="auto"/>
              <w:left w:val="single" w:sz="4" w:space="0" w:color="auto"/>
            </w:tcBorders>
            <w:shd w:val="clear" w:color="auto" w:fill="auto"/>
            <w:vAlign w:val="bottom"/>
          </w:tcPr>
          <w:p w14:paraId="727FF9E2"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p>
        </w:tc>
        <w:tc>
          <w:tcPr>
            <w:tcW w:w="2539" w:type="dxa"/>
            <w:tcBorders>
              <w:top w:val="single" w:sz="4" w:space="0" w:color="auto"/>
              <w:left w:val="single" w:sz="4" w:space="0" w:color="auto"/>
              <w:right w:val="single" w:sz="4" w:space="0" w:color="auto"/>
            </w:tcBorders>
            <w:shd w:val="clear" w:color="auto" w:fill="auto"/>
            <w:vAlign w:val="bottom"/>
          </w:tcPr>
          <w:p w14:paraId="32A24B83"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0,00650</w:t>
            </w:r>
          </w:p>
        </w:tc>
      </w:tr>
      <w:tr w:rsidR="00955935" w:rsidRPr="008A2E5A" w14:paraId="38DABDC8" w14:textId="77777777" w:rsidTr="004C5D62">
        <w:trPr>
          <w:trHeight w:val="283"/>
        </w:trPr>
        <w:tc>
          <w:tcPr>
            <w:tcW w:w="3499" w:type="dxa"/>
            <w:tcBorders>
              <w:top w:val="single" w:sz="4" w:space="0" w:color="auto"/>
              <w:left w:val="single" w:sz="4" w:space="0" w:color="auto"/>
              <w:bottom w:val="single" w:sz="4" w:space="0" w:color="auto"/>
            </w:tcBorders>
            <w:shd w:val="clear" w:color="auto" w:fill="auto"/>
            <w:vAlign w:val="bottom"/>
          </w:tcPr>
          <w:p w14:paraId="4F62665B"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серийный</w:t>
            </w:r>
          </w:p>
        </w:tc>
        <w:tc>
          <w:tcPr>
            <w:tcW w:w="2078" w:type="dxa"/>
            <w:tcBorders>
              <w:top w:val="single" w:sz="4" w:space="0" w:color="auto"/>
              <w:left w:val="single" w:sz="4" w:space="0" w:color="auto"/>
              <w:bottom w:val="single" w:sz="4" w:space="0" w:color="auto"/>
            </w:tcBorders>
            <w:shd w:val="clear" w:color="auto" w:fill="auto"/>
            <w:vAlign w:val="bottom"/>
          </w:tcPr>
          <w:p w14:paraId="0CFDA0EE"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w:t>
            </w:r>
          </w:p>
        </w:tc>
        <w:tc>
          <w:tcPr>
            <w:tcW w:w="1570" w:type="dxa"/>
            <w:tcBorders>
              <w:top w:val="single" w:sz="4" w:space="0" w:color="auto"/>
              <w:left w:val="single" w:sz="4" w:space="0" w:color="auto"/>
              <w:bottom w:val="single" w:sz="4" w:space="0" w:color="auto"/>
            </w:tcBorders>
            <w:shd w:val="clear" w:color="auto" w:fill="auto"/>
            <w:vAlign w:val="bottom"/>
          </w:tcPr>
          <w:p w14:paraId="79138534"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7700</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bottom"/>
          </w:tcPr>
          <w:p w14:paraId="7CEA0550" w14:textId="77777777" w:rsidR="00955935" w:rsidRPr="008A2E5A" w:rsidRDefault="0095593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0,00650</w:t>
            </w:r>
          </w:p>
        </w:tc>
      </w:tr>
    </w:tbl>
    <w:p w14:paraId="3AAF74E7" w14:textId="77777777" w:rsidR="00955935" w:rsidRPr="008A2E5A" w:rsidRDefault="00955935" w:rsidP="0095593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78249430" w14:textId="77777777" w:rsidR="00955935" w:rsidRPr="008A2E5A" w:rsidRDefault="00955935" w:rsidP="00955935">
      <w:pPr>
        <w:spacing w:after="0" w:line="240" w:lineRule="auto"/>
        <w:jc w:val="both"/>
        <w:rPr>
          <w:rFonts w:ascii="Times New Roman" w:hAnsi="Times New Roman"/>
          <w:color w:val="0070C0"/>
          <w:sz w:val="16"/>
          <w:szCs w:val="16"/>
        </w:rPr>
      </w:pPr>
    </w:p>
    <w:p w14:paraId="0180F0AB" w14:textId="77777777" w:rsidR="00955935" w:rsidRDefault="00955935"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1BCE9" w14:textId="77777777" w:rsidR="00955935" w:rsidRPr="008127F8" w:rsidRDefault="00955935" w:rsidP="001E0A84">
      <w:pPr>
        <w:widowControl w:val="0"/>
        <w:autoSpaceDE w:val="0"/>
        <w:autoSpaceDN w:val="0"/>
        <w:adjustRightInd w:val="0"/>
        <w:spacing w:after="0" w:line="240" w:lineRule="auto"/>
        <w:jc w:val="both"/>
        <w:rPr>
          <w:rFonts w:ascii="Times New Roman" w:hAnsi="Times New Roman"/>
          <w:color w:val="000000" w:themeColor="text1"/>
          <w:sz w:val="16"/>
          <w:szCs w:val="16"/>
        </w:rPr>
      </w:pPr>
    </w:p>
    <w:sectPr w:rsidR="00955935" w:rsidRPr="008127F8" w:rsidSect="000C525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Franklin Gothic Heavy">
    <w:panose1 w:val="020B0903020102020204"/>
    <w:charset w:val="CC"/>
    <w:family w:val="swiss"/>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Palatino Linotype">
    <w:panose1 w:val="02040502050505030304"/>
    <w:charset w:val="CC"/>
    <w:family w:val="roman"/>
    <w:pitch w:val="variable"/>
    <w:sig w:usb0="E0000287" w:usb1="40000013" w:usb2="00000000" w:usb3="00000000" w:csb0="0000019F" w:csb1="00000000"/>
  </w:font>
  <w:font w:name="Arial Black">
    <w:panose1 w:val="020B0A04020102020204"/>
    <w:charset w:val="CC"/>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0000000F"/>
    <w:multiLevelType w:val="multilevel"/>
    <w:tmpl w:val="0000000E"/>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2" w15:restartNumberingAfterBreak="0">
    <w:nsid w:val="1D69083D"/>
    <w:multiLevelType w:val="multilevel"/>
    <w:tmpl w:val="828CC234"/>
    <w:lvl w:ilvl="0">
      <w:start w:val="1"/>
      <w:numFmt w:val="bullet"/>
      <w:lvlText w:val="-"/>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0793FB4"/>
    <w:multiLevelType w:val="multilevel"/>
    <w:tmpl w:val="1BC23390"/>
    <w:lvl w:ilvl="0">
      <w:start w:val="1"/>
      <w:numFmt w:val="decimal"/>
      <w:lvlText w:val="%1)"/>
      <w:lvlJc w:val="left"/>
      <w:rPr>
        <w:rFonts w:ascii="Arial" w:eastAsia="Arial" w:hAnsi="Arial" w:cs="Arial"/>
        <w:b w:val="0"/>
        <w:bCs w:val="0"/>
        <w:i w:val="0"/>
        <w:iCs w:val="0"/>
        <w:smallCaps w:val="0"/>
        <w:strike w:val="0"/>
        <w:color w:val="000000"/>
        <w:spacing w:val="0"/>
        <w:w w:val="100"/>
        <w:position w:val="0"/>
        <w:sz w:val="16"/>
        <w:szCs w:val="1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5BE0202"/>
    <w:multiLevelType w:val="singleLevel"/>
    <w:tmpl w:val="3110952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5" w15:restartNumberingAfterBreak="0">
    <w:nsid w:val="394972B5"/>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6" w15:restartNumberingAfterBreak="0">
    <w:nsid w:val="3F320FC4"/>
    <w:multiLevelType w:val="multilevel"/>
    <w:tmpl w:val="0A9079DC"/>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FDA5A18"/>
    <w:multiLevelType w:val="hybridMultilevel"/>
    <w:tmpl w:val="0C4285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1580AB3"/>
    <w:multiLevelType w:val="hybridMultilevel"/>
    <w:tmpl w:val="C61E18AA"/>
    <w:lvl w:ilvl="0" w:tplc="41F0F13A">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9" w15:restartNumberingAfterBreak="0">
    <w:nsid w:val="4B0E0FB2"/>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0" w15:restartNumberingAfterBreak="0">
    <w:nsid w:val="58B555AA"/>
    <w:multiLevelType w:val="hybridMultilevel"/>
    <w:tmpl w:val="F33832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17E57E7"/>
    <w:multiLevelType w:val="hybridMultilevel"/>
    <w:tmpl w:val="F334B98E"/>
    <w:lvl w:ilvl="0" w:tplc="2D009D1E">
      <w:start w:val="67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7DA3842"/>
    <w:multiLevelType w:val="multilevel"/>
    <w:tmpl w:val="15A0D838"/>
    <w:lvl w:ilvl="0">
      <w:start w:val="1"/>
      <w:numFmt w:val="decimal"/>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492984744">
    <w:abstractNumId w:val="9"/>
  </w:num>
  <w:num w:numId="2" w16cid:durableId="1441490301">
    <w:abstractNumId w:val="9"/>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 w16cid:durableId="1901674037">
    <w:abstractNumId w:val="4"/>
  </w:num>
  <w:num w:numId="4" w16cid:durableId="1581057964">
    <w:abstractNumId w:val="5"/>
  </w:num>
  <w:num w:numId="5" w16cid:durableId="1788352355">
    <w:abstractNumId w:val="5"/>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6" w16cid:durableId="1250384128">
    <w:abstractNumId w:val="1"/>
  </w:num>
  <w:num w:numId="7" w16cid:durableId="1177426731">
    <w:abstractNumId w:val="11"/>
  </w:num>
  <w:num w:numId="8" w16cid:durableId="507715112">
    <w:abstractNumId w:val="2"/>
  </w:num>
  <w:num w:numId="9" w16cid:durableId="712770621">
    <w:abstractNumId w:val="0"/>
  </w:num>
  <w:num w:numId="10" w16cid:durableId="1537695351">
    <w:abstractNumId w:val="6"/>
  </w:num>
  <w:num w:numId="11" w16cid:durableId="512376220">
    <w:abstractNumId w:val="12"/>
  </w:num>
  <w:num w:numId="12" w16cid:durableId="1944073954">
    <w:abstractNumId w:val="3"/>
  </w:num>
  <w:num w:numId="13" w16cid:durableId="223026171">
    <w:abstractNumId w:val="8"/>
  </w:num>
  <w:num w:numId="14" w16cid:durableId="373577503">
    <w:abstractNumId w:val="7"/>
  </w:num>
  <w:num w:numId="15" w16cid:durableId="1134787318">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hideGrammatical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87E"/>
    <w:rsid w:val="00003DA5"/>
    <w:rsid w:val="00004517"/>
    <w:rsid w:val="000059DD"/>
    <w:rsid w:val="00007927"/>
    <w:rsid w:val="00011043"/>
    <w:rsid w:val="000133A0"/>
    <w:rsid w:val="00015826"/>
    <w:rsid w:val="00016539"/>
    <w:rsid w:val="00017DC2"/>
    <w:rsid w:val="0002327B"/>
    <w:rsid w:val="00024525"/>
    <w:rsid w:val="0002744C"/>
    <w:rsid w:val="00032BF0"/>
    <w:rsid w:val="0003602E"/>
    <w:rsid w:val="00037960"/>
    <w:rsid w:val="00037F38"/>
    <w:rsid w:val="00042C85"/>
    <w:rsid w:val="00045B92"/>
    <w:rsid w:val="00047965"/>
    <w:rsid w:val="0005046D"/>
    <w:rsid w:val="00053C2F"/>
    <w:rsid w:val="00063D2F"/>
    <w:rsid w:val="000649A1"/>
    <w:rsid w:val="00065021"/>
    <w:rsid w:val="00065F42"/>
    <w:rsid w:val="00066EA2"/>
    <w:rsid w:val="0006761A"/>
    <w:rsid w:val="00067E9A"/>
    <w:rsid w:val="000701C9"/>
    <w:rsid w:val="00071D7F"/>
    <w:rsid w:val="00081E96"/>
    <w:rsid w:val="0008298E"/>
    <w:rsid w:val="00083E5E"/>
    <w:rsid w:val="00085898"/>
    <w:rsid w:val="00086AC4"/>
    <w:rsid w:val="00090542"/>
    <w:rsid w:val="00094AE4"/>
    <w:rsid w:val="00096C28"/>
    <w:rsid w:val="000A12B2"/>
    <w:rsid w:val="000A22B4"/>
    <w:rsid w:val="000B548A"/>
    <w:rsid w:val="000C31BD"/>
    <w:rsid w:val="000C3423"/>
    <w:rsid w:val="000C3A16"/>
    <w:rsid w:val="000C525C"/>
    <w:rsid w:val="000C72CC"/>
    <w:rsid w:val="000D0B36"/>
    <w:rsid w:val="000D2C41"/>
    <w:rsid w:val="000E2B0E"/>
    <w:rsid w:val="000E3C02"/>
    <w:rsid w:val="000E42A4"/>
    <w:rsid w:val="000E620A"/>
    <w:rsid w:val="000E6375"/>
    <w:rsid w:val="000F0A32"/>
    <w:rsid w:val="000F2D49"/>
    <w:rsid w:val="000F30A8"/>
    <w:rsid w:val="000F4F4C"/>
    <w:rsid w:val="000F7717"/>
    <w:rsid w:val="00102B5D"/>
    <w:rsid w:val="001121DF"/>
    <w:rsid w:val="00113D98"/>
    <w:rsid w:val="00120EE4"/>
    <w:rsid w:val="00121858"/>
    <w:rsid w:val="001239F9"/>
    <w:rsid w:val="001261E6"/>
    <w:rsid w:val="001278D2"/>
    <w:rsid w:val="00142036"/>
    <w:rsid w:val="0014562F"/>
    <w:rsid w:val="00145AFC"/>
    <w:rsid w:val="00150B7E"/>
    <w:rsid w:val="0015278A"/>
    <w:rsid w:val="00153AEB"/>
    <w:rsid w:val="00153DCB"/>
    <w:rsid w:val="00160084"/>
    <w:rsid w:val="001602D2"/>
    <w:rsid w:val="00160B8A"/>
    <w:rsid w:val="00161D13"/>
    <w:rsid w:val="001652EB"/>
    <w:rsid w:val="00165913"/>
    <w:rsid w:val="00166A21"/>
    <w:rsid w:val="00174158"/>
    <w:rsid w:val="00175890"/>
    <w:rsid w:val="00177665"/>
    <w:rsid w:val="00180330"/>
    <w:rsid w:val="001852A6"/>
    <w:rsid w:val="00194321"/>
    <w:rsid w:val="001A1E78"/>
    <w:rsid w:val="001A4AAA"/>
    <w:rsid w:val="001A54AD"/>
    <w:rsid w:val="001B1F0B"/>
    <w:rsid w:val="001B52D5"/>
    <w:rsid w:val="001B531F"/>
    <w:rsid w:val="001C2BCF"/>
    <w:rsid w:val="001C42EC"/>
    <w:rsid w:val="001C60EE"/>
    <w:rsid w:val="001C682F"/>
    <w:rsid w:val="001D5126"/>
    <w:rsid w:val="001D6054"/>
    <w:rsid w:val="001E0A84"/>
    <w:rsid w:val="001E0DCE"/>
    <w:rsid w:val="001E2BD8"/>
    <w:rsid w:val="001F055D"/>
    <w:rsid w:val="001F05F6"/>
    <w:rsid w:val="001F3545"/>
    <w:rsid w:val="001F6ABD"/>
    <w:rsid w:val="001F7908"/>
    <w:rsid w:val="00210436"/>
    <w:rsid w:val="00212C98"/>
    <w:rsid w:val="00213148"/>
    <w:rsid w:val="00213252"/>
    <w:rsid w:val="00214277"/>
    <w:rsid w:val="00221AD0"/>
    <w:rsid w:val="00221F61"/>
    <w:rsid w:val="002248C7"/>
    <w:rsid w:val="0022730C"/>
    <w:rsid w:val="002303A6"/>
    <w:rsid w:val="00231335"/>
    <w:rsid w:val="00234C3E"/>
    <w:rsid w:val="00234EE8"/>
    <w:rsid w:val="00235EBA"/>
    <w:rsid w:val="00237152"/>
    <w:rsid w:val="00237F37"/>
    <w:rsid w:val="00243C7E"/>
    <w:rsid w:val="00247E54"/>
    <w:rsid w:val="0025012D"/>
    <w:rsid w:val="0025078F"/>
    <w:rsid w:val="002510D4"/>
    <w:rsid w:val="002527AE"/>
    <w:rsid w:val="00262847"/>
    <w:rsid w:val="00263031"/>
    <w:rsid w:val="00271F00"/>
    <w:rsid w:val="00273C48"/>
    <w:rsid w:val="00275956"/>
    <w:rsid w:val="002768EF"/>
    <w:rsid w:val="00277054"/>
    <w:rsid w:val="00277995"/>
    <w:rsid w:val="002801BC"/>
    <w:rsid w:val="002848F2"/>
    <w:rsid w:val="00284E99"/>
    <w:rsid w:val="002926F3"/>
    <w:rsid w:val="002927ED"/>
    <w:rsid w:val="002947CA"/>
    <w:rsid w:val="002A4CEA"/>
    <w:rsid w:val="002A514B"/>
    <w:rsid w:val="002A6F58"/>
    <w:rsid w:val="002B04C7"/>
    <w:rsid w:val="002B1664"/>
    <w:rsid w:val="002B451C"/>
    <w:rsid w:val="002B48EA"/>
    <w:rsid w:val="002B6B9F"/>
    <w:rsid w:val="002C0B9A"/>
    <w:rsid w:val="002C10B8"/>
    <w:rsid w:val="002C14D8"/>
    <w:rsid w:val="002C3817"/>
    <w:rsid w:val="002D1CBB"/>
    <w:rsid w:val="002D4793"/>
    <w:rsid w:val="002D558A"/>
    <w:rsid w:val="002E24E6"/>
    <w:rsid w:val="002E39DA"/>
    <w:rsid w:val="002E47C0"/>
    <w:rsid w:val="002E7BAC"/>
    <w:rsid w:val="002F564B"/>
    <w:rsid w:val="002F6EB7"/>
    <w:rsid w:val="00300AC3"/>
    <w:rsid w:val="00301306"/>
    <w:rsid w:val="003023F3"/>
    <w:rsid w:val="00312320"/>
    <w:rsid w:val="003139C1"/>
    <w:rsid w:val="00320B1B"/>
    <w:rsid w:val="0032416F"/>
    <w:rsid w:val="003259EA"/>
    <w:rsid w:val="00325C56"/>
    <w:rsid w:val="00326FD1"/>
    <w:rsid w:val="00332A2F"/>
    <w:rsid w:val="003366DD"/>
    <w:rsid w:val="00346683"/>
    <w:rsid w:val="00347963"/>
    <w:rsid w:val="00350FD7"/>
    <w:rsid w:val="003513DB"/>
    <w:rsid w:val="00351F6B"/>
    <w:rsid w:val="003566C9"/>
    <w:rsid w:val="003603F3"/>
    <w:rsid w:val="00361AA7"/>
    <w:rsid w:val="0037361C"/>
    <w:rsid w:val="00373D3A"/>
    <w:rsid w:val="00377126"/>
    <w:rsid w:val="00382010"/>
    <w:rsid w:val="00382475"/>
    <w:rsid w:val="00383180"/>
    <w:rsid w:val="003874D1"/>
    <w:rsid w:val="00391210"/>
    <w:rsid w:val="00392001"/>
    <w:rsid w:val="00396094"/>
    <w:rsid w:val="003A1116"/>
    <w:rsid w:val="003A2711"/>
    <w:rsid w:val="003A455E"/>
    <w:rsid w:val="003A55EF"/>
    <w:rsid w:val="003A6F23"/>
    <w:rsid w:val="003B0497"/>
    <w:rsid w:val="003B4DB7"/>
    <w:rsid w:val="003B5001"/>
    <w:rsid w:val="003B779D"/>
    <w:rsid w:val="003C1E0E"/>
    <w:rsid w:val="003C341D"/>
    <w:rsid w:val="003C55B8"/>
    <w:rsid w:val="003C6ADB"/>
    <w:rsid w:val="003C7055"/>
    <w:rsid w:val="003C7F51"/>
    <w:rsid w:val="003D27D3"/>
    <w:rsid w:val="003D288C"/>
    <w:rsid w:val="003D436A"/>
    <w:rsid w:val="003D4F2E"/>
    <w:rsid w:val="003D4F9D"/>
    <w:rsid w:val="003D763F"/>
    <w:rsid w:val="003E0642"/>
    <w:rsid w:val="003E12B0"/>
    <w:rsid w:val="003E15DA"/>
    <w:rsid w:val="003E1E02"/>
    <w:rsid w:val="003E3C49"/>
    <w:rsid w:val="003E442B"/>
    <w:rsid w:val="003F7080"/>
    <w:rsid w:val="004015CD"/>
    <w:rsid w:val="00401774"/>
    <w:rsid w:val="00403FD7"/>
    <w:rsid w:val="00406D8B"/>
    <w:rsid w:val="00413A92"/>
    <w:rsid w:val="00413CD7"/>
    <w:rsid w:val="004155DA"/>
    <w:rsid w:val="00422174"/>
    <w:rsid w:val="00422298"/>
    <w:rsid w:val="00425CD6"/>
    <w:rsid w:val="00430E18"/>
    <w:rsid w:val="0043313E"/>
    <w:rsid w:val="00435DE9"/>
    <w:rsid w:val="004363F6"/>
    <w:rsid w:val="004379DD"/>
    <w:rsid w:val="00441E3A"/>
    <w:rsid w:val="00442EAC"/>
    <w:rsid w:val="00444B92"/>
    <w:rsid w:val="00444FDF"/>
    <w:rsid w:val="00446A93"/>
    <w:rsid w:val="00447BBA"/>
    <w:rsid w:val="00447D7B"/>
    <w:rsid w:val="00462FCF"/>
    <w:rsid w:val="00465B4D"/>
    <w:rsid w:val="004727E1"/>
    <w:rsid w:val="004753E1"/>
    <w:rsid w:val="004759C1"/>
    <w:rsid w:val="0047630E"/>
    <w:rsid w:val="0048453C"/>
    <w:rsid w:val="00484D7D"/>
    <w:rsid w:val="004863C0"/>
    <w:rsid w:val="004868FE"/>
    <w:rsid w:val="00487530"/>
    <w:rsid w:val="00491415"/>
    <w:rsid w:val="00497A37"/>
    <w:rsid w:val="004A1220"/>
    <w:rsid w:val="004A2103"/>
    <w:rsid w:val="004A3B1D"/>
    <w:rsid w:val="004B0814"/>
    <w:rsid w:val="004B7989"/>
    <w:rsid w:val="004C5AB5"/>
    <w:rsid w:val="004D03C3"/>
    <w:rsid w:val="004D0B6C"/>
    <w:rsid w:val="004D416D"/>
    <w:rsid w:val="004E33AD"/>
    <w:rsid w:val="004E4D1A"/>
    <w:rsid w:val="004E5AF9"/>
    <w:rsid w:val="004F0D24"/>
    <w:rsid w:val="004F1EB9"/>
    <w:rsid w:val="004F23EE"/>
    <w:rsid w:val="004F2CAA"/>
    <w:rsid w:val="004F4C0C"/>
    <w:rsid w:val="004F6B18"/>
    <w:rsid w:val="004F6CFB"/>
    <w:rsid w:val="004F7072"/>
    <w:rsid w:val="004F729D"/>
    <w:rsid w:val="004F754C"/>
    <w:rsid w:val="005070F8"/>
    <w:rsid w:val="0050778F"/>
    <w:rsid w:val="005119C8"/>
    <w:rsid w:val="00513E25"/>
    <w:rsid w:val="00516F49"/>
    <w:rsid w:val="00517DC4"/>
    <w:rsid w:val="0052661D"/>
    <w:rsid w:val="00530039"/>
    <w:rsid w:val="00534389"/>
    <w:rsid w:val="0053597F"/>
    <w:rsid w:val="005400C1"/>
    <w:rsid w:val="005456A8"/>
    <w:rsid w:val="005457A0"/>
    <w:rsid w:val="005501B4"/>
    <w:rsid w:val="0055150C"/>
    <w:rsid w:val="00563DD3"/>
    <w:rsid w:val="005640C5"/>
    <w:rsid w:val="0056583B"/>
    <w:rsid w:val="005667F0"/>
    <w:rsid w:val="00571CDF"/>
    <w:rsid w:val="00573539"/>
    <w:rsid w:val="00584F32"/>
    <w:rsid w:val="00597457"/>
    <w:rsid w:val="005A053A"/>
    <w:rsid w:val="005A2C84"/>
    <w:rsid w:val="005A3F0E"/>
    <w:rsid w:val="005A44A1"/>
    <w:rsid w:val="005B333F"/>
    <w:rsid w:val="005B3C0B"/>
    <w:rsid w:val="005B62E6"/>
    <w:rsid w:val="005C0E90"/>
    <w:rsid w:val="005C1FB8"/>
    <w:rsid w:val="005C3848"/>
    <w:rsid w:val="005C66A3"/>
    <w:rsid w:val="005C7EA4"/>
    <w:rsid w:val="005D2DCF"/>
    <w:rsid w:val="005D3D2E"/>
    <w:rsid w:val="005D559D"/>
    <w:rsid w:val="005D6FA0"/>
    <w:rsid w:val="005E151F"/>
    <w:rsid w:val="005E604D"/>
    <w:rsid w:val="005E77E7"/>
    <w:rsid w:val="005F1D79"/>
    <w:rsid w:val="005F34F5"/>
    <w:rsid w:val="005F6526"/>
    <w:rsid w:val="005F7283"/>
    <w:rsid w:val="00604AE0"/>
    <w:rsid w:val="00605125"/>
    <w:rsid w:val="00606F47"/>
    <w:rsid w:val="00607B0C"/>
    <w:rsid w:val="00613E20"/>
    <w:rsid w:val="0061497A"/>
    <w:rsid w:val="006163CA"/>
    <w:rsid w:val="006175BC"/>
    <w:rsid w:val="0062000C"/>
    <w:rsid w:val="006232CB"/>
    <w:rsid w:val="00626409"/>
    <w:rsid w:val="00630310"/>
    <w:rsid w:val="00631A45"/>
    <w:rsid w:val="006376C6"/>
    <w:rsid w:val="00640CA6"/>
    <w:rsid w:val="006458D8"/>
    <w:rsid w:val="00646213"/>
    <w:rsid w:val="00646D7E"/>
    <w:rsid w:val="006544E9"/>
    <w:rsid w:val="0066127E"/>
    <w:rsid w:val="0066141A"/>
    <w:rsid w:val="006638CB"/>
    <w:rsid w:val="006646AF"/>
    <w:rsid w:val="0066756D"/>
    <w:rsid w:val="006704C9"/>
    <w:rsid w:val="00676DCF"/>
    <w:rsid w:val="00677885"/>
    <w:rsid w:val="00677F98"/>
    <w:rsid w:val="006801FF"/>
    <w:rsid w:val="0068213E"/>
    <w:rsid w:val="00685DD5"/>
    <w:rsid w:val="00687F81"/>
    <w:rsid w:val="00687FE2"/>
    <w:rsid w:val="00690057"/>
    <w:rsid w:val="006912D4"/>
    <w:rsid w:val="00693C4D"/>
    <w:rsid w:val="006A496D"/>
    <w:rsid w:val="006A6227"/>
    <w:rsid w:val="006A63DA"/>
    <w:rsid w:val="006B0B5F"/>
    <w:rsid w:val="006B155B"/>
    <w:rsid w:val="006B6660"/>
    <w:rsid w:val="006C0DC3"/>
    <w:rsid w:val="006C0EBC"/>
    <w:rsid w:val="006C271F"/>
    <w:rsid w:val="006C4F00"/>
    <w:rsid w:val="006C673B"/>
    <w:rsid w:val="006C6AFE"/>
    <w:rsid w:val="006C7B54"/>
    <w:rsid w:val="006D4AC1"/>
    <w:rsid w:val="006D662C"/>
    <w:rsid w:val="006E2015"/>
    <w:rsid w:val="006E7458"/>
    <w:rsid w:val="006F2A2F"/>
    <w:rsid w:val="006F4095"/>
    <w:rsid w:val="007038AF"/>
    <w:rsid w:val="0070658C"/>
    <w:rsid w:val="00710D36"/>
    <w:rsid w:val="0071448C"/>
    <w:rsid w:val="0071558E"/>
    <w:rsid w:val="007216D1"/>
    <w:rsid w:val="00721DE1"/>
    <w:rsid w:val="00723610"/>
    <w:rsid w:val="0072777D"/>
    <w:rsid w:val="00735356"/>
    <w:rsid w:val="00741BF9"/>
    <w:rsid w:val="00742BBD"/>
    <w:rsid w:val="00744F9F"/>
    <w:rsid w:val="007468BD"/>
    <w:rsid w:val="00746A80"/>
    <w:rsid w:val="0074751A"/>
    <w:rsid w:val="007505E4"/>
    <w:rsid w:val="00763599"/>
    <w:rsid w:val="0077406C"/>
    <w:rsid w:val="007753AE"/>
    <w:rsid w:val="00777146"/>
    <w:rsid w:val="00780A7F"/>
    <w:rsid w:val="0079384D"/>
    <w:rsid w:val="007A24D6"/>
    <w:rsid w:val="007A437F"/>
    <w:rsid w:val="007A57FD"/>
    <w:rsid w:val="007B2819"/>
    <w:rsid w:val="007B68CB"/>
    <w:rsid w:val="007B6A75"/>
    <w:rsid w:val="007B7BEC"/>
    <w:rsid w:val="007C2AE4"/>
    <w:rsid w:val="007C3E90"/>
    <w:rsid w:val="007D5E08"/>
    <w:rsid w:val="007D64A9"/>
    <w:rsid w:val="007E272D"/>
    <w:rsid w:val="007E274C"/>
    <w:rsid w:val="007E448A"/>
    <w:rsid w:val="007E5473"/>
    <w:rsid w:val="007E67CF"/>
    <w:rsid w:val="007E7CE4"/>
    <w:rsid w:val="007E7ED8"/>
    <w:rsid w:val="007F311A"/>
    <w:rsid w:val="007F505A"/>
    <w:rsid w:val="007F67F1"/>
    <w:rsid w:val="008019CE"/>
    <w:rsid w:val="0080789B"/>
    <w:rsid w:val="00810F44"/>
    <w:rsid w:val="0081262A"/>
    <w:rsid w:val="008127F8"/>
    <w:rsid w:val="008169E9"/>
    <w:rsid w:val="00822FEF"/>
    <w:rsid w:val="0083029B"/>
    <w:rsid w:val="00830DBD"/>
    <w:rsid w:val="00836181"/>
    <w:rsid w:val="008378DC"/>
    <w:rsid w:val="00842A8A"/>
    <w:rsid w:val="00843938"/>
    <w:rsid w:val="00843C07"/>
    <w:rsid w:val="008440B1"/>
    <w:rsid w:val="0084479F"/>
    <w:rsid w:val="0084615E"/>
    <w:rsid w:val="00847535"/>
    <w:rsid w:val="0085189E"/>
    <w:rsid w:val="00852EEC"/>
    <w:rsid w:val="00855FDD"/>
    <w:rsid w:val="00864A24"/>
    <w:rsid w:val="00864E80"/>
    <w:rsid w:val="00866506"/>
    <w:rsid w:val="00866C07"/>
    <w:rsid w:val="00870F3F"/>
    <w:rsid w:val="0087213C"/>
    <w:rsid w:val="0087221D"/>
    <w:rsid w:val="00881298"/>
    <w:rsid w:val="0088204B"/>
    <w:rsid w:val="00882234"/>
    <w:rsid w:val="0088290D"/>
    <w:rsid w:val="00882C6F"/>
    <w:rsid w:val="0088597D"/>
    <w:rsid w:val="00893D74"/>
    <w:rsid w:val="00894255"/>
    <w:rsid w:val="00894E99"/>
    <w:rsid w:val="008A23B7"/>
    <w:rsid w:val="008B08AA"/>
    <w:rsid w:val="008B09CF"/>
    <w:rsid w:val="008B359A"/>
    <w:rsid w:val="008B367F"/>
    <w:rsid w:val="008C3E7E"/>
    <w:rsid w:val="008D249A"/>
    <w:rsid w:val="008D722B"/>
    <w:rsid w:val="008E0FBF"/>
    <w:rsid w:val="008E323D"/>
    <w:rsid w:val="008E3E41"/>
    <w:rsid w:val="008E5257"/>
    <w:rsid w:val="00902F64"/>
    <w:rsid w:val="009033AB"/>
    <w:rsid w:val="0090683E"/>
    <w:rsid w:val="0091235C"/>
    <w:rsid w:val="009123B5"/>
    <w:rsid w:val="0091390A"/>
    <w:rsid w:val="00917E4B"/>
    <w:rsid w:val="00922A3A"/>
    <w:rsid w:val="00924D84"/>
    <w:rsid w:val="00927C38"/>
    <w:rsid w:val="00930F2C"/>
    <w:rsid w:val="0093288E"/>
    <w:rsid w:val="00934A68"/>
    <w:rsid w:val="009500AB"/>
    <w:rsid w:val="009500E6"/>
    <w:rsid w:val="009527D6"/>
    <w:rsid w:val="00954CDF"/>
    <w:rsid w:val="00954FA2"/>
    <w:rsid w:val="00955935"/>
    <w:rsid w:val="009577B1"/>
    <w:rsid w:val="0096121F"/>
    <w:rsid w:val="00962081"/>
    <w:rsid w:val="00963AF0"/>
    <w:rsid w:val="00964C9E"/>
    <w:rsid w:val="00965F83"/>
    <w:rsid w:val="009767C1"/>
    <w:rsid w:val="00981355"/>
    <w:rsid w:val="00984DDA"/>
    <w:rsid w:val="00985751"/>
    <w:rsid w:val="00990F31"/>
    <w:rsid w:val="00991C86"/>
    <w:rsid w:val="0099321F"/>
    <w:rsid w:val="009940AC"/>
    <w:rsid w:val="009A44A9"/>
    <w:rsid w:val="009B10D7"/>
    <w:rsid w:val="009B26D9"/>
    <w:rsid w:val="009B6083"/>
    <w:rsid w:val="009C2FB2"/>
    <w:rsid w:val="009C37DA"/>
    <w:rsid w:val="009C7A0D"/>
    <w:rsid w:val="009D0510"/>
    <w:rsid w:val="009D0595"/>
    <w:rsid w:val="009D206F"/>
    <w:rsid w:val="009D44EF"/>
    <w:rsid w:val="009D5AC5"/>
    <w:rsid w:val="009E2626"/>
    <w:rsid w:val="009E31D1"/>
    <w:rsid w:val="009E341F"/>
    <w:rsid w:val="009E593A"/>
    <w:rsid w:val="009F1C32"/>
    <w:rsid w:val="009F228B"/>
    <w:rsid w:val="009F42FB"/>
    <w:rsid w:val="009F4B42"/>
    <w:rsid w:val="009F56D6"/>
    <w:rsid w:val="009F7673"/>
    <w:rsid w:val="00A01163"/>
    <w:rsid w:val="00A0175D"/>
    <w:rsid w:val="00A01FF4"/>
    <w:rsid w:val="00A04C29"/>
    <w:rsid w:val="00A074CA"/>
    <w:rsid w:val="00A150FE"/>
    <w:rsid w:val="00A171CA"/>
    <w:rsid w:val="00A174FD"/>
    <w:rsid w:val="00A23368"/>
    <w:rsid w:val="00A23882"/>
    <w:rsid w:val="00A26F32"/>
    <w:rsid w:val="00A34F1D"/>
    <w:rsid w:val="00A35EFC"/>
    <w:rsid w:val="00A37C44"/>
    <w:rsid w:val="00A40BE6"/>
    <w:rsid w:val="00A41591"/>
    <w:rsid w:val="00A47478"/>
    <w:rsid w:val="00A478D8"/>
    <w:rsid w:val="00A57FD9"/>
    <w:rsid w:val="00A61A9A"/>
    <w:rsid w:val="00A64B86"/>
    <w:rsid w:val="00A710B3"/>
    <w:rsid w:val="00A72CAA"/>
    <w:rsid w:val="00A756B1"/>
    <w:rsid w:val="00A75C8B"/>
    <w:rsid w:val="00A82B3B"/>
    <w:rsid w:val="00A867FD"/>
    <w:rsid w:val="00A86C36"/>
    <w:rsid w:val="00A94CAC"/>
    <w:rsid w:val="00A952AA"/>
    <w:rsid w:val="00A954CF"/>
    <w:rsid w:val="00A978D8"/>
    <w:rsid w:val="00AA0DF5"/>
    <w:rsid w:val="00AA1040"/>
    <w:rsid w:val="00AA31CD"/>
    <w:rsid w:val="00AA3EB5"/>
    <w:rsid w:val="00AA5A5A"/>
    <w:rsid w:val="00AA6296"/>
    <w:rsid w:val="00AA6BB1"/>
    <w:rsid w:val="00AB03FF"/>
    <w:rsid w:val="00AB1948"/>
    <w:rsid w:val="00AB6AA0"/>
    <w:rsid w:val="00AC0051"/>
    <w:rsid w:val="00AC0662"/>
    <w:rsid w:val="00AC12ED"/>
    <w:rsid w:val="00AC6436"/>
    <w:rsid w:val="00AC6457"/>
    <w:rsid w:val="00AD329D"/>
    <w:rsid w:val="00AD570E"/>
    <w:rsid w:val="00AD7A16"/>
    <w:rsid w:val="00AE4F9B"/>
    <w:rsid w:val="00AE7110"/>
    <w:rsid w:val="00AF0B7C"/>
    <w:rsid w:val="00AF7564"/>
    <w:rsid w:val="00AF7DCA"/>
    <w:rsid w:val="00B01D6D"/>
    <w:rsid w:val="00B127B8"/>
    <w:rsid w:val="00B2177C"/>
    <w:rsid w:val="00B238C8"/>
    <w:rsid w:val="00B2545F"/>
    <w:rsid w:val="00B2675F"/>
    <w:rsid w:val="00B2722E"/>
    <w:rsid w:val="00B34788"/>
    <w:rsid w:val="00B3599A"/>
    <w:rsid w:val="00B35EC1"/>
    <w:rsid w:val="00B3610A"/>
    <w:rsid w:val="00B37A34"/>
    <w:rsid w:val="00B44324"/>
    <w:rsid w:val="00B5001C"/>
    <w:rsid w:val="00B503F2"/>
    <w:rsid w:val="00B5392C"/>
    <w:rsid w:val="00B570C6"/>
    <w:rsid w:val="00B640B1"/>
    <w:rsid w:val="00B703FA"/>
    <w:rsid w:val="00B72E1B"/>
    <w:rsid w:val="00B76DF7"/>
    <w:rsid w:val="00B82EA2"/>
    <w:rsid w:val="00B837BE"/>
    <w:rsid w:val="00B84C42"/>
    <w:rsid w:val="00B85B60"/>
    <w:rsid w:val="00B90C32"/>
    <w:rsid w:val="00B92DCE"/>
    <w:rsid w:val="00B931B1"/>
    <w:rsid w:val="00B95B7F"/>
    <w:rsid w:val="00BA1D96"/>
    <w:rsid w:val="00BA3264"/>
    <w:rsid w:val="00BA3976"/>
    <w:rsid w:val="00BA4F6A"/>
    <w:rsid w:val="00BB49EC"/>
    <w:rsid w:val="00BB647E"/>
    <w:rsid w:val="00BC1365"/>
    <w:rsid w:val="00BC162F"/>
    <w:rsid w:val="00BC1AAB"/>
    <w:rsid w:val="00BC50A9"/>
    <w:rsid w:val="00BC57C1"/>
    <w:rsid w:val="00BD009E"/>
    <w:rsid w:val="00BD62A4"/>
    <w:rsid w:val="00BE3C69"/>
    <w:rsid w:val="00BE6A7B"/>
    <w:rsid w:val="00BE6AA4"/>
    <w:rsid w:val="00BE733F"/>
    <w:rsid w:val="00BF0CB1"/>
    <w:rsid w:val="00C0199F"/>
    <w:rsid w:val="00C02CB5"/>
    <w:rsid w:val="00C04593"/>
    <w:rsid w:val="00C04B6C"/>
    <w:rsid w:val="00C10089"/>
    <w:rsid w:val="00C12697"/>
    <w:rsid w:val="00C13567"/>
    <w:rsid w:val="00C138F3"/>
    <w:rsid w:val="00C14EEE"/>
    <w:rsid w:val="00C16319"/>
    <w:rsid w:val="00C16E64"/>
    <w:rsid w:val="00C23908"/>
    <w:rsid w:val="00C27202"/>
    <w:rsid w:val="00C275C9"/>
    <w:rsid w:val="00C30511"/>
    <w:rsid w:val="00C3579C"/>
    <w:rsid w:val="00C35F0B"/>
    <w:rsid w:val="00C40A00"/>
    <w:rsid w:val="00C41094"/>
    <w:rsid w:val="00C45232"/>
    <w:rsid w:val="00C461CE"/>
    <w:rsid w:val="00C46C4B"/>
    <w:rsid w:val="00C53BCE"/>
    <w:rsid w:val="00C576C1"/>
    <w:rsid w:val="00C614C6"/>
    <w:rsid w:val="00C61B40"/>
    <w:rsid w:val="00C61E86"/>
    <w:rsid w:val="00C71322"/>
    <w:rsid w:val="00C733D6"/>
    <w:rsid w:val="00C77029"/>
    <w:rsid w:val="00C8054D"/>
    <w:rsid w:val="00C8368C"/>
    <w:rsid w:val="00C87725"/>
    <w:rsid w:val="00C90B85"/>
    <w:rsid w:val="00C91EB6"/>
    <w:rsid w:val="00CA04A5"/>
    <w:rsid w:val="00CA32F5"/>
    <w:rsid w:val="00CA3A1A"/>
    <w:rsid w:val="00CA549D"/>
    <w:rsid w:val="00CA6D87"/>
    <w:rsid w:val="00CB197E"/>
    <w:rsid w:val="00CB3DA7"/>
    <w:rsid w:val="00CB6E72"/>
    <w:rsid w:val="00CC56A3"/>
    <w:rsid w:val="00CC69F6"/>
    <w:rsid w:val="00CD0761"/>
    <w:rsid w:val="00CD29EB"/>
    <w:rsid w:val="00CD5F5F"/>
    <w:rsid w:val="00CD64A3"/>
    <w:rsid w:val="00CD7517"/>
    <w:rsid w:val="00CE3F91"/>
    <w:rsid w:val="00CE7AA2"/>
    <w:rsid w:val="00CF0147"/>
    <w:rsid w:val="00CF1221"/>
    <w:rsid w:val="00CF3847"/>
    <w:rsid w:val="00CF7A27"/>
    <w:rsid w:val="00D04D90"/>
    <w:rsid w:val="00D06A6A"/>
    <w:rsid w:val="00D12538"/>
    <w:rsid w:val="00D16EE0"/>
    <w:rsid w:val="00D20844"/>
    <w:rsid w:val="00D209CC"/>
    <w:rsid w:val="00D21962"/>
    <w:rsid w:val="00D23107"/>
    <w:rsid w:val="00D23531"/>
    <w:rsid w:val="00D23D16"/>
    <w:rsid w:val="00D23ED7"/>
    <w:rsid w:val="00D24256"/>
    <w:rsid w:val="00D24350"/>
    <w:rsid w:val="00D27327"/>
    <w:rsid w:val="00D335F6"/>
    <w:rsid w:val="00D34C9F"/>
    <w:rsid w:val="00D37624"/>
    <w:rsid w:val="00D4651C"/>
    <w:rsid w:val="00D47170"/>
    <w:rsid w:val="00D50341"/>
    <w:rsid w:val="00D50E3B"/>
    <w:rsid w:val="00D56F36"/>
    <w:rsid w:val="00D57C29"/>
    <w:rsid w:val="00D60203"/>
    <w:rsid w:val="00D616C6"/>
    <w:rsid w:val="00D61AEB"/>
    <w:rsid w:val="00D70187"/>
    <w:rsid w:val="00D70A63"/>
    <w:rsid w:val="00D723C0"/>
    <w:rsid w:val="00D72C81"/>
    <w:rsid w:val="00D73565"/>
    <w:rsid w:val="00D745A3"/>
    <w:rsid w:val="00D77322"/>
    <w:rsid w:val="00D80F88"/>
    <w:rsid w:val="00D818E9"/>
    <w:rsid w:val="00D86D8E"/>
    <w:rsid w:val="00D8717E"/>
    <w:rsid w:val="00D90D46"/>
    <w:rsid w:val="00D91537"/>
    <w:rsid w:val="00D91C13"/>
    <w:rsid w:val="00D9249B"/>
    <w:rsid w:val="00D93217"/>
    <w:rsid w:val="00D96242"/>
    <w:rsid w:val="00DA3CD5"/>
    <w:rsid w:val="00DA7727"/>
    <w:rsid w:val="00DA7AC7"/>
    <w:rsid w:val="00DB1913"/>
    <w:rsid w:val="00DB411A"/>
    <w:rsid w:val="00DB7284"/>
    <w:rsid w:val="00DB749E"/>
    <w:rsid w:val="00DB7795"/>
    <w:rsid w:val="00DC0FF7"/>
    <w:rsid w:val="00DC1499"/>
    <w:rsid w:val="00DC18E0"/>
    <w:rsid w:val="00DC27B4"/>
    <w:rsid w:val="00DC2ECA"/>
    <w:rsid w:val="00DC4871"/>
    <w:rsid w:val="00DC7B9A"/>
    <w:rsid w:val="00DD03FD"/>
    <w:rsid w:val="00DD42F1"/>
    <w:rsid w:val="00DD4457"/>
    <w:rsid w:val="00DD75D4"/>
    <w:rsid w:val="00DE271E"/>
    <w:rsid w:val="00DE2728"/>
    <w:rsid w:val="00DE2778"/>
    <w:rsid w:val="00DE4146"/>
    <w:rsid w:val="00DE5CFF"/>
    <w:rsid w:val="00DE5E2A"/>
    <w:rsid w:val="00DE624F"/>
    <w:rsid w:val="00DF343F"/>
    <w:rsid w:val="00DF49EC"/>
    <w:rsid w:val="00DF5A30"/>
    <w:rsid w:val="00DF5B7C"/>
    <w:rsid w:val="00E04996"/>
    <w:rsid w:val="00E05935"/>
    <w:rsid w:val="00E1008F"/>
    <w:rsid w:val="00E11F63"/>
    <w:rsid w:val="00E127E9"/>
    <w:rsid w:val="00E139CA"/>
    <w:rsid w:val="00E14E46"/>
    <w:rsid w:val="00E16E55"/>
    <w:rsid w:val="00E203C4"/>
    <w:rsid w:val="00E2065F"/>
    <w:rsid w:val="00E20FF9"/>
    <w:rsid w:val="00E30EDF"/>
    <w:rsid w:val="00E32C87"/>
    <w:rsid w:val="00E338B6"/>
    <w:rsid w:val="00E359CF"/>
    <w:rsid w:val="00E37521"/>
    <w:rsid w:val="00E43DE7"/>
    <w:rsid w:val="00E44C28"/>
    <w:rsid w:val="00E46F20"/>
    <w:rsid w:val="00E47C26"/>
    <w:rsid w:val="00E50E4F"/>
    <w:rsid w:val="00E51D7B"/>
    <w:rsid w:val="00E51E95"/>
    <w:rsid w:val="00E53DFE"/>
    <w:rsid w:val="00E579E3"/>
    <w:rsid w:val="00E621C5"/>
    <w:rsid w:val="00E62E3D"/>
    <w:rsid w:val="00E645CF"/>
    <w:rsid w:val="00E6642D"/>
    <w:rsid w:val="00E707DF"/>
    <w:rsid w:val="00E74517"/>
    <w:rsid w:val="00E761EB"/>
    <w:rsid w:val="00E82BA1"/>
    <w:rsid w:val="00E84AE4"/>
    <w:rsid w:val="00E84E02"/>
    <w:rsid w:val="00E912F0"/>
    <w:rsid w:val="00E928F0"/>
    <w:rsid w:val="00E92E38"/>
    <w:rsid w:val="00E92EDC"/>
    <w:rsid w:val="00E937AB"/>
    <w:rsid w:val="00E9478D"/>
    <w:rsid w:val="00E9631D"/>
    <w:rsid w:val="00E979F2"/>
    <w:rsid w:val="00EA1E9F"/>
    <w:rsid w:val="00EA208C"/>
    <w:rsid w:val="00EA2540"/>
    <w:rsid w:val="00EB0B58"/>
    <w:rsid w:val="00EB32CC"/>
    <w:rsid w:val="00EC0DB6"/>
    <w:rsid w:val="00EC199E"/>
    <w:rsid w:val="00EC5AD3"/>
    <w:rsid w:val="00EC6816"/>
    <w:rsid w:val="00ED1360"/>
    <w:rsid w:val="00ED7D77"/>
    <w:rsid w:val="00EE149C"/>
    <w:rsid w:val="00EF2CBB"/>
    <w:rsid w:val="00EF77FA"/>
    <w:rsid w:val="00F02E42"/>
    <w:rsid w:val="00F032B1"/>
    <w:rsid w:val="00F06A0E"/>
    <w:rsid w:val="00F06FA1"/>
    <w:rsid w:val="00F10AB2"/>
    <w:rsid w:val="00F11CAA"/>
    <w:rsid w:val="00F12E37"/>
    <w:rsid w:val="00F13E74"/>
    <w:rsid w:val="00F34BC1"/>
    <w:rsid w:val="00F355B5"/>
    <w:rsid w:val="00F3622C"/>
    <w:rsid w:val="00F365E4"/>
    <w:rsid w:val="00F36C3E"/>
    <w:rsid w:val="00F37FC7"/>
    <w:rsid w:val="00F402AB"/>
    <w:rsid w:val="00F448B1"/>
    <w:rsid w:val="00F46041"/>
    <w:rsid w:val="00F46503"/>
    <w:rsid w:val="00F46F29"/>
    <w:rsid w:val="00F46F54"/>
    <w:rsid w:val="00F51229"/>
    <w:rsid w:val="00F51852"/>
    <w:rsid w:val="00F5474C"/>
    <w:rsid w:val="00F56758"/>
    <w:rsid w:val="00F5704F"/>
    <w:rsid w:val="00F57548"/>
    <w:rsid w:val="00F63FC2"/>
    <w:rsid w:val="00F658A1"/>
    <w:rsid w:val="00F70FA3"/>
    <w:rsid w:val="00F7193A"/>
    <w:rsid w:val="00F71F22"/>
    <w:rsid w:val="00F76B33"/>
    <w:rsid w:val="00F80D60"/>
    <w:rsid w:val="00F83EAC"/>
    <w:rsid w:val="00F84E64"/>
    <w:rsid w:val="00F85907"/>
    <w:rsid w:val="00F863D4"/>
    <w:rsid w:val="00FA1C99"/>
    <w:rsid w:val="00FA34BB"/>
    <w:rsid w:val="00FA3D9E"/>
    <w:rsid w:val="00FA6533"/>
    <w:rsid w:val="00FB01DD"/>
    <w:rsid w:val="00FB056F"/>
    <w:rsid w:val="00FB48BF"/>
    <w:rsid w:val="00FC28F9"/>
    <w:rsid w:val="00FC48A3"/>
    <w:rsid w:val="00FD262B"/>
    <w:rsid w:val="00FD2C04"/>
    <w:rsid w:val="00FD64FA"/>
    <w:rsid w:val="00FD69D3"/>
    <w:rsid w:val="00FE0C43"/>
    <w:rsid w:val="00FE6113"/>
    <w:rsid w:val="00FF08CA"/>
    <w:rsid w:val="00FF2037"/>
    <w:rsid w:val="00FF589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8763A79"/>
  <w15:docId w15:val="{69A5A363-DAD3-45CB-848F-F170D8A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B647E"/>
    <w:pPr>
      <w:spacing w:after="200" w:line="276" w:lineRule="auto"/>
    </w:pPr>
    <w:rPr>
      <w:sz w:val="22"/>
      <w:szCs w:val="22"/>
      <w:lang w:eastAsia="en-US"/>
    </w:rPr>
  </w:style>
  <w:style w:type="paragraph" w:styleId="1">
    <w:name w:val="heading 1"/>
    <w:basedOn w:val="a0"/>
    <w:next w:val="a0"/>
    <w:link w:val="10"/>
    <w:uiPriority w:val="9"/>
    <w:qFormat/>
    <w:rsid w:val="00D4651C"/>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0"/>
    <w:next w:val="a0"/>
    <w:link w:val="20"/>
    <w:uiPriority w:val="9"/>
    <w:unhideWhenUsed/>
    <w:qFormat/>
    <w:rsid w:val="003C6ADB"/>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0"/>
    <w:next w:val="a0"/>
    <w:link w:val="30"/>
    <w:uiPriority w:val="9"/>
    <w:qFormat/>
    <w:rsid w:val="00D4651C"/>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0"/>
    <w:next w:val="a0"/>
    <w:link w:val="40"/>
    <w:uiPriority w:val="9"/>
    <w:unhideWhenUsed/>
    <w:qFormat/>
    <w:rsid w:val="003C6ADB"/>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0"/>
    <w:next w:val="a0"/>
    <w:link w:val="50"/>
    <w:uiPriority w:val="9"/>
    <w:unhideWhenUsed/>
    <w:qFormat/>
    <w:rsid w:val="00D90D46"/>
    <w:pPr>
      <w:keepNext/>
      <w:keepLines/>
      <w:overflowPunct w:val="0"/>
      <w:autoSpaceDE w:val="0"/>
      <w:autoSpaceDN w:val="0"/>
      <w:adjustRightInd w:val="0"/>
      <w:spacing w:before="40" w:after="0" w:line="240" w:lineRule="auto"/>
      <w:textAlignment w:val="baseline"/>
      <w:outlineLvl w:val="4"/>
    </w:pPr>
    <w:rPr>
      <w:rFonts w:ascii="Calibri Light" w:eastAsia="Times New Roman" w:hAnsi="Calibri Light"/>
      <w:color w:val="2E74B5"/>
      <w:sz w:val="20"/>
      <w:szCs w:val="20"/>
      <w:lang w:eastAsia="ru-RU"/>
    </w:rPr>
  </w:style>
  <w:style w:type="paragraph" w:styleId="7">
    <w:name w:val="heading 7"/>
    <w:basedOn w:val="a0"/>
    <w:next w:val="a0"/>
    <w:link w:val="70"/>
    <w:uiPriority w:val="99"/>
    <w:qFormat/>
    <w:rsid w:val="00D4651C"/>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заголовок 1"/>
    <w:basedOn w:val="a0"/>
    <w:next w:val="a0"/>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0"/>
    <w:next w:val="a0"/>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4">
    <w:name w:val="Body Text"/>
    <w:basedOn w:val="a0"/>
    <w:link w:val="a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5">
    <w:name w:val="Основной текст Знак"/>
    <w:link w:val="a4"/>
    <w:uiPriority w:val="99"/>
    <w:rsid w:val="008E0FBF"/>
    <w:rPr>
      <w:rFonts w:ascii="Times New Roman" w:hAnsi="Times New Roman" w:cs="Times New Roman"/>
      <w:color w:val="0000FF"/>
      <w:sz w:val="16"/>
      <w:szCs w:val="16"/>
      <w:lang w:val="en-US"/>
    </w:rPr>
  </w:style>
  <w:style w:type="paragraph" w:styleId="22">
    <w:name w:val="Body Text Indent 2"/>
    <w:basedOn w:val="a0"/>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0"/>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6">
    <w:name w:val="Hyperlink"/>
    <w:uiPriority w:val="99"/>
    <w:rsid w:val="008E0FBF"/>
    <w:rPr>
      <w:color w:val="0000FF"/>
      <w:sz w:val="20"/>
      <w:szCs w:val="20"/>
      <w:u w:val="single"/>
    </w:rPr>
  </w:style>
  <w:style w:type="paragraph" w:styleId="31">
    <w:name w:val="Body Text 3"/>
    <w:basedOn w:val="a0"/>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7">
    <w:name w:val="Ц"/>
    <w:basedOn w:val="a0"/>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8E0FBF"/>
    <w:rPr>
      <w:b/>
      <w:bCs/>
      <w:sz w:val="20"/>
      <w:szCs w:val="20"/>
    </w:rPr>
  </w:style>
  <w:style w:type="paragraph" w:customStyle="1" w:styleId="Blockquote">
    <w:name w:val="Blockquote"/>
    <w:basedOn w:val="a0"/>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0"/>
    <w:next w:val="a0"/>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0"/>
    <w:next w:val="a0"/>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link w:val="a9"/>
    <w:uiPriority w:val="99"/>
    <w:rsid w:val="008E0FBF"/>
    <w:rPr>
      <w:rFonts w:ascii="Courier New" w:hAnsi="Courier New" w:cs="Courier New"/>
      <w:color w:val="0000FF"/>
      <w:sz w:val="16"/>
      <w:szCs w:val="16"/>
    </w:rPr>
  </w:style>
  <w:style w:type="paragraph" w:customStyle="1" w:styleId="Text">
    <w:name w:val="Text"/>
    <w:basedOn w:val="a0"/>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8E0FBF"/>
    <w:rPr>
      <w:i/>
      <w:iCs/>
    </w:rPr>
  </w:style>
  <w:style w:type="paragraph" w:customStyle="1" w:styleId="H5">
    <w:name w:val="H5"/>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0"/>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c">
    <w:name w:val="Г"/>
    <w:uiPriority w:val="99"/>
    <w:rsid w:val="008E0FBF"/>
    <w:rPr>
      <w:color w:val="0000FF"/>
      <w:u w:val="single"/>
    </w:rPr>
  </w:style>
  <w:style w:type="character" w:customStyle="1" w:styleId="ad">
    <w:name w:val="В"/>
    <w:rsid w:val="008E0FBF"/>
    <w:rPr>
      <w:i/>
      <w:iCs/>
    </w:rPr>
  </w:style>
  <w:style w:type="paragraph" w:customStyle="1" w:styleId="H1">
    <w:name w:val="H1"/>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e">
    <w:name w:val="С"/>
    <w:basedOn w:val="a0"/>
    <w:next w:val="a0"/>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0"/>
    <w:next w:val="DefinitionList"/>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0"/>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0"/>
    <w:next w:val="a0"/>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1">
    <w:name w:val="Emphasis"/>
    <w:uiPriority w:val="20"/>
    <w:qFormat/>
    <w:rsid w:val="008E0FBF"/>
    <w:rPr>
      <w:i/>
      <w:iCs/>
    </w:rPr>
  </w:style>
  <w:style w:type="character" w:styleId="af2">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3">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4">
    <w:name w:val="Title"/>
    <w:basedOn w:val="a0"/>
    <w:link w:val="af5"/>
    <w:uiPriority w:val="10"/>
    <w:qFormat/>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6">
    <w:name w:val="Сноски"/>
    <w:basedOn w:val="a0"/>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7">
    <w:name w:val="Рубрика"/>
    <w:basedOn w:val="a0"/>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8">
    <w:name w:val="endnote reference"/>
    <w:uiPriority w:val="99"/>
    <w:rsid w:val="008E0FBF"/>
    <w:rPr>
      <w:sz w:val="20"/>
      <w:szCs w:val="20"/>
      <w:vertAlign w:val="superscript"/>
    </w:rPr>
  </w:style>
  <w:style w:type="character" w:customStyle="1" w:styleId="af9">
    <w:name w:val="К"/>
    <w:uiPriority w:val="99"/>
    <w:rsid w:val="008E0FBF"/>
    <w:rPr>
      <w:rFonts w:ascii="Courier New" w:hAnsi="Courier New" w:cs="Courier New"/>
      <w:sz w:val="20"/>
      <w:szCs w:val="20"/>
    </w:rPr>
  </w:style>
  <w:style w:type="paragraph" w:customStyle="1" w:styleId="afa">
    <w:name w:val="Ф"/>
    <w:basedOn w:val="afb"/>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b">
    <w:name w:val="О"/>
    <w:rsid w:val="008E0FBF"/>
    <w:pPr>
      <w:autoSpaceDE w:val="0"/>
      <w:autoSpaceDN w:val="0"/>
      <w:adjustRightInd w:val="0"/>
      <w:spacing w:before="100" w:after="100"/>
    </w:pPr>
    <w:rPr>
      <w:rFonts w:ascii="Times New Roman" w:hAnsi="Times New Roman"/>
      <w:sz w:val="24"/>
      <w:szCs w:val="24"/>
      <w:lang w:eastAsia="en-US"/>
    </w:rPr>
  </w:style>
  <w:style w:type="character" w:customStyle="1" w:styleId="afc">
    <w:name w:val="Р"/>
    <w:uiPriority w:val="99"/>
    <w:rsid w:val="008E0FBF"/>
    <w:rPr>
      <w:vanish/>
      <w:color w:val="FF0000"/>
    </w:rPr>
  </w:style>
  <w:style w:type="paragraph" w:customStyle="1" w:styleId="Z-1">
    <w:name w:val="Z-1"/>
    <w:next w:val="afb"/>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b"/>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d">
    <w:name w:val="Т"/>
    <w:basedOn w:val="afb"/>
    <w:next w:val="ae"/>
    <w:uiPriority w:val="99"/>
    <w:rsid w:val="008E0FBF"/>
    <w:pPr>
      <w:spacing w:before="0" w:after="0"/>
    </w:pPr>
  </w:style>
  <w:style w:type="paragraph" w:customStyle="1" w:styleId="afe">
    <w:name w:val="А"/>
    <w:basedOn w:val="a0"/>
    <w:next w:val="a0"/>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f">
    <w:name w:val="......."/>
    <w:basedOn w:val="a0"/>
    <w:next w:val="a0"/>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f0">
    <w:name w:val="и"/>
    <w:uiPriority w:val="99"/>
    <w:rsid w:val="008E0FBF"/>
    <w:rPr>
      <w:color w:val="0000FF"/>
      <w:u w:val="single"/>
    </w:rPr>
  </w:style>
  <w:style w:type="character" w:customStyle="1" w:styleId="13">
    <w:name w:val="О1"/>
    <w:uiPriority w:val="99"/>
    <w:rsid w:val="008E0FBF"/>
    <w:rPr>
      <w:i/>
      <w:iCs/>
    </w:rPr>
  </w:style>
  <w:style w:type="character" w:customStyle="1" w:styleId="aff1">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0"/>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0"/>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0"/>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2">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3">
    <w:name w:val="Подпись к таблице"/>
    <w:basedOn w:val="a0"/>
    <w:link w:val="aff4"/>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link w:val="202"/>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5">
    <w:name w:val="Сноска"/>
    <w:basedOn w:val="a0"/>
    <w:link w:val="aff6"/>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0"/>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link w:val="121"/>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7">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0"/>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2">
    <w:name w:val="Основной текст (7)"/>
    <w:basedOn w:val="a0"/>
    <w:link w:val="73"/>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0"/>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8">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0"/>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0"/>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0"/>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Колонтитул + 92"/>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9">
    <w:name w:val="Колонтитул"/>
    <w:basedOn w:val="a0"/>
    <w:link w:val="affa"/>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0"/>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0"/>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b">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3">
    <w:name w:val="Подпись к картинке (20)"/>
    <w:rsid w:val="008E0FBF"/>
    <w:rPr>
      <w:rFonts w:ascii="Arial Narrow" w:hAnsi="Arial Narrow" w:cs="Arial Narrow"/>
      <w:i/>
      <w:iCs/>
      <w:spacing w:val="0"/>
      <w:sz w:val="16"/>
      <w:szCs w:val="16"/>
      <w:u w:val="single"/>
    </w:rPr>
  </w:style>
  <w:style w:type="character" w:customStyle="1" w:styleId="211">
    <w:name w:val="Подпись к картинке (21)"/>
    <w:rsid w:val="008E0FBF"/>
    <w:rPr>
      <w:rFonts w:ascii="Arial Narrow" w:hAnsi="Arial Narrow" w:cs="Arial Narrow"/>
      <w:strike/>
      <w:spacing w:val="0"/>
      <w:sz w:val="22"/>
      <w:szCs w:val="22"/>
    </w:rPr>
  </w:style>
  <w:style w:type="character" w:customStyle="1" w:styleId="51">
    <w:name w:val="Подпись к картинке (5)"/>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c">
    <w:name w:val="Подпись к картинке"/>
    <w:basedOn w:val="a0"/>
    <w:link w:val="affd"/>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2">
    <w:name w:val="Основной текст (12)"/>
    <w:basedOn w:val="a0"/>
    <w:link w:val="123"/>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link w:val="341"/>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0"/>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link w:val="550"/>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link w:val="540"/>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link w:val="56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0"/>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0"/>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link w:val="512"/>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link w:val="521"/>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0"/>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0"/>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0"/>
    <w:link w:val="76"/>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7">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3">
    <w:name w:val="Основной текст (5)1"/>
    <w:basedOn w:val="a0"/>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0"/>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0">
    <w:name w:val="Заголовок 1 Знак"/>
    <w:link w:val="1"/>
    <w:uiPriority w:val="9"/>
    <w:rsid w:val="00D4651C"/>
    <w:rPr>
      <w:rFonts w:ascii="Times New Roman" w:hAnsi="Times New Roman" w:cs="Times New Roman"/>
      <w:b/>
      <w:bCs/>
      <w:sz w:val="24"/>
      <w:szCs w:val="24"/>
    </w:rPr>
  </w:style>
  <w:style w:type="character" w:customStyle="1" w:styleId="30">
    <w:name w:val="Заголовок 3 Знак"/>
    <w:link w:val="3"/>
    <w:uiPriority w:val="9"/>
    <w:rsid w:val="00D4651C"/>
    <w:rPr>
      <w:rFonts w:ascii="Times New Roman" w:hAnsi="Times New Roman" w:cs="Times New Roman"/>
      <w:b/>
      <w:bCs/>
      <w:sz w:val="28"/>
      <w:szCs w:val="28"/>
    </w:rPr>
  </w:style>
  <w:style w:type="character" w:customStyle="1" w:styleId="70">
    <w:name w:val="Заголовок 7 Знак"/>
    <w:link w:val="7"/>
    <w:uiPriority w:val="99"/>
    <w:rsid w:val="00D4651C"/>
    <w:rPr>
      <w:rFonts w:ascii="Times New Roman" w:hAnsi="Times New Roman" w:cs="Times New Roman"/>
      <w:sz w:val="28"/>
      <w:szCs w:val="28"/>
    </w:rPr>
  </w:style>
  <w:style w:type="paragraph" w:customStyle="1" w:styleId="1a">
    <w:name w:val="Верхний колонтитул1"/>
    <w:basedOn w:val="a0"/>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b">
    <w:name w:val="Нижний колонтитул1"/>
    <w:basedOn w:val="a0"/>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e">
    <w:name w:val="header"/>
    <w:basedOn w:val="a0"/>
    <w:link w:val="afff"/>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
    <w:name w:val="Верхний колонтитул Знак"/>
    <w:link w:val="affe"/>
    <w:uiPriority w:val="99"/>
    <w:rsid w:val="00D4651C"/>
    <w:rPr>
      <w:rFonts w:ascii="Times New Roman" w:hAnsi="Times New Roman" w:cs="Times New Roman"/>
      <w:sz w:val="20"/>
      <w:szCs w:val="20"/>
    </w:rPr>
  </w:style>
  <w:style w:type="paragraph" w:styleId="afff0">
    <w:name w:val="footer"/>
    <w:basedOn w:val="a0"/>
    <w:link w:val="afff1"/>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1">
    <w:name w:val="Нижний колонтитул Знак"/>
    <w:link w:val="afff0"/>
    <w:uiPriority w:val="99"/>
    <w:rsid w:val="00D4651C"/>
    <w:rPr>
      <w:rFonts w:ascii="Times New Roman" w:hAnsi="Times New Roman" w:cs="Times New Roman"/>
      <w:sz w:val="20"/>
      <w:szCs w:val="20"/>
    </w:rPr>
  </w:style>
  <w:style w:type="paragraph" w:customStyle="1" w:styleId="1c">
    <w:name w:val="çàãîëîâîê 1"/>
    <w:basedOn w:val="Iauiue"/>
    <w:next w:val="Iauiue"/>
    <w:uiPriority w:val="99"/>
    <w:rsid w:val="00D4651C"/>
    <w:pPr>
      <w:keepNext/>
      <w:jc w:val="both"/>
    </w:pPr>
    <w:rPr>
      <w:i/>
      <w:iCs/>
      <w:sz w:val="16"/>
      <w:szCs w:val="16"/>
      <w:lang w:val="en-US"/>
    </w:rPr>
  </w:style>
  <w:style w:type="character" w:customStyle="1" w:styleId="afff2">
    <w:name w:val="Ã"/>
    <w:uiPriority w:val="99"/>
    <w:rsid w:val="00D4651C"/>
    <w:rPr>
      <w:color w:val="0000FF"/>
      <w:u w:val="single"/>
    </w:rPr>
  </w:style>
  <w:style w:type="paragraph" w:styleId="afff3">
    <w:name w:val="footnote text"/>
    <w:basedOn w:val="a0"/>
    <w:link w:val="afff4"/>
    <w:uiPriority w:val="99"/>
    <w:rsid w:val="00D4651C"/>
    <w:pPr>
      <w:autoSpaceDE w:val="0"/>
      <w:autoSpaceDN w:val="0"/>
      <w:adjustRightInd w:val="0"/>
      <w:spacing w:after="0" w:line="240" w:lineRule="auto"/>
    </w:pPr>
    <w:rPr>
      <w:rFonts w:ascii="Times New Roman" w:hAnsi="Times New Roman"/>
      <w:sz w:val="20"/>
      <w:szCs w:val="20"/>
    </w:rPr>
  </w:style>
  <w:style w:type="character" w:customStyle="1" w:styleId="afff4">
    <w:name w:val="Текст сноски Знак"/>
    <w:link w:val="afff3"/>
    <w:uiPriority w:val="99"/>
    <w:rsid w:val="00D4651C"/>
    <w:rPr>
      <w:rFonts w:ascii="Times New Roman" w:hAnsi="Times New Roman" w:cs="Times New Roman"/>
      <w:sz w:val="20"/>
      <w:szCs w:val="20"/>
    </w:rPr>
  </w:style>
  <w:style w:type="paragraph" w:customStyle="1" w:styleId="afff5">
    <w:name w:val="ï"/>
    <w:uiPriority w:val="99"/>
    <w:rsid w:val="00D4651C"/>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6">
    <w:name w:val="Çàãîëîâîê"/>
    <w:basedOn w:val="a0"/>
    <w:uiPriority w:val="99"/>
    <w:rsid w:val="00D4651C"/>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7">
    <w:name w:val="Ñíîñêè"/>
    <w:basedOn w:val="a0"/>
    <w:uiPriority w:val="99"/>
    <w:rsid w:val="00D4651C"/>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8">
    <w:name w:val="Ðóáðèêà"/>
    <w:basedOn w:val="a0"/>
    <w:uiPriority w:val="99"/>
    <w:rsid w:val="00D4651C"/>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9">
    <w:name w:val="Çíàê êîíöåâîé ñíîñêè"/>
    <w:uiPriority w:val="99"/>
    <w:rsid w:val="00D4651C"/>
    <w:rPr>
      <w:sz w:val="20"/>
      <w:szCs w:val="20"/>
      <w:vertAlign w:val="superscript"/>
    </w:rPr>
  </w:style>
  <w:style w:type="paragraph" w:customStyle="1" w:styleId="afffa">
    <w:name w:val="Ñ"/>
    <w:basedOn w:val="a0"/>
    <w:next w:val="a0"/>
    <w:uiPriority w:val="99"/>
    <w:rsid w:val="00D4651C"/>
    <w:pPr>
      <w:autoSpaceDE w:val="0"/>
      <w:autoSpaceDN w:val="0"/>
      <w:adjustRightInd w:val="0"/>
      <w:spacing w:after="0" w:line="240" w:lineRule="auto"/>
      <w:ind w:left="360"/>
    </w:pPr>
    <w:rPr>
      <w:rFonts w:ascii="Times New Roman" w:hAnsi="Times New Roman"/>
      <w:sz w:val="24"/>
      <w:szCs w:val="24"/>
    </w:rPr>
  </w:style>
  <w:style w:type="character" w:customStyle="1" w:styleId="1d">
    <w:name w:val="Ñ1"/>
    <w:uiPriority w:val="99"/>
    <w:rsid w:val="00D4651C"/>
    <w:rPr>
      <w:b/>
      <w:bCs/>
    </w:rPr>
  </w:style>
  <w:style w:type="character" w:customStyle="1" w:styleId="afffb">
    <w:name w:val="Ê"/>
    <w:uiPriority w:val="99"/>
    <w:rsid w:val="00D4651C"/>
    <w:rPr>
      <w:rFonts w:ascii="Courier New" w:hAnsi="Courier New" w:cs="Courier New"/>
      <w:sz w:val="20"/>
      <w:szCs w:val="20"/>
    </w:rPr>
  </w:style>
  <w:style w:type="paragraph" w:customStyle="1" w:styleId="afffc">
    <w:name w:val="Ô"/>
    <w:basedOn w:val="afffd"/>
    <w:uiPriority w:val="99"/>
    <w:rsid w:val="00D4651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d">
    <w:name w:val="Î"/>
    <w:uiPriority w:val="99"/>
    <w:rsid w:val="00D4651C"/>
    <w:pPr>
      <w:autoSpaceDE w:val="0"/>
      <w:autoSpaceDN w:val="0"/>
      <w:adjustRightInd w:val="0"/>
      <w:spacing w:before="100" w:after="100"/>
    </w:pPr>
    <w:rPr>
      <w:rFonts w:ascii="Times New Roman" w:hAnsi="Times New Roman"/>
      <w:sz w:val="24"/>
      <w:szCs w:val="24"/>
      <w:lang w:eastAsia="en-US"/>
    </w:rPr>
  </w:style>
  <w:style w:type="character" w:customStyle="1" w:styleId="afffe">
    <w:name w:val="Ð"/>
    <w:uiPriority w:val="99"/>
    <w:rsid w:val="00D4651C"/>
    <w:rPr>
      <w:vanish/>
      <w:color w:val="FF0000"/>
    </w:rPr>
  </w:style>
  <w:style w:type="paragraph" w:customStyle="1" w:styleId="affff">
    <w:name w:val="Ö"/>
    <w:basedOn w:val="a0"/>
    <w:uiPriority w:val="99"/>
    <w:rsid w:val="00D4651C"/>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0">
    <w:name w:val="Îñíîâíîé òåêñò 2"/>
    <w:basedOn w:val="a0"/>
    <w:uiPriority w:val="99"/>
    <w:rsid w:val="00D4651C"/>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0"/>
    <w:uiPriority w:val="99"/>
    <w:rsid w:val="00D4651C"/>
    <w:pPr>
      <w:widowControl w:val="0"/>
      <w:autoSpaceDE w:val="0"/>
      <w:autoSpaceDN w:val="0"/>
      <w:adjustRightInd w:val="0"/>
      <w:spacing w:after="0" w:line="240" w:lineRule="auto"/>
    </w:pPr>
    <w:rPr>
      <w:rFonts w:ascii="Courier New" w:hAnsi="Courier New" w:cs="Courier New"/>
      <w:sz w:val="20"/>
      <w:szCs w:val="20"/>
    </w:rPr>
  </w:style>
  <w:style w:type="paragraph" w:customStyle="1" w:styleId="3d">
    <w:name w:val="Îñíîâíîé òåêñò 3"/>
    <w:basedOn w:val="a0"/>
    <w:uiPriority w:val="99"/>
    <w:rsid w:val="00D4651C"/>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0"/>
    <w:next w:val="a0"/>
    <w:uiPriority w:val="99"/>
    <w:rsid w:val="00D4651C"/>
    <w:pPr>
      <w:autoSpaceDE w:val="0"/>
      <w:autoSpaceDN w:val="0"/>
      <w:adjustRightInd w:val="0"/>
      <w:spacing w:after="0" w:line="240" w:lineRule="auto"/>
    </w:pPr>
    <w:rPr>
      <w:rFonts w:ascii="Times New Roman" w:hAnsi="Times New Roman"/>
      <w:i/>
      <w:iCs/>
      <w:sz w:val="24"/>
      <w:szCs w:val="24"/>
    </w:rPr>
  </w:style>
  <w:style w:type="character" w:customStyle="1" w:styleId="affff2">
    <w:name w:val="Â"/>
    <w:uiPriority w:val="99"/>
    <w:rsid w:val="00D4651C"/>
    <w:rPr>
      <w:i/>
      <w:iCs/>
    </w:rPr>
  </w:style>
  <w:style w:type="paragraph" w:customStyle="1" w:styleId="affff3">
    <w:name w:val="Ò"/>
    <w:basedOn w:val="afffd"/>
    <w:next w:val="afffa"/>
    <w:uiPriority w:val="99"/>
    <w:rsid w:val="00D4651C"/>
    <w:pPr>
      <w:spacing w:before="0" w:after="0"/>
    </w:pPr>
  </w:style>
  <w:style w:type="character" w:customStyle="1" w:styleId="1e">
    <w:name w:val="Î1"/>
    <w:uiPriority w:val="99"/>
    <w:rsid w:val="00D4651C"/>
    <w:rPr>
      <w:i/>
      <w:iCs/>
    </w:rPr>
  </w:style>
  <w:style w:type="character" w:customStyle="1" w:styleId="affff4">
    <w:name w:val="Ó"/>
    <w:uiPriority w:val="99"/>
    <w:rsid w:val="00D4651C"/>
    <w:rPr>
      <w:i/>
      <w:iCs/>
    </w:rPr>
  </w:style>
  <w:style w:type="character" w:customStyle="1" w:styleId="affff5">
    <w:name w:val="Ï"/>
    <w:uiPriority w:val="99"/>
    <w:rsid w:val="00D4651C"/>
    <w:rPr>
      <w:color w:val="800080"/>
      <w:u w:val="single"/>
    </w:rPr>
  </w:style>
  <w:style w:type="character" w:customStyle="1" w:styleId="1f">
    <w:name w:val="Ê1"/>
    <w:uiPriority w:val="99"/>
    <w:rsid w:val="00D4651C"/>
    <w:rPr>
      <w:rFonts w:ascii="Courier New" w:hAnsi="Courier New" w:cs="Courier New"/>
      <w:b/>
      <w:bCs/>
      <w:sz w:val="20"/>
      <w:szCs w:val="20"/>
    </w:rPr>
  </w:style>
  <w:style w:type="character" w:customStyle="1" w:styleId="4a">
    <w:name w:val="Ï4"/>
    <w:uiPriority w:val="99"/>
    <w:rsid w:val="00D4651C"/>
    <w:rPr>
      <w:rFonts w:ascii="Courier New" w:hAnsi="Courier New" w:cs="Courier New"/>
    </w:rPr>
  </w:style>
  <w:style w:type="character" w:customStyle="1" w:styleId="3e">
    <w:name w:val="Ï3"/>
    <w:uiPriority w:val="99"/>
    <w:rsid w:val="00D4651C"/>
    <w:rPr>
      <w:rFonts w:ascii="Courier New" w:hAnsi="Courier New" w:cs="Courier New"/>
      <w:sz w:val="20"/>
      <w:szCs w:val="20"/>
    </w:rPr>
  </w:style>
  <w:style w:type="character" w:customStyle="1" w:styleId="2f1">
    <w:name w:val="Ï2"/>
    <w:uiPriority w:val="99"/>
    <w:rsid w:val="00D4651C"/>
    <w:rPr>
      <w:i/>
      <w:iCs/>
    </w:rPr>
  </w:style>
  <w:style w:type="character" w:customStyle="1" w:styleId="1f0">
    <w:name w:val="Ï1"/>
    <w:uiPriority w:val="99"/>
    <w:rsid w:val="00D4651C"/>
    <w:rPr>
      <w:vanish/>
    </w:rPr>
  </w:style>
  <w:style w:type="character" w:customStyle="1" w:styleId="affff6">
    <w:name w:val="Îñíîâíîé øðèôò àáçàöà"/>
    <w:uiPriority w:val="99"/>
    <w:rsid w:val="00D4651C"/>
    <w:rPr>
      <w:rFonts w:ascii="Times New Roman" w:hAnsi="Times New Roman" w:cs="Times New Roman"/>
      <w:sz w:val="20"/>
      <w:szCs w:val="20"/>
    </w:rPr>
  </w:style>
  <w:style w:type="paragraph" w:styleId="3f">
    <w:name w:val="Body Text Indent 3"/>
    <w:basedOn w:val="a0"/>
    <w:link w:val="3f0"/>
    <w:uiPriority w:val="99"/>
    <w:rsid w:val="00D4651C"/>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0">
    <w:name w:val="Основной текст с отступом 3 Знак"/>
    <w:link w:val="3f"/>
    <w:uiPriority w:val="99"/>
    <w:rsid w:val="00D4651C"/>
    <w:rPr>
      <w:rFonts w:ascii="Times New Roman" w:hAnsi="Times New Roman" w:cs="Times New Roman"/>
      <w:sz w:val="24"/>
      <w:szCs w:val="24"/>
    </w:rPr>
  </w:style>
  <w:style w:type="paragraph" w:styleId="affff7">
    <w:name w:val="Body Text Indent"/>
    <w:basedOn w:val="a0"/>
    <w:link w:val="affff8"/>
    <w:uiPriority w:val="99"/>
    <w:rsid w:val="00D4651C"/>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8">
    <w:name w:val="Основной текст с отступом Знак"/>
    <w:link w:val="affff7"/>
    <w:uiPriority w:val="99"/>
    <w:rsid w:val="00D4651C"/>
    <w:rPr>
      <w:rFonts w:ascii="Times New Roman" w:hAnsi="Times New Roman" w:cs="Times New Roman"/>
      <w:sz w:val="24"/>
      <w:szCs w:val="24"/>
    </w:rPr>
  </w:style>
  <w:style w:type="paragraph" w:customStyle="1" w:styleId="affff9">
    <w:name w:val="Ñîäåðæèìîå òàáëèöû"/>
    <w:basedOn w:val="a0"/>
    <w:uiPriority w:val="99"/>
    <w:rsid w:val="00D4651C"/>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a">
    <w:name w:val="footnote reference"/>
    <w:uiPriority w:val="99"/>
    <w:rsid w:val="00D4651C"/>
    <w:rPr>
      <w:vertAlign w:val="superscript"/>
    </w:rPr>
  </w:style>
  <w:style w:type="character" w:customStyle="1" w:styleId="A40">
    <w:name w:val="A4"/>
    <w:uiPriority w:val="99"/>
    <w:rsid w:val="00D4651C"/>
    <w:rPr>
      <w:color w:val="000000"/>
      <w:sz w:val="22"/>
      <w:szCs w:val="22"/>
    </w:rPr>
  </w:style>
  <w:style w:type="paragraph" w:customStyle="1" w:styleId="Pa6">
    <w:name w:val="Pa6"/>
    <w:basedOn w:val="Default"/>
    <w:next w:val="Default"/>
    <w:uiPriority w:val="99"/>
    <w:rsid w:val="00D4651C"/>
    <w:pPr>
      <w:spacing w:line="241" w:lineRule="atLeast"/>
    </w:pPr>
    <w:rPr>
      <w:color w:val="auto"/>
    </w:rPr>
  </w:style>
  <w:style w:type="paragraph" w:customStyle="1" w:styleId="260">
    <w:name w:val="Îñíîâíîé òåêñò (26)"/>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b">
    <w:name w:val="Îãëàâëåíèå"/>
    <w:basedOn w:val="a0"/>
    <w:uiPriority w:val="99"/>
    <w:rsid w:val="00D4651C"/>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1">
    <w:name w:val="Ïîäïèñü ê òàáëèöå1"/>
    <w:basedOn w:val="a0"/>
    <w:uiPriority w:val="99"/>
    <w:rsid w:val="00D4651C"/>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0"/>
    <w:uiPriority w:val="99"/>
    <w:rsid w:val="00D4651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0"/>
    <w:uiPriority w:val="99"/>
    <w:rsid w:val="00D4651C"/>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2">
    <w:name w:val="Ïîäïèñü ê òàáëèöå (2)2"/>
    <w:uiPriority w:val="99"/>
    <w:rsid w:val="00D4651C"/>
    <w:rPr>
      <w:rFonts w:ascii="Franklin Gothic Book" w:hAnsi="Franklin Gothic Book" w:cs="Franklin Gothic Book"/>
      <w:b/>
      <w:bCs/>
      <w:color w:val="FFFFFF"/>
      <w:sz w:val="15"/>
      <w:szCs w:val="15"/>
    </w:rPr>
  </w:style>
  <w:style w:type="paragraph" w:customStyle="1" w:styleId="1710">
    <w:name w:val="Îñíîâíîé òåêñò (17)1"/>
    <w:basedOn w:val="a0"/>
    <w:uiPriority w:val="99"/>
    <w:rsid w:val="00D4651C"/>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0"/>
    <w:next w:val="a0"/>
    <w:uiPriority w:val="99"/>
    <w:rsid w:val="00D4651C"/>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c">
    <w:name w:val="Îñíîâíîé òåêñò_"/>
    <w:uiPriority w:val="99"/>
    <w:rsid w:val="00D4651C"/>
    <w:rPr>
      <w:rFonts w:ascii="Microsoft Sans Serif" w:hAnsi="Microsoft Sans Serif" w:cs="Microsoft Sans Serif"/>
      <w:spacing w:val="-10"/>
      <w:sz w:val="29"/>
      <w:szCs w:val="29"/>
    </w:rPr>
  </w:style>
  <w:style w:type="character" w:customStyle="1" w:styleId="320">
    <w:name w:val="Îñíîâíîé òåêñò (32)_"/>
    <w:uiPriority w:val="99"/>
    <w:rsid w:val="00D4651C"/>
    <w:rPr>
      <w:rFonts w:ascii="Arial Narrow" w:hAnsi="Arial Narrow" w:cs="Arial Narrow"/>
      <w:b/>
      <w:bCs/>
      <w:spacing w:val="-20"/>
      <w:sz w:val="67"/>
      <w:szCs w:val="67"/>
    </w:rPr>
  </w:style>
  <w:style w:type="character" w:customStyle="1" w:styleId="291">
    <w:name w:val="Îñíîâíîé òåêñò (29)_"/>
    <w:uiPriority w:val="99"/>
    <w:rsid w:val="00D4651C"/>
    <w:rPr>
      <w:rFonts w:ascii="Arial Narrow" w:hAnsi="Arial Narrow" w:cs="Arial Narrow"/>
      <w:i/>
      <w:iCs/>
      <w:sz w:val="15"/>
      <w:szCs w:val="15"/>
    </w:rPr>
  </w:style>
  <w:style w:type="character" w:customStyle="1" w:styleId="313">
    <w:name w:val="Îñíîâíîé òåêñò (31)_"/>
    <w:uiPriority w:val="99"/>
    <w:rsid w:val="00D4651C"/>
    <w:rPr>
      <w:rFonts w:ascii="Microsoft Sans Serif" w:hAnsi="Microsoft Sans Serif" w:cs="Microsoft Sans Serif"/>
      <w:i/>
      <w:iCs/>
      <w:spacing w:val="10"/>
      <w:sz w:val="35"/>
      <w:szCs w:val="35"/>
    </w:rPr>
  </w:style>
  <w:style w:type="character" w:customStyle="1" w:styleId="301">
    <w:name w:val="Îñíîâíîé òåêñò (30)_"/>
    <w:uiPriority w:val="99"/>
    <w:rsid w:val="00D4651C"/>
    <w:rPr>
      <w:rFonts w:ascii="Arial" w:hAnsi="Arial" w:cs="Arial"/>
      <w:i/>
      <w:iCs/>
      <w:sz w:val="11"/>
      <w:szCs w:val="11"/>
    </w:rPr>
  </w:style>
  <w:style w:type="paragraph" w:customStyle="1" w:styleId="314">
    <w:name w:val="Îñíîâíîé òåêñò (31)"/>
    <w:basedOn w:val="a0"/>
    <w:uiPriority w:val="99"/>
    <w:rsid w:val="00D4651C"/>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0"/>
    <w:uiPriority w:val="99"/>
    <w:rsid w:val="00D4651C"/>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0"/>
    <w:uiPriority w:val="99"/>
    <w:rsid w:val="00D4651C"/>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0"/>
    <w:uiPriority w:val="99"/>
    <w:rsid w:val="00D4651C"/>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D4651C"/>
    <w:rPr>
      <w:rFonts w:ascii="Microsoft Sans Serif" w:hAnsi="Microsoft Sans Serif" w:cs="Microsoft Sans Serif"/>
      <w:i/>
      <w:iCs/>
      <w:sz w:val="28"/>
      <w:szCs w:val="28"/>
      <w:u w:val="single"/>
    </w:rPr>
  </w:style>
  <w:style w:type="character" w:customStyle="1" w:styleId="116">
    <w:name w:val="Îñíîâíîé òåêñò (11)_"/>
    <w:uiPriority w:val="99"/>
    <w:rsid w:val="00D4651C"/>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D4651C"/>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D4651C"/>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D4651C"/>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D4651C"/>
    <w:rPr>
      <w:rFonts w:ascii="Microsoft Sans Serif" w:hAnsi="Microsoft Sans Serif" w:cs="Microsoft Sans Serif"/>
      <w:i/>
      <w:iCs/>
      <w:spacing w:val="-10"/>
      <w:sz w:val="29"/>
      <w:szCs w:val="29"/>
    </w:rPr>
  </w:style>
  <w:style w:type="character" w:customStyle="1" w:styleId="1111">
    <w:name w:val="Îñíîâíîé òåêñò (11)11"/>
    <w:uiPriority w:val="99"/>
    <w:rsid w:val="00D4651C"/>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D4651C"/>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D4651C"/>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D4651C"/>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D4651C"/>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D4651C"/>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D4651C"/>
    <w:rPr>
      <w:rFonts w:ascii="Microsoft Sans Serif" w:hAnsi="Microsoft Sans Serif" w:cs="Microsoft Sans Serif"/>
      <w:i/>
      <w:iCs/>
      <w:spacing w:val="80"/>
      <w:sz w:val="28"/>
      <w:szCs w:val="28"/>
    </w:rPr>
  </w:style>
  <w:style w:type="character" w:customStyle="1" w:styleId="118">
    <w:name w:val="Îñíîâíîé òåêñò (11)8"/>
    <w:uiPriority w:val="99"/>
    <w:rsid w:val="00D4651C"/>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D4651C"/>
    <w:rPr>
      <w:rFonts w:ascii="Microsoft Sans Serif" w:hAnsi="Microsoft Sans Serif" w:cs="Microsoft Sans Serif"/>
      <w:i/>
      <w:iCs/>
      <w:spacing w:val="80"/>
      <w:sz w:val="28"/>
      <w:szCs w:val="28"/>
    </w:rPr>
  </w:style>
  <w:style w:type="character" w:customStyle="1" w:styleId="117">
    <w:name w:val="Îñíîâíîé òåêñò (11)7"/>
    <w:uiPriority w:val="99"/>
    <w:rsid w:val="00D4651C"/>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D4651C"/>
    <w:rPr>
      <w:rFonts w:ascii="Microsoft Sans Serif" w:hAnsi="Microsoft Sans Serif" w:cs="Microsoft Sans Serif"/>
      <w:i/>
      <w:iCs/>
      <w:spacing w:val="30"/>
      <w:sz w:val="28"/>
      <w:szCs w:val="28"/>
    </w:rPr>
  </w:style>
  <w:style w:type="character" w:customStyle="1" w:styleId="1160">
    <w:name w:val="Îñíîâíîé òåêñò (11)6"/>
    <w:uiPriority w:val="99"/>
    <w:rsid w:val="00D4651C"/>
    <w:rPr>
      <w:rFonts w:ascii="Microsoft Sans Serif" w:hAnsi="Microsoft Sans Serif" w:cs="Microsoft Sans Serif"/>
      <w:i/>
      <w:iCs/>
      <w:sz w:val="28"/>
      <w:szCs w:val="28"/>
      <w:u w:val="single"/>
    </w:rPr>
  </w:style>
  <w:style w:type="character" w:customStyle="1" w:styleId="1150">
    <w:name w:val="Îñíîâíîé òåêñò (11)5"/>
    <w:uiPriority w:val="99"/>
    <w:rsid w:val="00D4651C"/>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D4651C"/>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D4651C"/>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D4651C"/>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D4651C"/>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D4651C"/>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D4651C"/>
    <w:rPr>
      <w:rFonts w:ascii="Microsoft Sans Serif" w:hAnsi="Microsoft Sans Serif" w:cs="Microsoft Sans Serif"/>
      <w:i/>
      <w:iCs/>
      <w:spacing w:val="30"/>
      <w:sz w:val="28"/>
      <w:szCs w:val="28"/>
    </w:rPr>
  </w:style>
  <w:style w:type="character" w:customStyle="1" w:styleId="1140">
    <w:name w:val="Îñíîâíîé òåêñò (11)4"/>
    <w:uiPriority w:val="99"/>
    <w:rsid w:val="00D4651C"/>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D4651C"/>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D4651C"/>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D4651C"/>
    <w:rPr>
      <w:rFonts w:ascii="Microsoft Sans Serif" w:hAnsi="Microsoft Sans Serif" w:cs="Microsoft Sans Serif"/>
      <w:i/>
      <w:iCs/>
      <w:spacing w:val="-10"/>
      <w:sz w:val="29"/>
      <w:szCs w:val="29"/>
    </w:rPr>
  </w:style>
  <w:style w:type="character" w:customStyle="1" w:styleId="1130">
    <w:name w:val="Îñíîâíîé òåêñò (11)3"/>
    <w:uiPriority w:val="99"/>
    <w:rsid w:val="00D4651C"/>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D4651C"/>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D4651C"/>
    <w:rPr>
      <w:rFonts w:ascii="Arial Narrow" w:hAnsi="Arial Narrow" w:cs="Arial Narrow"/>
      <w:b/>
      <w:bCs/>
      <w:spacing w:val="0"/>
      <w:sz w:val="85"/>
      <w:szCs w:val="85"/>
    </w:rPr>
  </w:style>
  <w:style w:type="character" w:customStyle="1" w:styleId="1f2">
    <w:name w:val="Çàãîëîâîê ¹1_"/>
    <w:uiPriority w:val="99"/>
    <w:rsid w:val="00D4651C"/>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D4651C"/>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D4651C"/>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D4651C"/>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D4651C"/>
    <w:rPr>
      <w:rFonts w:ascii="Microsoft Sans Serif" w:hAnsi="Microsoft Sans Serif" w:cs="Microsoft Sans Serif"/>
      <w:i/>
      <w:iCs/>
      <w:spacing w:val="0"/>
      <w:sz w:val="28"/>
      <w:szCs w:val="28"/>
    </w:rPr>
  </w:style>
  <w:style w:type="character" w:customStyle="1" w:styleId="143">
    <w:name w:val="Îñíîâíîé òåêñò (14)_"/>
    <w:uiPriority w:val="99"/>
    <w:rsid w:val="00D4651C"/>
    <w:rPr>
      <w:rFonts w:ascii="Franklin Gothic Demi" w:hAnsi="Franklin Gothic Demi" w:cs="Franklin Gothic Demi"/>
      <w:sz w:val="26"/>
      <w:szCs w:val="26"/>
    </w:rPr>
  </w:style>
  <w:style w:type="character" w:customStyle="1" w:styleId="111pt2">
    <w:name w:val="Îñíîâíîé òåêñò (11) + Èíòåðâàë 1 pt2"/>
    <w:uiPriority w:val="99"/>
    <w:rsid w:val="00D4651C"/>
    <w:rPr>
      <w:rFonts w:ascii="Microsoft Sans Serif" w:hAnsi="Microsoft Sans Serif" w:cs="Microsoft Sans Serif"/>
      <w:i/>
      <w:iCs/>
      <w:spacing w:val="30"/>
      <w:sz w:val="28"/>
      <w:szCs w:val="28"/>
    </w:rPr>
  </w:style>
  <w:style w:type="character" w:customStyle="1" w:styleId="1120">
    <w:name w:val="Îñíîâíîé òåêñò (11)2"/>
    <w:uiPriority w:val="99"/>
    <w:rsid w:val="00D4651C"/>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D4651C"/>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D4651C"/>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D4651C"/>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D4651C"/>
    <w:rPr>
      <w:rFonts w:ascii="Arial" w:hAnsi="Arial" w:cs="Arial"/>
      <w:i/>
      <w:iCs/>
      <w:spacing w:val="-10"/>
      <w:sz w:val="16"/>
      <w:szCs w:val="16"/>
    </w:rPr>
  </w:style>
  <w:style w:type="character" w:customStyle="1" w:styleId="2f2">
    <w:name w:val="Ïîäïèñü ê òàáëèöå (2)"/>
    <w:uiPriority w:val="99"/>
    <w:rsid w:val="00D4651C"/>
    <w:rPr>
      <w:rFonts w:ascii="Arial" w:hAnsi="Arial" w:cs="Arial"/>
      <w:sz w:val="14"/>
      <w:szCs w:val="14"/>
      <w:u w:val="single"/>
    </w:rPr>
  </w:style>
  <w:style w:type="character" w:customStyle="1" w:styleId="2f3">
    <w:name w:val="Ïîäïèñü ê òàáëèöå (2)_"/>
    <w:uiPriority w:val="99"/>
    <w:rsid w:val="00D4651C"/>
    <w:rPr>
      <w:rFonts w:ascii="Arial" w:hAnsi="Arial" w:cs="Arial"/>
      <w:sz w:val="14"/>
      <w:szCs w:val="14"/>
    </w:rPr>
  </w:style>
  <w:style w:type="character" w:customStyle="1" w:styleId="710">
    <w:name w:val="Îñíîâíîé òåêñò (7)10"/>
    <w:uiPriority w:val="99"/>
    <w:rsid w:val="00D4651C"/>
    <w:rPr>
      <w:rFonts w:ascii="Arial" w:hAnsi="Arial" w:cs="Arial"/>
      <w:i/>
      <w:iCs/>
      <w:spacing w:val="-10"/>
      <w:sz w:val="16"/>
      <w:szCs w:val="16"/>
      <w:u w:val="single"/>
    </w:rPr>
  </w:style>
  <w:style w:type="character" w:customStyle="1" w:styleId="78">
    <w:name w:val="Îñíîâíîé òåêñò (7)_"/>
    <w:uiPriority w:val="99"/>
    <w:rsid w:val="00D4651C"/>
    <w:rPr>
      <w:rFonts w:ascii="Arial" w:hAnsi="Arial" w:cs="Arial"/>
      <w:i/>
      <w:iCs/>
      <w:spacing w:val="-10"/>
      <w:sz w:val="16"/>
      <w:szCs w:val="16"/>
    </w:rPr>
  </w:style>
  <w:style w:type="character" w:customStyle="1" w:styleId="15ArialNarrow18">
    <w:name w:val="Îñíîâíîé òåêñò (15) + Arial Narrow.Êóðñèâ18"/>
    <w:uiPriority w:val="99"/>
    <w:rsid w:val="00D4651C"/>
    <w:rPr>
      <w:rFonts w:ascii="Arial Narrow" w:hAnsi="Arial Narrow" w:cs="Arial Narrow"/>
      <w:i/>
      <w:iCs/>
      <w:spacing w:val="0"/>
      <w:sz w:val="15"/>
      <w:szCs w:val="15"/>
    </w:rPr>
  </w:style>
  <w:style w:type="character" w:customStyle="1" w:styleId="152">
    <w:name w:val="Îñíîâíîé òåêñò (15)_"/>
    <w:uiPriority w:val="99"/>
    <w:rsid w:val="00D4651C"/>
    <w:rPr>
      <w:rFonts w:ascii="Garamond" w:hAnsi="Garamond" w:cs="Garamond"/>
      <w:sz w:val="13"/>
      <w:szCs w:val="13"/>
    </w:rPr>
  </w:style>
  <w:style w:type="character" w:customStyle="1" w:styleId="29Arial">
    <w:name w:val="Îñíîâíîé òåêñò (29) + Arial.Íå êóðñèâ"/>
    <w:uiPriority w:val="99"/>
    <w:rsid w:val="00D4651C"/>
    <w:rPr>
      <w:rFonts w:ascii="Arial" w:hAnsi="Arial" w:cs="Arial"/>
      <w:i/>
      <w:iCs/>
      <w:sz w:val="15"/>
      <w:szCs w:val="15"/>
    </w:rPr>
  </w:style>
  <w:style w:type="character" w:customStyle="1" w:styleId="3f1">
    <w:name w:val="Ïîäïèñü ê òàáëèöå (3)"/>
    <w:uiPriority w:val="99"/>
    <w:rsid w:val="00D4651C"/>
    <w:rPr>
      <w:rFonts w:ascii="Arial" w:hAnsi="Arial" w:cs="Arial"/>
      <w:i/>
      <w:iCs/>
      <w:spacing w:val="-10"/>
      <w:sz w:val="16"/>
      <w:szCs w:val="16"/>
      <w:u w:val="single"/>
    </w:rPr>
  </w:style>
  <w:style w:type="character" w:customStyle="1" w:styleId="3f2">
    <w:name w:val="Ïîäïèñü ê òàáëèöå (3)_"/>
    <w:uiPriority w:val="99"/>
    <w:rsid w:val="00D4651C"/>
    <w:rPr>
      <w:rFonts w:ascii="Arial" w:hAnsi="Arial" w:cs="Arial"/>
      <w:i/>
      <w:iCs/>
      <w:spacing w:val="-10"/>
      <w:sz w:val="16"/>
      <w:szCs w:val="16"/>
    </w:rPr>
  </w:style>
  <w:style w:type="character" w:customStyle="1" w:styleId="79">
    <w:name w:val="Îñíîâíîé òåêñò (7)9"/>
    <w:uiPriority w:val="99"/>
    <w:rsid w:val="00D4651C"/>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D4651C"/>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D4651C"/>
    <w:rPr>
      <w:rFonts w:ascii="Arial Narrow" w:hAnsi="Arial Narrow" w:cs="Arial Narrow"/>
      <w:i/>
      <w:iCs/>
      <w:sz w:val="15"/>
      <w:szCs w:val="15"/>
    </w:rPr>
  </w:style>
  <w:style w:type="character" w:customStyle="1" w:styleId="283">
    <w:name w:val="Îñíîâíîé òåêñò (28)_"/>
    <w:uiPriority w:val="99"/>
    <w:rsid w:val="00D4651C"/>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D4651C"/>
    <w:rPr>
      <w:rFonts w:ascii="SimHei" w:eastAsia="SimHei" w:cs="SimHei"/>
      <w:i/>
      <w:iCs/>
      <w:spacing w:val="-40"/>
      <w:sz w:val="35"/>
      <w:szCs w:val="35"/>
    </w:rPr>
  </w:style>
  <w:style w:type="character" w:customStyle="1" w:styleId="780">
    <w:name w:val="Îñíîâíîé òåêñò (7)8"/>
    <w:uiPriority w:val="99"/>
    <w:rsid w:val="00D4651C"/>
    <w:rPr>
      <w:rFonts w:ascii="Arial" w:hAnsi="Arial" w:cs="Arial"/>
      <w:i/>
      <w:iCs/>
      <w:spacing w:val="-10"/>
      <w:sz w:val="16"/>
      <w:szCs w:val="16"/>
      <w:u w:val="single"/>
    </w:rPr>
  </w:style>
  <w:style w:type="character" w:customStyle="1" w:styleId="315">
    <w:name w:val="Îñíîâíîé òåêñò (31) + Êóðñèâ"/>
    <w:uiPriority w:val="99"/>
    <w:rsid w:val="00D4651C"/>
    <w:rPr>
      <w:rFonts w:ascii="Arial" w:hAnsi="Arial" w:cs="Arial"/>
      <w:i/>
      <w:iCs/>
      <w:spacing w:val="0"/>
      <w:sz w:val="11"/>
      <w:szCs w:val="11"/>
    </w:rPr>
  </w:style>
  <w:style w:type="character" w:customStyle="1" w:styleId="303">
    <w:name w:val="Îñíîâíîé òåêñò (30) + Íå êóðñèâ"/>
    <w:uiPriority w:val="99"/>
    <w:rsid w:val="00D4651C"/>
    <w:rPr>
      <w:rFonts w:ascii="Arial" w:hAnsi="Arial" w:cs="Arial"/>
      <w:i/>
      <w:iCs/>
      <w:sz w:val="11"/>
      <w:szCs w:val="11"/>
    </w:rPr>
  </w:style>
  <w:style w:type="character" w:customStyle="1" w:styleId="85pt2415">
    <w:name w:val="Îñíîâíîé òåêñò + 8.5 pt24.Ïîëóæèðíûé15"/>
    <w:uiPriority w:val="99"/>
    <w:rsid w:val="00D4651C"/>
    <w:rPr>
      <w:rFonts w:ascii="Arial" w:hAnsi="Arial" w:cs="Arial"/>
      <w:b/>
      <w:bCs/>
      <w:spacing w:val="0"/>
      <w:sz w:val="17"/>
      <w:szCs w:val="17"/>
    </w:rPr>
  </w:style>
  <w:style w:type="character" w:customStyle="1" w:styleId="20pt15">
    <w:name w:val="Îñíîâíîé òåêñò + Êóðñèâ2.Èíòåðâàë 0 pt15"/>
    <w:uiPriority w:val="99"/>
    <w:rsid w:val="00D4651C"/>
    <w:rPr>
      <w:rFonts w:ascii="Arial" w:hAnsi="Arial" w:cs="Arial"/>
      <w:i/>
      <w:iCs/>
      <w:spacing w:val="-10"/>
      <w:sz w:val="16"/>
      <w:szCs w:val="16"/>
    </w:rPr>
  </w:style>
  <w:style w:type="character" w:customStyle="1" w:styleId="3010">
    <w:name w:val="Îñíîâíîé òåêñò (30) + Íå êóðñèâ1"/>
    <w:uiPriority w:val="99"/>
    <w:rsid w:val="00D4651C"/>
    <w:rPr>
      <w:rFonts w:ascii="Arial" w:hAnsi="Arial" w:cs="Arial"/>
      <w:i/>
      <w:iCs/>
      <w:sz w:val="11"/>
      <w:szCs w:val="11"/>
    </w:rPr>
  </w:style>
  <w:style w:type="character" w:customStyle="1" w:styleId="3110">
    <w:name w:val="Îñíîâíîé òåêñò (31) + Êóðñèâ1"/>
    <w:uiPriority w:val="99"/>
    <w:rsid w:val="00D4651C"/>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D4651C"/>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D4651C"/>
    <w:rPr>
      <w:rFonts w:ascii="Arial" w:hAnsi="Arial" w:cs="Arial"/>
      <w:i/>
      <w:iCs/>
      <w:spacing w:val="0"/>
      <w:sz w:val="16"/>
      <w:szCs w:val="16"/>
    </w:rPr>
  </w:style>
  <w:style w:type="character" w:customStyle="1" w:styleId="770">
    <w:name w:val="Îñíîâíîé òåêñò (7)7"/>
    <w:uiPriority w:val="99"/>
    <w:rsid w:val="00D4651C"/>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D4651C"/>
    <w:rPr>
      <w:rFonts w:ascii="Arial Narrow" w:hAnsi="Arial Narrow" w:cs="Arial Narrow"/>
      <w:b/>
      <w:bCs/>
      <w:spacing w:val="0"/>
      <w:sz w:val="85"/>
      <w:szCs w:val="85"/>
    </w:rPr>
  </w:style>
  <w:style w:type="character" w:customStyle="1" w:styleId="760">
    <w:name w:val="Îñíîâíîé òåêñò (7)6"/>
    <w:uiPriority w:val="99"/>
    <w:rsid w:val="00D4651C"/>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D4651C"/>
    <w:rPr>
      <w:rFonts w:ascii="Arial" w:hAnsi="Arial" w:cs="Arial"/>
      <w:i/>
      <w:iCs/>
      <w:spacing w:val="0"/>
      <w:sz w:val="16"/>
      <w:szCs w:val="16"/>
    </w:rPr>
  </w:style>
  <w:style w:type="character" w:customStyle="1" w:styleId="750">
    <w:name w:val="Îñíîâíîé òåêñò (7)5"/>
    <w:uiPriority w:val="99"/>
    <w:rsid w:val="00D4651C"/>
    <w:rPr>
      <w:rFonts w:ascii="Arial" w:hAnsi="Arial" w:cs="Arial"/>
      <w:i/>
      <w:iCs/>
      <w:spacing w:val="-10"/>
      <w:sz w:val="16"/>
      <w:szCs w:val="16"/>
      <w:u w:val="single"/>
    </w:rPr>
  </w:style>
  <w:style w:type="character" w:customStyle="1" w:styleId="740">
    <w:name w:val="Îñíîâíîé òåêñò (7)4"/>
    <w:uiPriority w:val="99"/>
    <w:rsid w:val="00D4651C"/>
    <w:rPr>
      <w:rFonts w:ascii="Arial" w:hAnsi="Arial" w:cs="Arial"/>
      <w:i/>
      <w:iCs/>
      <w:spacing w:val="-10"/>
      <w:sz w:val="16"/>
      <w:szCs w:val="16"/>
      <w:u w:val="single"/>
    </w:rPr>
  </w:style>
  <w:style w:type="character" w:customStyle="1" w:styleId="730">
    <w:name w:val="Îñíîâíîé òåêñò (7)3"/>
    <w:uiPriority w:val="99"/>
    <w:rsid w:val="00D4651C"/>
    <w:rPr>
      <w:rFonts w:ascii="Arial" w:hAnsi="Arial" w:cs="Arial"/>
      <w:i/>
      <w:iCs/>
      <w:spacing w:val="-10"/>
      <w:sz w:val="16"/>
      <w:szCs w:val="16"/>
      <w:u w:val="single"/>
    </w:rPr>
  </w:style>
  <w:style w:type="character" w:customStyle="1" w:styleId="720">
    <w:name w:val="Îñíîâíîé òåêñò (7)2"/>
    <w:uiPriority w:val="99"/>
    <w:rsid w:val="00D4651C"/>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D4651C"/>
    <w:rPr>
      <w:rFonts w:ascii="Franklin Gothic Demi" w:hAnsi="Franklin Gothic Demi" w:cs="Franklin Gothic Demi"/>
      <w:i/>
      <w:iCs/>
      <w:spacing w:val="0"/>
      <w:sz w:val="26"/>
      <w:szCs w:val="26"/>
    </w:rPr>
  </w:style>
  <w:style w:type="character" w:customStyle="1" w:styleId="223">
    <w:name w:val="Îñíîâíîé òåêñò (22)"/>
    <w:uiPriority w:val="99"/>
    <w:rsid w:val="00D4651C"/>
    <w:rPr>
      <w:rFonts w:ascii="Arial" w:hAnsi="Arial" w:cs="Arial"/>
      <w:i/>
      <w:iCs/>
      <w:spacing w:val="-10"/>
      <w:sz w:val="17"/>
      <w:szCs w:val="17"/>
      <w:u w:val="single"/>
    </w:rPr>
  </w:style>
  <w:style w:type="character" w:customStyle="1" w:styleId="224">
    <w:name w:val="Îñíîâíîé òåêñò (22)_"/>
    <w:uiPriority w:val="99"/>
    <w:rsid w:val="00D4651C"/>
    <w:rPr>
      <w:rFonts w:ascii="Arial" w:hAnsi="Arial" w:cs="Arial"/>
      <w:i/>
      <w:iCs/>
      <w:spacing w:val="-10"/>
      <w:sz w:val="17"/>
      <w:szCs w:val="17"/>
    </w:rPr>
  </w:style>
  <w:style w:type="character" w:customStyle="1" w:styleId="2260pt23">
    <w:name w:val="Îñíîâíîé òåêñò (22) + Íå êóðñèâ6.Èíòåðâàë 0 pt23"/>
    <w:uiPriority w:val="99"/>
    <w:rsid w:val="00D4651C"/>
    <w:rPr>
      <w:rFonts w:ascii="Arial" w:hAnsi="Arial" w:cs="Arial"/>
      <w:i/>
      <w:iCs/>
      <w:spacing w:val="0"/>
      <w:sz w:val="17"/>
      <w:szCs w:val="17"/>
    </w:rPr>
  </w:style>
  <w:style w:type="character" w:customStyle="1" w:styleId="225">
    <w:name w:val="Îñíîâíîé òåêñò (22)5"/>
    <w:uiPriority w:val="99"/>
    <w:rsid w:val="00D4651C"/>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D4651C"/>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D4651C"/>
    <w:rPr>
      <w:rFonts w:ascii="Arial" w:hAnsi="Arial" w:cs="Arial"/>
      <w:i/>
      <w:iCs/>
      <w:spacing w:val="-10"/>
      <w:sz w:val="17"/>
      <w:szCs w:val="17"/>
    </w:rPr>
  </w:style>
  <w:style w:type="character" w:customStyle="1" w:styleId="2250pt21">
    <w:name w:val="Îñíîâíîé òåêñò (22) + Íå êóðñèâ5.Èíòåðâàë 0 pt21"/>
    <w:uiPriority w:val="99"/>
    <w:rsid w:val="00D4651C"/>
    <w:rPr>
      <w:rFonts w:ascii="Arial" w:hAnsi="Arial" w:cs="Arial"/>
      <w:i/>
      <w:iCs/>
      <w:spacing w:val="0"/>
      <w:sz w:val="17"/>
      <w:szCs w:val="17"/>
    </w:rPr>
  </w:style>
  <w:style w:type="character" w:customStyle="1" w:styleId="2240">
    <w:name w:val="Îñíîâíîé òåêñò (22)4"/>
    <w:uiPriority w:val="99"/>
    <w:rsid w:val="00D4651C"/>
    <w:rPr>
      <w:rFonts w:ascii="Arial" w:hAnsi="Arial" w:cs="Arial"/>
      <w:i/>
      <w:iCs/>
      <w:spacing w:val="-10"/>
      <w:sz w:val="17"/>
      <w:szCs w:val="17"/>
      <w:u w:val="single"/>
    </w:rPr>
  </w:style>
  <w:style w:type="character" w:customStyle="1" w:styleId="7Tahoma925pt20">
    <w:name w:val="Çàãîëîâîê ¹7 + Tahoma.92.5 pt20"/>
    <w:uiPriority w:val="99"/>
    <w:rsid w:val="00D4651C"/>
    <w:rPr>
      <w:rFonts w:ascii="Tahoma" w:hAnsi="Tahoma" w:cs="Tahoma"/>
      <w:sz w:val="19"/>
      <w:szCs w:val="19"/>
    </w:rPr>
  </w:style>
  <w:style w:type="character" w:customStyle="1" w:styleId="7a">
    <w:name w:val="Çàãîëîâîê ¹7_"/>
    <w:uiPriority w:val="99"/>
    <w:rsid w:val="00D4651C"/>
    <w:rPr>
      <w:rFonts w:ascii="Arial" w:hAnsi="Arial" w:cs="Arial"/>
      <w:sz w:val="16"/>
      <w:szCs w:val="16"/>
    </w:rPr>
  </w:style>
  <w:style w:type="character" w:customStyle="1" w:styleId="2230">
    <w:name w:val="Îñíîâíîé òåêñò (22)3"/>
    <w:uiPriority w:val="99"/>
    <w:rsid w:val="00D4651C"/>
    <w:rPr>
      <w:rFonts w:ascii="Arial" w:hAnsi="Arial" w:cs="Arial"/>
      <w:i/>
      <w:iCs/>
      <w:spacing w:val="-10"/>
      <w:sz w:val="17"/>
      <w:szCs w:val="17"/>
      <w:u w:val="single"/>
    </w:rPr>
  </w:style>
  <w:style w:type="character" w:customStyle="1" w:styleId="70pt20">
    <w:name w:val="Îñíîâíîé òåêñò + Êóðñèâ7.Èíòåðâàë 0 pt20"/>
    <w:uiPriority w:val="99"/>
    <w:rsid w:val="00D4651C"/>
    <w:rPr>
      <w:rFonts w:ascii="Arial" w:hAnsi="Arial" w:cs="Arial"/>
      <w:i/>
      <w:iCs/>
      <w:spacing w:val="-10"/>
      <w:sz w:val="17"/>
      <w:szCs w:val="17"/>
    </w:rPr>
  </w:style>
  <w:style w:type="character" w:customStyle="1" w:styleId="2240pt19">
    <w:name w:val="Îñíîâíîé òåêñò (22) + Íå êóðñèâ4.Èíòåðâàë 0 pt19"/>
    <w:uiPriority w:val="99"/>
    <w:rsid w:val="00D4651C"/>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D4651C"/>
    <w:rPr>
      <w:rFonts w:ascii="Arial" w:hAnsi="Arial" w:cs="Arial"/>
      <w:i/>
      <w:iCs/>
      <w:spacing w:val="-10"/>
      <w:sz w:val="16"/>
      <w:szCs w:val="16"/>
    </w:rPr>
  </w:style>
  <w:style w:type="character" w:customStyle="1" w:styleId="SimHei735pt19">
    <w:name w:val="Îñíîâíîé òåêñò + SimHei.73.5 pt19"/>
    <w:uiPriority w:val="99"/>
    <w:rsid w:val="00D4651C"/>
    <w:rPr>
      <w:rFonts w:ascii="SimHei" w:eastAsia="SimHei" w:hAnsi="Microsoft Sans Serif" w:cs="SimHei"/>
      <w:spacing w:val="0"/>
      <w:sz w:val="15"/>
      <w:szCs w:val="15"/>
    </w:rPr>
  </w:style>
  <w:style w:type="character" w:customStyle="1" w:styleId="2220">
    <w:name w:val="Îñíîâíîé òåêñò (22)2"/>
    <w:uiPriority w:val="99"/>
    <w:rsid w:val="00D4651C"/>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D4651C"/>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D4651C"/>
    <w:rPr>
      <w:rFonts w:ascii="Arial" w:hAnsi="Arial" w:cs="Arial"/>
      <w:i/>
      <w:iCs/>
      <w:spacing w:val="0"/>
      <w:sz w:val="16"/>
      <w:szCs w:val="16"/>
    </w:rPr>
  </w:style>
  <w:style w:type="paragraph" w:customStyle="1" w:styleId="3f3">
    <w:name w:val="Çàãîëîâîê ¹3"/>
    <w:basedOn w:val="a0"/>
    <w:uiPriority w:val="99"/>
    <w:rsid w:val="00D4651C"/>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0"/>
    <w:uiPriority w:val="99"/>
    <w:rsid w:val="00D4651C"/>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0"/>
    <w:uiPriority w:val="99"/>
    <w:rsid w:val="00D4651C"/>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d">
    <w:name w:val="Ïîäïèñü ê òàáëèöå"/>
    <w:basedOn w:val="a0"/>
    <w:uiPriority w:val="99"/>
    <w:rsid w:val="00D4651C"/>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0"/>
    <w:uiPriority w:val="99"/>
    <w:rsid w:val="00D4651C"/>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3">
    <w:name w:val="Çàãîëîâîê ¹1"/>
    <w:basedOn w:val="a0"/>
    <w:uiPriority w:val="99"/>
    <w:rsid w:val="00D4651C"/>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3">
    <w:name w:val="Çàãîëîâîê ¹15"/>
    <w:basedOn w:val="a0"/>
    <w:uiPriority w:val="99"/>
    <w:rsid w:val="00D4651C"/>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4">
    <w:name w:val="Ïîäïèñü ê êàðòèíêå1"/>
    <w:basedOn w:val="a0"/>
    <w:uiPriority w:val="99"/>
    <w:rsid w:val="00D4651C"/>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4">
    <w:name w:val="Ïîäïèñü ê êàðòèíêå (12)"/>
    <w:basedOn w:val="a0"/>
    <w:uiPriority w:val="99"/>
    <w:rsid w:val="00D4651C"/>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0"/>
    <w:uiPriority w:val="99"/>
    <w:rsid w:val="00D4651C"/>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0"/>
    <w:uiPriority w:val="99"/>
    <w:rsid w:val="00D4651C"/>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4">
    <w:name w:val="Çàãîëîâîê ¹2"/>
    <w:basedOn w:val="a0"/>
    <w:uiPriority w:val="99"/>
    <w:rsid w:val="00D4651C"/>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0"/>
    <w:uiPriority w:val="99"/>
    <w:rsid w:val="00D4651C"/>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0"/>
    <w:uiPriority w:val="99"/>
    <w:rsid w:val="00D4651C"/>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0"/>
    <w:uiPriority w:val="99"/>
    <w:rsid w:val="00D4651C"/>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0"/>
    <w:uiPriority w:val="99"/>
    <w:rsid w:val="00D4651C"/>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0"/>
    <w:uiPriority w:val="99"/>
    <w:rsid w:val="00D4651C"/>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0"/>
    <w:uiPriority w:val="99"/>
    <w:rsid w:val="00D4651C"/>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b">
    <w:name w:val="Çàãîëîâîê ¹4"/>
    <w:basedOn w:val="a0"/>
    <w:uiPriority w:val="99"/>
    <w:rsid w:val="00D4651C"/>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0"/>
    <w:uiPriority w:val="99"/>
    <w:rsid w:val="00D4651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0"/>
    <w:uiPriority w:val="99"/>
    <w:rsid w:val="00D4651C"/>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0"/>
    <w:uiPriority w:val="99"/>
    <w:rsid w:val="00D4651C"/>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0"/>
    <w:uiPriority w:val="99"/>
    <w:rsid w:val="00D4651C"/>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0"/>
    <w:uiPriority w:val="99"/>
    <w:rsid w:val="00D4651C"/>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0"/>
    <w:uiPriority w:val="99"/>
    <w:rsid w:val="00D4651C"/>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0"/>
    <w:uiPriority w:val="99"/>
    <w:rsid w:val="00D4651C"/>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5">
    <w:name w:val="Îñíîâíîé òåêñò (2)_"/>
    <w:uiPriority w:val="99"/>
    <w:rsid w:val="00D4651C"/>
    <w:rPr>
      <w:rFonts w:ascii="Arial" w:hAnsi="Arial" w:cs="Arial"/>
      <w:i/>
      <w:iCs/>
      <w:spacing w:val="-10"/>
      <w:sz w:val="16"/>
      <w:szCs w:val="16"/>
    </w:rPr>
  </w:style>
  <w:style w:type="character" w:customStyle="1" w:styleId="20pt29">
    <w:name w:val="Îñíîâíîé òåêñò (2) + Íå êóðñèâ.Èíòåðâàë 0 pt29"/>
    <w:uiPriority w:val="99"/>
    <w:rsid w:val="00D4651C"/>
    <w:rPr>
      <w:rFonts w:ascii="Arial" w:hAnsi="Arial" w:cs="Arial"/>
      <w:i/>
      <w:iCs/>
      <w:spacing w:val="0"/>
      <w:sz w:val="16"/>
      <w:szCs w:val="16"/>
    </w:rPr>
  </w:style>
  <w:style w:type="character" w:customStyle="1" w:styleId="285">
    <w:name w:val="Îñíîâíîé òåêñò (2)8"/>
    <w:uiPriority w:val="99"/>
    <w:rsid w:val="00D4651C"/>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D4651C"/>
    <w:rPr>
      <w:rFonts w:ascii="SimHei" w:eastAsia="SimHei" w:hAnsi="Arial" w:cs="SimHei"/>
      <w:i/>
      <w:iCs/>
      <w:spacing w:val="0"/>
      <w:sz w:val="15"/>
      <w:szCs w:val="15"/>
    </w:rPr>
  </w:style>
  <w:style w:type="character" w:customStyle="1" w:styleId="272">
    <w:name w:val="Îñíîâíîé òåêñò (2)7"/>
    <w:uiPriority w:val="99"/>
    <w:rsid w:val="00D4651C"/>
    <w:rPr>
      <w:rFonts w:ascii="Arial" w:hAnsi="Arial" w:cs="Arial"/>
      <w:i/>
      <w:iCs/>
      <w:spacing w:val="-10"/>
      <w:sz w:val="16"/>
      <w:szCs w:val="16"/>
      <w:u w:val="single"/>
    </w:rPr>
  </w:style>
  <w:style w:type="character" w:customStyle="1" w:styleId="261">
    <w:name w:val="Îñíîâíîé òåêñò (2)6"/>
    <w:uiPriority w:val="99"/>
    <w:rsid w:val="00D4651C"/>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D4651C"/>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D4651C"/>
    <w:rPr>
      <w:rFonts w:ascii="Bookman Old Style" w:hAnsi="Bookman Old Style" w:cs="Bookman Old Style"/>
      <w:i/>
      <w:iCs/>
      <w:spacing w:val="0"/>
      <w:sz w:val="17"/>
      <w:szCs w:val="17"/>
    </w:rPr>
  </w:style>
  <w:style w:type="character" w:customStyle="1" w:styleId="3f4">
    <w:name w:val="Çàãîëîâîê ¹3_"/>
    <w:uiPriority w:val="99"/>
    <w:rsid w:val="00D4651C"/>
    <w:rPr>
      <w:rFonts w:ascii="Arial Narrow" w:hAnsi="Arial Narrow" w:cs="Arial Narrow"/>
      <w:b/>
      <w:bCs/>
      <w:i/>
      <w:iCs/>
      <w:spacing w:val="-50"/>
      <w:sz w:val="51"/>
      <w:szCs w:val="51"/>
    </w:rPr>
  </w:style>
  <w:style w:type="character" w:customStyle="1" w:styleId="3-1pt">
    <w:name w:val="Çàãîëîâîê ¹3 + Èíòåðâàë -1 pt"/>
    <w:uiPriority w:val="99"/>
    <w:rsid w:val="00D4651C"/>
    <w:rPr>
      <w:rFonts w:ascii="Arial Narrow" w:hAnsi="Arial Narrow" w:cs="Arial Narrow"/>
      <w:b/>
      <w:bCs/>
      <w:i/>
      <w:iCs/>
      <w:spacing w:val="-30"/>
      <w:sz w:val="51"/>
      <w:szCs w:val="51"/>
    </w:rPr>
  </w:style>
  <w:style w:type="character" w:customStyle="1" w:styleId="65">
    <w:name w:val="Çàãîëîâîê ¹6_"/>
    <w:uiPriority w:val="99"/>
    <w:rsid w:val="00D4651C"/>
    <w:rPr>
      <w:rFonts w:ascii="Tahoma" w:hAnsi="Tahoma" w:cs="Tahoma"/>
      <w:sz w:val="31"/>
      <w:szCs w:val="31"/>
    </w:rPr>
  </w:style>
  <w:style w:type="paragraph" w:customStyle="1" w:styleId="66">
    <w:name w:val="Çàãîëîâîê ¹6"/>
    <w:basedOn w:val="a0"/>
    <w:uiPriority w:val="99"/>
    <w:rsid w:val="00D4651C"/>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D4651C"/>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D4651C"/>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D4651C"/>
    <w:rPr>
      <w:rFonts w:ascii="SimHei" w:eastAsia="SimHei" w:hAnsi="Arial" w:cs="SimHei"/>
      <w:i/>
      <w:iCs/>
      <w:spacing w:val="0"/>
      <w:sz w:val="15"/>
      <w:szCs w:val="15"/>
    </w:rPr>
  </w:style>
  <w:style w:type="character" w:customStyle="1" w:styleId="252">
    <w:name w:val="Îñíîâíîé òåêñò (2)5"/>
    <w:uiPriority w:val="99"/>
    <w:rsid w:val="00D4651C"/>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D4651C"/>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D4651C"/>
    <w:rPr>
      <w:rFonts w:ascii="SimHei" w:eastAsia="SimHei" w:hAnsi="Arial" w:cs="SimHei"/>
      <w:i/>
      <w:iCs/>
      <w:spacing w:val="0"/>
      <w:sz w:val="14"/>
      <w:szCs w:val="14"/>
    </w:rPr>
  </w:style>
  <w:style w:type="character" w:customStyle="1" w:styleId="241">
    <w:name w:val="Îñíîâíîé òåêñò (2)4"/>
    <w:uiPriority w:val="99"/>
    <w:rsid w:val="00D4651C"/>
    <w:rPr>
      <w:rFonts w:ascii="Arial" w:hAnsi="Arial" w:cs="Arial"/>
      <w:i/>
      <w:iCs/>
      <w:spacing w:val="-10"/>
      <w:sz w:val="16"/>
      <w:szCs w:val="16"/>
      <w:u w:val="single"/>
    </w:rPr>
  </w:style>
  <w:style w:type="character" w:customStyle="1" w:styleId="230">
    <w:name w:val="Îñíîâíîé òåêñò (2)3"/>
    <w:uiPriority w:val="99"/>
    <w:rsid w:val="00D4651C"/>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D4651C"/>
    <w:rPr>
      <w:rFonts w:ascii="Arial" w:hAnsi="Arial" w:cs="Arial"/>
      <w:i/>
      <w:iCs/>
      <w:spacing w:val="0"/>
      <w:sz w:val="16"/>
      <w:szCs w:val="16"/>
    </w:rPr>
  </w:style>
  <w:style w:type="character" w:customStyle="1" w:styleId="226">
    <w:name w:val="Îñíîâíîé òåêñò (2)2"/>
    <w:uiPriority w:val="99"/>
    <w:rsid w:val="00D4651C"/>
    <w:rPr>
      <w:rFonts w:ascii="Arial" w:hAnsi="Arial" w:cs="Arial"/>
      <w:i/>
      <w:iCs/>
      <w:spacing w:val="-10"/>
      <w:sz w:val="16"/>
      <w:szCs w:val="16"/>
      <w:u w:val="single"/>
    </w:rPr>
  </w:style>
  <w:style w:type="character" w:customStyle="1" w:styleId="92">
    <w:name w:val="Îñíîâíîé òåêñò (9)_"/>
    <w:uiPriority w:val="99"/>
    <w:rsid w:val="00D4651C"/>
    <w:rPr>
      <w:rFonts w:ascii="Arial" w:hAnsi="Arial" w:cs="Arial"/>
      <w:i/>
      <w:iCs/>
      <w:sz w:val="14"/>
      <w:szCs w:val="14"/>
    </w:rPr>
  </w:style>
  <w:style w:type="paragraph" w:customStyle="1" w:styleId="910">
    <w:name w:val="Îñíîâíîé òåêñò (9)1"/>
    <w:basedOn w:val="a0"/>
    <w:uiPriority w:val="99"/>
    <w:rsid w:val="00D4651C"/>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D4651C"/>
    <w:rPr>
      <w:rFonts w:ascii="Tahoma" w:hAnsi="Tahoma" w:cs="Tahoma"/>
      <w:sz w:val="31"/>
      <w:szCs w:val="31"/>
    </w:rPr>
  </w:style>
  <w:style w:type="character" w:customStyle="1" w:styleId="100pt19">
    <w:name w:val="Îñíîâíîé òåêñò + Êóðñèâ10.Èíòåðâàë 0 pt19"/>
    <w:uiPriority w:val="99"/>
    <w:rsid w:val="00D4651C"/>
    <w:rPr>
      <w:rFonts w:ascii="Arial" w:hAnsi="Arial" w:cs="Arial"/>
      <w:i/>
      <w:iCs/>
      <w:spacing w:val="-10"/>
      <w:sz w:val="16"/>
      <w:szCs w:val="16"/>
    </w:rPr>
  </w:style>
  <w:style w:type="paragraph" w:customStyle="1" w:styleId="5a">
    <w:name w:val="Çàãîëîâîê ¹5"/>
    <w:basedOn w:val="a0"/>
    <w:uiPriority w:val="99"/>
    <w:rsid w:val="00D4651C"/>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D4651C"/>
    <w:rPr>
      <w:i/>
      <w:iCs/>
      <w:sz w:val="16"/>
      <w:szCs w:val="16"/>
    </w:rPr>
  </w:style>
  <w:style w:type="character" w:customStyle="1" w:styleId="5136">
    <w:name w:val="Îñíîâíîé òåêñò (5)136"/>
    <w:uiPriority w:val="99"/>
    <w:rsid w:val="00D4651C"/>
    <w:rPr>
      <w:i/>
      <w:iCs/>
      <w:sz w:val="16"/>
      <w:szCs w:val="16"/>
    </w:rPr>
  </w:style>
  <w:style w:type="character" w:customStyle="1" w:styleId="58545pt75630pt128">
    <w:name w:val="Îñíîâíîé òåêñò (5) + 854.5 pt75.Íå êóðñèâ63.Èíòåðâàë 0 pt128"/>
    <w:uiPriority w:val="99"/>
    <w:rsid w:val="00D4651C"/>
    <w:rPr>
      <w:i/>
      <w:iCs/>
      <w:spacing w:val="-10"/>
      <w:sz w:val="17"/>
      <w:szCs w:val="17"/>
    </w:rPr>
  </w:style>
  <w:style w:type="character" w:customStyle="1" w:styleId="5133">
    <w:name w:val="Îñíîâíîé òåêñò (5)133"/>
    <w:uiPriority w:val="99"/>
    <w:rsid w:val="00D4651C"/>
    <w:rPr>
      <w:rFonts w:ascii="Arial Unicode MS" w:eastAsia="Arial Unicode MS" w:cs="Arial Unicode MS"/>
      <w:i/>
      <w:iCs/>
      <w:noProof/>
      <w:sz w:val="16"/>
      <w:szCs w:val="16"/>
    </w:rPr>
  </w:style>
  <w:style w:type="character" w:customStyle="1" w:styleId="5132">
    <w:name w:val="Îñíîâíîé òåêñò (5)132"/>
    <w:uiPriority w:val="99"/>
    <w:rsid w:val="00D4651C"/>
    <w:rPr>
      <w:rFonts w:ascii="Arial Unicode MS" w:eastAsia="Arial Unicode MS" w:cs="Arial Unicode MS"/>
      <w:i/>
      <w:iCs/>
      <w:noProof/>
      <w:sz w:val="16"/>
      <w:szCs w:val="16"/>
    </w:rPr>
  </w:style>
  <w:style w:type="character" w:customStyle="1" w:styleId="5131">
    <w:name w:val="Îñíîâíîé òåêñò (5)131"/>
    <w:uiPriority w:val="99"/>
    <w:rsid w:val="00D4651C"/>
    <w:rPr>
      <w:i/>
      <w:iCs/>
      <w:sz w:val="16"/>
      <w:szCs w:val="16"/>
    </w:rPr>
  </w:style>
  <w:style w:type="character" w:customStyle="1" w:styleId="5130">
    <w:name w:val="Îñíîâíîé òåêñò (5)130"/>
    <w:uiPriority w:val="99"/>
    <w:rsid w:val="00D4651C"/>
    <w:rPr>
      <w:rFonts w:ascii="Arial Unicode MS" w:eastAsia="Arial Unicode MS" w:cs="Arial Unicode MS"/>
      <w:i/>
      <w:iCs/>
      <w:noProof/>
      <w:sz w:val="16"/>
      <w:szCs w:val="16"/>
    </w:rPr>
  </w:style>
  <w:style w:type="paragraph" w:customStyle="1" w:styleId="514">
    <w:name w:val="Îñíîâíîé òåêñò (5)1"/>
    <w:basedOn w:val="a0"/>
    <w:uiPriority w:val="99"/>
    <w:rsid w:val="00D4651C"/>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D4651C"/>
    <w:rPr>
      <w:i/>
      <w:iCs/>
      <w:spacing w:val="0"/>
      <w:sz w:val="16"/>
      <w:szCs w:val="16"/>
    </w:rPr>
  </w:style>
  <w:style w:type="character" w:customStyle="1" w:styleId="5116">
    <w:name w:val="Îñíîâíîé òåêñò (5)116"/>
    <w:uiPriority w:val="99"/>
    <w:rsid w:val="00D4651C"/>
    <w:rPr>
      <w:i/>
      <w:iCs/>
      <w:spacing w:val="0"/>
      <w:sz w:val="16"/>
      <w:szCs w:val="16"/>
    </w:rPr>
  </w:style>
  <w:style w:type="character" w:customStyle="1" w:styleId="5113">
    <w:name w:val="Îñíîâíîé òåêñò (5)113"/>
    <w:uiPriority w:val="99"/>
    <w:rsid w:val="00D4651C"/>
    <w:rPr>
      <w:i/>
      <w:iCs/>
      <w:spacing w:val="0"/>
      <w:sz w:val="16"/>
      <w:szCs w:val="16"/>
      <w:u w:val="single"/>
    </w:rPr>
  </w:style>
  <w:style w:type="character" w:customStyle="1" w:styleId="5106">
    <w:name w:val="Îñíîâíîé òåêñò (5)106"/>
    <w:uiPriority w:val="99"/>
    <w:rsid w:val="00D4651C"/>
    <w:rPr>
      <w:i/>
      <w:iCs/>
      <w:spacing w:val="0"/>
      <w:sz w:val="16"/>
      <w:szCs w:val="16"/>
    </w:rPr>
  </w:style>
  <w:style w:type="character" w:customStyle="1" w:styleId="5105">
    <w:name w:val="Îñíîâíîé òåêñò (5)105"/>
    <w:uiPriority w:val="99"/>
    <w:rsid w:val="00D4651C"/>
    <w:rPr>
      <w:rFonts w:ascii="Arial Unicode MS" w:eastAsia="Arial Unicode MS" w:cs="Arial Unicode MS"/>
      <w:i/>
      <w:iCs/>
      <w:noProof/>
      <w:spacing w:val="0"/>
      <w:sz w:val="16"/>
      <w:szCs w:val="16"/>
    </w:rPr>
  </w:style>
  <w:style w:type="character" w:customStyle="1" w:styleId="5104">
    <w:name w:val="Îñíîâíîé òåêñò (5)104"/>
    <w:uiPriority w:val="99"/>
    <w:rsid w:val="00D4651C"/>
    <w:rPr>
      <w:i/>
      <w:iCs/>
      <w:spacing w:val="0"/>
      <w:sz w:val="16"/>
      <w:szCs w:val="16"/>
      <w:u w:val="single"/>
    </w:rPr>
  </w:style>
  <w:style w:type="character" w:customStyle="1" w:styleId="5103">
    <w:name w:val="Îñíîâíîé òåêñò (5)103"/>
    <w:uiPriority w:val="99"/>
    <w:rsid w:val="00D4651C"/>
    <w:rPr>
      <w:rFonts w:ascii="Arial Unicode MS" w:eastAsia="Arial Unicode MS" w:cs="Arial Unicode MS"/>
      <w:i/>
      <w:iCs/>
      <w:noProof/>
      <w:spacing w:val="0"/>
      <w:sz w:val="16"/>
      <w:szCs w:val="16"/>
    </w:rPr>
  </w:style>
  <w:style w:type="character" w:customStyle="1" w:styleId="5102">
    <w:name w:val="Îñíîâíîé òåêñò (5)102"/>
    <w:uiPriority w:val="99"/>
    <w:rsid w:val="00D4651C"/>
    <w:rPr>
      <w:rFonts w:ascii="Arial Unicode MS" w:eastAsia="Arial Unicode MS" w:cs="Arial Unicode MS"/>
      <w:i/>
      <w:iCs/>
      <w:noProof/>
      <w:spacing w:val="0"/>
      <w:sz w:val="16"/>
      <w:szCs w:val="16"/>
    </w:rPr>
  </w:style>
  <w:style w:type="character" w:customStyle="1" w:styleId="531">
    <w:name w:val="Çàãîëîâîê ¹53"/>
    <w:uiPriority w:val="99"/>
    <w:rsid w:val="00D4651C"/>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D4651C"/>
    <w:rPr>
      <w:i/>
      <w:iCs/>
      <w:spacing w:val="-10"/>
      <w:sz w:val="17"/>
      <w:szCs w:val="17"/>
    </w:rPr>
  </w:style>
  <w:style w:type="character" w:customStyle="1" w:styleId="522">
    <w:name w:val="Çàãîëîâîê ¹52"/>
    <w:uiPriority w:val="99"/>
    <w:rsid w:val="00D4651C"/>
    <w:rPr>
      <w:rFonts w:ascii="Tahoma" w:hAnsi="Tahoma" w:cs="Tahoma"/>
      <w:i/>
      <w:iCs/>
      <w:sz w:val="16"/>
      <w:szCs w:val="16"/>
      <w:u w:val="single"/>
    </w:rPr>
  </w:style>
  <w:style w:type="paragraph" w:customStyle="1" w:styleId="515">
    <w:name w:val="Çàãîëîâîê ¹51"/>
    <w:basedOn w:val="a0"/>
    <w:uiPriority w:val="99"/>
    <w:rsid w:val="00D4651C"/>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D4651C"/>
    <w:rPr>
      <w:i/>
      <w:iCs/>
      <w:spacing w:val="0"/>
      <w:sz w:val="16"/>
      <w:szCs w:val="16"/>
    </w:rPr>
  </w:style>
  <w:style w:type="character" w:customStyle="1" w:styleId="5100">
    <w:name w:val="Îñíîâíîé òåêñò (5)100"/>
    <w:uiPriority w:val="99"/>
    <w:rsid w:val="00D4651C"/>
    <w:rPr>
      <w:rFonts w:ascii="Arial Unicode MS" w:eastAsia="Arial Unicode MS" w:cs="Arial Unicode MS"/>
      <w:i/>
      <w:iCs/>
      <w:noProof/>
      <w:spacing w:val="0"/>
      <w:sz w:val="16"/>
      <w:szCs w:val="16"/>
    </w:rPr>
  </w:style>
  <w:style w:type="character" w:customStyle="1" w:styleId="599">
    <w:name w:val="Îñíîâíîé òåêñò (5)99"/>
    <w:uiPriority w:val="99"/>
    <w:rsid w:val="00D4651C"/>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D4651C"/>
    <w:rPr>
      <w:i/>
      <w:iCs/>
      <w:spacing w:val="-10"/>
      <w:sz w:val="17"/>
      <w:szCs w:val="17"/>
    </w:rPr>
  </w:style>
  <w:style w:type="character" w:customStyle="1" w:styleId="598">
    <w:name w:val="Îñíîâíîé òåêñò (5)98"/>
    <w:uiPriority w:val="99"/>
    <w:rsid w:val="00D4651C"/>
    <w:rPr>
      <w:i/>
      <w:iCs/>
      <w:spacing w:val="0"/>
      <w:sz w:val="16"/>
      <w:szCs w:val="16"/>
      <w:u w:val="single"/>
    </w:rPr>
  </w:style>
  <w:style w:type="character" w:customStyle="1" w:styleId="597">
    <w:name w:val="Îñíîâíîé òåêñò (5)97"/>
    <w:uiPriority w:val="99"/>
    <w:rsid w:val="00D4651C"/>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D4651C"/>
    <w:rPr>
      <w:rFonts w:ascii="Arial Narrow" w:hAnsi="Arial Narrow" w:cs="Arial Narrow"/>
      <w:b/>
      <w:bCs/>
      <w:sz w:val="47"/>
      <w:szCs w:val="47"/>
    </w:rPr>
  </w:style>
  <w:style w:type="character" w:customStyle="1" w:styleId="4c">
    <w:name w:val="Ïîäïèñü ê êàðòèíêå (4)_"/>
    <w:uiPriority w:val="99"/>
    <w:rsid w:val="00D4651C"/>
    <w:rPr>
      <w:b/>
      <w:bCs/>
      <w:i/>
      <w:iCs/>
      <w:sz w:val="17"/>
      <w:szCs w:val="17"/>
    </w:rPr>
  </w:style>
  <w:style w:type="character" w:customStyle="1" w:styleId="4d">
    <w:name w:val="Ïîäïèñü ê êàðòèíêå (4)"/>
    <w:uiPriority w:val="99"/>
    <w:rsid w:val="00D4651C"/>
    <w:rPr>
      <w:b/>
      <w:bCs/>
      <w:i/>
      <w:iCs/>
      <w:sz w:val="17"/>
      <w:szCs w:val="17"/>
    </w:rPr>
  </w:style>
  <w:style w:type="character" w:customStyle="1" w:styleId="8pt35450pt1150">
    <w:name w:val="Îñíîâíîé òåêñò + 8 pt35.Êóðñèâ45.Èíòåðâàë 0 pt115"/>
    <w:uiPriority w:val="99"/>
    <w:rsid w:val="00D4651C"/>
    <w:rPr>
      <w:rFonts w:ascii="Microsoft Sans Serif" w:hAnsi="Microsoft Sans Serif" w:cs="Microsoft Sans Serif"/>
      <w:i/>
      <w:iCs/>
      <w:spacing w:val="0"/>
      <w:sz w:val="16"/>
      <w:szCs w:val="16"/>
    </w:rPr>
  </w:style>
  <w:style w:type="paragraph" w:customStyle="1" w:styleId="412">
    <w:name w:val="Ïîäïèñü ê êàðòèíêå (4)1"/>
    <w:basedOn w:val="a0"/>
    <w:uiPriority w:val="99"/>
    <w:rsid w:val="00D4651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D4651C"/>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D4651C"/>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D4651C"/>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D4651C"/>
    <w:rPr>
      <w:rFonts w:ascii="Microsoft Sans Serif" w:hAnsi="Microsoft Sans Serif" w:cs="Microsoft Sans Serif"/>
      <w:b/>
      <w:bCs/>
      <w:i/>
      <w:iCs/>
      <w:spacing w:val="0"/>
      <w:sz w:val="17"/>
      <w:szCs w:val="17"/>
    </w:rPr>
  </w:style>
  <w:style w:type="character" w:customStyle="1" w:styleId="3f5">
    <w:name w:val="Îñíîâíîé òåêñò (3)_"/>
    <w:uiPriority w:val="99"/>
    <w:rsid w:val="00D4651C"/>
    <w:rPr>
      <w:b/>
      <w:bCs/>
      <w:i/>
      <w:iCs/>
      <w:sz w:val="17"/>
      <w:szCs w:val="17"/>
    </w:rPr>
  </w:style>
  <w:style w:type="character" w:customStyle="1" w:styleId="391">
    <w:name w:val="Îñíîâíîé òåêñò (3)9"/>
    <w:uiPriority w:val="99"/>
    <w:rsid w:val="00D4651C"/>
    <w:rPr>
      <w:b/>
      <w:bCs/>
      <w:i/>
      <w:iCs/>
      <w:sz w:val="17"/>
      <w:szCs w:val="17"/>
    </w:rPr>
  </w:style>
  <w:style w:type="character" w:customStyle="1" w:styleId="8pt30390pt1090">
    <w:name w:val="Îñíîâíîé òåêñò + 8 pt30.Êóðñèâ39.Èíòåðâàë 0 pt109"/>
    <w:uiPriority w:val="99"/>
    <w:rsid w:val="00D4651C"/>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D4651C"/>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D4651C"/>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D4651C"/>
    <w:rPr>
      <w:rFonts w:ascii="Microsoft Sans Serif" w:hAnsi="Microsoft Sans Serif" w:cs="Microsoft Sans Serif"/>
      <w:i/>
      <w:iCs/>
      <w:spacing w:val="0"/>
      <w:sz w:val="16"/>
      <w:szCs w:val="16"/>
    </w:rPr>
  </w:style>
  <w:style w:type="character" w:customStyle="1" w:styleId="5790">
    <w:name w:val="Îñíîâíîé òåêñò (5)79"/>
    <w:uiPriority w:val="99"/>
    <w:rsid w:val="00D4651C"/>
    <w:rPr>
      <w:i/>
      <w:iCs/>
      <w:spacing w:val="0"/>
      <w:sz w:val="16"/>
      <w:szCs w:val="16"/>
    </w:rPr>
  </w:style>
  <w:style w:type="character" w:customStyle="1" w:styleId="5780">
    <w:name w:val="Îñíîâíîé òåêñò (5)78"/>
    <w:uiPriority w:val="99"/>
    <w:rsid w:val="00D4651C"/>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D4651C"/>
    <w:rPr>
      <w:b/>
      <w:bCs/>
      <w:i/>
      <w:iCs/>
      <w:spacing w:val="0"/>
      <w:sz w:val="14"/>
      <w:szCs w:val="14"/>
    </w:rPr>
  </w:style>
  <w:style w:type="character" w:customStyle="1" w:styleId="57pt1240">
    <w:name w:val="Îñíîâíîé òåêñò (5) + 7 pt1.Ïîëóæèðíûé24"/>
    <w:uiPriority w:val="99"/>
    <w:rsid w:val="00D4651C"/>
    <w:rPr>
      <w:b/>
      <w:bCs/>
      <w:i/>
      <w:iCs/>
      <w:spacing w:val="0"/>
      <w:sz w:val="14"/>
      <w:szCs w:val="14"/>
    </w:rPr>
  </w:style>
  <w:style w:type="character" w:customStyle="1" w:styleId="affffe">
    <w:name w:val="Ñíîñêà_"/>
    <w:uiPriority w:val="99"/>
    <w:rsid w:val="00D4651C"/>
    <w:rPr>
      <w:i/>
      <w:iCs/>
      <w:sz w:val="13"/>
      <w:szCs w:val="13"/>
    </w:rPr>
  </w:style>
  <w:style w:type="character" w:customStyle="1" w:styleId="130">
    <w:name w:val="Ñíîñêà13"/>
    <w:uiPriority w:val="99"/>
    <w:rsid w:val="00D4651C"/>
    <w:rPr>
      <w:i/>
      <w:iCs/>
      <w:sz w:val="13"/>
      <w:szCs w:val="13"/>
    </w:rPr>
  </w:style>
  <w:style w:type="character" w:customStyle="1" w:styleId="8pt25340pt1040">
    <w:name w:val="Îñíîâíîé òåêñò + 8 pt25.Êóðñèâ34.Èíòåðâàë 0 pt104"/>
    <w:uiPriority w:val="99"/>
    <w:rsid w:val="00D4651C"/>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D4651C"/>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D4651C"/>
    <w:rPr>
      <w:i/>
      <w:iCs/>
      <w:spacing w:val="0"/>
      <w:sz w:val="16"/>
      <w:szCs w:val="16"/>
    </w:rPr>
  </w:style>
  <w:style w:type="character" w:customStyle="1" w:styleId="5760">
    <w:name w:val="Îñíîâíîé òåêñò (5)76"/>
    <w:uiPriority w:val="99"/>
    <w:rsid w:val="00D4651C"/>
    <w:rPr>
      <w:rFonts w:ascii="Arial Unicode MS" w:eastAsia="Arial Unicode MS" w:cs="Arial Unicode MS"/>
      <w:i/>
      <w:iCs/>
      <w:noProof/>
      <w:spacing w:val="0"/>
      <w:sz w:val="16"/>
      <w:szCs w:val="16"/>
    </w:rPr>
  </w:style>
  <w:style w:type="paragraph" w:customStyle="1" w:styleId="1f5">
    <w:name w:val="Ñíîñêà1"/>
    <w:basedOn w:val="a0"/>
    <w:uiPriority w:val="99"/>
    <w:rsid w:val="00D4651C"/>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0"/>
    <w:uiPriority w:val="99"/>
    <w:rsid w:val="00D4651C"/>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D4651C"/>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D4651C"/>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D4651C"/>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D4651C"/>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D4651C"/>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D4651C"/>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D4651C"/>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D4651C"/>
    <w:rPr>
      <w:b/>
      <w:bCs/>
      <w:sz w:val="13"/>
      <w:szCs w:val="13"/>
    </w:rPr>
  </w:style>
  <w:style w:type="character" w:customStyle="1" w:styleId="1322">
    <w:name w:val="Îñíîâíîé òåêñò (13)22"/>
    <w:uiPriority w:val="99"/>
    <w:rsid w:val="00D4651C"/>
    <w:rPr>
      <w:b/>
      <w:bCs/>
      <w:sz w:val="13"/>
      <w:szCs w:val="13"/>
    </w:rPr>
  </w:style>
  <w:style w:type="character" w:customStyle="1" w:styleId="575">
    <w:name w:val="Îñíîâíîé òåêñò (5)75"/>
    <w:uiPriority w:val="99"/>
    <w:rsid w:val="00D4651C"/>
    <w:rPr>
      <w:i/>
      <w:iCs/>
      <w:spacing w:val="0"/>
      <w:sz w:val="16"/>
      <w:szCs w:val="16"/>
    </w:rPr>
  </w:style>
  <w:style w:type="character" w:customStyle="1" w:styleId="574">
    <w:name w:val="Îñíîâíîé òåêñò (5)74"/>
    <w:uiPriority w:val="99"/>
    <w:rsid w:val="00D4651C"/>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D4651C"/>
    <w:rPr>
      <w:i/>
      <w:iCs/>
      <w:spacing w:val="-10"/>
      <w:sz w:val="17"/>
      <w:szCs w:val="17"/>
    </w:rPr>
  </w:style>
  <w:style w:type="character" w:customStyle="1" w:styleId="58445pt60510pt90">
    <w:name w:val="Îñíîâíîé òåêñò (5) + 844.5 pt60.Íå êóðñèâ51.Èíòåðâàë 0 pt90"/>
    <w:uiPriority w:val="99"/>
    <w:rsid w:val="00D4651C"/>
    <w:rPr>
      <w:rFonts w:ascii="Arial Unicode MS" w:eastAsia="Arial Unicode MS" w:cs="Arial Unicode MS"/>
      <w:i/>
      <w:iCs/>
      <w:noProof/>
      <w:spacing w:val="-10"/>
      <w:sz w:val="17"/>
      <w:szCs w:val="17"/>
    </w:rPr>
  </w:style>
  <w:style w:type="paragraph" w:customStyle="1" w:styleId="1310">
    <w:name w:val="Îñíîâíîé òåêñò (13)1"/>
    <w:basedOn w:val="a0"/>
    <w:uiPriority w:val="99"/>
    <w:rsid w:val="00D4651C"/>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D4651C"/>
    <w:rPr>
      <w:i/>
      <w:iCs/>
      <w:spacing w:val="-10"/>
      <w:sz w:val="17"/>
      <w:szCs w:val="17"/>
    </w:rPr>
  </w:style>
  <w:style w:type="character" w:customStyle="1" w:styleId="573">
    <w:name w:val="Îñíîâíîé òåêñò (5)73"/>
    <w:uiPriority w:val="99"/>
    <w:rsid w:val="00D4651C"/>
    <w:rPr>
      <w:i/>
      <w:iCs/>
      <w:spacing w:val="0"/>
      <w:sz w:val="16"/>
      <w:szCs w:val="16"/>
    </w:rPr>
  </w:style>
  <w:style w:type="character" w:customStyle="1" w:styleId="572">
    <w:name w:val="Îñíîâíîé òåêñò (5)72"/>
    <w:uiPriority w:val="99"/>
    <w:rsid w:val="00D4651C"/>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D4651C"/>
    <w:rPr>
      <w:rFonts w:ascii="Arial Unicode MS" w:eastAsia="Arial Unicode MS" w:cs="Arial Unicode MS"/>
      <w:i/>
      <w:iCs/>
      <w:noProof/>
      <w:spacing w:val="-10"/>
      <w:sz w:val="17"/>
      <w:szCs w:val="17"/>
    </w:rPr>
  </w:style>
  <w:style w:type="character" w:customStyle="1" w:styleId="571">
    <w:name w:val="Îñíîâíîé òåêñò (5)71"/>
    <w:uiPriority w:val="99"/>
    <w:rsid w:val="00D4651C"/>
    <w:rPr>
      <w:i/>
      <w:iCs/>
      <w:spacing w:val="0"/>
      <w:sz w:val="16"/>
      <w:szCs w:val="16"/>
    </w:rPr>
  </w:style>
  <w:style w:type="character" w:customStyle="1" w:styleId="5700">
    <w:name w:val="Îñíîâíîé òåêñò (5)70"/>
    <w:uiPriority w:val="99"/>
    <w:rsid w:val="00D4651C"/>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D4651C"/>
    <w:rPr>
      <w:b/>
      <w:bCs/>
      <w:i/>
      <w:iCs/>
      <w:spacing w:val="0"/>
      <w:sz w:val="17"/>
      <w:szCs w:val="17"/>
    </w:rPr>
  </w:style>
  <w:style w:type="character" w:customStyle="1" w:styleId="204">
    <w:name w:val="Îñíîâíîé òåêñò (20)_"/>
    <w:uiPriority w:val="99"/>
    <w:rsid w:val="00D4651C"/>
    <w:rPr>
      <w:b/>
      <w:bCs/>
      <w:i/>
      <w:iCs/>
      <w:sz w:val="15"/>
      <w:szCs w:val="15"/>
    </w:rPr>
  </w:style>
  <w:style w:type="character" w:customStyle="1" w:styleId="205">
    <w:name w:val="Îñíîâíîé òåêñò (20)"/>
    <w:uiPriority w:val="99"/>
    <w:rsid w:val="00D4651C"/>
    <w:rPr>
      <w:b/>
      <w:bCs/>
      <w:i/>
      <w:iCs/>
      <w:sz w:val="15"/>
      <w:szCs w:val="15"/>
    </w:rPr>
  </w:style>
  <w:style w:type="character" w:customStyle="1" w:styleId="2030">
    <w:name w:val="Îñíîâíîé òåêñò (20)3"/>
    <w:uiPriority w:val="99"/>
    <w:rsid w:val="00D4651C"/>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D4651C"/>
    <w:rPr>
      <w:rFonts w:ascii="Arial Unicode MS" w:eastAsia="Arial Unicode MS" w:cs="Arial Unicode MS"/>
      <w:b/>
      <w:bCs/>
      <w:i/>
      <w:iCs/>
      <w:noProof/>
      <w:sz w:val="16"/>
      <w:szCs w:val="16"/>
    </w:rPr>
  </w:style>
  <w:style w:type="character" w:customStyle="1" w:styleId="2020">
    <w:name w:val="Îñíîâíîé òåêñò (20)2"/>
    <w:uiPriority w:val="99"/>
    <w:rsid w:val="00D4651C"/>
    <w:rPr>
      <w:b/>
      <w:bCs/>
      <w:i/>
      <w:iCs/>
      <w:sz w:val="15"/>
      <w:szCs w:val="15"/>
    </w:rPr>
  </w:style>
  <w:style w:type="character" w:customStyle="1" w:styleId="2040">
    <w:name w:val="Îñíîâíîé òåêñò (20) + Íå ïîëóæèðíûé.Ìàëûå ïðîïèñíûå4"/>
    <w:uiPriority w:val="99"/>
    <w:rsid w:val="00D4651C"/>
    <w:rPr>
      <w:b/>
      <w:bCs/>
      <w:i/>
      <w:iCs/>
      <w:smallCaps/>
      <w:sz w:val="15"/>
      <w:szCs w:val="15"/>
    </w:rPr>
  </w:style>
  <w:style w:type="paragraph" w:customStyle="1" w:styleId="2011">
    <w:name w:val="Îñíîâíîé òåêñò (20)1"/>
    <w:basedOn w:val="a0"/>
    <w:uiPriority w:val="99"/>
    <w:rsid w:val="00D4651C"/>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D4651C"/>
    <w:rPr>
      <w:rFonts w:ascii="Microsoft Sans Serif" w:hAnsi="Microsoft Sans Serif" w:cs="Microsoft Sans Serif"/>
      <w:i/>
      <w:iCs/>
      <w:sz w:val="15"/>
      <w:szCs w:val="15"/>
    </w:rPr>
  </w:style>
  <w:style w:type="character" w:customStyle="1" w:styleId="490">
    <w:name w:val="Îñíîâíîé òåêñò (4)9"/>
    <w:uiPriority w:val="99"/>
    <w:rsid w:val="00D4651C"/>
    <w:rPr>
      <w:rFonts w:ascii="Microsoft Sans Serif" w:hAnsi="Microsoft Sans Serif" w:cs="Microsoft Sans Serif"/>
      <w:i/>
      <w:iCs/>
      <w:sz w:val="15"/>
      <w:szCs w:val="15"/>
      <w:u w:val="single"/>
    </w:rPr>
  </w:style>
  <w:style w:type="character" w:customStyle="1" w:styleId="480">
    <w:name w:val="Îñíîâíîé òåêñò (4)8"/>
    <w:uiPriority w:val="99"/>
    <w:rsid w:val="00D4651C"/>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D4651C"/>
    <w:rPr>
      <w:rFonts w:ascii="Microsoft Sans Serif" w:hAnsi="Microsoft Sans Serif" w:cs="Microsoft Sans Serif"/>
      <w:i/>
      <w:iCs/>
      <w:sz w:val="15"/>
      <w:szCs w:val="15"/>
    </w:rPr>
  </w:style>
  <w:style w:type="character" w:customStyle="1" w:styleId="470">
    <w:name w:val="Îñíîâíîé òåêñò (4)7"/>
    <w:uiPriority w:val="99"/>
    <w:rsid w:val="00D4651C"/>
    <w:rPr>
      <w:rFonts w:ascii="Microsoft Sans Serif" w:hAnsi="Microsoft Sans Serif" w:cs="Microsoft Sans Serif"/>
      <w:i/>
      <w:iCs/>
      <w:sz w:val="15"/>
      <w:szCs w:val="15"/>
      <w:u w:val="single"/>
    </w:rPr>
  </w:style>
  <w:style w:type="character" w:customStyle="1" w:styleId="460">
    <w:name w:val="Îñíîâíîé òåêñò (4)6"/>
    <w:uiPriority w:val="99"/>
    <w:rsid w:val="00D4651C"/>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D4651C"/>
    <w:rPr>
      <w:rFonts w:ascii="Microsoft Sans Serif" w:hAnsi="Microsoft Sans Serif" w:cs="Microsoft Sans Serif"/>
      <w:i/>
      <w:iCs/>
      <w:sz w:val="15"/>
      <w:szCs w:val="15"/>
    </w:rPr>
  </w:style>
  <w:style w:type="character" w:customStyle="1" w:styleId="450">
    <w:name w:val="Îñíîâíîé òåêñò (4)5"/>
    <w:uiPriority w:val="99"/>
    <w:rsid w:val="00D4651C"/>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D4651C"/>
    <w:rPr>
      <w:rFonts w:ascii="Microsoft Sans Serif" w:hAnsi="Microsoft Sans Serif" w:cs="Microsoft Sans Serif"/>
      <w:b/>
      <w:bCs/>
      <w:i/>
      <w:iCs/>
      <w:sz w:val="13"/>
      <w:szCs w:val="13"/>
    </w:rPr>
  </w:style>
  <w:style w:type="character" w:customStyle="1" w:styleId="441">
    <w:name w:val="Îñíîâíîé òåêñò (4)4"/>
    <w:uiPriority w:val="99"/>
    <w:rsid w:val="00D4651C"/>
    <w:rPr>
      <w:rFonts w:ascii="Microsoft Sans Serif" w:hAnsi="Microsoft Sans Serif" w:cs="Microsoft Sans Serif"/>
      <w:i/>
      <w:iCs/>
      <w:sz w:val="15"/>
      <w:szCs w:val="15"/>
      <w:u w:val="single"/>
    </w:rPr>
  </w:style>
  <w:style w:type="character" w:customStyle="1" w:styleId="432">
    <w:name w:val="Îñíîâíîé òåêñò (4)3"/>
    <w:uiPriority w:val="99"/>
    <w:rsid w:val="00D4651C"/>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D4651C"/>
    <w:rPr>
      <w:rFonts w:ascii="Microsoft Sans Serif" w:hAnsi="Microsoft Sans Serif" w:cs="Microsoft Sans Serif"/>
      <w:i/>
      <w:iCs/>
      <w:sz w:val="15"/>
      <w:szCs w:val="15"/>
    </w:rPr>
  </w:style>
  <w:style w:type="character" w:customStyle="1" w:styleId="4-1pt">
    <w:name w:val="Îñíîâíîé òåêñò (4) + Èíòåðâàë -1 pt"/>
    <w:uiPriority w:val="99"/>
    <w:rsid w:val="00D4651C"/>
    <w:rPr>
      <w:rFonts w:ascii="Microsoft Sans Serif" w:hAnsi="Microsoft Sans Serif" w:cs="Microsoft Sans Serif"/>
      <w:i/>
      <w:iCs/>
      <w:spacing w:val="-20"/>
      <w:sz w:val="15"/>
      <w:szCs w:val="15"/>
    </w:rPr>
  </w:style>
  <w:style w:type="character" w:customStyle="1" w:styleId="3f6">
    <w:name w:val="Îñíîâíîé òåêñò + Êóðñèâ3"/>
    <w:uiPriority w:val="99"/>
    <w:rsid w:val="00D4651C"/>
    <w:rPr>
      <w:rFonts w:ascii="Microsoft Sans Serif" w:hAnsi="Microsoft Sans Serif" w:cs="Microsoft Sans Serif"/>
      <w:i/>
      <w:iCs/>
      <w:sz w:val="15"/>
      <w:szCs w:val="15"/>
    </w:rPr>
  </w:style>
  <w:style w:type="character" w:customStyle="1" w:styleId="2f6">
    <w:name w:val="Îñíîâíîé òåêñò + Êóðñèâ2"/>
    <w:uiPriority w:val="99"/>
    <w:rsid w:val="00D4651C"/>
    <w:rPr>
      <w:rFonts w:ascii="Microsoft Sans Serif" w:hAnsi="Microsoft Sans Serif" w:cs="Microsoft Sans Serif"/>
      <w:i/>
      <w:iCs/>
      <w:sz w:val="15"/>
      <w:szCs w:val="15"/>
    </w:rPr>
  </w:style>
  <w:style w:type="paragraph" w:customStyle="1" w:styleId="83">
    <w:name w:val="Çàãîëîâîê ¹8"/>
    <w:basedOn w:val="a0"/>
    <w:uiPriority w:val="99"/>
    <w:rsid w:val="00D4651C"/>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0"/>
    <w:uiPriority w:val="99"/>
    <w:rsid w:val="00D4651C"/>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0"/>
    <w:uiPriority w:val="99"/>
    <w:rsid w:val="00D4651C"/>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D4651C"/>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D4651C"/>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D4651C"/>
    <w:rPr>
      <w:rFonts w:ascii="Lucida Sans Unicode" w:hAnsi="Lucida Sans Unicode" w:cs="Lucida Sans Unicode"/>
      <w:i/>
      <w:iCs/>
      <w:spacing w:val="-10"/>
      <w:sz w:val="16"/>
      <w:szCs w:val="16"/>
    </w:rPr>
  </w:style>
  <w:style w:type="character" w:customStyle="1" w:styleId="206">
    <w:name w:val="Îñíîâíîé òåêñò (20)6"/>
    <w:uiPriority w:val="99"/>
    <w:rsid w:val="00D4651C"/>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D4651C"/>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D4651C"/>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D4651C"/>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D4651C"/>
    <w:rPr>
      <w:rFonts w:ascii="Lucida Sans Unicode" w:hAnsi="Lucida Sans Unicode" w:cs="Lucida Sans Unicode"/>
      <w:b/>
      <w:bCs/>
      <w:i/>
      <w:iCs/>
      <w:spacing w:val="-10"/>
      <w:sz w:val="16"/>
      <w:szCs w:val="16"/>
    </w:rPr>
  </w:style>
  <w:style w:type="character" w:customStyle="1" w:styleId="2050">
    <w:name w:val="Îñíîâíîé òåêñò (20)5"/>
    <w:uiPriority w:val="99"/>
    <w:rsid w:val="00D4651C"/>
    <w:rPr>
      <w:rFonts w:ascii="Lucida Sans Unicode" w:hAnsi="Lucida Sans Unicode" w:cs="Lucida Sans Unicode"/>
      <w:b/>
      <w:bCs/>
      <w:i/>
      <w:iCs/>
      <w:sz w:val="16"/>
      <w:szCs w:val="16"/>
      <w:u w:val="single"/>
    </w:rPr>
  </w:style>
  <w:style w:type="character" w:customStyle="1" w:styleId="2041">
    <w:name w:val="Îñíîâíîé òåêñò (20)4"/>
    <w:uiPriority w:val="99"/>
    <w:rsid w:val="00D4651C"/>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D4651C"/>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D4651C"/>
    <w:rPr>
      <w:rFonts w:ascii="MS Mincho" w:eastAsia="MS Mincho" w:cs="MS Mincho"/>
      <w:b/>
      <w:bCs/>
      <w:i/>
      <w:iCs/>
      <w:spacing w:val="-10"/>
      <w:sz w:val="16"/>
      <w:szCs w:val="16"/>
    </w:rPr>
  </w:style>
  <w:style w:type="character" w:customStyle="1" w:styleId="1420">
    <w:name w:val="Îñíîâíîé òåêñò (14)2"/>
    <w:uiPriority w:val="99"/>
    <w:rsid w:val="00D4651C"/>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D4651C"/>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D4651C"/>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D4651C"/>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D4651C"/>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D4651C"/>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D4651C"/>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D4651C"/>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D4651C"/>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D4651C"/>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D4651C"/>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D4651C"/>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D4651C"/>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D4651C"/>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D4651C"/>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D4651C"/>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D4651C"/>
    <w:rPr>
      <w:rFonts w:ascii="Arial Narrow" w:hAnsi="Arial Narrow" w:cs="Arial Narrow"/>
      <w:b/>
      <w:bCs/>
      <w:sz w:val="22"/>
      <w:szCs w:val="22"/>
    </w:rPr>
  </w:style>
  <w:style w:type="character" w:customStyle="1" w:styleId="8ArialNarrow19pt">
    <w:name w:val="Çàãîëîâîê ¹8 + Arial Narrow1.9 pt"/>
    <w:uiPriority w:val="99"/>
    <w:rsid w:val="00D4651C"/>
    <w:rPr>
      <w:rFonts w:ascii="Arial Narrow" w:hAnsi="Arial Narrow" w:cs="Arial Narrow"/>
      <w:sz w:val="18"/>
      <w:szCs w:val="18"/>
    </w:rPr>
  </w:style>
  <w:style w:type="paragraph" w:customStyle="1" w:styleId="231">
    <w:name w:val="Îñíîâíîé òåêñò (23)"/>
    <w:basedOn w:val="a0"/>
    <w:uiPriority w:val="99"/>
    <w:rsid w:val="00D4651C"/>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0"/>
    <w:uiPriority w:val="99"/>
    <w:rsid w:val="00D4651C"/>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0"/>
    <w:uiPriority w:val="99"/>
    <w:rsid w:val="00D4651C"/>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0"/>
    <w:uiPriority w:val="99"/>
    <w:rsid w:val="00D4651C"/>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4">
    <w:name w:val="Çàãîëîâîê ¹10"/>
    <w:basedOn w:val="a0"/>
    <w:uiPriority w:val="99"/>
    <w:rsid w:val="00D4651C"/>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0"/>
    <w:uiPriority w:val="99"/>
    <w:rsid w:val="00D4651C"/>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0"/>
    <w:uiPriority w:val="99"/>
    <w:rsid w:val="00D4651C"/>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3">
    <w:name w:val="Îñíîâíîé òåêñò (43)"/>
    <w:basedOn w:val="a0"/>
    <w:uiPriority w:val="99"/>
    <w:rsid w:val="00D4651C"/>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0"/>
    <w:uiPriority w:val="99"/>
    <w:rsid w:val="00D4651C"/>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
    <w:name w:val="Ñíîñêà"/>
    <w:basedOn w:val="a0"/>
    <w:uiPriority w:val="99"/>
    <w:rsid w:val="00D4651C"/>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0">
    <w:name w:val="Ïîäïèñü ê êàðòèíêå"/>
    <w:basedOn w:val="a0"/>
    <w:uiPriority w:val="99"/>
    <w:rsid w:val="00D4651C"/>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D4651C"/>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D4651C"/>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D4651C"/>
    <w:rPr>
      <w:rFonts w:ascii="Century Gothic" w:hAnsi="Century Gothic" w:cs="Century Gothic"/>
      <w:b/>
      <w:bCs/>
      <w:i/>
      <w:iCs/>
      <w:spacing w:val="-10"/>
      <w:sz w:val="14"/>
      <w:szCs w:val="14"/>
    </w:rPr>
  </w:style>
  <w:style w:type="character" w:customStyle="1" w:styleId="afffff1">
    <w:name w:val="Îñíîâíîé òåêñò + Êóðñèâ"/>
    <w:uiPriority w:val="99"/>
    <w:rsid w:val="00D4651C"/>
    <w:rPr>
      <w:rFonts w:ascii="Century Gothic" w:hAnsi="Century Gothic" w:cs="Century Gothic"/>
      <w:i/>
      <w:iCs/>
      <w:spacing w:val="-10"/>
      <w:sz w:val="17"/>
      <w:szCs w:val="17"/>
    </w:rPr>
  </w:style>
  <w:style w:type="character" w:customStyle="1" w:styleId="67">
    <w:name w:val="Îñíîâíîé òåêñò (6) + Íå êóðñèâ"/>
    <w:uiPriority w:val="99"/>
    <w:rsid w:val="00D4651C"/>
    <w:rPr>
      <w:rFonts w:ascii="Century Gothic" w:hAnsi="Century Gothic" w:cs="Century Gothic"/>
      <w:i/>
      <w:iCs/>
      <w:sz w:val="17"/>
      <w:szCs w:val="17"/>
    </w:rPr>
  </w:style>
  <w:style w:type="character" w:customStyle="1" w:styleId="621">
    <w:name w:val="Îñíîâíîé òåêñò (6) + Íå êóðñèâ2"/>
    <w:uiPriority w:val="99"/>
    <w:rsid w:val="00D4651C"/>
    <w:rPr>
      <w:rFonts w:ascii="Century Gothic" w:hAnsi="Century Gothic" w:cs="Century Gothic"/>
      <w:i/>
      <w:iCs/>
      <w:sz w:val="17"/>
      <w:szCs w:val="17"/>
    </w:rPr>
  </w:style>
  <w:style w:type="character" w:customStyle="1" w:styleId="5c">
    <w:name w:val="Îñíîâíîé òåêñò + Êóðñèâ5"/>
    <w:uiPriority w:val="99"/>
    <w:rsid w:val="00D4651C"/>
    <w:rPr>
      <w:rFonts w:ascii="Century Gothic" w:hAnsi="Century Gothic" w:cs="Century Gothic"/>
      <w:i/>
      <w:iCs/>
      <w:spacing w:val="-10"/>
      <w:sz w:val="17"/>
      <w:szCs w:val="17"/>
    </w:rPr>
  </w:style>
  <w:style w:type="character" w:customStyle="1" w:styleId="4e">
    <w:name w:val="Îñíîâíîé òåêñò + Êóðñèâ4"/>
    <w:uiPriority w:val="99"/>
    <w:rsid w:val="00D4651C"/>
    <w:rPr>
      <w:rFonts w:ascii="Century Gothic" w:hAnsi="Century Gothic" w:cs="Century Gothic"/>
      <w:i/>
      <w:iCs/>
      <w:spacing w:val="-10"/>
      <w:sz w:val="17"/>
      <w:szCs w:val="17"/>
    </w:rPr>
  </w:style>
  <w:style w:type="paragraph" w:customStyle="1" w:styleId="68">
    <w:name w:val="Îñíîâíîé òåêñò (6)"/>
    <w:basedOn w:val="a0"/>
    <w:uiPriority w:val="99"/>
    <w:rsid w:val="00D4651C"/>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0"/>
    <w:uiPriority w:val="99"/>
    <w:rsid w:val="00D4651C"/>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4">
    <w:name w:val="Îñíîâíîé òåêñò (14)"/>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D4651C"/>
    <w:rPr>
      <w:rFonts w:ascii="Microsoft Sans Serif" w:hAnsi="Microsoft Sans Serif" w:cs="Microsoft Sans Serif"/>
      <w:i/>
      <w:iCs/>
      <w:sz w:val="23"/>
      <w:szCs w:val="23"/>
    </w:rPr>
  </w:style>
  <w:style w:type="character" w:customStyle="1" w:styleId="640">
    <w:name w:val="Îñíîâíîé òåêñò (6)4"/>
    <w:uiPriority w:val="99"/>
    <w:rsid w:val="00D4651C"/>
    <w:rPr>
      <w:rFonts w:ascii="Microsoft Sans Serif" w:hAnsi="Microsoft Sans Serif" w:cs="Microsoft Sans Serif"/>
      <w:i/>
      <w:iCs/>
      <w:sz w:val="23"/>
      <w:szCs w:val="23"/>
      <w:lang w:val="en-US"/>
    </w:rPr>
  </w:style>
  <w:style w:type="character" w:customStyle="1" w:styleId="630">
    <w:name w:val="Îñíîâíîé òåêñò (6)3"/>
    <w:uiPriority w:val="99"/>
    <w:rsid w:val="00D4651C"/>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D4651C"/>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D4651C"/>
    <w:rPr>
      <w:i/>
      <w:iCs/>
      <w:spacing w:val="0"/>
      <w:sz w:val="16"/>
      <w:szCs w:val="16"/>
    </w:rPr>
  </w:style>
  <w:style w:type="character" w:customStyle="1" w:styleId="40pt9">
    <w:name w:val="Îñíîâíîé òåêñò + Êóðñèâ4.Èíòåðâàë 0 pt9"/>
    <w:uiPriority w:val="99"/>
    <w:rsid w:val="00D4651C"/>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D4651C"/>
    <w:rPr>
      <w:rFonts w:ascii="Bookman Old Style" w:hAnsi="Bookman Old Style" w:cs="Bookman Old Style"/>
      <w:i/>
      <w:iCs/>
      <w:noProof/>
      <w:spacing w:val="0"/>
      <w:sz w:val="20"/>
      <w:szCs w:val="20"/>
    </w:rPr>
  </w:style>
  <w:style w:type="character" w:customStyle="1" w:styleId="84">
    <w:name w:val="Îñíîâíîé òåêñò (8)4"/>
    <w:uiPriority w:val="99"/>
    <w:rsid w:val="00D4651C"/>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D4651C"/>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D4651C"/>
    <w:rPr>
      <w:i/>
      <w:iCs/>
      <w:spacing w:val="0"/>
      <w:sz w:val="16"/>
      <w:szCs w:val="16"/>
    </w:rPr>
  </w:style>
  <w:style w:type="character" w:customStyle="1" w:styleId="810pt5">
    <w:name w:val="Îñíîâíîé òåêñò (8) + Íå êóðñèâ1.Èíòåðâàë 0 pt5"/>
    <w:uiPriority w:val="99"/>
    <w:rsid w:val="00D4651C"/>
    <w:rPr>
      <w:i/>
      <w:iCs/>
      <w:spacing w:val="0"/>
      <w:sz w:val="16"/>
      <w:szCs w:val="16"/>
    </w:rPr>
  </w:style>
  <w:style w:type="character" w:customStyle="1" w:styleId="20pt4">
    <w:name w:val="Îñíîâíîé òåêñò + Êóðñèâ2.Èíòåðâàë 0 pt4"/>
    <w:uiPriority w:val="99"/>
    <w:rsid w:val="00D4651C"/>
    <w:rPr>
      <w:rFonts w:ascii="Microsoft Sans Serif" w:hAnsi="Microsoft Sans Serif" w:cs="Microsoft Sans Serif"/>
      <w:i/>
      <w:iCs/>
      <w:spacing w:val="10"/>
      <w:sz w:val="16"/>
      <w:szCs w:val="16"/>
    </w:rPr>
  </w:style>
  <w:style w:type="paragraph" w:customStyle="1" w:styleId="611">
    <w:name w:val="Îñíîâíîé òåêñò (6)1"/>
    <w:basedOn w:val="a0"/>
    <w:uiPriority w:val="99"/>
    <w:rsid w:val="00D4651C"/>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0"/>
    <w:uiPriority w:val="99"/>
    <w:rsid w:val="00D4651C"/>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D4651C"/>
    <w:rPr>
      <w:rFonts w:ascii="Arial" w:hAnsi="Arial" w:cs="Arial"/>
      <w:i/>
      <w:iCs/>
      <w:spacing w:val="-10"/>
      <w:sz w:val="17"/>
      <w:szCs w:val="17"/>
    </w:rPr>
  </w:style>
  <w:style w:type="character" w:customStyle="1" w:styleId="11100">
    <w:name w:val="Îñíîâíîé òåêñò (11) + Íå êóðñèâ10"/>
    <w:uiPriority w:val="99"/>
    <w:rsid w:val="00D4651C"/>
    <w:rPr>
      <w:rFonts w:ascii="Arial" w:hAnsi="Arial" w:cs="Arial"/>
      <w:i/>
      <w:iCs/>
      <w:spacing w:val="-10"/>
      <w:sz w:val="17"/>
      <w:szCs w:val="17"/>
    </w:rPr>
  </w:style>
  <w:style w:type="character" w:customStyle="1" w:styleId="119">
    <w:name w:val="Îñíîâíîé òåêñò + Êóðñèâ11"/>
    <w:uiPriority w:val="99"/>
    <w:rsid w:val="00D4651C"/>
    <w:rPr>
      <w:rFonts w:ascii="Arial" w:hAnsi="Arial" w:cs="Arial"/>
      <w:i/>
      <w:iCs/>
      <w:spacing w:val="-10"/>
      <w:sz w:val="17"/>
      <w:szCs w:val="17"/>
    </w:rPr>
  </w:style>
  <w:style w:type="character" w:customStyle="1" w:styleId="4835pt2911">
    <w:name w:val="Îñíîâíîé òåêñò (4) + 83.5 pt29.Íå ïîëóæèðíûé11"/>
    <w:uiPriority w:val="99"/>
    <w:rsid w:val="00D4651C"/>
    <w:rPr>
      <w:rFonts w:ascii="Arial" w:hAnsi="Arial" w:cs="Arial"/>
      <w:b/>
      <w:bCs/>
      <w:i/>
      <w:iCs/>
      <w:spacing w:val="-10"/>
      <w:sz w:val="17"/>
      <w:szCs w:val="17"/>
    </w:rPr>
  </w:style>
  <w:style w:type="character" w:customStyle="1" w:styleId="105">
    <w:name w:val="Îñíîâíîé òåêñò + Êóðñèâ10"/>
    <w:uiPriority w:val="99"/>
    <w:rsid w:val="00D4651C"/>
    <w:rPr>
      <w:rFonts w:ascii="Arial" w:hAnsi="Arial" w:cs="Arial"/>
      <w:i/>
      <w:iCs/>
      <w:spacing w:val="-10"/>
      <w:sz w:val="17"/>
      <w:szCs w:val="17"/>
    </w:rPr>
  </w:style>
  <w:style w:type="character" w:customStyle="1" w:styleId="78pt7">
    <w:name w:val="Îñíîâíîé òåêñò (7) + 8 pt.Íå êóðñèâ7"/>
    <w:uiPriority w:val="99"/>
    <w:rsid w:val="00D4651C"/>
    <w:rPr>
      <w:rFonts w:ascii="Arial" w:hAnsi="Arial" w:cs="Arial"/>
      <w:i/>
      <w:iCs/>
      <w:spacing w:val="-10"/>
      <w:sz w:val="16"/>
      <w:szCs w:val="16"/>
    </w:rPr>
  </w:style>
  <w:style w:type="character" w:customStyle="1" w:styleId="94">
    <w:name w:val="Îñíîâíîé òåêñò + Êóðñèâ9"/>
    <w:uiPriority w:val="99"/>
    <w:rsid w:val="00D4651C"/>
    <w:rPr>
      <w:rFonts w:ascii="Arial" w:hAnsi="Arial" w:cs="Arial"/>
      <w:i/>
      <w:iCs/>
      <w:spacing w:val="-10"/>
      <w:sz w:val="17"/>
      <w:szCs w:val="17"/>
    </w:rPr>
  </w:style>
  <w:style w:type="character" w:customStyle="1" w:styleId="1161">
    <w:name w:val="Îñíîâíîé òåêñò (11) + Íå êóðñèâ6"/>
    <w:uiPriority w:val="99"/>
    <w:rsid w:val="00D4651C"/>
    <w:rPr>
      <w:rFonts w:ascii="Arial" w:hAnsi="Arial" w:cs="Arial"/>
      <w:i/>
      <w:iCs/>
      <w:spacing w:val="-10"/>
      <w:sz w:val="17"/>
      <w:szCs w:val="17"/>
    </w:rPr>
  </w:style>
  <w:style w:type="character" w:customStyle="1" w:styleId="85">
    <w:name w:val="Îñíîâíîé òåêñò + Êóðñèâ8"/>
    <w:uiPriority w:val="99"/>
    <w:rsid w:val="00D4651C"/>
    <w:rPr>
      <w:rFonts w:ascii="Arial" w:hAnsi="Arial" w:cs="Arial"/>
      <w:i/>
      <w:iCs/>
      <w:spacing w:val="-10"/>
      <w:sz w:val="17"/>
      <w:szCs w:val="17"/>
    </w:rPr>
  </w:style>
  <w:style w:type="character" w:customStyle="1" w:styleId="7d">
    <w:name w:val="Îñíîâíîé òåêñò + Êóðñèâ7"/>
    <w:uiPriority w:val="99"/>
    <w:rsid w:val="00D4651C"/>
    <w:rPr>
      <w:rFonts w:ascii="Arial" w:hAnsi="Arial" w:cs="Arial"/>
      <w:i/>
      <w:iCs/>
      <w:spacing w:val="-10"/>
      <w:sz w:val="17"/>
      <w:szCs w:val="17"/>
    </w:rPr>
  </w:style>
  <w:style w:type="paragraph" w:customStyle="1" w:styleId="5d">
    <w:name w:val="Ïîäïèñü ê êàðòèíêå (5)"/>
    <w:basedOn w:val="a0"/>
    <w:uiPriority w:val="99"/>
    <w:rsid w:val="00D4651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0"/>
    <w:uiPriority w:val="99"/>
    <w:rsid w:val="00D4651C"/>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7">
    <w:name w:val="Ïîäïèñü ê êàðòèíêå (3)"/>
    <w:basedOn w:val="a0"/>
    <w:uiPriority w:val="99"/>
    <w:rsid w:val="00D4651C"/>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D4651C"/>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D4651C"/>
    <w:rPr>
      <w:rFonts w:ascii="Microsoft Sans Serif" w:hAnsi="Microsoft Sans Serif" w:cs="Microsoft Sans Serif"/>
      <w:i/>
      <w:iCs/>
      <w:spacing w:val="-10"/>
      <w:sz w:val="16"/>
      <w:szCs w:val="16"/>
    </w:rPr>
  </w:style>
  <w:style w:type="character" w:customStyle="1" w:styleId="125">
    <w:name w:val="Îñíîâíîé òåêñò (12)_"/>
    <w:uiPriority w:val="99"/>
    <w:rsid w:val="00D4651C"/>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D4651C"/>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D4651C"/>
    <w:rPr>
      <w:rFonts w:ascii="Microsoft Sans Serif" w:hAnsi="Microsoft Sans Serif" w:cs="Microsoft Sans Serif"/>
      <w:i/>
      <w:iCs/>
      <w:spacing w:val="0"/>
      <w:sz w:val="16"/>
      <w:szCs w:val="16"/>
    </w:rPr>
  </w:style>
  <w:style w:type="character" w:customStyle="1" w:styleId="126">
    <w:name w:val="Îñíîâíîé òåêñò (12)6"/>
    <w:uiPriority w:val="99"/>
    <w:rsid w:val="00D4651C"/>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D4651C"/>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D4651C"/>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D4651C"/>
    <w:rPr>
      <w:rFonts w:ascii="Bookman Old Style" w:hAnsi="Bookman Old Style" w:cs="Bookman Old Style"/>
      <w:b/>
      <w:bCs/>
      <w:i/>
      <w:iCs/>
      <w:sz w:val="17"/>
      <w:szCs w:val="17"/>
    </w:rPr>
  </w:style>
  <w:style w:type="character" w:customStyle="1" w:styleId="1250">
    <w:name w:val="Îñíîâíîé òåêñò (12)5"/>
    <w:uiPriority w:val="99"/>
    <w:rsid w:val="00D4651C"/>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D4651C"/>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D4651C"/>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D4651C"/>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D4651C"/>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D4651C"/>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D4651C"/>
    <w:rPr>
      <w:rFonts w:ascii="Microsoft Sans Serif" w:hAnsi="Microsoft Sans Serif" w:cs="Microsoft Sans Serif"/>
      <w:i/>
      <w:iCs/>
      <w:spacing w:val="0"/>
      <w:sz w:val="16"/>
      <w:szCs w:val="16"/>
    </w:rPr>
  </w:style>
  <w:style w:type="character" w:customStyle="1" w:styleId="1230">
    <w:name w:val="Îñíîâíîé òåêñò (12)3"/>
    <w:uiPriority w:val="99"/>
    <w:rsid w:val="00D4651C"/>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D4651C"/>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D4651C"/>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D4651C"/>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D4651C"/>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D4651C"/>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D4651C"/>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D4651C"/>
    <w:rPr>
      <w:rFonts w:ascii="Lucida Sans Unicode" w:hAnsi="Lucida Sans Unicode" w:cs="Lucida Sans Unicode"/>
      <w:b/>
      <w:bCs/>
      <w:i/>
      <w:iCs/>
      <w:spacing w:val="-10"/>
      <w:sz w:val="16"/>
      <w:szCs w:val="16"/>
    </w:rPr>
  </w:style>
  <w:style w:type="character" w:customStyle="1" w:styleId="154">
    <w:name w:val="Îñíîâíîé òåêñò + Êóðñèâ15"/>
    <w:uiPriority w:val="99"/>
    <w:rsid w:val="00D4651C"/>
    <w:rPr>
      <w:rFonts w:ascii="Arial" w:hAnsi="Arial" w:cs="Arial"/>
      <w:i/>
      <w:iCs/>
      <w:spacing w:val="-10"/>
      <w:sz w:val="17"/>
      <w:szCs w:val="17"/>
      <w:u w:val="single"/>
    </w:rPr>
  </w:style>
  <w:style w:type="character" w:customStyle="1" w:styleId="1190">
    <w:name w:val="Îñíîâíîé òåêñò (11) + Íå êóðñèâ9"/>
    <w:uiPriority w:val="99"/>
    <w:rsid w:val="00D4651C"/>
    <w:rPr>
      <w:rFonts w:ascii="Arial" w:hAnsi="Arial" w:cs="Arial"/>
      <w:i/>
      <w:iCs/>
      <w:spacing w:val="-10"/>
      <w:sz w:val="17"/>
      <w:szCs w:val="17"/>
    </w:rPr>
  </w:style>
  <w:style w:type="character" w:customStyle="1" w:styleId="145">
    <w:name w:val="Îñíîâíîé òåêñò + Êóðñèâ14"/>
    <w:uiPriority w:val="99"/>
    <w:rsid w:val="00D4651C"/>
    <w:rPr>
      <w:rFonts w:ascii="Arial" w:hAnsi="Arial" w:cs="Arial"/>
      <w:i/>
      <w:iCs/>
      <w:spacing w:val="-10"/>
      <w:sz w:val="17"/>
      <w:szCs w:val="17"/>
    </w:rPr>
  </w:style>
  <w:style w:type="character" w:customStyle="1" w:styleId="1180">
    <w:name w:val="Îñíîâíîé òåêñò (11) + Íå êóðñèâ8"/>
    <w:uiPriority w:val="99"/>
    <w:rsid w:val="00D4651C"/>
    <w:rPr>
      <w:rFonts w:ascii="Arial" w:hAnsi="Arial" w:cs="Arial"/>
      <w:i/>
      <w:iCs/>
      <w:spacing w:val="-10"/>
      <w:sz w:val="17"/>
      <w:szCs w:val="17"/>
    </w:rPr>
  </w:style>
  <w:style w:type="character" w:customStyle="1" w:styleId="133">
    <w:name w:val="Îñíîâíîé òåêñò + Êóðñèâ13"/>
    <w:uiPriority w:val="99"/>
    <w:rsid w:val="00D4651C"/>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D4651C"/>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D4651C"/>
    <w:rPr>
      <w:rFonts w:ascii="SimHei" w:eastAsia="SimHei" w:hAnsi="Microsoft Sans Serif" w:cs="SimHei"/>
      <w:i/>
      <w:iCs/>
      <w:spacing w:val="0"/>
      <w:sz w:val="15"/>
      <w:szCs w:val="15"/>
    </w:rPr>
  </w:style>
  <w:style w:type="character" w:customStyle="1" w:styleId="127">
    <w:name w:val="Îñíîâíîé òåêñò + Êóðñèâ12"/>
    <w:uiPriority w:val="99"/>
    <w:rsid w:val="00D4651C"/>
    <w:rPr>
      <w:rFonts w:ascii="Arial" w:hAnsi="Arial" w:cs="Arial"/>
      <w:i/>
      <w:iCs/>
      <w:spacing w:val="-10"/>
      <w:sz w:val="17"/>
      <w:szCs w:val="17"/>
    </w:rPr>
  </w:style>
  <w:style w:type="character" w:customStyle="1" w:styleId="1170">
    <w:name w:val="Îñíîâíîé òåêñò (11) + Íå êóðñèâ7"/>
    <w:uiPriority w:val="99"/>
    <w:rsid w:val="00D4651C"/>
    <w:rPr>
      <w:rFonts w:ascii="Arial" w:hAnsi="Arial" w:cs="Arial"/>
      <w:i/>
      <w:iCs/>
      <w:spacing w:val="-10"/>
      <w:sz w:val="17"/>
      <w:szCs w:val="17"/>
    </w:rPr>
  </w:style>
  <w:style w:type="paragraph" w:customStyle="1" w:styleId="11a">
    <w:name w:val="Çàãîëîâîê ¹11"/>
    <w:basedOn w:val="a0"/>
    <w:uiPriority w:val="99"/>
    <w:rsid w:val="00D4651C"/>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D4651C"/>
    <w:rPr>
      <w:rFonts w:ascii="Arial" w:hAnsi="Arial" w:cs="Arial"/>
      <w:b/>
      <w:bCs/>
      <w:sz w:val="13"/>
      <w:szCs w:val="13"/>
    </w:rPr>
  </w:style>
  <w:style w:type="character" w:customStyle="1" w:styleId="1010">
    <w:name w:val="Îñíîâíîé òåêñò (10) + Íå êóðñèâ1"/>
    <w:uiPriority w:val="99"/>
    <w:rsid w:val="00D4651C"/>
    <w:rPr>
      <w:rFonts w:ascii="Arial" w:hAnsi="Arial" w:cs="Arial"/>
      <w:i/>
      <w:iCs/>
      <w:sz w:val="15"/>
      <w:szCs w:val="15"/>
    </w:rPr>
  </w:style>
  <w:style w:type="paragraph" w:customStyle="1" w:styleId="106">
    <w:name w:val="Îñíîâíîé òåêñò (10)"/>
    <w:basedOn w:val="a0"/>
    <w:uiPriority w:val="99"/>
    <w:rsid w:val="00D4651C"/>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8">
    <w:name w:val="Îñíîâíîé òåêñò + Ïîëóæèðíûé3"/>
    <w:uiPriority w:val="99"/>
    <w:rsid w:val="00D4651C"/>
    <w:rPr>
      <w:rFonts w:ascii="Arial" w:hAnsi="Arial" w:cs="Arial"/>
      <w:b/>
      <w:bCs/>
      <w:sz w:val="16"/>
      <w:szCs w:val="16"/>
    </w:rPr>
  </w:style>
  <w:style w:type="character" w:customStyle="1" w:styleId="2f7">
    <w:name w:val="Îñíîâíîé òåêñò + Ïîëóæèðíûé2"/>
    <w:uiPriority w:val="99"/>
    <w:rsid w:val="00D4651C"/>
    <w:rPr>
      <w:rFonts w:ascii="Arial" w:hAnsi="Arial" w:cs="Arial"/>
      <w:b/>
      <w:bCs/>
      <w:sz w:val="16"/>
      <w:szCs w:val="16"/>
    </w:rPr>
  </w:style>
  <w:style w:type="character" w:customStyle="1" w:styleId="481">
    <w:name w:val="Îñíîâíîé òåêñò (4) + Íå êóðñèâ8"/>
    <w:uiPriority w:val="99"/>
    <w:rsid w:val="00D4651C"/>
    <w:rPr>
      <w:rFonts w:ascii="Arial" w:hAnsi="Arial" w:cs="Arial"/>
      <w:i/>
      <w:iCs/>
      <w:sz w:val="16"/>
      <w:szCs w:val="16"/>
    </w:rPr>
  </w:style>
  <w:style w:type="character" w:customStyle="1" w:styleId="69">
    <w:name w:val="Îñíîâíîé òåêñò + Êóðñèâ6"/>
    <w:uiPriority w:val="99"/>
    <w:rsid w:val="00D4651C"/>
    <w:rPr>
      <w:rFonts w:ascii="Arial" w:hAnsi="Arial" w:cs="Arial"/>
      <w:i/>
      <w:iCs/>
      <w:spacing w:val="-10"/>
      <w:sz w:val="16"/>
      <w:szCs w:val="16"/>
    </w:rPr>
  </w:style>
  <w:style w:type="character" w:customStyle="1" w:styleId="471">
    <w:name w:val="Îñíîâíîé òåêñò (4) + Íå êóðñèâ7"/>
    <w:uiPriority w:val="99"/>
    <w:rsid w:val="00D4651C"/>
    <w:rPr>
      <w:rFonts w:ascii="Arial" w:hAnsi="Arial" w:cs="Arial"/>
      <w:i/>
      <w:iCs/>
      <w:sz w:val="16"/>
      <w:szCs w:val="16"/>
    </w:rPr>
  </w:style>
  <w:style w:type="character" w:customStyle="1" w:styleId="465pt7">
    <w:name w:val="Îñíîâíîé òåêñò (4) + 6.5 pt7"/>
    <w:uiPriority w:val="99"/>
    <w:rsid w:val="00D4651C"/>
    <w:rPr>
      <w:rFonts w:ascii="Arial" w:hAnsi="Arial" w:cs="Arial"/>
      <w:i/>
      <w:iCs/>
      <w:noProof/>
      <w:sz w:val="13"/>
      <w:szCs w:val="13"/>
    </w:rPr>
  </w:style>
  <w:style w:type="character" w:customStyle="1" w:styleId="27Arial8pt12">
    <w:name w:val="Îñíîâíîé òåêñò (27) + Arial.8 pt1.Íå êóðñèâ2"/>
    <w:uiPriority w:val="99"/>
    <w:rsid w:val="00D4651C"/>
    <w:rPr>
      <w:rFonts w:ascii="Arial" w:hAnsi="Arial" w:cs="Arial"/>
      <w:i/>
      <w:iCs/>
      <w:sz w:val="16"/>
      <w:szCs w:val="16"/>
    </w:rPr>
  </w:style>
  <w:style w:type="character" w:customStyle="1" w:styleId="277">
    <w:name w:val="Îñíîâíîé òåêñò (27) + Ïîëóæèðíûé"/>
    <w:uiPriority w:val="99"/>
    <w:rsid w:val="00D4651C"/>
    <w:rPr>
      <w:rFonts w:ascii="Bookman Old Style" w:hAnsi="Bookman Old Style" w:cs="Bookman Old Style"/>
      <w:b/>
      <w:bCs/>
      <w:i/>
      <w:iCs/>
      <w:sz w:val="17"/>
      <w:szCs w:val="17"/>
    </w:rPr>
  </w:style>
  <w:style w:type="paragraph" w:customStyle="1" w:styleId="4f">
    <w:name w:val="Îñíîâíîé òåêñò (4)"/>
    <w:basedOn w:val="a0"/>
    <w:uiPriority w:val="99"/>
    <w:rsid w:val="00D4651C"/>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D4651C"/>
    <w:rPr>
      <w:rFonts w:ascii="Times New Roman" w:hAnsi="Times New Roman" w:cs="Times New Roman"/>
      <w:b/>
      <w:bCs/>
      <w:noProof/>
      <w:sz w:val="80"/>
      <w:szCs w:val="80"/>
    </w:rPr>
  </w:style>
  <w:style w:type="character" w:customStyle="1" w:styleId="322">
    <w:name w:val="Çàãîëîâîê ¹32"/>
    <w:uiPriority w:val="99"/>
    <w:rsid w:val="00D4651C"/>
    <w:rPr>
      <w:b/>
      <w:bCs/>
      <w:sz w:val="36"/>
      <w:szCs w:val="36"/>
    </w:rPr>
  </w:style>
  <w:style w:type="character" w:customStyle="1" w:styleId="TimesNewRoman140pt11">
    <w:name w:val="Îñíîâíîé òåêñò + Times New Roman1.40 pt1.Ïîëóæèðíûé1"/>
    <w:uiPriority w:val="99"/>
    <w:rsid w:val="00D4651C"/>
    <w:rPr>
      <w:rFonts w:ascii="Times New Roman" w:hAnsi="Times New Roman" w:cs="Times New Roman"/>
      <w:b/>
      <w:bCs/>
      <w:noProof/>
      <w:sz w:val="80"/>
      <w:szCs w:val="80"/>
    </w:rPr>
  </w:style>
  <w:style w:type="character" w:customStyle="1" w:styleId="422">
    <w:name w:val="Çàãîëîâîê ¹42"/>
    <w:uiPriority w:val="99"/>
    <w:rsid w:val="00D4651C"/>
    <w:rPr>
      <w:b/>
      <w:bCs/>
      <w:sz w:val="22"/>
      <w:szCs w:val="22"/>
      <w:u w:val="single"/>
    </w:rPr>
  </w:style>
  <w:style w:type="paragraph" w:customStyle="1" w:styleId="318">
    <w:name w:val="Çàãîëîâîê ¹31"/>
    <w:basedOn w:val="a0"/>
    <w:uiPriority w:val="99"/>
    <w:rsid w:val="00D4651C"/>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0"/>
    <w:uiPriority w:val="99"/>
    <w:rsid w:val="00D4651C"/>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2">
    <w:name w:val="Êîëîíòèòóë"/>
    <w:basedOn w:val="a0"/>
    <w:uiPriority w:val="99"/>
    <w:rsid w:val="00D4651C"/>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D4651C"/>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D4651C"/>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D4651C"/>
    <w:rPr>
      <w:rFonts w:ascii="Times New Roman" w:hAnsi="Times New Roman" w:cs="Times New Roman"/>
      <w:b/>
      <w:bCs/>
      <w:noProof/>
      <w:sz w:val="76"/>
      <w:szCs w:val="76"/>
    </w:rPr>
  </w:style>
  <w:style w:type="character" w:customStyle="1" w:styleId="2120">
    <w:name w:val="Îñíîâíîé òåêñò (21)2"/>
    <w:uiPriority w:val="99"/>
    <w:rsid w:val="00D4651C"/>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D4651C"/>
    <w:rPr>
      <w:rFonts w:ascii="MS Reference Sans Serif" w:hAnsi="MS Reference Sans Serif" w:cs="MS Reference Sans Serif"/>
      <w:sz w:val="13"/>
      <w:szCs w:val="13"/>
    </w:rPr>
  </w:style>
  <w:style w:type="character" w:customStyle="1" w:styleId="1113">
    <w:name w:val="Îñíîâíîé òåêñò (11)13"/>
    <w:uiPriority w:val="99"/>
    <w:rsid w:val="00D4651C"/>
    <w:rPr>
      <w:rFonts w:ascii="Arial" w:hAnsi="Arial" w:cs="Arial"/>
      <w:sz w:val="12"/>
      <w:szCs w:val="12"/>
    </w:rPr>
  </w:style>
  <w:style w:type="character" w:customStyle="1" w:styleId="1112">
    <w:name w:val="Îñíîâíîé òåêñò (11)12"/>
    <w:uiPriority w:val="99"/>
    <w:rsid w:val="00D4651C"/>
    <w:rPr>
      <w:rFonts w:ascii="Arial" w:hAnsi="Arial" w:cs="Arial"/>
      <w:sz w:val="12"/>
      <w:szCs w:val="12"/>
    </w:rPr>
  </w:style>
  <w:style w:type="character" w:customStyle="1" w:styleId="MSReferenceSansSerif135pt13">
    <w:name w:val="Îñíîâíîé òåêñò + MS Reference Sans Serif1.35 pt1.Ïîëóæèðíûé3"/>
    <w:uiPriority w:val="99"/>
    <w:rsid w:val="00D4651C"/>
    <w:rPr>
      <w:rFonts w:ascii="MS Reference Sans Serif" w:hAnsi="MS Reference Sans Serif" w:cs="MS Reference Sans Serif"/>
      <w:b/>
      <w:bCs/>
      <w:noProof/>
      <w:sz w:val="70"/>
      <w:szCs w:val="70"/>
    </w:rPr>
  </w:style>
  <w:style w:type="paragraph" w:customStyle="1" w:styleId="155">
    <w:name w:val="Îñíîâíîé òåêñò (15)"/>
    <w:basedOn w:val="a0"/>
    <w:uiPriority w:val="99"/>
    <w:rsid w:val="00D4651C"/>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0"/>
    <w:uiPriority w:val="99"/>
    <w:rsid w:val="00D4651C"/>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0"/>
    <w:uiPriority w:val="99"/>
    <w:rsid w:val="00D4651C"/>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D4651C"/>
    <w:rPr>
      <w:color w:val="000000"/>
      <w:sz w:val="12"/>
      <w:szCs w:val="12"/>
    </w:rPr>
  </w:style>
  <w:style w:type="paragraph" w:customStyle="1" w:styleId="Pa2">
    <w:name w:val="Pa2"/>
    <w:basedOn w:val="Default"/>
    <w:next w:val="Default"/>
    <w:uiPriority w:val="99"/>
    <w:rsid w:val="00D4651C"/>
    <w:pPr>
      <w:spacing w:line="241" w:lineRule="atLeast"/>
    </w:pPr>
    <w:rPr>
      <w:color w:val="auto"/>
    </w:rPr>
  </w:style>
  <w:style w:type="paragraph" w:customStyle="1" w:styleId="Pa8">
    <w:name w:val="Pa8"/>
    <w:basedOn w:val="Default"/>
    <w:next w:val="Default"/>
    <w:uiPriority w:val="99"/>
    <w:rsid w:val="00D4651C"/>
    <w:pPr>
      <w:spacing w:line="201" w:lineRule="atLeast"/>
    </w:pPr>
    <w:rPr>
      <w:color w:val="auto"/>
    </w:rPr>
  </w:style>
  <w:style w:type="character" w:customStyle="1" w:styleId="2f8">
    <w:name w:val="Îñíîâíîé òåêñò (2)"/>
    <w:uiPriority w:val="99"/>
    <w:rsid w:val="00D4651C"/>
    <w:rPr>
      <w:rFonts w:ascii="MS Reference Sans Serif" w:hAnsi="MS Reference Sans Serif" w:cs="MS Reference Sans Serif"/>
      <w:i/>
      <w:iCs/>
      <w:spacing w:val="-10"/>
      <w:sz w:val="22"/>
      <w:szCs w:val="22"/>
    </w:rPr>
  </w:style>
  <w:style w:type="character" w:customStyle="1" w:styleId="2f9">
    <w:name w:val="Îñíîâíîé òåêñò (2) + Êóðñèâ"/>
    <w:uiPriority w:val="99"/>
    <w:rsid w:val="00D4651C"/>
    <w:rPr>
      <w:rFonts w:ascii="MS Reference Sans Serif" w:hAnsi="MS Reference Sans Serif" w:cs="MS Reference Sans Serif"/>
      <w:i/>
      <w:iCs/>
      <w:spacing w:val="-10"/>
      <w:sz w:val="22"/>
      <w:szCs w:val="22"/>
    </w:rPr>
  </w:style>
  <w:style w:type="paragraph" w:customStyle="1" w:styleId="2fa">
    <w:name w:val="Ïîäïèñü ê êàðòèíêå (2)"/>
    <w:basedOn w:val="a0"/>
    <w:uiPriority w:val="99"/>
    <w:rsid w:val="00D4651C"/>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0"/>
    <w:uiPriority w:val="99"/>
    <w:rsid w:val="00D4651C"/>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D4651C"/>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D4651C"/>
    <w:rPr>
      <w:rFonts w:ascii="MS Reference Sans Serif" w:hAnsi="MS Reference Sans Serif" w:cs="MS Reference Sans Serif"/>
      <w:spacing w:val="-10"/>
      <w:sz w:val="23"/>
      <w:szCs w:val="23"/>
    </w:rPr>
  </w:style>
  <w:style w:type="paragraph" w:customStyle="1" w:styleId="3f9">
    <w:name w:val="Îñíîâíîé òåêñò (3)"/>
    <w:basedOn w:val="a0"/>
    <w:uiPriority w:val="99"/>
    <w:rsid w:val="00D4651C"/>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D4651C"/>
    <w:rPr>
      <w:rFonts w:ascii="Arial Narrow" w:hAnsi="Arial Narrow" w:cs="Arial Narrow"/>
      <w:b/>
      <w:bCs/>
      <w:spacing w:val="-20"/>
      <w:sz w:val="27"/>
      <w:szCs w:val="27"/>
    </w:rPr>
  </w:style>
  <w:style w:type="character" w:customStyle="1" w:styleId="0pt0">
    <w:name w:val="Îñíîâíîé òåêñò + Èíòåðâàë 0 pt"/>
    <w:uiPriority w:val="99"/>
    <w:rsid w:val="00D4651C"/>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D4651C"/>
    <w:rPr>
      <w:rFonts w:ascii="Tahoma" w:hAnsi="Tahoma" w:cs="Tahoma"/>
      <w:i/>
      <w:iCs/>
      <w:noProof/>
      <w:spacing w:val="30"/>
      <w:sz w:val="24"/>
      <w:szCs w:val="24"/>
    </w:rPr>
  </w:style>
  <w:style w:type="character" w:customStyle="1" w:styleId="2pt">
    <w:name w:val="Îñíîâíîé òåêñò + Èíòåðâàë 2 pt"/>
    <w:uiPriority w:val="99"/>
    <w:rsid w:val="00D4651C"/>
    <w:rPr>
      <w:rFonts w:ascii="Tahoma" w:hAnsi="Tahoma" w:cs="Tahoma"/>
      <w:i/>
      <w:iCs/>
      <w:spacing w:val="40"/>
      <w:sz w:val="21"/>
      <w:szCs w:val="21"/>
    </w:rPr>
  </w:style>
  <w:style w:type="character" w:customStyle="1" w:styleId="2pt1">
    <w:name w:val="Îñíîâíîé òåêñò + Èíòåðâàë 2 pt1"/>
    <w:uiPriority w:val="99"/>
    <w:rsid w:val="00D4651C"/>
    <w:rPr>
      <w:rFonts w:ascii="Tahoma" w:hAnsi="Tahoma" w:cs="Tahoma"/>
      <w:i/>
      <w:iCs/>
      <w:spacing w:val="40"/>
      <w:sz w:val="21"/>
      <w:szCs w:val="21"/>
    </w:rPr>
  </w:style>
  <w:style w:type="character" w:customStyle="1" w:styleId="211pt">
    <w:name w:val="Îñíîâíîé òåêñò (2) + 11 pt.Êóðñèâ"/>
    <w:uiPriority w:val="99"/>
    <w:rsid w:val="00D4651C"/>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D4651C"/>
    <w:rPr>
      <w:rFonts w:ascii="Batang" w:eastAsia="Batang" w:cs="Batang"/>
      <w:noProof/>
      <w:spacing w:val="-30"/>
      <w:sz w:val="32"/>
      <w:szCs w:val="32"/>
    </w:rPr>
  </w:style>
  <w:style w:type="character" w:customStyle="1" w:styleId="afffff3">
    <w:name w:val="Êîëîíòèòóë_"/>
    <w:uiPriority w:val="99"/>
    <w:rsid w:val="00D4651C"/>
    <w:rPr>
      <w:noProof/>
    </w:rPr>
  </w:style>
  <w:style w:type="character" w:customStyle="1" w:styleId="1095pt4">
    <w:name w:val="Îñíîâíîé òåêñò (10) + 9.5 pt4.Íå ìàëûå ïðîïèñíûå"/>
    <w:uiPriority w:val="99"/>
    <w:rsid w:val="00D4651C"/>
    <w:rPr>
      <w:rFonts w:ascii="Microsoft Sans Serif" w:hAnsi="Microsoft Sans Serif" w:cs="Microsoft Sans Serif"/>
      <w:smallCaps/>
      <w:noProof/>
      <w:spacing w:val="0"/>
      <w:sz w:val="19"/>
      <w:szCs w:val="19"/>
    </w:rPr>
  </w:style>
  <w:style w:type="character" w:customStyle="1" w:styleId="107">
    <w:name w:val="Îñíîâíîé òåêñò (10)_"/>
    <w:uiPriority w:val="99"/>
    <w:rsid w:val="00D4651C"/>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D4651C"/>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D4651C"/>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D4651C"/>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D4651C"/>
    <w:rPr>
      <w:rFonts w:ascii="Trebuchet MS" w:hAnsi="Trebuchet MS" w:cs="Trebuchet MS"/>
      <w:noProof/>
      <w:sz w:val="31"/>
      <w:szCs w:val="31"/>
    </w:rPr>
  </w:style>
  <w:style w:type="character" w:customStyle="1" w:styleId="22pt">
    <w:name w:val="Îñíîâíîé òåêñò (2) + Èíòåðâàë 2 pt"/>
    <w:uiPriority w:val="99"/>
    <w:rsid w:val="00D4651C"/>
    <w:rPr>
      <w:rFonts w:ascii="Tahoma" w:hAnsi="Tahoma" w:cs="Tahoma"/>
      <w:i/>
      <w:iCs/>
      <w:noProof/>
      <w:spacing w:val="40"/>
      <w:sz w:val="21"/>
      <w:szCs w:val="21"/>
    </w:rPr>
  </w:style>
  <w:style w:type="character" w:customStyle="1" w:styleId="1pt0">
    <w:name w:val="Îñíîâíîé òåêñò + Èíòåðâàë 1 pt"/>
    <w:uiPriority w:val="99"/>
    <w:rsid w:val="00D4651C"/>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D4651C"/>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D4651C"/>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D4651C"/>
    <w:rPr>
      <w:rFonts w:ascii="Tahoma" w:hAnsi="Tahoma" w:cs="Tahoma"/>
      <w:i/>
      <w:iCs/>
      <w:spacing w:val="50"/>
      <w:sz w:val="21"/>
      <w:szCs w:val="21"/>
    </w:rPr>
  </w:style>
  <w:style w:type="character" w:customStyle="1" w:styleId="4f0">
    <w:name w:val="Îñíîâíîé òåêñò (4)_"/>
    <w:uiPriority w:val="99"/>
    <w:rsid w:val="00D4651C"/>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D4651C"/>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D4651C"/>
    <w:rPr>
      <w:rFonts w:ascii="Tahoma" w:hAnsi="Tahoma" w:cs="Tahoma"/>
      <w:b/>
      <w:bCs/>
      <w:i/>
      <w:iCs/>
      <w:spacing w:val="-10"/>
      <w:sz w:val="12"/>
      <w:szCs w:val="12"/>
      <w:lang w:val="en-US"/>
    </w:rPr>
  </w:style>
  <w:style w:type="character" w:customStyle="1" w:styleId="afffff4">
    <w:name w:val="Îñíîâíîé òåêñò + Ïîëóæèðíûé"/>
    <w:uiPriority w:val="99"/>
    <w:rsid w:val="00D4651C"/>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D4651C"/>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D4651C"/>
    <w:rPr>
      <w:rFonts w:ascii="Tahoma" w:hAnsi="Tahoma" w:cs="Tahoma"/>
      <w:b/>
      <w:bCs/>
      <w:spacing w:val="-10"/>
      <w:sz w:val="11"/>
      <w:szCs w:val="11"/>
    </w:rPr>
  </w:style>
  <w:style w:type="character" w:customStyle="1" w:styleId="1f6">
    <w:name w:val="Îñíîâíîé òåêñò + Êóðñèâ1"/>
    <w:uiPriority w:val="99"/>
    <w:rsid w:val="00D4651C"/>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D4651C"/>
    <w:rPr>
      <w:rFonts w:ascii="Arial" w:hAnsi="Arial" w:cs="Arial"/>
      <w:b/>
      <w:bCs/>
      <w:spacing w:val="0"/>
      <w:sz w:val="13"/>
      <w:szCs w:val="13"/>
    </w:rPr>
  </w:style>
  <w:style w:type="character" w:customStyle="1" w:styleId="725pt6">
    <w:name w:val="Îñíîâíîé òåêñò + 72.5 pt6"/>
    <w:uiPriority w:val="99"/>
    <w:rsid w:val="00D4651C"/>
    <w:rPr>
      <w:rFonts w:ascii="Arial" w:hAnsi="Arial" w:cs="Arial"/>
      <w:spacing w:val="-10"/>
      <w:sz w:val="15"/>
      <w:szCs w:val="15"/>
    </w:rPr>
  </w:style>
  <w:style w:type="character" w:customStyle="1" w:styleId="6pt0pt6">
    <w:name w:val="Îñíîâíîé òåêñò + 6 pt.Èíòåðâàë 0 pt6"/>
    <w:uiPriority w:val="99"/>
    <w:rsid w:val="00D4651C"/>
    <w:rPr>
      <w:rFonts w:ascii="Arial" w:hAnsi="Arial" w:cs="Arial"/>
      <w:spacing w:val="0"/>
      <w:sz w:val="12"/>
      <w:szCs w:val="12"/>
    </w:rPr>
  </w:style>
  <w:style w:type="paragraph" w:customStyle="1" w:styleId="216">
    <w:name w:val="Ïîäïèñü ê êàðòèíêå (2)1"/>
    <w:basedOn w:val="a0"/>
    <w:uiPriority w:val="99"/>
    <w:rsid w:val="00D4651C"/>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7">
    <w:name w:val="Îñíîâíîé òåêñò + Ìàëûå ïðîïèñíûå1"/>
    <w:uiPriority w:val="99"/>
    <w:rsid w:val="00D4651C"/>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D4651C"/>
    <w:rPr>
      <w:rFonts w:ascii="Franklin Gothic Book" w:hAnsi="Franklin Gothic Book" w:cs="Franklin Gothic Book"/>
      <w:smallCaps/>
      <w:spacing w:val="-10"/>
      <w:sz w:val="22"/>
      <w:szCs w:val="22"/>
    </w:rPr>
  </w:style>
  <w:style w:type="paragraph" w:customStyle="1" w:styleId="128">
    <w:name w:val="Çàãîëîâîê ¹12"/>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D4651C"/>
    <w:rPr>
      <w:rFonts w:ascii="Arial" w:hAnsi="Arial" w:cs="Arial"/>
      <w:spacing w:val="0"/>
      <w:sz w:val="8"/>
      <w:szCs w:val="8"/>
    </w:rPr>
  </w:style>
  <w:style w:type="paragraph" w:customStyle="1" w:styleId="361">
    <w:name w:val="Îñíîâíîé òåêñò (36)"/>
    <w:basedOn w:val="a0"/>
    <w:uiPriority w:val="99"/>
    <w:rsid w:val="00D4651C"/>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0"/>
    <w:uiPriority w:val="99"/>
    <w:rsid w:val="00D4651C"/>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1f8">
    <w:name w:val="Обычный (веб)1"/>
    <w:basedOn w:val="a0"/>
    <w:rsid w:val="00C0199F"/>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95">
    <w:name w:val="Основной текст9"/>
    <w:basedOn w:val="a0"/>
    <w:rsid w:val="00A867FD"/>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f9">
    <w:name w:val="Слабое выделение1"/>
    <w:rsid w:val="003C6ADB"/>
    <w:rPr>
      <w:i/>
      <w:color w:val="808080"/>
    </w:rPr>
  </w:style>
  <w:style w:type="character" w:customStyle="1" w:styleId="20">
    <w:name w:val="Заголовок 2 Знак"/>
    <w:link w:val="2"/>
    <w:uiPriority w:val="9"/>
    <w:rsid w:val="003C6ADB"/>
    <w:rPr>
      <w:rFonts w:ascii="Cambria" w:eastAsia="Times New Roman" w:hAnsi="Cambria" w:cs="Times New Roman"/>
      <w:color w:val="365F91"/>
      <w:sz w:val="26"/>
      <w:szCs w:val="26"/>
      <w:lang w:eastAsia="ru-RU"/>
    </w:rPr>
  </w:style>
  <w:style w:type="character" w:customStyle="1" w:styleId="40">
    <w:name w:val="Заголовок 4 Знак"/>
    <w:link w:val="4"/>
    <w:uiPriority w:val="9"/>
    <w:rsid w:val="003C6ADB"/>
    <w:rPr>
      <w:rFonts w:ascii="Cambria" w:eastAsia="Times New Roman" w:hAnsi="Cambria" w:cs="Times New Roman"/>
      <w:i/>
      <w:iCs/>
      <w:color w:val="365F91"/>
      <w:sz w:val="20"/>
      <w:szCs w:val="20"/>
      <w:lang w:eastAsia="ru-RU"/>
    </w:rPr>
  </w:style>
  <w:style w:type="table" w:styleId="afffff5">
    <w:name w:val="Table Grid"/>
    <w:basedOn w:val="a2"/>
    <w:uiPriority w:val="59"/>
    <w:rsid w:val="003C6AD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idaSansUnicode">
    <w:name w:val="Основной текст + Lucida Sans Unicode"/>
    <w:rsid w:val="006A496D"/>
    <w:rPr>
      <w:rFonts w:ascii="Lucida Sans Unicode" w:hAnsi="Lucida Sans Unicode"/>
      <w:smallCaps/>
      <w:spacing w:val="-20"/>
      <w:sz w:val="17"/>
    </w:rPr>
  </w:style>
  <w:style w:type="character" w:customStyle="1" w:styleId="183">
    <w:name w:val="Основной текст (18)_"/>
    <w:link w:val="182"/>
    <w:rsid w:val="00194321"/>
    <w:rPr>
      <w:rFonts w:ascii="Arial" w:hAnsi="Arial" w:cs="Arial"/>
      <w:sz w:val="24"/>
      <w:szCs w:val="24"/>
      <w:shd w:val="clear" w:color="auto" w:fill="FFFFFF"/>
    </w:rPr>
  </w:style>
  <w:style w:type="character" w:customStyle="1" w:styleId="aff6">
    <w:name w:val="Сноска_"/>
    <w:link w:val="aff5"/>
    <w:rsid w:val="003A2711"/>
    <w:rPr>
      <w:rFonts w:ascii="Lucida Sans Unicode" w:hAnsi="Lucida Sans Unicode" w:cs="Lucida Sans Unicode"/>
      <w:i/>
      <w:iCs/>
      <w:noProof/>
      <w:sz w:val="13"/>
      <w:szCs w:val="13"/>
      <w:shd w:val="clear" w:color="auto" w:fill="FFFFFF"/>
      <w:lang w:val="en-US"/>
    </w:rPr>
  </w:style>
  <w:style w:type="character" w:customStyle="1" w:styleId="198">
    <w:name w:val="Основной текст (19) + 8"/>
    <w:rsid w:val="00FF08CA"/>
    <w:rPr>
      <w:rFonts w:ascii="Times New Roman" w:hAnsi="Times New Roman"/>
      <w:sz w:val="17"/>
    </w:rPr>
  </w:style>
  <w:style w:type="character" w:styleId="afffff6">
    <w:name w:val="annotation reference"/>
    <w:uiPriority w:val="99"/>
    <w:semiHidden/>
    <w:unhideWhenUsed/>
    <w:rsid w:val="003D288C"/>
    <w:rPr>
      <w:sz w:val="16"/>
      <w:szCs w:val="16"/>
    </w:rPr>
  </w:style>
  <w:style w:type="paragraph" w:styleId="afffff7">
    <w:name w:val="annotation text"/>
    <w:basedOn w:val="a0"/>
    <w:link w:val="afffff8"/>
    <w:uiPriority w:val="99"/>
    <w:semiHidden/>
    <w:unhideWhenUsed/>
    <w:rsid w:val="003D288C"/>
    <w:pPr>
      <w:spacing w:line="240" w:lineRule="auto"/>
    </w:pPr>
    <w:rPr>
      <w:sz w:val="20"/>
      <w:szCs w:val="20"/>
    </w:rPr>
  </w:style>
  <w:style w:type="character" w:customStyle="1" w:styleId="afffff8">
    <w:name w:val="Текст примечания Знак"/>
    <w:link w:val="afffff7"/>
    <w:uiPriority w:val="99"/>
    <w:semiHidden/>
    <w:rsid w:val="003D288C"/>
    <w:rPr>
      <w:sz w:val="20"/>
      <w:szCs w:val="20"/>
    </w:rPr>
  </w:style>
  <w:style w:type="paragraph" w:styleId="afffff9">
    <w:name w:val="annotation subject"/>
    <w:basedOn w:val="afffff7"/>
    <w:next w:val="afffff7"/>
    <w:link w:val="afffffa"/>
    <w:uiPriority w:val="99"/>
    <w:semiHidden/>
    <w:unhideWhenUsed/>
    <w:rsid w:val="003D288C"/>
    <w:rPr>
      <w:b/>
      <w:bCs/>
    </w:rPr>
  </w:style>
  <w:style w:type="character" w:customStyle="1" w:styleId="afffffa">
    <w:name w:val="Тема примечания Знак"/>
    <w:link w:val="afffff9"/>
    <w:uiPriority w:val="99"/>
    <w:semiHidden/>
    <w:rsid w:val="003D288C"/>
    <w:rPr>
      <w:b/>
      <w:bCs/>
      <w:sz w:val="20"/>
      <w:szCs w:val="20"/>
    </w:rPr>
  </w:style>
  <w:style w:type="paragraph" w:styleId="afffffb">
    <w:name w:val="Balloon Text"/>
    <w:basedOn w:val="a0"/>
    <w:link w:val="afffffc"/>
    <w:uiPriority w:val="99"/>
    <w:semiHidden/>
    <w:unhideWhenUsed/>
    <w:rsid w:val="003D288C"/>
    <w:pPr>
      <w:spacing w:after="0" w:line="240" w:lineRule="auto"/>
    </w:pPr>
    <w:rPr>
      <w:rFonts w:ascii="Segoe UI" w:hAnsi="Segoe UI" w:cs="Segoe UI"/>
      <w:sz w:val="18"/>
      <w:szCs w:val="18"/>
    </w:rPr>
  </w:style>
  <w:style w:type="character" w:customStyle="1" w:styleId="afffffc">
    <w:name w:val="Текст выноски Знак"/>
    <w:link w:val="afffffb"/>
    <w:uiPriority w:val="99"/>
    <w:semiHidden/>
    <w:rsid w:val="003D288C"/>
    <w:rPr>
      <w:rFonts w:ascii="Segoe UI" w:hAnsi="Segoe UI" w:cs="Segoe UI"/>
      <w:sz w:val="18"/>
      <w:szCs w:val="18"/>
    </w:rPr>
  </w:style>
  <w:style w:type="character" w:customStyle="1" w:styleId="mfont1">
    <w:name w:val="mfont1"/>
    <w:basedOn w:val="a1"/>
    <w:rsid w:val="002303A6"/>
  </w:style>
  <w:style w:type="table" w:customStyle="1" w:styleId="1fa">
    <w:name w:val="Сетка таблицы светлая1"/>
    <w:basedOn w:val="a2"/>
    <w:uiPriority w:val="40"/>
    <w:rsid w:val="00E46F2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73">
    <w:name w:val="Основной текст (7)_"/>
    <w:link w:val="72"/>
    <w:rsid w:val="0050778F"/>
    <w:rPr>
      <w:rFonts w:ascii="Arial Unicode MS" w:eastAsia="Arial Unicode MS" w:hAnsi="Times New Roman" w:cs="Arial Unicode MS"/>
      <w:spacing w:val="20"/>
      <w:sz w:val="25"/>
      <w:szCs w:val="25"/>
      <w:shd w:val="clear" w:color="auto" w:fill="FFFFFF"/>
    </w:rPr>
  </w:style>
  <w:style w:type="character" w:customStyle="1" w:styleId="ArialNarrow85pt">
    <w:name w:val="Основной текст + Arial Narrow;8;5 pt;Курсив"/>
    <w:rsid w:val="0050778F"/>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35">
    <w:name w:val="Основной текст (3)_"/>
    <w:link w:val="34"/>
    <w:rsid w:val="0050778F"/>
    <w:rPr>
      <w:rFonts w:ascii="Gungsuh" w:eastAsia="Gungsuh" w:hAnsi="Times New Roman" w:cs="Gungsuh"/>
      <w:spacing w:val="20"/>
      <w:sz w:val="35"/>
      <w:szCs w:val="35"/>
      <w:shd w:val="clear" w:color="auto" w:fill="FFFFFF"/>
    </w:rPr>
  </w:style>
  <w:style w:type="character" w:customStyle="1" w:styleId="3Tahoma8pt">
    <w:name w:val="Основной текст (3) + Tahoma;8 pt;Не курсив"/>
    <w:rsid w:val="0050778F"/>
    <w:rPr>
      <w:rFonts w:ascii="Tahoma" w:eastAsia="Tahoma" w:hAnsi="Tahoma" w:cs="Tahoma"/>
      <w:i/>
      <w:iCs/>
      <w:spacing w:val="20"/>
      <w:sz w:val="35"/>
      <w:szCs w:val="35"/>
      <w:shd w:val="clear" w:color="auto" w:fill="FFFFFF"/>
    </w:rPr>
  </w:style>
  <w:style w:type="paragraph" w:customStyle="1" w:styleId="6a">
    <w:name w:val="Основной текст (6)"/>
    <w:basedOn w:val="a0"/>
    <w:link w:val="6b"/>
    <w:rsid w:val="0074751A"/>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rsid w:val="0074751A"/>
    <w:rPr>
      <w:rFonts w:ascii="Calibri" w:eastAsia="Times New Roman" w:hAnsi="Calibri" w:cs="Times New Roman"/>
      <w:sz w:val="24"/>
      <w:szCs w:val="20"/>
      <w:shd w:val="clear" w:color="auto" w:fill="FFFFFF"/>
      <w:lang w:eastAsia="ru-RU"/>
    </w:rPr>
  </w:style>
  <w:style w:type="character" w:customStyle="1" w:styleId="612">
    <w:name w:val="Основной текст (6) + Не курсив1"/>
    <w:uiPriority w:val="99"/>
    <w:rsid w:val="0074751A"/>
    <w:rPr>
      <w:rFonts w:ascii="Arial Narrow" w:eastAsia="Microsoft Sans Serif" w:hAnsi="Arial Narrow" w:cs="Arial Narrow"/>
      <w:i/>
      <w:iCs/>
      <w:spacing w:val="0"/>
      <w:sz w:val="17"/>
      <w:szCs w:val="17"/>
      <w:shd w:val="clear" w:color="auto" w:fill="FFFFFF"/>
      <w:lang w:eastAsia="ru-RU"/>
    </w:rPr>
  </w:style>
  <w:style w:type="character" w:customStyle="1" w:styleId="622">
    <w:name w:val="Основной текст (6) + Не курсив2"/>
    <w:uiPriority w:val="99"/>
    <w:rsid w:val="0074751A"/>
    <w:rPr>
      <w:rFonts w:ascii="Arial Narrow" w:eastAsia="Microsoft Sans Serif" w:hAnsi="Arial Narrow" w:cs="Arial Narrow"/>
      <w:i/>
      <w:iCs/>
      <w:spacing w:val="0"/>
      <w:sz w:val="17"/>
      <w:szCs w:val="17"/>
      <w:shd w:val="clear" w:color="auto" w:fill="FFFFFF"/>
      <w:lang w:eastAsia="ru-RU"/>
    </w:rPr>
  </w:style>
  <w:style w:type="paragraph" w:customStyle="1" w:styleId="323">
    <w:name w:val="Основной текст (32)"/>
    <w:basedOn w:val="a0"/>
    <w:link w:val="324"/>
    <w:rsid w:val="00B640B1"/>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4">
    <w:name w:val="Основной текст (32)_"/>
    <w:link w:val="323"/>
    <w:rsid w:val="00B640B1"/>
    <w:rPr>
      <w:rFonts w:ascii="Arial" w:eastAsia="Times New Roman" w:hAnsi="Arial" w:cs="Times New Roman"/>
      <w:sz w:val="27"/>
      <w:szCs w:val="20"/>
      <w:shd w:val="clear" w:color="auto" w:fill="FFFFFF"/>
      <w:lang w:eastAsia="ru-RU"/>
    </w:rPr>
  </w:style>
  <w:style w:type="character" w:customStyle="1" w:styleId="119pt">
    <w:name w:val="Основной текст (11) + 9 pt;Полужирный"/>
    <w:rsid w:val="00B640B1"/>
    <w:rPr>
      <w:rFonts w:ascii="Times New Roman" w:eastAsia="Times New Roman" w:hAnsi="Times New Roman" w:cs="Times New Roman"/>
      <w:b/>
      <w:bCs/>
      <w:i w:val="0"/>
      <w:iCs w:val="0"/>
      <w:smallCaps w:val="0"/>
      <w:strike w:val="0"/>
      <w:spacing w:val="0"/>
      <w:sz w:val="18"/>
      <w:szCs w:val="18"/>
    </w:rPr>
  </w:style>
  <w:style w:type="character" w:customStyle="1" w:styleId="ArialNarrow-1pt">
    <w:name w:val="Основной текст + Arial Narrow;Полужирный;Интервал -1 pt"/>
    <w:rsid w:val="00D56F36"/>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631">
    <w:name w:val="Основной текст (6) + Не курсив3"/>
    <w:uiPriority w:val="99"/>
    <w:rsid w:val="00CB197E"/>
    <w:rPr>
      <w:rFonts w:ascii="Arial Narrow" w:eastAsia="Microsoft Sans Serif" w:hAnsi="Arial Narrow" w:cs="Arial Narrow"/>
      <w:i/>
      <w:iCs/>
      <w:spacing w:val="0"/>
      <w:sz w:val="17"/>
      <w:szCs w:val="17"/>
      <w:shd w:val="clear" w:color="auto" w:fill="FFFFFF"/>
      <w:lang w:eastAsia="ru-RU"/>
    </w:rPr>
  </w:style>
  <w:style w:type="character" w:customStyle="1" w:styleId="highlight">
    <w:name w:val="highlight"/>
    <w:rsid w:val="00A074CA"/>
  </w:style>
  <w:style w:type="paragraph" w:customStyle="1" w:styleId="rteindent11">
    <w:name w:val="rteindent11"/>
    <w:basedOn w:val="a0"/>
    <w:uiPriority w:val="99"/>
    <w:rsid w:val="00B5001C"/>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Bodytext2">
    <w:name w:val="Body text (2)"/>
    <w:rsid w:val="009F7673"/>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3"/>
    <w:uiPriority w:val="99"/>
    <w:rsid w:val="009F7673"/>
    <w:rPr>
      <w:rFonts w:ascii="Times New Roman" w:eastAsia="Times New Roman" w:hAnsi="Times New Roman"/>
      <w:shd w:val="clear" w:color="auto" w:fill="FFFFFF"/>
    </w:rPr>
  </w:style>
  <w:style w:type="paragraph" w:customStyle="1" w:styleId="623">
    <w:name w:val="Основной текст62"/>
    <w:basedOn w:val="a0"/>
    <w:link w:val="Bodytext"/>
    <w:rsid w:val="009F7673"/>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9F7673"/>
    <w:rPr>
      <w:rFonts w:ascii="Times New Roman" w:eastAsia="Times New Roman" w:hAnsi="Times New Roman" w:cs="Times New Roman"/>
      <w:b w:val="0"/>
      <w:bCs w:val="0"/>
      <w:i w:val="0"/>
      <w:iCs w:val="0"/>
      <w:smallCaps w:val="0"/>
      <w:strike w:val="0"/>
      <w:spacing w:val="0"/>
      <w:sz w:val="23"/>
      <w:szCs w:val="23"/>
    </w:rPr>
  </w:style>
  <w:style w:type="character" w:customStyle="1" w:styleId="46">
    <w:name w:val="Основной текст (4)_"/>
    <w:link w:val="45"/>
    <w:rsid w:val="00CD5F5F"/>
    <w:rPr>
      <w:rFonts w:ascii="Gungsuh" w:eastAsia="Gungsuh" w:hAnsi="Times New Roman" w:cs="Gungsuh"/>
      <w:sz w:val="13"/>
      <w:szCs w:val="13"/>
      <w:shd w:val="clear" w:color="auto" w:fill="FFFFFF"/>
      <w:lang w:eastAsia="en-US"/>
    </w:rPr>
  </w:style>
  <w:style w:type="character" w:customStyle="1" w:styleId="4f1">
    <w:name w:val="Основной текст (4) + Не курсив"/>
    <w:rsid w:val="00CD5F5F"/>
    <w:rPr>
      <w:rFonts w:ascii="Arial Narrow" w:eastAsia="Arial Narrow" w:hAnsi="Arial Narrow" w:cs="Arial Narrow"/>
      <w:i/>
      <w:iCs/>
      <w:sz w:val="18"/>
      <w:szCs w:val="18"/>
      <w:shd w:val="clear" w:color="auto" w:fill="FFFFFF"/>
    </w:rPr>
  </w:style>
  <w:style w:type="paragraph" w:customStyle="1" w:styleId="book">
    <w:name w:val="book"/>
    <w:basedOn w:val="a0"/>
    <w:rsid w:val="00CD5F5F"/>
    <w:pPr>
      <w:spacing w:after="0" w:line="240" w:lineRule="auto"/>
      <w:ind w:firstLine="300"/>
    </w:pPr>
    <w:rPr>
      <w:rFonts w:ascii="Times New Roman" w:eastAsia="Times New Roman" w:hAnsi="Times New Roman"/>
      <w:sz w:val="24"/>
      <w:szCs w:val="24"/>
      <w:lang w:eastAsia="ru-RU"/>
    </w:rPr>
  </w:style>
  <w:style w:type="character" w:customStyle="1" w:styleId="ucoz-forum-post">
    <w:name w:val="ucoz-forum-post"/>
    <w:rsid w:val="005C0E90"/>
  </w:style>
  <w:style w:type="character" w:customStyle="1" w:styleId="MSReferenceSansSerif">
    <w:name w:val="Подпись к картинке + MS Reference Sans Serif"/>
    <w:aliases w:val="69,5 pt56,Не полужирный17,Основной текст + 828"/>
    <w:uiPriority w:val="99"/>
    <w:rsid w:val="00AA6BB1"/>
    <w:rPr>
      <w:rFonts w:ascii="MS Reference Sans Serif" w:eastAsia="Times New Roman" w:hAnsi="MS Reference Sans Serif" w:cs="MS Reference Sans Serif"/>
      <w:b w:val="0"/>
      <w:bCs w:val="0"/>
      <w:i w:val="0"/>
      <w:iCs w:val="0"/>
      <w:smallCaps w:val="0"/>
      <w:strike w:val="0"/>
      <w:noProof/>
      <w:spacing w:val="0"/>
      <w:sz w:val="13"/>
      <w:szCs w:val="13"/>
      <w:shd w:val="clear" w:color="auto" w:fill="FFFFFF"/>
    </w:rPr>
  </w:style>
  <w:style w:type="character" w:customStyle="1" w:styleId="ArialUnicodeMS7pt0pt">
    <w:name w:val="Основной текст + Arial Unicode MS;7 pt;Полужирный;Курсив;Интервал 0 pt"/>
    <w:rsid w:val="00AA6BB1"/>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86">
    <w:name w:val="Заголовок №8_"/>
    <w:link w:val="87"/>
    <w:rsid w:val="00011043"/>
    <w:rPr>
      <w:rFonts w:ascii="Arial Narrow" w:hAnsi="Arial Narrow" w:cs="Arial Narrow"/>
      <w:b/>
      <w:bCs/>
      <w:sz w:val="39"/>
      <w:szCs w:val="39"/>
      <w:shd w:val="clear" w:color="auto" w:fill="FFFFFF"/>
    </w:rPr>
  </w:style>
  <w:style w:type="paragraph" w:customStyle="1" w:styleId="87">
    <w:name w:val="Заголовок №8"/>
    <w:basedOn w:val="a0"/>
    <w:link w:val="86"/>
    <w:rsid w:val="00011043"/>
    <w:pPr>
      <w:shd w:val="clear" w:color="auto" w:fill="FFFFFF"/>
      <w:spacing w:before="120" w:after="0" w:line="240" w:lineRule="atLeast"/>
      <w:outlineLvl w:val="7"/>
    </w:pPr>
    <w:rPr>
      <w:rFonts w:ascii="Arial Narrow" w:hAnsi="Arial Narrow" w:cs="Arial Narrow"/>
      <w:b/>
      <w:bCs/>
      <w:sz w:val="39"/>
      <w:szCs w:val="39"/>
      <w:lang w:eastAsia="ru-RU"/>
    </w:rPr>
  </w:style>
  <w:style w:type="character" w:customStyle="1" w:styleId="50">
    <w:name w:val="Заголовок 5 Знак"/>
    <w:link w:val="5"/>
    <w:uiPriority w:val="9"/>
    <w:rsid w:val="00D90D46"/>
    <w:rPr>
      <w:rFonts w:ascii="Calibri Light" w:eastAsia="Times New Roman" w:hAnsi="Calibri Light"/>
      <w:color w:val="2E74B5"/>
    </w:rPr>
  </w:style>
  <w:style w:type="character" w:customStyle="1" w:styleId="BodytextBoldItalic">
    <w:name w:val="Body text + Bold;Italic"/>
    <w:rsid w:val="00D90D46"/>
    <w:rPr>
      <w:rFonts w:ascii="Times New Roman" w:eastAsia="Times New Roman" w:hAnsi="Times New Roman" w:cs="Times New Roman"/>
      <w:b/>
      <w:bCs/>
      <w:i/>
      <w:iCs/>
      <w:smallCaps w:val="0"/>
      <w:strike w:val="0"/>
      <w:spacing w:val="0"/>
      <w:sz w:val="18"/>
      <w:szCs w:val="18"/>
    </w:rPr>
  </w:style>
  <w:style w:type="paragraph" w:customStyle="1" w:styleId="rtejustify">
    <w:name w:val="rtejustify"/>
    <w:basedOn w:val="a0"/>
    <w:rsid w:val="00D90D46"/>
    <w:pPr>
      <w:spacing w:before="150" w:after="150" w:line="240" w:lineRule="auto"/>
      <w:jc w:val="both"/>
    </w:pPr>
    <w:rPr>
      <w:rFonts w:ascii="Times New Roman" w:eastAsia="Times New Roman" w:hAnsi="Times New Roman"/>
      <w:sz w:val="24"/>
      <w:szCs w:val="24"/>
      <w:lang w:eastAsia="ru-RU"/>
    </w:rPr>
  </w:style>
  <w:style w:type="character" w:customStyle="1" w:styleId="Headerorfooter">
    <w:name w:val="Header or footer_"/>
    <w:link w:val="Headerorfooter0"/>
    <w:rsid w:val="00D90D46"/>
    <w:rPr>
      <w:rFonts w:ascii="Times New Roman" w:eastAsia="Times New Roman" w:hAnsi="Times New Roman"/>
      <w:shd w:val="clear" w:color="auto" w:fill="FFFFFF"/>
    </w:rPr>
  </w:style>
  <w:style w:type="paragraph" w:customStyle="1" w:styleId="Headerorfooter0">
    <w:name w:val="Header or footer"/>
    <w:basedOn w:val="a0"/>
    <w:link w:val="Headerorfooter"/>
    <w:rsid w:val="00D90D46"/>
    <w:pPr>
      <w:shd w:val="clear" w:color="auto" w:fill="FFFFFF"/>
      <w:spacing w:after="0" w:line="240" w:lineRule="auto"/>
    </w:pPr>
    <w:rPr>
      <w:rFonts w:ascii="Times New Roman" w:eastAsia="Times New Roman" w:hAnsi="Times New Roman"/>
      <w:sz w:val="20"/>
      <w:szCs w:val="20"/>
      <w:lang w:eastAsia="ru-RU"/>
    </w:rPr>
  </w:style>
  <w:style w:type="character" w:customStyle="1" w:styleId="HeaderorfooterArial13ptBold">
    <w:name w:val="Header or footer + Arial;13 pt;Bold"/>
    <w:rsid w:val="00D90D46"/>
    <w:rPr>
      <w:rFonts w:ascii="Arial" w:eastAsia="Arial" w:hAnsi="Arial" w:cs="Arial"/>
      <w:b/>
      <w:bCs/>
      <w:spacing w:val="0"/>
      <w:sz w:val="26"/>
      <w:szCs w:val="26"/>
      <w:shd w:val="clear" w:color="auto" w:fill="FFFFFF"/>
    </w:rPr>
  </w:style>
  <w:style w:type="character" w:customStyle="1" w:styleId="Headerorfooter115ptBold">
    <w:name w:val="Header or footer + 11;5 pt;Bold"/>
    <w:rsid w:val="00D90D46"/>
    <w:rPr>
      <w:rFonts w:ascii="Times New Roman" w:eastAsia="Times New Roman" w:hAnsi="Times New Roman" w:cs="Times New Roman"/>
      <w:b/>
      <w:bCs/>
      <w:spacing w:val="0"/>
      <w:sz w:val="23"/>
      <w:szCs w:val="23"/>
      <w:shd w:val="clear" w:color="auto" w:fill="FFFFFF"/>
    </w:rPr>
  </w:style>
  <w:style w:type="character" w:customStyle="1" w:styleId="Bodytext5">
    <w:name w:val="Body text (5)"/>
    <w:rsid w:val="00D90D46"/>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
    <w:rsid w:val="00D90D46"/>
    <w:rPr>
      <w:rFonts w:ascii="Times New Roman" w:eastAsia="Times New Roman" w:hAnsi="Times New Roman" w:cs="Times New Roman"/>
      <w:b w:val="0"/>
      <w:bCs w:val="0"/>
      <w:i w:val="0"/>
      <w:iCs w:val="0"/>
      <w:smallCaps w:val="0"/>
      <w:strike w:val="0"/>
      <w:spacing w:val="0"/>
      <w:sz w:val="17"/>
      <w:szCs w:val="17"/>
    </w:rPr>
  </w:style>
  <w:style w:type="character" w:customStyle="1" w:styleId="Headerorfooter9pt">
    <w:name w:val="Header or footer + 9 pt"/>
    <w:rsid w:val="00D90D46"/>
    <w:rPr>
      <w:rFonts w:ascii="Times New Roman" w:eastAsia="Times New Roman" w:hAnsi="Times New Roman" w:cs="Times New Roman"/>
      <w:spacing w:val="0"/>
      <w:sz w:val="18"/>
      <w:szCs w:val="18"/>
      <w:shd w:val="clear" w:color="auto" w:fill="FFFFFF"/>
    </w:rPr>
  </w:style>
  <w:style w:type="character" w:customStyle="1" w:styleId="Heading12">
    <w:name w:val="Heading #1 (2)"/>
    <w:rsid w:val="00D90D46"/>
    <w:rPr>
      <w:rFonts w:ascii="Times New Roman" w:eastAsia="Times New Roman" w:hAnsi="Times New Roman" w:cs="Times New Roman"/>
      <w:b w:val="0"/>
      <w:bCs w:val="0"/>
      <w:i w:val="0"/>
      <w:iCs w:val="0"/>
      <w:smallCaps w:val="0"/>
      <w:strike w:val="0"/>
      <w:sz w:val="27"/>
      <w:szCs w:val="27"/>
    </w:rPr>
  </w:style>
  <w:style w:type="character" w:customStyle="1" w:styleId="227">
    <w:name w:val="Заголовок №2 (2)_"/>
    <w:link w:val="228"/>
    <w:locked/>
    <w:rsid w:val="00D90D46"/>
    <w:rPr>
      <w:rFonts w:ascii="Times New Roman" w:hAnsi="Times New Roman"/>
      <w:sz w:val="21"/>
      <w:szCs w:val="21"/>
      <w:shd w:val="clear" w:color="auto" w:fill="FFFFFF"/>
    </w:rPr>
  </w:style>
  <w:style w:type="paragraph" w:customStyle="1" w:styleId="228">
    <w:name w:val="Заголовок №2 (2)"/>
    <w:basedOn w:val="a0"/>
    <w:link w:val="227"/>
    <w:rsid w:val="00D90D46"/>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3c">
    <w:name w:val="Заголовок №3_"/>
    <w:link w:val="3b"/>
    <w:locked/>
    <w:rsid w:val="00D90D46"/>
    <w:rPr>
      <w:rFonts w:ascii="Times New Roman" w:hAnsi="Times New Roman"/>
      <w:spacing w:val="40"/>
      <w:sz w:val="52"/>
      <w:szCs w:val="52"/>
      <w:shd w:val="clear" w:color="auto" w:fill="FFFFFF"/>
      <w:lang w:eastAsia="en-US"/>
    </w:rPr>
  </w:style>
  <w:style w:type="character" w:customStyle="1" w:styleId="3fa">
    <w:name w:val="Заголовок №3 + Не полужирный"/>
    <w:rsid w:val="00D90D46"/>
    <w:rPr>
      <w:rFonts w:ascii="Times New Roman" w:hAnsi="Times New Roman" w:cs="Times New Roman"/>
      <w:b/>
      <w:bCs/>
      <w:sz w:val="20"/>
      <w:szCs w:val="20"/>
      <w:shd w:val="clear" w:color="auto" w:fill="FFFFFF"/>
    </w:rPr>
  </w:style>
  <w:style w:type="character" w:customStyle="1" w:styleId="2a">
    <w:name w:val="Основной текст (2)_"/>
    <w:link w:val="28"/>
    <w:rsid w:val="00D90D46"/>
    <w:rPr>
      <w:rFonts w:ascii="Segoe UI" w:hAnsi="Segoe UI" w:cs="Segoe UI"/>
      <w:sz w:val="13"/>
      <w:szCs w:val="13"/>
      <w:shd w:val="clear" w:color="auto" w:fill="FFFFFF"/>
      <w:lang w:eastAsia="en-US"/>
    </w:rPr>
  </w:style>
  <w:style w:type="character" w:customStyle="1" w:styleId="1fb">
    <w:name w:val="Основной текст Знак1"/>
    <w:uiPriority w:val="99"/>
    <w:rsid w:val="00D90D46"/>
    <w:rPr>
      <w:rFonts w:ascii="Arial Narrow" w:hAnsi="Arial Narrow" w:cs="Arial Narrow"/>
      <w:sz w:val="18"/>
      <w:szCs w:val="18"/>
      <w:shd w:val="clear" w:color="auto" w:fill="FFFFFF"/>
    </w:rPr>
  </w:style>
  <w:style w:type="character" w:customStyle="1" w:styleId="319">
    <w:name w:val="Основной текст + Полужирный31"/>
    <w:uiPriority w:val="99"/>
    <w:rsid w:val="00D90D46"/>
    <w:rPr>
      <w:rFonts w:ascii="Arial Narrow" w:hAnsi="Arial Narrow" w:cs="Arial Narrow"/>
      <w:b/>
      <w:bCs/>
      <w:spacing w:val="0"/>
      <w:sz w:val="18"/>
      <w:szCs w:val="18"/>
      <w:shd w:val="clear" w:color="auto" w:fill="FFFFFF"/>
    </w:rPr>
  </w:style>
  <w:style w:type="character" w:customStyle="1" w:styleId="304">
    <w:name w:val="Основной текст + Полужирный30"/>
    <w:uiPriority w:val="99"/>
    <w:rsid w:val="00D90D46"/>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D90D46"/>
    <w:rPr>
      <w:rFonts w:ascii="Arial" w:hAnsi="Arial" w:cs="Arial"/>
      <w:b/>
      <w:bCs/>
      <w:spacing w:val="0"/>
      <w:sz w:val="14"/>
      <w:szCs w:val="14"/>
      <w:shd w:val="clear" w:color="auto" w:fill="FFFFFF"/>
    </w:rPr>
  </w:style>
  <w:style w:type="paragraph" w:customStyle="1" w:styleId="1fc">
    <w:name w:val="Подпись к картинке1"/>
    <w:basedOn w:val="a0"/>
    <w:uiPriority w:val="99"/>
    <w:rsid w:val="00D90D46"/>
    <w:pPr>
      <w:shd w:val="clear" w:color="auto" w:fill="FFFFFF"/>
      <w:spacing w:after="0" w:line="240" w:lineRule="atLeast"/>
      <w:ind w:hanging="280"/>
    </w:pPr>
    <w:rPr>
      <w:rFonts w:ascii="Arial" w:eastAsia="Arial Unicode MS" w:hAnsi="Arial" w:cs="Arial"/>
      <w:b/>
      <w:bCs/>
      <w:sz w:val="14"/>
      <w:szCs w:val="14"/>
      <w:lang w:eastAsia="ru-RU"/>
    </w:rPr>
  </w:style>
  <w:style w:type="paragraph" w:customStyle="1" w:styleId="1011">
    <w:name w:val="Основной текст (10)1"/>
    <w:basedOn w:val="a0"/>
    <w:uiPriority w:val="99"/>
    <w:rsid w:val="00D90D46"/>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16">
    <w:name w:val="Основной текст (10) + Не курсив16"/>
    <w:uiPriority w:val="99"/>
    <w:rsid w:val="00D90D46"/>
    <w:rPr>
      <w:rFonts w:ascii="Arial Narrow" w:eastAsia="Times New Roman" w:hAnsi="Arial Narrow" w:cs="Arial Narrow"/>
      <w:b w:val="0"/>
      <w:bCs w:val="0"/>
      <w:i w:val="0"/>
      <w:iCs w:val="0"/>
      <w:smallCaps w:val="0"/>
      <w:strike w:val="0"/>
      <w:spacing w:val="0"/>
      <w:sz w:val="18"/>
      <w:szCs w:val="18"/>
    </w:rPr>
  </w:style>
  <w:style w:type="character" w:customStyle="1" w:styleId="146">
    <w:name w:val="Основной текст (14)_"/>
    <w:link w:val="147"/>
    <w:rsid w:val="00D90D46"/>
    <w:rPr>
      <w:rFonts w:ascii="Arial Narrow" w:hAnsi="Arial Narrow" w:cs="Arial Narrow"/>
      <w:b/>
      <w:bCs/>
      <w:sz w:val="16"/>
      <w:szCs w:val="16"/>
      <w:shd w:val="clear" w:color="auto" w:fill="FFFFFF"/>
    </w:rPr>
  </w:style>
  <w:style w:type="character" w:customStyle="1" w:styleId="aff4">
    <w:name w:val="Подпись к таблице_"/>
    <w:link w:val="aff3"/>
    <w:rsid w:val="00D90D46"/>
    <w:rPr>
      <w:rFonts w:ascii="Arial Narrow" w:hAnsi="Arial Narrow" w:cs="Arial Narrow"/>
      <w:i/>
      <w:iCs/>
      <w:noProof/>
      <w:shd w:val="clear" w:color="auto" w:fill="FFFFFF"/>
      <w:lang w:val="en-US" w:eastAsia="en-US"/>
    </w:rPr>
  </w:style>
  <w:style w:type="paragraph" w:customStyle="1" w:styleId="147">
    <w:name w:val="Основной текст (14)"/>
    <w:basedOn w:val="a0"/>
    <w:link w:val="146"/>
    <w:uiPriority w:val="99"/>
    <w:rsid w:val="00D90D46"/>
    <w:pPr>
      <w:shd w:val="clear" w:color="auto" w:fill="FFFFFF"/>
      <w:spacing w:after="0" w:line="240" w:lineRule="atLeast"/>
    </w:pPr>
    <w:rPr>
      <w:rFonts w:ascii="Arial Narrow" w:hAnsi="Arial Narrow" w:cs="Arial Narrow"/>
      <w:b/>
      <w:bCs/>
      <w:sz w:val="16"/>
      <w:szCs w:val="16"/>
      <w:lang w:eastAsia="ru-RU"/>
    </w:rPr>
  </w:style>
  <w:style w:type="character" w:customStyle="1" w:styleId="4f2">
    <w:name w:val="Основной текст (4) + Полужирный;Не курсив"/>
    <w:rsid w:val="00D90D46"/>
    <w:rPr>
      <w:rFonts w:ascii="Arial Narrow" w:eastAsia="Arial Narrow" w:hAnsi="Arial Narrow" w:cs="Arial Narrow"/>
      <w:b/>
      <w:bCs/>
      <w:i/>
      <w:iCs/>
      <w:sz w:val="18"/>
      <w:szCs w:val="18"/>
      <w:shd w:val="clear" w:color="auto" w:fill="FFFFFF"/>
      <w:lang w:eastAsia="en-US"/>
    </w:rPr>
  </w:style>
  <w:style w:type="character" w:customStyle="1" w:styleId="495pt-1pt">
    <w:name w:val="Основной текст (4) + 9;5 pt;Полужирный;Не курсив;Интервал -1 pt"/>
    <w:rsid w:val="00D90D46"/>
    <w:rPr>
      <w:rFonts w:ascii="Arial Narrow" w:eastAsia="Arial Narrow" w:hAnsi="Arial Narrow" w:cs="Arial Narrow"/>
      <w:b/>
      <w:bCs/>
      <w:i/>
      <w:iCs/>
      <w:spacing w:val="-20"/>
      <w:sz w:val="19"/>
      <w:szCs w:val="19"/>
      <w:shd w:val="clear" w:color="auto" w:fill="FFFFFF"/>
      <w:lang w:eastAsia="en-US"/>
    </w:rPr>
  </w:style>
  <w:style w:type="character" w:customStyle="1" w:styleId="4f3">
    <w:name w:val="Основной текст (4) + Полужирный"/>
    <w:rsid w:val="00D90D46"/>
    <w:rPr>
      <w:rFonts w:ascii="Arial Narrow" w:eastAsia="Arial Narrow" w:hAnsi="Arial Narrow" w:cs="Arial Narrow"/>
      <w:b/>
      <w:bCs/>
      <w:sz w:val="18"/>
      <w:szCs w:val="18"/>
      <w:shd w:val="clear" w:color="auto" w:fill="FFFFFF"/>
      <w:lang w:eastAsia="en-US"/>
    </w:rPr>
  </w:style>
  <w:style w:type="character" w:customStyle="1" w:styleId="0pt1">
    <w:name w:val="Основной текст + Полужирный;Интервал 0 pt"/>
    <w:rsid w:val="00D90D46"/>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0pt2">
    <w:name w:val="Основной текст + Курсив;Интервал 0 pt"/>
    <w:rsid w:val="00D90D46"/>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Tahoma95pt-1pt">
    <w:name w:val="Основной текст + Tahoma;9;5 pt;Полужирный;Интервал -1 pt"/>
    <w:rsid w:val="00D90D46"/>
    <w:rPr>
      <w:rFonts w:ascii="Tahoma" w:eastAsia="Tahoma" w:hAnsi="Tahoma" w:cs="Tahoma"/>
      <w:b/>
      <w:bCs/>
      <w:i w:val="0"/>
      <w:iCs w:val="0"/>
      <w:smallCaps w:val="0"/>
      <w:strike w:val="0"/>
      <w:spacing w:val="-20"/>
      <w:sz w:val="19"/>
      <w:szCs w:val="19"/>
      <w:shd w:val="clear" w:color="auto" w:fill="FFFFFF"/>
    </w:rPr>
  </w:style>
  <w:style w:type="character" w:customStyle="1" w:styleId="920pt">
    <w:name w:val="Заголовок №9 (2) + Не полужирный;Интервал 0 pt"/>
    <w:rsid w:val="00D90D46"/>
    <w:rPr>
      <w:rFonts w:ascii="Arial Narrow" w:eastAsia="Arial Narrow" w:hAnsi="Arial Narrow" w:cs="Arial Narrow"/>
      <w:b/>
      <w:bCs/>
      <w:spacing w:val="0"/>
      <w:sz w:val="18"/>
      <w:szCs w:val="18"/>
      <w:shd w:val="clear" w:color="auto" w:fill="FFFFFF"/>
    </w:rPr>
  </w:style>
  <w:style w:type="character" w:customStyle="1" w:styleId="930pt">
    <w:name w:val="Заголовок №9 (3) + Не полужирный;Интервал 0 pt"/>
    <w:rsid w:val="00D90D46"/>
    <w:rPr>
      <w:rFonts w:ascii="Arial Narrow" w:eastAsia="Arial Narrow" w:hAnsi="Arial Narrow" w:cs="Arial Narrow"/>
      <w:b/>
      <w:bCs/>
      <w:spacing w:val="0"/>
      <w:sz w:val="18"/>
      <w:szCs w:val="18"/>
      <w:shd w:val="clear" w:color="auto" w:fill="FFFFFF"/>
    </w:rPr>
  </w:style>
  <w:style w:type="character" w:customStyle="1" w:styleId="930pt0">
    <w:name w:val="Заголовок №9 (3) + Интервал 0 pt"/>
    <w:rsid w:val="00D90D46"/>
    <w:rPr>
      <w:rFonts w:ascii="Arial Narrow" w:eastAsia="Arial Narrow" w:hAnsi="Arial Narrow" w:cs="Arial Narrow"/>
      <w:spacing w:val="0"/>
      <w:sz w:val="18"/>
      <w:szCs w:val="18"/>
      <w:shd w:val="clear" w:color="auto" w:fill="FFFFFF"/>
    </w:rPr>
  </w:style>
  <w:style w:type="character" w:customStyle="1" w:styleId="5f">
    <w:name w:val="Основной текст (5)_"/>
    <w:link w:val="5f0"/>
    <w:rsid w:val="00D90D46"/>
    <w:rPr>
      <w:rFonts w:ascii="Times New Roman" w:eastAsia="Times New Roman" w:hAnsi="Times New Roman"/>
      <w:sz w:val="17"/>
      <w:szCs w:val="17"/>
      <w:shd w:val="clear" w:color="auto" w:fill="FFFFFF"/>
    </w:rPr>
  </w:style>
  <w:style w:type="paragraph" w:customStyle="1" w:styleId="5f0">
    <w:name w:val="Основной текст (5)"/>
    <w:basedOn w:val="a0"/>
    <w:link w:val="5f"/>
    <w:rsid w:val="00D90D46"/>
    <w:pPr>
      <w:shd w:val="clear" w:color="auto" w:fill="FFFFFF"/>
      <w:spacing w:before="120" w:after="0" w:line="202" w:lineRule="exact"/>
      <w:jc w:val="both"/>
    </w:pPr>
    <w:rPr>
      <w:rFonts w:ascii="Times New Roman" w:eastAsia="Times New Roman" w:hAnsi="Times New Roman"/>
      <w:sz w:val="17"/>
      <w:szCs w:val="17"/>
      <w:lang w:eastAsia="ru-RU"/>
    </w:rPr>
  </w:style>
  <w:style w:type="character" w:customStyle="1" w:styleId="40pt">
    <w:name w:val="Основной текст (4) + Полужирный;Не курсив;Интервал 0 pt"/>
    <w:rsid w:val="00D90D46"/>
    <w:rPr>
      <w:rFonts w:ascii="Arial Narrow" w:eastAsia="Arial Narrow" w:hAnsi="Arial Narrow" w:cs="Arial Narrow"/>
      <w:b/>
      <w:bCs/>
      <w:i/>
      <w:iCs/>
      <w:smallCaps w:val="0"/>
      <w:strike w:val="0"/>
      <w:spacing w:val="-10"/>
      <w:sz w:val="18"/>
      <w:szCs w:val="18"/>
      <w:shd w:val="clear" w:color="auto" w:fill="FFFFFF"/>
      <w:lang w:eastAsia="en-US"/>
    </w:rPr>
  </w:style>
  <w:style w:type="character" w:customStyle="1" w:styleId="affd">
    <w:name w:val="Подпись к картинке_"/>
    <w:link w:val="affc"/>
    <w:rsid w:val="00D90D46"/>
    <w:rPr>
      <w:rFonts w:ascii="MS Reference Sans Serif" w:hAnsi="MS Reference Sans Serif" w:cs="MS Reference Sans Serif"/>
      <w:b/>
      <w:bCs/>
      <w:sz w:val="13"/>
      <w:szCs w:val="13"/>
      <w:shd w:val="clear" w:color="auto" w:fill="FFFFFF"/>
      <w:lang w:eastAsia="en-US"/>
    </w:rPr>
  </w:style>
  <w:style w:type="character" w:customStyle="1" w:styleId="123">
    <w:name w:val="Основной текст (12)_"/>
    <w:link w:val="122"/>
    <w:rsid w:val="00D90D46"/>
    <w:rPr>
      <w:rFonts w:ascii="MS Reference Sans Serif" w:hAnsi="MS Reference Sans Serif" w:cs="MS Reference Sans Serif"/>
      <w:b/>
      <w:bCs/>
      <w:sz w:val="13"/>
      <w:szCs w:val="13"/>
      <w:shd w:val="clear" w:color="auto" w:fill="FFFFFF"/>
      <w:lang w:eastAsia="en-US"/>
    </w:rPr>
  </w:style>
  <w:style w:type="character" w:customStyle="1" w:styleId="341">
    <w:name w:val="Основной текст (34)_"/>
    <w:link w:val="340"/>
    <w:rsid w:val="00D90D46"/>
    <w:rPr>
      <w:rFonts w:ascii="Arial Narrow" w:hAnsi="Arial Narrow" w:cs="Arial Narrow"/>
      <w:b/>
      <w:bCs/>
      <w:sz w:val="17"/>
      <w:szCs w:val="17"/>
      <w:shd w:val="clear" w:color="auto" w:fill="FFFFFF"/>
      <w:lang w:eastAsia="en-US"/>
    </w:rPr>
  </w:style>
  <w:style w:type="character" w:customStyle="1" w:styleId="500">
    <w:name w:val="Основной текст (50)_"/>
    <w:link w:val="501"/>
    <w:rsid w:val="00D90D46"/>
    <w:rPr>
      <w:rFonts w:ascii="Arial" w:hAnsi="Arial" w:cs="Arial"/>
      <w:sz w:val="11"/>
      <w:szCs w:val="11"/>
      <w:shd w:val="clear" w:color="auto" w:fill="FFFFFF"/>
    </w:rPr>
  </w:style>
  <w:style w:type="character" w:customStyle="1" w:styleId="512">
    <w:name w:val="Основной текст (51)_"/>
    <w:link w:val="511"/>
    <w:rsid w:val="00D90D46"/>
    <w:rPr>
      <w:rFonts w:ascii="Bookman Old Style" w:hAnsi="Bookman Old Style" w:cs="Bookman Old Style"/>
      <w:i/>
      <w:iCs/>
      <w:shd w:val="clear" w:color="auto" w:fill="FFFFFF"/>
      <w:lang w:eastAsia="en-US"/>
    </w:rPr>
  </w:style>
  <w:style w:type="character" w:customStyle="1" w:styleId="521">
    <w:name w:val="Основной текст (52)_"/>
    <w:link w:val="520"/>
    <w:rsid w:val="00D90D46"/>
    <w:rPr>
      <w:rFonts w:ascii="MS Reference Sans Serif" w:hAnsi="MS Reference Sans Serif" w:cs="MS Reference Sans Serif"/>
      <w:sz w:val="13"/>
      <w:szCs w:val="13"/>
      <w:shd w:val="clear" w:color="auto" w:fill="FFFFFF"/>
      <w:lang w:eastAsia="en-US"/>
    </w:rPr>
  </w:style>
  <w:style w:type="character" w:customStyle="1" w:styleId="550">
    <w:name w:val="Основной текст (55)_"/>
    <w:link w:val="55"/>
    <w:rsid w:val="00D90D46"/>
    <w:rPr>
      <w:rFonts w:ascii="MS Reference Sans Serif" w:hAnsi="MS Reference Sans Serif" w:cs="MS Reference Sans Serif"/>
      <w:noProof/>
      <w:sz w:val="8"/>
      <w:szCs w:val="8"/>
      <w:shd w:val="clear" w:color="auto" w:fill="FFFFFF"/>
      <w:lang w:val="en-US" w:eastAsia="en-US"/>
    </w:rPr>
  </w:style>
  <w:style w:type="character" w:customStyle="1" w:styleId="570">
    <w:name w:val="Основной текст (57)_"/>
    <w:link w:val="57"/>
    <w:rsid w:val="00D90D46"/>
    <w:rPr>
      <w:rFonts w:ascii="Sylfaen" w:hAnsi="Sylfaen" w:cs="Sylfaen"/>
      <w:noProof/>
      <w:sz w:val="8"/>
      <w:szCs w:val="8"/>
      <w:shd w:val="clear" w:color="auto" w:fill="FFFFFF"/>
      <w:lang w:val="en-US" w:eastAsia="en-US"/>
    </w:rPr>
  </w:style>
  <w:style w:type="character" w:customStyle="1" w:styleId="581">
    <w:name w:val="Основной текст (58)_"/>
    <w:link w:val="580"/>
    <w:rsid w:val="00D90D46"/>
    <w:rPr>
      <w:rFonts w:ascii="MS Reference Sans Serif" w:hAnsi="MS Reference Sans Serif" w:cs="MS Reference Sans Serif"/>
      <w:i/>
      <w:iCs/>
      <w:shd w:val="clear" w:color="auto" w:fill="FFFFFF"/>
      <w:lang w:eastAsia="en-US"/>
    </w:rPr>
  </w:style>
  <w:style w:type="character" w:customStyle="1" w:styleId="590">
    <w:name w:val="Основной текст (59)_"/>
    <w:link w:val="591"/>
    <w:rsid w:val="00D90D46"/>
    <w:rPr>
      <w:rFonts w:ascii="Arial" w:hAnsi="Arial" w:cs="Arial"/>
      <w:spacing w:val="-10"/>
      <w:sz w:val="15"/>
      <w:szCs w:val="15"/>
      <w:shd w:val="clear" w:color="auto" w:fill="FFFFFF"/>
    </w:rPr>
  </w:style>
  <w:style w:type="character" w:customStyle="1" w:styleId="600">
    <w:name w:val="Основной текст (60)_"/>
    <w:link w:val="601"/>
    <w:rsid w:val="00D90D46"/>
    <w:rPr>
      <w:rFonts w:ascii="Franklin Gothic Book" w:hAnsi="Franklin Gothic Book" w:cs="Franklin Gothic Book"/>
      <w:sz w:val="11"/>
      <w:szCs w:val="11"/>
      <w:shd w:val="clear" w:color="auto" w:fill="FFFFFF"/>
    </w:rPr>
  </w:style>
  <w:style w:type="character" w:customStyle="1" w:styleId="613">
    <w:name w:val="Основной текст (61)_"/>
    <w:link w:val="614"/>
    <w:rsid w:val="00D90D46"/>
    <w:rPr>
      <w:rFonts w:ascii="MS Reference Sans Serif" w:hAnsi="MS Reference Sans Serif" w:cs="MS Reference Sans Serif"/>
      <w:spacing w:val="-10"/>
      <w:sz w:val="12"/>
      <w:szCs w:val="12"/>
      <w:shd w:val="clear" w:color="auto" w:fill="FFFFFF"/>
    </w:rPr>
  </w:style>
  <w:style w:type="character" w:customStyle="1" w:styleId="624">
    <w:name w:val="Основной текст (62)_"/>
    <w:link w:val="625"/>
    <w:rsid w:val="00D90D46"/>
    <w:rPr>
      <w:rFonts w:ascii="David" w:hAnsi="David" w:cs="David"/>
      <w:sz w:val="16"/>
      <w:szCs w:val="16"/>
      <w:shd w:val="clear" w:color="auto" w:fill="FFFFFF"/>
    </w:rPr>
  </w:style>
  <w:style w:type="character" w:customStyle="1" w:styleId="560">
    <w:name w:val="Основной текст (56)_"/>
    <w:link w:val="56"/>
    <w:rsid w:val="00D90D46"/>
    <w:rPr>
      <w:rFonts w:ascii="Sylfaen" w:hAnsi="Sylfaen" w:cs="Sylfaen"/>
      <w:noProof/>
      <w:sz w:val="8"/>
      <w:szCs w:val="8"/>
      <w:shd w:val="clear" w:color="auto" w:fill="FFFFFF"/>
      <w:lang w:val="en-US" w:eastAsia="en-US"/>
    </w:rPr>
  </w:style>
  <w:style w:type="character" w:customStyle="1" w:styleId="632">
    <w:name w:val="Основной текст (63)_"/>
    <w:link w:val="633"/>
    <w:rsid w:val="00D90D46"/>
    <w:rPr>
      <w:rFonts w:ascii="Arial Narrow" w:hAnsi="Arial Narrow" w:cs="Arial Narrow"/>
      <w:sz w:val="10"/>
      <w:szCs w:val="10"/>
      <w:shd w:val="clear" w:color="auto" w:fill="FFFFFF"/>
    </w:rPr>
  </w:style>
  <w:style w:type="paragraph" w:customStyle="1" w:styleId="501">
    <w:name w:val="Основной текст (50)"/>
    <w:basedOn w:val="a0"/>
    <w:link w:val="500"/>
    <w:rsid w:val="00D90D46"/>
    <w:pPr>
      <w:shd w:val="clear" w:color="auto" w:fill="FFFFFF"/>
      <w:spacing w:after="0" w:line="240" w:lineRule="atLeast"/>
    </w:pPr>
    <w:rPr>
      <w:rFonts w:ascii="Arial" w:hAnsi="Arial" w:cs="Arial"/>
      <w:sz w:val="11"/>
      <w:szCs w:val="11"/>
      <w:lang w:eastAsia="ru-RU"/>
    </w:rPr>
  </w:style>
  <w:style w:type="paragraph" w:customStyle="1" w:styleId="591">
    <w:name w:val="Основной текст (59)"/>
    <w:basedOn w:val="a0"/>
    <w:link w:val="590"/>
    <w:rsid w:val="00D90D46"/>
    <w:pPr>
      <w:shd w:val="clear" w:color="auto" w:fill="FFFFFF"/>
      <w:spacing w:after="0" w:line="240" w:lineRule="atLeast"/>
    </w:pPr>
    <w:rPr>
      <w:rFonts w:ascii="Arial" w:hAnsi="Arial" w:cs="Arial"/>
      <w:spacing w:val="-10"/>
      <w:sz w:val="15"/>
      <w:szCs w:val="15"/>
      <w:lang w:eastAsia="ru-RU"/>
    </w:rPr>
  </w:style>
  <w:style w:type="paragraph" w:customStyle="1" w:styleId="601">
    <w:name w:val="Основной текст (60)"/>
    <w:basedOn w:val="a0"/>
    <w:link w:val="600"/>
    <w:rsid w:val="00D90D46"/>
    <w:pPr>
      <w:shd w:val="clear" w:color="auto" w:fill="FFFFFF"/>
      <w:spacing w:after="360" w:line="240" w:lineRule="atLeast"/>
    </w:pPr>
    <w:rPr>
      <w:rFonts w:ascii="Franklin Gothic Book" w:hAnsi="Franklin Gothic Book" w:cs="Franklin Gothic Book"/>
      <w:sz w:val="11"/>
      <w:szCs w:val="11"/>
      <w:lang w:eastAsia="ru-RU"/>
    </w:rPr>
  </w:style>
  <w:style w:type="paragraph" w:customStyle="1" w:styleId="614">
    <w:name w:val="Основной текст (61)"/>
    <w:basedOn w:val="a0"/>
    <w:link w:val="613"/>
    <w:rsid w:val="00D90D46"/>
    <w:pPr>
      <w:shd w:val="clear" w:color="auto" w:fill="FFFFFF"/>
      <w:spacing w:before="360" w:after="360" w:line="240" w:lineRule="atLeast"/>
    </w:pPr>
    <w:rPr>
      <w:rFonts w:ascii="MS Reference Sans Serif" w:hAnsi="MS Reference Sans Serif" w:cs="MS Reference Sans Serif"/>
      <w:spacing w:val="-10"/>
      <w:sz w:val="12"/>
      <w:szCs w:val="12"/>
      <w:lang w:eastAsia="ru-RU"/>
    </w:rPr>
  </w:style>
  <w:style w:type="paragraph" w:customStyle="1" w:styleId="625">
    <w:name w:val="Основной текст (62)"/>
    <w:basedOn w:val="a0"/>
    <w:link w:val="624"/>
    <w:rsid w:val="00D90D46"/>
    <w:pPr>
      <w:shd w:val="clear" w:color="auto" w:fill="FFFFFF"/>
      <w:spacing w:before="360" w:after="0" w:line="240" w:lineRule="atLeast"/>
    </w:pPr>
    <w:rPr>
      <w:rFonts w:ascii="David" w:hAnsi="David" w:cs="David"/>
      <w:sz w:val="16"/>
      <w:szCs w:val="16"/>
      <w:lang w:eastAsia="ru-RU"/>
    </w:rPr>
  </w:style>
  <w:style w:type="paragraph" w:customStyle="1" w:styleId="633">
    <w:name w:val="Основной текст (63)"/>
    <w:basedOn w:val="a0"/>
    <w:link w:val="632"/>
    <w:rsid w:val="00D90D46"/>
    <w:pPr>
      <w:shd w:val="clear" w:color="auto" w:fill="FFFFFF"/>
      <w:spacing w:after="0" w:line="240" w:lineRule="atLeast"/>
    </w:pPr>
    <w:rPr>
      <w:rFonts w:ascii="Arial Narrow" w:hAnsi="Arial Narrow" w:cs="Arial Narrow"/>
      <w:sz w:val="10"/>
      <w:szCs w:val="10"/>
      <w:lang w:eastAsia="ru-RU"/>
    </w:rPr>
  </w:style>
  <w:style w:type="character" w:customStyle="1" w:styleId="641">
    <w:name w:val="Основной текст (64)_"/>
    <w:link w:val="642"/>
    <w:rsid w:val="00D90D46"/>
    <w:rPr>
      <w:rFonts w:ascii="Franklin Gothic Book" w:hAnsi="Franklin Gothic Book" w:cs="Franklin Gothic Book"/>
      <w:noProof/>
      <w:sz w:val="8"/>
      <w:szCs w:val="8"/>
      <w:shd w:val="clear" w:color="auto" w:fill="FFFFFF"/>
    </w:rPr>
  </w:style>
  <w:style w:type="character" w:customStyle="1" w:styleId="651">
    <w:name w:val="Основной текст (65)_"/>
    <w:link w:val="652"/>
    <w:rsid w:val="00D90D46"/>
    <w:rPr>
      <w:rFonts w:ascii="Franklin Gothic Book" w:hAnsi="Franklin Gothic Book" w:cs="Franklin Gothic Book"/>
      <w:noProof/>
      <w:sz w:val="8"/>
      <w:szCs w:val="8"/>
      <w:shd w:val="clear" w:color="auto" w:fill="FFFFFF"/>
    </w:rPr>
  </w:style>
  <w:style w:type="character" w:customStyle="1" w:styleId="660">
    <w:name w:val="Основной текст (66)_"/>
    <w:link w:val="661"/>
    <w:rsid w:val="00D90D46"/>
    <w:rPr>
      <w:rFonts w:ascii="Arial Narrow" w:hAnsi="Arial Narrow" w:cs="Arial Narrow"/>
      <w:sz w:val="9"/>
      <w:szCs w:val="9"/>
      <w:shd w:val="clear" w:color="auto" w:fill="FFFFFF"/>
    </w:rPr>
  </w:style>
  <w:style w:type="character" w:customStyle="1" w:styleId="680">
    <w:name w:val="Основной текст (68)_"/>
    <w:link w:val="681"/>
    <w:rsid w:val="00D90D46"/>
    <w:rPr>
      <w:rFonts w:ascii="Courier New" w:hAnsi="Courier New" w:cs="Courier New"/>
      <w:noProof/>
      <w:sz w:val="11"/>
      <w:szCs w:val="11"/>
      <w:shd w:val="clear" w:color="auto" w:fill="FFFFFF"/>
    </w:rPr>
  </w:style>
  <w:style w:type="paragraph" w:customStyle="1" w:styleId="642">
    <w:name w:val="Основной текст (64)"/>
    <w:basedOn w:val="a0"/>
    <w:link w:val="641"/>
    <w:rsid w:val="00D90D46"/>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2">
    <w:name w:val="Основной текст (65)"/>
    <w:basedOn w:val="a0"/>
    <w:link w:val="651"/>
    <w:rsid w:val="00D90D46"/>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61">
    <w:name w:val="Основной текст (66)"/>
    <w:basedOn w:val="a0"/>
    <w:link w:val="660"/>
    <w:rsid w:val="00D90D46"/>
    <w:pPr>
      <w:shd w:val="clear" w:color="auto" w:fill="FFFFFF"/>
      <w:spacing w:after="0" w:line="240" w:lineRule="atLeast"/>
    </w:pPr>
    <w:rPr>
      <w:rFonts w:ascii="Arial Narrow" w:hAnsi="Arial Narrow" w:cs="Arial Narrow"/>
      <w:sz w:val="9"/>
      <w:szCs w:val="9"/>
      <w:lang w:eastAsia="ru-RU"/>
    </w:rPr>
  </w:style>
  <w:style w:type="paragraph" w:customStyle="1" w:styleId="681">
    <w:name w:val="Основной текст (68)"/>
    <w:basedOn w:val="a0"/>
    <w:link w:val="680"/>
    <w:rsid w:val="00D90D46"/>
    <w:pPr>
      <w:shd w:val="clear" w:color="auto" w:fill="FFFFFF"/>
      <w:spacing w:after="0" w:line="240" w:lineRule="atLeast"/>
    </w:pPr>
    <w:rPr>
      <w:rFonts w:ascii="Courier New" w:hAnsi="Courier New" w:cs="Courier New"/>
      <w:noProof/>
      <w:sz w:val="11"/>
      <w:szCs w:val="11"/>
      <w:lang w:eastAsia="ru-RU"/>
    </w:rPr>
  </w:style>
  <w:style w:type="character" w:customStyle="1" w:styleId="540">
    <w:name w:val="Основной текст (54)_"/>
    <w:link w:val="54"/>
    <w:rsid w:val="00D90D46"/>
    <w:rPr>
      <w:rFonts w:ascii="Consolas" w:hAnsi="Consolas" w:cs="Consolas"/>
      <w:noProof/>
      <w:sz w:val="8"/>
      <w:szCs w:val="8"/>
      <w:shd w:val="clear" w:color="auto" w:fill="FFFFFF"/>
      <w:lang w:val="en-US" w:eastAsia="en-US"/>
    </w:rPr>
  </w:style>
  <w:style w:type="character" w:customStyle="1" w:styleId="12Tahoma45pt">
    <w:name w:val="Основной текст (12) + Tahoma;4;5 pt;Курсив"/>
    <w:rsid w:val="00D90D46"/>
    <w:rPr>
      <w:rFonts w:ascii="Tahoma" w:eastAsia="Tahoma" w:hAnsi="Tahoma" w:cs="Tahoma"/>
      <w:b w:val="0"/>
      <w:bCs w:val="0"/>
      <w:i/>
      <w:iCs/>
      <w:smallCaps w:val="0"/>
      <w:strike w:val="0"/>
      <w:noProof/>
      <w:spacing w:val="0"/>
      <w:sz w:val="9"/>
      <w:szCs w:val="9"/>
      <w:shd w:val="clear" w:color="auto" w:fill="FFFFFF"/>
    </w:rPr>
  </w:style>
  <w:style w:type="character" w:customStyle="1" w:styleId="700">
    <w:name w:val="Основной текст (70)_"/>
    <w:link w:val="701"/>
    <w:rsid w:val="00D90D46"/>
    <w:rPr>
      <w:rFonts w:ascii="Franklin Gothic Book" w:hAnsi="Franklin Gothic Book" w:cs="Franklin Gothic Book"/>
      <w:noProof/>
      <w:sz w:val="8"/>
      <w:szCs w:val="8"/>
      <w:shd w:val="clear" w:color="auto" w:fill="FFFFFF"/>
    </w:rPr>
  </w:style>
  <w:style w:type="paragraph" w:customStyle="1" w:styleId="701">
    <w:name w:val="Основной текст (70)"/>
    <w:basedOn w:val="a0"/>
    <w:link w:val="700"/>
    <w:rsid w:val="00D90D46"/>
    <w:pPr>
      <w:shd w:val="clear" w:color="auto" w:fill="FFFFFF"/>
      <w:spacing w:after="0" w:line="240" w:lineRule="atLeast"/>
      <w:jc w:val="center"/>
    </w:pPr>
    <w:rPr>
      <w:rFonts w:ascii="Franklin Gothic Book" w:hAnsi="Franklin Gothic Book" w:cs="Franklin Gothic Book"/>
      <w:noProof/>
      <w:sz w:val="8"/>
      <w:szCs w:val="8"/>
      <w:lang w:eastAsia="ru-RU"/>
    </w:rPr>
  </w:style>
  <w:style w:type="character" w:customStyle="1" w:styleId="afffffd">
    <w:name w:val="Основной текст + Полужирный;Курсив"/>
    <w:rsid w:val="00D90D46"/>
    <w:rPr>
      <w:rFonts w:ascii="Arial Narrow" w:eastAsia="Arial Narrow" w:hAnsi="Arial Narrow" w:cs="Arial Narrow"/>
      <w:b/>
      <w:bCs/>
      <w:i/>
      <w:iCs/>
      <w:smallCaps w:val="0"/>
      <w:strike w:val="0"/>
      <w:spacing w:val="0"/>
      <w:sz w:val="18"/>
      <w:szCs w:val="18"/>
      <w:shd w:val="clear" w:color="auto" w:fill="FFFFFF"/>
    </w:rPr>
  </w:style>
  <w:style w:type="character" w:customStyle="1" w:styleId="702">
    <w:name w:val="Основной текст (70) + Полужирный"/>
    <w:rsid w:val="00D90D46"/>
    <w:rPr>
      <w:rFonts w:ascii="Arial Narrow" w:eastAsia="Arial Narrow" w:hAnsi="Arial Narrow" w:cs="Arial Narrow"/>
      <w:b/>
      <w:bCs/>
      <w:i w:val="0"/>
      <w:iCs w:val="0"/>
      <w:smallCaps w:val="0"/>
      <w:strike w:val="0"/>
      <w:noProof/>
      <w:spacing w:val="0"/>
      <w:w w:val="100"/>
      <w:sz w:val="36"/>
      <w:szCs w:val="36"/>
      <w:shd w:val="clear" w:color="auto" w:fill="FFFFFF"/>
    </w:rPr>
  </w:style>
  <w:style w:type="character" w:customStyle="1" w:styleId="88">
    <w:name w:val="Основной текст + Курсив8"/>
    <w:uiPriority w:val="99"/>
    <w:rsid w:val="00D90D46"/>
    <w:rPr>
      <w:rFonts w:ascii="Arial Narrow" w:hAnsi="Arial Narrow" w:cs="Arial Narrow"/>
      <w:i/>
      <w:iCs/>
      <w:spacing w:val="0"/>
      <w:sz w:val="18"/>
      <w:szCs w:val="18"/>
      <w:shd w:val="clear" w:color="auto" w:fill="FFFFFF"/>
    </w:rPr>
  </w:style>
  <w:style w:type="character" w:customStyle="1" w:styleId="914">
    <w:name w:val="Основной текст + 914"/>
    <w:aliases w:val="5 pt61,Полужирный61,Интервал 0 pt43"/>
    <w:uiPriority w:val="99"/>
    <w:rsid w:val="00D90D46"/>
    <w:rPr>
      <w:rFonts w:ascii="Arial Narrow" w:hAnsi="Arial Narrow" w:cs="Arial Narrow"/>
      <w:b/>
      <w:bCs/>
      <w:spacing w:val="-10"/>
      <w:sz w:val="19"/>
      <w:szCs w:val="19"/>
      <w:shd w:val="clear" w:color="auto" w:fill="FFFFFF"/>
    </w:rPr>
  </w:style>
  <w:style w:type="paragraph" w:customStyle="1" w:styleId="911">
    <w:name w:val="Основной текст (9)1"/>
    <w:basedOn w:val="a0"/>
    <w:uiPriority w:val="99"/>
    <w:rsid w:val="00D90D46"/>
    <w:pPr>
      <w:shd w:val="clear" w:color="auto" w:fill="FFFFFF"/>
      <w:spacing w:after="60" w:line="240" w:lineRule="atLeast"/>
    </w:pPr>
    <w:rPr>
      <w:rFonts w:ascii="Arial" w:eastAsia="Arial Unicode MS" w:hAnsi="Arial" w:cs="Arial"/>
      <w:i/>
      <w:iCs/>
      <w:sz w:val="15"/>
      <w:szCs w:val="15"/>
      <w:lang w:eastAsia="ru-RU"/>
    </w:rPr>
  </w:style>
  <w:style w:type="character" w:customStyle="1" w:styleId="229">
    <w:name w:val="Основной текст22"/>
    <w:rsid w:val="00D90D46"/>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22SimHei8pt">
    <w:name w:val="Основной текст (22) + SimHei;8 pt"/>
    <w:rsid w:val="00D90D46"/>
    <w:rPr>
      <w:rFonts w:ascii="SimHei" w:eastAsia="SimHei" w:hAnsi="SimHei" w:cs="SimHei"/>
      <w:b w:val="0"/>
      <w:bCs w:val="0"/>
      <w:i w:val="0"/>
      <w:iCs w:val="0"/>
      <w:smallCaps w:val="0"/>
      <w:strike w:val="0"/>
      <w:spacing w:val="0"/>
      <w:sz w:val="16"/>
      <w:szCs w:val="16"/>
      <w:shd w:val="clear" w:color="auto" w:fill="FFFFFF"/>
    </w:rPr>
  </w:style>
  <w:style w:type="character" w:customStyle="1" w:styleId="217">
    <w:name w:val="Основной текст21"/>
    <w:rsid w:val="00D90D46"/>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afffffe">
    <w:name w:val="Оглавление_"/>
    <w:rsid w:val="00D90D46"/>
    <w:rPr>
      <w:rFonts w:ascii="Arial Narrow" w:hAnsi="Arial Narrow" w:cs="Arial Narrow"/>
      <w:sz w:val="18"/>
      <w:szCs w:val="18"/>
      <w:shd w:val="clear" w:color="auto" w:fill="FFFFFF"/>
    </w:rPr>
  </w:style>
  <w:style w:type="character" w:customStyle="1" w:styleId="MSReferenceSansSerif0">
    <w:name w:val="Колонтитул + MS Reference Sans Serif"/>
    <w:aliases w:val="8 pt4,Полужирный18,Интервал 0 pt12,Подпись к картинке + Century Gothic1"/>
    <w:uiPriority w:val="99"/>
    <w:rsid w:val="00D90D46"/>
    <w:rPr>
      <w:rFonts w:ascii="MS Reference Sans Serif" w:eastAsia="Times New Roman" w:hAnsi="MS Reference Sans Serif" w:cs="MS Reference Sans Serif"/>
      <w:b/>
      <w:bCs/>
      <w:i w:val="0"/>
      <w:iCs w:val="0"/>
      <w:smallCaps w:val="0"/>
      <w:strike w:val="0"/>
      <w:spacing w:val="-10"/>
      <w:sz w:val="16"/>
      <w:szCs w:val="16"/>
    </w:rPr>
  </w:style>
  <w:style w:type="character" w:customStyle="1" w:styleId="263">
    <w:name w:val="Основной текст (26)_"/>
    <w:link w:val="264"/>
    <w:rsid w:val="00D90D46"/>
    <w:rPr>
      <w:rFonts w:ascii="Arial Narrow" w:hAnsi="Arial Narrow" w:cs="Arial Narrow"/>
      <w:sz w:val="29"/>
      <w:szCs w:val="29"/>
      <w:shd w:val="clear" w:color="auto" w:fill="FFFFFF"/>
    </w:rPr>
  </w:style>
  <w:style w:type="paragraph" w:customStyle="1" w:styleId="264">
    <w:name w:val="Основной текст (26)"/>
    <w:basedOn w:val="a0"/>
    <w:link w:val="263"/>
    <w:rsid w:val="00D90D46"/>
    <w:pPr>
      <w:shd w:val="clear" w:color="auto" w:fill="FFFFFF"/>
      <w:spacing w:after="0" w:line="240" w:lineRule="atLeast"/>
    </w:pPr>
    <w:rPr>
      <w:rFonts w:ascii="Arial Narrow" w:hAnsi="Arial Narrow" w:cs="Arial Narrow"/>
      <w:sz w:val="29"/>
      <w:szCs w:val="29"/>
      <w:lang w:eastAsia="ru-RU"/>
    </w:rPr>
  </w:style>
  <w:style w:type="character" w:customStyle="1" w:styleId="40pt0">
    <w:name w:val="Основной текст (4) + Полужирный;Интервал 0 pt"/>
    <w:rsid w:val="00D90D46"/>
    <w:rPr>
      <w:rFonts w:ascii="Arial Narrow" w:eastAsia="Arial Narrow" w:hAnsi="Arial Narrow" w:cs="Arial Narrow"/>
      <w:b/>
      <w:bCs/>
      <w:i w:val="0"/>
      <w:iCs w:val="0"/>
      <w:smallCaps w:val="0"/>
      <w:strike w:val="0"/>
      <w:spacing w:val="-10"/>
      <w:sz w:val="18"/>
      <w:szCs w:val="18"/>
      <w:shd w:val="clear" w:color="auto" w:fill="FFFFFF"/>
      <w:lang w:eastAsia="en-US"/>
    </w:rPr>
  </w:style>
  <w:style w:type="character" w:customStyle="1" w:styleId="47pt">
    <w:name w:val="Основной текст (4) + 7 pt;Полужирный;Не курсив"/>
    <w:rsid w:val="00D90D46"/>
    <w:rPr>
      <w:rFonts w:ascii="Arial" w:eastAsia="Arial" w:hAnsi="Arial" w:cs="Arial"/>
      <w:b/>
      <w:bCs/>
      <w:i/>
      <w:iCs/>
      <w:smallCaps w:val="0"/>
      <w:strike w:val="0"/>
      <w:spacing w:val="0"/>
      <w:sz w:val="14"/>
      <w:szCs w:val="14"/>
      <w:shd w:val="clear" w:color="auto" w:fill="FFFFFF"/>
      <w:lang w:eastAsia="en-US"/>
    </w:rPr>
  </w:style>
  <w:style w:type="character" w:customStyle="1" w:styleId="75pt">
    <w:name w:val="Основной текст + 7;5 pt"/>
    <w:rsid w:val="00D90D46"/>
    <w:rPr>
      <w:rFonts w:ascii="Arial" w:eastAsia="Arial" w:hAnsi="Arial" w:cs="Arial"/>
      <w:b w:val="0"/>
      <w:bCs w:val="0"/>
      <w:i w:val="0"/>
      <w:iCs w:val="0"/>
      <w:smallCaps w:val="0"/>
      <w:strike w:val="0"/>
      <w:spacing w:val="0"/>
      <w:sz w:val="15"/>
      <w:szCs w:val="15"/>
      <w:shd w:val="clear" w:color="auto" w:fill="FFFFFF"/>
    </w:rPr>
  </w:style>
  <w:style w:type="character" w:customStyle="1" w:styleId="885pt">
    <w:name w:val="Основной текст (8) + 8;5 pt"/>
    <w:rsid w:val="00D90D46"/>
    <w:rPr>
      <w:rFonts w:ascii="Arial" w:eastAsia="Arial" w:hAnsi="Arial" w:cs="Arial"/>
      <w:b w:val="0"/>
      <w:bCs w:val="0"/>
      <w:i w:val="0"/>
      <w:iCs w:val="0"/>
      <w:smallCaps w:val="0"/>
      <w:strike w:val="0"/>
      <w:spacing w:val="0"/>
      <w:sz w:val="17"/>
      <w:szCs w:val="17"/>
      <w:shd w:val="clear" w:color="auto" w:fill="FFFFFF"/>
    </w:rPr>
  </w:style>
  <w:style w:type="character" w:customStyle="1" w:styleId="9pt0">
    <w:name w:val="Основной текст + 9 pt;Полужирный"/>
    <w:rsid w:val="00D90D46"/>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3">
    <w:name w:val="Основной текст + Полужирный;Курсив;Интервал 0 pt"/>
    <w:rsid w:val="00D90D46"/>
    <w:rPr>
      <w:rFonts w:ascii="Arial Narrow" w:eastAsia="Arial Narrow" w:hAnsi="Arial Narrow" w:cs="Arial Narrow"/>
      <w:b/>
      <w:bCs/>
      <w:i/>
      <w:iCs/>
      <w:smallCaps w:val="0"/>
      <w:strike w:val="0"/>
      <w:spacing w:val="-10"/>
      <w:sz w:val="18"/>
      <w:szCs w:val="18"/>
      <w:shd w:val="clear" w:color="auto" w:fill="FFFFFF"/>
    </w:rPr>
  </w:style>
  <w:style w:type="character" w:customStyle="1" w:styleId="PalatinoLinotype9pt">
    <w:name w:val="Основной текст + Palatino Linotype;9 pt;Полужирный"/>
    <w:rsid w:val="00D90D46"/>
    <w:rPr>
      <w:rFonts w:ascii="Palatino Linotype" w:eastAsia="Palatino Linotype" w:hAnsi="Palatino Linotype" w:cs="Palatino Linotype"/>
      <w:b/>
      <w:bCs/>
      <w:i w:val="0"/>
      <w:iCs w:val="0"/>
      <w:smallCaps w:val="0"/>
      <w:strike w:val="0"/>
      <w:spacing w:val="0"/>
      <w:sz w:val="18"/>
      <w:szCs w:val="18"/>
      <w:shd w:val="clear" w:color="auto" w:fill="FFFFFF"/>
    </w:rPr>
  </w:style>
  <w:style w:type="character" w:customStyle="1" w:styleId="49pt">
    <w:name w:val="Основной текст (4) + 9 pt;Не курсив"/>
    <w:rsid w:val="00D90D46"/>
    <w:rPr>
      <w:rFonts w:ascii="Arial" w:eastAsia="Arial" w:hAnsi="Arial" w:cs="Arial"/>
      <w:b w:val="0"/>
      <w:bCs w:val="0"/>
      <w:i/>
      <w:iCs/>
      <w:smallCaps w:val="0"/>
      <w:strike w:val="0"/>
      <w:spacing w:val="0"/>
      <w:sz w:val="18"/>
      <w:szCs w:val="18"/>
      <w:shd w:val="clear" w:color="auto" w:fill="FFFFFF"/>
      <w:lang w:eastAsia="en-US"/>
    </w:rPr>
  </w:style>
  <w:style w:type="character" w:customStyle="1" w:styleId="108">
    <w:name w:val="Основной текст (10)_"/>
    <w:link w:val="109"/>
    <w:rsid w:val="00D90D46"/>
    <w:rPr>
      <w:rFonts w:ascii="Times New Roman" w:eastAsia="Times New Roman" w:hAnsi="Times New Roman"/>
      <w:shd w:val="clear" w:color="auto" w:fill="FFFFFF"/>
    </w:rPr>
  </w:style>
  <w:style w:type="paragraph" w:customStyle="1" w:styleId="109">
    <w:name w:val="Основной текст (10)"/>
    <w:basedOn w:val="a0"/>
    <w:link w:val="108"/>
    <w:rsid w:val="00D90D46"/>
    <w:pPr>
      <w:shd w:val="clear" w:color="auto" w:fill="FFFFFF"/>
      <w:spacing w:after="0" w:line="0" w:lineRule="atLeast"/>
    </w:pPr>
    <w:rPr>
      <w:rFonts w:ascii="Times New Roman" w:eastAsia="Times New Roman" w:hAnsi="Times New Roman"/>
      <w:sz w:val="20"/>
      <w:szCs w:val="20"/>
      <w:lang w:eastAsia="ru-RU"/>
    </w:rPr>
  </w:style>
  <w:style w:type="character" w:customStyle="1" w:styleId="9pt0pt">
    <w:name w:val="Основной текст + 9 pt;Полужирный;Интервал 0 pt"/>
    <w:rsid w:val="00D90D46"/>
    <w:rPr>
      <w:rFonts w:ascii="Arial" w:eastAsia="Arial" w:hAnsi="Arial" w:cs="Arial"/>
      <w:b/>
      <w:bCs/>
      <w:i w:val="0"/>
      <w:iCs w:val="0"/>
      <w:smallCaps w:val="0"/>
      <w:strike w:val="0"/>
      <w:spacing w:val="-10"/>
      <w:sz w:val="18"/>
      <w:szCs w:val="18"/>
      <w:shd w:val="clear" w:color="auto" w:fill="FFFFFF"/>
    </w:rPr>
  </w:style>
  <w:style w:type="character" w:customStyle="1" w:styleId="89">
    <w:name w:val="Основной текст (8) + Полужирный"/>
    <w:rsid w:val="00D90D46"/>
    <w:rPr>
      <w:rFonts w:ascii="Arial" w:eastAsia="Arial" w:hAnsi="Arial" w:cs="Arial"/>
      <w:b/>
      <w:bCs/>
      <w:i w:val="0"/>
      <w:iCs w:val="0"/>
      <w:smallCaps w:val="0"/>
      <w:strike w:val="0"/>
      <w:spacing w:val="0"/>
      <w:sz w:val="18"/>
      <w:szCs w:val="18"/>
      <w:shd w:val="clear" w:color="auto" w:fill="FFFFFF"/>
    </w:rPr>
  </w:style>
  <w:style w:type="character" w:customStyle="1" w:styleId="1085pt">
    <w:name w:val="Основной текст (10) + 8;5 pt"/>
    <w:rsid w:val="00D90D46"/>
    <w:rPr>
      <w:rFonts w:ascii="Arial" w:eastAsia="Arial" w:hAnsi="Arial" w:cs="Arial"/>
      <w:spacing w:val="0"/>
      <w:sz w:val="17"/>
      <w:szCs w:val="17"/>
      <w:shd w:val="clear" w:color="auto" w:fill="FFFFFF"/>
    </w:rPr>
  </w:style>
  <w:style w:type="character" w:customStyle="1" w:styleId="812pt70">
    <w:name w:val="Основной текст (8) + 12 pt;Масштаб 70%"/>
    <w:rsid w:val="00D90D46"/>
    <w:rPr>
      <w:rFonts w:ascii="Arial" w:eastAsia="Arial" w:hAnsi="Arial" w:cs="Arial"/>
      <w:b w:val="0"/>
      <w:bCs w:val="0"/>
      <w:i w:val="0"/>
      <w:iCs w:val="0"/>
      <w:smallCaps w:val="0"/>
      <w:strike w:val="0"/>
      <w:spacing w:val="0"/>
      <w:w w:val="70"/>
      <w:sz w:val="24"/>
      <w:szCs w:val="24"/>
      <w:shd w:val="clear" w:color="auto" w:fill="FFFFFF"/>
    </w:rPr>
  </w:style>
  <w:style w:type="character" w:customStyle="1" w:styleId="ArialBlack11pt-1pt">
    <w:name w:val="Основной текст + Arial Black;11 pt;Интервал -1 pt"/>
    <w:rsid w:val="00D90D46"/>
    <w:rPr>
      <w:rFonts w:ascii="Arial Black" w:eastAsia="Arial Black" w:hAnsi="Arial Black" w:cs="Arial Black"/>
      <w:b w:val="0"/>
      <w:bCs w:val="0"/>
      <w:i w:val="0"/>
      <w:iCs w:val="0"/>
      <w:smallCaps w:val="0"/>
      <w:strike w:val="0"/>
      <w:spacing w:val="-20"/>
      <w:w w:val="100"/>
      <w:sz w:val="22"/>
      <w:szCs w:val="22"/>
      <w:shd w:val="clear" w:color="auto" w:fill="FFFFFF"/>
      <w:lang w:val="en-US"/>
    </w:rPr>
  </w:style>
  <w:style w:type="character" w:customStyle="1" w:styleId="2400">
    <w:name w:val="Основной текст (2) + Не курсив40"/>
    <w:uiPriority w:val="99"/>
    <w:rsid w:val="00D90D46"/>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1a">
    <w:name w:val="Основной текст + Курсив31"/>
    <w:uiPriority w:val="99"/>
    <w:rsid w:val="00D90D46"/>
    <w:rPr>
      <w:rFonts w:ascii="Arial Narrow" w:hAnsi="Arial Narrow" w:cs="Arial Narrow"/>
      <w:i/>
      <w:iCs/>
      <w:spacing w:val="0"/>
      <w:sz w:val="18"/>
      <w:szCs w:val="18"/>
      <w:shd w:val="clear" w:color="auto" w:fill="FFFFFF"/>
    </w:rPr>
  </w:style>
  <w:style w:type="character" w:customStyle="1" w:styleId="305">
    <w:name w:val="Основной текст + Курсив30"/>
    <w:aliases w:val="Интервал 0 pt56"/>
    <w:uiPriority w:val="99"/>
    <w:rsid w:val="00D90D46"/>
    <w:rPr>
      <w:rFonts w:ascii="Arial Narrow" w:hAnsi="Arial Narrow" w:cs="Arial Narrow"/>
      <w:i/>
      <w:iCs/>
      <w:spacing w:val="0"/>
      <w:sz w:val="18"/>
      <w:szCs w:val="18"/>
      <w:shd w:val="clear" w:color="auto" w:fill="FFFFFF"/>
    </w:rPr>
  </w:style>
  <w:style w:type="character" w:customStyle="1" w:styleId="7TimesNewRoman1">
    <w:name w:val="Основной текст (7) + Times New Roman1"/>
    <w:aliases w:val="8 pt1,Не полужирный4,Интервал -1 pt1,Заголовок №5 + Century Gothic,Основной текст + Полужирный2,Курсив3"/>
    <w:uiPriority w:val="99"/>
    <w:rsid w:val="00D90D46"/>
    <w:rPr>
      <w:rFonts w:ascii="Times New Roman" w:eastAsia="Times New Roman" w:hAnsi="Times New Roman" w:cs="Times New Roman"/>
      <w:b w:val="0"/>
      <w:bCs w:val="0"/>
      <w:i w:val="0"/>
      <w:iCs w:val="0"/>
      <w:smallCaps w:val="0"/>
      <w:strike/>
      <w:spacing w:val="-20"/>
      <w:sz w:val="16"/>
      <w:szCs w:val="16"/>
    </w:rPr>
  </w:style>
  <w:style w:type="paragraph" w:customStyle="1" w:styleId="no-results">
    <w:name w:val="no-results"/>
    <w:basedOn w:val="a0"/>
    <w:rsid w:val="00D90D46"/>
    <w:pPr>
      <w:pBdr>
        <w:bottom w:val="single" w:sz="6" w:space="20" w:color="DDDDDD"/>
      </w:pBdr>
      <w:spacing w:after="390" w:line="240" w:lineRule="auto"/>
    </w:pPr>
    <w:rPr>
      <w:rFonts w:ascii="Times New Roman" w:eastAsia="Times New Roman" w:hAnsi="Times New Roman"/>
      <w:sz w:val="24"/>
      <w:szCs w:val="24"/>
      <w:lang w:eastAsia="ru-RU"/>
    </w:rPr>
  </w:style>
  <w:style w:type="character" w:customStyle="1" w:styleId="Bodytext14">
    <w:name w:val="Body text (14)_"/>
    <w:link w:val="Bodytext141"/>
    <w:uiPriority w:val="99"/>
    <w:rsid w:val="008D722B"/>
    <w:rPr>
      <w:rFonts w:ascii="Times New Roman" w:hAnsi="Times New Roman"/>
      <w:i/>
      <w:iCs/>
      <w:sz w:val="21"/>
      <w:szCs w:val="21"/>
      <w:shd w:val="clear" w:color="auto" w:fill="FFFFFF"/>
    </w:rPr>
  </w:style>
  <w:style w:type="paragraph" w:customStyle="1" w:styleId="Bodytext141">
    <w:name w:val="Body text (14)1"/>
    <w:basedOn w:val="a0"/>
    <w:link w:val="Bodytext14"/>
    <w:uiPriority w:val="99"/>
    <w:rsid w:val="008D722B"/>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20">
    <w:name w:val="Body text (2)_"/>
    <w:link w:val="Bodytext21"/>
    <w:uiPriority w:val="99"/>
    <w:rsid w:val="008D722B"/>
    <w:rPr>
      <w:rFonts w:ascii="Times New Roman" w:eastAsia="Times New Roman" w:hAnsi="Times New Roman" w:cs="Times New Roman"/>
      <w:sz w:val="21"/>
      <w:szCs w:val="21"/>
      <w:shd w:val="clear" w:color="auto" w:fill="FFFFFF"/>
    </w:rPr>
  </w:style>
  <w:style w:type="character" w:customStyle="1" w:styleId="Bodytext14NotItalic14">
    <w:name w:val="Body text (14) + Not Italic14"/>
    <w:uiPriority w:val="99"/>
    <w:rsid w:val="008D722B"/>
    <w:rPr>
      <w:rFonts w:ascii="Times New Roman" w:hAnsi="Times New Roman" w:cs="Times New Roman"/>
      <w:i w:val="0"/>
      <w:iCs w:val="0"/>
      <w:spacing w:val="0"/>
      <w:sz w:val="21"/>
      <w:szCs w:val="21"/>
      <w:shd w:val="clear" w:color="auto" w:fill="FFFFFF"/>
    </w:rPr>
  </w:style>
  <w:style w:type="character" w:customStyle="1" w:styleId="Bodytext145">
    <w:name w:val="Body text (14)5"/>
    <w:uiPriority w:val="99"/>
    <w:rsid w:val="008D722B"/>
  </w:style>
  <w:style w:type="paragraph" w:customStyle="1" w:styleId="162">
    <w:name w:val="Основной текст16"/>
    <w:basedOn w:val="a0"/>
    <w:rsid w:val="008D722B"/>
    <w:pPr>
      <w:shd w:val="clear" w:color="auto" w:fill="FFFFFF"/>
      <w:spacing w:after="0" w:line="0" w:lineRule="atLeast"/>
    </w:pPr>
    <w:rPr>
      <w:rFonts w:ascii="Times New Roman" w:eastAsia="Times New Roman" w:hAnsi="Times New Roman"/>
      <w:sz w:val="21"/>
      <w:szCs w:val="21"/>
    </w:rPr>
  </w:style>
  <w:style w:type="character" w:customStyle="1" w:styleId="Bodytext17">
    <w:name w:val="Body text (17)"/>
    <w:rsid w:val="008D722B"/>
    <w:rPr>
      <w:rFonts w:ascii="Times New Roman" w:eastAsia="Times New Roman" w:hAnsi="Times New Roman" w:cs="Times New Roman"/>
      <w:b w:val="0"/>
      <w:bCs w:val="0"/>
      <w:i w:val="0"/>
      <w:iCs w:val="0"/>
      <w:smallCaps w:val="0"/>
      <w:strike w:val="0"/>
      <w:spacing w:val="0"/>
      <w:sz w:val="17"/>
      <w:szCs w:val="17"/>
    </w:rPr>
  </w:style>
  <w:style w:type="character" w:customStyle="1" w:styleId="Bodytext32">
    <w:name w:val="Body text (32)_"/>
    <w:link w:val="Bodytext320"/>
    <w:rsid w:val="00090542"/>
    <w:rPr>
      <w:rFonts w:ascii="Times New Roman" w:hAnsi="Times New Roman"/>
      <w:noProof/>
      <w:sz w:val="8"/>
      <w:szCs w:val="8"/>
      <w:shd w:val="clear" w:color="auto" w:fill="FFFFFF"/>
    </w:rPr>
  </w:style>
  <w:style w:type="paragraph" w:customStyle="1" w:styleId="Bodytext320">
    <w:name w:val="Body text (32)"/>
    <w:basedOn w:val="a0"/>
    <w:link w:val="Bodytext32"/>
    <w:rsid w:val="00090542"/>
    <w:pPr>
      <w:shd w:val="clear" w:color="auto" w:fill="FFFFFF"/>
      <w:spacing w:after="0" w:line="240" w:lineRule="atLeast"/>
    </w:pPr>
    <w:rPr>
      <w:rFonts w:ascii="Times New Roman" w:hAnsi="Times New Roman"/>
      <w:noProof/>
      <w:sz w:val="8"/>
      <w:szCs w:val="8"/>
      <w:lang w:eastAsia="ru-RU"/>
    </w:rPr>
  </w:style>
  <w:style w:type="character" w:customStyle="1" w:styleId="BodytextTahoma3">
    <w:name w:val="Body text + Tahoma3"/>
    <w:aliases w:val="8 pt10"/>
    <w:uiPriority w:val="99"/>
    <w:rsid w:val="0025012D"/>
    <w:rPr>
      <w:rFonts w:ascii="Tahoma" w:hAnsi="Tahoma" w:cs="Tahoma"/>
      <w:spacing w:val="0"/>
      <w:sz w:val="16"/>
      <w:szCs w:val="16"/>
    </w:rPr>
  </w:style>
  <w:style w:type="character" w:customStyle="1" w:styleId="Bodytext14NotItalic12">
    <w:name w:val="Body text (14) + Not Italic12"/>
    <w:uiPriority w:val="99"/>
    <w:rsid w:val="0025012D"/>
    <w:rPr>
      <w:rFonts w:ascii="Times New Roman" w:hAnsi="Times New Roman" w:cs="Times New Roman"/>
      <w:i w:val="0"/>
      <w:iCs w:val="0"/>
      <w:spacing w:val="0"/>
      <w:sz w:val="21"/>
      <w:szCs w:val="21"/>
    </w:rPr>
  </w:style>
  <w:style w:type="character" w:customStyle="1" w:styleId="Bodytext14NotItalic11">
    <w:name w:val="Body text (14) + Not Italic11"/>
    <w:uiPriority w:val="99"/>
    <w:rsid w:val="0025012D"/>
    <w:rPr>
      <w:rFonts w:ascii="Times New Roman" w:hAnsi="Times New Roman" w:cs="Times New Roman"/>
      <w:i w:val="0"/>
      <w:iCs w:val="0"/>
      <w:spacing w:val="0"/>
      <w:sz w:val="21"/>
      <w:szCs w:val="21"/>
    </w:rPr>
  </w:style>
  <w:style w:type="character" w:customStyle="1" w:styleId="Bodytext14NotItalic10">
    <w:name w:val="Body text (14) + Not Italic10"/>
    <w:uiPriority w:val="99"/>
    <w:rsid w:val="0025012D"/>
    <w:rPr>
      <w:rFonts w:ascii="Times New Roman" w:hAnsi="Times New Roman" w:cs="Times New Roman"/>
      <w:i w:val="0"/>
      <w:iCs w:val="0"/>
      <w:spacing w:val="0"/>
      <w:sz w:val="21"/>
      <w:szCs w:val="21"/>
    </w:rPr>
  </w:style>
  <w:style w:type="character" w:customStyle="1" w:styleId="Bodytext3">
    <w:name w:val="Body text (3)"/>
    <w:rsid w:val="004F729D"/>
  </w:style>
  <w:style w:type="character" w:customStyle="1" w:styleId="Bodytext37">
    <w:name w:val="Body text (37)_"/>
    <w:link w:val="Bodytext370"/>
    <w:rsid w:val="004F729D"/>
    <w:rPr>
      <w:rFonts w:ascii="MS Gothic" w:eastAsia="MS Gothic" w:hAnsi="MS Gothic" w:cs="MS Gothic"/>
      <w:sz w:val="8"/>
      <w:szCs w:val="8"/>
      <w:shd w:val="clear" w:color="auto" w:fill="FFFFFF"/>
    </w:rPr>
  </w:style>
  <w:style w:type="character" w:customStyle="1" w:styleId="Tablecaption3">
    <w:name w:val="Table caption (3)"/>
    <w:rsid w:val="004F729D"/>
    <w:rPr>
      <w:rFonts w:ascii="Times New Roman" w:eastAsia="Times New Roman" w:hAnsi="Times New Roman" w:cs="Times New Roman"/>
      <w:b w:val="0"/>
      <w:bCs w:val="0"/>
      <w:i w:val="0"/>
      <w:iCs w:val="0"/>
      <w:smallCaps w:val="0"/>
      <w:strike w:val="0"/>
      <w:spacing w:val="0"/>
      <w:sz w:val="17"/>
      <w:szCs w:val="17"/>
    </w:rPr>
  </w:style>
  <w:style w:type="character" w:customStyle="1" w:styleId="Bodytext38">
    <w:name w:val="Body text (38)_"/>
    <w:link w:val="Bodytext380"/>
    <w:rsid w:val="004F729D"/>
    <w:rPr>
      <w:rFonts w:ascii="Arial Narrow" w:eastAsia="Arial Narrow" w:hAnsi="Arial Narrow" w:cs="Arial Narrow"/>
      <w:sz w:val="23"/>
      <w:szCs w:val="23"/>
      <w:shd w:val="clear" w:color="auto" w:fill="FFFFFF"/>
    </w:rPr>
  </w:style>
  <w:style w:type="paragraph" w:customStyle="1" w:styleId="Bodytext370">
    <w:name w:val="Body text (37)"/>
    <w:basedOn w:val="a0"/>
    <w:link w:val="Bodytext37"/>
    <w:rsid w:val="004F729D"/>
    <w:pPr>
      <w:shd w:val="clear" w:color="auto" w:fill="FFFFFF"/>
      <w:spacing w:after="0" w:line="0" w:lineRule="atLeast"/>
    </w:pPr>
    <w:rPr>
      <w:rFonts w:ascii="MS Gothic" w:eastAsia="MS Gothic" w:hAnsi="MS Gothic" w:cs="MS Gothic"/>
      <w:sz w:val="8"/>
      <w:szCs w:val="8"/>
      <w:lang w:eastAsia="ru-RU"/>
    </w:rPr>
  </w:style>
  <w:style w:type="paragraph" w:customStyle="1" w:styleId="Bodytext380">
    <w:name w:val="Body text (38)"/>
    <w:basedOn w:val="a0"/>
    <w:link w:val="Bodytext38"/>
    <w:rsid w:val="004F729D"/>
    <w:pPr>
      <w:shd w:val="clear" w:color="auto" w:fill="FFFFFF"/>
      <w:spacing w:before="300" w:after="0" w:line="254" w:lineRule="exact"/>
      <w:ind w:firstLine="300"/>
      <w:jc w:val="both"/>
    </w:pPr>
    <w:rPr>
      <w:rFonts w:ascii="Arial Narrow" w:eastAsia="Arial Narrow" w:hAnsi="Arial Narrow" w:cs="Arial Narrow"/>
      <w:sz w:val="23"/>
      <w:szCs w:val="23"/>
      <w:lang w:eastAsia="ru-RU"/>
    </w:rPr>
  </w:style>
  <w:style w:type="character" w:customStyle="1" w:styleId="Bodytext2ArialNarrowBold">
    <w:name w:val="Body text (2) + Arial Narrow;Bold"/>
    <w:rsid w:val="00CB6E72"/>
    <w:rPr>
      <w:rFonts w:ascii="Arial Narrow" w:eastAsia="Arial Narrow" w:hAnsi="Arial Narrow" w:cs="Arial Narrow"/>
      <w:b/>
      <w:bCs/>
      <w:i w:val="0"/>
      <w:iCs w:val="0"/>
      <w:smallCaps w:val="0"/>
      <w:strike w:val="0"/>
      <w:spacing w:val="0"/>
      <w:sz w:val="21"/>
      <w:szCs w:val="21"/>
      <w:shd w:val="clear" w:color="auto" w:fill="FFFFFF"/>
    </w:rPr>
  </w:style>
  <w:style w:type="character" w:customStyle="1" w:styleId="6c">
    <w:name w:val="Основной текст6"/>
    <w:rsid w:val="00CB6E72"/>
    <w:rPr>
      <w:rFonts w:ascii="Arial" w:eastAsia="Arial" w:hAnsi="Arial" w:cs="Arial"/>
      <w:b w:val="0"/>
      <w:bCs w:val="0"/>
      <w:i w:val="0"/>
      <w:iCs w:val="0"/>
      <w:smallCaps w:val="0"/>
      <w:strike w:val="0"/>
      <w:spacing w:val="0"/>
      <w:sz w:val="26"/>
      <w:szCs w:val="26"/>
      <w:shd w:val="clear" w:color="auto" w:fill="FFFFFF"/>
    </w:rPr>
  </w:style>
  <w:style w:type="character" w:customStyle="1" w:styleId="Tablecaption2">
    <w:name w:val="Table caption (2)"/>
    <w:rsid w:val="00024525"/>
  </w:style>
  <w:style w:type="character" w:customStyle="1" w:styleId="BodytextTahoma8pt">
    <w:name w:val="Body text + Tahoma;8 pt"/>
    <w:rsid w:val="00430E18"/>
    <w:rPr>
      <w:rFonts w:ascii="Tahoma" w:eastAsia="Tahoma" w:hAnsi="Tahoma" w:cs="Tahoma"/>
      <w:b w:val="0"/>
      <w:bCs w:val="0"/>
      <w:i w:val="0"/>
      <w:iCs w:val="0"/>
      <w:smallCaps w:val="0"/>
      <w:strike w:val="0"/>
      <w:spacing w:val="0"/>
      <w:sz w:val="16"/>
      <w:szCs w:val="16"/>
      <w:shd w:val="clear" w:color="auto" w:fill="FFFFFF"/>
    </w:rPr>
  </w:style>
  <w:style w:type="character" w:customStyle="1" w:styleId="BodytextCandara">
    <w:name w:val="Body text + Candara"/>
    <w:aliases w:val="912,5 pt79,Small Caps30"/>
    <w:uiPriority w:val="99"/>
    <w:rsid w:val="000F4F4C"/>
    <w:rPr>
      <w:rFonts w:ascii="Candara" w:hAnsi="Candara" w:cs="Candara"/>
      <w:smallCaps/>
      <w:spacing w:val="0"/>
      <w:w w:val="100"/>
      <w:sz w:val="19"/>
      <w:szCs w:val="19"/>
    </w:rPr>
  </w:style>
  <w:style w:type="character" w:customStyle="1" w:styleId="Bodytext24">
    <w:name w:val="Body text (24)_"/>
    <w:link w:val="Bodytext240"/>
    <w:rsid w:val="000F4F4C"/>
    <w:rPr>
      <w:rFonts w:ascii="Arial Narrow" w:hAnsi="Arial Narrow" w:cs="Arial Narrow"/>
      <w:shd w:val="clear" w:color="auto" w:fill="FFFFFF"/>
    </w:rPr>
  </w:style>
  <w:style w:type="paragraph" w:customStyle="1" w:styleId="Bodytext240">
    <w:name w:val="Body text (24)"/>
    <w:basedOn w:val="a0"/>
    <w:link w:val="Bodytext24"/>
    <w:rsid w:val="000F4F4C"/>
    <w:pPr>
      <w:shd w:val="clear" w:color="auto" w:fill="FFFFFF"/>
      <w:spacing w:after="0" w:line="254" w:lineRule="exact"/>
      <w:ind w:firstLine="300"/>
      <w:jc w:val="both"/>
    </w:pPr>
    <w:rPr>
      <w:rFonts w:ascii="Arial Narrow" w:hAnsi="Arial Narrow" w:cs="Arial Narrow"/>
      <w:sz w:val="20"/>
      <w:szCs w:val="20"/>
      <w:lang w:eastAsia="ru-RU"/>
    </w:rPr>
  </w:style>
  <w:style w:type="character" w:customStyle="1" w:styleId="Tablecaption">
    <w:name w:val="Table caption"/>
    <w:uiPriority w:val="99"/>
    <w:rsid w:val="000F4F4C"/>
  </w:style>
  <w:style w:type="paragraph" w:customStyle="1" w:styleId="12a">
    <w:name w:val="Основной текст12"/>
    <w:basedOn w:val="a0"/>
    <w:rsid w:val="00263031"/>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0"/>
    <w:uiPriority w:val="99"/>
    <w:rsid w:val="00534389"/>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Bold30">
    <w:name w:val="Body text + Bold30"/>
    <w:basedOn w:val="Bodytext"/>
    <w:uiPriority w:val="99"/>
    <w:rsid w:val="00534389"/>
    <w:rPr>
      <w:rFonts w:ascii="Arial Narrow" w:eastAsia="Times New Roman" w:hAnsi="Arial Narrow" w:cs="Arial Narrow"/>
      <w:b/>
      <w:bCs/>
      <w:i w:val="0"/>
      <w:iCs w:val="0"/>
      <w:smallCaps w:val="0"/>
      <w:strike w:val="0"/>
      <w:spacing w:val="0"/>
      <w:sz w:val="18"/>
      <w:szCs w:val="18"/>
      <w:shd w:val="clear" w:color="auto" w:fill="FFFFFF"/>
    </w:rPr>
  </w:style>
  <w:style w:type="paragraph" w:customStyle="1" w:styleId="Bodytext21">
    <w:name w:val="Body text (2)1"/>
    <w:basedOn w:val="a0"/>
    <w:link w:val="Bodytext20"/>
    <w:uiPriority w:val="99"/>
    <w:rsid w:val="008440B1"/>
    <w:pPr>
      <w:shd w:val="clear" w:color="auto" w:fill="FFFFFF"/>
      <w:spacing w:after="0" w:line="221" w:lineRule="exact"/>
      <w:ind w:hanging="1600"/>
      <w:jc w:val="both"/>
    </w:pPr>
    <w:rPr>
      <w:rFonts w:ascii="Times New Roman" w:eastAsia="Times New Roman" w:hAnsi="Times New Roman"/>
      <w:sz w:val="21"/>
      <w:szCs w:val="21"/>
      <w:lang w:eastAsia="ru-RU"/>
    </w:rPr>
  </w:style>
  <w:style w:type="character" w:customStyle="1" w:styleId="BodytextItalic8">
    <w:name w:val="Body text + Italic8"/>
    <w:basedOn w:val="Bodytext"/>
    <w:uiPriority w:val="99"/>
    <w:rsid w:val="008440B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325">
    <w:name w:val="Основной текст (3) + Не курсив2"/>
    <w:basedOn w:val="35"/>
    <w:uiPriority w:val="99"/>
    <w:rsid w:val="00F5704F"/>
    <w:rPr>
      <w:rFonts w:ascii="Arial Narrow" w:eastAsia="Gungsuh" w:hAnsi="Arial Narrow" w:cs="Arial Narrow"/>
      <w:i/>
      <w:iCs/>
      <w:spacing w:val="20"/>
      <w:sz w:val="18"/>
      <w:szCs w:val="18"/>
      <w:shd w:val="clear" w:color="auto" w:fill="FFFFFF"/>
    </w:rPr>
  </w:style>
  <w:style w:type="character" w:customStyle="1" w:styleId="920">
    <w:name w:val="Основной текст + 92"/>
    <w:aliases w:val="5 pt4,Полужирный4,Интервал 0 pt2,Основной текст + Arial Narrow2,93,Основной текст + 11 pt1,Header or footer + Arial Narrow2,5 pt25,Bold15,Picture caption (7) + 6,Spacing 0 pt3"/>
    <w:basedOn w:val="1fb"/>
    <w:uiPriority w:val="99"/>
    <w:rsid w:val="00F5704F"/>
    <w:rPr>
      <w:rFonts w:ascii="Arial Narrow" w:hAnsi="Arial Narrow" w:cs="Arial Narrow"/>
      <w:b/>
      <w:bCs/>
      <w:spacing w:val="-10"/>
      <w:sz w:val="19"/>
      <w:szCs w:val="19"/>
      <w:shd w:val="clear" w:color="auto" w:fill="FFFFFF"/>
    </w:rPr>
  </w:style>
  <w:style w:type="character" w:customStyle="1" w:styleId="3fb">
    <w:name w:val="Основной текст + Полужирный3"/>
    <w:basedOn w:val="1fb"/>
    <w:uiPriority w:val="99"/>
    <w:rsid w:val="00F5704F"/>
    <w:rPr>
      <w:rFonts w:ascii="Arial Narrow" w:hAnsi="Arial Narrow" w:cs="Arial Narrow"/>
      <w:b/>
      <w:bCs/>
      <w:sz w:val="18"/>
      <w:szCs w:val="18"/>
      <w:shd w:val="clear" w:color="auto" w:fill="FFFFFF"/>
    </w:rPr>
  </w:style>
  <w:style w:type="character" w:customStyle="1" w:styleId="BodytextItalic">
    <w:name w:val="Body text + Italic"/>
    <w:basedOn w:val="Bodytext"/>
    <w:uiPriority w:val="99"/>
    <w:rsid w:val="00F5704F"/>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odytextBold6">
    <w:name w:val="Body text + Bold6"/>
    <w:basedOn w:val="Bodytext"/>
    <w:uiPriority w:val="99"/>
    <w:rsid w:val="007A437F"/>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Bold1">
    <w:name w:val="Body text + Bold1"/>
    <w:basedOn w:val="Bodytext"/>
    <w:uiPriority w:val="99"/>
    <w:rsid w:val="007A437F"/>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Gungsuh8pt1pt">
    <w:name w:val="Основной текст + Gungsuh;8 pt;Полужирный;Интервал 1 pt"/>
    <w:basedOn w:val="aff2"/>
    <w:rsid w:val="00E14E46"/>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2"/>
    <w:rsid w:val="00E14E46"/>
    <w:rPr>
      <w:rFonts w:ascii="Gungsuh" w:eastAsia="Gungsuh" w:hAnsi="Gungsuh" w:cs="Gungsuh"/>
      <w:b/>
      <w:bCs/>
      <w:i w:val="0"/>
      <w:iCs w:val="0"/>
      <w:smallCaps w:val="0"/>
      <w:strike w:val="0"/>
      <w:spacing w:val="0"/>
      <w:sz w:val="16"/>
      <w:szCs w:val="16"/>
      <w:shd w:val="clear" w:color="auto" w:fill="FFFFFF"/>
    </w:rPr>
  </w:style>
  <w:style w:type="character" w:customStyle="1" w:styleId="3fc">
    <w:name w:val="Основной текст (3) + Не курсив"/>
    <w:basedOn w:val="35"/>
    <w:rsid w:val="00C61B40"/>
    <w:rPr>
      <w:rFonts w:ascii="Arial" w:eastAsia="Arial" w:hAnsi="Arial" w:cs="Arial"/>
      <w:i/>
      <w:iCs/>
      <w:spacing w:val="20"/>
      <w:sz w:val="15"/>
      <w:szCs w:val="15"/>
      <w:shd w:val="clear" w:color="auto" w:fill="FFFFFF"/>
    </w:rPr>
  </w:style>
  <w:style w:type="character" w:customStyle="1" w:styleId="2Batang85pt">
    <w:name w:val="Заголовок №2 + Batang;8;5 pt"/>
    <w:basedOn w:val="a1"/>
    <w:rsid w:val="00C61B40"/>
    <w:rPr>
      <w:rFonts w:ascii="Batang" w:eastAsia="Batang" w:hAnsi="Batang" w:cs="Batang"/>
      <w:b w:val="0"/>
      <w:bCs w:val="0"/>
      <w:i w:val="0"/>
      <w:iCs w:val="0"/>
      <w:smallCaps w:val="0"/>
      <w:strike w:val="0"/>
      <w:spacing w:val="0"/>
      <w:sz w:val="17"/>
      <w:szCs w:val="17"/>
    </w:rPr>
  </w:style>
  <w:style w:type="character" w:customStyle="1" w:styleId="8pt0">
    <w:name w:val="Основной текст + Интервал 8 pt"/>
    <w:basedOn w:val="aff2"/>
    <w:rsid w:val="001F05F6"/>
    <w:rPr>
      <w:rFonts w:ascii="SimSun" w:eastAsia="SimSun" w:hAnsi="SimSun" w:cs="SimSun"/>
      <w:b w:val="0"/>
      <w:bCs w:val="0"/>
      <w:i w:val="0"/>
      <w:iCs w:val="0"/>
      <w:smallCaps w:val="0"/>
      <w:strike w:val="0"/>
      <w:spacing w:val="170"/>
      <w:sz w:val="20"/>
      <w:szCs w:val="20"/>
    </w:rPr>
  </w:style>
  <w:style w:type="character" w:customStyle="1" w:styleId="5f1">
    <w:name w:val="Основной текст5"/>
    <w:basedOn w:val="aff2"/>
    <w:rsid w:val="005B3C0B"/>
    <w:rPr>
      <w:rFonts w:ascii="MingLiU" w:eastAsia="MingLiU" w:hAnsi="MingLiU" w:cs="MingLiU"/>
      <w:b w:val="0"/>
      <w:bCs w:val="0"/>
      <w:i w:val="0"/>
      <w:iCs w:val="0"/>
      <w:smallCaps w:val="0"/>
      <w:strike w:val="0"/>
      <w:spacing w:val="-20"/>
      <w:sz w:val="20"/>
      <w:szCs w:val="20"/>
    </w:rPr>
  </w:style>
  <w:style w:type="character" w:customStyle="1" w:styleId="Sylfaen9pt0pt">
    <w:name w:val="Основной текст + Sylfaen;9 pt;Интервал 0 pt"/>
    <w:basedOn w:val="aff2"/>
    <w:rsid w:val="005B3C0B"/>
    <w:rPr>
      <w:rFonts w:ascii="Sylfaen" w:eastAsia="Sylfaen" w:hAnsi="Sylfaen" w:cs="Sylfaen"/>
      <w:b w:val="0"/>
      <w:bCs w:val="0"/>
      <w:i w:val="0"/>
      <w:iCs w:val="0"/>
      <w:smallCaps w:val="0"/>
      <w:strike w:val="0"/>
      <w:spacing w:val="0"/>
      <w:sz w:val="18"/>
      <w:szCs w:val="18"/>
    </w:rPr>
  </w:style>
  <w:style w:type="character" w:customStyle="1" w:styleId="7e">
    <w:name w:val="Основной текст7"/>
    <w:basedOn w:val="aff2"/>
    <w:rsid w:val="005B3C0B"/>
    <w:rPr>
      <w:rFonts w:ascii="MingLiU" w:eastAsia="MingLiU" w:hAnsi="MingLiU" w:cs="MingLiU"/>
      <w:b w:val="0"/>
      <w:bCs w:val="0"/>
      <w:i w:val="0"/>
      <w:iCs w:val="0"/>
      <w:smallCaps w:val="0"/>
      <w:strike w:val="0"/>
      <w:spacing w:val="-20"/>
      <w:sz w:val="20"/>
      <w:szCs w:val="20"/>
      <w:lang w:val="en-US"/>
    </w:rPr>
  </w:style>
  <w:style w:type="paragraph" w:customStyle="1" w:styleId="8a">
    <w:name w:val="Основной текст8"/>
    <w:basedOn w:val="a0"/>
    <w:rsid w:val="005B3C0B"/>
    <w:pPr>
      <w:shd w:val="clear" w:color="auto" w:fill="FFFFFF"/>
      <w:spacing w:after="0" w:line="158" w:lineRule="exact"/>
    </w:pPr>
    <w:rPr>
      <w:rFonts w:ascii="MingLiU" w:eastAsia="MingLiU" w:hAnsi="MingLiU" w:cs="MingLiU"/>
      <w:color w:val="000000"/>
      <w:spacing w:val="-20"/>
      <w:sz w:val="20"/>
      <w:szCs w:val="20"/>
      <w:lang w:eastAsia="ru-RU"/>
    </w:rPr>
  </w:style>
  <w:style w:type="character" w:customStyle="1" w:styleId="Batang8pt0pt">
    <w:name w:val="Основной текст + Batang;8 pt;Интервал 0 pt"/>
    <w:basedOn w:val="aff2"/>
    <w:rsid w:val="00843C07"/>
    <w:rPr>
      <w:rFonts w:ascii="Batang" w:eastAsia="Batang" w:hAnsi="Batang" w:cs="Batang"/>
      <w:spacing w:val="0"/>
      <w:sz w:val="16"/>
      <w:szCs w:val="16"/>
      <w:shd w:val="clear" w:color="auto" w:fill="FFFFFF"/>
    </w:rPr>
  </w:style>
  <w:style w:type="character" w:customStyle="1" w:styleId="0pt4">
    <w:name w:val="Оглавление + Интервал 0 pt"/>
    <w:basedOn w:val="afffffe"/>
    <w:rsid w:val="003A6F23"/>
    <w:rPr>
      <w:rFonts w:ascii="SimSun" w:eastAsia="SimSun" w:hAnsi="SimSun" w:cs="SimSun"/>
      <w:b w:val="0"/>
      <w:bCs w:val="0"/>
      <w:i w:val="0"/>
      <w:iCs w:val="0"/>
      <w:smallCaps w:val="0"/>
      <w:strike w:val="0"/>
      <w:spacing w:val="0"/>
      <w:sz w:val="19"/>
      <w:szCs w:val="19"/>
      <w:shd w:val="clear" w:color="auto" w:fill="FFFFFF"/>
    </w:rPr>
  </w:style>
  <w:style w:type="character" w:customStyle="1" w:styleId="Batang8pt0pt0">
    <w:name w:val="Основной текст + Batang;8 pt;Малые прописные;Интервал 0 pt"/>
    <w:basedOn w:val="aff2"/>
    <w:rsid w:val="003A6F23"/>
    <w:rPr>
      <w:rFonts w:ascii="Batang" w:eastAsia="Batang" w:hAnsi="Batang" w:cs="Batang"/>
      <w:b w:val="0"/>
      <w:bCs w:val="0"/>
      <w:i w:val="0"/>
      <w:iCs w:val="0"/>
      <w:smallCaps/>
      <w:strike w:val="0"/>
      <w:spacing w:val="10"/>
      <w:sz w:val="16"/>
      <w:szCs w:val="16"/>
      <w:shd w:val="clear" w:color="auto" w:fill="FFFFFF"/>
    </w:rPr>
  </w:style>
  <w:style w:type="character" w:customStyle="1" w:styleId="TrebuchetMS95pt0pt">
    <w:name w:val="Основной текст + Trebuchet MS;9;5 pt;Курсив;Интервал 0 pt"/>
    <w:basedOn w:val="aff2"/>
    <w:rsid w:val="00E92E38"/>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2"/>
    <w:rsid w:val="00C41094"/>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2"/>
    <w:rsid w:val="00C41094"/>
    <w:rPr>
      <w:rFonts w:ascii="Century Schoolbook" w:eastAsia="Century Schoolbook" w:hAnsi="Century Schoolbook" w:cs="Century Schoolbook"/>
      <w:b w:val="0"/>
      <w:bCs w:val="0"/>
      <w:i w:val="0"/>
      <w:iCs w:val="0"/>
      <w:smallCaps/>
      <w:strike w:val="0"/>
      <w:spacing w:val="10"/>
      <w:w w:val="100"/>
      <w:sz w:val="17"/>
      <w:szCs w:val="17"/>
    </w:rPr>
  </w:style>
  <w:style w:type="character" w:customStyle="1" w:styleId="MSReferenceSansSerif9pt1pt">
    <w:name w:val="Основной текст + MS Reference Sans Serif;9 pt;Не полужирный;Интервал 1 pt"/>
    <w:basedOn w:val="aff2"/>
    <w:rsid w:val="00A61A9A"/>
    <w:rPr>
      <w:rFonts w:ascii="MS Reference Sans Serif" w:eastAsia="MS Reference Sans Serif" w:hAnsi="MS Reference Sans Serif" w:cs="MS Reference Sans Serif"/>
      <w:b/>
      <w:bCs/>
      <w:i w:val="0"/>
      <w:iCs w:val="0"/>
      <w:smallCaps w:val="0"/>
      <w:strike w:val="0"/>
      <w:spacing w:val="20"/>
      <w:sz w:val="18"/>
      <w:szCs w:val="18"/>
    </w:rPr>
  </w:style>
  <w:style w:type="character" w:customStyle="1" w:styleId="2pt0">
    <w:name w:val="Основной текст + Интервал 2 pt"/>
    <w:basedOn w:val="aff2"/>
    <w:uiPriority w:val="99"/>
    <w:rsid w:val="00A61A9A"/>
    <w:rPr>
      <w:rFonts w:ascii="Century Schoolbook" w:eastAsia="Century Schoolbook" w:hAnsi="Century Schoolbook" w:cs="Century Schoolbook"/>
      <w:b w:val="0"/>
      <w:bCs w:val="0"/>
      <w:i w:val="0"/>
      <w:iCs w:val="0"/>
      <w:smallCaps w:val="0"/>
      <w:strike w:val="0"/>
      <w:spacing w:val="40"/>
      <w:sz w:val="18"/>
      <w:szCs w:val="18"/>
      <w:shd w:val="clear" w:color="auto" w:fill="FFFFFF"/>
    </w:rPr>
  </w:style>
  <w:style w:type="character" w:customStyle="1" w:styleId="Garamond11pt0pt">
    <w:name w:val="Основной текст + Garamond;11 pt;Курсив;Интервал 0 pt"/>
    <w:basedOn w:val="aff2"/>
    <w:rsid w:val="001A54AD"/>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6F2A2F"/>
    <w:rPr>
      <w:rFonts w:ascii="Franklin Gothic Book" w:eastAsia="Franklin Gothic Book" w:hAnsi="Franklin Gothic Book" w:cs="Franklin Gothic Book"/>
      <w:smallCaps/>
      <w:spacing w:val="0"/>
      <w:sz w:val="39"/>
      <w:szCs w:val="39"/>
      <w:shd w:val="clear" w:color="auto" w:fill="FFFFFF"/>
      <w:lang w:eastAsia="en-US"/>
    </w:rPr>
  </w:style>
  <w:style w:type="character" w:customStyle="1" w:styleId="30pt">
    <w:name w:val="Основной текст (3) + Интервал 0 pt"/>
    <w:basedOn w:val="35"/>
    <w:rsid w:val="006F2A2F"/>
    <w:rPr>
      <w:rFonts w:ascii="Franklin Gothic Book" w:eastAsia="Franklin Gothic Book" w:hAnsi="Franklin Gothic Book" w:cs="Franklin Gothic Book"/>
      <w:b w:val="0"/>
      <w:bCs w:val="0"/>
      <w:i w:val="0"/>
      <w:iCs w:val="0"/>
      <w:smallCaps w:val="0"/>
      <w:strike w:val="0"/>
      <w:spacing w:val="0"/>
      <w:sz w:val="39"/>
      <w:szCs w:val="39"/>
      <w:shd w:val="clear" w:color="auto" w:fill="FFFFFF"/>
      <w:lang w:val="en-US"/>
    </w:rPr>
  </w:style>
  <w:style w:type="character" w:customStyle="1" w:styleId="6pt">
    <w:name w:val="Основной текст + Интервал 6 pt"/>
    <w:basedOn w:val="aff2"/>
    <w:rsid w:val="00D9249B"/>
    <w:rPr>
      <w:rFonts w:ascii="Gungsuh" w:eastAsia="Gungsuh" w:hAnsi="Gungsuh" w:cs="Gungsuh"/>
      <w:b w:val="0"/>
      <w:bCs w:val="0"/>
      <w:i w:val="0"/>
      <w:iCs w:val="0"/>
      <w:smallCaps w:val="0"/>
      <w:strike w:val="0"/>
      <w:spacing w:val="120"/>
      <w:sz w:val="16"/>
      <w:szCs w:val="16"/>
      <w:shd w:val="clear" w:color="auto" w:fill="FFFFFF"/>
    </w:rPr>
  </w:style>
  <w:style w:type="character" w:customStyle="1" w:styleId="MicrosoftSansSerif8pt1pt60">
    <w:name w:val="Основной текст + Microsoft Sans Serif;8 pt;Курсив;Интервал 1 pt;Масштаб 60%"/>
    <w:basedOn w:val="aff2"/>
    <w:rsid w:val="00D9249B"/>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95pt">
    <w:name w:val="Основной текст + 9;5 pt"/>
    <w:basedOn w:val="aff2"/>
    <w:rsid w:val="001E2BD8"/>
    <w:rPr>
      <w:rFonts w:ascii="Consolas" w:eastAsia="Consolas" w:hAnsi="Consolas" w:cs="Consolas"/>
      <w:b w:val="0"/>
      <w:bCs w:val="0"/>
      <w:i w:val="0"/>
      <w:iCs w:val="0"/>
      <w:smallCaps w:val="0"/>
      <w:strike w:val="0"/>
      <w:spacing w:val="0"/>
      <w:sz w:val="19"/>
      <w:szCs w:val="19"/>
      <w:shd w:val="clear" w:color="auto" w:fill="FFFFFF"/>
    </w:rPr>
  </w:style>
  <w:style w:type="character" w:customStyle="1" w:styleId="0pt5">
    <w:name w:val="Основной текст + Не полужирный;Малые прописные;Интервал 0 pt"/>
    <w:basedOn w:val="aff2"/>
    <w:rsid w:val="00160B8A"/>
    <w:rPr>
      <w:rFonts w:ascii="MS Mincho" w:eastAsia="MS Mincho" w:hAnsi="MS Mincho" w:cs="MS Mincho"/>
      <w:b/>
      <w:bCs/>
      <w:i w:val="0"/>
      <w:iCs w:val="0"/>
      <w:smallCaps/>
      <w:strike w:val="0"/>
      <w:spacing w:val="-10"/>
      <w:sz w:val="17"/>
      <w:szCs w:val="17"/>
      <w:shd w:val="clear" w:color="auto" w:fill="FFFFFF"/>
    </w:rPr>
  </w:style>
  <w:style w:type="paragraph" w:customStyle="1" w:styleId="31b">
    <w:name w:val="Основной текст31"/>
    <w:basedOn w:val="a0"/>
    <w:rsid w:val="001C2BCF"/>
    <w:pPr>
      <w:shd w:val="clear" w:color="auto" w:fill="FFFFFF"/>
      <w:spacing w:after="480" w:line="0" w:lineRule="atLeast"/>
    </w:pPr>
    <w:rPr>
      <w:rFonts w:ascii="Arial Narrow" w:eastAsia="Arial Narrow" w:hAnsi="Arial Narrow" w:cs="Arial Narrow"/>
      <w:color w:val="000000"/>
      <w:sz w:val="18"/>
      <w:szCs w:val="18"/>
      <w:lang w:eastAsia="ru-RU"/>
    </w:rPr>
  </w:style>
  <w:style w:type="paragraph" w:customStyle="1" w:styleId="172">
    <w:name w:val="Основной текст17"/>
    <w:basedOn w:val="a0"/>
    <w:rsid w:val="00CB3DA7"/>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character" w:customStyle="1" w:styleId="101pt">
    <w:name w:val="Основной текст (10) + Интервал 1 pt"/>
    <w:basedOn w:val="108"/>
    <w:rsid w:val="00DC7B9A"/>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10a">
    <w:name w:val="Основной текст (10) + Не курсив"/>
    <w:basedOn w:val="108"/>
    <w:rsid w:val="00E912F0"/>
    <w:rPr>
      <w:rFonts w:ascii="Arial Narrow" w:eastAsia="Arial Narrow" w:hAnsi="Arial Narrow" w:cs="Arial Narrow"/>
      <w:b w:val="0"/>
      <w:bCs w:val="0"/>
      <w:i/>
      <w:iCs/>
      <w:smallCaps w:val="0"/>
      <w:strike w:val="0"/>
      <w:spacing w:val="0"/>
      <w:w w:val="100"/>
      <w:sz w:val="18"/>
      <w:szCs w:val="18"/>
      <w:shd w:val="clear" w:color="auto" w:fill="FFFFFF"/>
    </w:rPr>
  </w:style>
  <w:style w:type="character" w:customStyle="1" w:styleId="10105pt">
    <w:name w:val="Основной текст (10) + 10;5 pt;Не курсив"/>
    <w:basedOn w:val="108"/>
    <w:rsid w:val="00E912F0"/>
    <w:rPr>
      <w:rFonts w:ascii="Arial Narrow" w:eastAsia="Arial Narrow" w:hAnsi="Arial Narrow" w:cs="Arial Narrow"/>
      <w:b w:val="0"/>
      <w:bCs w:val="0"/>
      <w:i/>
      <w:iCs/>
      <w:smallCaps w:val="0"/>
      <w:strike w:val="0"/>
      <w:spacing w:val="0"/>
      <w:w w:val="100"/>
      <w:sz w:val="21"/>
      <w:szCs w:val="21"/>
      <w:shd w:val="clear" w:color="auto" w:fill="FFFFFF"/>
    </w:rPr>
  </w:style>
  <w:style w:type="paragraph" w:customStyle="1" w:styleId="11b">
    <w:name w:val="Основной текст11"/>
    <w:basedOn w:val="a0"/>
    <w:rsid w:val="000F0A32"/>
    <w:pPr>
      <w:shd w:val="clear" w:color="auto" w:fill="FFFFFF"/>
      <w:spacing w:after="900" w:line="0" w:lineRule="atLeast"/>
    </w:pPr>
    <w:rPr>
      <w:rFonts w:ascii="Arial Narrow" w:eastAsia="Arial Narrow" w:hAnsi="Arial Narrow" w:cs="Arial Narrow"/>
      <w:color w:val="000000"/>
      <w:sz w:val="17"/>
      <w:szCs w:val="17"/>
      <w:lang w:eastAsia="ru-RU"/>
    </w:rPr>
  </w:style>
  <w:style w:type="character" w:customStyle="1" w:styleId="9pt80">
    <w:name w:val="Основной текст + 9 pt;Курсив;Масштаб 80%"/>
    <w:basedOn w:val="aff2"/>
    <w:rsid w:val="00A57FD9"/>
    <w:rPr>
      <w:rFonts w:ascii="Segoe UI" w:eastAsia="Segoe UI" w:hAnsi="Segoe UI" w:cs="Segoe UI"/>
      <w:b w:val="0"/>
      <w:bCs w:val="0"/>
      <w:i/>
      <w:iCs/>
      <w:smallCaps w:val="0"/>
      <w:strike w:val="0"/>
      <w:spacing w:val="0"/>
      <w:w w:val="80"/>
      <w:sz w:val="18"/>
      <w:szCs w:val="18"/>
      <w:shd w:val="clear" w:color="auto" w:fill="FFFFFF"/>
    </w:rPr>
  </w:style>
  <w:style w:type="character" w:customStyle="1" w:styleId="885pt100">
    <w:name w:val="Основной текст (8) + 8;5 pt;Не курсив;Масштаб 100%"/>
    <w:basedOn w:val="81"/>
    <w:rsid w:val="00A57FD9"/>
    <w:rPr>
      <w:rFonts w:ascii="Segoe UI" w:eastAsia="Segoe UI" w:hAnsi="Segoe UI" w:cs="Segoe UI"/>
      <w:i/>
      <w:iCs/>
      <w:w w:val="100"/>
      <w:sz w:val="17"/>
      <w:szCs w:val="17"/>
      <w:shd w:val="clear" w:color="auto" w:fill="FFFFFF"/>
    </w:rPr>
  </w:style>
  <w:style w:type="paragraph" w:customStyle="1" w:styleId="10b">
    <w:name w:val="Основной текст10"/>
    <w:basedOn w:val="a0"/>
    <w:rsid w:val="003139C1"/>
    <w:pPr>
      <w:shd w:val="clear" w:color="auto" w:fill="FFFFFF"/>
      <w:spacing w:after="480" w:line="0" w:lineRule="atLeast"/>
    </w:pPr>
    <w:rPr>
      <w:rFonts w:ascii="Segoe UI" w:eastAsia="Segoe UI" w:hAnsi="Segoe UI" w:cs="Segoe UI"/>
      <w:sz w:val="17"/>
      <w:szCs w:val="17"/>
    </w:rPr>
  </w:style>
  <w:style w:type="paragraph" w:customStyle="1" w:styleId="p1">
    <w:name w:val="p1"/>
    <w:basedOn w:val="a0"/>
    <w:rsid w:val="00CD64A3"/>
    <w:pPr>
      <w:spacing w:before="100" w:beforeAutospacing="1" w:after="100" w:afterAutospacing="1" w:line="240" w:lineRule="auto"/>
    </w:pPr>
    <w:rPr>
      <w:rFonts w:ascii="Times New Roman" w:eastAsia="Times New Roman" w:hAnsi="Times New Roman"/>
      <w:sz w:val="24"/>
      <w:szCs w:val="24"/>
      <w:lang w:eastAsia="ru-RU"/>
    </w:rPr>
  </w:style>
  <w:style w:type="paragraph" w:styleId="affffff">
    <w:name w:val="No Spacing"/>
    <w:basedOn w:val="a0"/>
    <w:uiPriority w:val="1"/>
    <w:qFormat/>
    <w:rsid w:val="004F0D2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21">
    <w:name w:val="Основной текст92"/>
    <w:basedOn w:val="aff2"/>
    <w:rsid w:val="0088204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0"/>
    <w:rsid w:val="0088204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paragraph" w:customStyle="1" w:styleId="article-renderblock">
    <w:name w:val="article-render__block"/>
    <w:basedOn w:val="a0"/>
    <w:rsid w:val="0088204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8pt100">
    <w:name w:val="Основной текст (2) + 8 pt;Не курсив;Масштаб 100%"/>
    <w:basedOn w:val="2a"/>
    <w:rsid w:val="0032416F"/>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rticle-statdate">
    <w:name w:val="article-stat__date"/>
    <w:basedOn w:val="a1"/>
    <w:rsid w:val="000D0B36"/>
  </w:style>
  <w:style w:type="character" w:customStyle="1" w:styleId="article-statcount">
    <w:name w:val="article-stat__count"/>
    <w:basedOn w:val="a1"/>
    <w:rsid w:val="000D0B36"/>
  </w:style>
  <w:style w:type="character" w:customStyle="1" w:styleId="article-stat-tipvalue">
    <w:name w:val="article-stat-tip__value"/>
    <w:basedOn w:val="a1"/>
    <w:rsid w:val="000D0B36"/>
  </w:style>
  <w:style w:type="character" w:customStyle="1" w:styleId="ljcut-brace">
    <w:name w:val="ljcut-brace"/>
    <w:basedOn w:val="a1"/>
    <w:rsid w:val="000D0B36"/>
  </w:style>
  <w:style w:type="character" w:customStyle="1" w:styleId="ljcut-decor">
    <w:name w:val="ljcut-decor"/>
    <w:basedOn w:val="a1"/>
    <w:rsid w:val="000D0B36"/>
  </w:style>
  <w:style w:type="character" w:customStyle="1" w:styleId="62">
    <w:name w:val="Подпись к картинке (6)_"/>
    <w:basedOn w:val="a1"/>
    <w:link w:val="60"/>
    <w:rsid w:val="000D0B36"/>
    <w:rPr>
      <w:rFonts w:ascii="Bookman Old Style" w:hAnsi="Bookman Old Style" w:cs="Bookman Old Style"/>
      <w:i/>
      <w:iCs/>
      <w:sz w:val="9"/>
      <w:szCs w:val="9"/>
      <w:shd w:val="clear" w:color="auto" w:fill="FFFFFF"/>
      <w:lang w:eastAsia="en-US"/>
    </w:rPr>
  </w:style>
  <w:style w:type="character" w:customStyle="1" w:styleId="2-1pt0">
    <w:name w:val="Основной текст (2) + Интервал -1 pt"/>
    <w:basedOn w:val="2a"/>
    <w:rsid w:val="000D0B36"/>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1"/>
    <w:link w:val="193"/>
    <w:rsid w:val="000D0B36"/>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0"/>
    <w:link w:val="192"/>
    <w:rsid w:val="000D0B36"/>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0D0B36"/>
    <w:rPr>
      <w:rFonts w:ascii="Trebuchet MS" w:eastAsia="Trebuchet MS" w:hAnsi="Trebuchet MS" w:cs="Trebuchet MS"/>
      <w:spacing w:val="-10"/>
      <w:sz w:val="21"/>
      <w:szCs w:val="21"/>
      <w:shd w:val="clear" w:color="auto" w:fill="FFFFFF"/>
    </w:rPr>
  </w:style>
  <w:style w:type="character" w:customStyle="1" w:styleId="922">
    <w:name w:val="Заголовок №9 (2)"/>
    <w:basedOn w:val="a1"/>
    <w:rsid w:val="000D0B36"/>
    <w:rPr>
      <w:rFonts w:ascii="Calibri" w:eastAsia="Calibri" w:hAnsi="Calibri" w:cs="Calibri"/>
      <w:b w:val="0"/>
      <w:bCs w:val="0"/>
      <w:i w:val="0"/>
      <w:iCs w:val="0"/>
      <w:smallCaps w:val="0"/>
      <w:strike w:val="0"/>
      <w:spacing w:val="0"/>
      <w:sz w:val="27"/>
      <w:szCs w:val="27"/>
    </w:rPr>
  </w:style>
  <w:style w:type="character" w:customStyle="1" w:styleId="173">
    <w:name w:val="Основной текст (17)_"/>
    <w:basedOn w:val="a1"/>
    <w:link w:val="174"/>
    <w:rsid w:val="000D0B36"/>
    <w:rPr>
      <w:rFonts w:ascii="Arial Narrow" w:eastAsia="Arial Narrow" w:hAnsi="Arial Narrow" w:cs="Arial Narrow"/>
      <w:sz w:val="18"/>
      <w:szCs w:val="18"/>
      <w:shd w:val="clear" w:color="auto" w:fill="FFFFFF"/>
    </w:rPr>
  </w:style>
  <w:style w:type="paragraph" w:customStyle="1" w:styleId="174">
    <w:name w:val="Основной текст (17)"/>
    <w:basedOn w:val="a0"/>
    <w:link w:val="173"/>
    <w:rsid w:val="000D0B36"/>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8pt1">
    <w:name w:val="Основной текст + 8 pt;Курсив"/>
    <w:basedOn w:val="aff2"/>
    <w:rsid w:val="000D0B36"/>
    <w:rPr>
      <w:rFonts w:ascii="Arial Narrow" w:eastAsia="Arial Narrow" w:hAnsi="Arial Narrow" w:cs="Arial Narrow"/>
      <w:i/>
      <w:iCs/>
      <w:spacing w:val="-10"/>
      <w:sz w:val="16"/>
      <w:szCs w:val="16"/>
      <w:shd w:val="clear" w:color="auto" w:fill="FFFFFF"/>
    </w:rPr>
  </w:style>
  <w:style w:type="character" w:customStyle="1" w:styleId="326">
    <w:name w:val="Заголовок №3 (2)"/>
    <w:basedOn w:val="a1"/>
    <w:rsid w:val="000D0B36"/>
    <w:rPr>
      <w:rFonts w:ascii="Calibri" w:eastAsia="Calibri" w:hAnsi="Calibri" w:cs="Calibri"/>
      <w:b w:val="0"/>
      <w:bCs w:val="0"/>
      <w:i w:val="0"/>
      <w:iCs w:val="0"/>
      <w:smallCaps w:val="0"/>
      <w:strike w:val="0"/>
      <w:spacing w:val="0"/>
      <w:sz w:val="22"/>
      <w:szCs w:val="22"/>
    </w:rPr>
  </w:style>
  <w:style w:type="character" w:customStyle="1" w:styleId="148">
    <w:name w:val="Основной текст (14) + Не курсив"/>
    <w:basedOn w:val="a1"/>
    <w:rsid w:val="000D0B36"/>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f"/>
    <w:rsid w:val="000D0B36"/>
    <w:rPr>
      <w:rFonts w:ascii="Calibri" w:eastAsia="Calibri" w:hAnsi="Calibri" w:cs="Calibri"/>
      <w:i/>
      <w:iCs/>
      <w:sz w:val="16"/>
      <w:szCs w:val="16"/>
      <w:shd w:val="clear" w:color="auto" w:fill="FFFFFF"/>
    </w:rPr>
  </w:style>
  <w:style w:type="character" w:customStyle="1" w:styleId="5MicrosoftSansSerif7pt">
    <w:name w:val="Основной текст (5) + Microsoft Sans Serif;7 pt;Курсив"/>
    <w:basedOn w:val="5f"/>
    <w:rsid w:val="000D0B36"/>
    <w:rPr>
      <w:rFonts w:ascii="Microsoft Sans Serif" w:eastAsia="Microsoft Sans Serif" w:hAnsi="Microsoft Sans Serif" w:cs="Microsoft Sans Serif"/>
      <w:i/>
      <w:iCs/>
      <w:sz w:val="14"/>
      <w:szCs w:val="14"/>
      <w:shd w:val="clear" w:color="auto" w:fill="FFFFFF"/>
    </w:rPr>
  </w:style>
  <w:style w:type="paragraph" w:customStyle="1" w:styleId="232">
    <w:name w:val="Основной текст23"/>
    <w:basedOn w:val="a0"/>
    <w:rsid w:val="000D0B36"/>
    <w:pPr>
      <w:shd w:val="clear" w:color="auto" w:fill="FFFFFF"/>
      <w:spacing w:after="0" w:line="0" w:lineRule="atLeast"/>
    </w:pPr>
    <w:rPr>
      <w:rFonts w:ascii="Arial Narrow" w:eastAsia="Arial Narrow" w:hAnsi="Arial Narrow" w:cs="Arial Narrow"/>
      <w:sz w:val="17"/>
      <w:szCs w:val="17"/>
    </w:rPr>
  </w:style>
  <w:style w:type="character" w:customStyle="1" w:styleId="207">
    <w:name w:val="Основной текст20"/>
    <w:basedOn w:val="aff2"/>
    <w:rsid w:val="000D0B36"/>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0D0B36"/>
    <w:rPr>
      <w:rFonts w:ascii="Arial Narrow" w:eastAsia="Arial Narrow" w:hAnsi="Arial Narrow" w:cs="Arial Narrow"/>
      <w:b/>
      <w:bCs/>
      <w:i/>
      <w:iCs/>
      <w:smallCaps w:val="0"/>
      <w:strike w:val="0"/>
      <w:spacing w:val="0"/>
      <w:w w:val="100"/>
      <w:sz w:val="38"/>
      <w:szCs w:val="38"/>
      <w:lang w:val="en-US"/>
    </w:rPr>
  </w:style>
  <w:style w:type="character" w:customStyle="1" w:styleId="1fd">
    <w:name w:val="Заголовок №1_"/>
    <w:basedOn w:val="a1"/>
    <w:rsid w:val="000D0B36"/>
    <w:rPr>
      <w:rFonts w:ascii="Segoe UI" w:eastAsia="Segoe UI" w:hAnsi="Segoe UI" w:cs="Segoe UI"/>
      <w:b w:val="0"/>
      <w:bCs w:val="0"/>
      <w:i w:val="0"/>
      <w:iCs w:val="0"/>
      <w:smallCaps w:val="0"/>
      <w:strike w:val="0"/>
      <w:spacing w:val="-10"/>
      <w:sz w:val="70"/>
      <w:szCs w:val="70"/>
    </w:rPr>
  </w:style>
  <w:style w:type="character" w:customStyle="1" w:styleId="1-1pt0">
    <w:name w:val="Заголовок №1 + Интервал -1 pt"/>
    <w:basedOn w:val="1fd"/>
    <w:rsid w:val="000D0B36"/>
    <w:rPr>
      <w:rFonts w:ascii="Segoe UI" w:eastAsia="Segoe UI" w:hAnsi="Segoe UI" w:cs="Segoe UI"/>
      <w:b w:val="0"/>
      <w:bCs w:val="0"/>
      <w:i w:val="0"/>
      <w:iCs w:val="0"/>
      <w:smallCaps w:val="0"/>
      <w:strike w:val="0"/>
      <w:spacing w:val="-30"/>
      <w:sz w:val="70"/>
      <w:szCs w:val="70"/>
    </w:rPr>
  </w:style>
  <w:style w:type="character" w:customStyle="1" w:styleId="242">
    <w:name w:val="Основной текст (24)_"/>
    <w:basedOn w:val="a1"/>
    <w:rsid w:val="000D0B36"/>
    <w:rPr>
      <w:rFonts w:ascii="Segoe UI" w:eastAsia="Segoe UI" w:hAnsi="Segoe UI" w:cs="Segoe UI"/>
      <w:b w:val="0"/>
      <w:bCs w:val="0"/>
      <w:i w:val="0"/>
      <w:iCs w:val="0"/>
      <w:smallCaps w:val="0"/>
      <w:strike w:val="0"/>
      <w:spacing w:val="0"/>
      <w:sz w:val="36"/>
      <w:szCs w:val="36"/>
    </w:rPr>
  </w:style>
  <w:style w:type="character" w:customStyle="1" w:styleId="243">
    <w:name w:val="Основной текст (24)"/>
    <w:basedOn w:val="242"/>
    <w:rsid w:val="000D0B36"/>
    <w:rPr>
      <w:rFonts w:ascii="Segoe UI" w:eastAsia="Segoe UI" w:hAnsi="Segoe UI" w:cs="Segoe UI"/>
      <w:b w:val="0"/>
      <w:bCs w:val="0"/>
      <w:i w:val="0"/>
      <w:iCs w:val="0"/>
      <w:smallCaps w:val="0"/>
      <w:strike w:val="0"/>
      <w:spacing w:val="0"/>
      <w:sz w:val="36"/>
      <w:szCs w:val="36"/>
    </w:rPr>
  </w:style>
  <w:style w:type="character" w:customStyle="1" w:styleId="2fb">
    <w:name w:val="Сноска (2)_"/>
    <w:basedOn w:val="a1"/>
    <w:link w:val="2fc"/>
    <w:rsid w:val="000D0B36"/>
    <w:rPr>
      <w:rFonts w:ascii="Segoe UI" w:eastAsia="Segoe UI" w:hAnsi="Segoe UI" w:cs="Segoe UI"/>
      <w:sz w:val="13"/>
      <w:szCs w:val="13"/>
      <w:shd w:val="clear" w:color="auto" w:fill="FFFFFF"/>
    </w:rPr>
  </w:style>
  <w:style w:type="paragraph" w:customStyle="1" w:styleId="2fc">
    <w:name w:val="Сноска (2)"/>
    <w:basedOn w:val="a0"/>
    <w:link w:val="2fb"/>
    <w:rsid w:val="000D0B36"/>
    <w:pPr>
      <w:shd w:val="clear" w:color="auto" w:fill="FFFFFF"/>
      <w:spacing w:after="0" w:line="173" w:lineRule="exact"/>
      <w:jc w:val="both"/>
    </w:pPr>
    <w:rPr>
      <w:rFonts w:ascii="Segoe UI" w:eastAsia="Segoe UI" w:hAnsi="Segoe UI" w:cs="Segoe UI"/>
      <w:sz w:val="13"/>
      <w:szCs w:val="13"/>
      <w:lang w:eastAsia="ru-RU"/>
    </w:rPr>
  </w:style>
  <w:style w:type="character" w:customStyle="1" w:styleId="4f4">
    <w:name w:val="Подпись к таблице (4)_"/>
    <w:basedOn w:val="a1"/>
    <w:rsid w:val="000D0B36"/>
    <w:rPr>
      <w:rFonts w:ascii="Franklin Gothic Book" w:eastAsia="Franklin Gothic Book" w:hAnsi="Franklin Gothic Book" w:cs="Franklin Gothic Book"/>
      <w:b w:val="0"/>
      <w:bCs w:val="0"/>
      <w:i w:val="0"/>
      <w:iCs w:val="0"/>
      <w:smallCaps w:val="0"/>
      <w:strike w:val="0"/>
      <w:sz w:val="18"/>
      <w:szCs w:val="18"/>
    </w:rPr>
  </w:style>
  <w:style w:type="character" w:customStyle="1" w:styleId="4f5">
    <w:name w:val="Подпись к таблице (4)"/>
    <w:basedOn w:val="4f4"/>
    <w:rsid w:val="000D0B36"/>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0D0B36"/>
    <w:rPr>
      <w:rFonts w:ascii="Lucida Sans Unicode" w:hAnsi="Lucida Sans Unicode" w:cs="Lucida Sans Unicode"/>
      <w:spacing w:val="10"/>
      <w:sz w:val="24"/>
      <w:szCs w:val="24"/>
      <w:shd w:val="clear" w:color="auto" w:fill="FFFFFF"/>
      <w:lang w:eastAsia="en-US"/>
    </w:rPr>
  </w:style>
  <w:style w:type="character" w:customStyle="1" w:styleId="278">
    <w:name w:val="Основной текст (27)_"/>
    <w:basedOn w:val="a1"/>
    <w:rsid w:val="000D0B36"/>
    <w:rPr>
      <w:rFonts w:ascii="Arial Narrow" w:eastAsia="Arial Narrow" w:hAnsi="Arial Narrow" w:cs="Arial Narrow"/>
      <w:sz w:val="8"/>
      <w:szCs w:val="8"/>
      <w:shd w:val="clear" w:color="auto" w:fill="FFFFFF"/>
    </w:rPr>
  </w:style>
  <w:style w:type="character" w:customStyle="1" w:styleId="253">
    <w:name w:val="Основной текст (25)_"/>
    <w:basedOn w:val="a1"/>
    <w:link w:val="254"/>
    <w:rsid w:val="000D0B36"/>
    <w:rPr>
      <w:rFonts w:ascii="Arial Narrow" w:eastAsia="Arial Narrow" w:hAnsi="Arial Narrow" w:cs="Arial Narrow"/>
      <w:sz w:val="12"/>
      <w:szCs w:val="12"/>
      <w:shd w:val="clear" w:color="auto" w:fill="FFFFFF"/>
    </w:rPr>
  </w:style>
  <w:style w:type="paragraph" w:customStyle="1" w:styleId="254">
    <w:name w:val="Основной текст (25)"/>
    <w:basedOn w:val="a0"/>
    <w:link w:val="253"/>
    <w:rsid w:val="000D0B36"/>
    <w:pPr>
      <w:shd w:val="clear" w:color="auto" w:fill="FFFFFF"/>
      <w:spacing w:after="0" w:line="0" w:lineRule="atLeast"/>
    </w:pPr>
    <w:rPr>
      <w:rFonts w:ascii="Arial Narrow" w:eastAsia="Arial Narrow" w:hAnsi="Arial Narrow" w:cs="Arial Narrow"/>
      <w:sz w:val="12"/>
      <w:szCs w:val="12"/>
      <w:lang w:eastAsia="ru-RU"/>
    </w:rPr>
  </w:style>
  <w:style w:type="character" w:customStyle="1" w:styleId="134">
    <w:name w:val="Основной текст (13)_"/>
    <w:basedOn w:val="a1"/>
    <w:link w:val="135"/>
    <w:rsid w:val="000D0B36"/>
    <w:rPr>
      <w:rFonts w:ascii="Segoe UI" w:eastAsia="Segoe UI" w:hAnsi="Segoe UI" w:cs="Segoe UI"/>
      <w:sz w:val="13"/>
      <w:szCs w:val="13"/>
      <w:shd w:val="clear" w:color="auto" w:fill="FFFFFF"/>
    </w:rPr>
  </w:style>
  <w:style w:type="paragraph" w:customStyle="1" w:styleId="135">
    <w:name w:val="Основной текст (13)"/>
    <w:basedOn w:val="a0"/>
    <w:link w:val="134"/>
    <w:rsid w:val="000D0B36"/>
    <w:pPr>
      <w:shd w:val="clear" w:color="auto" w:fill="FFFFFF"/>
      <w:spacing w:before="60" w:after="0" w:line="154" w:lineRule="exact"/>
    </w:pPr>
    <w:rPr>
      <w:rFonts w:ascii="Segoe UI" w:eastAsia="Segoe UI" w:hAnsi="Segoe UI" w:cs="Segoe UI"/>
      <w:sz w:val="13"/>
      <w:szCs w:val="13"/>
      <w:lang w:eastAsia="ru-RU"/>
    </w:rPr>
  </w:style>
  <w:style w:type="character" w:customStyle="1" w:styleId="FranklinGothicBook9pt0pt">
    <w:name w:val="Основной текст + Franklin Gothic Book;9 pt;Интервал 0 pt"/>
    <w:basedOn w:val="aff2"/>
    <w:rsid w:val="000D0B36"/>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2d">
    <w:name w:val="Подпись к картинке (2)_"/>
    <w:basedOn w:val="a1"/>
    <w:link w:val="2c"/>
    <w:rsid w:val="000D0B36"/>
    <w:rPr>
      <w:rFonts w:ascii="MS Reference Sans Serif" w:hAnsi="MS Reference Sans Serif" w:cs="MS Reference Sans Serif"/>
      <w:i/>
      <w:iCs/>
      <w:sz w:val="13"/>
      <w:szCs w:val="13"/>
      <w:shd w:val="clear" w:color="auto" w:fill="FFFFFF"/>
      <w:lang w:eastAsia="en-US"/>
    </w:rPr>
  </w:style>
  <w:style w:type="character" w:customStyle="1" w:styleId="12b">
    <w:name w:val="Подпись к картинке (12)_"/>
    <w:basedOn w:val="a1"/>
    <w:link w:val="12c"/>
    <w:rsid w:val="000D0B36"/>
    <w:rPr>
      <w:rFonts w:ascii="Segoe UI" w:eastAsia="Segoe UI" w:hAnsi="Segoe UI" w:cs="Segoe UI"/>
      <w:sz w:val="11"/>
      <w:szCs w:val="11"/>
      <w:shd w:val="clear" w:color="auto" w:fill="FFFFFF"/>
    </w:rPr>
  </w:style>
  <w:style w:type="paragraph" w:customStyle="1" w:styleId="12c">
    <w:name w:val="Подпись к картинке (12)"/>
    <w:basedOn w:val="a0"/>
    <w:link w:val="12b"/>
    <w:rsid w:val="000D0B36"/>
    <w:pPr>
      <w:shd w:val="clear" w:color="auto" w:fill="FFFFFF"/>
      <w:spacing w:after="0" w:line="0" w:lineRule="atLeast"/>
      <w:jc w:val="right"/>
    </w:pPr>
    <w:rPr>
      <w:rFonts w:ascii="Segoe UI" w:eastAsia="Segoe UI" w:hAnsi="Segoe UI" w:cs="Segoe UI"/>
      <w:sz w:val="11"/>
      <w:szCs w:val="11"/>
      <w:lang w:eastAsia="ru-RU"/>
    </w:rPr>
  </w:style>
  <w:style w:type="character" w:customStyle="1" w:styleId="136">
    <w:name w:val="Подпись к картинке (13)_"/>
    <w:basedOn w:val="a1"/>
    <w:link w:val="137"/>
    <w:rsid w:val="000D0B36"/>
    <w:rPr>
      <w:rFonts w:ascii="Segoe UI" w:eastAsia="Segoe UI" w:hAnsi="Segoe UI" w:cs="Segoe UI"/>
      <w:sz w:val="17"/>
      <w:szCs w:val="17"/>
      <w:shd w:val="clear" w:color="auto" w:fill="FFFFFF"/>
    </w:rPr>
  </w:style>
  <w:style w:type="paragraph" w:customStyle="1" w:styleId="137">
    <w:name w:val="Подпись к картинке (13)"/>
    <w:basedOn w:val="a0"/>
    <w:link w:val="136"/>
    <w:rsid w:val="000D0B36"/>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6"/>
    <w:rsid w:val="000D0B36"/>
    <w:rPr>
      <w:rFonts w:ascii="Franklin Gothic Book" w:eastAsia="Franklin Gothic Book" w:hAnsi="Franklin Gothic Book" w:cs="Franklin Gothic Book"/>
      <w:b/>
      <w:bCs/>
      <w:spacing w:val="-10"/>
      <w:w w:val="100"/>
      <w:sz w:val="18"/>
      <w:szCs w:val="18"/>
      <w:shd w:val="clear" w:color="auto" w:fill="FFFFFF"/>
    </w:rPr>
  </w:style>
  <w:style w:type="character" w:customStyle="1" w:styleId="362">
    <w:name w:val="Основной текст (36)_"/>
    <w:basedOn w:val="a1"/>
    <w:rsid w:val="000D0B36"/>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0D0B36"/>
    <w:rPr>
      <w:rFonts w:ascii="Segoe UI" w:eastAsia="Segoe UI" w:hAnsi="Segoe UI" w:cs="Segoe UI"/>
      <w:b w:val="0"/>
      <w:bCs w:val="0"/>
      <w:i/>
      <w:iCs/>
      <w:smallCaps w:val="0"/>
      <w:strike w:val="0"/>
      <w:spacing w:val="0"/>
      <w:w w:val="100"/>
      <w:sz w:val="16"/>
      <w:szCs w:val="16"/>
    </w:rPr>
  </w:style>
  <w:style w:type="character" w:customStyle="1" w:styleId="8b">
    <w:name w:val="Подпись к картинке (8)_"/>
    <w:basedOn w:val="a1"/>
    <w:link w:val="8c"/>
    <w:rsid w:val="000D0B36"/>
    <w:rPr>
      <w:rFonts w:ascii="Segoe UI" w:eastAsia="Segoe UI" w:hAnsi="Segoe UI" w:cs="Segoe UI"/>
      <w:sz w:val="16"/>
      <w:szCs w:val="16"/>
      <w:shd w:val="clear" w:color="auto" w:fill="FFFFFF"/>
      <w:lang w:val="en-US"/>
    </w:rPr>
  </w:style>
  <w:style w:type="paragraph" w:customStyle="1" w:styleId="8c">
    <w:name w:val="Подпись к картинке (8)"/>
    <w:basedOn w:val="a0"/>
    <w:link w:val="8b"/>
    <w:rsid w:val="000D0B36"/>
    <w:pPr>
      <w:shd w:val="clear" w:color="auto" w:fill="FFFFFF"/>
      <w:spacing w:after="0" w:line="0" w:lineRule="atLeast"/>
    </w:pPr>
    <w:rPr>
      <w:rFonts w:ascii="Segoe UI" w:eastAsia="Segoe UI" w:hAnsi="Segoe UI" w:cs="Segoe UI"/>
      <w:sz w:val="16"/>
      <w:szCs w:val="16"/>
      <w:lang w:val="en-US" w:eastAsia="ru-RU"/>
    </w:rPr>
  </w:style>
  <w:style w:type="character" w:customStyle="1" w:styleId="10c">
    <w:name w:val="Подпись к картинке (10)_"/>
    <w:basedOn w:val="a1"/>
    <w:link w:val="10d"/>
    <w:rsid w:val="000D0B36"/>
    <w:rPr>
      <w:rFonts w:ascii="Segoe UI" w:eastAsia="Segoe UI" w:hAnsi="Segoe UI" w:cs="Segoe UI"/>
      <w:sz w:val="11"/>
      <w:szCs w:val="11"/>
      <w:shd w:val="clear" w:color="auto" w:fill="FFFFFF"/>
    </w:rPr>
  </w:style>
  <w:style w:type="paragraph" w:customStyle="1" w:styleId="10d">
    <w:name w:val="Подпись к картинке (10)"/>
    <w:basedOn w:val="a0"/>
    <w:link w:val="10c"/>
    <w:rsid w:val="000D0B36"/>
    <w:pPr>
      <w:shd w:val="clear" w:color="auto" w:fill="FFFFFF"/>
      <w:spacing w:after="0" w:line="0" w:lineRule="atLeast"/>
    </w:pPr>
    <w:rPr>
      <w:rFonts w:ascii="Segoe UI" w:eastAsia="Segoe UI" w:hAnsi="Segoe UI" w:cs="Segoe UI"/>
      <w:sz w:val="11"/>
      <w:szCs w:val="11"/>
      <w:lang w:eastAsia="ru-RU"/>
    </w:rPr>
  </w:style>
  <w:style w:type="character" w:customStyle="1" w:styleId="149">
    <w:name w:val="Подпись к картинке (14)_"/>
    <w:basedOn w:val="a1"/>
    <w:link w:val="14a"/>
    <w:rsid w:val="000D0B36"/>
    <w:rPr>
      <w:rFonts w:ascii="Segoe UI" w:eastAsia="Segoe UI" w:hAnsi="Segoe UI" w:cs="Segoe UI"/>
      <w:sz w:val="18"/>
      <w:szCs w:val="18"/>
      <w:shd w:val="clear" w:color="auto" w:fill="FFFFFF"/>
    </w:rPr>
  </w:style>
  <w:style w:type="paragraph" w:customStyle="1" w:styleId="14a">
    <w:name w:val="Подпись к картинке (14)"/>
    <w:basedOn w:val="a0"/>
    <w:link w:val="149"/>
    <w:rsid w:val="000D0B36"/>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9"/>
    <w:rsid w:val="000D0B36"/>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b"/>
    <w:rsid w:val="000D0B36"/>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0D0B36"/>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0D0B36"/>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0D0B36"/>
    <w:rPr>
      <w:rFonts w:ascii="Arial Narrow" w:hAnsi="Arial Narrow" w:cs="Arial Narrow"/>
      <w:i/>
      <w:iCs/>
      <w:sz w:val="17"/>
      <w:szCs w:val="17"/>
      <w:shd w:val="clear" w:color="auto" w:fill="FFFFFF"/>
      <w:lang w:eastAsia="en-US"/>
    </w:rPr>
  </w:style>
  <w:style w:type="character" w:customStyle="1" w:styleId="96">
    <w:name w:val="Подпись к картинке (9)_"/>
    <w:basedOn w:val="a1"/>
    <w:link w:val="97"/>
    <w:rsid w:val="000D0B36"/>
    <w:rPr>
      <w:rFonts w:ascii="Segoe UI" w:eastAsia="Segoe UI" w:hAnsi="Segoe UI" w:cs="Segoe UI"/>
      <w:sz w:val="13"/>
      <w:szCs w:val="13"/>
      <w:shd w:val="clear" w:color="auto" w:fill="FFFFFF"/>
    </w:rPr>
  </w:style>
  <w:style w:type="paragraph" w:customStyle="1" w:styleId="97">
    <w:name w:val="Подпись к картинке (9)"/>
    <w:basedOn w:val="a0"/>
    <w:link w:val="96"/>
    <w:rsid w:val="000D0B36"/>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6"/>
    <w:rsid w:val="000D0B36"/>
    <w:rPr>
      <w:rFonts w:ascii="Constantia" w:eastAsia="Constantia" w:hAnsi="Constantia" w:cs="Constantia"/>
      <w:i/>
      <w:iCs/>
      <w:sz w:val="8"/>
      <w:szCs w:val="8"/>
      <w:shd w:val="clear" w:color="auto" w:fill="FFFFFF"/>
    </w:rPr>
  </w:style>
  <w:style w:type="character" w:customStyle="1" w:styleId="163">
    <w:name w:val="Подпись к картинке (16)_"/>
    <w:basedOn w:val="a1"/>
    <w:rsid w:val="000D0B36"/>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6"/>
    <w:rsid w:val="000D0B36"/>
    <w:rPr>
      <w:rFonts w:ascii="Segoe UI" w:eastAsia="Segoe UI" w:hAnsi="Segoe UI" w:cs="Segoe UI"/>
      <w:spacing w:val="-10"/>
      <w:sz w:val="10"/>
      <w:szCs w:val="10"/>
      <w:shd w:val="clear" w:color="auto" w:fill="FFFFFF"/>
    </w:rPr>
  </w:style>
  <w:style w:type="character" w:customStyle="1" w:styleId="40pt1">
    <w:name w:val="Подпись к картинке (4) + Интервал 0 pt"/>
    <w:basedOn w:val="49"/>
    <w:rsid w:val="000D0B36"/>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4"/>
    <w:rsid w:val="000D0B36"/>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5f2">
    <w:name w:val="Подпись к таблице (5)"/>
    <w:basedOn w:val="a1"/>
    <w:rsid w:val="000D0B36"/>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0D0B36"/>
    <w:rPr>
      <w:rFonts w:ascii="Arial Narrow" w:hAnsi="Arial Narrow" w:cs="Arial Narrow"/>
      <w:sz w:val="16"/>
      <w:szCs w:val="16"/>
      <w:shd w:val="clear" w:color="auto" w:fill="FFFFFF"/>
      <w:lang w:eastAsia="en-US"/>
    </w:rPr>
  </w:style>
  <w:style w:type="character" w:customStyle="1" w:styleId="4f6">
    <w:name w:val="Оглавление 4 Знак"/>
    <w:basedOn w:val="a1"/>
    <w:link w:val="4f7"/>
    <w:rsid w:val="000D0B36"/>
    <w:rPr>
      <w:rFonts w:ascii="Microsoft Sans Serif" w:eastAsia="Microsoft Sans Serif" w:hAnsi="Microsoft Sans Serif" w:cs="Microsoft Sans Serif"/>
      <w:sz w:val="15"/>
      <w:szCs w:val="15"/>
      <w:shd w:val="clear" w:color="auto" w:fill="FFFFFF"/>
    </w:rPr>
  </w:style>
  <w:style w:type="paragraph" w:styleId="4f7">
    <w:name w:val="toc 4"/>
    <w:basedOn w:val="a0"/>
    <w:link w:val="4f6"/>
    <w:autoRedefine/>
    <w:rsid w:val="000D0B36"/>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1"/>
    <w:link w:val="100"/>
    <w:rsid w:val="000D0B36"/>
    <w:rPr>
      <w:rFonts w:ascii="Lucida Sans Unicode" w:hAnsi="Lucida Sans Unicode" w:cs="Lucida Sans Unicode"/>
      <w:b/>
      <w:bCs/>
      <w:i/>
      <w:iCs/>
      <w:noProof/>
      <w:sz w:val="16"/>
      <w:szCs w:val="16"/>
      <w:shd w:val="clear" w:color="auto" w:fill="FFFFFF"/>
      <w:lang w:val="en-US" w:eastAsia="en-US"/>
    </w:rPr>
  </w:style>
  <w:style w:type="character" w:customStyle="1" w:styleId="1pt1">
    <w:name w:val="Основной текст + Курсив;Интервал 1 pt"/>
    <w:basedOn w:val="aff2"/>
    <w:rsid w:val="000D0B36"/>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8">
    <w:name w:val="Подпись к картинке (4) + Не полужирный"/>
    <w:basedOn w:val="49"/>
    <w:rsid w:val="000D0B36"/>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0D0B36"/>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2">
    <w:name w:val="Основной текст + 8 pt;Полужирный"/>
    <w:basedOn w:val="aff2"/>
    <w:rsid w:val="000D0B36"/>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d"/>
    <w:rsid w:val="000D0B36"/>
    <w:rPr>
      <w:rFonts w:ascii="Microsoft Sans Serif" w:eastAsia="Microsoft Sans Serif" w:hAnsi="Microsoft Sans Serif" w:cs="Microsoft Sans Serif"/>
      <w:b w:val="0"/>
      <w:bCs w:val="0"/>
      <w:i/>
      <w:iCs/>
      <w:smallCaps w:val="0"/>
      <w:strike w:val="0"/>
      <w:spacing w:val="0"/>
      <w:sz w:val="13"/>
      <w:szCs w:val="13"/>
      <w:shd w:val="clear" w:color="auto" w:fill="FFFFFF"/>
      <w:lang w:val="en-US" w:eastAsia="en-US"/>
    </w:rPr>
  </w:style>
  <w:style w:type="character" w:customStyle="1" w:styleId="1021">
    <w:name w:val="Заголовок №10 (2)_"/>
    <w:basedOn w:val="a1"/>
    <w:link w:val="1022"/>
    <w:rsid w:val="000D0B36"/>
    <w:rPr>
      <w:rFonts w:ascii="Microsoft Sans Serif" w:eastAsia="Microsoft Sans Serif" w:hAnsi="Microsoft Sans Serif" w:cs="Microsoft Sans Serif"/>
      <w:sz w:val="15"/>
      <w:szCs w:val="15"/>
      <w:shd w:val="clear" w:color="auto" w:fill="FFFFFF"/>
    </w:rPr>
  </w:style>
  <w:style w:type="paragraph" w:customStyle="1" w:styleId="1022">
    <w:name w:val="Заголовок №10 (2)"/>
    <w:basedOn w:val="a0"/>
    <w:link w:val="1021"/>
    <w:rsid w:val="000D0B36"/>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9">
    <w:name w:val="Подпись к картинке (4) + Не полужирный;Малые прописные"/>
    <w:basedOn w:val="49"/>
    <w:rsid w:val="000D0B36"/>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0D0B36"/>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8">
    <w:name w:val="Основной текст (21)_"/>
    <w:basedOn w:val="a1"/>
    <w:link w:val="219"/>
    <w:rsid w:val="000D0B36"/>
    <w:rPr>
      <w:rFonts w:ascii="Microsoft Sans Serif" w:eastAsia="Microsoft Sans Serif" w:hAnsi="Microsoft Sans Serif" w:cs="Microsoft Sans Serif"/>
      <w:sz w:val="48"/>
      <w:szCs w:val="48"/>
      <w:shd w:val="clear" w:color="auto" w:fill="FFFFFF"/>
    </w:rPr>
  </w:style>
  <w:style w:type="paragraph" w:customStyle="1" w:styleId="219">
    <w:name w:val="Основной текст (21)"/>
    <w:basedOn w:val="a0"/>
    <w:link w:val="218"/>
    <w:rsid w:val="000D0B36"/>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2"/>
    <w:rsid w:val="000D0B36"/>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6">
    <w:name w:val="Подпись к картинке (7)_"/>
    <w:basedOn w:val="a1"/>
    <w:link w:val="75"/>
    <w:rsid w:val="000D0B36"/>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0D0B36"/>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a">
    <w:name w:val="Основной текст (22)_"/>
    <w:basedOn w:val="a1"/>
    <w:link w:val="22b"/>
    <w:rsid w:val="000D0B36"/>
    <w:rPr>
      <w:rFonts w:ascii="Franklin Gothic Demi" w:eastAsia="Franklin Gothic Demi" w:hAnsi="Franklin Gothic Demi" w:cs="Franklin Gothic Demi"/>
      <w:sz w:val="17"/>
      <w:szCs w:val="17"/>
      <w:shd w:val="clear" w:color="auto" w:fill="FFFFFF"/>
    </w:rPr>
  </w:style>
  <w:style w:type="paragraph" w:customStyle="1" w:styleId="22b">
    <w:name w:val="Основной текст (22)"/>
    <w:basedOn w:val="a0"/>
    <w:link w:val="22a"/>
    <w:rsid w:val="000D0B36"/>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1">
    <w:name w:val="Заголовок №11 (2)_"/>
    <w:basedOn w:val="a1"/>
    <w:link w:val="1122"/>
    <w:rsid w:val="000D0B36"/>
    <w:rPr>
      <w:rFonts w:ascii="Franklin Gothic Demi" w:eastAsia="Franklin Gothic Demi" w:hAnsi="Franklin Gothic Demi" w:cs="Franklin Gothic Demi"/>
      <w:sz w:val="17"/>
      <w:szCs w:val="17"/>
      <w:shd w:val="clear" w:color="auto" w:fill="FFFFFF"/>
    </w:rPr>
  </w:style>
  <w:style w:type="paragraph" w:customStyle="1" w:styleId="1122">
    <w:name w:val="Заголовок №11 (2)"/>
    <w:basedOn w:val="a0"/>
    <w:link w:val="1121"/>
    <w:rsid w:val="000D0B36"/>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0D0B36"/>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f"/>
    <w:rsid w:val="000D0B36"/>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ffff0">
    <w:name w:val="List Paragraph"/>
    <w:basedOn w:val="a0"/>
    <w:qFormat/>
    <w:rsid w:val="000D0B36"/>
    <w:pPr>
      <w:spacing w:after="0" w:line="360" w:lineRule="auto"/>
      <w:ind w:left="720"/>
      <w:contextualSpacing/>
      <w:jc w:val="both"/>
    </w:pPr>
    <w:rPr>
      <w:rFonts w:asciiTheme="minorHAnsi" w:eastAsiaTheme="minorHAnsi" w:hAnsiTheme="minorHAnsi" w:cstheme="minorBidi"/>
    </w:rPr>
  </w:style>
  <w:style w:type="paragraph" w:customStyle="1" w:styleId="194">
    <w:name w:val="Основной текст19"/>
    <w:basedOn w:val="a0"/>
    <w:rsid w:val="000D0B36"/>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3">
    <w:name w:val="Заголовок №4 (2)"/>
    <w:basedOn w:val="a1"/>
    <w:rsid w:val="000D0B36"/>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0D0B36"/>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d"/>
    <w:rsid w:val="000D0B36"/>
    <w:rPr>
      <w:rFonts w:ascii="Arial Unicode MS" w:eastAsia="Arial Unicode MS" w:hAnsi="Arial Unicode MS" w:cs="Arial Unicode MS"/>
      <w:b/>
      <w:bCs/>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d"/>
    <w:rsid w:val="000D0B36"/>
    <w:rPr>
      <w:rFonts w:ascii="Arial Unicode MS" w:eastAsia="Arial Unicode MS" w:hAnsi="Arial Unicode MS" w:cs="Arial Unicode MS"/>
      <w:b/>
      <w:bCs/>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0D0B36"/>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0D0B36"/>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2"/>
    <w:rsid w:val="000D0B36"/>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0D0B36"/>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430">
    <w:name w:val="Основной текст (43)_"/>
    <w:basedOn w:val="a1"/>
    <w:link w:val="43"/>
    <w:rsid w:val="000D0B36"/>
    <w:rPr>
      <w:rFonts w:ascii="Lucida Sans Unicode" w:hAnsi="Lucida Sans Unicode" w:cs="Lucida Sans Unicode"/>
      <w:noProof/>
      <w:sz w:val="8"/>
      <w:szCs w:val="8"/>
      <w:shd w:val="clear" w:color="auto" w:fill="FFFFFF"/>
      <w:lang w:val="en-US" w:eastAsia="en-US"/>
    </w:rPr>
  </w:style>
  <w:style w:type="character" w:customStyle="1" w:styleId="482">
    <w:name w:val="Основной текст (48)_"/>
    <w:basedOn w:val="a1"/>
    <w:rsid w:val="000D0B36"/>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0D0B36"/>
    <w:rPr>
      <w:rFonts w:ascii="Lucida Sans Unicode" w:hAnsi="Lucida Sans Unicode" w:cs="Lucida Sans Unicode"/>
      <w:b/>
      <w:bCs/>
      <w:noProof/>
      <w:sz w:val="13"/>
      <w:szCs w:val="13"/>
      <w:shd w:val="clear" w:color="auto" w:fill="FFFFFF"/>
      <w:lang w:val="en-US" w:eastAsia="en-US"/>
    </w:rPr>
  </w:style>
  <w:style w:type="character" w:customStyle="1" w:styleId="483">
    <w:name w:val="Основной текст (48)"/>
    <w:basedOn w:val="482"/>
    <w:rsid w:val="000D0B36"/>
    <w:rPr>
      <w:rFonts w:ascii="Tahoma" w:eastAsia="Tahoma" w:hAnsi="Tahoma" w:cs="Tahoma"/>
      <w:b w:val="0"/>
      <w:bCs w:val="0"/>
      <w:i w:val="0"/>
      <w:iCs w:val="0"/>
      <w:smallCaps w:val="0"/>
      <w:strike w:val="0"/>
      <w:spacing w:val="10"/>
      <w:sz w:val="75"/>
      <w:szCs w:val="75"/>
    </w:rPr>
  </w:style>
  <w:style w:type="character" w:customStyle="1" w:styleId="306">
    <w:name w:val="Основной текст (30)_"/>
    <w:basedOn w:val="a1"/>
    <w:link w:val="307"/>
    <w:rsid w:val="000D0B36"/>
    <w:rPr>
      <w:rFonts w:ascii="Segoe UI" w:eastAsia="Segoe UI" w:hAnsi="Segoe UI" w:cs="Segoe UI"/>
      <w:sz w:val="14"/>
      <w:szCs w:val="14"/>
      <w:shd w:val="clear" w:color="auto" w:fill="FFFFFF"/>
    </w:rPr>
  </w:style>
  <w:style w:type="paragraph" w:customStyle="1" w:styleId="307">
    <w:name w:val="Основной текст (30)"/>
    <w:basedOn w:val="a0"/>
    <w:link w:val="306"/>
    <w:rsid w:val="000D0B36"/>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1"/>
    <w:link w:val="350"/>
    <w:rsid w:val="000D0B36"/>
    <w:rPr>
      <w:rFonts w:ascii="MS Reference Sans Serif" w:hAnsi="MS Reference Sans Serif" w:cs="MS Reference Sans Serif"/>
      <w:spacing w:val="-10"/>
      <w:sz w:val="14"/>
      <w:szCs w:val="14"/>
      <w:shd w:val="clear" w:color="auto" w:fill="FFFFFF"/>
      <w:lang w:eastAsia="en-US"/>
    </w:rPr>
  </w:style>
  <w:style w:type="character" w:customStyle="1" w:styleId="233">
    <w:name w:val="Подпись к картинке (23)_"/>
    <w:basedOn w:val="a1"/>
    <w:link w:val="234"/>
    <w:rsid w:val="000D0B36"/>
    <w:rPr>
      <w:rFonts w:ascii="Impact" w:eastAsia="Impact" w:hAnsi="Impact" w:cs="Impact"/>
      <w:sz w:val="12"/>
      <w:szCs w:val="12"/>
      <w:shd w:val="clear" w:color="auto" w:fill="FFFFFF"/>
    </w:rPr>
  </w:style>
  <w:style w:type="paragraph" w:customStyle="1" w:styleId="234">
    <w:name w:val="Подпись к картинке (23)"/>
    <w:basedOn w:val="a0"/>
    <w:link w:val="233"/>
    <w:rsid w:val="000D0B36"/>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4"/>
    <w:rsid w:val="000D0B36"/>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14b">
    <w:name w:val="Основной текст14"/>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0D0B36"/>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a">
    <w:name w:val="Заголовок №4"/>
    <w:basedOn w:val="a1"/>
    <w:rsid w:val="000D0B36"/>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2"/>
    <w:rsid w:val="000D0B36"/>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d">
    <w:name w:val="Заголовок №6_"/>
    <w:basedOn w:val="a1"/>
    <w:rsid w:val="000D0B36"/>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a">
    <w:name w:val="Основной текст (21) + Не полужирный"/>
    <w:basedOn w:val="218"/>
    <w:rsid w:val="000D0B36"/>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affffff1">
    <w:name w:val="Подпись к картинке + Не полужирный"/>
    <w:basedOn w:val="affd"/>
    <w:rsid w:val="000D0B36"/>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331">
    <w:name w:val="Основной текст (33)_"/>
    <w:basedOn w:val="a1"/>
    <w:link w:val="330"/>
    <w:rsid w:val="000D0B36"/>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8"/>
    <w:rsid w:val="000D0B36"/>
    <w:rPr>
      <w:rFonts w:ascii="Arial Unicode MS" w:eastAsia="Arial Unicode MS" w:hAnsi="Arial Unicode MS" w:cs="Arial Unicode MS"/>
      <w:b/>
      <w:bCs/>
      <w:sz w:val="12"/>
      <w:szCs w:val="12"/>
      <w:shd w:val="clear" w:color="auto" w:fill="FFFFFF"/>
    </w:rPr>
  </w:style>
  <w:style w:type="character" w:customStyle="1" w:styleId="626">
    <w:name w:val="Заголовок №6 (2)_"/>
    <w:basedOn w:val="a1"/>
    <w:rsid w:val="000D0B36"/>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6">
    <w:name w:val="Основной текст (15)_"/>
    <w:basedOn w:val="a1"/>
    <w:link w:val="157"/>
    <w:rsid w:val="000D0B36"/>
    <w:rPr>
      <w:sz w:val="17"/>
      <w:szCs w:val="17"/>
      <w:shd w:val="clear" w:color="auto" w:fill="FFFFFF"/>
    </w:rPr>
  </w:style>
  <w:style w:type="paragraph" w:customStyle="1" w:styleId="157">
    <w:name w:val="Основной текст (15)"/>
    <w:basedOn w:val="a0"/>
    <w:link w:val="156"/>
    <w:rsid w:val="000D0B36"/>
    <w:pPr>
      <w:shd w:val="clear" w:color="auto" w:fill="FFFFFF"/>
      <w:spacing w:after="0" w:line="241" w:lineRule="exact"/>
      <w:ind w:hanging="140"/>
    </w:pPr>
    <w:rPr>
      <w:sz w:val="17"/>
      <w:szCs w:val="17"/>
      <w:lang w:eastAsia="ru-RU"/>
    </w:rPr>
  </w:style>
  <w:style w:type="character" w:customStyle="1" w:styleId="14-1pt0">
    <w:name w:val="Подпись к картинке (14) + Интервал -1 pt"/>
    <w:basedOn w:val="149"/>
    <w:rsid w:val="000D0B36"/>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3">
    <w:name w:val="Основной текст52"/>
    <w:basedOn w:val="a0"/>
    <w:rsid w:val="000D0B36"/>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ArialUnicodeMS5pt0pt">
    <w:name w:val="Подпись к картинке + Arial Unicode MS;5 pt;Не полужирный;Интервал 0 pt"/>
    <w:basedOn w:val="affd"/>
    <w:rsid w:val="000D0B36"/>
    <w:rPr>
      <w:rFonts w:ascii="Arial Unicode MS" w:eastAsia="Arial Unicode MS" w:hAnsi="Arial Unicode MS" w:cs="Arial Unicode MS"/>
      <w:b/>
      <w:bCs/>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0D0B36"/>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0D0B36"/>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0D0B36"/>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3">
    <w:name w:val="Основной текст (29) + Не курсив"/>
    <w:basedOn w:val="a1"/>
    <w:rsid w:val="000D0B36"/>
    <w:rPr>
      <w:rFonts w:ascii="Segoe UI" w:eastAsia="Segoe UI" w:hAnsi="Segoe UI" w:cs="Segoe UI"/>
      <w:b w:val="0"/>
      <w:bCs w:val="0"/>
      <w:i/>
      <w:iCs/>
      <w:smallCaps w:val="0"/>
      <w:strike w:val="0"/>
      <w:spacing w:val="0"/>
      <w:sz w:val="15"/>
      <w:szCs w:val="15"/>
    </w:rPr>
  </w:style>
  <w:style w:type="paragraph" w:styleId="3fd">
    <w:name w:val="toc 3"/>
    <w:basedOn w:val="a0"/>
    <w:next w:val="a0"/>
    <w:autoRedefine/>
    <w:uiPriority w:val="39"/>
    <w:unhideWhenUsed/>
    <w:rsid w:val="000D0B36"/>
    <w:pPr>
      <w:spacing w:after="100" w:line="360" w:lineRule="auto"/>
      <w:ind w:left="440"/>
      <w:jc w:val="both"/>
    </w:pPr>
    <w:rPr>
      <w:rFonts w:asciiTheme="minorHAnsi" w:eastAsiaTheme="minorHAnsi" w:hAnsiTheme="minorHAnsi" w:cstheme="minorBidi"/>
    </w:rPr>
  </w:style>
  <w:style w:type="character" w:customStyle="1" w:styleId="2fd">
    <w:name w:val="Оглавление (2)"/>
    <w:basedOn w:val="a1"/>
    <w:rsid w:val="000D0B36"/>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fff2">
    <w:name w:val="Подпись к картинке + Не полужирный;Курсив"/>
    <w:basedOn w:val="affd"/>
    <w:rsid w:val="000D0B36"/>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2"/>
    <w:rsid w:val="000D0B36"/>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2">
    <w:name w:val="Основной текст6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0D0B36"/>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3">
    <w:name w:val="Основной текст7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2">
    <w:name w:val="Основной текст66"/>
    <w:basedOn w:val="aff2"/>
    <w:rsid w:val="000D0B36"/>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5"/>
    <w:rsid w:val="000D0B36"/>
    <w:rPr>
      <w:rFonts w:ascii="Franklin Gothic Book" w:eastAsia="Franklin Gothic Book" w:hAnsi="Franklin Gothic Book" w:cs="Franklin Gothic Book"/>
      <w:b/>
      <w:bCs/>
      <w:i/>
      <w:iCs/>
      <w:color w:val="FFFFFF"/>
      <w:spacing w:val="0"/>
      <w:sz w:val="26"/>
      <w:szCs w:val="26"/>
      <w:shd w:val="clear" w:color="auto" w:fill="FFFFFF"/>
    </w:rPr>
  </w:style>
  <w:style w:type="character" w:customStyle="1" w:styleId="381">
    <w:name w:val="Основной текст (38) + Не полужирный"/>
    <w:basedOn w:val="380"/>
    <w:rsid w:val="000D0B36"/>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1">
    <w:name w:val="Основной текст7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1">
    <w:name w:val="Основной текст7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1">
    <w:name w:val="Основной текст7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2"/>
    <w:rsid w:val="000D0B36"/>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1">
    <w:name w:val="Основной текст74"/>
    <w:basedOn w:val="aff2"/>
    <w:rsid w:val="000D0B36"/>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b"/>
    <w:rsid w:val="000D0B36"/>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1">
    <w:name w:val="Основной текст7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1">
    <w:name w:val="Основной текст7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6"/>
    <w:rsid w:val="000D0B36"/>
    <w:rPr>
      <w:rFonts w:ascii="Franklin Gothic Book" w:eastAsia="Franklin Gothic Book" w:hAnsi="Franklin Gothic Book" w:cs="Franklin Gothic Book"/>
      <w:b w:val="0"/>
      <w:bCs w:val="0"/>
      <w:i w:val="0"/>
      <w:iCs w:val="0"/>
      <w:smallCaps w:val="0"/>
      <w:strike w:val="0"/>
      <w:spacing w:val="0"/>
      <w:sz w:val="42"/>
      <w:szCs w:val="42"/>
      <w:shd w:val="clear" w:color="auto" w:fill="FFFFFF"/>
    </w:rPr>
  </w:style>
  <w:style w:type="character" w:customStyle="1" w:styleId="98">
    <w:name w:val="Основной текст (9)_"/>
    <w:basedOn w:val="a1"/>
    <w:rsid w:val="000D0B36"/>
    <w:rPr>
      <w:rFonts w:ascii="Segoe UI" w:eastAsia="Segoe UI" w:hAnsi="Segoe UI" w:cs="Segoe UI"/>
      <w:b w:val="0"/>
      <w:bCs w:val="0"/>
      <w:i w:val="0"/>
      <w:iCs w:val="0"/>
      <w:smallCaps w:val="0"/>
      <w:strike w:val="0"/>
      <w:spacing w:val="0"/>
      <w:sz w:val="18"/>
      <w:szCs w:val="18"/>
    </w:rPr>
  </w:style>
  <w:style w:type="character" w:customStyle="1" w:styleId="517pt">
    <w:name w:val="Основной текст (51) + 7 pt;Не полужирный"/>
    <w:basedOn w:val="512"/>
    <w:rsid w:val="000D0B36"/>
    <w:rPr>
      <w:rFonts w:ascii="Segoe UI" w:eastAsia="Segoe UI" w:hAnsi="Segoe UI" w:cs="Segoe UI"/>
      <w:b/>
      <w:bCs/>
      <w:i w:val="0"/>
      <w:iCs w:val="0"/>
      <w:smallCaps w:val="0"/>
      <w:strike w:val="0"/>
      <w:spacing w:val="0"/>
      <w:sz w:val="14"/>
      <w:szCs w:val="14"/>
      <w:shd w:val="clear" w:color="auto" w:fill="FFFFFF"/>
      <w:lang w:eastAsia="en-US"/>
    </w:rPr>
  </w:style>
  <w:style w:type="character" w:customStyle="1" w:styleId="790">
    <w:name w:val="Основной текст79"/>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2">
    <w:name w:val="Основной текст81"/>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0"/>
    <w:rsid w:val="000D0B36"/>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3">
    <w:name w:val="Основной текст (44)_"/>
    <w:basedOn w:val="a1"/>
    <w:rsid w:val="000D0B36"/>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4">
    <w:name w:val="Основной текст (44) + Не курсив"/>
    <w:basedOn w:val="443"/>
    <w:rsid w:val="000D0B36"/>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2"/>
    <w:rsid w:val="000D0B36"/>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2"/>
    <w:rsid w:val="000D0B36"/>
    <w:rPr>
      <w:rFonts w:ascii="Segoe UI" w:eastAsia="Segoe UI" w:hAnsi="Segoe UI" w:cs="Segoe UI"/>
      <w:b w:val="0"/>
      <w:bCs w:val="0"/>
      <w:i w:val="0"/>
      <w:iCs w:val="0"/>
      <w:smallCaps w:val="0"/>
      <w:strike w:val="0"/>
      <w:spacing w:val="0"/>
      <w:sz w:val="8"/>
      <w:szCs w:val="8"/>
      <w:shd w:val="clear" w:color="auto" w:fill="FFFFFF"/>
    </w:rPr>
  </w:style>
  <w:style w:type="character" w:customStyle="1" w:styleId="14c">
    <w:name w:val="Подпись к картинке (14) + Полужирный;Не курсив"/>
    <w:basedOn w:val="149"/>
    <w:rsid w:val="000D0B36"/>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2"/>
    <w:rsid w:val="000D0B36"/>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65pt">
    <w:name w:val="Основной текст (68) + 6;5 pt;Полужирный"/>
    <w:basedOn w:val="680"/>
    <w:rsid w:val="000D0B36"/>
    <w:rPr>
      <w:rFonts w:ascii="Franklin Gothic Book" w:eastAsia="Franklin Gothic Book" w:hAnsi="Franklin Gothic Book" w:cs="Franklin Gothic Book"/>
      <w:b/>
      <w:bCs/>
      <w:i w:val="0"/>
      <w:iCs w:val="0"/>
      <w:smallCaps w:val="0"/>
      <w:strike w:val="0"/>
      <w:noProof/>
      <w:spacing w:val="0"/>
      <w:sz w:val="13"/>
      <w:szCs w:val="13"/>
      <w:shd w:val="clear" w:color="auto" w:fill="FFFFFF"/>
    </w:rPr>
  </w:style>
  <w:style w:type="character" w:customStyle="1" w:styleId="7f">
    <w:name w:val="Заголовок №7_"/>
    <w:basedOn w:val="a1"/>
    <w:link w:val="7f0"/>
    <w:rsid w:val="000D0B36"/>
    <w:rPr>
      <w:rFonts w:ascii="Franklin Gothic Book" w:eastAsia="Franklin Gothic Book" w:hAnsi="Franklin Gothic Book" w:cs="Franklin Gothic Book"/>
      <w:spacing w:val="-50"/>
      <w:sz w:val="78"/>
      <w:szCs w:val="78"/>
      <w:shd w:val="clear" w:color="auto" w:fill="FFFFFF"/>
    </w:rPr>
  </w:style>
  <w:style w:type="paragraph" w:customStyle="1" w:styleId="7f0">
    <w:name w:val="Заголовок №7"/>
    <w:basedOn w:val="a0"/>
    <w:link w:val="7f"/>
    <w:rsid w:val="000D0B36"/>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f"/>
    <w:rsid w:val="000D0B36"/>
    <w:rPr>
      <w:rFonts w:ascii="Franklin Gothic Book" w:eastAsia="Franklin Gothic Book" w:hAnsi="Franklin Gothic Book" w:cs="Franklin Gothic Book"/>
      <w:spacing w:val="-10"/>
      <w:sz w:val="78"/>
      <w:szCs w:val="78"/>
      <w:shd w:val="clear" w:color="auto" w:fill="FFFFFF"/>
    </w:rPr>
  </w:style>
  <w:style w:type="character" w:customStyle="1" w:styleId="930">
    <w:name w:val="Основной текст9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1"/>
    <w:rsid w:val="000D0B36"/>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0D0B36"/>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0">
    <w:name w:val="Основной текст9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3">
    <w:name w:val="Основной текст (71)_"/>
    <w:basedOn w:val="a1"/>
    <w:rsid w:val="000D0B36"/>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4">
    <w:name w:val="Основной текст (71)"/>
    <w:basedOn w:val="713"/>
    <w:rsid w:val="000D0B36"/>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970">
    <w:name w:val="Основной текст9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0">
    <w:name w:val="Основной текст9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1"/>
    <w:rsid w:val="000D0B36"/>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732">
    <w:name w:val="Основной текст (73)_"/>
    <w:basedOn w:val="a1"/>
    <w:rsid w:val="000D0B36"/>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2"/>
    <w:rsid w:val="000D0B36"/>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3">
    <w:name w:val="Основной текст (73)"/>
    <w:basedOn w:val="732"/>
    <w:rsid w:val="000D0B36"/>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2">
    <w:name w:val="Основной текст10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4">
    <w:name w:val="Основной текст (48) + Не курсив"/>
    <w:basedOn w:val="482"/>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2"/>
    <w:rsid w:val="000D0B36"/>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3">
    <w:name w:val="Основной текст10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0">
    <w:name w:val="Основной текст109"/>
    <w:basedOn w:val="aff2"/>
    <w:rsid w:val="000D0B36"/>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2">
    <w:name w:val="Основной текст (39)_"/>
    <w:basedOn w:val="a1"/>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4">
    <w:name w:val="Основной текст6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3">
    <w:name w:val="Основной текст6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3">
    <w:name w:val="Основной текст6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1">
    <w:name w:val="Основной текст (46)_"/>
    <w:basedOn w:val="a1"/>
    <w:rsid w:val="000D0B36"/>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3">
    <w:name w:val="Основной текст (39) + Не полужирный"/>
    <w:basedOn w:val="392"/>
    <w:rsid w:val="000D0B36"/>
    <w:rPr>
      <w:rFonts w:ascii="Franklin Gothic Book" w:eastAsia="Franklin Gothic Book" w:hAnsi="Franklin Gothic Book" w:cs="Franklin Gothic Book"/>
      <w:b/>
      <w:bCs/>
      <w:i w:val="0"/>
      <w:iCs w:val="0"/>
      <w:smallCaps w:val="0"/>
      <w:strike w:val="0"/>
      <w:spacing w:val="0"/>
      <w:sz w:val="13"/>
      <w:szCs w:val="13"/>
    </w:rPr>
  </w:style>
  <w:style w:type="character" w:customStyle="1" w:styleId="462">
    <w:name w:val="Основной текст (46)"/>
    <w:basedOn w:val="461"/>
    <w:rsid w:val="000D0B36"/>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1ArialNarrow4pt">
    <w:name w:val="Основной текст (61) + Arial Narrow;4 pt"/>
    <w:basedOn w:val="613"/>
    <w:rsid w:val="000D0B36"/>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3"/>
    <w:rsid w:val="000D0B36"/>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0D0B36"/>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0D0B36"/>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e">
    <w:name w:val="Заголовок №2_"/>
    <w:basedOn w:val="a1"/>
    <w:rsid w:val="000D0B36"/>
    <w:rPr>
      <w:rFonts w:ascii="Tahoma" w:eastAsia="Tahoma" w:hAnsi="Tahoma" w:cs="Tahoma"/>
      <w:b w:val="0"/>
      <w:bCs w:val="0"/>
      <w:i w:val="0"/>
      <w:iCs w:val="0"/>
      <w:smallCaps w:val="0"/>
      <w:strike w:val="0"/>
      <w:spacing w:val="0"/>
      <w:sz w:val="18"/>
      <w:szCs w:val="18"/>
    </w:rPr>
  </w:style>
  <w:style w:type="character" w:customStyle="1" w:styleId="375">
    <w:name w:val="Основной текст (3) + Не курсив;Масштаб 75%"/>
    <w:basedOn w:val="35"/>
    <w:rsid w:val="000D0B36"/>
    <w:rPr>
      <w:rFonts w:ascii="Franklin Gothic Book" w:eastAsia="Franklin Gothic Book" w:hAnsi="Franklin Gothic Book" w:cs="Franklin Gothic Book"/>
      <w:i/>
      <w:iCs/>
      <w:spacing w:val="0"/>
      <w:w w:val="75"/>
      <w:sz w:val="19"/>
      <w:szCs w:val="19"/>
      <w:shd w:val="clear" w:color="auto" w:fill="FFFFFF"/>
    </w:rPr>
  </w:style>
  <w:style w:type="character" w:customStyle="1" w:styleId="5800">
    <w:name w:val="Основной текст (5) + Курсив;Масштаб 80%"/>
    <w:basedOn w:val="5f"/>
    <w:rsid w:val="000D0B36"/>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801">
    <w:name w:val="Основной текст + Курсив;Масштаб 80%"/>
    <w:basedOn w:val="aff2"/>
    <w:rsid w:val="000D0B36"/>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0D0B36"/>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2"/>
    <w:rsid w:val="000D0B36"/>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e">
    <w:name w:val="Подпись к картинке (3) + Полужирный"/>
    <w:basedOn w:val="38"/>
    <w:rsid w:val="000D0B36"/>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f">
    <w:name w:val="Подпись к картинке (3) + Курсив"/>
    <w:basedOn w:val="38"/>
    <w:rsid w:val="000D0B36"/>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a">
    <w:name w:val="Колонтитул_"/>
    <w:basedOn w:val="a1"/>
    <w:link w:val="aff9"/>
    <w:rsid w:val="000D0B36"/>
    <w:rPr>
      <w:rFonts w:ascii="Times New Roman" w:hAnsi="Times New Roman"/>
      <w:shd w:val="clear" w:color="auto" w:fill="FFFFFF"/>
      <w:lang w:eastAsia="en-US"/>
    </w:rPr>
  </w:style>
  <w:style w:type="character" w:customStyle="1" w:styleId="SegoeUI7pt">
    <w:name w:val="Колонтитул + Segoe UI;7 pt"/>
    <w:basedOn w:val="affa"/>
    <w:rsid w:val="000D0B36"/>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0D0B36"/>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2"/>
    <w:rsid w:val="000D0B36"/>
    <w:rPr>
      <w:rFonts w:ascii="Arial" w:eastAsia="Arial" w:hAnsi="Arial" w:cs="Arial"/>
      <w:b w:val="0"/>
      <w:bCs w:val="0"/>
      <w:i w:val="0"/>
      <w:iCs w:val="0"/>
      <w:smallCaps w:val="0"/>
      <w:strike w:val="0"/>
      <w:spacing w:val="0"/>
      <w:sz w:val="14"/>
      <w:szCs w:val="14"/>
      <w:shd w:val="clear" w:color="auto" w:fill="FFFFFF"/>
    </w:rPr>
  </w:style>
  <w:style w:type="character" w:customStyle="1" w:styleId="615">
    <w:name w:val="Основной текст61"/>
    <w:basedOn w:val="aff2"/>
    <w:rsid w:val="000D0B36"/>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0"/>
    <w:rsid w:val="000D0B36"/>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85">
    <w:name w:val="Основной текст (18) + Не курсив"/>
    <w:basedOn w:val="183"/>
    <w:rsid w:val="000D0B36"/>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0D0B36"/>
    <w:rPr>
      <w:rFonts w:cs="PT Sans"/>
      <w:color w:val="000000"/>
      <w:sz w:val="20"/>
      <w:szCs w:val="20"/>
    </w:rPr>
  </w:style>
  <w:style w:type="character" w:customStyle="1" w:styleId="451">
    <w:name w:val="Основной текст (45)_"/>
    <w:basedOn w:val="a1"/>
    <w:rsid w:val="000D0B36"/>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3"/>
    <w:rsid w:val="000D0B36"/>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1"/>
    <w:rsid w:val="000D0B36"/>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2">
    <w:name w:val="Основной текст (45)"/>
    <w:basedOn w:val="451"/>
    <w:rsid w:val="000D0B36"/>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0D0B36"/>
    <w:pPr>
      <w:shd w:val="clear" w:color="auto" w:fill="FFFFFF"/>
      <w:spacing w:after="240" w:line="224" w:lineRule="exact"/>
      <w:jc w:val="both"/>
    </w:pPr>
    <w:rPr>
      <w:b/>
      <w:bCs/>
      <w:i/>
      <w:iCs/>
      <w:sz w:val="15"/>
      <w:szCs w:val="15"/>
      <w:lang w:eastAsia="ru-RU"/>
    </w:rPr>
  </w:style>
  <w:style w:type="character" w:customStyle="1" w:styleId="424">
    <w:name w:val="Основной текст (42)_"/>
    <w:basedOn w:val="a1"/>
    <w:rsid w:val="000D0B36"/>
    <w:rPr>
      <w:rFonts w:ascii="Trebuchet MS" w:eastAsia="Trebuchet MS" w:hAnsi="Trebuchet MS" w:cs="Trebuchet MS"/>
      <w:b w:val="0"/>
      <w:bCs w:val="0"/>
      <w:i w:val="0"/>
      <w:iCs w:val="0"/>
      <w:smallCaps w:val="0"/>
      <w:strike w:val="0"/>
      <w:spacing w:val="0"/>
      <w:sz w:val="17"/>
      <w:szCs w:val="17"/>
    </w:rPr>
  </w:style>
  <w:style w:type="character" w:customStyle="1" w:styleId="138">
    <w:name w:val="Заголовок №13_"/>
    <w:basedOn w:val="a1"/>
    <w:rsid w:val="000D0B36"/>
    <w:rPr>
      <w:rFonts w:ascii="Trebuchet MS" w:eastAsia="Trebuchet MS" w:hAnsi="Trebuchet MS" w:cs="Trebuchet MS"/>
      <w:b w:val="0"/>
      <w:bCs w:val="0"/>
      <w:i w:val="0"/>
      <w:iCs w:val="0"/>
      <w:smallCaps w:val="0"/>
      <w:strike w:val="0"/>
      <w:spacing w:val="0"/>
      <w:sz w:val="44"/>
      <w:szCs w:val="44"/>
    </w:rPr>
  </w:style>
  <w:style w:type="character" w:customStyle="1" w:styleId="139">
    <w:name w:val="Заголовок №13"/>
    <w:basedOn w:val="138"/>
    <w:rsid w:val="000D0B36"/>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2">
    <w:name w:val="Основной текст91"/>
    <w:basedOn w:val="a0"/>
    <w:rsid w:val="000D0B36"/>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0D0B36"/>
    <w:rPr>
      <w:b w:val="0"/>
      <w:bCs w:val="0"/>
      <w:i w:val="0"/>
      <w:iCs w:val="0"/>
      <w:smallCaps w:val="0"/>
      <w:strike w:val="0"/>
      <w:spacing w:val="0"/>
      <w:sz w:val="12"/>
      <w:szCs w:val="12"/>
    </w:rPr>
  </w:style>
  <w:style w:type="character" w:customStyle="1" w:styleId="371">
    <w:name w:val="Основной текст (37)_"/>
    <w:basedOn w:val="a1"/>
    <w:rsid w:val="000D0B36"/>
    <w:rPr>
      <w:rFonts w:ascii="Times New Roman" w:eastAsia="Times New Roman" w:hAnsi="Times New Roman" w:cs="Times New Roman"/>
      <w:b w:val="0"/>
      <w:bCs w:val="0"/>
      <w:i w:val="0"/>
      <w:iCs w:val="0"/>
      <w:smallCaps w:val="0"/>
      <w:strike w:val="0"/>
      <w:spacing w:val="-20"/>
      <w:sz w:val="21"/>
      <w:szCs w:val="21"/>
    </w:rPr>
  </w:style>
  <w:style w:type="character" w:customStyle="1" w:styleId="472">
    <w:name w:val="Основной текст (47)_"/>
    <w:basedOn w:val="a1"/>
    <w:rsid w:val="000D0B36"/>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3">
    <w:name w:val="Основной текст (47)"/>
    <w:basedOn w:val="472"/>
    <w:rsid w:val="000D0B36"/>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2">
    <w:name w:val="Заголовок №20 (4)_"/>
    <w:basedOn w:val="a1"/>
    <w:rsid w:val="000D0B36"/>
    <w:rPr>
      <w:rFonts w:ascii="Tahoma" w:eastAsia="Tahoma" w:hAnsi="Tahoma" w:cs="Tahoma"/>
      <w:b w:val="0"/>
      <w:bCs w:val="0"/>
      <w:i w:val="0"/>
      <w:iCs w:val="0"/>
      <w:smallCaps w:val="0"/>
      <w:strike w:val="0"/>
      <w:spacing w:val="0"/>
      <w:sz w:val="14"/>
      <w:szCs w:val="14"/>
    </w:rPr>
  </w:style>
  <w:style w:type="character" w:customStyle="1" w:styleId="2043">
    <w:name w:val="Заголовок №20 (4)"/>
    <w:basedOn w:val="2042"/>
    <w:rsid w:val="000D0B36"/>
    <w:rPr>
      <w:rFonts w:ascii="Tahoma" w:eastAsia="Tahoma" w:hAnsi="Tahoma" w:cs="Tahoma"/>
      <w:b w:val="0"/>
      <w:bCs w:val="0"/>
      <w:i w:val="0"/>
      <w:iCs w:val="0"/>
      <w:smallCaps w:val="0"/>
      <w:strike w:val="0"/>
      <w:spacing w:val="0"/>
      <w:sz w:val="14"/>
      <w:szCs w:val="14"/>
    </w:rPr>
  </w:style>
  <w:style w:type="character" w:customStyle="1" w:styleId="3ff0">
    <w:name w:val="Оглавление (3)_"/>
    <w:basedOn w:val="a1"/>
    <w:rsid w:val="000D0B36"/>
    <w:rPr>
      <w:rFonts w:ascii="Tahoma" w:eastAsia="Tahoma" w:hAnsi="Tahoma" w:cs="Tahoma"/>
      <w:b w:val="0"/>
      <w:bCs w:val="0"/>
      <w:i w:val="0"/>
      <w:iCs w:val="0"/>
      <w:smallCaps w:val="0"/>
      <w:strike w:val="0"/>
      <w:spacing w:val="0"/>
      <w:sz w:val="17"/>
      <w:szCs w:val="17"/>
    </w:rPr>
  </w:style>
  <w:style w:type="character" w:customStyle="1" w:styleId="3ff1">
    <w:name w:val="Оглавление (3)"/>
    <w:basedOn w:val="3ff0"/>
    <w:rsid w:val="000D0B36"/>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fffe"/>
    <w:rsid w:val="000D0B36"/>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c">
    <w:name w:val="Основной текст (11)_"/>
    <w:basedOn w:val="a1"/>
    <w:rsid w:val="000D0B36"/>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d"/>
    <w:rsid w:val="000D0B36"/>
    <w:rPr>
      <w:rFonts w:ascii="Arial" w:eastAsia="Arial" w:hAnsi="Arial" w:cs="Arial"/>
      <w:b/>
      <w:bCs/>
      <w:i w:val="0"/>
      <w:iCs w:val="0"/>
      <w:smallCaps w:val="0"/>
      <w:strike w:val="0"/>
      <w:spacing w:val="0"/>
      <w:sz w:val="12"/>
      <w:szCs w:val="12"/>
      <w:shd w:val="clear" w:color="auto" w:fill="FFFFFF"/>
      <w:lang w:eastAsia="en-US"/>
    </w:rPr>
  </w:style>
  <w:style w:type="character" w:customStyle="1" w:styleId="9pt2">
    <w:name w:val="Колонтитул + 9 pt"/>
    <w:basedOn w:val="affa"/>
    <w:rsid w:val="000D0B36"/>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a"/>
    <w:rsid w:val="000D0B36"/>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a"/>
    <w:rsid w:val="000D0B36"/>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6">
    <w:name w:val="Основной текст (28) + Не полужирный"/>
    <w:basedOn w:val="282"/>
    <w:rsid w:val="000D0B36"/>
    <w:rPr>
      <w:rFonts w:ascii="Arial" w:eastAsia="Arial" w:hAnsi="Arial" w:cs="Arial"/>
      <w:b/>
      <w:bCs/>
      <w:i w:val="0"/>
      <w:iCs w:val="0"/>
      <w:smallCaps w:val="0"/>
      <w:strike w:val="0"/>
      <w:spacing w:val="0"/>
      <w:sz w:val="13"/>
      <w:szCs w:val="13"/>
      <w:shd w:val="clear" w:color="auto" w:fill="FFFFFF"/>
      <w:lang w:eastAsia="en-US"/>
    </w:rPr>
  </w:style>
  <w:style w:type="character" w:customStyle="1" w:styleId="890">
    <w:name w:val="Основной текст89"/>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1"/>
    <w:rsid w:val="000D0B36"/>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0D0B36"/>
    <w:rPr>
      <w:rFonts w:ascii="Times New Roman" w:eastAsia="Times New Roman" w:hAnsi="Times New Roman" w:cs="Times New Roman"/>
      <w:b w:val="0"/>
      <w:bCs w:val="0"/>
      <w:i w:val="0"/>
      <w:iCs w:val="0"/>
      <w:smallCaps w:val="0"/>
      <w:strike w:val="0"/>
      <w:spacing w:val="0"/>
      <w:sz w:val="14"/>
      <w:szCs w:val="14"/>
    </w:rPr>
  </w:style>
  <w:style w:type="character" w:customStyle="1" w:styleId="34TrebuchetMS">
    <w:name w:val="Основной текст (34) + Trebuchet MS"/>
    <w:basedOn w:val="341"/>
    <w:rsid w:val="000D0B36"/>
    <w:rPr>
      <w:rFonts w:ascii="Trebuchet MS" w:eastAsia="Trebuchet MS" w:hAnsi="Trebuchet MS" w:cs="Trebuchet MS"/>
      <w:b w:val="0"/>
      <w:bCs w:val="0"/>
      <w:i w:val="0"/>
      <w:iCs w:val="0"/>
      <w:smallCaps w:val="0"/>
      <w:strike w:val="0"/>
      <w:spacing w:val="0"/>
      <w:sz w:val="13"/>
      <w:szCs w:val="13"/>
      <w:shd w:val="clear" w:color="auto" w:fill="FFFFFF"/>
      <w:lang w:eastAsia="en-US"/>
    </w:rPr>
  </w:style>
  <w:style w:type="character" w:customStyle="1" w:styleId="1630">
    <w:name w:val="Заголовок №16 (3)_"/>
    <w:basedOn w:val="a1"/>
    <w:rsid w:val="000D0B36"/>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0D0B36"/>
    <w:rPr>
      <w:rFonts w:ascii="Trebuchet MS" w:eastAsia="Trebuchet MS" w:hAnsi="Trebuchet MS" w:cs="Trebuchet MS"/>
      <w:b w:val="0"/>
      <w:bCs w:val="0"/>
      <w:i w:val="0"/>
      <w:iCs w:val="0"/>
      <w:smallCaps w:val="0"/>
      <w:strike w:val="0"/>
      <w:spacing w:val="0"/>
      <w:sz w:val="13"/>
      <w:szCs w:val="13"/>
    </w:rPr>
  </w:style>
  <w:style w:type="paragraph" w:customStyle="1" w:styleId="1151">
    <w:name w:val="Основной текст115"/>
    <w:basedOn w:val="a0"/>
    <w:rsid w:val="000D0B36"/>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0">
    <w:name w:val="Основной текст + 30 pt;Полужирный"/>
    <w:basedOn w:val="aff2"/>
    <w:rsid w:val="000D0B36"/>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0D0B36"/>
  </w:style>
  <w:style w:type="character" w:customStyle="1" w:styleId="gpro0wi8">
    <w:name w:val="gpro0wi8"/>
    <w:basedOn w:val="a1"/>
    <w:rsid w:val="000D0B36"/>
  </w:style>
  <w:style w:type="character" w:customStyle="1" w:styleId="pcp91wgn">
    <w:name w:val="pcp91wgn"/>
    <w:basedOn w:val="a1"/>
    <w:rsid w:val="000D0B36"/>
  </w:style>
  <w:style w:type="character" w:customStyle="1" w:styleId="a8c37x1j">
    <w:name w:val="a8c37x1j"/>
    <w:basedOn w:val="a1"/>
    <w:rsid w:val="000D0B36"/>
  </w:style>
  <w:style w:type="paragraph" w:styleId="2ff">
    <w:name w:val="toc 2"/>
    <w:basedOn w:val="a0"/>
    <w:next w:val="a0"/>
    <w:autoRedefine/>
    <w:uiPriority w:val="39"/>
    <w:semiHidden/>
    <w:unhideWhenUsed/>
    <w:rsid w:val="000D0B36"/>
    <w:pPr>
      <w:spacing w:after="100" w:line="360" w:lineRule="auto"/>
      <w:ind w:left="220"/>
      <w:jc w:val="both"/>
    </w:pPr>
    <w:rPr>
      <w:rFonts w:asciiTheme="minorHAnsi" w:eastAsiaTheme="minorHAnsi" w:hAnsiTheme="minorHAnsi" w:cstheme="minorBidi"/>
    </w:rPr>
  </w:style>
  <w:style w:type="character" w:customStyle="1" w:styleId="265">
    <w:name w:val="Основной текст (26) + Не курсив"/>
    <w:basedOn w:val="263"/>
    <w:rsid w:val="000D0B36"/>
    <w:rPr>
      <w:rFonts w:ascii="Arial" w:eastAsia="Arial" w:hAnsi="Arial" w:cs="Arial"/>
      <w:b w:val="0"/>
      <w:bCs w:val="0"/>
      <w:i/>
      <w:iCs/>
      <w:smallCaps w:val="0"/>
      <w:strike w:val="0"/>
      <w:spacing w:val="0"/>
      <w:sz w:val="13"/>
      <w:szCs w:val="13"/>
      <w:shd w:val="clear" w:color="auto" w:fill="FFFFFF"/>
    </w:rPr>
  </w:style>
  <w:style w:type="paragraph" w:styleId="1fe">
    <w:name w:val="toc 1"/>
    <w:basedOn w:val="a0"/>
    <w:next w:val="a0"/>
    <w:autoRedefine/>
    <w:uiPriority w:val="39"/>
    <w:semiHidden/>
    <w:unhideWhenUsed/>
    <w:rsid w:val="000D0B36"/>
    <w:pPr>
      <w:spacing w:after="100" w:line="360" w:lineRule="auto"/>
      <w:jc w:val="both"/>
    </w:pPr>
    <w:rPr>
      <w:rFonts w:asciiTheme="minorHAnsi" w:eastAsiaTheme="minorHAnsi" w:hAnsiTheme="minorHAnsi" w:cstheme="minorBidi"/>
    </w:rPr>
  </w:style>
  <w:style w:type="character" w:customStyle="1" w:styleId="31c">
    <w:name w:val="Основной текст (31)_"/>
    <w:basedOn w:val="a1"/>
    <w:rsid w:val="000D0B36"/>
    <w:rPr>
      <w:rFonts w:ascii="Times New Roman" w:eastAsia="Times New Roman" w:hAnsi="Times New Roman" w:cs="Times New Roman"/>
      <w:b w:val="0"/>
      <w:bCs w:val="0"/>
      <w:i w:val="0"/>
      <w:iCs w:val="0"/>
      <w:smallCaps w:val="0"/>
      <w:strike w:val="0"/>
      <w:spacing w:val="0"/>
      <w:sz w:val="13"/>
      <w:szCs w:val="13"/>
    </w:rPr>
  </w:style>
  <w:style w:type="character" w:customStyle="1" w:styleId="31d">
    <w:name w:val="Основной текст (31)"/>
    <w:basedOn w:val="31c"/>
    <w:rsid w:val="000D0B36"/>
    <w:rPr>
      <w:rFonts w:ascii="Times New Roman" w:eastAsia="Times New Roman" w:hAnsi="Times New Roman" w:cs="Times New Roman"/>
      <w:b w:val="0"/>
      <w:bCs w:val="0"/>
      <w:i w:val="0"/>
      <w:iCs w:val="0"/>
      <w:smallCaps w:val="0"/>
      <w:strike w:val="0"/>
      <w:spacing w:val="0"/>
      <w:sz w:val="13"/>
      <w:szCs w:val="13"/>
    </w:rPr>
  </w:style>
  <w:style w:type="character" w:customStyle="1" w:styleId="1380">
    <w:name w:val="Основной текст138"/>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0">
    <w:name w:val="Основной текст139"/>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0D0B36"/>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1">
    <w:name w:val="Основной текст141"/>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1">
    <w:name w:val="Основной текст142"/>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1">
    <w:name w:val="Основной текст171"/>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0D0B36"/>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2"/>
    <w:rsid w:val="000D0B36"/>
    <w:rPr>
      <w:rFonts w:ascii="Segoe UI" w:eastAsia="Segoe UI" w:hAnsi="Segoe UI" w:cs="Segoe UI"/>
      <w:b w:val="0"/>
      <w:bCs w:val="0"/>
      <w:i/>
      <w:iCs/>
      <w:smallCaps w:val="0"/>
      <w:strike w:val="0"/>
      <w:spacing w:val="0"/>
      <w:sz w:val="14"/>
      <w:szCs w:val="14"/>
      <w:shd w:val="clear" w:color="auto" w:fill="FFFFFF"/>
    </w:rPr>
  </w:style>
  <w:style w:type="character" w:customStyle="1" w:styleId="1740">
    <w:name w:val="Основной текст174"/>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2"/>
    <w:rsid w:val="000D0B36"/>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d"/>
    <w:rsid w:val="000D0B36"/>
    <w:rPr>
      <w:rFonts w:ascii="Franklin Gothic Book" w:eastAsia="Franklin Gothic Book" w:hAnsi="Franklin Gothic Book" w:cs="Franklin Gothic Book"/>
      <w:b w:val="0"/>
      <w:bCs w:val="0"/>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2"/>
    <w:rsid w:val="000D0B36"/>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5">
    <w:name w:val="Основной текст (23)_"/>
    <w:basedOn w:val="a1"/>
    <w:link w:val="236"/>
    <w:rsid w:val="000D0B36"/>
    <w:rPr>
      <w:rFonts w:ascii="Franklin Gothic Book" w:eastAsia="Franklin Gothic Book" w:hAnsi="Franklin Gothic Book" w:cs="Franklin Gothic Book"/>
      <w:sz w:val="13"/>
      <w:szCs w:val="13"/>
      <w:shd w:val="clear" w:color="auto" w:fill="FFFFFF"/>
    </w:rPr>
  </w:style>
  <w:style w:type="paragraph" w:customStyle="1" w:styleId="236">
    <w:name w:val="Основной текст (23)"/>
    <w:basedOn w:val="a0"/>
    <w:link w:val="235"/>
    <w:rsid w:val="000D0B36"/>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d"/>
    <w:rsid w:val="000D0B36"/>
    <w:rPr>
      <w:rFonts w:ascii="Verdana" w:eastAsia="Verdana" w:hAnsi="Verdana" w:cs="Verdana"/>
      <w:b w:val="0"/>
      <w:bCs w:val="0"/>
      <w:i/>
      <w:iCs/>
      <w:smallCaps w:val="0"/>
      <w:strike w:val="0"/>
      <w:spacing w:val="0"/>
      <w:sz w:val="10"/>
      <w:szCs w:val="10"/>
      <w:shd w:val="clear" w:color="auto" w:fill="FFFFFF"/>
      <w:lang w:eastAsia="en-US"/>
    </w:rPr>
  </w:style>
  <w:style w:type="character" w:customStyle="1" w:styleId="237">
    <w:name w:val="Основной текст (23) + Не курсив"/>
    <w:basedOn w:val="235"/>
    <w:rsid w:val="000D0B36"/>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4"/>
    <w:rsid w:val="000D0B36"/>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6">
    <w:name w:val="Основной текст26"/>
    <w:basedOn w:val="a0"/>
    <w:rsid w:val="000D0B36"/>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4">
    <w:name w:val="Подпись к картинке (24)_"/>
    <w:basedOn w:val="a1"/>
    <w:rsid w:val="000D0B36"/>
    <w:rPr>
      <w:rFonts w:ascii="Arial Narrow" w:eastAsia="Arial Narrow" w:hAnsi="Arial Narrow" w:cs="Arial Narrow"/>
      <w:b w:val="0"/>
      <w:bCs w:val="0"/>
      <w:i w:val="0"/>
      <w:iCs w:val="0"/>
      <w:smallCaps w:val="0"/>
      <w:strike w:val="0"/>
      <w:spacing w:val="0"/>
      <w:sz w:val="21"/>
      <w:szCs w:val="21"/>
    </w:rPr>
  </w:style>
  <w:style w:type="character" w:customStyle="1" w:styleId="245">
    <w:name w:val="Подпись к картинке (24)"/>
    <w:basedOn w:val="244"/>
    <w:rsid w:val="000D0B36"/>
    <w:rPr>
      <w:rFonts w:ascii="Arial Narrow" w:eastAsia="Arial Narrow" w:hAnsi="Arial Narrow" w:cs="Arial Narrow"/>
      <w:b w:val="0"/>
      <w:bCs w:val="0"/>
      <w:i w:val="0"/>
      <w:iCs w:val="0"/>
      <w:smallCaps w:val="0"/>
      <w:strike w:val="0"/>
      <w:spacing w:val="0"/>
      <w:sz w:val="21"/>
      <w:szCs w:val="21"/>
      <w:u w:val="single"/>
    </w:rPr>
  </w:style>
  <w:style w:type="character" w:customStyle="1" w:styleId="255">
    <w:name w:val="Подпись к картинке (25)_"/>
    <w:basedOn w:val="a1"/>
    <w:link w:val="256"/>
    <w:rsid w:val="000D0B36"/>
    <w:rPr>
      <w:rFonts w:ascii="Arial" w:eastAsia="Arial" w:hAnsi="Arial" w:cs="Arial"/>
      <w:spacing w:val="-20"/>
      <w:sz w:val="76"/>
      <w:szCs w:val="76"/>
      <w:shd w:val="clear" w:color="auto" w:fill="FFFFFF"/>
    </w:rPr>
  </w:style>
  <w:style w:type="paragraph" w:customStyle="1" w:styleId="256">
    <w:name w:val="Подпись к картинке (25)"/>
    <w:basedOn w:val="a0"/>
    <w:link w:val="255"/>
    <w:rsid w:val="000D0B36"/>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5"/>
    <w:rsid w:val="000D0B36"/>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2"/>
    <w:rsid w:val="000D0B36"/>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d"/>
    <w:rsid w:val="000D0B36"/>
    <w:rPr>
      <w:rFonts w:ascii="Franklin Gothic Book" w:eastAsia="Franklin Gothic Book" w:hAnsi="Franklin Gothic Book" w:cs="Franklin Gothic Book"/>
      <w:b/>
      <w:bCs/>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2"/>
    <w:rsid w:val="000D0B36"/>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0D0B36"/>
    <w:rPr>
      <w:b/>
      <w:bCs/>
      <w:i w:val="0"/>
      <w:iCs w:val="0"/>
      <w:smallCaps w:val="0"/>
      <w:strike w:val="0"/>
      <w:spacing w:val="0"/>
      <w:sz w:val="13"/>
      <w:szCs w:val="13"/>
    </w:rPr>
  </w:style>
  <w:style w:type="character" w:customStyle="1" w:styleId="551">
    <w:name w:val="Основной текст55"/>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2"/>
    <w:rsid w:val="000D0B36"/>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d"/>
    <w:rsid w:val="000D0B36"/>
    <w:rPr>
      <w:rFonts w:ascii="Franklin Gothic Medium" w:eastAsia="Franklin Gothic Medium" w:hAnsi="Franklin Gothic Medium" w:cs="Franklin Gothic Medium"/>
      <w:b/>
      <w:bCs/>
      <w:i/>
      <w:iCs/>
      <w:smallCaps w:val="0"/>
      <w:strike w:val="0"/>
      <w:spacing w:val="10"/>
      <w:sz w:val="12"/>
      <w:szCs w:val="12"/>
      <w:shd w:val="clear" w:color="auto" w:fill="FFFFFF"/>
      <w:lang w:eastAsia="en-US"/>
    </w:rPr>
  </w:style>
  <w:style w:type="character" w:customStyle="1" w:styleId="561">
    <w:name w:val="Основной текст56"/>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2"/>
    <w:rsid w:val="000D0B36"/>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17a">
    <w:name w:val="Заголовок №17_"/>
    <w:basedOn w:val="a1"/>
    <w:rsid w:val="000D0B36"/>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0D0B36"/>
    <w:rPr>
      <w:rFonts w:ascii="Verdana" w:eastAsia="Verdana" w:hAnsi="Verdana" w:cs="Verdana"/>
      <w:b w:val="0"/>
      <w:bCs w:val="0"/>
      <w:i w:val="0"/>
      <w:iCs w:val="0"/>
      <w:smallCaps w:val="0"/>
      <w:strike w:val="0"/>
      <w:spacing w:val="0"/>
      <w:sz w:val="17"/>
      <w:szCs w:val="17"/>
    </w:rPr>
  </w:style>
  <w:style w:type="character" w:customStyle="1" w:styleId="12d">
    <w:name w:val="Основной текст (12) + Не курсив"/>
    <w:basedOn w:val="123"/>
    <w:rsid w:val="000D0B36"/>
    <w:rPr>
      <w:rFonts w:ascii="Times New Roman" w:eastAsia="Times New Roman" w:hAnsi="Times New Roman" w:cs="Times New Roman"/>
      <w:b w:val="0"/>
      <w:bCs w:val="0"/>
      <w:i/>
      <w:iCs/>
      <w:smallCaps w:val="0"/>
      <w:strike w:val="0"/>
      <w:spacing w:val="0"/>
      <w:w w:val="80"/>
      <w:sz w:val="14"/>
      <w:szCs w:val="14"/>
      <w:shd w:val="clear" w:color="auto" w:fill="FFFFFF"/>
      <w:lang w:eastAsia="en-US"/>
    </w:rPr>
  </w:style>
  <w:style w:type="character" w:customStyle="1" w:styleId="ArialNarrow0">
    <w:name w:val="Основной текст + Arial Narrow;Полужирный;Курсив"/>
    <w:basedOn w:val="aff2"/>
    <w:rsid w:val="000D0B36"/>
    <w:rPr>
      <w:rFonts w:ascii="Arial Narrow" w:eastAsia="Arial Narrow" w:hAnsi="Arial Narrow" w:cs="Arial Narrow"/>
      <w:b/>
      <w:bCs/>
      <w:i/>
      <w:iCs/>
      <w:smallCaps w:val="0"/>
      <w:strike w:val="0"/>
      <w:spacing w:val="0"/>
      <w:sz w:val="14"/>
      <w:szCs w:val="14"/>
      <w:shd w:val="clear" w:color="auto" w:fill="FFFFFF"/>
    </w:rPr>
  </w:style>
  <w:style w:type="character" w:customStyle="1" w:styleId="11d">
    <w:name w:val="Подпись к картинке (11)_"/>
    <w:basedOn w:val="a1"/>
    <w:rsid w:val="000D0B36"/>
    <w:rPr>
      <w:b w:val="0"/>
      <w:bCs w:val="0"/>
      <w:i w:val="0"/>
      <w:iCs w:val="0"/>
      <w:smallCaps w:val="0"/>
      <w:strike w:val="0"/>
      <w:spacing w:val="0"/>
      <w:sz w:val="12"/>
      <w:szCs w:val="12"/>
    </w:rPr>
  </w:style>
  <w:style w:type="character" w:customStyle="1" w:styleId="11e">
    <w:name w:val="Подпись к картинке (11) + Полужирный"/>
    <w:basedOn w:val="11d"/>
    <w:rsid w:val="000D0B36"/>
    <w:rPr>
      <w:b/>
      <w:bCs/>
      <w:i w:val="0"/>
      <w:iCs w:val="0"/>
      <w:smallCaps w:val="0"/>
      <w:strike w:val="0"/>
      <w:spacing w:val="0"/>
      <w:sz w:val="12"/>
      <w:szCs w:val="12"/>
    </w:rPr>
  </w:style>
  <w:style w:type="character" w:customStyle="1" w:styleId="11f">
    <w:name w:val="Подпись к картинке (11)"/>
    <w:basedOn w:val="11d"/>
    <w:rsid w:val="000D0B36"/>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0D0B36"/>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0D0B36"/>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0D0B36"/>
    <w:rPr>
      <w:rFonts w:ascii="Times New Roman" w:eastAsia="Times New Roman" w:hAnsi="Times New Roman" w:cs="Times New Roman"/>
      <w:b w:val="0"/>
      <w:bCs w:val="0"/>
      <w:i w:val="0"/>
      <w:iCs w:val="0"/>
      <w:smallCaps w:val="0"/>
      <w:strike w:val="0"/>
      <w:spacing w:val="0"/>
      <w:sz w:val="20"/>
      <w:szCs w:val="20"/>
    </w:rPr>
  </w:style>
  <w:style w:type="character" w:customStyle="1" w:styleId="11f0">
    <w:name w:val="Основной текст (11) + Не полужирный"/>
    <w:basedOn w:val="11c"/>
    <w:rsid w:val="000D0B36"/>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0D0B36"/>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4">
    <w:name w:val="Основной текст11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3">
    <w:name w:val="Основной текст11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2"/>
    <w:rsid w:val="000D0B36"/>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1">
    <w:name w:val="Основной текст11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3">
    <w:name w:val="Подпись к картинке (5)_"/>
    <w:basedOn w:val="a1"/>
    <w:rsid w:val="000D0B36"/>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1">
    <w:name w:val="Основной текст11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1">
    <w:name w:val="Основной текст11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1">
    <w:name w:val="Основной текст11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1">
    <w:name w:val="Основной текст12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2">
    <w:name w:val="Подпись к картинке + Интервал 1 pt"/>
    <w:basedOn w:val="affd"/>
    <w:rsid w:val="000D0B36"/>
    <w:rPr>
      <w:rFonts w:ascii="Franklin Gothic Book" w:eastAsia="Franklin Gothic Book" w:hAnsi="Franklin Gothic Book" w:cs="Franklin Gothic Book"/>
      <w:b w:val="0"/>
      <w:bCs w:val="0"/>
      <w:i w:val="0"/>
      <w:iCs w:val="0"/>
      <w:smallCaps w:val="0"/>
      <w:strike w:val="0"/>
      <w:spacing w:val="30"/>
      <w:sz w:val="13"/>
      <w:szCs w:val="13"/>
      <w:shd w:val="clear" w:color="auto" w:fill="FFFFFF"/>
      <w:lang w:eastAsia="en-US"/>
    </w:rPr>
  </w:style>
  <w:style w:type="character" w:customStyle="1" w:styleId="1220">
    <w:name w:val="Основной текст12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1">
    <w:name w:val="Основной текст12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1">
    <w:name w:val="Основной текст12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1">
    <w:name w:val="Основной текст12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e">
    <w:name w:val="Основной текст (10) + Полужирный;Не курсив"/>
    <w:basedOn w:val="108"/>
    <w:rsid w:val="000D0B36"/>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d"/>
    <w:rsid w:val="000D0B36"/>
    <w:rPr>
      <w:rFonts w:ascii="Verdana" w:eastAsia="Verdana" w:hAnsi="Verdana" w:cs="Verdana"/>
      <w:b/>
      <w:bCs/>
      <w:i/>
      <w:iCs/>
      <w:smallCaps w:val="0"/>
      <w:strike w:val="0"/>
      <w:spacing w:val="10"/>
      <w:sz w:val="11"/>
      <w:szCs w:val="11"/>
      <w:shd w:val="clear" w:color="auto" w:fill="FFFFFF"/>
      <w:lang w:eastAsia="en-US"/>
    </w:rPr>
  </w:style>
  <w:style w:type="character" w:customStyle="1" w:styleId="294">
    <w:name w:val="Основной текст29"/>
    <w:basedOn w:val="aff2"/>
    <w:rsid w:val="000D0B36"/>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4"/>
    <w:rsid w:val="000D0B36"/>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2"/>
    <w:rsid w:val="000D0B36"/>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8">
    <w:name w:val="Подпись к картинке (20)_"/>
    <w:basedOn w:val="a1"/>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9">
    <w:name w:val="Подпись к картинке (20) + Полужирный"/>
    <w:basedOn w:val="208"/>
    <w:rsid w:val="000D0B36"/>
    <w:rPr>
      <w:rFonts w:ascii="Franklin Gothic Book" w:eastAsia="Franklin Gothic Book" w:hAnsi="Franklin Gothic Book" w:cs="Franklin Gothic Book"/>
      <w:b/>
      <w:bCs/>
      <w:i w:val="0"/>
      <w:iCs w:val="0"/>
      <w:smallCaps w:val="0"/>
      <w:strike w:val="0"/>
      <w:spacing w:val="0"/>
      <w:sz w:val="13"/>
      <w:szCs w:val="13"/>
    </w:rPr>
  </w:style>
  <w:style w:type="character" w:customStyle="1" w:styleId="21b">
    <w:name w:val="Подпись к картинке (21)_"/>
    <w:basedOn w:val="a1"/>
    <w:rsid w:val="000D0B36"/>
    <w:rPr>
      <w:rFonts w:ascii="Times New Roman" w:eastAsia="Times New Roman" w:hAnsi="Times New Roman" w:cs="Times New Roman"/>
      <w:b w:val="0"/>
      <w:bCs w:val="0"/>
      <w:i w:val="0"/>
      <w:iCs w:val="0"/>
      <w:smallCaps w:val="0"/>
      <w:strike w:val="0"/>
      <w:spacing w:val="0"/>
      <w:sz w:val="18"/>
      <w:szCs w:val="18"/>
    </w:rPr>
  </w:style>
  <w:style w:type="character" w:customStyle="1" w:styleId="246">
    <w:name w:val="Основной текст (24) + Не курсив"/>
    <w:basedOn w:val="242"/>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238">
    <w:name w:val="Подпись к картинке (23) + Полужирный;Не курсив"/>
    <w:basedOn w:val="233"/>
    <w:rsid w:val="000D0B36"/>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6">
    <w:name w:val="Основной текст (41)_"/>
    <w:basedOn w:val="a1"/>
    <w:rsid w:val="000D0B36"/>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5"/>
    <w:rsid w:val="000D0B36"/>
    <w:rPr>
      <w:rFonts w:ascii="Franklin Gothic Book" w:eastAsia="Franklin Gothic Book" w:hAnsi="Franklin Gothic Book" w:cs="Franklin Gothic Book"/>
      <w:b/>
      <w:bCs/>
      <w:i/>
      <w:iCs/>
      <w:color w:val="FFFFFF"/>
      <w:spacing w:val="0"/>
      <w:sz w:val="37"/>
      <w:szCs w:val="37"/>
      <w:shd w:val="clear" w:color="auto" w:fill="FFFFFF"/>
    </w:rPr>
  </w:style>
  <w:style w:type="character" w:customStyle="1" w:styleId="75pt0">
    <w:name w:val="Подпись к картинке + 7;5 pt;Не полужирный"/>
    <w:basedOn w:val="affd"/>
    <w:rsid w:val="000D0B36"/>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158">
    <w:name w:val="Основной текст (15) + Не курсив"/>
    <w:basedOn w:val="156"/>
    <w:rsid w:val="000D0B36"/>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0D0B36"/>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0D0B36"/>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532">
    <w:name w:val="Основной текст (53)_"/>
    <w:basedOn w:val="a1"/>
    <w:rsid w:val="000D0B36"/>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d"/>
    <w:rsid w:val="000D0B36"/>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1142">
    <w:name w:val="Заголовок №11 (4)_"/>
    <w:basedOn w:val="a1"/>
    <w:link w:val="1143"/>
    <w:rsid w:val="000D0B36"/>
    <w:rPr>
      <w:rFonts w:ascii="Franklin Gothic Book" w:eastAsia="Franklin Gothic Book" w:hAnsi="Franklin Gothic Book" w:cs="Franklin Gothic Book"/>
      <w:sz w:val="15"/>
      <w:szCs w:val="15"/>
      <w:shd w:val="clear" w:color="auto" w:fill="FFFFFF"/>
    </w:rPr>
  </w:style>
  <w:style w:type="paragraph" w:customStyle="1" w:styleId="1143">
    <w:name w:val="Заголовок №11 (4)"/>
    <w:basedOn w:val="a0"/>
    <w:link w:val="1142"/>
    <w:rsid w:val="000D0B36"/>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2"/>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3">
    <w:name w:val="Основной текст (35) + Не курсив"/>
    <w:basedOn w:val="351"/>
    <w:rsid w:val="000D0B36"/>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2"/>
    <w:rsid w:val="000D0B36"/>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fff3">
    <w:name w:val="a"/>
    <w:basedOn w:val="a1"/>
    <w:rsid w:val="000D0B36"/>
  </w:style>
  <w:style w:type="character" w:customStyle="1" w:styleId="p">
    <w:name w:val="p"/>
    <w:basedOn w:val="a1"/>
    <w:rsid w:val="000D0B36"/>
  </w:style>
  <w:style w:type="character" w:customStyle="1" w:styleId="287">
    <w:name w:val="Подпись к картинке (28)_"/>
    <w:basedOn w:val="a1"/>
    <w:link w:val="288"/>
    <w:rsid w:val="000D0B36"/>
    <w:rPr>
      <w:sz w:val="10"/>
      <w:szCs w:val="10"/>
      <w:shd w:val="clear" w:color="auto" w:fill="FFFFFF"/>
    </w:rPr>
  </w:style>
  <w:style w:type="paragraph" w:customStyle="1" w:styleId="288">
    <w:name w:val="Подпись к картинке (28)"/>
    <w:basedOn w:val="a0"/>
    <w:link w:val="287"/>
    <w:rsid w:val="000D0B36"/>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7"/>
    <w:rsid w:val="000D0B36"/>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295">
    <w:name w:val="Подпись к картинке (29)_"/>
    <w:basedOn w:val="a1"/>
    <w:link w:val="296"/>
    <w:rsid w:val="000D0B36"/>
    <w:rPr>
      <w:rFonts w:ascii="Franklin Gothic Book" w:eastAsia="Franklin Gothic Book" w:hAnsi="Franklin Gothic Book" w:cs="Franklin Gothic Book"/>
      <w:sz w:val="14"/>
      <w:szCs w:val="14"/>
      <w:shd w:val="clear" w:color="auto" w:fill="FFFFFF"/>
    </w:rPr>
  </w:style>
  <w:style w:type="paragraph" w:customStyle="1" w:styleId="296">
    <w:name w:val="Подпись к картинке (29)"/>
    <w:basedOn w:val="a0"/>
    <w:link w:val="295"/>
    <w:rsid w:val="000D0B36"/>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1"/>
    <w:link w:val="1832"/>
    <w:rsid w:val="000D0B36"/>
    <w:rPr>
      <w:spacing w:val="-10"/>
      <w:sz w:val="21"/>
      <w:szCs w:val="21"/>
      <w:shd w:val="clear" w:color="auto" w:fill="FFFFFF"/>
    </w:rPr>
  </w:style>
  <w:style w:type="paragraph" w:customStyle="1" w:styleId="1832">
    <w:name w:val="Заголовок №18 (3)"/>
    <w:basedOn w:val="a0"/>
    <w:link w:val="1831"/>
    <w:rsid w:val="000D0B36"/>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0D0B36"/>
    <w:rPr>
      <w:spacing w:val="0"/>
      <w:sz w:val="21"/>
      <w:szCs w:val="21"/>
      <w:shd w:val="clear" w:color="auto" w:fill="FFFFFF"/>
    </w:rPr>
  </w:style>
  <w:style w:type="character" w:customStyle="1" w:styleId="7pt0">
    <w:name w:val="Подпись к картинке + 7 pt;Не полужирный"/>
    <w:basedOn w:val="affd"/>
    <w:rsid w:val="000D0B36"/>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4475pt0">
    <w:name w:val="Основной текст (44) + 7;5 pt;Не полужирный"/>
    <w:basedOn w:val="443"/>
    <w:rsid w:val="000D0B36"/>
    <w:rPr>
      <w:rFonts w:ascii="Franklin Gothic Book" w:eastAsia="Franklin Gothic Book" w:hAnsi="Franklin Gothic Book" w:cs="Franklin Gothic Book"/>
      <w:b/>
      <w:bCs/>
      <w:i w:val="0"/>
      <w:iCs w:val="0"/>
      <w:smallCaps w:val="0"/>
      <w:strike w:val="0"/>
      <w:spacing w:val="0"/>
      <w:sz w:val="15"/>
      <w:szCs w:val="15"/>
    </w:rPr>
  </w:style>
  <w:style w:type="character" w:customStyle="1" w:styleId="491">
    <w:name w:val="Основной текст (49)_"/>
    <w:basedOn w:val="a1"/>
    <w:rsid w:val="000D0B36"/>
    <w:rPr>
      <w:rFonts w:ascii="Arial Narrow" w:eastAsia="Arial Narrow" w:hAnsi="Arial Narrow" w:cs="Arial Narrow"/>
      <w:b w:val="0"/>
      <w:bCs w:val="0"/>
      <w:i w:val="0"/>
      <w:iCs w:val="0"/>
      <w:smallCaps w:val="0"/>
      <w:strike w:val="0"/>
      <w:spacing w:val="0"/>
      <w:sz w:val="14"/>
      <w:szCs w:val="14"/>
    </w:rPr>
  </w:style>
  <w:style w:type="character" w:customStyle="1" w:styleId="492">
    <w:name w:val="Основной текст (49)"/>
    <w:basedOn w:val="491"/>
    <w:rsid w:val="000D0B36"/>
    <w:rPr>
      <w:rFonts w:ascii="Arial Narrow" w:eastAsia="Arial Narrow" w:hAnsi="Arial Narrow" w:cs="Arial Narrow"/>
      <w:b w:val="0"/>
      <w:bCs w:val="0"/>
      <w:i w:val="0"/>
      <w:iCs w:val="0"/>
      <w:smallCaps w:val="0"/>
      <w:strike w:val="0"/>
      <w:spacing w:val="0"/>
      <w:sz w:val="14"/>
      <w:szCs w:val="14"/>
    </w:rPr>
  </w:style>
  <w:style w:type="paragraph" w:customStyle="1" w:styleId="1511">
    <w:name w:val="Основной текст151"/>
    <w:basedOn w:val="a0"/>
    <w:rsid w:val="000D0B36"/>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0"/>
    <w:rsid w:val="000D0B36"/>
    <w:rPr>
      <w:rFonts w:ascii="Arial" w:eastAsia="Arial" w:hAnsi="Arial" w:cs="Arial"/>
      <w:b/>
      <w:bCs/>
      <w:i w:val="0"/>
      <w:iCs w:val="0"/>
      <w:smallCaps w:val="0"/>
      <w:strike w:val="0"/>
      <w:spacing w:val="0"/>
      <w:sz w:val="12"/>
      <w:szCs w:val="12"/>
    </w:rPr>
  </w:style>
  <w:style w:type="character" w:customStyle="1" w:styleId="4fb">
    <w:name w:val="Заголовок №4_"/>
    <w:basedOn w:val="a1"/>
    <w:rsid w:val="000D0B36"/>
    <w:rPr>
      <w:rFonts w:ascii="Trebuchet MS" w:eastAsia="Trebuchet MS" w:hAnsi="Trebuchet MS" w:cs="Trebuchet MS"/>
      <w:b w:val="0"/>
      <w:bCs w:val="0"/>
      <w:i w:val="0"/>
      <w:iCs w:val="0"/>
      <w:smallCaps w:val="0"/>
      <w:strike w:val="0"/>
      <w:spacing w:val="0"/>
      <w:sz w:val="78"/>
      <w:szCs w:val="78"/>
    </w:rPr>
  </w:style>
  <w:style w:type="character" w:customStyle="1" w:styleId="279">
    <w:name w:val="Подпись к картинке (27)_"/>
    <w:basedOn w:val="a1"/>
    <w:rsid w:val="000D0B36"/>
    <w:rPr>
      <w:rFonts w:ascii="Arial" w:eastAsia="Arial" w:hAnsi="Arial" w:cs="Arial"/>
      <w:b w:val="0"/>
      <w:bCs w:val="0"/>
      <w:i w:val="0"/>
      <w:iCs w:val="0"/>
      <w:smallCaps w:val="0"/>
      <w:strike w:val="0"/>
      <w:spacing w:val="0"/>
      <w:sz w:val="16"/>
      <w:szCs w:val="16"/>
      <w:lang w:val="en-US"/>
    </w:rPr>
  </w:style>
  <w:style w:type="character" w:customStyle="1" w:styleId="27a">
    <w:name w:val="Подпись к картинке (27)"/>
    <w:basedOn w:val="279"/>
    <w:rsid w:val="000D0B36"/>
    <w:rPr>
      <w:rFonts w:ascii="Arial" w:eastAsia="Arial" w:hAnsi="Arial" w:cs="Arial"/>
      <w:b w:val="0"/>
      <w:bCs w:val="0"/>
      <w:i w:val="0"/>
      <w:iCs w:val="0"/>
      <w:smallCaps w:val="0"/>
      <w:strike w:val="0"/>
      <w:spacing w:val="0"/>
      <w:sz w:val="16"/>
      <w:szCs w:val="16"/>
      <w:u w:val="single"/>
      <w:lang w:val="en-US"/>
    </w:rPr>
  </w:style>
  <w:style w:type="character" w:customStyle="1" w:styleId="27b">
    <w:name w:val="Основной текст27"/>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9">
    <w:name w:val="Основной текст2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6"/>
    <w:rsid w:val="000D0B36"/>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6"/>
    <w:rsid w:val="000D0B36"/>
    <w:rPr>
      <w:rFonts w:ascii="Arial" w:eastAsia="Arial" w:hAnsi="Arial" w:cs="Arial"/>
      <w:b w:val="0"/>
      <w:bCs w:val="0"/>
      <w:i w:val="0"/>
      <w:iCs w:val="0"/>
      <w:smallCaps w:val="0"/>
      <w:strike w:val="0"/>
      <w:spacing w:val="-20"/>
      <w:sz w:val="17"/>
      <w:szCs w:val="17"/>
      <w:shd w:val="clear" w:color="auto" w:fill="FFFFFF"/>
    </w:rPr>
  </w:style>
  <w:style w:type="character" w:customStyle="1" w:styleId="308">
    <w:name w:val="Основной текст30"/>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7">
    <w:name w:val="Основной текст32"/>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3">
    <w:name w:val="Основной текст33"/>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1"/>
    <w:link w:val="30a"/>
    <w:rsid w:val="000D0B36"/>
    <w:rPr>
      <w:rFonts w:ascii="Arial" w:eastAsia="Arial" w:hAnsi="Arial" w:cs="Arial"/>
      <w:sz w:val="16"/>
      <w:szCs w:val="16"/>
      <w:shd w:val="clear" w:color="auto" w:fill="FFFFFF"/>
    </w:rPr>
  </w:style>
  <w:style w:type="paragraph" w:customStyle="1" w:styleId="30a">
    <w:name w:val="Подпись к картинке (30)"/>
    <w:basedOn w:val="a0"/>
    <w:link w:val="309"/>
    <w:rsid w:val="000D0B36"/>
    <w:pPr>
      <w:shd w:val="clear" w:color="auto" w:fill="FFFFFF"/>
      <w:spacing w:after="0" w:line="0" w:lineRule="atLeast"/>
    </w:pPr>
    <w:rPr>
      <w:rFonts w:ascii="Arial" w:eastAsia="Arial" w:hAnsi="Arial" w:cs="Arial"/>
      <w:sz w:val="16"/>
      <w:szCs w:val="16"/>
      <w:lang w:eastAsia="ru-RU"/>
    </w:rPr>
  </w:style>
  <w:style w:type="character" w:customStyle="1" w:styleId="343">
    <w:name w:val="Основной текст34"/>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4">
    <w:name w:val="Основной текст35"/>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7">
    <w:name w:val="Подпись к картинке (26)_"/>
    <w:basedOn w:val="a1"/>
    <w:rsid w:val="000D0B36"/>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8">
    <w:name w:val="Подпись к картинке (26)"/>
    <w:basedOn w:val="267"/>
    <w:rsid w:val="000D0B36"/>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0D0B36"/>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3">
    <w:name w:val="Основной текст36"/>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2"/>
    <w:rsid w:val="000D0B36"/>
    <w:rPr>
      <w:rFonts w:ascii="Consolas" w:eastAsia="Consolas" w:hAnsi="Consolas" w:cs="Consolas"/>
      <w:b/>
      <w:bCs/>
      <w:i w:val="0"/>
      <w:iCs w:val="0"/>
      <w:smallCaps w:val="0"/>
      <w:strike w:val="0"/>
      <w:spacing w:val="0"/>
      <w:w w:val="100"/>
      <w:sz w:val="75"/>
      <w:szCs w:val="75"/>
      <w:shd w:val="clear" w:color="auto" w:fill="FFFFFF"/>
    </w:rPr>
  </w:style>
  <w:style w:type="character" w:customStyle="1" w:styleId="394">
    <w:name w:val="Основной текст39"/>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d"/>
    <w:rsid w:val="000D0B36"/>
    <w:rPr>
      <w:rFonts w:ascii="Arial" w:eastAsia="Arial" w:hAnsi="Arial" w:cs="Arial"/>
      <w:b/>
      <w:bCs/>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2"/>
    <w:rsid w:val="000D0B36"/>
    <w:rPr>
      <w:rFonts w:ascii="Arial" w:eastAsia="Arial" w:hAnsi="Arial" w:cs="Arial"/>
      <w:b w:val="0"/>
      <w:bCs w:val="0"/>
      <w:i w:val="0"/>
      <w:iCs w:val="0"/>
      <w:smallCaps w:val="0"/>
      <w:strike w:val="0"/>
      <w:spacing w:val="0"/>
      <w:sz w:val="16"/>
      <w:szCs w:val="16"/>
    </w:rPr>
  </w:style>
  <w:style w:type="character" w:customStyle="1" w:styleId="328">
    <w:name w:val="Подпись к картинке (32)_"/>
    <w:basedOn w:val="a1"/>
    <w:link w:val="329"/>
    <w:rsid w:val="000D0B36"/>
    <w:rPr>
      <w:rFonts w:ascii="Verdana" w:eastAsia="Verdana" w:hAnsi="Verdana" w:cs="Verdana"/>
      <w:sz w:val="8"/>
      <w:szCs w:val="8"/>
      <w:shd w:val="clear" w:color="auto" w:fill="FFFFFF"/>
      <w:lang w:val="en-US"/>
    </w:rPr>
  </w:style>
  <w:style w:type="paragraph" w:customStyle="1" w:styleId="329">
    <w:name w:val="Подпись к картинке (32)"/>
    <w:basedOn w:val="a0"/>
    <w:link w:val="328"/>
    <w:rsid w:val="000D0B36"/>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8"/>
    <w:rsid w:val="000D0B36"/>
    <w:rPr>
      <w:rFonts w:ascii="Verdana" w:eastAsia="Verdana" w:hAnsi="Verdana" w:cs="Verdana"/>
      <w:spacing w:val="0"/>
      <w:sz w:val="10"/>
      <w:szCs w:val="10"/>
      <w:shd w:val="clear" w:color="auto" w:fill="FFFFFF"/>
      <w:lang w:val="en-US"/>
    </w:rPr>
  </w:style>
  <w:style w:type="character" w:customStyle="1" w:styleId="400">
    <w:name w:val="Основной текст40"/>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7">
    <w:name w:val="Основной текст41"/>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5">
    <w:name w:val="Основной текст42"/>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4">
    <w:name w:val="Основной текст43"/>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5">
    <w:name w:val="Основной текст44"/>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3">
    <w:name w:val="Основной текст45"/>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5">
    <w:name w:val="Основной текст4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3">
    <w:name w:val="Основной текст49"/>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0D0B36"/>
    <w:rPr>
      <w:rFonts w:ascii="Franklin Gothic Book" w:eastAsia="Franklin Gothic Book" w:hAnsi="Franklin Gothic Book" w:cs="Franklin Gothic Book"/>
      <w:b/>
      <w:bCs/>
      <w:i w:val="0"/>
      <w:iCs w:val="0"/>
      <w:smallCaps w:val="0"/>
      <w:strike w:val="0"/>
      <w:spacing w:val="0"/>
      <w:sz w:val="14"/>
      <w:szCs w:val="14"/>
    </w:rPr>
  </w:style>
  <w:style w:type="character" w:customStyle="1" w:styleId="364">
    <w:name w:val="Основной текст (36) + Не курсив"/>
    <w:basedOn w:val="362"/>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0D0B36"/>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0D0B36"/>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0D0B36"/>
    <w:rPr>
      <w:rFonts w:ascii="Arial Unicode MS" w:eastAsia="Arial Unicode MS" w:hAnsi="Arial Unicode MS" w:cs="Arial Unicode MS"/>
      <w:b/>
      <w:bCs/>
      <w:i w:val="0"/>
      <w:iCs w:val="0"/>
      <w:smallCaps w:val="0"/>
      <w:strike w:val="0"/>
      <w:spacing w:val="0"/>
      <w:sz w:val="13"/>
      <w:szCs w:val="13"/>
    </w:rPr>
  </w:style>
  <w:style w:type="paragraph" w:customStyle="1" w:styleId="1290">
    <w:name w:val="Основной текст129"/>
    <w:basedOn w:val="a0"/>
    <w:rsid w:val="000D0B36"/>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4">
    <w:name w:val="Основной текст (65) + Не курсив"/>
    <w:basedOn w:val="651"/>
    <w:rsid w:val="000D0B36"/>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4"/>
    <w:rsid w:val="000D0B36"/>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d"/>
    <w:rsid w:val="000D0B36"/>
    <w:rPr>
      <w:rFonts w:ascii="Arial Unicode MS" w:eastAsia="Arial Unicode MS" w:hAnsi="Arial Unicode MS" w:cs="Arial Unicode MS"/>
      <w:b/>
      <w:bCs/>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2"/>
    <w:rsid w:val="000D0B36"/>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4"/>
    <w:rsid w:val="000D0B36"/>
    <w:rPr>
      <w:rFonts w:ascii="Tahoma" w:eastAsia="Tahoma" w:hAnsi="Tahoma" w:cs="Tahoma"/>
      <w:b w:val="0"/>
      <w:bCs w:val="0"/>
      <w:i/>
      <w:iCs/>
      <w:smallCaps w:val="0"/>
      <w:strike w:val="0"/>
      <w:spacing w:val="0"/>
      <w:sz w:val="13"/>
      <w:szCs w:val="13"/>
    </w:rPr>
  </w:style>
  <w:style w:type="character" w:customStyle="1" w:styleId="2ff0">
    <w:name w:val="Основной текст (2) + Не курсив"/>
    <w:basedOn w:val="2a"/>
    <w:rsid w:val="000D0B36"/>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fff4">
    <w:name w:val="Сноска + Не курсив"/>
    <w:basedOn w:val="aff6"/>
    <w:rsid w:val="000D0B36"/>
    <w:rPr>
      <w:rFonts w:ascii="Arial" w:eastAsia="Arial" w:hAnsi="Arial" w:cs="Arial"/>
      <w:b w:val="0"/>
      <w:bCs w:val="0"/>
      <w:i/>
      <w:iCs/>
      <w:smallCaps w:val="0"/>
      <w:strike w:val="0"/>
      <w:noProof/>
      <w:spacing w:val="0"/>
      <w:sz w:val="13"/>
      <w:szCs w:val="13"/>
      <w:shd w:val="clear" w:color="auto" w:fill="FFFFFF"/>
      <w:lang w:val="en-US"/>
    </w:rPr>
  </w:style>
  <w:style w:type="character" w:customStyle="1" w:styleId="5pt">
    <w:name w:val="Сноска + 5 pt;Не курсив"/>
    <w:basedOn w:val="aff6"/>
    <w:rsid w:val="000D0B36"/>
    <w:rPr>
      <w:rFonts w:ascii="Arial" w:eastAsia="Arial" w:hAnsi="Arial" w:cs="Arial"/>
      <w:b w:val="0"/>
      <w:bCs w:val="0"/>
      <w:i/>
      <w:iCs/>
      <w:smallCaps w:val="0"/>
      <w:strike w:val="0"/>
      <w:noProof/>
      <w:spacing w:val="0"/>
      <w:sz w:val="10"/>
      <w:szCs w:val="10"/>
      <w:shd w:val="clear" w:color="auto" w:fill="FFFFFF"/>
      <w:lang w:val="en-US"/>
    </w:rPr>
  </w:style>
  <w:style w:type="character" w:customStyle="1" w:styleId="Candara85pt">
    <w:name w:val="Основной текст + Candara;8;5 pt"/>
    <w:basedOn w:val="aff2"/>
    <w:rsid w:val="000D0B36"/>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4">
    <w:name w:val="Заголовок №7 (3)_"/>
    <w:basedOn w:val="a1"/>
    <w:link w:val="735"/>
    <w:rsid w:val="000D0B36"/>
    <w:rPr>
      <w:rFonts w:ascii="Arial" w:eastAsia="Arial" w:hAnsi="Arial" w:cs="Arial"/>
      <w:sz w:val="16"/>
      <w:szCs w:val="16"/>
      <w:shd w:val="clear" w:color="auto" w:fill="FFFFFF"/>
    </w:rPr>
  </w:style>
  <w:style w:type="paragraph" w:customStyle="1" w:styleId="735">
    <w:name w:val="Заголовок №7 (3)"/>
    <w:basedOn w:val="a0"/>
    <w:link w:val="734"/>
    <w:rsid w:val="000D0B36"/>
    <w:pPr>
      <w:shd w:val="clear" w:color="auto" w:fill="FFFFFF"/>
      <w:spacing w:before="180" w:after="180" w:line="0" w:lineRule="atLeast"/>
      <w:outlineLvl w:val="6"/>
    </w:pPr>
    <w:rPr>
      <w:rFonts w:ascii="Arial" w:eastAsia="Arial" w:hAnsi="Arial" w:cs="Arial"/>
      <w:sz w:val="16"/>
      <w:szCs w:val="16"/>
      <w:lang w:eastAsia="ru-RU"/>
    </w:rPr>
  </w:style>
  <w:style w:type="character" w:customStyle="1" w:styleId="1ff">
    <w:name w:val="Неразрешенное упоминание1"/>
    <w:basedOn w:val="a1"/>
    <w:uiPriority w:val="99"/>
    <w:semiHidden/>
    <w:unhideWhenUsed/>
    <w:rsid w:val="000D0B36"/>
    <w:rPr>
      <w:color w:val="605E5C"/>
      <w:shd w:val="clear" w:color="auto" w:fill="E1DFDD"/>
    </w:rPr>
  </w:style>
  <w:style w:type="paragraph" w:customStyle="1" w:styleId="ql-align-right">
    <w:name w:val="ql-align-righ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1"/>
    <w:link w:val="52"/>
    <w:rsid w:val="000D0B36"/>
    <w:rPr>
      <w:rFonts w:ascii="Arial Narrow" w:hAnsi="Arial Narrow" w:cs="Arial Narrow"/>
      <w:b/>
      <w:bCs/>
      <w:sz w:val="46"/>
      <w:szCs w:val="46"/>
      <w:shd w:val="clear" w:color="auto" w:fill="FFFFFF"/>
      <w:lang w:eastAsia="en-US"/>
    </w:rPr>
  </w:style>
  <w:style w:type="character" w:customStyle="1" w:styleId="6e">
    <w:name w:val="Основной текст (6) + Курсив"/>
    <w:basedOn w:val="6b"/>
    <w:rsid w:val="000D0B36"/>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fff5">
    <w:name w:val="Подпись к картинке + Не курсив"/>
    <w:basedOn w:val="affd"/>
    <w:rsid w:val="000D0B36"/>
    <w:rPr>
      <w:rFonts w:ascii="Times New Roman" w:eastAsia="Times New Roman" w:hAnsi="Times New Roman" w:cs="Times New Roman"/>
      <w:b w:val="0"/>
      <w:bCs w:val="0"/>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2"/>
    <w:rsid w:val="000D0B36"/>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2"/>
    <w:rsid w:val="000D0B36"/>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2"/>
    <w:rsid w:val="000D0B36"/>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0D0B36"/>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110pt">
    <w:name w:val="Основной текст (11) + Интервал 0 pt"/>
    <w:basedOn w:val="11c"/>
    <w:rsid w:val="000D0B36"/>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a"/>
    <w:rsid w:val="000D0B36"/>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a"/>
    <w:rsid w:val="000D0B36"/>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4">
    <w:name w:val="Заголовок №5 (2)_"/>
    <w:basedOn w:val="a1"/>
    <w:rsid w:val="000D0B36"/>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0D0B36"/>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5">
    <w:name w:val="Заголовок №5 (2)"/>
    <w:basedOn w:val="524"/>
    <w:rsid w:val="000D0B36"/>
    <w:rPr>
      <w:rFonts w:ascii="Times New Roman" w:eastAsia="Times New Roman" w:hAnsi="Times New Roman" w:cs="Times New Roman"/>
      <w:b w:val="0"/>
      <w:bCs w:val="0"/>
      <w:i w:val="0"/>
      <w:iCs w:val="0"/>
      <w:smallCaps w:val="0"/>
      <w:strike w:val="0"/>
      <w:spacing w:val="0"/>
      <w:sz w:val="21"/>
      <w:szCs w:val="21"/>
    </w:rPr>
  </w:style>
  <w:style w:type="character" w:customStyle="1" w:styleId="426">
    <w:name w:val="Заголовок №4 (2)_"/>
    <w:basedOn w:val="a1"/>
    <w:rsid w:val="000D0B36"/>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6"/>
    <w:rsid w:val="000D0B36"/>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3"/>
    <w:rsid w:val="000D0B36"/>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f2">
    <w:name w:val="Подпись к таблице (3)_"/>
    <w:basedOn w:val="a1"/>
    <w:rsid w:val="000D0B36"/>
    <w:rPr>
      <w:rFonts w:ascii="Times New Roman" w:eastAsia="Times New Roman" w:hAnsi="Times New Roman" w:cs="Times New Roman"/>
      <w:b w:val="0"/>
      <w:bCs w:val="0"/>
      <w:i w:val="0"/>
      <w:iCs w:val="0"/>
      <w:smallCaps w:val="0"/>
      <w:strike w:val="0"/>
      <w:spacing w:val="0"/>
      <w:sz w:val="17"/>
      <w:szCs w:val="17"/>
    </w:rPr>
  </w:style>
  <w:style w:type="character" w:customStyle="1" w:styleId="435">
    <w:name w:val="Заголовок №4 (3)_"/>
    <w:basedOn w:val="a1"/>
    <w:link w:val="436"/>
    <w:rsid w:val="000D0B36"/>
    <w:rPr>
      <w:rFonts w:ascii="Microsoft Sans Serif" w:eastAsia="Microsoft Sans Serif" w:hAnsi="Microsoft Sans Serif" w:cs="Microsoft Sans Serif"/>
      <w:shd w:val="clear" w:color="auto" w:fill="FFFFFF"/>
    </w:rPr>
  </w:style>
  <w:style w:type="paragraph" w:customStyle="1" w:styleId="436">
    <w:name w:val="Заголовок №4 (3)"/>
    <w:basedOn w:val="a0"/>
    <w:link w:val="435"/>
    <w:rsid w:val="000D0B36"/>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f3">
    <w:name w:val="Подпись к таблице (3)"/>
    <w:basedOn w:val="3ff2"/>
    <w:rsid w:val="000D0B36"/>
    <w:rPr>
      <w:rFonts w:ascii="Times New Roman" w:eastAsia="Times New Roman" w:hAnsi="Times New Roman" w:cs="Times New Roman"/>
      <w:b w:val="0"/>
      <w:bCs w:val="0"/>
      <w:i w:val="0"/>
      <w:iCs w:val="0"/>
      <w:smallCaps w:val="0"/>
      <w:strike w:val="0"/>
      <w:spacing w:val="0"/>
      <w:sz w:val="17"/>
      <w:szCs w:val="17"/>
    </w:rPr>
  </w:style>
  <w:style w:type="character" w:customStyle="1" w:styleId="32a">
    <w:name w:val="Заголовок №3 (2)_"/>
    <w:basedOn w:val="a1"/>
    <w:rsid w:val="000D0B36"/>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3"/>
    <w:rsid w:val="000D0B36"/>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3"/>
    <w:rsid w:val="000D0B36"/>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3"/>
    <w:rsid w:val="000D0B36"/>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2"/>
    <w:rsid w:val="000D0B36"/>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a"/>
    <w:rsid w:val="000D0B36"/>
    <w:rPr>
      <w:rFonts w:ascii="Impact" w:eastAsia="Impact" w:hAnsi="Impact" w:cs="Impact"/>
      <w:b w:val="0"/>
      <w:bCs w:val="0"/>
      <w:i/>
      <w:iCs/>
      <w:smallCaps w:val="0"/>
      <w:strike w:val="0"/>
      <w:w w:val="50"/>
      <w:shd w:val="clear" w:color="auto" w:fill="FFFFFF"/>
      <w:lang w:eastAsia="en-US"/>
    </w:rPr>
  </w:style>
  <w:style w:type="character" w:customStyle="1" w:styleId="334">
    <w:name w:val="Заголовок №3 (3)_"/>
    <w:basedOn w:val="a1"/>
    <w:rsid w:val="000D0B36"/>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5">
    <w:name w:val="Заголовок №3 (3)"/>
    <w:basedOn w:val="334"/>
    <w:rsid w:val="000D0B36"/>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3">
    <w:name w:val="Заголовок №5 (3)_"/>
    <w:basedOn w:val="a1"/>
    <w:link w:val="534"/>
    <w:rsid w:val="000D0B36"/>
    <w:rPr>
      <w:rFonts w:ascii="Times New Roman" w:eastAsia="Times New Roman" w:hAnsi="Times New Roman"/>
      <w:sz w:val="23"/>
      <w:szCs w:val="23"/>
      <w:shd w:val="clear" w:color="auto" w:fill="FFFFFF"/>
    </w:rPr>
  </w:style>
  <w:style w:type="paragraph" w:customStyle="1" w:styleId="534">
    <w:name w:val="Заголовок №5 (3)"/>
    <w:basedOn w:val="a0"/>
    <w:link w:val="533"/>
    <w:rsid w:val="000D0B36"/>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c">
    <w:name w:val="Сноска (4)_"/>
    <w:basedOn w:val="a1"/>
    <w:rsid w:val="000D0B36"/>
    <w:rPr>
      <w:rFonts w:ascii="Times New Roman" w:eastAsia="Times New Roman" w:hAnsi="Times New Roman" w:cs="Times New Roman"/>
      <w:b w:val="0"/>
      <w:bCs w:val="0"/>
      <w:i w:val="0"/>
      <w:iCs w:val="0"/>
      <w:smallCaps w:val="0"/>
      <w:strike w:val="0"/>
      <w:spacing w:val="0"/>
      <w:sz w:val="19"/>
      <w:szCs w:val="19"/>
    </w:rPr>
  </w:style>
  <w:style w:type="character" w:customStyle="1" w:styleId="4fd">
    <w:name w:val="Сноска (4)"/>
    <w:basedOn w:val="4fc"/>
    <w:rsid w:val="000D0B36"/>
    <w:rPr>
      <w:rFonts w:ascii="Times New Roman" w:eastAsia="Times New Roman" w:hAnsi="Times New Roman" w:cs="Times New Roman"/>
      <w:b w:val="0"/>
      <w:bCs w:val="0"/>
      <w:i w:val="0"/>
      <w:iCs w:val="0"/>
      <w:smallCaps w:val="0"/>
      <w:strike w:val="0"/>
      <w:spacing w:val="0"/>
      <w:sz w:val="19"/>
      <w:szCs w:val="19"/>
    </w:rPr>
  </w:style>
  <w:style w:type="character" w:customStyle="1" w:styleId="4fe">
    <w:name w:val="Основной текст (4) + Курсив"/>
    <w:basedOn w:val="46"/>
    <w:rsid w:val="000D0B36"/>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customStyle="1" w:styleId="idea">
    <w:name w:val="idea"/>
    <w:basedOn w:val="a1"/>
    <w:rsid w:val="000D0B36"/>
  </w:style>
  <w:style w:type="paragraph" w:styleId="HTML">
    <w:name w:val="HTML Preformatted"/>
    <w:basedOn w:val="a0"/>
    <w:link w:val="HTML0"/>
    <w:uiPriority w:val="99"/>
    <w:unhideWhenUsed/>
    <w:rsid w:val="000D0B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0D0B36"/>
    <w:rPr>
      <w:rFonts w:ascii="Courier New" w:eastAsia="Times New Roman" w:hAnsi="Courier New" w:cs="Courier New"/>
    </w:rPr>
  </w:style>
  <w:style w:type="character" w:customStyle="1" w:styleId="fieldset-legend">
    <w:name w:val="fieldset-legend"/>
    <w:basedOn w:val="a1"/>
    <w:rsid w:val="000D0B36"/>
  </w:style>
  <w:style w:type="character" w:customStyle="1" w:styleId="fieldset-legend-prefix">
    <w:name w:val="fieldset-legend-prefix"/>
    <w:basedOn w:val="a1"/>
    <w:rsid w:val="000D0B36"/>
  </w:style>
  <w:style w:type="paragraph" w:customStyle="1" w:styleId="rteright">
    <w:name w:val="rteright"/>
    <w:basedOn w:val="a0"/>
    <w:uiPriority w:val="99"/>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styleId="affffff6">
    <w:name w:val="Unresolved Mention"/>
    <w:basedOn w:val="a1"/>
    <w:uiPriority w:val="99"/>
    <w:semiHidden/>
    <w:unhideWhenUsed/>
    <w:rsid w:val="000D0B36"/>
    <w:rPr>
      <w:color w:val="605E5C"/>
      <w:shd w:val="clear" w:color="auto" w:fill="E1DFDD"/>
    </w:rPr>
  </w:style>
  <w:style w:type="character" w:customStyle="1" w:styleId="cd-date">
    <w:name w:val="cd-date"/>
    <w:basedOn w:val="a1"/>
    <w:rsid w:val="000D0B36"/>
  </w:style>
  <w:style w:type="paragraph" w:customStyle="1" w:styleId="article-stats">
    <w:name w:val="article-stats"/>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1"/>
    <w:rsid w:val="000D0B36"/>
  </w:style>
  <w:style w:type="paragraph" w:styleId="z-0">
    <w:name w:val="HTML Top of Form"/>
    <w:basedOn w:val="a0"/>
    <w:next w:val="a0"/>
    <w:link w:val="z-2"/>
    <w:hidden/>
    <w:uiPriority w:val="99"/>
    <w:semiHidden/>
    <w:unhideWhenUsed/>
    <w:rsid w:val="000D0B36"/>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0D0B36"/>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0D0B36"/>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0D0B36"/>
    <w:rPr>
      <w:rFonts w:ascii="Arial" w:eastAsia="Times New Roman" w:hAnsi="Arial" w:cs="Arial"/>
      <w:vanish/>
      <w:sz w:val="16"/>
      <w:szCs w:val="16"/>
    </w:rPr>
  </w:style>
  <w:style w:type="paragraph" w:customStyle="1" w:styleId="u-current-rating">
    <w:name w:val="u-current-rating"/>
    <w:basedOn w:val="a0"/>
    <w:rsid w:val="000D0B36"/>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1"/>
    <w:rsid w:val="000D0B36"/>
  </w:style>
  <w:style w:type="character" w:customStyle="1" w:styleId="pbvybibe">
    <w:name w:val="pbvybibe"/>
    <w:basedOn w:val="a1"/>
    <w:rsid w:val="000D0B36"/>
  </w:style>
  <w:style w:type="character" w:customStyle="1" w:styleId="bottom-info-block-content">
    <w:name w:val="bottom-info-block-content"/>
    <w:basedOn w:val="a1"/>
    <w:rsid w:val="000D0B36"/>
  </w:style>
  <w:style w:type="paragraph" w:customStyle="1" w:styleId="style3">
    <w:name w:val="style3"/>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yle31">
    <w:name w:val="style31"/>
    <w:basedOn w:val="a1"/>
    <w:rsid w:val="000D0B36"/>
  </w:style>
  <w:style w:type="paragraph" w:customStyle="1" w:styleId="podprislevo1">
    <w:name w:val="podpris_levo1"/>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obj">
    <w:name w:val="hl-obj"/>
    <w:basedOn w:val="a1"/>
    <w:rsid w:val="000D0B36"/>
  </w:style>
  <w:style w:type="character" w:customStyle="1" w:styleId="style2">
    <w:name w:val="style2"/>
    <w:basedOn w:val="a1"/>
    <w:rsid w:val="000D0B36"/>
  </w:style>
  <w:style w:type="character" w:customStyle="1" w:styleId="podprislevo">
    <w:name w:val="podpris_levo"/>
    <w:basedOn w:val="a1"/>
    <w:rsid w:val="000D0B36"/>
  </w:style>
  <w:style w:type="paragraph" w:customStyle="1" w:styleId="rtecenter">
    <w:name w:val="rtecenter"/>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f">
    <w:name w:val="10"/>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2"/>
    <w:rsid w:val="000D0B36"/>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f0">
    <w:name w:val="Текст1"/>
    <w:basedOn w:val="a0"/>
    <w:rsid w:val="000D0B36"/>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f1">
    <w:name w:val="Основной шрифт абзаца1"/>
    <w:rsid w:val="000D0B36"/>
    <w:rPr>
      <w:sz w:val="20"/>
    </w:rPr>
  </w:style>
  <w:style w:type="character" w:customStyle="1" w:styleId="1ff2">
    <w:name w:val="Выделение1"/>
    <w:rsid w:val="000D0B36"/>
    <w:rPr>
      <w:i/>
      <w:iCs w:val="0"/>
      <w:sz w:val="20"/>
    </w:rPr>
  </w:style>
  <w:style w:type="character" w:customStyle="1" w:styleId="1ff3">
    <w:name w:val="Строгий1"/>
    <w:rsid w:val="000D0B36"/>
    <w:rPr>
      <w:b/>
      <w:bCs w:val="0"/>
      <w:sz w:val="20"/>
    </w:rPr>
  </w:style>
  <w:style w:type="character" w:customStyle="1" w:styleId="1ff4">
    <w:name w:val="Гиперссылка1"/>
    <w:rsid w:val="000D0B36"/>
    <w:rPr>
      <w:color w:val="0000FF"/>
      <w:sz w:val="20"/>
      <w:u w:val="single"/>
    </w:rPr>
  </w:style>
  <w:style w:type="paragraph" w:customStyle="1" w:styleId="esnhdj">
    <w:name w:val="esnhdj"/>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1"/>
    <w:rsid w:val="000D0B36"/>
  </w:style>
  <w:style w:type="paragraph" w:customStyle="1" w:styleId="ftvvlh">
    <w:name w:val="ftvvlh"/>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1"/>
    <w:rsid w:val="000D0B36"/>
  </w:style>
  <w:style w:type="character" w:customStyle="1" w:styleId="apple-tab-span">
    <w:name w:val="apple-tab-span"/>
    <w:basedOn w:val="a1"/>
    <w:rsid w:val="000D0B36"/>
  </w:style>
  <w:style w:type="paragraph" w:customStyle="1" w:styleId="jornal-9">
    <w:name w:val="jornal-9"/>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1"/>
    <w:rsid w:val="000D0B36"/>
  </w:style>
  <w:style w:type="paragraph" w:customStyle="1" w:styleId="ya-share2item">
    <w:name w:val="ya-share2__item"/>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wp-caption-text">
    <w:name w:val="wp-caption-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1"/>
    <w:rsid w:val="000D0B36"/>
  </w:style>
  <w:style w:type="character" w:styleId="HTML1">
    <w:name w:val="HTML Cite"/>
    <w:basedOn w:val="a1"/>
    <w:uiPriority w:val="99"/>
    <w:semiHidden/>
    <w:unhideWhenUsed/>
    <w:rsid w:val="000D0B36"/>
    <w:rPr>
      <w:i/>
      <w:iCs/>
    </w:rPr>
  </w:style>
  <w:style w:type="character" w:customStyle="1" w:styleId="1221">
    <w:name w:val="122"/>
    <w:basedOn w:val="a1"/>
    <w:rsid w:val="000D0B36"/>
  </w:style>
  <w:style w:type="character" w:customStyle="1" w:styleId="12900">
    <w:name w:val="1290"/>
    <w:basedOn w:val="a1"/>
    <w:rsid w:val="000D0B36"/>
  </w:style>
  <w:style w:type="paragraph" w:customStyle="1" w:styleId="political">
    <w:name w:val="political"/>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2"/>
    <w:rsid w:val="000D0B36"/>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f">
    <w:name w:val="Подпись к картинке (4) + Полужирный"/>
    <w:basedOn w:val="a1"/>
    <w:rsid w:val="000D0B36"/>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0D0B36"/>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0D0B36"/>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fff7">
    <w:name w:val="Другое_"/>
    <w:basedOn w:val="a1"/>
    <w:link w:val="affffff8"/>
    <w:rsid w:val="000D0B36"/>
    <w:rPr>
      <w:rFonts w:ascii="Arial" w:eastAsia="Arial" w:hAnsi="Arial" w:cs="Arial"/>
      <w:sz w:val="17"/>
      <w:szCs w:val="17"/>
    </w:rPr>
  </w:style>
  <w:style w:type="paragraph" w:customStyle="1" w:styleId="affffff8">
    <w:name w:val="Другое"/>
    <w:basedOn w:val="a0"/>
    <w:link w:val="affffff7"/>
    <w:rsid w:val="000D0B36"/>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1"/>
    <w:rsid w:val="000D0B36"/>
  </w:style>
  <w:style w:type="character" w:customStyle="1" w:styleId="likes-count-minimalcount">
    <w:name w:val="likes-count-minimal__count"/>
    <w:basedOn w:val="a1"/>
    <w:rsid w:val="000D0B36"/>
  </w:style>
  <w:style w:type="character" w:customStyle="1" w:styleId="ui-lib-buttoncontent-wrapper">
    <w:name w:val="ui-lib-button__content-wrapper"/>
    <w:basedOn w:val="a1"/>
    <w:rsid w:val="000D0B36"/>
  </w:style>
  <w:style w:type="character" w:customStyle="1" w:styleId="d2edcug0">
    <w:name w:val="d2edcug0"/>
    <w:basedOn w:val="a1"/>
    <w:rsid w:val="000D0B36"/>
  </w:style>
  <w:style w:type="character" w:customStyle="1" w:styleId="2ff1">
    <w:name w:val="Колонтитул (2)_"/>
    <w:basedOn w:val="a1"/>
    <w:link w:val="2ff2"/>
    <w:rsid w:val="000D0B36"/>
    <w:rPr>
      <w:rFonts w:ascii="Times New Roman" w:eastAsia="Times New Roman" w:hAnsi="Times New Roman"/>
    </w:rPr>
  </w:style>
  <w:style w:type="paragraph" w:customStyle="1" w:styleId="2ff2">
    <w:name w:val="Колонтитул (2)"/>
    <w:basedOn w:val="a0"/>
    <w:link w:val="2ff1"/>
    <w:rsid w:val="000D0B36"/>
    <w:pPr>
      <w:widowControl w:val="0"/>
      <w:spacing w:after="0" w:line="240" w:lineRule="auto"/>
    </w:pPr>
    <w:rPr>
      <w:rFonts w:ascii="Times New Roman" w:eastAsia="Times New Roman" w:hAnsi="Times New Roman"/>
      <w:sz w:val="20"/>
      <w:szCs w:val="20"/>
      <w:lang w:eastAsia="ru-RU"/>
    </w:rPr>
  </w:style>
  <w:style w:type="character" w:customStyle="1" w:styleId="symbol">
    <w:name w:val="symbol"/>
    <w:basedOn w:val="a1"/>
    <w:rsid w:val="000D0B36"/>
  </w:style>
  <w:style w:type="character" w:customStyle="1" w:styleId="zen-tag-publisherstitle">
    <w:name w:val="zen-tag-publishers__title"/>
    <w:basedOn w:val="a1"/>
    <w:rsid w:val="000D0B36"/>
  </w:style>
  <w:style w:type="character" w:customStyle="1" w:styleId="ui-lib-call-to-action-barcontainer">
    <w:name w:val="ui-lib-call-to-action-bar__container"/>
    <w:basedOn w:val="a1"/>
    <w:rsid w:val="000D0B36"/>
  </w:style>
  <w:style w:type="character" w:customStyle="1" w:styleId="ui-lib-call-to-action-bartitle">
    <w:name w:val="ui-lib-call-to-action-bar__title"/>
    <w:basedOn w:val="a1"/>
    <w:rsid w:val="000D0B36"/>
  </w:style>
  <w:style w:type="character" w:customStyle="1" w:styleId="ui-lib-call-to-action-barchannel-name">
    <w:name w:val="ui-lib-call-to-action-bar__channel-name"/>
    <w:basedOn w:val="a1"/>
    <w:rsid w:val="000D0B36"/>
  </w:style>
  <w:style w:type="character" w:customStyle="1" w:styleId="bqstart">
    <w:name w:val="bqstart"/>
    <w:basedOn w:val="a1"/>
    <w:rsid w:val="000D0B36"/>
  </w:style>
  <w:style w:type="character" w:customStyle="1" w:styleId="bqend">
    <w:name w:val="bqend"/>
    <w:basedOn w:val="a1"/>
    <w:rsid w:val="000D0B36"/>
  </w:style>
  <w:style w:type="paragraph" w:customStyle="1" w:styleId="tar">
    <w:name w:val="tar"/>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1"/>
    <w:rsid w:val="000D0B36"/>
  </w:style>
  <w:style w:type="character" w:customStyle="1" w:styleId="ui-lib-likes-countcount">
    <w:name w:val="ui-lib-likes-count__count"/>
    <w:basedOn w:val="a1"/>
    <w:rsid w:val="000D0B36"/>
  </w:style>
  <w:style w:type="character" w:customStyle="1" w:styleId="button-icon-texttext">
    <w:name w:val="button-icon-text__text"/>
    <w:basedOn w:val="a1"/>
    <w:rsid w:val="000D0B36"/>
  </w:style>
  <w:style w:type="character" w:customStyle="1" w:styleId="z-10">
    <w:name w:val="z-Начало формы Знак1"/>
    <w:basedOn w:val="a1"/>
    <w:uiPriority w:val="99"/>
    <w:semiHidden/>
    <w:rsid w:val="000D0B36"/>
    <w:rPr>
      <w:rFonts w:ascii="Arial" w:hAnsi="Arial" w:cs="Arial"/>
      <w:vanish/>
      <w:sz w:val="16"/>
      <w:szCs w:val="16"/>
    </w:rPr>
  </w:style>
  <w:style w:type="character" w:customStyle="1" w:styleId="z-11">
    <w:name w:val="z-Конец формы Знак1"/>
    <w:basedOn w:val="a1"/>
    <w:uiPriority w:val="99"/>
    <w:semiHidden/>
    <w:rsid w:val="000D0B36"/>
    <w:rPr>
      <w:rFonts w:ascii="Arial" w:hAnsi="Arial" w:cs="Arial"/>
      <w:vanish/>
      <w:sz w:val="16"/>
      <w:szCs w:val="16"/>
    </w:rPr>
  </w:style>
  <w:style w:type="character" w:customStyle="1" w:styleId="1ff5">
    <w:name w:val="Текст выноски Знак1"/>
    <w:basedOn w:val="a1"/>
    <w:uiPriority w:val="99"/>
    <w:semiHidden/>
    <w:rsid w:val="000D0B36"/>
    <w:rPr>
      <w:rFonts w:ascii="Segoe UI" w:hAnsi="Segoe UI" w:cs="Segoe UI"/>
      <w:sz w:val="18"/>
      <w:szCs w:val="18"/>
    </w:rPr>
  </w:style>
  <w:style w:type="character" w:customStyle="1" w:styleId="7f1">
    <w:name w:val="Основной текст (7) + Не курсив"/>
    <w:basedOn w:val="a1"/>
    <w:rsid w:val="000D0B36"/>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0D0B36"/>
    <w:rPr>
      <w:rFonts w:ascii="Microsoft Sans Serif" w:hAnsi="Microsoft Sans Serif"/>
      <w:i/>
      <w:spacing w:val="10"/>
      <w:sz w:val="15"/>
    </w:rPr>
  </w:style>
  <w:style w:type="paragraph" w:customStyle="1" w:styleId="6f">
    <w:name w:val="Подпись к таблице (6)"/>
    <w:basedOn w:val="a0"/>
    <w:rsid w:val="000D0B36"/>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paragraph" w:customStyle="1" w:styleId="txt1">
    <w:name w:val="txt1"/>
    <w:basedOn w:val="a0"/>
    <w:rsid w:val="000D0B36"/>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ff6">
    <w:name w:val="Заголовок1"/>
    <w:basedOn w:val="a0"/>
    <w:uiPriority w:val="99"/>
    <w:rsid w:val="000D0B36"/>
    <w:pPr>
      <w:widowControl w:val="0"/>
      <w:autoSpaceDE w:val="0"/>
      <w:autoSpaceDN w:val="0"/>
      <w:adjustRightInd w:val="0"/>
      <w:spacing w:after="0" w:line="360" w:lineRule="auto"/>
      <w:ind w:firstLine="709"/>
      <w:jc w:val="center"/>
    </w:pPr>
    <w:rPr>
      <w:rFonts w:ascii="Arial" w:eastAsiaTheme="minorHAnsi" w:hAnsi="Arial" w:cs="Arial"/>
      <w:b/>
      <w:bCs/>
      <w:caps/>
      <w:color w:val="0000FF"/>
      <w:sz w:val="26"/>
      <w:szCs w:val="26"/>
    </w:rPr>
  </w:style>
  <w:style w:type="character" w:customStyle="1" w:styleId="selected1">
    <w:name w:val="selected1"/>
    <w:basedOn w:val="a1"/>
    <w:rsid w:val="000D0B36"/>
    <w:rPr>
      <w:color w:val="05A505"/>
    </w:rPr>
  </w:style>
  <w:style w:type="character" w:customStyle="1" w:styleId="7pt1">
    <w:name w:val="Основной текст + 7 pt;Полужирный"/>
    <w:basedOn w:val="aff2"/>
    <w:rsid w:val="000D0B36"/>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7">
    <w:name w:val="Основной текст + Полужирный43"/>
    <w:basedOn w:val="a1"/>
    <w:uiPriority w:val="99"/>
    <w:rsid w:val="000D0B36"/>
    <w:rPr>
      <w:rFonts w:ascii="Arial Narrow" w:hAnsi="Arial Narrow" w:cs="Arial Narrow"/>
      <w:b/>
      <w:bCs/>
      <w:spacing w:val="0"/>
      <w:sz w:val="18"/>
      <w:szCs w:val="18"/>
      <w:shd w:val="clear" w:color="auto" w:fill="FFFFFF"/>
    </w:rPr>
  </w:style>
  <w:style w:type="character" w:customStyle="1" w:styleId="data1">
    <w:name w:val="data1"/>
    <w:basedOn w:val="a1"/>
    <w:rsid w:val="000D0B36"/>
    <w:rPr>
      <w:i/>
      <w:iCs/>
      <w:vanish w:val="0"/>
      <w:webHidden w:val="0"/>
      <w:specVanish w:val="0"/>
    </w:rPr>
  </w:style>
  <w:style w:type="paragraph" w:customStyle="1" w:styleId="el-text">
    <w:name w:val="el-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1"/>
    <w:uiPriority w:val="99"/>
    <w:rsid w:val="000D0B36"/>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0D0B36"/>
    <w:rPr>
      <w:rFonts w:ascii="Arial" w:eastAsia="Arial" w:hAnsi="Arial" w:cs="Arial"/>
      <w:b/>
      <w:bCs/>
      <w:i/>
      <w:iCs/>
      <w:smallCaps w:val="0"/>
      <w:strike w:val="0"/>
      <w:spacing w:val="-10"/>
      <w:w w:val="80"/>
      <w:sz w:val="19"/>
      <w:szCs w:val="19"/>
      <w:shd w:val="clear" w:color="auto" w:fill="FFFFFF"/>
      <w:lang w:eastAsia="en-US"/>
    </w:rPr>
  </w:style>
  <w:style w:type="character" w:customStyle="1" w:styleId="122pt">
    <w:name w:val="Основной текст (12) + Интервал 2 pt"/>
    <w:rsid w:val="000D0B36"/>
    <w:rPr>
      <w:spacing w:val="50"/>
      <w:sz w:val="16"/>
    </w:rPr>
  </w:style>
  <w:style w:type="character" w:customStyle="1" w:styleId="5f4">
    <w:name w:val="Основной текст (5) + Не курсив"/>
    <w:rsid w:val="000D0B36"/>
    <w:rPr>
      <w:rFonts w:ascii="Arial" w:hAnsi="Arial"/>
      <w:i/>
      <w:spacing w:val="0"/>
      <w:sz w:val="26"/>
    </w:rPr>
  </w:style>
  <w:style w:type="paragraph" w:customStyle="1" w:styleId="Pa3">
    <w:name w:val="Pa3"/>
    <w:basedOn w:val="Default"/>
    <w:next w:val="Default"/>
    <w:uiPriority w:val="99"/>
    <w:rsid w:val="000D0B36"/>
    <w:pPr>
      <w:spacing w:line="181" w:lineRule="atLeast"/>
    </w:pPr>
    <w:rPr>
      <w:rFonts w:ascii="Palatino Linotype" w:eastAsiaTheme="minorHAnsi" w:hAnsi="Palatino Linotype" w:cstheme="minorBidi"/>
      <w:color w:val="auto"/>
    </w:rPr>
  </w:style>
  <w:style w:type="character" w:customStyle="1" w:styleId="A30">
    <w:name w:val="A3"/>
    <w:uiPriority w:val="99"/>
    <w:rsid w:val="000D0B36"/>
    <w:rPr>
      <w:rFonts w:cs="Palatino Linotype"/>
      <w:i/>
      <w:iCs/>
      <w:color w:val="000000"/>
      <w:sz w:val="19"/>
      <w:szCs w:val="19"/>
    </w:rPr>
  </w:style>
  <w:style w:type="paragraph" w:customStyle="1" w:styleId="Pa1">
    <w:name w:val="Pa1"/>
    <w:basedOn w:val="Default"/>
    <w:next w:val="Default"/>
    <w:uiPriority w:val="99"/>
    <w:rsid w:val="000D0B36"/>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2"/>
    <w:rsid w:val="000D0B36"/>
    <w:rPr>
      <w:rFonts w:ascii="Arial" w:eastAsia="Arial" w:hAnsi="Arial" w:cs="Arial"/>
      <w:b/>
      <w:bCs/>
      <w:i w:val="0"/>
      <w:iCs w:val="0"/>
      <w:smallCaps w:val="0"/>
      <w:strike w:val="0"/>
      <w:spacing w:val="-20"/>
      <w:sz w:val="20"/>
      <w:szCs w:val="20"/>
      <w:shd w:val="clear" w:color="auto" w:fill="FFFFFF"/>
    </w:rPr>
  </w:style>
  <w:style w:type="character" w:customStyle="1" w:styleId="6pt3">
    <w:name w:val="Основной текст + 6 pt"/>
    <w:basedOn w:val="aff2"/>
    <w:uiPriority w:val="99"/>
    <w:rsid w:val="000D0B36"/>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w">
    <w:name w:val="w"/>
    <w:basedOn w:val="a1"/>
    <w:rsid w:val="000D0B36"/>
  </w:style>
  <w:style w:type="paragraph" w:customStyle="1" w:styleId="uk-margin1">
    <w:name w:val="uk-margin1"/>
    <w:basedOn w:val="a0"/>
    <w:rsid w:val="000D0B36"/>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1"/>
    <w:rsid w:val="000D0B36"/>
  </w:style>
  <w:style w:type="character" w:customStyle="1" w:styleId="5750">
    <w:name w:val="Основной текст (5)75"/>
    <w:basedOn w:val="a1"/>
    <w:uiPriority w:val="99"/>
    <w:rsid w:val="000D0B36"/>
    <w:rPr>
      <w:i/>
      <w:iCs/>
      <w:spacing w:val="0"/>
      <w:sz w:val="16"/>
      <w:szCs w:val="16"/>
    </w:rPr>
  </w:style>
  <w:style w:type="character" w:customStyle="1" w:styleId="5740">
    <w:name w:val="Основной текст (5)74"/>
    <w:basedOn w:val="a1"/>
    <w:uiPriority w:val="99"/>
    <w:rsid w:val="000D0B36"/>
    <w:rPr>
      <w:rFonts w:ascii="Arial Unicode MS" w:eastAsia="Arial Unicode MS" w:cs="Arial Unicode MS"/>
      <w:i/>
      <w:iCs/>
      <w:noProof/>
      <w:spacing w:val="0"/>
      <w:sz w:val="16"/>
      <w:szCs w:val="16"/>
    </w:rPr>
  </w:style>
  <w:style w:type="character" w:customStyle="1" w:styleId="58455pt61520pt910">
    <w:name w:val="Основной текст (5) + 845.5 pt61.Не курсив52.Интервал 0 pt91"/>
    <w:basedOn w:val="a1"/>
    <w:uiPriority w:val="99"/>
    <w:rsid w:val="000D0B36"/>
    <w:rPr>
      <w:i/>
      <w:iCs/>
      <w:spacing w:val="-10"/>
      <w:sz w:val="17"/>
      <w:szCs w:val="17"/>
    </w:rPr>
  </w:style>
  <w:style w:type="character" w:customStyle="1" w:styleId="58445pt60510pt900">
    <w:name w:val="Основной текст (5) + 844.5 pt60.Не курсив51.Интервал 0 pt90"/>
    <w:basedOn w:val="a1"/>
    <w:uiPriority w:val="99"/>
    <w:rsid w:val="000D0B36"/>
    <w:rPr>
      <w:rFonts w:ascii="Arial Unicode MS" w:eastAsia="Arial Unicode MS" w:cs="Arial Unicode MS"/>
      <w:i/>
      <w:iCs/>
      <w:noProof/>
      <w:spacing w:val="-10"/>
      <w:sz w:val="17"/>
      <w:szCs w:val="17"/>
    </w:rPr>
  </w:style>
  <w:style w:type="character" w:customStyle="1" w:styleId="58435pt59500pt890">
    <w:name w:val="Основной текст (5) + 843.5 pt59.Не курсив50.Интервал 0 pt89"/>
    <w:basedOn w:val="a1"/>
    <w:uiPriority w:val="99"/>
    <w:rsid w:val="000D0B36"/>
    <w:rPr>
      <w:i/>
      <w:iCs/>
      <w:spacing w:val="-10"/>
      <w:sz w:val="17"/>
      <w:szCs w:val="17"/>
    </w:rPr>
  </w:style>
  <w:style w:type="character" w:customStyle="1" w:styleId="5730">
    <w:name w:val="Основной текст (5)73"/>
    <w:basedOn w:val="a1"/>
    <w:uiPriority w:val="99"/>
    <w:rsid w:val="000D0B36"/>
    <w:rPr>
      <w:i/>
      <w:iCs/>
      <w:spacing w:val="0"/>
      <w:sz w:val="16"/>
      <w:szCs w:val="16"/>
    </w:rPr>
  </w:style>
  <w:style w:type="character" w:customStyle="1" w:styleId="5720">
    <w:name w:val="Основной текст (5)72"/>
    <w:basedOn w:val="a1"/>
    <w:uiPriority w:val="99"/>
    <w:rsid w:val="000D0B36"/>
    <w:rPr>
      <w:rFonts w:ascii="Arial Unicode MS" w:eastAsia="Arial Unicode MS" w:cs="Arial Unicode MS"/>
      <w:i/>
      <w:iCs/>
      <w:noProof/>
      <w:spacing w:val="0"/>
      <w:sz w:val="16"/>
      <w:szCs w:val="16"/>
    </w:rPr>
  </w:style>
  <w:style w:type="character" w:customStyle="1" w:styleId="58425pt58490pt880">
    <w:name w:val="Основной текст (5) + 842.5 pt58.Не курсив49.Интервал 0 pt88"/>
    <w:basedOn w:val="a1"/>
    <w:uiPriority w:val="99"/>
    <w:rsid w:val="000D0B36"/>
    <w:rPr>
      <w:rFonts w:ascii="Arial Unicode MS" w:eastAsia="Arial Unicode MS" w:cs="Arial Unicode MS"/>
      <w:i/>
      <w:iCs/>
      <w:noProof/>
      <w:spacing w:val="-10"/>
      <w:sz w:val="17"/>
      <w:szCs w:val="17"/>
    </w:rPr>
  </w:style>
  <w:style w:type="character" w:customStyle="1" w:styleId="58415pt57220">
    <w:name w:val="Основной текст (5) + 841.5 pt57.Полужирный22"/>
    <w:basedOn w:val="a1"/>
    <w:uiPriority w:val="99"/>
    <w:rsid w:val="000D0B36"/>
    <w:rPr>
      <w:b/>
      <w:bCs/>
      <w:i/>
      <w:iCs/>
      <w:spacing w:val="0"/>
      <w:sz w:val="17"/>
      <w:szCs w:val="17"/>
    </w:rPr>
  </w:style>
  <w:style w:type="character" w:customStyle="1" w:styleId="5710">
    <w:name w:val="Основной текст (5)71"/>
    <w:basedOn w:val="a1"/>
    <w:uiPriority w:val="99"/>
    <w:rsid w:val="000D0B36"/>
    <w:rPr>
      <w:i/>
      <w:iCs/>
      <w:spacing w:val="0"/>
      <w:sz w:val="16"/>
      <w:szCs w:val="16"/>
    </w:rPr>
  </w:style>
  <w:style w:type="character" w:customStyle="1" w:styleId="2031">
    <w:name w:val="Основной текст (20)3"/>
    <w:basedOn w:val="a1"/>
    <w:uiPriority w:val="99"/>
    <w:rsid w:val="000D0B36"/>
    <w:rPr>
      <w:rFonts w:ascii="Arial Unicode MS" w:eastAsia="Arial Unicode MS" w:cs="Arial Unicode MS"/>
      <w:b/>
      <w:bCs/>
      <w:i/>
      <w:iCs/>
      <w:noProof/>
      <w:sz w:val="15"/>
      <w:szCs w:val="15"/>
    </w:rPr>
  </w:style>
  <w:style w:type="character" w:customStyle="1" w:styleId="208pt40">
    <w:name w:val="Основной текст (20) + 8 pt.Не полужирный4"/>
    <w:basedOn w:val="a1"/>
    <w:uiPriority w:val="99"/>
    <w:rsid w:val="000D0B36"/>
    <w:rPr>
      <w:rFonts w:ascii="Arial Unicode MS" w:eastAsia="Arial Unicode MS" w:cs="Arial Unicode MS"/>
      <w:b/>
      <w:bCs/>
      <w:i/>
      <w:iCs/>
      <w:noProof/>
      <w:sz w:val="16"/>
      <w:szCs w:val="16"/>
    </w:rPr>
  </w:style>
  <w:style w:type="character" w:customStyle="1" w:styleId="2021">
    <w:name w:val="Основной текст (20)2"/>
    <w:basedOn w:val="a1"/>
    <w:uiPriority w:val="99"/>
    <w:rsid w:val="000D0B36"/>
    <w:rPr>
      <w:b/>
      <w:bCs/>
      <w:i/>
      <w:iCs/>
      <w:sz w:val="15"/>
      <w:szCs w:val="15"/>
    </w:rPr>
  </w:style>
  <w:style w:type="character" w:customStyle="1" w:styleId="3630">
    <w:name w:val="Основной текст (36) + Не курсив3"/>
    <w:basedOn w:val="a1"/>
    <w:uiPriority w:val="99"/>
    <w:rsid w:val="000D0B36"/>
    <w:rPr>
      <w:rFonts w:ascii="Arial" w:hAnsi="Arial" w:cs="Arial"/>
      <w:spacing w:val="0"/>
      <w:sz w:val="8"/>
      <w:szCs w:val="8"/>
    </w:rPr>
  </w:style>
  <w:style w:type="character" w:customStyle="1" w:styleId="4ff0">
    <w:name w:val="Основной текст + Курсив4"/>
    <w:basedOn w:val="aff2"/>
    <w:uiPriority w:val="99"/>
    <w:rsid w:val="000D0B36"/>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0D0B36"/>
    <w:rPr>
      <w:rFonts w:ascii="Arial" w:hAnsi="Arial" w:cs="Arial"/>
      <w:spacing w:val="0"/>
      <w:sz w:val="8"/>
      <w:szCs w:val="8"/>
    </w:rPr>
  </w:style>
  <w:style w:type="character" w:customStyle="1" w:styleId="401">
    <w:name w:val="Основной текст (40) + Не курсив"/>
    <w:basedOn w:val="a1"/>
    <w:uiPriority w:val="99"/>
    <w:rsid w:val="000D0B36"/>
    <w:rPr>
      <w:rFonts w:ascii="Arial" w:hAnsi="Arial" w:cs="Arial"/>
      <w:noProof/>
      <w:spacing w:val="0"/>
      <w:sz w:val="8"/>
      <w:szCs w:val="8"/>
    </w:rPr>
  </w:style>
  <w:style w:type="paragraph" w:customStyle="1" w:styleId="402">
    <w:name w:val="Основной текст (40)"/>
    <w:basedOn w:val="a0"/>
    <w:uiPriority w:val="99"/>
    <w:rsid w:val="000D0B36"/>
    <w:pPr>
      <w:shd w:val="clear" w:color="auto" w:fill="FFFFFF"/>
      <w:autoSpaceDE w:val="0"/>
      <w:autoSpaceDN w:val="0"/>
      <w:adjustRightInd w:val="0"/>
      <w:spacing w:after="0" w:line="86" w:lineRule="exact"/>
      <w:jc w:val="both"/>
    </w:pPr>
    <w:rPr>
      <w:rFonts w:ascii="Arial" w:eastAsiaTheme="minorHAnsi" w:hAnsi="Arial" w:cs="Arial"/>
      <w:i/>
      <w:iCs/>
      <w:sz w:val="8"/>
      <w:szCs w:val="8"/>
    </w:rPr>
  </w:style>
  <w:style w:type="character" w:customStyle="1" w:styleId="2ff3">
    <w:name w:val="Оглавление (2)_"/>
    <w:basedOn w:val="a1"/>
    <w:rsid w:val="000D0B36"/>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0D0B36"/>
    <w:rPr>
      <w:rFonts w:ascii="Times New Roman" w:hAnsi="Times New Roman"/>
      <w:spacing w:val="10"/>
      <w:sz w:val="16"/>
    </w:rPr>
  </w:style>
  <w:style w:type="character" w:customStyle="1" w:styleId="13a">
    <w:name w:val="Оглавление + 13"/>
    <w:rsid w:val="000D0B36"/>
    <w:rPr>
      <w:rFonts w:ascii="Arial" w:hAnsi="Arial"/>
      <w:sz w:val="27"/>
    </w:rPr>
  </w:style>
  <w:style w:type="character" w:customStyle="1" w:styleId="344">
    <w:name w:val="Заголовок №3 (4)_"/>
    <w:basedOn w:val="a1"/>
    <w:link w:val="345"/>
    <w:locked/>
    <w:rsid w:val="000D0B36"/>
    <w:rPr>
      <w:rFonts w:ascii="Times New Roman" w:hAnsi="Times New Roman"/>
      <w:shd w:val="clear" w:color="auto" w:fill="FFFFFF"/>
    </w:rPr>
  </w:style>
  <w:style w:type="paragraph" w:customStyle="1" w:styleId="345">
    <w:name w:val="Заголовок №3 (4)"/>
    <w:basedOn w:val="a0"/>
    <w:link w:val="344"/>
    <w:rsid w:val="000D0B36"/>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4"/>
    <w:rsid w:val="000D0B36"/>
    <w:rPr>
      <w:rFonts w:ascii="Times New Roman" w:hAnsi="Times New Roman"/>
      <w:spacing w:val="30"/>
      <w:shd w:val="clear" w:color="auto" w:fill="FFFFFF"/>
    </w:rPr>
  </w:style>
  <w:style w:type="character" w:customStyle="1" w:styleId="textemphasis">
    <w:name w:val="text_emphasis"/>
    <w:basedOn w:val="a1"/>
    <w:rsid w:val="000D0B36"/>
  </w:style>
  <w:style w:type="character" w:customStyle="1" w:styleId="mw-headline">
    <w:name w:val="mw-headline"/>
    <w:basedOn w:val="a1"/>
    <w:rsid w:val="000D0B36"/>
  </w:style>
  <w:style w:type="character" w:customStyle="1" w:styleId="11SimSun">
    <w:name w:val="Основной текст (11) + SimSun"/>
    <w:rsid w:val="000D0B36"/>
    <w:rPr>
      <w:rFonts w:ascii="SimSun" w:eastAsia="SimSun" w:hAnsi="Arial"/>
      <w:spacing w:val="-10"/>
      <w:sz w:val="16"/>
    </w:rPr>
  </w:style>
  <w:style w:type="character" w:customStyle="1" w:styleId="4ArialNarrow85pt">
    <w:name w:val="Основной текст (4) + Arial Narrow;8;5 pt;Курсив"/>
    <w:basedOn w:val="46"/>
    <w:rsid w:val="000D0B36"/>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0D0B36"/>
    <w:rPr>
      <w:rFonts w:ascii="Times New Roman" w:hAnsi="Times New Roman"/>
      <w:spacing w:val="0"/>
      <w:sz w:val="16"/>
    </w:rPr>
  </w:style>
  <w:style w:type="character" w:customStyle="1" w:styleId="47BookmanOldStyle">
    <w:name w:val="Основной текст (47) + Bookman Old Style"/>
    <w:rsid w:val="000D0B36"/>
    <w:rPr>
      <w:rFonts w:ascii="Bookman Old Style" w:hAnsi="Bookman Old Style"/>
      <w:spacing w:val="0"/>
      <w:sz w:val="13"/>
    </w:rPr>
  </w:style>
  <w:style w:type="character" w:customStyle="1" w:styleId="311pt">
    <w:name w:val="Основной текст (31) + Интервал 1 pt"/>
    <w:rsid w:val="000D0B36"/>
    <w:rPr>
      <w:rFonts w:ascii="Arial" w:hAnsi="Arial"/>
      <w:spacing w:val="30"/>
      <w:sz w:val="24"/>
    </w:rPr>
  </w:style>
  <w:style w:type="character" w:customStyle="1" w:styleId="41pt">
    <w:name w:val="Основной текст (4) + Курсив;Интервал 1 pt"/>
    <w:basedOn w:val="46"/>
    <w:rsid w:val="000D0B36"/>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297">
    <w:name w:val="Основной текст + Курсив29"/>
    <w:aliases w:val="Интервал 0 pt55"/>
    <w:basedOn w:val="a1"/>
    <w:uiPriority w:val="99"/>
    <w:rsid w:val="000D0B36"/>
    <w:rPr>
      <w:rFonts w:ascii="Arial Narrow" w:hAnsi="Arial Narrow" w:cs="Arial Narrow"/>
      <w:i/>
      <w:iCs/>
      <w:spacing w:val="0"/>
      <w:sz w:val="18"/>
      <w:szCs w:val="18"/>
      <w:shd w:val="clear" w:color="auto" w:fill="FFFFFF"/>
    </w:rPr>
  </w:style>
  <w:style w:type="character" w:customStyle="1" w:styleId="28a">
    <w:name w:val="Основной текст + Курсив28"/>
    <w:aliases w:val="Интервал 0 pt54"/>
    <w:basedOn w:val="a1"/>
    <w:uiPriority w:val="99"/>
    <w:rsid w:val="000D0B36"/>
    <w:rPr>
      <w:rFonts w:ascii="Arial Narrow" w:hAnsi="Arial Narrow" w:cs="Arial Narrow"/>
      <w:i/>
      <w:iCs/>
      <w:spacing w:val="0"/>
      <w:sz w:val="18"/>
      <w:szCs w:val="18"/>
      <w:shd w:val="clear" w:color="auto" w:fill="FFFFFF"/>
    </w:rPr>
  </w:style>
  <w:style w:type="character" w:customStyle="1" w:styleId="a11">
    <w:name w:val="a1"/>
    <w:basedOn w:val="a1"/>
    <w:rsid w:val="000D0B36"/>
    <w:rPr>
      <w:rFonts w:ascii="Arial" w:hAnsi="Arial" w:cs="Arial" w:hint="default"/>
      <w:color w:val="990000"/>
      <w:sz w:val="16"/>
      <w:szCs w:val="16"/>
    </w:rPr>
  </w:style>
  <w:style w:type="paragraph" w:styleId="affffff9">
    <w:name w:val="endnote text"/>
    <w:basedOn w:val="a0"/>
    <w:link w:val="affffffa"/>
    <w:uiPriority w:val="99"/>
    <w:semiHidden/>
    <w:unhideWhenUsed/>
    <w:rsid w:val="000D0B36"/>
    <w:pPr>
      <w:spacing w:after="0" w:line="240" w:lineRule="auto"/>
    </w:pPr>
    <w:rPr>
      <w:rFonts w:asciiTheme="minorHAnsi" w:eastAsiaTheme="minorHAnsi" w:hAnsiTheme="minorHAnsi" w:cstheme="minorBidi"/>
      <w:sz w:val="20"/>
      <w:szCs w:val="20"/>
    </w:rPr>
  </w:style>
  <w:style w:type="character" w:customStyle="1" w:styleId="affffffa">
    <w:name w:val="Текст концевой сноски Знак"/>
    <w:basedOn w:val="a1"/>
    <w:link w:val="affffff9"/>
    <w:uiPriority w:val="99"/>
    <w:semiHidden/>
    <w:rsid w:val="000D0B36"/>
    <w:rPr>
      <w:rFonts w:asciiTheme="minorHAnsi" w:eastAsiaTheme="minorHAnsi" w:hAnsiTheme="minorHAnsi" w:cstheme="minorBidi"/>
      <w:lang w:eastAsia="en-US"/>
    </w:rPr>
  </w:style>
  <w:style w:type="character" w:customStyle="1" w:styleId="mw-editsection">
    <w:name w:val="mw-editsection"/>
    <w:basedOn w:val="a1"/>
    <w:rsid w:val="000D0B36"/>
  </w:style>
  <w:style w:type="character" w:customStyle="1" w:styleId="mw-editsection-bracket">
    <w:name w:val="mw-editsection-bracket"/>
    <w:basedOn w:val="a1"/>
    <w:rsid w:val="000D0B36"/>
  </w:style>
  <w:style w:type="character" w:customStyle="1" w:styleId="mw-editsection-divider">
    <w:name w:val="mw-editsection-divider"/>
    <w:basedOn w:val="a1"/>
    <w:rsid w:val="000D0B36"/>
  </w:style>
  <w:style w:type="character" w:customStyle="1" w:styleId="valueoftype1">
    <w:name w:val="value_of_type_1"/>
    <w:basedOn w:val="a1"/>
    <w:rsid w:val="000D0B36"/>
  </w:style>
  <w:style w:type="character" w:customStyle="1" w:styleId="textitalicbold">
    <w:name w:val="textitalicbold"/>
    <w:basedOn w:val="a1"/>
    <w:rsid w:val="000D0B36"/>
  </w:style>
  <w:style w:type="paragraph" w:customStyle="1" w:styleId="blockquote0">
    <w:name w:val="blockquote"/>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pital">
    <w:name w:val="capital"/>
    <w:basedOn w:val="a1"/>
    <w:rsid w:val="000D0B36"/>
  </w:style>
  <w:style w:type="paragraph" w:customStyle="1" w:styleId="txt10">
    <w:name w:val="txt10"/>
    <w:basedOn w:val="a0"/>
    <w:uiPriority w:val="99"/>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hrink">
    <w:name w:val="shrink"/>
    <w:basedOn w:val="a0"/>
    <w:uiPriority w:val="99"/>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TML2">
    <w:name w:val="Адрес HTML Знак"/>
    <w:basedOn w:val="a1"/>
    <w:link w:val="HTML3"/>
    <w:uiPriority w:val="99"/>
    <w:semiHidden/>
    <w:rsid w:val="000D0B36"/>
    <w:rPr>
      <w:rFonts w:ascii="Times New Roman" w:eastAsia="Times New Roman" w:hAnsi="Times New Roman"/>
      <w:i/>
      <w:iCs/>
      <w:sz w:val="24"/>
      <w:szCs w:val="24"/>
    </w:rPr>
  </w:style>
  <w:style w:type="paragraph" w:styleId="HTML3">
    <w:name w:val="HTML Address"/>
    <w:basedOn w:val="a0"/>
    <w:link w:val="HTML2"/>
    <w:uiPriority w:val="99"/>
    <w:semiHidden/>
    <w:unhideWhenUsed/>
    <w:rsid w:val="000D0B36"/>
    <w:pPr>
      <w:spacing w:after="0" w:line="240" w:lineRule="auto"/>
    </w:pPr>
    <w:rPr>
      <w:rFonts w:ascii="Times New Roman" w:eastAsia="Times New Roman" w:hAnsi="Times New Roman"/>
      <w:i/>
      <w:iCs/>
      <w:sz w:val="24"/>
      <w:szCs w:val="24"/>
      <w:lang w:eastAsia="ru-RU"/>
    </w:rPr>
  </w:style>
  <w:style w:type="character" w:customStyle="1" w:styleId="HTML10">
    <w:name w:val="Адрес HTML Знак1"/>
    <w:basedOn w:val="a1"/>
    <w:uiPriority w:val="99"/>
    <w:semiHidden/>
    <w:rsid w:val="000D0B36"/>
    <w:rPr>
      <w:i/>
      <w:iCs/>
      <w:sz w:val="22"/>
      <w:szCs w:val="22"/>
      <w:lang w:eastAsia="en-US"/>
    </w:rPr>
  </w:style>
  <w:style w:type="paragraph" w:styleId="a">
    <w:name w:val="List"/>
    <w:basedOn w:val="a0"/>
    <w:uiPriority w:val="99"/>
    <w:semiHidden/>
    <w:unhideWhenUsed/>
    <w:rsid w:val="000D0B36"/>
    <w:pPr>
      <w:numPr>
        <w:numId w:val="9"/>
      </w:numPr>
      <w:spacing w:after="0" w:line="360" w:lineRule="auto"/>
      <w:ind w:left="283" w:hanging="283"/>
      <w:contextualSpacing/>
      <w:jc w:val="both"/>
    </w:pPr>
    <w:rPr>
      <w:rFonts w:asciiTheme="minorHAnsi" w:eastAsiaTheme="minorHAnsi" w:hAnsiTheme="minorHAnsi" w:cstheme="minorBidi"/>
    </w:rPr>
  </w:style>
  <w:style w:type="character" w:customStyle="1" w:styleId="af5">
    <w:name w:val="Заголовок Знак"/>
    <w:basedOn w:val="a1"/>
    <w:link w:val="af4"/>
    <w:uiPriority w:val="10"/>
    <w:rsid w:val="000D0B36"/>
    <w:rPr>
      <w:rFonts w:ascii="Arial" w:hAnsi="Arial" w:cs="Arial"/>
      <w:b/>
      <w:bCs/>
      <w:caps/>
      <w:color w:val="0000FF"/>
      <w:sz w:val="26"/>
      <w:szCs w:val="26"/>
      <w:lang w:eastAsia="en-US"/>
    </w:rPr>
  </w:style>
  <w:style w:type="character" w:customStyle="1" w:styleId="suggested-publications-headerheader-title">
    <w:name w:val="suggested-publications-header__header-title"/>
    <w:basedOn w:val="a1"/>
    <w:rsid w:val="000D0B36"/>
  </w:style>
  <w:style w:type="character" w:customStyle="1" w:styleId="article-stats-viewstats-item-count">
    <w:name w:val="article-stats-view__stats-item-count"/>
    <w:basedOn w:val="a1"/>
    <w:rsid w:val="000D0B36"/>
  </w:style>
  <w:style w:type="character" w:customStyle="1" w:styleId="article-imgdescription">
    <w:name w:val="article-img__description"/>
    <w:basedOn w:val="a1"/>
    <w:rsid w:val="000D0B36"/>
  </w:style>
  <w:style w:type="character" w:customStyle="1" w:styleId="hash-starhash">
    <w:name w:val="hash-star__hash"/>
    <w:basedOn w:val="a1"/>
    <w:rsid w:val="000D0B36"/>
  </w:style>
  <w:style w:type="character" w:customStyle="1" w:styleId="taglink">
    <w:name w:val="tag__link"/>
    <w:basedOn w:val="a1"/>
    <w:rsid w:val="000D0B36"/>
  </w:style>
  <w:style w:type="character" w:customStyle="1" w:styleId="imgsign">
    <w:name w:val="imgsign"/>
    <w:basedOn w:val="a1"/>
    <w:rsid w:val="000D0B36"/>
  </w:style>
  <w:style w:type="character" w:customStyle="1" w:styleId="photosignmoney">
    <w:name w:val="photosignmoney"/>
    <w:basedOn w:val="a1"/>
    <w:rsid w:val="000D0B36"/>
  </w:style>
  <w:style w:type="character" w:customStyle="1" w:styleId="ya-unit-category">
    <w:name w:val="ya-unit-category"/>
    <w:basedOn w:val="a1"/>
    <w:rsid w:val="000D0B36"/>
  </w:style>
  <w:style w:type="character" w:customStyle="1" w:styleId="ya-unit-domain">
    <w:name w:val="ya-unit-domain"/>
    <w:basedOn w:val="a1"/>
    <w:rsid w:val="000D0B36"/>
  </w:style>
  <w:style w:type="character" w:customStyle="1" w:styleId="ya-adtune-feedbackcomplain-text">
    <w:name w:val="ya-adtune-feedback__complain-text"/>
    <w:basedOn w:val="a1"/>
    <w:rsid w:val="000D0B36"/>
  </w:style>
  <w:style w:type="character" w:customStyle="1" w:styleId="article-imgsource">
    <w:name w:val="article-img__source"/>
    <w:basedOn w:val="a1"/>
    <w:rsid w:val="000D0B36"/>
  </w:style>
  <w:style w:type="character" w:customStyle="1" w:styleId="121">
    <w:name w:val="Заголовок №12_"/>
    <w:basedOn w:val="a1"/>
    <w:link w:val="120"/>
    <w:rsid w:val="000D0B36"/>
    <w:rPr>
      <w:rFonts w:ascii="Tahoma" w:hAnsi="Tahoma" w:cs="Tahoma"/>
      <w:sz w:val="30"/>
      <w:szCs w:val="30"/>
      <w:shd w:val="clear" w:color="auto" w:fill="FFFFFF"/>
      <w:lang w:eastAsia="en-US"/>
    </w:rPr>
  </w:style>
  <w:style w:type="character" w:customStyle="1" w:styleId="142">
    <w:name w:val="Заголовок №14_"/>
    <w:basedOn w:val="a1"/>
    <w:link w:val="140"/>
    <w:rsid w:val="000D0B36"/>
    <w:rPr>
      <w:rFonts w:ascii="Tahoma" w:hAnsi="Tahoma" w:cs="Tahoma"/>
      <w:sz w:val="30"/>
      <w:szCs w:val="30"/>
      <w:shd w:val="clear" w:color="auto" w:fill="FFFFFF"/>
      <w:lang w:eastAsia="en-US"/>
    </w:rPr>
  </w:style>
  <w:style w:type="character" w:customStyle="1" w:styleId="189">
    <w:name w:val="Заголовок №18_"/>
    <w:basedOn w:val="a1"/>
    <w:rsid w:val="000D0B36"/>
    <w:rPr>
      <w:rFonts w:ascii="Arial" w:eastAsia="Arial" w:hAnsi="Arial" w:cs="Arial"/>
      <w:b/>
      <w:bCs/>
      <w:i/>
      <w:iCs/>
      <w:smallCaps w:val="0"/>
      <w:strike w:val="0"/>
      <w:sz w:val="16"/>
      <w:szCs w:val="16"/>
      <w:u w:val="none"/>
    </w:rPr>
  </w:style>
  <w:style w:type="paragraph" w:customStyle="1" w:styleId="picture-center">
    <w:name w:val="picture-center"/>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f4">
    <w:name w:val="Выделение2"/>
    <w:basedOn w:val="a1"/>
    <w:rsid w:val="000D0B36"/>
  </w:style>
  <w:style w:type="character" w:customStyle="1" w:styleId="2ff5">
    <w:name w:val="Строгий2"/>
    <w:basedOn w:val="a1"/>
    <w:rsid w:val="000D0B36"/>
  </w:style>
  <w:style w:type="paragraph" w:customStyle="1" w:styleId="doctext">
    <w:name w:val="doc__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1"/>
    <w:rsid w:val="000D0B36"/>
  </w:style>
  <w:style w:type="paragraph" w:customStyle="1" w:styleId="docmediatext">
    <w:name w:val="doc_media__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751">
    <w:name w:val="Основной текст (27) + 5"/>
    <w:rsid w:val="000D0B36"/>
    <w:rPr>
      <w:rFonts w:ascii="Bookman Old Style" w:hAnsi="Bookman Old Style"/>
      <w:sz w:val="11"/>
    </w:rPr>
  </w:style>
  <w:style w:type="character" w:customStyle="1" w:styleId="6BookmanOldStyle">
    <w:name w:val="Основной текст (6) + Bookman Old Style"/>
    <w:rsid w:val="000D0B36"/>
    <w:rPr>
      <w:rFonts w:ascii="Bookman Old Style" w:hAnsi="Bookman Old Style"/>
      <w:sz w:val="11"/>
    </w:rPr>
  </w:style>
  <w:style w:type="character" w:customStyle="1" w:styleId="68pt">
    <w:name w:val="Основной текст (6) + 8 pt"/>
    <w:aliases w:val="Интервал 1 pt"/>
    <w:uiPriority w:val="99"/>
    <w:rsid w:val="000D0B36"/>
    <w:rPr>
      <w:rFonts w:ascii="Times New Roman" w:hAnsi="Times New Roman"/>
      <w:sz w:val="16"/>
    </w:rPr>
  </w:style>
  <w:style w:type="character" w:customStyle="1" w:styleId="18TimesNewRoman">
    <w:name w:val="Основной текст (18) + Times New Roman"/>
    <w:rsid w:val="000D0B36"/>
    <w:rPr>
      <w:rFonts w:ascii="Times New Roman" w:hAnsi="Times New Roman"/>
      <w:b/>
      <w:spacing w:val="0"/>
      <w:sz w:val="17"/>
    </w:rPr>
  </w:style>
  <w:style w:type="character" w:customStyle="1" w:styleId="cxfqmxzd">
    <w:name w:val="cxfqmxzd"/>
    <w:basedOn w:val="a1"/>
    <w:rsid w:val="00917E4B"/>
  </w:style>
  <w:style w:type="character" w:customStyle="1" w:styleId="nnzkd6d7">
    <w:name w:val="nnzkd6d7"/>
    <w:basedOn w:val="a1"/>
    <w:rsid w:val="00917E4B"/>
  </w:style>
  <w:style w:type="character" w:customStyle="1" w:styleId="gvxzyvdx">
    <w:name w:val="gvxzyvdx"/>
    <w:basedOn w:val="a1"/>
    <w:rsid w:val="00917E4B"/>
  </w:style>
  <w:style w:type="character" w:customStyle="1" w:styleId="rse6dlih">
    <w:name w:val="rse6dlih"/>
    <w:basedOn w:val="a1"/>
    <w:rsid w:val="00917E4B"/>
  </w:style>
  <w:style w:type="character" w:customStyle="1" w:styleId="u4d445087">
    <w:name w:val="u4d445087"/>
    <w:basedOn w:val="a1"/>
    <w:rsid w:val="00917E4B"/>
  </w:style>
  <w:style w:type="character" w:customStyle="1" w:styleId="y9b03b7bc">
    <w:name w:val="y9b03b7bc"/>
    <w:basedOn w:val="a1"/>
    <w:rsid w:val="00917E4B"/>
  </w:style>
  <w:style w:type="character" w:customStyle="1" w:styleId="ha87c7373">
    <w:name w:val="ha87c7373"/>
    <w:basedOn w:val="a1"/>
    <w:rsid w:val="00917E4B"/>
  </w:style>
  <w:style w:type="character" w:customStyle="1" w:styleId="w7cdb1f12">
    <w:name w:val="w7cdb1f12"/>
    <w:basedOn w:val="a1"/>
    <w:rsid w:val="00917E4B"/>
  </w:style>
  <w:style w:type="character" w:customStyle="1" w:styleId="ctatext">
    <w:name w:val="ctatext"/>
    <w:basedOn w:val="a1"/>
    <w:rsid w:val="00917E4B"/>
  </w:style>
  <w:style w:type="character" w:customStyle="1" w:styleId="posttitle">
    <w:name w:val="posttitle"/>
    <w:basedOn w:val="a1"/>
    <w:rsid w:val="00917E4B"/>
  </w:style>
  <w:style w:type="character" w:customStyle="1" w:styleId="x193iq5w">
    <w:name w:val="x193iq5w"/>
    <w:basedOn w:val="a1"/>
    <w:rsid w:val="00917E4B"/>
  </w:style>
  <w:style w:type="character" w:customStyle="1" w:styleId="xt0b8zv">
    <w:name w:val="xt0b8zv"/>
    <w:basedOn w:val="a1"/>
    <w:rsid w:val="00917E4B"/>
  </w:style>
  <w:style w:type="character" w:customStyle="1" w:styleId="x1e558r4">
    <w:name w:val="x1e558r4"/>
    <w:basedOn w:val="a1"/>
    <w:rsid w:val="00917E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1991480">
      <w:bodyDiv w:val="1"/>
      <w:marLeft w:val="0"/>
      <w:marRight w:val="0"/>
      <w:marTop w:val="0"/>
      <w:marBottom w:val="0"/>
      <w:divBdr>
        <w:top w:val="none" w:sz="0" w:space="0" w:color="auto"/>
        <w:left w:val="none" w:sz="0" w:space="0" w:color="auto"/>
        <w:bottom w:val="none" w:sz="0" w:space="0" w:color="auto"/>
        <w:right w:val="none" w:sz="0" w:space="0" w:color="auto"/>
      </w:divBdr>
    </w:div>
    <w:div w:id="1473869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s://warspot.ru/11271-shvedskaya-ekzotika-s-nemetskimi-kornyami" TargetMode="External"/><Relationship Id="rId42" Type="http://schemas.openxmlformats.org/officeDocument/2006/relationships/hyperlink" Target="http://www.archive.gov.tatarstan.ru/res/FCKeditor/fckeditor.php?FieldName=data_html" TargetMode="External"/><Relationship Id="rId47" Type="http://schemas.openxmlformats.org/officeDocument/2006/relationships/hyperlink" Target="http://www.airwar.ru/enc/sww2/h8k.html" TargetMode="External"/><Relationship Id="rId63" Type="http://schemas.openxmlformats.org/officeDocument/2006/relationships/hyperlink" Target="http://www.airwar.ru/enc/fww2/su7.html" TargetMode="External"/><Relationship Id="rId68" Type="http://schemas.openxmlformats.org/officeDocument/2006/relationships/hyperlink" Target="http://warspot.ru/3749-proslavivshiysya-pod-chuzhim-flagom" TargetMode="External"/><Relationship Id="rId84" Type="http://schemas.openxmlformats.org/officeDocument/2006/relationships/hyperlink" Target="http://airspot.ru/catalogue/item/ilyushin-il-2-m-82" TargetMode="External"/><Relationship Id="rId89" Type="http://schemas.openxmlformats.org/officeDocument/2006/relationships/hyperlink" Target="http://airspot.ru/catalogue/item/dornier-do-217k-m" TargetMode="External"/><Relationship Id="rId112" Type="http://schemas.openxmlformats.org/officeDocument/2006/relationships/hyperlink" Target="http://warspot.ru/7406-t-70-podrosshiy-malysh" TargetMode="External"/><Relationship Id="rId16" Type="http://schemas.openxmlformats.org/officeDocument/2006/relationships/hyperlink" Target="http://warspot.ru/5911-bystrohodnyy-tank-po-nemetski" TargetMode="External"/><Relationship Id="rId107" Type="http://schemas.openxmlformats.org/officeDocument/2006/relationships/hyperlink" Target="http://warspot.ru/7265-shturmovoe-orudie-na-trofeynoy-baze" TargetMode="External"/><Relationship Id="rId11" Type="http://schemas.openxmlformats.org/officeDocument/2006/relationships/hyperlink" Target="http://warspot.ru/7957-snezhnyy-tank" TargetMode="External"/><Relationship Id="rId32" Type="http://schemas.openxmlformats.org/officeDocument/2006/relationships/hyperlink" Target="https://warspot.ru/5776-protivotankovaya-ekzotika-strannye-granaty" TargetMode="External"/><Relationship Id="rId37" Type="http://schemas.openxmlformats.org/officeDocument/2006/relationships/hyperlink" Target="http://www.plam.ru/hist/porjadok_v_tankovyh_voiskah_kuda_propali_tanki_stalina/p6.php" TargetMode="External"/><Relationship Id="rId53" Type="http://schemas.openxmlformats.org/officeDocument/2006/relationships/hyperlink" Target="http://www.airwar.ru/enc/bww2/do17z.html" TargetMode="External"/><Relationship Id="rId58" Type="http://schemas.openxmlformats.org/officeDocument/2006/relationships/hyperlink" Target="http://www.spacephys.ru/krylya-pobedy-samolet-il-2" TargetMode="External"/><Relationship Id="rId74" Type="http://schemas.openxmlformats.org/officeDocument/2006/relationships/hyperlink" Target="http://warspot.ru/4819-u-20-sovetskie-istrebiteli-tankov-s-krugovym-obstrelom" TargetMode="External"/><Relationship Id="rId79" Type="http://schemas.openxmlformats.org/officeDocument/2006/relationships/hyperlink" Target="http://airspot.ru/catalogue/item/yakovlev-yak-1-zimniy" TargetMode="External"/><Relationship Id="rId102" Type="http://schemas.openxmlformats.org/officeDocument/2006/relationships/hyperlink" Target="http://www.airwar.ru/enc/other2/ba205.html" TargetMode="External"/><Relationship Id="rId123" Type="http://schemas.openxmlformats.org/officeDocument/2006/relationships/hyperlink" Target="http://www.rpg-club.com/x1000" TargetMode="External"/><Relationship Id="rId128" Type="http://schemas.openxmlformats.org/officeDocument/2006/relationships/hyperlink" Target="http://www.rpg-club.com/x1000" TargetMode="External"/><Relationship Id="rId5" Type="http://schemas.openxmlformats.org/officeDocument/2006/relationships/webSettings" Target="webSettings.xml"/><Relationship Id="rId90" Type="http://schemas.openxmlformats.org/officeDocument/2006/relationships/hyperlink" Target="https://warspot.ru/3201-neizvestnyy-stalingrad-samyy-dlinnyy-den" TargetMode="External"/><Relationship Id="rId95" Type="http://schemas.openxmlformats.org/officeDocument/2006/relationships/hyperlink" Target="http://warspot.ru/9133-menshe-broni-bolshe-podvizhnosti" TargetMode="External"/><Relationship Id="rId22" Type="http://schemas.openxmlformats.org/officeDocument/2006/relationships/hyperlink" Target="http://www.airwar.ru/enc/bww2/a351.html" TargetMode="External"/><Relationship Id="rId27" Type="http://schemas.openxmlformats.org/officeDocument/2006/relationships/hyperlink" Target="http://warspot.ru/5004-protivovozdushnyy-schit-suhoputnyh-voysk" TargetMode="External"/><Relationship Id="rId43" Type="http://schemas.openxmlformats.org/officeDocument/2006/relationships/hyperlink" Target="http://www.airwar.ru/enc/fww2/yak7b.html" TargetMode="External"/><Relationship Id="rId48" Type="http://schemas.openxmlformats.org/officeDocument/2006/relationships/hyperlink" Target="http://www.airwar.ru/enc/flyboat/mc100.html" TargetMode="External"/><Relationship Id="rId64" Type="http://schemas.openxmlformats.org/officeDocument/2006/relationships/hyperlink" Target="http://wunderwaffe.narod.ru/WeaponBook/AirCraft_Carrier/46.htm%20target=" TargetMode="External"/><Relationship Id="rId69" Type="http://schemas.openxmlformats.org/officeDocument/2006/relationships/hyperlink" Target="http://warspot.ru/7265-shturmovoe-orudie-na-trofeynoy-baze" TargetMode="External"/><Relationship Id="rId113" Type="http://schemas.openxmlformats.org/officeDocument/2006/relationships/hyperlink" Target="https://missilery.info/files/m/bm13/bm13-3.jpg" TargetMode="External"/><Relationship Id="rId118" Type="http://schemas.openxmlformats.org/officeDocument/2006/relationships/hyperlink" Target="http://www.rpg-club.com/x1000" TargetMode="External"/><Relationship Id="rId80" Type="http://schemas.openxmlformats.org/officeDocument/2006/relationships/hyperlink" Target="http://www.airwar.ru/enc/glider/bdp.html" TargetMode="External"/><Relationship Id="rId85" Type="http://schemas.openxmlformats.org/officeDocument/2006/relationships/hyperlink" Target="http://detectivebooks.ru/book/47013018/?page=42" TargetMode="External"/><Relationship Id="rId12" Type="http://schemas.openxmlformats.org/officeDocument/2006/relationships/hyperlink" Target="http://www.airwar.ru/enc/cw1/s44.html" TargetMode="External"/><Relationship Id="rId17" Type="http://schemas.openxmlformats.org/officeDocument/2006/relationships/hyperlink" Target="https://warspot.ru/10282-matilda-tolstokozhaya-ledi-na-sovetsko-germanskom-fronte" TargetMode="External"/><Relationship Id="rId33" Type="http://schemas.openxmlformats.org/officeDocument/2006/relationships/hyperlink" Target="http://warspot.ru/4960-kv-3-nabor-tankovoy-massy" TargetMode="External"/><Relationship Id="rId38" Type="http://schemas.openxmlformats.org/officeDocument/2006/relationships/hyperlink" Target="http://warspot.ru/5193-reaktivnyy-bog-voyny" TargetMode="External"/><Relationship Id="rId59" Type="http://schemas.openxmlformats.org/officeDocument/2006/relationships/hyperlink" Target="http://wunderwaffe.narod.ru/Magazine/AirWar/27/11.htm" TargetMode="External"/><Relationship Id="rId103" Type="http://schemas.openxmlformats.org/officeDocument/2006/relationships/hyperlink" Target="http://www.airwar.ru/enc/other2/hs42.html" TargetMode="External"/><Relationship Id="rId108" Type="http://schemas.openxmlformats.org/officeDocument/2006/relationships/hyperlink" Target="http://warspot.ru/5335-ohotnik-na-doty" TargetMode="External"/><Relationship Id="rId124" Type="http://schemas.openxmlformats.org/officeDocument/2006/relationships/hyperlink" Target="http://www.rpg-club.com/x1000" TargetMode="External"/><Relationship Id="rId129" Type="http://schemas.openxmlformats.org/officeDocument/2006/relationships/fontTable" Target="fontTable.xml"/><Relationship Id="rId54" Type="http://schemas.openxmlformats.org/officeDocument/2006/relationships/hyperlink" Target="http://www.airwiki.org/history/av2ww/soviet/eston/estonia.html" TargetMode="External"/><Relationship Id="rId70" Type="http://schemas.openxmlformats.org/officeDocument/2006/relationships/hyperlink" Target="https://warspot.ru/8037-na-puti-k-su-76" TargetMode="External"/><Relationship Id="rId75" Type="http://schemas.openxmlformats.org/officeDocument/2006/relationships/hyperlink" Target="http://warspot.ru/5570-shturmovik-perednego-kraya" TargetMode="External"/><Relationship Id="rId91" Type="http://schemas.openxmlformats.org/officeDocument/2006/relationships/hyperlink" Target="http://warspot.ru/9133-menshe-broni-bolshe-podvizhnosti" TargetMode="External"/><Relationship Id="rId96" Type="http://schemas.openxmlformats.org/officeDocument/2006/relationships/hyperlink" Target="http://www.rpg-club.com/x1000" TargetMode="External"/><Relationship Id="rId1" Type="http://schemas.openxmlformats.org/officeDocument/2006/relationships/customXml" Target="../customXml/item1.xml"/><Relationship Id="rId6" Type="http://schemas.openxmlformats.org/officeDocument/2006/relationships/hyperlink" Target="http://www.rpg-club.com/x1000" TargetMode="External"/><Relationship Id="rId23" Type="http://schemas.openxmlformats.org/officeDocument/2006/relationships/hyperlink" Target="http://www.airwar.ru/enc/bww2/b17f.html" TargetMode="External"/><Relationship Id="rId28" Type="http://schemas.openxmlformats.org/officeDocument/2006/relationships/hyperlink" Target="http://warspot.ru/8290-krasnoarmeyskiy-valentayn" TargetMode="External"/><Relationship Id="rId49" Type="http://schemas.openxmlformats.org/officeDocument/2006/relationships/hyperlink" Target="http://airspot.ru/catalogue/item/mitsubishi-g4m" TargetMode="External"/><Relationship Id="rId114" Type="http://schemas.openxmlformats.org/officeDocument/2006/relationships/hyperlink" Target="http://warspot.ru/5228-myshinaya-voznya" TargetMode="External"/><Relationship Id="rId119" Type="http://schemas.openxmlformats.org/officeDocument/2006/relationships/hyperlink" Target="http://www.rpg-club.com/x1000" TargetMode="External"/><Relationship Id="rId44" Type="http://schemas.openxmlformats.org/officeDocument/2006/relationships/hyperlink" Target="http://www.archive.gov.tatarstan.ru/res/FCKeditor/fckeditor.php?FieldName=data_html" TargetMode="External"/><Relationship Id="rId60" Type="http://schemas.openxmlformats.org/officeDocument/2006/relationships/hyperlink" Target="http://airspot.ru/catalogue/item/polikarpov-itp" TargetMode="External"/><Relationship Id="rId65" Type="http://schemas.openxmlformats.org/officeDocument/2006/relationships/hyperlink" Target="http://www.airwar.ru/enc/aww2/su6.html" TargetMode="External"/><Relationship Id="rId81" Type="http://schemas.openxmlformats.org/officeDocument/2006/relationships/hyperlink" Target="http://www.archive.gov.tatarstan.ru/res/FCKeditor/fckeditor.php?FieldName=data_html" TargetMode="External"/><Relationship Id="rId86" Type="http://schemas.openxmlformats.org/officeDocument/2006/relationships/hyperlink" Target="http://www.airwar.ru/enc/glider/gal49.html" TargetMode="External"/><Relationship Id="rId130" Type="http://schemas.openxmlformats.org/officeDocument/2006/relationships/theme" Target="theme/theme1.xml"/><Relationship Id="rId13" Type="http://schemas.openxmlformats.org/officeDocument/2006/relationships/hyperlink" Target="http://www.archive.gov.tatarstan.ru/res/FCKeditor/fckeditor.php?FieldName=data_html" TargetMode="External"/><Relationship Id="rId18" Type="http://schemas.openxmlformats.org/officeDocument/2006/relationships/hyperlink" Target="https://warspot.ru/5305-valentine-na-prokachke" TargetMode="External"/><Relationship Id="rId39" Type="http://schemas.openxmlformats.org/officeDocument/2006/relationships/hyperlink" Target="http://warspot.ru/3889-rozhdyonnyy-voynoy-kak-sozdavalsya-narkomat-tankovoy-promyshlennosti" TargetMode="External"/><Relationship Id="rId109" Type="http://schemas.openxmlformats.org/officeDocument/2006/relationships/hyperlink" Target="http://warspot.ru/5323-stalin-tanki-tri-stvola" TargetMode="External"/><Relationship Id="rId34" Type="http://schemas.openxmlformats.org/officeDocument/2006/relationships/hyperlink" Target="http://warspot.ru/4995-tankostroenie-na-grani-zdravogo-smysla" TargetMode="External"/><Relationship Id="rId50" Type="http://schemas.openxmlformats.org/officeDocument/2006/relationships/hyperlink" Target="http://www.airwar.ru/enc/glider/xcg7.html" TargetMode="External"/><Relationship Id="rId55" Type="http://schemas.openxmlformats.org/officeDocument/2006/relationships/hyperlink" Target="http://www.airwar.ru/enc/cww2/c54.html" TargetMode="External"/><Relationship Id="rId76" Type="http://schemas.openxmlformats.org/officeDocument/2006/relationships/hyperlink" Target="http://warspot.ru/7265-shturmovoe-orudie-na-trofeynoy-baze" TargetMode="External"/><Relationship Id="rId97" Type="http://schemas.openxmlformats.org/officeDocument/2006/relationships/hyperlink" Target="http://www.rpg-club.com/x1000" TargetMode="External"/><Relationship Id="rId104" Type="http://schemas.openxmlformats.org/officeDocument/2006/relationships/hyperlink" Target="http://warspot.ru/7265-shturmovoe-orudie-na-trofeynoy-baze" TargetMode="External"/><Relationship Id="rId120" Type="http://schemas.openxmlformats.org/officeDocument/2006/relationships/hyperlink" Target="http://www.rpg-club.com/x1000" TargetMode="External"/><Relationship Id="rId125" Type="http://schemas.openxmlformats.org/officeDocument/2006/relationships/hyperlink" Target="http://www.rpg-club.com/x1000" TargetMode="External"/><Relationship Id="rId7" Type="http://schemas.openxmlformats.org/officeDocument/2006/relationships/hyperlink" Target="http://www.liveinternet.ru/www.airwar.ru/enc/sww2/b314.html" TargetMode="External"/><Relationship Id="rId71" Type="http://schemas.openxmlformats.org/officeDocument/2006/relationships/hyperlink" Target="https://warspot.ru/5570-shturmovik-perednego-kraya" TargetMode="External"/><Relationship Id="rId92" Type="http://schemas.openxmlformats.org/officeDocument/2006/relationships/hyperlink" Target="http://warspot.ru/4884-opytnyy-tank-s-boevoy-biografiey" TargetMode="External"/><Relationship Id="rId2" Type="http://schemas.openxmlformats.org/officeDocument/2006/relationships/numbering" Target="numbering.xml"/><Relationship Id="rId29" Type="http://schemas.openxmlformats.org/officeDocument/2006/relationships/hyperlink" Target="http://warspot.ru/7406-t-70-podrosshiy-malysh" TargetMode="External"/><Relationship Id="rId24" Type="http://schemas.openxmlformats.org/officeDocument/2006/relationships/hyperlink" Target="http://www.airwar.ru/enc/fww2/yak7b.html" TargetMode="External"/><Relationship Id="rId40" Type="http://schemas.openxmlformats.org/officeDocument/2006/relationships/hyperlink" Target="http://warspot.ru/6915-vneplanovyy-tank" TargetMode="External"/><Relationship Id="rId45" Type="http://schemas.openxmlformats.org/officeDocument/2006/relationships/hyperlink" Target="http://www.archive.gov.tatarstan.ru/res/FCKeditor/fckeditor.php?FieldName=data_html" TargetMode="External"/><Relationship Id="rId66" Type="http://schemas.openxmlformats.org/officeDocument/2006/relationships/hyperlink" Target="http://warspot.ru/3889-rozhdyonnyy-voynoy-kak-sozdavalsya-narkomat-tankovoy-promyshlennosti" TargetMode="External"/><Relationship Id="rId87" Type="http://schemas.openxmlformats.org/officeDocument/2006/relationships/hyperlink" Target="http://www.airwar.ru/enc/bww2/ba201.html" TargetMode="External"/><Relationship Id="rId110" Type="http://schemas.openxmlformats.org/officeDocument/2006/relationships/hyperlink" Target="http://warspot.ru/7486-shit-i-drugie-bolshie-mechty-na-maloy-baze" TargetMode="External"/><Relationship Id="rId115" Type="http://schemas.openxmlformats.org/officeDocument/2006/relationships/hyperlink" Target="http://warspot.ru/9026-gaubichnyy-kv" TargetMode="External"/><Relationship Id="rId61" Type="http://schemas.openxmlformats.org/officeDocument/2006/relationships/hyperlink" Target="http://airspot.ru/catalogue/item/suhoy-su-6" TargetMode="External"/><Relationship Id="rId82" Type="http://schemas.openxmlformats.org/officeDocument/2006/relationships/hyperlink" Target="http://pro-samolet.ru/samolet-japan/samoleti-im...itsubishi-j2m-raiden" TargetMode="External"/><Relationship Id="rId19" Type="http://schemas.openxmlformats.org/officeDocument/2006/relationships/hyperlink" Target="https://warspot.ru/10929-sredniy-tank-v-pervom-priblizhenii" TargetMode="External"/><Relationship Id="rId14" Type="http://schemas.openxmlformats.org/officeDocument/2006/relationships/hyperlink" Target="http://www.archive.gov.tatarstan.ru/res/FCKeditor/fckeditor.php?FieldName=data_html" TargetMode="External"/><Relationship Id="rId30" Type="http://schemas.openxmlformats.org/officeDocument/2006/relationships/hyperlink" Target="http://rga-samara.ru/activity/publications/smi/articles/4410/" TargetMode="External"/><Relationship Id="rId35" Type="http://schemas.openxmlformats.org/officeDocument/2006/relationships/hyperlink" Target="http://warspot.ru/5323-stalin-tanki-tri-stvola" TargetMode="External"/><Relationship Id="rId56" Type="http://schemas.openxmlformats.org/officeDocument/2006/relationships/hyperlink" Target="http://www.airwar.ru/enc/cww2/ki56.html" TargetMode="External"/><Relationship Id="rId77" Type="http://schemas.openxmlformats.org/officeDocument/2006/relationships/hyperlink" Target="http://warspot.ru/7406-t-70-podrosshiy-malysh" TargetMode="External"/><Relationship Id="rId100" Type="http://schemas.openxmlformats.org/officeDocument/2006/relationships/hyperlink" Target="https://warspot.ru/7198-novyy-mech-dlya-matildy" TargetMode="External"/><Relationship Id="rId105" Type="http://schemas.openxmlformats.org/officeDocument/2006/relationships/hyperlink" Target="http://warspot.ru/4819-u-20-sovetskie-istrebiteli-tankov-s-krugovym-obstrelom" TargetMode="External"/><Relationship Id="rId126" Type="http://schemas.openxmlformats.org/officeDocument/2006/relationships/hyperlink" Target="http://warspot.ru/8037-na-puti-k-su-76" TargetMode="External"/><Relationship Id="rId8" Type="http://schemas.openxmlformats.org/officeDocument/2006/relationships/hyperlink" Target="http://www.liveinternet.ru/2%20www.airwar.ru/enc/bww2/ar2.html" TargetMode="External"/><Relationship Id="rId51" Type="http://schemas.openxmlformats.org/officeDocument/2006/relationships/hyperlink" Target="http://www.airwar.ru/enc/aww2/ut1b.html" TargetMode="External"/><Relationship Id="rId72" Type="http://schemas.openxmlformats.org/officeDocument/2006/relationships/hyperlink" Target="http://rbase.new-factoria.ru/missile/wobb/bm13/bm13.shtml" TargetMode="External"/><Relationship Id="rId93" Type="http://schemas.openxmlformats.org/officeDocument/2006/relationships/hyperlink" Target="http://warspot.ru/6962-sredstva-dostavki-s-neba-na-zemlyu" TargetMode="External"/><Relationship Id="rId98" Type="http://schemas.openxmlformats.org/officeDocument/2006/relationships/hyperlink" Target="http://www.rpg-club.com/x1000" TargetMode="External"/><Relationship Id="rId121" Type="http://schemas.openxmlformats.org/officeDocument/2006/relationships/hyperlink" Target="https://warspot.ru/3201-neizvestnyy-stalingrad-samyy-dlinnyy-den" TargetMode="External"/><Relationship Id="rId3" Type="http://schemas.openxmlformats.org/officeDocument/2006/relationships/styles" Target="styles.xml"/><Relationship Id="rId25" Type="http://schemas.openxmlformats.org/officeDocument/2006/relationships/hyperlink" Target="http://www.airwar.ru/enc/bww2/stirlg.html" TargetMode="External"/><Relationship Id="rId46" Type="http://schemas.openxmlformats.org/officeDocument/2006/relationships/hyperlink" Target="http://www.airwar.ru/enc/xplane/leo48.html" TargetMode="External"/><Relationship Id="rId67" Type="http://schemas.openxmlformats.org/officeDocument/2006/relationships/hyperlink" Target="https://warspot.ru/3201-neizvestnyy-stalingrad-samyy-dlinnyy-den" TargetMode="External"/><Relationship Id="rId116" Type="http://schemas.openxmlformats.org/officeDocument/2006/relationships/hyperlink" Target="http://warspot.ru/9192-vremennaya-koroleva-polya-boya" TargetMode="External"/><Relationship Id="rId20" Type="http://schemas.openxmlformats.org/officeDocument/2006/relationships/hyperlink" Target="https://warspot.ru/6290-nemirnyy-traktor" TargetMode="External"/><Relationship Id="rId41" Type="http://schemas.openxmlformats.org/officeDocument/2006/relationships/hyperlink" Target="http://www.aerofatal.ru/blog/VOV/48.html" TargetMode="External"/><Relationship Id="rId62" Type="http://schemas.openxmlformats.org/officeDocument/2006/relationships/hyperlink" Target="http://www.airwar.ru/enc/other2/teziutlan.html" TargetMode="External"/><Relationship Id="rId83" Type="http://schemas.openxmlformats.org/officeDocument/2006/relationships/hyperlink" Target="http://www.airwar.ru/enc/flyboat/pcams161.html" TargetMode="External"/><Relationship Id="rId88" Type="http://schemas.openxmlformats.org/officeDocument/2006/relationships/hyperlink" Target="http://airspot.ru/catalogue/item/messerschmitt-me-328" TargetMode="External"/><Relationship Id="rId111" Type="http://schemas.openxmlformats.org/officeDocument/2006/relationships/hyperlink" Target="http://warspot.ru/6610-malyy-tank-bolshoy-voyny" TargetMode="External"/><Relationship Id="rId15" Type="http://schemas.openxmlformats.org/officeDocument/2006/relationships/hyperlink" Target="http://www.airwar.ru/enc/fww2/yak7m82.html" TargetMode="External"/><Relationship Id="rId36" Type="http://schemas.openxmlformats.org/officeDocument/2006/relationships/hyperlink" Target="http://warspot.ru/8778-bolshaya-pushka-dlya-nebolshoy-bashni" TargetMode="External"/><Relationship Id="rId57" Type="http://schemas.openxmlformats.org/officeDocument/2006/relationships/hyperlink" Target="http://www.airpages.ru/ru/yak7v.shtml" TargetMode="External"/><Relationship Id="rId106" Type="http://schemas.openxmlformats.org/officeDocument/2006/relationships/hyperlink" Target="http://warspot.ru/5570-shturmovik-perednego-kraya" TargetMode="External"/><Relationship Id="rId127" Type="http://schemas.openxmlformats.org/officeDocument/2006/relationships/hyperlink" Target="https://warspot.ru/10917-modernizatsiya-po-angliyski" TargetMode="External"/><Relationship Id="rId10" Type="http://schemas.openxmlformats.org/officeDocument/2006/relationships/hyperlink" Target="http://world-war.moy.su/news/istrebitel_jakovlev_jak_7a/2010-01-02-631" TargetMode="External"/><Relationship Id="rId31" Type="http://schemas.openxmlformats.org/officeDocument/2006/relationships/hyperlink" Target="http://www.rpg-club.com/x1000" TargetMode="External"/><Relationship Id="rId52" Type="http://schemas.openxmlformats.org/officeDocument/2006/relationships/hyperlink" Target="http://www.airwar.ru/enc/bww2/do17z.html" TargetMode="External"/><Relationship Id="rId73" Type="http://schemas.openxmlformats.org/officeDocument/2006/relationships/hyperlink" Target="http://warspot.ru/6255-yanki-pri-dvore-gabtu-ka" TargetMode="External"/><Relationship Id="rId78" Type="http://schemas.openxmlformats.org/officeDocument/2006/relationships/hyperlink" Target="http://warspot.ru/7406-t-70-podrosshiy-malysh" TargetMode="External"/><Relationship Id="rId94" Type="http://schemas.openxmlformats.org/officeDocument/2006/relationships/hyperlink" Target="http://warspot.ru/6610-malyy-tank-bolshoy-voyny" TargetMode="External"/><Relationship Id="rId99" Type="http://schemas.openxmlformats.org/officeDocument/2006/relationships/hyperlink" Target="http://warspot.ru/6712-modernizatsiya-maloy-krovyu-t-45-i-drugie" TargetMode="External"/><Relationship Id="rId101" Type="http://schemas.openxmlformats.org/officeDocument/2006/relationships/hyperlink" Target="http://www.airwar.ru/enc/bww2/pe8m82.html" TargetMode="External"/><Relationship Id="rId122" Type="http://schemas.openxmlformats.org/officeDocument/2006/relationships/hyperlink" Target="http://www.rpg-club.com/x1000" TargetMode="External"/><Relationship Id="rId4" Type="http://schemas.openxmlformats.org/officeDocument/2006/relationships/settings" Target="settings.xml"/><Relationship Id="rId9" Type="http://schemas.openxmlformats.org/officeDocument/2006/relationships/hyperlink" Target="http://www.archive.gov.tatarstan.ru/res/FCKeditor/fckeditor.php?FieldName=data_html" TargetMode="External"/><Relationship Id="rId26" Type="http://schemas.openxmlformats.org/officeDocument/2006/relationships/hyperlink" Target="http://www.airwar.ru/enc/sww2/tbf.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D12D7-0FE4-45C7-9D35-EB5A6696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3334</TotalTime>
  <Pages>918</Pages>
  <Words>1099202</Words>
  <Characters>6265454</Characters>
  <Application>Microsoft Office Word</Application>
  <DocSecurity>0</DocSecurity>
  <Lines>52212</Lines>
  <Paragraphs>14699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7349957</CharactersWithSpaces>
  <SharedDoc>false</SharedDoc>
  <HLinks>
    <vt:vector size="24" baseType="variant">
      <vt:variant>
        <vt:i4>4522041</vt:i4>
      </vt:variant>
      <vt:variant>
        <vt:i4>40</vt:i4>
      </vt:variant>
      <vt:variant>
        <vt:i4>0</vt:i4>
      </vt:variant>
      <vt:variant>
        <vt:i4>5</vt:i4>
      </vt:variant>
      <vt:variant>
        <vt:lpwstr>http://www.rgantd-samara.ru/activity/articles/4410/</vt:lpwstr>
      </vt:variant>
      <vt:variant>
        <vt:lpwstr>_edn11</vt:lpwstr>
      </vt:variant>
      <vt:variant>
        <vt:i4>4456505</vt:i4>
      </vt:variant>
      <vt:variant>
        <vt:i4>37</vt:i4>
      </vt:variant>
      <vt:variant>
        <vt:i4>0</vt:i4>
      </vt:variant>
      <vt:variant>
        <vt:i4>5</vt:i4>
      </vt:variant>
      <vt:variant>
        <vt:lpwstr>http://www.rgantd-samara.ru/activity/articles/4410/</vt:lpwstr>
      </vt:variant>
      <vt:variant>
        <vt:lpwstr>_edn10</vt:lpwstr>
      </vt:variant>
      <vt:variant>
        <vt:i4>7602184</vt:i4>
      </vt:variant>
      <vt:variant>
        <vt:i4>34</vt:i4>
      </vt:variant>
      <vt:variant>
        <vt:i4>0</vt:i4>
      </vt:variant>
      <vt:variant>
        <vt:i4>5</vt:i4>
      </vt:variant>
      <vt:variant>
        <vt:lpwstr>http://www.rgantd-samara.ru/activity/articles/4410/</vt:lpwstr>
      </vt:variant>
      <vt:variant>
        <vt:lpwstr>_edn9</vt:lpwstr>
      </vt:variant>
      <vt:variant>
        <vt:i4>6422632</vt:i4>
      </vt:variant>
      <vt:variant>
        <vt:i4>7</vt:i4>
      </vt:variant>
      <vt:variant>
        <vt:i4>0</vt:i4>
      </vt:variant>
      <vt:variant>
        <vt:i4>5</vt:i4>
      </vt:variant>
      <vt:variant>
        <vt:lpwstr>http://www.plam.ru/hist/porjadok_v_tankovyh_voiskah_kuda_propali_tanki_stalina/p6.php</vt:lpwstr>
      </vt:variant>
      <vt:variant>
        <vt:lpwstr>n_89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201</cp:revision>
  <dcterms:created xsi:type="dcterms:W3CDTF">2022-04-27T17:27:00Z</dcterms:created>
  <dcterms:modified xsi:type="dcterms:W3CDTF">2024-03-08T13:24:00Z</dcterms:modified>
</cp:coreProperties>
</file>